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Heading1"/>
        <w:spacing w:line="415" w:lineRule="auto" w:before="212"/>
        <w:ind w:left="1830" w:right="1869" w:firstLine="0"/>
        <w:jc w:val="center"/>
      </w:pPr>
      <w:r>
        <w:rPr/>
        <w:drawing>
          <wp:anchor distT="0" distB="0" distL="0" distR="0" allowOverlap="1" layoutInCell="1" locked="0" behindDoc="0" simplePos="0" relativeHeight="0">
            <wp:simplePos x="0" y="0"/>
            <wp:positionH relativeFrom="page">
              <wp:posOffset>6238875</wp:posOffset>
            </wp:positionH>
            <wp:positionV relativeFrom="paragraph">
              <wp:posOffset>143203</wp:posOffset>
            </wp:positionV>
            <wp:extent cx="771525" cy="74295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771525" cy="742950"/>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790575</wp:posOffset>
            </wp:positionH>
            <wp:positionV relativeFrom="paragraph">
              <wp:posOffset>235913</wp:posOffset>
            </wp:positionV>
            <wp:extent cx="838200" cy="714375"/>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838200" cy="714375"/>
                    </a:xfrm>
                    <a:prstGeom prst="rect">
                      <a:avLst/>
                    </a:prstGeom>
                  </pic:spPr>
                </pic:pic>
              </a:graphicData>
            </a:graphic>
          </wp:anchor>
        </w:drawing>
      </w:r>
      <w:r>
        <w:rPr/>
        <w:t>UNIVERSIDAD AUTÓNOMA DEL ESTADO DE MÉXICO FACULTAD DE CIENCIAS POLÍTICAS Y SOCIALES DOCTORADO EN CIENCIAS SOCIALES</w:t>
      </w:r>
    </w:p>
    <w:p>
      <w:pPr>
        <w:pStyle w:val="BodyText"/>
        <w:rPr>
          <w:b/>
          <w:sz w:val="20"/>
        </w:rPr>
      </w:pPr>
    </w:p>
    <w:p>
      <w:pPr>
        <w:pStyle w:val="BodyText"/>
        <w:spacing w:before="9"/>
        <w:rPr>
          <w:b/>
          <w:sz w:val="15"/>
        </w:rPr>
      </w:pPr>
    </w:p>
    <w:p>
      <w:pPr>
        <w:spacing w:before="69"/>
        <w:ind w:left="1830" w:right="1869" w:firstLine="0"/>
        <w:jc w:val="center"/>
        <w:rPr>
          <w:b/>
          <w:sz w:val="24"/>
        </w:rPr>
      </w:pPr>
      <w:r>
        <w:rPr>
          <w:b/>
          <w:sz w:val="24"/>
        </w:rPr>
        <w:t>TÍTULO DE LA TESIS:</w:t>
      </w:r>
    </w:p>
    <w:p>
      <w:pPr>
        <w:pStyle w:val="BodyText"/>
        <w:spacing w:line="276" w:lineRule="auto" w:before="204"/>
        <w:ind w:left="961" w:right="1007"/>
        <w:jc w:val="center"/>
      </w:pPr>
      <w:r>
        <w:rPr/>
        <w:t>La transparencia, el gobierno abierto y sus enemigos. Una visión desde los municipios del Estado de México 2005-2015</w:t>
      </w:r>
    </w:p>
    <w:p>
      <w:pPr>
        <w:pStyle w:val="BodyText"/>
      </w:pPr>
    </w:p>
    <w:p>
      <w:pPr>
        <w:pStyle w:val="BodyText"/>
        <w:spacing w:before="4"/>
        <w:rPr>
          <w:sz w:val="31"/>
        </w:rPr>
      </w:pPr>
    </w:p>
    <w:p>
      <w:pPr>
        <w:pStyle w:val="Heading1"/>
        <w:ind w:left="3046" w:firstLine="0"/>
        <w:jc w:val="left"/>
      </w:pPr>
      <w:r>
        <w:rPr/>
        <w:t>QUE PARA OPTAR POR EL GRADO DE:</w:t>
      </w:r>
    </w:p>
    <w:p>
      <w:pPr>
        <w:pStyle w:val="BodyText"/>
        <w:spacing w:before="201"/>
        <w:ind w:left="3833"/>
      </w:pPr>
      <w:r>
        <w:rPr/>
        <w:t>Doctor en Ciencias Sociales</w:t>
      </w:r>
    </w:p>
    <w:p>
      <w:pPr>
        <w:pStyle w:val="BodyText"/>
      </w:pPr>
    </w:p>
    <w:p>
      <w:pPr>
        <w:pStyle w:val="BodyText"/>
        <w:rPr>
          <w:sz w:val="35"/>
        </w:rPr>
      </w:pPr>
    </w:p>
    <w:p>
      <w:pPr>
        <w:pStyle w:val="Heading1"/>
        <w:ind w:left="1828" w:right="1869" w:firstLine="0"/>
        <w:jc w:val="center"/>
      </w:pPr>
      <w:r>
        <w:rPr/>
        <w:t>PRESENTA:</w:t>
      </w:r>
    </w:p>
    <w:p>
      <w:pPr>
        <w:pStyle w:val="BodyText"/>
        <w:spacing w:before="201"/>
        <w:ind w:left="1832" w:right="1869"/>
        <w:jc w:val="center"/>
      </w:pPr>
      <w:r>
        <w:rPr/>
        <w:t>Gabriel Reyes Jaramillo</w:t>
      </w:r>
    </w:p>
    <w:p>
      <w:pPr>
        <w:pStyle w:val="BodyText"/>
      </w:pPr>
    </w:p>
    <w:p>
      <w:pPr>
        <w:pStyle w:val="BodyText"/>
        <w:spacing w:before="1"/>
        <w:rPr>
          <w:sz w:val="35"/>
        </w:rPr>
      </w:pPr>
    </w:p>
    <w:p>
      <w:pPr>
        <w:pStyle w:val="Heading1"/>
        <w:ind w:left="1830" w:right="1869" w:firstLine="0"/>
        <w:jc w:val="center"/>
      </w:pPr>
      <w:r>
        <w:rPr/>
        <w:t>TUTOR ACADÉMICO:</w:t>
      </w:r>
    </w:p>
    <w:p>
      <w:pPr>
        <w:pStyle w:val="BodyText"/>
        <w:spacing w:before="201"/>
        <w:ind w:left="1831" w:right="1869"/>
        <w:jc w:val="center"/>
      </w:pPr>
      <w:r>
        <w:rPr/>
        <w:t>Dr. José Chanes Nieto</w:t>
      </w:r>
    </w:p>
    <w:p>
      <w:pPr>
        <w:pStyle w:val="BodyText"/>
      </w:pPr>
    </w:p>
    <w:p>
      <w:pPr>
        <w:pStyle w:val="BodyText"/>
        <w:rPr>
          <w:sz w:val="35"/>
        </w:rPr>
      </w:pPr>
    </w:p>
    <w:p>
      <w:pPr>
        <w:pStyle w:val="Heading1"/>
        <w:ind w:left="1831" w:right="1869" w:firstLine="0"/>
        <w:jc w:val="center"/>
      </w:pPr>
      <w:r>
        <w:rPr/>
        <w:t>TUTORES ADJUNTOS:</w:t>
      </w:r>
    </w:p>
    <w:p>
      <w:pPr>
        <w:pStyle w:val="BodyText"/>
        <w:spacing w:line="415" w:lineRule="auto" w:before="199"/>
        <w:ind w:left="3166" w:right="3203" w:firstLine="319"/>
      </w:pPr>
      <w:r>
        <w:rPr/>
        <w:t>Dra. Guillermina Díaz Pérez Dr. Juan Miguel Morales y</w:t>
      </w:r>
      <w:r>
        <w:rPr>
          <w:spacing w:val="-11"/>
        </w:rPr>
        <w:t> </w:t>
      </w:r>
      <w:r>
        <w:rPr/>
        <w:t>Gómez</w:t>
      </w:r>
    </w:p>
    <w:p>
      <w:pPr>
        <w:pStyle w:val="BodyText"/>
      </w:pPr>
    </w:p>
    <w:p>
      <w:pPr>
        <w:pStyle w:val="Heading1"/>
        <w:spacing w:before="154"/>
        <w:ind w:left="1831" w:right="1869" w:firstLine="0"/>
        <w:jc w:val="center"/>
      </w:pPr>
      <w:r>
        <w:rPr/>
        <w:t>REVISORES:</w:t>
      </w:r>
    </w:p>
    <w:p>
      <w:pPr>
        <w:pStyle w:val="BodyText"/>
        <w:spacing w:line="415" w:lineRule="auto" w:before="202"/>
        <w:ind w:left="3485" w:right="3524"/>
        <w:jc w:val="center"/>
      </w:pPr>
      <w:r>
        <w:rPr/>
        <w:t>Dr. José Martínez Vilchis Dr. Ricardo Uvalle</w:t>
      </w:r>
      <w:r>
        <w:rPr>
          <w:spacing w:val="-9"/>
        </w:rPr>
        <w:t> </w:t>
      </w:r>
      <w:r>
        <w:rPr/>
        <w:t>Berrones</w:t>
      </w:r>
    </w:p>
    <w:p>
      <w:pPr>
        <w:pStyle w:val="BodyText"/>
      </w:pPr>
    </w:p>
    <w:p>
      <w:pPr>
        <w:pStyle w:val="BodyText"/>
        <w:spacing w:before="157"/>
        <w:ind w:left="1832" w:right="1869"/>
        <w:jc w:val="center"/>
      </w:pPr>
      <w:r>
        <w:rPr/>
        <w:t>Toluca de Lerdo, Estado de México a 16 de enero de 2017</w:t>
      </w:r>
    </w:p>
    <w:p>
      <w:pPr>
        <w:spacing w:after="0"/>
        <w:jc w:val="center"/>
        <w:sectPr>
          <w:footerReference w:type="default" r:id="rId5"/>
          <w:type w:val="continuous"/>
          <w:pgSz w:w="12240" w:h="15840"/>
          <w:pgMar w:footer="975" w:top="1500" w:bottom="1160" w:left="1140" w:right="1100"/>
          <w:pgNumType w:start="1"/>
        </w:sectPr>
      </w:pPr>
    </w:p>
    <w:sdt>
      <w:sdtPr>
        <w:docPartObj>
          <w:docPartGallery w:val="Table of Contents"/>
          <w:docPartUnique/>
        </w:docPartObj>
      </w:sdtPr>
      <w:sdtEndPr/>
      <w:sdtContent>
        <w:p>
          <w:pPr>
            <w:pStyle w:val="TOC1"/>
            <w:tabs>
              <w:tab w:pos="8940" w:val="right" w:leader="dot"/>
            </w:tabs>
            <w:spacing w:before="51"/>
            <w:rPr>
              <w:b w:val="0"/>
            </w:rPr>
          </w:pPr>
          <w:hyperlink w:history="true" w:anchor="_bookmark0">
            <w:r>
              <w:rPr/>
              <w:t>INTRODUCCIÓN</w:t>
            </w:r>
            <w:r>
              <w:rPr>
                <w:b w:val="0"/>
              </w:rPr>
              <w:tab/>
              <w:t>3</w:t>
            </w:r>
          </w:hyperlink>
        </w:p>
        <w:p>
          <w:pPr>
            <w:pStyle w:val="TOC1"/>
            <w:numPr>
              <w:ilvl w:val="0"/>
              <w:numId w:val="1"/>
            </w:numPr>
            <w:tabs>
              <w:tab w:pos="541" w:val="left" w:leader="none"/>
              <w:tab w:pos="542" w:val="left" w:leader="none"/>
              <w:tab w:pos="8940" w:val="right" w:leader="dot"/>
            </w:tabs>
            <w:spacing w:line="240" w:lineRule="auto" w:before="122" w:after="0"/>
            <w:ind w:left="102" w:right="0" w:firstLine="0"/>
            <w:jc w:val="left"/>
            <w:rPr>
              <w:b w:val="0"/>
            </w:rPr>
          </w:pPr>
          <w:hyperlink w:history="true" w:anchor="_bookmark1">
            <w:r>
              <w:rPr/>
              <w:t>MARCO TEÓRICO</w:t>
            </w:r>
            <w:r>
              <w:rPr>
                <w:spacing w:val="3"/>
              </w:rPr>
              <w:t> </w:t>
            </w:r>
            <w:r>
              <w:rPr/>
              <w:t>Y</w:t>
            </w:r>
            <w:r>
              <w:rPr>
                <w:spacing w:val="-4"/>
              </w:rPr>
              <w:t> </w:t>
            </w:r>
            <w:r>
              <w:rPr/>
              <w:t>CONCEPTUAL</w:t>
            </w:r>
            <w:r>
              <w:rPr>
                <w:b w:val="0"/>
              </w:rPr>
              <w:tab/>
              <w:t>15</w:t>
            </w:r>
          </w:hyperlink>
        </w:p>
        <w:p>
          <w:pPr>
            <w:pStyle w:val="TOC3"/>
            <w:numPr>
              <w:ilvl w:val="1"/>
              <w:numId w:val="1"/>
            </w:numPr>
            <w:tabs>
              <w:tab w:pos="982" w:val="left" w:leader="none"/>
              <w:tab w:pos="983" w:val="left" w:leader="none"/>
              <w:tab w:pos="8940" w:val="right" w:leader="dot"/>
            </w:tabs>
            <w:spacing w:line="240" w:lineRule="auto" w:before="119" w:after="0"/>
            <w:ind w:left="982" w:right="0" w:hanging="739"/>
            <w:jc w:val="left"/>
          </w:pPr>
          <w:hyperlink w:history="true" w:anchor="_bookmark2">
            <w:r>
              <w:rPr/>
              <w:t>Generalidades</w:t>
            </w:r>
            <w:r>
              <w:rPr>
                <w:spacing w:val="-3"/>
              </w:rPr>
              <w:t> </w:t>
            </w:r>
            <w:r>
              <w:rPr/>
              <w:t>del</w:t>
            </w:r>
            <w:r>
              <w:rPr>
                <w:spacing w:val="-2"/>
              </w:rPr>
              <w:t> </w:t>
            </w:r>
            <w:r>
              <w:rPr/>
              <w:t>Estado</w:t>
              <w:tab/>
              <w:t>16</w:t>
            </w:r>
          </w:hyperlink>
        </w:p>
        <w:p>
          <w:pPr>
            <w:pStyle w:val="TOC3"/>
            <w:numPr>
              <w:ilvl w:val="1"/>
              <w:numId w:val="1"/>
            </w:numPr>
            <w:tabs>
              <w:tab w:pos="982" w:val="left" w:leader="none"/>
              <w:tab w:pos="983" w:val="left" w:leader="none"/>
              <w:tab w:pos="8940" w:val="right" w:leader="dot"/>
            </w:tabs>
            <w:spacing w:line="240" w:lineRule="auto" w:before="121" w:after="0"/>
            <w:ind w:left="982" w:right="0" w:hanging="739"/>
            <w:jc w:val="left"/>
          </w:pPr>
          <w:hyperlink w:history="true" w:anchor="_bookmark3">
            <w:r>
              <w:rPr/>
              <w:t>El Gobierno como materialización</w:t>
            </w:r>
            <w:r>
              <w:rPr>
                <w:spacing w:val="-7"/>
              </w:rPr>
              <w:t> </w:t>
            </w:r>
            <w:r>
              <w:rPr/>
              <w:t>del</w:t>
            </w:r>
            <w:r>
              <w:rPr>
                <w:spacing w:val="1"/>
              </w:rPr>
              <w:t> </w:t>
            </w:r>
            <w:r>
              <w:rPr/>
              <w:t>Estado</w:t>
              <w:tab/>
              <w:t>23</w:t>
            </w:r>
          </w:hyperlink>
        </w:p>
        <w:p>
          <w:pPr>
            <w:pStyle w:val="TOC3"/>
            <w:numPr>
              <w:ilvl w:val="1"/>
              <w:numId w:val="1"/>
            </w:numPr>
            <w:tabs>
              <w:tab w:pos="982" w:val="left" w:leader="none"/>
              <w:tab w:pos="983" w:val="left" w:leader="none"/>
              <w:tab w:pos="8940" w:val="right" w:leader="dot"/>
            </w:tabs>
            <w:spacing w:line="240" w:lineRule="auto" w:before="119" w:after="0"/>
            <w:ind w:left="982" w:right="0" w:hanging="739"/>
            <w:jc w:val="left"/>
          </w:pPr>
          <w:hyperlink w:history="true" w:anchor="_bookmark4">
            <w:r>
              <w:rPr/>
              <w:t>Administración Pública como la forma de organización</w:t>
            </w:r>
            <w:r>
              <w:rPr>
                <w:spacing w:val="-12"/>
              </w:rPr>
              <w:t> </w:t>
            </w:r>
            <w:r>
              <w:rPr/>
              <w:t>del</w:t>
            </w:r>
            <w:r>
              <w:rPr>
                <w:spacing w:val="-2"/>
              </w:rPr>
              <w:t> </w:t>
            </w:r>
            <w:r>
              <w:rPr/>
              <w:t>gobierno</w:t>
              <w:tab/>
              <w:t>41</w:t>
            </w:r>
          </w:hyperlink>
        </w:p>
        <w:p>
          <w:pPr>
            <w:pStyle w:val="TOC3"/>
            <w:numPr>
              <w:ilvl w:val="1"/>
              <w:numId w:val="1"/>
            </w:numPr>
            <w:tabs>
              <w:tab w:pos="982" w:val="left" w:leader="none"/>
              <w:tab w:pos="983" w:val="left" w:leader="none"/>
            </w:tabs>
            <w:spacing w:line="240" w:lineRule="auto" w:before="121" w:after="0"/>
            <w:ind w:left="982" w:right="0" w:hanging="739"/>
            <w:jc w:val="left"/>
          </w:pPr>
          <w:hyperlink w:history="true" w:anchor="_bookmark5">
            <w:r>
              <w:rPr/>
              <w:t>Teorías de la Organización como medio de análisis del Gobierno Abierto</w:t>
            </w:r>
            <w:r>
              <w:rPr>
                <w:spacing w:val="41"/>
              </w:rPr>
              <w:t> </w:t>
            </w:r>
            <w:r>
              <w:rPr/>
              <w:t>57</w:t>
            </w:r>
          </w:hyperlink>
        </w:p>
        <w:p>
          <w:pPr>
            <w:pStyle w:val="TOC1"/>
            <w:numPr>
              <w:ilvl w:val="0"/>
              <w:numId w:val="1"/>
            </w:numPr>
            <w:tabs>
              <w:tab w:pos="541" w:val="left" w:leader="none"/>
              <w:tab w:pos="542" w:val="left" w:leader="none"/>
              <w:tab w:pos="8940" w:val="right" w:leader="dot"/>
            </w:tabs>
            <w:spacing w:line="240" w:lineRule="auto" w:before="119" w:after="0"/>
            <w:ind w:left="541" w:right="0" w:hanging="439"/>
            <w:jc w:val="left"/>
            <w:rPr>
              <w:b w:val="0"/>
            </w:rPr>
          </w:pPr>
          <w:hyperlink w:history="true" w:anchor="_bookmark6">
            <w:r>
              <w:rPr/>
              <w:t>GOBIERNO ABIERTO, TRANSPARENCIA Y ACCESO A</w:t>
            </w:r>
            <w:r>
              <w:rPr>
                <w:spacing w:val="-13"/>
              </w:rPr>
              <w:t> </w:t>
            </w:r>
            <w:r>
              <w:rPr/>
              <w:t>LA</w:t>
            </w:r>
            <w:r>
              <w:rPr>
                <w:spacing w:val="-7"/>
              </w:rPr>
              <w:t> </w:t>
            </w:r>
            <w:r>
              <w:rPr/>
              <w:t>INFORMACIÓN</w:t>
            </w:r>
            <w:r>
              <w:rPr>
                <w:b w:val="0"/>
              </w:rPr>
              <w:tab/>
              <w:t>77</w:t>
            </w:r>
          </w:hyperlink>
        </w:p>
        <w:p>
          <w:pPr>
            <w:pStyle w:val="TOC3"/>
            <w:numPr>
              <w:ilvl w:val="1"/>
              <w:numId w:val="1"/>
            </w:numPr>
            <w:tabs>
              <w:tab w:pos="982" w:val="left" w:leader="none"/>
              <w:tab w:pos="983" w:val="left" w:leader="none"/>
              <w:tab w:pos="8940" w:val="right" w:leader="dot"/>
            </w:tabs>
            <w:spacing w:line="240" w:lineRule="auto" w:before="119" w:after="0"/>
            <w:ind w:left="982" w:right="0" w:hanging="739"/>
            <w:jc w:val="left"/>
          </w:pPr>
          <w:hyperlink w:history="true" w:anchor="_bookmark7">
            <w:r>
              <w:rPr/>
              <w:t>Generalidades del</w:t>
            </w:r>
            <w:r>
              <w:rPr>
                <w:spacing w:val="-4"/>
              </w:rPr>
              <w:t> </w:t>
            </w:r>
            <w:r>
              <w:rPr/>
              <w:t>Gobierno</w:t>
            </w:r>
            <w:r>
              <w:rPr>
                <w:spacing w:val="1"/>
              </w:rPr>
              <w:t> </w:t>
            </w:r>
            <w:r>
              <w:rPr/>
              <w:t>Abierto</w:t>
              <w:tab/>
              <w:t>77</w:t>
            </w:r>
          </w:hyperlink>
        </w:p>
        <w:p>
          <w:pPr>
            <w:pStyle w:val="TOC3"/>
            <w:numPr>
              <w:ilvl w:val="1"/>
              <w:numId w:val="1"/>
            </w:numPr>
            <w:tabs>
              <w:tab w:pos="982" w:val="left" w:leader="none"/>
              <w:tab w:pos="983" w:val="left" w:leader="none"/>
              <w:tab w:pos="8940" w:val="right" w:leader="dot"/>
            </w:tabs>
            <w:spacing w:line="240" w:lineRule="auto" w:before="121" w:after="0"/>
            <w:ind w:left="982" w:right="0" w:hanging="739"/>
            <w:jc w:val="left"/>
          </w:pPr>
          <w:hyperlink w:history="true" w:anchor="_bookmark8">
            <w:r>
              <w:rPr/>
              <w:t>Generalidades del acceso a</w:t>
            </w:r>
            <w:r>
              <w:rPr>
                <w:spacing w:val="-6"/>
              </w:rPr>
              <w:t> </w:t>
            </w:r>
            <w:r>
              <w:rPr/>
              <w:t>la</w:t>
            </w:r>
            <w:r>
              <w:rPr>
                <w:spacing w:val="-3"/>
              </w:rPr>
              <w:t> </w:t>
            </w:r>
            <w:r>
              <w:rPr/>
              <w:t>información</w:t>
              <w:tab/>
              <w:t>86</w:t>
            </w:r>
          </w:hyperlink>
        </w:p>
        <w:p>
          <w:pPr>
            <w:pStyle w:val="TOC3"/>
            <w:numPr>
              <w:ilvl w:val="1"/>
              <w:numId w:val="1"/>
            </w:numPr>
            <w:tabs>
              <w:tab w:pos="982" w:val="left" w:leader="none"/>
              <w:tab w:pos="983" w:val="left" w:leader="none"/>
              <w:tab w:pos="8940" w:val="right" w:leader="dot"/>
            </w:tabs>
            <w:spacing w:line="240" w:lineRule="auto" w:before="119" w:after="0"/>
            <w:ind w:left="982" w:right="0" w:hanging="739"/>
            <w:jc w:val="left"/>
          </w:pPr>
          <w:hyperlink w:history="true" w:anchor="_bookmark9">
            <w:r>
              <w:rPr/>
              <w:t>Generalidades de</w:t>
            </w:r>
            <w:r>
              <w:rPr>
                <w:spacing w:val="-4"/>
              </w:rPr>
              <w:t> </w:t>
            </w:r>
            <w:r>
              <w:rPr/>
              <w:t>la</w:t>
            </w:r>
            <w:r>
              <w:rPr>
                <w:spacing w:val="-2"/>
              </w:rPr>
              <w:t> </w:t>
            </w:r>
            <w:r>
              <w:rPr/>
              <w:t>transparencia</w:t>
              <w:tab/>
              <w:t>95</w:t>
            </w:r>
          </w:hyperlink>
        </w:p>
        <w:p>
          <w:pPr>
            <w:pStyle w:val="TOC3"/>
            <w:numPr>
              <w:ilvl w:val="1"/>
              <w:numId w:val="1"/>
            </w:numPr>
            <w:tabs>
              <w:tab w:pos="982" w:val="left" w:leader="none"/>
              <w:tab w:pos="983" w:val="left" w:leader="none"/>
              <w:tab w:pos="8940" w:val="right" w:leader="dot"/>
            </w:tabs>
            <w:spacing w:line="240" w:lineRule="auto" w:before="122" w:after="0"/>
            <w:ind w:left="982" w:right="0" w:hanging="739"/>
            <w:jc w:val="left"/>
          </w:pPr>
          <w:hyperlink w:history="true" w:anchor="_bookmark10">
            <w:r>
              <w:rPr/>
              <w:t>Acceso a la información, transparencia y rendición</w:t>
            </w:r>
            <w:r>
              <w:rPr>
                <w:spacing w:val="-10"/>
              </w:rPr>
              <w:t> </w:t>
            </w:r>
            <w:r>
              <w:rPr/>
              <w:t>de</w:t>
            </w:r>
            <w:r>
              <w:rPr>
                <w:spacing w:val="-1"/>
              </w:rPr>
              <w:t> </w:t>
            </w:r>
            <w:r>
              <w:rPr/>
              <w:t>cuentas</w:t>
              <w:tab/>
              <w:t>125</w:t>
            </w:r>
          </w:hyperlink>
        </w:p>
        <w:p>
          <w:pPr>
            <w:pStyle w:val="TOC3"/>
            <w:numPr>
              <w:ilvl w:val="1"/>
              <w:numId w:val="1"/>
            </w:numPr>
            <w:tabs>
              <w:tab w:pos="982" w:val="left" w:leader="none"/>
              <w:tab w:pos="983" w:val="left" w:leader="none"/>
              <w:tab w:pos="8940" w:val="right" w:leader="dot"/>
            </w:tabs>
            <w:spacing w:line="240" w:lineRule="auto" w:before="119" w:after="0"/>
            <w:ind w:left="982" w:right="0" w:hanging="739"/>
            <w:jc w:val="left"/>
          </w:pPr>
          <w:hyperlink w:history="true" w:anchor="_bookmark11">
            <w:r>
              <w:rPr/>
              <w:t>Instituciones que promueven</w:t>
            </w:r>
            <w:r>
              <w:rPr>
                <w:spacing w:val="-3"/>
              </w:rPr>
              <w:t> </w:t>
            </w:r>
            <w:r>
              <w:rPr/>
              <w:t>la</w:t>
            </w:r>
            <w:r>
              <w:rPr>
                <w:spacing w:val="-1"/>
              </w:rPr>
              <w:t> </w:t>
            </w:r>
            <w:r>
              <w:rPr/>
              <w:t>transparencia</w:t>
              <w:tab/>
              <w:t>130</w:t>
            </w:r>
          </w:hyperlink>
        </w:p>
        <w:p>
          <w:pPr>
            <w:pStyle w:val="TOC3"/>
            <w:numPr>
              <w:ilvl w:val="1"/>
              <w:numId w:val="1"/>
            </w:numPr>
            <w:tabs>
              <w:tab w:pos="982" w:val="left" w:leader="none"/>
              <w:tab w:pos="983" w:val="left" w:leader="none"/>
              <w:tab w:pos="8940" w:val="right" w:leader="dot"/>
            </w:tabs>
            <w:spacing w:line="240" w:lineRule="auto" w:before="119" w:after="0"/>
            <w:ind w:left="982" w:right="0" w:hanging="739"/>
            <w:jc w:val="left"/>
          </w:pPr>
          <w:hyperlink w:history="true" w:anchor="_bookmark12">
            <w:r>
              <w:rPr/>
              <w:t>Estudios de medición de</w:t>
            </w:r>
            <w:r>
              <w:rPr>
                <w:spacing w:val="-5"/>
              </w:rPr>
              <w:t> </w:t>
            </w:r>
            <w:r>
              <w:rPr/>
              <w:t>la</w:t>
            </w:r>
            <w:r>
              <w:rPr>
                <w:spacing w:val="-2"/>
              </w:rPr>
              <w:t> </w:t>
            </w:r>
            <w:r>
              <w:rPr/>
              <w:t>transparencia</w:t>
              <w:tab/>
              <w:t>157</w:t>
            </w:r>
          </w:hyperlink>
        </w:p>
        <w:p>
          <w:pPr>
            <w:pStyle w:val="TOC1"/>
            <w:numPr>
              <w:ilvl w:val="0"/>
              <w:numId w:val="1"/>
            </w:numPr>
            <w:tabs>
              <w:tab w:pos="541" w:val="left" w:leader="none"/>
              <w:tab w:pos="542" w:val="left" w:leader="none"/>
              <w:tab w:pos="8940" w:val="right" w:leader="dot"/>
            </w:tabs>
            <w:spacing w:line="259" w:lineRule="auto" w:before="121" w:after="0"/>
            <w:ind w:left="102" w:right="117" w:firstLine="0"/>
            <w:jc w:val="left"/>
            <w:rPr>
              <w:b w:val="0"/>
            </w:rPr>
          </w:pPr>
          <w:hyperlink w:history="true" w:anchor="_bookmark13">
            <w:r>
              <w:rPr/>
              <w:t>LA PRÁCTICA DEL GOBIERNO ABIERTO EN LOS MUNICIPIOS DEL ESTADO DE</w:t>
            </w:r>
          </w:hyperlink>
          <w:r>
            <w:rPr/>
            <w:t> </w:t>
          </w:r>
          <w:hyperlink w:history="true" w:anchor="_bookmark13">
            <w:r>
              <w:rPr/>
              <w:t>MÉXICO</w:t>
            </w:r>
            <w:r>
              <w:rPr>
                <w:b w:val="0"/>
              </w:rPr>
              <w:tab/>
              <w:t>167</w:t>
            </w:r>
          </w:hyperlink>
        </w:p>
        <w:p>
          <w:pPr>
            <w:pStyle w:val="TOC3"/>
            <w:numPr>
              <w:ilvl w:val="1"/>
              <w:numId w:val="1"/>
            </w:numPr>
            <w:tabs>
              <w:tab w:pos="982" w:val="left" w:leader="none"/>
              <w:tab w:pos="983" w:val="left" w:leader="none"/>
              <w:tab w:pos="8940" w:val="right" w:leader="dot"/>
            </w:tabs>
            <w:spacing w:line="259" w:lineRule="auto" w:before="99" w:after="0"/>
            <w:ind w:left="322" w:right="117" w:hanging="79"/>
            <w:jc w:val="left"/>
          </w:pPr>
          <w:hyperlink w:history="true" w:anchor="_bookmark14">
            <w:r>
              <w:rPr/>
              <w:t>Encuesta realizada a los responsables de transparencia de los gobiernos</w:t>
            </w:r>
          </w:hyperlink>
          <w:r>
            <w:rPr/>
            <w:t> </w:t>
          </w:r>
          <w:hyperlink w:history="true" w:anchor="_bookmark14">
            <w:r>
              <w:rPr/>
              <w:t>municipales del Estado</w:t>
            </w:r>
            <w:r>
              <w:rPr>
                <w:spacing w:val="-6"/>
              </w:rPr>
              <w:t> </w:t>
            </w:r>
            <w:r>
              <w:rPr/>
              <w:t>de</w:t>
            </w:r>
            <w:r>
              <w:rPr>
                <w:spacing w:val="-2"/>
              </w:rPr>
              <w:t> </w:t>
            </w:r>
            <w:r>
              <w:rPr/>
              <w:t>México</w:t>
              <w:tab/>
              <w:t>167</w:t>
            </w:r>
          </w:hyperlink>
        </w:p>
        <w:p>
          <w:pPr>
            <w:pStyle w:val="TOC3"/>
            <w:numPr>
              <w:ilvl w:val="1"/>
              <w:numId w:val="1"/>
            </w:numPr>
            <w:tabs>
              <w:tab w:pos="982" w:val="left" w:leader="none"/>
              <w:tab w:pos="983" w:val="left" w:leader="none"/>
              <w:tab w:pos="8940" w:val="right" w:leader="dot"/>
            </w:tabs>
            <w:spacing w:line="240" w:lineRule="auto" w:before="99" w:after="0"/>
            <w:ind w:left="982" w:right="0" w:hanging="739"/>
            <w:jc w:val="left"/>
          </w:pPr>
          <w:hyperlink w:history="true" w:anchor="_bookmark15">
            <w:r>
              <w:rPr/>
              <w:t>Revisión de portales web de los municipios del Estado</w:t>
            </w:r>
            <w:r>
              <w:rPr>
                <w:spacing w:val="-14"/>
              </w:rPr>
              <w:t> </w:t>
            </w:r>
            <w:r>
              <w:rPr/>
              <w:t>de</w:t>
            </w:r>
            <w:r>
              <w:rPr>
                <w:spacing w:val="-3"/>
              </w:rPr>
              <w:t> </w:t>
            </w:r>
            <w:r>
              <w:rPr/>
              <w:t>México</w:t>
              <w:tab/>
              <w:t>189</w:t>
            </w:r>
          </w:hyperlink>
        </w:p>
        <w:p>
          <w:pPr>
            <w:pStyle w:val="TOC3"/>
            <w:numPr>
              <w:ilvl w:val="1"/>
              <w:numId w:val="1"/>
            </w:numPr>
            <w:tabs>
              <w:tab w:pos="982" w:val="left" w:leader="none"/>
              <w:tab w:pos="983" w:val="left" w:leader="none"/>
              <w:tab w:pos="8940" w:val="right" w:leader="dot"/>
            </w:tabs>
            <w:spacing w:line="256" w:lineRule="auto" w:before="121" w:after="0"/>
            <w:ind w:left="322" w:right="117" w:hanging="79"/>
            <w:jc w:val="left"/>
          </w:pPr>
          <w:hyperlink w:history="true" w:anchor="_bookmark16">
            <w:r>
              <w:rPr/>
              <w:t>Cumplimiento de la ley de transparencia en los municipios del Estado de</w:t>
            </w:r>
          </w:hyperlink>
          <w:r>
            <w:rPr/>
            <w:t> </w:t>
          </w:r>
          <w:hyperlink w:history="true" w:anchor="_bookmark16">
            <w:r>
              <w:rPr/>
              <w:t>México</w:t>
              <w:tab/>
              <w:t>211</w:t>
            </w:r>
          </w:hyperlink>
        </w:p>
        <w:p>
          <w:pPr>
            <w:pStyle w:val="TOC3"/>
            <w:numPr>
              <w:ilvl w:val="1"/>
              <w:numId w:val="1"/>
            </w:numPr>
            <w:tabs>
              <w:tab w:pos="982" w:val="left" w:leader="none"/>
              <w:tab w:pos="983" w:val="left" w:leader="none"/>
              <w:tab w:pos="8940" w:val="right" w:leader="dot"/>
            </w:tabs>
            <w:spacing w:line="259" w:lineRule="auto" w:before="104" w:after="0"/>
            <w:ind w:left="322" w:right="117" w:hanging="79"/>
            <w:jc w:val="left"/>
          </w:pPr>
          <w:hyperlink w:history="true" w:anchor="_bookmark17">
            <w:r>
              <w:rPr/>
              <w:t>Variables que influyen en torno al cumplimiento de la ley de transparencia</w:t>
            </w:r>
          </w:hyperlink>
          <w:r>
            <w:rPr/>
            <w:t> </w:t>
          </w:r>
          <w:hyperlink w:history="true" w:anchor="_bookmark17">
            <w:r>
              <w:rPr/>
              <w:t>del Estado</w:t>
            </w:r>
            <w:r>
              <w:rPr>
                <w:spacing w:val="-1"/>
              </w:rPr>
              <w:t> </w:t>
            </w:r>
            <w:r>
              <w:rPr/>
              <w:t>de</w:t>
            </w:r>
            <w:r>
              <w:rPr>
                <w:spacing w:val="-3"/>
              </w:rPr>
              <w:t> </w:t>
            </w:r>
            <w:r>
              <w:rPr/>
              <w:t>México</w:t>
              <w:tab/>
              <w:t>219</w:t>
            </w:r>
          </w:hyperlink>
        </w:p>
        <w:p>
          <w:pPr>
            <w:pStyle w:val="TOC1"/>
            <w:numPr>
              <w:ilvl w:val="0"/>
              <w:numId w:val="1"/>
            </w:numPr>
            <w:tabs>
              <w:tab w:pos="541" w:val="left" w:leader="none"/>
              <w:tab w:pos="542" w:val="left" w:leader="none"/>
              <w:tab w:pos="8940" w:val="right" w:leader="dot"/>
            </w:tabs>
            <w:spacing w:line="259" w:lineRule="auto" w:before="99" w:after="0"/>
            <w:ind w:left="102" w:right="117" w:firstLine="0"/>
            <w:jc w:val="left"/>
            <w:rPr>
              <w:b w:val="0"/>
            </w:rPr>
          </w:pPr>
          <w:hyperlink w:history="true" w:anchor="_bookmark18">
            <w:r>
              <w:rPr/>
              <w:t>LOS ENEMIGOS DE LA TRANSPARENCIA, EL ACCESO A LA INFORMACIÓN Y</w:t>
            </w:r>
          </w:hyperlink>
          <w:r>
            <w:rPr/>
            <w:t> </w:t>
          </w:r>
          <w:hyperlink w:history="true" w:anchor="_bookmark18">
            <w:r>
              <w:rPr/>
              <w:t>EL</w:t>
            </w:r>
            <w:r>
              <w:rPr>
                <w:spacing w:val="-1"/>
              </w:rPr>
              <w:t> </w:t>
            </w:r>
            <w:r>
              <w:rPr/>
              <w:t>GOBIERNO</w:t>
            </w:r>
            <w:r>
              <w:rPr>
                <w:spacing w:val="1"/>
              </w:rPr>
              <w:t> </w:t>
            </w:r>
            <w:r>
              <w:rPr/>
              <w:t>ABIERTO</w:t>
            </w:r>
            <w:r>
              <w:rPr>
                <w:b w:val="0"/>
              </w:rPr>
              <w:tab/>
              <w:t>270</w:t>
            </w:r>
          </w:hyperlink>
        </w:p>
        <w:p>
          <w:pPr>
            <w:pStyle w:val="TOC3"/>
            <w:numPr>
              <w:ilvl w:val="1"/>
              <w:numId w:val="1"/>
            </w:numPr>
            <w:tabs>
              <w:tab w:pos="982" w:val="left" w:leader="none"/>
              <w:tab w:pos="983" w:val="left" w:leader="none"/>
              <w:tab w:pos="8940" w:val="right" w:leader="dot"/>
            </w:tabs>
            <w:spacing w:line="240" w:lineRule="auto" w:before="99" w:after="0"/>
            <w:ind w:left="322" w:right="0" w:hanging="79"/>
            <w:jc w:val="left"/>
          </w:pPr>
          <w:hyperlink w:history="true" w:anchor="_bookmark19">
            <w:r>
              <w:rPr/>
              <w:t>Los gobernantes</w:t>
              <w:tab/>
              <w:t>277</w:t>
            </w:r>
          </w:hyperlink>
        </w:p>
        <w:p>
          <w:pPr>
            <w:pStyle w:val="TOC3"/>
            <w:numPr>
              <w:ilvl w:val="1"/>
              <w:numId w:val="1"/>
            </w:numPr>
            <w:tabs>
              <w:tab w:pos="982" w:val="left" w:leader="none"/>
              <w:tab w:pos="983" w:val="left" w:leader="none"/>
              <w:tab w:pos="8940" w:val="right" w:leader="dot"/>
            </w:tabs>
            <w:spacing w:line="256" w:lineRule="auto" w:before="121" w:after="0"/>
            <w:ind w:left="322" w:right="117" w:hanging="79"/>
            <w:jc w:val="left"/>
          </w:pPr>
          <w:hyperlink w:history="true" w:anchor="_bookmark20">
            <w:r>
              <w:rPr/>
              <w:t>Retos de la transparencia y el acceso a la información para lograr un</w:t>
            </w:r>
          </w:hyperlink>
          <w:r>
            <w:rPr/>
            <w:t> </w:t>
          </w:r>
          <w:hyperlink w:history="true" w:anchor="_bookmark20">
            <w:r>
              <w:rPr/>
              <w:t>gobierno</w:t>
            </w:r>
            <w:r>
              <w:rPr>
                <w:spacing w:val="-1"/>
              </w:rPr>
              <w:t> </w:t>
            </w:r>
            <w:r>
              <w:rPr/>
              <w:t>abierto</w:t>
              <w:tab/>
              <w:t>296</w:t>
            </w:r>
          </w:hyperlink>
        </w:p>
        <w:p>
          <w:pPr>
            <w:pStyle w:val="TOC2"/>
            <w:tabs>
              <w:tab w:pos="8940" w:val="right" w:leader="dot"/>
            </w:tabs>
            <w:rPr>
              <w:b w:val="0"/>
              <w:i w:val="0"/>
              <w:sz w:val="22"/>
            </w:rPr>
          </w:pPr>
          <w:hyperlink w:history="true" w:anchor="_bookmark21">
            <w:r>
              <w:rPr>
                <w:i w:val="0"/>
                <w:sz w:val="22"/>
              </w:rPr>
              <w:t>CONCLUSIONES</w:t>
            </w:r>
            <w:r>
              <w:rPr>
                <w:b w:val="0"/>
                <w:i w:val="0"/>
                <w:sz w:val="22"/>
              </w:rPr>
              <w:tab/>
              <w:t>298</w:t>
            </w:r>
          </w:hyperlink>
        </w:p>
        <w:p>
          <w:pPr>
            <w:pStyle w:val="TOC1"/>
            <w:tabs>
              <w:tab w:pos="8940" w:val="right" w:leader="dot"/>
            </w:tabs>
            <w:rPr>
              <w:b w:val="0"/>
            </w:rPr>
          </w:pPr>
          <w:hyperlink w:history="true" w:anchor="_bookmark22">
            <w:r>
              <w:rPr/>
              <w:t>FUENTES</w:t>
            </w:r>
            <w:r>
              <w:rPr>
                <w:spacing w:val="-1"/>
              </w:rPr>
              <w:t> </w:t>
            </w:r>
            <w:r>
              <w:rPr/>
              <w:t>DE</w:t>
            </w:r>
            <w:r>
              <w:rPr>
                <w:spacing w:val="-1"/>
              </w:rPr>
              <w:t> </w:t>
            </w:r>
            <w:r>
              <w:rPr/>
              <w:t>INFORMACIÓN</w:t>
            </w:r>
            <w:r>
              <w:rPr>
                <w:b w:val="0"/>
              </w:rPr>
              <w:tab/>
              <w:t>306</w:t>
            </w:r>
          </w:hyperlink>
        </w:p>
        <w:p>
          <w:pPr>
            <w:pStyle w:val="TOC2"/>
            <w:tabs>
              <w:tab w:pos="8940" w:val="right" w:leader="dot"/>
            </w:tabs>
            <w:spacing w:before="121"/>
            <w:rPr>
              <w:b w:val="0"/>
              <w:i w:val="0"/>
              <w:sz w:val="22"/>
            </w:rPr>
          </w:pPr>
          <w:hyperlink w:history="true" w:anchor="_bookmark23">
            <w:r>
              <w:rPr>
                <w:i w:val="0"/>
                <w:sz w:val="22"/>
              </w:rPr>
              <w:t>ANEXOS</w:t>
            </w:r>
            <w:r>
              <w:rPr>
                <w:b w:val="0"/>
                <w:i w:val="0"/>
                <w:sz w:val="22"/>
              </w:rPr>
              <w:tab/>
              <w:t>314</w:t>
            </w:r>
          </w:hyperlink>
        </w:p>
      </w:sdtContent>
    </w:sdt>
    <w:p>
      <w:pPr>
        <w:spacing w:after="0"/>
        <w:rPr>
          <w:sz w:val="22"/>
        </w:rPr>
        <w:sectPr>
          <w:pgSz w:w="12240" w:h="15840"/>
          <w:pgMar w:header="0" w:footer="975" w:top="1360" w:bottom="1220" w:left="1600" w:right="1580"/>
        </w:sectPr>
      </w:pPr>
    </w:p>
    <w:p>
      <w:pPr>
        <w:pStyle w:val="Heading1"/>
        <w:spacing w:before="54"/>
        <w:ind w:left="3779" w:right="3373" w:firstLine="0"/>
        <w:jc w:val="center"/>
      </w:pPr>
      <w:bookmarkStart w:name="_bookmark0" w:id="1"/>
      <w:bookmarkEnd w:id="1"/>
      <w:r>
        <w:rPr>
          <w:b w:val="0"/>
        </w:rPr>
      </w:r>
      <w:r>
        <w:rPr/>
        <w:t>INTRODUCCIÓN</w:t>
      </w:r>
    </w:p>
    <w:p>
      <w:pPr>
        <w:pStyle w:val="BodyText"/>
        <w:rPr>
          <w:b/>
        </w:rPr>
      </w:pPr>
    </w:p>
    <w:p>
      <w:pPr>
        <w:pStyle w:val="BodyText"/>
        <w:rPr>
          <w:b/>
        </w:rPr>
      </w:pPr>
    </w:p>
    <w:p>
      <w:pPr>
        <w:pStyle w:val="BodyText"/>
        <w:spacing w:line="360" w:lineRule="auto" w:before="161"/>
        <w:ind w:left="102" w:right="115"/>
        <w:jc w:val="both"/>
      </w:pPr>
      <w:r>
        <w:rPr/>
        <w:t>El Estado ha evolucionado hacia nuevas formas de gobierno que le permiten</w:t>
      </w:r>
      <w:r>
        <w:rPr>
          <w:spacing w:val="-31"/>
        </w:rPr>
        <w:t> </w:t>
      </w:r>
      <w:r>
        <w:rPr/>
        <w:t>hacer frente a las crecientes demandas sociales. De esta manera el autoritarismo, el secreto, el patrimonialismo y el uso de la fuerza pública sin fundamento se han venido reemplazando por los gobiernos democráticos, cuyos propósitos se fundamentan en la libertad, la elección de los gobernantes, el acceso a la información, la transparencia, la participación ciudadana, la colaboración del gobierno con la sociedad, la rendición de cuentas, el combate a la corrupción y el uso de tecnologías; así como también en la eficiencia gubernamental y la legitimidad, que son elementos fundamentales para mejorar la democracia de los estados.</w:t>
      </w:r>
    </w:p>
    <w:p>
      <w:pPr>
        <w:pStyle w:val="BodyText"/>
      </w:pPr>
    </w:p>
    <w:p>
      <w:pPr>
        <w:pStyle w:val="BodyText"/>
      </w:pPr>
    </w:p>
    <w:p>
      <w:pPr>
        <w:pStyle w:val="BodyText"/>
        <w:spacing w:line="360" w:lineRule="auto" w:before="187"/>
        <w:ind w:left="102" w:right="114"/>
        <w:jc w:val="both"/>
      </w:pPr>
      <w:r>
        <w:rPr/>
        <w:t>Para alcanzar los propósitos enunciados es preciso crear un Estado donde el territorio esté abierto para los habitantes nacionales y extranjeros, en el que exista una perfecta demarcación de los límites, no solo territoriales sino también conductuales, entre sus estados. Asimismo, es importante que el pueblo esté abierto a la crítica reflexiva y argumentada, que su participación, además de responsable, cuente con un alto grado de compromiso, para contribuir con el gobierno a crear una mejor sociedad. Un Estado con estas características, lejos de permitir que los gobernantes, apoyados en el secreto y la intimidad, continúen realizando actos de corrupción vinculados con la ausencia de rendición de cuentas y la impunidad, creará las medidas necesarias para que el ejercicio de los gobernantes sea eficaz, transparente y abierto al escrutinio público. Empero,</w:t>
      </w:r>
      <w:r>
        <w:rPr>
          <w:spacing w:val="-30"/>
        </w:rPr>
        <w:t> </w:t>
      </w:r>
      <w:r>
        <w:rPr/>
        <w:t>lograr dicho cambio no es tarea sencilla, ya que influyen una serie de variables políticas, sociales, culturales, religiosas, normativas, financieras, entre otras, que lo hacen complejo.</w:t>
      </w:r>
    </w:p>
    <w:p>
      <w:pPr>
        <w:spacing w:after="0" w:line="360" w:lineRule="auto"/>
        <w:jc w:val="both"/>
        <w:sectPr>
          <w:pgSz w:w="12240" w:h="15840"/>
          <w:pgMar w:header="0" w:footer="975" w:top="1360" w:bottom="1220" w:left="1600" w:right="1580"/>
        </w:sectPr>
      </w:pPr>
    </w:p>
    <w:p>
      <w:pPr>
        <w:pStyle w:val="BodyText"/>
        <w:spacing w:line="360" w:lineRule="auto" w:before="54"/>
        <w:ind w:left="102" w:right="114"/>
        <w:jc w:val="both"/>
      </w:pPr>
      <w:r>
        <w:rPr/>
        <w:t>Sin embargo, dado que el Estado se materializa por conducto del gobierno, resulta benéfico para los gobernantes utilizar un discurso en el que se hable de la construcción de un Gobierno Abierto (GA) y en particular, de la transparencia, el acceso a la información, la participación ciudadana, la rendición de cuentas y el combate a la corrupción. Estos temas han sido tan relevantes en la última década del siglo XXI, que incluso se han popularizado en los discursos de los gobernantes durante sus procesos de campaña, permitiéndoles ganar legitimidad entre sus seguidores. En esta investigación se hace referencia a algunos de esos elementos del</w:t>
      </w:r>
      <w:r>
        <w:rPr>
          <w:spacing w:val="-15"/>
        </w:rPr>
        <w:t> </w:t>
      </w:r>
      <w:r>
        <w:rPr/>
        <w:t>gobierno</w:t>
      </w:r>
      <w:r>
        <w:rPr>
          <w:spacing w:val="-17"/>
        </w:rPr>
        <w:t> </w:t>
      </w:r>
      <w:r>
        <w:rPr/>
        <w:t>democrático,</w:t>
      </w:r>
      <w:r>
        <w:rPr>
          <w:spacing w:val="-14"/>
        </w:rPr>
        <w:t> </w:t>
      </w:r>
      <w:r>
        <w:rPr/>
        <w:t>pero</w:t>
      </w:r>
      <w:r>
        <w:rPr>
          <w:spacing w:val="-17"/>
        </w:rPr>
        <w:t> </w:t>
      </w:r>
      <w:r>
        <w:rPr/>
        <w:t>su</w:t>
      </w:r>
      <w:r>
        <w:rPr>
          <w:spacing w:val="-14"/>
        </w:rPr>
        <w:t> </w:t>
      </w:r>
      <w:r>
        <w:rPr/>
        <w:t>enfoque</w:t>
      </w:r>
      <w:r>
        <w:rPr>
          <w:spacing w:val="-17"/>
        </w:rPr>
        <w:t> </w:t>
      </w:r>
      <w:r>
        <w:rPr/>
        <w:t>principal</w:t>
      </w:r>
      <w:r>
        <w:rPr>
          <w:spacing w:val="-15"/>
        </w:rPr>
        <w:t> </w:t>
      </w:r>
      <w:r>
        <w:rPr/>
        <w:t>está</w:t>
      </w:r>
      <w:r>
        <w:rPr>
          <w:spacing w:val="-14"/>
        </w:rPr>
        <w:t> </w:t>
      </w:r>
      <w:r>
        <w:rPr/>
        <w:t>referido</w:t>
      </w:r>
      <w:r>
        <w:rPr>
          <w:spacing w:val="-14"/>
        </w:rPr>
        <w:t> </w:t>
      </w:r>
      <w:r>
        <w:rPr/>
        <w:t>a</w:t>
      </w:r>
      <w:r>
        <w:rPr>
          <w:spacing w:val="-14"/>
        </w:rPr>
        <w:t> </w:t>
      </w:r>
      <w:r>
        <w:rPr/>
        <w:t>la</w:t>
      </w:r>
      <w:r>
        <w:rPr>
          <w:spacing w:val="-17"/>
        </w:rPr>
        <w:t> </w:t>
      </w:r>
      <w:r>
        <w:rPr/>
        <w:t>transparencia.</w:t>
      </w:r>
    </w:p>
    <w:p>
      <w:pPr>
        <w:pStyle w:val="BodyText"/>
      </w:pPr>
    </w:p>
    <w:p>
      <w:pPr>
        <w:pStyle w:val="BodyText"/>
      </w:pPr>
    </w:p>
    <w:p>
      <w:pPr>
        <w:pStyle w:val="BodyText"/>
        <w:spacing w:line="360" w:lineRule="auto" w:before="188"/>
        <w:ind w:left="102" w:right="114"/>
        <w:jc w:val="both"/>
      </w:pPr>
      <w:r>
        <w:rPr/>
        <w:t>Cabe</w:t>
      </w:r>
      <w:r>
        <w:rPr>
          <w:spacing w:val="-6"/>
        </w:rPr>
        <w:t> </w:t>
      </w:r>
      <w:r>
        <w:rPr/>
        <w:t>destacar</w:t>
      </w:r>
      <w:r>
        <w:rPr>
          <w:spacing w:val="-7"/>
        </w:rPr>
        <w:t> </w:t>
      </w:r>
      <w:r>
        <w:rPr/>
        <w:t>que,</w:t>
      </w:r>
      <w:r>
        <w:rPr>
          <w:spacing w:val="-9"/>
        </w:rPr>
        <w:t> </w:t>
      </w:r>
      <w:r>
        <w:rPr/>
        <w:t>en</w:t>
      </w:r>
      <w:r>
        <w:rPr>
          <w:spacing w:val="-8"/>
        </w:rPr>
        <w:t> </w:t>
      </w:r>
      <w:r>
        <w:rPr/>
        <w:t>este</w:t>
      </w:r>
      <w:r>
        <w:rPr>
          <w:spacing w:val="-6"/>
        </w:rPr>
        <w:t> </w:t>
      </w:r>
      <w:r>
        <w:rPr/>
        <w:t>contexto</w:t>
      </w:r>
      <w:r>
        <w:rPr>
          <w:spacing w:val="-6"/>
        </w:rPr>
        <w:t> </w:t>
      </w:r>
      <w:r>
        <w:rPr/>
        <w:t>histórico</w:t>
      </w:r>
      <w:r>
        <w:rPr>
          <w:spacing w:val="-6"/>
        </w:rPr>
        <w:t> </w:t>
      </w:r>
      <w:r>
        <w:rPr/>
        <w:t>de</w:t>
      </w:r>
      <w:r>
        <w:rPr>
          <w:spacing w:val="-6"/>
        </w:rPr>
        <w:t> </w:t>
      </w:r>
      <w:r>
        <w:rPr/>
        <w:t>cambios</w:t>
      </w:r>
      <w:r>
        <w:rPr>
          <w:spacing w:val="-6"/>
        </w:rPr>
        <w:t> </w:t>
      </w:r>
      <w:r>
        <w:rPr/>
        <w:t>estatales,</w:t>
      </w:r>
      <w:r>
        <w:rPr>
          <w:spacing w:val="-9"/>
        </w:rPr>
        <w:t> </w:t>
      </w:r>
      <w:r>
        <w:rPr/>
        <w:t>la</w:t>
      </w:r>
      <w:r>
        <w:rPr>
          <w:spacing w:val="-6"/>
        </w:rPr>
        <w:t> </w:t>
      </w:r>
      <w:r>
        <w:rPr/>
        <w:t>obra</w:t>
      </w:r>
      <w:r>
        <w:rPr>
          <w:spacing w:val="-9"/>
        </w:rPr>
        <w:t> </w:t>
      </w:r>
      <w:r>
        <w:rPr/>
        <w:t>de</w:t>
      </w:r>
      <w:r>
        <w:rPr>
          <w:spacing w:val="-7"/>
        </w:rPr>
        <w:t> </w:t>
      </w:r>
      <w:r>
        <w:rPr/>
        <w:t>Karl Popper, </w:t>
      </w:r>
      <w:r>
        <w:rPr>
          <w:i/>
        </w:rPr>
        <w:t>The open society and its enemies </w:t>
      </w:r>
      <w:r>
        <w:rPr/>
        <w:t>(1945), marcó una forma trascendental de concebir a la sociedad al clasificarla en abierta y</w:t>
      </w:r>
      <w:r>
        <w:rPr>
          <w:spacing w:val="-20"/>
        </w:rPr>
        <w:t> </w:t>
      </w:r>
      <w:r>
        <w:rPr/>
        <w:t>cerrada.</w:t>
      </w:r>
    </w:p>
    <w:p>
      <w:pPr>
        <w:pStyle w:val="BodyText"/>
      </w:pPr>
    </w:p>
    <w:p>
      <w:pPr>
        <w:spacing w:before="143"/>
        <w:ind w:left="668" w:right="823" w:firstLine="0"/>
        <w:jc w:val="both"/>
        <w:rPr>
          <w:sz w:val="18"/>
        </w:rPr>
      </w:pPr>
      <w:r>
        <w:rPr>
          <w:sz w:val="18"/>
        </w:rPr>
        <w:t>También ahora seguiremos llamando sociedad cerrada a la sociedad mágica, tribal o colectivista, y sociedad abierta a aquella en que los individuos deben adoptar decisiones personales (…) La sociedad cerrada se parece todavía al hato o tribu en que constituye una unidad</w:t>
      </w:r>
      <w:r>
        <w:rPr>
          <w:spacing w:val="-7"/>
          <w:sz w:val="18"/>
        </w:rPr>
        <w:t> </w:t>
      </w:r>
      <w:r>
        <w:rPr>
          <w:sz w:val="18"/>
        </w:rPr>
        <w:t>semiorgánica</w:t>
      </w:r>
      <w:r>
        <w:rPr>
          <w:spacing w:val="-7"/>
          <w:sz w:val="18"/>
        </w:rPr>
        <w:t> </w:t>
      </w:r>
      <w:r>
        <w:rPr>
          <w:sz w:val="18"/>
        </w:rPr>
        <w:t>cuyos</w:t>
      </w:r>
      <w:r>
        <w:rPr>
          <w:spacing w:val="-7"/>
          <w:sz w:val="18"/>
        </w:rPr>
        <w:t> </w:t>
      </w:r>
      <w:r>
        <w:rPr>
          <w:sz w:val="18"/>
        </w:rPr>
        <w:t>miembros</w:t>
      </w:r>
      <w:r>
        <w:rPr>
          <w:spacing w:val="-7"/>
          <w:sz w:val="18"/>
        </w:rPr>
        <w:t> </w:t>
      </w:r>
      <w:r>
        <w:rPr>
          <w:sz w:val="18"/>
        </w:rPr>
        <w:t>se</w:t>
      </w:r>
      <w:r>
        <w:rPr>
          <w:spacing w:val="-7"/>
          <w:sz w:val="18"/>
        </w:rPr>
        <w:t> </w:t>
      </w:r>
      <w:r>
        <w:rPr>
          <w:sz w:val="18"/>
        </w:rPr>
        <w:t>hallan</w:t>
      </w:r>
      <w:r>
        <w:rPr>
          <w:spacing w:val="-7"/>
          <w:sz w:val="18"/>
        </w:rPr>
        <w:t> </w:t>
      </w:r>
      <w:r>
        <w:rPr>
          <w:sz w:val="18"/>
        </w:rPr>
        <w:t>ligados</w:t>
      </w:r>
      <w:r>
        <w:rPr>
          <w:spacing w:val="-5"/>
          <w:sz w:val="18"/>
        </w:rPr>
        <w:t> </w:t>
      </w:r>
      <w:r>
        <w:rPr>
          <w:sz w:val="18"/>
        </w:rPr>
        <w:t>por</w:t>
      </w:r>
      <w:r>
        <w:rPr>
          <w:spacing w:val="-6"/>
          <w:sz w:val="18"/>
        </w:rPr>
        <w:t> </w:t>
      </w:r>
      <w:r>
        <w:rPr>
          <w:sz w:val="18"/>
        </w:rPr>
        <w:t>vínculos</w:t>
      </w:r>
      <w:r>
        <w:rPr>
          <w:spacing w:val="-7"/>
          <w:sz w:val="18"/>
        </w:rPr>
        <w:t> </w:t>
      </w:r>
      <w:r>
        <w:rPr>
          <w:sz w:val="18"/>
        </w:rPr>
        <w:t>semibiológicos,</w:t>
      </w:r>
      <w:r>
        <w:rPr>
          <w:spacing w:val="-7"/>
          <w:sz w:val="18"/>
        </w:rPr>
        <w:t> </w:t>
      </w:r>
      <w:r>
        <w:rPr>
          <w:sz w:val="18"/>
        </w:rPr>
        <w:t>a</w:t>
      </w:r>
      <w:r>
        <w:rPr>
          <w:spacing w:val="-7"/>
          <w:sz w:val="18"/>
        </w:rPr>
        <w:t> </w:t>
      </w:r>
      <w:r>
        <w:rPr>
          <w:sz w:val="18"/>
        </w:rPr>
        <w:t>saber,</w:t>
      </w:r>
      <w:r>
        <w:rPr>
          <w:spacing w:val="-6"/>
          <w:sz w:val="18"/>
        </w:rPr>
        <w:t> </w:t>
      </w:r>
      <w:r>
        <w:rPr>
          <w:sz w:val="18"/>
        </w:rPr>
        <w:t>el parentesco, la convivencia, la participación equitativa en los trabajos, peligros, alegrías y desgracias</w:t>
      </w:r>
      <w:r>
        <w:rPr>
          <w:spacing w:val="-9"/>
          <w:sz w:val="18"/>
        </w:rPr>
        <w:t> </w:t>
      </w:r>
      <w:r>
        <w:rPr>
          <w:sz w:val="18"/>
        </w:rPr>
        <w:t>comunes.</w:t>
      </w:r>
      <w:r>
        <w:rPr>
          <w:spacing w:val="-10"/>
          <w:sz w:val="18"/>
        </w:rPr>
        <w:t> </w:t>
      </w:r>
      <w:r>
        <w:rPr>
          <w:sz w:val="18"/>
        </w:rPr>
        <w:t>Se</w:t>
      </w:r>
      <w:r>
        <w:rPr>
          <w:spacing w:val="-7"/>
          <w:sz w:val="18"/>
        </w:rPr>
        <w:t> </w:t>
      </w:r>
      <w:r>
        <w:rPr>
          <w:sz w:val="18"/>
        </w:rPr>
        <w:t>trata</w:t>
      </w:r>
      <w:r>
        <w:rPr>
          <w:spacing w:val="-9"/>
          <w:sz w:val="18"/>
        </w:rPr>
        <w:t> </w:t>
      </w:r>
      <w:r>
        <w:rPr>
          <w:sz w:val="18"/>
        </w:rPr>
        <w:t>de</w:t>
      </w:r>
      <w:r>
        <w:rPr>
          <w:spacing w:val="-7"/>
          <w:sz w:val="18"/>
        </w:rPr>
        <w:t> </w:t>
      </w:r>
      <w:r>
        <w:rPr>
          <w:sz w:val="18"/>
        </w:rPr>
        <w:t>un</w:t>
      </w:r>
      <w:r>
        <w:rPr>
          <w:spacing w:val="-10"/>
          <w:sz w:val="18"/>
        </w:rPr>
        <w:t> </w:t>
      </w:r>
      <w:r>
        <w:rPr>
          <w:sz w:val="18"/>
        </w:rPr>
        <w:t>grupo</w:t>
      </w:r>
      <w:r>
        <w:rPr>
          <w:spacing w:val="-10"/>
          <w:sz w:val="18"/>
        </w:rPr>
        <w:t> </w:t>
      </w:r>
      <w:r>
        <w:rPr>
          <w:sz w:val="18"/>
        </w:rPr>
        <w:t>concreto</w:t>
      </w:r>
      <w:r>
        <w:rPr>
          <w:spacing w:val="-7"/>
          <w:sz w:val="18"/>
        </w:rPr>
        <w:t> </w:t>
      </w:r>
      <w:r>
        <w:rPr>
          <w:sz w:val="18"/>
        </w:rPr>
        <w:t>de</w:t>
      </w:r>
      <w:r>
        <w:rPr>
          <w:spacing w:val="-10"/>
          <w:sz w:val="18"/>
        </w:rPr>
        <w:t> </w:t>
      </w:r>
      <w:r>
        <w:rPr>
          <w:sz w:val="18"/>
        </w:rPr>
        <w:t>individuos</w:t>
      </w:r>
      <w:r>
        <w:rPr>
          <w:spacing w:val="-9"/>
          <w:sz w:val="18"/>
        </w:rPr>
        <w:t> </w:t>
      </w:r>
      <w:r>
        <w:rPr>
          <w:sz w:val="18"/>
        </w:rPr>
        <w:t>concretos,</w:t>
      </w:r>
      <w:r>
        <w:rPr>
          <w:spacing w:val="-8"/>
          <w:sz w:val="18"/>
        </w:rPr>
        <w:t> </w:t>
      </w:r>
      <w:r>
        <w:rPr>
          <w:sz w:val="18"/>
        </w:rPr>
        <w:t>relacionados</w:t>
      </w:r>
      <w:r>
        <w:rPr>
          <w:spacing w:val="-9"/>
          <w:sz w:val="18"/>
        </w:rPr>
        <w:t> </w:t>
      </w:r>
      <w:r>
        <w:rPr>
          <w:sz w:val="18"/>
        </w:rPr>
        <w:t>unos con otros, no tan solo por abstractos vínculos sociales tales como la división del trabajo y el trueque</w:t>
      </w:r>
      <w:r>
        <w:rPr>
          <w:spacing w:val="-9"/>
          <w:sz w:val="18"/>
        </w:rPr>
        <w:t> </w:t>
      </w:r>
      <w:r>
        <w:rPr>
          <w:sz w:val="18"/>
        </w:rPr>
        <w:t>de</w:t>
      </w:r>
      <w:r>
        <w:rPr>
          <w:spacing w:val="-9"/>
          <w:sz w:val="18"/>
        </w:rPr>
        <w:t> </w:t>
      </w:r>
      <w:r>
        <w:rPr>
          <w:sz w:val="18"/>
        </w:rPr>
        <w:t>bienes,</w:t>
      </w:r>
      <w:r>
        <w:rPr>
          <w:spacing w:val="-9"/>
          <w:sz w:val="18"/>
        </w:rPr>
        <w:t> </w:t>
      </w:r>
      <w:r>
        <w:rPr>
          <w:sz w:val="18"/>
        </w:rPr>
        <w:t>sino</w:t>
      </w:r>
      <w:r>
        <w:rPr>
          <w:spacing w:val="-9"/>
          <w:sz w:val="18"/>
        </w:rPr>
        <w:t> </w:t>
      </w:r>
      <w:r>
        <w:rPr>
          <w:sz w:val="18"/>
        </w:rPr>
        <w:t>por</w:t>
      </w:r>
      <w:r>
        <w:rPr>
          <w:spacing w:val="-9"/>
          <w:sz w:val="18"/>
        </w:rPr>
        <w:t> </w:t>
      </w:r>
      <w:r>
        <w:rPr>
          <w:sz w:val="18"/>
        </w:rPr>
        <w:t>relaciones</w:t>
      </w:r>
      <w:r>
        <w:rPr>
          <w:spacing w:val="-8"/>
          <w:sz w:val="18"/>
        </w:rPr>
        <w:t> </w:t>
      </w:r>
      <w:r>
        <w:rPr>
          <w:sz w:val="18"/>
        </w:rPr>
        <w:t>físicas</w:t>
      </w:r>
      <w:r>
        <w:rPr>
          <w:spacing w:val="-8"/>
          <w:sz w:val="18"/>
        </w:rPr>
        <w:t> </w:t>
      </w:r>
      <w:r>
        <w:rPr>
          <w:sz w:val="18"/>
        </w:rPr>
        <w:t>concretas,</w:t>
      </w:r>
      <w:r>
        <w:rPr>
          <w:spacing w:val="-9"/>
          <w:sz w:val="18"/>
        </w:rPr>
        <w:t> </w:t>
      </w:r>
      <w:r>
        <w:rPr>
          <w:sz w:val="18"/>
        </w:rPr>
        <w:t>tales</w:t>
      </w:r>
      <w:r>
        <w:rPr>
          <w:spacing w:val="-8"/>
          <w:sz w:val="18"/>
        </w:rPr>
        <w:t> </w:t>
      </w:r>
      <w:r>
        <w:rPr>
          <w:sz w:val="18"/>
        </w:rPr>
        <w:t>como</w:t>
      </w:r>
      <w:r>
        <w:rPr>
          <w:spacing w:val="-9"/>
          <w:sz w:val="18"/>
        </w:rPr>
        <w:t> </w:t>
      </w:r>
      <w:r>
        <w:rPr>
          <w:sz w:val="18"/>
        </w:rPr>
        <w:t>el</w:t>
      </w:r>
      <w:r>
        <w:rPr>
          <w:spacing w:val="-9"/>
          <w:sz w:val="18"/>
        </w:rPr>
        <w:t> </w:t>
      </w:r>
      <w:r>
        <w:rPr>
          <w:sz w:val="18"/>
        </w:rPr>
        <w:t>tacto,</w:t>
      </w:r>
      <w:r>
        <w:rPr>
          <w:spacing w:val="-9"/>
          <w:sz w:val="18"/>
        </w:rPr>
        <w:t> </w:t>
      </w:r>
      <w:r>
        <w:rPr>
          <w:sz w:val="18"/>
        </w:rPr>
        <w:t>el</w:t>
      </w:r>
      <w:r>
        <w:rPr>
          <w:spacing w:val="-9"/>
          <w:sz w:val="18"/>
        </w:rPr>
        <w:t> </w:t>
      </w:r>
      <w:r>
        <w:rPr>
          <w:sz w:val="18"/>
        </w:rPr>
        <w:t>olfato</w:t>
      </w:r>
      <w:r>
        <w:rPr>
          <w:spacing w:val="-8"/>
          <w:sz w:val="18"/>
        </w:rPr>
        <w:t> </w:t>
      </w:r>
      <w:r>
        <w:rPr>
          <w:sz w:val="18"/>
        </w:rPr>
        <w:t>y</w:t>
      </w:r>
      <w:r>
        <w:rPr>
          <w:spacing w:val="-11"/>
          <w:sz w:val="18"/>
        </w:rPr>
        <w:t> </w:t>
      </w:r>
      <w:r>
        <w:rPr>
          <w:sz w:val="18"/>
        </w:rPr>
        <w:t>las</w:t>
      </w:r>
      <w:r>
        <w:rPr>
          <w:spacing w:val="-8"/>
          <w:sz w:val="18"/>
        </w:rPr>
        <w:t> </w:t>
      </w:r>
      <w:r>
        <w:rPr>
          <w:sz w:val="18"/>
        </w:rPr>
        <w:t>vista. Y aunque una sociedad de este tipo pueda hallarse basada en la esclavitud, la presencia de esclavos no tiene por qué crear un problema fundamentalmente distinto por el presentado por los animales domésticos de este modo, que faltan aquellos aspectos que tornan imposible la aplicación exitosa de la teoría organicista a una sociedad abierta (Popper,</w:t>
      </w:r>
      <w:r>
        <w:rPr>
          <w:spacing w:val="-33"/>
          <w:sz w:val="18"/>
        </w:rPr>
        <w:t> </w:t>
      </w:r>
      <w:r>
        <w:rPr>
          <w:sz w:val="18"/>
        </w:rPr>
        <w:t>1945:268-269).</w:t>
      </w:r>
    </w:p>
    <w:p>
      <w:pPr>
        <w:pStyle w:val="BodyText"/>
        <w:rPr>
          <w:sz w:val="18"/>
        </w:rPr>
      </w:pPr>
    </w:p>
    <w:p>
      <w:pPr>
        <w:pStyle w:val="BodyText"/>
        <w:spacing w:before="11"/>
        <w:rPr>
          <w:sz w:val="17"/>
        </w:rPr>
      </w:pPr>
    </w:p>
    <w:p>
      <w:pPr>
        <w:pStyle w:val="BodyText"/>
        <w:spacing w:line="360" w:lineRule="auto"/>
        <w:ind w:left="102" w:right="116"/>
        <w:jc w:val="both"/>
      </w:pPr>
      <w:r>
        <w:rPr/>
        <w:t>En</w:t>
      </w:r>
      <w:r>
        <w:rPr>
          <w:spacing w:val="-7"/>
        </w:rPr>
        <w:t> </w:t>
      </w:r>
      <w:r>
        <w:rPr/>
        <w:t>dicha</w:t>
      </w:r>
      <w:r>
        <w:rPr>
          <w:spacing w:val="-7"/>
        </w:rPr>
        <w:t> </w:t>
      </w:r>
      <w:r>
        <w:rPr/>
        <w:t>obra</w:t>
      </w:r>
      <w:r>
        <w:rPr>
          <w:spacing w:val="-10"/>
        </w:rPr>
        <w:t> </w:t>
      </w:r>
      <w:r>
        <w:rPr/>
        <w:t>Popper</w:t>
      </w:r>
      <w:r>
        <w:rPr>
          <w:spacing w:val="-11"/>
        </w:rPr>
        <w:t> </w:t>
      </w:r>
      <w:r>
        <w:rPr/>
        <w:t>señala</w:t>
      </w:r>
      <w:r>
        <w:rPr>
          <w:spacing w:val="-8"/>
        </w:rPr>
        <w:t> </w:t>
      </w:r>
      <w:r>
        <w:rPr/>
        <w:t>que</w:t>
      </w:r>
      <w:r>
        <w:rPr>
          <w:spacing w:val="-10"/>
        </w:rPr>
        <w:t> </w:t>
      </w:r>
      <w:r>
        <w:rPr/>
        <w:t>el</w:t>
      </w:r>
      <w:r>
        <w:rPr>
          <w:spacing w:val="-9"/>
        </w:rPr>
        <w:t> </w:t>
      </w:r>
      <w:r>
        <w:rPr/>
        <w:t>camino</w:t>
      </w:r>
      <w:r>
        <w:rPr>
          <w:spacing w:val="-9"/>
        </w:rPr>
        <w:t> </w:t>
      </w:r>
      <w:r>
        <w:rPr/>
        <w:t>hacia</w:t>
      </w:r>
      <w:r>
        <w:rPr>
          <w:spacing w:val="-8"/>
        </w:rPr>
        <w:t> </w:t>
      </w:r>
      <w:r>
        <w:rPr/>
        <w:t>la</w:t>
      </w:r>
      <w:r>
        <w:rPr>
          <w:spacing w:val="-8"/>
        </w:rPr>
        <w:t> </w:t>
      </w:r>
      <w:r>
        <w:rPr/>
        <w:t>sociedad</w:t>
      </w:r>
      <w:r>
        <w:rPr>
          <w:spacing w:val="-10"/>
        </w:rPr>
        <w:t> </w:t>
      </w:r>
      <w:r>
        <w:rPr/>
        <w:t>abierta</w:t>
      </w:r>
      <w:r>
        <w:rPr>
          <w:spacing w:val="-7"/>
        </w:rPr>
        <w:t> </w:t>
      </w:r>
      <w:r>
        <w:rPr/>
        <w:t>es</w:t>
      </w:r>
      <w:r>
        <w:rPr>
          <w:spacing w:val="-8"/>
        </w:rPr>
        <w:t> </w:t>
      </w:r>
      <w:r>
        <w:rPr/>
        <w:t>un</w:t>
      </w:r>
      <w:r>
        <w:rPr>
          <w:spacing w:val="-7"/>
        </w:rPr>
        <w:t> </w:t>
      </w:r>
      <w:r>
        <w:rPr/>
        <w:t>ideal</w:t>
      </w:r>
      <w:r>
        <w:rPr>
          <w:spacing w:val="-9"/>
        </w:rPr>
        <w:t> </w:t>
      </w:r>
      <w:r>
        <w:rPr/>
        <w:t>de la</w:t>
      </w:r>
      <w:r>
        <w:rPr>
          <w:spacing w:val="-7"/>
        </w:rPr>
        <w:t> </w:t>
      </w:r>
      <w:r>
        <w:rPr/>
        <w:t>razón</w:t>
      </w:r>
      <w:r>
        <w:rPr>
          <w:spacing w:val="-7"/>
        </w:rPr>
        <w:t> </w:t>
      </w:r>
      <w:r>
        <w:rPr/>
        <w:t>para</w:t>
      </w:r>
      <w:r>
        <w:rPr>
          <w:spacing w:val="-8"/>
        </w:rPr>
        <w:t> </w:t>
      </w:r>
      <w:r>
        <w:rPr/>
        <w:t>vencer</w:t>
      </w:r>
      <w:r>
        <w:rPr>
          <w:spacing w:val="-8"/>
        </w:rPr>
        <w:t> </w:t>
      </w:r>
      <w:r>
        <w:rPr/>
        <w:t>la</w:t>
      </w:r>
      <w:r>
        <w:rPr>
          <w:spacing w:val="-7"/>
        </w:rPr>
        <w:t> </w:t>
      </w:r>
      <w:r>
        <w:rPr/>
        <w:t>tendencia</w:t>
      </w:r>
      <w:r>
        <w:rPr>
          <w:spacing w:val="-10"/>
        </w:rPr>
        <w:t> </w:t>
      </w:r>
      <w:r>
        <w:rPr/>
        <w:t>a</w:t>
      </w:r>
      <w:r>
        <w:rPr>
          <w:spacing w:val="-7"/>
        </w:rPr>
        <w:t> </w:t>
      </w:r>
      <w:r>
        <w:rPr/>
        <w:t>la</w:t>
      </w:r>
      <w:r>
        <w:rPr>
          <w:spacing w:val="-7"/>
        </w:rPr>
        <w:t> </w:t>
      </w:r>
      <w:r>
        <w:rPr/>
        <w:t>sociedad</w:t>
      </w:r>
      <w:r>
        <w:rPr>
          <w:spacing w:val="-7"/>
        </w:rPr>
        <w:t> </w:t>
      </w:r>
      <w:r>
        <w:rPr/>
        <w:t>cerrada;</w:t>
      </w:r>
      <w:r>
        <w:rPr>
          <w:spacing w:val="-4"/>
        </w:rPr>
        <w:t> </w:t>
      </w:r>
      <w:r>
        <w:rPr/>
        <w:t>indica</w:t>
      </w:r>
      <w:r>
        <w:rPr>
          <w:spacing w:val="-7"/>
        </w:rPr>
        <w:t> </w:t>
      </w:r>
      <w:r>
        <w:rPr/>
        <w:t>que</w:t>
      </w:r>
      <w:r>
        <w:rPr>
          <w:spacing w:val="-7"/>
        </w:rPr>
        <w:t> </w:t>
      </w:r>
      <w:r>
        <w:rPr/>
        <w:t>las</w:t>
      </w:r>
      <w:r>
        <w:rPr>
          <w:spacing w:val="-8"/>
        </w:rPr>
        <w:t> </w:t>
      </w:r>
      <w:r>
        <w:rPr/>
        <w:t>instituciones no dejan lugar a la responsabilidad personal y que los tabúes establecen cierta forma</w:t>
      </w:r>
      <w:r>
        <w:rPr>
          <w:spacing w:val="-15"/>
        </w:rPr>
        <w:t> </w:t>
      </w:r>
      <w:r>
        <w:rPr/>
        <w:t>de</w:t>
      </w:r>
      <w:r>
        <w:rPr>
          <w:spacing w:val="-13"/>
        </w:rPr>
        <w:t> </w:t>
      </w:r>
      <w:r>
        <w:rPr/>
        <w:t>responsabilidad</w:t>
      </w:r>
      <w:r>
        <w:rPr>
          <w:spacing w:val="-13"/>
        </w:rPr>
        <w:t> </w:t>
      </w:r>
      <w:r>
        <w:rPr/>
        <w:t>colectiva</w:t>
      </w:r>
      <w:r>
        <w:rPr>
          <w:spacing w:val="-13"/>
        </w:rPr>
        <w:t> </w:t>
      </w:r>
      <w:r>
        <w:rPr/>
        <w:t>que</w:t>
      </w:r>
      <w:r>
        <w:rPr>
          <w:spacing w:val="-13"/>
        </w:rPr>
        <w:t> </w:t>
      </w:r>
      <w:r>
        <w:rPr/>
        <w:t>restringe</w:t>
      </w:r>
      <w:r>
        <w:rPr>
          <w:spacing w:val="-13"/>
        </w:rPr>
        <w:t> </w:t>
      </w:r>
      <w:r>
        <w:rPr/>
        <w:t>la</w:t>
      </w:r>
      <w:r>
        <w:rPr>
          <w:spacing w:val="-13"/>
        </w:rPr>
        <w:t> </w:t>
      </w:r>
      <w:r>
        <w:rPr/>
        <w:t>capacidad</w:t>
      </w:r>
      <w:r>
        <w:rPr>
          <w:spacing w:val="-15"/>
        </w:rPr>
        <w:t> </w:t>
      </w:r>
      <w:r>
        <w:rPr/>
        <w:t>de</w:t>
      </w:r>
      <w:r>
        <w:rPr>
          <w:spacing w:val="-13"/>
        </w:rPr>
        <w:t> </w:t>
      </w:r>
      <w:r>
        <w:rPr/>
        <w:t>reflexión</w:t>
      </w:r>
      <w:r>
        <w:rPr>
          <w:spacing w:val="-13"/>
        </w:rPr>
        <w:t> </w:t>
      </w:r>
      <w:r>
        <w:rPr/>
        <w:t>personal. Por</w:t>
      </w:r>
      <w:r>
        <w:rPr>
          <w:spacing w:val="-10"/>
        </w:rPr>
        <w:t> </w:t>
      </w:r>
      <w:r>
        <w:rPr/>
        <w:t>el</w:t>
      </w:r>
      <w:r>
        <w:rPr>
          <w:spacing w:val="-10"/>
        </w:rPr>
        <w:t> </w:t>
      </w:r>
      <w:r>
        <w:rPr/>
        <w:t>contrario,</w:t>
      </w:r>
      <w:r>
        <w:rPr>
          <w:spacing w:val="-10"/>
        </w:rPr>
        <w:t> </w:t>
      </w:r>
      <w:r>
        <w:rPr/>
        <w:t>en</w:t>
      </w:r>
      <w:r>
        <w:rPr>
          <w:spacing w:val="-9"/>
        </w:rPr>
        <w:t> </w:t>
      </w:r>
      <w:r>
        <w:rPr/>
        <w:t>la</w:t>
      </w:r>
      <w:r>
        <w:rPr>
          <w:spacing w:val="-10"/>
        </w:rPr>
        <w:t> </w:t>
      </w:r>
      <w:r>
        <w:rPr/>
        <w:t>sociedad</w:t>
      </w:r>
      <w:r>
        <w:rPr>
          <w:spacing w:val="-9"/>
        </w:rPr>
        <w:t> </w:t>
      </w:r>
      <w:r>
        <w:rPr/>
        <w:t>abierta</w:t>
      </w:r>
      <w:r>
        <w:rPr>
          <w:spacing w:val="-9"/>
        </w:rPr>
        <w:t> </w:t>
      </w:r>
      <w:r>
        <w:rPr/>
        <w:t>las</w:t>
      </w:r>
      <w:r>
        <w:rPr>
          <w:spacing w:val="-10"/>
        </w:rPr>
        <w:t> </w:t>
      </w:r>
      <w:r>
        <w:rPr/>
        <w:t>decisiones</w:t>
      </w:r>
      <w:r>
        <w:rPr>
          <w:spacing w:val="-10"/>
        </w:rPr>
        <w:t> </w:t>
      </w:r>
      <w:r>
        <w:rPr/>
        <w:t>personales</w:t>
      </w:r>
      <w:r>
        <w:rPr>
          <w:spacing w:val="-10"/>
        </w:rPr>
        <w:t> </w:t>
      </w:r>
      <w:r>
        <w:rPr/>
        <w:t>pueden</w:t>
      </w:r>
      <w:r>
        <w:rPr>
          <w:spacing w:val="-9"/>
        </w:rPr>
        <w:t> </w:t>
      </w:r>
      <w:r>
        <w:rPr/>
        <w:t>alterar</w:t>
      </w:r>
      <w:r>
        <w:rPr>
          <w:spacing w:val="-10"/>
        </w:rPr>
        <w:t> </w:t>
      </w:r>
      <w:r>
        <w:rPr/>
        <w:t>los tabúes incluso de las leyes, la libertad de hacer una reflexión personalizada sobre los asuntos públicos. Por ende, quienes están al frente de esa sociedad buscarán evitar</w:t>
      </w:r>
      <w:r>
        <w:rPr>
          <w:spacing w:val="-16"/>
        </w:rPr>
        <w:t> </w:t>
      </w:r>
      <w:r>
        <w:rPr/>
        <w:t>que</w:t>
      </w:r>
      <w:r>
        <w:rPr>
          <w:spacing w:val="-14"/>
        </w:rPr>
        <w:t> </w:t>
      </w:r>
      <w:r>
        <w:rPr/>
        <w:t>les</w:t>
      </w:r>
      <w:r>
        <w:rPr>
          <w:spacing w:val="-14"/>
        </w:rPr>
        <w:t> </w:t>
      </w:r>
      <w:r>
        <w:rPr/>
        <w:t>quiten</w:t>
      </w:r>
      <w:r>
        <w:rPr>
          <w:spacing w:val="-17"/>
        </w:rPr>
        <w:t> </w:t>
      </w:r>
      <w:r>
        <w:rPr/>
        <w:t>el</w:t>
      </w:r>
      <w:r>
        <w:rPr>
          <w:spacing w:val="-18"/>
        </w:rPr>
        <w:t> </w:t>
      </w:r>
      <w:r>
        <w:rPr/>
        <w:t>poder</w:t>
      </w:r>
      <w:r>
        <w:rPr>
          <w:spacing w:val="-16"/>
        </w:rPr>
        <w:t> </w:t>
      </w:r>
      <w:r>
        <w:rPr/>
        <w:t>que</w:t>
      </w:r>
      <w:r>
        <w:rPr>
          <w:spacing w:val="-14"/>
        </w:rPr>
        <w:t> </w:t>
      </w:r>
      <w:r>
        <w:rPr/>
        <w:t>han</w:t>
      </w:r>
      <w:r>
        <w:rPr>
          <w:spacing w:val="-17"/>
        </w:rPr>
        <w:t> </w:t>
      </w:r>
      <w:r>
        <w:rPr/>
        <w:t>obtenido</w:t>
      </w:r>
      <w:r>
        <w:rPr>
          <w:spacing w:val="-14"/>
        </w:rPr>
        <w:t> </w:t>
      </w:r>
      <w:r>
        <w:rPr/>
        <w:t>a</w:t>
      </w:r>
      <w:r>
        <w:rPr>
          <w:spacing w:val="-14"/>
        </w:rPr>
        <w:t> </w:t>
      </w:r>
      <w:r>
        <w:rPr/>
        <w:t>través</w:t>
      </w:r>
      <w:r>
        <w:rPr>
          <w:spacing w:val="-15"/>
        </w:rPr>
        <w:t> </w:t>
      </w:r>
      <w:r>
        <w:rPr/>
        <w:t>de</w:t>
      </w:r>
      <w:r>
        <w:rPr>
          <w:spacing w:val="-14"/>
        </w:rPr>
        <w:t> </w:t>
      </w:r>
      <w:r>
        <w:rPr/>
        <w:t>la</w:t>
      </w:r>
      <w:r>
        <w:rPr>
          <w:spacing w:val="-17"/>
        </w:rPr>
        <w:t> </w:t>
      </w:r>
      <w:r>
        <w:rPr/>
        <w:t>misma</w:t>
      </w:r>
      <w:r>
        <w:rPr>
          <w:spacing w:val="-17"/>
        </w:rPr>
        <w:t> </w:t>
      </w:r>
      <w:r>
        <w:rPr/>
        <w:t>(Popper,</w:t>
      </w:r>
      <w:r>
        <w:rPr>
          <w:spacing w:val="-15"/>
        </w:rPr>
        <w:t> </w:t>
      </w:r>
      <w:r>
        <w:rPr/>
        <w:t>1945).</w:t>
      </w:r>
    </w:p>
    <w:p>
      <w:pPr>
        <w:spacing w:after="0" w:line="360" w:lineRule="auto"/>
        <w:jc w:val="both"/>
        <w:sectPr>
          <w:pgSz w:w="12240" w:h="15840"/>
          <w:pgMar w:header="0" w:footer="975" w:top="1360" w:bottom="1220" w:left="1600" w:right="1580"/>
        </w:sectPr>
      </w:pPr>
    </w:p>
    <w:p>
      <w:pPr>
        <w:pStyle w:val="BodyText"/>
        <w:spacing w:line="360" w:lineRule="auto" w:before="54"/>
        <w:ind w:left="102" w:right="117"/>
        <w:jc w:val="both"/>
      </w:pPr>
      <w:r>
        <w:rPr/>
        <w:t>La presente investigación pretende hacer una analogía con la obra de Popper al proponer</w:t>
      </w:r>
      <w:r>
        <w:rPr>
          <w:spacing w:val="-18"/>
        </w:rPr>
        <w:t> </w:t>
      </w:r>
      <w:r>
        <w:rPr/>
        <w:t>que</w:t>
      </w:r>
      <w:r>
        <w:rPr>
          <w:spacing w:val="-15"/>
        </w:rPr>
        <w:t> </w:t>
      </w:r>
      <w:r>
        <w:rPr/>
        <w:t>el</w:t>
      </w:r>
      <w:r>
        <w:rPr>
          <w:spacing w:val="-18"/>
        </w:rPr>
        <w:t> </w:t>
      </w:r>
      <w:r>
        <w:rPr/>
        <w:t>GA</w:t>
      </w:r>
      <w:r>
        <w:rPr>
          <w:spacing w:val="-17"/>
        </w:rPr>
        <w:t> </w:t>
      </w:r>
      <w:r>
        <w:rPr/>
        <w:t>en</w:t>
      </w:r>
      <w:r>
        <w:rPr>
          <w:spacing w:val="-19"/>
        </w:rPr>
        <w:t> </w:t>
      </w:r>
      <w:r>
        <w:rPr/>
        <w:t>México</w:t>
      </w:r>
      <w:r>
        <w:rPr>
          <w:spacing w:val="-15"/>
        </w:rPr>
        <w:t> </w:t>
      </w:r>
      <w:r>
        <w:rPr/>
        <w:t>tiene</w:t>
      </w:r>
      <w:r>
        <w:rPr>
          <w:spacing w:val="-17"/>
        </w:rPr>
        <w:t> </w:t>
      </w:r>
      <w:r>
        <w:rPr/>
        <w:t>ciertas</w:t>
      </w:r>
      <w:r>
        <w:rPr>
          <w:spacing w:val="-17"/>
        </w:rPr>
        <w:t> </w:t>
      </w:r>
      <w:r>
        <w:rPr/>
        <w:t>características</w:t>
      </w:r>
      <w:r>
        <w:rPr>
          <w:spacing w:val="-17"/>
        </w:rPr>
        <w:t> </w:t>
      </w:r>
      <w:r>
        <w:rPr/>
        <w:t>de</w:t>
      </w:r>
      <w:r>
        <w:rPr>
          <w:spacing w:val="-17"/>
        </w:rPr>
        <w:t> </w:t>
      </w:r>
      <w:r>
        <w:rPr/>
        <w:t>una</w:t>
      </w:r>
      <w:r>
        <w:rPr>
          <w:spacing w:val="-17"/>
        </w:rPr>
        <w:t> </w:t>
      </w:r>
      <w:r>
        <w:rPr/>
        <w:t>sociedad</w:t>
      </w:r>
      <w:r>
        <w:rPr>
          <w:spacing w:val="-17"/>
        </w:rPr>
        <w:t> </w:t>
      </w:r>
      <w:r>
        <w:rPr/>
        <w:t>cerrada, en la que uno de los principales enemigos de su apertura son los propios gobernantes, quienes no han generado las condiciones propicias para</w:t>
      </w:r>
      <w:r>
        <w:rPr>
          <w:spacing w:val="-27"/>
        </w:rPr>
        <w:t> </w:t>
      </w:r>
      <w:r>
        <w:rPr/>
        <w:t>lograrlo.</w:t>
      </w:r>
    </w:p>
    <w:p>
      <w:pPr>
        <w:pStyle w:val="BodyText"/>
      </w:pPr>
    </w:p>
    <w:p>
      <w:pPr>
        <w:pStyle w:val="BodyText"/>
        <w:spacing w:line="360" w:lineRule="auto" w:before="142"/>
        <w:ind w:left="102" w:right="115"/>
        <w:jc w:val="both"/>
      </w:pPr>
      <w:r>
        <w:rPr/>
        <w:t>En este tenor cabe resaltar que, aunque el GA en México ha sido creado por los gobernantes para justificar sus discursos, no necesariamente corresponde con la realidad</w:t>
      </w:r>
      <w:r>
        <w:rPr>
          <w:spacing w:val="-8"/>
        </w:rPr>
        <w:t> </w:t>
      </w:r>
      <w:r>
        <w:rPr/>
        <w:t>que</w:t>
      </w:r>
      <w:r>
        <w:rPr>
          <w:spacing w:val="-8"/>
        </w:rPr>
        <w:t> </w:t>
      </w:r>
      <w:r>
        <w:rPr/>
        <w:t>vive</w:t>
      </w:r>
      <w:r>
        <w:rPr>
          <w:spacing w:val="-8"/>
        </w:rPr>
        <w:t> </w:t>
      </w:r>
      <w:r>
        <w:rPr/>
        <w:t>la</w:t>
      </w:r>
      <w:r>
        <w:rPr>
          <w:spacing w:val="-8"/>
        </w:rPr>
        <w:t> </w:t>
      </w:r>
      <w:r>
        <w:rPr/>
        <w:t>sociedad</w:t>
      </w:r>
      <w:r>
        <w:rPr>
          <w:spacing w:val="-10"/>
        </w:rPr>
        <w:t> </w:t>
      </w:r>
      <w:r>
        <w:rPr/>
        <w:t>mexicana.</w:t>
      </w:r>
      <w:r>
        <w:rPr>
          <w:spacing w:val="-10"/>
        </w:rPr>
        <w:t> </w:t>
      </w:r>
      <w:r>
        <w:rPr/>
        <w:t>Es</w:t>
      </w:r>
      <w:r>
        <w:rPr>
          <w:spacing w:val="-8"/>
        </w:rPr>
        <w:t> </w:t>
      </w:r>
      <w:r>
        <w:rPr/>
        <w:t>cierto</w:t>
      </w:r>
      <w:r>
        <w:rPr>
          <w:spacing w:val="-8"/>
        </w:rPr>
        <w:t> </w:t>
      </w:r>
      <w:r>
        <w:rPr/>
        <w:t>que</w:t>
      </w:r>
      <w:r>
        <w:rPr>
          <w:spacing w:val="-8"/>
        </w:rPr>
        <w:t> </w:t>
      </w:r>
      <w:r>
        <w:rPr/>
        <w:t>dentro</w:t>
      </w:r>
      <w:r>
        <w:rPr>
          <w:spacing w:val="-10"/>
        </w:rPr>
        <w:t> </w:t>
      </w:r>
      <w:r>
        <w:rPr/>
        <w:t>de</w:t>
      </w:r>
      <w:r>
        <w:rPr>
          <w:spacing w:val="-8"/>
        </w:rPr>
        <w:t> </w:t>
      </w:r>
      <w:r>
        <w:rPr/>
        <w:t>la</w:t>
      </w:r>
      <w:r>
        <w:rPr>
          <w:spacing w:val="-10"/>
        </w:rPr>
        <w:t> </w:t>
      </w:r>
      <w:r>
        <w:rPr/>
        <w:t>estructura</w:t>
      </w:r>
      <w:r>
        <w:rPr>
          <w:spacing w:val="-10"/>
        </w:rPr>
        <w:t> </w:t>
      </w:r>
      <w:r>
        <w:rPr/>
        <w:t>formal del gobierno ya se contempla el derecho de acceso a la información a nivel constitucional. De igual modo se aprobaron leyes federales y estatales en materia de transparencia y acceso a la información. También se crearon dependencias federales, estatales y municipales responsables de promover y garantizar el cumplimiento de la transparencia. Se ha brindado capacitación a los funcionarios públicos, se han realizado diversas prácticas como concursos de tesis sobre transparencia y se crearon páginas web para difundir la información pública. No obstante,</w:t>
      </w:r>
      <w:r>
        <w:rPr>
          <w:spacing w:val="-12"/>
        </w:rPr>
        <w:t> </w:t>
      </w:r>
      <w:r>
        <w:rPr/>
        <w:t>en</w:t>
      </w:r>
      <w:r>
        <w:rPr>
          <w:spacing w:val="-12"/>
        </w:rPr>
        <w:t> </w:t>
      </w:r>
      <w:r>
        <w:rPr/>
        <w:t>la</w:t>
      </w:r>
      <w:r>
        <w:rPr>
          <w:spacing w:val="-12"/>
        </w:rPr>
        <w:t> </w:t>
      </w:r>
      <w:r>
        <w:rPr/>
        <w:t>práctica</w:t>
      </w:r>
      <w:r>
        <w:rPr>
          <w:spacing w:val="-14"/>
        </w:rPr>
        <w:t> </w:t>
      </w:r>
      <w:r>
        <w:rPr/>
        <w:t>estas</w:t>
      </w:r>
      <w:r>
        <w:rPr>
          <w:spacing w:val="-13"/>
        </w:rPr>
        <w:t> </w:t>
      </w:r>
      <w:r>
        <w:rPr/>
        <w:t>acciones</w:t>
      </w:r>
      <w:r>
        <w:rPr>
          <w:spacing w:val="-13"/>
        </w:rPr>
        <w:t> </w:t>
      </w:r>
      <w:r>
        <w:rPr/>
        <w:t>son</w:t>
      </w:r>
      <w:r>
        <w:rPr>
          <w:spacing w:val="-14"/>
        </w:rPr>
        <w:t> </w:t>
      </w:r>
      <w:r>
        <w:rPr/>
        <w:t>medidas</w:t>
      </w:r>
      <w:r>
        <w:rPr>
          <w:spacing w:val="-13"/>
        </w:rPr>
        <w:t> </w:t>
      </w:r>
      <w:r>
        <w:rPr/>
        <w:t>que</w:t>
      </w:r>
      <w:r>
        <w:rPr>
          <w:spacing w:val="-12"/>
        </w:rPr>
        <w:t> </w:t>
      </w:r>
      <w:r>
        <w:rPr/>
        <w:t>resultan</w:t>
      </w:r>
      <w:r>
        <w:rPr>
          <w:spacing w:val="-12"/>
        </w:rPr>
        <w:t> </w:t>
      </w:r>
      <w:r>
        <w:rPr/>
        <w:t>insuficientes,</w:t>
      </w:r>
      <w:r>
        <w:rPr>
          <w:spacing w:val="-10"/>
        </w:rPr>
        <w:t> </w:t>
      </w:r>
      <w:r>
        <w:rPr/>
        <w:t>toda vez que la importancia que se le ha atribuido a la transparencia se limita a la publicación de información incompleta en las páginas</w:t>
      </w:r>
      <w:r>
        <w:rPr>
          <w:spacing w:val="-16"/>
        </w:rPr>
        <w:t> </w:t>
      </w:r>
      <w:r>
        <w:rPr/>
        <w:t>web.</w:t>
      </w:r>
    </w:p>
    <w:p>
      <w:pPr>
        <w:pStyle w:val="BodyText"/>
      </w:pPr>
    </w:p>
    <w:p>
      <w:pPr>
        <w:pStyle w:val="BodyText"/>
        <w:spacing w:line="360" w:lineRule="auto" w:before="142"/>
        <w:ind w:left="102" w:right="116"/>
        <w:jc w:val="both"/>
      </w:pPr>
      <w:r>
        <w:rPr/>
        <w:t>Lo anterior se debe a varias razones, entre ellas a que existe un escaso cumplimiento de la ley, se han incrementado los índices de corrupción, no se fomenta la participación de la sociedad, se carece de un control y manejo de archivos a nivel municipal, no se cuenta con recursos suficientes ni personal especializado</w:t>
      </w:r>
      <w:r>
        <w:rPr>
          <w:spacing w:val="-16"/>
        </w:rPr>
        <w:t> </w:t>
      </w:r>
      <w:r>
        <w:rPr/>
        <w:t>para</w:t>
      </w:r>
      <w:r>
        <w:rPr>
          <w:spacing w:val="-17"/>
        </w:rPr>
        <w:t> </w:t>
      </w:r>
      <w:r>
        <w:rPr/>
        <w:t>operar</w:t>
      </w:r>
      <w:r>
        <w:rPr>
          <w:spacing w:val="-15"/>
        </w:rPr>
        <w:t> </w:t>
      </w:r>
      <w:r>
        <w:rPr/>
        <w:t>las</w:t>
      </w:r>
      <w:r>
        <w:rPr>
          <w:spacing w:val="-14"/>
        </w:rPr>
        <w:t> </w:t>
      </w:r>
      <w:r>
        <w:rPr/>
        <w:t>actividades</w:t>
      </w:r>
      <w:r>
        <w:rPr>
          <w:spacing w:val="-15"/>
        </w:rPr>
        <w:t> </w:t>
      </w:r>
      <w:r>
        <w:rPr/>
        <w:t>correspondientes</w:t>
      </w:r>
      <w:r>
        <w:rPr>
          <w:spacing w:val="-17"/>
        </w:rPr>
        <w:t> </w:t>
      </w:r>
      <w:r>
        <w:rPr/>
        <w:t>y</w:t>
      </w:r>
      <w:r>
        <w:rPr>
          <w:spacing w:val="-17"/>
        </w:rPr>
        <w:t> </w:t>
      </w:r>
      <w:r>
        <w:rPr/>
        <w:t>se</w:t>
      </w:r>
      <w:r>
        <w:rPr>
          <w:spacing w:val="-14"/>
        </w:rPr>
        <w:t> </w:t>
      </w:r>
      <w:r>
        <w:rPr/>
        <w:t>tiene</w:t>
      </w:r>
      <w:r>
        <w:rPr>
          <w:spacing w:val="-14"/>
        </w:rPr>
        <w:t> </w:t>
      </w:r>
      <w:r>
        <w:rPr/>
        <w:t>poca</w:t>
      </w:r>
      <w:r>
        <w:rPr>
          <w:spacing w:val="-16"/>
        </w:rPr>
        <w:t> </w:t>
      </w:r>
      <w:r>
        <w:rPr/>
        <w:t>voluntad política para cambiar los sistemas de</w:t>
      </w:r>
      <w:r>
        <w:rPr>
          <w:spacing w:val="-18"/>
        </w:rPr>
        <w:t> </w:t>
      </w:r>
      <w:r>
        <w:rPr/>
        <w:t>opacidad.</w:t>
      </w:r>
    </w:p>
    <w:p>
      <w:pPr>
        <w:pStyle w:val="BodyText"/>
      </w:pPr>
    </w:p>
    <w:p>
      <w:pPr>
        <w:pStyle w:val="BodyText"/>
        <w:spacing w:line="360" w:lineRule="auto" w:before="142"/>
        <w:ind w:left="102" w:right="116"/>
        <w:jc w:val="both"/>
      </w:pPr>
      <w:r>
        <w:rPr/>
        <w:t>Estas prácticas hacen que en la estructura informal del gobierno predomine la opacidad, el secreto, la corrupción y el tráfico de influencias. Aunado a ello, los medios de comunicación, los partidos de oposición y ciudadanos crean un cuadro de</w:t>
      </w:r>
      <w:r>
        <w:rPr>
          <w:spacing w:val="-8"/>
        </w:rPr>
        <w:t> </w:t>
      </w:r>
      <w:r>
        <w:rPr/>
        <w:t>costumbres</w:t>
      </w:r>
      <w:r>
        <w:rPr>
          <w:spacing w:val="-9"/>
        </w:rPr>
        <w:t> </w:t>
      </w:r>
      <w:r>
        <w:rPr/>
        <w:t>y</w:t>
      </w:r>
      <w:r>
        <w:rPr>
          <w:spacing w:val="-12"/>
        </w:rPr>
        <w:t> </w:t>
      </w:r>
      <w:r>
        <w:rPr/>
        <w:t>tradiciones</w:t>
      </w:r>
      <w:r>
        <w:rPr>
          <w:spacing w:val="-9"/>
        </w:rPr>
        <w:t> </w:t>
      </w:r>
      <w:r>
        <w:rPr/>
        <w:t>que</w:t>
      </w:r>
      <w:r>
        <w:rPr>
          <w:spacing w:val="-8"/>
        </w:rPr>
        <w:t> </w:t>
      </w:r>
      <w:r>
        <w:rPr/>
        <w:t>limitan</w:t>
      </w:r>
      <w:r>
        <w:rPr>
          <w:spacing w:val="-8"/>
        </w:rPr>
        <w:t> </w:t>
      </w:r>
      <w:r>
        <w:rPr/>
        <w:t>la</w:t>
      </w:r>
      <w:r>
        <w:rPr>
          <w:spacing w:val="-9"/>
        </w:rPr>
        <w:t> </w:t>
      </w:r>
      <w:r>
        <w:rPr/>
        <w:t>creación</w:t>
      </w:r>
      <w:r>
        <w:rPr>
          <w:spacing w:val="-8"/>
        </w:rPr>
        <w:t> </w:t>
      </w:r>
      <w:r>
        <w:rPr/>
        <w:t>de</w:t>
      </w:r>
      <w:r>
        <w:rPr>
          <w:spacing w:val="-8"/>
        </w:rPr>
        <w:t> </w:t>
      </w:r>
      <w:r>
        <w:rPr/>
        <w:t>una</w:t>
      </w:r>
      <w:r>
        <w:rPr>
          <w:spacing w:val="-8"/>
        </w:rPr>
        <w:t> </w:t>
      </w:r>
      <w:r>
        <w:rPr/>
        <w:t>cultura</w:t>
      </w:r>
      <w:r>
        <w:rPr>
          <w:spacing w:val="-9"/>
        </w:rPr>
        <w:t> </w:t>
      </w:r>
      <w:r>
        <w:rPr/>
        <w:t>social</w:t>
      </w:r>
      <w:r>
        <w:rPr>
          <w:spacing w:val="-9"/>
        </w:rPr>
        <w:t> </w:t>
      </w:r>
      <w:r>
        <w:rPr/>
        <w:t>que</w:t>
      </w:r>
      <w:r>
        <w:rPr>
          <w:spacing w:val="-8"/>
        </w:rPr>
        <w:t> </w:t>
      </w:r>
      <w:r>
        <w:rPr/>
        <w:t>facilite</w:t>
      </w:r>
    </w:p>
    <w:p>
      <w:pPr>
        <w:spacing w:after="0" w:line="360" w:lineRule="auto"/>
        <w:jc w:val="both"/>
        <w:sectPr>
          <w:pgSz w:w="12240" w:h="15840"/>
          <w:pgMar w:header="0" w:footer="975" w:top="1360" w:bottom="1220" w:left="1600" w:right="1580"/>
        </w:sectPr>
      </w:pPr>
    </w:p>
    <w:p>
      <w:pPr>
        <w:pStyle w:val="BodyText"/>
        <w:spacing w:line="362" w:lineRule="auto" w:before="54"/>
        <w:ind w:left="122" w:right="118"/>
        <w:jc w:val="both"/>
      </w:pPr>
      <w:r>
        <w:rPr/>
        <w:t>la apertura del gobierno en los asuntos públicos, ya que regularmente se utiliza la información para criticar y desprestigiar a los gobernantes.</w:t>
      </w:r>
    </w:p>
    <w:p>
      <w:pPr>
        <w:pStyle w:val="BodyText"/>
      </w:pPr>
    </w:p>
    <w:p>
      <w:pPr>
        <w:pStyle w:val="BodyText"/>
        <w:spacing w:line="360" w:lineRule="auto" w:before="139"/>
        <w:ind w:left="122" w:right="115"/>
        <w:jc w:val="both"/>
      </w:pPr>
      <w:r>
        <w:rPr/>
        <w:t>Ejemplo de lo anterior son las contradicciones en las que cae el Estado de México, ya que, a pesar de contar con leyes en materia de transparencia, protección de datos personales y responsabilidades de los servidores públicos, así como con un órgano estatal promotor de la transparencia y Comités y Unidades de Información en los gobiernos municipales, subsiste un alto grado de corrupción en la entidad. Pese</w:t>
      </w:r>
      <w:r>
        <w:rPr>
          <w:spacing w:val="-11"/>
        </w:rPr>
        <w:t> </w:t>
      </w:r>
      <w:r>
        <w:rPr/>
        <w:t>a</w:t>
      </w:r>
      <w:r>
        <w:rPr>
          <w:spacing w:val="-8"/>
        </w:rPr>
        <w:t> </w:t>
      </w:r>
      <w:r>
        <w:rPr/>
        <w:t>ello,</w:t>
      </w:r>
      <w:r>
        <w:rPr>
          <w:spacing w:val="-11"/>
        </w:rPr>
        <w:t> </w:t>
      </w:r>
      <w:r>
        <w:rPr/>
        <w:t>el</w:t>
      </w:r>
      <w:r>
        <w:rPr>
          <w:spacing w:val="-8"/>
        </w:rPr>
        <w:t> </w:t>
      </w:r>
      <w:r>
        <w:rPr/>
        <w:t>Gobernador</w:t>
      </w:r>
      <w:r>
        <w:rPr>
          <w:spacing w:val="-10"/>
        </w:rPr>
        <w:t> </w:t>
      </w:r>
      <w:r>
        <w:rPr/>
        <w:t>Constitucional</w:t>
      </w:r>
      <w:r>
        <w:rPr>
          <w:spacing w:val="-10"/>
        </w:rPr>
        <w:t> </w:t>
      </w:r>
      <w:r>
        <w:rPr/>
        <w:t>del</w:t>
      </w:r>
      <w:r>
        <w:rPr>
          <w:spacing w:val="-9"/>
        </w:rPr>
        <w:t> </w:t>
      </w:r>
      <w:r>
        <w:rPr/>
        <w:t>Estado</w:t>
      </w:r>
      <w:r>
        <w:rPr>
          <w:spacing w:val="-8"/>
        </w:rPr>
        <w:t> </w:t>
      </w:r>
      <w:r>
        <w:rPr/>
        <w:t>de</w:t>
      </w:r>
      <w:r>
        <w:rPr>
          <w:spacing w:val="-8"/>
        </w:rPr>
        <w:t> </w:t>
      </w:r>
      <w:r>
        <w:rPr/>
        <w:t>México,</w:t>
      </w:r>
      <w:r>
        <w:rPr>
          <w:spacing w:val="-9"/>
        </w:rPr>
        <w:t> </w:t>
      </w:r>
      <w:r>
        <w:rPr/>
        <w:t>el</w:t>
      </w:r>
      <w:r>
        <w:rPr>
          <w:spacing w:val="-12"/>
        </w:rPr>
        <w:t> </w:t>
      </w:r>
      <w:r>
        <w:rPr/>
        <w:t>Dr.</w:t>
      </w:r>
      <w:r>
        <w:rPr>
          <w:spacing w:val="-9"/>
        </w:rPr>
        <w:t> </w:t>
      </w:r>
      <w:r>
        <w:rPr/>
        <w:t>en</w:t>
      </w:r>
      <w:r>
        <w:rPr>
          <w:spacing w:val="-8"/>
        </w:rPr>
        <w:t> </w:t>
      </w:r>
      <w:r>
        <w:rPr/>
        <w:t>D.</w:t>
      </w:r>
      <w:r>
        <w:rPr>
          <w:spacing w:val="-9"/>
        </w:rPr>
        <w:t> </w:t>
      </w:r>
      <w:r>
        <w:rPr/>
        <w:t>Eruviel Ávila Villegas, afirmó en su segundo Informe Anual de Actividades que la transparencia abre las actividades y la información gubernamental al escrutinio público</w:t>
      </w:r>
      <w:r>
        <w:rPr>
          <w:i/>
        </w:rPr>
        <w:t>. Por lo que en el Estado de México </w:t>
      </w:r>
      <w:r>
        <w:rPr/>
        <w:t>vivimos en una sociedad democrática y moderna</w:t>
      </w:r>
      <w:r>
        <w:rPr>
          <w:spacing w:val="-15"/>
        </w:rPr>
        <w:t> </w:t>
      </w:r>
      <w:r>
        <w:rPr/>
        <w:t>en</w:t>
      </w:r>
      <w:r>
        <w:rPr>
          <w:spacing w:val="-13"/>
        </w:rPr>
        <w:t> </w:t>
      </w:r>
      <w:r>
        <w:rPr/>
        <w:t>la</w:t>
      </w:r>
      <w:r>
        <w:rPr>
          <w:spacing w:val="-15"/>
        </w:rPr>
        <w:t> </w:t>
      </w:r>
      <w:r>
        <w:rPr/>
        <w:t>que</w:t>
      </w:r>
      <w:r>
        <w:rPr>
          <w:spacing w:val="-15"/>
        </w:rPr>
        <w:t> </w:t>
      </w:r>
      <w:r>
        <w:rPr/>
        <w:t>el</w:t>
      </w:r>
      <w:r>
        <w:rPr>
          <w:spacing w:val="-17"/>
        </w:rPr>
        <w:t> </w:t>
      </w:r>
      <w:r>
        <w:rPr/>
        <w:t>Estado</w:t>
      </w:r>
      <w:r>
        <w:rPr>
          <w:spacing w:val="-15"/>
        </w:rPr>
        <w:t> </w:t>
      </w:r>
      <w:r>
        <w:rPr/>
        <w:t>se</w:t>
      </w:r>
      <w:r>
        <w:rPr>
          <w:spacing w:val="-15"/>
        </w:rPr>
        <w:t> </w:t>
      </w:r>
      <w:r>
        <w:rPr/>
        <w:t>sujeta</w:t>
      </w:r>
      <w:r>
        <w:rPr>
          <w:spacing w:val="-15"/>
        </w:rPr>
        <w:t> </w:t>
      </w:r>
      <w:r>
        <w:rPr/>
        <w:t>a</w:t>
      </w:r>
      <w:r>
        <w:rPr>
          <w:spacing w:val="-15"/>
        </w:rPr>
        <w:t> </w:t>
      </w:r>
      <w:r>
        <w:rPr/>
        <w:t>la</w:t>
      </w:r>
      <w:r>
        <w:rPr>
          <w:spacing w:val="-16"/>
        </w:rPr>
        <w:t> </w:t>
      </w:r>
      <w:r>
        <w:rPr/>
        <w:t>obligación</w:t>
      </w:r>
      <w:r>
        <w:rPr>
          <w:spacing w:val="-13"/>
        </w:rPr>
        <w:t> </w:t>
      </w:r>
      <w:r>
        <w:rPr/>
        <w:t>de</w:t>
      </w:r>
      <w:r>
        <w:rPr>
          <w:spacing w:val="-13"/>
        </w:rPr>
        <w:t> </w:t>
      </w:r>
      <w:r>
        <w:rPr/>
        <w:t>reportar,</w:t>
      </w:r>
      <w:r>
        <w:rPr>
          <w:spacing w:val="-17"/>
        </w:rPr>
        <w:t> </w:t>
      </w:r>
      <w:r>
        <w:rPr/>
        <w:t>explicar</w:t>
      </w:r>
      <w:r>
        <w:rPr>
          <w:spacing w:val="-15"/>
        </w:rPr>
        <w:t> </w:t>
      </w:r>
      <w:r>
        <w:rPr/>
        <w:t>y</w:t>
      </w:r>
      <w:r>
        <w:rPr>
          <w:spacing w:val="-16"/>
        </w:rPr>
        <w:t> </w:t>
      </w:r>
      <w:r>
        <w:rPr/>
        <w:t>justificar su administración a la ciudadanía, a través de la transparencia, la fiscalización y la rendición de cuentas (Ávila,</w:t>
      </w:r>
      <w:r>
        <w:rPr>
          <w:spacing w:val="-11"/>
        </w:rPr>
        <w:t> </w:t>
      </w:r>
      <w:r>
        <w:rPr/>
        <w:t>2013).</w:t>
      </w:r>
    </w:p>
    <w:p>
      <w:pPr>
        <w:pStyle w:val="BodyText"/>
      </w:pPr>
    </w:p>
    <w:p>
      <w:pPr>
        <w:pStyle w:val="BodyText"/>
      </w:pPr>
    </w:p>
    <w:p>
      <w:pPr>
        <w:pStyle w:val="BodyText"/>
        <w:spacing w:line="360" w:lineRule="auto" w:before="187"/>
        <w:ind w:left="122" w:right="116"/>
        <w:jc w:val="both"/>
      </w:pPr>
      <w:r>
        <w:rPr/>
        <w:t>De este modo, el gobernador Eruviel resaltó en su discurso que la entidad mexiquense ocupó la primera posición en el Índice de Transparencia y Disponibilidad de la Información Fiscal de las Entidades federativas del país en 2013, pero se ocultó que, de acuerdo al Índice Nacional de Corrupción y Buen Gobierno</w:t>
      </w:r>
      <w:r>
        <w:rPr>
          <w:position w:val="8"/>
          <w:sz w:val="16"/>
        </w:rPr>
        <w:t>1</w:t>
      </w:r>
      <w:r>
        <w:rPr/>
        <w:t>, fue después del entonces D.F., la entidad federativa más corrupta del país, al ser ubicada en el lugar 31 de 32. De igual manera, en lo que respecta al cumplimiento de la ley de transparencia, el discurso refleja que en 2014 ocho</w:t>
      </w:r>
      <w:r>
        <w:rPr>
          <w:position w:val="8"/>
          <w:sz w:val="16"/>
        </w:rPr>
        <w:t>2 </w:t>
      </w:r>
      <w:r>
        <w:rPr/>
        <w:t>de los 125 municipios que conforman el Estado de México cuentan con porcentajes superiores al 90% de cumplimiento de la ley, situación que los posiciona entre los más transparentes del país. En este caso también se ocultó la información, debido a que no fueron evaluados los demás municipios. Asimismo, el discurso no mencionó</w:t>
      </w:r>
      <w:r>
        <w:rPr>
          <w:spacing w:val="-12"/>
        </w:rPr>
        <w:t> </w:t>
      </w:r>
      <w:r>
        <w:rPr/>
        <w:t>tampoco</w:t>
      </w:r>
      <w:r>
        <w:rPr>
          <w:spacing w:val="-10"/>
        </w:rPr>
        <w:t> </w:t>
      </w:r>
      <w:r>
        <w:rPr/>
        <w:t>que</w:t>
      </w:r>
      <w:r>
        <w:rPr>
          <w:spacing w:val="-11"/>
        </w:rPr>
        <w:t> </w:t>
      </w:r>
      <w:r>
        <w:rPr/>
        <w:t>en</w:t>
      </w:r>
      <w:r>
        <w:rPr>
          <w:spacing w:val="-12"/>
        </w:rPr>
        <w:t> </w:t>
      </w:r>
      <w:r>
        <w:rPr/>
        <w:t>el</w:t>
      </w:r>
      <w:r>
        <w:rPr>
          <w:spacing w:val="-14"/>
        </w:rPr>
        <w:t> </w:t>
      </w:r>
      <w:r>
        <w:rPr/>
        <w:t>año</w:t>
      </w:r>
      <w:r>
        <w:rPr>
          <w:spacing w:val="-13"/>
        </w:rPr>
        <w:t> </w:t>
      </w:r>
      <w:r>
        <w:rPr/>
        <w:t>2012</w:t>
      </w:r>
      <w:r>
        <w:rPr>
          <w:spacing w:val="-12"/>
        </w:rPr>
        <w:t> </w:t>
      </w:r>
      <w:r>
        <w:rPr/>
        <w:t>hubo</w:t>
      </w:r>
      <w:r>
        <w:rPr>
          <w:spacing w:val="-13"/>
        </w:rPr>
        <w:t> </w:t>
      </w:r>
      <w:r>
        <w:rPr/>
        <w:t>60</w:t>
      </w:r>
      <w:r>
        <w:rPr>
          <w:spacing w:val="-13"/>
        </w:rPr>
        <w:t> </w:t>
      </w:r>
      <w:r>
        <w:rPr/>
        <w:t>municipios</w:t>
      </w:r>
      <w:r>
        <w:rPr>
          <w:spacing w:val="-9"/>
        </w:rPr>
        <w:t> </w:t>
      </w:r>
      <w:r>
        <w:rPr/>
        <w:t>con</w:t>
      </w:r>
      <w:r>
        <w:rPr>
          <w:spacing w:val="-11"/>
        </w:rPr>
        <w:t> </w:t>
      </w:r>
      <w:r>
        <w:rPr/>
        <w:t>0%</w:t>
      </w:r>
      <w:r>
        <w:rPr>
          <w:spacing w:val="-16"/>
        </w:rPr>
        <w:t> </w:t>
      </w:r>
      <w:r>
        <w:rPr/>
        <w:t>de</w:t>
      </w:r>
      <w:r>
        <w:rPr>
          <w:spacing w:val="-11"/>
        </w:rPr>
        <w:t> </w:t>
      </w:r>
      <w:r>
        <w:rPr/>
        <w:t>cumplimiento</w:t>
      </w:r>
    </w:p>
    <w:p>
      <w:pPr>
        <w:pStyle w:val="BodyText"/>
        <w:rPr>
          <w:sz w:val="20"/>
        </w:rPr>
      </w:pPr>
    </w:p>
    <w:p>
      <w:pPr>
        <w:pStyle w:val="BodyText"/>
        <w:spacing w:before="2"/>
        <w:rPr>
          <w:sz w:val="15"/>
        </w:rPr>
      </w:pPr>
      <w:r>
        <w:rPr/>
        <w:pict>
          <v:line style="position:absolute;mso-position-horizontal-relative:page;mso-position-vertical-relative:paragraph;z-index:1072;mso-wrap-distance-left:0;mso-wrap-distance-right:0" from="85.103996pt,11.054902pt" to="229.123996pt,11.054902pt" stroked="true" strokeweight=".71997pt" strokecolor="#000000">
            <w10:wrap type="topAndBottom"/>
          </v:line>
        </w:pict>
      </w:r>
    </w:p>
    <w:p>
      <w:pPr>
        <w:spacing w:before="64"/>
        <w:ind w:left="122" w:right="337" w:firstLine="0"/>
        <w:jc w:val="left"/>
        <w:rPr>
          <w:rFonts w:ascii="Times New Roman" w:hAnsi="Times New Roman"/>
          <w:sz w:val="16"/>
        </w:rPr>
      </w:pPr>
      <w:r>
        <w:rPr>
          <w:rFonts w:ascii="Times New Roman" w:hAnsi="Times New Roman"/>
          <w:position w:val="6"/>
          <w:sz w:val="10"/>
        </w:rPr>
        <w:t>1 </w:t>
      </w:r>
      <w:r>
        <w:rPr>
          <w:rFonts w:ascii="Times New Roman" w:hAnsi="Times New Roman"/>
          <w:sz w:val="16"/>
        </w:rPr>
        <w:t>Índice Nacional de Corrupción y Buen Gobierno 2012. Disponibles en </w:t>
      </w:r>
      <w:hyperlink r:id="rId8">
        <w:r>
          <w:rPr>
            <w:rFonts w:ascii="Times New Roman" w:hAnsi="Times New Roman"/>
            <w:color w:val="0462C1"/>
            <w:sz w:val="16"/>
            <w:u w:val="single" w:color="0462C1"/>
          </w:rPr>
          <w:t>http://www.tm.org.mx/indice-nacional-de-corrupcion-y-buen-</w:t>
        </w:r>
      </w:hyperlink>
      <w:r>
        <w:rPr>
          <w:rFonts w:ascii="Times New Roman" w:hAnsi="Times New Roman"/>
          <w:color w:val="0462C1"/>
          <w:sz w:val="16"/>
          <w:u w:val="single" w:color="0462C1"/>
        </w:rPr>
        <w:t> </w:t>
      </w:r>
      <w:hyperlink r:id="rId8">
        <w:r>
          <w:rPr>
            <w:rFonts w:ascii="Times New Roman" w:hAnsi="Times New Roman"/>
            <w:color w:val="0462C1"/>
            <w:sz w:val="16"/>
            <w:u w:val="single" w:color="0462C1"/>
          </w:rPr>
          <w:t>gobierno-primera-serie-historica-de-corrupcion-en-mexico/ </w:t>
        </w:r>
      </w:hyperlink>
      <w:r>
        <w:rPr>
          <w:rFonts w:ascii="Times New Roman" w:hAnsi="Times New Roman"/>
          <w:sz w:val="16"/>
        </w:rPr>
        <w:t>[Consultado el 17-09-2013}</w:t>
      </w:r>
    </w:p>
    <w:p>
      <w:pPr>
        <w:spacing w:before="5"/>
        <w:ind w:left="122" w:right="337" w:firstLine="0"/>
        <w:jc w:val="left"/>
        <w:rPr>
          <w:rFonts w:ascii="Times New Roman"/>
          <w:sz w:val="14"/>
        </w:rPr>
      </w:pPr>
      <w:r>
        <w:rPr>
          <w:rFonts w:ascii="Calibri"/>
          <w:position w:val="4"/>
          <w:sz w:val="9"/>
        </w:rPr>
        <w:t>2 </w:t>
      </w:r>
      <w:r>
        <w:rPr>
          <w:rFonts w:ascii="Times New Roman"/>
          <w:sz w:val="14"/>
        </w:rPr>
        <w:t>Toluca. Metepec, Zinacantepec, Tenango del Valle, Calimaya, Huixquilucan, Chalco y Atizapan de Zaragoza.</w:t>
      </w:r>
    </w:p>
    <w:p>
      <w:pPr>
        <w:spacing w:after="0"/>
        <w:jc w:val="left"/>
        <w:rPr>
          <w:rFonts w:ascii="Times New Roman"/>
          <w:sz w:val="14"/>
        </w:rPr>
        <w:sectPr>
          <w:pgSz w:w="12240" w:h="15840"/>
          <w:pgMar w:header="0" w:footer="975" w:top="1360" w:bottom="1220" w:left="1580" w:right="1580"/>
        </w:sectPr>
      </w:pPr>
    </w:p>
    <w:p>
      <w:pPr>
        <w:pStyle w:val="BodyText"/>
        <w:spacing w:line="360" w:lineRule="auto" w:before="54"/>
        <w:ind w:left="102" w:right="115"/>
        <w:jc w:val="both"/>
      </w:pPr>
      <w:r>
        <w:rPr/>
        <w:t>de la ley, 31 municipios estuvieron entre 0 y 17%, 11 más se ubicaron entre 17 y 31%, otros 11 oscilaron entre 31 y 45 %; 3 más entre 45 y 59 %, mientras que el resto se encontró entre 60 y 90%.</w:t>
      </w:r>
    </w:p>
    <w:p>
      <w:pPr>
        <w:pStyle w:val="BodyText"/>
      </w:pPr>
    </w:p>
    <w:p>
      <w:pPr>
        <w:pStyle w:val="BodyText"/>
      </w:pPr>
    </w:p>
    <w:p>
      <w:pPr>
        <w:pStyle w:val="BodyText"/>
        <w:spacing w:line="360" w:lineRule="auto" w:before="187"/>
        <w:ind w:left="102" w:right="115"/>
        <w:jc w:val="both"/>
      </w:pPr>
      <w:r>
        <w:rPr/>
        <w:t>Por tal motivo es preciso destacar que </w:t>
      </w:r>
      <w:r>
        <w:rPr>
          <w:spacing w:val="2"/>
        </w:rPr>
        <w:t>el </w:t>
      </w:r>
      <w:r>
        <w:rPr/>
        <w:t>argumento guía de esta investigación sostiene que el GA manejado por el gobierno del Estado de México es más un discurso que una práctica gubernamental, cuyos premios de transparencia son utilizados como una fachada que le permite resaltar sus logros y ocultar u omitir la realidad desfavorable, fachada que prevalece debido a la poca participación de los ciudadanos</w:t>
      </w:r>
      <w:r>
        <w:rPr>
          <w:spacing w:val="-8"/>
        </w:rPr>
        <w:t> </w:t>
      </w:r>
      <w:r>
        <w:rPr/>
        <w:t>en</w:t>
      </w:r>
      <w:r>
        <w:rPr>
          <w:spacing w:val="-5"/>
        </w:rPr>
        <w:t> </w:t>
      </w:r>
      <w:r>
        <w:rPr/>
        <w:t>los</w:t>
      </w:r>
      <w:r>
        <w:rPr>
          <w:spacing w:val="-7"/>
        </w:rPr>
        <w:t> </w:t>
      </w:r>
      <w:r>
        <w:rPr/>
        <w:t>asuntos</w:t>
      </w:r>
      <w:r>
        <w:rPr>
          <w:spacing w:val="-8"/>
        </w:rPr>
        <w:t> </w:t>
      </w:r>
      <w:r>
        <w:rPr/>
        <w:t>públicos,</w:t>
      </w:r>
      <w:r>
        <w:rPr>
          <w:spacing w:val="-5"/>
        </w:rPr>
        <w:t> </w:t>
      </w:r>
      <w:r>
        <w:rPr/>
        <w:t>la</w:t>
      </w:r>
      <w:r>
        <w:rPr>
          <w:spacing w:val="-10"/>
        </w:rPr>
        <w:t> </w:t>
      </w:r>
      <w:r>
        <w:rPr/>
        <w:t>falta</w:t>
      </w:r>
      <w:r>
        <w:rPr>
          <w:spacing w:val="-5"/>
        </w:rPr>
        <w:t> </w:t>
      </w:r>
      <w:r>
        <w:rPr/>
        <w:t>de</w:t>
      </w:r>
      <w:r>
        <w:rPr>
          <w:spacing w:val="-5"/>
        </w:rPr>
        <w:t> </w:t>
      </w:r>
      <w:r>
        <w:rPr/>
        <w:t>voluntad</w:t>
      </w:r>
      <w:r>
        <w:rPr>
          <w:spacing w:val="1"/>
        </w:rPr>
        <w:t> </w:t>
      </w:r>
      <w:r>
        <w:rPr/>
        <w:t>política</w:t>
      </w:r>
      <w:r>
        <w:rPr>
          <w:spacing w:val="-5"/>
        </w:rPr>
        <w:t> </w:t>
      </w:r>
      <w:r>
        <w:rPr/>
        <w:t>de</w:t>
      </w:r>
      <w:r>
        <w:rPr>
          <w:spacing w:val="-7"/>
        </w:rPr>
        <w:t> </w:t>
      </w:r>
      <w:r>
        <w:rPr/>
        <w:t>los</w:t>
      </w:r>
      <w:r>
        <w:rPr>
          <w:spacing w:val="-5"/>
        </w:rPr>
        <w:t> </w:t>
      </w:r>
      <w:r>
        <w:rPr/>
        <w:t>gobernantes para cambiar el sistema de opacidad, la poca precisión de la normativa correspondiente y la incapacidad organizacional de los gobiernos municipales para cumplir con los principios de GA como práctica administrativa cotidiana. En este sentido, el gobierno más que pugnar por una sociedad abierta, que contribuya a la reflexión</w:t>
      </w:r>
      <w:r>
        <w:rPr>
          <w:spacing w:val="-10"/>
        </w:rPr>
        <w:t> </w:t>
      </w:r>
      <w:r>
        <w:rPr/>
        <w:t>personal</w:t>
      </w:r>
      <w:r>
        <w:rPr>
          <w:spacing w:val="-12"/>
        </w:rPr>
        <w:t> </w:t>
      </w:r>
      <w:r>
        <w:rPr/>
        <w:t>para</w:t>
      </w:r>
      <w:r>
        <w:rPr>
          <w:spacing w:val="-12"/>
        </w:rPr>
        <w:t> </w:t>
      </w:r>
      <w:r>
        <w:rPr/>
        <w:t>alterar</w:t>
      </w:r>
      <w:r>
        <w:rPr>
          <w:spacing w:val="-12"/>
        </w:rPr>
        <w:t> </w:t>
      </w:r>
      <w:r>
        <w:rPr/>
        <w:t>las</w:t>
      </w:r>
      <w:r>
        <w:rPr>
          <w:spacing w:val="-11"/>
        </w:rPr>
        <w:t> </w:t>
      </w:r>
      <w:r>
        <w:rPr/>
        <w:t>leyes</w:t>
      </w:r>
      <w:r>
        <w:rPr>
          <w:spacing w:val="-9"/>
        </w:rPr>
        <w:t> </w:t>
      </w:r>
      <w:r>
        <w:rPr/>
        <w:t>y</w:t>
      </w:r>
      <w:r>
        <w:rPr>
          <w:spacing w:val="-14"/>
        </w:rPr>
        <w:t> </w:t>
      </w:r>
      <w:r>
        <w:rPr/>
        <w:t>los</w:t>
      </w:r>
      <w:r>
        <w:rPr>
          <w:spacing w:val="-11"/>
        </w:rPr>
        <w:t> </w:t>
      </w:r>
      <w:r>
        <w:rPr/>
        <w:t>tabúes</w:t>
      </w:r>
      <w:r>
        <w:rPr>
          <w:spacing w:val="-12"/>
        </w:rPr>
        <w:t> </w:t>
      </w:r>
      <w:r>
        <w:rPr/>
        <w:t>que</w:t>
      </w:r>
      <w:r>
        <w:rPr>
          <w:spacing w:val="-11"/>
        </w:rPr>
        <w:t> </w:t>
      </w:r>
      <w:r>
        <w:rPr/>
        <w:t>giran</w:t>
      </w:r>
      <w:r>
        <w:rPr>
          <w:spacing w:val="-11"/>
        </w:rPr>
        <w:t> </w:t>
      </w:r>
      <w:r>
        <w:rPr/>
        <w:t>en</w:t>
      </w:r>
      <w:r>
        <w:rPr>
          <w:spacing w:val="-11"/>
        </w:rPr>
        <w:t> </w:t>
      </w:r>
      <w:r>
        <w:rPr/>
        <w:t>torno</w:t>
      </w:r>
      <w:r>
        <w:rPr>
          <w:spacing w:val="-11"/>
        </w:rPr>
        <w:t> </w:t>
      </w:r>
      <w:r>
        <w:rPr/>
        <w:t>a</w:t>
      </w:r>
      <w:r>
        <w:rPr>
          <w:spacing w:val="-11"/>
        </w:rPr>
        <w:t> </w:t>
      </w:r>
      <w:r>
        <w:rPr/>
        <w:t>la</w:t>
      </w:r>
      <w:r>
        <w:rPr>
          <w:spacing w:val="-11"/>
        </w:rPr>
        <w:t> </w:t>
      </w:r>
      <w:r>
        <w:rPr/>
        <w:t>apertura de las prácticas gubernamentales, promueve prácticas propias de una sociedad cerrada, al permitir la presencia de cierta trivialidad y tabúes que merman en la sociedad, ocasionando que la responsabilidad colectiva limite la capacidad individual de</w:t>
      </w:r>
      <w:r>
        <w:rPr>
          <w:spacing w:val="-10"/>
        </w:rPr>
        <w:t> </w:t>
      </w:r>
      <w:r>
        <w:rPr/>
        <w:t>razonamiento.</w:t>
      </w:r>
    </w:p>
    <w:p>
      <w:pPr>
        <w:pStyle w:val="BodyText"/>
      </w:pPr>
    </w:p>
    <w:p>
      <w:pPr>
        <w:pStyle w:val="BodyText"/>
        <w:spacing w:before="3"/>
        <w:rPr>
          <w:sz w:val="26"/>
        </w:rPr>
      </w:pPr>
    </w:p>
    <w:p>
      <w:pPr>
        <w:pStyle w:val="BodyText"/>
        <w:spacing w:line="360" w:lineRule="auto" w:before="1"/>
        <w:ind w:left="102" w:right="116"/>
        <w:jc w:val="both"/>
      </w:pPr>
      <w:r>
        <w:rPr/>
        <w:t>Como todo tema novedoso, el GA presenta ciertas limitantes para su definición, la bibliografía</w:t>
      </w:r>
      <w:r>
        <w:rPr>
          <w:spacing w:val="-12"/>
        </w:rPr>
        <w:t> </w:t>
      </w:r>
      <w:r>
        <w:rPr/>
        <w:t>tiene</w:t>
      </w:r>
      <w:r>
        <w:rPr>
          <w:spacing w:val="-15"/>
        </w:rPr>
        <w:t> </w:t>
      </w:r>
      <w:r>
        <w:rPr/>
        <w:t>forma</w:t>
      </w:r>
      <w:r>
        <w:rPr>
          <w:spacing w:val="-14"/>
        </w:rPr>
        <w:t> </w:t>
      </w:r>
      <w:r>
        <w:rPr/>
        <w:t>de</w:t>
      </w:r>
      <w:r>
        <w:rPr>
          <w:spacing w:val="-14"/>
        </w:rPr>
        <w:t> </w:t>
      </w:r>
      <w:r>
        <w:rPr/>
        <w:t>tipo</w:t>
      </w:r>
      <w:r>
        <w:rPr>
          <w:spacing w:val="-14"/>
        </w:rPr>
        <w:t> </w:t>
      </w:r>
      <w:r>
        <w:rPr/>
        <w:t>piramidal,</w:t>
      </w:r>
      <w:r>
        <w:rPr>
          <w:spacing w:val="-14"/>
        </w:rPr>
        <w:t> </w:t>
      </w:r>
      <w:r>
        <w:rPr/>
        <w:t>donde</w:t>
      </w:r>
      <w:r>
        <w:rPr>
          <w:spacing w:val="-12"/>
        </w:rPr>
        <w:t> </w:t>
      </w:r>
      <w:r>
        <w:rPr/>
        <w:t>los</w:t>
      </w:r>
      <w:r>
        <w:rPr>
          <w:spacing w:val="-14"/>
        </w:rPr>
        <w:t> </w:t>
      </w:r>
      <w:r>
        <w:rPr/>
        <w:t>estudios</w:t>
      </w:r>
      <w:r>
        <w:rPr>
          <w:spacing w:val="-14"/>
        </w:rPr>
        <w:t> </w:t>
      </w:r>
      <w:r>
        <w:rPr/>
        <w:t>exploratorios</w:t>
      </w:r>
      <w:r>
        <w:rPr>
          <w:spacing w:val="-13"/>
        </w:rPr>
        <w:t> </w:t>
      </w:r>
      <w:r>
        <w:rPr/>
        <w:t>equivalen a la base, seguida de los estudios empíricos, en que predominan los del orden nacional sobre los del estatal y estos sobre los municipales. La anterior situación justifica</w:t>
      </w:r>
      <w:r>
        <w:rPr>
          <w:spacing w:val="-6"/>
        </w:rPr>
        <w:t> </w:t>
      </w:r>
      <w:r>
        <w:rPr/>
        <w:t>la</w:t>
      </w:r>
      <w:r>
        <w:rPr>
          <w:spacing w:val="-6"/>
        </w:rPr>
        <w:t> </w:t>
      </w:r>
      <w:r>
        <w:rPr/>
        <w:t>realización</w:t>
      </w:r>
      <w:r>
        <w:rPr>
          <w:spacing w:val="-6"/>
        </w:rPr>
        <w:t> </w:t>
      </w:r>
      <w:r>
        <w:rPr/>
        <w:t>de</w:t>
      </w:r>
      <w:r>
        <w:rPr>
          <w:spacing w:val="-5"/>
        </w:rPr>
        <w:t> </w:t>
      </w:r>
      <w:r>
        <w:rPr/>
        <w:t>investigaciones</w:t>
      </w:r>
      <w:r>
        <w:rPr>
          <w:spacing w:val="-7"/>
        </w:rPr>
        <w:t> </w:t>
      </w:r>
      <w:r>
        <w:rPr/>
        <w:t>teórico-prácticas</w:t>
      </w:r>
      <w:r>
        <w:rPr>
          <w:spacing w:val="-6"/>
        </w:rPr>
        <w:t> </w:t>
      </w:r>
      <w:r>
        <w:rPr/>
        <w:t>sobre</w:t>
      </w:r>
      <w:r>
        <w:rPr>
          <w:spacing w:val="-7"/>
        </w:rPr>
        <w:t> </w:t>
      </w:r>
      <w:r>
        <w:rPr/>
        <w:t>el</w:t>
      </w:r>
      <w:r>
        <w:rPr>
          <w:spacing w:val="-7"/>
        </w:rPr>
        <w:t> </w:t>
      </w:r>
      <w:r>
        <w:rPr/>
        <w:t>GA</w:t>
      </w:r>
      <w:r>
        <w:rPr>
          <w:spacing w:val="-6"/>
        </w:rPr>
        <w:t> </w:t>
      </w:r>
      <w:r>
        <w:rPr/>
        <w:t>y</w:t>
      </w:r>
      <w:r>
        <w:rPr>
          <w:spacing w:val="-9"/>
        </w:rPr>
        <w:t> </w:t>
      </w:r>
      <w:r>
        <w:rPr/>
        <w:t>su</w:t>
      </w:r>
      <w:r>
        <w:rPr>
          <w:spacing w:val="-6"/>
        </w:rPr>
        <w:t> </w:t>
      </w:r>
      <w:r>
        <w:rPr/>
        <w:t>impacto a nivel municipal, toda vez que es en el municipio donde se desarrolla el vínculo más cercano entre el gobierno y la sociedad. No obstante, pese a los avances logrados en la apertura de los asuntos públicos, en México dichas prácticas de transparencia no han logrado trascender completamente, ya que no forman parte del diseño institucional del</w:t>
      </w:r>
      <w:r>
        <w:rPr>
          <w:spacing w:val="-9"/>
        </w:rPr>
        <w:t> </w:t>
      </w:r>
      <w:r>
        <w:rPr/>
        <w:t>gobierno.</w:t>
      </w:r>
    </w:p>
    <w:p>
      <w:pPr>
        <w:spacing w:after="0" w:line="360" w:lineRule="auto"/>
        <w:jc w:val="both"/>
        <w:sectPr>
          <w:pgSz w:w="12240" w:h="15840"/>
          <w:pgMar w:header="0" w:footer="975" w:top="1360" w:bottom="1220" w:left="1600" w:right="1580"/>
        </w:sectPr>
      </w:pPr>
    </w:p>
    <w:p>
      <w:pPr>
        <w:pStyle w:val="BodyText"/>
        <w:rPr>
          <w:sz w:val="20"/>
        </w:rPr>
      </w:pPr>
    </w:p>
    <w:p>
      <w:pPr>
        <w:pStyle w:val="BodyText"/>
        <w:spacing w:before="7"/>
        <w:rPr>
          <w:sz w:val="16"/>
        </w:rPr>
      </w:pPr>
    </w:p>
    <w:p>
      <w:pPr>
        <w:pStyle w:val="BodyText"/>
        <w:spacing w:line="360" w:lineRule="auto" w:before="69"/>
        <w:ind w:left="102" w:right="114"/>
        <w:jc w:val="both"/>
      </w:pPr>
      <w:r>
        <w:rPr/>
        <w:t>En este escenario discursivo de la transparencia surgen varias preguntas sobre el tema, tales como: ¿Qué es el Gobierno Abierto? ¿Cuáles son sus principios? ¿A través</w:t>
      </w:r>
      <w:r>
        <w:rPr>
          <w:spacing w:val="-9"/>
        </w:rPr>
        <w:t> </w:t>
      </w:r>
      <w:r>
        <w:rPr/>
        <w:t>de</w:t>
      </w:r>
      <w:r>
        <w:rPr>
          <w:spacing w:val="-8"/>
        </w:rPr>
        <w:t> </w:t>
      </w:r>
      <w:r>
        <w:rPr/>
        <w:t>qué</w:t>
      </w:r>
      <w:r>
        <w:rPr>
          <w:spacing w:val="-8"/>
        </w:rPr>
        <w:t> </w:t>
      </w:r>
      <w:r>
        <w:rPr/>
        <w:t>teorías</w:t>
      </w:r>
      <w:r>
        <w:rPr>
          <w:spacing w:val="-9"/>
        </w:rPr>
        <w:t> </w:t>
      </w:r>
      <w:r>
        <w:rPr/>
        <w:t>se</w:t>
      </w:r>
      <w:r>
        <w:rPr>
          <w:spacing w:val="-8"/>
        </w:rPr>
        <w:t> </w:t>
      </w:r>
      <w:r>
        <w:rPr/>
        <w:t>puede</w:t>
      </w:r>
      <w:r>
        <w:rPr>
          <w:spacing w:val="-8"/>
        </w:rPr>
        <w:t> </w:t>
      </w:r>
      <w:r>
        <w:rPr/>
        <w:t>explicar?</w:t>
      </w:r>
      <w:r>
        <w:rPr>
          <w:spacing w:val="-9"/>
        </w:rPr>
        <w:t> </w:t>
      </w:r>
      <w:r>
        <w:rPr/>
        <w:t>¿Qué</w:t>
      </w:r>
      <w:r>
        <w:rPr>
          <w:spacing w:val="-8"/>
        </w:rPr>
        <w:t> </w:t>
      </w:r>
      <w:r>
        <w:rPr/>
        <w:t>métodos</w:t>
      </w:r>
      <w:r>
        <w:rPr>
          <w:spacing w:val="-9"/>
        </w:rPr>
        <w:t> </w:t>
      </w:r>
      <w:r>
        <w:rPr/>
        <w:t>y</w:t>
      </w:r>
      <w:r>
        <w:rPr>
          <w:spacing w:val="-12"/>
        </w:rPr>
        <w:t> </w:t>
      </w:r>
      <w:r>
        <w:rPr/>
        <w:t>técnicas</w:t>
      </w:r>
      <w:r>
        <w:rPr>
          <w:spacing w:val="-9"/>
        </w:rPr>
        <w:t> </w:t>
      </w:r>
      <w:r>
        <w:rPr/>
        <w:t>de</w:t>
      </w:r>
      <w:r>
        <w:rPr>
          <w:spacing w:val="-8"/>
        </w:rPr>
        <w:t> </w:t>
      </w:r>
      <w:r>
        <w:rPr/>
        <w:t>investigación son</w:t>
      </w:r>
      <w:r>
        <w:rPr>
          <w:spacing w:val="-12"/>
        </w:rPr>
        <w:t> </w:t>
      </w:r>
      <w:r>
        <w:rPr/>
        <w:t>los</w:t>
      </w:r>
      <w:r>
        <w:rPr>
          <w:spacing w:val="-14"/>
        </w:rPr>
        <w:t> </w:t>
      </w:r>
      <w:r>
        <w:rPr/>
        <w:t>más</w:t>
      </w:r>
      <w:r>
        <w:rPr>
          <w:spacing w:val="-14"/>
        </w:rPr>
        <w:t> </w:t>
      </w:r>
      <w:r>
        <w:rPr/>
        <w:t>propicios</w:t>
      </w:r>
      <w:r>
        <w:rPr>
          <w:spacing w:val="-14"/>
        </w:rPr>
        <w:t> </w:t>
      </w:r>
      <w:r>
        <w:rPr/>
        <w:t>para</w:t>
      </w:r>
      <w:r>
        <w:rPr>
          <w:spacing w:val="-14"/>
        </w:rPr>
        <w:t> </w:t>
      </w:r>
      <w:r>
        <w:rPr/>
        <w:t>estudiarlo?</w:t>
      </w:r>
      <w:r>
        <w:rPr>
          <w:spacing w:val="-10"/>
        </w:rPr>
        <w:t> </w:t>
      </w:r>
      <w:r>
        <w:rPr/>
        <w:t>¿Qué</w:t>
      </w:r>
      <w:r>
        <w:rPr>
          <w:spacing w:val="-13"/>
        </w:rPr>
        <w:t> </w:t>
      </w:r>
      <w:r>
        <w:rPr/>
        <w:t>es</w:t>
      </w:r>
      <w:r>
        <w:rPr>
          <w:spacing w:val="-13"/>
        </w:rPr>
        <w:t> </w:t>
      </w:r>
      <w:r>
        <w:rPr/>
        <w:t>la</w:t>
      </w:r>
      <w:r>
        <w:rPr>
          <w:spacing w:val="-13"/>
        </w:rPr>
        <w:t> </w:t>
      </w:r>
      <w:r>
        <w:rPr/>
        <w:t>transparencia?</w:t>
      </w:r>
      <w:r>
        <w:rPr>
          <w:spacing w:val="-13"/>
        </w:rPr>
        <w:t> </w:t>
      </w:r>
      <w:r>
        <w:rPr/>
        <w:t>¿Hasta</w:t>
      </w:r>
      <w:r>
        <w:rPr>
          <w:spacing w:val="-12"/>
        </w:rPr>
        <w:t> </w:t>
      </w:r>
      <w:r>
        <w:rPr/>
        <w:t>qué</w:t>
      </w:r>
      <w:r>
        <w:rPr>
          <w:spacing w:val="-13"/>
        </w:rPr>
        <w:t> </w:t>
      </w:r>
      <w:r>
        <w:rPr/>
        <w:t>punto se garantiza el derecho de acceso a la información? ¿Los gobernantes realmente buscan lograr un GA? ¿Los gobernantes pueden ser corruptamente legales? ¿La normativa, las instituciones y procedimientos creados por el gobierno favorecen o limitan</w:t>
      </w:r>
      <w:r>
        <w:rPr>
          <w:spacing w:val="-9"/>
        </w:rPr>
        <w:t> </w:t>
      </w:r>
      <w:r>
        <w:rPr/>
        <w:t>la</w:t>
      </w:r>
      <w:r>
        <w:rPr>
          <w:spacing w:val="-9"/>
        </w:rPr>
        <w:t> </w:t>
      </w:r>
      <w:r>
        <w:rPr/>
        <w:t>transparencia?</w:t>
      </w:r>
      <w:r>
        <w:rPr>
          <w:spacing w:val="-8"/>
        </w:rPr>
        <w:t> </w:t>
      </w:r>
      <w:r>
        <w:rPr/>
        <w:t>¿Cómo</w:t>
      </w:r>
      <w:r>
        <w:rPr>
          <w:spacing w:val="-12"/>
        </w:rPr>
        <w:t> </w:t>
      </w:r>
      <w:r>
        <w:rPr/>
        <w:t>puede</w:t>
      </w:r>
      <w:r>
        <w:rPr>
          <w:spacing w:val="-12"/>
        </w:rPr>
        <w:t> </w:t>
      </w:r>
      <w:r>
        <w:rPr/>
        <w:t>participar</w:t>
      </w:r>
      <w:r>
        <w:rPr>
          <w:spacing w:val="-11"/>
        </w:rPr>
        <w:t> </w:t>
      </w:r>
      <w:r>
        <w:rPr/>
        <w:t>la</w:t>
      </w:r>
      <w:r>
        <w:rPr>
          <w:spacing w:val="-10"/>
        </w:rPr>
        <w:t> </w:t>
      </w:r>
      <w:r>
        <w:rPr/>
        <w:t>sociedad</w:t>
      </w:r>
      <w:r>
        <w:rPr>
          <w:spacing w:val="-12"/>
        </w:rPr>
        <w:t> </w:t>
      </w:r>
      <w:r>
        <w:rPr/>
        <w:t>en</w:t>
      </w:r>
      <w:r>
        <w:rPr>
          <w:spacing w:val="-12"/>
        </w:rPr>
        <w:t> </w:t>
      </w:r>
      <w:r>
        <w:rPr/>
        <w:t>el</w:t>
      </w:r>
      <w:r>
        <w:rPr>
          <w:spacing w:val="-13"/>
        </w:rPr>
        <w:t> </w:t>
      </w:r>
      <w:r>
        <w:rPr/>
        <w:t>GA</w:t>
      </w:r>
      <w:r>
        <w:rPr>
          <w:spacing w:val="-10"/>
        </w:rPr>
        <w:t> </w:t>
      </w:r>
      <w:r>
        <w:rPr/>
        <w:t>dentro</w:t>
      </w:r>
      <w:r>
        <w:rPr>
          <w:spacing w:val="-12"/>
        </w:rPr>
        <w:t> </w:t>
      </w:r>
      <w:r>
        <w:rPr/>
        <w:t>de</w:t>
      </w:r>
      <w:r>
        <w:rPr>
          <w:spacing w:val="-12"/>
        </w:rPr>
        <w:t> </w:t>
      </w:r>
      <w:r>
        <w:rPr/>
        <w:t>un régimen democrático de representación indirecta? ¿Cómo es que el Estado de México puede tener premios de transparencia y ser al mismo tiempo la segunda entidad más corrupta del país? ¿Por qué unos municipios han logrado avances relevantes y otros no? ¿Cuál de las siguientes variables influyen más en el éxito</w:t>
      </w:r>
      <w:r>
        <w:rPr>
          <w:spacing w:val="-45"/>
        </w:rPr>
        <w:t> </w:t>
      </w:r>
      <w:r>
        <w:rPr/>
        <w:t>de la transparencia? La participación ciudadana, el partido gobernante, el género del gobernante, los recursos del municipio, el nivel de escolaridad de la población, o el grado de marginación del</w:t>
      </w:r>
      <w:r>
        <w:rPr>
          <w:spacing w:val="-10"/>
        </w:rPr>
        <w:t> </w:t>
      </w:r>
      <w:r>
        <w:rPr/>
        <w:t>municipio.</w:t>
      </w:r>
    </w:p>
    <w:p>
      <w:pPr>
        <w:pStyle w:val="BodyText"/>
      </w:pPr>
    </w:p>
    <w:p>
      <w:pPr>
        <w:pStyle w:val="BodyText"/>
      </w:pPr>
    </w:p>
    <w:p>
      <w:pPr>
        <w:pStyle w:val="BodyText"/>
        <w:spacing w:before="188"/>
        <w:ind w:left="102"/>
        <w:jc w:val="both"/>
      </w:pPr>
      <w:r>
        <w:rPr/>
        <w:t>Ante estas interrogantes se ha definido como objetivo general el siguiente:</w:t>
      </w:r>
    </w:p>
    <w:p>
      <w:pPr>
        <w:pStyle w:val="BodyText"/>
      </w:pPr>
    </w:p>
    <w:p>
      <w:pPr>
        <w:pStyle w:val="BodyText"/>
      </w:pPr>
    </w:p>
    <w:p>
      <w:pPr>
        <w:pStyle w:val="BodyText"/>
        <w:spacing w:before="8"/>
        <w:rPr>
          <w:sz w:val="27"/>
        </w:rPr>
      </w:pPr>
    </w:p>
    <w:p>
      <w:pPr>
        <w:pStyle w:val="BodyText"/>
        <w:spacing w:line="360" w:lineRule="auto"/>
        <w:ind w:left="102" w:right="116"/>
        <w:jc w:val="both"/>
      </w:pPr>
      <w:r>
        <w:rPr/>
        <w:t>Analizar en qué medida las acciones que realizan los gobernantes en relación a la transparencia y el acceso a la información en los municipios del Estado de México han permitido institucionalizar las bases de un GA.</w:t>
      </w:r>
    </w:p>
    <w:p>
      <w:pPr>
        <w:pStyle w:val="BodyText"/>
      </w:pPr>
    </w:p>
    <w:p>
      <w:pPr>
        <w:pStyle w:val="BodyText"/>
      </w:pPr>
    </w:p>
    <w:p>
      <w:pPr>
        <w:pStyle w:val="BodyText"/>
        <w:spacing w:before="186"/>
        <w:ind w:left="102"/>
        <w:jc w:val="both"/>
      </w:pPr>
      <w:r>
        <w:rPr/>
        <w:t>Para lograr lo anterior se determinaron los siguientes objetivos particulares:</w:t>
      </w:r>
    </w:p>
    <w:p>
      <w:pPr>
        <w:pStyle w:val="BodyText"/>
      </w:pPr>
    </w:p>
    <w:p>
      <w:pPr>
        <w:pStyle w:val="BodyText"/>
      </w:pPr>
    </w:p>
    <w:p>
      <w:pPr>
        <w:pStyle w:val="ListParagraph"/>
        <w:numPr>
          <w:ilvl w:val="0"/>
          <w:numId w:val="2"/>
        </w:numPr>
        <w:tabs>
          <w:tab w:pos="530" w:val="left" w:leader="none"/>
        </w:tabs>
        <w:spacing w:line="240" w:lineRule="auto" w:before="161" w:after="0"/>
        <w:ind w:left="529" w:right="0" w:hanging="360"/>
        <w:jc w:val="both"/>
        <w:rPr>
          <w:sz w:val="24"/>
        </w:rPr>
      </w:pPr>
      <w:r>
        <w:rPr>
          <w:sz w:val="24"/>
        </w:rPr>
        <w:t>Construir un marco teórico que permita el estudio del</w:t>
      </w:r>
      <w:r>
        <w:rPr>
          <w:spacing w:val="-20"/>
          <w:sz w:val="24"/>
        </w:rPr>
        <w:t> </w:t>
      </w:r>
      <w:r>
        <w:rPr>
          <w:sz w:val="24"/>
        </w:rPr>
        <w:t>GA.</w:t>
      </w:r>
    </w:p>
    <w:p>
      <w:pPr>
        <w:pStyle w:val="ListParagraph"/>
        <w:numPr>
          <w:ilvl w:val="0"/>
          <w:numId w:val="2"/>
        </w:numPr>
        <w:tabs>
          <w:tab w:pos="530" w:val="left" w:leader="none"/>
        </w:tabs>
        <w:spacing w:line="240" w:lineRule="auto" w:before="135" w:after="0"/>
        <w:ind w:left="529" w:right="0" w:hanging="360"/>
        <w:jc w:val="both"/>
        <w:rPr>
          <w:sz w:val="24"/>
        </w:rPr>
      </w:pPr>
      <w:r>
        <w:rPr>
          <w:sz w:val="24"/>
        </w:rPr>
        <w:t>Describir qué es el GA y cuáles son sus</w:t>
      </w:r>
      <w:r>
        <w:rPr>
          <w:spacing w:val="-13"/>
          <w:sz w:val="24"/>
        </w:rPr>
        <w:t> </w:t>
      </w:r>
      <w:r>
        <w:rPr>
          <w:sz w:val="24"/>
        </w:rPr>
        <w:t>principios.</w:t>
      </w:r>
    </w:p>
    <w:p>
      <w:pPr>
        <w:pStyle w:val="ListParagraph"/>
        <w:numPr>
          <w:ilvl w:val="0"/>
          <w:numId w:val="2"/>
        </w:numPr>
        <w:tabs>
          <w:tab w:pos="530" w:val="left" w:leader="none"/>
        </w:tabs>
        <w:spacing w:line="240" w:lineRule="auto" w:before="135" w:after="0"/>
        <w:ind w:left="529" w:right="0" w:hanging="360"/>
        <w:jc w:val="both"/>
        <w:rPr>
          <w:sz w:val="24"/>
        </w:rPr>
      </w:pPr>
      <w:r>
        <w:rPr>
          <w:sz w:val="24"/>
        </w:rPr>
        <w:t>Elaborar una aproximación del arte en relación a la</w:t>
      </w:r>
      <w:r>
        <w:rPr>
          <w:spacing w:val="-24"/>
          <w:sz w:val="24"/>
        </w:rPr>
        <w:t> </w:t>
      </w:r>
      <w:r>
        <w:rPr>
          <w:sz w:val="24"/>
        </w:rPr>
        <w:t>transparencia.</w:t>
      </w:r>
    </w:p>
    <w:p>
      <w:pPr>
        <w:spacing w:after="0" w:line="240" w:lineRule="auto"/>
        <w:jc w:val="both"/>
        <w:rPr>
          <w:sz w:val="24"/>
        </w:rPr>
        <w:sectPr>
          <w:pgSz w:w="12240" w:h="15840"/>
          <w:pgMar w:header="0" w:footer="975" w:top="1500" w:bottom="1220" w:left="1600" w:right="1580"/>
        </w:sectPr>
      </w:pPr>
    </w:p>
    <w:p>
      <w:pPr>
        <w:pStyle w:val="ListParagraph"/>
        <w:numPr>
          <w:ilvl w:val="0"/>
          <w:numId w:val="2"/>
        </w:numPr>
        <w:tabs>
          <w:tab w:pos="529" w:val="left" w:leader="none"/>
          <w:tab w:pos="530" w:val="left" w:leader="none"/>
        </w:tabs>
        <w:spacing w:line="352" w:lineRule="auto" w:before="34" w:after="0"/>
        <w:ind w:left="529" w:right="118" w:hanging="360"/>
        <w:jc w:val="left"/>
        <w:rPr>
          <w:sz w:val="24"/>
        </w:rPr>
      </w:pPr>
      <w:r>
        <w:rPr>
          <w:sz w:val="24"/>
        </w:rPr>
        <w:t>Analizar</w:t>
      </w:r>
      <w:r>
        <w:rPr>
          <w:spacing w:val="-8"/>
          <w:sz w:val="24"/>
        </w:rPr>
        <w:t> </w:t>
      </w:r>
      <w:r>
        <w:rPr>
          <w:sz w:val="24"/>
        </w:rPr>
        <w:t>las</w:t>
      </w:r>
      <w:r>
        <w:rPr>
          <w:spacing w:val="-7"/>
          <w:sz w:val="24"/>
        </w:rPr>
        <w:t> </w:t>
      </w:r>
      <w:r>
        <w:rPr>
          <w:sz w:val="24"/>
        </w:rPr>
        <w:t>prácticas</w:t>
      </w:r>
      <w:r>
        <w:rPr>
          <w:spacing w:val="-7"/>
          <w:sz w:val="24"/>
        </w:rPr>
        <w:t> </w:t>
      </w:r>
      <w:r>
        <w:rPr>
          <w:sz w:val="24"/>
        </w:rPr>
        <w:t>gubernamentales</w:t>
      </w:r>
      <w:r>
        <w:rPr>
          <w:spacing w:val="-5"/>
          <w:sz w:val="24"/>
        </w:rPr>
        <w:t> </w:t>
      </w:r>
      <w:r>
        <w:rPr>
          <w:sz w:val="24"/>
        </w:rPr>
        <w:t>de</w:t>
      </w:r>
      <w:r>
        <w:rPr>
          <w:spacing w:val="-7"/>
          <w:sz w:val="24"/>
        </w:rPr>
        <w:t> </w:t>
      </w:r>
      <w:r>
        <w:rPr>
          <w:sz w:val="24"/>
        </w:rPr>
        <w:t>los</w:t>
      </w:r>
      <w:r>
        <w:rPr>
          <w:spacing w:val="-10"/>
          <w:sz w:val="24"/>
        </w:rPr>
        <w:t> </w:t>
      </w:r>
      <w:r>
        <w:rPr>
          <w:sz w:val="24"/>
        </w:rPr>
        <w:t>municipios</w:t>
      </w:r>
      <w:r>
        <w:rPr>
          <w:spacing w:val="-7"/>
          <w:sz w:val="24"/>
        </w:rPr>
        <w:t> </w:t>
      </w:r>
      <w:r>
        <w:rPr>
          <w:sz w:val="24"/>
        </w:rPr>
        <w:t>del</w:t>
      </w:r>
      <w:r>
        <w:rPr>
          <w:spacing w:val="-7"/>
          <w:sz w:val="24"/>
        </w:rPr>
        <w:t> </w:t>
      </w:r>
      <w:r>
        <w:rPr>
          <w:sz w:val="24"/>
        </w:rPr>
        <w:t>Estado</w:t>
      </w:r>
      <w:r>
        <w:rPr>
          <w:spacing w:val="-9"/>
          <w:sz w:val="24"/>
        </w:rPr>
        <w:t> </w:t>
      </w:r>
      <w:r>
        <w:rPr>
          <w:sz w:val="24"/>
        </w:rPr>
        <w:t>de</w:t>
      </w:r>
      <w:r>
        <w:rPr>
          <w:spacing w:val="-7"/>
          <w:sz w:val="24"/>
        </w:rPr>
        <w:t> </w:t>
      </w:r>
      <w:r>
        <w:rPr>
          <w:sz w:val="24"/>
        </w:rPr>
        <w:t>México en relación al</w:t>
      </w:r>
      <w:r>
        <w:rPr>
          <w:spacing w:val="-4"/>
          <w:sz w:val="24"/>
        </w:rPr>
        <w:t> </w:t>
      </w:r>
      <w:r>
        <w:rPr>
          <w:sz w:val="24"/>
        </w:rPr>
        <w:t>GA.</w:t>
      </w:r>
    </w:p>
    <w:p>
      <w:pPr>
        <w:pStyle w:val="ListParagraph"/>
        <w:numPr>
          <w:ilvl w:val="0"/>
          <w:numId w:val="2"/>
        </w:numPr>
        <w:tabs>
          <w:tab w:pos="529" w:val="left" w:leader="none"/>
          <w:tab w:pos="530" w:val="left" w:leader="none"/>
        </w:tabs>
        <w:spacing w:line="350" w:lineRule="auto" w:before="11" w:after="0"/>
        <w:ind w:left="529" w:right="116" w:hanging="360"/>
        <w:jc w:val="left"/>
        <w:rPr>
          <w:sz w:val="24"/>
        </w:rPr>
      </w:pPr>
      <w:r>
        <w:rPr>
          <w:sz w:val="24"/>
        </w:rPr>
        <w:t>Identificar</w:t>
      </w:r>
      <w:r>
        <w:rPr>
          <w:spacing w:val="-7"/>
          <w:sz w:val="24"/>
        </w:rPr>
        <w:t> </w:t>
      </w:r>
      <w:r>
        <w:rPr>
          <w:sz w:val="24"/>
        </w:rPr>
        <w:t>cuáles</w:t>
      </w:r>
      <w:r>
        <w:rPr>
          <w:spacing w:val="-7"/>
          <w:sz w:val="24"/>
        </w:rPr>
        <w:t> </w:t>
      </w:r>
      <w:r>
        <w:rPr>
          <w:sz w:val="24"/>
        </w:rPr>
        <w:t>son</w:t>
      </w:r>
      <w:r>
        <w:rPr>
          <w:spacing w:val="-7"/>
          <w:sz w:val="24"/>
        </w:rPr>
        <w:t> </w:t>
      </w:r>
      <w:r>
        <w:rPr>
          <w:sz w:val="24"/>
        </w:rPr>
        <w:t>los</w:t>
      </w:r>
      <w:r>
        <w:rPr>
          <w:spacing w:val="-6"/>
          <w:sz w:val="24"/>
        </w:rPr>
        <w:t> </w:t>
      </w:r>
      <w:r>
        <w:rPr>
          <w:sz w:val="24"/>
        </w:rPr>
        <w:t>mecanismos</w:t>
      </w:r>
      <w:r>
        <w:rPr>
          <w:spacing w:val="-8"/>
          <w:sz w:val="24"/>
        </w:rPr>
        <w:t> </w:t>
      </w:r>
      <w:r>
        <w:rPr>
          <w:sz w:val="24"/>
        </w:rPr>
        <w:t>de</w:t>
      </w:r>
      <w:r>
        <w:rPr>
          <w:spacing w:val="-7"/>
          <w:sz w:val="24"/>
        </w:rPr>
        <w:t> </w:t>
      </w:r>
      <w:r>
        <w:rPr>
          <w:sz w:val="24"/>
        </w:rPr>
        <w:t>participación</w:t>
      </w:r>
      <w:r>
        <w:rPr>
          <w:spacing w:val="-7"/>
          <w:sz w:val="24"/>
        </w:rPr>
        <w:t> </w:t>
      </w:r>
      <w:r>
        <w:rPr>
          <w:sz w:val="24"/>
        </w:rPr>
        <w:t>ciudadana</w:t>
      </w:r>
      <w:r>
        <w:rPr>
          <w:spacing w:val="-5"/>
          <w:sz w:val="24"/>
        </w:rPr>
        <w:t> </w:t>
      </w:r>
      <w:r>
        <w:rPr>
          <w:sz w:val="24"/>
        </w:rPr>
        <w:t>utilizados</w:t>
      </w:r>
      <w:r>
        <w:rPr>
          <w:spacing w:val="-8"/>
          <w:sz w:val="24"/>
        </w:rPr>
        <w:t> </w:t>
      </w:r>
      <w:r>
        <w:rPr>
          <w:sz w:val="24"/>
        </w:rPr>
        <w:t>por los municipios mexiquenses en relación a la</w:t>
      </w:r>
      <w:r>
        <w:rPr>
          <w:spacing w:val="-22"/>
          <w:sz w:val="24"/>
        </w:rPr>
        <w:t> </w:t>
      </w:r>
      <w:r>
        <w:rPr>
          <w:sz w:val="24"/>
        </w:rPr>
        <w:t>transparencia.</w:t>
      </w:r>
    </w:p>
    <w:p>
      <w:pPr>
        <w:pStyle w:val="ListParagraph"/>
        <w:numPr>
          <w:ilvl w:val="0"/>
          <w:numId w:val="2"/>
        </w:numPr>
        <w:tabs>
          <w:tab w:pos="529" w:val="left" w:leader="none"/>
          <w:tab w:pos="530" w:val="left" w:leader="none"/>
        </w:tabs>
        <w:spacing w:line="350" w:lineRule="auto" w:before="16" w:after="0"/>
        <w:ind w:left="529" w:right="122" w:hanging="360"/>
        <w:jc w:val="left"/>
        <w:rPr>
          <w:sz w:val="24"/>
        </w:rPr>
      </w:pPr>
      <w:r>
        <w:rPr>
          <w:sz w:val="24"/>
        </w:rPr>
        <w:t>Conocer en qué medida las prácticas institucionales establecidas por el gobierno mexicano favorecen o limitan la</w:t>
      </w:r>
      <w:r>
        <w:rPr>
          <w:spacing w:val="-22"/>
          <w:sz w:val="24"/>
        </w:rPr>
        <w:t> </w:t>
      </w:r>
      <w:r>
        <w:rPr>
          <w:sz w:val="24"/>
        </w:rPr>
        <w:t>transparencia.</w:t>
      </w:r>
    </w:p>
    <w:p>
      <w:pPr>
        <w:pStyle w:val="ListParagraph"/>
        <w:numPr>
          <w:ilvl w:val="0"/>
          <w:numId w:val="2"/>
        </w:numPr>
        <w:tabs>
          <w:tab w:pos="529" w:val="left" w:leader="none"/>
          <w:tab w:pos="530" w:val="left" w:leader="none"/>
        </w:tabs>
        <w:spacing w:line="350" w:lineRule="auto" w:before="16" w:after="0"/>
        <w:ind w:left="529" w:right="117" w:hanging="360"/>
        <w:jc w:val="left"/>
        <w:rPr>
          <w:sz w:val="24"/>
        </w:rPr>
      </w:pPr>
      <w:r>
        <w:rPr>
          <w:sz w:val="24"/>
        </w:rPr>
        <w:t>Conocer en qué medida los municipios del Estado de México cumplen la ley</w:t>
      </w:r>
      <w:r>
        <w:rPr>
          <w:spacing w:val="-45"/>
          <w:sz w:val="24"/>
        </w:rPr>
        <w:t> </w:t>
      </w:r>
      <w:r>
        <w:rPr>
          <w:sz w:val="24"/>
        </w:rPr>
        <w:t>de transparencia.</w:t>
      </w:r>
    </w:p>
    <w:p>
      <w:pPr>
        <w:pStyle w:val="ListParagraph"/>
        <w:numPr>
          <w:ilvl w:val="0"/>
          <w:numId w:val="2"/>
        </w:numPr>
        <w:tabs>
          <w:tab w:pos="529" w:val="left" w:leader="none"/>
          <w:tab w:pos="530" w:val="left" w:leader="none"/>
        </w:tabs>
        <w:spacing w:line="350" w:lineRule="auto" w:before="14" w:after="0"/>
        <w:ind w:left="529" w:right="115" w:hanging="360"/>
        <w:jc w:val="left"/>
        <w:rPr>
          <w:sz w:val="24"/>
        </w:rPr>
      </w:pPr>
      <w:r>
        <w:rPr>
          <w:sz w:val="24"/>
        </w:rPr>
        <w:t>Proponer un índice para evaluar el grado de institucionalización del GA en los municipios de</w:t>
      </w:r>
      <w:r>
        <w:rPr>
          <w:spacing w:val="-8"/>
          <w:sz w:val="24"/>
        </w:rPr>
        <w:t> </w:t>
      </w:r>
      <w:r>
        <w:rPr>
          <w:sz w:val="24"/>
        </w:rPr>
        <w:t>México.</w:t>
      </w:r>
    </w:p>
    <w:p>
      <w:pPr>
        <w:pStyle w:val="BodyText"/>
      </w:pPr>
    </w:p>
    <w:p>
      <w:pPr>
        <w:pStyle w:val="BodyText"/>
        <w:spacing w:line="360" w:lineRule="auto" w:before="152"/>
        <w:ind w:left="102" w:right="117"/>
        <w:jc w:val="both"/>
      </w:pPr>
      <w:r>
        <w:rPr/>
        <w:t>En lo referente a las hipótesis, que de acuerdo con Hernández, Fernández y Baptista (2010), son las guías de la investigación que pretenden dar una respuesta anticipada al fenómeno de estudio, se plantean las siguientes:</w:t>
      </w:r>
    </w:p>
    <w:p>
      <w:pPr>
        <w:pStyle w:val="BodyText"/>
      </w:pPr>
    </w:p>
    <w:p>
      <w:pPr>
        <w:pStyle w:val="BodyText"/>
        <w:spacing w:line="360" w:lineRule="auto" w:before="142"/>
        <w:ind w:left="102" w:right="113"/>
        <w:jc w:val="both"/>
      </w:pPr>
      <w:r>
        <w:rPr/>
        <w:t>Dado que el cumplimiento de la ley de transparencia obedece a la voluntad política del gobernante más que a factores administrativos. Mejorar las condiciones administrativas tales como el presupuesto e infraestructura del municipio, número del personal que desarrolla la función, la capacitación del personal responsable de la función, la participación ciudadana, los recursos tecnológicos para el control de archivos,</w:t>
      </w:r>
      <w:r>
        <w:rPr>
          <w:spacing w:val="-11"/>
        </w:rPr>
        <w:t> </w:t>
      </w:r>
      <w:r>
        <w:rPr/>
        <w:t>la</w:t>
      </w:r>
      <w:r>
        <w:rPr>
          <w:spacing w:val="-11"/>
        </w:rPr>
        <w:t> </w:t>
      </w:r>
      <w:r>
        <w:rPr/>
        <w:t>continuidad</w:t>
      </w:r>
      <w:r>
        <w:rPr>
          <w:spacing w:val="-9"/>
        </w:rPr>
        <w:t> </w:t>
      </w:r>
      <w:r>
        <w:rPr/>
        <w:t>de</w:t>
      </w:r>
      <w:r>
        <w:rPr>
          <w:spacing w:val="-11"/>
        </w:rPr>
        <w:t> </w:t>
      </w:r>
      <w:r>
        <w:rPr/>
        <w:t>los</w:t>
      </w:r>
      <w:r>
        <w:rPr>
          <w:spacing w:val="-11"/>
        </w:rPr>
        <w:t> </w:t>
      </w:r>
      <w:r>
        <w:rPr/>
        <w:t>gobiernos</w:t>
      </w:r>
      <w:r>
        <w:rPr>
          <w:spacing w:val="-14"/>
        </w:rPr>
        <w:t> </w:t>
      </w:r>
      <w:r>
        <w:rPr/>
        <w:t>municipales.</w:t>
      </w:r>
      <w:r>
        <w:rPr>
          <w:spacing w:val="-11"/>
        </w:rPr>
        <w:t> </w:t>
      </w:r>
      <w:r>
        <w:rPr/>
        <w:t>El</w:t>
      </w:r>
      <w:r>
        <w:rPr>
          <w:spacing w:val="-12"/>
        </w:rPr>
        <w:t> </w:t>
      </w:r>
      <w:r>
        <w:rPr/>
        <w:t>género</w:t>
      </w:r>
      <w:r>
        <w:rPr>
          <w:spacing w:val="-11"/>
        </w:rPr>
        <w:t> </w:t>
      </w:r>
      <w:r>
        <w:rPr/>
        <w:t>de</w:t>
      </w:r>
      <w:r>
        <w:rPr>
          <w:spacing w:val="-13"/>
        </w:rPr>
        <w:t> </w:t>
      </w:r>
      <w:r>
        <w:rPr/>
        <w:t>los</w:t>
      </w:r>
      <w:r>
        <w:rPr>
          <w:spacing w:val="-11"/>
        </w:rPr>
        <w:t> </w:t>
      </w:r>
      <w:r>
        <w:rPr/>
        <w:t>gobernantes y</w:t>
      </w:r>
      <w:r>
        <w:rPr>
          <w:spacing w:val="-8"/>
        </w:rPr>
        <w:t> </w:t>
      </w:r>
      <w:r>
        <w:rPr/>
        <w:t>el</w:t>
      </w:r>
      <w:r>
        <w:rPr>
          <w:spacing w:val="-6"/>
        </w:rPr>
        <w:t> </w:t>
      </w:r>
      <w:r>
        <w:rPr/>
        <w:t>nivel</w:t>
      </w:r>
      <w:r>
        <w:rPr>
          <w:spacing w:val="-6"/>
        </w:rPr>
        <w:t> </w:t>
      </w:r>
      <w:r>
        <w:rPr/>
        <w:t>educativo</w:t>
      </w:r>
      <w:r>
        <w:rPr>
          <w:spacing w:val="-5"/>
        </w:rPr>
        <w:t> </w:t>
      </w:r>
      <w:r>
        <w:rPr/>
        <w:t>de</w:t>
      </w:r>
      <w:r>
        <w:rPr>
          <w:spacing w:val="-7"/>
        </w:rPr>
        <w:t> </w:t>
      </w:r>
      <w:r>
        <w:rPr/>
        <w:t>la</w:t>
      </w:r>
      <w:r>
        <w:rPr>
          <w:spacing w:val="-5"/>
        </w:rPr>
        <w:t> </w:t>
      </w:r>
      <w:r>
        <w:rPr/>
        <w:t>población</w:t>
      </w:r>
      <w:r>
        <w:rPr>
          <w:spacing w:val="-7"/>
        </w:rPr>
        <w:t> </w:t>
      </w:r>
      <w:r>
        <w:rPr/>
        <w:t>no</w:t>
      </w:r>
      <w:r>
        <w:rPr>
          <w:spacing w:val="-7"/>
        </w:rPr>
        <w:t> </w:t>
      </w:r>
      <w:r>
        <w:rPr/>
        <w:t>mejorarán</w:t>
      </w:r>
      <w:r>
        <w:rPr>
          <w:spacing w:val="-1"/>
        </w:rPr>
        <w:t> </w:t>
      </w:r>
      <w:r>
        <w:rPr/>
        <w:t>el</w:t>
      </w:r>
      <w:r>
        <w:rPr>
          <w:spacing w:val="-6"/>
        </w:rPr>
        <w:t> </w:t>
      </w:r>
      <w:r>
        <w:rPr/>
        <w:t>cumplimiento</w:t>
      </w:r>
      <w:r>
        <w:rPr>
          <w:spacing w:val="-5"/>
        </w:rPr>
        <w:t> </w:t>
      </w:r>
      <w:r>
        <w:rPr/>
        <w:t>de</w:t>
      </w:r>
      <w:r>
        <w:rPr>
          <w:spacing w:val="-7"/>
        </w:rPr>
        <w:t> </w:t>
      </w:r>
      <w:r>
        <w:rPr/>
        <w:t>la</w:t>
      </w:r>
      <w:r>
        <w:rPr>
          <w:spacing w:val="-5"/>
        </w:rPr>
        <w:t> </w:t>
      </w:r>
      <w:r>
        <w:rPr/>
        <w:t>ley</w:t>
      </w:r>
      <w:r>
        <w:rPr>
          <w:spacing w:val="-8"/>
        </w:rPr>
        <w:t> </w:t>
      </w:r>
      <w:r>
        <w:rPr/>
        <w:t>si</w:t>
      </w:r>
      <w:r>
        <w:rPr>
          <w:spacing w:val="-6"/>
        </w:rPr>
        <w:t> </w:t>
      </w:r>
      <w:r>
        <w:rPr/>
        <w:t>no</w:t>
      </w:r>
      <w:r>
        <w:rPr>
          <w:spacing w:val="-5"/>
        </w:rPr>
        <w:t> </w:t>
      </w:r>
      <w:r>
        <w:rPr/>
        <w:t>hay voluntad política del gobierno en turno para romper con los esquemas de opacidad existentes.</w:t>
      </w:r>
      <w:r>
        <w:rPr>
          <w:spacing w:val="-9"/>
        </w:rPr>
        <w:t> </w:t>
      </w:r>
      <w:r>
        <w:rPr/>
        <w:t>Es</w:t>
      </w:r>
      <w:r>
        <w:rPr>
          <w:spacing w:val="-9"/>
        </w:rPr>
        <w:t> </w:t>
      </w:r>
      <w:r>
        <w:rPr/>
        <w:t>decir,</w:t>
      </w:r>
      <w:r>
        <w:rPr>
          <w:spacing w:val="-9"/>
        </w:rPr>
        <w:t> </w:t>
      </w:r>
      <w:r>
        <w:rPr/>
        <w:t>a</w:t>
      </w:r>
      <w:r>
        <w:rPr>
          <w:spacing w:val="-8"/>
        </w:rPr>
        <w:t> </w:t>
      </w:r>
      <w:r>
        <w:rPr/>
        <w:t>mayor</w:t>
      </w:r>
      <w:r>
        <w:rPr>
          <w:spacing w:val="-8"/>
        </w:rPr>
        <w:t> </w:t>
      </w:r>
      <w:r>
        <w:rPr/>
        <w:t>voluntad</w:t>
      </w:r>
      <w:r>
        <w:rPr>
          <w:spacing w:val="-8"/>
        </w:rPr>
        <w:t> </w:t>
      </w:r>
      <w:r>
        <w:rPr/>
        <w:t>política</w:t>
      </w:r>
      <w:r>
        <w:rPr>
          <w:spacing w:val="-8"/>
        </w:rPr>
        <w:t> </w:t>
      </w:r>
      <w:r>
        <w:rPr/>
        <w:t>mayor</w:t>
      </w:r>
      <w:r>
        <w:rPr>
          <w:spacing w:val="-8"/>
        </w:rPr>
        <w:t> </w:t>
      </w:r>
      <w:r>
        <w:rPr/>
        <w:t>será</w:t>
      </w:r>
      <w:r>
        <w:rPr>
          <w:spacing w:val="-9"/>
        </w:rPr>
        <w:t> </w:t>
      </w:r>
      <w:r>
        <w:rPr/>
        <w:t>el</w:t>
      </w:r>
      <w:r>
        <w:rPr>
          <w:spacing w:val="-8"/>
        </w:rPr>
        <w:t> </w:t>
      </w:r>
      <w:r>
        <w:rPr/>
        <w:t>cumplimiento</w:t>
      </w:r>
      <w:r>
        <w:rPr>
          <w:spacing w:val="-8"/>
        </w:rPr>
        <w:t> </w:t>
      </w:r>
      <w:r>
        <w:rPr/>
        <w:t>de</w:t>
      </w:r>
      <w:r>
        <w:rPr>
          <w:spacing w:val="-8"/>
        </w:rPr>
        <w:t> </w:t>
      </w:r>
      <w:r>
        <w:rPr/>
        <w:t>la</w:t>
      </w:r>
      <w:r>
        <w:rPr>
          <w:spacing w:val="-7"/>
        </w:rPr>
        <w:t> </w:t>
      </w:r>
      <w:r>
        <w:rPr/>
        <w:t>ley.</w:t>
      </w:r>
    </w:p>
    <w:p>
      <w:pPr>
        <w:pStyle w:val="BodyText"/>
      </w:pPr>
    </w:p>
    <w:p>
      <w:pPr>
        <w:pStyle w:val="BodyText"/>
        <w:spacing w:before="10"/>
        <w:rPr>
          <w:sz w:val="29"/>
        </w:rPr>
      </w:pPr>
    </w:p>
    <w:p>
      <w:pPr>
        <w:pStyle w:val="BodyText"/>
        <w:spacing w:line="360" w:lineRule="auto"/>
        <w:ind w:left="102" w:right="114"/>
        <w:jc w:val="both"/>
      </w:pPr>
      <w:r>
        <w:rPr/>
        <w:t>Respecto</w:t>
      </w:r>
      <w:r>
        <w:rPr>
          <w:spacing w:val="-16"/>
        </w:rPr>
        <w:t> </w:t>
      </w:r>
      <w:r>
        <w:rPr/>
        <w:t>al</w:t>
      </w:r>
      <w:r>
        <w:rPr>
          <w:spacing w:val="-17"/>
        </w:rPr>
        <w:t> </w:t>
      </w:r>
      <w:r>
        <w:rPr/>
        <w:t>tipo</w:t>
      </w:r>
      <w:r>
        <w:rPr>
          <w:spacing w:val="-18"/>
        </w:rPr>
        <w:t> </w:t>
      </w:r>
      <w:r>
        <w:rPr/>
        <w:t>de</w:t>
      </w:r>
      <w:r>
        <w:rPr>
          <w:spacing w:val="-16"/>
        </w:rPr>
        <w:t> </w:t>
      </w:r>
      <w:r>
        <w:rPr/>
        <w:t>investigación</w:t>
      </w:r>
      <w:r>
        <w:rPr>
          <w:spacing w:val="-12"/>
        </w:rPr>
        <w:t> </w:t>
      </w:r>
      <w:r>
        <w:rPr/>
        <w:t>que</w:t>
      </w:r>
      <w:r>
        <w:rPr>
          <w:spacing w:val="-16"/>
        </w:rPr>
        <w:t> </w:t>
      </w:r>
      <w:r>
        <w:rPr/>
        <w:t>se</w:t>
      </w:r>
      <w:r>
        <w:rPr>
          <w:spacing w:val="-16"/>
        </w:rPr>
        <w:t> </w:t>
      </w:r>
      <w:r>
        <w:rPr/>
        <w:t>realiza</w:t>
      </w:r>
      <w:r>
        <w:rPr>
          <w:spacing w:val="-14"/>
        </w:rPr>
        <w:t> </w:t>
      </w:r>
      <w:r>
        <w:rPr/>
        <w:t>es</w:t>
      </w:r>
      <w:r>
        <w:rPr>
          <w:spacing w:val="-16"/>
        </w:rPr>
        <w:t> </w:t>
      </w:r>
      <w:r>
        <w:rPr/>
        <w:t>preciso</w:t>
      </w:r>
      <w:r>
        <w:rPr>
          <w:spacing w:val="-16"/>
        </w:rPr>
        <w:t> </w:t>
      </w:r>
      <w:r>
        <w:rPr/>
        <w:t>destacar</w:t>
      </w:r>
      <w:r>
        <w:rPr>
          <w:spacing w:val="-19"/>
        </w:rPr>
        <w:t> </w:t>
      </w:r>
      <w:r>
        <w:rPr/>
        <w:t>que</w:t>
      </w:r>
      <w:r>
        <w:rPr>
          <w:spacing w:val="-16"/>
        </w:rPr>
        <w:t> </w:t>
      </w:r>
      <w:r>
        <w:rPr/>
        <w:t>se</w:t>
      </w:r>
      <w:r>
        <w:rPr>
          <w:spacing w:val="-16"/>
        </w:rPr>
        <w:t> </w:t>
      </w:r>
      <w:r>
        <w:rPr/>
        <w:t>propone, de acuerdo con Hernández </w:t>
      </w:r>
      <w:r>
        <w:rPr>
          <w:i/>
        </w:rPr>
        <w:t>et. al. </w:t>
      </w:r>
      <w:r>
        <w:rPr/>
        <w:t>(2010), una investigación explicativa con método de investigación mixto. Ya que pretende explicar la realidad que se vive en los municipios del Estado de México en relación a la transparencia gubernamental. El enfoque mixto permitirá superar las debilidades que presentan ambos enfoques</w:t>
      </w:r>
      <w:r>
        <w:rPr>
          <w:spacing w:val="-19"/>
        </w:rPr>
        <w:t> </w:t>
      </w:r>
      <w:r>
        <w:rPr/>
        <w:t>de</w:t>
      </w:r>
    </w:p>
    <w:p>
      <w:pPr>
        <w:spacing w:after="0" w:line="360" w:lineRule="auto"/>
        <w:jc w:val="both"/>
        <w:sectPr>
          <w:pgSz w:w="12240" w:h="15840"/>
          <w:pgMar w:header="0" w:footer="975" w:top="1380" w:bottom="1220" w:left="1600" w:right="1580"/>
        </w:sectPr>
      </w:pPr>
    </w:p>
    <w:p>
      <w:pPr>
        <w:pStyle w:val="BodyText"/>
        <w:spacing w:line="362" w:lineRule="auto" w:before="54"/>
        <w:ind w:left="122" w:right="125"/>
        <w:jc w:val="both"/>
      </w:pPr>
      <w:r>
        <w:rPr/>
        <w:t>manera individual y que complementarios brindan grandes fortalezas a la investigación.</w:t>
      </w:r>
    </w:p>
    <w:p>
      <w:pPr>
        <w:pStyle w:val="BodyText"/>
      </w:pPr>
    </w:p>
    <w:p>
      <w:pPr>
        <w:pStyle w:val="BodyText"/>
      </w:pPr>
    </w:p>
    <w:p>
      <w:pPr>
        <w:pStyle w:val="BodyText"/>
        <w:spacing w:line="360" w:lineRule="auto" w:before="177"/>
        <w:ind w:left="122" w:right="114"/>
        <w:jc w:val="both"/>
      </w:pPr>
      <w:r>
        <w:rPr/>
        <w:t>En</w:t>
      </w:r>
      <w:r>
        <w:rPr>
          <w:spacing w:val="-9"/>
        </w:rPr>
        <w:t> </w:t>
      </w:r>
      <w:r>
        <w:rPr/>
        <w:t>la</w:t>
      </w:r>
      <w:r>
        <w:rPr>
          <w:spacing w:val="-12"/>
        </w:rPr>
        <w:t> </w:t>
      </w:r>
      <w:r>
        <w:rPr/>
        <w:t>parte</w:t>
      </w:r>
      <w:r>
        <w:rPr>
          <w:spacing w:val="-9"/>
        </w:rPr>
        <w:t> </w:t>
      </w:r>
      <w:r>
        <w:rPr/>
        <w:t>cuantitativa</w:t>
      </w:r>
      <w:r>
        <w:rPr>
          <w:spacing w:val="-9"/>
        </w:rPr>
        <w:t> </w:t>
      </w:r>
      <w:r>
        <w:rPr/>
        <w:t>se</w:t>
      </w:r>
      <w:r>
        <w:rPr>
          <w:spacing w:val="-9"/>
        </w:rPr>
        <w:t> </w:t>
      </w:r>
      <w:r>
        <w:rPr/>
        <w:t>presentan</w:t>
      </w:r>
      <w:r>
        <w:rPr>
          <w:spacing w:val="-12"/>
        </w:rPr>
        <w:t> </w:t>
      </w:r>
      <w:r>
        <w:rPr/>
        <w:t>los</w:t>
      </w:r>
      <w:r>
        <w:rPr>
          <w:spacing w:val="-10"/>
        </w:rPr>
        <w:t> </w:t>
      </w:r>
      <w:r>
        <w:rPr/>
        <w:t>resultados</w:t>
      </w:r>
      <w:r>
        <w:rPr>
          <w:spacing w:val="-13"/>
        </w:rPr>
        <w:t> </w:t>
      </w:r>
      <w:r>
        <w:rPr/>
        <w:t>de</w:t>
      </w:r>
      <w:r>
        <w:rPr>
          <w:spacing w:val="-12"/>
        </w:rPr>
        <w:t> </w:t>
      </w:r>
      <w:r>
        <w:rPr/>
        <w:t>una</w:t>
      </w:r>
      <w:r>
        <w:rPr>
          <w:spacing w:val="-3"/>
        </w:rPr>
        <w:t> </w:t>
      </w:r>
      <w:r>
        <w:rPr/>
        <w:t>encuesta</w:t>
      </w:r>
      <w:r>
        <w:rPr>
          <w:position w:val="8"/>
          <w:sz w:val="16"/>
        </w:rPr>
        <w:t>3</w:t>
      </w:r>
      <w:r>
        <w:rPr>
          <w:spacing w:val="11"/>
          <w:position w:val="8"/>
          <w:sz w:val="16"/>
        </w:rPr>
        <w:t> </w:t>
      </w:r>
      <w:r>
        <w:rPr/>
        <w:t>que</w:t>
      </w:r>
      <w:r>
        <w:rPr>
          <w:spacing w:val="-9"/>
        </w:rPr>
        <w:t> </w:t>
      </w:r>
      <w:r>
        <w:rPr/>
        <w:t>se</w:t>
      </w:r>
      <w:r>
        <w:rPr>
          <w:spacing w:val="-9"/>
        </w:rPr>
        <w:t> </w:t>
      </w:r>
      <w:r>
        <w:rPr/>
        <w:t>realizó a los responsables de transparencia de los municipios, dicha información será procesada mediante los programas de SPSS y Excel. La encuesta es complementada con los resultados de una entrevista semiestructurada</w:t>
      </w:r>
      <w:r>
        <w:rPr>
          <w:position w:val="8"/>
          <w:sz w:val="16"/>
        </w:rPr>
        <w:t>4 </w:t>
      </w:r>
      <w:r>
        <w:rPr/>
        <w:t>que apoya la descripción de la realidad que viven los responsables de transparencia sobre la práctica de esta en sus áreas de trabajo; la información fue procesada con el programa Atlas TI 7. De manera complementaria se hace uso de tres métodos propuestos por Briones (2002): primero, el método estadístico, ya que se hace uso de las principales medidas de tendencia central en relación a la práctica de la transparencia. Segundo, el método histórico, que aporta información relevante sobre el origen y evolución de la transparencia en los municipios mexiquenses en su primera década de instrumentación. El tercer método, denominado deductivo, sirvió</w:t>
      </w:r>
      <w:r>
        <w:rPr>
          <w:spacing w:val="-5"/>
        </w:rPr>
        <w:t> </w:t>
      </w:r>
      <w:r>
        <w:rPr/>
        <w:t>para</w:t>
      </w:r>
      <w:r>
        <w:rPr>
          <w:spacing w:val="-5"/>
        </w:rPr>
        <w:t> </w:t>
      </w:r>
      <w:r>
        <w:rPr/>
        <w:t>apoyar</w:t>
      </w:r>
      <w:r>
        <w:rPr>
          <w:spacing w:val="-5"/>
        </w:rPr>
        <w:t> </w:t>
      </w:r>
      <w:r>
        <w:rPr/>
        <w:t>la</w:t>
      </w:r>
      <w:r>
        <w:rPr>
          <w:spacing w:val="-5"/>
        </w:rPr>
        <w:t> </w:t>
      </w:r>
      <w:r>
        <w:rPr/>
        <w:t>comprensión</w:t>
      </w:r>
      <w:r>
        <w:rPr>
          <w:spacing w:val="-6"/>
        </w:rPr>
        <w:t> </w:t>
      </w:r>
      <w:r>
        <w:rPr/>
        <w:t>de</w:t>
      </w:r>
      <w:r>
        <w:rPr>
          <w:spacing w:val="-5"/>
        </w:rPr>
        <w:t> </w:t>
      </w:r>
      <w:r>
        <w:rPr/>
        <w:t>la</w:t>
      </w:r>
      <w:r>
        <w:rPr>
          <w:spacing w:val="-5"/>
        </w:rPr>
        <w:t> </w:t>
      </w:r>
      <w:r>
        <w:rPr/>
        <w:t>transparencia,</w:t>
      </w:r>
      <w:r>
        <w:rPr>
          <w:spacing w:val="-5"/>
        </w:rPr>
        <w:t> </w:t>
      </w:r>
      <w:r>
        <w:rPr/>
        <w:t>toda</w:t>
      </w:r>
      <w:r>
        <w:rPr>
          <w:spacing w:val="-7"/>
        </w:rPr>
        <w:t> </w:t>
      </w:r>
      <w:r>
        <w:rPr/>
        <w:t>vez</w:t>
      </w:r>
      <w:r>
        <w:rPr>
          <w:spacing w:val="-8"/>
        </w:rPr>
        <w:t> </w:t>
      </w:r>
      <w:r>
        <w:rPr/>
        <w:t>que</w:t>
      </w:r>
      <w:r>
        <w:rPr>
          <w:spacing w:val="-2"/>
        </w:rPr>
        <w:t> </w:t>
      </w:r>
      <w:r>
        <w:rPr/>
        <w:t>se</w:t>
      </w:r>
      <w:r>
        <w:rPr>
          <w:spacing w:val="-5"/>
        </w:rPr>
        <w:t> </w:t>
      </w:r>
      <w:r>
        <w:rPr/>
        <w:t>partió</w:t>
      </w:r>
      <w:r>
        <w:rPr>
          <w:spacing w:val="-2"/>
        </w:rPr>
        <w:t> </w:t>
      </w:r>
      <w:r>
        <w:rPr/>
        <w:t>sobre la misma práctica de aspectos generales a casos muy</w:t>
      </w:r>
      <w:r>
        <w:rPr>
          <w:spacing w:val="-18"/>
        </w:rPr>
        <w:t> </w:t>
      </w:r>
      <w:r>
        <w:rPr/>
        <w:t>particulares.</w:t>
      </w:r>
    </w:p>
    <w:p>
      <w:pPr>
        <w:pStyle w:val="BodyText"/>
      </w:pPr>
    </w:p>
    <w:p>
      <w:pPr>
        <w:pStyle w:val="BodyText"/>
      </w:pPr>
    </w:p>
    <w:p>
      <w:pPr>
        <w:pStyle w:val="BodyText"/>
        <w:spacing w:line="360" w:lineRule="auto" w:before="185"/>
        <w:ind w:left="122" w:right="116"/>
        <w:jc w:val="both"/>
      </w:pPr>
      <w:r>
        <w:rPr/>
        <w:t>Dentro de las técnicas para recolección de información se hizo una revisión documental sobre el tema del GA y, particularmente del pilar número uno, referido a la transparencia y el acceso de la información; a efectos de elaborar una aproximación del estado del arte sobre la misma.</w:t>
      </w:r>
    </w:p>
    <w:p>
      <w:pPr>
        <w:pStyle w:val="BodyText"/>
      </w:pPr>
    </w:p>
    <w:p>
      <w:pPr>
        <w:pStyle w:val="BodyText"/>
      </w:pPr>
    </w:p>
    <w:p>
      <w:pPr>
        <w:pStyle w:val="BodyText"/>
        <w:spacing w:line="360" w:lineRule="auto" w:before="188"/>
        <w:ind w:left="122" w:right="115"/>
        <w:jc w:val="both"/>
      </w:pPr>
      <w:r>
        <w:rPr/>
        <w:t>Las</w:t>
      </w:r>
      <w:r>
        <w:rPr>
          <w:spacing w:val="-17"/>
        </w:rPr>
        <w:t> </w:t>
      </w:r>
      <w:r>
        <w:rPr/>
        <w:t>fuentes</w:t>
      </w:r>
      <w:r>
        <w:rPr>
          <w:spacing w:val="-16"/>
        </w:rPr>
        <w:t> </w:t>
      </w:r>
      <w:r>
        <w:rPr/>
        <w:t>primarias</w:t>
      </w:r>
      <w:r>
        <w:rPr>
          <w:spacing w:val="-14"/>
        </w:rPr>
        <w:t> </w:t>
      </w:r>
      <w:r>
        <w:rPr/>
        <w:t>que</w:t>
      </w:r>
      <w:r>
        <w:rPr>
          <w:spacing w:val="-14"/>
        </w:rPr>
        <w:t> </w:t>
      </w:r>
      <w:r>
        <w:rPr/>
        <w:t>se</w:t>
      </w:r>
      <w:r>
        <w:rPr>
          <w:spacing w:val="-17"/>
        </w:rPr>
        <w:t> </w:t>
      </w:r>
      <w:r>
        <w:rPr/>
        <w:t>utilizaron</w:t>
      </w:r>
      <w:r>
        <w:rPr>
          <w:spacing w:val="-16"/>
        </w:rPr>
        <w:t> </w:t>
      </w:r>
      <w:r>
        <w:rPr/>
        <w:t>fueron</w:t>
      </w:r>
      <w:r>
        <w:rPr>
          <w:spacing w:val="-14"/>
        </w:rPr>
        <w:t> </w:t>
      </w:r>
      <w:r>
        <w:rPr/>
        <w:t>la</w:t>
      </w:r>
      <w:r>
        <w:rPr>
          <w:spacing w:val="-14"/>
        </w:rPr>
        <w:t> </w:t>
      </w:r>
      <w:r>
        <w:rPr/>
        <w:t>Constitución</w:t>
      </w:r>
      <w:r>
        <w:rPr>
          <w:spacing w:val="-14"/>
        </w:rPr>
        <w:t> </w:t>
      </w:r>
      <w:r>
        <w:rPr/>
        <w:t>Política</w:t>
      </w:r>
      <w:r>
        <w:rPr>
          <w:spacing w:val="-17"/>
        </w:rPr>
        <w:t> </w:t>
      </w:r>
      <w:r>
        <w:rPr/>
        <w:t>de</w:t>
      </w:r>
      <w:r>
        <w:rPr>
          <w:spacing w:val="-14"/>
        </w:rPr>
        <w:t> </w:t>
      </w:r>
      <w:r>
        <w:rPr/>
        <w:t>los</w:t>
      </w:r>
      <w:r>
        <w:rPr>
          <w:spacing w:val="-17"/>
        </w:rPr>
        <w:t> </w:t>
      </w:r>
      <w:r>
        <w:rPr/>
        <w:t>Estados Unidos Mexicanos, la Constitución Política del Estado Libre y Soberano de</w:t>
      </w:r>
      <w:r>
        <w:rPr>
          <w:spacing w:val="-30"/>
        </w:rPr>
        <w:t> </w:t>
      </w:r>
      <w:r>
        <w:rPr/>
        <w:t>México, La Ley Federal de Transparencia y Acceso a la Información Pública, la Ley de Transparencia</w:t>
      </w:r>
      <w:r>
        <w:rPr>
          <w:spacing w:val="-17"/>
        </w:rPr>
        <w:t> </w:t>
      </w:r>
      <w:r>
        <w:rPr/>
        <w:t>y</w:t>
      </w:r>
      <w:r>
        <w:rPr>
          <w:spacing w:val="-20"/>
        </w:rPr>
        <w:t> </w:t>
      </w:r>
      <w:r>
        <w:rPr/>
        <w:t>Acceso</w:t>
      </w:r>
      <w:r>
        <w:rPr>
          <w:spacing w:val="-17"/>
        </w:rPr>
        <w:t> </w:t>
      </w:r>
      <w:r>
        <w:rPr/>
        <w:t>a</w:t>
      </w:r>
      <w:r>
        <w:rPr>
          <w:spacing w:val="-19"/>
        </w:rPr>
        <w:t> </w:t>
      </w:r>
      <w:r>
        <w:rPr/>
        <w:t>la</w:t>
      </w:r>
      <w:r>
        <w:rPr>
          <w:spacing w:val="-19"/>
        </w:rPr>
        <w:t> </w:t>
      </w:r>
      <w:r>
        <w:rPr/>
        <w:t>Información</w:t>
      </w:r>
      <w:r>
        <w:rPr>
          <w:spacing w:val="-19"/>
        </w:rPr>
        <w:t> </w:t>
      </w:r>
      <w:r>
        <w:rPr/>
        <w:t>Pública</w:t>
      </w:r>
      <w:r>
        <w:rPr>
          <w:spacing w:val="-17"/>
        </w:rPr>
        <w:t> </w:t>
      </w:r>
      <w:r>
        <w:rPr/>
        <w:t>del</w:t>
      </w:r>
      <w:r>
        <w:rPr>
          <w:spacing w:val="-13"/>
        </w:rPr>
        <w:t> </w:t>
      </w:r>
      <w:r>
        <w:rPr/>
        <w:t>Estado</w:t>
      </w:r>
      <w:r>
        <w:rPr>
          <w:spacing w:val="-19"/>
        </w:rPr>
        <w:t> </w:t>
      </w:r>
      <w:r>
        <w:rPr/>
        <w:t>de</w:t>
      </w:r>
      <w:r>
        <w:rPr>
          <w:spacing w:val="-17"/>
        </w:rPr>
        <w:t> </w:t>
      </w:r>
      <w:r>
        <w:rPr/>
        <w:t>México</w:t>
      </w:r>
      <w:r>
        <w:rPr>
          <w:spacing w:val="-16"/>
        </w:rPr>
        <w:t> </w:t>
      </w:r>
      <w:r>
        <w:rPr/>
        <w:t>y</w:t>
      </w:r>
      <w:r>
        <w:rPr>
          <w:spacing w:val="-20"/>
        </w:rPr>
        <w:t> </w:t>
      </w:r>
      <w:r>
        <w:rPr/>
        <w:t>Municipios,</w:t>
      </w:r>
    </w:p>
    <w:p>
      <w:pPr>
        <w:pStyle w:val="BodyText"/>
        <w:spacing w:before="4"/>
        <w:rPr>
          <w:sz w:val="20"/>
        </w:rPr>
      </w:pPr>
      <w:r>
        <w:rPr/>
        <w:pict>
          <v:line style="position:absolute;mso-position-horizontal-relative:page;mso-position-vertical-relative:paragraph;z-index:1096;mso-wrap-distance-left:0;mso-wrap-distance-right:0" from="85.103996pt,14.033919pt" to="229.123996pt,14.033919pt" stroked="true" strokeweight=".71997pt" strokecolor="#000000">
            <w10:wrap type="topAndBottom"/>
          </v:line>
        </w:pict>
      </w:r>
    </w:p>
    <w:p>
      <w:pPr>
        <w:spacing w:line="162" w:lineRule="exact" w:before="69"/>
        <w:ind w:left="122" w:right="337" w:firstLine="0"/>
        <w:jc w:val="left"/>
        <w:rPr>
          <w:sz w:val="14"/>
        </w:rPr>
      </w:pPr>
      <w:r>
        <w:rPr>
          <w:position w:val="5"/>
          <w:sz w:val="9"/>
        </w:rPr>
        <w:t>3 </w:t>
      </w:r>
      <w:r>
        <w:rPr>
          <w:sz w:val="14"/>
        </w:rPr>
        <w:t>Se envió por correo electrónico una encuesta a los 125 municipios del Estado de México y solamente respondieron 78.</w:t>
      </w:r>
    </w:p>
    <w:p>
      <w:pPr>
        <w:spacing w:line="242" w:lineRule="auto" w:before="0"/>
        <w:ind w:left="122" w:right="-15" w:firstLine="0"/>
        <w:jc w:val="left"/>
        <w:rPr>
          <w:sz w:val="14"/>
        </w:rPr>
      </w:pPr>
      <w:r>
        <w:rPr>
          <w:position w:val="5"/>
          <w:sz w:val="9"/>
        </w:rPr>
        <w:t>4 </w:t>
      </w:r>
      <w:r>
        <w:rPr>
          <w:sz w:val="14"/>
        </w:rPr>
        <w:t>Cabe mencionar que envió oficio al INFOEM para solicitar la realización de entrevistas y no hubo respuesta. En cuanto a los responsables de información sólo accedió la del municipio de San Mateo Atenco.</w:t>
      </w:r>
    </w:p>
    <w:p>
      <w:pPr>
        <w:spacing w:after="0" w:line="242" w:lineRule="auto"/>
        <w:jc w:val="left"/>
        <w:rPr>
          <w:sz w:val="14"/>
        </w:rPr>
        <w:sectPr>
          <w:pgSz w:w="12240" w:h="15840"/>
          <w:pgMar w:header="0" w:footer="975" w:top="1360" w:bottom="1220" w:left="1580" w:right="1580"/>
        </w:sectPr>
      </w:pPr>
    </w:p>
    <w:p>
      <w:pPr>
        <w:pStyle w:val="BodyText"/>
        <w:spacing w:line="360" w:lineRule="auto" w:before="54"/>
        <w:ind w:left="102" w:right="115"/>
        <w:jc w:val="both"/>
      </w:pPr>
      <w:r>
        <w:rPr/>
        <w:t>Planes</w:t>
      </w:r>
      <w:r>
        <w:rPr>
          <w:spacing w:val="-9"/>
        </w:rPr>
        <w:t> </w:t>
      </w:r>
      <w:r>
        <w:rPr/>
        <w:t>de</w:t>
      </w:r>
      <w:r>
        <w:rPr>
          <w:spacing w:val="-8"/>
        </w:rPr>
        <w:t> </w:t>
      </w:r>
      <w:r>
        <w:rPr/>
        <w:t>Desarrollo</w:t>
      </w:r>
      <w:r>
        <w:rPr>
          <w:spacing w:val="-7"/>
        </w:rPr>
        <w:t> </w:t>
      </w:r>
      <w:r>
        <w:rPr/>
        <w:t>e</w:t>
      </w:r>
      <w:r>
        <w:rPr>
          <w:spacing w:val="-8"/>
        </w:rPr>
        <w:t> </w:t>
      </w:r>
      <w:r>
        <w:rPr/>
        <w:t>Informes</w:t>
      </w:r>
      <w:r>
        <w:rPr>
          <w:spacing w:val="-9"/>
        </w:rPr>
        <w:t> </w:t>
      </w:r>
      <w:r>
        <w:rPr/>
        <w:t>de</w:t>
      </w:r>
      <w:r>
        <w:rPr>
          <w:spacing w:val="-8"/>
        </w:rPr>
        <w:t> </w:t>
      </w:r>
      <w:r>
        <w:rPr/>
        <w:t>Actividades</w:t>
      </w:r>
      <w:r>
        <w:rPr>
          <w:spacing w:val="-5"/>
        </w:rPr>
        <w:t> </w:t>
      </w:r>
      <w:r>
        <w:rPr/>
        <w:t>de</w:t>
      </w:r>
      <w:r>
        <w:rPr>
          <w:spacing w:val="-8"/>
        </w:rPr>
        <w:t> </w:t>
      </w:r>
      <w:r>
        <w:rPr/>
        <w:t>los</w:t>
      </w:r>
      <w:r>
        <w:rPr>
          <w:spacing w:val="-6"/>
        </w:rPr>
        <w:t> </w:t>
      </w:r>
      <w:r>
        <w:rPr/>
        <w:t>Gobernadores</w:t>
      </w:r>
      <w:r>
        <w:rPr>
          <w:spacing w:val="-7"/>
        </w:rPr>
        <w:t> </w:t>
      </w:r>
      <w:r>
        <w:rPr/>
        <w:t>del</w:t>
      </w:r>
      <w:r>
        <w:rPr>
          <w:spacing w:val="-5"/>
        </w:rPr>
        <w:t> </w:t>
      </w:r>
      <w:r>
        <w:rPr/>
        <w:t>Estado</w:t>
      </w:r>
      <w:r>
        <w:rPr>
          <w:spacing w:val="-8"/>
        </w:rPr>
        <w:t> </w:t>
      </w:r>
      <w:r>
        <w:rPr/>
        <w:t>de México, los Boletines del Instituto Nacional de Acceso a la Información Pública y Protección de Datos Personales (INAI), los informes de actividades y portales web del Instituto de Transparencia y Acceso a la Información Pública del Estado de México y Municipios (INFOEM), los Portales web de los municipios, las solicitudes de información realizadas a través del sistema INPOMEX y los resultados de la encuesta y la entrevista realizadas a los responsables de transparencia en los municipios mexiquenses. Todas estas fuentes sirvieron para conocer, analizar y describir el objeto de</w:t>
      </w:r>
      <w:r>
        <w:rPr>
          <w:spacing w:val="-11"/>
        </w:rPr>
        <w:t> </w:t>
      </w:r>
      <w:r>
        <w:rPr/>
        <w:t>estudio.</w:t>
      </w:r>
    </w:p>
    <w:p>
      <w:pPr>
        <w:pStyle w:val="BodyText"/>
      </w:pPr>
    </w:p>
    <w:p>
      <w:pPr>
        <w:pStyle w:val="BodyText"/>
      </w:pPr>
    </w:p>
    <w:p>
      <w:pPr>
        <w:pStyle w:val="BodyText"/>
        <w:spacing w:line="360" w:lineRule="auto" w:before="188"/>
        <w:ind w:left="102" w:right="113"/>
        <w:jc w:val="both"/>
      </w:pPr>
      <w:r>
        <w:rPr/>
        <w:t>Dentro de las fuentes secundarias utilizadas se encontraron los libros y artículos que se han escrito sobre el tema, las noticias de periódicos, revistas, reseñas y compilaciones realizadas sobre la transparencia.</w:t>
      </w:r>
    </w:p>
    <w:p>
      <w:pPr>
        <w:pStyle w:val="BodyText"/>
      </w:pPr>
    </w:p>
    <w:p>
      <w:pPr>
        <w:pStyle w:val="BodyText"/>
        <w:spacing w:before="1"/>
        <w:rPr>
          <w:sz w:val="26"/>
        </w:rPr>
      </w:pPr>
    </w:p>
    <w:p>
      <w:pPr>
        <w:pStyle w:val="BodyText"/>
        <w:spacing w:line="360" w:lineRule="auto"/>
        <w:ind w:left="102" w:right="114"/>
        <w:jc w:val="both"/>
      </w:pPr>
      <w:r>
        <w:rPr/>
        <w:t>La presente investigación se ha estructurado en cuatro capítulos. El primero de ellos,</w:t>
      </w:r>
      <w:r>
        <w:rPr>
          <w:spacing w:val="-9"/>
        </w:rPr>
        <w:t> </w:t>
      </w:r>
      <w:r>
        <w:rPr/>
        <w:t>referido</w:t>
      </w:r>
      <w:r>
        <w:rPr>
          <w:spacing w:val="-11"/>
        </w:rPr>
        <w:t> </w:t>
      </w:r>
      <w:r>
        <w:rPr/>
        <w:t>al</w:t>
      </w:r>
      <w:r>
        <w:rPr>
          <w:spacing w:val="-12"/>
        </w:rPr>
        <w:t> </w:t>
      </w:r>
      <w:r>
        <w:rPr/>
        <w:t>marco</w:t>
      </w:r>
      <w:r>
        <w:rPr>
          <w:spacing w:val="-11"/>
        </w:rPr>
        <w:t> </w:t>
      </w:r>
      <w:r>
        <w:rPr/>
        <w:t>teórico</w:t>
      </w:r>
      <w:r>
        <w:rPr>
          <w:spacing w:val="-11"/>
        </w:rPr>
        <w:t> </w:t>
      </w:r>
      <w:r>
        <w:rPr/>
        <w:t>y</w:t>
      </w:r>
      <w:r>
        <w:rPr>
          <w:spacing w:val="-12"/>
        </w:rPr>
        <w:t> </w:t>
      </w:r>
      <w:r>
        <w:rPr/>
        <w:t>conceptual,</w:t>
      </w:r>
      <w:r>
        <w:rPr>
          <w:spacing w:val="-9"/>
        </w:rPr>
        <w:t> </w:t>
      </w:r>
      <w:r>
        <w:rPr/>
        <w:t>describe</w:t>
      </w:r>
      <w:r>
        <w:rPr>
          <w:spacing w:val="-8"/>
        </w:rPr>
        <w:t> </w:t>
      </w:r>
      <w:r>
        <w:rPr/>
        <w:t>las</w:t>
      </w:r>
      <w:r>
        <w:rPr>
          <w:spacing w:val="-11"/>
        </w:rPr>
        <w:t> </w:t>
      </w:r>
      <w:r>
        <w:rPr/>
        <w:t>teorías</w:t>
      </w:r>
      <w:r>
        <w:rPr>
          <w:spacing w:val="-9"/>
        </w:rPr>
        <w:t> </w:t>
      </w:r>
      <w:r>
        <w:rPr/>
        <w:t>que</w:t>
      </w:r>
      <w:r>
        <w:rPr>
          <w:spacing w:val="-11"/>
        </w:rPr>
        <w:t> </w:t>
      </w:r>
      <w:r>
        <w:rPr/>
        <w:t>sirven</w:t>
      </w:r>
      <w:r>
        <w:rPr>
          <w:spacing w:val="-8"/>
        </w:rPr>
        <w:t> </w:t>
      </w:r>
      <w:r>
        <w:rPr/>
        <w:t>de</w:t>
      </w:r>
      <w:r>
        <w:rPr>
          <w:spacing w:val="-11"/>
        </w:rPr>
        <w:t> </w:t>
      </w:r>
      <w:r>
        <w:rPr/>
        <w:t>base para fundamentar el objeto de estudio. Las Teorías del Estado, que establecen la evolución histórica de esta forma de organización. Situación que permite contextualizar</w:t>
      </w:r>
      <w:r>
        <w:rPr>
          <w:spacing w:val="-12"/>
        </w:rPr>
        <w:t> </w:t>
      </w:r>
      <w:r>
        <w:rPr/>
        <w:t>cómo</w:t>
      </w:r>
      <w:r>
        <w:rPr>
          <w:spacing w:val="-12"/>
        </w:rPr>
        <w:t> </w:t>
      </w:r>
      <w:r>
        <w:rPr/>
        <w:t>en</w:t>
      </w:r>
      <w:r>
        <w:rPr>
          <w:spacing w:val="-14"/>
        </w:rPr>
        <w:t> </w:t>
      </w:r>
      <w:r>
        <w:rPr/>
        <w:t>los</w:t>
      </w:r>
      <w:r>
        <w:rPr>
          <w:spacing w:val="-11"/>
        </w:rPr>
        <w:t> </w:t>
      </w:r>
      <w:r>
        <w:rPr/>
        <w:t>regímenes</w:t>
      </w:r>
      <w:r>
        <w:rPr>
          <w:spacing w:val="-14"/>
        </w:rPr>
        <w:t> </w:t>
      </w:r>
      <w:r>
        <w:rPr/>
        <w:t>autoritarios</w:t>
      </w:r>
      <w:r>
        <w:rPr>
          <w:spacing w:val="-13"/>
        </w:rPr>
        <w:t> </w:t>
      </w:r>
      <w:r>
        <w:rPr/>
        <w:t>no</w:t>
      </w:r>
      <w:r>
        <w:rPr>
          <w:spacing w:val="-12"/>
        </w:rPr>
        <w:t> </w:t>
      </w:r>
      <w:r>
        <w:rPr/>
        <w:t>se</w:t>
      </w:r>
      <w:r>
        <w:rPr>
          <w:spacing w:val="-10"/>
        </w:rPr>
        <w:t> </w:t>
      </w:r>
      <w:r>
        <w:rPr/>
        <w:t>consideraba</w:t>
      </w:r>
      <w:r>
        <w:rPr>
          <w:spacing w:val="-12"/>
        </w:rPr>
        <w:t> </w:t>
      </w:r>
      <w:r>
        <w:rPr/>
        <w:t>relevante</w:t>
      </w:r>
      <w:r>
        <w:rPr>
          <w:spacing w:val="-9"/>
        </w:rPr>
        <w:t> </w:t>
      </w:r>
      <w:r>
        <w:rPr/>
        <w:t>abrir los asuntos gubernamentales al escrutinio de la sociedad, ya que dentro de sus prácticas</w:t>
      </w:r>
      <w:r>
        <w:rPr>
          <w:spacing w:val="-10"/>
        </w:rPr>
        <w:t> </w:t>
      </w:r>
      <w:r>
        <w:rPr/>
        <w:t>no</w:t>
      </w:r>
      <w:r>
        <w:rPr>
          <w:spacing w:val="-9"/>
        </w:rPr>
        <w:t> </w:t>
      </w:r>
      <w:r>
        <w:rPr/>
        <w:t>se</w:t>
      </w:r>
      <w:r>
        <w:rPr>
          <w:spacing w:val="-9"/>
        </w:rPr>
        <w:t> </w:t>
      </w:r>
      <w:r>
        <w:rPr/>
        <w:t>consideró</w:t>
      </w:r>
      <w:r>
        <w:rPr>
          <w:spacing w:val="-8"/>
        </w:rPr>
        <w:t> </w:t>
      </w:r>
      <w:r>
        <w:rPr/>
        <w:t>necesaria</w:t>
      </w:r>
      <w:r>
        <w:rPr>
          <w:spacing w:val="-9"/>
        </w:rPr>
        <w:t> </w:t>
      </w:r>
      <w:r>
        <w:rPr/>
        <w:t>la</w:t>
      </w:r>
      <w:r>
        <w:rPr>
          <w:spacing w:val="-10"/>
        </w:rPr>
        <w:t> </w:t>
      </w:r>
      <w:r>
        <w:rPr/>
        <w:t>transparencia.</w:t>
      </w:r>
      <w:r>
        <w:rPr>
          <w:spacing w:val="-9"/>
        </w:rPr>
        <w:t> </w:t>
      </w:r>
      <w:r>
        <w:rPr/>
        <w:t>A</w:t>
      </w:r>
      <w:r>
        <w:rPr>
          <w:spacing w:val="-9"/>
        </w:rPr>
        <w:t> </w:t>
      </w:r>
      <w:r>
        <w:rPr/>
        <w:t>diferencia</w:t>
      </w:r>
      <w:r>
        <w:rPr>
          <w:spacing w:val="-10"/>
        </w:rPr>
        <w:t> </w:t>
      </w:r>
      <w:r>
        <w:rPr/>
        <w:t>de</w:t>
      </w:r>
      <w:r>
        <w:rPr>
          <w:spacing w:val="-9"/>
        </w:rPr>
        <w:t> </w:t>
      </w:r>
      <w:r>
        <w:rPr/>
        <w:t>los</w:t>
      </w:r>
      <w:r>
        <w:rPr>
          <w:spacing w:val="-10"/>
        </w:rPr>
        <w:t> </w:t>
      </w:r>
      <w:r>
        <w:rPr/>
        <w:t>regímenes democráticos,</w:t>
      </w:r>
      <w:r>
        <w:rPr>
          <w:spacing w:val="-18"/>
        </w:rPr>
        <w:t> </w:t>
      </w:r>
      <w:r>
        <w:rPr/>
        <w:t>que</w:t>
      </w:r>
      <w:r>
        <w:rPr>
          <w:spacing w:val="-18"/>
        </w:rPr>
        <w:t> </w:t>
      </w:r>
      <w:r>
        <w:rPr/>
        <w:t>justifican</w:t>
      </w:r>
      <w:r>
        <w:rPr>
          <w:spacing w:val="-16"/>
        </w:rPr>
        <w:t> </w:t>
      </w:r>
      <w:r>
        <w:rPr/>
        <w:t>la</w:t>
      </w:r>
      <w:r>
        <w:rPr>
          <w:spacing w:val="-18"/>
        </w:rPr>
        <w:t> </w:t>
      </w:r>
      <w:r>
        <w:rPr/>
        <w:t>transparencia</w:t>
      </w:r>
      <w:r>
        <w:rPr>
          <w:spacing w:val="-18"/>
        </w:rPr>
        <w:t> </w:t>
      </w:r>
      <w:r>
        <w:rPr/>
        <w:t>y</w:t>
      </w:r>
      <w:r>
        <w:rPr>
          <w:spacing w:val="-21"/>
        </w:rPr>
        <w:t> </w:t>
      </w:r>
      <w:r>
        <w:rPr/>
        <w:t>el</w:t>
      </w:r>
      <w:r>
        <w:rPr>
          <w:spacing w:val="-19"/>
        </w:rPr>
        <w:t> </w:t>
      </w:r>
      <w:r>
        <w:rPr/>
        <w:t>derecho</w:t>
      </w:r>
      <w:r>
        <w:rPr>
          <w:spacing w:val="-18"/>
        </w:rPr>
        <w:t> </w:t>
      </w:r>
      <w:r>
        <w:rPr/>
        <w:t>de</w:t>
      </w:r>
      <w:r>
        <w:rPr>
          <w:spacing w:val="-20"/>
        </w:rPr>
        <w:t> </w:t>
      </w:r>
      <w:r>
        <w:rPr/>
        <w:t>acceso</w:t>
      </w:r>
      <w:r>
        <w:rPr>
          <w:spacing w:val="-20"/>
        </w:rPr>
        <w:t> </w:t>
      </w:r>
      <w:r>
        <w:rPr/>
        <w:t>a</w:t>
      </w:r>
      <w:r>
        <w:rPr>
          <w:spacing w:val="-18"/>
        </w:rPr>
        <w:t> </w:t>
      </w:r>
      <w:r>
        <w:rPr/>
        <w:t>la</w:t>
      </w:r>
      <w:r>
        <w:rPr>
          <w:spacing w:val="-14"/>
        </w:rPr>
        <w:t> </w:t>
      </w:r>
      <w:r>
        <w:rPr/>
        <w:t>información como un tema relevante dentro de las prácticas administrativas de sus gobiernos democráticos, debido a que necesitan legitimar sus acciones ante los ciudadanos que les confiaron su soberanía a través del voto. Asimismo, se describen los elementos del Estado y se particulariza en el objeto de estudio: en el</w:t>
      </w:r>
      <w:r>
        <w:rPr>
          <w:spacing w:val="-18"/>
        </w:rPr>
        <w:t> </w:t>
      </w:r>
      <w:r>
        <w:rPr/>
        <w:t>gobierno.</w:t>
      </w:r>
    </w:p>
    <w:p>
      <w:pPr>
        <w:pStyle w:val="BodyText"/>
      </w:pPr>
    </w:p>
    <w:p>
      <w:pPr>
        <w:pStyle w:val="BodyText"/>
      </w:pPr>
    </w:p>
    <w:p>
      <w:pPr>
        <w:pStyle w:val="BodyText"/>
        <w:spacing w:line="360" w:lineRule="auto" w:before="185"/>
        <w:ind w:left="102" w:right="118"/>
        <w:jc w:val="both"/>
      </w:pPr>
      <w:r>
        <w:rPr/>
        <w:t>Por</w:t>
      </w:r>
      <w:r>
        <w:rPr>
          <w:spacing w:val="-13"/>
        </w:rPr>
        <w:t> </w:t>
      </w:r>
      <w:r>
        <w:rPr/>
        <w:t>su</w:t>
      </w:r>
      <w:r>
        <w:rPr>
          <w:spacing w:val="-16"/>
        </w:rPr>
        <w:t> </w:t>
      </w:r>
      <w:r>
        <w:rPr/>
        <w:t>parte,</w:t>
      </w:r>
      <w:r>
        <w:rPr>
          <w:spacing w:val="-14"/>
        </w:rPr>
        <w:t> </w:t>
      </w:r>
      <w:r>
        <w:rPr/>
        <w:t>la</w:t>
      </w:r>
      <w:r>
        <w:rPr>
          <w:spacing w:val="-16"/>
        </w:rPr>
        <w:t> </w:t>
      </w:r>
      <w:r>
        <w:rPr/>
        <w:t>Teoría</w:t>
      </w:r>
      <w:r>
        <w:rPr>
          <w:spacing w:val="-14"/>
        </w:rPr>
        <w:t> </w:t>
      </w:r>
      <w:r>
        <w:rPr/>
        <w:t>de</w:t>
      </w:r>
      <w:r>
        <w:rPr>
          <w:spacing w:val="-12"/>
        </w:rPr>
        <w:t> </w:t>
      </w:r>
      <w:r>
        <w:rPr/>
        <w:t>la</w:t>
      </w:r>
      <w:r>
        <w:rPr>
          <w:spacing w:val="-14"/>
        </w:rPr>
        <w:t> </w:t>
      </w:r>
      <w:r>
        <w:rPr/>
        <w:t>Administración</w:t>
      </w:r>
      <w:r>
        <w:rPr>
          <w:spacing w:val="-11"/>
        </w:rPr>
        <w:t> </w:t>
      </w:r>
      <w:r>
        <w:rPr/>
        <w:t>Pública</w:t>
      </w:r>
      <w:r>
        <w:rPr>
          <w:spacing w:val="-11"/>
        </w:rPr>
        <w:t> </w:t>
      </w:r>
      <w:r>
        <w:rPr/>
        <w:t>contextualiza</w:t>
      </w:r>
      <w:r>
        <w:rPr>
          <w:spacing w:val="-12"/>
        </w:rPr>
        <w:t> </w:t>
      </w:r>
      <w:r>
        <w:rPr/>
        <w:t>al</w:t>
      </w:r>
      <w:r>
        <w:rPr>
          <w:spacing w:val="-14"/>
        </w:rPr>
        <w:t> </w:t>
      </w:r>
      <w:r>
        <w:rPr/>
        <w:t>GA</w:t>
      </w:r>
      <w:r>
        <w:rPr>
          <w:spacing w:val="-12"/>
        </w:rPr>
        <w:t> </w:t>
      </w:r>
      <w:r>
        <w:rPr/>
        <w:t>como</w:t>
      </w:r>
      <w:r>
        <w:rPr>
          <w:spacing w:val="-14"/>
        </w:rPr>
        <w:t> </w:t>
      </w:r>
      <w:r>
        <w:rPr/>
        <w:t>objeto de</w:t>
      </w:r>
      <w:r>
        <w:rPr>
          <w:spacing w:val="24"/>
        </w:rPr>
        <w:t> </w:t>
      </w:r>
      <w:r>
        <w:rPr/>
        <w:t>estudio</w:t>
      </w:r>
      <w:r>
        <w:rPr>
          <w:spacing w:val="23"/>
        </w:rPr>
        <w:t> </w:t>
      </w:r>
      <w:r>
        <w:rPr/>
        <w:t>y</w:t>
      </w:r>
      <w:r>
        <w:rPr>
          <w:spacing w:val="20"/>
        </w:rPr>
        <w:t> </w:t>
      </w:r>
      <w:r>
        <w:rPr/>
        <w:t>describe</w:t>
      </w:r>
      <w:r>
        <w:rPr>
          <w:spacing w:val="21"/>
        </w:rPr>
        <w:t> </w:t>
      </w:r>
      <w:r>
        <w:rPr/>
        <w:t>el</w:t>
      </w:r>
      <w:r>
        <w:rPr>
          <w:spacing w:val="22"/>
        </w:rPr>
        <w:t> </w:t>
      </w:r>
      <w:r>
        <w:rPr/>
        <w:t>funcionamiento</w:t>
      </w:r>
      <w:r>
        <w:rPr>
          <w:spacing w:val="24"/>
        </w:rPr>
        <w:t> </w:t>
      </w:r>
      <w:r>
        <w:rPr/>
        <w:t>del</w:t>
      </w:r>
      <w:r>
        <w:rPr>
          <w:spacing w:val="20"/>
        </w:rPr>
        <w:t> </w:t>
      </w:r>
      <w:r>
        <w:rPr/>
        <w:t>gobierno</w:t>
      </w:r>
      <w:r>
        <w:rPr>
          <w:spacing w:val="24"/>
        </w:rPr>
        <w:t> </w:t>
      </w:r>
      <w:r>
        <w:rPr/>
        <w:t>como</w:t>
      </w:r>
      <w:r>
        <w:rPr>
          <w:spacing w:val="24"/>
        </w:rPr>
        <w:t> </w:t>
      </w:r>
      <w:r>
        <w:rPr/>
        <w:t>la</w:t>
      </w:r>
      <w:r>
        <w:rPr>
          <w:spacing w:val="21"/>
        </w:rPr>
        <w:t> </w:t>
      </w:r>
      <w:r>
        <w:rPr/>
        <w:t>materialización</w:t>
      </w:r>
      <w:r>
        <w:rPr>
          <w:spacing w:val="24"/>
        </w:rPr>
        <w:t> </w:t>
      </w:r>
      <w:r>
        <w:rPr/>
        <w:t>del</w:t>
      </w:r>
    </w:p>
    <w:p>
      <w:pPr>
        <w:spacing w:after="0" w:line="360" w:lineRule="auto"/>
        <w:jc w:val="both"/>
        <w:sectPr>
          <w:pgSz w:w="12240" w:h="15840"/>
          <w:pgMar w:header="0" w:footer="975" w:top="1360" w:bottom="1220" w:left="1600" w:right="1580"/>
        </w:sectPr>
      </w:pPr>
    </w:p>
    <w:p>
      <w:pPr>
        <w:pStyle w:val="BodyText"/>
        <w:spacing w:line="360" w:lineRule="auto" w:before="54"/>
        <w:ind w:left="102" w:right="115"/>
        <w:jc w:val="both"/>
      </w:pPr>
      <w:r>
        <w:rPr/>
        <w:t>Estado a partir de describir su funcionamiento en sus tres órdenes de gobierno: federal, estatal y municipal. De igual manera se parte de una breve descripción de cómo las antiguas civilizaciones han utilizado cierto tipo de prácticas para generar información que ha permitido dar a conocer su legado, ya que la información es la base de la transparencia y ésta necesita hacer uso de esas prácticas básicas de la administración.</w:t>
      </w:r>
    </w:p>
    <w:p>
      <w:pPr>
        <w:pStyle w:val="BodyText"/>
      </w:pPr>
    </w:p>
    <w:p>
      <w:pPr>
        <w:pStyle w:val="BodyText"/>
      </w:pPr>
    </w:p>
    <w:p>
      <w:pPr>
        <w:pStyle w:val="BodyText"/>
        <w:spacing w:line="360" w:lineRule="auto" w:before="185"/>
        <w:ind w:left="102" w:right="115"/>
        <w:jc w:val="both"/>
      </w:pPr>
      <w:r>
        <w:rPr/>
        <w:t>Las Teorías de la Organización facilitan marcos de análisis para el estudio de las organizaciones. De manera particular se hace uso de dos de éstas: el Neoinstitucionalismo, que describe las reglas formales e informales sobre el funcionamiento del gobierno, a efectos de identificar en qué medida lo escrito en documentos oficiales corresponde a la práctica administrativa del gobierno y cómo la creación de instituciones limita el comportamiento individual de los gobernantes. En tanto que la Sociología de las organizaciones ofrece referentes teóricos para explicar cómo a través de las prácticas cotidianas del gobierno se crea un sentido, una racionalidad, una cultura organizacional en relación al GA y la transparencia, generando con ello cotos de poder para aquellos que logran un mayor control de</w:t>
      </w:r>
      <w:r>
        <w:rPr>
          <w:spacing w:val="-41"/>
        </w:rPr>
        <w:t> </w:t>
      </w:r>
      <w:r>
        <w:rPr/>
        <w:t>la incertidumbre.</w:t>
      </w:r>
    </w:p>
    <w:p>
      <w:pPr>
        <w:pStyle w:val="BodyText"/>
      </w:pPr>
    </w:p>
    <w:p>
      <w:pPr>
        <w:pStyle w:val="BodyText"/>
        <w:spacing w:before="3"/>
        <w:rPr>
          <w:sz w:val="26"/>
        </w:rPr>
      </w:pPr>
    </w:p>
    <w:p>
      <w:pPr>
        <w:pStyle w:val="BodyText"/>
        <w:spacing w:line="360" w:lineRule="auto" w:before="1"/>
        <w:ind w:left="102" w:right="117"/>
        <w:jc w:val="both"/>
      </w:pPr>
      <w:r>
        <w:rPr/>
        <w:t>El</w:t>
      </w:r>
      <w:r>
        <w:rPr>
          <w:spacing w:val="-5"/>
        </w:rPr>
        <w:t> </w:t>
      </w:r>
      <w:r>
        <w:rPr/>
        <w:t>segundo</w:t>
      </w:r>
      <w:r>
        <w:rPr>
          <w:spacing w:val="-3"/>
        </w:rPr>
        <w:t> </w:t>
      </w:r>
      <w:r>
        <w:rPr/>
        <w:t>capítulo</w:t>
      </w:r>
      <w:r>
        <w:rPr>
          <w:spacing w:val="-3"/>
        </w:rPr>
        <w:t> </w:t>
      </w:r>
      <w:r>
        <w:rPr/>
        <w:t>se</w:t>
      </w:r>
      <w:r>
        <w:rPr>
          <w:spacing w:val="-6"/>
        </w:rPr>
        <w:t> </w:t>
      </w:r>
      <w:r>
        <w:rPr/>
        <w:t>presenta</w:t>
      </w:r>
      <w:r>
        <w:rPr>
          <w:spacing w:val="-3"/>
        </w:rPr>
        <w:t> </w:t>
      </w:r>
      <w:r>
        <w:rPr/>
        <w:t>como</w:t>
      </w:r>
      <w:r>
        <w:rPr>
          <w:spacing w:val="-6"/>
        </w:rPr>
        <w:t> </w:t>
      </w:r>
      <w:r>
        <w:rPr/>
        <w:t>una</w:t>
      </w:r>
      <w:r>
        <w:rPr>
          <w:spacing w:val="-6"/>
        </w:rPr>
        <w:t> </w:t>
      </w:r>
      <w:r>
        <w:rPr/>
        <w:t>aproximación</w:t>
      </w:r>
      <w:r>
        <w:rPr>
          <w:spacing w:val="-3"/>
        </w:rPr>
        <w:t> </w:t>
      </w:r>
      <w:r>
        <w:rPr/>
        <w:t>al</w:t>
      </w:r>
      <w:r>
        <w:rPr>
          <w:spacing w:val="-7"/>
        </w:rPr>
        <w:t> </w:t>
      </w:r>
      <w:r>
        <w:rPr/>
        <w:t>estado</w:t>
      </w:r>
      <w:r>
        <w:rPr>
          <w:spacing w:val="-6"/>
        </w:rPr>
        <w:t> </w:t>
      </w:r>
      <w:r>
        <w:rPr/>
        <w:t>del</w:t>
      </w:r>
      <w:r>
        <w:rPr>
          <w:spacing w:val="-5"/>
        </w:rPr>
        <w:t> </w:t>
      </w:r>
      <w:r>
        <w:rPr/>
        <w:t>arte</w:t>
      </w:r>
      <w:r>
        <w:rPr>
          <w:spacing w:val="-4"/>
        </w:rPr>
        <w:t> </w:t>
      </w:r>
      <w:r>
        <w:rPr/>
        <w:t>sobre</w:t>
      </w:r>
      <w:r>
        <w:rPr>
          <w:spacing w:val="-7"/>
        </w:rPr>
        <w:t> </w:t>
      </w:r>
      <w:r>
        <w:rPr/>
        <w:t>el objeto de estudio. Aquí se describen las generalidades del GA, tales como un recorrido sobre sus afinidades semánticas, sus principios y su proceso de formalización ante la Organización de las Naciones Unidas. Posteriormente, se puntualizan las generalidades del acceso a la información, entre las que se encuentran sus orígenes, fundamento legal y concepto. De igual manera, se señalan las generalidades de la transparencia. Con datos sobre sus orígenes, concepto y enfoques a través de los cuales ha sido</w:t>
      </w:r>
      <w:r>
        <w:rPr>
          <w:spacing w:val="-20"/>
        </w:rPr>
        <w:t> </w:t>
      </w:r>
      <w:r>
        <w:rPr/>
        <w:t>estudiada.</w:t>
      </w:r>
    </w:p>
    <w:p>
      <w:pPr>
        <w:spacing w:after="0" w:line="360" w:lineRule="auto"/>
        <w:jc w:val="both"/>
        <w:sectPr>
          <w:pgSz w:w="12240" w:h="15840"/>
          <w:pgMar w:header="0" w:footer="975" w:top="1360" w:bottom="1220" w:left="1600" w:right="1580"/>
        </w:sectPr>
      </w:pPr>
    </w:p>
    <w:p>
      <w:pPr>
        <w:pStyle w:val="BodyText"/>
        <w:spacing w:line="360" w:lineRule="auto" w:before="54"/>
        <w:ind w:left="102" w:right="115"/>
        <w:jc w:val="both"/>
      </w:pPr>
      <w:r>
        <w:rPr/>
        <w:t>Seguido</w:t>
      </w:r>
      <w:r>
        <w:rPr>
          <w:spacing w:val="-15"/>
        </w:rPr>
        <w:t> </w:t>
      </w:r>
      <w:r>
        <w:rPr/>
        <w:t>de</w:t>
      </w:r>
      <w:r>
        <w:rPr>
          <w:spacing w:val="-16"/>
        </w:rPr>
        <w:t> </w:t>
      </w:r>
      <w:r>
        <w:rPr/>
        <w:t>esta</w:t>
      </w:r>
      <w:r>
        <w:rPr>
          <w:spacing w:val="-16"/>
        </w:rPr>
        <w:t> </w:t>
      </w:r>
      <w:r>
        <w:rPr/>
        <w:t>información</w:t>
      </w:r>
      <w:r>
        <w:rPr>
          <w:spacing w:val="-15"/>
        </w:rPr>
        <w:t> </w:t>
      </w:r>
      <w:r>
        <w:rPr/>
        <w:t>se</w:t>
      </w:r>
      <w:r>
        <w:rPr>
          <w:spacing w:val="-18"/>
        </w:rPr>
        <w:t> </w:t>
      </w:r>
      <w:r>
        <w:rPr/>
        <w:t>describe</w:t>
      </w:r>
      <w:r>
        <w:rPr>
          <w:spacing w:val="-16"/>
        </w:rPr>
        <w:t> </w:t>
      </w:r>
      <w:r>
        <w:rPr/>
        <w:t>la</w:t>
      </w:r>
      <w:r>
        <w:rPr>
          <w:spacing w:val="-16"/>
        </w:rPr>
        <w:t> </w:t>
      </w:r>
      <w:r>
        <w:rPr/>
        <w:t>relación</w:t>
      </w:r>
      <w:r>
        <w:rPr>
          <w:spacing w:val="-16"/>
        </w:rPr>
        <w:t> </w:t>
      </w:r>
      <w:r>
        <w:rPr/>
        <w:t>entre</w:t>
      </w:r>
      <w:r>
        <w:rPr>
          <w:spacing w:val="-16"/>
        </w:rPr>
        <w:t> </w:t>
      </w:r>
      <w:r>
        <w:rPr/>
        <w:t>el</w:t>
      </w:r>
      <w:r>
        <w:rPr>
          <w:spacing w:val="-19"/>
        </w:rPr>
        <w:t> </w:t>
      </w:r>
      <w:r>
        <w:rPr/>
        <w:t>acceso</w:t>
      </w:r>
      <w:r>
        <w:rPr>
          <w:spacing w:val="-18"/>
        </w:rPr>
        <w:t> </w:t>
      </w:r>
      <w:r>
        <w:rPr/>
        <w:t>a</w:t>
      </w:r>
      <w:r>
        <w:rPr>
          <w:spacing w:val="-18"/>
        </w:rPr>
        <w:t> </w:t>
      </w:r>
      <w:r>
        <w:rPr/>
        <w:t>la</w:t>
      </w:r>
      <w:r>
        <w:rPr>
          <w:spacing w:val="-16"/>
        </w:rPr>
        <w:t> </w:t>
      </w:r>
      <w:r>
        <w:rPr/>
        <w:t>información, la transparencia y la rendición de cuentas. Por último, este capítulo aborda las instituciones que promueven la transparencia en el orden internacional, tales como el Fondo Monetario Internacional, la Organización de las Naciones Unidas, Banco Mundial,</w:t>
      </w:r>
      <w:r>
        <w:rPr>
          <w:spacing w:val="-14"/>
        </w:rPr>
        <w:t> </w:t>
      </w:r>
      <w:r>
        <w:rPr/>
        <w:t>la</w:t>
      </w:r>
      <w:r>
        <w:rPr>
          <w:spacing w:val="-14"/>
        </w:rPr>
        <w:t> </w:t>
      </w:r>
      <w:r>
        <w:rPr/>
        <w:t>Organización</w:t>
      </w:r>
      <w:r>
        <w:rPr>
          <w:spacing w:val="-14"/>
        </w:rPr>
        <w:t> </w:t>
      </w:r>
      <w:r>
        <w:rPr/>
        <w:t>para</w:t>
      </w:r>
      <w:r>
        <w:rPr>
          <w:spacing w:val="-15"/>
        </w:rPr>
        <w:t> </w:t>
      </w:r>
      <w:r>
        <w:rPr/>
        <w:t>el</w:t>
      </w:r>
      <w:r>
        <w:rPr>
          <w:spacing w:val="-15"/>
        </w:rPr>
        <w:t> </w:t>
      </w:r>
      <w:r>
        <w:rPr/>
        <w:t>Desarrollo</w:t>
      </w:r>
      <w:r>
        <w:rPr>
          <w:spacing w:val="-14"/>
        </w:rPr>
        <w:t> </w:t>
      </w:r>
      <w:r>
        <w:rPr/>
        <w:t>Económico,</w:t>
      </w:r>
      <w:r>
        <w:rPr>
          <w:spacing w:val="-17"/>
        </w:rPr>
        <w:t> </w:t>
      </w:r>
      <w:r>
        <w:rPr/>
        <w:t>La</w:t>
      </w:r>
      <w:r>
        <w:rPr>
          <w:spacing w:val="-14"/>
        </w:rPr>
        <w:t> </w:t>
      </w:r>
      <w:r>
        <w:rPr/>
        <w:t>Alianza</w:t>
      </w:r>
      <w:r>
        <w:rPr>
          <w:spacing w:val="-14"/>
        </w:rPr>
        <w:t> </w:t>
      </w:r>
      <w:r>
        <w:rPr/>
        <w:t>para</w:t>
      </w:r>
      <w:r>
        <w:rPr>
          <w:spacing w:val="-15"/>
        </w:rPr>
        <w:t> </w:t>
      </w:r>
      <w:r>
        <w:rPr/>
        <w:t>el</w:t>
      </w:r>
      <w:r>
        <w:rPr>
          <w:spacing w:val="-15"/>
        </w:rPr>
        <w:t> </w:t>
      </w:r>
      <w:r>
        <w:rPr/>
        <w:t>Gobierno Abierto,</w:t>
      </w:r>
      <w:r>
        <w:rPr>
          <w:spacing w:val="-19"/>
        </w:rPr>
        <w:t> </w:t>
      </w:r>
      <w:r>
        <w:rPr/>
        <w:t>Transparencia</w:t>
      </w:r>
      <w:r>
        <w:rPr>
          <w:spacing w:val="-19"/>
        </w:rPr>
        <w:t> </w:t>
      </w:r>
      <w:r>
        <w:rPr/>
        <w:t>Internacional</w:t>
      </w:r>
      <w:r>
        <w:rPr>
          <w:spacing w:val="-18"/>
        </w:rPr>
        <w:t> </w:t>
      </w:r>
      <w:r>
        <w:rPr/>
        <w:t>y</w:t>
      </w:r>
      <w:r>
        <w:rPr>
          <w:spacing w:val="-20"/>
        </w:rPr>
        <w:t> </w:t>
      </w:r>
      <w:r>
        <w:rPr/>
        <w:t>el</w:t>
      </w:r>
      <w:r>
        <w:rPr>
          <w:spacing w:val="-18"/>
        </w:rPr>
        <w:t> </w:t>
      </w:r>
      <w:r>
        <w:rPr/>
        <w:t>Centro</w:t>
      </w:r>
      <w:r>
        <w:rPr>
          <w:spacing w:val="-13"/>
        </w:rPr>
        <w:t> </w:t>
      </w:r>
      <w:r>
        <w:rPr/>
        <w:t>Latinoamericano</w:t>
      </w:r>
      <w:r>
        <w:rPr>
          <w:spacing w:val="-17"/>
        </w:rPr>
        <w:t> </w:t>
      </w:r>
      <w:r>
        <w:rPr/>
        <w:t>para</w:t>
      </w:r>
      <w:r>
        <w:rPr>
          <w:spacing w:val="-17"/>
        </w:rPr>
        <w:t> </w:t>
      </w:r>
      <w:r>
        <w:rPr/>
        <w:t>el</w:t>
      </w:r>
      <w:r>
        <w:rPr>
          <w:spacing w:val="-18"/>
        </w:rPr>
        <w:t> </w:t>
      </w:r>
      <w:r>
        <w:rPr/>
        <w:t>Desarrollo.</w:t>
      </w:r>
    </w:p>
    <w:p>
      <w:pPr>
        <w:pStyle w:val="BodyText"/>
      </w:pPr>
    </w:p>
    <w:p>
      <w:pPr>
        <w:pStyle w:val="BodyText"/>
      </w:pPr>
    </w:p>
    <w:p>
      <w:pPr>
        <w:pStyle w:val="BodyText"/>
        <w:spacing w:line="360" w:lineRule="auto" w:before="185"/>
        <w:ind w:left="102" w:right="116"/>
        <w:jc w:val="both"/>
      </w:pPr>
      <w:r>
        <w:rPr/>
        <w:t>En</w:t>
      </w:r>
      <w:r>
        <w:rPr>
          <w:spacing w:val="-6"/>
        </w:rPr>
        <w:t> </w:t>
      </w:r>
      <w:r>
        <w:rPr/>
        <w:t>tanto</w:t>
      </w:r>
      <w:r>
        <w:rPr>
          <w:spacing w:val="-5"/>
        </w:rPr>
        <w:t> </w:t>
      </w:r>
      <w:r>
        <w:rPr/>
        <w:t>que</w:t>
      </w:r>
      <w:r>
        <w:rPr>
          <w:spacing w:val="-5"/>
        </w:rPr>
        <w:t> </w:t>
      </w:r>
      <w:r>
        <w:rPr/>
        <w:t>en</w:t>
      </w:r>
      <w:r>
        <w:rPr>
          <w:spacing w:val="-6"/>
        </w:rPr>
        <w:t> </w:t>
      </w:r>
      <w:r>
        <w:rPr/>
        <w:t>el</w:t>
      </w:r>
      <w:r>
        <w:rPr>
          <w:spacing w:val="-7"/>
        </w:rPr>
        <w:t> </w:t>
      </w:r>
      <w:r>
        <w:rPr/>
        <w:t>orden</w:t>
      </w:r>
      <w:r>
        <w:rPr>
          <w:spacing w:val="-4"/>
        </w:rPr>
        <w:t> </w:t>
      </w:r>
      <w:r>
        <w:rPr/>
        <w:t>nacional</w:t>
      </w:r>
      <w:r>
        <w:rPr>
          <w:spacing w:val="-7"/>
        </w:rPr>
        <w:t> </w:t>
      </w:r>
      <w:r>
        <w:rPr/>
        <w:t>se</w:t>
      </w:r>
      <w:r>
        <w:rPr>
          <w:spacing w:val="-6"/>
        </w:rPr>
        <w:t> </w:t>
      </w:r>
      <w:r>
        <w:rPr/>
        <w:t>describen</w:t>
      </w:r>
      <w:r>
        <w:rPr>
          <w:spacing w:val="-4"/>
        </w:rPr>
        <w:t> </w:t>
      </w:r>
      <w:r>
        <w:rPr/>
        <w:t>las</w:t>
      </w:r>
      <w:r>
        <w:rPr>
          <w:spacing w:val="-7"/>
        </w:rPr>
        <w:t> </w:t>
      </w:r>
      <w:r>
        <w:rPr/>
        <w:t>funciones</w:t>
      </w:r>
      <w:r>
        <w:rPr>
          <w:spacing w:val="-7"/>
        </w:rPr>
        <w:t> </w:t>
      </w:r>
      <w:r>
        <w:rPr/>
        <w:t>que</w:t>
      </w:r>
      <w:r>
        <w:rPr>
          <w:spacing w:val="-6"/>
        </w:rPr>
        <w:t> </w:t>
      </w:r>
      <w:r>
        <w:rPr/>
        <w:t>realiza</w:t>
      </w:r>
      <w:r>
        <w:rPr>
          <w:spacing w:val="-4"/>
        </w:rPr>
        <w:t> </w:t>
      </w:r>
      <w:r>
        <w:rPr/>
        <w:t>el</w:t>
      </w:r>
      <w:r>
        <w:rPr>
          <w:spacing w:val="-5"/>
        </w:rPr>
        <w:t> </w:t>
      </w:r>
      <w:r>
        <w:rPr/>
        <w:t>Instituto Nacional de Acceso a la Información, la Secretaría de la Función Pública, la Suprema Corte de Justicia de la Nación y las organizaciones de la sociedad civil que promueven la transparencia del gobierno. Por su parte a nivel estatal, se describen las funciones que realiza el INFOEM en pro de la transparencia y, finalmente, se describen las funciones de los comités de</w:t>
      </w:r>
      <w:r>
        <w:rPr>
          <w:spacing w:val="-22"/>
        </w:rPr>
        <w:t> </w:t>
      </w:r>
      <w:r>
        <w:rPr/>
        <w:t>información.</w:t>
      </w:r>
    </w:p>
    <w:p>
      <w:pPr>
        <w:pStyle w:val="BodyText"/>
      </w:pPr>
    </w:p>
    <w:p>
      <w:pPr>
        <w:pStyle w:val="BodyText"/>
      </w:pPr>
    </w:p>
    <w:p>
      <w:pPr>
        <w:pStyle w:val="BodyText"/>
        <w:spacing w:line="360" w:lineRule="auto" w:before="185"/>
        <w:ind w:left="102" w:right="115"/>
        <w:jc w:val="both"/>
      </w:pPr>
      <w:r>
        <w:rPr/>
        <w:t>El tercer capítulo presenta el análisis empírico de la práctica del GA en los municipios del Estado de México. Para ello se describen los resultados de una encuesta electrónica que se aplicó a los responsables de transparencia de los gobiernos</w:t>
      </w:r>
      <w:r>
        <w:rPr>
          <w:spacing w:val="-9"/>
        </w:rPr>
        <w:t> </w:t>
      </w:r>
      <w:r>
        <w:rPr/>
        <w:t>municipales;</w:t>
      </w:r>
      <w:r>
        <w:rPr>
          <w:spacing w:val="-10"/>
        </w:rPr>
        <w:t> </w:t>
      </w:r>
      <w:r>
        <w:rPr/>
        <w:t>la</w:t>
      </w:r>
      <w:r>
        <w:rPr>
          <w:spacing w:val="-7"/>
        </w:rPr>
        <w:t> </w:t>
      </w:r>
      <w:r>
        <w:rPr/>
        <w:t>cual</w:t>
      </w:r>
      <w:r>
        <w:rPr>
          <w:spacing w:val="-11"/>
        </w:rPr>
        <w:t> </w:t>
      </w:r>
      <w:r>
        <w:rPr/>
        <w:t>es</w:t>
      </w:r>
      <w:r>
        <w:rPr>
          <w:spacing w:val="-8"/>
        </w:rPr>
        <w:t> </w:t>
      </w:r>
      <w:r>
        <w:rPr/>
        <w:t>complementada</w:t>
      </w:r>
      <w:r>
        <w:rPr>
          <w:spacing w:val="-9"/>
        </w:rPr>
        <w:t> </w:t>
      </w:r>
      <w:r>
        <w:rPr/>
        <w:t>con</w:t>
      </w:r>
      <w:r>
        <w:rPr>
          <w:spacing w:val="-7"/>
        </w:rPr>
        <w:t> </w:t>
      </w:r>
      <w:r>
        <w:rPr/>
        <w:t>una</w:t>
      </w:r>
      <w:r>
        <w:rPr>
          <w:spacing w:val="-9"/>
        </w:rPr>
        <w:t> </w:t>
      </w:r>
      <w:r>
        <w:rPr/>
        <w:t>entrevista</w:t>
      </w:r>
      <w:r>
        <w:rPr>
          <w:spacing w:val="-6"/>
        </w:rPr>
        <w:t> </w:t>
      </w:r>
      <w:r>
        <w:rPr/>
        <w:t>que</w:t>
      </w:r>
      <w:r>
        <w:rPr>
          <w:spacing w:val="-7"/>
        </w:rPr>
        <w:t> </w:t>
      </w:r>
      <w:r>
        <w:rPr/>
        <w:t>se</w:t>
      </w:r>
      <w:r>
        <w:rPr>
          <w:spacing w:val="-7"/>
        </w:rPr>
        <w:t> </w:t>
      </w:r>
      <w:r>
        <w:rPr/>
        <w:t>realizó a la responsable del área de transparencia del municipio de San Mateo Atenco. Posteriormente, se muestran los resultados obtenidos de la revisión que se realizó a los portales web de los 125 municipios para determinar el cumplimiento de la ley. Se muestra el cumplimiento de algunas fracciones de la ley de transparencia que se</w:t>
      </w:r>
      <w:r>
        <w:rPr>
          <w:spacing w:val="-11"/>
        </w:rPr>
        <w:t> </w:t>
      </w:r>
      <w:r>
        <w:rPr/>
        <w:t>encuentra</w:t>
      </w:r>
      <w:r>
        <w:rPr>
          <w:spacing w:val="-13"/>
        </w:rPr>
        <w:t> </w:t>
      </w:r>
      <w:r>
        <w:rPr/>
        <w:t>disponible</w:t>
      </w:r>
      <w:r>
        <w:rPr>
          <w:spacing w:val="-11"/>
        </w:rPr>
        <w:t> </w:t>
      </w:r>
      <w:r>
        <w:rPr/>
        <w:t>en</w:t>
      </w:r>
      <w:r>
        <w:rPr>
          <w:spacing w:val="-11"/>
        </w:rPr>
        <w:t> </w:t>
      </w:r>
      <w:r>
        <w:rPr/>
        <w:t>la</w:t>
      </w:r>
      <w:r>
        <w:rPr>
          <w:spacing w:val="-11"/>
        </w:rPr>
        <w:t> </w:t>
      </w:r>
      <w:r>
        <w:rPr/>
        <w:t>plataforma.</w:t>
      </w:r>
      <w:r>
        <w:rPr>
          <w:spacing w:val="-11"/>
        </w:rPr>
        <w:t> </w:t>
      </w:r>
      <w:r>
        <w:rPr/>
        <w:t>Con</w:t>
      </w:r>
      <w:r>
        <w:rPr>
          <w:spacing w:val="-11"/>
        </w:rPr>
        <w:t> </w:t>
      </w:r>
      <w:r>
        <w:rPr/>
        <w:t>esta</w:t>
      </w:r>
      <w:r>
        <w:rPr>
          <w:spacing w:val="-10"/>
        </w:rPr>
        <w:t> </w:t>
      </w:r>
      <w:r>
        <w:rPr/>
        <w:t>información</w:t>
      </w:r>
      <w:r>
        <w:rPr>
          <w:spacing w:val="-10"/>
        </w:rPr>
        <w:t> </w:t>
      </w:r>
      <w:r>
        <w:rPr/>
        <w:t>se</w:t>
      </w:r>
      <w:r>
        <w:rPr>
          <w:spacing w:val="-13"/>
        </w:rPr>
        <w:t> </w:t>
      </w:r>
      <w:r>
        <w:rPr/>
        <w:t>hace</w:t>
      </w:r>
      <w:r>
        <w:rPr>
          <w:spacing w:val="-11"/>
        </w:rPr>
        <w:t> </w:t>
      </w:r>
      <w:r>
        <w:rPr/>
        <w:t>un</w:t>
      </w:r>
      <w:r>
        <w:rPr>
          <w:spacing w:val="-11"/>
        </w:rPr>
        <w:t> </w:t>
      </w:r>
      <w:r>
        <w:rPr/>
        <w:t>cruce</w:t>
      </w:r>
      <w:r>
        <w:rPr>
          <w:spacing w:val="-11"/>
        </w:rPr>
        <w:t> </w:t>
      </w:r>
      <w:r>
        <w:rPr/>
        <w:t>de variables</w:t>
      </w:r>
      <w:r>
        <w:rPr>
          <w:spacing w:val="-4"/>
        </w:rPr>
        <w:t> </w:t>
      </w:r>
      <w:r>
        <w:rPr/>
        <w:t>con</w:t>
      </w:r>
      <w:r>
        <w:rPr>
          <w:spacing w:val="-4"/>
        </w:rPr>
        <w:t> </w:t>
      </w:r>
      <w:r>
        <w:rPr/>
        <w:t>el</w:t>
      </w:r>
      <w:r>
        <w:rPr>
          <w:spacing w:val="-7"/>
        </w:rPr>
        <w:t> </w:t>
      </w:r>
      <w:r>
        <w:rPr/>
        <w:t>objetivo</w:t>
      </w:r>
      <w:r>
        <w:rPr>
          <w:spacing w:val="-4"/>
        </w:rPr>
        <w:t> </w:t>
      </w:r>
      <w:r>
        <w:rPr/>
        <w:t>de</w:t>
      </w:r>
      <w:r>
        <w:rPr>
          <w:spacing w:val="-6"/>
        </w:rPr>
        <w:t> </w:t>
      </w:r>
      <w:r>
        <w:rPr/>
        <w:t>comprobar</w:t>
      </w:r>
      <w:r>
        <w:rPr>
          <w:spacing w:val="-5"/>
        </w:rPr>
        <w:t> </w:t>
      </w:r>
      <w:r>
        <w:rPr/>
        <w:t>la</w:t>
      </w:r>
      <w:r>
        <w:rPr>
          <w:spacing w:val="-6"/>
        </w:rPr>
        <w:t> </w:t>
      </w:r>
      <w:r>
        <w:rPr/>
        <w:t>hipótesis</w:t>
      </w:r>
      <w:r>
        <w:rPr>
          <w:spacing w:val="-5"/>
        </w:rPr>
        <w:t> </w:t>
      </w:r>
      <w:r>
        <w:rPr/>
        <w:t>y</w:t>
      </w:r>
      <w:r>
        <w:rPr>
          <w:spacing w:val="-7"/>
        </w:rPr>
        <w:t> </w:t>
      </w:r>
      <w:r>
        <w:rPr/>
        <w:t>ver</w:t>
      </w:r>
      <w:r>
        <w:rPr>
          <w:spacing w:val="-5"/>
        </w:rPr>
        <w:t> </w:t>
      </w:r>
      <w:r>
        <w:rPr/>
        <w:t>qué</w:t>
      </w:r>
      <w:r>
        <w:rPr>
          <w:spacing w:val="-4"/>
        </w:rPr>
        <w:t> </w:t>
      </w:r>
      <w:r>
        <w:rPr/>
        <w:t>variables</w:t>
      </w:r>
      <w:r>
        <w:rPr>
          <w:spacing w:val="-4"/>
        </w:rPr>
        <w:t> </w:t>
      </w:r>
      <w:r>
        <w:rPr/>
        <w:t>influyen</w:t>
      </w:r>
      <w:r>
        <w:rPr>
          <w:spacing w:val="-6"/>
        </w:rPr>
        <w:t> </w:t>
      </w:r>
      <w:r>
        <w:rPr/>
        <w:t>más en</w:t>
      </w:r>
      <w:r>
        <w:rPr>
          <w:spacing w:val="-7"/>
        </w:rPr>
        <w:t> </w:t>
      </w:r>
      <w:r>
        <w:rPr/>
        <w:t>el</w:t>
      </w:r>
      <w:r>
        <w:rPr>
          <w:spacing w:val="-8"/>
        </w:rPr>
        <w:t> </w:t>
      </w:r>
      <w:r>
        <w:rPr/>
        <w:t>cumplimiento</w:t>
      </w:r>
      <w:r>
        <w:rPr>
          <w:spacing w:val="-9"/>
        </w:rPr>
        <w:t> </w:t>
      </w:r>
      <w:r>
        <w:rPr/>
        <w:t>de</w:t>
      </w:r>
      <w:r>
        <w:rPr>
          <w:spacing w:val="-7"/>
        </w:rPr>
        <w:t> </w:t>
      </w:r>
      <w:r>
        <w:rPr/>
        <w:t>la</w:t>
      </w:r>
      <w:r>
        <w:rPr>
          <w:spacing w:val="-7"/>
        </w:rPr>
        <w:t> </w:t>
      </w:r>
      <w:r>
        <w:rPr/>
        <w:t>normativa.</w:t>
      </w:r>
      <w:r>
        <w:rPr>
          <w:spacing w:val="-7"/>
        </w:rPr>
        <w:t> </w:t>
      </w:r>
      <w:r>
        <w:rPr/>
        <w:t>De</w:t>
      </w:r>
      <w:r>
        <w:rPr>
          <w:spacing w:val="-7"/>
        </w:rPr>
        <w:t> </w:t>
      </w:r>
      <w:r>
        <w:rPr/>
        <w:t>igual</w:t>
      </w:r>
      <w:r>
        <w:rPr>
          <w:spacing w:val="-11"/>
        </w:rPr>
        <w:t> </w:t>
      </w:r>
      <w:r>
        <w:rPr/>
        <w:t>manera</w:t>
      </w:r>
      <w:r>
        <w:rPr>
          <w:spacing w:val="-8"/>
        </w:rPr>
        <w:t> </w:t>
      </w:r>
      <w:r>
        <w:rPr/>
        <w:t>en</w:t>
      </w:r>
      <w:r>
        <w:rPr>
          <w:spacing w:val="-7"/>
        </w:rPr>
        <w:t> </w:t>
      </w:r>
      <w:r>
        <w:rPr/>
        <w:t>este</w:t>
      </w:r>
      <w:r>
        <w:rPr>
          <w:spacing w:val="-7"/>
        </w:rPr>
        <w:t> </w:t>
      </w:r>
      <w:r>
        <w:rPr/>
        <w:t>apartado</w:t>
      </w:r>
      <w:r>
        <w:rPr>
          <w:spacing w:val="-7"/>
        </w:rPr>
        <w:t> </w:t>
      </w:r>
      <w:r>
        <w:rPr/>
        <w:t>se</w:t>
      </w:r>
      <w:r>
        <w:rPr>
          <w:spacing w:val="-9"/>
        </w:rPr>
        <w:t> </w:t>
      </w:r>
      <w:r>
        <w:rPr/>
        <w:t>describen los</w:t>
      </w:r>
      <w:r>
        <w:rPr>
          <w:spacing w:val="-12"/>
        </w:rPr>
        <w:t> </w:t>
      </w:r>
      <w:r>
        <w:rPr/>
        <w:t>resultados</w:t>
      </w:r>
      <w:r>
        <w:rPr>
          <w:spacing w:val="-15"/>
        </w:rPr>
        <w:t> </w:t>
      </w:r>
      <w:r>
        <w:rPr/>
        <w:t>que</w:t>
      </w:r>
      <w:r>
        <w:rPr>
          <w:spacing w:val="-12"/>
        </w:rPr>
        <w:t> </w:t>
      </w:r>
      <w:r>
        <w:rPr/>
        <w:t>arrojaron</w:t>
      </w:r>
      <w:r>
        <w:rPr>
          <w:spacing w:val="-12"/>
        </w:rPr>
        <w:t> </w:t>
      </w:r>
      <w:r>
        <w:rPr/>
        <w:t>otras</w:t>
      </w:r>
      <w:r>
        <w:rPr>
          <w:spacing w:val="-13"/>
        </w:rPr>
        <w:t> </w:t>
      </w:r>
      <w:r>
        <w:rPr/>
        <w:t>encuestas</w:t>
      </w:r>
      <w:r>
        <w:rPr>
          <w:spacing w:val="-17"/>
        </w:rPr>
        <w:t> </w:t>
      </w:r>
      <w:r>
        <w:rPr/>
        <w:t>que</w:t>
      </w:r>
      <w:r>
        <w:rPr>
          <w:spacing w:val="-12"/>
        </w:rPr>
        <w:t> </w:t>
      </w:r>
      <w:r>
        <w:rPr/>
        <w:t>realizaron</w:t>
      </w:r>
      <w:r>
        <w:rPr>
          <w:spacing w:val="-8"/>
        </w:rPr>
        <w:t> </w:t>
      </w:r>
      <w:r>
        <w:rPr/>
        <w:t>otras</w:t>
      </w:r>
      <w:r>
        <w:rPr>
          <w:spacing w:val="-15"/>
        </w:rPr>
        <w:t> </w:t>
      </w:r>
      <w:r>
        <w:rPr/>
        <w:t>organizaciones</w:t>
      </w:r>
      <w:r>
        <w:rPr>
          <w:spacing w:val="-13"/>
        </w:rPr>
        <w:t> </w:t>
      </w:r>
      <w:r>
        <w:rPr/>
        <w:t>en relación a la práctica de la</w:t>
      </w:r>
      <w:r>
        <w:rPr>
          <w:spacing w:val="-10"/>
        </w:rPr>
        <w:t> </w:t>
      </w:r>
      <w:r>
        <w:rPr/>
        <w:t>transparencia.</w:t>
      </w:r>
    </w:p>
    <w:p>
      <w:pPr>
        <w:spacing w:after="0" w:line="360" w:lineRule="auto"/>
        <w:jc w:val="both"/>
        <w:sectPr>
          <w:pgSz w:w="12240" w:h="15840"/>
          <w:pgMar w:header="0" w:footer="975" w:top="1360" w:bottom="1220" w:left="1600" w:right="1580"/>
        </w:sectPr>
      </w:pPr>
    </w:p>
    <w:p>
      <w:pPr>
        <w:pStyle w:val="BodyText"/>
        <w:spacing w:line="360" w:lineRule="auto" w:before="54"/>
        <w:ind w:left="102" w:right="118"/>
        <w:jc w:val="both"/>
      </w:pPr>
      <w:r>
        <w:rPr/>
        <w:t>El cuarto capítulo contiene la descripción de los enemigos del GA y la justificación de</w:t>
      </w:r>
      <w:r>
        <w:rPr>
          <w:spacing w:val="-6"/>
        </w:rPr>
        <w:t> </w:t>
      </w:r>
      <w:r>
        <w:rPr/>
        <w:t>los</w:t>
      </w:r>
      <w:r>
        <w:rPr>
          <w:spacing w:val="-9"/>
        </w:rPr>
        <w:t> </w:t>
      </w:r>
      <w:r>
        <w:rPr/>
        <w:t>mismos.</w:t>
      </w:r>
      <w:r>
        <w:rPr>
          <w:spacing w:val="-6"/>
        </w:rPr>
        <w:t> </w:t>
      </w:r>
      <w:r>
        <w:rPr/>
        <w:t>Entre</w:t>
      </w:r>
      <w:r>
        <w:rPr>
          <w:spacing w:val="-6"/>
        </w:rPr>
        <w:t> </w:t>
      </w:r>
      <w:r>
        <w:rPr/>
        <w:t>los</w:t>
      </w:r>
      <w:r>
        <w:rPr>
          <w:spacing w:val="-6"/>
        </w:rPr>
        <w:t> </w:t>
      </w:r>
      <w:r>
        <w:rPr/>
        <w:t>que</w:t>
      </w:r>
      <w:r>
        <w:rPr>
          <w:spacing w:val="-6"/>
        </w:rPr>
        <w:t> </w:t>
      </w:r>
      <w:r>
        <w:rPr/>
        <w:t>destacan:</w:t>
      </w:r>
      <w:r>
        <w:rPr>
          <w:spacing w:val="-6"/>
        </w:rPr>
        <w:t> </w:t>
      </w:r>
      <w:r>
        <w:rPr/>
        <w:t>el</w:t>
      </w:r>
      <w:r>
        <w:rPr>
          <w:spacing w:val="-7"/>
        </w:rPr>
        <w:t> </w:t>
      </w:r>
      <w:r>
        <w:rPr/>
        <w:t>gobierno,</w:t>
      </w:r>
      <w:r>
        <w:rPr>
          <w:spacing w:val="-6"/>
        </w:rPr>
        <w:t> </w:t>
      </w:r>
      <w:r>
        <w:rPr/>
        <w:t>ya</w:t>
      </w:r>
      <w:r>
        <w:rPr>
          <w:spacing w:val="-6"/>
        </w:rPr>
        <w:t> </w:t>
      </w:r>
      <w:r>
        <w:rPr/>
        <w:t>que</w:t>
      </w:r>
      <w:r>
        <w:rPr>
          <w:spacing w:val="-4"/>
        </w:rPr>
        <w:t> </w:t>
      </w:r>
      <w:r>
        <w:rPr/>
        <w:t>cuenta</w:t>
      </w:r>
      <w:r>
        <w:rPr>
          <w:spacing w:val="-10"/>
        </w:rPr>
        <w:t> </w:t>
      </w:r>
      <w:r>
        <w:rPr/>
        <w:t>con</w:t>
      </w:r>
      <w:r>
        <w:rPr>
          <w:spacing w:val="-6"/>
        </w:rPr>
        <w:t> </w:t>
      </w:r>
      <w:r>
        <w:rPr/>
        <w:t>los</w:t>
      </w:r>
      <w:r>
        <w:rPr>
          <w:spacing w:val="-6"/>
        </w:rPr>
        <w:t> </w:t>
      </w:r>
      <w:r>
        <w:rPr/>
        <w:t>recursos y el poder para tomar decisiones. No obstante, este no crea las condiciones políticas, económicas, sociales, administrativas y normativas necesarias para institucionalizar la transparencia como una práctica cotidiana en la administración pública municipal. La sociedad, debido a que no cuenta con mecanismos reales de participación sobre la toma de decisiones que realiza el gobierno, solamente se limita</w:t>
      </w:r>
      <w:r>
        <w:rPr>
          <w:spacing w:val="-16"/>
        </w:rPr>
        <w:t> </w:t>
      </w:r>
      <w:r>
        <w:rPr/>
        <w:t>a</w:t>
      </w:r>
      <w:r>
        <w:rPr>
          <w:spacing w:val="-18"/>
        </w:rPr>
        <w:t> </w:t>
      </w:r>
      <w:r>
        <w:rPr/>
        <w:t>presentar</w:t>
      </w:r>
      <w:r>
        <w:rPr>
          <w:spacing w:val="-17"/>
        </w:rPr>
        <w:t> </w:t>
      </w:r>
      <w:r>
        <w:rPr/>
        <w:t>solicitudes</w:t>
      </w:r>
      <w:r>
        <w:rPr>
          <w:spacing w:val="-19"/>
        </w:rPr>
        <w:t> </w:t>
      </w:r>
      <w:r>
        <w:rPr/>
        <w:t>de</w:t>
      </w:r>
      <w:r>
        <w:rPr>
          <w:spacing w:val="-16"/>
        </w:rPr>
        <w:t> </w:t>
      </w:r>
      <w:r>
        <w:rPr/>
        <w:t>información.</w:t>
      </w:r>
      <w:r>
        <w:rPr>
          <w:spacing w:val="-21"/>
        </w:rPr>
        <w:t> </w:t>
      </w:r>
      <w:r>
        <w:rPr/>
        <w:t>Asimismo,</w:t>
      </w:r>
      <w:r>
        <w:rPr>
          <w:spacing w:val="-18"/>
        </w:rPr>
        <w:t> </w:t>
      </w:r>
      <w:r>
        <w:rPr/>
        <w:t>no</w:t>
      </w:r>
      <w:r>
        <w:rPr>
          <w:spacing w:val="-18"/>
        </w:rPr>
        <w:t> </w:t>
      </w:r>
      <w:r>
        <w:rPr/>
        <w:t>existe</w:t>
      </w:r>
      <w:r>
        <w:rPr>
          <w:spacing w:val="-16"/>
        </w:rPr>
        <w:t> </w:t>
      </w:r>
      <w:r>
        <w:rPr/>
        <w:t>la</w:t>
      </w:r>
      <w:r>
        <w:rPr>
          <w:spacing w:val="-18"/>
        </w:rPr>
        <w:t> </w:t>
      </w:r>
      <w:r>
        <w:rPr/>
        <w:t>cultura</w:t>
      </w:r>
      <w:r>
        <w:rPr>
          <w:spacing w:val="-19"/>
        </w:rPr>
        <w:t> </w:t>
      </w:r>
      <w:r>
        <w:rPr/>
        <w:t>de</w:t>
      </w:r>
      <w:r>
        <w:rPr>
          <w:spacing w:val="-16"/>
        </w:rPr>
        <w:t> </w:t>
      </w:r>
      <w:r>
        <w:rPr/>
        <w:t>crítica argumentativa y la participación responsable en los asuntos</w:t>
      </w:r>
      <w:r>
        <w:rPr>
          <w:spacing w:val="-32"/>
        </w:rPr>
        <w:t> </w:t>
      </w:r>
      <w:r>
        <w:rPr/>
        <w:t>gubernamentales.</w:t>
      </w:r>
    </w:p>
    <w:p>
      <w:pPr>
        <w:pStyle w:val="BodyText"/>
      </w:pPr>
    </w:p>
    <w:p>
      <w:pPr>
        <w:pStyle w:val="BodyText"/>
      </w:pPr>
    </w:p>
    <w:p>
      <w:pPr>
        <w:pStyle w:val="BodyText"/>
        <w:spacing w:line="360" w:lineRule="auto" w:before="188"/>
        <w:ind w:left="102" w:right="116"/>
        <w:jc w:val="both"/>
      </w:pPr>
      <w:r>
        <w:rPr/>
        <w:t>Finalmente, se encuentran las conclusiones de la investigación, las fuentes de información de la investigación utilizadas en el desarrollo de este documento y los anexos, en los que se detalla la información que se encuentra resumida a lo largo de este trabajo académico.</w:t>
      </w:r>
    </w:p>
    <w:p>
      <w:pPr>
        <w:spacing w:after="0" w:line="360" w:lineRule="auto"/>
        <w:jc w:val="both"/>
        <w:sectPr>
          <w:pgSz w:w="12240" w:h="15840"/>
          <w:pgMar w:header="0" w:footer="975" w:top="1360" w:bottom="1220" w:left="1600" w:right="1580"/>
        </w:sectPr>
      </w:pPr>
    </w:p>
    <w:p>
      <w:pPr>
        <w:pStyle w:val="Heading1"/>
        <w:numPr>
          <w:ilvl w:val="0"/>
          <w:numId w:val="3"/>
        </w:numPr>
        <w:tabs>
          <w:tab w:pos="530" w:val="left" w:leader="none"/>
        </w:tabs>
        <w:spacing w:line="240" w:lineRule="auto" w:before="54" w:after="0"/>
        <w:ind w:left="529" w:right="0" w:hanging="360"/>
        <w:jc w:val="both"/>
      </w:pPr>
      <w:bookmarkStart w:name="_bookmark1" w:id="2"/>
      <w:bookmarkEnd w:id="2"/>
      <w:r>
        <w:rPr>
          <w:b w:val="0"/>
        </w:rPr>
      </w:r>
      <w:bookmarkStart w:name="_bookmark1" w:id="3"/>
      <w:bookmarkEnd w:id="3"/>
      <w:r>
        <w:rPr/>
        <w:t>M</w:t>
      </w:r>
      <w:r>
        <w:rPr/>
        <w:t>ARCO TEÓRICO Y</w:t>
      </w:r>
      <w:r>
        <w:rPr>
          <w:spacing w:val="-14"/>
        </w:rPr>
        <w:t> </w:t>
      </w:r>
      <w:r>
        <w:rPr/>
        <w:t>CONCEPTUAL</w:t>
      </w:r>
    </w:p>
    <w:p>
      <w:pPr>
        <w:pStyle w:val="BodyText"/>
        <w:rPr>
          <w:b/>
        </w:rPr>
      </w:pPr>
    </w:p>
    <w:p>
      <w:pPr>
        <w:pStyle w:val="BodyText"/>
        <w:rPr>
          <w:b/>
        </w:rPr>
      </w:pPr>
    </w:p>
    <w:p>
      <w:pPr>
        <w:pStyle w:val="BodyText"/>
        <w:spacing w:line="360" w:lineRule="auto" w:before="161"/>
        <w:ind w:left="102" w:right="119"/>
        <w:jc w:val="both"/>
      </w:pPr>
      <w:r>
        <w:rPr/>
        <w:t>Toda</w:t>
      </w:r>
      <w:r>
        <w:rPr>
          <w:spacing w:val="-16"/>
        </w:rPr>
        <w:t> </w:t>
      </w:r>
      <w:r>
        <w:rPr/>
        <w:t>investigación</w:t>
      </w:r>
      <w:r>
        <w:rPr>
          <w:spacing w:val="-14"/>
        </w:rPr>
        <w:t> </w:t>
      </w:r>
      <w:r>
        <w:rPr/>
        <w:t>que</w:t>
      </w:r>
      <w:r>
        <w:rPr>
          <w:spacing w:val="-16"/>
        </w:rPr>
        <w:t> </w:t>
      </w:r>
      <w:r>
        <w:rPr/>
        <w:t>se</w:t>
      </w:r>
      <w:r>
        <w:rPr>
          <w:spacing w:val="-16"/>
        </w:rPr>
        <w:t> </w:t>
      </w:r>
      <w:r>
        <w:rPr/>
        <w:t>realiza</w:t>
      </w:r>
      <w:r>
        <w:rPr>
          <w:spacing w:val="-12"/>
        </w:rPr>
        <w:t> </w:t>
      </w:r>
      <w:r>
        <w:rPr/>
        <w:t>adquiere</w:t>
      </w:r>
      <w:r>
        <w:rPr>
          <w:spacing w:val="-16"/>
        </w:rPr>
        <w:t> </w:t>
      </w:r>
      <w:r>
        <w:rPr/>
        <w:t>el</w:t>
      </w:r>
      <w:r>
        <w:rPr>
          <w:spacing w:val="-19"/>
        </w:rPr>
        <w:t> </w:t>
      </w:r>
      <w:r>
        <w:rPr/>
        <w:t>carácter</w:t>
      </w:r>
      <w:r>
        <w:rPr>
          <w:spacing w:val="-17"/>
        </w:rPr>
        <w:t> </w:t>
      </w:r>
      <w:r>
        <w:rPr/>
        <w:t>de</w:t>
      </w:r>
      <w:r>
        <w:rPr>
          <w:spacing w:val="-16"/>
        </w:rPr>
        <w:t> </w:t>
      </w:r>
      <w:r>
        <w:rPr/>
        <w:t>científica</w:t>
      </w:r>
      <w:r>
        <w:rPr>
          <w:spacing w:val="-16"/>
        </w:rPr>
        <w:t> </w:t>
      </w:r>
      <w:r>
        <w:rPr/>
        <w:t>cuando</w:t>
      </w:r>
      <w:r>
        <w:rPr>
          <w:spacing w:val="-14"/>
        </w:rPr>
        <w:t> </w:t>
      </w:r>
      <w:r>
        <w:rPr/>
        <w:t>se</w:t>
      </w:r>
      <w:r>
        <w:rPr>
          <w:spacing w:val="-16"/>
        </w:rPr>
        <w:t> </w:t>
      </w:r>
      <w:r>
        <w:rPr/>
        <w:t>atiene a ciertas pautas que le dan precisión terminológica, conceptual y metodológica. En este sentido, la teoría permite guiar el conocimiento que se pretende crear cuando se investiga, ya que una teoría es un medio inventado por el científico para comprender y explicar un problema. De modo tal que el marco teórico sirve de referencia para estructurar, dirigir y limitar la investigación tal como un marco de madera lo hace con una pintura o fotografía (Daros, 2002). En este tenor, el marco teórico cumple con las siguientes</w:t>
      </w:r>
      <w:r>
        <w:rPr>
          <w:spacing w:val="-11"/>
        </w:rPr>
        <w:t> </w:t>
      </w:r>
      <w:r>
        <w:rPr/>
        <w:t>funciones:</w:t>
      </w:r>
    </w:p>
    <w:p>
      <w:pPr>
        <w:pStyle w:val="BodyText"/>
      </w:pPr>
    </w:p>
    <w:p>
      <w:pPr>
        <w:pStyle w:val="BodyText"/>
      </w:pPr>
    </w:p>
    <w:p>
      <w:pPr>
        <w:pStyle w:val="ListParagraph"/>
        <w:numPr>
          <w:ilvl w:val="1"/>
          <w:numId w:val="3"/>
        </w:numPr>
        <w:tabs>
          <w:tab w:pos="954" w:val="left" w:leader="none"/>
        </w:tabs>
        <w:spacing w:line="360" w:lineRule="auto" w:before="188" w:after="0"/>
        <w:ind w:left="954" w:right="741" w:hanging="360"/>
        <w:jc w:val="both"/>
        <w:rPr>
          <w:sz w:val="18"/>
        </w:rPr>
      </w:pPr>
      <w:r>
        <w:rPr>
          <w:sz w:val="18"/>
        </w:rPr>
        <w:t>Sirve para darle un sentido referencial al problema con base a una teoría. De este modo se pueden describir más fácilmente los problemas de las</w:t>
      </w:r>
      <w:r>
        <w:rPr>
          <w:spacing w:val="-23"/>
          <w:sz w:val="18"/>
        </w:rPr>
        <w:t> </w:t>
      </w:r>
      <w:r>
        <w:rPr>
          <w:sz w:val="18"/>
        </w:rPr>
        <w:t>investigaciones.</w:t>
      </w:r>
    </w:p>
    <w:p>
      <w:pPr>
        <w:pStyle w:val="ListParagraph"/>
        <w:numPr>
          <w:ilvl w:val="1"/>
          <w:numId w:val="3"/>
        </w:numPr>
        <w:tabs>
          <w:tab w:pos="954" w:val="left" w:leader="none"/>
        </w:tabs>
        <w:spacing w:line="360" w:lineRule="auto" w:before="2" w:after="0"/>
        <w:ind w:left="954" w:right="740" w:hanging="360"/>
        <w:jc w:val="both"/>
        <w:rPr>
          <w:sz w:val="18"/>
        </w:rPr>
      </w:pPr>
      <w:r>
        <w:rPr>
          <w:sz w:val="18"/>
        </w:rPr>
        <w:t>Es un instrumento fundamental para analizar los problemas. Ya que busca el elemento de desintegración y unidad de la investigación para elaborar argumentos que no se contrapongan con otras teorías que pueden explicar un mismo</w:t>
      </w:r>
      <w:r>
        <w:rPr>
          <w:spacing w:val="-27"/>
          <w:sz w:val="18"/>
        </w:rPr>
        <w:t> </w:t>
      </w:r>
      <w:r>
        <w:rPr>
          <w:sz w:val="18"/>
        </w:rPr>
        <w:t>hecho.</w:t>
      </w:r>
    </w:p>
    <w:p>
      <w:pPr>
        <w:pStyle w:val="ListParagraph"/>
        <w:numPr>
          <w:ilvl w:val="1"/>
          <w:numId w:val="3"/>
        </w:numPr>
        <w:tabs>
          <w:tab w:pos="954" w:val="left" w:leader="none"/>
        </w:tabs>
        <w:spacing w:line="360" w:lineRule="auto" w:before="4" w:after="0"/>
        <w:ind w:left="954" w:right="738" w:hanging="360"/>
        <w:jc w:val="both"/>
        <w:rPr>
          <w:sz w:val="18"/>
        </w:rPr>
      </w:pPr>
      <w:r>
        <w:rPr>
          <w:sz w:val="18"/>
        </w:rPr>
        <w:t>Da sentido a los hechos o fenómenos y orienta la organización de los mismos. Lo que es un hecho en una teoría puede no ser el mismo “hecho” en otra</w:t>
      </w:r>
      <w:r>
        <w:rPr>
          <w:spacing w:val="-26"/>
          <w:sz w:val="18"/>
        </w:rPr>
        <w:t> </w:t>
      </w:r>
      <w:r>
        <w:rPr>
          <w:sz w:val="18"/>
        </w:rPr>
        <w:t>teoría.</w:t>
      </w:r>
    </w:p>
    <w:p>
      <w:pPr>
        <w:pStyle w:val="ListParagraph"/>
        <w:numPr>
          <w:ilvl w:val="1"/>
          <w:numId w:val="3"/>
        </w:numPr>
        <w:tabs>
          <w:tab w:pos="954" w:val="left" w:leader="none"/>
        </w:tabs>
        <w:spacing w:line="360" w:lineRule="auto" w:before="2" w:after="0"/>
        <w:ind w:left="954" w:right="740" w:hanging="360"/>
        <w:jc w:val="both"/>
        <w:rPr>
          <w:sz w:val="18"/>
        </w:rPr>
      </w:pPr>
      <w:r>
        <w:rPr>
          <w:sz w:val="18"/>
        </w:rPr>
        <w:t>Ser eje integrador de todo el proceso de investigación. Sin el marco teórico no tiene sentido el problema ni se puede proceder a elaborar un diseño metodológico con el cual probar las hipótesis (Daros,</w:t>
      </w:r>
      <w:r>
        <w:rPr>
          <w:spacing w:val="-9"/>
          <w:sz w:val="18"/>
        </w:rPr>
        <w:t> </w:t>
      </w:r>
      <w:r>
        <w:rPr>
          <w:sz w:val="18"/>
        </w:rPr>
        <w:t>2002:80-81).</w:t>
      </w:r>
    </w:p>
    <w:p>
      <w:pPr>
        <w:pStyle w:val="BodyText"/>
        <w:rPr>
          <w:sz w:val="18"/>
        </w:rPr>
      </w:pPr>
    </w:p>
    <w:p>
      <w:pPr>
        <w:pStyle w:val="BodyText"/>
        <w:spacing w:before="2"/>
        <w:rPr>
          <w:sz w:val="18"/>
        </w:rPr>
      </w:pPr>
    </w:p>
    <w:p>
      <w:pPr>
        <w:pStyle w:val="BodyText"/>
        <w:spacing w:line="360" w:lineRule="auto"/>
        <w:ind w:left="102" w:right="121"/>
        <w:jc w:val="both"/>
      </w:pPr>
      <w:r>
        <w:rPr/>
        <w:t>Es por ello que en este capítulo se describen las teorías que permiten guiar la presente investigación. Para tal efecto se identificaron dos tipos de teoría:</w:t>
      </w:r>
    </w:p>
    <w:p>
      <w:pPr>
        <w:pStyle w:val="BodyText"/>
      </w:pPr>
    </w:p>
    <w:p>
      <w:pPr>
        <w:pStyle w:val="BodyText"/>
        <w:spacing w:line="360" w:lineRule="auto" w:before="142"/>
        <w:ind w:left="102" w:right="116"/>
        <w:jc w:val="both"/>
      </w:pPr>
      <w:r>
        <w:rPr/>
        <w:t>Primero,</w:t>
      </w:r>
      <w:r>
        <w:rPr>
          <w:spacing w:val="-5"/>
        </w:rPr>
        <w:t> </w:t>
      </w:r>
      <w:r>
        <w:rPr/>
        <w:t>las</w:t>
      </w:r>
      <w:r>
        <w:rPr>
          <w:spacing w:val="-5"/>
        </w:rPr>
        <w:t> </w:t>
      </w:r>
      <w:r>
        <w:rPr/>
        <w:t>que</w:t>
      </w:r>
      <w:r>
        <w:rPr>
          <w:spacing w:val="-5"/>
        </w:rPr>
        <w:t> </w:t>
      </w:r>
      <w:r>
        <w:rPr/>
        <w:t>sirven</w:t>
      </w:r>
      <w:r>
        <w:rPr>
          <w:spacing w:val="-7"/>
        </w:rPr>
        <w:t> </w:t>
      </w:r>
      <w:r>
        <w:rPr/>
        <w:t>de</w:t>
      </w:r>
      <w:r>
        <w:rPr>
          <w:spacing w:val="-3"/>
        </w:rPr>
        <w:t> </w:t>
      </w:r>
      <w:r>
        <w:rPr/>
        <w:t>guía</w:t>
      </w:r>
      <w:r>
        <w:rPr>
          <w:spacing w:val="-5"/>
        </w:rPr>
        <w:t> </w:t>
      </w:r>
      <w:r>
        <w:rPr/>
        <w:t>para</w:t>
      </w:r>
      <w:r>
        <w:rPr>
          <w:spacing w:val="-8"/>
        </w:rPr>
        <w:t> </w:t>
      </w:r>
      <w:r>
        <w:rPr/>
        <w:t>ubicar</w:t>
      </w:r>
      <w:r>
        <w:rPr>
          <w:spacing w:val="-6"/>
        </w:rPr>
        <w:t> </w:t>
      </w:r>
      <w:r>
        <w:rPr/>
        <w:t>el</w:t>
      </w:r>
      <w:r>
        <w:rPr>
          <w:spacing w:val="-10"/>
        </w:rPr>
        <w:t> </w:t>
      </w:r>
      <w:r>
        <w:rPr/>
        <w:t>problema</w:t>
      </w:r>
      <w:r>
        <w:rPr>
          <w:spacing w:val="-7"/>
        </w:rPr>
        <w:t> </w:t>
      </w:r>
      <w:r>
        <w:rPr/>
        <w:t>de</w:t>
      </w:r>
      <w:r>
        <w:rPr>
          <w:spacing w:val="-5"/>
        </w:rPr>
        <w:t> </w:t>
      </w:r>
      <w:r>
        <w:rPr/>
        <w:t>investigación,</w:t>
      </w:r>
      <w:r>
        <w:rPr>
          <w:spacing w:val="-5"/>
        </w:rPr>
        <w:t> </w:t>
      </w:r>
      <w:r>
        <w:rPr/>
        <w:t>siendo</w:t>
      </w:r>
      <w:r>
        <w:rPr>
          <w:spacing w:val="-7"/>
        </w:rPr>
        <w:t> </w:t>
      </w:r>
      <w:r>
        <w:rPr/>
        <w:t>en esta</w:t>
      </w:r>
      <w:r>
        <w:rPr>
          <w:spacing w:val="-14"/>
        </w:rPr>
        <w:t> </w:t>
      </w:r>
      <w:r>
        <w:rPr/>
        <w:t>investigación</w:t>
      </w:r>
      <w:r>
        <w:rPr>
          <w:spacing w:val="-14"/>
        </w:rPr>
        <w:t> </w:t>
      </w:r>
      <w:r>
        <w:rPr/>
        <w:t>las</w:t>
      </w:r>
      <w:r>
        <w:rPr>
          <w:spacing w:val="-14"/>
        </w:rPr>
        <w:t> </w:t>
      </w:r>
      <w:r>
        <w:rPr/>
        <w:t>referentes</w:t>
      </w:r>
      <w:r>
        <w:rPr>
          <w:spacing w:val="-15"/>
        </w:rPr>
        <w:t> </w:t>
      </w:r>
      <w:r>
        <w:rPr/>
        <w:t>al</w:t>
      </w:r>
      <w:r>
        <w:rPr>
          <w:spacing w:val="-18"/>
        </w:rPr>
        <w:t> </w:t>
      </w:r>
      <w:r>
        <w:rPr/>
        <w:t>Estado</w:t>
      </w:r>
      <w:r>
        <w:rPr>
          <w:spacing w:val="-14"/>
        </w:rPr>
        <w:t> </w:t>
      </w:r>
      <w:r>
        <w:rPr/>
        <w:t>(Teorías</w:t>
      </w:r>
      <w:r>
        <w:rPr>
          <w:spacing w:val="-15"/>
        </w:rPr>
        <w:t> </w:t>
      </w:r>
      <w:r>
        <w:rPr/>
        <w:t>del</w:t>
      </w:r>
      <w:r>
        <w:rPr>
          <w:spacing w:val="-15"/>
        </w:rPr>
        <w:t> </w:t>
      </w:r>
      <w:r>
        <w:rPr/>
        <w:t>Estado)</w:t>
      </w:r>
      <w:r>
        <w:rPr>
          <w:spacing w:val="-16"/>
        </w:rPr>
        <w:t> </w:t>
      </w:r>
      <w:r>
        <w:rPr/>
        <w:t>que</w:t>
      </w:r>
      <w:r>
        <w:rPr>
          <w:spacing w:val="-17"/>
        </w:rPr>
        <w:t> </w:t>
      </w:r>
      <w:r>
        <w:rPr/>
        <w:t>describen</w:t>
      </w:r>
      <w:r>
        <w:rPr>
          <w:spacing w:val="-14"/>
        </w:rPr>
        <w:t> </w:t>
      </w:r>
      <w:r>
        <w:rPr/>
        <w:t>cómo es que este ente político ha venido evolucionando desde un sistema de opacidad generado en el absolutismo, hasta el régimen democrático que busca la transparencia de sus acciones para someterse al escrutinio</w:t>
      </w:r>
      <w:r>
        <w:rPr>
          <w:spacing w:val="-20"/>
        </w:rPr>
        <w:t> </w:t>
      </w:r>
      <w:r>
        <w:rPr/>
        <w:t>público.</w:t>
      </w:r>
    </w:p>
    <w:p>
      <w:pPr>
        <w:pStyle w:val="BodyText"/>
      </w:pPr>
    </w:p>
    <w:p>
      <w:pPr>
        <w:pStyle w:val="BodyText"/>
        <w:spacing w:line="360" w:lineRule="auto" w:before="142"/>
        <w:ind w:left="102" w:right="121"/>
        <w:jc w:val="both"/>
      </w:pPr>
      <w:r>
        <w:rPr/>
        <w:t>Segundo, las teorías que permiten explicar la realidad del problema desde una perspectiva teórica, siendo para esta investigación las referidas al estudio de las</w:t>
      </w:r>
    </w:p>
    <w:p>
      <w:pPr>
        <w:spacing w:after="0" w:line="360" w:lineRule="auto"/>
        <w:jc w:val="both"/>
        <w:sectPr>
          <w:pgSz w:w="12240" w:h="15840"/>
          <w:pgMar w:header="0" w:footer="975" w:top="1360" w:bottom="1220" w:left="1600" w:right="1580"/>
        </w:sectPr>
      </w:pPr>
    </w:p>
    <w:p>
      <w:pPr>
        <w:pStyle w:val="BodyText"/>
        <w:spacing w:line="360" w:lineRule="auto" w:before="54"/>
        <w:ind w:left="122" w:right="118"/>
        <w:jc w:val="both"/>
      </w:pPr>
      <w:r>
        <w:rPr/>
        <w:t>organizaciones (Teorías de la Organización), tales como el Neoinstitucionalismo, que pretende explicar cómo las reglas formales e informales determinan el funcionamiento de la organización. Asimismo, la Sociología organizacional que pretende explicar el comportamiento de los actores dentro de una organización.</w:t>
      </w:r>
    </w:p>
    <w:p>
      <w:pPr>
        <w:pStyle w:val="BodyText"/>
      </w:pPr>
    </w:p>
    <w:p>
      <w:pPr>
        <w:pStyle w:val="Heading1"/>
        <w:numPr>
          <w:ilvl w:val="1"/>
          <w:numId w:val="4"/>
        </w:numPr>
        <w:tabs>
          <w:tab w:pos="550" w:val="left" w:leader="none"/>
        </w:tabs>
        <w:spacing w:line="240" w:lineRule="auto" w:before="182" w:after="0"/>
        <w:ind w:left="549" w:right="0" w:hanging="437"/>
        <w:jc w:val="both"/>
      </w:pPr>
      <w:bookmarkStart w:name="_bookmark2" w:id="4"/>
      <w:bookmarkEnd w:id="4"/>
      <w:r>
        <w:rPr>
          <w:b w:val="0"/>
        </w:rPr>
      </w:r>
      <w:bookmarkStart w:name="_bookmark2" w:id="5"/>
      <w:bookmarkEnd w:id="5"/>
      <w:r>
        <w:rPr/>
        <w:t>G</w:t>
      </w:r>
      <w:r>
        <w:rPr/>
        <w:t>eneralidades del</w:t>
      </w:r>
      <w:r>
        <w:rPr>
          <w:spacing w:val="-5"/>
        </w:rPr>
        <w:t> </w:t>
      </w:r>
      <w:r>
        <w:rPr/>
        <w:t>Estado</w:t>
      </w:r>
    </w:p>
    <w:p>
      <w:pPr>
        <w:pStyle w:val="BodyText"/>
        <w:rPr>
          <w:b/>
        </w:rPr>
      </w:pPr>
    </w:p>
    <w:p>
      <w:pPr>
        <w:pStyle w:val="BodyText"/>
        <w:rPr>
          <w:b/>
        </w:rPr>
      </w:pPr>
    </w:p>
    <w:p>
      <w:pPr>
        <w:pStyle w:val="BodyText"/>
        <w:spacing w:line="360" w:lineRule="auto" w:before="153"/>
        <w:ind w:left="122" w:right="118"/>
        <w:jc w:val="both"/>
      </w:pPr>
      <w:r>
        <w:rPr/>
        <w:t>El Estado, de acuerdo con la Real Academia Española</w:t>
      </w:r>
      <w:r>
        <w:rPr>
          <w:position w:val="8"/>
          <w:sz w:val="16"/>
        </w:rPr>
        <w:t>5</w:t>
      </w:r>
      <w:r>
        <w:rPr/>
        <w:t>, “es una forma de organización política, dotada de poder soberano e independiente, que integra a la población de un territorio”. Para Pichardo (2002) es la totalidad del sistema jurídico de un país.</w:t>
      </w:r>
    </w:p>
    <w:p>
      <w:pPr>
        <w:pStyle w:val="BodyText"/>
      </w:pPr>
    </w:p>
    <w:p>
      <w:pPr>
        <w:pStyle w:val="BodyText"/>
      </w:pPr>
    </w:p>
    <w:p>
      <w:pPr>
        <w:pStyle w:val="BodyText"/>
        <w:spacing w:line="360" w:lineRule="auto" w:before="185"/>
        <w:ind w:left="122" w:right="118"/>
        <w:jc w:val="both"/>
      </w:pPr>
      <w:r>
        <w:rPr/>
        <w:t>Al ser la forma de organización política más compleja de la sociedad, a lo largo de su historia ha tenido diferentes formas de manifestación, enfoques de estudio y conceptos. Asimismo, existen diversas teorías que buscan conceptualizarlo y describir su evolución, ya que las Teorías del Estado se proponen “investigar la específica realidad de la vida estatal que nos rodea. Aspira a comprender a su Estado en su estructura y función actuales, su devenir histórico y las tendencias</w:t>
      </w:r>
      <w:r>
        <w:rPr>
          <w:spacing w:val="-38"/>
        </w:rPr>
        <w:t> </w:t>
      </w:r>
      <w:r>
        <w:rPr/>
        <w:t>de su evolución” (Heller,</w:t>
      </w:r>
      <w:r>
        <w:rPr>
          <w:spacing w:val="-8"/>
        </w:rPr>
        <w:t> </w:t>
      </w:r>
      <w:r>
        <w:rPr/>
        <w:t>1974:19).</w:t>
      </w:r>
    </w:p>
    <w:p>
      <w:pPr>
        <w:pStyle w:val="BodyText"/>
      </w:pPr>
    </w:p>
    <w:p>
      <w:pPr>
        <w:pStyle w:val="BodyText"/>
      </w:pPr>
    </w:p>
    <w:p>
      <w:pPr>
        <w:spacing w:line="276" w:lineRule="auto" w:before="186"/>
        <w:ind w:left="688" w:right="683" w:firstLine="0"/>
        <w:jc w:val="both"/>
        <w:rPr>
          <w:sz w:val="18"/>
        </w:rPr>
      </w:pPr>
      <w:r>
        <w:rPr>
          <w:sz w:val="18"/>
        </w:rPr>
        <w:t>Su</w:t>
      </w:r>
      <w:r>
        <w:rPr>
          <w:spacing w:val="-7"/>
          <w:sz w:val="18"/>
        </w:rPr>
        <w:t> </w:t>
      </w:r>
      <w:r>
        <w:rPr>
          <w:sz w:val="18"/>
        </w:rPr>
        <w:t>objeto</w:t>
      </w:r>
      <w:r>
        <w:rPr>
          <w:spacing w:val="-7"/>
          <w:sz w:val="18"/>
        </w:rPr>
        <w:t> </w:t>
      </w:r>
      <w:r>
        <w:rPr>
          <w:sz w:val="18"/>
        </w:rPr>
        <w:t>es,</w:t>
      </w:r>
      <w:r>
        <w:rPr>
          <w:spacing w:val="-8"/>
          <w:sz w:val="18"/>
        </w:rPr>
        <w:t> </w:t>
      </w:r>
      <w:r>
        <w:rPr>
          <w:sz w:val="18"/>
        </w:rPr>
        <w:t>precisamente,</w:t>
      </w:r>
      <w:r>
        <w:rPr>
          <w:spacing w:val="-8"/>
          <w:sz w:val="18"/>
        </w:rPr>
        <w:t> </w:t>
      </w:r>
      <w:r>
        <w:rPr>
          <w:sz w:val="18"/>
        </w:rPr>
        <w:t>el</w:t>
      </w:r>
      <w:r>
        <w:rPr>
          <w:spacing w:val="-10"/>
          <w:sz w:val="18"/>
        </w:rPr>
        <w:t> </w:t>
      </w:r>
      <w:r>
        <w:rPr>
          <w:sz w:val="18"/>
        </w:rPr>
        <w:t>estudio</w:t>
      </w:r>
      <w:r>
        <w:rPr>
          <w:spacing w:val="-7"/>
          <w:sz w:val="18"/>
        </w:rPr>
        <w:t> </w:t>
      </w:r>
      <w:r>
        <w:rPr>
          <w:sz w:val="18"/>
        </w:rPr>
        <w:t>de</w:t>
      </w:r>
      <w:r>
        <w:rPr>
          <w:spacing w:val="-7"/>
          <w:sz w:val="18"/>
        </w:rPr>
        <w:t> </w:t>
      </w:r>
      <w:r>
        <w:rPr>
          <w:sz w:val="18"/>
        </w:rPr>
        <w:t>los</w:t>
      </w:r>
      <w:r>
        <w:rPr>
          <w:spacing w:val="-7"/>
          <w:sz w:val="18"/>
        </w:rPr>
        <w:t> </w:t>
      </w:r>
      <w:r>
        <w:rPr>
          <w:sz w:val="18"/>
        </w:rPr>
        <w:t>orígenes,</w:t>
      </w:r>
      <w:r>
        <w:rPr>
          <w:spacing w:val="-8"/>
          <w:sz w:val="18"/>
        </w:rPr>
        <w:t> </w:t>
      </w:r>
      <w:r>
        <w:rPr>
          <w:sz w:val="18"/>
        </w:rPr>
        <w:t>el</w:t>
      </w:r>
      <w:r>
        <w:rPr>
          <w:spacing w:val="-7"/>
          <w:sz w:val="18"/>
        </w:rPr>
        <w:t> </w:t>
      </w:r>
      <w:r>
        <w:rPr>
          <w:sz w:val="18"/>
        </w:rPr>
        <w:t>desarrollo</w:t>
      </w:r>
      <w:r>
        <w:rPr>
          <w:spacing w:val="-7"/>
          <w:sz w:val="18"/>
        </w:rPr>
        <w:t> </w:t>
      </w:r>
      <w:r>
        <w:rPr>
          <w:sz w:val="18"/>
        </w:rPr>
        <w:t>y</w:t>
      </w:r>
      <w:r>
        <w:rPr>
          <w:spacing w:val="-9"/>
          <w:sz w:val="18"/>
        </w:rPr>
        <w:t> </w:t>
      </w:r>
      <w:r>
        <w:rPr>
          <w:sz w:val="18"/>
        </w:rPr>
        <w:t>las</w:t>
      </w:r>
      <w:r>
        <w:rPr>
          <w:spacing w:val="-9"/>
          <w:sz w:val="18"/>
        </w:rPr>
        <w:t> </w:t>
      </w:r>
      <w:r>
        <w:rPr>
          <w:sz w:val="18"/>
        </w:rPr>
        <w:t>características</w:t>
      </w:r>
      <w:r>
        <w:rPr>
          <w:spacing w:val="-7"/>
          <w:sz w:val="18"/>
        </w:rPr>
        <w:t> </w:t>
      </w:r>
      <w:r>
        <w:rPr>
          <w:sz w:val="18"/>
        </w:rPr>
        <w:t>actuales del Estado. Es una materia interdisciplinaria cuyos especialistas utilizan uno o varios métodos para abordar su estudio: algunos usan el método histórico para conocer el desenvolvimiento del Estado a través del tiempo y del espacio; otros, un método sociológico para estudiar a la nación, a la población o el pueblo como sus componentes; otros más, un método de la ciencia política para</w:t>
      </w:r>
      <w:r>
        <w:rPr>
          <w:spacing w:val="-7"/>
          <w:sz w:val="18"/>
        </w:rPr>
        <w:t> </w:t>
      </w:r>
      <w:r>
        <w:rPr>
          <w:sz w:val="18"/>
        </w:rPr>
        <w:t>analizar</w:t>
      </w:r>
      <w:r>
        <w:rPr>
          <w:spacing w:val="-8"/>
          <w:sz w:val="18"/>
        </w:rPr>
        <w:t> </w:t>
      </w:r>
      <w:r>
        <w:rPr>
          <w:sz w:val="18"/>
        </w:rPr>
        <w:t>las</w:t>
      </w:r>
      <w:r>
        <w:rPr>
          <w:spacing w:val="-7"/>
          <w:sz w:val="18"/>
        </w:rPr>
        <w:t> </w:t>
      </w:r>
      <w:r>
        <w:rPr>
          <w:sz w:val="18"/>
        </w:rPr>
        <w:t>diversas</w:t>
      </w:r>
      <w:r>
        <w:rPr>
          <w:spacing w:val="-7"/>
          <w:sz w:val="18"/>
        </w:rPr>
        <w:t> </w:t>
      </w:r>
      <w:r>
        <w:rPr>
          <w:sz w:val="18"/>
        </w:rPr>
        <w:t>formas</w:t>
      </w:r>
      <w:r>
        <w:rPr>
          <w:spacing w:val="-7"/>
          <w:sz w:val="18"/>
        </w:rPr>
        <w:t> </w:t>
      </w:r>
      <w:r>
        <w:rPr>
          <w:sz w:val="18"/>
        </w:rPr>
        <w:t>de</w:t>
      </w:r>
      <w:r>
        <w:rPr>
          <w:spacing w:val="-7"/>
          <w:sz w:val="18"/>
        </w:rPr>
        <w:t> </w:t>
      </w:r>
      <w:r>
        <w:rPr>
          <w:sz w:val="18"/>
        </w:rPr>
        <w:t>integración</w:t>
      </w:r>
      <w:r>
        <w:rPr>
          <w:spacing w:val="-7"/>
          <w:sz w:val="18"/>
        </w:rPr>
        <w:t> </w:t>
      </w:r>
      <w:r>
        <w:rPr>
          <w:sz w:val="18"/>
        </w:rPr>
        <w:t>del</w:t>
      </w:r>
      <w:r>
        <w:rPr>
          <w:spacing w:val="-7"/>
          <w:sz w:val="18"/>
        </w:rPr>
        <w:t> </w:t>
      </w:r>
      <w:r>
        <w:rPr>
          <w:sz w:val="18"/>
        </w:rPr>
        <w:t>poder</w:t>
      </w:r>
      <w:r>
        <w:rPr>
          <w:spacing w:val="-8"/>
          <w:sz w:val="18"/>
        </w:rPr>
        <w:t> </w:t>
      </w:r>
      <w:r>
        <w:rPr>
          <w:sz w:val="18"/>
        </w:rPr>
        <w:t>público,</w:t>
      </w:r>
      <w:r>
        <w:rPr>
          <w:spacing w:val="-8"/>
          <w:sz w:val="18"/>
        </w:rPr>
        <w:t> </w:t>
      </w:r>
      <w:r>
        <w:rPr>
          <w:sz w:val="18"/>
        </w:rPr>
        <w:t>de</w:t>
      </w:r>
      <w:r>
        <w:rPr>
          <w:spacing w:val="-10"/>
          <w:sz w:val="18"/>
        </w:rPr>
        <w:t> </w:t>
      </w:r>
      <w:r>
        <w:rPr>
          <w:sz w:val="18"/>
        </w:rPr>
        <w:t>la</w:t>
      </w:r>
      <w:r>
        <w:rPr>
          <w:spacing w:val="-7"/>
          <w:sz w:val="18"/>
        </w:rPr>
        <w:t> </w:t>
      </w:r>
      <w:r>
        <w:rPr>
          <w:sz w:val="18"/>
        </w:rPr>
        <w:t>autoridad</w:t>
      </w:r>
      <w:r>
        <w:rPr>
          <w:spacing w:val="-7"/>
          <w:sz w:val="18"/>
        </w:rPr>
        <w:t> </w:t>
      </w:r>
      <w:r>
        <w:rPr>
          <w:sz w:val="18"/>
        </w:rPr>
        <w:t>y</w:t>
      </w:r>
      <w:r>
        <w:rPr>
          <w:spacing w:val="-9"/>
          <w:sz w:val="18"/>
        </w:rPr>
        <w:t> </w:t>
      </w:r>
      <w:r>
        <w:rPr>
          <w:sz w:val="18"/>
        </w:rPr>
        <w:t>del</w:t>
      </w:r>
      <w:r>
        <w:rPr>
          <w:spacing w:val="-7"/>
          <w:sz w:val="18"/>
        </w:rPr>
        <w:t> </w:t>
      </w:r>
      <w:r>
        <w:rPr>
          <w:sz w:val="18"/>
        </w:rPr>
        <w:t>gobierno; por último, la gran mayoría de los tratadistas usan el método jurídico para entenderlo como la unidad del orden jurídico o como sistema de derecho positivo (Pichardo</w:t>
      </w:r>
      <w:r>
        <w:rPr>
          <w:spacing w:val="-33"/>
          <w:sz w:val="18"/>
        </w:rPr>
        <w:t> </w:t>
      </w:r>
      <w:r>
        <w:rPr>
          <w:sz w:val="18"/>
        </w:rPr>
        <w:t>2002:13).</w:t>
      </w:r>
    </w:p>
    <w:p>
      <w:pPr>
        <w:pStyle w:val="BodyText"/>
        <w:rPr>
          <w:sz w:val="18"/>
        </w:rPr>
      </w:pPr>
    </w:p>
    <w:p>
      <w:pPr>
        <w:pStyle w:val="BodyText"/>
        <w:rPr>
          <w:sz w:val="18"/>
        </w:rPr>
      </w:pPr>
    </w:p>
    <w:p>
      <w:pPr>
        <w:pStyle w:val="BodyText"/>
        <w:spacing w:line="360" w:lineRule="auto" w:before="161"/>
        <w:ind w:left="122" w:right="118"/>
        <w:jc w:val="both"/>
      </w:pPr>
      <w:r>
        <w:rPr/>
        <w:t>Dentro de las teorías más conocidas que señala Pichardo (2002), se encuentran cuatro</w:t>
      </w:r>
      <w:r>
        <w:rPr>
          <w:spacing w:val="-17"/>
        </w:rPr>
        <w:t> </w:t>
      </w:r>
      <w:r>
        <w:rPr/>
        <w:t>tipos:</w:t>
      </w:r>
      <w:r>
        <w:rPr>
          <w:spacing w:val="-14"/>
        </w:rPr>
        <w:t> </w:t>
      </w:r>
      <w:r>
        <w:rPr/>
        <w:t>las</w:t>
      </w:r>
      <w:r>
        <w:rPr>
          <w:spacing w:val="-17"/>
        </w:rPr>
        <w:t> </w:t>
      </w:r>
      <w:r>
        <w:rPr/>
        <w:t>teorías</w:t>
      </w:r>
      <w:r>
        <w:rPr>
          <w:spacing w:val="-15"/>
        </w:rPr>
        <w:t> </w:t>
      </w:r>
      <w:r>
        <w:rPr/>
        <w:t>organicistas;</w:t>
      </w:r>
      <w:r>
        <w:rPr>
          <w:spacing w:val="-17"/>
        </w:rPr>
        <w:t> </w:t>
      </w:r>
      <w:r>
        <w:rPr/>
        <w:t>que</w:t>
      </w:r>
      <w:r>
        <w:rPr>
          <w:spacing w:val="-17"/>
        </w:rPr>
        <w:t> </w:t>
      </w:r>
      <w:r>
        <w:rPr/>
        <w:t>asocian</w:t>
      </w:r>
      <w:r>
        <w:rPr>
          <w:spacing w:val="-14"/>
        </w:rPr>
        <w:t> </w:t>
      </w:r>
      <w:r>
        <w:rPr/>
        <w:t>al</w:t>
      </w:r>
      <w:r>
        <w:rPr>
          <w:spacing w:val="-18"/>
        </w:rPr>
        <w:t> </w:t>
      </w:r>
      <w:r>
        <w:rPr/>
        <w:t>Estado</w:t>
      </w:r>
      <w:r>
        <w:rPr>
          <w:spacing w:val="-16"/>
        </w:rPr>
        <w:t> </w:t>
      </w:r>
      <w:r>
        <w:rPr/>
        <w:t>como</w:t>
      </w:r>
      <w:r>
        <w:rPr>
          <w:spacing w:val="-16"/>
        </w:rPr>
        <w:t> </w:t>
      </w:r>
      <w:r>
        <w:rPr/>
        <w:t>un</w:t>
      </w:r>
      <w:r>
        <w:rPr>
          <w:spacing w:val="-17"/>
        </w:rPr>
        <w:t> </w:t>
      </w:r>
      <w:r>
        <w:rPr/>
        <w:t>organismo</w:t>
      </w:r>
      <w:r>
        <w:rPr>
          <w:spacing w:val="-16"/>
        </w:rPr>
        <w:t> </w:t>
      </w:r>
      <w:r>
        <w:rPr/>
        <w:t>vivo</w:t>
      </w:r>
    </w:p>
    <w:p>
      <w:pPr>
        <w:pStyle w:val="BodyText"/>
        <w:spacing w:before="4"/>
        <w:rPr>
          <w:sz w:val="20"/>
        </w:rPr>
      </w:pPr>
      <w:r>
        <w:rPr/>
        <w:pict>
          <v:line style="position:absolute;mso-position-horizontal-relative:page;mso-position-vertical-relative:paragraph;z-index:1120;mso-wrap-distance-left:0;mso-wrap-distance-right:0" from="85.103996pt,14.029887pt" to="229.123996pt,14.029887pt" stroked="true" strokeweight=".72003pt" strokecolor="#000000">
            <w10:wrap type="topAndBottom"/>
          </v:line>
        </w:pict>
      </w:r>
    </w:p>
    <w:p>
      <w:pPr>
        <w:spacing w:before="72"/>
        <w:ind w:left="122" w:right="337" w:firstLine="0"/>
        <w:jc w:val="left"/>
        <w:rPr>
          <w:sz w:val="16"/>
        </w:rPr>
      </w:pPr>
      <w:r>
        <w:rPr>
          <w:rFonts w:ascii="Calibri" w:hAnsi="Calibri"/>
          <w:position w:val="5"/>
          <w:sz w:val="10"/>
        </w:rPr>
        <w:t>5 </w:t>
      </w:r>
      <w:r>
        <w:rPr>
          <w:rFonts w:ascii="Calibri" w:hAnsi="Calibri"/>
          <w:sz w:val="16"/>
        </w:rPr>
        <w:t>Versión electrónica </w:t>
      </w:r>
      <w:hyperlink r:id="rId9">
        <w:r>
          <w:rPr>
            <w:color w:val="0462C1"/>
            <w:sz w:val="16"/>
            <w:u w:val="single" w:color="0462C1"/>
          </w:rPr>
          <w:t>http://dle.rae.es/?id=GjqhajH </w:t>
        </w:r>
      </w:hyperlink>
      <w:r>
        <w:rPr>
          <w:sz w:val="16"/>
        </w:rPr>
        <w:t>[11-10-2016]</w:t>
      </w:r>
    </w:p>
    <w:p>
      <w:pPr>
        <w:spacing w:after="0"/>
        <w:jc w:val="left"/>
        <w:rPr>
          <w:sz w:val="16"/>
        </w:rPr>
        <w:sectPr>
          <w:pgSz w:w="12240" w:h="15840"/>
          <w:pgMar w:header="0" w:footer="975" w:top="1360" w:bottom="1220" w:left="1580" w:right="1580"/>
        </w:sectPr>
      </w:pPr>
    </w:p>
    <w:p>
      <w:pPr>
        <w:pStyle w:val="BodyText"/>
        <w:spacing w:line="360" w:lineRule="auto" w:before="54"/>
        <w:ind w:left="102" w:right="116"/>
        <w:jc w:val="both"/>
      </w:pPr>
      <w:r>
        <w:rPr/>
        <w:t>y lo entienden como un órgano, con estructura, identidad y poder propios para realizar una gama compleja de funciones. Las teorías sociológicas; que lo consideran como una unidad de asociación entre individuos que buscan un fin en beneficio del pueblo. En él se desarrolla la lucha constante de clases y la sociedad civil</w:t>
      </w:r>
      <w:r>
        <w:rPr>
          <w:spacing w:val="-7"/>
        </w:rPr>
        <w:t> </w:t>
      </w:r>
      <w:r>
        <w:rPr/>
        <w:t>es</w:t>
      </w:r>
      <w:r>
        <w:rPr>
          <w:spacing w:val="-7"/>
        </w:rPr>
        <w:t> </w:t>
      </w:r>
      <w:r>
        <w:rPr/>
        <w:t>la</w:t>
      </w:r>
      <w:r>
        <w:rPr>
          <w:spacing w:val="-6"/>
        </w:rPr>
        <w:t> </w:t>
      </w:r>
      <w:r>
        <w:rPr/>
        <w:t>mediadora</w:t>
      </w:r>
      <w:r>
        <w:rPr>
          <w:spacing w:val="-9"/>
        </w:rPr>
        <w:t> </w:t>
      </w:r>
      <w:r>
        <w:rPr/>
        <w:t>entre</w:t>
      </w:r>
      <w:r>
        <w:rPr>
          <w:spacing w:val="-6"/>
        </w:rPr>
        <w:t> </w:t>
      </w:r>
      <w:r>
        <w:rPr/>
        <w:t>el</w:t>
      </w:r>
      <w:r>
        <w:rPr>
          <w:spacing w:val="-7"/>
        </w:rPr>
        <w:t> </w:t>
      </w:r>
      <w:r>
        <w:rPr/>
        <w:t>gobierno</w:t>
      </w:r>
      <w:r>
        <w:rPr>
          <w:spacing w:val="-6"/>
        </w:rPr>
        <w:t> </w:t>
      </w:r>
      <w:r>
        <w:rPr/>
        <w:t>y</w:t>
      </w:r>
      <w:r>
        <w:rPr>
          <w:spacing w:val="-9"/>
        </w:rPr>
        <w:t> </w:t>
      </w:r>
      <w:r>
        <w:rPr/>
        <w:t>el</w:t>
      </w:r>
      <w:r>
        <w:rPr>
          <w:spacing w:val="-7"/>
        </w:rPr>
        <w:t> </w:t>
      </w:r>
      <w:r>
        <w:rPr/>
        <w:t>pueblo.</w:t>
      </w:r>
      <w:r>
        <w:rPr>
          <w:spacing w:val="-9"/>
        </w:rPr>
        <w:t> </w:t>
      </w:r>
      <w:r>
        <w:rPr/>
        <w:t>Por</w:t>
      </w:r>
      <w:r>
        <w:rPr>
          <w:spacing w:val="-7"/>
        </w:rPr>
        <w:t> </w:t>
      </w:r>
      <w:r>
        <w:rPr/>
        <w:t>su</w:t>
      </w:r>
      <w:r>
        <w:rPr>
          <w:spacing w:val="-8"/>
        </w:rPr>
        <w:t> </w:t>
      </w:r>
      <w:r>
        <w:rPr/>
        <w:t>parte</w:t>
      </w:r>
      <w:r>
        <w:rPr>
          <w:spacing w:val="-6"/>
        </w:rPr>
        <w:t> </w:t>
      </w:r>
      <w:r>
        <w:rPr/>
        <w:t>las</w:t>
      </w:r>
      <w:r>
        <w:rPr>
          <w:spacing w:val="-7"/>
        </w:rPr>
        <w:t> </w:t>
      </w:r>
      <w:r>
        <w:rPr/>
        <w:t>teorías</w:t>
      </w:r>
      <w:r>
        <w:rPr>
          <w:spacing w:val="-5"/>
        </w:rPr>
        <w:t> </w:t>
      </w:r>
      <w:r>
        <w:rPr/>
        <w:t>jurídicas, presentan dos enfoques: el primero que lo identifica como una persona que tiene personalidad jurídica propia que es la base del derecho público, la segunda visión lo identifica con el Estado de derecho, donde esta unidad es una construcción de normas que regular el actuar de los individuos e instituciones. Finalmente, las teorías que lo conceptualizan según los elementos que lo integran: población, territorio y</w:t>
      </w:r>
      <w:r>
        <w:rPr>
          <w:spacing w:val="-7"/>
        </w:rPr>
        <w:t> </w:t>
      </w:r>
      <w:r>
        <w:rPr/>
        <w:t>gobierno.</w:t>
      </w:r>
    </w:p>
    <w:p>
      <w:pPr>
        <w:pStyle w:val="BodyText"/>
      </w:pPr>
    </w:p>
    <w:p>
      <w:pPr>
        <w:pStyle w:val="BodyText"/>
      </w:pPr>
    </w:p>
    <w:p>
      <w:pPr>
        <w:pStyle w:val="BodyText"/>
        <w:spacing w:line="360" w:lineRule="auto" w:before="187"/>
        <w:ind w:left="102" w:right="115"/>
        <w:jc w:val="both"/>
      </w:pPr>
      <w:r>
        <w:rPr/>
        <w:t>Esta</w:t>
      </w:r>
      <w:r>
        <w:rPr>
          <w:spacing w:val="-9"/>
        </w:rPr>
        <w:t> </w:t>
      </w:r>
      <w:r>
        <w:rPr/>
        <w:t>investigación</w:t>
      </w:r>
      <w:r>
        <w:rPr>
          <w:spacing w:val="-8"/>
        </w:rPr>
        <w:t> </w:t>
      </w:r>
      <w:r>
        <w:rPr/>
        <w:t>retoma</w:t>
      </w:r>
      <w:r>
        <w:rPr>
          <w:spacing w:val="-9"/>
        </w:rPr>
        <w:t> </w:t>
      </w:r>
      <w:r>
        <w:rPr/>
        <w:t>algunos</w:t>
      </w:r>
      <w:r>
        <w:rPr>
          <w:spacing w:val="-10"/>
        </w:rPr>
        <w:t> </w:t>
      </w:r>
      <w:r>
        <w:rPr/>
        <w:t>elementos</w:t>
      </w:r>
      <w:r>
        <w:rPr>
          <w:spacing w:val="-13"/>
        </w:rPr>
        <w:t> </w:t>
      </w:r>
      <w:r>
        <w:rPr/>
        <w:t>de</w:t>
      </w:r>
      <w:r>
        <w:rPr>
          <w:spacing w:val="-9"/>
        </w:rPr>
        <w:t> </w:t>
      </w:r>
      <w:r>
        <w:rPr/>
        <w:t>estas</w:t>
      </w:r>
      <w:r>
        <w:rPr>
          <w:spacing w:val="-10"/>
        </w:rPr>
        <w:t> </w:t>
      </w:r>
      <w:r>
        <w:rPr/>
        <w:t>cuatro</w:t>
      </w:r>
      <w:r>
        <w:rPr>
          <w:spacing w:val="-10"/>
        </w:rPr>
        <w:t> </w:t>
      </w:r>
      <w:r>
        <w:rPr/>
        <w:t>teorías</w:t>
      </w:r>
      <w:r>
        <w:rPr>
          <w:spacing w:val="-10"/>
        </w:rPr>
        <w:t> </w:t>
      </w:r>
      <w:r>
        <w:rPr/>
        <w:t>del</w:t>
      </w:r>
      <w:r>
        <w:rPr>
          <w:spacing w:val="-11"/>
        </w:rPr>
        <w:t> </w:t>
      </w:r>
      <w:r>
        <w:rPr/>
        <w:t>estado,</w:t>
      </w:r>
      <w:r>
        <w:rPr>
          <w:spacing w:val="-12"/>
        </w:rPr>
        <w:t> </w:t>
      </w:r>
      <w:r>
        <w:rPr/>
        <w:t>no obstante, se enfatiza en las teorías organicistas, ya que estas permiten describir la evolución que el estado ha tenido a los largo de su historia hasta llegar al Estado Democrático.</w:t>
      </w:r>
      <w:r>
        <w:rPr>
          <w:spacing w:val="-14"/>
        </w:rPr>
        <w:t> </w:t>
      </w:r>
      <w:r>
        <w:rPr/>
        <w:t>Toda</w:t>
      </w:r>
      <w:r>
        <w:rPr>
          <w:spacing w:val="-12"/>
        </w:rPr>
        <w:t> </w:t>
      </w:r>
      <w:r>
        <w:rPr/>
        <w:t>vez</w:t>
      </w:r>
      <w:r>
        <w:rPr>
          <w:spacing w:val="-15"/>
        </w:rPr>
        <w:t> </w:t>
      </w:r>
      <w:r>
        <w:rPr/>
        <w:t>que</w:t>
      </w:r>
      <w:r>
        <w:rPr>
          <w:spacing w:val="-12"/>
        </w:rPr>
        <w:t> </w:t>
      </w:r>
      <w:r>
        <w:rPr/>
        <w:t>es</w:t>
      </w:r>
      <w:r>
        <w:rPr>
          <w:spacing w:val="-13"/>
        </w:rPr>
        <w:t> </w:t>
      </w:r>
      <w:r>
        <w:rPr/>
        <w:t>en</w:t>
      </w:r>
      <w:r>
        <w:rPr>
          <w:spacing w:val="-12"/>
        </w:rPr>
        <w:t> </w:t>
      </w:r>
      <w:r>
        <w:rPr/>
        <w:t>éste</w:t>
      </w:r>
      <w:r>
        <w:rPr>
          <w:spacing w:val="-14"/>
        </w:rPr>
        <w:t> </w:t>
      </w:r>
      <w:r>
        <w:rPr/>
        <w:t>donde</w:t>
      </w:r>
      <w:r>
        <w:rPr>
          <w:spacing w:val="-12"/>
        </w:rPr>
        <w:t> </w:t>
      </w:r>
      <w:r>
        <w:rPr/>
        <w:t>los</w:t>
      </w:r>
      <w:r>
        <w:rPr>
          <w:spacing w:val="-13"/>
        </w:rPr>
        <w:t> </w:t>
      </w:r>
      <w:r>
        <w:rPr/>
        <w:t>gobernantes</w:t>
      </w:r>
      <w:r>
        <w:rPr>
          <w:spacing w:val="-13"/>
        </w:rPr>
        <w:t> </w:t>
      </w:r>
      <w:r>
        <w:rPr/>
        <w:t>están</w:t>
      </w:r>
      <w:r>
        <w:rPr>
          <w:spacing w:val="-14"/>
        </w:rPr>
        <w:t> </w:t>
      </w:r>
      <w:r>
        <w:rPr/>
        <w:t>más</w:t>
      </w:r>
      <w:r>
        <w:rPr>
          <w:spacing w:val="-15"/>
        </w:rPr>
        <w:t> </w:t>
      </w:r>
      <w:r>
        <w:rPr/>
        <w:t>expuestos al</w:t>
      </w:r>
      <w:r>
        <w:rPr>
          <w:spacing w:val="-14"/>
        </w:rPr>
        <w:t> </w:t>
      </w:r>
      <w:r>
        <w:rPr/>
        <w:t>escrutinio</w:t>
      </w:r>
      <w:r>
        <w:rPr>
          <w:spacing w:val="-13"/>
        </w:rPr>
        <w:t> </w:t>
      </w:r>
      <w:r>
        <w:rPr/>
        <w:t>público</w:t>
      </w:r>
      <w:r>
        <w:rPr>
          <w:spacing w:val="-13"/>
        </w:rPr>
        <w:t> </w:t>
      </w:r>
      <w:r>
        <w:rPr/>
        <w:t>y</w:t>
      </w:r>
      <w:r>
        <w:rPr>
          <w:spacing w:val="-16"/>
        </w:rPr>
        <w:t> </w:t>
      </w:r>
      <w:r>
        <w:rPr/>
        <w:t>se</w:t>
      </w:r>
      <w:r>
        <w:rPr>
          <w:spacing w:val="-13"/>
        </w:rPr>
        <w:t> </w:t>
      </w:r>
      <w:r>
        <w:rPr/>
        <w:t>construyen</w:t>
      </w:r>
      <w:r>
        <w:rPr>
          <w:spacing w:val="-13"/>
        </w:rPr>
        <w:t> </w:t>
      </w:r>
      <w:r>
        <w:rPr/>
        <w:t>espacios</w:t>
      </w:r>
      <w:r>
        <w:rPr>
          <w:spacing w:val="-16"/>
        </w:rPr>
        <w:t> </w:t>
      </w:r>
      <w:r>
        <w:rPr/>
        <w:t>para</w:t>
      </w:r>
      <w:r>
        <w:rPr>
          <w:spacing w:val="-14"/>
        </w:rPr>
        <w:t> </w:t>
      </w:r>
      <w:r>
        <w:rPr/>
        <w:t>el</w:t>
      </w:r>
      <w:r>
        <w:rPr>
          <w:spacing w:val="-14"/>
        </w:rPr>
        <w:t> </w:t>
      </w:r>
      <w:r>
        <w:rPr/>
        <w:t>inicio</w:t>
      </w:r>
      <w:r>
        <w:rPr>
          <w:spacing w:val="-13"/>
        </w:rPr>
        <w:t> </w:t>
      </w:r>
      <w:r>
        <w:rPr/>
        <w:t>de</w:t>
      </w:r>
      <w:r>
        <w:rPr>
          <w:spacing w:val="-13"/>
        </w:rPr>
        <w:t> </w:t>
      </w:r>
      <w:r>
        <w:rPr/>
        <w:t>una</w:t>
      </w:r>
      <w:r>
        <w:rPr>
          <w:spacing w:val="-13"/>
        </w:rPr>
        <w:t> </w:t>
      </w:r>
      <w:r>
        <w:rPr/>
        <w:t>sociedad</w:t>
      </w:r>
      <w:r>
        <w:rPr>
          <w:spacing w:val="-5"/>
        </w:rPr>
        <w:t> </w:t>
      </w:r>
      <w:r>
        <w:rPr/>
        <w:t>abierta.</w:t>
      </w:r>
    </w:p>
    <w:p>
      <w:pPr>
        <w:pStyle w:val="BodyText"/>
      </w:pPr>
    </w:p>
    <w:p>
      <w:pPr>
        <w:pStyle w:val="BodyText"/>
      </w:pPr>
    </w:p>
    <w:p>
      <w:pPr>
        <w:pStyle w:val="BodyText"/>
        <w:spacing w:line="360" w:lineRule="auto" w:before="185"/>
        <w:ind w:left="102" w:right="115"/>
        <w:jc w:val="both"/>
      </w:pPr>
      <w:r>
        <w:rPr/>
        <w:t>En</w:t>
      </w:r>
      <w:r>
        <w:rPr>
          <w:spacing w:val="-16"/>
        </w:rPr>
        <w:t> </w:t>
      </w:r>
      <w:r>
        <w:rPr/>
        <w:t>este</w:t>
      </w:r>
      <w:r>
        <w:rPr>
          <w:spacing w:val="-16"/>
        </w:rPr>
        <w:t> </w:t>
      </w:r>
      <w:r>
        <w:rPr/>
        <w:t>tenor,</w:t>
      </w:r>
      <w:r>
        <w:rPr>
          <w:spacing w:val="-17"/>
        </w:rPr>
        <w:t> </w:t>
      </w:r>
      <w:r>
        <w:rPr/>
        <w:t>cabe</w:t>
      </w:r>
      <w:r>
        <w:rPr>
          <w:spacing w:val="-16"/>
        </w:rPr>
        <w:t> </w:t>
      </w:r>
      <w:r>
        <w:rPr/>
        <w:t>hacer</w:t>
      </w:r>
      <w:r>
        <w:rPr>
          <w:spacing w:val="-17"/>
        </w:rPr>
        <w:t> </w:t>
      </w:r>
      <w:r>
        <w:rPr/>
        <w:t>mención</w:t>
      </w:r>
      <w:r>
        <w:rPr>
          <w:spacing w:val="-15"/>
        </w:rPr>
        <w:t> </w:t>
      </w:r>
      <w:r>
        <w:rPr/>
        <w:t>que</w:t>
      </w:r>
      <w:r>
        <w:rPr>
          <w:spacing w:val="-18"/>
        </w:rPr>
        <w:t> </w:t>
      </w:r>
      <w:r>
        <w:rPr/>
        <w:t>en</w:t>
      </w:r>
      <w:r>
        <w:rPr>
          <w:spacing w:val="-16"/>
        </w:rPr>
        <w:t> </w:t>
      </w:r>
      <w:r>
        <w:rPr/>
        <w:t>este</w:t>
      </w:r>
      <w:r>
        <w:rPr>
          <w:spacing w:val="-16"/>
        </w:rPr>
        <w:t> </w:t>
      </w:r>
      <w:r>
        <w:rPr/>
        <w:t>capítulo</w:t>
      </w:r>
      <w:r>
        <w:rPr>
          <w:spacing w:val="-16"/>
        </w:rPr>
        <w:t> </w:t>
      </w:r>
      <w:r>
        <w:rPr/>
        <w:t>se</w:t>
      </w:r>
      <w:r>
        <w:rPr>
          <w:spacing w:val="-12"/>
        </w:rPr>
        <w:t> </w:t>
      </w:r>
      <w:r>
        <w:rPr/>
        <w:t>utiliza</w:t>
      </w:r>
      <w:r>
        <w:rPr>
          <w:spacing w:val="-15"/>
        </w:rPr>
        <w:t> </w:t>
      </w:r>
      <w:r>
        <w:rPr/>
        <w:t>el</w:t>
      </w:r>
      <w:r>
        <w:rPr>
          <w:spacing w:val="-17"/>
        </w:rPr>
        <w:t> </w:t>
      </w:r>
      <w:r>
        <w:rPr/>
        <w:t>método</w:t>
      </w:r>
      <w:r>
        <w:rPr>
          <w:spacing w:val="-18"/>
        </w:rPr>
        <w:t> </w:t>
      </w:r>
      <w:r>
        <w:rPr/>
        <w:t>histórico para</w:t>
      </w:r>
      <w:r>
        <w:rPr>
          <w:spacing w:val="-17"/>
        </w:rPr>
        <w:t> </w:t>
      </w:r>
      <w:r>
        <w:rPr/>
        <w:t>realizar</w:t>
      </w:r>
      <w:r>
        <w:rPr>
          <w:spacing w:val="-17"/>
        </w:rPr>
        <w:t> </w:t>
      </w:r>
      <w:r>
        <w:rPr/>
        <w:t>una</w:t>
      </w:r>
      <w:r>
        <w:rPr>
          <w:spacing w:val="-17"/>
        </w:rPr>
        <w:t> </w:t>
      </w:r>
      <w:r>
        <w:rPr/>
        <w:t>breve</w:t>
      </w:r>
      <w:r>
        <w:rPr>
          <w:spacing w:val="-17"/>
        </w:rPr>
        <w:t> </w:t>
      </w:r>
      <w:r>
        <w:rPr/>
        <w:t>descripción</w:t>
      </w:r>
      <w:r>
        <w:rPr>
          <w:spacing w:val="-19"/>
        </w:rPr>
        <w:t> </w:t>
      </w:r>
      <w:r>
        <w:rPr/>
        <w:t>de</w:t>
      </w:r>
      <w:r>
        <w:rPr>
          <w:spacing w:val="-17"/>
        </w:rPr>
        <w:t> </w:t>
      </w:r>
      <w:r>
        <w:rPr/>
        <w:t>la</w:t>
      </w:r>
      <w:r>
        <w:rPr>
          <w:spacing w:val="-17"/>
        </w:rPr>
        <w:t> </w:t>
      </w:r>
      <w:r>
        <w:rPr/>
        <w:t>evolución</w:t>
      </w:r>
      <w:r>
        <w:rPr>
          <w:spacing w:val="-16"/>
        </w:rPr>
        <w:t> </w:t>
      </w:r>
      <w:r>
        <w:rPr/>
        <w:t>del</w:t>
      </w:r>
      <w:r>
        <w:rPr>
          <w:spacing w:val="-18"/>
        </w:rPr>
        <w:t> </w:t>
      </w:r>
      <w:r>
        <w:rPr/>
        <w:t>Estado,</w:t>
      </w:r>
      <w:r>
        <w:rPr>
          <w:spacing w:val="-17"/>
        </w:rPr>
        <w:t> </w:t>
      </w:r>
      <w:r>
        <w:rPr/>
        <w:t>en</w:t>
      </w:r>
      <w:r>
        <w:rPr>
          <w:spacing w:val="-17"/>
        </w:rPr>
        <w:t> </w:t>
      </w:r>
      <w:r>
        <w:rPr/>
        <w:t>la</w:t>
      </w:r>
      <w:r>
        <w:rPr>
          <w:spacing w:val="-17"/>
        </w:rPr>
        <w:t> </w:t>
      </w:r>
      <w:r>
        <w:rPr/>
        <w:t>que</w:t>
      </w:r>
      <w:r>
        <w:rPr>
          <w:spacing w:val="-17"/>
        </w:rPr>
        <w:t> </w:t>
      </w:r>
      <w:r>
        <w:rPr/>
        <w:t>se</w:t>
      </w:r>
      <w:r>
        <w:rPr>
          <w:spacing w:val="-19"/>
        </w:rPr>
        <w:t> </w:t>
      </w:r>
      <w:r>
        <w:rPr/>
        <w:t>describe cómo en regímenes autoritarios los gobernantes utilizaban, en términos </w:t>
      </w:r>
      <w:r>
        <w:rPr>
          <w:spacing w:val="5"/>
        </w:rPr>
        <w:t>de </w:t>
      </w:r>
      <w:r>
        <w:rPr/>
        <w:t>Weber (1997),</w:t>
      </w:r>
      <w:r>
        <w:rPr>
          <w:spacing w:val="-19"/>
        </w:rPr>
        <w:t> </w:t>
      </w:r>
      <w:r>
        <w:rPr/>
        <w:t>el</w:t>
      </w:r>
      <w:r>
        <w:rPr>
          <w:spacing w:val="-22"/>
        </w:rPr>
        <w:t> </w:t>
      </w:r>
      <w:r>
        <w:rPr/>
        <w:t>monopolio</w:t>
      </w:r>
      <w:r>
        <w:rPr>
          <w:spacing w:val="-18"/>
        </w:rPr>
        <w:t> </w:t>
      </w:r>
      <w:r>
        <w:rPr/>
        <w:t>de</w:t>
      </w:r>
      <w:r>
        <w:rPr>
          <w:spacing w:val="-18"/>
        </w:rPr>
        <w:t> </w:t>
      </w:r>
      <w:r>
        <w:rPr/>
        <w:t>la</w:t>
      </w:r>
      <w:r>
        <w:rPr>
          <w:spacing w:val="-18"/>
        </w:rPr>
        <w:t> </w:t>
      </w:r>
      <w:r>
        <w:rPr/>
        <w:t>coacción</w:t>
      </w:r>
      <w:r>
        <w:rPr>
          <w:spacing w:val="-20"/>
        </w:rPr>
        <w:t> </w:t>
      </w:r>
      <w:r>
        <w:rPr/>
        <w:t>física</w:t>
      </w:r>
      <w:r>
        <w:rPr>
          <w:spacing w:val="-18"/>
        </w:rPr>
        <w:t> </w:t>
      </w:r>
      <w:r>
        <w:rPr/>
        <w:t>para</w:t>
      </w:r>
      <w:r>
        <w:rPr>
          <w:spacing w:val="-18"/>
        </w:rPr>
        <w:t> </w:t>
      </w:r>
      <w:r>
        <w:rPr/>
        <w:t>justificar</w:t>
      </w:r>
      <w:r>
        <w:rPr>
          <w:spacing w:val="-19"/>
        </w:rPr>
        <w:t> </w:t>
      </w:r>
      <w:r>
        <w:rPr/>
        <w:t>sus</w:t>
      </w:r>
      <w:r>
        <w:rPr>
          <w:spacing w:val="-19"/>
        </w:rPr>
        <w:t> </w:t>
      </w:r>
      <w:r>
        <w:rPr/>
        <w:t>acciones.</w:t>
      </w:r>
      <w:r>
        <w:rPr>
          <w:spacing w:val="-18"/>
        </w:rPr>
        <w:t> </w:t>
      </w:r>
      <w:r>
        <w:rPr/>
        <w:t>Durante</w:t>
      </w:r>
      <w:r>
        <w:rPr>
          <w:spacing w:val="-18"/>
        </w:rPr>
        <w:t> </w:t>
      </w:r>
      <w:r>
        <w:rPr/>
        <w:t>siglos este abuso de autoridad les orilló a mantener un gobierno cuyas prácticas administrativas eran de opacidad bajo el poder absoluto que tenía el rey. Después de</w:t>
      </w:r>
      <w:r>
        <w:rPr>
          <w:spacing w:val="-7"/>
        </w:rPr>
        <w:t> </w:t>
      </w:r>
      <w:r>
        <w:rPr/>
        <w:t>la</w:t>
      </w:r>
      <w:r>
        <w:rPr>
          <w:spacing w:val="-7"/>
        </w:rPr>
        <w:t> </w:t>
      </w:r>
      <w:r>
        <w:rPr/>
        <w:t>Segunda</w:t>
      </w:r>
      <w:r>
        <w:rPr>
          <w:spacing w:val="-9"/>
        </w:rPr>
        <w:t> </w:t>
      </w:r>
      <w:r>
        <w:rPr/>
        <w:t>Guerra</w:t>
      </w:r>
      <w:r>
        <w:rPr>
          <w:spacing w:val="-12"/>
        </w:rPr>
        <w:t> </w:t>
      </w:r>
      <w:r>
        <w:rPr/>
        <w:t>Mundial,</w:t>
      </w:r>
      <w:r>
        <w:rPr>
          <w:spacing w:val="-10"/>
        </w:rPr>
        <w:t> </w:t>
      </w:r>
      <w:r>
        <w:rPr/>
        <w:t>se</w:t>
      </w:r>
      <w:r>
        <w:rPr>
          <w:spacing w:val="-9"/>
        </w:rPr>
        <w:t> </w:t>
      </w:r>
      <w:r>
        <w:rPr/>
        <w:t>dio</w:t>
      </w:r>
      <w:r>
        <w:rPr>
          <w:spacing w:val="-10"/>
        </w:rPr>
        <w:t> </w:t>
      </w:r>
      <w:r>
        <w:rPr/>
        <w:t>una</w:t>
      </w:r>
      <w:r>
        <w:rPr>
          <w:spacing w:val="-9"/>
        </w:rPr>
        <w:t> </w:t>
      </w:r>
      <w:r>
        <w:rPr/>
        <w:t>nueva</w:t>
      </w:r>
      <w:r>
        <w:rPr>
          <w:spacing w:val="-7"/>
        </w:rPr>
        <w:t> </w:t>
      </w:r>
      <w:r>
        <w:rPr/>
        <w:t>configuración</w:t>
      </w:r>
      <w:r>
        <w:rPr>
          <w:spacing w:val="-7"/>
        </w:rPr>
        <w:t> </w:t>
      </w:r>
      <w:r>
        <w:rPr/>
        <w:t>del</w:t>
      </w:r>
      <w:r>
        <w:rPr>
          <w:spacing w:val="-11"/>
        </w:rPr>
        <w:t> </w:t>
      </w:r>
      <w:r>
        <w:rPr/>
        <w:t>Estado</w:t>
      </w:r>
      <w:r>
        <w:rPr>
          <w:spacing w:val="-9"/>
        </w:rPr>
        <w:t> </w:t>
      </w:r>
      <w:r>
        <w:rPr/>
        <w:t>donde</w:t>
      </w:r>
      <w:r>
        <w:rPr>
          <w:spacing w:val="-9"/>
        </w:rPr>
        <w:t> </w:t>
      </w:r>
      <w:r>
        <w:rPr/>
        <w:t>la sociedad comienza a involucrarse en las acciones gubernamentales, exigiendo su apertura al escrutinio</w:t>
      </w:r>
      <w:r>
        <w:rPr>
          <w:spacing w:val="-13"/>
        </w:rPr>
        <w:t> </w:t>
      </w:r>
      <w:r>
        <w:rPr/>
        <w:t>público.</w:t>
      </w:r>
    </w:p>
    <w:p>
      <w:pPr>
        <w:spacing w:after="0" w:line="360" w:lineRule="auto"/>
        <w:jc w:val="both"/>
        <w:sectPr>
          <w:pgSz w:w="12240" w:h="15840"/>
          <w:pgMar w:header="0" w:footer="975" w:top="1360" w:bottom="1220" w:left="1600" w:right="1580"/>
        </w:sectPr>
      </w:pPr>
    </w:p>
    <w:p>
      <w:pPr>
        <w:pStyle w:val="BodyText"/>
        <w:spacing w:line="360" w:lineRule="auto" w:before="54"/>
        <w:ind w:left="122" w:right="115"/>
        <w:jc w:val="both"/>
      </w:pPr>
      <w:r>
        <w:rPr/>
        <w:t>Es por ello que el presente apartado tiene como objetivo describir la evolución histórica</w:t>
      </w:r>
      <w:r>
        <w:rPr>
          <w:spacing w:val="-11"/>
        </w:rPr>
        <w:t> </w:t>
      </w:r>
      <w:r>
        <w:rPr/>
        <w:t>del</w:t>
      </w:r>
      <w:r>
        <w:rPr>
          <w:spacing w:val="-12"/>
        </w:rPr>
        <w:t> </w:t>
      </w:r>
      <w:r>
        <w:rPr/>
        <w:t>Estado,</w:t>
      </w:r>
      <w:r>
        <w:rPr>
          <w:spacing w:val="-11"/>
        </w:rPr>
        <w:t> </w:t>
      </w:r>
      <w:r>
        <w:rPr/>
        <w:t>tomando</w:t>
      </w:r>
      <w:r>
        <w:rPr>
          <w:spacing w:val="-11"/>
        </w:rPr>
        <w:t> </w:t>
      </w:r>
      <w:r>
        <w:rPr/>
        <w:t>como</w:t>
      </w:r>
      <w:r>
        <w:rPr>
          <w:spacing w:val="-11"/>
        </w:rPr>
        <w:t> </w:t>
      </w:r>
      <w:r>
        <w:rPr/>
        <w:t>punto</w:t>
      </w:r>
      <w:r>
        <w:rPr>
          <w:spacing w:val="-11"/>
        </w:rPr>
        <w:t> </w:t>
      </w:r>
      <w:r>
        <w:rPr/>
        <w:t>de</w:t>
      </w:r>
      <w:r>
        <w:rPr>
          <w:spacing w:val="-13"/>
        </w:rPr>
        <w:t> </w:t>
      </w:r>
      <w:r>
        <w:rPr/>
        <w:t>partida</w:t>
      </w:r>
      <w:r>
        <w:rPr>
          <w:spacing w:val="-11"/>
        </w:rPr>
        <w:t> </w:t>
      </w:r>
      <w:r>
        <w:rPr/>
        <w:t>la</w:t>
      </w:r>
      <w:r>
        <w:rPr>
          <w:spacing w:val="-8"/>
        </w:rPr>
        <w:t> </w:t>
      </w:r>
      <w:r>
        <w:rPr/>
        <w:t>polis</w:t>
      </w:r>
      <w:r>
        <w:rPr>
          <w:spacing w:val="-12"/>
        </w:rPr>
        <w:t> </w:t>
      </w:r>
      <w:r>
        <w:rPr/>
        <w:t>griega,</w:t>
      </w:r>
      <w:r>
        <w:rPr>
          <w:spacing w:val="-9"/>
        </w:rPr>
        <w:t> </w:t>
      </w:r>
      <w:r>
        <w:rPr/>
        <w:t>ya</w:t>
      </w:r>
      <w:r>
        <w:rPr>
          <w:spacing w:val="-8"/>
        </w:rPr>
        <w:t> </w:t>
      </w:r>
      <w:r>
        <w:rPr/>
        <w:t>que</w:t>
      </w:r>
      <w:r>
        <w:rPr>
          <w:spacing w:val="-8"/>
        </w:rPr>
        <w:t> </w:t>
      </w:r>
      <w:r>
        <w:rPr/>
        <w:t>ésta</w:t>
      </w:r>
      <w:r>
        <w:rPr>
          <w:spacing w:val="-11"/>
        </w:rPr>
        <w:t> </w:t>
      </w:r>
      <w:r>
        <w:rPr/>
        <w:t>era el</w:t>
      </w:r>
      <w:r>
        <w:rPr>
          <w:spacing w:val="-6"/>
        </w:rPr>
        <w:t> </w:t>
      </w:r>
      <w:r>
        <w:rPr/>
        <w:t>modelo</w:t>
      </w:r>
      <w:r>
        <w:rPr>
          <w:spacing w:val="-7"/>
        </w:rPr>
        <w:t> </w:t>
      </w:r>
      <w:r>
        <w:rPr/>
        <w:t>ideal</w:t>
      </w:r>
      <w:r>
        <w:rPr>
          <w:spacing w:val="-6"/>
        </w:rPr>
        <w:t> </w:t>
      </w:r>
      <w:r>
        <w:rPr/>
        <w:t>de</w:t>
      </w:r>
      <w:r>
        <w:rPr>
          <w:spacing w:val="-5"/>
        </w:rPr>
        <w:t> </w:t>
      </w:r>
      <w:r>
        <w:rPr/>
        <w:t>organización</w:t>
      </w:r>
      <w:r>
        <w:rPr>
          <w:spacing w:val="-4"/>
        </w:rPr>
        <w:t> </w:t>
      </w:r>
      <w:r>
        <w:rPr/>
        <w:t>política</w:t>
      </w:r>
      <w:r>
        <w:rPr>
          <w:spacing w:val="-5"/>
        </w:rPr>
        <w:t> </w:t>
      </w:r>
      <w:r>
        <w:rPr/>
        <w:t>en</w:t>
      </w:r>
      <w:r>
        <w:rPr>
          <w:spacing w:val="-7"/>
        </w:rPr>
        <w:t> </w:t>
      </w:r>
      <w:r>
        <w:rPr/>
        <w:t>el</w:t>
      </w:r>
      <w:r>
        <w:rPr>
          <w:spacing w:val="-6"/>
        </w:rPr>
        <w:t> </w:t>
      </w:r>
      <w:r>
        <w:rPr/>
        <w:t>que</w:t>
      </w:r>
      <w:r>
        <w:rPr>
          <w:spacing w:val="-5"/>
        </w:rPr>
        <w:t> </w:t>
      </w:r>
      <w:r>
        <w:rPr/>
        <w:t>los</w:t>
      </w:r>
      <w:r>
        <w:rPr>
          <w:spacing w:val="-5"/>
        </w:rPr>
        <w:t> </w:t>
      </w:r>
      <w:r>
        <w:rPr/>
        <w:t>ciudadanos</w:t>
      </w:r>
      <w:r>
        <w:rPr>
          <w:spacing w:val="-5"/>
        </w:rPr>
        <w:t> </w:t>
      </w:r>
      <w:r>
        <w:rPr/>
        <w:t>eran</w:t>
      </w:r>
      <w:r>
        <w:rPr>
          <w:spacing w:val="-5"/>
        </w:rPr>
        <w:t> </w:t>
      </w:r>
      <w:r>
        <w:rPr/>
        <w:t>parte</w:t>
      </w:r>
      <w:r>
        <w:rPr>
          <w:spacing w:val="-7"/>
        </w:rPr>
        <w:t> </w:t>
      </w:r>
      <w:r>
        <w:rPr/>
        <w:t>directa de la toma de decisiones; y terminando con el Estado Democrático, donde los ciudadanos solo tienen acceso a la toma de decisiones del gobierno a través de quienes los representan. Es con esta situación que la apertura de los asuntos gubernamentales cobra relevancia, ya que la transparencia es la única forma que tiene los ciudadanos de conocer el actuar de sus gobernantes. A continuación, se describirá brevemente esa evolución del Estado y lo referente a sus elementos, enfatizando al Gobierno como elemento base del Estado</w:t>
      </w:r>
      <w:r>
        <w:rPr>
          <w:spacing w:val="-22"/>
        </w:rPr>
        <w:t> </w:t>
      </w:r>
      <w:r>
        <w:rPr/>
        <w:t>abierto.</w:t>
      </w:r>
    </w:p>
    <w:p>
      <w:pPr>
        <w:pStyle w:val="BodyText"/>
      </w:pPr>
    </w:p>
    <w:p>
      <w:pPr>
        <w:pStyle w:val="BodyText"/>
      </w:pPr>
    </w:p>
    <w:p>
      <w:pPr>
        <w:pStyle w:val="Heading1"/>
        <w:numPr>
          <w:ilvl w:val="2"/>
          <w:numId w:val="4"/>
        </w:numPr>
        <w:tabs>
          <w:tab w:pos="830" w:val="left" w:leader="none"/>
        </w:tabs>
        <w:spacing w:line="240" w:lineRule="auto" w:before="185" w:after="0"/>
        <w:ind w:left="830" w:right="0" w:hanging="720"/>
        <w:jc w:val="both"/>
      </w:pPr>
      <w:r>
        <w:rPr/>
        <w:t>Evolución histórica del</w:t>
      </w:r>
      <w:r>
        <w:rPr>
          <w:spacing w:val="-11"/>
        </w:rPr>
        <w:t> </w:t>
      </w:r>
      <w:r>
        <w:rPr/>
        <w:t>Estado</w:t>
      </w:r>
    </w:p>
    <w:p>
      <w:pPr>
        <w:pStyle w:val="BodyText"/>
        <w:rPr>
          <w:b/>
        </w:rPr>
      </w:pPr>
    </w:p>
    <w:p>
      <w:pPr>
        <w:pStyle w:val="BodyText"/>
        <w:rPr>
          <w:b/>
        </w:rPr>
      </w:pPr>
    </w:p>
    <w:p>
      <w:pPr>
        <w:pStyle w:val="BodyText"/>
        <w:spacing w:line="360" w:lineRule="auto" w:before="161"/>
        <w:ind w:left="122" w:right="115"/>
        <w:jc w:val="both"/>
      </w:pPr>
      <w:r>
        <w:rPr/>
        <w:t>Tomando como referencia la antigua Grecia es pertinente señalar que, dado el contexto</w:t>
      </w:r>
      <w:r>
        <w:rPr>
          <w:spacing w:val="-10"/>
        </w:rPr>
        <w:t> </w:t>
      </w:r>
      <w:r>
        <w:rPr/>
        <w:t>de</w:t>
      </w:r>
      <w:r>
        <w:rPr>
          <w:spacing w:val="-11"/>
        </w:rPr>
        <w:t> </w:t>
      </w:r>
      <w:r>
        <w:rPr/>
        <w:t>la</w:t>
      </w:r>
      <w:r>
        <w:rPr>
          <w:spacing w:val="-10"/>
        </w:rPr>
        <w:t> </w:t>
      </w:r>
      <w:r>
        <w:rPr/>
        <w:t>época,</w:t>
      </w:r>
      <w:r>
        <w:rPr>
          <w:spacing w:val="-7"/>
        </w:rPr>
        <w:t> </w:t>
      </w:r>
      <w:r>
        <w:rPr/>
        <w:t>la</w:t>
      </w:r>
      <w:r>
        <w:rPr>
          <w:spacing w:val="-9"/>
        </w:rPr>
        <w:t> </w:t>
      </w:r>
      <w:r>
        <w:rPr/>
        <w:t>transparencia</w:t>
      </w:r>
      <w:r>
        <w:rPr>
          <w:spacing w:val="-11"/>
        </w:rPr>
        <w:t> </w:t>
      </w:r>
      <w:r>
        <w:rPr/>
        <w:t>no</w:t>
      </w:r>
      <w:r>
        <w:rPr>
          <w:spacing w:val="-11"/>
        </w:rPr>
        <w:t> </w:t>
      </w:r>
      <w:r>
        <w:rPr/>
        <w:t>era</w:t>
      </w:r>
      <w:r>
        <w:rPr>
          <w:spacing w:val="-11"/>
        </w:rPr>
        <w:t> </w:t>
      </w:r>
      <w:r>
        <w:rPr/>
        <w:t>tan</w:t>
      </w:r>
      <w:r>
        <w:rPr>
          <w:spacing w:val="-9"/>
        </w:rPr>
        <w:t> </w:t>
      </w:r>
      <w:r>
        <w:rPr/>
        <w:t>relevante,</w:t>
      </w:r>
      <w:r>
        <w:rPr>
          <w:spacing w:val="-11"/>
        </w:rPr>
        <w:t> </w:t>
      </w:r>
      <w:r>
        <w:rPr/>
        <w:t>debido</w:t>
      </w:r>
      <w:r>
        <w:rPr>
          <w:spacing w:val="-10"/>
        </w:rPr>
        <w:t> </w:t>
      </w:r>
      <w:r>
        <w:rPr/>
        <w:t>a</w:t>
      </w:r>
      <w:r>
        <w:rPr>
          <w:spacing w:val="-11"/>
        </w:rPr>
        <w:t> </w:t>
      </w:r>
      <w:r>
        <w:rPr/>
        <w:t>que</w:t>
      </w:r>
      <w:r>
        <w:rPr>
          <w:spacing w:val="-9"/>
        </w:rPr>
        <w:t> </w:t>
      </w:r>
      <w:r>
        <w:rPr/>
        <w:t>en</w:t>
      </w:r>
      <w:r>
        <w:rPr>
          <w:spacing w:val="-9"/>
        </w:rPr>
        <w:t> </w:t>
      </w:r>
      <w:r>
        <w:rPr/>
        <w:t>la</w:t>
      </w:r>
      <w:r>
        <w:rPr>
          <w:spacing w:val="-6"/>
        </w:rPr>
        <w:t> </w:t>
      </w:r>
      <w:r>
        <w:rPr>
          <w:i/>
        </w:rPr>
        <w:t>Polis </w:t>
      </w:r>
      <w:r>
        <w:rPr>
          <w:i/>
        </w:rPr>
        <w:t>griega </w:t>
      </w:r>
      <w:r>
        <w:rPr/>
        <w:t>se evidenciaba el involucramiento de los ciudadanos</w:t>
      </w:r>
      <w:r>
        <w:rPr>
          <w:position w:val="8"/>
          <w:sz w:val="16"/>
        </w:rPr>
        <w:t>6 </w:t>
      </w:r>
      <w:r>
        <w:rPr/>
        <w:t>en la vida política de su país, ya que estos participaban directamente en las decisiones que se tomaban en relación a los asuntos públicos (Dahl, 1989). Posteriormente, con las grandes conquistas</w:t>
      </w:r>
      <w:r>
        <w:rPr>
          <w:spacing w:val="-15"/>
        </w:rPr>
        <w:t> </w:t>
      </w:r>
      <w:r>
        <w:rPr/>
        <w:t>de</w:t>
      </w:r>
      <w:r>
        <w:rPr>
          <w:spacing w:val="-14"/>
        </w:rPr>
        <w:t> </w:t>
      </w:r>
      <w:r>
        <w:rPr/>
        <w:t>Alejandro</w:t>
      </w:r>
      <w:r>
        <w:rPr>
          <w:spacing w:val="-12"/>
        </w:rPr>
        <w:t> </w:t>
      </w:r>
      <w:r>
        <w:rPr/>
        <w:t>Magno,</w:t>
      </w:r>
      <w:r>
        <w:rPr>
          <w:spacing w:val="-14"/>
        </w:rPr>
        <w:t> </w:t>
      </w:r>
      <w:r>
        <w:rPr/>
        <w:t>el</w:t>
      </w:r>
      <w:r>
        <w:rPr>
          <w:spacing w:val="-15"/>
        </w:rPr>
        <w:t> </w:t>
      </w:r>
      <w:r>
        <w:rPr/>
        <w:t>Estado</w:t>
      </w:r>
      <w:r>
        <w:rPr>
          <w:spacing w:val="-12"/>
        </w:rPr>
        <w:t> </w:t>
      </w:r>
      <w:r>
        <w:rPr/>
        <w:t>comienza</w:t>
      </w:r>
      <w:r>
        <w:rPr>
          <w:spacing w:val="-14"/>
        </w:rPr>
        <w:t> </w:t>
      </w:r>
      <w:r>
        <w:rPr/>
        <w:t>a</w:t>
      </w:r>
      <w:r>
        <w:rPr>
          <w:spacing w:val="-12"/>
        </w:rPr>
        <w:t> </w:t>
      </w:r>
      <w:r>
        <w:rPr/>
        <w:t>regular</w:t>
      </w:r>
      <w:r>
        <w:rPr>
          <w:spacing w:val="-15"/>
        </w:rPr>
        <w:t> </w:t>
      </w:r>
      <w:r>
        <w:rPr/>
        <w:t>la</w:t>
      </w:r>
      <w:r>
        <w:rPr>
          <w:spacing w:val="-12"/>
        </w:rPr>
        <w:t> </w:t>
      </w:r>
      <w:r>
        <w:rPr/>
        <w:t>conducta</w:t>
      </w:r>
      <w:r>
        <w:rPr>
          <w:spacing w:val="-14"/>
        </w:rPr>
        <w:t> </w:t>
      </w:r>
      <w:r>
        <w:rPr/>
        <w:t>social</w:t>
      </w:r>
      <w:r>
        <w:rPr>
          <w:spacing w:val="-13"/>
        </w:rPr>
        <w:t> </w:t>
      </w:r>
      <w:r>
        <w:rPr/>
        <w:t>del individuo,</w:t>
      </w:r>
      <w:r>
        <w:rPr>
          <w:spacing w:val="-13"/>
        </w:rPr>
        <w:t> </w:t>
      </w:r>
      <w:r>
        <w:rPr/>
        <w:t>establece</w:t>
      </w:r>
      <w:r>
        <w:rPr>
          <w:spacing w:val="-16"/>
        </w:rPr>
        <w:t> </w:t>
      </w:r>
      <w:r>
        <w:rPr/>
        <w:t>un</w:t>
      </w:r>
      <w:r>
        <w:rPr>
          <w:spacing w:val="-15"/>
        </w:rPr>
        <w:t> </w:t>
      </w:r>
      <w:r>
        <w:rPr/>
        <w:t>lenguaje</w:t>
      </w:r>
      <w:r>
        <w:rPr>
          <w:spacing w:val="-16"/>
        </w:rPr>
        <w:t> </w:t>
      </w:r>
      <w:r>
        <w:rPr/>
        <w:t>común</w:t>
      </w:r>
      <w:r>
        <w:rPr>
          <w:spacing w:val="-13"/>
        </w:rPr>
        <w:t> </w:t>
      </w:r>
      <w:r>
        <w:rPr/>
        <w:t>y</w:t>
      </w:r>
      <w:r>
        <w:rPr>
          <w:spacing w:val="-16"/>
        </w:rPr>
        <w:t> </w:t>
      </w:r>
      <w:r>
        <w:rPr/>
        <w:t>utiliza</w:t>
      </w:r>
      <w:r>
        <w:rPr>
          <w:spacing w:val="-13"/>
        </w:rPr>
        <w:t> </w:t>
      </w:r>
      <w:r>
        <w:rPr/>
        <w:t>el</w:t>
      </w:r>
      <w:r>
        <w:rPr>
          <w:spacing w:val="-17"/>
        </w:rPr>
        <w:t> </w:t>
      </w:r>
      <w:r>
        <w:rPr/>
        <w:t>ejército</w:t>
      </w:r>
      <w:r>
        <w:rPr>
          <w:spacing w:val="-15"/>
        </w:rPr>
        <w:t> </w:t>
      </w:r>
      <w:r>
        <w:rPr/>
        <w:t>para</w:t>
      </w:r>
      <w:r>
        <w:rPr>
          <w:spacing w:val="-16"/>
        </w:rPr>
        <w:t> </w:t>
      </w:r>
      <w:r>
        <w:rPr/>
        <w:t>defender</w:t>
      </w:r>
      <w:r>
        <w:rPr>
          <w:spacing w:val="-15"/>
        </w:rPr>
        <w:t> </w:t>
      </w:r>
      <w:r>
        <w:rPr/>
        <w:t>su</w:t>
      </w:r>
      <w:r>
        <w:rPr>
          <w:spacing w:val="-15"/>
        </w:rPr>
        <w:t> </w:t>
      </w:r>
      <w:r>
        <w:rPr/>
        <w:t>territorio o</w:t>
      </w:r>
      <w:r>
        <w:rPr>
          <w:spacing w:val="-5"/>
        </w:rPr>
        <w:t> </w:t>
      </w:r>
      <w:r>
        <w:rPr/>
        <w:t>conquistar</w:t>
      </w:r>
      <w:r>
        <w:rPr>
          <w:spacing w:val="-6"/>
        </w:rPr>
        <w:t> </w:t>
      </w:r>
      <w:r>
        <w:rPr/>
        <w:t>nuevas</w:t>
      </w:r>
      <w:r>
        <w:rPr>
          <w:spacing w:val="-5"/>
        </w:rPr>
        <w:t> </w:t>
      </w:r>
      <w:r>
        <w:rPr/>
        <w:t>tierras,</w:t>
      </w:r>
      <w:r>
        <w:rPr>
          <w:spacing w:val="-5"/>
        </w:rPr>
        <w:t> </w:t>
      </w:r>
      <w:r>
        <w:rPr/>
        <w:t>se</w:t>
      </w:r>
      <w:r>
        <w:rPr>
          <w:spacing w:val="-5"/>
        </w:rPr>
        <w:t> </w:t>
      </w:r>
      <w:r>
        <w:rPr/>
        <w:t>genera</w:t>
      </w:r>
      <w:r>
        <w:rPr>
          <w:spacing w:val="-8"/>
        </w:rPr>
        <w:t> </w:t>
      </w:r>
      <w:r>
        <w:rPr/>
        <w:t>una</w:t>
      </w:r>
      <w:r>
        <w:rPr>
          <w:spacing w:val="-7"/>
        </w:rPr>
        <w:t> </w:t>
      </w:r>
      <w:r>
        <w:rPr/>
        <w:t>visión</w:t>
      </w:r>
      <w:r>
        <w:rPr>
          <w:spacing w:val="-4"/>
        </w:rPr>
        <w:t> </w:t>
      </w:r>
      <w:r>
        <w:rPr/>
        <w:t>de</w:t>
      </w:r>
      <w:r>
        <w:rPr>
          <w:spacing w:val="-5"/>
        </w:rPr>
        <w:t> </w:t>
      </w:r>
      <w:r>
        <w:rPr/>
        <w:t>dominio</w:t>
      </w:r>
      <w:r>
        <w:rPr>
          <w:spacing w:val="-5"/>
        </w:rPr>
        <w:t> </w:t>
      </w:r>
      <w:r>
        <w:rPr/>
        <w:t>del</w:t>
      </w:r>
      <w:r>
        <w:rPr>
          <w:spacing w:val="-6"/>
        </w:rPr>
        <w:t> </w:t>
      </w:r>
      <w:r>
        <w:rPr/>
        <w:t>gobierno</w:t>
      </w:r>
      <w:r>
        <w:rPr>
          <w:spacing w:val="-7"/>
        </w:rPr>
        <w:t> </w:t>
      </w:r>
      <w:r>
        <w:rPr/>
        <w:t>hacia</w:t>
      </w:r>
      <w:r>
        <w:rPr>
          <w:spacing w:val="-7"/>
        </w:rPr>
        <w:t> </w:t>
      </w:r>
      <w:r>
        <w:rPr/>
        <w:t>los ciudadanos que cobra represalias para quien se atreva a cuestionar las decisiones de los gobernantes (Del Águila,</w:t>
      </w:r>
      <w:r>
        <w:rPr>
          <w:spacing w:val="-12"/>
        </w:rPr>
        <w:t> </w:t>
      </w:r>
      <w:r>
        <w:rPr/>
        <w:t>1997).</w:t>
      </w:r>
    </w:p>
    <w:p>
      <w:pPr>
        <w:pStyle w:val="BodyText"/>
      </w:pPr>
    </w:p>
    <w:p>
      <w:pPr>
        <w:pStyle w:val="BodyText"/>
      </w:pPr>
    </w:p>
    <w:p>
      <w:pPr>
        <w:pStyle w:val="BodyText"/>
        <w:spacing w:line="360" w:lineRule="auto" w:before="186"/>
        <w:ind w:left="122" w:right="122"/>
        <w:jc w:val="both"/>
      </w:pPr>
      <w:r>
        <w:rPr/>
        <w:t>Derivado</w:t>
      </w:r>
      <w:r>
        <w:rPr>
          <w:spacing w:val="-4"/>
        </w:rPr>
        <w:t> </w:t>
      </w:r>
      <w:r>
        <w:rPr/>
        <w:t>de</w:t>
      </w:r>
      <w:r>
        <w:rPr>
          <w:spacing w:val="-6"/>
        </w:rPr>
        <w:t> </w:t>
      </w:r>
      <w:r>
        <w:rPr/>
        <w:t>las</w:t>
      </w:r>
      <w:r>
        <w:rPr>
          <w:spacing w:val="-6"/>
        </w:rPr>
        <w:t> </w:t>
      </w:r>
      <w:r>
        <w:rPr/>
        <w:t>negociaciones</w:t>
      </w:r>
      <w:r>
        <w:rPr>
          <w:spacing w:val="-7"/>
        </w:rPr>
        <w:t> </w:t>
      </w:r>
      <w:r>
        <w:rPr/>
        <w:t>y</w:t>
      </w:r>
      <w:r>
        <w:rPr>
          <w:spacing w:val="-7"/>
        </w:rPr>
        <w:t> </w:t>
      </w:r>
      <w:r>
        <w:rPr/>
        <w:t>las</w:t>
      </w:r>
      <w:r>
        <w:rPr>
          <w:spacing w:val="-6"/>
        </w:rPr>
        <w:t> </w:t>
      </w:r>
      <w:r>
        <w:rPr/>
        <w:t>estrategias</w:t>
      </w:r>
      <w:r>
        <w:rPr>
          <w:spacing w:val="-4"/>
        </w:rPr>
        <w:t> </w:t>
      </w:r>
      <w:r>
        <w:rPr/>
        <w:t>de</w:t>
      </w:r>
      <w:r>
        <w:rPr>
          <w:spacing w:val="-6"/>
        </w:rPr>
        <w:t> </w:t>
      </w:r>
      <w:r>
        <w:rPr/>
        <w:t>los</w:t>
      </w:r>
      <w:r>
        <w:rPr>
          <w:spacing w:val="-6"/>
        </w:rPr>
        <w:t> </w:t>
      </w:r>
      <w:r>
        <w:rPr/>
        <w:t>Estados</w:t>
      </w:r>
      <w:r>
        <w:rPr>
          <w:spacing w:val="-7"/>
        </w:rPr>
        <w:t> </w:t>
      </w:r>
      <w:r>
        <w:rPr/>
        <w:t>más</w:t>
      </w:r>
      <w:r>
        <w:rPr>
          <w:spacing w:val="-9"/>
        </w:rPr>
        <w:t> </w:t>
      </w:r>
      <w:r>
        <w:rPr/>
        <w:t>fuertes</w:t>
      </w:r>
      <w:r>
        <w:rPr>
          <w:spacing w:val="-7"/>
        </w:rPr>
        <w:t> </w:t>
      </w:r>
      <w:r>
        <w:rPr/>
        <w:t>se</w:t>
      </w:r>
      <w:r>
        <w:rPr>
          <w:spacing w:val="-6"/>
        </w:rPr>
        <w:t> </w:t>
      </w:r>
      <w:r>
        <w:rPr/>
        <w:t>crea el  Estado feudal,  cuyas formas de organización eran basadas en  la    </w:t>
      </w:r>
      <w:r>
        <w:rPr>
          <w:spacing w:val="48"/>
        </w:rPr>
        <w:t> </w:t>
      </w:r>
      <w:r>
        <w:rPr/>
        <w:t>propiedad</w:t>
      </w:r>
    </w:p>
    <w:p>
      <w:pPr>
        <w:pStyle w:val="BodyText"/>
        <w:rPr>
          <w:sz w:val="20"/>
        </w:rPr>
      </w:pPr>
    </w:p>
    <w:p>
      <w:pPr>
        <w:pStyle w:val="BodyText"/>
        <w:spacing w:before="3"/>
        <w:rPr>
          <w:sz w:val="28"/>
        </w:rPr>
      </w:pPr>
      <w:r>
        <w:rPr/>
        <w:pict>
          <v:line style="position:absolute;mso-position-horizontal-relative:page;mso-position-vertical-relative:paragraph;z-index:1144;mso-wrap-distance-left:0;mso-wrap-distance-right:0" from="85.103996pt,18.614866pt" to="229.123996pt,18.614866pt" stroked="true" strokeweight=".72003pt" strokecolor="#000000">
            <w10:wrap type="topAndBottom"/>
          </v:line>
        </w:pict>
      </w:r>
    </w:p>
    <w:p>
      <w:pPr>
        <w:spacing w:before="64"/>
        <w:ind w:left="122" w:right="113" w:firstLine="0"/>
        <w:jc w:val="both"/>
        <w:rPr>
          <w:rFonts w:ascii="Times New Roman" w:hAnsi="Times New Roman"/>
          <w:sz w:val="16"/>
        </w:rPr>
      </w:pPr>
      <w:r>
        <w:rPr>
          <w:rFonts w:ascii="Times New Roman" w:hAnsi="Times New Roman"/>
          <w:position w:val="6"/>
          <w:sz w:val="10"/>
        </w:rPr>
        <w:t>6 </w:t>
      </w:r>
      <w:r>
        <w:rPr>
          <w:rFonts w:ascii="Times New Roman" w:hAnsi="Times New Roman"/>
          <w:sz w:val="16"/>
        </w:rPr>
        <w:t>Debemos recordar que los ciudadanos era solamente los hombres que gozaban de reconocimiento, sin tomar en cuenta a los esclavos, las mujeres</w:t>
      </w:r>
      <w:r>
        <w:rPr>
          <w:rFonts w:ascii="Times New Roman" w:hAnsi="Times New Roman"/>
          <w:spacing w:val="-4"/>
          <w:sz w:val="16"/>
        </w:rPr>
        <w:t> </w:t>
      </w:r>
      <w:r>
        <w:rPr>
          <w:rFonts w:ascii="Times New Roman" w:hAnsi="Times New Roman"/>
          <w:sz w:val="16"/>
        </w:rPr>
        <w:t>y</w:t>
      </w:r>
      <w:r>
        <w:rPr>
          <w:rFonts w:ascii="Times New Roman" w:hAnsi="Times New Roman"/>
          <w:spacing w:val="-8"/>
          <w:sz w:val="16"/>
        </w:rPr>
        <w:t> </w:t>
      </w:r>
      <w:r>
        <w:rPr>
          <w:rFonts w:ascii="Times New Roman" w:hAnsi="Times New Roman"/>
          <w:sz w:val="16"/>
        </w:rPr>
        <w:t>los</w:t>
      </w:r>
      <w:r>
        <w:rPr>
          <w:rFonts w:ascii="Times New Roman" w:hAnsi="Times New Roman"/>
          <w:spacing w:val="-4"/>
          <w:sz w:val="16"/>
        </w:rPr>
        <w:t> </w:t>
      </w:r>
      <w:r>
        <w:rPr>
          <w:rFonts w:ascii="Times New Roman" w:hAnsi="Times New Roman"/>
          <w:sz w:val="16"/>
        </w:rPr>
        <w:t>niños.</w:t>
      </w:r>
      <w:r>
        <w:rPr>
          <w:rFonts w:ascii="Times New Roman" w:hAnsi="Times New Roman"/>
          <w:spacing w:val="-6"/>
          <w:sz w:val="16"/>
        </w:rPr>
        <w:t> </w:t>
      </w:r>
      <w:r>
        <w:rPr>
          <w:rFonts w:ascii="Times New Roman" w:hAnsi="Times New Roman"/>
          <w:sz w:val="16"/>
        </w:rPr>
        <w:t>Asimismo,</w:t>
      </w:r>
      <w:r>
        <w:rPr>
          <w:rFonts w:ascii="Times New Roman" w:hAnsi="Times New Roman"/>
          <w:spacing w:val="-6"/>
          <w:sz w:val="16"/>
        </w:rPr>
        <w:t> </w:t>
      </w:r>
      <w:r>
        <w:rPr>
          <w:rFonts w:ascii="Times New Roman" w:hAnsi="Times New Roman"/>
          <w:sz w:val="16"/>
        </w:rPr>
        <w:t>que</w:t>
      </w:r>
      <w:r>
        <w:rPr>
          <w:rFonts w:ascii="Times New Roman" w:hAnsi="Times New Roman"/>
          <w:spacing w:val="-6"/>
          <w:sz w:val="16"/>
        </w:rPr>
        <w:t> </w:t>
      </w:r>
      <w:r>
        <w:rPr>
          <w:rFonts w:ascii="Times New Roman" w:hAnsi="Times New Roman"/>
          <w:sz w:val="16"/>
        </w:rPr>
        <w:t>la</w:t>
      </w:r>
      <w:r>
        <w:rPr>
          <w:rFonts w:ascii="Times New Roman" w:hAnsi="Times New Roman"/>
          <w:spacing w:val="-6"/>
          <w:sz w:val="16"/>
        </w:rPr>
        <w:t> </w:t>
      </w:r>
      <w:r>
        <w:rPr>
          <w:rFonts w:ascii="Times New Roman" w:hAnsi="Times New Roman"/>
          <w:sz w:val="16"/>
        </w:rPr>
        <w:t>polis</w:t>
      </w:r>
      <w:r>
        <w:rPr>
          <w:rFonts w:ascii="Times New Roman" w:hAnsi="Times New Roman"/>
          <w:spacing w:val="-7"/>
          <w:sz w:val="16"/>
        </w:rPr>
        <w:t> </w:t>
      </w:r>
      <w:r>
        <w:rPr>
          <w:rFonts w:ascii="Times New Roman" w:hAnsi="Times New Roman"/>
          <w:sz w:val="16"/>
        </w:rPr>
        <w:t>era</w:t>
      </w:r>
      <w:r>
        <w:rPr>
          <w:rFonts w:ascii="Times New Roman" w:hAnsi="Times New Roman"/>
          <w:spacing w:val="-6"/>
          <w:sz w:val="16"/>
        </w:rPr>
        <w:t> </w:t>
      </w:r>
      <w:r>
        <w:rPr>
          <w:rFonts w:ascii="Times New Roman" w:hAnsi="Times New Roman"/>
          <w:sz w:val="16"/>
        </w:rPr>
        <w:t>un</w:t>
      </w:r>
      <w:r>
        <w:rPr>
          <w:rFonts w:ascii="Times New Roman" w:hAnsi="Times New Roman"/>
          <w:spacing w:val="-5"/>
          <w:sz w:val="16"/>
        </w:rPr>
        <w:t> </w:t>
      </w:r>
      <w:r>
        <w:rPr>
          <w:rFonts w:ascii="Times New Roman" w:hAnsi="Times New Roman"/>
          <w:sz w:val="16"/>
        </w:rPr>
        <w:t>grupo</w:t>
      </w:r>
      <w:r>
        <w:rPr>
          <w:rFonts w:ascii="Times New Roman" w:hAnsi="Times New Roman"/>
          <w:spacing w:val="-8"/>
          <w:sz w:val="16"/>
        </w:rPr>
        <w:t> </w:t>
      </w:r>
      <w:r>
        <w:rPr>
          <w:rFonts w:ascii="Times New Roman" w:hAnsi="Times New Roman"/>
          <w:sz w:val="16"/>
        </w:rPr>
        <w:t>pequeño</w:t>
      </w:r>
      <w:r>
        <w:rPr>
          <w:rFonts w:ascii="Times New Roman" w:hAnsi="Times New Roman"/>
          <w:spacing w:val="-8"/>
          <w:sz w:val="16"/>
        </w:rPr>
        <w:t> </w:t>
      </w:r>
      <w:r>
        <w:rPr>
          <w:rFonts w:ascii="Times New Roman" w:hAnsi="Times New Roman"/>
          <w:sz w:val="16"/>
        </w:rPr>
        <w:t>de</w:t>
      </w:r>
      <w:r>
        <w:rPr>
          <w:rFonts w:ascii="Times New Roman" w:hAnsi="Times New Roman"/>
          <w:spacing w:val="-8"/>
          <w:sz w:val="16"/>
        </w:rPr>
        <w:t> </w:t>
      </w:r>
      <w:r>
        <w:rPr>
          <w:rFonts w:ascii="Times New Roman" w:hAnsi="Times New Roman"/>
          <w:sz w:val="16"/>
        </w:rPr>
        <w:t>personas</w:t>
      </w:r>
      <w:r>
        <w:rPr>
          <w:rFonts w:ascii="Times New Roman" w:hAnsi="Times New Roman"/>
          <w:spacing w:val="-7"/>
          <w:sz w:val="16"/>
        </w:rPr>
        <w:t> </w:t>
      </w:r>
      <w:r>
        <w:rPr>
          <w:rFonts w:ascii="Times New Roman" w:hAnsi="Times New Roman"/>
          <w:sz w:val="16"/>
        </w:rPr>
        <w:t>que</w:t>
      </w:r>
      <w:r>
        <w:rPr>
          <w:rFonts w:ascii="Times New Roman" w:hAnsi="Times New Roman"/>
          <w:spacing w:val="-6"/>
          <w:sz w:val="16"/>
        </w:rPr>
        <w:t> </w:t>
      </w:r>
      <w:r>
        <w:rPr>
          <w:rFonts w:ascii="Times New Roman" w:hAnsi="Times New Roman"/>
          <w:sz w:val="16"/>
        </w:rPr>
        <w:t>definían</w:t>
      </w:r>
      <w:r>
        <w:rPr>
          <w:rFonts w:ascii="Times New Roman" w:hAnsi="Times New Roman"/>
          <w:spacing w:val="-5"/>
          <w:sz w:val="16"/>
        </w:rPr>
        <w:t> </w:t>
      </w:r>
      <w:r>
        <w:rPr>
          <w:rFonts w:ascii="Times New Roman" w:hAnsi="Times New Roman"/>
          <w:sz w:val="16"/>
        </w:rPr>
        <w:t>el</w:t>
      </w:r>
      <w:r>
        <w:rPr>
          <w:rFonts w:ascii="Times New Roman" w:hAnsi="Times New Roman"/>
          <w:spacing w:val="-5"/>
          <w:sz w:val="16"/>
        </w:rPr>
        <w:t> </w:t>
      </w:r>
      <w:r>
        <w:rPr>
          <w:rFonts w:ascii="Times New Roman" w:hAnsi="Times New Roman"/>
          <w:sz w:val="16"/>
        </w:rPr>
        <w:t>rumbo</w:t>
      </w:r>
      <w:r>
        <w:rPr>
          <w:rFonts w:ascii="Times New Roman" w:hAnsi="Times New Roman"/>
          <w:spacing w:val="-8"/>
          <w:sz w:val="16"/>
        </w:rPr>
        <w:t> </w:t>
      </w:r>
      <w:r>
        <w:rPr>
          <w:rFonts w:ascii="Times New Roman" w:hAnsi="Times New Roman"/>
          <w:sz w:val="16"/>
        </w:rPr>
        <w:t>de</w:t>
      </w:r>
      <w:r>
        <w:rPr>
          <w:rFonts w:ascii="Times New Roman" w:hAnsi="Times New Roman"/>
          <w:spacing w:val="-6"/>
          <w:sz w:val="16"/>
        </w:rPr>
        <w:t> </w:t>
      </w:r>
      <w:r>
        <w:rPr>
          <w:rFonts w:ascii="Times New Roman" w:hAnsi="Times New Roman"/>
          <w:sz w:val="16"/>
        </w:rPr>
        <w:t>Grecia.</w:t>
      </w:r>
      <w:r>
        <w:rPr>
          <w:rFonts w:ascii="Times New Roman" w:hAnsi="Times New Roman"/>
          <w:spacing w:val="-2"/>
          <w:sz w:val="16"/>
        </w:rPr>
        <w:t> </w:t>
      </w:r>
      <w:r>
        <w:rPr>
          <w:rFonts w:ascii="Times New Roman" w:hAnsi="Times New Roman"/>
          <w:sz w:val="16"/>
        </w:rPr>
        <w:t>Contrario</w:t>
      </w:r>
      <w:r>
        <w:rPr>
          <w:rFonts w:ascii="Times New Roman" w:hAnsi="Times New Roman"/>
          <w:spacing w:val="-8"/>
          <w:sz w:val="16"/>
        </w:rPr>
        <w:t> </w:t>
      </w:r>
      <w:r>
        <w:rPr>
          <w:rFonts w:ascii="Times New Roman" w:hAnsi="Times New Roman"/>
          <w:sz w:val="16"/>
        </w:rPr>
        <w:t>a</w:t>
      </w:r>
      <w:r>
        <w:rPr>
          <w:rFonts w:ascii="Times New Roman" w:hAnsi="Times New Roman"/>
          <w:spacing w:val="-6"/>
          <w:sz w:val="16"/>
        </w:rPr>
        <w:t> </w:t>
      </w:r>
      <w:r>
        <w:rPr>
          <w:rFonts w:ascii="Times New Roman" w:hAnsi="Times New Roman"/>
          <w:sz w:val="16"/>
        </w:rPr>
        <w:t>la</w:t>
      </w:r>
      <w:r>
        <w:rPr>
          <w:rFonts w:ascii="Times New Roman" w:hAnsi="Times New Roman"/>
          <w:spacing w:val="-4"/>
          <w:sz w:val="16"/>
        </w:rPr>
        <w:t> </w:t>
      </w:r>
      <w:r>
        <w:rPr>
          <w:rFonts w:ascii="Times New Roman" w:hAnsi="Times New Roman"/>
          <w:sz w:val="16"/>
        </w:rPr>
        <w:t>época</w:t>
      </w:r>
      <w:r>
        <w:rPr>
          <w:rFonts w:ascii="Times New Roman" w:hAnsi="Times New Roman"/>
          <w:spacing w:val="-6"/>
          <w:sz w:val="16"/>
        </w:rPr>
        <w:t> </w:t>
      </w:r>
      <w:r>
        <w:rPr>
          <w:rFonts w:ascii="Times New Roman" w:hAnsi="Times New Roman"/>
          <w:sz w:val="16"/>
        </w:rPr>
        <w:t>actual en</w:t>
      </w:r>
      <w:r>
        <w:rPr>
          <w:rFonts w:ascii="Times New Roman" w:hAnsi="Times New Roman"/>
          <w:spacing w:val="-4"/>
          <w:sz w:val="16"/>
        </w:rPr>
        <w:t> </w:t>
      </w:r>
      <w:r>
        <w:rPr>
          <w:rFonts w:ascii="Times New Roman" w:hAnsi="Times New Roman"/>
          <w:sz w:val="16"/>
        </w:rPr>
        <w:t>la</w:t>
      </w:r>
      <w:r>
        <w:rPr>
          <w:rFonts w:ascii="Times New Roman" w:hAnsi="Times New Roman"/>
          <w:spacing w:val="-4"/>
          <w:sz w:val="16"/>
        </w:rPr>
        <w:t> </w:t>
      </w:r>
      <w:r>
        <w:rPr>
          <w:rFonts w:ascii="Times New Roman" w:hAnsi="Times New Roman"/>
          <w:sz w:val="16"/>
        </w:rPr>
        <w:t>que</w:t>
      </w:r>
      <w:r>
        <w:rPr>
          <w:rFonts w:ascii="Times New Roman" w:hAnsi="Times New Roman"/>
          <w:spacing w:val="-6"/>
          <w:sz w:val="16"/>
        </w:rPr>
        <w:t> </w:t>
      </w:r>
      <w:r>
        <w:rPr>
          <w:rFonts w:ascii="Times New Roman" w:hAnsi="Times New Roman"/>
          <w:sz w:val="16"/>
        </w:rPr>
        <w:t>dado</w:t>
      </w:r>
      <w:r>
        <w:rPr>
          <w:rFonts w:ascii="Times New Roman" w:hAnsi="Times New Roman"/>
          <w:spacing w:val="-5"/>
          <w:sz w:val="16"/>
        </w:rPr>
        <w:t> </w:t>
      </w:r>
      <w:r>
        <w:rPr>
          <w:rFonts w:ascii="Times New Roman" w:hAnsi="Times New Roman"/>
          <w:sz w:val="16"/>
        </w:rPr>
        <w:t>el</w:t>
      </w:r>
      <w:r>
        <w:rPr>
          <w:rFonts w:ascii="Times New Roman" w:hAnsi="Times New Roman"/>
          <w:spacing w:val="-5"/>
          <w:sz w:val="16"/>
        </w:rPr>
        <w:t> </w:t>
      </w:r>
      <w:r>
        <w:rPr>
          <w:rFonts w:ascii="Times New Roman" w:hAnsi="Times New Roman"/>
          <w:sz w:val="16"/>
        </w:rPr>
        <w:t>gran</w:t>
      </w:r>
      <w:r>
        <w:rPr>
          <w:rFonts w:ascii="Times New Roman" w:hAnsi="Times New Roman"/>
          <w:spacing w:val="-4"/>
          <w:sz w:val="16"/>
        </w:rPr>
        <w:t> </w:t>
      </w:r>
      <w:r>
        <w:rPr>
          <w:rFonts w:ascii="Times New Roman" w:hAnsi="Times New Roman"/>
          <w:sz w:val="16"/>
        </w:rPr>
        <w:t>número</w:t>
      </w:r>
      <w:r>
        <w:rPr>
          <w:rFonts w:ascii="Times New Roman" w:hAnsi="Times New Roman"/>
          <w:spacing w:val="-5"/>
          <w:sz w:val="16"/>
        </w:rPr>
        <w:t> </w:t>
      </w:r>
      <w:r>
        <w:rPr>
          <w:rFonts w:ascii="Times New Roman" w:hAnsi="Times New Roman"/>
          <w:sz w:val="16"/>
        </w:rPr>
        <w:t>de</w:t>
      </w:r>
      <w:r>
        <w:rPr>
          <w:rFonts w:ascii="Times New Roman" w:hAnsi="Times New Roman"/>
          <w:spacing w:val="-6"/>
          <w:sz w:val="16"/>
        </w:rPr>
        <w:t> </w:t>
      </w:r>
      <w:r>
        <w:rPr>
          <w:rFonts w:ascii="Times New Roman" w:hAnsi="Times New Roman"/>
          <w:sz w:val="16"/>
        </w:rPr>
        <w:t>ciudadanos</w:t>
      </w:r>
      <w:r>
        <w:rPr>
          <w:rFonts w:ascii="Times New Roman" w:hAnsi="Times New Roman"/>
          <w:spacing w:val="-4"/>
          <w:sz w:val="16"/>
        </w:rPr>
        <w:t> </w:t>
      </w:r>
      <w:r>
        <w:rPr>
          <w:rFonts w:ascii="Times New Roman" w:hAnsi="Times New Roman"/>
          <w:sz w:val="16"/>
        </w:rPr>
        <w:t>imposibilita</w:t>
      </w:r>
      <w:r>
        <w:rPr>
          <w:rFonts w:ascii="Times New Roman" w:hAnsi="Times New Roman"/>
          <w:spacing w:val="-4"/>
          <w:sz w:val="16"/>
        </w:rPr>
        <w:t> </w:t>
      </w:r>
      <w:r>
        <w:rPr>
          <w:rFonts w:ascii="Times New Roman" w:hAnsi="Times New Roman"/>
          <w:sz w:val="16"/>
        </w:rPr>
        <w:t>la</w:t>
      </w:r>
      <w:r>
        <w:rPr>
          <w:rFonts w:ascii="Times New Roman" w:hAnsi="Times New Roman"/>
          <w:spacing w:val="-6"/>
          <w:sz w:val="16"/>
        </w:rPr>
        <w:t> </w:t>
      </w:r>
      <w:r>
        <w:rPr>
          <w:rFonts w:ascii="Times New Roman" w:hAnsi="Times New Roman"/>
          <w:sz w:val="16"/>
        </w:rPr>
        <w:t>participación</w:t>
      </w:r>
      <w:r>
        <w:rPr>
          <w:rFonts w:ascii="Times New Roman" w:hAnsi="Times New Roman"/>
          <w:spacing w:val="-5"/>
          <w:sz w:val="16"/>
        </w:rPr>
        <w:t> </w:t>
      </w:r>
      <w:r>
        <w:rPr>
          <w:rFonts w:ascii="Times New Roman" w:hAnsi="Times New Roman"/>
          <w:sz w:val="16"/>
        </w:rPr>
        <w:t>todos</w:t>
      </w:r>
      <w:r>
        <w:rPr>
          <w:rFonts w:ascii="Times New Roman" w:hAnsi="Times New Roman"/>
          <w:spacing w:val="-4"/>
          <w:sz w:val="16"/>
        </w:rPr>
        <w:t> </w:t>
      </w:r>
      <w:r>
        <w:rPr>
          <w:rFonts w:ascii="Times New Roman" w:hAnsi="Times New Roman"/>
          <w:sz w:val="16"/>
        </w:rPr>
        <w:t>en</w:t>
      </w:r>
      <w:r>
        <w:rPr>
          <w:rFonts w:ascii="Times New Roman" w:hAnsi="Times New Roman"/>
          <w:spacing w:val="-4"/>
          <w:sz w:val="16"/>
        </w:rPr>
        <w:t> </w:t>
      </w:r>
      <w:r>
        <w:rPr>
          <w:rFonts w:ascii="Times New Roman" w:hAnsi="Times New Roman"/>
          <w:sz w:val="16"/>
        </w:rPr>
        <w:t>las</w:t>
      </w:r>
      <w:r>
        <w:rPr>
          <w:rFonts w:ascii="Times New Roman" w:hAnsi="Times New Roman"/>
          <w:spacing w:val="-4"/>
          <w:sz w:val="16"/>
        </w:rPr>
        <w:t> </w:t>
      </w:r>
      <w:r>
        <w:rPr>
          <w:rFonts w:ascii="Times New Roman" w:hAnsi="Times New Roman"/>
          <w:sz w:val="16"/>
        </w:rPr>
        <w:t>decisiones</w:t>
      </w:r>
      <w:r>
        <w:rPr>
          <w:rFonts w:ascii="Times New Roman" w:hAnsi="Times New Roman"/>
          <w:spacing w:val="-7"/>
          <w:sz w:val="16"/>
        </w:rPr>
        <w:t> </w:t>
      </w:r>
      <w:r>
        <w:rPr>
          <w:rFonts w:ascii="Times New Roman" w:hAnsi="Times New Roman"/>
          <w:sz w:val="16"/>
        </w:rPr>
        <w:t>de</w:t>
      </w:r>
      <w:r>
        <w:rPr>
          <w:rFonts w:ascii="Times New Roman" w:hAnsi="Times New Roman"/>
          <w:spacing w:val="-6"/>
          <w:sz w:val="16"/>
        </w:rPr>
        <w:t> </w:t>
      </w:r>
      <w:r>
        <w:rPr>
          <w:rFonts w:ascii="Times New Roman" w:hAnsi="Times New Roman"/>
          <w:sz w:val="16"/>
        </w:rPr>
        <w:t>gobierno,</w:t>
      </w:r>
      <w:r>
        <w:rPr>
          <w:rFonts w:ascii="Times New Roman" w:hAnsi="Times New Roman"/>
          <w:spacing w:val="-4"/>
          <w:sz w:val="16"/>
        </w:rPr>
        <w:t> </w:t>
      </w:r>
      <w:r>
        <w:rPr>
          <w:rFonts w:ascii="Times New Roman" w:hAnsi="Times New Roman"/>
          <w:sz w:val="16"/>
        </w:rPr>
        <w:t>se</w:t>
      </w:r>
      <w:r>
        <w:rPr>
          <w:rFonts w:ascii="Times New Roman" w:hAnsi="Times New Roman"/>
          <w:spacing w:val="-6"/>
          <w:sz w:val="16"/>
        </w:rPr>
        <w:t> </w:t>
      </w:r>
      <w:r>
        <w:rPr>
          <w:rFonts w:ascii="Times New Roman" w:hAnsi="Times New Roman"/>
          <w:sz w:val="16"/>
        </w:rPr>
        <w:t>cuenta</w:t>
      </w:r>
      <w:r>
        <w:rPr>
          <w:rFonts w:ascii="Times New Roman" w:hAnsi="Times New Roman"/>
          <w:spacing w:val="-4"/>
          <w:sz w:val="16"/>
        </w:rPr>
        <w:t> </w:t>
      </w:r>
      <w:r>
        <w:rPr>
          <w:rFonts w:ascii="Times New Roman" w:hAnsi="Times New Roman"/>
          <w:sz w:val="16"/>
        </w:rPr>
        <w:t>con</w:t>
      </w:r>
      <w:r>
        <w:rPr>
          <w:rFonts w:ascii="Times New Roman" w:hAnsi="Times New Roman"/>
          <w:spacing w:val="1"/>
          <w:sz w:val="16"/>
        </w:rPr>
        <w:t> </w:t>
      </w:r>
      <w:r>
        <w:rPr>
          <w:rFonts w:ascii="Times New Roman" w:hAnsi="Times New Roman"/>
          <w:sz w:val="16"/>
        </w:rPr>
        <w:t>un</w:t>
      </w:r>
      <w:r>
        <w:rPr>
          <w:rFonts w:ascii="Times New Roman" w:hAnsi="Times New Roman"/>
          <w:spacing w:val="-4"/>
          <w:sz w:val="16"/>
        </w:rPr>
        <w:t> </w:t>
      </w:r>
      <w:r>
        <w:rPr>
          <w:rFonts w:ascii="Times New Roman" w:hAnsi="Times New Roman"/>
          <w:sz w:val="16"/>
        </w:rPr>
        <w:t>sistema</w:t>
      </w:r>
      <w:r>
        <w:rPr>
          <w:rFonts w:ascii="Times New Roman" w:hAnsi="Times New Roman"/>
          <w:spacing w:val="-6"/>
          <w:sz w:val="16"/>
        </w:rPr>
        <w:t> </w:t>
      </w:r>
      <w:r>
        <w:rPr>
          <w:rFonts w:ascii="Times New Roman" w:hAnsi="Times New Roman"/>
          <w:sz w:val="16"/>
        </w:rPr>
        <w:t>de representación.</w:t>
      </w:r>
    </w:p>
    <w:p>
      <w:pPr>
        <w:spacing w:after="0"/>
        <w:jc w:val="both"/>
        <w:rPr>
          <w:rFonts w:ascii="Times New Roman" w:hAnsi="Times New Roman"/>
          <w:sz w:val="16"/>
        </w:rPr>
        <w:sectPr>
          <w:pgSz w:w="12240" w:h="15840"/>
          <w:pgMar w:header="0" w:footer="975" w:top="1360" w:bottom="1220" w:left="1580" w:right="1580"/>
        </w:sectPr>
      </w:pPr>
    </w:p>
    <w:p>
      <w:pPr>
        <w:pStyle w:val="BodyText"/>
        <w:spacing w:line="362" w:lineRule="auto" w:before="54"/>
        <w:ind w:left="102" w:right="124"/>
        <w:jc w:val="both"/>
      </w:pPr>
      <w:r>
        <w:rPr/>
        <w:t>privada</w:t>
      </w:r>
      <w:r>
        <w:rPr>
          <w:spacing w:val="-5"/>
        </w:rPr>
        <w:t> </w:t>
      </w:r>
      <w:r>
        <w:rPr/>
        <w:t>de</w:t>
      </w:r>
      <w:r>
        <w:rPr>
          <w:spacing w:val="-7"/>
        </w:rPr>
        <w:t> </w:t>
      </w:r>
      <w:r>
        <w:rPr/>
        <w:t>los</w:t>
      </w:r>
      <w:r>
        <w:rPr>
          <w:spacing w:val="-5"/>
        </w:rPr>
        <w:t> </w:t>
      </w:r>
      <w:r>
        <w:rPr/>
        <w:t>grandes</w:t>
      </w:r>
      <w:r>
        <w:rPr>
          <w:spacing w:val="-8"/>
        </w:rPr>
        <w:t> </w:t>
      </w:r>
      <w:r>
        <w:rPr/>
        <w:t>terratenientes</w:t>
      </w:r>
      <w:r>
        <w:rPr>
          <w:spacing w:val="-8"/>
        </w:rPr>
        <w:t> </w:t>
      </w:r>
      <w:r>
        <w:rPr/>
        <w:t>que</w:t>
      </w:r>
      <w:r>
        <w:rPr>
          <w:spacing w:val="-7"/>
        </w:rPr>
        <w:t> </w:t>
      </w:r>
      <w:r>
        <w:rPr/>
        <w:t>otorgaban</w:t>
      </w:r>
      <w:r>
        <w:rPr>
          <w:spacing w:val="-5"/>
        </w:rPr>
        <w:t> </w:t>
      </w:r>
      <w:r>
        <w:rPr/>
        <w:t>protección</w:t>
      </w:r>
      <w:r>
        <w:rPr>
          <w:spacing w:val="-7"/>
        </w:rPr>
        <w:t> </w:t>
      </w:r>
      <w:r>
        <w:rPr/>
        <w:t>a</w:t>
      </w:r>
      <w:r>
        <w:rPr>
          <w:spacing w:val="-5"/>
        </w:rPr>
        <w:t> </w:t>
      </w:r>
      <w:r>
        <w:rPr/>
        <w:t>los</w:t>
      </w:r>
      <w:r>
        <w:rPr>
          <w:spacing w:val="-5"/>
        </w:rPr>
        <w:t> </w:t>
      </w:r>
      <w:r>
        <w:rPr/>
        <w:t>campesinos</w:t>
      </w:r>
      <w:r>
        <w:rPr>
          <w:spacing w:val="-10"/>
        </w:rPr>
        <w:t> </w:t>
      </w:r>
      <w:r>
        <w:rPr/>
        <w:t>a cambio del cultivo de</w:t>
      </w:r>
      <w:r>
        <w:rPr>
          <w:spacing w:val="-9"/>
        </w:rPr>
        <w:t> </w:t>
      </w:r>
      <w:r>
        <w:rPr/>
        <w:t>tierras.</w:t>
      </w:r>
    </w:p>
    <w:p>
      <w:pPr>
        <w:pStyle w:val="BodyText"/>
      </w:pPr>
    </w:p>
    <w:p>
      <w:pPr>
        <w:pStyle w:val="BodyText"/>
      </w:pPr>
    </w:p>
    <w:p>
      <w:pPr>
        <w:pStyle w:val="BodyText"/>
        <w:spacing w:line="360" w:lineRule="auto" w:before="182"/>
        <w:ind w:left="102" w:right="117"/>
        <w:jc w:val="both"/>
      </w:pPr>
      <w:r>
        <w:rPr/>
        <w:t>En</w:t>
      </w:r>
      <w:r>
        <w:rPr>
          <w:spacing w:val="-16"/>
        </w:rPr>
        <w:t> </w:t>
      </w:r>
      <w:r>
        <w:rPr/>
        <w:t>el</w:t>
      </w:r>
      <w:r>
        <w:rPr>
          <w:spacing w:val="-17"/>
        </w:rPr>
        <w:t> </w:t>
      </w:r>
      <w:r>
        <w:rPr/>
        <w:t>siglo</w:t>
      </w:r>
      <w:r>
        <w:rPr>
          <w:spacing w:val="-16"/>
        </w:rPr>
        <w:t> </w:t>
      </w:r>
      <w:r>
        <w:rPr/>
        <w:t>XII,</w:t>
      </w:r>
      <w:r>
        <w:rPr>
          <w:spacing w:val="-16"/>
        </w:rPr>
        <w:t> </w:t>
      </w:r>
      <w:r>
        <w:rPr/>
        <w:t>con</w:t>
      </w:r>
      <w:r>
        <w:rPr>
          <w:spacing w:val="-16"/>
        </w:rPr>
        <w:t> </w:t>
      </w:r>
      <w:r>
        <w:rPr/>
        <w:t>la</w:t>
      </w:r>
      <w:r>
        <w:rPr>
          <w:spacing w:val="-16"/>
        </w:rPr>
        <w:t> </w:t>
      </w:r>
      <w:r>
        <w:rPr/>
        <w:t>centralización</w:t>
      </w:r>
      <w:r>
        <w:rPr>
          <w:spacing w:val="-15"/>
        </w:rPr>
        <w:t> </w:t>
      </w:r>
      <w:r>
        <w:rPr/>
        <w:t>del</w:t>
      </w:r>
      <w:r>
        <w:rPr>
          <w:spacing w:val="-17"/>
        </w:rPr>
        <w:t> </w:t>
      </w:r>
      <w:r>
        <w:rPr/>
        <w:t>poder</w:t>
      </w:r>
      <w:r>
        <w:rPr>
          <w:spacing w:val="-19"/>
        </w:rPr>
        <w:t> </w:t>
      </w:r>
      <w:r>
        <w:rPr/>
        <w:t>en</w:t>
      </w:r>
      <w:r>
        <w:rPr>
          <w:spacing w:val="-16"/>
        </w:rPr>
        <w:t> </w:t>
      </w:r>
      <w:r>
        <w:rPr/>
        <w:t>una</w:t>
      </w:r>
      <w:r>
        <w:rPr>
          <w:spacing w:val="-18"/>
        </w:rPr>
        <w:t> </w:t>
      </w:r>
      <w:r>
        <w:rPr/>
        <w:t>sola</w:t>
      </w:r>
      <w:r>
        <w:rPr>
          <w:spacing w:val="-18"/>
        </w:rPr>
        <w:t> </w:t>
      </w:r>
      <w:r>
        <w:rPr/>
        <w:t>persona,</w:t>
      </w:r>
      <w:r>
        <w:rPr>
          <w:spacing w:val="-18"/>
        </w:rPr>
        <w:t> </w:t>
      </w:r>
      <w:r>
        <w:rPr/>
        <w:t>se</w:t>
      </w:r>
      <w:r>
        <w:rPr>
          <w:spacing w:val="-16"/>
        </w:rPr>
        <w:t> </w:t>
      </w:r>
      <w:r>
        <w:rPr/>
        <w:t>crea</w:t>
      </w:r>
      <w:r>
        <w:rPr>
          <w:spacing w:val="-18"/>
        </w:rPr>
        <w:t> </w:t>
      </w:r>
      <w:r>
        <w:rPr/>
        <w:t>el</w:t>
      </w:r>
      <w:r>
        <w:rPr>
          <w:spacing w:val="-17"/>
        </w:rPr>
        <w:t> </w:t>
      </w:r>
      <w:r>
        <w:rPr/>
        <w:t>Estado absolutista,</w:t>
      </w:r>
      <w:r>
        <w:rPr>
          <w:spacing w:val="-12"/>
        </w:rPr>
        <w:t> </w:t>
      </w:r>
      <w:r>
        <w:rPr/>
        <w:t>que</w:t>
      </w:r>
      <w:r>
        <w:rPr>
          <w:spacing w:val="-14"/>
        </w:rPr>
        <w:t> </w:t>
      </w:r>
      <w:r>
        <w:rPr/>
        <w:t>buscaba</w:t>
      </w:r>
      <w:r>
        <w:rPr>
          <w:spacing w:val="-12"/>
        </w:rPr>
        <w:t> </w:t>
      </w:r>
      <w:r>
        <w:rPr/>
        <w:t>establecer</w:t>
      </w:r>
      <w:r>
        <w:rPr>
          <w:spacing w:val="-13"/>
        </w:rPr>
        <w:t> </w:t>
      </w:r>
      <w:r>
        <w:rPr/>
        <w:t>una</w:t>
      </w:r>
      <w:r>
        <w:rPr>
          <w:spacing w:val="-12"/>
        </w:rPr>
        <w:t> </w:t>
      </w:r>
      <w:r>
        <w:rPr/>
        <w:t>identidad</w:t>
      </w:r>
      <w:r>
        <w:rPr>
          <w:spacing w:val="-14"/>
        </w:rPr>
        <w:t> </w:t>
      </w:r>
      <w:r>
        <w:rPr/>
        <w:t>entre</w:t>
      </w:r>
      <w:r>
        <w:rPr>
          <w:spacing w:val="-12"/>
        </w:rPr>
        <w:t> </w:t>
      </w:r>
      <w:r>
        <w:rPr/>
        <w:t>sus</w:t>
      </w:r>
      <w:r>
        <w:rPr>
          <w:spacing w:val="-13"/>
        </w:rPr>
        <w:t> </w:t>
      </w:r>
      <w:r>
        <w:rPr/>
        <w:t>ciudadanos</w:t>
      </w:r>
      <w:r>
        <w:rPr>
          <w:spacing w:val="-13"/>
        </w:rPr>
        <w:t> </w:t>
      </w:r>
      <w:r>
        <w:rPr/>
        <w:t>a</w:t>
      </w:r>
      <w:r>
        <w:rPr>
          <w:spacing w:val="-12"/>
        </w:rPr>
        <w:t> </w:t>
      </w:r>
      <w:r>
        <w:rPr/>
        <w:t>través</w:t>
      </w:r>
      <w:r>
        <w:rPr>
          <w:spacing w:val="-13"/>
        </w:rPr>
        <w:t> </w:t>
      </w:r>
      <w:r>
        <w:rPr/>
        <w:t>de un lenguaje común, costumbres, símbolos, etc., que los identificaran de otros estados (Mann, 2006). No obstante, la caída del estado absolutista comienza cuando</w:t>
      </w:r>
      <w:r>
        <w:rPr>
          <w:spacing w:val="-7"/>
        </w:rPr>
        <w:t> </w:t>
      </w:r>
      <w:r>
        <w:rPr/>
        <w:t>el</w:t>
      </w:r>
      <w:r>
        <w:rPr>
          <w:spacing w:val="-6"/>
        </w:rPr>
        <w:t> </w:t>
      </w:r>
      <w:r>
        <w:rPr/>
        <w:t>Estado</w:t>
      </w:r>
      <w:r>
        <w:rPr>
          <w:spacing w:val="-7"/>
        </w:rPr>
        <w:t> </w:t>
      </w:r>
      <w:r>
        <w:rPr/>
        <w:t>inglés</w:t>
      </w:r>
      <w:r>
        <w:rPr>
          <w:spacing w:val="-5"/>
        </w:rPr>
        <w:t> </w:t>
      </w:r>
      <w:r>
        <w:rPr/>
        <w:t>rebasa</w:t>
      </w:r>
      <w:r>
        <w:rPr>
          <w:spacing w:val="-5"/>
        </w:rPr>
        <w:t> </w:t>
      </w:r>
      <w:r>
        <w:rPr/>
        <w:t>el</w:t>
      </w:r>
      <w:r>
        <w:rPr>
          <w:spacing w:val="-8"/>
        </w:rPr>
        <w:t> </w:t>
      </w:r>
      <w:r>
        <w:rPr/>
        <w:t>límite</w:t>
      </w:r>
      <w:r>
        <w:rPr>
          <w:spacing w:val="-5"/>
        </w:rPr>
        <w:t> </w:t>
      </w:r>
      <w:r>
        <w:rPr/>
        <w:t>de</w:t>
      </w:r>
      <w:r>
        <w:rPr>
          <w:spacing w:val="-5"/>
        </w:rPr>
        <w:t> </w:t>
      </w:r>
      <w:r>
        <w:rPr/>
        <w:t>los</w:t>
      </w:r>
      <w:r>
        <w:rPr>
          <w:spacing w:val="-5"/>
        </w:rPr>
        <w:t> </w:t>
      </w:r>
      <w:r>
        <w:rPr/>
        <w:t>derechos</w:t>
      </w:r>
      <w:r>
        <w:rPr>
          <w:spacing w:val="-5"/>
        </w:rPr>
        <w:t> </w:t>
      </w:r>
      <w:r>
        <w:rPr/>
        <w:t>iusnaturalistas</w:t>
      </w:r>
      <w:r>
        <w:rPr>
          <w:spacing w:val="-5"/>
        </w:rPr>
        <w:t> </w:t>
      </w:r>
      <w:r>
        <w:rPr/>
        <w:t>del</w:t>
      </w:r>
      <w:r>
        <w:rPr>
          <w:spacing w:val="-6"/>
        </w:rPr>
        <w:t> </w:t>
      </w:r>
      <w:r>
        <w:rPr/>
        <w:t>hombre al solventar sus guerras con impuestos internos, hecho que vio afectados los intereses de los burgueses que reclamaron la realización de tantas guerras exigiendo el cese y justificación de las mismas. En este escenario el liderazgo de Cromwell para organizar la revolución y acabar con el Estado absoluto dio paso al Estado</w:t>
      </w:r>
      <w:r>
        <w:rPr>
          <w:spacing w:val="-7"/>
        </w:rPr>
        <w:t> </w:t>
      </w:r>
      <w:r>
        <w:rPr/>
        <w:t>liberal,</w:t>
      </w:r>
      <w:r>
        <w:rPr>
          <w:spacing w:val="-9"/>
        </w:rPr>
        <w:t> </w:t>
      </w:r>
      <w:r>
        <w:rPr/>
        <w:t>en</w:t>
      </w:r>
      <w:r>
        <w:rPr>
          <w:spacing w:val="-9"/>
        </w:rPr>
        <w:t> </w:t>
      </w:r>
      <w:r>
        <w:rPr/>
        <w:t>el</w:t>
      </w:r>
      <w:r>
        <w:rPr>
          <w:spacing w:val="-8"/>
        </w:rPr>
        <w:t> </w:t>
      </w:r>
      <w:r>
        <w:rPr/>
        <w:t>que</w:t>
      </w:r>
      <w:r>
        <w:rPr>
          <w:spacing w:val="-7"/>
        </w:rPr>
        <w:t> </w:t>
      </w:r>
      <w:r>
        <w:rPr/>
        <w:t>permitía</w:t>
      </w:r>
      <w:r>
        <w:rPr>
          <w:spacing w:val="-7"/>
        </w:rPr>
        <w:t> </w:t>
      </w:r>
      <w:r>
        <w:rPr/>
        <w:t>mayor</w:t>
      </w:r>
      <w:r>
        <w:rPr>
          <w:spacing w:val="-8"/>
        </w:rPr>
        <w:t> </w:t>
      </w:r>
      <w:r>
        <w:rPr/>
        <w:t>margen</w:t>
      </w:r>
      <w:r>
        <w:rPr>
          <w:spacing w:val="-7"/>
        </w:rPr>
        <w:t> </w:t>
      </w:r>
      <w:r>
        <w:rPr/>
        <w:t>de</w:t>
      </w:r>
      <w:r>
        <w:rPr>
          <w:spacing w:val="-9"/>
        </w:rPr>
        <w:t> </w:t>
      </w:r>
      <w:r>
        <w:rPr/>
        <w:t>maniobra</w:t>
      </w:r>
      <w:r>
        <w:rPr>
          <w:spacing w:val="-8"/>
        </w:rPr>
        <w:t> </w:t>
      </w:r>
      <w:r>
        <w:rPr/>
        <w:t>a</w:t>
      </w:r>
      <w:r>
        <w:rPr>
          <w:spacing w:val="-9"/>
        </w:rPr>
        <w:t> </w:t>
      </w:r>
      <w:r>
        <w:rPr/>
        <w:t>los</w:t>
      </w:r>
      <w:r>
        <w:rPr>
          <w:spacing w:val="-7"/>
        </w:rPr>
        <w:t> </w:t>
      </w:r>
      <w:r>
        <w:rPr/>
        <w:t>burgueses.</w:t>
      </w:r>
      <w:r>
        <w:rPr>
          <w:spacing w:val="-7"/>
        </w:rPr>
        <w:t> </w:t>
      </w:r>
      <w:r>
        <w:rPr/>
        <w:t>Este primer hecho marca un cierto nivel de apertura del</w:t>
      </w:r>
      <w:r>
        <w:rPr>
          <w:spacing w:val="-20"/>
        </w:rPr>
        <w:t> </w:t>
      </w:r>
      <w:r>
        <w:rPr/>
        <w:t>gobierno.</w:t>
      </w:r>
    </w:p>
    <w:p>
      <w:pPr>
        <w:pStyle w:val="BodyText"/>
      </w:pPr>
    </w:p>
    <w:p>
      <w:pPr>
        <w:pStyle w:val="BodyText"/>
      </w:pPr>
    </w:p>
    <w:p>
      <w:pPr>
        <w:pStyle w:val="BodyText"/>
        <w:spacing w:line="360" w:lineRule="auto" w:before="185"/>
        <w:ind w:left="102" w:right="118"/>
        <w:jc w:val="both"/>
      </w:pPr>
      <w:r>
        <w:rPr/>
        <w:t>En el siglo XV el pensamiento de Maquiavelo (2010) revolucionó la forma de ver el Estado, ya que le atribuyó la facultad de usar cualquier medio para lograr sus fines de manera justificada. Visión que enaltece al gobernante y menosprecia al ciudadano.</w:t>
      </w:r>
      <w:r>
        <w:rPr>
          <w:spacing w:val="-11"/>
        </w:rPr>
        <w:t> </w:t>
      </w:r>
      <w:r>
        <w:rPr/>
        <w:t>En</w:t>
      </w:r>
      <w:r>
        <w:rPr>
          <w:spacing w:val="-11"/>
        </w:rPr>
        <w:t> </w:t>
      </w:r>
      <w:r>
        <w:rPr/>
        <w:t>tanto</w:t>
      </w:r>
      <w:r>
        <w:rPr>
          <w:spacing w:val="-11"/>
        </w:rPr>
        <w:t> </w:t>
      </w:r>
      <w:r>
        <w:rPr/>
        <w:t>que</w:t>
      </w:r>
      <w:r>
        <w:rPr>
          <w:spacing w:val="-13"/>
        </w:rPr>
        <w:t> </w:t>
      </w:r>
      <w:r>
        <w:rPr/>
        <w:t>Tomas</w:t>
      </w:r>
      <w:r>
        <w:rPr>
          <w:spacing w:val="-12"/>
        </w:rPr>
        <w:t> </w:t>
      </w:r>
      <w:r>
        <w:rPr/>
        <w:t>Moro</w:t>
      </w:r>
      <w:r>
        <w:rPr>
          <w:spacing w:val="-11"/>
        </w:rPr>
        <w:t> </w:t>
      </w:r>
      <w:r>
        <w:rPr/>
        <w:t>(2008)</w:t>
      </w:r>
      <w:r>
        <w:rPr>
          <w:spacing w:val="-15"/>
        </w:rPr>
        <w:t> </w:t>
      </w:r>
      <w:r>
        <w:rPr/>
        <w:t>pensaba</w:t>
      </w:r>
      <w:r>
        <w:rPr>
          <w:spacing w:val="-13"/>
        </w:rPr>
        <w:t> </w:t>
      </w:r>
      <w:r>
        <w:rPr/>
        <w:t>que</w:t>
      </w:r>
      <w:r>
        <w:rPr>
          <w:spacing w:val="-11"/>
        </w:rPr>
        <w:t> </w:t>
      </w:r>
      <w:r>
        <w:rPr/>
        <w:t>el</w:t>
      </w:r>
      <w:r>
        <w:rPr>
          <w:spacing w:val="-14"/>
        </w:rPr>
        <w:t> </w:t>
      </w:r>
      <w:r>
        <w:rPr/>
        <w:t>Estado</w:t>
      </w:r>
      <w:r>
        <w:rPr>
          <w:spacing w:val="-13"/>
        </w:rPr>
        <w:t> </w:t>
      </w:r>
      <w:r>
        <w:rPr/>
        <w:t>óptimo</w:t>
      </w:r>
      <w:r>
        <w:rPr>
          <w:spacing w:val="-13"/>
        </w:rPr>
        <w:t> </w:t>
      </w:r>
      <w:r>
        <w:rPr/>
        <w:t>era</w:t>
      </w:r>
      <w:r>
        <w:rPr>
          <w:spacing w:val="-14"/>
        </w:rPr>
        <w:t> </w:t>
      </w:r>
      <w:r>
        <w:rPr/>
        <w:t>una utopía encaminada a desaparecer toda relación de desigualdad. Lo que implicaría participación de todos los ciudadanos de manera</w:t>
      </w:r>
      <w:r>
        <w:rPr>
          <w:spacing w:val="-25"/>
        </w:rPr>
        <w:t> </w:t>
      </w:r>
      <w:r>
        <w:rPr/>
        <w:t>igualitaria.</w:t>
      </w:r>
    </w:p>
    <w:p>
      <w:pPr>
        <w:pStyle w:val="BodyText"/>
      </w:pPr>
    </w:p>
    <w:p>
      <w:pPr>
        <w:pStyle w:val="BodyText"/>
      </w:pPr>
    </w:p>
    <w:p>
      <w:pPr>
        <w:pStyle w:val="BodyText"/>
        <w:spacing w:line="360" w:lineRule="auto" w:before="185"/>
        <w:ind w:left="102" w:right="115"/>
        <w:jc w:val="both"/>
      </w:pPr>
      <w:r>
        <w:rPr/>
        <w:t>En el siglo XVI con la visión Hobbes (2011), el Estado es visto como un Leviatán que cuenta con legitimidad para ser obedecido por quienes lo han constituido al pasar de un estado natural a uno de derecho; lo que implica la pérdida de la soberanía de los ciudadanos ante este monstruo gubernamental. En el siglo XVIII Rousseau (2006) genera un primer acercamiento a la relación entre Estado y ciudadano al afirmar que el Estado es un contrato social entre los hombres para garantizar</w:t>
      </w:r>
      <w:r>
        <w:rPr>
          <w:spacing w:val="-5"/>
        </w:rPr>
        <w:t> </w:t>
      </w:r>
      <w:r>
        <w:rPr/>
        <w:t>sus</w:t>
      </w:r>
      <w:r>
        <w:rPr>
          <w:spacing w:val="-4"/>
        </w:rPr>
        <w:t> </w:t>
      </w:r>
      <w:r>
        <w:rPr/>
        <w:t>libertades.</w:t>
      </w:r>
      <w:r>
        <w:rPr>
          <w:spacing w:val="-4"/>
        </w:rPr>
        <w:t> </w:t>
      </w:r>
      <w:r>
        <w:rPr/>
        <w:t>Con John</w:t>
      </w:r>
      <w:r>
        <w:rPr>
          <w:spacing w:val="-4"/>
        </w:rPr>
        <w:t> </w:t>
      </w:r>
      <w:r>
        <w:rPr/>
        <w:t>Locke</w:t>
      </w:r>
      <w:r>
        <w:rPr>
          <w:spacing w:val="-4"/>
        </w:rPr>
        <w:t> </w:t>
      </w:r>
      <w:r>
        <w:rPr/>
        <w:t>(1997),</w:t>
      </w:r>
      <w:r>
        <w:rPr>
          <w:spacing w:val="-4"/>
        </w:rPr>
        <w:t> </w:t>
      </w:r>
      <w:r>
        <w:rPr/>
        <w:t>se</w:t>
      </w:r>
      <w:r>
        <w:rPr>
          <w:spacing w:val="-4"/>
        </w:rPr>
        <w:t> </w:t>
      </w:r>
      <w:r>
        <w:rPr/>
        <w:t>da</w:t>
      </w:r>
      <w:r>
        <w:rPr>
          <w:spacing w:val="-4"/>
        </w:rPr>
        <w:t> </w:t>
      </w:r>
      <w:r>
        <w:rPr/>
        <w:t>el</w:t>
      </w:r>
      <w:r>
        <w:rPr>
          <w:spacing w:val="-5"/>
        </w:rPr>
        <w:t> </w:t>
      </w:r>
      <w:r>
        <w:rPr/>
        <w:t>auge</w:t>
      </w:r>
      <w:r>
        <w:rPr>
          <w:spacing w:val="-4"/>
        </w:rPr>
        <w:t> </w:t>
      </w:r>
      <w:r>
        <w:rPr/>
        <w:t>de</w:t>
      </w:r>
      <w:r>
        <w:rPr>
          <w:spacing w:val="-6"/>
        </w:rPr>
        <w:t> </w:t>
      </w:r>
      <w:r>
        <w:rPr/>
        <w:t>la</w:t>
      </w:r>
      <w:r>
        <w:rPr>
          <w:spacing w:val="-4"/>
        </w:rPr>
        <w:t> </w:t>
      </w:r>
      <w:r>
        <w:rPr/>
        <w:t>teoría</w:t>
      </w:r>
      <w:r>
        <w:rPr>
          <w:spacing w:val="-1"/>
        </w:rPr>
        <w:t> </w:t>
      </w:r>
      <w:r>
        <w:rPr/>
        <w:t>liberal,</w:t>
      </w:r>
    </w:p>
    <w:p>
      <w:pPr>
        <w:spacing w:after="0" w:line="360" w:lineRule="auto"/>
        <w:jc w:val="both"/>
        <w:sectPr>
          <w:pgSz w:w="12240" w:h="15840"/>
          <w:pgMar w:header="0" w:footer="975" w:top="1360" w:bottom="1220" w:left="1600" w:right="1580"/>
        </w:sectPr>
      </w:pPr>
    </w:p>
    <w:p>
      <w:pPr>
        <w:pStyle w:val="BodyText"/>
        <w:spacing w:line="360" w:lineRule="auto" w:before="54"/>
        <w:ind w:left="102" w:right="118"/>
        <w:jc w:val="both"/>
      </w:pPr>
      <w:r>
        <w:rPr/>
        <w:t>argumentando que el Estado debía garantizar las libertades del ciudadano, la vida y</w:t>
      </w:r>
      <w:r>
        <w:rPr>
          <w:spacing w:val="-7"/>
        </w:rPr>
        <w:t> </w:t>
      </w:r>
      <w:r>
        <w:rPr/>
        <w:t>la</w:t>
      </w:r>
      <w:r>
        <w:rPr>
          <w:spacing w:val="-4"/>
        </w:rPr>
        <w:t> </w:t>
      </w:r>
      <w:r>
        <w:rPr/>
        <w:t>propiedad</w:t>
      </w:r>
      <w:r>
        <w:rPr>
          <w:spacing w:val="-6"/>
        </w:rPr>
        <w:t> </w:t>
      </w:r>
      <w:r>
        <w:rPr/>
        <w:t>privada.</w:t>
      </w:r>
      <w:r>
        <w:rPr>
          <w:spacing w:val="-6"/>
        </w:rPr>
        <w:t> </w:t>
      </w:r>
      <w:r>
        <w:rPr/>
        <w:t>Esta</w:t>
      </w:r>
      <w:r>
        <w:rPr>
          <w:spacing w:val="-5"/>
        </w:rPr>
        <w:t> </w:t>
      </w:r>
      <w:r>
        <w:rPr/>
        <w:t>visión</w:t>
      </w:r>
      <w:r>
        <w:rPr>
          <w:spacing w:val="-4"/>
        </w:rPr>
        <w:t> </w:t>
      </w:r>
      <w:r>
        <w:rPr/>
        <w:t>del</w:t>
      </w:r>
      <w:r>
        <w:rPr>
          <w:spacing w:val="-7"/>
        </w:rPr>
        <w:t> </w:t>
      </w:r>
      <w:r>
        <w:rPr/>
        <w:t>Estado</w:t>
      </w:r>
      <w:r>
        <w:rPr>
          <w:spacing w:val="-6"/>
        </w:rPr>
        <w:t> </w:t>
      </w:r>
      <w:r>
        <w:rPr/>
        <w:t>liberal,</w:t>
      </w:r>
      <w:r>
        <w:rPr>
          <w:spacing w:val="-4"/>
        </w:rPr>
        <w:t> </w:t>
      </w:r>
      <w:r>
        <w:rPr/>
        <w:t>señala</w:t>
      </w:r>
      <w:r>
        <w:rPr>
          <w:spacing w:val="-6"/>
        </w:rPr>
        <w:t> </w:t>
      </w:r>
      <w:r>
        <w:rPr/>
        <w:t>Vallespín</w:t>
      </w:r>
      <w:r>
        <w:rPr>
          <w:spacing w:val="-4"/>
        </w:rPr>
        <w:t> </w:t>
      </w:r>
      <w:r>
        <w:rPr/>
        <w:t>(1997),</w:t>
      </w:r>
      <w:r>
        <w:rPr>
          <w:spacing w:val="-7"/>
        </w:rPr>
        <w:t> </w:t>
      </w:r>
      <w:r>
        <w:rPr/>
        <w:t>nace como una nueva ideología capaz de racionalizar las necesidades de su época, en el que se daba una condición económica importante, ya que para ser considerado ciudadano era necesario tener propiedad debido a que el Estado </w:t>
      </w:r>
      <w:r>
        <w:rPr>
          <w:spacing w:val="4"/>
        </w:rPr>
        <w:t>se </w:t>
      </w:r>
      <w:r>
        <w:rPr/>
        <w:t>mantiene de cobrar los</w:t>
      </w:r>
      <w:r>
        <w:rPr>
          <w:spacing w:val="-7"/>
        </w:rPr>
        <w:t> </w:t>
      </w:r>
      <w:r>
        <w:rPr/>
        <w:t>impuestos.</w:t>
      </w:r>
    </w:p>
    <w:p>
      <w:pPr>
        <w:pStyle w:val="BodyText"/>
      </w:pPr>
    </w:p>
    <w:p>
      <w:pPr>
        <w:pStyle w:val="BodyText"/>
      </w:pPr>
    </w:p>
    <w:p>
      <w:pPr>
        <w:pStyle w:val="BodyText"/>
        <w:spacing w:line="360" w:lineRule="auto" w:before="185"/>
        <w:ind w:left="102" w:right="117"/>
        <w:jc w:val="both"/>
      </w:pPr>
      <w:r>
        <w:rPr/>
        <w:t>Dentro de este cambio de Estado tiene pertinencia la visión de Kelsen (2007), la cual genera una visión normativa del mismo, al concebirlo como la totalidad del ordenamiento jurídico que rige las conductas de los individuos. Garantizando por una parte los derechos de los ciudadanos plasmados en la ley, pero limitando al mismo tiempo su actuar al restringir su comportamiento fuera de ésta.</w:t>
      </w:r>
    </w:p>
    <w:p>
      <w:pPr>
        <w:pStyle w:val="BodyText"/>
      </w:pPr>
    </w:p>
    <w:p>
      <w:pPr>
        <w:pStyle w:val="BodyText"/>
      </w:pPr>
    </w:p>
    <w:p>
      <w:pPr>
        <w:pStyle w:val="BodyText"/>
        <w:spacing w:line="360" w:lineRule="auto" w:before="185"/>
        <w:ind w:left="102" w:right="115"/>
        <w:jc w:val="both"/>
      </w:pPr>
      <w:r>
        <w:rPr/>
        <w:t>Siguiendo esta idea, Foucault (1999) menciona que gobernar no es forzar a los sujetos</w:t>
      </w:r>
      <w:r>
        <w:rPr>
          <w:spacing w:val="-14"/>
        </w:rPr>
        <w:t> </w:t>
      </w:r>
      <w:r>
        <w:rPr/>
        <w:t>para</w:t>
      </w:r>
      <w:r>
        <w:rPr>
          <w:spacing w:val="-15"/>
        </w:rPr>
        <w:t> </w:t>
      </w:r>
      <w:r>
        <w:rPr/>
        <w:t>que</w:t>
      </w:r>
      <w:r>
        <w:rPr>
          <w:spacing w:val="-11"/>
        </w:rPr>
        <w:t> </w:t>
      </w:r>
      <w:r>
        <w:rPr/>
        <w:t>hagan</w:t>
      </w:r>
      <w:r>
        <w:rPr>
          <w:spacing w:val="-12"/>
        </w:rPr>
        <w:t> </w:t>
      </w:r>
      <w:r>
        <w:rPr/>
        <w:t>lo</w:t>
      </w:r>
      <w:r>
        <w:rPr>
          <w:spacing w:val="-12"/>
        </w:rPr>
        <w:t> </w:t>
      </w:r>
      <w:r>
        <w:rPr/>
        <w:t>que</w:t>
      </w:r>
      <w:r>
        <w:rPr>
          <w:spacing w:val="-14"/>
        </w:rPr>
        <w:t> </w:t>
      </w:r>
      <w:r>
        <w:rPr/>
        <w:t>los</w:t>
      </w:r>
      <w:r>
        <w:rPr>
          <w:spacing w:val="-12"/>
        </w:rPr>
        <w:t> </w:t>
      </w:r>
      <w:r>
        <w:rPr/>
        <w:t>gobernantes</w:t>
      </w:r>
      <w:r>
        <w:rPr>
          <w:spacing w:val="-13"/>
        </w:rPr>
        <w:t> </w:t>
      </w:r>
      <w:r>
        <w:rPr/>
        <w:t>desean,</w:t>
      </w:r>
      <w:r>
        <w:rPr>
          <w:spacing w:val="-12"/>
        </w:rPr>
        <w:t> </w:t>
      </w:r>
      <w:r>
        <w:rPr/>
        <w:t>tal</w:t>
      </w:r>
      <w:r>
        <w:rPr>
          <w:spacing w:val="-13"/>
        </w:rPr>
        <w:t> </w:t>
      </w:r>
      <w:r>
        <w:rPr/>
        <w:t>como</w:t>
      </w:r>
      <w:r>
        <w:rPr>
          <w:spacing w:val="-14"/>
        </w:rPr>
        <w:t> </w:t>
      </w:r>
      <w:r>
        <w:rPr/>
        <w:t>señala</w:t>
      </w:r>
      <w:r>
        <w:rPr>
          <w:spacing w:val="-14"/>
        </w:rPr>
        <w:t> </w:t>
      </w:r>
      <w:r>
        <w:rPr/>
        <w:t>el</w:t>
      </w:r>
      <w:r>
        <w:rPr>
          <w:spacing w:val="-13"/>
        </w:rPr>
        <w:t> </w:t>
      </w:r>
      <w:r>
        <w:rPr/>
        <w:t>concepto weberiano,</w:t>
      </w:r>
      <w:r>
        <w:rPr>
          <w:spacing w:val="-11"/>
        </w:rPr>
        <w:t> </w:t>
      </w:r>
      <w:r>
        <w:rPr/>
        <w:t>sino</w:t>
      </w:r>
      <w:r>
        <w:rPr>
          <w:spacing w:val="-10"/>
        </w:rPr>
        <w:t> </w:t>
      </w:r>
      <w:r>
        <w:rPr/>
        <w:t>regular</w:t>
      </w:r>
      <w:r>
        <w:rPr>
          <w:spacing w:val="-12"/>
        </w:rPr>
        <w:t> </w:t>
      </w:r>
      <w:r>
        <w:rPr/>
        <w:t>las</w:t>
      </w:r>
      <w:r>
        <w:rPr>
          <w:spacing w:val="-11"/>
        </w:rPr>
        <w:t> </w:t>
      </w:r>
      <w:r>
        <w:rPr/>
        <w:t>conductas</w:t>
      </w:r>
      <w:r>
        <w:rPr>
          <w:spacing w:val="-12"/>
        </w:rPr>
        <w:t> </w:t>
      </w:r>
      <w:r>
        <w:rPr/>
        <w:t>por</w:t>
      </w:r>
      <w:r>
        <w:rPr>
          <w:spacing w:val="-12"/>
        </w:rPr>
        <w:t> </w:t>
      </w:r>
      <w:r>
        <w:rPr/>
        <w:t>la</w:t>
      </w:r>
      <w:r>
        <w:rPr>
          <w:spacing w:val="-11"/>
        </w:rPr>
        <w:t> </w:t>
      </w:r>
      <w:r>
        <w:rPr/>
        <w:t>aplicación</w:t>
      </w:r>
      <w:r>
        <w:rPr>
          <w:spacing w:val="-10"/>
        </w:rPr>
        <w:t> </w:t>
      </w:r>
      <w:r>
        <w:rPr/>
        <w:t>más</w:t>
      </w:r>
      <w:r>
        <w:rPr>
          <w:spacing w:val="-12"/>
        </w:rPr>
        <w:t> </w:t>
      </w:r>
      <w:r>
        <w:rPr/>
        <w:t>o</w:t>
      </w:r>
      <w:r>
        <w:rPr>
          <w:spacing w:val="-13"/>
        </w:rPr>
        <w:t> </w:t>
      </w:r>
      <w:r>
        <w:rPr/>
        <w:t>menos</w:t>
      </w:r>
      <w:r>
        <w:rPr>
          <w:spacing w:val="-14"/>
        </w:rPr>
        <w:t> </w:t>
      </w:r>
      <w:r>
        <w:rPr/>
        <w:t>racional</w:t>
      </w:r>
      <w:r>
        <w:rPr>
          <w:spacing w:val="-12"/>
        </w:rPr>
        <w:t> </w:t>
      </w:r>
      <w:r>
        <w:rPr/>
        <w:t>de</w:t>
      </w:r>
      <w:r>
        <w:rPr>
          <w:spacing w:val="-11"/>
        </w:rPr>
        <w:t> </w:t>
      </w:r>
      <w:r>
        <w:rPr/>
        <w:t>los medios técnicos apropiados. Se trata, de acuerdo con Elias (1998), de domesticar el</w:t>
      </w:r>
      <w:r>
        <w:rPr>
          <w:spacing w:val="-10"/>
        </w:rPr>
        <w:t> </w:t>
      </w:r>
      <w:r>
        <w:rPr/>
        <w:t>impulso</w:t>
      </w:r>
      <w:r>
        <w:rPr>
          <w:spacing w:val="-9"/>
        </w:rPr>
        <w:t> </w:t>
      </w:r>
      <w:r>
        <w:rPr/>
        <w:t>natural</w:t>
      </w:r>
      <w:r>
        <w:rPr>
          <w:spacing w:val="-12"/>
        </w:rPr>
        <w:t> </w:t>
      </w:r>
      <w:r>
        <w:rPr/>
        <w:t>de</w:t>
      </w:r>
      <w:r>
        <w:rPr>
          <w:spacing w:val="-8"/>
        </w:rPr>
        <w:t> </w:t>
      </w:r>
      <w:r>
        <w:rPr/>
        <w:t>libertad</w:t>
      </w:r>
      <w:r>
        <w:rPr>
          <w:spacing w:val="-11"/>
        </w:rPr>
        <w:t> </w:t>
      </w:r>
      <w:r>
        <w:rPr/>
        <w:t>para</w:t>
      </w:r>
      <w:r>
        <w:rPr>
          <w:spacing w:val="-11"/>
        </w:rPr>
        <w:t> </w:t>
      </w:r>
      <w:r>
        <w:rPr/>
        <w:t>cumplir</w:t>
      </w:r>
      <w:r>
        <w:rPr>
          <w:spacing w:val="-10"/>
        </w:rPr>
        <w:t> </w:t>
      </w:r>
      <w:r>
        <w:rPr/>
        <w:t>con</w:t>
      </w:r>
      <w:r>
        <w:rPr>
          <w:spacing w:val="-8"/>
        </w:rPr>
        <w:t> </w:t>
      </w:r>
      <w:r>
        <w:rPr/>
        <w:t>las</w:t>
      </w:r>
      <w:r>
        <w:rPr>
          <w:spacing w:val="-9"/>
        </w:rPr>
        <w:t> </w:t>
      </w:r>
      <w:r>
        <w:rPr/>
        <w:t>normas</w:t>
      </w:r>
      <w:r>
        <w:rPr>
          <w:spacing w:val="-12"/>
        </w:rPr>
        <w:t> </w:t>
      </w:r>
      <w:r>
        <w:rPr/>
        <w:t>estructurales</w:t>
      </w:r>
      <w:r>
        <w:rPr>
          <w:spacing w:val="-9"/>
        </w:rPr>
        <w:t> </w:t>
      </w:r>
      <w:r>
        <w:rPr/>
        <w:t>creadas</w:t>
      </w:r>
      <w:r>
        <w:rPr>
          <w:spacing w:val="-12"/>
        </w:rPr>
        <w:t> </w:t>
      </w:r>
      <w:r>
        <w:rPr/>
        <w:t>por la sociedad, es decir, crear una conducta regulada, de modo que aquella persona que no ha adoptado el sentido de la civilización es desterrada del grupo. Es importante señalar que el proceso de civilización considera no solo los comportamientos sociales, sino también implica hablar de resultados del gobierno a</w:t>
      </w:r>
      <w:r>
        <w:rPr>
          <w:spacing w:val="-7"/>
        </w:rPr>
        <w:t> </w:t>
      </w:r>
      <w:r>
        <w:rPr/>
        <w:t>través</w:t>
      </w:r>
      <w:r>
        <w:rPr>
          <w:spacing w:val="-10"/>
        </w:rPr>
        <w:t> </w:t>
      </w:r>
      <w:r>
        <w:rPr/>
        <w:t>de</w:t>
      </w:r>
      <w:r>
        <w:rPr>
          <w:spacing w:val="-7"/>
        </w:rPr>
        <w:t> </w:t>
      </w:r>
      <w:r>
        <w:rPr/>
        <w:t>la</w:t>
      </w:r>
      <w:r>
        <w:rPr>
          <w:spacing w:val="-7"/>
        </w:rPr>
        <w:t> </w:t>
      </w:r>
      <w:r>
        <w:rPr/>
        <w:t>crítica</w:t>
      </w:r>
      <w:r>
        <w:rPr>
          <w:spacing w:val="-7"/>
        </w:rPr>
        <w:t> </w:t>
      </w:r>
      <w:r>
        <w:rPr/>
        <w:t>de</w:t>
      </w:r>
      <w:r>
        <w:rPr>
          <w:spacing w:val="-9"/>
        </w:rPr>
        <w:t> </w:t>
      </w:r>
      <w:r>
        <w:rPr/>
        <w:t>las</w:t>
      </w:r>
      <w:r>
        <w:rPr>
          <w:spacing w:val="-10"/>
        </w:rPr>
        <w:t> </w:t>
      </w:r>
      <w:r>
        <w:rPr/>
        <w:t>políticas</w:t>
      </w:r>
      <w:r>
        <w:rPr>
          <w:spacing w:val="-8"/>
        </w:rPr>
        <w:t> </w:t>
      </w:r>
      <w:r>
        <w:rPr/>
        <w:t>públicas,</w:t>
      </w:r>
      <w:r>
        <w:rPr>
          <w:spacing w:val="-7"/>
        </w:rPr>
        <w:t> </w:t>
      </w:r>
      <w:r>
        <w:rPr/>
        <w:t>implementadas</w:t>
      </w:r>
      <w:r>
        <w:rPr>
          <w:spacing w:val="-10"/>
        </w:rPr>
        <w:t> </w:t>
      </w:r>
      <w:r>
        <w:rPr/>
        <w:t>por</w:t>
      </w:r>
      <w:r>
        <w:rPr>
          <w:spacing w:val="-11"/>
        </w:rPr>
        <w:t> </w:t>
      </w:r>
      <w:r>
        <w:rPr/>
        <w:t>éste</w:t>
      </w:r>
      <w:r>
        <w:rPr>
          <w:spacing w:val="-7"/>
        </w:rPr>
        <w:t> </w:t>
      </w:r>
      <w:r>
        <w:rPr/>
        <w:t>para</w:t>
      </w:r>
      <w:r>
        <w:rPr>
          <w:spacing w:val="-8"/>
        </w:rPr>
        <w:t> </w:t>
      </w:r>
      <w:r>
        <w:rPr/>
        <w:t>resolver las necesidades sociales que tienen los</w:t>
      </w:r>
      <w:r>
        <w:rPr>
          <w:spacing w:val="-16"/>
        </w:rPr>
        <w:t> </w:t>
      </w:r>
      <w:r>
        <w:rPr/>
        <w:t>ciudadanos.</w:t>
      </w:r>
    </w:p>
    <w:p>
      <w:pPr>
        <w:pStyle w:val="BodyText"/>
      </w:pPr>
    </w:p>
    <w:p>
      <w:pPr>
        <w:pStyle w:val="BodyText"/>
        <w:spacing w:before="4"/>
        <w:rPr>
          <w:sz w:val="26"/>
        </w:rPr>
      </w:pPr>
    </w:p>
    <w:p>
      <w:pPr>
        <w:pStyle w:val="BodyText"/>
        <w:spacing w:line="360" w:lineRule="auto"/>
        <w:ind w:left="102" w:right="123"/>
        <w:jc w:val="both"/>
      </w:pPr>
      <w:r>
        <w:rPr/>
        <w:t>En esta tendencia de libertades que debe garantizar el Estado se hace indispensable buscar la satisfacción del mayor número de ciudadanos posible, por lo que en el siglo XX el Estado da un giro hacia una visión social de su actuar en el que además de garantizar reglas claras y confiables para la competencia</w:t>
      </w:r>
      <w:r>
        <w:rPr>
          <w:spacing w:val="56"/>
        </w:rPr>
        <w:t> </w:t>
      </w:r>
      <w:r>
        <w:rPr/>
        <w:t>electoral</w:t>
      </w:r>
    </w:p>
    <w:p>
      <w:pPr>
        <w:spacing w:after="0" w:line="360" w:lineRule="auto"/>
        <w:jc w:val="both"/>
        <w:sectPr>
          <w:pgSz w:w="12240" w:h="15840"/>
          <w:pgMar w:header="0" w:footer="975" w:top="1360" w:bottom="1220" w:left="1600" w:right="1580"/>
        </w:sectPr>
      </w:pPr>
    </w:p>
    <w:p>
      <w:pPr>
        <w:pStyle w:val="BodyText"/>
        <w:spacing w:line="360" w:lineRule="auto" w:before="54"/>
        <w:ind w:left="122" w:right="102"/>
        <w:jc w:val="both"/>
      </w:pPr>
      <w:r>
        <w:rPr/>
        <w:t>y el ascenso al poder debe también proveer canales institucionales de acceso a la información</w:t>
      </w:r>
      <w:r>
        <w:rPr>
          <w:spacing w:val="-9"/>
        </w:rPr>
        <w:t> </w:t>
      </w:r>
      <w:r>
        <w:rPr/>
        <w:t>que</w:t>
      </w:r>
      <w:r>
        <w:rPr>
          <w:spacing w:val="-12"/>
        </w:rPr>
        <w:t> </w:t>
      </w:r>
      <w:r>
        <w:rPr/>
        <w:t>permitan</w:t>
      </w:r>
      <w:r>
        <w:rPr>
          <w:spacing w:val="-9"/>
        </w:rPr>
        <w:t> </w:t>
      </w:r>
      <w:r>
        <w:rPr/>
        <w:t>a</w:t>
      </w:r>
      <w:r>
        <w:rPr>
          <w:spacing w:val="-9"/>
        </w:rPr>
        <w:t> </w:t>
      </w:r>
      <w:r>
        <w:rPr/>
        <w:t>la</w:t>
      </w:r>
      <w:r>
        <w:rPr>
          <w:spacing w:val="-10"/>
        </w:rPr>
        <w:t> </w:t>
      </w:r>
      <w:r>
        <w:rPr/>
        <w:t>sociedad</w:t>
      </w:r>
      <w:r>
        <w:rPr>
          <w:spacing w:val="-9"/>
        </w:rPr>
        <w:t> </w:t>
      </w:r>
      <w:r>
        <w:rPr/>
        <w:t>conocer</w:t>
      </w:r>
      <w:r>
        <w:rPr>
          <w:spacing w:val="-11"/>
        </w:rPr>
        <w:t> </w:t>
      </w:r>
      <w:r>
        <w:rPr/>
        <w:t>y</w:t>
      </w:r>
      <w:r>
        <w:rPr>
          <w:spacing w:val="-13"/>
        </w:rPr>
        <w:t> </w:t>
      </w:r>
      <w:r>
        <w:rPr/>
        <w:t>evaluar</w:t>
      </w:r>
      <w:r>
        <w:rPr>
          <w:spacing w:val="-11"/>
        </w:rPr>
        <w:t> </w:t>
      </w:r>
      <w:r>
        <w:rPr/>
        <w:t>la</w:t>
      </w:r>
      <w:r>
        <w:rPr>
          <w:spacing w:val="-10"/>
        </w:rPr>
        <w:t> </w:t>
      </w:r>
      <w:r>
        <w:rPr/>
        <w:t>gestión</w:t>
      </w:r>
      <w:r>
        <w:rPr>
          <w:spacing w:val="-12"/>
        </w:rPr>
        <w:t> </w:t>
      </w:r>
      <w:r>
        <w:rPr/>
        <w:t>gubernamental y el desempeño de los servidores públicos para contar con elementos informativos al momento de emitir nuevamente su voto, fenómenos que no ocurrían en los regímenes autoritarios (Vergara, 2005 y Guerrero,</w:t>
      </w:r>
      <w:r>
        <w:rPr>
          <w:spacing w:val="-15"/>
        </w:rPr>
        <w:t> </w:t>
      </w:r>
      <w:r>
        <w:rPr/>
        <w:t>2008).</w:t>
      </w:r>
    </w:p>
    <w:p>
      <w:pPr>
        <w:pStyle w:val="BodyText"/>
      </w:pPr>
    </w:p>
    <w:p>
      <w:pPr>
        <w:pStyle w:val="BodyText"/>
      </w:pPr>
    </w:p>
    <w:p>
      <w:pPr>
        <w:pStyle w:val="BodyText"/>
        <w:spacing w:line="360" w:lineRule="auto" w:before="187"/>
        <w:ind w:left="122" w:right="98"/>
        <w:jc w:val="both"/>
      </w:pPr>
      <w:r>
        <w:rPr/>
        <w:t>Asimismo,</w:t>
      </w:r>
      <w:r>
        <w:rPr>
          <w:spacing w:val="-14"/>
        </w:rPr>
        <w:t> </w:t>
      </w:r>
      <w:r>
        <w:rPr/>
        <w:t>dentro</w:t>
      </w:r>
      <w:r>
        <w:rPr>
          <w:spacing w:val="-17"/>
        </w:rPr>
        <w:t> </w:t>
      </w:r>
      <w:r>
        <w:rPr/>
        <w:t>de</w:t>
      </w:r>
      <w:r>
        <w:rPr>
          <w:spacing w:val="-14"/>
        </w:rPr>
        <w:t> </w:t>
      </w:r>
      <w:r>
        <w:rPr/>
        <w:t>un</w:t>
      </w:r>
      <w:r>
        <w:rPr>
          <w:spacing w:val="-14"/>
        </w:rPr>
        <w:t> </w:t>
      </w:r>
      <w:r>
        <w:rPr/>
        <w:t>Estado</w:t>
      </w:r>
      <w:r>
        <w:rPr>
          <w:spacing w:val="-14"/>
        </w:rPr>
        <w:t> </w:t>
      </w:r>
      <w:r>
        <w:rPr/>
        <w:t>democrático</w:t>
      </w:r>
      <w:r>
        <w:rPr>
          <w:spacing w:val="-14"/>
        </w:rPr>
        <w:t> </w:t>
      </w:r>
      <w:r>
        <w:rPr/>
        <w:t>la</w:t>
      </w:r>
      <w:r>
        <w:rPr>
          <w:spacing w:val="-14"/>
        </w:rPr>
        <w:t> </w:t>
      </w:r>
      <w:r>
        <w:rPr/>
        <w:t>transparencia</w:t>
      </w:r>
      <w:r>
        <w:rPr>
          <w:spacing w:val="-14"/>
        </w:rPr>
        <w:t> </w:t>
      </w:r>
      <w:r>
        <w:rPr/>
        <w:t>se</w:t>
      </w:r>
      <w:r>
        <w:rPr>
          <w:spacing w:val="-9"/>
        </w:rPr>
        <w:t> </w:t>
      </w:r>
      <w:r>
        <w:rPr/>
        <w:t>vuelve</w:t>
      </w:r>
      <w:r>
        <w:rPr>
          <w:spacing w:val="-14"/>
        </w:rPr>
        <w:t> </w:t>
      </w:r>
      <w:r>
        <w:rPr/>
        <w:t>un</w:t>
      </w:r>
      <w:r>
        <w:rPr>
          <w:spacing w:val="-14"/>
        </w:rPr>
        <w:t> </w:t>
      </w:r>
      <w:r>
        <w:rPr/>
        <w:t>problema para</w:t>
      </w:r>
      <w:r>
        <w:rPr>
          <w:spacing w:val="-10"/>
        </w:rPr>
        <w:t> </w:t>
      </w:r>
      <w:r>
        <w:rPr/>
        <w:t>racionalidad</w:t>
      </w:r>
      <w:r>
        <w:rPr>
          <w:spacing w:val="-11"/>
        </w:rPr>
        <w:t> </w:t>
      </w:r>
      <w:r>
        <w:rPr/>
        <w:t>de</w:t>
      </w:r>
      <w:r>
        <w:rPr>
          <w:spacing w:val="-9"/>
        </w:rPr>
        <w:t> </w:t>
      </w:r>
      <w:r>
        <w:rPr/>
        <w:t>los</w:t>
      </w:r>
      <w:r>
        <w:rPr>
          <w:spacing w:val="-10"/>
        </w:rPr>
        <w:t> </w:t>
      </w:r>
      <w:r>
        <w:rPr/>
        <w:t>gobernantes</w:t>
      </w:r>
      <w:r>
        <w:rPr>
          <w:spacing w:val="-10"/>
        </w:rPr>
        <w:t> </w:t>
      </w:r>
      <w:r>
        <w:rPr/>
        <w:t>ya</w:t>
      </w:r>
      <w:r>
        <w:rPr>
          <w:spacing w:val="-9"/>
        </w:rPr>
        <w:t> </w:t>
      </w:r>
      <w:r>
        <w:rPr/>
        <w:t>que</w:t>
      </w:r>
      <w:r>
        <w:rPr>
          <w:spacing w:val="-9"/>
        </w:rPr>
        <w:t> </w:t>
      </w:r>
      <w:r>
        <w:rPr/>
        <w:t>ésta</w:t>
      </w:r>
      <w:r>
        <w:rPr>
          <w:spacing w:val="-9"/>
        </w:rPr>
        <w:t> </w:t>
      </w:r>
      <w:r>
        <w:rPr/>
        <w:t>permite</w:t>
      </w:r>
      <w:r>
        <w:rPr>
          <w:spacing w:val="-9"/>
        </w:rPr>
        <w:t> </w:t>
      </w:r>
      <w:r>
        <w:rPr/>
        <w:t>a</w:t>
      </w:r>
      <w:r>
        <w:rPr>
          <w:spacing w:val="-9"/>
        </w:rPr>
        <w:t> </w:t>
      </w:r>
      <w:r>
        <w:rPr/>
        <w:t>los</w:t>
      </w:r>
      <w:r>
        <w:rPr>
          <w:spacing w:val="-10"/>
        </w:rPr>
        <w:t> </w:t>
      </w:r>
      <w:r>
        <w:rPr/>
        <w:t>ciudadanos</w:t>
      </w:r>
      <w:r>
        <w:rPr>
          <w:spacing w:val="-10"/>
        </w:rPr>
        <w:t> </w:t>
      </w:r>
      <w:r>
        <w:rPr/>
        <w:t>conocer las acciones que realiza el gobierno y en esa medida evaluar su desempeño, situación que dificulta el actuar de los gobernantes porque el gobierno no nace transparente,</w:t>
      </w:r>
      <w:r>
        <w:rPr>
          <w:spacing w:val="-7"/>
        </w:rPr>
        <w:t> </w:t>
      </w:r>
      <w:r>
        <w:rPr/>
        <w:t>sino</w:t>
      </w:r>
      <w:r>
        <w:rPr>
          <w:spacing w:val="-7"/>
        </w:rPr>
        <w:t> </w:t>
      </w:r>
      <w:r>
        <w:rPr/>
        <w:t>que</w:t>
      </w:r>
      <w:r>
        <w:rPr>
          <w:spacing w:val="-9"/>
        </w:rPr>
        <w:t> </w:t>
      </w:r>
      <w:r>
        <w:rPr/>
        <w:t>a</w:t>
      </w:r>
      <w:r>
        <w:rPr>
          <w:spacing w:val="-7"/>
        </w:rPr>
        <w:t> </w:t>
      </w:r>
      <w:r>
        <w:rPr/>
        <w:t>través</w:t>
      </w:r>
      <w:r>
        <w:rPr>
          <w:spacing w:val="-9"/>
        </w:rPr>
        <w:t> </w:t>
      </w:r>
      <w:r>
        <w:rPr/>
        <w:t>de</w:t>
      </w:r>
      <w:r>
        <w:rPr>
          <w:spacing w:val="-9"/>
        </w:rPr>
        <w:t> </w:t>
      </w:r>
      <w:r>
        <w:rPr/>
        <w:t>la</w:t>
      </w:r>
      <w:r>
        <w:rPr>
          <w:spacing w:val="-9"/>
        </w:rPr>
        <w:t> </w:t>
      </w:r>
      <w:r>
        <w:rPr/>
        <w:t>participación</w:t>
      </w:r>
      <w:r>
        <w:rPr>
          <w:spacing w:val="-7"/>
        </w:rPr>
        <w:t> </w:t>
      </w:r>
      <w:r>
        <w:rPr/>
        <w:t>y</w:t>
      </w:r>
      <w:r>
        <w:rPr>
          <w:spacing w:val="-9"/>
        </w:rPr>
        <w:t> </w:t>
      </w:r>
      <w:r>
        <w:rPr/>
        <w:t>exigencia</w:t>
      </w:r>
      <w:r>
        <w:rPr>
          <w:spacing w:val="-7"/>
        </w:rPr>
        <w:t> </w:t>
      </w:r>
      <w:r>
        <w:rPr/>
        <w:t>de</w:t>
      </w:r>
      <w:r>
        <w:rPr>
          <w:spacing w:val="-7"/>
        </w:rPr>
        <w:t> </w:t>
      </w:r>
      <w:r>
        <w:rPr/>
        <w:t>los</w:t>
      </w:r>
      <w:r>
        <w:rPr>
          <w:spacing w:val="-11"/>
        </w:rPr>
        <w:t> </w:t>
      </w:r>
      <w:r>
        <w:rPr/>
        <w:t>ciudadanos</w:t>
      </w:r>
      <w:r>
        <w:rPr>
          <w:spacing w:val="-12"/>
        </w:rPr>
        <w:t> </w:t>
      </w:r>
      <w:r>
        <w:rPr/>
        <w:t>en los asuntos públicos es que se institucionaliza la transparencia a través de la creación y aplicación de leyes, procedimientos y dependencias encargadas de vigilar y promover la transparencia (Vergara,</w:t>
      </w:r>
      <w:r>
        <w:rPr>
          <w:spacing w:val="-21"/>
        </w:rPr>
        <w:t> </w:t>
      </w:r>
      <w:r>
        <w:rPr/>
        <w:t>2005).</w:t>
      </w:r>
    </w:p>
    <w:p>
      <w:pPr>
        <w:pStyle w:val="BodyText"/>
      </w:pPr>
    </w:p>
    <w:p>
      <w:pPr>
        <w:pStyle w:val="BodyText"/>
      </w:pPr>
    </w:p>
    <w:p>
      <w:pPr>
        <w:pStyle w:val="BodyText"/>
        <w:spacing w:line="360" w:lineRule="auto" w:before="185"/>
        <w:ind w:left="122" w:right="99"/>
        <w:jc w:val="both"/>
      </w:pPr>
      <w:r>
        <w:rPr/>
        <w:t>En</w:t>
      </w:r>
      <w:r>
        <w:rPr>
          <w:spacing w:val="-6"/>
        </w:rPr>
        <w:t> </w:t>
      </w:r>
      <w:r>
        <w:rPr/>
        <w:t>relación</w:t>
      </w:r>
      <w:r>
        <w:rPr>
          <w:spacing w:val="-8"/>
        </w:rPr>
        <w:t> </w:t>
      </w:r>
      <w:r>
        <w:rPr/>
        <w:t>a</w:t>
      </w:r>
      <w:r>
        <w:rPr>
          <w:spacing w:val="-6"/>
        </w:rPr>
        <w:t> </w:t>
      </w:r>
      <w:r>
        <w:rPr/>
        <w:t>todas</w:t>
      </w:r>
      <w:r>
        <w:rPr>
          <w:spacing w:val="-7"/>
        </w:rPr>
        <w:t> </w:t>
      </w:r>
      <w:r>
        <w:rPr/>
        <w:t>estas</w:t>
      </w:r>
      <w:r>
        <w:rPr>
          <w:spacing w:val="-7"/>
        </w:rPr>
        <w:t> </w:t>
      </w:r>
      <w:r>
        <w:rPr/>
        <w:t>formas</w:t>
      </w:r>
      <w:r>
        <w:rPr>
          <w:spacing w:val="-7"/>
        </w:rPr>
        <w:t> </w:t>
      </w:r>
      <w:r>
        <w:rPr/>
        <w:t>de</w:t>
      </w:r>
      <w:r>
        <w:rPr>
          <w:spacing w:val="-6"/>
        </w:rPr>
        <w:t> </w:t>
      </w:r>
      <w:r>
        <w:rPr/>
        <w:t>conceptualizar</w:t>
      </w:r>
      <w:r>
        <w:rPr>
          <w:spacing w:val="-7"/>
        </w:rPr>
        <w:t> </w:t>
      </w:r>
      <w:r>
        <w:rPr/>
        <w:t>al</w:t>
      </w:r>
      <w:r>
        <w:rPr>
          <w:spacing w:val="-7"/>
        </w:rPr>
        <w:t> </w:t>
      </w:r>
      <w:r>
        <w:rPr/>
        <w:t>Estado,</w:t>
      </w:r>
      <w:r>
        <w:rPr>
          <w:spacing w:val="-6"/>
        </w:rPr>
        <w:t> </w:t>
      </w:r>
      <w:r>
        <w:rPr/>
        <w:t>es</w:t>
      </w:r>
      <w:r>
        <w:rPr>
          <w:spacing w:val="-7"/>
        </w:rPr>
        <w:t> </w:t>
      </w:r>
      <w:r>
        <w:rPr/>
        <w:t>pertinente</w:t>
      </w:r>
      <w:r>
        <w:rPr>
          <w:spacing w:val="-6"/>
        </w:rPr>
        <w:t> </w:t>
      </w:r>
      <w:r>
        <w:rPr/>
        <w:t>señalar que existen ciertas coincidencias entre los autores citados: todos coinciden en </w:t>
      </w:r>
      <w:r>
        <w:rPr>
          <w:spacing w:val="-2"/>
        </w:rPr>
        <w:t>que </w:t>
      </w:r>
      <w:r>
        <w:rPr/>
        <w:t>el Estado implica relaciones de poder de los gobernantes sobre los gobernados, relación vertical marcada por la desigualdad. La soberanía que le dio el pueblo al Estado a través de las leyes y voto justifica que éste administre las diferencias con el</w:t>
      </w:r>
      <w:r>
        <w:rPr>
          <w:spacing w:val="-18"/>
        </w:rPr>
        <w:t> </w:t>
      </w:r>
      <w:r>
        <w:rPr/>
        <w:t>objetivo</w:t>
      </w:r>
      <w:r>
        <w:rPr>
          <w:spacing w:val="-17"/>
        </w:rPr>
        <w:t> </w:t>
      </w:r>
      <w:r>
        <w:rPr/>
        <w:t>de</w:t>
      </w:r>
      <w:r>
        <w:rPr>
          <w:spacing w:val="-17"/>
        </w:rPr>
        <w:t> </w:t>
      </w:r>
      <w:r>
        <w:rPr/>
        <w:t>lograr</w:t>
      </w:r>
      <w:r>
        <w:rPr>
          <w:spacing w:val="-18"/>
        </w:rPr>
        <w:t> </w:t>
      </w:r>
      <w:r>
        <w:rPr/>
        <w:t>el</w:t>
      </w:r>
      <w:r>
        <w:rPr>
          <w:spacing w:val="-20"/>
        </w:rPr>
        <w:t> </w:t>
      </w:r>
      <w:r>
        <w:rPr/>
        <w:t>beneficio</w:t>
      </w:r>
      <w:r>
        <w:rPr>
          <w:spacing w:val="-17"/>
        </w:rPr>
        <w:t> </w:t>
      </w:r>
      <w:r>
        <w:rPr/>
        <w:t>común,</w:t>
      </w:r>
      <w:r>
        <w:rPr>
          <w:spacing w:val="-19"/>
        </w:rPr>
        <w:t> </w:t>
      </w:r>
      <w:r>
        <w:rPr/>
        <w:t>sin</w:t>
      </w:r>
      <w:r>
        <w:rPr>
          <w:spacing w:val="-17"/>
        </w:rPr>
        <w:t> </w:t>
      </w:r>
      <w:r>
        <w:rPr/>
        <w:t>llegar</w:t>
      </w:r>
      <w:r>
        <w:rPr>
          <w:spacing w:val="-18"/>
        </w:rPr>
        <w:t> </w:t>
      </w:r>
      <w:r>
        <w:rPr/>
        <w:t>a</w:t>
      </w:r>
      <w:r>
        <w:rPr>
          <w:spacing w:val="-17"/>
        </w:rPr>
        <w:t> </w:t>
      </w:r>
      <w:r>
        <w:rPr/>
        <w:t>resolverlas</w:t>
      </w:r>
      <w:r>
        <w:rPr>
          <w:spacing w:val="-17"/>
        </w:rPr>
        <w:t> </w:t>
      </w:r>
      <w:r>
        <w:rPr/>
        <w:t>porque</w:t>
      </w:r>
      <w:r>
        <w:rPr>
          <w:spacing w:val="-17"/>
        </w:rPr>
        <w:t> </w:t>
      </w:r>
      <w:r>
        <w:rPr/>
        <w:t>ello</w:t>
      </w:r>
      <w:r>
        <w:rPr>
          <w:spacing w:val="-19"/>
        </w:rPr>
        <w:t> </w:t>
      </w:r>
      <w:r>
        <w:rPr/>
        <w:t>implicaría la desaparición del mismo Estado (Bobbio,</w:t>
      </w:r>
      <w:r>
        <w:rPr>
          <w:spacing w:val="-21"/>
        </w:rPr>
        <w:t> </w:t>
      </w:r>
      <w:r>
        <w:rPr/>
        <w:t>2001).</w:t>
      </w:r>
    </w:p>
    <w:p>
      <w:pPr>
        <w:pStyle w:val="BodyText"/>
      </w:pPr>
    </w:p>
    <w:p>
      <w:pPr>
        <w:pStyle w:val="BodyText"/>
        <w:spacing w:before="3"/>
        <w:rPr>
          <w:sz w:val="26"/>
        </w:rPr>
      </w:pPr>
    </w:p>
    <w:p>
      <w:pPr>
        <w:pStyle w:val="BodyText"/>
        <w:spacing w:line="357" w:lineRule="auto" w:before="1"/>
        <w:ind w:left="122" w:right="104"/>
        <w:jc w:val="both"/>
      </w:pPr>
      <w:r>
        <w:rPr/>
        <w:t>En México, contrario a la antigua Grecia, la transparencia cobra relevancia debido a que ésta es la única forma en que los ciudadanos, en tanto individuos y no como sociedad</w:t>
      </w:r>
      <w:r>
        <w:rPr>
          <w:position w:val="8"/>
          <w:sz w:val="16"/>
        </w:rPr>
        <w:t>7 </w:t>
      </w:r>
      <w:r>
        <w:rPr/>
        <w:t>(Norbert, 1995), pueden conocer lo que hace el gobierno con los impuestos  que  pagan,  la  operatividad  de  los  programas  sociales,  niveles   de</w:t>
      </w:r>
    </w:p>
    <w:p>
      <w:pPr>
        <w:pStyle w:val="BodyText"/>
        <w:rPr>
          <w:sz w:val="20"/>
        </w:rPr>
      </w:pPr>
    </w:p>
    <w:p>
      <w:pPr>
        <w:pStyle w:val="BodyText"/>
        <w:spacing w:before="6"/>
      </w:pPr>
      <w:r>
        <w:rPr/>
        <w:pict>
          <v:line style="position:absolute;mso-position-horizontal-relative:page;mso-position-vertical-relative:paragraph;z-index:1168;mso-wrap-distance-left:0;mso-wrap-distance-right:0" from="85.103996pt,16.464958pt" to="229.123996pt,16.464958pt" stroked="true" strokeweight=".71997pt" strokecolor="#000000">
            <w10:wrap type="topAndBottom"/>
          </v:line>
        </w:pict>
      </w:r>
    </w:p>
    <w:p>
      <w:pPr>
        <w:spacing w:before="64"/>
        <w:ind w:left="122" w:right="0" w:firstLine="0"/>
        <w:jc w:val="left"/>
        <w:rPr>
          <w:rFonts w:ascii="Times New Roman" w:hAnsi="Times New Roman"/>
          <w:sz w:val="16"/>
        </w:rPr>
      </w:pPr>
      <w:r>
        <w:rPr>
          <w:rFonts w:ascii="Times New Roman" w:hAnsi="Times New Roman"/>
          <w:position w:val="6"/>
          <w:sz w:val="10"/>
        </w:rPr>
        <w:t>7 </w:t>
      </w:r>
      <w:r>
        <w:rPr>
          <w:rFonts w:ascii="Times New Roman" w:hAnsi="Times New Roman"/>
          <w:sz w:val="16"/>
        </w:rPr>
        <w:t>Hago esta aclaración en el sentido de que no a todos les interesa la transparencia, pero quienes la necesitan buscan por diferentes medios conseguir lo que quieren.</w:t>
      </w:r>
    </w:p>
    <w:p>
      <w:pPr>
        <w:spacing w:after="0"/>
        <w:jc w:val="left"/>
        <w:rPr>
          <w:rFonts w:ascii="Times New Roman" w:hAnsi="Times New Roman"/>
          <w:sz w:val="16"/>
        </w:rPr>
        <w:sectPr>
          <w:pgSz w:w="12240" w:h="15840"/>
          <w:pgMar w:header="0" w:footer="975" w:top="1360" w:bottom="1220" w:left="1580" w:right="1600"/>
        </w:sectPr>
      </w:pPr>
    </w:p>
    <w:p>
      <w:pPr>
        <w:pStyle w:val="BodyText"/>
        <w:spacing w:line="360" w:lineRule="auto" w:before="54"/>
        <w:ind w:left="102" w:right="120"/>
        <w:jc w:val="both"/>
      </w:pPr>
      <w:r>
        <w:rPr/>
        <w:t>educación, seguridad, empleo, pobreza, los procedimientos para realizar trámites gubernamentales, entre otros aspectos que permiten conocer el desempeño del gobierno respecto a lo prometido en las campañas electorales. Esta información permite al ciudadano hacer valoraciones antes de emitir su voto, utilizando éste como premio al buen gobierno y votando nuevamente por el partido gobernante, o como castigo al mal gobierno, votando por la oposición (IFAI, 2003).</w:t>
      </w:r>
    </w:p>
    <w:p>
      <w:pPr>
        <w:pStyle w:val="BodyText"/>
      </w:pPr>
    </w:p>
    <w:p>
      <w:pPr>
        <w:pStyle w:val="BodyText"/>
      </w:pPr>
    </w:p>
    <w:p>
      <w:pPr>
        <w:pStyle w:val="BodyText"/>
        <w:spacing w:line="360" w:lineRule="auto" w:before="185"/>
        <w:ind w:left="102" w:right="116"/>
        <w:jc w:val="both"/>
      </w:pPr>
      <w:r>
        <w:rPr/>
        <w:t>Respecto</w:t>
      </w:r>
      <w:r>
        <w:rPr>
          <w:spacing w:val="-5"/>
        </w:rPr>
        <w:t> </w:t>
      </w:r>
      <w:r>
        <w:rPr/>
        <w:t>a</w:t>
      </w:r>
      <w:r>
        <w:rPr>
          <w:spacing w:val="-7"/>
        </w:rPr>
        <w:t> </w:t>
      </w:r>
      <w:r>
        <w:rPr/>
        <w:t>lo</w:t>
      </w:r>
      <w:r>
        <w:rPr>
          <w:spacing w:val="-7"/>
        </w:rPr>
        <w:t> </w:t>
      </w:r>
      <w:r>
        <w:rPr/>
        <w:t>anterior,</w:t>
      </w:r>
      <w:r>
        <w:rPr>
          <w:spacing w:val="-8"/>
        </w:rPr>
        <w:t> </w:t>
      </w:r>
      <w:r>
        <w:rPr/>
        <w:t>cobra</w:t>
      </w:r>
      <w:r>
        <w:rPr>
          <w:spacing w:val="-8"/>
        </w:rPr>
        <w:t> </w:t>
      </w:r>
      <w:r>
        <w:rPr/>
        <w:t>relevancia</w:t>
      </w:r>
      <w:r>
        <w:rPr>
          <w:spacing w:val="-7"/>
        </w:rPr>
        <w:t> </w:t>
      </w:r>
      <w:r>
        <w:rPr/>
        <w:t>el</w:t>
      </w:r>
      <w:r>
        <w:rPr>
          <w:spacing w:val="-8"/>
        </w:rPr>
        <w:t> </w:t>
      </w:r>
      <w:r>
        <w:rPr/>
        <w:t>pensamiento</w:t>
      </w:r>
      <w:r>
        <w:rPr>
          <w:spacing w:val="-5"/>
        </w:rPr>
        <w:t> </w:t>
      </w:r>
      <w:r>
        <w:rPr/>
        <w:t>de</w:t>
      </w:r>
      <w:r>
        <w:rPr>
          <w:spacing w:val="-5"/>
        </w:rPr>
        <w:t> </w:t>
      </w:r>
      <w:r>
        <w:rPr/>
        <w:t>Foucault</w:t>
      </w:r>
      <w:r>
        <w:rPr>
          <w:spacing w:val="-8"/>
        </w:rPr>
        <w:t> </w:t>
      </w:r>
      <w:r>
        <w:rPr/>
        <w:t>(1999)</w:t>
      </w:r>
      <w:r>
        <w:rPr>
          <w:spacing w:val="-6"/>
        </w:rPr>
        <w:t> </w:t>
      </w:r>
      <w:r>
        <w:rPr/>
        <w:t>cuando señala que las formas tradicionales de ver al Estado eran erróneas, por lo </w:t>
      </w:r>
      <w:r>
        <w:rPr>
          <w:spacing w:val="3"/>
        </w:rPr>
        <w:t>que </w:t>
      </w:r>
      <w:r>
        <w:rPr/>
        <w:t>se ocupó de entender cómo el Estado ejerce su poder en la sociedad a través de relaciones sociales e institucionales. En tanto que Bobbio (1997) señalaba que el concepto</w:t>
      </w:r>
      <w:r>
        <w:rPr>
          <w:spacing w:val="-16"/>
        </w:rPr>
        <w:t> </w:t>
      </w:r>
      <w:r>
        <w:rPr/>
        <w:t>de</w:t>
      </w:r>
      <w:r>
        <w:rPr>
          <w:spacing w:val="-14"/>
        </w:rPr>
        <w:t> </w:t>
      </w:r>
      <w:r>
        <w:rPr/>
        <w:t>estado</w:t>
      </w:r>
      <w:r>
        <w:rPr>
          <w:spacing w:val="-14"/>
        </w:rPr>
        <w:t> </w:t>
      </w:r>
      <w:r>
        <w:rPr/>
        <w:t>había</w:t>
      </w:r>
      <w:r>
        <w:rPr>
          <w:spacing w:val="-14"/>
        </w:rPr>
        <w:t> </w:t>
      </w:r>
      <w:r>
        <w:rPr/>
        <w:t>comenzado</w:t>
      </w:r>
      <w:r>
        <w:rPr>
          <w:spacing w:val="-17"/>
        </w:rPr>
        <w:t> </w:t>
      </w:r>
      <w:r>
        <w:rPr/>
        <w:t>a</w:t>
      </w:r>
      <w:r>
        <w:rPr>
          <w:spacing w:val="-14"/>
        </w:rPr>
        <w:t> </w:t>
      </w:r>
      <w:r>
        <w:rPr/>
        <w:t>ser</w:t>
      </w:r>
      <w:r>
        <w:rPr>
          <w:spacing w:val="-16"/>
        </w:rPr>
        <w:t> </w:t>
      </w:r>
      <w:r>
        <w:rPr/>
        <w:t>reemplazado</w:t>
      </w:r>
      <w:r>
        <w:rPr>
          <w:spacing w:val="-17"/>
        </w:rPr>
        <w:t> </w:t>
      </w:r>
      <w:r>
        <w:rPr/>
        <w:t>por</w:t>
      </w:r>
      <w:r>
        <w:rPr>
          <w:spacing w:val="-16"/>
        </w:rPr>
        <w:t> </w:t>
      </w:r>
      <w:r>
        <w:rPr/>
        <w:t>uno</w:t>
      </w:r>
      <w:r>
        <w:rPr>
          <w:spacing w:val="-17"/>
        </w:rPr>
        <w:t> </w:t>
      </w:r>
      <w:r>
        <w:rPr/>
        <w:t>más</w:t>
      </w:r>
      <w:r>
        <w:rPr>
          <w:spacing w:val="-15"/>
        </w:rPr>
        <w:t> </w:t>
      </w:r>
      <w:r>
        <w:rPr/>
        <w:t>neutral</w:t>
      </w:r>
      <w:r>
        <w:rPr>
          <w:spacing w:val="-15"/>
        </w:rPr>
        <w:t> </w:t>
      </w:r>
      <w:r>
        <w:rPr/>
        <w:t>como lo es el sistema político, el cual tiene múltiples relaciones en todos sus</w:t>
      </w:r>
      <w:r>
        <w:rPr>
          <w:spacing w:val="-29"/>
        </w:rPr>
        <w:t> </w:t>
      </w:r>
      <w:r>
        <w:rPr/>
        <w:t>niveles.</w:t>
      </w:r>
    </w:p>
    <w:p>
      <w:pPr>
        <w:pStyle w:val="BodyText"/>
      </w:pPr>
    </w:p>
    <w:p>
      <w:pPr>
        <w:pStyle w:val="BodyText"/>
        <w:spacing w:line="360" w:lineRule="auto" w:before="142"/>
        <w:ind w:left="102" w:right="119"/>
        <w:jc w:val="both"/>
      </w:pPr>
      <w:r>
        <w:rPr/>
        <w:t>Por ello, señala Merino (2006), la transparencia ha abierto una veta que apenas comienza a explorarse tanto en el derecho como en las prácticas propias de la administración</w:t>
      </w:r>
      <w:r>
        <w:rPr>
          <w:spacing w:val="-9"/>
        </w:rPr>
        <w:t> </w:t>
      </w:r>
      <w:r>
        <w:rPr/>
        <w:t>pública</w:t>
      </w:r>
      <w:r>
        <w:rPr>
          <w:spacing w:val="-9"/>
        </w:rPr>
        <w:t> </w:t>
      </w:r>
      <w:r>
        <w:rPr/>
        <w:t>mexicana.</w:t>
      </w:r>
      <w:r>
        <w:rPr>
          <w:spacing w:val="-10"/>
        </w:rPr>
        <w:t> </w:t>
      </w:r>
      <w:r>
        <w:rPr/>
        <w:t>La</w:t>
      </w:r>
      <w:r>
        <w:rPr>
          <w:spacing w:val="-7"/>
        </w:rPr>
        <w:t> </w:t>
      </w:r>
      <w:r>
        <w:rPr/>
        <w:t>cual</w:t>
      </w:r>
      <w:r>
        <w:rPr>
          <w:spacing w:val="-8"/>
        </w:rPr>
        <w:t> </w:t>
      </w:r>
      <w:r>
        <w:rPr/>
        <w:t>ofrece</w:t>
      </w:r>
      <w:r>
        <w:rPr>
          <w:spacing w:val="-7"/>
        </w:rPr>
        <w:t> </w:t>
      </w:r>
      <w:r>
        <w:rPr/>
        <w:t>amplias</w:t>
      </w:r>
      <w:r>
        <w:rPr>
          <w:spacing w:val="-8"/>
        </w:rPr>
        <w:t> </w:t>
      </w:r>
      <w:r>
        <w:rPr/>
        <w:t>posibilidades</w:t>
      </w:r>
      <w:r>
        <w:rPr>
          <w:spacing w:val="-8"/>
        </w:rPr>
        <w:t> </w:t>
      </w:r>
      <w:r>
        <w:rPr/>
        <w:t>de</w:t>
      </w:r>
      <w:r>
        <w:rPr>
          <w:spacing w:val="-7"/>
        </w:rPr>
        <w:t> </w:t>
      </w:r>
      <w:r>
        <w:rPr/>
        <w:t>reforma</w:t>
      </w:r>
      <w:r>
        <w:rPr>
          <w:spacing w:val="-9"/>
        </w:rPr>
        <w:t> </w:t>
      </w:r>
      <w:r>
        <w:rPr/>
        <w:t>a la vieja concepción burocrática que tendía a ocultar los procedimientos y las decisiones adoptadas por los gobiernos. Sin embargo, México está apenas al principio de esa ruta que</w:t>
      </w:r>
      <w:r>
        <w:rPr>
          <w:spacing w:val="-13"/>
        </w:rPr>
        <w:t> </w:t>
      </w:r>
      <w:r>
        <w:rPr/>
        <w:t>comienza:</w:t>
      </w:r>
    </w:p>
    <w:p>
      <w:pPr>
        <w:pStyle w:val="BodyText"/>
      </w:pPr>
    </w:p>
    <w:p>
      <w:pPr>
        <w:pStyle w:val="BodyText"/>
      </w:pPr>
    </w:p>
    <w:p>
      <w:pPr>
        <w:spacing w:line="276" w:lineRule="auto" w:before="186"/>
        <w:ind w:left="668" w:right="824" w:firstLine="50"/>
        <w:jc w:val="both"/>
        <w:rPr>
          <w:sz w:val="18"/>
        </w:rPr>
      </w:pPr>
      <w:r>
        <w:rPr>
          <w:sz w:val="18"/>
        </w:rPr>
        <w:t>Somos testigos también de que la democracia ha ampliado su horizonte político a la esfera social. El individuo no solo es considerado como ciudadano, sino que es considerado en la multiplicidad de sus funciones, lo que contribuye a promover la cultura democrática </w:t>
      </w:r>
      <w:r>
        <w:rPr>
          <w:spacing w:val="5"/>
          <w:sz w:val="18"/>
        </w:rPr>
        <w:t>en </w:t>
      </w:r>
      <w:r>
        <w:rPr>
          <w:sz w:val="18"/>
        </w:rPr>
        <w:t>esferas y dimensiones mayores a las que inicialmente se habían previsto. Desde esta perspectiva, el gobierno abierto afianza la democracia como ente que permite la participación de los interesados en deliberaciones políticas, sin que ellos sean parte necesariamente de un cuerpo político específico. Solo ahora, con el avance tecnológico y la ampliación del Internet, se ha podido</w:t>
      </w:r>
      <w:r>
        <w:rPr>
          <w:spacing w:val="-7"/>
          <w:sz w:val="18"/>
        </w:rPr>
        <w:t> </w:t>
      </w:r>
      <w:r>
        <w:rPr>
          <w:sz w:val="18"/>
        </w:rPr>
        <w:t>iniciar</w:t>
      </w:r>
      <w:r>
        <w:rPr>
          <w:spacing w:val="-8"/>
          <w:sz w:val="18"/>
        </w:rPr>
        <w:t> </w:t>
      </w:r>
      <w:r>
        <w:rPr>
          <w:sz w:val="18"/>
        </w:rPr>
        <w:t>esa</w:t>
      </w:r>
      <w:r>
        <w:rPr>
          <w:spacing w:val="-7"/>
          <w:sz w:val="18"/>
        </w:rPr>
        <w:t> </w:t>
      </w:r>
      <w:r>
        <w:rPr>
          <w:sz w:val="18"/>
        </w:rPr>
        <w:t>interacción</w:t>
      </w:r>
      <w:r>
        <w:rPr>
          <w:spacing w:val="-7"/>
          <w:sz w:val="18"/>
        </w:rPr>
        <w:t> </w:t>
      </w:r>
      <w:r>
        <w:rPr>
          <w:sz w:val="18"/>
        </w:rPr>
        <w:t>en</w:t>
      </w:r>
      <w:r>
        <w:rPr>
          <w:spacing w:val="-7"/>
          <w:sz w:val="18"/>
        </w:rPr>
        <w:t> </w:t>
      </w:r>
      <w:r>
        <w:rPr>
          <w:sz w:val="18"/>
        </w:rPr>
        <w:t>una</w:t>
      </w:r>
      <w:r>
        <w:rPr>
          <w:spacing w:val="-7"/>
          <w:sz w:val="18"/>
        </w:rPr>
        <w:t> </w:t>
      </w:r>
      <w:r>
        <w:rPr>
          <w:sz w:val="18"/>
        </w:rPr>
        <w:t>forma</w:t>
      </w:r>
      <w:r>
        <w:rPr>
          <w:spacing w:val="-7"/>
          <w:sz w:val="18"/>
        </w:rPr>
        <w:t> </w:t>
      </w:r>
      <w:r>
        <w:rPr>
          <w:sz w:val="18"/>
        </w:rPr>
        <w:t>original</w:t>
      </w:r>
      <w:r>
        <w:rPr>
          <w:spacing w:val="-7"/>
          <w:sz w:val="18"/>
        </w:rPr>
        <w:t> </w:t>
      </w:r>
      <w:r>
        <w:rPr>
          <w:sz w:val="18"/>
        </w:rPr>
        <w:t>y</w:t>
      </w:r>
      <w:r>
        <w:rPr>
          <w:spacing w:val="-9"/>
          <w:sz w:val="18"/>
        </w:rPr>
        <w:t> </w:t>
      </w:r>
      <w:r>
        <w:rPr>
          <w:sz w:val="18"/>
        </w:rPr>
        <w:t>con</w:t>
      </w:r>
      <w:r>
        <w:rPr>
          <w:spacing w:val="-7"/>
          <w:sz w:val="18"/>
        </w:rPr>
        <w:t> </w:t>
      </w:r>
      <w:r>
        <w:rPr>
          <w:sz w:val="18"/>
        </w:rPr>
        <w:t>costos</w:t>
      </w:r>
      <w:r>
        <w:rPr>
          <w:spacing w:val="-7"/>
          <w:sz w:val="18"/>
        </w:rPr>
        <w:t> </w:t>
      </w:r>
      <w:r>
        <w:rPr>
          <w:sz w:val="18"/>
        </w:rPr>
        <w:t>asumibles</w:t>
      </w:r>
      <w:r>
        <w:rPr>
          <w:spacing w:val="-7"/>
          <w:sz w:val="18"/>
        </w:rPr>
        <w:t> </w:t>
      </w:r>
      <w:r>
        <w:rPr>
          <w:sz w:val="18"/>
        </w:rPr>
        <w:t>para</w:t>
      </w:r>
      <w:r>
        <w:rPr>
          <w:spacing w:val="-7"/>
          <w:sz w:val="18"/>
        </w:rPr>
        <w:t> </w:t>
      </w:r>
      <w:r>
        <w:rPr>
          <w:sz w:val="18"/>
        </w:rPr>
        <w:t>los</w:t>
      </w:r>
      <w:r>
        <w:rPr>
          <w:spacing w:val="-7"/>
          <w:sz w:val="18"/>
        </w:rPr>
        <w:t> </w:t>
      </w:r>
      <w:r>
        <w:rPr>
          <w:sz w:val="18"/>
        </w:rPr>
        <w:t>Estados.</w:t>
      </w:r>
      <w:r>
        <w:rPr>
          <w:spacing w:val="-8"/>
          <w:sz w:val="18"/>
        </w:rPr>
        <w:t> </w:t>
      </w:r>
      <w:r>
        <w:rPr>
          <w:sz w:val="18"/>
        </w:rPr>
        <w:t>El entablar</w:t>
      </w:r>
      <w:r>
        <w:rPr>
          <w:spacing w:val="-8"/>
          <w:sz w:val="18"/>
        </w:rPr>
        <w:t> </w:t>
      </w:r>
      <w:r>
        <w:rPr>
          <w:sz w:val="18"/>
        </w:rPr>
        <w:t>este</w:t>
      </w:r>
      <w:r>
        <w:rPr>
          <w:spacing w:val="-7"/>
          <w:sz w:val="18"/>
        </w:rPr>
        <w:t> </w:t>
      </w:r>
      <w:r>
        <w:rPr>
          <w:sz w:val="18"/>
        </w:rPr>
        <w:t>diálogo</w:t>
      </w:r>
      <w:r>
        <w:rPr>
          <w:spacing w:val="-7"/>
          <w:sz w:val="18"/>
        </w:rPr>
        <w:t> </w:t>
      </w:r>
      <w:r>
        <w:rPr>
          <w:sz w:val="18"/>
        </w:rPr>
        <w:t>constante</w:t>
      </w:r>
      <w:r>
        <w:rPr>
          <w:spacing w:val="-7"/>
          <w:sz w:val="18"/>
        </w:rPr>
        <w:t> </w:t>
      </w:r>
      <w:r>
        <w:rPr>
          <w:sz w:val="18"/>
        </w:rPr>
        <w:t>con</w:t>
      </w:r>
      <w:r>
        <w:rPr>
          <w:spacing w:val="-10"/>
          <w:sz w:val="18"/>
        </w:rPr>
        <w:t> </w:t>
      </w:r>
      <w:r>
        <w:rPr>
          <w:sz w:val="18"/>
        </w:rPr>
        <w:t>sus</w:t>
      </w:r>
      <w:r>
        <w:rPr>
          <w:spacing w:val="-5"/>
          <w:sz w:val="18"/>
        </w:rPr>
        <w:t> </w:t>
      </w:r>
      <w:r>
        <w:rPr>
          <w:sz w:val="18"/>
        </w:rPr>
        <w:t>ciudadanos</w:t>
      </w:r>
      <w:r>
        <w:rPr>
          <w:spacing w:val="-7"/>
          <w:sz w:val="18"/>
        </w:rPr>
        <w:t> </w:t>
      </w:r>
      <w:r>
        <w:rPr>
          <w:sz w:val="18"/>
        </w:rPr>
        <w:t>no</w:t>
      </w:r>
      <w:r>
        <w:rPr>
          <w:spacing w:val="-7"/>
          <w:sz w:val="18"/>
        </w:rPr>
        <w:t> </w:t>
      </w:r>
      <w:r>
        <w:rPr>
          <w:sz w:val="18"/>
        </w:rPr>
        <w:t>solamente</w:t>
      </w:r>
      <w:r>
        <w:rPr>
          <w:spacing w:val="-7"/>
          <w:sz w:val="18"/>
        </w:rPr>
        <w:t> </w:t>
      </w:r>
      <w:r>
        <w:rPr>
          <w:sz w:val="18"/>
        </w:rPr>
        <w:t>permite</w:t>
      </w:r>
      <w:r>
        <w:rPr>
          <w:spacing w:val="-7"/>
          <w:sz w:val="18"/>
        </w:rPr>
        <w:t> </w:t>
      </w:r>
      <w:r>
        <w:rPr>
          <w:sz w:val="18"/>
        </w:rPr>
        <w:t>afianzar</w:t>
      </w:r>
      <w:r>
        <w:rPr>
          <w:spacing w:val="-8"/>
          <w:sz w:val="18"/>
        </w:rPr>
        <w:t> </w:t>
      </w:r>
      <w:r>
        <w:rPr>
          <w:sz w:val="18"/>
        </w:rPr>
        <w:t>los</w:t>
      </w:r>
      <w:r>
        <w:rPr>
          <w:spacing w:val="-7"/>
          <w:sz w:val="18"/>
        </w:rPr>
        <w:t> </w:t>
      </w:r>
      <w:r>
        <w:rPr>
          <w:sz w:val="18"/>
        </w:rPr>
        <w:t>flujos</w:t>
      </w:r>
      <w:r>
        <w:rPr>
          <w:spacing w:val="-7"/>
          <w:sz w:val="18"/>
        </w:rPr>
        <w:t> </w:t>
      </w:r>
      <w:r>
        <w:rPr>
          <w:sz w:val="18"/>
        </w:rPr>
        <w:t>de comunicación con una y otra parte, pero también fomenta la transparencia al impulsar la información continua y al promover la rendición de cuentas ante la ciudadanía. Asimismo, permite la retroalimentación, al implicar los ciudadanos en la administración. Finalmente, fomenta la participación activa de los ciudadanos al involucrarlos en el proceso de diseño y ejecución de políticas públicas. La democracia ha avanzado, sin duda, en el mundo, y en América Latina se ha ido consolidando de manera procedimental,  aunque  todavía falta    </w:t>
      </w:r>
      <w:r>
        <w:rPr>
          <w:spacing w:val="2"/>
          <w:sz w:val="18"/>
        </w:rPr>
        <w:t> </w:t>
      </w:r>
      <w:r>
        <w:rPr>
          <w:sz w:val="18"/>
        </w:rPr>
        <w:t>por</w:t>
      </w:r>
    </w:p>
    <w:p>
      <w:pPr>
        <w:spacing w:after="0" w:line="276" w:lineRule="auto"/>
        <w:jc w:val="both"/>
        <w:rPr>
          <w:sz w:val="18"/>
        </w:rPr>
        <w:sectPr>
          <w:pgSz w:w="12240" w:h="15840"/>
          <w:pgMar w:header="0" w:footer="975" w:top="1360" w:bottom="1220" w:left="1600" w:right="1580"/>
        </w:sectPr>
      </w:pPr>
    </w:p>
    <w:p>
      <w:pPr>
        <w:spacing w:line="276" w:lineRule="auto" w:before="55"/>
        <w:ind w:left="688" w:right="825" w:firstLine="0"/>
        <w:jc w:val="both"/>
        <w:rPr>
          <w:sz w:val="18"/>
        </w:rPr>
      </w:pPr>
      <w:r>
        <w:rPr>
          <w:sz w:val="18"/>
        </w:rPr>
        <w:t>afianzar una plena democracia ciudadana. El gobierno abierto viene precisamente a llenar esa carencia, al entablar que las decisiones políticas queden condicionadas y determinadas, en parte, por la sociedad civil. En este sentido, la democracia supone de un ideal ideológico preciso, pero también supone la construcción de una ciudadanía integral, es decir, el pleno reconocimiento de la ciudadanía política, civil y social” Insulza (2012:10).</w:t>
      </w:r>
    </w:p>
    <w:p>
      <w:pPr>
        <w:pStyle w:val="BodyText"/>
        <w:rPr>
          <w:sz w:val="18"/>
        </w:rPr>
      </w:pPr>
    </w:p>
    <w:p>
      <w:pPr>
        <w:pStyle w:val="BodyText"/>
        <w:rPr>
          <w:sz w:val="18"/>
        </w:rPr>
      </w:pPr>
    </w:p>
    <w:p>
      <w:pPr>
        <w:pStyle w:val="BodyText"/>
        <w:rPr>
          <w:sz w:val="18"/>
        </w:rPr>
      </w:pPr>
    </w:p>
    <w:p>
      <w:pPr>
        <w:pStyle w:val="BodyText"/>
        <w:spacing w:line="360" w:lineRule="auto" w:before="115"/>
        <w:ind w:left="122" w:right="116"/>
        <w:jc w:val="both"/>
      </w:pPr>
      <w:r>
        <w:rPr/>
        <w:t>La</w:t>
      </w:r>
      <w:r>
        <w:rPr>
          <w:spacing w:val="-19"/>
        </w:rPr>
        <w:t> </w:t>
      </w:r>
      <w:r>
        <w:rPr/>
        <w:t>transparencia</w:t>
      </w:r>
      <w:r>
        <w:rPr>
          <w:spacing w:val="-19"/>
        </w:rPr>
        <w:t> </w:t>
      </w:r>
      <w:r>
        <w:rPr/>
        <w:t>es</w:t>
      </w:r>
      <w:r>
        <w:rPr>
          <w:spacing w:val="-20"/>
        </w:rPr>
        <w:t> </w:t>
      </w:r>
      <w:r>
        <w:rPr/>
        <w:t>entonces</w:t>
      </w:r>
      <w:r>
        <w:rPr>
          <w:spacing w:val="-22"/>
        </w:rPr>
        <w:t> </w:t>
      </w:r>
      <w:r>
        <w:rPr/>
        <w:t>una</w:t>
      </w:r>
      <w:r>
        <w:rPr>
          <w:spacing w:val="-19"/>
        </w:rPr>
        <w:t> </w:t>
      </w:r>
      <w:r>
        <w:rPr/>
        <w:t>construcción</w:t>
      </w:r>
      <w:r>
        <w:rPr>
          <w:spacing w:val="-19"/>
        </w:rPr>
        <w:t> </w:t>
      </w:r>
      <w:r>
        <w:rPr/>
        <w:t>que</w:t>
      </w:r>
      <w:r>
        <w:rPr>
          <w:spacing w:val="-19"/>
        </w:rPr>
        <w:t> </w:t>
      </w:r>
      <w:r>
        <w:rPr/>
        <w:t>se</w:t>
      </w:r>
      <w:r>
        <w:rPr>
          <w:spacing w:val="-19"/>
        </w:rPr>
        <w:t> </w:t>
      </w:r>
      <w:r>
        <w:rPr/>
        <w:t>ha</w:t>
      </w:r>
      <w:r>
        <w:rPr>
          <w:spacing w:val="-19"/>
        </w:rPr>
        <w:t> </w:t>
      </w:r>
      <w:r>
        <w:rPr/>
        <w:t>ganado</w:t>
      </w:r>
      <w:r>
        <w:rPr>
          <w:spacing w:val="-19"/>
        </w:rPr>
        <w:t> </w:t>
      </w:r>
      <w:r>
        <w:rPr/>
        <w:t>después</w:t>
      </w:r>
      <w:r>
        <w:rPr>
          <w:spacing w:val="-20"/>
        </w:rPr>
        <w:t> </w:t>
      </w:r>
      <w:r>
        <w:rPr/>
        <w:t>de</w:t>
      </w:r>
      <w:r>
        <w:rPr>
          <w:spacing w:val="-19"/>
        </w:rPr>
        <w:t> </w:t>
      </w:r>
      <w:r>
        <w:rPr/>
        <w:t>varias décadas de lucha entre la “sociedad” que busca, por las buenas o por las malas, abrir las acciones de sus servidores públicos (Arellano, 2007). De esta manera se ha venido dando paso a las prácticas de apertura del gobierno al escrutinio de la sociedad</w:t>
      </w:r>
      <w:r>
        <w:rPr>
          <w:spacing w:val="-17"/>
        </w:rPr>
        <w:t> </w:t>
      </w:r>
      <w:r>
        <w:rPr/>
        <w:t>y</w:t>
      </w:r>
      <w:r>
        <w:rPr>
          <w:spacing w:val="-19"/>
        </w:rPr>
        <w:t> </w:t>
      </w:r>
      <w:r>
        <w:rPr/>
        <w:t>se</w:t>
      </w:r>
      <w:r>
        <w:rPr>
          <w:spacing w:val="-17"/>
        </w:rPr>
        <w:t> </w:t>
      </w:r>
      <w:r>
        <w:rPr/>
        <w:t>van</w:t>
      </w:r>
      <w:r>
        <w:rPr>
          <w:spacing w:val="-17"/>
        </w:rPr>
        <w:t> </w:t>
      </w:r>
      <w:r>
        <w:rPr/>
        <w:t>dejando</w:t>
      </w:r>
      <w:r>
        <w:rPr>
          <w:spacing w:val="-17"/>
        </w:rPr>
        <w:t> </w:t>
      </w:r>
      <w:r>
        <w:rPr/>
        <w:t>las</w:t>
      </w:r>
      <w:r>
        <w:rPr>
          <w:spacing w:val="-19"/>
        </w:rPr>
        <w:t> </w:t>
      </w:r>
      <w:r>
        <w:rPr/>
        <w:t>prácticas</w:t>
      </w:r>
      <w:r>
        <w:rPr>
          <w:spacing w:val="-19"/>
        </w:rPr>
        <w:t> </w:t>
      </w:r>
      <w:r>
        <w:rPr/>
        <w:t>de</w:t>
      </w:r>
      <w:r>
        <w:rPr>
          <w:spacing w:val="-19"/>
        </w:rPr>
        <w:t> </w:t>
      </w:r>
      <w:r>
        <w:rPr/>
        <w:t>opacidad</w:t>
      </w:r>
      <w:r>
        <w:rPr>
          <w:spacing w:val="-17"/>
        </w:rPr>
        <w:t> </w:t>
      </w:r>
      <w:r>
        <w:rPr/>
        <w:t>que</w:t>
      </w:r>
      <w:r>
        <w:rPr>
          <w:spacing w:val="-17"/>
        </w:rPr>
        <w:t> </w:t>
      </w:r>
      <w:r>
        <w:rPr/>
        <w:t>tradicionalmente</w:t>
      </w:r>
      <w:r>
        <w:rPr>
          <w:spacing w:val="-19"/>
        </w:rPr>
        <w:t> </w:t>
      </w:r>
      <w:r>
        <w:rPr/>
        <w:t>operaban en</w:t>
      </w:r>
      <w:r>
        <w:rPr>
          <w:spacing w:val="-4"/>
        </w:rPr>
        <w:t> </w:t>
      </w:r>
      <w:r>
        <w:rPr/>
        <w:t>los</w:t>
      </w:r>
      <w:r>
        <w:rPr>
          <w:spacing w:val="-6"/>
        </w:rPr>
        <w:t> </w:t>
      </w:r>
      <w:r>
        <w:rPr/>
        <w:t>gobiernos</w:t>
      </w:r>
      <w:r>
        <w:rPr>
          <w:spacing w:val="-7"/>
        </w:rPr>
        <w:t> </w:t>
      </w:r>
      <w:r>
        <w:rPr/>
        <w:t>no</w:t>
      </w:r>
      <w:r>
        <w:rPr>
          <w:spacing w:val="-6"/>
        </w:rPr>
        <w:t> </w:t>
      </w:r>
      <w:r>
        <w:rPr/>
        <w:t>democráticos,</w:t>
      </w:r>
      <w:r>
        <w:rPr>
          <w:spacing w:val="-4"/>
        </w:rPr>
        <w:t> </w:t>
      </w:r>
      <w:r>
        <w:rPr/>
        <w:t>cuya</w:t>
      </w:r>
      <w:r>
        <w:rPr>
          <w:spacing w:val="-4"/>
        </w:rPr>
        <w:t> </w:t>
      </w:r>
      <w:r>
        <w:rPr/>
        <w:t>política</w:t>
      </w:r>
      <w:r>
        <w:rPr>
          <w:spacing w:val="-2"/>
        </w:rPr>
        <w:t> </w:t>
      </w:r>
      <w:r>
        <w:rPr/>
        <w:t>para</w:t>
      </w:r>
      <w:r>
        <w:rPr>
          <w:spacing w:val="-5"/>
        </w:rPr>
        <w:t> </w:t>
      </w:r>
      <w:r>
        <w:rPr/>
        <w:t>mantenerse</w:t>
      </w:r>
      <w:r>
        <w:rPr>
          <w:spacing w:val="-4"/>
        </w:rPr>
        <w:t> </w:t>
      </w:r>
      <w:r>
        <w:rPr/>
        <w:t>en</w:t>
      </w:r>
      <w:r>
        <w:rPr>
          <w:spacing w:val="-4"/>
        </w:rPr>
        <w:t> </w:t>
      </w:r>
      <w:r>
        <w:rPr/>
        <w:t>el</w:t>
      </w:r>
      <w:r>
        <w:rPr>
          <w:spacing w:val="-7"/>
        </w:rPr>
        <w:t> </w:t>
      </w:r>
      <w:r>
        <w:rPr/>
        <w:t>poder</w:t>
      </w:r>
      <w:r>
        <w:rPr>
          <w:spacing w:val="-5"/>
        </w:rPr>
        <w:t> </w:t>
      </w:r>
      <w:r>
        <w:rPr/>
        <w:t>era</w:t>
      </w:r>
      <w:r>
        <w:rPr>
          <w:spacing w:val="-7"/>
        </w:rPr>
        <w:t> </w:t>
      </w:r>
      <w:r>
        <w:rPr/>
        <w:t>el uso de la fuerza que les daba el propio</w:t>
      </w:r>
      <w:r>
        <w:rPr>
          <w:spacing w:val="-17"/>
        </w:rPr>
        <w:t> </w:t>
      </w:r>
      <w:r>
        <w:rPr/>
        <w:t>Estado.</w:t>
      </w:r>
    </w:p>
    <w:p>
      <w:pPr>
        <w:pStyle w:val="BodyText"/>
      </w:pPr>
    </w:p>
    <w:p>
      <w:pPr>
        <w:pStyle w:val="BodyText"/>
      </w:pPr>
    </w:p>
    <w:p>
      <w:pPr>
        <w:pStyle w:val="Heading1"/>
        <w:numPr>
          <w:ilvl w:val="1"/>
          <w:numId w:val="4"/>
        </w:numPr>
        <w:tabs>
          <w:tab w:pos="550" w:val="left" w:leader="none"/>
        </w:tabs>
        <w:spacing w:line="240" w:lineRule="auto" w:before="185" w:after="0"/>
        <w:ind w:left="549" w:right="0" w:hanging="437"/>
        <w:jc w:val="both"/>
      </w:pPr>
      <w:bookmarkStart w:name="_bookmark3" w:id="6"/>
      <w:bookmarkEnd w:id="6"/>
      <w:r>
        <w:rPr>
          <w:b w:val="0"/>
        </w:rPr>
      </w:r>
      <w:bookmarkStart w:name="_bookmark3" w:id="7"/>
      <w:bookmarkEnd w:id="7"/>
      <w:r>
        <w:rPr/>
        <w:t>E</w:t>
      </w:r>
      <w:r>
        <w:rPr/>
        <w:t>l Gobierno como materialización del</w:t>
      </w:r>
      <w:r>
        <w:rPr>
          <w:spacing w:val="-11"/>
        </w:rPr>
        <w:t> </w:t>
      </w:r>
      <w:r>
        <w:rPr/>
        <w:t>Estado</w:t>
      </w:r>
    </w:p>
    <w:p>
      <w:pPr>
        <w:pStyle w:val="BodyText"/>
        <w:rPr>
          <w:b/>
        </w:rPr>
      </w:pPr>
    </w:p>
    <w:p>
      <w:pPr>
        <w:pStyle w:val="BodyText"/>
        <w:rPr>
          <w:b/>
        </w:rPr>
      </w:pPr>
    </w:p>
    <w:p>
      <w:pPr>
        <w:pStyle w:val="BodyText"/>
        <w:spacing w:line="360" w:lineRule="auto" w:before="161"/>
        <w:ind w:left="122" w:right="115"/>
        <w:jc w:val="both"/>
      </w:pPr>
      <w:r>
        <w:rPr/>
        <w:t>Como se ha mencionado anteriormente, los elementos básicos del Estado son la población,</w:t>
      </w:r>
      <w:r>
        <w:rPr>
          <w:spacing w:val="-16"/>
        </w:rPr>
        <w:t> </w:t>
      </w:r>
      <w:r>
        <w:rPr/>
        <w:t>el</w:t>
      </w:r>
      <w:r>
        <w:rPr>
          <w:spacing w:val="-17"/>
        </w:rPr>
        <w:t> </w:t>
      </w:r>
      <w:r>
        <w:rPr/>
        <w:t>territorio</w:t>
      </w:r>
      <w:r>
        <w:rPr>
          <w:spacing w:val="-16"/>
        </w:rPr>
        <w:t> </w:t>
      </w:r>
      <w:r>
        <w:rPr/>
        <w:t>y</w:t>
      </w:r>
      <w:r>
        <w:rPr>
          <w:spacing w:val="-15"/>
        </w:rPr>
        <w:t> </w:t>
      </w:r>
      <w:r>
        <w:rPr/>
        <w:t>el</w:t>
      </w:r>
      <w:r>
        <w:rPr>
          <w:spacing w:val="-17"/>
        </w:rPr>
        <w:t> </w:t>
      </w:r>
      <w:r>
        <w:rPr/>
        <w:t>gobierno</w:t>
      </w:r>
      <w:r>
        <w:rPr>
          <w:position w:val="8"/>
          <w:sz w:val="16"/>
        </w:rPr>
        <w:t>8</w:t>
      </w:r>
      <w:r>
        <w:rPr/>
        <w:t>.</w:t>
      </w:r>
      <w:r>
        <w:rPr>
          <w:spacing w:val="-16"/>
        </w:rPr>
        <w:t> </w:t>
      </w:r>
      <w:r>
        <w:rPr/>
        <w:t>Para</w:t>
      </w:r>
      <w:r>
        <w:rPr>
          <w:spacing w:val="-19"/>
        </w:rPr>
        <w:t> </w:t>
      </w:r>
      <w:r>
        <w:rPr/>
        <w:t>fines</w:t>
      </w:r>
      <w:r>
        <w:rPr>
          <w:spacing w:val="-19"/>
        </w:rPr>
        <w:t> </w:t>
      </w:r>
      <w:r>
        <w:rPr/>
        <w:t>de</w:t>
      </w:r>
      <w:r>
        <w:rPr>
          <w:spacing w:val="-16"/>
        </w:rPr>
        <w:t> </w:t>
      </w:r>
      <w:r>
        <w:rPr/>
        <w:t>esta</w:t>
      </w:r>
      <w:r>
        <w:rPr>
          <w:spacing w:val="-15"/>
        </w:rPr>
        <w:t> </w:t>
      </w:r>
      <w:r>
        <w:rPr/>
        <w:t>investigación</w:t>
      </w:r>
      <w:r>
        <w:rPr>
          <w:spacing w:val="-15"/>
        </w:rPr>
        <w:t> </w:t>
      </w:r>
      <w:r>
        <w:rPr/>
        <w:t>se</w:t>
      </w:r>
      <w:r>
        <w:rPr>
          <w:spacing w:val="-16"/>
        </w:rPr>
        <w:t> </w:t>
      </w:r>
      <w:r>
        <w:rPr/>
        <w:t>desarrollará el tercer elemento: “el gobierno”, ya que éste es el que ostenta el poder para gobernar al pueblo dentro de un territorio determinado, además de que al ser en el gobierno donde el secreto, la corrupción y la impunidad anidan, resulta contradictorio</w:t>
      </w:r>
      <w:r>
        <w:rPr>
          <w:spacing w:val="-17"/>
        </w:rPr>
        <w:t> </w:t>
      </w:r>
      <w:r>
        <w:rPr/>
        <w:t>que</w:t>
      </w:r>
      <w:r>
        <w:rPr>
          <w:spacing w:val="-15"/>
        </w:rPr>
        <w:t> </w:t>
      </w:r>
      <w:r>
        <w:rPr/>
        <w:t>éste</w:t>
      </w:r>
      <w:r>
        <w:rPr>
          <w:spacing w:val="-18"/>
        </w:rPr>
        <w:t> </w:t>
      </w:r>
      <w:r>
        <w:rPr/>
        <w:t>sea</w:t>
      </w:r>
      <w:r>
        <w:rPr>
          <w:spacing w:val="-17"/>
        </w:rPr>
        <w:t> </w:t>
      </w:r>
      <w:r>
        <w:rPr/>
        <w:t>precisamente</w:t>
      </w:r>
      <w:r>
        <w:rPr>
          <w:spacing w:val="-19"/>
        </w:rPr>
        <w:t> </w:t>
      </w:r>
      <w:r>
        <w:rPr/>
        <w:t>el</w:t>
      </w:r>
      <w:r>
        <w:rPr>
          <w:spacing w:val="-18"/>
        </w:rPr>
        <w:t> </w:t>
      </w:r>
      <w:r>
        <w:rPr/>
        <w:t>que</w:t>
      </w:r>
      <w:r>
        <w:rPr>
          <w:spacing w:val="-17"/>
        </w:rPr>
        <w:t> </w:t>
      </w:r>
      <w:r>
        <w:rPr/>
        <w:t>se</w:t>
      </w:r>
      <w:r>
        <w:rPr>
          <w:spacing w:val="-17"/>
        </w:rPr>
        <w:t> </w:t>
      </w:r>
      <w:r>
        <w:rPr/>
        <w:t>encargue</w:t>
      </w:r>
      <w:r>
        <w:rPr>
          <w:spacing w:val="-17"/>
        </w:rPr>
        <w:t> </w:t>
      </w:r>
      <w:r>
        <w:rPr/>
        <w:t>de</w:t>
      </w:r>
      <w:r>
        <w:rPr>
          <w:spacing w:val="-17"/>
        </w:rPr>
        <w:t> </w:t>
      </w:r>
      <w:r>
        <w:rPr/>
        <w:t>la</w:t>
      </w:r>
      <w:r>
        <w:rPr>
          <w:spacing w:val="-17"/>
        </w:rPr>
        <w:t> </w:t>
      </w:r>
      <w:r>
        <w:rPr/>
        <w:t>creación</w:t>
      </w:r>
      <w:r>
        <w:rPr>
          <w:spacing w:val="-16"/>
        </w:rPr>
        <w:t> </w:t>
      </w:r>
      <w:r>
        <w:rPr/>
        <w:t>de</w:t>
      </w:r>
      <w:r>
        <w:rPr>
          <w:spacing w:val="-17"/>
        </w:rPr>
        <w:t> </w:t>
      </w:r>
      <w:r>
        <w:rPr/>
        <w:t>leyes e instituciones para promover la transparencia, lo que permite ver que estas leyes e</w:t>
      </w:r>
      <w:r>
        <w:rPr>
          <w:spacing w:val="-9"/>
        </w:rPr>
        <w:t> </w:t>
      </w:r>
      <w:r>
        <w:rPr/>
        <w:t>instituciones</w:t>
      </w:r>
      <w:r>
        <w:rPr>
          <w:spacing w:val="-15"/>
        </w:rPr>
        <w:t> </w:t>
      </w:r>
      <w:r>
        <w:rPr/>
        <w:t>funcionan</w:t>
      </w:r>
      <w:r>
        <w:rPr>
          <w:spacing w:val="-9"/>
        </w:rPr>
        <w:t> </w:t>
      </w:r>
      <w:r>
        <w:rPr/>
        <w:t>dentro</w:t>
      </w:r>
      <w:r>
        <w:rPr>
          <w:spacing w:val="-12"/>
        </w:rPr>
        <w:t> </w:t>
      </w:r>
      <w:r>
        <w:rPr/>
        <w:t>del</w:t>
      </w:r>
      <w:r>
        <w:rPr>
          <w:spacing w:val="-11"/>
        </w:rPr>
        <w:t> </w:t>
      </w:r>
      <w:r>
        <w:rPr/>
        <w:t>gobierno</w:t>
      </w:r>
      <w:r>
        <w:rPr>
          <w:spacing w:val="-14"/>
        </w:rPr>
        <w:t> </w:t>
      </w:r>
      <w:r>
        <w:rPr/>
        <w:t>más</w:t>
      </w:r>
      <w:r>
        <w:rPr>
          <w:spacing w:val="-10"/>
        </w:rPr>
        <w:t> </w:t>
      </w:r>
      <w:r>
        <w:rPr/>
        <w:t>como</w:t>
      </w:r>
      <w:r>
        <w:rPr>
          <w:spacing w:val="-9"/>
        </w:rPr>
        <w:t> </w:t>
      </w:r>
      <w:r>
        <w:rPr/>
        <w:t>elementos</w:t>
      </w:r>
      <w:r>
        <w:rPr>
          <w:spacing w:val="-13"/>
        </w:rPr>
        <w:t> </w:t>
      </w:r>
      <w:r>
        <w:rPr/>
        <w:t>discursivos</w:t>
      </w:r>
      <w:r>
        <w:rPr>
          <w:spacing w:val="-10"/>
        </w:rPr>
        <w:t> </w:t>
      </w:r>
      <w:r>
        <w:rPr/>
        <w:t>para legitimar el poder que como una práctica cotidiana dentro de la administración pública.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5"/>
        </w:rPr>
      </w:pPr>
      <w:r>
        <w:rPr/>
        <w:pict>
          <v:line style="position:absolute;mso-position-horizontal-relative:page;mso-position-vertical-relative:paragraph;z-index:1192;mso-wrap-distance-left:0;mso-wrap-distance-right:0" from="85.103996pt,10.987709pt" to="229.123996pt,10.987709pt" stroked="true" strokeweight=".72003pt" strokecolor="#000000">
            <w10:wrap type="topAndBottom"/>
          </v:line>
        </w:pict>
      </w:r>
    </w:p>
    <w:p>
      <w:pPr>
        <w:spacing w:before="69"/>
        <w:ind w:left="122" w:right="337" w:firstLine="0"/>
        <w:jc w:val="left"/>
        <w:rPr>
          <w:sz w:val="14"/>
        </w:rPr>
      </w:pPr>
      <w:r>
        <w:rPr>
          <w:position w:val="5"/>
          <w:sz w:val="9"/>
        </w:rPr>
        <w:t>8 </w:t>
      </w:r>
      <w:r>
        <w:rPr>
          <w:sz w:val="14"/>
        </w:rPr>
        <w:t>En conceptos menos jurídicos hay otros elementos que integran el Estado, según el enfoque que se utilice.</w:t>
      </w:r>
    </w:p>
    <w:p>
      <w:pPr>
        <w:spacing w:after="0"/>
        <w:jc w:val="left"/>
        <w:rPr>
          <w:sz w:val="14"/>
        </w:rPr>
        <w:sectPr>
          <w:pgSz w:w="12240" w:h="15840"/>
          <w:pgMar w:header="0" w:footer="975" w:top="1360" w:bottom="1220" w:left="1580" w:right="1580"/>
        </w:sectPr>
      </w:pPr>
    </w:p>
    <w:p>
      <w:pPr>
        <w:pStyle w:val="Heading1"/>
        <w:numPr>
          <w:ilvl w:val="2"/>
          <w:numId w:val="4"/>
        </w:numPr>
        <w:tabs>
          <w:tab w:pos="830" w:val="left" w:leader="none"/>
        </w:tabs>
        <w:spacing w:line="240" w:lineRule="auto" w:before="54" w:after="0"/>
        <w:ind w:left="830" w:right="0" w:hanging="720"/>
        <w:jc w:val="both"/>
      </w:pPr>
      <w:r>
        <w:rPr/>
        <w:t>Generalidades del</w:t>
      </w:r>
      <w:r>
        <w:rPr>
          <w:spacing w:val="-5"/>
        </w:rPr>
        <w:t> </w:t>
      </w:r>
      <w:r>
        <w:rPr/>
        <w:t>gobierno</w:t>
      </w:r>
    </w:p>
    <w:p>
      <w:pPr>
        <w:pStyle w:val="BodyText"/>
        <w:rPr>
          <w:b/>
        </w:rPr>
      </w:pPr>
    </w:p>
    <w:p>
      <w:pPr>
        <w:pStyle w:val="BodyText"/>
        <w:rPr>
          <w:b/>
        </w:rPr>
      </w:pPr>
    </w:p>
    <w:p>
      <w:pPr>
        <w:pStyle w:val="BodyText"/>
        <w:spacing w:line="360" w:lineRule="auto" w:before="161"/>
        <w:ind w:left="122" w:right="115"/>
        <w:jc w:val="both"/>
      </w:pPr>
      <w:r>
        <w:rPr/>
        <w:t>El gobierno, de acuerdo con la Real Academia Española “es la acción o actos de gobernarse. Asimismo, hace referencia al Órgano superior del poder ejecutivo de un</w:t>
      </w:r>
      <w:r>
        <w:rPr>
          <w:spacing w:val="-4"/>
        </w:rPr>
        <w:t> </w:t>
      </w:r>
      <w:r>
        <w:rPr/>
        <w:t>Estado</w:t>
      </w:r>
      <w:r>
        <w:rPr>
          <w:spacing w:val="-3"/>
        </w:rPr>
        <w:t> </w:t>
      </w:r>
      <w:r>
        <w:rPr/>
        <w:t>o</w:t>
      </w:r>
      <w:r>
        <w:rPr>
          <w:spacing w:val="-6"/>
        </w:rPr>
        <w:t> </w:t>
      </w:r>
      <w:r>
        <w:rPr/>
        <w:t>de</w:t>
      </w:r>
      <w:r>
        <w:rPr>
          <w:spacing w:val="-6"/>
        </w:rPr>
        <w:t> </w:t>
      </w:r>
      <w:r>
        <w:rPr/>
        <w:t>una</w:t>
      </w:r>
      <w:r>
        <w:rPr>
          <w:spacing w:val="-4"/>
        </w:rPr>
        <w:t> </w:t>
      </w:r>
      <w:r>
        <w:rPr/>
        <w:t>comunidad</w:t>
      </w:r>
      <w:r>
        <w:rPr>
          <w:spacing w:val="-6"/>
        </w:rPr>
        <w:t> </w:t>
      </w:r>
      <w:r>
        <w:rPr/>
        <w:t>política,</w:t>
      </w:r>
      <w:r>
        <w:rPr>
          <w:spacing w:val="-4"/>
        </w:rPr>
        <w:t> </w:t>
      </w:r>
      <w:r>
        <w:rPr/>
        <w:t>constituida</w:t>
      </w:r>
      <w:r>
        <w:rPr>
          <w:spacing w:val="-6"/>
        </w:rPr>
        <w:t> </w:t>
      </w:r>
      <w:r>
        <w:rPr/>
        <w:t>por</w:t>
      </w:r>
      <w:r>
        <w:rPr>
          <w:spacing w:val="-5"/>
        </w:rPr>
        <w:t> </w:t>
      </w:r>
      <w:r>
        <w:rPr/>
        <w:t>el</w:t>
      </w:r>
      <w:r>
        <w:rPr>
          <w:spacing w:val="-7"/>
        </w:rPr>
        <w:t> </w:t>
      </w:r>
      <w:r>
        <w:rPr/>
        <w:t>presidente</w:t>
      </w:r>
      <w:r>
        <w:rPr>
          <w:spacing w:val="-5"/>
        </w:rPr>
        <w:t> </w:t>
      </w:r>
      <w:r>
        <w:rPr/>
        <w:t>y</w:t>
      </w:r>
      <w:r>
        <w:rPr>
          <w:spacing w:val="-7"/>
        </w:rPr>
        <w:t> </w:t>
      </w:r>
      <w:r>
        <w:rPr/>
        <w:t>los</w:t>
      </w:r>
      <w:r>
        <w:rPr>
          <w:spacing w:val="-4"/>
        </w:rPr>
        <w:t> </w:t>
      </w:r>
      <w:r>
        <w:rPr/>
        <w:t>ministros o consejeros”. En tanto que la enciclopedia jurídica mexicana lo define como el “Órgano del </w:t>
      </w:r>
      <w:hyperlink r:id="rId10">
        <w:r>
          <w:rPr/>
          <w:t>Estado</w:t>
        </w:r>
      </w:hyperlink>
      <w:r>
        <w:rPr/>
        <w:t> que dirige la </w:t>
      </w:r>
      <w:hyperlink r:id="rId11">
        <w:r>
          <w:rPr/>
          <w:t>política</w:t>
        </w:r>
      </w:hyperlink>
      <w:r>
        <w:rPr/>
        <w:t> interior y exterior, la </w:t>
      </w:r>
      <w:hyperlink r:id="rId12">
        <w:r>
          <w:rPr/>
          <w:t>Administración</w:t>
        </w:r>
      </w:hyperlink>
      <w:r>
        <w:rPr/>
        <w:t> civil y militar</w:t>
      </w:r>
      <w:r>
        <w:rPr>
          <w:spacing w:val="-10"/>
        </w:rPr>
        <w:t> </w:t>
      </w:r>
      <w:r>
        <w:rPr/>
        <w:t>y</w:t>
      </w:r>
      <w:r>
        <w:rPr>
          <w:spacing w:val="-12"/>
        </w:rPr>
        <w:t> </w:t>
      </w:r>
      <w:r>
        <w:rPr/>
        <w:t>la</w:t>
      </w:r>
      <w:r>
        <w:rPr>
          <w:spacing w:val="-8"/>
        </w:rPr>
        <w:t> </w:t>
      </w:r>
      <w:hyperlink r:id="rId13">
        <w:r>
          <w:rPr/>
          <w:t>defensa</w:t>
        </w:r>
      </w:hyperlink>
      <w:r>
        <w:rPr>
          <w:spacing w:val="-7"/>
        </w:rPr>
        <w:t> </w:t>
      </w:r>
      <w:r>
        <w:rPr/>
        <w:t>del</w:t>
      </w:r>
      <w:r>
        <w:rPr>
          <w:spacing w:val="-11"/>
        </w:rPr>
        <w:t> </w:t>
      </w:r>
      <w:hyperlink r:id="rId10">
        <w:r>
          <w:rPr/>
          <w:t>Estado</w:t>
        </w:r>
      </w:hyperlink>
      <w:r>
        <w:rPr/>
        <w:t>.</w:t>
      </w:r>
      <w:r>
        <w:rPr>
          <w:spacing w:val="-9"/>
        </w:rPr>
        <w:t> </w:t>
      </w:r>
      <w:r>
        <w:rPr/>
        <w:t>Ejerce</w:t>
      </w:r>
      <w:r>
        <w:rPr>
          <w:spacing w:val="-9"/>
        </w:rPr>
        <w:t> </w:t>
      </w:r>
      <w:r>
        <w:rPr/>
        <w:t>la</w:t>
      </w:r>
      <w:r>
        <w:rPr>
          <w:spacing w:val="-11"/>
        </w:rPr>
        <w:t> </w:t>
      </w:r>
      <w:hyperlink r:id="rId14">
        <w:r>
          <w:rPr/>
          <w:t>función</w:t>
        </w:r>
      </w:hyperlink>
      <w:r>
        <w:rPr>
          <w:spacing w:val="-7"/>
        </w:rPr>
        <w:t> </w:t>
      </w:r>
      <w:r>
        <w:rPr/>
        <w:t>ejecutiva</w:t>
      </w:r>
      <w:r>
        <w:rPr>
          <w:spacing w:val="-8"/>
        </w:rPr>
        <w:t> </w:t>
      </w:r>
      <w:r>
        <w:rPr/>
        <w:t>y</w:t>
      </w:r>
      <w:r>
        <w:rPr>
          <w:spacing w:val="-9"/>
        </w:rPr>
        <w:t> </w:t>
      </w:r>
      <w:r>
        <w:rPr/>
        <w:t>reglamentaria</w:t>
      </w:r>
      <w:r>
        <w:rPr>
          <w:spacing w:val="-6"/>
        </w:rPr>
        <w:t> </w:t>
      </w:r>
      <w:hyperlink r:id="rId15">
        <w:r>
          <w:rPr/>
          <w:t>conforme</w:t>
        </w:r>
      </w:hyperlink>
      <w:r>
        <w:rPr/>
        <w:t> a la </w:t>
      </w:r>
      <w:hyperlink r:id="rId16">
        <w:r>
          <w:rPr/>
          <w:t>Constitución</w:t>
        </w:r>
      </w:hyperlink>
      <w:r>
        <w:rPr/>
        <w:t> y las leyes”. En tanto que Anaya (2014) lo define como la “acción de</w:t>
      </w:r>
      <w:r>
        <w:rPr>
          <w:spacing w:val="-6"/>
        </w:rPr>
        <w:t> </w:t>
      </w:r>
      <w:r>
        <w:rPr/>
        <w:t>gobernar”.</w:t>
      </w:r>
    </w:p>
    <w:p>
      <w:pPr>
        <w:pStyle w:val="BodyText"/>
      </w:pPr>
    </w:p>
    <w:p>
      <w:pPr>
        <w:pStyle w:val="BodyText"/>
      </w:pPr>
    </w:p>
    <w:p>
      <w:pPr>
        <w:pStyle w:val="BodyText"/>
        <w:spacing w:line="360" w:lineRule="auto" w:before="187"/>
        <w:ind w:left="122" w:right="116" w:firstLine="67"/>
        <w:jc w:val="both"/>
      </w:pPr>
      <w:r>
        <w:rPr/>
        <w:t>En este tenor, es importante mencionar que existen diversos tipos de gobierno según</w:t>
      </w:r>
      <w:r>
        <w:rPr>
          <w:spacing w:val="-4"/>
        </w:rPr>
        <w:t> </w:t>
      </w:r>
      <w:r>
        <w:rPr/>
        <w:t>las</w:t>
      </w:r>
      <w:r>
        <w:rPr>
          <w:spacing w:val="-6"/>
        </w:rPr>
        <w:t> </w:t>
      </w:r>
      <w:r>
        <w:rPr/>
        <w:t>teorías</w:t>
      </w:r>
      <w:r>
        <w:rPr>
          <w:spacing w:val="-4"/>
        </w:rPr>
        <w:t> </w:t>
      </w:r>
      <w:r>
        <w:rPr/>
        <w:t>y</w:t>
      </w:r>
      <w:r>
        <w:rPr>
          <w:spacing w:val="-7"/>
        </w:rPr>
        <w:t> </w:t>
      </w:r>
      <w:r>
        <w:rPr/>
        <w:t>autores</w:t>
      </w:r>
      <w:r>
        <w:rPr>
          <w:spacing w:val="-4"/>
        </w:rPr>
        <w:t> </w:t>
      </w:r>
      <w:r>
        <w:rPr/>
        <w:t>que</w:t>
      </w:r>
      <w:r>
        <w:rPr>
          <w:spacing w:val="-4"/>
        </w:rPr>
        <w:t> </w:t>
      </w:r>
      <w:r>
        <w:rPr/>
        <w:t>se</w:t>
      </w:r>
      <w:r>
        <w:rPr>
          <w:spacing w:val="-4"/>
        </w:rPr>
        <w:t> </w:t>
      </w:r>
      <w:r>
        <w:rPr/>
        <w:t>consulten.</w:t>
      </w:r>
      <w:r>
        <w:rPr>
          <w:spacing w:val="-6"/>
        </w:rPr>
        <w:t> </w:t>
      </w:r>
      <w:r>
        <w:rPr/>
        <w:t>Para</w:t>
      </w:r>
      <w:r>
        <w:rPr>
          <w:spacing w:val="-7"/>
        </w:rPr>
        <w:t> </w:t>
      </w:r>
      <w:r>
        <w:rPr/>
        <w:t>efectos</w:t>
      </w:r>
      <w:r>
        <w:rPr>
          <w:spacing w:val="-1"/>
        </w:rPr>
        <w:t> </w:t>
      </w:r>
      <w:r>
        <w:rPr/>
        <w:t>de</w:t>
      </w:r>
      <w:r>
        <w:rPr>
          <w:spacing w:val="-6"/>
        </w:rPr>
        <w:t> </w:t>
      </w:r>
      <w:r>
        <w:rPr/>
        <w:t>esta</w:t>
      </w:r>
      <w:r>
        <w:rPr>
          <w:spacing w:val="-5"/>
        </w:rPr>
        <w:t> </w:t>
      </w:r>
      <w:r>
        <w:rPr/>
        <w:t>investigación</w:t>
      </w:r>
      <w:r>
        <w:rPr>
          <w:spacing w:val="-3"/>
        </w:rPr>
        <w:t> </w:t>
      </w:r>
      <w:r>
        <w:rPr/>
        <w:t>se hablará solamente de los gobiernos democráticos y autoritarios, enfatizando en los primeros, ya que son la referencia para contextualizar la importancia de la transparencia dentro de un gobierno que necesita legitimarse ante quienes lo eligieron, promoviendo la apertura de los asuntos públicos al escrutinio de la sociedad.</w:t>
      </w:r>
    </w:p>
    <w:p>
      <w:pPr>
        <w:pStyle w:val="BodyText"/>
      </w:pPr>
    </w:p>
    <w:p>
      <w:pPr>
        <w:pStyle w:val="BodyText"/>
      </w:pPr>
    </w:p>
    <w:p>
      <w:pPr>
        <w:pStyle w:val="Heading1"/>
        <w:numPr>
          <w:ilvl w:val="0"/>
          <w:numId w:val="5"/>
        </w:numPr>
        <w:tabs>
          <w:tab w:pos="550" w:val="left" w:leader="none"/>
        </w:tabs>
        <w:spacing w:line="240" w:lineRule="auto" w:before="185" w:after="0"/>
        <w:ind w:left="549" w:right="0" w:hanging="360"/>
        <w:jc w:val="both"/>
      </w:pPr>
      <w:r>
        <w:rPr/>
        <w:t>Gobiernos democráticos y gobiernos</w:t>
      </w:r>
      <w:r>
        <w:rPr>
          <w:spacing w:val="-9"/>
        </w:rPr>
        <w:t> </w:t>
      </w:r>
      <w:r>
        <w:rPr/>
        <w:t>autoritarios</w:t>
      </w:r>
    </w:p>
    <w:p>
      <w:pPr>
        <w:pStyle w:val="BodyText"/>
        <w:rPr>
          <w:b/>
        </w:rPr>
      </w:pPr>
    </w:p>
    <w:p>
      <w:pPr>
        <w:pStyle w:val="BodyText"/>
        <w:rPr>
          <w:b/>
        </w:rPr>
      </w:pPr>
    </w:p>
    <w:p>
      <w:pPr>
        <w:pStyle w:val="BodyText"/>
        <w:spacing w:before="8"/>
        <w:rPr>
          <w:b/>
          <w:sz w:val="27"/>
        </w:rPr>
      </w:pPr>
    </w:p>
    <w:p>
      <w:pPr>
        <w:pStyle w:val="BodyText"/>
        <w:spacing w:line="360" w:lineRule="auto"/>
        <w:ind w:left="122" w:right="117"/>
        <w:jc w:val="both"/>
      </w:pPr>
      <w:r>
        <w:rPr/>
        <w:t>Conocer</w:t>
      </w:r>
      <w:r>
        <w:rPr>
          <w:spacing w:val="-20"/>
        </w:rPr>
        <w:t> </w:t>
      </w:r>
      <w:r>
        <w:rPr/>
        <w:t>las</w:t>
      </w:r>
      <w:r>
        <w:rPr>
          <w:spacing w:val="-19"/>
        </w:rPr>
        <w:t> </w:t>
      </w:r>
      <w:r>
        <w:rPr/>
        <w:t>características</w:t>
      </w:r>
      <w:r>
        <w:rPr>
          <w:spacing w:val="-20"/>
        </w:rPr>
        <w:t> </w:t>
      </w:r>
      <w:r>
        <w:rPr/>
        <w:t>de</w:t>
      </w:r>
      <w:r>
        <w:rPr>
          <w:spacing w:val="-19"/>
        </w:rPr>
        <w:t> </w:t>
      </w:r>
      <w:r>
        <w:rPr/>
        <w:t>un</w:t>
      </w:r>
      <w:r>
        <w:rPr>
          <w:spacing w:val="-19"/>
        </w:rPr>
        <w:t> </w:t>
      </w:r>
      <w:r>
        <w:rPr/>
        <w:t>gobierno</w:t>
      </w:r>
      <w:r>
        <w:rPr>
          <w:spacing w:val="-19"/>
        </w:rPr>
        <w:t> </w:t>
      </w:r>
      <w:r>
        <w:rPr/>
        <w:t>democrático</w:t>
      </w:r>
      <w:r>
        <w:rPr>
          <w:spacing w:val="-19"/>
        </w:rPr>
        <w:t> </w:t>
      </w:r>
      <w:r>
        <w:rPr/>
        <w:t>de</w:t>
      </w:r>
      <w:r>
        <w:rPr>
          <w:spacing w:val="-19"/>
        </w:rPr>
        <w:t> </w:t>
      </w:r>
      <w:r>
        <w:rPr/>
        <w:t>uno</w:t>
      </w:r>
      <w:r>
        <w:rPr>
          <w:spacing w:val="-19"/>
        </w:rPr>
        <w:t> </w:t>
      </w:r>
      <w:r>
        <w:rPr/>
        <w:t>que</w:t>
      </w:r>
      <w:r>
        <w:rPr>
          <w:spacing w:val="-12"/>
        </w:rPr>
        <w:t> </w:t>
      </w:r>
      <w:r>
        <w:rPr/>
        <w:t>no</w:t>
      </w:r>
      <w:r>
        <w:rPr>
          <w:spacing w:val="-19"/>
        </w:rPr>
        <w:t> </w:t>
      </w:r>
      <w:r>
        <w:rPr/>
        <w:t>lo</w:t>
      </w:r>
      <w:r>
        <w:rPr>
          <w:spacing w:val="-19"/>
        </w:rPr>
        <w:t> </w:t>
      </w:r>
      <w:r>
        <w:rPr/>
        <w:t>es,</w:t>
      </w:r>
      <w:r>
        <w:rPr>
          <w:spacing w:val="-19"/>
        </w:rPr>
        <w:t> </w:t>
      </w:r>
      <w:r>
        <w:rPr/>
        <w:t>permite justificar cómo la transparencia es parte fundamental del primero y la opacidad del segundo.</w:t>
      </w:r>
      <w:r>
        <w:rPr>
          <w:spacing w:val="-6"/>
        </w:rPr>
        <w:t> </w:t>
      </w:r>
      <w:r>
        <w:rPr/>
        <w:t>Debido</w:t>
      </w:r>
      <w:r>
        <w:rPr>
          <w:spacing w:val="-8"/>
        </w:rPr>
        <w:t> </w:t>
      </w:r>
      <w:r>
        <w:rPr/>
        <w:t>a</w:t>
      </w:r>
      <w:r>
        <w:rPr>
          <w:spacing w:val="-6"/>
        </w:rPr>
        <w:t> </w:t>
      </w:r>
      <w:r>
        <w:rPr/>
        <w:t>que,</w:t>
      </w:r>
      <w:r>
        <w:rPr>
          <w:spacing w:val="-6"/>
        </w:rPr>
        <w:t> </w:t>
      </w:r>
      <w:r>
        <w:rPr/>
        <w:t>de</w:t>
      </w:r>
      <w:r>
        <w:rPr>
          <w:spacing w:val="-6"/>
        </w:rPr>
        <w:t> </w:t>
      </w:r>
      <w:r>
        <w:rPr/>
        <w:t>acuerdo</w:t>
      </w:r>
      <w:r>
        <w:rPr>
          <w:spacing w:val="-6"/>
        </w:rPr>
        <w:t> </w:t>
      </w:r>
      <w:r>
        <w:rPr/>
        <w:t>con</w:t>
      </w:r>
      <w:r>
        <w:rPr>
          <w:spacing w:val="-8"/>
        </w:rPr>
        <w:t> </w:t>
      </w:r>
      <w:r>
        <w:rPr/>
        <w:t>Linz</w:t>
      </w:r>
      <w:r>
        <w:rPr>
          <w:spacing w:val="-9"/>
        </w:rPr>
        <w:t> </w:t>
      </w:r>
      <w:r>
        <w:rPr/>
        <w:t>(2001),</w:t>
      </w:r>
      <w:r>
        <w:rPr>
          <w:spacing w:val="-6"/>
        </w:rPr>
        <w:t> </w:t>
      </w:r>
      <w:r>
        <w:rPr/>
        <w:t>los</w:t>
      </w:r>
      <w:r>
        <w:rPr>
          <w:spacing w:val="-7"/>
        </w:rPr>
        <w:t> </w:t>
      </w:r>
      <w:r>
        <w:rPr/>
        <w:t>regímenes</w:t>
      </w:r>
      <w:r>
        <w:rPr>
          <w:spacing w:val="-9"/>
        </w:rPr>
        <w:t> </w:t>
      </w:r>
      <w:r>
        <w:rPr/>
        <w:t>autoritarios</w:t>
      </w:r>
      <w:r>
        <w:rPr>
          <w:spacing w:val="-7"/>
        </w:rPr>
        <w:t> </w:t>
      </w:r>
      <w:r>
        <w:rPr/>
        <w:t>son sistemas políticos con un pluralismo político limitado, no responsable; sin una ideología elaborada y directora, carentes de una movilización política intensa y en los</w:t>
      </w:r>
      <w:r>
        <w:rPr>
          <w:spacing w:val="-4"/>
        </w:rPr>
        <w:t> </w:t>
      </w:r>
      <w:r>
        <w:rPr/>
        <w:t>que</w:t>
      </w:r>
      <w:r>
        <w:rPr>
          <w:spacing w:val="-4"/>
        </w:rPr>
        <w:t> </w:t>
      </w:r>
      <w:r>
        <w:rPr/>
        <w:t>un</w:t>
      </w:r>
      <w:r>
        <w:rPr>
          <w:spacing w:val="-6"/>
        </w:rPr>
        <w:t> </w:t>
      </w:r>
      <w:r>
        <w:rPr/>
        <w:t>líder,</w:t>
      </w:r>
      <w:r>
        <w:rPr>
          <w:spacing w:val="-5"/>
        </w:rPr>
        <w:t> </w:t>
      </w:r>
      <w:r>
        <w:rPr/>
        <w:t>o</w:t>
      </w:r>
      <w:r>
        <w:rPr>
          <w:spacing w:val="-4"/>
        </w:rPr>
        <w:t> </w:t>
      </w:r>
      <w:r>
        <w:rPr/>
        <w:t>un</w:t>
      </w:r>
      <w:r>
        <w:rPr>
          <w:spacing w:val="-4"/>
        </w:rPr>
        <w:t> </w:t>
      </w:r>
      <w:r>
        <w:rPr/>
        <w:t>grupo</w:t>
      </w:r>
      <w:r>
        <w:rPr>
          <w:spacing w:val="-4"/>
        </w:rPr>
        <w:t> </w:t>
      </w:r>
      <w:r>
        <w:rPr/>
        <w:t>reducido,</w:t>
      </w:r>
      <w:r>
        <w:rPr>
          <w:spacing w:val="-4"/>
        </w:rPr>
        <w:t> </w:t>
      </w:r>
      <w:r>
        <w:rPr/>
        <w:t>ejerce</w:t>
      </w:r>
      <w:r>
        <w:rPr>
          <w:spacing w:val="-6"/>
        </w:rPr>
        <w:t> </w:t>
      </w:r>
      <w:r>
        <w:rPr/>
        <w:t>el</w:t>
      </w:r>
      <w:r>
        <w:rPr>
          <w:spacing w:val="-5"/>
        </w:rPr>
        <w:t> </w:t>
      </w:r>
      <w:r>
        <w:rPr/>
        <w:t>poder</w:t>
      </w:r>
      <w:r>
        <w:rPr>
          <w:spacing w:val="-7"/>
        </w:rPr>
        <w:t> </w:t>
      </w:r>
      <w:r>
        <w:rPr/>
        <w:t>dentro</w:t>
      </w:r>
      <w:r>
        <w:rPr>
          <w:spacing w:val="-4"/>
        </w:rPr>
        <w:t> </w:t>
      </w:r>
      <w:r>
        <w:rPr/>
        <w:t>de</w:t>
      </w:r>
      <w:r>
        <w:rPr>
          <w:spacing w:val="-4"/>
        </w:rPr>
        <w:t> </w:t>
      </w:r>
      <w:r>
        <w:rPr/>
        <w:t>límites</w:t>
      </w:r>
      <w:r>
        <w:rPr>
          <w:spacing w:val="-4"/>
        </w:rPr>
        <w:t> </w:t>
      </w:r>
      <w:r>
        <w:rPr/>
        <w:t>del</w:t>
      </w:r>
      <w:r>
        <w:rPr>
          <w:spacing w:val="-5"/>
        </w:rPr>
        <w:t> </w:t>
      </w:r>
      <w:r>
        <w:rPr/>
        <w:t>territorio. Es</w:t>
      </w:r>
      <w:r>
        <w:rPr>
          <w:spacing w:val="-17"/>
        </w:rPr>
        <w:t> </w:t>
      </w:r>
      <w:r>
        <w:rPr/>
        <w:t>por</w:t>
      </w:r>
      <w:r>
        <w:rPr>
          <w:spacing w:val="-18"/>
        </w:rPr>
        <w:t> </w:t>
      </w:r>
      <w:r>
        <w:rPr/>
        <w:t>esta</w:t>
      </w:r>
      <w:r>
        <w:rPr>
          <w:spacing w:val="-17"/>
        </w:rPr>
        <w:t> </w:t>
      </w:r>
      <w:r>
        <w:rPr/>
        <w:t>situación</w:t>
      </w:r>
      <w:r>
        <w:rPr>
          <w:spacing w:val="-16"/>
        </w:rPr>
        <w:t> </w:t>
      </w:r>
      <w:r>
        <w:rPr/>
        <w:t>que</w:t>
      </w:r>
      <w:r>
        <w:rPr>
          <w:spacing w:val="-17"/>
        </w:rPr>
        <w:t> </w:t>
      </w:r>
      <w:r>
        <w:rPr/>
        <w:t>presentan</w:t>
      </w:r>
      <w:r>
        <w:rPr>
          <w:spacing w:val="-17"/>
        </w:rPr>
        <w:t> </w:t>
      </w:r>
      <w:r>
        <w:rPr/>
        <w:t>grandes</w:t>
      </w:r>
      <w:r>
        <w:rPr>
          <w:spacing w:val="-20"/>
        </w:rPr>
        <w:t> </w:t>
      </w:r>
      <w:r>
        <w:rPr/>
        <w:t>desventajas,</w:t>
      </w:r>
      <w:r>
        <w:rPr>
          <w:spacing w:val="-19"/>
        </w:rPr>
        <w:t> </w:t>
      </w:r>
      <w:r>
        <w:rPr/>
        <w:t>tales</w:t>
      </w:r>
      <w:r>
        <w:rPr>
          <w:spacing w:val="-17"/>
        </w:rPr>
        <w:t> </w:t>
      </w:r>
      <w:r>
        <w:rPr/>
        <w:t>como</w:t>
      </w:r>
      <w:r>
        <w:rPr>
          <w:spacing w:val="-17"/>
        </w:rPr>
        <w:t> </w:t>
      </w:r>
      <w:r>
        <w:rPr/>
        <w:t>las</w:t>
      </w:r>
      <w:r>
        <w:rPr>
          <w:spacing w:val="-17"/>
        </w:rPr>
        <w:t> </w:t>
      </w:r>
      <w:r>
        <w:rPr/>
        <w:t>siguientes:</w:t>
      </w:r>
    </w:p>
    <w:p>
      <w:pPr>
        <w:spacing w:after="0" w:line="360" w:lineRule="auto"/>
        <w:jc w:val="both"/>
        <w:sectPr>
          <w:pgSz w:w="12240" w:h="15840"/>
          <w:pgMar w:header="0" w:footer="975" w:top="1360" w:bottom="1220" w:left="1580" w:right="1580"/>
        </w:sectPr>
      </w:pPr>
    </w:p>
    <w:p>
      <w:pPr>
        <w:pStyle w:val="BodyText"/>
        <w:rPr>
          <w:sz w:val="20"/>
        </w:rPr>
      </w:pPr>
    </w:p>
    <w:p>
      <w:pPr>
        <w:pStyle w:val="BodyText"/>
        <w:spacing w:before="10"/>
        <w:rPr>
          <w:sz w:val="16"/>
        </w:rPr>
      </w:pPr>
    </w:p>
    <w:p>
      <w:pPr>
        <w:pStyle w:val="ListParagraph"/>
        <w:numPr>
          <w:ilvl w:val="1"/>
          <w:numId w:val="5"/>
        </w:numPr>
        <w:tabs>
          <w:tab w:pos="953" w:val="left" w:leader="none"/>
          <w:tab w:pos="954" w:val="left" w:leader="none"/>
        </w:tabs>
        <w:spacing w:line="240" w:lineRule="auto" w:before="67" w:after="0"/>
        <w:ind w:left="954" w:right="0" w:hanging="492"/>
        <w:jc w:val="left"/>
        <w:rPr>
          <w:rFonts w:ascii="Symbol" w:hAnsi="Symbol"/>
          <w:sz w:val="18"/>
        </w:rPr>
      </w:pPr>
      <w:r>
        <w:rPr>
          <w:sz w:val="18"/>
        </w:rPr>
        <w:t>Poca o nula participación de los ciudadanos en los asuntos de</w:t>
      </w:r>
      <w:r>
        <w:rPr>
          <w:spacing w:val="-27"/>
          <w:sz w:val="18"/>
        </w:rPr>
        <w:t> </w:t>
      </w:r>
      <w:r>
        <w:rPr>
          <w:sz w:val="18"/>
        </w:rPr>
        <w:t>gobierno.</w:t>
      </w:r>
    </w:p>
    <w:p>
      <w:pPr>
        <w:pStyle w:val="ListParagraph"/>
        <w:numPr>
          <w:ilvl w:val="1"/>
          <w:numId w:val="5"/>
        </w:numPr>
        <w:tabs>
          <w:tab w:pos="953" w:val="left" w:leader="none"/>
          <w:tab w:pos="954" w:val="left" w:leader="none"/>
        </w:tabs>
        <w:spacing w:line="240" w:lineRule="auto" w:before="29" w:after="0"/>
        <w:ind w:left="954" w:right="0" w:hanging="492"/>
        <w:jc w:val="left"/>
        <w:rPr>
          <w:rFonts w:ascii="Symbol" w:hAnsi="Symbol"/>
          <w:sz w:val="18"/>
        </w:rPr>
      </w:pPr>
      <w:r>
        <w:rPr>
          <w:sz w:val="18"/>
        </w:rPr>
        <w:t>Movilidad política y económica</w:t>
      </w:r>
      <w:r>
        <w:rPr>
          <w:spacing w:val="-21"/>
          <w:sz w:val="18"/>
        </w:rPr>
        <w:t> </w:t>
      </w:r>
      <w:r>
        <w:rPr>
          <w:sz w:val="18"/>
        </w:rPr>
        <w:t>limitada.</w:t>
      </w:r>
    </w:p>
    <w:p>
      <w:pPr>
        <w:pStyle w:val="ListParagraph"/>
        <w:numPr>
          <w:ilvl w:val="1"/>
          <w:numId w:val="5"/>
        </w:numPr>
        <w:tabs>
          <w:tab w:pos="953" w:val="left" w:leader="none"/>
          <w:tab w:pos="954" w:val="left" w:leader="none"/>
        </w:tabs>
        <w:spacing w:line="240" w:lineRule="auto" w:before="29" w:after="0"/>
        <w:ind w:left="954" w:right="0" w:hanging="492"/>
        <w:jc w:val="left"/>
        <w:rPr>
          <w:rFonts w:ascii="Symbol" w:hAnsi="Symbol"/>
          <w:sz w:val="18"/>
        </w:rPr>
      </w:pPr>
      <w:r>
        <w:rPr>
          <w:sz w:val="18"/>
        </w:rPr>
        <w:t>Restricción de pensamiento libre y de instituciones que ejerzan su libre</w:t>
      </w:r>
      <w:r>
        <w:rPr>
          <w:spacing w:val="-35"/>
          <w:sz w:val="18"/>
        </w:rPr>
        <w:t> </w:t>
      </w:r>
      <w:r>
        <w:rPr>
          <w:sz w:val="18"/>
        </w:rPr>
        <w:t>albedrio.</w:t>
      </w:r>
    </w:p>
    <w:p>
      <w:pPr>
        <w:pStyle w:val="ListParagraph"/>
        <w:numPr>
          <w:ilvl w:val="1"/>
          <w:numId w:val="5"/>
        </w:numPr>
        <w:tabs>
          <w:tab w:pos="953" w:val="left" w:leader="none"/>
          <w:tab w:pos="954" w:val="left" w:leader="none"/>
        </w:tabs>
        <w:spacing w:line="273" w:lineRule="auto" w:before="29" w:after="0"/>
        <w:ind w:left="954" w:right="882" w:hanging="492"/>
        <w:jc w:val="left"/>
        <w:rPr>
          <w:rFonts w:ascii="Symbol" w:hAnsi="Symbol"/>
          <w:sz w:val="18"/>
        </w:rPr>
      </w:pPr>
      <w:r>
        <w:rPr>
          <w:sz w:val="18"/>
        </w:rPr>
        <w:t>Alta burocratización en las estructuras de gobierno que a veces imposibilitan a los individuos a finalizar sus</w:t>
      </w:r>
      <w:r>
        <w:rPr>
          <w:spacing w:val="-17"/>
          <w:sz w:val="18"/>
        </w:rPr>
        <w:t> </w:t>
      </w:r>
      <w:r>
        <w:rPr>
          <w:sz w:val="18"/>
        </w:rPr>
        <w:t>trámites.</w:t>
      </w:r>
    </w:p>
    <w:p>
      <w:pPr>
        <w:pStyle w:val="ListParagraph"/>
        <w:numPr>
          <w:ilvl w:val="1"/>
          <w:numId w:val="5"/>
        </w:numPr>
        <w:tabs>
          <w:tab w:pos="953" w:val="left" w:leader="none"/>
          <w:tab w:pos="954" w:val="left" w:leader="none"/>
        </w:tabs>
        <w:spacing w:line="271" w:lineRule="auto" w:before="2" w:after="0"/>
        <w:ind w:left="954" w:right="880" w:hanging="492"/>
        <w:jc w:val="left"/>
        <w:rPr>
          <w:rFonts w:ascii="Symbol" w:hAnsi="Symbol"/>
          <w:sz w:val="18"/>
        </w:rPr>
      </w:pPr>
      <w:r>
        <w:rPr>
          <w:sz w:val="18"/>
        </w:rPr>
        <w:t>No</w:t>
      </w:r>
      <w:r>
        <w:rPr>
          <w:spacing w:val="-4"/>
          <w:sz w:val="18"/>
        </w:rPr>
        <w:t> </w:t>
      </w:r>
      <w:r>
        <w:rPr>
          <w:sz w:val="18"/>
        </w:rPr>
        <w:t>hay</w:t>
      </w:r>
      <w:r>
        <w:rPr>
          <w:spacing w:val="-8"/>
          <w:sz w:val="18"/>
        </w:rPr>
        <w:t> </w:t>
      </w:r>
      <w:r>
        <w:rPr>
          <w:sz w:val="18"/>
        </w:rPr>
        <w:t>mecanismos</w:t>
      </w:r>
      <w:r>
        <w:rPr>
          <w:spacing w:val="-6"/>
          <w:sz w:val="18"/>
        </w:rPr>
        <w:t> </w:t>
      </w:r>
      <w:r>
        <w:rPr>
          <w:sz w:val="18"/>
        </w:rPr>
        <w:t>u</w:t>
      </w:r>
      <w:r>
        <w:rPr>
          <w:spacing w:val="-4"/>
          <w:sz w:val="18"/>
        </w:rPr>
        <w:t> </w:t>
      </w:r>
      <w:r>
        <w:rPr>
          <w:sz w:val="18"/>
        </w:rPr>
        <w:t>otros</w:t>
      </w:r>
      <w:r>
        <w:rPr>
          <w:spacing w:val="-6"/>
          <w:sz w:val="18"/>
        </w:rPr>
        <w:t> </w:t>
      </w:r>
      <w:r>
        <w:rPr>
          <w:sz w:val="18"/>
        </w:rPr>
        <w:t>poderes</w:t>
      </w:r>
      <w:r>
        <w:rPr>
          <w:spacing w:val="-4"/>
          <w:sz w:val="18"/>
        </w:rPr>
        <w:t> </w:t>
      </w:r>
      <w:r>
        <w:rPr>
          <w:sz w:val="18"/>
        </w:rPr>
        <w:t>que</w:t>
      </w:r>
      <w:r>
        <w:rPr>
          <w:spacing w:val="-6"/>
          <w:sz w:val="18"/>
        </w:rPr>
        <w:t> </w:t>
      </w:r>
      <w:r>
        <w:rPr>
          <w:sz w:val="18"/>
        </w:rPr>
        <w:t>limiten</w:t>
      </w:r>
      <w:r>
        <w:rPr>
          <w:spacing w:val="-4"/>
          <w:sz w:val="18"/>
        </w:rPr>
        <w:t> </w:t>
      </w:r>
      <w:r>
        <w:rPr>
          <w:sz w:val="18"/>
        </w:rPr>
        <w:t>a</w:t>
      </w:r>
      <w:r>
        <w:rPr>
          <w:spacing w:val="-6"/>
          <w:sz w:val="18"/>
        </w:rPr>
        <w:t> </w:t>
      </w:r>
      <w:r>
        <w:rPr>
          <w:sz w:val="18"/>
        </w:rPr>
        <w:t>los</w:t>
      </w:r>
      <w:r>
        <w:rPr>
          <w:spacing w:val="-6"/>
          <w:sz w:val="18"/>
        </w:rPr>
        <w:t> </w:t>
      </w:r>
      <w:r>
        <w:rPr>
          <w:sz w:val="18"/>
        </w:rPr>
        <w:t>gobernantes</w:t>
      </w:r>
      <w:r>
        <w:rPr>
          <w:spacing w:val="-6"/>
          <w:sz w:val="18"/>
        </w:rPr>
        <w:t> </w:t>
      </w:r>
      <w:r>
        <w:rPr>
          <w:sz w:val="18"/>
        </w:rPr>
        <w:t>a</w:t>
      </w:r>
      <w:r>
        <w:rPr>
          <w:spacing w:val="-4"/>
          <w:sz w:val="18"/>
        </w:rPr>
        <w:t> </w:t>
      </w:r>
      <w:r>
        <w:rPr>
          <w:sz w:val="18"/>
        </w:rPr>
        <w:t>que</w:t>
      </w:r>
      <w:r>
        <w:rPr>
          <w:spacing w:val="-6"/>
          <w:sz w:val="18"/>
        </w:rPr>
        <w:t> </w:t>
      </w:r>
      <w:r>
        <w:rPr>
          <w:sz w:val="18"/>
        </w:rPr>
        <w:t>hagan</w:t>
      </w:r>
      <w:r>
        <w:rPr>
          <w:spacing w:val="-6"/>
          <w:sz w:val="18"/>
        </w:rPr>
        <w:t> </w:t>
      </w:r>
      <w:r>
        <w:rPr>
          <w:sz w:val="18"/>
        </w:rPr>
        <w:t>su</w:t>
      </w:r>
      <w:r>
        <w:rPr>
          <w:spacing w:val="-6"/>
          <w:sz w:val="18"/>
        </w:rPr>
        <w:t> </w:t>
      </w:r>
      <w:r>
        <w:rPr>
          <w:sz w:val="18"/>
        </w:rPr>
        <w:t>agenda política sin</w:t>
      </w:r>
      <w:r>
        <w:rPr>
          <w:spacing w:val="-11"/>
          <w:sz w:val="18"/>
        </w:rPr>
        <w:t> </w:t>
      </w:r>
      <w:r>
        <w:rPr>
          <w:sz w:val="18"/>
        </w:rPr>
        <w:t>interferencia.</w:t>
      </w:r>
    </w:p>
    <w:p>
      <w:pPr>
        <w:pStyle w:val="ListParagraph"/>
        <w:numPr>
          <w:ilvl w:val="1"/>
          <w:numId w:val="5"/>
        </w:numPr>
        <w:tabs>
          <w:tab w:pos="953" w:val="left" w:leader="none"/>
          <w:tab w:pos="954" w:val="left" w:leader="none"/>
        </w:tabs>
        <w:spacing w:line="271" w:lineRule="auto" w:before="4" w:after="0"/>
        <w:ind w:left="954" w:right="882" w:hanging="492"/>
        <w:jc w:val="left"/>
        <w:rPr>
          <w:rFonts w:ascii="Symbol"/>
          <w:sz w:val="18"/>
        </w:rPr>
      </w:pPr>
      <w:r>
        <w:rPr>
          <w:sz w:val="18"/>
        </w:rPr>
        <w:t>Ausencia de la responsabilidad de las autoridades gubernamentales de dar resultados positivos a los</w:t>
      </w:r>
      <w:r>
        <w:rPr>
          <w:spacing w:val="-12"/>
          <w:sz w:val="18"/>
        </w:rPr>
        <w:t> </w:t>
      </w:r>
      <w:r>
        <w:rPr>
          <w:sz w:val="18"/>
        </w:rPr>
        <w:t>individuos.</w:t>
      </w:r>
    </w:p>
    <w:p>
      <w:pPr>
        <w:pStyle w:val="ListParagraph"/>
        <w:numPr>
          <w:ilvl w:val="1"/>
          <w:numId w:val="5"/>
        </w:numPr>
        <w:tabs>
          <w:tab w:pos="953" w:val="left" w:leader="none"/>
          <w:tab w:pos="954" w:val="left" w:leader="none"/>
        </w:tabs>
        <w:spacing w:line="271" w:lineRule="auto" w:before="6" w:after="0"/>
        <w:ind w:left="954" w:right="872" w:hanging="492"/>
        <w:jc w:val="left"/>
        <w:rPr>
          <w:rFonts w:ascii="Symbol" w:hAnsi="Symbol"/>
          <w:sz w:val="18"/>
        </w:rPr>
      </w:pPr>
      <w:r>
        <w:rPr>
          <w:sz w:val="18"/>
        </w:rPr>
        <w:t>Las acciones políticas están limitadas a los criterios de expresión política establecidos por las autoridades (Linz,</w:t>
      </w:r>
      <w:r>
        <w:rPr>
          <w:spacing w:val="-15"/>
          <w:sz w:val="18"/>
        </w:rPr>
        <w:t> </w:t>
      </w:r>
      <w:r>
        <w:rPr>
          <w:sz w:val="18"/>
        </w:rPr>
        <w:t>2001:14).</w:t>
      </w:r>
    </w:p>
    <w:p>
      <w:pPr>
        <w:pStyle w:val="BodyText"/>
        <w:rPr>
          <w:sz w:val="18"/>
        </w:rPr>
      </w:pPr>
    </w:p>
    <w:p>
      <w:pPr>
        <w:pStyle w:val="BodyText"/>
        <w:rPr>
          <w:sz w:val="18"/>
        </w:rPr>
      </w:pPr>
    </w:p>
    <w:p>
      <w:pPr>
        <w:pStyle w:val="BodyText"/>
        <w:rPr>
          <w:sz w:val="18"/>
        </w:rPr>
      </w:pPr>
    </w:p>
    <w:p>
      <w:pPr>
        <w:pStyle w:val="BodyText"/>
        <w:spacing w:line="360" w:lineRule="auto" w:before="156"/>
        <w:ind w:left="102" w:right="118"/>
        <w:jc w:val="both"/>
      </w:pPr>
      <w:r>
        <w:rPr/>
        <w:t>Estas desventajas de los gobiernos autoritarios parecieran ser un escenario para poder</w:t>
      </w:r>
      <w:r>
        <w:rPr>
          <w:spacing w:val="-17"/>
        </w:rPr>
        <w:t> </w:t>
      </w:r>
      <w:r>
        <w:rPr/>
        <w:t>fortalecer</w:t>
      </w:r>
      <w:r>
        <w:rPr>
          <w:spacing w:val="-17"/>
        </w:rPr>
        <w:t> </w:t>
      </w:r>
      <w:r>
        <w:rPr/>
        <w:t>el</w:t>
      </w:r>
      <w:r>
        <w:rPr>
          <w:spacing w:val="-14"/>
        </w:rPr>
        <w:t> </w:t>
      </w:r>
      <w:r>
        <w:rPr/>
        <w:t>secreto</w:t>
      </w:r>
      <w:r>
        <w:rPr>
          <w:spacing w:val="-15"/>
        </w:rPr>
        <w:t> </w:t>
      </w:r>
      <w:r>
        <w:rPr/>
        <w:t>de</w:t>
      </w:r>
      <w:r>
        <w:rPr>
          <w:spacing w:val="-15"/>
        </w:rPr>
        <w:t> </w:t>
      </w:r>
      <w:r>
        <w:rPr/>
        <w:t>estado,</w:t>
      </w:r>
      <w:r>
        <w:rPr>
          <w:spacing w:val="-16"/>
        </w:rPr>
        <w:t> </w:t>
      </w:r>
      <w:r>
        <w:rPr/>
        <w:t>el</w:t>
      </w:r>
      <w:r>
        <w:rPr>
          <w:spacing w:val="-17"/>
        </w:rPr>
        <w:t> </w:t>
      </w:r>
      <w:r>
        <w:rPr/>
        <w:t>despotismo</w:t>
      </w:r>
      <w:r>
        <w:rPr>
          <w:spacing w:val="-15"/>
        </w:rPr>
        <w:t> </w:t>
      </w:r>
      <w:r>
        <w:rPr/>
        <w:t>de</w:t>
      </w:r>
      <w:r>
        <w:rPr>
          <w:spacing w:val="-15"/>
        </w:rPr>
        <w:t> </w:t>
      </w:r>
      <w:r>
        <w:rPr/>
        <w:t>los</w:t>
      </w:r>
      <w:r>
        <w:rPr>
          <w:spacing w:val="-16"/>
        </w:rPr>
        <w:t> </w:t>
      </w:r>
      <w:r>
        <w:rPr/>
        <w:t>gobernantes,</w:t>
      </w:r>
      <w:r>
        <w:rPr>
          <w:spacing w:val="-13"/>
        </w:rPr>
        <w:t> </w:t>
      </w:r>
      <w:r>
        <w:rPr/>
        <w:t>la</w:t>
      </w:r>
      <w:r>
        <w:rPr>
          <w:spacing w:val="-16"/>
        </w:rPr>
        <w:t> </w:t>
      </w:r>
      <w:r>
        <w:rPr/>
        <w:t>opacidad en los asuntos gubernamentales, la no participación de la sociedad en asuntos de interés público y la intolerancia a la diversidad de opiniones. Características semejantes a las de una sociedad cerrada en términos de Popper</w:t>
      </w:r>
      <w:r>
        <w:rPr>
          <w:spacing w:val="-24"/>
        </w:rPr>
        <w:t> </w:t>
      </w:r>
      <w:r>
        <w:rPr/>
        <w:t>(1945).</w:t>
      </w:r>
    </w:p>
    <w:p>
      <w:pPr>
        <w:pStyle w:val="BodyText"/>
      </w:pPr>
    </w:p>
    <w:p>
      <w:pPr>
        <w:pStyle w:val="BodyText"/>
      </w:pPr>
    </w:p>
    <w:p>
      <w:pPr>
        <w:pStyle w:val="BodyText"/>
        <w:spacing w:line="360" w:lineRule="auto" w:before="187"/>
        <w:ind w:left="102" w:right="126"/>
        <w:jc w:val="both"/>
      </w:pPr>
      <w:r>
        <w:rPr/>
        <w:t>Por su parte, los sistemas democráticos son la parte antagónica del autoritarismo. Sin embargo, para que estos gobiernos se desarrollen es necesario que cumplan con ciertas características tales como las siguientes:</w:t>
      </w:r>
    </w:p>
    <w:p>
      <w:pPr>
        <w:pStyle w:val="BodyText"/>
      </w:pPr>
    </w:p>
    <w:p>
      <w:pPr>
        <w:pStyle w:val="ListParagraph"/>
        <w:numPr>
          <w:ilvl w:val="1"/>
          <w:numId w:val="5"/>
        </w:numPr>
        <w:tabs>
          <w:tab w:pos="821" w:val="left" w:leader="none"/>
          <w:tab w:pos="822" w:val="left" w:leader="none"/>
        </w:tabs>
        <w:spacing w:line="240" w:lineRule="auto" w:before="162" w:after="0"/>
        <w:ind w:left="822" w:right="0" w:hanging="360"/>
        <w:jc w:val="left"/>
        <w:rPr>
          <w:rFonts w:ascii="Symbol"/>
          <w:sz w:val="24"/>
        </w:rPr>
      </w:pPr>
      <w:r>
        <w:rPr>
          <w:sz w:val="24"/>
        </w:rPr>
        <w:t>Liderazgo</w:t>
      </w:r>
      <w:r>
        <w:rPr>
          <w:spacing w:val="-6"/>
          <w:sz w:val="24"/>
        </w:rPr>
        <w:t> </w:t>
      </w:r>
      <w:r>
        <w:rPr>
          <w:sz w:val="24"/>
        </w:rPr>
        <w:t>apropiado.</w:t>
      </w:r>
    </w:p>
    <w:p>
      <w:pPr>
        <w:pStyle w:val="ListParagraph"/>
        <w:numPr>
          <w:ilvl w:val="1"/>
          <w:numId w:val="5"/>
        </w:numPr>
        <w:tabs>
          <w:tab w:pos="821" w:val="left" w:leader="none"/>
          <w:tab w:pos="822" w:val="left" w:leader="none"/>
        </w:tabs>
        <w:spacing w:line="273" w:lineRule="auto" w:before="39" w:after="0"/>
        <w:ind w:left="822" w:right="118" w:hanging="360"/>
        <w:jc w:val="left"/>
        <w:rPr>
          <w:rFonts w:ascii="Symbol" w:hAnsi="Symbol"/>
          <w:sz w:val="24"/>
        </w:rPr>
      </w:pPr>
      <w:r>
        <w:rPr>
          <w:sz w:val="24"/>
        </w:rPr>
        <w:t>El rango efectivo de las decisiones políticas no debe extenderse demasiado lejos.</w:t>
      </w:r>
    </w:p>
    <w:p>
      <w:pPr>
        <w:pStyle w:val="ListParagraph"/>
        <w:numPr>
          <w:ilvl w:val="1"/>
          <w:numId w:val="5"/>
        </w:numPr>
        <w:tabs>
          <w:tab w:pos="821" w:val="left" w:leader="none"/>
          <w:tab w:pos="822" w:val="left" w:leader="none"/>
        </w:tabs>
        <w:spacing w:line="273" w:lineRule="auto" w:before="1" w:after="0"/>
        <w:ind w:left="822" w:right="125" w:hanging="360"/>
        <w:jc w:val="left"/>
        <w:rPr>
          <w:rFonts w:ascii="Symbol" w:hAnsi="Symbol"/>
          <w:sz w:val="24"/>
        </w:rPr>
      </w:pPr>
      <w:r>
        <w:rPr>
          <w:sz w:val="24"/>
        </w:rPr>
        <w:t>La existencia de una burocracia capaz con tradición y precedente, que establezca un sentimiento fuerte de responsabilidad y de</w:t>
      </w:r>
      <w:r>
        <w:rPr>
          <w:spacing w:val="-23"/>
          <w:sz w:val="24"/>
        </w:rPr>
        <w:t> </w:t>
      </w:r>
      <w:r>
        <w:rPr>
          <w:sz w:val="24"/>
        </w:rPr>
        <w:t>lealtad.</w:t>
      </w:r>
    </w:p>
    <w:p>
      <w:pPr>
        <w:pStyle w:val="ListParagraph"/>
        <w:numPr>
          <w:ilvl w:val="1"/>
          <w:numId w:val="5"/>
        </w:numPr>
        <w:tabs>
          <w:tab w:pos="821" w:val="left" w:leader="none"/>
          <w:tab w:pos="822" w:val="left" w:leader="none"/>
        </w:tabs>
        <w:spacing w:line="273" w:lineRule="auto" w:before="1" w:after="0"/>
        <w:ind w:left="822" w:right="117" w:hanging="360"/>
        <w:jc w:val="left"/>
        <w:rPr>
          <w:rFonts w:ascii="Symbol" w:hAnsi="Symbol"/>
          <w:sz w:val="24"/>
        </w:rPr>
      </w:pPr>
      <w:r>
        <w:rPr>
          <w:sz w:val="24"/>
        </w:rPr>
        <w:t>Líderes</w:t>
      </w:r>
      <w:r>
        <w:rPr>
          <w:spacing w:val="-10"/>
          <w:sz w:val="24"/>
        </w:rPr>
        <w:t> </w:t>
      </w:r>
      <w:r>
        <w:rPr>
          <w:sz w:val="24"/>
        </w:rPr>
        <w:t>políticos</w:t>
      </w:r>
      <w:r>
        <w:rPr>
          <w:spacing w:val="-8"/>
          <w:sz w:val="24"/>
        </w:rPr>
        <w:t> </w:t>
      </w:r>
      <w:r>
        <w:rPr>
          <w:sz w:val="24"/>
        </w:rPr>
        <w:t>deberán</w:t>
      </w:r>
      <w:r>
        <w:rPr>
          <w:spacing w:val="-7"/>
          <w:sz w:val="24"/>
        </w:rPr>
        <w:t> </w:t>
      </w:r>
      <w:r>
        <w:rPr>
          <w:sz w:val="24"/>
        </w:rPr>
        <w:t>llevar</w:t>
      </w:r>
      <w:r>
        <w:rPr>
          <w:spacing w:val="-11"/>
          <w:sz w:val="24"/>
        </w:rPr>
        <w:t> </w:t>
      </w:r>
      <w:r>
        <w:rPr>
          <w:sz w:val="24"/>
        </w:rPr>
        <w:t>a</w:t>
      </w:r>
      <w:r>
        <w:rPr>
          <w:spacing w:val="-7"/>
          <w:sz w:val="24"/>
        </w:rPr>
        <w:t> </w:t>
      </w:r>
      <w:r>
        <w:rPr>
          <w:sz w:val="24"/>
        </w:rPr>
        <w:t>cabo</w:t>
      </w:r>
      <w:r>
        <w:rPr>
          <w:spacing w:val="-12"/>
          <w:sz w:val="24"/>
        </w:rPr>
        <w:t> </w:t>
      </w:r>
      <w:r>
        <w:rPr>
          <w:sz w:val="24"/>
        </w:rPr>
        <w:t>prácticas</w:t>
      </w:r>
      <w:r>
        <w:rPr>
          <w:spacing w:val="-8"/>
          <w:sz w:val="24"/>
        </w:rPr>
        <w:t> </w:t>
      </w:r>
      <w:r>
        <w:rPr>
          <w:sz w:val="24"/>
        </w:rPr>
        <w:t>de</w:t>
      </w:r>
      <w:r>
        <w:rPr>
          <w:spacing w:val="-9"/>
          <w:sz w:val="24"/>
        </w:rPr>
        <w:t> </w:t>
      </w:r>
      <w:r>
        <w:rPr>
          <w:sz w:val="24"/>
        </w:rPr>
        <w:t>auto</w:t>
      </w:r>
      <w:r>
        <w:rPr>
          <w:spacing w:val="-9"/>
          <w:sz w:val="24"/>
        </w:rPr>
        <w:t> </w:t>
      </w:r>
      <w:r>
        <w:rPr>
          <w:sz w:val="24"/>
        </w:rPr>
        <w:t>control</w:t>
      </w:r>
      <w:r>
        <w:rPr>
          <w:spacing w:val="-11"/>
          <w:sz w:val="24"/>
        </w:rPr>
        <w:t> </w:t>
      </w:r>
      <w:r>
        <w:rPr>
          <w:sz w:val="24"/>
        </w:rPr>
        <w:t>democrático y respeto</w:t>
      </w:r>
      <w:r>
        <w:rPr>
          <w:spacing w:val="-6"/>
          <w:sz w:val="24"/>
        </w:rPr>
        <w:t> </w:t>
      </w:r>
      <w:r>
        <w:rPr>
          <w:sz w:val="24"/>
        </w:rPr>
        <w:t>mutuo.</w:t>
      </w:r>
    </w:p>
    <w:p>
      <w:pPr>
        <w:pStyle w:val="ListParagraph"/>
        <w:numPr>
          <w:ilvl w:val="1"/>
          <w:numId w:val="5"/>
        </w:numPr>
        <w:tabs>
          <w:tab w:pos="821" w:val="left" w:leader="none"/>
          <w:tab w:pos="822" w:val="left" w:leader="none"/>
        </w:tabs>
        <w:spacing w:line="240" w:lineRule="auto" w:before="1" w:after="0"/>
        <w:ind w:left="822" w:right="0" w:hanging="360"/>
        <w:jc w:val="left"/>
        <w:rPr>
          <w:rFonts w:ascii="Symbol"/>
          <w:sz w:val="24"/>
        </w:rPr>
      </w:pPr>
      <w:r>
        <w:rPr>
          <w:sz w:val="24"/>
        </w:rPr>
        <w:t>Prevalencia de tolerancia ante diferentes</w:t>
      </w:r>
      <w:r>
        <w:rPr>
          <w:spacing w:val="-20"/>
          <w:sz w:val="24"/>
        </w:rPr>
        <w:t> </w:t>
      </w:r>
      <w:r>
        <w:rPr>
          <w:sz w:val="24"/>
        </w:rPr>
        <w:t>opiniones.</w:t>
      </w:r>
    </w:p>
    <w:p>
      <w:pPr>
        <w:pStyle w:val="ListParagraph"/>
        <w:numPr>
          <w:ilvl w:val="1"/>
          <w:numId w:val="5"/>
        </w:numPr>
        <w:tabs>
          <w:tab w:pos="822" w:val="left" w:leader="none"/>
        </w:tabs>
        <w:spacing w:line="276" w:lineRule="auto" w:before="39" w:after="0"/>
        <w:ind w:left="822" w:right="112" w:hanging="360"/>
        <w:jc w:val="both"/>
        <w:rPr>
          <w:rFonts w:ascii="Symbol" w:hAnsi="Symbol"/>
          <w:sz w:val="24"/>
        </w:rPr>
      </w:pPr>
      <w:r>
        <w:rPr>
          <w:sz w:val="24"/>
        </w:rPr>
        <w:t>Todos los intereses importantes estén avocados a los intereses de la</w:t>
      </w:r>
      <w:r>
        <w:rPr>
          <w:spacing w:val="-37"/>
          <w:sz w:val="24"/>
        </w:rPr>
        <w:t> </w:t>
      </w:r>
      <w:r>
        <w:rPr>
          <w:sz w:val="24"/>
        </w:rPr>
        <w:t>nación y a las estructuras principales de la sociedad (Schumpeter, 1975:289–296 y O´Donnell,</w:t>
      </w:r>
      <w:r>
        <w:rPr>
          <w:spacing w:val="-6"/>
          <w:sz w:val="24"/>
        </w:rPr>
        <w:t> </w:t>
      </w:r>
      <w:r>
        <w:rPr>
          <w:sz w:val="24"/>
        </w:rPr>
        <w:t>2001:7).</w:t>
      </w:r>
    </w:p>
    <w:p>
      <w:pPr>
        <w:spacing w:after="0" w:line="276" w:lineRule="auto"/>
        <w:jc w:val="both"/>
        <w:rPr>
          <w:rFonts w:ascii="Symbol" w:hAnsi="Symbol"/>
          <w:sz w:val="24"/>
        </w:rPr>
        <w:sectPr>
          <w:pgSz w:w="12240" w:h="15840"/>
          <w:pgMar w:header="0" w:footer="975" w:top="1500" w:bottom="1220" w:left="1600" w:right="1580"/>
        </w:sectPr>
      </w:pPr>
    </w:p>
    <w:p>
      <w:pPr>
        <w:pStyle w:val="BodyText"/>
        <w:spacing w:before="54"/>
        <w:ind w:left="122"/>
        <w:jc w:val="both"/>
      </w:pPr>
      <w:r>
        <w:rPr/>
        <w:t>Dentro los sistemas democráticos se pueden presentar cinco transiciones distintas:</w:t>
      </w:r>
    </w:p>
    <w:p>
      <w:pPr>
        <w:pStyle w:val="BodyText"/>
      </w:pPr>
    </w:p>
    <w:p>
      <w:pPr>
        <w:pStyle w:val="BodyText"/>
        <w:spacing w:before="1"/>
        <w:rPr>
          <w:sz w:val="26"/>
        </w:rPr>
      </w:pPr>
    </w:p>
    <w:p>
      <w:pPr>
        <w:pStyle w:val="ListParagraph"/>
        <w:numPr>
          <w:ilvl w:val="0"/>
          <w:numId w:val="6"/>
        </w:numPr>
        <w:tabs>
          <w:tab w:pos="842" w:val="left" w:leader="none"/>
        </w:tabs>
        <w:spacing w:line="240" w:lineRule="auto" w:before="0" w:after="0"/>
        <w:ind w:left="842" w:right="0" w:hanging="360"/>
        <w:jc w:val="left"/>
        <w:rPr>
          <w:sz w:val="24"/>
        </w:rPr>
      </w:pPr>
      <w:r>
        <w:rPr>
          <w:sz w:val="24"/>
        </w:rPr>
        <w:t>De democracia a</w:t>
      </w:r>
      <w:r>
        <w:rPr>
          <w:spacing w:val="-9"/>
          <w:sz w:val="24"/>
        </w:rPr>
        <w:t> </w:t>
      </w:r>
      <w:r>
        <w:rPr>
          <w:sz w:val="24"/>
        </w:rPr>
        <w:t>autoritarismo.</w:t>
      </w:r>
    </w:p>
    <w:p>
      <w:pPr>
        <w:pStyle w:val="ListParagraph"/>
        <w:numPr>
          <w:ilvl w:val="0"/>
          <w:numId w:val="6"/>
        </w:numPr>
        <w:tabs>
          <w:tab w:pos="842" w:val="left" w:leader="none"/>
        </w:tabs>
        <w:spacing w:line="240" w:lineRule="auto" w:before="41" w:after="0"/>
        <w:ind w:left="842" w:right="0" w:hanging="360"/>
        <w:jc w:val="left"/>
        <w:rPr>
          <w:sz w:val="24"/>
        </w:rPr>
      </w:pPr>
      <w:r>
        <w:rPr>
          <w:sz w:val="24"/>
        </w:rPr>
        <w:t>De regímenes no democráticos a</w:t>
      </w:r>
      <w:r>
        <w:rPr>
          <w:spacing w:val="-18"/>
          <w:sz w:val="24"/>
        </w:rPr>
        <w:t> </w:t>
      </w:r>
      <w:r>
        <w:rPr>
          <w:sz w:val="24"/>
        </w:rPr>
        <w:t>democráticos.</w:t>
      </w:r>
    </w:p>
    <w:p>
      <w:pPr>
        <w:pStyle w:val="ListParagraph"/>
        <w:numPr>
          <w:ilvl w:val="0"/>
          <w:numId w:val="6"/>
        </w:numPr>
        <w:tabs>
          <w:tab w:pos="842" w:val="left" w:leader="none"/>
        </w:tabs>
        <w:spacing w:line="240" w:lineRule="auto" w:before="41" w:after="0"/>
        <w:ind w:left="842" w:right="0" w:hanging="360"/>
        <w:jc w:val="left"/>
        <w:rPr>
          <w:sz w:val="24"/>
        </w:rPr>
      </w:pPr>
      <w:r>
        <w:rPr>
          <w:sz w:val="24"/>
        </w:rPr>
        <w:t>De un tipo de democracia a</w:t>
      </w:r>
      <w:r>
        <w:rPr>
          <w:spacing w:val="-12"/>
          <w:sz w:val="24"/>
        </w:rPr>
        <w:t> </w:t>
      </w:r>
      <w:r>
        <w:rPr>
          <w:sz w:val="24"/>
        </w:rPr>
        <w:t>otro.</w:t>
      </w:r>
    </w:p>
    <w:p>
      <w:pPr>
        <w:pStyle w:val="ListParagraph"/>
        <w:numPr>
          <w:ilvl w:val="0"/>
          <w:numId w:val="6"/>
        </w:numPr>
        <w:tabs>
          <w:tab w:pos="842" w:val="left" w:leader="none"/>
        </w:tabs>
        <w:spacing w:line="240" w:lineRule="auto" w:before="41" w:after="0"/>
        <w:ind w:left="842" w:right="0" w:hanging="360"/>
        <w:jc w:val="left"/>
        <w:rPr>
          <w:sz w:val="24"/>
        </w:rPr>
      </w:pPr>
      <w:r>
        <w:rPr>
          <w:sz w:val="24"/>
        </w:rPr>
        <w:t>De una democracia real de baja calidad a una de alta</w:t>
      </w:r>
      <w:r>
        <w:rPr>
          <w:spacing w:val="-18"/>
          <w:sz w:val="24"/>
        </w:rPr>
        <w:t> </w:t>
      </w:r>
      <w:r>
        <w:rPr>
          <w:sz w:val="24"/>
        </w:rPr>
        <w:t>calidad.</w:t>
      </w:r>
    </w:p>
    <w:p>
      <w:pPr>
        <w:pStyle w:val="ListParagraph"/>
        <w:numPr>
          <w:ilvl w:val="0"/>
          <w:numId w:val="6"/>
        </w:numPr>
        <w:tabs>
          <w:tab w:pos="842" w:val="left" w:leader="none"/>
        </w:tabs>
        <w:spacing w:line="240" w:lineRule="auto" w:before="41" w:after="0"/>
        <w:ind w:left="842" w:right="0" w:hanging="360"/>
        <w:jc w:val="left"/>
        <w:rPr>
          <w:sz w:val="24"/>
        </w:rPr>
      </w:pPr>
      <w:r>
        <w:rPr>
          <w:sz w:val="24"/>
        </w:rPr>
        <w:t>De un tipo de democracia nacional a uno supra nacional (Morlino,</w:t>
      </w:r>
      <w:r>
        <w:rPr>
          <w:spacing w:val="-22"/>
          <w:sz w:val="24"/>
        </w:rPr>
        <w:t> </w:t>
      </w:r>
      <w:r>
        <w:rPr>
          <w:sz w:val="24"/>
        </w:rPr>
        <w:t>2005).</w:t>
      </w:r>
    </w:p>
    <w:p>
      <w:pPr>
        <w:pStyle w:val="BodyText"/>
      </w:pPr>
    </w:p>
    <w:p>
      <w:pPr>
        <w:pStyle w:val="BodyText"/>
      </w:pPr>
    </w:p>
    <w:p>
      <w:pPr>
        <w:pStyle w:val="BodyText"/>
        <w:spacing w:before="7"/>
        <w:rPr>
          <w:sz w:val="19"/>
        </w:rPr>
      </w:pPr>
    </w:p>
    <w:p>
      <w:pPr>
        <w:pStyle w:val="BodyText"/>
        <w:spacing w:line="360" w:lineRule="auto"/>
        <w:ind w:left="122" w:right="118"/>
        <w:jc w:val="both"/>
      </w:pPr>
      <w:r>
        <w:rPr/>
        <w:t>Respecto a lo anterior, cabe destacar que los nuevos regímenes democráticos además de garantizar reglas claras, equitativas y confiables para la competencia electoral, el ascenso al poder y la distribución de recursos, deben también proveer canales institucionales de acceso a la información que permitan transparentar los asuntos públicos</w:t>
      </w:r>
      <w:r>
        <w:rPr>
          <w:position w:val="8"/>
          <w:sz w:val="16"/>
        </w:rPr>
        <w:t>9 </w:t>
      </w:r>
      <w:r>
        <w:rPr/>
        <w:t>para legitimarse socialmente y conservar el poder (Vergara, 2005).</w:t>
      </w:r>
    </w:p>
    <w:p>
      <w:pPr>
        <w:pStyle w:val="BodyText"/>
      </w:pPr>
    </w:p>
    <w:p>
      <w:pPr>
        <w:pStyle w:val="BodyText"/>
      </w:pPr>
    </w:p>
    <w:p>
      <w:pPr>
        <w:pStyle w:val="BodyText"/>
        <w:spacing w:line="360" w:lineRule="auto" w:before="185"/>
        <w:ind w:left="122" w:right="116"/>
        <w:jc w:val="both"/>
      </w:pPr>
      <w:r>
        <w:rPr/>
        <w:t>En</w:t>
      </w:r>
      <w:r>
        <w:rPr>
          <w:spacing w:val="-8"/>
        </w:rPr>
        <w:t> </w:t>
      </w:r>
      <w:r>
        <w:rPr/>
        <w:t>el</w:t>
      </w:r>
      <w:r>
        <w:rPr>
          <w:spacing w:val="-7"/>
        </w:rPr>
        <w:t> </w:t>
      </w:r>
      <w:r>
        <w:rPr/>
        <w:t>caso</w:t>
      </w:r>
      <w:r>
        <w:rPr>
          <w:spacing w:val="-6"/>
        </w:rPr>
        <w:t> </w:t>
      </w:r>
      <w:r>
        <w:rPr/>
        <w:t>de</w:t>
      </w:r>
      <w:r>
        <w:rPr>
          <w:spacing w:val="-6"/>
        </w:rPr>
        <w:t> </w:t>
      </w:r>
      <w:r>
        <w:rPr/>
        <w:t>México,</w:t>
      </w:r>
      <w:r>
        <w:rPr>
          <w:spacing w:val="-8"/>
        </w:rPr>
        <w:t> </w:t>
      </w:r>
      <w:r>
        <w:rPr/>
        <w:t>que</w:t>
      </w:r>
      <w:r>
        <w:rPr>
          <w:spacing w:val="-6"/>
        </w:rPr>
        <w:t> </w:t>
      </w:r>
      <w:r>
        <w:rPr/>
        <w:t>es</w:t>
      </w:r>
      <w:r>
        <w:rPr>
          <w:spacing w:val="-9"/>
        </w:rPr>
        <w:t> </w:t>
      </w:r>
      <w:r>
        <w:rPr/>
        <w:t>el</w:t>
      </w:r>
      <w:r>
        <w:rPr>
          <w:spacing w:val="-10"/>
        </w:rPr>
        <w:t> </w:t>
      </w:r>
      <w:r>
        <w:rPr/>
        <w:t>objeto</w:t>
      </w:r>
      <w:r>
        <w:rPr>
          <w:spacing w:val="-8"/>
        </w:rPr>
        <w:t> </w:t>
      </w:r>
      <w:r>
        <w:rPr/>
        <w:t>de</w:t>
      </w:r>
      <w:r>
        <w:rPr>
          <w:spacing w:val="-8"/>
        </w:rPr>
        <w:t> </w:t>
      </w:r>
      <w:r>
        <w:rPr/>
        <w:t>estudio</w:t>
      </w:r>
      <w:r>
        <w:rPr>
          <w:spacing w:val="-9"/>
        </w:rPr>
        <w:t> </w:t>
      </w:r>
      <w:r>
        <w:rPr/>
        <w:t>de</w:t>
      </w:r>
      <w:r>
        <w:rPr>
          <w:spacing w:val="-8"/>
        </w:rPr>
        <w:t> </w:t>
      </w:r>
      <w:r>
        <w:rPr/>
        <w:t>esta</w:t>
      </w:r>
      <w:r>
        <w:rPr>
          <w:spacing w:val="-6"/>
        </w:rPr>
        <w:t> </w:t>
      </w:r>
      <w:r>
        <w:rPr/>
        <w:t>investigación,</w:t>
      </w:r>
      <w:r>
        <w:rPr>
          <w:spacing w:val="-6"/>
        </w:rPr>
        <w:t> </w:t>
      </w:r>
      <w:r>
        <w:rPr/>
        <w:t>se</w:t>
      </w:r>
      <w:r>
        <w:rPr>
          <w:spacing w:val="-8"/>
        </w:rPr>
        <w:t> </w:t>
      </w:r>
      <w:r>
        <w:rPr/>
        <w:t>parte</w:t>
      </w:r>
      <w:r>
        <w:rPr>
          <w:spacing w:val="-11"/>
        </w:rPr>
        <w:t> </w:t>
      </w:r>
      <w:r>
        <w:rPr/>
        <w:t>de la concepción de un Estado democrático, al menos en teoría, ya que en los</w:t>
      </w:r>
      <w:r>
        <w:rPr>
          <w:spacing w:val="-36"/>
        </w:rPr>
        <w:t> </w:t>
      </w:r>
      <w:r>
        <w:rPr/>
        <w:t>hechos aún refleja ciertas prácticas gubernamentales que lo asemejan a uno no democrático. Dichas prácticas se describirán más adelante. Ahora bien, para entender lo que es un estado democrático es necesario hacer referencia al término democracia que da el calificativo a este tipo de</w:t>
      </w:r>
      <w:r>
        <w:rPr>
          <w:spacing w:val="-17"/>
        </w:rPr>
        <w:t> </w:t>
      </w:r>
      <w:r>
        <w:rPr/>
        <w:t>estado.</w:t>
      </w:r>
    </w:p>
    <w:p>
      <w:pPr>
        <w:pStyle w:val="BodyText"/>
      </w:pPr>
    </w:p>
    <w:p>
      <w:pPr>
        <w:pStyle w:val="BodyText"/>
      </w:pPr>
    </w:p>
    <w:p>
      <w:pPr>
        <w:pStyle w:val="BodyText"/>
        <w:spacing w:line="360" w:lineRule="auto" w:before="185"/>
        <w:ind w:left="122" w:right="116"/>
        <w:jc w:val="both"/>
      </w:pPr>
      <w:r>
        <w:rPr/>
        <w:t>Democracia,</w:t>
      </w:r>
      <w:r>
        <w:rPr>
          <w:spacing w:val="-18"/>
        </w:rPr>
        <w:t> </w:t>
      </w:r>
      <w:r>
        <w:rPr/>
        <w:t>de</w:t>
      </w:r>
      <w:r>
        <w:rPr>
          <w:spacing w:val="-18"/>
        </w:rPr>
        <w:t> </w:t>
      </w:r>
      <w:r>
        <w:rPr/>
        <w:t>acuerdo</w:t>
      </w:r>
      <w:r>
        <w:rPr>
          <w:spacing w:val="-16"/>
        </w:rPr>
        <w:t> </w:t>
      </w:r>
      <w:r>
        <w:rPr/>
        <w:t>con</w:t>
      </w:r>
      <w:r>
        <w:rPr>
          <w:spacing w:val="-16"/>
        </w:rPr>
        <w:t> </w:t>
      </w:r>
      <w:r>
        <w:rPr/>
        <w:t>la</w:t>
      </w:r>
      <w:r>
        <w:rPr>
          <w:spacing w:val="-18"/>
        </w:rPr>
        <w:t> </w:t>
      </w:r>
      <w:r>
        <w:rPr/>
        <w:t>Real</w:t>
      </w:r>
      <w:r>
        <w:rPr>
          <w:spacing w:val="-19"/>
        </w:rPr>
        <w:t> </w:t>
      </w:r>
      <w:r>
        <w:rPr/>
        <w:t>Academia</w:t>
      </w:r>
      <w:r>
        <w:rPr>
          <w:spacing w:val="-16"/>
        </w:rPr>
        <w:t> </w:t>
      </w:r>
      <w:r>
        <w:rPr/>
        <w:t>española</w:t>
      </w:r>
      <w:r>
        <w:rPr>
          <w:spacing w:val="-18"/>
        </w:rPr>
        <w:t> </w:t>
      </w:r>
      <w:r>
        <w:rPr/>
        <w:t>es</w:t>
      </w:r>
      <w:r>
        <w:rPr>
          <w:spacing w:val="-19"/>
        </w:rPr>
        <w:t> </w:t>
      </w:r>
      <w:r>
        <w:rPr/>
        <w:t>una</w:t>
      </w:r>
      <w:r>
        <w:rPr>
          <w:spacing w:val="-18"/>
        </w:rPr>
        <w:t> </w:t>
      </w:r>
      <w:r>
        <w:rPr/>
        <w:t>“Forma</w:t>
      </w:r>
      <w:r>
        <w:rPr>
          <w:spacing w:val="-12"/>
        </w:rPr>
        <w:t> </w:t>
      </w:r>
      <w:r>
        <w:rPr/>
        <w:t>de</w:t>
      </w:r>
      <w:r>
        <w:rPr>
          <w:spacing w:val="-18"/>
        </w:rPr>
        <w:t> </w:t>
      </w:r>
      <w:r>
        <w:rPr/>
        <w:t>gobierno en la que el poder político es ejercido por los ciudadanos” (www.rae.es). Este concepto ha sido generalmente aceptado por los estudiosos de política. Sin embargo,</w:t>
      </w:r>
      <w:r>
        <w:rPr>
          <w:spacing w:val="-13"/>
        </w:rPr>
        <w:t> </w:t>
      </w:r>
      <w:r>
        <w:rPr/>
        <w:t>de</w:t>
      </w:r>
      <w:r>
        <w:rPr>
          <w:spacing w:val="-13"/>
        </w:rPr>
        <w:t> </w:t>
      </w:r>
      <w:r>
        <w:rPr/>
        <w:t>acuerdo</w:t>
      </w:r>
      <w:r>
        <w:rPr>
          <w:spacing w:val="-13"/>
        </w:rPr>
        <w:t> </w:t>
      </w:r>
      <w:r>
        <w:rPr/>
        <w:t>con</w:t>
      </w:r>
      <w:r>
        <w:rPr>
          <w:spacing w:val="-13"/>
        </w:rPr>
        <w:t> </w:t>
      </w:r>
      <w:r>
        <w:rPr/>
        <w:t>Morlino</w:t>
      </w:r>
      <w:r>
        <w:rPr>
          <w:spacing w:val="-14"/>
        </w:rPr>
        <w:t> </w:t>
      </w:r>
      <w:r>
        <w:rPr/>
        <w:t>(2005)</w:t>
      </w:r>
      <w:r>
        <w:rPr>
          <w:spacing w:val="-14"/>
        </w:rPr>
        <w:t> </w:t>
      </w:r>
      <w:r>
        <w:rPr/>
        <w:t>existen</w:t>
      </w:r>
      <w:r>
        <w:rPr>
          <w:spacing w:val="-14"/>
        </w:rPr>
        <w:t> </w:t>
      </w:r>
      <w:r>
        <w:rPr/>
        <w:t>otras</w:t>
      </w:r>
      <w:r>
        <w:rPr>
          <w:spacing w:val="-15"/>
        </w:rPr>
        <w:t> </w:t>
      </w:r>
      <w:r>
        <w:rPr/>
        <w:t>definiciones</w:t>
      </w:r>
      <w:r>
        <w:rPr>
          <w:spacing w:val="-15"/>
        </w:rPr>
        <w:t> </w:t>
      </w:r>
      <w:r>
        <w:rPr/>
        <w:t>más</w:t>
      </w:r>
      <w:r>
        <w:rPr>
          <w:spacing w:val="-14"/>
        </w:rPr>
        <w:t> </w:t>
      </w:r>
      <w:r>
        <w:rPr/>
        <w:t>particulares igualmente válidas (ver tabla</w:t>
      </w:r>
      <w:r>
        <w:rPr>
          <w:spacing w:val="-11"/>
        </w:rPr>
        <w:t> </w:t>
      </w:r>
      <w:r>
        <w:rPr/>
        <w:t>1.1):</w:t>
      </w:r>
    </w:p>
    <w:p>
      <w:pPr>
        <w:pStyle w:val="BodyText"/>
        <w:rPr>
          <w:sz w:val="20"/>
        </w:rPr>
      </w:pPr>
    </w:p>
    <w:p>
      <w:pPr>
        <w:pStyle w:val="BodyText"/>
        <w:rPr>
          <w:sz w:val="20"/>
        </w:rPr>
      </w:pPr>
    </w:p>
    <w:p>
      <w:pPr>
        <w:pStyle w:val="BodyText"/>
        <w:rPr>
          <w:sz w:val="20"/>
        </w:rPr>
      </w:pPr>
    </w:p>
    <w:p>
      <w:pPr>
        <w:pStyle w:val="BodyText"/>
        <w:spacing w:before="7"/>
        <w:rPr>
          <w:sz w:val="28"/>
        </w:rPr>
      </w:pPr>
      <w:r>
        <w:rPr/>
        <w:pict>
          <v:line style="position:absolute;mso-position-horizontal-relative:page;mso-position-vertical-relative:paragraph;z-index:1216;mso-wrap-distance-left:0;mso-wrap-distance-right:0" from="85.103996pt,18.77282pt" to="229.123996pt,18.77282pt" stroked="true" strokeweight=".72003pt" strokecolor="#000000">
            <w10:wrap type="topAndBottom"/>
          </v:line>
        </w:pict>
      </w:r>
    </w:p>
    <w:p>
      <w:pPr>
        <w:spacing w:before="69"/>
        <w:ind w:left="122" w:right="337" w:firstLine="0"/>
        <w:jc w:val="left"/>
        <w:rPr>
          <w:sz w:val="14"/>
        </w:rPr>
      </w:pPr>
      <w:r>
        <w:rPr>
          <w:position w:val="5"/>
          <w:sz w:val="9"/>
        </w:rPr>
        <w:t>9 </w:t>
      </w:r>
      <w:r>
        <w:rPr>
          <w:sz w:val="14"/>
        </w:rPr>
        <w:t>Se entiende por asuntos públicos todas las acciones que realiza el gobierno y que afectan de alguna manera a la sociedad.</w:t>
      </w:r>
    </w:p>
    <w:p>
      <w:pPr>
        <w:spacing w:after="0"/>
        <w:jc w:val="left"/>
        <w:rPr>
          <w:sz w:val="14"/>
        </w:rPr>
        <w:sectPr>
          <w:pgSz w:w="12240" w:h="15840"/>
          <w:pgMar w:header="0" w:footer="975" w:top="1360" w:bottom="1220" w:left="1580" w:right="1580"/>
        </w:sectPr>
      </w:pPr>
    </w:p>
    <w:p>
      <w:pPr>
        <w:pStyle w:val="BodyText"/>
        <w:spacing w:before="5"/>
        <w:rPr>
          <w:sz w:val="20"/>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14"/>
        <w:gridCol w:w="5972"/>
        <w:gridCol w:w="1342"/>
      </w:tblGrid>
      <w:tr>
        <w:trPr>
          <w:trHeight w:val="247" w:hRule="exact"/>
        </w:trPr>
        <w:tc>
          <w:tcPr>
            <w:tcW w:w="8829" w:type="dxa"/>
            <w:gridSpan w:val="3"/>
            <w:shd w:val="clear" w:color="auto" w:fill="92D050"/>
          </w:tcPr>
          <w:p>
            <w:pPr>
              <w:pStyle w:val="TableParagraph"/>
              <w:spacing w:line="201" w:lineRule="exact"/>
              <w:ind w:left="2398" w:right="312"/>
              <w:jc w:val="left"/>
              <w:rPr>
                <w:b/>
                <w:sz w:val="18"/>
              </w:rPr>
            </w:pPr>
            <w:r>
              <w:rPr>
                <w:b/>
                <w:sz w:val="18"/>
              </w:rPr>
              <w:t>Tabla 1.1. Tipos de definiciones de democracia</w:t>
            </w:r>
          </w:p>
        </w:tc>
      </w:tr>
      <w:tr>
        <w:trPr>
          <w:trHeight w:val="487" w:hRule="exact"/>
        </w:trPr>
        <w:tc>
          <w:tcPr>
            <w:tcW w:w="1514" w:type="dxa"/>
            <w:shd w:val="clear" w:color="auto" w:fill="92D050"/>
          </w:tcPr>
          <w:p>
            <w:pPr>
              <w:pStyle w:val="TableParagraph"/>
              <w:spacing w:line="276" w:lineRule="auto"/>
              <w:ind w:left="249" w:right="235"/>
              <w:jc w:val="left"/>
              <w:rPr>
                <w:b/>
                <w:sz w:val="18"/>
              </w:rPr>
            </w:pPr>
            <w:r>
              <w:rPr>
                <w:b/>
                <w:sz w:val="18"/>
              </w:rPr>
              <w:t>Visión de la democracia</w:t>
            </w:r>
          </w:p>
        </w:tc>
        <w:tc>
          <w:tcPr>
            <w:tcW w:w="5972" w:type="dxa"/>
            <w:shd w:val="clear" w:color="auto" w:fill="92D050"/>
          </w:tcPr>
          <w:p>
            <w:pPr>
              <w:pStyle w:val="TableParagraph"/>
              <w:spacing w:line="201" w:lineRule="exact"/>
              <w:ind w:left="1908"/>
              <w:jc w:val="left"/>
              <w:rPr>
                <w:b/>
                <w:sz w:val="18"/>
              </w:rPr>
            </w:pPr>
            <w:r>
              <w:rPr>
                <w:b/>
                <w:sz w:val="18"/>
              </w:rPr>
              <w:t>Concepto de democracia</w:t>
            </w:r>
          </w:p>
        </w:tc>
        <w:tc>
          <w:tcPr>
            <w:tcW w:w="1342" w:type="dxa"/>
            <w:shd w:val="clear" w:color="auto" w:fill="92D050"/>
          </w:tcPr>
          <w:p>
            <w:pPr>
              <w:pStyle w:val="TableParagraph"/>
              <w:spacing w:line="201" w:lineRule="exact"/>
              <w:ind w:left="326" w:right="249"/>
              <w:jc w:val="left"/>
              <w:rPr>
                <w:b/>
                <w:sz w:val="18"/>
              </w:rPr>
            </w:pPr>
            <w:r>
              <w:rPr>
                <w:b/>
                <w:sz w:val="18"/>
              </w:rPr>
              <w:t>Autores</w:t>
            </w:r>
          </w:p>
        </w:tc>
      </w:tr>
      <w:tr>
        <w:trPr>
          <w:trHeight w:val="485" w:hRule="exact"/>
        </w:trPr>
        <w:tc>
          <w:tcPr>
            <w:tcW w:w="1514" w:type="dxa"/>
            <w:vMerge w:val="restart"/>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1"/>
              <w:jc w:val="left"/>
              <w:rPr>
                <w:sz w:val="16"/>
              </w:rPr>
            </w:pPr>
          </w:p>
          <w:p>
            <w:pPr>
              <w:pStyle w:val="TableParagraph"/>
              <w:ind w:left="103" w:right="235"/>
              <w:jc w:val="left"/>
              <w:rPr>
                <w:sz w:val="18"/>
              </w:rPr>
            </w:pPr>
            <w:r>
              <w:rPr>
                <w:sz w:val="18"/>
              </w:rPr>
              <w:t>General</w:t>
            </w:r>
          </w:p>
        </w:tc>
        <w:tc>
          <w:tcPr>
            <w:tcW w:w="5972" w:type="dxa"/>
          </w:tcPr>
          <w:p>
            <w:pPr>
              <w:pStyle w:val="TableParagraph"/>
              <w:spacing w:line="206" w:lineRule="exact"/>
              <w:ind w:left="100"/>
              <w:jc w:val="left"/>
              <w:rPr>
                <w:sz w:val="18"/>
              </w:rPr>
            </w:pPr>
            <w:r>
              <w:rPr>
                <w:sz w:val="18"/>
              </w:rPr>
              <w:t>Gobierno del pueblo.</w:t>
            </w:r>
          </w:p>
        </w:tc>
        <w:tc>
          <w:tcPr>
            <w:tcW w:w="1342" w:type="dxa"/>
          </w:tcPr>
          <w:p>
            <w:pPr>
              <w:pStyle w:val="TableParagraph"/>
              <w:spacing w:line="276" w:lineRule="auto"/>
              <w:ind w:left="103" w:right="249"/>
              <w:jc w:val="left"/>
              <w:rPr>
                <w:sz w:val="18"/>
              </w:rPr>
            </w:pPr>
            <w:r>
              <w:rPr>
                <w:sz w:val="18"/>
              </w:rPr>
              <w:t>Definición etimológica.</w:t>
            </w:r>
          </w:p>
        </w:tc>
      </w:tr>
      <w:tr>
        <w:trPr>
          <w:trHeight w:val="725" w:hRule="exact"/>
        </w:trPr>
        <w:tc>
          <w:tcPr>
            <w:tcW w:w="1514" w:type="dxa"/>
            <w:vMerge/>
          </w:tcPr>
          <w:p>
            <w:pPr/>
          </w:p>
        </w:tc>
        <w:tc>
          <w:tcPr>
            <w:tcW w:w="5972" w:type="dxa"/>
          </w:tcPr>
          <w:p>
            <w:pPr>
              <w:pStyle w:val="TableParagraph"/>
              <w:spacing w:line="276" w:lineRule="auto"/>
              <w:ind w:left="100" w:right="102"/>
              <w:jc w:val="both"/>
              <w:rPr>
                <w:sz w:val="18"/>
              </w:rPr>
            </w:pPr>
            <w:r>
              <w:rPr>
                <w:sz w:val="18"/>
              </w:rPr>
              <w:t>Regímenes que se distinguen por la garantía real de la más amplia de </w:t>
            </w:r>
            <w:r>
              <w:rPr>
                <w:i/>
                <w:sz w:val="18"/>
              </w:rPr>
              <w:t>participación política </w:t>
            </w:r>
            <w:r>
              <w:rPr>
                <w:sz w:val="18"/>
              </w:rPr>
              <w:t>de la población adulta femenina y masculina y por la posibilidad de </w:t>
            </w:r>
            <w:r>
              <w:rPr>
                <w:i/>
                <w:sz w:val="18"/>
              </w:rPr>
              <w:t>disenso y oposición</w:t>
            </w:r>
            <w:r>
              <w:rPr>
                <w:sz w:val="18"/>
              </w:rPr>
              <w:t>.</w:t>
            </w:r>
          </w:p>
        </w:tc>
        <w:tc>
          <w:tcPr>
            <w:tcW w:w="1342" w:type="dxa"/>
          </w:tcPr>
          <w:p>
            <w:pPr>
              <w:pStyle w:val="TableParagraph"/>
              <w:spacing w:before="6"/>
              <w:jc w:val="left"/>
              <w:rPr>
                <w:sz w:val="20"/>
              </w:rPr>
            </w:pPr>
          </w:p>
          <w:p>
            <w:pPr>
              <w:pStyle w:val="TableParagraph"/>
              <w:ind w:left="103"/>
              <w:jc w:val="left"/>
              <w:rPr>
                <w:sz w:val="18"/>
              </w:rPr>
            </w:pPr>
            <w:r>
              <w:rPr>
                <w:sz w:val="18"/>
              </w:rPr>
              <w:t>Dalh (1970).</w:t>
            </w:r>
          </w:p>
        </w:tc>
      </w:tr>
      <w:tr>
        <w:trPr>
          <w:trHeight w:val="722" w:hRule="exact"/>
        </w:trPr>
        <w:tc>
          <w:tcPr>
            <w:tcW w:w="1514" w:type="dxa"/>
            <w:vMerge/>
          </w:tcPr>
          <w:p>
            <w:pPr/>
          </w:p>
        </w:tc>
        <w:tc>
          <w:tcPr>
            <w:tcW w:w="5972" w:type="dxa"/>
          </w:tcPr>
          <w:p>
            <w:pPr>
              <w:pStyle w:val="TableParagraph"/>
              <w:spacing w:line="276" w:lineRule="auto"/>
              <w:ind w:left="100" w:right="101"/>
              <w:jc w:val="both"/>
              <w:rPr>
                <w:sz w:val="18"/>
              </w:rPr>
            </w:pPr>
            <w:r>
              <w:rPr>
                <w:sz w:val="18"/>
              </w:rPr>
              <w:t>Es</w:t>
            </w:r>
            <w:r>
              <w:rPr>
                <w:spacing w:val="-7"/>
                <w:sz w:val="18"/>
              </w:rPr>
              <w:t> </w:t>
            </w:r>
            <w:r>
              <w:rPr>
                <w:sz w:val="18"/>
              </w:rPr>
              <w:t>el</w:t>
            </w:r>
            <w:r>
              <w:rPr>
                <w:spacing w:val="-10"/>
                <w:sz w:val="18"/>
              </w:rPr>
              <w:t> </w:t>
            </w:r>
            <w:r>
              <w:rPr>
                <w:sz w:val="18"/>
              </w:rPr>
              <w:t>mecanismo</w:t>
            </w:r>
            <w:r>
              <w:rPr>
                <w:spacing w:val="-7"/>
                <w:sz w:val="18"/>
              </w:rPr>
              <w:t> </w:t>
            </w:r>
            <w:r>
              <w:rPr>
                <w:sz w:val="18"/>
              </w:rPr>
              <w:t>que</w:t>
            </w:r>
            <w:r>
              <w:rPr>
                <w:spacing w:val="-10"/>
                <w:sz w:val="18"/>
              </w:rPr>
              <w:t> </w:t>
            </w:r>
            <w:r>
              <w:rPr>
                <w:sz w:val="18"/>
              </w:rPr>
              <w:t>genera</w:t>
            </w:r>
            <w:r>
              <w:rPr>
                <w:spacing w:val="-10"/>
                <w:sz w:val="18"/>
              </w:rPr>
              <w:t> </w:t>
            </w:r>
            <w:r>
              <w:rPr>
                <w:sz w:val="18"/>
              </w:rPr>
              <w:t>una</w:t>
            </w:r>
            <w:r>
              <w:rPr>
                <w:spacing w:val="-7"/>
                <w:sz w:val="18"/>
              </w:rPr>
              <w:t> </w:t>
            </w:r>
            <w:r>
              <w:rPr>
                <w:sz w:val="18"/>
              </w:rPr>
              <w:t>poliarquía</w:t>
            </w:r>
            <w:r>
              <w:rPr>
                <w:spacing w:val="-7"/>
                <w:sz w:val="18"/>
              </w:rPr>
              <w:t> </w:t>
            </w:r>
            <w:r>
              <w:rPr>
                <w:sz w:val="18"/>
              </w:rPr>
              <w:t>abierta</w:t>
            </w:r>
            <w:r>
              <w:rPr>
                <w:spacing w:val="-9"/>
                <w:sz w:val="18"/>
              </w:rPr>
              <w:t> </w:t>
            </w:r>
            <w:r>
              <w:rPr>
                <w:sz w:val="18"/>
              </w:rPr>
              <w:t>cuya</w:t>
            </w:r>
            <w:r>
              <w:rPr>
                <w:spacing w:val="-5"/>
                <w:sz w:val="18"/>
              </w:rPr>
              <w:t> </w:t>
            </w:r>
            <w:r>
              <w:rPr>
                <w:i/>
                <w:sz w:val="18"/>
              </w:rPr>
              <w:t>competición</w:t>
            </w:r>
            <w:r>
              <w:rPr>
                <w:i/>
                <w:spacing w:val="-8"/>
                <w:sz w:val="18"/>
              </w:rPr>
              <w:t> </w:t>
            </w:r>
            <w:r>
              <w:rPr>
                <w:sz w:val="18"/>
              </w:rPr>
              <w:t>en el</w:t>
            </w:r>
            <w:r>
              <w:rPr>
                <w:spacing w:val="-7"/>
                <w:sz w:val="18"/>
              </w:rPr>
              <w:t> </w:t>
            </w:r>
            <w:r>
              <w:rPr>
                <w:sz w:val="18"/>
              </w:rPr>
              <w:t>mercado</w:t>
            </w:r>
            <w:r>
              <w:rPr>
                <w:spacing w:val="-7"/>
                <w:sz w:val="18"/>
              </w:rPr>
              <w:t> </w:t>
            </w:r>
            <w:r>
              <w:rPr>
                <w:sz w:val="18"/>
              </w:rPr>
              <w:t>electoral</w:t>
            </w:r>
            <w:r>
              <w:rPr>
                <w:spacing w:val="-7"/>
                <w:sz w:val="18"/>
              </w:rPr>
              <w:t> </w:t>
            </w:r>
            <w:r>
              <w:rPr>
                <w:sz w:val="18"/>
              </w:rPr>
              <w:t>atribuye</w:t>
            </w:r>
            <w:r>
              <w:rPr>
                <w:spacing w:val="-7"/>
                <w:sz w:val="18"/>
              </w:rPr>
              <w:t> </w:t>
            </w:r>
            <w:r>
              <w:rPr>
                <w:sz w:val="18"/>
              </w:rPr>
              <w:t>poder</w:t>
            </w:r>
            <w:r>
              <w:rPr>
                <w:spacing w:val="-8"/>
                <w:sz w:val="18"/>
              </w:rPr>
              <w:t> </w:t>
            </w:r>
            <w:r>
              <w:rPr>
                <w:sz w:val="18"/>
              </w:rPr>
              <w:t>al</w:t>
            </w:r>
            <w:r>
              <w:rPr>
                <w:spacing w:val="-7"/>
                <w:sz w:val="18"/>
              </w:rPr>
              <w:t> </w:t>
            </w:r>
            <w:r>
              <w:rPr>
                <w:sz w:val="18"/>
              </w:rPr>
              <w:t>pueblo,</w:t>
            </w:r>
            <w:r>
              <w:rPr>
                <w:spacing w:val="-3"/>
                <w:sz w:val="18"/>
              </w:rPr>
              <w:t> </w:t>
            </w:r>
            <w:r>
              <w:rPr>
                <w:sz w:val="18"/>
              </w:rPr>
              <w:t>y</w:t>
            </w:r>
            <w:r>
              <w:rPr>
                <w:spacing w:val="-9"/>
                <w:sz w:val="18"/>
              </w:rPr>
              <w:t> </w:t>
            </w:r>
            <w:r>
              <w:rPr>
                <w:sz w:val="18"/>
              </w:rPr>
              <w:t>específicamente</w:t>
            </w:r>
            <w:r>
              <w:rPr>
                <w:spacing w:val="-7"/>
                <w:sz w:val="18"/>
              </w:rPr>
              <w:t> </w:t>
            </w:r>
            <w:r>
              <w:rPr>
                <w:sz w:val="18"/>
              </w:rPr>
              <w:t>impone la </w:t>
            </w:r>
            <w:r>
              <w:rPr>
                <w:i/>
                <w:sz w:val="18"/>
              </w:rPr>
              <w:t>reciprocidad </w:t>
            </w:r>
            <w:r>
              <w:rPr>
                <w:sz w:val="18"/>
              </w:rPr>
              <w:t>de los representantes con respecto a los</w:t>
            </w:r>
            <w:r>
              <w:rPr>
                <w:spacing w:val="-23"/>
                <w:sz w:val="18"/>
              </w:rPr>
              <w:t> </w:t>
            </w:r>
            <w:r>
              <w:rPr>
                <w:sz w:val="18"/>
              </w:rPr>
              <w:t>electores.</w:t>
            </w:r>
          </w:p>
        </w:tc>
        <w:tc>
          <w:tcPr>
            <w:tcW w:w="1342" w:type="dxa"/>
          </w:tcPr>
          <w:p>
            <w:pPr>
              <w:pStyle w:val="TableParagraph"/>
              <w:spacing w:before="6"/>
              <w:jc w:val="left"/>
              <w:rPr>
                <w:sz w:val="20"/>
              </w:rPr>
            </w:pPr>
          </w:p>
          <w:p>
            <w:pPr>
              <w:pStyle w:val="TableParagraph"/>
              <w:ind w:left="103"/>
              <w:jc w:val="left"/>
              <w:rPr>
                <w:sz w:val="18"/>
              </w:rPr>
            </w:pPr>
            <w:r>
              <w:rPr>
                <w:sz w:val="18"/>
              </w:rPr>
              <w:t>Sartori (1993)</w:t>
            </w:r>
          </w:p>
        </w:tc>
      </w:tr>
      <w:tr>
        <w:trPr>
          <w:trHeight w:val="963" w:hRule="exact"/>
        </w:trPr>
        <w:tc>
          <w:tcPr>
            <w:tcW w:w="1514" w:type="dxa"/>
            <w:vMerge/>
          </w:tcPr>
          <w:p>
            <w:pPr/>
          </w:p>
        </w:tc>
        <w:tc>
          <w:tcPr>
            <w:tcW w:w="5972" w:type="dxa"/>
          </w:tcPr>
          <w:p>
            <w:pPr>
              <w:pStyle w:val="TableParagraph"/>
              <w:spacing w:line="276" w:lineRule="auto" w:before="1"/>
              <w:ind w:left="100" w:right="100"/>
              <w:jc w:val="both"/>
              <w:rPr>
                <w:sz w:val="18"/>
              </w:rPr>
            </w:pPr>
            <w:r>
              <w:rPr>
                <w:sz w:val="18"/>
              </w:rPr>
              <w:t>Es un sistema de gobierno en el cual los gobernantes son considerados responsables por sus acciones en la esfera pública, por parte de los ciudadanos que actúan indirectamente a través de la </w:t>
            </w:r>
            <w:r>
              <w:rPr>
                <w:i/>
                <w:sz w:val="18"/>
              </w:rPr>
              <w:t>competición y la </w:t>
            </w:r>
            <w:r>
              <w:rPr>
                <w:i/>
                <w:sz w:val="18"/>
              </w:rPr>
              <w:t>cooperación </w:t>
            </w:r>
            <w:r>
              <w:rPr>
                <w:sz w:val="18"/>
              </w:rPr>
              <w:t>de sus representantes electos.</w:t>
            </w:r>
          </w:p>
        </w:tc>
        <w:tc>
          <w:tcPr>
            <w:tcW w:w="1342" w:type="dxa"/>
          </w:tcPr>
          <w:p>
            <w:pPr>
              <w:pStyle w:val="TableParagraph"/>
              <w:spacing w:before="9"/>
              <w:jc w:val="left"/>
              <w:rPr>
                <w:sz w:val="20"/>
              </w:rPr>
            </w:pPr>
          </w:p>
          <w:p>
            <w:pPr>
              <w:pStyle w:val="TableParagraph"/>
              <w:spacing w:line="276" w:lineRule="auto"/>
              <w:ind w:left="103" w:right="309"/>
              <w:jc w:val="left"/>
              <w:rPr>
                <w:sz w:val="18"/>
              </w:rPr>
            </w:pPr>
            <w:r>
              <w:rPr>
                <w:sz w:val="18"/>
              </w:rPr>
              <w:t>Schmitter y Karl (1993)</w:t>
            </w:r>
          </w:p>
        </w:tc>
      </w:tr>
      <w:tr>
        <w:trPr>
          <w:trHeight w:val="725" w:hRule="exact"/>
        </w:trPr>
        <w:tc>
          <w:tcPr>
            <w:tcW w:w="1514" w:type="dxa"/>
          </w:tcPr>
          <w:p>
            <w:pPr>
              <w:pStyle w:val="TableParagraph"/>
              <w:spacing w:before="9"/>
              <w:jc w:val="left"/>
              <w:rPr>
                <w:sz w:val="20"/>
              </w:rPr>
            </w:pPr>
          </w:p>
          <w:p>
            <w:pPr>
              <w:pStyle w:val="TableParagraph"/>
              <w:ind w:left="103"/>
              <w:jc w:val="left"/>
              <w:rPr>
                <w:sz w:val="18"/>
              </w:rPr>
            </w:pPr>
            <w:r>
              <w:rPr>
                <w:sz w:val="18"/>
              </w:rPr>
              <w:t>Procedimental</w:t>
            </w:r>
          </w:p>
        </w:tc>
        <w:tc>
          <w:tcPr>
            <w:tcW w:w="5972" w:type="dxa"/>
          </w:tcPr>
          <w:p>
            <w:pPr>
              <w:pStyle w:val="TableParagraph"/>
              <w:spacing w:line="276" w:lineRule="auto" w:before="1"/>
              <w:ind w:left="100" w:right="103"/>
              <w:jc w:val="both"/>
              <w:rPr>
                <w:sz w:val="18"/>
              </w:rPr>
            </w:pPr>
            <w:r>
              <w:rPr>
                <w:sz w:val="18"/>
              </w:rPr>
              <w:t>Es</w:t>
            </w:r>
            <w:r>
              <w:rPr>
                <w:spacing w:val="-14"/>
                <w:sz w:val="18"/>
              </w:rPr>
              <w:t> </w:t>
            </w:r>
            <w:r>
              <w:rPr>
                <w:sz w:val="18"/>
              </w:rPr>
              <w:t>el</w:t>
            </w:r>
            <w:r>
              <w:rPr>
                <w:spacing w:val="-14"/>
                <w:sz w:val="18"/>
              </w:rPr>
              <w:t> </w:t>
            </w:r>
            <w:r>
              <w:rPr>
                <w:sz w:val="18"/>
              </w:rPr>
              <w:t>instrumento</w:t>
            </w:r>
            <w:r>
              <w:rPr>
                <w:spacing w:val="-16"/>
                <w:sz w:val="18"/>
              </w:rPr>
              <w:t> </w:t>
            </w:r>
            <w:r>
              <w:rPr>
                <w:sz w:val="18"/>
              </w:rPr>
              <w:t>institucional</w:t>
            </w:r>
            <w:r>
              <w:rPr>
                <w:spacing w:val="-16"/>
                <w:sz w:val="18"/>
              </w:rPr>
              <w:t> </w:t>
            </w:r>
            <w:r>
              <w:rPr>
                <w:sz w:val="18"/>
              </w:rPr>
              <w:t>para</w:t>
            </w:r>
            <w:r>
              <w:rPr>
                <w:spacing w:val="-15"/>
                <w:sz w:val="18"/>
              </w:rPr>
              <w:t> </w:t>
            </w:r>
            <w:r>
              <w:rPr>
                <w:sz w:val="18"/>
              </w:rPr>
              <w:t>llegar</w:t>
            </w:r>
            <w:r>
              <w:rPr>
                <w:spacing w:val="-16"/>
                <w:sz w:val="18"/>
              </w:rPr>
              <w:t> </w:t>
            </w:r>
            <w:r>
              <w:rPr>
                <w:sz w:val="18"/>
              </w:rPr>
              <w:t>a</w:t>
            </w:r>
            <w:r>
              <w:rPr>
                <w:spacing w:val="-15"/>
                <w:sz w:val="18"/>
              </w:rPr>
              <w:t> </w:t>
            </w:r>
            <w:r>
              <w:rPr>
                <w:sz w:val="18"/>
              </w:rPr>
              <w:t>decisiones</w:t>
            </w:r>
            <w:r>
              <w:rPr>
                <w:spacing w:val="-16"/>
                <w:sz w:val="18"/>
              </w:rPr>
              <w:t> </w:t>
            </w:r>
            <w:r>
              <w:rPr>
                <w:sz w:val="18"/>
              </w:rPr>
              <w:t>políticas,</w:t>
            </w:r>
            <w:r>
              <w:rPr>
                <w:spacing w:val="-15"/>
                <w:sz w:val="18"/>
              </w:rPr>
              <w:t> </w:t>
            </w:r>
            <w:r>
              <w:rPr>
                <w:sz w:val="18"/>
              </w:rPr>
              <w:t>con</w:t>
            </w:r>
            <w:r>
              <w:rPr>
                <w:spacing w:val="-15"/>
                <w:sz w:val="18"/>
              </w:rPr>
              <w:t> </w:t>
            </w:r>
            <w:r>
              <w:rPr>
                <w:sz w:val="18"/>
              </w:rPr>
              <w:t>base en</w:t>
            </w:r>
            <w:r>
              <w:rPr>
                <w:spacing w:val="-10"/>
                <w:sz w:val="18"/>
              </w:rPr>
              <w:t> </w:t>
            </w:r>
            <w:r>
              <w:rPr>
                <w:sz w:val="18"/>
              </w:rPr>
              <w:t>el</w:t>
            </w:r>
            <w:r>
              <w:rPr>
                <w:spacing w:val="-12"/>
                <w:sz w:val="18"/>
              </w:rPr>
              <w:t> </w:t>
            </w:r>
            <w:r>
              <w:rPr>
                <w:sz w:val="18"/>
              </w:rPr>
              <w:t>cual</w:t>
            </w:r>
            <w:r>
              <w:rPr>
                <w:spacing w:val="-10"/>
                <w:sz w:val="18"/>
              </w:rPr>
              <w:t> </w:t>
            </w:r>
            <w:r>
              <w:rPr>
                <w:sz w:val="18"/>
              </w:rPr>
              <w:t>los</w:t>
            </w:r>
            <w:r>
              <w:rPr>
                <w:spacing w:val="-12"/>
                <w:sz w:val="18"/>
              </w:rPr>
              <w:t> </w:t>
            </w:r>
            <w:r>
              <w:rPr>
                <w:sz w:val="18"/>
              </w:rPr>
              <w:t>individuos</w:t>
            </w:r>
            <w:r>
              <w:rPr>
                <w:spacing w:val="-9"/>
                <w:sz w:val="18"/>
              </w:rPr>
              <w:t> </w:t>
            </w:r>
            <w:r>
              <w:rPr>
                <w:sz w:val="18"/>
              </w:rPr>
              <w:t>particulares</w:t>
            </w:r>
            <w:r>
              <w:rPr>
                <w:spacing w:val="-12"/>
                <w:sz w:val="18"/>
              </w:rPr>
              <w:t> </w:t>
            </w:r>
            <w:r>
              <w:rPr>
                <w:sz w:val="18"/>
              </w:rPr>
              <w:t>obtienen</w:t>
            </w:r>
            <w:r>
              <w:rPr>
                <w:spacing w:val="-10"/>
                <w:sz w:val="18"/>
              </w:rPr>
              <w:t> </w:t>
            </w:r>
            <w:r>
              <w:rPr>
                <w:sz w:val="18"/>
              </w:rPr>
              <w:t>el</w:t>
            </w:r>
            <w:r>
              <w:rPr>
                <w:spacing w:val="-10"/>
                <w:sz w:val="18"/>
              </w:rPr>
              <w:t> </w:t>
            </w:r>
            <w:r>
              <w:rPr>
                <w:sz w:val="18"/>
              </w:rPr>
              <w:t>poder</w:t>
            </w:r>
            <w:r>
              <w:rPr>
                <w:spacing w:val="-10"/>
                <w:sz w:val="18"/>
              </w:rPr>
              <w:t> </w:t>
            </w:r>
            <w:r>
              <w:rPr>
                <w:sz w:val="18"/>
              </w:rPr>
              <w:t>de</w:t>
            </w:r>
            <w:r>
              <w:rPr>
                <w:spacing w:val="-10"/>
                <w:sz w:val="18"/>
              </w:rPr>
              <w:t> </w:t>
            </w:r>
            <w:r>
              <w:rPr>
                <w:sz w:val="18"/>
              </w:rPr>
              <w:t>decidir</w:t>
            </w:r>
            <w:r>
              <w:rPr>
                <w:spacing w:val="-10"/>
                <w:sz w:val="18"/>
              </w:rPr>
              <w:t> </w:t>
            </w:r>
            <w:r>
              <w:rPr>
                <w:sz w:val="18"/>
              </w:rPr>
              <w:t>a</w:t>
            </w:r>
            <w:r>
              <w:rPr>
                <w:spacing w:val="-10"/>
                <w:sz w:val="18"/>
              </w:rPr>
              <w:t> </w:t>
            </w:r>
            <w:r>
              <w:rPr>
                <w:sz w:val="18"/>
              </w:rPr>
              <w:t>través de una competición que tiene por objeto el voto</w:t>
            </w:r>
            <w:r>
              <w:rPr>
                <w:spacing w:val="-25"/>
                <w:sz w:val="18"/>
              </w:rPr>
              <w:t> </w:t>
            </w:r>
            <w:r>
              <w:rPr>
                <w:sz w:val="18"/>
              </w:rPr>
              <w:t>popular.</w:t>
            </w:r>
          </w:p>
        </w:tc>
        <w:tc>
          <w:tcPr>
            <w:tcW w:w="1342" w:type="dxa"/>
          </w:tcPr>
          <w:p>
            <w:pPr>
              <w:pStyle w:val="TableParagraph"/>
              <w:spacing w:line="276" w:lineRule="auto" w:before="1"/>
              <w:ind w:left="103" w:right="239"/>
              <w:jc w:val="left"/>
              <w:rPr>
                <w:sz w:val="18"/>
              </w:rPr>
            </w:pPr>
            <w:r>
              <w:rPr>
                <w:sz w:val="18"/>
              </w:rPr>
              <w:t>Schumpeter (1964)</w:t>
            </w:r>
          </w:p>
        </w:tc>
      </w:tr>
      <w:tr>
        <w:trPr>
          <w:trHeight w:val="962" w:hRule="exact"/>
        </w:trPr>
        <w:tc>
          <w:tcPr>
            <w:tcW w:w="1514" w:type="dxa"/>
          </w:tcPr>
          <w:p>
            <w:pPr>
              <w:pStyle w:val="TableParagraph"/>
              <w:spacing w:before="6"/>
              <w:jc w:val="left"/>
              <w:rPr>
                <w:sz w:val="20"/>
              </w:rPr>
            </w:pPr>
          </w:p>
          <w:p>
            <w:pPr>
              <w:pStyle w:val="TableParagraph"/>
              <w:ind w:left="103" w:right="235"/>
              <w:jc w:val="left"/>
              <w:rPr>
                <w:sz w:val="18"/>
              </w:rPr>
            </w:pPr>
            <w:r>
              <w:rPr>
                <w:sz w:val="18"/>
              </w:rPr>
              <w:t>Genética</w:t>
            </w:r>
          </w:p>
        </w:tc>
        <w:tc>
          <w:tcPr>
            <w:tcW w:w="5972" w:type="dxa"/>
          </w:tcPr>
          <w:p>
            <w:pPr>
              <w:pStyle w:val="TableParagraph"/>
              <w:spacing w:line="276" w:lineRule="auto"/>
              <w:ind w:left="100" w:right="100"/>
              <w:jc w:val="both"/>
              <w:rPr>
                <w:sz w:val="18"/>
              </w:rPr>
            </w:pPr>
            <w:r>
              <w:rPr>
                <w:sz w:val="18"/>
              </w:rPr>
              <w:t>Conjunto de normas y procedimientos que resultan de un acuerdo compromiso</w:t>
            </w:r>
            <w:r>
              <w:rPr>
                <w:spacing w:val="-10"/>
                <w:sz w:val="18"/>
              </w:rPr>
              <w:t> </w:t>
            </w:r>
            <w:r>
              <w:rPr>
                <w:sz w:val="18"/>
              </w:rPr>
              <w:t>para</w:t>
            </w:r>
            <w:r>
              <w:rPr>
                <w:spacing w:val="-10"/>
                <w:sz w:val="18"/>
              </w:rPr>
              <w:t> </w:t>
            </w:r>
            <w:r>
              <w:rPr>
                <w:sz w:val="18"/>
              </w:rPr>
              <w:t>la</w:t>
            </w:r>
            <w:r>
              <w:rPr>
                <w:spacing w:val="-10"/>
                <w:sz w:val="18"/>
              </w:rPr>
              <w:t> </w:t>
            </w:r>
            <w:r>
              <w:rPr>
                <w:sz w:val="18"/>
              </w:rPr>
              <w:t>resolución</w:t>
            </w:r>
            <w:r>
              <w:rPr>
                <w:spacing w:val="-12"/>
                <w:sz w:val="18"/>
              </w:rPr>
              <w:t> </w:t>
            </w:r>
            <w:r>
              <w:rPr>
                <w:sz w:val="18"/>
              </w:rPr>
              <w:t>pacífica</w:t>
            </w:r>
            <w:r>
              <w:rPr>
                <w:spacing w:val="-10"/>
                <w:sz w:val="18"/>
              </w:rPr>
              <w:t> </w:t>
            </w:r>
            <w:r>
              <w:rPr>
                <w:sz w:val="18"/>
              </w:rPr>
              <w:t>de</w:t>
            </w:r>
            <w:r>
              <w:rPr>
                <w:spacing w:val="-10"/>
                <w:sz w:val="18"/>
              </w:rPr>
              <w:t> </w:t>
            </w:r>
            <w:r>
              <w:rPr>
                <w:sz w:val="18"/>
              </w:rPr>
              <w:t>los</w:t>
            </w:r>
            <w:r>
              <w:rPr>
                <w:spacing w:val="-12"/>
                <w:sz w:val="18"/>
              </w:rPr>
              <w:t> </w:t>
            </w:r>
            <w:r>
              <w:rPr>
                <w:sz w:val="18"/>
              </w:rPr>
              <w:t>conflictos</w:t>
            </w:r>
            <w:r>
              <w:rPr>
                <w:spacing w:val="-9"/>
                <w:sz w:val="18"/>
              </w:rPr>
              <w:t> </w:t>
            </w:r>
            <w:r>
              <w:rPr>
                <w:sz w:val="18"/>
              </w:rPr>
              <w:t>entre</w:t>
            </w:r>
            <w:r>
              <w:rPr>
                <w:spacing w:val="-7"/>
                <w:sz w:val="18"/>
              </w:rPr>
              <w:t> </w:t>
            </w:r>
            <w:r>
              <w:rPr>
                <w:sz w:val="18"/>
              </w:rPr>
              <w:t>los</w:t>
            </w:r>
            <w:r>
              <w:rPr>
                <w:spacing w:val="-12"/>
                <w:sz w:val="18"/>
              </w:rPr>
              <w:t> </w:t>
            </w:r>
            <w:r>
              <w:rPr>
                <w:sz w:val="18"/>
              </w:rPr>
              <w:t>actores sociales,</w:t>
            </w:r>
            <w:r>
              <w:rPr>
                <w:spacing w:val="-9"/>
                <w:sz w:val="18"/>
              </w:rPr>
              <w:t> </w:t>
            </w:r>
            <w:r>
              <w:rPr>
                <w:sz w:val="18"/>
              </w:rPr>
              <w:t>políticamente</w:t>
            </w:r>
            <w:r>
              <w:rPr>
                <w:spacing w:val="-8"/>
                <w:sz w:val="18"/>
              </w:rPr>
              <w:t> </w:t>
            </w:r>
            <w:r>
              <w:rPr>
                <w:sz w:val="18"/>
              </w:rPr>
              <w:t>relevantes</w:t>
            </w:r>
            <w:r>
              <w:rPr>
                <w:spacing w:val="-8"/>
                <w:sz w:val="18"/>
              </w:rPr>
              <w:t> </w:t>
            </w:r>
            <w:r>
              <w:rPr>
                <w:sz w:val="18"/>
              </w:rPr>
              <w:t>y</w:t>
            </w:r>
            <w:r>
              <w:rPr>
                <w:spacing w:val="-10"/>
                <w:sz w:val="18"/>
              </w:rPr>
              <w:t> </w:t>
            </w:r>
            <w:r>
              <w:rPr>
                <w:sz w:val="18"/>
              </w:rPr>
              <w:t>los</w:t>
            </w:r>
            <w:r>
              <w:rPr>
                <w:spacing w:val="-8"/>
                <w:sz w:val="18"/>
              </w:rPr>
              <w:t> </w:t>
            </w:r>
            <w:r>
              <w:rPr>
                <w:sz w:val="18"/>
              </w:rPr>
              <w:t>actores</w:t>
            </w:r>
            <w:r>
              <w:rPr>
                <w:spacing w:val="-8"/>
                <w:sz w:val="18"/>
              </w:rPr>
              <w:t> </w:t>
            </w:r>
            <w:r>
              <w:rPr>
                <w:sz w:val="18"/>
              </w:rPr>
              <w:t>institucionales</w:t>
            </w:r>
            <w:r>
              <w:rPr>
                <w:spacing w:val="-8"/>
                <w:sz w:val="18"/>
              </w:rPr>
              <w:t> </w:t>
            </w:r>
            <w:r>
              <w:rPr>
                <w:sz w:val="18"/>
              </w:rPr>
              <w:t>presentes en la arena</w:t>
            </w:r>
            <w:r>
              <w:rPr>
                <w:spacing w:val="-7"/>
                <w:sz w:val="18"/>
              </w:rPr>
              <w:t> </w:t>
            </w:r>
            <w:r>
              <w:rPr>
                <w:sz w:val="18"/>
              </w:rPr>
              <w:t>política.</w:t>
            </w:r>
          </w:p>
        </w:tc>
        <w:tc>
          <w:tcPr>
            <w:tcW w:w="1342" w:type="dxa"/>
          </w:tcPr>
          <w:p>
            <w:pPr>
              <w:pStyle w:val="TableParagraph"/>
              <w:spacing w:line="276" w:lineRule="auto"/>
              <w:ind w:left="103" w:right="619"/>
              <w:jc w:val="left"/>
              <w:rPr>
                <w:sz w:val="18"/>
              </w:rPr>
            </w:pPr>
            <w:r>
              <w:rPr>
                <w:sz w:val="18"/>
              </w:rPr>
              <w:t>Morlino (2005)</w:t>
            </w:r>
          </w:p>
        </w:tc>
      </w:tr>
      <w:tr>
        <w:trPr>
          <w:trHeight w:val="962" w:hRule="exact"/>
        </w:trPr>
        <w:tc>
          <w:tcPr>
            <w:tcW w:w="1514" w:type="dxa"/>
          </w:tcPr>
          <w:p>
            <w:pPr>
              <w:pStyle w:val="TableParagraph"/>
              <w:spacing w:before="6"/>
              <w:jc w:val="left"/>
              <w:rPr>
                <w:sz w:val="20"/>
              </w:rPr>
            </w:pPr>
          </w:p>
          <w:p>
            <w:pPr>
              <w:pStyle w:val="TableParagraph"/>
              <w:ind w:left="103" w:right="235"/>
              <w:jc w:val="left"/>
              <w:rPr>
                <w:sz w:val="18"/>
              </w:rPr>
            </w:pPr>
            <w:r>
              <w:rPr>
                <w:sz w:val="18"/>
              </w:rPr>
              <w:t>Mínima</w:t>
            </w:r>
          </w:p>
        </w:tc>
        <w:tc>
          <w:tcPr>
            <w:tcW w:w="5972" w:type="dxa"/>
          </w:tcPr>
          <w:p>
            <w:pPr>
              <w:pStyle w:val="TableParagraph"/>
              <w:spacing w:line="276" w:lineRule="auto"/>
              <w:ind w:left="100" w:right="100"/>
              <w:jc w:val="both"/>
              <w:rPr>
                <w:sz w:val="18"/>
              </w:rPr>
            </w:pPr>
            <w:r>
              <w:rPr>
                <w:sz w:val="18"/>
              </w:rPr>
              <w:t>Se consideran democráticos todos los regímenes que presentan al menos:</w:t>
            </w:r>
            <w:r>
              <w:rPr>
                <w:spacing w:val="-4"/>
                <w:sz w:val="18"/>
              </w:rPr>
              <w:t> </w:t>
            </w:r>
            <w:r>
              <w:rPr>
                <w:sz w:val="18"/>
              </w:rPr>
              <w:t>a)</w:t>
            </w:r>
            <w:r>
              <w:rPr>
                <w:spacing w:val="-4"/>
                <w:sz w:val="18"/>
              </w:rPr>
              <w:t> </w:t>
            </w:r>
            <w:r>
              <w:rPr>
                <w:sz w:val="18"/>
              </w:rPr>
              <w:t>Sufragio</w:t>
            </w:r>
            <w:r>
              <w:rPr>
                <w:spacing w:val="-4"/>
                <w:sz w:val="18"/>
              </w:rPr>
              <w:t> </w:t>
            </w:r>
            <w:r>
              <w:rPr>
                <w:sz w:val="18"/>
              </w:rPr>
              <w:t>universal</w:t>
            </w:r>
            <w:r>
              <w:rPr>
                <w:spacing w:val="-6"/>
                <w:sz w:val="18"/>
              </w:rPr>
              <w:t> </w:t>
            </w:r>
            <w:r>
              <w:rPr>
                <w:sz w:val="18"/>
              </w:rPr>
              <w:t>masculino</w:t>
            </w:r>
            <w:r>
              <w:rPr>
                <w:spacing w:val="-4"/>
                <w:sz w:val="18"/>
              </w:rPr>
              <w:t> </w:t>
            </w:r>
            <w:r>
              <w:rPr>
                <w:sz w:val="18"/>
              </w:rPr>
              <w:t>y</w:t>
            </w:r>
            <w:r>
              <w:rPr>
                <w:spacing w:val="-6"/>
                <w:sz w:val="18"/>
              </w:rPr>
              <w:t> </w:t>
            </w:r>
            <w:r>
              <w:rPr>
                <w:sz w:val="18"/>
              </w:rPr>
              <w:t>femenino;</w:t>
            </w:r>
            <w:r>
              <w:rPr>
                <w:spacing w:val="-4"/>
                <w:sz w:val="18"/>
              </w:rPr>
              <w:t> </w:t>
            </w:r>
            <w:r>
              <w:rPr>
                <w:sz w:val="18"/>
              </w:rPr>
              <w:t>b)</w:t>
            </w:r>
            <w:r>
              <w:rPr>
                <w:spacing w:val="-7"/>
                <w:sz w:val="18"/>
              </w:rPr>
              <w:t> </w:t>
            </w:r>
            <w:r>
              <w:rPr>
                <w:sz w:val="18"/>
              </w:rPr>
              <w:t>elecciones</w:t>
            </w:r>
            <w:r>
              <w:rPr>
                <w:spacing w:val="-3"/>
                <w:sz w:val="18"/>
              </w:rPr>
              <w:t> </w:t>
            </w:r>
            <w:r>
              <w:rPr>
                <w:sz w:val="18"/>
              </w:rPr>
              <w:t>libres, competidas, periódicas, correctas; c) más de un partido, d) fuentes de información diferentes y</w:t>
            </w:r>
            <w:r>
              <w:rPr>
                <w:spacing w:val="-14"/>
                <w:sz w:val="18"/>
              </w:rPr>
              <w:t> </w:t>
            </w:r>
            <w:r>
              <w:rPr>
                <w:sz w:val="18"/>
              </w:rPr>
              <w:t>alternas.</w:t>
            </w:r>
          </w:p>
        </w:tc>
        <w:tc>
          <w:tcPr>
            <w:tcW w:w="1342" w:type="dxa"/>
          </w:tcPr>
          <w:p>
            <w:pPr>
              <w:pStyle w:val="TableParagraph"/>
              <w:spacing w:line="276" w:lineRule="auto"/>
              <w:ind w:left="103" w:right="619"/>
              <w:jc w:val="left"/>
              <w:rPr>
                <w:sz w:val="18"/>
              </w:rPr>
            </w:pPr>
            <w:r>
              <w:rPr>
                <w:sz w:val="18"/>
              </w:rPr>
              <w:t>Morlino (2005)</w:t>
            </w:r>
          </w:p>
        </w:tc>
      </w:tr>
      <w:tr>
        <w:trPr>
          <w:trHeight w:val="485" w:hRule="exact"/>
        </w:trPr>
        <w:tc>
          <w:tcPr>
            <w:tcW w:w="1514" w:type="dxa"/>
          </w:tcPr>
          <w:p>
            <w:pPr>
              <w:pStyle w:val="TableParagraph"/>
              <w:spacing w:line="206" w:lineRule="exact"/>
              <w:ind w:left="103" w:right="235"/>
              <w:jc w:val="left"/>
              <w:rPr>
                <w:sz w:val="18"/>
              </w:rPr>
            </w:pPr>
            <w:r>
              <w:rPr>
                <w:sz w:val="18"/>
              </w:rPr>
              <w:t>Normativa</w:t>
            </w:r>
          </w:p>
        </w:tc>
        <w:tc>
          <w:tcPr>
            <w:tcW w:w="5972" w:type="dxa"/>
          </w:tcPr>
          <w:p>
            <w:pPr>
              <w:pStyle w:val="TableParagraph"/>
              <w:spacing w:line="276" w:lineRule="auto"/>
              <w:ind w:left="100"/>
              <w:jc w:val="left"/>
              <w:rPr>
                <w:sz w:val="18"/>
              </w:rPr>
            </w:pPr>
            <w:r>
              <w:rPr>
                <w:sz w:val="18"/>
              </w:rPr>
              <w:t>Régimen que debe crear las mejores oportunidades institucionales para garantizar la oportunidad y la igualdad.</w:t>
            </w:r>
          </w:p>
        </w:tc>
        <w:tc>
          <w:tcPr>
            <w:tcW w:w="1342" w:type="dxa"/>
          </w:tcPr>
          <w:p>
            <w:pPr>
              <w:pStyle w:val="TableParagraph"/>
              <w:spacing w:line="206" w:lineRule="exact"/>
              <w:ind w:left="103"/>
              <w:jc w:val="left"/>
              <w:rPr>
                <w:sz w:val="18"/>
              </w:rPr>
            </w:pPr>
            <w:r>
              <w:rPr>
                <w:sz w:val="18"/>
              </w:rPr>
              <w:t>Held (1989)</w:t>
            </w:r>
          </w:p>
        </w:tc>
      </w:tr>
    </w:tbl>
    <w:p>
      <w:pPr>
        <w:spacing w:before="1"/>
        <w:ind w:left="214" w:right="0" w:firstLine="0"/>
        <w:jc w:val="left"/>
        <w:rPr>
          <w:sz w:val="16"/>
        </w:rPr>
      </w:pPr>
      <w:r>
        <w:rPr>
          <w:sz w:val="16"/>
        </w:rPr>
        <w:t>Fuente: Elaboración propia con base en Morlino (2005)</w:t>
      </w:r>
    </w:p>
    <w:p>
      <w:pPr>
        <w:pStyle w:val="BodyText"/>
        <w:rPr>
          <w:sz w:val="20"/>
        </w:rPr>
      </w:pPr>
    </w:p>
    <w:p>
      <w:pPr>
        <w:pStyle w:val="BodyText"/>
        <w:spacing w:before="1"/>
        <w:rPr>
          <w:sz w:val="26"/>
        </w:rPr>
      </w:pPr>
    </w:p>
    <w:p>
      <w:pPr>
        <w:pStyle w:val="BodyText"/>
        <w:spacing w:line="360" w:lineRule="auto" w:before="70"/>
        <w:ind w:left="102" w:right="127"/>
        <w:jc w:val="both"/>
      </w:pPr>
      <w:r>
        <w:rPr/>
        <w:t>Para llegar a una primera definición empírica, señala Morlino (2005), es necesario conocer cuáles son las normas e instituciones que distinguen a un régimen democrático, siendo estas las siguientes:</w:t>
      </w:r>
    </w:p>
    <w:p>
      <w:pPr>
        <w:pStyle w:val="BodyText"/>
      </w:pPr>
    </w:p>
    <w:p>
      <w:pPr>
        <w:pStyle w:val="BodyText"/>
      </w:pPr>
    </w:p>
    <w:p>
      <w:pPr>
        <w:pStyle w:val="ListParagraph"/>
        <w:numPr>
          <w:ilvl w:val="1"/>
          <w:numId w:val="5"/>
        </w:numPr>
        <w:tabs>
          <w:tab w:pos="821" w:val="left" w:leader="none"/>
          <w:tab w:pos="822" w:val="left" w:leader="none"/>
        </w:tabs>
        <w:spacing w:line="273" w:lineRule="auto" w:before="183" w:after="0"/>
        <w:ind w:left="822" w:right="125" w:hanging="360"/>
        <w:jc w:val="left"/>
        <w:rPr>
          <w:rFonts w:ascii="Symbol"/>
          <w:sz w:val="24"/>
        </w:rPr>
      </w:pPr>
      <w:r>
        <w:rPr>
          <w:sz w:val="24"/>
        </w:rPr>
        <w:t>El conjunto de reglas formales o procedimientos que disciplinan el voto de sufragio</w:t>
      </w:r>
      <w:r>
        <w:rPr>
          <w:spacing w:val="-6"/>
          <w:sz w:val="24"/>
        </w:rPr>
        <w:t> </w:t>
      </w:r>
      <w:r>
        <w:rPr>
          <w:sz w:val="24"/>
        </w:rPr>
        <w:t>universal.</w:t>
      </w:r>
    </w:p>
    <w:p>
      <w:pPr>
        <w:pStyle w:val="ListParagraph"/>
        <w:numPr>
          <w:ilvl w:val="1"/>
          <w:numId w:val="5"/>
        </w:numPr>
        <w:tabs>
          <w:tab w:pos="821" w:val="left" w:leader="none"/>
          <w:tab w:pos="822" w:val="left" w:leader="none"/>
        </w:tabs>
        <w:spacing w:line="240" w:lineRule="auto" w:before="2" w:after="0"/>
        <w:ind w:left="822" w:right="0" w:hanging="360"/>
        <w:jc w:val="left"/>
        <w:rPr>
          <w:rFonts w:ascii="Symbol" w:hAnsi="Symbol"/>
          <w:sz w:val="24"/>
        </w:rPr>
      </w:pPr>
      <w:r>
        <w:rPr>
          <w:sz w:val="24"/>
        </w:rPr>
        <w:t>Las elecciones libres, correctas, competitivas y</w:t>
      </w:r>
      <w:r>
        <w:rPr>
          <w:spacing w:val="-18"/>
          <w:sz w:val="24"/>
        </w:rPr>
        <w:t> </w:t>
      </w:r>
      <w:r>
        <w:rPr>
          <w:sz w:val="24"/>
        </w:rPr>
        <w:t>periódicas.</w:t>
      </w:r>
    </w:p>
    <w:p>
      <w:pPr>
        <w:pStyle w:val="ListParagraph"/>
        <w:numPr>
          <w:ilvl w:val="1"/>
          <w:numId w:val="5"/>
        </w:numPr>
        <w:tabs>
          <w:tab w:pos="821" w:val="left" w:leader="none"/>
          <w:tab w:pos="822" w:val="left" w:leader="none"/>
        </w:tabs>
        <w:spacing w:line="273" w:lineRule="auto" w:before="39" w:after="0"/>
        <w:ind w:left="822" w:right="125" w:hanging="360"/>
        <w:jc w:val="left"/>
        <w:rPr>
          <w:rFonts w:ascii="Symbol"/>
          <w:sz w:val="24"/>
        </w:rPr>
      </w:pPr>
      <w:r>
        <w:rPr>
          <w:sz w:val="24"/>
        </w:rPr>
        <w:t>Una estructura decisional y de control seleccionada por las normas </w:t>
      </w:r>
      <w:r>
        <w:rPr>
          <w:spacing w:val="-3"/>
          <w:sz w:val="24"/>
        </w:rPr>
        <w:t>ya </w:t>
      </w:r>
      <w:r>
        <w:rPr>
          <w:sz w:val="24"/>
        </w:rPr>
        <w:t>mencionadas o del</w:t>
      </w:r>
      <w:r>
        <w:rPr>
          <w:spacing w:val="-10"/>
          <w:sz w:val="24"/>
        </w:rPr>
        <w:t> </w:t>
      </w:r>
      <w:r>
        <w:rPr>
          <w:sz w:val="24"/>
        </w:rPr>
        <w:t>parlamento.</w:t>
      </w:r>
    </w:p>
    <w:p>
      <w:pPr>
        <w:pStyle w:val="ListParagraph"/>
        <w:numPr>
          <w:ilvl w:val="1"/>
          <w:numId w:val="5"/>
        </w:numPr>
        <w:tabs>
          <w:tab w:pos="821" w:val="left" w:leader="none"/>
          <w:tab w:pos="822" w:val="left" w:leader="none"/>
        </w:tabs>
        <w:spacing w:line="273" w:lineRule="auto" w:before="4" w:after="0"/>
        <w:ind w:left="822" w:right="126" w:hanging="360"/>
        <w:jc w:val="left"/>
        <w:rPr>
          <w:rFonts w:ascii="Symbol" w:hAnsi="Symbol"/>
          <w:sz w:val="24"/>
        </w:rPr>
      </w:pPr>
      <w:r>
        <w:rPr>
          <w:sz w:val="24"/>
        </w:rPr>
        <w:t>Un primer ministro o un gobierno responsable hacia el parlamento o surgido de una elección directa por parte del cuerpo</w:t>
      </w:r>
      <w:r>
        <w:rPr>
          <w:spacing w:val="-21"/>
          <w:sz w:val="24"/>
        </w:rPr>
        <w:t> </w:t>
      </w:r>
      <w:r>
        <w:rPr>
          <w:sz w:val="24"/>
        </w:rPr>
        <w:t>electoral.</w:t>
      </w:r>
    </w:p>
    <w:p>
      <w:pPr>
        <w:pStyle w:val="ListParagraph"/>
        <w:numPr>
          <w:ilvl w:val="1"/>
          <w:numId w:val="5"/>
        </w:numPr>
        <w:tabs>
          <w:tab w:pos="821" w:val="left" w:leader="none"/>
          <w:tab w:pos="822" w:val="left" w:leader="none"/>
        </w:tabs>
        <w:spacing w:line="271" w:lineRule="auto" w:before="1" w:after="0"/>
        <w:ind w:left="822" w:right="123" w:hanging="360"/>
        <w:jc w:val="left"/>
        <w:rPr>
          <w:rFonts w:ascii="Symbol" w:hAnsi="Symbol"/>
          <w:sz w:val="24"/>
        </w:rPr>
      </w:pPr>
      <w:r>
        <w:rPr>
          <w:sz w:val="24"/>
        </w:rPr>
        <w:t>Un conjunto de estructuras de intermediación directas representadas por</w:t>
      </w:r>
      <w:r>
        <w:rPr>
          <w:spacing w:val="-35"/>
          <w:sz w:val="24"/>
        </w:rPr>
        <w:t> </w:t>
      </w:r>
      <w:r>
        <w:rPr>
          <w:sz w:val="24"/>
        </w:rPr>
        <w:t>los partidos y las organizaciones de</w:t>
      </w:r>
      <w:r>
        <w:rPr>
          <w:spacing w:val="-8"/>
          <w:sz w:val="24"/>
        </w:rPr>
        <w:t> </w:t>
      </w:r>
      <w:r>
        <w:rPr>
          <w:sz w:val="24"/>
        </w:rPr>
        <w:t>interés.</w:t>
      </w:r>
    </w:p>
    <w:p>
      <w:pPr>
        <w:spacing w:after="0" w:line="271" w:lineRule="auto"/>
        <w:jc w:val="left"/>
        <w:rPr>
          <w:rFonts w:ascii="Symbol" w:hAnsi="Symbol"/>
          <w:sz w:val="24"/>
        </w:rPr>
        <w:sectPr>
          <w:pgSz w:w="12240" w:h="15840"/>
          <w:pgMar w:header="0" w:footer="975" w:top="1500" w:bottom="1220" w:left="1600" w:right="1580"/>
        </w:sectPr>
      </w:pPr>
    </w:p>
    <w:p>
      <w:pPr>
        <w:pStyle w:val="BodyText"/>
        <w:spacing w:line="362" w:lineRule="auto" w:before="54"/>
        <w:ind w:left="102"/>
      </w:pPr>
      <w:r>
        <w:rPr/>
        <w:t>De igual forma que con los otros conceptos, la democracia también presenta diferentes interpretaciones, tal como se muestra en la tabla 1.2.</w:t>
      </w:r>
    </w:p>
    <w:p>
      <w:pPr>
        <w:pStyle w:val="BodyText"/>
        <w:rPr>
          <w:sz w:val="20"/>
        </w:rPr>
      </w:pPr>
    </w:p>
    <w:p>
      <w:pPr>
        <w:pStyle w:val="BodyText"/>
        <w:spacing w:before="3"/>
        <w:rPr>
          <w:sz w:val="16"/>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64"/>
        <w:gridCol w:w="1839"/>
        <w:gridCol w:w="5526"/>
      </w:tblGrid>
      <w:tr>
        <w:trPr>
          <w:trHeight w:val="408" w:hRule="exact"/>
        </w:trPr>
        <w:tc>
          <w:tcPr>
            <w:tcW w:w="8829" w:type="dxa"/>
            <w:gridSpan w:val="3"/>
            <w:shd w:val="clear" w:color="auto" w:fill="92D050"/>
          </w:tcPr>
          <w:p>
            <w:pPr>
              <w:pStyle w:val="TableParagraph"/>
              <w:spacing w:line="199" w:lineRule="exact"/>
              <w:ind w:left="2609" w:right="312"/>
              <w:jc w:val="left"/>
              <w:rPr>
                <w:b/>
                <w:sz w:val="18"/>
              </w:rPr>
            </w:pPr>
            <w:r>
              <w:rPr>
                <w:b/>
                <w:sz w:val="18"/>
              </w:rPr>
              <w:t>Tabla 1.2. Otras tipologías de democracia.</w:t>
            </w:r>
          </w:p>
        </w:tc>
      </w:tr>
      <w:tr>
        <w:trPr>
          <w:trHeight w:val="408" w:hRule="exact"/>
        </w:trPr>
        <w:tc>
          <w:tcPr>
            <w:tcW w:w="1464" w:type="dxa"/>
            <w:shd w:val="clear" w:color="auto" w:fill="92D050"/>
          </w:tcPr>
          <w:p>
            <w:pPr>
              <w:pStyle w:val="TableParagraph"/>
              <w:spacing w:line="199" w:lineRule="exact"/>
              <w:ind w:left="467" w:right="467"/>
              <w:rPr>
                <w:b/>
                <w:sz w:val="18"/>
              </w:rPr>
            </w:pPr>
            <w:r>
              <w:rPr>
                <w:b/>
                <w:sz w:val="18"/>
              </w:rPr>
              <w:t>Autor</w:t>
            </w:r>
          </w:p>
        </w:tc>
        <w:tc>
          <w:tcPr>
            <w:tcW w:w="1839" w:type="dxa"/>
            <w:shd w:val="clear" w:color="auto" w:fill="92D050"/>
          </w:tcPr>
          <w:p>
            <w:pPr>
              <w:pStyle w:val="TableParagraph"/>
              <w:spacing w:line="199" w:lineRule="exact"/>
              <w:ind w:left="627" w:right="631"/>
              <w:rPr>
                <w:b/>
                <w:sz w:val="18"/>
              </w:rPr>
            </w:pPr>
            <w:r>
              <w:rPr>
                <w:b/>
                <w:sz w:val="18"/>
              </w:rPr>
              <w:t>Tipos.</w:t>
            </w:r>
          </w:p>
        </w:tc>
        <w:tc>
          <w:tcPr>
            <w:tcW w:w="5526" w:type="dxa"/>
            <w:shd w:val="clear" w:color="auto" w:fill="92D050"/>
          </w:tcPr>
          <w:p>
            <w:pPr>
              <w:pStyle w:val="TableParagraph"/>
              <w:spacing w:line="199" w:lineRule="exact"/>
              <w:ind w:left="2092" w:right="2092"/>
              <w:rPr>
                <w:b/>
                <w:sz w:val="18"/>
              </w:rPr>
            </w:pPr>
            <w:r>
              <w:rPr>
                <w:b/>
                <w:sz w:val="18"/>
              </w:rPr>
              <w:t>Características</w:t>
            </w:r>
          </w:p>
        </w:tc>
      </w:tr>
      <w:tr>
        <w:trPr>
          <w:trHeight w:val="485" w:hRule="exact"/>
        </w:trPr>
        <w:tc>
          <w:tcPr>
            <w:tcW w:w="1464" w:type="dxa"/>
            <w:vMerge w:val="restart"/>
          </w:tcPr>
          <w:p>
            <w:pPr>
              <w:pStyle w:val="TableParagraph"/>
              <w:spacing w:before="6"/>
              <w:jc w:val="left"/>
              <w:rPr>
                <w:sz w:val="20"/>
              </w:rPr>
            </w:pPr>
          </w:p>
          <w:p>
            <w:pPr>
              <w:pStyle w:val="TableParagraph"/>
              <w:ind w:left="103"/>
              <w:jc w:val="left"/>
              <w:rPr>
                <w:sz w:val="18"/>
              </w:rPr>
            </w:pPr>
            <w:r>
              <w:rPr>
                <w:sz w:val="18"/>
              </w:rPr>
              <w:t>Finer (1970)</w:t>
            </w:r>
          </w:p>
        </w:tc>
        <w:tc>
          <w:tcPr>
            <w:tcW w:w="1839" w:type="dxa"/>
          </w:tcPr>
          <w:p>
            <w:pPr>
              <w:pStyle w:val="TableParagraph"/>
              <w:tabs>
                <w:tab w:pos="1525" w:val="left" w:leader="none"/>
              </w:tabs>
              <w:spacing w:line="276" w:lineRule="auto"/>
              <w:ind w:left="100" w:right="103"/>
              <w:jc w:val="left"/>
              <w:rPr>
                <w:sz w:val="18"/>
              </w:rPr>
            </w:pPr>
            <w:r>
              <w:rPr>
                <w:sz w:val="18"/>
              </w:rPr>
              <w:t>Democracia</w:t>
              <w:tab/>
              <w:t>de</w:t>
            </w:r>
            <w:r>
              <w:rPr>
                <w:w w:val="99"/>
                <w:sz w:val="18"/>
              </w:rPr>
              <w:t> </w:t>
            </w:r>
            <w:r>
              <w:rPr>
                <w:sz w:val="18"/>
              </w:rPr>
              <w:t>fachada.</w:t>
            </w:r>
          </w:p>
        </w:tc>
        <w:tc>
          <w:tcPr>
            <w:tcW w:w="5526" w:type="dxa"/>
          </w:tcPr>
          <w:p>
            <w:pPr>
              <w:pStyle w:val="TableParagraph"/>
              <w:spacing w:line="206" w:lineRule="exact"/>
              <w:ind w:left="103"/>
              <w:jc w:val="left"/>
              <w:rPr>
                <w:sz w:val="18"/>
              </w:rPr>
            </w:pPr>
            <w:r>
              <w:rPr>
                <w:sz w:val="18"/>
              </w:rPr>
              <w:t>Relacionado con los regímenes autoritarios.</w:t>
            </w:r>
          </w:p>
        </w:tc>
      </w:tr>
      <w:tr>
        <w:trPr>
          <w:trHeight w:val="250" w:hRule="exact"/>
        </w:trPr>
        <w:tc>
          <w:tcPr>
            <w:tcW w:w="1464" w:type="dxa"/>
            <w:vMerge/>
          </w:tcPr>
          <w:p>
            <w:pPr/>
          </w:p>
        </w:tc>
        <w:tc>
          <w:tcPr>
            <w:tcW w:w="1839" w:type="dxa"/>
          </w:tcPr>
          <w:p>
            <w:pPr>
              <w:pStyle w:val="TableParagraph"/>
              <w:spacing w:before="1"/>
              <w:ind w:left="100"/>
              <w:jc w:val="left"/>
              <w:rPr>
                <w:sz w:val="18"/>
              </w:rPr>
            </w:pPr>
            <w:r>
              <w:rPr>
                <w:sz w:val="18"/>
              </w:rPr>
              <w:t>Cuasidemocracia.</w:t>
            </w:r>
          </w:p>
        </w:tc>
        <w:tc>
          <w:tcPr>
            <w:tcW w:w="5526" w:type="dxa"/>
          </w:tcPr>
          <w:p>
            <w:pPr>
              <w:pStyle w:val="TableParagraph"/>
              <w:spacing w:before="1"/>
              <w:ind w:left="103"/>
              <w:jc w:val="left"/>
              <w:rPr>
                <w:sz w:val="18"/>
              </w:rPr>
            </w:pPr>
            <w:r>
              <w:rPr>
                <w:sz w:val="18"/>
              </w:rPr>
              <w:t>Relacionado con los regímenes tradicionales.</w:t>
            </w:r>
          </w:p>
        </w:tc>
      </w:tr>
      <w:tr>
        <w:trPr>
          <w:trHeight w:val="722" w:hRule="exact"/>
        </w:trPr>
        <w:tc>
          <w:tcPr>
            <w:tcW w:w="1464" w:type="dxa"/>
            <w:vMerge w:val="restart"/>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1"/>
              <w:jc w:val="left"/>
              <w:rPr>
                <w:sz w:val="16"/>
              </w:rPr>
            </w:pPr>
          </w:p>
          <w:p>
            <w:pPr>
              <w:pStyle w:val="TableParagraph"/>
              <w:tabs>
                <w:tab w:pos="1259" w:val="left" w:leader="none"/>
              </w:tabs>
              <w:spacing w:line="276" w:lineRule="auto" w:before="1"/>
              <w:ind w:left="103" w:right="103"/>
              <w:jc w:val="left"/>
              <w:rPr>
                <w:sz w:val="18"/>
              </w:rPr>
            </w:pPr>
            <w:r>
              <w:rPr>
                <w:sz w:val="18"/>
              </w:rPr>
              <w:t>Merkel</w:t>
              <w:tab/>
              <w:t>y Croisant</w:t>
            </w:r>
            <w:r>
              <w:rPr>
                <w:spacing w:val="-3"/>
                <w:sz w:val="18"/>
              </w:rPr>
              <w:t> </w:t>
            </w:r>
            <w:r>
              <w:rPr>
                <w:sz w:val="18"/>
              </w:rPr>
              <w:t>(2000)</w:t>
            </w:r>
          </w:p>
        </w:tc>
        <w:tc>
          <w:tcPr>
            <w:tcW w:w="1839" w:type="dxa"/>
          </w:tcPr>
          <w:p>
            <w:pPr>
              <w:pStyle w:val="TableParagraph"/>
              <w:spacing w:line="276" w:lineRule="auto"/>
              <w:ind w:left="100" w:right="749"/>
              <w:jc w:val="left"/>
              <w:rPr>
                <w:sz w:val="18"/>
              </w:rPr>
            </w:pPr>
            <w:r>
              <w:rPr>
                <w:sz w:val="18"/>
              </w:rPr>
              <w:t>Democracia protegida.</w:t>
            </w:r>
          </w:p>
        </w:tc>
        <w:tc>
          <w:tcPr>
            <w:tcW w:w="5526" w:type="dxa"/>
          </w:tcPr>
          <w:p>
            <w:pPr>
              <w:pStyle w:val="TableParagraph"/>
              <w:spacing w:line="276" w:lineRule="auto"/>
              <w:ind w:left="103" w:right="103"/>
              <w:jc w:val="both"/>
              <w:rPr>
                <w:sz w:val="18"/>
              </w:rPr>
            </w:pPr>
            <w:r>
              <w:rPr>
                <w:sz w:val="18"/>
              </w:rPr>
              <w:t>Existen límites en la expresión efectiva del voto y también en el grado</w:t>
            </w:r>
            <w:r>
              <w:rPr>
                <w:spacing w:val="-4"/>
                <w:sz w:val="18"/>
              </w:rPr>
              <w:t> </w:t>
            </w:r>
            <w:r>
              <w:rPr>
                <w:sz w:val="18"/>
              </w:rPr>
              <w:t>de</w:t>
            </w:r>
            <w:r>
              <w:rPr>
                <w:spacing w:val="-4"/>
                <w:sz w:val="18"/>
              </w:rPr>
              <w:t> </w:t>
            </w:r>
            <w:r>
              <w:rPr>
                <w:sz w:val="18"/>
              </w:rPr>
              <w:t>admisión</w:t>
            </w:r>
            <w:r>
              <w:rPr>
                <w:spacing w:val="-6"/>
                <w:sz w:val="18"/>
              </w:rPr>
              <w:t> </w:t>
            </w:r>
            <w:r>
              <w:rPr>
                <w:sz w:val="18"/>
              </w:rPr>
              <w:t>del</w:t>
            </w:r>
            <w:r>
              <w:rPr>
                <w:spacing w:val="-1"/>
                <w:sz w:val="18"/>
              </w:rPr>
              <w:t> </w:t>
            </w:r>
            <w:r>
              <w:rPr>
                <w:sz w:val="18"/>
              </w:rPr>
              <w:t>disenso</w:t>
            </w:r>
            <w:r>
              <w:rPr>
                <w:spacing w:val="-6"/>
                <w:sz w:val="18"/>
              </w:rPr>
              <w:t> </w:t>
            </w:r>
            <w:r>
              <w:rPr>
                <w:sz w:val="18"/>
              </w:rPr>
              <w:t>y</w:t>
            </w:r>
            <w:r>
              <w:rPr>
                <w:spacing w:val="-6"/>
                <w:sz w:val="18"/>
              </w:rPr>
              <w:t> </w:t>
            </w:r>
            <w:r>
              <w:rPr>
                <w:sz w:val="18"/>
              </w:rPr>
              <w:t>la</w:t>
            </w:r>
            <w:r>
              <w:rPr>
                <w:spacing w:val="-4"/>
                <w:sz w:val="18"/>
              </w:rPr>
              <w:t> </w:t>
            </w:r>
            <w:r>
              <w:rPr>
                <w:sz w:val="18"/>
              </w:rPr>
              <w:t>oposición</w:t>
            </w:r>
            <w:r>
              <w:rPr>
                <w:spacing w:val="-4"/>
                <w:sz w:val="18"/>
              </w:rPr>
              <w:t> </w:t>
            </w:r>
            <w:r>
              <w:rPr>
                <w:sz w:val="18"/>
              </w:rPr>
              <w:t>y</w:t>
            </w:r>
            <w:r>
              <w:rPr>
                <w:spacing w:val="-6"/>
                <w:sz w:val="18"/>
              </w:rPr>
              <w:t> </w:t>
            </w:r>
            <w:r>
              <w:rPr>
                <w:sz w:val="18"/>
              </w:rPr>
              <w:t>en</w:t>
            </w:r>
            <w:r>
              <w:rPr>
                <w:spacing w:val="-4"/>
                <w:sz w:val="18"/>
              </w:rPr>
              <w:t> </w:t>
            </w:r>
            <w:r>
              <w:rPr>
                <w:sz w:val="18"/>
              </w:rPr>
              <w:t>la</w:t>
            </w:r>
            <w:r>
              <w:rPr>
                <w:spacing w:val="-4"/>
                <w:sz w:val="18"/>
              </w:rPr>
              <w:t> </w:t>
            </w:r>
            <w:r>
              <w:rPr>
                <w:sz w:val="18"/>
              </w:rPr>
              <w:t>rectitud</w:t>
            </w:r>
            <w:r>
              <w:rPr>
                <w:spacing w:val="-6"/>
                <w:sz w:val="18"/>
              </w:rPr>
              <w:t> </w:t>
            </w:r>
            <w:r>
              <w:rPr>
                <w:sz w:val="18"/>
              </w:rPr>
              <w:t>de</w:t>
            </w:r>
            <w:r>
              <w:rPr>
                <w:spacing w:val="-4"/>
                <w:sz w:val="18"/>
              </w:rPr>
              <w:t> </w:t>
            </w:r>
            <w:r>
              <w:rPr>
                <w:sz w:val="18"/>
              </w:rPr>
              <w:t>las mismas</w:t>
            </w:r>
            <w:r>
              <w:rPr>
                <w:spacing w:val="-9"/>
                <w:sz w:val="18"/>
              </w:rPr>
              <w:t> </w:t>
            </w:r>
            <w:r>
              <w:rPr>
                <w:sz w:val="18"/>
              </w:rPr>
              <w:t>elecciones.</w:t>
            </w:r>
          </w:p>
        </w:tc>
      </w:tr>
      <w:tr>
        <w:trPr>
          <w:trHeight w:val="963" w:hRule="exact"/>
        </w:trPr>
        <w:tc>
          <w:tcPr>
            <w:tcW w:w="1464" w:type="dxa"/>
            <w:vMerge/>
          </w:tcPr>
          <w:p>
            <w:pPr/>
          </w:p>
        </w:tc>
        <w:tc>
          <w:tcPr>
            <w:tcW w:w="1839" w:type="dxa"/>
          </w:tcPr>
          <w:p>
            <w:pPr>
              <w:pStyle w:val="TableParagraph"/>
              <w:spacing w:line="276" w:lineRule="auto" w:before="1"/>
              <w:ind w:left="100" w:right="749"/>
              <w:jc w:val="left"/>
              <w:rPr>
                <w:sz w:val="18"/>
              </w:rPr>
            </w:pPr>
            <w:r>
              <w:rPr>
                <w:sz w:val="18"/>
              </w:rPr>
              <w:t>Democracia dominada.</w:t>
            </w:r>
          </w:p>
        </w:tc>
        <w:tc>
          <w:tcPr>
            <w:tcW w:w="5526" w:type="dxa"/>
          </w:tcPr>
          <w:p>
            <w:pPr>
              <w:pStyle w:val="TableParagraph"/>
              <w:spacing w:line="276" w:lineRule="auto" w:before="1"/>
              <w:ind w:left="103" w:right="102"/>
              <w:jc w:val="both"/>
              <w:rPr>
                <w:sz w:val="18"/>
              </w:rPr>
            </w:pPr>
            <w:r>
              <w:rPr>
                <w:sz w:val="18"/>
              </w:rPr>
              <w:t>Dominada por los militares o fuerzas externas al país que condicionan al régimen o que existen leyes o normas no escritas que</w:t>
            </w:r>
            <w:r>
              <w:rPr>
                <w:spacing w:val="-10"/>
                <w:sz w:val="18"/>
              </w:rPr>
              <w:t> </w:t>
            </w:r>
            <w:r>
              <w:rPr>
                <w:sz w:val="18"/>
              </w:rPr>
              <w:t>limitan</w:t>
            </w:r>
            <w:r>
              <w:rPr>
                <w:spacing w:val="-12"/>
                <w:sz w:val="18"/>
              </w:rPr>
              <w:t> </w:t>
            </w:r>
            <w:r>
              <w:rPr>
                <w:sz w:val="18"/>
              </w:rPr>
              <w:t>la</w:t>
            </w:r>
            <w:r>
              <w:rPr>
                <w:spacing w:val="-10"/>
                <w:sz w:val="18"/>
              </w:rPr>
              <w:t> </w:t>
            </w:r>
            <w:r>
              <w:rPr>
                <w:sz w:val="18"/>
              </w:rPr>
              <w:t>competición,</w:t>
            </w:r>
            <w:r>
              <w:rPr>
                <w:spacing w:val="-10"/>
                <w:sz w:val="18"/>
              </w:rPr>
              <w:t> </w:t>
            </w:r>
            <w:r>
              <w:rPr>
                <w:sz w:val="18"/>
              </w:rPr>
              <w:t>prohibiendo</w:t>
            </w:r>
            <w:r>
              <w:rPr>
                <w:spacing w:val="-12"/>
                <w:sz w:val="18"/>
              </w:rPr>
              <w:t> </w:t>
            </w:r>
            <w:r>
              <w:rPr>
                <w:sz w:val="18"/>
              </w:rPr>
              <w:t>a</w:t>
            </w:r>
            <w:r>
              <w:rPr>
                <w:spacing w:val="-10"/>
                <w:sz w:val="18"/>
              </w:rPr>
              <w:t> </w:t>
            </w:r>
            <w:r>
              <w:rPr>
                <w:sz w:val="18"/>
              </w:rPr>
              <w:t>los</w:t>
            </w:r>
            <w:r>
              <w:rPr>
                <w:spacing w:val="-9"/>
                <w:sz w:val="18"/>
              </w:rPr>
              <w:t> </w:t>
            </w:r>
            <w:r>
              <w:rPr>
                <w:sz w:val="18"/>
              </w:rPr>
              <w:t>partidos</w:t>
            </w:r>
            <w:r>
              <w:rPr>
                <w:spacing w:val="-12"/>
                <w:sz w:val="18"/>
              </w:rPr>
              <w:t> </w:t>
            </w:r>
            <w:r>
              <w:rPr>
                <w:sz w:val="18"/>
              </w:rPr>
              <w:t>presentar</w:t>
            </w:r>
            <w:r>
              <w:rPr>
                <w:spacing w:val="-10"/>
                <w:sz w:val="18"/>
              </w:rPr>
              <w:t> </w:t>
            </w:r>
            <w:r>
              <w:rPr>
                <w:sz w:val="18"/>
              </w:rPr>
              <w:t>sus propias</w:t>
            </w:r>
            <w:r>
              <w:rPr>
                <w:spacing w:val="-4"/>
                <w:sz w:val="18"/>
              </w:rPr>
              <w:t> </w:t>
            </w:r>
            <w:r>
              <w:rPr>
                <w:sz w:val="18"/>
              </w:rPr>
              <w:t>listas.</w:t>
            </w:r>
          </w:p>
        </w:tc>
      </w:tr>
      <w:tr>
        <w:trPr>
          <w:trHeight w:val="962" w:hRule="exact"/>
        </w:trPr>
        <w:tc>
          <w:tcPr>
            <w:tcW w:w="1464" w:type="dxa"/>
            <w:vMerge/>
          </w:tcPr>
          <w:p>
            <w:pPr/>
          </w:p>
        </w:tc>
        <w:tc>
          <w:tcPr>
            <w:tcW w:w="1839" w:type="dxa"/>
          </w:tcPr>
          <w:p>
            <w:pPr>
              <w:pStyle w:val="TableParagraph"/>
              <w:jc w:val="left"/>
              <w:rPr>
                <w:sz w:val="18"/>
              </w:rPr>
            </w:pPr>
          </w:p>
          <w:p>
            <w:pPr>
              <w:pStyle w:val="TableParagraph"/>
              <w:spacing w:before="5"/>
              <w:jc w:val="left"/>
              <w:rPr>
                <w:sz w:val="23"/>
              </w:rPr>
            </w:pPr>
          </w:p>
          <w:p>
            <w:pPr>
              <w:pStyle w:val="TableParagraph"/>
              <w:spacing w:line="276" w:lineRule="auto"/>
              <w:ind w:left="100" w:right="749"/>
              <w:jc w:val="left"/>
              <w:rPr>
                <w:sz w:val="18"/>
              </w:rPr>
            </w:pPr>
            <w:r>
              <w:rPr>
                <w:sz w:val="18"/>
              </w:rPr>
              <w:t>Democracia limitada.</w:t>
            </w:r>
          </w:p>
        </w:tc>
        <w:tc>
          <w:tcPr>
            <w:tcW w:w="5526" w:type="dxa"/>
          </w:tcPr>
          <w:p>
            <w:pPr>
              <w:pStyle w:val="TableParagraph"/>
              <w:spacing w:line="276" w:lineRule="auto" w:before="1"/>
              <w:ind w:left="103" w:right="97"/>
              <w:jc w:val="both"/>
              <w:rPr>
                <w:sz w:val="18"/>
              </w:rPr>
            </w:pPr>
            <w:r>
              <w:rPr>
                <w:sz w:val="18"/>
              </w:rPr>
              <w:t>Sufragio masculino, procedimiento electoral formalmente correcto, cargos de elección popular, multipartidismo, derechos civiles no garantizados,</w:t>
            </w:r>
            <w:r>
              <w:rPr>
                <w:spacing w:val="-10"/>
                <w:sz w:val="18"/>
              </w:rPr>
              <w:t> </w:t>
            </w:r>
            <w:r>
              <w:rPr>
                <w:sz w:val="18"/>
              </w:rPr>
              <w:t>información</w:t>
            </w:r>
            <w:r>
              <w:rPr>
                <w:spacing w:val="-12"/>
                <w:sz w:val="18"/>
              </w:rPr>
              <w:t> </w:t>
            </w:r>
            <w:r>
              <w:rPr>
                <w:sz w:val="18"/>
              </w:rPr>
              <w:t>pervertida</w:t>
            </w:r>
            <w:r>
              <w:rPr>
                <w:spacing w:val="-12"/>
                <w:sz w:val="18"/>
              </w:rPr>
              <w:t> </w:t>
            </w:r>
            <w:r>
              <w:rPr>
                <w:sz w:val="18"/>
              </w:rPr>
              <w:t>por</w:t>
            </w:r>
            <w:r>
              <w:rPr>
                <w:spacing w:val="-13"/>
                <w:sz w:val="18"/>
              </w:rPr>
              <w:t> </w:t>
            </w:r>
            <w:r>
              <w:rPr>
                <w:sz w:val="18"/>
              </w:rPr>
              <w:t>situaciones</w:t>
            </w:r>
            <w:r>
              <w:rPr>
                <w:spacing w:val="-10"/>
                <w:sz w:val="18"/>
              </w:rPr>
              <w:t> </w:t>
            </w:r>
            <w:r>
              <w:rPr>
                <w:sz w:val="18"/>
              </w:rPr>
              <w:t>de</w:t>
            </w:r>
            <w:r>
              <w:rPr>
                <w:spacing w:val="-10"/>
                <w:sz w:val="18"/>
              </w:rPr>
              <w:t> </w:t>
            </w:r>
            <w:r>
              <w:rPr>
                <w:sz w:val="18"/>
              </w:rPr>
              <w:t>monopolio, sin efectiva oposición</w:t>
            </w:r>
            <w:r>
              <w:rPr>
                <w:spacing w:val="-17"/>
                <w:sz w:val="18"/>
              </w:rPr>
              <w:t> </w:t>
            </w:r>
            <w:r>
              <w:rPr>
                <w:sz w:val="18"/>
              </w:rPr>
              <w:t>partidista.</w:t>
            </w:r>
          </w:p>
        </w:tc>
      </w:tr>
      <w:tr>
        <w:trPr>
          <w:trHeight w:val="962" w:hRule="exact"/>
        </w:trPr>
        <w:tc>
          <w:tcPr>
            <w:tcW w:w="1464" w:type="dxa"/>
            <w:vMerge/>
          </w:tcPr>
          <w:p>
            <w:pPr/>
          </w:p>
        </w:tc>
        <w:tc>
          <w:tcPr>
            <w:tcW w:w="1839" w:type="dxa"/>
          </w:tcPr>
          <w:p>
            <w:pPr>
              <w:pStyle w:val="TableParagraph"/>
              <w:jc w:val="left"/>
              <w:rPr>
                <w:sz w:val="18"/>
              </w:rPr>
            </w:pPr>
          </w:p>
          <w:p>
            <w:pPr>
              <w:pStyle w:val="TableParagraph"/>
              <w:spacing w:before="5"/>
              <w:jc w:val="left"/>
              <w:rPr>
                <w:sz w:val="23"/>
              </w:rPr>
            </w:pPr>
          </w:p>
          <w:p>
            <w:pPr>
              <w:pStyle w:val="TableParagraph"/>
              <w:ind w:left="100"/>
              <w:jc w:val="left"/>
              <w:rPr>
                <w:sz w:val="18"/>
              </w:rPr>
            </w:pPr>
            <w:r>
              <w:rPr>
                <w:sz w:val="18"/>
              </w:rPr>
              <w:t>Pseudodemocracia.</w:t>
            </w:r>
          </w:p>
        </w:tc>
        <w:tc>
          <w:tcPr>
            <w:tcW w:w="5526" w:type="dxa"/>
          </w:tcPr>
          <w:p>
            <w:pPr>
              <w:pStyle w:val="TableParagraph"/>
              <w:spacing w:line="276" w:lineRule="auto"/>
              <w:ind w:left="103" w:right="101"/>
              <w:jc w:val="both"/>
              <w:rPr>
                <w:sz w:val="18"/>
              </w:rPr>
            </w:pPr>
            <w:r>
              <w:rPr>
                <w:sz w:val="18"/>
              </w:rPr>
              <w:t>Regímenes</w:t>
            </w:r>
            <w:r>
              <w:rPr>
                <w:spacing w:val="-15"/>
                <w:sz w:val="18"/>
              </w:rPr>
              <w:t> </w:t>
            </w:r>
            <w:r>
              <w:rPr>
                <w:sz w:val="18"/>
              </w:rPr>
              <w:t>autoritarios</w:t>
            </w:r>
            <w:r>
              <w:rPr>
                <w:spacing w:val="-13"/>
                <w:sz w:val="18"/>
              </w:rPr>
              <w:t> </w:t>
            </w:r>
            <w:r>
              <w:rPr>
                <w:sz w:val="18"/>
              </w:rPr>
              <w:t>que</w:t>
            </w:r>
            <w:r>
              <w:rPr>
                <w:spacing w:val="-13"/>
                <w:sz w:val="18"/>
              </w:rPr>
              <w:t> </w:t>
            </w:r>
            <w:r>
              <w:rPr>
                <w:sz w:val="18"/>
              </w:rPr>
              <w:t>presentan</w:t>
            </w:r>
            <w:r>
              <w:rPr>
                <w:spacing w:val="-13"/>
                <w:sz w:val="18"/>
              </w:rPr>
              <w:t> </w:t>
            </w:r>
            <w:r>
              <w:rPr>
                <w:sz w:val="18"/>
              </w:rPr>
              <w:t>ciertas</w:t>
            </w:r>
            <w:r>
              <w:rPr>
                <w:spacing w:val="-13"/>
                <w:sz w:val="18"/>
              </w:rPr>
              <w:t> </w:t>
            </w:r>
            <w:r>
              <w:rPr>
                <w:sz w:val="18"/>
              </w:rPr>
              <w:t>formas</w:t>
            </w:r>
            <w:r>
              <w:rPr>
                <w:spacing w:val="-13"/>
                <w:sz w:val="18"/>
              </w:rPr>
              <w:t> </w:t>
            </w:r>
            <w:r>
              <w:rPr>
                <w:sz w:val="18"/>
              </w:rPr>
              <w:t>exteriores</w:t>
            </w:r>
            <w:r>
              <w:rPr>
                <w:spacing w:val="-13"/>
                <w:sz w:val="18"/>
              </w:rPr>
              <w:t> </w:t>
            </w:r>
            <w:r>
              <w:rPr>
                <w:sz w:val="18"/>
              </w:rPr>
              <w:t>del régimen democrático tales como constituciones que declaran las garantías de derechos y elecciones, sin que esto corresponda necesariamente a la</w:t>
            </w:r>
            <w:r>
              <w:rPr>
                <w:spacing w:val="-13"/>
                <w:sz w:val="18"/>
              </w:rPr>
              <w:t> </w:t>
            </w:r>
            <w:r>
              <w:rPr>
                <w:sz w:val="18"/>
              </w:rPr>
              <w:t>realidad.</w:t>
            </w:r>
          </w:p>
        </w:tc>
      </w:tr>
    </w:tbl>
    <w:p>
      <w:pPr>
        <w:spacing w:line="183" w:lineRule="exact" w:before="0"/>
        <w:ind w:left="214" w:right="0" w:firstLine="0"/>
        <w:jc w:val="left"/>
        <w:rPr>
          <w:sz w:val="16"/>
        </w:rPr>
      </w:pPr>
      <w:r>
        <w:rPr>
          <w:sz w:val="16"/>
        </w:rPr>
        <w:t>Fuente: Adaptado de Morlino (2005:64)</w:t>
      </w:r>
    </w:p>
    <w:p>
      <w:pPr>
        <w:pStyle w:val="BodyText"/>
        <w:rPr>
          <w:sz w:val="20"/>
        </w:rPr>
      </w:pPr>
    </w:p>
    <w:p>
      <w:pPr>
        <w:pStyle w:val="BodyText"/>
        <w:spacing w:line="360" w:lineRule="auto" w:before="212"/>
        <w:ind w:left="102" w:right="115"/>
        <w:jc w:val="both"/>
      </w:pPr>
      <w:r>
        <w:rPr/>
        <w:t>Por tanto, de acuerdo con Morlino (2005), se puede sostener que el régimen democrático es aquel que permite la mayor incertidumbre con relación al</w:t>
      </w:r>
      <w:r>
        <w:rPr>
          <w:spacing w:val="-38"/>
        </w:rPr>
        <w:t> </w:t>
      </w:r>
      <w:r>
        <w:rPr/>
        <w:t>contenido concreto de las decisiones que los órganos electos o electoralmente responsables pueden asumir; tal incertidumbre es relativa y no puede superar los confines definidos</w:t>
      </w:r>
      <w:r>
        <w:rPr>
          <w:spacing w:val="-4"/>
        </w:rPr>
        <w:t> </w:t>
      </w:r>
      <w:r>
        <w:rPr/>
        <w:t>por</w:t>
      </w:r>
      <w:r>
        <w:rPr>
          <w:spacing w:val="-5"/>
        </w:rPr>
        <w:t> </w:t>
      </w:r>
      <w:r>
        <w:rPr/>
        <w:t>la</w:t>
      </w:r>
      <w:r>
        <w:rPr>
          <w:spacing w:val="-6"/>
        </w:rPr>
        <w:t> </w:t>
      </w:r>
      <w:r>
        <w:rPr/>
        <w:t>salvaguardia</w:t>
      </w:r>
      <w:r>
        <w:rPr>
          <w:spacing w:val="-6"/>
        </w:rPr>
        <w:t> </w:t>
      </w:r>
      <w:r>
        <w:rPr/>
        <w:t>de</w:t>
      </w:r>
      <w:r>
        <w:rPr>
          <w:spacing w:val="-6"/>
        </w:rPr>
        <w:t> </w:t>
      </w:r>
      <w:r>
        <w:rPr/>
        <w:t>la</w:t>
      </w:r>
      <w:r>
        <w:rPr>
          <w:spacing w:val="-6"/>
        </w:rPr>
        <w:t> </w:t>
      </w:r>
      <w:r>
        <w:rPr/>
        <w:t>propiedad</w:t>
      </w:r>
      <w:r>
        <w:rPr>
          <w:spacing w:val="-8"/>
        </w:rPr>
        <w:t> </w:t>
      </w:r>
      <w:r>
        <w:rPr/>
        <w:t>privada.</w:t>
      </w:r>
      <w:r>
        <w:rPr>
          <w:spacing w:val="2"/>
        </w:rPr>
        <w:t> </w:t>
      </w:r>
      <w:r>
        <w:rPr/>
        <w:t>Los</w:t>
      </w:r>
      <w:r>
        <w:rPr>
          <w:spacing w:val="-7"/>
        </w:rPr>
        <w:t> </w:t>
      </w:r>
      <w:r>
        <w:rPr/>
        <w:t>cuales</w:t>
      </w:r>
      <w:r>
        <w:rPr>
          <w:spacing w:val="-3"/>
        </w:rPr>
        <w:t> </w:t>
      </w:r>
      <w:r>
        <w:rPr/>
        <w:t>se</w:t>
      </w:r>
      <w:r>
        <w:rPr>
          <w:spacing w:val="-8"/>
        </w:rPr>
        <w:t> </w:t>
      </w:r>
      <w:r>
        <w:rPr/>
        <w:t>establecen</w:t>
      </w:r>
      <w:r>
        <w:rPr>
          <w:spacing w:val="-6"/>
        </w:rPr>
        <w:t> </w:t>
      </w:r>
      <w:r>
        <w:rPr/>
        <w:t>por el hecho de que en la base de un sistema democrático existe un acuerdo compromiso que reconoce las reglas, colectivamente aceptadas, de resolución pacífica de los conflictos entre las partes sociales, políticamente representadas y relevantes. Además de que dichos confines se superan no solo cuando se buscar toma decisiones que contravienen a aquellas reglas que tocan intereses</w:t>
      </w:r>
      <w:r>
        <w:rPr>
          <w:spacing w:val="-38"/>
        </w:rPr>
        <w:t> </w:t>
      </w:r>
      <w:r>
        <w:rPr/>
        <w:t>percibidos como vitales por los actores sociales relevantes para el compromiso</w:t>
      </w:r>
      <w:r>
        <w:rPr>
          <w:spacing w:val="-21"/>
        </w:rPr>
        <w:t> </w:t>
      </w:r>
      <w:r>
        <w:rPr/>
        <w:t>político.</w:t>
      </w:r>
    </w:p>
    <w:p>
      <w:pPr>
        <w:spacing w:after="0" w:line="360" w:lineRule="auto"/>
        <w:jc w:val="both"/>
        <w:sectPr>
          <w:pgSz w:w="12240" w:h="15840"/>
          <w:pgMar w:header="0" w:footer="975" w:top="1360" w:bottom="1220" w:left="1600" w:right="1580"/>
        </w:sectPr>
      </w:pPr>
    </w:p>
    <w:p>
      <w:pPr>
        <w:pStyle w:val="BodyText"/>
        <w:spacing w:line="360" w:lineRule="auto" w:before="54"/>
        <w:ind w:left="122" w:right="479"/>
        <w:jc w:val="both"/>
      </w:pPr>
      <w:r>
        <w:rPr/>
        <w:t>En este recorrido de los tipos de democracia se ha dejado fuera el tradicional contexto de la democracia que se practicaba en la antigua polis griega y se puede observar</w:t>
      </w:r>
      <w:r>
        <w:rPr>
          <w:spacing w:val="-18"/>
        </w:rPr>
        <w:t> </w:t>
      </w:r>
      <w:r>
        <w:rPr/>
        <w:t>la</w:t>
      </w:r>
      <w:r>
        <w:rPr>
          <w:spacing w:val="-17"/>
        </w:rPr>
        <w:t> </w:t>
      </w:r>
      <w:r>
        <w:rPr/>
        <w:t>presencia</w:t>
      </w:r>
      <w:r>
        <w:rPr>
          <w:spacing w:val="-19"/>
        </w:rPr>
        <w:t> </w:t>
      </w:r>
      <w:r>
        <w:rPr/>
        <w:t>de</w:t>
      </w:r>
      <w:r>
        <w:rPr>
          <w:spacing w:val="-17"/>
        </w:rPr>
        <w:t> </w:t>
      </w:r>
      <w:r>
        <w:rPr/>
        <w:t>una</w:t>
      </w:r>
      <w:r>
        <w:rPr>
          <w:spacing w:val="-21"/>
        </w:rPr>
        <w:t> </w:t>
      </w:r>
      <w:r>
        <w:rPr/>
        <w:t>fuerte</w:t>
      </w:r>
      <w:r>
        <w:rPr>
          <w:spacing w:val="-19"/>
        </w:rPr>
        <w:t> </w:t>
      </w:r>
      <w:r>
        <w:rPr/>
        <w:t>evolución</w:t>
      </w:r>
      <w:r>
        <w:rPr>
          <w:spacing w:val="-19"/>
        </w:rPr>
        <w:t> </w:t>
      </w:r>
      <w:r>
        <w:rPr/>
        <w:t>en</w:t>
      </w:r>
      <w:r>
        <w:rPr>
          <w:spacing w:val="-17"/>
        </w:rPr>
        <w:t> </w:t>
      </w:r>
      <w:r>
        <w:rPr/>
        <w:t>los</w:t>
      </w:r>
      <w:r>
        <w:rPr>
          <w:spacing w:val="-19"/>
        </w:rPr>
        <w:t> </w:t>
      </w:r>
      <w:r>
        <w:rPr/>
        <w:t>estados</w:t>
      </w:r>
      <w:r>
        <w:rPr>
          <w:spacing w:val="-20"/>
        </w:rPr>
        <w:t> </w:t>
      </w:r>
      <w:r>
        <w:rPr/>
        <w:t>democráticos</w:t>
      </w:r>
      <w:r>
        <w:rPr>
          <w:spacing w:val="-17"/>
        </w:rPr>
        <w:t> </w:t>
      </w:r>
      <w:r>
        <w:rPr/>
        <w:t>que</w:t>
      </w:r>
      <w:r>
        <w:rPr>
          <w:spacing w:val="-19"/>
        </w:rPr>
        <w:t> </w:t>
      </w:r>
      <w:r>
        <w:rPr/>
        <w:t>hace una mezcolanza de las características de estos. Ello dificulta establecer una definición de democracia sin tener que vincularla necesariamente a la tipología de la misma, puesto que los aspectos que pudieran aplicar a unos países podrían no aplicar para otros. Dentro de los principales gobiernos se encuentran el presidencialista y el parlamentario, para efectos de explicar un poco más las características de estos, Morlino (2005) propone las siguientes</w:t>
      </w:r>
      <w:r>
        <w:rPr>
          <w:spacing w:val="-24"/>
        </w:rPr>
        <w:t> </w:t>
      </w:r>
      <w:r>
        <w:rPr/>
        <w:t>tipologías:</w:t>
      </w:r>
    </w:p>
    <w:p>
      <w:pPr>
        <w:pStyle w:val="BodyText"/>
        <w:rPr>
          <w:sz w:val="20"/>
        </w:rPr>
      </w:pPr>
    </w:p>
    <w:p>
      <w:pPr>
        <w:pStyle w:val="BodyText"/>
        <w:rPr>
          <w:sz w:val="20"/>
        </w:rPr>
      </w:pPr>
    </w:p>
    <w:p>
      <w:pPr>
        <w:pStyle w:val="BodyText"/>
        <w:spacing w:before="6"/>
        <w:rPr>
          <w:sz w:val="10"/>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50"/>
        <w:gridCol w:w="343"/>
        <w:gridCol w:w="879"/>
        <w:gridCol w:w="916"/>
        <w:gridCol w:w="1746"/>
        <w:gridCol w:w="168"/>
        <w:gridCol w:w="1065"/>
        <w:gridCol w:w="833"/>
        <w:gridCol w:w="715"/>
      </w:tblGrid>
      <w:tr>
        <w:trPr>
          <w:trHeight w:val="216" w:hRule="exact"/>
        </w:trPr>
        <w:tc>
          <w:tcPr>
            <w:tcW w:w="9215" w:type="dxa"/>
            <w:gridSpan w:val="9"/>
            <w:shd w:val="clear" w:color="auto" w:fill="92D050"/>
          </w:tcPr>
          <w:p>
            <w:pPr>
              <w:pStyle w:val="TableParagraph"/>
              <w:spacing w:line="201" w:lineRule="exact"/>
              <w:ind w:left="1459"/>
              <w:jc w:val="left"/>
              <w:rPr>
                <w:b/>
                <w:sz w:val="18"/>
              </w:rPr>
            </w:pPr>
            <w:r>
              <w:rPr>
                <w:b/>
                <w:sz w:val="18"/>
              </w:rPr>
              <w:t>Tabla 1.3. Factores relevantes en una democracia. Propuesta de tipología</w:t>
            </w:r>
          </w:p>
        </w:tc>
      </w:tr>
      <w:tr>
        <w:trPr>
          <w:trHeight w:val="425" w:hRule="exact"/>
        </w:trPr>
        <w:tc>
          <w:tcPr>
            <w:tcW w:w="4688" w:type="dxa"/>
            <w:gridSpan w:val="4"/>
            <w:shd w:val="clear" w:color="auto" w:fill="92D050"/>
          </w:tcPr>
          <w:p>
            <w:pPr>
              <w:pStyle w:val="TableParagraph"/>
              <w:spacing w:line="204" w:lineRule="exact"/>
              <w:ind w:left="1142"/>
              <w:jc w:val="left"/>
              <w:rPr>
                <w:b/>
                <w:sz w:val="18"/>
              </w:rPr>
            </w:pPr>
            <w:r>
              <w:rPr>
                <w:b/>
                <w:sz w:val="18"/>
              </w:rPr>
              <w:t>a. Instituciones de gobierno</w:t>
            </w:r>
          </w:p>
        </w:tc>
        <w:tc>
          <w:tcPr>
            <w:tcW w:w="2979" w:type="dxa"/>
            <w:gridSpan w:val="3"/>
            <w:shd w:val="clear" w:color="auto" w:fill="92D050"/>
          </w:tcPr>
          <w:p>
            <w:pPr>
              <w:pStyle w:val="TableParagraph"/>
              <w:spacing w:line="204" w:lineRule="exact"/>
              <w:ind w:left="571"/>
              <w:jc w:val="left"/>
              <w:rPr>
                <w:b/>
                <w:sz w:val="18"/>
              </w:rPr>
            </w:pPr>
            <w:r>
              <w:rPr>
                <w:b/>
                <w:sz w:val="18"/>
              </w:rPr>
              <w:t>b. Sistema de partido</w:t>
            </w:r>
          </w:p>
        </w:tc>
        <w:tc>
          <w:tcPr>
            <w:tcW w:w="1548" w:type="dxa"/>
            <w:gridSpan w:val="2"/>
            <w:shd w:val="clear" w:color="auto" w:fill="92D050"/>
          </w:tcPr>
          <w:p>
            <w:pPr>
              <w:pStyle w:val="TableParagraph"/>
              <w:spacing w:line="206" w:lineRule="exact" w:before="1"/>
              <w:ind w:left="196" w:right="181" w:firstLine="67"/>
              <w:jc w:val="left"/>
              <w:rPr>
                <w:b/>
                <w:sz w:val="18"/>
              </w:rPr>
            </w:pPr>
            <w:r>
              <w:rPr>
                <w:b/>
                <w:sz w:val="18"/>
              </w:rPr>
              <w:t>c. Sociedad civil / Política</w:t>
            </w:r>
          </w:p>
        </w:tc>
      </w:tr>
      <w:tr>
        <w:trPr>
          <w:trHeight w:val="838" w:hRule="exact"/>
        </w:trPr>
        <w:tc>
          <w:tcPr>
            <w:tcW w:w="4688" w:type="dxa"/>
            <w:gridSpan w:val="4"/>
          </w:tcPr>
          <w:p>
            <w:pPr>
              <w:pStyle w:val="TableParagraph"/>
              <w:spacing w:line="206" w:lineRule="exact"/>
              <w:ind w:left="103"/>
              <w:jc w:val="left"/>
              <w:rPr>
                <w:sz w:val="18"/>
              </w:rPr>
            </w:pPr>
            <w:r>
              <w:rPr>
                <w:sz w:val="18"/>
              </w:rPr>
              <w:t>a1. Presidencialismo y sistema electoral mayoritario.</w:t>
            </w:r>
          </w:p>
        </w:tc>
        <w:tc>
          <w:tcPr>
            <w:tcW w:w="1746" w:type="dxa"/>
            <w:tcBorders>
              <w:right w:val="nil"/>
            </w:tcBorders>
          </w:tcPr>
          <w:p>
            <w:pPr>
              <w:pStyle w:val="TableParagraph"/>
              <w:tabs>
                <w:tab w:pos="904" w:val="left" w:leader="none"/>
                <w:tab w:pos="1409" w:val="left" w:leader="none"/>
              </w:tabs>
              <w:ind w:left="103" w:right="28"/>
              <w:jc w:val="left"/>
              <w:rPr>
                <w:sz w:val="18"/>
              </w:rPr>
            </w:pPr>
            <w:r>
              <w:rPr>
                <w:sz w:val="18"/>
              </w:rPr>
              <w:t>b1.</w:t>
              <w:tab/>
              <w:t>Partido cohesionado,</w:t>
              <w:tab/>
              <w:t>con liderazgo</w:t>
              <w:tab/>
              <w:tab/>
              <w:t>y monopatidistas.</w:t>
            </w:r>
          </w:p>
        </w:tc>
        <w:tc>
          <w:tcPr>
            <w:tcW w:w="168" w:type="dxa"/>
            <w:tcBorders>
              <w:left w:val="nil"/>
              <w:right w:val="nil"/>
            </w:tcBorders>
          </w:tcPr>
          <w:p>
            <w:pPr/>
          </w:p>
        </w:tc>
        <w:tc>
          <w:tcPr>
            <w:tcW w:w="1065" w:type="dxa"/>
            <w:tcBorders>
              <w:left w:val="nil"/>
            </w:tcBorders>
          </w:tcPr>
          <w:p>
            <w:pPr>
              <w:pStyle w:val="TableParagraph"/>
              <w:tabs>
                <w:tab w:pos="495" w:val="left" w:leader="none"/>
              </w:tabs>
              <w:ind w:left="47" w:right="104" w:firstLine="67"/>
              <w:jc w:val="right"/>
              <w:rPr>
                <w:sz w:val="18"/>
              </w:rPr>
            </w:pPr>
            <w:r>
              <w:rPr>
                <w:spacing w:val="-1"/>
                <w:sz w:val="18"/>
              </w:rPr>
              <w:t>dominante </w:t>
            </w:r>
            <w:r>
              <w:rPr>
                <w:sz w:val="18"/>
              </w:rPr>
              <w:t>un</w:t>
              <w:tab/>
            </w:r>
            <w:r>
              <w:rPr>
                <w:spacing w:val="-1"/>
                <w:sz w:val="18"/>
              </w:rPr>
              <w:t>fuerte</w:t>
            </w:r>
            <w:r>
              <w:rPr>
                <w:sz w:val="18"/>
              </w:rPr>
              <w:t> </w:t>
            </w:r>
            <w:r>
              <w:rPr>
                <w:spacing w:val="-1"/>
                <w:sz w:val="18"/>
              </w:rPr>
              <w:t>gobiernos</w:t>
            </w:r>
          </w:p>
        </w:tc>
        <w:tc>
          <w:tcPr>
            <w:tcW w:w="1548" w:type="dxa"/>
            <w:gridSpan w:val="2"/>
          </w:tcPr>
          <w:p>
            <w:pPr>
              <w:pStyle w:val="TableParagraph"/>
              <w:spacing w:line="206" w:lineRule="exact"/>
              <w:ind w:left="100" w:right="181"/>
              <w:jc w:val="left"/>
              <w:rPr>
                <w:sz w:val="18"/>
              </w:rPr>
            </w:pPr>
            <w:r>
              <w:rPr>
                <w:sz w:val="18"/>
              </w:rPr>
              <w:t>c1. Autonomía.</w:t>
            </w:r>
          </w:p>
        </w:tc>
      </w:tr>
      <w:tr>
        <w:trPr>
          <w:trHeight w:val="425" w:hRule="exact"/>
        </w:trPr>
        <w:tc>
          <w:tcPr>
            <w:tcW w:w="2550" w:type="dxa"/>
            <w:tcBorders>
              <w:right w:val="nil"/>
            </w:tcBorders>
          </w:tcPr>
          <w:p>
            <w:pPr>
              <w:pStyle w:val="TableParagraph"/>
              <w:tabs>
                <w:tab w:pos="608" w:val="left" w:leader="none"/>
              </w:tabs>
              <w:ind w:left="103" w:right="124"/>
              <w:jc w:val="left"/>
              <w:rPr>
                <w:sz w:val="18"/>
              </w:rPr>
            </w:pPr>
            <w:r>
              <w:rPr>
                <w:sz w:val="18"/>
              </w:rPr>
              <w:t>a2.</w:t>
              <w:tab/>
            </w:r>
            <w:r>
              <w:rPr>
                <w:spacing w:val="-1"/>
                <w:sz w:val="18"/>
              </w:rPr>
              <w:t>Semi-presidencialismo </w:t>
            </w:r>
            <w:r>
              <w:rPr>
                <w:sz w:val="18"/>
              </w:rPr>
              <w:t>mayoritario.</w:t>
            </w:r>
          </w:p>
        </w:tc>
        <w:tc>
          <w:tcPr>
            <w:tcW w:w="343" w:type="dxa"/>
            <w:tcBorders>
              <w:left w:val="nil"/>
              <w:right w:val="nil"/>
            </w:tcBorders>
          </w:tcPr>
          <w:p>
            <w:pPr>
              <w:pStyle w:val="TableParagraph"/>
              <w:spacing w:line="206" w:lineRule="exact"/>
              <w:ind w:right="124"/>
              <w:jc w:val="right"/>
              <w:rPr>
                <w:sz w:val="18"/>
              </w:rPr>
            </w:pPr>
            <w:r>
              <w:rPr>
                <w:sz w:val="18"/>
              </w:rPr>
              <w:t>y</w:t>
            </w:r>
          </w:p>
        </w:tc>
        <w:tc>
          <w:tcPr>
            <w:tcW w:w="879" w:type="dxa"/>
            <w:tcBorders>
              <w:left w:val="nil"/>
              <w:right w:val="nil"/>
            </w:tcBorders>
          </w:tcPr>
          <w:p>
            <w:pPr>
              <w:pStyle w:val="TableParagraph"/>
              <w:spacing w:line="206" w:lineRule="exact"/>
              <w:ind w:right="125"/>
              <w:jc w:val="right"/>
              <w:rPr>
                <w:sz w:val="18"/>
              </w:rPr>
            </w:pPr>
            <w:r>
              <w:rPr>
                <w:sz w:val="18"/>
              </w:rPr>
              <w:t>sistema</w:t>
            </w:r>
          </w:p>
        </w:tc>
        <w:tc>
          <w:tcPr>
            <w:tcW w:w="916" w:type="dxa"/>
            <w:tcBorders>
              <w:left w:val="nil"/>
            </w:tcBorders>
          </w:tcPr>
          <w:p>
            <w:pPr>
              <w:pStyle w:val="TableParagraph"/>
              <w:spacing w:line="206" w:lineRule="exact"/>
              <w:ind w:left="105" w:right="84"/>
              <w:rPr>
                <w:sz w:val="18"/>
              </w:rPr>
            </w:pPr>
            <w:r>
              <w:rPr>
                <w:sz w:val="18"/>
              </w:rPr>
              <w:t>electoral</w:t>
            </w:r>
          </w:p>
        </w:tc>
        <w:tc>
          <w:tcPr>
            <w:tcW w:w="1746" w:type="dxa"/>
            <w:tcBorders>
              <w:right w:val="nil"/>
            </w:tcBorders>
          </w:tcPr>
          <w:p>
            <w:pPr>
              <w:pStyle w:val="TableParagraph"/>
              <w:tabs>
                <w:tab w:pos="568" w:val="left" w:leader="none"/>
              </w:tabs>
              <w:ind w:left="103" w:right="181"/>
              <w:jc w:val="left"/>
              <w:rPr>
                <w:sz w:val="18"/>
              </w:rPr>
            </w:pPr>
            <w:r>
              <w:rPr>
                <w:sz w:val="18"/>
              </w:rPr>
              <w:t>b2.</w:t>
              <w:tab/>
            </w:r>
            <w:r>
              <w:rPr>
                <w:spacing w:val="-1"/>
                <w:sz w:val="18"/>
              </w:rPr>
              <w:t>Bipartidismo </w:t>
            </w:r>
            <w:r>
              <w:rPr>
                <w:sz w:val="18"/>
              </w:rPr>
              <w:t>monopartidistas.</w:t>
            </w:r>
          </w:p>
        </w:tc>
        <w:tc>
          <w:tcPr>
            <w:tcW w:w="168" w:type="dxa"/>
            <w:tcBorders>
              <w:left w:val="nil"/>
              <w:right w:val="nil"/>
            </w:tcBorders>
          </w:tcPr>
          <w:p>
            <w:pPr>
              <w:pStyle w:val="TableParagraph"/>
              <w:spacing w:line="206" w:lineRule="exact"/>
              <w:ind w:left="30"/>
              <w:jc w:val="left"/>
              <w:rPr>
                <w:sz w:val="18"/>
              </w:rPr>
            </w:pPr>
            <w:r>
              <w:rPr>
                <w:sz w:val="18"/>
              </w:rPr>
              <w:t>y</w:t>
            </w:r>
          </w:p>
        </w:tc>
        <w:tc>
          <w:tcPr>
            <w:tcW w:w="1065" w:type="dxa"/>
            <w:tcBorders>
              <w:left w:val="nil"/>
            </w:tcBorders>
          </w:tcPr>
          <w:p>
            <w:pPr>
              <w:pStyle w:val="TableParagraph"/>
              <w:spacing w:line="206" w:lineRule="exact"/>
              <w:ind w:left="164"/>
              <w:jc w:val="left"/>
              <w:rPr>
                <w:sz w:val="18"/>
              </w:rPr>
            </w:pPr>
            <w:r>
              <w:rPr>
                <w:sz w:val="18"/>
              </w:rPr>
              <w:t>gobiernos</w:t>
            </w:r>
          </w:p>
        </w:tc>
        <w:tc>
          <w:tcPr>
            <w:tcW w:w="1548" w:type="dxa"/>
            <w:gridSpan w:val="2"/>
          </w:tcPr>
          <w:p>
            <w:pPr>
              <w:pStyle w:val="TableParagraph"/>
              <w:tabs>
                <w:tab w:pos="964" w:val="left" w:leader="none"/>
              </w:tabs>
              <w:ind w:left="100" w:right="101"/>
              <w:jc w:val="left"/>
              <w:rPr>
                <w:sz w:val="18"/>
              </w:rPr>
            </w:pPr>
            <w:r>
              <w:rPr>
                <w:sz w:val="18"/>
              </w:rPr>
              <w:t>c2.</w:t>
              <w:tab/>
              <w:t>Semi- autonomía.</w:t>
            </w:r>
          </w:p>
        </w:tc>
      </w:tr>
      <w:tr>
        <w:trPr>
          <w:trHeight w:val="422" w:hRule="exact"/>
        </w:trPr>
        <w:tc>
          <w:tcPr>
            <w:tcW w:w="2550" w:type="dxa"/>
            <w:tcBorders>
              <w:right w:val="nil"/>
            </w:tcBorders>
          </w:tcPr>
          <w:p>
            <w:pPr>
              <w:pStyle w:val="TableParagraph"/>
              <w:tabs>
                <w:tab w:pos="608" w:val="left" w:leader="none"/>
              </w:tabs>
              <w:ind w:left="103" w:right="124"/>
              <w:jc w:val="left"/>
              <w:rPr>
                <w:sz w:val="18"/>
              </w:rPr>
            </w:pPr>
            <w:r>
              <w:rPr>
                <w:sz w:val="18"/>
              </w:rPr>
              <w:t>a3.</w:t>
              <w:tab/>
            </w:r>
            <w:r>
              <w:rPr>
                <w:spacing w:val="-1"/>
                <w:sz w:val="18"/>
              </w:rPr>
              <w:t>Semi-presidencialismo </w:t>
            </w:r>
            <w:r>
              <w:rPr>
                <w:sz w:val="18"/>
              </w:rPr>
              <w:t>proporcional.</w:t>
            </w:r>
          </w:p>
        </w:tc>
        <w:tc>
          <w:tcPr>
            <w:tcW w:w="343" w:type="dxa"/>
            <w:tcBorders>
              <w:left w:val="nil"/>
              <w:right w:val="nil"/>
            </w:tcBorders>
          </w:tcPr>
          <w:p>
            <w:pPr>
              <w:pStyle w:val="TableParagraph"/>
              <w:spacing w:line="206" w:lineRule="exact"/>
              <w:ind w:right="124"/>
              <w:jc w:val="right"/>
              <w:rPr>
                <w:sz w:val="18"/>
              </w:rPr>
            </w:pPr>
            <w:r>
              <w:rPr>
                <w:sz w:val="18"/>
              </w:rPr>
              <w:t>y</w:t>
            </w:r>
          </w:p>
        </w:tc>
        <w:tc>
          <w:tcPr>
            <w:tcW w:w="879" w:type="dxa"/>
            <w:tcBorders>
              <w:left w:val="nil"/>
              <w:right w:val="nil"/>
            </w:tcBorders>
          </w:tcPr>
          <w:p>
            <w:pPr>
              <w:pStyle w:val="TableParagraph"/>
              <w:spacing w:line="206" w:lineRule="exact"/>
              <w:ind w:right="125"/>
              <w:jc w:val="right"/>
              <w:rPr>
                <w:sz w:val="18"/>
              </w:rPr>
            </w:pPr>
            <w:r>
              <w:rPr>
                <w:sz w:val="18"/>
              </w:rPr>
              <w:t>sistema</w:t>
            </w:r>
          </w:p>
        </w:tc>
        <w:tc>
          <w:tcPr>
            <w:tcW w:w="916" w:type="dxa"/>
            <w:tcBorders>
              <w:left w:val="nil"/>
            </w:tcBorders>
          </w:tcPr>
          <w:p>
            <w:pPr>
              <w:pStyle w:val="TableParagraph"/>
              <w:spacing w:line="206" w:lineRule="exact"/>
              <w:ind w:left="105" w:right="84"/>
              <w:rPr>
                <w:sz w:val="18"/>
              </w:rPr>
            </w:pPr>
            <w:r>
              <w:rPr>
                <w:sz w:val="18"/>
              </w:rPr>
              <w:t>electoral</w:t>
            </w:r>
          </w:p>
        </w:tc>
        <w:tc>
          <w:tcPr>
            <w:tcW w:w="2979" w:type="dxa"/>
            <w:gridSpan w:val="3"/>
          </w:tcPr>
          <w:p>
            <w:pPr>
              <w:pStyle w:val="TableParagraph"/>
              <w:ind w:left="103"/>
              <w:jc w:val="left"/>
              <w:rPr>
                <w:sz w:val="18"/>
              </w:rPr>
            </w:pPr>
            <w:r>
              <w:rPr>
                <w:sz w:val="18"/>
              </w:rPr>
              <w:t>b3. Multipartidismo homogéneo y gobiernos de coalición.</w:t>
            </w:r>
          </w:p>
        </w:tc>
        <w:tc>
          <w:tcPr>
            <w:tcW w:w="833" w:type="dxa"/>
            <w:tcBorders>
              <w:right w:val="nil"/>
            </w:tcBorders>
          </w:tcPr>
          <w:p>
            <w:pPr>
              <w:pStyle w:val="TableParagraph"/>
              <w:ind w:left="100" w:right="118"/>
              <w:jc w:val="left"/>
              <w:rPr>
                <w:sz w:val="18"/>
              </w:rPr>
            </w:pPr>
            <w:r>
              <w:rPr>
                <w:sz w:val="18"/>
              </w:rPr>
              <w:t>c3. control.</w:t>
            </w:r>
          </w:p>
        </w:tc>
        <w:tc>
          <w:tcPr>
            <w:tcW w:w="715" w:type="dxa"/>
            <w:tcBorders>
              <w:left w:val="nil"/>
            </w:tcBorders>
          </w:tcPr>
          <w:p>
            <w:pPr>
              <w:pStyle w:val="TableParagraph"/>
              <w:spacing w:line="206" w:lineRule="exact"/>
              <w:ind w:left="136"/>
              <w:jc w:val="left"/>
              <w:rPr>
                <w:sz w:val="18"/>
              </w:rPr>
            </w:pPr>
            <w:r>
              <w:rPr>
                <w:sz w:val="18"/>
              </w:rPr>
              <w:t>Semi-</w:t>
            </w:r>
          </w:p>
        </w:tc>
      </w:tr>
      <w:tr>
        <w:trPr>
          <w:trHeight w:val="425" w:hRule="exact"/>
        </w:trPr>
        <w:tc>
          <w:tcPr>
            <w:tcW w:w="3772" w:type="dxa"/>
            <w:gridSpan w:val="3"/>
            <w:tcBorders>
              <w:right w:val="nil"/>
            </w:tcBorders>
          </w:tcPr>
          <w:p>
            <w:pPr>
              <w:pStyle w:val="TableParagraph"/>
              <w:tabs>
                <w:tab w:pos="608" w:val="left" w:leader="none"/>
                <w:tab w:pos="2671" w:val="left" w:leader="none"/>
                <w:tab w:pos="3014" w:val="left" w:leader="none"/>
              </w:tabs>
              <w:spacing w:before="1"/>
              <w:ind w:left="103" w:right="125"/>
              <w:jc w:val="left"/>
              <w:rPr>
                <w:sz w:val="18"/>
              </w:rPr>
            </w:pPr>
            <w:r>
              <w:rPr>
                <w:sz w:val="18"/>
              </w:rPr>
              <w:t>a4.</w:t>
              <w:tab/>
              <w:t>Semi-presidencialismo</w:t>
              <w:tab/>
              <w:t>y</w:t>
              <w:tab/>
              <w:t>sistema proporcional reforzado o</w:t>
            </w:r>
            <w:r>
              <w:rPr>
                <w:spacing w:val="-15"/>
                <w:sz w:val="18"/>
              </w:rPr>
              <w:t> </w:t>
            </w:r>
            <w:r>
              <w:rPr>
                <w:sz w:val="18"/>
              </w:rPr>
              <w:t>mayoritario.</w:t>
            </w:r>
          </w:p>
        </w:tc>
        <w:tc>
          <w:tcPr>
            <w:tcW w:w="916" w:type="dxa"/>
            <w:tcBorders>
              <w:left w:val="nil"/>
            </w:tcBorders>
          </w:tcPr>
          <w:p>
            <w:pPr>
              <w:pStyle w:val="TableParagraph"/>
              <w:spacing w:before="1"/>
              <w:ind w:left="105" w:right="84"/>
              <w:rPr>
                <w:sz w:val="18"/>
              </w:rPr>
            </w:pPr>
            <w:r>
              <w:rPr>
                <w:sz w:val="18"/>
              </w:rPr>
              <w:t>electoral</w:t>
            </w:r>
          </w:p>
        </w:tc>
        <w:tc>
          <w:tcPr>
            <w:tcW w:w="2979" w:type="dxa"/>
            <w:gridSpan w:val="3"/>
          </w:tcPr>
          <w:p>
            <w:pPr>
              <w:pStyle w:val="TableParagraph"/>
              <w:spacing w:before="1"/>
              <w:ind w:left="103"/>
              <w:jc w:val="left"/>
              <w:rPr>
                <w:sz w:val="18"/>
              </w:rPr>
            </w:pPr>
            <w:r>
              <w:rPr>
                <w:sz w:val="18"/>
              </w:rPr>
              <w:t>b4. Multipartidismo heterogéneo y gobiernos de coalición.</w:t>
            </w:r>
          </w:p>
        </w:tc>
        <w:tc>
          <w:tcPr>
            <w:tcW w:w="1548" w:type="dxa"/>
            <w:gridSpan w:val="2"/>
          </w:tcPr>
          <w:p>
            <w:pPr>
              <w:pStyle w:val="TableParagraph"/>
              <w:spacing w:before="1"/>
              <w:ind w:left="100" w:right="181"/>
              <w:jc w:val="left"/>
              <w:rPr>
                <w:sz w:val="18"/>
              </w:rPr>
            </w:pPr>
            <w:r>
              <w:rPr>
                <w:sz w:val="18"/>
              </w:rPr>
              <w:t>c4. Control.</w:t>
            </w:r>
          </w:p>
        </w:tc>
      </w:tr>
      <w:tr>
        <w:trPr>
          <w:trHeight w:val="219" w:hRule="exact"/>
        </w:trPr>
        <w:tc>
          <w:tcPr>
            <w:tcW w:w="4688" w:type="dxa"/>
            <w:gridSpan w:val="4"/>
          </w:tcPr>
          <w:p>
            <w:pPr>
              <w:pStyle w:val="TableParagraph"/>
              <w:spacing w:line="206" w:lineRule="exact"/>
              <w:ind w:left="103"/>
              <w:jc w:val="left"/>
              <w:rPr>
                <w:sz w:val="18"/>
              </w:rPr>
            </w:pPr>
            <w:r>
              <w:rPr>
                <w:sz w:val="18"/>
              </w:rPr>
              <w:t>a5. Parlamentarismo y sistema electoral proporcional.</w:t>
            </w:r>
          </w:p>
        </w:tc>
        <w:tc>
          <w:tcPr>
            <w:tcW w:w="2979" w:type="dxa"/>
            <w:gridSpan w:val="3"/>
          </w:tcPr>
          <w:p>
            <w:pPr/>
          </w:p>
        </w:tc>
        <w:tc>
          <w:tcPr>
            <w:tcW w:w="1548" w:type="dxa"/>
            <w:gridSpan w:val="2"/>
          </w:tcPr>
          <w:p>
            <w:pPr/>
          </w:p>
        </w:tc>
      </w:tr>
      <w:tr>
        <w:trPr>
          <w:trHeight w:val="216" w:hRule="exact"/>
        </w:trPr>
        <w:tc>
          <w:tcPr>
            <w:tcW w:w="4688" w:type="dxa"/>
            <w:gridSpan w:val="4"/>
          </w:tcPr>
          <w:p>
            <w:pPr>
              <w:pStyle w:val="TableParagraph"/>
              <w:spacing w:line="206" w:lineRule="exact"/>
              <w:ind w:left="103"/>
              <w:jc w:val="left"/>
              <w:rPr>
                <w:sz w:val="18"/>
              </w:rPr>
            </w:pPr>
            <w:r>
              <w:rPr>
                <w:sz w:val="18"/>
              </w:rPr>
              <w:t>a6. Presidencialismo y sistema electoral proporcional.</w:t>
            </w:r>
          </w:p>
        </w:tc>
        <w:tc>
          <w:tcPr>
            <w:tcW w:w="2979" w:type="dxa"/>
            <w:gridSpan w:val="3"/>
          </w:tcPr>
          <w:p>
            <w:pPr/>
          </w:p>
        </w:tc>
        <w:tc>
          <w:tcPr>
            <w:tcW w:w="1548" w:type="dxa"/>
            <w:gridSpan w:val="2"/>
          </w:tcPr>
          <w:p>
            <w:pPr/>
          </w:p>
        </w:tc>
      </w:tr>
    </w:tbl>
    <w:p>
      <w:pPr>
        <w:spacing w:line="180" w:lineRule="exact" w:before="0"/>
        <w:ind w:left="220" w:right="0" w:firstLine="0"/>
        <w:jc w:val="left"/>
        <w:rPr>
          <w:sz w:val="16"/>
        </w:rPr>
      </w:pPr>
      <w:r>
        <w:rPr>
          <w:sz w:val="16"/>
        </w:rPr>
        <w:t>Fuente: Morlino (2005:55)</w:t>
      </w:r>
    </w:p>
    <w:p>
      <w:pPr>
        <w:pStyle w:val="BodyText"/>
        <w:rPr>
          <w:sz w:val="20"/>
        </w:rPr>
      </w:pPr>
    </w:p>
    <w:p>
      <w:pPr>
        <w:pStyle w:val="BodyText"/>
        <w:rPr>
          <w:sz w:val="20"/>
        </w:rPr>
      </w:pPr>
    </w:p>
    <w:p>
      <w:pPr>
        <w:pStyle w:val="BodyText"/>
        <w:rPr>
          <w:sz w:val="18"/>
        </w:rPr>
      </w:pPr>
    </w:p>
    <w:p>
      <w:pPr>
        <w:pStyle w:val="BodyText"/>
        <w:spacing w:line="360" w:lineRule="auto" w:before="70"/>
        <w:ind w:left="122" w:right="476"/>
        <w:jc w:val="both"/>
      </w:pPr>
      <w:r>
        <w:rPr/>
        <w:t>Para el caso de México, en cuanto a las instituciones de gobierno presidencial y sistema</w:t>
      </w:r>
      <w:r>
        <w:rPr>
          <w:spacing w:val="-11"/>
        </w:rPr>
        <w:t> </w:t>
      </w:r>
      <w:r>
        <w:rPr/>
        <w:t>electoral</w:t>
      </w:r>
      <w:r>
        <w:rPr>
          <w:spacing w:val="-12"/>
        </w:rPr>
        <w:t> </w:t>
      </w:r>
      <w:r>
        <w:rPr/>
        <w:t>mayoritario.</w:t>
      </w:r>
      <w:r>
        <w:rPr>
          <w:spacing w:val="-9"/>
        </w:rPr>
        <w:t> </w:t>
      </w:r>
      <w:r>
        <w:rPr/>
        <w:t>En</w:t>
      </w:r>
      <w:r>
        <w:rPr>
          <w:spacing w:val="-8"/>
        </w:rPr>
        <w:t> </w:t>
      </w:r>
      <w:r>
        <w:rPr/>
        <w:t>tanto</w:t>
      </w:r>
      <w:r>
        <w:rPr>
          <w:spacing w:val="-8"/>
        </w:rPr>
        <w:t> </w:t>
      </w:r>
      <w:r>
        <w:rPr/>
        <w:t>que</w:t>
      </w:r>
      <w:r>
        <w:rPr>
          <w:spacing w:val="-11"/>
        </w:rPr>
        <w:t> </w:t>
      </w:r>
      <w:r>
        <w:rPr/>
        <w:t>el</w:t>
      </w:r>
      <w:r>
        <w:rPr>
          <w:spacing w:val="-12"/>
        </w:rPr>
        <w:t> </w:t>
      </w:r>
      <w:r>
        <w:rPr/>
        <w:t>sistema</w:t>
      </w:r>
      <w:r>
        <w:rPr>
          <w:spacing w:val="-11"/>
        </w:rPr>
        <w:t> </w:t>
      </w:r>
      <w:r>
        <w:rPr/>
        <w:t>de</w:t>
      </w:r>
      <w:r>
        <w:rPr>
          <w:spacing w:val="-11"/>
        </w:rPr>
        <w:t> </w:t>
      </w:r>
      <w:r>
        <w:rPr/>
        <w:t>partidos</w:t>
      </w:r>
      <w:r>
        <w:rPr>
          <w:spacing w:val="-9"/>
        </w:rPr>
        <w:t> </w:t>
      </w:r>
      <w:r>
        <w:rPr/>
        <w:t>se</w:t>
      </w:r>
      <w:r>
        <w:rPr>
          <w:spacing w:val="-13"/>
        </w:rPr>
        <w:t> </w:t>
      </w:r>
      <w:r>
        <w:rPr/>
        <w:t>presenta</w:t>
      </w:r>
      <w:r>
        <w:rPr>
          <w:spacing w:val="-8"/>
        </w:rPr>
        <w:t> </w:t>
      </w:r>
      <w:r>
        <w:rPr/>
        <w:t>como un multipartidismo homogéneo y gobiernos de coalición cuya sociedad civil es semiautónoma. Estas condiciones políticas hacen que en el país no baste solo la voluntad</w:t>
      </w:r>
      <w:r>
        <w:rPr>
          <w:spacing w:val="-9"/>
        </w:rPr>
        <w:t> </w:t>
      </w:r>
      <w:r>
        <w:rPr/>
        <w:t>del</w:t>
      </w:r>
      <w:r>
        <w:rPr>
          <w:spacing w:val="-11"/>
        </w:rPr>
        <w:t> </w:t>
      </w:r>
      <w:r>
        <w:rPr/>
        <w:t>partido</w:t>
      </w:r>
      <w:r>
        <w:rPr>
          <w:spacing w:val="-9"/>
        </w:rPr>
        <w:t> </w:t>
      </w:r>
      <w:r>
        <w:rPr/>
        <w:t>gobernante</w:t>
      </w:r>
      <w:r>
        <w:rPr>
          <w:spacing w:val="-11"/>
        </w:rPr>
        <w:t> </w:t>
      </w:r>
      <w:r>
        <w:rPr/>
        <w:t>para</w:t>
      </w:r>
      <w:r>
        <w:rPr>
          <w:spacing w:val="-10"/>
        </w:rPr>
        <w:t> </w:t>
      </w:r>
      <w:r>
        <w:rPr/>
        <w:t>determinar</w:t>
      </w:r>
      <w:r>
        <w:rPr>
          <w:spacing w:val="-11"/>
        </w:rPr>
        <w:t> </w:t>
      </w:r>
      <w:r>
        <w:rPr/>
        <w:t>las</w:t>
      </w:r>
      <w:r>
        <w:rPr>
          <w:spacing w:val="-10"/>
        </w:rPr>
        <w:t> </w:t>
      </w:r>
      <w:r>
        <w:rPr/>
        <w:t>reglas</w:t>
      </w:r>
      <w:r>
        <w:rPr>
          <w:spacing w:val="-10"/>
        </w:rPr>
        <w:t> </w:t>
      </w:r>
      <w:r>
        <w:rPr/>
        <w:t>del</w:t>
      </w:r>
      <w:r>
        <w:rPr>
          <w:spacing w:val="-11"/>
        </w:rPr>
        <w:t> </w:t>
      </w:r>
      <w:r>
        <w:rPr/>
        <w:t>sistema</w:t>
      </w:r>
      <w:r>
        <w:rPr>
          <w:spacing w:val="-9"/>
        </w:rPr>
        <w:t> </w:t>
      </w:r>
      <w:r>
        <w:rPr/>
        <w:t>político,</w:t>
      </w:r>
      <w:r>
        <w:rPr>
          <w:spacing w:val="-10"/>
        </w:rPr>
        <w:t> </w:t>
      </w:r>
      <w:r>
        <w:rPr/>
        <w:t>sino que se tienen que negociar con otros partidos de oposición para definir las reglas del</w:t>
      </w:r>
      <w:r>
        <w:rPr>
          <w:spacing w:val="-2"/>
        </w:rPr>
        <w:t> </w:t>
      </w:r>
      <w:r>
        <w:rPr/>
        <w:t>juego.</w:t>
      </w:r>
    </w:p>
    <w:p>
      <w:pPr>
        <w:spacing w:after="0" w:line="360" w:lineRule="auto"/>
        <w:jc w:val="both"/>
        <w:sectPr>
          <w:pgSz w:w="12240" w:h="15840"/>
          <w:pgMar w:header="0" w:footer="975" w:top="1360" w:bottom="1220" w:left="1580" w:right="1220"/>
        </w:sectPr>
      </w:pPr>
    </w:p>
    <w:p>
      <w:pPr>
        <w:pStyle w:val="Heading1"/>
        <w:numPr>
          <w:ilvl w:val="3"/>
          <w:numId w:val="7"/>
        </w:numPr>
        <w:tabs>
          <w:tab w:pos="1538" w:val="left" w:leader="none"/>
        </w:tabs>
        <w:spacing w:line="240" w:lineRule="auto" w:before="56" w:after="0"/>
        <w:ind w:left="1538" w:right="0" w:hanging="1428"/>
        <w:jc w:val="both"/>
      </w:pPr>
      <w:r>
        <w:rPr/>
        <w:t>Población</w:t>
      </w:r>
    </w:p>
    <w:p>
      <w:pPr>
        <w:pStyle w:val="BodyText"/>
        <w:rPr>
          <w:b/>
        </w:rPr>
      </w:pPr>
    </w:p>
    <w:p>
      <w:pPr>
        <w:pStyle w:val="BodyText"/>
        <w:rPr>
          <w:b/>
        </w:rPr>
      </w:pPr>
    </w:p>
    <w:p>
      <w:pPr>
        <w:pStyle w:val="BodyText"/>
        <w:spacing w:line="360" w:lineRule="auto" w:before="159"/>
        <w:ind w:left="122" w:right="117"/>
        <w:jc w:val="both"/>
      </w:pPr>
      <w:r>
        <w:rPr/>
        <w:t>Este elemento del Estado, de acuerdo con la Real Academia Española, “es un conjunto de personas de un lugar o país”. Por su parte Pichardo (2002) lo define como “un conjunto de habitantes que se asienta sobre un territorio determinado, vinculados por hechos de la convivencia”. En el caso de México, la población presenta las siguientes características de acuerdo con el Instituto Nacional de Estadística y Geografía (INEGI).</w:t>
      </w:r>
    </w:p>
    <w:p>
      <w:pPr>
        <w:pStyle w:val="BodyText"/>
        <w:rPr>
          <w:sz w:val="20"/>
        </w:rPr>
      </w:pPr>
    </w:p>
    <w:p>
      <w:pPr>
        <w:pStyle w:val="BodyText"/>
        <w:rPr>
          <w:sz w:val="20"/>
        </w:rPr>
      </w:pPr>
    </w:p>
    <w:p>
      <w:pPr>
        <w:pStyle w:val="BodyText"/>
        <w:spacing w:before="6"/>
      </w:pPr>
    </w:p>
    <w:tbl>
      <w:tblPr>
        <w:tblW w:w="0" w:type="auto"/>
        <w:jc w:val="left"/>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73"/>
        <w:gridCol w:w="6056"/>
      </w:tblGrid>
      <w:tr>
        <w:trPr>
          <w:trHeight w:val="247" w:hRule="exact"/>
        </w:trPr>
        <w:tc>
          <w:tcPr>
            <w:tcW w:w="8829" w:type="dxa"/>
            <w:gridSpan w:val="2"/>
            <w:shd w:val="clear" w:color="auto" w:fill="92D050"/>
          </w:tcPr>
          <w:p>
            <w:pPr>
              <w:pStyle w:val="TableParagraph"/>
              <w:spacing w:line="201" w:lineRule="exact"/>
              <w:ind w:left="1987" w:right="312"/>
              <w:jc w:val="left"/>
              <w:rPr>
                <w:b/>
                <w:sz w:val="18"/>
              </w:rPr>
            </w:pPr>
            <w:r>
              <w:rPr>
                <w:b/>
                <w:sz w:val="18"/>
              </w:rPr>
              <w:t>Tabla 1.4. Características de la población mexicana 2015</w:t>
            </w:r>
          </w:p>
        </w:tc>
      </w:tr>
      <w:tr>
        <w:trPr>
          <w:trHeight w:val="247" w:hRule="exact"/>
        </w:trPr>
        <w:tc>
          <w:tcPr>
            <w:tcW w:w="2773" w:type="dxa"/>
            <w:shd w:val="clear" w:color="auto" w:fill="92D050"/>
          </w:tcPr>
          <w:p>
            <w:pPr>
              <w:pStyle w:val="TableParagraph"/>
              <w:spacing w:line="201" w:lineRule="exact"/>
              <w:ind w:left="165" w:right="166"/>
              <w:rPr>
                <w:b/>
                <w:sz w:val="18"/>
              </w:rPr>
            </w:pPr>
            <w:r>
              <w:rPr>
                <w:b/>
                <w:sz w:val="18"/>
              </w:rPr>
              <w:t>Variable</w:t>
            </w:r>
          </w:p>
        </w:tc>
        <w:tc>
          <w:tcPr>
            <w:tcW w:w="6056" w:type="dxa"/>
            <w:shd w:val="clear" w:color="auto" w:fill="92D050"/>
          </w:tcPr>
          <w:p>
            <w:pPr>
              <w:pStyle w:val="TableParagraph"/>
              <w:spacing w:line="201" w:lineRule="exact"/>
              <w:ind w:left="2487" w:right="2488"/>
              <w:rPr>
                <w:b/>
                <w:sz w:val="18"/>
              </w:rPr>
            </w:pPr>
            <w:r>
              <w:rPr>
                <w:b/>
                <w:sz w:val="18"/>
              </w:rPr>
              <w:t>Descripción</w:t>
            </w:r>
          </w:p>
        </w:tc>
      </w:tr>
      <w:tr>
        <w:trPr>
          <w:trHeight w:val="1241" w:hRule="exact"/>
        </w:trPr>
        <w:tc>
          <w:tcPr>
            <w:tcW w:w="2773" w:type="dxa"/>
          </w:tcPr>
          <w:p>
            <w:pPr>
              <w:pStyle w:val="TableParagraph"/>
              <w:jc w:val="left"/>
              <w:rPr>
                <w:sz w:val="18"/>
              </w:rPr>
            </w:pPr>
          </w:p>
          <w:p>
            <w:pPr>
              <w:pStyle w:val="TableParagraph"/>
              <w:spacing w:before="5"/>
              <w:jc w:val="left"/>
              <w:rPr>
                <w:sz w:val="23"/>
              </w:rPr>
            </w:pPr>
          </w:p>
          <w:p>
            <w:pPr>
              <w:pStyle w:val="TableParagraph"/>
              <w:ind w:left="165" w:right="165"/>
              <w:rPr>
                <w:sz w:val="18"/>
              </w:rPr>
            </w:pPr>
            <w:r>
              <w:rPr>
                <w:sz w:val="18"/>
              </w:rPr>
              <w:t>Total de población</w:t>
            </w:r>
          </w:p>
        </w:tc>
        <w:tc>
          <w:tcPr>
            <w:tcW w:w="6056" w:type="dxa"/>
          </w:tcPr>
          <w:p>
            <w:pPr>
              <w:pStyle w:val="TableParagraph"/>
              <w:spacing w:line="276" w:lineRule="auto" w:before="1"/>
              <w:ind w:left="100" w:right="106"/>
              <w:jc w:val="both"/>
              <w:rPr>
                <w:sz w:val="18"/>
              </w:rPr>
            </w:pPr>
            <w:r>
              <w:rPr>
                <w:sz w:val="18"/>
              </w:rPr>
              <w:t>Se integra por un total de 121,005,816 personas. De las cuales 61,958,979 son mujeres y 59,046,837 hombres.</w:t>
            </w:r>
          </w:p>
          <w:p>
            <w:pPr>
              <w:pStyle w:val="TableParagraph"/>
              <w:spacing w:line="276" w:lineRule="auto"/>
              <w:ind w:left="100" w:right="106"/>
              <w:jc w:val="both"/>
              <w:rPr>
                <w:sz w:val="18"/>
              </w:rPr>
            </w:pPr>
            <w:r>
              <w:rPr>
                <w:sz w:val="18"/>
              </w:rPr>
              <w:t>La población menor de 15 años representa 27%, los de 15 a 64 años, constituyen 65% y la población en edad avanzada representa el 7.2 por ciento.</w:t>
            </w:r>
          </w:p>
        </w:tc>
      </w:tr>
      <w:tr>
        <w:trPr>
          <w:trHeight w:val="1200" w:hRule="exact"/>
        </w:trPr>
        <w:tc>
          <w:tcPr>
            <w:tcW w:w="2773" w:type="dxa"/>
          </w:tcPr>
          <w:p>
            <w:pPr>
              <w:pStyle w:val="TableParagraph"/>
              <w:jc w:val="left"/>
              <w:rPr>
                <w:sz w:val="18"/>
              </w:rPr>
            </w:pPr>
          </w:p>
          <w:p>
            <w:pPr>
              <w:pStyle w:val="TableParagraph"/>
              <w:spacing w:before="2"/>
              <w:jc w:val="left"/>
              <w:rPr>
                <w:sz w:val="23"/>
              </w:rPr>
            </w:pPr>
          </w:p>
          <w:p>
            <w:pPr>
              <w:pStyle w:val="TableParagraph"/>
              <w:spacing w:before="1"/>
              <w:ind w:left="165" w:right="166"/>
              <w:rPr>
                <w:sz w:val="18"/>
              </w:rPr>
            </w:pPr>
            <w:r>
              <w:rPr>
                <w:sz w:val="18"/>
              </w:rPr>
              <w:t>Natalidad y mortalidad</w:t>
            </w:r>
          </w:p>
        </w:tc>
        <w:tc>
          <w:tcPr>
            <w:tcW w:w="6056" w:type="dxa"/>
          </w:tcPr>
          <w:p>
            <w:pPr>
              <w:pStyle w:val="TableParagraph"/>
              <w:spacing w:line="276" w:lineRule="auto"/>
              <w:ind w:left="100" w:right="102"/>
              <w:jc w:val="both"/>
              <w:rPr>
                <w:sz w:val="18"/>
              </w:rPr>
            </w:pPr>
            <w:r>
              <w:rPr>
                <w:sz w:val="18"/>
              </w:rPr>
              <w:t>La natalidad es de 2,353,596 de nacimientos al</w:t>
            </w:r>
            <w:r>
              <w:rPr>
                <w:spacing w:val="-35"/>
                <w:sz w:val="18"/>
              </w:rPr>
              <w:t> </w:t>
            </w:r>
            <w:r>
              <w:rPr>
                <w:sz w:val="18"/>
              </w:rPr>
              <w:t>año. Mientras que la tasa de mortalidad es de 655,688 defunciones al año. Del total de las defunciones registradas 56% corresponden a hombres y 44% a mujeres. Las</w:t>
            </w:r>
            <w:r>
              <w:rPr>
                <w:spacing w:val="-4"/>
                <w:sz w:val="18"/>
              </w:rPr>
              <w:t> </w:t>
            </w:r>
            <w:r>
              <w:rPr>
                <w:sz w:val="18"/>
              </w:rPr>
              <w:t>enfermedades</w:t>
            </w:r>
            <w:r>
              <w:rPr>
                <w:spacing w:val="-4"/>
                <w:sz w:val="18"/>
              </w:rPr>
              <w:t> </w:t>
            </w:r>
            <w:r>
              <w:rPr>
                <w:sz w:val="18"/>
              </w:rPr>
              <w:t>que</w:t>
            </w:r>
            <w:r>
              <w:rPr>
                <w:spacing w:val="-5"/>
                <w:sz w:val="18"/>
              </w:rPr>
              <w:t> </w:t>
            </w:r>
            <w:r>
              <w:rPr>
                <w:sz w:val="18"/>
              </w:rPr>
              <w:t>causan</w:t>
            </w:r>
            <w:r>
              <w:rPr>
                <w:spacing w:val="-5"/>
                <w:sz w:val="18"/>
              </w:rPr>
              <w:t> </w:t>
            </w:r>
            <w:r>
              <w:rPr>
                <w:sz w:val="18"/>
              </w:rPr>
              <w:t>mayor</w:t>
            </w:r>
            <w:r>
              <w:rPr>
                <w:spacing w:val="-5"/>
                <w:sz w:val="18"/>
              </w:rPr>
              <w:t> </w:t>
            </w:r>
            <w:r>
              <w:rPr>
                <w:sz w:val="18"/>
              </w:rPr>
              <w:t>número</w:t>
            </w:r>
            <w:r>
              <w:rPr>
                <w:spacing w:val="-5"/>
                <w:sz w:val="18"/>
              </w:rPr>
              <w:t> </w:t>
            </w:r>
            <w:r>
              <w:rPr>
                <w:sz w:val="18"/>
              </w:rPr>
              <w:t>de</w:t>
            </w:r>
            <w:r>
              <w:rPr>
                <w:spacing w:val="-7"/>
                <w:sz w:val="18"/>
              </w:rPr>
              <w:t> </w:t>
            </w:r>
            <w:r>
              <w:rPr>
                <w:sz w:val="18"/>
              </w:rPr>
              <w:t>defunciones</w:t>
            </w:r>
            <w:r>
              <w:rPr>
                <w:spacing w:val="-4"/>
                <w:sz w:val="18"/>
              </w:rPr>
              <w:t> </w:t>
            </w:r>
            <w:r>
              <w:rPr>
                <w:sz w:val="18"/>
              </w:rPr>
              <w:t>son</w:t>
            </w:r>
            <w:r>
              <w:rPr>
                <w:spacing w:val="-5"/>
                <w:sz w:val="18"/>
              </w:rPr>
              <w:t> </w:t>
            </w:r>
            <w:r>
              <w:rPr>
                <w:sz w:val="18"/>
              </w:rPr>
              <w:t>las</w:t>
            </w:r>
            <w:r>
              <w:rPr>
                <w:spacing w:val="-7"/>
                <w:sz w:val="18"/>
              </w:rPr>
              <w:t> </w:t>
            </w:r>
            <w:r>
              <w:rPr>
                <w:sz w:val="18"/>
              </w:rPr>
              <w:t>del corazón, diabetes mellitus y tumores</w:t>
            </w:r>
            <w:r>
              <w:rPr>
                <w:spacing w:val="-18"/>
                <w:sz w:val="18"/>
              </w:rPr>
              <w:t> </w:t>
            </w:r>
            <w:r>
              <w:rPr>
                <w:sz w:val="18"/>
              </w:rPr>
              <w:t>malignos.</w:t>
            </w:r>
          </w:p>
        </w:tc>
      </w:tr>
      <w:tr>
        <w:trPr>
          <w:trHeight w:val="485" w:hRule="exact"/>
        </w:trPr>
        <w:tc>
          <w:tcPr>
            <w:tcW w:w="2773" w:type="dxa"/>
          </w:tcPr>
          <w:p>
            <w:pPr>
              <w:pStyle w:val="TableParagraph"/>
              <w:spacing w:line="207" w:lineRule="exact"/>
              <w:ind w:left="165" w:right="165"/>
              <w:rPr>
                <w:sz w:val="18"/>
              </w:rPr>
            </w:pPr>
            <w:r>
              <w:rPr>
                <w:sz w:val="18"/>
              </w:rPr>
              <w:t>Personas con discapacidad</w:t>
            </w:r>
          </w:p>
        </w:tc>
        <w:tc>
          <w:tcPr>
            <w:tcW w:w="6056" w:type="dxa"/>
          </w:tcPr>
          <w:p>
            <w:pPr>
              <w:pStyle w:val="TableParagraph"/>
              <w:spacing w:line="276" w:lineRule="auto"/>
              <w:ind w:left="100"/>
              <w:jc w:val="left"/>
              <w:rPr>
                <w:sz w:val="18"/>
              </w:rPr>
            </w:pPr>
            <w:r>
              <w:rPr>
                <w:sz w:val="18"/>
              </w:rPr>
              <w:t>Existen 5 millones 739 mil 270, lo que representa 5.1% de la población total.</w:t>
            </w:r>
          </w:p>
        </w:tc>
      </w:tr>
      <w:tr>
        <w:trPr>
          <w:trHeight w:val="725" w:hRule="exact"/>
        </w:trPr>
        <w:tc>
          <w:tcPr>
            <w:tcW w:w="2773" w:type="dxa"/>
          </w:tcPr>
          <w:p>
            <w:pPr>
              <w:pStyle w:val="TableParagraph"/>
              <w:spacing w:before="9"/>
              <w:jc w:val="left"/>
              <w:rPr>
                <w:sz w:val="20"/>
              </w:rPr>
            </w:pPr>
          </w:p>
          <w:p>
            <w:pPr>
              <w:pStyle w:val="TableParagraph"/>
              <w:ind w:left="165" w:right="165"/>
              <w:rPr>
                <w:sz w:val="18"/>
              </w:rPr>
            </w:pPr>
            <w:r>
              <w:rPr>
                <w:sz w:val="18"/>
              </w:rPr>
              <w:t>Densidad</w:t>
            </w:r>
          </w:p>
        </w:tc>
        <w:tc>
          <w:tcPr>
            <w:tcW w:w="6056" w:type="dxa"/>
          </w:tcPr>
          <w:p>
            <w:pPr>
              <w:pStyle w:val="TableParagraph"/>
              <w:spacing w:line="273" w:lineRule="auto"/>
              <w:ind w:left="100" w:right="99"/>
              <w:jc w:val="both"/>
              <w:rPr>
                <w:sz w:val="18"/>
              </w:rPr>
            </w:pPr>
            <w:r>
              <w:rPr>
                <w:sz w:val="18"/>
              </w:rPr>
              <w:t>Es de 61 hab/km</w:t>
            </w:r>
            <w:r>
              <w:rPr>
                <w:position w:val="6"/>
                <w:sz w:val="12"/>
              </w:rPr>
              <w:t>2</w:t>
            </w:r>
            <w:r>
              <w:rPr>
                <w:sz w:val="18"/>
              </w:rPr>
              <w:t>. La entidad con menor densidad es Baja California Sur con</w:t>
            </w:r>
            <w:r>
              <w:rPr>
                <w:spacing w:val="-8"/>
                <w:sz w:val="18"/>
              </w:rPr>
              <w:t> </w:t>
            </w:r>
            <w:r>
              <w:rPr>
                <w:sz w:val="18"/>
              </w:rPr>
              <w:t>10</w:t>
            </w:r>
            <w:r>
              <w:rPr>
                <w:spacing w:val="-8"/>
                <w:sz w:val="18"/>
              </w:rPr>
              <w:t> </w:t>
            </w:r>
            <w:r>
              <w:rPr>
                <w:sz w:val="18"/>
              </w:rPr>
              <w:t>hab/km</w:t>
            </w:r>
            <w:r>
              <w:rPr>
                <w:position w:val="6"/>
                <w:sz w:val="12"/>
              </w:rPr>
              <w:t>2</w:t>
            </w:r>
            <w:r>
              <w:rPr>
                <w:spacing w:val="11"/>
                <w:position w:val="6"/>
                <w:sz w:val="12"/>
              </w:rPr>
              <w:t> </w:t>
            </w:r>
            <w:r>
              <w:rPr>
                <w:sz w:val="18"/>
              </w:rPr>
              <w:t>y</w:t>
            </w:r>
            <w:r>
              <w:rPr>
                <w:spacing w:val="-10"/>
                <w:sz w:val="18"/>
              </w:rPr>
              <w:t> </w:t>
            </w:r>
            <w:r>
              <w:rPr>
                <w:sz w:val="18"/>
              </w:rPr>
              <w:t>la</w:t>
            </w:r>
            <w:r>
              <w:rPr>
                <w:spacing w:val="-8"/>
                <w:sz w:val="18"/>
              </w:rPr>
              <w:t> </w:t>
            </w:r>
            <w:r>
              <w:rPr>
                <w:sz w:val="18"/>
              </w:rPr>
              <w:t>de</w:t>
            </w:r>
            <w:r>
              <w:rPr>
                <w:spacing w:val="-8"/>
                <w:sz w:val="18"/>
              </w:rPr>
              <w:t> </w:t>
            </w:r>
            <w:r>
              <w:rPr>
                <w:sz w:val="18"/>
              </w:rPr>
              <w:t>mayor</w:t>
            </w:r>
            <w:r>
              <w:rPr>
                <w:spacing w:val="-9"/>
                <w:sz w:val="18"/>
              </w:rPr>
              <w:t> </w:t>
            </w:r>
            <w:r>
              <w:rPr>
                <w:sz w:val="18"/>
              </w:rPr>
              <w:t>densidad</w:t>
            </w:r>
            <w:r>
              <w:rPr>
                <w:spacing w:val="-5"/>
                <w:sz w:val="18"/>
              </w:rPr>
              <w:t> </w:t>
            </w:r>
            <w:r>
              <w:rPr>
                <w:sz w:val="18"/>
              </w:rPr>
              <w:t>es</w:t>
            </w:r>
            <w:r>
              <w:rPr>
                <w:spacing w:val="-6"/>
                <w:sz w:val="18"/>
              </w:rPr>
              <w:t> </w:t>
            </w:r>
            <w:r>
              <w:rPr>
                <w:sz w:val="18"/>
              </w:rPr>
              <w:t>la</w:t>
            </w:r>
            <w:r>
              <w:rPr>
                <w:spacing w:val="-8"/>
                <w:sz w:val="18"/>
              </w:rPr>
              <w:t> </w:t>
            </w:r>
            <w:r>
              <w:rPr>
                <w:sz w:val="18"/>
              </w:rPr>
              <w:t>Ciudad</w:t>
            </w:r>
            <w:r>
              <w:rPr>
                <w:spacing w:val="-8"/>
                <w:sz w:val="18"/>
              </w:rPr>
              <w:t> </w:t>
            </w:r>
            <w:r>
              <w:rPr>
                <w:sz w:val="18"/>
              </w:rPr>
              <w:t>de</w:t>
            </w:r>
            <w:r>
              <w:rPr>
                <w:spacing w:val="-5"/>
                <w:sz w:val="18"/>
              </w:rPr>
              <w:t> </w:t>
            </w:r>
            <w:r>
              <w:rPr>
                <w:sz w:val="18"/>
              </w:rPr>
              <w:t>México</w:t>
            </w:r>
            <w:r>
              <w:rPr>
                <w:spacing w:val="-8"/>
                <w:sz w:val="18"/>
              </w:rPr>
              <w:t> </w:t>
            </w:r>
            <w:r>
              <w:rPr>
                <w:sz w:val="18"/>
              </w:rPr>
              <w:t>con</w:t>
            </w:r>
            <w:r>
              <w:rPr>
                <w:spacing w:val="-8"/>
                <w:sz w:val="18"/>
              </w:rPr>
              <w:t> </w:t>
            </w:r>
            <w:r>
              <w:rPr>
                <w:sz w:val="18"/>
              </w:rPr>
              <w:t>5,967 hab/km</w:t>
            </w:r>
            <w:r>
              <w:rPr>
                <w:position w:val="6"/>
                <w:sz w:val="12"/>
              </w:rPr>
              <w:t>2</w:t>
            </w:r>
            <w:r>
              <w:rPr>
                <w:sz w:val="18"/>
              </w:rPr>
              <w:t>.</w:t>
            </w:r>
          </w:p>
        </w:tc>
      </w:tr>
      <w:tr>
        <w:trPr>
          <w:trHeight w:val="725" w:hRule="exact"/>
        </w:trPr>
        <w:tc>
          <w:tcPr>
            <w:tcW w:w="2773" w:type="dxa"/>
          </w:tcPr>
          <w:p>
            <w:pPr>
              <w:pStyle w:val="TableParagraph"/>
              <w:spacing w:before="6"/>
              <w:jc w:val="left"/>
              <w:rPr>
                <w:sz w:val="20"/>
              </w:rPr>
            </w:pPr>
          </w:p>
          <w:p>
            <w:pPr>
              <w:pStyle w:val="TableParagraph"/>
              <w:ind w:left="165" w:right="166"/>
              <w:rPr>
                <w:sz w:val="18"/>
              </w:rPr>
            </w:pPr>
            <w:r>
              <w:rPr>
                <w:sz w:val="18"/>
              </w:rPr>
              <w:t>Educación</w:t>
            </w:r>
          </w:p>
        </w:tc>
        <w:tc>
          <w:tcPr>
            <w:tcW w:w="6056" w:type="dxa"/>
          </w:tcPr>
          <w:p>
            <w:pPr>
              <w:pStyle w:val="TableParagraph"/>
              <w:spacing w:line="276" w:lineRule="auto"/>
              <w:ind w:left="100" w:right="106"/>
              <w:jc w:val="both"/>
              <w:rPr>
                <w:sz w:val="18"/>
              </w:rPr>
            </w:pPr>
            <w:r>
              <w:rPr>
                <w:sz w:val="18"/>
              </w:rPr>
              <w:t>Existen 4 millones 749 mil 057 personas que no saben leer ni escribir. El mayor porcentaje de población analfabeta es la población de 65 años y más.</w:t>
            </w:r>
          </w:p>
        </w:tc>
      </w:tr>
      <w:tr>
        <w:trPr>
          <w:trHeight w:val="722" w:hRule="exact"/>
        </w:trPr>
        <w:tc>
          <w:tcPr>
            <w:tcW w:w="2773" w:type="dxa"/>
          </w:tcPr>
          <w:p>
            <w:pPr>
              <w:pStyle w:val="TableParagraph"/>
              <w:spacing w:before="6"/>
              <w:jc w:val="left"/>
              <w:rPr>
                <w:sz w:val="20"/>
              </w:rPr>
            </w:pPr>
          </w:p>
          <w:p>
            <w:pPr>
              <w:pStyle w:val="TableParagraph"/>
              <w:ind w:left="165" w:right="165"/>
              <w:rPr>
                <w:sz w:val="18"/>
              </w:rPr>
            </w:pPr>
            <w:r>
              <w:rPr>
                <w:sz w:val="18"/>
              </w:rPr>
              <w:t>Esperanza de vida</w:t>
            </w:r>
          </w:p>
        </w:tc>
        <w:tc>
          <w:tcPr>
            <w:tcW w:w="6056" w:type="dxa"/>
          </w:tcPr>
          <w:p>
            <w:pPr>
              <w:pStyle w:val="TableParagraph"/>
              <w:spacing w:line="276" w:lineRule="auto"/>
              <w:ind w:left="100" w:right="100"/>
              <w:jc w:val="both"/>
              <w:rPr>
                <w:sz w:val="18"/>
              </w:rPr>
            </w:pPr>
            <w:r>
              <w:rPr>
                <w:sz w:val="18"/>
              </w:rPr>
              <w:t>Es de 77.5 para las mujeres y de 72.1 para los hombres. El Estado que presenta el mayor promedio de vida registró fue Nuevo León con 76.4 años y el de menor es Chiapas con 72.8 años.</w:t>
            </w:r>
          </w:p>
        </w:tc>
      </w:tr>
      <w:tr>
        <w:trPr>
          <w:trHeight w:val="487" w:hRule="exact"/>
        </w:trPr>
        <w:tc>
          <w:tcPr>
            <w:tcW w:w="2773" w:type="dxa"/>
          </w:tcPr>
          <w:p>
            <w:pPr>
              <w:pStyle w:val="TableParagraph"/>
              <w:spacing w:before="1"/>
              <w:ind w:left="165" w:right="166"/>
              <w:rPr>
                <w:sz w:val="18"/>
              </w:rPr>
            </w:pPr>
            <w:r>
              <w:rPr>
                <w:sz w:val="18"/>
              </w:rPr>
              <w:t>Hablantes de lengua indígena</w:t>
            </w:r>
          </w:p>
        </w:tc>
        <w:tc>
          <w:tcPr>
            <w:tcW w:w="6056" w:type="dxa"/>
          </w:tcPr>
          <w:p>
            <w:pPr>
              <w:pStyle w:val="TableParagraph"/>
              <w:spacing w:line="276" w:lineRule="auto" w:before="1"/>
              <w:ind w:left="100"/>
              <w:jc w:val="left"/>
              <w:rPr>
                <w:sz w:val="18"/>
              </w:rPr>
            </w:pPr>
            <w:r>
              <w:rPr>
                <w:sz w:val="18"/>
              </w:rPr>
              <w:t>7 millones 382 mil 785 personas de 3 años y más hablan alguna lengua indígena, las más habladas son Náhuatl, Maya y Tseltal.</w:t>
            </w:r>
          </w:p>
        </w:tc>
      </w:tr>
      <w:tr>
        <w:trPr>
          <w:trHeight w:val="247" w:hRule="exact"/>
        </w:trPr>
        <w:tc>
          <w:tcPr>
            <w:tcW w:w="2773" w:type="dxa"/>
          </w:tcPr>
          <w:p>
            <w:pPr>
              <w:pStyle w:val="TableParagraph"/>
              <w:spacing w:line="206" w:lineRule="exact"/>
              <w:ind w:left="165" w:right="165"/>
              <w:rPr>
                <w:sz w:val="18"/>
              </w:rPr>
            </w:pPr>
            <w:r>
              <w:rPr>
                <w:sz w:val="18"/>
              </w:rPr>
              <w:t>Hogares</w:t>
            </w:r>
          </w:p>
        </w:tc>
        <w:tc>
          <w:tcPr>
            <w:tcW w:w="6056" w:type="dxa"/>
          </w:tcPr>
          <w:p>
            <w:pPr>
              <w:pStyle w:val="TableParagraph"/>
              <w:spacing w:line="206" w:lineRule="exact"/>
              <w:ind w:left="100"/>
              <w:jc w:val="left"/>
              <w:rPr>
                <w:sz w:val="18"/>
              </w:rPr>
            </w:pPr>
            <w:r>
              <w:rPr>
                <w:sz w:val="18"/>
              </w:rPr>
              <w:t>89 de cada 100 hogares son familiares</w:t>
            </w:r>
            <w:r>
              <w:rPr>
                <w:position w:val="6"/>
                <w:sz w:val="12"/>
              </w:rPr>
              <w:t>10 </w:t>
            </w:r>
            <w:r>
              <w:rPr>
                <w:sz w:val="18"/>
              </w:rPr>
              <w:t>y el resto, no familiares</w:t>
            </w:r>
            <w:r>
              <w:rPr>
                <w:position w:val="6"/>
                <w:sz w:val="12"/>
              </w:rPr>
              <w:t>11</w:t>
            </w:r>
            <w:r>
              <w:rPr>
                <w:sz w:val="18"/>
              </w:rPr>
              <w:t>.</w:t>
            </w:r>
          </w:p>
        </w:tc>
      </w:tr>
      <w:tr>
        <w:trPr>
          <w:trHeight w:val="250" w:hRule="exact"/>
        </w:trPr>
        <w:tc>
          <w:tcPr>
            <w:tcW w:w="2773" w:type="dxa"/>
          </w:tcPr>
          <w:p>
            <w:pPr>
              <w:pStyle w:val="TableParagraph"/>
              <w:spacing w:line="207" w:lineRule="exact"/>
              <w:ind w:left="165" w:right="166"/>
              <w:rPr>
                <w:sz w:val="18"/>
              </w:rPr>
            </w:pPr>
            <w:r>
              <w:rPr>
                <w:sz w:val="18"/>
              </w:rPr>
              <w:t>Matrimonios y divorcios</w:t>
            </w:r>
          </w:p>
        </w:tc>
        <w:tc>
          <w:tcPr>
            <w:tcW w:w="6056" w:type="dxa"/>
          </w:tcPr>
          <w:p>
            <w:pPr>
              <w:pStyle w:val="TableParagraph"/>
              <w:spacing w:line="207" w:lineRule="exact"/>
              <w:ind w:left="100"/>
              <w:jc w:val="left"/>
              <w:rPr>
                <w:sz w:val="18"/>
              </w:rPr>
            </w:pPr>
            <w:r>
              <w:rPr>
                <w:sz w:val="18"/>
              </w:rPr>
              <w:t>Al 2014 se registraron 577 mil 713 matrimonios.</w:t>
            </w:r>
          </w:p>
        </w:tc>
      </w:tr>
    </w:tbl>
    <w:p>
      <w:pPr>
        <w:tabs>
          <w:tab w:pos="1127" w:val="left" w:leader="none"/>
          <w:tab w:pos="2324" w:val="left" w:leader="none"/>
          <w:tab w:pos="3116" w:val="left" w:leader="none"/>
          <w:tab w:pos="3725" w:val="left" w:leader="none"/>
          <w:tab w:pos="4466" w:val="left" w:leader="none"/>
          <w:tab w:pos="4993" w:val="left" w:leader="none"/>
          <w:tab w:pos="5470" w:val="left" w:leader="none"/>
          <w:tab w:pos="6486" w:val="left" w:leader="none"/>
          <w:tab w:pos="7618" w:val="left" w:leader="none"/>
          <w:tab w:pos="8369" w:val="left" w:leader="none"/>
        </w:tabs>
        <w:spacing w:line="276" w:lineRule="auto" w:before="0"/>
        <w:ind w:left="234" w:right="232" w:firstLine="0"/>
        <w:jc w:val="left"/>
        <w:rPr>
          <w:sz w:val="16"/>
        </w:rPr>
      </w:pPr>
      <w:r>
        <w:rPr>
          <w:sz w:val="16"/>
        </w:rPr>
        <w:t>Fuente:</w:t>
        <w:tab/>
        <w:t>Elaboración</w:t>
        <w:tab/>
        <w:t>propia</w:t>
        <w:tab/>
        <w:t>con</w:t>
        <w:tab/>
        <w:t>datos</w:t>
        <w:tab/>
        <w:t>de</w:t>
        <w:tab/>
        <w:t>la</w:t>
        <w:tab/>
        <w:t>Encuesta</w:t>
        <w:tab/>
        <w:t>Intercensal</w:t>
        <w:tab/>
        <w:t>2015,</w:t>
        <w:tab/>
      </w:r>
      <w:r>
        <w:rPr>
          <w:spacing w:val="-1"/>
          <w:sz w:val="16"/>
        </w:rPr>
        <w:t>INEGI. </w:t>
      </w:r>
      <w:hyperlink r:id="rId17">
        <w:r>
          <w:rPr>
            <w:color w:val="0462C1"/>
            <w:spacing w:val="-1"/>
            <w:sz w:val="16"/>
            <w:u w:val="single" w:color="0462C1"/>
          </w:rPr>
          <w:t>http://cuentame.inegi.org.mx/poblacion/default.aspx?tema=P</w:t>
        </w:r>
        <w:r>
          <w:rPr>
            <w:color w:val="0462C1"/>
            <w:spacing w:val="24"/>
            <w:sz w:val="16"/>
            <w:u w:val="single" w:color="0462C1"/>
          </w:rPr>
          <w:t> </w:t>
        </w:r>
      </w:hyperlink>
      <w:r>
        <w:rPr>
          <w:sz w:val="16"/>
        </w:rPr>
        <w:t>[26-11-2016]</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8"/>
        </w:rPr>
      </w:pPr>
      <w:r>
        <w:rPr/>
        <w:pict>
          <v:line style="position:absolute;mso-position-horizontal-relative:page;mso-position-vertical-relative:paragraph;z-index:1240;mso-wrap-distance-left:0;mso-wrap-distance-right:0" from="85.103996pt,18.643990pt" to="229.123996pt,18.643990pt" stroked="true" strokeweight=".71997pt" strokecolor="#000000">
            <w10:wrap type="topAndBottom"/>
          </v:line>
        </w:pict>
      </w:r>
    </w:p>
    <w:p>
      <w:pPr>
        <w:spacing w:before="69"/>
        <w:ind w:left="122" w:right="337" w:firstLine="0"/>
        <w:jc w:val="left"/>
        <w:rPr>
          <w:sz w:val="14"/>
        </w:rPr>
      </w:pPr>
      <w:r>
        <w:rPr>
          <w:position w:val="5"/>
          <w:sz w:val="9"/>
        </w:rPr>
        <w:t>10 </w:t>
      </w:r>
      <w:r>
        <w:rPr>
          <w:sz w:val="14"/>
        </w:rPr>
        <w:t>Son aquellas familias en las que al menos uno de los integrantes tiene parentesco con el jefe o jefa del hogar.</w:t>
      </w:r>
    </w:p>
    <w:p>
      <w:pPr>
        <w:pStyle w:val="ListParagraph"/>
        <w:numPr>
          <w:ilvl w:val="0"/>
          <w:numId w:val="8"/>
        </w:numPr>
        <w:tabs>
          <w:tab w:pos="305" w:val="left" w:leader="none"/>
        </w:tabs>
        <w:spacing w:line="240" w:lineRule="auto" w:before="4" w:after="0"/>
        <w:ind w:left="122" w:right="0" w:firstLine="0"/>
        <w:jc w:val="left"/>
        <w:rPr>
          <w:sz w:val="13"/>
        </w:rPr>
      </w:pPr>
      <w:r>
        <w:rPr>
          <w:sz w:val="14"/>
        </w:rPr>
        <w:t>Son</w:t>
      </w:r>
      <w:r>
        <w:rPr>
          <w:spacing w:val="-2"/>
          <w:sz w:val="14"/>
        </w:rPr>
        <w:t> </w:t>
      </w:r>
      <w:r>
        <w:rPr>
          <w:sz w:val="14"/>
        </w:rPr>
        <w:t>aquellas</w:t>
      </w:r>
      <w:r>
        <w:rPr>
          <w:spacing w:val="-4"/>
          <w:sz w:val="14"/>
        </w:rPr>
        <w:t> </w:t>
      </w:r>
      <w:r>
        <w:rPr>
          <w:sz w:val="14"/>
        </w:rPr>
        <w:t>familias</w:t>
      </w:r>
      <w:r>
        <w:rPr>
          <w:spacing w:val="-2"/>
          <w:sz w:val="14"/>
        </w:rPr>
        <w:t> </w:t>
      </w:r>
      <w:r>
        <w:rPr>
          <w:sz w:val="14"/>
        </w:rPr>
        <w:t>en</w:t>
      </w:r>
      <w:r>
        <w:rPr>
          <w:spacing w:val="-4"/>
          <w:sz w:val="14"/>
        </w:rPr>
        <w:t> </w:t>
      </w:r>
      <w:r>
        <w:rPr>
          <w:sz w:val="14"/>
        </w:rPr>
        <w:t>las</w:t>
      </w:r>
      <w:r>
        <w:rPr>
          <w:spacing w:val="-1"/>
          <w:sz w:val="14"/>
        </w:rPr>
        <w:t> </w:t>
      </w:r>
      <w:r>
        <w:rPr>
          <w:sz w:val="14"/>
        </w:rPr>
        <w:t>que</w:t>
      </w:r>
      <w:r>
        <w:rPr>
          <w:spacing w:val="-1"/>
          <w:sz w:val="14"/>
        </w:rPr>
        <w:t> </w:t>
      </w:r>
      <w:r>
        <w:rPr>
          <w:sz w:val="14"/>
        </w:rPr>
        <w:t>ninguno</w:t>
      </w:r>
      <w:r>
        <w:rPr>
          <w:spacing w:val="-2"/>
          <w:sz w:val="14"/>
        </w:rPr>
        <w:t> </w:t>
      </w:r>
      <w:r>
        <w:rPr>
          <w:sz w:val="14"/>
        </w:rPr>
        <w:t>de</w:t>
      </w:r>
      <w:r>
        <w:rPr>
          <w:spacing w:val="-4"/>
          <w:sz w:val="14"/>
        </w:rPr>
        <w:t> </w:t>
      </w:r>
      <w:r>
        <w:rPr>
          <w:sz w:val="14"/>
        </w:rPr>
        <w:t>los</w:t>
      </w:r>
      <w:r>
        <w:rPr>
          <w:spacing w:val="-4"/>
          <w:sz w:val="14"/>
        </w:rPr>
        <w:t> </w:t>
      </w:r>
      <w:r>
        <w:rPr>
          <w:sz w:val="14"/>
        </w:rPr>
        <w:t>integrantes</w:t>
      </w:r>
      <w:r>
        <w:rPr>
          <w:spacing w:val="-4"/>
          <w:sz w:val="14"/>
        </w:rPr>
        <w:t> </w:t>
      </w:r>
      <w:r>
        <w:rPr>
          <w:sz w:val="14"/>
        </w:rPr>
        <w:t>tiene</w:t>
      </w:r>
      <w:r>
        <w:rPr>
          <w:spacing w:val="-2"/>
          <w:sz w:val="14"/>
        </w:rPr>
        <w:t> </w:t>
      </w:r>
      <w:r>
        <w:rPr>
          <w:sz w:val="14"/>
        </w:rPr>
        <w:t>parentesco</w:t>
      </w:r>
      <w:r>
        <w:rPr>
          <w:spacing w:val="-2"/>
          <w:sz w:val="14"/>
        </w:rPr>
        <w:t> </w:t>
      </w:r>
      <w:r>
        <w:rPr>
          <w:sz w:val="14"/>
        </w:rPr>
        <w:t>con</w:t>
      </w:r>
      <w:r>
        <w:rPr>
          <w:spacing w:val="-2"/>
          <w:sz w:val="14"/>
        </w:rPr>
        <w:t> </w:t>
      </w:r>
      <w:r>
        <w:rPr>
          <w:sz w:val="14"/>
        </w:rPr>
        <w:t>el</w:t>
      </w:r>
      <w:r>
        <w:rPr>
          <w:spacing w:val="-4"/>
          <w:sz w:val="14"/>
        </w:rPr>
        <w:t> </w:t>
      </w:r>
      <w:r>
        <w:rPr>
          <w:sz w:val="14"/>
        </w:rPr>
        <w:t>jefe</w:t>
      </w:r>
      <w:r>
        <w:rPr>
          <w:spacing w:val="-2"/>
          <w:sz w:val="14"/>
        </w:rPr>
        <w:t> </w:t>
      </w:r>
      <w:r>
        <w:rPr>
          <w:sz w:val="14"/>
        </w:rPr>
        <w:t>o</w:t>
      </w:r>
      <w:r>
        <w:rPr>
          <w:spacing w:val="-4"/>
          <w:sz w:val="14"/>
        </w:rPr>
        <w:t> </w:t>
      </w:r>
      <w:r>
        <w:rPr>
          <w:sz w:val="14"/>
        </w:rPr>
        <w:t>jefa</w:t>
      </w:r>
      <w:r>
        <w:rPr>
          <w:spacing w:val="-2"/>
          <w:sz w:val="14"/>
        </w:rPr>
        <w:t> </w:t>
      </w:r>
      <w:r>
        <w:rPr>
          <w:sz w:val="14"/>
        </w:rPr>
        <w:t>del</w:t>
      </w:r>
      <w:r>
        <w:rPr>
          <w:spacing w:val="-1"/>
          <w:sz w:val="14"/>
        </w:rPr>
        <w:t> </w:t>
      </w:r>
      <w:r>
        <w:rPr>
          <w:sz w:val="14"/>
        </w:rPr>
        <w:t>hogar.</w:t>
      </w:r>
    </w:p>
    <w:p>
      <w:pPr>
        <w:spacing w:after="0" w:line="240" w:lineRule="auto"/>
        <w:jc w:val="left"/>
        <w:rPr>
          <w:sz w:val="13"/>
        </w:rPr>
        <w:sectPr>
          <w:pgSz w:w="12240" w:h="15840"/>
          <w:pgMar w:header="0" w:footer="975" w:top="1360" w:bottom="1220" w:left="1580" w:right="1580"/>
        </w:sectPr>
      </w:pPr>
    </w:p>
    <w:p>
      <w:pPr>
        <w:pStyle w:val="BodyText"/>
        <w:spacing w:line="362" w:lineRule="auto" w:before="54"/>
        <w:ind w:left="102" w:right="579"/>
      </w:pPr>
      <w:r>
        <w:rPr/>
        <w:t>En el caso específico del Estado de México se han considerado relevantes las siguientes características de la población:</w:t>
      </w:r>
    </w:p>
    <w:p>
      <w:pPr>
        <w:pStyle w:val="BodyText"/>
        <w:rPr>
          <w:sz w:val="20"/>
        </w:rPr>
      </w:pPr>
    </w:p>
    <w:p>
      <w:pPr>
        <w:pStyle w:val="BodyText"/>
        <w:rPr>
          <w:sz w:val="20"/>
        </w:rPr>
      </w:pPr>
    </w:p>
    <w:p>
      <w:pPr>
        <w:pStyle w:val="BodyText"/>
      </w:pPr>
    </w:p>
    <w:tbl>
      <w:tblPr>
        <w:tblW w:w="0" w:type="auto"/>
        <w:jc w:val="left"/>
        <w:tblInd w:w="12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01"/>
        <w:gridCol w:w="1308"/>
        <w:gridCol w:w="1308"/>
        <w:gridCol w:w="1419"/>
      </w:tblGrid>
      <w:tr>
        <w:trPr>
          <w:trHeight w:val="311" w:hRule="exact"/>
        </w:trPr>
        <w:tc>
          <w:tcPr>
            <w:tcW w:w="6537" w:type="dxa"/>
            <w:gridSpan w:val="4"/>
            <w:shd w:val="clear" w:color="auto" w:fill="92D050"/>
          </w:tcPr>
          <w:p>
            <w:pPr>
              <w:pStyle w:val="TableParagraph"/>
              <w:spacing w:before="56"/>
              <w:ind w:left="179"/>
              <w:jc w:val="left"/>
              <w:rPr>
                <w:b/>
                <w:sz w:val="18"/>
              </w:rPr>
            </w:pPr>
            <w:r>
              <w:rPr>
                <w:b/>
                <w:sz w:val="18"/>
              </w:rPr>
              <w:t>Tabla1.5. Población de los municipios del Estado de México (2005-2015)</w:t>
            </w:r>
          </w:p>
        </w:tc>
      </w:tr>
      <w:tr>
        <w:trPr>
          <w:trHeight w:val="486" w:hRule="exact"/>
        </w:trPr>
        <w:tc>
          <w:tcPr>
            <w:tcW w:w="2501" w:type="dxa"/>
            <w:shd w:val="clear" w:color="auto" w:fill="92D050"/>
          </w:tcPr>
          <w:p>
            <w:pPr>
              <w:pStyle w:val="TableParagraph"/>
              <w:spacing w:line="203" w:lineRule="exact"/>
              <w:ind w:left="823" w:right="4"/>
              <w:jc w:val="left"/>
              <w:rPr>
                <w:b/>
                <w:sz w:val="18"/>
              </w:rPr>
            </w:pPr>
            <w:r>
              <w:rPr>
                <w:b/>
                <w:sz w:val="18"/>
              </w:rPr>
              <w:t>Municipio</w:t>
            </w:r>
          </w:p>
        </w:tc>
        <w:tc>
          <w:tcPr>
            <w:tcW w:w="1308" w:type="dxa"/>
            <w:shd w:val="clear" w:color="auto" w:fill="92D050"/>
          </w:tcPr>
          <w:p>
            <w:pPr>
              <w:pStyle w:val="TableParagraph"/>
              <w:spacing w:line="276" w:lineRule="auto"/>
              <w:ind w:left="448" w:right="201" w:hanging="231"/>
              <w:jc w:val="left"/>
              <w:rPr>
                <w:b/>
                <w:sz w:val="18"/>
              </w:rPr>
            </w:pPr>
            <w:r>
              <w:rPr>
                <w:b/>
                <w:sz w:val="18"/>
              </w:rPr>
              <w:t>Población 2005</w:t>
            </w:r>
          </w:p>
        </w:tc>
        <w:tc>
          <w:tcPr>
            <w:tcW w:w="1308" w:type="dxa"/>
            <w:shd w:val="clear" w:color="auto" w:fill="92D050"/>
          </w:tcPr>
          <w:p>
            <w:pPr>
              <w:pStyle w:val="TableParagraph"/>
              <w:spacing w:line="276" w:lineRule="auto"/>
              <w:ind w:left="448" w:right="201" w:hanging="231"/>
              <w:jc w:val="left"/>
              <w:rPr>
                <w:b/>
                <w:sz w:val="18"/>
              </w:rPr>
            </w:pPr>
            <w:r>
              <w:rPr>
                <w:b/>
                <w:sz w:val="18"/>
              </w:rPr>
              <w:t>Población 2010</w:t>
            </w:r>
          </w:p>
        </w:tc>
        <w:tc>
          <w:tcPr>
            <w:tcW w:w="1419" w:type="dxa"/>
            <w:shd w:val="clear" w:color="auto" w:fill="92D050"/>
          </w:tcPr>
          <w:p>
            <w:pPr>
              <w:pStyle w:val="TableParagraph"/>
              <w:spacing w:line="276" w:lineRule="auto"/>
              <w:ind w:left="503" w:right="257" w:hanging="231"/>
              <w:jc w:val="left"/>
              <w:rPr>
                <w:b/>
                <w:sz w:val="18"/>
              </w:rPr>
            </w:pPr>
            <w:r>
              <w:rPr>
                <w:b/>
                <w:sz w:val="18"/>
              </w:rPr>
              <w:t>Población 2015</w:t>
            </w:r>
          </w:p>
        </w:tc>
      </w:tr>
      <w:tr>
        <w:trPr>
          <w:trHeight w:val="310" w:hRule="exact"/>
        </w:trPr>
        <w:tc>
          <w:tcPr>
            <w:tcW w:w="2501" w:type="dxa"/>
            <w:shd w:val="clear" w:color="auto" w:fill="92D050"/>
          </w:tcPr>
          <w:p>
            <w:pPr>
              <w:pStyle w:val="TableParagraph"/>
              <w:spacing w:before="25"/>
              <w:ind w:left="64" w:right="4"/>
              <w:jc w:val="left"/>
              <w:rPr>
                <w:b/>
                <w:sz w:val="18"/>
              </w:rPr>
            </w:pPr>
            <w:r>
              <w:rPr>
                <w:b/>
                <w:color w:val="333333"/>
                <w:sz w:val="18"/>
              </w:rPr>
              <w:t>Estado de México</w:t>
            </w:r>
          </w:p>
        </w:tc>
        <w:tc>
          <w:tcPr>
            <w:tcW w:w="1308" w:type="dxa"/>
          </w:tcPr>
          <w:p>
            <w:pPr>
              <w:pStyle w:val="TableParagraph"/>
              <w:spacing w:before="35"/>
              <w:ind w:left="64"/>
              <w:jc w:val="left"/>
              <w:rPr>
                <w:sz w:val="20"/>
              </w:rPr>
            </w:pPr>
            <w:r>
              <w:rPr>
                <w:sz w:val="20"/>
              </w:rPr>
              <w:t>8,565,931.00</w:t>
            </w:r>
          </w:p>
        </w:tc>
        <w:tc>
          <w:tcPr>
            <w:tcW w:w="1308" w:type="dxa"/>
          </w:tcPr>
          <w:p>
            <w:pPr>
              <w:pStyle w:val="TableParagraph"/>
              <w:spacing w:before="35"/>
              <w:ind w:left="64"/>
              <w:jc w:val="left"/>
              <w:rPr>
                <w:sz w:val="20"/>
              </w:rPr>
            </w:pPr>
            <w:r>
              <w:rPr>
                <w:sz w:val="20"/>
              </w:rPr>
              <w:t>9,387,598.00</w:t>
            </w:r>
          </w:p>
        </w:tc>
        <w:tc>
          <w:tcPr>
            <w:tcW w:w="1419" w:type="dxa"/>
          </w:tcPr>
          <w:p>
            <w:pPr>
              <w:pStyle w:val="TableParagraph"/>
              <w:spacing w:before="35"/>
              <w:ind w:left="64"/>
              <w:jc w:val="left"/>
              <w:rPr>
                <w:sz w:val="20"/>
              </w:rPr>
            </w:pPr>
            <w:r>
              <w:rPr>
                <w:sz w:val="20"/>
              </w:rPr>
              <w:t>17,549,518.00</w:t>
            </w:r>
          </w:p>
        </w:tc>
      </w:tr>
    </w:tbl>
    <w:p>
      <w:pPr>
        <w:spacing w:before="30"/>
        <w:ind w:left="1321" w:right="579" w:firstLine="0"/>
        <w:jc w:val="left"/>
        <w:rPr>
          <w:sz w:val="18"/>
        </w:rPr>
      </w:pPr>
      <w:r>
        <w:rPr>
          <w:sz w:val="18"/>
        </w:rPr>
        <w:t>Fuente: Elaboración propia con datos del INEGI.</w:t>
      </w:r>
    </w:p>
    <w:p>
      <w:pPr>
        <w:pStyle w:val="BodyText"/>
        <w:rPr>
          <w:sz w:val="20"/>
        </w:rPr>
      </w:pPr>
    </w:p>
    <w:p>
      <w:pPr>
        <w:pStyle w:val="BodyText"/>
        <w:spacing w:before="2"/>
        <w:rPr>
          <w:sz w:val="29"/>
        </w:rPr>
      </w:pPr>
    </w:p>
    <w:p>
      <w:pPr>
        <w:pStyle w:val="BodyText"/>
        <w:spacing w:line="360" w:lineRule="auto" w:before="69"/>
        <w:ind w:left="102"/>
      </w:pPr>
      <w:r>
        <w:rPr/>
        <w:t>Se puede observar en la tabla 1.5 cómo ha ido incrementando la población en el Estado de México, se observa desde el 2005 hasta el 2015.</w:t>
      </w:r>
    </w:p>
    <w:p>
      <w:pPr>
        <w:pStyle w:val="BodyText"/>
        <w:rPr>
          <w:sz w:val="20"/>
        </w:rPr>
      </w:pPr>
    </w:p>
    <w:p>
      <w:pPr>
        <w:pStyle w:val="BodyText"/>
        <w:rPr>
          <w:sz w:val="20"/>
        </w:rPr>
      </w:pPr>
    </w:p>
    <w:p>
      <w:pPr>
        <w:pStyle w:val="BodyText"/>
        <w:spacing w:before="3"/>
      </w:pPr>
    </w:p>
    <w:tbl>
      <w:tblPr>
        <w:tblW w:w="0" w:type="auto"/>
        <w:jc w:val="left"/>
        <w:tblInd w:w="12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69"/>
        <w:gridCol w:w="1166"/>
        <w:gridCol w:w="1001"/>
        <w:gridCol w:w="934"/>
        <w:gridCol w:w="1066"/>
      </w:tblGrid>
      <w:tr>
        <w:trPr>
          <w:trHeight w:val="311" w:hRule="exact"/>
        </w:trPr>
        <w:tc>
          <w:tcPr>
            <w:tcW w:w="6436" w:type="dxa"/>
            <w:gridSpan w:val="5"/>
            <w:shd w:val="clear" w:color="auto" w:fill="92D050"/>
          </w:tcPr>
          <w:p>
            <w:pPr>
              <w:pStyle w:val="TableParagraph"/>
              <w:spacing w:line="265" w:lineRule="exact"/>
              <w:ind w:left="239"/>
              <w:jc w:val="left"/>
              <w:rPr>
                <w:rFonts w:ascii="Calibri" w:hAnsi="Calibri"/>
                <w:b/>
                <w:sz w:val="22"/>
              </w:rPr>
            </w:pPr>
            <w:r>
              <w:rPr>
                <w:rFonts w:ascii="Calibri" w:hAnsi="Calibri"/>
                <w:b/>
                <w:sz w:val="22"/>
              </w:rPr>
              <w:t>Tabla 1.6. Clasificación de los índices de marginación (2005-2010)</w:t>
            </w:r>
          </w:p>
        </w:tc>
      </w:tr>
      <w:tr>
        <w:trPr>
          <w:trHeight w:val="311" w:hRule="exact"/>
        </w:trPr>
        <w:tc>
          <w:tcPr>
            <w:tcW w:w="2269" w:type="dxa"/>
            <w:vMerge w:val="restart"/>
            <w:shd w:val="clear" w:color="auto" w:fill="92D050"/>
          </w:tcPr>
          <w:p>
            <w:pPr>
              <w:pStyle w:val="TableParagraph"/>
              <w:spacing w:before="168"/>
              <w:ind w:left="566"/>
              <w:jc w:val="left"/>
              <w:rPr>
                <w:rFonts w:ascii="Calibri" w:hAnsi="Calibri"/>
                <w:b/>
                <w:sz w:val="22"/>
              </w:rPr>
            </w:pPr>
            <w:r>
              <w:rPr>
                <w:rFonts w:ascii="Calibri" w:hAnsi="Calibri"/>
                <w:b/>
                <w:sz w:val="22"/>
              </w:rPr>
              <w:t>Clasificación</w:t>
            </w:r>
          </w:p>
        </w:tc>
        <w:tc>
          <w:tcPr>
            <w:tcW w:w="2168" w:type="dxa"/>
            <w:gridSpan w:val="2"/>
            <w:shd w:val="clear" w:color="auto" w:fill="92D050"/>
          </w:tcPr>
          <w:p>
            <w:pPr>
              <w:pStyle w:val="TableParagraph"/>
              <w:spacing w:before="29"/>
              <w:ind w:left="837" w:right="834"/>
              <w:rPr>
                <w:rFonts w:ascii="Calibri"/>
                <w:b/>
                <w:sz w:val="22"/>
              </w:rPr>
            </w:pPr>
            <w:r>
              <w:rPr>
                <w:rFonts w:ascii="Calibri"/>
                <w:b/>
                <w:sz w:val="22"/>
              </w:rPr>
              <w:t>2005</w:t>
            </w:r>
          </w:p>
        </w:tc>
        <w:tc>
          <w:tcPr>
            <w:tcW w:w="2000" w:type="dxa"/>
            <w:gridSpan w:val="2"/>
            <w:shd w:val="clear" w:color="auto" w:fill="92D050"/>
          </w:tcPr>
          <w:p>
            <w:pPr>
              <w:pStyle w:val="TableParagraph"/>
              <w:spacing w:before="29"/>
              <w:ind w:left="751" w:right="752"/>
              <w:rPr>
                <w:rFonts w:ascii="Calibri"/>
                <w:b/>
                <w:sz w:val="22"/>
              </w:rPr>
            </w:pPr>
            <w:r>
              <w:rPr>
                <w:rFonts w:ascii="Calibri"/>
                <w:b/>
                <w:sz w:val="22"/>
              </w:rPr>
              <w:t>2010</w:t>
            </w:r>
          </w:p>
        </w:tc>
      </w:tr>
      <w:tr>
        <w:trPr>
          <w:trHeight w:val="310" w:hRule="exact"/>
        </w:trPr>
        <w:tc>
          <w:tcPr>
            <w:tcW w:w="2269" w:type="dxa"/>
            <w:vMerge/>
            <w:shd w:val="clear" w:color="auto" w:fill="92D050"/>
          </w:tcPr>
          <w:p>
            <w:pPr/>
          </w:p>
        </w:tc>
        <w:tc>
          <w:tcPr>
            <w:tcW w:w="1166" w:type="dxa"/>
          </w:tcPr>
          <w:p>
            <w:pPr>
              <w:pStyle w:val="TableParagraph"/>
              <w:spacing w:before="28"/>
              <w:ind w:left="67"/>
              <w:jc w:val="left"/>
              <w:rPr>
                <w:rFonts w:ascii="Calibri"/>
                <w:sz w:val="22"/>
              </w:rPr>
            </w:pPr>
            <w:r>
              <w:rPr>
                <w:rFonts w:ascii="Calibri"/>
                <w:sz w:val="22"/>
              </w:rPr>
              <w:t>Inferior</w:t>
            </w:r>
          </w:p>
        </w:tc>
        <w:tc>
          <w:tcPr>
            <w:tcW w:w="1001" w:type="dxa"/>
          </w:tcPr>
          <w:p>
            <w:pPr>
              <w:pStyle w:val="TableParagraph"/>
              <w:spacing w:before="28"/>
              <w:ind w:right="159"/>
              <w:jc w:val="right"/>
              <w:rPr>
                <w:rFonts w:ascii="Calibri"/>
                <w:sz w:val="22"/>
              </w:rPr>
            </w:pPr>
            <w:r>
              <w:rPr>
                <w:rFonts w:ascii="Calibri"/>
                <w:sz w:val="22"/>
              </w:rPr>
              <w:t>Superior</w:t>
            </w:r>
          </w:p>
        </w:tc>
        <w:tc>
          <w:tcPr>
            <w:tcW w:w="934" w:type="dxa"/>
          </w:tcPr>
          <w:p>
            <w:pPr>
              <w:pStyle w:val="TableParagraph"/>
              <w:spacing w:before="28"/>
              <w:ind w:left="64"/>
              <w:jc w:val="left"/>
              <w:rPr>
                <w:rFonts w:ascii="Calibri"/>
                <w:sz w:val="22"/>
              </w:rPr>
            </w:pPr>
            <w:r>
              <w:rPr>
                <w:rFonts w:ascii="Calibri"/>
                <w:sz w:val="22"/>
              </w:rPr>
              <w:t>Inferior</w:t>
            </w:r>
          </w:p>
        </w:tc>
        <w:tc>
          <w:tcPr>
            <w:tcW w:w="1066" w:type="dxa"/>
          </w:tcPr>
          <w:p>
            <w:pPr>
              <w:pStyle w:val="TableParagraph"/>
              <w:spacing w:before="28"/>
              <w:ind w:left="67"/>
              <w:jc w:val="left"/>
              <w:rPr>
                <w:rFonts w:ascii="Calibri"/>
                <w:sz w:val="22"/>
              </w:rPr>
            </w:pPr>
            <w:r>
              <w:rPr>
                <w:rFonts w:ascii="Calibri"/>
                <w:sz w:val="22"/>
              </w:rPr>
              <w:t>Superior</w:t>
            </w:r>
          </w:p>
        </w:tc>
      </w:tr>
      <w:tr>
        <w:trPr>
          <w:trHeight w:val="310" w:hRule="exact"/>
        </w:trPr>
        <w:tc>
          <w:tcPr>
            <w:tcW w:w="2269" w:type="dxa"/>
          </w:tcPr>
          <w:p>
            <w:pPr>
              <w:pStyle w:val="TableParagraph"/>
              <w:spacing w:line="247" w:lineRule="exact"/>
              <w:ind w:left="669" w:right="663"/>
              <w:rPr>
                <w:rFonts w:ascii="Times New Roman"/>
                <w:sz w:val="22"/>
              </w:rPr>
            </w:pPr>
            <w:r>
              <w:rPr>
                <w:rFonts w:ascii="Times New Roman"/>
                <w:sz w:val="22"/>
              </w:rPr>
              <w:t>Muy Bajo</w:t>
            </w:r>
          </w:p>
        </w:tc>
        <w:tc>
          <w:tcPr>
            <w:tcW w:w="1166" w:type="dxa"/>
          </w:tcPr>
          <w:p>
            <w:pPr>
              <w:pStyle w:val="TableParagraph"/>
              <w:spacing w:before="18"/>
              <w:ind w:right="180"/>
              <w:jc w:val="right"/>
              <w:rPr>
                <w:rFonts w:ascii="Times New Roman"/>
                <w:sz w:val="22"/>
              </w:rPr>
            </w:pPr>
            <w:r>
              <w:rPr>
                <w:rFonts w:ascii="Times New Roman"/>
                <w:sz w:val="22"/>
              </w:rPr>
              <w:t>-1.52944</w:t>
            </w:r>
          </w:p>
        </w:tc>
        <w:tc>
          <w:tcPr>
            <w:tcW w:w="1001" w:type="dxa"/>
          </w:tcPr>
          <w:p>
            <w:pPr>
              <w:pStyle w:val="TableParagraph"/>
              <w:spacing w:before="18"/>
              <w:ind w:right="99"/>
              <w:jc w:val="right"/>
              <w:rPr>
                <w:rFonts w:ascii="Times New Roman"/>
                <w:sz w:val="22"/>
              </w:rPr>
            </w:pPr>
            <w:r>
              <w:rPr>
                <w:rFonts w:ascii="Times New Roman"/>
                <w:sz w:val="22"/>
              </w:rPr>
              <w:t>-1.15143</w:t>
            </w:r>
          </w:p>
        </w:tc>
        <w:tc>
          <w:tcPr>
            <w:tcW w:w="934" w:type="dxa"/>
          </w:tcPr>
          <w:p>
            <w:pPr>
              <w:pStyle w:val="TableParagraph"/>
              <w:spacing w:before="28"/>
              <w:ind w:right="61"/>
              <w:jc w:val="right"/>
              <w:rPr>
                <w:rFonts w:ascii="Calibri"/>
                <w:sz w:val="22"/>
              </w:rPr>
            </w:pPr>
            <w:r>
              <w:rPr>
                <w:rFonts w:ascii="Calibri"/>
                <w:sz w:val="22"/>
              </w:rPr>
              <w:t>-1.633</w:t>
            </w:r>
          </w:p>
        </w:tc>
        <w:tc>
          <w:tcPr>
            <w:tcW w:w="1066" w:type="dxa"/>
          </w:tcPr>
          <w:p>
            <w:pPr>
              <w:pStyle w:val="TableParagraph"/>
              <w:spacing w:before="28"/>
              <w:ind w:right="62"/>
              <w:jc w:val="right"/>
              <w:rPr>
                <w:rFonts w:ascii="Calibri"/>
                <w:sz w:val="22"/>
              </w:rPr>
            </w:pPr>
            <w:r>
              <w:rPr>
                <w:rFonts w:ascii="Calibri"/>
                <w:sz w:val="22"/>
              </w:rPr>
              <w:t>-0.959</w:t>
            </w:r>
          </w:p>
        </w:tc>
      </w:tr>
      <w:tr>
        <w:trPr>
          <w:trHeight w:val="310" w:hRule="exact"/>
        </w:trPr>
        <w:tc>
          <w:tcPr>
            <w:tcW w:w="2269" w:type="dxa"/>
          </w:tcPr>
          <w:p>
            <w:pPr>
              <w:pStyle w:val="TableParagraph"/>
              <w:spacing w:line="247" w:lineRule="exact"/>
              <w:ind w:left="669" w:right="663"/>
              <w:rPr>
                <w:rFonts w:ascii="Times New Roman"/>
                <w:sz w:val="22"/>
              </w:rPr>
            </w:pPr>
            <w:r>
              <w:rPr>
                <w:rFonts w:ascii="Times New Roman"/>
                <w:sz w:val="22"/>
              </w:rPr>
              <w:t>Bajo</w:t>
            </w:r>
          </w:p>
        </w:tc>
        <w:tc>
          <w:tcPr>
            <w:tcW w:w="1166" w:type="dxa"/>
          </w:tcPr>
          <w:p>
            <w:pPr>
              <w:pStyle w:val="TableParagraph"/>
              <w:spacing w:before="18"/>
              <w:ind w:right="180"/>
              <w:jc w:val="right"/>
              <w:rPr>
                <w:rFonts w:ascii="Times New Roman"/>
                <w:sz w:val="22"/>
              </w:rPr>
            </w:pPr>
            <w:r>
              <w:rPr>
                <w:rFonts w:ascii="Times New Roman"/>
                <w:sz w:val="22"/>
              </w:rPr>
              <w:t>-1.15142</w:t>
            </w:r>
          </w:p>
        </w:tc>
        <w:tc>
          <w:tcPr>
            <w:tcW w:w="1001" w:type="dxa"/>
          </w:tcPr>
          <w:p>
            <w:pPr>
              <w:pStyle w:val="TableParagraph"/>
              <w:spacing w:before="18"/>
              <w:ind w:right="99"/>
              <w:jc w:val="right"/>
              <w:rPr>
                <w:rFonts w:ascii="Times New Roman"/>
                <w:sz w:val="22"/>
              </w:rPr>
            </w:pPr>
            <w:r>
              <w:rPr>
                <w:rFonts w:ascii="Times New Roman"/>
                <w:sz w:val="22"/>
              </w:rPr>
              <w:t>-0.39539</w:t>
            </w:r>
          </w:p>
        </w:tc>
        <w:tc>
          <w:tcPr>
            <w:tcW w:w="934" w:type="dxa"/>
          </w:tcPr>
          <w:p>
            <w:pPr>
              <w:pStyle w:val="TableParagraph"/>
              <w:spacing w:before="28"/>
              <w:ind w:right="62"/>
              <w:jc w:val="right"/>
              <w:rPr>
                <w:rFonts w:ascii="Calibri"/>
                <w:sz w:val="22"/>
              </w:rPr>
            </w:pPr>
            <w:r>
              <w:rPr>
                <w:rFonts w:ascii="Calibri"/>
                <w:sz w:val="22"/>
              </w:rPr>
              <w:t>-0.96</w:t>
            </w:r>
          </w:p>
        </w:tc>
        <w:tc>
          <w:tcPr>
            <w:tcW w:w="1066" w:type="dxa"/>
          </w:tcPr>
          <w:p>
            <w:pPr>
              <w:pStyle w:val="TableParagraph"/>
              <w:spacing w:before="28"/>
              <w:ind w:right="62"/>
              <w:jc w:val="right"/>
              <w:rPr>
                <w:rFonts w:ascii="Calibri"/>
                <w:sz w:val="22"/>
              </w:rPr>
            </w:pPr>
            <w:r>
              <w:rPr>
                <w:rFonts w:ascii="Calibri"/>
                <w:sz w:val="22"/>
              </w:rPr>
              <w:t>-0.622</w:t>
            </w:r>
          </w:p>
        </w:tc>
      </w:tr>
      <w:tr>
        <w:trPr>
          <w:trHeight w:val="310" w:hRule="exact"/>
        </w:trPr>
        <w:tc>
          <w:tcPr>
            <w:tcW w:w="2269" w:type="dxa"/>
          </w:tcPr>
          <w:p>
            <w:pPr>
              <w:pStyle w:val="TableParagraph"/>
              <w:spacing w:line="247" w:lineRule="exact"/>
              <w:ind w:left="669" w:right="663"/>
              <w:rPr>
                <w:rFonts w:ascii="Times New Roman"/>
                <w:sz w:val="22"/>
              </w:rPr>
            </w:pPr>
            <w:r>
              <w:rPr>
                <w:rFonts w:ascii="Times New Roman"/>
                <w:sz w:val="22"/>
              </w:rPr>
              <w:t>Medio</w:t>
            </w:r>
          </w:p>
        </w:tc>
        <w:tc>
          <w:tcPr>
            <w:tcW w:w="1166" w:type="dxa"/>
          </w:tcPr>
          <w:p>
            <w:pPr>
              <w:pStyle w:val="TableParagraph"/>
              <w:spacing w:before="18"/>
              <w:ind w:right="180"/>
              <w:jc w:val="right"/>
              <w:rPr>
                <w:rFonts w:ascii="Times New Roman"/>
                <w:sz w:val="22"/>
              </w:rPr>
            </w:pPr>
            <w:r>
              <w:rPr>
                <w:rFonts w:ascii="Times New Roman"/>
                <w:sz w:val="22"/>
              </w:rPr>
              <w:t>-0.39538</w:t>
            </w:r>
          </w:p>
        </w:tc>
        <w:tc>
          <w:tcPr>
            <w:tcW w:w="1001" w:type="dxa"/>
          </w:tcPr>
          <w:p>
            <w:pPr>
              <w:pStyle w:val="TableParagraph"/>
              <w:spacing w:before="18"/>
              <w:ind w:right="99"/>
              <w:jc w:val="right"/>
              <w:rPr>
                <w:rFonts w:ascii="Times New Roman"/>
                <w:sz w:val="22"/>
              </w:rPr>
            </w:pPr>
            <w:r>
              <w:rPr>
                <w:rFonts w:ascii="Times New Roman"/>
                <w:sz w:val="22"/>
              </w:rPr>
              <w:t>-0.01738</w:t>
            </w:r>
          </w:p>
        </w:tc>
        <w:tc>
          <w:tcPr>
            <w:tcW w:w="934" w:type="dxa"/>
          </w:tcPr>
          <w:p>
            <w:pPr>
              <w:pStyle w:val="TableParagraph"/>
              <w:spacing w:before="28"/>
              <w:ind w:right="61"/>
              <w:jc w:val="right"/>
              <w:rPr>
                <w:rFonts w:ascii="Calibri"/>
                <w:sz w:val="22"/>
              </w:rPr>
            </w:pPr>
            <w:r>
              <w:rPr>
                <w:rFonts w:ascii="Calibri"/>
                <w:sz w:val="22"/>
              </w:rPr>
              <w:t>-0.623</w:t>
            </w:r>
          </w:p>
        </w:tc>
        <w:tc>
          <w:tcPr>
            <w:tcW w:w="1066" w:type="dxa"/>
          </w:tcPr>
          <w:p>
            <w:pPr>
              <w:pStyle w:val="TableParagraph"/>
              <w:spacing w:before="28"/>
              <w:ind w:right="62"/>
              <w:jc w:val="right"/>
              <w:rPr>
                <w:rFonts w:ascii="Calibri"/>
                <w:sz w:val="22"/>
              </w:rPr>
            </w:pPr>
            <w:r>
              <w:rPr>
                <w:rFonts w:ascii="Calibri"/>
                <w:sz w:val="22"/>
              </w:rPr>
              <w:t>0.049</w:t>
            </w:r>
          </w:p>
        </w:tc>
      </w:tr>
      <w:tr>
        <w:trPr>
          <w:trHeight w:val="310" w:hRule="exact"/>
        </w:trPr>
        <w:tc>
          <w:tcPr>
            <w:tcW w:w="2269" w:type="dxa"/>
          </w:tcPr>
          <w:p>
            <w:pPr>
              <w:pStyle w:val="TableParagraph"/>
              <w:spacing w:line="247" w:lineRule="exact"/>
              <w:ind w:left="664" w:right="663"/>
              <w:rPr>
                <w:rFonts w:ascii="Times New Roman"/>
                <w:sz w:val="22"/>
              </w:rPr>
            </w:pPr>
            <w:r>
              <w:rPr>
                <w:rFonts w:ascii="Times New Roman"/>
                <w:sz w:val="22"/>
              </w:rPr>
              <w:t>Alto</w:t>
            </w:r>
          </w:p>
        </w:tc>
        <w:tc>
          <w:tcPr>
            <w:tcW w:w="1166" w:type="dxa"/>
          </w:tcPr>
          <w:p>
            <w:pPr>
              <w:pStyle w:val="TableParagraph"/>
              <w:spacing w:before="18"/>
              <w:ind w:right="180"/>
              <w:jc w:val="right"/>
              <w:rPr>
                <w:rFonts w:ascii="Times New Roman"/>
                <w:sz w:val="22"/>
              </w:rPr>
            </w:pPr>
            <w:r>
              <w:rPr>
                <w:rFonts w:ascii="Times New Roman"/>
                <w:sz w:val="22"/>
              </w:rPr>
              <w:t>-0.01737</w:t>
            </w:r>
          </w:p>
        </w:tc>
        <w:tc>
          <w:tcPr>
            <w:tcW w:w="1001" w:type="dxa"/>
          </w:tcPr>
          <w:p>
            <w:pPr>
              <w:pStyle w:val="TableParagraph"/>
              <w:spacing w:before="18"/>
              <w:ind w:right="132"/>
              <w:jc w:val="right"/>
              <w:rPr>
                <w:rFonts w:ascii="Times New Roman"/>
                <w:sz w:val="22"/>
              </w:rPr>
            </w:pPr>
            <w:r>
              <w:rPr>
                <w:rFonts w:ascii="Times New Roman"/>
                <w:sz w:val="22"/>
              </w:rPr>
              <w:t>0.73866</w:t>
            </w:r>
          </w:p>
        </w:tc>
        <w:tc>
          <w:tcPr>
            <w:tcW w:w="934" w:type="dxa"/>
          </w:tcPr>
          <w:p>
            <w:pPr>
              <w:pStyle w:val="TableParagraph"/>
              <w:spacing w:before="28"/>
              <w:ind w:right="62"/>
              <w:jc w:val="right"/>
              <w:rPr>
                <w:rFonts w:ascii="Calibri"/>
                <w:sz w:val="22"/>
              </w:rPr>
            </w:pPr>
            <w:r>
              <w:rPr>
                <w:rFonts w:ascii="Calibri"/>
                <w:sz w:val="22"/>
              </w:rPr>
              <w:t>-0.05</w:t>
            </w:r>
          </w:p>
        </w:tc>
        <w:tc>
          <w:tcPr>
            <w:tcW w:w="1066" w:type="dxa"/>
          </w:tcPr>
          <w:p>
            <w:pPr>
              <w:pStyle w:val="TableParagraph"/>
              <w:spacing w:before="28"/>
              <w:ind w:right="62"/>
              <w:jc w:val="right"/>
              <w:rPr>
                <w:rFonts w:ascii="Calibri"/>
                <w:sz w:val="22"/>
              </w:rPr>
            </w:pPr>
            <w:r>
              <w:rPr>
                <w:rFonts w:ascii="Calibri"/>
                <w:sz w:val="22"/>
              </w:rPr>
              <w:t>1.058</w:t>
            </w:r>
          </w:p>
        </w:tc>
      </w:tr>
      <w:tr>
        <w:trPr>
          <w:trHeight w:val="312" w:hRule="exact"/>
        </w:trPr>
        <w:tc>
          <w:tcPr>
            <w:tcW w:w="2269" w:type="dxa"/>
          </w:tcPr>
          <w:p>
            <w:pPr>
              <w:pStyle w:val="TableParagraph"/>
              <w:spacing w:line="249" w:lineRule="exact"/>
              <w:ind w:left="669" w:right="663"/>
              <w:rPr>
                <w:rFonts w:ascii="Times New Roman"/>
                <w:sz w:val="22"/>
              </w:rPr>
            </w:pPr>
            <w:r>
              <w:rPr>
                <w:rFonts w:ascii="Times New Roman"/>
                <w:sz w:val="22"/>
              </w:rPr>
              <w:t>Muy Alto</w:t>
            </w:r>
          </w:p>
        </w:tc>
        <w:tc>
          <w:tcPr>
            <w:tcW w:w="1166" w:type="dxa"/>
          </w:tcPr>
          <w:p>
            <w:pPr>
              <w:pStyle w:val="TableParagraph"/>
              <w:spacing w:before="18"/>
              <w:ind w:right="215"/>
              <w:jc w:val="right"/>
              <w:rPr>
                <w:rFonts w:ascii="Times New Roman"/>
                <w:sz w:val="22"/>
              </w:rPr>
            </w:pPr>
            <w:r>
              <w:rPr>
                <w:rFonts w:ascii="Times New Roman"/>
                <w:sz w:val="22"/>
              </w:rPr>
              <w:t>0.73865</w:t>
            </w:r>
          </w:p>
        </w:tc>
        <w:tc>
          <w:tcPr>
            <w:tcW w:w="1001" w:type="dxa"/>
          </w:tcPr>
          <w:p>
            <w:pPr>
              <w:pStyle w:val="TableParagraph"/>
              <w:spacing w:before="18"/>
              <w:ind w:left="194" w:right="47"/>
              <w:jc w:val="left"/>
              <w:rPr>
                <w:rFonts w:ascii="Times New Roman"/>
                <w:sz w:val="22"/>
              </w:rPr>
            </w:pPr>
            <w:r>
              <w:rPr>
                <w:rFonts w:ascii="Times New Roman"/>
                <w:sz w:val="22"/>
              </w:rPr>
              <w:t>2.2507</w:t>
            </w:r>
          </w:p>
        </w:tc>
        <w:tc>
          <w:tcPr>
            <w:tcW w:w="934" w:type="dxa"/>
          </w:tcPr>
          <w:p>
            <w:pPr>
              <w:pStyle w:val="TableParagraph"/>
              <w:spacing w:before="30"/>
              <w:ind w:right="61"/>
              <w:jc w:val="right"/>
              <w:rPr>
                <w:rFonts w:ascii="Calibri"/>
                <w:sz w:val="22"/>
              </w:rPr>
            </w:pPr>
            <w:r>
              <w:rPr>
                <w:rFonts w:ascii="Calibri"/>
                <w:sz w:val="22"/>
              </w:rPr>
              <w:t>1.059</w:t>
            </w:r>
          </w:p>
        </w:tc>
        <w:tc>
          <w:tcPr>
            <w:tcW w:w="1066" w:type="dxa"/>
          </w:tcPr>
          <w:p>
            <w:pPr>
              <w:pStyle w:val="TableParagraph"/>
              <w:spacing w:before="30"/>
              <w:ind w:right="62"/>
              <w:jc w:val="right"/>
              <w:rPr>
                <w:rFonts w:ascii="Calibri"/>
                <w:sz w:val="22"/>
              </w:rPr>
            </w:pPr>
            <w:r>
              <w:rPr>
                <w:rFonts w:ascii="Calibri"/>
                <w:sz w:val="22"/>
              </w:rPr>
              <w:t>5.098</w:t>
            </w:r>
          </w:p>
        </w:tc>
      </w:tr>
    </w:tbl>
    <w:p>
      <w:pPr>
        <w:spacing w:line="206" w:lineRule="exact" w:before="0"/>
        <w:ind w:left="1304" w:right="579" w:firstLine="0"/>
        <w:jc w:val="left"/>
        <w:rPr>
          <w:sz w:val="18"/>
        </w:rPr>
      </w:pPr>
      <w:r>
        <w:rPr>
          <w:sz w:val="18"/>
        </w:rPr>
        <w:t>Fuente: COESPO 2015</w:t>
      </w:r>
    </w:p>
    <w:p>
      <w:pPr>
        <w:pStyle w:val="BodyText"/>
        <w:rPr>
          <w:sz w:val="18"/>
        </w:rPr>
      </w:pPr>
    </w:p>
    <w:p>
      <w:pPr>
        <w:pStyle w:val="BodyText"/>
        <w:rPr>
          <w:sz w:val="18"/>
        </w:rPr>
      </w:pPr>
    </w:p>
    <w:p>
      <w:pPr>
        <w:pStyle w:val="BodyText"/>
        <w:rPr>
          <w:sz w:val="18"/>
        </w:rPr>
      </w:pPr>
    </w:p>
    <w:p>
      <w:pPr>
        <w:pStyle w:val="BodyText"/>
        <w:spacing w:line="360" w:lineRule="auto" w:before="111"/>
        <w:ind w:left="810" w:right="101"/>
        <w:jc w:val="both"/>
      </w:pPr>
      <w:r>
        <w:rPr/>
        <w:t>En la tabla anterior se puede observar la clasificación de los índices de marginación</w:t>
      </w:r>
      <w:r>
        <w:rPr>
          <w:spacing w:val="-10"/>
        </w:rPr>
        <w:t> </w:t>
      </w:r>
      <w:r>
        <w:rPr/>
        <w:t>de</w:t>
      </w:r>
      <w:r>
        <w:rPr>
          <w:spacing w:val="-11"/>
        </w:rPr>
        <w:t> </w:t>
      </w:r>
      <w:r>
        <w:rPr/>
        <w:t>2005</w:t>
      </w:r>
      <w:r>
        <w:rPr>
          <w:spacing w:val="-11"/>
        </w:rPr>
        <w:t> </w:t>
      </w:r>
      <w:r>
        <w:rPr/>
        <w:t>a</w:t>
      </w:r>
      <w:r>
        <w:rPr>
          <w:spacing w:val="-13"/>
        </w:rPr>
        <w:t> </w:t>
      </w:r>
      <w:r>
        <w:rPr/>
        <w:t>2010,</w:t>
      </w:r>
      <w:r>
        <w:rPr>
          <w:spacing w:val="-11"/>
        </w:rPr>
        <w:t> </w:t>
      </w:r>
      <w:r>
        <w:rPr/>
        <w:t>con</w:t>
      </w:r>
      <w:r>
        <w:rPr>
          <w:spacing w:val="-11"/>
        </w:rPr>
        <w:t> </w:t>
      </w:r>
      <w:r>
        <w:rPr/>
        <w:t>comparación</w:t>
      </w:r>
      <w:r>
        <w:rPr>
          <w:spacing w:val="-11"/>
        </w:rPr>
        <w:t> </w:t>
      </w:r>
      <w:r>
        <w:rPr/>
        <w:t>de</w:t>
      </w:r>
      <w:r>
        <w:rPr>
          <w:spacing w:val="-11"/>
        </w:rPr>
        <w:t> </w:t>
      </w:r>
      <w:r>
        <w:rPr/>
        <w:t>inferior</w:t>
      </w:r>
      <w:r>
        <w:rPr>
          <w:spacing w:val="-12"/>
        </w:rPr>
        <w:t> </w:t>
      </w:r>
      <w:r>
        <w:rPr/>
        <w:t>y</w:t>
      </w:r>
      <w:r>
        <w:rPr>
          <w:spacing w:val="-14"/>
        </w:rPr>
        <w:t> </w:t>
      </w:r>
      <w:r>
        <w:rPr/>
        <w:t>superior</w:t>
      </w:r>
      <w:r>
        <w:rPr>
          <w:spacing w:val="-12"/>
        </w:rPr>
        <w:t> </w:t>
      </w:r>
      <w:r>
        <w:rPr/>
        <w:t>como</w:t>
      </w:r>
      <w:r>
        <w:rPr>
          <w:spacing w:val="-11"/>
        </w:rPr>
        <w:t> </w:t>
      </w:r>
      <w:r>
        <w:rPr/>
        <w:t>se muestra en la tabla y con su respectiva</w:t>
      </w:r>
      <w:r>
        <w:rPr>
          <w:spacing w:val="-12"/>
        </w:rPr>
        <w:t> </w:t>
      </w:r>
      <w:r>
        <w:rPr/>
        <w:t>clasificación.</w:t>
      </w:r>
    </w:p>
    <w:p>
      <w:pPr>
        <w:pStyle w:val="BodyText"/>
        <w:spacing w:before="4"/>
        <w:rPr>
          <w:sz w:val="14"/>
        </w:rPr>
      </w:pPr>
    </w:p>
    <w:tbl>
      <w:tblPr>
        <w:tblW w:w="0" w:type="auto"/>
        <w:jc w:val="left"/>
        <w:tblInd w:w="23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88"/>
        <w:gridCol w:w="876"/>
        <w:gridCol w:w="1015"/>
      </w:tblGrid>
      <w:tr>
        <w:trPr>
          <w:trHeight w:val="547" w:hRule="exact"/>
        </w:trPr>
        <w:tc>
          <w:tcPr>
            <w:tcW w:w="4280" w:type="dxa"/>
            <w:gridSpan w:val="3"/>
            <w:tcBorders>
              <w:left w:val="single" w:sz="4" w:space="0" w:color="000000"/>
            </w:tcBorders>
            <w:shd w:val="clear" w:color="auto" w:fill="92D050"/>
          </w:tcPr>
          <w:p>
            <w:pPr>
              <w:pStyle w:val="TableParagraph"/>
              <w:ind w:left="640" w:right="317" w:hanging="308"/>
              <w:jc w:val="left"/>
              <w:rPr>
                <w:rFonts w:ascii="Calibri" w:hAnsi="Calibri"/>
                <w:b/>
                <w:sz w:val="22"/>
              </w:rPr>
            </w:pPr>
            <w:r>
              <w:rPr>
                <w:rFonts w:ascii="Calibri" w:hAnsi="Calibri"/>
                <w:b/>
                <w:sz w:val="22"/>
              </w:rPr>
              <w:t>Tabla 1. 7. Grado de marginación de los municipios del Estado de México</w:t>
            </w:r>
          </w:p>
        </w:tc>
      </w:tr>
      <w:tr>
        <w:trPr>
          <w:trHeight w:val="310" w:hRule="exact"/>
        </w:trPr>
        <w:tc>
          <w:tcPr>
            <w:tcW w:w="2388" w:type="dxa"/>
            <w:tcBorders>
              <w:left w:val="single" w:sz="4" w:space="0" w:color="000000"/>
            </w:tcBorders>
            <w:shd w:val="clear" w:color="auto" w:fill="92D050"/>
          </w:tcPr>
          <w:p>
            <w:pPr>
              <w:pStyle w:val="TableParagraph"/>
              <w:spacing w:before="28"/>
              <w:ind w:right="312"/>
              <w:jc w:val="right"/>
              <w:rPr>
                <w:rFonts w:ascii="Calibri" w:hAnsi="Calibri"/>
                <w:b/>
                <w:sz w:val="22"/>
              </w:rPr>
            </w:pPr>
            <w:r>
              <w:rPr>
                <w:rFonts w:ascii="Calibri" w:hAnsi="Calibri"/>
                <w:b/>
                <w:sz w:val="22"/>
              </w:rPr>
              <w:t>Grado marginación</w:t>
            </w:r>
          </w:p>
        </w:tc>
        <w:tc>
          <w:tcPr>
            <w:tcW w:w="876" w:type="dxa"/>
            <w:shd w:val="clear" w:color="auto" w:fill="92D050"/>
          </w:tcPr>
          <w:p>
            <w:pPr>
              <w:pStyle w:val="TableParagraph"/>
              <w:spacing w:before="40"/>
              <w:ind w:right="228"/>
              <w:jc w:val="right"/>
              <w:rPr>
                <w:b/>
                <w:sz w:val="18"/>
              </w:rPr>
            </w:pPr>
            <w:r>
              <w:rPr>
                <w:b/>
                <w:w w:val="95"/>
                <w:sz w:val="18"/>
              </w:rPr>
              <w:t>2005</w:t>
            </w:r>
          </w:p>
        </w:tc>
        <w:tc>
          <w:tcPr>
            <w:tcW w:w="1015" w:type="dxa"/>
            <w:shd w:val="clear" w:color="auto" w:fill="92D050"/>
          </w:tcPr>
          <w:p>
            <w:pPr>
              <w:pStyle w:val="TableParagraph"/>
              <w:spacing w:before="28"/>
              <w:ind w:left="259" w:right="260"/>
              <w:rPr>
                <w:rFonts w:ascii="Calibri"/>
                <w:b/>
                <w:sz w:val="22"/>
              </w:rPr>
            </w:pPr>
            <w:r>
              <w:rPr>
                <w:rFonts w:ascii="Calibri"/>
                <w:b/>
                <w:sz w:val="22"/>
              </w:rPr>
              <w:t>2010</w:t>
            </w:r>
          </w:p>
        </w:tc>
      </w:tr>
      <w:tr>
        <w:trPr>
          <w:trHeight w:val="310" w:hRule="exact"/>
        </w:trPr>
        <w:tc>
          <w:tcPr>
            <w:tcW w:w="2388" w:type="dxa"/>
            <w:tcBorders>
              <w:left w:val="single" w:sz="4" w:space="0" w:color="000000"/>
            </w:tcBorders>
          </w:tcPr>
          <w:p>
            <w:pPr>
              <w:pStyle w:val="TableParagraph"/>
              <w:spacing w:before="28"/>
              <w:ind w:left="67"/>
              <w:jc w:val="left"/>
              <w:rPr>
                <w:rFonts w:ascii="Calibri"/>
                <w:sz w:val="22"/>
              </w:rPr>
            </w:pPr>
            <w:r>
              <w:rPr>
                <w:rFonts w:ascii="Calibri"/>
                <w:sz w:val="22"/>
              </w:rPr>
              <w:t>Muy bajo</w:t>
            </w:r>
          </w:p>
        </w:tc>
        <w:tc>
          <w:tcPr>
            <w:tcW w:w="876" w:type="dxa"/>
          </w:tcPr>
          <w:p>
            <w:pPr>
              <w:pStyle w:val="TableParagraph"/>
              <w:spacing w:before="13"/>
              <w:rPr>
                <w:rFonts w:ascii="Calibri"/>
                <w:sz w:val="22"/>
              </w:rPr>
            </w:pPr>
            <w:r>
              <w:rPr>
                <w:rFonts w:ascii="Calibri"/>
                <w:w w:val="100"/>
                <w:sz w:val="22"/>
              </w:rPr>
              <w:t>8</w:t>
            </w:r>
          </w:p>
        </w:tc>
        <w:tc>
          <w:tcPr>
            <w:tcW w:w="1015" w:type="dxa"/>
          </w:tcPr>
          <w:p>
            <w:pPr>
              <w:pStyle w:val="TableParagraph"/>
              <w:spacing w:before="28"/>
              <w:ind w:left="259" w:right="257"/>
              <w:rPr>
                <w:rFonts w:ascii="Calibri"/>
                <w:sz w:val="22"/>
              </w:rPr>
            </w:pPr>
            <w:r>
              <w:rPr>
                <w:rFonts w:ascii="Calibri"/>
                <w:sz w:val="22"/>
              </w:rPr>
              <w:t>37</w:t>
            </w:r>
          </w:p>
        </w:tc>
      </w:tr>
      <w:tr>
        <w:trPr>
          <w:trHeight w:val="310" w:hRule="exact"/>
        </w:trPr>
        <w:tc>
          <w:tcPr>
            <w:tcW w:w="2388" w:type="dxa"/>
            <w:tcBorders>
              <w:left w:val="single" w:sz="4" w:space="0" w:color="000000"/>
            </w:tcBorders>
          </w:tcPr>
          <w:p>
            <w:pPr>
              <w:pStyle w:val="TableParagraph"/>
              <w:spacing w:before="28"/>
              <w:ind w:left="67"/>
              <w:jc w:val="left"/>
              <w:rPr>
                <w:rFonts w:ascii="Calibri"/>
                <w:sz w:val="22"/>
              </w:rPr>
            </w:pPr>
            <w:r>
              <w:rPr>
                <w:rFonts w:ascii="Calibri"/>
                <w:sz w:val="22"/>
              </w:rPr>
              <w:t>Bajo</w:t>
            </w:r>
          </w:p>
        </w:tc>
        <w:tc>
          <w:tcPr>
            <w:tcW w:w="876" w:type="dxa"/>
          </w:tcPr>
          <w:p>
            <w:pPr>
              <w:pStyle w:val="TableParagraph"/>
              <w:spacing w:before="13"/>
              <w:ind w:right="317"/>
              <w:jc w:val="right"/>
              <w:rPr>
                <w:rFonts w:ascii="Calibri"/>
                <w:sz w:val="22"/>
              </w:rPr>
            </w:pPr>
            <w:r>
              <w:rPr>
                <w:rFonts w:ascii="Calibri"/>
                <w:sz w:val="22"/>
              </w:rPr>
              <w:t>46</w:t>
            </w:r>
          </w:p>
        </w:tc>
        <w:tc>
          <w:tcPr>
            <w:tcW w:w="1015" w:type="dxa"/>
          </w:tcPr>
          <w:p>
            <w:pPr>
              <w:pStyle w:val="TableParagraph"/>
              <w:spacing w:before="28"/>
              <w:ind w:left="259" w:right="257"/>
              <w:rPr>
                <w:rFonts w:ascii="Calibri"/>
                <w:sz w:val="22"/>
              </w:rPr>
            </w:pPr>
            <w:r>
              <w:rPr>
                <w:rFonts w:ascii="Calibri"/>
                <w:sz w:val="22"/>
              </w:rPr>
              <w:t>36</w:t>
            </w:r>
          </w:p>
        </w:tc>
      </w:tr>
      <w:tr>
        <w:trPr>
          <w:trHeight w:val="310" w:hRule="exact"/>
        </w:trPr>
        <w:tc>
          <w:tcPr>
            <w:tcW w:w="2388" w:type="dxa"/>
            <w:tcBorders>
              <w:left w:val="single" w:sz="4" w:space="0" w:color="000000"/>
            </w:tcBorders>
          </w:tcPr>
          <w:p>
            <w:pPr>
              <w:pStyle w:val="TableParagraph"/>
              <w:spacing w:before="30"/>
              <w:ind w:left="67"/>
              <w:jc w:val="left"/>
              <w:rPr>
                <w:rFonts w:ascii="Calibri"/>
                <w:sz w:val="22"/>
              </w:rPr>
            </w:pPr>
            <w:r>
              <w:rPr>
                <w:rFonts w:ascii="Calibri"/>
                <w:sz w:val="22"/>
              </w:rPr>
              <w:t>Medio</w:t>
            </w:r>
          </w:p>
        </w:tc>
        <w:tc>
          <w:tcPr>
            <w:tcW w:w="876" w:type="dxa"/>
          </w:tcPr>
          <w:p>
            <w:pPr>
              <w:pStyle w:val="TableParagraph"/>
              <w:spacing w:before="13"/>
              <w:ind w:right="317"/>
              <w:jc w:val="right"/>
              <w:rPr>
                <w:rFonts w:ascii="Calibri"/>
                <w:sz w:val="22"/>
              </w:rPr>
            </w:pPr>
            <w:r>
              <w:rPr>
                <w:rFonts w:ascii="Calibri"/>
                <w:sz w:val="22"/>
              </w:rPr>
              <w:t>23</w:t>
            </w:r>
          </w:p>
        </w:tc>
        <w:tc>
          <w:tcPr>
            <w:tcW w:w="1015" w:type="dxa"/>
          </w:tcPr>
          <w:p>
            <w:pPr>
              <w:pStyle w:val="TableParagraph"/>
              <w:spacing w:before="30"/>
              <w:ind w:left="259" w:right="257"/>
              <w:rPr>
                <w:rFonts w:ascii="Calibri"/>
                <w:sz w:val="22"/>
              </w:rPr>
            </w:pPr>
            <w:r>
              <w:rPr>
                <w:rFonts w:ascii="Calibri"/>
                <w:sz w:val="22"/>
              </w:rPr>
              <w:t>39</w:t>
            </w:r>
          </w:p>
        </w:tc>
      </w:tr>
      <w:tr>
        <w:trPr>
          <w:trHeight w:val="312" w:hRule="exact"/>
        </w:trPr>
        <w:tc>
          <w:tcPr>
            <w:tcW w:w="2388" w:type="dxa"/>
            <w:tcBorders>
              <w:left w:val="single" w:sz="4" w:space="0" w:color="000000"/>
            </w:tcBorders>
          </w:tcPr>
          <w:p>
            <w:pPr>
              <w:pStyle w:val="TableParagraph"/>
              <w:spacing w:before="30"/>
              <w:ind w:left="67"/>
              <w:jc w:val="left"/>
              <w:rPr>
                <w:rFonts w:ascii="Calibri"/>
                <w:sz w:val="22"/>
              </w:rPr>
            </w:pPr>
            <w:r>
              <w:rPr>
                <w:rFonts w:ascii="Calibri"/>
                <w:sz w:val="22"/>
              </w:rPr>
              <w:t>Alto</w:t>
            </w:r>
          </w:p>
        </w:tc>
        <w:tc>
          <w:tcPr>
            <w:tcW w:w="876" w:type="dxa"/>
          </w:tcPr>
          <w:p>
            <w:pPr>
              <w:pStyle w:val="TableParagraph"/>
              <w:spacing w:before="13"/>
              <w:ind w:right="317"/>
              <w:jc w:val="right"/>
              <w:rPr>
                <w:rFonts w:ascii="Calibri"/>
                <w:sz w:val="22"/>
              </w:rPr>
            </w:pPr>
            <w:r>
              <w:rPr>
                <w:rFonts w:ascii="Calibri"/>
                <w:sz w:val="22"/>
              </w:rPr>
              <w:t>31</w:t>
            </w:r>
          </w:p>
        </w:tc>
        <w:tc>
          <w:tcPr>
            <w:tcW w:w="1015" w:type="dxa"/>
          </w:tcPr>
          <w:p>
            <w:pPr>
              <w:pStyle w:val="TableParagraph"/>
              <w:spacing w:before="30"/>
              <w:ind w:left="259" w:right="257"/>
              <w:rPr>
                <w:rFonts w:ascii="Calibri"/>
                <w:sz w:val="22"/>
              </w:rPr>
            </w:pPr>
            <w:r>
              <w:rPr>
                <w:rFonts w:ascii="Calibri"/>
                <w:sz w:val="22"/>
              </w:rPr>
              <w:t>11</w:t>
            </w:r>
          </w:p>
        </w:tc>
      </w:tr>
      <w:tr>
        <w:trPr>
          <w:trHeight w:val="310" w:hRule="exact"/>
        </w:trPr>
        <w:tc>
          <w:tcPr>
            <w:tcW w:w="2388" w:type="dxa"/>
            <w:tcBorders>
              <w:left w:val="single" w:sz="4" w:space="0" w:color="000000"/>
            </w:tcBorders>
          </w:tcPr>
          <w:p>
            <w:pPr>
              <w:pStyle w:val="TableParagraph"/>
              <w:spacing w:before="28"/>
              <w:ind w:left="67"/>
              <w:jc w:val="left"/>
              <w:rPr>
                <w:rFonts w:ascii="Calibri"/>
                <w:sz w:val="22"/>
              </w:rPr>
            </w:pPr>
            <w:r>
              <w:rPr>
                <w:rFonts w:ascii="Calibri"/>
                <w:sz w:val="22"/>
              </w:rPr>
              <w:t>Muy alto</w:t>
            </w:r>
          </w:p>
        </w:tc>
        <w:tc>
          <w:tcPr>
            <w:tcW w:w="876" w:type="dxa"/>
          </w:tcPr>
          <w:p>
            <w:pPr>
              <w:pStyle w:val="TableParagraph"/>
              <w:spacing w:before="11"/>
              <w:ind w:right="317"/>
              <w:jc w:val="right"/>
              <w:rPr>
                <w:rFonts w:ascii="Calibri"/>
                <w:sz w:val="22"/>
              </w:rPr>
            </w:pPr>
            <w:r>
              <w:rPr>
                <w:rFonts w:ascii="Calibri"/>
                <w:sz w:val="22"/>
              </w:rPr>
              <w:t>17</w:t>
            </w:r>
          </w:p>
        </w:tc>
        <w:tc>
          <w:tcPr>
            <w:tcW w:w="1015" w:type="dxa"/>
          </w:tcPr>
          <w:p>
            <w:pPr>
              <w:pStyle w:val="TableParagraph"/>
              <w:spacing w:before="28"/>
              <w:rPr>
                <w:rFonts w:ascii="Calibri"/>
                <w:sz w:val="22"/>
              </w:rPr>
            </w:pPr>
            <w:r>
              <w:rPr>
                <w:rFonts w:ascii="Calibri"/>
                <w:w w:val="100"/>
                <w:sz w:val="22"/>
              </w:rPr>
              <w:t>2</w:t>
            </w:r>
          </w:p>
        </w:tc>
      </w:tr>
      <w:tr>
        <w:trPr>
          <w:trHeight w:val="310" w:hRule="exact"/>
        </w:trPr>
        <w:tc>
          <w:tcPr>
            <w:tcW w:w="2388" w:type="dxa"/>
            <w:tcBorders>
              <w:left w:val="single" w:sz="4" w:space="0" w:color="000000"/>
            </w:tcBorders>
          </w:tcPr>
          <w:p>
            <w:pPr>
              <w:pStyle w:val="TableParagraph"/>
              <w:spacing w:before="28"/>
              <w:ind w:right="292"/>
              <w:jc w:val="right"/>
              <w:rPr>
                <w:rFonts w:ascii="Calibri"/>
                <w:b/>
                <w:sz w:val="22"/>
              </w:rPr>
            </w:pPr>
            <w:r>
              <w:rPr>
                <w:rFonts w:ascii="Calibri"/>
                <w:b/>
                <w:sz w:val="22"/>
              </w:rPr>
              <w:t>Total de municipios</w:t>
            </w:r>
          </w:p>
        </w:tc>
        <w:tc>
          <w:tcPr>
            <w:tcW w:w="876" w:type="dxa"/>
          </w:tcPr>
          <w:p>
            <w:pPr>
              <w:pStyle w:val="TableParagraph"/>
              <w:spacing w:before="28"/>
              <w:ind w:right="263"/>
              <w:jc w:val="right"/>
              <w:rPr>
                <w:rFonts w:ascii="Calibri"/>
                <w:b/>
                <w:sz w:val="22"/>
              </w:rPr>
            </w:pPr>
            <w:r>
              <w:rPr>
                <w:rFonts w:ascii="Calibri"/>
                <w:b/>
                <w:sz w:val="22"/>
              </w:rPr>
              <w:t>125</w:t>
            </w:r>
          </w:p>
        </w:tc>
        <w:tc>
          <w:tcPr>
            <w:tcW w:w="1015" w:type="dxa"/>
          </w:tcPr>
          <w:p>
            <w:pPr>
              <w:pStyle w:val="TableParagraph"/>
              <w:spacing w:before="28"/>
              <w:ind w:left="259" w:right="258"/>
              <w:rPr>
                <w:rFonts w:ascii="Calibri"/>
                <w:b/>
                <w:sz w:val="22"/>
              </w:rPr>
            </w:pPr>
            <w:r>
              <w:rPr>
                <w:rFonts w:ascii="Calibri"/>
                <w:b/>
                <w:sz w:val="22"/>
              </w:rPr>
              <w:t>125</w:t>
            </w:r>
          </w:p>
        </w:tc>
      </w:tr>
    </w:tbl>
    <w:p>
      <w:pPr>
        <w:spacing w:line="206" w:lineRule="exact" w:before="0"/>
        <w:ind w:left="2404" w:right="579" w:firstLine="0"/>
        <w:jc w:val="left"/>
        <w:rPr>
          <w:sz w:val="18"/>
        </w:rPr>
      </w:pPr>
      <w:r>
        <w:rPr>
          <w:sz w:val="18"/>
        </w:rPr>
        <w:t>Fuente: COESPO 2015</w:t>
      </w:r>
    </w:p>
    <w:p>
      <w:pPr>
        <w:spacing w:after="0" w:line="206" w:lineRule="exact"/>
        <w:jc w:val="left"/>
        <w:rPr>
          <w:sz w:val="18"/>
        </w:rPr>
        <w:sectPr>
          <w:pgSz w:w="12240" w:h="15840"/>
          <w:pgMar w:header="0" w:footer="975" w:top="1360" w:bottom="1220" w:left="1600" w:right="1600"/>
        </w:sectPr>
      </w:pPr>
    </w:p>
    <w:p>
      <w:pPr>
        <w:pStyle w:val="BodyText"/>
        <w:spacing w:line="360" w:lineRule="auto" w:before="54"/>
        <w:ind w:left="102" w:right="115"/>
        <w:jc w:val="both"/>
        <w:rPr>
          <w:sz w:val="18"/>
        </w:rPr>
      </w:pPr>
      <w:r>
        <w:rPr/>
        <w:pict>
          <v:group style="position:absolute;margin-left:85.800003pt;margin-top:179.915833pt;width:382.6pt;height:276.850pt;mso-position-horizontal-relative:page;mso-position-vertical-relative:paragraph;z-index:1744" coordorigin="1716,3598" coordsize="7652,5537">
            <v:shape style="position:absolute;left:1716;top:3598;width:7651;height:5537" type="#_x0000_t75" stroked="false">
              <v:imagedata r:id="rId18" o:title=""/>
            </v:shape>
            <v:rect style="position:absolute;left:2757;top:4762;width:6164;height:3346" filled="true" fillcolor="#ffffff" stroked="false">
              <v:fill type="solid"/>
            </v:rect>
            <v:shape style="position:absolute;left:2757;top:4762;width:6164;height:3012" coordorigin="2757,4762" coordsize="6164,3012" path="m8613,7774l8921,7774m7586,7774l8202,7774m6558,7774l7175,7774m5531,7774l6147,7774m4503,7774l5120,7774m2757,7774l4092,7774m7586,7438l8921,7438m6558,7438l7175,7438m5531,7438l6147,7438m4503,7438l5120,7438m2757,7438l4092,7438m7586,7105l8921,7105m6558,7105l7175,7105m5531,7105l6147,7105m4503,7105l5120,7105m2757,7105l4092,7105m7586,6769l8921,6769m6558,6769l7175,6769m5531,6769l6147,6769m2757,6769l5120,6769m7586,6435l8921,6435m5531,6435l7175,6435m2757,6435l5120,6435m7586,6102l8921,6102m5531,6102l7175,6102m2757,6102l5120,6102m7586,5766l8921,5766m2757,5766l7175,5766m7586,5432l8921,5432m2757,5432l7175,5432m7586,5096l8921,5096m2757,5096l7175,5096m2757,4762l8921,4762e" filled="false" stroked="true" strokeweight=".5pt" strokecolor="#888888">
              <v:path arrowok="t"/>
            </v:shape>
            <v:line style="position:absolute" from="3065,8074" to="3476,8074" stroked="true" strokeweight="3.3457pt" strokecolor="#000000"/>
            <v:rect style="position:absolute;left:4092;top:6970;width:411;height:1138" filled="true" fillcolor="#ff0000" stroked="false">
              <v:fill type="solid"/>
            </v:rect>
            <v:rect style="position:absolute;left:5120;top:6034;width:411;height:2074" filled="true" fillcolor="#538235" stroked="false">
              <v:fill type="solid"/>
            </v:rect>
            <v:rect style="position:absolute;left:6147;top:6569;width:411;height:1539" filled="true" fillcolor="#ffc000" stroked="false">
              <v:fill type="solid"/>
            </v:rect>
            <v:rect style="position:absolute;left:7175;top:5030;width:411;height:3078" filled="true" fillcolor="#92d050" stroked="false">
              <v:fill type="solid"/>
            </v:rect>
            <v:rect style="position:absolute;left:8202;top:7640;width:411;height:468" filled="true" fillcolor="#00af50" stroked="false">
              <v:fill type="solid"/>
            </v:rect>
            <v:shape style="position:absolute;left:1941;top:3825;width:7200;height:5085" coordorigin="1941,3825" coordsize="7200,5085" path="m2757,8108l2757,4762m2706,8108l2757,8108m2706,7774l2757,7774m2706,7438l2757,7438m2706,7105l2757,7105m2706,6769l2757,6769m2706,6435l2757,6435m2706,6102l2757,6102m2706,5766l2757,5766m2706,5432l2757,5432m2706,5096l2757,5096m2706,4762l2757,4762m2757,8108l8921,8108m2757,8108l2757,8159m3785,8108l3785,8159m4812,8108l4812,8159m5839,8108l5839,8159m6866,8108l6866,8159m7894,8108l7894,8159m8921,8108l8921,8159m1941,4025l1957,3947,2000,3884,2063,3841,2141,3825,8941,3825,9019,3841,9082,3884,9125,3947,9141,4025,9141,8710,9125,8788,9082,8852,9019,8894,8941,8910,2141,8910,2063,8894,2000,8852,1957,8788,1941,8710,1941,4025xe" filled="false" stroked="true" strokeweight=".5pt" strokecolor="#888888">
              <v:path arrowok="t"/>
            </v:shape>
            <v:shape style="position:absolute;left:6272;top:6316;width:164;height:161" type="#_x0000_t202" filled="false" stroked="false">
              <v:textbox inset="0,0,0,0">
                <w:txbxContent>
                  <w:p>
                    <w:pPr>
                      <w:spacing w:line="161" w:lineRule="exact" w:before="0"/>
                      <w:ind w:left="0" w:right="-19" w:firstLine="0"/>
                      <w:jc w:val="left"/>
                      <w:rPr>
                        <w:rFonts w:ascii="Calibri"/>
                        <w:sz w:val="16"/>
                      </w:rPr>
                    </w:pPr>
                    <w:r>
                      <w:rPr>
                        <w:rFonts w:ascii="Calibri"/>
                        <w:sz w:val="16"/>
                      </w:rPr>
                      <w:t>23</w:t>
                    </w:r>
                  </w:p>
                </w:txbxContent>
              </v:textbox>
              <w10:wrap type="none"/>
            </v:shape>
            <v:shape style="position:absolute;left:3000;top:4019;width:5076;height:490" type="#_x0000_t202" filled="false" stroked="false">
              <v:textbox inset="0,0,0,0">
                <w:txbxContent>
                  <w:p>
                    <w:pPr>
                      <w:spacing w:line="225" w:lineRule="exact" w:before="0"/>
                      <w:ind w:left="0" w:right="0" w:firstLine="0"/>
                      <w:jc w:val="center"/>
                      <w:rPr>
                        <w:rFonts w:ascii="Calibri" w:hAnsi="Calibri"/>
                        <w:b/>
                        <w:sz w:val="22"/>
                      </w:rPr>
                    </w:pPr>
                    <w:r>
                      <w:rPr>
                        <w:rFonts w:ascii="Calibri" w:hAnsi="Calibri"/>
                        <w:b/>
                        <w:sz w:val="22"/>
                      </w:rPr>
                      <w:t>Gráfica 1.1. Grado de marginación de los municipios</w:t>
                    </w:r>
                    <w:r>
                      <w:rPr>
                        <w:rFonts w:ascii="Calibri" w:hAnsi="Calibri"/>
                        <w:b/>
                        <w:spacing w:val="-28"/>
                        <w:sz w:val="22"/>
                      </w:rPr>
                      <w:t> </w:t>
                    </w:r>
                    <w:r>
                      <w:rPr>
                        <w:rFonts w:ascii="Calibri" w:hAnsi="Calibri"/>
                        <w:b/>
                        <w:sz w:val="22"/>
                      </w:rPr>
                      <w:t>del</w:t>
                    </w:r>
                  </w:p>
                  <w:p>
                    <w:pPr>
                      <w:spacing w:line="265" w:lineRule="exact" w:before="0"/>
                      <w:ind w:left="4" w:right="0" w:firstLine="0"/>
                      <w:jc w:val="center"/>
                      <w:rPr>
                        <w:rFonts w:ascii="Calibri" w:hAnsi="Calibri"/>
                        <w:b/>
                        <w:sz w:val="22"/>
                      </w:rPr>
                    </w:pPr>
                    <w:r>
                      <w:rPr>
                        <w:rFonts w:ascii="Calibri" w:hAnsi="Calibri"/>
                        <w:b/>
                        <w:sz w:val="22"/>
                      </w:rPr>
                      <w:t>Estado de México en 2005</w:t>
                    </w:r>
                  </w:p>
                </w:txbxContent>
              </v:textbox>
              <w10:wrap type="none"/>
            </v:shape>
            <v:shape style="position:absolute;left:2447;top:4687;width:164;height:161" type="#_x0000_t202" filled="false" stroked="false">
              <v:textbox inset="0,0,0,0">
                <w:txbxContent>
                  <w:p>
                    <w:pPr>
                      <w:spacing w:line="161" w:lineRule="exact" w:before="0"/>
                      <w:ind w:left="0" w:right="-19" w:firstLine="0"/>
                      <w:jc w:val="left"/>
                      <w:rPr>
                        <w:rFonts w:ascii="Calibri"/>
                        <w:sz w:val="16"/>
                      </w:rPr>
                    </w:pPr>
                    <w:r>
                      <w:rPr>
                        <w:rFonts w:ascii="Calibri"/>
                        <w:sz w:val="16"/>
                      </w:rPr>
                      <w:t>50</w:t>
                    </w:r>
                  </w:p>
                </w:txbxContent>
              </v:textbox>
              <w10:wrap type="none"/>
            </v:shape>
            <v:shape style="position:absolute;left:7300;top:4776;width:164;height:161" type="#_x0000_t202" filled="false" stroked="false">
              <v:textbox inset="0,0,0,0">
                <w:txbxContent>
                  <w:p>
                    <w:pPr>
                      <w:spacing w:line="161" w:lineRule="exact" w:before="0"/>
                      <w:ind w:left="0" w:right="-19" w:firstLine="0"/>
                      <w:jc w:val="left"/>
                      <w:rPr>
                        <w:rFonts w:ascii="Calibri"/>
                        <w:sz w:val="16"/>
                      </w:rPr>
                    </w:pPr>
                    <w:r>
                      <w:rPr>
                        <w:rFonts w:ascii="Calibri"/>
                        <w:sz w:val="16"/>
                      </w:rPr>
                      <w:t>46</w:t>
                    </w:r>
                  </w:p>
                </w:txbxContent>
              </v:textbox>
              <w10:wrap type="none"/>
            </v:shape>
            <v:shape style="position:absolute;left:2447;top:5022;width:164;height:1165" type="#_x0000_t202" filled="false" stroked="false">
              <v:textbox inset="0,0,0,0">
                <w:txbxContent>
                  <w:p>
                    <w:pPr>
                      <w:spacing w:line="164" w:lineRule="exact" w:before="0"/>
                      <w:ind w:left="0" w:right="-19" w:firstLine="0"/>
                      <w:jc w:val="left"/>
                      <w:rPr>
                        <w:rFonts w:ascii="Calibri"/>
                        <w:sz w:val="16"/>
                      </w:rPr>
                    </w:pPr>
                    <w:r>
                      <w:rPr>
                        <w:rFonts w:ascii="Calibri"/>
                        <w:sz w:val="16"/>
                      </w:rPr>
                      <w:t>45</w:t>
                    </w:r>
                  </w:p>
                  <w:p>
                    <w:pPr>
                      <w:spacing w:before="139"/>
                      <w:ind w:left="0" w:right="-19" w:firstLine="0"/>
                      <w:jc w:val="left"/>
                      <w:rPr>
                        <w:rFonts w:ascii="Calibri"/>
                        <w:sz w:val="16"/>
                      </w:rPr>
                    </w:pPr>
                    <w:r>
                      <w:rPr>
                        <w:rFonts w:ascii="Calibri"/>
                        <w:sz w:val="16"/>
                      </w:rPr>
                      <w:t>40</w:t>
                    </w:r>
                  </w:p>
                  <w:p>
                    <w:pPr>
                      <w:spacing w:before="139"/>
                      <w:ind w:left="0" w:right="-19" w:firstLine="0"/>
                      <w:jc w:val="left"/>
                      <w:rPr>
                        <w:rFonts w:ascii="Calibri"/>
                        <w:sz w:val="16"/>
                      </w:rPr>
                    </w:pPr>
                    <w:r>
                      <w:rPr>
                        <w:rFonts w:ascii="Calibri"/>
                        <w:sz w:val="16"/>
                      </w:rPr>
                      <w:t>35</w:t>
                    </w:r>
                  </w:p>
                  <w:p>
                    <w:pPr>
                      <w:spacing w:line="193" w:lineRule="exact" w:before="139"/>
                      <w:ind w:left="0" w:right="-19" w:firstLine="0"/>
                      <w:jc w:val="left"/>
                      <w:rPr>
                        <w:rFonts w:ascii="Calibri"/>
                        <w:sz w:val="16"/>
                      </w:rPr>
                    </w:pPr>
                    <w:r>
                      <w:rPr>
                        <w:rFonts w:ascii="Calibri"/>
                        <w:sz w:val="16"/>
                      </w:rPr>
                      <w:t>30</w:t>
                    </w:r>
                  </w:p>
                </w:txbxContent>
              </v:textbox>
              <w10:wrap type="none"/>
            </v:shape>
            <v:shape style="position:absolute;left:5244;top:5780;width:164;height:161" type="#_x0000_t202" filled="false" stroked="false">
              <v:textbox inset="0,0,0,0">
                <w:txbxContent>
                  <w:p>
                    <w:pPr>
                      <w:spacing w:line="161" w:lineRule="exact" w:before="0"/>
                      <w:ind w:left="0" w:right="-19" w:firstLine="0"/>
                      <w:jc w:val="left"/>
                      <w:rPr>
                        <w:rFonts w:ascii="Calibri"/>
                        <w:sz w:val="16"/>
                      </w:rPr>
                    </w:pPr>
                    <w:r>
                      <w:rPr>
                        <w:rFonts w:ascii="Calibri"/>
                        <w:sz w:val="16"/>
                      </w:rPr>
                      <w:t>31</w:t>
                    </w:r>
                  </w:p>
                </w:txbxContent>
              </v:textbox>
              <w10:wrap type="none"/>
            </v:shape>
            <v:shape style="position:absolute;left:2447;top:6361;width:164;height:830" type="#_x0000_t202" filled="false" stroked="false">
              <v:textbox inset="0,0,0,0">
                <w:txbxContent>
                  <w:p>
                    <w:pPr>
                      <w:spacing w:line="164" w:lineRule="exact" w:before="0"/>
                      <w:ind w:left="0" w:right="-19" w:firstLine="0"/>
                      <w:jc w:val="left"/>
                      <w:rPr>
                        <w:rFonts w:ascii="Calibri"/>
                        <w:sz w:val="16"/>
                      </w:rPr>
                    </w:pPr>
                    <w:r>
                      <w:rPr>
                        <w:rFonts w:ascii="Calibri"/>
                        <w:sz w:val="16"/>
                      </w:rPr>
                      <w:t>25</w:t>
                    </w:r>
                  </w:p>
                  <w:p>
                    <w:pPr>
                      <w:spacing w:before="139"/>
                      <w:ind w:left="0" w:right="-19" w:firstLine="0"/>
                      <w:jc w:val="left"/>
                      <w:rPr>
                        <w:rFonts w:ascii="Calibri"/>
                        <w:sz w:val="16"/>
                      </w:rPr>
                    </w:pPr>
                    <w:r>
                      <w:rPr>
                        <w:rFonts w:ascii="Calibri"/>
                        <w:sz w:val="16"/>
                      </w:rPr>
                      <w:t>20</w:t>
                    </w:r>
                  </w:p>
                  <w:p>
                    <w:pPr>
                      <w:spacing w:line="193" w:lineRule="exact" w:before="139"/>
                      <w:ind w:left="0" w:right="-19" w:firstLine="0"/>
                      <w:jc w:val="left"/>
                      <w:rPr>
                        <w:rFonts w:ascii="Calibri"/>
                        <w:sz w:val="16"/>
                      </w:rPr>
                    </w:pPr>
                    <w:r>
                      <w:rPr>
                        <w:rFonts w:ascii="Calibri"/>
                        <w:sz w:val="16"/>
                      </w:rPr>
                      <w:t>15</w:t>
                    </w:r>
                  </w:p>
                </w:txbxContent>
              </v:textbox>
              <w10:wrap type="none"/>
            </v:shape>
            <v:shape style="position:absolute;left:4217;top:6717;width:164;height:161" type="#_x0000_t202" filled="false" stroked="false">
              <v:textbox inset="0,0,0,0">
                <w:txbxContent>
                  <w:p>
                    <w:pPr>
                      <w:spacing w:line="161" w:lineRule="exact" w:before="0"/>
                      <w:ind w:left="0" w:right="-19" w:firstLine="0"/>
                      <w:jc w:val="left"/>
                      <w:rPr>
                        <w:rFonts w:ascii="Calibri"/>
                        <w:sz w:val="16"/>
                      </w:rPr>
                    </w:pPr>
                    <w:r>
                      <w:rPr>
                        <w:rFonts w:ascii="Calibri"/>
                        <w:sz w:val="16"/>
                      </w:rPr>
                      <w:t>17</w:t>
                    </w:r>
                  </w:p>
                </w:txbxContent>
              </v:textbox>
              <w10:wrap type="none"/>
            </v:shape>
            <v:shape style="position:absolute;left:2447;top:7364;width:164;height:161" type="#_x0000_t202" filled="false" stroked="false">
              <v:textbox inset="0,0,0,0">
                <w:txbxContent>
                  <w:p>
                    <w:pPr>
                      <w:spacing w:line="161" w:lineRule="exact" w:before="0"/>
                      <w:ind w:left="0" w:right="-19" w:firstLine="0"/>
                      <w:jc w:val="left"/>
                      <w:rPr>
                        <w:rFonts w:ascii="Calibri"/>
                        <w:sz w:val="16"/>
                      </w:rPr>
                    </w:pPr>
                    <w:r>
                      <w:rPr>
                        <w:rFonts w:ascii="Calibri"/>
                        <w:sz w:val="16"/>
                      </w:rPr>
                      <w:t>10</w:t>
                    </w:r>
                  </w:p>
                </w:txbxContent>
              </v:textbox>
              <w10:wrap type="none"/>
            </v:shape>
            <v:shape style="position:absolute;left:8368;top:7386;width:82;height:161" type="#_x0000_t202" filled="false" stroked="false">
              <v:textbox inset="0,0,0,0">
                <w:txbxContent>
                  <w:p>
                    <w:pPr>
                      <w:spacing w:line="161" w:lineRule="exact" w:before="0"/>
                      <w:ind w:left="0" w:right="0" w:firstLine="0"/>
                      <w:jc w:val="left"/>
                      <w:rPr>
                        <w:rFonts w:ascii="Calibri"/>
                        <w:sz w:val="16"/>
                      </w:rPr>
                    </w:pPr>
                    <w:r>
                      <w:rPr>
                        <w:rFonts w:ascii="Calibri"/>
                        <w:w w:val="100"/>
                        <w:sz w:val="16"/>
                      </w:rPr>
                      <w:t>7</w:t>
                    </w:r>
                  </w:p>
                </w:txbxContent>
              </v:textbox>
              <w10:wrap type="none"/>
            </v:shape>
            <v:shape style="position:absolute;left:2528;top:7699;width:82;height:161" type="#_x0000_t202" filled="false" stroked="false">
              <v:textbox inset="0,0,0,0">
                <w:txbxContent>
                  <w:p>
                    <w:pPr>
                      <w:spacing w:line="161" w:lineRule="exact" w:before="0"/>
                      <w:ind w:left="0" w:right="0" w:firstLine="0"/>
                      <w:jc w:val="left"/>
                      <w:rPr>
                        <w:rFonts w:ascii="Calibri"/>
                        <w:sz w:val="16"/>
                      </w:rPr>
                    </w:pPr>
                    <w:r>
                      <w:rPr>
                        <w:rFonts w:ascii="Calibri"/>
                        <w:w w:val="100"/>
                        <w:sz w:val="16"/>
                      </w:rPr>
                      <w:t>5</w:t>
                    </w:r>
                  </w:p>
                </w:txbxContent>
              </v:textbox>
              <w10:wrap type="none"/>
            </v:shape>
            <v:shape style="position:absolute;left:3230;top:7788;width:82;height:161" type="#_x0000_t202" filled="false" stroked="false">
              <v:textbox inset="0,0,0,0">
                <w:txbxContent>
                  <w:p>
                    <w:pPr>
                      <w:spacing w:line="161" w:lineRule="exact" w:before="0"/>
                      <w:ind w:left="0" w:right="0" w:firstLine="0"/>
                      <w:jc w:val="left"/>
                      <w:rPr>
                        <w:rFonts w:ascii="Calibri"/>
                        <w:sz w:val="16"/>
                      </w:rPr>
                    </w:pPr>
                    <w:r>
                      <w:rPr>
                        <w:rFonts w:ascii="Calibri"/>
                        <w:w w:val="100"/>
                        <w:sz w:val="16"/>
                      </w:rPr>
                      <w:t>1</w:t>
                    </w:r>
                  </w:p>
                </w:txbxContent>
              </v:textbox>
              <w10:wrap type="none"/>
            </v:shape>
            <v:shape style="position:absolute;left:2528;top:8033;width:82;height:161" type="#_x0000_t202" filled="false" stroked="false">
              <v:textbox inset="0,0,0,0">
                <w:txbxContent>
                  <w:p>
                    <w:pPr>
                      <w:spacing w:line="161" w:lineRule="exact" w:before="0"/>
                      <w:ind w:left="0" w:right="0" w:firstLine="0"/>
                      <w:jc w:val="left"/>
                      <w:rPr>
                        <w:rFonts w:ascii="Calibri"/>
                        <w:sz w:val="16"/>
                      </w:rPr>
                    </w:pPr>
                    <w:r>
                      <w:rPr>
                        <w:rFonts w:ascii="Calibri"/>
                        <w:w w:val="100"/>
                        <w:sz w:val="16"/>
                      </w:rPr>
                      <w:t>0</w:t>
                    </w:r>
                  </w:p>
                </w:txbxContent>
              </v:textbox>
              <w10:wrap type="none"/>
            </v:shape>
            <v:shape style="position:absolute;left:2975;top:8242;width:593;height:161" type="#_x0000_t202" filled="false" stroked="false">
              <v:textbox inset="0,0,0,0">
                <w:txbxContent>
                  <w:p>
                    <w:pPr>
                      <w:spacing w:line="161" w:lineRule="exact" w:before="0"/>
                      <w:ind w:left="0" w:right="-19" w:firstLine="0"/>
                      <w:jc w:val="left"/>
                      <w:rPr>
                        <w:rFonts w:ascii="Calibri"/>
                        <w:sz w:val="16"/>
                      </w:rPr>
                    </w:pPr>
                    <w:r>
                      <w:rPr>
                        <w:rFonts w:ascii="Calibri"/>
                        <w:sz w:val="16"/>
                      </w:rPr>
                      <w:t>Sin datos</w:t>
                    </w:r>
                  </w:p>
                </w:txbxContent>
              </v:textbox>
              <w10:wrap type="none"/>
            </v:shape>
            <v:shape style="position:absolute;left:4008;top:8242;width:582;height:161" type="#_x0000_t202" filled="false" stroked="false">
              <v:textbox inset="0,0,0,0">
                <w:txbxContent>
                  <w:p>
                    <w:pPr>
                      <w:spacing w:line="161" w:lineRule="exact" w:before="0"/>
                      <w:ind w:left="0" w:right="-19" w:firstLine="0"/>
                      <w:jc w:val="left"/>
                      <w:rPr>
                        <w:rFonts w:ascii="Calibri"/>
                        <w:sz w:val="16"/>
                      </w:rPr>
                    </w:pPr>
                    <w:r>
                      <w:rPr>
                        <w:rFonts w:ascii="Calibri"/>
                        <w:sz w:val="16"/>
                      </w:rPr>
                      <w:t>Muy alto</w:t>
                    </w:r>
                  </w:p>
                </w:txbxContent>
              </v:textbox>
              <w10:wrap type="none"/>
            </v:shape>
            <v:shape style="position:absolute;left:5193;top:8242;width:267;height:161" type="#_x0000_t202" filled="false" stroked="false">
              <v:textbox inset="0,0,0,0">
                <w:txbxContent>
                  <w:p>
                    <w:pPr>
                      <w:spacing w:line="161" w:lineRule="exact" w:before="0"/>
                      <w:ind w:left="0" w:right="-17" w:firstLine="0"/>
                      <w:jc w:val="left"/>
                      <w:rPr>
                        <w:rFonts w:ascii="Calibri"/>
                        <w:sz w:val="16"/>
                      </w:rPr>
                    </w:pPr>
                    <w:r>
                      <w:rPr>
                        <w:rFonts w:ascii="Calibri"/>
                        <w:spacing w:val="-1"/>
                        <w:sz w:val="16"/>
                      </w:rPr>
                      <w:t>Alto</w:t>
                    </w:r>
                  </w:p>
                </w:txbxContent>
              </v:textbox>
              <w10:wrap type="none"/>
            </v:shape>
            <v:shape style="position:absolute;left:6143;top:8242;width:424;height:161" type="#_x0000_t202" filled="false" stroked="false">
              <v:textbox inset="0,0,0,0">
                <w:txbxContent>
                  <w:p>
                    <w:pPr>
                      <w:spacing w:line="161" w:lineRule="exact" w:before="0"/>
                      <w:ind w:left="0" w:right="-18" w:firstLine="0"/>
                      <w:jc w:val="left"/>
                      <w:rPr>
                        <w:rFonts w:ascii="Calibri"/>
                        <w:sz w:val="16"/>
                      </w:rPr>
                    </w:pPr>
                    <w:r>
                      <w:rPr>
                        <w:rFonts w:ascii="Calibri"/>
                        <w:sz w:val="16"/>
                      </w:rPr>
                      <w:t>Medio</w:t>
                    </w:r>
                  </w:p>
                </w:txbxContent>
              </v:textbox>
              <w10:wrap type="none"/>
            </v:shape>
            <v:shape style="position:absolute;left:7238;top:8242;width:287;height:161" type="#_x0000_t202" filled="false" stroked="false">
              <v:textbox inset="0,0,0,0">
                <w:txbxContent>
                  <w:p>
                    <w:pPr>
                      <w:spacing w:line="161" w:lineRule="exact" w:before="0"/>
                      <w:ind w:left="0" w:right="-20" w:firstLine="0"/>
                      <w:jc w:val="left"/>
                      <w:rPr>
                        <w:rFonts w:ascii="Calibri"/>
                        <w:sz w:val="16"/>
                      </w:rPr>
                    </w:pPr>
                    <w:r>
                      <w:rPr>
                        <w:rFonts w:ascii="Calibri"/>
                        <w:sz w:val="16"/>
                      </w:rPr>
                      <w:t>Bajo</w:t>
                    </w:r>
                  </w:p>
                </w:txbxContent>
              </v:textbox>
              <w10:wrap type="none"/>
            </v:shape>
            <v:shape style="position:absolute;left:8102;top:8242;width:614;height:161" type="#_x0000_t202" filled="false" stroked="false">
              <v:textbox inset="0,0,0,0">
                <w:txbxContent>
                  <w:p>
                    <w:pPr>
                      <w:spacing w:line="161" w:lineRule="exact" w:before="0"/>
                      <w:ind w:left="0" w:right="-19" w:firstLine="0"/>
                      <w:jc w:val="left"/>
                      <w:rPr>
                        <w:rFonts w:ascii="Calibri"/>
                        <w:sz w:val="16"/>
                      </w:rPr>
                    </w:pPr>
                    <w:r>
                      <w:rPr>
                        <w:rFonts w:ascii="Calibri"/>
                        <w:sz w:val="16"/>
                      </w:rPr>
                      <w:t>Muy bajo</w:t>
                    </w:r>
                  </w:p>
                </w:txbxContent>
              </v:textbox>
              <w10:wrap type="none"/>
            </v:shape>
            <v:shape style="position:absolute;left:5100;top:8497;width:1476;height:161" type="#_x0000_t202" filled="false" stroked="false">
              <v:textbox inset="0,0,0,0">
                <w:txbxContent>
                  <w:p>
                    <w:pPr>
                      <w:spacing w:line="161" w:lineRule="exact" w:before="0"/>
                      <w:ind w:left="0" w:right="-17" w:firstLine="0"/>
                      <w:jc w:val="left"/>
                      <w:rPr>
                        <w:rFonts w:ascii="Calibri" w:hAnsi="Calibri"/>
                        <w:b/>
                        <w:sz w:val="16"/>
                      </w:rPr>
                    </w:pPr>
                    <w:r>
                      <w:rPr>
                        <w:rFonts w:ascii="Calibri" w:hAnsi="Calibri"/>
                        <w:b/>
                        <w:sz w:val="16"/>
                      </w:rPr>
                      <w:t>Grado de marginación</w:t>
                    </w:r>
                  </w:p>
                </w:txbxContent>
              </v:textbox>
              <w10:wrap type="none"/>
            </v:shape>
            <w10:wrap type="none"/>
          </v:group>
        </w:pict>
      </w:r>
      <w:r>
        <w:rPr/>
        <w:pict>
          <v:shape style="position:absolute;margin-left:110.109993pt;margin-top:283.146027pt;width:10.050pt;height:77.45pt;mso-position-horizontal-relative:page;mso-position-vertical-relative:paragraph;z-index:1768" type="#_x0000_t202" filled="false" stroked="false">
            <v:textbox inset="0,0,0,0" style="layout-flow:vertical;mso-layout-flow-alt:bottom-to-top">
              <w:txbxContent>
                <w:p>
                  <w:pPr>
                    <w:spacing w:line="184" w:lineRule="exact" w:before="0"/>
                    <w:ind w:left="20" w:right="0" w:firstLine="0"/>
                    <w:jc w:val="left"/>
                    <w:rPr>
                      <w:rFonts w:ascii="Calibri" w:hAnsi="Calibri"/>
                      <w:b/>
                      <w:sz w:val="16"/>
                    </w:rPr>
                  </w:pPr>
                  <w:r>
                    <w:rPr>
                      <w:rFonts w:ascii="Calibri" w:hAnsi="Calibri"/>
                      <w:b/>
                      <w:w w:val="100"/>
                      <w:sz w:val="16"/>
                    </w:rPr>
                    <w:t>Número</w:t>
                  </w:r>
                  <w:r>
                    <w:rPr>
                      <w:rFonts w:ascii="Calibri" w:hAnsi="Calibri"/>
                      <w:b/>
                      <w:spacing w:val="-6"/>
                      <w:sz w:val="16"/>
                    </w:rPr>
                    <w:t> </w:t>
                  </w:r>
                  <w:r>
                    <w:rPr>
                      <w:rFonts w:ascii="Calibri" w:hAnsi="Calibri"/>
                      <w:b/>
                      <w:w w:val="100"/>
                      <w:sz w:val="16"/>
                    </w:rPr>
                    <w:t>de</w:t>
                  </w:r>
                  <w:r>
                    <w:rPr>
                      <w:rFonts w:ascii="Calibri" w:hAnsi="Calibri"/>
                      <w:b/>
                      <w:sz w:val="16"/>
                    </w:rPr>
                    <w:t> </w:t>
                  </w:r>
                  <w:r>
                    <w:rPr>
                      <w:rFonts w:ascii="Calibri" w:hAnsi="Calibri"/>
                      <w:b/>
                      <w:w w:val="100"/>
                      <w:sz w:val="16"/>
                    </w:rPr>
                    <w:t>mun</w:t>
                  </w:r>
                  <w:r>
                    <w:rPr>
                      <w:rFonts w:ascii="Calibri" w:hAnsi="Calibri"/>
                      <w:b/>
                      <w:spacing w:val="-2"/>
                      <w:w w:val="100"/>
                      <w:sz w:val="16"/>
                    </w:rPr>
                    <w:t>i</w:t>
                  </w:r>
                  <w:r>
                    <w:rPr>
                      <w:rFonts w:ascii="Calibri" w:hAnsi="Calibri"/>
                      <w:b/>
                      <w:spacing w:val="-1"/>
                      <w:w w:val="100"/>
                      <w:sz w:val="16"/>
                    </w:rPr>
                    <w:t>c</w:t>
                  </w:r>
                  <w:r>
                    <w:rPr>
                      <w:rFonts w:ascii="Calibri" w:hAnsi="Calibri"/>
                      <w:b/>
                      <w:spacing w:val="-2"/>
                      <w:w w:val="100"/>
                      <w:sz w:val="16"/>
                    </w:rPr>
                    <w:t>i</w:t>
                  </w:r>
                  <w:r>
                    <w:rPr>
                      <w:rFonts w:ascii="Calibri" w:hAnsi="Calibri"/>
                      <w:b/>
                      <w:w w:val="100"/>
                      <w:sz w:val="16"/>
                    </w:rPr>
                    <w:t>p</w:t>
                  </w:r>
                  <w:r>
                    <w:rPr>
                      <w:rFonts w:ascii="Calibri" w:hAnsi="Calibri"/>
                      <w:b/>
                      <w:spacing w:val="-2"/>
                      <w:w w:val="100"/>
                      <w:sz w:val="16"/>
                    </w:rPr>
                    <w:t>i</w:t>
                  </w:r>
                  <w:r>
                    <w:rPr>
                      <w:rFonts w:ascii="Calibri" w:hAnsi="Calibri"/>
                      <w:b/>
                      <w:w w:val="100"/>
                      <w:sz w:val="16"/>
                    </w:rPr>
                    <w:t>os</w:t>
                  </w:r>
                </w:p>
              </w:txbxContent>
            </v:textbox>
            <w10:wrap type="none"/>
          </v:shape>
        </w:pict>
      </w:r>
      <w:r>
        <w:rPr/>
        <w:t>En la tabla anterior que hace referencia al grado de marginación de los municipios en</w:t>
      </w:r>
      <w:r>
        <w:rPr>
          <w:spacing w:val="-13"/>
        </w:rPr>
        <w:t> </w:t>
      </w:r>
      <w:r>
        <w:rPr/>
        <w:t>el</w:t>
      </w:r>
      <w:r>
        <w:rPr>
          <w:spacing w:val="-14"/>
        </w:rPr>
        <w:t> </w:t>
      </w:r>
      <w:r>
        <w:rPr/>
        <w:t>Estado</w:t>
      </w:r>
      <w:r>
        <w:rPr>
          <w:spacing w:val="-13"/>
        </w:rPr>
        <w:t> </w:t>
      </w:r>
      <w:r>
        <w:rPr/>
        <w:t>de</w:t>
      </w:r>
      <w:r>
        <w:rPr>
          <w:spacing w:val="-13"/>
        </w:rPr>
        <w:t> </w:t>
      </w:r>
      <w:r>
        <w:rPr/>
        <w:t>México</w:t>
      </w:r>
      <w:r>
        <w:rPr>
          <w:spacing w:val="-11"/>
        </w:rPr>
        <w:t> </w:t>
      </w:r>
      <w:r>
        <w:rPr/>
        <w:t>se</w:t>
      </w:r>
      <w:r>
        <w:rPr>
          <w:spacing w:val="-13"/>
        </w:rPr>
        <w:t> </w:t>
      </w:r>
      <w:r>
        <w:rPr/>
        <w:t>puede</w:t>
      </w:r>
      <w:r>
        <w:rPr>
          <w:spacing w:val="-16"/>
        </w:rPr>
        <w:t> </w:t>
      </w:r>
      <w:r>
        <w:rPr/>
        <w:t>observar</w:t>
      </w:r>
      <w:r>
        <w:rPr>
          <w:spacing w:val="-15"/>
        </w:rPr>
        <w:t> </w:t>
      </w:r>
      <w:r>
        <w:rPr/>
        <w:t>cómo</w:t>
      </w:r>
      <w:r>
        <w:rPr>
          <w:spacing w:val="-13"/>
        </w:rPr>
        <w:t> </w:t>
      </w:r>
      <w:r>
        <w:rPr/>
        <w:t>en</w:t>
      </w:r>
      <w:r>
        <w:rPr>
          <w:spacing w:val="-13"/>
        </w:rPr>
        <w:t> </w:t>
      </w:r>
      <w:r>
        <w:rPr/>
        <w:t>el</w:t>
      </w:r>
      <w:r>
        <w:rPr>
          <w:spacing w:val="-14"/>
        </w:rPr>
        <w:t> </w:t>
      </w:r>
      <w:r>
        <w:rPr/>
        <w:t>grado</w:t>
      </w:r>
      <w:r>
        <w:rPr>
          <w:spacing w:val="-16"/>
        </w:rPr>
        <w:t> </w:t>
      </w:r>
      <w:r>
        <w:rPr/>
        <w:t>de</w:t>
      </w:r>
      <w:r>
        <w:rPr>
          <w:spacing w:val="-16"/>
        </w:rPr>
        <w:t> </w:t>
      </w:r>
      <w:r>
        <w:rPr/>
        <w:t>muy</w:t>
      </w:r>
      <w:r>
        <w:rPr>
          <w:spacing w:val="-16"/>
        </w:rPr>
        <w:t> </w:t>
      </w:r>
      <w:r>
        <w:rPr/>
        <w:t>bajo</w:t>
      </w:r>
      <w:r>
        <w:rPr>
          <w:spacing w:val="-13"/>
        </w:rPr>
        <w:t> </w:t>
      </w:r>
      <w:r>
        <w:rPr/>
        <w:t>en</w:t>
      </w:r>
      <w:r>
        <w:rPr>
          <w:spacing w:val="-13"/>
        </w:rPr>
        <w:t> </w:t>
      </w:r>
      <w:r>
        <w:rPr/>
        <w:t>el</w:t>
      </w:r>
      <w:r>
        <w:rPr>
          <w:spacing w:val="-14"/>
        </w:rPr>
        <w:t> </w:t>
      </w:r>
      <w:r>
        <w:rPr/>
        <w:t>2005 es de un 8 con un aumento en 2010 a 37; en el grado de bajo, en el año 2005 se encuentra con un 46, con una disminución en el 2010 de 36; en el grado medio, en el</w:t>
      </w:r>
      <w:r>
        <w:rPr>
          <w:spacing w:val="-10"/>
        </w:rPr>
        <w:t> </w:t>
      </w:r>
      <w:r>
        <w:rPr/>
        <w:t>año</w:t>
      </w:r>
      <w:r>
        <w:rPr>
          <w:spacing w:val="-11"/>
        </w:rPr>
        <w:t> </w:t>
      </w:r>
      <w:r>
        <w:rPr/>
        <w:t>de</w:t>
      </w:r>
      <w:r>
        <w:rPr>
          <w:spacing w:val="-11"/>
        </w:rPr>
        <w:t> </w:t>
      </w:r>
      <w:r>
        <w:rPr/>
        <w:t>2005</w:t>
      </w:r>
      <w:r>
        <w:rPr>
          <w:spacing w:val="-11"/>
        </w:rPr>
        <w:t> </w:t>
      </w:r>
      <w:r>
        <w:rPr/>
        <w:t>se</w:t>
      </w:r>
      <w:r>
        <w:rPr>
          <w:spacing w:val="-11"/>
        </w:rPr>
        <w:t> </w:t>
      </w:r>
      <w:r>
        <w:rPr/>
        <w:t>encuentra</w:t>
      </w:r>
      <w:r>
        <w:rPr>
          <w:spacing w:val="-11"/>
        </w:rPr>
        <w:t> </w:t>
      </w:r>
      <w:r>
        <w:rPr/>
        <w:t>con</w:t>
      </w:r>
      <w:r>
        <w:rPr>
          <w:spacing w:val="-11"/>
        </w:rPr>
        <w:t> </w:t>
      </w:r>
      <w:r>
        <w:rPr/>
        <w:t>un</w:t>
      </w:r>
      <w:r>
        <w:rPr>
          <w:spacing w:val="-11"/>
        </w:rPr>
        <w:t> </w:t>
      </w:r>
      <w:r>
        <w:rPr/>
        <w:t>23</w:t>
      </w:r>
      <w:r>
        <w:rPr>
          <w:spacing w:val="-11"/>
        </w:rPr>
        <w:t> </w:t>
      </w:r>
      <w:r>
        <w:rPr/>
        <w:t>y</w:t>
      </w:r>
      <w:r>
        <w:rPr>
          <w:spacing w:val="-8"/>
        </w:rPr>
        <w:t> </w:t>
      </w:r>
      <w:r>
        <w:rPr/>
        <w:t>en</w:t>
      </w:r>
      <w:r>
        <w:rPr>
          <w:spacing w:val="-11"/>
        </w:rPr>
        <w:t> </w:t>
      </w:r>
      <w:r>
        <w:rPr/>
        <w:t>el</w:t>
      </w:r>
      <w:r>
        <w:rPr>
          <w:spacing w:val="-14"/>
        </w:rPr>
        <w:t> </w:t>
      </w:r>
      <w:r>
        <w:rPr/>
        <w:t>2010</w:t>
      </w:r>
      <w:r>
        <w:rPr>
          <w:spacing w:val="-11"/>
        </w:rPr>
        <w:t> </w:t>
      </w:r>
      <w:r>
        <w:rPr/>
        <w:t>aumento</w:t>
      </w:r>
      <w:r>
        <w:rPr>
          <w:spacing w:val="-10"/>
        </w:rPr>
        <w:t> </w:t>
      </w:r>
      <w:r>
        <w:rPr/>
        <w:t>con</w:t>
      </w:r>
      <w:r>
        <w:rPr>
          <w:spacing w:val="-11"/>
        </w:rPr>
        <w:t> </w:t>
      </w:r>
      <w:r>
        <w:rPr/>
        <w:t>un</w:t>
      </w:r>
      <w:r>
        <w:rPr>
          <w:spacing w:val="-11"/>
        </w:rPr>
        <w:t> </w:t>
      </w:r>
      <w:r>
        <w:rPr/>
        <w:t>39;</w:t>
      </w:r>
      <w:r>
        <w:rPr>
          <w:spacing w:val="-7"/>
        </w:rPr>
        <w:t> </w:t>
      </w:r>
      <w:r>
        <w:rPr/>
        <w:t>en</w:t>
      </w:r>
      <w:r>
        <w:rPr>
          <w:spacing w:val="-11"/>
        </w:rPr>
        <w:t> </w:t>
      </w:r>
      <w:r>
        <w:rPr/>
        <w:t>el</w:t>
      </w:r>
      <w:r>
        <w:rPr>
          <w:spacing w:val="-12"/>
        </w:rPr>
        <w:t> </w:t>
      </w:r>
      <w:r>
        <w:rPr/>
        <w:t>grado alto,</w:t>
      </w:r>
      <w:r>
        <w:rPr>
          <w:spacing w:val="-8"/>
        </w:rPr>
        <w:t> </w:t>
      </w:r>
      <w:r>
        <w:rPr/>
        <w:t>en</w:t>
      </w:r>
      <w:r>
        <w:rPr>
          <w:spacing w:val="-7"/>
        </w:rPr>
        <w:t> </w:t>
      </w:r>
      <w:r>
        <w:rPr/>
        <w:t>el</w:t>
      </w:r>
      <w:r>
        <w:rPr>
          <w:spacing w:val="-6"/>
        </w:rPr>
        <w:t> </w:t>
      </w:r>
      <w:r>
        <w:rPr/>
        <w:t>2005</w:t>
      </w:r>
      <w:r>
        <w:rPr>
          <w:spacing w:val="-7"/>
        </w:rPr>
        <w:t> </w:t>
      </w:r>
      <w:r>
        <w:rPr/>
        <w:t>aparece</w:t>
      </w:r>
      <w:r>
        <w:rPr>
          <w:spacing w:val="-5"/>
        </w:rPr>
        <w:t> </w:t>
      </w:r>
      <w:r>
        <w:rPr/>
        <w:t>con</w:t>
      </w:r>
      <w:r>
        <w:rPr>
          <w:spacing w:val="-7"/>
        </w:rPr>
        <w:t> </w:t>
      </w:r>
      <w:r>
        <w:rPr/>
        <w:t>un</w:t>
      </w:r>
      <w:r>
        <w:rPr>
          <w:spacing w:val="-7"/>
        </w:rPr>
        <w:t> </w:t>
      </w:r>
      <w:r>
        <w:rPr/>
        <w:t>31</w:t>
      </w:r>
      <w:r>
        <w:rPr>
          <w:spacing w:val="-7"/>
        </w:rPr>
        <w:t> </w:t>
      </w:r>
      <w:r>
        <w:rPr/>
        <w:t>y</w:t>
      </w:r>
      <w:r>
        <w:rPr>
          <w:spacing w:val="-8"/>
        </w:rPr>
        <w:t> </w:t>
      </w:r>
      <w:r>
        <w:rPr/>
        <w:t>en</w:t>
      </w:r>
      <w:r>
        <w:rPr>
          <w:spacing w:val="-5"/>
        </w:rPr>
        <w:t> </w:t>
      </w:r>
      <w:r>
        <w:rPr/>
        <w:t>el</w:t>
      </w:r>
      <w:r>
        <w:rPr>
          <w:spacing w:val="-9"/>
        </w:rPr>
        <w:t> </w:t>
      </w:r>
      <w:r>
        <w:rPr/>
        <w:t>2010</w:t>
      </w:r>
      <w:r>
        <w:rPr>
          <w:spacing w:val="-5"/>
        </w:rPr>
        <w:t> </w:t>
      </w:r>
      <w:r>
        <w:rPr/>
        <w:t>disminuye</w:t>
      </w:r>
      <w:r>
        <w:rPr>
          <w:spacing w:val="-5"/>
        </w:rPr>
        <w:t> </w:t>
      </w:r>
      <w:r>
        <w:rPr/>
        <w:t>con</w:t>
      </w:r>
      <w:r>
        <w:rPr>
          <w:spacing w:val="-5"/>
        </w:rPr>
        <w:t> </w:t>
      </w:r>
      <w:r>
        <w:rPr/>
        <w:t>un</w:t>
      </w:r>
      <w:r>
        <w:rPr>
          <w:spacing w:val="-5"/>
        </w:rPr>
        <w:t> </w:t>
      </w:r>
      <w:r>
        <w:rPr/>
        <w:t>11;</w:t>
      </w:r>
      <w:r>
        <w:rPr>
          <w:spacing w:val="-5"/>
        </w:rPr>
        <w:t> </w:t>
      </w:r>
      <w:r>
        <w:rPr/>
        <w:t>por</w:t>
      </w:r>
      <w:r>
        <w:rPr>
          <w:spacing w:val="-6"/>
        </w:rPr>
        <w:t> </w:t>
      </w:r>
      <w:r>
        <w:rPr/>
        <w:t>último,</w:t>
      </w:r>
      <w:r>
        <w:rPr>
          <w:spacing w:val="-8"/>
        </w:rPr>
        <w:t> </w:t>
      </w:r>
      <w:r>
        <w:rPr/>
        <w:t>en el</w:t>
      </w:r>
      <w:r>
        <w:rPr>
          <w:spacing w:val="-5"/>
        </w:rPr>
        <w:t> </w:t>
      </w:r>
      <w:r>
        <w:rPr/>
        <w:t>grado</w:t>
      </w:r>
      <w:r>
        <w:rPr>
          <w:spacing w:val="-5"/>
        </w:rPr>
        <w:t> </w:t>
      </w:r>
      <w:r>
        <w:rPr/>
        <w:t>muy</w:t>
      </w:r>
      <w:r>
        <w:rPr>
          <w:spacing w:val="-7"/>
        </w:rPr>
        <w:t> </w:t>
      </w:r>
      <w:r>
        <w:rPr/>
        <w:t>alto,</w:t>
      </w:r>
      <w:r>
        <w:rPr>
          <w:spacing w:val="-6"/>
        </w:rPr>
        <w:t> </w:t>
      </w:r>
      <w:r>
        <w:rPr/>
        <w:t>en</w:t>
      </w:r>
      <w:r>
        <w:rPr>
          <w:spacing w:val="-6"/>
        </w:rPr>
        <w:t> </w:t>
      </w:r>
      <w:r>
        <w:rPr/>
        <w:t>el</w:t>
      </w:r>
      <w:r>
        <w:rPr>
          <w:spacing w:val="-5"/>
        </w:rPr>
        <w:t> </w:t>
      </w:r>
      <w:r>
        <w:rPr/>
        <w:t>2005</w:t>
      </w:r>
      <w:r>
        <w:rPr>
          <w:spacing w:val="-4"/>
        </w:rPr>
        <w:t> </w:t>
      </w:r>
      <w:r>
        <w:rPr/>
        <w:t>se</w:t>
      </w:r>
      <w:r>
        <w:rPr>
          <w:spacing w:val="-6"/>
        </w:rPr>
        <w:t> </w:t>
      </w:r>
      <w:r>
        <w:rPr/>
        <w:t>encuentra</w:t>
      </w:r>
      <w:r>
        <w:rPr>
          <w:spacing w:val="-4"/>
        </w:rPr>
        <w:t> </w:t>
      </w:r>
      <w:r>
        <w:rPr/>
        <w:t>con</w:t>
      </w:r>
      <w:r>
        <w:rPr>
          <w:spacing w:val="-4"/>
        </w:rPr>
        <w:t> </w:t>
      </w:r>
      <w:r>
        <w:rPr/>
        <w:t>17</w:t>
      </w:r>
      <w:r>
        <w:rPr>
          <w:spacing w:val="-4"/>
        </w:rPr>
        <w:t> </w:t>
      </w:r>
      <w:r>
        <w:rPr/>
        <w:t>y</w:t>
      </w:r>
      <w:r>
        <w:rPr>
          <w:spacing w:val="-7"/>
        </w:rPr>
        <w:t> </w:t>
      </w:r>
      <w:r>
        <w:rPr/>
        <w:t>en</w:t>
      </w:r>
      <w:r>
        <w:rPr>
          <w:spacing w:val="-4"/>
        </w:rPr>
        <w:t> </w:t>
      </w:r>
      <w:r>
        <w:rPr/>
        <w:t>el</w:t>
      </w:r>
      <w:r>
        <w:rPr>
          <w:spacing w:val="-7"/>
        </w:rPr>
        <w:t> </w:t>
      </w:r>
      <w:r>
        <w:rPr/>
        <w:t>2010</w:t>
      </w:r>
      <w:r>
        <w:rPr>
          <w:spacing w:val="-6"/>
        </w:rPr>
        <w:t> </w:t>
      </w:r>
      <w:r>
        <w:rPr/>
        <w:t>disminuyó</w:t>
      </w:r>
      <w:r>
        <w:rPr>
          <w:spacing w:val="-3"/>
        </w:rPr>
        <w:t> </w:t>
      </w:r>
      <w:r>
        <w:rPr/>
        <w:t>con</w:t>
      </w:r>
      <w:r>
        <w:rPr>
          <w:spacing w:val="-6"/>
        </w:rPr>
        <w:t> </w:t>
      </w:r>
      <w:r>
        <w:rPr/>
        <w:t>un</w:t>
      </w:r>
      <w:r>
        <w:rPr>
          <w:spacing w:val="-6"/>
        </w:rPr>
        <w:t> </w:t>
      </w:r>
      <w:r>
        <w:rPr/>
        <w:t>2</w:t>
      </w:r>
      <w:r>
        <w:rPr>
          <w:sz w:val="18"/>
        </w:rPr>
        <w:t>.</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line="360" w:lineRule="auto" w:before="215"/>
        <w:ind w:left="102" w:right="122"/>
        <w:jc w:val="both"/>
      </w:pPr>
      <w:r>
        <w:rPr/>
        <w:t>En la gráfica anterior se puede observar más detalladamente el grado de marginación del año 2005. En los que se aprecia una gran cantidad de municipios con índice bajo, ya que suman 46, los de alto índice suman 31, los de grado medio 31 y los de muy alto fueron 17.</w:t>
      </w:r>
    </w:p>
    <w:p>
      <w:pPr>
        <w:spacing w:after="0" w:line="360" w:lineRule="auto"/>
        <w:jc w:val="both"/>
        <w:sectPr>
          <w:pgSz w:w="12240" w:h="15840"/>
          <w:pgMar w:header="0" w:footer="975" w:top="1360" w:bottom="1220" w:left="1600" w:right="1580"/>
        </w:sectPr>
      </w:pPr>
    </w:p>
    <w:p>
      <w:pPr>
        <w:pStyle w:val="BodyText"/>
        <w:rPr>
          <w:sz w:val="20"/>
        </w:rPr>
      </w:pPr>
      <w:r>
        <w:rPr/>
        <w:pict>
          <v:shape style="position:absolute;margin-left:102.599998pt;margin-top:168.390198pt;width:10.050pt;height:77.45pt;mso-position-horizontal-relative:page;mso-position-vertical-relative:page;z-index:2176" type="#_x0000_t202" filled="false" stroked="false">
            <v:textbox inset="0,0,0,0" style="layout-flow:vertical;mso-layout-flow-alt:bottom-to-top">
              <w:txbxContent>
                <w:p>
                  <w:pPr>
                    <w:spacing w:line="184" w:lineRule="exact" w:before="0"/>
                    <w:ind w:left="20" w:right="0" w:firstLine="0"/>
                    <w:jc w:val="left"/>
                    <w:rPr>
                      <w:rFonts w:ascii="Calibri" w:hAnsi="Calibri"/>
                      <w:b/>
                      <w:sz w:val="16"/>
                    </w:rPr>
                  </w:pPr>
                  <w:r>
                    <w:rPr>
                      <w:rFonts w:ascii="Calibri" w:hAnsi="Calibri"/>
                      <w:b/>
                      <w:w w:val="100"/>
                      <w:sz w:val="16"/>
                    </w:rPr>
                    <w:t>Número</w:t>
                  </w:r>
                  <w:r>
                    <w:rPr>
                      <w:rFonts w:ascii="Calibri" w:hAnsi="Calibri"/>
                      <w:b/>
                      <w:spacing w:val="-6"/>
                      <w:sz w:val="16"/>
                    </w:rPr>
                    <w:t> </w:t>
                  </w:r>
                  <w:r>
                    <w:rPr>
                      <w:rFonts w:ascii="Calibri" w:hAnsi="Calibri"/>
                      <w:b/>
                      <w:w w:val="100"/>
                      <w:sz w:val="16"/>
                    </w:rPr>
                    <w:t>de</w:t>
                  </w:r>
                  <w:r>
                    <w:rPr>
                      <w:rFonts w:ascii="Calibri" w:hAnsi="Calibri"/>
                      <w:b/>
                      <w:sz w:val="16"/>
                    </w:rPr>
                    <w:t> </w:t>
                  </w:r>
                  <w:r>
                    <w:rPr>
                      <w:rFonts w:ascii="Calibri" w:hAnsi="Calibri"/>
                      <w:b/>
                      <w:w w:val="100"/>
                      <w:sz w:val="16"/>
                    </w:rPr>
                    <w:t>mun</w:t>
                  </w:r>
                  <w:r>
                    <w:rPr>
                      <w:rFonts w:ascii="Calibri" w:hAnsi="Calibri"/>
                      <w:b/>
                      <w:spacing w:val="-2"/>
                      <w:w w:val="100"/>
                      <w:sz w:val="16"/>
                    </w:rPr>
                    <w:t>i</w:t>
                  </w:r>
                  <w:r>
                    <w:rPr>
                      <w:rFonts w:ascii="Calibri" w:hAnsi="Calibri"/>
                      <w:b/>
                      <w:spacing w:val="-1"/>
                      <w:w w:val="100"/>
                      <w:sz w:val="16"/>
                    </w:rPr>
                    <w:t>c</w:t>
                  </w:r>
                  <w:r>
                    <w:rPr>
                      <w:rFonts w:ascii="Calibri" w:hAnsi="Calibri"/>
                      <w:b/>
                      <w:spacing w:val="-2"/>
                      <w:w w:val="100"/>
                      <w:sz w:val="16"/>
                    </w:rPr>
                    <w:t>i</w:t>
                  </w:r>
                  <w:r>
                    <w:rPr>
                      <w:rFonts w:ascii="Calibri" w:hAnsi="Calibri"/>
                      <w:b/>
                      <w:w w:val="100"/>
                      <w:sz w:val="16"/>
                    </w:rPr>
                    <w:t>p</w:t>
                  </w:r>
                  <w:r>
                    <w:rPr>
                      <w:rFonts w:ascii="Calibri" w:hAnsi="Calibri"/>
                      <w:b/>
                      <w:spacing w:val="-2"/>
                      <w:w w:val="100"/>
                      <w:sz w:val="16"/>
                    </w:rPr>
                    <w:t>i</w:t>
                  </w:r>
                  <w:r>
                    <w:rPr>
                      <w:rFonts w:ascii="Calibri" w:hAnsi="Calibri"/>
                      <w:b/>
                      <w:w w:val="100"/>
                      <w:sz w:val="16"/>
                    </w:rPr>
                    <w:t>os</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1"/>
        </w:rPr>
      </w:pPr>
    </w:p>
    <w:p>
      <w:pPr>
        <w:pStyle w:val="BodyText"/>
        <w:spacing w:line="360" w:lineRule="auto" w:before="70"/>
        <w:ind w:left="102" w:right="1699"/>
        <w:jc w:val="both"/>
      </w:pPr>
      <w:r>
        <w:rPr/>
        <w:pict>
          <v:group style="position:absolute;margin-left:89.279999pt;margin-top:-299.694153pt;width:420.6pt;height:257.2pt;mso-position-horizontal-relative:page;mso-position-vertical-relative:paragraph;z-index:2152" coordorigin="1786,-5994" coordsize="8412,5144">
            <v:shape style="position:absolute;left:1786;top:-5994;width:8412;height:5143" type="#_x0000_t75" stroked="false">
              <v:imagedata r:id="rId19" o:title=""/>
            </v:shape>
            <v:rect style="position:absolute;left:2607;top:-5050;width:7364;height:3391" filled="true" fillcolor="#ffffff" stroked="false">
              <v:fill type="solid"/>
            </v:rect>
            <v:shape style="position:absolute;left:2607;top:-5050;width:7364;height:3014" coordorigin="2607,-5050" coordsize="7364,3014" path="m9529,-2036l9971,-2036m8056,-2036l8940,-2036m6584,-2036l7467,-2036m5111,-2036l5994,-2036m2607,-2036l4522,-2036m9529,-2413l9971,-2413m8056,-2413l8940,-2413m6584,-2413l7467,-2413m5111,-2413l5994,-2413m2607,-2413l4522,-2413m9529,-2790l9971,-2790m8056,-2790l8940,-2790m6584,-2790l7467,-2790m2607,-2790l5994,-2790m9529,-3167l9971,-3167m8056,-3167l8940,-3167m6584,-3167l7467,-3167m2607,-3167l5994,-3167m9529,-3543l9971,-3543m8056,-3543l8940,-3543m6584,-3543l7467,-3543m2607,-3543l5994,-3543m9529,-3920l9971,-3920m8056,-3920l8940,-3920m6584,-3920l7467,-3920m2607,-3920l5994,-3920m9529,-4297l9971,-4297m8056,-4297l8940,-4297m6584,-4297l7467,-4297m2607,-4297l5994,-4297m2607,-4674l9971,-4674m2607,-5050l9971,-5050e" filled="false" stroked="true" strokeweight=".5pt" strokecolor="#888888">
              <v:path arrowok="t"/>
            </v:shape>
            <v:rect style="position:absolute;left:3049;top:-1810;width:589;height:151" filled="true" fillcolor="#ff0000" stroked="false">
              <v:fill type="solid"/>
            </v:rect>
            <v:rect style="position:absolute;left:4522;top:-2488;width:589;height:829" filled="true" fillcolor="#538235" stroked="false">
              <v:fill type="solid"/>
            </v:rect>
            <v:rect style="position:absolute;left:5994;top:-4598;width:589;height:2939" filled="true" fillcolor="#ffc000" stroked="false">
              <v:fill type="solid"/>
            </v:rect>
            <v:rect style="position:absolute;left:7467;top:-4372;width:589;height:2713" filled="true" fillcolor="#92d050" stroked="false">
              <v:fill type="solid"/>
            </v:rect>
            <v:rect style="position:absolute;left:8940;top:-4447;width:589;height:2788" filled="true" fillcolor="#00af50" stroked="false">
              <v:fill type="solid"/>
            </v:rect>
            <v:shape style="position:absolute;left:1791;top:-5987;width:8400;height:5130" coordorigin="1791,-5987" coordsize="8400,5130" path="m2607,-1659l2607,-5050m2556,-1659l2607,-1659m2556,-2036l2607,-2036m2556,-2413l2607,-2413m2556,-2790l2607,-2790m2556,-3167l2607,-3167m2556,-3543l2607,-3543m2556,-3920l2607,-3920m2556,-4297l2607,-4297m2556,-4674l2607,-4674m2556,-5050l2607,-5050m2607,-1659l9971,-1659m2607,-1659l2607,-1608m4080,-1659l4080,-1608m5554,-1659l5554,-1608m7025,-1659l7025,-1608m8498,-1659l8498,-1608m9971,-1659l9971,-1608m1791,-5787l1807,-5865,1850,-5928,1913,-5971,1991,-5987,9991,-5987,10069,-5971,10132,-5928,10175,-5865,10191,-5787,10191,-1057,10175,-979,10132,-915,10069,-873,9991,-857,1991,-857,1913,-873,1850,-915,1807,-979,1791,-1057,1791,-5787xe" filled="false" stroked="true" strokeweight=".5pt" strokecolor="#888888">
              <v:path arrowok="t"/>
            </v:shape>
            <v:shape style="position:absolute;left:2979;top:-5793;width:6020;height:490" type="#_x0000_t202" filled="false" stroked="false">
              <v:textbox inset="0,0,0,0">
                <w:txbxContent>
                  <w:p>
                    <w:pPr>
                      <w:spacing w:line="225" w:lineRule="exact" w:before="0"/>
                      <w:ind w:left="0" w:right="0" w:firstLine="0"/>
                      <w:jc w:val="center"/>
                      <w:rPr>
                        <w:rFonts w:ascii="Calibri" w:hAnsi="Calibri"/>
                        <w:b/>
                        <w:sz w:val="22"/>
                      </w:rPr>
                    </w:pPr>
                    <w:r>
                      <w:rPr>
                        <w:rFonts w:ascii="Calibri" w:hAnsi="Calibri"/>
                        <w:b/>
                        <w:sz w:val="22"/>
                      </w:rPr>
                      <w:t>Gráfica 1.2. Grado de marginación de los municipios del Estado</w:t>
                    </w:r>
                    <w:r>
                      <w:rPr>
                        <w:rFonts w:ascii="Calibri" w:hAnsi="Calibri"/>
                        <w:b/>
                        <w:spacing w:val="-31"/>
                        <w:sz w:val="22"/>
                      </w:rPr>
                      <w:t> </w:t>
                    </w:r>
                    <w:r>
                      <w:rPr>
                        <w:rFonts w:ascii="Calibri" w:hAnsi="Calibri"/>
                        <w:b/>
                        <w:sz w:val="22"/>
                      </w:rPr>
                      <w:t>de</w:t>
                    </w:r>
                  </w:p>
                  <w:p>
                    <w:pPr>
                      <w:spacing w:line="265" w:lineRule="exact" w:before="0"/>
                      <w:ind w:left="0" w:right="0" w:firstLine="0"/>
                      <w:jc w:val="center"/>
                      <w:rPr>
                        <w:rFonts w:ascii="Calibri" w:hAnsi="Calibri"/>
                        <w:b/>
                        <w:sz w:val="22"/>
                      </w:rPr>
                    </w:pPr>
                    <w:r>
                      <w:rPr>
                        <w:rFonts w:ascii="Calibri" w:hAnsi="Calibri"/>
                        <w:b/>
                        <w:sz w:val="22"/>
                      </w:rPr>
                      <w:t>México en 2010</w:t>
                    </w:r>
                  </w:p>
                </w:txbxContent>
              </v:textbox>
              <w10:wrap type="none"/>
            </v:shape>
            <v:shape style="position:absolute;left:2297;top:-5125;width:164;height:538" type="#_x0000_t202" filled="false" stroked="false">
              <v:textbox inset="0,0,0,0">
                <w:txbxContent>
                  <w:p>
                    <w:pPr>
                      <w:spacing w:line="164" w:lineRule="exact" w:before="0"/>
                      <w:ind w:left="0" w:right="-19" w:firstLine="0"/>
                      <w:jc w:val="left"/>
                      <w:rPr>
                        <w:rFonts w:ascii="Calibri"/>
                        <w:sz w:val="16"/>
                      </w:rPr>
                    </w:pPr>
                    <w:r>
                      <w:rPr>
                        <w:rFonts w:ascii="Calibri"/>
                        <w:sz w:val="16"/>
                      </w:rPr>
                      <w:t>45</w:t>
                    </w:r>
                  </w:p>
                  <w:p>
                    <w:pPr>
                      <w:spacing w:line="240" w:lineRule="auto" w:before="9"/>
                      <w:rPr>
                        <w:sz w:val="15"/>
                      </w:rPr>
                    </w:pPr>
                  </w:p>
                  <w:p>
                    <w:pPr>
                      <w:spacing w:line="193" w:lineRule="exact" w:before="0"/>
                      <w:ind w:left="0" w:right="-19" w:firstLine="0"/>
                      <w:jc w:val="left"/>
                      <w:rPr>
                        <w:rFonts w:ascii="Calibri"/>
                        <w:sz w:val="16"/>
                      </w:rPr>
                    </w:pPr>
                    <w:r>
                      <w:rPr>
                        <w:rFonts w:ascii="Calibri"/>
                        <w:sz w:val="16"/>
                      </w:rPr>
                      <w:t>40</w:t>
                    </w:r>
                  </w:p>
                </w:txbxContent>
              </v:textbox>
              <w10:wrap type="none"/>
            </v:shape>
            <v:shape style="position:absolute;left:6208;top:-4852;width:164;height:161" type="#_x0000_t202" filled="false" stroked="false">
              <v:textbox inset="0,0,0,0">
                <w:txbxContent>
                  <w:p>
                    <w:pPr>
                      <w:spacing w:line="161" w:lineRule="exact" w:before="0"/>
                      <w:ind w:left="0" w:right="-19" w:firstLine="0"/>
                      <w:jc w:val="left"/>
                      <w:rPr>
                        <w:rFonts w:ascii="Calibri"/>
                        <w:sz w:val="16"/>
                      </w:rPr>
                    </w:pPr>
                    <w:r>
                      <w:rPr>
                        <w:rFonts w:ascii="Calibri"/>
                        <w:sz w:val="16"/>
                      </w:rPr>
                      <w:t>39</w:t>
                    </w:r>
                  </w:p>
                </w:txbxContent>
              </v:textbox>
              <w10:wrap type="none"/>
            </v:shape>
            <v:shape style="position:absolute;left:7681;top:-4626;width:164;height:161" type="#_x0000_t202" filled="false" stroked="false">
              <v:textbox inset="0,0,0,0">
                <w:txbxContent>
                  <w:p>
                    <w:pPr>
                      <w:spacing w:line="161" w:lineRule="exact" w:before="0"/>
                      <w:ind w:left="0" w:right="-19" w:firstLine="0"/>
                      <w:jc w:val="left"/>
                      <w:rPr>
                        <w:rFonts w:ascii="Calibri"/>
                        <w:sz w:val="16"/>
                      </w:rPr>
                    </w:pPr>
                    <w:r>
                      <w:rPr>
                        <w:rFonts w:ascii="Calibri"/>
                        <w:sz w:val="16"/>
                      </w:rPr>
                      <w:t>36</w:t>
                    </w:r>
                  </w:p>
                </w:txbxContent>
              </v:textbox>
              <w10:wrap type="none"/>
            </v:shape>
            <v:shape style="position:absolute;left:9155;top:-4701;width:164;height:161" type="#_x0000_t202" filled="false" stroked="false">
              <v:textbox inset="0,0,0,0">
                <w:txbxContent>
                  <w:p>
                    <w:pPr>
                      <w:spacing w:line="161" w:lineRule="exact" w:before="0"/>
                      <w:ind w:left="0" w:right="-19" w:firstLine="0"/>
                      <w:jc w:val="left"/>
                      <w:rPr>
                        <w:rFonts w:ascii="Calibri"/>
                        <w:sz w:val="16"/>
                      </w:rPr>
                    </w:pPr>
                    <w:r>
                      <w:rPr>
                        <w:rFonts w:ascii="Calibri"/>
                        <w:sz w:val="16"/>
                      </w:rPr>
                      <w:t>37</w:t>
                    </w:r>
                  </w:p>
                </w:txbxContent>
              </v:textbox>
              <w10:wrap type="none"/>
            </v:shape>
            <v:shape style="position:absolute;left:2297;top:-4372;width:164;height:1668" type="#_x0000_t202" filled="false" stroked="false">
              <v:textbox inset="0,0,0,0">
                <w:txbxContent>
                  <w:p>
                    <w:pPr>
                      <w:spacing w:line="164" w:lineRule="exact" w:before="0"/>
                      <w:ind w:left="0" w:right="-19" w:firstLine="0"/>
                      <w:jc w:val="left"/>
                      <w:rPr>
                        <w:rFonts w:ascii="Calibri"/>
                        <w:sz w:val="16"/>
                      </w:rPr>
                    </w:pPr>
                    <w:r>
                      <w:rPr>
                        <w:rFonts w:ascii="Calibri"/>
                        <w:sz w:val="16"/>
                      </w:rPr>
                      <w:t>35</w:t>
                    </w:r>
                  </w:p>
                  <w:p>
                    <w:pPr>
                      <w:spacing w:line="240" w:lineRule="auto" w:before="9"/>
                      <w:rPr>
                        <w:sz w:val="15"/>
                      </w:rPr>
                    </w:pPr>
                  </w:p>
                  <w:p>
                    <w:pPr>
                      <w:spacing w:before="0"/>
                      <w:ind w:left="0" w:right="-19" w:firstLine="0"/>
                      <w:jc w:val="left"/>
                      <w:rPr>
                        <w:rFonts w:ascii="Calibri"/>
                        <w:sz w:val="16"/>
                      </w:rPr>
                    </w:pPr>
                    <w:r>
                      <w:rPr>
                        <w:rFonts w:ascii="Calibri"/>
                        <w:sz w:val="16"/>
                      </w:rPr>
                      <w:t>30</w:t>
                    </w:r>
                  </w:p>
                  <w:p>
                    <w:pPr>
                      <w:spacing w:line="240" w:lineRule="auto" w:before="9"/>
                      <w:rPr>
                        <w:sz w:val="15"/>
                      </w:rPr>
                    </w:pPr>
                  </w:p>
                  <w:p>
                    <w:pPr>
                      <w:spacing w:before="0"/>
                      <w:ind w:left="0" w:right="-19" w:firstLine="0"/>
                      <w:jc w:val="left"/>
                      <w:rPr>
                        <w:rFonts w:ascii="Calibri"/>
                        <w:sz w:val="16"/>
                      </w:rPr>
                    </w:pPr>
                    <w:r>
                      <w:rPr>
                        <w:rFonts w:ascii="Calibri"/>
                        <w:sz w:val="16"/>
                      </w:rPr>
                      <w:t>25</w:t>
                    </w:r>
                  </w:p>
                  <w:p>
                    <w:pPr>
                      <w:spacing w:line="240" w:lineRule="auto" w:before="9"/>
                      <w:rPr>
                        <w:sz w:val="15"/>
                      </w:rPr>
                    </w:pPr>
                  </w:p>
                  <w:p>
                    <w:pPr>
                      <w:spacing w:before="0"/>
                      <w:ind w:left="0" w:right="-19" w:firstLine="0"/>
                      <w:jc w:val="left"/>
                      <w:rPr>
                        <w:rFonts w:ascii="Calibri"/>
                        <w:sz w:val="16"/>
                      </w:rPr>
                    </w:pPr>
                    <w:r>
                      <w:rPr>
                        <w:rFonts w:ascii="Calibri"/>
                        <w:sz w:val="16"/>
                      </w:rPr>
                      <w:t>20</w:t>
                    </w:r>
                  </w:p>
                  <w:p>
                    <w:pPr>
                      <w:spacing w:line="240" w:lineRule="auto" w:before="9"/>
                      <w:rPr>
                        <w:sz w:val="15"/>
                      </w:rPr>
                    </w:pPr>
                  </w:p>
                  <w:p>
                    <w:pPr>
                      <w:spacing w:line="193" w:lineRule="exact" w:before="0"/>
                      <w:ind w:left="0" w:right="-19" w:firstLine="0"/>
                      <w:jc w:val="left"/>
                      <w:rPr>
                        <w:rFonts w:ascii="Calibri"/>
                        <w:sz w:val="16"/>
                      </w:rPr>
                    </w:pPr>
                    <w:r>
                      <w:rPr>
                        <w:rFonts w:ascii="Calibri"/>
                        <w:sz w:val="16"/>
                      </w:rPr>
                      <w:t>15</w:t>
                    </w:r>
                  </w:p>
                </w:txbxContent>
              </v:textbox>
              <w10:wrap type="none"/>
            </v:shape>
            <v:shape style="position:absolute;left:4735;top:-2742;width:164;height:161" type="#_x0000_t202" filled="false" stroked="false">
              <v:textbox inset="0,0,0,0">
                <w:txbxContent>
                  <w:p>
                    <w:pPr>
                      <w:spacing w:line="161" w:lineRule="exact" w:before="0"/>
                      <w:ind w:left="0" w:right="-19" w:firstLine="0"/>
                      <w:jc w:val="left"/>
                      <w:rPr>
                        <w:rFonts w:ascii="Calibri"/>
                        <w:sz w:val="16"/>
                      </w:rPr>
                    </w:pPr>
                    <w:r>
                      <w:rPr>
                        <w:rFonts w:ascii="Calibri"/>
                        <w:sz w:val="16"/>
                      </w:rPr>
                      <w:t>11</w:t>
                    </w:r>
                  </w:p>
                </w:txbxContent>
              </v:textbox>
              <w10:wrap type="none"/>
            </v:shape>
            <v:shape style="position:absolute;left:2297;top:-2488;width:164;height:538" type="#_x0000_t202" filled="false" stroked="false">
              <v:textbox inset="0,0,0,0">
                <w:txbxContent>
                  <w:p>
                    <w:pPr>
                      <w:spacing w:line="164" w:lineRule="exact" w:before="0"/>
                      <w:ind w:left="0" w:right="-19" w:firstLine="0"/>
                      <w:jc w:val="left"/>
                      <w:rPr>
                        <w:rFonts w:ascii="Calibri"/>
                        <w:sz w:val="16"/>
                      </w:rPr>
                    </w:pPr>
                    <w:r>
                      <w:rPr>
                        <w:rFonts w:ascii="Calibri"/>
                        <w:sz w:val="16"/>
                      </w:rPr>
                      <w:t>10</w:t>
                    </w:r>
                  </w:p>
                  <w:p>
                    <w:pPr>
                      <w:spacing w:line="240" w:lineRule="auto" w:before="9"/>
                      <w:rPr>
                        <w:sz w:val="15"/>
                      </w:rPr>
                    </w:pPr>
                  </w:p>
                  <w:p>
                    <w:pPr>
                      <w:spacing w:line="193" w:lineRule="exact" w:before="0"/>
                      <w:ind w:left="81" w:right="0" w:firstLine="0"/>
                      <w:jc w:val="left"/>
                      <w:rPr>
                        <w:rFonts w:ascii="Calibri"/>
                        <w:sz w:val="16"/>
                      </w:rPr>
                    </w:pPr>
                    <w:r>
                      <w:rPr>
                        <w:rFonts w:ascii="Calibri"/>
                        <w:w w:val="100"/>
                        <w:sz w:val="16"/>
                      </w:rPr>
                      <w:t>5</w:t>
                    </w:r>
                  </w:p>
                </w:txbxContent>
              </v:textbox>
              <w10:wrap type="none"/>
            </v:shape>
            <v:shape style="position:absolute;left:3303;top:-2064;width:82;height:161" type="#_x0000_t202" filled="false" stroked="false">
              <v:textbox inset="0,0,0,0">
                <w:txbxContent>
                  <w:p>
                    <w:pPr>
                      <w:spacing w:line="161" w:lineRule="exact" w:before="0"/>
                      <w:ind w:left="0" w:right="0" w:firstLine="0"/>
                      <w:jc w:val="left"/>
                      <w:rPr>
                        <w:rFonts w:ascii="Calibri"/>
                        <w:sz w:val="16"/>
                      </w:rPr>
                    </w:pPr>
                    <w:r>
                      <w:rPr>
                        <w:rFonts w:ascii="Calibri"/>
                        <w:w w:val="100"/>
                        <w:sz w:val="16"/>
                      </w:rPr>
                      <w:t>2</w:t>
                    </w:r>
                  </w:p>
                </w:txbxContent>
              </v:textbox>
              <w10:wrap type="none"/>
            </v:shape>
            <v:shape style="position:absolute;left:2378;top:-1734;width:82;height:161" type="#_x0000_t202" filled="false" stroked="false">
              <v:textbox inset="0,0,0,0">
                <w:txbxContent>
                  <w:p>
                    <w:pPr>
                      <w:spacing w:line="161" w:lineRule="exact" w:before="0"/>
                      <w:ind w:left="0" w:right="0" w:firstLine="0"/>
                      <w:jc w:val="left"/>
                      <w:rPr>
                        <w:rFonts w:ascii="Calibri"/>
                        <w:sz w:val="16"/>
                      </w:rPr>
                    </w:pPr>
                    <w:r>
                      <w:rPr>
                        <w:rFonts w:ascii="Calibri"/>
                        <w:w w:val="100"/>
                        <w:sz w:val="16"/>
                      </w:rPr>
                      <w:t>0</w:t>
                    </w:r>
                  </w:p>
                </w:txbxContent>
              </v:textbox>
              <w10:wrap type="none"/>
            </v:shape>
            <v:shape style="position:absolute;left:3053;top:-1526;width:582;height:161" type="#_x0000_t202" filled="false" stroked="false">
              <v:textbox inset="0,0,0,0">
                <w:txbxContent>
                  <w:p>
                    <w:pPr>
                      <w:spacing w:line="161" w:lineRule="exact" w:before="0"/>
                      <w:ind w:left="0" w:right="-19" w:firstLine="0"/>
                      <w:jc w:val="left"/>
                      <w:rPr>
                        <w:rFonts w:ascii="Calibri"/>
                        <w:sz w:val="16"/>
                      </w:rPr>
                    </w:pPr>
                    <w:r>
                      <w:rPr>
                        <w:rFonts w:ascii="Calibri"/>
                        <w:sz w:val="16"/>
                      </w:rPr>
                      <w:t>Muy alto</w:t>
                    </w:r>
                  </w:p>
                </w:txbxContent>
              </v:textbox>
              <w10:wrap type="none"/>
            </v:shape>
            <v:shape style="position:absolute;left:4683;top:-1526;width:267;height:161" type="#_x0000_t202" filled="false" stroked="false">
              <v:textbox inset="0,0,0,0">
                <w:txbxContent>
                  <w:p>
                    <w:pPr>
                      <w:spacing w:line="161" w:lineRule="exact" w:before="0"/>
                      <w:ind w:left="0" w:right="-17" w:firstLine="0"/>
                      <w:jc w:val="left"/>
                      <w:rPr>
                        <w:rFonts w:ascii="Calibri"/>
                        <w:sz w:val="16"/>
                      </w:rPr>
                    </w:pPr>
                    <w:r>
                      <w:rPr>
                        <w:rFonts w:ascii="Calibri"/>
                        <w:spacing w:val="-1"/>
                        <w:sz w:val="16"/>
                      </w:rPr>
                      <w:t>Alto</w:t>
                    </w:r>
                  </w:p>
                </w:txbxContent>
              </v:textbox>
              <w10:wrap type="none"/>
            </v:shape>
            <v:shape style="position:absolute;left:5551;top:-1526;width:1476;height:416" type="#_x0000_t202" filled="false" stroked="false">
              <v:textbox inset="0,0,0,0">
                <w:txbxContent>
                  <w:p>
                    <w:pPr>
                      <w:spacing w:line="164" w:lineRule="exact" w:before="0"/>
                      <w:ind w:left="4" w:right="0" w:firstLine="0"/>
                      <w:jc w:val="center"/>
                      <w:rPr>
                        <w:rFonts w:ascii="Calibri"/>
                        <w:sz w:val="16"/>
                      </w:rPr>
                    </w:pPr>
                    <w:r>
                      <w:rPr>
                        <w:rFonts w:ascii="Calibri"/>
                        <w:sz w:val="16"/>
                      </w:rPr>
                      <w:t>Medio</w:t>
                    </w:r>
                  </w:p>
                  <w:p>
                    <w:pPr>
                      <w:spacing w:line="193" w:lineRule="exact" w:before="60"/>
                      <w:ind w:left="0" w:right="0" w:firstLine="0"/>
                      <w:jc w:val="center"/>
                      <w:rPr>
                        <w:rFonts w:ascii="Calibri" w:hAnsi="Calibri"/>
                        <w:b/>
                        <w:sz w:val="16"/>
                      </w:rPr>
                    </w:pPr>
                    <w:r>
                      <w:rPr>
                        <w:rFonts w:ascii="Calibri" w:hAnsi="Calibri"/>
                        <w:b/>
                        <w:sz w:val="16"/>
                      </w:rPr>
                      <w:t>Grado de marginación</w:t>
                    </w:r>
                  </w:p>
                </w:txbxContent>
              </v:textbox>
              <w10:wrap type="none"/>
            </v:shape>
            <v:shape style="position:absolute;left:7620;top:-1526;width:287;height:161" type="#_x0000_t202" filled="false" stroked="false">
              <v:textbox inset="0,0,0,0">
                <w:txbxContent>
                  <w:p>
                    <w:pPr>
                      <w:spacing w:line="161" w:lineRule="exact" w:before="0"/>
                      <w:ind w:left="0" w:right="-20" w:firstLine="0"/>
                      <w:jc w:val="left"/>
                      <w:rPr>
                        <w:rFonts w:ascii="Calibri"/>
                        <w:sz w:val="16"/>
                      </w:rPr>
                    </w:pPr>
                    <w:r>
                      <w:rPr>
                        <w:rFonts w:ascii="Calibri"/>
                        <w:sz w:val="16"/>
                      </w:rPr>
                      <w:t>Bajo</w:t>
                    </w:r>
                  </w:p>
                </w:txbxContent>
              </v:textbox>
              <w10:wrap type="none"/>
            </v:shape>
            <v:shape style="position:absolute;left:8930;top:-1526;width:614;height:161" type="#_x0000_t202" filled="false" stroked="false">
              <v:textbox inset="0,0,0,0">
                <w:txbxContent>
                  <w:p>
                    <w:pPr>
                      <w:spacing w:line="161" w:lineRule="exact" w:before="0"/>
                      <w:ind w:left="0" w:right="-19" w:firstLine="0"/>
                      <w:jc w:val="left"/>
                      <w:rPr>
                        <w:rFonts w:ascii="Calibri"/>
                        <w:sz w:val="16"/>
                      </w:rPr>
                    </w:pPr>
                    <w:r>
                      <w:rPr>
                        <w:rFonts w:ascii="Calibri"/>
                        <w:sz w:val="16"/>
                      </w:rPr>
                      <w:t>Muy bajo</w:t>
                    </w:r>
                  </w:p>
                </w:txbxContent>
              </v:textbox>
              <w10:wrap type="none"/>
            </v:shape>
            <w10:wrap type="none"/>
          </v:group>
        </w:pict>
      </w:r>
      <w:r>
        <w:rPr/>
        <w:t>En la gráfica anterior se puede observar más detalladamente el grado de marginación</w:t>
      </w:r>
      <w:r>
        <w:rPr>
          <w:spacing w:val="-7"/>
        </w:rPr>
        <w:t> </w:t>
      </w:r>
      <w:r>
        <w:rPr/>
        <w:t>del</w:t>
      </w:r>
      <w:r>
        <w:rPr>
          <w:spacing w:val="-7"/>
        </w:rPr>
        <w:t> </w:t>
      </w:r>
      <w:r>
        <w:rPr/>
        <w:t>año</w:t>
      </w:r>
      <w:r>
        <w:rPr>
          <w:spacing w:val="-8"/>
        </w:rPr>
        <w:t> </w:t>
      </w:r>
      <w:r>
        <w:rPr/>
        <w:t>2010.</w:t>
      </w:r>
      <w:r>
        <w:rPr>
          <w:spacing w:val="-9"/>
        </w:rPr>
        <w:t> </w:t>
      </w:r>
      <w:r>
        <w:rPr/>
        <w:t>En</w:t>
      </w:r>
      <w:r>
        <w:rPr>
          <w:spacing w:val="-8"/>
        </w:rPr>
        <w:t> </w:t>
      </w:r>
      <w:r>
        <w:rPr/>
        <w:t>donde</w:t>
      </w:r>
      <w:r>
        <w:rPr>
          <w:spacing w:val="-8"/>
        </w:rPr>
        <w:t> </w:t>
      </w:r>
      <w:r>
        <w:rPr/>
        <w:t>los</w:t>
      </w:r>
      <w:r>
        <w:rPr>
          <w:spacing w:val="-9"/>
        </w:rPr>
        <w:t> </w:t>
      </w:r>
      <w:r>
        <w:rPr/>
        <w:t>municipios</w:t>
      </w:r>
      <w:r>
        <w:rPr>
          <w:spacing w:val="-6"/>
        </w:rPr>
        <w:t> </w:t>
      </w:r>
      <w:r>
        <w:rPr/>
        <w:t>con</w:t>
      </w:r>
      <w:r>
        <w:rPr>
          <w:spacing w:val="-8"/>
        </w:rPr>
        <w:t> </w:t>
      </w:r>
      <w:r>
        <w:rPr/>
        <w:t>grado</w:t>
      </w:r>
      <w:r>
        <w:rPr>
          <w:spacing w:val="-11"/>
        </w:rPr>
        <w:t> </w:t>
      </w:r>
      <w:r>
        <w:rPr/>
        <w:t>medio</w:t>
      </w:r>
      <w:r>
        <w:rPr>
          <w:spacing w:val="-6"/>
        </w:rPr>
        <w:t> </w:t>
      </w:r>
      <w:r>
        <w:rPr/>
        <w:t>suman</w:t>
      </w:r>
      <w:r>
        <w:rPr>
          <w:spacing w:val="-8"/>
        </w:rPr>
        <w:t> </w:t>
      </w:r>
      <w:r>
        <w:rPr/>
        <w:t>39,</w:t>
      </w:r>
      <w:r>
        <w:rPr>
          <w:spacing w:val="-9"/>
        </w:rPr>
        <w:t> </w:t>
      </w:r>
      <w:r>
        <w:rPr/>
        <w:t>los de</w:t>
      </w:r>
      <w:r>
        <w:rPr>
          <w:spacing w:val="-8"/>
        </w:rPr>
        <w:t> </w:t>
      </w:r>
      <w:r>
        <w:rPr/>
        <w:t>grado</w:t>
      </w:r>
      <w:r>
        <w:rPr>
          <w:spacing w:val="-11"/>
        </w:rPr>
        <w:t> </w:t>
      </w:r>
      <w:r>
        <w:rPr/>
        <w:t>bajo</w:t>
      </w:r>
      <w:r>
        <w:rPr>
          <w:spacing w:val="-11"/>
        </w:rPr>
        <w:t> </w:t>
      </w:r>
      <w:r>
        <w:rPr/>
        <w:t>36</w:t>
      </w:r>
      <w:r>
        <w:rPr>
          <w:spacing w:val="-8"/>
        </w:rPr>
        <w:t> </w:t>
      </w:r>
      <w:r>
        <w:rPr/>
        <w:t>y</w:t>
      </w:r>
      <w:r>
        <w:rPr>
          <w:spacing w:val="-12"/>
        </w:rPr>
        <w:t> </w:t>
      </w:r>
      <w:r>
        <w:rPr/>
        <w:t>los</w:t>
      </w:r>
      <w:r>
        <w:rPr>
          <w:spacing w:val="-11"/>
        </w:rPr>
        <w:t> </w:t>
      </w:r>
      <w:r>
        <w:rPr/>
        <w:t>de</w:t>
      </w:r>
      <w:r>
        <w:rPr>
          <w:spacing w:val="-8"/>
        </w:rPr>
        <w:t> </w:t>
      </w:r>
      <w:r>
        <w:rPr/>
        <w:t>grado</w:t>
      </w:r>
      <w:r>
        <w:rPr>
          <w:spacing w:val="-11"/>
        </w:rPr>
        <w:t> </w:t>
      </w:r>
      <w:r>
        <w:rPr/>
        <w:t>muy</w:t>
      </w:r>
      <w:r>
        <w:rPr>
          <w:spacing w:val="-12"/>
        </w:rPr>
        <w:t> </w:t>
      </w:r>
      <w:r>
        <w:rPr/>
        <w:t>bajo</w:t>
      </w:r>
      <w:r>
        <w:rPr>
          <w:spacing w:val="-8"/>
        </w:rPr>
        <w:t> </w:t>
      </w:r>
      <w:r>
        <w:rPr/>
        <w:t>37.</w:t>
      </w:r>
      <w:r>
        <w:rPr>
          <w:spacing w:val="-11"/>
        </w:rPr>
        <w:t> </w:t>
      </w:r>
      <w:r>
        <w:rPr/>
        <w:t>Lo</w:t>
      </w:r>
      <w:r>
        <w:rPr>
          <w:spacing w:val="-8"/>
        </w:rPr>
        <w:t> </w:t>
      </w:r>
      <w:r>
        <w:rPr/>
        <w:t>que</w:t>
      </w:r>
      <w:r>
        <w:rPr>
          <w:spacing w:val="-8"/>
        </w:rPr>
        <w:t> </w:t>
      </w:r>
      <w:r>
        <w:rPr/>
        <w:t>representa</w:t>
      </w:r>
      <w:r>
        <w:rPr>
          <w:spacing w:val="-8"/>
        </w:rPr>
        <w:t> </w:t>
      </w:r>
      <w:r>
        <w:rPr/>
        <w:t>que</w:t>
      </w:r>
      <w:r>
        <w:rPr>
          <w:spacing w:val="-11"/>
        </w:rPr>
        <w:t> </w:t>
      </w:r>
      <w:r>
        <w:rPr/>
        <w:t>son</w:t>
      </w:r>
      <w:r>
        <w:rPr>
          <w:spacing w:val="-11"/>
        </w:rPr>
        <w:t> </w:t>
      </w:r>
      <w:r>
        <w:rPr/>
        <w:t>municipios en su mayoría urbanos y con capacidades socioeconómicas que les permiten generar</w:t>
      </w:r>
      <w:r>
        <w:rPr>
          <w:spacing w:val="-11"/>
        </w:rPr>
        <w:t> </w:t>
      </w:r>
      <w:r>
        <w:rPr/>
        <w:t>condiciones</w:t>
      </w:r>
      <w:r>
        <w:rPr>
          <w:spacing w:val="-12"/>
        </w:rPr>
        <w:t> </w:t>
      </w:r>
      <w:r>
        <w:rPr/>
        <w:t>de</w:t>
      </w:r>
      <w:r>
        <w:rPr>
          <w:spacing w:val="-9"/>
        </w:rPr>
        <w:t> </w:t>
      </w:r>
      <w:r>
        <w:rPr/>
        <w:t>vida</w:t>
      </w:r>
      <w:r>
        <w:rPr>
          <w:spacing w:val="-9"/>
        </w:rPr>
        <w:t> </w:t>
      </w:r>
      <w:r>
        <w:rPr/>
        <w:t>favorables</w:t>
      </w:r>
      <w:r>
        <w:rPr>
          <w:spacing w:val="-10"/>
        </w:rPr>
        <w:t> </w:t>
      </w:r>
      <w:r>
        <w:rPr/>
        <w:t>para</w:t>
      </w:r>
      <w:r>
        <w:rPr>
          <w:spacing w:val="-11"/>
        </w:rPr>
        <w:t> </w:t>
      </w:r>
      <w:r>
        <w:rPr/>
        <w:t>el</w:t>
      </w:r>
      <w:r>
        <w:rPr>
          <w:spacing w:val="-11"/>
        </w:rPr>
        <w:t> </w:t>
      </w:r>
      <w:r>
        <w:rPr/>
        <w:t>desarrollo</w:t>
      </w:r>
      <w:r>
        <w:rPr>
          <w:spacing w:val="-9"/>
        </w:rPr>
        <w:t> </w:t>
      </w:r>
      <w:r>
        <w:rPr/>
        <w:t>de</w:t>
      </w:r>
      <w:r>
        <w:rPr>
          <w:spacing w:val="-9"/>
        </w:rPr>
        <w:t> </w:t>
      </w:r>
      <w:r>
        <w:rPr/>
        <w:t>sus</w:t>
      </w:r>
      <w:r>
        <w:rPr>
          <w:spacing w:val="-12"/>
        </w:rPr>
        <w:t> </w:t>
      </w:r>
      <w:r>
        <w:rPr/>
        <w:t>funciones</w:t>
      </w:r>
      <w:r>
        <w:rPr>
          <w:spacing w:val="-10"/>
        </w:rPr>
        <w:t> </w:t>
      </w:r>
      <w:r>
        <w:rPr/>
        <w:t>básicas.</w:t>
      </w:r>
    </w:p>
    <w:p>
      <w:pPr>
        <w:pStyle w:val="BodyText"/>
        <w:rPr>
          <w:sz w:val="20"/>
        </w:rPr>
      </w:pPr>
    </w:p>
    <w:p>
      <w:pPr>
        <w:pStyle w:val="BodyText"/>
        <w:rPr>
          <w:sz w:val="20"/>
        </w:rPr>
      </w:pPr>
    </w:p>
    <w:p>
      <w:pPr>
        <w:pStyle w:val="BodyText"/>
        <w:spacing w:before="4"/>
      </w:pPr>
    </w:p>
    <w:tbl>
      <w:tblPr>
        <w:tblW w:w="0" w:type="auto"/>
        <w:jc w:val="left"/>
        <w:tblInd w:w="2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16"/>
        <w:gridCol w:w="1699"/>
      </w:tblGrid>
      <w:tr>
        <w:trPr>
          <w:trHeight w:val="469" w:hRule="exact"/>
        </w:trPr>
        <w:tc>
          <w:tcPr>
            <w:tcW w:w="4815" w:type="dxa"/>
            <w:gridSpan w:val="2"/>
            <w:shd w:val="clear" w:color="auto" w:fill="92D050"/>
          </w:tcPr>
          <w:p>
            <w:pPr>
              <w:pStyle w:val="TableParagraph"/>
              <w:ind w:left="845" w:right="111" w:hanging="716"/>
              <w:jc w:val="left"/>
              <w:rPr>
                <w:rFonts w:ascii="Times New Roman" w:hAnsi="Times New Roman"/>
                <w:b/>
                <w:sz w:val="20"/>
              </w:rPr>
            </w:pPr>
            <w:r>
              <w:rPr>
                <w:rFonts w:ascii="Times New Roman" w:hAnsi="Times New Roman"/>
                <w:b/>
                <w:sz w:val="20"/>
              </w:rPr>
              <w:t>Tabla 1.8. Número de alternancias que han tenido los municipios mexiquenses (1990-2015)</w:t>
            </w:r>
          </w:p>
        </w:tc>
      </w:tr>
      <w:tr>
        <w:trPr>
          <w:trHeight w:val="324" w:hRule="exact"/>
        </w:trPr>
        <w:tc>
          <w:tcPr>
            <w:tcW w:w="3116" w:type="dxa"/>
            <w:shd w:val="clear" w:color="auto" w:fill="92D050"/>
          </w:tcPr>
          <w:p>
            <w:pPr>
              <w:pStyle w:val="TableParagraph"/>
              <w:spacing w:before="55"/>
              <w:ind w:left="799"/>
              <w:jc w:val="left"/>
              <w:rPr>
                <w:rFonts w:ascii="Times New Roman"/>
                <w:b/>
                <w:sz w:val="18"/>
              </w:rPr>
            </w:pPr>
            <w:r>
              <w:rPr>
                <w:rFonts w:ascii="Times New Roman"/>
                <w:b/>
                <w:sz w:val="18"/>
              </w:rPr>
              <w:t>No. De alternancias</w:t>
            </w:r>
          </w:p>
        </w:tc>
        <w:tc>
          <w:tcPr>
            <w:tcW w:w="1699" w:type="dxa"/>
            <w:shd w:val="clear" w:color="auto" w:fill="92D050"/>
          </w:tcPr>
          <w:p>
            <w:pPr>
              <w:pStyle w:val="TableParagraph"/>
              <w:spacing w:before="55"/>
              <w:ind w:left="73" w:right="74"/>
              <w:rPr>
                <w:rFonts w:ascii="Times New Roman"/>
                <w:b/>
                <w:sz w:val="18"/>
              </w:rPr>
            </w:pPr>
            <w:r>
              <w:rPr>
                <w:rFonts w:ascii="Times New Roman"/>
                <w:b/>
                <w:sz w:val="18"/>
              </w:rPr>
              <w:t>No. De municipios</w:t>
            </w:r>
          </w:p>
        </w:tc>
      </w:tr>
      <w:tr>
        <w:trPr>
          <w:trHeight w:val="274" w:hRule="exact"/>
        </w:trPr>
        <w:tc>
          <w:tcPr>
            <w:tcW w:w="3116" w:type="dxa"/>
          </w:tcPr>
          <w:p>
            <w:pPr>
              <w:pStyle w:val="TableParagraph"/>
              <w:spacing w:before="24"/>
              <w:ind w:left="64"/>
              <w:jc w:val="left"/>
              <w:rPr>
                <w:rFonts w:ascii="Times New Roman"/>
                <w:sz w:val="18"/>
              </w:rPr>
            </w:pPr>
            <w:r>
              <w:rPr>
                <w:rFonts w:ascii="Times New Roman"/>
                <w:sz w:val="18"/>
              </w:rPr>
              <w:t>Cero alternancias</w:t>
            </w:r>
          </w:p>
        </w:tc>
        <w:tc>
          <w:tcPr>
            <w:tcW w:w="1699" w:type="dxa"/>
          </w:tcPr>
          <w:p>
            <w:pPr>
              <w:pStyle w:val="TableParagraph"/>
              <w:spacing w:before="24"/>
              <w:ind w:left="74" w:right="74"/>
              <w:rPr>
                <w:rFonts w:ascii="Times New Roman"/>
                <w:sz w:val="18"/>
              </w:rPr>
            </w:pPr>
            <w:r>
              <w:rPr>
                <w:rFonts w:ascii="Times New Roman"/>
                <w:sz w:val="18"/>
              </w:rPr>
              <w:t>27</w:t>
            </w:r>
          </w:p>
        </w:tc>
      </w:tr>
      <w:tr>
        <w:trPr>
          <w:trHeight w:val="288" w:hRule="exact"/>
        </w:trPr>
        <w:tc>
          <w:tcPr>
            <w:tcW w:w="3116" w:type="dxa"/>
          </w:tcPr>
          <w:p>
            <w:pPr>
              <w:pStyle w:val="TableParagraph"/>
              <w:spacing w:before="31"/>
              <w:ind w:left="64"/>
              <w:jc w:val="left"/>
              <w:rPr>
                <w:rFonts w:ascii="Times New Roman"/>
                <w:sz w:val="18"/>
              </w:rPr>
            </w:pPr>
            <w:r>
              <w:rPr>
                <w:rFonts w:ascii="Times New Roman"/>
                <w:sz w:val="18"/>
              </w:rPr>
              <w:t>Una alternancia</w:t>
            </w:r>
          </w:p>
        </w:tc>
        <w:tc>
          <w:tcPr>
            <w:tcW w:w="1699" w:type="dxa"/>
          </w:tcPr>
          <w:p>
            <w:pPr>
              <w:pStyle w:val="TableParagraph"/>
              <w:spacing w:before="31"/>
              <w:ind w:left="74" w:right="74"/>
              <w:rPr>
                <w:rFonts w:ascii="Times New Roman"/>
                <w:sz w:val="18"/>
              </w:rPr>
            </w:pPr>
            <w:r>
              <w:rPr>
                <w:rFonts w:ascii="Times New Roman"/>
                <w:sz w:val="18"/>
              </w:rPr>
              <w:t>69</w:t>
            </w:r>
          </w:p>
        </w:tc>
      </w:tr>
      <w:tr>
        <w:trPr>
          <w:trHeight w:val="507" w:hRule="exact"/>
        </w:trPr>
        <w:tc>
          <w:tcPr>
            <w:tcW w:w="3116" w:type="dxa"/>
          </w:tcPr>
          <w:p>
            <w:pPr>
              <w:pStyle w:val="TableParagraph"/>
              <w:spacing w:before="141"/>
              <w:ind w:left="64"/>
              <w:jc w:val="left"/>
              <w:rPr>
                <w:rFonts w:ascii="Times New Roman"/>
                <w:sz w:val="18"/>
              </w:rPr>
            </w:pPr>
            <w:r>
              <w:rPr>
                <w:rFonts w:ascii="Times New Roman"/>
                <w:sz w:val="18"/>
              </w:rPr>
              <w:t>Dos alternancias</w:t>
            </w:r>
          </w:p>
        </w:tc>
        <w:tc>
          <w:tcPr>
            <w:tcW w:w="1699" w:type="dxa"/>
          </w:tcPr>
          <w:p>
            <w:pPr>
              <w:pStyle w:val="TableParagraph"/>
              <w:spacing w:before="141"/>
              <w:ind w:left="74" w:right="74"/>
              <w:rPr>
                <w:rFonts w:ascii="Times New Roman"/>
                <w:sz w:val="18"/>
              </w:rPr>
            </w:pPr>
            <w:r>
              <w:rPr>
                <w:rFonts w:ascii="Times New Roman"/>
                <w:sz w:val="18"/>
              </w:rPr>
              <w:t>29</w:t>
            </w:r>
          </w:p>
        </w:tc>
      </w:tr>
    </w:tbl>
    <w:p>
      <w:pPr>
        <w:pStyle w:val="BodyText"/>
        <w:spacing w:before="3"/>
        <w:rPr>
          <w:sz w:val="6"/>
        </w:rPr>
      </w:pPr>
    </w:p>
    <w:p>
      <w:pPr>
        <w:spacing w:before="80"/>
        <w:ind w:left="2182" w:right="1112" w:firstLine="0"/>
        <w:jc w:val="left"/>
        <w:rPr>
          <w:sz w:val="16"/>
        </w:rPr>
      </w:pPr>
      <w:r>
        <w:rPr>
          <w:sz w:val="16"/>
        </w:rPr>
        <w:t>Fuente: Elaboración propia con datos del IEEM.</w:t>
      </w:r>
    </w:p>
    <w:p>
      <w:pPr>
        <w:pStyle w:val="BodyText"/>
        <w:rPr>
          <w:sz w:val="20"/>
        </w:rPr>
      </w:pPr>
    </w:p>
    <w:p>
      <w:pPr>
        <w:pStyle w:val="BodyText"/>
        <w:rPr>
          <w:sz w:val="20"/>
        </w:rPr>
      </w:pPr>
    </w:p>
    <w:p>
      <w:pPr>
        <w:pStyle w:val="BodyText"/>
        <w:spacing w:before="4"/>
        <w:rPr>
          <w:sz w:val="17"/>
        </w:rPr>
      </w:pPr>
    </w:p>
    <w:p>
      <w:pPr>
        <w:pStyle w:val="BodyText"/>
        <w:spacing w:line="360" w:lineRule="auto" w:before="70"/>
        <w:ind w:left="102" w:right="1112"/>
      </w:pPr>
      <w:r>
        <w:rPr/>
        <w:t>La tabla anterior hace referencia al número de alternancias que han tenido los municipios mexiquenses de 1990 al 2015, explicando que en cero alternancias  27</w:t>
      </w:r>
    </w:p>
    <w:p>
      <w:pPr>
        <w:spacing w:after="0" w:line="360" w:lineRule="auto"/>
        <w:sectPr>
          <w:pgSz w:w="12240" w:h="15840"/>
          <w:pgMar w:header="0" w:footer="975" w:top="1500" w:bottom="1220" w:left="1600" w:right="0"/>
        </w:sectPr>
      </w:pPr>
    </w:p>
    <w:p>
      <w:pPr>
        <w:pStyle w:val="BodyText"/>
        <w:spacing w:line="362" w:lineRule="auto" w:before="54"/>
        <w:ind w:left="102"/>
      </w:pPr>
      <w:r>
        <w:rPr/>
        <w:t>municipios corresponden a esta variable, 69 municipios tienen una alternancia y 29 municipios con dos alternancias en estos últimos años.</w:t>
      </w:r>
    </w:p>
    <w:p>
      <w:pPr>
        <w:pStyle w:val="BodyText"/>
        <w:rPr>
          <w:sz w:val="20"/>
        </w:rPr>
      </w:pPr>
    </w:p>
    <w:p>
      <w:pPr>
        <w:pStyle w:val="BodyText"/>
        <w:rPr>
          <w:sz w:val="20"/>
        </w:rPr>
      </w:pPr>
    </w:p>
    <w:p>
      <w:pPr>
        <w:pStyle w:val="BodyText"/>
      </w:pPr>
    </w:p>
    <w:tbl>
      <w:tblPr>
        <w:tblW w:w="0" w:type="auto"/>
        <w:jc w:val="left"/>
        <w:tblInd w:w="20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38"/>
        <w:gridCol w:w="2696"/>
      </w:tblGrid>
      <w:tr>
        <w:trPr>
          <w:trHeight w:val="326" w:hRule="exact"/>
        </w:trPr>
        <w:tc>
          <w:tcPr>
            <w:tcW w:w="5034" w:type="dxa"/>
            <w:gridSpan w:val="2"/>
            <w:shd w:val="clear" w:color="auto" w:fill="92D050"/>
          </w:tcPr>
          <w:p>
            <w:pPr>
              <w:pStyle w:val="TableParagraph"/>
              <w:spacing w:before="81"/>
              <w:ind w:left="64"/>
              <w:jc w:val="left"/>
              <w:rPr>
                <w:b/>
                <w:sz w:val="20"/>
              </w:rPr>
            </w:pPr>
            <w:r>
              <w:rPr>
                <w:b/>
                <w:sz w:val="20"/>
              </w:rPr>
              <w:t>Tabla 1.9 Número de partidos que han gobernado</w:t>
            </w:r>
          </w:p>
        </w:tc>
      </w:tr>
      <w:tr>
        <w:trPr>
          <w:trHeight w:val="324" w:hRule="exact"/>
        </w:trPr>
        <w:tc>
          <w:tcPr>
            <w:tcW w:w="2338" w:type="dxa"/>
          </w:tcPr>
          <w:p>
            <w:pPr>
              <w:pStyle w:val="TableParagraph"/>
              <w:spacing w:before="48"/>
              <w:ind w:left="983" w:right="983"/>
              <w:rPr>
                <w:rFonts w:ascii="Times New Roman"/>
                <w:sz w:val="18"/>
              </w:rPr>
            </w:pPr>
            <w:r>
              <w:rPr>
                <w:rFonts w:ascii="Times New Roman"/>
                <w:sz w:val="18"/>
              </w:rPr>
              <w:t>Uno</w:t>
            </w:r>
          </w:p>
        </w:tc>
        <w:tc>
          <w:tcPr>
            <w:tcW w:w="2696" w:type="dxa"/>
          </w:tcPr>
          <w:p>
            <w:pPr>
              <w:pStyle w:val="TableParagraph"/>
              <w:spacing w:before="48"/>
              <w:ind w:left="1232" w:right="1233"/>
              <w:rPr>
                <w:rFonts w:ascii="Times New Roman"/>
                <w:sz w:val="18"/>
              </w:rPr>
            </w:pPr>
            <w:r>
              <w:rPr>
                <w:rFonts w:ascii="Times New Roman"/>
                <w:sz w:val="18"/>
              </w:rPr>
              <w:t>31</w:t>
            </w:r>
          </w:p>
        </w:tc>
      </w:tr>
      <w:tr>
        <w:trPr>
          <w:trHeight w:val="324" w:hRule="exact"/>
        </w:trPr>
        <w:tc>
          <w:tcPr>
            <w:tcW w:w="2338" w:type="dxa"/>
          </w:tcPr>
          <w:p>
            <w:pPr>
              <w:pStyle w:val="TableParagraph"/>
              <w:spacing w:before="50"/>
              <w:ind w:left="983" w:right="984"/>
              <w:rPr>
                <w:rFonts w:ascii="Times New Roman"/>
                <w:sz w:val="18"/>
              </w:rPr>
            </w:pPr>
            <w:r>
              <w:rPr>
                <w:rFonts w:ascii="Times New Roman"/>
                <w:sz w:val="18"/>
              </w:rPr>
              <w:t>Dos</w:t>
            </w:r>
          </w:p>
        </w:tc>
        <w:tc>
          <w:tcPr>
            <w:tcW w:w="2696" w:type="dxa"/>
          </w:tcPr>
          <w:p>
            <w:pPr>
              <w:pStyle w:val="TableParagraph"/>
              <w:spacing w:before="50"/>
              <w:ind w:left="1232" w:right="1233"/>
              <w:rPr>
                <w:rFonts w:ascii="Times New Roman"/>
                <w:sz w:val="18"/>
              </w:rPr>
            </w:pPr>
            <w:r>
              <w:rPr>
                <w:rFonts w:ascii="Times New Roman"/>
                <w:sz w:val="18"/>
              </w:rPr>
              <w:t>85</w:t>
            </w:r>
          </w:p>
        </w:tc>
      </w:tr>
      <w:tr>
        <w:trPr>
          <w:trHeight w:val="326" w:hRule="exact"/>
        </w:trPr>
        <w:tc>
          <w:tcPr>
            <w:tcW w:w="2338" w:type="dxa"/>
          </w:tcPr>
          <w:p>
            <w:pPr>
              <w:pStyle w:val="TableParagraph"/>
              <w:spacing w:before="50"/>
              <w:ind w:left="983" w:right="984"/>
              <w:rPr>
                <w:rFonts w:ascii="Times New Roman"/>
                <w:sz w:val="18"/>
              </w:rPr>
            </w:pPr>
            <w:r>
              <w:rPr>
                <w:rFonts w:ascii="Times New Roman"/>
                <w:sz w:val="18"/>
              </w:rPr>
              <w:t>Tres</w:t>
            </w:r>
          </w:p>
        </w:tc>
        <w:tc>
          <w:tcPr>
            <w:tcW w:w="2696" w:type="dxa"/>
          </w:tcPr>
          <w:p>
            <w:pPr>
              <w:pStyle w:val="TableParagraph"/>
              <w:spacing w:before="50"/>
              <w:ind w:right="1"/>
              <w:rPr>
                <w:rFonts w:ascii="Times New Roman"/>
                <w:sz w:val="18"/>
              </w:rPr>
            </w:pPr>
            <w:r>
              <w:rPr>
                <w:rFonts w:ascii="Times New Roman"/>
                <w:sz w:val="18"/>
              </w:rPr>
              <w:t>9</w:t>
            </w:r>
          </w:p>
        </w:tc>
      </w:tr>
    </w:tbl>
    <w:p>
      <w:pPr>
        <w:spacing w:before="54"/>
        <w:ind w:left="2074" w:right="0" w:firstLine="0"/>
        <w:jc w:val="left"/>
        <w:rPr>
          <w:sz w:val="18"/>
        </w:rPr>
      </w:pPr>
      <w:r>
        <w:rPr>
          <w:sz w:val="18"/>
        </w:rPr>
        <w:t>Fuente: Elaboración propia con datos del IEEM</w:t>
      </w:r>
    </w:p>
    <w:p>
      <w:pPr>
        <w:pStyle w:val="BodyText"/>
        <w:rPr>
          <w:sz w:val="20"/>
        </w:rPr>
      </w:pPr>
    </w:p>
    <w:p>
      <w:pPr>
        <w:pStyle w:val="BodyText"/>
        <w:spacing w:before="4"/>
        <w:rPr>
          <w:sz w:val="28"/>
        </w:rPr>
      </w:pPr>
    </w:p>
    <w:p>
      <w:pPr>
        <w:pStyle w:val="BodyText"/>
        <w:spacing w:line="360" w:lineRule="auto" w:before="69"/>
        <w:ind w:left="102" w:right="119"/>
        <w:jc w:val="both"/>
      </w:pPr>
      <w:r>
        <w:rPr/>
        <w:t>Se</w:t>
      </w:r>
      <w:r>
        <w:rPr>
          <w:spacing w:val="-4"/>
        </w:rPr>
        <w:t> </w:t>
      </w:r>
      <w:r>
        <w:rPr/>
        <w:t>puede</w:t>
      </w:r>
      <w:r>
        <w:rPr>
          <w:spacing w:val="-4"/>
        </w:rPr>
        <w:t> </w:t>
      </w:r>
      <w:r>
        <w:rPr/>
        <w:t>observar</w:t>
      </w:r>
      <w:r>
        <w:rPr>
          <w:spacing w:val="-5"/>
        </w:rPr>
        <w:t> </w:t>
      </w:r>
      <w:r>
        <w:rPr/>
        <w:t>en</w:t>
      </w:r>
      <w:r>
        <w:rPr>
          <w:spacing w:val="-6"/>
        </w:rPr>
        <w:t> </w:t>
      </w:r>
      <w:r>
        <w:rPr/>
        <w:t>la</w:t>
      </w:r>
      <w:r>
        <w:rPr>
          <w:spacing w:val="-4"/>
        </w:rPr>
        <w:t> </w:t>
      </w:r>
      <w:r>
        <w:rPr/>
        <w:t>tabla</w:t>
      </w:r>
      <w:r>
        <w:rPr>
          <w:spacing w:val="-6"/>
        </w:rPr>
        <w:t> </w:t>
      </w:r>
      <w:r>
        <w:rPr/>
        <w:t>1.9</w:t>
      </w:r>
      <w:r>
        <w:rPr>
          <w:spacing w:val="-4"/>
        </w:rPr>
        <w:t> </w:t>
      </w:r>
      <w:r>
        <w:rPr/>
        <w:t>el</w:t>
      </w:r>
      <w:r>
        <w:rPr>
          <w:spacing w:val="-7"/>
        </w:rPr>
        <w:t> </w:t>
      </w:r>
      <w:r>
        <w:rPr/>
        <w:t>número</w:t>
      </w:r>
      <w:r>
        <w:rPr>
          <w:spacing w:val="-7"/>
        </w:rPr>
        <w:t> </w:t>
      </w:r>
      <w:r>
        <w:rPr/>
        <w:t>de</w:t>
      </w:r>
      <w:r>
        <w:rPr>
          <w:spacing w:val="-4"/>
        </w:rPr>
        <w:t> </w:t>
      </w:r>
      <w:r>
        <w:rPr/>
        <w:t>partidos</w:t>
      </w:r>
      <w:r>
        <w:rPr>
          <w:spacing w:val="-4"/>
        </w:rPr>
        <w:t> </w:t>
      </w:r>
      <w:r>
        <w:rPr/>
        <w:t>que</w:t>
      </w:r>
      <w:r>
        <w:rPr>
          <w:spacing w:val="-6"/>
        </w:rPr>
        <w:t> </w:t>
      </w:r>
      <w:r>
        <w:rPr/>
        <w:t>han</w:t>
      </w:r>
      <w:r>
        <w:rPr>
          <w:spacing w:val="-4"/>
        </w:rPr>
        <w:t> </w:t>
      </w:r>
      <w:r>
        <w:rPr/>
        <w:t>gobernado,</w:t>
      </w:r>
      <w:r>
        <w:rPr>
          <w:spacing w:val="-6"/>
        </w:rPr>
        <w:t> </w:t>
      </w:r>
      <w:r>
        <w:rPr/>
        <w:t>en</w:t>
      </w:r>
      <w:r>
        <w:rPr>
          <w:spacing w:val="-6"/>
        </w:rPr>
        <w:t> </w:t>
      </w:r>
      <w:r>
        <w:rPr/>
        <w:t>31 municipios solo ha gobernado un solo partido, en 85 municipios se menciona que dos partidos políticos lo han gobernado y 9 municipios han sido gobernados por 3 partidos</w:t>
      </w:r>
      <w:r>
        <w:rPr>
          <w:spacing w:val="-7"/>
        </w:rPr>
        <w:t> </w:t>
      </w:r>
      <w:r>
        <w:rPr/>
        <w:t>políticos.</w:t>
      </w:r>
    </w:p>
    <w:p>
      <w:pPr>
        <w:pStyle w:val="BodyText"/>
        <w:rPr>
          <w:sz w:val="20"/>
        </w:rPr>
      </w:pPr>
    </w:p>
    <w:p>
      <w:pPr>
        <w:pStyle w:val="BodyText"/>
        <w:rPr>
          <w:sz w:val="20"/>
        </w:rPr>
      </w:pPr>
    </w:p>
    <w:p>
      <w:pPr>
        <w:pStyle w:val="BodyText"/>
        <w:spacing w:before="3"/>
      </w:pPr>
    </w:p>
    <w:tbl>
      <w:tblPr>
        <w:tblW w:w="0" w:type="auto"/>
        <w:jc w:val="left"/>
        <w:tblInd w:w="1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49"/>
        <w:gridCol w:w="2693"/>
      </w:tblGrid>
      <w:tr>
        <w:trPr>
          <w:trHeight w:val="547" w:hRule="exact"/>
        </w:trPr>
        <w:tc>
          <w:tcPr>
            <w:tcW w:w="5742" w:type="dxa"/>
            <w:gridSpan w:val="2"/>
            <w:shd w:val="clear" w:color="auto" w:fill="92D050"/>
          </w:tcPr>
          <w:p>
            <w:pPr>
              <w:pStyle w:val="TableParagraph"/>
              <w:ind w:left="2366" w:right="360" w:hanging="1993"/>
              <w:jc w:val="left"/>
              <w:rPr>
                <w:rFonts w:ascii="Calibri" w:hAnsi="Calibri"/>
                <w:b/>
                <w:sz w:val="22"/>
              </w:rPr>
            </w:pPr>
            <w:r>
              <w:rPr>
                <w:rFonts w:ascii="Calibri" w:hAnsi="Calibri"/>
                <w:b/>
                <w:sz w:val="22"/>
              </w:rPr>
              <w:t>Tabla 1. 10 Número de alternancias que han tenido los municipios</w:t>
            </w:r>
          </w:p>
        </w:tc>
      </w:tr>
      <w:tr>
        <w:trPr>
          <w:trHeight w:val="310" w:hRule="exact"/>
        </w:trPr>
        <w:tc>
          <w:tcPr>
            <w:tcW w:w="3049" w:type="dxa"/>
            <w:shd w:val="clear" w:color="auto" w:fill="92D050"/>
          </w:tcPr>
          <w:p>
            <w:pPr>
              <w:pStyle w:val="TableParagraph"/>
              <w:spacing w:before="28"/>
              <w:ind w:left="615" w:right="617"/>
              <w:rPr>
                <w:rFonts w:ascii="Calibri"/>
                <w:b/>
                <w:sz w:val="22"/>
              </w:rPr>
            </w:pPr>
            <w:r>
              <w:rPr>
                <w:rFonts w:ascii="Calibri"/>
                <w:b/>
                <w:sz w:val="22"/>
              </w:rPr>
              <w:t>No. de alternancias</w:t>
            </w:r>
          </w:p>
        </w:tc>
        <w:tc>
          <w:tcPr>
            <w:tcW w:w="2693" w:type="dxa"/>
            <w:shd w:val="clear" w:color="auto" w:fill="92D050"/>
          </w:tcPr>
          <w:p>
            <w:pPr>
              <w:pStyle w:val="TableParagraph"/>
              <w:spacing w:before="28"/>
              <w:ind w:left="493" w:right="492"/>
              <w:rPr>
                <w:rFonts w:ascii="Calibri"/>
                <w:b/>
                <w:sz w:val="22"/>
              </w:rPr>
            </w:pPr>
            <w:r>
              <w:rPr>
                <w:rFonts w:ascii="Calibri"/>
                <w:b/>
                <w:sz w:val="22"/>
              </w:rPr>
              <w:t>No. de Municipios</w:t>
            </w:r>
          </w:p>
        </w:tc>
      </w:tr>
      <w:tr>
        <w:trPr>
          <w:trHeight w:val="310" w:hRule="exact"/>
        </w:trPr>
        <w:tc>
          <w:tcPr>
            <w:tcW w:w="3049" w:type="dxa"/>
          </w:tcPr>
          <w:p>
            <w:pPr>
              <w:pStyle w:val="TableParagraph"/>
              <w:spacing w:before="31"/>
              <w:rPr>
                <w:rFonts w:ascii="Calibri"/>
                <w:sz w:val="22"/>
              </w:rPr>
            </w:pPr>
            <w:r>
              <w:rPr>
                <w:rFonts w:ascii="Calibri"/>
                <w:w w:val="100"/>
                <w:sz w:val="22"/>
              </w:rPr>
              <w:t>0</w:t>
            </w:r>
          </w:p>
        </w:tc>
        <w:tc>
          <w:tcPr>
            <w:tcW w:w="2693" w:type="dxa"/>
          </w:tcPr>
          <w:p>
            <w:pPr>
              <w:pStyle w:val="TableParagraph"/>
              <w:spacing w:before="31"/>
              <w:ind w:left="1"/>
              <w:rPr>
                <w:rFonts w:ascii="Calibri"/>
                <w:sz w:val="22"/>
              </w:rPr>
            </w:pPr>
            <w:r>
              <w:rPr>
                <w:rFonts w:ascii="Calibri"/>
                <w:w w:val="100"/>
                <w:sz w:val="22"/>
              </w:rPr>
              <w:t>7</w:t>
            </w:r>
          </w:p>
        </w:tc>
      </w:tr>
      <w:tr>
        <w:trPr>
          <w:trHeight w:val="312" w:hRule="exact"/>
        </w:trPr>
        <w:tc>
          <w:tcPr>
            <w:tcW w:w="3049" w:type="dxa"/>
          </w:tcPr>
          <w:p>
            <w:pPr>
              <w:pStyle w:val="TableParagraph"/>
              <w:spacing w:before="30"/>
              <w:rPr>
                <w:rFonts w:ascii="Calibri"/>
                <w:sz w:val="22"/>
              </w:rPr>
            </w:pPr>
            <w:r>
              <w:rPr>
                <w:rFonts w:ascii="Calibri"/>
                <w:w w:val="100"/>
                <w:sz w:val="22"/>
              </w:rPr>
              <w:t>1</w:t>
            </w:r>
          </w:p>
        </w:tc>
        <w:tc>
          <w:tcPr>
            <w:tcW w:w="2693" w:type="dxa"/>
          </w:tcPr>
          <w:p>
            <w:pPr>
              <w:pStyle w:val="TableParagraph"/>
              <w:spacing w:before="30"/>
              <w:ind w:left="1"/>
              <w:rPr>
                <w:rFonts w:ascii="Calibri"/>
                <w:sz w:val="22"/>
              </w:rPr>
            </w:pPr>
            <w:r>
              <w:rPr>
                <w:rFonts w:ascii="Calibri"/>
                <w:w w:val="100"/>
                <w:sz w:val="22"/>
              </w:rPr>
              <w:t>3</w:t>
            </w:r>
          </w:p>
        </w:tc>
      </w:tr>
      <w:tr>
        <w:trPr>
          <w:trHeight w:val="310" w:hRule="exact"/>
        </w:trPr>
        <w:tc>
          <w:tcPr>
            <w:tcW w:w="3049" w:type="dxa"/>
          </w:tcPr>
          <w:p>
            <w:pPr>
              <w:pStyle w:val="TableParagraph"/>
              <w:spacing w:before="28"/>
              <w:rPr>
                <w:rFonts w:ascii="Calibri"/>
                <w:b/>
                <w:sz w:val="22"/>
              </w:rPr>
            </w:pPr>
            <w:r>
              <w:rPr>
                <w:rFonts w:ascii="Calibri"/>
                <w:b/>
                <w:w w:val="100"/>
                <w:sz w:val="22"/>
              </w:rPr>
              <w:t>2</w:t>
            </w:r>
          </w:p>
        </w:tc>
        <w:tc>
          <w:tcPr>
            <w:tcW w:w="2693" w:type="dxa"/>
          </w:tcPr>
          <w:p>
            <w:pPr>
              <w:pStyle w:val="TableParagraph"/>
              <w:spacing w:before="28"/>
              <w:ind w:left="492" w:right="492"/>
              <w:rPr>
                <w:rFonts w:ascii="Calibri"/>
                <w:sz w:val="22"/>
              </w:rPr>
            </w:pPr>
            <w:r>
              <w:rPr>
                <w:rFonts w:ascii="Calibri"/>
                <w:sz w:val="22"/>
              </w:rPr>
              <w:t>50</w:t>
            </w:r>
          </w:p>
        </w:tc>
      </w:tr>
      <w:tr>
        <w:trPr>
          <w:trHeight w:val="310" w:hRule="exact"/>
        </w:trPr>
        <w:tc>
          <w:tcPr>
            <w:tcW w:w="3049" w:type="dxa"/>
          </w:tcPr>
          <w:p>
            <w:pPr>
              <w:pStyle w:val="TableParagraph"/>
              <w:spacing w:before="28"/>
              <w:rPr>
                <w:rFonts w:ascii="Calibri"/>
                <w:sz w:val="22"/>
              </w:rPr>
            </w:pPr>
            <w:r>
              <w:rPr>
                <w:rFonts w:ascii="Calibri"/>
                <w:w w:val="100"/>
                <w:sz w:val="22"/>
              </w:rPr>
              <w:t>3</w:t>
            </w:r>
          </w:p>
        </w:tc>
        <w:tc>
          <w:tcPr>
            <w:tcW w:w="2693" w:type="dxa"/>
          </w:tcPr>
          <w:p>
            <w:pPr>
              <w:pStyle w:val="TableParagraph"/>
              <w:spacing w:before="28"/>
              <w:ind w:left="492" w:right="492"/>
              <w:rPr>
                <w:rFonts w:ascii="Calibri"/>
                <w:sz w:val="22"/>
              </w:rPr>
            </w:pPr>
            <w:r>
              <w:rPr>
                <w:rFonts w:ascii="Calibri"/>
                <w:sz w:val="22"/>
              </w:rPr>
              <w:t>15</w:t>
            </w:r>
          </w:p>
        </w:tc>
      </w:tr>
      <w:tr>
        <w:trPr>
          <w:trHeight w:val="310" w:hRule="exact"/>
        </w:trPr>
        <w:tc>
          <w:tcPr>
            <w:tcW w:w="3049" w:type="dxa"/>
          </w:tcPr>
          <w:p>
            <w:pPr>
              <w:pStyle w:val="TableParagraph"/>
              <w:spacing w:before="28"/>
              <w:rPr>
                <w:rFonts w:ascii="Calibri"/>
                <w:sz w:val="22"/>
              </w:rPr>
            </w:pPr>
            <w:r>
              <w:rPr>
                <w:rFonts w:ascii="Calibri"/>
                <w:w w:val="100"/>
                <w:sz w:val="22"/>
              </w:rPr>
              <w:t>4</w:t>
            </w:r>
          </w:p>
        </w:tc>
        <w:tc>
          <w:tcPr>
            <w:tcW w:w="2693" w:type="dxa"/>
          </w:tcPr>
          <w:p>
            <w:pPr>
              <w:pStyle w:val="TableParagraph"/>
              <w:spacing w:before="28"/>
              <w:ind w:left="492" w:right="492"/>
              <w:rPr>
                <w:rFonts w:ascii="Calibri"/>
                <w:sz w:val="22"/>
              </w:rPr>
            </w:pPr>
            <w:r>
              <w:rPr>
                <w:rFonts w:ascii="Calibri"/>
                <w:sz w:val="22"/>
              </w:rPr>
              <w:t>30</w:t>
            </w:r>
          </w:p>
        </w:tc>
      </w:tr>
      <w:tr>
        <w:trPr>
          <w:trHeight w:val="310" w:hRule="exact"/>
        </w:trPr>
        <w:tc>
          <w:tcPr>
            <w:tcW w:w="3049" w:type="dxa"/>
          </w:tcPr>
          <w:p>
            <w:pPr>
              <w:pStyle w:val="TableParagraph"/>
              <w:spacing w:before="28"/>
              <w:rPr>
                <w:rFonts w:ascii="Calibri"/>
                <w:sz w:val="22"/>
              </w:rPr>
            </w:pPr>
            <w:r>
              <w:rPr>
                <w:rFonts w:ascii="Calibri"/>
                <w:w w:val="100"/>
                <w:sz w:val="22"/>
              </w:rPr>
              <w:t>5</w:t>
            </w:r>
          </w:p>
        </w:tc>
        <w:tc>
          <w:tcPr>
            <w:tcW w:w="2693" w:type="dxa"/>
          </w:tcPr>
          <w:p>
            <w:pPr>
              <w:pStyle w:val="TableParagraph"/>
              <w:spacing w:before="28"/>
              <w:ind w:left="492" w:right="492"/>
              <w:rPr>
                <w:rFonts w:ascii="Calibri"/>
                <w:sz w:val="22"/>
              </w:rPr>
            </w:pPr>
            <w:r>
              <w:rPr>
                <w:rFonts w:ascii="Calibri"/>
                <w:sz w:val="22"/>
              </w:rPr>
              <w:t>12</w:t>
            </w:r>
          </w:p>
        </w:tc>
      </w:tr>
      <w:tr>
        <w:trPr>
          <w:trHeight w:val="310" w:hRule="exact"/>
        </w:trPr>
        <w:tc>
          <w:tcPr>
            <w:tcW w:w="3049" w:type="dxa"/>
          </w:tcPr>
          <w:p>
            <w:pPr>
              <w:pStyle w:val="TableParagraph"/>
              <w:spacing w:before="30"/>
              <w:rPr>
                <w:rFonts w:ascii="Calibri"/>
                <w:b/>
                <w:sz w:val="22"/>
              </w:rPr>
            </w:pPr>
            <w:r>
              <w:rPr>
                <w:rFonts w:ascii="Calibri"/>
                <w:b/>
                <w:w w:val="100"/>
                <w:sz w:val="22"/>
              </w:rPr>
              <w:t>6</w:t>
            </w:r>
          </w:p>
        </w:tc>
        <w:tc>
          <w:tcPr>
            <w:tcW w:w="2693" w:type="dxa"/>
          </w:tcPr>
          <w:p>
            <w:pPr>
              <w:pStyle w:val="TableParagraph"/>
              <w:spacing w:before="30"/>
              <w:ind w:left="1"/>
              <w:rPr>
                <w:rFonts w:ascii="Calibri"/>
                <w:sz w:val="22"/>
              </w:rPr>
            </w:pPr>
            <w:r>
              <w:rPr>
                <w:rFonts w:ascii="Calibri"/>
                <w:w w:val="100"/>
                <w:sz w:val="22"/>
              </w:rPr>
              <w:t>5</w:t>
            </w:r>
          </w:p>
        </w:tc>
      </w:tr>
      <w:tr>
        <w:trPr>
          <w:trHeight w:val="312" w:hRule="exact"/>
        </w:trPr>
        <w:tc>
          <w:tcPr>
            <w:tcW w:w="3049" w:type="dxa"/>
          </w:tcPr>
          <w:p>
            <w:pPr>
              <w:pStyle w:val="TableParagraph"/>
              <w:spacing w:before="30"/>
              <w:rPr>
                <w:rFonts w:ascii="Calibri"/>
                <w:sz w:val="22"/>
              </w:rPr>
            </w:pPr>
            <w:r>
              <w:rPr>
                <w:rFonts w:ascii="Calibri"/>
                <w:w w:val="100"/>
                <w:sz w:val="22"/>
              </w:rPr>
              <w:t>7</w:t>
            </w:r>
          </w:p>
        </w:tc>
        <w:tc>
          <w:tcPr>
            <w:tcW w:w="2693" w:type="dxa"/>
          </w:tcPr>
          <w:p>
            <w:pPr>
              <w:pStyle w:val="TableParagraph"/>
              <w:spacing w:before="30"/>
              <w:ind w:left="1"/>
              <w:rPr>
                <w:rFonts w:ascii="Calibri"/>
                <w:sz w:val="22"/>
              </w:rPr>
            </w:pPr>
            <w:r>
              <w:rPr>
                <w:rFonts w:ascii="Calibri"/>
                <w:w w:val="100"/>
                <w:sz w:val="22"/>
              </w:rPr>
              <w:t>1</w:t>
            </w:r>
          </w:p>
        </w:tc>
      </w:tr>
      <w:tr>
        <w:trPr>
          <w:trHeight w:val="310" w:hRule="exact"/>
        </w:trPr>
        <w:tc>
          <w:tcPr>
            <w:tcW w:w="3049" w:type="dxa"/>
          </w:tcPr>
          <w:p>
            <w:pPr>
              <w:pStyle w:val="TableParagraph"/>
              <w:spacing w:before="28"/>
              <w:rPr>
                <w:rFonts w:ascii="Calibri"/>
                <w:sz w:val="22"/>
              </w:rPr>
            </w:pPr>
            <w:r>
              <w:rPr>
                <w:rFonts w:ascii="Calibri"/>
                <w:w w:val="100"/>
                <w:sz w:val="22"/>
              </w:rPr>
              <w:t>8</w:t>
            </w:r>
          </w:p>
        </w:tc>
        <w:tc>
          <w:tcPr>
            <w:tcW w:w="2693" w:type="dxa"/>
          </w:tcPr>
          <w:p>
            <w:pPr>
              <w:pStyle w:val="TableParagraph"/>
              <w:spacing w:before="28"/>
              <w:ind w:left="1"/>
              <w:rPr>
                <w:rFonts w:ascii="Calibri"/>
                <w:sz w:val="22"/>
              </w:rPr>
            </w:pPr>
            <w:r>
              <w:rPr>
                <w:rFonts w:ascii="Calibri"/>
                <w:w w:val="100"/>
                <w:sz w:val="22"/>
              </w:rPr>
              <w:t>2</w:t>
            </w:r>
          </w:p>
        </w:tc>
      </w:tr>
    </w:tbl>
    <w:p>
      <w:pPr>
        <w:spacing w:before="28"/>
        <w:ind w:left="1719" w:right="0" w:firstLine="0"/>
        <w:jc w:val="left"/>
        <w:rPr>
          <w:rFonts w:ascii="Calibri" w:hAnsi="Calibri"/>
          <w:sz w:val="22"/>
        </w:rPr>
      </w:pPr>
      <w:r>
        <w:rPr>
          <w:rFonts w:ascii="Calibri" w:hAnsi="Calibri"/>
          <w:sz w:val="22"/>
        </w:rPr>
        <w:t>Fuente: Elaboración propia.</w:t>
      </w:r>
    </w:p>
    <w:p>
      <w:pPr>
        <w:pStyle w:val="BodyText"/>
        <w:rPr>
          <w:rFonts w:ascii="Calibri"/>
          <w:sz w:val="20"/>
        </w:rPr>
      </w:pPr>
    </w:p>
    <w:p>
      <w:pPr>
        <w:pStyle w:val="BodyText"/>
        <w:spacing w:before="5"/>
        <w:rPr>
          <w:rFonts w:ascii="Calibri"/>
          <w:sz w:val="21"/>
        </w:rPr>
      </w:pPr>
    </w:p>
    <w:p>
      <w:pPr>
        <w:pStyle w:val="BodyText"/>
        <w:spacing w:line="259" w:lineRule="auto" w:before="70"/>
        <w:ind w:left="102" w:right="116"/>
        <w:jc w:val="both"/>
      </w:pPr>
      <w:r>
        <w:rPr/>
        <w:t>En esta tabla se muestra cómo solamente en siete municipios no ha habido alternancias. En cincuenta hubo al menos 2, en 30 municipios 4 alternancias y 15 municipios más de 3. El resto de los municipios han tenido mucha inestabilidad política, ya que tuvieron más de cinco alternancias.</w:t>
      </w:r>
    </w:p>
    <w:p>
      <w:pPr>
        <w:spacing w:after="0" w:line="259" w:lineRule="auto"/>
        <w:jc w:val="both"/>
        <w:sectPr>
          <w:pgSz w:w="12240" w:h="15840"/>
          <w:pgMar w:header="0" w:footer="975" w:top="1360" w:bottom="1220" w:left="1600" w:right="1580"/>
        </w:sectPr>
      </w:pPr>
    </w:p>
    <w:tbl>
      <w:tblPr>
        <w:tblW w:w="0" w:type="auto"/>
        <w:jc w:val="left"/>
        <w:tblInd w:w="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89"/>
        <w:gridCol w:w="734"/>
        <w:gridCol w:w="697"/>
        <w:gridCol w:w="694"/>
        <w:gridCol w:w="1034"/>
        <w:gridCol w:w="1198"/>
        <w:gridCol w:w="1094"/>
        <w:gridCol w:w="1397"/>
      </w:tblGrid>
      <w:tr>
        <w:trPr>
          <w:trHeight w:val="546" w:hRule="exact"/>
        </w:trPr>
        <w:tc>
          <w:tcPr>
            <w:tcW w:w="7538" w:type="dxa"/>
            <w:gridSpan w:val="8"/>
            <w:shd w:val="clear" w:color="auto" w:fill="92D050"/>
          </w:tcPr>
          <w:p>
            <w:pPr>
              <w:pStyle w:val="TableParagraph"/>
              <w:spacing w:line="237" w:lineRule="auto"/>
              <w:ind w:left="2405" w:hanging="2228"/>
              <w:jc w:val="left"/>
              <w:rPr>
                <w:rFonts w:ascii="Calibri" w:hAnsi="Calibri"/>
                <w:b/>
                <w:sz w:val="22"/>
              </w:rPr>
            </w:pPr>
            <w:r>
              <w:rPr>
                <w:rFonts w:ascii="Calibri" w:hAnsi="Calibri"/>
                <w:b/>
                <w:sz w:val="22"/>
              </w:rPr>
              <w:t>Tabla 1.11. Porcentaje de municipios gobernados por pos los partidos políticos durante el periodo 1990-2015</w:t>
            </w:r>
          </w:p>
        </w:tc>
      </w:tr>
      <w:tr>
        <w:trPr>
          <w:trHeight w:val="312" w:hRule="exact"/>
        </w:trPr>
        <w:tc>
          <w:tcPr>
            <w:tcW w:w="689" w:type="dxa"/>
            <w:shd w:val="clear" w:color="auto" w:fill="92D050"/>
          </w:tcPr>
          <w:p>
            <w:pPr>
              <w:pStyle w:val="TableParagraph"/>
              <w:spacing w:before="27"/>
              <w:ind w:left="44" w:right="45"/>
              <w:rPr>
                <w:rFonts w:ascii="Calibri"/>
                <w:b/>
                <w:sz w:val="22"/>
              </w:rPr>
            </w:pPr>
            <w:r>
              <w:rPr>
                <w:rFonts w:ascii="Calibri"/>
                <w:b/>
                <w:sz w:val="22"/>
              </w:rPr>
              <w:t>1990</w:t>
            </w:r>
          </w:p>
        </w:tc>
        <w:tc>
          <w:tcPr>
            <w:tcW w:w="734" w:type="dxa"/>
            <w:shd w:val="clear" w:color="auto" w:fill="92D050"/>
          </w:tcPr>
          <w:p>
            <w:pPr>
              <w:pStyle w:val="TableParagraph"/>
              <w:spacing w:before="27"/>
              <w:ind w:left="69" w:right="68"/>
              <w:rPr>
                <w:rFonts w:ascii="Calibri"/>
                <w:b/>
                <w:sz w:val="22"/>
              </w:rPr>
            </w:pPr>
            <w:r>
              <w:rPr>
                <w:rFonts w:ascii="Calibri"/>
                <w:b/>
                <w:sz w:val="22"/>
              </w:rPr>
              <w:t>1993</w:t>
            </w:r>
          </w:p>
        </w:tc>
        <w:tc>
          <w:tcPr>
            <w:tcW w:w="697" w:type="dxa"/>
            <w:shd w:val="clear" w:color="auto" w:fill="92D050"/>
          </w:tcPr>
          <w:p>
            <w:pPr>
              <w:pStyle w:val="TableParagraph"/>
              <w:spacing w:before="27"/>
              <w:ind w:left="48" w:right="50"/>
              <w:rPr>
                <w:rFonts w:ascii="Calibri"/>
                <w:b/>
                <w:sz w:val="22"/>
              </w:rPr>
            </w:pPr>
            <w:r>
              <w:rPr>
                <w:rFonts w:ascii="Calibri"/>
                <w:b/>
                <w:sz w:val="22"/>
              </w:rPr>
              <w:t>1996</w:t>
            </w:r>
          </w:p>
        </w:tc>
        <w:tc>
          <w:tcPr>
            <w:tcW w:w="694" w:type="dxa"/>
            <w:shd w:val="clear" w:color="auto" w:fill="92D050"/>
          </w:tcPr>
          <w:p>
            <w:pPr>
              <w:pStyle w:val="TableParagraph"/>
              <w:spacing w:before="27"/>
              <w:ind w:left="47" w:right="48"/>
              <w:rPr>
                <w:rFonts w:ascii="Calibri"/>
                <w:b/>
                <w:sz w:val="22"/>
              </w:rPr>
            </w:pPr>
            <w:r>
              <w:rPr>
                <w:rFonts w:ascii="Calibri"/>
                <w:b/>
                <w:sz w:val="22"/>
              </w:rPr>
              <w:t>2000</w:t>
            </w:r>
          </w:p>
        </w:tc>
        <w:tc>
          <w:tcPr>
            <w:tcW w:w="1034" w:type="dxa"/>
            <w:shd w:val="clear" w:color="auto" w:fill="92D050"/>
          </w:tcPr>
          <w:p>
            <w:pPr>
              <w:pStyle w:val="TableParagraph"/>
              <w:spacing w:before="27"/>
              <w:ind w:left="217" w:right="218"/>
              <w:rPr>
                <w:rFonts w:ascii="Calibri"/>
                <w:b/>
                <w:sz w:val="22"/>
              </w:rPr>
            </w:pPr>
            <w:r>
              <w:rPr>
                <w:rFonts w:ascii="Calibri"/>
                <w:b/>
                <w:sz w:val="22"/>
              </w:rPr>
              <w:t>2003</w:t>
            </w:r>
          </w:p>
        </w:tc>
        <w:tc>
          <w:tcPr>
            <w:tcW w:w="1198" w:type="dxa"/>
            <w:shd w:val="clear" w:color="auto" w:fill="92D050"/>
          </w:tcPr>
          <w:p>
            <w:pPr>
              <w:pStyle w:val="TableParagraph"/>
              <w:spacing w:before="27"/>
              <w:ind w:left="300" w:right="301"/>
              <w:rPr>
                <w:rFonts w:ascii="Calibri"/>
                <w:b/>
                <w:sz w:val="22"/>
              </w:rPr>
            </w:pPr>
            <w:r>
              <w:rPr>
                <w:rFonts w:ascii="Calibri"/>
                <w:b/>
                <w:sz w:val="22"/>
              </w:rPr>
              <w:t>2006</w:t>
            </w:r>
          </w:p>
        </w:tc>
        <w:tc>
          <w:tcPr>
            <w:tcW w:w="1094" w:type="dxa"/>
            <w:shd w:val="clear" w:color="auto" w:fill="92D050"/>
          </w:tcPr>
          <w:p>
            <w:pPr>
              <w:pStyle w:val="TableParagraph"/>
              <w:spacing w:before="27"/>
              <w:ind w:left="249" w:right="248"/>
              <w:rPr>
                <w:rFonts w:ascii="Calibri"/>
                <w:b/>
                <w:sz w:val="22"/>
              </w:rPr>
            </w:pPr>
            <w:r>
              <w:rPr>
                <w:rFonts w:ascii="Calibri"/>
                <w:b/>
                <w:sz w:val="22"/>
              </w:rPr>
              <w:t>2009</w:t>
            </w:r>
          </w:p>
        </w:tc>
        <w:tc>
          <w:tcPr>
            <w:tcW w:w="1397" w:type="dxa"/>
            <w:shd w:val="clear" w:color="auto" w:fill="92D050"/>
          </w:tcPr>
          <w:p>
            <w:pPr>
              <w:pStyle w:val="TableParagraph"/>
              <w:spacing w:before="27"/>
              <w:ind w:right="470"/>
              <w:jc w:val="right"/>
              <w:rPr>
                <w:rFonts w:ascii="Calibri"/>
                <w:b/>
                <w:sz w:val="22"/>
              </w:rPr>
            </w:pPr>
            <w:r>
              <w:rPr>
                <w:rFonts w:ascii="Calibri"/>
                <w:b/>
                <w:sz w:val="22"/>
              </w:rPr>
              <w:t>2013</w:t>
            </w:r>
          </w:p>
        </w:tc>
      </w:tr>
      <w:tr>
        <w:trPr>
          <w:trHeight w:val="310" w:hRule="exact"/>
        </w:trPr>
        <w:tc>
          <w:tcPr>
            <w:tcW w:w="7538" w:type="dxa"/>
            <w:gridSpan w:val="8"/>
          </w:tcPr>
          <w:p>
            <w:pPr>
              <w:pStyle w:val="TableParagraph"/>
              <w:spacing w:before="25"/>
              <w:ind w:left="3007" w:right="3007"/>
              <w:rPr>
                <w:rFonts w:ascii="Calibri"/>
                <w:b/>
                <w:sz w:val="22"/>
              </w:rPr>
            </w:pPr>
            <w:r>
              <w:rPr>
                <w:rFonts w:ascii="Calibri"/>
                <w:b/>
                <w:sz w:val="22"/>
              </w:rPr>
              <w:t>PRI</w:t>
            </w:r>
          </w:p>
        </w:tc>
      </w:tr>
      <w:tr>
        <w:trPr>
          <w:trHeight w:val="310" w:hRule="exact"/>
        </w:trPr>
        <w:tc>
          <w:tcPr>
            <w:tcW w:w="689" w:type="dxa"/>
          </w:tcPr>
          <w:p>
            <w:pPr>
              <w:pStyle w:val="TableParagraph"/>
              <w:spacing w:before="25"/>
              <w:ind w:left="44" w:right="45"/>
              <w:rPr>
                <w:rFonts w:ascii="Calibri"/>
                <w:sz w:val="22"/>
              </w:rPr>
            </w:pPr>
            <w:r>
              <w:rPr>
                <w:rFonts w:ascii="Calibri"/>
                <w:sz w:val="22"/>
              </w:rPr>
              <w:t>116</w:t>
            </w:r>
          </w:p>
        </w:tc>
        <w:tc>
          <w:tcPr>
            <w:tcW w:w="734" w:type="dxa"/>
          </w:tcPr>
          <w:p>
            <w:pPr>
              <w:pStyle w:val="TableParagraph"/>
              <w:spacing w:before="25"/>
              <w:ind w:left="67" w:right="68"/>
              <w:rPr>
                <w:rFonts w:ascii="Calibri"/>
                <w:sz w:val="22"/>
              </w:rPr>
            </w:pPr>
            <w:r>
              <w:rPr>
                <w:rFonts w:ascii="Calibri"/>
                <w:sz w:val="22"/>
              </w:rPr>
              <w:t>103</w:t>
            </w:r>
          </w:p>
        </w:tc>
        <w:tc>
          <w:tcPr>
            <w:tcW w:w="697" w:type="dxa"/>
          </w:tcPr>
          <w:p>
            <w:pPr>
              <w:pStyle w:val="TableParagraph"/>
              <w:spacing w:before="25"/>
              <w:ind w:left="49" w:right="49"/>
              <w:rPr>
                <w:rFonts w:ascii="Calibri"/>
                <w:sz w:val="22"/>
              </w:rPr>
            </w:pPr>
            <w:r>
              <w:rPr>
                <w:rFonts w:ascii="Calibri"/>
                <w:sz w:val="22"/>
              </w:rPr>
              <w:t>73</w:t>
            </w:r>
          </w:p>
        </w:tc>
        <w:tc>
          <w:tcPr>
            <w:tcW w:w="694" w:type="dxa"/>
          </w:tcPr>
          <w:p>
            <w:pPr>
              <w:pStyle w:val="TableParagraph"/>
              <w:spacing w:before="25"/>
              <w:ind w:left="48" w:right="46"/>
              <w:rPr>
                <w:rFonts w:ascii="Calibri"/>
                <w:sz w:val="22"/>
              </w:rPr>
            </w:pPr>
            <w:r>
              <w:rPr>
                <w:rFonts w:ascii="Calibri"/>
                <w:sz w:val="22"/>
              </w:rPr>
              <w:t>69</w:t>
            </w:r>
          </w:p>
        </w:tc>
        <w:tc>
          <w:tcPr>
            <w:tcW w:w="1034" w:type="dxa"/>
          </w:tcPr>
          <w:p>
            <w:pPr>
              <w:pStyle w:val="TableParagraph"/>
              <w:spacing w:before="25"/>
              <w:ind w:left="218" w:right="216"/>
              <w:rPr>
                <w:rFonts w:ascii="Calibri"/>
                <w:sz w:val="22"/>
              </w:rPr>
            </w:pPr>
            <w:r>
              <w:rPr>
                <w:rFonts w:ascii="Calibri"/>
                <w:sz w:val="22"/>
              </w:rPr>
              <w:t>68</w:t>
            </w:r>
          </w:p>
        </w:tc>
        <w:tc>
          <w:tcPr>
            <w:tcW w:w="1198" w:type="dxa"/>
          </w:tcPr>
          <w:p>
            <w:pPr>
              <w:pStyle w:val="TableParagraph"/>
              <w:spacing w:before="25"/>
              <w:ind w:left="300" w:right="300"/>
              <w:rPr>
                <w:rFonts w:ascii="Calibri"/>
                <w:sz w:val="22"/>
              </w:rPr>
            </w:pPr>
            <w:r>
              <w:rPr>
                <w:rFonts w:ascii="Calibri"/>
                <w:sz w:val="22"/>
              </w:rPr>
              <w:t>55</w:t>
            </w:r>
          </w:p>
        </w:tc>
        <w:tc>
          <w:tcPr>
            <w:tcW w:w="1094" w:type="dxa"/>
          </w:tcPr>
          <w:p>
            <w:pPr>
              <w:pStyle w:val="TableParagraph"/>
              <w:spacing w:before="25"/>
              <w:ind w:left="248" w:right="248"/>
              <w:rPr>
                <w:rFonts w:ascii="Calibri"/>
                <w:sz w:val="22"/>
              </w:rPr>
            </w:pPr>
            <w:r>
              <w:rPr>
                <w:rFonts w:ascii="Calibri"/>
                <w:sz w:val="22"/>
              </w:rPr>
              <w:t>97</w:t>
            </w:r>
          </w:p>
        </w:tc>
        <w:tc>
          <w:tcPr>
            <w:tcW w:w="1397" w:type="dxa"/>
          </w:tcPr>
          <w:p>
            <w:pPr>
              <w:pStyle w:val="TableParagraph"/>
              <w:spacing w:before="25"/>
              <w:ind w:left="562" w:right="562"/>
              <w:rPr>
                <w:rFonts w:ascii="Calibri"/>
                <w:sz w:val="22"/>
              </w:rPr>
            </w:pPr>
            <w:r>
              <w:rPr>
                <w:rFonts w:ascii="Calibri"/>
                <w:sz w:val="22"/>
              </w:rPr>
              <w:t>94</w:t>
            </w:r>
          </w:p>
        </w:tc>
      </w:tr>
      <w:tr>
        <w:trPr>
          <w:trHeight w:val="310" w:hRule="exact"/>
        </w:trPr>
        <w:tc>
          <w:tcPr>
            <w:tcW w:w="689" w:type="dxa"/>
          </w:tcPr>
          <w:p>
            <w:pPr>
              <w:pStyle w:val="TableParagraph"/>
              <w:spacing w:before="25"/>
              <w:ind w:left="45" w:right="45"/>
              <w:rPr>
                <w:rFonts w:ascii="Calibri"/>
                <w:sz w:val="22"/>
              </w:rPr>
            </w:pPr>
            <w:r>
              <w:rPr>
                <w:rFonts w:ascii="Calibri"/>
                <w:sz w:val="22"/>
              </w:rPr>
              <w:t>95.9%</w:t>
            </w:r>
          </w:p>
        </w:tc>
        <w:tc>
          <w:tcPr>
            <w:tcW w:w="734" w:type="dxa"/>
          </w:tcPr>
          <w:p>
            <w:pPr>
              <w:pStyle w:val="TableParagraph"/>
              <w:spacing w:before="25"/>
              <w:ind w:left="69" w:right="68"/>
              <w:rPr>
                <w:rFonts w:ascii="Calibri"/>
                <w:sz w:val="22"/>
              </w:rPr>
            </w:pPr>
            <w:r>
              <w:rPr>
                <w:rFonts w:ascii="Calibri"/>
                <w:sz w:val="22"/>
              </w:rPr>
              <w:t>85.1%</w:t>
            </w:r>
          </w:p>
        </w:tc>
        <w:tc>
          <w:tcPr>
            <w:tcW w:w="697" w:type="dxa"/>
          </w:tcPr>
          <w:p>
            <w:pPr>
              <w:pStyle w:val="TableParagraph"/>
              <w:spacing w:before="25"/>
              <w:ind w:left="49" w:right="50"/>
              <w:rPr>
                <w:rFonts w:ascii="Calibri"/>
                <w:sz w:val="22"/>
              </w:rPr>
            </w:pPr>
            <w:r>
              <w:rPr>
                <w:rFonts w:ascii="Calibri"/>
                <w:sz w:val="22"/>
              </w:rPr>
              <w:t>59.8%</w:t>
            </w:r>
          </w:p>
        </w:tc>
        <w:tc>
          <w:tcPr>
            <w:tcW w:w="694" w:type="dxa"/>
          </w:tcPr>
          <w:p>
            <w:pPr>
              <w:pStyle w:val="TableParagraph"/>
              <w:spacing w:before="25"/>
              <w:ind w:left="48" w:right="48"/>
              <w:rPr>
                <w:rFonts w:ascii="Calibri"/>
                <w:sz w:val="22"/>
              </w:rPr>
            </w:pPr>
            <w:r>
              <w:rPr>
                <w:rFonts w:ascii="Calibri"/>
                <w:sz w:val="22"/>
              </w:rPr>
              <w:t>56.6%</w:t>
            </w:r>
          </w:p>
        </w:tc>
        <w:tc>
          <w:tcPr>
            <w:tcW w:w="1034" w:type="dxa"/>
          </w:tcPr>
          <w:p>
            <w:pPr>
              <w:pStyle w:val="TableParagraph"/>
              <w:spacing w:before="25"/>
              <w:ind w:left="218" w:right="218"/>
              <w:rPr>
                <w:rFonts w:ascii="Calibri"/>
                <w:sz w:val="22"/>
              </w:rPr>
            </w:pPr>
            <w:r>
              <w:rPr>
                <w:rFonts w:ascii="Calibri"/>
                <w:sz w:val="22"/>
              </w:rPr>
              <w:t>54.8%</w:t>
            </w:r>
          </w:p>
        </w:tc>
        <w:tc>
          <w:tcPr>
            <w:tcW w:w="1198" w:type="dxa"/>
          </w:tcPr>
          <w:p>
            <w:pPr>
              <w:pStyle w:val="TableParagraph"/>
              <w:spacing w:before="25"/>
              <w:ind w:left="300" w:right="301"/>
              <w:rPr>
                <w:rFonts w:ascii="Calibri"/>
                <w:sz w:val="22"/>
              </w:rPr>
            </w:pPr>
            <w:r>
              <w:rPr>
                <w:rFonts w:ascii="Calibri"/>
                <w:sz w:val="22"/>
              </w:rPr>
              <w:t>44.0%</w:t>
            </w:r>
          </w:p>
        </w:tc>
        <w:tc>
          <w:tcPr>
            <w:tcW w:w="1094" w:type="dxa"/>
          </w:tcPr>
          <w:p>
            <w:pPr>
              <w:pStyle w:val="TableParagraph"/>
              <w:spacing w:before="25"/>
              <w:ind w:left="249" w:right="248"/>
              <w:rPr>
                <w:rFonts w:ascii="Calibri"/>
                <w:sz w:val="22"/>
              </w:rPr>
            </w:pPr>
            <w:r>
              <w:rPr>
                <w:rFonts w:ascii="Calibri"/>
                <w:sz w:val="22"/>
              </w:rPr>
              <w:t>77.6%</w:t>
            </w:r>
          </w:p>
        </w:tc>
        <w:tc>
          <w:tcPr>
            <w:tcW w:w="1397" w:type="dxa"/>
          </w:tcPr>
          <w:p>
            <w:pPr>
              <w:pStyle w:val="TableParagraph"/>
              <w:spacing w:before="25"/>
              <w:ind w:right="419"/>
              <w:jc w:val="right"/>
              <w:rPr>
                <w:rFonts w:ascii="Calibri"/>
                <w:sz w:val="22"/>
              </w:rPr>
            </w:pPr>
            <w:r>
              <w:rPr>
                <w:rFonts w:ascii="Calibri"/>
                <w:sz w:val="22"/>
              </w:rPr>
              <w:t>75.2%</w:t>
            </w:r>
          </w:p>
        </w:tc>
      </w:tr>
      <w:tr>
        <w:trPr>
          <w:trHeight w:val="310" w:hRule="exact"/>
        </w:trPr>
        <w:tc>
          <w:tcPr>
            <w:tcW w:w="7538" w:type="dxa"/>
            <w:gridSpan w:val="8"/>
          </w:tcPr>
          <w:p>
            <w:pPr>
              <w:pStyle w:val="TableParagraph"/>
              <w:spacing w:before="25"/>
              <w:ind w:left="3007" w:right="3008"/>
              <w:rPr>
                <w:rFonts w:ascii="Calibri"/>
                <w:b/>
                <w:sz w:val="22"/>
              </w:rPr>
            </w:pPr>
            <w:r>
              <w:rPr>
                <w:rFonts w:ascii="Calibri"/>
                <w:b/>
                <w:sz w:val="22"/>
              </w:rPr>
              <w:t>PAN</w:t>
            </w:r>
          </w:p>
        </w:tc>
      </w:tr>
      <w:tr>
        <w:trPr>
          <w:trHeight w:val="310" w:hRule="exact"/>
        </w:trPr>
        <w:tc>
          <w:tcPr>
            <w:tcW w:w="689" w:type="dxa"/>
          </w:tcPr>
          <w:p>
            <w:pPr>
              <w:pStyle w:val="TableParagraph"/>
              <w:spacing w:before="25"/>
              <w:rPr>
                <w:rFonts w:ascii="Calibri"/>
                <w:sz w:val="22"/>
              </w:rPr>
            </w:pPr>
            <w:r>
              <w:rPr>
                <w:rFonts w:ascii="Calibri"/>
                <w:w w:val="100"/>
                <w:sz w:val="22"/>
              </w:rPr>
              <w:t>2</w:t>
            </w:r>
          </w:p>
        </w:tc>
        <w:tc>
          <w:tcPr>
            <w:tcW w:w="734" w:type="dxa"/>
          </w:tcPr>
          <w:p>
            <w:pPr>
              <w:pStyle w:val="TableParagraph"/>
              <w:spacing w:before="25"/>
              <w:ind w:left="68" w:right="68"/>
              <w:rPr>
                <w:rFonts w:ascii="Calibri"/>
                <w:sz w:val="22"/>
              </w:rPr>
            </w:pPr>
            <w:r>
              <w:rPr>
                <w:rFonts w:ascii="Calibri"/>
                <w:sz w:val="22"/>
              </w:rPr>
              <w:t>12</w:t>
            </w:r>
          </w:p>
        </w:tc>
        <w:tc>
          <w:tcPr>
            <w:tcW w:w="697" w:type="dxa"/>
          </w:tcPr>
          <w:p>
            <w:pPr>
              <w:pStyle w:val="TableParagraph"/>
              <w:spacing w:before="25"/>
              <w:ind w:left="49" w:right="49"/>
              <w:rPr>
                <w:rFonts w:ascii="Calibri"/>
                <w:sz w:val="22"/>
              </w:rPr>
            </w:pPr>
            <w:r>
              <w:rPr>
                <w:rFonts w:ascii="Calibri"/>
                <w:sz w:val="22"/>
              </w:rPr>
              <w:t>22</w:t>
            </w:r>
          </w:p>
        </w:tc>
        <w:tc>
          <w:tcPr>
            <w:tcW w:w="694" w:type="dxa"/>
          </w:tcPr>
          <w:p>
            <w:pPr>
              <w:pStyle w:val="TableParagraph"/>
              <w:spacing w:before="25"/>
              <w:ind w:left="48" w:right="46"/>
              <w:rPr>
                <w:rFonts w:ascii="Calibri"/>
                <w:sz w:val="22"/>
              </w:rPr>
            </w:pPr>
            <w:r>
              <w:rPr>
                <w:rFonts w:ascii="Calibri"/>
                <w:sz w:val="22"/>
              </w:rPr>
              <w:t>30</w:t>
            </w:r>
          </w:p>
        </w:tc>
        <w:tc>
          <w:tcPr>
            <w:tcW w:w="1034" w:type="dxa"/>
          </w:tcPr>
          <w:p>
            <w:pPr>
              <w:pStyle w:val="TableParagraph"/>
              <w:spacing w:before="25"/>
              <w:ind w:left="218" w:right="216"/>
              <w:rPr>
                <w:rFonts w:ascii="Calibri"/>
                <w:sz w:val="22"/>
              </w:rPr>
            </w:pPr>
            <w:r>
              <w:rPr>
                <w:rFonts w:ascii="Calibri"/>
                <w:sz w:val="22"/>
              </w:rPr>
              <w:t>24</w:t>
            </w:r>
          </w:p>
        </w:tc>
        <w:tc>
          <w:tcPr>
            <w:tcW w:w="1198" w:type="dxa"/>
          </w:tcPr>
          <w:p>
            <w:pPr>
              <w:pStyle w:val="TableParagraph"/>
              <w:spacing w:before="25"/>
              <w:ind w:left="300" w:right="300"/>
              <w:rPr>
                <w:rFonts w:ascii="Calibri"/>
                <w:sz w:val="22"/>
              </w:rPr>
            </w:pPr>
            <w:r>
              <w:rPr>
                <w:rFonts w:ascii="Calibri"/>
                <w:sz w:val="22"/>
              </w:rPr>
              <w:t>25</w:t>
            </w:r>
          </w:p>
        </w:tc>
        <w:tc>
          <w:tcPr>
            <w:tcW w:w="1094" w:type="dxa"/>
          </w:tcPr>
          <w:p>
            <w:pPr>
              <w:pStyle w:val="TableParagraph"/>
              <w:spacing w:before="25"/>
              <w:ind w:left="248" w:right="248"/>
              <w:rPr>
                <w:rFonts w:ascii="Calibri"/>
                <w:sz w:val="22"/>
              </w:rPr>
            </w:pPr>
            <w:r>
              <w:rPr>
                <w:rFonts w:ascii="Calibri"/>
                <w:sz w:val="22"/>
              </w:rPr>
              <w:t>13</w:t>
            </w:r>
          </w:p>
        </w:tc>
        <w:tc>
          <w:tcPr>
            <w:tcW w:w="1397" w:type="dxa"/>
          </w:tcPr>
          <w:p>
            <w:pPr>
              <w:pStyle w:val="TableParagraph"/>
              <w:spacing w:before="25"/>
              <w:ind w:left="562" w:right="562"/>
              <w:rPr>
                <w:rFonts w:ascii="Calibri"/>
                <w:sz w:val="22"/>
              </w:rPr>
            </w:pPr>
            <w:r>
              <w:rPr>
                <w:rFonts w:ascii="Calibri"/>
                <w:sz w:val="22"/>
              </w:rPr>
              <w:t>16</w:t>
            </w:r>
          </w:p>
        </w:tc>
      </w:tr>
      <w:tr>
        <w:trPr>
          <w:trHeight w:val="312" w:hRule="exact"/>
        </w:trPr>
        <w:tc>
          <w:tcPr>
            <w:tcW w:w="689" w:type="dxa"/>
          </w:tcPr>
          <w:p>
            <w:pPr>
              <w:pStyle w:val="TableParagraph"/>
              <w:spacing w:before="27"/>
              <w:ind w:left="44" w:right="45"/>
              <w:rPr>
                <w:rFonts w:ascii="Calibri"/>
                <w:sz w:val="22"/>
              </w:rPr>
            </w:pPr>
            <w:r>
              <w:rPr>
                <w:rFonts w:ascii="Calibri"/>
                <w:sz w:val="22"/>
              </w:rPr>
              <w:t>1.7%</w:t>
            </w:r>
          </w:p>
        </w:tc>
        <w:tc>
          <w:tcPr>
            <w:tcW w:w="734" w:type="dxa"/>
          </w:tcPr>
          <w:p>
            <w:pPr>
              <w:pStyle w:val="TableParagraph"/>
              <w:spacing w:before="27"/>
              <w:ind w:left="69" w:right="68"/>
              <w:rPr>
                <w:rFonts w:ascii="Calibri"/>
                <w:sz w:val="22"/>
              </w:rPr>
            </w:pPr>
            <w:r>
              <w:rPr>
                <w:rFonts w:ascii="Calibri"/>
                <w:sz w:val="22"/>
              </w:rPr>
              <w:t>9.9%</w:t>
            </w:r>
          </w:p>
        </w:tc>
        <w:tc>
          <w:tcPr>
            <w:tcW w:w="697" w:type="dxa"/>
          </w:tcPr>
          <w:p>
            <w:pPr>
              <w:pStyle w:val="TableParagraph"/>
              <w:spacing w:before="27"/>
              <w:ind w:left="49" w:right="50"/>
              <w:rPr>
                <w:rFonts w:ascii="Calibri"/>
                <w:sz w:val="22"/>
              </w:rPr>
            </w:pPr>
            <w:r>
              <w:rPr>
                <w:rFonts w:ascii="Calibri"/>
                <w:sz w:val="22"/>
              </w:rPr>
              <w:t>18.0%</w:t>
            </w:r>
          </w:p>
        </w:tc>
        <w:tc>
          <w:tcPr>
            <w:tcW w:w="694" w:type="dxa"/>
          </w:tcPr>
          <w:p>
            <w:pPr>
              <w:pStyle w:val="TableParagraph"/>
              <w:spacing w:before="27"/>
              <w:ind w:left="48" w:right="48"/>
              <w:rPr>
                <w:rFonts w:ascii="Calibri"/>
                <w:sz w:val="22"/>
              </w:rPr>
            </w:pPr>
            <w:r>
              <w:rPr>
                <w:rFonts w:ascii="Calibri"/>
                <w:sz w:val="22"/>
              </w:rPr>
              <w:t>24.6%</w:t>
            </w:r>
          </w:p>
        </w:tc>
        <w:tc>
          <w:tcPr>
            <w:tcW w:w="1034" w:type="dxa"/>
          </w:tcPr>
          <w:p>
            <w:pPr>
              <w:pStyle w:val="TableParagraph"/>
              <w:spacing w:before="27"/>
              <w:ind w:left="218" w:right="218"/>
              <w:rPr>
                <w:rFonts w:ascii="Calibri"/>
                <w:sz w:val="22"/>
              </w:rPr>
            </w:pPr>
            <w:r>
              <w:rPr>
                <w:rFonts w:ascii="Calibri"/>
                <w:sz w:val="22"/>
              </w:rPr>
              <w:t>19.4%</w:t>
            </w:r>
          </w:p>
        </w:tc>
        <w:tc>
          <w:tcPr>
            <w:tcW w:w="1198" w:type="dxa"/>
          </w:tcPr>
          <w:p>
            <w:pPr>
              <w:pStyle w:val="TableParagraph"/>
              <w:spacing w:before="27"/>
              <w:ind w:left="300" w:right="301"/>
              <w:rPr>
                <w:rFonts w:ascii="Calibri"/>
                <w:sz w:val="22"/>
              </w:rPr>
            </w:pPr>
            <w:r>
              <w:rPr>
                <w:rFonts w:ascii="Calibri"/>
                <w:sz w:val="22"/>
              </w:rPr>
              <w:t>20.0%</w:t>
            </w:r>
          </w:p>
        </w:tc>
        <w:tc>
          <w:tcPr>
            <w:tcW w:w="1094" w:type="dxa"/>
          </w:tcPr>
          <w:p>
            <w:pPr>
              <w:pStyle w:val="TableParagraph"/>
              <w:spacing w:before="27"/>
              <w:ind w:left="249" w:right="248"/>
              <w:rPr>
                <w:rFonts w:ascii="Calibri"/>
                <w:sz w:val="22"/>
              </w:rPr>
            </w:pPr>
            <w:r>
              <w:rPr>
                <w:rFonts w:ascii="Calibri"/>
                <w:sz w:val="22"/>
              </w:rPr>
              <w:t>10.4%</w:t>
            </w:r>
          </w:p>
        </w:tc>
        <w:tc>
          <w:tcPr>
            <w:tcW w:w="1397" w:type="dxa"/>
          </w:tcPr>
          <w:p>
            <w:pPr>
              <w:pStyle w:val="TableParagraph"/>
              <w:spacing w:before="27"/>
              <w:ind w:right="419"/>
              <w:jc w:val="right"/>
              <w:rPr>
                <w:rFonts w:ascii="Calibri"/>
                <w:sz w:val="22"/>
              </w:rPr>
            </w:pPr>
            <w:r>
              <w:rPr>
                <w:rFonts w:ascii="Calibri"/>
                <w:sz w:val="22"/>
              </w:rPr>
              <w:t>12.8%</w:t>
            </w:r>
          </w:p>
        </w:tc>
      </w:tr>
      <w:tr>
        <w:trPr>
          <w:trHeight w:val="310" w:hRule="exact"/>
        </w:trPr>
        <w:tc>
          <w:tcPr>
            <w:tcW w:w="7538" w:type="dxa"/>
            <w:gridSpan w:val="8"/>
          </w:tcPr>
          <w:p>
            <w:pPr>
              <w:pStyle w:val="TableParagraph"/>
              <w:spacing w:before="25"/>
              <w:ind w:left="3007" w:right="3006"/>
              <w:rPr>
                <w:rFonts w:ascii="Calibri"/>
                <w:b/>
                <w:sz w:val="22"/>
              </w:rPr>
            </w:pPr>
            <w:r>
              <w:rPr>
                <w:rFonts w:ascii="Calibri"/>
                <w:b/>
                <w:sz w:val="22"/>
              </w:rPr>
              <w:t>PRD</w:t>
            </w:r>
          </w:p>
        </w:tc>
      </w:tr>
      <w:tr>
        <w:trPr>
          <w:trHeight w:val="310" w:hRule="exact"/>
        </w:trPr>
        <w:tc>
          <w:tcPr>
            <w:tcW w:w="689" w:type="dxa"/>
          </w:tcPr>
          <w:p>
            <w:pPr>
              <w:pStyle w:val="TableParagraph"/>
              <w:spacing w:before="25"/>
              <w:rPr>
                <w:rFonts w:ascii="Calibri"/>
                <w:sz w:val="22"/>
              </w:rPr>
            </w:pPr>
            <w:r>
              <w:rPr>
                <w:rFonts w:ascii="Calibri"/>
                <w:w w:val="100"/>
                <w:sz w:val="22"/>
              </w:rPr>
              <w:t>3</w:t>
            </w:r>
          </w:p>
        </w:tc>
        <w:tc>
          <w:tcPr>
            <w:tcW w:w="734" w:type="dxa"/>
          </w:tcPr>
          <w:p>
            <w:pPr>
              <w:pStyle w:val="TableParagraph"/>
              <w:spacing w:before="25"/>
              <w:ind w:left="1"/>
              <w:rPr>
                <w:rFonts w:ascii="Calibri"/>
                <w:sz w:val="22"/>
              </w:rPr>
            </w:pPr>
            <w:r>
              <w:rPr>
                <w:rFonts w:ascii="Calibri"/>
                <w:w w:val="100"/>
                <w:sz w:val="22"/>
              </w:rPr>
              <w:t>3</w:t>
            </w:r>
          </w:p>
        </w:tc>
        <w:tc>
          <w:tcPr>
            <w:tcW w:w="697" w:type="dxa"/>
          </w:tcPr>
          <w:p>
            <w:pPr>
              <w:pStyle w:val="TableParagraph"/>
              <w:spacing w:before="25"/>
              <w:ind w:left="49" w:right="49"/>
              <w:rPr>
                <w:rFonts w:ascii="Calibri"/>
                <w:sz w:val="22"/>
              </w:rPr>
            </w:pPr>
            <w:r>
              <w:rPr>
                <w:rFonts w:ascii="Calibri"/>
                <w:sz w:val="22"/>
              </w:rPr>
              <w:t>26</w:t>
            </w:r>
          </w:p>
        </w:tc>
        <w:tc>
          <w:tcPr>
            <w:tcW w:w="694" w:type="dxa"/>
          </w:tcPr>
          <w:p>
            <w:pPr>
              <w:pStyle w:val="TableParagraph"/>
              <w:spacing w:before="25"/>
              <w:ind w:left="48" w:right="46"/>
              <w:rPr>
                <w:rFonts w:ascii="Calibri"/>
                <w:sz w:val="22"/>
              </w:rPr>
            </w:pPr>
            <w:r>
              <w:rPr>
                <w:rFonts w:ascii="Calibri"/>
                <w:sz w:val="22"/>
              </w:rPr>
              <w:t>21</w:t>
            </w:r>
          </w:p>
        </w:tc>
        <w:tc>
          <w:tcPr>
            <w:tcW w:w="1034" w:type="dxa"/>
          </w:tcPr>
          <w:p>
            <w:pPr>
              <w:pStyle w:val="TableParagraph"/>
              <w:spacing w:before="25"/>
              <w:ind w:left="218" w:right="216"/>
              <w:rPr>
                <w:rFonts w:ascii="Calibri"/>
                <w:sz w:val="22"/>
              </w:rPr>
            </w:pPr>
            <w:r>
              <w:rPr>
                <w:rFonts w:ascii="Calibri"/>
                <w:sz w:val="22"/>
              </w:rPr>
              <w:t>23</w:t>
            </w:r>
          </w:p>
        </w:tc>
        <w:tc>
          <w:tcPr>
            <w:tcW w:w="1198" w:type="dxa"/>
          </w:tcPr>
          <w:p>
            <w:pPr>
              <w:pStyle w:val="TableParagraph"/>
              <w:spacing w:before="25"/>
              <w:ind w:left="300" w:right="300"/>
              <w:rPr>
                <w:rFonts w:ascii="Calibri"/>
                <w:sz w:val="22"/>
              </w:rPr>
            </w:pPr>
            <w:r>
              <w:rPr>
                <w:rFonts w:ascii="Calibri"/>
                <w:sz w:val="22"/>
              </w:rPr>
              <w:t>37</w:t>
            </w:r>
          </w:p>
        </w:tc>
        <w:tc>
          <w:tcPr>
            <w:tcW w:w="1094" w:type="dxa"/>
          </w:tcPr>
          <w:p>
            <w:pPr>
              <w:pStyle w:val="TableParagraph"/>
              <w:spacing w:before="25"/>
              <w:ind w:left="1"/>
              <w:rPr>
                <w:rFonts w:ascii="Calibri"/>
                <w:sz w:val="22"/>
              </w:rPr>
            </w:pPr>
            <w:r>
              <w:rPr>
                <w:rFonts w:ascii="Calibri"/>
                <w:w w:val="100"/>
                <w:sz w:val="22"/>
              </w:rPr>
              <w:t>9</w:t>
            </w:r>
          </w:p>
        </w:tc>
        <w:tc>
          <w:tcPr>
            <w:tcW w:w="1397" w:type="dxa"/>
          </w:tcPr>
          <w:p>
            <w:pPr>
              <w:pStyle w:val="TableParagraph"/>
              <w:spacing w:before="25"/>
              <w:ind w:left="562" w:right="562"/>
              <w:rPr>
                <w:rFonts w:ascii="Calibri"/>
                <w:sz w:val="22"/>
              </w:rPr>
            </w:pPr>
            <w:r>
              <w:rPr>
                <w:rFonts w:ascii="Calibri"/>
                <w:sz w:val="22"/>
              </w:rPr>
              <w:t>11</w:t>
            </w:r>
          </w:p>
        </w:tc>
      </w:tr>
      <w:tr>
        <w:trPr>
          <w:trHeight w:val="310" w:hRule="exact"/>
        </w:trPr>
        <w:tc>
          <w:tcPr>
            <w:tcW w:w="689" w:type="dxa"/>
          </w:tcPr>
          <w:p>
            <w:pPr>
              <w:pStyle w:val="TableParagraph"/>
              <w:spacing w:before="25"/>
              <w:ind w:left="44" w:right="45"/>
              <w:rPr>
                <w:rFonts w:ascii="Calibri"/>
                <w:sz w:val="22"/>
              </w:rPr>
            </w:pPr>
            <w:r>
              <w:rPr>
                <w:rFonts w:ascii="Calibri"/>
                <w:sz w:val="22"/>
              </w:rPr>
              <w:t>2.5%</w:t>
            </w:r>
          </w:p>
        </w:tc>
        <w:tc>
          <w:tcPr>
            <w:tcW w:w="734" w:type="dxa"/>
          </w:tcPr>
          <w:p>
            <w:pPr>
              <w:pStyle w:val="TableParagraph"/>
              <w:spacing w:before="25"/>
              <w:ind w:left="69" w:right="68"/>
              <w:rPr>
                <w:rFonts w:ascii="Calibri"/>
                <w:sz w:val="22"/>
              </w:rPr>
            </w:pPr>
            <w:r>
              <w:rPr>
                <w:rFonts w:ascii="Calibri"/>
                <w:sz w:val="22"/>
              </w:rPr>
              <w:t>2.5%</w:t>
            </w:r>
          </w:p>
        </w:tc>
        <w:tc>
          <w:tcPr>
            <w:tcW w:w="697" w:type="dxa"/>
          </w:tcPr>
          <w:p>
            <w:pPr>
              <w:pStyle w:val="TableParagraph"/>
              <w:spacing w:before="25"/>
              <w:ind w:left="49" w:right="50"/>
              <w:rPr>
                <w:rFonts w:ascii="Calibri"/>
                <w:sz w:val="22"/>
              </w:rPr>
            </w:pPr>
            <w:r>
              <w:rPr>
                <w:rFonts w:ascii="Calibri"/>
                <w:sz w:val="22"/>
              </w:rPr>
              <w:t>21.3%</w:t>
            </w:r>
          </w:p>
        </w:tc>
        <w:tc>
          <w:tcPr>
            <w:tcW w:w="694" w:type="dxa"/>
          </w:tcPr>
          <w:p>
            <w:pPr>
              <w:pStyle w:val="TableParagraph"/>
              <w:spacing w:before="25"/>
              <w:ind w:left="48" w:right="48"/>
              <w:rPr>
                <w:rFonts w:ascii="Calibri"/>
                <w:sz w:val="22"/>
              </w:rPr>
            </w:pPr>
            <w:r>
              <w:rPr>
                <w:rFonts w:ascii="Calibri"/>
                <w:sz w:val="22"/>
              </w:rPr>
              <w:t>17.2%</w:t>
            </w:r>
          </w:p>
        </w:tc>
        <w:tc>
          <w:tcPr>
            <w:tcW w:w="1034" w:type="dxa"/>
          </w:tcPr>
          <w:p>
            <w:pPr>
              <w:pStyle w:val="TableParagraph"/>
              <w:spacing w:before="25"/>
              <w:ind w:left="218" w:right="218"/>
              <w:rPr>
                <w:rFonts w:ascii="Calibri"/>
                <w:sz w:val="22"/>
              </w:rPr>
            </w:pPr>
            <w:r>
              <w:rPr>
                <w:rFonts w:ascii="Calibri"/>
                <w:sz w:val="22"/>
              </w:rPr>
              <w:t>18.5%</w:t>
            </w:r>
          </w:p>
        </w:tc>
        <w:tc>
          <w:tcPr>
            <w:tcW w:w="1198" w:type="dxa"/>
          </w:tcPr>
          <w:p>
            <w:pPr>
              <w:pStyle w:val="TableParagraph"/>
              <w:spacing w:before="25"/>
              <w:ind w:left="300" w:right="301"/>
              <w:rPr>
                <w:rFonts w:ascii="Calibri"/>
                <w:sz w:val="22"/>
              </w:rPr>
            </w:pPr>
            <w:r>
              <w:rPr>
                <w:rFonts w:ascii="Calibri"/>
                <w:sz w:val="22"/>
              </w:rPr>
              <w:t>29.6%</w:t>
            </w:r>
          </w:p>
        </w:tc>
        <w:tc>
          <w:tcPr>
            <w:tcW w:w="1094" w:type="dxa"/>
          </w:tcPr>
          <w:p>
            <w:pPr>
              <w:pStyle w:val="TableParagraph"/>
              <w:spacing w:before="25"/>
              <w:ind w:left="249" w:right="248"/>
              <w:rPr>
                <w:rFonts w:ascii="Calibri"/>
                <w:sz w:val="22"/>
              </w:rPr>
            </w:pPr>
            <w:r>
              <w:rPr>
                <w:rFonts w:ascii="Calibri"/>
                <w:sz w:val="22"/>
              </w:rPr>
              <w:t>7.2%</w:t>
            </w:r>
          </w:p>
        </w:tc>
        <w:tc>
          <w:tcPr>
            <w:tcW w:w="1397" w:type="dxa"/>
          </w:tcPr>
          <w:p>
            <w:pPr>
              <w:pStyle w:val="TableParagraph"/>
              <w:spacing w:before="25"/>
              <w:ind w:right="475"/>
              <w:jc w:val="right"/>
              <w:rPr>
                <w:rFonts w:ascii="Calibri"/>
                <w:sz w:val="22"/>
              </w:rPr>
            </w:pPr>
            <w:r>
              <w:rPr>
                <w:rFonts w:ascii="Calibri"/>
                <w:sz w:val="22"/>
              </w:rPr>
              <w:t>8.8%</w:t>
            </w:r>
          </w:p>
        </w:tc>
      </w:tr>
      <w:tr>
        <w:trPr>
          <w:trHeight w:val="310" w:hRule="exact"/>
        </w:trPr>
        <w:tc>
          <w:tcPr>
            <w:tcW w:w="7538" w:type="dxa"/>
            <w:gridSpan w:val="8"/>
          </w:tcPr>
          <w:p>
            <w:pPr>
              <w:pStyle w:val="TableParagraph"/>
              <w:spacing w:before="26"/>
              <w:ind w:left="3007" w:right="3006"/>
              <w:rPr>
                <w:rFonts w:ascii="Calibri"/>
                <w:b/>
                <w:sz w:val="22"/>
              </w:rPr>
            </w:pPr>
            <w:r>
              <w:rPr>
                <w:rFonts w:ascii="Calibri"/>
                <w:b/>
                <w:sz w:val="22"/>
              </w:rPr>
              <w:t>PT</w:t>
            </w:r>
          </w:p>
        </w:tc>
      </w:tr>
      <w:tr>
        <w:trPr>
          <w:trHeight w:val="310" w:hRule="exact"/>
        </w:trPr>
        <w:tc>
          <w:tcPr>
            <w:tcW w:w="689" w:type="dxa"/>
          </w:tcPr>
          <w:p>
            <w:pPr>
              <w:pStyle w:val="TableParagraph"/>
              <w:spacing w:before="25"/>
              <w:rPr>
                <w:rFonts w:ascii="Calibri"/>
                <w:sz w:val="22"/>
              </w:rPr>
            </w:pPr>
            <w:r>
              <w:rPr>
                <w:rFonts w:ascii="Calibri"/>
                <w:w w:val="100"/>
                <w:sz w:val="22"/>
              </w:rPr>
              <w:t>0</w:t>
            </w:r>
          </w:p>
        </w:tc>
        <w:tc>
          <w:tcPr>
            <w:tcW w:w="734" w:type="dxa"/>
          </w:tcPr>
          <w:p>
            <w:pPr>
              <w:pStyle w:val="TableParagraph"/>
              <w:spacing w:before="25"/>
              <w:ind w:left="1"/>
              <w:rPr>
                <w:rFonts w:ascii="Calibri"/>
                <w:sz w:val="22"/>
              </w:rPr>
            </w:pPr>
            <w:r>
              <w:rPr>
                <w:rFonts w:ascii="Calibri"/>
                <w:w w:val="100"/>
                <w:sz w:val="22"/>
              </w:rPr>
              <w:t>0</w:t>
            </w:r>
          </w:p>
        </w:tc>
        <w:tc>
          <w:tcPr>
            <w:tcW w:w="697" w:type="dxa"/>
          </w:tcPr>
          <w:p>
            <w:pPr/>
          </w:p>
        </w:tc>
        <w:tc>
          <w:tcPr>
            <w:tcW w:w="694" w:type="dxa"/>
          </w:tcPr>
          <w:p>
            <w:pPr>
              <w:pStyle w:val="TableParagraph"/>
              <w:spacing w:before="25"/>
              <w:rPr>
                <w:rFonts w:ascii="Calibri"/>
                <w:sz w:val="22"/>
              </w:rPr>
            </w:pPr>
            <w:r>
              <w:rPr>
                <w:rFonts w:ascii="Calibri"/>
                <w:w w:val="100"/>
                <w:sz w:val="22"/>
              </w:rPr>
              <w:t>1</w:t>
            </w:r>
          </w:p>
        </w:tc>
        <w:tc>
          <w:tcPr>
            <w:tcW w:w="1034" w:type="dxa"/>
          </w:tcPr>
          <w:p>
            <w:pPr>
              <w:pStyle w:val="TableParagraph"/>
              <w:spacing w:before="25"/>
              <w:rPr>
                <w:rFonts w:ascii="Calibri"/>
                <w:sz w:val="22"/>
              </w:rPr>
            </w:pPr>
            <w:r>
              <w:rPr>
                <w:rFonts w:ascii="Calibri"/>
                <w:w w:val="100"/>
                <w:sz w:val="22"/>
              </w:rPr>
              <w:t>4</w:t>
            </w:r>
          </w:p>
        </w:tc>
        <w:tc>
          <w:tcPr>
            <w:tcW w:w="1198" w:type="dxa"/>
          </w:tcPr>
          <w:p>
            <w:pPr>
              <w:pStyle w:val="TableParagraph"/>
              <w:spacing w:before="25"/>
              <w:rPr>
                <w:rFonts w:ascii="Calibri"/>
                <w:sz w:val="22"/>
              </w:rPr>
            </w:pPr>
            <w:r>
              <w:rPr>
                <w:rFonts w:ascii="Calibri"/>
                <w:w w:val="100"/>
                <w:sz w:val="22"/>
              </w:rPr>
              <w:t>3</w:t>
            </w:r>
          </w:p>
        </w:tc>
        <w:tc>
          <w:tcPr>
            <w:tcW w:w="1094" w:type="dxa"/>
          </w:tcPr>
          <w:p>
            <w:pPr>
              <w:pStyle w:val="TableParagraph"/>
              <w:spacing w:before="25"/>
              <w:ind w:left="1"/>
              <w:rPr>
                <w:rFonts w:ascii="Calibri"/>
                <w:sz w:val="22"/>
              </w:rPr>
            </w:pPr>
            <w:r>
              <w:rPr>
                <w:rFonts w:ascii="Calibri"/>
                <w:w w:val="100"/>
                <w:sz w:val="22"/>
              </w:rPr>
              <w:t>4</w:t>
            </w:r>
          </w:p>
        </w:tc>
        <w:tc>
          <w:tcPr>
            <w:tcW w:w="1397" w:type="dxa"/>
          </w:tcPr>
          <w:p>
            <w:pPr>
              <w:pStyle w:val="TableParagraph"/>
              <w:spacing w:before="25"/>
              <w:ind w:right="1"/>
              <w:rPr>
                <w:rFonts w:ascii="Calibri"/>
                <w:sz w:val="22"/>
              </w:rPr>
            </w:pPr>
            <w:r>
              <w:rPr>
                <w:rFonts w:ascii="Calibri"/>
                <w:w w:val="100"/>
                <w:sz w:val="22"/>
              </w:rPr>
              <w:t>4</w:t>
            </w:r>
          </w:p>
        </w:tc>
      </w:tr>
      <w:tr>
        <w:trPr>
          <w:trHeight w:val="312" w:hRule="exact"/>
        </w:trPr>
        <w:tc>
          <w:tcPr>
            <w:tcW w:w="689" w:type="dxa"/>
          </w:tcPr>
          <w:p>
            <w:pPr>
              <w:pStyle w:val="TableParagraph"/>
              <w:spacing w:before="27"/>
              <w:ind w:left="44" w:right="45"/>
              <w:rPr>
                <w:rFonts w:ascii="Calibri"/>
                <w:sz w:val="22"/>
              </w:rPr>
            </w:pPr>
            <w:r>
              <w:rPr>
                <w:rFonts w:ascii="Calibri"/>
                <w:sz w:val="22"/>
              </w:rPr>
              <w:t>0.0%</w:t>
            </w:r>
          </w:p>
        </w:tc>
        <w:tc>
          <w:tcPr>
            <w:tcW w:w="734" w:type="dxa"/>
          </w:tcPr>
          <w:p>
            <w:pPr>
              <w:pStyle w:val="TableParagraph"/>
              <w:spacing w:before="27"/>
              <w:ind w:left="69" w:right="68"/>
              <w:rPr>
                <w:rFonts w:ascii="Calibri"/>
                <w:sz w:val="22"/>
              </w:rPr>
            </w:pPr>
            <w:r>
              <w:rPr>
                <w:rFonts w:ascii="Calibri"/>
                <w:sz w:val="22"/>
              </w:rPr>
              <w:t>0.0%</w:t>
            </w:r>
          </w:p>
        </w:tc>
        <w:tc>
          <w:tcPr>
            <w:tcW w:w="697" w:type="dxa"/>
          </w:tcPr>
          <w:p>
            <w:pPr>
              <w:pStyle w:val="TableParagraph"/>
              <w:spacing w:before="27"/>
              <w:ind w:left="48" w:right="50"/>
              <w:rPr>
                <w:rFonts w:ascii="Calibri"/>
                <w:sz w:val="22"/>
              </w:rPr>
            </w:pPr>
            <w:r>
              <w:rPr>
                <w:rFonts w:ascii="Calibri"/>
                <w:sz w:val="22"/>
              </w:rPr>
              <w:t>0.0%</w:t>
            </w:r>
          </w:p>
        </w:tc>
        <w:tc>
          <w:tcPr>
            <w:tcW w:w="694" w:type="dxa"/>
          </w:tcPr>
          <w:p>
            <w:pPr>
              <w:pStyle w:val="TableParagraph"/>
              <w:spacing w:before="27"/>
              <w:ind w:left="47" w:right="48"/>
              <w:rPr>
                <w:rFonts w:ascii="Calibri"/>
                <w:sz w:val="22"/>
              </w:rPr>
            </w:pPr>
            <w:r>
              <w:rPr>
                <w:rFonts w:ascii="Calibri"/>
                <w:sz w:val="22"/>
              </w:rPr>
              <w:t>0.8%</w:t>
            </w:r>
          </w:p>
        </w:tc>
        <w:tc>
          <w:tcPr>
            <w:tcW w:w="1034" w:type="dxa"/>
          </w:tcPr>
          <w:p>
            <w:pPr>
              <w:pStyle w:val="TableParagraph"/>
              <w:spacing w:before="27"/>
              <w:ind w:left="217" w:right="218"/>
              <w:rPr>
                <w:rFonts w:ascii="Calibri"/>
                <w:sz w:val="22"/>
              </w:rPr>
            </w:pPr>
            <w:r>
              <w:rPr>
                <w:rFonts w:ascii="Calibri"/>
                <w:sz w:val="22"/>
              </w:rPr>
              <w:t>3.2%</w:t>
            </w:r>
          </w:p>
        </w:tc>
        <w:tc>
          <w:tcPr>
            <w:tcW w:w="1198" w:type="dxa"/>
          </w:tcPr>
          <w:p>
            <w:pPr>
              <w:pStyle w:val="TableParagraph"/>
              <w:spacing w:before="27"/>
              <w:ind w:left="300" w:right="300"/>
              <w:rPr>
                <w:rFonts w:ascii="Calibri"/>
                <w:sz w:val="22"/>
              </w:rPr>
            </w:pPr>
            <w:r>
              <w:rPr>
                <w:rFonts w:ascii="Calibri"/>
                <w:sz w:val="22"/>
              </w:rPr>
              <w:t>2.4%</w:t>
            </w:r>
          </w:p>
        </w:tc>
        <w:tc>
          <w:tcPr>
            <w:tcW w:w="1094" w:type="dxa"/>
          </w:tcPr>
          <w:p>
            <w:pPr>
              <w:pStyle w:val="TableParagraph"/>
              <w:spacing w:before="27"/>
              <w:ind w:left="249" w:right="248"/>
              <w:rPr>
                <w:rFonts w:ascii="Calibri"/>
                <w:sz w:val="22"/>
              </w:rPr>
            </w:pPr>
            <w:r>
              <w:rPr>
                <w:rFonts w:ascii="Calibri"/>
                <w:sz w:val="22"/>
              </w:rPr>
              <w:t>3.2%</w:t>
            </w:r>
          </w:p>
        </w:tc>
        <w:tc>
          <w:tcPr>
            <w:tcW w:w="1397" w:type="dxa"/>
          </w:tcPr>
          <w:p>
            <w:pPr>
              <w:pStyle w:val="TableParagraph"/>
              <w:spacing w:before="27"/>
              <w:ind w:right="475"/>
              <w:jc w:val="right"/>
              <w:rPr>
                <w:rFonts w:ascii="Calibri"/>
                <w:sz w:val="22"/>
              </w:rPr>
            </w:pPr>
            <w:r>
              <w:rPr>
                <w:rFonts w:ascii="Calibri"/>
                <w:sz w:val="22"/>
              </w:rPr>
              <w:t>3.2%</w:t>
            </w:r>
          </w:p>
        </w:tc>
      </w:tr>
      <w:tr>
        <w:trPr>
          <w:trHeight w:val="310" w:hRule="exact"/>
        </w:trPr>
        <w:tc>
          <w:tcPr>
            <w:tcW w:w="7538" w:type="dxa"/>
            <w:gridSpan w:val="8"/>
          </w:tcPr>
          <w:p>
            <w:pPr>
              <w:pStyle w:val="TableParagraph"/>
              <w:spacing w:before="25"/>
              <w:ind w:left="3007" w:right="3008"/>
              <w:rPr>
                <w:rFonts w:ascii="Calibri"/>
                <w:b/>
                <w:sz w:val="22"/>
              </w:rPr>
            </w:pPr>
            <w:r>
              <w:rPr>
                <w:rFonts w:ascii="Calibri"/>
                <w:b/>
                <w:sz w:val="22"/>
              </w:rPr>
              <w:t>CONVERGENCIA</w:t>
            </w:r>
          </w:p>
        </w:tc>
      </w:tr>
      <w:tr>
        <w:trPr>
          <w:trHeight w:val="310" w:hRule="exact"/>
        </w:trPr>
        <w:tc>
          <w:tcPr>
            <w:tcW w:w="689" w:type="dxa"/>
          </w:tcPr>
          <w:p>
            <w:pPr>
              <w:pStyle w:val="TableParagraph"/>
              <w:spacing w:before="25"/>
              <w:rPr>
                <w:rFonts w:ascii="Calibri"/>
                <w:sz w:val="22"/>
              </w:rPr>
            </w:pPr>
            <w:r>
              <w:rPr>
                <w:rFonts w:ascii="Calibri"/>
                <w:w w:val="100"/>
                <w:sz w:val="22"/>
              </w:rPr>
              <w:t>0</w:t>
            </w:r>
          </w:p>
        </w:tc>
        <w:tc>
          <w:tcPr>
            <w:tcW w:w="734" w:type="dxa"/>
          </w:tcPr>
          <w:p>
            <w:pPr>
              <w:pStyle w:val="TableParagraph"/>
              <w:spacing w:before="25"/>
              <w:ind w:left="1"/>
              <w:rPr>
                <w:rFonts w:ascii="Calibri"/>
                <w:sz w:val="22"/>
              </w:rPr>
            </w:pPr>
            <w:r>
              <w:rPr>
                <w:rFonts w:ascii="Calibri"/>
                <w:w w:val="100"/>
                <w:sz w:val="22"/>
              </w:rPr>
              <w:t>0</w:t>
            </w:r>
          </w:p>
        </w:tc>
        <w:tc>
          <w:tcPr>
            <w:tcW w:w="697" w:type="dxa"/>
          </w:tcPr>
          <w:p>
            <w:pPr>
              <w:pStyle w:val="TableParagraph"/>
              <w:spacing w:before="25"/>
              <w:rPr>
                <w:rFonts w:ascii="Calibri"/>
                <w:sz w:val="22"/>
              </w:rPr>
            </w:pPr>
            <w:r>
              <w:rPr>
                <w:rFonts w:ascii="Calibri"/>
                <w:w w:val="100"/>
                <w:sz w:val="22"/>
              </w:rPr>
              <w:t>0</w:t>
            </w:r>
          </w:p>
        </w:tc>
        <w:tc>
          <w:tcPr>
            <w:tcW w:w="694" w:type="dxa"/>
          </w:tcPr>
          <w:p>
            <w:pPr>
              <w:pStyle w:val="TableParagraph"/>
              <w:spacing w:before="25"/>
              <w:rPr>
                <w:rFonts w:ascii="Calibri"/>
                <w:sz w:val="22"/>
              </w:rPr>
            </w:pPr>
            <w:r>
              <w:rPr>
                <w:rFonts w:ascii="Calibri"/>
                <w:w w:val="100"/>
                <w:sz w:val="22"/>
              </w:rPr>
              <w:t>0</w:t>
            </w:r>
          </w:p>
        </w:tc>
        <w:tc>
          <w:tcPr>
            <w:tcW w:w="1034" w:type="dxa"/>
          </w:tcPr>
          <w:p>
            <w:pPr>
              <w:pStyle w:val="TableParagraph"/>
              <w:spacing w:before="25"/>
              <w:rPr>
                <w:rFonts w:ascii="Calibri"/>
                <w:sz w:val="22"/>
              </w:rPr>
            </w:pPr>
            <w:r>
              <w:rPr>
                <w:rFonts w:ascii="Calibri"/>
                <w:w w:val="100"/>
                <w:sz w:val="22"/>
              </w:rPr>
              <w:t>3</w:t>
            </w:r>
          </w:p>
        </w:tc>
        <w:tc>
          <w:tcPr>
            <w:tcW w:w="1198" w:type="dxa"/>
          </w:tcPr>
          <w:p>
            <w:pPr>
              <w:pStyle w:val="TableParagraph"/>
              <w:spacing w:before="25"/>
              <w:rPr>
                <w:rFonts w:ascii="Calibri"/>
                <w:sz w:val="22"/>
              </w:rPr>
            </w:pPr>
            <w:r>
              <w:rPr>
                <w:rFonts w:ascii="Calibri"/>
                <w:w w:val="100"/>
                <w:sz w:val="22"/>
              </w:rPr>
              <w:t>5</w:t>
            </w:r>
          </w:p>
        </w:tc>
        <w:tc>
          <w:tcPr>
            <w:tcW w:w="1094" w:type="dxa"/>
          </w:tcPr>
          <w:p>
            <w:pPr>
              <w:pStyle w:val="TableParagraph"/>
              <w:spacing w:before="25"/>
              <w:ind w:left="1"/>
              <w:rPr>
                <w:rFonts w:ascii="Calibri"/>
                <w:sz w:val="22"/>
              </w:rPr>
            </w:pPr>
            <w:r>
              <w:rPr>
                <w:rFonts w:ascii="Calibri"/>
                <w:w w:val="100"/>
                <w:sz w:val="22"/>
              </w:rPr>
              <w:t>2</w:t>
            </w:r>
          </w:p>
        </w:tc>
        <w:tc>
          <w:tcPr>
            <w:tcW w:w="1397" w:type="dxa"/>
          </w:tcPr>
          <w:p>
            <w:pPr>
              <w:pStyle w:val="TableParagraph"/>
              <w:spacing w:before="25"/>
              <w:ind w:right="1"/>
              <w:rPr>
                <w:rFonts w:ascii="Calibri"/>
                <w:sz w:val="22"/>
              </w:rPr>
            </w:pPr>
            <w:r>
              <w:rPr>
                <w:rFonts w:ascii="Calibri"/>
                <w:w w:val="100"/>
                <w:sz w:val="22"/>
              </w:rPr>
              <w:t>0</w:t>
            </w:r>
          </w:p>
        </w:tc>
      </w:tr>
      <w:tr>
        <w:trPr>
          <w:trHeight w:val="310" w:hRule="exact"/>
        </w:trPr>
        <w:tc>
          <w:tcPr>
            <w:tcW w:w="689" w:type="dxa"/>
          </w:tcPr>
          <w:p>
            <w:pPr>
              <w:pStyle w:val="TableParagraph"/>
              <w:spacing w:before="25"/>
              <w:ind w:left="44" w:right="45"/>
              <w:rPr>
                <w:rFonts w:ascii="Calibri"/>
                <w:sz w:val="22"/>
              </w:rPr>
            </w:pPr>
            <w:r>
              <w:rPr>
                <w:rFonts w:ascii="Calibri"/>
                <w:sz w:val="22"/>
              </w:rPr>
              <w:t>0.0%</w:t>
            </w:r>
          </w:p>
        </w:tc>
        <w:tc>
          <w:tcPr>
            <w:tcW w:w="734" w:type="dxa"/>
          </w:tcPr>
          <w:p>
            <w:pPr>
              <w:pStyle w:val="TableParagraph"/>
              <w:spacing w:before="25"/>
              <w:ind w:left="69" w:right="68"/>
              <w:rPr>
                <w:rFonts w:ascii="Calibri"/>
                <w:sz w:val="22"/>
              </w:rPr>
            </w:pPr>
            <w:r>
              <w:rPr>
                <w:rFonts w:ascii="Calibri"/>
                <w:sz w:val="22"/>
              </w:rPr>
              <w:t>0.0%</w:t>
            </w:r>
          </w:p>
        </w:tc>
        <w:tc>
          <w:tcPr>
            <w:tcW w:w="697" w:type="dxa"/>
          </w:tcPr>
          <w:p>
            <w:pPr>
              <w:pStyle w:val="TableParagraph"/>
              <w:spacing w:before="25"/>
              <w:ind w:left="48" w:right="50"/>
              <w:rPr>
                <w:rFonts w:ascii="Calibri"/>
                <w:sz w:val="22"/>
              </w:rPr>
            </w:pPr>
            <w:r>
              <w:rPr>
                <w:rFonts w:ascii="Calibri"/>
                <w:sz w:val="22"/>
              </w:rPr>
              <w:t>0.0%</w:t>
            </w:r>
          </w:p>
        </w:tc>
        <w:tc>
          <w:tcPr>
            <w:tcW w:w="694" w:type="dxa"/>
          </w:tcPr>
          <w:p>
            <w:pPr>
              <w:pStyle w:val="TableParagraph"/>
              <w:spacing w:before="25"/>
              <w:ind w:left="47" w:right="48"/>
              <w:rPr>
                <w:rFonts w:ascii="Calibri"/>
                <w:sz w:val="22"/>
              </w:rPr>
            </w:pPr>
            <w:r>
              <w:rPr>
                <w:rFonts w:ascii="Calibri"/>
                <w:sz w:val="22"/>
              </w:rPr>
              <w:t>0.0%</w:t>
            </w:r>
          </w:p>
        </w:tc>
        <w:tc>
          <w:tcPr>
            <w:tcW w:w="1034" w:type="dxa"/>
          </w:tcPr>
          <w:p>
            <w:pPr>
              <w:pStyle w:val="TableParagraph"/>
              <w:spacing w:before="25"/>
              <w:ind w:left="217" w:right="218"/>
              <w:rPr>
                <w:rFonts w:ascii="Calibri"/>
                <w:sz w:val="22"/>
              </w:rPr>
            </w:pPr>
            <w:r>
              <w:rPr>
                <w:rFonts w:ascii="Calibri"/>
                <w:sz w:val="22"/>
              </w:rPr>
              <w:t>2.4%</w:t>
            </w:r>
          </w:p>
        </w:tc>
        <w:tc>
          <w:tcPr>
            <w:tcW w:w="1198" w:type="dxa"/>
          </w:tcPr>
          <w:p>
            <w:pPr>
              <w:pStyle w:val="TableParagraph"/>
              <w:spacing w:before="25"/>
              <w:ind w:left="300" w:right="301"/>
              <w:rPr>
                <w:rFonts w:ascii="Calibri"/>
                <w:sz w:val="22"/>
              </w:rPr>
            </w:pPr>
            <w:r>
              <w:rPr>
                <w:rFonts w:ascii="Calibri"/>
                <w:sz w:val="22"/>
              </w:rPr>
              <w:t>4.0%</w:t>
            </w:r>
          </w:p>
        </w:tc>
        <w:tc>
          <w:tcPr>
            <w:tcW w:w="1094" w:type="dxa"/>
          </w:tcPr>
          <w:p>
            <w:pPr>
              <w:pStyle w:val="TableParagraph"/>
              <w:spacing w:before="25"/>
              <w:ind w:left="249" w:right="248"/>
              <w:rPr>
                <w:rFonts w:ascii="Calibri"/>
                <w:sz w:val="22"/>
              </w:rPr>
            </w:pPr>
            <w:r>
              <w:rPr>
                <w:rFonts w:ascii="Calibri"/>
                <w:sz w:val="22"/>
              </w:rPr>
              <w:t>1.6%</w:t>
            </w:r>
          </w:p>
        </w:tc>
        <w:tc>
          <w:tcPr>
            <w:tcW w:w="1397" w:type="dxa"/>
          </w:tcPr>
          <w:p>
            <w:pPr>
              <w:pStyle w:val="TableParagraph"/>
              <w:spacing w:before="25"/>
              <w:ind w:right="475"/>
              <w:jc w:val="right"/>
              <w:rPr>
                <w:rFonts w:ascii="Calibri"/>
                <w:sz w:val="22"/>
              </w:rPr>
            </w:pPr>
            <w:r>
              <w:rPr>
                <w:rFonts w:ascii="Calibri"/>
                <w:sz w:val="22"/>
              </w:rPr>
              <w:t>0.0%</w:t>
            </w:r>
          </w:p>
        </w:tc>
      </w:tr>
      <w:tr>
        <w:trPr>
          <w:trHeight w:val="310" w:hRule="exact"/>
        </w:trPr>
        <w:tc>
          <w:tcPr>
            <w:tcW w:w="7538" w:type="dxa"/>
            <w:gridSpan w:val="8"/>
          </w:tcPr>
          <w:p>
            <w:pPr>
              <w:pStyle w:val="TableParagraph"/>
              <w:spacing w:before="25"/>
              <w:ind w:left="3007" w:right="3004"/>
              <w:rPr>
                <w:rFonts w:ascii="Calibri"/>
                <w:b/>
                <w:sz w:val="22"/>
              </w:rPr>
            </w:pPr>
            <w:r>
              <w:rPr>
                <w:rFonts w:ascii="Calibri"/>
                <w:b/>
                <w:sz w:val="22"/>
              </w:rPr>
              <w:t>OTROS</w:t>
            </w:r>
          </w:p>
        </w:tc>
      </w:tr>
      <w:tr>
        <w:trPr>
          <w:trHeight w:val="310" w:hRule="exact"/>
        </w:trPr>
        <w:tc>
          <w:tcPr>
            <w:tcW w:w="689" w:type="dxa"/>
          </w:tcPr>
          <w:p>
            <w:pPr>
              <w:pStyle w:val="TableParagraph"/>
              <w:spacing w:before="25"/>
              <w:rPr>
                <w:rFonts w:ascii="Calibri"/>
                <w:sz w:val="22"/>
              </w:rPr>
            </w:pPr>
            <w:r>
              <w:rPr>
                <w:rFonts w:ascii="Calibri"/>
                <w:w w:val="100"/>
                <w:sz w:val="22"/>
              </w:rPr>
              <w:t>0</w:t>
            </w:r>
          </w:p>
        </w:tc>
        <w:tc>
          <w:tcPr>
            <w:tcW w:w="734" w:type="dxa"/>
          </w:tcPr>
          <w:p>
            <w:pPr>
              <w:pStyle w:val="TableParagraph"/>
              <w:spacing w:before="25"/>
              <w:ind w:left="1"/>
              <w:rPr>
                <w:rFonts w:ascii="Calibri"/>
                <w:sz w:val="22"/>
              </w:rPr>
            </w:pPr>
            <w:r>
              <w:rPr>
                <w:rFonts w:ascii="Calibri"/>
                <w:w w:val="100"/>
                <w:sz w:val="22"/>
              </w:rPr>
              <w:t>3</w:t>
            </w:r>
          </w:p>
        </w:tc>
        <w:tc>
          <w:tcPr>
            <w:tcW w:w="697" w:type="dxa"/>
          </w:tcPr>
          <w:p>
            <w:pPr>
              <w:pStyle w:val="TableParagraph"/>
              <w:spacing w:before="25"/>
              <w:rPr>
                <w:rFonts w:ascii="Calibri"/>
                <w:sz w:val="22"/>
              </w:rPr>
            </w:pPr>
            <w:r>
              <w:rPr>
                <w:rFonts w:ascii="Calibri"/>
                <w:w w:val="100"/>
                <w:sz w:val="22"/>
              </w:rPr>
              <w:t>1</w:t>
            </w:r>
          </w:p>
        </w:tc>
        <w:tc>
          <w:tcPr>
            <w:tcW w:w="694" w:type="dxa"/>
          </w:tcPr>
          <w:p>
            <w:pPr>
              <w:pStyle w:val="TableParagraph"/>
              <w:spacing w:before="25"/>
              <w:rPr>
                <w:rFonts w:ascii="Calibri"/>
                <w:sz w:val="22"/>
              </w:rPr>
            </w:pPr>
            <w:r>
              <w:rPr>
                <w:rFonts w:ascii="Calibri"/>
                <w:w w:val="100"/>
                <w:sz w:val="22"/>
              </w:rPr>
              <w:t>1</w:t>
            </w:r>
          </w:p>
        </w:tc>
        <w:tc>
          <w:tcPr>
            <w:tcW w:w="1034" w:type="dxa"/>
          </w:tcPr>
          <w:p>
            <w:pPr>
              <w:pStyle w:val="TableParagraph"/>
              <w:spacing w:before="25"/>
              <w:rPr>
                <w:rFonts w:ascii="Calibri"/>
                <w:sz w:val="22"/>
              </w:rPr>
            </w:pPr>
            <w:r>
              <w:rPr>
                <w:rFonts w:ascii="Calibri"/>
                <w:w w:val="100"/>
                <w:sz w:val="22"/>
              </w:rPr>
              <w:t>2</w:t>
            </w:r>
          </w:p>
        </w:tc>
        <w:tc>
          <w:tcPr>
            <w:tcW w:w="1198" w:type="dxa"/>
          </w:tcPr>
          <w:p>
            <w:pPr>
              <w:pStyle w:val="TableParagraph"/>
              <w:spacing w:before="25"/>
              <w:rPr>
                <w:rFonts w:ascii="Calibri"/>
                <w:sz w:val="22"/>
              </w:rPr>
            </w:pPr>
            <w:r>
              <w:rPr>
                <w:rFonts w:ascii="Calibri"/>
                <w:w w:val="100"/>
                <w:sz w:val="22"/>
              </w:rPr>
              <w:t>0</w:t>
            </w:r>
          </w:p>
        </w:tc>
        <w:tc>
          <w:tcPr>
            <w:tcW w:w="1094" w:type="dxa"/>
          </w:tcPr>
          <w:p>
            <w:pPr>
              <w:pStyle w:val="TableParagraph"/>
              <w:spacing w:before="25"/>
              <w:ind w:left="1"/>
              <w:rPr>
                <w:rFonts w:ascii="Calibri"/>
                <w:sz w:val="22"/>
              </w:rPr>
            </w:pPr>
            <w:r>
              <w:rPr>
                <w:rFonts w:ascii="Calibri"/>
                <w:w w:val="100"/>
                <w:sz w:val="22"/>
              </w:rPr>
              <w:t>0</w:t>
            </w:r>
          </w:p>
        </w:tc>
        <w:tc>
          <w:tcPr>
            <w:tcW w:w="1397" w:type="dxa"/>
          </w:tcPr>
          <w:p>
            <w:pPr>
              <w:pStyle w:val="TableParagraph"/>
              <w:spacing w:before="25"/>
              <w:ind w:right="1"/>
              <w:rPr>
                <w:rFonts w:ascii="Calibri"/>
                <w:sz w:val="22"/>
              </w:rPr>
            </w:pPr>
            <w:r>
              <w:rPr>
                <w:rFonts w:ascii="Calibri"/>
                <w:w w:val="100"/>
                <w:sz w:val="22"/>
              </w:rPr>
              <w:t>0</w:t>
            </w:r>
          </w:p>
        </w:tc>
      </w:tr>
      <w:tr>
        <w:trPr>
          <w:trHeight w:val="312" w:hRule="exact"/>
        </w:trPr>
        <w:tc>
          <w:tcPr>
            <w:tcW w:w="689" w:type="dxa"/>
          </w:tcPr>
          <w:p>
            <w:pPr>
              <w:pStyle w:val="TableParagraph"/>
              <w:spacing w:before="27"/>
              <w:ind w:left="44" w:right="45"/>
              <w:rPr>
                <w:rFonts w:ascii="Calibri"/>
                <w:sz w:val="22"/>
              </w:rPr>
            </w:pPr>
            <w:r>
              <w:rPr>
                <w:rFonts w:ascii="Calibri"/>
                <w:sz w:val="22"/>
              </w:rPr>
              <w:t>0.0%</w:t>
            </w:r>
          </w:p>
        </w:tc>
        <w:tc>
          <w:tcPr>
            <w:tcW w:w="734" w:type="dxa"/>
          </w:tcPr>
          <w:p>
            <w:pPr>
              <w:pStyle w:val="TableParagraph"/>
              <w:spacing w:before="27"/>
              <w:ind w:left="69" w:right="68"/>
              <w:rPr>
                <w:rFonts w:ascii="Calibri"/>
                <w:sz w:val="22"/>
              </w:rPr>
            </w:pPr>
            <w:r>
              <w:rPr>
                <w:rFonts w:ascii="Calibri"/>
                <w:sz w:val="22"/>
              </w:rPr>
              <w:t>2.5%</w:t>
            </w:r>
          </w:p>
        </w:tc>
        <w:tc>
          <w:tcPr>
            <w:tcW w:w="697" w:type="dxa"/>
          </w:tcPr>
          <w:p>
            <w:pPr>
              <w:pStyle w:val="TableParagraph"/>
              <w:spacing w:before="27"/>
              <w:ind w:left="48" w:right="50"/>
              <w:rPr>
                <w:rFonts w:ascii="Calibri"/>
                <w:sz w:val="22"/>
              </w:rPr>
            </w:pPr>
            <w:r>
              <w:rPr>
                <w:rFonts w:ascii="Calibri"/>
                <w:sz w:val="22"/>
              </w:rPr>
              <w:t>0.8%</w:t>
            </w:r>
          </w:p>
        </w:tc>
        <w:tc>
          <w:tcPr>
            <w:tcW w:w="694" w:type="dxa"/>
          </w:tcPr>
          <w:p>
            <w:pPr>
              <w:pStyle w:val="TableParagraph"/>
              <w:spacing w:before="27"/>
              <w:ind w:left="47" w:right="48"/>
              <w:rPr>
                <w:rFonts w:ascii="Calibri"/>
                <w:sz w:val="22"/>
              </w:rPr>
            </w:pPr>
            <w:r>
              <w:rPr>
                <w:rFonts w:ascii="Calibri"/>
                <w:sz w:val="22"/>
              </w:rPr>
              <w:t>0.8%</w:t>
            </w:r>
          </w:p>
        </w:tc>
        <w:tc>
          <w:tcPr>
            <w:tcW w:w="1034" w:type="dxa"/>
          </w:tcPr>
          <w:p>
            <w:pPr>
              <w:pStyle w:val="TableParagraph"/>
              <w:spacing w:before="27"/>
              <w:ind w:left="217" w:right="218"/>
              <w:rPr>
                <w:rFonts w:ascii="Calibri"/>
                <w:sz w:val="22"/>
              </w:rPr>
            </w:pPr>
            <w:r>
              <w:rPr>
                <w:rFonts w:ascii="Calibri"/>
                <w:sz w:val="22"/>
              </w:rPr>
              <w:t>1.6%</w:t>
            </w:r>
          </w:p>
        </w:tc>
        <w:tc>
          <w:tcPr>
            <w:tcW w:w="1198" w:type="dxa"/>
          </w:tcPr>
          <w:p>
            <w:pPr>
              <w:pStyle w:val="TableParagraph"/>
              <w:spacing w:before="27"/>
              <w:ind w:left="300" w:right="301"/>
              <w:rPr>
                <w:rFonts w:ascii="Calibri"/>
                <w:sz w:val="22"/>
              </w:rPr>
            </w:pPr>
            <w:r>
              <w:rPr>
                <w:rFonts w:ascii="Calibri"/>
                <w:sz w:val="22"/>
              </w:rPr>
              <w:t>0.0%</w:t>
            </w:r>
          </w:p>
        </w:tc>
        <w:tc>
          <w:tcPr>
            <w:tcW w:w="1094" w:type="dxa"/>
          </w:tcPr>
          <w:p>
            <w:pPr>
              <w:pStyle w:val="TableParagraph"/>
              <w:spacing w:before="27"/>
              <w:ind w:left="249" w:right="248"/>
              <w:rPr>
                <w:rFonts w:ascii="Calibri"/>
                <w:sz w:val="22"/>
              </w:rPr>
            </w:pPr>
            <w:r>
              <w:rPr>
                <w:rFonts w:ascii="Calibri"/>
                <w:sz w:val="22"/>
              </w:rPr>
              <w:t>0.0%</w:t>
            </w:r>
          </w:p>
        </w:tc>
        <w:tc>
          <w:tcPr>
            <w:tcW w:w="1397" w:type="dxa"/>
          </w:tcPr>
          <w:p>
            <w:pPr>
              <w:pStyle w:val="TableParagraph"/>
              <w:spacing w:before="27"/>
              <w:ind w:right="475"/>
              <w:jc w:val="right"/>
              <w:rPr>
                <w:rFonts w:ascii="Calibri"/>
                <w:sz w:val="22"/>
              </w:rPr>
            </w:pPr>
            <w:r>
              <w:rPr>
                <w:rFonts w:ascii="Calibri"/>
                <w:sz w:val="22"/>
              </w:rPr>
              <w:t>0.0%</w:t>
            </w:r>
          </w:p>
        </w:tc>
      </w:tr>
    </w:tbl>
    <w:p>
      <w:pPr>
        <w:spacing w:before="25"/>
        <w:ind w:left="821" w:right="0" w:firstLine="0"/>
        <w:jc w:val="left"/>
        <w:rPr>
          <w:rFonts w:ascii="Calibri" w:hAnsi="Calibri"/>
          <w:sz w:val="22"/>
        </w:rPr>
      </w:pPr>
      <w:r>
        <w:rPr>
          <w:rFonts w:ascii="Calibri" w:hAnsi="Calibri"/>
          <w:b/>
          <w:sz w:val="22"/>
        </w:rPr>
        <w:t>Fuente: </w:t>
      </w:r>
      <w:r>
        <w:rPr>
          <w:rFonts w:ascii="Calibri" w:hAnsi="Calibri"/>
          <w:sz w:val="22"/>
        </w:rPr>
        <w:t>Elaboración propia con datos del IEEM.</w:t>
      </w:r>
    </w:p>
    <w:p>
      <w:pPr>
        <w:pStyle w:val="BodyText"/>
        <w:rPr>
          <w:rFonts w:ascii="Calibri"/>
          <w:sz w:val="20"/>
        </w:rPr>
      </w:pPr>
    </w:p>
    <w:p>
      <w:pPr>
        <w:pStyle w:val="BodyText"/>
        <w:spacing w:before="5"/>
        <w:rPr>
          <w:rFonts w:ascii="Calibri"/>
          <w:sz w:val="21"/>
        </w:rPr>
      </w:pPr>
    </w:p>
    <w:p>
      <w:pPr>
        <w:pStyle w:val="BodyText"/>
        <w:spacing w:line="360" w:lineRule="auto" w:before="70"/>
        <w:ind w:left="102" w:right="115"/>
        <w:jc w:val="both"/>
      </w:pPr>
      <w:r>
        <w:rPr/>
        <w:t>En</w:t>
      </w:r>
      <w:r>
        <w:rPr>
          <w:spacing w:val="-4"/>
        </w:rPr>
        <w:t> </w:t>
      </w:r>
      <w:r>
        <w:rPr/>
        <w:t>la</w:t>
      </w:r>
      <w:r>
        <w:rPr>
          <w:spacing w:val="-6"/>
        </w:rPr>
        <w:t> </w:t>
      </w:r>
      <w:r>
        <w:rPr/>
        <w:t>tabla</w:t>
      </w:r>
      <w:r>
        <w:rPr>
          <w:spacing w:val="-6"/>
        </w:rPr>
        <w:t> </w:t>
      </w:r>
      <w:r>
        <w:rPr/>
        <w:t>anterior</w:t>
      </w:r>
      <w:r>
        <w:rPr>
          <w:spacing w:val="-5"/>
        </w:rPr>
        <w:t> </w:t>
      </w:r>
      <w:r>
        <w:rPr/>
        <w:t>se</w:t>
      </w:r>
      <w:r>
        <w:rPr>
          <w:spacing w:val="-6"/>
        </w:rPr>
        <w:t> </w:t>
      </w:r>
      <w:r>
        <w:rPr/>
        <w:t>describen</w:t>
      </w:r>
      <w:r>
        <w:rPr>
          <w:spacing w:val="-6"/>
        </w:rPr>
        <w:t> </w:t>
      </w:r>
      <w:r>
        <w:rPr/>
        <w:t>los</w:t>
      </w:r>
      <w:r>
        <w:rPr>
          <w:spacing w:val="-6"/>
        </w:rPr>
        <w:t> </w:t>
      </w:r>
      <w:r>
        <w:rPr/>
        <w:t>porcentajes</w:t>
      </w:r>
      <w:r>
        <w:rPr>
          <w:spacing w:val="-4"/>
        </w:rPr>
        <w:t> </w:t>
      </w:r>
      <w:r>
        <w:rPr/>
        <w:t>por</w:t>
      </w:r>
      <w:r>
        <w:rPr>
          <w:spacing w:val="-7"/>
        </w:rPr>
        <w:t> </w:t>
      </w:r>
      <w:r>
        <w:rPr/>
        <w:t>año</w:t>
      </w:r>
      <w:r>
        <w:rPr>
          <w:spacing w:val="-2"/>
        </w:rPr>
        <w:t> </w:t>
      </w:r>
      <w:r>
        <w:rPr/>
        <w:t>de</w:t>
      </w:r>
      <w:r>
        <w:rPr>
          <w:spacing w:val="-6"/>
        </w:rPr>
        <w:t> </w:t>
      </w:r>
      <w:r>
        <w:rPr/>
        <w:t>municipios</w:t>
      </w:r>
      <w:r>
        <w:rPr>
          <w:spacing w:val="-4"/>
        </w:rPr>
        <w:t> </w:t>
      </w:r>
      <w:r>
        <w:rPr/>
        <w:t>gobernados por los partidos políticos durante el periodo 1990-2015. Se encontró que el PRI durante el año 1990 fue el partido que más municipios gobernó en el Estado de México, con un total de 116 y un porcentaje del 95.9%. Sin embargo, el 2006 fue</w:t>
      </w:r>
      <w:r>
        <w:rPr>
          <w:spacing w:val="-33"/>
        </w:rPr>
        <w:t> </w:t>
      </w:r>
      <w:r>
        <w:rPr/>
        <w:t>el año con menos municipios gobernados por este partido, con un total de 55 y un porcentaje del 44.0%. Por otra parte, el mejor año para el partido PAN fue el 2000, ya que llegó a gobernar 30 municipios, obteniendo un porcentaje del 24.6%, en cambio, 1990 representó el año con menos municipios gobernados por el partido blanquiazul, con solo dos y un porcentaje del 1.7%. En el PRD hubo 37 municipios gobernados en el año 2006, con un porcentaje de 29.6%, en tanto, el periodo más bajo del perredismo fue en los años de 1990 y 1993, con 3 municipios gobernados y un porcentaje del 2.5%. El PT 3 años, 2003, 2009 y 2013, estuvo gobernando 4 municipios, con porcentaje en los 3 años del</w:t>
      </w:r>
      <w:r>
        <w:rPr>
          <w:spacing w:val="-13"/>
        </w:rPr>
        <w:t> </w:t>
      </w:r>
      <w:r>
        <w:rPr/>
        <w:t>3.2%.</w:t>
      </w:r>
    </w:p>
    <w:p>
      <w:pPr>
        <w:spacing w:after="0" w:line="360" w:lineRule="auto"/>
        <w:jc w:val="both"/>
        <w:sectPr>
          <w:pgSz w:w="12240" w:h="15840"/>
          <w:pgMar w:header="0" w:footer="975" w:top="1420" w:bottom="1220" w:left="1600" w:right="1580"/>
        </w:sectPr>
      </w:pPr>
    </w:p>
    <w:p>
      <w:pPr>
        <w:pStyle w:val="BodyText"/>
        <w:spacing w:line="360" w:lineRule="auto" w:before="54"/>
        <w:ind w:left="122" w:right="115"/>
        <w:jc w:val="both"/>
      </w:pPr>
      <w:r>
        <w:rPr/>
        <w:pict>
          <v:group style="position:absolute;margin-left:88.25pt;margin-top:101.385834pt;width:435.5pt;height:247.25pt;mso-position-horizontal-relative:page;mso-position-vertical-relative:paragraph;z-index:-2770624" coordorigin="1765,2028" coordsize="8710,4945">
            <v:line style="position:absolute" from="2390,5751" to="8383,5751" stroked="true" strokeweight=".5pt" strokecolor="#b7b7b7"/>
            <v:shape style="position:absolute;left:2764;top:5516;width:5245;height:660" coordorigin="2764,5516" coordsize="5245,660" path="m2764,6176l3514,5941,4262,5703,5011,5516,5760,5658,6511,5634,7260,5917,8009,5845e" filled="false" stroked="true" strokeweight="2pt" strokecolor="#006fc0">
              <v:path arrowok="t"/>
            </v:shape>
            <v:line style="position:absolute" from="2390,5281" to="8383,5281" stroked="true" strokeweight=".5pt" strokecolor="#b7b7b7"/>
            <v:shape style="position:absolute;left:2764;top:5351;width:5245;height:802" coordorigin="2764,5351" coordsize="5245,802" path="m2764,6152l3514,6152,4262,5610,5011,5727,5760,5682,6511,5351,7260,6010,8009,5962e" filled="false" stroked="true" strokeweight="2pt" strokecolor="#ffff00">
              <v:path arrowok="t"/>
            </v:shape>
            <v:shape style="position:absolute;left:2764;top:6128;width:5245;height:95" coordorigin="2764,6128" coordsize="5245,95" path="m2764,6223l3514,6223,4262,6223,5011,6200,5760,6128,6511,6152,7260,6128,8009,6128e" filled="false" stroked="true" strokeweight="2pt" strokecolor="#ffc000">
              <v:path arrowok="t"/>
            </v:shape>
            <v:shape style="position:absolute;left:2764;top:6105;width:5245;height:118" coordorigin="2764,6105" coordsize="5245,118" path="m2764,6223l3514,6223,4262,6223,5011,6223,5760,6152,6511,6105,7260,6176,8009,6223e" filled="false" stroked="true" strokeweight="2pt" strokecolor="#3d2512">
              <v:path arrowok="t"/>
            </v:shape>
            <v:shape style="position:absolute;left:2764;top:6152;width:5245;height:71" coordorigin="2764,6152" coordsize="5245,71" path="m2764,6223l3514,6152,4262,6200,5011,6200,5760,6176,6511,6223,7260,6223,8009,6223e" filled="false" stroked="true" strokeweight="2pt" strokecolor="#000000">
              <v:path arrowok="t"/>
            </v:shape>
            <v:shape style="position:absolute;left:2390;top:4338;width:5994;height:471" coordorigin="2390,4338" coordsize="5994,471" path="m2390,4808l8383,4808m2390,4338l8383,4338e" filled="false" stroked="true" strokeweight=".5pt" strokecolor="#b7b7b7">
              <v:path arrowok="t"/>
            </v:shape>
            <v:shape style="position:absolute;left:2764;top:3489;width:5245;height:1438" coordorigin="2764,3489" coordsize="5245,1438" path="m2764,3489l3514,3795,4262,4503,5011,4597,5760,4621,6511,4926,7260,3937,8009,4006e" filled="false" stroked="true" strokeweight="2pt" strokecolor="#ff0000">
              <v:path arrowok="t"/>
            </v:shape>
            <v:shape style="position:absolute;left:2390;top:2923;width:5994;height:472" coordorigin="2390,2923" coordsize="5994,472" path="m2390,3394l8383,3394m2390,2923l8383,2923e" filled="false" stroked="true" strokeweight=".5pt" strokecolor="#b7b7b7">
              <v:path arrowok="t"/>
            </v:shape>
            <v:line style="position:absolute" from="8751,3930" to="9135,3930" stroked="true" strokeweight="2pt" strokecolor="#ff0000"/>
            <v:line style="position:absolute" from="8751,4292" to="9135,4292" stroked="true" strokeweight="2pt" strokecolor="#006fc0"/>
            <v:line style="position:absolute" from="8751,4654" to="9135,4654" stroked="true" strokeweight="2pt" strokecolor="#ffff00"/>
            <v:line style="position:absolute" from="8751,5015" to="9135,5015" stroked="true" strokeweight="2pt" strokecolor="#ffc000"/>
            <v:line style="position:absolute" from="8751,5377" to="9135,5377" stroked="true" strokeweight="2pt" strokecolor="#3d2512"/>
            <v:line style="position:absolute" from="8751,5739" to="9135,5739" stroked="true" strokeweight="2pt" strokecolor="#000000"/>
            <v:shape style="position:absolute;left:1770;top:2033;width:8700;height:4935" coordorigin="1770,2033" coordsize="8700,4935" path="m1770,2233l1786,2155,1829,2091,1892,2048,1970,2033,10270,2033,10348,2048,10411,2091,10454,2155,10470,2233,10470,6768,10454,6846,10411,6909,10348,6952,10270,6968,1970,6968,1892,6952,1829,6909,1786,6846,1770,6768,1770,2233xe" filled="false" stroked="true" strokeweight=".5pt" strokecolor="#888888">
              <v:path arrowok="t"/>
            </v:shape>
            <v:shape style="position:absolute;left:2835;top:2224;width:6565;height:444" type="#_x0000_t202" filled="false" stroked="false">
              <v:textbox inset="0,0,0,0">
                <w:txbxContent>
                  <w:p>
                    <w:pPr>
                      <w:spacing w:line="203" w:lineRule="exact" w:before="0"/>
                      <w:ind w:left="0" w:right="0" w:firstLine="0"/>
                      <w:jc w:val="center"/>
                      <w:rPr>
                        <w:rFonts w:ascii="Calibri" w:hAnsi="Calibri"/>
                        <w:b/>
                        <w:sz w:val="20"/>
                      </w:rPr>
                    </w:pPr>
                    <w:r>
                      <w:rPr>
                        <w:rFonts w:ascii="Calibri" w:hAnsi="Calibri"/>
                        <w:b/>
                        <w:sz w:val="20"/>
                      </w:rPr>
                      <w:t>Gráfica</w:t>
                    </w:r>
                    <w:r>
                      <w:rPr>
                        <w:rFonts w:ascii="Calibri" w:hAnsi="Calibri"/>
                        <w:b/>
                        <w:spacing w:val="-4"/>
                        <w:sz w:val="20"/>
                      </w:rPr>
                      <w:t> </w:t>
                    </w:r>
                    <w:r>
                      <w:rPr>
                        <w:rFonts w:ascii="Calibri" w:hAnsi="Calibri"/>
                        <w:b/>
                        <w:sz w:val="20"/>
                      </w:rPr>
                      <w:t>1.3.</w:t>
                    </w:r>
                    <w:r>
                      <w:rPr>
                        <w:rFonts w:ascii="Calibri" w:hAnsi="Calibri"/>
                        <w:b/>
                        <w:spacing w:val="-2"/>
                        <w:sz w:val="20"/>
                      </w:rPr>
                      <w:t> </w:t>
                    </w:r>
                    <w:r>
                      <w:rPr>
                        <w:rFonts w:ascii="Calibri" w:hAnsi="Calibri"/>
                        <w:b/>
                        <w:sz w:val="20"/>
                      </w:rPr>
                      <w:t>Número</w:t>
                    </w:r>
                    <w:r>
                      <w:rPr>
                        <w:rFonts w:ascii="Calibri" w:hAnsi="Calibri"/>
                        <w:b/>
                        <w:spacing w:val="-5"/>
                        <w:sz w:val="20"/>
                      </w:rPr>
                      <w:t> </w:t>
                    </w:r>
                    <w:r>
                      <w:rPr>
                        <w:rFonts w:ascii="Calibri" w:hAnsi="Calibri"/>
                        <w:b/>
                        <w:sz w:val="20"/>
                      </w:rPr>
                      <w:t>de</w:t>
                    </w:r>
                    <w:r>
                      <w:rPr>
                        <w:rFonts w:ascii="Calibri" w:hAnsi="Calibri"/>
                        <w:b/>
                        <w:spacing w:val="-5"/>
                        <w:sz w:val="20"/>
                      </w:rPr>
                      <w:t> </w:t>
                    </w:r>
                    <w:r>
                      <w:rPr>
                        <w:rFonts w:ascii="Calibri" w:hAnsi="Calibri"/>
                        <w:b/>
                        <w:sz w:val="20"/>
                      </w:rPr>
                      <w:t>presidencias</w:t>
                    </w:r>
                    <w:r>
                      <w:rPr>
                        <w:rFonts w:ascii="Calibri" w:hAnsi="Calibri"/>
                        <w:b/>
                        <w:spacing w:val="-4"/>
                        <w:sz w:val="20"/>
                      </w:rPr>
                      <w:t> </w:t>
                    </w:r>
                    <w:r>
                      <w:rPr>
                        <w:rFonts w:ascii="Calibri" w:hAnsi="Calibri"/>
                        <w:b/>
                        <w:sz w:val="20"/>
                      </w:rPr>
                      <w:t>municipales</w:t>
                    </w:r>
                    <w:r>
                      <w:rPr>
                        <w:rFonts w:ascii="Calibri" w:hAnsi="Calibri"/>
                        <w:b/>
                        <w:spacing w:val="-1"/>
                        <w:sz w:val="20"/>
                      </w:rPr>
                      <w:t> </w:t>
                    </w:r>
                    <w:r>
                      <w:rPr>
                        <w:rFonts w:ascii="Calibri" w:hAnsi="Calibri"/>
                        <w:b/>
                        <w:sz w:val="20"/>
                      </w:rPr>
                      <w:t>ganadas</w:t>
                    </w:r>
                    <w:r>
                      <w:rPr>
                        <w:rFonts w:ascii="Calibri" w:hAnsi="Calibri"/>
                        <w:b/>
                        <w:spacing w:val="-4"/>
                        <w:sz w:val="20"/>
                      </w:rPr>
                      <w:t> </w:t>
                    </w:r>
                    <w:r>
                      <w:rPr>
                        <w:rFonts w:ascii="Calibri" w:hAnsi="Calibri"/>
                        <w:b/>
                        <w:sz w:val="20"/>
                      </w:rPr>
                      <w:t>por</w:t>
                    </w:r>
                    <w:r>
                      <w:rPr>
                        <w:rFonts w:ascii="Calibri" w:hAnsi="Calibri"/>
                        <w:b/>
                        <w:spacing w:val="-5"/>
                        <w:sz w:val="20"/>
                      </w:rPr>
                      <w:t> </w:t>
                    </w:r>
                    <w:r>
                      <w:rPr>
                        <w:rFonts w:ascii="Calibri" w:hAnsi="Calibri"/>
                        <w:b/>
                        <w:sz w:val="20"/>
                      </w:rPr>
                      <w:t>los</w:t>
                    </w:r>
                    <w:r>
                      <w:rPr>
                        <w:rFonts w:ascii="Calibri" w:hAnsi="Calibri"/>
                        <w:b/>
                        <w:spacing w:val="-4"/>
                        <w:sz w:val="20"/>
                      </w:rPr>
                      <w:t> </w:t>
                    </w:r>
                    <w:r>
                      <w:rPr>
                        <w:rFonts w:ascii="Calibri" w:hAnsi="Calibri"/>
                        <w:b/>
                        <w:sz w:val="20"/>
                      </w:rPr>
                      <w:t>partidos</w:t>
                    </w:r>
                    <w:r>
                      <w:rPr>
                        <w:rFonts w:ascii="Calibri" w:hAnsi="Calibri"/>
                        <w:b/>
                        <w:spacing w:val="-4"/>
                        <w:sz w:val="20"/>
                      </w:rPr>
                      <w:t> </w:t>
                    </w:r>
                    <w:r>
                      <w:rPr>
                        <w:rFonts w:ascii="Calibri" w:hAnsi="Calibri"/>
                        <w:b/>
                        <w:sz w:val="20"/>
                      </w:rPr>
                      <w:t>en</w:t>
                    </w:r>
                    <w:r>
                      <w:rPr>
                        <w:rFonts w:ascii="Calibri" w:hAnsi="Calibri"/>
                        <w:b/>
                        <w:spacing w:val="-5"/>
                        <w:sz w:val="20"/>
                      </w:rPr>
                      <w:t> </w:t>
                    </w:r>
                    <w:r>
                      <w:rPr>
                        <w:rFonts w:ascii="Calibri" w:hAnsi="Calibri"/>
                        <w:b/>
                        <w:sz w:val="20"/>
                      </w:rPr>
                      <w:t>el</w:t>
                    </w:r>
                  </w:p>
                  <w:p>
                    <w:pPr>
                      <w:spacing w:line="240" w:lineRule="exact" w:before="0"/>
                      <w:ind w:left="5" w:right="0" w:firstLine="0"/>
                      <w:jc w:val="center"/>
                      <w:rPr>
                        <w:rFonts w:ascii="Calibri"/>
                        <w:b/>
                        <w:sz w:val="20"/>
                      </w:rPr>
                    </w:pPr>
                    <w:r>
                      <w:rPr>
                        <w:rFonts w:ascii="Calibri"/>
                        <w:b/>
                        <w:sz w:val="20"/>
                      </w:rPr>
                      <w:t>EDOMEX 1990-2015</w:t>
                    </w:r>
                  </w:p>
                </w:txbxContent>
              </v:textbox>
              <w10:wrap type="none"/>
            </v:shape>
            <v:shape style="position:absolute;left:1900;top:2831;width:305;height:671" type="#_x0000_t202" filled="false" stroked="false">
              <v:textbox inset="0,0,0,0">
                <w:txbxContent>
                  <w:p>
                    <w:pPr>
                      <w:spacing w:line="203" w:lineRule="exact" w:before="0"/>
                      <w:ind w:left="0" w:right="-20" w:firstLine="0"/>
                      <w:jc w:val="left"/>
                      <w:rPr>
                        <w:rFonts w:ascii="Calibri"/>
                        <w:sz w:val="20"/>
                      </w:rPr>
                    </w:pPr>
                    <w:r>
                      <w:rPr>
                        <w:rFonts w:ascii="Calibri"/>
                        <w:sz w:val="20"/>
                      </w:rPr>
                      <w:t>140</w:t>
                    </w:r>
                  </w:p>
                  <w:p>
                    <w:pPr>
                      <w:spacing w:line="240" w:lineRule="auto" w:before="8"/>
                      <w:rPr>
                        <w:sz w:val="19"/>
                      </w:rPr>
                    </w:pPr>
                  </w:p>
                  <w:p>
                    <w:pPr>
                      <w:spacing w:line="240" w:lineRule="exact" w:before="0"/>
                      <w:ind w:left="0" w:right="-20" w:firstLine="0"/>
                      <w:jc w:val="left"/>
                      <w:rPr>
                        <w:rFonts w:ascii="Calibri"/>
                        <w:sz w:val="20"/>
                      </w:rPr>
                    </w:pPr>
                    <w:r>
                      <w:rPr>
                        <w:rFonts w:ascii="Calibri"/>
                        <w:sz w:val="20"/>
                      </w:rPr>
                      <w:t>120</w:t>
                    </w:r>
                  </w:p>
                </w:txbxContent>
              </v:textbox>
              <w10:wrap type="none"/>
            </v:shape>
            <v:shape style="position:absolute;left:2935;top:3408;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116</w:t>
                    </w:r>
                  </w:p>
                </w:txbxContent>
              </v:textbox>
              <w10:wrap type="none"/>
            </v:shape>
            <v:shape style="position:absolute;left:1900;top:3774;width:305;height:200" type="#_x0000_t202" filled="false" stroked="false">
              <v:textbox inset="0,0,0,0">
                <w:txbxContent>
                  <w:p>
                    <w:pPr>
                      <w:spacing w:line="199" w:lineRule="exact" w:before="0"/>
                      <w:ind w:left="0" w:right="-20" w:firstLine="0"/>
                      <w:jc w:val="left"/>
                      <w:rPr>
                        <w:rFonts w:ascii="Calibri"/>
                        <w:sz w:val="20"/>
                      </w:rPr>
                    </w:pPr>
                    <w:r>
                      <w:rPr>
                        <w:rFonts w:ascii="Calibri"/>
                        <w:sz w:val="20"/>
                      </w:rPr>
                      <w:t>100</w:t>
                    </w:r>
                  </w:p>
                </w:txbxContent>
              </v:textbox>
              <w10:wrap type="none"/>
            </v:shape>
            <v:shape style="position:absolute;left:2390;top:3714;width:5994;height:200" type="#_x0000_t202" filled="false" stroked="false">
              <v:textbox inset="0,0,0,0">
                <w:txbxContent>
                  <w:p>
                    <w:pPr>
                      <w:tabs>
                        <w:tab w:pos="1294" w:val="left" w:leader="none"/>
                        <w:tab w:pos="5993" w:val="left" w:leader="none"/>
                      </w:tabs>
                      <w:spacing w:line="199" w:lineRule="exact" w:before="0"/>
                      <w:ind w:left="0" w:right="0" w:firstLine="0"/>
                      <w:jc w:val="left"/>
                      <w:rPr>
                        <w:rFonts w:ascii="Calibri"/>
                        <w:sz w:val="20"/>
                      </w:rPr>
                    </w:pPr>
                    <w:r>
                      <w:rPr>
                        <w:rFonts w:ascii="Calibri"/>
                        <w:w w:val="99"/>
                        <w:sz w:val="20"/>
                        <w:u w:val="single" w:color="B7B7B7"/>
                      </w:rPr>
                      <w:t> </w:t>
                    </w:r>
                    <w:r>
                      <w:rPr>
                        <w:rFonts w:ascii="Calibri"/>
                        <w:sz w:val="20"/>
                        <w:u w:val="single" w:color="B7B7B7"/>
                      </w:rPr>
                      <w:tab/>
                      <w:t>103</w:t>
                      <w:tab/>
                    </w:r>
                  </w:p>
                </w:txbxContent>
              </v:textbox>
              <w10:wrap type="none"/>
            </v:shape>
            <v:shape style="position:absolute;left:7430;top:3856;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97</w:t>
                    </w:r>
                  </w:p>
                </w:txbxContent>
              </v:textbox>
              <w10:wrap type="none"/>
            </v:shape>
            <v:shape style="position:absolute;left:8179;top:3926;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94</w:t>
                    </w:r>
                  </w:p>
                </w:txbxContent>
              </v:textbox>
              <w10:wrap type="none"/>
            </v:shape>
            <v:shape style="position:absolute;left:2002;top:4245;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80</w:t>
                    </w:r>
                  </w:p>
                </w:txbxContent>
              </v:textbox>
              <w10:wrap type="none"/>
            </v:shape>
            <v:shape style="position:absolute;left:4433;top:4421;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73</w:t>
                    </w:r>
                  </w:p>
                </w:txbxContent>
              </v:textbox>
              <w10:wrap type="none"/>
            </v:shape>
            <v:shape style="position:absolute;left:5182;top:4516;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69</w:t>
                    </w:r>
                  </w:p>
                </w:txbxContent>
              </v:textbox>
              <w10:wrap type="none"/>
            </v:shape>
            <v:shape style="position:absolute;left:5931;top:4539;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68</w:t>
                    </w:r>
                  </w:p>
                </w:txbxContent>
              </v:textbox>
              <w10:wrap type="none"/>
            </v:shape>
            <v:shape style="position:absolute;left:2002;top:4717;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60</w:t>
                    </w:r>
                  </w:p>
                </w:txbxContent>
              </v:textbox>
              <w10:wrap type="none"/>
            </v:shape>
            <v:shape style="position:absolute;left:6681;top:4845;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55</w:t>
                    </w:r>
                  </w:p>
                </w:txbxContent>
              </v:textbox>
              <w10:wrap type="none"/>
            </v:shape>
            <v:shape style="position:absolute;left:2002;top:5188;width:202;height:671" type="#_x0000_t202" filled="false" stroked="false">
              <v:textbox inset="0,0,0,0">
                <w:txbxContent>
                  <w:p>
                    <w:pPr>
                      <w:spacing w:line="203" w:lineRule="exact" w:before="0"/>
                      <w:ind w:left="0" w:right="-19" w:firstLine="0"/>
                      <w:jc w:val="left"/>
                      <w:rPr>
                        <w:rFonts w:ascii="Calibri"/>
                        <w:sz w:val="20"/>
                      </w:rPr>
                    </w:pPr>
                    <w:r>
                      <w:rPr>
                        <w:rFonts w:ascii="Calibri"/>
                        <w:spacing w:val="-1"/>
                        <w:sz w:val="20"/>
                      </w:rPr>
                      <w:t>40</w:t>
                    </w:r>
                  </w:p>
                  <w:p>
                    <w:pPr>
                      <w:spacing w:line="240" w:lineRule="auto" w:before="8"/>
                      <w:rPr>
                        <w:sz w:val="19"/>
                      </w:rPr>
                    </w:pPr>
                  </w:p>
                  <w:p>
                    <w:pPr>
                      <w:spacing w:line="240" w:lineRule="exact" w:before="0"/>
                      <w:ind w:left="0" w:right="-19" w:firstLine="0"/>
                      <w:jc w:val="left"/>
                      <w:rPr>
                        <w:rFonts w:ascii="Calibri"/>
                        <w:sz w:val="20"/>
                      </w:rPr>
                    </w:pPr>
                    <w:r>
                      <w:rPr>
                        <w:rFonts w:ascii="Calibri"/>
                        <w:spacing w:val="-1"/>
                        <w:sz w:val="20"/>
                      </w:rPr>
                      <w:t>20</w:t>
                    </w:r>
                  </w:p>
                </w:txbxContent>
              </v:textbox>
              <w10:wrap type="none"/>
            </v:shape>
            <v:shape style="position:absolute;left:4433;top:5529;width:202;height:294" type="#_x0000_t202" filled="false" stroked="false">
              <v:textbox inset="0,0,0,0">
                <w:txbxContent>
                  <w:p>
                    <w:pPr>
                      <w:spacing w:line="293" w:lineRule="exact" w:before="0"/>
                      <w:ind w:left="0" w:right="-18" w:firstLine="0"/>
                      <w:jc w:val="left"/>
                      <w:rPr>
                        <w:rFonts w:ascii="Calibri"/>
                        <w:sz w:val="20"/>
                      </w:rPr>
                    </w:pPr>
                    <w:r>
                      <w:rPr>
                        <w:rFonts w:ascii="Calibri"/>
                        <w:spacing w:val="-101"/>
                        <w:w w:val="99"/>
                        <w:position w:val="-8"/>
                        <w:sz w:val="20"/>
                      </w:rPr>
                      <w:t>2</w:t>
                    </w:r>
                    <w:r>
                      <w:rPr>
                        <w:rFonts w:ascii="Calibri"/>
                        <w:spacing w:val="-1"/>
                        <w:w w:val="99"/>
                        <w:sz w:val="20"/>
                      </w:rPr>
                      <w:t>2</w:t>
                    </w:r>
                    <w:r>
                      <w:rPr>
                        <w:rFonts w:ascii="Calibri"/>
                        <w:spacing w:val="-101"/>
                        <w:w w:val="99"/>
                        <w:position w:val="-8"/>
                        <w:sz w:val="20"/>
                      </w:rPr>
                      <w:t>2</w:t>
                    </w:r>
                    <w:r>
                      <w:rPr>
                        <w:rFonts w:ascii="Calibri"/>
                        <w:spacing w:val="-1"/>
                        <w:w w:val="99"/>
                        <w:sz w:val="20"/>
                      </w:rPr>
                      <w:t>6</w:t>
                    </w:r>
                  </w:p>
                </w:txbxContent>
              </v:textbox>
              <w10:wrap type="none"/>
            </v:shape>
            <v:shape style="position:absolute;left:5182;top:5435;width:202;height:412" type="#_x0000_t202" filled="false" stroked="false">
              <v:textbox inset="0,0,0,0">
                <w:txbxContent>
                  <w:p>
                    <w:pPr>
                      <w:spacing w:line="187" w:lineRule="exact" w:before="0"/>
                      <w:ind w:left="0" w:right="-19" w:firstLine="0"/>
                      <w:jc w:val="left"/>
                      <w:rPr>
                        <w:rFonts w:ascii="Calibri"/>
                        <w:sz w:val="20"/>
                      </w:rPr>
                    </w:pPr>
                    <w:r>
                      <w:rPr>
                        <w:rFonts w:ascii="Calibri"/>
                        <w:spacing w:val="-1"/>
                        <w:sz w:val="20"/>
                      </w:rPr>
                      <w:t>30</w:t>
                    </w:r>
                  </w:p>
                  <w:p>
                    <w:pPr>
                      <w:spacing w:line="224" w:lineRule="exact" w:before="0"/>
                      <w:ind w:left="0" w:right="-19" w:firstLine="0"/>
                      <w:jc w:val="left"/>
                      <w:rPr>
                        <w:rFonts w:ascii="Calibri"/>
                        <w:sz w:val="20"/>
                      </w:rPr>
                    </w:pPr>
                    <w:r>
                      <w:rPr>
                        <w:rFonts w:ascii="Calibri"/>
                        <w:spacing w:val="-1"/>
                        <w:sz w:val="20"/>
                      </w:rPr>
                      <w:t>21</w:t>
                    </w:r>
                  </w:p>
                </w:txbxContent>
              </v:textbox>
              <w10:wrap type="none"/>
            </v:shape>
            <v:shape style="position:absolute;left:5931;top:5576;width:202;height:223" type="#_x0000_t202" filled="false" stroked="false">
              <v:textbox inset="0,0,0,0">
                <w:txbxContent>
                  <w:p>
                    <w:pPr>
                      <w:spacing w:line="223" w:lineRule="exact" w:before="0"/>
                      <w:ind w:left="0" w:right="-18" w:firstLine="0"/>
                      <w:jc w:val="left"/>
                      <w:rPr>
                        <w:rFonts w:ascii="Calibri"/>
                        <w:sz w:val="20"/>
                      </w:rPr>
                    </w:pPr>
                    <w:r>
                      <w:rPr>
                        <w:rFonts w:ascii="Calibri"/>
                        <w:spacing w:val="-101"/>
                        <w:w w:val="99"/>
                        <w:sz w:val="20"/>
                      </w:rPr>
                      <w:t>2</w:t>
                    </w:r>
                    <w:r>
                      <w:rPr>
                        <w:rFonts w:ascii="Calibri"/>
                        <w:spacing w:val="-1"/>
                        <w:w w:val="99"/>
                        <w:position w:val="-1"/>
                        <w:sz w:val="20"/>
                      </w:rPr>
                      <w:t>2</w:t>
                    </w:r>
                    <w:r>
                      <w:rPr>
                        <w:rFonts w:ascii="Calibri"/>
                        <w:spacing w:val="-101"/>
                        <w:w w:val="99"/>
                        <w:sz w:val="20"/>
                      </w:rPr>
                      <w:t>4</w:t>
                    </w:r>
                    <w:r>
                      <w:rPr>
                        <w:rFonts w:ascii="Calibri"/>
                        <w:spacing w:val="-1"/>
                        <w:w w:val="99"/>
                        <w:position w:val="-1"/>
                        <w:sz w:val="20"/>
                      </w:rPr>
                      <w:t>3</w:t>
                    </w:r>
                  </w:p>
                </w:txbxContent>
              </v:textbox>
              <w10:wrap type="none"/>
            </v:shape>
            <v:shape style="position:absolute;left:6681;top:5270;width:202;height:483" type="#_x0000_t202" filled="false" stroked="false">
              <v:textbox inset="0,0,0,0">
                <w:txbxContent>
                  <w:p>
                    <w:pPr>
                      <w:spacing w:line="203" w:lineRule="exact" w:before="0"/>
                      <w:ind w:left="0" w:right="-19" w:firstLine="0"/>
                      <w:jc w:val="left"/>
                      <w:rPr>
                        <w:rFonts w:ascii="Calibri"/>
                        <w:sz w:val="20"/>
                      </w:rPr>
                    </w:pPr>
                    <w:r>
                      <w:rPr>
                        <w:rFonts w:ascii="Calibri"/>
                        <w:spacing w:val="-1"/>
                        <w:sz w:val="20"/>
                      </w:rPr>
                      <w:t>37</w:t>
                    </w:r>
                  </w:p>
                  <w:p>
                    <w:pPr>
                      <w:spacing w:line="240" w:lineRule="exact" w:before="39"/>
                      <w:ind w:left="0" w:right="-19" w:firstLine="0"/>
                      <w:jc w:val="left"/>
                      <w:rPr>
                        <w:rFonts w:ascii="Calibri"/>
                        <w:sz w:val="20"/>
                      </w:rPr>
                    </w:pPr>
                    <w:r>
                      <w:rPr>
                        <w:rFonts w:ascii="Calibri"/>
                        <w:spacing w:val="-1"/>
                        <w:sz w:val="20"/>
                      </w:rPr>
                      <w:t>25</w:t>
                    </w:r>
                  </w:p>
                </w:txbxContent>
              </v:textbox>
              <w10:wrap type="none"/>
            </v:shape>
            <v:shape style="position:absolute;left:9177;top:3838;width:1101;height:2008" type="#_x0000_t202" filled="false" stroked="false">
              <v:textbox inset="0,0,0,0">
                <w:txbxContent>
                  <w:p>
                    <w:pPr>
                      <w:spacing w:line="203" w:lineRule="exact" w:before="0"/>
                      <w:ind w:left="0" w:right="0" w:firstLine="0"/>
                      <w:jc w:val="both"/>
                      <w:rPr>
                        <w:rFonts w:ascii="Calibri"/>
                        <w:sz w:val="20"/>
                      </w:rPr>
                    </w:pPr>
                    <w:r>
                      <w:rPr>
                        <w:rFonts w:ascii="Calibri"/>
                        <w:sz w:val="20"/>
                      </w:rPr>
                      <w:t>PRI</w:t>
                    </w:r>
                  </w:p>
                  <w:p>
                    <w:pPr>
                      <w:spacing w:line="355" w:lineRule="auto" w:before="117"/>
                      <w:ind w:left="0" w:right="751" w:firstLine="0"/>
                      <w:jc w:val="both"/>
                      <w:rPr>
                        <w:rFonts w:ascii="Calibri"/>
                        <w:sz w:val="20"/>
                      </w:rPr>
                    </w:pPr>
                    <w:r>
                      <w:rPr>
                        <w:rFonts w:ascii="Calibri"/>
                        <w:sz w:val="20"/>
                      </w:rPr>
                      <w:t>PAN</w:t>
                    </w:r>
                    <w:r>
                      <w:rPr>
                        <w:rFonts w:ascii="Calibri"/>
                        <w:w w:val="99"/>
                        <w:sz w:val="20"/>
                      </w:rPr>
                      <w:t> </w:t>
                    </w:r>
                    <w:r>
                      <w:rPr>
                        <w:rFonts w:ascii="Calibri"/>
                        <w:sz w:val="20"/>
                      </w:rPr>
                      <w:t>PRD PT</w:t>
                    </w:r>
                  </w:p>
                  <w:p>
                    <w:pPr>
                      <w:spacing w:before="0"/>
                      <w:ind w:left="0" w:right="0" w:firstLine="0"/>
                      <w:jc w:val="both"/>
                      <w:rPr>
                        <w:rFonts w:ascii="Calibri"/>
                        <w:sz w:val="20"/>
                      </w:rPr>
                    </w:pPr>
                    <w:r>
                      <w:rPr>
                        <w:rFonts w:ascii="Calibri"/>
                        <w:w w:val="95"/>
                        <w:sz w:val="20"/>
                      </w:rPr>
                      <w:t>Convergencia</w:t>
                    </w:r>
                  </w:p>
                  <w:p>
                    <w:pPr>
                      <w:spacing w:line="240" w:lineRule="exact" w:before="118"/>
                      <w:ind w:left="0" w:right="0" w:firstLine="0"/>
                      <w:jc w:val="both"/>
                      <w:rPr>
                        <w:rFonts w:ascii="Calibri"/>
                        <w:sz w:val="20"/>
                      </w:rPr>
                    </w:pPr>
                    <w:r>
                      <w:rPr>
                        <w:rFonts w:ascii="Calibri"/>
                        <w:sz w:val="20"/>
                      </w:rPr>
                      <w:t>Otros</w:t>
                    </w:r>
                  </w:p>
                </w:txbxContent>
              </v:textbox>
              <w10:wrap type="none"/>
            </v:shape>
            <v:shape style="position:absolute;left:3684;top:5859;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12</w:t>
                    </w:r>
                  </w:p>
                </w:txbxContent>
              </v:textbox>
              <w10:wrap type="none"/>
            </v:shape>
            <v:shape style="position:absolute;left:7430;top:5836;width:202;height:294" type="#_x0000_t202" filled="false" stroked="false">
              <v:textbox inset="0,0,0,0">
                <w:txbxContent>
                  <w:p>
                    <w:pPr>
                      <w:spacing w:line="293" w:lineRule="exact" w:before="0"/>
                      <w:ind w:left="0" w:right="-18" w:firstLine="0"/>
                      <w:jc w:val="left"/>
                      <w:rPr>
                        <w:rFonts w:ascii="Calibri"/>
                        <w:sz w:val="20"/>
                      </w:rPr>
                    </w:pPr>
                    <w:r>
                      <w:rPr>
                        <w:rFonts w:ascii="Calibri"/>
                        <w:spacing w:val="-101"/>
                        <w:w w:val="99"/>
                        <w:sz w:val="20"/>
                      </w:rPr>
                      <w:t>1</w:t>
                    </w:r>
                    <w:r>
                      <w:rPr>
                        <w:rFonts w:ascii="Calibri"/>
                        <w:spacing w:val="-1"/>
                        <w:w w:val="99"/>
                        <w:position w:val="-8"/>
                        <w:sz w:val="20"/>
                      </w:rPr>
                      <w:t>9</w:t>
                    </w:r>
                    <w:r>
                      <w:rPr>
                        <w:rFonts w:ascii="Calibri"/>
                        <w:spacing w:val="-1"/>
                        <w:w w:val="99"/>
                        <w:sz w:val="20"/>
                      </w:rPr>
                      <w:t>3</w:t>
                    </w:r>
                  </w:p>
                </w:txbxContent>
              </v:textbox>
              <w10:wrap type="none"/>
            </v:shape>
            <v:shape style="position:absolute;left:8179;top:5765;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16</w:t>
                    </w:r>
                  </w:p>
                </w:txbxContent>
              </v:textbox>
              <w10:wrap type="none"/>
            </v:shape>
            <v:shape style="position:absolute;left:8179;top:5883;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11</w:t>
                    </w:r>
                  </w:p>
                </w:txbxContent>
              </v:textbox>
              <w10:wrap type="none"/>
            </v:shape>
            <v:shape style="position:absolute;left:2103;top:6131;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2385;top:6071;width:6004;height:223" type="#_x0000_t202" filled="false" stroked="false">
              <v:textbox inset="0,0,0,0">
                <w:txbxContent>
                  <w:p>
                    <w:pPr>
                      <w:tabs>
                        <w:tab w:pos="548" w:val="left" w:leader="none"/>
                        <w:tab w:pos="1298" w:val="left" w:leader="none"/>
                        <w:tab w:pos="6003" w:val="left" w:leader="none"/>
                      </w:tabs>
                      <w:spacing w:line="223" w:lineRule="exact" w:before="0"/>
                      <w:ind w:left="0" w:right="0" w:firstLine="0"/>
                      <w:jc w:val="left"/>
                      <w:rPr>
                        <w:rFonts w:ascii="Calibri"/>
                        <w:sz w:val="20"/>
                      </w:rPr>
                    </w:pPr>
                    <w:r>
                      <w:rPr>
                        <w:rFonts w:ascii="Calibri"/>
                        <w:w w:val="99"/>
                        <w:position w:val="-1"/>
                        <w:sz w:val="20"/>
                        <w:u w:val="single" w:color="888888"/>
                      </w:rPr>
                      <w:t> </w:t>
                    </w:r>
                    <w:r>
                      <w:rPr>
                        <w:rFonts w:ascii="Calibri"/>
                        <w:position w:val="-1"/>
                        <w:sz w:val="20"/>
                        <w:u w:val="single" w:color="888888"/>
                      </w:rPr>
                      <w:tab/>
                    </w:r>
                    <w:r>
                      <w:rPr>
                        <w:rFonts w:ascii="Calibri"/>
                        <w:spacing w:val="-101"/>
                        <w:w w:val="99"/>
                        <w:position w:val="-1"/>
                        <w:sz w:val="20"/>
                        <w:u w:val="single" w:color="888888"/>
                      </w:rPr>
                      <w:t>2</w:t>
                    </w:r>
                    <w:r>
                      <w:rPr>
                        <w:rFonts w:ascii="Calibri"/>
                        <w:w w:val="99"/>
                        <w:sz w:val="20"/>
                        <w:u w:val="single" w:color="888888"/>
                      </w:rPr>
                      <w:t>3</w:t>
                    </w:r>
                    <w:r>
                      <w:rPr>
                        <w:rFonts w:ascii="Calibri"/>
                        <w:sz w:val="20"/>
                        <w:u w:val="single" w:color="888888"/>
                      </w:rPr>
                      <w:tab/>
                    </w:r>
                    <w:r>
                      <w:rPr>
                        <w:rFonts w:ascii="Calibri"/>
                        <w:w w:val="99"/>
                        <w:sz w:val="20"/>
                        <w:u w:val="single" w:color="888888"/>
                      </w:rPr>
                      <w:t>3</w:t>
                    </w:r>
                    <w:r>
                      <w:rPr>
                        <w:rFonts w:ascii="Calibri"/>
                        <w:sz w:val="20"/>
                        <w:u w:val="single" w:color="888888"/>
                      </w:rPr>
                      <w:tab/>
                    </w:r>
                  </w:p>
                </w:txbxContent>
              </v:textbox>
              <w10:wrap type="none"/>
            </v:shape>
            <w10:wrap type="none"/>
          </v:group>
        </w:pict>
      </w:r>
      <w:r>
        <w:rPr/>
        <w:t>Con</w:t>
      </w:r>
      <w:r>
        <w:rPr>
          <w:spacing w:val="-4"/>
        </w:rPr>
        <w:t> </w:t>
      </w:r>
      <w:r>
        <w:rPr/>
        <w:t>respecto</w:t>
      </w:r>
      <w:r>
        <w:rPr>
          <w:spacing w:val="-5"/>
        </w:rPr>
        <w:t> </w:t>
      </w:r>
      <w:r>
        <w:rPr/>
        <w:t>a</w:t>
      </w:r>
      <w:r>
        <w:rPr>
          <w:spacing w:val="-4"/>
        </w:rPr>
        <w:t> </w:t>
      </w:r>
      <w:r>
        <w:rPr/>
        <w:t>Convergencia,</w:t>
      </w:r>
      <w:r>
        <w:rPr>
          <w:spacing w:val="-5"/>
        </w:rPr>
        <w:t> </w:t>
      </w:r>
      <w:r>
        <w:rPr/>
        <w:t>el</w:t>
      </w:r>
      <w:r>
        <w:rPr>
          <w:spacing w:val="-5"/>
        </w:rPr>
        <w:t> </w:t>
      </w:r>
      <w:r>
        <w:rPr/>
        <w:t>año</w:t>
      </w:r>
      <w:r>
        <w:rPr>
          <w:spacing w:val="-5"/>
        </w:rPr>
        <w:t> </w:t>
      </w:r>
      <w:r>
        <w:rPr/>
        <w:t>que</w:t>
      </w:r>
      <w:r>
        <w:rPr>
          <w:spacing w:val="-6"/>
        </w:rPr>
        <w:t> </w:t>
      </w:r>
      <w:r>
        <w:rPr/>
        <w:t>más</w:t>
      </w:r>
      <w:r>
        <w:rPr>
          <w:spacing w:val="-4"/>
        </w:rPr>
        <w:t> </w:t>
      </w:r>
      <w:r>
        <w:rPr/>
        <w:t>municipios</w:t>
      </w:r>
      <w:r>
        <w:rPr>
          <w:spacing w:val="-4"/>
        </w:rPr>
        <w:t> </w:t>
      </w:r>
      <w:r>
        <w:rPr/>
        <w:t>gobernó</w:t>
      </w:r>
      <w:r>
        <w:rPr>
          <w:spacing w:val="-5"/>
        </w:rPr>
        <w:t> </w:t>
      </w:r>
      <w:r>
        <w:rPr/>
        <w:t>fue</w:t>
      </w:r>
      <w:r>
        <w:rPr>
          <w:spacing w:val="-4"/>
        </w:rPr>
        <w:t> </w:t>
      </w:r>
      <w:r>
        <w:rPr/>
        <w:t>el</w:t>
      </w:r>
      <w:r>
        <w:rPr>
          <w:spacing w:val="-7"/>
        </w:rPr>
        <w:t> </w:t>
      </w:r>
      <w:r>
        <w:rPr/>
        <w:t>2006,</w:t>
      </w:r>
      <w:r>
        <w:rPr>
          <w:spacing w:val="-6"/>
        </w:rPr>
        <w:t> </w:t>
      </w:r>
      <w:r>
        <w:rPr/>
        <w:t>con 5, manteniendo un porcentaje del 4.0%, mientras que el año más bajo fue el 2013, con 0 municipios gobernados y el</w:t>
      </w:r>
      <w:r>
        <w:rPr>
          <w:spacing w:val="-13"/>
        </w:rPr>
        <w:t> </w:t>
      </w:r>
      <w:r>
        <w:rPr/>
        <w:t>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1"/>
        </w:rPr>
      </w:pPr>
    </w:p>
    <w:tbl>
      <w:tblPr>
        <w:tblW w:w="0" w:type="auto"/>
        <w:jc w:val="left"/>
        <w:tblInd w:w="94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13"/>
        <w:gridCol w:w="750"/>
        <w:gridCol w:w="749"/>
        <w:gridCol w:w="749"/>
        <w:gridCol w:w="749"/>
        <w:gridCol w:w="749"/>
        <w:gridCol w:w="749"/>
        <w:gridCol w:w="612"/>
      </w:tblGrid>
      <w:tr>
        <w:trPr>
          <w:trHeight w:val="243" w:hRule="exact"/>
        </w:trPr>
        <w:tc>
          <w:tcPr>
            <w:tcW w:w="613" w:type="dxa"/>
          </w:tcPr>
          <w:p>
            <w:pPr>
              <w:pStyle w:val="TableParagraph"/>
              <w:spacing w:line="224" w:lineRule="exact"/>
              <w:ind w:left="74"/>
              <w:jc w:val="left"/>
              <w:rPr>
                <w:rFonts w:ascii="Calibri" w:hAnsi="Calibri"/>
                <w:sz w:val="20"/>
              </w:rPr>
            </w:pPr>
            <w:r>
              <w:rPr>
                <w:rFonts w:ascii="Calibri" w:hAnsi="Calibri"/>
                <w:sz w:val="20"/>
              </w:rPr>
              <w:t>Año</w:t>
            </w:r>
          </w:p>
        </w:tc>
        <w:tc>
          <w:tcPr>
            <w:tcW w:w="750" w:type="dxa"/>
          </w:tcPr>
          <w:p>
            <w:pPr>
              <w:pStyle w:val="TableParagraph"/>
              <w:spacing w:line="224" w:lineRule="exact"/>
              <w:ind w:left="211"/>
              <w:jc w:val="left"/>
              <w:rPr>
                <w:rFonts w:ascii="Calibri" w:hAnsi="Calibri"/>
                <w:sz w:val="20"/>
              </w:rPr>
            </w:pPr>
            <w:r>
              <w:rPr>
                <w:rFonts w:ascii="Calibri" w:hAnsi="Calibri"/>
                <w:sz w:val="20"/>
              </w:rPr>
              <w:t>Año</w:t>
            </w:r>
          </w:p>
        </w:tc>
        <w:tc>
          <w:tcPr>
            <w:tcW w:w="749" w:type="dxa"/>
          </w:tcPr>
          <w:p>
            <w:pPr>
              <w:pStyle w:val="TableParagraph"/>
              <w:spacing w:line="224" w:lineRule="exact"/>
              <w:ind w:left="211"/>
              <w:jc w:val="left"/>
              <w:rPr>
                <w:rFonts w:ascii="Calibri" w:hAnsi="Calibri"/>
                <w:sz w:val="20"/>
              </w:rPr>
            </w:pPr>
            <w:r>
              <w:rPr>
                <w:rFonts w:ascii="Calibri" w:hAnsi="Calibri"/>
                <w:sz w:val="20"/>
              </w:rPr>
              <w:t>Año</w:t>
            </w:r>
          </w:p>
        </w:tc>
        <w:tc>
          <w:tcPr>
            <w:tcW w:w="749" w:type="dxa"/>
          </w:tcPr>
          <w:p>
            <w:pPr>
              <w:pStyle w:val="TableParagraph"/>
              <w:spacing w:line="224" w:lineRule="exact"/>
              <w:ind w:left="150" w:right="151"/>
              <w:rPr>
                <w:rFonts w:ascii="Calibri" w:hAnsi="Calibri"/>
                <w:sz w:val="20"/>
              </w:rPr>
            </w:pPr>
            <w:r>
              <w:rPr>
                <w:rFonts w:ascii="Calibri" w:hAnsi="Calibri"/>
                <w:sz w:val="20"/>
              </w:rPr>
              <w:t>Año</w:t>
            </w:r>
          </w:p>
        </w:tc>
        <w:tc>
          <w:tcPr>
            <w:tcW w:w="749" w:type="dxa"/>
          </w:tcPr>
          <w:p>
            <w:pPr>
              <w:pStyle w:val="TableParagraph"/>
              <w:spacing w:line="224" w:lineRule="exact"/>
              <w:ind w:left="211"/>
              <w:jc w:val="left"/>
              <w:rPr>
                <w:rFonts w:ascii="Calibri" w:hAnsi="Calibri"/>
                <w:sz w:val="20"/>
              </w:rPr>
            </w:pPr>
            <w:r>
              <w:rPr>
                <w:rFonts w:ascii="Calibri" w:hAnsi="Calibri"/>
                <w:sz w:val="20"/>
              </w:rPr>
              <w:t>Año</w:t>
            </w:r>
          </w:p>
        </w:tc>
        <w:tc>
          <w:tcPr>
            <w:tcW w:w="749" w:type="dxa"/>
          </w:tcPr>
          <w:p>
            <w:pPr>
              <w:pStyle w:val="TableParagraph"/>
              <w:spacing w:line="224" w:lineRule="exact"/>
              <w:ind w:left="211"/>
              <w:jc w:val="left"/>
              <w:rPr>
                <w:rFonts w:ascii="Calibri" w:hAnsi="Calibri"/>
                <w:sz w:val="20"/>
              </w:rPr>
            </w:pPr>
            <w:r>
              <w:rPr>
                <w:rFonts w:ascii="Calibri" w:hAnsi="Calibri"/>
                <w:sz w:val="20"/>
              </w:rPr>
              <w:t>Año</w:t>
            </w:r>
          </w:p>
        </w:tc>
        <w:tc>
          <w:tcPr>
            <w:tcW w:w="749" w:type="dxa"/>
          </w:tcPr>
          <w:p>
            <w:pPr>
              <w:pStyle w:val="TableParagraph"/>
              <w:spacing w:line="224" w:lineRule="exact"/>
              <w:ind w:left="150" w:right="151"/>
              <w:rPr>
                <w:rFonts w:ascii="Calibri" w:hAnsi="Calibri"/>
                <w:sz w:val="20"/>
              </w:rPr>
            </w:pPr>
            <w:r>
              <w:rPr>
                <w:rFonts w:ascii="Calibri" w:hAnsi="Calibri"/>
                <w:sz w:val="20"/>
              </w:rPr>
              <w:t>Año</w:t>
            </w:r>
          </w:p>
        </w:tc>
        <w:tc>
          <w:tcPr>
            <w:tcW w:w="612" w:type="dxa"/>
          </w:tcPr>
          <w:p>
            <w:pPr>
              <w:pStyle w:val="TableParagraph"/>
              <w:spacing w:line="224" w:lineRule="exact"/>
              <w:ind w:right="73"/>
              <w:jc w:val="right"/>
              <w:rPr>
                <w:rFonts w:ascii="Calibri" w:hAnsi="Calibri"/>
                <w:sz w:val="20"/>
              </w:rPr>
            </w:pPr>
            <w:r>
              <w:rPr>
                <w:rFonts w:ascii="Calibri" w:hAnsi="Calibri"/>
                <w:w w:val="95"/>
                <w:sz w:val="20"/>
              </w:rPr>
              <w:t>Año</w:t>
            </w:r>
          </w:p>
        </w:tc>
      </w:tr>
      <w:tr>
        <w:trPr>
          <w:trHeight w:val="322" w:hRule="exact"/>
        </w:trPr>
        <w:tc>
          <w:tcPr>
            <w:tcW w:w="613" w:type="dxa"/>
          </w:tcPr>
          <w:p>
            <w:pPr>
              <w:pStyle w:val="TableParagraph"/>
              <w:spacing w:line="226" w:lineRule="exact"/>
              <w:ind w:left="35"/>
              <w:jc w:val="left"/>
              <w:rPr>
                <w:rFonts w:ascii="Calibri"/>
                <w:sz w:val="20"/>
              </w:rPr>
            </w:pPr>
            <w:r>
              <w:rPr>
                <w:rFonts w:ascii="Calibri"/>
                <w:sz w:val="20"/>
              </w:rPr>
              <w:t>1990</w:t>
            </w:r>
          </w:p>
        </w:tc>
        <w:tc>
          <w:tcPr>
            <w:tcW w:w="750" w:type="dxa"/>
          </w:tcPr>
          <w:p>
            <w:pPr>
              <w:pStyle w:val="TableParagraph"/>
              <w:spacing w:line="226" w:lineRule="exact"/>
              <w:ind w:left="172"/>
              <w:jc w:val="left"/>
              <w:rPr>
                <w:rFonts w:ascii="Calibri"/>
                <w:sz w:val="20"/>
              </w:rPr>
            </w:pPr>
            <w:r>
              <w:rPr>
                <w:rFonts w:ascii="Calibri"/>
                <w:sz w:val="20"/>
              </w:rPr>
              <w:t>1993</w:t>
            </w:r>
          </w:p>
        </w:tc>
        <w:tc>
          <w:tcPr>
            <w:tcW w:w="749" w:type="dxa"/>
          </w:tcPr>
          <w:p>
            <w:pPr>
              <w:pStyle w:val="TableParagraph"/>
              <w:spacing w:line="226" w:lineRule="exact"/>
              <w:ind w:left="171"/>
              <w:jc w:val="left"/>
              <w:rPr>
                <w:rFonts w:ascii="Calibri"/>
                <w:sz w:val="20"/>
              </w:rPr>
            </w:pPr>
            <w:r>
              <w:rPr>
                <w:rFonts w:ascii="Calibri"/>
                <w:sz w:val="20"/>
              </w:rPr>
              <w:t>1996</w:t>
            </w:r>
          </w:p>
        </w:tc>
        <w:tc>
          <w:tcPr>
            <w:tcW w:w="749" w:type="dxa"/>
          </w:tcPr>
          <w:p>
            <w:pPr>
              <w:pStyle w:val="TableParagraph"/>
              <w:spacing w:line="226" w:lineRule="exact"/>
              <w:ind w:left="151" w:right="151"/>
              <w:rPr>
                <w:rFonts w:ascii="Calibri"/>
                <w:sz w:val="20"/>
              </w:rPr>
            </w:pPr>
            <w:r>
              <w:rPr>
                <w:rFonts w:ascii="Calibri"/>
                <w:sz w:val="20"/>
              </w:rPr>
              <w:t>2000</w:t>
            </w:r>
          </w:p>
        </w:tc>
        <w:tc>
          <w:tcPr>
            <w:tcW w:w="749" w:type="dxa"/>
          </w:tcPr>
          <w:p>
            <w:pPr>
              <w:pStyle w:val="TableParagraph"/>
              <w:spacing w:line="226" w:lineRule="exact"/>
              <w:ind w:left="171"/>
              <w:jc w:val="left"/>
              <w:rPr>
                <w:rFonts w:ascii="Calibri"/>
                <w:sz w:val="20"/>
              </w:rPr>
            </w:pPr>
            <w:r>
              <w:rPr>
                <w:rFonts w:ascii="Calibri"/>
                <w:sz w:val="20"/>
              </w:rPr>
              <w:t>2003</w:t>
            </w:r>
          </w:p>
        </w:tc>
        <w:tc>
          <w:tcPr>
            <w:tcW w:w="749" w:type="dxa"/>
          </w:tcPr>
          <w:p>
            <w:pPr>
              <w:pStyle w:val="TableParagraph"/>
              <w:spacing w:line="226" w:lineRule="exact"/>
              <w:ind w:left="171"/>
              <w:jc w:val="left"/>
              <w:rPr>
                <w:rFonts w:ascii="Calibri"/>
                <w:sz w:val="20"/>
              </w:rPr>
            </w:pPr>
            <w:r>
              <w:rPr>
                <w:rFonts w:ascii="Calibri"/>
                <w:sz w:val="20"/>
              </w:rPr>
              <w:t>2006</w:t>
            </w:r>
          </w:p>
        </w:tc>
        <w:tc>
          <w:tcPr>
            <w:tcW w:w="749" w:type="dxa"/>
          </w:tcPr>
          <w:p>
            <w:pPr>
              <w:pStyle w:val="TableParagraph"/>
              <w:spacing w:line="226" w:lineRule="exact"/>
              <w:ind w:left="151" w:right="151"/>
              <w:rPr>
                <w:rFonts w:ascii="Calibri"/>
                <w:sz w:val="20"/>
              </w:rPr>
            </w:pPr>
            <w:r>
              <w:rPr>
                <w:rFonts w:ascii="Calibri"/>
                <w:sz w:val="20"/>
              </w:rPr>
              <w:t>2009</w:t>
            </w:r>
          </w:p>
        </w:tc>
        <w:tc>
          <w:tcPr>
            <w:tcW w:w="612" w:type="dxa"/>
          </w:tcPr>
          <w:p>
            <w:pPr>
              <w:pStyle w:val="TableParagraph"/>
              <w:spacing w:line="226" w:lineRule="exact"/>
              <w:ind w:right="33"/>
              <w:jc w:val="right"/>
              <w:rPr>
                <w:rFonts w:ascii="Calibri"/>
                <w:sz w:val="20"/>
              </w:rPr>
            </w:pPr>
            <w:r>
              <w:rPr>
                <w:rFonts w:ascii="Calibri"/>
                <w:w w:val="95"/>
                <w:sz w:val="20"/>
              </w:rPr>
              <w:t>2013</w:t>
            </w:r>
          </w:p>
        </w:tc>
      </w:tr>
    </w:tbl>
    <w:p>
      <w:pPr>
        <w:pStyle w:val="BodyText"/>
      </w:pPr>
    </w:p>
    <w:p>
      <w:pPr>
        <w:pStyle w:val="BodyText"/>
      </w:pPr>
    </w:p>
    <w:p>
      <w:pPr>
        <w:pStyle w:val="BodyText"/>
        <w:spacing w:before="7"/>
        <w:rPr>
          <w:sz w:val="31"/>
        </w:rPr>
      </w:pPr>
    </w:p>
    <w:p>
      <w:pPr>
        <w:pStyle w:val="BodyText"/>
        <w:spacing w:line="360" w:lineRule="auto" w:before="1"/>
        <w:ind w:left="122" w:right="115"/>
        <w:jc w:val="both"/>
      </w:pPr>
      <w:r>
        <w:rPr/>
        <w:t>En su mayoría los municipios mexiquenses son gobernados por el Partido Revolucionario Institucional, tal como se puede observar en la gráfica 1.3. Asimismo,</w:t>
      </w:r>
      <w:r>
        <w:rPr>
          <w:spacing w:val="-18"/>
        </w:rPr>
        <w:t> </w:t>
      </w:r>
      <w:r>
        <w:rPr/>
        <w:t>se</w:t>
      </w:r>
      <w:r>
        <w:rPr>
          <w:spacing w:val="-20"/>
        </w:rPr>
        <w:t> </w:t>
      </w:r>
      <w:r>
        <w:rPr/>
        <w:t>puede</w:t>
      </w:r>
      <w:r>
        <w:rPr>
          <w:spacing w:val="-20"/>
        </w:rPr>
        <w:t> </w:t>
      </w:r>
      <w:r>
        <w:rPr/>
        <w:t>apreciar</w:t>
      </w:r>
      <w:r>
        <w:rPr>
          <w:spacing w:val="-19"/>
        </w:rPr>
        <w:t> </w:t>
      </w:r>
      <w:r>
        <w:rPr/>
        <w:t>que</w:t>
      </w:r>
      <w:r>
        <w:rPr>
          <w:spacing w:val="-18"/>
        </w:rPr>
        <w:t> </w:t>
      </w:r>
      <w:r>
        <w:rPr/>
        <w:t>la</w:t>
      </w:r>
      <w:r>
        <w:rPr>
          <w:spacing w:val="-18"/>
        </w:rPr>
        <w:t> </w:t>
      </w:r>
      <w:r>
        <w:rPr/>
        <w:t>competencia</w:t>
      </w:r>
      <w:r>
        <w:rPr>
          <w:spacing w:val="-18"/>
        </w:rPr>
        <w:t> </w:t>
      </w:r>
      <w:r>
        <w:rPr/>
        <w:t>entre</w:t>
      </w:r>
      <w:r>
        <w:rPr>
          <w:spacing w:val="-20"/>
        </w:rPr>
        <w:t> </w:t>
      </w:r>
      <w:r>
        <w:rPr/>
        <w:t>el</w:t>
      </w:r>
      <w:r>
        <w:rPr>
          <w:spacing w:val="-19"/>
        </w:rPr>
        <w:t> </w:t>
      </w:r>
      <w:r>
        <w:rPr/>
        <w:t>PAN</w:t>
      </w:r>
      <w:r>
        <w:rPr>
          <w:spacing w:val="-19"/>
        </w:rPr>
        <w:t> </w:t>
      </w:r>
      <w:r>
        <w:rPr/>
        <w:t>y</w:t>
      </w:r>
      <w:r>
        <w:rPr>
          <w:spacing w:val="-21"/>
        </w:rPr>
        <w:t> </w:t>
      </w:r>
      <w:r>
        <w:rPr/>
        <w:t>PRD</w:t>
      </w:r>
      <w:r>
        <w:rPr>
          <w:spacing w:val="-20"/>
        </w:rPr>
        <w:t> </w:t>
      </w:r>
      <w:r>
        <w:rPr/>
        <w:t>es</w:t>
      </w:r>
      <w:r>
        <w:rPr>
          <w:spacing w:val="-19"/>
        </w:rPr>
        <w:t> </w:t>
      </w:r>
      <w:r>
        <w:rPr/>
        <w:t>muy</w:t>
      </w:r>
      <w:r>
        <w:rPr>
          <w:spacing w:val="-21"/>
        </w:rPr>
        <w:t> </w:t>
      </w:r>
      <w:r>
        <w:rPr/>
        <w:t>reñida, debido</w:t>
      </w:r>
      <w:r>
        <w:rPr>
          <w:spacing w:val="-6"/>
        </w:rPr>
        <w:t> </w:t>
      </w:r>
      <w:r>
        <w:rPr/>
        <w:t>a</w:t>
      </w:r>
      <w:r>
        <w:rPr>
          <w:spacing w:val="-4"/>
        </w:rPr>
        <w:t> </w:t>
      </w:r>
      <w:r>
        <w:rPr/>
        <w:t>que</w:t>
      </w:r>
      <w:r>
        <w:rPr>
          <w:spacing w:val="-6"/>
        </w:rPr>
        <w:t> </w:t>
      </w:r>
      <w:r>
        <w:rPr/>
        <w:t>son</w:t>
      </w:r>
      <w:r>
        <w:rPr>
          <w:spacing w:val="-6"/>
        </w:rPr>
        <w:t> </w:t>
      </w:r>
      <w:r>
        <w:rPr/>
        <w:t>los</w:t>
      </w:r>
      <w:r>
        <w:rPr>
          <w:spacing w:val="-6"/>
        </w:rPr>
        <w:t> </w:t>
      </w:r>
      <w:r>
        <w:rPr/>
        <w:t>partidos</w:t>
      </w:r>
      <w:r>
        <w:rPr>
          <w:spacing w:val="-4"/>
        </w:rPr>
        <w:t> </w:t>
      </w:r>
      <w:r>
        <w:rPr/>
        <w:t>que</w:t>
      </w:r>
      <w:r>
        <w:rPr>
          <w:spacing w:val="-6"/>
        </w:rPr>
        <w:t> </w:t>
      </w:r>
      <w:r>
        <w:rPr/>
        <w:t>después</w:t>
      </w:r>
      <w:r>
        <w:rPr>
          <w:spacing w:val="-7"/>
        </w:rPr>
        <w:t> </w:t>
      </w:r>
      <w:r>
        <w:rPr/>
        <w:t>del</w:t>
      </w:r>
      <w:r>
        <w:rPr>
          <w:spacing w:val="-5"/>
        </w:rPr>
        <w:t> </w:t>
      </w:r>
      <w:r>
        <w:rPr/>
        <w:t>PRI</w:t>
      </w:r>
      <w:r>
        <w:rPr>
          <w:spacing w:val="-6"/>
        </w:rPr>
        <w:t> </w:t>
      </w:r>
      <w:r>
        <w:rPr/>
        <w:t>tienen</w:t>
      </w:r>
      <w:r>
        <w:rPr>
          <w:spacing w:val="-8"/>
        </w:rPr>
        <w:t> </w:t>
      </w:r>
      <w:r>
        <w:rPr/>
        <w:t>más</w:t>
      </w:r>
      <w:r>
        <w:rPr>
          <w:spacing w:val="-7"/>
        </w:rPr>
        <w:t> </w:t>
      </w:r>
      <w:r>
        <w:rPr/>
        <w:t>posibilidad</w:t>
      </w:r>
      <w:r>
        <w:rPr>
          <w:spacing w:val="-6"/>
        </w:rPr>
        <w:t> </w:t>
      </w:r>
      <w:r>
        <w:rPr/>
        <w:t>de</w:t>
      </w:r>
      <w:r>
        <w:rPr>
          <w:spacing w:val="-6"/>
        </w:rPr>
        <w:t> </w:t>
      </w:r>
      <w:r>
        <w:rPr/>
        <w:t>ganar municipios. Mostrando con ello un sistema tripartidista en el Estado de</w:t>
      </w:r>
      <w:r>
        <w:rPr>
          <w:spacing w:val="-22"/>
        </w:rPr>
        <w:t> </w:t>
      </w:r>
      <w:r>
        <w:rPr/>
        <w:t>México.</w:t>
      </w:r>
    </w:p>
    <w:p>
      <w:pPr>
        <w:pStyle w:val="BodyText"/>
      </w:pPr>
    </w:p>
    <w:p>
      <w:pPr>
        <w:pStyle w:val="BodyText"/>
        <w:spacing w:before="7"/>
        <w:rPr>
          <w:sz w:val="33"/>
        </w:rPr>
      </w:pPr>
    </w:p>
    <w:p>
      <w:pPr>
        <w:pStyle w:val="Heading1"/>
        <w:numPr>
          <w:ilvl w:val="3"/>
          <w:numId w:val="7"/>
        </w:numPr>
        <w:tabs>
          <w:tab w:pos="1538" w:val="left" w:leader="none"/>
        </w:tabs>
        <w:spacing w:line="240" w:lineRule="auto" w:before="1" w:after="0"/>
        <w:ind w:left="1538" w:right="0" w:hanging="1428"/>
        <w:jc w:val="both"/>
      </w:pPr>
      <w:r>
        <w:rPr/>
        <w:t>El</w:t>
      </w:r>
      <w:r>
        <w:rPr>
          <w:spacing w:val="-1"/>
        </w:rPr>
        <w:t> </w:t>
      </w:r>
      <w:r>
        <w:rPr/>
        <w:t>territorio</w:t>
      </w:r>
    </w:p>
    <w:p>
      <w:pPr>
        <w:pStyle w:val="BodyText"/>
        <w:rPr>
          <w:b/>
        </w:rPr>
      </w:pPr>
    </w:p>
    <w:p>
      <w:pPr>
        <w:pStyle w:val="BodyText"/>
        <w:spacing w:before="9"/>
        <w:rPr>
          <w:b/>
          <w:sz w:val="23"/>
        </w:rPr>
      </w:pPr>
    </w:p>
    <w:p>
      <w:pPr>
        <w:pStyle w:val="BodyText"/>
        <w:spacing w:line="360" w:lineRule="auto"/>
        <w:ind w:left="122" w:right="120"/>
        <w:jc w:val="both"/>
      </w:pPr>
      <w:r>
        <w:rPr/>
        <w:t>El</w:t>
      </w:r>
      <w:r>
        <w:rPr>
          <w:spacing w:val="-18"/>
        </w:rPr>
        <w:t> </w:t>
      </w:r>
      <w:r>
        <w:rPr/>
        <w:t>territorio</w:t>
      </w:r>
      <w:r>
        <w:rPr>
          <w:spacing w:val="-17"/>
        </w:rPr>
        <w:t> </w:t>
      </w:r>
      <w:r>
        <w:rPr/>
        <w:t>de</w:t>
      </w:r>
      <w:r>
        <w:rPr>
          <w:spacing w:val="-19"/>
        </w:rPr>
        <w:t> </w:t>
      </w:r>
      <w:r>
        <w:rPr/>
        <w:t>acuerdo</w:t>
      </w:r>
      <w:r>
        <w:rPr>
          <w:spacing w:val="-19"/>
        </w:rPr>
        <w:t> </w:t>
      </w:r>
      <w:r>
        <w:rPr/>
        <w:t>a</w:t>
      </w:r>
      <w:r>
        <w:rPr>
          <w:spacing w:val="-17"/>
        </w:rPr>
        <w:t> </w:t>
      </w:r>
      <w:r>
        <w:rPr/>
        <w:t>la</w:t>
      </w:r>
      <w:r>
        <w:rPr>
          <w:spacing w:val="-17"/>
        </w:rPr>
        <w:t> </w:t>
      </w:r>
      <w:r>
        <w:rPr/>
        <w:t>Real</w:t>
      </w:r>
      <w:r>
        <w:rPr>
          <w:spacing w:val="-18"/>
        </w:rPr>
        <w:t> </w:t>
      </w:r>
      <w:r>
        <w:rPr/>
        <w:t>Academia</w:t>
      </w:r>
      <w:r>
        <w:rPr>
          <w:spacing w:val="-19"/>
        </w:rPr>
        <w:t> </w:t>
      </w:r>
      <w:r>
        <w:rPr/>
        <w:t>Española</w:t>
      </w:r>
      <w:r>
        <w:rPr>
          <w:spacing w:val="-17"/>
        </w:rPr>
        <w:t> </w:t>
      </w:r>
      <w:r>
        <w:rPr/>
        <w:t>“es</w:t>
      </w:r>
      <w:r>
        <w:rPr>
          <w:spacing w:val="-20"/>
        </w:rPr>
        <w:t> </w:t>
      </w:r>
      <w:r>
        <w:rPr/>
        <w:t>una</w:t>
      </w:r>
      <w:r>
        <w:rPr>
          <w:spacing w:val="-17"/>
        </w:rPr>
        <w:t> </w:t>
      </w:r>
      <w:r>
        <w:rPr/>
        <w:t>porción</w:t>
      </w:r>
      <w:r>
        <w:rPr>
          <w:spacing w:val="-19"/>
        </w:rPr>
        <w:t> </w:t>
      </w:r>
      <w:r>
        <w:rPr/>
        <w:t>de</w:t>
      </w:r>
      <w:r>
        <w:rPr>
          <w:spacing w:val="-17"/>
        </w:rPr>
        <w:t> </w:t>
      </w:r>
      <w:r>
        <w:rPr/>
        <w:t>la</w:t>
      </w:r>
      <w:r>
        <w:rPr>
          <w:spacing w:val="-19"/>
        </w:rPr>
        <w:t> </w:t>
      </w:r>
      <w:r>
        <w:rPr/>
        <w:t>superficie terrestre perteneciente a una nación, región, o provincia”. Pichardo (2002) lo</w:t>
      </w:r>
      <w:r>
        <w:rPr>
          <w:spacing w:val="-31"/>
        </w:rPr>
        <w:t> </w:t>
      </w:r>
      <w:r>
        <w:rPr/>
        <w:t>define como “el espacio terrestre, aéreo y marítimo sobre el cual el ente estatal ejerce </w:t>
      </w:r>
      <w:r>
        <w:rPr>
          <w:spacing w:val="5"/>
        </w:rPr>
        <w:t> </w:t>
      </w:r>
      <w:r>
        <w:rPr/>
        <w:t>su</w:t>
      </w:r>
    </w:p>
    <w:p>
      <w:pPr>
        <w:spacing w:after="0" w:line="360" w:lineRule="auto"/>
        <w:jc w:val="both"/>
        <w:sectPr>
          <w:pgSz w:w="12240" w:h="15840"/>
          <w:pgMar w:header="0" w:footer="975" w:top="1360" w:bottom="1220" w:left="1580" w:right="1580"/>
        </w:sectPr>
      </w:pPr>
    </w:p>
    <w:p>
      <w:pPr>
        <w:pStyle w:val="BodyText"/>
        <w:spacing w:line="362" w:lineRule="auto" w:before="54"/>
        <w:ind w:left="122" w:right="-15"/>
      </w:pPr>
      <w:r>
        <w:rPr/>
        <w:t>poder”. En este sentido cabe hacer mención que las principales características que presenta la Nación mexicana, de acuerdo al INEGI son las siguientes:</w:t>
      </w:r>
    </w:p>
    <w:p>
      <w:pPr>
        <w:pStyle w:val="BodyText"/>
        <w:rPr>
          <w:sz w:val="20"/>
        </w:rPr>
      </w:pPr>
    </w:p>
    <w:p>
      <w:pPr>
        <w:pStyle w:val="BodyText"/>
        <w:rPr>
          <w:sz w:val="20"/>
        </w:rPr>
      </w:pPr>
    </w:p>
    <w:p>
      <w:pPr>
        <w:pStyle w:val="BodyText"/>
      </w:pPr>
    </w:p>
    <w:tbl>
      <w:tblPr>
        <w:tblW w:w="0" w:type="auto"/>
        <w:jc w:val="left"/>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98"/>
        <w:gridCol w:w="7530"/>
      </w:tblGrid>
      <w:tr>
        <w:trPr>
          <w:trHeight w:val="250" w:hRule="exact"/>
        </w:trPr>
        <w:tc>
          <w:tcPr>
            <w:tcW w:w="8829" w:type="dxa"/>
            <w:gridSpan w:val="2"/>
            <w:shd w:val="clear" w:color="auto" w:fill="92D050"/>
          </w:tcPr>
          <w:p>
            <w:pPr>
              <w:pStyle w:val="TableParagraph"/>
              <w:spacing w:line="201" w:lineRule="exact"/>
              <w:ind w:left="2186" w:right="312"/>
              <w:jc w:val="left"/>
              <w:rPr>
                <w:b/>
                <w:sz w:val="18"/>
              </w:rPr>
            </w:pPr>
            <w:r>
              <w:rPr>
                <w:b/>
                <w:sz w:val="18"/>
              </w:rPr>
              <w:t>Tabla 1.12. Descripción del territorio mexicano 2015</w:t>
            </w:r>
          </w:p>
        </w:tc>
      </w:tr>
      <w:tr>
        <w:trPr>
          <w:trHeight w:val="247" w:hRule="exact"/>
        </w:trPr>
        <w:tc>
          <w:tcPr>
            <w:tcW w:w="1298" w:type="dxa"/>
            <w:shd w:val="clear" w:color="auto" w:fill="92D050"/>
          </w:tcPr>
          <w:p>
            <w:pPr>
              <w:pStyle w:val="TableParagraph"/>
              <w:spacing w:line="201" w:lineRule="exact"/>
              <w:ind w:left="292"/>
              <w:jc w:val="left"/>
              <w:rPr>
                <w:b/>
                <w:sz w:val="18"/>
              </w:rPr>
            </w:pPr>
            <w:r>
              <w:rPr>
                <w:b/>
                <w:sz w:val="18"/>
              </w:rPr>
              <w:t>Variable</w:t>
            </w:r>
          </w:p>
        </w:tc>
        <w:tc>
          <w:tcPr>
            <w:tcW w:w="7530" w:type="dxa"/>
            <w:shd w:val="clear" w:color="auto" w:fill="92D050"/>
          </w:tcPr>
          <w:p>
            <w:pPr>
              <w:pStyle w:val="TableParagraph"/>
              <w:spacing w:line="201" w:lineRule="exact"/>
              <w:ind w:left="3225" w:right="3225"/>
              <w:rPr>
                <w:b/>
                <w:sz w:val="18"/>
              </w:rPr>
            </w:pPr>
            <w:r>
              <w:rPr>
                <w:b/>
                <w:sz w:val="18"/>
              </w:rPr>
              <w:t>Descripción</w:t>
            </w:r>
          </w:p>
        </w:tc>
      </w:tr>
      <w:tr>
        <w:trPr>
          <w:trHeight w:val="2153" w:hRule="exact"/>
        </w:trPr>
        <w:tc>
          <w:tcPr>
            <w:tcW w:w="1298" w:type="dxa"/>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124"/>
              <w:ind w:left="103"/>
              <w:jc w:val="left"/>
              <w:rPr>
                <w:sz w:val="18"/>
              </w:rPr>
            </w:pPr>
            <w:r>
              <w:rPr>
                <w:sz w:val="18"/>
              </w:rPr>
              <w:t>Agua</w:t>
            </w:r>
          </w:p>
        </w:tc>
        <w:tc>
          <w:tcPr>
            <w:tcW w:w="7530" w:type="dxa"/>
          </w:tcPr>
          <w:p>
            <w:pPr>
              <w:pStyle w:val="TableParagraph"/>
              <w:spacing w:line="276" w:lineRule="auto"/>
              <w:ind w:left="100" w:right="36"/>
              <w:jc w:val="left"/>
              <w:rPr>
                <w:sz w:val="18"/>
              </w:rPr>
            </w:pPr>
            <w:r>
              <w:rPr>
                <w:sz w:val="18"/>
              </w:rPr>
              <w:t>Los ríos Grijalva, Papaloapan, Coatzacoalcos, Balsas, Pánuco, Santiago y Tonalá constituyen el 87% del agua del territorio nacional.</w:t>
            </w:r>
          </w:p>
          <w:p>
            <w:pPr>
              <w:pStyle w:val="TableParagraph"/>
              <w:spacing w:line="273" w:lineRule="auto"/>
              <w:ind w:left="100" w:right="36"/>
              <w:jc w:val="left"/>
              <w:rPr>
                <w:sz w:val="18"/>
              </w:rPr>
            </w:pPr>
            <w:r>
              <w:rPr>
                <w:sz w:val="18"/>
              </w:rPr>
              <w:t>Los</w:t>
            </w:r>
            <w:r>
              <w:rPr>
                <w:spacing w:val="-14"/>
                <w:sz w:val="18"/>
              </w:rPr>
              <w:t> </w:t>
            </w:r>
            <w:r>
              <w:rPr>
                <w:sz w:val="18"/>
              </w:rPr>
              <w:t>lagos</w:t>
            </w:r>
            <w:r>
              <w:rPr>
                <w:spacing w:val="-14"/>
                <w:sz w:val="18"/>
              </w:rPr>
              <w:t> </w:t>
            </w:r>
            <w:r>
              <w:rPr>
                <w:sz w:val="18"/>
              </w:rPr>
              <w:t>más</w:t>
            </w:r>
            <w:r>
              <w:rPr>
                <w:spacing w:val="-14"/>
                <w:sz w:val="18"/>
              </w:rPr>
              <w:t> </w:t>
            </w:r>
            <w:r>
              <w:rPr>
                <w:sz w:val="18"/>
              </w:rPr>
              <w:t>importantes</w:t>
            </w:r>
            <w:r>
              <w:rPr>
                <w:spacing w:val="-16"/>
                <w:sz w:val="18"/>
              </w:rPr>
              <w:t> </w:t>
            </w:r>
            <w:r>
              <w:rPr>
                <w:sz w:val="18"/>
              </w:rPr>
              <w:t>de</w:t>
            </w:r>
            <w:r>
              <w:rPr>
                <w:spacing w:val="-17"/>
                <w:sz w:val="18"/>
              </w:rPr>
              <w:t> </w:t>
            </w:r>
            <w:r>
              <w:rPr>
                <w:sz w:val="18"/>
              </w:rPr>
              <w:t>México</w:t>
            </w:r>
            <w:r>
              <w:rPr>
                <w:spacing w:val="-15"/>
                <w:sz w:val="18"/>
              </w:rPr>
              <w:t> </w:t>
            </w:r>
            <w:r>
              <w:rPr>
                <w:sz w:val="18"/>
              </w:rPr>
              <w:t>son:</w:t>
            </w:r>
            <w:r>
              <w:rPr>
                <w:spacing w:val="-15"/>
                <w:sz w:val="18"/>
              </w:rPr>
              <w:t> </w:t>
            </w:r>
            <w:r>
              <w:rPr>
                <w:sz w:val="18"/>
              </w:rPr>
              <w:t>Chapala,</w:t>
            </w:r>
            <w:r>
              <w:rPr>
                <w:spacing w:val="-17"/>
                <w:sz w:val="18"/>
              </w:rPr>
              <w:t> </w:t>
            </w:r>
            <w:r>
              <w:rPr>
                <w:sz w:val="18"/>
              </w:rPr>
              <w:t>Cuitzeo,</w:t>
            </w:r>
            <w:r>
              <w:rPr>
                <w:spacing w:val="-17"/>
                <w:sz w:val="18"/>
              </w:rPr>
              <w:t> </w:t>
            </w:r>
            <w:r>
              <w:rPr>
                <w:sz w:val="18"/>
              </w:rPr>
              <w:t>Patzacuaro,</w:t>
            </w:r>
            <w:r>
              <w:rPr>
                <w:spacing w:val="-15"/>
                <w:sz w:val="18"/>
              </w:rPr>
              <w:t> </w:t>
            </w:r>
            <w:r>
              <w:rPr>
                <w:sz w:val="18"/>
              </w:rPr>
              <w:t>Yuriria,</w:t>
            </w:r>
            <w:r>
              <w:rPr>
                <w:spacing w:val="-15"/>
                <w:sz w:val="18"/>
              </w:rPr>
              <w:t> </w:t>
            </w:r>
            <w:r>
              <w:rPr>
                <w:sz w:val="18"/>
              </w:rPr>
              <w:t>Catemaco, Nabor Carrillo y Tequesquitengo. Estos suman 1,692 km</w:t>
            </w:r>
            <w:r>
              <w:rPr>
                <w:position w:val="6"/>
                <w:sz w:val="12"/>
              </w:rPr>
              <w:t>2 </w:t>
            </w:r>
            <w:r>
              <w:rPr>
                <w:sz w:val="18"/>
              </w:rPr>
              <w:t>de cuencas de</w:t>
            </w:r>
            <w:r>
              <w:rPr>
                <w:spacing w:val="-23"/>
                <w:sz w:val="18"/>
              </w:rPr>
              <w:t> </w:t>
            </w:r>
            <w:r>
              <w:rPr>
                <w:sz w:val="18"/>
              </w:rPr>
              <w:t>agua.</w:t>
            </w:r>
          </w:p>
          <w:p>
            <w:pPr>
              <w:pStyle w:val="TableParagraph"/>
              <w:spacing w:before="1"/>
              <w:ind w:left="100" w:right="36"/>
              <w:jc w:val="left"/>
              <w:rPr>
                <w:sz w:val="18"/>
              </w:rPr>
            </w:pPr>
            <w:r>
              <w:rPr>
                <w:sz w:val="18"/>
              </w:rPr>
              <w:t>Existen 653 cuerpos de agua subterránea y 4 mil 462 presas.</w:t>
            </w:r>
          </w:p>
          <w:p>
            <w:pPr>
              <w:pStyle w:val="TableParagraph"/>
              <w:spacing w:line="276" w:lineRule="auto" w:before="30"/>
              <w:ind w:left="100" w:right="36"/>
              <w:jc w:val="left"/>
              <w:rPr>
                <w:sz w:val="18"/>
              </w:rPr>
            </w:pPr>
            <w:r>
              <w:rPr>
                <w:sz w:val="18"/>
              </w:rPr>
              <w:t>En México, 77% del agua se utiliza en la agricultura; 14%, en el abastecimiento público; 5%, en las termoeléctricas y 4%, en la industria.</w:t>
            </w:r>
          </w:p>
          <w:p>
            <w:pPr>
              <w:pStyle w:val="TableParagraph"/>
              <w:spacing w:line="278" w:lineRule="auto" w:before="1"/>
              <w:ind w:left="100" w:right="36"/>
              <w:jc w:val="left"/>
              <w:rPr>
                <w:sz w:val="18"/>
              </w:rPr>
            </w:pPr>
            <w:r>
              <w:rPr>
                <w:sz w:val="18"/>
              </w:rPr>
              <w:t>En</w:t>
            </w:r>
            <w:r>
              <w:rPr>
                <w:spacing w:val="-9"/>
                <w:sz w:val="18"/>
              </w:rPr>
              <w:t> </w:t>
            </w:r>
            <w:r>
              <w:rPr>
                <w:sz w:val="18"/>
              </w:rPr>
              <w:t>2010,</w:t>
            </w:r>
            <w:r>
              <w:rPr>
                <w:spacing w:val="-11"/>
                <w:sz w:val="18"/>
              </w:rPr>
              <w:t> </w:t>
            </w:r>
            <w:r>
              <w:rPr>
                <w:sz w:val="18"/>
              </w:rPr>
              <w:t>el</w:t>
            </w:r>
            <w:r>
              <w:rPr>
                <w:spacing w:val="-11"/>
                <w:sz w:val="18"/>
              </w:rPr>
              <w:t> </w:t>
            </w:r>
            <w:r>
              <w:rPr>
                <w:sz w:val="18"/>
              </w:rPr>
              <w:t>porcentaje</w:t>
            </w:r>
            <w:r>
              <w:rPr>
                <w:spacing w:val="-11"/>
                <w:sz w:val="18"/>
              </w:rPr>
              <w:t> </w:t>
            </w:r>
            <w:r>
              <w:rPr>
                <w:sz w:val="18"/>
              </w:rPr>
              <w:t>de</w:t>
            </w:r>
            <w:r>
              <w:rPr>
                <w:spacing w:val="-9"/>
                <w:sz w:val="18"/>
              </w:rPr>
              <w:t> </w:t>
            </w:r>
            <w:r>
              <w:rPr>
                <w:sz w:val="18"/>
              </w:rPr>
              <w:t>viviendas</w:t>
            </w:r>
            <w:r>
              <w:rPr>
                <w:spacing w:val="-11"/>
                <w:sz w:val="18"/>
              </w:rPr>
              <w:t> </w:t>
            </w:r>
            <w:r>
              <w:rPr>
                <w:sz w:val="18"/>
              </w:rPr>
              <w:t>con</w:t>
            </w:r>
            <w:r>
              <w:rPr>
                <w:spacing w:val="-9"/>
                <w:sz w:val="18"/>
              </w:rPr>
              <w:t> </w:t>
            </w:r>
            <w:r>
              <w:rPr>
                <w:sz w:val="18"/>
              </w:rPr>
              <w:t>disponibilidad</w:t>
            </w:r>
            <w:r>
              <w:rPr>
                <w:spacing w:val="-9"/>
                <w:sz w:val="18"/>
              </w:rPr>
              <w:t> </w:t>
            </w:r>
            <w:r>
              <w:rPr>
                <w:sz w:val="18"/>
              </w:rPr>
              <w:t>de</w:t>
            </w:r>
            <w:r>
              <w:rPr>
                <w:spacing w:val="-9"/>
                <w:sz w:val="18"/>
              </w:rPr>
              <w:t> </w:t>
            </w:r>
            <w:r>
              <w:rPr>
                <w:sz w:val="18"/>
              </w:rPr>
              <w:t>agua</w:t>
            </w:r>
            <w:r>
              <w:rPr>
                <w:spacing w:val="-9"/>
                <w:sz w:val="18"/>
              </w:rPr>
              <w:t> </w:t>
            </w:r>
            <w:r>
              <w:rPr>
                <w:sz w:val="18"/>
              </w:rPr>
              <w:t>fue</w:t>
            </w:r>
            <w:r>
              <w:rPr>
                <w:spacing w:val="-11"/>
                <w:sz w:val="18"/>
              </w:rPr>
              <w:t> </w:t>
            </w:r>
            <w:r>
              <w:rPr>
                <w:sz w:val="18"/>
              </w:rPr>
              <w:t>de</w:t>
            </w:r>
            <w:r>
              <w:rPr>
                <w:spacing w:val="-11"/>
                <w:sz w:val="18"/>
              </w:rPr>
              <w:t> </w:t>
            </w:r>
            <w:r>
              <w:rPr>
                <w:sz w:val="18"/>
              </w:rPr>
              <w:t>casi</w:t>
            </w:r>
            <w:r>
              <w:rPr>
                <w:spacing w:val="-11"/>
                <w:sz w:val="18"/>
              </w:rPr>
              <w:t> </w:t>
            </w:r>
            <w:r>
              <w:rPr>
                <w:sz w:val="18"/>
              </w:rPr>
              <w:t>89%</w:t>
            </w:r>
            <w:r>
              <w:rPr>
                <w:spacing w:val="-2"/>
                <w:sz w:val="18"/>
              </w:rPr>
              <w:t> </w:t>
            </w:r>
            <w:r>
              <w:rPr>
                <w:sz w:val="18"/>
              </w:rPr>
              <w:t>y</w:t>
            </w:r>
            <w:r>
              <w:rPr>
                <w:spacing w:val="-11"/>
                <w:sz w:val="18"/>
              </w:rPr>
              <w:t> </w:t>
            </w:r>
            <w:r>
              <w:rPr>
                <w:sz w:val="18"/>
              </w:rPr>
              <w:t>90</w:t>
            </w:r>
            <w:r>
              <w:rPr>
                <w:spacing w:val="-11"/>
                <w:sz w:val="18"/>
              </w:rPr>
              <w:t> </w:t>
            </w:r>
            <w:r>
              <w:rPr>
                <w:sz w:val="18"/>
              </w:rPr>
              <w:t>de</w:t>
            </w:r>
            <w:r>
              <w:rPr>
                <w:spacing w:val="-11"/>
                <w:sz w:val="18"/>
              </w:rPr>
              <w:t> </w:t>
            </w:r>
            <w:r>
              <w:rPr>
                <w:sz w:val="18"/>
              </w:rPr>
              <w:t>cada 100 contaban con</w:t>
            </w:r>
            <w:r>
              <w:rPr>
                <w:spacing w:val="-8"/>
                <w:sz w:val="18"/>
              </w:rPr>
              <w:t> </w:t>
            </w:r>
            <w:r>
              <w:rPr>
                <w:sz w:val="18"/>
              </w:rPr>
              <w:t>drenaje.</w:t>
            </w:r>
          </w:p>
        </w:tc>
      </w:tr>
      <w:tr>
        <w:trPr>
          <w:trHeight w:val="722" w:hRule="exact"/>
        </w:trPr>
        <w:tc>
          <w:tcPr>
            <w:tcW w:w="1298" w:type="dxa"/>
          </w:tcPr>
          <w:p>
            <w:pPr>
              <w:pStyle w:val="TableParagraph"/>
              <w:spacing w:line="276" w:lineRule="auto"/>
              <w:ind w:left="103"/>
              <w:jc w:val="left"/>
              <w:rPr>
                <w:sz w:val="18"/>
              </w:rPr>
            </w:pPr>
            <w:r>
              <w:rPr>
                <w:w w:val="95"/>
                <w:sz w:val="18"/>
              </w:rPr>
              <w:t>Coordenadas </w:t>
            </w:r>
            <w:r>
              <w:rPr>
                <w:sz w:val="18"/>
              </w:rPr>
              <w:t>extremas</w:t>
            </w:r>
          </w:p>
        </w:tc>
        <w:tc>
          <w:tcPr>
            <w:tcW w:w="7530" w:type="dxa"/>
          </w:tcPr>
          <w:p>
            <w:pPr>
              <w:pStyle w:val="TableParagraph"/>
              <w:spacing w:line="273" w:lineRule="auto"/>
              <w:ind w:left="100" w:right="99"/>
              <w:jc w:val="both"/>
              <w:rPr>
                <w:sz w:val="18"/>
              </w:rPr>
            </w:pPr>
            <w:r>
              <w:rPr>
                <w:sz w:val="18"/>
              </w:rPr>
              <w:t>Por el norte con Estado Unidos a 32° 43´ 06” Latitud</w:t>
            </w:r>
            <w:r>
              <w:rPr>
                <w:position w:val="6"/>
                <w:sz w:val="12"/>
              </w:rPr>
              <w:t>12 </w:t>
            </w:r>
            <w:r>
              <w:rPr>
                <w:sz w:val="18"/>
              </w:rPr>
              <w:t>norte, por el oeste con el Océano Pacífico a 118° 27´ 24” Longitud</w:t>
            </w:r>
            <w:r>
              <w:rPr>
                <w:position w:val="6"/>
                <w:sz w:val="12"/>
              </w:rPr>
              <w:t>13 </w:t>
            </w:r>
            <w:r>
              <w:rPr>
                <w:sz w:val="18"/>
              </w:rPr>
              <w:t>oeste, por el este con el Golfo de México a 86° 42´ 36” Longitud oeste y por el sureste con Guatemala y Belice a 14° 32´ 27” Latitud norte.</w:t>
            </w:r>
          </w:p>
        </w:tc>
      </w:tr>
      <w:tr>
        <w:trPr>
          <w:trHeight w:val="1678" w:hRule="exact"/>
        </w:trPr>
        <w:tc>
          <w:tcPr>
            <w:tcW w:w="1298" w:type="dxa"/>
          </w:tcPr>
          <w:p>
            <w:pPr>
              <w:pStyle w:val="TableParagraph"/>
              <w:jc w:val="left"/>
              <w:rPr>
                <w:sz w:val="18"/>
              </w:rPr>
            </w:pPr>
          </w:p>
          <w:p>
            <w:pPr>
              <w:pStyle w:val="TableParagraph"/>
              <w:spacing w:before="5"/>
              <w:jc w:val="left"/>
              <w:rPr>
                <w:sz w:val="23"/>
              </w:rPr>
            </w:pPr>
          </w:p>
          <w:p>
            <w:pPr>
              <w:pStyle w:val="TableParagraph"/>
              <w:spacing w:line="276" w:lineRule="auto"/>
              <w:ind w:left="103" w:right="465"/>
              <w:jc w:val="left"/>
              <w:rPr>
                <w:sz w:val="18"/>
              </w:rPr>
            </w:pPr>
            <w:r>
              <w:rPr>
                <w:sz w:val="18"/>
              </w:rPr>
              <w:t>División territorial</w:t>
            </w:r>
          </w:p>
        </w:tc>
        <w:tc>
          <w:tcPr>
            <w:tcW w:w="7530" w:type="dxa"/>
          </w:tcPr>
          <w:p>
            <w:pPr>
              <w:pStyle w:val="TableParagraph"/>
              <w:spacing w:line="276" w:lineRule="auto" w:before="1"/>
              <w:ind w:left="100" w:right="101"/>
              <w:jc w:val="both"/>
              <w:rPr>
                <w:sz w:val="18"/>
              </w:rPr>
            </w:pPr>
            <w:r>
              <w:rPr>
                <w:sz w:val="18"/>
              </w:rPr>
              <w:t>El país está dividido en 32 entidades federativas: Su capital es la Ciudad de México, en la que residen los tres poderes de gobierno: ejecutivo, legislativo y judicial.</w:t>
            </w:r>
          </w:p>
          <w:p>
            <w:pPr>
              <w:pStyle w:val="TableParagraph"/>
              <w:spacing w:line="276" w:lineRule="auto"/>
              <w:ind w:left="100" w:right="104"/>
              <w:jc w:val="both"/>
              <w:rPr>
                <w:sz w:val="18"/>
              </w:rPr>
            </w:pPr>
            <w:r>
              <w:rPr>
                <w:sz w:val="18"/>
              </w:rPr>
              <w:t>Asimismo, cada entidad federativa se integra por municipios, sumando un total de 2,456 en todo el país y 16 delegaciones políticas en la Ciudad de México.</w:t>
            </w:r>
          </w:p>
          <w:p>
            <w:pPr>
              <w:pStyle w:val="TableParagraph"/>
              <w:spacing w:line="276" w:lineRule="auto"/>
              <w:ind w:left="100" w:right="102"/>
              <w:jc w:val="both"/>
              <w:rPr>
                <w:sz w:val="18"/>
              </w:rPr>
            </w:pPr>
            <w:r>
              <w:rPr>
                <w:sz w:val="18"/>
              </w:rPr>
              <w:t>La</w:t>
            </w:r>
            <w:r>
              <w:rPr>
                <w:spacing w:val="-9"/>
                <w:sz w:val="18"/>
              </w:rPr>
              <w:t> </w:t>
            </w:r>
            <w:r>
              <w:rPr>
                <w:sz w:val="18"/>
              </w:rPr>
              <w:t>entidad</w:t>
            </w:r>
            <w:r>
              <w:rPr>
                <w:spacing w:val="-9"/>
                <w:sz w:val="18"/>
              </w:rPr>
              <w:t> </w:t>
            </w:r>
            <w:r>
              <w:rPr>
                <w:sz w:val="18"/>
              </w:rPr>
              <w:t>federativa</w:t>
            </w:r>
            <w:r>
              <w:rPr>
                <w:spacing w:val="-6"/>
                <w:sz w:val="18"/>
              </w:rPr>
              <w:t> </w:t>
            </w:r>
            <w:r>
              <w:rPr>
                <w:sz w:val="18"/>
              </w:rPr>
              <w:t>con</w:t>
            </w:r>
            <w:r>
              <w:rPr>
                <w:spacing w:val="-9"/>
                <w:sz w:val="18"/>
              </w:rPr>
              <w:t> </w:t>
            </w:r>
            <w:r>
              <w:rPr>
                <w:sz w:val="18"/>
              </w:rPr>
              <w:t>mayor</w:t>
            </w:r>
            <w:r>
              <w:rPr>
                <w:spacing w:val="-9"/>
                <w:sz w:val="18"/>
              </w:rPr>
              <w:t> </w:t>
            </w:r>
            <w:r>
              <w:rPr>
                <w:sz w:val="18"/>
              </w:rPr>
              <w:t>número</w:t>
            </w:r>
            <w:r>
              <w:rPr>
                <w:spacing w:val="-9"/>
                <w:sz w:val="18"/>
              </w:rPr>
              <w:t> </w:t>
            </w:r>
            <w:r>
              <w:rPr>
                <w:sz w:val="18"/>
              </w:rPr>
              <w:t>de</w:t>
            </w:r>
            <w:r>
              <w:rPr>
                <w:spacing w:val="-11"/>
                <w:sz w:val="18"/>
              </w:rPr>
              <w:t> </w:t>
            </w:r>
            <w:r>
              <w:rPr>
                <w:sz w:val="18"/>
              </w:rPr>
              <w:t>municipios</w:t>
            </w:r>
            <w:r>
              <w:rPr>
                <w:spacing w:val="-5"/>
                <w:sz w:val="18"/>
              </w:rPr>
              <w:t> </w:t>
            </w:r>
            <w:r>
              <w:rPr>
                <w:sz w:val="18"/>
              </w:rPr>
              <w:t>es</w:t>
            </w:r>
            <w:r>
              <w:rPr>
                <w:spacing w:val="-8"/>
                <w:sz w:val="18"/>
              </w:rPr>
              <w:t> </w:t>
            </w:r>
            <w:r>
              <w:rPr>
                <w:sz w:val="18"/>
              </w:rPr>
              <w:t>Oaxaca,</w:t>
            </w:r>
            <w:r>
              <w:rPr>
                <w:spacing w:val="-9"/>
                <w:sz w:val="18"/>
              </w:rPr>
              <w:t> </w:t>
            </w:r>
            <w:r>
              <w:rPr>
                <w:sz w:val="18"/>
              </w:rPr>
              <w:t>con</w:t>
            </w:r>
            <w:r>
              <w:rPr>
                <w:spacing w:val="-9"/>
                <w:sz w:val="18"/>
              </w:rPr>
              <w:t> </w:t>
            </w:r>
            <w:r>
              <w:rPr>
                <w:sz w:val="18"/>
              </w:rPr>
              <w:t>570.</w:t>
            </w:r>
            <w:r>
              <w:rPr>
                <w:spacing w:val="-9"/>
                <w:sz w:val="18"/>
              </w:rPr>
              <w:t> </w:t>
            </w:r>
            <w:r>
              <w:rPr>
                <w:sz w:val="18"/>
              </w:rPr>
              <w:t>Por</w:t>
            </w:r>
            <w:r>
              <w:rPr>
                <w:spacing w:val="-9"/>
                <w:sz w:val="18"/>
              </w:rPr>
              <w:t> </w:t>
            </w:r>
            <w:r>
              <w:rPr>
                <w:sz w:val="18"/>
              </w:rPr>
              <w:t>el</w:t>
            </w:r>
            <w:r>
              <w:rPr>
                <w:spacing w:val="-11"/>
                <w:sz w:val="18"/>
              </w:rPr>
              <w:t> </w:t>
            </w:r>
            <w:r>
              <w:rPr>
                <w:sz w:val="18"/>
              </w:rPr>
              <w:t>contrario, los estados con menos municipios son Baja California y Baja California Sur, con cinco municipios.</w:t>
            </w:r>
          </w:p>
        </w:tc>
      </w:tr>
      <w:tr>
        <w:trPr>
          <w:trHeight w:val="963" w:hRule="exact"/>
        </w:trPr>
        <w:tc>
          <w:tcPr>
            <w:tcW w:w="1298" w:type="dxa"/>
          </w:tcPr>
          <w:p>
            <w:pPr>
              <w:pStyle w:val="TableParagraph"/>
              <w:spacing w:before="6"/>
              <w:jc w:val="left"/>
              <w:rPr>
                <w:sz w:val="20"/>
              </w:rPr>
            </w:pPr>
          </w:p>
          <w:p>
            <w:pPr>
              <w:pStyle w:val="TableParagraph"/>
              <w:spacing w:line="276" w:lineRule="auto"/>
              <w:ind w:left="103" w:right="375"/>
              <w:jc w:val="left"/>
              <w:rPr>
                <w:sz w:val="18"/>
              </w:rPr>
            </w:pPr>
            <w:r>
              <w:rPr>
                <w:sz w:val="18"/>
              </w:rPr>
              <w:t>Extensión territorial</w:t>
            </w:r>
          </w:p>
        </w:tc>
        <w:tc>
          <w:tcPr>
            <w:tcW w:w="7530" w:type="dxa"/>
          </w:tcPr>
          <w:p>
            <w:pPr>
              <w:pStyle w:val="TableParagraph"/>
              <w:spacing w:line="273" w:lineRule="auto"/>
              <w:ind w:left="100" w:right="101"/>
              <w:jc w:val="both"/>
              <w:rPr>
                <w:sz w:val="18"/>
              </w:rPr>
            </w:pPr>
            <w:r>
              <w:rPr>
                <w:sz w:val="18"/>
              </w:rPr>
              <w:t>Ocupa el lugar 14 a nivel internacional ya que </w:t>
            </w:r>
            <w:r>
              <w:rPr>
                <w:spacing w:val="2"/>
                <w:sz w:val="18"/>
              </w:rPr>
              <w:t>la </w:t>
            </w:r>
            <w:r>
              <w:rPr>
                <w:sz w:val="18"/>
              </w:rPr>
              <w:t>superficie del país es de 1 960 189 km</w:t>
            </w:r>
            <w:r>
              <w:rPr>
                <w:position w:val="6"/>
                <w:sz w:val="12"/>
              </w:rPr>
              <w:t>2 </w:t>
            </w:r>
            <w:r>
              <w:rPr>
                <w:sz w:val="18"/>
              </w:rPr>
              <w:t>de la superficie continental, 3 149 920 km</w:t>
            </w:r>
            <w:r>
              <w:rPr>
                <w:position w:val="6"/>
                <w:sz w:val="12"/>
              </w:rPr>
              <w:t>2 </w:t>
            </w:r>
            <w:r>
              <w:rPr>
                <w:sz w:val="18"/>
              </w:rPr>
              <w:t>a la Zona Económica Exclusiva (incluye islas y mar territorial)</w:t>
            </w:r>
            <w:r>
              <w:rPr>
                <w:spacing w:val="-14"/>
                <w:sz w:val="18"/>
              </w:rPr>
              <w:t> </w:t>
            </w:r>
            <w:r>
              <w:rPr>
                <w:sz w:val="18"/>
              </w:rPr>
              <w:t>y</w:t>
            </w:r>
            <w:r>
              <w:rPr>
                <w:spacing w:val="-14"/>
                <w:sz w:val="18"/>
              </w:rPr>
              <w:t> </w:t>
            </w:r>
            <w:r>
              <w:rPr>
                <w:sz w:val="18"/>
              </w:rPr>
              <w:t>10</w:t>
            </w:r>
            <w:r>
              <w:rPr>
                <w:spacing w:val="-14"/>
                <w:sz w:val="18"/>
              </w:rPr>
              <w:t> </w:t>
            </w:r>
            <w:r>
              <w:rPr>
                <w:sz w:val="18"/>
              </w:rPr>
              <w:t>570</w:t>
            </w:r>
            <w:r>
              <w:rPr>
                <w:spacing w:val="-14"/>
                <w:sz w:val="18"/>
              </w:rPr>
              <w:t> </w:t>
            </w:r>
            <w:r>
              <w:rPr>
                <w:sz w:val="18"/>
              </w:rPr>
              <w:t>km</w:t>
            </w:r>
            <w:r>
              <w:rPr>
                <w:position w:val="6"/>
                <w:sz w:val="12"/>
              </w:rPr>
              <w:t>2</w:t>
            </w:r>
            <w:r>
              <w:rPr>
                <w:spacing w:val="-9"/>
                <w:position w:val="6"/>
                <w:sz w:val="12"/>
              </w:rPr>
              <w:t> </w:t>
            </w:r>
            <w:r>
              <w:rPr>
                <w:sz w:val="18"/>
              </w:rPr>
              <w:t>son</w:t>
            </w:r>
            <w:r>
              <w:rPr>
                <w:spacing w:val="-14"/>
                <w:sz w:val="18"/>
              </w:rPr>
              <w:t> </w:t>
            </w:r>
            <w:r>
              <w:rPr>
                <w:sz w:val="18"/>
              </w:rPr>
              <w:t>de</w:t>
            </w:r>
            <w:r>
              <w:rPr>
                <w:spacing w:val="-14"/>
                <w:sz w:val="18"/>
              </w:rPr>
              <w:t> </w:t>
            </w:r>
            <w:r>
              <w:rPr>
                <w:sz w:val="18"/>
              </w:rPr>
              <w:t>la</w:t>
            </w:r>
            <w:r>
              <w:rPr>
                <w:spacing w:val="-12"/>
                <w:sz w:val="18"/>
              </w:rPr>
              <w:t> </w:t>
            </w:r>
            <w:r>
              <w:rPr>
                <w:sz w:val="18"/>
              </w:rPr>
              <w:t>Plataforma</w:t>
            </w:r>
            <w:r>
              <w:rPr>
                <w:spacing w:val="-12"/>
                <w:sz w:val="18"/>
              </w:rPr>
              <w:t> </w:t>
            </w:r>
            <w:r>
              <w:rPr>
                <w:sz w:val="18"/>
              </w:rPr>
              <w:t>Continental</w:t>
            </w:r>
            <w:r>
              <w:rPr>
                <w:spacing w:val="-12"/>
                <w:sz w:val="18"/>
              </w:rPr>
              <w:t> </w:t>
            </w:r>
            <w:r>
              <w:rPr>
                <w:sz w:val="18"/>
              </w:rPr>
              <w:t>Extendida</w:t>
            </w:r>
            <w:r>
              <w:rPr>
                <w:spacing w:val="-11"/>
                <w:sz w:val="18"/>
              </w:rPr>
              <w:t> </w:t>
            </w:r>
            <w:r>
              <w:rPr>
                <w:sz w:val="18"/>
              </w:rPr>
              <w:t>en</w:t>
            </w:r>
            <w:r>
              <w:rPr>
                <w:spacing w:val="-14"/>
                <w:sz w:val="18"/>
              </w:rPr>
              <w:t> </w:t>
            </w:r>
            <w:r>
              <w:rPr>
                <w:sz w:val="18"/>
              </w:rPr>
              <w:t>el</w:t>
            </w:r>
            <w:r>
              <w:rPr>
                <w:spacing w:val="-14"/>
                <w:sz w:val="18"/>
              </w:rPr>
              <w:t> </w:t>
            </w:r>
            <w:r>
              <w:rPr>
                <w:sz w:val="18"/>
              </w:rPr>
              <w:t>Polígono</w:t>
            </w:r>
            <w:r>
              <w:rPr>
                <w:spacing w:val="-12"/>
                <w:sz w:val="18"/>
              </w:rPr>
              <w:t> </w:t>
            </w:r>
            <w:r>
              <w:rPr>
                <w:sz w:val="18"/>
              </w:rPr>
              <w:t>Occidental del Golfo de</w:t>
            </w:r>
            <w:r>
              <w:rPr>
                <w:spacing w:val="-10"/>
                <w:sz w:val="18"/>
              </w:rPr>
              <w:t> </w:t>
            </w:r>
            <w:r>
              <w:rPr>
                <w:sz w:val="18"/>
              </w:rPr>
              <w:t>México.</w:t>
            </w:r>
          </w:p>
        </w:tc>
      </w:tr>
      <w:tr>
        <w:trPr>
          <w:trHeight w:val="1200" w:hRule="exact"/>
        </w:trPr>
        <w:tc>
          <w:tcPr>
            <w:tcW w:w="1298" w:type="dxa"/>
          </w:tcPr>
          <w:p>
            <w:pPr>
              <w:pStyle w:val="TableParagraph"/>
              <w:spacing w:before="6"/>
              <w:jc w:val="left"/>
              <w:rPr>
                <w:sz w:val="20"/>
              </w:rPr>
            </w:pPr>
          </w:p>
          <w:p>
            <w:pPr>
              <w:pStyle w:val="TableParagraph"/>
              <w:spacing w:line="276" w:lineRule="auto"/>
              <w:ind w:left="103" w:right="425"/>
              <w:jc w:val="left"/>
              <w:rPr>
                <w:sz w:val="18"/>
              </w:rPr>
            </w:pPr>
            <w:r>
              <w:rPr>
                <w:sz w:val="18"/>
              </w:rPr>
              <w:t>Medio ambiente</w:t>
            </w:r>
          </w:p>
        </w:tc>
        <w:tc>
          <w:tcPr>
            <w:tcW w:w="7530" w:type="dxa"/>
          </w:tcPr>
          <w:p>
            <w:pPr>
              <w:pStyle w:val="TableParagraph"/>
              <w:spacing w:line="276" w:lineRule="auto"/>
              <w:ind w:left="100" w:right="36"/>
              <w:jc w:val="left"/>
              <w:rPr>
                <w:sz w:val="18"/>
              </w:rPr>
            </w:pPr>
            <w:r>
              <w:rPr>
                <w:sz w:val="18"/>
              </w:rPr>
              <w:t>Existen 2 355 sitios de descarga de aguas negras. El Estado de México, Puebla y Veracruz suman juntos 30% del total.</w:t>
            </w:r>
          </w:p>
          <w:p>
            <w:pPr>
              <w:pStyle w:val="TableParagraph"/>
              <w:ind w:left="100" w:right="36"/>
              <w:jc w:val="left"/>
              <w:rPr>
                <w:sz w:val="18"/>
              </w:rPr>
            </w:pPr>
            <w:r>
              <w:rPr>
                <w:sz w:val="18"/>
              </w:rPr>
              <w:t>En México se recolectan diariamente 86 mil 343 toneladas de basura.</w:t>
            </w:r>
          </w:p>
          <w:p>
            <w:pPr>
              <w:pStyle w:val="TableParagraph"/>
              <w:spacing w:line="278" w:lineRule="auto" w:before="30"/>
              <w:ind w:left="100" w:right="1087"/>
              <w:jc w:val="left"/>
              <w:rPr>
                <w:sz w:val="18"/>
              </w:rPr>
            </w:pPr>
            <w:r>
              <w:rPr>
                <w:sz w:val="18"/>
              </w:rPr>
              <w:t>El 87% de los tiraderos de basura son a cielo abierto y 13% rellenos sanitarios. De cada 100 hogares, 87 ahorran energía eléctrica.</w:t>
            </w:r>
          </w:p>
        </w:tc>
      </w:tr>
      <w:tr>
        <w:trPr>
          <w:trHeight w:val="722" w:hRule="exact"/>
        </w:trPr>
        <w:tc>
          <w:tcPr>
            <w:tcW w:w="1298" w:type="dxa"/>
          </w:tcPr>
          <w:p>
            <w:pPr>
              <w:pStyle w:val="TableParagraph"/>
              <w:spacing w:before="6"/>
              <w:jc w:val="left"/>
              <w:rPr>
                <w:sz w:val="20"/>
              </w:rPr>
            </w:pPr>
          </w:p>
          <w:p>
            <w:pPr>
              <w:pStyle w:val="TableParagraph"/>
              <w:ind w:left="103"/>
              <w:jc w:val="left"/>
              <w:rPr>
                <w:sz w:val="18"/>
              </w:rPr>
            </w:pPr>
            <w:r>
              <w:rPr>
                <w:sz w:val="18"/>
              </w:rPr>
              <w:t>Suelo</w:t>
            </w:r>
          </w:p>
        </w:tc>
        <w:tc>
          <w:tcPr>
            <w:tcW w:w="7530" w:type="dxa"/>
          </w:tcPr>
          <w:p>
            <w:pPr>
              <w:pStyle w:val="TableParagraph"/>
              <w:spacing w:line="276" w:lineRule="auto"/>
              <w:ind w:left="100" w:right="99"/>
              <w:jc w:val="both"/>
              <w:rPr>
                <w:sz w:val="18"/>
              </w:rPr>
            </w:pPr>
            <w:r>
              <w:rPr>
                <w:sz w:val="18"/>
              </w:rPr>
              <w:t>En</w:t>
            </w:r>
            <w:r>
              <w:rPr>
                <w:spacing w:val="-7"/>
                <w:sz w:val="18"/>
              </w:rPr>
              <w:t> </w:t>
            </w:r>
            <w:r>
              <w:rPr>
                <w:sz w:val="18"/>
              </w:rPr>
              <w:t>México</w:t>
            </w:r>
            <w:r>
              <w:rPr>
                <w:spacing w:val="-6"/>
                <w:sz w:val="18"/>
              </w:rPr>
              <w:t> </w:t>
            </w:r>
            <w:r>
              <w:rPr>
                <w:sz w:val="18"/>
              </w:rPr>
              <w:t>hay</w:t>
            </w:r>
            <w:r>
              <w:rPr>
                <w:spacing w:val="-11"/>
                <w:sz w:val="18"/>
              </w:rPr>
              <w:t> </w:t>
            </w:r>
            <w:r>
              <w:rPr>
                <w:sz w:val="18"/>
              </w:rPr>
              <w:t>una</w:t>
            </w:r>
            <w:r>
              <w:rPr>
                <w:spacing w:val="-9"/>
                <w:sz w:val="18"/>
              </w:rPr>
              <w:t> </w:t>
            </w:r>
            <w:r>
              <w:rPr>
                <w:sz w:val="18"/>
              </w:rPr>
              <w:t>gran</w:t>
            </w:r>
            <w:r>
              <w:rPr>
                <w:spacing w:val="-9"/>
                <w:sz w:val="18"/>
              </w:rPr>
              <w:t> </w:t>
            </w:r>
            <w:r>
              <w:rPr>
                <w:sz w:val="18"/>
              </w:rPr>
              <w:t>diversidad</w:t>
            </w:r>
            <w:r>
              <w:rPr>
                <w:spacing w:val="-9"/>
                <w:sz w:val="18"/>
              </w:rPr>
              <w:t> </w:t>
            </w:r>
            <w:r>
              <w:rPr>
                <w:sz w:val="18"/>
              </w:rPr>
              <w:t>de</w:t>
            </w:r>
            <w:r>
              <w:rPr>
                <w:spacing w:val="-9"/>
                <w:sz w:val="18"/>
              </w:rPr>
              <w:t> </w:t>
            </w:r>
            <w:r>
              <w:rPr>
                <w:sz w:val="18"/>
              </w:rPr>
              <w:t>suelos,</w:t>
            </w:r>
            <w:r>
              <w:rPr>
                <w:spacing w:val="-9"/>
                <w:sz w:val="18"/>
              </w:rPr>
              <w:t> </w:t>
            </w:r>
            <w:r>
              <w:rPr>
                <w:sz w:val="18"/>
              </w:rPr>
              <w:t>se</w:t>
            </w:r>
            <w:r>
              <w:rPr>
                <w:spacing w:val="-9"/>
                <w:sz w:val="18"/>
              </w:rPr>
              <w:t> </w:t>
            </w:r>
            <w:r>
              <w:rPr>
                <w:sz w:val="18"/>
              </w:rPr>
              <w:t>encuentra</w:t>
            </w:r>
            <w:r>
              <w:rPr>
                <w:spacing w:val="-9"/>
                <w:sz w:val="18"/>
              </w:rPr>
              <w:t> </w:t>
            </w:r>
            <w:r>
              <w:rPr>
                <w:sz w:val="18"/>
              </w:rPr>
              <w:t>el</w:t>
            </w:r>
            <w:r>
              <w:rPr>
                <w:spacing w:val="-2"/>
                <w:sz w:val="18"/>
              </w:rPr>
              <w:t> </w:t>
            </w:r>
            <w:r>
              <w:rPr>
                <w:sz w:val="18"/>
              </w:rPr>
              <w:t>87%</w:t>
            </w:r>
            <w:r>
              <w:rPr>
                <w:spacing w:val="-8"/>
                <w:sz w:val="18"/>
              </w:rPr>
              <w:t> </w:t>
            </w:r>
            <w:r>
              <w:rPr>
                <w:sz w:val="18"/>
              </w:rPr>
              <w:t>de</w:t>
            </w:r>
            <w:r>
              <w:rPr>
                <w:spacing w:val="-9"/>
                <w:sz w:val="18"/>
              </w:rPr>
              <w:t> </w:t>
            </w:r>
            <w:r>
              <w:rPr>
                <w:sz w:val="18"/>
              </w:rPr>
              <w:t>los</w:t>
            </w:r>
            <w:r>
              <w:rPr>
                <w:spacing w:val="-7"/>
                <w:sz w:val="18"/>
              </w:rPr>
              <w:t> </w:t>
            </w:r>
            <w:r>
              <w:rPr>
                <w:sz w:val="18"/>
              </w:rPr>
              <w:t>tipos</w:t>
            </w:r>
            <w:r>
              <w:rPr>
                <w:spacing w:val="-8"/>
                <w:sz w:val="18"/>
              </w:rPr>
              <w:t> </w:t>
            </w:r>
            <w:r>
              <w:rPr>
                <w:sz w:val="18"/>
              </w:rPr>
              <w:t>de</w:t>
            </w:r>
            <w:r>
              <w:rPr>
                <w:spacing w:val="-9"/>
                <w:sz w:val="18"/>
              </w:rPr>
              <w:t> </w:t>
            </w:r>
            <w:r>
              <w:rPr>
                <w:sz w:val="18"/>
              </w:rPr>
              <w:t>suelo</w:t>
            </w:r>
            <w:r>
              <w:rPr>
                <w:spacing w:val="-7"/>
                <w:sz w:val="18"/>
              </w:rPr>
              <w:t> </w:t>
            </w:r>
            <w:r>
              <w:rPr>
                <w:sz w:val="18"/>
              </w:rPr>
              <w:t>que hay en nuestro planeta. Existen diversos usos del suelo mexicano: agrícola, forestal, industrial y</w:t>
            </w:r>
            <w:r>
              <w:rPr>
                <w:spacing w:val="-8"/>
                <w:sz w:val="18"/>
              </w:rPr>
              <w:t> </w:t>
            </w:r>
            <w:r>
              <w:rPr>
                <w:sz w:val="18"/>
              </w:rPr>
              <w:t>habitacional.</w:t>
            </w:r>
          </w:p>
        </w:tc>
      </w:tr>
      <w:tr>
        <w:trPr>
          <w:trHeight w:val="725" w:hRule="exact"/>
        </w:trPr>
        <w:tc>
          <w:tcPr>
            <w:tcW w:w="1298" w:type="dxa"/>
          </w:tcPr>
          <w:p>
            <w:pPr>
              <w:pStyle w:val="TableParagraph"/>
              <w:spacing w:before="9"/>
              <w:jc w:val="left"/>
              <w:rPr>
                <w:sz w:val="20"/>
              </w:rPr>
            </w:pPr>
          </w:p>
          <w:p>
            <w:pPr>
              <w:pStyle w:val="TableParagraph"/>
              <w:ind w:left="103"/>
              <w:jc w:val="left"/>
              <w:rPr>
                <w:sz w:val="18"/>
              </w:rPr>
            </w:pPr>
            <w:r>
              <w:rPr>
                <w:sz w:val="18"/>
              </w:rPr>
              <w:t>Vegetación</w:t>
            </w:r>
          </w:p>
        </w:tc>
        <w:tc>
          <w:tcPr>
            <w:tcW w:w="7530" w:type="dxa"/>
          </w:tcPr>
          <w:p>
            <w:pPr>
              <w:pStyle w:val="TableParagraph"/>
              <w:spacing w:line="276" w:lineRule="auto" w:before="1"/>
              <w:ind w:left="100" w:right="104"/>
              <w:jc w:val="both"/>
              <w:rPr>
                <w:sz w:val="18"/>
              </w:rPr>
            </w:pPr>
            <w:r>
              <w:rPr>
                <w:sz w:val="18"/>
              </w:rPr>
              <w:t>En</w:t>
            </w:r>
            <w:r>
              <w:rPr>
                <w:spacing w:val="-8"/>
                <w:sz w:val="18"/>
              </w:rPr>
              <w:t> </w:t>
            </w:r>
            <w:r>
              <w:rPr>
                <w:sz w:val="18"/>
              </w:rPr>
              <w:t>México</w:t>
            </w:r>
            <w:r>
              <w:rPr>
                <w:spacing w:val="-8"/>
                <w:sz w:val="18"/>
              </w:rPr>
              <w:t> </w:t>
            </w:r>
            <w:r>
              <w:rPr>
                <w:sz w:val="18"/>
              </w:rPr>
              <w:t>existen</w:t>
            </w:r>
            <w:r>
              <w:rPr>
                <w:spacing w:val="-8"/>
                <w:sz w:val="18"/>
              </w:rPr>
              <w:t> </w:t>
            </w:r>
            <w:r>
              <w:rPr>
                <w:sz w:val="18"/>
              </w:rPr>
              <w:t>los</w:t>
            </w:r>
            <w:r>
              <w:rPr>
                <w:spacing w:val="-10"/>
                <w:sz w:val="18"/>
              </w:rPr>
              <w:t> </w:t>
            </w:r>
            <w:r>
              <w:rPr>
                <w:sz w:val="18"/>
              </w:rPr>
              <w:t>siguientes</w:t>
            </w:r>
            <w:r>
              <w:rPr>
                <w:spacing w:val="-8"/>
                <w:sz w:val="18"/>
              </w:rPr>
              <w:t> </w:t>
            </w:r>
            <w:r>
              <w:rPr>
                <w:sz w:val="18"/>
              </w:rPr>
              <w:t>grupos</w:t>
            </w:r>
            <w:r>
              <w:rPr>
                <w:spacing w:val="-8"/>
                <w:sz w:val="18"/>
              </w:rPr>
              <w:t> </w:t>
            </w:r>
            <w:r>
              <w:rPr>
                <w:sz w:val="18"/>
              </w:rPr>
              <w:t>de</w:t>
            </w:r>
            <w:r>
              <w:rPr>
                <w:spacing w:val="-11"/>
                <w:sz w:val="18"/>
              </w:rPr>
              <w:t> </w:t>
            </w:r>
            <w:r>
              <w:rPr>
                <w:sz w:val="18"/>
              </w:rPr>
              <w:t>vegetación:</w:t>
            </w:r>
            <w:r>
              <w:rPr>
                <w:spacing w:val="-3"/>
                <w:sz w:val="18"/>
              </w:rPr>
              <w:t> </w:t>
            </w:r>
            <w:r>
              <w:rPr>
                <w:sz w:val="18"/>
              </w:rPr>
              <w:t>Selva</w:t>
            </w:r>
            <w:r>
              <w:rPr>
                <w:spacing w:val="-8"/>
                <w:sz w:val="18"/>
              </w:rPr>
              <w:t> </w:t>
            </w:r>
            <w:r>
              <w:rPr>
                <w:sz w:val="18"/>
              </w:rPr>
              <w:t>húmeda,</w:t>
            </w:r>
            <w:r>
              <w:rPr>
                <w:spacing w:val="-9"/>
                <w:sz w:val="18"/>
              </w:rPr>
              <w:t> </w:t>
            </w:r>
            <w:r>
              <w:rPr>
                <w:sz w:val="18"/>
              </w:rPr>
              <w:t>Selva</w:t>
            </w:r>
            <w:r>
              <w:rPr>
                <w:spacing w:val="-11"/>
                <w:sz w:val="18"/>
              </w:rPr>
              <w:t> </w:t>
            </w:r>
            <w:r>
              <w:rPr>
                <w:sz w:val="18"/>
              </w:rPr>
              <w:t>seca,</w:t>
            </w:r>
            <w:r>
              <w:rPr>
                <w:spacing w:val="-9"/>
                <w:sz w:val="18"/>
              </w:rPr>
              <w:t> </w:t>
            </w:r>
            <w:r>
              <w:rPr>
                <w:sz w:val="18"/>
              </w:rPr>
              <w:t>Sabana, Bosque húmedo de montaña, Bosque de coníferas y encinos, Chaparral, Pastizal, Vegetación acuática, Vegetación de suelos</w:t>
            </w:r>
            <w:r>
              <w:rPr>
                <w:spacing w:val="-20"/>
                <w:sz w:val="18"/>
              </w:rPr>
              <w:t> </w:t>
            </w:r>
            <w:r>
              <w:rPr>
                <w:sz w:val="18"/>
              </w:rPr>
              <w:t>salino.</w:t>
            </w:r>
          </w:p>
        </w:tc>
      </w:tr>
      <w:tr>
        <w:trPr>
          <w:trHeight w:val="250" w:hRule="exact"/>
        </w:trPr>
        <w:tc>
          <w:tcPr>
            <w:tcW w:w="1298" w:type="dxa"/>
          </w:tcPr>
          <w:p>
            <w:pPr/>
          </w:p>
        </w:tc>
        <w:tc>
          <w:tcPr>
            <w:tcW w:w="7530" w:type="dxa"/>
          </w:tcPr>
          <w:p>
            <w:pPr/>
          </w:p>
        </w:tc>
      </w:tr>
    </w:tbl>
    <w:p>
      <w:pPr>
        <w:spacing w:line="180" w:lineRule="exact" w:before="0"/>
        <w:ind w:left="234" w:right="-15" w:firstLine="0"/>
        <w:jc w:val="left"/>
        <w:rPr>
          <w:sz w:val="16"/>
        </w:rPr>
      </w:pPr>
      <w:r>
        <w:rPr>
          <w:sz w:val="16"/>
        </w:rPr>
        <w:t>Fuente: Elaboración propia con datos del INEGI </w:t>
      </w:r>
      <w:hyperlink r:id="rId20">
        <w:r>
          <w:rPr>
            <w:color w:val="0462C1"/>
            <w:sz w:val="16"/>
            <w:u w:val="single" w:color="0462C1"/>
          </w:rPr>
          <w:t>http://cuentame.inegi.org.mx/territorio/default.aspx?tema=T </w:t>
        </w:r>
      </w:hyperlink>
      <w:r>
        <w:rPr>
          <w:sz w:val="16"/>
        </w:rPr>
        <w:t>[26-11-2016]</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r>
        <w:rPr/>
        <w:pict>
          <v:line style="position:absolute;mso-position-horizontal-relative:page;mso-position-vertical-relative:paragraph;z-index:2824;mso-wrap-distance-left:0;mso-wrap-distance-right:0" from="85.103996pt,19.178614pt" to="229.123996pt,19.178614pt" stroked="true" strokeweight=".71997pt" strokecolor="#000000">
            <w10:wrap type="topAndBottom"/>
          </v:line>
        </w:pict>
      </w:r>
    </w:p>
    <w:p>
      <w:pPr>
        <w:pStyle w:val="ListParagraph"/>
        <w:numPr>
          <w:ilvl w:val="0"/>
          <w:numId w:val="8"/>
        </w:numPr>
        <w:tabs>
          <w:tab w:pos="295" w:val="left" w:leader="none"/>
        </w:tabs>
        <w:spacing w:line="273" w:lineRule="auto" w:before="69" w:after="0"/>
        <w:ind w:left="122" w:right="119" w:firstLine="0"/>
        <w:jc w:val="left"/>
        <w:rPr>
          <w:rFonts w:ascii="Calibri" w:hAnsi="Calibri"/>
          <w:sz w:val="13"/>
        </w:rPr>
      </w:pPr>
      <w:r>
        <w:rPr>
          <w:rFonts w:ascii="Verdana" w:hAnsi="Verdana"/>
          <w:sz w:val="14"/>
        </w:rPr>
        <w:t>Para</w:t>
      </w:r>
      <w:r>
        <w:rPr>
          <w:rFonts w:ascii="Verdana" w:hAnsi="Verdana"/>
          <w:spacing w:val="-7"/>
          <w:sz w:val="14"/>
        </w:rPr>
        <w:t> </w:t>
      </w:r>
      <w:r>
        <w:rPr>
          <w:rFonts w:ascii="Verdana" w:hAnsi="Verdana"/>
          <w:sz w:val="14"/>
        </w:rPr>
        <w:t>ubicar</w:t>
      </w:r>
      <w:r>
        <w:rPr>
          <w:rFonts w:ascii="Verdana" w:hAnsi="Verdana"/>
          <w:spacing w:val="-4"/>
          <w:sz w:val="14"/>
        </w:rPr>
        <w:t> </w:t>
      </w:r>
      <w:r>
        <w:rPr>
          <w:rFonts w:ascii="Verdana" w:hAnsi="Verdana"/>
          <w:sz w:val="14"/>
        </w:rPr>
        <w:t>la</w:t>
      </w:r>
      <w:r>
        <w:rPr>
          <w:rFonts w:ascii="Verdana" w:hAnsi="Verdana"/>
          <w:spacing w:val="-4"/>
          <w:sz w:val="14"/>
        </w:rPr>
        <w:t> </w:t>
      </w:r>
      <w:r>
        <w:rPr>
          <w:rFonts w:ascii="Verdana" w:hAnsi="Verdana"/>
          <w:sz w:val="14"/>
        </w:rPr>
        <w:t>latitud</w:t>
      </w:r>
      <w:r>
        <w:rPr>
          <w:rFonts w:ascii="Verdana" w:hAnsi="Verdana"/>
          <w:spacing w:val="-7"/>
          <w:sz w:val="14"/>
        </w:rPr>
        <w:t> </w:t>
      </w:r>
      <w:r>
        <w:rPr>
          <w:rFonts w:ascii="Verdana" w:hAnsi="Verdana"/>
          <w:sz w:val="14"/>
        </w:rPr>
        <w:t>de</w:t>
      </w:r>
      <w:r>
        <w:rPr>
          <w:rFonts w:ascii="Verdana" w:hAnsi="Verdana"/>
          <w:spacing w:val="-6"/>
          <w:sz w:val="14"/>
        </w:rPr>
        <w:t> </w:t>
      </w:r>
      <w:r>
        <w:rPr>
          <w:rFonts w:ascii="Verdana" w:hAnsi="Verdana"/>
          <w:sz w:val="14"/>
        </w:rPr>
        <w:t>un</w:t>
      </w:r>
      <w:r>
        <w:rPr>
          <w:rFonts w:ascii="Verdana" w:hAnsi="Verdana"/>
          <w:spacing w:val="-4"/>
          <w:sz w:val="14"/>
        </w:rPr>
        <w:t> </w:t>
      </w:r>
      <w:r>
        <w:rPr>
          <w:rFonts w:ascii="Verdana" w:hAnsi="Verdana"/>
          <w:sz w:val="14"/>
        </w:rPr>
        <w:t>lugar</w:t>
      </w:r>
      <w:r>
        <w:rPr>
          <w:rFonts w:ascii="Verdana" w:hAnsi="Verdana"/>
          <w:spacing w:val="-4"/>
          <w:sz w:val="14"/>
        </w:rPr>
        <w:t> </w:t>
      </w:r>
      <w:r>
        <w:rPr>
          <w:rFonts w:ascii="Verdana" w:hAnsi="Verdana"/>
          <w:sz w:val="14"/>
        </w:rPr>
        <w:t>se</w:t>
      </w:r>
      <w:r>
        <w:rPr>
          <w:rFonts w:ascii="Verdana" w:hAnsi="Verdana"/>
          <w:spacing w:val="-6"/>
          <w:sz w:val="14"/>
        </w:rPr>
        <w:t> </w:t>
      </w:r>
      <w:r>
        <w:rPr>
          <w:rFonts w:ascii="Verdana" w:hAnsi="Verdana"/>
          <w:sz w:val="14"/>
        </w:rPr>
        <w:t>utilizan</w:t>
      </w:r>
      <w:r>
        <w:rPr>
          <w:rFonts w:ascii="Verdana" w:hAnsi="Verdana"/>
          <w:spacing w:val="-4"/>
          <w:sz w:val="14"/>
        </w:rPr>
        <w:t> </w:t>
      </w:r>
      <w:r>
        <w:rPr>
          <w:rFonts w:ascii="Verdana" w:hAnsi="Verdana"/>
          <w:sz w:val="14"/>
        </w:rPr>
        <w:t>los</w:t>
      </w:r>
      <w:r>
        <w:rPr>
          <w:rFonts w:ascii="Verdana" w:hAnsi="Verdana"/>
          <w:spacing w:val="-5"/>
          <w:sz w:val="14"/>
        </w:rPr>
        <w:t> </w:t>
      </w:r>
      <w:r>
        <w:rPr>
          <w:rFonts w:ascii="Verdana" w:hAnsi="Verdana"/>
          <w:sz w:val="14"/>
        </w:rPr>
        <w:t>paralelos,</w:t>
      </w:r>
      <w:r>
        <w:rPr>
          <w:rFonts w:ascii="Verdana" w:hAnsi="Verdana"/>
          <w:spacing w:val="-3"/>
          <w:sz w:val="14"/>
        </w:rPr>
        <w:t> </w:t>
      </w:r>
      <w:r>
        <w:rPr>
          <w:rFonts w:ascii="Verdana" w:hAnsi="Verdana"/>
          <w:sz w:val="14"/>
        </w:rPr>
        <w:t>líneas</w:t>
      </w:r>
      <w:r>
        <w:rPr>
          <w:rFonts w:ascii="Verdana" w:hAnsi="Verdana"/>
          <w:spacing w:val="-5"/>
          <w:sz w:val="14"/>
        </w:rPr>
        <w:t> </w:t>
      </w:r>
      <w:r>
        <w:rPr>
          <w:rFonts w:ascii="Verdana" w:hAnsi="Verdana"/>
          <w:sz w:val="14"/>
        </w:rPr>
        <w:t>imaginarias</w:t>
      </w:r>
      <w:r>
        <w:rPr>
          <w:rFonts w:ascii="Verdana" w:hAnsi="Verdana"/>
          <w:spacing w:val="-8"/>
          <w:sz w:val="14"/>
        </w:rPr>
        <w:t> </w:t>
      </w:r>
      <w:r>
        <w:rPr>
          <w:rFonts w:ascii="Verdana" w:hAnsi="Verdana"/>
          <w:sz w:val="14"/>
        </w:rPr>
        <w:t>que</w:t>
      </w:r>
      <w:r>
        <w:rPr>
          <w:rFonts w:ascii="Verdana" w:hAnsi="Verdana"/>
          <w:spacing w:val="-3"/>
          <w:sz w:val="14"/>
        </w:rPr>
        <w:t> </w:t>
      </w:r>
      <w:r>
        <w:rPr>
          <w:rFonts w:ascii="Verdana" w:hAnsi="Verdana"/>
          <w:sz w:val="14"/>
        </w:rPr>
        <w:t>se</w:t>
      </w:r>
      <w:r>
        <w:rPr>
          <w:rFonts w:ascii="Verdana" w:hAnsi="Verdana"/>
          <w:spacing w:val="-6"/>
          <w:sz w:val="14"/>
        </w:rPr>
        <w:t> </w:t>
      </w:r>
      <w:r>
        <w:rPr>
          <w:rFonts w:ascii="Verdana" w:hAnsi="Verdana"/>
          <w:sz w:val="14"/>
        </w:rPr>
        <w:t>empiezan</w:t>
      </w:r>
      <w:r>
        <w:rPr>
          <w:rFonts w:ascii="Verdana" w:hAnsi="Verdana"/>
          <w:spacing w:val="-6"/>
          <w:sz w:val="14"/>
        </w:rPr>
        <w:t> </w:t>
      </w:r>
      <w:r>
        <w:rPr>
          <w:rFonts w:ascii="Verdana" w:hAnsi="Verdana"/>
          <w:sz w:val="14"/>
        </w:rPr>
        <w:t>a</w:t>
      </w:r>
      <w:r>
        <w:rPr>
          <w:rFonts w:ascii="Verdana" w:hAnsi="Verdana"/>
          <w:spacing w:val="-4"/>
          <w:sz w:val="14"/>
        </w:rPr>
        <w:t> </w:t>
      </w:r>
      <w:r>
        <w:rPr>
          <w:rFonts w:ascii="Verdana" w:hAnsi="Verdana"/>
          <w:sz w:val="14"/>
        </w:rPr>
        <w:t>contar</w:t>
      </w:r>
      <w:r>
        <w:rPr>
          <w:rFonts w:ascii="Verdana" w:hAnsi="Verdana"/>
          <w:spacing w:val="-4"/>
          <w:sz w:val="14"/>
        </w:rPr>
        <w:t> </w:t>
      </w:r>
      <w:r>
        <w:rPr>
          <w:rFonts w:ascii="Verdana" w:hAnsi="Verdana"/>
          <w:sz w:val="14"/>
        </w:rPr>
        <w:t>a</w:t>
      </w:r>
      <w:r>
        <w:rPr>
          <w:rFonts w:ascii="Verdana" w:hAnsi="Verdana"/>
          <w:spacing w:val="-7"/>
          <w:sz w:val="14"/>
        </w:rPr>
        <w:t> </w:t>
      </w:r>
      <w:r>
        <w:rPr>
          <w:rFonts w:ascii="Verdana" w:hAnsi="Verdana"/>
          <w:sz w:val="14"/>
        </w:rPr>
        <w:t>partir</w:t>
      </w:r>
      <w:r>
        <w:rPr>
          <w:rFonts w:ascii="Verdana" w:hAnsi="Verdana"/>
          <w:spacing w:val="-7"/>
          <w:sz w:val="14"/>
        </w:rPr>
        <w:t> </w:t>
      </w:r>
      <w:r>
        <w:rPr>
          <w:rFonts w:ascii="Verdana" w:hAnsi="Verdana"/>
          <w:sz w:val="14"/>
        </w:rPr>
        <w:t>del</w:t>
      </w:r>
      <w:r>
        <w:rPr>
          <w:rFonts w:ascii="Verdana" w:hAnsi="Verdana"/>
          <w:spacing w:val="-9"/>
          <w:sz w:val="14"/>
        </w:rPr>
        <w:t> </w:t>
      </w:r>
      <w:r>
        <w:rPr>
          <w:rFonts w:ascii="Verdana" w:hAnsi="Verdana"/>
          <w:sz w:val="14"/>
        </w:rPr>
        <w:t>Ecuador, cuyo</w:t>
      </w:r>
      <w:r>
        <w:rPr>
          <w:rFonts w:ascii="Verdana" w:hAnsi="Verdana"/>
          <w:spacing w:val="-2"/>
          <w:sz w:val="14"/>
        </w:rPr>
        <w:t> </w:t>
      </w:r>
      <w:r>
        <w:rPr>
          <w:rFonts w:ascii="Verdana" w:hAnsi="Verdana"/>
          <w:sz w:val="14"/>
        </w:rPr>
        <w:t>valor</w:t>
      </w:r>
      <w:r>
        <w:rPr>
          <w:rFonts w:ascii="Verdana" w:hAnsi="Verdana"/>
          <w:spacing w:val="-3"/>
          <w:sz w:val="14"/>
        </w:rPr>
        <w:t> </w:t>
      </w:r>
      <w:r>
        <w:rPr>
          <w:rFonts w:ascii="Verdana" w:hAnsi="Verdana"/>
          <w:sz w:val="14"/>
        </w:rPr>
        <w:t>es</w:t>
      </w:r>
      <w:r>
        <w:rPr>
          <w:rFonts w:ascii="Verdana" w:hAnsi="Verdana"/>
          <w:spacing w:val="-2"/>
          <w:sz w:val="14"/>
        </w:rPr>
        <w:t> </w:t>
      </w:r>
      <w:r>
        <w:rPr>
          <w:rFonts w:ascii="Verdana" w:hAnsi="Verdana"/>
          <w:sz w:val="14"/>
        </w:rPr>
        <w:t>0°,</w:t>
      </w:r>
      <w:r>
        <w:rPr>
          <w:rFonts w:ascii="Verdana" w:hAnsi="Verdana"/>
          <w:spacing w:val="-2"/>
          <w:sz w:val="14"/>
        </w:rPr>
        <w:t> </w:t>
      </w:r>
      <w:r>
        <w:rPr>
          <w:rFonts w:ascii="Verdana" w:hAnsi="Verdana"/>
          <w:sz w:val="14"/>
        </w:rPr>
        <w:t>y</w:t>
      </w:r>
      <w:r>
        <w:rPr>
          <w:rFonts w:ascii="Verdana" w:hAnsi="Verdana"/>
          <w:spacing w:val="-2"/>
          <w:sz w:val="14"/>
        </w:rPr>
        <w:t> </w:t>
      </w:r>
      <w:r>
        <w:rPr>
          <w:rFonts w:ascii="Verdana" w:hAnsi="Verdana"/>
          <w:sz w:val="14"/>
        </w:rPr>
        <w:t>se</w:t>
      </w:r>
      <w:r>
        <w:rPr>
          <w:rFonts w:ascii="Verdana" w:hAnsi="Verdana"/>
          <w:spacing w:val="-1"/>
          <w:sz w:val="14"/>
        </w:rPr>
        <w:t> </w:t>
      </w:r>
      <w:r>
        <w:rPr>
          <w:rFonts w:ascii="Verdana" w:hAnsi="Verdana"/>
          <w:sz w:val="14"/>
        </w:rPr>
        <w:t>miden</w:t>
      </w:r>
      <w:r>
        <w:rPr>
          <w:rFonts w:ascii="Verdana" w:hAnsi="Verdana"/>
          <w:spacing w:val="-3"/>
          <w:sz w:val="14"/>
        </w:rPr>
        <w:t> </w:t>
      </w:r>
      <w:r>
        <w:rPr>
          <w:rFonts w:ascii="Verdana" w:hAnsi="Verdana"/>
          <w:sz w:val="14"/>
        </w:rPr>
        <w:t>en</w:t>
      </w:r>
      <w:r>
        <w:rPr>
          <w:rFonts w:ascii="Verdana" w:hAnsi="Verdana"/>
          <w:spacing w:val="-1"/>
          <w:sz w:val="14"/>
        </w:rPr>
        <w:t> </w:t>
      </w:r>
      <w:r>
        <w:rPr>
          <w:rFonts w:ascii="Verdana" w:hAnsi="Verdana"/>
          <w:sz w:val="14"/>
        </w:rPr>
        <w:t>dirección</w:t>
      </w:r>
      <w:r>
        <w:rPr>
          <w:rFonts w:ascii="Verdana" w:hAnsi="Verdana"/>
          <w:spacing w:val="-3"/>
          <w:sz w:val="14"/>
        </w:rPr>
        <w:t> </w:t>
      </w:r>
      <w:r>
        <w:rPr>
          <w:rFonts w:ascii="Verdana" w:hAnsi="Verdana"/>
          <w:sz w:val="14"/>
        </w:rPr>
        <w:t>hacia</w:t>
      </w:r>
      <w:r>
        <w:rPr>
          <w:rFonts w:ascii="Verdana" w:hAnsi="Verdana"/>
          <w:spacing w:val="-1"/>
          <w:sz w:val="14"/>
        </w:rPr>
        <w:t> </w:t>
      </w:r>
      <w:r>
        <w:rPr>
          <w:rFonts w:ascii="Verdana" w:hAnsi="Verdana"/>
          <w:sz w:val="14"/>
        </w:rPr>
        <w:t>los</w:t>
      </w:r>
      <w:r>
        <w:rPr>
          <w:rFonts w:ascii="Verdana" w:hAnsi="Verdana"/>
          <w:spacing w:val="-2"/>
          <w:sz w:val="14"/>
        </w:rPr>
        <w:t> </w:t>
      </w:r>
      <w:r>
        <w:rPr>
          <w:rFonts w:ascii="Verdana" w:hAnsi="Verdana"/>
          <w:sz w:val="14"/>
        </w:rPr>
        <w:t>polos</w:t>
      </w:r>
      <w:r>
        <w:rPr>
          <w:rFonts w:ascii="Verdana" w:hAnsi="Verdana"/>
          <w:spacing w:val="-2"/>
          <w:sz w:val="14"/>
        </w:rPr>
        <w:t> </w:t>
      </w:r>
      <w:r>
        <w:rPr>
          <w:rFonts w:ascii="Verdana" w:hAnsi="Verdana"/>
          <w:sz w:val="14"/>
        </w:rPr>
        <w:t>hasta</w:t>
      </w:r>
      <w:r>
        <w:rPr>
          <w:rFonts w:ascii="Verdana" w:hAnsi="Verdana"/>
          <w:spacing w:val="-1"/>
          <w:sz w:val="14"/>
        </w:rPr>
        <w:t> </w:t>
      </w:r>
      <w:r>
        <w:rPr>
          <w:rFonts w:ascii="Verdana" w:hAnsi="Verdana"/>
          <w:sz w:val="14"/>
        </w:rPr>
        <w:t>los</w:t>
      </w:r>
      <w:r>
        <w:rPr>
          <w:rFonts w:ascii="Verdana" w:hAnsi="Verdana"/>
          <w:spacing w:val="-2"/>
          <w:sz w:val="14"/>
        </w:rPr>
        <w:t> </w:t>
      </w:r>
      <w:r>
        <w:rPr>
          <w:rFonts w:ascii="Verdana" w:hAnsi="Verdana"/>
          <w:sz w:val="14"/>
        </w:rPr>
        <w:t>90°</w:t>
      </w:r>
      <w:r>
        <w:rPr>
          <w:rFonts w:ascii="Verdana" w:hAnsi="Verdana"/>
          <w:spacing w:val="-5"/>
          <w:sz w:val="14"/>
        </w:rPr>
        <w:t> </w:t>
      </w:r>
      <w:r>
        <w:rPr>
          <w:rFonts w:ascii="Verdana" w:hAnsi="Verdana"/>
          <w:sz w:val="14"/>
        </w:rPr>
        <w:t>al</w:t>
      </w:r>
      <w:r>
        <w:rPr>
          <w:rFonts w:ascii="Verdana" w:hAnsi="Verdana"/>
          <w:spacing w:val="-4"/>
          <w:sz w:val="14"/>
        </w:rPr>
        <w:t> </w:t>
      </w:r>
      <w:r>
        <w:rPr>
          <w:rFonts w:ascii="Verdana" w:hAnsi="Verdana"/>
          <w:sz w:val="14"/>
        </w:rPr>
        <w:t>Norte</w:t>
      </w:r>
      <w:r>
        <w:rPr>
          <w:rFonts w:ascii="Verdana" w:hAnsi="Verdana"/>
          <w:spacing w:val="-2"/>
          <w:sz w:val="14"/>
        </w:rPr>
        <w:t> </w:t>
      </w:r>
      <w:r>
        <w:rPr>
          <w:rFonts w:ascii="Verdana" w:hAnsi="Verdana"/>
          <w:sz w:val="14"/>
        </w:rPr>
        <w:t>y</w:t>
      </w:r>
      <w:r>
        <w:rPr>
          <w:rFonts w:ascii="Verdana" w:hAnsi="Verdana"/>
          <w:spacing w:val="-2"/>
          <w:sz w:val="14"/>
        </w:rPr>
        <w:t> </w:t>
      </w:r>
      <w:r>
        <w:rPr>
          <w:rFonts w:ascii="Verdana" w:hAnsi="Verdana"/>
          <w:sz w:val="14"/>
        </w:rPr>
        <w:t>90°</w:t>
      </w:r>
      <w:r>
        <w:rPr>
          <w:rFonts w:ascii="Verdana" w:hAnsi="Verdana"/>
          <w:spacing w:val="-5"/>
          <w:sz w:val="14"/>
        </w:rPr>
        <w:t> </w:t>
      </w:r>
      <w:r>
        <w:rPr>
          <w:rFonts w:ascii="Verdana" w:hAnsi="Verdana"/>
          <w:sz w:val="14"/>
        </w:rPr>
        <w:t>hacia</w:t>
      </w:r>
      <w:r>
        <w:rPr>
          <w:rFonts w:ascii="Verdana" w:hAnsi="Verdana"/>
          <w:spacing w:val="-3"/>
          <w:sz w:val="14"/>
        </w:rPr>
        <w:t> </w:t>
      </w:r>
      <w:r>
        <w:rPr>
          <w:rFonts w:ascii="Verdana" w:hAnsi="Verdana"/>
          <w:sz w:val="14"/>
        </w:rPr>
        <w:t>el</w:t>
      </w:r>
      <w:r>
        <w:rPr>
          <w:rFonts w:ascii="Verdana" w:hAnsi="Verdana"/>
          <w:spacing w:val="-6"/>
          <w:sz w:val="14"/>
        </w:rPr>
        <w:t> </w:t>
      </w:r>
      <w:r>
        <w:rPr>
          <w:rFonts w:ascii="Verdana" w:hAnsi="Verdana"/>
          <w:sz w:val="14"/>
        </w:rPr>
        <w:t>Sur.</w:t>
      </w:r>
    </w:p>
    <w:p>
      <w:pPr>
        <w:spacing w:line="144" w:lineRule="exact" w:before="0"/>
        <w:ind w:left="122" w:right="-15" w:firstLine="0"/>
        <w:jc w:val="left"/>
        <w:rPr>
          <w:rFonts w:ascii="Verdana" w:hAnsi="Verdana"/>
          <w:sz w:val="14"/>
        </w:rPr>
      </w:pPr>
      <w:r>
        <w:rPr>
          <w:rFonts w:ascii="Calibri" w:hAnsi="Calibri"/>
          <w:position w:val="4"/>
          <w:sz w:val="9"/>
        </w:rPr>
        <w:t>13 </w:t>
      </w:r>
      <w:r>
        <w:rPr>
          <w:rFonts w:ascii="Verdana" w:hAnsi="Verdana"/>
          <w:sz w:val="14"/>
        </w:rPr>
        <w:t>Los meridianos sirven para ubicar la longitud de un lugar. Son líneas que dividen a la Tierra de Polo a Polo. Van de 0° a 180°</w:t>
      </w:r>
    </w:p>
    <w:p>
      <w:pPr>
        <w:spacing w:before="10"/>
        <w:ind w:left="122" w:right="-15" w:firstLine="0"/>
        <w:jc w:val="left"/>
        <w:rPr>
          <w:rFonts w:ascii="Verdana" w:hAnsi="Verdana"/>
          <w:sz w:val="14"/>
        </w:rPr>
      </w:pPr>
      <w:r>
        <w:rPr>
          <w:rFonts w:ascii="Verdana" w:hAnsi="Verdana"/>
          <w:sz w:val="14"/>
        </w:rPr>
        <w:t>hacia el Este y de 0° a 180° hacia el Oeste, partiendo del meridiano de Greenwich, también conocido como meridiano cero o meridiano de Origen.</w:t>
      </w:r>
    </w:p>
    <w:p>
      <w:pPr>
        <w:spacing w:after="0"/>
        <w:jc w:val="left"/>
        <w:rPr>
          <w:rFonts w:ascii="Verdana" w:hAnsi="Verdana"/>
          <w:sz w:val="14"/>
        </w:rPr>
        <w:sectPr>
          <w:pgSz w:w="12240" w:h="15840"/>
          <w:pgMar w:header="0" w:footer="975" w:top="1360" w:bottom="1220" w:left="1580" w:right="1580"/>
        </w:sectPr>
      </w:pPr>
    </w:p>
    <w:p>
      <w:pPr>
        <w:pStyle w:val="Heading1"/>
        <w:spacing w:before="54"/>
        <w:ind w:left="1779" w:firstLine="0"/>
        <w:jc w:val="left"/>
      </w:pPr>
      <w:r>
        <w:rPr/>
        <w:t>Mapa 1.1. Regionalización del Estado de México</w:t>
      </w:r>
    </w:p>
    <w:p>
      <w:pPr>
        <w:pStyle w:val="BodyText"/>
        <w:rPr>
          <w:b/>
          <w:sz w:val="20"/>
        </w:rPr>
      </w:pPr>
    </w:p>
    <w:p>
      <w:pPr>
        <w:pStyle w:val="BodyText"/>
        <w:spacing w:before="4"/>
        <w:rPr>
          <w:b/>
          <w:sz w:val="29"/>
        </w:rPr>
      </w:pPr>
      <w:r>
        <w:rPr/>
        <w:drawing>
          <wp:anchor distT="0" distB="0" distL="0" distR="0" allowOverlap="1" layoutInCell="1" locked="0" behindDoc="0" simplePos="0" relativeHeight="2848">
            <wp:simplePos x="0" y="0"/>
            <wp:positionH relativeFrom="page">
              <wp:posOffset>1285366</wp:posOffset>
            </wp:positionH>
            <wp:positionV relativeFrom="paragraph">
              <wp:posOffset>239369</wp:posOffset>
            </wp:positionV>
            <wp:extent cx="5613829" cy="6059709"/>
            <wp:effectExtent l="0" t="0" r="0" b="0"/>
            <wp:wrapTopAndBottom/>
            <wp:docPr id="5" name="image5.jpeg" descr=""/>
            <wp:cNvGraphicFramePr>
              <a:graphicFrameLocks noChangeAspect="1"/>
            </wp:cNvGraphicFramePr>
            <a:graphic>
              <a:graphicData uri="http://schemas.openxmlformats.org/drawingml/2006/picture">
                <pic:pic>
                  <pic:nvPicPr>
                    <pic:cNvPr id="6" name="image5.jpeg"/>
                    <pic:cNvPicPr/>
                  </pic:nvPicPr>
                  <pic:blipFill>
                    <a:blip r:embed="rId21" cstate="print"/>
                    <a:stretch>
                      <a:fillRect/>
                    </a:stretch>
                  </pic:blipFill>
                  <pic:spPr>
                    <a:xfrm>
                      <a:off x="0" y="0"/>
                      <a:ext cx="5613829" cy="6059709"/>
                    </a:xfrm>
                    <a:prstGeom prst="rect">
                      <a:avLst/>
                    </a:prstGeom>
                  </pic:spPr>
                </pic:pic>
              </a:graphicData>
            </a:graphic>
          </wp:anchor>
        </w:drawing>
      </w:r>
    </w:p>
    <w:p>
      <w:pPr>
        <w:pStyle w:val="BodyText"/>
        <w:spacing w:before="3"/>
        <w:rPr>
          <w:b/>
          <w:sz w:val="27"/>
        </w:rPr>
      </w:pPr>
    </w:p>
    <w:p>
      <w:pPr>
        <w:spacing w:before="0"/>
        <w:ind w:left="102" w:right="0" w:firstLine="0"/>
        <w:jc w:val="left"/>
        <w:rPr>
          <w:sz w:val="16"/>
        </w:rPr>
      </w:pPr>
      <w:r>
        <w:rPr>
          <w:sz w:val="16"/>
        </w:rPr>
        <w:t>Fuente: Gobierno del Estado de México.</w:t>
      </w:r>
    </w:p>
    <w:p>
      <w:pPr>
        <w:spacing w:after="0"/>
        <w:jc w:val="left"/>
        <w:rPr>
          <w:sz w:val="16"/>
        </w:rPr>
        <w:sectPr>
          <w:pgSz w:w="12240" w:h="15840"/>
          <w:pgMar w:header="0" w:footer="975" w:top="1360" w:bottom="1220" w:left="1600" w:right="1300"/>
        </w:sectPr>
      </w:pPr>
    </w:p>
    <w:p>
      <w:pPr>
        <w:pStyle w:val="BodyText"/>
        <w:spacing w:line="362" w:lineRule="auto" w:before="54"/>
        <w:ind w:left="102" w:right="436"/>
        <w:jc w:val="both"/>
      </w:pPr>
      <w:r>
        <w:rPr/>
        <w:t>El territorio mexicano se encuentra dividido en 32 entidades federativas: 1. Aguascalientes,</w:t>
      </w:r>
      <w:r>
        <w:rPr>
          <w:spacing w:val="-9"/>
        </w:rPr>
        <w:t> </w:t>
      </w:r>
      <w:r>
        <w:rPr/>
        <w:t>2.</w:t>
      </w:r>
      <w:r>
        <w:rPr>
          <w:spacing w:val="-9"/>
        </w:rPr>
        <w:t> </w:t>
      </w:r>
      <w:r>
        <w:rPr/>
        <w:t>Baja</w:t>
      </w:r>
      <w:r>
        <w:rPr>
          <w:spacing w:val="-6"/>
        </w:rPr>
        <w:t> </w:t>
      </w:r>
      <w:r>
        <w:rPr/>
        <w:t>California,</w:t>
      </w:r>
      <w:r>
        <w:rPr>
          <w:spacing w:val="-9"/>
        </w:rPr>
        <w:t> </w:t>
      </w:r>
      <w:r>
        <w:rPr/>
        <w:t>3.</w:t>
      </w:r>
      <w:r>
        <w:rPr>
          <w:spacing w:val="-9"/>
        </w:rPr>
        <w:t> </w:t>
      </w:r>
      <w:r>
        <w:rPr/>
        <w:t>Baja</w:t>
      </w:r>
      <w:r>
        <w:rPr>
          <w:spacing w:val="-9"/>
        </w:rPr>
        <w:t> </w:t>
      </w:r>
      <w:r>
        <w:rPr/>
        <w:t>California</w:t>
      </w:r>
      <w:r>
        <w:rPr>
          <w:spacing w:val="-8"/>
        </w:rPr>
        <w:t> </w:t>
      </w:r>
      <w:r>
        <w:rPr/>
        <w:t>Sur,</w:t>
      </w:r>
      <w:r>
        <w:rPr>
          <w:spacing w:val="-6"/>
        </w:rPr>
        <w:t> </w:t>
      </w:r>
      <w:r>
        <w:rPr/>
        <w:t>4.</w:t>
      </w:r>
      <w:r>
        <w:rPr>
          <w:spacing w:val="-6"/>
        </w:rPr>
        <w:t> </w:t>
      </w:r>
      <w:r>
        <w:rPr/>
        <w:t>Campeche,</w:t>
      </w:r>
      <w:r>
        <w:rPr>
          <w:spacing w:val="-9"/>
        </w:rPr>
        <w:t> </w:t>
      </w:r>
      <w:r>
        <w:rPr/>
        <w:t>5.</w:t>
      </w:r>
      <w:r>
        <w:rPr>
          <w:spacing w:val="-9"/>
        </w:rPr>
        <w:t> </w:t>
      </w:r>
      <w:r>
        <w:rPr/>
        <w:t>Chiapas,</w:t>
      </w:r>
    </w:p>
    <w:p>
      <w:pPr>
        <w:pStyle w:val="BodyText"/>
        <w:spacing w:line="360" w:lineRule="auto"/>
        <w:ind w:left="102" w:right="435"/>
        <w:jc w:val="both"/>
      </w:pPr>
      <w:r>
        <w:rPr/>
        <w:t>6.</w:t>
      </w:r>
      <w:r>
        <w:rPr>
          <w:spacing w:val="-19"/>
        </w:rPr>
        <w:t> </w:t>
      </w:r>
      <w:r>
        <w:rPr/>
        <w:t>Chihuahua,</w:t>
      </w:r>
      <w:r>
        <w:rPr>
          <w:spacing w:val="-19"/>
        </w:rPr>
        <w:t> </w:t>
      </w:r>
      <w:r>
        <w:rPr/>
        <w:t>7.</w:t>
      </w:r>
      <w:r>
        <w:rPr>
          <w:spacing w:val="-19"/>
        </w:rPr>
        <w:t> </w:t>
      </w:r>
      <w:r>
        <w:rPr/>
        <w:t>Coahuila,</w:t>
      </w:r>
      <w:r>
        <w:rPr>
          <w:spacing w:val="-19"/>
        </w:rPr>
        <w:t> </w:t>
      </w:r>
      <w:r>
        <w:rPr/>
        <w:t>8.,</w:t>
      </w:r>
      <w:r>
        <w:rPr>
          <w:spacing w:val="-19"/>
        </w:rPr>
        <w:t> </w:t>
      </w:r>
      <w:r>
        <w:rPr/>
        <w:t>Colima,</w:t>
      </w:r>
      <w:r>
        <w:rPr>
          <w:spacing w:val="-19"/>
        </w:rPr>
        <w:t> </w:t>
      </w:r>
      <w:r>
        <w:rPr/>
        <w:t>9.</w:t>
      </w:r>
      <w:r>
        <w:rPr>
          <w:spacing w:val="-19"/>
        </w:rPr>
        <w:t> </w:t>
      </w:r>
      <w:r>
        <w:rPr/>
        <w:t>Ciudad</w:t>
      </w:r>
      <w:r>
        <w:rPr>
          <w:spacing w:val="-19"/>
        </w:rPr>
        <w:t> </w:t>
      </w:r>
      <w:r>
        <w:rPr/>
        <w:t>de</w:t>
      </w:r>
      <w:r>
        <w:rPr>
          <w:spacing w:val="-14"/>
        </w:rPr>
        <w:t> </w:t>
      </w:r>
      <w:r>
        <w:rPr/>
        <w:t>México,</w:t>
      </w:r>
      <w:r>
        <w:rPr>
          <w:spacing w:val="-19"/>
        </w:rPr>
        <w:t> </w:t>
      </w:r>
      <w:r>
        <w:rPr/>
        <w:t>10.</w:t>
      </w:r>
      <w:r>
        <w:rPr>
          <w:spacing w:val="-19"/>
        </w:rPr>
        <w:t> </w:t>
      </w:r>
      <w:r>
        <w:rPr/>
        <w:t>Durango,</w:t>
      </w:r>
      <w:r>
        <w:rPr>
          <w:spacing w:val="-19"/>
        </w:rPr>
        <w:t> </w:t>
      </w:r>
      <w:r>
        <w:rPr/>
        <w:t>11.</w:t>
      </w:r>
      <w:r>
        <w:rPr>
          <w:spacing w:val="-18"/>
        </w:rPr>
        <w:t> </w:t>
      </w:r>
      <w:r>
        <w:rPr/>
        <w:t>Estado de México, 12. Guanajuato, 13. Guerrero, 14. Hidalgo, 15. Jalisco, 16. </w:t>
      </w:r>
      <w:r>
        <w:rPr>
          <w:spacing w:val="7"/>
        </w:rPr>
        <w:t> </w:t>
      </w:r>
      <w:r>
        <w:rPr/>
        <w:t>Michoacán,</w:t>
      </w:r>
    </w:p>
    <w:p>
      <w:pPr>
        <w:pStyle w:val="BodyText"/>
        <w:spacing w:before="2"/>
        <w:ind w:left="102"/>
        <w:jc w:val="both"/>
      </w:pPr>
      <w:r>
        <w:rPr/>
        <w:t>17. Morelos, 18. Nayarit, 19. Nuevo León, 20. Oaxaca, 21. Puebla, 22.  Querétaro,</w:t>
      </w:r>
    </w:p>
    <w:p>
      <w:pPr>
        <w:pStyle w:val="BodyText"/>
        <w:spacing w:line="360" w:lineRule="auto" w:before="139"/>
        <w:ind w:left="102" w:right="436"/>
        <w:jc w:val="both"/>
      </w:pPr>
      <w:r>
        <w:rPr/>
        <w:t>23. Quintana Roo, 24. San Luis Potosí, 25. Sinaloa, 26. Sonora, 27. Tabasco, 28. Tamaulipas,</w:t>
      </w:r>
      <w:r>
        <w:rPr>
          <w:spacing w:val="-6"/>
        </w:rPr>
        <w:t> </w:t>
      </w:r>
      <w:r>
        <w:rPr/>
        <w:t>29.</w:t>
      </w:r>
      <w:r>
        <w:rPr>
          <w:spacing w:val="-8"/>
        </w:rPr>
        <w:t> </w:t>
      </w:r>
      <w:r>
        <w:rPr/>
        <w:t>Tlaxcala,</w:t>
      </w:r>
      <w:r>
        <w:rPr>
          <w:spacing w:val="-6"/>
        </w:rPr>
        <w:t> </w:t>
      </w:r>
      <w:r>
        <w:rPr/>
        <w:t>30.</w:t>
      </w:r>
      <w:r>
        <w:rPr>
          <w:spacing w:val="-6"/>
        </w:rPr>
        <w:t> </w:t>
      </w:r>
      <w:r>
        <w:rPr/>
        <w:t>Veracruz,</w:t>
      </w:r>
      <w:r>
        <w:rPr>
          <w:spacing w:val="-6"/>
        </w:rPr>
        <w:t> </w:t>
      </w:r>
      <w:r>
        <w:rPr/>
        <w:t>31.</w:t>
      </w:r>
      <w:r>
        <w:rPr>
          <w:spacing w:val="-9"/>
        </w:rPr>
        <w:t> </w:t>
      </w:r>
      <w:r>
        <w:rPr/>
        <w:t>Yucatán</w:t>
      </w:r>
      <w:r>
        <w:rPr>
          <w:spacing w:val="-6"/>
        </w:rPr>
        <w:t> </w:t>
      </w:r>
      <w:r>
        <w:rPr/>
        <w:t>y</w:t>
      </w:r>
      <w:r>
        <w:rPr>
          <w:spacing w:val="-9"/>
        </w:rPr>
        <w:t> </w:t>
      </w:r>
      <w:r>
        <w:rPr/>
        <w:t>32.</w:t>
      </w:r>
      <w:r>
        <w:rPr>
          <w:spacing w:val="-6"/>
        </w:rPr>
        <w:t> </w:t>
      </w:r>
      <w:r>
        <w:rPr/>
        <w:t>Zacatecas</w:t>
      </w:r>
      <w:r>
        <w:rPr>
          <w:spacing w:val="-6"/>
        </w:rPr>
        <w:t> </w:t>
      </w:r>
      <w:r>
        <w:rPr/>
        <w:t>(ver</w:t>
      </w:r>
      <w:r>
        <w:rPr>
          <w:spacing w:val="-7"/>
        </w:rPr>
        <w:t> </w:t>
      </w:r>
      <w:r>
        <w:rPr/>
        <w:t>anexo</w:t>
      </w:r>
      <w:r>
        <w:rPr>
          <w:spacing w:val="-4"/>
        </w:rPr>
        <w:t> </w:t>
      </w:r>
      <w:r>
        <w:rPr/>
        <w:t>5).</w:t>
      </w:r>
    </w:p>
    <w:p>
      <w:pPr>
        <w:pStyle w:val="BodyText"/>
      </w:pPr>
    </w:p>
    <w:p>
      <w:pPr>
        <w:pStyle w:val="BodyText"/>
      </w:pPr>
    </w:p>
    <w:p>
      <w:pPr>
        <w:pStyle w:val="BodyText"/>
        <w:spacing w:line="360" w:lineRule="auto" w:before="188"/>
        <w:ind w:left="102" w:right="436"/>
        <w:jc w:val="both"/>
      </w:pPr>
      <w:r>
        <w:rPr/>
        <w:t>A su vez, en cada entidad federativa se hacen divisiones a manera regional. Esta clasificación</w:t>
      </w:r>
      <w:r>
        <w:rPr>
          <w:spacing w:val="-7"/>
        </w:rPr>
        <w:t> </w:t>
      </w:r>
      <w:r>
        <w:rPr/>
        <w:t>varía</w:t>
      </w:r>
      <w:r>
        <w:rPr>
          <w:spacing w:val="-7"/>
        </w:rPr>
        <w:t> </w:t>
      </w:r>
      <w:r>
        <w:rPr/>
        <w:t>según</w:t>
      </w:r>
      <w:r>
        <w:rPr>
          <w:spacing w:val="-7"/>
        </w:rPr>
        <w:t> </w:t>
      </w:r>
      <w:r>
        <w:rPr/>
        <w:t>las</w:t>
      </w:r>
      <w:r>
        <w:rPr>
          <w:spacing w:val="-10"/>
        </w:rPr>
        <w:t> </w:t>
      </w:r>
      <w:r>
        <w:rPr/>
        <w:t>fuentes</w:t>
      </w:r>
      <w:r>
        <w:rPr>
          <w:spacing w:val="-8"/>
        </w:rPr>
        <w:t> </w:t>
      </w:r>
      <w:r>
        <w:rPr/>
        <w:t>que</w:t>
      </w:r>
      <w:r>
        <w:rPr>
          <w:spacing w:val="-7"/>
        </w:rPr>
        <w:t> </w:t>
      </w:r>
      <w:r>
        <w:rPr/>
        <w:t>se</w:t>
      </w:r>
      <w:r>
        <w:rPr>
          <w:spacing w:val="-7"/>
        </w:rPr>
        <w:t> </w:t>
      </w:r>
      <w:r>
        <w:rPr/>
        <w:t>consulten.</w:t>
      </w:r>
      <w:r>
        <w:rPr>
          <w:spacing w:val="-8"/>
        </w:rPr>
        <w:t> </w:t>
      </w:r>
      <w:r>
        <w:rPr/>
        <w:t>Por</w:t>
      </w:r>
      <w:r>
        <w:rPr>
          <w:spacing w:val="-9"/>
        </w:rPr>
        <w:t> </w:t>
      </w:r>
      <w:r>
        <w:rPr/>
        <w:t>ejemplo,</w:t>
      </w:r>
      <w:r>
        <w:rPr>
          <w:spacing w:val="-10"/>
        </w:rPr>
        <w:t> </w:t>
      </w:r>
      <w:r>
        <w:rPr/>
        <w:t>para</w:t>
      </w:r>
      <w:r>
        <w:rPr>
          <w:spacing w:val="-8"/>
        </w:rPr>
        <w:t> </w:t>
      </w:r>
      <w:r>
        <w:rPr/>
        <w:t>el</w:t>
      </w:r>
      <w:r>
        <w:rPr>
          <w:spacing w:val="-9"/>
        </w:rPr>
        <w:t> </w:t>
      </w:r>
      <w:r>
        <w:rPr/>
        <w:t>Instituto Nacional Para el Federalismo y el Desarrollo Municipal (INAFED) el Estado se México (EDOMEX) se divide en ocho regiones, tal como se muestra en el</w:t>
      </w:r>
      <w:r>
        <w:rPr>
          <w:spacing w:val="-43"/>
        </w:rPr>
        <w:t> </w:t>
      </w:r>
      <w:r>
        <w:rPr/>
        <w:t>siguiente mapa:</w:t>
      </w:r>
    </w:p>
    <w:p>
      <w:pPr>
        <w:pStyle w:val="BodyText"/>
      </w:pPr>
    </w:p>
    <w:p>
      <w:pPr>
        <w:pStyle w:val="BodyText"/>
      </w:pPr>
    </w:p>
    <w:p>
      <w:pPr>
        <w:pStyle w:val="Heading1"/>
        <w:spacing w:before="185"/>
        <w:ind w:left="417" w:right="759" w:firstLine="0"/>
        <w:jc w:val="center"/>
      </w:pPr>
      <w:r>
        <w:rPr/>
        <w:drawing>
          <wp:anchor distT="0" distB="0" distL="0" distR="0" allowOverlap="1" layoutInCell="1" locked="0" behindDoc="0" simplePos="0" relativeHeight="2872">
            <wp:simplePos x="0" y="0"/>
            <wp:positionH relativeFrom="page">
              <wp:posOffset>1881504</wp:posOffset>
            </wp:positionH>
            <wp:positionV relativeFrom="paragraph">
              <wp:posOffset>355478</wp:posOffset>
            </wp:positionV>
            <wp:extent cx="5000413" cy="3381375"/>
            <wp:effectExtent l="0" t="0" r="0" b="0"/>
            <wp:wrapTopAndBottom/>
            <wp:docPr id="7" name="image6.jpeg" descr=""/>
            <wp:cNvGraphicFramePr>
              <a:graphicFrameLocks noChangeAspect="1"/>
            </wp:cNvGraphicFramePr>
            <a:graphic>
              <a:graphicData uri="http://schemas.openxmlformats.org/drawingml/2006/picture">
                <pic:pic>
                  <pic:nvPicPr>
                    <pic:cNvPr id="8" name="image6.jpeg"/>
                    <pic:cNvPicPr/>
                  </pic:nvPicPr>
                  <pic:blipFill>
                    <a:blip r:embed="rId22" cstate="print"/>
                    <a:stretch>
                      <a:fillRect/>
                    </a:stretch>
                  </pic:blipFill>
                  <pic:spPr>
                    <a:xfrm>
                      <a:off x="0" y="0"/>
                      <a:ext cx="5000413" cy="3381375"/>
                    </a:xfrm>
                    <a:prstGeom prst="rect">
                      <a:avLst/>
                    </a:prstGeom>
                  </pic:spPr>
                </pic:pic>
              </a:graphicData>
            </a:graphic>
          </wp:anchor>
        </w:drawing>
      </w:r>
      <w:r>
        <w:rPr/>
        <w:t>Mapa 1.2. División regional del Estado de México de acuerdo al INAFED</w:t>
      </w:r>
    </w:p>
    <w:p>
      <w:pPr>
        <w:spacing w:before="9"/>
        <w:ind w:left="1378" w:right="0" w:firstLine="0"/>
        <w:jc w:val="left"/>
        <w:rPr>
          <w:i/>
          <w:sz w:val="16"/>
        </w:rPr>
      </w:pPr>
      <w:r>
        <w:rPr>
          <w:i/>
          <w:sz w:val="16"/>
        </w:rPr>
        <w:t>Fuente: </w:t>
      </w:r>
      <w:hyperlink r:id="rId23">
        <w:r>
          <w:rPr>
            <w:i/>
            <w:color w:val="0462C1"/>
            <w:sz w:val="16"/>
            <w:u w:val="single" w:color="0462C1"/>
          </w:rPr>
          <w:t>http://www.inafed.gob.mx/work/enciclopedia/EMM15mexico/index.htm</w:t>
        </w:r>
        <w:r>
          <w:rPr>
            <w:i/>
            <w:color w:val="0462C1"/>
            <w:sz w:val="16"/>
          </w:rPr>
          <w:t>l</w:t>
        </w:r>
      </w:hyperlink>
    </w:p>
    <w:p>
      <w:pPr>
        <w:spacing w:after="0"/>
        <w:jc w:val="left"/>
        <w:rPr>
          <w:sz w:val="16"/>
        </w:rPr>
        <w:sectPr>
          <w:pgSz w:w="12240" w:h="15840"/>
          <w:pgMar w:header="0" w:footer="975" w:top="1360" w:bottom="1220" w:left="1600" w:right="1260"/>
        </w:sectPr>
      </w:pPr>
    </w:p>
    <w:p>
      <w:pPr>
        <w:pStyle w:val="BodyText"/>
        <w:spacing w:line="360" w:lineRule="auto" w:before="54"/>
        <w:ind w:left="102" w:right="117"/>
        <w:jc w:val="both"/>
      </w:pPr>
      <w:r>
        <w:rPr/>
        <w:t>El Gobierno del Estado de México por su parte, a través de la Secretaría General de Gobierno y de la Subsecretaría de Desarrollo Municipal, contempla 20 regiones socioeconómicas según las características geográficas y demográficas que presentan los municipios, tal como se puede apreciar en el mapa 1.3:</w:t>
      </w:r>
    </w:p>
    <w:p>
      <w:pPr>
        <w:pStyle w:val="BodyText"/>
      </w:pPr>
    </w:p>
    <w:p>
      <w:pPr>
        <w:pStyle w:val="BodyText"/>
      </w:pPr>
    </w:p>
    <w:p>
      <w:pPr>
        <w:pStyle w:val="Heading1"/>
        <w:spacing w:before="183"/>
        <w:ind w:left="2338" w:right="789" w:hanging="1556"/>
        <w:jc w:val="left"/>
      </w:pPr>
      <w:r>
        <w:rPr/>
        <w:t>Mapa 1. 3. División regional del Estado de México de acuerdo a la Subsecretaría de Desarrollo Municipal</w:t>
      </w:r>
    </w:p>
    <w:p>
      <w:pPr>
        <w:pStyle w:val="BodyText"/>
        <w:spacing w:before="10"/>
        <w:rPr>
          <w:b/>
          <w:sz w:val="27"/>
        </w:rPr>
      </w:pPr>
      <w:r>
        <w:rPr/>
        <w:drawing>
          <wp:anchor distT="0" distB="0" distL="0" distR="0" allowOverlap="1" layoutInCell="1" locked="0" behindDoc="0" simplePos="0" relativeHeight="2896">
            <wp:simplePos x="0" y="0"/>
            <wp:positionH relativeFrom="page">
              <wp:posOffset>1779270</wp:posOffset>
            </wp:positionH>
            <wp:positionV relativeFrom="paragraph">
              <wp:posOffset>228816</wp:posOffset>
            </wp:positionV>
            <wp:extent cx="4663353" cy="5586507"/>
            <wp:effectExtent l="0" t="0" r="0" b="0"/>
            <wp:wrapTopAndBottom/>
            <wp:docPr id="9" name="image7.jpeg" descr=""/>
            <wp:cNvGraphicFramePr>
              <a:graphicFrameLocks noChangeAspect="1"/>
            </wp:cNvGraphicFramePr>
            <a:graphic>
              <a:graphicData uri="http://schemas.openxmlformats.org/drawingml/2006/picture">
                <pic:pic>
                  <pic:nvPicPr>
                    <pic:cNvPr id="10" name="image7.jpeg"/>
                    <pic:cNvPicPr/>
                  </pic:nvPicPr>
                  <pic:blipFill>
                    <a:blip r:embed="rId24" cstate="print"/>
                    <a:stretch>
                      <a:fillRect/>
                    </a:stretch>
                  </pic:blipFill>
                  <pic:spPr>
                    <a:xfrm>
                      <a:off x="0" y="0"/>
                      <a:ext cx="4663353" cy="5586507"/>
                    </a:xfrm>
                    <a:prstGeom prst="rect">
                      <a:avLst/>
                    </a:prstGeom>
                  </pic:spPr>
                </pic:pic>
              </a:graphicData>
            </a:graphic>
          </wp:anchor>
        </w:drawing>
      </w:r>
    </w:p>
    <w:p>
      <w:pPr>
        <w:spacing w:before="158"/>
        <w:ind w:left="1803" w:right="0" w:firstLine="0"/>
        <w:jc w:val="left"/>
        <w:rPr>
          <w:i/>
          <w:sz w:val="16"/>
        </w:rPr>
      </w:pPr>
      <w:r>
        <w:rPr>
          <w:i/>
          <w:sz w:val="16"/>
        </w:rPr>
        <w:t>Fuente: </w:t>
      </w:r>
      <w:hyperlink r:id="rId25">
        <w:r>
          <w:rPr>
            <w:i/>
            <w:color w:val="0462C1"/>
            <w:sz w:val="16"/>
            <w:u w:val="single" w:color="0462C1"/>
          </w:rPr>
          <w:t>http://ssdm.edomex.gob.mx/regiones</w:t>
        </w:r>
      </w:hyperlink>
    </w:p>
    <w:p>
      <w:pPr>
        <w:spacing w:after="0"/>
        <w:jc w:val="left"/>
        <w:rPr>
          <w:sz w:val="16"/>
        </w:rPr>
        <w:sectPr>
          <w:pgSz w:w="12240" w:h="15840"/>
          <w:pgMar w:header="0" w:footer="975" w:top="1360" w:bottom="1220" w:left="1600" w:right="1580"/>
        </w:sectPr>
      </w:pPr>
    </w:p>
    <w:p>
      <w:pPr>
        <w:pStyle w:val="BodyText"/>
        <w:spacing w:line="360" w:lineRule="auto" w:before="54"/>
        <w:ind w:left="122" w:right="115"/>
        <w:jc w:val="both"/>
      </w:pPr>
      <w:r>
        <w:rPr/>
        <w:t>Estas formas de regionalización que se presentan permiten identificar cómo las instituciones gubernamentales tienen ciertas diferencias al agrupar por regiones el territorio estatal. Precisión que es relevante ya que para promover apertura de los asuntos gubernamentales debe haber información válida y congruente en los distintos órdenes de gobierno.</w:t>
      </w:r>
    </w:p>
    <w:p>
      <w:pPr>
        <w:pStyle w:val="BodyText"/>
      </w:pPr>
    </w:p>
    <w:p>
      <w:pPr>
        <w:pStyle w:val="BodyText"/>
      </w:pPr>
    </w:p>
    <w:p>
      <w:pPr>
        <w:pStyle w:val="Heading1"/>
        <w:numPr>
          <w:ilvl w:val="1"/>
          <w:numId w:val="7"/>
        </w:numPr>
        <w:tabs>
          <w:tab w:pos="550" w:val="left" w:leader="none"/>
        </w:tabs>
        <w:spacing w:line="240" w:lineRule="auto" w:before="187" w:after="0"/>
        <w:ind w:left="549" w:right="0" w:hanging="437"/>
        <w:jc w:val="both"/>
      </w:pPr>
      <w:bookmarkStart w:name="_bookmark4" w:id="8"/>
      <w:bookmarkEnd w:id="8"/>
      <w:r>
        <w:rPr>
          <w:b w:val="0"/>
        </w:rPr>
      </w:r>
      <w:bookmarkStart w:name="_bookmark4" w:id="9"/>
      <w:bookmarkEnd w:id="9"/>
      <w:r>
        <w:rPr/>
        <w:t>A</w:t>
      </w:r>
      <w:r>
        <w:rPr/>
        <w:t>dministración Pública como la forma de organización del</w:t>
      </w:r>
      <w:r>
        <w:rPr>
          <w:spacing w:val="-11"/>
        </w:rPr>
        <w:t> </w:t>
      </w:r>
      <w:r>
        <w:rPr/>
        <w:t>gobierno</w:t>
      </w:r>
    </w:p>
    <w:p>
      <w:pPr>
        <w:pStyle w:val="BodyText"/>
        <w:rPr>
          <w:b/>
        </w:rPr>
      </w:pPr>
    </w:p>
    <w:p>
      <w:pPr>
        <w:pStyle w:val="BodyText"/>
        <w:rPr>
          <w:b/>
        </w:rPr>
      </w:pPr>
    </w:p>
    <w:p>
      <w:pPr>
        <w:pStyle w:val="ListParagraph"/>
        <w:numPr>
          <w:ilvl w:val="2"/>
          <w:numId w:val="7"/>
        </w:numPr>
        <w:tabs>
          <w:tab w:pos="830" w:val="left" w:leader="none"/>
        </w:tabs>
        <w:spacing w:line="240" w:lineRule="auto" w:before="159" w:after="0"/>
        <w:ind w:left="830" w:right="0" w:hanging="720"/>
        <w:jc w:val="both"/>
        <w:rPr>
          <w:b/>
          <w:sz w:val="24"/>
        </w:rPr>
      </w:pPr>
      <w:r>
        <w:rPr>
          <w:b/>
          <w:sz w:val="24"/>
        </w:rPr>
        <w:t>Administración, la base de la Administración</w:t>
      </w:r>
      <w:r>
        <w:rPr>
          <w:b/>
          <w:spacing w:val="-13"/>
          <w:sz w:val="24"/>
        </w:rPr>
        <w:t> </w:t>
      </w:r>
      <w:r>
        <w:rPr>
          <w:b/>
          <w:sz w:val="24"/>
        </w:rPr>
        <w:t>Pública</w:t>
      </w:r>
    </w:p>
    <w:p>
      <w:pPr>
        <w:pStyle w:val="BodyText"/>
        <w:rPr>
          <w:b/>
        </w:rPr>
      </w:pPr>
    </w:p>
    <w:p>
      <w:pPr>
        <w:pStyle w:val="BodyText"/>
        <w:rPr>
          <w:b/>
        </w:rPr>
      </w:pPr>
    </w:p>
    <w:p>
      <w:pPr>
        <w:pStyle w:val="BodyText"/>
        <w:spacing w:line="360" w:lineRule="auto" w:before="161"/>
        <w:ind w:left="122" w:right="126"/>
        <w:jc w:val="both"/>
      </w:pPr>
      <w:r>
        <w:rPr/>
        <w:t>La administración puede ser entendida de diversas formas, ya sea como parte de un proceso administrativo, como sinónimo de gestión o como ciencia:</w:t>
      </w:r>
    </w:p>
    <w:p>
      <w:pPr>
        <w:pStyle w:val="BodyText"/>
      </w:pPr>
    </w:p>
    <w:p>
      <w:pPr>
        <w:pStyle w:val="BodyText"/>
      </w:pPr>
    </w:p>
    <w:p>
      <w:pPr>
        <w:spacing w:line="276" w:lineRule="auto" w:before="188"/>
        <w:ind w:left="688" w:right="684" w:firstLine="0"/>
        <w:jc w:val="both"/>
        <w:rPr>
          <w:sz w:val="18"/>
        </w:rPr>
      </w:pPr>
      <w:r>
        <w:rPr>
          <w:sz w:val="18"/>
        </w:rPr>
        <w:t>“La palabra administración viene del latín administratione que significa acción de administrar. Y el término administrar está compuesto por ad y ministrare que significan conjuntamente servir, llevando implícito en su sentido que es una actividad cooperativa que tiene el propósito de servir (…) Administración es una ciencia social compuesta de principios, técnicas y prácticas y cuya aplicación</w:t>
      </w:r>
      <w:r>
        <w:rPr>
          <w:spacing w:val="-11"/>
          <w:sz w:val="18"/>
        </w:rPr>
        <w:t> </w:t>
      </w:r>
      <w:r>
        <w:rPr>
          <w:sz w:val="18"/>
        </w:rPr>
        <w:t>a</w:t>
      </w:r>
      <w:r>
        <w:rPr>
          <w:spacing w:val="-8"/>
          <w:sz w:val="18"/>
        </w:rPr>
        <w:t> </w:t>
      </w:r>
      <w:r>
        <w:rPr>
          <w:sz w:val="18"/>
        </w:rPr>
        <w:t>conjuntos</w:t>
      </w:r>
      <w:r>
        <w:rPr>
          <w:spacing w:val="-8"/>
          <w:sz w:val="18"/>
        </w:rPr>
        <w:t> </w:t>
      </w:r>
      <w:r>
        <w:rPr>
          <w:sz w:val="18"/>
        </w:rPr>
        <w:t>humanos</w:t>
      </w:r>
      <w:r>
        <w:rPr>
          <w:spacing w:val="-8"/>
          <w:sz w:val="18"/>
        </w:rPr>
        <w:t> </w:t>
      </w:r>
      <w:r>
        <w:rPr>
          <w:sz w:val="18"/>
        </w:rPr>
        <w:t>permite</w:t>
      </w:r>
      <w:r>
        <w:rPr>
          <w:spacing w:val="-8"/>
          <w:sz w:val="18"/>
        </w:rPr>
        <w:t> </w:t>
      </w:r>
      <w:r>
        <w:rPr>
          <w:sz w:val="18"/>
        </w:rPr>
        <w:t>establecer</w:t>
      </w:r>
      <w:r>
        <w:rPr>
          <w:spacing w:val="-11"/>
          <w:sz w:val="18"/>
        </w:rPr>
        <w:t> </w:t>
      </w:r>
      <w:r>
        <w:rPr>
          <w:sz w:val="18"/>
        </w:rPr>
        <w:t>sistemas</w:t>
      </w:r>
      <w:r>
        <w:rPr>
          <w:spacing w:val="-8"/>
          <w:sz w:val="18"/>
        </w:rPr>
        <w:t> </w:t>
      </w:r>
      <w:r>
        <w:rPr>
          <w:sz w:val="18"/>
        </w:rPr>
        <w:t>racionales</w:t>
      </w:r>
      <w:r>
        <w:rPr>
          <w:spacing w:val="-10"/>
          <w:sz w:val="18"/>
        </w:rPr>
        <w:t> </w:t>
      </w:r>
      <w:r>
        <w:rPr>
          <w:sz w:val="18"/>
        </w:rPr>
        <w:t>de</w:t>
      </w:r>
      <w:r>
        <w:rPr>
          <w:spacing w:val="-8"/>
          <w:sz w:val="18"/>
        </w:rPr>
        <w:t> </w:t>
      </w:r>
      <w:r>
        <w:rPr>
          <w:sz w:val="18"/>
        </w:rPr>
        <w:t>esfuerzo</w:t>
      </w:r>
      <w:r>
        <w:rPr>
          <w:spacing w:val="-8"/>
          <w:sz w:val="18"/>
        </w:rPr>
        <w:t> </w:t>
      </w:r>
      <w:r>
        <w:rPr>
          <w:sz w:val="18"/>
        </w:rPr>
        <w:t>cooperativo, a</w:t>
      </w:r>
      <w:r>
        <w:rPr>
          <w:spacing w:val="-8"/>
          <w:sz w:val="18"/>
        </w:rPr>
        <w:t> </w:t>
      </w:r>
      <w:r>
        <w:rPr>
          <w:sz w:val="18"/>
        </w:rPr>
        <w:t>través</w:t>
      </w:r>
      <w:r>
        <w:rPr>
          <w:spacing w:val="-8"/>
          <w:sz w:val="18"/>
        </w:rPr>
        <w:t> </w:t>
      </w:r>
      <w:r>
        <w:rPr>
          <w:sz w:val="18"/>
        </w:rPr>
        <w:t>de</w:t>
      </w:r>
      <w:r>
        <w:rPr>
          <w:spacing w:val="-10"/>
          <w:sz w:val="18"/>
        </w:rPr>
        <w:t> </w:t>
      </w:r>
      <w:r>
        <w:rPr>
          <w:sz w:val="18"/>
        </w:rPr>
        <w:t>los</w:t>
      </w:r>
      <w:r>
        <w:rPr>
          <w:spacing w:val="-10"/>
          <w:sz w:val="18"/>
        </w:rPr>
        <w:t> </w:t>
      </w:r>
      <w:r>
        <w:rPr>
          <w:sz w:val="18"/>
        </w:rPr>
        <w:t>cuales</w:t>
      </w:r>
      <w:r>
        <w:rPr>
          <w:spacing w:val="-10"/>
          <w:sz w:val="18"/>
        </w:rPr>
        <w:t> </w:t>
      </w:r>
      <w:r>
        <w:rPr>
          <w:sz w:val="18"/>
        </w:rPr>
        <w:t>se</w:t>
      </w:r>
      <w:r>
        <w:rPr>
          <w:spacing w:val="-8"/>
          <w:sz w:val="18"/>
        </w:rPr>
        <w:t> </w:t>
      </w:r>
      <w:r>
        <w:rPr>
          <w:sz w:val="18"/>
        </w:rPr>
        <w:t>pueden</w:t>
      </w:r>
      <w:r>
        <w:rPr>
          <w:spacing w:val="-8"/>
          <w:sz w:val="18"/>
        </w:rPr>
        <w:t> </w:t>
      </w:r>
      <w:r>
        <w:rPr>
          <w:sz w:val="18"/>
        </w:rPr>
        <w:t>alcanzar</w:t>
      </w:r>
      <w:r>
        <w:rPr>
          <w:spacing w:val="-9"/>
          <w:sz w:val="18"/>
        </w:rPr>
        <w:t> </w:t>
      </w:r>
      <w:r>
        <w:rPr>
          <w:sz w:val="18"/>
        </w:rPr>
        <w:t>propósitos</w:t>
      </w:r>
      <w:r>
        <w:rPr>
          <w:spacing w:val="-10"/>
          <w:sz w:val="18"/>
        </w:rPr>
        <w:t> </w:t>
      </w:r>
      <w:r>
        <w:rPr>
          <w:sz w:val="18"/>
        </w:rPr>
        <w:t>comunes</w:t>
      </w:r>
      <w:r>
        <w:rPr>
          <w:spacing w:val="-10"/>
          <w:sz w:val="18"/>
        </w:rPr>
        <w:t> </w:t>
      </w:r>
      <w:r>
        <w:rPr>
          <w:sz w:val="18"/>
        </w:rPr>
        <w:t>que</w:t>
      </w:r>
      <w:r>
        <w:rPr>
          <w:spacing w:val="-10"/>
          <w:sz w:val="18"/>
        </w:rPr>
        <w:t> </w:t>
      </w:r>
      <w:r>
        <w:rPr>
          <w:sz w:val="18"/>
        </w:rPr>
        <w:t>individualmente</w:t>
      </w:r>
      <w:r>
        <w:rPr>
          <w:spacing w:val="-8"/>
          <w:sz w:val="18"/>
        </w:rPr>
        <w:t> </w:t>
      </w:r>
      <w:r>
        <w:rPr>
          <w:sz w:val="18"/>
        </w:rPr>
        <w:t>no</w:t>
      </w:r>
      <w:r>
        <w:rPr>
          <w:spacing w:val="-10"/>
          <w:sz w:val="18"/>
        </w:rPr>
        <w:t> </w:t>
      </w:r>
      <w:r>
        <w:rPr>
          <w:sz w:val="18"/>
        </w:rPr>
        <w:t>es</w:t>
      </w:r>
      <w:r>
        <w:rPr>
          <w:spacing w:val="-10"/>
          <w:sz w:val="18"/>
        </w:rPr>
        <w:t> </w:t>
      </w:r>
      <w:r>
        <w:rPr>
          <w:sz w:val="18"/>
        </w:rPr>
        <w:t>factible lograr” (Castro,</w:t>
      </w:r>
      <w:r>
        <w:rPr>
          <w:spacing w:val="-7"/>
          <w:sz w:val="18"/>
        </w:rPr>
        <w:t> </w:t>
      </w:r>
      <w:r>
        <w:rPr>
          <w:sz w:val="18"/>
        </w:rPr>
        <w:t>1993:23-24).</w:t>
      </w:r>
    </w:p>
    <w:p>
      <w:pPr>
        <w:pStyle w:val="BodyText"/>
        <w:rPr>
          <w:sz w:val="18"/>
        </w:rPr>
      </w:pPr>
    </w:p>
    <w:p>
      <w:pPr>
        <w:pStyle w:val="BodyText"/>
        <w:rPr>
          <w:sz w:val="18"/>
        </w:rPr>
      </w:pPr>
    </w:p>
    <w:p>
      <w:pPr>
        <w:pStyle w:val="BodyText"/>
        <w:rPr>
          <w:sz w:val="18"/>
        </w:rPr>
      </w:pPr>
    </w:p>
    <w:p>
      <w:pPr>
        <w:pStyle w:val="BodyText"/>
        <w:spacing w:line="360" w:lineRule="auto" w:before="115"/>
        <w:ind w:left="122" w:right="117"/>
        <w:jc w:val="both"/>
      </w:pPr>
      <w:r>
        <w:rPr/>
        <w:t>Por</w:t>
      </w:r>
      <w:r>
        <w:rPr>
          <w:spacing w:val="-9"/>
        </w:rPr>
        <w:t> </w:t>
      </w:r>
      <w:r>
        <w:rPr/>
        <w:t>su</w:t>
      </w:r>
      <w:r>
        <w:rPr>
          <w:spacing w:val="-10"/>
        </w:rPr>
        <w:t> </w:t>
      </w:r>
      <w:r>
        <w:rPr/>
        <w:t>parte,</w:t>
      </w:r>
      <w:r>
        <w:rPr>
          <w:spacing w:val="-10"/>
        </w:rPr>
        <w:t> </w:t>
      </w:r>
      <w:r>
        <w:rPr/>
        <w:t>Rodríguez</w:t>
      </w:r>
      <w:r>
        <w:rPr>
          <w:spacing w:val="-11"/>
        </w:rPr>
        <w:t> </w:t>
      </w:r>
      <w:r>
        <w:rPr/>
        <w:t>(1990)</w:t>
      </w:r>
      <w:r>
        <w:rPr>
          <w:spacing w:val="-9"/>
        </w:rPr>
        <w:t> </w:t>
      </w:r>
      <w:r>
        <w:rPr/>
        <w:t>afirma</w:t>
      </w:r>
      <w:r>
        <w:rPr>
          <w:spacing w:val="-10"/>
        </w:rPr>
        <w:t> </w:t>
      </w:r>
      <w:r>
        <w:rPr/>
        <w:t>que</w:t>
      </w:r>
      <w:r>
        <w:rPr>
          <w:spacing w:val="-8"/>
        </w:rPr>
        <w:t> </w:t>
      </w:r>
      <w:r>
        <w:rPr/>
        <w:t>la</w:t>
      </w:r>
      <w:r>
        <w:rPr>
          <w:spacing w:val="-10"/>
        </w:rPr>
        <w:t> </w:t>
      </w:r>
      <w:r>
        <w:rPr/>
        <w:t>administración</w:t>
      </w:r>
      <w:r>
        <w:rPr>
          <w:spacing w:val="-8"/>
        </w:rPr>
        <w:t> </w:t>
      </w:r>
      <w:r>
        <w:rPr/>
        <w:t>y</w:t>
      </w:r>
      <w:r>
        <w:rPr>
          <w:spacing w:val="-11"/>
        </w:rPr>
        <w:t> </w:t>
      </w:r>
      <w:r>
        <w:rPr/>
        <w:t>sus</w:t>
      </w:r>
      <w:r>
        <w:rPr>
          <w:spacing w:val="-11"/>
        </w:rPr>
        <w:t> </w:t>
      </w:r>
      <w:r>
        <w:rPr/>
        <w:t>procesos</w:t>
      </w:r>
      <w:r>
        <w:rPr>
          <w:spacing w:val="-11"/>
        </w:rPr>
        <w:t> </w:t>
      </w:r>
      <w:r>
        <w:rPr/>
        <w:t>básicos son aplicables a todas aquellas actividades que, mediante la participación del esfuerzo humano y la inversión de recursos materiales, están dirigidos a la producción de bienes y servicios que contribuyan a satisfacer necesidades de la sociedad.</w:t>
      </w:r>
    </w:p>
    <w:p>
      <w:pPr>
        <w:pStyle w:val="BodyText"/>
      </w:pPr>
    </w:p>
    <w:p>
      <w:pPr>
        <w:pStyle w:val="BodyText"/>
      </w:pPr>
    </w:p>
    <w:p>
      <w:pPr>
        <w:pStyle w:val="BodyText"/>
        <w:spacing w:line="360" w:lineRule="auto" w:before="186"/>
        <w:ind w:left="122" w:right="116"/>
        <w:jc w:val="both"/>
      </w:pPr>
      <w:r>
        <w:rPr/>
        <w:t>En la medida en que se diversifican las actividades y crecen las organizaciones se requiere contar con gente especialista en sus funciones laborales para contribuir al progreso  social  y  material  de  los  pueblos.  Asimismo,  se  hace   indispensable</w:t>
      </w:r>
    </w:p>
    <w:p>
      <w:pPr>
        <w:spacing w:after="0" w:line="360" w:lineRule="auto"/>
        <w:jc w:val="both"/>
        <w:sectPr>
          <w:pgSz w:w="12240" w:h="15840"/>
          <w:pgMar w:header="0" w:footer="975" w:top="1360" w:bottom="1220" w:left="1580" w:right="1580"/>
        </w:sectPr>
      </w:pPr>
    </w:p>
    <w:p>
      <w:pPr>
        <w:pStyle w:val="BodyText"/>
        <w:spacing w:line="360" w:lineRule="auto" w:before="54"/>
        <w:ind w:left="102" w:right="116"/>
        <w:jc w:val="both"/>
      </w:pPr>
      <w:r>
        <w:rPr/>
        <w:t>sistematizar y racionalizar la acción colectiva e individual de los hombres para aplicar principios, procesos y técnicas que permitan armonizar y garantizar la utilidad de los medios de producción para crear bienes y servicios materiales (Mintzberg, 1988 y Rodríguez, 1990).</w:t>
      </w:r>
    </w:p>
    <w:p>
      <w:pPr>
        <w:pStyle w:val="BodyText"/>
      </w:pPr>
    </w:p>
    <w:p>
      <w:pPr>
        <w:pStyle w:val="BodyText"/>
      </w:pPr>
    </w:p>
    <w:p>
      <w:pPr>
        <w:pStyle w:val="BodyText"/>
        <w:spacing w:line="360" w:lineRule="auto" w:before="185"/>
        <w:ind w:left="102" w:right="116"/>
        <w:jc w:val="both"/>
      </w:pPr>
      <w:r>
        <w:rPr/>
        <w:t>De este modo, en la historia de la administración podemos hablar de funciones básicas como la escritura y la necesidad de generar registros desarrolladas por los sumerios (Claud y Álvarez, 2005); la organización del feudalismo que enseñó a los administradores que la delegación de autoridad (Rodríguez, 1990); las grandes monarquías donde predominaba el poder absoluto del rey conocido como centralización (Castro, 1993) o la administración científica de Taylor (Claud y Álvarez, 2005 y Rodríguez, 1990). El recorrido histórico de esta ciencia ha dejado aportaciones relevantes a la historia administrativa de la humanidad (ver cuadro 1.13).</w:t>
      </w:r>
    </w:p>
    <w:p>
      <w:pPr>
        <w:pStyle w:val="BodyText"/>
        <w:rPr>
          <w:sz w:val="20"/>
        </w:rPr>
      </w:pPr>
    </w:p>
    <w:p>
      <w:pPr>
        <w:pStyle w:val="BodyText"/>
        <w:rPr>
          <w:sz w:val="20"/>
        </w:rPr>
      </w:pPr>
    </w:p>
    <w:p>
      <w:pPr>
        <w:pStyle w:val="BodyText"/>
        <w:spacing w:before="4"/>
      </w:pPr>
    </w:p>
    <w:tbl>
      <w:tblPr>
        <w:tblW w:w="0" w:type="auto"/>
        <w:jc w:val="left"/>
        <w:tblInd w:w="1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7"/>
        <w:gridCol w:w="1553"/>
        <w:gridCol w:w="5816"/>
      </w:tblGrid>
      <w:tr>
        <w:trPr>
          <w:trHeight w:val="217" w:hRule="exact"/>
        </w:trPr>
        <w:tc>
          <w:tcPr>
            <w:tcW w:w="8646" w:type="dxa"/>
            <w:gridSpan w:val="3"/>
            <w:shd w:val="clear" w:color="auto" w:fill="92D050"/>
          </w:tcPr>
          <w:p>
            <w:pPr>
              <w:pStyle w:val="TableParagraph"/>
              <w:spacing w:line="203" w:lineRule="exact"/>
              <w:ind w:left="2506"/>
              <w:jc w:val="left"/>
              <w:rPr>
                <w:b/>
                <w:sz w:val="18"/>
              </w:rPr>
            </w:pPr>
            <w:r>
              <w:rPr>
                <w:b/>
                <w:sz w:val="18"/>
              </w:rPr>
              <w:t>Tabla 1.13. Evolución de la administración</w:t>
            </w:r>
          </w:p>
        </w:tc>
      </w:tr>
      <w:tr>
        <w:trPr>
          <w:trHeight w:val="423" w:hRule="exact"/>
        </w:trPr>
        <w:tc>
          <w:tcPr>
            <w:tcW w:w="1277" w:type="dxa"/>
            <w:shd w:val="clear" w:color="auto" w:fill="92D050"/>
          </w:tcPr>
          <w:p>
            <w:pPr>
              <w:pStyle w:val="TableParagraph"/>
              <w:ind w:left="122" w:right="104" w:firstLine="335"/>
              <w:jc w:val="left"/>
              <w:rPr>
                <w:b/>
                <w:sz w:val="18"/>
              </w:rPr>
            </w:pPr>
            <w:r>
              <w:rPr>
                <w:b/>
                <w:sz w:val="18"/>
              </w:rPr>
              <w:t>Año aproximado</w:t>
            </w:r>
          </w:p>
        </w:tc>
        <w:tc>
          <w:tcPr>
            <w:tcW w:w="1553" w:type="dxa"/>
            <w:shd w:val="clear" w:color="auto" w:fill="92D050"/>
          </w:tcPr>
          <w:p>
            <w:pPr>
              <w:pStyle w:val="TableParagraph"/>
              <w:ind w:left="290" w:right="273"/>
              <w:jc w:val="left"/>
              <w:rPr>
                <w:b/>
                <w:sz w:val="18"/>
              </w:rPr>
            </w:pPr>
            <w:r>
              <w:rPr>
                <w:b/>
                <w:sz w:val="18"/>
              </w:rPr>
              <w:t>Individuo o civilización</w:t>
            </w:r>
          </w:p>
        </w:tc>
        <w:tc>
          <w:tcPr>
            <w:tcW w:w="5816" w:type="dxa"/>
            <w:shd w:val="clear" w:color="auto" w:fill="92D050"/>
          </w:tcPr>
          <w:p>
            <w:pPr>
              <w:pStyle w:val="TableParagraph"/>
              <w:spacing w:line="202" w:lineRule="exact"/>
              <w:ind w:left="861" w:right="72"/>
              <w:jc w:val="left"/>
              <w:rPr>
                <w:b/>
                <w:sz w:val="18"/>
              </w:rPr>
            </w:pPr>
            <w:r>
              <w:rPr>
                <w:b/>
                <w:sz w:val="18"/>
              </w:rPr>
              <w:t>Contribuciones importantes a la administración</w:t>
            </w:r>
          </w:p>
        </w:tc>
      </w:tr>
      <w:tr>
        <w:trPr>
          <w:trHeight w:val="218" w:hRule="exact"/>
        </w:trPr>
        <w:tc>
          <w:tcPr>
            <w:tcW w:w="1277" w:type="dxa"/>
          </w:tcPr>
          <w:p>
            <w:pPr>
              <w:pStyle w:val="TableParagraph"/>
              <w:spacing w:before="1"/>
              <w:ind w:left="196" w:right="197"/>
              <w:rPr>
                <w:sz w:val="18"/>
              </w:rPr>
            </w:pPr>
            <w:r>
              <w:rPr>
                <w:sz w:val="18"/>
              </w:rPr>
              <w:t>5000 a.C.</w:t>
            </w:r>
          </w:p>
        </w:tc>
        <w:tc>
          <w:tcPr>
            <w:tcW w:w="1553" w:type="dxa"/>
          </w:tcPr>
          <w:p>
            <w:pPr>
              <w:pStyle w:val="TableParagraph"/>
              <w:spacing w:before="1"/>
              <w:ind w:left="111" w:right="111"/>
              <w:rPr>
                <w:sz w:val="18"/>
              </w:rPr>
            </w:pPr>
            <w:r>
              <w:rPr>
                <w:sz w:val="18"/>
              </w:rPr>
              <w:t>Sumerios</w:t>
            </w:r>
          </w:p>
        </w:tc>
        <w:tc>
          <w:tcPr>
            <w:tcW w:w="5816" w:type="dxa"/>
          </w:tcPr>
          <w:p>
            <w:pPr>
              <w:pStyle w:val="TableParagraph"/>
              <w:spacing w:before="1"/>
              <w:ind w:left="103" w:right="72"/>
              <w:jc w:val="left"/>
              <w:rPr>
                <w:sz w:val="18"/>
              </w:rPr>
            </w:pPr>
            <w:r>
              <w:rPr>
                <w:sz w:val="18"/>
              </w:rPr>
              <w:t>Escritura: conservación de registros.</w:t>
            </w:r>
          </w:p>
        </w:tc>
      </w:tr>
      <w:tr>
        <w:trPr>
          <w:trHeight w:val="422" w:hRule="exact"/>
        </w:trPr>
        <w:tc>
          <w:tcPr>
            <w:tcW w:w="1277" w:type="dxa"/>
          </w:tcPr>
          <w:p>
            <w:pPr>
              <w:pStyle w:val="TableParagraph"/>
              <w:spacing w:line="206" w:lineRule="exact"/>
              <w:ind w:left="197" w:right="197"/>
              <w:rPr>
                <w:sz w:val="18"/>
              </w:rPr>
            </w:pPr>
            <w:r>
              <w:rPr>
                <w:sz w:val="18"/>
              </w:rPr>
              <w:t>2700</w:t>
            </w:r>
          </w:p>
        </w:tc>
        <w:tc>
          <w:tcPr>
            <w:tcW w:w="1553" w:type="dxa"/>
          </w:tcPr>
          <w:p>
            <w:pPr>
              <w:pStyle w:val="TableParagraph"/>
              <w:spacing w:line="206" w:lineRule="exact"/>
              <w:ind w:left="111" w:right="111"/>
              <w:rPr>
                <w:sz w:val="18"/>
              </w:rPr>
            </w:pPr>
            <w:r>
              <w:rPr>
                <w:sz w:val="18"/>
              </w:rPr>
              <w:t>Egipcios</w:t>
            </w:r>
          </w:p>
        </w:tc>
        <w:tc>
          <w:tcPr>
            <w:tcW w:w="5816" w:type="dxa"/>
          </w:tcPr>
          <w:p>
            <w:pPr>
              <w:pStyle w:val="TableParagraph"/>
              <w:ind w:left="103" w:right="72"/>
              <w:jc w:val="left"/>
              <w:rPr>
                <w:sz w:val="18"/>
              </w:rPr>
            </w:pPr>
            <w:r>
              <w:rPr>
                <w:sz w:val="18"/>
              </w:rPr>
              <w:t>Se reconoce la necesidad de la honestidad o juego limpio en la administración. Terapia de la entrevista-: No lo retenga, expúlselo”.</w:t>
            </w:r>
          </w:p>
        </w:tc>
      </w:tr>
      <w:tr>
        <w:trPr>
          <w:trHeight w:val="218" w:hRule="exact"/>
        </w:trPr>
        <w:tc>
          <w:tcPr>
            <w:tcW w:w="1277" w:type="dxa"/>
          </w:tcPr>
          <w:p>
            <w:pPr>
              <w:pStyle w:val="TableParagraph"/>
              <w:spacing w:before="1"/>
              <w:ind w:left="197" w:right="197"/>
              <w:rPr>
                <w:sz w:val="18"/>
              </w:rPr>
            </w:pPr>
            <w:r>
              <w:rPr>
                <w:sz w:val="18"/>
              </w:rPr>
              <w:t>2000</w:t>
            </w:r>
          </w:p>
        </w:tc>
        <w:tc>
          <w:tcPr>
            <w:tcW w:w="1553" w:type="dxa"/>
          </w:tcPr>
          <w:p>
            <w:pPr>
              <w:pStyle w:val="TableParagraph"/>
              <w:spacing w:before="1"/>
              <w:ind w:left="111" w:right="111"/>
              <w:rPr>
                <w:sz w:val="18"/>
              </w:rPr>
            </w:pPr>
            <w:r>
              <w:rPr>
                <w:sz w:val="18"/>
              </w:rPr>
              <w:t>Egipcios</w:t>
            </w:r>
          </w:p>
        </w:tc>
        <w:tc>
          <w:tcPr>
            <w:tcW w:w="5816" w:type="dxa"/>
          </w:tcPr>
          <w:p>
            <w:pPr>
              <w:pStyle w:val="TableParagraph"/>
              <w:spacing w:before="1"/>
              <w:ind w:left="103" w:right="72"/>
              <w:jc w:val="left"/>
              <w:rPr>
                <w:sz w:val="18"/>
              </w:rPr>
            </w:pPr>
            <w:r>
              <w:rPr>
                <w:sz w:val="18"/>
              </w:rPr>
              <w:t>Se reconoce la necesidad de la respuesta.</w:t>
            </w:r>
          </w:p>
        </w:tc>
      </w:tr>
      <w:tr>
        <w:trPr>
          <w:trHeight w:val="216" w:hRule="exact"/>
        </w:trPr>
        <w:tc>
          <w:tcPr>
            <w:tcW w:w="1277" w:type="dxa"/>
          </w:tcPr>
          <w:p>
            <w:pPr>
              <w:pStyle w:val="TableParagraph"/>
              <w:spacing w:line="206" w:lineRule="exact"/>
              <w:ind w:left="198" w:right="197"/>
              <w:rPr>
                <w:sz w:val="18"/>
              </w:rPr>
            </w:pPr>
            <w:r>
              <w:rPr>
                <w:sz w:val="18"/>
              </w:rPr>
              <w:t>900 N. e.</w:t>
            </w:r>
          </w:p>
        </w:tc>
        <w:tc>
          <w:tcPr>
            <w:tcW w:w="1553" w:type="dxa"/>
          </w:tcPr>
          <w:p>
            <w:pPr>
              <w:pStyle w:val="TableParagraph"/>
              <w:spacing w:line="206" w:lineRule="exact"/>
              <w:ind w:left="111" w:right="111"/>
              <w:rPr>
                <w:sz w:val="18"/>
              </w:rPr>
            </w:pPr>
            <w:r>
              <w:rPr>
                <w:sz w:val="18"/>
              </w:rPr>
              <w:t>Alfarabi</w:t>
            </w:r>
          </w:p>
        </w:tc>
        <w:tc>
          <w:tcPr>
            <w:tcW w:w="5816" w:type="dxa"/>
          </w:tcPr>
          <w:p>
            <w:pPr>
              <w:pStyle w:val="TableParagraph"/>
              <w:spacing w:line="206" w:lineRule="exact"/>
              <w:ind w:left="103" w:right="72"/>
              <w:jc w:val="left"/>
              <w:rPr>
                <w:sz w:val="18"/>
              </w:rPr>
            </w:pPr>
            <w:r>
              <w:rPr>
                <w:sz w:val="18"/>
              </w:rPr>
              <w:t>Proporciona una lista de las características de un líder.</w:t>
            </w:r>
          </w:p>
        </w:tc>
      </w:tr>
      <w:tr>
        <w:trPr>
          <w:trHeight w:val="425" w:hRule="exact"/>
        </w:trPr>
        <w:tc>
          <w:tcPr>
            <w:tcW w:w="1277" w:type="dxa"/>
          </w:tcPr>
          <w:p>
            <w:pPr>
              <w:pStyle w:val="TableParagraph"/>
              <w:spacing w:line="206" w:lineRule="exact"/>
              <w:ind w:left="198" w:right="197"/>
              <w:rPr>
                <w:sz w:val="18"/>
              </w:rPr>
            </w:pPr>
            <w:r>
              <w:rPr>
                <w:sz w:val="18"/>
              </w:rPr>
              <w:t>1500 N. e.</w:t>
            </w:r>
          </w:p>
        </w:tc>
        <w:tc>
          <w:tcPr>
            <w:tcW w:w="1553" w:type="dxa"/>
          </w:tcPr>
          <w:p>
            <w:pPr>
              <w:pStyle w:val="TableParagraph"/>
              <w:spacing w:line="206" w:lineRule="exact"/>
              <w:ind w:left="111" w:right="111"/>
              <w:rPr>
                <w:sz w:val="18"/>
              </w:rPr>
            </w:pPr>
            <w:r>
              <w:rPr>
                <w:sz w:val="18"/>
              </w:rPr>
              <w:t>Tomás Moro</w:t>
            </w:r>
          </w:p>
        </w:tc>
        <w:tc>
          <w:tcPr>
            <w:tcW w:w="5816" w:type="dxa"/>
          </w:tcPr>
          <w:p>
            <w:pPr>
              <w:pStyle w:val="TableParagraph"/>
              <w:ind w:left="103" w:right="72"/>
              <w:jc w:val="left"/>
              <w:rPr>
                <w:sz w:val="18"/>
              </w:rPr>
            </w:pPr>
            <w:r>
              <w:rPr>
                <w:sz w:val="18"/>
              </w:rPr>
              <w:t>Llamado</w:t>
            </w:r>
            <w:r>
              <w:rPr>
                <w:spacing w:val="-12"/>
                <w:sz w:val="18"/>
              </w:rPr>
              <w:t> </w:t>
            </w:r>
            <w:r>
              <w:rPr>
                <w:sz w:val="18"/>
              </w:rPr>
              <w:t>a</w:t>
            </w:r>
            <w:r>
              <w:rPr>
                <w:spacing w:val="-11"/>
                <w:sz w:val="18"/>
              </w:rPr>
              <w:t> </w:t>
            </w:r>
            <w:r>
              <w:rPr>
                <w:sz w:val="18"/>
              </w:rPr>
              <w:t>la</w:t>
            </w:r>
            <w:r>
              <w:rPr>
                <w:spacing w:val="-11"/>
                <w:sz w:val="18"/>
              </w:rPr>
              <w:t> </w:t>
            </w:r>
            <w:r>
              <w:rPr>
                <w:sz w:val="18"/>
              </w:rPr>
              <w:t>especialización:</w:t>
            </w:r>
            <w:r>
              <w:rPr>
                <w:spacing w:val="-12"/>
                <w:sz w:val="18"/>
              </w:rPr>
              <w:t> </w:t>
            </w:r>
            <w:r>
              <w:rPr>
                <w:sz w:val="18"/>
              </w:rPr>
              <w:t>denuncia</w:t>
            </w:r>
            <w:r>
              <w:rPr>
                <w:spacing w:val="-11"/>
                <w:sz w:val="18"/>
              </w:rPr>
              <w:t> </w:t>
            </w:r>
            <w:r>
              <w:rPr>
                <w:sz w:val="18"/>
              </w:rPr>
              <w:t>de</w:t>
            </w:r>
            <w:r>
              <w:rPr>
                <w:spacing w:val="-12"/>
                <w:sz w:val="18"/>
              </w:rPr>
              <w:t> </w:t>
            </w:r>
            <w:r>
              <w:rPr>
                <w:sz w:val="18"/>
              </w:rPr>
              <w:t>las</w:t>
            </w:r>
            <w:r>
              <w:rPr>
                <w:spacing w:val="-10"/>
                <w:sz w:val="18"/>
              </w:rPr>
              <w:t> </w:t>
            </w:r>
            <w:r>
              <w:rPr>
                <w:sz w:val="18"/>
              </w:rPr>
              <w:t>faltas</w:t>
            </w:r>
            <w:r>
              <w:rPr>
                <w:spacing w:val="-10"/>
                <w:sz w:val="18"/>
              </w:rPr>
              <w:t> </w:t>
            </w:r>
            <w:r>
              <w:rPr>
                <w:sz w:val="18"/>
              </w:rPr>
              <w:t>por</w:t>
            </w:r>
            <w:r>
              <w:rPr>
                <w:spacing w:val="-13"/>
                <w:sz w:val="18"/>
              </w:rPr>
              <w:t> </w:t>
            </w:r>
            <w:r>
              <w:rPr>
                <w:sz w:val="18"/>
              </w:rPr>
              <w:t>administración y jefaturas</w:t>
            </w:r>
            <w:r>
              <w:rPr>
                <w:spacing w:val="-6"/>
                <w:sz w:val="18"/>
              </w:rPr>
              <w:t> </w:t>
            </w:r>
            <w:r>
              <w:rPr>
                <w:sz w:val="18"/>
              </w:rPr>
              <w:t>pobres.</w:t>
            </w:r>
          </w:p>
        </w:tc>
      </w:tr>
      <w:tr>
        <w:trPr>
          <w:trHeight w:val="631" w:hRule="exact"/>
        </w:trPr>
        <w:tc>
          <w:tcPr>
            <w:tcW w:w="1277" w:type="dxa"/>
          </w:tcPr>
          <w:p>
            <w:pPr>
              <w:pStyle w:val="TableParagraph"/>
              <w:spacing w:line="206" w:lineRule="exact"/>
              <w:ind w:left="198" w:right="197"/>
              <w:rPr>
                <w:sz w:val="18"/>
              </w:rPr>
            </w:pPr>
            <w:r>
              <w:rPr>
                <w:sz w:val="18"/>
              </w:rPr>
              <w:t>1525 N. e.</w:t>
            </w:r>
          </w:p>
        </w:tc>
        <w:tc>
          <w:tcPr>
            <w:tcW w:w="1553" w:type="dxa"/>
          </w:tcPr>
          <w:p>
            <w:pPr>
              <w:pStyle w:val="TableParagraph"/>
              <w:ind w:left="309" w:right="294" w:firstLine="165"/>
              <w:jc w:val="left"/>
              <w:rPr>
                <w:sz w:val="18"/>
              </w:rPr>
            </w:pPr>
            <w:r>
              <w:rPr>
                <w:sz w:val="18"/>
              </w:rPr>
              <w:t>Nicolás Maquiavelo</w:t>
            </w:r>
          </w:p>
        </w:tc>
        <w:tc>
          <w:tcPr>
            <w:tcW w:w="5816" w:type="dxa"/>
          </w:tcPr>
          <w:p>
            <w:pPr>
              <w:pStyle w:val="TableParagraph"/>
              <w:ind w:left="103" w:right="108"/>
              <w:jc w:val="both"/>
              <w:rPr>
                <w:sz w:val="18"/>
              </w:rPr>
            </w:pPr>
            <w:r>
              <w:rPr>
                <w:sz w:val="18"/>
              </w:rPr>
              <w:t>Principio de la confianza en el consentimiento de las masas; se reconoce la necesidad de la cohesividad en la organización; enunciación de las cualidades de un jefe.</w:t>
            </w:r>
          </w:p>
        </w:tc>
      </w:tr>
      <w:tr>
        <w:trPr>
          <w:trHeight w:val="216" w:hRule="exact"/>
        </w:trPr>
        <w:tc>
          <w:tcPr>
            <w:tcW w:w="1277" w:type="dxa"/>
          </w:tcPr>
          <w:p>
            <w:pPr>
              <w:pStyle w:val="TableParagraph"/>
              <w:spacing w:line="206" w:lineRule="exact"/>
              <w:ind w:left="197" w:right="197"/>
              <w:rPr>
                <w:sz w:val="18"/>
              </w:rPr>
            </w:pPr>
            <w:r>
              <w:rPr>
                <w:sz w:val="18"/>
              </w:rPr>
              <w:t>1767</w:t>
            </w:r>
          </w:p>
        </w:tc>
        <w:tc>
          <w:tcPr>
            <w:tcW w:w="1553" w:type="dxa"/>
          </w:tcPr>
          <w:p>
            <w:pPr>
              <w:pStyle w:val="TableParagraph"/>
              <w:spacing w:line="206" w:lineRule="exact"/>
              <w:ind w:left="109" w:right="111"/>
              <w:rPr>
                <w:sz w:val="18"/>
              </w:rPr>
            </w:pPr>
            <w:r>
              <w:rPr>
                <w:sz w:val="18"/>
              </w:rPr>
              <w:t>James Stewart</w:t>
            </w:r>
          </w:p>
        </w:tc>
        <w:tc>
          <w:tcPr>
            <w:tcW w:w="5816" w:type="dxa"/>
          </w:tcPr>
          <w:p>
            <w:pPr>
              <w:pStyle w:val="TableParagraph"/>
              <w:spacing w:line="206" w:lineRule="exact"/>
              <w:ind w:left="103" w:right="72"/>
              <w:jc w:val="left"/>
              <w:rPr>
                <w:sz w:val="18"/>
              </w:rPr>
            </w:pPr>
            <w:r>
              <w:rPr>
                <w:sz w:val="18"/>
              </w:rPr>
              <w:t>Teoría del origen de autoridad; impacto de la automatización.</w:t>
            </w:r>
          </w:p>
        </w:tc>
      </w:tr>
      <w:tr>
        <w:trPr>
          <w:trHeight w:val="631" w:hRule="exact"/>
        </w:trPr>
        <w:tc>
          <w:tcPr>
            <w:tcW w:w="1277" w:type="dxa"/>
          </w:tcPr>
          <w:p>
            <w:pPr>
              <w:pStyle w:val="TableParagraph"/>
              <w:spacing w:line="206" w:lineRule="exact"/>
              <w:ind w:left="197" w:right="197"/>
              <w:rPr>
                <w:sz w:val="18"/>
              </w:rPr>
            </w:pPr>
            <w:r>
              <w:rPr>
                <w:sz w:val="18"/>
              </w:rPr>
              <w:t>1810</w:t>
            </w:r>
          </w:p>
        </w:tc>
        <w:tc>
          <w:tcPr>
            <w:tcW w:w="1553" w:type="dxa"/>
          </w:tcPr>
          <w:p>
            <w:pPr>
              <w:pStyle w:val="TableParagraph"/>
              <w:ind w:left="108" w:right="111"/>
              <w:rPr>
                <w:sz w:val="18"/>
              </w:rPr>
            </w:pPr>
            <w:r>
              <w:rPr>
                <w:sz w:val="18"/>
              </w:rPr>
              <w:t>Robert Owen New Lanark, Scotland</w:t>
            </w:r>
          </w:p>
        </w:tc>
        <w:tc>
          <w:tcPr>
            <w:tcW w:w="5816" w:type="dxa"/>
          </w:tcPr>
          <w:p>
            <w:pPr>
              <w:pStyle w:val="TableParagraph"/>
              <w:ind w:left="103" w:right="10"/>
              <w:jc w:val="left"/>
              <w:rPr>
                <w:sz w:val="18"/>
              </w:rPr>
            </w:pPr>
            <w:r>
              <w:rPr>
                <w:sz w:val="18"/>
              </w:rPr>
              <w:t>Necesidad de prácticas (relaciones) de personal reconocidas y aplicadas; se asume la responsabilidad de adiestrar a los trabajadores.</w:t>
            </w:r>
          </w:p>
        </w:tc>
      </w:tr>
      <w:tr>
        <w:trPr>
          <w:trHeight w:val="838" w:hRule="exact"/>
        </w:trPr>
        <w:tc>
          <w:tcPr>
            <w:tcW w:w="1277" w:type="dxa"/>
          </w:tcPr>
          <w:p>
            <w:pPr>
              <w:pStyle w:val="TableParagraph"/>
              <w:spacing w:line="206" w:lineRule="exact"/>
              <w:ind w:left="197" w:right="197"/>
              <w:rPr>
                <w:sz w:val="18"/>
              </w:rPr>
            </w:pPr>
            <w:r>
              <w:rPr>
                <w:sz w:val="18"/>
              </w:rPr>
              <w:t>1900</w:t>
            </w:r>
          </w:p>
        </w:tc>
        <w:tc>
          <w:tcPr>
            <w:tcW w:w="1553" w:type="dxa"/>
          </w:tcPr>
          <w:p>
            <w:pPr>
              <w:pStyle w:val="TableParagraph"/>
              <w:spacing w:line="206" w:lineRule="exact"/>
              <w:ind w:left="280"/>
              <w:jc w:val="left"/>
              <w:rPr>
                <w:sz w:val="18"/>
              </w:rPr>
            </w:pPr>
            <w:r>
              <w:rPr>
                <w:sz w:val="18"/>
              </w:rPr>
              <w:t>F. W. Taylor</w:t>
            </w:r>
          </w:p>
        </w:tc>
        <w:tc>
          <w:tcPr>
            <w:tcW w:w="5816" w:type="dxa"/>
          </w:tcPr>
          <w:p>
            <w:pPr>
              <w:pStyle w:val="TableParagraph"/>
              <w:ind w:left="103" w:right="107"/>
              <w:jc w:val="both"/>
              <w:rPr>
                <w:sz w:val="18"/>
              </w:rPr>
            </w:pPr>
            <w:r>
              <w:rPr>
                <w:sz w:val="18"/>
              </w:rPr>
              <w:t>Definición</w:t>
            </w:r>
            <w:r>
              <w:rPr>
                <w:spacing w:val="-5"/>
                <w:sz w:val="18"/>
              </w:rPr>
              <w:t> </w:t>
            </w:r>
            <w:r>
              <w:rPr>
                <w:sz w:val="18"/>
              </w:rPr>
              <w:t>de</w:t>
            </w:r>
            <w:r>
              <w:rPr>
                <w:spacing w:val="-5"/>
                <w:sz w:val="18"/>
              </w:rPr>
              <w:t> </w:t>
            </w:r>
            <w:r>
              <w:rPr>
                <w:sz w:val="18"/>
              </w:rPr>
              <w:t>administración</w:t>
            </w:r>
            <w:r>
              <w:rPr>
                <w:spacing w:val="-5"/>
                <w:sz w:val="18"/>
              </w:rPr>
              <w:t> </w:t>
            </w:r>
            <w:r>
              <w:rPr>
                <w:sz w:val="18"/>
              </w:rPr>
              <w:t>científica,</w:t>
            </w:r>
            <w:r>
              <w:rPr>
                <w:spacing w:val="-8"/>
                <w:sz w:val="18"/>
              </w:rPr>
              <w:t> </w:t>
            </w:r>
            <w:r>
              <w:rPr>
                <w:sz w:val="18"/>
              </w:rPr>
              <w:t>estudio</w:t>
            </w:r>
            <w:r>
              <w:rPr>
                <w:spacing w:val="-7"/>
                <w:sz w:val="18"/>
              </w:rPr>
              <w:t> </w:t>
            </w:r>
            <w:r>
              <w:rPr>
                <w:sz w:val="18"/>
              </w:rPr>
              <w:t>de</w:t>
            </w:r>
            <w:r>
              <w:rPr>
                <w:spacing w:val="-5"/>
                <w:sz w:val="18"/>
              </w:rPr>
              <w:t> </w:t>
            </w:r>
            <w:r>
              <w:rPr>
                <w:sz w:val="18"/>
              </w:rPr>
              <w:t>métodos;</w:t>
            </w:r>
            <w:r>
              <w:rPr>
                <w:spacing w:val="-8"/>
                <w:sz w:val="18"/>
              </w:rPr>
              <w:t> </w:t>
            </w:r>
            <w:r>
              <w:rPr>
                <w:sz w:val="18"/>
              </w:rPr>
              <w:t>estudio</w:t>
            </w:r>
            <w:r>
              <w:rPr>
                <w:spacing w:val="-5"/>
                <w:sz w:val="18"/>
              </w:rPr>
              <w:t> </w:t>
            </w:r>
            <w:r>
              <w:rPr>
                <w:sz w:val="18"/>
              </w:rPr>
              <w:t>de tiempo; énfasis en la investigación; elaboración de modelos, planeación, control, cooperación; carga igual entre administración; Sistema de costos,</w:t>
            </w:r>
            <w:r>
              <w:rPr>
                <w:spacing w:val="-9"/>
                <w:sz w:val="18"/>
              </w:rPr>
              <w:t> </w:t>
            </w:r>
            <w:r>
              <w:rPr>
                <w:sz w:val="18"/>
              </w:rPr>
              <w:t>etcétera.</w:t>
            </w:r>
          </w:p>
        </w:tc>
      </w:tr>
      <w:tr>
        <w:trPr>
          <w:trHeight w:val="631" w:hRule="exact"/>
        </w:trPr>
        <w:tc>
          <w:tcPr>
            <w:tcW w:w="1277" w:type="dxa"/>
          </w:tcPr>
          <w:p>
            <w:pPr>
              <w:pStyle w:val="TableParagraph"/>
              <w:spacing w:line="206" w:lineRule="exact"/>
              <w:ind w:left="197" w:right="197"/>
              <w:rPr>
                <w:sz w:val="18"/>
              </w:rPr>
            </w:pPr>
            <w:r>
              <w:rPr>
                <w:sz w:val="18"/>
              </w:rPr>
              <w:t>1901</w:t>
            </w:r>
          </w:p>
        </w:tc>
        <w:tc>
          <w:tcPr>
            <w:tcW w:w="1553" w:type="dxa"/>
          </w:tcPr>
          <w:p>
            <w:pPr>
              <w:pStyle w:val="TableParagraph"/>
              <w:spacing w:line="206" w:lineRule="exact"/>
              <w:ind w:left="335" w:right="273"/>
              <w:jc w:val="left"/>
              <w:rPr>
                <w:sz w:val="18"/>
              </w:rPr>
            </w:pPr>
            <w:r>
              <w:rPr>
                <w:sz w:val="18"/>
              </w:rPr>
              <w:t>H. L. Gantt</w:t>
            </w:r>
          </w:p>
        </w:tc>
        <w:tc>
          <w:tcPr>
            <w:tcW w:w="5816" w:type="dxa"/>
          </w:tcPr>
          <w:p>
            <w:pPr>
              <w:pStyle w:val="TableParagraph"/>
              <w:ind w:left="103" w:right="108"/>
              <w:jc w:val="both"/>
              <w:rPr>
                <w:sz w:val="18"/>
              </w:rPr>
            </w:pPr>
            <w:r>
              <w:rPr>
                <w:sz w:val="18"/>
              </w:rPr>
              <w:t>Método de tarea y bonificación: enfoque humanístico al trabajo; gráficas de Gantt; responsabilidad de la administración por adiestramiento de los trabajadores.</w:t>
            </w:r>
          </w:p>
        </w:tc>
      </w:tr>
      <w:tr>
        <w:trPr>
          <w:trHeight w:val="218" w:hRule="exact"/>
        </w:trPr>
        <w:tc>
          <w:tcPr>
            <w:tcW w:w="1277" w:type="dxa"/>
          </w:tcPr>
          <w:p>
            <w:pPr>
              <w:pStyle w:val="TableParagraph"/>
              <w:spacing w:line="206" w:lineRule="exact"/>
              <w:ind w:left="197" w:right="197"/>
              <w:rPr>
                <w:sz w:val="18"/>
              </w:rPr>
            </w:pPr>
            <w:r>
              <w:rPr>
                <w:sz w:val="18"/>
              </w:rPr>
              <w:t>1910</w:t>
            </w:r>
          </w:p>
        </w:tc>
        <w:tc>
          <w:tcPr>
            <w:tcW w:w="1553" w:type="dxa"/>
          </w:tcPr>
          <w:p>
            <w:pPr>
              <w:pStyle w:val="TableParagraph"/>
              <w:spacing w:line="206" w:lineRule="exact"/>
              <w:ind w:left="295"/>
              <w:jc w:val="left"/>
              <w:rPr>
                <w:sz w:val="18"/>
              </w:rPr>
            </w:pPr>
            <w:r>
              <w:rPr>
                <w:sz w:val="18"/>
              </w:rPr>
              <w:t>H. Emerson</w:t>
            </w:r>
          </w:p>
        </w:tc>
        <w:tc>
          <w:tcPr>
            <w:tcW w:w="5816" w:type="dxa"/>
          </w:tcPr>
          <w:p>
            <w:pPr>
              <w:pStyle w:val="TableParagraph"/>
              <w:spacing w:line="206" w:lineRule="exact"/>
              <w:ind w:left="103" w:right="72"/>
              <w:jc w:val="left"/>
              <w:rPr>
                <w:sz w:val="18"/>
              </w:rPr>
            </w:pPr>
            <w:r>
              <w:rPr>
                <w:sz w:val="18"/>
              </w:rPr>
              <w:t>Eficiencia de la ingeniería; principios de eficiencia.</w:t>
            </w:r>
          </w:p>
        </w:tc>
      </w:tr>
    </w:tbl>
    <w:p>
      <w:pPr>
        <w:spacing w:after="0" w:line="206" w:lineRule="exact"/>
        <w:jc w:val="left"/>
        <w:rPr>
          <w:sz w:val="18"/>
        </w:rPr>
        <w:sectPr>
          <w:pgSz w:w="12240" w:h="15840"/>
          <w:pgMar w:header="0" w:footer="975" w:top="1360" w:bottom="1220" w:left="1600" w:right="1580"/>
        </w:sectPr>
      </w:pPr>
    </w:p>
    <w:tbl>
      <w:tblPr>
        <w:tblW w:w="0" w:type="auto"/>
        <w:jc w:val="left"/>
        <w:tblInd w:w="1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7"/>
        <w:gridCol w:w="1553"/>
        <w:gridCol w:w="5816"/>
      </w:tblGrid>
      <w:tr>
        <w:trPr>
          <w:trHeight w:val="217" w:hRule="exact"/>
        </w:trPr>
        <w:tc>
          <w:tcPr>
            <w:tcW w:w="8646" w:type="dxa"/>
            <w:gridSpan w:val="3"/>
            <w:shd w:val="clear" w:color="auto" w:fill="92D050"/>
          </w:tcPr>
          <w:p>
            <w:pPr>
              <w:pStyle w:val="TableParagraph"/>
              <w:spacing w:line="200" w:lineRule="exact"/>
              <w:ind w:left="1855"/>
              <w:jc w:val="left"/>
              <w:rPr>
                <w:b/>
                <w:sz w:val="18"/>
              </w:rPr>
            </w:pPr>
            <w:r>
              <w:rPr>
                <w:b/>
                <w:sz w:val="18"/>
              </w:rPr>
              <w:t>Tabla 1.13. Evolución de la administración (Finaliza tabla)</w:t>
            </w:r>
          </w:p>
        </w:tc>
      </w:tr>
      <w:tr>
        <w:trPr>
          <w:trHeight w:val="423" w:hRule="exact"/>
        </w:trPr>
        <w:tc>
          <w:tcPr>
            <w:tcW w:w="1277" w:type="dxa"/>
            <w:shd w:val="clear" w:color="auto" w:fill="92D050"/>
          </w:tcPr>
          <w:p>
            <w:pPr>
              <w:pStyle w:val="TableParagraph"/>
              <w:ind w:left="122" w:right="104" w:firstLine="335"/>
              <w:jc w:val="left"/>
              <w:rPr>
                <w:b/>
                <w:sz w:val="18"/>
              </w:rPr>
            </w:pPr>
            <w:r>
              <w:rPr>
                <w:b/>
                <w:sz w:val="18"/>
              </w:rPr>
              <w:t>Año aproximado</w:t>
            </w:r>
          </w:p>
        </w:tc>
        <w:tc>
          <w:tcPr>
            <w:tcW w:w="1553" w:type="dxa"/>
            <w:shd w:val="clear" w:color="auto" w:fill="92D050"/>
          </w:tcPr>
          <w:p>
            <w:pPr>
              <w:pStyle w:val="TableParagraph"/>
              <w:ind w:left="290" w:right="273"/>
              <w:jc w:val="left"/>
              <w:rPr>
                <w:b/>
                <w:sz w:val="18"/>
              </w:rPr>
            </w:pPr>
            <w:r>
              <w:rPr>
                <w:b/>
                <w:sz w:val="18"/>
              </w:rPr>
              <w:t>Individuo o civilización</w:t>
            </w:r>
          </w:p>
        </w:tc>
        <w:tc>
          <w:tcPr>
            <w:tcW w:w="5816" w:type="dxa"/>
            <w:shd w:val="clear" w:color="auto" w:fill="92D050"/>
          </w:tcPr>
          <w:p>
            <w:pPr>
              <w:pStyle w:val="TableParagraph"/>
              <w:spacing w:line="199" w:lineRule="exact"/>
              <w:ind w:left="861" w:right="72"/>
              <w:jc w:val="left"/>
              <w:rPr>
                <w:b/>
                <w:sz w:val="18"/>
              </w:rPr>
            </w:pPr>
            <w:r>
              <w:rPr>
                <w:b/>
                <w:sz w:val="18"/>
              </w:rPr>
              <w:t>Contribuciones importantes a la administración</w:t>
            </w:r>
          </w:p>
        </w:tc>
      </w:tr>
      <w:tr>
        <w:trPr>
          <w:trHeight w:val="425" w:hRule="exact"/>
        </w:trPr>
        <w:tc>
          <w:tcPr>
            <w:tcW w:w="1277" w:type="dxa"/>
          </w:tcPr>
          <w:p>
            <w:pPr>
              <w:pStyle w:val="TableParagraph"/>
              <w:spacing w:line="206" w:lineRule="exact"/>
              <w:ind w:left="197" w:right="197"/>
              <w:rPr>
                <w:sz w:val="18"/>
              </w:rPr>
            </w:pPr>
            <w:r>
              <w:rPr>
                <w:sz w:val="18"/>
              </w:rPr>
              <w:t>1915</w:t>
            </w:r>
          </w:p>
        </w:tc>
        <w:tc>
          <w:tcPr>
            <w:tcW w:w="1553" w:type="dxa"/>
          </w:tcPr>
          <w:p>
            <w:pPr>
              <w:pStyle w:val="TableParagraph"/>
              <w:spacing w:line="206" w:lineRule="exact"/>
              <w:ind w:left="424" w:right="273"/>
              <w:jc w:val="left"/>
              <w:rPr>
                <w:sz w:val="18"/>
              </w:rPr>
            </w:pPr>
            <w:r>
              <w:rPr>
                <w:sz w:val="18"/>
              </w:rPr>
              <w:t>M. Fayol</w:t>
            </w:r>
          </w:p>
        </w:tc>
        <w:tc>
          <w:tcPr>
            <w:tcW w:w="5816" w:type="dxa"/>
          </w:tcPr>
          <w:p>
            <w:pPr>
              <w:pStyle w:val="TableParagraph"/>
              <w:ind w:left="103" w:right="72"/>
              <w:jc w:val="left"/>
              <w:rPr>
                <w:sz w:val="18"/>
              </w:rPr>
            </w:pPr>
            <w:r>
              <w:rPr>
                <w:sz w:val="18"/>
              </w:rPr>
              <w:t>La administración; principios de administración; reconocimiento de la necesidad para que ésta sea enseñada en las escuelas.</w:t>
            </w:r>
          </w:p>
        </w:tc>
      </w:tr>
      <w:tr>
        <w:trPr>
          <w:trHeight w:val="631" w:hRule="exact"/>
        </w:trPr>
        <w:tc>
          <w:tcPr>
            <w:tcW w:w="1277" w:type="dxa"/>
          </w:tcPr>
          <w:p>
            <w:pPr>
              <w:pStyle w:val="TableParagraph"/>
              <w:spacing w:line="203" w:lineRule="exact"/>
              <w:ind w:left="197" w:right="197"/>
              <w:rPr>
                <w:sz w:val="18"/>
              </w:rPr>
            </w:pPr>
            <w:r>
              <w:rPr>
                <w:sz w:val="18"/>
              </w:rPr>
              <w:t>915</w:t>
            </w:r>
          </w:p>
        </w:tc>
        <w:tc>
          <w:tcPr>
            <w:tcW w:w="1553" w:type="dxa"/>
          </w:tcPr>
          <w:p>
            <w:pPr>
              <w:pStyle w:val="TableParagraph"/>
              <w:spacing w:line="203" w:lineRule="exact"/>
              <w:ind w:left="271"/>
              <w:jc w:val="left"/>
              <w:rPr>
                <w:sz w:val="18"/>
              </w:rPr>
            </w:pPr>
            <w:r>
              <w:rPr>
                <w:sz w:val="18"/>
              </w:rPr>
              <w:t>A.M. Church</w:t>
            </w:r>
          </w:p>
        </w:tc>
        <w:tc>
          <w:tcPr>
            <w:tcW w:w="5816" w:type="dxa"/>
          </w:tcPr>
          <w:p>
            <w:pPr>
              <w:pStyle w:val="TableParagraph"/>
              <w:ind w:left="103" w:right="103"/>
              <w:jc w:val="both"/>
              <w:rPr>
                <w:sz w:val="18"/>
              </w:rPr>
            </w:pPr>
            <w:r>
              <w:rPr>
                <w:sz w:val="18"/>
              </w:rPr>
              <w:t>Concepto funcional de la administración; primer norteamericano que explica</w:t>
            </w:r>
            <w:r>
              <w:rPr>
                <w:spacing w:val="-10"/>
                <w:sz w:val="18"/>
              </w:rPr>
              <w:t> </w:t>
            </w:r>
            <w:r>
              <w:rPr>
                <w:sz w:val="18"/>
              </w:rPr>
              <w:t>la</w:t>
            </w:r>
            <w:r>
              <w:rPr>
                <w:spacing w:val="-10"/>
                <w:sz w:val="18"/>
              </w:rPr>
              <w:t> </w:t>
            </w:r>
            <w:r>
              <w:rPr>
                <w:sz w:val="18"/>
              </w:rPr>
              <w:t>totalidad</w:t>
            </w:r>
            <w:r>
              <w:rPr>
                <w:spacing w:val="-10"/>
                <w:sz w:val="18"/>
              </w:rPr>
              <w:t> </w:t>
            </w:r>
            <w:r>
              <w:rPr>
                <w:sz w:val="18"/>
              </w:rPr>
              <w:t>de</w:t>
            </w:r>
            <w:r>
              <w:rPr>
                <w:spacing w:val="-12"/>
                <w:sz w:val="18"/>
              </w:rPr>
              <w:t> </w:t>
            </w:r>
            <w:r>
              <w:rPr>
                <w:sz w:val="18"/>
              </w:rPr>
              <w:t>los</w:t>
            </w:r>
            <w:r>
              <w:rPr>
                <w:spacing w:val="-12"/>
                <w:sz w:val="18"/>
              </w:rPr>
              <w:t> </w:t>
            </w:r>
            <w:r>
              <w:rPr>
                <w:sz w:val="18"/>
              </w:rPr>
              <w:t>conceptos</w:t>
            </w:r>
            <w:r>
              <w:rPr>
                <w:spacing w:val="-9"/>
                <w:sz w:val="18"/>
              </w:rPr>
              <w:t> </w:t>
            </w:r>
            <w:r>
              <w:rPr>
                <w:sz w:val="18"/>
              </w:rPr>
              <w:t>administrativos</w:t>
            </w:r>
            <w:r>
              <w:rPr>
                <w:spacing w:val="-9"/>
                <w:sz w:val="18"/>
              </w:rPr>
              <w:t> </w:t>
            </w:r>
            <w:r>
              <w:rPr>
                <w:sz w:val="18"/>
              </w:rPr>
              <w:t>relacionando</w:t>
            </w:r>
            <w:r>
              <w:rPr>
                <w:spacing w:val="-12"/>
                <w:sz w:val="18"/>
              </w:rPr>
              <w:t> </w:t>
            </w:r>
            <w:r>
              <w:rPr>
                <w:sz w:val="18"/>
              </w:rPr>
              <w:t>cada componente al</w:t>
            </w:r>
            <w:r>
              <w:rPr>
                <w:spacing w:val="-8"/>
                <w:sz w:val="18"/>
              </w:rPr>
              <w:t> </w:t>
            </w:r>
            <w:r>
              <w:rPr>
                <w:sz w:val="18"/>
              </w:rPr>
              <w:t>todo.</w:t>
            </w:r>
          </w:p>
        </w:tc>
      </w:tr>
      <w:tr>
        <w:trPr>
          <w:trHeight w:val="631" w:hRule="exact"/>
        </w:trPr>
        <w:tc>
          <w:tcPr>
            <w:tcW w:w="1277" w:type="dxa"/>
          </w:tcPr>
          <w:p>
            <w:pPr>
              <w:pStyle w:val="TableParagraph"/>
              <w:spacing w:line="203" w:lineRule="exact"/>
              <w:ind w:left="197" w:right="197"/>
              <w:rPr>
                <w:sz w:val="18"/>
              </w:rPr>
            </w:pPr>
            <w:r>
              <w:rPr>
                <w:sz w:val="18"/>
              </w:rPr>
              <w:t>1923</w:t>
            </w:r>
          </w:p>
        </w:tc>
        <w:tc>
          <w:tcPr>
            <w:tcW w:w="1553" w:type="dxa"/>
          </w:tcPr>
          <w:p>
            <w:pPr>
              <w:pStyle w:val="TableParagraph"/>
              <w:spacing w:line="203" w:lineRule="exact"/>
              <w:ind w:left="111" w:right="111"/>
              <w:rPr>
                <w:sz w:val="18"/>
              </w:rPr>
            </w:pPr>
            <w:r>
              <w:rPr>
                <w:sz w:val="18"/>
              </w:rPr>
              <w:t>Oliver Sheledon</w:t>
            </w:r>
          </w:p>
        </w:tc>
        <w:tc>
          <w:tcPr>
            <w:tcW w:w="5816" w:type="dxa"/>
          </w:tcPr>
          <w:p>
            <w:pPr>
              <w:pStyle w:val="TableParagraph"/>
              <w:ind w:left="103" w:right="104"/>
              <w:jc w:val="both"/>
              <w:rPr>
                <w:sz w:val="18"/>
              </w:rPr>
            </w:pPr>
            <w:r>
              <w:rPr>
                <w:sz w:val="18"/>
              </w:rPr>
              <w:t>Desarrolló una filosofía de la administración; mediante la definición de sus objetivos, la investigación, y la definición de principios para su práctica.</w:t>
            </w:r>
          </w:p>
        </w:tc>
      </w:tr>
      <w:tr>
        <w:trPr>
          <w:trHeight w:val="425" w:hRule="exact"/>
        </w:trPr>
        <w:tc>
          <w:tcPr>
            <w:tcW w:w="1277" w:type="dxa"/>
          </w:tcPr>
          <w:p>
            <w:pPr>
              <w:pStyle w:val="TableParagraph"/>
              <w:spacing w:line="203" w:lineRule="exact"/>
              <w:ind w:left="197" w:right="197"/>
              <w:rPr>
                <w:sz w:val="18"/>
              </w:rPr>
            </w:pPr>
            <w:r>
              <w:rPr>
                <w:sz w:val="18"/>
              </w:rPr>
              <w:t>1935</w:t>
            </w:r>
          </w:p>
        </w:tc>
        <w:tc>
          <w:tcPr>
            <w:tcW w:w="1553" w:type="dxa"/>
          </w:tcPr>
          <w:p>
            <w:pPr>
              <w:pStyle w:val="TableParagraph"/>
              <w:spacing w:line="203" w:lineRule="exact"/>
              <w:ind w:left="196"/>
              <w:jc w:val="left"/>
              <w:rPr>
                <w:sz w:val="18"/>
              </w:rPr>
            </w:pPr>
            <w:r>
              <w:rPr>
                <w:sz w:val="18"/>
              </w:rPr>
              <w:t>E. T. Elbourne</w:t>
            </w:r>
          </w:p>
        </w:tc>
        <w:tc>
          <w:tcPr>
            <w:tcW w:w="5816" w:type="dxa"/>
          </w:tcPr>
          <w:p>
            <w:pPr>
              <w:pStyle w:val="TableParagraph"/>
              <w:spacing w:line="206" w:lineRule="exact"/>
              <w:ind w:left="103" w:right="72"/>
              <w:jc w:val="left"/>
              <w:rPr>
                <w:sz w:val="18"/>
              </w:rPr>
            </w:pPr>
            <w:r>
              <w:rPr>
                <w:sz w:val="18"/>
              </w:rPr>
              <w:t>Su misión fue predicar una causa más que desarrollarla; promovió la nueva ciencia de la administración; publica algunas obras.</w:t>
            </w:r>
          </w:p>
        </w:tc>
      </w:tr>
      <w:tr>
        <w:trPr>
          <w:trHeight w:val="422" w:hRule="exact"/>
        </w:trPr>
        <w:tc>
          <w:tcPr>
            <w:tcW w:w="1277" w:type="dxa"/>
          </w:tcPr>
          <w:p>
            <w:pPr>
              <w:pStyle w:val="TableParagraph"/>
              <w:spacing w:line="203" w:lineRule="exact"/>
              <w:ind w:left="197" w:right="197"/>
              <w:rPr>
                <w:sz w:val="18"/>
              </w:rPr>
            </w:pPr>
            <w:r>
              <w:rPr>
                <w:sz w:val="18"/>
              </w:rPr>
              <w:t>1941</w:t>
            </w:r>
          </w:p>
        </w:tc>
        <w:tc>
          <w:tcPr>
            <w:tcW w:w="1553" w:type="dxa"/>
          </w:tcPr>
          <w:p>
            <w:pPr>
              <w:pStyle w:val="TableParagraph"/>
              <w:spacing w:line="203" w:lineRule="exact"/>
              <w:ind w:left="400" w:right="273"/>
              <w:jc w:val="left"/>
              <w:rPr>
                <w:sz w:val="18"/>
              </w:rPr>
            </w:pPr>
            <w:r>
              <w:rPr>
                <w:sz w:val="18"/>
              </w:rPr>
              <w:t>L. Urwick</w:t>
            </w:r>
          </w:p>
        </w:tc>
        <w:tc>
          <w:tcPr>
            <w:tcW w:w="5816" w:type="dxa"/>
          </w:tcPr>
          <w:p>
            <w:pPr>
              <w:pStyle w:val="TableParagraph"/>
              <w:spacing w:line="206" w:lineRule="exact"/>
              <w:ind w:left="103" w:right="72"/>
              <w:jc w:val="left"/>
              <w:rPr>
                <w:sz w:val="18"/>
              </w:rPr>
            </w:pPr>
            <w:r>
              <w:rPr>
                <w:sz w:val="18"/>
              </w:rPr>
              <w:t>Realizó valiosos razonamientos y síntesis y aportó elementos de la administración con un enfoque interesante.</w:t>
            </w:r>
          </w:p>
        </w:tc>
      </w:tr>
      <w:tr>
        <w:trPr>
          <w:trHeight w:val="632" w:hRule="exact"/>
        </w:trPr>
        <w:tc>
          <w:tcPr>
            <w:tcW w:w="1277" w:type="dxa"/>
          </w:tcPr>
          <w:p>
            <w:pPr>
              <w:pStyle w:val="TableParagraph"/>
              <w:spacing w:line="203" w:lineRule="exact"/>
              <w:ind w:left="197" w:right="197"/>
              <w:rPr>
                <w:sz w:val="18"/>
              </w:rPr>
            </w:pPr>
            <w:r>
              <w:rPr>
                <w:sz w:val="18"/>
              </w:rPr>
              <w:t>1947</w:t>
            </w:r>
          </w:p>
        </w:tc>
        <w:tc>
          <w:tcPr>
            <w:tcW w:w="1553" w:type="dxa"/>
          </w:tcPr>
          <w:p>
            <w:pPr>
              <w:pStyle w:val="TableParagraph"/>
              <w:spacing w:line="203" w:lineRule="exact"/>
              <w:ind w:left="110" w:right="111"/>
              <w:rPr>
                <w:sz w:val="18"/>
              </w:rPr>
            </w:pPr>
            <w:r>
              <w:rPr>
                <w:sz w:val="18"/>
              </w:rPr>
              <w:t>Brown</w:t>
            </w:r>
          </w:p>
        </w:tc>
        <w:tc>
          <w:tcPr>
            <w:tcW w:w="5816" w:type="dxa"/>
          </w:tcPr>
          <w:p>
            <w:pPr>
              <w:pStyle w:val="TableParagraph"/>
              <w:ind w:left="103" w:right="107"/>
              <w:jc w:val="both"/>
              <w:rPr>
                <w:sz w:val="18"/>
              </w:rPr>
            </w:pPr>
            <w:r>
              <w:rPr>
                <w:sz w:val="18"/>
              </w:rPr>
              <w:t>Investigó esencialmente la delegación de autoridad. Desarrolló una teoría</w:t>
            </w:r>
            <w:r>
              <w:rPr>
                <w:spacing w:val="-7"/>
                <w:sz w:val="18"/>
              </w:rPr>
              <w:t> </w:t>
            </w:r>
            <w:r>
              <w:rPr>
                <w:sz w:val="18"/>
              </w:rPr>
              <w:t>de</w:t>
            </w:r>
            <w:r>
              <w:rPr>
                <w:spacing w:val="-7"/>
                <w:sz w:val="18"/>
              </w:rPr>
              <w:t> </w:t>
            </w:r>
            <w:r>
              <w:rPr>
                <w:sz w:val="18"/>
              </w:rPr>
              <w:t>la</w:t>
            </w:r>
            <w:r>
              <w:rPr>
                <w:spacing w:val="-7"/>
                <w:sz w:val="18"/>
              </w:rPr>
              <w:t> </w:t>
            </w:r>
            <w:r>
              <w:rPr>
                <w:sz w:val="18"/>
              </w:rPr>
              <w:t>organización</w:t>
            </w:r>
            <w:r>
              <w:rPr>
                <w:spacing w:val="-5"/>
                <w:sz w:val="18"/>
              </w:rPr>
              <w:t> </w:t>
            </w:r>
            <w:r>
              <w:rPr>
                <w:sz w:val="18"/>
              </w:rPr>
              <w:t>y</w:t>
            </w:r>
            <w:r>
              <w:rPr>
                <w:spacing w:val="-7"/>
                <w:sz w:val="18"/>
              </w:rPr>
              <w:t> </w:t>
            </w:r>
            <w:r>
              <w:rPr>
                <w:sz w:val="18"/>
              </w:rPr>
              <w:t>dividir</w:t>
            </w:r>
            <w:r>
              <w:rPr>
                <w:spacing w:val="-5"/>
                <w:sz w:val="18"/>
              </w:rPr>
              <w:t> </w:t>
            </w:r>
            <w:r>
              <w:rPr>
                <w:sz w:val="18"/>
              </w:rPr>
              <w:t>las</w:t>
            </w:r>
            <w:r>
              <w:rPr>
                <w:spacing w:val="-7"/>
                <w:sz w:val="18"/>
              </w:rPr>
              <w:t> </w:t>
            </w:r>
            <w:r>
              <w:rPr>
                <w:sz w:val="18"/>
              </w:rPr>
              <w:t>funciones</w:t>
            </w:r>
            <w:r>
              <w:rPr>
                <w:spacing w:val="-4"/>
                <w:sz w:val="18"/>
              </w:rPr>
              <w:t> </w:t>
            </w:r>
            <w:r>
              <w:rPr>
                <w:sz w:val="18"/>
              </w:rPr>
              <w:t>de</w:t>
            </w:r>
            <w:r>
              <w:rPr>
                <w:spacing w:val="-7"/>
                <w:sz w:val="18"/>
              </w:rPr>
              <w:t> </w:t>
            </w:r>
            <w:r>
              <w:rPr>
                <w:sz w:val="18"/>
              </w:rPr>
              <w:t>la</w:t>
            </w:r>
            <w:r>
              <w:rPr>
                <w:spacing w:val="-7"/>
                <w:sz w:val="18"/>
              </w:rPr>
              <w:t> </w:t>
            </w:r>
            <w:r>
              <w:rPr>
                <w:sz w:val="18"/>
              </w:rPr>
              <w:t>administración</w:t>
            </w:r>
            <w:r>
              <w:rPr>
                <w:spacing w:val="-7"/>
                <w:sz w:val="18"/>
              </w:rPr>
              <w:t> </w:t>
            </w:r>
            <w:r>
              <w:rPr>
                <w:sz w:val="18"/>
              </w:rPr>
              <w:t>en términos de fases: planear, hacer y</w:t>
            </w:r>
            <w:r>
              <w:rPr>
                <w:spacing w:val="-16"/>
                <w:sz w:val="18"/>
              </w:rPr>
              <w:t> </w:t>
            </w:r>
            <w:r>
              <w:rPr>
                <w:sz w:val="18"/>
              </w:rPr>
              <w:t>ver.</w:t>
            </w:r>
          </w:p>
        </w:tc>
      </w:tr>
    </w:tbl>
    <w:p>
      <w:pPr>
        <w:spacing w:line="175" w:lineRule="exact" w:before="0"/>
        <w:ind w:left="306" w:right="0" w:firstLine="0"/>
        <w:jc w:val="left"/>
        <w:rPr>
          <w:sz w:val="16"/>
        </w:rPr>
      </w:pPr>
      <w:r>
        <w:rPr>
          <w:b/>
          <w:sz w:val="16"/>
        </w:rPr>
        <w:t>Fuente: </w:t>
      </w:r>
      <w:r>
        <w:rPr>
          <w:sz w:val="16"/>
        </w:rPr>
        <w:t>Elaboración propia con referencia de Claud, S. George y Álvarez, M. (2005) y Rodríguez, J. (1990)</w:t>
      </w:r>
    </w:p>
    <w:p>
      <w:pPr>
        <w:pStyle w:val="BodyText"/>
        <w:rPr>
          <w:sz w:val="20"/>
        </w:rPr>
      </w:pPr>
    </w:p>
    <w:p>
      <w:pPr>
        <w:pStyle w:val="BodyText"/>
        <w:spacing w:before="3"/>
      </w:pPr>
    </w:p>
    <w:p>
      <w:pPr>
        <w:pStyle w:val="BodyText"/>
        <w:spacing w:line="360" w:lineRule="auto" w:before="69"/>
        <w:ind w:left="102" w:right="115"/>
        <w:jc w:val="both"/>
      </w:pPr>
      <w:r>
        <w:rPr/>
        <w:t>Sin</w:t>
      </w:r>
      <w:r>
        <w:rPr>
          <w:spacing w:val="-18"/>
        </w:rPr>
        <w:t> </w:t>
      </w:r>
      <w:r>
        <w:rPr/>
        <w:t>embargo,</w:t>
      </w:r>
      <w:r>
        <w:rPr>
          <w:spacing w:val="-18"/>
        </w:rPr>
        <w:t> </w:t>
      </w:r>
      <w:r>
        <w:rPr/>
        <w:t>la</w:t>
      </w:r>
      <w:r>
        <w:rPr>
          <w:spacing w:val="-18"/>
        </w:rPr>
        <w:t> </w:t>
      </w:r>
      <w:r>
        <w:rPr/>
        <w:t>mayoría</w:t>
      </w:r>
      <w:r>
        <w:rPr>
          <w:spacing w:val="-18"/>
        </w:rPr>
        <w:t> </w:t>
      </w:r>
      <w:r>
        <w:rPr/>
        <w:t>de</w:t>
      </w:r>
      <w:r>
        <w:rPr>
          <w:spacing w:val="-18"/>
        </w:rPr>
        <w:t> </w:t>
      </w:r>
      <w:r>
        <w:rPr/>
        <w:t>los</w:t>
      </w:r>
      <w:r>
        <w:rPr>
          <w:spacing w:val="-18"/>
        </w:rPr>
        <w:t> </w:t>
      </w:r>
      <w:r>
        <w:rPr/>
        <w:t>estudiosos</w:t>
      </w:r>
      <w:r>
        <w:rPr>
          <w:spacing w:val="-19"/>
        </w:rPr>
        <w:t> </w:t>
      </w:r>
      <w:r>
        <w:rPr/>
        <w:t>hace</w:t>
      </w:r>
      <w:r>
        <w:rPr>
          <w:spacing w:val="-18"/>
        </w:rPr>
        <w:t> </w:t>
      </w:r>
      <w:r>
        <w:rPr/>
        <w:t>referencia</w:t>
      </w:r>
      <w:r>
        <w:rPr>
          <w:spacing w:val="-18"/>
        </w:rPr>
        <w:t> </w:t>
      </w:r>
      <w:r>
        <w:rPr/>
        <w:t>al</w:t>
      </w:r>
      <w:r>
        <w:rPr>
          <w:spacing w:val="-19"/>
        </w:rPr>
        <w:t> </w:t>
      </w:r>
      <w:r>
        <w:rPr/>
        <w:t>siglo</w:t>
      </w:r>
      <w:r>
        <w:rPr>
          <w:spacing w:val="-18"/>
        </w:rPr>
        <w:t> </w:t>
      </w:r>
      <w:r>
        <w:rPr/>
        <w:t>XX</w:t>
      </w:r>
      <w:r>
        <w:rPr>
          <w:spacing w:val="-18"/>
        </w:rPr>
        <w:t> </w:t>
      </w:r>
      <w:r>
        <w:rPr/>
        <w:t>cuando</w:t>
      </w:r>
      <w:r>
        <w:rPr>
          <w:spacing w:val="-13"/>
        </w:rPr>
        <w:t> </w:t>
      </w:r>
      <w:r>
        <w:rPr/>
        <w:t>Taylor creó lo que conocemos como administración científica. En el que el método científico tenía que ser aplicado en la selección de trabajadores, de puestos, creación de ambiente apropiado, etcétera, para determinar apropiadamente el trabajo de cada hombre (Rodríguez, 1990 y Levin y Kirkpatrick,</w:t>
      </w:r>
      <w:r>
        <w:rPr>
          <w:spacing w:val="-27"/>
        </w:rPr>
        <w:t> </w:t>
      </w:r>
      <w:r>
        <w:rPr/>
        <w:t>1987).</w:t>
      </w:r>
    </w:p>
    <w:p>
      <w:pPr>
        <w:pStyle w:val="BodyText"/>
      </w:pPr>
    </w:p>
    <w:p>
      <w:pPr>
        <w:pStyle w:val="BodyText"/>
      </w:pPr>
    </w:p>
    <w:p>
      <w:pPr>
        <w:spacing w:line="276" w:lineRule="auto" w:before="186"/>
        <w:ind w:left="954" w:right="828" w:firstLine="0"/>
        <w:jc w:val="both"/>
        <w:rPr>
          <w:sz w:val="18"/>
        </w:rPr>
      </w:pPr>
      <w:r>
        <w:rPr>
          <w:sz w:val="18"/>
        </w:rPr>
        <w:t>Taylor dijo que los trabajadores debían ser seleccionados científicamente, adiestrados y asignados a aquellos puestos para los cuales estuvieran mejor capacitados, física y mentalmente. En segundo lugar, el trabajo debería ser analizado científicamente y no intuitivamente. Tercero, debería existir una cercana cooperación entre los que planifican el trabajo</w:t>
      </w:r>
      <w:r>
        <w:rPr>
          <w:spacing w:val="-4"/>
          <w:sz w:val="18"/>
        </w:rPr>
        <w:t> </w:t>
      </w:r>
      <w:r>
        <w:rPr>
          <w:sz w:val="18"/>
        </w:rPr>
        <w:t>y</w:t>
      </w:r>
      <w:r>
        <w:rPr>
          <w:spacing w:val="-6"/>
          <w:sz w:val="18"/>
        </w:rPr>
        <w:t> </w:t>
      </w:r>
      <w:r>
        <w:rPr>
          <w:sz w:val="18"/>
        </w:rPr>
        <w:t>los</w:t>
      </w:r>
      <w:r>
        <w:rPr>
          <w:spacing w:val="-6"/>
          <w:sz w:val="18"/>
        </w:rPr>
        <w:t> </w:t>
      </w:r>
      <w:r>
        <w:rPr>
          <w:sz w:val="18"/>
        </w:rPr>
        <w:t>que</w:t>
      </w:r>
      <w:r>
        <w:rPr>
          <w:spacing w:val="-6"/>
          <w:sz w:val="18"/>
        </w:rPr>
        <w:t> </w:t>
      </w:r>
      <w:r>
        <w:rPr>
          <w:sz w:val="18"/>
        </w:rPr>
        <w:t>lo</w:t>
      </w:r>
      <w:r>
        <w:rPr>
          <w:spacing w:val="-4"/>
          <w:sz w:val="18"/>
        </w:rPr>
        <w:t> </w:t>
      </w:r>
      <w:r>
        <w:rPr>
          <w:sz w:val="18"/>
        </w:rPr>
        <w:t>efectúan,</w:t>
      </w:r>
      <w:r>
        <w:rPr>
          <w:spacing w:val="-6"/>
          <w:sz w:val="18"/>
        </w:rPr>
        <w:t> </w:t>
      </w:r>
      <w:r>
        <w:rPr>
          <w:sz w:val="18"/>
        </w:rPr>
        <w:t>de</w:t>
      </w:r>
      <w:r>
        <w:rPr>
          <w:spacing w:val="-4"/>
          <w:sz w:val="18"/>
        </w:rPr>
        <w:t> </w:t>
      </w:r>
      <w:r>
        <w:rPr>
          <w:sz w:val="18"/>
        </w:rPr>
        <w:t>manera</w:t>
      </w:r>
      <w:r>
        <w:rPr>
          <w:spacing w:val="-4"/>
          <w:sz w:val="18"/>
        </w:rPr>
        <w:t> </w:t>
      </w:r>
      <w:r>
        <w:rPr>
          <w:sz w:val="18"/>
        </w:rPr>
        <w:t>que</w:t>
      </w:r>
      <w:r>
        <w:rPr>
          <w:spacing w:val="-4"/>
          <w:sz w:val="18"/>
        </w:rPr>
        <w:t> </w:t>
      </w:r>
      <w:r>
        <w:rPr>
          <w:sz w:val="18"/>
        </w:rPr>
        <w:t>el</w:t>
      </w:r>
      <w:r>
        <w:rPr>
          <w:spacing w:val="-4"/>
          <w:sz w:val="18"/>
        </w:rPr>
        <w:t> </w:t>
      </w:r>
      <w:r>
        <w:rPr>
          <w:sz w:val="18"/>
        </w:rPr>
        <w:t>trabajo</w:t>
      </w:r>
      <w:r>
        <w:rPr>
          <w:spacing w:val="-6"/>
          <w:sz w:val="18"/>
        </w:rPr>
        <w:t> </w:t>
      </w:r>
      <w:r>
        <w:rPr>
          <w:sz w:val="18"/>
        </w:rPr>
        <w:t>pueda</w:t>
      </w:r>
      <w:r>
        <w:rPr>
          <w:spacing w:val="-6"/>
          <w:sz w:val="18"/>
        </w:rPr>
        <w:t> </w:t>
      </w:r>
      <w:r>
        <w:rPr>
          <w:sz w:val="18"/>
        </w:rPr>
        <w:t>ser</w:t>
      </w:r>
      <w:r>
        <w:rPr>
          <w:spacing w:val="-4"/>
          <w:sz w:val="18"/>
        </w:rPr>
        <w:t> </w:t>
      </w:r>
      <w:r>
        <w:rPr>
          <w:sz w:val="18"/>
        </w:rPr>
        <w:t>hecho</w:t>
      </w:r>
      <w:r>
        <w:rPr>
          <w:spacing w:val="-4"/>
          <w:sz w:val="18"/>
        </w:rPr>
        <w:t> </w:t>
      </w:r>
      <w:r>
        <w:rPr>
          <w:sz w:val="18"/>
        </w:rPr>
        <w:t>de</w:t>
      </w:r>
      <w:r>
        <w:rPr>
          <w:spacing w:val="-6"/>
          <w:sz w:val="18"/>
        </w:rPr>
        <w:t> </w:t>
      </w:r>
      <w:r>
        <w:rPr>
          <w:sz w:val="18"/>
        </w:rPr>
        <w:t>acuerdo</w:t>
      </w:r>
      <w:r>
        <w:rPr>
          <w:spacing w:val="-6"/>
          <w:sz w:val="18"/>
        </w:rPr>
        <w:t> </w:t>
      </w:r>
      <w:r>
        <w:rPr>
          <w:sz w:val="18"/>
        </w:rPr>
        <w:t>con</w:t>
      </w:r>
      <w:r>
        <w:rPr>
          <w:spacing w:val="-6"/>
          <w:sz w:val="18"/>
        </w:rPr>
        <w:t> </w:t>
      </w:r>
      <w:r>
        <w:rPr>
          <w:sz w:val="18"/>
        </w:rPr>
        <w:t>los principios desarrollados en su análisis científico. Y finalmente, la administración y la mano de obra debían compartir igual responsabilidad (Claud y Álvarez,</w:t>
      </w:r>
      <w:r>
        <w:rPr>
          <w:spacing w:val="-29"/>
          <w:sz w:val="18"/>
        </w:rPr>
        <w:t> </w:t>
      </w:r>
      <w:r>
        <w:rPr>
          <w:sz w:val="18"/>
        </w:rPr>
        <w:t>2005:132).</w:t>
      </w:r>
    </w:p>
    <w:p>
      <w:pPr>
        <w:pStyle w:val="BodyText"/>
        <w:rPr>
          <w:sz w:val="18"/>
        </w:rPr>
      </w:pPr>
    </w:p>
    <w:p>
      <w:pPr>
        <w:pStyle w:val="BodyText"/>
        <w:rPr>
          <w:sz w:val="18"/>
        </w:rPr>
      </w:pPr>
    </w:p>
    <w:p>
      <w:pPr>
        <w:pStyle w:val="BodyText"/>
        <w:rPr>
          <w:sz w:val="18"/>
        </w:rPr>
      </w:pPr>
    </w:p>
    <w:p>
      <w:pPr>
        <w:pStyle w:val="BodyText"/>
        <w:spacing w:line="360" w:lineRule="auto" w:before="115"/>
        <w:ind w:left="102" w:right="122"/>
        <w:jc w:val="both"/>
      </w:pPr>
      <w:r>
        <w:rPr/>
        <w:t>En este sentido, cabe hacer mención que los valores de eficiencia y la administración impersonal, aunados a la orden de ponerlos en práctica en el gobierno, constituyeron, a principios del siglo XX, un sistema de creencias apremiante. A este sistema se le puede llamar visión de la reforma burocrática (Barzelay, 1998).</w:t>
      </w:r>
    </w:p>
    <w:p>
      <w:pPr>
        <w:spacing w:after="0" w:line="360" w:lineRule="auto"/>
        <w:jc w:val="both"/>
        <w:sectPr>
          <w:pgSz w:w="12240" w:h="15840"/>
          <w:pgMar w:header="0" w:footer="975" w:top="1420" w:bottom="1220" w:left="1600" w:right="1580"/>
        </w:sectPr>
      </w:pPr>
    </w:p>
    <w:p>
      <w:pPr>
        <w:pStyle w:val="BodyText"/>
        <w:spacing w:line="360" w:lineRule="auto" w:before="54"/>
        <w:ind w:left="122" w:right="121"/>
        <w:jc w:val="both"/>
      </w:pPr>
      <w:r>
        <w:rPr/>
        <w:t>Por otra parte, cabe hacer mención que al igual que las organizaciones se fueron especializando en cuestiones administrativas, el Estado hizo lo propio. También adoptó nuevas formas de organizar la administración pública, dicho proceso se describe a continuación.</w:t>
      </w:r>
    </w:p>
    <w:p>
      <w:pPr>
        <w:pStyle w:val="BodyText"/>
      </w:pPr>
    </w:p>
    <w:p>
      <w:pPr>
        <w:pStyle w:val="BodyText"/>
      </w:pPr>
    </w:p>
    <w:p>
      <w:pPr>
        <w:pStyle w:val="Heading1"/>
        <w:numPr>
          <w:ilvl w:val="2"/>
          <w:numId w:val="7"/>
        </w:numPr>
        <w:tabs>
          <w:tab w:pos="830" w:val="left" w:leader="none"/>
        </w:tabs>
        <w:spacing w:line="240" w:lineRule="auto" w:before="185" w:after="0"/>
        <w:ind w:left="830" w:right="0" w:hanging="720"/>
        <w:jc w:val="both"/>
      </w:pPr>
      <w:r>
        <w:rPr/>
        <w:t>Generalidades de la Administración</w:t>
      </w:r>
      <w:r>
        <w:rPr>
          <w:spacing w:val="-11"/>
        </w:rPr>
        <w:t> </w:t>
      </w:r>
      <w:r>
        <w:rPr/>
        <w:t>Pública</w:t>
      </w:r>
    </w:p>
    <w:p>
      <w:pPr>
        <w:pStyle w:val="BodyText"/>
        <w:rPr>
          <w:b/>
        </w:rPr>
      </w:pPr>
    </w:p>
    <w:p>
      <w:pPr>
        <w:pStyle w:val="BodyText"/>
        <w:rPr>
          <w:b/>
        </w:rPr>
      </w:pPr>
    </w:p>
    <w:p>
      <w:pPr>
        <w:pStyle w:val="BodyText"/>
        <w:spacing w:line="360" w:lineRule="auto" w:before="161"/>
        <w:ind w:left="122" w:right="116"/>
        <w:jc w:val="both"/>
      </w:pPr>
      <w:r>
        <w:rPr/>
        <w:t>La Administración Pública, de acuerdo con la Real Academia Española es “Un conjunto de organismos del gobierno de una nación”. En este sentido tiene pertinencia destacar que en el caso mexicano se deben considerar dos formas de organización del gobierno: primero, por orden de gobierno que puede ser federal, estatal o municipal. Segundo, por la figura de ostenta el poder puede ser ejecutivo, legislativo y judicial.</w:t>
      </w:r>
    </w:p>
    <w:p>
      <w:pPr>
        <w:pStyle w:val="BodyText"/>
      </w:pPr>
    </w:p>
    <w:p>
      <w:pPr>
        <w:pStyle w:val="BodyText"/>
      </w:pPr>
    </w:p>
    <w:p>
      <w:pPr>
        <w:pStyle w:val="BodyText"/>
        <w:spacing w:line="360" w:lineRule="auto" w:before="187"/>
        <w:ind w:left="122" w:right="115"/>
        <w:jc w:val="both"/>
      </w:pPr>
      <w:r>
        <w:rPr/>
        <w:t>Después</w:t>
      </w:r>
      <w:r>
        <w:rPr>
          <w:spacing w:val="-13"/>
        </w:rPr>
        <w:t> </w:t>
      </w:r>
      <w:r>
        <w:rPr/>
        <w:t>de</w:t>
      </w:r>
      <w:r>
        <w:rPr>
          <w:spacing w:val="-12"/>
        </w:rPr>
        <w:t> </w:t>
      </w:r>
      <w:r>
        <w:rPr/>
        <w:t>la</w:t>
      </w:r>
      <w:r>
        <w:rPr>
          <w:spacing w:val="-10"/>
        </w:rPr>
        <w:t> </w:t>
      </w:r>
      <w:r>
        <w:rPr/>
        <w:t>Segunda</w:t>
      </w:r>
      <w:r>
        <w:rPr>
          <w:spacing w:val="-9"/>
        </w:rPr>
        <w:t> </w:t>
      </w:r>
      <w:r>
        <w:rPr/>
        <w:t>Guerra</w:t>
      </w:r>
      <w:r>
        <w:rPr>
          <w:spacing w:val="-9"/>
        </w:rPr>
        <w:t> </w:t>
      </w:r>
      <w:r>
        <w:rPr/>
        <w:t>Mundial</w:t>
      </w:r>
      <w:r>
        <w:rPr>
          <w:spacing w:val="-11"/>
        </w:rPr>
        <w:t> </w:t>
      </w:r>
      <w:r>
        <w:rPr/>
        <w:t>el</w:t>
      </w:r>
      <w:r>
        <w:rPr>
          <w:spacing w:val="-11"/>
        </w:rPr>
        <w:t> </w:t>
      </w:r>
      <w:r>
        <w:rPr/>
        <w:t>concepto</w:t>
      </w:r>
      <w:r>
        <w:rPr>
          <w:spacing w:val="-9"/>
        </w:rPr>
        <w:t> </w:t>
      </w:r>
      <w:r>
        <w:rPr/>
        <w:t>de</w:t>
      </w:r>
      <w:r>
        <w:rPr>
          <w:spacing w:val="-9"/>
        </w:rPr>
        <w:t> </w:t>
      </w:r>
      <w:r>
        <w:rPr/>
        <w:t>la</w:t>
      </w:r>
      <w:r>
        <w:rPr>
          <w:spacing w:val="-12"/>
        </w:rPr>
        <w:t> </w:t>
      </w:r>
      <w:r>
        <w:rPr/>
        <w:t>administración</w:t>
      </w:r>
      <w:r>
        <w:rPr>
          <w:spacing w:val="-11"/>
        </w:rPr>
        <w:t> </w:t>
      </w:r>
      <w:r>
        <w:rPr/>
        <w:t>pública</w:t>
      </w:r>
      <w:r>
        <w:rPr>
          <w:spacing w:val="-12"/>
        </w:rPr>
        <w:t> </w:t>
      </w:r>
      <w:r>
        <w:rPr/>
        <w:t>se expandió por todo el mundo, la división de administración de políticas fue rechazada, abriendo así una gran área nueva para su estudio: la formulación de políticas</w:t>
      </w:r>
      <w:r>
        <w:rPr>
          <w:spacing w:val="-17"/>
        </w:rPr>
        <w:t> </w:t>
      </w:r>
      <w:r>
        <w:rPr/>
        <w:t>de</w:t>
      </w:r>
      <w:r>
        <w:rPr>
          <w:spacing w:val="-17"/>
        </w:rPr>
        <w:t> </w:t>
      </w:r>
      <w:r>
        <w:rPr/>
        <w:t>administración.</w:t>
      </w:r>
      <w:r>
        <w:rPr>
          <w:spacing w:val="-17"/>
        </w:rPr>
        <w:t> </w:t>
      </w:r>
      <w:r>
        <w:rPr/>
        <w:t>Los</w:t>
      </w:r>
      <w:r>
        <w:rPr>
          <w:spacing w:val="-17"/>
        </w:rPr>
        <w:t> </w:t>
      </w:r>
      <w:r>
        <w:rPr/>
        <w:t>juicios</w:t>
      </w:r>
      <w:r>
        <w:rPr>
          <w:spacing w:val="-17"/>
        </w:rPr>
        <w:t> </w:t>
      </w:r>
      <w:r>
        <w:rPr/>
        <w:t>de</w:t>
      </w:r>
      <w:r>
        <w:rPr>
          <w:spacing w:val="-17"/>
        </w:rPr>
        <w:t> </w:t>
      </w:r>
      <w:r>
        <w:rPr/>
        <w:t>valor</w:t>
      </w:r>
      <w:r>
        <w:rPr>
          <w:spacing w:val="-18"/>
        </w:rPr>
        <w:t> </w:t>
      </w:r>
      <w:r>
        <w:rPr/>
        <w:t>de</w:t>
      </w:r>
      <w:r>
        <w:rPr>
          <w:spacing w:val="-17"/>
        </w:rPr>
        <w:t> </w:t>
      </w:r>
      <w:r>
        <w:rPr/>
        <w:t>los</w:t>
      </w:r>
      <w:r>
        <w:rPr>
          <w:spacing w:val="-17"/>
        </w:rPr>
        <w:t> </w:t>
      </w:r>
      <w:r>
        <w:rPr/>
        <w:t>administradores,</w:t>
      </w:r>
      <w:r>
        <w:rPr>
          <w:spacing w:val="-17"/>
        </w:rPr>
        <w:t> </w:t>
      </w:r>
      <w:r>
        <w:rPr/>
        <w:t>los</w:t>
      </w:r>
      <w:r>
        <w:rPr>
          <w:spacing w:val="-17"/>
        </w:rPr>
        <w:t> </w:t>
      </w:r>
      <w:r>
        <w:rPr/>
        <w:t>conflictos de objetivos, las luchas de poder y las relaciones con los grupos de presión y legisladores</w:t>
      </w:r>
      <w:r>
        <w:rPr>
          <w:spacing w:val="-6"/>
        </w:rPr>
        <w:t> </w:t>
      </w:r>
      <w:r>
        <w:rPr/>
        <w:t>se</w:t>
      </w:r>
      <w:r>
        <w:rPr>
          <w:spacing w:val="-6"/>
        </w:rPr>
        <w:t> </w:t>
      </w:r>
      <w:r>
        <w:rPr/>
        <w:t>convirtieron</w:t>
      </w:r>
      <w:r>
        <w:rPr>
          <w:spacing w:val="-6"/>
        </w:rPr>
        <w:t> </w:t>
      </w:r>
      <w:r>
        <w:rPr/>
        <w:t>en</w:t>
      </w:r>
      <w:r>
        <w:rPr>
          <w:spacing w:val="-8"/>
        </w:rPr>
        <w:t> </w:t>
      </w:r>
      <w:r>
        <w:rPr/>
        <w:t>elementos</w:t>
      </w:r>
      <w:r>
        <w:rPr>
          <w:spacing w:val="-7"/>
        </w:rPr>
        <w:t> </w:t>
      </w:r>
      <w:r>
        <w:rPr/>
        <w:t>esenciales</w:t>
      </w:r>
      <w:r>
        <w:rPr>
          <w:spacing w:val="-7"/>
        </w:rPr>
        <w:t> </w:t>
      </w:r>
      <w:r>
        <w:rPr/>
        <w:t>para</w:t>
      </w:r>
      <w:r>
        <w:rPr>
          <w:spacing w:val="-7"/>
        </w:rPr>
        <w:t> </w:t>
      </w:r>
      <w:r>
        <w:rPr/>
        <w:t>el</w:t>
      </w:r>
      <w:r>
        <w:rPr>
          <w:spacing w:val="-7"/>
        </w:rPr>
        <w:t> </w:t>
      </w:r>
      <w:r>
        <w:rPr/>
        <w:t>estudio</w:t>
      </w:r>
      <w:r>
        <w:rPr>
          <w:spacing w:val="-9"/>
        </w:rPr>
        <w:t> </w:t>
      </w:r>
      <w:r>
        <w:rPr/>
        <w:t>administrativo. En este sentido, la administración pública es aquella</w:t>
      </w:r>
      <w:r>
        <w:rPr>
          <w:spacing w:val="-16"/>
        </w:rPr>
        <w:t> </w:t>
      </w:r>
      <w:r>
        <w:rPr/>
        <w:t>que:</w:t>
      </w:r>
    </w:p>
    <w:p>
      <w:pPr>
        <w:pStyle w:val="BodyText"/>
      </w:pPr>
    </w:p>
    <w:p>
      <w:pPr>
        <w:pStyle w:val="BodyText"/>
      </w:pPr>
    </w:p>
    <w:p>
      <w:pPr>
        <w:pStyle w:val="ListParagraph"/>
        <w:numPr>
          <w:ilvl w:val="0"/>
          <w:numId w:val="9"/>
        </w:numPr>
        <w:tabs>
          <w:tab w:pos="550" w:val="left" w:leader="none"/>
        </w:tabs>
        <w:spacing w:line="240" w:lineRule="auto" w:before="187" w:after="0"/>
        <w:ind w:left="549" w:right="0" w:hanging="360"/>
        <w:jc w:val="both"/>
        <w:rPr>
          <w:sz w:val="24"/>
        </w:rPr>
      </w:pPr>
      <w:r>
        <w:rPr>
          <w:sz w:val="24"/>
        </w:rPr>
        <w:t>Es un esfuerzo de grupo cooperativo en un lugar</w:t>
      </w:r>
      <w:r>
        <w:rPr>
          <w:spacing w:val="-27"/>
          <w:sz w:val="24"/>
        </w:rPr>
        <w:t> </w:t>
      </w:r>
      <w:r>
        <w:rPr>
          <w:sz w:val="24"/>
        </w:rPr>
        <w:t>público.</w:t>
      </w:r>
    </w:p>
    <w:p>
      <w:pPr>
        <w:pStyle w:val="ListParagraph"/>
        <w:numPr>
          <w:ilvl w:val="0"/>
          <w:numId w:val="9"/>
        </w:numPr>
        <w:tabs>
          <w:tab w:pos="550" w:val="left" w:leader="none"/>
        </w:tabs>
        <w:spacing w:line="240" w:lineRule="auto" w:before="137" w:after="0"/>
        <w:ind w:left="549" w:right="0" w:hanging="360"/>
        <w:jc w:val="both"/>
        <w:rPr>
          <w:sz w:val="24"/>
        </w:rPr>
      </w:pPr>
      <w:r>
        <w:rPr>
          <w:sz w:val="24"/>
        </w:rPr>
        <w:t>Cubre los tres poderes - ejecutivo, legislativo y jurídico-y sus</w:t>
      </w:r>
      <w:r>
        <w:rPr>
          <w:spacing w:val="-20"/>
          <w:sz w:val="24"/>
        </w:rPr>
        <w:t> </w:t>
      </w:r>
      <w:r>
        <w:rPr>
          <w:sz w:val="24"/>
        </w:rPr>
        <w:t>interrelaciones.</w:t>
      </w:r>
    </w:p>
    <w:p>
      <w:pPr>
        <w:pStyle w:val="ListParagraph"/>
        <w:numPr>
          <w:ilvl w:val="0"/>
          <w:numId w:val="9"/>
        </w:numPr>
        <w:tabs>
          <w:tab w:pos="550" w:val="left" w:leader="none"/>
        </w:tabs>
        <w:spacing w:line="360" w:lineRule="auto" w:before="139" w:after="0"/>
        <w:ind w:left="549" w:right="120" w:hanging="360"/>
        <w:jc w:val="left"/>
        <w:rPr>
          <w:sz w:val="24"/>
        </w:rPr>
      </w:pPr>
      <w:r>
        <w:rPr>
          <w:sz w:val="24"/>
        </w:rPr>
        <w:t>Tiene un papel importante en la formulación de políticas públicas y es por lo tanto una parte del proceso</w:t>
      </w:r>
      <w:r>
        <w:rPr>
          <w:spacing w:val="-17"/>
          <w:sz w:val="24"/>
        </w:rPr>
        <w:t> </w:t>
      </w:r>
      <w:r>
        <w:rPr>
          <w:sz w:val="24"/>
        </w:rPr>
        <w:t>político.</w:t>
      </w:r>
    </w:p>
    <w:p>
      <w:pPr>
        <w:pStyle w:val="ListParagraph"/>
        <w:numPr>
          <w:ilvl w:val="0"/>
          <w:numId w:val="9"/>
        </w:numPr>
        <w:tabs>
          <w:tab w:pos="550" w:val="left" w:leader="none"/>
        </w:tabs>
        <w:spacing w:line="240" w:lineRule="auto" w:before="5" w:after="0"/>
        <w:ind w:left="549" w:right="0" w:hanging="360"/>
        <w:jc w:val="both"/>
        <w:rPr>
          <w:sz w:val="24"/>
        </w:rPr>
      </w:pPr>
      <w:r>
        <w:rPr>
          <w:sz w:val="24"/>
        </w:rPr>
        <w:t>Es diferente de manera significativa de la administración</w:t>
      </w:r>
      <w:r>
        <w:rPr>
          <w:spacing w:val="-24"/>
          <w:sz w:val="24"/>
        </w:rPr>
        <w:t> </w:t>
      </w:r>
      <w:r>
        <w:rPr>
          <w:sz w:val="24"/>
        </w:rPr>
        <w:t>privada.</w:t>
      </w:r>
    </w:p>
    <w:p>
      <w:pPr>
        <w:pStyle w:val="ListParagraph"/>
        <w:numPr>
          <w:ilvl w:val="0"/>
          <w:numId w:val="9"/>
        </w:numPr>
        <w:tabs>
          <w:tab w:pos="550" w:val="left" w:leader="none"/>
        </w:tabs>
        <w:spacing w:line="360" w:lineRule="auto" w:before="136" w:after="0"/>
        <w:ind w:left="549" w:right="121" w:hanging="360"/>
        <w:jc w:val="left"/>
        <w:rPr>
          <w:sz w:val="24"/>
        </w:rPr>
      </w:pPr>
      <w:r>
        <w:rPr>
          <w:sz w:val="24"/>
        </w:rPr>
        <w:t>Está estrechamente asociada con numerosos grupos privados e individuos en la prestación de servicios a la comunidad (Nigro,</w:t>
      </w:r>
      <w:r>
        <w:rPr>
          <w:spacing w:val="-20"/>
          <w:sz w:val="24"/>
        </w:rPr>
        <w:t> </w:t>
      </w:r>
      <w:r>
        <w:rPr>
          <w:sz w:val="24"/>
        </w:rPr>
        <w:t>1970:20-21).</w:t>
      </w:r>
    </w:p>
    <w:p>
      <w:pPr>
        <w:spacing w:after="0" w:line="360" w:lineRule="auto"/>
        <w:jc w:val="left"/>
        <w:rPr>
          <w:sz w:val="24"/>
        </w:rPr>
        <w:sectPr>
          <w:pgSz w:w="12240" w:h="15840"/>
          <w:pgMar w:header="0" w:footer="975" w:top="1360" w:bottom="1220" w:left="1580" w:right="1580"/>
        </w:sectPr>
      </w:pPr>
    </w:p>
    <w:p>
      <w:pPr>
        <w:pStyle w:val="BodyText"/>
        <w:spacing w:line="362" w:lineRule="auto" w:before="54"/>
        <w:ind w:left="102"/>
      </w:pPr>
      <w:r>
        <w:rPr/>
        <w:t>Dentro de los principales estudiosos de la Administración Pública podemos mencionar a los siguientes:</w:t>
      </w:r>
    </w:p>
    <w:p>
      <w:pPr>
        <w:pStyle w:val="BodyText"/>
      </w:pPr>
    </w:p>
    <w:p>
      <w:pPr>
        <w:pStyle w:val="BodyText"/>
      </w:pPr>
    </w:p>
    <w:p>
      <w:pPr>
        <w:pStyle w:val="BodyText"/>
        <w:spacing w:line="360" w:lineRule="auto" w:before="180"/>
        <w:ind w:left="102" w:right="115"/>
        <w:jc w:val="both"/>
      </w:pPr>
      <w:r>
        <w:rPr/>
        <w:t>Alexis de Tocqueville a través de sus dos obras fundamentales: </w:t>
      </w:r>
      <w:r>
        <w:rPr>
          <w:i/>
        </w:rPr>
        <w:t>El federalista y La </w:t>
      </w:r>
      <w:r>
        <w:rPr>
          <w:i/>
        </w:rPr>
        <w:t>democracia en América</w:t>
      </w:r>
      <w:r>
        <w:rPr/>
        <w:t>, influyeron a los hombres que integraron la generación del período</w:t>
      </w:r>
      <w:r>
        <w:rPr>
          <w:spacing w:val="-17"/>
        </w:rPr>
        <w:t> </w:t>
      </w:r>
      <w:r>
        <w:rPr/>
        <w:t>de</w:t>
      </w:r>
      <w:r>
        <w:rPr>
          <w:spacing w:val="-17"/>
        </w:rPr>
        <w:t> </w:t>
      </w:r>
      <w:r>
        <w:rPr/>
        <w:t>Reforma</w:t>
      </w:r>
      <w:r>
        <w:rPr>
          <w:spacing w:val="-19"/>
        </w:rPr>
        <w:t> </w:t>
      </w:r>
      <w:r>
        <w:rPr/>
        <w:t>en</w:t>
      </w:r>
      <w:r>
        <w:rPr>
          <w:spacing w:val="-19"/>
        </w:rPr>
        <w:t> </w:t>
      </w:r>
      <w:r>
        <w:rPr/>
        <w:t>México,</w:t>
      </w:r>
      <w:r>
        <w:rPr>
          <w:spacing w:val="-17"/>
        </w:rPr>
        <w:t> </w:t>
      </w:r>
      <w:r>
        <w:rPr/>
        <w:t>forjada</w:t>
      </w:r>
      <w:r>
        <w:rPr>
          <w:spacing w:val="-17"/>
        </w:rPr>
        <w:t> </w:t>
      </w:r>
      <w:r>
        <w:rPr/>
        <w:t>de</w:t>
      </w:r>
      <w:r>
        <w:rPr>
          <w:spacing w:val="-17"/>
        </w:rPr>
        <w:t> </w:t>
      </w:r>
      <w:r>
        <w:rPr/>
        <w:t>instituciones</w:t>
      </w:r>
      <w:r>
        <w:rPr>
          <w:spacing w:val="-20"/>
        </w:rPr>
        <w:t> </w:t>
      </w:r>
      <w:r>
        <w:rPr/>
        <w:t>políticas</w:t>
      </w:r>
      <w:r>
        <w:rPr>
          <w:spacing w:val="-17"/>
        </w:rPr>
        <w:t> </w:t>
      </w:r>
      <w:r>
        <w:rPr/>
        <w:t>vitales</w:t>
      </w:r>
      <w:r>
        <w:rPr>
          <w:spacing w:val="-17"/>
        </w:rPr>
        <w:t> </w:t>
      </w:r>
      <w:r>
        <w:rPr/>
        <w:t>para</w:t>
      </w:r>
      <w:r>
        <w:rPr>
          <w:spacing w:val="-20"/>
        </w:rPr>
        <w:t> </w:t>
      </w:r>
      <w:r>
        <w:rPr/>
        <w:t>nuestro país. En su obra más conocida, </w:t>
      </w:r>
      <w:r>
        <w:rPr>
          <w:i/>
        </w:rPr>
        <w:t>La democracia en América</w:t>
      </w:r>
      <w:r>
        <w:rPr/>
        <w:t>, Tocqueville aborda cinco</w:t>
      </w:r>
      <w:r>
        <w:rPr>
          <w:spacing w:val="-14"/>
        </w:rPr>
        <w:t> </w:t>
      </w:r>
      <w:r>
        <w:rPr/>
        <w:t>aspectos</w:t>
      </w:r>
      <w:r>
        <w:rPr>
          <w:spacing w:val="-15"/>
        </w:rPr>
        <w:t> </w:t>
      </w:r>
      <w:r>
        <w:rPr/>
        <w:t>que</w:t>
      </w:r>
      <w:r>
        <w:rPr>
          <w:spacing w:val="-16"/>
        </w:rPr>
        <w:t> </w:t>
      </w:r>
      <w:r>
        <w:rPr/>
        <w:t>básicamente</w:t>
      </w:r>
      <w:r>
        <w:rPr>
          <w:spacing w:val="-16"/>
        </w:rPr>
        <w:t> </w:t>
      </w:r>
      <w:r>
        <w:rPr/>
        <w:t>se</w:t>
      </w:r>
      <w:r>
        <w:rPr>
          <w:spacing w:val="-16"/>
        </w:rPr>
        <w:t> </w:t>
      </w:r>
      <w:r>
        <w:rPr/>
        <w:t>refieren</w:t>
      </w:r>
      <w:r>
        <w:rPr>
          <w:spacing w:val="-17"/>
        </w:rPr>
        <w:t> </w:t>
      </w:r>
      <w:r>
        <w:rPr/>
        <w:t>a</w:t>
      </w:r>
      <w:r>
        <w:rPr>
          <w:spacing w:val="-14"/>
        </w:rPr>
        <w:t> </w:t>
      </w:r>
      <w:r>
        <w:rPr/>
        <w:t>la</w:t>
      </w:r>
      <w:r>
        <w:rPr>
          <w:spacing w:val="-17"/>
        </w:rPr>
        <w:t> </w:t>
      </w:r>
      <w:r>
        <w:rPr/>
        <w:t>gestión</w:t>
      </w:r>
      <w:r>
        <w:rPr>
          <w:spacing w:val="-16"/>
        </w:rPr>
        <w:t> </w:t>
      </w:r>
      <w:r>
        <w:rPr/>
        <w:t>administrativa</w:t>
      </w:r>
      <w:r>
        <w:rPr>
          <w:spacing w:val="-14"/>
        </w:rPr>
        <w:t> </w:t>
      </w:r>
      <w:r>
        <w:rPr/>
        <w:t>del</w:t>
      </w:r>
      <w:r>
        <w:rPr>
          <w:spacing w:val="-15"/>
        </w:rPr>
        <w:t> </w:t>
      </w:r>
      <w:r>
        <w:rPr/>
        <w:t>gobierno:</w:t>
      </w:r>
    </w:p>
    <w:p>
      <w:pPr>
        <w:pStyle w:val="BodyText"/>
      </w:pPr>
    </w:p>
    <w:p>
      <w:pPr>
        <w:pStyle w:val="BodyText"/>
      </w:pPr>
    </w:p>
    <w:p>
      <w:pPr>
        <w:pStyle w:val="ListParagraph"/>
        <w:numPr>
          <w:ilvl w:val="0"/>
          <w:numId w:val="10"/>
        </w:numPr>
        <w:tabs>
          <w:tab w:pos="530" w:val="left" w:leader="none"/>
        </w:tabs>
        <w:spacing w:line="240" w:lineRule="auto" w:before="186" w:after="0"/>
        <w:ind w:left="529" w:right="0" w:hanging="360"/>
        <w:jc w:val="both"/>
        <w:rPr>
          <w:sz w:val="24"/>
        </w:rPr>
      </w:pPr>
      <w:r>
        <w:rPr>
          <w:sz w:val="24"/>
        </w:rPr>
        <w:t>La centralización y descentralización administrativa y</w:t>
      </w:r>
      <w:r>
        <w:rPr>
          <w:spacing w:val="-22"/>
          <w:sz w:val="24"/>
        </w:rPr>
        <w:t> </w:t>
      </w:r>
      <w:r>
        <w:rPr>
          <w:sz w:val="24"/>
        </w:rPr>
        <w:t>gubernamental</w:t>
      </w:r>
    </w:p>
    <w:p>
      <w:pPr>
        <w:pStyle w:val="ListParagraph"/>
        <w:numPr>
          <w:ilvl w:val="0"/>
          <w:numId w:val="10"/>
        </w:numPr>
        <w:tabs>
          <w:tab w:pos="530" w:val="left" w:leader="none"/>
        </w:tabs>
        <w:spacing w:line="240" w:lineRule="auto" w:before="139" w:after="0"/>
        <w:ind w:left="529" w:right="0" w:hanging="360"/>
        <w:jc w:val="both"/>
        <w:rPr>
          <w:sz w:val="24"/>
        </w:rPr>
      </w:pPr>
      <w:r>
        <w:rPr>
          <w:sz w:val="24"/>
        </w:rPr>
        <w:t>La situación de los funcionarios públicos y la fijación de sus</w:t>
      </w:r>
      <w:r>
        <w:rPr>
          <w:spacing w:val="-22"/>
          <w:sz w:val="24"/>
        </w:rPr>
        <w:t> </w:t>
      </w:r>
      <w:r>
        <w:rPr>
          <w:sz w:val="24"/>
        </w:rPr>
        <w:t>salarios</w:t>
      </w:r>
    </w:p>
    <w:p>
      <w:pPr>
        <w:pStyle w:val="ListParagraph"/>
        <w:numPr>
          <w:ilvl w:val="0"/>
          <w:numId w:val="10"/>
        </w:numPr>
        <w:tabs>
          <w:tab w:pos="530" w:val="left" w:leader="none"/>
        </w:tabs>
        <w:spacing w:line="240" w:lineRule="auto" w:before="137" w:after="0"/>
        <w:ind w:left="529" w:right="0" w:hanging="360"/>
        <w:jc w:val="both"/>
        <w:rPr>
          <w:sz w:val="24"/>
        </w:rPr>
      </w:pPr>
      <w:r>
        <w:rPr>
          <w:sz w:val="24"/>
        </w:rPr>
        <w:t>El manejo de las finanzas</w:t>
      </w:r>
      <w:r>
        <w:rPr>
          <w:spacing w:val="-13"/>
          <w:sz w:val="24"/>
        </w:rPr>
        <w:t> </w:t>
      </w:r>
      <w:r>
        <w:rPr>
          <w:sz w:val="24"/>
        </w:rPr>
        <w:t>públicas</w:t>
      </w:r>
    </w:p>
    <w:p>
      <w:pPr>
        <w:pStyle w:val="ListParagraph"/>
        <w:numPr>
          <w:ilvl w:val="0"/>
          <w:numId w:val="10"/>
        </w:numPr>
        <w:tabs>
          <w:tab w:pos="530" w:val="left" w:leader="none"/>
        </w:tabs>
        <w:spacing w:line="240" w:lineRule="auto" w:before="139" w:after="0"/>
        <w:ind w:left="529" w:right="0" w:hanging="360"/>
        <w:jc w:val="both"/>
        <w:rPr>
          <w:sz w:val="24"/>
        </w:rPr>
      </w:pPr>
      <w:r>
        <w:rPr>
          <w:sz w:val="24"/>
        </w:rPr>
        <w:t>La corrupción</w:t>
      </w:r>
      <w:r>
        <w:rPr>
          <w:spacing w:val="-11"/>
          <w:sz w:val="24"/>
        </w:rPr>
        <w:t> </w:t>
      </w:r>
      <w:r>
        <w:rPr>
          <w:sz w:val="24"/>
        </w:rPr>
        <w:t>administrativa</w:t>
      </w:r>
    </w:p>
    <w:p>
      <w:pPr>
        <w:pStyle w:val="ListParagraph"/>
        <w:numPr>
          <w:ilvl w:val="0"/>
          <w:numId w:val="10"/>
        </w:numPr>
        <w:tabs>
          <w:tab w:pos="530" w:val="left" w:leader="none"/>
        </w:tabs>
        <w:spacing w:line="360" w:lineRule="auto" w:before="137" w:after="0"/>
        <w:ind w:left="529" w:right="120" w:hanging="360"/>
        <w:jc w:val="left"/>
        <w:rPr>
          <w:sz w:val="24"/>
        </w:rPr>
      </w:pPr>
      <w:r>
        <w:rPr>
          <w:sz w:val="24"/>
        </w:rPr>
        <w:t>La inestabilidad administrativa y la necesidad de estructurar una ciencia de la administración (Rodríguez,</w:t>
      </w:r>
      <w:r>
        <w:rPr>
          <w:spacing w:val="-13"/>
          <w:sz w:val="24"/>
        </w:rPr>
        <w:t> </w:t>
      </w:r>
      <w:r>
        <w:rPr>
          <w:sz w:val="24"/>
        </w:rPr>
        <w:t>1990:44-45).</w:t>
      </w:r>
    </w:p>
    <w:p>
      <w:pPr>
        <w:pStyle w:val="BodyText"/>
      </w:pPr>
    </w:p>
    <w:p>
      <w:pPr>
        <w:pStyle w:val="BodyText"/>
        <w:spacing w:before="4"/>
        <w:rPr>
          <w:sz w:val="26"/>
        </w:rPr>
      </w:pPr>
    </w:p>
    <w:p>
      <w:pPr>
        <w:pStyle w:val="BodyText"/>
        <w:spacing w:line="360" w:lineRule="auto"/>
        <w:ind w:left="102" w:right="114"/>
        <w:jc w:val="both"/>
      </w:pPr>
      <w:r>
        <w:rPr/>
        <w:t>Por su parte Woodrow Wilson escribió en Estados Unidos un ensayo que tituló “Estudio de la Administración”. En este trabajo, señala Rodríguez (1990), destaca la necesidad de estudiar en forma sistemática la administración pública por la complejidad que presentaba en aquella época. Como respuesta a esta situación el autor</w:t>
      </w:r>
      <w:r>
        <w:rPr>
          <w:spacing w:val="-5"/>
        </w:rPr>
        <w:t> </w:t>
      </w:r>
      <w:r>
        <w:rPr/>
        <w:t>propone</w:t>
      </w:r>
      <w:r>
        <w:rPr>
          <w:spacing w:val="-4"/>
        </w:rPr>
        <w:t> </w:t>
      </w:r>
      <w:r>
        <w:rPr/>
        <w:t>la</w:t>
      </w:r>
      <w:r>
        <w:rPr>
          <w:spacing w:val="-7"/>
        </w:rPr>
        <w:t> </w:t>
      </w:r>
      <w:r>
        <w:rPr/>
        <w:t>aplicación</w:t>
      </w:r>
      <w:r>
        <w:rPr>
          <w:spacing w:val="-3"/>
        </w:rPr>
        <w:t> </w:t>
      </w:r>
      <w:r>
        <w:rPr/>
        <w:t>de</w:t>
      </w:r>
      <w:r>
        <w:rPr>
          <w:spacing w:val="-7"/>
        </w:rPr>
        <w:t> </w:t>
      </w:r>
      <w:r>
        <w:rPr/>
        <w:t>un</w:t>
      </w:r>
      <w:r>
        <w:rPr>
          <w:spacing w:val="-5"/>
        </w:rPr>
        <w:t> </w:t>
      </w:r>
      <w:r>
        <w:rPr/>
        <w:t>“servicio</w:t>
      </w:r>
      <w:r>
        <w:rPr>
          <w:spacing w:val="-5"/>
        </w:rPr>
        <w:t> </w:t>
      </w:r>
      <w:r>
        <w:rPr/>
        <w:t>civil</w:t>
      </w:r>
      <w:r>
        <w:rPr>
          <w:spacing w:val="-6"/>
        </w:rPr>
        <w:t> </w:t>
      </w:r>
      <w:r>
        <w:rPr/>
        <w:t>de</w:t>
      </w:r>
      <w:r>
        <w:rPr>
          <w:spacing w:val="-5"/>
        </w:rPr>
        <w:t> </w:t>
      </w:r>
      <w:r>
        <w:rPr/>
        <w:t>carrera”</w:t>
      </w:r>
      <w:r>
        <w:rPr>
          <w:spacing w:val="-6"/>
        </w:rPr>
        <w:t> </w:t>
      </w:r>
      <w:r>
        <w:rPr/>
        <w:t>altamente</w:t>
      </w:r>
      <w:r>
        <w:rPr>
          <w:spacing w:val="-5"/>
        </w:rPr>
        <w:t> </w:t>
      </w:r>
      <w:r>
        <w:rPr/>
        <w:t>especializado en</w:t>
      </w:r>
      <w:r>
        <w:rPr>
          <w:spacing w:val="-17"/>
        </w:rPr>
        <w:t> </w:t>
      </w:r>
      <w:r>
        <w:rPr/>
        <w:t>lo</w:t>
      </w:r>
      <w:r>
        <w:rPr>
          <w:spacing w:val="-18"/>
        </w:rPr>
        <w:t> </w:t>
      </w:r>
      <w:r>
        <w:rPr/>
        <w:t>técnico</w:t>
      </w:r>
      <w:r>
        <w:rPr>
          <w:spacing w:val="-17"/>
        </w:rPr>
        <w:t> </w:t>
      </w:r>
      <w:r>
        <w:rPr/>
        <w:t>y</w:t>
      </w:r>
      <w:r>
        <w:rPr>
          <w:spacing w:val="-19"/>
        </w:rPr>
        <w:t> </w:t>
      </w:r>
      <w:r>
        <w:rPr/>
        <w:t>moralmente</w:t>
      </w:r>
      <w:r>
        <w:rPr>
          <w:spacing w:val="-17"/>
        </w:rPr>
        <w:t> </w:t>
      </w:r>
      <w:r>
        <w:rPr/>
        <w:t>preparado</w:t>
      </w:r>
      <w:r>
        <w:rPr>
          <w:spacing w:val="-18"/>
        </w:rPr>
        <w:t> </w:t>
      </w:r>
      <w:r>
        <w:rPr/>
        <w:t>para</w:t>
      </w:r>
      <w:r>
        <w:rPr>
          <w:spacing w:val="-19"/>
        </w:rPr>
        <w:t> </w:t>
      </w:r>
      <w:r>
        <w:rPr/>
        <w:t>servir</w:t>
      </w:r>
      <w:r>
        <w:rPr>
          <w:spacing w:val="-17"/>
        </w:rPr>
        <w:t> </w:t>
      </w:r>
      <w:r>
        <w:rPr/>
        <w:t>al</w:t>
      </w:r>
      <w:r>
        <w:rPr>
          <w:spacing w:val="-17"/>
        </w:rPr>
        <w:t> </w:t>
      </w:r>
      <w:r>
        <w:rPr/>
        <w:t>pueblo.</w:t>
      </w:r>
      <w:r>
        <w:rPr>
          <w:spacing w:val="-16"/>
        </w:rPr>
        <w:t> </w:t>
      </w:r>
      <w:r>
        <w:rPr/>
        <w:t>Afirmando</w:t>
      </w:r>
      <w:r>
        <w:rPr>
          <w:spacing w:val="-17"/>
        </w:rPr>
        <w:t> </w:t>
      </w:r>
      <w:r>
        <w:rPr/>
        <w:t>que</w:t>
      </w:r>
      <w:r>
        <w:rPr>
          <w:spacing w:val="-17"/>
        </w:rPr>
        <w:t> </w:t>
      </w:r>
      <w:r>
        <w:rPr/>
        <w:t>la</w:t>
      </w:r>
      <w:r>
        <w:rPr>
          <w:spacing w:val="-17"/>
        </w:rPr>
        <w:t> </w:t>
      </w:r>
      <w:r>
        <w:rPr/>
        <w:t>ciencia de la administración es indispensable, motivo por el cual debe ser enseñada en las universidades, para que los alumnos puedan aplicarla y mejorar así el funcionamiento</w:t>
      </w:r>
      <w:r>
        <w:rPr>
          <w:spacing w:val="-9"/>
        </w:rPr>
        <w:t> </w:t>
      </w:r>
      <w:r>
        <w:rPr/>
        <w:t>de</w:t>
      </w:r>
      <w:r>
        <w:rPr>
          <w:spacing w:val="-8"/>
        </w:rPr>
        <w:t> </w:t>
      </w:r>
      <w:r>
        <w:rPr/>
        <w:t>la</w:t>
      </w:r>
      <w:r>
        <w:rPr>
          <w:spacing w:val="-12"/>
        </w:rPr>
        <w:t> </w:t>
      </w:r>
      <w:r>
        <w:rPr/>
        <w:t>organización</w:t>
      </w:r>
      <w:r>
        <w:rPr>
          <w:spacing w:val="-7"/>
        </w:rPr>
        <w:t> </w:t>
      </w:r>
      <w:r>
        <w:rPr/>
        <w:t>y</w:t>
      </w:r>
      <w:r>
        <w:rPr>
          <w:spacing w:val="-13"/>
        </w:rPr>
        <w:t> </w:t>
      </w:r>
      <w:r>
        <w:rPr/>
        <w:t>los</w:t>
      </w:r>
      <w:r>
        <w:rPr>
          <w:spacing w:val="-10"/>
        </w:rPr>
        <w:t> </w:t>
      </w:r>
      <w:r>
        <w:rPr/>
        <w:t>métodos</w:t>
      </w:r>
      <w:r>
        <w:rPr>
          <w:spacing w:val="-10"/>
        </w:rPr>
        <w:t> </w:t>
      </w:r>
      <w:r>
        <w:rPr/>
        <w:t>de</w:t>
      </w:r>
      <w:r>
        <w:rPr>
          <w:spacing w:val="-8"/>
        </w:rPr>
        <w:t> </w:t>
      </w:r>
      <w:r>
        <w:rPr/>
        <w:t>trabajo</w:t>
      </w:r>
      <w:r>
        <w:rPr>
          <w:spacing w:val="-12"/>
        </w:rPr>
        <w:t> </w:t>
      </w:r>
      <w:r>
        <w:rPr/>
        <w:t>de</w:t>
      </w:r>
      <w:r>
        <w:rPr>
          <w:spacing w:val="-9"/>
        </w:rPr>
        <w:t> </w:t>
      </w:r>
      <w:r>
        <w:rPr/>
        <w:t>las</w:t>
      </w:r>
      <w:r>
        <w:rPr>
          <w:spacing w:val="-10"/>
        </w:rPr>
        <w:t> </w:t>
      </w:r>
      <w:r>
        <w:rPr/>
        <w:t>oficinas</w:t>
      </w:r>
      <w:r>
        <w:rPr>
          <w:spacing w:val="-10"/>
        </w:rPr>
        <w:t> </w:t>
      </w:r>
      <w:r>
        <w:rPr/>
        <w:t>públicas, como un paso complementario a la reforma del servicio civil, que se había iniciado en los Estados Unidos (Castro,</w:t>
      </w:r>
      <w:r>
        <w:rPr>
          <w:spacing w:val="-10"/>
        </w:rPr>
        <w:t> </w:t>
      </w:r>
      <w:r>
        <w:rPr/>
        <w:t>1993).</w:t>
      </w:r>
    </w:p>
    <w:p>
      <w:pPr>
        <w:spacing w:after="0" w:line="360" w:lineRule="auto"/>
        <w:jc w:val="both"/>
        <w:sectPr>
          <w:pgSz w:w="12240" w:h="15840"/>
          <w:pgMar w:header="0" w:footer="975" w:top="1360" w:bottom="1220" w:left="1600" w:right="1580"/>
        </w:sectPr>
      </w:pPr>
    </w:p>
    <w:p>
      <w:pPr>
        <w:pStyle w:val="BodyText"/>
        <w:spacing w:before="54"/>
        <w:ind w:left="102"/>
        <w:jc w:val="both"/>
      </w:pPr>
      <w:r>
        <w:rPr/>
        <w:t>Dentro de los aspectos a considerar se encuentran los siguientes:</w:t>
      </w:r>
    </w:p>
    <w:p>
      <w:pPr>
        <w:pStyle w:val="BodyText"/>
      </w:pPr>
    </w:p>
    <w:p>
      <w:pPr>
        <w:pStyle w:val="BodyText"/>
      </w:pPr>
    </w:p>
    <w:p>
      <w:pPr>
        <w:pStyle w:val="BodyText"/>
        <w:spacing w:before="1"/>
        <w:rPr>
          <w:sz w:val="28"/>
        </w:rPr>
      </w:pPr>
    </w:p>
    <w:p>
      <w:pPr>
        <w:pStyle w:val="ListParagraph"/>
        <w:numPr>
          <w:ilvl w:val="1"/>
          <w:numId w:val="10"/>
        </w:numPr>
        <w:tabs>
          <w:tab w:pos="953" w:val="left" w:leader="none"/>
          <w:tab w:pos="954" w:val="left" w:leader="none"/>
        </w:tabs>
        <w:spacing w:line="360" w:lineRule="auto" w:before="0" w:after="0"/>
        <w:ind w:left="954" w:right="688" w:hanging="360"/>
        <w:jc w:val="left"/>
        <w:rPr>
          <w:sz w:val="18"/>
        </w:rPr>
      </w:pPr>
      <w:r>
        <w:rPr>
          <w:sz w:val="18"/>
        </w:rPr>
        <w:t>Hay</w:t>
      </w:r>
      <w:r>
        <w:rPr>
          <w:spacing w:val="-8"/>
          <w:sz w:val="18"/>
        </w:rPr>
        <w:t> </w:t>
      </w:r>
      <w:r>
        <w:rPr>
          <w:sz w:val="18"/>
        </w:rPr>
        <w:t>inconsistencias</w:t>
      </w:r>
      <w:r>
        <w:rPr>
          <w:spacing w:val="-8"/>
          <w:sz w:val="18"/>
        </w:rPr>
        <w:t> </w:t>
      </w:r>
      <w:r>
        <w:rPr>
          <w:sz w:val="18"/>
        </w:rPr>
        <w:t>en</w:t>
      </w:r>
      <w:r>
        <w:rPr>
          <w:spacing w:val="-9"/>
          <w:sz w:val="18"/>
        </w:rPr>
        <w:t> </w:t>
      </w:r>
      <w:r>
        <w:rPr>
          <w:sz w:val="18"/>
        </w:rPr>
        <w:t>la</w:t>
      </w:r>
      <w:r>
        <w:rPr>
          <w:spacing w:val="-9"/>
          <w:sz w:val="18"/>
        </w:rPr>
        <w:t> </w:t>
      </w:r>
      <w:r>
        <w:rPr>
          <w:sz w:val="18"/>
        </w:rPr>
        <w:t>fase</w:t>
      </w:r>
      <w:r>
        <w:rPr>
          <w:spacing w:val="-11"/>
          <w:sz w:val="18"/>
        </w:rPr>
        <w:t> </w:t>
      </w:r>
      <w:r>
        <w:rPr>
          <w:sz w:val="18"/>
        </w:rPr>
        <w:t>de</w:t>
      </w:r>
      <w:r>
        <w:rPr>
          <w:spacing w:val="-6"/>
          <w:sz w:val="18"/>
        </w:rPr>
        <w:t> </w:t>
      </w:r>
      <w:r>
        <w:rPr>
          <w:sz w:val="18"/>
        </w:rPr>
        <w:t>análisis,</w:t>
      </w:r>
      <w:r>
        <w:rPr>
          <w:spacing w:val="-9"/>
          <w:sz w:val="18"/>
        </w:rPr>
        <w:t> </w:t>
      </w:r>
      <w:r>
        <w:rPr>
          <w:sz w:val="18"/>
        </w:rPr>
        <w:t>ya</w:t>
      </w:r>
      <w:r>
        <w:rPr>
          <w:spacing w:val="-9"/>
          <w:sz w:val="18"/>
        </w:rPr>
        <w:t> </w:t>
      </w:r>
      <w:r>
        <w:rPr>
          <w:sz w:val="18"/>
        </w:rPr>
        <w:t>que</w:t>
      </w:r>
      <w:r>
        <w:rPr>
          <w:spacing w:val="-9"/>
          <w:sz w:val="18"/>
        </w:rPr>
        <w:t> </w:t>
      </w:r>
      <w:r>
        <w:rPr>
          <w:sz w:val="18"/>
        </w:rPr>
        <w:t>parte</w:t>
      </w:r>
      <w:r>
        <w:rPr>
          <w:spacing w:val="-9"/>
          <w:sz w:val="18"/>
        </w:rPr>
        <w:t> </w:t>
      </w:r>
      <w:r>
        <w:rPr>
          <w:sz w:val="18"/>
        </w:rPr>
        <w:t>de</w:t>
      </w:r>
      <w:r>
        <w:rPr>
          <w:spacing w:val="-9"/>
          <w:sz w:val="18"/>
        </w:rPr>
        <w:t> </w:t>
      </w:r>
      <w:r>
        <w:rPr>
          <w:sz w:val="18"/>
        </w:rPr>
        <w:t>premisas</w:t>
      </w:r>
      <w:r>
        <w:rPr>
          <w:spacing w:val="-8"/>
          <w:sz w:val="18"/>
        </w:rPr>
        <w:t> </w:t>
      </w:r>
      <w:r>
        <w:rPr>
          <w:sz w:val="18"/>
        </w:rPr>
        <w:t>dadas</w:t>
      </w:r>
      <w:r>
        <w:rPr>
          <w:spacing w:val="-8"/>
          <w:sz w:val="18"/>
        </w:rPr>
        <w:t> </w:t>
      </w:r>
      <w:r>
        <w:rPr>
          <w:sz w:val="18"/>
        </w:rPr>
        <w:t>por</w:t>
      </w:r>
      <w:r>
        <w:rPr>
          <w:spacing w:val="-9"/>
          <w:sz w:val="18"/>
        </w:rPr>
        <w:t> </w:t>
      </w:r>
      <w:r>
        <w:rPr>
          <w:sz w:val="18"/>
        </w:rPr>
        <w:t>buenas</w:t>
      </w:r>
      <w:r>
        <w:rPr>
          <w:spacing w:val="-8"/>
          <w:sz w:val="18"/>
        </w:rPr>
        <w:t> </w:t>
      </w:r>
      <w:r>
        <w:rPr>
          <w:sz w:val="18"/>
        </w:rPr>
        <w:t>y</w:t>
      </w:r>
      <w:r>
        <w:rPr>
          <w:spacing w:val="-11"/>
          <w:sz w:val="18"/>
        </w:rPr>
        <w:t> </w:t>
      </w:r>
      <w:r>
        <w:rPr>
          <w:sz w:val="18"/>
        </w:rPr>
        <w:t>llega a conclusiones muy</w:t>
      </w:r>
      <w:r>
        <w:rPr>
          <w:spacing w:val="-14"/>
          <w:sz w:val="18"/>
        </w:rPr>
        <w:t> </w:t>
      </w:r>
      <w:r>
        <w:rPr>
          <w:sz w:val="18"/>
        </w:rPr>
        <w:t>diferentes.</w:t>
      </w:r>
    </w:p>
    <w:p>
      <w:pPr>
        <w:pStyle w:val="ListParagraph"/>
        <w:numPr>
          <w:ilvl w:val="1"/>
          <w:numId w:val="10"/>
        </w:numPr>
        <w:tabs>
          <w:tab w:pos="953" w:val="left" w:leader="none"/>
          <w:tab w:pos="954" w:val="left" w:leader="none"/>
        </w:tabs>
        <w:spacing w:line="240" w:lineRule="auto" w:before="2" w:after="0"/>
        <w:ind w:left="954" w:right="0" w:hanging="360"/>
        <w:jc w:val="left"/>
        <w:rPr>
          <w:sz w:val="18"/>
        </w:rPr>
      </w:pPr>
      <w:r>
        <w:rPr>
          <w:sz w:val="18"/>
        </w:rPr>
        <w:t>Es</w:t>
      </w:r>
      <w:r>
        <w:rPr>
          <w:spacing w:val="-3"/>
          <w:sz w:val="18"/>
        </w:rPr>
        <w:t> </w:t>
      </w:r>
      <w:r>
        <w:rPr>
          <w:sz w:val="18"/>
        </w:rPr>
        <w:t>el</w:t>
      </w:r>
      <w:r>
        <w:rPr>
          <w:spacing w:val="-5"/>
          <w:sz w:val="18"/>
        </w:rPr>
        <w:t> </w:t>
      </w:r>
      <w:r>
        <w:rPr>
          <w:sz w:val="18"/>
        </w:rPr>
        <w:t>primer</w:t>
      </w:r>
      <w:r>
        <w:rPr>
          <w:spacing w:val="-3"/>
          <w:sz w:val="18"/>
        </w:rPr>
        <w:t> </w:t>
      </w:r>
      <w:r>
        <w:rPr>
          <w:sz w:val="18"/>
        </w:rPr>
        <w:t>ensayista</w:t>
      </w:r>
      <w:r>
        <w:rPr>
          <w:spacing w:val="-5"/>
          <w:sz w:val="18"/>
        </w:rPr>
        <w:t> </w:t>
      </w:r>
      <w:r>
        <w:rPr>
          <w:sz w:val="18"/>
        </w:rPr>
        <w:t>que</w:t>
      </w:r>
      <w:r>
        <w:rPr>
          <w:spacing w:val="-5"/>
          <w:sz w:val="18"/>
        </w:rPr>
        <w:t> </w:t>
      </w:r>
      <w:r>
        <w:rPr>
          <w:sz w:val="18"/>
        </w:rPr>
        <w:t>plantea</w:t>
      </w:r>
      <w:r>
        <w:rPr>
          <w:spacing w:val="-5"/>
          <w:sz w:val="18"/>
        </w:rPr>
        <w:t> </w:t>
      </w:r>
      <w:r>
        <w:rPr>
          <w:sz w:val="18"/>
        </w:rPr>
        <w:t>seriamente</w:t>
      </w:r>
      <w:r>
        <w:rPr>
          <w:spacing w:val="-5"/>
          <w:sz w:val="18"/>
        </w:rPr>
        <w:t> </w:t>
      </w:r>
      <w:r>
        <w:rPr>
          <w:sz w:val="18"/>
        </w:rPr>
        <w:t>la</w:t>
      </w:r>
      <w:r>
        <w:rPr>
          <w:spacing w:val="-3"/>
          <w:sz w:val="18"/>
        </w:rPr>
        <w:t> </w:t>
      </w:r>
      <w:r>
        <w:rPr>
          <w:sz w:val="18"/>
        </w:rPr>
        <w:t>dualidad</w:t>
      </w:r>
      <w:r>
        <w:rPr>
          <w:spacing w:val="-5"/>
          <w:sz w:val="18"/>
        </w:rPr>
        <w:t> </w:t>
      </w:r>
      <w:r>
        <w:rPr>
          <w:sz w:val="18"/>
        </w:rPr>
        <w:t>política</w:t>
      </w:r>
      <w:r>
        <w:rPr>
          <w:spacing w:val="-5"/>
          <w:sz w:val="18"/>
        </w:rPr>
        <w:t> </w:t>
      </w:r>
      <w:r>
        <w:rPr>
          <w:sz w:val="18"/>
        </w:rPr>
        <w:t>administración.</w:t>
      </w:r>
    </w:p>
    <w:p>
      <w:pPr>
        <w:pStyle w:val="ListParagraph"/>
        <w:numPr>
          <w:ilvl w:val="1"/>
          <w:numId w:val="10"/>
        </w:numPr>
        <w:tabs>
          <w:tab w:pos="953" w:val="left" w:leader="none"/>
          <w:tab w:pos="954" w:val="left" w:leader="none"/>
        </w:tabs>
        <w:spacing w:line="240" w:lineRule="auto" w:before="105" w:after="0"/>
        <w:ind w:left="954" w:right="0" w:hanging="360"/>
        <w:jc w:val="left"/>
        <w:rPr>
          <w:sz w:val="18"/>
        </w:rPr>
      </w:pPr>
      <w:r>
        <w:rPr>
          <w:sz w:val="18"/>
        </w:rPr>
        <w:t>Hace</w:t>
      </w:r>
      <w:r>
        <w:rPr>
          <w:spacing w:val="-7"/>
          <w:sz w:val="18"/>
        </w:rPr>
        <w:t> </w:t>
      </w:r>
      <w:r>
        <w:rPr>
          <w:sz w:val="18"/>
        </w:rPr>
        <w:t>un</w:t>
      </w:r>
      <w:r>
        <w:rPr>
          <w:spacing w:val="-7"/>
          <w:sz w:val="18"/>
        </w:rPr>
        <w:t> </w:t>
      </w:r>
      <w:r>
        <w:rPr>
          <w:sz w:val="18"/>
        </w:rPr>
        <w:t>llamado</w:t>
      </w:r>
      <w:r>
        <w:rPr>
          <w:spacing w:val="-7"/>
          <w:sz w:val="18"/>
        </w:rPr>
        <w:t> </w:t>
      </w:r>
      <w:r>
        <w:rPr>
          <w:sz w:val="18"/>
        </w:rPr>
        <w:t>acerca</w:t>
      </w:r>
      <w:r>
        <w:rPr>
          <w:spacing w:val="-7"/>
          <w:sz w:val="18"/>
        </w:rPr>
        <w:t> </w:t>
      </w:r>
      <w:r>
        <w:rPr>
          <w:sz w:val="18"/>
        </w:rPr>
        <w:t>de</w:t>
      </w:r>
      <w:r>
        <w:rPr>
          <w:spacing w:val="-7"/>
          <w:sz w:val="18"/>
        </w:rPr>
        <w:t> </w:t>
      </w:r>
      <w:r>
        <w:rPr>
          <w:sz w:val="18"/>
        </w:rPr>
        <w:t>la</w:t>
      </w:r>
      <w:r>
        <w:rPr>
          <w:spacing w:val="-9"/>
          <w:sz w:val="18"/>
        </w:rPr>
        <w:t> </w:t>
      </w:r>
      <w:r>
        <w:rPr>
          <w:sz w:val="18"/>
        </w:rPr>
        <w:t>importancia</w:t>
      </w:r>
      <w:r>
        <w:rPr>
          <w:spacing w:val="-7"/>
          <w:sz w:val="18"/>
        </w:rPr>
        <w:t> </w:t>
      </w:r>
      <w:r>
        <w:rPr>
          <w:sz w:val="18"/>
        </w:rPr>
        <w:t>de</w:t>
      </w:r>
      <w:r>
        <w:rPr>
          <w:spacing w:val="-7"/>
          <w:sz w:val="18"/>
        </w:rPr>
        <w:t> </w:t>
      </w:r>
      <w:r>
        <w:rPr>
          <w:sz w:val="18"/>
        </w:rPr>
        <w:t>la</w:t>
      </w:r>
      <w:r>
        <w:rPr>
          <w:spacing w:val="-9"/>
          <w:sz w:val="18"/>
        </w:rPr>
        <w:t> </w:t>
      </w:r>
      <w:r>
        <w:rPr>
          <w:sz w:val="18"/>
        </w:rPr>
        <w:t>eficiencia</w:t>
      </w:r>
      <w:r>
        <w:rPr>
          <w:spacing w:val="-7"/>
          <w:sz w:val="18"/>
        </w:rPr>
        <w:t> </w:t>
      </w:r>
      <w:r>
        <w:rPr>
          <w:sz w:val="18"/>
        </w:rPr>
        <w:t>dentro</w:t>
      </w:r>
      <w:r>
        <w:rPr>
          <w:spacing w:val="-7"/>
          <w:sz w:val="18"/>
        </w:rPr>
        <w:t> </w:t>
      </w:r>
      <w:r>
        <w:rPr>
          <w:sz w:val="18"/>
        </w:rPr>
        <w:t>de</w:t>
      </w:r>
      <w:r>
        <w:rPr>
          <w:spacing w:val="-9"/>
          <w:sz w:val="18"/>
        </w:rPr>
        <w:t> </w:t>
      </w:r>
      <w:r>
        <w:rPr>
          <w:sz w:val="18"/>
        </w:rPr>
        <w:t>la</w:t>
      </w:r>
      <w:r>
        <w:rPr>
          <w:spacing w:val="-7"/>
          <w:sz w:val="18"/>
        </w:rPr>
        <w:t> </w:t>
      </w:r>
      <w:r>
        <w:rPr>
          <w:sz w:val="18"/>
        </w:rPr>
        <w:t>administración</w:t>
      </w:r>
      <w:r>
        <w:rPr>
          <w:spacing w:val="-7"/>
          <w:sz w:val="18"/>
        </w:rPr>
        <w:t> </w:t>
      </w:r>
      <w:r>
        <w:rPr>
          <w:sz w:val="18"/>
        </w:rPr>
        <w:t>pública.</w:t>
      </w:r>
    </w:p>
    <w:p>
      <w:pPr>
        <w:pStyle w:val="ListParagraph"/>
        <w:numPr>
          <w:ilvl w:val="1"/>
          <w:numId w:val="10"/>
        </w:numPr>
        <w:tabs>
          <w:tab w:pos="953" w:val="left" w:leader="none"/>
          <w:tab w:pos="954" w:val="left" w:leader="none"/>
        </w:tabs>
        <w:spacing w:line="240" w:lineRule="auto" w:before="102" w:after="0"/>
        <w:ind w:left="954" w:right="0" w:hanging="360"/>
        <w:jc w:val="left"/>
        <w:rPr>
          <w:sz w:val="18"/>
        </w:rPr>
      </w:pPr>
      <w:r>
        <w:rPr>
          <w:sz w:val="18"/>
        </w:rPr>
        <w:t>Indica</w:t>
      </w:r>
      <w:r>
        <w:rPr>
          <w:spacing w:val="-9"/>
          <w:sz w:val="18"/>
        </w:rPr>
        <w:t> </w:t>
      </w:r>
      <w:r>
        <w:rPr>
          <w:sz w:val="18"/>
        </w:rPr>
        <w:t>la</w:t>
      </w:r>
      <w:r>
        <w:rPr>
          <w:spacing w:val="-9"/>
          <w:sz w:val="18"/>
        </w:rPr>
        <w:t> </w:t>
      </w:r>
      <w:r>
        <w:rPr>
          <w:sz w:val="18"/>
        </w:rPr>
        <w:t>necesidad</w:t>
      </w:r>
      <w:r>
        <w:rPr>
          <w:spacing w:val="-9"/>
          <w:sz w:val="18"/>
        </w:rPr>
        <w:t> </w:t>
      </w:r>
      <w:r>
        <w:rPr>
          <w:sz w:val="18"/>
        </w:rPr>
        <w:t>de</w:t>
      </w:r>
      <w:r>
        <w:rPr>
          <w:spacing w:val="-11"/>
          <w:sz w:val="18"/>
        </w:rPr>
        <w:t> </w:t>
      </w:r>
      <w:r>
        <w:rPr>
          <w:sz w:val="18"/>
        </w:rPr>
        <w:t>contar</w:t>
      </w:r>
      <w:r>
        <w:rPr>
          <w:spacing w:val="-9"/>
          <w:sz w:val="18"/>
        </w:rPr>
        <w:t> </w:t>
      </w:r>
      <w:r>
        <w:rPr>
          <w:sz w:val="18"/>
        </w:rPr>
        <w:t>cuando</w:t>
      </w:r>
      <w:r>
        <w:rPr>
          <w:spacing w:val="-11"/>
          <w:sz w:val="18"/>
        </w:rPr>
        <w:t> </w:t>
      </w:r>
      <w:r>
        <w:rPr>
          <w:sz w:val="18"/>
        </w:rPr>
        <w:t>menos</w:t>
      </w:r>
      <w:r>
        <w:rPr>
          <w:spacing w:val="-8"/>
          <w:sz w:val="18"/>
        </w:rPr>
        <w:t> </w:t>
      </w:r>
      <w:r>
        <w:rPr>
          <w:sz w:val="18"/>
        </w:rPr>
        <w:t>de</w:t>
      </w:r>
      <w:r>
        <w:rPr>
          <w:spacing w:val="-9"/>
          <w:sz w:val="18"/>
        </w:rPr>
        <w:t> </w:t>
      </w:r>
      <w:r>
        <w:rPr>
          <w:sz w:val="18"/>
        </w:rPr>
        <w:t>una</w:t>
      </w:r>
      <w:r>
        <w:rPr>
          <w:spacing w:val="-9"/>
          <w:sz w:val="18"/>
        </w:rPr>
        <w:t> </w:t>
      </w:r>
      <w:r>
        <w:rPr>
          <w:sz w:val="18"/>
        </w:rPr>
        <w:t>burocracia</w:t>
      </w:r>
      <w:r>
        <w:rPr>
          <w:spacing w:val="-9"/>
          <w:sz w:val="18"/>
        </w:rPr>
        <w:t> </w:t>
      </w:r>
      <w:r>
        <w:rPr>
          <w:sz w:val="18"/>
        </w:rPr>
        <w:t>estable</w:t>
      </w:r>
      <w:r>
        <w:rPr>
          <w:spacing w:val="-9"/>
          <w:sz w:val="18"/>
        </w:rPr>
        <w:t> </w:t>
      </w:r>
      <w:r>
        <w:rPr>
          <w:sz w:val="18"/>
        </w:rPr>
        <w:t>(Rodríguez,</w:t>
      </w:r>
      <w:r>
        <w:rPr>
          <w:spacing w:val="-9"/>
          <w:sz w:val="18"/>
        </w:rPr>
        <w:t> </w:t>
      </w:r>
      <w:r>
        <w:rPr>
          <w:sz w:val="18"/>
        </w:rPr>
        <w:t>1990:46).</w:t>
      </w:r>
    </w:p>
    <w:p>
      <w:pPr>
        <w:pStyle w:val="BodyText"/>
        <w:rPr>
          <w:sz w:val="18"/>
        </w:rPr>
      </w:pPr>
    </w:p>
    <w:p>
      <w:pPr>
        <w:pStyle w:val="BodyText"/>
        <w:rPr>
          <w:sz w:val="18"/>
        </w:rPr>
      </w:pPr>
    </w:p>
    <w:p>
      <w:pPr>
        <w:pStyle w:val="BodyText"/>
        <w:spacing w:before="10"/>
        <w:rPr>
          <w:sz w:val="22"/>
        </w:rPr>
      </w:pPr>
    </w:p>
    <w:p>
      <w:pPr>
        <w:pStyle w:val="BodyText"/>
        <w:spacing w:line="360" w:lineRule="auto"/>
        <w:ind w:left="102" w:right="116"/>
        <w:jc w:val="both"/>
      </w:pPr>
      <w:r>
        <w:rPr/>
        <w:t>Este enfoque legal o constitucional ocupaba el pensamiento de los hombres y</w:t>
      </w:r>
      <w:r>
        <w:rPr>
          <w:spacing w:val="-37"/>
        </w:rPr>
        <w:t> </w:t>
      </w:r>
      <w:r>
        <w:rPr/>
        <w:t>ellos les prestaban escasa atención a los aspectos administrativos públicos, puesto que el gobierno actuaba en forma imperativa y además, sus funciones eran sencillas. Conforme ese estado de cosas fue cambiando, a través de los sistemas democráticos de gobierno dirigido por las mayorías, se operó la transformación social y económica de los pueblos; se hizo imperativa una nueva actitud mediante la cual las labores administrativas se ajusten a través de estudios y sistemas, a patrones normativos cuidadosamente probados (Castro,</w:t>
      </w:r>
      <w:r>
        <w:rPr>
          <w:spacing w:val="-21"/>
        </w:rPr>
        <w:t> </w:t>
      </w:r>
      <w:r>
        <w:rPr/>
        <w:t>1993:66).</w:t>
      </w:r>
    </w:p>
    <w:p>
      <w:pPr>
        <w:pStyle w:val="BodyText"/>
      </w:pPr>
    </w:p>
    <w:p>
      <w:pPr>
        <w:pStyle w:val="BodyText"/>
      </w:pPr>
    </w:p>
    <w:p>
      <w:pPr>
        <w:pStyle w:val="BodyText"/>
        <w:spacing w:line="360" w:lineRule="auto" w:before="185"/>
        <w:ind w:left="102" w:right="116"/>
        <w:jc w:val="both"/>
      </w:pPr>
      <w:r>
        <w:rPr/>
        <w:t>Franck Goodnow (1980), hizo la distinción entre “política y administración”. Hablando de la voluntad del Estado, identificando a la política con la “expresión” y a la administración con la “ejecución” de dicha voluntad. El problema del gobierno era, a su juicio, conseguir la armonía entre la expresión de la voluntad y su ejecución. De modo tal que la falta de armonía entre la ley y su ejecución provoca una parálisis política. Debido a que la expresión de la voluntad del Estado no tiene razón de ser si no se ejecuta la ley.</w:t>
      </w:r>
    </w:p>
    <w:p>
      <w:pPr>
        <w:pStyle w:val="BodyText"/>
      </w:pPr>
    </w:p>
    <w:p>
      <w:pPr>
        <w:pStyle w:val="BodyText"/>
      </w:pPr>
    </w:p>
    <w:p>
      <w:pPr>
        <w:pStyle w:val="BodyText"/>
        <w:spacing w:line="360" w:lineRule="auto" w:before="188"/>
        <w:ind w:left="102" w:right="117"/>
        <w:jc w:val="both"/>
      </w:pPr>
      <w:r>
        <w:rPr/>
        <w:t>Rodríguez (1990) señala desde la visión de Marx y Lenin las ideas en torno a la administración pública expresadas en su obra </w:t>
      </w:r>
      <w:r>
        <w:rPr>
          <w:i/>
        </w:rPr>
        <w:t>El Estado y la revolución</w:t>
      </w:r>
      <w:r>
        <w:rPr/>
        <w:t>. Considera importante terminar con el Estado parásito, aboliendo el parlamentarismo y sustituyendo la democracia burguesa por la democracia popular. Posteriormente, se debe crear un Estado socialista.</w:t>
      </w:r>
    </w:p>
    <w:p>
      <w:pPr>
        <w:spacing w:after="0" w:line="360" w:lineRule="auto"/>
        <w:jc w:val="both"/>
        <w:sectPr>
          <w:pgSz w:w="12240" w:h="15840"/>
          <w:pgMar w:header="0" w:footer="975" w:top="1360" w:bottom="1220" w:left="1600" w:right="1580"/>
        </w:sectPr>
      </w:pPr>
    </w:p>
    <w:p>
      <w:pPr>
        <w:pStyle w:val="BodyText"/>
        <w:spacing w:line="360" w:lineRule="auto" w:before="54"/>
        <w:ind w:left="102" w:right="120"/>
        <w:jc w:val="both"/>
      </w:pPr>
      <w:r>
        <w:rPr/>
        <w:t>Mientras que Max Weber (1964) proponía a la burocracia como el medio más racional</w:t>
      </w:r>
      <w:r>
        <w:rPr>
          <w:spacing w:val="-14"/>
        </w:rPr>
        <w:t> </w:t>
      </w:r>
      <w:r>
        <w:rPr/>
        <w:t>para</w:t>
      </w:r>
      <w:r>
        <w:rPr>
          <w:spacing w:val="-14"/>
        </w:rPr>
        <w:t> </w:t>
      </w:r>
      <w:r>
        <w:rPr/>
        <w:t>llevar</w:t>
      </w:r>
      <w:r>
        <w:rPr>
          <w:spacing w:val="-15"/>
        </w:rPr>
        <w:t> </w:t>
      </w:r>
      <w:r>
        <w:rPr/>
        <w:t>a</w:t>
      </w:r>
      <w:r>
        <w:rPr>
          <w:spacing w:val="-13"/>
        </w:rPr>
        <w:t> </w:t>
      </w:r>
      <w:r>
        <w:rPr/>
        <w:t>cabo</w:t>
      </w:r>
      <w:r>
        <w:rPr>
          <w:spacing w:val="-10"/>
        </w:rPr>
        <w:t> </w:t>
      </w:r>
      <w:r>
        <w:rPr/>
        <w:t>las</w:t>
      </w:r>
      <w:r>
        <w:rPr>
          <w:spacing w:val="-16"/>
        </w:rPr>
        <w:t> </w:t>
      </w:r>
      <w:r>
        <w:rPr/>
        <w:t>funciones</w:t>
      </w:r>
      <w:r>
        <w:rPr>
          <w:spacing w:val="-14"/>
        </w:rPr>
        <w:t> </w:t>
      </w:r>
      <w:r>
        <w:rPr/>
        <w:t>del</w:t>
      </w:r>
      <w:r>
        <w:rPr>
          <w:spacing w:val="-14"/>
        </w:rPr>
        <w:t> </w:t>
      </w:r>
      <w:r>
        <w:rPr/>
        <w:t>gobierno.</w:t>
      </w:r>
      <w:r>
        <w:rPr>
          <w:spacing w:val="-13"/>
        </w:rPr>
        <w:t> </w:t>
      </w:r>
      <w:r>
        <w:rPr/>
        <w:t>Los</w:t>
      </w:r>
      <w:r>
        <w:rPr>
          <w:spacing w:val="-14"/>
        </w:rPr>
        <w:t> </w:t>
      </w:r>
      <w:r>
        <w:rPr/>
        <w:t>principios</w:t>
      </w:r>
      <w:r>
        <w:rPr>
          <w:spacing w:val="-16"/>
        </w:rPr>
        <w:t> </w:t>
      </w:r>
      <w:r>
        <w:rPr/>
        <w:t>de</w:t>
      </w:r>
      <w:r>
        <w:rPr>
          <w:spacing w:val="-13"/>
        </w:rPr>
        <w:t> </w:t>
      </w:r>
      <w:r>
        <w:rPr/>
        <w:t>este</w:t>
      </w:r>
      <w:r>
        <w:rPr>
          <w:spacing w:val="-15"/>
        </w:rPr>
        <w:t> </w:t>
      </w:r>
      <w:r>
        <w:rPr/>
        <w:t>modelo eran los</w:t>
      </w:r>
      <w:r>
        <w:rPr>
          <w:spacing w:val="-3"/>
        </w:rPr>
        <w:t> </w:t>
      </w:r>
      <w:r>
        <w:rPr/>
        <w:t>siguientes:</w:t>
      </w:r>
    </w:p>
    <w:p>
      <w:pPr>
        <w:pStyle w:val="BodyText"/>
      </w:pPr>
    </w:p>
    <w:p>
      <w:pPr>
        <w:pStyle w:val="ListParagraph"/>
        <w:numPr>
          <w:ilvl w:val="0"/>
          <w:numId w:val="11"/>
        </w:numPr>
        <w:tabs>
          <w:tab w:pos="530" w:val="left" w:leader="none"/>
        </w:tabs>
        <w:spacing w:line="240" w:lineRule="auto" w:before="205" w:after="0"/>
        <w:ind w:left="529" w:right="0" w:hanging="360"/>
        <w:jc w:val="both"/>
        <w:rPr>
          <w:sz w:val="18"/>
        </w:rPr>
      </w:pPr>
      <w:r>
        <w:rPr>
          <w:sz w:val="18"/>
        </w:rPr>
        <w:t>El</w:t>
      </w:r>
      <w:r>
        <w:rPr>
          <w:spacing w:val="-2"/>
          <w:sz w:val="18"/>
        </w:rPr>
        <w:t> </w:t>
      </w:r>
      <w:r>
        <w:rPr>
          <w:sz w:val="18"/>
        </w:rPr>
        <w:t>cuadro</w:t>
      </w:r>
      <w:r>
        <w:rPr>
          <w:spacing w:val="-5"/>
          <w:sz w:val="18"/>
        </w:rPr>
        <w:t> </w:t>
      </w:r>
      <w:r>
        <w:rPr>
          <w:sz w:val="18"/>
        </w:rPr>
        <w:t>administrativo</w:t>
      </w:r>
      <w:r>
        <w:rPr>
          <w:spacing w:val="-3"/>
          <w:sz w:val="18"/>
        </w:rPr>
        <w:t> </w:t>
      </w:r>
      <w:r>
        <w:rPr>
          <w:sz w:val="18"/>
        </w:rPr>
        <w:t>es</w:t>
      </w:r>
      <w:r>
        <w:rPr>
          <w:spacing w:val="-2"/>
          <w:sz w:val="18"/>
        </w:rPr>
        <w:t> </w:t>
      </w:r>
      <w:r>
        <w:rPr>
          <w:sz w:val="18"/>
        </w:rPr>
        <w:t>personalmente</w:t>
      </w:r>
      <w:r>
        <w:rPr>
          <w:spacing w:val="-5"/>
          <w:sz w:val="18"/>
        </w:rPr>
        <w:t> </w:t>
      </w:r>
      <w:r>
        <w:rPr>
          <w:sz w:val="18"/>
        </w:rPr>
        <w:t>libre,</w:t>
      </w:r>
      <w:r>
        <w:rPr>
          <w:spacing w:val="-3"/>
          <w:sz w:val="18"/>
        </w:rPr>
        <w:t> </w:t>
      </w:r>
      <w:r>
        <w:rPr>
          <w:sz w:val="18"/>
        </w:rPr>
        <w:t>se</w:t>
      </w:r>
      <w:r>
        <w:rPr>
          <w:spacing w:val="-3"/>
          <w:sz w:val="18"/>
        </w:rPr>
        <w:t> </w:t>
      </w:r>
      <w:r>
        <w:rPr>
          <w:sz w:val="18"/>
        </w:rPr>
        <w:t>debe</w:t>
      </w:r>
      <w:r>
        <w:rPr>
          <w:spacing w:val="1"/>
          <w:sz w:val="18"/>
        </w:rPr>
        <w:t> </w:t>
      </w:r>
      <w:r>
        <w:rPr>
          <w:sz w:val="18"/>
        </w:rPr>
        <w:t>solo</w:t>
      </w:r>
      <w:r>
        <w:rPr>
          <w:spacing w:val="-2"/>
          <w:sz w:val="18"/>
        </w:rPr>
        <w:t> </w:t>
      </w:r>
      <w:r>
        <w:rPr>
          <w:sz w:val="18"/>
        </w:rPr>
        <w:t>a</w:t>
      </w:r>
      <w:r>
        <w:rPr>
          <w:spacing w:val="-3"/>
          <w:sz w:val="18"/>
        </w:rPr>
        <w:t> </w:t>
      </w:r>
      <w:r>
        <w:rPr>
          <w:sz w:val="18"/>
        </w:rPr>
        <w:t>los</w:t>
      </w:r>
      <w:r>
        <w:rPr>
          <w:spacing w:val="-2"/>
          <w:sz w:val="18"/>
        </w:rPr>
        <w:t> </w:t>
      </w:r>
      <w:r>
        <w:rPr>
          <w:sz w:val="18"/>
        </w:rPr>
        <w:t>deberes</w:t>
      </w:r>
      <w:r>
        <w:rPr>
          <w:spacing w:val="-4"/>
          <w:sz w:val="18"/>
        </w:rPr>
        <w:t> </w:t>
      </w:r>
      <w:r>
        <w:rPr>
          <w:sz w:val="18"/>
        </w:rPr>
        <w:t>objetivos</w:t>
      </w:r>
      <w:r>
        <w:rPr>
          <w:spacing w:val="-4"/>
          <w:sz w:val="18"/>
        </w:rPr>
        <w:t> </w:t>
      </w:r>
      <w:r>
        <w:rPr>
          <w:sz w:val="18"/>
        </w:rPr>
        <w:t>de</w:t>
      </w:r>
      <w:r>
        <w:rPr>
          <w:spacing w:val="-5"/>
          <w:sz w:val="18"/>
        </w:rPr>
        <w:t> </w:t>
      </w:r>
      <w:r>
        <w:rPr>
          <w:sz w:val="18"/>
        </w:rPr>
        <w:t>su</w:t>
      </w:r>
      <w:r>
        <w:rPr>
          <w:spacing w:val="-3"/>
          <w:sz w:val="18"/>
        </w:rPr>
        <w:t> </w:t>
      </w:r>
      <w:r>
        <w:rPr>
          <w:sz w:val="18"/>
        </w:rPr>
        <w:t>cargo.</w:t>
      </w:r>
    </w:p>
    <w:p>
      <w:pPr>
        <w:pStyle w:val="ListParagraph"/>
        <w:numPr>
          <w:ilvl w:val="0"/>
          <w:numId w:val="11"/>
        </w:numPr>
        <w:tabs>
          <w:tab w:pos="530" w:val="left" w:leader="none"/>
        </w:tabs>
        <w:spacing w:line="240" w:lineRule="auto" w:before="105" w:after="0"/>
        <w:ind w:left="529" w:right="0" w:hanging="360"/>
        <w:jc w:val="both"/>
        <w:rPr>
          <w:sz w:val="18"/>
        </w:rPr>
      </w:pPr>
      <w:r>
        <w:rPr>
          <w:sz w:val="18"/>
        </w:rPr>
        <w:t>Tienen una jerarquía administrativa</w:t>
      </w:r>
      <w:r>
        <w:rPr>
          <w:spacing w:val="-19"/>
          <w:sz w:val="18"/>
        </w:rPr>
        <w:t> </w:t>
      </w:r>
      <w:r>
        <w:rPr>
          <w:sz w:val="18"/>
        </w:rPr>
        <w:t>rigurosa.</w:t>
      </w:r>
    </w:p>
    <w:p>
      <w:pPr>
        <w:pStyle w:val="ListParagraph"/>
        <w:numPr>
          <w:ilvl w:val="0"/>
          <w:numId w:val="11"/>
        </w:numPr>
        <w:tabs>
          <w:tab w:pos="530" w:val="left" w:leader="none"/>
        </w:tabs>
        <w:spacing w:line="240" w:lineRule="auto" w:before="102" w:after="0"/>
        <w:ind w:left="529" w:right="0" w:hanging="360"/>
        <w:jc w:val="both"/>
        <w:rPr>
          <w:sz w:val="18"/>
        </w:rPr>
      </w:pPr>
      <w:r>
        <w:rPr>
          <w:sz w:val="18"/>
        </w:rPr>
        <w:t>Existen competencias rigurosamente</w:t>
      </w:r>
      <w:r>
        <w:rPr>
          <w:spacing w:val="-20"/>
          <w:sz w:val="18"/>
        </w:rPr>
        <w:t> </w:t>
      </w:r>
      <w:r>
        <w:rPr>
          <w:sz w:val="18"/>
        </w:rPr>
        <w:t>fijadas.</w:t>
      </w:r>
    </w:p>
    <w:p>
      <w:pPr>
        <w:pStyle w:val="ListParagraph"/>
        <w:numPr>
          <w:ilvl w:val="0"/>
          <w:numId w:val="11"/>
        </w:numPr>
        <w:tabs>
          <w:tab w:pos="530" w:val="left" w:leader="none"/>
        </w:tabs>
        <w:spacing w:line="240" w:lineRule="auto" w:before="102" w:after="0"/>
        <w:ind w:left="529" w:right="0" w:hanging="360"/>
        <w:jc w:val="both"/>
        <w:rPr>
          <w:sz w:val="18"/>
        </w:rPr>
      </w:pPr>
      <w:r>
        <w:rPr>
          <w:sz w:val="18"/>
        </w:rPr>
        <w:t>Están regulados por un contrato de libre</w:t>
      </w:r>
      <w:r>
        <w:rPr>
          <w:spacing w:val="-21"/>
          <w:sz w:val="18"/>
        </w:rPr>
        <w:t> </w:t>
      </w:r>
      <w:r>
        <w:rPr>
          <w:sz w:val="18"/>
        </w:rPr>
        <w:t>selección.</w:t>
      </w:r>
    </w:p>
    <w:p>
      <w:pPr>
        <w:pStyle w:val="ListParagraph"/>
        <w:numPr>
          <w:ilvl w:val="0"/>
          <w:numId w:val="11"/>
        </w:numPr>
        <w:tabs>
          <w:tab w:pos="530" w:val="left" w:leader="none"/>
        </w:tabs>
        <w:spacing w:line="240" w:lineRule="auto" w:before="105" w:after="0"/>
        <w:ind w:left="529" w:right="0" w:hanging="360"/>
        <w:jc w:val="both"/>
        <w:rPr>
          <w:sz w:val="18"/>
        </w:rPr>
      </w:pPr>
      <w:r>
        <w:rPr>
          <w:sz w:val="18"/>
        </w:rPr>
        <w:t>El personal está calificado para desempeñar el</w:t>
      </w:r>
      <w:r>
        <w:rPr>
          <w:spacing w:val="-22"/>
          <w:sz w:val="18"/>
        </w:rPr>
        <w:t> </w:t>
      </w:r>
      <w:r>
        <w:rPr>
          <w:sz w:val="18"/>
        </w:rPr>
        <w:t>puesto.</w:t>
      </w:r>
    </w:p>
    <w:p>
      <w:pPr>
        <w:pStyle w:val="ListParagraph"/>
        <w:numPr>
          <w:ilvl w:val="0"/>
          <w:numId w:val="11"/>
        </w:numPr>
        <w:tabs>
          <w:tab w:pos="530" w:val="left" w:leader="none"/>
        </w:tabs>
        <w:spacing w:line="240" w:lineRule="auto" w:before="102" w:after="0"/>
        <w:ind w:left="529" w:right="0" w:hanging="360"/>
        <w:jc w:val="both"/>
        <w:rPr>
          <w:sz w:val="18"/>
        </w:rPr>
      </w:pPr>
      <w:r>
        <w:rPr>
          <w:sz w:val="18"/>
        </w:rPr>
        <w:t>Reciben salarios fijos por su trabajo y pueden ser revocados por el que</w:t>
      </w:r>
      <w:r>
        <w:rPr>
          <w:spacing w:val="-34"/>
          <w:sz w:val="18"/>
        </w:rPr>
        <w:t> </w:t>
      </w:r>
      <w:r>
        <w:rPr>
          <w:sz w:val="18"/>
        </w:rPr>
        <w:t>manda.</w:t>
      </w:r>
    </w:p>
    <w:p>
      <w:pPr>
        <w:pStyle w:val="ListParagraph"/>
        <w:numPr>
          <w:ilvl w:val="0"/>
          <w:numId w:val="11"/>
        </w:numPr>
        <w:tabs>
          <w:tab w:pos="530" w:val="left" w:leader="none"/>
        </w:tabs>
        <w:spacing w:line="240" w:lineRule="auto" w:before="102" w:after="0"/>
        <w:ind w:left="529" w:right="0" w:hanging="360"/>
        <w:jc w:val="both"/>
        <w:rPr>
          <w:sz w:val="18"/>
        </w:rPr>
      </w:pPr>
      <w:r>
        <w:rPr>
          <w:sz w:val="18"/>
        </w:rPr>
        <w:t>Ejercen el cargo como su única o principal</w:t>
      </w:r>
      <w:r>
        <w:rPr>
          <w:spacing w:val="-25"/>
          <w:sz w:val="18"/>
        </w:rPr>
        <w:t> </w:t>
      </w:r>
      <w:r>
        <w:rPr>
          <w:sz w:val="18"/>
        </w:rPr>
        <w:t>profesión.</w:t>
      </w:r>
    </w:p>
    <w:p>
      <w:pPr>
        <w:pStyle w:val="ListParagraph"/>
        <w:numPr>
          <w:ilvl w:val="0"/>
          <w:numId w:val="11"/>
        </w:numPr>
        <w:tabs>
          <w:tab w:pos="530" w:val="left" w:leader="none"/>
        </w:tabs>
        <w:spacing w:line="240" w:lineRule="auto" w:before="105" w:after="0"/>
        <w:ind w:left="529" w:right="0" w:hanging="360"/>
        <w:jc w:val="both"/>
        <w:rPr>
          <w:sz w:val="18"/>
        </w:rPr>
      </w:pPr>
      <w:r>
        <w:rPr>
          <w:sz w:val="18"/>
        </w:rPr>
        <w:t>Tienen la posibilidad de ascenso y</w:t>
      </w:r>
      <w:r>
        <w:rPr>
          <w:spacing w:val="-18"/>
          <w:sz w:val="18"/>
        </w:rPr>
        <w:t> </w:t>
      </w:r>
      <w:r>
        <w:rPr>
          <w:sz w:val="18"/>
        </w:rPr>
        <w:t>carrera.</w:t>
      </w:r>
    </w:p>
    <w:p>
      <w:pPr>
        <w:pStyle w:val="ListParagraph"/>
        <w:numPr>
          <w:ilvl w:val="0"/>
          <w:numId w:val="11"/>
        </w:numPr>
        <w:tabs>
          <w:tab w:pos="530" w:val="left" w:leader="none"/>
        </w:tabs>
        <w:spacing w:line="360" w:lineRule="auto" w:before="102" w:after="0"/>
        <w:ind w:left="529" w:right="123" w:hanging="360"/>
        <w:jc w:val="left"/>
        <w:rPr>
          <w:sz w:val="18"/>
        </w:rPr>
      </w:pPr>
      <w:r>
        <w:rPr>
          <w:sz w:val="18"/>
        </w:rPr>
        <w:t>Trabajan con completa separación de los medios administrativos y sin apropiación del cargo. Es decir, separación de lo público y lo</w:t>
      </w:r>
      <w:r>
        <w:rPr>
          <w:spacing w:val="-17"/>
          <w:sz w:val="18"/>
        </w:rPr>
        <w:t> </w:t>
      </w:r>
      <w:r>
        <w:rPr>
          <w:sz w:val="18"/>
        </w:rPr>
        <w:t>privado.</w:t>
      </w:r>
    </w:p>
    <w:p>
      <w:pPr>
        <w:pStyle w:val="ListParagraph"/>
        <w:numPr>
          <w:ilvl w:val="0"/>
          <w:numId w:val="11"/>
        </w:numPr>
        <w:tabs>
          <w:tab w:pos="530" w:val="left" w:leader="none"/>
        </w:tabs>
        <w:spacing w:line="240" w:lineRule="auto" w:before="4" w:after="0"/>
        <w:ind w:left="529" w:right="0" w:hanging="360"/>
        <w:jc w:val="both"/>
        <w:rPr>
          <w:sz w:val="18"/>
        </w:rPr>
      </w:pPr>
      <w:r>
        <w:rPr>
          <w:sz w:val="18"/>
        </w:rPr>
        <w:t>Están sometidos a una rigurosa disciplina y vigilancia administrativa (Weber,</w:t>
      </w:r>
      <w:r>
        <w:rPr>
          <w:spacing w:val="-30"/>
          <w:sz w:val="18"/>
        </w:rPr>
        <w:t> </w:t>
      </w:r>
      <w:r>
        <w:rPr>
          <w:sz w:val="18"/>
        </w:rPr>
        <w:t>1984:176).</w:t>
      </w:r>
    </w:p>
    <w:p>
      <w:pPr>
        <w:pStyle w:val="BodyText"/>
        <w:rPr>
          <w:sz w:val="18"/>
        </w:rPr>
      </w:pPr>
    </w:p>
    <w:p>
      <w:pPr>
        <w:pStyle w:val="BodyText"/>
        <w:rPr>
          <w:sz w:val="18"/>
        </w:rPr>
      </w:pPr>
    </w:p>
    <w:p>
      <w:pPr>
        <w:pStyle w:val="BodyText"/>
        <w:rPr>
          <w:sz w:val="18"/>
        </w:rPr>
      </w:pPr>
    </w:p>
    <w:p>
      <w:pPr>
        <w:pStyle w:val="BodyText"/>
        <w:spacing w:before="2"/>
        <w:rPr>
          <w:sz w:val="22"/>
        </w:rPr>
      </w:pPr>
    </w:p>
    <w:p>
      <w:pPr>
        <w:pStyle w:val="BodyText"/>
        <w:spacing w:line="360" w:lineRule="auto" w:before="1"/>
        <w:ind w:left="102" w:right="117"/>
        <w:jc w:val="both"/>
      </w:pPr>
      <w:r>
        <w:rPr/>
        <w:t>A través de estas características la administración burocrática estaba basada en el expediente, convirtiéndose en la forma más racional de ejercer la dominación en todos los sentidos: precisión, continuidad, disciplina, rigor y confianza; calculabilidad, intensidad y extensión en el servicio; aplicabilidad formalmente universal a toda suerte de tareas; y susceptibilidad técnica de perfección para alcanzar el óptimo en sus resultados (Weber, 1984).</w:t>
      </w:r>
    </w:p>
    <w:p>
      <w:pPr>
        <w:pStyle w:val="BodyText"/>
      </w:pPr>
    </w:p>
    <w:p>
      <w:pPr>
        <w:pStyle w:val="BodyText"/>
      </w:pPr>
    </w:p>
    <w:p>
      <w:pPr>
        <w:pStyle w:val="BodyText"/>
        <w:spacing w:line="360" w:lineRule="auto" w:before="185"/>
        <w:ind w:left="102" w:right="117"/>
        <w:jc w:val="both"/>
      </w:pPr>
      <w:r>
        <w:rPr/>
        <w:t>La</w:t>
      </w:r>
      <w:r>
        <w:rPr>
          <w:spacing w:val="-5"/>
        </w:rPr>
        <w:t> </w:t>
      </w:r>
      <w:r>
        <w:rPr/>
        <w:t>burocracia</w:t>
      </w:r>
      <w:r>
        <w:rPr>
          <w:spacing w:val="-5"/>
        </w:rPr>
        <w:t> </w:t>
      </w:r>
      <w:r>
        <w:rPr/>
        <w:t>representaba</w:t>
      </w:r>
      <w:r>
        <w:rPr>
          <w:spacing w:val="-5"/>
        </w:rPr>
        <w:t> </w:t>
      </w:r>
      <w:r>
        <w:rPr/>
        <w:t>una</w:t>
      </w:r>
      <w:r>
        <w:rPr>
          <w:spacing w:val="-5"/>
        </w:rPr>
        <w:t> </w:t>
      </w:r>
      <w:r>
        <w:rPr/>
        <w:t>oportunidad</w:t>
      </w:r>
      <w:r>
        <w:rPr>
          <w:spacing w:val="-7"/>
        </w:rPr>
        <w:t> </w:t>
      </w:r>
      <w:r>
        <w:rPr/>
        <w:t>para</w:t>
      </w:r>
      <w:r>
        <w:rPr>
          <w:spacing w:val="-5"/>
        </w:rPr>
        <w:t> </w:t>
      </w:r>
      <w:r>
        <w:rPr/>
        <w:t>limitar</w:t>
      </w:r>
      <w:r>
        <w:rPr>
          <w:spacing w:val="-8"/>
        </w:rPr>
        <w:t> </w:t>
      </w:r>
      <w:r>
        <w:rPr/>
        <w:t>el</w:t>
      </w:r>
      <w:r>
        <w:rPr>
          <w:spacing w:val="-6"/>
        </w:rPr>
        <w:t> </w:t>
      </w:r>
      <w:r>
        <w:rPr/>
        <w:t>actuar</w:t>
      </w:r>
      <w:r>
        <w:rPr>
          <w:spacing w:val="-6"/>
        </w:rPr>
        <w:t> </w:t>
      </w:r>
      <w:r>
        <w:rPr/>
        <w:t>indeseado</w:t>
      </w:r>
      <w:r>
        <w:rPr>
          <w:spacing w:val="-5"/>
        </w:rPr>
        <w:t> </w:t>
      </w:r>
      <w:r>
        <w:rPr/>
        <w:t>de</w:t>
      </w:r>
      <w:r>
        <w:rPr>
          <w:spacing w:val="-5"/>
        </w:rPr>
        <w:t> </w:t>
      </w:r>
      <w:r>
        <w:rPr/>
        <w:t>los gobernantes.</w:t>
      </w:r>
      <w:r>
        <w:rPr>
          <w:spacing w:val="-8"/>
        </w:rPr>
        <w:t> </w:t>
      </w:r>
      <w:r>
        <w:rPr/>
        <w:t>Al</w:t>
      </w:r>
      <w:r>
        <w:rPr>
          <w:spacing w:val="-10"/>
        </w:rPr>
        <w:t> </w:t>
      </w:r>
      <w:r>
        <w:rPr/>
        <w:t>respecto</w:t>
      </w:r>
      <w:r>
        <w:rPr>
          <w:spacing w:val="-7"/>
        </w:rPr>
        <w:t> </w:t>
      </w:r>
      <w:r>
        <w:rPr/>
        <w:t>Parsons</w:t>
      </w:r>
      <w:r>
        <w:rPr>
          <w:spacing w:val="-9"/>
        </w:rPr>
        <w:t> </w:t>
      </w:r>
      <w:r>
        <w:rPr/>
        <w:t>(1984)</w:t>
      </w:r>
      <w:r>
        <w:rPr>
          <w:spacing w:val="-8"/>
        </w:rPr>
        <w:t> </w:t>
      </w:r>
      <w:r>
        <w:rPr/>
        <w:t>afirma</w:t>
      </w:r>
      <w:r>
        <w:rPr>
          <w:spacing w:val="-8"/>
        </w:rPr>
        <w:t> </w:t>
      </w:r>
      <w:r>
        <w:rPr/>
        <w:t>que</w:t>
      </w:r>
      <w:r>
        <w:rPr>
          <w:spacing w:val="-8"/>
        </w:rPr>
        <w:t> </w:t>
      </w:r>
      <w:r>
        <w:rPr/>
        <w:t>al</w:t>
      </w:r>
      <w:r>
        <w:rPr>
          <w:spacing w:val="-10"/>
        </w:rPr>
        <w:t> </w:t>
      </w:r>
      <w:r>
        <w:rPr/>
        <w:t>aplicar</w:t>
      </w:r>
      <w:r>
        <w:rPr>
          <w:spacing w:val="-10"/>
        </w:rPr>
        <w:t> </w:t>
      </w:r>
      <w:r>
        <w:rPr/>
        <w:t>las</w:t>
      </w:r>
      <w:r>
        <w:rPr>
          <w:spacing w:val="-9"/>
        </w:rPr>
        <w:t> </w:t>
      </w:r>
      <w:r>
        <w:rPr/>
        <w:t>reglas</w:t>
      </w:r>
      <w:r>
        <w:rPr>
          <w:spacing w:val="-9"/>
        </w:rPr>
        <w:t> </w:t>
      </w:r>
      <w:r>
        <w:rPr/>
        <w:t>de</w:t>
      </w:r>
      <w:r>
        <w:rPr>
          <w:spacing w:val="-8"/>
        </w:rPr>
        <w:t> </w:t>
      </w:r>
      <w:r>
        <w:rPr/>
        <w:t>manera impersonal se crearía un sentido estructural que influiría en la cultura del individuo para limitarlo. Por ello, señala Barzelay (1998), es importante que el “paradigma posburocrático”</w:t>
      </w:r>
      <w:r>
        <w:rPr>
          <w:spacing w:val="-14"/>
        </w:rPr>
        <w:t> </w:t>
      </w:r>
      <w:r>
        <w:rPr/>
        <w:t>tenga</w:t>
      </w:r>
      <w:r>
        <w:rPr>
          <w:spacing w:val="-18"/>
        </w:rPr>
        <w:t> </w:t>
      </w:r>
      <w:r>
        <w:rPr/>
        <w:t>como</w:t>
      </w:r>
      <w:r>
        <w:rPr>
          <w:spacing w:val="-15"/>
        </w:rPr>
        <w:t> </w:t>
      </w:r>
      <w:r>
        <w:rPr/>
        <w:t>premisa</w:t>
      </w:r>
      <w:r>
        <w:rPr>
          <w:spacing w:val="-16"/>
        </w:rPr>
        <w:t> </w:t>
      </w:r>
      <w:r>
        <w:rPr/>
        <w:t>básica</w:t>
      </w:r>
      <w:r>
        <w:rPr>
          <w:spacing w:val="-16"/>
        </w:rPr>
        <w:t> </w:t>
      </w:r>
      <w:r>
        <w:rPr/>
        <w:t>escuchar</w:t>
      </w:r>
      <w:r>
        <w:rPr>
          <w:spacing w:val="-17"/>
        </w:rPr>
        <w:t> </w:t>
      </w:r>
      <w:r>
        <w:rPr/>
        <w:t>a</w:t>
      </w:r>
      <w:r>
        <w:rPr>
          <w:spacing w:val="-13"/>
        </w:rPr>
        <w:t> </w:t>
      </w:r>
      <w:r>
        <w:rPr/>
        <w:t>sus</w:t>
      </w:r>
      <w:r>
        <w:rPr>
          <w:spacing w:val="-14"/>
        </w:rPr>
        <w:t> </w:t>
      </w:r>
      <w:r>
        <w:rPr/>
        <w:t>clientes,</w:t>
      </w:r>
      <w:r>
        <w:rPr>
          <w:spacing w:val="-18"/>
        </w:rPr>
        <w:t> </w:t>
      </w:r>
      <w:r>
        <w:rPr/>
        <w:t>para</w:t>
      </w:r>
      <w:r>
        <w:rPr>
          <w:spacing w:val="-14"/>
        </w:rPr>
        <w:t> </w:t>
      </w:r>
      <w:r>
        <w:rPr/>
        <w:t>lograr</w:t>
      </w:r>
      <w:r>
        <w:rPr>
          <w:spacing w:val="-14"/>
        </w:rPr>
        <w:t> </w:t>
      </w:r>
      <w:r>
        <w:rPr/>
        <w:t>que por convencimiento y no por coerción, den cumplimiento a la</w:t>
      </w:r>
      <w:r>
        <w:rPr>
          <w:spacing w:val="-19"/>
        </w:rPr>
        <w:t> </w:t>
      </w:r>
      <w:r>
        <w:rPr/>
        <w:t>norma.</w:t>
      </w:r>
    </w:p>
    <w:p>
      <w:pPr>
        <w:spacing w:after="0" w:line="360" w:lineRule="auto"/>
        <w:jc w:val="both"/>
        <w:sectPr>
          <w:pgSz w:w="12240" w:h="15840"/>
          <w:pgMar w:header="0" w:footer="975" w:top="1360" w:bottom="1220" w:left="1600" w:right="1580"/>
        </w:sectPr>
      </w:pPr>
    </w:p>
    <w:p>
      <w:pPr>
        <w:spacing w:line="362" w:lineRule="auto" w:before="51"/>
        <w:ind w:left="102" w:right="117" w:firstLine="0"/>
        <w:jc w:val="both"/>
        <w:rPr>
          <w:sz w:val="24"/>
        </w:rPr>
      </w:pPr>
      <w:r>
        <w:rPr>
          <w:sz w:val="24"/>
        </w:rPr>
        <w:t>Leonard D. White (1961), en su libro </w:t>
      </w:r>
      <w:r>
        <w:rPr>
          <w:i/>
          <w:sz w:val="24"/>
        </w:rPr>
        <w:t>Introducción al estudio de la Administración </w:t>
      </w:r>
      <w:r>
        <w:rPr>
          <w:i/>
          <w:sz w:val="24"/>
        </w:rPr>
        <w:t>Pública </w:t>
      </w:r>
      <w:r>
        <w:rPr>
          <w:sz w:val="24"/>
        </w:rPr>
        <w:t>afirma que la administración es como un arte que consiste en llevar a la práctica la política del Estado:</w:t>
      </w:r>
    </w:p>
    <w:p>
      <w:pPr>
        <w:pStyle w:val="BodyText"/>
      </w:pPr>
    </w:p>
    <w:p>
      <w:pPr>
        <w:pStyle w:val="BodyText"/>
      </w:pPr>
    </w:p>
    <w:p>
      <w:pPr>
        <w:spacing w:line="240" w:lineRule="auto" w:before="186"/>
        <w:ind w:left="954" w:right="826" w:firstLine="0"/>
        <w:jc w:val="both"/>
        <w:rPr>
          <w:sz w:val="18"/>
        </w:rPr>
      </w:pPr>
      <w:r>
        <w:rPr>
          <w:sz w:val="18"/>
        </w:rPr>
        <w:t>“La administración pública consiste en todas las operaciones que tienen por objeto la realización</w:t>
      </w:r>
      <w:r>
        <w:rPr>
          <w:spacing w:val="-11"/>
          <w:sz w:val="18"/>
        </w:rPr>
        <w:t> </w:t>
      </w:r>
      <w:r>
        <w:rPr>
          <w:sz w:val="18"/>
        </w:rPr>
        <w:t>o</w:t>
      </w:r>
      <w:r>
        <w:rPr>
          <w:spacing w:val="-9"/>
          <w:sz w:val="18"/>
        </w:rPr>
        <w:t> </w:t>
      </w:r>
      <w:r>
        <w:rPr>
          <w:sz w:val="18"/>
        </w:rPr>
        <w:t>la</w:t>
      </w:r>
      <w:r>
        <w:rPr>
          <w:spacing w:val="-9"/>
          <w:sz w:val="18"/>
        </w:rPr>
        <w:t> </w:t>
      </w:r>
      <w:r>
        <w:rPr>
          <w:sz w:val="18"/>
        </w:rPr>
        <w:t>observancia</w:t>
      </w:r>
      <w:r>
        <w:rPr>
          <w:spacing w:val="-9"/>
          <w:sz w:val="18"/>
        </w:rPr>
        <w:t> </w:t>
      </w:r>
      <w:r>
        <w:rPr>
          <w:sz w:val="18"/>
        </w:rPr>
        <w:t>forzosa</w:t>
      </w:r>
      <w:r>
        <w:rPr>
          <w:spacing w:val="-9"/>
          <w:sz w:val="18"/>
        </w:rPr>
        <w:t> </w:t>
      </w:r>
      <w:r>
        <w:rPr>
          <w:sz w:val="18"/>
        </w:rPr>
        <w:t>de</w:t>
      </w:r>
      <w:r>
        <w:rPr>
          <w:spacing w:val="-9"/>
          <w:sz w:val="18"/>
        </w:rPr>
        <w:t> </w:t>
      </w:r>
      <w:r>
        <w:rPr>
          <w:sz w:val="18"/>
        </w:rPr>
        <w:t>la</w:t>
      </w:r>
      <w:r>
        <w:rPr>
          <w:spacing w:val="-11"/>
          <w:sz w:val="18"/>
        </w:rPr>
        <w:t> </w:t>
      </w:r>
      <w:r>
        <w:rPr>
          <w:sz w:val="18"/>
        </w:rPr>
        <w:t>política</w:t>
      </w:r>
      <w:r>
        <w:rPr>
          <w:spacing w:val="-9"/>
          <w:sz w:val="18"/>
        </w:rPr>
        <w:t> </w:t>
      </w:r>
      <w:r>
        <w:rPr>
          <w:sz w:val="18"/>
        </w:rPr>
        <w:t>del</w:t>
      </w:r>
      <w:r>
        <w:rPr>
          <w:spacing w:val="-9"/>
          <w:sz w:val="18"/>
        </w:rPr>
        <w:t> </w:t>
      </w:r>
      <w:r>
        <w:rPr>
          <w:sz w:val="18"/>
        </w:rPr>
        <w:t>Estado</w:t>
      </w:r>
      <w:r>
        <w:rPr>
          <w:spacing w:val="-9"/>
          <w:sz w:val="18"/>
        </w:rPr>
        <w:t> </w:t>
      </w:r>
      <w:r>
        <w:rPr>
          <w:sz w:val="18"/>
        </w:rPr>
        <w:t>(…)</w:t>
      </w:r>
      <w:r>
        <w:rPr>
          <w:spacing w:val="-4"/>
          <w:sz w:val="18"/>
        </w:rPr>
        <w:t> </w:t>
      </w:r>
      <w:r>
        <w:rPr>
          <w:sz w:val="18"/>
        </w:rPr>
        <w:t>el</w:t>
      </w:r>
      <w:r>
        <w:rPr>
          <w:spacing w:val="-9"/>
          <w:sz w:val="18"/>
        </w:rPr>
        <w:t> </w:t>
      </w:r>
      <w:r>
        <w:rPr>
          <w:sz w:val="18"/>
        </w:rPr>
        <w:t>arte</w:t>
      </w:r>
      <w:r>
        <w:rPr>
          <w:spacing w:val="-8"/>
          <w:sz w:val="18"/>
        </w:rPr>
        <w:t> </w:t>
      </w:r>
      <w:r>
        <w:rPr>
          <w:sz w:val="18"/>
        </w:rPr>
        <w:t>de</w:t>
      </w:r>
      <w:r>
        <w:rPr>
          <w:spacing w:val="-11"/>
          <w:sz w:val="18"/>
        </w:rPr>
        <w:t> </w:t>
      </w:r>
      <w:r>
        <w:rPr>
          <w:sz w:val="18"/>
        </w:rPr>
        <w:t>la</w:t>
      </w:r>
      <w:r>
        <w:rPr>
          <w:spacing w:val="-9"/>
          <w:sz w:val="18"/>
        </w:rPr>
        <w:t> </w:t>
      </w:r>
      <w:r>
        <w:rPr>
          <w:sz w:val="18"/>
        </w:rPr>
        <w:t>administración es la dirección, coordinación y control de muchas personas para realizar algún propósito u objetivo. Es un arte dinámico, que utiliza los recursos humanos y físicos de que se dispone en un sistema de administración, plegándolos a la consecución de una finalidad necesaria (…) Es un arte que penetra todos los niveles de organización, y que mantiene unidos muchas profesiones, oficios y especialidades, cuyas aportaciones, aunque igualmente necesarias, no son las de la administración” (White,</w:t>
      </w:r>
      <w:r>
        <w:rPr>
          <w:spacing w:val="-23"/>
          <w:sz w:val="18"/>
        </w:rPr>
        <w:t> </w:t>
      </w:r>
      <w:r>
        <w:rPr>
          <w:sz w:val="18"/>
        </w:rPr>
        <w:t>1964:1-2).</w:t>
      </w:r>
    </w:p>
    <w:p>
      <w:pPr>
        <w:pStyle w:val="BodyText"/>
        <w:rPr>
          <w:sz w:val="18"/>
        </w:rPr>
      </w:pPr>
    </w:p>
    <w:p>
      <w:pPr>
        <w:pStyle w:val="BodyText"/>
        <w:rPr>
          <w:sz w:val="18"/>
        </w:rPr>
      </w:pPr>
    </w:p>
    <w:p>
      <w:pPr>
        <w:pStyle w:val="BodyText"/>
        <w:rPr>
          <w:sz w:val="18"/>
        </w:rPr>
      </w:pPr>
    </w:p>
    <w:p>
      <w:pPr>
        <w:pStyle w:val="BodyText"/>
        <w:spacing w:line="360" w:lineRule="auto" w:before="114"/>
        <w:ind w:left="102" w:right="118"/>
        <w:jc w:val="both"/>
      </w:pPr>
      <w:r>
        <w:rPr/>
        <w:t>Esta afirmación que realiza el autor nos remite a la misma idea planteada anteriormente</w:t>
      </w:r>
      <w:r>
        <w:rPr>
          <w:spacing w:val="-9"/>
        </w:rPr>
        <w:t> </w:t>
      </w:r>
      <w:r>
        <w:rPr/>
        <w:t>por</w:t>
      </w:r>
      <w:r>
        <w:rPr>
          <w:spacing w:val="-11"/>
        </w:rPr>
        <w:t> </w:t>
      </w:r>
      <w:r>
        <w:rPr/>
        <w:t>Goodnow,</w:t>
      </w:r>
      <w:r>
        <w:rPr>
          <w:spacing w:val="-7"/>
        </w:rPr>
        <w:t> </w:t>
      </w:r>
      <w:r>
        <w:rPr/>
        <w:t>en</w:t>
      </w:r>
      <w:r>
        <w:rPr>
          <w:spacing w:val="-9"/>
        </w:rPr>
        <w:t> </w:t>
      </w:r>
      <w:r>
        <w:rPr/>
        <w:t>la</w:t>
      </w:r>
      <w:r>
        <w:rPr>
          <w:spacing w:val="-10"/>
        </w:rPr>
        <w:t> </w:t>
      </w:r>
      <w:r>
        <w:rPr/>
        <w:t>que</w:t>
      </w:r>
      <w:r>
        <w:rPr>
          <w:spacing w:val="-9"/>
        </w:rPr>
        <w:t> </w:t>
      </w:r>
      <w:r>
        <w:rPr/>
        <w:t>el</w:t>
      </w:r>
      <w:r>
        <w:rPr>
          <w:spacing w:val="-11"/>
        </w:rPr>
        <w:t> </w:t>
      </w:r>
      <w:r>
        <w:rPr/>
        <w:t>Estado</w:t>
      </w:r>
      <w:r>
        <w:rPr>
          <w:spacing w:val="-9"/>
        </w:rPr>
        <w:t> </w:t>
      </w:r>
      <w:r>
        <w:rPr/>
        <w:t>cobra</w:t>
      </w:r>
      <w:r>
        <w:rPr>
          <w:spacing w:val="-7"/>
        </w:rPr>
        <w:t> </w:t>
      </w:r>
      <w:r>
        <w:rPr/>
        <w:t>relevancia</w:t>
      </w:r>
      <w:r>
        <w:rPr>
          <w:spacing w:val="-10"/>
        </w:rPr>
        <w:t> </w:t>
      </w:r>
      <w:r>
        <w:rPr/>
        <w:t>en</w:t>
      </w:r>
      <w:r>
        <w:rPr>
          <w:spacing w:val="-7"/>
        </w:rPr>
        <w:t> </w:t>
      </w:r>
      <w:r>
        <w:rPr/>
        <w:t>la</w:t>
      </w:r>
      <w:r>
        <w:rPr>
          <w:spacing w:val="-10"/>
        </w:rPr>
        <w:t> </w:t>
      </w:r>
      <w:r>
        <w:rPr/>
        <w:t>medida</w:t>
      </w:r>
      <w:r>
        <w:rPr>
          <w:spacing w:val="-7"/>
        </w:rPr>
        <w:t> </w:t>
      </w:r>
      <w:r>
        <w:rPr/>
        <w:t>que hace valer su poder para hacer cumplir la ley. En este sentido tiene pertinencia la afirmación de Nigro cuando describe lo</w:t>
      </w:r>
      <w:r>
        <w:rPr>
          <w:spacing w:val="-15"/>
        </w:rPr>
        <w:t> </w:t>
      </w:r>
      <w:r>
        <w:rPr/>
        <w:t>siguiente:</w:t>
      </w:r>
    </w:p>
    <w:p>
      <w:pPr>
        <w:pStyle w:val="BodyText"/>
      </w:pPr>
    </w:p>
    <w:p>
      <w:pPr>
        <w:pStyle w:val="BodyText"/>
      </w:pPr>
    </w:p>
    <w:p>
      <w:pPr>
        <w:spacing w:line="240" w:lineRule="auto" w:before="186"/>
        <w:ind w:left="954" w:right="823" w:firstLine="0"/>
        <w:jc w:val="both"/>
        <w:rPr>
          <w:sz w:val="18"/>
        </w:rPr>
      </w:pPr>
      <w:r>
        <w:rPr>
          <w:sz w:val="18"/>
        </w:rPr>
        <w:t>“Execution of the law always requires some discretion. Leonard D. White in his book The Federalists shows how attempts were made to keep administrative discretion to a minimum during the administrations of George Washington and John Adams, and how this could not be accomplished even in the relatively simple society of the first years of the new Republic. For example, when Congress decided to raise money by taxing carriage” (Nigro, 1970, 10).</w:t>
      </w:r>
    </w:p>
    <w:p>
      <w:pPr>
        <w:pStyle w:val="BodyText"/>
        <w:rPr>
          <w:sz w:val="18"/>
        </w:rPr>
      </w:pPr>
    </w:p>
    <w:p>
      <w:pPr>
        <w:pStyle w:val="BodyText"/>
        <w:rPr>
          <w:sz w:val="18"/>
        </w:rPr>
      </w:pPr>
    </w:p>
    <w:p>
      <w:pPr>
        <w:pStyle w:val="BodyText"/>
        <w:rPr>
          <w:sz w:val="18"/>
        </w:rPr>
      </w:pPr>
    </w:p>
    <w:p>
      <w:pPr>
        <w:pStyle w:val="BodyText"/>
        <w:spacing w:line="360" w:lineRule="auto" w:before="114"/>
        <w:ind w:left="102" w:right="115"/>
        <w:jc w:val="both"/>
      </w:pPr>
      <w:r>
        <w:rPr/>
        <w:t>Para Paul H. Appleby, señala Rodríguez (1990), en su obra la gran democracia encuentra una interpretación favorable para la administración pública, aun sin ser desfavorable para la administración. Al admitir que en algunos aspectos y en cierto modo el gobierno no está sujeto a una vara de medir dinero. En tanto que para Dwhight Waldo, afirma Guerrero (2010), la administración pública también es un concepto sociológico que se origina en la sociabilidad humana en sí, pero tiene un carácter especial que se atribuye específicamente a la acción humana</w:t>
      </w:r>
      <w:r>
        <w:rPr>
          <w:spacing w:val="-45"/>
        </w:rPr>
        <w:t> </w:t>
      </w:r>
      <w:r>
        <w:rPr/>
        <w:t>cooperativa, familia de la que forma</w:t>
      </w:r>
      <w:r>
        <w:rPr>
          <w:spacing w:val="-5"/>
        </w:rPr>
        <w:t> </w:t>
      </w:r>
      <w:r>
        <w:rPr/>
        <w:t>parte.</w:t>
      </w:r>
    </w:p>
    <w:p>
      <w:pPr>
        <w:spacing w:after="0" w:line="360" w:lineRule="auto"/>
        <w:jc w:val="both"/>
        <w:sectPr>
          <w:pgSz w:w="12240" w:h="15840"/>
          <w:pgMar w:header="0" w:footer="975" w:top="1360" w:bottom="1220" w:left="1600" w:right="1580"/>
        </w:sectPr>
      </w:pPr>
    </w:p>
    <w:p>
      <w:pPr>
        <w:pStyle w:val="BodyText"/>
        <w:spacing w:line="360" w:lineRule="auto" w:before="51"/>
        <w:ind w:left="102" w:right="115"/>
        <w:jc w:val="both"/>
      </w:pPr>
      <w:r>
        <w:rPr/>
        <w:t>Por su parte Peter B. Hammond (1959), publica su obra </w:t>
      </w:r>
      <w:r>
        <w:rPr>
          <w:i/>
        </w:rPr>
        <w:t>Sobre el estudio de la </w:t>
      </w:r>
      <w:r>
        <w:rPr>
          <w:i/>
        </w:rPr>
        <w:t>administración</w:t>
      </w:r>
      <w:r>
        <w:rPr/>
        <w:t>, en la que afirma que en otros lugares la administración pública se encuentra separada de las ciencias políticas y se ofrece a los estudiantes como preparación profesional. Para comprenderla y practicarla es necesario dedicarse a su estudio, porque las variables a estudiar deben ser lo suficientemente amplias para</w:t>
      </w:r>
      <w:r>
        <w:rPr>
          <w:spacing w:val="-11"/>
        </w:rPr>
        <w:t> </w:t>
      </w:r>
      <w:r>
        <w:rPr/>
        <w:t>incluir</w:t>
      </w:r>
      <w:r>
        <w:rPr>
          <w:spacing w:val="-13"/>
        </w:rPr>
        <w:t> </w:t>
      </w:r>
      <w:r>
        <w:rPr/>
        <w:t>las</w:t>
      </w:r>
      <w:r>
        <w:rPr>
          <w:spacing w:val="-11"/>
        </w:rPr>
        <w:t> </w:t>
      </w:r>
      <w:r>
        <w:rPr/>
        <w:t>condiciones</w:t>
      </w:r>
      <w:r>
        <w:rPr>
          <w:spacing w:val="-12"/>
        </w:rPr>
        <w:t> </w:t>
      </w:r>
      <w:r>
        <w:rPr/>
        <w:t>y</w:t>
      </w:r>
      <w:r>
        <w:rPr>
          <w:spacing w:val="-14"/>
        </w:rPr>
        <w:t> </w:t>
      </w:r>
      <w:r>
        <w:rPr/>
        <w:t>circunstancias</w:t>
      </w:r>
      <w:r>
        <w:rPr>
          <w:spacing w:val="-13"/>
        </w:rPr>
        <w:t> </w:t>
      </w:r>
      <w:r>
        <w:rPr/>
        <w:t>éticas</w:t>
      </w:r>
      <w:r>
        <w:rPr>
          <w:spacing w:val="-12"/>
        </w:rPr>
        <w:t> </w:t>
      </w:r>
      <w:r>
        <w:rPr/>
        <w:t>que</w:t>
      </w:r>
      <w:r>
        <w:rPr>
          <w:spacing w:val="-13"/>
        </w:rPr>
        <w:t> </w:t>
      </w:r>
      <w:r>
        <w:rPr/>
        <w:t>pueden</w:t>
      </w:r>
      <w:r>
        <w:rPr>
          <w:spacing w:val="-11"/>
        </w:rPr>
        <w:t> </w:t>
      </w:r>
      <w:r>
        <w:rPr/>
        <w:t>hallarse</w:t>
      </w:r>
      <w:r>
        <w:rPr>
          <w:spacing w:val="-11"/>
        </w:rPr>
        <w:t> </w:t>
      </w:r>
      <w:r>
        <w:rPr/>
        <w:t>en</w:t>
      </w:r>
      <w:r>
        <w:rPr>
          <w:spacing w:val="-13"/>
        </w:rPr>
        <w:t> </w:t>
      </w:r>
      <w:r>
        <w:rPr/>
        <w:t>todos</w:t>
      </w:r>
      <w:r>
        <w:rPr>
          <w:spacing w:val="-12"/>
        </w:rPr>
        <w:t> </w:t>
      </w:r>
      <w:r>
        <w:rPr/>
        <w:t>los campos de la administración y en todos los contextos culturales (Rodríguez,</w:t>
      </w:r>
      <w:r>
        <w:rPr>
          <w:spacing w:val="-31"/>
        </w:rPr>
        <w:t> </w:t>
      </w:r>
      <w:r>
        <w:rPr/>
        <w:t>1990).</w:t>
      </w:r>
    </w:p>
    <w:p>
      <w:pPr>
        <w:pStyle w:val="BodyText"/>
      </w:pPr>
    </w:p>
    <w:p>
      <w:pPr>
        <w:pStyle w:val="BodyText"/>
      </w:pPr>
    </w:p>
    <w:p>
      <w:pPr>
        <w:pStyle w:val="BodyText"/>
        <w:spacing w:line="360" w:lineRule="auto" w:before="186"/>
        <w:ind w:left="102" w:right="115"/>
        <w:jc w:val="both"/>
      </w:pPr>
      <w:r>
        <w:rPr/>
        <w:t>En tanto que Ira Sharkansy en su obra </w:t>
      </w:r>
      <w:r>
        <w:rPr>
          <w:i/>
        </w:rPr>
        <w:t>Administración pública</w:t>
      </w:r>
      <w:r>
        <w:rPr/>
        <w:t>, publicada en 1970, establece normas en las dependencias de gobierno e incluye información sobre la consideración del público hacia los burócratas del gobierno; las características personales de los administradores públicos y los partidos políticos, los grupos interesados y las ramas ejecutiva y legislativa del gobierno; sobre las interacciones entre los administradores públicos y los funcionarios del gobierno de diferentes unidades del sistema federal.</w:t>
      </w:r>
    </w:p>
    <w:p>
      <w:pPr>
        <w:pStyle w:val="BodyText"/>
      </w:pPr>
    </w:p>
    <w:p>
      <w:pPr>
        <w:pStyle w:val="BodyText"/>
      </w:pPr>
    </w:p>
    <w:p>
      <w:pPr>
        <w:pStyle w:val="BodyText"/>
        <w:spacing w:line="360" w:lineRule="auto" w:before="185"/>
        <w:ind w:left="102" w:right="115"/>
        <w:jc w:val="both"/>
      </w:pPr>
      <w:r>
        <w:rPr/>
        <w:t>Bonnin sostiene que la administración pública es: una potencia que arregla,</w:t>
      </w:r>
      <w:r>
        <w:rPr>
          <w:spacing w:val="-35"/>
        </w:rPr>
        <w:t> </w:t>
      </w:r>
      <w:r>
        <w:rPr/>
        <w:t>corrige y mejora todo cuanto existe, y da una dirección más conveniente a los seres organizados y a las cosas La sociedad concebida de esta forma está construida a partir de los individuos y el individualismo, de modo que su existencia es la existencia del individuo y el individualismo (Guerrero,</w:t>
      </w:r>
      <w:r>
        <w:rPr>
          <w:spacing w:val="-19"/>
        </w:rPr>
        <w:t> </w:t>
      </w:r>
      <w:r>
        <w:rPr/>
        <w:t>1985).</w:t>
      </w:r>
    </w:p>
    <w:p>
      <w:pPr>
        <w:pStyle w:val="BodyText"/>
      </w:pPr>
    </w:p>
    <w:p>
      <w:pPr>
        <w:pStyle w:val="BodyText"/>
      </w:pPr>
    </w:p>
    <w:p>
      <w:pPr>
        <w:pStyle w:val="BodyText"/>
        <w:spacing w:line="360" w:lineRule="auto" w:before="185"/>
        <w:ind w:left="102" w:right="118"/>
        <w:jc w:val="both"/>
      </w:pPr>
      <w:r>
        <w:rPr/>
        <w:t>Derivado</w:t>
      </w:r>
      <w:r>
        <w:rPr>
          <w:spacing w:val="-12"/>
        </w:rPr>
        <w:t> </w:t>
      </w:r>
      <w:r>
        <w:rPr/>
        <w:t>de</w:t>
      </w:r>
      <w:r>
        <w:rPr>
          <w:spacing w:val="-12"/>
        </w:rPr>
        <w:t> </w:t>
      </w:r>
      <w:r>
        <w:rPr/>
        <w:t>las</w:t>
      </w:r>
      <w:r>
        <w:rPr>
          <w:spacing w:val="-13"/>
        </w:rPr>
        <w:t> </w:t>
      </w:r>
      <w:r>
        <w:rPr/>
        <w:t>aportaciones</w:t>
      </w:r>
      <w:r>
        <w:rPr>
          <w:spacing w:val="-15"/>
        </w:rPr>
        <w:t> </w:t>
      </w:r>
      <w:r>
        <w:rPr/>
        <w:t>de</w:t>
      </w:r>
      <w:r>
        <w:rPr>
          <w:spacing w:val="-14"/>
        </w:rPr>
        <w:t> </w:t>
      </w:r>
      <w:r>
        <w:rPr/>
        <w:t>los</w:t>
      </w:r>
      <w:r>
        <w:rPr>
          <w:spacing w:val="-11"/>
        </w:rPr>
        <w:t> </w:t>
      </w:r>
      <w:r>
        <w:rPr/>
        <w:t>anteriores</w:t>
      </w:r>
      <w:r>
        <w:rPr>
          <w:spacing w:val="-12"/>
        </w:rPr>
        <w:t> </w:t>
      </w:r>
      <w:r>
        <w:rPr/>
        <w:t>investigadores</w:t>
      </w:r>
      <w:r>
        <w:rPr>
          <w:spacing w:val="-11"/>
        </w:rPr>
        <w:t> </w:t>
      </w:r>
      <w:r>
        <w:rPr/>
        <w:t>podemos</w:t>
      </w:r>
      <w:r>
        <w:rPr>
          <w:spacing w:val="-13"/>
        </w:rPr>
        <w:t> </w:t>
      </w:r>
      <w:r>
        <w:rPr/>
        <w:t>señalar</w:t>
      </w:r>
      <w:r>
        <w:rPr>
          <w:spacing w:val="-13"/>
        </w:rPr>
        <w:t> </w:t>
      </w:r>
      <w:r>
        <w:rPr>
          <w:spacing w:val="-2"/>
        </w:rPr>
        <w:t>que </w:t>
      </w:r>
      <w:r>
        <w:rPr/>
        <w:t>dentro de las principales tradiciones que estudian la Administración Pública se encuentran las</w:t>
      </w:r>
      <w:r>
        <w:rPr>
          <w:spacing w:val="-7"/>
        </w:rPr>
        <w:t> </w:t>
      </w:r>
      <w:r>
        <w:rPr/>
        <w:t>siguientes:</w:t>
      </w:r>
    </w:p>
    <w:p>
      <w:pPr>
        <w:spacing w:after="0" w:line="360" w:lineRule="auto"/>
        <w:jc w:val="both"/>
        <w:sectPr>
          <w:pgSz w:w="12240" w:h="15840"/>
          <w:pgMar w:header="0" w:footer="975" w:top="1360" w:bottom="1220" w:left="1600" w:right="1580"/>
        </w:sectPr>
      </w:pPr>
    </w:p>
    <w:tbl>
      <w:tblPr>
        <w:tblW w:w="0" w:type="auto"/>
        <w:jc w:val="left"/>
        <w:tblInd w:w="10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281"/>
        <w:gridCol w:w="423"/>
        <w:gridCol w:w="1729"/>
        <w:gridCol w:w="1750"/>
        <w:gridCol w:w="1192"/>
        <w:gridCol w:w="514"/>
        <w:gridCol w:w="2168"/>
      </w:tblGrid>
      <w:tr>
        <w:trPr>
          <w:trHeight w:val="239" w:hRule="exact"/>
        </w:trPr>
        <w:tc>
          <w:tcPr>
            <w:tcW w:w="9057" w:type="dxa"/>
            <w:gridSpan w:val="7"/>
            <w:shd w:val="clear" w:color="auto" w:fill="92D050"/>
          </w:tcPr>
          <w:p>
            <w:pPr>
              <w:pStyle w:val="TableParagraph"/>
              <w:ind w:left="2383"/>
              <w:jc w:val="left"/>
              <w:rPr>
                <w:b/>
                <w:sz w:val="18"/>
              </w:rPr>
            </w:pPr>
            <w:r>
              <w:rPr>
                <w:b/>
                <w:sz w:val="18"/>
              </w:rPr>
              <w:t>Tabla 1.14. Four Western administrative traditions</w:t>
            </w:r>
          </w:p>
        </w:tc>
      </w:tr>
      <w:tr>
        <w:trPr>
          <w:trHeight w:val="221" w:hRule="exact"/>
        </w:trPr>
        <w:tc>
          <w:tcPr>
            <w:tcW w:w="1704" w:type="dxa"/>
            <w:gridSpan w:val="2"/>
            <w:shd w:val="clear" w:color="auto" w:fill="92D050"/>
          </w:tcPr>
          <w:p>
            <w:pPr>
              <w:pStyle w:val="TableParagraph"/>
              <w:spacing w:line="199" w:lineRule="exact"/>
              <w:ind w:left="491"/>
              <w:jc w:val="left"/>
              <w:rPr>
                <w:b/>
                <w:sz w:val="18"/>
              </w:rPr>
            </w:pPr>
            <w:r>
              <w:rPr>
                <w:b/>
                <w:sz w:val="18"/>
              </w:rPr>
              <w:t>Variable</w:t>
            </w:r>
          </w:p>
        </w:tc>
        <w:tc>
          <w:tcPr>
            <w:tcW w:w="1729" w:type="dxa"/>
            <w:shd w:val="clear" w:color="auto" w:fill="92D050"/>
          </w:tcPr>
          <w:p>
            <w:pPr>
              <w:pStyle w:val="TableParagraph"/>
              <w:spacing w:line="199" w:lineRule="exact"/>
              <w:ind w:left="158"/>
              <w:jc w:val="left"/>
              <w:rPr>
                <w:b/>
                <w:sz w:val="18"/>
              </w:rPr>
            </w:pPr>
            <w:r>
              <w:rPr>
                <w:b/>
                <w:sz w:val="18"/>
              </w:rPr>
              <w:t>Anglo-American</w:t>
            </w:r>
          </w:p>
        </w:tc>
        <w:tc>
          <w:tcPr>
            <w:tcW w:w="1750" w:type="dxa"/>
            <w:shd w:val="clear" w:color="auto" w:fill="92D050"/>
          </w:tcPr>
          <w:p>
            <w:pPr>
              <w:pStyle w:val="TableParagraph"/>
              <w:spacing w:line="199" w:lineRule="exact"/>
              <w:ind w:left="381"/>
              <w:jc w:val="left"/>
              <w:rPr>
                <w:b/>
                <w:sz w:val="18"/>
              </w:rPr>
            </w:pPr>
            <w:r>
              <w:rPr>
                <w:b/>
                <w:sz w:val="18"/>
              </w:rPr>
              <w:t>Napoleonic</w:t>
            </w:r>
          </w:p>
        </w:tc>
        <w:tc>
          <w:tcPr>
            <w:tcW w:w="1706" w:type="dxa"/>
            <w:gridSpan w:val="2"/>
            <w:shd w:val="clear" w:color="auto" w:fill="92D050"/>
          </w:tcPr>
          <w:p>
            <w:pPr>
              <w:pStyle w:val="TableParagraph"/>
              <w:spacing w:line="199" w:lineRule="exact"/>
              <w:ind w:left="429"/>
              <w:jc w:val="left"/>
              <w:rPr>
                <w:b/>
                <w:sz w:val="18"/>
              </w:rPr>
            </w:pPr>
            <w:r>
              <w:rPr>
                <w:b/>
                <w:sz w:val="18"/>
              </w:rPr>
              <w:t>Germanic</w:t>
            </w:r>
          </w:p>
        </w:tc>
        <w:tc>
          <w:tcPr>
            <w:tcW w:w="2168" w:type="dxa"/>
            <w:shd w:val="clear" w:color="auto" w:fill="92D050"/>
          </w:tcPr>
          <w:p>
            <w:pPr>
              <w:pStyle w:val="TableParagraph"/>
              <w:spacing w:line="199" w:lineRule="exact"/>
              <w:ind w:left="494"/>
              <w:jc w:val="left"/>
              <w:rPr>
                <w:b/>
                <w:sz w:val="18"/>
              </w:rPr>
            </w:pPr>
            <w:r>
              <w:rPr>
                <w:b/>
                <w:sz w:val="18"/>
              </w:rPr>
              <w:t>Scandinavian</w:t>
            </w:r>
          </w:p>
        </w:tc>
      </w:tr>
      <w:tr>
        <w:trPr>
          <w:trHeight w:val="430" w:hRule="exact"/>
        </w:trPr>
        <w:tc>
          <w:tcPr>
            <w:tcW w:w="1281" w:type="dxa"/>
            <w:tcBorders>
              <w:right w:val="nil"/>
            </w:tcBorders>
          </w:tcPr>
          <w:p>
            <w:pPr>
              <w:pStyle w:val="TableParagraph"/>
              <w:tabs>
                <w:tab w:pos="750" w:val="left" w:leader="none"/>
              </w:tabs>
              <w:spacing w:line="242" w:lineRule="auto"/>
              <w:ind w:left="100" w:right="102"/>
              <w:jc w:val="left"/>
              <w:rPr>
                <w:sz w:val="18"/>
              </w:rPr>
            </w:pPr>
            <w:r>
              <w:rPr>
                <w:sz w:val="18"/>
              </w:rPr>
              <w:t>Legal</w:t>
              <w:tab/>
            </w:r>
            <w:r>
              <w:rPr>
                <w:w w:val="95"/>
                <w:sz w:val="18"/>
              </w:rPr>
              <w:t>basis </w:t>
            </w:r>
            <w:r>
              <w:rPr>
                <w:sz w:val="18"/>
              </w:rPr>
              <w:t>state?</w:t>
            </w:r>
          </w:p>
        </w:tc>
        <w:tc>
          <w:tcPr>
            <w:tcW w:w="423" w:type="dxa"/>
            <w:tcBorders>
              <w:left w:val="nil"/>
            </w:tcBorders>
          </w:tcPr>
          <w:p>
            <w:pPr>
              <w:pStyle w:val="TableParagraph"/>
              <w:spacing w:line="203" w:lineRule="exact"/>
              <w:ind w:left="83" w:right="81"/>
              <w:rPr>
                <w:sz w:val="18"/>
              </w:rPr>
            </w:pPr>
            <w:r>
              <w:rPr>
                <w:sz w:val="18"/>
              </w:rPr>
              <w:t>for</w:t>
            </w:r>
          </w:p>
        </w:tc>
        <w:tc>
          <w:tcPr>
            <w:tcW w:w="1729" w:type="dxa"/>
          </w:tcPr>
          <w:p>
            <w:pPr>
              <w:pStyle w:val="TableParagraph"/>
              <w:spacing w:before="99"/>
              <w:ind w:left="98"/>
              <w:jc w:val="left"/>
              <w:rPr>
                <w:sz w:val="18"/>
              </w:rPr>
            </w:pPr>
            <w:r>
              <w:rPr>
                <w:sz w:val="18"/>
              </w:rPr>
              <w:t>No</w:t>
            </w:r>
          </w:p>
        </w:tc>
        <w:tc>
          <w:tcPr>
            <w:tcW w:w="1750" w:type="dxa"/>
          </w:tcPr>
          <w:p>
            <w:pPr>
              <w:pStyle w:val="TableParagraph"/>
              <w:spacing w:before="99"/>
              <w:ind w:left="100"/>
              <w:jc w:val="left"/>
              <w:rPr>
                <w:sz w:val="18"/>
              </w:rPr>
            </w:pPr>
            <w:r>
              <w:rPr>
                <w:sz w:val="18"/>
              </w:rPr>
              <w:t>Yes</w:t>
            </w:r>
          </w:p>
        </w:tc>
        <w:tc>
          <w:tcPr>
            <w:tcW w:w="1706" w:type="dxa"/>
            <w:gridSpan w:val="2"/>
          </w:tcPr>
          <w:p>
            <w:pPr>
              <w:pStyle w:val="TableParagraph"/>
              <w:spacing w:before="99"/>
              <w:ind w:left="98"/>
              <w:jc w:val="left"/>
              <w:rPr>
                <w:sz w:val="18"/>
              </w:rPr>
            </w:pPr>
            <w:r>
              <w:rPr>
                <w:sz w:val="18"/>
              </w:rPr>
              <w:t>Yes</w:t>
            </w:r>
          </w:p>
        </w:tc>
        <w:tc>
          <w:tcPr>
            <w:tcW w:w="2168" w:type="dxa"/>
          </w:tcPr>
          <w:p>
            <w:pPr>
              <w:pStyle w:val="TableParagraph"/>
              <w:spacing w:before="99"/>
              <w:ind w:left="100"/>
              <w:jc w:val="left"/>
              <w:rPr>
                <w:sz w:val="18"/>
              </w:rPr>
            </w:pPr>
            <w:r>
              <w:rPr>
                <w:sz w:val="18"/>
              </w:rPr>
              <w:t>Yes</w:t>
            </w:r>
          </w:p>
        </w:tc>
      </w:tr>
      <w:tr>
        <w:trPr>
          <w:trHeight w:val="427" w:hRule="exact"/>
        </w:trPr>
        <w:tc>
          <w:tcPr>
            <w:tcW w:w="1704" w:type="dxa"/>
            <w:gridSpan w:val="2"/>
            <w:tcBorders>
              <w:bottom w:val="single" w:sz="4" w:space="0" w:color="000000"/>
            </w:tcBorders>
          </w:tcPr>
          <w:p>
            <w:pPr>
              <w:pStyle w:val="TableParagraph"/>
              <w:spacing w:before="99"/>
              <w:ind w:left="100"/>
              <w:jc w:val="left"/>
              <w:rPr>
                <w:sz w:val="18"/>
              </w:rPr>
            </w:pPr>
            <w:r>
              <w:rPr>
                <w:sz w:val="18"/>
              </w:rPr>
              <w:t>State and society</w:t>
            </w:r>
          </w:p>
        </w:tc>
        <w:tc>
          <w:tcPr>
            <w:tcW w:w="1729" w:type="dxa"/>
            <w:tcBorders>
              <w:bottom w:val="single" w:sz="4" w:space="0" w:color="000000"/>
            </w:tcBorders>
          </w:tcPr>
          <w:p>
            <w:pPr>
              <w:pStyle w:val="TableParagraph"/>
              <w:spacing w:before="99"/>
              <w:ind w:left="98"/>
              <w:jc w:val="left"/>
              <w:rPr>
                <w:sz w:val="18"/>
              </w:rPr>
            </w:pPr>
            <w:r>
              <w:rPr>
                <w:sz w:val="18"/>
              </w:rPr>
              <w:t>Pluralist</w:t>
            </w:r>
          </w:p>
        </w:tc>
        <w:tc>
          <w:tcPr>
            <w:tcW w:w="1750" w:type="dxa"/>
            <w:tcBorders>
              <w:bottom w:val="single" w:sz="4" w:space="0" w:color="000000"/>
            </w:tcBorders>
          </w:tcPr>
          <w:p>
            <w:pPr>
              <w:pStyle w:val="TableParagraph"/>
              <w:spacing w:before="99"/>
              <w:ind w:left="100"/>
              <w:jc w:val="left"/>
              <w:rPr>
                <w:sz w:val="18"/>
              </w:rPr>
            </w:pPr>
            <w:r>
              <w:rPr>
                <w:sz w:val="18"/>
              </w:rPr>
              <w:t>Interventionist</w:t>
            </w:r>
          </w:p>
        </w:tc>
        <w:tc>
          <w:tcPr>
            <w:tcW w:w="1706" w:type="dxa"/>
            <w:gridSpan w:val="2"/>
            <w:tcBorders>
              <w:bottom w:val="single" w:sz="4" w:space="0" w:color="000000"/>
            </w:tcBorders>
          </w:tcPr>
          <w:p>
            <w:pPr>
              <w:pStyle w:val="TableParagraph"/>
              <w:spacing w:before="99"/>
              <w:ind w:left="98"/>
              <w:jc w:val="left"/>
              <w:rPr>
                <w:sz w:val="18"/>
              </w:rPr>
            </w:pPr>
            <w:r>
              <w:rPr>
                <w:sz w:val="18"/>
              </w:rPr>
              <w:t>Organicist</w:t>
            </w:r>
          </w:p>
        </w:tc>
        <w:tc>
          <w:tcPr>
            <w:tcW w:w="2168" w:type="dxa"/>
            <w:tcBorders>
              <w:bottom w:val="single" w:sz="4" w:space="0" w:color="000000"/>
            </w:tcBorders>
          </w:tcPr>
          <w:p>
            <w:pPr>
              <w:pStyle w:val="TableParagraph"/>
              <w:spacing w:line="206" w:lineRule="exact"/>
              <w:ind w:left="100" w:right="463"/>
              <w:jc w:val="left"/>
              <w:rPr>
                <w:sz w:val="18"/>
              </w:rPr>
            </w:pPr>
            <w:r>
              <w:rPr>
                <w:sz w:val="18"/>
              </w:rPr>
              <w:t>Organists/Welfarist/ “Open government”</w:t>
            </w:r>
          </w:p>
        </w:tc>
      </w:tr>
      <w:tr>
        <w:trPr>
          <w:trHeight w:val="1250" w:hRule="exact"/>
        </w:trPr>
        <w:tc>
          <w:tcPr>
            <w:tcW w:w="1281" w:type="dxa"/>
            <w:tcBorders>
              <w:top w:val="single" w:sz="4" w:space="0" w:color="000000"/>
              <w:left w:val="single" w:sz="4" w:space="0" w:color="000000"/>
              <w:bottom w:val="single" w:sz="4" w:space="0" w:color="000000"/>
              <w:right w:val="nil"/>
            </w:tcBorders>
          </w:tcPr>
          <w:p>
            <w:pPr>
              <w:pStyle w:val="TableParagraph"/>
              <w:jc w:val="left"/>
              <w:rPr>
                <w:sz w:val="18"/>
              </w:rPr>
            </w:pPr>
          </w:p>
          <w:p>
            <w:pPr>
              <w:pStyle w:val="TableParagraph"/>
              <w:spacing w:before="6"/>
              <w:jc w:val="left"/>
              <w:rPr>
                <w:sz w:val="17"/>
              </w:rPr>
            </w:pPr>
          </w:p>
          <w:p>
            <w:pPr>
              <w:pStyle w:val="TableParagraph"/>
              <w:ind w:left="103" w:right="132"/>
              <w:jc w:val="left"/>
              <w:rPr>
                <w:sz w:val="18"/>
              </w:rPr>
            </w:pPr>
            <w:r>
              <w:rPr>
                <w:sz w:val="18"/>
              </w:rPr>
              <w:t>Organization government</w:t>
            </w:r>
          </w:p>
        </w:tc>
        <w:tc>
          <w:tcPr>
            <w:tcW w:w="423" w:type="dxa"/>
            <w:tcBorders>
              <w:top w:val="single" w:sz="4" w:space="0" w:color="000000"/>
              <w:left w:val="nil"/>
              <w:bottom w:val="single" w:sz="4" w:space="0" w:color="000000"/>
              <w:right w:val="single" w:sz="5" w:space="0" w:color="000000"/>
            </w:tcBorders>
          </w:tcPr>
          <w:p>
            <w:pPr>
              <w:pStyle w:val="TableParagraph"/>
              <w:jc w:val="left"/>
              <w:rPr>
                <w:sz w:val="18"/>
              </w:rPr>
            </w:pPr>
          </w:p>
          <w:p>
            <w:pPr>
              <w:pStyle w:val="TableParagraph"/>
              <w:spacing w:before="6"/>
              <w:jc w:val="left"/>
              <w:rPr>
                <w:sz w:val="17"/>
              </w:rPr>
            </w:pPr>
          </w:p>
          <w:p>
            <w:pPr>
              <w:pStyle w:val="TableParagraph"/>
              <w:ind w:left="142" w:right="84"/>
              <w:rPr>
                <w:sz w:val="18"/>
              </w:rPr>
            </w:pPr>
            <w:r>
              <w:rPr>
                <w:sz w:val="18"/>
              </w:rPr>
              <w:t>of</w:t>
            </w:r>
          </w:p>
        </w:tc>
        <w:tc>
          <w:tcPr>
            <w:tcW w:w="1729" w:type="dxa"/>
            <w:tcBorders>
              <w:top w:val="single" w:sz="4" w:space="0" w:color="000000"/>
              <w:left w:val="single" w:sz="5" w:space="0" w:color="000000"/>
              <w:bottom w:val="single" w:sz="4" w:space="0" w:color="000000"/>
              <w:right w:val="single" w:sz="5" w:space="0" w:color="000000"/>
            </w:tcBorders>
          </w:tcPr>
          <w:p>
            <w:pPr>
              <w:pStyle w:val="TableParagraph"/>
              <w:tabs>
                <w:tab w:pos="1272" w:val="left" w:leader="none"/>
              </w:tabs>
              <w:ind w:left="99" w:right="100"/>
              <w:jc w:val="left"/>
              <w:rPr>
                <w:sz w:val="18"/>
              </w:rPr>
            </w:pPr>
            <w:r>
              <w:rPr>
                <w:sz w:val="18"/>
              </w:rPr>
              <w:t>“Limited government”; UK: unitary with weak “local</w:t>
              <w:tab/>
              <w:t>self- government”; US: compound</w:t>
            </w:r>
            <w:r>
              <w:rPr>
                <w:spacing w:val="-16"/>
                <w:sz w:val="18"/>
              </w:rPr>
              <w:t> </w:t>
            </w:r>
            <w:r>
              <w:rPr>
                <w:sz w:val="18"/>
              </w:rPr>
              <w:t>republic</w:t>
            </w:r>
          </w:p>
        </w:tc>
        <w:tc>
          <w:tcPr>
            <w:tcW w:w="1750" w:type="dxa"/>
            <w:tcBorders>
              <w:top w:val="single" w:sz="4" w:space="0" w:color="000000"/>
              <w:left w:val="single" w:sz="5" w:space="0" w:color="000000"/>
              <w:bottom w:val="single" w:sz="4" w:space="0" w:color="000000"/>
              <w:right w:val="single" w:sz="5" w:space="0" w:color="000000"/>
            </w:tcBorders>
          </w:tcPr>
          <w:p>
            <w:pPr>
              <w:pStyle w:val="TableParagraph"/>
              <w:spacing w:before="99"/>
              <w:ind w:left="101" w:right="99"/>
              <w:jc w:val="both"/>
              <w:rPr>
                <w:sz w:val="18"/>
              </w:rPr>
            </w:pPr>
            <w:r>
              <w:rPr>
                <w:sz w:val="18"/>
              </w:rPr>
              <w:t>The indivisible “Jacobin”</w:t>
            </w:r>
            <w:r>
              <w:rPr>
                <w:spacing w:val="-13"/>
                <w:sz w:val="18"/>
              </w:rPr>
              <w:t> </w:t>
            </w:r>
            <w:r>
              <w:rPr>
                <w:sz w:val="18"/>
              </w:rPr>
              <w:t>Republic; hierarchical and centralized (Spain: semi-federalized)</w:t>
            </w:r>
          </w:p>
        </w:tc>
        <w:tc>
          <w:tcPr>
            <w:tcW w:w="1192" w:type="dxa"/>
            <w:tcBorders>
              <w:top w:val="single" w:sz="4" w:space="0" w:color="000000"/>
              <w:left w:val="single" w:sz="5" w:space="0" w:color="000000"/>
              <w:bottom w:val="single" w:sz="4" w:space="0" w:color="000000"/>
              <w:right w:val="nil"/>
            </w:tcBorders>
          </w:tcPr>
          <w:p>
            <w:pPr>
              <w:pStyle w:val="TableParagraph"/>
              <w:spacing w:before="99"/>
              <w:ind w:left="99" w:right="86"/>
              <w:jc w:val="left"/>
              <w:rPr>
                <w:sz w:val="18"/>
              </w:rPr>
            </w:pPr>
            <w:r>
              <w:rPr>
                <w:sz w:val="18"/>
              </w:rPr>
              <w:t>Integrated; cooperative federalism interlocking coordination</w:t>
            </w:r>
          </w:p>
        </w:tc>
        <w:tc>
          <w:tcPr>
            <w:tcW w:w="514" w:type="dxa"/>
            <w:tcBorders>
              <w:top w:val="single" w:sz="4" w:space="0" w:color="000000"/>
              <w:left w:val="nil"/>
              <w:bottom w:val="single" w:sz="4" w:space="0" w:color="000000"/>
              <w:right w:val="single" w:sz="5" w:space="0" w:color="000000"/>
            </w:tcBorders>
          </w:tcPr>
          <w:p>
            <w:pPr>
              <w:pStyle w:val="TableParagraph"/>
              <w:jc w:val="left"/>
              <w:rPr>
                <w:sz w:val="18"/>
              </w:rPr>
            </w:pPr>
          </w:p>
          <w:p>
            <w:pPr>
              <w:pStyle w:val="TableParagraph"/>
              <w:spacing w:before="6"/>
              <w:jc w:val="left"/>
              <w:rPr>
                <w:sz w:val="26"/>
              </w:rPr>
            </w:pPr>
          </w:p>
          <w:p>
            <w:pPr>
              <w:pStyle w:val="TableParagraph"/>
              <w:ind w:left="104"/>
              <w:jc w:val="left"/>
              <w:rPr>
                <w:sz w:val="18"/>
              </w:rPr>
            </w:pPr>
            <w:r>
              <w:rPr>
                <w:sz w:val="18"/>
              </w:rPr>
              <w:t>and</w:t>
            </w:r>
          </w:p>
        </w:tc>
        <w:tc>
          <w:tcPr>
            <w:tcW w:w="2168" w:type="dxa"/>
            <w:tcBorders>
              <w:top w:val="single" w:sz="4" w:space="0" w:color="000000"/>
              <w:left w:val="single" w:sz="5" w:space="0" w:color="000000"/>
              <w:bottom w:val="single" w:sz="4" w:space="0" w:color="000000"/>
              <w:right w:val="single" w:sz="5" w:space="0" w:color="000000"/>
            </w:tcBorders>
          </w:tcPr>
          <w:p>
            <w:pPr>
              <w:pStyle w:val="TableParagraph"/>
              <w:spacing w:before="7"/>
              <w:jc w:val="left"/>
              <w:rPr>
                <w:sz w:val="26"/>
              </w:rPr>
            </w:pPr>
          </w:p>
          <w:p>
            <w:pPr>
              <w:pStyle w:val="TableParagraph"/>
              <w:ind w:left="102" w:right="100"/>
              <w:jc w:val="both"/>
              <w:rPr>
                <w:sz w:val="18"/>
              </w:rPr>
            </w:pPr>
            <w:r>
              <w:rPr>
                <w:sz w:val="18"/>
              </w:rPr>
              <w:t>Decentralized through administrative and/or political</w:t>
            </w:r>
            <w:r>
              <w:rPr>
                <w:spacing w:val="-23"/>
                <w:sz w:val="18"/>
              </w:rPr>
              <w:t> </w:t>
            </w:r>
            <w:r>
              <w:rPr>
                <w:sz w:val="18"/>
              </w:rPr>
              <w:t>decentralization.</w:t>
            </w:r>
          </w:p>
        </w:tc>
      </w:tr>
    </w:tbl>
    <w:p>
      <w:pPr>
        <w:spacing w:line="203" w:lineRule="exact" w:before="0"/>
        <w:ind w:left="222" w:right="0" w:firstLine="0"/>
        <w:jc w:val="left"/>
        <w:rPr>
          <w:sz w:val="18"/>
        </w:rPr>
      </w:pPr>
      <w:r>
        <w:rPr>
          <w:sz w:val="18"/>
        </w:rPr>
        <w:t>Fuente: Painter, M. y Peters B. (2010:20)</w:t>
      </w:r>
    </w:p>
    <w:p>
      <w:pPr>
        <w:pStyle w:val="BodyText"/>
        <w:rPr>
          <w:sz w:val="20"/>
        </w:rPr>
      </w:pPr>
    </w:p>
    <w:p>
      <w:pPr>
        <w:pStyle w:val="BodyText"/>
        <w:spacing w:before="10"/>
        <w:rPr>
          <w:sz w:val="23"/>
        </w:rPr>
      </w:pPr>
    </w:p>
    <w:p>
      <w:pPr>
        <w:pStyle w:val="Heading1"/>
        <w:numPr>
          <w:ilvl w:val="2"/>
          <w:numId w:val="7"/>
        </w:numPr>
        <w:tabs>
          <w:tab w:pos="930" w:val="left" w:leader="none"/>
        </w:tabs>
        <w:spacing w:line="240" w:lineRule="auto" w:before="70" w:after="0"/>
        <w:ind w:left="930" w:right="0" w:hanging="720"/>
        <w:jc w:val="both"/>
      </w:pPr>
      <w:r>
        <w:rPr/>
        <w:t>La Administración Pública en</w:t>
      </w:r>
      <w:r>
        <w:rPr>
          <w:spacing w:val="-5"/>
        </w:rPr>
        <w:t> </w:t>
      </w:r>
      <w:r>
        <w:rPr/>
        <w:t>México</w:t>
      </w:r>
    </w:p>
    <w:p>
      <w:pPr>
        <w:pStyle w:val="BodyText"/>
        <w:rPr>
          <w:b/>
        </w:rPr>
      </w:pPr>
    </w:p>
    <w:p>
      <w:pPr>
        <w:pStyle w:val="BodyText"/>
        <w:rPr>
          <w:b/>
        </w:rPr>
      </w:pPr>
    </w:p>
    <w:p>
      <w:pPr>
        <w:pStyle w:val="BodyText"/>
        <w:spacing w:line="360" w:lineRule="auto" w:before="159"/>
        <w:ind w:left="222" w:right="235"/>
        <w:jc w:val="both"/>
      </w:pPr>
      <w:r>
        <w:rPr/>
        <w:t>La</w:t>
      </w:r>
      <w:r>
        <w:rPr>
          <w:spacing w:val="-17"/>
        </w:rPr>
        <w:t> </w:t>
      </w:r>
      <w:r>
        <w:rPr/>
        <w:t>Administración</w:t>
      </w:r>
      <w:r>
        <w:rPr>
          <w:spacing w:val="-17"/>
        </w:rPr>
        <w:t> </w:t>
      </w:r>
      <w:r>
        <w:rPr/>
        <w:t>Pública</w:t>
      </w:r>
      <w:r>
        <w:rPr>
          <w:spacing w:val="-17"/>
        </w:rPr>
        <w:t> </w:t>
      </w:r>
      <w:r>
        <w:rPr/>
        <w:t>en</w:t>
      </w:r>
      <w:r>
        <w:rPr>
          <w:spacing w:val="-17"/>
        </w:rPr>
        <w:t> </w:t>
      </w:r>
      <w:r>
        <w:rPr/>
        <w:t>México</w:t>
      </w:r>
      <w:r>
        <w:rPr>
          <w:spacing w:val="-14"/>
        </w:rPr>
        <w:t> </w:t>
      </w:r>
      <w:r>
        <w:rPr/>
        <w:t>presenta</w:t>
      </w:r>
      <w:r>
        <w:rPr>
          <w:spacing w:val="-18"/>
        </w:rPr>
        <w:t> </w:t>
      </w:r>
      <w:r>
        <w:rPr/>
        <w:t>dos</w:t>
      </w:r>
      <w:r>
        <w:rPr>
          <w:spacing w:val="-19"/>
        </w:rPr>
        <w:t> </w:t>
      </w:r>
      <w:r>
        <w:rPr/>
        <w:t>formas</w:t>
      </w:r>
      <w:r>
        <w:rPr>
          <w:spacing w:val="-19"/>
        </w:rPr>
        <w:t> </w:t>
      </w:r>
      <w:r>
        <w:rPr/>
        <w:t>de</w:t>
      </w:r>
      <w:r>
        <w:rPr>
          <w:spacing w:val="-17"/>
        </w:rPr>
        <w:t> </w:t>
      </w:r>
      <w:r>
        <w:rPr/>
        <w:t>organización:</w:t>
      </w:r>
      <w:r>
        <w:rPr>
          <w:spacing w:val="-17"/>
        </w:rPr>
        <w:t> </w:t>
      </w:r>
      <w:r>
        <w:rPr/>
        <w:t>Primero</w:t>
      </w:r>
      <w:r>
        <w:rPr>
          <w:b/>
        </w:rPr>
        <w:t>, </w:t>
      </w:r>
      <w:r>
        <w:rPr/>
        <w:t>según</w:t>
      </w:r>
      <w:r>
        <w:rPr>
          <w:spacing w:val="-7"/>
        </w:rPr>
        <w:t> </w:t>
      </w:r>
      <w:r>
        <w:rPr/>
        <w:t>el</w:t>
      </w:r>
      <w:r>
        <w:rPr>
          <w:spacing w:val="-8"/>
        </w:rPr>
        <w:t> </w:t>
      </w:r>
      <w:r>
        <w:rPr/>
        <w:t>orden</w:t>
      </w:r>
      <w:r>
        <w:rPr>
          <w:spacing w:val="-8"/>
        </w:rPr>
        <w:t> </w:t>
      </w:r>
      <w:r>
        <w:rPr/>
        <w:t>de</w:t>
      </w:r>
      <w:r>
        <w:rPr>
          <w:spacing w:val="-7"/>
        </w:rPr>
        <w:t> </w:t>
      </w:r>
      <w:r>
        <w:rPr/>
        <w:t>gobierno</w:t>
      </w:r>
      <w:r>
        <w:rPr>
          <w:spacing w:val="-7"/>
        </w:rPr>
        <w:t> </w:t>
      </w:r>
      <w:r>
        <w:rPr/>
        <w:t>al</w:t>
      </w:r>
      <w:r>
        <w:rPr>
          <w:spacing w:val="-8"/>
        </w:rPr>
        <w:t> </w:t>
      </w:r>
      <w:r>
        <w:rPr/>
        <w:t>que</w:t>
      </w:r>
      <w:r>
        <w:rPr>
          <w:spacing w:val="-7"/>
        </w:rPr>
        <w:t> </w:t>
      </w:r>
      <w:r>
        <w:rPr/>
        <w:t>pertenece</w:t>
      </w:r>
      <w:r>
        <w:rPr>
          <w:spacing w:val="-8"/>
        </w:rPr>
        <w:t> </w:t>
      </w:r>
      <w:r>
        <w:rPr/>
        <w:t>puede</w:t>
      </w:r>
      <w:r>
        <w:rPr>
          <w:spacing w:val="-7"/>
        </w:rPr>
        <w:t> </w:t>
      </w:r>
      <w:r>
        <w:rPr/>
        <w:t>ser</w:t>
      </w:r>
      <w:r>
        <w:rPr>
          <w:spacing w:val="-10"/>
        </w:rPr>
        <w:t> </w:t>
      </w:r>
      <w:r>
        <w:rPr/>
        <w:t>federal,</w:t>
      </w:r>
      <w:r>
        <w:rPr>
          <w:spacing w:val="-8"/>
        </w:rPr>
        <w:t> </w:t>
      </w:r>
      <w:r>
        <w:rPr/>
        <w:t>estatal</w:t>
      </w:r>
      <w:r>
        <w:rPr>
          <w:spacing w:val="-8"/>
        </w:rPr>
        <w:t> </w:t>
      </w:r>
      <w:r>
        <w:rPr/>
        <w:t>o</w:t>
      </w:r>
      <w:r>
        <w:rPr>
          <w:spacing w:val="-8"/>
        </w:rPr>
        <w:t> </w:t>
      </w:r>
      <w:r>
        <w:rPr/>
        <w:t>municipal. Segundo,</w:t>
      </w:r>
      <w:r>
        <w:rPr>
          <w:spacing w:val="-16"/>
        </w:rPr>
        <w:t> </w:t>
      </w:r>
      <w:r>
        <w:rPr/>
        <w:t>por</w:t>
      </w:r>
      <w:r>
        <w:rPr>
          <w:spacing w:val="-16"/>
        </w:rPr>
        <w:t> </w:t>
      </w:r>
      <w:r>
        <w:rPr/>
        <w:t>la</w:t>
      </w:r>
      <w:r>
        <w:rPr>
          <w:spacing w:val="-17"/>
        </w:rPr>
        <w:t> </w:t>
      </w:r>
      <w:r>
        <w:rPr/>
        <w:t>figura</w:t>
      </w:r>
      <w:r>
        <w:rPr>
          <w:spacing w:val="-19"/>
        </w:rPr>
        <w:t> </w:t>
      </w:r>
      <w:r>
        <w:rPr/>
        <w:t>que</w:t>
      </w:r>
      <w:r>
        <w:rPr>
          <w:spacing w:val="-14"/>
        </w:rPr>
        <w:t> </w:t>
      </w:r>
      <w:r>
        <w:rPr/>
        <w:t>ostenta</w:t>
      </w:r>
      <w:r>
        <w:rPr>
          <w:spacing w:val="-17"/>
        </w:rPr>
        <w:t> </w:t>
      </w:r>
      <w:r>
        <w:rPr/>
        <w:t>el</w:t>
      </w:r>
      <w:r>
        <w:rPr>
          <w:spacing w:val="-15"/>
        </w:rPr>
        <w:t> </w:t>
      </w:r>
      <w:r>
        <w:rPr/>
        <w:t>poder</w:t>
      </w:r>
      <w:r>
        <w:rPr>
          <w:spacing w:val="-16"/>
        </w:rPr>
        <w:t> </w:t>
      </w:r>
      <w:r>
        <w:rPr/>
        <w:t>puede</w:t>
      </w:r>
      <w:r>
        <w:rPr>
          <w:spacing w:val="-14"/>
        </w:rPr>
        <w:t> </w:t>
      </w:r>
      <w:r>
        <w:rPr/>
        <w:t>ser</w:t>
      </w:r>
      <w:r>
        <w:rPr>
          <w:spacing w:val="-18"/>
        </w:rPr>
        <w:t> </w:t>
      </w:r>
      <w:r>
        <w:rPr/>
        <w:t>ejecutivo,</w:t>
      </w:r>
      <w:r>
        <w:rPr>
          <w:spacing w:val="-14"/>
        </w:rPr>
        <w:t> </w:t>
      </w:r>
      <w:r>
        <w:rPr/>
        <w:t>legislativo</w:t>
      </w:r>
      <w:r>
        <w:rPr>
          <w:spacing w:val="-14"/>
        </w:rPr>
        <w:t> </w:t>
      </w:r>
      <w:r>
        <w:rPr/>
        <w:t>y</w:t>
      </w:r>
      <w:r>
        <w:rPr>
          <w:spacing w:val="-17"/>
        </w:rPr>
        <w:t> </w:t>
      </w:r>
      <w:r>
        <w:rPr/>
        <w:t>judicial. En</w:t>
      </w:r>
      <w:r>
        <w:rPr>
          <w:spacing w:val="-16"/>
        </w:rPr>
        <w:t> </w:t>
      </w:r>
      <w:r>
        <w:rPr/>
        <w:t>este</w:t>
      </w:r>
      <w:r>
        <w:rPr>
          <w:spacing w:val="-18"/>
        </w:rPr>
        <w:t> </w:t>
      </w:r>
      <w:r>
        <w:rPr/>
        <w:t>apartado</w:t>
      </w:r>
      <w:r>
        <w:rPr>
          <w:spacing w:val="-18"/>
        </w:rPr>
        <w:t> </w:t>
      </w:r>
      <w:r>
        <w:rPr/>
        <w:t>se</w:t>
      </w:r>
      <w:r>
        <w:rPr>
          <w:spacing w:val="-18"/>
        </w:rPr>
        <w:t> </w:t>
      </w:r>
      <w:r>
        <w:rPr/>
        <w:t>describen</w:t>
      </w:r>
      <w:r>
        <w:rPr>
          <w:spacing w:val="-16"/>
        </w:rPr>
        <w:t> </w:t>
      </w:r>
      <w:r>
        <w:rPr/>
        <w:t>las</w:t>
      </w:r>
      <w:r>
        <w:rPr>
          <w:spacing w:val="-18"/>
        </w:rPr>
        <w:t> </w:t>
      </w:r>
      <w:r>
        <w:rPr/>
        <w:t>dos</w:t>
      </w:r>
      <w:r>
        <w:rPr>
          <w:spacing w:val="-21"/>
        </w:rPr>
        <w:t> </w:t>
      </w:r>
      <w:r>
        <w:rPr/>
        <w:t>formas</w:t>
      </w:r>
      <w:r>
        <w:rPr>
          <w:spacing w:val="-19"/>
        </w:rPr>
        <w:t> </w:t>
      </w:r>
      <w:r>
        <w:rPr/>
        <w:t>de</w:t>
      </w:r>
      <w:r>
        <w:rPr>
          <w:spacing w:val="-16"/>
        </w:rPr>
        <w:t> </w:t>
      </w:r>
      <w:r>
        <w:rPr/>
        <w:t>ver</w:t>
      </w:r>
      <w:r>
        <w:rPr>
          <w:spacing w:val="-17"/>
        </w:rPr>
        <w:t> </w:t>
      </w:r>
      <w:r>
        <w:rPr/>
        <w:t>el</w:t>
      </w:r>
      <w:r>
        <w:rPr>
          <w:spacing w:val="-17"/>
        </w:rPr>
        <w:t> </w:t>
      </w:r>
      <w:r>
        <w:rPr/>
        <w:t>gobierno.</w:t>
      </w:r>
      <w:r>
        <w:rPr>
          <w:spacing w:val="-11"/>
        </w:rPr>
        <w:t> </w:t>
      </w:r>
      <w:r>
        <w:rPr/>
        <w:t>En</w:t>
      </w:r>
      <w:r>
        <w:rPr>
          <w:spacing w:val="-18"/>
        </w:rPr>
        <w:t> </w:t>
      </w:r>
      <w:r>
        <w:rPr/>
        <w:t>México</w:t>
      </w:r>
      <w:r>
        <w:rPr>
          <w:spacing w:val="-15"/>
        </w:rPr>
        <w:t> </w:t>
      </w:r>
      <w:r>
        <w:rPr/>
        <w:t>la</w:t>
      </w:r>
      <w:r>
        <w:rPr>
          <w:spacing w:val="-16"/>
        </w:rPr>
        <w:t> </w:t>
      </w:r>
      <w:r>
        <w:rPr/>
        <w:t>forma de</w:t>
      </w:r>
      <w:r>
        <w:rPr>
          <w:spacing w:val="-12"/>
        </w:rPr>
        <w:t> </w:t>
      </w:r>
      <w:r>
        <w:rPr/>
        <w:t>gobernar</w:t>
      </w:r>
      <w:r>
        <w:rPr>
          <w:spacing w:val="-13"/>
        </w:rPr>
        <w:t> </w:t>
      </w:r>
      <w:r>
        <w:rPr/>
        <w:t>el</w:t>
      </w:r>
      <w:r>
        <w:rPr>
          <w:spacing w:val="-13"/>
        </w:rPr>
        <w:t> </w:t>
      </w:r>
      <w:r>
        <w:rPr/>
        <w:t>Estado</w:t>
      </w:r>
      <w:r>
        <w:rPr>
          <w:spacing w:val="-14"/>
        </w:rPr>
        <w:t> </w:t>
      </w:r>
      <w:r>
        <w:rPr/>
        <w:t>se</w:t>
      </w:r>
      <w:r>
        <w:rPr>
          <w:spacing w:val="-12"/>
        </w:rPr>
        <w:t> </w:t>
      </w:r>
      <w:r>
        <w:rPr/>
        <w:t>encuentra</w:t>
      </w:r>
      <w:r>
        <w:rPr>
          <w:spacing w:val="-14"/>
        </w:rPr>
        <w:t> </w:t>
      </w:r>
      <w:r>
        <w:rPr/>
        <w:t>fundamentada</w:t>
      </w:r>
      <w:r>
        <w:rPr>
          <w:spacing w:val="-9"/>
        </w:rPr>
        <w:t> </w:t>
      </w:r>
      <w:r>
        <w:rPr/>
        <w:t>en</w:t>
      </w:r>
      <w:r>
        <w:rPr>
          <w:spacing w:val="-12"/>
        </w:rPr>
        <w:t> </w:t>
      </w:r>
      <w:r>
        <w:rPr/>
        <w:t>la</w:t>
      </w:r>
      <w:r>
        <w:rPr>
          <w:spacing w:val="-12"/>
        </w:rPr>
        <w:t> </w:t>
      </w:r>
      <w:r>
        <w:rPr/>
        <w:t>Constitución</w:t>
      </w:r>
      <w:r>
        <w:rPr>
          <w:spacing w:val="-12"/>
        </w:rPr>
        <w:t> </w:t>
      </w:r>
      <w:r>
        <w:rPr/>
        <w:t>Política</w:t>
      </w:r>
      <w:r>
        <w:rPr>
          <w:spacing w:val="-12"/>
        </w:rPr>
        <w:t> </w:t>
      </w:r>
      <w:r>
        <w:rPr/>
        <w:t>de</w:t>
      </w:r>
      <w:r>
        <w:rPr>
          <w:spacing w:val="-12"/>
        </w:rPr>
        <w:t> </w:t>
      </w:r>
      <w:r>
        <w:rPr/>
        <w:t>los Estados Unidos Mexicanos (CPEUM), que establece en su artículo 39 que la soberanía reside en el pueblo y que éste puede modificar su forma de gobierno. El artículo</w:t>
      </w:r>
      <w:r>
        <w:rPr>
          <w:spacing w:val="-12"/>
        </w:rPr>
        <w:t> </w:t>
      </w:r>
      <w:r>
        <w:rPr/>
        <w:t>40</w:t>
      </w:r>
      <w:r>
        <w:rPr>
          <w:spacing w:val="-14"/>
        </w:rPr>
        <w:t> </w:t>
      </w:r>
      <w:r>
        <w:rPr/>
        <w:t>habla</w:t>
      </w:r>
      <w:r>
        <w:rPr>
          <w:spacing w:val="-12"/>
        </w:rPr>
        <w:t> </w:t>
      </w:r>
      <w:r>
        <w:rPr/>
        <w:t>de</w:t>
      </w:r>
      <w:r>
        <w:rPr>
          <w:spacing w:val="-12"/>
        </w:rPr>
        <w:t> </w:t>
      </w:r>
      <w:r>
        <w:rPr/>
        <w:t>la</w:t>
      </w:r>
      <w:r>
        <w:rPr>
          <w:spacing w:val="-14"/>
        </w:rPr>
        <w:t> </w:t>
      </w:r>
      <w:r>
        <w:rPr/>
        <w:t>voluntad</w:t>
      </w:r>
      <w:r>
        <w:rPr>
          <w:spacing w:val="-12"/>
        </w:rPr>
        <w:t> </w:t>
      </w:r>
      <w:r>
        <w:rPr/>
        <w:t>popular</w:t>
      </w:r>
      <w:r>
        <w:rPr>
          <w:spacing w:val="-13"/>
        </w:rPr>
        <w:t> </w:t>
      </w:r>
      <w:r>
        <w:rPr/>
        <w:t>de</w:t>
      </w:r>
      <w:r>
        <w:rPr>
          <w:spacing w:val="-14"/>
        </w:rPr>
        <w:t> </w:t>
      </w:r>
      <w:r>
        <w:rPr/>
        <w:t>constituirse</w:t>
      </w:r>
      <w:r>
        <w:rPr>
          <w:spacing w:val="-12"/>
        </w:rPr>
        <w:t> </w:t>
      </w:r>
      <w:r>
        <w:rPr/>
        <w:t>en</w:t>
      </w:r>
      <w:r>
        <w:rPr>
          <w:spacing w:val="-12"/>
        </w:rPr>
        <w:t> </w:t>
      </w:r>
      <w:r>
        <w:rPr/>
        <w:t>una</w:t>
      </w:r>
      <w:r>
        <w:rPr>
          <w:spacing w:val="-12"/>
        </w:rPr>
        <w:t> </w:t>
      </w:r>
      <w:r>
        <w:rPr/>
        <w:t>Federación</w:t>
      </w:r>
      <w:r>
        <w:rPr>
          <w:spacing w:val="-11"/>
        </w:rPr>
        <w:t> </w:t>
      </w:r>
      <w:r>
        <w:rPr/>
        <w:t>integrada por Estados libres y soberanos, autónomos en su régimen interior y por la Ciudad de México, pero unidos en una Federación que se regula por la CPEUM. En el artículo 41 constitucional se menciona que el pueblo ejerce su soberanía a través de los Poderes de la Unión y por lo poderes de los Estados y la Ciudad de México. El Supremo Poder de la Federación, en conformidad con el artículo 49 de la CPEUM, se divide para su ejercicio en Ejecutivo, Legislativo y</w:t>
      </w:r>
      <w:r>
        <w:rPr>
          <w:spacing w:val="-19"/>
        </w:rPr>
        <w:t> </w:t>
      </w:r>
      <w:r>
        <w:rPr/>
        <w:t>Judicial.</w:t>
      </w:r>
    </w:p>
    <w:p>
      <w:pPr>
        <w:pStyle w:val="BodyText"/>
      </w:pPr>
    </w:p>
    <w:p>
      <w:pPr>
        <w:pStyle w:val="BodyText"/>
      </w:pPr>
    </w:p>
    <w:p>
      <w:pPr>
        <w:pStyle w:val="BodyText"/>
        <w:spacing w:line="360" w:lineRule="auto" w:before="186"/>
        <w:ind w:left="222" w:right="237"/>
        <w:jc w:val="both"/>
      </w:pPr>
      <w:r>
        <w:rPr/>
        <w:t>El Poder Legislativo conforme al artículo 50 de la CPEUM se deposita en un Congreso General dividido en dos cámaras: una de diputados y una de senadores. El artículo 53 de la CPEUM señala que la cámara de diputados se integra por 500 diputados</w:t>
      </w:r>
      <w:r>
        <w:rPr>
          <w:spacing w:val="-13"/>
        </w:rPr>
        <w:t> </w:t>
      </w:r>
      <w:r>
        <w:rPr/>
        <w:t>de</w:t>
      </w:r>
      <w:r>
        <w:rPr>
          <w:spacing w:val="-9"/>
        </w:rPr>
        <w:t> </w:t>
      </w:r>
      <w:r>
        <w:rPr/>
        <w:t>los</w:t>
      </w:r>
      <w:r>
        <w:rPr>
          <w:spacing w:val="-12"/>
        </w:rPr>
        <w:t> </w:t>
      </w:r>
      <w:r>
        <w:rPr/>
        <w:t>cuales</w:t>
      </w:r>
      <w:r>
        <w:rPr>
          <w:spacing w:val="-10"/>
        </w:rPr>
        <w:t> </w:t>
      </w:r>
      <w:r>
        <w:rPr/>
        <w:t>300</w:t>
      </w:r>
      <w:r>
        <w:rPr>
          <w:spacing w:val="-9"/>
        </w:rPr>
        <w:t> </w:t>
      </w:r>
      <w:r>
        <w:rPr/>
        <w:t>son</w:t>
      </w:r>
      <w:r>
        <w:rPr>
          <w:spacing w:val="-12"/>
        </w:rPr>
        <w:t> </w:t>
      </w:r>
      <w:r>
        <w:rPr/>
        <w:t>electos</w:t>
      </w:r>
      <w:r>
        <w:rPr>
          <w:spacing w:val="-10"/>
        </w:rPr>
        <w:t> </w:t>
      </w:r>
      <w:r>
        <w:rPr/>
        <w:t>según</w:t>
      </w:r>
      <w:r>
        <w:rPr>
          <w:spacing w:val="-9"/>
        </w:rPr>
        <w:t> </w:t>
      </w:r>
      <w:r>
        <w:rPr/>
        <w:t>el</w:t>
      </w:r>
      <w:r>
        <w:rPr>
          <w:spacing w:val="-13"/>
        </w:rPr>
        <w:t> </w:t>
      </w:r>
      <w:r>
        <w:rPr/>
        <w:t>principio</w:t>
      </w:r>
      <w:r>
        <w:rPr>
          <w:spacing w:val="-12"/>
        </w:rPr>
        <w:t> </w:t>
      </w:r>
      <w:r>
        <w:rPr/>
        <w:t>de</w:t>
      </w:r>
      <w:r>
        <w:rPr>
          <w:spacing w:val="-12"/>
        </w:rPr>
        <w:t> </w:t>
      </w:r>
      <w:r>
        <w:rPr/>
        <w:t>mayoría</w:t>
      </w:r>
      <w:r>
        <w:rPr>
          <w:spacing w:val="-9"/>
        </w:rPr>
        <w:t> </w:t>
      </w:r>
      <w:r>
        <w:rPr/>
        <w:t>relativa</w:t>
      </w:r>
      <w:r>
        <w:rPr>
          <w:spacing w:val="-9"/>
        </w:rPr>
        <w:t> </w:t>
      </w:r>
      <w:r>
        <w:rPr/>
        <w:t>y</w:t>
      </w:r>
      <w:r>
        <w:rPr>
          <w:spacing w:val="-13"/>
        </w:rPr>
        <w:t> </w:t>
      </w:r>
      <w:r>
        <w:rPr/>
        <w:t>200 bajo  el  principio  de  representación  proporcional.  Por  su  parte,  la  cámara  </w:t>
      </w:r>
      <w:r>
        <w:rPr>
          <w:spacing w:val="5"/>
        </w:rPr>
        <w:t> </w:t>
      </w:r>
      <w:r>
        <w:rPr/>
        <w:t>de</w:t>
      </w:r>
    </w:p>
    <w:p>
      <w:pPr>
        <w:spacing w:after="0" w:line="360" w:lineRule="auto"/>
        <w:jc w:val="both"/>
        <w:sectPr>
          <w:pgSz w:w="12240" w:h="15840"/>
          <w:pgMar w:header="0" w:footer="975" w:top="1420" w:bottom="1220" w:left="1480" w:right="1460"/>
        </w:sectPr>
      </w:pPr>
    </w:p>
    <w:p>
      <w:pPr>
        <w:pStyle w:val="BodyText"/>
        <w:spacing w:line="360" w:lineRule="auto" w:before="54"/>
        <w:ind w:left="122" w:right="127"/>
        <w:jc w:val="both"/>
      </w:pPr>
      <w:r>
        <w:rPr/>
        <w:t>senadores conforme al artículo 56 de la CPEUM se integra por 128 senadores, de los cuales 64 son electos por mayoría relativa, 32 por primera minoría y 32 por representación proporcional.</w:t>
      </w:r>
    </w:p>
    <w:p>
      <w:pPr>
        <w:pStyle w:val="BodyText"/>
      </w:pPr>
    </w:p>
    <w:p>
      <w:pPr>
        <w:pStyle w:val="BodyText"/>
      </w:pPr>
    </w:p>
    <w:p>
      <w:pPr>
        <w:pStyle w:val="BodyText"/>
        <w:spacing w:line="360" w:lineRule="auto" w:before="187"/>
        <w:ind w:left="122" w:right="116"/>
        <w:jc w:val="both"/>
      </w:pPr>
      <w:r>
        <w:rPr/>
        <w:t>El Poder Ejecutivo de acuerdo con el artículo 80 de la CPEUM se deposita en un solo individuo denominado “Presidente de los Estados Unidos Mexicanos”. Por su parte el Poder Judicial, según lo establecido en el artículo 94 de la CPEUM, se deposita</w:t>
      </w:r>
      <w:r>
        <w:rPr>
          <w:spacing w:val="-5"/>
        </w:rPr>
        <w:t> </w:t>
      </w:r>
      <w:r>
        <w:rPr/>
        <w:t>en</w:t>
      </w:r>
      <w:r>
        <w:rPr>
          <w:spacing w:val="-5"/>
        </w:rPr>
        <w:t> </w:t>
      </w:r>
      <w:r>
        <w:rPr/>
        <w:t>una</w:t>
      </w:r>
      <w:r>
        <w:rPr>
          <w:spacing w:val="-5"/>
        </w:rPr>
        <w:t> </w:t>
      </w:r>
      <w:r>
        <w:rPr/>
        <w:t>Suprema</w:t>
      </w:r>
      <w:r>
        <w:rPr>
          <w:spacing w:val="-5"/>
        </w:rPr>
        <w:t> </w:t>
      </w:r>
      <w:r>
        <w:rPr/>
        <w:t>Corte</w:t>
      </w:r>
      <w:r>
        <w:rPr>
          <w:spacing w:val="-7"/>
        </w:rPr>
        <w:t> </w:t>
      </w:r>
      <w:r>
        <w:rPr/>
        <w:t>de</w:t>
      </w:r>
      <w:r>
        <w:rPr>
          <w:spacing w:val="-1"/>
        </w:rPr>
        <w:t> </w:t>
      </w:r>
      <w:r>
        <w:rPr/>
        <w:t>Justicia,</w:t>
      </w:r>
      <w:r>
        <w:rPr>
          <w:spacing w:val="-5"/>
        </w:rPr>
        <w:t> </w:t>
      </w:r>
      <w:r>
        <w:rPr/>
        <w:t>en</w:t>
      </w:r>
      <w:r>
        <w:rPr>
          <w:spacing w:val="-5"/>
        </w:rPr>
        <w:t> </w:t>
      </w:r>
      <w:r>
        <w:rPr/>
        <w:t>un</w:t>
      </w:r>
      <w:r>
        <w:rPr>
          <w:spacing w:val="-7"/>
        </w:rPr>
        <w:t> </w:t>
      </w:r>
      <w:r>
        <w:rPr/>
        <w:t>Tribunal</w:t>
      </w:r>
      <w:r>
        <w:rPr>
          <w:spacing w:val="-6"/>
        </w:rPr>
        <w:t> </w:t>
      </w:r>
      <w:r>
        <w:rPr/>
        <w:t>Electoral,</w:t>
      </w:r>
      <w:r>
        <w:rPr>
          <w:spacing w:val="-5"/>
        </w:rPr>
        <w:t> </w:t>
      </w:r>
      <w:r>
        <w:rPr/>
        <w:t>en</w:t>
      </w:r>
      <w:r>
        <w:rPr>
          <w:spacing w:val="-7"/>
        </w:rPr>
        <w:t> </w:t>
      </w:r>
      <w:r>
        <w:rPr/>
        <w:t>Tribunales Colegiados y Unitarios de Circuito y en Juzgados de</w:t>
      </w:r>
      <w:r>
        <w:rPr>
          <w:spacing w:val="-17"/>
        </w:rPr>
        <w:t> </w:t>
      </w:r>
      <w:r>
        <w:rPr/>
        <w:t>Distrito.</w:t>
      </w:r>
    </w:p>
    <w:p>
      <w:pPr>
        <w:pStyle w:val="BodyText"/>
      </w:pPr>
    </w:p>
    <w:p>
      <w:pPr>
        <w:pStyle w:val="BodyText"/>
      </w:pPr>
    </w:p>
    <w:p>
      <w:pPr>
        <w:pStyle w:val="BodyText"/>
        <w:spacing w:before="7"/>
        <w:rPr>
          <w:sz w:val="19"/>
        </w:rPr>
      </w:pPr>
    </w:p>
    <w:p>
      <w:pPr>
        <w:pStyle w:val="Heading1"/>
        <w:ind w:left="110" w:firstLine="0"/>
      </w:pPr>
      <w:r>
        <w:rPr/>
        <w:t>1.3.3.1          La Administración Pública Municipal</w:t>
      </w:r>
    </w:p>
    <w:p>
      <w:pPr>
        <w:pStyle w:val="BodyText"/>
        <w:rPr>
          <w:b/>
        </w:rPr>
      </w:pPr>
    </w:p>
    <w:p>
      <w:pPr>
        <w:pStyle w:val="BodyText"/>
        <w:rPr>
          <w:b/>
        </w:rPr>
      </w:pPr>
    </w:p>
    <w:p>
      <w:pPr>
        <w:pStyle w:val="BodyText"/>
        <w:spacing w:line="360" w:lineRule="auto" w:before="158"/>
        <w:ind w:left="122" w:right="117"/>
        <w:jc w:val="both"/>
      </w:pPr>
      <w:r>
        <w:rPr/>
        <w:t>Respecto a los Estados es pertinente destacar que el artículo 115 de la CPEUM señala que estos adoptarán, para su régimen interior, la forma de gobierno republicano, representativo, democrático, laico y popular, teniendo como base de su</w:t>
      </w:r>
      <w:r>
        <w:rPr>
          <w:spacing w:val="-5"/>
        </w:rPr>
        <w:t> </w:t>
      </w:r>
      <w:r>
        <w:rPr/>
        <w:t>división</w:t>
      </w:r>
      <w:r>
        <w:rPr>
          <w:spacing w:val="-5"/>
        </w:rPr>
        <w:t> </w:t>
      </w:r>
      <w:r>
        <w:rPr/>
        <w:t>territorial</w:t>
      </w:r>
      <w:r>
        <w:rPr>
          <w:spacing w:val="-6"/>
        </w:rPr>
        <w:t> </w:t>
      </w:r>
      <w:r>
        <w:rPr/>
        <w:t>y</w:t>
      </w:r>
      <w:r>
        <w:rPr>
          <w:spacing w:val="-8"/>
        </w:rPr>
        <w:t> </w:t>
      </w:r>
      <w:r>
        <w:rPr/>
        <w:t>de</w:t>
      </w:r>
      <w:r>
        <w:rPr>
          <w:spacing w:val="-5"/>
        </w:rPr>
        <w:t> </w:t>
      </w:r>
      <w:r>
        <w:rPr/>
        <w:t>su</w:t>
      </w:r>
      <w:r>
        <w:rPr>
          <w:spacing w:val="-7"/>
        </w:rPr>
        <w:t> </w:t>
      </w:r>
      <w:r>
        <w:rPr/>
        <w:t>organización</w:t>
      </w:r>
      <w:r>
        <w:rPr>
          <w:spacing w:val="-4"/>
        </w:rPr>
        <w:t> </w:t>
      </w:r>
      <w:r>
        <w:rPr/>
        <w:t>política</w:t>
      </w:r>
      <w:r>
        <w:rPr>
          <w:spacing w:val="-5"/>
        </w:rPr>
        <w:t> </w:t>
      </w:r>
      <w:r>
        <w:rPr/>
        <w:t>y</w:t>
      </w:r>
      <w:r>
        <w:rPr>
          <w:spacing w:val="-8"/>
        </w:rPr>
        <w:t> </w:t>
      </w:r>
      <w:r>
        <w:rPr/>
        <w:t>administrativa</w:t>
      </w:r>
      <w:r>
        <w:rPr>
          <w:spacing w:val="-2"/>
        </w:rPr>
        <w:t> </w:t>
      </w:r>
      <w:r>
        <w:rPr/>
        <w:t>el</w:t>
      </w:r>
      <w:r>
        <w:rPr>
          <w:spacing w:val="-8"/>
        </w:rPr>
        <w:t> </w:t>
      </w:r>
      <w:r>
        <w:rPr/>
        <w:t>municipio</w:t>
      </w:r>
      <w:r>
        <w:rPr>
          <w:spacing w:val="-5"/>
        </w:rPr>
        <w:t> </w:t>
      </w:r>
      <w:r>
        <w:rPr/>
        <w:t>libre. Asimismo, conforme a la fracción I del mismo artículo, el municipio será gobernado por un Ayuntamiento de elección popular directa, integrado por un Presidente Municipal y el número de regidores y síndicos que la ley</w:t>
      </w:r>
      <w:r>
        <w:rPr>
          <w:spacing w:val="-24"/>
        </w:rPr>
        <w:t> </w:t>
      </w:r>
      <w:r>
        <w:rPr/>
        <w:t>determine.</w:t>
      </w:r>
    </w:p>
    <w:p>
      <w:pPr>
        <w:pStyle w:val="BodyText"/>
      </w:pPr>
    </w:p>
    <w:p>
      <w:pPr>
        <w:pStyle w:val="BodyText"/>
      </w:pPr>
    </w:p>
    <w:p>
      <w:pPr>
        <w:pStyle w:val="BodyText"/>
        <w:spacing w:line="360" w:lineRule="auto" w:before="185"/>
        <w:ind w:left="122" w:right="117"/>
        <w:jc w:val="both"/>
      </w:pPr>
      <w:r>
        <w:rPr/>
        <w:t>En la fracción II se establece que los ayuntamientos tendrán facultades para aprobar, los bandos de policía y gobierno, los reglamentos, circulares y disposiciones administrativas de observancia general dentro de sus respectivas jurisdicciones, que organicen la administración pública municipal, regulen las materias, procedimientos, funciones y servicios públicos de su competencia y aseguren la participación ciudadana y vecinal.</w:t>
      </w:r>
    </w:p>
    <w:p>
      <w:pPr>
        <w:spacing w:after="0" w:line="360" w:lineRule="auto"/>
        <w:jc w:val="both"/>
        <w:sectPr>
          <w:pgSz w:w="12240" w:h="15840"/>
          <w:pgMar w:header="0" w:footer="975" w:top="1360" w:bottom="1220" w:left="1580" w:right="1580"/>
        </w:sectPr>
      </w:pPr>
    </w:p>
    <w:p>
      <w:pPr>
        <w:pStyle w:val="BodyText"/>
        <w:spacing w:line="360" w:lineRule="auto" w:before="54"/>
        <w:ind w:left="102" w:right="116"/>
        <w:jc w:val="both"/>
      </w:pPr>
      <w:r>
        <w:rPr/>
        <w:t>El artículo 115 en su inciso i) establece que los municipios, previo acuerdo de sus ayuntamientos, podrán coordinarse y asociarse para mejorar la prestación de los servicios públicos o el mejor ejercicio de sus funciones. En este caso y tratándose de la asociación de municipios de dos o más Estados, deberán contar con la aprobación de las legislaturas de los Estados respectivas. Asimismo, en la fracción IV</w:t>
      </w:r>
      <w:r>
        <w:rPr>
          <w:spacing w:val="-14"/>
        </w:rPr>
        <w:t> </w:t>
      </w:r>
      <w:r>
        <w:rPr/>
        <w:t>establece</w:t>
      </w:r>
      <w:r>
        <w:rPr>
          <w:spacing w:val="-15"/>
        </w:rPr>
        <w:t> </w:t>
      </w:r>
      <w:r>
        <w:rPr/>
        <w:t>que</w:t>
      </w:r>
      <w:r>
        <w:rPr>
          <w:spacing w:val="-14"/>
        </w:rPr>
        <w:t> </w:t>
      </w:r>
      <w:r>
        <w:rPr/>
        <w:t>los</w:t>
      </w:r>
      <w:r>
        <w:rPr>
          <w:spacing w:val="-18"/>
        </w:rPr>
        <w:t> </w:t>
      </w:r>
      <w:r>
        <w:rPr/>
        <w:t>municipios</w:t>
      </w:r>
      <w:r>
        <w:rPr>
          <w:spacing w:val="-16"/>
        </w:rPr>
        <w:t> </w:t>
      </w:r>
      <w:r>
        <w:rPr/>
        <w:t>administrarán</w:t>
      </w:r>
      <w:r>
        <w:rPr>
          <w:spacing w:val="-15"/>
        </w:rPr>
        <w:t> </w:t>
      </w:r>
      <w:r>
        <w:rPr/>
        <w:t>su</w:t>
      </w:r>
      <w:r>
        <w:rPr>
          <w:spacing w:val="-15"/>
        </w:rPr>
        <w:t> </w:t>
      </w:r>
      <w:r>
        <w:rPr/>
        <w:t>hacienda</w:t>
      </w:r>
      <w:r>
        <w:rPr>
          <w:spacing w:val="-14"/>
        </w:rPr>
        <w:t> </w:t>
      </w:r>
      <w:r>
        <w:rPr/>
        <w:t>y</w:t>
      </w:r>
      <w:r>
        <w:rPr>
          <w:spacing w:val="-16"/>
        </w:rPr>
        <w:t> </w:t>
      </w:r>
      <w:r>
        <w:rPr/>
        <w:t>que</w:t>
      </w:r>
      <w:r>
        <w:rPr>
          <w:spacing w:val="-16"/>
        </w:rPr>
        <w:t> </w:t>
      </w:r>
      <w:r>
        <w:rPr/>
        <w:t>el</w:t>
      </w:r>
      <w:r>
        <w:rPr>
          <w:spacing w:val="-14"/>
        </w:rPr>
        <w:t> </w:t>
      </w:r>
      <w:r>
        <w:rPr/>
        <w:t>Estado</w:t>
      </w:r>
      <w:r>
        <w:rPr>
          <w:spacing w:val="-15"/>
        </w:rPr>
        <w:t> </w:t>
      </w:r>
      <w:r>
        <w:rPr/>
        <w:t>aprobará su ley de ingresos y revisarán y fiscalizarán sus cuentas</w:t>
      </w:r>
      <w:r>
        <w:rPr>
          <w:spacing w:val="-16"/>
        </w:rPr>
        <w:t> </w:t>
      </w:r>
      <w:r>
        <w:rPr/>
        <w:t>públicas.</w:t>
      </w:r>
    </w:p>
    <w:p>
      <w:pPr>
        <w:pStyle w:val="BodyText"/>
      </w:pPr>
    </w:p>
    <w:p>
      <w:pPr>
        <w:pStyle w:val="BodyText"/>
      </w:pPr>
    </w:p>
    <w:p>
      <w:pPr>
        <w:pStyle w:val="BodyText"/>
        <w:spacing w:line="360" w:lineRule="auto" w:before="188"/>
        <w:ind w:left="102" w:right="117"/>
        <w:jc w:val="both"/>
      </w:pPr>
      <w:r>
        <w:rPr/>
        <w:t>Respecto a lo anterior se marca una relación intergubernamental de forma piramidal, que parte de la federación hacia los estados y de estos hacia los municipios.</w:t>
      </w:r>
      <w:r>
        <w:rPr>
          <w:spacing w:val="-6"/>
        </w:rPr>
        <w:t> </w:t>
      </w:r>
      <w:r>
        <w:rPr/>
        <w:t>Razón</w:t>
      </w:r>
      <w:r>
        <w:rPr>
          <w:spacing w:val="-7"/>
        </w:rPr>
        <w:t> </w:t>
      </w:r>
      <w:r>
        <w:rPr/>
        <w:t>por</w:t>
      </w:r>
      <w:r>
        <w:rPr>
          <w:spacing w:val="-11"/>
        </w:rPr>
        <w:t> </w:t>
      </w:r>
      <w:r>
        <w:rPr/>
        <w:t>la</w:t>
      </w:r>
      <w:r>
        <w:rPr>
          <w:spacing w:val="-7"/>
        </w:rPr>
        <w:t> </w:t>
      </w:r>
      <w:r>
        <w:rPr/>
        <w:t>cual</w:t>
      </w:r>
      <w:r>
        <w:rPr>
          <w:spacing w:val="-8"/>
        </w:rPr>
        <w:t> </w:t>
      </w:r>
      <w:r>
        <w:rPr/>
        <w:t>se</w:t>
      </w:r>
      <w:r>
        <w:rPr>
          <w:spacing w:val="-9"/>
        </w:rPr>
        <w:t> </w:t>
      </w:r>
      <w:r>
        <w:rPr/>
        <w:t>deben</w:t>
      </w:r>
      <w:r>
        <w:rPr>
          <w:spacing w:val="-7"/>
        </w:rPr>
        <w:t> </w:t>
      </w:r>
      <w:r>
        <w:rPr/>
        <w:t>coordinar</w:t>
      </w:r>
      <w:r>
        <w:rPr>
          <w:spacing w:val="-8"/>
        </w:rPr>
        <w:t> </w:t>
      </w:r>
      <w:r>
        <w:rPr/>
        <w:t>los</w:t>
      </w:r>
      <w:r>
        <w:rPr>
          <w:spacing w:val="-10"/>
        </w:rPr>
        <w:t> </w:t>
      </w:r>
      <w:r>
        <w:rPr/>
        <w:t>tres</w:t>
      </w:r>
      <w:r>
        <w:rPr>
          <w:spacing w:val="-10"/>
        </w:rPr>
        <w:t> </w:t>
      </w:r>
      <w:r>
        <w:rPr/>
        <w:t>órdenes</w:t>
      </w:r>
      <w:r>
        <w:rPr>
          <w:spacing w:val="-10"/>
        </w:rPr>
        <w:t> </w:t>
      </w:r>
      <w:r>
        <w:rPr/>
        <w:t>de</w:t>
      </w:r>
      <w:r>
        <w:rPr>
          <w:spacing w:val="-9"/>
        </w:rPr>
        <w:t> </w:t>
      </w:r>
      <w:r>
        <w:rPr/>
        <w:t>gobierno</w:t>
      </w:r>
      <w:r>
        <w:rPr>
          <w:spacing w:val="-9"/>
        </w:rPr>
        <w:t> </w:t>
      </w:r>
      <w:r>
        <w:rPr/>
        <w:t>para hacer eficiente la administración pública y evitar la</w:t>
      </w:r>
      <w:r>
        <w:rPr>
          <w:spacing w:val="-21"/>
        </w:rPr>
        <w:t> </w:t>
      </w:r>
      <w:r>
        <w:rPr/>
        <w:t>corrupción.</w:t>
      </w:r>
    </w:p>
    <w:p>
      <w:pPr>
        <w:pStyle w:val="BodyText"/>
      </w:pPr>
    </w:p>
    <w:p>
      <w:pPr>
        <w:pStyle w:val="BodyText"/>
      </w:pPr>
    </w:p>
    <w:p>
      <w:pPr>
        <w:pStyle w:val="Heading1"/>
        <w:spacing w:before="185"/>
        <w:ind w:left="169" w:firstLine="0"/>
      </w:pPr>
      <w:r>
        <w:rPr/>
        <w:t>a)  Tipología de municipios</w:t>
      </w:r>
    </w:p>
    <w:p>
      <w:pPr>
        <w:pStyle w:val="BodyText"/>
        <w:rPr>
          <w:b/>
        </w:rPr>
      </w:pPr>
    </w:p>
    <w:p>
      <w:pPr>
        <w:pStyle w:val="BodyText"/>
        <w:rPr>
          <w:b/>
        </w:rPr>
      </w:pPr>
    </w:p>
    <w:p>
      <w:pPr>
        <w:pStyle w:val="BodyText"/>
        <w:rPr>
          <w:b/>
          <w:sz w:val="28"/>
        </w:rPr>
      </w:pPr>
    </w:p>
    <w:p>
      <w:pPr>
        <w:pStyle w:val="BodyText"/>
        <w:spacing w:line="360" w:lineRule="auto"/>
        <w:ind w:left="102" w:right="115"/>
        <w:jc w:val="both"/>
      </w:pPr>
      <w:r>
        <w:rPr/>
        <w:t>Dado que los municipios del Estado de México tienen características diferentes resulta relevante agruparlos según características que permitan hacerlos homogéneos. En este sentido afirma Salazar (2009) hacer tipologías permite conocer</w:t>
      </w:r>
      <w:r>
        <w:rPr>
          <w:spacing w:val="-15"/>
        </w:rPr>
        <w:t> </w:t>
      </w:r>
      <w:r>
        <w:rPr/>
        <w:t>y</w:t>
      </w:r>
      <w:r>
        <w:rPr>
          <w:spacing w:val="-16"/>
        </w:rPr>
        <w:t> </w:t>
      </w:r>
      <w:r>
        <w:rPr/>
        <w:t>comprender</w:t>
      </w:r>
      <w:r>
        <w:rPr>
          <w:spacing w:val="-17"/>
        </w:rPr>
        <w:t> </w:t>
      </w:r>
      <w:r>
        <w:rPr/>
        <w:t>mejor</w:t>
      </w:r>
      <w:r>
        <w:rPr>
          <w:spacing w:val="-14"/>
        </w:rPr>
        <w:t> </w:t>
      </w:r>
      <w:r>
        <w:rPr/>
        <w:t>un</w:t>
      </w:r>
      <w:r>
        <w:rPr>
          <w:spacing w:val="-16"/>
        </w:rPr>
        <w:t> </w:t>
      </w:r>
      <w:r>
        <w:rPr/>
        <w:t>fenómeno</w:t>
      </w:r>
      <w:r>
        <w:rPr>
          <w:spacing w:val="-16"/>
        </w:rPr>
        <w:t> </w:t>
      </w:r>
      <w:r>
        <w:rPr/>
        <w:t>o</w:t>
      </w:r>
      <w:r>
        <w:rPr>
          <w:spacing w:val="-13"/>
        </w:rPr>
        <w:t> </w:t>
      </w:r>
      <w:r>
        <w:rPr/>
        <w:t>situación.</w:t>
      </w:r>
      <w:r>
        <w:rPr>
          <w:spacing w:val="-13"/>
        </w:rPr>
        <w:t> </w:t>
      </w:r>
      <w:r>
        <w:rPr/>
        <w:t>Debido</w:t>
      </w:r>
      <w:r>
        <w:rPr>
          <w:spacing w:val="-13"/>
        </w:rPr>
        <w:t> </w:t>
      </w:r>
      <w:r>
        <w:rPr/>
        <w:t>a</w:t>
      </w:r>
      <w:r>
        <w:rPr>
          <w:spacing w:val="-13"/>
        </w:rPr>
        <w:t> </w:t>
      </w:r>
      <w:r>
        <w:rPr/>
        <w:t>que</w:t>
      </w:r>
      <w:r>
        <w:rPr>
          <w:spacing w:val="-15"/>
        </w:rPr>
        <w:t> </w:t>
      </w:r>
      <w:r>
        <w:rPr/>
        <w:t>al</w:t>
      </w:r>
      <w:r>
        <w:rPr>
          <w:spacing w:val="-14"/>
        </w:rPr>
        <w:t> </w:t>
      </w:r>
      <w:r>
        <w:rPr/>
        <w:t>conocer</w:t>
      </w:r>
      <w:r>
        <w:rPr>
          <w:spacing w:val="-15"/>
        </w:rPr>
        <w:t> </w:t>
      </w:r>
      <w:r>
        <w:rPr/>
        <w:t>este tipo de características de los municipios se puede hacer una mejor planeación, asignación y racionalización de los recursos. En este sentido cabe hacer mención que, según el enfoque dado a las investigaciones se pueden usar las tipologías propuestas por diferentes</w:t>
      </w:r>
      <w:r>
        <w:rPr>
          <w:spacing w:val="-7"/>
        </w:rPr>
        <w:t> </w:t>
      </w:r>
      <w:r>
        <w:rPr/>
        <w:t>autores.</w:t>
      </w:r>
    </w:p>
    <w:p>
      <w:pPr>
        <w:pStyle w:val="BodyText"/>
      </w:pPr>
    </w:p>
    <w:p>
      <w:pPr>
        <w:pStyle w:val="BodyText"/>
      </w:pPr>
    </w:p>
    <w:p>
      <w:pPr>
        <w:pStyle w:val="BodyText"/>
        <w:spacing w:line="360" w:lineRule="auto" w:before="186"/>
        <w:ind w:left="102" w:right="117"/>
        <w:jc w:val="both"/>
      </w:pPr>
      <w:r>
        <w:rPr/>
        <w:t>Para</w:t>
      </w:r>
      <w:r>
        <w:rPr>
          <w:spacing w:val="-5"/>
        </w:rPr>
        <w:t> </w:t>
      </w:r>
      <w:r>
        <w:rPr/>
        <w:t>Martínez</w:t>
      </w:r>
      <w:r>
        <w:rPr>
          <w:spacing w:val="-8"/>
        </w:rPr>
        <w:t> </w:t>
      </w:r>
      <w:r>
        <w:rPr/>
        <w:t>(1992)</w:t>
      </w:r>
      <w:r>
        <w:rPr>
          <w:spacing w:val="-8"/>
        </w:rPr>
        <w:t> </w:t>
      </w:r>
      <w:r>
        <w:rPr/>
        <w:t>existen</w:t>
      </w:r>
      <w:r>
        <w:rPr>
          <w:spacing w:val="-5"/>
        </w:rPr>
        <w:t> </w:t>
      </w:r>
      <w:r>
        <w:rPr/>
        <w:t>municipios</w:t>
      </w:r>
      <w:r>
        <w:rPr>
          <w:spacing w:val="-7"/>
        </w:rPr>
        <w:t> </w:t>
      </w:r>
      <w:r>
        <w:rPr/>
        <w:t>metropolitanos,</w:t>
      </w:r>
      <w:r>
        <w:rPr>
          <w:spacing w:val="-7"/>
        </w:rPr>
        <w:t> </w:t>
      </w:r>
      <w:r>
        <w:rPr/>
        <w:t>en</w:t>
      </w:r>
      <w:r>
        <w:rPr>
          <w:spacing w:val="-7"/>
        </w:rPr>
        <w:t> </w:t>
      </w:r>
      <w:r>
        <w:rPr/>
        <w:t>los</w:t>
      </w:r>
      <w:r>
        <w:rPr>
          <w:spacing w:val="-5"/>
        </w:rPr>
        <w:t> </w:t>
      </w:r>
      <w:r>
        <w:rPr/>
        <w:t>que</w:t>
      </w:r>
      <w:r>
        <w:rPr>
          <w:spacing w:val="-7"/>
        </w:rPr>
        <w:t> </w:t>
      </w:r>
      <w:r>
        <w:rPr/>
        <w:t>se</w:t>
      </w:r>
      <w:r>
        <w:rPr>
          <w:spacing w:val="-5"/>
        </w:rPr>
        <w:t> </w:t>
      </w:r>
      <w:r>
        <w:rPr/>
        <w:t>concentra</w:t>
      </w:r>
      <w:r>
        <w:rPr>
          <w:spacing w:val="-7"/>
        </w:rPr>
        <w:t> </w:t>
      </w:r>
      <w:r>
        <w:rPr/>
        <w:t>la mayor actividad económica y tienen poblaciones mayores a 500 mil habitantes. Municipios urbanos, cuya economía es pequeña con industria mediana y tienen población  estimada entre 100 mil y 500 mil habitantes. Municipios   </w:t>
      </w:r>
      <w:r>
        <w:rPr>
          <w:spacing w:val="38"/>
        </w:rPr>
        <w:t> </w:t>
      </w:r>
      <w:r>
        <w:rPr/>
        <w:t>semiurbanos,</w:t>
      </w:r>
    </w:p>
    <w:p>
      <w:pPr>
        <w:spacing w:after="0" w:line="360" w:lineRule="auto"/>
        <w:jc w:val="both"/>
        <w:sectPr>
          <w:pgSz w:w="12240" w:h="15840"/>
          <w:pgMar w:header="0" w:footer="975" w:top="1360" w:bottom="1220" w:left="1600" w:right="1580"/>
        </w:sectPr>
      </w:pPr>
    </w:p>
    <w:p>
      <w:pPr>
        <w:pStyle w:val="BodyText"/>
        <w:spacing w:line="360" w:lineRule="auto" w:before="54"/>
        <w:ind w:left="122" w:right="117"/>
        <w:jc w:val="both"/>
      </w:pPr>
      <w:r>
        <w:rPr/>
        <w:t>cuyas actividades económicas son más enfocadas al sector primario, pero intentan ingresar</w:t>
      </w:r>
      <w:r>
        <w:rPr>
          <w:spacing w:val="-17"/>
        </w:rPr>
        <w:t> </w:t>
      </w:r>
      <w:r>
        <w:rPr/>
        <w:t>a</w:t>
      </w:r>
      <w:r>
        <w:rPr>
          <w:spacing w:val="-16"/>
        </w:rPr>
        <w:t> </w:t>
      </w:r>
      <w:r>
        <w:rPr/>
        <w:t>la</w:t>
      </w:r>
      <w:r>
        <w:rPr>
          <w:spacing w:val="-18"/>
        </w:rPr>
        <w:t> </w:t>
      </w:r>
      <w:r>
        <w:rPr/>
        <w:t>pequeña</w:t>
      </w:r>
      <w:r>
        <w:rPr>
          <w:spacing w:val="-16"/>
        </w:rPr>
        <w:t> </w:t>
      </w:r>
      <w:r>
        <w:rPr/>
        <w:t>industria,</w:t>
      </w:r>
      <w:r>
        <w:rPr>
          <w:spacing w:val="-18"/>
        </w:rPr>
        <w:t> </w:t>
      </w:r>
      <w:r>
        <w:rPr/>
        <w:t>su</w:t>
      </w:r>
      <w:r>
        <w:rPr>
          <w:spacing w:val="-18"/>
        </w:rPr>
        <w:t> </w:t>
      </w:r>
      <w:r>
        <w:rPr/>
        <w:t>población</w:t>
      </w:r>
      <w:r>
        <w:rPr>
          <w:spacing w:val="-19"/>
        </w:rPr>
        <w:t> </w:t>
      </w:r>
      <w:r>
        <w:rPr/>
        <w:t>oscila</w:t>
      </w:r>
      <w:r>
        <w:rPr>
          <w:spacing w:val="-16"/>
        </w:rPr>
        <w:t> </w:t>
      </w:r>
      <w:r>
        <w:rPr/>
        <w:t>entre</w:t>
      </w:r>
      <w:r>
        <w:rPr>
          <w:spacing w:val="-18"/>
        </w:rPr>
        <w:t> </w:t>
      </w:r>
      <w:r>
        <w:rPr/>
        <w:t>25</w:t>
      </w:r>
      <w:r>
        <w:rPr>
          <w:spacing w:val="-18"/>
        </w:rPr>
        <w:t> </w:t>
      </w:r>
      <w:r>
        <w:rPr/>
        <w:t>mil</w:t>
      </w:r>
      <w:r>
        <w:rPr>
          <w:spacing w:val="-17"/>
        </w:rPr>
        <w:t> </w:t>
      </w:r>
      <w:r>
        <w:rPr/>
        <w:t>y</w:t>
      </w:r>
      <w:r>
        <w:rPr>
          <w:spacing w:val="-19"/>
        </w:rPr>
        <w:t> </w:t>
      </w:r>
      <w:r>
        <w:rPr/>
        <w:t>100</w:t>
      </w:r>
      <w:r>
        <w:rPr>
          <w:spacing w:val="-16"/>
        </w:rPr>
        <w:t> </w:t>
      </w:r>
      <w:r>
        <w:rPr/>
        <w:t>mil</w:t>
      </w:r>
      <w:r>
        <w:rPr>
          <w:spacing w:val="-19"/>
        </w:rPr>
        <w:t> </w:t>
      </w:r>
      <w:r>
        <w:rPr/>
        <w:t>habitantes. Municipios rurales, son aquellos que básicamente están en actividades primarias, carecen de industria y oscilan en poblaciones menores a 25 mil</w:t>
      </w:r>
      <w:r>
        <w:rPr>
          <w:spacing w:val="-29"/>
        </w:rPr>
        <w:t> </w:t>
      </w:r>
      <w:r>
        <w:rPr/>
        <w:t>habitantes.</w:t>
      </w:r>
    </w:p>
    <w:p>
      <w:pPr>
        <w:pStyle w:val="BodyText"/>
      </w:pPr>
    </w:p>
    <w:p>
      <w:pPr>
        <w:pStyle w:val="BodyText"/>
      </w:pPr>
    </w:p>
    <w:p>
      <w:pPr>
        <w:pStyle w:val="BodyText"/>
        <w:spacing w:line="360" w:lineRule="auto" w:before="180"/>
        <w:ind w:left="122" w:right="114"/>
        <w:jc w:val="both"/>
      </w:pPr>
      <w:r>
        <w:rPr/>
        <w:t>Por su parte, el INAFED</w:t>
      </w:r>
      <w:r>
        <w:rPr>
          <w:position w:val="8"/>
          <w:sz w:val="16"/>
        </w:rPr>
        <w:t>14 </w:t>
      </w:r>
      <w:r>
        <w:rPr/>
        <w:t>clasifica los municipios de la siguiente manera según el tamaño de sus localidades:</w:t>
      </w:r>
    </w:p>
    <w:p>
      <w:pPr>
        <w:pStyle w:val="BodyText"/>
      </w:pPr>
    </w:p>
    <w:p>
      <w:pPr>
        <w:pStyle w:val="BodyText"/>
      </w:pPr>
    </w:p>
    <w:p>
      <w:pPr>
        <w:pStyle w:val="ListParagraph"/>
        <w:numPr>
          <w:ilvl w:val="0"/>
          <w:numId w:val="12"/>
        </w:numPr>
        <w:tabs>
          <w:tab w:pos="549" w:val="left" w:leader="none"/>
          <w:tab w:pos="550" w:val="left" w:leader="none"/>
        </w:tabs>
        <w:spacing w:line="350" w:lineRule="auto" w:before="186" w:after="0"/>
        <w:ind w:left="549" w:right="122" w:hanging="360"/>
        <w:jc w:val="left"/>
        <w:rPr>
          <w:sz w:val="24"/>
        </w:rPr>
      </w:pPr>
      <w:r>
        <w:rPr>
          <w:b/>
          <w:sz w:val="24"/>
        </w:rPr>
        <w:t>Metropolitanos.</w:t>
      </w:r>
      <w:r>
        <w:rPr>
          <w:b/>
          <w:spacing w:val="-2"/>
          <w:sz w:val="24"/>
        </w:rPr>
        <w:t> </w:t>
      </w:r>
      <w:r>
        <w:rPr>
          <w:sz w:val="24"/>
        </w:rPr>
        <w:t>Más</w:t>
      </w:r>
      <w:r>
        <w:rPr>
          <w:spacing w:val="-4"/>
          <w:sz w:val="24"/>
        </w:rPr>
        <w:t> </w:t>
      </w:r>
      <w:r>
        <w:rPr>
          <w:sz w:val="24"/>
        </w:rPr>
        <w:t>del</w:t>
      </w:r>
      <w:r>
        <w:rPr>
          <w:spacing w:val="-5"/>
          <w:sz w:val="24"/>
        </w:rPr>
        <w:t> </w:t>
      </w:r>
      <w:r>
        <w:rPr>
          <w:sz w:val="24"/>
        </w:rPr>
        <w:t>50%</w:t>
      </w:r>
      <w:r>
        <w:rPr>
          <w:spacing w:val="-4"/>
          <w:sz w:val="24"/>
        </w:rPr>
        <w:t> </w:t>
      </w:r>
      <w:r>
        <w:rPr>
          <w:sz w:val="24"/>
        </w:rPr>
        <w:t>de</w:t>
      </w:r>
      <w:r>
        <w:rPr>
          <w:spacing w:val="-4"/>
          <w:sz w:val="24"/>
        </w:rPr>
        <w:t> </w:t>
      </w:r>
      <w:r>
        <w:rPr>
          <w:sz w:val="24"/>
        </w:rPr>
        <w:t>la</w:t>
      </w:r>
      <w:r>
        <w:rPr>
          <w:spacing w:val="-4"/>
          <w:sz w:val="24"/>
        </w:rPr>
        <w:t> </w:t>
      </w:r>
      <w:r>
        <w:rPr>
          <w:sz w:val="24"/>
        </w:rPr>
        <w:t>población</w:t>
      </w:r>
      <w:r>
        <w:rPr>
          <w:spacing w:val="-4"/>
          <w:sz w:val="24"/>
        </w:rPr>
        <w:t> </w:t>
      </w:r>
      <w:r>
        <w:rPr>
          <w:sz w:val="24"/>
        </w:rPr>
        <w:t>reside</w:t>
      </w:r>
      <w:r>
        <w:rPr>
          <w:spacing w:val="-4"/>
          <w:sz w:val="24"/>
        </w:rPr>
        <w:t> </w:t>
      </w:r>
      <w:r>
        <w:rPr>
          <w:sz w:val="24"/>
        </w:rPr>
        <w:t>en</w:t>
      </w:r>
      <w:r>
        <w:rPr>
          <w:spacing w:val="-4"/>
          <w:sz w:val="24"/>
        </w:rPr>
        <w:t> </w:t>
      </w:r>
      <w:r>
        <w:rPr>
          <w:sz w:val="24"/>
        </w:rPr>
        <w:t>localidades</w:t>
      </w:r>
      <w:r>
        <w:rPr>
          <w:spacing w:val="-7"/>
          <w:sz w:val="24"/>
        </w:rPr>
        <w:t> </w:t>
      </w:r>
      <w:r>
        <w:rPr>
          <w:sz w:val="24"/>
        </w:rPr>
        <w:t>de</w:t>
      </w:r>
      <w:r>
        <w:rPr>
          <w:spacing w:val="-4"/>
          <w:sz w:val="24"/>
        </w:rPr>
        <w:t> </w:t>
      </w:r>
      <w:r>
        <w:rPr>
          <w:sz w:val="24"/>
        </w:rPr>
        <w:t>más</w:t>
      </w:r>
      <w:r>
        <w:rPr>
          <w:spacing w:val="-7"/>
          <w:sz w:val="24"/>
        </w:rPr>
        <w:t> </w:t>
      </w:r>
      <w:r>
        <w:rPr>
          <w:sz w:val="24"/>
        </w:rPr>
        <w:t>de un millón de</w:t>
      </w:r>
      <w:r>
        <w:rPr>
          <w:spacing w:val="-7"/>
          <w:sz w:val="24"/>
        </w:rPr>
        <w:t> </w:t>
      </w:r>
      <w:r>
        <w:rPr>
          <w:sz w:val="24"/>
        </w:rPr>
        <w:t>habitantes.</w:t>
      </w:r>
    </w:p>
    <w:p>
      <w:pPr>
        <w:pStyle w:val="ListParagraph"/>
        <w:numPr>
          <w:ilvl w:val="0"/>
          <w:numId w:val="12"/>
        </w:numPr>
        <w:tabs>
          <w:tab w:pos="549" w:val="left" w:leader="none"/>
          <w:tab w:pos="550" w:val="left" w:leader="none"/>
        </w:tabs>
        <w:spacing w:line="350" w:lineRule="auto" w:before="16" w:after="0"/>
        <w:ind w:left="549" w:right="123" w:hanging="360"/>
        <w:jc w:val="left"/>
        <w:rPr>
          <w:sz w:val="24"/>
        </w:rPr>
      </w:pPr>
      <w:r>
        <w:rPr>
          <w:b/>
          <w:sz w:val="24"/>
        </w:rPr>
        <w:t>Urbano grande. </w:t>
      </w:r>
      <w:r>
        <w:rPr>
          <w:sz w:val="24"/>
        </w:rPr>
        <w:t>Más del 50% de la población reside en localidades entre 100 mil y menos de un millón de</w:t>
      </w:r>
      <w:r>
        <w:rPr>
          <w:spacing w:val="-15"/>
          <w:sz w:val="24"/>
        </w:rPr>
        <w:t> </w:t>
      </w:r>
      <w:r>
        <w:rPr>
          <w:sz w:val="24"/>
        </w:rPr>
        <w:t>habitantes.</w:t>
      </w:r>
    </w:p>
    <w:p>
      <w:pPr>
        <w:pStyle w:val="ListParagraph"/>
        <w:numPr>
          <w:ilvl w:val="0"/>
          <w:numId w:val="12"/>
        </w:numPr>
        <w:tabs>
          <w:tab w:pos="549" w:val="left" w:leader="none"/>
          <w:tab w:pos="550" w:val="left" w:leader="none"/>
        </w:tabs>
        <w:spacing w:line="352" w:lineRule="auto" w:before="14" w:after="0"/>
        <w:ind w:left="549" w:right="119" w:hanging="360"/>
        <w:jc w:val="left"/>
        <w:rPr>
          <w:sz w:val="24"/>
        </w:rPr>
      </w:pPr>
      <w:r>
        <w:rPr>
          <w:b/>
          <w:sz w:val="24"/>
        </w:rPr>
        <w:t>Urbano medio. </w:t>
      </w:r>
      <w:r>
        <w:rPr>
          <w:sz w:val="24"/>
        </w:rPr>
        <w:t>Más del 50% de la población vive en localidades entre 15 mil</w:t>
      </w:r>
      <w:r>
        <w:rPr>
          <w:spacing w:val="-29"/>
          <w:sz w:val="24"/>
        </w:rPr>
        <w:t> </w:t>
      </w:r>
      <w:r>
        <w:rPr>
          <w:sz w:val="24"/>
        </w:rPr>
        <w:t>y menos de 100 mil</w:t>
      </w:r>
      <w:r>
        <w:rPr>
          <w:spacing w:val="-11"/>
          <w:sz w:val="24"/>
        </w:rPr>
        <w:t> </w:t>
      </w:r>
      <w:r>
        <w:rPr>
          <w:sz w:val="24"/>
        </w:rPr>
        <w:t>habitantes.</w:t>
      </w:r>
    </w:p>
    <w:p>
      <w:pPr>
        <w:pStyle w:val="ListParagraph"/>
        <w:numPr>
          <w:ilvl w:val="0"/>
          <w:numId w:val="12"/>
        </w:numPr>
        <w:tabs>
          <w:tab w:pos="549" w:val="left" w:leader="none"/>
          <w:tab w:pos="550" w:val="left" w:leader="none"/>
        </w:tabs>
        <w:spacing w:line="350" w:lineRule="auto" w:before="11" w:after="0"/>
        <w:ind w:left="549" w:right="123" w:hanging="360"/>
        <w:jc w:val="left"/>
        <w:rPr>
          <w:sz w:val="24"/>
        </w:rPr>
      </w:pPr>
      <w:r>
        <w:rPr>
          <w:b/>
          <w:sz w:val="24"/>
        </w:rPr>
        <w:t>Semiurbano.</w:t>
      </w:r>
      <w:r>
        <w:rPr>
          <w:b/>
          <w:spacing w:val="-11"/>
          <w:sz w:val="24"/>
        </w:rPr>
        <w:t> </w:t>
      </w:r>
      <w:r>
        <w:rPr>
          <w:sz w:val="24"/>
        </w:rPr>
        <w:t>Más</w:t>
      </w:r>
      <w:r>
        <w:rPr>
          <w:spacing w:val="-12"/>
          <w:sz w:val="24"/>
        </w:rPr>
        <w:t> </w:t>
      </w:r>
      <w:r>
        <w:rPr>
          <w:sz w:val="24"/>
        </w:rPr>
        <w:t>del</w:t>
      </w:r>
      <w:r>
        <w:rPr>
          <w:spacing w:val="-14"/>
          <w:sz w:val="24"/>
        </w:rPr>
        <w:t> </w:t>
      </w:r>
      <w:r>
        <w:rPr>
          <w:sz w:val="24"/>
        </w:rPr>
        <w:t>50%</w:t>
      </w:r>
      <w:r>
        <w:rPr>
          <w:spacing w:val="-11"/>
          <w:sz w:val="24"/>
        </w:rPr>
        <w:t> </w:t>
      </w:r>
      <w:r>
        <w:rPr>
          <w:sz w:val="24"/>
        </w:rPr>
        <w:t>de</w:t>
      </w:r>
      <w:r>
        <w:rPr>
          <w:spacing w:val="-11"/>
          <w:sz w:val="24"/>
        </w:rPr>
        <w:t> </w:t>
      </w:r>
      <w:r>
        <w:rPr>
          <w:sz w:val="24"/>
        </w:rPr>
        <w:t>la</w:t>
      </w:r>
      <w:r>
        <w:rPr>
          <w:spacing w:val="-13"/>
          <w:sz w:val="24"/>
        </w:rPr>
        <w:t> </w:t>
      </w:r>
      <w:r>
        <w:rPr>
          <w:sz w:val="24"/>
        </w:rPr>
        <w:t>población</w:t>
      </w:r>
      <w:r>
        <w:rPr>
          <w:spacing w:val="-11"/>
          <w:sz w:val="24"/>
        </w:rPr>
        <w:t> </w:t>
      </w:r>
      <w:r>
        <w:rPr>
          <w:sz w:val="24"/>
        </w:rPr>
        <w:t>radica</w:t>
      </w:r>
      <w:r>
        <w:rPr>
          <w:spacing w:val="-11"/>
          <w:sz w:val="24"/>
        </w:rPr>
        <w:t> </w:t>
      </w:r>
      <w:r>
        <w:rPr>
          <w:sz w:val="24"/>
        </w:rPr>
        <w:t>en</w:t>
      </w:r>
      <w:r>
        <w:rPr>
          <w:spacing w:val="-13"/>
          <w:sz w:val="24"/>
        </w:rPr>
        <w:t> </w:t>
      </w:r>
      <w:r>
        <w:rPr>
          <w:sz w:val="24"/>
        </w:rPr>
        <w:t>localidades</w:t>
      </w:r>
      <w:r>
        <w:rPr>
          <w:spacing w:val="-14"/>
          <w:sz w:val="24"/>
        </w:rPr>
        <w:t> </w:t>
      </w:r>
      <w:r>
        <w:rPr>
          <w:sz w:val="24"/>
        </w:rPr>
        <w:t>de</w:t>
      </w:r>
      <w:r>
        <w:rPr>
          <w:spacing w:val="-13"/>
          <w:sz w:val="24"/>
        </w:rPr>
        <w:t> </w:t>
      </w:r>
      <w:r>
        <w:rPr>
          <w:sz w:val="24"/>
        </w:rPr>
        <w:t>entre</w:t>
      </w:r>
      <w:r>
        <w:rPr>
          <w:spacing w:val="-13"/>
          <w:sz w:val="24"/>
        </w:rPr>
        <w:t> </w:t>
      </w:r>
      <w:r>
        <w:rPr>
          <w:sz w:val="24"/>
        </w:rPr>
        <w:t>2,500 y menos de 15 mil</w:t>
      </w:r>
      <w:r>
        <w:rPr>
          <w:spacing w:val="-14"/>
          <w:sz w:val="24"/>
        </w:rPr>
        <w:t> </w:t>
      </w:r>
      <w:r>
        <w:rPr>
          <w:sz w:val="24"/>
        </w:rPr>
        <w:t>habitantes.</w:t>
      </w:r>
    </w:p>
    <w:p>
      <w:pPr>
        <w:pStyle w:val="ListParagraph"/>
        <w:numPr>
          <w:ilvl w:val="0"/>
          <w:numId w:val="12"/>
        </w:numPr>
        <w:tabs>
          <w:tab w:pos="549" w:val="left" w:leader="none"/>
          <w:tab w:pos="550" w:val="left" w:leader="none"/>
        </w:tabs>
        <w:spacing w:line="350" w:lineRule="auto" w:before="17" w:after="0"/>
        <w:ind w:left="549" w:right="119" w:hanging="360"/>
        <w:jc w:val="left"/>
        <w:rPr>
          <w:sz w:val="24"/>
        </w:rPr>
      </w:pPr>
      <w:r>
        <w:rPr>
          <w:b/>
          <w:sz w:val="24"/>
        </w:rPr>
        <w:t>Rural. </w:t>
      </w:r>
      <w:r>
        <w:rPr>
          <w:sz w:val="24"/>
        </w:rPr>
        <w:t>Más del 50% de la población vive en localidades con menos de 2,500 habitantes.</w:t>
      </w:r>
    </w:p>
    <w:p>
      <w:pPr>
        <w:pStyle w:val="ListParagraph"/>
        <w:numPr>
          <w:ilvl w:val="0"/>
          <w:numId w:val="12"/>
        </w:numPr>
        <w:tabs>
          <w:tab w:pos="549" w:val="left" w:leader="none"/>
          <w:tab w:pos="550" w:val="left" w:leader="none"/>
        </w:tabs>
        <w:spacing w:line="350" w:lineRule="auto" w:before="16" w:after="0"/>
        <w:ind w:left="549" w:right="125" w:hanging="360"/>
        <w:jc w:val="left"/>
        <w:rPr>
          <w:sz w:val="24"/>
        </w:rPr>
      </w:pPr>
      <w:r>
        <w:rPr>
          <w:sz w:val="24"/>
        </w:rPr>
        <w:t>Mixto. La población se distribuye en las categorías anteriores sin que sus localidades concentren más del</w:t>
      </w:r>
      <w:r>
        <w:rPr>
          <w:spacing w:val="-12"/>
          <w:sz w:val="24"/>
        </w:rPr>
        <w:t> </w:t>
      </w:r>
      <w:r>
        <w:rPr>
          <w:sz w:val="24"/>
        </w:rPr>
        <w:t>50%.</w:t>
      </w:r>
    </w:p>
    <w:p>
      <w:pPr>
        <w:pStyle w:val="BodyText"/>
      </w:pPr>
    </w:p>
    <w:p>
      <w:pPr>
        <w:pStyle w:val="BodyText"/>
      </w:pPr>
    </w:p>
    <w:p>
      <w:pPr>
        <w:pStyle w:val="BodyText"/>
        <w:spacing w:line="360" w:lineRule="auto" w:before="196"/>
        <w:ind w:left="122" w:right="116"/>
        <w:jc w:val="both"/>
      </w:pPr>
      <w:r>
        <w:rPr/>
        <w:t>En</w:t>
      </w:r>
      <w:r>
        <w:rPr>
          <w:spacing w:val="-4"/>
        </w:rPr>
        <w:t> </w:t>
      </w:r>
      <w:r>
        <w:rPr/>
        <w:t>tanto</w:t>
      </w:r>
      <w:r>
        <w:rPr>
          <w:spacing w:val="-3"/>
        </w:rPr>
        <w:t> </w:t>
      </w:r>
      <w:r>
        <w:rPr/>
        <w:t>que</w:t>
      </w:r>
      <w:r>
        <w:rPr>
          <w:spacing w:val="-4"/>
        </w:rPr>
        <w:t> </w:t>
      </w:r>
      <w:r>
        <w:rPr/>
        <w:t>Salazar</w:t>
      </w:r>
      <w:r>
        <w:rPr>
          <w:spacing w:val="-5"/>
        </w:rPr>
        <w:t> </w:t>
      </w:r>
      <w:r>
        <w:rPr/>
        <w:t>(2009)</w:t>
      </w:r>
      <w:r>
        <w:rPr>
          <w:spacing w:val="-5"/>
        </w:rPr>
        <w:t> </w:t>
      </w:r>
      <w:r>
        <w:rPr/>
        <w:t>los</w:t>
      </w:r>
      <w:r>
        <w:rPr>
          <w:spacing w:val="-4"/>
        </w:rPr>
        <w:t> </w:t>
      </w:r>
      <w:r>
        <w:rPr/>
        <w:t>clasifica</w:t>
      </w:r>
      <w:r>
        <w:rPr>
          <w:spacing w:val="-6"/>
        </w:rPr>
        <w:t> </w:t>
      </w:r>
      <w:r>
        <w:rPr/>
        <w:t>en</w:t>
      </w:r>
      <w:r>
        <w:rPr>
          <w:spacing w:val="-6"/>
        </w:rPr>
        <w:t> </w:t>
      </w:r>
      <w:r>
        <w:rPr/>
        <w:t>Urbano,</w:t>
      </w:r>
      <w:r>
        <w:rPr>
          <w:spacing w:val="-4"/>
        </w:rPr>
        <w:t> </w:t>
      </w:r>
      <w:r>
        <w:rPr/>
        <w:t>cuya</w:t>
      </w:r>
      <w:r>
        <w:rPr>
          <w:spacing w:val="-4"/>
        </w:rPr>
        <w:t> </w:t>
      </w:r>
      <w:r>
        <w:rPr/>
        <w:t>población</w:t>
      </w:r>
      <w:r>
        <w:rPr>
          <w:spacing w:val="-4"/>
        </w:rPr>
        <w:t> </w:t>
      </w:r>
      <w:r>
        <w:rPr/>
        <w:t>supera</w:t>
      </w:r>
      <w:r>
        <w:rPr>
          <w:spacing w:val="-4"/>
        </w:rPr>
        <w:t> </w:t>
      </w:r>
      <w:r>
        <w:rPr/>
        <w:t>los</w:t>
      </w:r>
      <w:r>
        <w:rPr>
          <w:spacing w:val="-4"/>
        </w:rPr>
        <w:t> </w:t>
      </w:r>
      <w:r>
        <w:rPr/>
        <w:t>500 mil</w:t>
      </w:r>
      <w:r>
        <w:rPr>
          <w:spacing w:val="-8"/>
        </w:rPr>
        <w:t> </w:t>
      </w:r>
      <w:r>
        <w:rPr/>
        <w:t>habitantes.</w:t>
      </w:r>
      <w:r>
        <w:rPr>
          <w:spacing w:val="-6"/>
        </w:rPr>
        <w:t> </w:t>
      </w:r>
      <w:r>
        <w:rPr/>
        <w:t>Semiurbano,</w:t>
      </w:r>
      <w:r>
        <w:rPr>
          <w:spacing w:val="-6"/>
        </w:rPr>
        <w:t> </w:t>
      </w:r>
      <w:r>
        <w:rPr/>
        <w:t>cuya</w:t>
      </w:r>
      <w:r>
        <w:rPr>
          <w:spacing w:val="-6"/>
        </w:rPr>
        <w:t> </w:t>
      </w:r>
      <w:r>
        <w:rPr/>
        <w:t>población</w:t>
      </w:r>
      <w:r>
        <w:rPr>
          <w:spacing w:val="-8"/>
        </w:rPr>
        <w:t> </w:t>
      </w:r>
      <w:r>
        <w:rPr/>
        <w:t>es</w:t>
      </w:r>
      <w:r>
        <w:rPr>
          <w:spacing w:val="-7"/>
        </w:rPr>
        <w:t> </w:t>
      </w:r>
      <w:r>
        <w:rPr/>
        <w:t>mayor</w:t>
      </w:r>
      <w:r>
        <w:rPr>
          <w:spacing w:val="-7"/>
        </w:rPr>
        <w:t> </w:t>
      </w:r>
      <w:r>
        <w:rPr/>
        <w:t>a</w:t>
      </w:r>
      <w:r>
        <w:rPr>
          <w:spacing w:val="-6"/>
        </w:rPr>
        <w:t> </w:t>
      </w:r>
      <w:r>
        <w:rPr/>
        <w:t>100</w:t>
      </w:r>
      <w:r>
        <w:rPr>
          <w:spacing w:val="-6"/>
        </w:rPr>
        <w:t> </w:t>
      </w:r>
      <w:r>
        <w:rPr/>
        <w:t>mil</w:t>
      </w:r>
      <w:r>
        <w:rPr>
          <w:spacing w:val="-8"/>
        </w:rPr>
        <w:t> </w:t>
      </w:r>
      <w:r>
        <w:rPr/>
        <w:t>habitantes</w:t>
      </w:r>
      <w:r>
        <w:rPr>
          <w:spacing w:val="-7"/>
        </w:rPr>
        <w:t> </w:t>
      </w:r>
      <w:r>
        <w:rPr/>
        <w:t>y</w:t>
      </w:r>
      <w:r>
        <w:rPr>
          <w:spacing w:val="-9"/>
        </w:rPr>
        <w:t> </w:t>
      </w:r>
      <w:r>
        <w:rPr/>
        <w:t>menos de 500 mil. Rural, cuya población es de menor a 100 mil habitantes. Para fines de esta investigación se considerará la primera clasificación, de modo que los municipios del Estado de México según su población es la</w:t>
      </w:r>
      <w:r>
        <w:rPr>
          <w:spacing w:val="-18"/>
        </w:rPr>
        <w:t> </w:t>
      </w:r>
      <w:r>
        <w:rPr/>
        <w:t>siguiente:</w:t>
      </w:r>
    </w:p>
    <w:p>
      <w:pPr>
        <w:pStyle w:val="BodyText"/>
        <w:rPr>
          <w:sz w:val="20"/>
        </w:rPr>
      </w:pPr>
    </w:p>
    <w:p>
      <w:pPr>
        <w:pStyle w:val="BodyText"/>
        <w:rPr>
          <w:sz w:val="20"/>
        </w:rPr>
      </w:pPr>
    </w:p>
    <w:p>
      <w:pPr>
        <w:pStyle w:val="BodyText"/>
        <w:spacing w:before="8"/>
        <w:rPr>
          <w:sz w:val="28"/>
        </w:rPr>
      </w:pPr>
      <w:r>
        <w:rPr/>
        <w:pict>
          <v:line style="position:absolute;mso-position-horizontal-relative:page;mso-position-vertical-relative:paragraph;z-index:2920;mso-wrap-distance-left:0;mso-wrap-distance-right:0" from="85.103996pt,18.871876pt" to="229.123996pt,18.871876pt" stroked="true" strokeweight=".71997pt" strokecolor="#000000">
            <w10:wrap type="topAndBottom"/>
          </v:line>
        </w:pict>
      </w:r>
    </w:p>
    <w:p>
      <w:pPr>
        <w:spacing w:before="69"/>
        <w:ind w:left="122" w:right="337" w:firstLine="0"/>
        <w:jc w:val="left"/>
        <w:rPr>
          <w:rFonts w:ascii="Calibri" w:hAnsi="Calibri"/>
          <w:sz w:val="20"/>
        </w:rPr>
      </w:pPr>
      <w:r>
        <w:rPr>
          <w:rFonts w:ascii="Calibri" w:hAnsi="Calibri"/>
          <w:position w:val="7"/>
          <w:sz w:val="13"/>
        </w:rPr>
        <w:t>14 </w:t>
      </w:r>
      <w:r>
        <w:rPr>
          <w:rFonts w:ascii="Calibri" w:hAnsi="Calibri"/>
          <w:sz w:val="20"/>
        </w:rPr>
        <w:t>Clasificación disponible en </w:t>
      </w:r>
      <w:hyperlink r:id="rId26">
        <w:r>
          <w:rPr>
            <w:rFonts w:ascii="Calibri" w:hAnsi="Calibri"/>
            <w:color w:val="0462C1"/>
            <w:sz w:val="20"/>
            <w:u w:val="single" w:color="0462C1"/>
          </w:rPr>
          <w:t>http://siglo.inafed.gob.mx/snim/ </w:t>
        </w:r>
      </w:hyperlink>
      <w:r>
        <w:rPr>
          <w:rFonts w:ascii="Calibri" w:hAnsi="Calibri"/>
          <w:sz w:val="20"/>
        </w:rPr>
        <w:t>[Consultado 12/12/2016].</w:t>
      </w:r>
    </w:p>
    <w:p>
      <w:pPr>
        <w:spacing w:after="0"/>
        <w:jc w:val="left"/>
        <w:rPr>
          <w:rFonts w:ascii="Calibri" w:hAnsi="Calibri"/>
          <w:sz w:val="20"/>
        </w:rPr>
        <w:sectPr>
          <w:pgSz w:w="12240" w:h="15840"/>
          <w:pgMar w:header="0" w:footer="975" w:top="1360" w:bottom="1220" w:left="1580" w:right="1580"/>
        </w:sectPr>
      </w:pPr>
    </w:p>
    <w:tbl>
      <w:tblPr>
        <w:tblW w:w="0" w:type="auto"/>
        <w:jc w:val="left"/>
        <w:tblInd w:w="9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01"/>
        <w:gridCol w:w="1039"/>
        <w:gridCol w:w="1001"/>
        <w:gridCol w:w="1001"/>
        <w:gridCol w:w="1426"/>
      </w:tblGrid>
      <w:tr>
        <w:trPr>
          <w:trHeight w:val="424" w:hRule="exact"/>
        </w:trPr>
        <w:tc>
          <w:tcPr>
            <w:tcW w:w="6969" w:type="dxa"/>
            <w:gridSpan w:val="5"/>
            <w:shd w:val="clear" w:color="auto" w:fill="92D050"/>
          </w:tcPr>
          <w:p>
            <w:pPr>
              <w:pStyle w:val="TableParagraph"/>
              <w:ind w:left="3060" w:right="270" w:hanging="2763"/>
              <w:jc w:val="left"/>
              <w:rPr>
                <w:b/>
                <w:sz w:val="18"/>
              </w:rPr>
            </w:pPr>
            <w:r>
              <w:rPr>
                <w:b/>
                <w:sz w:val="18"/>
              </w:rPr>
              <w:t>Tabla 1.15. Clasificación de los municipios del Estado de México según su población</w:t>
            </w:r>
          </w:p>
        </w:tc>
      </w:tr>
      <w:tr>
        <w:trPr>
          <w:trHeight w:val="631" w:hRule="exact"/>
        </w:trPr>
        <w:tc>
          <w:tcPr>
            <w:tcW w:w="2501" w:type="dxa"/>
            <w:shd w:val="clear" w:color="auto" w:fill="92D050"/>
          </w:tcPr>
          <w:p>
            <w:pPr>
              <w:pStyle w:val="TableParagraph"/>
              <w:spacing w:before="10"/>
              <w:jc w:val="left"/>
              <w:rPr>
                <w:rFonts w:ascii="Calibri"/>
                <w:sz w:val="24"/>
              </w:rPr>
            </w:pPr>
          </w:p>
          <w:p>
            <w:pPr>
              <w:pStyle w:val="TableParagraph"/>
              <w:ind w:left="801" w:right="4"/>
              <w:jc w:val="left"/>
              <w:rPr>
                <w:b/>
                <w:sz w:val="18"/>
              </w:rPr>
            </w:pPr>
            <w:r>
              <w:rPr>
                <w:b/>
                <w:sz w:val="18"/>
              </w:rPr>
              <w:t>Municipio</w:t>
            </w:r>
          </w:p>
        </w:tc>
        <w:tc>
          <w:tcPr>
            <w:tcW w:w="1039" w:type="dxa"/>
            <w:shd w:val="clear" w:color="auto" w:fill="92D050"/>
          </w:tcPr>
          <w:p>
            <w:pPr>
              <w:pStyle w:val="TableParagraph"/>
              <w:spacing w:line="362" w:lineRule="auto"/>
              <w:ind w:left="314" w:right="66" w:hanging="231"/>
              <w:jc w:val="left"/>
              <w:rPr>
                <w:b/>
                <w:sz w:val="18"/>
              </w:rPr>
            </w:pPr>
            <w:r>
              <w:rPr>
                <w:b/>
                <w:sz w:val="18"/>
              </w:rPr>
              <w:t>Población 2005</w:t>
            </w:r>
          </w:p>
        </w:tc>
        <w:tc>
          <w:tcPr>
            <w:tcW w:w="1001" w:type="dxa"/>
            <w:shd w:val="clear" w:color="auto" w:fill="92D050"/>
          </w:tcPr>
          <w:p>
            <w:pPr>
              <w:pStyle w:val="TableParagraph"/>
              <w:spacing w:before="2"/>
              <w:jc w:val="left"/>
              <w:rPr>
                <w:rFonts w:ascii="Calibri"/>
                <w:sz w:val="16"/>
              </w:rPr>
            </w:pPr>
          </w:p>
          <w:p>
            <w:pPr>
              <w:pStyle w:val="TableParagraph"/>
              <w:ind w:left="295" w:right="47" w:hanging="231"/>
              <w:jc w:val="left"/>
              <w:rPr>
                <w:b/>
                <w:sz w:val="18"/>
              </w:rPr>
            </w:pPr>
            <w:r>
              <w:rPr>
                <w:b/>
                <w:sz w:val="18"/>
              </w:rPr>
              <w:t>Población 2010</w:t>
            </w:r>
          </w:p>
        </w:tc>
        <w:tc>
          <w:tcPr>
            <w:tcW w:w="1001" w:type="dxa"/>
            <w:shd w:val="clear" w:color="auto" w:fill="92D050"/>
          </w:tcPr>
          <w:p>
            <w:pPr>
              <w:pStyle w:val="TableParagraph"/>
              <w:spacing w:before="2"/>
              <w:jc w:val="left"/>
              <w:rPr>
                <w:rFonts w:ascii="Calibri"/>
                <w:sz w:val="16"/>
              </w:rPr>
            </w:pPr>
          </w:p>
          <w:p>
            <w:pPr>
              <w:pStyle w:val="TableParagraph"/>
              <w:ind w:left="295" w:right="47" w:hanging="231"/>
              <w:jc w:val="left"/>
              <w:rPr>
                <w:b/>
                <w:sz w:val="18"/>
              </w:rPr>
            </w:pPr>
            <w:r>
              <w:rPr>
                <w:b/>
                <w:sz w:val="18"/>
              </w:rPr>
              <w:t>Población 2012</w:t>
            </w:r>
          </w:p>
        </w:tc>
        <w:tc>
          <w:tcPr>
            <w:tcW w:w="1426" w:type="dxa"/>
            <w:shd w:val="clear" w:color="auto" w:fill="92D050"/>
          </w:tcPr>
          <w:p>
            <w:pPr>
              <w:pStyle w:val="TableParagraph"/>
              <w:ind w:left="283" w:right="263" w:firstLine="103"/>
              <w:jc w:val="left"/>
              <w:rPr>
                <w:b/>
                <w:sz w:val="18"/>
              </w:rPr>
            </w:pPr>
            <w:r>
              <w:rPr>
                <w:b/>
                <w:sz w:val="18"/>
              </w:rPr>
              <w:t>Tipo de municipio</w:t>
            </w:r>
          </w:p>
        </w:tc>
      </w:tr>
      <w:tr>
        <w:trPr>
          <w:trHeight w:val="319" w:hRule="exact"/>
        </w:trPr>
        <w:tc>
          <w:tcPr>
            <w:tcW w:w="2501" w:type="dxa"/>
          </w:tcPr>
          <w:p>
            <w:pPr>
              <w:pStyle w:val="TableParagraph"/>
              <w:spacing w:line="199" w:lineRule="exact"/>
              <w:ind w:left="67" w:right="4"/>
              <w:jc w:val="left"/>
              <w:rPr>
                <w:b/>
                <w:sz w:val="18"/>
              </w:rPr>
            </w:pPr>
            <w:r>
              <w:rPr>
                <w:b/>
                <w:color w:val="333333"/>
                <w:sz w:val="18"/>
              </w:rPr>
              <w:t>ACAMBAY</w:t>
            </w:r>
          </w:p>
        </w:tc>
        <w:tc>
          <w:tcPr>
            <w:tcW w:w="1039" w:type="dxa"/>
          </w:tcPr>
          <w:p>
            <w:pPr>
              <w:pStyle w:val="TableParagraph"/>
              <w:spacing w:line="203" w:lineRule="exact"/>
              <w:ind w:left="93" w:right="92"/>
              <w:rPr>
                <w:sz w:val="18"/>
              </w:rPr>
            </w:pPr>
            <w:r>
              <w:rPr>
                <w:sz w:val="18"/>
              </w:rPr>
              <w:t>56,849</w:t>
            </w:r>
          </w:p>
        </w:tc>
        <w:tc>
          <w:tcPr>
            <w:tcW w:w="1001" w:type="dxa"/>
          </w:tcPr>
          <w:p>
            <w:pPr>
              <w:pStyle w:val="TableParagraph"/>
              <w:spacing w:line="203" w:lineRule="exact"/>
              <w:ind w:left="73" w:right="73"/>
              <w:rPr>
                <w:sz w:val="18"/>
              </w:rPr>
            </w:pPr>
            <w:r>
              <w:rPr>
                <w:sz w:val="18"/>
              </w:rPr>
              <w:t>60,918</w:t>
            </w:r>
          </w:p>
        </w:tc>
        <w:tc>
          <w:tcPr>
            <w:tcW w:w="1001" w:type="dxa"/>
          </w:tcPr>
          <w:p>
            <w:pPr>
              <w:pStyle w:val="TableParagraph"/>
              <w:spacing w:line="203" w:lineRule="exact"/>
              <w:ind w:right="217"/>
              <w:jc w:val="right"/>
              <w:rPr>
                <w:sz w:val="18"/>
              </w:rPr>
            </w:pPr>
            <w:r>
              <w:rPr>
                <w:sz w:val="18"/>
              </w:rPr>
              <w:t>60,751</w:t>
            </w:r>
          </w:p>
        </w:tc>
        <w:tc>
          <w:tcPr>
            <w:tcW w:w="1426" w:type="dxa"/>
          </w:tcPr>
          <w:p>
            <w:pPr>
              <w:pStyle w:val="TableParagraph"/>
              <w:spacing w:line="203" w:lineRule="exact"/>
              <w:ind w:right="221"/>
              <w:jc w:val="right"/>
              <w:rPr>
                <w:sz w:val="18"/>
              </w:rPr>
            </w:pPr>
            <w:r>
              <w:rPr>
                <w:sz w:val="18"/>
              </w:rPr>
              <w:t>Semiurbano</w:t>
            </w:r>
          </w:p>
        </w:tc>
      </w:tr>
      <w:tr>
        <w:trPr>
          <w:trHeight w:val="322" w:hRule="exact"/>
        </w:trPr>
        <w:tc>
          <w:tcPr>
            <w:tcW w:w="2501" w:type="dxa"/>
          </w:tcPr>
          <w:p>
            <w:pPr>
              <w:pStyle w:val="TableParagraph"/>
              <w:spacing w:line="201" w:lineRule="exact"/>
              <w:ind w:left="67" w:right="4"/>
              <w:jc w:val="left"/>
              <w:rPr>
                <w:b/>
                <w:sz w:val="18"/>
              </w:rPr>
            </w:pPr>
            <w:r>
              <w:rPr>
                <w:b/>
                <w:color w:val="333333"/>
                <w:sz w:val="18"/>
              </w:rPr>
              <w:t>ACOLMAN</w:t>
            </w:r>
          </w:p>
        </w:tc>
        <w:tc>
          <w:tcPr>
            <w:tcW w:w="1039" w:type="dxa"/>
          </w:tcPr>
          <w:p>
            <w:pPr>
              <w:pStyle w:val="TableParagraph"/>
              <w:spacing w:line="206" w:lineRule="exact"/>
              <w:ind w:left="93" w:right="92"/>
              <w:rPr>
                <w:sz w:val="18"/>
              </w:rPr>
            </w:pPr>
            <w:r>
              <w:rPr>
                <w:sz w:val="18"/>
              </w:rPr>
              <w:t>77,035</w:t>
            </w:r>
          </w:p>
        </w:tc>
        <w:tc>
          <w:tcPr>
            <w:tcW w:w="1001" w:type="dxa"/>
          </w:tcPr>
          <w:p>
            <w:pPr>
              <w:pStyle w:val="TableParagraph"/>
              <w:spacing w:line="206" w:lineRule="exact"/>
              <w:ind w:left="73" w:right="73"/>
              <w:rPr>
                <w:sz w:val="18"/>
              </w:rPr>
            </w:pPr>
            <w:r>
              <w:rPr>
                <w:sz w:val="18"/>
              </w:rPr>
              <w:t>136,558</w:t>
            </w:r>
          </w:p>
        </w:tc>
        <w:tc>
          <w:tcPr>
            <w:tcW w:w="1001" w:type="dxa"/>
          </w:tcPr>
          <w:p>
            <w:pPr>
              <w:pStyle w:val="TableParagraph"/>
              <w:spacing w:line="206" w:lineRule="exact"/>
              <w:ind w:right="166"/>
              <w:jc w:val="right"/>
              <w:rPr>
                <w:sz w:val="18"/>
              </w:rPr>
            </w:pPr>
            <w:r>
              <w:rPr>
                <w:sz w:val="18"/>
              </w:rPr>
              <w:t>150,029</w:t>
            </w:r>
          </w:p>
        </w:tc>
        <w:tc>
          <w:tcPr>
            <w:tcW w:w="1426" w:type="dxa"/>
          </w:tcPr>
          <w:p>
            <w:pPr>
              <w:pStyle w:val="TableParagraph"/>
              <w:spacing w:line="206" w:lineRule="exact"/>
              <w:ind w:left="412" w:right="263"/>
              <w:jc w:val="left"/>
              <w:rPr>
                <w:sz w:val="18"/>
              </w:rPr>
            </w:pPr>
            <w:r>
              <w:rPr>
                <w:sz w:val="18"/>
              </w:rPr>
              <w:t>Urbano</w:t>
            </w:r>
          </w:p>
        </w:tc>
      </w:tr>
      <w:tr>
        <w:trPr>
          <w:trHeight w:val="322" w:hRule="exact"/>
        </w:trPr>
        <w:tc>
          <w:tcPr>
            <w:tcW w:w="2501" w:type="dxa"/>
          </w:tcPr>
          <w:p>
            <w:pPr>
              <w:pStyle w:val="TableParagraph"/>
              <w:spacing w:line="199" w:lineRule="exact"/>
              <w:ind w:left="67" w:right="4"/>
              <w:jc w:val="left"/>
              <w:rPr>
                <w:b/>
                <w:sz w:val="18"/>
              </w:rPr>
            </w:pPr>
            <w:r>
              <w:rPr>
                <w:b/>
                <w:color w:val="333333"/>
                <w:sz w:val="18"/>
              </w:rPr>
              <w:t>ACULCO</w:t>
            </w:r>
          </w:p>
        </w:tc>
        <w:tc>
          <w:tcPr>
            <w:tcW w:w="1039" w:type="dxa"/>
          </w:tcPr>
          <w:p>
            <w:pPr>
              <w:pStyle w:val="TableParagraph"/>
              <w:spacing w:line="203" w:lineRule="exact"/>
              <w:ind w:left="93" w:right="92"/>
              <w:rPr>
                <w:sz w:val="18"/>
              </w:rPr>
            </w:pPr>
            <w:r>
              <w:rPr>
                <w:sz w:val="18"/>
              </w:rPr>
              <w:t>40,492</w:t>
            </w:r>
          </w:p>
        </w:tc>
        <w:tc>
          <w:tcPr>
            <w:tcW w:w="1001" w:type="dxa"/>
          </w:tcPr>
          <w:p>
            <w:pPr>
              <w:pStyle w:val="TableParagraph"/>
              <w:spacing w:line="203" w:lineRule="exact"/>
              <w:ind w:left="73" w:right="73"/>
              <w:rPr>
                <w:sz w:val="18"/>
              </w:rPr>
            </w:pPr>
            <w:r>
              <w:rPr>
                <w:sz w:val="18"/>
              </w:rPr>
              <w:t>44,823</w:t>
            </w:r>
          </w:p>
        </w:tc>
        <w:tc>
          <w:tcPr>
            <w:tcW w:w="1001" w:type="dxa"/>
          </w:tcPr>
          <w:p>
            <w:pPr>
              <w:pStyle w:val="TableParagraph"/>
              <w:spacing w:line="203" w:lineRule="exact"/>
              <w:ind w:right="217"/>
              <w:jc w:val="right"/>
              <w:rPr>
                <w:sz w:val="18"/>
              </w:rPr>
            </w:pPr>
            <w:r>
              <w:rPr>
                <w:sz w:val="18"/>
              </w:rPr>
              <w:t>45,276</w:t>
            </w:r>
          </w:p>
        </w:tc>
        <w:tc>
          <w:tcPr>
            <w:tcW w:w="1426" w:type="dxa"/>
          </w:tcPr>
          <w:p>
            <w:pPr>
              <w:pStyle w:val="TableParagraph"/>
              <w:spacing w:line="203" w:lineRule="exact"/>
              <w:ind w:right="221"/>
              <w:jc w:val="right"/>
              <w:rPr>
                <w:sz w:val="18"/>
              </w:rPr>
            </w:pPr>
            <w:r>
              <w:rPr>
                <w:sz w:val="18"/>
              </w:rPr>
              <w:t>Semiurbano</w:t>
            </w:r>
          </w:p>
        </w:tc>
      </w:tr>
      <w:tr>
        <w:trPr>
          <w:trHeight w:val="629" w:hRule="exact"/>
        </w:trPr>
        <w:tc>
          <w:tcPr>
            <w:tcW w:w="2501" w:type="dxa"/>
          </w:tcPr>
          <w:p>
            <w:pPr>
              <w:pStyle w:val="TableParagraph"/>
              <w:spacing w:line="360" w:lineRule="auto"/>
              <w:ind w:left="67" w:right="4"/>
              <w:jc w:val="left"/>
              <w:rPr>
                <w:b/>
                <w:sz w:val="18"/>
              </w:rPr>
            </w:pPr>
            <w:r>
              <w:rPr>
                <w:b/>
                <w:color w:val="333333"/>
                <w:sz w:val="18"/>
              </w:rPr>
              <w:t>ALMOLOYA DE ALQUISIRAS</w:t>
            </w:r>
          </w:p>
        </w:tc>
        <w:tc>
          <w:tcPr>
            <w:tcW w:w="1039" w:type="dxa"/>
          </w:tcPr>
          <w:p>
            <w:pPr>
              <w:pStyle w:val="TableParagraph"/>
              <w:jc w:val="left"/>
              <w:rPr>
                <w:rFonts w:ascii="Calibri"/>
                <w:sz w:val="25"/>
              </w:rPr>
            </w:pPr>
          </w:p>
          <w:p>
            <w:pPr>
              <w:pStyle w:val="TableParagraph"/>
              <w:ind w:left="93" w:right="92"/>
              <w:rPr>
                <w:sz w:val="18"/>
              </w:rPr>
            </w:pPr>
            <w:r>
              <w:rPr>
                <w:sz w:val="18"/>
              </w:rPr>
              <w:t>14,196</w:t>
            </w:r>
          </w:p>
        </w:tc>
        <w:tc>
          <w:tcPr>
            <w:tcW w:w="1001" w:type="dxa"/>
          </w:tcPr>
          <w:p>
            <w:pPr>
              <w:pStyle w:val="TableParagraph"/>
              <w:jc w:val="left"/>
              <w:rPr>
                <w:rFonts w:ascii="Calibri"/>
                <w:sz w:val="25"/>
              </w:rPr>
            </w:pPr>
          </w:p>
          <w:p>
            <w:pPr>
              <w:pStyle w:val="TableParagraph"/>
              <w:ind w:left="73" w:right="73"/>
              <w:rPr>
                <w:sz w:val="18"/>
              </w:rPr>
            </w:pPr>
            <w:r>
              <w:rPr>
                <w:sz w:val="18"/>
              </w:rPr>
              <w:t>14,856</w:t>
            </w:r>
          </w:p>
        </w:tc>
        <w:tc>
          <w:tcPr>
            <w:tcW w:w="1001" w:type="dxa"/>
          </w:tcPr>
          <w:p>
            <w:pPr>
              <w:pStyle w:val="TableParagraph"/>
              <w:jc w:val="left"/>
              <w:rPr>
                <w:rFonts w:ascii="Calibri"/>
                <w:sz w:val="25"/>
              </w:rPr>
            </w:pPr>
          </w:p>
          <w:p>
            <w:pPr>
              <w:pStyle w:val="TableParagraph"/>
              <w:ind w:right="217"/>
              <w:jc w:val="right"/>
              <w:rPr>
                <w:sz w:val="18"/>
              </w:rPr>
            </w:pPr>
            <w:r>
              <w:rPr>
                <w:sz w:val="18"/>
              </w:rPr>
              <w:t>14,647</w:t>
            </w:r>
          </w:p>
        </w:tc>
        <w:tc>
          <w:tcPr>
            <w:tcW w:w="1426" w:type="dxa"/>
          </w:tcPr>
          <w:p>
            <w:pPr>
              <w:pStyle w:val="TableParagraph"/>
              <w:spacing w:line="203" w:lineRule="exact"/>
              <w:ind w:left="472" w:right="473"/>
              <w:rPr>
                <w:sz w:val="18"/>
              </w:rPr>
            </w:pPr>
            <w:r>
              <w:rPr>
                <w:sz w:val="18"/>
              </w:rPr>
              <w:t>Rural</w:t>
            </w:r>
          </w:p>
        </w:tc>
      </w:tr>
      <w:tr>
        <w:trPr>
          <w:trHeight w:val="322" w:hRule="exact"/>
        </w:trPr>
        <w:tc>
          <w:tcPr>
            <w:tcW w:w="2501" w:type="dxa"/>
          </w:tcPr>
          <w:p>
            <w:pPr>
              <w:pStyle w:val="TableParagraph"/>
              <w:spacing w:line="201" w:lineRule="exact"/>
              <w:ind w:left="67" w:right="4"/>
              <w:jc w:val="left"/>
              <w:rPr>
                <w:b/>
                <w:sz w:val="18"/>
              </w:rPr>
            </w:pPr>
            <w:r>
              <w:rPr>
                <w:b/>
                <w:color w:val="333333"/>
                <w:sz w:val="18"/>
              </w:rPr>
              <w:t>ALMOLOYA DE JUAREZ</w:t>
            </w:r>
          </w:p>
        </w:tc>
        <w:tc>
          <w:tcPr>
            <w:tcW w:w="1039" w:type="dxa"/>
          </w:tcPr>
          <w:p>
            <w:pPr>
              <w:pStyle w:val="TableParagraph"/>
              <w:spacing w:line="206" w:lineRule="exact"/>
              <w:ind w:left="93" w:right="92"/>
              <w:rPr>
                <w:sz w:val="18"/>
              </w:rPr>
            </w:pPr>
            <w:r>
              <w:rPr>
                <w:sz w:val="18"/>
              </w:rPr>
              <w:t>126,163</w:t>
            </w:r>
          </w:p>
        </w:tc>
        <w:tc>
          <w:tcPr>
            <w:tcW w:w="1001" w:type="dxa"/>
          </w:tcPr>
          <w:p>
            <w:pPr>
              <w:pStyle w:val="TableParagraph"/>
              <w:spacing w:line="206" w:lineRule="exact"/>
              <w:ind w:left="73" w:right="73"/>
              <w:rPr>
                <w:sz w:val="18"/>
              </w:rPr>
            </w:pPr>
            <w:r>
              <w:rPr>
                <w:sz w:val="18"/>
              </w:rPr>
              <w:t>147,653</w:t>
            </w:r>
          </w:p>
        </w:tc>
        <w:tc>
          <w:tcPr>
            <w:tcW w:w="1001" w:type="dxa"/>
          </w:tcPr>
          <w:p>
            <w:pPr>
              <w:pStyle w:val="TableParagraph"/>
              <w:spacing w:line="206" w:lineRule="exact"/>
              <w:ind w:right="167"/>
              <w:jc w:val="right"/>
              <w:rPr>
                <w:sz w:val="18"/>
              </w:rPr>
            </w:pPr>
            <w:r>
              <w:rPr>
                <w:sz w:val="18"/>
              </w:rPr>
              <w:t>151,921</w:t>
            </w:r>
          </w:p>
        </w:tc>
        <w:tc>
          <w:tcPr>
            <w:tcW w:w="1426" w:type="dxa"/>
          </w:tcPr>
          <w:p>
            <w:pPr>
              <w:pStyle w:val="TableParagraph"/>
              <w:spacing w:line="206" w:lineRule="exact"/>
              <w:ind w:left="412" w:right="263"/>
              <w:jc w:val="left"/>
              <w:rPr>
                <w:sz w:val="18"/>
              </w:rPr>
            </w:pPr>
            <w:r>
              <w:rPr>
                <w:sz w:val="18"/>
              </w:rPr>
              <w:t>Urbano</w:t>
            </w:r>
          </w:p>
        </w:tc>
      </w:tr>
      <w:tr>
        <w:trPr>
          <w:trHeight w:val="322" w:hRule="exact"/>
        </w:trPr>
        <w:tc>
          <w:tcPr>
            <w:tcW w:w="2501" w:type="dxa"/>
          </w:tcPr>
          <w:p>
            <w:pPr>
              <w:pStyle w:val="TableParagraph"/>
              <w:spacing w:line="199" w:lineRule="exact"/>
              <w:ind w:left="67" w:right="4"/>
              <w:jc w:val="left"/>
              <w:rPr>
                <w:b/>
                <w:sz w:val="18"/>
              </w:rPr>
            </w:pPr>
            <w:r>
              <w:rPr>
                <w:b/>
                <w:color w:val="333333"/>
                <w:sz w:val="18"/>
              </w:rPr>
              <w:t>ALMOLOYA DEL RIO</w:t>
            </w:r>
          </w:p>
        </w:tc>
        <w:tc>
          <w:tcPr>
            <w:tcW w:w="1039" w:type="dxa"/>
          </w:tcPr>
          <w:p>
            <w:pPr>
              <w:pStyle w:val="TableParagraph"/>
              <w:spacing w:line="203" w:lineRule="exact"/>
              <w:ind w:left="93" w:right="94"/>
              <w:rPr>
                <w:sz w:val="18"/>
              </w:rPr>
            </w:pPr>
            <w:r>
              <w:rPr>
                <w:sz w:val="18"/>
              </w:rPr>
              <w:t>8,939</w:t>
            </w:r>
          </w:p>
        </w:tc>
        <w:tc>
          <w:tcPr>
            <w:tcW w:w="1001" w:type="dxa"/>
          </w:tcPr>
          <w:p>
            <w:pPr>
              <w:pStyle w:val="TableParagraph"/>
              <w:spacing w:line="203" w:lineRule="exact"/>
              <w:ind w:left="73" w:right="73"/>
              <w:rPr>
                <w:sz w:val="18"/>
              </w:rPr>
            </w:pPr>
            <w:r>
              <w:rPr>
                <w:sz w:val="18"/>
              </w:rPr>
              <w:t>10,886</w:t>
            </w:r>
          </w:p>
        </w:tc>
        <w:tc>
          <w:tcPr>
            <w:tcW w:w="1001" w:type="dxa"/>
          </w:tcPr>
          <w:p>
            <w:pPr>
              <w:pStyle w:val="TableParagraph"/>
              <w:spacing w:line="203" w:lineRule="exact"/>
              <w:ind w:right="217"/>
              <w:jc w:val="right"/>
              <w:rPr>
                <w:sz w:val="18"/>
              </w:rPr>
            </w:pPr>
            <w:r>
              <w:rPr>
                <w:sz w:val="18"/>
              </w:rPr>
              <w:t>11,081</w:t>
            </w:r>
          </w:p>
        </w:tc>
        <w:tc>
          <w:tcPr>
            <w:tcW w:w="1426" w:type="dxa"/>
          </w:tcPr>
          <w:p>
            <w:pPr>
              <w:pStyle w:val="TableParagraph"/>
              <w:spacing w:line="203" w:lineRule="exact"/>
              <w:ind w:left="472" w:right="473"/>
              <w:rPr>
                <w:sz w:val="18"/>
              </w:rPr>
            </w:pPr>
            <w:r>
              <w:rPr>
                <w:sz w:val="18"/>
              </w:rPr>
              <w:t>Rural</w:t>
            </w:r>
          </w:p>
        </w:tc>
      </w:tr>
      <w:tr>
        <w:trPr>
          <w:trHeight w:val="319" w:hRule="exact"/>
        </w:trPr>
        <w:tc>
          <w:tcPr>
            <w:tcW w:w="2501" w:type="dxa"/>
          </w:tcPr>
          <w:p>
            <w:pPr>
              <w:pStyle w:val="TableParagraph"/>
              <w:spacing w:line="199" w:lineRule="exact"/>
              <w:ind w:left="67" w:right="4"/>
              <w:jc w:val="left"/>
              <w:rPr>
                <w:b/>
                <w:sz w:val="18"/>
              </w:rPr>
            </w:pPr>
            <w:r>
              <w:rPr>
                <w:b/>
                <w:color w:val="333333"/>
                <w:sz w:val="18"/>
              </w:rPr>
              <w:t>AMANALCO</w:t>
            </w:r>
          </w:p>
        </w:tc>
        <w:tc>
          <w:tcPr>
            <w:tcW w:w="1039" w:type="dxa"/>
          </w:tcPr>
          <w:p>
            <w:pPr>
              <w:pStyle w:val="TableParagraph"/>
              <w:spacing w:line="203" w:lineRule="exact"/>
              <w:ind w:left="93" w:right="92"/>
              <w:rPr>
                <w:sz w:val="18"/>
              </w:rPr>
            </w:pPr>
            <w:r>
              <w:rPr>
                <w:sz w:val="18"/>
              </w:rPr>
              <w:t>20,343</w:t>
            </w:r>
          </w:p>
        </w:tc>
        <w:tc>
          <w:tcPr>
            <w:tcW w:w="1001" w:type="dxa"/>
          </w:tcPr>
          <w:p>
            <w:pPr>
              <w:pStyle w:val="TableParagraph"/>
              <w:spacing w:line="203" w:lineRule="exact"/>
              <w:ind w:left="73" w:right="73"/>
              <w:rPr>
                <w:sz w:val="18"/>
              </w:rPr>
            </w:pPr>
            <w:r>
              <w:rPr>
                <w:sz w:val="18"/>
              </w:rPr>
              <w:t>22,868</w:t>
            </w:r>
          </w:p>
        </w:tc>
        <w:tc>
          <w:tcPr>
            <w:tcW w:w="1001" w:type="dxa"/>
          </w:tcPr>
          <w:p>
            <w:pPr>
              <w:pStyle w:val="TableParagraph"/>
              <w:spacing w:line="203" w:lineRule="exact"/>
              <w:ind w:right="217"/>
              <w:jc w:val="right"/>
              <w:rPr>
                <w:sz w:val="18"/>
              </w:rPr>
            </w:pPr>
            <w:r>
              <w:rPr>
                <w:sz w:val="18"/>
              </w:rPr>
              <w:t>22,916</w:t>
            </w:r>
          </w:p>
        </w:tc>
        <w:tc>
          <w:tcPr>
            <w:tcW w:w="1426" w:type="dxa"/>
          </w:tcPr>
          <w:p>
            <w:pPr>
              <w:pStyle w:val="TableParagraph"/>
              <w:spacing w:line="203" w:lineRule="exact"/>
              <w:ind w:left="472" w:right="473"/>
              <w:rPr>
                <w:sz w:val="18"/>
              </w:rPr>
            </w:pPr>
            <w:r>
              <w:rPr>
                <w:sz w:val="18"/>
              </w:rPr>
              <w:t>Rural</w:t>
            </w:r>
          </w:p>
        </w:tc>
      </w:tr>
      <w:tr>
        <w:trPr>
          <w:trHeight w:val="322" w:hRule="exact"/>
        </w:trPr>
        <w:tc>
          <w:tcPr>
            <w:tcW w:w="2501" w:type="dxa"/>
          </w:tcPr>
          <w:p>
            <w:pPr>
              <w:pStyle w:val="TableParagraph"/>
              <w:spacing w:line="199" w:lineRule="exact"/>
              <w:ind w:left="67" w:right="4"/>
              <w:jc w:val="left"/>
              <w:rPr>
                <w:b/>
                <w:sz w:val="18"/>
              </w:rPr>
            </w:pPr>
            <w:r>
              <w:rPr>
                <w:b/>
                <w:color w:val="333333"/>
                <w:sz w:val="18"/>
              </w:rPr>
              <w:t>AMATEPEC</w:t>
            </w:r>
          </w:p>
        </w:tc>
        <w:tc>
          <w:tcPr>
            <w:tcW w:w="1039" w:type="dxa"/>
          </w:tcPr>
          <w:p>
            <w:pPr>
              <w:pStyle w:val="TableParagraph"/>
              <w:spacing w:line="204" w:lineRule="exact"/>
              <w:ind w:left="93" w:right="92"/>
              <w:rPr>
                <w:sz w:val="18"/>
              </w:rPr>
            </w:pPr>
            <w:r>
              <w:rPr>
                <w:sz w:val="18"/>
              </w:rPr>
              <w:t>27,026</w:t>
            </w:r>
          </w:p>
        </w:tc>
        <w:tc>
          <w:tcPr>
            <w:tcW w:w="1001" w:type="dxa"/>
          </w:tcPr>
          <w:p>
            <w:pPr>
              <w:pStyle w:val="TableParagraph"/>
              <w:spacing w:line="204" w:lineRule="exact"/>
              <w:ind w:left="73" w:right="73"/>
              <w:rPr>
                <w:sz w:val="18"/>
              </w:rPr>
            </w:pPr>
            <w:r>
              <w:rPr>
                <w:sz w:val="18"/>
              </w:rPr>
              <w:t>26,334</w:t>
            </w:r>
          </w:p>
        </w:tc>
        <w:tc>
          <w:tcPr>
            <w:tcW w:w="1001" w:type="dxa"/>
          </w:tcPr>
          <w:p>
            <w:pPr>
              <w:pStyle w:val="TableParagraph"/>
              <w:spacing w:line="204" w:lineRule="exact"/>
              <w:ind w:right="217"/>
              <w:jc w:val="right"/>
              <w:rPr>
                <w:sz w:val="18"/>
              </w:rPr>
            </w:pPr>
            <w:r>
              <w:rPr>
                <w:sz w:val="18"/>
              </w:rPr>
              <w:t>25,679</w:t>
            </w:r>
          </w:p>
        </w:tc>
        <w:tc>
          <w:tcPr>
            <w:tcW w:w="1426" w:type="dxa"/>
          </w:tcPr>
          <w:p>
            <w:pPr>
              <w:pStyle w:val="TableParagraph"/>
              <w:spacing w:line="204" w:lineRule="exact"/>
              <w:ind w:right="221"/>
              <w:jc w:val="right"/>
              <w:rPr>
                <w:sz w:val="18"/>
              </w:rPr>
            </w:pPr>
            <w:r>
              <w:rPr>
                <w:sz w:val="18"/>
              </w:rPr>
              <w:t>Semiurbano</w:t>
            </w:r>
          </w:p>
        </w:tc>
      </w:tr>
      <w:tr>
        <w:trPr>
          <w:trHeight w:val="319" w:hRule="exact"/>
        </w:trPr>
        <w:tc>
          <w:tcPr>
            <w:tcW w:w="2501" w:type="dxa"/>
          </w:tcPr>
          <w:p>
            <w:pPr>
              <w:pStyle w:val="TableParagraph"/>
              <w:spacing w:line="199" w:lineRule="exact"/>
              <w:ind w:left="67" w:right="4"/>
              <w:jc w:val="left"/>
              <w:rPr>
                <w:b/>
                <w:sz w:val="18"/>
              </w:rPr>
            </w:pPr>
            <w:r>
              <w:rPr>
                <w:b/>
                <w:color w:val="333333"/>
                <w:sz w:val="18"/>
              </w:rPr>
              <w:t>AMECAMECA</w:t>
            </w:r>
          </w:p>
        </w:tc>
        <w:tc>
          <w:tcPr>
            <w:tcW w:w="1039" w:type="dxa"/>
          </w:tcPr>
          <w:p>
            <w:pPr>
              <w:pStyle w:val="TableParagraph"/>
              <w:spacing w:line="203" w:lineRule="exact"/>
              <w:ind w:left="93" w:right="92"/>
              <w:rPr>
                <w:sz w:val="18"/>
              </w:rPr>
            </w:pPr>
            <w:r>
              <w:rPr>
                <w:sz w:val="18"/>
              </w:rPr>
              <w:t>48,363</w:t>
            </w:r>
          </w:p>
        </w:tc>
        <w:tc>
          <w:tcPr>
            <w:tcW w:w="1001" w:type="dxa"/>
          </w:tcPr>
          <w:p>
            <w:pPr>
              <w:pStyle w:val="TableParagraph"/>
              <w:spacing w:line="203" w:lineRule="exact"/>
              <w:ind w:left="73" w:right="73"/>
              <w:rPr>
                <w:sz w:val="18"/>
              </w:rPr>
            </w:pPr>
            <w:r>
              <w:rPr>
                <w:sz w:val="18"/>
              </w:rPr>
              <w:t>48,421</w:t>
            </w:r>
          </w:p>
        </w:tc>
        <w:tc>
          <w:tcPr>
            <w:tcW w:w="1001" w:type="dxa"/>
          </w:tcPr>
          <w:p>
            <w:pPr>
              <w:pStyle w:val="TableParagraph"/>
              <w:spacing w:line="203" w:lineRule="exact"/>
              <w:ind w:right="217"/>
              <w:jc w:val="right"/>
              <w:rPr>
                <w:sz w:val="18"/>
              </w:rPr>
            </w:pPr>
            <w:r>
              <w:rPr>
                <w:sz w:val="18"/>
              </w:rPr>
              <w:t>48,442</w:t>
            </w:r>
          </w:p>
        </w:tc>
        <w:tc>
          <w:tcPr>
            <w:tcW w:w="1426" w:type="dxa"/>
          </w:tcPr>
          <w:p>
            <w:pPr>
              <w:pStyle w:val="TableParagraph"/>
              <w:spacing w:line="203" w:lineRule="exact"/>
              <w:ind w:right="221"/>
              <w:jc w:val="right"/>
              <w:rPr>
                <w:sz w:val="18"/>
              </w:rPr>
            </w:pPr>
            <w:r>
              <w:rPr>
                <w:sz w:val="18"/>
              </w:rPr>
              <w:t>Semiurbano</w:t>
            </w:r>
          </w:p>
        </w:tc>
      </w:tr>
      <w:tr>
        <w:trPr>
          <w:trHeight w:val="322" w:hRule="exact"/>
        </w:trPr>
        <w:tc>
          <w:tcPr>
            <w:tcW w:w="2501" w:type="dxa"/>
          </w:tcPr>
          <w:p>
            <w:pPr>
              <w:pStyle w:val="TableParagraph"/>
              <w:spacing w:line="199" w:lineRule="exact"/>
              <w:ind w:left="67" w:right="4"/>
              <w:jc w:val="left"/>
              <w:rPr>
                <w:b/>
                <w:sz w:val="18"/>
              </w:rPr>
            </w:pPr>
            <w:r>
              <w:rPr>
                <w:b/>
                <w:color w:val="333333"/>
                <w:sz w:val="18"/>
              </w:rPr>
              <w:t>APAXCO</w:t>
            </w:r>
          </w:p>
        </w:tc>
        <w:tc>
          <w:tcPr>
            <w:tcW w:w="1039" w:type="dxa"/>
          </w:tcPr>
          <w:p>
            <w:pPr>
              <w:pStyle w:val="TableParagraph"/>
              <w:spacing w:line="203" w:lineRule="exact"/>
              <w:ind w:left="93" w:right="92"/>
              <w:rPr>
                <w:sz w:val="18"/>
              </w:rPr>
            </w:pPr>
            <w:r>
              <w:rPr>
                <w:sz w:val="18"/>
              </w:rPr>
              <w:t>25,738</w:t>
            </w:r>
          </w:p>
        </w:tc>
        <w:tc>
          <w:tcPr>
            <w:tcW w:w="1001" w:type="dxa"/>
          </w:tcPr>
          <w:p>
            <w:pPr>
              <w:pStyle w:val="TableParagraph"/>
              <w:spacing w:line="203" w:lineRule="exact"/>
              <w:ind w:left="73" w:right="73"/>
              <w:rPr>
                <w:sz w:val="18"/>
              </w:rPr>
            </w:pPr>
            <w:r>
              <w:rPr>
                <w:sz w:val="18"/>
              </w:rPr>
              <w:t>27,521</w:t>
            </w:r>
          </w:p>
        </w:tc>
        <w:tc>
          <w:tcPr>
            <w:tcW w:w="1001" w:type="dxa"/>
          </w:tcPr>
          <w:p>
            <w:pPr>
              <w:pStyle w:val="TableParagraph"/>
              <w:spacing w:line="203" w:lineRule="exact"/>
              <w:ind w:right="217"/>
              <w:jc w:val="right"/>
              <w:rPr>
                <w:sz w:val="18"/>
              </w:rPr>
            </w:pPr>
            <w:r>
              <w:rPr>
                <w:sz w:val="18"/>
              </w:rPr>
              <w:t>27,815</w:t>
            </w:r>
          </w:p>
        </w:tc>
        <w:tc>
          <w:tcPr>
            <w:tcW w:w="1426" w:type="dxa"/>
          </w:tcPr>
          <w:p>
            <w:pPr>
              <w:pStyle w:val="TableParagraph"/>
              <w:spacing w:line="203" w:lineRule="exact"/>
              <w:ind w:right="221"/>
              <w:jc w:val="right"/>
              <w:rPr>
                <w:sz w:val="18"/>
              </w:rPr>
            </w:pPr>
            <w:r>
              <w:rPr>
                <w:sz w:val="18"/>
              </w:rPr>
              <w:t>Semiurbano</w:t>
            </w:r>
          </w:p>
        </w:tc>
      </w:tr>
      <w:tr>
        <w:trPr>
          <w:trHeight w:val="319" w:hRule="exact"/>
        </w:trPr>
        <w:tc>
          <w:tcPr>
            <w:tcW w:w="2501" w:type="dxa"/>
          </w:tcPr>
          <w:p>
            <w:pPr>
              <w:pStyle w:val="TableParagraph"/>
              <w:spacing w:line="199" w:lineRule="exact"/>
              <w:ind w:left="67" w:right="4"/>
              <w:jc w:val="left"/>
              <w:rPr>
                <w:b/>
                <w:sz w:val="18"/>
              </w:rPr>
            </w:pPr>
            <w:r>
              <w:rPr>
                <w:b/>
                <w:color w:val="333333"/>
                <w:sz w:val="18"/>
              </w:rPr>
              <w:t>ATENCO</w:t>
            </w:r>
          </w:p>
        </w:tc>
        <w:tc>
          <w:tcPr>
            <w:tcW w:w="1039" w:type="dxa"/>
          </w:tcPr>
          <w:p>
            <w:pPr>
              <w:pStyle w:val="TableParagraph"/>
              <w:spacing w:line="203" w:lineRule="exact"/>
              <w:ind w:left="93" w:right="92"/>
              <w:rPr>
                <w:sz w:val="18"/>
              </w:rPr>
            </w:pPr>
            <w:r>
              <w:rPr>
                <w:sz w:val="18"/>
              </w:rPr>
              <w:t>42,739</w:t>
            </w:r>
          </w:p>
        </w:tc>
        <w:tc>
          <w:tcPr>
            <w:tcW w:w="1001" w:type="dxa"/>
          </w:tcPr>
          <w:p>
            <w:pPr>
              <w:pStyle w:val="TableParagraph"/>
              <w:spacing w:line="203" w:lineRule="exact"/>
              <w:ind w:left="73" w:right="73"/>
              <w:rPr>
                <w:sz w:val="18"/>
              </w:rPr>
            </w:pPr>
            <w:r>
              <w:rPr>
                <w:sz w:val="18"/>
              </w:rPr>
              <w:t>56,243</w:t>
            </w:r>
          </w:p>
        </w:tc>
        <w:tc>
          <w:tcPr>
            <w:tcW w:w="1001" w:type="dxa"/>
          </w:tcPr>
          <w:p>
            <w:pPr>
              <w:pStyle w:val="TableParagraph"/>
              <w:spacing w:line="203" w:lineRule="exact"/>
              <w:ind w:right="217"/>
              <w:jc w:val="right"/>
              <w:rPr>
                <w:sz w:val="18"/>
              </w:rPr>
            </w:pPr>
            <w:r>
              <w:rPr>
                <w:sz w:val="18"/>
              </w:rPr>
              <w:t>59,372</w:t>
            </w:r>
          </w:p>
        </w:tc>
        <w:tc>
          <w:tcPr>
            <w:tcW w:w="1426" w:type="dxa"/>
          </w:tcPr>
          <w:p>
            <w:pPr>
              <w:pStyle w:val="TableParagraph"/>
              <w:spacing w:line="203" w:lineRule="exact"/>
              <w:ind w:right="221"/>
              <w:jc w:val="right"/>
              <w:rPr>
                <w:sz w:val="18"/>
              </w:rPr>
            </w:pPr>
            <w:r>
              <w:rPr>
                <w:sz w:val="18"/>
              </w:rPr>
              <w:t>Semiurbano</w:t>
            </w:r>
          </w:p>
        </w:tc>
      </w:tr>
      <w:tr>
        <w:trPr>
          <w:trHeight w:val="322" w:hRule="exact"/>
        </w:trPr>
        <w:tc>
          <w:tcPr>
            <w:tcW w:w="2501" w:type="dxa"/>
          </w:tcPr>
          <w:p>
            <w:pPr>
              <w:pStyle w:val="TableParagraph"/>
              <w:spacing w:line="199" w:lineRule="exact"/>
              <w:ind w:left="67" w:right="4"/>
              <w:jc w:val="left"/>
              <w:rPr>
                <w:b/>
                <w:sz w:val="18"/>
              </w:rPr>
            </w:pPr>
            <w:r>
              <w:rPr>
                <w:b/>
                <w:color w:val="333333"/>
                <w:sz w:val="18"/>
              </w:rPr>
              <w:t>ATIZAPAN</w:t>
            </w:r>
          </w:p>
        </w:tc>
        <w:tc>
          <w:tcPr>
            <w:tcW w:w="1039" w:type="dxa"/>
          </w:tcPr>
          <w:p>
            <w:pPr>
              <w:pStyle w:val="TableParagraph"/>
              <w:spacing w:line="203" w:lineRule="exact"/>
              <w:ind w:left="93" w:right="94"/>
              <w:rPr>
                <w:sz w:val="18"/>
              </w:rPr>
            </w:pPr>
            <w:r>
              <w:rPr>
                <w:sz w:val="18"/>
              </w:rPr>
              <w:t>8,909</w:t>
            </w:r>
          </w:p>
        </w:tc>
        <w:tc>
          <w:tcPr>
            <w:tcW w:w="1001" w:type="dxa"/>
          </w:tcPr>
          <w:p>
            <w:pPr>
              <w:pStyle w:val="TableParagraph"/>
              <w:spacing w:line="203" w:lineRule="exact"/>
              <w:ind w:left="73" w:right="73"/>
              <w:rPr>
                <w:sz w:val="18"/>
              </w:rPr>
            </w:pPr>
            <w:r>
              <w:rPr>
                <w:sz w:val="18"/>
              </w:rPr>
              <w:t>10,299</w:t>
            </w:r>
          </w:p>
        </w:tc>
        <w:tc>
          <w:tcPr>
            <w:tcW w:w="1001" w:type="dxa"/>
          </w:tcPr>
          <w:p>
            <w:pPr>
              <w:pStyle w:val="TableParagraph"/>
              <w:spacing w:line="203" w:lineRule="exact"/>
              <w:ind w:right="217"/>
              <w:jc w:val="right"/>
              <w:rPr>
                <w:sz w:val="18"/>
              </w:rPr>
            </w:pPr>
            <w:r>
              <w:rPr>
                <w:sz w:val="18"/>
              </w:rPr>
              <w:t>10,519</w:t>
            </w:r>
          </w:p>
        </w:tc>
        <w:tc>
          <w:tcPr>
            <w:tcW w:w="1426" w:type="dxa"/>
          </w:tcPr>
          <w:p>
            <w:pPr>
              <w:pStyle w:val="TableParagraph"/>
              <w:spacing w:line="203" w:lineRule="exact"/>
              <w:ind w:left="472" w:right="473"/>
              <w:rPr>
                <w:sz w:val="18"/>
              </w:rPr>
            </w:pPr>
            <w:r>
              <w:rPr>
                <w:sz w:val="18"/>
              </w:rPr>
              <w:t>Rural</w:t>
            </w:r>
          </w:p>
        </w:tc>
      </w:tr>
      <w:tr>
        <w:trPr>
          <w:trHeight w:val="319" w:hRule="exact"/>
        </w:trPr>
        <w:tc>
          <w:tcPr>
            <w:tcW w:w="2501" w:type="dxa"/>
          </w:tcPr>
          <w:p>
            <w:pPr>
              <w:pStyle w:val="TableParagraph"/>
              <w:spacing w:line="199" w:lineRule="exact"/>
              <w:ind w:left="67" w:right="4"/>
              <w:jc w:val="left"/>
              <w:rPr>
                <w:b/>
                <w:sz w:val="18"/>
              </w:rPr>
            </w:pPr>
            <w:r>
              <w:rPr>
                <w:b/>
                <w:color w:val="333333"/>
                <w:sz w:val="18"/>
              </w:rPr>
              <w:t>ATIZAPAN DE ZARAGOZA</w:t>
            </w:r>
          </w:p>
        </w:tc>
        <w:tc>
          <w:tcPr>
            <w:tcW w:w="1039" w:type="dxa"/>
          </w:tcPr>
          <w:p>
            <w:pPr>
              <w:pStyle w:val="TableParagraph"/>
              <w:spacing w:line="203" w:lineRule="exact"/>
              <w:ind w:left="93" w:right="92"/>
              <w:rPr>
                <w:sz w:val="18"/>
              </w:rPr>
            </w:pPr>
            <w:r>
              <w:rPr>
                <w:sz w:val="18"/>
              </w:rPr>
              <w:t>472,526</w:t>
            </w:r>
          </w:p>
        </w:tc>
        <w:tc>
          <w:tcPr>
            <w:tcW w:w="1001" w:type="dxa"/>
          </w:tcPr>
          <w:p>
            <w:pPr>
              <w:pStyle w:val="TableParagraph"/>
              <w:spacing w:line="203" w:lineRule="exact"/>
              <w:ind w:left="73" w:right="73"/>
              <w:rPr>
                <w:sz w:val="18"/>
              </w:rPr>
            </w:pPr>
            <w:r>
              <w:rPr>
                <w:sz w:val="18"/>
              </w:rPr>
              <w:t>489,937</w:t>
            </w:r>
          </w:p>
        </w:tc>
        <w:tc>
          <w:tcPr>
            <w:tcW w:w="1001" w:type="dxa"/>
          </w:tcPr>
          <w:p>
            <w:pPr>
              <w:pStyle w:val="TableParagraph"/>
              <w:spacing w:line="203" w:lineRule="exact"/>
              <w:ind w:right="167"/>
              <w:jc w:val="right"/>
              <w:rPr>
                <w:sz w:val="18"/>
              </w:rPr>
            </w:pPr>
            <w:r>
              <w:rPr>
                <w:sz w:val="18"/>
              </w:rPr>
              <w:t>488,818</w:t>
            </w:r>
          </w:p>
        </w:tc>
        <w:tc>
          <w:tcPr>
            <w:tcW w:w="1426" w:type="dxa"/>
          </w:tcPr>
          <w:p>
            <w:pPr>
              <w:pStyle w:val="TableParagraph"/>
              <w:spacing w:line="203" w:lineRule="exact"/>
              <w:ind w:left="412" w:right="263"/>
              <w:jc w:val="left"/>
              <w:rPr>
                <w:sz w:val="18"/>
              </w:rPr>
            </w:pPr>
            <w:r>
              <w:rPr>
                <w:sz w:val="18"/>
              </w:rPr>
              <w:t>Urbano</w:t>
            </w:r>
          </w:p>
        </w:tc>
      </w:tr>
      <w:tr>
        <w:trPr>
          <w:trHeight w:val="322" w:hRule="exact"/>
        </w:trPr>
        <w:tc>
          <w:tcPr>
            <w:tcW w:w="2501" w:type="dxa"/>
          </w:tcPr>
          <w:p>
            <w:pPr>
              <w:pStyle w:val="TableParagraph"/>
              <w:spacing w:line="199" w:lineRule="exact"/>
              <w:ind w:left="67" w:right="4"/>
              <w:jc w:val="left"/>
              <w:rPr>
                <w:b/>
                <w:sz w:val="18"/>
              </w:rPr>
            </w:pPr>
            <w:r>
              <w:rPr>
                <w:b/>
                <w:color w:val="333333"/>
                <w:sz w:val="18"/>
              </w:rPr>
              <w:t>ATLACOMULCO</w:t>
            </w:r>
          </w:p>
        </w:tc>
        <w:tc>
          <w:tcPr>
            <w:tcW w:w="1039" w:type="dxa"/>
          </w:tcPr>
          <w:p>
            <w:pPr>
              <w:pStyle w:val="TableParagraph"/>
              <w:spacing w:line="203" w:lineRule="exact"/>
              <w:ind w:left="93" w:right="92"/>
              <w:rPr>
                <w:sz w:val="18"/>
              </w:rPr>
            </w:pPr>
            <w:r>
              <w:rPr>
                <w:sz w:val="18"/>
              </w:rPr>
              <w:t>77,831</w:t>
            </w:r>
          </w:p>
        </w:tc>
        <w:tc>
          <w:tcPr>
            <w:tcW w:w="1001" w:type="dxa"/>
          </w:tcPr>
          <w:p>
            <w:pPr>
              <w:pStyle w:val="TableParagraph"/>
              <w:spacing w:line="203" w:lineRule="exact"/>
              <w:ind w:left="73" w:right="73"/>
              <w:rPr>
                <w:sz w:val="18"/>
              </w:rPr>
            </w:pPr>
            <w:r>
              <w:rPr>
                <w:sz w:val="18"/>
              </w:rPr>
              <w:t>93,718</w:t>
            </w:r>
          </w:p>
        </w:tc>
        <w:tc>
          <w:tcPr>
            <w:tcW w:w="1001" w:type="dxa"/>
          </w:tcPr>
          <w:p>
            <w:pPr>
              <w:pStyle w:val="TableParagraph"/>
              <w:spacing w:line="203" w:lineRule="exact"/>
              <w:ind w:right="217"/>
              <w:jc w:val="right"/>
              <w:rPr>
                <w:sz w:val="18"/>
              </w:rPr>
            </w:pPr>
            <w:r>
              <w:rPr>
                <w:sz w:val="18"/>
              </w:rPr>
              <w:t>95,341</w:t>
            </w:r>
          </w:p>
        </w:tc>
        <w:tc>
          <w:tcPr>
            <w:tcW w:w="1426" w:type="dxa"/>
          </w:tcPr>
          <w:p>
            <w:pPr>
              <w:pStyle w:val="TableParagraph"/>
              <w:spacing w:line="203" w:lineRule="exact"/>
              <w:ind w:right="221"/>
              <w:jc w:val="right"/>
              <w:rPr>
                <w:sz w:val="18"/>
              </w:rPr>
            </w:pPr>
            <w:r>
              <w:rPr>
                <w:sz w:val="18"/>
              </w:rPr>
              <w:t>Semiurbano</w:t>
            </w:r>
          </w:p>
        </w:tc>
      </w:tr>
      <w:tr>
        <w:trPr>
          <w:trHeight w:val="319" w:hRule="exact"/>
        </w:trPr>
        <w:tc>
          <w:tcPr>
            <w:tcW w:w="2501" w:type="dxa"/>
          </w:tcPr>
          <w:p>
            <w:pPr>
              <w:pStyle w:val="TableParagraph"/>
              <w:spacing w:line="199" w:lineRule="exact"/>
              <w:ind w:left="67" w:right="4"/>
              <w:jc w:val="left"/>
              <w:rPr>
                <w:b/>
                <w:sz w:val="18"/>
              </w:rPr>
            </w:pPr>
            <w:r>
              <w:rPr>
                <w:b/>
                <w:color w:val="333333"/>
                <w:sz w:val="18"/>
              </w:rPr>
              <w:t>ATLAUTLA</w:t>
            </w:r>
          </w:p>
        </w:tc>
        <w:tc>
          <w:tcPr>
            <w:tcW w:w="1039" w:type="dxa"/>
          </w:tcPr>
          <w:p>
            <w:pPr>
              <w:pStyle w:val="TableParagraph"/>
              <w:spacing w:line="203" w:lineRule="exact"/>
              <w:ind w:left="93" w:right="92"/>
              <w:rPr>
                <w:sz w:val="18"/>
              </w:rPr>
            </w:pPr>
            <w:r>
              <w:rPr>
                <w:sz w:val="18"/>
              </w:rPr>
              <w:t>24,110</w:t>
            </w:r>
          </w:p>
        </w:tc>
        <w:tc>
          <w:tcPr>
            <w:tcW w:w="1001" w:type="dxa"/>
          </w:tcPr>
          <w:p>
            <w:pPr>
              <w:pStyle w:val="TableParagraph"/>
              <w:spacing w:line="203" w:lineRule="exact"/>
              <w:ind w:left="73" w:right="73"/>
              <w:rPr>
                <w:sz w:val="18"/>
              </w:rPr>
            </w:pPr>
            <w:r>
              <w:rPr>
                <w:sz w:val="18"/>
              </w:rPr>
              <w:t>27,663</w:t>
            </w:r>
          </w:p>
        </w:tc>
        <w:tc>
          <w:tcPr>
            <w:tcW w:w="1001" w:type="dxa"/>
          </w:tcPr>
          <w:p>
            <w:pPr>
              <w:pStyle w:val="TableParagraph"/>
              <w:spacing w:line="203" w:lineRule="exact"/>
              <w:ind w:right="217"/>
              <w:jc w:val="right"/>
              <w:rPr>
                <w:sz w:val="18"/>
              </w:rPr>
            </w:pPr>
            <w:r>
              <w:rPr>
                <w:sz w:val="18"/>
              </w:rPr>
              <w:t>27,662</w:t>
            </w:r>
          </w:p>
        </w:tc>
        <w:tc>
          <w:tcPr>
            <w:tcW w:w="1426" w:type="dxa"/>
          </w:tcPr>
          <w:p>
            <w:pPr>
              <w:pStyle w:val="TableParagraph"/>
              <w:spacing w:line="203" w:lineRule="exact"/>
              <w:ind w:right="221"/>
              <w:jc w:val="right"/>
              <w:rPr>
                <w:sz w:val="18"/>
              </w:rPr>
            </w:pPr>
            <w:r>
              <w:rPr>
                <w:sz w:val="18"/>
              </w:rPr>
              <w:t>Semiurbano</w:t>
            </w:r>
          </w:p>
        </w:tc>
      </w:tr>
      <w:tr>
        <w:trPr>
          <w:trHeight w:val="322" w:hRule="exact"/>
        </w:trPr>
        <w:tc>
          <w:tcPr>
            <w:tcW w:w="2501" w:type="dxa"/>
          </w:tcPr>
          <w:p>
            <w:pPr>
              <w:pStyle w:val="TableParagraph"/>
              <w:spacing w:line="199" w:lineRule="exact"/>
              <w:ind w:left="67" w:right="4"/>
              <w:jc w:val="left"/>
              <w:rPr>
                <w:b/>
                <w:sz w:val="18"/>
              </w:rPr>
            </w:pPr>
            <w:r>
              <w:rPr>
                <w:b/>
                <w:color w:val="333333"/>
                <w:sz w:val="18"/>
              </w:rPr>
              <w:t>AXAPUSCO</w:t>
            </w:r>
          </w:p>
        </w:tc>
        <w:tc>
          <w:tcPr>
            <w:tcW w:w="1039" w:type="dxa"/>
          </w:tcPr>
          <w:p>
            <w:pPr>
              <w:pStyle w:val="TableParagraph"/>
              <w:spacing w:line="203" w:lineRule="exact"/>
              <w:ind w:left="93" w:right="92"/>
              <w:rPr>
                <w:sz w:val="18"/>
              </w:rPr>
            </w:pPr>
            <w:r>
              <w:rPr>
                <w:sz w:val="18"/>
              </w:rPr>
              <w:t>21,915</w:t>
            </w:r>
          </w:p>
        </w:tc>
        <w:tc>
          <w:tcPr>
            <w:tcW w:w="1001" w:type="dxa"/>
          </w:tcPr>
          <w:p>
            <w:pPr>
              <w:pStyle w:val="TableParagraph"/>
              <w:spacing w:line="203" w:lineRule="exact"/>
              <w:ind w:left="73" w:right="73"/>
              <w:rPr>
                <w:sz w:val="18"/>
              </w:rPr>
            </w:pPr>
            <w:r>
              <w:rPr>
                <w:sz w:val="18"/>
              </w:rPr>
              <w:t>25,559</w:t>
            </w:r>
          </w:p>
        </w:tc>
        <w:tc>
          <w:tcPr>
            <w:tcW w:w="1001" w:type="dxa"/>
          </w:tcPr>
          <w:p>
            <w:pPr>
              <w:pStyle w:val="TableParagraph"/>
              <w:spacing w:line="203" w:lineRule="exact"/>
              <w:ind w:right="217"/>
              <w:jc w:val="right"/>
              <w:rPr>
                <w:sz w:val="18"/>
              </w:rPr>
            </w:pPr>
            <w:r>
              <w:rPr>
                <w:sz w:val="18"/>
              </w:rPr>
              <w:t>26,068</w:t>
            </w:r>
          </w:p>
        </w:tc>
        <w:tc>
          <w:tcPr>
            <w:tcW w:w="1426" w:type="dxa"/>
          </w:tcPr>
          <w:p>
            <w:pPr>
              <w:pStyle w:val="TableParagraph"/>
              <w:spacing w:line="203" w:lineRule="exact"/>
              <w:ind w:right="221"/>
              <w:jc w:val="right"/>
              <w:rPr>
                <w:sz w:val="18"/>
              </w:rPr>
            </w:pPr>
            <w:r>
              <w:rPr>
                <w:sz w:val="18"/>
              </w:rPr>
              <w:t>Semiurbano</w:t>
            </w:r>
          </w:p>
        </w:tc>
      </w:tr>
      <w:tr>
        <w:trPr>
          <w:trHeight w:val="319" w:hRule="exact"/>
        </w:trPr>
        <w:tc>
          <w:tcPr>
            <w:tcW w:w="2501" w:type="dxa"/>
          </w:tcPr>
          <w:p>
            <w:pPr>
              <w:pStyle w:val="TableParagraph"/>
              <w:spacing w:line="199" w:lineRule="exact"/>
              <w:ind w:left="67" w:right="4"/>
              <w:jc w:val="left"/>
              <w:rPr>
                <w:b/>
                <w:sz w:val="18"/>
              </w:rPr>
            </w:pPr>
            <w:r>
              <w:rPr>
                <w:b/>
                <w:color w:val="333333"/>
                <w:sz w:val="18"/>
              </w:rPr>
              <w:t>AYAPANGO</w:t>
            </w:r>
          </w:p>
        </w:tc>
        <w:tc>
          <w:tcPr>
            <w:tcW w:w="1039" w:type="dxa"/>
          </w:tcPr>
          <w:p>
            <w:pPr>
              <w:pStyle w:val="TableParagraph"/>
              <w:spacing w:line="203" w:lineRule="exact"/>
              <w:ind w:left="93" w:right="94"/>
              <w:rPr>
                <w:sz w:val="18"/>
              </w:rPr>
            </w:pPr>
            <w:r>
              <w:rPr>
                <w:sz w:val="18"/>
              </w:rPr>
              <w:t>6,361</w:t>
            </w:r>
          </w:p>
        </w:tc>
        <w:tc>
          <w:tcPr>
            <w:tcW w:w="1001" w:type="dxa"/>
          </w:tcPr>
          <w:p>
            <w:pPr>
              <w:pStyle w:val="TableParagraph"/>
              <w:spacing w:line="203" w:lineRule="exact"/>
              <w:ind w:left="73" w:right="74"/>
              <w:rPr>
                <w:sz w:val="18"/>
              </w:rPr>
            </w:pPr>
            <w:r>
              <w:rPr>
                <w:sz w:val="18"/>
              </w:rPr>
              <w:t>8,864</w:t>
            </w:r>
          </w:p>
        </w:tc>
        <w:tc>
          <w:tcPr>
            <w:tcW w:w="1001" w:type="dxa"/>
          </w:tcPr>
          <w:p>
            <w:pPr>
              <w:pStyle w:val="TableParagraph"/>
              <w:spacing w:line="203" w:lineRule="exact"/>
              <w:ind w:right="268"/>
              <w:jc w:val="right"/>
              <w:rPr>
                <w:sz w:val="18"/>
              </w:rPr>
            </w:pPr>
            <w:r>
              <w:rPr>
                <w:sz w:val="18"/>
              </w:rPr>
              <w:t>9,249</w:t>
            </w:r>
          </w:p>
        </w:tc>
        <w:tc>
          <w:tcPr>
            <w:tcW w:w="1426" w:type="dxa"/>
          </w:tcPr>
          <w:p>
            <w:pPr>
              <w:pStyle w:val="TableParagraph"/>
              <w:spacing w:line="203" w:lineRule="exact"/>
              <w:ind w:left="472" w:right="473"/>
              <w:rPr>
                <w:sz w:val="18"/>
              </w:rPr>
            </w:pPr>
            <w:r>
              <w:rPr>
                <w:sz w:val="18"/>
              </w:rPr>
              <w:t>Rural</w:t>
            </w:r>
          </w:p>
        </w:tc>
      </w:tr>
      <w:tr>
        <w:trPr>
          <w:trHeight w:val="322" w:hRule="exact"/>
        </w:trPr>
        <w:tc>
          <w:tcPr>
            <w:tcW w:w="2501" w:type="dxa"/>
          </w:tcPr>
          <w:p>
            <w:pPr>
              <w:pStyle w:val="TableParagraph"/>
              <w:spacing w:line="201" w:lineRule="exact"/>
              <w:ind w:left="67" w:right="4"/>
              <w:jc w:val="left"/>
              <w:rPr>
                <w:b/>
                <w:sz w:val="18"/>
              </w:rPr>
            </w:pPr>
            <w:r>
              <w:rPr>
                <w:b/>
                <w:color w:val="333333"/>
                <w:sz w:val="18"/>
              </w:rPr>
              <w:t>CALIMAYA</w:t>
            </w:r>
          </w:p>
        </w:tc>
        <w:tc>
          <w:tcPr>
            <w:tcW w:w="1039" w:type="dxa"/>
          </w:tcPr>
          <w:p>
            <w:pPr>
              <w:pStyle w:val="TableParagraph"/>
              <w:spacing w:line="206" w:lineRule="exact"/>
              <w:ind w:left="93" w:right="92"/>
              <w:rPr>
                <w:sz w:val="18"/>
              </w:rPr>
            </w:pPr>
            <w:r>
              <w:rPr>
                <w:sz w:val="18"/>
              </w:rPr>
              <w:t>38,770</w:t>
            </w:r>
          </w:p>
        </w:tc>
        <w:tc>
          <w:tcPr>
            <w:tcW w:w="1001" w:type="dxa"/>
          </w:tcPr>
          <w:p>
            <w:pPr>
              <w:pStyle w:val="TableParagraph"/>
              <w:spacing w:line="206" w:lineRule="exact"/>
              <w:ind w:left="73" w:right="73"/>
              <w:rPr>
                <w:sz w:val="18"/>
              </w:rPr>
            </w:pPr>
            <w:r>
              <w:rPr>
                <w:sz w:val="18"/>
              </w:rPr>
              <w:t>47,033</w:t>
            </w:r>
          </w:p>
        </w:tc>
        <w:tc>
          <w:tcPr>
            <w:tcW w:w="1001" w:type="dxa"/>
          </w:tcPr>
          <w:p>
            <w:pPr>
              <w:pStyle w:val="TableParagraph"/>
              <w:spacing w:line="206" w:lineRule="exact"/>
              <w:ind w:right="217"/>
              <w:jc w:val="right"/>
              <w:rPr>
                <w:sz w:val="18"/>
              </w:rPr>
            </w:pPr>
            <w:r>
              <w:rPr>
                <w:sz w:val="18"/>
              </w:rPr>
              <w:t>48,398</w:t>
            </w:r>
          </w:p>
        </w:tc>
        <w:tc>
          <w:tcPr>
            <w:tcW w:w="1426" w:type="dxa"/>
          </w:tcPr>
          <w:p>
            <w:pPr>
              <w:pStyle w:val="TableParagraph"/>
              <w:spacing w:line="206" w:lineRule="exact"/>
              <w:ind w:right="221"/>
              <w:jc w:val="right"/>
              <w:rPr>
                <w:sz w:val="18"/>
              </w:rPr>
            </w:pPr>
            <w:r>
              <w:rPr>
                <w:sz w:val="18"/>
              </w:rPr>
              <w:t>Semiurbano</w:t>
            </w:r>
          </w:p>
        </w:tc>
      </w:tr>
      <w:tr>
        <w:trPr>
          <w:trHeight w:val="320" w:hRule="exact"/>
        </w:trPr>
        <w:tc>
          <w:tcPr>
            <w:tcW w:w="2501" w:type="dxa"/>
          </w:tcPr>
          <w:p>
            <w:pPr>
              <w:pStyle w:val="TableParagraph"/>
              <w:spacing w:line="199" w:lineRule="exact"/>
              <w:ind w:left="67" w:right="4"/>
              <w:jc w:val="left"/>
              <w:rPr>
                <w:b/>
                <w:sz w:val="18"/>
              </w:rPr>
            </w:pPr>
            <w:r>
              <w:rPr>
                <w:b/>
                <w:color w:val="333333"/>
                <w:sz w:val="18"/>
              </w:rPr>
              <w:t>CAPULHUAC</w:t>
            </w:r>
          </w:p>
        </w:tc>
        <w:tc>
          <w:tcPr>
            <w:tcW w:w="1039" w:type="dxa"/>
          </w:tcPr>
          <w:p>
            <w:pPr>
              <w:pStyle w:val="TableParagraph"/>
              <w:spacing w:line="204" w:lineRule="exact"/>
              <w:ind w:left="93" w:right="92"/>
              <w:rPr>
                <w:sz w:val="18"/>
              </w:rPr>
            </w:pPr>
            <w:r>
              <w:rPr>
                <w:sz w:val="18"/>
              </w:rPr>
              <w:t>30,838</w:t>
            </w:r>
          </w:p>
        </w:tc>
        <w:tc>
          <w:tcPr>
            <w:tcW w:w="1001" w:type="dxa"/>
          </w:tcPr>
          <w:p>
            <w:pPr>
              <w:pStyle w:val="TableParagraph"/>
              <w:spacing w:line="204" w:lineRule="exact"/>
              <w:ind w:left="73" w:right="73"/>
              <w:rPr>
                <w:sz w:val="18"/>
              </w:rPr>
            </w:pPr>
            <w:r>
              <w:rPr>
                <w:sz w:val="18"/>
              </w:rPr>
              <w:t>34,101</w:t>
            </w:r>
          </w:p>
        </w:tc>
        <w:tc>
          <w:tcPr>
            <w:tcW w:w="1001" w:type="dxa"/>
          </w:tcPr>
          <w:p>
            <w:pPr>
              <w:pStyle w:val="TableParagraph"/>
              <w:spacing w:line="204" w:lineRule="exact"/>
              <w:ind w:right="217"/>
              <w:jc w:val="right"/>
              <w:rPr>
                <w:sz w:val="18"/>
              </w:rPr>
            </w:pPr>
            <w:r>
              <w:rPr>
                <w:sz w:val="18"/>
              </w:rPr>
              <w:t>34,555</w:t>
            </w:r>
          </w:p>
        </w:tc>
        <w:tc>
          <w:tcPr>
            <w:tcW w:w="1426" w:type="dxa"/>
          </w:tcPr>
          <w:p>
            <w:pPr>
              <w:pStyle w:val="TableParagraph"/>
              <w:spacing w:line="204" w:lineRule="exact"/>
              <w:ind w:right="221"/>
              <w:jc w:val="right"/>
              <w:rPr>
                <w:sz w:val="18"/>
              </w:rPr>
            </w:pPr>
            <w:r>
              <w:rPr>
                <w:sz w:val="18"/>
              </w:rPr>
              <w:t>Semiurbano</w:t>
            </w:r>
          </w:p>
        </w:tc>
      </w:tr>
      <w:tr>
        <w:trPr>
          <w:trHeight w:val="322" w:hRule="exact"/>
        </w:trPr>
        <w:tc>
          <w:tcPr>
            <w:tcW w:w="2501" w:type="dxa"/>
          </w:tcPr>
          <w:p>
            <w:pPr>
              <w:pStyle w:val="TableParagraph"/>
              <w:spacing w:line="201" w:lineRule="exact"/>
              <w:ind w:left="67" w:right="4"/>
              <w:jc w:val="left"/>
              <w:rPr>
                <w:b/>
                <w:sz w:val="18"/>
              </w:rPr>
            </w:pPr>
            <w:r>
              <w:rPr>
                <w:b/>
                <w:color w:val="333333"/>
                <w:sz w:val="18"/>
              </w:rPr>
              <w:t>CHALCO</w:t>
            </w:r>
          </w:p>
        </w:tc>
        <w:tc>
          <w:tcPr>
            <w:tcW w:w="1039" w:type="dxa"/>
          </w:tcPr>
          <w:p>
            <w:pPr>
              <w:pStyle w:val="TableParagraph"/>
              <w:spacing w:line="206" w:lineRule="exact"/>
              <w:ind w:left="93" w:right="92"/>
              <w:rPr>
                <w:sz w:val="18"/>
              </w:rPr>
            </w:pPr>
            <w:r>
              <w:rPr>
                <w:sz w:val="18"/>
              </w:rPr>
              <w:t>257,403</w:t>
            </w:r>
          </w:p>
        </w:tc>
        <w:tc>
          <w:tcPr>
            <w:tcW w:w="1001" w:type="dxa"/>
          </w:tcPr>
          <w:p>
            <w:pPr>
              <w:pStyle w:val="TableParagraph"/>
              <w:spacing w:line="206" w:lineRule="exact"/>
              <w:ind w:left="73" w:right="73"/>
              <w:rPr>
                <w:sz w:val="18"/>
              </w:rPr>
            </w:pPr>
            <w:r>
              <w:rPr>
                <w:sz w:val="18"/>
              </w:rPr>
              <w:t>310,130</w:t>
            </w:r>
          </w:p>
        </w:tc>
        <w:tc>
          <w:tcPr>
            <w:tcW w:w="1001" w:type="dxa"/>
          </w:tcPr>
          <w:p>
            <w:pPr>
              <w:pStyle w:val="TableParagraph"/>
              <w:spacing w:line="206" w:lineRule="exact"/>
              <w:ind w:right="167"/>
              <w:jc w:val="right"/>
              <w:rPr>
                <w:sz w:val="18"/>
              </w:rPr>
            </w:pPr>
            <w:r>
              <w:rPr>
                <w:sz w:val="18"/>
              </w:rPr>
              <w:t>279,196</w:t>
            </w:r>
          </w:p>
        </w:tc>
        <w:tc>
          <w:tcPr>
            <w:tcW w:w="1426" w:type="dxa"/>
          </w:tcPr>
          <w:p>
            <w:pPr>
              <w:pStyle w:val="TableParagraph"/>
              <w:spacing w:line="206" w:lineRule="exact"/>
              <w:ind w:left="412" w:right="263"/>
              <w:jc w:val="left"/>
              <w:rPr>
                <w:sz w:val="18"/>
              </w:rPr>
            </w:pPr>
            <w:r>
              <w:rPr>
                <w:sz w:val="18"/>
              </w:rPr>
              <w:t>Urbano</w:t>
            </w:r>
          </w:p>
        </w:tc>
      </w:tr>
      <w:tr>
        <w:trPr>
          <w:trHeight w:val="319" w:hRule="exact"/>
        </w:trPr>
        <w:tc>
          <w:tcPr>
            <w:tcW w:w="2501" w:type="dxa"/>
          </w:tcPr>
          <w:p>
            <w:pPr>
              <w:pStyle w:val="TableParagraph"/>
              <w:spacing w:line="199" w:lineRule="exact"/>
              <w:ind w:left="67" w:right="4"/>
              <w:jc w:val="left"/>
              <w:rPr>
                <w:b/>
                <w:sz w:val="18"/>
              </w:rPr>
            </w:pPr>
            <w:r>
              <w:rPr>
                <w:b/>
                <w:color w:val="333333"/>
                <w:sz w:val="18"/>
              </w:rPr>
              <w:t>CHAPA DE MOTA</w:t>
            </w:r>
          </w:p>
        </w:tc>
        <w:tc>
          <w:tcPr>
            <w:tcW w:w="1039" w:type="dxa"/>
          </w:tcPr>
          <w:p>
            <w:pPr>
              <w:pStyle w:val="TableParagraph"/>
              <w:spacing w:line="203" w:lineRule="exact"/>
              <w:ind w:left="93" w:right="92"/>
              <w:rPr>
                <w:sz w:val="18"/>
              </w:rPr>
            </w:pPr>
            <w:r>
              <w:rPr>
                <w:sz w:val="18"/>
              </w:rPr>
              <w:t>21,746</w:t>
            </w:r>
          </w:p>
        </w:tc>
        <w:tc>
          <w:tcPr>
            <w:tcW w:w="1001" w:type="dxa"/>
          </w:tcPr>
          <w:p>
            <w:pPr>
              <w:pStyle w:val="TableParagraph"/>
              <w:spacing w:line="203" w:lineRule="exact"/>
              <w:ind w:left="73" w:right="73"/>
              <w:rPr>
                <w:sz w:val="18"/>
              </w:rPr>
            </w:pPr>
            <w:r>
              <w:rPr>
                <w:sz w:val="18"/>
              </w:rPr>
              <w:t>27,551</w:t>
            </w:r>
          </w:p>
        </w:tc>
        <w:tc>
          <w:tcPr>
            <w:tcW w:w="1001" w:type="dxa"/>
          </w:tcPr>
          <w:p>
            <w:pPr>
              <w:pStyle w:val="TableParagraph"/>
              <w:spacing w:line="203" w:lineRule="exact"/>
              <w:ind w:right="217"/>
              <w:jc w:val="right"/>
              <w:rPr>
                <w:sz w:val="18"/>
              </w:rPr>
            </w:pPr>
            <w:r>
              <w:rPr>
                <w:sz w:val="18"/>
              </w:rPr>
              <w:t>36,023</w:t>
            </w:r>
          </w:p>
        </w:tc>
        <w:tc>
          <w:tcPr>
            <w:tcW w:w="1426" w:type="dxa"/>
          </w:tcPr>
          <w:p>
            <w:pPr>
              <w:pStyle w:val="TableParagraph"/>
              <w:spacing w:line="203" w:lineRule="exact"/>
              <w:ind w:right="221"/>
              <w:jc w:val="right"/>
              <w:rPr>
                <w:sz w:val="18"/>
              </w:rPr>
            </w:pPr>
            <w:r>
              <w:rPr>
                <w:sz w:val="18"/>
              </w:rPr>
              <w:t>Semiurbano</w:t>
            </w:r>
          </w:p>
        </w:tc>
      </w:tr>
      <w:tr>
        <w:trPr>
          <w:trHeight w:val="322" w:hRule="exact"/>
        </w:trPr>
        <w:tc>
          <w:tcPr>
            <w:tcW w:w="2501" w:type="dxa"/>
          </w:tcPr>
          <w:p>
            <w:pPr>
              <w:pStyle w:val="TableParagraph"/>
              <w:spacing w:line="201" w:lineRule="exact"/>
              <w:ind w:left="67" w:right="4"/>
              <w:jc w:val="left"/>
              <w:rPr>
                <w:b/>
                <w:sz w:val="18"/>
              </w:rPr>
            </w:pPr>
            <w:r>
              <w:rPr>
                <w:b/>
                <w:color w:val="333333"/>
                <w:sz w:val="18"/>
              </w:rPr>
              <w:t>CHAPULTEPEC</w:t>
            </w:r>
          </w:p>
        </w:tc>
        <w:tc>
          <w:tcPr>
            <w:tcW w:w="1039" w:type="dxa"/>
          </w:tcPr>
          <w:p>
            <w:pPr>
              <w:pStyle w:val="TableParagraph"/>
              <w:spacing w:line="206" w:lineRule="exact"/>
              <w:ind w:left="93" w:right="94"/>
              <w:rPr>
                <w:sz w:val="18"/>
              </w:rPr>
            </w:pPr>
            <w:r>
              <w:rPr>
                <w:sz w:val="18"/>
              </w:rPr>
              <w:t>6,581</w:t>
            </w:r>
          </w:p>
        </w:tc>
        <w:tc>
          <w:tcPr>
            <w:tcW w:w="1001" w:type="dxa"/>
          </w:tcPr>
          <w:p>
            <w:pPr>
              <w:pStyle w:val="TableParagraph"/>
              <w:spacing w:line="206" w:lineRule="exact"/>
              <w:ind w:left="73" w:right="74"/>
              <w:rPr>
                <w:sz w:val="18"/>
              </w:rPr>
            </w:pPr>
            <w:r>
              <w:rPr>
                <w:sz w:val="18"/>
              </w:rPr>
              <w:t>9,676</w:t>
            </w:r>
          </w:p>
        </w:tc>
        <w:tc>
          <w:tcPr>
            <w:tcW w:w="1001" w:type="dxa"/>
          </w:tcPr>
          <w:p>
            <w:pPr>
              <w:pStyle w:val="TableParagraph"/>
              <w:spacing w:line="206" w:lineRule="exact"/>
              <w:ind w:right="217"/>
              <w:jc w:val="right"/>
              <w:rPr>
                <w:sz w:val="18"/>
              </w:rPr>
            </w:pPr>
            <w:r>
              <w:rPr>
                <w:sz w:val="18"/>
              </w:rPr>
              <w:t>12,312</w:t>
            </w:r>
          </w:p>
        </w:tc>
        <w:tc>
          <w:tcPr>
            <w:tcW w:w="1426" w:type="dxa"/>
          </w:tcPr>
          <w:p>
            <w:pPr>
              <w:pStyle w:val="TableParagraph"/>
              <w:spacing w:line="206" w:lineRule="exact"/>
              <w:ind w:left="472" w:right="473"/>
              <w:rPr>
                <w:sz w:val="18"/>
              </w:rPr>
            </w:pPr>
            <w:r>
              <w:rPr>
                <w:sz w:val="18"/>
              </w:rPr>
              <w:t>Rural</w:t>
            </w:r>
          </w:p>
        </w:tc>
      </w:tr>
      <w:tr>
        <w:trPr>
          <w:trHeight w:val="322" w:hRule="exact"/>
        </w:trPr>
        <w:tc>
          <w:tcPr>
            <w:tcW w:w="2501" w:type="dxa"/>
          </w:tcPr>
          <w:p>
            <w:pPr>
              <w:pStyle w:val="TableParagraph"/>
              <w:spacing w:line="199" w:lineRule="exact"/>
              <w:ind w:left="67" w:right="4"/>
              <w:jc w:val="left"/>
              <w:rPr>
                <w:b/>
                <w:sz w:val="18"/>
              </w:rPr>
            </w:pPr>
            <w:r>
              <w:rPr>
                <w:b/>
                <w:color w:val="333333"/>
                <w:sz w:val="18"/>
              </w:rPr>
              <w:t>CHIAUTLA</w:t>
            </w:r>
          </w:p>
        </w:tc>
        <w:tc>
          <w:tcPr>
            <w:tcW w:w="1039" w:type="dxa"/>
          </w:tcPr>
          <w:p>
            <w:pPr>
              <w:pStyle w:val="TableParagraph"/>
              <w:spacing w:line="203" w:lineRule="exact"/>
              <w:ind w:left="93" w:right="92"/>
              <w:rPr>
                <w:sz w:val="18"/>
              </w:rPr>
            </w:pPr>
            <w:r>
              <w:rPr>
                <w:sz w:val="18"/>
              </w:rPr>
              <w:t>22,664</w:t>
            </w:r>
          </w:p>
        </w:tc>
        <w:tc>
          <w:tcPr>
            <w:tcW w:w="1001" w:type="dxa"/>
          </w:tcPr>
          <w:p>
            <w:pPr>
              <w:pStyle w:val="TableParagraph"/>
              <w:spacing w:line="203" w:lineRule="exact"/>
              <w:ind w:left="73" w:right="73"/>
              <w:rPr>
                <w:sz w:val="18"/>
              </w:rPr>
            </w:pPr>
            <w:r>
              <w:rPr>
                <w:sz w:val="18"/>
              </w:rPr>
              <w:t>26,191</w:t>
            </w:r>
          </w:p>
        </w:tc>
        <w:tc>
          <w:tcPr>
            <w:tcW w:w="1001" w:type="dxa"/>
          </w:tcPr>
          <w:p>
            <w:pPr>
              <w:pStyle w:val="TableParagraph"/>
              <w:spacing w:line="203" w:lineRule="exact"/>
              <w:ind w:right="217"/>
              <w:jc w:val="right"/>
              <w:rPr>
                <w:sz w:val="18"/>
              </w:rPr>
            </w:pPr>
            <w:r>
              <w:rPr>
                <w:sz w:val="18"/>
              </w:rPr>
              <w:t>39,202</w:t>
            </w:r>
          </w:p>
        </w:tc>
        <w:tc>
          <w:tcPr>
            <w:tcW w:w="1426" w:type="dxa"/>
          </w:tcPr>
          <w:p>
            <w:pPr>
              <w:pStyle w:val="TableParagraph"/>
              <w:spacing w:line="203" w:lineRule="exact"/>
              <w:ind w:right="221"/>
              <w:jc w:val="right"/>
              <w:rPr>
                <w:sz w:val="18"/>
              </w:rPr>
            </w:pPr>
            <w:r>
              <w:rPr>
                <w:sz w:val="18"/>
              </w:rPr>
              <w:t>Semiurbano</w:t>
            </w:r>
          </w:p>
        </w:tc>
      </w:tr>
      <w:tr>
        <w:trPr>
          <w:trHeight w:val="319" w:hRule="exact"/>
        </w:trPr>
        <w:tc>
          <w:tcPr>
            <w:tcW w:w="2501" w:type="dxa"/>
          </w:tcPr>
          <w:p>
            <w:pPr>
              <w:pStyle w:val="TableParagraph"/>
              <w:spacing w:line="199" w:lineRule="exact"/>
              <w:ind w:left="67" w:right="4"/>
              <w:jc w:val="left"/>
              <w:rPr>
                <w:b/>
                <w:sz w:val="18"/>
              </w:rPr>
            </w:pPr>
            <w:r>
              <w:rPr>
                <w:b/>
                <w:color w:val="333333"/>
                <w:sz w:val="18"/>
              </w:rPr>
              <w:t>CHICOLOAPAN</w:t>
            </w:r>
          </w:p>
        </w:tc>
        <w:tc>
          <w:tcPr>
            <w:tcW w:w="1039" w:type="dxa"/>
          </w:tcPr>
          <w:p>
            <w:pPr>
              <w:pStyle w:val="TableParagraph"/>
              <w:spacing w:line="203" w:lineRule="exact"/>
              <w:ind w:left="93" w:right="92"/>
              <w:rPr>
                <w:sz w:val="18"/>
              </w:rPr>
            </w:pPr>
            <w:r>
              <w:rPr>
                <w:sz w:val="18"/>
              </w:rPr>
              <w:t>170,035</w:t>
            </w:r>
          </w:p>
        </w:tc>
        <w:tc>
          <w:tcPr>
            <w:tcW w:w="1001" w:type="dxa"/>
          </w:tcPr>
          <w:p>
            <w:pPr>
              <w:pStyle w:val="TableParagraph"/>
              <w:spacing w:line="203" w:lineRule="exact"/>
              <w:ind w:left="73" w:right="73"/>
              <w:rPr>
                <w:sz w:val="18"/>
              </w:rPr>
            </w:pPr>
            <w:r>
              <w:rPr>
                <w:sz w:val="18"/>
              </w:rPr>
              <w:t>175,053</w:t>
            </w:r>
          </w:p>
        </w:tc>
        <w:tc>
          <w:tcPr>
            <w:tcW w:w="1001" w:type="dxa"/>
          </w:tcPr>
          <w:p>
            <w:pPr>
              <w:pStyle w:val="TableParagraph"/>
              <w:spacing w:line="203" w:lineRule="exact"/>
              <w:ind w:right="167"/>
              <w:jc w:val="right"/>
              <w:rPr>
                <w:sz w:val="18"/>
              </w:rPr>
            </w:pPr>
            <w:r>
              <w:rPr>
                <w:sz w:val="18"/>
              </w:rPr>
              <w:t>150,192</w:t>
            </w:r>
          </w:p>
        </w:tc>
        <w:tc>
          <w:tcPr>
            <w:tcW w:w="1426" w:type="dxa"/>
          </w:tcPr>
          <w:p>
            <w:pPr>
              <w:pStyle w:val="TableParagraph"/>
              <w:spacing w:line="203" w:lineRule="exact"/>
              <w:ind w:right="221"/>
              <w:jc w:val="right"/>
              <w:rPr>
                <w:sz w:val="18"/>
              </w:rPr>
            </w:pPr>
            <w:r>
              <w:rPr>
                <w:sz w:val="18"/>
              </w:rPr>
              <w:t>Semiurbano</w:t>
            </w:r>
          </w:p>
        </w:tc>
      </w:tr>
      <w:tr>
        <w:trPr>
          <w:trHeight w:val="322" w:hRule="exact"/>
        </w:trPr>
        <w:tc>
          <w:tcPr>
            <w:tcW w:w="2501" w:type="dxa"/>
          </w:tcPr>
          <w:p>
            <w:pPr>
              <w:pStyle w:val="TableParagraph"/>
              <w:spacing w:line="199" w:lineRule="exact"/>
              <w:ind w:left="67" w:right="4"/>
              <w:jc w:val="left"/>
              <w:rPr>
                <w:b/>
                <w:sz w:val="18"/>
              </w:rPr>
            </w:pPr>
            <w:r>
              <w:rPr>
                <w:b/>
                <w:color w:val="333333"/>
                <w:sz w:val="18"/>
              </w:rPr>
              <w:t>CHICONCUAC</w:t>
            </w:r>
          </w:p>
        </w:tc>
        <w:tc>
          <w:tcPr>
            <w:tcW w:w="1039" w:type="dxa"/>
          </w:tcPr>
          <w:p>
            <w:pPr>
              <w:pStyle w:val="TableParagraph"/>
              <w:spacing w:line="203" w:lineRule="exact"/>
              <w:ind w:left="93" w:right="92"/>
              <w:rPr>
                <w:sz w:val="18"/>
              </w:rPr>
            </w:pPr>
            <w:r>
              <w:rPr>
                <w:sz w:val="18"/>
              </w:rPr>
              <w:t>19,656</w:t>
            </w:r>
          </w:p>
        </w:tc>
        <w:tc>
          <w:tcPr>
            <w:tcW w:w="1001" w:type="dxa"/>
          </w:tcPr>
          <w:p>
            <w:pPr>
              <w:pStyle w:val="TableParagraph"/>
              <w:spacing w:line="203" w:lineRule="exact"/>
              <w:ind w:left="73" w:right="73"/>
              <w:rPr>
                <w:sz w:val="18"/>
              </w:rPr>
            </w:pPr>
            <w:r>
              <w:rPr>
                <w:sz w:val="18"/>
              </w:rPr>
              <w:t>22,819</w:t>
            </w:r>
          </w:p>
        </w:tc>
        <w:tc>
          <w:tcPr>
            <w:tcW w:w="1001" w:type="dxa"/>
          </w:tcPr>
          <w:p>
            <w:pPr>
              <w:pStyle w:val="TableParagraph"/>
              <w:spacing w:line="203" w:lineRule="exact"/>
              <w:ind w:right="167"/>
              <w:jc w:val="right"/>
              <w:rPr>
                <w:sz w:val="18"/>
              </w:rPr>
            </w:pPr>
            <w:r>
              <w:rPr>
                <w:sz w:val="18"/>
              </w:rPr>
              <w:t>515,381</w:t>
            </w:r>
          </w:p>
        </w:tc>
        <w:tc>
          <w:tcPr>
            <w:tcW w:w="1426" w:type="dxa"/>
          </w:tcPr>
          <w:p>
            <w:pPr>
              <w:pStyle w:val="TableParagraph"/>
              <w:spacing w:line="203" w:lineRule="exact"/>
              <w:ind w:right="161"/>
              <w:jc w:val="right"/>
              <w:rPr>
                <w:sz w:val="18"/>
              </w:rPr>
            </w:pPr>
            <w:r>
              <w:rPr>
                <w:sz w:val="18"/>
              </w:rPr>
              <w:t>Metropolitano</w:t>
            </w:r>
          </w:p>
        </w:tc>
      </w:tr>
      <w:tr>
        <w:trPr>
          <w:trHeight w:val="319" w:hRule="exact"/>
        </w:trPr>
        <w:tc>
          <w:tcPr>
            <w:tcW w:w="2501" w:type="dxa"/>
          </w:tcPr>
          <w:p>
            <w:pPr>
              <w:pStyle w:val="TableParagraph"/>
              <w:spacing w:line="199" w:lineRule="exact"/>
              <w:ind w:left="67" w:right="4"/>
              <w:jc w:val="left"/>
              <w:rPr>
                <w:b/>
                <w:sz w:val="18"/>
              </w:rPr>
            </w:pPr>
            <w:r>
              <w:rPr>
                <w:b/>
                <w:color w:val="333333"/>
                <w:sz w:val="18"/>
              </w:rPr>
              <w:t>CHIMALHUACAN</w:t>
            </w:r>
          </w:p>
        </w:tc>
        <w:tc>
          <w:tcPr>
            <w:tcW w:w="1039" w:type="dxa"/>
          </w:tcPr>
          <w:p>
            <w:pPr>
              <w:pStyle w:val="TableParagraph"/>
              <w:spacing w:line="203" w:lineRule="exact"/>
              <w:ind w:left="93" w:right="92"/>
              <w:rPr>
                <w:sz w:val="18"/>
              </w:rPr>
            </w:pPr>
            <w:r>
              <w:rPr>
                <w:sz w:val="18"/>
              </w:rPr>
              <w:t>525,389</w:t>
            </w:r>
          </w:p>
        </w:tc>
        <w:tc>
          <w:tcPr>
            <w:tcW w:w="1001" w:type="dxa"/>
          </w:tcPr>
          <w:p>
            <w:pPr>
              <w:pStyle w:val="TableParagraph"/>
              <w:spacing w:line="203" w:lineRule="exact"/>
              <w:ind w:left="73" w:right="72"/>
              <w:rPr>
                <w:sz w:val="18"/>
              </w:rPr>
            </w:pPr>
            <w:r>
              <w:rPr>
                <w:sz w:val="18"/>
              </w:rPr>
              <w:t>614,453</w:t>
            </w:r>
          </w:p>
        </w:tc>
        <w:tc>
          <w:tcPr>
            <w:tcW w:w="1001" w:type="dxa"/>
          </w:tcPr>
          <w:p>
            <w:pPr>
              <w:pStyle w:val="TableParagraph"/>
              <w:spacing w:line="203" w:lineRule="exact"/>
              <w:ind w:right="167"/>
              <w:jc w:val="right"/>
              <w:rPr>
                <w:sz w:val="18"/>
              </w:rPr>
            </w:pPr>
            <w:r>
              <w:rPr>
                <w:sz w:val="18"/>
              </w:rPr>
              <w:t>321,681</w:t>
            </w:r>
          </w:p>
        </w:tc>
        <w:tc>
          <w:tcPr>
            <w:tcW w:w="1426" w:type="dxa"/>
          </w:tcPr>
          <w:p>
            <w:pPr>
              <w:pStyle w:val="TableParagraph"/>
              <w:spacing w:line="203" w:lineRule="exact"/>
              <w:ind w:left="412" w:right="263"/>
              <w:jc w:val="left"/>
              <w:rPr>
                <w:sz w:val="18"/>
              </w:rPr>
            </w:pPr>
            <w:r>
              <w:rPr>
                <w:sz w:val="18"/>
              </w:rPr>
              <w:t>Urbano</w:t>
            </w:r>
          </w:p>
        </w:tc>
      </w:tr>
      <w:tr>
        <w:trPr>
          <w:trHeight w:val="631" w:hRule="exact"/>
        </w:trPr>
        <w:tc>
          <w:tcPr>
            <w:tcW w:w="2501" w:type="dxa"/>
          </w:tcPr>
          <w:p>
            <w:pPr>
              <w:pStyle w:val="TableParagraph"/>
              <w:spacing w:line="362" w:lineRule="auto"/>
              <w:ind w:left="67" w:right="4"/>
              <w:jc w:val="left"/>
              <w:rPr>
                <w:b/>
                <w:sz w:val="18"/>
              </w:rPr>
            </w:pPr>
            <w:r>
              <w:rPr>
                <w:b/>
                <w:color w:val="333333"/>
                <w:sz w:val="18"/>
              </w:rPr>
              <w:t>COACALCO DE BERRIOZABAL</w:t>
            </w:r>
          </w:p>
        </w:tc>
        <w:tc>
          <w:tcPr>
            <w:tcW w:w="1039" w:type="dxa"/>
          </w:tcPr>
          <w:p>
            <w:pPr>
              <w:pStyle w:val="TableParagraph"/>
              <w:spacing w:before="3"/>
              <w:jc w:val="left"/>
              <w:rPr>
                <w:rFonts w:ascii="Calibri"/>
                <w:sz w:val="25"/>
              </w:rPr>
            </w:pPr>
          </w:p>
          <w:p>
            <w:pPr>
              <w:pStyle w:val="TableParagraph"/>
              <w:ind w:left="93" w:right="92"/>
              <w:rPr>
                <w:sz w:val="18"/>
              </w:rPr>
            </w:pPr>
            <w:r>
              <w:rPr>
                <w:sz w:val="18"/>
              </w:rPr>
              <w:t>285,943</w:t>
            </w:r>
          </w:p>
        </w:tc>
        <w:tc>
          <w:tcPr>
            <w:tcW w:w="1001" w:type="dxa"/>
          </w:tcPr>
          <w:p>
            <w:pPr>
              <w:pStyle w:val="TableParagraph"/>
              <w:spacing w:before="3"/>
              <w:jc w:val="left"/>
              <w:rPr>
                <w:rFonts w:ascii="Calibri"/>
                <w:sz w:val="25"/>
              </w:rPr>
            </w:pPr>
          </w:p>
          <w:p>
            <w:pPr>
              <w:pStyle w:val="TableParagraph"/>
              <w:ind w:left="73" w:right="73"/>
              <w:rPr>
                <w:sz w:val="18"/>
              </w:rPr>
            </w:pPr>
            <w:r>
              <w:rPr>
                <w:sz w:val="18"/>
              </w:rPr>
              <w:t>278,064</w:t>
            </w:r>
          </w:p>
        </w:tc>
        <w:tc>
          <w:tcPr>
            <w:tcW w:w="1001" w:type="dxa"/>
          </w:tcPr>
          <w:p>
            <w:pPr>
              <w:pStyle w:val="TableParagraph"/>
              <w:spacing w:before="3"/>
              <w:jc w:val="left"/>
              <w:rPr>
                <w:rFonts w:ascii="Calibri"/>
                <w:sz w:val="25"/>
              </w:rPr>
            </w:pPr>
          </w:p>
          <w:p>
            <w:pPr>
              <w:pStyle w:val="TableParagraph"/>
              <w:ind w:right="217"/>
              <w:jc w:val="right"/>
              <w:rPr>
                <w:sz w:val="18"/>
              </w:rPr>
            </w:pPr>
            <w:r>
              <w:rPr>
                <w:sz w:val="18"/>
              </w:rPr>
              <w:t>27,987</w:t>
            </w:r>
          </w:p>
        </w:tc>
        <w:tc>
          <w:tcPr>
            <w:tcW w:w="1426" w:type="dxa"/>
          </w:tcPr>
          <w:p>
            <w:pPr>
              <w:pStyle w:val="TableParagraph"/>
              <w:spacing w:line="203" w:lineRule="exact"/>
              <w:ind w:right="221"/>
              <w:jc w:val="right"/>
              <w:rPr>
                <w:sz w:val="18"/>
              </w:rPr>
            </w:pPr>
            <w:r>
              <w:rPr>
                <w:sz w:val="18"/>
              </w:rPr>
              <w:t>Semiurbano</w:t>
            </w:r>
          </w:p>
        </w:tc>
      </w:tr>
      <w:tr>
        <w:trPr>
          <w:trHeight w:val="322" w:hRule="exact"/>
        </w:trPr>
        <w:tc>
          <w:tcPr>
            <w:tcW w:w="2501" w:type="dxa"/>
          </w:tcPr>
          <w:p>
            <w:pPr>
              <w:pStyle w:val="TableParagraph"/>
              <w:spacing w:line="199" w:lineRule="exact"/>
              <w:ind w:left="67" w:right="4"/>
              <w:jc w:val="left"/>
              <w:rPr>
                <w:b/>
                <w:sz w:val="18"/>
              </w:rPr>
            </w:pPr>
            <w:r>
              <w:rPr>
                <w:b/>
                <w:color w:val="333333"/>
                <w:sz w:val="18"/>
              </w:rPr>
              <w:t>COATEPEC HARINAS</w:t>
            </w:r>
          </w:p>
        </w:tc>
        <w:tc>
          <w:tcPr>
            <w:tcW w:w="1039" w:type="dxa"/>
          </w:tcPr>
          <w:p>
            <w:pPr>
              <w:pStyle w:val="TableParagraph"/>
              <w:spacing w:line="203" w:lineRule="exact"/>
              <w:ind w:left="93" w:right="92"/>
              <w:rPr>
                <w:sz w:val="18"/>
              </w:rPr>
            </w:pPr>
            <w:r>
              <w:rPr>
                <w:sz w:val="18"/>
              </w:rPr>
              <w:t>31,860</w:t>
            </w:r>
          </w:p>
        </w:tc>
        <w:tc>
          <w:tcPr>
            <w:tcW w:w="1001" w:type="dxa"/>
          </w:tcPr>
          <w:p>
            <w:pPr>
              <w:pStyle w:val="TableParagraph"/>
              <w:spacing w:line="203" w:lineRule="exact"/>
              <w:ind w:left="73" w:right="73"/>
              <w:rPr>
                <w:sz w:val="18"/>
              </w:rPr>
            </w:pPr>
            <w:r>
              <w:rPr>
                <w:sz w:val="18"/>
              </w:rPr>
              <w:t>36,174</w:t>
            </w:r>
          </w:p>
        </w:tc>
        <w:tc>
          <w:tcPr>
            <w:tcW w:w="1001" w:type="dxa"/>
          </w:tcPr>
          <w:p>
            <w:pPr>
              <w:pStyle w:val="TableParagraph"/>
              <w:spacing w:line="203" w:lineRule="exact"/>
              <w:ind w:right="217"/>
              <w:jc w:val="right"/>
              <w:rPr>
                <w:sz w:val="18"/>
              </w:rPr>
            </w:pPr>
            <w:r>
              <w:rPr>
                <w:sz w:val="18"/>
              </w:rPr>
              <w:t>10,257</w:t>
            </w:r>
          </w:p>
        </w:tc>
        <w:tc>
          <w:tcPr>
            <w:tcW w:w="1426" w:type="dxa"/>
          </w:tcPr>
          <w:p>
            <w:pPr>
              <w:pStyle w:val="TableParagraph"/>
              <w:spacing w:line="203" w:lineRule="exact"/>
              <w:ind w:left="472" w:right="473"/>
              <w:rPr>
                <w:sz w:val="18"/>
              </w:rPr>
            </w:pPr>
            <w:r>
              <w:rPr>
                <w:sz w:val="18"/>
              </w:rPr>
              <w:t>Rural</w:t>
            </w:r>
          </w:p>
        </w:tc>
      </w:tr>
      <w:tr>
        <w:trPr>
          <w:trHeight w:val="320" w:hRule="exact"/>
        </w:trPr>
        <w:tc>
          <w:tcPr>
            <w:tcW w:w="2501" w:type="dxa"/>
          </w:tcPr>
          <w:p>
            <w:pPr>
              <w:pStyle w:val="TableParagraph"/>
              <w:spacing w:line="199" w:lineRule="exact"/>
              <w:ind w:left="67" w:right="4"/>
              <w:jc w:val="left"/>
              <w:rPr>
                <w:b/>
                <w:sz w:val="18"/>
              </w:rPr>
            </w:pPr>
            <w:r>
              <w:rPr>
                <w:b/>
                <w:color w:val="333333"/>
                <w:sz w:val="18"/>
              </w:rPr>
              <w:t>COCOTITLAN</w:t>
            </w:r>
          </w:p>
        </w:tc>
        <w:tc>
          <w:tcPr>
            <w:tcW w:w="1039" w:type="dxa"/>
          </w:tcPr>
          <w:p>
            <w:pPr>
              <w:pStyle w:val="TableParagraph"/>
              <w:spacing w:line="204" w:lineRule="exact"/>
              <w:ind w:left="93" w:right="92"/>
              <w:rPr>
                <w:sz w:val="18"/>
              </w:rPr>
            </w:pPr>
            <w:r>
              <w:rPr>
                <w:sz w:val="18"/>
              </w:rPr>
              <w:t>12,120</w:t>
            </w:r>
          </w:p>
        </w:tc>
        <w:tc>
          <w:tcPr>
            <w:tcW w:w="1001" w:type="dxa"/>
          </w:tcPr>
          <w:p>
            <w:pPr>
              <w:pStyle w:val="TableParagraph"/>
              <w:spacing w:line="204" w:lineRule="exact"/>
              <w:ind w:left="73" w:right="73"/>
              <w:rPr>
                <w:sz w:val="18"/>
              </w:rPr>
            </w:pPr>
            <w:r>
              <w:rPr>
                <w:sz w:val="18"/>
              </w:rPr>
              <w:t>12,142</w:t>
            </w:r>
          </w:p>
        </w:tc>
        <w:tc>
          <w:tcPr>
            <w:tcW w:w="1001" w:type="dxa"/>
          </w:tcPr>
          <w:p>
            <w:pPr>
              <w:pStyle w:val="TableParagraph"/>
              <w:spacing w:line="204" w:lineRule="exact"/>
              <w:ind w:right="217"/>
              <w:jc w:val="right"/>
              <w:rPr>
                <w:sz w:val="18"/>
              </w:rPr>
            </w:pPr>
            <w:r>
              <w:rPr>
                <w:sz w:val="18"/>
              </w:rPr>
              <w:t>26,947</w:t>
            </w:r>
          </w:p>
        </w:tc>
        <w:tc>
          <w:tcPr>
            <w:tcW w:w="1426" w:type="dxa"/>
          </w:tcPr>
          <w:p>
            <w:pPr>
              <w:pStyle w:val="TableParagraph"/>
              <w:spacing w:line="204" w:lineRule="exact"/>
              <w:ind w:right="221"/>
              <w:jc w:val="right"/>
              <w:rPr>
                <w:sz w:val="18"/>
              </w:rPr>
            </w:pPr>
            <w:r>
              <w:rPr>
                <w:sz w:val="18"/>
              </w:rPr>
              <w:t>Semiurbano</w:t>
            </w:r>
          </w:p>
        </w:tc>
      </w:tr>
      <w:tr>
        <w:trPr>
          <w:trHeight w:val="322" w:hRule="exact"/>
        </w:trPr>
        <w:tc>
          <w:tcPr>
            <w:tcW w:w="2501" w:type="dxa"/>
          </w:tcPr>
          <w:p>
            <w:pPr>
              <w:pStyle w:val="TableParagraph"/>
              <w:spacing w:line="199" w:lineRule="exact"/>
              <w:ind w:left="67" w:right="4"/>
              <w:jc w:val="left"/>
              <w:rPr>
                <w:b/>
                <w:sz w:val="18"/>
              </w:rPr>
            </w:pPr>
            <w:r>
              <w:rPr>
                <w:b/>
                <w:color w:val="333333"/>
                <w:sz w:val="18"/>
              </w:rPr>
              <w:t>COYOTEPEC</w:t>
            </w:r>
          </w:p>
        </w:tc>
        <w:tc>
          <w:tcPr>
            <w:tcW w:w="1039" w:type="dxa"/>
          </w:tcPr>
          <w:p>
            <w:pPr>
              <w:pStyle w:val="TableParagraph"/>
              <w:spacing w:line="203" w:lineRule="exact"/>
              <w:ind w:left="93" w:right="92"/>
              <w:rPr>
                <w:sz w:val="18"/>
              </w:rPr>
            </w:pPr>
            <w:r>
              <w:rPr>
                <w:sz w:val="18"/>
              </w:rPr>
              <w:t>39,341</w:t>
            </w:r>
          </w:p>
        </w:tc>
        <w:tc>
          <w:tcPr>
            <w:tcW w:w="1001" w:type="dxa"/>
          </w:tcPr>
          <w:p>
            <w:pPr>
              <w:pStyle w:val="TableParagraph"/>
              <w:spacing w:line="203" w:lineRule="exact"/>
              <w:ind w:left="73" w:right="73"/>
              <w:rPr>
                <w:sz w:val="18"/>
              </w:rPr>
            </w:pPr>
            <w:r>
              <w:rPr>
                <w:sz w:val="18"/>
              </w:rPr>
              <w:t>39,030</w:t>
            </w:r>
          </w:p>
        </w:tc>
        <w:tc>
          <w:tcPr>
            <w:tcW w:w="1001" w:type="dxa"/>
          </w:tcPr>
          <w:p>
            <w:pPr>
              <w:pStyle w:val="TableParagraph"/>
              <w:spacing w:line="203" w:lineRule="exact"/>
              <w:ind w:right="167"/>
              <w:jc w:val="right"/>
              <w:rPr>
                <w:sz w:val="18"/>
              </w:rPr>
            </w:pPr>
            <w:r>
              <w:rPr>
                <w:sz w:val="18"/>
              </w:rPr>
              <w:t>192,621</w:t>
            </w:r>
          </w:p>
        </w:tc>
        <w:tc>
          <w:tcPr>
            <w:tcW w:w="1426" w:type="dxa"/>
          </w:tcPr>
          <w:p>
            <w:pPr>
              <w:pStyle w:val="TableParagraph"/>
              <w:spacing w:line="203" w:lineRule="exact"/>
              <w:ind w:left="412" w:right="263"/>
              <w:jc w:val="left"/>
              <w:rPr>
                <w:sz w:val="18"/>
              </w:rPr>
            </w:pPr>
            <w:r>
              <w:rPr>
                <w:sz w:val="18"/>
              </w:rPr>
              <w:t>Urbano</w:t>
            </w:r>
          </w:p>
        </w:tc>
      </w:tr>
      <w:tr>
        <w:trPr>
          <w:trHeight w:val="319" w:hRule="exact"/>
        </w:trPr>
        <w:tc>
          <w:tcPr>
            <w:tcW w:w="2501" w:type="dxa"/>
          </w:tcPr>
          <w:p>
            <w:pPr>
              <w:pStyle w:val="TableParagraph"/>
              <w:spacing w:line="199" w:lineRule="exact"/>
              <w:ind w:left="67" w:right="4"/>
              <w:jc w:val="left"/>
              <w:rPr>
                <w:b/>
                <w:sz w:val="18"/>
              </w:rPr>
            </w:pPr>
            <w:r>
              <w:rPr>
                <w:b/>
                <w:color w:val="333333"/>
                <w:sz w:val="18"/>
              </w:rPr>
              <w:t>CUAUTITLAN</w:t>
            </w:r>
          </w:p>
        </w:tc>
        <w:tc>
          <w:tcPr>
            <w:tcW w:w="1039" w:type="dxa"/>
          </w:tcPr>
          <w:p>
            <w:pPr>
              <w:pStyle w:val="TableParagraph"/>
              <w:spacing w:line="203" w:lineRule="exact"/>
              <w:ind w:left="93" w:right="92"/>
              <w:rPr>
                <w:sz w:val="18"/>
              </w:rPr>
            </w:pPr>
            <w:r>
              <w:rPr>
                <w:sz w:val="18"/>
              </w:rPr>
              <w:t>110,345</w:t>
            </w:r>
          </w:p>
        </w:tc>
        <w:tc>
          <w:tcPr>
            <w:tcW w:w="1001" w:type="dxa"/>
          </w:tcPr>
          <w:p>
            <w:pPr>
              <w:pStyle w:val="TableParagraph"/>
              <w:spacing w:line="203" w:lineRule="exact"/>
              <w:ind w:left="73" w:right="73"/>
              <w:rPr>
                <w:sz w:val="18"/>
              </w:rPr>
            </w:pPr>
            <w:r>
              <w:rPr>
                <w:sz w:val="18"/>
              </w:rPr>
              <w:t>140,059</w:t>
            </w:r>
          </w:p>
        </w:tc>
        <w:tc>
          <w:tcPr>
            <w:tcW w:w="1001" w:type="dxa"/>
          </w:tcPr>
          <w:p>
            <w:pPr>
              <w:pStyle w:val="TableParagraph"/>
              <w:spacing w:line="203" w:lineRule="exact"/>
              <w:ind w:right="217"/>
              <w:jc w:val="right"/>
              <w:rPr>
                <w:sz w:val="18"/>
              </w:rPr>
            </w:pPr>
            <w:r>
              <w:rPr>
                <w:sz w:val="18"/>
              </w:rPr>
              <w:t>23,329</w:t>
            </w:r>
          </w:p>
        </w:tc>
        <w:tc>
          <w:tcPr>
            <w:tcW w:w="1426" w:type="dxa"/>
          </w:tcPr>
          <w:p>
            <w:pPr>
              <w:pStyle w:val="TableParagraph"/>
              <w:spacing w:line="203" w:lineRule="exact"/>
              <w:ind w:left="472" w:right="473"/>
              <w:rPr>
                <w:sz w:val="18"/>
              </w:rPr>
            </w:pPr>
            <w:r>
              <w:rPr>
                <w:sz w:val="18"/>
              </w:rPr>
              <w:t>Rural</w:t>
            </w:r>
          </w:p>
        </w:tc>
      </w:tr>
      <w:tr>
        <w:trPr>
          <w:trHeight w:val="322" w:hRule="exact"/>
        </w:trPr>
        <w:tc>
          <w:tcPr>
            <w:tcW w:w="2501" w:type="dxa"/>
          </w:tcPr>
          <w:p>
            <w:pPr>
              <w:pStyle w:val="TableParagraph"/>
              <w:spacing w:line="199" w:lineRule="exact"/>
              <w:ind w:left="67" w:right="4"/>
              <w:jc w:val="left"/>
              <w:rPr>
                <w:b/>
                <w:sz w:val="18"/>
              </w:rPr>
            </w:pPr>
            <w:r>
              <w:rPr>
                <w:b/>
                <w:color w:val="333333"/>
                <w:sz w:val="18"/>
              </w:rPr>
              <w:t>CUAUTITLAN IZCALLI</w:t>
            </w:r>
          </w:p>
        </w:tc>
        <w:tc>
          <w:tcPr>
            <w:tcW w:w="1039" w:type="dxa"/>
          </w:tcPr>
          <w:p>
            <w:pPr>
              <w:pStyle w:val="TableParagraph"/>
              <w:spacing w:line="203" w:lineRule="exact"/>
              <w:ind w:left="93" w:right="92"/>
              <w:rPr>
                <w:sz w:val="18"/>
              </w:rPr>
            </w:pPr>
            <w:r>
              <w:rPr>
                <w:sz w:val="18"/>
              </w:rPr>
              <w:t>498,021</w:t>
            </w:r>
          </w:p>
        </w:tc>
        <w:tc>
          <w:tcPr>
            <w:tcW w:w="1001" w:type="dxa"/>
          </w:tcPr>
          <w:p>
            <w:pPr>
              <w:pStyle w:val="TableParagraph"/>
              <w:spacing w:line="203" w:lineRule="exact"/>
              <w:ind w:left="73" w:right="73"/>
              <w:rPr>
                <w:sz w:val="18"/>
              </w:rPr>
            </w:pPr>
            <w:r>
              <w:rPr>
                <w:sz w:val="18"/>
              </w:rPr>
              <w:t>511,675</w:t>
            </w:r>
          </w:p>
        </w:tc>
        <w:tc>
          <w:tcPr>
            <w:tcW w:w="1001" w:type="dxa"/>
          </w:tcPr>
          <w:p>
            <w:pPr>
              <w:pStyle w:val="TableParagraph"/>
              <w:spacing w:line="203" w:lineRule="exact"/>
              <w:ind w:right="167"/>
              <w:jc w:val="right"/>
              <w:rPr>
                <w:sz w:val="18"/>
              </w:rPr>
            </w:pPr>
            <w:r>
              <w:rPr>
                <w:sz w:val="18"/>
              </w:rPr>
              <w:t>627,080</w:t>
            </w:r>
          </w:p>
        </w:tc>
        <w:tc>
          <w:tcPr>
            <w:tcW w:w="1426" w:type="dxa"/>
          </w:tcPr>
          <w:p>
            <w:pPr>
              <w:pStyle w:val="TableParagraph"/>
              <w:spacing w:line="203" w:lineRule="exact"/>
              <w:ind w:right="161"/>
              <w:jc w:val="right"/>
              <w:rPr>
                <w:sz w:val="18"/>
              </w:rPr>
            </w:pPr>
            <w:r>
              <w:rPr>
                <w:sz w:val="18"/>
              </w:rPr>
              <w:t>Metropolitano</w:t>
            </w:r>
          </w:p>
        </w:tc>
      </w:tr>
      <w:tr>
        <w:trPr>
          <w:trHeight w:val="319" w:hRule="exact"/>
        </w:trPr>
        <w:tc>
          <w:tcPr>
            <w:tcW w:w="2501" w:type="dxa"/>
          </w:tcPr>
          <w:p>
            <w:pPr>
              <w:pStyle w:val="TableParagraph"/>
              <w:spacing w:line="199" w:lineRule="exact"/>
              <w:ind w:left="67" w:right="4"/>
              <w:jc w:val="left"/>
              <w:rPr>
                <w:b/>
                <w:sz w:val="18"/>
              </w:rPr>
            </w:pPr>
            <w:r>
              <w:rPr>
                <w:b/>
                <w:color w:val="333333"/>
                <w:sz w:val="18"/>
              </w:rPr>
              <w:t>DONATO GUERRA</w:t>
            </w:r>
          </w:p>
        </w:tc>
        <w:tc>
          <w:tcPr>
            <w:tcW w:w="1039" w:type="dxa"/>
          </w:tcPr>
          <w:p>
            <w:pPr>
              <w:pStyle w:val="TableParagraph"/>
              <w:spacing w:line="203" w:lineRule="exact"/>
              <w:ind w:left="93" w:right="92"/>
              <w:rPr>
                <w:sz w:val="18"/>
              </w:rPr>
            </w:pPr>
            <w:r>
              <w:rPr>
                <w:sz w:val="18"/>
              </w:rPr>
              <w:t>29,621</w:t>
            </w:r>
          </w:p>
        </w:tc>
        <w:tc>
          <w:tcPr>
            <w:tcW w:w="1001" w:type="dxa"/>
          </w:tcPr>
          <w:p>
            <w:pPr>
              <w:pStyle w:val="TableParagraph"/>
              <w:spacing w:line="203" w:lineRule="exact"/>
              <w:ind w:left="73" w:right="73"/>
              <w:rPr>
                <w:sz w:val="18"/>
              </w:rPr>
            </w:pPr>
            <w:r>
              <w:rPr>
                <w:sz w:val="18"/>
              </w:rPr>
              <w:t>33,455</w:t>
            </w:r>
          </w:p>
        </w:tc>
        <w:tc>
          <w:tcPr>
            <w:tcW w:w="1001" w:type="dxa"/>
          </w:tcPr>
          <w:p>
            <w:pPr>
              <w:pStyle w:val="TableParagraph"/>
              <w:spacing w:line="203" w:lineRule="exact"/>
              <w:ind w:right="217"/>
              <w:jc w:val="right"/>
              <w:rPr>
                <w:sz w:val="18"/>
              </w:rPr>
            </w:pPr>
            <w:r>
              <w:rPr>
                <w:sz w:val="18"/>
              </w:rPr>
              <w:t>33,940</w:t>
            </w:r>
          </w:p>
        </w:tc>
        <w:tc>
          <w:tcPr>
            <w:tcW w:w="1426" w:type="dxa"/>
          </w:tcPr>
          <w:p>
            <w:pPr>
              <w:pStyle w:val="TableParagraph"/>
              <w:spacing w:line="203" w:lineRule="exact"/>
              <w:ind w:right="221"/>
              <w:jc w:val="right"/>
              <w:rPr>
                <w:sz w:val="18"/>
              </w:rPr>
            </w:pPr>
            <w:r>
              <w:rPr>
                <w:sz w:val="18"/>
              </w:rPr>
              <w:t>Semiurbano</w:t>
            </w:r>
          </w:p>
        </w:tc>
      </w:tr>
    </w:tbl>
    <w:p>
      <w:pPr>
        <w:spacing w:after="0" w:line="203" w:lineRule="exact"/>
        <w:jc w:val="right"/>
        <w:rPr>
          <w:sz w:val="18"/>
        </w:rPr>
        <w:sectPr>
          <w:pgSz w:w="12240" w:h="15840"/>
          <w:pgMar w:header="0" w:footer="975" w:top="1420" w:bottom="1160" w:left="1720" w:right="1720"/>
        </w:sectPr>
      </w:pPr>
    </w:p>
    <w:p>
      <w:pPr>
        <w:pStyle w:val="BodyText"/>
        <w:rPr>
          <w:rFonts w:ascii="Times New Roman"/>
          <w:sz w:val="20"/>
        </w:rPr>
      </w:pPr>
    </w:p>
    <w:p>
      <w:pPr>
        <w:pStyle w:val="BodyText"/>
        <w:spacing w:before="11"/>
        <w:rPr>
          <w:rFonts w:ascii="Times New Roman"/>
          <w:sz w:val="11"/>
        </w:rPr>
      </w:pPr>
    </w:p>
    <w:tbl>
      <w:tblPr>
        <w:tblW w:w="0" w:type="auto"/>
        <w:jc w:val="left"/>
        <w:tblInd w:w="9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01"/>
        <w:gridCol w:w="1039"/>
        <w:gridCol w:w="1001"/>
        <w:gridCol w:w="1001"/>
        <w:gridCol w:w="1426"/>
      </w:tblGrid>
      <w:tr>
        <w:trPr>
          <w:trHeight w:val="631" w:hRule="exact"/>
        </w:trPr>
        <w:tc>
          <w:tcPr>
            <w:tcW w:w="6969" w:type="dxa"/>
            <w:gridSpan w:val="5"/>
            <w:shd w:val="clear" w:color="auto" w:fill="92D050"/>
          </w:tcPr>
          <w:p>
            <w:pPr>
              <w:pStyle w:val="TableParagraph"/>
              <w:spacing w:line="360" w:lineRule="auto"/>
              <w:ind w:left="2410" w:right="275" w:hanging="2118"/>
              <w:jc w:val="left"/>
              <w:rPr>
                <w:b/>
                <w:sz w:val="18"/>
              </w:rPr>
            </w:pPr>
            <w:r>
              <w:rPr>
                <w:b/>
                <w:sz w:val="18"/>
              </w:rPr>
              <w:t>Tabla 1.15. Clasificación de los municipios del Estado de México según su población (continuación)</w:t>
            </w:r>
          </w:p>
        </w:tc>
      </w:tr>
      <w:tr>
        <w:trPr>
          <w:trHeight w:val="631" w:hRule="exact"/>
        </w:trPr>
        <w:tc>
          <w:tcPr>
            <w:tcW w:w="2501" w:type="dxa"/>
            <w:shd w:val="clear" w:color="auto" w:fill="92D050"/>
          </w:tcPr>
          <w:p>
            <w:pPr>
              <w:pStyle w:val="TableParagraph"/>
              <w:spacing w:before="5"/>
              <w:jc w:val="left"/>
              <w:rPr>
                <w:rFonts w:ascii="Times New Roman"/>
                <w:sz w:val="26"/>
              </w:rPr>
            </w:pPr>
          </w:p>
          <w:p>
            <w:pPr>
              <w:pStyle w:val="TableParagraph"/>
              <w:ind w:left="825" w:right="4"/>
              <w:jc w:val="left"/>
              <w:rPr>
                <w:b/>
                <w:sz w:val="18"/>
              </w:rPr>
            </w:pPr>
            <w:r>
              <w:rPr>
                <w:b/>
                <w:sz w:val="18"/>
              </w:rPr>
              <w:t>Municipio</w:t>
            </w:r>
          </w:p>
        </w:tc>
        <w:tc>
          <w:tcPr>
            <w:tcW w:w="1039" w:type="dxa"/>
            <w:shd w:val="clear" w:color="auto" w:fill="92D050"/>
          </w:tcPr>
          <w:p>
            <w:pPr>
              <w:pStyle w:val="TableParagraph"/>
              <w:spacing w:line="360" w:lineRule="auto"/>
              <w:ind w:left="314" w:right="66" w:hanging="231"/>
              <w:jc w:val="left"/>
              <w:rPr>
                <w:b/>
                <w:sz w:val="18"/>
              </w:rPr>
            </w:pPr>
            <w:r>
              <w:rPr>
                <w:b/>
                <w:sz w:val="18"/>
              </w:rPr>
              <w:t>Población 2005</w:t>
            </w:r>
          </w:p>
        </w:tc>
        <w:tc>
          <w:tcPr>
            <w:tcW w:w="1001" w:type="dxa"/>
            <w:shd w:val="clear" w:color="auto" w:fill="92D050"/>
          </w:tcPr>
          <w:p>
            <w:pPr>
              <w:pStyle w:val="TableParagraph"/>
              <w:spacing w:line="360" w:lineRule="auto"/>
              <w:ind w:left="295" w:right="47" w:hanging="231"/>
              <w:jc w:val="left"/>
              <w:rPr>
                <w:b/>
                <w:sz w:val="18"/>
              </w:rPr>
            </w:pPr>
            <w:r>
              <w:rPr>
                <w:b/>
                <w:sz w:val="18"/>
              </w:rPr>
              <w:t>Población 2010</w:t>
            </w:r>
          </w:p>
        </w:tc>
        <w:tc>
          <w:tcPr>
            <w:tcW w:w="1001" w:type="dxa"/>
            <w:shd w:val="clear" w:color="auto" w:fill="92D050"/>
          </w:tcPr>
          <w:p>
            <w:pPr>
              <w:pStyle w:val="TableParagraph"/>
              <w:spacing w:line="360" w:lineRule="auto"/>
              <w:ind w:left="295" w:right="47" w:hanging="231"/>
              <w:jc w:val="left"/>
              <w:rPr>
                <w:b/>
                <w:sz w:val="18"/>
              </w:rPr>
            </w:pPr>
            <w:r>
              <w:rPr>
                <w:b/>
                <w:sz w:val="18"/>
              </w:rPr>
              <w:t>Población 2012</w:t>
            </w:r>
          </w:p>
        </w:tc>
        <w:tc>
          <w:tcPr>
            <w:tcW w:w="1426" w:type="dxa"/>
            <w:shd w:val="clear" w:color="auto" w:fill="92D050"/>
          </w:tcPr>
          <w:p>
            <w:pPr>
              <w:pStyle w:val="TableParagraph"/>
              <w:spacing w:line="360" w:lineRule="auto"/>
              <w:ind w:left="283" w:right="263" w:firstLine="103"/>
              <w:jc w:val="left"/>
              <w:rPr>
                <w:b/>
                <w:sz w:val="18"/>
              </w:rPr>
            </w:pPr>
            <w:r>
              <w:rPr>
                <w:b/>
                <w:sz w:val="18"/>
              </w:rPr>
              <w:t>Tipo de municipio</w:t>
            </w:r>
          </w:p>
        </w:tc>
      </w:tr>
      <w:tr>
        <w:trPr>
          <w:trHeight w:val="319" w:hRule="exact"/>
        </w:trPr>
        <w:tc>
          <w:tcPr>
            <w:tcW w:w="2501" w:type="dxa"/>
          </w:tcPr>
          <w:p>
            <w:pPr>
              <w:pStyle w:val="TableParagraph"/>
              <w:spacing w:line="201" w:lineRule="exact"/>
              <w:ind w:left="67" w:right="4"/>
              <w:jc w:val="left"/>
              <w:rPr>
                <w:b/>
                <w:sz w:val="18"/>
              </w:rPr>
            </w:pPr>
            <w:r>
              <w:rPr>
                <w:b/>
                <w:color w:val="333333"/>
                <w:sz w:val="18"/>
              </w:rPr>
              <w:t>ECATEPEC DE MORELOS</w:t>
            </w:r>
          </w:p>
        </w:tc>
        <w:tc>
          <w:tcPr>
            <w:tcW w:w="1039" w:type="dxa"/>
          </w:tcPr>
          <w:p>
            <w:pPr>
              <w:pStyle w:val="TableParagraph"/>
              <w:spacing w:line="206" w:lineRule="exact"/>
              <w:ind w:left="93" w:right="94"/>
              <w:rPr>
                <w:sz w:val="18"/>
              </w:rPr>
            </w:pPr>
            <w:r>
              <w:rPr>
                <w:sz w:val="18"/>
              </w:rPr>
              <w:t>1,688,258</w:t>
            </w:r>
          </w:p>
        </w:tc>
        <w:tc>
          <w:tcPr>
            <w:tcW w:w="1001" w:type="dxa"/>
          </w:tcPr>
          <w:p>
            <w:pPr>
              <w:pStyle w:val="TableParagraph"/>
              <w:spacing w:line="206" w:lineRule="exact"/>
              <w:ind w:right="93"/>
              <w:jc w:val="right"/>
              <w:rPr>
                <w:sz w:val="18"/>
              </w:rPr>
            </w:pPr>
            <w:r>
              <w:rPr>
                <w:sz w:val="18"/>
              </w:rPr>
              <w:t>1,656,107</w:t>
            </w:r>
          </w:p>
        </w:tc>
        <w:tc>
          <w:tcPr>
            <w:tcW w:w="1001" w:type="dxa"/>
          </w:tcPr>
          <w:p>
            <w:pPr>
              <w:pStyle w:val="TableParagraph"/>
              <w:spacing w:line="206" w:lineRule="exact"/>
              <w:ind w:right="93"/>
              <w:jc w:val="right"/>
              <w:rPr>
                <w:sz w:val="18"/>
              </w:rPr>
            </w:pPr>
            <w:r>
              <w:rPr>
                <w:sz w:val="18"/>
              </w:rPr>
              <w:t>1,646,967</w:t>
            </w:r>
          </w:p>
        </w:tc>
        <w:tc>
          <w:tcPr>
            <w:tcW w:w="1426" w:type="dxa"/>
          </w:tcPr>
          <w:p>
            <w:pPr>
              <w:pStyle w:val="TableParagraph"/>
              <w:spacing w:line="206" w:lineRule="exact"/>
              <w:ind w:right="161"/>
              <w:jc w:val="right"/>
              <w:rPr>
                <w:sz w:val="18"/>
              </w:rPr>
            </w:pPr>
            <w:r>
              <w:rPr>
                <w:sz w:val="18"/>
              </w:rPr>
              <w:t>Metropolitano</w:t>
            </w:r>
          </w:p>
        </w:tc>
      </w:tr>
      <w:tr>
        <w:trPr>
          <w:trHeight w:val="322" w:hRule="exact"/>
        </w:trPr>
        <w:tc>
          <w:tcPr>
            <w:tcW w:w="2501" w:type="dxa"/>
          </w:tcPr>
          <w:p>
            <w:pPr>
              <w:pStyle w:val="TableParagraph"/>
              <w:spacing w:line="201" w:lineRule="exact"/>
              <w:ind w:left="67" w:right="4"/>
              <w:jc w:val="left"/>
              <w:rPr>
                <w:b/>
                <w:sz w:val="18"/>
              </w:rPr>
            </w:pPr>
            <w:r>
              <w:rPr>
                <w:b/>
                <w:color w:val="333333"/>
                <w:sz w:val="18"/>
              </w:rPr>
              <w:t>ECATZINGO</w:t>
            </w:r>
          </w:p>
        </w:tc>
        <w:tc>
          <w:tcPr>
            <w:tcW w:w="1039" w:type="dxa"/>
          </w:tcPr>
          <w:p>
            <w:pPr>
              <w:pStyle w:val="TableParagraph"/>
              <w:spacing w:line="206" w:lineRule="exact"/>
              <w:ind w:left="93" w:right="94"/>
              <w:rPr>
                <w:sz w:val="18"/>
              </w:rPr>
            </w:pPr>
            <w:r>
              <w:rPr>
                <w:sz w:val="18"/>
              </w:rPr>
              <w:t>8,247</w:t>
            </w:r>
          </w:p>
        </w:tc>
        <w:tc>
          <w:tcPr>
            <w:tcW w:w="1001" w:type="dxa"/>
          </w:tcPr>
          <w:p>
            <w:pPr>
              <w:pStyle w:val="TableParagraph"/>
              <w:spacing w:line="206" w:lineRule="exact"/>
              <w:ind w:left="268" w:right="47"/>
              <w:jc w:val="left"/>
              <w:rPr>
                <w:sz w:val="18"/>
              </w:rPr>
            </w:pPr>
            <w:r>
              <w:rPr>
                <w:sz w:val="18"/>
              </w:rPr>
              <w:t>9,369</w:t>
            </w:r>
          </w:p>
        </w:tc>
        <w:tc>
          <w:tcPr>
            <w:tcW w:w="1001" w:type="dxa"/>
          </w:tcPr>
          <w:p>
            <w:pPr>
              <w:pStyle w:val="TableParagraph"/>
              <w:spacing w:line="206" w:lineRule="exact"/>
              <w:ind w:left="268" w:right="47"/>
              <w:jc w:val="left"/>
              <w:rPr>
                <w:sz w:val="18"/>
              </w:rPr>
            </w:pPr>
            <w:r>
              <w:rPr>
                <w:sz w:val="18"/>
              </w:rPr>
              <w:t>9,494</w:t>
            </w:r>
          </w:p>
        </w:tc>
        <w:tc>
          <w:tcPr>
            <w:tcW w:w="1426" w:type="dxa"/>
          </w:tcPr>
          <w:p>
            <w:pPr>
              <w:pStyle w:val="TableParagraph"/>
              <w:spacing w:line="206" w:lineRule="exact"/>
              <w:ind w:left="472" w:right="473"/>
              <w:rPr>
                <w:sz w:val="18"/>
              </w:rPr>
            </w:pPr>
            <w:r>
              <w:rPr>
                <w:sz w:val="18"/>
              </w:rPr>
              <w:t>Rural</w:t>
            </w:r>
          </w:p>
        </w:tc>
      </w:tr>
      <w:tr>
        <w:trPr>
          <w:trHeight w:val="319" w:hRule="exact"/>
        </w:trPr>
        <w:tc>
          <w:tcPr>
            <w:tcW w:w="2501" w:type="dxa"/>
          </w:tcPr>
          <w:p>
            <w:pPr>
              <w:pStyle w:val="TableParagraph"/>
              <w:spacing w:line="201" w:lineRule="exact"/>
              <w:ind w:left="67" w:right="4"/>
              <w:jc w:val="left"/>
              <w:rPr>
                <w:b/>
                <w:sz w:val="18"/>
              </w:rPr>
            </w:pPr>
            <w:r>
              <w:rPr>
                <w:b/>
                <w:color w:val="333333"/>
                <w:sz w:val="18"/>
              </w:rPr>
              <w:t>EL ORO</w:t>
            </w:r>
          </w:p>
        </w:tc>
        <w:tc>
          <w:tcPr>
            <w:tcW w:w="1039" w:type="dxa"/>
          </w:tcPr>
          <w:p>
            <w:pPr>
              <w:pStyle w:val="TableParagraph"/>
              <w:spacing w:line="206" w:lineRule="exact"/>
              <w:ind w:left="93" w:right="92"/>
              <w:rPr>
                <w:sz w:val="18"/>
              </w:rPr>
            </w:pPr>
            <w:r>
              <w:rPr>
                <w:sz w:val="18"/>
              </w:rPr>
              <w:t>31,847</w:t>
            </w:r>
          </w:p>
        </w:tc>
        <w:tc>
          <w:tcPr>
            <w:tcW w:w="1001" w:type="dxa"/>
          </w:tcPr>
          <w:p>
            <w:pPr>
              <w:pStyle w:val="TableParagraph"/>
              <w:spacing w:line="206" w:lineRule="exact"/>
              <w:ind w:left="220" w:right="47"/>
              <w:jc w:val="left"/>
              <w:rPr>
                <w:sz w:val="18"/>
              </w:rPr>
            </w:pPr>
            <w:r>
              <w:rPr>
                <w:sz w:val="18"/>
              </w:rPr>
              <w:t>34,446</w:t>
            </w:r>
          </w:p>
        </w:tc>
        <w:tc>
          <w:tcPr>
            <w:tcW w:w="1001" w:type="dxa"/>
          </w:tcPr>
          <w:p>
            <w:pPr>
              <w:pStyle w:val="TableParagraph"/>
              <w:spacing w:line="206" w:lineRule="exact"/>
              <w:ind w:left="220" w:right="47"/>
              <w:jc w:val="left"/>
              <w:rPr>
                <w:sz w:val="18"/>
              </w:rPr>
            </w:pPr>
            <w:r>
              <w:rPr>
                <w:sz w:val="18"/>
              </w:rPr>
              <w:t>34,711</w:t>
            </w:r>
          </w:p>
        </w:tc>
        <w:tc>
          <w:tcPr>
            <w:tcW w:w="1426" w:type="dxa"/>
          </w:tcPr>
          <w:p>
            <w:pPr>
              <w:pStyle w:val="TableParagraph"/>
              <w:spacing w:line="206" w:lineRule="exact"/>
              <w:ind w:right="221"/>
              <w:jc w:val="right"/>
              <w:rPr>
                <w:sz w:val="18"/>
              </w:rPr>
            </w:pPr>
            <w:r>
              <w:rPr>
                <w:sz w:val="18"/>
              </w:rPr>
              <w:t>Semiurbano</w:t>
            </w:r>
          </w:p>
        </w:tc>
      </w:tr>
      <w:tr>
        <w:trPr>
          <w:trHeight w:val="322" w:hRule="exact"/>
        </w:trPr>
        <w:tc>
          <w:tcPr>
            <w:tcW w:w="2501" w:type="dxa"/>
          </w:tcPr>
          <w:p>
            <w:pPr>
              <w:pStyle w:val="TableParagraph"/>
              <w:spacing w:line="201" w:lineRule="exact"/>
              <w:ind w:left="67" w:right="4"/>
              <w:jc w:val="left"/>
              <w:rPr>
                <w:b/>
                <w:sz w:val="18"/>
              </w:rPr>
            </w:pPr>
            <w:r>
              <w:rPr>
                <w:b/>
                <w:color w:val="333333"/>
                <w:sz w:val="18"/>
              </w:rPr>
              <w:t>HUEHUETOCA</w:t>
            </w:r>
          </w:p>
        </w:tc>
        <w:tc>
          <w:tcPr>
            <w:tcW w:w="1039" w:type="dxa"/>
          </w:tcPr>
          <w:p>
            <w:pPr>
              <w:pStyle w:val="TableParagraph"/>
              <w:spacing w:line="206" w:lineRule="exact"/>
              <w:ind w:left="93" w:right="92"/>
              <w:rPr>
                <w:sz w:val="18"/>
              </w:rPr>
            </w:pPr>
            <w:r>
              <w:rPr>
                <w:sz w:val="18"/>
              </w:rPr>
              <w:t>59,721</w:t>
            </w:r>
          </w:p>
        </w:tc>
        <w:tc>
          <w:tcPr>
            <w:tcW w:w="1001" w:type="dxa"/>
          </w:tcPr>
          <w:p>
            <w:pPr>
              <w:pStyle w:val="TableParagraph"/>
              <w:spacing w:line="206" w:lineRule="exact"/>
              <w:ind w:right="167"/>
              <w:jc w:val="right"/>
              <w:rPr>
                <w:sz w:val="18"/>
              </w:rPr>
            </w:pPr>
            <w:r>
              <w:rPr>
                <w:sz w:val="18"/>
              </w:rPr>
              <w:t>100,023</w:t>
            </w:r>
          </w:p>
        </w:tc>
        <w:tc>
          <w:tcPr>
            <w:tcW w:w="1001" w:type="dxa"/>
          </w:tcPr>
          <w:p>
            <w:pPr>
              <w:pStyle w:val="TableParagraph"/>
              <w:spacing w:line="206" w:lineRule="exact"/>
              <w:ind w:right="167"/>
              <w:jc w:val="right"/>
              <w:rPr>
                <w:sz w:val="18"/>
              </w:rPr>
            </w:pPr>
            <w:r>
              <w:rPr>
                <w:sz w:val="18"/>
              </w:rPr>
              <w:t>112,108</w:t>
            </w:r>
          </w:p>
        </w:tc>
        <w:tc>
          <w:tcPr>
            <w:tcW w:w="1426" w:type="dxa"/>
          </w:tcPr>
          <w:p>
            <w:pPr>
              <w:pStyle w:val="TableParagraph"/>
              <w:spacing w:line="206" w:lineRule="exact"/>
              <w:ind w:left="412" w:right="263"/>
              <w:jc w:val="left"/>
              <w:rPr>
                <w:sz w:val="18"/>
              </w:rPr>
            </w:pPr>
            <w:r>
              <w:rPr>
                <w:sz w:val="18"/>
              </w:rPr>
              <w:t>Urbano</w:t>
            </w:r>
          </w:p>
        </w:tc>
      </w:tr>
      <w:tr>
        <w:trPr>
          <w:trHeight w:val="319" w:hRule="exact"/>
        </w:trPr>
        <w:tc>
          <w:tcPr>
            <w:tcW w:w="2501" w:type="dxa"/>
          </w:tcPr>
          <w:p>
            <w:pPr>
              <w:pStyle w:val="TableParagraph"/>
              <w:spacing w:line="201" w:lineRule="exact"/>
              <w:ind w:left="67" w:right="4"/>
              <w:jc w:val="left"/>
              <w:rPr>
                <w:b/>
                <w:sz w:val="18"/>
              </w:rPr>
            </w:pPr>
            <w:r>
              <w:rPr>
                <w:b/>
                <w:color w:val="333333"/>
                <w:sz w:val="18"/>
              </w:rPr>
              <w:t>HUEYPOXTLA</w:t>
            </w:r>
          </w:p>
        </w:tc>
        <w:tc>
          <w:tcPr>
            <w:tcW w:w="1039" w:type="dxa"/>
          </w:tcPr>
          <w:p>
            <w:pPr>
              <w:pStyle w:val="TableParagraph"/>
              <w:spacing w:line="206" w:lineRule="exact"/>
              <w:ind w:left="93" w:right="92"/>
              <w:rPr>
                <w:sz w:val="18"/>
              </w:rPr>
            </w:pPr>
            <w:r>
              <w:rPr>
                <w:sz w:val="18"/>
              </w:rPr>
              <w:t>36,512</w:t>
            </w:r>
          </w:p>
        </w:tc>
        <w:tc>
          <w:tcPr>
            <w:tcW w:w="1001" w:type="dxa"/>
          </w:tcPr>
          <w:p>
            <w:pPr>
              <w:pStyle w:val="TableParagraph"/>
              <w:spacing w:line="206" w:lineRule="exact"/>
              <w:ind w:left="220" w:right="47"/>
              <w:jc w:val="left"/>
              <w:rPr>
                <w:sz w:val="18"/>
              </w:rPr>
            </w:pPr>
            <w:r>
              <w:rPr>
                <w:sz w:val="18"/>
              </w:rPr>
              <w:t>39,864</w:t>
            </w:r>
          </w:p>
        </w:tc>
        <w:tc>
          <w:tcPr>
            <w:tcW w:w="1001" w:type="dxa"/>
          </w:tcPr>
          <w:p>
            <w:pPr>
              <w:pStyle w:val="TableParagraph"/>
              <w:spacing w:line="206" w:lineRule="exact"/>
              <w:ind w:left="220" w:right="47"/>
              <w:jc w:val="left"/>
              <w:rPr>
                <w:sz w:val="18"/>
              </w:rPr>
            </w:pPr>
            <w:r>
              <w:rPr>
                <w:sz w:val="18"/>
              </w:rPr>
              <w:t>40,446</w:t>
            </w:r>
          </w:p>
        </w:tc>
        <w:tc>
          <w:tcPr>
            <w:tcW w:w="1426" w:type="dxa"/>
          </w:tcPr>
          <w:p>
            <w:pPr>
              <w:pStyle w:val="TableParagraph"/>
              <w:spacing w:line="206" w:lineRule="exact"/>
              <w:ind w:right="221"/>
              <w:jc w:val="right"/>
              <w:rPr>
                <w:sz w:val="18"/>
              </w:rPr>
            </w:pPr>
            <w:r>
              <w:rPr>
                <w:sz w:val="18"/>
              </w:rPr>
              <w:t>Semiurbano</w:t>
            </w:r>
          </w:p>
        </w:tc>
      </w:tr>
      <w:tr>
        <w:trPr>
          <w:trHeight w:val="322" w:hRule="exact"/>
        </w:trPr>
        <w:tc>
          <w:tcPr>
            <w:tcW w:w="2501" w:type="dxa"/>
          </w:tcPr>
          <w:p>
            <w:pPr>
              <w:pStyle w:val="TableParagraph"/>
              <w:spacing w:line="201" w:lineRule="exact"/>
              <w:ind w:left="67" w:right="4"/>
              <w:jc w:val="left"/>
              <w:rPr>
                <w:b/>
                <w:sz w:val="18"/>
              </w:rPr>
            </w:pPr>
            <w:r>
              <w:rPr>
                <w:b/>
                <w:color w:val="333333"/>
                <w:sz w:val="18"/>
              </w:rPr>
              <w:t>HUIXQUILUCAN</w:t>
            </w:r>
          </w:p>
        </w:tc>
        <w:tc>
          <w:tcPr>
            <w:tcW w:w="1039" w:type="dxa"/>
          </w:tcPr>
          <w:p>
            <w:pPr>
              <w:pStyle w:val="TableParagraph"/>
              <w:spacing w:line="206" w:lineRule="exact"/>
              <w:ind w:left="93" w:right="92"/>
              <w:rPr>
                <w:sz w:val="18"/>
              </w:rPr>
            </w:pPr>
            <w:r>
              <w:rPr>
                <w:sz w:val="18"/>
              </w:rPr>
              <w:t>224,042</w:t>
            </w:r>
          </w:p>
        </w:tc>
        <w:tc>
          <w:tcPr>
            <w:tcW w:w="1001" w:type="dxa"/>
          </w:tcPr>
          <w:p>
            <w:pPr>
              <w:pStyle w:val="TableParagraph"/>
              <w:spacing w:line="206" w:lineRule="exact"/>
              <w:ind w:right="167"/>
              <w:jc w:val="right"/>
              <w:rPr>
                <w:sz w:val="18"/>
              </w:rPr>
            </w:pPr>
            <w:r>
              <w:rPr>
                <w:sz w:val="18"/>
              </w:rPr>
              <w:t>242,167</w:t>
            </w:r>
          </w:p>
        </w:tc>
        <w:tc>
          <w:tcPr>
            <w:tcW w:w="1001" w:type="dxa"/>
          </w:tcPr>
          <w:p>
            <w:pPr>
              <w:pStyle w:val="TableParagraph"/>
              <w:spacing w:line="206" w:lineRule="exact"/>
              <w:ind w:right="167"/>
              <w:jc w:val="right"/>
              <w:rPr>
                <w:sz w:val="18"/>
              </w:rPr>
            </w:pPr>
            <w:r>
              <w:rPr>
                <w:sz w:val="18"/>
              </w:rPr>
              <w:t>247,136</w:t>
            </w:r>
          </w:p>
        </w:tc>
        <w:tc>
          <w:tcPr>
            <w:tcW w:w="1426" w:type="dxa"/>
          </w:tcPr>
          <w:p>
            <w:pPr>
              <w:pStyle w:val="TableParagraph"/>
              <w:spacing w:line="206" w:lineRule="exact"/>
              <w:ind w:left="412" w:right="263"/>
              <w:jc w:val="left"/>
              <w:rPr>
                <w:sz w:val="18"/>
              </w:rPr>
            </w:pPr>
            <w:r>
              <w:rPr>
                <w:sz w:val="18"/>
              </w:rPr>
              <w:t>Urbano</w:t>
            </w:r>
          </w:p>
        </w:tc>
      </w:tr>
      <w:tr>
        <w:trPr>
          <w:trHeight w:val="320" w:hRule="exact"/>
        </w:trPr>
        <w:tc>
          <w:tcPr>
            <w:tcW w:w="2501" w:type="dxa"/>
          </w:tcPr>
          <w:p>
            <w:pPr>
              <w:pStyle w:val="TableParagraph"/>
              <w:spacing w:line="202" w:lineRule="exact"/>
              <w:ind w:left="67" w:right="4"/>
              <w:jc w:val="left"/>
              <w:rPr>
                <w:b/>
                <w:sz w:val="18"/>
              </w:rPr>
            </w:pPr>
            <w:r>
              <w:rPr>
                <w:b/>
                <w:color w:val="333333"/>
                <w:sz w:val="18"/>
              </w:rPr>
              <w:t>ISIDRO FABELA</w:t>
            </w:r>
          </w:p>
        </w:tc>
        <w:tc>
          <w:tcPr>
            <w:tcW w:w="1039" w:type="dxa"/>
          </w:tcPr>
          <w:p>
            <w:pPr>
              <w:pStyle w:val="TableParagraph"/>
              <w:spacing w:line="207" w:lineRule="exact"/>
              <w:ind w:left="93" w:right="94"/>
              <w:rPr>
                <w:sz w:val="18"/>
              </w:rPr>
            </w:pPr>
            <w:r>
              <w:rPr>
                <w:sz w:val="18"/>
              </w:rPr>
              <w:t>8,788</w:t>
            </w:r>
          </w:p>
        </w:tc>
        <w:tc>
          <w:tcPr>
            <w:tcW w:w="1001" w:type="dxa"/>
          </w:tcPr>
          <w:p>
            <w:pPr>
              <w:pStyle w:val="TableParagraph"/>
              <w:spacing w:line="207" w:lineRule="exact"/>
              <w:ind w:left="220" w:right="47"/>
              <w:jc w:val="left"/>
              <w:rPr>
                <w:sz w:val="18"/>
              </w:rPr>
            </w:pPr>
            <w:r>
              <w:rPr>
                <w:sz w:val="18"/>
              </w:rPr>
              <w:t>10,308</w:t>
            </w:r>
          </w:p>
        </w:tc>
        <w:tc>
          <w:tcPr>
            <w:tcW w:w="1001" w:type="dxa"/>
          </w:tcPr>
          <w:p>
            <w:pPr>
              <w:pStyle w:val="TableParagraph"/>
              <w:spacing w:line="207" w:lineRule="exact"/>
              <w:ind w:left="220" w:right="47"/>
              <w:jc w:val="left"/>
              <w:rPr>
                <w:sz w:val="18"/>
              </w:rPr>
            </w:pPr>
            <w:r>
              <w:rPr>
                <w:sz w:val="18"/>
              </w:rPr>
              <w:t>10,530</w:t>
            </w:r>
          </w:p>
        </w:tc>
        <w:tc>
          <w:tcPr>
            <w:tcW w:w="1426" w:type="dxa"/>
          </w:tcPr>
          <w:p>
            <w:pPr>
              <w:pStyle w:val="TableParagraph"/>
              <w:spacing w:line="207" w:lineRule="exact"/>
              <w:ind w:left="472" w:right="473"/>
              <w:rPr>
                <w:sz w:val="18"/>
              </w:rPr>
            </w:pPr>
            <w:r>
              <w:rPr>
                <w:sz w:val="18"/>
              </w:rPr>
              <w:t>Rural</w:t>
            </w:r>
          </w:p>
        </w:tc>
      </w:tr>
      <w:tr>
        <w:trPr>
          <w:trHeight w:val="322" w:hRule="exact"/>
        </w:trPr>
        <w:tc>
          <w:tcPr>
            <w:tcW w:w="2501" w:type="dxa"/>
          </w:tcPr>
          <w:p>
            <w:pPr>
              <w:pStyle w:val="TableParagraph"/>
              <w:spacing w:line="204" w:lineRule="exact"/>
              <w:ind w:left="67" w:right="4"/>
              <w:jc w:val="left"/>
              <w:rPr>
                <w:b/>
                <w:sz w:val="18"/>
              </w:rPr>
            </w:pPr>
            <w:r>
              <w:rPr>
                <w:b/>
                <w:color w:val="333333"/>
                <w:sz w:val="18"/>
              </w:rPr>
              <w:t>IXTAPALUCA</w:t>
            </w:r>
          </w:p>
        </w:tc>
        <w:tc>
          <w:tcPr>
            <w:tcW w:w="1039" w:type="dxa"/>
          </w:tcPr>
          <w:p>
            <w:pPr>
              <w:pStyle w:val="TableParagraph"/>
              <w:spacing w:before="1"/>
              <w:ind w:left="93" w:right="92"/>
              <w:rPr>
                <w:sz w:val="18"/>
              </w:rPr>
            </w:pPr>
            <w:r>
              <w:rPr>
                <w:sz w:val="18"/>
              </w:rPr>
              <w:t>429,033</w:t>
            </w:r>
          </w:p>
        </w:tc>
        <w:tc>
          <w:tcPr>
            <w:tcW w:w="1001" w:type="dxa"/>
          </w:tcPr>
          <w:p>
            <w:pPr>
              <w:pStyle w:val="TableParagraph"/>
              <w:spacing w:before="1"/>
              <w:ind w:right="167"/>
              <w:jc w:val="right"/>
              <w:rPr>
                <w:sz w:val="18"/>
              </w:rPr>
            </w:pPr>
            <w:r>
              <w:rPr>
                <w:sz w:val="18"/>
              </w:rPr>
              <w:t>467,361</w:t>
            </w:r>
          </w:p>
        </w:tc>
        <w:tc>
          <w:tcPr>
            <w:tcW w:w="1001" w:type="dxa"/>
          </w:tcPr>
          <w:p>
            <w:pPr>
              <w:pStyle w:val="TableParagraph"/>
              <w:spacing w:before="1"/>
              <w:ind w:right="167"/>
              <w:jc w:val="right"/>
              <w:rPr>
                <w:sz w:val="18"/>
              </w:rPr>
            </w:pPr>
            <w:r>
              <w:rPr>
                <w:sz w:val="18"/>
              </w:rPr>
              <w:t>490,904</w:t>
            </w:r>
          </w:p>
        </w:tc>
        <w:tc>
          <w:tcPr>
            <w:tcW w:w="1426" w:type="dxa"/>
          </w:tcPr>
          <w:p>
            <w:pPr>
              <w:pStyle w:val="TableParagraph"/>
              <w:spacing w:before="1"/>
              <w:ind w:left="412" w:right="263"/>
              <w:jc w:val="left"/>
              <w:rPr>
                <w:sz w:val="18"/>
              </w:rPr>
            </w:pPr>
            <w:r>
              <w:rPr>
                <w:sz w:val="18"/>
              </w:rPr>
              <w:t>Urbano</w:t>
            </w:r>
          </w:p>
        </w:tc>
      </w:tr>
      <w:tr>
        <w:trPr>
          <w:trHeight w:val="319" w:hRule="exact"/>
        </w:trPr>
        <w:tc>
          <w:tcPr>
            <w:tcW w:w="2501" w:type="dxa"/>
          </w:tcPr>
          <w:p>
            <w:pPr>
              <w:pStyle w:val="TableParagraph"/>
              <w:spacing w:line="201" w:lineRule="exact"/>
              <w:ind w:left="67" w:right="4"/>
              <w:jc w:val="left"/>
              <w:rPr>
                <w:b/>
                <w:sz w:val="18"/>
              </w:rPr>
            </w:pPr>
            <w:r>
              <w:rPr>
                <w:b/>
                <w:color w:val="333333"/>
                <w:sz w:val="18"/>
              </w:rPr>
              <w:t>IXTAPAN DE LA SAL</w:t>
            </w:r>
          </w:p>
        </w:tc>
        <w:tc>
          <w:tcPr>
            <w:tcW w:w="1039" w:type="dxa"/>
          </w:tcPr>
          <w:p>
            <w:pPr>
              <w:pStyle w:val="TableParagraph"/>
              <w:spacing w:line="206" w:lineRule="exact"/>
              <w:ind w:left="93" w:right="92"/>
              <w:rPr>
                <w:sz w:val="18"/>
              </w:rPr>
            </w:pPr>
            <w:r>
              <w:rPr>
                <w:sz w:val="18"/>
              </w:rPr>
              <w:t>30,073</w:t>
            </w:r>
          </w:p>
        </w:tc>
        <w:tc>
          <w:tcPr>
            <w:tcW w:w="1001" w:type="dxa"/>
          </w:tcPr>
          <w:p>
            <w:pPr>
              <w:pStyle w:val="TableParagraph"/>
              <w:spacing w:line="206" w:lineRule="exact"/>
              <w:ind w:left="220" w:right="47"/>
              <w:jc w:val="left"/>
              <w:rPr>
                <w:sz w:val="18"/>
              </w:rPr>
            </w:pPr>
            <w:r>
              <w:rPr>
                <w:sz w:val="18"/>
              </w:rPr>
              <w:t>33,541</w:t>
            </w:r>
          </w:p>
        </w:tc>
        <w:tc>
          <w:tcPr>
            <w:tcW w:w="1001" w:type="dxa"/>
          </w:tcPr>
          <w:p>
            <w:pPr>
              <w:pStyle w:val="TableParagraph"/>
              <w:spacing w:line="206" w:lineRule="exact"/>
              <w:ind w:left="220" w:right="47"/>
              <w:jc w:val="left"/>
              <w:rPr>
                <w:sz w:val="18"/>
              </w:rPr>
            </w:pPr>
            <w:r>
              <w:rPr>
                <w:sz w:val="18"/>
              </w:rPr>
              <w:t>33,668</w:t>
            </w:r>
          </w:p>
        </w:tc>
        <w:tc>
          <w:tcPr>
            <w:tcW w:w="1426" w:type="dxa"/>
          </w:tcPr>
          <w:p>
            <w:pPr>
              <w:pStyle w:val="TableParagraph"/>
              <w:spacing w:line="206" w:lineRule="exact"/>
              <w:ind w:right="221"/>
              <w:jc w:val="right"/>
              <w:rPr>
                <w:sz w:val="18"/>
              </w:rPr>
            </w:pPr>
            <w:r>
              <w:rPr>
                <w:sz w:val="18"/>
              </w:rPr>
              <w:t>Semiurbano</w:t>
            </w:r>
          </w:p>
        </w:tc>
      </w:tr>
      <w:tr>
        <w:trPr>
          <w:trHeight w:val="322" w:hRule="exact"/>
        </w:trPr>
        <w:tc>
          <w:tcPr>
            <w:tcW w:w="2501" w:type="dxa"/>
          </w:tcPr>
          <w:p>
            <w:pPr>
              <w:pStyle w:val="TableParagraph"/>
              <w:spacing w:line="204" w:lineRule="exact"/>
              <w:ind w:left="67" w:right="4"/>
              <w:jc w:val="left"/>
              <w:rPr>
                <w:b/>
                <w:sz w:val="18"/>
              </w:rPr>
            </w:pPr>
            <w:r>
              <w:rPr>
                <w:b/>
                <w:color w:val="333333"/>
                <w:sz w:val="18"/>
              </w:rPr>
              <w:t>IXTAPAN DEL ORO</w:t>
            </w:r>
          </w:p>
        </w:tc>
        <w:tc>
          <w:tcPr>
            <w:tcW w:w="1039" w:type="dxa"/>
          </w:tcPr>
          <w:p>
            <w:pPr>
              <w:pStyle w:val="TableParagraph"/>
              <w:spacing w:before="1"/>
              <w:ind w:left="93" w:right="94"/>
              <w:rPr>
                <w:sz w:val="18"/>
              </w:rPr>
            </w:pPr>
            <w:r>
              <w:rPr>
                <w:sz w:val="18"/>
              </w:rPr>
              <w:t>6,349</w:t>
            </w:r>
          </w:p>
        </w:tc>
        <w:tc>
          <w:tcPr>
            <w:tcW w:w="1001" w:type="dxa"/>
          </w:tcPr>
          <w:p>
            <w:pPr>
              <w:pStyle w:val="TableParagraph"/>
              <w:spacing w:before="1"/>
              <w:ind w:left="268" w:right="47"/>
              <w:jc w:val="left"/>
              <w:rPr>
                <w:sz w:val="18"/>
              </w:rPr>
            </w:pPr>
            <w:r>
              <w:rPr>
                <w:sz w:val="18"/>
              </w:rPr>
              <w:t>6,629</w:t>
            </w:r>
          </w:p>
        </w:tc>
        <w:tc>
          <w:tcPr>
            <w:tcW w:w="1001" w:type="dxa"/>
          </w:tcPr>
          <w:p>
            <w:pPr>
              <w:pStyle w:val="TableParagraph"/>
              <w:spacing w:before="1"/>
              <w:ind w:left="268" w:right="47"/>
              <w:jc w:val="left"/>
              <w:rPr>
                <w:sz w:val="18"/>
              </w:rPr>
            </w:pPr>
            <w:r>
              <w:rPr>
                <w:sz w:val="18"/>
              </w:rPr>
              <w:t>6,601</w:t>
            </w:r>
          </w:p>
        </w:tc>
        <w:tc>
          <w:tcPr>
            <w:tcW w:w="1426" w:type="dxa"/>
          </w:tcPr>
          <w:p>
            <w:pPr>
              <w:pStyle w:val="TableParagraph"/>
              <w:spacing w:before="1"/>
              <w:ind w:left="472" w:right="473"/>
              <w:rPr>
                <w:sz w:val="18"/>
              </w:rPr>
            </w:pPr>
            <w:r>
              <w:rPr>
                <w:sz w:val="18"/>
              </w:rPr>
              <w:t>Rural</w:t>
            </w:r>
          </w:p>
        </w:tc>
      </w:tr>
      <w:tr>
        <w:trPr>
          <w:trHeight w:val="319" w:hRule="exact"/>
        </w:trPr>
        <w:tc>
          <w:tcPr>
            <w:tcW w:w="2501" w:type="dxa"/>
          </w:tcPr>
          <w:p>
            <w:pPr>
              <w:pStyle w:val="TableParagraph"/>
              <w:spacing w:line="201" w:lineRule="exact"/>
              <w:ind w:left="67" w:right="4"/>
              <w:jc w:val="left"/>
              <w:rPr>
                <w:b/>
                <w:sz w:val="18"/>
              </w:rPr>
            </w:pPr>
            <w:r>
              <w:rPr>
                <w:b/>
                <w:color w:val="333333"/>
                <w:sz w:val="18"/>
              </w:rPr>
              <w:t>IXTLAHUACA</w:t>
            </w:r>
          </w:p>
        </w:tc>
        <w:tc>
          <w:tcPr>
            <w:tcW w:w="1039" w:type="dxa"/>
          </w:tcPr>
          <w:p>
            <w:pPr>
              <w:pStyle w:val="TableParagraph"/>
              <w:spacing w:line="206" w:lineRule="exact"/>
              <w:ind w:left="93" w:right="92"/>
              <w:rPr>
                <w:sz w:val="18"/>
              </w:rPr>
            </w:pPr>
            <w:r>
              <w:rPr>
                <w:sz w:val="18"/>
              </w:rPr>
              <w:t>126,505</w:t>
            </w:r>
          </w:p>
        </w:tc>
        <w:tc>
          <w:tcPr>
            <w:tcW w:w="1001" w:type="dxa"/>
          </w:tcPr>
          <w:p>
            <w:pPr>
              <w:pStyle w:val="TableParagraph"/>
              <w:spacing w:line="206" w:lineRule="exact"/>
              <w:ind w:right="167"/>
              <w:jc w:val="right"/>
              <w:rPr>
                <w:sz w:val="18"/>
              </w:rPr>
            </w:pPr>
            <w:r>
              <w:rPr>
                <w:sz w:val="18"/>
              </w:rPr>
              <w:t>141,482</w:t>
            </w:r>
          </w:p>
        </w:tc>
        <w:tc>
          <w:tcPr>
            <w:tcW w:w="1001" w:type="dxa"/>
          </w:tcPr>
          <w:p>
            <w:pPr>
              <w:pStyle w:val="TableParagraph"/>
              <w:spacing w:line="206" w:lineRule="exact"/>
              <w:ind w:right="167"/>
              <w:jc w:val="right"/>
              <w:rPr>
                <w:sz w:val="18"/>
              </w:rPr>
            </w:pPr>
            <w:r>
              <w:rPr>
                <w:sz w:val="18"/>
              </w:rPr>
              <w:t>144,043</w:t>
            </w:r>
          </w:p>
        </w:tc>
        <w:tc>
          <w:tcPr>
            <w:tcW w:w="1426" w:type="dxa"/>
          </w:tcPr>
          <w:p>
            <w:pPr>
              <w:pStyle w:val="TableParagraph"/>
              <w:spacing w:line="206" w:lineRule="exact"/>
              <w:ind w:left="412" w:right="263"/>
              <w:jc w:val="left"/>
              <w:rPr>
                <w:sz w:val="18"/>
              </w:rPr>
            </w:pPr>
            <w:r>
              <w:rPr>
                <w:sz w:val="18"/>
              </w:rPr>
              <w:t>Urbano</w:t>
            </w:r>
          </w:p>
        </w:tc>
      </w:tr>
      <w:tr>
        <w:trPr>
          <w:trHeight w:val="322" w:hRule="exact"/>
        </w:trPr>
        <w:tc>
          <w:tcPr>
            <w:tcW w:w="2501" w:type="dxa"/>
          </w:tcPr>
          <w:p>
            <w:pPr>
              <w:pStyle w:val="TableParagraph"/>
              <w:spacing w:line="204" w:lineRule="exact"/>
              <w:ind w:left="67" w:right="4"/>
              <w:jc w:val="left"/>
              <w:rPr>
                <w:b/>
                <w:sz w:val="18"/>
              </w:rPr>
            </w:pPr>
            <w:r>
              <w:rPr>
                <w:b/>
                <w:color w:val="333333"/>
                <w:sz w:val="18"/>
              </w:rPr>
              <w:t>JALTENCO</w:t>
            </w:r>
          </w:p>
        </w:tc>
        <w:tc>
          <w:tcPr>
            <w:tcW w:w="1039" w:type="dxa"/>
          </w:tcPr>
          <w:p>
            <w:pPr>
              <w:pStyle w:val="TableParagraph"/>
              <w:spacing w:before="1"/>
              <w:ind w:left="93" w:right="92"/>
              <w:rPr>
                <w:sz w:val="18"/>
              </w:rPr>
            </w:pPr>
            <w:r>
              <w:rPr>
                <w:sz w:val="18"/>
              </w:rPr>
              <w:t>26,359</w:t>
            </w:r>
          </w:p>
        </w:tc>
        <w:tc>
          <w:tcPr>
            <w:tcW w:w="1001" w:type="dxa"/>
          </w:tcPr>
          <w:p>
            <w:pPr>
              <w:pStyle w:val="TableParagraph"/>
              <w:spacing w:before="1"/>
              <w:ind w:left="220" w:right="47"/>
              <w:jc w:val="left"/>
              <w:rPr>
                <w:sz w:val="18"/>
              </w:rPr>
            </w:pPr>
            <w:r>
              <w:rPr>
                <w:sz w:val="18"/>
              </w:rPr>
              <w:t>26,328</w:t>
            </w:r>
          </w:p>
        </w:tc>
        <w:tc>
          <w:tcPr>
            <w:tcW w:w="1001" w:type="dxa"/>
          </w:tcPr>
          <w:p>
            <w:pPr>
              <w:pStyle w:val="TableParagraph"/>
              <w:spacing w:before="1"/>
              <w:ind w:left="220" w:right="47"/>
              <w:jc w:val="left"/>
              <w:rPr>
                <w:sz w:val="18"/>
              </w:rPr>
            </w:pPr>
            <w:r>
              <w:rPr>
                <w:sz w:val="18"/>
              </w:rPr>
              <w:t>26,226</w:t>
            </w:r>
          </w:p>
        </w:tc>
        <w:tc>
          <w:tcPr>
            <w:tcW w:w="1426" w:type="dxa"/>
          </w:tcPr>
          <w:p>
            <w:pPr>
              <w:pStyle w:val="TableParagraph"/>
              <w:spacing w:before="1"/>
              <w:ind w:right="221"/>
              <w:jc w:val="right"/>
              <w:rPr>
                <w:sz w:val="18"/>
              </w:rPr>
            </w:pPr>
            <w:r>
              <w:rPr>
                <w:sz w:val="18"/>
              </w:rPr>
              <w:t>Semiurbano</w:t>
            </w:r>
          </w:p>
        </w:tc>
      </w:tr>
      <w:tr>
        <w:trPr>
          <w:trHeight w:val="322" w:hRule="exact"/>
        </w:trPr>
        <w:tc>
          <w:tcPr>
            <w:tcW w:w="2501" w:type="dxa"/>
          </w:tcPr>
          <w:p>
            <w:pPr>
              <w:pStyle w:val="TableParagraph"/>
              <w:spacing w:line="201" w:lineRule="exact"/>
              <w:ind w:left="67" w:right="4"/>
              <w:jc w:val="left"/>
              <w:rPr>
                <w:b/>
                <w:sz w:val="18"/>
              </w:rPr>
            </w:pPr>
            <w:r>
              <w:rPr>
                <w:b/>
                <w:color w:val="333333"/>
                <w:sz w:val="18"/>
              </w:rPr>
              <w:t>JILOTEPEC</w:t>
            </w:r>
          </w:p>
        </w:tc>
        <w:tc>
          <w:tcPr>
            <w:tcW w:w="1039" w:type="dxa"/>
          </w:tcPr>
          <w:p>
            <w:pPr>
              <w:pStyle w:val="TableParagraph"/>
              <w:spacing w:line="206" w:lineRule="exact"/>
              <w:ind w:left="93" w:right="92"/>
              <w:rPr>
                <w:sz w:val="18"/>
              </w:rPr>
            </w:pPr>
            <w:r>
              <w:rPr>
                <w:sz w:val="18"/>
              </w:rPr>
              <w:t>71,624</w:t>
            </w:r>
          </w:p>
        </w:tc>
        <w:tc>
          <w:tcPr>
            <w:tcW w:w="1001" w:type="dxa"/>
          </w:tcPr>
          <w:p>
            <w:pPr>
              <w:pStyle w:val="TableParagraph"/>
              <w:spacing w:line="206" w:lineRule="exact"/>
              <w:ind w:left="220" w:right="47"/>
              <w:jc w:val="left"/>
              <w:rPr>
                <w:sz w:val="18"/>
              </w:rPr>
            </w:pPr>
            <w:r>
              <w:rPr>
                <w:sz w:val="18"/>
              </w:rPr>
              <w:t>83,755</w:t>
            </w:r>
          </w:p>
        </w:tc>
        <w:tc>
          <w:tcPr>
            <w:tcW w:w="1001" w:type="dxa"/>
          </w:tcPr>
          <w:p>
            <w:pPr>
              <w:pStyle w:val="TableParagraph"/>
              <w:spacing w:line="206" w:lineRule="exact"/>
              <w:ind w:left="220" w:right="47"/>
              <w:jc w:val="left"/>
              <w:rPr>
                <w:sz w:val="18"/>
              </w:rPr>
            </w:pPr>
            <w:r>
              <w:rPr>
                <w:sz w:val="18"/>
              </w:rPr>
              <w:t>85,246</w:t>
            </w:r>
          </w:p>
        </w:tc>
        <w:tc>
          <w:tcPr>
            <w:tcW w:w="1426" w:type="dxa"/>
          </w:tcPr>
          <w:p>
            <w:pPr>
              <w:pStyle w:val="TableParagraph"/>
              <w:spacing w:line="206" w:lineRule="exact"/>
              <w:ind w:right="221"/>
              <w:jc w:val="right"/>
              <w:rPr>
                <w:sz w:val="18"/>
              </w:rPr>
            </w:pPr>
            <w:r>
              <w:rPr>
                <w:sz w:val="18"/>
              </w:rPr>
              <w:t>Semiurbano</w:t>
            </w:r>
          </w:p>
        </w:tc>
      </w:tr>
      <w:tr>
        <w:trPr>
          <w:trHeight w:val="319" w:hRule="exact"/>
        </w:trPr>
        <w:tc>
          <w:tcPr>
            <w:tcW w:w="2501" w:type="dxa"/>
          </w:tcPr>
          <w:p>
            <w:pPr>
              <w:pStyle w:val="TableParagraph"/>
              <w:spacing w:line="201" w:lineRule="exact"/>
              <w:ind w:left="67" w:right="4"/>
              <w:jc w:val="left"/>
              <w:rPr>
                <w:b/>
                <w:sz w:val="18"/>
              </w:rPr>
            </w:pPr>
            <w:r>
              <w:rPr>
                <w:b/>
                <w:color w:val="333333"/>
                <w:sz w:val="18"/>
              </w:rPr>
              <w:t>JILOTZINGO</w:t>
            </w:r>
          </w:p>
        </w:tc>
        <w:tc>
          <w:tcPr>
            <w:tcW w:w="1039" w:type="dxa"/>
          </w:tcPr>
          <w:p>
            <w:pPr>
              <w:pStyle w:val="TableParagraph"/>
              <w:spacing w:line="206" w:lineRule="exact"/>
              <w:ind w:left="93" w:right="92"/>
              <w:rPr>
                <w:sz w:val="18"/>
              </w:rPr>
            </w:pPr>
            <w:r>
              <w:rPr>
                <w:sz w:val="18"/>
              </w:rPr>
              <w:t>13,825</w:t>
            </w:r>
          </w:p>
        </w:tc>
        <w:tc>
          <w:tcPr>
            <w:tcW w:w="1001" w:type="dxa"/>
          </w:tcPr>
          <w:p>
            <w:pPr>
              <w:pStyle w:val="TableParagraph"/>
              <w:spacing w:line="206" w:lineRule="exact"/>
              <w:ind w:left="220" w:right="47"/>
              <w:jc w:val="left"/>
              <w:rPr>
                <w:sz w:val="18"/>
              </w:rPr>
            </w:pPr>
            <w:r>
              <w:rPr>
                <w:sz w:val="18"/>
              </w:rPr>
              <w:t>17,970</w:t>
            </w:r>
          </w:p>
        </w:tc>
        <w:tc>
          <w:tcPr>
            <w:tcW w:w="1001" w:type="dxa"/>
          </w:tcPr>
          <w:p>
            <w:pPr>
              <w:pStyle w:val="TableParagraph"/>
              <w:spacing w:line="206" w:lineRule="exact"/>
              <w:ind w:left="220" w:right="47"/>
              <w:jc w:val="left"/>
              <w:rPr>
                <w:sz w:val="18"/>
              </w:rPr>
            </w:pPr>
            <w:r>
              <w:rPr>
                <w:sz w:val="18"/>
              </w:rPr>
              <w:t>18,224</w:t>
            </w:r>
          </w:p>
        </w:tc>
        <w:tc>
          <w:tcPr>
            <w:tcW w:w="1426" w:type="dxa"/>
          </w:tcPr>
          <w:p>
            <w:pPr>
              <w:pStyle w:val="TableParagraph"/>
              <w:spacing w:line="206" w:lineRule="exact"/>
              <w:ind w:left="472" w:right="473"/>
              <w:rPr>
                <w:sz w:val="18"/>
              </w:rPr>
            </w:pPr>
            <w:r>
              <w:rPr>
                <w:sz w:val="18"/>
              </w:rPr>
              <w:t>Rural</w:t>
            </w:r>
          </w:p>
        </w:tc>
      </w:tr>
      <w:tr>
        <w:trPr>
          <w:trHeight w:val="322" w:hRule="exact"/>
        </w:trPr>
        <w:tc>
          <w:tcPr>
            <w:tcW w:w="2501" w:type="dxa"/>
          </w:tcPr>
          <w:p>
            <w:pPr>
              <w:pStyle w:val="TableParagraph"/>
              <w:spacing w:line="201" w:lineRule="exact"/>
              <w:ind w:left="67" w:right="4"/>
              <w:jc w:val="left"/>
              <w:rPr>
                <w:b/>
                <w:sz w:val="18"/>
              </w:rPr>
            </w:pPr>
            <w:r>
              <w:rPr>
                <w:b/>
                <w:color w:val="333333"/>
                <w:sz w:val="18"/>
              </w:rPr>
              <w:t>JIQUIPILCO</w:t>
            </w:r>
          </w:p>
        </w:tc>
        <w:tc>
          <w:tcPr>
            <w:tcW w:w="1039" w:type="dxa"/>
          </w:tcPr>
          <w:p>
            <w:pPr>
              <w:pStyle w:val="TableParagraph"/>
              <w:spacing w:line="206" w:lineRule="exact"/>
              <w:ind w:left="93" w:right="92"/>
              <w:rPr>
                <w:sz w:val="18"/>
              </w:rPr>
            </w:pPr>
            <w:r>
              <w:rPr>
                <w:sz w:val="18"/>
              </w:rPr>
              <w:t>59,969</w:t>
            </w:r>
          </w:p>
        </w:tc>
        <w:tc>
          <w:tcPr>
            <w:tcW w:w="1001" w:type="dxa"/>
          </w:tcPr>
          <w:p>
            <w:pPr>
              <w:pStyle w:val="TableParagraph"/>
              <w:spacing w:line="206" w:lineRule="exact"/>
              <w:ind w:left="220" w:right="47"/>
              <w:jc w:val="left"/>
              <w:rPr>
                <w:sz w:val="18"/>
              </w:rPr>
            </w:pPr>
            <w:r>
              <w:rPr>
                <w:sz w:val="18"/>
              </w:rPr>
              <w:t>69,031</w:t>
            </w:r>
          </w:p>
        </w:tc>
        <w:tc>
          <w:tcPr>
            <w:tcW w:w="1001" w:type="dxa"/>
          </w:tcPr>
          <w:p>
            <w:pPr>
              <w:pStyle w:val="TableParagraph"/>
              <w:spacing w:line="206" w:lineRule="exact"/>
              <w:ind w:left="220" w:right="47"/>
              <w:jc w:val="left"/>
              <w:rPr>
                <w:sz w:val="18"/>
              </w:rPr>
            </w:pPr>
            <w:r>
              <w:rPr>
                <w:sz w:val="18"/>
              </w:rPr>
              <w:t>70,214</w:t>
            </w:r>
          </w:p>
        </w:tc>
        <w:tc>
          <w:tcPr>
            <w:tcW w:w="1426" w:type="dxa"/>
          </w:tcPr>
          <w:p>
            <w:pPr>
              <w:pStyle w:val="TableParagraph"/>
              <w:spacing w:line="206" w:lineRule="exact"/>
              <w:ind w:right="221"/>
              <w:jc w:val="right"/>
              <w:rPr>
                <w:sz w:val="18"/>
              </w:rPr>
            </w:pPr>
            <w:r>
              <w:rPr>
                <w:sz w:val="18"/>
              </w:rPr>
              <w:t>Semiurbano</w:t>
            </w:r>
          </w:p>
        </w:tc>
      </w:tr>
      <w:tr>
        <w:trPr>
          <w:trHeight w:val="319" w:hRule="exact"/>
        </w:trPr>
        <w:tc>
          <w:tcPr>
            <w:tcW w:w="2501" w:type="dxa"/>
          </w:tcPr>
          <w:p>
            <w:pPr>
              <w:pStyle w:val="TableParagraph"/>
              <w:spacing w:line="201" w:lineRule="exact"/>
              <w:ind w:left="67" w:right="4"/>
              <w:jc w:val="left"/>
              <w:rPr>
                <w:b/>
                <w:sz w:val="18"/>
              </w:rPr>
            </w:pPr>
            <w:r>
              <w:rPr>
                <w:b/>
                <w:color w:val="333333"/>
                <w:sz w:val="18"/>
              </w:rPr>
              <w:t>JOCOTITLAN</w:t>
            </w:r>
          </w:p>
        </w:tc>
        <w:tc>
          <w:tcPr>
            <w:tcW w:w="1039" w:type="dxa"/>
          </w:tcPr>
          <w:p>
            <w:pPr>
              <w:pStyle w:val="TableParagraph"/>
              <w:spacing w:line="206" w:lineRule="exact"/>
              <w:ind w:left="93" w:right="92"/>
              <w:rPr>
                <w:sz w:val="18"/>
              </w:rPr>
            </w:pPr>
            <w:r>
              <w:rPr>
                <w:sz w:val="18"/>
              </w:rPr>
              <w:t>55,403</w:t>
            </w:r>
          </w:p>
        </w:tc>
        <w:tc>
          <w:tcPr>
            <w:tcW w:w="1001" w:type="dxa"/>
          </w:tcPr>
          <w:p>
            <w:pPr>
              <w:pStyle w:val="TableParagraph"/>
              <w:spacing w:line="206" w:lineRule="exact"/>
              <w:ind w:left="220" w:right="47"/>
              <w:jc w:val="left"/>
              <w:rPr>
                <w:sz w:val="18"/>
              </w:rPr>
            </w:pPr>
            <w:r>
              <w:rPr>
                <w:sz w:val="18"/>
              </w:rPr>
              <w:t>61,204</w:t>
            </w:r>
          </w:p>
        </w:tc>
        <w:tc>
          <w:tcPr>
            <w:tcW w:w="1001" w:type="dxa"/>
          </w:tcPr>
          <w:p>
            <w:pPr>
              <w:pStyle w:val="TableParagraph"/>
              <w:spacing w:line="206" w:lineRule="exact"/>
              <w:ind w:left="220" w:right="47"/>
              <w:jc w:val="left"/>
              <w:rPr>
                <w:sz w:val="18"/>
              </w:rPr>
            </w:pPr>
            <w:r>
              <w:rPr>
                <w:sz w:val="18"/>
              </w:rPr>
              <w:t>61,978</w:t>
            </w:r>
          </w:p>
        </w:tc>
        <w:tc>
          <w:tcPr>
            <w:tcW w:w="1426" w:type="dxa"/>
          </w:tcPr>
          <w:p>
            <w:pPr>
              <w:pStyle w:val="TableParagraph"/>
              <w:spacing w:line="206" w:lineRule="exact"/>
              <w:ind w:right="221"/>
              <w:jc w:val="right"/>
              <w:rPr>
                <w:sz w:val="18"/>
              </w:rPr>
            </w:pPr>
            <w:r>
              <w:rPr>
                <w:sz w:val="18"/>
              </w:rPr>
              <w:t>Semiurbano</w:t>
            </w:r>
          </w:p>
        </w:tc>
      </w:tr>
      <w:tr>
        <w:trPr>
          <w:trHeight w:val="322" w:hRule="exact"/>
        </w:trPr>
        <w:tc>
          <w:tcPr>
            <w:tcW w:w="2501" w:type="dxa"/>
          </w:tcPr>
          <w:p>
            <w:pPr>
              <w:pStyle w:val="TableParagraph"/>
              <w:spacing w:line="201" w:lineRule="exact"/>
              <w:ind w:left="67" w:right="4"/>
              <w:jc w:val="left"/>
              <w:rPr>
                <w:b/>
                <w:sz w:val="18"/>
              </w:rPr>
            </w:pPr>
            <w:r>
              <w:rPr>
                <w:b/>
                <w:color w:val="333333"/>
                <w:sz w:val="18"/>
              </w:rPr>
              <w:t>JOQUICINGO</w:t>
            </w:r>
          </w:p>
        </w:tc>
        <w:tc>
          <w:tcPr>
            <w:tcW w:w="1039" w:type="dxa"/>
          </w:tcPr>
          <w:p>
            <w:pPr>
              <w:pStyle w:val="TableParagraph"/>
              <w:spacing w:line="206" w:lineRule="exact"/>
              <w:ind w:left="93" w:right="92"/>
              <w:rPr>
                <w:sz w:val="18"/>
              </w:rPr>
            </w:pPr>
            <w:r>
              <w:rPr>
                <w:sz w:val="18"/>
              </w:rPr>
              <w:t>11,042</w:t>
            </w:r>
          </w:p>
        </w:tc>
        <w:tc>
          <w:tcPr>
            <w:tcW w:w="1001" w:type="dxa"/>
          </w:tcPr>
          <w:p>
            <w:pPr>
              <w:pStyle w:val="TableParagraph"/>
              <w:spacing w:line="206" w:lineRule="exact"/>
              <w:ind w:left="220" w:right="47"/>
              <w:jc w:val="left"/>
              <w:rPr>
                <w:sz w:val="18"/>
              </w:rPr>
            </w:pPr>
            <w:r>
              <w:rPr>
                <w:sz w:val="18"/>
              </w:rPr>
              <w:t>12,840</w:t>
            </w:r>
          </w:p>
        </w:tc>
        <w:tc>
          <w:tcPr>
            <w:tcW w:w="1001" w:type="dxa"/>
          </w:tcPr>
          <w:p>
            <w:pPr>
              <w:pStyle w:val="TableParagraph"/>
              <w:spacing w:line="206" w:lineRule="exact"/>
              <w:ind w:left="220" w:right="47"/>
              <w:jc w:val="left"/>
              <w:rPr>
                <w:sz w:val="18"/>
              </w:rPr>
            </w:pPr>
            <w:r>
              <w:rPr>
                <w:sz w:val="18"/>
              </w:rPr>
              <w:t>13,031</w:t>
            </w:r>
          </w:p>
        </w:tc>
        <w:tc>
          <w:tcPr>
            <w:tcW w:w="1426" w:type="dxa"/>
          </w:tcPr>
          <w:p>
            <w:pPr>
              <w:pStyle w:val="TableParagraph"/>
              <w:spacing w:line="206" w:lineRule="exact"/>
              <w:ind w:left="472" w:right="473"/>
              <w:rPr>
                <w:sz w:val="18"/>
              </w:rPr>
            </w:pPr>
            <w:r>
              <w:rPr>
                <w:sz w:val="18"/>
              </w:rPr>
              <w:t>Rural</w:t>
            </w:r>
          </w:p>
        </w:tc>
      </w:tr>
      <w:tr>
        <w:trPr>
          <w:trHeight w:val="320" w:hRule="exact"/>
        </w:trPr>
        <w:tc>
          <w:tcPr>
            <w:tcW w:w="2501" w:type="dxa"/>
          </w:tcPr>
          <w:p>
            <w:pPr>
              <w:pStyle w:val="TableParagraph"/>
              <w:spacing w:line="202" w:lineRule="exact"/>
              <w:ind w:left="67" w:right="4"/>
              <w:jc w:val="left"/>
              <w:rPr>
                <w:b/>
                <w:sz w:val="18"/>
              </w:rPr>
            </w:pPr>
            <w:r>
              <w:rPr>
                <w:b/>
                <w:color w:val="333333"/>
                <w:sz w:val="18"/>
              </w:rPr>
              <w:t>JUCHITEPEC</w:t>
            </w:r>
          </w:p>
        </w:tc>
        <w:tc>
          <w:tcPr>
            <w:tcW w:w="1039" w:type="dxa"/>
          </w:tcPr>
          <w:p>
            <w:pPr>
              <w:pStyle w:val="TableParagraph"/>
              <w:spacing w:line="207" w:lineRule="exact"/>
              <w:ind w:left="93" w:right="92"/>
              <w:rPr>
                <w:sz w:val="18"/>
              </w:rPr>
            </w:pPr>
            <w:r>
              <w:rPr>
                <w:sz w:val="18"/>
              </w:rPr>
              <w:t>21,017</w:t>
            </w:r>
          </w:p>
        </w:tc>
        <w:tc>
          <w:tcPr>
            <w:tcW w:w="1001" w:type="dxa"/>
          </w:tcPr>
          <w:p>
            <w:pPr>
              <w:pStyle w:val="TableParagraph"/>
              <w:spacing w:line="207" w:lineRule="exact"/>
              <w:ind w:left="220" w:right="47"/>
              <w:jc w:val="left"/>
              <w:rPr>
                <w:sz w:val="18"/>
              </w:rPr>
            </w:pPr>
            <w:r>
              <w:rPr>
                <w:sz w:val="18"/>
              </w:rPr>
              <w:t>23,497</w:t>
            </w:r>
          </w:p>
        </w:tc>
        <w:tc>
          <w:tcPr>
            <w:tcW w:w="1001" w:type="dxa"/>
          </w:tcPr>
          <w:p>
            <w:pPr>
              <w:pStyle w:val="TableParagraph"/>
              <w:spacing w:line="207" w:lineRule="exact"/>
              <w:ind w:left="220" w:right="47"/>
              <w:jc w:val="left"/>
              <w:rPr>
                <w:sz w:val="18"/>
              </w:rPr>
            </w:pPr>
            <w:r>
              <w:rPr>
                <w:sz w:val="18"/>
              </w:rPr>
              <w:t>23,948</w:t>
            </w:r>
          </w:p>
        </w:tc>
        <w:tc>
          <w:tcPr>
            <w:tcW w:w="1426" w:type="dxa"/>
          </w:tcPr>
          <w:p>
            <w:pPr>
              <w:pStyle w:val="TableParagraph"/>
              <w:spacing w:line="207" w:lineRule="exact"/>
              <w:ind w:left="472" w:right="473"/>
              <w:rPr>
                <w:sz w:val="18"/>
              </w:rPr>
            </w:pPr>
            <w:r>
              <w:rPr>
                <w:sz w:val="18"/>
              </w:rPr>
              <w:t>Rural</w:t>
            </w:r>
          </w:p>
        </w:tc>
      </w:tr>
      <w:tr>
        <w:trPr>
          <w:trHeight w:val="322" w:hRule="exact"/>
        </w:trPr>
        <w:tc>
          <w:tcPr>
            <w:tcW w:w="2501" w:type="dxa"/>
          </w:tcPr>
          <w:p>
            <w:pPr>
              <w:pStyle w:val="TableParagraph"/>
              <w:spacing w:line="201" w:lineRule="exact"/>
              <w:ind w:left="67" w:right="4"/>
              <w:jc w:val="left"/>
              <w:rPr>
                <w:b/>
                <w:sz w:val="18"/>
              </w:rPr>
            </w:pPr>
            <w:r>
              <w:rPr>
                <w:b/>
                <w:color w:val="333333"/>
                <w:sz w:val="18"/>
              </w:rPr>
              <w:t>LA PAZ</w:t>
            </w:r>
          </w:p>
        </w:tc>
        <w:tc>
          <w:tcPr>
            <w:tcW w:w="1039" w:type="dxa"/>
          </w:tcPr>
          <w:p>
            <w:pPr>
              <w:pStyle w:val="TableParagraph"/>
              <w:spacing w:line="206" w:lineRule="exact"/>
              <w:ind w:left="93" w:right="92"/>
              <w:rPr>
                <w:sz w:val="18"/>
              </w:rPr>
            </w:pPr>
            <w:r>
              <w:rPr>
                <w:sz w:val="18"/>
              </w:rPr>
              <w:t>232,546</w:t>
            </w:r>
          </w:p>
        </w:tc>
        <w:tc>
          <w:tcPr>
            <w:tcW w:w="1001" w:type="dxa"/>
          </w:tcPr>
          <w:p>
            <w:pPr>
              <w:pStyle w:val="TableParagraph"/>
              <w:spacing w:line="206" w:lineRule="exact"/>
              <w:ind w:right="167"/>
              <w:jc w:val="right"/>
              <w:rPr>
                <w:sz w:val="18"/>
              </w:rPr>
            </w:pPr>
            <w:r>
              <w:rPr>
                <w:sz w:val="18"/>
              </w:rPr>
              <w:t>253,845</w:t>
            </w:r>
          </w:p>
        </w:tc>
        <w:tc>
          <w:tcPr>
            <w:tcW w:w="1001" w:type="dxa"/>
          </w:tcPr>
          <w:p>
            <w:pPr>
              <w:pStyle w:val="TableParagraph"/>
              <w:spacing w:line="206" w:lineRule="exact"/>
              <w:ind w:right="167"/>
              <w:jc w:val="right"/>
              <w:rPr>
                <w:sz w:val="18"/>
              </w:rPr>
            </w:pPr>
            <w:r>
              <w:rPr>
                <w:sz w:val="18"/>
              </w:rPr>
              <w:t>257,494</w:t>
            </w:r>
          </w:p>
        </w:tc>
        <w:tc>
          <w:tcPr>
            <w:tcW w:w="1426" w:type="dxa"/>
          </w:tcPr>
          <w:p>
            <w:pPr>
              <w:pStyle w:val="TableParagraph"/>
              <w:spacing w:line="206" w:lineRule="exact"/>
              <w:ind w:left="412" w:right="263"/>
              <w:jc w:val="left"/>
              <w:rPr>
                <w:sz w:val="18"/>
              </w:rPr>
            </w:pPr>
            <w:r>
              <w:rPr>
                <w:sz w:val="18"/>
              </w:rPr>
              <w:t>Urbano</w:t>
            </w:r>
          </w:p>
        </w:tc>
      </w:tr>
      <w:tr>
        <w:trPr>
          <w:trHeight w:val="319" w:hRule="exact"/>
        </w:trPr>
        <w:tc>
          <w:tcPr>
            <w:tcW w:w="2501" w:type="dxa"/>
          </w:tcPr>
          <w:p>
            <w:pPr>
              <w:pStyle w:val="TableParagraph"/>
              <w:spacing w:line="201" w:lineRule="exact"/>
              <w:ind w:left="67" w:right="4"/>
              <w:jc w:val="left"/>
              <w:rPr>
                <w:b/>
                <w:sz w:val="18"/>
              </w:rPr>
            </w:pPr>
            <w:r>
              <w:rPr>
                <w:b/>
                <w:color w:val="333333"/>
                <w:sz w:val="18"/>
              </w:rPr>
              <w:t>LERMA</w:t>
            </w:r>
          </w:p>
        </w:tc>
        <w:tc>
          <w:tcPr>
            <w:tcW w:w="1039" w:type="dxa"/>
          </w:tcPr>
          <w:p>
            <w:pPr>
              <w:pStyle w:val="TableParagraph"/>
              <w:spacing w:line="206" w:lineRule="exact"/>
              <w:ind w:left="93" w:right="92"/>
              <w:rPr>
                <w:sz w:val="18"/>
              </w:rPr>
            </w:pPr>
            <w:r>
              <w:rPr>
                <w:sz w:val="18"/>
              </w:rPr>
              <w:t>105,578</w:t>
            </w:r>
          </w:p>
        </w:tc>
        <w:tc>
          <w:tcPr>
            <w:tcW w:w="1001" w:type="dxa"/>
          </w:tcPr>
          <w:p>
            <w:pPr>
              <w:pStyle w:val="TableParagraph"/>
              <w:spacing w:line="206" w:lineRule="exact"/>
              <w:ind w:right="167"/>
              <w:jc w:val="right"/>
              <w:rPr>
                <w:sz w:val="18"/>
              </w:rPr>
            </w:pPr>
            <w:r>
              <w:rPr>
                <w:sz w:val="18"/>
              </w:rPr>
              <w:t>134,799</w:t>
            </w:r>
          </w:p>
        </w:tc>
        <w:tc>
          <w:tcPr>
            <w:tcW w:w="1001" w:type="dxa"/>
          </w:tcPr>
          <w:p>
            <w:pPr>
              <w:pStyle w:val="TableParagraph"/>
              <w:spacing w:line="206" w:lineRule="exact"/>
              <w:ind w:right="167"/>
              <w:jc w:val="right"/>
              <w:rPr>
                <w:sz w:val="18"/>
              </w:rPr>
            </w:pPr>
            <w:r>
              <w:rPr>
                <w:sz w:val="18"/>
              </w:rPr>
              <w:t>138,887</w:t>
            </w:r>
          </w:p>
        </w:tc>
        <w:tc>
          <w:tcPr>
            <w:tcW w:w="1426" w:type="dxa"/>
          </w:tcPr>
          <w:p>
            <w:pPr>
              <w:pStyle w:val="TableParagraph"/>
              <w:spacing w:line="206" w:lineRule="exact"/>
              <w:ind w:left="412" w:right="263"/>
              <w:jc w:val="left"/>
              <w:rPr>
                <w:sz w:val="18"/>
              </w:rPr>
            </w:pPr>
            <w:r>
              <w:rPr>
                <w:sz w:val="18"/>
              </w:rPr>
              <w:t>Urbano</w:t>
            </w:r>
          </w:p>
        </w:tc>
      </w:tr>
      <w:tr>
        <w:trPr>
          <w:trHeight w:val="322" w:hRule="exact"/>
        </w:trPr>
        <w:tc>
          <w:tcPr>
            <w:tcW w:w="2501" w:type="dxa"/>
          </w:tcPr>
          <w:p>
            <w:pPr>
              <w:pStyle w:val="TableParagraph"/>
              <w:spacing w:line="201" w:lineRule="exact"/>
              <w:ind w:left="67" w:right="4"/>
              <w:jc w:val="left"/>
              <w:rPr>
                <w:b/>
                <w:sz w:val="18"/>
              </w:rPr>
            </w:pPr>
            <w:r>
              <w:rPr>
                <w:b/>
                <w:color w:val="333333"/>
                <w:sz w:val="18"/>
              </w:rPr>
              <w:t>LUVIANOS</w:t>
            </w:r>
          </w:p>
        </w:tc>
        <w:tc>
          <w:tcPr>
            <w:tcW w:w="1039" w:type="dxa"/>
          </w:tcPr>
          <w:p>
            <w:pPr>
              <w:pStyle w:val="TableParagraph"/>
              <w:spacing w:line="206" w:lineRule="exact"/>
              <w:ind w:left="93" w:right="92"/>
              <w:rPr>
                <w:sz w:val="18"/>
              </w:rPr>
            </w:pPr>
            <w:r>
              <w:rPr>
                <w:sz w:val="18"/>
              </w:rPr>
              <w:t>28,213</w:t>
            </w:r>
          </w:p>
        </w:tc>
        <w:tc>
          <w:tcPr>
            <w:tcW w:w="1001" w:type="dxa"/>
          </w:tcPr>
          <w:p>
            <w:pPr>
              <w:pStyle w:val="TableParagraph"/>
              <w:spacing w:line="206" w:lineRule="exact"/>
              <w:ind w:left="220" w:right="47"/>
              <w:jc w:val="left"/>
              <w:rPr>
                <w:sz w:val="18"/>
              </w:rPr>
            </w:pPr>
            <w:r>
              <w:rPr>
                <w:sz w:val="18"/>
              </w:rPr>
              <w:t>27,781</w:t>
            </w:r>
          </w:p>
        </w:tc>
        <w:tc>
          <w:tcPr>
            <w:tcW w:w="1001" w:type="dxa"/>
          </w:tcPr>
          <w:p>
            <w:pPr>
              <w:pStyle w:val="TableParagraph"/>
              <w:spacing w:line="206" w:lineRule="exact"/>
              <w:ind w:left="220" w:right="47"/>
              <w:jc w:val="left"/>
              <w:rPr>
                <w:sz w:val="18"/>
              </w:rPr>
            </w:pPr>
            <w:r>
              <w:rPr>
                <w:sz w:val="18"/>
              </w:rPr>
              <w:t>27,296</w:t>
            </w:r>
          </w:p>
        </w:tc>
        <w:tc>
          <w:tcPr>
            <w:tcW w:w="1426" w:type="dxa"/>
          </w:tcPr>
          <w:p>
            <w:pPr>
              <w:pStyle w:val="TableParagraph"/>
              <w:spacing w:line="206" w:lineRule="exact"/>
              <w:ind w:right="221"/>
              <w:jc w:val="right"/>
              <w:rPr>
                <w:sz w:val="18"/>
              </w:rPr>
            </w:pPr>
            <w:r>
              <w:rPr>
                <w:sz w:val="18"/>
              </w:rPr>
              <w:t>Semiurbano</w:t>
            </w:r>
          </w:p>
        </w:tc>
      </w:tr>
      <w:tr>
        <w:trPr>
          <w:trHeight w:val="319" w:hRule="exact"/>
        </w:trPr>
        <w:tc>
          <w:tcPr>
            <w:tcW w:w="2501" w:type="dxa"/>
          </w:tcPr>
          <w:p>
            <w:pPr>
              <w:pStyle w:val="TableParagraph"/>
              <w:spacing w:line="201" w:lineRule="exact"/>
              <w:ind w:left="67" w:right="4"/>
              <w:jc w:val="left"/>
              <w:rPr>
                <w:b/>
                <w:sz w:val="18"/>
              </w:rPr>
            </w:pPr>
            <w:r>
              <w:rPr>
                <w:b/>
                <w:color w:val="333333"/>
                <w:sz w:val="18"/>
              </w:rPr>
              <w:t>MALINALCO</w:t>
            </w:r>
          </w:p>
        </w:tc>
        <w:tc>
          <w:tcPr>
            <w:tcW w:w="1039" w:type="dxa"/>
          </w:tcPr>
          <w:p>
            <w:pPr>
              <w:pStyle w:val="TableParagraph"/>
              <w:spacing w:line="206" w:lineRule="exact"/>
              <w:ind w:left="93" w:right="92"/>
              <w:rPr>
                <w:sz w:val="18"/>
              </w:rPr>
            </w:pPr>
            <w:r>
              <w:rPr>
                <w:sz w:val="18"/>
              </w:rPr>
              <w:t>22,970</w:t>
            </w:r>
          </w:p>
        </w:tc>
        <w:tc>
          <w:tcPr>
            <w:tcW w:w="1001" w:type="dxa"/>
          </w:tcPr>
          <w:p>
            <w:pPr>
              <w:pStyle w:val="TableParagraph"/>
              <w:spacing w:line="206" w:lineRule="exact"/>
              <w:ind w:left="220" w:right="47"/>
              <w:jc w:val="left"/>
              <w:rPr>
                <w:sz w:val="18"/>
              </w:rPr>
            </w:pPr>
            <w:r>
              <w:rPr>
                <w:sz w:val="18"/>
              </w:rPr>
              <w:t>25,624</w:t>
            </w:r>
          </w:p>
        </w:tc>
        <w:tc>
          <w:tcPr>
            <w:tcW w:w="1001" w:type="dxa"/>
          </w:tcPr>
          <w:p>
            <w:pPr>
              <w:pStyle w:val="TableParagraph"/>
              <w:spacing w:line="206" w:lineRule="exact"/>
              <w:ind w:left="220" w:right="47"/>
              <w:jc w:val="left"/>
              <w:rPr>
                <w:sz w:val="18"/>
              </w:rPr>
            </w:pPr>
            <w:r>
              <w:rPr>
                <w:sz w:val="18"/>
              </w:rPr>
              <w:t>25,956</w:t>
            </w:r>
          </w:p>
        </w:tc>
        <w:tc>
          <w:tcPr>
            <w:tcW w:w="1426" w:type="dxa"/>
          </w:tcPr>
          <w:p>
            <w:pPr>
              <w:pStyle w:val="TableParagraph"/>
              <w:spacing w:line="206" w:lineRule="exact"/>
              <w:ind w:right="221"/>
              <w:jc w:val="right"/>
              <w:rPr>
                <w:sz w:val="18"/>
              </w:rPr>
            </w:pPr>
            <w:r>
              <w:rPr>
                <w:sz w:val="18"/>
              </w:rPr>
              <w:t>Semiurbano</w:t>
            </w:r>
          </w:p>
        </w:tc>
      </w:tr>
      <w:tr>
        <w:trPr>
          <w:trHeight w:val="322" w:hRule="exact"/>
        </w:trPr>
        <w:tc>
          <w:tcPr>
            <w:tcW w:w="2501" w:type="dxa"/>
          </w:tcPr>
          <w:p>
            <w:pPr>
              <w:pStyle w:val="TableParagraph"/>
              <w:spacing w:line="201" w:lineRule="exact"/>
              <w:ind w:left="67" w:right="4"/>
              <w:jc w:val="left"/>
              <w:rPr>
                <w:b/>
                <w:sz w:val="18"/>
              </w:rPr>
            </w:pPr>
            <w:r>
              <w:rPr>
                <w:b/>
                <w:color w:val="333333"/>
                <w:sz w:val="18"/>
              </w:rPr>
              <w:t>MELCHOR OCAMPO</w:t>
            </w:r>
          </w:p>
        </w:tc>
        <w:tc>
          <w:tcPr>
            <w:tcW w:w="1039" w:type="dxa"/>
          </w:tcPr>
          <w:p>
            <w:pPr>
              <w:pStyle w:val="TableParagraph"/>
              <w:spacing w:line="206" w:lineRule="exact"/>
              <w:ind w:left="93" w:right="92"/>
              <w:rPr>
                <w:sz w:val="18"/>
              </w:rPr>
            </w:pPr>
            <w:r>
              <w:rPr>
                <w:sz w:val="18"/>
              </w:rPr>
              <w:t>37,706</w:t>
            </w:r>
          </w:p>
        </w:tc>
        <w:tc>
          <w:tcPr>
            <w:tcW w:w="1001" w:type="dxa"/>
          </w:tcPr>
          <w:p>
            <w:pPr>
              <w:pStyle w:val="TableParagraph"/>
              <w:spacing w:line="206" w:lineRule="exact"/>
              <w:ind w:left="220" w:right="47"/>
              <w:jc w:val="left"/>
              <w:rPr>
                <w:sz w:val="18"/>
              </w:rPr>
            </w:pPr>
            <w:r>
              <w:rPr>
                <w:sz w:val="18"/>
              </w:rPr>
              <w:t>50,240</w:t>
            </w:r>
          </w:p>
        </w:tc>
        <w:tc>
          <w:tcPr>
            <w:tcW w:w="1001" w:type="dxa"/>
          </w:tcPr>
          <w:p>
            <w:pPr>
              <w:pStyle w:val="TableParagraph"/>
              <w:spacing w:line="206" w:lineRule="exact"/>
              <w:ind w:left="220" w:right="47"/>
              <w:jc w:val="left"/>
              <w:rPr>
                <w:sz w:val="18"/>
              </w:rPr>
            </w:pPr>
            <w:r>
              <w:rPr>
                <w:sz w:val="18"/>
              </w:rPr>
              <w:t>51,677</w:t>
            </w:r>
          </w:p>
        </w:tc>
        <w:tc>
          <w:tcPr>
            <w:tcW w:w="1426" w:type="dxa"/>
          </w:tcPr>
          <w:p>
            <w:pPr>
              <w:pStyle w:val="TableParagraph"/>
              <w:spacing w:line="206" w:lineRule="exact"/>
              <w:ind w:right="221"/>
              <w:jc w:val="right"/>
              <w:rPr>
                <w:sz w:val="18"/>
              </w:rPr>
            </w:pPr>
            <w:r>
              <w:rPr>
                <w:sz w:val="18"/>
              </w:rPr>
              <w:t>Semiurbano</w:t>
            </w:r>
          </w:p>
        </w:tc>
      </w:tr>
      <w:tr>
        <w:trPr>
          <w:trHeight w:val="319" w:hRule="exact"/>
        </w:trPr>
        <w:tc>
          <w:tcPr>
            <w:tcW w:w="2501" w:type="dxa"/>
          </w:tcPr>
          <w:p>
            <w:pPr>
              <w:pStyle w:val="TableParagraph"/>
              <w:spacing w:line="201" w:lineRule="exact"/>
              <w:ind w:left="67" w:right="4"/>
              <w:jc w:val="left"/>
              <w:rPr>
                <w:b/>
                <w:sz w:val="18"/>
              </w:rPr>
            </w:pPr>
            <w:r>
              <w:rPr>
                <w:b/>
                <w:color w:val="333333"/>
                <w:sz w:val="18"/>
              </w:rPr>
              <w:t>METEPEC</w:t>
            </w:r>
          </w:p>
        </w:tc>
        <w:tc>
          <w:tcPr>
            <w:tcW w:w="1039" w:type="dxa"/>
          </w:tcPr>
          <w:p>
            <w:pPr>
              <w:pStyle w:val="TableParagraph"/>
              <w:spacing w:line="206" w:lineRule="exact"/>
              <w:ind w:left="93" w:right="92"/>
              <w:rPr>
                <w:sz w:val="18"/>
              </w:rPr>
            </w:pPr>
            <w:r>
              <w:rPr>
                <w:sz w:val="18"/>
              </w:rPr>
              <w:t>206,005</w:t>
            </w:r>
          </w:p>
        </w:tc>
        <w:tc>
          <w:tcPr>
            <w:tcW w:w="1001" w:type="dxa"/>
          </w:tcPr>
          <w:p>
            <w:pPr>
              <w:pStyle w:val="TableParagraph"/>
              <w:spacing w:line="206" w:lineRule="exact"/>
              <w:ind w:right="167"/>
              <w:jc w:val="right"/>
              <w:rPr>
                <w:sz w:val="18"/>
              </w:rPr>
            </w:pPr>
            <w:r>
              <w:rPr>
                <w:sz w:val="18"/>
              </w:rPr>
              <w:t>214,162</w:t>
            </w:r>
          </w:p>
        </w:tc>
        <w:tc>
          <w:tcPr>
            <w:tcW w:w="1001" w:type="dxa"/>
          </w:tcPr>
          <w:p>
            <w:pPr>
              <w:pStyle w:val="TableParagraph"/>
              <w:spacing w:line="206" w:lineRule="exact"/>
              <w:ind w:right="167"/>
              <w:jc w:val="right"/>
              <w:rPr>
                <w:sz w:val="18"/>
              </w:rPr>
            </w:pPr>
            <w:r>
              <w:rPr>
                <w:sz w:val="18"/>
              </w:rPr>
              <w:t>215,041</w:t>
            </w:r>
          </w:p>
        </w:tc>
        <w:tc>
          <w:tcPr>
            <w:tcW w:w="1426" w:type="dxa"/>
          </w:tcPr>
          <w:p>
            <w:pPr>
              <w:pStyle w:val="TableParagraph"/>
              <w:spacing w:line="206" w:lineRule="exact"/>
              <w:ind w:left="412" w:right="263"/>
              <w:jc w:val="left"/>
              <w:rPr>
                <w:sz w:val="18"/>
              </w:rPr>
            </w:pPr>
            <w:r>
              <w:rPr>
                <w:sz w:val="18"/>
              </w:rPr>
              <w:t>Urbano</w:t>
            </w:r>
          </w:p>
        </w:tc>
      </w:tr>
      <w:tr>
        <w:trPr>
          <w:trHeight w:val="322" w:hRule="exact"/>
        </w:trPr>
        <w:tc>
          <w:tcPr>
            <w:tcW w:w="2501" w:type="dxa"/>
          </w:tcPr>
          <w:p>
            <w:pPr>
              <w:pStyle w:val="TableParagraph"/>
              <w:spacing w:line="204" w:lineRule="exact"/>
              <w:ind w:left="67" w:right="4"/>
              <w:jc w:val="left"/>
              <w:rPr>
                <w:b/>
                <w:sz w:val="18"/>
              </w:rPr>
            </w:pPr>
            <w:r>
              <w:rPr>
                <w:b/>
                <w:color w:val="333333"/>
                <w:sz w:val="18"/>
              </w:rPr>
              <w:t>MEXICALTCINGO</w:t>
            </w:r>
          </w:p>
        </w:tc>
        <w:tc>
          <w:tcPr>
            <w:tcW w:w="1039" w:type="dxa"/>
          </w:tcPr>
          <w:p>
            <w:pPr>
              <w:pStyle w:val="TableParagraph"/>
              <w:spacing w:before="1"/>
              <w:ind w:left="93" w:right="92"/>
              <w:rPr>
                <w:sz w:val="18"/>
              </w:rPr>
            </w:pPr>
            <w:r>
              <w:rPr>
                <w:sz w:val="18"/>
              </w:rPr>
              <w:t>10,161</w:t>
            </w:r>
          </w:p>
        </w:tc>
        <w:tc>
          <w:tcPr>
            <w:tcW w:w="1001" w:type="dxa"/>
          </w:tcPr>
          <w:p>
            <w:pPr>
              <w:pStyle w:val="TableParagraph"/>
              <w:spacing w:before="1"/>
              <w:ind w:left="220" w:right="47"/>
              <w:jc w:val="left"/>
              <w:rPr>
                <w:sz w:val="18"/>
              </w:rPr>
            </w:pPr>
            <w:r>
              <w:rPr>
                <w:sz w:val="18"/>
              </w:rPr>
              <w:t>11,712</w:t>
            </w:r>
          </w:p>
        </w:tc>
        <w:tc>
          <w:tcPr>
            <w:tcW w:w="1001" w:type="dxa"/>
          </w:tcPr>
          <w:p>
            <w:pPr>
              <w:pStyle w:val="TableParagraph"/>
              <w:spacing w:before="1"/>
              <w:ind w:left="220" w:right="47"/>
              <w:jc w:val="left"/>
              <w:rPr>
                <w:sz w:val="18"/>
              </w:rPr>
            </w:pPr>
            <w:r>
              <w:rPr>
                <w:sz w:val="18"/>
              </w:rPr>
              <w:t>11,974</w:t>
            </w:r>
          </w:p>
        </w:tc>
        <w:tc>
          <w:tcPr>
            <w:tcW w:w="1426" w:type="dxa"/>
          </w:tcPr>
          <w:p>
            <w:pPr>
              <w:pStyle w:val="TableParagraph"/>
              <w:spacing w:before="1"/>
              <w:ind w:left="472" w:right="473"/>
              <w:rPr>
                <w:sz w:val="18"/>
              </w:rPr>
            </w:pPr>
            <w:r>
              <w:rPr>
                <w:sz w:val="18"/>
              </w:rPr>
              <w:t>Rural</w:t>
            </w:r>
          </w:p>
        </w:tc>
      </w:tr>
      <w:tr>
        <w:trPr>
          <w:trHeight w:val="319" w:hRule="exact"/>
        </w:trPr>
        <w:tc>
          <w:tcPr>
            <w:tcW w:w="2501" w:type="dxa"/>
          </w:tcPr>
          <w:p>
            <w:pPr>
              <w:pStyle w:val="TableParagraph"/>
              <w:spacing w:line="201" w:lineRule="exact"/>
              <w:ind w:left="67" w:right="4"/>
              <w:jc w:val="left"/>
              <w:rPr>
                <w:b/>
                <w:sz w:val="18"/>
              </w:rPr>
            </w:pPr>
            <w:r>
              <w:rPr>
                <w:b/>
                <w:color w:val="333333"/>
                <w:sz w:val="18"/>
              </w:rPr>
              <w:t>MORELOS</w:t>
            </w:r>
          </w:p>
        </w:tc>
        <w:tc>
          <w:tcPr>
            <w:tcW w:w="1039" w:type="dxa"/>
          </w:tcPr>
          <w:p>
            <w:pPr>
              <w:pStyle w:val="TableParagraph"/>
              <w:spacing w:line="206" w:lineRule="exact"/>
              <w:ind w:left="93" w:right="92"/>
              <w:rPr>
                <w:sz w:val="18"/>
              </w:rPr>
            </w:pPr>
            <w:r>
              <w:rPr>
                <w:sz w:val="18"/>
              </w:rPr>
              <w:t>26,430</w:t>
            </w:r>
          </w:p>
        </w:tc>
        <w:tc>
          <w:tcPr>
            <w:tcW w:w="1001" w:type="dxa"/>
          </w:tcPr>
          <w:p>
            <w:pPr>
              <w:pStyle w:val="TableParagraph"/>
              <w:spacing w:line="206" w:lineRule="exact"/>
              <w:ind w:left="220" w:right="47"/>
              <w:jc w:val="left"/>
              <w:rPr>
                <w:sz w:val="18"/>
              </w:rPr>
            </w:pPr>
            <w:r>
              <w:rPr>
                <w:sz w:val="18"/>
              </w:rPr>
              <w:t>28,426</w:t>
            </w:r>
          </w:p>
        </w:tc>
        <w:tc>
          <w:tcPr>
            <w:tcW w:w="1001" w:type="dxa"/>
          </w:tcPr>
          <w:p>
            <w:pPr>
              <w:pStyle w:val="TableParagraph"/>
              <w:spacing w:line="206" w:lineRule="exact"/>
              <w:ind w:left="220" w:right="47"/>
              <w:jc w:val="left"/>
              <w:rPr>
                <w:sz w:val="18"/>
              </w:rPr>
            </w:pPr>
            <w:r>
              <w:rPr>
                <w:sz w:val="18"/>
              </w:rPr>
              <w:t>28,384</w:t>
            </w:r>
          </w:p>
        </w:tc>
        <w:tc>
          <w:tcPr>
            <w:tcW w:w="1426" w:type="dxa"/>
          </w:tcPr>
          <w:p>
            <w:pPr>
              <w:pStyle w:val="TableParagraph"/>
              <w:spacing w:line="206" w:lineRule="exact"/>
              <w:ind w:right="221"/>
              <w:jc w:val="right"/>
              <w:rPr>
                <w:sz w:val="18"/>
              </w:rPr>
            </w:pPr>
            <w:r>
              <w:rPr>
                <w:sz w:val="18"/>
              </w:rPr>
              <w:t>Semiurbano</w:t>
            </w:r>
          </w:p>
        </w:tc>
      </w:tr>
      <w:tr>
        <w:trPr>
          <w:trHeight w:val="322" w:hRule="exact"/>
        </w:trPr>
        <w:tc>
          <w:tcPr>
            <w:tcW w:w="2501" w:type="dxa"/>
          </w:tcPr>
          <w:p>
            <w:pPr>
              <w:pStyle w:val="TableParagraph"/>
              <w:spacing w:line="204" w:lineRule="exact"/>
              <w:ind w:left="67" w:right="4"/>
              <w:jc w:val="left"/>
              <w:rPr>
                <w:b/>
                <w:sz w:val="18"/>
              </w:rPr>
            </w:pPr>
            <w:r>
              <w:rPr>
                <w:b/>
                <w:color w:val="333333"/>
                <w:sz w:val="18"/>
              </w:rPr>
              <w:t>NAUCALPAN DE JUAREZ</w:t>
            </w:r>
          </w:p>
        </w:tc>
        <w:tc>
          <w:tcPr>
            <w:tcW w:w="1039" w:type="dxa"/>
          </w:tcPr>
          <w:p>
            <w:pPr>
              <w:pStyle w:val="TableParagraph"/>
              <w:spacing w:before="1"/>
              <w:ind w:left="93" w:right="92"/>
              <w:rPr>
                <w:sz w:val="18"/>
              </w:rPr>
            </w:pPr>
            <w:r>
              <w:rPr>
                <w:sz w:val="18"/>
              </w:rPr>
              <w:t>821,442</w:t>
            </w:r>
          </w:p>
        </w:tc>
        <w:tc>
          <w:tcPr>
            <w:tcW w:w="1001" w:type="dxa"/>
          </w:tcPr>
          <w:p>
            <w:pPr>
              <w:pStyle w:val="TableParagraph"/>
              <w:spacing w:before="1"/>
              <w:ind w:right="167"/>
              <w:jc w:val="right"/>
              <w:rPr>
                <w:sz w:val="18"/>
              </w:rPr>
            </w:pPr>
            <w:r>
              <w:rPr>
                <w:sz w:val="18"/>
              </w:rPr>
              <w:t>833,779</w:t>
            </w:r>
          </w:p>
        </w:tc>
        <w:tc>
          <w:tcPr>
            <w:tcW w:w="1001" w:type="dxa"/>
          </w:tcPr>
          <w:p>
            <w:pPr>
              <w:pStyle w:val="TableParagraph"/>
              <w:spacing w:before="1"/>
              <w:ind w:right="167"/>
              <w:jc w:val="right"/>
              <w:rPr>
                <w:sz w:val="18"/>
              </w:rPr>
            </w:pPr>
            <w:r>
              <w:rPr>
                <w:sz w:val="18"/>
              </w:rPr>
              <w:t>823,965</w:t>
            </w:r>
          </w:p>
        </w:tc>
        <w:tc>
          <w:tcPr>
            <w:tcW w:w="1426" w:type="dxa"/>
          </w:tcPr>
          <w:p>
            <w:pPr>
              <w:pStyle w:val="TableParagraph"/>
              <w:spacing w:before="1"/>
              <w:ind w:right="161"/>
              <w:jc w:val="right"/>
              <w:rPr>
                <w:sz w:val="18"/>
              </w:rPr>
            </w:pPr>
            <w:r>
              <w:rPr>
                <w:sz w:val="18"/>
              </w:rPr>
              <w:t>Metropolitano</w:t>
            </w:r>
          </w:p>
        </w:tc>
      </w:tr>
      <w:tr>
        <w:trPr>
          <w:trHeight w:val="319" w:hRule="exact"/>
        </w:trPr>
        <w:tc>
          <w:tcPr>
            <w:tcW w:w="2501" w:type="dxa"/>
          </w:tcPr>
          <w:p>
            <w:pPr>
              <w:pStyle w:val="TableParagraph"/>
              <w:spacing w:line="201" w:lineRule="exact"/>
              <w:ind w:left="67" w:right="4"/>
              <w:jc w:val="left"/>
              <w:rPr>
                <w:b/>
                <w:sz w:val="18"/>
              </w:rPr>
            </w:pPr>
            <w:r>
              <w:rPr>
                <w:b/>
                <w:color w:val="333333"/>
                <w:sz w:val="18"/>
              </w:rPr>
              <w:t>NEXTLALPAN</w:t>
            </w:r>
          </w:p>
        </w:tc>
        <w:tc>
          <w:tcPr>
            <w:tcW w:w="1039" w:type="dxa"/>
          </w:tcPr>
          <w:p>
            <w:pPr>
              <w:pStyle w:val="TableParagraph"/>
              <w:spacing w:line="206" w:lineRule="exact"/>
              <w:ind w:left="93" w:right="92"/>
              <w:rPr>
                <w:sz w:val="18"/>
              </w:rPr>
            </w:pPr>
            <w:r>
              <w:rPr>
                <w:sz w:val="18"/>
              </w:rPr>
              <w:t>22,507</w:t>
            </w:r>
          </w:p>
        </w:tc>
        <w:tc>
          <w:tcPr>
            <w:tcW w:w="1001" w:type="dxa"/>
          </w:tcPr>
          <w:p>
            <w:pPr>
              <w:pStyle w:val="TableParagraph"/>
              <w:spacing w:line="206" w:lineRule="exact"/>
              <w:ind w:left="220" w:right="47"/>
              <w:jc w:val="left"/>
              <w:rPr>
                <w:sz w:val="18"/>
              </w:rPr>
            </w:pPr>
            <w:r>
              <w:rPr>
                <w:sz w:val="18"/>
              </w:rPr>
              <w:t>34,374</w:t>
            </w:r>
          </w:p>
        </w:tc>
        <w:tc>
          <w:tcPr>
            <w:tcW w:w="1001" w:type="dxa"/>
          </w:tcPr>
          <w:p>
            <w:pPr>
              <w:pStyle w:val="TableParagraph"/>
              <w:spacing w:line="206" w:lineRule="exact"/>
              <w:ind w:left="220" w:right="47"/>
              <w:jc w:val="left"/>
              <w:rPr>
                <w:sz w:val="18"/>
              </w:rPr>
            </w:pPr>
            <w:r>
              <w:rPr>
                <w:sz w:val="18"/>
              </w:rPr>
              <w:t>36,634</w:t>
            </w:r>
          </w:p>
        </w:tc>
        <w:tc>
          <w:tcPr>
            <w:tcW w:w="1426" w:type="dxa"/>
          </w:tcPr>
          <w:p>
            <w:pPr>
              <w:pStyle w:val="TableParagraph"/>
              <w:spacing w:line="206" w:lineRule="exact"/>
              <w:ind w:right="221"/>
              <w:jc w:val="right"/>
              <w:rPr>
                <w:sz w:val="18"/>
              </w:rPr>
            </w:pPr>
            <w:r>
              <w:rPr>
                <w:sz w:val="18"/>
              </w:rPr>
              <w:t>Semiurbano</w:t>
            </w:r>
          </w:p>
        </w:tc>
      </w:tr>
      <w:tr>
        <w:trPr>
          <w:trHeight w:val="322" w:hRule="exact"/>
        </w:trPr>
        <w:tc>
          <w:tcPr>
            <w:tcW w:w="2501" w:type="dxa"/>
          </w:tcPr>
          <w:p>
            <w:pPr>
              <w:pStyle w:val="TableParagraph"/>
              <w:spacing w:line="204" w:lineRule="exact"/>
              <w:ind w:left="67" w:right="4"/>
              <w:jc w:val="left"/>
              <w:rPr>
                <w:b/>
                <w:sz w:val="18"/>
              </w:rPr>
            </w:pPr>
            <w:r>
              <w:rPr>
                <w:b/>
                <w:color w:val="333333"/>
                <w:sz w:val="18"/>
              </w:rPr>
              <w:t>NEZAHUALCOYOTL</w:t>
            </w:r>
          </w:p>
        </w:tc>
        <w:tc>
          <w:tcPr>
            <w:tcW w:w="1039" w:type="dxa"/>
          </w:tcPr>
          <w:p>
            <w:pPr>
              <w:pStyle w:val="TableParagraph"/>
              <w:spacing w:before="2"/>
              <w:ind w:left="93" w:right="94"/>
              <w:rPr>
                <w:sz w:val="18"/>
              </w:rPr>
            </w:pPr>
            <w:r>
              <w:rPr>
                <w:sz w:val="18"/>
              </w:rPr>
              <w:t>1,140,528</w:t>
            </w:r>
          </w:p>
        </w:tc>
        <w:tc>
          <w:tcPr>
            <w:tcW w:w="1001" w:type="dxa"/>
          </w:tcPr>
          <w:p>
            <w:pPr>
              <w:pStyle w:val="TableParagraph"/>
              <w:spacing w:before="2"/>
              <w:ind w:right="93"/>
              <w:jc w:val="right"/>
              <w:rPr>
                <w:sz w:val="18"/>
              </w:rPr>
            </w:pPr>
            <w:r>
              <w:rPr>
                <w:sz w:val="18"/>
              </w:rPr>
              <w:t>1,110,565</w:t>
            </w:r>
          </w:p>
        </w:tc>
        <w:tc>
          <w:tcPr>
            <w:tcW w:w="1001" w:type="dxa"/>
          </w:tcPr>
          <w:p>
            <w:pPr>
              <w:pStyle w:val="TableParagraph"/>
              <w:spacing w:before="2"/>
              <w:ind w:right="93"/>
              <w:jc w:val="right"/>
              <w:rPr>
                <w:sz w:val="18"/>
              </w:rPr>
            </w:pPr>
            <w:r>
              <w:rPr>
                <w:sz w:val="18"/>
              </w:rPr>
              <w:t>1,087,897</w:t>
            </w:r>
          </w:p>
        </w:tc>
        <w:tc>
          <w:tcPr>
            <w:tcW w:w="1426" w:type="dxa"/>
          </w:tcPr>
          <w:p>
            <w:pPr>
              <w:pStyle w:val="TableParagraph"/>
              <w:spacing w:before="2"/>
              <w:ind w:right="163"/>
              <w:jc w:val="right"/>
              <w:rPr>
                <w:sz w:val="18"/>
              </w:rPr>
            </w:pPr>
            <w:r>
              <w:rPr>
                <w:sz w:val="18"/>
              </w:rPr>
              <w:t>Metropolitano</w:t>
            </w:r>
          </w:p>
        </w:tc>
      </w:tr>
      <w:tr>
        <w:trPr>
          <w:trHeight w:val="322" w:hRule="exact"/>
        </w:trPr>
        <w:tc>
          <w:tcPr>
            <w:tcW w:w="2501" w:type="dxa"/>
          </w:tcPr>
          <w:p>
            <w:pPr>
              <w:pStyle w:val="TableParagraph"/>
              <w:spacing w:line="201" w:lineRule="exact"/>
              <w:ind w:left="67" w:right="4"/>
              <w:jc w:val="left"/>
              <w:rPr>
                <w:b/>
                <w:sz w:val="18"/>
              </w:rPr>
            </w:pPr>
            <w:r>
              <w:rPr>
                <w:b/>
                <w:color w:val="333333"/>
                <w:sz w:val="18"/>
              </w:rPr>
              <w:t>NICOLAS ROMERO</w:t>
            </w:r>
          </w:p>
        </w:tc>
        <w:tc>
          <w:tcPr>
            <w:tcW w:w="1039" w:type="dxa"/>
          </w:tcPr>
          <w:p>
            <w:pPr>
              <w:pStyle w:val="TableParagraph"/>
              <w:spacing w:line="206" w:lineRule="exact"/>
              <w:ind w:left="93" w:right="92"/>
              <w:rPr>
                <w:sz w:val="18"/>
              </w:rPr>
            </w:pPr>
            <w:r>
              <w:rPr>
                <w:sz w:val="18"/>
              </w:rPr>
              <w:t>306,516</w:t>
            </w:r>
          </w:p>
        </w:tc>
        <w:tc>
          <w:tcPr>
            <w:tcW w:w="1001" w:type="dxa"/>
          </w:tcPr>
          <w:p>
            <w:pPr>
              <w:pStyle w:val="TableParagraph"/>
              <w:spacing w:line="206" w:lineRule="exact"/>
              <w:ind w:right="167"/>
              <w:jc w:val="right"/>
              <w:rPr>
                <w:sz w:val="18"/>
              </w:rPr>
            </w:pPr>
            <w:r>
              <w:rPr>
                <w:sz w:val="18"/>
              </w:rPr>
              <w:t>366,602</w:t>
            </w:r>
          </w:p>
        </w:tc>
        <w:tc>
          <w:tcPr>
            <w:tcW w:w="1001" w:type="dxa"/>
          </w:tcPr>
          <w:p>
            <w:pPr>
              <w:pStyle w:val="TableParagraph"/>
              <w:spacing w:line="206" w:lineRule="exact"/>
              <w:ind w:right="167"/>
              <w:jc w:val="right"/>
              <w:rPr>
                <w:sz w:val="18"/>
              </w:rPr>
            </w:pPr>
            <w:r>
              <w:rPr>
                <w:sz w:val="18"/>
              </w:rPr>
              <w:t>378,085</w:t>
            </w:r>
          </w:p>
        </w:tc>
        <w:tc>
          <w:tcPr>
            <w:tcW w:w="1426" w:type="dxa"/>
          </w:tcPr>
          <w:p>
            <w:pPr>
              <w:pStyle w:val="TableParagraph"/>
              <w:spacing w:line="206" w:lineRule="exact"/>
              <w:ind w:left="412" w:right="263"/>
              <w:jc w:val="left"/>
              <w:rPr>
                <w:sz w:val="18"/>
              </w:rPr>
            </w:pPr>
            <w:r>
              <w:rPr>
                <w:sz w:val="18"/>
              </w:rPr>
              <w:t>Urbano</w:t>
            </w:r>
          </w:p>
        </w:tc>
      </w:tr>
      <w:tr>
        <w:trPr>
          <w:trHeight w:val="319" w:hRule="exact"/>
        </w:trPr>
        <w:tc>
          <w:tcPr>
            <w:tcW w:w="2501" w:type="dxa"/>
          </w:tcPr>
          <w:p>
            <w:pPr>
              <w:pStyle w:val="TableParagraph"/>
              <w:spacing w:line="201" w:lineRule="exact"/>
              <w:ind w:left="67" w:right="4"/>
              <w:jc w:val="left"/>
              <w:rPr>
                <w:b/>
                <w:sz w:val="18"/>
              </w:rPr>
            </w:pPr>
            <w:r>
              <w:rPr>
                <w:b/>
                <w:color w:val="333333"/>
                <w:sz w:val="18"/>
              </w:rPr>
              <w:t>NOPALTEPEC</w:t>
            </w:r>
          </w:p>
        </w:tc>
        <w:tc>
          <w:tcPr>
            <w:tcW w:w="1039" w:type="dxa"/>
          </w:tcPr>
          <w:p>
            <w:pPr>
              <w:pStyle w:val="TableParagraph"/>
              <w:spacing w:line="206" w:lineRule="exact"/>
              <w:ind w:left="93" w:right="94"/>
              <w:rPr>
                <w:sz w:val="18"/>
              </w:rPr>
            </w:pPr>
            <w:r>
              <w:rPr>
                <w:sz w:val="18"/>
              </w:rPr>
              <w:t>8,182</w:t>
            </w:r>
          </w:p>
        </w:tc>
        <w:tc>
          <w:tcPr>
            <w:tcW w:w="1001" w:type="dxa"/>
          </w:tcPr>
          <w:p>
            <w:pPr>
              <w:pStyle w:val="TableParagraph"/>
              <w:spacing w:line="206" w:lineRule="exact"/>
              <w:ind w:left="268" w:right="47"/>
              <w:jc w:val="left"/>
              <w:rPr>
                <w:sz w:val="18"/>
              </w:rPr>
            </w:pPr>
            <w:r>
              <w:rPr>
                <w:sz w:val="18"/>
              </w:rPr>
              <w:t>8,895</w:t>
            </w:r>
          </w:p>
        </w:tc>
        <w:tc>
          <w:tcPr>
            <w:tcW w:w="1001" w:type="dxa"/>
          </w:tcPr>
          <w:p>
            <w:pPr>
              <w:pStyle w:val="TableParagraph"/>
              <w:spacing w:line="206" w:lineRule="exact"/>
              <w:ind w:left="268" w:right="47"/>
              <w:jc w:val="left"/>
              <w:rPr>
                <w:sz w:val="18"/>
              </w:rPr>
            </w:pPr>
            <w:r>
              <w:rPr>
                <w:sz w:val="18"/>
              </w:rPr>
              <w:t>9,014</w:t>
            </w:r>
          </w:p>
        </w:tc>
        <w:tc>
          <w:tcPr>
            <w:tcW w:w="1426" w:type="dxa"/>
          </w:tcPr>
          <w:p>
            <w:pPr>
              <w:pStyle w:val="TableParagraph"/>
              <w:spacing w:line="206" w:lineRule="exact"/>
              <w:ind w:left="472" w:right="473"/>
              <w:rPr>
                <w:sz w:val="18"/>
              </w:rPr>
            </w:pPr>
            <w:r>
              <w:rPr>
                <w:sz w:val="18"/>
              </w:rPr>
              <w:t>Rural</w:t>
            </w:r>
          </w:p>
        </w:tc>
      </w:tr>
      <w:tr>
        <w:trPr>
          <w:trHeight w:val="322" w:hRule="exact"/>
        </w:trPr>
        <w:tc>
          <w:tcPr>
            <w:tcW w:w="2501" w:type="dxa"/>
          </w:tcPr>
          <w:p>
            <w:pPr>
              <w:pStyle w:val="TableParagraph"/>
              <w:spacing w:line="201" w:lineRule="exact"/>
              <w:ind w:left="67" w:right="4"/>
              <w:jc w:val="left"/>
              <w:rPr>
                <w:b/>
                <w:sz w:val="18"/>
              </w:rPr>
            </w:pPr>
            <w:r>
              <w:rPr>
                <w:b/>
                <w:color w:val="333333"/>
                <w:sz w:val="18"/>
              </w:rPr>
              <w:t>OCOYOACAC</w:t>
            </w:r>
          </w:p>
        </w:tc>
        <w:tc>
          <w:tcPr>
            <w:tcW w:w="1039" w:type="dxa"/>
          </w:tcPr>
          <w:p>
            <w:pPr>
              <w:pStyle w:val="TableParagraph"/>
              <w:spacing w:line="206" w:lineRule="exact"/>
              <w:ind w:left="93" w:right="92"/>
              <w:rPr>
                <w:sz w:val="18"/>
              </w:rPr>
            </w:pPr>
            <w:r>
              <w:rPr>
                <w:sz w:val="18"/>
              </w:rPr>
              <w:t>54,224</w:t>
            </w:r>
          </w:p>
        </w:tc>
        <w:tc>
          <w:tcPr>
            <w:tcW w:w="1001" w:type="dxa"/>
          </w:tcPr>
          <w:p>
            <w:pPr>
              <w:pStyle w:val="TableParagraph"/>
              <w:spacing w:line="206" w:lineRule="exact"/>
              <w:ind w:left="220" w:right="47"/>
              <w:jc w:val="left"/>
              <w:rPr>
                <w:sz w:val="18"/>
              </w:rPr>
            </w:pPr>
            <w:r>
              <w:rPr>
                <w:sz w:val="18"/>
              </w:rPr>
              <w:t>61,805</w:t>
            </w:r>
          </w:p>
        </w:tc>
        <w:tc>
          <w:tcPr>
            <w:tcW w:w="1001" w:type="dxa"/>
          </w:tcPr>
          <w:p>
            <w:pPr>
              <w:pStyle w:val="TableParagraph"/>
              <w:spacing w:line="206" w:lineRule="exact"/>
              <w:ind w:left="220" w:right="47"/>
              <w:jc w:val="left"/>
              <w:rPr>
                <w:sz w:val="18"/>
              </w:rPr>
            </w:pPr>
            <w:r>
              <w:rPr>
                <w:sz w:val="18"/>
              </w:rPr>
              <w:t>63,030</w:t>
            </w:r>
          </w:p>
        </w:tc>
        <w:tc>
          <w:tcPr>
            <w:tcW w:w="1426" w:type="dxa"/>
          </w:tcPr>
          <w:p>
            <w:pPr>
              <w:pStyle w:val="TableParagraph"/>
              <w:spacing w:line="206" w:lineRule="exact"/>
              <w:ind w:right="221"/>
              <w:jc w:val="right"/>
              <w:rPr>
                <w:sz w:val="18"/>
              </w:rPr>
            </w:pPr>
            <w:r>
              <w:rPr>
                <w:sz w:val="18"/>
              </w:rPr>
              <w:t>Semiurbano</w:t>
            </w:r>
          </w:p>
        </w:tc>
      </w:tr>
      <w:tr>
        <w:trPr>
          <w:trHeight w:val="319" w:hRule="exact"/>
        </w:trPr>
        <w:tc>
          <w:tcPr>
            <w:tcW w:w="2501" w:type="dxa"/>
          </w:tcPr>
          <w:p>
            <w:pPr>
              <w:pStyle w:val="TableParagraph"/>
              <w:spacing w:line="201" w:lineRule="exact"/>
              <w:ind w:left="67" w:right="4"/>
              <w:jc w:val="left"/>
              <w:rPr>
                <w:b/>
                <w:sz w:val="18"/>
              </w:rPr>
            </w:pPr>
            <w:r>
              <w:rPr>
                <w:b/>
                <w:color w:val="333333"/>
                <w:sz w:val="18"/>
              </w:rPr>
              <w:t>OCUILAN</w:t>
            </w:r>
          </w:p>
        </w:tc>
        <w:tc>
          <w:tcPr>
            <w:tcW w:w="1039" w:type="dxa"/>
          </w:tcPr>
          <w:p>
            <w:pPr>
              <w:pStyle w:val="TableParagraph"/>
              <w:spacing w:line="206" w:lineRule="exact"/>
              <w:ind w:left="93" w:right="92"/>
              <w:rPr>
                <w:sz w:val="18"/>
              </w:rPr>
            </w:pPr>
            <w:r>
              <w:rPr>
                <w:sz w:val="18"/>
              </w:rPr>
              <w:t>26,332</w:t>
            </w:r>
          </w:p>
        </w:tc>
        <w:tc>
          <w:tcPr>
            <w:tcW w:w="1001" w:type="dxa"/>
          </w:tcPr>
          <w:p>
            <w:pPr>
              <w:pStyle w:val="TableParagraph"/>
              <w:spacing w:line="206" w:lineRule="exact"/>
              <w:ind w:left="220" w:right="47"/>
              <w:jc w:val="left"/>
              <w:rPr>
                <w:sz w:val="18"/>
              </w:rPr>
            </w:pPr>
            <w:r>
              <w:rPr>
                <w:sz w:val="18"/>
              </w:rPr>
              <w:t>31,803</w:t>
            </w:r>
          </w:p>
        </w:tc>
        <w:tc>
          <w:tcPr>
            <w:tcW w:w="1001" w:type="dxa"/>
          </w:tcPr>
          <w:p>
            <w:pPr>
              <w:pStyle w:val="TableParagraph"/>
              <w:spacing w:line="206" w:lineRule="exact"/>
              <w:ind w:left="220" w:right="47"/>
              <w:jc w:val="left"/>
              <w:rPr>
                <w:sz w:val="18"/>
              </w:rPr>
            </w:pPr>
            <w:r>
              <w:rPr>
                <w:sz w:val="18"/>
              </w:rPr>
              <w:t>32,363</w:t>
            </w:r>
          </w:p>
        </w:tc>
        <w:tc>
          <w:tcPr>
            <w:tcW w:w="1426" w:type="dxa"/>
          </w:tcPr>
          <w:p>
            <w:pPr>
              <w:pStyle w:val="TableParagraph"/>
              <w:spacing w:line="206" w:lineRule="exact"/>
              <w:ind w:right="221"/>
              <w:jc w:val="right"/>
              <w:rPr>
                <w:sz w:val="18"/>
              </w:rPr>
            </w:pPr>
            <w:r>
              <w:rPr>
                <w:sz w:val="18"/>
              </w:rPr>
              <w:t>Semiurbano</w:t>
            </w:r>
          </w:p>
        </w:tc>
      </w:tr>
      <w:tr>
        <w:trPr>
          <w:trHeight w:val="322" w:hRule="exact"/>
        </w:trPr>
        <w:tc>
          <w:tcPr>
            <w:tcW w:w="2501" w:type="dxa"/>
          </w:tcPr>
          <w:p>
            <w:pPr>
              <w:pStyle w:val="TableParagraph"/>
              <w:spacing w:line="201" w:lineRule="exact"/>
              <w:ind w:left="67" w:right="4"/>
              <w:jc w:val="left"/>
              <w:rPr>
                <w:b/>
                <w:sz w:val="18"/>
              </w:rPr>
            </w:pPr>
            <w:r>
              <w:rPr>
                <w:b/>
                <w:color w:val="333333"/>
                <w:sz w:val="18"/>
              </w:rPr>
              <w:t>OTUMBA</w:t>
            </w:r>
          </w:p>
        </w:tc>
        <w:tc>
          <w:tcPr>
            <w:tcW w:w="1039" w:type="dxa"/>
          </w:tcPr>
          <w:p>
            <w:pPr>
              <w:pStyle w:val="TableParagraph"/>
              <w:spacing w:line="206" w:lineRule="exact"/>
              <w:ind w:left="93" w:right="92"/>
              <w:rPr>
                <w:sz w:val="18"/>
              </w:rPr>
            </w:pPr>
            <w:r>
              <w:rPr>
                <w:sz w:val="18"/>
              </w:rPr>
              <w:t>29,889</w:t>
            </w:r>
          </w:p>
        </w:tc>
        <w:tc>
          <w:tcPr>
            <w:tcW w:w="1001" w:type="dxa"/>
          </w:tcPr>
          <w:p>
            <w:pPr>
              <w:pStyle w:val="TableParagraph"/>
              <w:spacing w:line="206" w:lineRule="exact"/>
              <w:ind w:left="220" w:right="47"/>
              <w:jc w:val="left"/>
              <w:rPr>
                <w:sz w:val="18"/>
              </w:rPr>
            </w:pPr>
            <w:r>
              <w:rPr>
                <w:sz w:val="18"/>
              </w:rPr>
              <w:t>34,232</w:t>
            </w:r>
          </w:p>
        </w:tc>
        <w:tc>
          <w:tcPr>
            <w:tcW w:w="1001" w:type="dxa"/>
          </w:tcPr>
          <w:p>
            <w:pPr>
              <w:pStyle w:val="TableParagraph"/>
              <w:spacing w:line="206" w:lineRule="exact"/>
              <w:ind w:left="220" w:right="47"/>
              <w:jc w:val="left"/>
              <w:rPr>
                <w:sz w:val="18"/>
              </w:rPr>
            </w:pPr>
            <w:r>
              <w:rPr>
                <w:sz w:val="18"/>
              </w:rPr>
              <w:t>34,661</w:t>
            </w:r>
          </w:p>
        </w:tc>
        <w:tc>
          <w:tcPr>
            <w:tcW w:w="1426" w:type="dxa"/>
          </w:tcPr>
          <w:p>
            <w:pPr>
              <w:pStyle w:val="TableParagraph"/>
              <w:spacing w:line="206" w:lineRule="exact"/>
              <w:ind w:right="221"/>
              <w:jc w:val="right"/>
              <w:rPr>
                <w:sz w:val="18"/>
              </w:rPr>
            </w:pPr>
            <w:r>
              <w:rPr>
                <w:sz w:val="18"/>
              </w:rPr>
              <w:t>Semiurbano</w:t>
            </w:r>
          </w:p>
        </w:tc>
      </w:tr>
    </w:tbl>
    <w:p>
      <w:pPr>
        <w:spacing w:after="0" w:line="206" w:lineRule="exact"/>
        <w:jc w:val="right"/>
        <w:rPr>
          <w:sz w:val="18"/>
        </w:rPr>
        <w:sectPr>
          <w:pgSz w:w="12240" w:h="15840"/>
          <w:pgMar w:header="0" w:footer="975" w:top="1500" w:bottom="1160" w:left="1720" w:right="1720"/>
        </w:sectPr>
      </w:pPr>
    </w:p>
    <w:tbl>
      <w:tblPr>
        <w:tblW w:w="0" w:type="auto"/>
        <w:jc w:val="left"/>
        <w:tblInd w:w="9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01"/>
        <w:gridCol w:w="1039"/>
        <w:gridCol w:w="1030"/>
        <w:gridCol w:w="1030"/>
        <w:gridCol w:w="1369"/>
      </w:tblGrid>
      <w:tr>
        <w:trPr>
          <w:trHeight w:val="424" w:hRule="exact"/>
        </w:trPr>
        <w:tc>
          <w:tcPr>
            <w:tcW w:w="6969" w:type="dxa"/>
            <w:gridSpan w:val="5"/>
            <w:shd w:val="clear" w:color="auto" w:fill="92D050"/>
          </w:tcPr>
          <w:p>
            <w:pPr>
              <w:pStyle w:val="TableParagraph"/>
              <w:ind w:left="2410" w:right="275" w:hanging="2118"/>
              <w:jc w:val="left"/>
              <w:rPr>
                <w:b/>
                <w:sz w:val="18"/>
              </w:rPr>
            </w:pPr>
            <w:r>
              <w:rPr>
                <w:b/>
                <w:sz w:val="18"/>
              </w:rPr>
              <w:t>Tabla 1.15. Clasificación de los municipios del Estado de México según su población (continuación)</w:t>
            </w:r>
          </w:p>
        </w:tc>
      </w:tr>
      <w:tr>
        <w:trPr>
          <w:trHeight w:val="425" w:hRule="exact"/>
        </w:trPr>
        <w:tc>
          <w:tcPr>
            <w:tcW w:w="2501" w:type="dxa"/>
            <w:shd w:val="clear" w:color="auto" w:fill="92D050"/>
          </w:tcPr>
          <w:p>
            <w:pPr>
              <w:pStyle w:val="TableParagraph"/>
              <w:spacing w:before="2"/>
              <w:jc w:val="left"/>
              <w:rPr>
                <w:rFonts w:ascii="Times New Roman"/>
                <w:sz w:val="17"/>
              </w:rPr>
            </w:pPr>
          </w:p>
          <w:p>
            <w:pPr>
              <w:pStyle w:val="TableParagraph"/>
              <w:ind w:left="825" w:right="4"/>
              <w:jc w:val="left"/>
              <w:rPr>
                <w:b/>
                <w:sz w:val="18"/>
              </w:rPr>
            </w:pPr>
            <w:r>
              <w:rPr>
                <w:b/>
                <w:sz w:val="18"/>
              </w:rPr>
              <w:t>Municipio</w:t>
            </w:r>
          </w:p>
        </w:tc>
        <w:tc>
          <w:tcPr>
            <w:tcW w:w="1039" w:type="dxa"/>
            <w:shd w:val="clear" w:color="auto" w:fill="92D050"/>
          </w:tcPr>
          <w:p>
            <w:pPr>
              <w:pStyle w:val="TableParagraph"/>
              <w:ind w:left="314" w:right="66" w:hanging="231"/>
              <w:jc w:val="left"/>
              <w:rPr>
                <w:b/>
                <w:sz w:val="18"/>
              </w:rPr>
            </w:pPr>
            <w:r>
              <w:rPr>
                <w:b/>
                <w:sz w:val="18"/>
              </w:rPr>
              <w:t>Población 2005</w:t>
            </w:r>
          </w:p>
        </w:tc>
        <w:tc>
          <w:tcPr>
            <w:tcW w:w="1030" w:type="dxa"/>
            <w:shd w:val="clear" w:color="auto" w:fill="92D050"/>
          </w:tcPr>
          <w:p>
            <w:pPr>
              <w:pStyle w:val="TableParagraph"/>
              <w:ind w:left="295" w:right="76" w:hanging="231"/>
              <w:jc w:val="left"/>
              <w:rPr>
                <w:b/>
                <w:sz w:val="18"/>
              </w:rPr>
            </w:pPr>
            <w:r>
              <w:rPr>
                <w:b/>
                <w:sz w:val="18"/>
              </w:rPr>
              <w:t>Población 2010</w:t>
            </w:r>
          </w:p>
        </w:tc>
        <w:tc>
          <w:tcPr>
            <w:tcW w:w="1030" w:type="dxa"/>
            <w:shd w:val="clear" w:color="auto" w:fill="92D050"/>
          </w:tcPr>
          <w:p>
            <w:pPr>
              <w:pStyle w:val="TableParagraph"/>
              <w:ind w:left="266" w:right="104" w:hanging="231"/>
              <w:jc w:val="left"/>
              <w:rPr>
                <w:b/>
                <w:sz w:val="18"/>
              </w:rPr>
            </w:pPr>
            <w:r>
              <w:rPr>
                <w:b/>
                <w:sz w:val="18"/>
              </w:rPr>
              <w:t>Población 2012</w:t>
            </w:r>
          </w:p>
        </w:tc>
        <w:tc>
          <w:tcPr>
            <w:tcW w:w="1369" w:type="dxa"/>
            <w:shd w:val="clear" w:color="auto" w:fill="92D050"/>
          </w:tcPr>
          <w:p>
            <w:pPr>
              <w:pStyle w:val="TableParagraph"/>
              <w:ind w:left="225" w:right="264" w:firstLine="103"/>
              <w:jc w:val="left"/>
              <w:rPr>
                <w:b/>
                <w:sz w:val="18"/>
              </w:rPr>
            </w:pPr>
            <w:r>
              <w:rPr>
                <w:b/>
                <w:sz w:val="18"/>
              </w:rPr>
              <w:t>Tipo de municipio</w:t>
            </w:r>
          </w:p>
        </w:tc>
      </w:tr>
      <w:tr>
        <w:trPr>
          <w:trHeight w:val="319" w:hRule="exact"/>
        </w:trPr>
        <w:tc>
          <w:tcPr>
            <w:tcW w:w="2501" w:type="dxa"/>
          </w:tcPr>
          <w:p>
            <w:pPr>
              <w:pStyle w:val="TableParagraph"/>
              <w:spacing w:line="199" w:lineRule="exact"/>
              <w:ind w:left="67" w:right="4"/>
              <w:jc w:val="left"/>
              <w:rPr>
                <w:b/>
                <w:sz w:val="18"/>
              </w:rPr>
            </w:pPr>
            <w:r>
              <w:rPr>
                <w:b/>
                <w:color w:val="333333"/>
                <w:sz w:val="18"/>
              </w:rPr>
              <w:t>OTZOLOAPAN</w:t>
            </w:r>
          </w:p>
        </w:tc>
        <w:tc>
          <w:tcPr>
            <w:tcW w:w="1039" w:type="dxa"/>
          </w:tcPr>
          <w:p>
            <w:pPr>
              <w:pStyle w:val="TableParagraph"/>
              <w:spacing w:line="203" w:lineRule="exact"/>
              <w:ind w:left="93" w:right="94"/>
              <w:rPr>
                <w:sz w:val="18"/>
              </w:rPr>
            </w:pPr>
            <w:r>
              <w:rPr>
                <w:sz w:val="18"/>
              </w:rPr>
              <w:t>4,748</w:t>
            </w:r>
          </w:p>
        </w:tc>
        <w:tc>
          <w:tcPr>
            <w:tcW w:w="1030" w:type="dxa"/>
          </w:tcPr>
          <w:p>
            <w:pPr>
              <w:pStyle w:val="TableParagraph"/>
              <w:spacing w:line="203" w:lineRule="exact"/>
              <w:ind w:left="268" w:right="76"/>
              <w:jc w:val="left"/>
              <w:rPr>
                <w:sz w:val="18"/>
              </w:rPr>
            </w:pPr>
            <w:r>
              <w:rPr>
                <w:sz w:val="18"/>
              </w:rPr>
              <w:t>4,864</w:t>
            </w:r>
          </w:p>
        </w:tc>
        <w:tc>
          <w:tcPr>
            <w:tcW w:w="1030" w:type="dxa"/>
          </w:tcPr>
          <w:p>
            <w:pPr>
              <w:pStyle w:val="TableParagraph"/>
              <w:spacing w:line="203" w:lineRule="exact"/>
              <w:ind w:left="239" w:right="104"/>
              <w:jc w:val="left"/>
              <w:rPr>
                <w:sz w:val="18"/>
              </w:rPr>
            </w:pPr>
            <w:r>
              <w:rPr>
                <w:sz w:val="18"/>
              </w:rPr>
              <w:t>4,785</w:t>
            </w:r>
          </w:p>
        </w:tc>
        <w:tc>
          <w:tcPr>
            <w:tcW w:w="1369" w:type="dxa"/>
          </w:tcPr>
          <w:p>
            <w:pPr>
              <w:pStyle w:val="TableParagraph"/>
              <w:spacing w:line="203" w:lineRule="exact"/>
              <w:ind w:left="57" w:right="114"/>
              <w:rPr>
                <w:sz w:val="18"/>
              </w:rPr>
            </w:pPr>
            <w:r>
              <w:rPr>
                <w:sz w:val="18"/>
              </w:rPr>
              <w:t>Rural</w:t>
            </w:r>
          </w:p>
        </w:tc>
      </w:tr>
      <w:tr>
        <w:trPr>
          <w:trHeight w:val="322" w:hRule="exact"/>
        </w:trPr>
        <w:tc>
          <w:tcPr>
            <w:tcW w:w="2501" w:type="dxa"/>
          </w:tcPr>
          <w:p>
            <w:pPr>
              <w:pStyle w:val="TableParagraph"/>
              <w:spacing w:line="199" w:lineRule="exact"/>
              <w:ind w:left="67" w:right="4"/>
              <w:jc w:val="left"/>
              <w:rPr>
                <w:b/>
                <w:sz w:val="18"/>
              </w:rPr>
            </w:pPr>
            <w:r>
              <w:rPr>
                <w:b/>
                <w:color w:val="333333"/>
                <w:sz w:val="18"/>
              </w:rPr>
              <w:t>OTZOLOTEPEC</w:t>
            </w:r>
          </w:p>
        </w:tc>
        <w:tc>
          <w:tcPr>
            <w:tcW w:w="1039" w:type="dxa"/>
          </w:tcPr>
          <w:p>
            <w:pPr>
              <w:pStyle w:val="TableParagraph"/>
              <w:spacing w:line="203" w:lineRule="exact"/>
              <w:ind w:left="93" w:right="92"/>
              <w:rPr>
                <w:sz w:val="18"/>
              </w:rPr>
            </w:pPr>
            <w:r>
              <w:rPr>
                <w:sz w:val="18"/>
              </w:rPr>
              <w:t>67,611</w:t>
            </w:r>
          </w:p>
        </w:tc>
        <w:tc>
          <w:tcPr>
            <w:tcW w:w="1030" w:type="dxa"/>
          </w:tcPr>
          <w:p>
            <w:pPr>
              <w:pStyle w:val="TableParagraph"/>
              <w:spacing w:line="203" w:lineRule="exact"/>
              <w:ind w:right="246"/>
              <w:jc w:val="right"/>
              <w:rPr>
                <w:sz w:val="18"/>
              </w:rPr>
            </w:pPr>
            <w:r>
              <w:rPr>
                <w:sz w:val="18"/>
              </w:rPr>
              <w:t>78,146</w:t>
            </w:r>
          </w:p>
        </w:tc>
        <w:tc>
          <w:tcPr>
            <w:tcW w:w="1030" w:type="dxa"/>
          </w:tcPr>
          <w:p>
            <w:pPr>
              <w:pStyle w:val="TableParagraph"/>
              <w:spacing w:line="203" w:lineRule="exact"/>
              <w:ind w:left="191" w:right="104"/>
              <w:jc w:val="left"/>
              <w:rPr>
                <w:sz w:val="18"/>
              </w:rPr>
            </w:pPr>
            <w:r>
              <w:rPr>
                <w:sz w:val="18"/>
              </w:rPr>
              <w:t>80,571</w:t>
            </w:r>
          </w:p>
        </w:tc>
        <w:tc>
          <w:tcPr>
            <w:tcW w:w="1369" w:type="dxa"/>
          </w:tcPr>
          <w:p>
            <w:pPr>
              <w:pStyle w:val="TableParagraph"/>
              <w:spacing w:line="203" w:lineRule="exact"/>
              <w:ind w:left="59" w:right="114"/>
              <w:rPr>
                <w:sz w:val="18"/>
              </w:rPr>
            </w:pPr>
            <w:r>
              <w:rPr>
                <w:sz w:val="18"/>
              </w:rPr>
              <w:t>Semiurbano</w:t>
            </w:r>
          </w:p>
        </w:tc>
      </w:tr>
      <w:tr>
        <w:trPr>
          <w:trHeight w:val="319" w:hRule="exact"/>
        </w:trPr>
        <w:tc>
          <w:tcPr>
            <w:tcW w:w="2501" w:type="dxa"/>
          </w:tcPr>
          <w:p>
            <w:pPr>
              <w:pStyle w:val="TableParagraph"/>
              <w:spacing w:line="199" w:lineRule="exact"/>
              <w:ind w:left="67" w:right="4"/>
              <w:jc w:val="left"/>
              <w:rPr>
                <w:b/>
                <w:sz w:val="18"/>
              </w:rPr>
            </w:pPr>
            <w:r>
              <w:rPr>
                <w:b/>
                <w:color w:val="333333"/>
                <w:sz w:val="18"/>
              </w:rPr>
              <w:t>OZUMBA</w:t>
            </w:r>
          </w:p>
        </w:tc>
        <w:tc>
          <w:tcPr>
            <w:tcW w:w="1039" w:type="dxa"/>
          </w:tcPr>
          <w:p>
            <w:pPr>
              <w:pStyle w:val="TableParagraph"/>
              <w:spacing w:line="203" w:lineRule="exact"/>
              <w:ind w:left="93" w:right="92"/>
              <w:rPr>
                <w:sz w:val="18"/>
              </w:rPr>
            </w:pPr>
            <w:r>
              <w:rPr>
                <w:sz w:val="18"/>
              </w:rPr>
              <w:t>24,055</w:t>
            </w:r>
          </w:p>
        </w:tc>
        <w:tc>
          <w:tcPr>
            <w:tcW w:w="1030" w:type="dxa"/>
          </w:tcPr>
          <w:p>
            <w:pPr>
              <w:pStyle w:val="TableParagraph"/>
              <w:spacing w:line="203" w:lineRule="exact"/>
              <w:ind w:right="246"/>
              <w:jc w:val="right"/>
              <w:rPr>
                <w:sz w:val="18"/>
              </w:rPr>
            </w:pPr>
            <w:r>
              <w:rPr>
                <w:sz w:val="18"/>
              </w:rPr>
              <w:t>27,207</w:t>
            </w:r>
          </w:p>
        </w:tc>
        <w:tc>
          <w:tcPr>
            <w:tcW w:w="1030" w:type="dxa"/>
          </w:tcPr>
          <w:p>
            <w:pPr>
              <w:pStyle w:val="TableParagraph"/>
              <w:spacing w:line="203" w:lineRule="exact"/>
              <w:ind w:left="191" w:right="104"/>
              <w:jc w:val="left"/>
              <w:rPr>
                <w:sz w:val="18"/>
              </w:rPr>
            </w:pPr>
            <w:r>
              <w:rPr>
                <w:sz w:val="18"/>
              </w:rPr>
              <w:t>27,479</w:t>
            </w:r>
          </w:p>
        </w:tc>
        <w:tc>
          <w:tcPr>
            <w:tcW w:w="1369" w:type="dxa"/>
          </w:tcPr>
          <w:p>
            <w:pPr>
              <w:pStyle w:val="TableParagraph"/>
              <w:spacing w:line="203" w:lineRule="exact"/>
              <w:ind w:left="60" w:right="114"/>
              <w:rPr>
                <w:sz w:val="18"/>
              </w:rPr>
            </w:pPr>
            <w:r>
              <w:rPr>
                <w:sz w:val="18"/>
              </w:rPr>
              <w:t>Semiurbano</w:t>
            </w:r>
          </w:p>
        </w:tc>
      </w:tr>
      <w:tr>
        <w:trPr>
          <w:trHeight w:val="322" w:hRule="exact"/>
        </w:trPr>
        <w:tc>
          <w:tcPr>
            <w:tcW w:w="2501" w:type="dxa"/>
          </w:tcPr>
          <w:p>
            <w:pPr>
              <w:pStyle w:val="TableParagraph"/>
              <w:spacing w:line="199" w:lineRule="exact"/>
              <w:ind w:left="67" w:right="4"/>
              <w:jc w:val="left"/>
              <w:rPr>
                <w:b/>
                <w:sz w:val="18"/>
              </w:rPr>
            </w:pPr>
            <w:r>
              <w:rPr>
                <w:b/>
                <w:color w:val="333333"/>
                <w:sz w:val="18"/>
              </w:rPr>
              <w:t>PAPALOTLA</w:t>
            </w:r>
          </w:p>
        </w:tc>
        <w:tc>
          <w:tcPr>
            <w:tcW w:w="1039" w:type="dxa"/>
          </w:tcPr>
          <w:p>
            <w:pPr>
              <w:pStyle w:val="TableParagraph"/>
              <w:spacing w:line="203" w:lineRule="exact"/>
              <w:ind w:left="93" w:right="94"/>
              <w:rPr>
                <w:sz w:val="18"/>
              </w:rPr>
            </w:pPr>
            <w:r>
              <w:rPr>
                <w:sz w:val="18"/>
              </w:rPr>
              <w:t>3,766</w:t>
            </w:r>
          </w:p>
        </w:tc>
        <w:tc>
          <w:tcPr>
            <w:tcW w:w="1030" w:type="dxa"/>
          </w:tcPr>
          <w:p>
            <w:pPr>
              <w:pStyle w:val="TableParagraph"/>
              <w:spacing w:line="203" w:lineRule="exact"/>
              <w:ind w:left="268" w:right="76"/>
              <w:jc w:val="left"/>
              <w:rPr>
                <w:sz w:val="18"/>
              </w:rPr>
            </w:pPr>
            <w:r>
              <w:rPr>
                <w:sz w:val="18"/>
              </w:rPr>
              <w:t>4,147</w:t>
            </w:r>
          </w:p>
        </w:tc>
        <w:tc>
          <w:tcPr>
            <w:tcW w:w="1030" w:type="dxa"/>
          </w:tcPr>
          <w:p>
            <w:pPr>
              <w:pStyle w:val="TableParagraph"/>
              <w:spacing w:line="203" w:lineRule="exact"/>
              <w:ind w:left="239" w:right="104"/>
              <w:jc w:val="left"/>
              <w:rPr>
                <w:sz w:val="18"/>
              </w:rPr>
            </w:pPr>
            <w:r>
              <w:rPr>
                <w:sz w:val="18"/>
              </w:rPr>
              <w:t>4,207</w:t>
            </w:r>
          </w:p>
        </w:tc>
        <w:tc>
          <w:tcPr>
            <w:tcW w:w="1369" w:type="dxa"/>
          </w:tcPr>
          <w:p>
            <w:pPr>
              <w:pStyle w:val="TableParagraph"/>
              <w:spacing w:line="203" w:lineRule="exact"/>
              <w:ind w:left="57" w:right="114"/>
              <w:rPr>
                <w:sz w:val="18"/>
              </w:rPr>
            </w:pPr>
            <w:r>
              <w:rPr>
                <w:sz w:val="18"/>
              </w:rPr>
              <w:t>Rural</w:t>
            </w:r>
          </w:p>
        </w:tc>
      </w:tr>
      <w:tr>
        <w:trPr>
          <w:trHeight w:val="319" w:hRule="exact"/>
        </w:trPr>
        <w:tc>
          <w:tcPr>
            <w:tcW w:w="2501" w:type="dxa"/>
          </w:tcPr>
          <w:p>
            <w:pPr>
              <w:pStyle w:val="TableParagraph"/>
              <w:spacing w:line="199" w:lineRule="exact"/>
              <w:ind w:left="67" w:right="4"/>
              <w:jc w:val="left"/>
              <w:rPr>
                <w:b/>
                <w:sz w:val="18"/>
              </w:rPr>
            </w:pPr>
            <w:r>
              <w:rPr>
                <w:b/>
                <w:color w:val="333333"/>
                <w:sz w:val="18"/>
              </w:rPr>
              <w:t>POLOTITLAN</w:t>
            </w:r>
          </w:p>
        </w:tc>
        <w:tc>
          <w:tcPr>
            <w:tcW w:w="1039" w:type="dxa"/>
          </w:tcPr>
          <w:p>
            <w:pPr>
              <w:pStyle w:val="TableParagraph"/>
              <w:spacing w:line="203" w:lineRule="exact"/>
              <w:ind w:left="93" w:right="92"/>
              <w:rPr>
                <w:sz w:val="18"/>
              </w:rPr>
            </w:pPr>
            <w:r>
              <w:rPr>
                <w:sz w:val="18"/>
              </w:rPr>
              <w:t>12,319</w:t>
            </w:r>
          </w:p>
        </w:tc>
        <w:tc>
          <w:tcPr>
            <w:tcW w:w="1030" w:type="dxa"/>
          </w:tcPr>
          <w:p>
            <w:pPr>
              <w:pStyle w:val="TableParagraph"/>
              <w:spacing w:line="203" w:lineRule="exact"/>
              <w:ind w:right="246"/>
              <w:jc w:val="right"/>
              <w:rPr>
                <w:sz w:val="18"/>
              </w:rPr>
            </w:pPr>
            <w:r>
              <w:rPr>
                <w:sz w:val="18"/>
              </w:rPr>
              <w:t>13,002</w:t>
            </w:r>
          </w:p>
        </w:tc>
        <w:tc>
          <w:tcPr>
            <w:tcW w:w="1030" w:type="dxa"/>
          </w:tcPr>
          <w:p>
            <w:pPr>
              <w:pStyle w:val="TableParagraph"/>
              <w:spacing w:line="203" w:lineRule="exact"/>
              <w:ind w:left="191" w:right="104"/>
              <w:jc w:val="left"/>
              <w:rPr>
                <w:sz w:val="18"/>
              </w:rPr>
            </w:pPr>
            <w:r>
              <w:rPr>
                <w:sz w:val="18"/>
              </w:rPr>
              <w:t>13,163</w:t>
            </w:r>
          </w:p>
        </w:tc>
        <w:tc>
          <w:tcPr>
            <w:tcW w:w="1369" w:type="dxa"/>
          </w:tcPr>
          <w:p>
            <w:pPr>
              <w:pStyle w:val="TableParagraph"/>
              <w:spacing w:line="203" w:lineRule="exact"/>
              <w:ind w:left="57" w:right="114"/>
              <w:rPr>
                <w:sz w:val="18"/>
              </w:rPr>
            </w:pPr>
            <w:r>
              <w:rPr>
                <w:sz w:val="18"/>
              </w:rPr>
              <w:t>Rural</w:t>
            </w:r>
          </w:p>
        </w:tc>
      </w:tr>
      <w:tr>
        <w:trPr>
          <w:trHeight w:val="322" w:hRule="exact"/>
        </w:trPr>
        <w:tc>
          <w:tcPr>
            <w:tcW w:w="2501" w:type="dxa"/>
          </w:tcPr>
          <w:p>
            <w:pPr>
              <w:pStyle w:val="TableParagraph"/>
              <w:spacing w:line="201" w:lineRule="exact"/>
              <w:ind w:left="67" w:right="4"/>
              <w:jc w:val="left"/>
              <w:rPr>
                <w:b/>
                <w:sz w:val="18"/>
              </w:rPr>
            </w:pPr>
            <w:r>
              <w:rPr>
                <w:b/>
                <w:color w:val="333333"/>
                <w:sz w:val="18"/>
              </w:rPr>
              <w:t>RAYON</w:t>
            </w:r>
          </w:p>
        </w:tc>
        <w:tc>
          <w:tcPr>
            <w:tcW w:w="1039" w:type="dxa"/>
          </w:tcPr>
          <w:p>
            <w:pPr>
              <w:pStyle w:val="TableParagraph"/>
              <w:spacing w:line="206" w:lineRule="exact"/>
              <w:ind w:left="93" w:right="92"/>
              <w:rPr>
                <w:sz w:val="18"/>
              </w:rPr>
            </w:pPr>
            <w:r>
              <w:rPr>
                <w:sz w:val="18"/>
              </w:rPr>
              <w:t>10,953</w:t>
            </w:r>
          </w:p>
        </w:tc>
        <w:tc>
          <w:tcPr>
            <w:tcW w:w="1030" w:type="dxa"/>
          </w:tcPr>
          <w:p>
            <w:pPr>
              <w:pStyle w:val="TableParagraph"/>
              <w:spacing w:line="206" w:lineRule="exact"/>
              <w:ind w:right="246"/>
              <w:jc w:val="right"/>
              <w:rPr>
                <w:sz w:val="18"/>
              </w:rPr>
            </w:pPr>
            <w:r>
              <w:rPr>
                <w:sz w:val="18"/>
              </w:rPr>
              <w:t>12,748</w:t>
            </w:r>
          </w:p>
        </w:tc>
        <w:tc>
          <w:tcPr>
            <w:tcW w:w="1030" w:type="dxa"/>
          </w:tcPr>
          <w:p>
            <w:pPr>
              <w:pStyle w:val="TableParagraph"/>
              <w:spacing w:line="206" w:lineRule="exact"/>
              <w:ind w:left="191" w:right="104"/>
              <w:jc w:val="left"/>
              <w:rPr>
                <w:sz w:val="18"/>
              </w:rPr>
            </w:pPr>
            <w:r>
              <w:rPr>
                <w:sz w:val="18"/>
              </w:rPr>
              <w:t>13,211</w:t>
            </w:r>
          </w:p>
        </w:tc>
        <w:tc>
          <w:tcPr>
            <w:tcW w:w="1369" w:type="dxa"/>
          </w:tcPr>
          <w:p>
            <w:pPr>
              <w:pStyle w:val="TableParagraph"/>
              <w:spacing w:line="206" w:lineRule="exact"/>
              <w:ind w:left="57" w:right="114"/>
              <w:rPr>
                <w:sz w:val="18"/>
              </w:rPr>
            </w:pPr>
            <w:r>
              <w:rPr>
                <w:sz w:val="18"/>
              </w:rPr>
              <w:t>Rural</w:t>
            </w:r>
          </w:p>
        </w:tc>
      </w:tr>
      <w:tr>
        <w:trPr>
          <w:trHeight w:val="319" w:hRule="exact"/>
        </w:trPr>
        <w:tc>
          <w:tcPr>
            <w:tcW w:w="2501" w:type="dxa"/>
          </w:tcPr>
          <w:p>
            <w:pPr>
              <w:pStyle w:val="TableParagraph"/>
              <w:spacing w:line="199" w:lineRule="exact"/>
              <w:ind w:left="67" w:right="4"/>
              <w:jc w:val="left"/>
              <w:rPr>
                <w:b/>
                <w:sz w:val="18"/>
              </w:rPr>
            </w:pPr>
            <w:r>
              <w:rPr>
                <w:b/>
                <w:color w:val="333333"/>
                <w:sz w:val="18"/>
              </w:rPr>
              <w:t>SAN ANTONIO LA ISLA</w:t>
            </w:r>
          </w:p>
        </w:tc>
        <w:tc>
          <w:tcPr>
            <w:tcW w:w="1039" w:type="dxa"/>
          </w:tcPr>
          <w:p>
            <w:pPr>
              <w:pStyle w:val="TableParagraph"/>
              <w:spacing w:line="203" w:lineRule="exact"/>
              <w:ind w:left="93" w:right="92"/>
              <w:rPr>
                <w:sz w:val="18"/>
              </w:rPr>
            </w:pPr>
            <w:r>
              <w:rPr>
                <w:sz w:val="18"/>
              </w:rPr>
              <w:t>11,313</w:t>
            </w:r>
          </w:p>
        </w:tc>
        <w:tc>
          <w:tcPr>
            <w:tcW w:w="1030" w:type="dxa"/>
          </w:tcPr>
          <w:p>
            <w:pPr>
              <w:pStyle w:val="TableParagraph"/>
              <w:spacing w:line="203" w:lineRule="exact"/>
              <w:ind w:right="246"/>
              <w:jc w:val="right"/>
              <w:rPr>
                <w:sz w:val="18"/>
              </w:rPr>
            </w:pPr>
            <w:r>
              <w:rPr>
                <w:sz w:val="18"/>
              </w:rPr>
              <w:t>22,152</w:t>
            </w:r>
          </w:p>
        </w:tc>
        <w:tc>
          <w:tcPr>
            <w:tcW w:w="1030" w:type="dxa"/>
          </w:tcPr>
          <w:p>
            <w:pPr>
              <w:pStyle w:val="TableParagraph"/>
              <w:spacing w:line="203" w:lineRule="exact"/>
              <w:ind w:left="191" w:right="104"/>
              <w:jc w:val="left"/>
              <w:rPr>
                <w:sz w:val="18"/>
              </w:rPr>
            </w:pPr>
            <w:r>
              <w:rPr>
                <w:sz w:val="18"/>
              </w:rPr>
              <w:t>24,218</w:t>
            </w:r>
          </w:p>
        </w:tc>
        <w:tc>
          <w:tcPr>
            <w:tcW w:w="1369" w:type="dxa"/>
          </w:tcPr>
          <w:p>
            <w:pPr>
              <w:pStyle w:val="TableParagraph"/>
              <w:spacing w:line="203" w:lineRule="exact"/>
              <w:ind w:left="57" w:right="114"/>
              <w:rPr>
                <w:sz w:val="18"/>
              </w:rPr>
            </w:pPr>
            <w:r>
              <w:rPr>
                <w:sz w:val="18"/>
              </w:rPr>
              <w:t>Rural</w:t>
            </w:r>
          </w:p>
        </w:tc>
      </w:tr>
      <w:tr>
        <w:trPr>
          <w:trHeight w:val="631" w:hRule="exact"/>
        </w:trPr>
        <w:tc>
          <w:tcPr>
            <w:tcW w:w="2501" w:type="dxa"/>
          </w:tcPr>
          <w:p>
            <w:pPr>
              <w:pStyle w:val="TableParagraph"/>
              <w:spacing w:line="360" w:lineRule="auto"/>
              <w:ind w:left="67" w:right="934"/>
              <w:jc w:val="left"/>
              <w:rPr>
                <w:b/>
                <w:sz w:val="18"/>
              </w:rPr>
            </w:pPr>
            <w:r>
              <w:rPr>
                <w:b/>
                <w:color w:val="333333"/>
                <w:sz w:val="18"/>
              </w:rPr>
              <w:t>SAN FELIPE DEL PROGRESO</w:t>
            </w:r>
          </w:p>
        </w:tc>
        <w:tc>
          <w:tcPr>
            <w:tcW w:w="1039" w:type="dxa"/>
          </w:tcPr>
          <w:p>
            <w:pPr>
              <w:pStyle w:val="TableParagraph"/>
              <w:spacing w:before="9"/>
              <w:jc w:val="left"/>
              <w:rPr>
                <w:rFonts w:ascii="Times New Roman"/>
                <w:sz w:val="26"/>
              </w:rPr>
            </w:pPr>
          </w:p>
          <w:p>
            <w:pPr>
              <w:pStyle w:val="TableParagraph"/>
              <w:ind w:left="93" w:right="92"/>
              <w:rPr>
                <w:sz w:val="18"/>
              </w:rPr>
            </w:pPr>
            <w:r>
              <w:rPr>
                <w:sz w:val="18"/>
              </w:rPr>
              <w:t>100,201</w:t>
            </w:r>
          </w:p>
        </w:tc>
        <w:tc>
          <w:tcPr>
            <w:tcW w:w="1030" w:type="dxa"/>
          </w:tcPr>
          <w:p>
            <w:pPr>
              <w:pStyle w:val="TableParagraph"/>
              <w:spacing w:before="9"/>
              <w:jc w:val="left"/>
              <w:rPr>
                <w:rFonts w:ascii="Times New Roman"/>
                <w:sz w:val="26"/>
              </w:rPr>
            </w:pPr>
          </w:p>
          <w:p>
            <w:pPr>
              <w:pStyle w:val="TableParagraph"/>
              <w:ind w:right="196"/>
              <w:jc w:val="right"/>
              <w:rPr>
                <w:sz w:val="18"/>
              </w:rPr>
            </w:pPr>
            <w:r>
              <w:rPr>
                <w:sz w:val="18"/>
              </w:rPr>
              <w:t>121,396</w:t>
            </w:r>
          </w:p>
        </w:tc>
        <w:tc>
          <w:tcPr>
            <w:tcW w:w="1030" w:type="dxa"/>
          </w:tcPr>
          <w:p>
            <w:pPr>
              <w:pStyle w:val="TableParagraph"/>
              <w:spacing w:before="9"/>
              <w:jc w:val="left"/>
              <w:rPr>
                <w:rFonts w:ascii="Times New Roman"/>
                <w:sz w:val="26"/>
              </w:rPr>
            </w:pPr>
          </w:p>
          <w:p>
            <w:pPr>
              <w:pStyle w:val="TableParagraph"/>
              <w:ind w:left="141" w:right="104"/>
              <w:jc w:val="left"/>
              <w:rPr>
                <w:sz w:val="18"/>
              </w:rPr>
            </w:pPr>
            <w:r>
              <w:rPr>
                <w:sz w:val="18"/>
              </w:rPr>
              <w:t>123,035</w:t>
            </w:r>
          </w:p>
        </w:tc>
        <w:tc>
          <w:tcPr>
            <w:tcW w:w="1369" w:type="dxa"/>
          </w:tcPr>
          <w:p>
            <w:pPr>
              <w:pStyle w:val="TableParagraph"/>
              <w:spacing w:line="206" w:lineRule="exact"/>
              <w:ind w:left="60" w:right="114"/>
              <w:rPr>
                <w:sz w:val="18"/>
              </w:rPr>
            </w:pPr>
            <w:r>
              <w:rPr>
                <w:sz w:val="18"/>
              </w:rPr>
              <w:t>Urbano</w:t>
            </w:r>
          </w:p>
        </w:tc>
      </w:tr>
      <w:tr>
        <w:trPr>
          <w:trHeight w:val="322" w:hRule="exact"/>
        </w:trPr>
        <w:tc>
          <w:tcPr>
            <w:tcW w:w="2501" w:type="dxa"/>
          </w:tcPr>
          <w:p>
            <w:pPr>
              <w:pStyle w:val="TableParagraph"/>
              <w:spacing w:line="199" w:lineRule="exact"/>
              <w:ind w:left="67" w:right="4"/>
              <w:jc w:val="left"/>
              <w:rPr>
                <w:b/>
                <w:sz w:val="18"/>
              </w:rPr>
            </w:pPr>
            <w:r>
              <w:rPr>
                <w:b/>
                <w:color w:val="333333"/>
                <w:sz w:val="18"/>
              </w:rPr>
              <w:t>SAN JOSE DEL RINCON</w:t>
            </w:r>
          </w:p>
        </w:tc>
        <w:tc>
          <w:tcPr>
            <w:tcW w:w="1039" w:type="dxa"/>
          </w:tcPr>
          <w:p>
            <w:pPr>
              <w:pStyle w:val="TableParagraph"/>
              <w:spacing w:line="204" w:lineRule="exact"/>
              <w:ind w:left="93" w:right="92"/>
              <w:rPr>
                <w:sz w:val="18"/>
              </w:rPr>
            </w:pPr>
            <w:r>
              <w:rPr>
                <w:sz w:val="18"/>
              </w:rPr>
              <w:t>79,945</w:t>
            </w:r>
          </w:p>
        </w:tc>
        <w:tc>
          <w:tcPr>
            <w:tcW w:w="1030" w:type="dxa"/>
          </w:tcPr>
          <w:p>
            <w:pPr>
              <w:pStyle w:val="TableParagraph"/>
              <w:spacing w:line="204" w:lineRule="exact"/>
              <w:ind w:right="246"/>
              <w:jc w:val="right"/>
              <w:rPr>
                <w:sz w:val="18"/>
              </w:rPr>
            </w:pPr>
            <w:r>
              <w:rPr>
                <w:sz w:val="18"/>
              </w:rPr>
              <w:t>91,345</w:t>
            </w:r>
          </w:p>
        </w:tc>
        <w:tc>
          <w:tcPr>
            <w:tcW w:w="1030" w:type="dxa"/>
          </w:tcPr>
          <w:p>
            <w:pPr>
              <w:pStyle w:val="TableParagraph"/>
              <w:spacing w:line="204" w:lineRule="exact"/>
              <w:ind w:left="191" w:right="104"/>
              <w:jc w:val="left"/>
              <w:rPr>
                <w:sz w:val="18"/>
              </w:rPr>
            </w:pPr>
            <w:r>
              <w:rPr>
                <w:sz w:val="18"/>
              </w:rPr>
              <w:t>92,916</w:t>
            </w:r>
          </w:p>
        </w:tc>
        <w:tc>
          <w:tcPr>
            <w:tcW w:w="1369" w:type="dxa"/>
          </w:tcPr>
          <w:p>
            <w:pPr>
              <w:pStyle w:val="TableParagraph"/>
              <w:spacing w:line="204" w:lineRule="exact"/>
              <w:ind w:left="59" w:right="114"/>
              <w:rPr>
                <w:sz w:val="18"/>
              </w:rPr>
            </w:pPr>
            <w:r>
              <w:rPr>
                <w:sz w:val="18"/>
              </w:rPr>
              <w:t>Semiurbano</w:t>
            </w:r>
          </w:p>
        </w:tc>
      </w:tr>
      <w:tr>
        <w:trPr>
          <w:trHeight w:val="631" w:hRule="exact"/>
        </w:trPr>
        <w:tc>
          <w:tcPr>
            <w:tcW w:w="2501" w:type="dxa"/>
          </w:tcPr>
          <w:p>
            <w:pPr>
              <w:pStyle w:val="TableParagraph"/>
              <w:spacing w:line="360" w:lineRule="auto"/>
              <w:ind w:left="67" w:right="564"/>
              <w:jc w:val="left"/>
              <w:rPr>
                <w:b/>
                <w:sz w:val="18"/>
              </w:rPr>
            </w:pPr>
            <w:r>
              <w:rPr>
                <w:b/>
                <w:color w:val="333333"/>
                <w:sz w:val="18"/>
              </w:rPr>
              <w:t>SAN MARTÍN DE LAS PIRAMIDES</w:t>
            </w:r>
          </w:p>
        </w:tc>
        <w:tc>
          <w:tcPr>
            <w:tcW w:w="1039" w:type="dxa"/>
          </w:tcPr>
          <w:p>
            <w:pPr>
              <w:pStyle w:val="TableParagraph"/>
              <w:spacing w:before="6"/>
              <w:jc w:val="left"/>
              <w:rPr>
                <w:rFonts w:ascii="Times New Roman"/>
                <w:sz w:val="26"/>
              </w:rPr>
            </w:pPr>
          </w:p>
          <w:p>
            <w:pPr>
              <w:pStyle w:val="TableParagraph"/>
              <w:spacing w:before="1"/>
              <w:ind w:left="93" w:right="92"/>
              <w:rPr>
                <w:sz w:val="18"/>
              </w:rPr>
            </w:pPr>
            <w:r>
              <w:rPr>
                <w:sz w:val="18"/>
              </w:rPr>
              <w:t>21,511</w:t>
            </w:r>
          </w:p>
        </w:tc>
        <w:tc>
          <w:tcPr>
            <w:tcW w:w="1030" w:type="dxa"/>
          </w:tcPr>
          <w:p>
            <w:pPr>
              <w:pStyle w:val="TableParagraph"/>
              <w:spacing w:before="6"/>
              <w:jc w:val="left"/>
              <w:rPr>
                <w:rFonts w:ascii="Times New Roman"/>
                <w:sz w:val="26"/>
              </w:rPr>
            </w:pPr>
          </w:p>
          <w:p>
            <w:pPr>
              <w:pStyle w:val="TableParagraph"/>
              <w:spacing w:before="1"/>
              <w:ind w:right="246"/>
              <w:jc w:val="right"/>
              <w:rPr>
                <w:sz w:val="18"/>
              </w:rPr>
            </w:pPr>
            <w:r>
              <w:rPr>
                <w:sz w:val="18"/>
              </w:rPr>
              <w:t>24,851</w:t>
            </w:r>
          </w:p>
        </w:tc>
        <w:tc>
          <w:tcPr>
            <w:tcW w:w="1030" w:type="dxa"/>
          </w:tcPr>
          <w:p>
            <w:pPr>
              <w:pStyle w:val="TableParagraph"/>
              <w:spacing w:before="6"/>
              <w:jc w:val="left"/>
              <w:rPr>
                <w:rFonts w:ascii="Times New Roman"/>
                <w:sz w:val="26"/>
              </w:rPr>
            </w:pPr>
          </w:p>
          <w:p>
            <w:pPr>
              <w:pStyle w:val="TableParagraph"/>
              <w:spacing w:before="1"/>
              <w:ind w:left="191" w:right="104"/>
              <w:jc w:val="left"/>
              <w:rPr>
                <w:sz w:val="18"/>
              </w:rPr>
            </w:pPr>
            <w:r>
              <w:rPr>
                <w:sz w:val="18"/>
              </w:rPr>
              <w:t>25,387</w:t>
            </w:r>
          </w:p>
        </w:tc>
        <w:tc>
          <w:tcPr>
            <w:tcW w:w="1369" w:type="dxa"/>
          </w:tcPr>
          <w:p>
            <w:pPr>
              <w:pStyle w:val="TableParagraph"/>
              <w:spacing w:line="203" w:lineRule="exact"/>
              <w:ind w:left="59" w:right="114"/>
              <w:rPr>
                <w:sz w:val="18"/>
              </w:rPr>
            </w:pPr>
            <w:r>
              <w:rPr>
                <w:sz w:val="18"/>
              </w:rPr>
              <w:t>Semiurbano</w:t>
            </w:r>
          </w:p>
        </w:tc>
      </w:tr>
      <w:tr>
        <w:trPr>
          <w:trHeight w:val="319" w:hRule="exact"/>
        </w:trPr>
        <w:tc>
          <w:tcPr>
            <w:tcW w:w="2501" w:type="dxa"/>
          </w:tcPr>
          <w:p>
            <w:pPr>
              <w:pStyle w:val="TableParagraph"/>
              <w:spacing w:line="199" w:lineRule="exact"/>
              <w:ind w:left="67" w:right="4"/>
              <w:jc w:val="left"/>
              <w:rPr>
                <w:b/>
                <w:sz w:val="18"/>
              </w:rPr>
            </w:pPr>
            <w:r>
              <w:rPr>
                <w:b/>
                <w:color w:val="333333"/>
                <w:sz w:val="18"/>
              </w:rPr>
              <w:t>SAN MATEO ATENCO</w:t>
            </w:r>
          </w:p>
        </w:tc>
        <w:tc>
          <w:tcPr>
            <w:tcW w:w="1039" w:type="dxa"/>
          </w:tcPr>
          <w:p>
            <w:pPr>
              <w:pStyle w:val="TableParagraph"/>
              <w:spacing w:line="203" w:lineRule="exact"/>
              <w:ind w:left="93" w:right="92"/>
              <w:rPr>
                <w:sz w:val="18"/>
              </w:rPr>
            </w:pPr>
            <w:r>
              <w:rPr>
                <w:sz w:val="18"/>
              </w:rPr>
              <w:t>66,740</w:t>
            </w:r>
          </w:p>
        </w:tc>
        <w:tc>
          <w:tcPr>
            <w:tcW w:w="1030" w:type="dxa"/>
          </w:tcPr>
          <w:p>
            <w:pPr>
              <w:pStyle w:val="TableParagraph"/>
              <w:spacing w:line="203" w:lineRule="exact"/>
              <w:ind w:right="246"/>
              <w:jc w:val="right"/>
              <w:rPr>
                <w:sz w:val="18"/>
              </w:rPr>
            </w:pPr>
            <w:r>
              <w:rPr>
                <w:sz w:val="18"/>
              </w:rPr>
              <w:t>72,579</w:t>
            </w:r>
          </w:p>
        </w:tc>
        <w:tc>
          <w:tcPr>
            <w:tcW w:w="1030" w:type="dxa"/>
          </w:tcPr>
          <w:p>
            <w:pPr>
              <w:pStyle w:val="TableParagraph"/>
              <w:spacing w:line="203" w:lineRule="exact"/>
              <w:ind w:left="191" w:right="104"/>
              <w:jc w:val="left"/>
              <w:rPr>
                <w:sz w:val="18"/>
              </w:rPr>
            </w:pPr>
            <w:r>
              <w:rPr>
                <w:sz w:val="18"/>
              </w:rPr>
              <w:t>73,803</w:t>
            </w:r>
          </w:p>
        </w:tc>
        <w:tc>
          <w:tcPr>
            <w:tcW w:w="1369" w:type="dxa"/>
          </w:tcPr>
          <w:p>
            <w:pPr>
              <w:pStyle w:val="TableParagraph"/>
              <w:spacing w:line="203" w:lineRule="exact"/>
              <w:ind w:left="59" w:right="114"/>
              <w:rPr>
                <w:sz w:val="18"/>
              </w:rPr>
            </w:pPr>
            <w:r>
              <w:rPr>
                <w:sz w:val="18"/>
              </w:rPr>
              <w:t>Semiurbano</w:t>
            </w:r>
          </w:p>
        </w:tc>
      </w:tr>
      <w:tr>
        <w:trPr>
          <w:trHeight w:val="631" w:hRule="exact"/>
        </w:trPr>
        <w:tc>
          <w:tcPr>
            <w:tcW w:w="2501" w:type="dxa"/>
          </w:tcPr>
          <w:p>
            <w:pPr>
              <w:pStyle w:val="TableParagraph"/>
              <w:spacing w:line="362" w:lineRule="auto"/>
              <w:ind w:left="67" w:right="1084"/>
              <w:jc w:val="left"/>
              <w:rPr>
                <w:b/>
                <w:sz w:val="18"/>
              </w:rPr>
            </w:pPr>
            <w:r>
              <w:rPr>
                <w:b/>
                <w:color w:val="333333"/>
                <w:sz w:val="18"/>
              </w:rPr>
              <w:t>SAN SIMON DE GUERRERO</w:t>
            </w:r>
          </w:p>
        </w:tc>
        <w:tc>
          <w:tcPr>
            <w:tcW w:w="1039" w:type="dxa"/>
          </w:tcPr>
          <w:p>
            <w:pPr>
              <w:pStyle w:val="TableParagraph"/>
              <w:spacing w:before="9"/>
              <w:jc w:val="left"/>
              <w:rPr>
                <w:rFonts w:ascii="Times New Roman"/>
                <w:sz w:val="26"/>
              </w:rPr>
            </w:pPr>
          </w:p>
          <w:p>
            <w:pPr>
              <w:pStyle w:val="TableParagraph"/>
              <w:ind w:left="93" w:right="94"/>
              <w:rPr>
                <w:sz w:val="18"/>
              </w:rPr>
            </w:pPr>
            <w:r>
              <w:rPr>
                <w:sz w:val="18"/>
              </w:rPr>
              <w:t>5,408</w:t>
            </w:r>
          </w:p>
        </w:tc>
        <w:tc>
          <w:tcPr>
            <w:tcW w:w="1030" w:type="dxa"/>
          </w:tcPr>
          <w:p>
            <w:pPr>
              <w:pStyle w:val="TableParagraph"/>
              <w:spacing w:before="9"/>
              <w:jc w:val="left"/>
              <w:rPr>
                <w:rFonts w:ascii="Times New Roman"/>
                <w:sz w:val="26"/>
              </w:rPr>
            </w:pPr>
          </w:p>
          <w:p>
            <w:pPr>
              <w:pStyle w:val="TableParagraph"/>
              <w:ind w:left="283" w:right="76"/>
              <w:jc w:val="left"/>
              <w:rPr>
                <w:sz w:val="18"/>
              </w:rPr>
            </w:pPr>
            <w:r>
              <w:rPr>
                <w:sz w:val="18"/>
              </w:rPr>
              <w:t>6,272</w:t>
            </w:r>
          </w:p>
        </w:tc>
        <w:tc>
          <w:tcPr>
            <w:tcW w:w="1030" w:type="dxa"/>
          </w:tcPr>
          <w:p>
            <w:pPr>
              <w:pStyle w:val="TableParagraph"/>
              <w:spacing w:before="9"/>
              <w:jc w:val="left"/>
              <w:rPr>
                <w:rFonts w:ascii="Times New Roman"/>
                <w:sz w:val="26"/>
              </w:rPr>
            </w:pPr>
          </w:p>
          <w:p>
            <w:pPr>
              <w:pStyle w:val="TableParagraph"/>
              <w:ind w:left="283" w:right="104"/>
              <w:jc w:val="left"/>
              <w:rPr>
                <w:sz w:val="18"/>
              </w:rPr>
            </w:pPr>
            <w:r>
              <w:rPr>
                <w:sz w:val="18"/>
              </w:rPr>
              <w:t>6,335</w:t>
            </w:r>
          </w:p>
        </w:tc>
        <w:tc>
          <w:tcPr>
            <w:tcW w:w="1369" w:type="dxa"/>
          </w:tcPr>
          <w:p>
            <w:pPr>
              <w:pStyle w:val="TableParagraph"/>
              <w:spacing w:line="203" w:lineRule="exact"/>
              <w:ind w:left="113" w:right="114"/>
              <w:rPr>
                <w:sz w:val="18"/>
              </w:rPr>
            </w:pPr>
            <w:r>
              <w:rPr>
                <w:sz w:val="18"/>
              </w:rPr>
              <w:t>Rural</w:t>
            </w:r>
          </w:p>
        </w:tc>
      </w:tr>
      <w:tr>
        <w:trPr>
          <w:trHeight w:val="322" w:hRule="exact"/>
        </w:trPr>
        <w:tc>
          <w:tcPr>
            <w:tcW w:w="2501" w:type="dxa"/>
          </w:tcPr>
          <w:p>
            <w:pPr>
              <w:pStyle w:val="TableParagraph"/>
              <w:spacing w:line="199" w:lineRule="exact"/>
              <w:ind w:left="67" w:right="4"/>
              <w:jc w:val="left"/>
              <w:rPr>
                <w:b/>
                <w:sz w:val="18"/>
              </w:rPr>
            </w:pPr>
            <w:r>
              <w:rPr>
                <w:b/>
                <w:color w:val="333333"/>
                <w:sz w:val="18"/>
              </w:rPr>
              <w:t>SANTO TOMAS</w:t>
            </w:r>
          </w:p>
        </w:tc>
        <w:tc>
          <w:tcPr>
            <w:tcW w:w="1039" w:type="dxa"/>
          </w:tcPr>
          <w:p>
            <w:pPr>
              <w:pStyle w:val="TableParagraph"/>
              <w:spacing w:line="203" w:lineRule="exact"/>
              <w:ind w:left="93" w:right="94"/>
              <w:rPr>
                <w:sz w:val="18"/>
              </w:rPr>
            </w:pPr>
            <w:r>
              <w:rPr>
                <w:sz w:val="18"/>
              </w:rPr>
              <w:t>8,888</w:t>
            </w:r>
          </w:p>
        </w:tc>
        <w:tc>
          <w:tcPr>
            <w:tcW w:w="1030" w:type="dxa"/>
          </w:tcPr>
          <w:p>
            <w:pPr>
              <w:pStyle w:val="TableParagraph"/>
              <w:spacing w:line="203" w:lineRule="exact"/>
              <w:ind w:left="283" w:right="76"/>
              <w:jc w:val="left"/>
              <w:rPr>
                <w:sz w:val="18"/>
              </w:rPr>
            </w:pPr>
            <w:r>
              <w:rPr>
                <w:sz w:val="18"/>
              </w:rPr>
              <w:t>9,111</w:t>
            </w:r>
          </w:p>
        </w:tc>
        <w:tc>
          <w:tcPr>
            <w:tcW w:w="1030" w:type="dxa"/>
          </w:tcPr>
          <w:p>
            <w:pPr>
              <w:pStyle w:val="TableParagraph"/>
              <w:spacing w:line="203" w:lineRule="exact"/>
              <w:ind w:left="283" w:right="104"/>
              <w:jc w:val="left"/>
              <w:rPr>
                <w:sz w:val="18"/>
              </w:rPr>
            </w:pPr>
            <w:r>
              <w:rPr>
                <w:sz w:val="18"/>
              </w:rPr>
              <w:t>9,105</w:t>
            </w:r>
          </w:p>
        </w:tc>
        <w:tc>
          <w:tcPr>
            <w:tcW w:w="1369" w:type="dxa"/>
          </w:tcPr>
          <w:p>
            <w:pPr>
              <w:pStyle w:val="TableParagraph"/>
              <w:spacing w:line="203" w:lineRule="exact"/>
              <w:ind w:left="113" w:right="114"/>
              <w:rPr>
                <w:sz w:val="18"/>
              </w:rPr>
            </w:pPr>
            <w:r>
              <w:rPr>
                <w:sz w:val="18"/>
              </w:rPr>
              <w:t>Rural</w:t>
            </w:r>
          </w:p>
        </w:tc>
      </w:tr>
      <w:tr>
        <w:trPr>
          <w:trHeight w:val="631" w:hRule="exact"/>
        </w:trPr>
        <w:tc>
          <w:tcPr>
            <w:tcW w:w="2501" w:type="dxa"/>
          </w:tcPr>
          <w:p>
            <w:pPr>
              <w:pStyle w:val="TableParagraph"/>
              <w:spacing w:line="360" w:lineRule="auto"/>
              <w:ind w:left="67" w:right="604"/>
              <w:jc w:val="left"/>
              <w:rPr>
                <w:b/>
                <w:sz w:val="18"/>
              </w:rPr>
            </w:pPr>
            <w:r>
              <w:rPr>
                <w:b/>
                <w:color w:val="333333"/>
                <w:sz w:val="18"/>
              </w:rPr>
              <w:t>SOYANIQUILPAN DE JUAREZ</w:t>
            </w:r>
          </w:p>
        </w:tc>
        <w:tc>
          <w:tcPr>
            <w:tcW w:w="1039" w:type="dxa"/>
          </w:tcPr>
          <w:p>
            <w:pPr>
              <w:pStyle w:val="TableParagraph"/>
              <w:spacing w:before="6"/>
              <w:jc w:val="left"/>
              <w:rPr>
                <w:rFonts w:ascii="Times New Roman"/>
                <w:sz w:val="26"/>
              </w:rPr>
            </w:pPr>
          </w:p>
          <w:p>
            <w:pPr>
              <w:pStyle w:val="TableParagraph"/>
              <w:spacing w:before="1"/>
              <w:ind w:left="93" w:right="92"/>
              <w:rPr>
                <w:sz w:val="18"/>
              </w:rPr>
            </w:pPr>
            <w:r>
              <w:rPr>
                <w:sz w:val="18"/>
              </w:rPr>
              <w:t>10,719</w:t>
            </w:r>
          </w:p>
        </w:tc>
        <w:tc>
          <w:tcPr>
            <w:tcW w:w="1030" w:type="dxa"/>
          </w:tcPr>
          <w:p>
            <w:pPr>
              <w:pStyle w:val="TableParagraph"/>
              <w:spacing w:before="6"/>
              <w:jc w:val="left"/>
              <w:rPr>
                <w:rFonts w:ascii="Times New Roman"/>
                <w:sz w:val="26"/>
              </w:rPr>
            </w:pPr>
          </w:p>
          <w:p>
            <w:pPr>
              <w:pStyle w:val="TableParagraph"/>
              <w:spacing w:before="1"/>
              <w:ind w:right="232"/>
              <w:jc w:val="right"/>
              <w:rPr>
                <w:sz w:val="18"/>
              </w:rPr>
            </w:pPr>
            <w:r>
              <w:rPr>
                <w:sz w:val="18"/>
              </w:rPr>
              <w:t>11,798</w:t>
            </w:r>
          </w:p>
        </w:tc>
        <w:tc>
          <w:tcPr>
            <w:tcW w:w="1030" w:type="dxa"/>
          </w:tcPr>
          <w:p>
            <w:pPr>
              <w:pStyle w:val="TableParagraph"/>
              <w:spacing w:before="6"/>
              <w:jc w:val="left"/>
              <w:rPr>
                <w:rFonts w:ascii="Times New Roman"/>
                <w:sz w:val="26"/>
              </w:rPr>
            </w:pPr>
          </w:p>
          <w:p>
            <w:pPr>
              <w:pStyle w:val="TableParagraph"/>
              <w:spacing w:before="1"/>
              <w:ind w:left="235" w:right="104"/>
              <w:jc w:val="left"/>
              <w:rPr>
                <w:sz w:val="18"/>
              </w:rPr>
            </w:pPr>
            <w:r>
              <w:rPr>
                <w:sz w:val="18"/>
              </w:rPr>
              <w:t>11,949</w:t>
            </w:r>
          </w:p>
        </w:tc>
        <w:tc>
          <w:tcPr>
            <w:tcW w:w="1369" w:type="dxa"/>
          </w:tcPr>
          <w:p>
            <w:pPr>
              <w:pStyle w:val="TableParagraph"/>
              <w:spacing w:line="203" w:lineRule="exact"/>
              <w:ind w:left="113" w:right="114"/>
              <w:rPr>
                <w:sz w:val="18"/>
              </w:rPr>
            </w:pPr>
            <w:r>
              <w:rPr>
                <w:sz w:val="18"/>
              </w:rPr>
              <w:t>Rural</w:t>
            </w:r>
          </w:p>
        </w:tc>
      </w:tr>
      <w:tr>
        <w:trPr>
          <w:trHeight w:val="319" w:hRule="exact"/>
        </w:trPr>
        <w:tc>
          <w:tcPr>
            <w:tcW w:w="2501" w:type="dxa"/>
          </w:tcPr>
          <w:p>
            <w:pPr>
              <w:pStyle w:val="TableParagraph"/>
              <w:spacing w:line="199" w:lineRule="exact"/>
              <w:ind w:left="67" w:right="4"/>
              <w:jc w:val="left"/>
              <w:rPr>
                <w:b/>
                <w:sz w:val="18"/>
              </w:rPr>
            </w:pPr>
            <w:r>
              <w:rPr>
                <w:b/>
                <w:color w:val="333333"/>
                <w:sz w:val="18"/>
              </w:rPr>
              <w:t>SULTEPEC</w:t>
            </w:r>
          </w:p>
        </w:tc>
        <w:tc>
          <w:tcPr>
            <w:tcW w:w="1039" w:type="dxa"/>
          </w:tcPr>
          <w:p>
            <w:pPr>
              <w:pStyle w:val="TableParagraph"/>
              <w:spacing w:line="203" w:lineRule="exact"/>
              <w:ind w:left="93" w:right="92"/>
              <w:rPr>
                <w:sz w:val="18"/>
              </w:rPr>
            </w:pPr>
            <w:r>
              <w:rPr>
                <w:sz w:val="18"/>
              </w:rPr>
              <w:t>24,986</w:t>
            </w:r>
          </w:p>
        </w:tc>
        <w:tc>
          <w:tcPr>
            <w:tcW w:w="1030" w:type="dxa"/>
          </w:tcPr>
          <w:p>
            <w:pPr>
              <w:pStyle w:val="TableParagraph"/>
              <w:spacing w:line="203" w:lineRule="exact"/>
              <w:ind w:right="232"/>
              <w:jc w:val="right"/>
              <w:rPr>
                <w:sz w:val="18"/>
              </w:rPr>
            </w:pPr>
            <w:r>
              <w:rPr>
                <w:sz w:val="18"/>
              </w:rPr>
              <w:t>25,809</w:t>
            </w:r>
          </w:p>
        </w:tc>
        <w:tc>
          <w:tcPr>
            <w:tcW w:w="1030" w:type="dxa"/>
          </w:tcPr>
          <w:p>
            <w:pPr>
              <w:pStyle w:val="TableParagraph"/>
              <w:spacing w:line="203" w:lineRule="exact"/>
              <w:ind w:left="235" w:right="104"/>
              <w:jc w:val="left"/>
              <w:rPr>
                <w:sz w:val="18"/>
              </w:rPr>
            </w:pPr>
            <w:r>
              <w:rPr>
                <w:sz w:val="18"/>
              </w:rPr>
              <w:t>25,385</w:t>
            </w:r>
          </w:p>
        </w:tc>
        <w:tc>
          <w:tcPr>
            <w:tcW w:w="1369" w:type="dxa"/>
          </w:tcPr>
          <w:p>
            <w:pPr>
              <w:pStyle w:val="TableParagraph"/>
              <w:spacing w:line="203" w:lineRule="exact"/>
              <w:ind w:left="114" w:right="114"/>
              <w:rPr>
                <w:sz w:val="18"/>
              </w:rPr>
            </w:pPr>
            <w:r>
              <w:rPr>
                <w:sz w:val="18"/>
              </w:rPr>
              <w:t>Semiurbano</w:t>
            </w:r>
          </w:p>
        </w:tc>
      </w:tr>
      <w:tr>
        <w:trPr>
          <w:trHeight w:val="322" w:hRule="exact"/>
        </w:trPr>
        <w:tc>
          <w:tcPr>
            <w:tcW w:w="2501" w:type="dxa"/>
          </w:tcPr>
          <w:p>
            <w:pPr>
              <w:pStyle w:val="TableParagraph"/>
              <w:spacing w:line="199" w:lineRule="exact"/>
              <w:ind w:left="67" w:right="4"/>
              <w:jc w:val="left"/>
              <w:rPr>
                <w:b/>
                <w:sz w:val="18"/>
              </w:rPr>
            </w:pPr>
            <w:r>
              <w:rPr>
                <w:b/>
                <w:color w:val="333333"/>
                <w:sz w:val="18"/>
              </w:rPr>
              <w:t>TECAMAC</w:t>
            </w:r>
          </w:p>
        </w:tc>
        <w:tc>
          <w:tcPr>
            <w:tcW w:w="1039" w:type="dxa"/>
          </w:tcPr>
          <w:p>
            <w:pPr>
              <w:pStyle w:val="TableParagraph"/>
              <w:spacing w:line="203" w:lineRule="exact"/>
              <w:ind w:left="93" w:right="92"/>
              <w:rPr>
                <w:sz w:val="18"/>
              </w:rPr>
            </w:pPr>
            <w:r>
              <w:rPr>
                <w:sz w:val="18"/>
              </w:rPr>
              <w:t>270,574</w:t>
            </w:r>
          </w:p>
        </w:tc>
        <w:tc>
          <w:tcPr>
            <w:tcW w:w="1030" w:type="dxa"/>
          </w:tcPr>
          <w:p>
            <w:pPr>
              <w:pStyle w:val="TableParagraph"/>
              <w:spacing w:line="203" w:lineRule="exact"/>
              <w:ind w:right="182"/>
              <w:jc w:val="right"/>
              <w:rPr>
                <w:sz w:val="18"/>
              </w:rPr>
            </w:pPr>
            <w:r>
              <w:rPr>
                <w:sz w:val="18"/>
              </w:rPr>
              <w:t>364,579</w:t>
            </w:r>
          </w:p>
        </w:tc>
        <w:tc>
          <w:tcPr>
            <w:tcW w:w="1030" w:type="dxa"/>
          </w:tcPr>
          <w:p>
            <w:pPr>
              <w:pStyle w:val="TableParagraph"/>
              <w:spacing w:line="203" w:lineRule="exact"/>
              <w:ind w:left="184" w:right="104"/>
              <w:jc w:val="left"/>
              <w:rPr>
                <w:sz w:val="18"/>
              </w:rPr>
            </w:pPr>
            <w:r>
              <w:rPr>
                <w:sz w:val="18"/>
              </w:rPr>
              <w:t>397,699</w:t>
            </w:r>
          </w:p>
        </w:tc>
        <w:tc>
          <w:tcPr>
            <w:tcW w:w="1369" w:type="dxa"/>
          </w:tcPr>
          <w:p>
            <w:pPr>
              <w:pStyle w:val="TableParagraph"/>
              <w:spacing w:line="203" w:lineRule="exact"/>
              <w:ind w:left="114" w:right="114"/>
              <w:rPr>
                <w:sz w:val="18"/>
              </w:rPr>
            </w:pPr>
            <w:r>
              <w:rPr>
                <w:sz w:val="18"/>
              </w:rPr>
              <w:t>Urbano</w:t>
            </w:r>
          </w:p>
        </w:tc>
      </w:tr>
      <w:tr>
        <w:trPr>
          <w:trHeight w:val="320" w:hRule="exact"/>
        </w:trPr>
        <w:tc>
          <w:tcPr>
            <w:tcW w:w="2501" w:type="dxa"/>
          </w:tcPr>
          <w:p>
            <w:pPr>
              <w:pStyle w:val="TableParagraph"/>
              <w:spacing w:line="199" w:lineRule="exact"/>
              <w:ind w:left="67" w:right="4"/>
              <w:jc w:val="left"/>
              <w:rPr>
                <w:b/>
                <w:sz w:val="18"/>
              </w:rPr>
            </w:pPr>
            <w:r>
              <w:rPr>
                <w:b/>
                <w:color w:val="333333"/>
                <w:sz w:val="18"/>
              </w:rPr>
              <w:t>TEJUPILCO</w:t>
            </w:r>
          </w:p>
        </w:tc>
        <w:tc>
          <w:tcPr>
            <w:tcW w:w="1039" w:type="dxa"/>
          </w:tcPr>
          <w:p>
            <w:pPr>
              <w:pStyle w:val="TableParagraph"/>
              <w:spacing w:line="204" w:lineRule="exact"/>
              <w:ind w:left="93" w:right="92"/>
              <w:rPr>
                <w:sz w:val="18"/>
              </w:rPr>
            </w:pPr>
            <w:r>
              <w:rPr>
                <w:sz w:val="18"/>
              </w:rPr>
              <w:t>62,547</w:t>
            </w:r>
          </w:p>
        </w:tc>
        <w:tc>
          <w:tcPr>
            <w:tcW w:w="1030" w:type="dxa"/>
          </w:tcPr>
          <w:p>
            <w:pPr>
              <w:pStyle w:val="TableParagraph"/>
              <w:spacing w:line="204" w:lineRule="exact"/>
              <w:ind w:right="232"/>
              <w:jc w:val="right"/>
              <w:rPr>
                <w:sz w:val="18"/>
              </w:rPr>
            </w:pPr>
            <w:r>
              <w:rPr>
                <w:sz w:val="18"/>
              </w:rPr>
              <w:t>71,077</w:t>
            </w:r>
          </w:p>
        </w:tc>
        <w:tc>
          <w:tcPr>
            <w:tcW w:w="1030" w:type="dxa"/>
          </w:tcPr>
          <w:p>
            <w:pPr>
              <w:pStyle w:val="TableParagraph"/>
              <w:spacing w:line="204" w:lineRule="exact"/>
              <w:ind w:left="235" w:right="104"/>
              <w:jc w:val="left"/>
              <w:rPr>
                <w:sz w:val="18"/>
              </w:rPr>
            </w:pPr>
            <w:r>
              <w:rPr>
                <w:sz w:val="18"/>
              </w:rPr>
              <w:t>71,293</w:t>
            </w:r>
          </w:p>
        </w:tc>
        <w:tc>
          <w:tcPr>
            <w:tcW w:w="1369" w:type="dxa"/>
          </w:tcPr>
          <w:p>
            <w:pPr>
              <w:pStyle w:val="TableParagraph"/>
              <w:spacing w:line="204" w:lineRule="exact"/>
              <w:ind w:left="114" w:right="114"/>
              <w:rPr>
                <w:sz w:val="18"/>
              </w:rPr>
            </w:pPr>
            <w:r>
              <w:rPr>
                <w:sz w:val="18"/>
              </w:rPr>
              <w:t>Semiurbano</w:t>
            </w:r>
          </w:p>
        </w:tc>
      </w:tr>
      <w:tr>
        <w:trPr>
          <w:trHeight w:val="322" w:hRule="exact"/>
        </w:trPr>
        <w:tc>
          <w:tcPr>
            <w:tcW w:w="2501" w:type="dxa"/>
          </w:tcPr>
          <w:p>
            <w:pPr>
              <w:pStyle w:val="TableParagraph"/>
              <w:spacing w:line="199" w:lineRule="exact"/>
              <w:ind w:left="67" w:right="4"/>
              <w:jc w:val="left"/>
              <w:rPr>
                <w:b/>
                <w:sz w:val="18"/>
              </w:rPr>
            </w:pPr>
            <w:r>
              <w:rPr>
                <w:b/>
                <w:color w:val="333333"/>
                <w:sz w:val="18"/>
              </w:rPr>
              <w:t>TEMAMATLA</w:t>
            </w:r>
          </w:p>
        </w:tc>
        <w:tc>
          <w:tcPr>
            <w:tcW w:w="1039" w:type="dxa"/>
          </w:tcPr>
          <w:p>
            <w:pPr>
              <w:pStyle w:val="TableParagraph"/>
              <w:spacing w:line="203" w:lineRule="exact"/>
              <w:ind w:left="93" w:right="92"/>
              <w:rPr>
                <w:sz w:val="18"/>
              </w:rPr>
            </w:pPr>
            <w:r>
              <w:rPr>
                <w:sz w:val="18"/>
              </w:rPr>
              <w:t>10,135</w:t>
            </w:r>
          </w:p>
        </w:tc>
        <w:tc>
          <w:tcPr>
            <w:tcW w:w="1030" w:type="dxa"/>
          </w:tcPr>
          <w:p>
            <w:pPr>
              <w:pStyle w:val="TableParagraph"/>
              <w:spacing w:line="203" w:lineRule="exact"/>
              <w:ind w:right="232"/>
              <w:jc w:val="right"/>
              <w:rPr>
                <w:sz w:val="18"/>
              </w:rPr>
            </w:pPr>
            <w:r>
              <w:rPr>
                <w:sz w:val="18"/>
              </w:rPr>
              <w:t>11,206</w:t>
            </w:r>
          </w:p>
        </w:tc>
        <w:tc>
          <w:tcPr>
            <w:tcW w:w="1030" w:type="dxa"/>
          </w:tcPr>
          <w:p>
            <w:pPr>
              <w:pStyle w:val="TableParagraph"/>
              <w:spacing w:line="203" w:lineRule="exact"/>
              <w:ind w:left="235" w:right="104"/>
              <w:jc w:val="left"/>
              <w:rPr>
                <w:sz w:val="18"/>
              </w:rPr>
            </w:pPr>
            <w:r>
              <w:rPr>
                <w:sz w:val="18"/>
              </w:rPr>
              <w:t>11,454</w:t>
            </w:r>
          </w:p>
        </w:tc>
        <w:tc>
          <w:tcPr>
            <w:tcW w:w="1369" w:type="dxa"/>
          </w:tcPr>
          <w:p>
            <w:pPr>
              <w:pStyle w:val="TableParagraph"/>
              <w:spacing w:line="203" w:lineRule="exact"/>
              <w:ind w:left="113" w:right="114"/>
              <w:rPr>
                <w:sz w:val="18"/>
              </w:rPr>
            </w:pPr>
            <w:r>
              <w:rPr>
                <w:sz w:val="18"/>
              </w:rPr>
              <w:t>Rural</w:t>
            </w:r>
          </w:p>
        </w:tc>
      </w:tr>
      <w:tr>
        <w:trPr>
          <w:trHeight w:val="319" w:hRule="exact"/>
        </w:trPr>
        <w:tc>
          <w:tcPr>
            <w:tcW w:w="2501" w:type="dxa"/>
          </w:tcPr>
          <w:p>
            <w:pPr>
              <w:pStyle w:val="TableParagraph"/>
              <w:spacing w:line="199" w:lineRule="exact"/>
              <w:ind w:left="67" w:right="4"/>
              <w:jc w:val="left"/>
              <w:rPr>
                <w:b/>
                <w:sz w:val="18"/>
              </w:rPr>
            </w:pPr>
            <w:r>
              <w:rPr>
                <w:b/>
                <w:color w:val="333333"/>
                <w:sz w:val="18"/>
              </w:rPr>
              <w:t>TEMASCALAPA</w:t>
            </w:r>
          </w:p>
        </w:tc>
        <w:tc>
          <w:tcPr>
            <w:tcW w:w="1039" w:type="dxa"/>
          </w:tcPr>
          <w:p>
            <w:pPr>
              <w:pStyle w:val="TableParagraph"/>
              <w:spacing w:line="203" w:lineRule="exact"/>
              <w:ind w:left="93" w:right="92"/>
              <w:rPr>
                <w:sz w:val="18"/>
              </w:rPr>
            </w:pPr>
            <w:r>
              <w:rPr>
                <w:sz w:val="18"/>
              </w:rPr>
              <w:t>33,063</w:t>
            </w:r>
          </w:p>
        </w:tc>
        <w:tc>
          <w:tcPr>
            <w:tcW w:w="1030" w:type="dxa"/>
          </w:tcPr>
          <w:p>
            <w:pPr>
              <w:pStyle w:val="TableParagraph"/>
              <w:spacing w:line="203" w:lineRule="exact"/>
              <w:ind w:right="232"/>
              <w:jc w:val="right"/>
              <w:rPr>
                <w:sz w:val="18"/>
              </w:rPr>
            </w:pPr>
            <w:r>
              <w:rPr>
                <w:sz w:val="18"/>
              </w:rPr>
              <w:t>35,987</w:t>
            </w:r>
          </w:p>
        </w:tc>
        <w:tc>
          <w:tcPr>
            <w:tcW w:w="1030" w:type="dxa"/>
          </w:tcPr>
          <w:p>
            <w:pPr>
              <w:pStyle w:val="TableParagraph"/>
              <w:spacing w:line="203" w:lineRule="exact"/>
              <w:ind w:left="235" w:right="104"/>
              <w:jc w:val="left"/>
              <w:rPr>
                <w:sz w:val="18"/>
              </w:rPr>
            </w:pPr>
            <w:r>
              <w:rPr>
                <w:sz w:val="18"/>
              </w:rPr>
              <w:t>36,636</w:t>
            </w:r>
          </w:p>
        </w:tc>
        <w:tc>
          <w:tcPr>
            <w:tcW w:w="1369" w:type="dxa"/>
          </w:tcPr>
          <w:p>
            <w:pPr>
              <w:pStyle w:val="TableParagraph"/>
              <w:spacing w:line="203" w:lineRule="exact"/>
              <w:ind w:left="114" w:right="114"/>
              <w:rPr>
                <w:sz w:val="18"/>
              </w:rPr>
            </w:pPr>
            <w:r>
              <w:rPr>
                <w:sz w:val="18"/>
              </w:rPr>
              <w:t>Semiurbano</w:t>
            </w:r>
          </w:p>
        </w:tc>
      </w:tr>
      <w:tr>
        <w:trPr>
          <w:trHeight w:val="322" w:hRule="exact"/>
        </w:trPr>
        <w:tc>
          <w:tcPr>
            <w:tcW w:w="2501" w:type="dxa"/>
          </w:tcPr>
          <w:p>
            <w:pPr>
              <w:pStyle w:val="TableParagraph"/>
              <w:spacing w:line="199" w:lineRule="exact"/>
              <w:ind w:left="67" w:right="4"/>
              <w:jc w:val="left"/>
              <w:rPr>
                <w:b/>
                <w:sz w:val="18"/>
              </w:rPr>
            </w:pPr>
            <w:r>
              <w:rPr>
                <w:b/>
                <w:color w:val="333333"/>
                <w:sz w:val="18"/>
              </w:rPr>
              <w:t>TEMASCALCINGO</w:t>
            </w:r>
          </w:p>
        </w:tc>
        <w:tc>
          <w:tcPr>
            <w:tcW w:w="1039" w:type="dxa"/>
          </w:tcPr>
          <w:p>
            <w:pPr>
              <w:pStyle w:val="TableParagraph"/>
              <w:spacing w:line="203" w:lineRule="exact"/>
              <w:ind w:left="93" w:right="92"/>
              <w:rPr>
                <w:sz w:val="18"/>
              </w:rPr>
            </w:pPr>
            <w:r>
              <w:rPr>
                <w:sz w:val="18"/>
              </w:rPr>
              <w:t>58,169</w:t>
            </w:r>
          </w:p>
        </w:tc>
        <w:tc>
          <w:tcPr>
            <w:tcW w:w="1030" w:type="dxa"/>
          </w:tcPr>
          <w:p>
            <w:pPr>
              <w:pStyle w:val="TableParagraph"/>
              <w:spacing w:line="203" w:lineRule="exact"/>
              <w:ind w:right="232"/>
              <w:jc w:val="right"/>
              <w:rPr>
                <w:sz w:val="18"/>
              </w:rPr>
            </w:pPr>
            <w:r>
              <w:rPr>
                <w:sz w:val="18"/>
              </w:rPr>
              <w:t>62,695</w:t>
            </w:r>
          </w:p>
        </w:tc>
        <w:tc>
          <w:tcPr>
            <w:tcW w:w="1030" w:type="dxa"/>
          </w:tcPr>
          <w:p>
            <w:pPr>
              <w:pStyle w:val="TableParagraph"/>
              <w:spacing w:line="203" w:lineRule="exact"/>
              <w:ind w:left="235" w:right="104"/>
              <w:jc w:val="left"/>
              <w:rPr>
                <w:sz w:val="18"/>
              </w:rPr>
            </w:pPr>
            <w:r>
              <w:rPr>
                <w:sz w:val="18"/>
              </w:rPr>
              <w:t>62,280</w:t>
            </w:r>
          </w:p>
        </w:tc>
        <w:tc>
          <w:tcPr>
            <w:tcW w:w="1369" w:type="dxa"/>
          </w:tcPr>
          <w:p>
            <w:pPr>
              <w:pStyle w:val="TableParagraph"/>
              <w:spacing w:line="203" w:lineRule="exact"/>
              <w:ind w:left="114" w:right="114"/>
              <w:rPr>
                <w:sz w:val="18"/>
              </w:rPr>
            </w:pPr>
            <w:r>
              <w:rPr>
                <w:sz w:val="18"/>
              </w:rPr>
              <w:t>Semiurbano</w:t>
            </w:r>
          </w:p>
        </w:tc>
      </w:tr>
      <w:tr>
        <w:trPr>
          <w:trHeight w:val="319" w:hRule="exact"/>
        </w:trPr>
        <w:tc>
          <w:tcPr>
            <w:tcW w:w="2501" w:type="dxa"/>
          </w:tcPr>
          <w:p>
            <w:pPr>
              <w:pStyle w:val="TableParagraph"/>
              <w:spacing w:line="199" w:lineRule="exact"/>
              <w:ind w:left="67" w:right="4"/>
              <w:jc w:val="left"/>
              <w:rPr>
                <w:b/>
                <w:sz w:val="18"/>
              </w:rPr>
            </w:pPr>
            <w:r>
              <w:rPr>
                <w:b/>
                <w:color w:val="333333"/>
                <w:sz w:val="18"/>
              </w:rPr>
              <w:t>TEMASCALTEPEC</w:t>
            </w:r>
          </w:p>
        </w:tc>
        <w:tc>
          <w:tcPr>
            <w:tcW w:w="1039" w:type="dxa"/>
          </w:tcPr>
          <w:p>
            <w:pPr>
              <w:pStyle w:val="TableParagraph"/>
              <w:spacing w:line="203" w:lineRule="exact"/>
              <w:ind w:left="93" w:right="92"/>
              <w:rPr>
                <w:sz w:val="18"/>
              </w:rPr>
            </w:pPr>
            <w:r>
              <w:rPr>
                <w:sz w:val="18"/>
              </w:rPr>
              <w:t>30,336</w:t>
            </w:r>
          </w:p>
        </w:tc>
        <w:tc>
          <w:tcPr>
            <w:tcW w:w="1030" w:type="dxa"/>
          </w:tcPr>
          <w:p>
            <w:pPr>
              <w:pStyle w:val="TableParagraph"/>
              <w:spacing w:line="203" w:lineRule="exact"/>
              <w:ind w:right="232"/>
              <w:jc w:val="right"/>
              <w:rPr>
                <w:sz w:val="18"/>
              </w:rPr>
            </w:pPr>
            <w:r>
              <w:rPr>
                <w:sz w:val="18"/>
              </w:rPr>
              <w:t>32,870</w:t>
            </w:r>
          </w:p>
        </w:tc>
        <w:tc>
          <w:tcPr>
            <w:tcW w:w="1030" w:type="dxa"/>
          </w:tcPr>
          <w:p>
            <w:pPr>
              <w:pStyle w:val="TableParagraph"/>
              <w:spacing w:line="203" w:lineRule="exact"/>
              <w:ind w:left="235" w:right="104"/>
              <w:jc w:val="left"/>
              <w:rPr>
                <w:sz w:val="18"/>
              </w:rPr>
            </w:pPr>
            <w:r>
              <w:rPr>
                <w:sz w:val="18"/>
              </w:rPr>
              <w:t>32,821</w:t>
            </w:r>
          </w:p>
        </w:tc>
        <w:tc>
          <w:tcPr>
            <w:tcW w:w="1369" w:type="dxa"/>
          </w:tcPr>
          <w:p>
            <w:pPr>
              <w:pStyle w:val="TableParagraph"/>
              <w:spacing w:line="203" w:lineRule="exact"/>
              <w:ind w:left="114" w:right="114"/>
              <w:rPr>
                <w:sz w:val="18"/>
              </w:rPr>
            </w:pPr>
            <w:r>
              <w:rPr>
                <w:sz w:val="18"/>
              </w:rPr>
              <w:t>Semiurbano</w:t>
            </w:r>
          </w:p>
        </w:tc>
      </w:tr>
      <w:tr>
        <w:trPr>
          <w:trHeight w:val="322" w:hRule="exact"/>
        </w:trPr>
        <w:tc>
          <w:tcPr>
            <w:tcW w:w="2501" w:type="dxa"/>
          </w:tcPr>
          <w:p>
            <w:pPr>
              <w:pStyle w:val="TableParagraph"/>
              <w:spacing w:line="199" w:lineRule="exact"/>
              <w:ind w:left="67" w:right="4"/>
              <w:jc w:val="left"/>
              <w:rPr>
                <w:b/>
                <w:sz w:val="18"/>
              </w:rPr>
            </w:pPr>
            <w:r>
              <w:rPr>
                <w:b/>
                <w:color w:val="333333"/>
                <w:sz w:val="18"/>
              </w:rPr>
              <w:t>TEMOAYA</w:t>
            </w:r>
          </w:p>
        </w:tc>
        <w:tc>
          <w:tcPr>
            <w:tcW w:w="1039" w:type="dxa"/>
          </w:tcPr>
          <w:p>
            <w:pPr>
              <w:pStyle w:val="TableParagraph"/>
              <w:spacing w:line="203" w:lineRule="exact"/>
              <w:ind w:left="93" w:right="92"/>
              <w:rPr>
                <w:sz w:val="18"/>
              </w:rPr>
            </w:pPr>
            <w:r>
              <w:rPr>
                <w:sz w:val="18"/>
              </w:rPr>
              <w:t>77,714</w:t>
            </w:r>
          </w:p>
        </w:tc>
        <w:tc>
          <w:tcPr>
            <w:tcW w:w="1030" w:type="dxa"/>
          </w:tcPr>
          <w:p>
            <w:pPr>
              <w:pStyle w:val="TableParagraph"/>
              <w:spacing w:line="203" w:lineRule="exact"/>
              <w:ind w:right="232"/>
              <w:jc w:val="right"/>
              <w:rPr>
                <w:sz w:val="18"/>
              </w:rPr>
            </w:pPr>
            <w:r>
              <w:rPr>
                <w:sz w:val="18"/>
              </w:rPr>
              <w:t>90,010</w:t>
            </w:r>
          </w:p>
        </w:tc>
        <w:tc>
          <w:tcPr>
            <w:tcW w:w="1030" w:type="dxa"/>
          </w:tcPr>
          <w:p>
            <w:pPr>
              <w:pStyle w:val="TableParagraph"/>
              <w:spacing w:line="203" w:lineRule="exact"/>
              <w:ind w:left="235" w:right="104"/>
              <w:jc w:val="left"/>
              <w:rPr>
                <w:sz w:val="18"/>
              </w:rPr>
            </w:pPr>
            <w:r>
              <w:rPr>
                <w:sz w:val="18"/>
              </w:rPr>
              <w:t>92,287</w:t>
            </w:r>
          </w:p>
        </w:tc>
        <w:tc>
          <w:tcPr>
            <w:tcW w:w="1369" w:type="dxa"/>
          </w:tcPr>
          <w:p>
            <w:pPr>
              <w:pStyle w:val="TableParagraph"/>
              <w:spacing w:line="203" w:lineRule="exact"/>
              <w:ind w:left="114" w:right="114"/>
              <w:rPr>
                <w:sz w:val="18"/>
              </w:rPr>
            </w:pPr>
            <w:r>
              <w:rPr>
                <w:sz w:val="18"/>
              </w:rPr>
              <w:t>Semiurbano</w:t>
            </w:r>
          </w:p>
        </w:tc>
      </w:tr>
      <w:tr>
        <w:trPr>
          <w:trHeight w:val="319" w:hRule="exact"/>
        </w:trPr>
        <w:tc>
          <w:tcPr>
            <w:tcW w:w="2501" w:type="dxa"/>
          </w:tcPr>
          <w:p>
            <w:pPr>
              <w:pStyle w:val="TableParagraph"/>
              <w:spacing w:line="199" w:lineRule="exact"/>
              <w:ind w:left="67" w:right="4"/>
              <w:jc w:val="left"/>
              <w:rPr>
                <w:b/>
                <w:sz w:val="18"/>
              </w:rPr>
            </w:pPr>
            <w:r>
              <w:rPr>
                <w:b/>
                <w:color w:val="333333"/>
                <w:sz w:val="18"/>
              </w:rPr>
              <w:t>TENANCINGO</w:t>
            </w:r>
          </w:p>
        </w:tc>
        <w:tc>
          <w:tcPr>
            <w:tcW w:w="1039" w:type="dxa"/>
          </w:tcPr>
          <w:p>
            <w:pPr>
              <w:pStyle w:val="TableParagraph"/>
              <w:spacing w:line="203" w:lineRule="exact"/>
              <w:ind w:left="93" w:right="92"/>
              <w:rPr>
                <w:sz w:val="18"/>
              </w:rPr>
            </w:pPr>
            <w:r>
              <w:rPr>
                <w:sz w:val="18"/>
              </w:rPr>
              <w:t>80,183</w:t>
            </w:r>
          </w:p>
        </w:tc>
        <w:tc>
          <w:tcPr>
            <w:tcW w:w="1030" w:type="dxa"/>
          </w:tcPr>
          <w:p>
            <w:pPr>
              <w:pStyle w:val="TableParagraph"/>
              <w:spacing w:line="203" w:lineRule="exact"/>
              <w:ind w:right="232"/>
              <w:jc w:val="right"/>
              <w:rPr>
                <w:sz w:val="18"/>
              </w:rPr>
            </w:pPr>
            <w:r>
              <w:rPr>
                <w:sz w:val="18"/>
              </w:rPr>
              <w:t>90,946</w:t>
            </w:r>
          </w:p>
        </w:tc>
        <w:tc>
          <w:tcPr>
            <w:tcW w:w="1030" w:type="dxa"/>
          </w:tcPr>
          <w:p>
            <w:pPr>
              <w:pStyle w:val="TableParagraph"/>
              <w:spacing w:line="203" w:lineRule="exact"/>
              <w:ind w:left="235" w:right="104"/>
              <w:jc w:val="left"/>
              <w:rPr>
                <w:sz w:val="18"/>
              </w:rPr>
            </w:pPr>
            <w:r>
              <w:rPr>
                <w:sz w:val="18"/>
              </w:rPr>
              <w:t>92,052</w:t>
            </w:r>
          </w:p>
        </w:tc>
        <w:tc>
          <w:tcPr>
            <w:tcW w:w="1369" w:type="dxa"/>
          </w:tcPr>
          <w:p>
            <w:pPr>
              <w:pStyle w:val="TableParagraph"/>
              <w:spacing w:line="203" w:lineRule="exact"/>
              <w:ind w:left="114" w:right="114"/>
              <w:rPr>
                <w:sz w:val="18"/>
              </w:rPr>
            </w:pPr>
            <w:r>
              <w:rPr>
                <w:sz w:val="18"/>
              </w:rPr>
              <w:t>Semiurbano</w:t>
            </w:r>
          </w:p>
        </w:tc>
      </w:tr>
      <w:tr>
        <w:trPr>
          <w:trHeight w:val="322" w:hRule="exact"/>
        </w:trPr>
        <w:tc>
          <w:tcPr>
            <w:tcW w:w="2501" w:type="dxa"/>
          </w:tcPr>
          <w:p>
            <w:pPr>
              <w:pStyle w:val="TableParagraph"/>
              <w:spacing w:line="201" w:lineRule="exact"/>
              <w:ind w:left="67" w:right="4"/>
              <w:jc w:val="left"/>
              <w:rPr>
                <w:b/>
                <w:sz w:val="18"/>
              </w:rPr>
            </w:pPr>
            <w:r>
              <w:rPr>
                <w:b/>
                <w:color w:val="333333"/>
                <w:sz w:val="18"/>
              </w:rPr>
              <w:t>TENANGO DEL AIRE</w:t>
            </w:r>
          </w:p>
        </w:tc>
        <w:tc>
          <w:tcPr>
            <w:tcW w:w="1039" w:type="dxa"/>
          </w:tcPr>
          <w:p>
            <w:pPr>
              <w:pStyle w:val="TableParagraph"/>
              <w:spacing w:line="206" w:lineRule="exact"/>
              <w:ind w:left="93" w:right="94"/>
              <w:rPr>
                <w:sz w:val="18"/>
              </w:rPr>
            </w:pPr>
            <w:r>
              <w:rPr>
                <w:sz w:val="18"/>
              </w:rPr>
              <w:t>9,432</w:t>
            </w:r>
          </w:p>
        </w:tc>
        <w:tc>
          <w:tcPr>
            <w:tcW w:w="1030" w:type="dxa"/>
          </w:tcPr>
          <w:p>
            <w:pPr>
              <w:pStyle w:val="TableParagraph"/>
              <w:spacing w:line="206" w:lineRule="exact"/>
              <w:ind w:right="232"/>
              <w:jc w:val="right"/>
              <w:rPr>
                <w:sz w:val="18"/>
              </w:rPr>
            </w:pPr>
            <w:r>
              <w:rPr>
                <w:sz w:val="18"/>
              </w:rPr>
              <w:t>10,578</w:t>
            </w:r>
          </w:p>
        </w:tc>
        <w:tc>
          <w:tcPr>
            <w:tcW w:w="1030" w:type="dxa"/>
          </w:tcPr>
          <w:p>
            <w:pPr>
              <w:pStyle w:val="TableParagraph"/>
              <w:spacing w:line="206" w:lineRule="exact"/>
              <w:ind w:left="235" w:right="104"/>
              <w:jc w:val="left"/>
              <w:rPr>
                <w:sz w:val="18"/>
              </w:rPr>
            </w:pPr>
            <w:r>
              <w:rPr>
                <w:sz w:val="18"/>
              </w:rPr>
              <w:t>10,789</w:t>
            </w:r>
          </w:p>
        </w:tc>
        <w:tc>
          <w:tcPr>
            <w:tcW w:w="1369" w:type="dxa"/>
          </w:tcPr>
          <w:p>
            <w:pPr>
              <w:pStyle w:val="TableParagraph"/>
              <w:spacing w:line="206" w:lineRule="exact"/>
              <w:ind w:left="113" w:right="114"/>
              <w:rPr>
                <w:sz w:val="18"/>
              </w:rPr>
            </w:pPr>
            <w:r>
              <w:rPr>
                <w:sz w:val="18"/>
              </w:rPr>
              <w:t>Rural</w:t>
            </w:r>
          </w:p>
        </w:tc>
      </w:tr>
      <w:tr>
        <w:trPr>
          <w:trHeight w:val="319" w:hRule="exact"/>
        </w:trPr>
        <w:tc>
          <w:tcPr>
            <w:tcW w:w="2501" w:type="dxa"/>
          </w:tcPr>
          <w:p>
            <w:pPr>
              <w:pStyle w:val="TableParagraph"/>
              <w:spacing w:line="199" w:lineRule="exact"/>
              <w:ind w:left="67" w:right="4"/>
              <w:jc w:val="left"/>
              <w:rPr>
                <w:b/>
                <w:sz w:val="18"/>
              </w:rPr>
            </w:pPr>
            <w:r>
              <w:rPr>
                <w:b/>
                <w:color w:val="333333"/>
                <w:sz w:val="18"/>
              </w:rPr>
              <w:t>TENANGO DEL VALLE</w:t>
            </w:r>
          </w:p>
        </w:tc>
        <w:tc>
          <w:tcPr>
            <w:tcW w:w="1039" w:type="dxa"/>
          </w:tcPr>
          <w:p>
            <w:pPr>
              <w:pStyle w:val="TableParagraph"/>
              <w:spacing w:line="203" w:lineRule="exact"/>
              <w:ind w:left="93" w:right="92"/>
              <w:rPr>
                <w:sz w:val="18"/>
              </w:rPr>
            </w:pPr>
            <w:r>
              <w:rPr>
                <w:sz w:val="18"/>
              </w:rPr>
              <w:t>68,669</w:t>
            </w:r>
          </w:p>
        </w:tc>
        <w:tc>
          <w:tcPr>
            <w:tcW w:w="1030" w:type="dxa"/>
          </w:tcPr>
          <w:p>
            <w:pPr>
              <w:pStyle w:val="TableParagraph"/>
              <w:spacing w:line="203" w:lineRule="exact"/>
              <w:ind w:right="232"/>
              <w:jc w:val="right"/>
              <w:rPr>
                <w:sz w:val="18"/>
              </w:rPr>
            </w:pPr>
            <w:r>
              <w:rPr>
                <w:sz w:val="18"/>
              </w:rPr>
              <w:t>77,965</w:t>
            </w:r>
          </w:p>
        </w:tc>
        <w:tc>
          <w:tcPr>
            <w:tcW w:w="1030" w:type="dxa"/>
          </w:tcPr>
          <w:p>
            <w:pPr>
              <w:pStyle w:val="TableParagraph"/>
              <w:spacing w:line="203" w:lineRule="exact"/>
              <w:ind w:left="235" w:right="104"/>
              <w:jc w:val="left"/>
              <w:rPr>
                <w:sz w:val="18"/>
              </w:rPr>
            </w:pPr>
            <w:r>
              <w:rPr>
                <w:sz w:val="18"/>
              </w:rPr>
              <w:t>79,118</w:t>
            </w:r>
          </w:p>
        </w:tc>
        <w:tc>
          <w:tcPr>
            <w:tcW w:w="1369" w:type="dxa"/>
          </w:tcPr>
          <w:p>
            <w:pPr>
              <w:pStyle w:val="TableParagraph"/>
              <w:spacing w:line="203" w:lineRule="exact"/>
              <w:ind w:left="114" w:right="114"/>
              <w:rPr>
                <w:sz w:val="18"/>
              </w:rPr>
            </w:pPr>
            <w:r>
              <w:rPr>
                <w:sz w:val="18"/>
              </w:rPr>
              <w:t>Semiurbano</w:t>
            </w:r>
          </w:p>
        </w:tc>
      </w:tr>
      <w:tr>
        <w:trPr>
          <w:trHeight w:val="322" w:hRule="exact"/>
        </w:trPr>
        <w:tc>
          <w:tcPr>
            <w:tcW w:w="2501" w:type="dxa"/>
          </w:tcPr>
          <w:p>
            <w:pPr>
              <w:pStyle w:val="TableParagraph"/>
              <w:spacing w:line="201" w:lineRule="exact"/>
              <w:ind w:left="67" w:right="4"/>
              <w:jc w:val="left"/>
              <w:rPr>
                <w:b/>
                <w:sz w:val="18"/>
              </w:rPr>
            </w:pPr>
            <w:r>
              <w:rPr>
                <w:b/>
                <w:color w:val="333333"/>
                <w:sz w:val="18"/>
              </w:rPr>
              <w:t>TEOLOYUCAN</w:t>
            </w:r>
          </w:p>
        </w:tc>
        <w:tc>
          <w:tcPr>
            <w:tcW w:w="1039" w:type="dxa"/>
          </w:tcPr>
          <w:p>
            <w:pPr>
              <w:pStyle w:val="TableParagraph"/>
              <w:spacing w:line="206" w:lineRule="exact"/>
              <w:ind w:left="93" w:right="92"/>
              <w:rPr>
                <w:sz w:val="18"/>
              </w:rPr>
            </w:pPr>
            <w:r>
              <w:rPr>
                <w:sz w:val="18"/>
              </w:rPr>
              <w:t>73,696</w:t>
            </w:r>
          </w:p>
        </w:tc>
        <w:tc>
          <w:tcPr>
            <w:tcW w:w="1030" w:type="dxa"/>
          </w:tcPr>
          <w:p>
            <w:pPr>
              <w:pStyle w:val="TableParagraph"/>
              <w:spacing w:line="206" w:lineRule="exact"/>
              <w:ind w:right="232"/>
              <w:jc w:val="right"/>
              <w:rPr>
                <w:sz w:val="18"/>
              </w:rPr>
            </w:pPr>
            <w:r>
              <w:rPr>
                <w:sz w:val="18"/>
              </w:rPr>
              <w:t>63,115</w:t>
            </w:r>
          </w:p>
        </w:tc>
        <w:tc>
          <w:tcPr>
            <w:tcW w:w="1030" w:type="dxa"/>
          </w:tcPr>
          <w:p>
            <w:pPr>
              <w:pStyle w:val="TableParagraph"/>
              <w:spacing w:line="206" w:lineRule="exact"/>
              <w:ind w:left="235" w:right="104"/>
              <w:jc w:val="left"/>
              <w:rPr>
                <w:sz w:val="18"/>
              </w:rPr>
            </w:pPr>
            <w:r>
              <w:rPr>
                <w:sz w:val="18"/>
              </w:rPr>
              <w:t>62,186</w:t>
            </w:r>
          </w:p>
        </w:tc>
        <w:tc>
          <w:tcPr>
            <w:tcW w:w="1369" w:type="dxa"/>
          </w:tcPr>
          <w:p>
            <w:pPr>
              <w:pStyle w:val="TableParagraph"/>
              <w:spacing w:line="206" w:lineRule="exact"/>
              <w:ind w:left="114" w:right="114"/>
              <w:rPr>
                <w:sz w:val="18"/>
              </w:rPr>
            </w:pPr>
            <w:r>
              <w:rPr>
                <w:sz w:val="18"/>
              </w:rPr>
              <w:t>Semiurbano</w:t>
            </w:r>
          </w:p>
        </w:tc>
      </w:tr>
      <w:tr>
        <w:trPr>
          <w:trHeight w:val="322" w:hRule="exact"/>
        </w:trPr>
        <w:tc>
          <w:tcPr>
            <w:tcW w:w="2501" w:type="dxa"/>
          </w:tcPr>
          <w:p>
            <w:pPr>
              <w:pStyle w:val="TableParagraph"/>
              <w:spacing w:line="199" w:lineRule="exact"/>
              <w:ind w:left="67" w:right="4"/>
              <w:jc w:val="left"/>
              <w:rPr>
                <w:b/>
                <w:sz w:val="18"/>
              </w:rPr>
            </w:pPr>
            <w:r>
              <w:rPr>
                <w:b/>
                <w:color w:val="333333"/>
                <w:sz w:val="18"/>
              </w:rPr>
              <w:t>TEOTIHUACAN</w:t>
            </w:r>
          </w:p>
        </w:tc>
        <w:tc>
          <w:tcPr>
            <w:tcW w:w="1039" w:type="dxa"/>
          </w:tcPr>
          <w:p>
            <w:pPr>
              <w:pStyle w:val="TableParagraph"/>
              <w:spacing w:line="203" w:lineRule="exact"/>
              <w:ind w:left="93" w:right="92"/>
              <w:rPr>
                <w:sz w:val="18"/>
              </w:rPr>
            </w:pPr>
            <w:r>
              <w:rPr>
                <w:sz w:val="18"/>
              </w:rPr>
              <w:t>46,779</w:t>
            </w:r>
          </w:p>
        </w:tc>
        <w:tc>
          <w:tcPr>
            <w:tcW w:w="1030" w:type="dxa"/>
          </w:tcPr>
          <w:p>
            <w:pPr>
              <w:pStyle w:val="TableParagraph"/>
              <w:spacing w:line="203" w:lineRule="exact"/>
              <w:ind w:right="232"/>
              <w:jc w:val="right"/>
              <w:rPr>
                <w:sz w:val="18"/>
              </w:rPr>
            </w:pPr>
            <w:r>
              <w:rPr>
                <w:sz w:val="18"/>
              </w:rPr>
              <w:t>53,010</w:t>
            </w:r>
          </w:p>
        </w:tc>
        <w:tc>
          <w:tcPr>
            <w:tcW w:w="1030" w:type="dxa"/>
          </w:tcPr>
          <w:p>
            <w:pPr>
              <w:pStyle w:val="TableParagraph"/>
              <w:spacing w:line="203" w:lineRule="exact"/>
              <w:ind w:left="235" w:right="104"/>
              <w:jc w:val="left"/>
              <w:rPr>
                <w:sz w:val="18"/>
              </w:rPr>
            </w:pPr>
            <w:r>
              <w:rPr>
                <w:sz w:val="18"/>
              </w:rPr>
              <w:t>53,736</w:t>
            </w:r>
          </w:p>
        </w:tc>
        <w:tc>
          <w:tcPr>
            <w:tcW w:w="1369" w:type="dxa"/>
          </w:tcPr>
          <w:p>
            <w:pPr>
              <w:pStyle w:val="TableParagraph"/>
              <w:spacing w:line="203" w:lineRule="exact"/>
              <w:ind w:left="114" w:right="114"/>
              <w:rPr>
                <w:sz w:val="18"/>
              </w:rPr>
            </w:pPr>
            <w:r>
              <w:rPr>
                <w:sz w:val="18"/>
              </w:rPr>
              <w:t>Semiurbano</w:t>
            </w:r>
          </w:p>
        </w:tc>
      </w:tr>
      <w:tr>
        <w:trPr>
          <w:trHeight w:val="319" w:hRule="exact"/>
        </w:trPr>
        <w:tc>
          <w:tcPr>
            <w:tcW w:w="2501" w:type="dxa"/>
          </w:tcPr>
          <w:p>
            <w:pPr>
              <w:pStyle w:val="TableParagraph"/>
              <w:spacing w:line="199" w:lineRule="exact"/>
              <w:ind w:left="67" w:right="4"/>
              <w:jc w:val="left"/>
              <w:rPr>
                <w:b/>
                <w:sz w:val="18"/>
              </w:rPr>
            </w:pPr>
            <w:r>
              <w:rPr>
                <w:b/>
                <w:color w:val="333333"/>
                <w:sz w:val="18"/>
              </w:rPr>
              <w:t>TEPETLAOXTOC</w:t>
            </w:r>
          </w:p>
        </w:tc>
        <w:tc>
          <w:tcPr>
            <w:tcW w:w="1039" w:type="dxa"/>
          </w:tcPr>
          <w:p>
            <w:pPr>
              <w:pStyle w:val="TableParagraph"/>
              <w:spacing w:line="203" w:lineRule="exact"/>
              <w:ind w:left="93" w:right="92"/>
              <w:rPr>
                <w:sz w:val="18"/>
              </w:rPr>
            </w:pPr>
            <w:r>
              <w:rPr>
                <w:sz w:val="18"/>
              </w:rPr>
              <w:t>25,507</w:t>
            </w:r>
          </w:p>
        </w:tc>
        <w:tc>
          <w:tcPr>
            <w:tcW w:w="1030" w:type="dxa"/>
          </w:tcPr>
          <w:p>
            <w:pPr>
              <w:pStyle w:val="TableParagraph"/>
              <w:spacing w:line="203" w:lineRule="exact"/>
              <w:ind w:right="232"/>
              <w:jc w:val="right"/>
              <w:rPr>
                <w:sz w:val="18"/>
              </w:rPr>
            </w:pPr>
            <w:r>
              <w:rPr>
                <w:sz w:val="18"/>
              </w:rPr>
              <w:t>27,944</w:t>
            </w:r>
          </w:p>
        </w:tc>
        <w:tc>
          <w:tcPr>
            <w:tcW w:w="1030" w:type="dxa"/>
          </w:tcPr>
          <w:p>
            <w:pPr>
              <w:pStyle w:val="TableParagraph"/>
              <w:spacing w:line="203" w:lineRule="exact"/>
              <w:ind w:left="235" w:right="104"/>
              <w:jc w:val="left"/>
              <w:rPr>
                <w:sz w:val="18"/>
              </w:rPr>
            </w:pPr>
            <w:r>
              <w:rPr>
                <w:sz w:val="18"/>
              </w:rPr>
              <w:t>28,453</w:t>
            </w:r>
          </w:p>
        </w:tc>
        <w:tc>
          <w:tcPr>
            <w:tcW w:w="1369" w:type="dxa"/>
          </w:tcPr>
          <w:p>
            <w:pPr>
              <w:pStyle w:val="TableParagraph"/>
              <w:spacing w:line="203" w:lineRule="exact"/>
              <w:ind w:left="114" w:right="114"/>
              <w:rPr>
                <w:sz w:val="18"/>
              </w:rPr>
            </w:pPr>
            <w:r>
              <w:rPr>
                <w:sz w:val="18"/>
              </w:rPr>
              <w:t>Semiurbano</w:t>
            </w:r>
          </w:p>
        </w:tc>
      </w:tr>
      <w:tr>
        <w:trPr>
          <w:trHeight w:val="322" w:hRule="exact"/>
        </w:trPr>
        <w:tc>
          <w:tcPr>
            <w:tcW w:w="2501" w:type="dxa"/>
          </w:tcPr>
          <w:p>
            <w:pPr>
              <w:pStyle w:val="TableParagraph"/>
              <w:spacing w:line="199" w:lineRule="exact"/>
              <w:ind w:left="67" w:right="4"/>
              <w:jc w:val="left"/>
              <w:rPr>
                <w:b/>
                <w:sz w:val="18"/>
              </w:rPr>
            </w:pPr>
            <w:r>
              <w:rPr>
                <w:b/>
                <w:color w:val="333333"/>
                <w:sz w:val="18"/>
              </w:rPr>
              <w:t>TEPETLIXPA</w:t>
            </w:r>
          </w:p>
        </w:tc>
        <w:tc>
          <w:tcPr>
            <w:tcW w:w="1039" w:type="dxa"/>
          </w:tcPr>
          <w:p>
            <w:pPr>
              <w:pStyle w:val="TableParagraph"/>
              <w:spacing w:line="203" w:lineRule="exact"/>
              <w:ind w:left="93" w:right="92"/>
              <w:rPr>
                <w:sz w:val="18"/>
              </w:rPr>
            </w:pPr>
            <w:r>
              <w:rPr>
                <w:sz w:val="18"/>
              </w:rPr>
              <w:t>16,912</w:t>
            </w:r>
          </w:p>
        </w:tc>
        <w:tc>
          <w:tcPr>
            <w:tcW w:w="1030" w:type="dxa"/>
          </w:tcPr>
          <w:p>
            <w:pPr>
              <w:pStyle w:val="TableParagraph"/>
              <w:spacing w:line="203" w:lineRule="exact"/>
              <w:ind w:right="232"/>
              <w:jc w:val="right"/>
              <w:rPr>
                <w:sz w:val="18"/>
              </w:rPr>
            </w:pPr>
            <w:r>
              <w:rPr>
                <w:sz w:val="18"/>
              </w:rPr>
              <w:t>18,327</w:t>
            </w:r>
          </w:p>
        </w:tc>
        <w:tc>
          <w:tcPr>
            <w:tcW w:w="1030" w:type="dxa"/>
          </w:tcPr>
          <w:p>
            <w:pPr>
              <w:pStyle w:val="TableParagraph"/>
              <w:spacing w:line="203" w:lineRule="exact"/>
              <w:ind w:left="235" w:right="104"/>
              <w:jc w:val="left"/>
              <w:rPr>
                <w:sz w:val="18"/>
              </w:rPr>
            </w:pPr>
            <w:r>
              <w:rPr>
                <w:sz w:val="18"/>
              </w:rPr>
              <w:t>18,371</w:t>
            </w:r>
          </w:p>
        </w:tc>
        <w:tc>
          <w:tcPr>
            <w:tcW w:w="1369" w:type="dxa"/>
          </w:tcPr>
          <w:p>
            <w:pPr>
              <w:pStyle w:val="TableParagraph"/>
              <w:spacing w:line="203" w:lineRule="exact"/>
              <w:ind w:left="113" w:right="114"/>
              <w:rPr>
                <w:sz w:val="18"/>
              </w:rPr>
            </w:pPr>
            <w:r>
              <w:rPr>
                <w:sz w:val="18"/>
              </w:rPr>
              <w:t>Rural</w:t>
            </w:r>
          </w:p>
        </w:tc>
      </w:tr>
      <w:tr>
        <w:trPr>
          <w:trHeight w:val="319" w:hRule="exact"/>
        </w:trPr>
        <w:tc>
          <w:tcPr>
            <w:tcW w:w="2501" w:type="dxa"/>
          </w:tcPr>
          <w:p>
            <w:pPr>
              <w:pStyle w:val="TableParagraph"/>
              <w:spacing w:line="199" w:lineRule="exact"/>
              <w:ind w:left="67" w:right="4"/>
              <w:jc w:val="left"/>
              <w:rPr>
                <w:b/>
                <w:sz w:val="18"/>
              </w:rPr>
            </w:pPr>
            <w:r>
              <w:rPr>
                <w:b/>
                <w:color w:val="333333"/>
                <w:sz w:val="18"/>
              </w:rPr>
              <w:t>TEPOTZOTLAN</w:t>
            </w:r>
          </w:p>
        </w:tc>
        <w:tc>
          <w:tcPr>
            <w:tcW w:w="1039" w:type="dxa"/>
          </w:tcPr>
          <w:p>
            <w:pPr>
              <w:pStyle w:val="TableParagraph"/>
              <w:spacing w:line="203" w:lineRule="exact"/>
              <w:ind w:left="93" w:right="92"/>
              <w:rPr>
                <w:sz w:val="18"/>
              </w:rPr>
            </w:pPr>
            <w:r>
              <w:rPr>
                <w:sz w:val="18"/>
              </w:rPr>
              <w:t>67,724</w:t>
            </w:r>
          </w:p>
        </w:tc>
        <w:tc>
          <w:tcPr>
            <w:tcW w:w="1030" w:type="dxa"/>
          </w:tcPr>
          <w:p>
            <w:pPr>
              <w:pStyle w:val="TableParagraph"/>
              <w:spacing w:line="203" w:lineRule="exact"/>
              <w:ind w:right="232"/>
              <w:jc w:val="right"/>
              <w:rPr>
                <w:sz w:val="18"/>
              </w:rPr>
            </w:pPr>
            <w:r>
              <w:rPr>
                <w:sz w:val="18"/>
              </w:rPr>
              <w:t>88,559</w:t>
            </w:r>
          </w:p>
        </w:tc>
        <w:tc>
          <w:tcPr>
            <w:tcW w:w="1030" w:type="dxa"/>
          </w:tcPr>
          <w:p>
            <w:pPr>
              <w:pStyle w:val="TableParagraph"/>
              <w:spacing w:line="203" w:lineRule="exact"/>
              <w:ind w:left="235" w:right="104"/>
              <w:jc w:val="left"/>
              <w:rPr>
                <w:sz w:val="18"/>
              </w:rPr>
            </w:pPr>
            <w:r>
              <w:rPr>
                <w:sz w:val="18"/>
              </w:rPr>
              <w:t>91,851</w:t>
            </w:r>
          </w:p>
        </w:tc>
        <w:tc>
          <w:tcPr>
            <w:tcW w:w="1369" w:type="dxa"/>
          </w:tcPr>
          <w:p>
            <w:pPr>
              <w:pStyle w:val="TableParagraph"/>
              <w:spacing w:line="203" w:lineRule="exact"/>
              <w:ind w:left="114" w:right="114"/>
              <w:rPr>
                <w:sz w:val="18"/>
              </w:rPr>
            </w:pPr>
            <w:r>
              <w:rPr>
                <w:sz w:val="18"/>
              </w:rPr>
              <w:t>Semiurbano</w:t>
            </w:r>
          </w:p>
        </w:tc>
      </w:tr>
      <w:tr>
        <w:trPr>
          <w:trHeight w:val="322" w:hRule="exact"/>
        </w:trPr>
        <w:tc>
          <w:tcPr>
            <w:tcW w:w="2501" w:type="dxa"/>
          </w:tcPr>
          <w:p>
            <w:pPr>
              <w:pStyle w:val="TableParagraph"/>
              <w:spacing w:line="199" w:lineRule="exact"/>
              <w:ind w:left="67" w:right="4"/>
              <w:jc w:val="left"/>
              <w:rPr>
                <w:b/>
                <w:sz w:val="18"/>
              </w:rPr>
            </w:pPr>
            <w:r>
              <w:rPr>
                <w:b/>
                <w:color w:val="333333"/>
                <w:sz w:val="18"/>
              </w:rPr>
              <w:t>TEQUIXQUIAC</w:t>
            </w:r>
          </w:p>
        </w:tc>
        <w:tc>
          <w:tcPr>
            <w:tcW w:w="1039" w:type="dxa"/>
          </w:tcPr>
          <w:p>
            <w:pPr>
              <w:pStyle w:val="TableParagraph"/>
              <w:spacing w:line="203" w:lineRule="exact"/>
              <w:ind w:left="93" w:right="92"/>
              <w:rPr>
                <w:sz w:val="18"/>
              </w:rPr>
            </w:pPr>
            <w:r>
              <w:rPr>
                <w:sz w:val="18"/>
              </w:rPr>
              <w:t>31,080</w:t>
            </w:r>
          </w:p>
        </w:tc>
        <w:tc>
          <w:tcPr>
            <w:tcW w:w="1030" w:type="dxa"/>
          </w:tcPr>
          <w:p>
            <w:pPr>
              <w:pStyle w:val="TableParagraph"/>
              <w:spacing w:line="203" w:lineRule="exact"/>
              <w:ind w:right="232"/>
              <w:jc w:val="right"/>
              <w:rPr>
                <w:sz w:val="18"/>
              </w:rPr>
            </w:pPr>
            <w:r>
              <w:rPr>
                <w:sz w:val="18"/>
              </w:rPr>
              <w:t>33,907</w:t>
            </w:r>
          </w:p>
        </w:tc>
        <w:tc>
          <w:tcPr>
            <w:tcW w:w="1030" w:type="dxa"/>
          </w:tcPr>
          <w:p>
            <w:pPr>
              <w:pStyle w:val="TableParagraph"/>
              <w:spacing w:line="203" w:lineRule="exact"/>
              <w:ind w:left="235" w:right="104"/>
              <w:jc w:val="left"/>
              <w:rPr>
                <w:sz w:val="18"/>
              </w:rPr>
            </w:pPr>
            <w:r>
              <w:rPr>
                <w:sz w:val="18"/>
              </w:rPr>
              <w:t>34,447</w:t>
            </w:r>
          </w:p>
        </w:tc>
        <w:tc>
          <w:tcPr>
            <w:tcW w:w="1369" w:type="dxa"/>
          </w:tcPr>
          <w:p>
            <w:pPr>
              <w:pStyle w:val="TableParagraph"/>
              <w:spacing w:line="203" w:lineRule="exact"/>
              <w:ind w:left="114" w:right="114"/>
              <w:rPr>
                <w:sz w:val="18"/>
              </w:rPr>
            </w:pPr>
            <w:r>
              <w:rPr>
                <w:sz w:val="18"/>
              </w:rPr>
              <w:t>Semiurbano</w:t>
            </w:r>
          </w:p>
        </w:tc>
      </w:tr>
      <w:tr>
        <w:trPr>
          <w:trHeight w:val="319" w:hRule="exact"/>
        </w:trPr>
        <w:tc>
          <w:tcPr>
            <w:tcW w:w="2501" w:type="dxa"/>
          </w:tcPr>
          <w:p>
            <w:pPr>
              <w:pStyle w:val="TableParagraph"/>
              <w:spacing w:line="199" w:lineRule="exact"/>
              <w:ind w:left="67" w:right="4"/>
              <w:jc w:val="left"/>
              <w:rPr>
                <w:b/>
                <w:sz w:val="18"/>
              </w:rPr>
            </w:pPr>
            <w:r>
              <w:rPr>
                <w:b/>
                <w:color w:val="333333"/>
                <w:sz w:val="18"/>
              </w:rPr>
              <w:t>TEXCALTITLÁN</w:t>
            </w:r>
          </w:p>
        </w:tc>
        <w:tc>
          <w:tcPr>
            <w:tcW w:w="1039" w:type="dxa"/>
          </w:tcPr>
          <w:p>
            <w:pPr>
              <w:pStyle w:val="TableParagraph"/>
              <w:spacing w:line="203" w:lineRule="exact"/>
              <w:ind w:left="93" w:right="92"/>
              <w:rPr>
                <w:sz w:val="18"/>
              </w:rPr>
            </w:pPr>
            <w:r>
              <w:rPr>
                <w:sz w:val="18"/>
              </w:rPr>
              <w:t>15,824</w:t>
            </w:r>
          </w:p>
        </w:tc>
        <w:tc>
          <w:tcPr>
            <w:tcW w:w="1030" w:type="dxa"/>
          </w:tcPr>
          <w:p>
            <w:pPr>
              <w:pStyle w:val="TableParagraph"/>
              <w:spacing w:line="203" w:lineRule="exact"/>
              <w:ind w:right="232"/>
              <w:jc w:val="right"/>
              <w:rPr>
                <w:sz w:val="18"/>
              </w:rPr>
            </w:pPr>
            <w:r>
              <w:rPr>
                <w:sz w:val="18"/>
              </w:rPr>
              <w:t>17,390</w:t>
            </w:r>
          </w:p>
        </w:tc>
        <w:tc>
          <w:tcPr>
            <w:tcW w:w="1030" w:type="dxa"/>
          </w:tcPr>
          <w:p>
            <w:pPr>
              <w:pStyle w:val="TableParagraph"/>
              <w:spacing w:line="203" w:lineRule="exact"/>
              <w:ind w:left="235" w:right="104"/>
              <w:jc w:val="left"/>
              <w:rPr>
                <w:sz w:val="18"/>
              </w:rPr>
            </w:pPr>
            <w:r>
              <w:rPr>
                <w:sz w:val="18"/>
              </w:rPr>
              <w:t>17,382</w:t>
            </w:r>
          </w:p>
        </w:tc>
        <w:tc>
          <w:tcPr>
            <w:tcW w:w="1369" w:type="dxa"/>
          </w:tcPr>
          <w:p>
            <w:pPr>
              <w:pStyle w:val="TableParagraph"/>
              <w:spacing w:line="203" w:lineRule="exact"/>
              <w:ind w:left="113" w:right="114"/>
              <w:rPr>
                <w:sz w:val="18"/>
              </w:rPr>
            </w:pPr>
            <w:r>
              <w:rPr>
                <w:sz w:val="18"/>
              </w:rPr>
              <w:t>Rural</w:t>
            </w:r>
          </w:p>
        </w:tc>
      </w:tr>
      <w:tr>
        <w:trPr>
          <w:trHeight w:val="322" w:hRule="exact"/>
        </w:trPr>
        <w:tc>
          <w:tcPr>
            <w:tcW w:w="2501" w:type="dxa"/>
          </w:tcPr>
          <w:p>
            <w:pPr>
              <w:pStyle w:val="TableParagraph"/>
              <w:spacing w:line="198" w:lineRule="exact"/>
              <w:ind w:left="67" w:right="4"/>
              <w:jc w:val="left"/>
              <w:rPr>
                <w:b/>
                <w:sz w:val="18"/>
              </w:rPr>
            </w:pPr>
            <w:r>
              <w:rPr>
                <w:b/>
                <w:color w:val="333333"/>
                <w:sz w:val="18"/>
              </w:rPr>
              <w:t>TEXCALYACAC</w:t>
            </w:r>
          </w:p>
        </w:tc>
        <w:tc>
          <w:tcPr>
            <w:tcW w:w="1039" w:type="dxa"/>
          </w:tcPr>
          <w:p>
            <w:pPr>
              <w:pStyle w:val="TableParagraph"/>
              <w:spacing w:line="203" w:lineRule="exact"/>
              <w:ind w:left="93" w:right="94"/>
              <w:rPr>
                <w:sz w:val="18"/>
              </w:rPr>
            </w:pPr>
            <w:r>
              <w:rPr>
                <w:sz w:val="18"/>
              </w:rPr>
              <w:t>4,514</w:t>
            </w:r>
          </w:p>
        </w:tc>
        <w:tc>
          <w:tcPr>
            <w:tcW w:w="1030" w:type="dxa"/>
          </w:tcPr>
          <w:p>
            <w:pPr>
              <w:pStyle w:val="TableParagraph"/>
              <w:spacing w:line="203" w:lineRule="exact"/>
              <w:ind w:left="283" w:right="76"/>
              <w:jc w:val="left"/>
              <w:rPr>
                <w:sz w:val="18"/>
              </w:rPr>
            </w:pPr>
            <w:r>
              <w:rPr>
                <w:sz w:val="18"/>
              </w:rPr>
              <w:t>5,111</w:t>
            </w:r>
          </w:p>
        </w:tc>
        <w:tc>
          <w:tcPr>
            <w:tcW w:w="1030" w:type="dxa"/>
          </w:tcPr>
          <w:p>
            <w:pPr>
              <w:pStyle w:val="TableParagraph"/>
              <w:spacing w:line="203" w:lineRule="exact"/>
              <w:ind w:left="283" w:right="104"/>
              <w:jc w:val="left"/>
              <w:rPr>
                <w:sz w:val="18"/>
              </w:rPr>
            </w:pPr>
            <w:r>
              <w:rPr>
                <w:sz w:val="18"/>
              </w:rPr>
              <w:t>5,230</w:t>
            </w:r>
          </w:p>
        </w:tc>
        <w:tc>
          <w:tcPr>
            <w:tcW w:w="1369" w:type="dxa"/>
          </w:tcPr>
          <w:p>
            <w:pPr>
              <w:pStyle w:val="TableParagraph"/>
              <w:spacing w:line="203" w:lineRule="exact"/>
              <w:ind w:left="113" w:right="114"/>
              <w:rPr>
                <w:sz w:val="18"/>
              </w:rPr>
            </w:pPr>
            <w:r>
              <w:rPr>
                <w:sz w:val="18"/>
              </w:rPr>
              <w:t>Rural</w:t>
            </w:r>
          </w:p>
        </w:tc>
      </w:tr>
    </w:tbl>
    <w:p>
      <w:pPr>
        <w:spacing w:after="0" w:line="203" w:lineRule="exact"/>
        <w:rPr>
          <w:sz w:val="18"/>
        </w:rPr>
        <w:sectPr>
          <w:pgSz w:w="12240" w:h="15840"/>
          <w:pgMar w:header="0" w:footer="975" w:top="1420" w:bottom="1160" w:left="1720" w:right="1720"/>
        </w:sectPr>
      </w:pPr>
    </w:p>
    <w:tbl>
      <w:tblPr>
        <w:tblW w:w="0" w:type="auto"/>
        <w:jc w:val="left"/>
        <w:tblInd w:w="10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01"/>
        <w:gridCol w:w="1039"/>
        <w:gridCol w:w="1030"/>
        <w:gridCol w:w="1030"/>
        <w:gridCol w:w="1369"/>
      </w:tblGrid>
      <w:tr>
        <w:trPr>
          <w:trHeight w:val="424" w:hRule="exact"/>
        </w:trPr>
        <w:tc>
          <w:tcPr>
            <w:tcW w:w="6969" w:type="dxa"/>
            <w:gridSpan w:val="5"/>
            <w:shd w:val="clear" w:color="auto" w:fill="92D050"/>
          </w:tcPr>
          <w:p>
            <w:pPr>
              <w:pStyle w:val="TableParagraph"/>
              <w:ind w:left="2410" w:right="275" w:hanging="2118"/>
              <w:jc w:val="left"/>
              <w:rPr>
                <w:b/>
                <w:sz w:val="18"/>
              </w:rPr>
            </w:pPr>
            <w:r>
              <w:rPr>
                <w:b/>
                <w:sz w:val="18"/>
              </w:rPr>
              <w:t>Tabla 1.15. Clasificación de los municipios del Estado de México según su población (continuación)</w:t>
            </w:r>
          </w:p>
        </w:tc>
      </w:tr>
      <w:tr>
        <w:trPr>
          <w:trHeight w:val="425" w:hRule="exact"/>
        </w:trPr>
        <w:tc>
          <w:tcPr>
            <w:tcW w:w="2501" w:type="dxa"/>
            <w:shd w:val="clear" w:color="auto" w:fill="92D050"/>
          </w:tcPr>
          <w:p>
            <w:pPr>
              <w:pStyle w:val="TableParagraph"/>
              <w:spacing w:before="2"/>
              <w:jc w:val="left"/>
              <w:rPr>
                <w:rFonts w:ascii="Times New Roman"/>
                <w:sz w:val="17"/>
              </w:rPr>
            </w:pPr>
          </w:p>
          <w:p>
            <w:pPr>
              <w:pStyle w:val="TableParagraph"/>
              <w:ind w:left="67" w:right="4"/>
              <w:jc w:val="left"/>
              <w:rPr>
                <w:b/>
                <w:sz w:val="18"/>
              </w:rPr>
            </w:pPr>
            <w:r>
              <w:rPr>
                <w:b/>
                <w:sz w:val="18"/>
              </w:rPr>
              <w:t>Municipio</w:t>
            </w:r>
          </w:p>
        </w:tc>
        <w:tc>
          <w:tcPr>
            <w:tcW w:w="1039" w:type="dxa"/>
            <w:shd w:val="clear" w:color="auto" w:fill="92D050"/>
          </w:tcPr>
          <w:p>
            <w:pPr>
              <w:pStyle w:val="TableParagraph"/>
              <w:ind w:left="314" w:right="66" w:hanging="231"/>
              <w:jc w:val="left"/>
              <w:rPr>
                <w:b/>
                <w:sz w:val="18"/>
              </w:rPr>
            </w:pPr>
            <w:r>
              <w:rPr>
                <w:b/>
                <w:sz w:val="18"/>
              </w:rPr>
              <w:t>Población 2005</w:t>
            </w:r>
          </w:p>
        </w:tc>
        <w:tc>
          <w:tcPr>
            <w:tcW w:w="1030" w:type="dxa"/>
            <w:shd w:val="clear" w:color="auto" w:fill="92D050"/>
          </w:tcPr>
          <w:p>
            <w:pPr>
              <w:pStyle w:val="TableParagraph"/>
              <w:ind w:left="309" w:right="62" w:hanging="231"/>
              <w:jc w:val="left"/>
              <w:rPr>
                <w:b/>
                <w:sz w:val="18"/>
              </w:rPr>
            </w:pPr>
            <w:r>
              <w:rPr>
                <w:b/>
                <w:sz w:val="18"/>
              </w:rPr>
              <w:t>Población 2010</w:t>
            </w:r>
          </w:p>
        </w:tc>
        <w:tc>
          <w:tcPr>
            <w:tcW w:w="1030" w:type="dxa"/>
            <w:shd w:val="clear" w:color="auto" w:fill="92D050"/>
          </w:tcPr>
          <w:p>
            <w:pPr>
              <w:pStyle w:val="TableParagraph"/>
              <w:ind w:left="309" w:right="61" w:hanging="231"/>
              <w:jc w:val="left"/>
              <w:rPr>
                <w:b/>
                <w:sz w:val="18"/>
              </w:rPr>
            </w:pPr>
            <w:r>
              <w:rPr>
                <w:b/>
                <w:sz w:val="18"/>
              </w:rPr>
              <w:t>Población 2012</w:t>
            </w:r>
          </w:p>
        </w:tc>
        <w:tc>
          <w:tcPr>
            <w:tcW w:w="1369" w:type="dxa"/>
            <w:shd w:val="clear" w:color="auto" w:fill="92D050"/>
          </w:tcPr>
          <w:p>
            <w:pPr>
              <w:pStyle w:val="TableParagraph"/>
              <w:ind w:left="254" w:right="235" w:firstLine="103"/>
              <w:jc w:val="left"/>
              <w:rPr>
                <w:b/>
                <w:sz w:val="18"/>
              </w:rPr>
            </w:pPr>
            <w:r>
              <w:rPr>
                <w:b/>
                <w:sz w:val="18"/>
              </w:rPr>
              <w:t>Tipo de municipio</w:t>
            </w:r>
          </w:p>
        </w:tc>
      </w:tr>
      <w:tr>
        <w:trPr>
          <w:trHeight w:val="319" w:hRule="exact"/>
        </w:trPr>
        <w:tc>
          <w:tcPr>
            <w:tcW w:w="2501" w:type="dxa"/>
          </w:tcPr>
          <w:p>
            <w:pPr>
              <w:pStyle w:val="TableParagraph"/>
              <w:spacing w:line="199" w:lineRule="exact"/>
              <w:ind w:left="67" w:right="4"/>
              <w:jc w:val="left"/>
              <w:rPr>
                <w:b/>
                <w:sz w:val="18"/>
              </w:rPr>
            </w:pPr>
            <w:r>
              <w:rPr>
                <w:b/>
                <w:color w:val="333333"/>
                <w:sz w:val="18"/>
              </w:rPr>
              <w:t>TEXCOCO</w:t>
            </w:r>
          </w:p>
        </w:tc>
        <w:tc>
          <w:tcPr>
            <w:tcW w:w="1039" w:type="dxa"/>
          </w:tcPr>
          <w:p>
            <w:pPr>
              <w:pStyle w:val="TableParagraph"/>
              <w:spacing w:line="203" w:lineRule="exact"/>
              <w:ind w:left="93" w:right="92"/>
              <w:rPr>
                <w:sz w:val="18"/>
              </w:rPr>
            </w:pPr>
            <w:r>
              <w:rPr>
                <w:sz w:val="18"/>
              </w:rPr>
              <w:t>209,308</w:t>
            </w:r>
          </w:p>
        </w:tc>
        <w:tc>
          <w:tcPr>
            <w:tcW w:w="1030" w:type="dxa"/>
          </w:tcPr>
          <w:p>
            <w:pPr>
              <w:pStyle w:val="TableParagraph"/>
              <w:spacing w:line="203" w:lineRule="exact"/>
              <w:ind w:left="164" w:right="164"/>
              <w:rPr>
                <w:sz w:val="18"/>
              </w:rPr>
            </w:pPr>
            <w:r>
              <w:rPr>
                <w:sz w:val="18"/>
              </w:rPr>
              <w:t>235,151</w:t>
            </w:r>
          </w:p>
        </w:tc>
        <w:tc>
          <w:tcPr>
            <w:tcW w:w="1030" w:type="dxa"/>
          </w:tcPr>
          <w:p>
            <w:pPr>
              <w:pStyle w:val="TableParagraph"/>
              <w:spacing w:line="203" w:lineRule="exact"/>
              <w:ind w:left="165" w:right="164"/>
              <w:rPr>
                <w:sz w:val="18"/>
              </w:rPr>
            </w:pPr>
            <w:r>
              <w:rPr>
                <w:sz w:val="18"/>
              </w:rPr>
              <w:t>237,469</w:t>
            </w:r>
          </w:p>
        </w:tc>
        <w:tc>
          <w:tcPr>
            <w:tcW w:w="1369" w:type="dxa"/>
          </w:tcPr>
          <w:p>
            <w:pPr>
              <w:pStyle w:val="TableParagraph"/>
              <w:spacing w:line="203" w:lineRule="exact"/>
              <w:ind w:left="114" w:right="114"/>
              <w:rPr>
                <w:sz w:val="18"/>
              </w:rPr>
            </w:pPr>
            <w:r>
              <w:rPr>
                <w:sz w:val="18"/>
              </w:rPr>
              <w:t>Urbano</w:t>
            </w:r>
          </w:p>
        </w:tc>
      </w:tr>
      <w:tr>
        <w:trPr>
          <w:trHeight w:val="322" w:hRule="exact"/>
        </w:trPr>
        <w:tc>
          <w:tcPr>
            <w:tcW w:w="2501" w:type="dxa"/>
          </w:tcPr>
          <w:p>
            <w:pPr>
              <w:pStyle w:val="TableParagraph"/>
              <w:spacing w:line="199" w:lineRule="exact"/>
              <w:ind w:left="67" w:right="4"/>
              <w:jc w:val="left"/>
              <w:rPr>
                <w:b/>
                <w:sz w:val="18"/>
              </w:rPr>
            </w:pPr>
            <w:r>
              <w:rPr>
                <w:b/>
                <w:color w:val="333333"/>
                <w:sz w:val="18"/>
              </w:rPr>
              <w:t>TEZOYUCA</w:t>
            </w:r>
          </w:p>
        </w:tc>
        <w:tc>
          <w:tcPr>
            <w:tcW w:w="1039" w:type="dxa"/>
          </w:tcPr>
          <w:p>
            <w:pPr>
              <w:pStyle w:val="TableParagraph"/>
              <w:spacing w:line="203" w:lineRule="exact"/>
              <w:ind w:left="93" w:right="92"/>
              <w:rPr>
                <w:sz w:val="18"/>
              </w:rPr>
            </w:pPr>
            <w:r>
              <w:rPr>
                <w:sz w:val="18"/>
              </w:rPr>
              <w:t>25,372</w:t>
            </w:r>
          </w:p>
        </w:tc>
        <w:tc>
          <w:tcPr>
            <w:tcW w:w="1030" w:type="dxa"/>
          </w:tcPr>
          <w:p>
            <w:pPr>
              <w:pStyle w:val="TableParagraph"/>
              <w:spacing w:line="203" w:lineRule="exact"/>
              <w:ind w:left="164" w:right="164"/>
              <w:rPr>
                <w:sz w:val="18"/>
              </w:rPr>
            </w:pPr>
            <w:r>
              <w:rPr>
                <w:sz w:val="18"/>
              </w:rPr>
              <w:t>35,199</w:t>
            </w:r>
          </w:p>
        </w:tc>
        <w:tc>
          <w:tcPr>
            <w:tcW w:w="1030" w:type="dxa"/>
          </w:tcPr>
          <w:p>
            <w:pPr>
              <w:pStyle w:val="TableParagraph"/>
              <w:spacing w:line="203" w:lineRule="exact"/>
              <w:ind w:left="165" w:right="164"/>
              <w:rPr>
                <w:sz w:val="18"/>
              </w:rPr>
            </w:pPr>
            <w:r>
              <w:rPr>
                <w:sz w:val="18"/>
              </w:rPr>
              <w:t>37,798</w:t>
            </w:r>
          </w:p>
        </w:tc>
        <w:tc>
          <w:tcPr>
            <w:tcW w:w="1369" w:type="dxa"/>
          </w:tcPr>
          <w:p>
            <w:pPr>
              <w:pStyle w:val="TableParagraph"/>
              <w:spacing w:line="203" w:lineRule="exact"/>
              <w:ind w:left="114" w:right="114"/>
              <w:rPr>
                <w:sz w:val="18"/>
              </w:rPr>
            </w:pPr>
            <w:r>
              <w:rPr>
                <w:sz w:val="18"/>
              </w:rPr>
              <w:t>Semiurbano</w:t>
            </w:r>
          </w:p>
        </w:tc>
      </w:tr>
      <w:tr>
        <w:trPr>
          <w:trHeight w:val="319" w:hRule="exact"/>
        </w:trPr>
        <w:tc>
          <w:tcPr>
            <w:tcW w:w="2501" w:type="dxa"/>
          </w:tcPr>
          <w:p>
            <w:pPr>
              <w:pStyle w:val="TableParagraph"/>
              <w:spacing w:line="199" w:lineRule="exact"/>
              <w:ind w:left="67" w:right="4"/>
              <w:jc w:val="left"/>
              <w:rPr>
                <w:b/>
                <w:sz w:val="18"/>
              </w:rPr>
            </w:pPr>
            <w:r>
              <w:rPr>
                <w:b/>
                <w:color w:val="333333"/>
                <w:sz w:val="18"/>
              </w:rPr>
              <w:t>TIANGUISTENCO</w:t>
            </w:r>
          </w:p>
        </w:tc>
        <w:tc>
          <w:tcPr>
            <w:tcW w:w="1039" w:type="dxa"/>
          </w:tcPr>
          <w:p>
            <w:pPr>
              <w:pStyle w:val="TableParagraph"/>
              <w:spacing w:line="203" w:lineRule="exact"/>
              <w:ind w:left="93" w:right="92"/>
              <w:rPr>
                <w:sz w:val="18"/>
              </w:rPr>
            </w:pPr>
            <w:r>
              <w:rPr>
                <w:sz w:val="18"/>
              </w:rPr>
              <w:t>64,365</w:t>
            </w:r>
          </w:p>
        </w:tc>
        <w:tc>
          <w:tcPr>
            <w:tcW w:w="1030" w:type="dxa"/>
          </w:tcPr>
          <w:p>
            <w:pPr>
              <w:pStyle w:val="TableParagraph"/>
              <w:spacing w:line="203" w:lineRule="exact"/>
              <w:ind w:left="164" w:right="164"/>
              <w:rPr>
                <w:sz w:val="18"/>
              </w:rPr>
            </w:pPr>
            <w:r>
              <w:rPr>
                <w:sz w:val="18"/>
              </w:rPr>
              <w:t>70,682</w:t>
            </w:r>
          </w:p>
        </w:tc>
        <w:tc>
          <w:tcPr>
            <w:tcW w:w="1030" w:type="dxa"/>
          </w:tcPr>
          <w:p>
            <w:pPr>
              <w:pStyle w:val="TableParagraph"/>
              <w:spacing w:line="203" w:lineRule="exact"/>
              <w:ind w:left="165" w:right="164"/>
              <w:rPr>
                <w:sz w:val="18"/>
              </w:rPr>
            </w:pPr>
            <w:r>
              <w:rPr>
                <w:sz w:val="18"/>
              </w:rPr>
              <w:t>71,828</w:t>
            </w:r>
          </w:p>
        </w:tc>
        <w:tc>
          <w:tcPr>
            <w:tcW w:w="1369" w:type="dxa"/>
          </w:tcPr>
          <w:p>
            <w:pPr>
              <w:pStyle w:val="TableParagraph"/>
              <w:spacing w:line="203" w:lineRule="exact"/>
              <w:ind w:left="114" w:right="114"/>
              <w:rPr>
                <w:sz w:val="18"/>
              </w:rPr>
            </w:pPr>
            <w:r>
              <w:rPr>
                <w:sz w:val="18"/>
              </w:rPr>
              <w:t>Semiurbano</w:t>
            </w:r>
          </w:p>
        </w:tc>
      </w:tr>
      <w:tr>
        <w:trPr>
          <w:trHeight w:val="322" w:hRule="exact"/>
        </w:trPr>
        <w:tc>
          <w:tcPr>
            <w:tcW w:w="2501" w:type="dxa"/>
          </w:tcPr>
          <w:p>
            <w:pPr>
              <w:pStyle w:val="TableParagraph"/>
              <w:spacing w:line="199" w:lineRule="exact"/>
              <w:ind w:left="67" w:right="4"/>
              <w:jc w:val="left"/>
              <w:rPr>
                <w:b/>
                <w:sz w:val="18"/>
              </w:rPr>
            </w:pPr>
            <w:r>
              <w:rPr>
                <w:b/>
                <w:color w:val="333333"/>
                <w:sz w:val="18"/>
              </w:rPr>
              <w:t>TIMILPAN</w:t>
            </w:r>
          </w:p>
        </w:tc>
        <w:tc>
          <w:tcPr>
            <w:tcW w:w="1039" w:type="dxa"/>
          </w:tcPr>
          <w:p>
            <w:pPr>
              <w:pStyle w:val="TableParagraph"/>
              <w:spacing w:line="203" w:lineRule="exact"/>
              <w:ind w:left="93" w:right="92"/>
              <w:rPr>
                <w:sz w:val="18"/>
              </w:rPr>
            </w:pPr>
            <w:r>
              <w:rPr>
                <w:sz w:val="18"/>
              </w:rPr>
              <w:t>14,335</w:t>
            </w:r>
          </w:p>
        </w:tc>
        <w:tc>
          <w:tcPr>
            <w:tcW w:w="1030" w:type="dxa"/>
          </w:tcPr>
          <w:p>
            <w:pPr>
              <w:pStyle w:val="TableParagraph"/>
              <w:spacing w:line="203" w:lineRule="exact"/>
              <w:ind w:left="164" w:right="164"/>
              <w:rPr>
                <w:sz w:val="18"/>
              </w:rPr>
            </w:pPr>
            <w:r>
              <w:rPr>
                <w:sz w:val="18"/>
              </w:rPr>
              <w:t>15,391</w:t>
            </w:r>
          </w:p>
        </w:tc>
        <w:tc>
          <w:tcPr>
            <w:tcW w:w="1030" w:type="dxa"/>
          </w:tcPr>
          <w:p>
            <w:pPr>
              <w:pStyle w:val="TableParagraph"/>
              <w:spacing w:line="203" w:lineRule="exact"/>
              <w:ind w:left="165" w:right="164"/>
              <w:rPr>
                <w:sz w:val="18"/>
              </w:rPr>
            </w:pPr>
            <w:r>
              <w:rPr>
                <w:sz w:val="18"/>
              </w:rPr>
              <w:t>15,381</w:t>
            </w:r>
          </w:p>
        </w:tc>
        <w:tc>
          <w:tcPr>
            <w:tcW w:w="1369" w:type="dxa"/>
          </w:tcPr>
          <w:p>
            <w:pPr>
              <w:pStyle w:val="TableParagraph"/>
              <w:spacing w:line="203" w:lineRule="exact"/>
              <w:ind w:left="113" w:right="114"/>
              <w:rPr>
                <w:sz w:val="18"/>
              </w:rPr>
            </w:pPr>
            <w:r>
              <w:rPr>
                <w:sz w:val="18"/>
              </w:rPr>
              <w:t>Rural</w:t>
            </w:r>
          </w:p>
        </w:tc>
      </w:tr>
      <w:tr>
        <w:trPr>
          <w:trHeight w:val="319" w:hRule="exact"/>
        </w:trPr>
        <w:tc>
          <w:tcPr>
            <w:tcW w:w="2501" w:type="dxa"/>
          </w:tcPr>
          <w:p>
            <w:pPr>
              <w:pStyle w:val="TableParagraph"/>
              <w:spacing w:line="199" w:lineRule="exact"/>
              <w:ind w:left="67" w:right="4"/>
              <w:jc w:val="left"/>
              <w:rPr>
                <w:b/>
                <w:sz w:val="18"/>
              </w:rPr>
            </w:pPr>
            <w:r>
              <w:rPr>
                <w:b/>
                <w:color w:val="333333"/>
                <w:sz w:val="18"/>
              </w:rPr>
              <w:t>TLALMANALCO</w:t>
            </w:r>
          </w:p>
        </w:tc>
        <w:tc>
          <w:tcPr>
            <w:tcW w:w="1039" w:type="dxa"/>
          </w:tcPr>
          <w:p>
            <w:pPr>
              <w:pStyle w:val="TableParagraph"/>
              <w:spacing w:line="203" w:lineRule="exact"/>
              <w:ind w:left="93" w:right="92"/>
              <w:rPr>
                <w:sz w:val="18"/>
              </w:rPr>
            </w:pPr>
            <w:r>
              <w:rPr>
                <w:sz w:val="18"/>
              </w:rPr>
              <w:t>43,930</w:t>
            </w:r>
          </w:p>
        </w:tc>
        <w:tc>
          <w:tcPr>
            <w:tcW w:w="1030" w:type="dxa"/>
          </w:tcPr>
          <w:p>
            <w:pPr>
              <w:pStyle w:val="TableParagraph"/>
              <w:spacing w:line="203" w:lineRule="exact"/>
              <w:ind w:left="164" w:right="164"/>
              <w:rPr>
                <w:sz w:val="18"/>
              </w:rPr>
            </w:pPr>
            <w:r>
              <w:rPr>
                <w:sz w:val="18"/>
              </w:rPr>
              <w:t>46,130</w:t>
            </w:r>
          </w:p>
        </w:tc>
        <w:tc>
          <w:tcPr>
            <w:tcW w:w="1030" w:type="dxa"/>
          </w:tcPr>
          <w:p>
            <w:pPr>
              <w:pStyle w:val="TableParagraph"/>
              <w:spacing w:line="203" w:lineRule="exact"/>
              <w:ind w:left="165" w:right="164"/>
              <w:rPr>
                <w:sz w:val="18"/>
              </w:rPr>
            </w:pPr>
            <w:r>
              <w:rPr>
                <w:sz w:val="18"/>
              </w:rPr>
              <w:t>46,233</w:t>
            </w:r>
          </w:p>
        </w:tc>
        <w:tc>
          <w:tcPr>
            <w:tcW w:w="1369" w:type="dxa"/>
          </w:tcPr>
          <w:p>
            <w:pPr>
              <w:pStyle w:val="TableParagraph"/>
              <w:spacing w:line="203" w:lineRule="exact"/>
              <w:ind w:left="114" w:right="114"/>
              <w:rPr>
                <w:sz w:val="18"/>
              </w:rPr>
            </w:pPr>
            <w:r>
              <w:rPr>
                <w:sz w:val="18"/>
              </w:rPr>
              <w:t>Semiurbano</w:t>
            </w:r>
          </w:p>
        </w:tc>
      </w:tr>
      <w:tr>
        <w:trPr>
          <w:trHeight w:val="322" w:hRule="exact"/>
        </w:trPr>
        <w:tc>
          <w:tcPr>
            <w:tcW w:w="2501" w:type="dxa"/>
          </w:tcPr>
          <w:p>
            <w:pPr>
              <w:pStyle w:val="TableParagraph"/>
              <w:spacing w:line="201" w:lineRule="exact"/>
              <w:ind w:left="67" w:right="4"/>
              <w:jc w:val="left"/>
              <w:rPr>
                <w:b/>
                <w:sz w:val="18"/>
              </w:rPr>
            </w:pPr>
            <w:r>
              <w:rPr>
                <w:b/>
                <w:color w:val="333333"/>
                <w:sz w:val="18"/>
              </w:rPr>
              <w:t>TLALNEPANTLA DE BAZ</w:t>
            </w:r>
          </w:p>
        </w:tc>
        <w:tc>
          <w:tcPr>
            <w:tcW w:w="1039" w:type="dxa"/>
          </w:tcPr>
          <w:p>
            <w:pPr>
              <w:pStyle w:val="TableParagraph"/>
              <w:spacing w:line="206" w:lineRule="exact"/>
              <w:ind w:left="93" w:right="92"/>
              <w:rPr>
                <w:sz w:val="18"/>
              </w:rPr>
            </w:pPr>
            <w:r>
              <w:rPr>
                <w:sz w:val="18"/>
              </w:rPr>
              <w:t>683,808</w:t>
            </w:r>
          </w:p>
        </w:tc>
        <w:tc>
          <w:tcPr>
            <w:tcW w:w="1030" w:type="dxa"/>
          </w:tcPr>
          <w:p>
            <w:pPr>
              <w:pStyle w:val="TableParagraph"/>
              <w:spacing w:line="206" w:lineRule="exact"/>
              <w:ind w:left="164" w:right="164"/>
              <w:rPr>
                <w:sz w:val="18"/>
              </w:rPr>
            </w:pPr>
            <w:r>
              <w:rPr>
                <w:sz w:val="18"/>
              </w:rPr>
              <w:t>664,225</w:t>
            </w:r>
          </w:p>
        </w:tc>
        <w:tc>
          <w:tcPr>
            <w:tcW w:w="1030" w:type="dxa"/>
          </w:tcPr>
          <w:p>
            <w:pPr>
              <w:pStyle w:val="TableParagraph"/>
              <w:spacing w:line="206" w:lineRule="exact"/>
              <w:ind w:left="165" w:right="164"/>
              <w:rPr>
                <w:sz w:val="18"/>
              </w:rPr>
            </w:pPr>
            <w:r>
              <w:rPr>
                <w:sz w:val="18"/>
              </w:rPr>
              <w:t>652,009</w:t>
            </w:r>
          </w:p>
        </w:tc>
        <w:tc>
          <w:tcPr>
            <w:tcW w:w="1369" w:type="dxa"/>
          </w:tcPr>
          <w:p>
            <w:pPr>
              <w:pStyle w:val="TableParagraph"/>
              <w:spacing w:line="206" w:lineRule="exact"/>
              <w:ind w:left="114" w:right="114"/>
              <w:rPr>
                <w:sz w:val="18"/>
              </w:rPr>
            </w:pPr>
            <w:r>
              <w:rPr>
                <w:sz w:val="18"/>
              </w:rPr>
              <w:t>Metropolitano</w:t>
            </w:r>
          </w:p>
        </w:tc>
      </w:tr>
      <w:tr>
        <w:trPr>
          <w:trHeight w:val="319" w:hRule="exact"/>
        </w:trPr>
        <w:tc>
          <w:tcPr>
            <w:tcW w:w="2501" w:type="dxa"/>
          </w:tcPr>
          <w:p>
            <w:pPr>
              <w:pStyle w:val="TableParagraph"/>
              <w:spacing w:line="199" w:lineRule="exact"/>
              <w:ind w:left="67" w:right="4"/>
              <w:jc w:val="left"/>
              <w:rPr>
                <w:b/>
                <w:sz w:val="18"/>
              </w:rPr>
            </w:pPr>
            <w:r>
              <w:rPr>
                <w:b/>
                <w:color w:val="333333"/>
                <w:sz w:val="18"/>
              </w:rPr>
              <w:t>TLATLAYA</w:t>
            </w:r>
          </w:p>
        </w:tc>
        <w:tc>
          <w:tcPr>
            <w:tcW w:w="1039" w:type="dxa"/>
          </w:tcPr>
          <w:p>
            <w:pPr>
              <w:pStyle w:val="TableParagraph"/>
              <w:spacing w:line="203" w:lineRule="exact"/>
              <w:ind w:left="93" w:right="92"/>
              <w:rPr>
                <w:sz w:val="18"/>
              </w:rPr>
            </w:pPr>
            <w:r>
              <w:rPr>
                <w:sz w:val="18"/>
              </w:rPr>
              <w:t>33,308</w:t>
            </w:r>
          </w:p>
        </w:tc>
        <w:tc>
          <w:tcPr>
            <w:tcW w:w="1030" w:type="dxa"/>
          </w:tcPr>
          <w:p>
            <w:pPr>
              <w:pStyle w:val="TableParagraph"/>
              <w:spacing w:line="203" w:lineRule="exact"/>
              <w:ind w:left="164" w:right="164"/>
              <w:rPr>
                <w:sz w:val="18"/>
              </w:rPr>
            </w:pPr>
            <w:r>
              <w:rPr>
                <w:sz w:val="18"/>
              </w:rPr>
              <w:t>32,997</w:t>
            </w:r>
          </w:p>
        </w:tc>
        <w:tc>
          <w:tcPr>
            <w:tcW w:w="1030" w:type="dxa"/>
          </w:tcPr>
          <w:p>
            <w:pPr>
              <w:pStyle w:val="TableParagraph"/>
              <w:spacing w:line="203" w:lineRule="exact"/>
              <w:ind w:left="165" w:right="164"/>
              <w:rPr>
                <w:sz w:val="18"/>
              </w:rPr>
            </w:pPr>
            <w:r>
              <w:rPr>
                <w:sz w:val="18"/>
              </w:rPr>
              <w:t>32,360</w:t>
            </w:r>
          </w:p>
        </w:tc>
        <w:tc>
          <w:tcPr>
            <w:tcW w:w="1369" w:type="dxa"/>
          </w:tcPr>
          <w:p>
            <w:pPr>
              <w:pStyle w:val="TableParagraph"/>
              <w:spacing w:line="203" w:lineRule="exact"/>
              <w:ind w:left="114" w:right="114"/>
              <w:rPr>
                <w:sz w:val="18"/>
              </w:rPr>
            </w:pPr>
            <w:r>
              <w:rPr>
                <w:sz w:val="18"/>
              </w:rPr>
              <w:t>Semiurbano</w:t>
            </w:r>
          </w:p>
        </w:tc>
      </w:tr>
      <w:tr>
        <w:trPr>
          <w:trHeight w:val="322" w:hRule="exact"/>
        </w:trPr>
        <w:tc>
          <w:tcPr>
            <w:tcW w:w="2501" w:type="dxa"/>
          </w:tcPr>
          <w:p>
            <w:pPr>
              <w:pStyle w:val="TableParagraph"/>
              <w:spacing w:line="201" w:lineRule="exact"/>
              <w:ind w:left="67" w:right="4"/>
              <w:jc w:val="left"/>
              <w:rPr>
                <w:b/>
                <w:sz w:val="18"/>
              </w:rPr>
            </w:pPr>
            <w:r>
              <w:rPr>
                <w:b/>
                <w:color w:val="333333"/>
                <w:sz w:val="18"/>
              </w:rPr>
              <w:t>TOLUCA</w:t>
            </w:r>
          </w:p>
        </w:tc>
        <w:tc>
          <w:tcPr>
            <w:tcW w:w="1039" w:type="dxa"/>
          </w:tcPr>
          <w:p>
            <w:pPr>
              <w:pStyle w:val="TableParagraph"/>
              <w:spacing w:line="206" w:lineRule="exact"/>
              <w:ind w:left="93" w:right="92"/>
              <w:rPr>
                <w:sz w:val="18"/>
              </w:rPr>
            </w:pPr>
            <w:r>
              <w:rPr>
                <w:sz w:val="18"/>
              </w:rPr>
              <w:t>747,512</w:t>
            </w:r>
          </w:p>
        </w:tc>
        <w:tc>
          <w:tcPr>
            <w:tcW w:w="1030" w:type="dxa"/>
          </w:tcPr>
          <w:p>
            <w:pPr>
              <w:pStyle w:val="TableParagraph"/>
              <w:spacing w:line="206" w:lineRule="exact"/>
              <w:ind w:left="164" w:right="164"/>
              <w:rPr>
                <w:sz w:val="18"/>
              </w:rPr>
            </w:pPr>
            <w:r>
              <w:rPr>
                <w:sz w:val="18"/>
              </w:rPr>
              <w:t>819,561</w:t>
            </w:r>
          </w:p>
        </w:tc>
        <w:tc>
          <w:tcPr>
            <w:tcW w:w="1030" w:type="dxa"/>
          </w:tcPr>
          <w:p>
            <w:pPr>
              <w:pStyle w:val="TableParagraph"/>
              <w:spacing w:line="206" w:lineRule="exact"/>
              <w:ind w:left="165" w:right="164"/>
              <w:rPr>
                <w:sz w:val="18"/>
              </w:rPr>
            </w:pPr>
            <w:r>
              <w:rPr>
                <w:sz w:val="18"/>
              </w:rPr>
              <w:t>834,479</w:t>
            </w:r>
          </w:p>
        </w:tc>
        <w:tc>
          <w:tcPr>
            <w:tcW w:w="1369" w:type="dxa"/>
          </w:tcPr>
          <w:p>
            <w:pPr>
              <w:pStyle w:val="TableParagraph"/>
              <w:spacing w:line="206" w:lineRule="exact"/>
              <w:ind w:left="114" w:right="114"/>
              <w:rPr>
                <w:sz w:val="18"/>
              </w:rPr>
            </w:pPr>
            <w:r>
              <w:rPr>
                <w:sz w:val="18"/>
              </w:rPr>
              <w:t>Metropolitano</w:t>
            </w:r>
          </w:p>
        </w:tc>
      </w:tr>
      <w:tr>
        <w:trPr>
          <w:trHeight w:val="319" w:hRule="exact"/>
        </w:trPr>
        <w:tc>
          <w:tcPr>
            <w:tcW w:w="2501" w:type="dxa"/>
          </w:tcPr>
          <w:p>
            <w:pPr>
              <w:pStyle w:val="TableParagraph"/>
              <w:spacing w:line="199" w:lineRule="exact"/>
              <w:ind w:left="67" w:right="4"/>
              <w:jc w:val="left"/>
              <w:rPr>
                <w:b/>
                <w:sz w:val="18"/>
              </w:rPr>
            </w:pPr>
            <w:r>
              <w:rPr>
                <w:b/>
                <w:color w:val="333333"/>
                <w:sz w:val="18"/>
              </w:rPr>
              <w:t>TONANITLA</w:t>
            </w:r>
          </w:p>
        </w:tc>
        <w:tc>
          <w:tcPr>
            <w:tcW w:w="1039" w:type="dxa"/>
          </w:tcPr>
          <w:p>
            <w:pPr>
              <w:pStyle w:val="TableParagraph"/>
              <w:spacing w:line="203" w:lineRule="exact"/>
              <w:ind w:left="93" w:right="94"/>
              <w:rPr>
                <w:sz w:val="18"/>
              </w:rPr>
            </w:pPr>
            <w:r>
              <w:rPr>
                <w:sz w:val="18"/>
              </w:rPr>
              <w:t>8,081</w:t>
            </w:r>
          </w:p>
        </w:tc>
        <w:tc>
          <w:tcPr>
            <w:tcW w:w="1030" w:type="dxa"/>
          </w:tcPr>
          <w:p>
            <w:pPr>
              <w:pStyle w:val="TableParagraph"/>
              <w:spacing w:line="203" w:lineRule="exact"/>
              <w:ind w:left="164" w:right="164"/>
              <w:rPr>
                <w:sz w:val="18"/>
              </w:rPr>
            </w:pPr>
            <w:r>
              <w:rPr>
                <w:sz w:val="18"/>
              </w:rPr>
              <w:t>10,216</w:t>
            </w:r>
          </w:p>
        </w:tc>
        <w:tc>
          <w:tcPr>
            <w:tcW w:w="1030" w:type="dxa"/>
          </w:tcPr>
          <w:p>
            <w:pPr>
              <w:pStyle w:val="TableParagraph"/>
              <w:spacing w:line="203" w:lineRule="exact"/>
              <w:ind w:left="165" w:right="164"/>
              <w:rPr>
                <w:sz w:val="18"/>
              </w:rPr>
            </w:pPr>
            <w:r>
              <w:rPr>
                <w:sz w:val="18"/>
              </w:rPr>
              <w:t>10,803</w:t>
            </w:r>
          </w:p>
        </w:tc>
        <w:tc>
          <w:tcPr>
            <w:tcW w:w="1369" w:type="dxa"/>
          </w:tcPr>
          <w:p>
            <w:pPr>
              <w:pStyle w:val="TableParagraph"/>
              <w:spacing w:line="203" w:lineRule="exact"/>
              <w:ind w:left="113" w:right="114"/>
              <w:rPr>
                <w:sz w:val="18"/>
              </w:rPr>
            </w:pPr>
            <w:r>
              <w:rPr>
                <w:sz w:val="18"/>
              </w:rPr>
              <w:t>Rural</w:t>
            </w:r>
          </w:p>
        </w:tc>
      </w:tr>
      <w:tr>
        <w:trPr>
          <w:trHeight w:val="322" w:hRule="exact"/>
        </w:trPr>
        <w:tc>
          <w:tcPr>
            <w:tcW w:w="2501" w:type="dxa"/>
          </w:tcPr>
          <w:p>
            <w:pPr>
              <w:pStyle w:val="TableParagraph"/>
              <w:spacing w:line="202" w:lineRule="exact"/>
              <w:ind w:left="67" w:right="4"/>
              <w:jc w:val="left"/>
              <w:rPr>
                <w:b/>
                <w:sz w:val="18"/>
              </w:rPr>
            </w:pPr>
            <w:r>
              <w:rPr>
                <w:b/>
                <w:color w:val="333333"/>
                <w:sz w:val="18"/>
              </w:rPr>
              <w:t>TONATICO</w:t>
            </w:r>
          </w:p>
        </w:tc>
        <w:tc>
          <w:tcPr>
            <w:tcW w:w="1039" w:type="dxa"/>
          </w:tcPr>
          <w:p>
            <w:pPr>
              <w:pStyle w:val="TableParagraph"/>
              <w:spacing w:line="206" w:lineRule="exact"/>
              <w:ind w:left="93" w:right="92"/>
              <w:rPr>
                <w:sz w:val="18"/>
              </w:rPr>
            </w:pPr>
            <w:r>
              <w:rPr>
                <w:sz w:val="18"/>
              </w:rPr>
              <w:t>10,901</w:t>
            </w:r>
          </w:p>
        </w:tc>
        <w:tc>
          <w:tcPr>
            <w:tcW w:w="1030" w:type="dxa"/>
          </w:tcPr>
          <w:p>
            <w:pPr>
              <w:pStyle w:val="TableParagraph"/>
              <w:spacing w:line="206" w:lineRule="exact"/>
              <w:ind w:left="164" w:right="164"/>
              <w:rPr>
                <w:sz w:val="18"/>
              </w:rPr>
            </w:pPr>
            <w:r>
              <w:rPr>
                <w:sz w:val="18"/>
              </w:rPr>
              <w:t>12,099</w:t>
            </w:r>
          </w:p>
        </w:tc>
        <w:tc>
          <w:tcPr>
            <w:tcW w:w="1030" w:type="dxa"/>
          </w:tcPr>
          <w:p>
            <w:pPr>
              <w:pStyle w:val="TableParagraph"/>
              <w:spacing w:line="206" w:lineRule="exact"/>
              <w:ind w:left="165" w:right="164"/>
              <w:rPr>
                <w:sz w:val="18"/>
              </w:rPr>
            </w:pPr>
            <w:r>
              <w:rPr>
                <w:sz w:val="18"/>
              </w:rPr>
              <w:t>12,078</w:t>
            </w:r>
          </w:p>
        </w:tc>
        <w:tc>
          <w:tcPr>
            <w:tcW w:w="1369" w:type="dxa"/>
          </w:tcPr>
          <w:p>
            <w:pPr>
              <w:pStyle w:val="TableParagraph"/>
              <w:spacing w:line="206" w:lineRule="exact"/>
              <w:ind w:left="113" w:right="114"/>
              <w:rPr>
                <w:sz w:val="18"/>
              </w:rPr>
            </w:pPr>
            <w:r>
              <w:rPr>
                <w:sz w:val="18"/>
              </w:rPr>
              <w:t>Rural</w:t>
            </w:r>
          </w:p>
        </w:tc>
      </w:tr>
      <w:tr>
        <w:trPr>
          <w:trHeight w:val="322" w:hRule="exact"/>
        </w:trPr>
        <w:tc>
          <w:tcPr>
            <w:tcW w:w="2501" w:type="dxa"/>
          </w:tcPr>
          <w:p>
            <w:pPr>
              <w:pStyle w:val="TableParagraph"/>
              <w:spacing w:line="199" w:lineRule="exact"/>
              <w:ind w:left="67" w:right="4"/>
              <w:jc w:val="left"/>
              <w:rPr>
                <w:b/>
                <w:sz w:val="18"/>
              </w:rPr>
            </w:pPr>
            <w:r>
              <w:rPr>
                <w:b/>
                <w:color w:val="333333"/>
                <w:sz w:val="18"/>
              </w:rPr>
              <w:t>TULTEPEC</w:t>
            </w:r>
          </w:p>
        </w:tc>
        <w:tc>
          <w:tcPr>
            <w:tcW w:w="1039" w:type="dxa"/>
          </w:tcPr>
          <w:p>
            <w:pPr>
              <w:pStyle w:val="TableParagraph"/>
              <w:spacing w:line="203" w:lineRule="exact"/>
              <w:ind w:left="93" w:right="92"/>
              <w:rPr>
                <w:sz w:val="18"/>
              </w:rPr>
            </w:pPr>
            <w:r>
              <w:rPr>
                <w:sz w:val="18"/>
              </w:rPr>
              <w:t>110,145</w:t>
            </w:r>
          </w:p>
        </w:tc>
        <w:tc>
          <w:tcPr>
            <w:tcW w:w="1030" w:type="dxa"/>
          </w:tcPr>
          <w:p>
            <w:pPr>
              <w:pStyle w:val="TableParagraph"/>
              <w:spacing w:line="203" w:lineRule="exact"/>
              <w:ind w:left="164" w:right="164"/>
              <w:rPr>
                <w:sz w:val="18"/>
              </w:rPr>
            </w:pPr>
            <w:r>
              <w:rPr>
                <w:sz w:val="18"/>
              </w:rPr>
              <w:t>91,808</w:t>
            </w:r>
          </w:p>
        </w:tc>
        <w:tc>
          <w:tcPr>
            <w:tcW w:w="1030" w:type="dxa"/>
          </w:tcPr>
          <w:p>
            <w:pPr>
              <w:pStyle w:val="TableParagraph"/>
              <w:spacing w:line="203" w:lineRule="exact"/>
              <w:ind w:left="165" w:right="164"/>
              <w:rPr>
                <w:sz w:val="18"/>
              </w:rPr>
            </w:pPr>
            <w:r>
              <w:rPr>
                <w:sz w:val="18"/>
              </w:rPr>
              <w:t>90,883</w:t>
            </w:r>
          </w:p>
        </w:tc>
        <w:tc>
          <w:tcPr>
            <w:tcW w:w="1369" w:type="dxa"/>
          </w:tcPr>
          <w:p>
            <w:pPr>
              <w:pStyle w:val="TableParagraph"/>
              <w:spacing w:line="203" w:lineRule="exact"/>
              <w:ind w:left="114" w:right="114"/>
              <w:rPr>
                <w:sz w:val="18"/>
              </w:rPr>
            </w:pPr>
            <w:r>
              <w:rPr>
                <w:sz w:val="18"/>
              </w:rPr>
              <w:t>Semiurbano</w:t>
            </w:r>
          </w:p>
        </w:tc>
      </w:tr>
      <w:tr>
        <w:trPr>
          <w:trHeight w:val="319" w:hRule="exact"/>
        </w:trPr>
        <w:tc>
          <w:tcPr>
            <w:tcW w:w="2501" w:type="dxa"/>
          </w:tcPr>
          <w:p>
            <w:pPr>
              <w:pStyle w:val="TableParagraph"/>
              <w:spacing w:line="199" w:lineRule="exact"/>
              <w:ind w:left="67" w:right="4"/>
              <w:jc w:val="left"/>
              <w:rPr>
                <w:b/>
                <w:sz w:val="18"/>
              </w:rPr>
            </w:pPr>
            <w:r>
              <w:rPr>
                <w:b/>
                <w:color w:val="333333"/>
                <w:sz w:val="18"/>
              </w:rPr>
              <w:t>TULTITLAN</w:t>
            </w:r>
          </w:p>
        </w:tc>
        <w:tc>
          <w:tcPr>
            <w:tcW w:w="1039" w:type="dxa"/>
          </w:tcPr>
          <w:p>
            <w:pPr>
              <w:pStyle w:val="TableParagraph"/>
              <w:spacing w:line="203" w:lineRule="exact"/>
              <w:ind w:left="93" w:right="92"/>
              <w:rPr>
                <w:sz w:val="18"/>
              </w:rPr>
            </w:pPr>
            <w:r>
              <w:rPr>
                <w:sz w:val="18"/>
              </w:rPr>
              <w:t>472,867</w:t>
            </w:r>
          </w:p>
        </w:tc>
        <w:tc>
          <w:tcPr>
            <w:tcW w:w="1030" w:type="dxa"/>
          </w:tcPr>
          <w:p>
            <w:pPr>
              <w:pStyle w:val="TableParagraph"/>
              <w:spacing w:line="203" w:lineRule="exact"/>
              <w:ind w:left="164" w:right="164"/>
              <w:rPr>
                <w:sz w:val="18"/>
              </w:rPr>
            </w:pPr>
            <w:r>
              <w:rPr>
                <w:sz w:val="18"/>
              </w:rPr>
              <w:t>524,074</w:t>
            </w:r>
          </w:p>
        </w:tc>
        <w:tc>
          <w:tcPr>
            <w:tcW w:w="1030" w:type="dxa"/>
          </w:tcPr>
          <w:p>
            <w:pPr>
              <w:pStyle w:val="TableParagraph"/>
              <w:spacing w:line="203" w:lineRule="exact"/>
              <w:ind w:left="165" w:right="164"/>
              <w:rPr>
                <w:sz w:val="18"/>
              </w:rPr>
            </w:pPr>
            <w:r>
              <w:rPr>
                <w:sz w:val="18"/>
              </w:rPr>
              <w:t>532,688</w:t>
            </w:r>
          </w:p>
        </w:tc>
        <w:tc>
          <w:tcPr>
            <w:tcW w:w="1369" w:type="dxa"/>
          </w:tcPr>
          <w:p>
            <w:pPr>
              <w:pStyle w:val="TableParagraph"/>
              <w:spacing w:line="203" w:lineRule="exact"/>
              <w:ind w:left="114" w:right="114"/>
              <w:rPr>
                <w:sz w:val="18"/>
              </w:rPr>
            </w:pPr>
            <w:r>
              <w:rPr>
                <w:sz w:val="18"/>
              </w:rPr>
              <w:t>Metropolitano</w:t>
            </w:r>
          </w:p>
        </w:tc>
      </w:tr>
      <w:tr>
        <w:trPr>
          <w:trHeight w:val="322" w:hRule="exact"/>
        </w:trPr>
        <w:tc>
          <w:tcPr>
            <w:tcW w:w="2501" w:type="dxa"/>
          </w:tcPr>
          <w:p>
            <w:pPr>
              <w:pStyle w:val="TableParagraph"/>
              <w:spacing w:line="199" w:lineRule="exact"/>
              <w:ind w:left="67" w:right="4"/>
              <w:jc w:val="left"/>
              <w:rPr>
                <w:b/>
                <w:sz w:val="18"/>
              </w:rPr>
            </w:pPr>
            <w:r>
              <w:rPr>
                <w:b/>
                <w:color w:val="333333"/>
                <w:sz w:val="18"/>
              </w:rPr>
              <w:t>VALLE DE BRAVO</w:t>
            </w:r>
          </w:p>
        </w:tc>
        <w:tc>
          <w:tcPr>
            <w:tcW w:w="1039" w:type="dxa"/>
          </w:tcPr>
          <w:p>
            <w:pPr>
              <w:pStyle w:val="TableParagraph"/>
              <w:spacing w:line="203" w:lineRule="exact"/>
              <w:ind w:left="93" w:right="92"/>
              <w:rPr>
                <w:sz w:val="18"/>
              </w:rPr>
            </w:pPr>
            <w:r>
              <w:rPr>
                <w:sz w:val="18"/>
              </w:rPr>
              <w:t>52,902</w:t>
            </w:r>
          </w:p>
        </w:tc>
        <w:tc>
          <w:tcPr>
            <w:tcW w:w="1030" w:type="dxa"/>
          </w:tcPr>
          <w:p>
            <w:pPr>
              <w:pStyle w:val="TableParagraph"/>
              <w:spacing w:line="203" w:lineRule="exact"/>
              <w:ind w:left="164" w:right="164"/>
              <w:rPr>
                <w:sz w:val="18"/>
              </w:rPr>
            </w:pPr>
            <w:r>
              <w:rPr>
                <w:sz w:val="18"/>
              </w:rPr>
              <w:t>61,599</w:t>
            </w:r>
          </w:p>
        </w:tc>
        <w:tc>
          <w:tcPr>
            <w:tcW w:w="1030" w:type="dxa"/>
          </w:tcPr>
          <w:p>
            <w:pPr>
              <w:pStyle w:val="TableParagraph"/>
              <w:spacing w:line="203" w:lineRule="exact"/>
              <w:ind w:left="165" w:right="164"/>
              <w:rPr>
                <w:sz w:val="18"/>
              </w:rPr>
            </w:pPr>
            <w:r>
              <w:rPr>
                <w:sz w:val="18"/>
              </w:rPr>
              <w:t>61,653</w:t>
            </w:r>
          </w:p>
        </w:tc>
        <w:tc>
          <w:tcPr>
            <w:tcW w:w="1369" w:type="dxa"/>
          </w:tcPr>
          <w:p>
            <w:pPr>
              <w:pStyle w:val="TableParagraph"/>
              <w:spacing w:line="203" w:lineRule="exact"/>
              <w:ind w:left="114" w:right="114"/>
              <w:rPr>
                <w:sz w:val="18"/>
              </w:rPr>
            </w:pPr>
            <w:r>
              <w:rPr>
                <w:sz w:val="18"/>
              </w:rPr>
              <w:t>Semiurbano</w:t>
            </w:r>
          </w:p>
        </w:tc>
      </w:tr>
      <w:tr>
        <w:trPr>
          <w:trHeight w:val="631" w:hRule="exact"/>
        </w:trPr>
        <w:tc>
          <w:tcPr>
            <w:tcW w:w="2501" w:type="dxa"/>
          </w:tcPr>
          <w:p>
            <w:pPr>
              <w:pStyle w:val="TableParagraph"/>
              <w:spacing w:line="360" w:lineRule="auto"/>
              <w:ind w:left="67" w:right="694"/>
              <w:jc w:val="left"/>
              <w:rPr>
                <w:b/>
                <w:sz w:val="18"/>
              </w:rPr>
            </w:pPr>
            <w:r>
              <w:rPr>
                <w:b/>
                <w:color w:val="333333"/>
                <w:sz w:val="18"/>
              </w:rPr>
              <w:t>VALLE DE CHALCO SOLIDARIDAD</w:t>
            </w:r>
          </w:p>
        </w:tc>
        <w:tc>
          <w:tcPr>
            <w:tcW w:w="1039" w:type="dxa"/>
          </w:tcPr>
          <w:p>
            <w:pPr>
              <w:pStyle w:val="TableParagraph"/>
              <w:spacing w:before="6"/>
              <w:jc w:val="left"/>
              <w:rPr>
                <w:rFonts w:ascii="Times New Roman"/>
                <w:sz w:val="26"/>
              </w:rPr>
            </w:pPr>
          </w:p>
          <w:p>
            <w:pPr>
              <w:pStyle w:val="TableParagraph"/>
              <w:spacing w:before="1"/>
              <w:ind w:left="93" w:right="92"/>
              <w:rPr>
                <w:sz w:val="18"/>
              </w:rPr>
            </w:pPr>
            <w:r>
              <w:rPr>
                <w:sz w:val="18"/>
              </w:rPr>
              <w:t>332,279</w:t>
            </w:r>
          </w:p>
        </w:tc>
        <w:tc>
          <w:tcPr>
            <w:tcW w:w="1030" w:type="dxa"/>
          </w:tcPr>
          <w:p>
            <w:pPr>
              <w:pStyle w:val="TableParagraph"/>
              <w:spacing w:before="6"/>
              <w:jc w:val="left"/>
              <w:rPr>
                <w:rFonts w:ascii="Times New Roman"/>
                <w:sz w:val="26"/>
              </w:rPr>
            </w:pPr>
          </w:p>
          <w:p>
            <w:pPr>
              <w:pStyle w:val="TableParagraph"/>
              <w:spacing w:before="1"/>
              <w:ind w:left="164" w:right="164"/>
              <w:rPr>
                <w:sz w:val="18"/>
              </w:rPr>
            </w:pPr>
            <w:r>
              <w:rPr>
                <w:sz w:val="18"/>
              </w:rPr>
              <w:t>357,645</w:t>
            </w:r>
          </w:p>
        </w:tc>
        <w:tc>
          <w:tcPr>
            <w:tcW w:w="1030" w:type="dxa"/>
          </w:tcPr>
          <w:p>
            <w:pPr>
              <w:pStyle w:val="TableParagraph"/>
              <w:spacing w:before="6"/>
              <w:jc w:val="left"/>
              <w:rPr>
                <w:rFonts w:ascii="Times New Roman"/>
                <w:sz w:val="26"/>
              </w:rPr>
            </w:pPr>
          </w:p>
          <w:p>
            <w:pPr>
              <w:pStyle w:val="TableParagraph"/>
              <w:spacing w:before="1"/>
              <w:ind w:left="165" w:right="164"/>
              <w:rPr>
                <w:sz w:val="18"/>
              </w:rPr>
            </w:pPr>
            <w:r>
              <w:rPr>
                <w:sz w:val="18"/>
              </w:rPr>
              <w:t>359,294</w:t>
            </w:r>
          </w:p>
        </w:tc>
        <w:tc>
          <w:tcPr>
            <w:tcW w:w="1369" w:type="dxa"/>
          </w:tcPr>
          <w:p>
            <w:pPr>
              <w:pStyle w:val="TableParagraph"/>
              <w:spacing w:line="203" w:lineRule="exact"/>
              <w:ind w:left="114" w:right="114"/>
              <w:rPr>
                <w:sz w:val="18"/>
              </w:rPr>
            </w:pPr>
            <w:r>
              <w:rPr>
                <w:sz w:val="18"/>
              </w:rPr>
              <w:t>Urbano</w:t>
            </w:r>
          </w:p>
        </w:tc>
      </w:tr>
      <w:tr>
        <w:trPr>
          <w:trHeight w:val="319" w:hRule="exact"/>
        </w:trPr>
        <w:tc>
          <w:tcPr>
            <w:tcW w:w="2501" w:type="dxa"/>
          </w:tcPr>
          <w:p>
            <w:pPr>
              <w:pStyle w:val="TableParagraph"/>
              <w:spacing w:line="199" w:lineRule="exact"/>
              <w:ind w:left="67" w:right="4"/>
              <w:jc w:val="left"/>
              <w:rPr>
                <w:b/>
                <w:sz w:val="18"/>
              </w:rPr>
            </w:pPr>
            <w:r>
              <w:rPr>
                <w:b/>
                <w:color w:val="333333"/>
                <w:sz w:val="18"/>
              </w:rPr>
              <w:t>VILLA DE ALLENDE</w:t>
            </w:r>
          </w:p>
        </w:tc>
        <w:tc>
          <w:tcPr>
            <w:tcW w:w="1039" w:type="dxa"/>
          </w:tcPr>
          <w:p>
            <w:pPr>
              <w:pStyle w:val="TableParagraph"/>
              <w:spacing w:line="203" w:lineRule="exact"/>
              <w:ind w:left="93" w:right="92"/>
              <w:rPr>
                <w:sz w:val="18"/>
              </w:rPr>
            </w:pPr>
            <w:r>
              <w:rPr>
                <w:sz w:val="18"/>
              </w:rPr>
              <w:t>41,938</w:t>
            </w:r>
          </w:p>
        </w:tc>
        <w:tc>
          <w:tcPr>
            <w:tcW w:w="1030" w:type="dxa"/>
          </w:tcPr>
          <w:p>
            <w:pPr>
              <w:pStyle w:val="TableParagraph"/>
              <w:spacing w:line="203" w:lineRule="exact"/>
              <w:ind w:left="164" w:right="164"/>
              <w:rPr>
                <w:sz w:val="18"/>
              </w:rPr>
            </w:pPr>
            <w:r>
              <w:rPr>
                <w:sz w:val="18"/>
              </w:rPr>
              <w:t>47,709</w:t>
            </w:r>
          </w:p>
        </w:tc>
        <w:tc>
          <w:tcPr>
            <w:tcW w:w="1030" w:type="dxa"/>
          </w:tcPr>
          <w:p>
            <w:pPr>
              <w:pStyle w:val="TableParagraph"/>
              <w:spacing w:line="203" w:lineRule="exact"/>
              <w:ind w:left="165" w:right="164"/>
              <w:rPr>
                <w:sz w:val="18"/>
              </w:rPr>
            </w:pPr>
            <w:r>
              <w:rPr>
                <w:sz w:val="18"/>
              </w:rPr>
              <w:t>48,366</w:t>
            </w:r>
          </w:p>
        </w:tc>
        <w:tc>
          <w:tcPr>
            <w:tcW w:w="1369" w:type="dxa"/>
          </w:tcPr>
          <w:p>
            <w:pPr>
              <w:pStyle w:val="TableParagraph"/>
              <w:spacing w:line="203" w:lineRule="exact"/>
              <w:ind w:left="114" w:right="114"/>
              <w:rPr>
                <w:sz w:val="18"/>
              </w:rPr>
            </w:pPr>
            <w:r>
              <w:rPr>
                <w:sz w:val="18"/>
              </w:rPr>
              <w:t>Semiurbano</w:t>
            </w:r>
          </w:p>
        </w:tc>
      </w:tr>
      <w:tr>
        <w:trPr>
          <w:trHeight w:val="322" w:hRule="exact"/>
        </w:trPr>
        <w:tc>
          <w:tcPr>
            <w:tcW w:w="2501" w:type="dxa"/>
          </w:tcPr>
          <w:p>
            <w:pPr>
              <w:pStyle w:val="TableParagraph"/>
              <w:spacing w:line="199" w:lineRule="exact"/>
              <w:ind w:left="67" w:right="4"/>
              <w:jc w:val="left"/>
              <w:rPr>
                <w:b/>
                <w:sz w:val="18"/>
              </w:rPr>
            </w:pPr>
            <w:r>
              <w:rPr>
                <w:b/>
                <w:color w:val="333333"/>
                <w:sz w:val="18"/>
              </w:rPr>
              <w:t>VILLA DEL CARBON</w:t>
            </w:r>
          </w:p>
        </w:tc>
        <w:tc>
          <w:tcPr>
            <w:tcW w:w="1039" w:type="dxa"/>
          </w:tcPr>
          <w:p>
            <w:pPr>
              <w:pStyle w:val="TableParagraph"/>
              <w:spacing w:line="203" w:lineRule="exact"/>
              <w:ind w:left="93" w:right="92"/>
              <w:rPr>
                <w:sz w:val="18"/>
              </w:rPr>
            </w:pPr>
            <w:r>
              <w:rPr>
                <w:sz w:val="18"/>
              </w:rPr>
              <w:t>39,587</w:t>
            </w:r>
          </w:p>
        </w:tc>
        <w:tc>
          <w:tcPr>
            <w:tcW w:w="1030" w:type="dxa"/>
          </w:tcPr>
          <w:p>
            <w:pPr>
              <w:pStyle w:val="TableParagraph"/>
              <w:spacing w:line="203" w:lineRule="exact"/>
              <w:ind w:left="164" w:right="164"/>
              <w:rPr>
                <w:sz w:val="18"/>
              </w:rPr>
            </w:pPr>
            <w:r>
              <w:rPr>
                <w:sz w:val="18"/>
              </w:rPr>
              <w:t>44,881</w:t>
            </w:r>
          </w:p>
        </w:tc>
        <w:tc>
          <w:tcPr>
            <w:tcW w:w="1030" w:type="dxa"/>
          </w:tcPr>
          <w:p>
            <w:pPr>
              <w:pStyle w:val="TableParagraph"/>
              <w:spacing w:line="203" w:lineRule="exact"/>
              <w:ind w:left="165" w:right="164"/>
              <w:rPr>
                <w:sz w:val="18"/>
              </w:rPr>
            </w:pPr>
            <w:r>
              <w:rPr>
                <w:sz w:val="18"/>
              </w:rPr>
              <w:t>45,467</w:t>
            </w:r>
          </w:p>
        </w:tc>
        <w:tc>
          <w:tcPr>
            <w:tcW w:w="1369" w:type="dxa"/>
          </w:tcPr>
          <w:p>
            <w:pPr>
              <w:pStyle w:val="TableParagraph"/>
              <w:spacing w:line="203" w:lineRule="exact"/>
              <w:ind w:left="114" w:right="114"/>
              <w:rPr>
                <w:sz w:val="18"/>
              </w:rPr>
            </w:pPr>
            <w:r>
              <w:rPr>
                <w:sz w:val="18"/>
              </w:rPr>
              <w:t>Semiurbano</w:t>
            </w:r>
          </w:p>
        </w:tc>
      </w:tr>
      <w:tr>
        <w:trPr>
          <w:trHeight w:val="319" w:hRule="exact"/>
        </w:trPr>
        <w:tc>
          <w:tcPr>
            <w:tcW w:w="2501" w:type="dxa"/>
          </w:tcPr>
          <w:p>
            <w:pPr>
              <w:pStyle w:val="TableParagraph"/>
              <w:spacing w:line="199" w:lineRule="exact"/>
              <w:ind w:left="67" w:right="4"/>
              <w:jc w:val="left"/>
              <w:rPr>
                <w:b/>
                <w:sz w:val="18"/>
              </w:rPr>
            </w:pPr>
            <w:r>
              <w:rPr>
                <w:b/>
                <w:color w:val="333333"/>
                <w:sz w:val="18"/>
              </w:rPr>
              <w:t>VILLA GUERRERO</w:t>
            </w:r>
          </w:p>
        </w:tc>
        <w:tc>
          <w:tcPr>
            <w:tcW w:w="1039" w:type="dxa"/>
          </w:tcPr>
          <w:p>
            <w:pPr>
              <w:pStyle w:val="TableParagraph"/>
              <w:spacing w:line="203" w:lineRule="exact"/>
              <w:ind w:left="93" w:right="92"/>
              <w:rPr>
                <w:sz w:val="18"/>
              </w:rPr>
            </w:pPr>
            <w:r>
              <w:rPr>
                <w:sz w:val="18"/>
              </w:rPr>
              <w:t>52,090</w:t>
            </w:r>
          </w:p>
        </w:tc>
        <w:tc>
          <w:tcPr>
            <w:tcW w:w="1030" w:type="dxa"/>
          </w:tcPr>
          <w:p>
            <w:pPr>
              <w:pStyle w:val="TableParagraph"/>
              <w:spacing w:line="203" w:lineRule="exact"/>
              <w:ind w:left="164" w:right="164"/>
              <w:rPr>
                <w:sz w:val="18"/>
              </w:rPr>
            </w:pPr>
            <w:r>
              <w:rPr>
                <w:sz w:val="18"/>
              </w:rPr>
              <w:t>59,991</w:t>
            </w:r>
          </w:p>
        </w:tc>
        <w:tc>
          <w:tcPr>
            <w:tcW w:w="1030" w:type="dxa"/>
          </w:tcPr>
          <w:p>
            <w:pPr>
              <w:pStyle w:val="TableParagraph"/>
              <w:spacing w:line="203" w:lineRule="exact"/>
              <w:ind w:left="165" w:right="164"/>
              <w:rPr>
                <w:sz w:val="18"/>
              </w:rPr>
            </w:pPr>
            <w:r>
              <w:rPr>
                <w:sz w:val="18"/>
              </w:rPr>
              <w:t>60,768</w:t>
            </w:r>
          </w:p>
        </w:tc>
        <w:tc>
          <w:tcPr>
            <w:tcW w:w="1369" w:type="dxa"/>
          </w:tcPr>
          <w:p>
            <w:pPr>
              <w:pStyle w:val="TableParagraph"/>
              <w:spacing w:line="203" w:lineRule="exact"/>
              <w:ind w:left="114" w:right="114"/>
              <w:rPr>
                <w:sz w:val="18"/>
              </w:rPr>
            </w:pPr>
            <w:r>
              <w:rPr>
                <w:sz w:val="18"/>
              </w:rPr>
              <w:t>Semiurbano</w:t>
            </w:r>
          </w:p>
        </w:tc>
      </w:tr>
      <w:tr>
        <w:trPr>
          <w:trHeight w:val="322" w:hRule="exact"/>
        </w:trPr>
        <w:tc>
          <w:tcPr>
            <w:tcW w:w="2501" w:type="dxa"/>
          </w:tcPr>
          <w:p>
            <w:pPr>
              <w:pStyle w:val="TableParagraph"/>
              <w:spacing w:line="199" w:lineRule="exact"/>
              <w:ind w:left="67" w:right="4"/>
              <w:jc w:val="left"/>
              <w:rPr>
                <w:b/>
                <w:sz w:val="18"/>
              </w:rPr>
            </w:pPr>
            <w:r>
              <w:rPr>
                <w:b/>
                <w:color w:val="333333"/>
                <w:sz w:val="18"/>
              </w:rPr>
              <w:t>VILLA VICTORIA</w:t>
            </w:r>
          </w:p>
        </w:tc>
        <w:tc>
          <w:tcPr>
            <w:tcW w:w="1039" w:type="dxa"/>
          </w:tcPr>
          <w:p>
            <w:pPr>
              <w:pStyle w:val="TableParagraph"/>
              <w:spacing w:line="203" w:lineRule="exact"/>
              <w:ind w:left="93" w:right="92"/>
              <w:rPr>
                <w:sz w:val="18"/>
              </w:rPr>
            </w:pPr>
            <w:r>
              <w:rPr>
                <w:sz w:val="18"/>
              </w:rPr>
              <w:t>77,819</w:t>
            </w:r>
          </w:p>
        </w:tc>
        <w:tc>
          <w:tcPr>
            <w:tcW w:w="1030" w:type="dxa"/>
          </w:tcPr>
          <w:p>
            <w:pPr>
              <w:pStyle w:val="TableParagraph"/>
              <w:spacing w:line="203" w:lineRule="exact"/>
              <w:ind w:left="164" w:right="164"/>
              <w:rPr>
                <w:sz w:val="18"/>
              </w:rPr>
            </w:pPr>
            <w:r>
              <w:rPr>
                <w:sz w:val="18"/>
              </w:rPr>
              <w:t>94,369</w:t>
            </w:r>
          </w:p>
        </w:tc>
        <w:tc>
          <w:tcPr>
            <w:tcW w:w="1030" w:type="dxa"/>
          </w:tcPr>
          <w:p>
            <w:pPr>
              <w:pStyle w:val="TableParagraph"/>
              <w:spacing w:line="203" w:lineRule="exact"/>
              <w:ind w:left="165" w:right="164"/>
              <w:rPr>
                <w:sz w:val="18"/>
              </w:rPr>
            </w:pPr>
            <w:r>
              <w:rPr>
                <w:sz w:val="18"/>
              </w:rPr>
              <w:t>96,526</w:t>
            </w:r>
          </w:p>
        </w:tc>
        <w:tc>
          <w:tcPr>
            <w:tcW w:w="1369" w:type="dxa"/>
          </w:tcPr>
          <w:p>
            <w:pPr>
              <w:pStyle w:val="TableParagraph"/>
              <w:spacing w:line="203" w:lineRule="exact"/>
              <w:ind w:left="114" w:right="114"/>
              <w:rPr>
                <w:sz w:val="18"/>
              </w:rPr>
            </w:pPr>
            <w:r>
              <w:rPr>
                <w:sz w:val="18"/>
              </w:rPr>
              <w:t>Semiurbano</w:t>
            </w:r>
          </w:p>
        </w:tc>
      </w:tr>
      <w:tr>
        <w:trPr>
          <w:trHeight w:val="320" w:hRule="exact"/>
        </w:trPr>
        <w:tc>
          <w:tcPr>
            <w:tcW w:w="2501" w:type="dxa"/>
          </w:tcPr>
          <w:p>
            <w:pPr>
              <w:pStyle w:val="TableParagraph"/>
              <w:spacing w:line="199" w:lineRule="exact"/>
              <w:ind w:left="67" w:right="4"/>
              <w:jc w:val="left"/>
              <w:rPr>
                <w:b/>
                <w:sz w:val="18"/>
              </w:rPr>
            </w:pPr>
            <w:r>
              <w:rPr>
                <w:b/>
                <w:color w:val="333333"/>
                <w:sz w:val="18"/>
              </w:rPr>
              <w:t>XALATLACO</w:t>
            </w:r>
          </w:p>
        </w:tc>
        <w:tc>
          <w:tcPr>
            <w:tcW w:w="1039" w:type="dxa"/>
          </w:tcPr>
          <w:p>
            <w:pPr>
              <w:pStyle w:val="TableParagraph"/>
              <w:spacing w:line="203" w:lineRule="exact"/>
              <w:ind w:left="93" w:right="92"/>
              <w:rPr>
                <w:sz w:val="18"/>
              </w:rPr>
            </w:pPr>
            <w:r>
              <w:rPr>
                <w:sz w:val="18"/>
              </w:rPr>
              <w:t>20,002</w:t>
            </w:r>
          </w:p>
        </w:tc>
        <w:tc>
          <w:tcPr>
            <w:tcW w:w="1030" w:type="dxa"/>
          </w:tcPr>
          <w:p>
            <w:pPr>
              <w:pStyle w:val="TableParagraph"/>
              <w:spacing w:line="203" w:lineRule="exact"/>
              <w:ind w:left="164" w:right="164"/>
              <w:rPr>
                <w:sz w:val="18"/>
              </w:rPr>
            </w:pPr>
            <w:r>
              <w:rPr>
                <w:sz w:val="18"/>
              </w:rPr>
              <w:t>26,865</w:t>
            </w:r>
          </w:p>
        </w:tc>
        <w:tc>
          <w:tcPr>
            <w:tcW w:w="1030" w:type="dxa"/>
          </w:tcPr>
          <w:p>
            <w:pPr>
              <w:pStyle w:val="TableParagraph"/>
              <w:spacing w:line="203" w:lineRule="exact"/>
              <w:ind w:left="165" w:right="164"/>
              <w:rPr>
                <w:sz w:val="18"/>
              </w:rPr>
            </w:pPr>
            <w:r>
              <w:rPr>
                <w:sz w:val="18"/>
              </w:rPr>
              <w:t>27,810</w:t>
            </w:r>
          </w:p>
        </w:tc>
        <w:tc>
          <w:tcPr>
            <w:tcW w:w="1369" w:type="dxa"/>
          </w:tcPr>
          <w:p>
            <w:pPr>
              <w:pStyle w:val="TableParagraph"/>
              <w:spacing w:line="203" w:lineRule="exact"/>
              <w:ind w:left="114" w:right="114"/>
              <w:rPr>
                <w:sz w:val="18"/>
              </w:rPr>
            </w:pPr>
            <w:r>
              <w:rPr>
                <w:sz w:val="18"/>
              </w:rPr>
              <w:t>Semiurbano</w:t>
            </w:r>
          </w:p>
        </w:tc>
      </w:tr>
      <w:tr>
        <w:trPr>
          <w:trHeight w:val="322" w:hRule="exact"/>
        </w:trPr>
        <w:tc>
          <w:tcPr>
            <w:tcW w:w="2501" w:type="dxa"/>
          </w:tcPr>
          <w:p>
            <w:pPr>
              <w:pStyle w:val="TableParagraph"/>
              <w:spacing w:line="199" w:lineRule="exact"/>
              <w:ind w:left="67" w:right="4"/>
              <w:jc w:val="left"/>
              <w:rPr>
                <w:b/>
                <w:sz w:val="18"/>
              </w:rPr>
            </w:pPr>
            <w:r>
              <w:rPr>
                <w:b/>
                <w:color w:val="333333"/>
                <w:sz w:val="18"/>
              </w:rPr>
              <w:t>XONACATLAN</w:t>
            </w:r>
          </w:p>
        </w:tc>
        <w:tc>
          <w:tcPr>
            <w:tcW w:w="1039" w:type="dxa"/>
          </w:tcPr>
          <w:p>
            <w:pPr>
              <w:pStyle w:val="TableParagraph"/>
              <w:spacing w:line="203" w:lineRule="exact"/>
              <w:ind w:left="93" w:right="92"/>
              <w:rPr>
                <w:sz w:val="18"/>
              </w:rPr>
            </w:pPr>
            <w:r>
              <w:rPr>
                <w:sz w:val="18"/>
              </w:rPr>
              <w:t>45,274</w:t>
            </w:r>
          </w:p>
        </w:tc>
        <w:tc>
          <w:tcPr>
            <w:tcW w:w="1030" w:type="dxa"/>
          </w:tcPr>
          <w:p>
            <w:pPr>
              <w:pStyle w:val="TableParagraph"/>
              <w:spacing w:line="203" w:lineRule="exact"/>
              <w:ind w:left="164" w:right="164"/>
              <w:rPr>
                <w:sz w:val="18"/>
              </w:rPr>
            </w:pPr>
            <w:r>
              <w:rPr>
                <w:sz w:val="18"/>
              </w:rPr>
              <w:t>46,331</w:t>
            </w:r>
          </w:p>
        </w:tc>
        <w:tc>
          <w:tcPr>
            <w:tcW w:w="1030" w:type="dxa"/>
          </w:tcPr>
          <w:p>
            <w:pPr>
              <w:pStyle w:val="TableParagraph"/>
              <w:spacing w:line="203" w:lineRule="exact"/>
              <w:ind w:left="165" w:right="164"/>
              <w:rPr>
                <w:sz w:val="18"/>
              </w:rPr>
            </w:pPr>
            <w:r>
              <w:rPr>
                <w:sz w:val="18"/>
              </w:rPr>
              <w:t>46,615</w:t>
            </w:r>
          </w:p>
        </w:tc>
        <w:tc>
          <w:tcPr>
            <w:tcW w:w="1369" w:type="dxa"/>
          </w:tcPr>
          <w:p>
            <w:pPr>
              <w:pStyle w:val="TableParagraph"/>
              <w:spacing w:line="203" w:lineRule="exact"/>
              <w:ind w:left="114" w:right="114"/>
              <w:rPr>
                <w:sz w:val="18"/>
              </w:rPr>
            </w:pPr>
            <w:r>
              <w:rPr>
                <w:sz w:val="18"/>
              </w:rPr>
              <w:t>Semiurbano</w:t>
            </w:r>
          </w:p>
        </w:tc>
      </w:tr>
      <w:tr>
        <w:trPr>
          <w:trHeight w:val="319" w:hRule="exact"/>
        </w:trPr>
        <w:tc>
          <w:tcPr>
            <w:tcW w:w="2501" w:type="dxa"/>
          </w:tcPr>
          <w:p>
            <w:pPr>
              <w:pStyle w:val="TableParagraph"/>
              <w:spacing w:line="199" w:lineRule="exact"/>
              <w:ind w:left="67" w:right="4"/>
              <w:jc w:val="left"/>
              <w:rPr>
                <w:b/>
                <w:sz w:val="18"/>
              </w:rPr>
            </w:pPr>
            <w:r>
              <w:rPr>
                <w:b/>
                <w:color w:val="333333"/>
                <w:sz w:val="18"/>
              </w:rPr>
              <w:t>ZACAZONAPAN</w:t>
            </w:r>
          </w:p>
        </w:tc>
        <w:tc>
          <w:tcPr>
            <w:tcW w:w="1039" w:type="dxa"/>
          </w:tcPr>
          <w:p>
            <w:pPr>
              <w:pStyle w:val="TableParagraph"/>
              <w:spacing w:line="203" w:lineRule="exact"/>
              <w:ind w:left="93" w:right="94"/>
              <w:rPr>
                <w:sz w:val="18"/>
              </w:rPr>
            </w:pPr>
            <w:r>
              <w:rPr>
                <w:sz w:val="18"/>
              </w:rPr>
              <w:t>3,836</w:t>
            </w:r>
          </w:p>
        </w:tc>
        <w:tc>
          <w:tcPr>
            <w:tcW w:w="1030" w:type="dxa"/>
          </w:tcPr>
          <w:p>
            <w:pPr>
              <w:pStyle w:val="TableParagraph"/>
              <w:spacing w:line="203" w:lineRule="exact"/>
              <w:ind w:left="163" w:right="164"/>
              <w:rPr>
                <w:sz w:val="18"/>
              </w:rPr>
            </w:pPr>
            <w:r>
              <w:rPr>
                <w:sz w:val="18"/>
              </w:rPr>
              <w:t>4,051</w:t>
            </w:r>
          </w:p>
        </w:tc>
        <w:tc>
          <w:tcPr>
            <w:tcW w:w="1030" w:type="dxa"/>
          </w:tcPr>
          <w:p>
            <w:pPr>
              <w:pStyle w:val="TableParagraph"/>
              <w:spacing w:line="203" w:lineRule="exact"/>
              <w:ind w:left="163" w:right="164"/>
              <w:rPr>
                <w:sz w:val="18"/>
              </w:rPr>
            </w:pPr>
            <w:r>
              <w:rPr>
                <w:sz w:val="18"/>
              </w:rPr>
              <w:t>4,051</w:t>
            </w:r>
          </w:p>
        </w:tc>
        <w:tc>
          <w:tcPr>
            <w:tcW w:w="1369" w:type="dxa"/>
          </w:tcPr>
          <w:p>
            <w:pPr>
              <w:pStyle w:val="TableParagraph"/>
              <w:spacing w:line="203" w:lineRule="exact"/>
              <w:ind w:left="113" w:right="114"/>
              <w:rPr>
                <w:sz w:val="18"/>
              </w:rPr>
            </w:pPr>
            <w:r>
              <w:rPr>
                <w:sz w:val="18"/>
              </w:rPr>
              <w:t>Rural</w:t>
            </w:r>
          </w:p>
        </w:tc>
      </w:tr>
      <w:tr>
        <w:trPr>
          <w:trHeight w:val="322" w:hRule="exact"/>
        </w:trPr>
        <w:tc>
          <w:tcPr>
            <w:tcW w:w="2501" w:type="dxa"/>
          </w:tcPr>
          <w:p>
            <w:pPr>
              <w:pStyle w:val="TableParagraph"/>
              <w:spacing w:line="199" w:lineRule="exact"/>
              <w:ind w:left="67" w:right="4"/>
              <w:jc w:val="left"/>
              <w:rPr>
                <w:b/>
                <w:sz w:val="18"/>
              </w:rPr>
            </w:pPr>
            <w:r>
              <w:rPr>
                <w:b/>
                <w:color w:val="333333"/>
                <w:sz w:val="18"/>
              </w:rPr>
              <w:t>ZACUALPAN</w:t>
            </w:r>
          </w:p>
        </w:tc>
        <w:tc>
          <w:tcPr>
            <w:tcW w:w="1039" w:type="dxa"/>
          </w:tcPr>
          <w:p>
            <w:pPr>
              <w:pStyle w:val="TableParagraph"/>
              <w:spacing w:line="203" w:lineRule="exact"/>
              <w:ind w:left="93" w:right="92"/>
              <w:rPr>
                <w:sz w:val="18"/>
              </w:rPr>
            </w:pPr>
            <w:r>
              <w:rPr>
                <w:sz w:val="18"/>
              </w:rPr>
              <w:t>13,800</w:t>
            </w:r>
          </w:p>
        </w:tc>
        <w:tc>
          <w:tcPr>
            <w:tcW w:w="1030" w:type="dxa"/>
          </w:tcPr>
          <w:p>
            <w:pPr>
              <w:pStyle w:val="TableParagraph"/>
              <w:spacing w:line="203" w:lineRule="exact"/>
              <w:ind w:left="164" w:right="164"/>
              <w:rPr>
                <w:sz w:val="18"/>
              </w:rPr>
            </w:pPr>
            <w:r>
              <w:rPr>
                <w:sz w:val="18"/>
              </w:rPr>
              <w:t>15,121</w:t>
            </w:r>
          </w:p>
        </w:tc>
        <w:tc>
          <w:tcPr>
            <w:tcW w:w="1030" w:type="dxa"/>
          </w:tcPr>
          <w:p>
            <w:pPr>
              <w:pStyle w:val="TableParagraph"/>
              <w:spacing w:line="203" w:lineRule="exact"/>
              <w:ind w:left="165" w:right="164"/>
              <w:rPr>
                <w:sz w:val="18"/>
              </w:rPr>
            </w:pPr>
            <w:r>
              <w:rPr>
                <w:sz w:val="18"/>
              </w:rPr>
              <w:t>14,880</w:t>
            </w:r>
          </w:p>
        </w:tc>
        <w:tc>
          <w:tcPr>
            <w:tcW w:w="1369" w:type="dxa"/>
          </w:tcPr>
          <w:p>
            <w:pPr>
              <w:pStyle w:val="TableParagraph"/>
              <w:spacing w:line="203" w:lineRule="exact"/>
              <w:ind w:left="113" w:right="114"/>
              <w:rPr>
                <w:sz w:val="18"/>
              </w:rPr>
            </w:pPr>
            <w:r>
              <w:rPr>
                <w:sz w:val="18"/>
              </w:rPr>
              <w:t>Rural</w:t>
            </w:r>
          </w:p>
        </w:tc>
      </w:tr>
      <w:tr>
        <w:trPr>
          <w:trHeight w:val="319" w:hRule="exact"/>
        </w:trPr>
        <w:tc>
          <w:tcPr>
            <w:tcW w:w="2501" w:type="dxa"/>
          </w:tcPr>
          <w:p>
            <w:pPr>
              <w:pStyle w:val="TableParagraph"/>
              <w:spacing w:line="199" w:lineRule="exact"/>
              <w:ind w:left="67" w:right="4"/>
              <w:jc w:val="left"/>
              <w:rPr>
                <w:b/>
                <w:sz w:val="18"/>
              </w:rPr>
            </w:pPr>
            <w:r>
              <w:rPr>
                <w:b/>
                <w:color w:val="333333"/>
                <w:sz w:val="18"/>
              </w:rPr>
              <w:t>ZINACANTEPEC</w:t>
            </w:r>
          </w:p>
        </w:tc>
        <w:tc>
          <w:tcPr>
            <w:tcW w:w="1039" w:type="dxa"/>
          </w:tcPr>
          <w:p>
            <w:pPr>
              <w:pStyle w:val="TableParagraph"/>
              <w:spacing w:line="203" w:lineRule="exact"/>
              <w:ind w:left="93" w:right="92"/>
              <w:rPr>
                <w:sz w:val="18"/>
              </w:rPr>
            </w:pPr>
            <w:r>
              <w:rPr>
                <w:sz w:val="18"/>
              </w:rPr>
              <w:t>136,167</w:t>
            </w:r>
          </w:p>
        </w:tc>
        <w:tc>
          <w:tcPr>
            <w:tcW w:w="1030" w:type="dxa"/>
          </w:tcPr>
          <w:p>
            <w:pPr>
              <w:pStyle w:val="TableParagraph"/>
              <w:spacing w:line="203" w:lineRule="exact"/>
              <w:ind w:left="164" w:right="164"/>
              <w:rPr>
                <w:sz w:val="18"/>
              </w:rPr>
            </w:pPr>
            <w:r>
              <w:rPr>
                <w:sz w:val="18"/>
              </w:rPr>
              <w:t>167,759</w:t>
            </w:r>
          </w:p>
        </w:tc>
        <w:tc>
          <w:tcPr>
            <w:tcW w:w="1030" w:type="dxa"/>
          </w:tcPr>
          <w:p>
            <w:pPr>
              <w:pStyle w:val="TableParagraph"/>
              <w:spacing w:line="203" w:lineRule="exact"/>
              <w:ind w:left="165" w:right="164"/>
              <w:rPr>
                <w:sz w:val="18"/>
              </w:rPr>
            </w:pPr>
            <w:r>
              <w:rPr>
                <w:sz w:val="18"/>
              </w:rPr>
              <w:t>173,282</w:t>
            </w:r>
          </w:p>
        </w:tc>
        <w:tc>
          <w:tcPr>
            <w:tcW w:w="1369" w:type="dxa"/>
          </w:tcPr>
          <w:p>
            <w:pPr>
              <w:pStyle w:val="TableParagraph"/>
              <w:spacing w:line="203" w:lineRule="exact"/>
              <w:ind w:left="114" w:right="114"/>
              <w:rPr>
                <w:sz w:val="18"/>
              </w:rPr>
            </w:pPr>
            <w:r>
              <w:rPr>
                <w:sz w:val="18"/>
              </w:rPr>
              <w:t>Urbano</w:t>
            </w:r>
          </w:p>
        </w:tc>
      </w:tr>
      <w:tr>
        <w:trPr>
          <w:trHeight w:val="322" w:hRule="exact"/>
        </w:trPr>
        <w:tc>
          <w:tcPr>
            <w:tcW w:w="2501" w:type="dxa"/>
          </w:tcPr>
          <w:p>
            <w:pPr>
              <w:pStyle w:val="TableParagraph"/>
              <w:spacing w:line="199" w:lineRule="exact"/>
              <w:ind w:left="67" w:right="4"/>
              <w:jc w:val="left"/>
              <w:rPr>
                <w:b/>
                <w:sz w:val="18"/>
              </w:rPr>
            </w:pPr>
            <w:r>
              <w:rPr>
                <w:b/>
                <w:color w:val="333333"/>
                <w:sz w:val="18"/>
              </w:rPr>
              <w:t>ZUMPAHUACAN</w:t>
            </w:r>
          </w:p>
        </w:tc>
        <w:tc>
          <w:tcPr>
            <w:tcW w:w="1039" w:type="dxa"/>
          </w:tcPr>
          <w:p>
            <w:pPr>
              <w:pStyle w:val="TableParagraph"/>
              <w:spacing w:line="203" w:lineRule="exact"/>
              <w:ind w:left="93" w:right="92"/>
              <w:rPr>
                <w:sz w:val="18"/>
              </w:rPr>
            </w:pPr>
            <w:r>
              <w:rPr>
                <w:sz w:val="18"/>
              </w:rPr>
              <w:t>16,149</w:t>
            </w:r>
          </w:p>
        </w:tc>
        <w:tc>
          <w:tcPr>
            <w:tcW w:w="1030" w:type="dxa"/>
          </w:tcPr>
          <w:p>
            <w:pPr>
              <w:pStyle w:val="TableParagraph"/>
              <w:spacing w:line="203" w:lineRule="exact"/>
              <w:ind w:left="164" w:right="164"/>
              <w:rPr>
                <w:sz w:val="18"/>
              </w:rPr>
            </w:pPr>
            <w:r>
              <w:rPr>
                <w:sz w:val="18"/>
              </w:rPr>
              <w:t>16,365</w:t>
            </w:r>
          </w:p>
        </w:tc>
        <w:tc>
          <w:tcPr>
            <w:tcW w:w="1030" w:type="dxa"/>
          </w:tcPr>
          <w:p>
            <w:pPr>
              <w:pStyle w:val="TableParagraph"/>
              <w:spacing w:line="203" w:lineRule="exact"/>
              <w:ind w:left="165" w:right="164"/>
              <w:rPr>
                <w:sz w:val="18"/>
              </w:rPr>
            </w:pPr>
            <w:r>
              <w:rPr>
                <w:sz w:val="18"/>
              </w:rPr>
              <w:t>16,362</w:t>
            </w:r>
          </w:p>
        </w:tc>
        <w:tc>
          <w:tcPr>
            <w:tcW w:w="1369" w:type="dxa"/>
          </w:tcPr>
          <w:p>
            <w:pPr>
              <w:pStyle w:val="TableParagraph"/>
              <w:spacing w:line="203" w:lineRule="exact"/>
              <w:ind w:left="113" w:right="114"/>
              <w:rPr>
                <w:sz w:val="18"/>
              </w:rPr>
            </w:pPr>
            <w:r>
              <w:rPr>
                <w:sz w:val="18"/>
              </w:rPr>
              <w:t>Rural</w:t>
            </w:r>
          </w:p>
        </w:tc>
      </w:tr>
      <w:tr>
        <w:trPr>
          <w:trHeight w:val="319" w:hRule="exact"/>
        </w:trPr>
        <w:tc>
          <w:tcPr>
            <w:tcW w:w="2501" w:type="dxa"/>
          </w:tcPr>
          <w:p>
            <w:pPr>
              <w:pStyle w:val="TableParagraph"/>
              <w:spacing w:line="199" w:lineRule="exact"/>
              <w:ind w:left="67" w:right="4"/>
              <w:jc w:val="left"/>
              <w:rPr>
                <w:b/>
                <w:sz w:val="18"/>
              </w:rPr>
            </w:pPr>
            <w:r>
              <w:rPr>
                <w:b/>
                <w:color w:val="333333"/>
                <w:sz w:val="18"/>
              </w:rPr>
              <w:t>ZUMPANGO</w:t>
            </w:r>
          </w:p>
        </w:tc>
        <w:tc>
          <w:tcPr>
            <w:tcW w:w="1039" w:type="dxa"/>
          </w:tcPr>
          <w:p>
            <w:pPr>
              <w:pStyle w:val="TableParagraph"/>
              <w:spacing w:line="203" w:lineRule="exact"/>
              <w:ind w:left="93" w:right="92"/>
              <w:rPr>
                <w:sz w:val="18"/>
              </w:rPr>
            </w:pPr>
            <w:r>
              <w:rPr>
                <w:sz w:val="18"/>
              </w:rPr>
              <w:t>127,988</w:t>
            </w:r>
          </w:p>
        </w:tc>
        <w:tc>
          <w:tcPr>
            <w:tcW w:w="1030" w:type="dxa"/>
          </w:tcPr>
          <w:p>
            <w:pPr>
              <w:pStyle w:val="TableParagraph"/>
              <w:spacing w:line="203" w:lineRule="exact"/>
              <w:ind w:left="164" w:right="164"/>
              <w:rPr>
                <w:sz w:val="18"/>
              </w:rPr>
            </w:pPr>
            <w:r>
              <w:rPr>
                <w:sz w:val="18"/>
              </w:rPr>
              <w:t>159,647</w:t>
            </w:r>
          </w:p>
        </w:tc>
        <w:tc>
          <w:tcPr>
            <w:tcW w:w="1030" w:type="dxa"/>
          </w:tcPr>
          <w:p>
            <w:pPr>
              <w:pStyle w:val="TableParagraph"/>
              <w:spacing w:line="203" w:lineRule="exact"/>
              <w:ind w:left="165" w:right="164"/>
              <w:rPr>
                <w:sz w:val="18"/>
              </w:rPr>
            </w:pPr>
            <w:r>
              <w:rPr>
                <w:sz w:val="18"/>
              </w:rPr>
              <w:t>168,087</w:t>
            </w:r>
          </w:p>
        </w:tc>
        <w:tc>
          <w:tcPr>
            <w:tcW w:w="1369" w:type="dxa"/>
          </w:tcPr>
          <w:p>
            <w:pPr>
              <w:pStyle w:val="TableParagraph"/>
              <w:spacing w:line="203" w:lineRule="exact"/>
              <w:ind w:left="114" w:right="114"/>
              <w:rPr>
                <w:sz w:val="18"/>
              </w:rPr>
            </w:pPr>
            <w:r>
              <w:rPr>
                <w:sz w:val="18"/>
              </w:rPr>
              <w:t>Urbano</w:t>
            </w:r>
          </w:p>
        </w:tc>
      </w:tr>
    </w:tbl>
    <w:p>
      <w:pPr>
        <w:spacing w:line="206" w:lineRule="exact" w:before="0"/>
        <w:ind w:left="1127" w:right="337" w:firstLine="0"/>
        <w:jc w:val="left"/>
        <w:rPr>
          <w:sz w:val="18"/>
        </w:rPr>
      </w:pPr>
      <w:r>
        <w:rPr>
          <w:sz w:val="18"/>
        </w:rPr>
        <w:t>Fuente: Elaboración propia.</w:t>
      </w:r>
    </w:p>
    <w:p>
      <w:pPr>
        <w:pStyle w:val="BodyText"/>
        <w:rPr>
          <w:sz w:val="20"/>
        </w:rPr>
      </w:pPr>
    </w:p>
    <w:p>
      <w:pPr>
        <w:pStyle w:val="BodyText"/>
        <w:rPr>
          <w:sz w:val="20"/>
        </w:rPr>
      </w:pPr>
    </w:p>
    <w:p>
      <w:pPr>
        <w:pStyle w:val="Heading1"/>
        <w:numPr>
          <w:ilvl w:val="1"/>
          <w:numId w:val="13"/>
        </w:numPr>
        <w:tabs>
          <w:tab w:pos="550" w:val="left" w:leader="none"/>
        </w:tabs>
        <w:spacing w:line="240" w:lineRule="auto" w:before="215" w:after="0"/>
        <w:ind w:left="549" w:right="0" w:hanging="437"/>
        <w:jc w:val="both"/>
      </w:pPr>
      <w:bookmarkStart w:name="_bookmark5" w:id="10"/>
      <w:bookmarkEnd w:id="10"/>
      <w:r>
        <w:rPr>
          <w:b w:val="0"/>
        </w:rPr>
      </w:r>
      <w:bookmarkStart w:name="_bookmark5" w:id="11"/>
      <w:bookmarkEnd w:id="11"/>
      <w:r>
        <w:rPr/>
        <w:t>Teorí</w:t>
      </w:r>
      <w:r>
        <w:rPr/>
        <w:t>as de la Organización como medio de análisis del Gobierno</w:t>
      </w:r>
      <w:r>
        <w:rPr>
          <w:spacing w:val="-18"/>
        </w:rPr>
        <w:t> </w:t>
      </w:r>
      <w:r>
        <w:rPr/>
        <w:t>Abierto</w:t>
      </w:r>
    </w:p>
    <w:p>
      <w:pPr>
        <w:pStyle w:val="BodyText"/>
        <w:rPr>
          <w:b/>
        </w:rPr>
      </w:pPr>
    </w:p>
    <w:p>
      <w:pPr>
        <w:pStyle w:val="BodyText"/>
        <w:rPr>
          <w:b/>
        </w:rPr>
      </w:pPr>
    </w:p>
    <w:p>
      <w:pPr>
        <w:pStyle w:val="BodyText"/>
        <w:spacing w:line="360" w:lineRule="auto" w:before="161"/>
        <w:ind w:left="122" w:right="114"/>
        <w:jc w:val="both"/>
      </w:pPr>
      <w:r>
        <w:rPr/>
        <w:t>Las Teorías de las Organización (TO) permiten establecer bases teóricas para estudiar y comprender a la organización a través del análisis de las relaciones y comportamiento de los elementos que la integran. “La teoría de la organización es una ciencia que tiene como fin obtener una explicación comprensiva de la organización  como  objeto  de  estudio”  (Ortega,  1993:9).  Dentro  de  éstas   </w:t>
      </w:r>
      <w:r>
        <w:rPr>
          <w:spacing w:val="50"/>
        </w:rPr>
        <w:t> </w:t>
      </w:r>
      <w:r>
        <w:rPr/>
        <w:t>se</w:t>
      </w:r>
    </w:p>
    <w:p>
      <w:pPr>
        <w:spacing w:after="0" w:line="360" w:lineRule="auto"/>
        <w:jc w:val="both"/>
        <w:sectPr>
          <w:pgSz w:w="12240" w:h="15840"/>
          <w:pgMar w:header="0" w:footer="975" w:top="1420" w:bottom="1160" w:left="1580" w:right="1580"/>
        </w:sectPr>
      </w:pPr>
    </w:p>
    <w:p>
      <w:pPr>
        <w:pStyle w:val="BodyText"/>
        <w:spacing w:line="360" w:lineRule="auto" w:before="54"/>
        <w:ind w:left="122" w:right="122"/>
        <w:jc w:val="both"/>
      </w:pPr>
      <w:r>
        <w:rPr/>
        <w:t>encuentran la Escuela Clásica de la Administración, la Escuela de la Relaciones Humanas,</w:t>
      </w:r>
      <w:r>
        <w:rPr>
          <w:spacing w:val="-10"/>
        </w:rPr>
        <w:t> </w:t>
      </w:r>
      <w:r>
        <w:rPr/>
        <w:t>la</w:t>
      </w:r>
      <w:r>
        <w:rPr>
          <w:spacing w:val="-10"/>
        </w:rPr>
        <w:t> </w:t>
      </w:r>
      <w:r>
        <w:rPr/>
        <w:t>burocracia,</w:t>
      </w:r>
      <w:r>
        <w:rPr>
          <w:spacing w:val="-7"/>
        </w:rPr>
        <w:t> </w:t>
      </w:r>
      <w:r>
        <w:rPr/>
        <w:t>la</w:t>
      </w:r>
      <w:r>
        <w:rPr>
          <w:spacing w:val="-10"/>
        </w:rPr>
        <w:t> </w:t>
      </w:r>
      <w:r>
        <w:rPr/>
        <w:t>teoría</w:t>
      </w:r>
      <w:r>
        <w:rPr>
          <w:spacing w:val="-9"/>
        </w:rPr>
        <w:t> </w:t>
      </w:r>
      <w:r>
        <w:rPr/>
        <w:t>de</w:t>
      </w:r>
      <w:r>
        <w:rPr>
          <w:spacing w:val="-9"/>
        </w:rPr>
        <w:t> </w:t>
      </w:r>
      <w:r>
        <w:rPr/>
        <w:t>sistemas,</w:t>
      </w:r>
      <w:r>
        <w:rPr>
          <w:spacing w:val="-7"/>
        </w:rPr>
        <w:t> </w:t>
      </w:r>
      <w:r>
        <w:rPr/>
        <w:t>el</w:t>
      </w:r>
      <w:r>
        <w:rPr>
          <w:spacing w:val="-11"/>
        </w:rPr>
        <w:t> </w:t>
      </w:r>
      <w:r>
        <w:rPr/>
        <w:t>neoinstitucionalismo,</w:t>
      </w:r>
      <w:r>
        <w:rPr>
          <w:spacing w:val="-10"/>
        </w:rPr>
        <w:t> </w:t>
      </w:r>
      <w:r>
        <w:rPr/>
        <w:t>la</w:t>
      </w:r>
      <w:r>
        <w:rPr>
          <w:spacing w:val="-10"/>
        </w:rPr>
        <w:t> </w:t>
      </w:r>
      <w:r>
        <w:rPr/>
        <w:t>sociología organizacional, entre</w:t>
      </w:r>
      <w:r>
        <w:rPr>
          <w:spacing w:val="-9"/>
        </w:rPr>
        <w:t> </w:t>
      </w:r>
      <w:r>
        <w:rPr/>
        <w:t>otras.</w:t>
      </w:r>
    </w:p>
    <w:p>
      <w:pPr>
        <w:pStyle w:val="BodyText"/>
      </w:pPr>
    </w:p>
    <w:p>
      <w:pPr>
        <w:pStyle w:val="BodyText"/>
      </w:pPr>
    </w:p>
    <w:p>
      <w:pPr>
        <w:pStyle w:val="BodyText"/>
        <w:spacing w:line="360" w:lineRule="auto" w:before="147"/>
        <w:ind w:left="122" w:right="116"/>
        <w:jc w:val="both"/>
      </w:pPr>
      <w:r>
        <w:rPr/>
        <w:t>Sin embargo, para fines de esta investigación se consideran solamente las últimas dos, ya que hablar de instituciones se ha considerado relevante porque éstas son un asunto de doble vía: los actores juegan roles, obtienen recursos, construyen vínculos de reciprocidad con otros, forman su reputación, se adhieren a papeles y los</w:t>
      </w:r>
      <w:r>
        <w:rPr>
          <w:spacing w:val="-9"/>
        </w:rPr>
        <w:t> </w:t>
      </w:r>
      <w:r>
        <w:rPr/>
        <w:t>defienden</w:t>
      </w:r>
      <w:r>
        <w:rPr>
          <w:spacing w:val="-8"/>
        </w:rPr>
        <w:t> </w:t>
      </w:r>
      <w:r>
        <w:rPr/>
        <w:t>en</w:t>
      </w:r>
      <w:r>
        <w:rPr>
          <w:spacing w:val="-8"/>
        </w:rPr>
        <w:t> </w:t>
      </w:r>
      <w:r>
        <w:rPr/>
        <w:t>la</w:t>
      </w:r>
      <w:r>
        <w:rPr>
          <w:spacing w:val="-9"/>
        </w:rPr>
        <w:t> </w:t>
      </w:r>
      <w:r>
        <w:rPr/>
        <w:t>construcción</w:t>
      </w:r>
      <w:r>
        <w:rPr>
          <w:spacing w:val="-8"/>
        </w:rPr>
        <w:t> </w:t>
      </w:r>
      <w:r>
        <w:rPr/>
        <w:t>de</w:t>
      </w:r>
      <w:r>
        <w:rPr>
          <w:spacing w:val="-11"/>
        </w:rPr>
        <w:t> </w:t>
      </w:r>
      <w:r>
        <w:rPr/>
        <w:t>espacios</w:t>
      </w:r>
      <w:r>
        <w:rPr>
          <w:spacing w:val="-11"/>
        </w:rPr>
        <w:t> </w:t>
      </w:r>
      <w:r>
        <w:rPr/>
        <w:t>de</w:t>
      </w:r>
      <w:r>
        <w:rPr>
          <w:spacing w:val="-8"/>
        </w:rPr>
        <w:t> </w:t>
      </w:r>
      <w:r>
        <w:rPr/>
        <w:t>sentido.</w:t>
      </w:r>
      <w:r>
        <w:rPr>
          <w:spacing w:val="-3"/>
        </w:rPr>
        <w:t> </w:t>
      </w:r>
      <w:r>
        <w:rPr/>
        <w:t>Sobre</w:t>
      </w:r>
      <w:r>
        <w:rPr>
          <w:spacing w:val="-9"/>
        </w:rPr>
        <w:t> </w:t>
      </w:r>
      <w:r>
        <w:rPr/>
        <w:t>la</w:t>
      </w:r>
      <w:r>
        <w:rPr>
          <w:spacing w:val="-9"/>
        </w:rPr>
        <w:t> </w:t>
      </w:r>
      <w:r>
        <w:rPr/>
        <w:t>visión</w:t>
      </w:r>
      <w:r>
        <w:rPr>
          <w:spacing w:val="-8"/>
        </w:rPr>
        <w:t> </w:t>
      </w:r>
      <w:r>
        <w:rPr/>
        <w:t>sociológica de la organización es pertinente señalar que permite descifrar cómo se construyen las</w:t>
      </w:r>
      <w:r>
        <w:rPr>
          <w:spacing w:val="-3"/>
        </w:rPr>
        <w:t> </w:t>
      </w:r>
      <w:r>
        <w:rPr/>
        <w:t>instituciones.</w:t>
      </w:r>
    </w:p>
    <w:p>
      <w:pPr>
        <w:pStyle w:val="BodyText"/>
      </w:pPr>
    </w:p>
    <w:p>
      <w:pPr>
        <w:pStyle w:val="BodyText"/>
      </w:pPr>
    </w:p>
    <w:p>
      <w:pPr>
        <w:spacing w:line="240" w:lineRule="auto" w:before="148"/>
        <w:ind w:left="1254" w:right="966" w:firstLine="0"/>
        <w:jc w:val="both"/>
        <w:rPr>
          <w:sz w:val="18"/>
        </w:rPr>
      </w:pPr>
      <w:r>
        <w:rPr>
          <w:sz w:val="18"/>
        </w:rPr>
        <w:t>El mundo interior -autoridad, estructuras, procesos, funciones, jerarquías, personal y recursos- de la Administración pública es el modo en que se organiza y funciona para dar atención y respuesta a los problemas públicos -carencias, conflictos, demandas, intereses incompetencia- que son de naturaleza no solo compleja, sino reincidente. Los problemas públicos deben ubicarse en la complejidad de la sociedad y posteriormente</w:t>
      </w:r>
      <w:r>
        <w:rPr>
          <w:spacing w:val="-7"/>
          <w:sz w:val="18"/>
        </w:rPr>
        <w:t> </w:t>
      </w:r>
      <w:r>
        <w:rPr>
          <w:sz w:val="18"/>
        </w:rPr>
        <w:t>en</w:t>
      </w:r>
      <w:r>
        <w:rPr>
          <w:spacing w:val="-7"/>
          <w:sz w:val="18"/>
        </w:rPr>
        <w:t> </w:t>
      </w:r>
      <w:r>
        <w:rPr>
          <w:sz w:val="18"/>
        </w:rPr>
        <w:t>las</w:t>
      </w:r>
      <w:r>
        <w:rPr>
          <w:spacing w:val="-9"/>
          <w:sz w:val="18"/>
        </w:rPr>
        <w:t> </w:t>
      </w:r>
      <w:r>
        <w:rPr>
          <w:sz w:val="18"/>
        </w:rPr>
        <w:t>herramientas</w:t>
      </w:r>
      <w:r>
        <w:rPr>
          <w:spacing w:val="-7"/>
          <w:sz w:val="18"/>
        </w:rPr>
        <w:t> </w:t>
      </w:r>
      <w:r>
        <w:rPr>
          <w:sz w:val="18"/>
        </w:rPr>
        <w:t>que</w:t>
      </w:r>
      <w:r>
        <w:rPr>
          <w:spacing w:val="-7"/>
          <w:sz w:val="18"/>
        </w:rPr>
        <w:t> </w:t>
      </w:r>
      <w:r>
        <w:rPr>
          <w:sz w:val="18"/>
        </w:rPr>
        <w:t>pueden</w:t>
      </w:r>
      <w:r>
        <w:rPr>
          <w:spacing w:val="-7"/>
          <w:sz w:val="18"/>
        </w:rPr>
        <w:t> </w:t>
      </w:r>
      <w:r>
        <w:rPr>
          <w:sz w:val="18"/>
        </w:rPr>
        <w:t>contribuir</w:t>
      </w:r>
      <w:r>
        <w:rPr>
          <w:spacing w:val="-10"/>
          <w:sz w:val="18"/>
        </w:rPr>
        <w:t> </w:t>
      </w:r>
      <w:r>
        <w:rPr>
          <w:sz w:val="18"/>
        </w:rPr>
        <w:t>a</w:t>
      </w:r>
      <w:r>
        <w:rPr>
          <w:spacing w:val="-10"/>
          <w:sz w:val="18"/>
        </w:rPr>
        <w:t> </w:t>
      </w:r>
      <w:r>
        <w:rPr>
          <w:sz w:val="18"/>
        </w:rPr>
        <w:t>su</w:t>
      </w:r>
      <w:r>
        <w:rPr>
          <w:spacing w:val="-7"/>
          <w:sz w:val="18"/>
        </w:rPr>
        <w:t> </w:t>
      </w:r>
      <w:r>
        <w:rPr>
          <w:sz w:val="18"/>
        </w:rPr>
        <w:t>atención</w:t>
      </w:r>
      <w:r>
        <w:rPr>
          <w:spacing w:val="-10"/>
          <w:sz w:val="18"/>
        </w:rPr>
        <w:t> </w:t>
      </w:r>
      <w:r>
        <w:rPr>
          <w:sz w:val="18"/>
        </w:rPr>
        <w:t>y</w:t>
      </w:r>
      <w:r>
        <w:rPr>
          <w:spacing w:val="-9"/>
          <w:sz w:val="18"/>
        </w:rPr>
        <w:t> </w:t>
      </w:r>
      <w:r>
        <w:rPr>
          <w:sz w:val="18"/>
        </w:rPr>
        <w:t>solución.</w:t>
      </w:r>
      <w:r>
        <w:rPr>
          <w:spacing w:val="-8"/>
          <w:sz w:val="18"/>
        </w:rPr>
        <w:t> </w:t>
      </w:r>
      <w:r>
        <w:rPr>
          <w:sz w:val="18"/>
        </w:rPr>
        <w:t>En materia de problemas públicos, toda solución es relativa y transitoria. La pretensión fallida de que se pueden formular soluciones definitivas, es la causa del optimismo decisional,</w:t>
      </w:r>
      <w:r>
        <w:rPr>
          <w:spacing w:val="-5"/>
          <w:sz w:val="18"/>
        </w:rPr>
        <w:t> </w:t>
      </w:r>
      <w:r>
        <w:rPr>
          <w:sz w:val="18"/>
        </w:rPr>
        <w:t>el</w:t>
      </w:r>
      <w:r>
        <w:rPr>
          <w:spacing w:val="-5"/>
          <w:sz w:val="18"/>
        </w:rPr>
        <w:t> </w:t>
      </w:r>
      <w:r>
        <w:rPr>
          <w:sz w:val="18"/>
        </w:rPr>
        <w:t>cual</w:t>
      </w:r>
      <w:r>
        <w:rPr>
          <w:spacing w:val="-5"/>
          <w:sz w:val="18"/>
        </w:rPr>
        <w:t> </w:t>
      </w:r>
      <w:r>
        <w:rPr>
          <w:sz w:val="18"/>
        </w:rPr>
        <w:t>valora</w:t>
      </w:r>
      <w:r>
        <w:rPr>
          <w:spacing w:val="-5"/>
          <w:sz w:val="18"/>
        </w:rPr>
        <w:t> </w:t>
      </w:r>
      <w:r>
        <w:rPr>
          <w:sz w:val="18"/>
        </w:rPr>
        <w:t>que</w:t>
      </w:r>
      <w:r>
        <w:rPr>
          <w:spacing w:val="-5"/>
          <w:sz w:val="18"/>
        </w:rPr>
        <w:t> </w:t>
      </w:r>
      <w:r>
        <w:rPr>
          <w:sz w:val="18"/>
        </w:rPr>
        <w:t>las</w:t>
      </w:r>
      <w:r>
        <w:rPr>
          <w:spacing w:val="-4"/>
          <w:sz w:val="18"/>
        </w:rPr>
        <w:t> </w:t>
      </w:r>
      <w:r>
        <w:rPr>
          <w:sz w:val="18"/>
        </w:rPr>
        <w:t>propias</w:t>
      </w:r>
      <w:r>
        <w:rPr>
          <w:spacing w:val="-4"/>
          <w:sz w:val="18"/>
        </w:rPr>
        <w:t> </w:t>
      </w:r>
      <w:r>
        <w:rPr>
          <w:sz w:val="18"/>
        </w:rPr>
        <w:t>soluciones</w:t>
      </w:r>
      <w:r>
        <w:rPr>
          <w:spacing w:val="-7"/>
          <w:sz w:val="18"/>
        </w:rPr>
        <w:t> </w:t>
      </w:r>
      <w:r>
        <w:rPr>
          <w:sz w:val="18"/>
        </w:rPr>
        <w:t>son</w:t>
      </w:r>
      <w:r>
        <w:rPr>
          <w:spacing w:val="-5"/>
          <w:sz w:val="18"/>
        </w:rPr>
        <w:t> </w:t>
      </w:r>
      <w:r>
        <w:rPr>
          <w:sz w:val="18"/>
        </w:rPr>
        <w:t>de</w:t>
      </w:r>
      <w:r>
        <w:rPr>
          <w:spacing w:val="-5"/>
          <w:sz w:val="18"/>
        </w:rPr>
        <w:t> </w:t>
      </w:r>
      <w:r>
        <w:rPr>
          <w:sz w:val="18"/>
        </w:rPr>
        <w:t>carácter</w:t>
      </w:r>
      <w:r>
        <w:rPr>
          <w:spacing w:val="-5"/>
          <w:sz w:val="18"/>
        </w:rPr>
        <w:t> </w:t>
      </w:r>
      <w:r>
        <w:rPr>
          <w:sz w:val="18"/>
        </w:rPr>
        <w:t>científico,</w:t>
      </w:r>
      <w:r>
        <w:rPr>
          <w:spacing w:val="-5"/>
          <w:sz w:val="18"/>
        </w:rPr>
        <w:t> </w:t>
      </w:r>
      <w:r>
        <w:rPr>
          <w:sz w:val="18"/>
        </w:rPr>
        <w:t>cuando en realidad toda decisión tiene contenido institucional, político y tecnológico porque forma</w:t>
      </w:r>
      <w:r>
        <w:rPr>
          <w:spacing w:val="-9"/>
          <w:sz w:val="18"/>
        </w:rPr>
        <w:t> </w:t>
      </w:r>
      <w:r>
        <w:rPr>
          <w:sz w:val="18"/>
        </w:rPr>
        <w:t>parte</w:t>
      </w:r>
      <w:r>
        <w:rPr>
          <w:spacing w:val="-7"/>
          <w:sz w:val="18"/>
        </w:rPr>
        <w:t> </w:t>
      </w:r>
      <w:r>
        <w:rPr>
          <w:sz w:val="18"/>
        </w:rPr>
        <w:t>de</w:t>
      </w:r>
      <w:r>
        <w:rPr>
          <w:spacing w:val="-9"/>
          <w:sz w:val="18"/>
        </w:rPr>
        <w:t> </w:t>
      </w:r>
      <w:r>
        <w:rPr>
          <w:sz w:val="18"/>
        </w:rPr>
        <w:t>las</w:t>
      </w:r>
      <w:r>
        <w:rPr>
          <w:spacing w:val="-7"/>
          <w:sz w:val="18"/>
        </w:rPr>
        <w:t> </w:t>
      </w:r>
      <w:r>
        <w:rPr>
          <w:sz w:val="18"/>
        </w:rPr>
        <w:t>relaciones</w:t>
      </w:r>
      <w:r>
        <w:rPr>
          <w:spacing w:val="-8"/>
          <w:sz w:val="18"/>
        </w:rPr>
        <w:t> </w:t>
      </w:r>
      <w:r>
        <w:rPr>
          <w:sz w:val="18"/>
        </w:rPr>
        <w:t>del</w:t>
      </w:r>
      <w:r>
        <w:rPr>
          <w:spacing w:val="-7"/>
          <w:sz w:val="18"/>
        </w:rPr>
        <w:t> </w:t>
      </w:r>
      <w:r>
        <w:rPr>
          <w:sz w:val="18"/>
        </w:rPr>
        <w:t>poder.</w:t>
      </w:r>
      <w:r>
        <w:rPr>
          <w:spacing w:val="-7"/>
          <w:sz w:val="18"/>
        </w:rPr>
        <w:t> </w:t>
      </w:r>
      <w:r>
        <w:rPr>
          <w:sz w:val="18"/>
        </w:rPr>
        <w:t>En</w:t>
      </w:r>
      <w:r>
        <w:rPr>
          <w:spacing w:val="-7"/>
          <w:sz w:val="18"/>
        </w:rPr>
        <w:t> </w:t>
      </w:r>
      <w:r>
        <w:rPr>
          <w:sz w:val="18"/>
        </w:rPr>
        <w:t>todo</w:t>
      </w:r>
      <w:r>
        <w:rPr>
          <w:spacing w:val="-9"/>
          <w:sz w:val="18"/>
        </w:rPr>
        <w:t> </w:t>
      </w:r>
      <w:r>
        <w:rPr>
          <w:sz w:val="18"/>
        </w:rPr>
        <w:t>caso,</w:t>
      </w:r>
      <w:r>
        <w:rPr>
          <w:spacing w:val="-9"/>
          <w:sz w:val="18"/>
        </w:rPr>
        <w:t> </w:t>
      </w:r>
      <w:r>
        <w:rPr>
          <w:sz w:val="18"/>
        </w:rPr>
        <w:t>las</w:t>
      </w:r>
      <w:r>
        <w:rPr>
          <w:spacing w:val="-8"/>
          <w:sz w:val="18"/>
        </w:rPr>
        <w:t> </w:t>
      </w:r>
      <w:r>
        <w:rPr>
          <w:sz w:val="18"/>
        </w:rPr>
        <w:t>soluciones</w:t>
      </w:r>
      <w:r>
        <w:rPr>
          <w:spacing w:val="-8"/>
          <w:sz w:val="18"/>
        </w:rPr>
        <w:t> </w:t>
      </w:r>
      <w:r>
        <w:rPr>
          <w:sz w:val="18"/>
        </w:rPr>
        <w:t>de</w:t>
      </w:r>
      <w:r>
        <w:rPr>
          <w:spacing w:val="-9"/>
          <w:sz w:val="18"/>
        </w:rPr>
        <w:t> </w:t>
      </w:r>
      <w:r>
        <w:rPr>
          <w:sz w:val="18"/>
        </w:rPr>
        <w:t>los</w:t>
      </w:r>
      <w:r>
        <w:rPr>
          <w:spacing w:val="-7"/>
          <w:sz w:val="18"/>
        </w:rPr>
        <w:t> </w:t>
      </w:r>
      <w:r>
        <w:rPr>
          <w:sz w:val="18"/>
        </w:rPr>
        <w:t>problemas públicos</w:t>
      </w:r>
      <w:r>
        <w:rPr>
          <w:spacing w:val="-11"/>
          <w:sz w:val="18"/>
        </w:rPr>
        <w:t> </w:t>
      </w:r>
      <w:r>
        <w:rPr>
          <w:sz w:val="18"/>
        </w:rPr>
        <w:t>son</w:t>
      </w:r>
      <w:r>
        <w:rPr>
          <w:spacing w:val="-11"/>
          <w:sz w:val="18"/>
        </w:rPr>
        <w:t> </w:t>
      </w:r>
      <w:r>
        <w:rPr>
          <w:sz w:val="18"/>
        </w:rPr>
        <w:t>un</w:t>
      </w:r>
      <w:r>
        <w:rPr>
          <w:spacing w:val="-11"/>
          <w:sz w:val="18"/>
        </w:rPr>
        <w:t> </w:t>
      </w:r>
      <w:r>
        <w:rPr>
          <w:sz w:val="18"/>
        </w:rPr>
        <w:t>conjunto</w:t>
      </w:r>
      <w:r>
        <w:rPr>
          <w:spacing w:val="-11"/>
          <w:sz w:val="18"/>
        </w:rPr>
        <w:t> </w:t>
      </w:r>
      <w:r>
        <w:rPr>
          <w:sz w:val="18"/>
        </w:rPr>
        <w:t>de</w:t>
      </w:r>
      <w:r>
        <w:rPr>
          <w:spacing w:val="-11"/>
          <w:sz w:val="18"/>
        </w:rPr>
        <w:t> </w:t>
      </w:r>
      <w:r>
        <w:rPr>
          <w:sz w:val="18"/>
        </w:rPr>
        <w:t>aproximaciones</w:t>
      </w:r>
      <w:r>
        <w:rPr>
          <w:spacing w:val="-11"/>
          <w:sz w:val="18"/>
        </w:rPr>
        <w:t> </w:t>
      </w:r>
      <w:r>
        <w:rPr>
          <w:sz w:val="18"/>
        </w:rPr>
        <w:t>porque</w:t>
      </w:r>
      <w:r>
        <w:rPr>
          <w:spacing w:val="-11"/>
          <w:sz w:val="18"/>
        </w:rPr>
        <w:t> </w:t>
      </w:r>
      <w:r>
        <w:rPr>
          <w:sz w:val="18"/>
        </w:rPr>
        <w:t>su</w:t>
      </w:r>
      <w:r>
        <w:rPr>
          <w:spacing w:val="-11"/>
          <w:sz w:val="18"/>
        </w:rPr>
        <w:t> </w:t>
      </w:r>
      <w:r>
        <w:rPr>
          <w:sz w:val="18"/>
        </w:rPr>
        <w:t>estado</w:t>
      </w:r>
      <w:r>
        <w:rPr>
          <w:spacing w:val="-9"/>
          <w:sz w:val="18"/>
        </w:rPr>
        <w:t> </w:t>
      </w:r>
      <w:r>
        <w:rPr>
          <w:sz w:val="18"/>
        </w:rPr>
        <w:t>normal</w:t>
      </w:r>
      <w:r>
        <w:rPr>
          <w:spacing w:val="-11"/>
          <w:sz w:val="18"/>
        </w:rPr>
        <w:t> </w:t>
      </w:r>
      <w:r>
        <w:rPr>
          <w:sz w:val="18"/>
        </w:rPr>
        <w:t>no</w:t>
      </w:r>
      <w:r>
        <w:rPr>
          <w:spacing w:val="-11"/>
          <w:sz w:val="18"/>
        </w:rPr>
        <w:t> </w:t>
      </w:r>
      <w:r>
        <w:rPr>
          <w:sz w:val="18"/>
        </w:rPr>
        <w:t>es</w:t>
      </w:r>
      <w:r>
        <w:rPr>
          <w:spacing w:val="-9"/>
          <w:sz w:val="18"/>
        </w:rPr>
        <w:t> </w:t>
      </w:r>
      <w:r>
        <w:rPr>
          <w:sz w:val="18"/>
        </w:rPr>
        <w:t>la</w:t>
      </w:r>
      <w:r>
        <w:rPr>
          <w:spacing w:val="-9"/>
          <w:sz w:val="18"/>
        </w:rPr>
        <w:t> </w:t>
      </w:r>
      <w:r>
        <w:rPr>
          <w:sz w:val="18"/>
        </w:rPr>
        <w:t>quietud, sino el movimiento, lo cual implica que hay realidades y tiempos para categorizarlos en</w:t>
      </w:r>
      <w:r>
        <w:rPr>
          <w:spacing w:val="-4"/>
          <w:sz w:val="18"/>
        </w:rPr>
        <w:t> </w:t>
      </w:r>
      <w:r>
        <w:rPr>
          <w:sz w:val="18"/>
        </w:rPr>
        <w:t>razón</w:t>
      </w:r>
      <w:r>
        <w:rPr>
          <w:spacing w:val="-6"/>
          <w:sz w:val="18"/>
        </w:rPr>
        <w:t> </w:t>
      </w:r>
      <w:r>
        <w:rPr>
          <w:sz w:val="18"/>
        </w:rPr>
        <w:t>de</w:t>
      </w:r>
      <w:r>
        <w:rPr>
          <w:spacing w:val="-6"/>
          <w:sz w:val="18"/>
        </w:rPr>
        <w:t> </w:t>
      </w:r>
      <w:r>
        <w:rPr>
          <w:sz w:val="18"/>
        </w:rPr>
        <w:t>su</w:t>
      </w:r>
      <w:r>
        <w:rPr>
          <w:spacing w:val="-4"/>
          <w:sz w:val="18"/>
        </w:rPr>
        <w:t> </w:t>
      </w:r>
      <w:r>
        <w:rPr>
          <w:sz w:val="18"/>
        </w:rPr>
        <w:t>comportamiento</w:t>
      </w:r>
      <w:r>
        <w:rPr>
          <w:spacing w:val="-4"/>
          <w:sz w:val="18"/>
        </w:rPr>
        <w:t> </w:t>
      </w:r>
      <w:r>
        <w:rPr>
          <w:sz w:val="18"/>
        </w:rPr>
        <w:t>heterogéneo.</w:t>
      </w:r>
      <w:r>
        <w:rPr>
          <w:spacing w:val="-6"/>
          <w:sz w:val="18"/>
        </w:rPr>
        <w:t> </w:t>
      </w:r>
      <w:r>
        <w:rPr>
          <w:sz w:val="18"/>
        </w:rPr>
        <w:t>De</w:t>
      </w:r>
      <w:r>
        <w:rPr>
          <w:spacing w:val="-4"/>
          <w:sz w:val="18"/>
        </w:rPr>
        <w:t> </w:t>
      </w:r>
      <w:r>
        <w:rPr>
          <w:sz w:val="18"/>
        </w:rPr>
        <w:t>este</w:t>
      </w:r>
      <w:r>
        <w:rPr>
          <w:spacing w:val="-6"/>
          <w:sz w:val="18"/>
        </w:rPr>
        <w:t> </w:t>
      </w:r>
      <w:r>
        <w:rPr>
          <w:sz w:val="18"/>
        </w:rPr>
        <w:t>modo,</w:t>
      </w:r>
      <w:r>
        <w:rPr>
          <w:spacing w:val="-6"/>
          <w:sz w:val="18"/>
        </w:rPr>
        <w:t> </w:t>
      </w:r>
      <w:r>
        <w:rPr>
          <w:sz w:val="18"/>
        </w:rPr>
        <w:t>pueden</w:t>
      </w:r>
      <w:r>
        <w:rPr>
          <w:spacing w:val="-6"/>
          <w:sz w:val="18"/>
        </w:rPr>
        <w:t> </w:t>
      </w:r>
      <w:r>
        <w:rPr>
          <w:sz w:val="18"/>
        </w:rPr>
        <w:t>ser</w:t>
      </w:r>
      <w:r>
        <w:rPr>
          <w:spacing w:val="-4"/>
          <w:sz w:val="18"/>
        </w:rPr>
        <w:t> </w:t>
      </w:r>
      <w:r>
        <w:rPr>
          <w:sz w:val="18"/>
        </w:rPr>
        <w:t>objeto</w:t>
      </w:r>
      <w:r>
        <w:rPr>
          <w:spacing w:val="-4"/>
          <w:sz w:val="18"/>
        </w:rPr>
        <w:t> </w:t>
      </w:r>
      <w:r>
        <w:rPr>
          <w:sz w:val="18"/>
        </w:rPr>
        <w:t>de</w:t>
      </w:r>
      <w:r>
        <w:rPr>
          <w:spacing w:val="-6"/>
          <w:sz w:val="18"/>
        </w:rPr>
        <w:t> </w:t>
      </w:r>
      <w:r>
        <w:rPr>
          <w:sz w:val="18"/>
        </w:rPr>
        <w:t>las decisiones públicas y de los procesos de implementación que se adoptan para convertirlos</w:t>
      </w:r>
      <w:r>
        <w:rPr>
          <w:spacing w:val="-9"/>
          <w:sz w:val="18"/>
        </w:rPr>
        <w:t> </w:t>
      </w:r>
      <w:r>
        <w:rPr>
          <w:sz w:val="18"/>
        </w:rPr>
        <w:t>en</w:t>
      </w:r>
      <w:r>
        <w:rPr>
          <w:spacing w:val="-10"/>
          <w:sz w:val="18"/>
        </w:rPr>
        <w:t> </w:t>
      </w:r>
      <w:r>
        <w:rPr>
          <w:sz w:val="18"/>
        </w:rPr>
        <w:t>áreas</w:t>
      </w:r>
      <w:r>
        <w:rPr>
          <w:spacing w:val="-12"/>
          <w:sz w:val="18"/>
        </w:rPr>
        <w:t> </w:t>
      </w:r>
      <w:r>
        <w:rPr>
          <w:sz w:val="18"/>
        </w:rPr>
        <w:t>de</w:t>
      </w:r>
      <w:r>
        <w:rPr>
          <w:spacing w:val="-10"/>
          <w:sz w:val="18"/>
        </w:rPr>
        <w:t> </w:t>
      </w:r>
      <w:r>
        <w:rPr>
          <w:sz w:val="18"/>
        </w:rPr>
        <w:t>oportunidad,</w:t>
      </w:r>
      <w:r>
        <w:rPr>
          <w:spacing w:val="-10"/>
          <w:sz w:val="18"/>
        </w:rPr>
        <w:t> </w:t>
      </w:r>
      <w:r>
        <w:rPr>
          <w:sz w:val="18"/>
        </w:rPr>
        <w:t>es</w:t>
      </w:r>
      <w:r>
        <w:rPr>
          <w:spacing w:val="-12"/>
          <w:sz w:val="18"/>
        </w:rPr>
        <w:t> </w:t>
      </w:r>
      <w:r>
        <w:rPr>
          <w:sz w:val="18"/>
        </w:rPr>
        <w:t>decir,</w:t>
      </w:r>
      <w:r>
        <w:rPr>
          <w:spacing w:val="-8"/>
          <w:sz w:val="18"/>
        </w:rPr>
        <w:t> </w:t>
      </w:r>
      <w:r>
        <w:rPr>
          <w:sz w:val="18"/>
        </w:rPr>
        <w:t>de</w:t>
      </w:r>
      <w:r>
        <w:rPr>
          <w:spacing w:val="-12"/>
          <w:sz w:val="18"/>
        </w:rPr>
        <w:t> </w:t>
      </w:r>
      <w:r>
        <w:rPr>
          <w:sz w:val="18"/>
        </w:rPr>
        <w:t>mejores</w:t>
      </w:r>
      <w:r>
        <w:rPr>
          <w:spacing w:val="-9"/>
          <w:sz w:val="18"/>
        </w:rPr>
        <w:t> </w:t>
      </w:r>
      <w:r>
        <w:rPr>
          <w:sz w:val="18"/>
        </w:rPr>
        <w:t>condiciones</w:t>
      </w:r>
      <w:r>
        <w:rPr>
          <w:spacing w:val="-9"/>
          <w:sz w:val="18"/>
        </w:rPr>
        <w:t> </w:t>
      </w:r>
      <w:r>
        <w:rPr>
          <w:sz w:val="18"/>
        </w:rPr>
        <w:t>de</w:t>
      </w:r>
      <w:r>
        <w:rPr>
          <w:spacing w:val="-10"/>
          <w:sz w:val="18"/>
        </w:rPr>
        <w:t> </w:t>
      </w:r>
      <w:r>
        <w:rPr>
          <w:sz w:val="18"/>
        </w:rPr>
        <w:t>vida</w:t>
      </w:r>
      <w:r>
        <w:rPr>
          <w:spacing w:val="-7"/>
          <w:sz w:val="18"/>
        </w:rPr>
        <w:t> </w:t>
      </w:r>
      <w:r>
        <w:rPr>
          <w:sz w:val="18"/>
        </w:rPr>
        <w:t>(Uvalle, 2007:19).</w:t>
      </w:r>
    </w:p>
    <w:p>
      <w:pPr>
        <w:pStyle w:val="BodyText"/>
        <w:rPr>
          <w:sz w:val="18"/>
        </w:rPr>
      </w:pPr>
    </w:p>
    <w:p>
      <w:pPr>
        <w:pStyle w:val="BodyText"/>
        <w:rPr>
          <w:sz w:val="18"/>
        </w:rPr>
      </w:pPr>
    </w:p>
    <w:p>
      <w:pPr>
        <w:pStyle w:val="BodyText"/>
        <w:rPr>
          <w:sz w:val="18"/>
        </w:rPr>
      </w:pPr>
    </w:p>
    <w:p>
      <w:pPr>
        <w:pStyle w:val="Heading1"/>
        <w:numPr>
          <w:ilvl w:val="2"/>
          <w:numId w:val="13"/>
        </w:numPr>
        <w:tabs>
          <w:tab w:pos="830" w:val="left" w:leader="none"/>
        </w:tabs>
        <w:spacing w:line="240" w:lineRule="auto" w:before="116" w:after="0"/>
        <w:ind w:left="830" w:right="0" w:hanging="720"/>
        <w:jc w:val="both"/>
      </w:pPr>
      <w:r>
        <w:rPr/>
        <w:t>El</w:t>
      </w:r>
      <w:r>
        <w:rPr>
          <w:spacing w:val="-4"/>
        </w:rPr>
        <w:t> </w:t>
      </w:r>
      <w:r>
        <w:rPr/>
        <w:t>Neoinstitucionalismo.</w:t>
      </w:r>
    </w:p>
    <w:p>
      <w:pPr>
        <w:pStyle w:val="BodyText"/>
        <w:rPr>
          <w:b/>
        </w:rPr>
      </w:pPr>
    </w:p>
    <w:p>
      <w:pPr>
        <w:pStyle w:val="BodyText"/>
        <w:spacing w:before="9"/>
        <w:rPr>
          <w:b/>
          <w:sz w:val="23"/>
        </w:rPr>
      </w:pPr>
    </w:p>
    <w:p>
      <w:pPr>
        <w:pStyle w:val="BodyText"/>
        <w:spacing w:line="360" w:lineRule="auto"/>
        <w:ind w:left="122" w:right="118"/>
        <w:jc w:val="both"/>
      </w:pPr>
      <w:r>
        <w:rPr/>
        <w:t>La</w:t>
      </w:r>
      <w:r>
        <w:rPr>
          <w:spacing w:val="-5"/>
        </w:rPr>
        <w:t> </w:t>
      </w:r>
      <w:r>
        <w:rPr/>
        <w:t>institución</w:t>
      </w:r>
      <w:r>
        <w:rPr>
          <w:spacing w:val="-7"/>
        </w:rPr>
        <w:t> </w:t>
      </w:r>
      <w:r>
        <w:rPr/>
        <w:t>entendida</w:t>
      </w:r>
      <w:r>
        <w:rPr>
          <w:spacing w:val="-5"/>
        </w:rPr>
        <w:t> </w:t>
      </w:r>
      <w:r>
        <w:rPr/>
        <w:t>como</w:t>
      </w:r>
      <w:r>
        <w:rPr>
          <w:spacing w:val="-7"/>
        </w:rPr>
        <w:t> </w:t>
      </w:r>
      <w:r>
        <w:rPr/>
        <w:t>el</w:t>
      </w:r>
      <w:r>
        <w:rPr>
          <w:spacing w:val="-6"/>
        </w:rPr>
        <w:t> </w:t>
      </w:r>
      <w:r>
        <w:rPr/>
        <w:t>conjunto</w:t>
      </w:r>
      <w:r>
        <w:rPr>
          <w:spacing w:val="-6"/>
        </w:rPr>
        <w:t> </w:t>
      </w:r>
      <w:r>
        <w:rPr/>
        <w:t>de</w:t>
      </w:r>
      <w:r>
        <w:rPr>
          <w:spacing w:val="-9"/>
        </w:rPr>
        <w:t> </w:t>
      </w:r>
      <w:r>
        <w:rPr/>
        <w:t>normas,</w:t>
      </w:r>
      <w:r>
        <w:rPr>
          <w:spacing w:val="-5"/>
        </w:rPr>
        <w:t> </w:t>
      </w:r>
      <w:r>
        <w:rPr/>
        <w:t>reglamentaciones,</w:t>
      </w:r>
      <w:r>
        <w:rPr>
          <w:spacing w:val="-5"/>
        </w:rPr>
        <w:t> </w:t>
      </w:r>
      <w:r>
        <w:rPr/>
        <w:t>supuestos y sobre todo rutinas (March y Olsen, 1997) cobra importancia debido a que independientemente de que la estructura de toda organización sea formal o informal, la institución trasciende al individuo (Peters, 2003). Asimismo, éstas se manifiestan por conflictos de interés, cotos de poder que limitan a los actores políticos con incentivos y restricciones (Steinmo, 2001), por tal motivo cumplen</w:t>
      </w:r>
      <w:r>
        <w:rPr>
          <w:spacing w:val="-47"/>
        </w:rPr>
        <w:t> </w:t>
      </w:r>
      <w:r>
        <w:rPr/>
        <w:t>una</w:t>
      </w:r>
    </w:p>
    <w:p>
      <w:pPr>
        <w:spacing w:after="0" w:line="360" w:lineRule="auto"/>
        <w:jc w:val="both"/>
        <w:sectPr>
          <w:pgSz w:w="12240" w:h="15840"/>
          <w:pgMar w:header="0" w:footer="975" w:top="1360" w:bottom="1220" w:left="1580" w:right="1580"/>
        </w:sectPr>
      </w:pPr>
    </w:p>
    <w:p>
      <w:pPr>
        <w:pStyle w:val="BodyText"/>
        <w:spacing w:line="360" w:lineRule="auto" w:before="54"/>
        <w:ind w:left="102" w:right="100"/>
        <w:jc w:val="both"/>
      </w:pPr>
      <w:r>
        <w:rPr/>
        <w:t>función</w:t>
      </w:r>
      <w:r>
        <w:rPr>
          <w:spacing w:val="-6"/>
        </w:rPr>
        <w:t> </w:t>
      </w:r>
      <w:r>
        <w:rPr/>
        <w:t>crucial</w:t>
      </w:r>
      <w:r>
        <w:rPr>
          <w:spacing w:val="-7"/>
        </w:rPr>
        <w:t> </w:t>
      </w:r>
      <w:r>
        <w:rPr/>
        <w:t>en</w:t>
      </w:r>
      <w:r>
        <w:rPr>
          <w:spacing w:val="-6"/>
        </w:rPr>
        <w:t> </w:t>
      </w:r>
      <w:r>
        <w:rPr/>
        <w:t>la</w:t>
      </w:r>
      <w:r>
        <w:rPr>
          <w:spacing w:val="-6"/>
        </w:rPr>
        <w:t> </w:t>
      </w:r>
      <w:r>
        <w:rPr/>
        <w:t>dinámica</w:t>
      </w:r>
      <w:r>
        <w:rPr>
          <w:spacing w:val="-6"/>
        </w:rPr>
        <w:t> </w:t>
      </w:r>
      <w:r>
        <w:rPr/>
        <w:t>del</w:t>
      </w:r>
      <w:r>
        <w:rPr>
          <w:spacing w:val="-7"/>
        </w:rPr>
        <w:t> </w:t>
      </w:r>
      <w:r>
        <w:rPr/>
        <w:t>sistema,</w:t>
      </w:r>
      <w:r>
        <w:rPr>
          <w:spacing w:val="-6"/>
        </w:rPr>
        <w:t> </w:t>
      </w:r>
      <w:r>
        <w:rPr/>
        <w:t>ya</w:t>
      </w:r>
      <w:r>
        <w:rPr>
          <w:spacing w:val="-8"/>
        </w:rPr>
        <w:t> </w:t>
      </w:r>
      <w:r>
        <w:rPr/>
        <w:t>que</w:t>
      </w:r>
      <w:r>
        <w:rPr>
          <w:spacing w:val="-6"/>
        </w:rPr>
        <w:t> </w:t>
      </w:r>
      <w:r>
        <w:rPr/>
        <w:t>al</w:t>
      </w:r>
      <w:r>
        <w:rPr>
          <w:spacing w:val="-7"/>
        </w:rPr>
        <w:t> </w:t>
      </w:r>
      <w:r>
        <w:rPr/>
        <w:t>influir</w:t>
      </w:r>
      <w:r>
        <w:rPr>
          <w:spacing w:val="-7"/>
        </w:rPr>
        <w:t> </w:t>
      </w:r>
      <w:r>
        <w:rPr/>
        <w:t>positiva</w:t>
      </w:r>
      <w:r>
        <w:rPr>
          <w:spacing w:val="-6"/>
        </w:rPr>
        <w:t> </w:t>
      </w:r>
      <w:r>
        <w:rPr/>
        <w:t>o</w:t>
      </w:r>
      <w:r>
        <w:rPr>
          <w:spacing w:val="-6"/>
        </w:rPr>
        <w:t> </w:t>
      </w:r>
      <w:r>
        <w:rPr/>
        <w:t>negativamente en</w:t>
      </w:r>
      <w:r>
        <w:rPr>
          <w:spacing w:val="-19"/>
        </w:rPr>
        <w:t> </w:t>
      </w:r>
      <w:r>
        <w:rPr/>
        <w:t>el</w:t>
      </w:r>
      <w:r>
        <w:rPr>
          <w:spacing w:val="-18"/>
        </w:rPr>
        <w:t> </w:t>
      </w:r>
      <w:r>
        <w:rPr/>
        <w:t>desempeño</w:t>
      </w:r>
      <w:r>
        <w:rPr>
          <w:spacing w:val="-19"/>
        </w:rPr>
        <w:t> </w:t>
      </w:r>
      <w:r>
        <w:rPr/>
        <w:t>individual</w:t>
      </w:r>
      <w:r>
        <w:rPr>
          <w:spacing w:val="-20"/>
        </w:rPr>
        <w:t> </w:t>
      </w:r>
      <w:r>
        <w:rPr/>
        <w:t>afectan</w:t>
      </w:r>
      <w:r>
        <w:rPr>
          <w:spacing w:val="-19"/>
        </w:rPr>
        <w:t> </w:t>
      </w:r>
      <w:r>
        <w:rPr/>
        <w:t>de</w:t>
      </w:r>
      <w:r>
        <w:rPr>
          <w:spacing w:val="-19"/>
        </w:rPr>
        <w:t> </w:t>
      </w:r>
      <w:r>
        <w:rPr/>
        <w:t>manera</w:t>
      </w:r>
      <w:r>
        <w:rPr>
          <w:spacing w:val="-17"/>
        </w:rPr>
        <w:t> </w:t>
      </w:r>
      <w:r>
        <w:rPr/>
        <w:t>global</w:t>
      </w:r>
      <w:r>
        <w:rPr>
          <w:spacing w:val="-20"/>
        </w:rPr>
        <w:t> </w:t>
      </w:r>
      <w:r>
        <w:rPr/>
        <w:t>al</w:t>
      </w:r>
      <w:r>
        <w:rPr>
          <w:spacing w:val="-18"/>
        </w:rPr>
        <w:t> </w:t>
      </w:r>
      <w:r>
        <w:rPr/>
        <w:t>sistema</w:t>
      </w:r>
      <w:r>
        <w:rPr>
          <w:spacing w:val="-17"/>
        </w:rPr>
        <w:t> </w:t>
      </w:r>
      <w:r>
        <w:rPr/>
        <w:t>(Powell</w:t>
      </w:r>
      <w:r>
        <w:rPr>
          <w:spacing w:val="-16"/>
        </w:rPr>
        <w:t> </w:t>
      </w:r>
      <w:r>
        <w:rPr/>
        <w:t>y</w:t>
      </w:r>
      <w:r>
        <w:rPr>
          <w:spacing w:val="-20"/>
        </w:rPr>
        <w:t> </w:t>
      </w:r>
      <w:r>
        <w:rPr/>
        <w:t>Dimaggio, 1999).</w:t>
      </w:r>
    </w:p>
    <w:p>
      <w:pPr>
        <w:pStyle w:val="BodyText"/>
      </w:pPr>
    </w:p>
    <w:p>
      <w:pPr>
        <w:pStyle w:val="BodyText"/>
        <w:spacing w:before="3"/>
        <w:rPr>
          <w:sz w:val="26"/>
        </w:rPr>
      </w:pPr>
    </w:p>
    <w:p>
      <w:pPr>
        <w:pStyle w:val="BodyText"/>
        <w:spacing w:line="360" w:lineRule="auto" w:before="1"/>
        <w:ind w:left="102" w:right="100"/>
        <w:jc w:val="both"/>
      </w:pPr>
      <w:r>
        <w:rPr/>
        <w:t>Con</w:t>
      </w:r>
      <w:r>
        <w:rPr>
          <w:spacing w:val="-7"/>
        </w:rPr>
        <w:t> </w:t>
      </w:r>
      <w:r>
        <w:rPr/>
        <w:t>la</w:t>
      </w:r>
      <w:r>
        <w:rPr>
          <w:spacing w:val="-8"/>
        </w:rPr>
        <w:t> </w:t>
      </w:r>
      <w:r>
        <w:rPr/>
        <w:t>creación</w:t>
      </w:r>
      <w:r>
        <w:rPr>
          <w:spacing w:val="-9"/>
        </w:rPr>
        <w:t> </w:t>
      </w:r>
      <w:r>
        <w:rPr/>
        <w:t>de</w:t>
      </w:r>
      <w:r>
        <w:rPr>
          <w:spacing w:val="-7"/>
        </w:rPr>
        <w:t> </w:t>
      </w:r>
      <w:r>
        <w:rPr/>
        <w:t>instituciones</w:t>
      </w:r>
      <w:r>
        <w:rPr>
          <w:spacing w:val="-8"/>
        </w:rPr>
        <w:t> </w:t>
      </w:r>
      <w:r>
        <w:rPr/>
        <w:t>se</w:t>
      </w:r>
      <w:r>
        <w:rPr>
          <w:spacing w:val="-10"/>
        </w:rPr>
        <w:t> </w:t>
      </w:r>
      <w:r>
        <w:rPr/>
        <w:t>puede</w:t>
      </w:r>
      <w:r>
        <w:rPr>
          <w:spacing w:val="-7"/>
        </w:rPr>
        <w:t> </w:t>
      </w:r>
      <w:r>
        <w:rPr/>
        <w:t>apreciar</w:t>
      </w:r>
      <w:r>
        <w:rPr>
          <w:spacing w:val="-9"/>
        </w:rPr>
        <w:t> </w:t>
      </w:r>
      <w:r>
        <w:rPr/>
        <w:t>que</w:t>
      </w:r>
      <w:r>
        <w:rPr>
          <w:spacing w:val="-7"/>
        </w:rPr>
        <w:t> </w:t>
      </w:r>
      <w:r>
        <w:rPr/>
        <w:t>la</w:t>
      </w:r>
      <w:r>
        <w:rPr>
          <w:spacing w:val="-8"/>
        </w:rPr>
        <w:t> </w:t>
      </w:r>
      <w:r>
        <w:rPr/>
        <w:t>única</w:t>
      </w:r>
      <w:r>
        <w:rPr>
          <w:spacing w:val="-8"/>
        </w:rPr>
        <w:t> </w:t>
      </w:r>
      <w:r>
        <w:rPr/>
        <w:t>manera</w:t>
      </w:r>
      <w:r>
        <w:rPr>
          <w:spacing w:val="-8"/>
        </w:rPr>
        <w:t> </w:t>
      </w:r>
      <w:r>
        <w:rPr/>
        <w:t>de</w:t>
      </w:r>
      <w:r>
        <w:rPr>
          <w:spacing w:val="-7"/>
        </w:rPr>
        <w:t> </w:t>
      </w:r>
      <w:r>
        <w:rPr/>
        <w:t>influir</w:t>
      </w:r>
      <w:r>
        <w:rPr>
          <w:spacing w:val="-11"/>
        </w:rPr>
        <w:t> </w:t>
      </w:r>
      <w:r>
        <w:rPr/>
        <w:t>en la estructura es ser el líder la organización (Michels, 1992). Con respecto a las instituciones de transparencia se vive un escenario de temor por el uso que se le vaya a dar a la información. No solo de efectos partidistas sino de seguridad de los mismos funcionarios. Es por ello que la no participación de la sociedad favorece la opacidad del gobierno (Barrera, 2010). En este contexto tiene pertinencia la reflexión</w:t>
      </w:r>
      <w:r>
        <w:rPr>
          <w:spacing w:val="-10"/>
        </w:rPr>
        <w:t> </w:t>
      </w:r>
      <w:r>
        <w:rPr/>
        <w:t>de</w:t>
      </w:r>
      <w:r>
        <w:rPr>
          <w:spacing w:val="-11"/>
        </w:rPr>
        <w:t> </w:t>
      </w:r>
      <w:r>
        <w:rPr/>
        <w:t>Michels</w:t>
      </w:r>
      <w:r>
        <w:rPr>
          <w:spacing w:val="-12"/>
        </w:rPr>
        <w:t> </w:t>
      </w:r>
      <w:r>
        <w:rPr/>
        <w:t>(1992)</w:t>
      </w:r>
      <w:r>
        <w:rPr>
          <w:spacing w:val="-12"/>
        </w:rPr>
        <w:t> </w:t>
      </w:r>
      <w:r>
        <w:rPr/>
        <w:t>cuando</w:t>
      </w:r>
      <w:r>
        <w:rPr>
          <w:spacing w:val="-11"/>
        </w:rPr>
        <w:t> </w:t>
      </w:r>
      <w:r>
        <w:rPr/>
        <w:t>señala</w:t>
      </w:r>
      <w:r>
        <w:rPr>
          <w:spacing w:val="-11"/>
        </w:rPr>
        <w:t> </w:t>
      </w:r>
      <w:r>
        <w:rPr/>
        <w:t>que</w:t>
      </w:r>
      <w:r>
        <w:rPr>
          <w:spacing w:val="-11"/>
        </w:rPr>
        <w:t> </w:t>
      </w:r>
      <w:r>
        <w:rPr/>
        <w:t>la</w:t>
      </w:r>
      <w:r>
        <w:rPr>
          <w:spacing w:val="-11"/>
        </w:rPr>
        <w:t> </w:t>
      </w:r>
      <w:r>
        <w:rPr/>
        <w:t>organización</w:t>
      </w:r>
      <w:r>
        <w:rPr>
          <w:spacing w:val="-10"/>
        </w:rPr>
        <w:t> </w:t>
      </w:r>
      <w:r>
        <w:rPr/>
        <w:t>es</w:t>
      </w:r>
      <w:r>
        <w:rPr>
          <w:spacing w:val="-12"/>
        </w:rPr>
        <w:t> </w:t>
      </w:r>
      <w:r>
        <w:rPr/>
        <w:t>reflejo</w:t>
      </w:r>
      <w:r>
        <w:rPr>
          <w:spacing w:val="-11"/>
        </w:rPr>
        <w:t> </w:t>
      </w:r>
      <w:r>
        <w:rPr/>
        <w:t>de</w:t>
      </w:r>
      <w:r>
        <w:rPr>
          <w:spacing w:val="-11"/>
        </w:rPr>
        <w:t> </w:t>
      </w:r>
      <w:r>
        <w:rPr/>
        <w:t>su</w:t>
      </w:r>
      <w:r>
        <w:rPr>
          <w:spacing w:val="-11"/>
        </w:rPr>
        <w:t> </w:t>
      </w:r>
      <w:r>
        <w:rPr/>
        <w:t>líder, por lo que, si éste no está a favor de incorporar la transparencia como parte de la vida cotidiana de la institución, ésta solo seguirá siendo parte del</w:t>
      </w:r>
      <w:r>
        <w:rPr>
          <w:spacing w:val="-21"/>
        </w:rPr>
        <w:t> </w:t>
      </w:r>
      <w:r>
        <w:rPr/>
        <w:t>discurso.</w:t>
      </w:r>
    </w:p>
    <w:p>
      <w:pPr>
        <w:pStyle w:val="BodyText"/>
      </w:pPr>
    </w:p>
    <w:p>
      <w:pPr>
        <w:pStyle w:val="BodyText"/>
      </w:pPr>
    </w:p>
    <w:p>
      <w:pPr>
        <w:pStyle w:val="BodyText"/>
        <w:spacing w:line="360" w:lineRule="auto" w:before="185"/>
        <w:ind w:left="102" w:right="100"/>
        <w:jc w:val="both"/>
      </w:pPr>
      <w:r>
        <w:rPr/>
        <w:t>Estrechamente</w:t>
      </w:r>
      <w:r>
        <w:rPr>
          <w:spacing w:val="-11"/>
        </w:rPr>
        <w:t> </w:t>
      </w:r>
      <w:r>
        <w:rPr/>
        <w:t>relacionada</w:t>
      </w:r>
      <w:r>
        <w:rPr>
          <w:spacing w:val="-7"/>
        </w:rPr>
        <w:t> </w:t>
      </w:r>
      <w:r>
        <w:rPr/>
        <w:t>con</w:t>
      </w:r>
      <w:r>
        <w:rPr>
          <w:spacing w:val="-9"/>
        </w:rPr>
        <w:t> </w:t>
      </w:r>
      <w:r>
        <w:rPr/>
        <w:t>las</w:t>
      </w:r>
      <w:r>
        <w:rPr>
          <w:spacing w:val="-10"/>
        </w:rPr>
        <w:t> </w:t>
      </w:r>
      <w:r>
        <w:rPr/>
        <w:t>instituciones</w:t>
      </w:r>
      <w:r>
        <w:rPr>
          <w:spacing w:val="-10"/>
        </w:rPr>
        <w:t> </w:t>
      </w:r>
      <w:r>
        <w:rPr/>
        <w:t>se</w:t>
      </w:r>
      <w:r>
        <w:rPr>
          <w:spacing w:val="-12"/>
        </w:rPr>
        <w:t> </w:t>
      </w:r>
      <w:r>
        <w:rPr/>
        <w:t>encuentra</w:t>
      </w:r>
      <w:r>
        <w:rPr>
          <w:spacing w:val="-10"/>
        </w:rPr>
        <w:t> </w:t>
      </w:r>
      <w:r>
        <w:rPr/>
        <w:t>la</w:t>
      </w:r>
      <w:r>
        <w:rPr>
          <w:spacing w:val="-12"/>
        </w:rPr>
        <w:t> </w:t>
      </w:r>
      <w:r>
        <w:rPr/>
        <w:t>parte</w:t>
      </w:r>
      <w:r>
        <w:rPr>
          <w:spacing w:val="-10"/>
        </w:rPr>
        <w:t> </w:t>
      </w:r>
      <w:r>
        <w:rPr/>
        <w:t>normativa</w:t>
      </w:r>
      <w:r>
        <w:rPr>
          <w:spacing w:val="-12"/>
        </w:rPr>
        <w:t> </w:t>
      </w:r>
      <w:r>
        <w:rPr/>
        <w:t>de la transparencia, debido a que la institución legal y política se diseña para que el poder</w:t>
      </w:r>
      <w:r>
        <w:rPr>
          <w:spacing w:val="-10"/>
        </w:rPr>
        <w:t> </w:t>
      </w:r>
      <w:r>
        <w:rPr/>
        <w:t>no</w:t>
      </w:r>
      <w:r>
        <w:rPr>
          <w:spacing w:val="-8"/>
        </w:rPr>
        <w:t> </w:t>
      </w:r>
      <w:r>
        <w:rPr/>
        <w:t>sea</w:t>
      </w:r>
      <w:r>
        <w:rPr>
          <w:spacing w:val="-8"/>
        </w:rPr>
        <w:t> </w:t>
      </w:r>
      <w:r>
        <w:rPr/>
        <w:t>sordo</w:t>
      </w:r>
      <w:r>
        <w:rPr>
          <w:spacing w:val="-8"/>
        </w:rPr>
        <w:t> </w:t>
      </w:r>
      <w:r>
        <w:rPr/>
        <w:t>ni</w:t>
      </w:r>
      <w:r>
        <w:rPr>
          <w:spacing w:val="-12"/>
        </w:rPr>
        <w:t> </w:t>
      </w:r>
      <w:r>
        <w:rPr/>
        <w:t>ciego</w:t>
      </w:r>
      <w:r>
        <w:rPr>
          <w:spacing w:val="-8"/>
        </w:rPr>
        <w:t> </w:t>
      </w:r>
      <w:r>
        <w:rPr/>
        <w:t>ante</w:t>
      </w:r>
      <w:r>
        <w:rPr>
          <w:spacing w:val="-8"/>
        </w:rPr>
        <w:t> </w:t>
      </w:r>
      <w:r>
        <w:rPr/>
        <w:t>los</w:t>
      </w:r>
      <w:r>
        <w:rPr>
          <w:spacing w:val="-9"/>
        </w:rPr>
        <w:t> </w:t>
      </w:r>
      <w:r>
        <w:rPr/>
        <w:t>derechos</w:t>
      </w:r>
      <w:r>
        <w:rPr>
          <w:spacing w:val="-9"/>
        </w:rPr>
        <w:t> </w:t>
      </w:r>
      <w:r>
        <w:rPr/>
        <w:t>de</w:t>
      </w:r>
      <w:r>
        <w:rPr>
          <w:spacing w:val="-8"/>
        </w:rPr>
        <w:t> </w:t>
      </w:r>
      <w:r>
        <w:rPr/>
        <w:t>los</w:t>
      </w:r>
      <w:r>
        <w:rPr>
          <w:spacing w:val="-9"/>
        </w:rPr>
        <w:t> </w:t>
      </w:r>
      <w:r>
        <w:rPr/>
        <w:t>ciudadanos</w:t>
      </w:r>
      <w:r>
        <w:rPr>
          <w:spacing w:val="-9"/>
        </w:rPr>
        <w:t> </w:t>
      </w:r>
      <w:r>
        <w:rPr/>
        <w:t>(Uvalle,</w:t>
      </w:r>
      <w:r>
        <w:rPr>
          <w:spacing w:val="-9"/>
        </w:rPr>
        <w:t> </w:t>
      </w:r>
      <w:r>
        <w:rPr/>
        <w:t>2012).</w:t>
      </w:r>
      <w:r>
        <w:rPr>
          <w:spacing w:val="-9"/>
        </w:rPr>
        <w:t> </w:t>
      </w:r>
      <w:r>
        <w:rPr/>
        <w:t>No obstante, aunque las leyes de transparencia y acceso a la información son un requisito clave, no son suficientes para el éxito de la política de transparencia; es necesario ir más allá por medio de la adopción de políticas públicas deliberadas de transparencia (López, 2006). “Si el Estado obliga a cumplir la ley, también tiene la obligación</w:t>
      </w:r>
      <w:r>
        <w:rPr>
          <w:spacing w:val="-16"/>
        </w:rPr>
        <w:t> </w:t>
      </w:r>
      <w:r>
        <w:rPr/>
        <w:t>de</w:t>
      </w:r>
      <w:r>
        <w:rPr>
          <w:spacing w:val="-17"/>
        </w:rPr>
        <w:t> </w:t>
      </w:r>
      <w:r>
        <w:rPr/>
        <w:t>garantizar</w:t>
      </w:r>
      <w:r>
        <w:rPr>
          <w:spacing w:val="-17"/>
        </w:rPr>
        <w:t> </w:t>
      </w:r>
      <w:r>
        <w:rPr/>
        <w:t>el</w:t>
      </w:r>
      <w:r>
        <w:rPr>
          <w:spacing w:val="-17"/>
        </w:rPr>
        <w:t> </w:t>
      </w:r>
      <w:r>
        <w:rPr/>
        <w:t>derecho</w:t>
      </w:r>
      <w:r>
        <w:rPr>
          <w:spacing w:val="-18"/>
        </w:rPr>
        <w:t> </w:t>
      </w:r>
      <w:r>
        <w:rPr/>
        <w:t>de</w:t>
      </w:r>
      <w:r>
        <w:rPr>
          <w:spacing w:val="-18"/>
        </w:rPr>
        <w:t> </w:t>
      </w:r>
      <w:r>
        <w:rPr/>
        <w:t>acceso</w:t>
      </w:r>
      <w:r>
        <w:rPr>
          <w:spacing w:val="-18"/>
        </w:rPr>
        <w:t> </w:t>
      </w:r>
      <w:r>
        <w:rPr/>
        <w:t>a</w:t>
      </w:r>
      <w:r>
        <w:rPr>
          <w:spacing w:val="-17"/>
        </w:rPr>
        <w:t> </w:t>
      </w:r>
      <w:r>
        <w:rPr/>
        <w:t>la</w:t>
      </w:r>
      <w:r>
        <w:rPr>
          <w:spacing w:val="-17"/>
        </w:rPr>
        <w:t> </w:t>
      </w:r>
      <w:r>
        <w:rPr/>
        <w:t>información</w:t>
      </w:r>
      <w:r>
        <w:rPr>
          <w:spacing w:val="-17"/>
        </w:rPr>
        <w:t> </w:t>
      </w:r>
      <w:r>
        <w:rPr/>
        <w:t>con</w:t>
      </w:r>
      <w:r>
        <w:rPr>
          <w:spacing w:val="-17"/>
        </w:rPr>
        <w:t> </w:t>
      </w:r>
      <w:r>
        <w:rPr/>
        <w:t>la</w:t>
      </w:r>
      <w:r>
        <w:rPr>
          <w:spacing w:val="-18"/>
        </w:rPr>
        <w:t> </w:t>
      </w:r>
      <w:r>
        <w:rPr/>
        <w:t>política</w:t>
      </w:r>
      <w:r>
        <w:rPr>
          <w:spacing w:val="-17"/>
        </w:rPr>
        <w:t> </w:t>
      </w:r>
      <w:r>
        <w:rPr/>
        <w:t>pública de transparencia” (Uvalle,</w:t>
      </w:r>
      <w:r>
        <w:rPr>
          <w:spacing w:val="-15"/>
        </w:rPr>
        <w:t> </w:t>
      </w:r>
      <w:r>
        <w:rPr/>
        <w:t>2012:31)</w:t>
      </w:r>
    </w:p>
    <w:p>
      <w:pPr>
        <w:pStyle w:val="BodyText"/>
      </w:pPr>
    </w:p>
    <w:p>
      <w:pPr>
        <w:pStyle w:val="BodyText"/>
      </w:pPr>
    </w:p>
    <w:p>
      <w:pPr>
        <w:pStyle w:val="BodyText"/>
        <w:spacing w:line="360" w:lineRule="auto" w:before="186"/>
        <w:ind w:left="102" w:right="101"/>
        <w:jc w:val="both"/>
      </w:pPr>
      <w:r>
        <w:rPr/>
        <w:t>Es</w:t>
      </w:r>
      <w:r>
        <w:rPr>
          <w:spacing w:val="-13"/>
        </w:rPr>
        <w:t> </w:t>
      </w:r>
      <w:r>
        <w:rPr/>
        <w:t>aquí</w:t>
      </w:r>
      <w:r>
        <w:rPr>
          <w:spacing w:val="-14"/>
        </w:rPr>
        <w:t> </w:t>
      </w:r>
      <w:r>
        <w:rPr/>
        <w:t>donde</w:t>
      </w:r>
      <w:r>
        <w:rPr>
          <w:spacing w:val="-12"/>
        </w:rPr>
        <w:t> </w:t>
      </w:r>
      <w:r>
        <w:rPr/>
        <w:t>la</w:t>
      </w:r>
      <w:r>
        <w:rPr>
          <w:spacing w:val="-12"/>
        </w:rPr>
        <w:t> </w:t>
      </w:r>
      <w:r>
        <w:rPr/>
        <w:t>institución</w:t>
      </w:r>
      <w:r>
        <w:rPr>
          <w:spacing w:val="-11"/>
        </w:rPr>
        <w:t> </w:t>
      </w:r>
      <w:r>
        <w:rPr/>
        <w:t>cumple</w:t>
      </w:r>
      <w:r>
        <w:rPr>
          <w:spacing w:val="-14"/>
        </w:rPr>
        <w:t> </w:t>
      </w:r>
      <w:r>
        <w:rPr/>
        <w:t>su</w:t>
      </w:r>
      <w:r>
        <w:rPr>
          <w:spacing w:val="-14"/>
        </w:rPr>
        <w:t> </w:t>
      </w:r>
      <w:r>
        <w:rPr/>
        <w:t>papel</w:t>
      </w:r>
      <w:r>
        <w:rPr>
          <w:spacing w:val="-15"/>
        </w:rPr>
        <w:t> </w:t>
      </w:r>
      <w:r>
        <w:rPr/>
        <w:t>fundamental,</w:t>
      </w:r>
      <w:r>
        <w:rPr>
          <w:spacing w:val="-13"/>
        </w:rPr>
        <w:t> </w:t>
      </w:r>
      <w:r>
        <w:rPr/>
        <w:t>ya</w:t>
      </w:r>
      <w:r>
        <w:rPr>
          <w:spacing w:val="-12"/>
        </w:rPr>
        <w:t> </w:t>
      </w:r>
      <w:r>
        <w:rPr/>
        <w:t>que</w:t>
      </w:r>
      <w:r>
        <w:rPr>
          <w:spacing w:val="-12"/>
        </w:rPr>
        <w:t> </w:t>
      </w:r>
      <w:r>
        <w:rPr/>
        <w:t>puede</w:t>
      </w:r>
      <w:r>
        <w:rPr>
          <w:spacing w:val="-12"/>
        </w:rPr>
        <w:t> </w:t>
      </w:r>
      <w:r>
        <w:rPr/>
        <w:t>crear</w:t>
      </w:r>
      <w:r>
        <w:rPr>
          <w:spacing w:val="-13"/>
        </w:rPr>
        <w:t> </w:t>
      </w:r>
      <w:r>
        <w:rPr/>
        <w:t>leyes formales y considerar las prácticas informales para diseñar una práctica administrativa transparente desde adentro, lo que en términos de Arelleno (2007) es hacer endógena la transparencia. Es decir, considerarla como parte de la vida diaria  de  la  actividad  gubernamental,  teniendo  presente  también  que  </w:t>
      </w:r>
      <w:r>
        <w:rPr>
          <w:spacing w:val="17"/>
        </w:rPr>
        <w:t> </w:t>
      </w:r>
      <w:r>
        <w:rPr/>
        <w:t>existen</w:t>
      </w:r>
    </w:p>
    <w:p>
      <w:pPr>
        <w:spacing w:after="0" w:line="360" w:lineRule="auto"/>
        <w:jc w:val="both"/>
        <w:sectPr>
          <w:pgSz w:w="12240" w:h="15840"/>
          <w:pgMar w:header="0" w:footer="975" w:top="1360" w:bottom="1220" w:left="1600" w:right="1600"/>
        </w:sectPr>
      </w:pPr>
    </w:p>
    <w:p>
      <w:pPr>
        <w:pStyle w:val="BodyText"/>
        <w:spacing w:line="362" w:lineRule="auto" w:before="54"/>
        <w:ind w:left="102" w:right="124"/>
        <w:jc w:val="both"/>
      </w:pPr>
      <w:r>
        <w:rPr/>
        <w:t>factores políticos que pueden poner resistencia a la misma y por lo tanto diseñar estrategias para vencerlos.</w:t>
      </w:r>
    </w:p>
    <w:p>
      <w:pPr>
        <w:pStyle w:val="BodyText"/>
      </w:pPr>
    </w:p>
    <w:p>
      <w:pPr>
        <w:pStyle w:val="BodyText"/>
      </w:pPr>
    </w:p>
    <w:p>
      <w:pPr>
        <w:spacing w:line="240" w:lineRule="auto" w:before="183"/>
        <w:ind w:left="810" w:right="684" w:firstLine="0"/>
        <w:jc w:val="both"/>
        <w:rPr>
          <w:sz w:val="18"/>
        </w:rPr>
      </w:pPr>
      <w:r>
        <w:rPr>
          <w:sz w:val="18"/>
        </w:rPr>
        <w:t>“Se afirma que el industrialismo, el maquinismo y una mayor demanda de fuerza de trabajo calificada determinaron la necesidad de estructura, normas y procedimientos que tuvieron por finalidad sistematizar y especializar las funciones del trabajo en el complejo proceso de la producción fabril” (Rodríguez, 1990, 22).</w:t>
      </w:r>
    </w:p>
    <w:p>
      <w:pPr>
        <w:pStyle w:val="BodyText"/>
        <w:rPr>
          <w:sz w:val="18"/>
        </w:rPr>
      </w:pPr>
    </w:p>
    <w:p>
      <w:pPr>
        <w:pStyle w:val="BodyText"/>
        <w:rPr>
          <w:sz w:val="18"/>
        </w:rPr>
      </w:pPr>
    </w:p>
    <w:p>
      <w:pPr>
        <w:pStyle w:val="BodyText"/>
        <w:rPr>
          <w:sz w:val="18"/>
        </w:rPr>
      </w:pPr>
    </w:p>
    <w:p>
      <w:pPr>
        <w:pStyle w:val="BodyText"/>
        <w:spacing w:line="360" w:lineRule="auto" w:before="114"/>
        <w:ind w:left="102" w:right="114"/>
        <w:jc w:val="both"/>
      </w:pPr>
      <w:r>
        <w:rPr/>
        <w:t>Es importante mencionar que las leyes al fungir como las reglas formales de la institución legal y política se diseñan para que el poder no sea sordo ni ciego ante los derechos de los ciudadanos (Uvalle, 2012). Asimismo, porque la legislación es la fuerza creadora que establece el deber ser; y si el presidente no quiere o no puede detener una ley, en virtud de su poder extraordinario, como parte de la legislatura, tiene deber evidente, cierto, de obedecer al Congreso (Wilson, 2002). No obstante, aunque las leyes de transparencia y acceso a la información son un requisito clave, no son suficientes para el éxito de la política de transparencia; es necesario ir más allá por medio de la adopción de políticas públicas deliberadas de transparencia</w:t>
      </w:r>
      <w:r>
        <w:rPr>
          <w:spacing w:val="-13"/>
        </w:rPr>
        <w:t> </w:t>
      </w:r>
      <w:r>
        <w:rPr/>
        <w:t>(Mariñez,</w:t>
      </w:r>
      <w:r>
        <w:rPr>
          <w:spacing w:val="-13"/>
        </w:rPr>
        <w:t> </w:t>
      </w:r>
      <w:r>
        <w:rPr/>
        <w:t>Dahik</w:t>
      </w:r>
      <w:r>
        <w:rPr>
          <w:spacing w:val="-14"/>
        </w:rPr>
        <w:t> </w:t>
      </w:r>
      <w:r>
        <w:rPr/>
        <w:t>y</w:t>
      </w:r>
      <w:r>
        <w:rPr>
          <w:spacing w:val="-16"/>
        </w:rPr>
        <w:t> </w:t>
      </w:r>
      <w:r>
        <w:rPr/>
        <w:t>Villareal,</w:t>
      </w:r>
      <w:r>
        <w:rPr>
          <w:spacing w:val="-14"/>
        </w:rPr>
        <w:t> </w:t>
      </w:r>
      <w:r>
        <w:rPr/>
        <w:t>2012).</w:t>
      </w:r>
      <w:r>
        <w:rPr>
          <w:spacing w:val="-14"/>
        </w:rPr>
        <w:t> </w:t>
      </w:r>
      <w:r>
        <w:rPr/>
        <w:t>“Si</w:t>
      </w:r>
      <w:r>
        <w:rPr>
          <w:spacing w:val="-14"/>
        </w:rPr>
        <w:t> </w:t>
      </w:r>
      <w:r>
        <w:rPr/>
        <w:t>el</w:t>
      </w:r>
      <w:r>
        <w:rPr>
          <w:spacing w:val="-14"/>
        </w:rPr>
        <w:t> </w:t>
      </w:r>
      <w:r>
        <w:rPr/>
        <w:t>Estado</w:t>
      </w:r>
      <w:r>
        <w:rPr>
          <w:spacing w:val="-16"/>
        </w:rPr>
        <w:t> </w:t>
      </w:r>
      <w:r>
        <w:rPr/>
        <w:t>obliga</w:t>
      </w:r>
      <w:r>
        <w:rPr>
          <w:spacing w:val="-16"/>
        </w:rPr>
        <w:t> </w:t>
      </w:r>
      <w:r>
        <w:rPr/>
        <w:t>a</w:t>
      </w:r>
      <w:r>
        <w:rPr>
          <w:spacing w:val="-8"/>
        </w:rPr>
        <w:t> </w:t>
      </w:r>
      <w:r>
        <w:rPr/>
        <w:t>cumplir</w:t>
      </w:r>
      <w:r>
        <w:rPr>
          <w:spacing w:val="-15"/>
        </w:rPr>
        <w:t> </w:t>
      </w:r>
      <w:r>
        <w:rPr/>
        <w:t>la</w:t>
      </w:r>
      <w:r>
        <w:rPr>
          <w:spacing w:val="-13"/>
        </w:rPr>
        <w:t> </w:t>
      </w:r>
      <w:r>
        <w:rPr/>
        <w:t>ley, también</w:t>
      </w:r>
      <w:r>
        <w:rPr>
          <w:spacing w:val="-6"/>
        </w:rPr>
        <w:t> </w:t>
      </w:r>
      <w:r>
        <w:rPr/>
        <w:t>tiene</w:t>
      </w:r>
      <w:r>
        <w:rPr>
          <w:spacing w:val="-5"/>
        </w:rPr>
        <w:t> </w:t>
      </w:r>
      <w:r>
        <w:rPr/>
        <w:t>la</w:t>
      </w:r>
      <w:r>
        <w:rPr>
          <w:spacing w:val="-6"/>
        </w:rPr>
        <w:t> </w:t>
      </w:r>
      <w:r>
        <w:rPr/>
        <w:t>obligación</w:t>
      </w:r>
      <w:r>
        <w:rPr>
          <w:spacing w:val="-4"/>
        </w:rPr>
        <w:t> </w:t>
      </w:r>
      <w:r>
        <w:rPr/>
        <w:t>de</w:t>
      </w:r>
      <w:r>
        <w:rPr>
          <w:spacing w:val="-5"/>
        </w:rPr>
        <w:t> </w:t>
      </w:r>
      <w:r>
        <w:rPr/>
        <w:t>garantizar</w:t>
      </w:r>
      <w:r>
        <w:rPr>
          <w:spacing w:val="-6"/>
        </w:rPr>
        <w:t> </w:t>
      </w:r>
      <w:r>
        <w:rPr/>
        <w:t>el</w:t>
      </w:r>
      <w:r>
        <w:rPr>
          <w:spacing w:val="-6"/>
        </w:rPr>
        <w:t> </w:t>
      </w:r>
      <w:r>
        <w:rPr/>
        <w:t>derecho</w:t>
      </w:r>
      <w:r>
        <w:rPr>
          <w:spacing w:val="-6"/>
        </w:rPr>
        <w:t> </w:t>
      </w:r>
      <w:r>
        <w:rPr/>
        <w:t>de</w:t>
      </w:r>
      <w:r>
        <w:rPr>
          <w:spacing w:val="-6"/>
        </w:rPr>
        <w:t> </w:t>
      </w:r>
      <w:r>
        <w:rPr/>
        <w:t>acceso</w:t>
      </w:r>
      <w:r>
        <w:rPr>
          <w:spacing w:val="-5"/>
        </w:rPr>
        <w:t> </w:t>
      </w:r>
      <w:r>
        <w:rPr/>
        <w:t>a</w:t>
      </w:r>
      <w:r>
        <w:rPr>
          <w:spacing w:val="-6"/>
        </w:rPr>
        <w:t> </w:t>
      </w:r>
      <w:r>
        <w:rPr/>
        <w:t>la</w:t>
      </w:r>
      <w:r>
        <w:rPr>
          <w:spacing w:val="-5"/>
        </w:rPr>
        <w:t> </w:t>
      </w:r>
      <w:r>
        <w:rPr/>
        <w:t>información</w:t>
      </w:r>
      <w:r>
        <w:rPr>
          <w:spacing w:val="-6"/>
        </w:rPr>
        <w:t> </w:t>
      </w:r>
      <w:r>
        <w:rPr/>
        <w:t>con la política pública de transparencia” (Uvalle,</w:t>
      </w:r>
      <w:r>
        <w:rPr>
          <w:spacing w:val="-20"/>
        </w:rPr>
        <w:t> </w:t>
      </w:r>
      <w:r>
        <w:rPr/>
        <w:t>2012:31).</w:t>
      </w:r>
    </w:p>
    <w:p>
      <w:pPr>
        <w:pStyle w:val="BodyText"/>
      </w:pPr>
    </w:p>
    <w:p>
      <w:pPr>
        <w:pStyle w:val="BodyText"/>
      </w:pPr>
    </w:p>
    <w:p>
      <w:pPr>
        <w:pStyle w:val="BodyText"/>
        <w:spacing w:before="7"/>
        <w:rPr>
          <w:sz w:val="19"/>
        </w:rPr>
      </w:pPr>
    </w:p>
    <w:p>
      <w:pPr>
        <w:pStyle w:val="BodyText"/>
        <w:spacing w:line="360" w:lineRule="auto"/>
        <w:ind w:left="102" w:right="123"/>
        <w:jc w:val="both"/>
      </w:pPr>
      <w:r>
        <w:rPr/>
        <w:t>En</w:t>
      </w:r>
      <w:r>
        <w:rPr>
          <w:spacing w:val="-8"/>
        </w:rPr>
        <w:t> </w:t>
      </w:r>
      <w:r>
        <w:rPr/>
        <w:t>términos</w:t>
      </w:r>
      <w:r>
        <w:rPr>
          <w:spacing w:val="-12"/>
        </w:rPr>
        <w:t> </w:t>
      </w:r>
      <w:r>
        <w:rPr/>
        <w:t>de</w:t>
      </w:r>
      <w:r>
        <w:rPr>
          <w:spacing w:val="-8"/>
        </w:rPr>
        <w:t> </w:t>
      </w:r>
      <w:r>
        <w:rPr/>
        <w:t>Crozier</w:t>
      </w:r>
      <w:r>
        <w:rPr>
          <w:spacing w:val="-9"/>
        </w:rPr>
        <w:t> </w:t>
      </w:r>
      <w:r>
        <w:rPr/>
        <w:t>y</w:t>
      </w:r>
      <w:r>
        <w:rPr>
          <w:spacing w:val="-12"/>
        </w:rPr>
        <w:t> </w:t>
      </w:r>
      <w:r>
        <w:rPr/>
        <w:t>Friedberg</w:t>
      </w:r>
      <w:r>
        <w:rPr>
          <w:spacing w:val="-11"/>
        </w:rPr>
        <w:t> </w:t>
      </w:r>
      <w:r>
        <w:rPr/>
        <w:t>(1990)</w:t>
      </w:r>
      <w:r>
        <w:rPr>
          <w:spacing w:val="-10"/>
        </w:rPr>
        <w:t> </w:t>
      </w:r>
      <w:r>
        <w:rPr/>
        <w:t>se</w:t>
      </w:r>
      <w:r>
        <w:rPr>
          <w:spacing w:val="-11"/>
        </w:rPr>
        <w:t> </w:t>
      </w:r>
      <w:r>
        <w:rPr/>
        <w:t>debe</w:t>
      </w:r>
      <w:r>
        <w:rPr>
          <w:spacing w:val="-8"/>
        </w:rPr>
        <w:t> </w:t>
      </w:r>
      <w:r>
        <w:rPr/>
        <w:t>recordar</w:t>
      </w:r>
      <w:r>
        <w:rPr>
          <w:spacing w:val="-10"/>
        </w:rPr>
        <w:t> </w:t>
      </w:r>
      <w:r>
        <w:rPr/>
        <w:t>que</w:t>
      </w:r>
      <w:r>
        <w:rPr>
          <w:spacing w:val="-8"/>
        </w:rPr>
        <w:t> </w:t>
      </w:r>
      <w:r>
        <w:rPr/>
        <w:t>las</w:t>
      </w:r>
      <w:r>
        <w:rPr>
          <w:spacing w:val="-9"/>
        </w:rPr>
        <w:t> </w:t>
      </w:r>
      <w:r>
        <w:rPr/>
        <w:t>reglas</w:t>
      </w:r>
      <w:r>
        <w:rPr>
          <w:spacing w:val="-9"/>
        </w:rPr>
        <w:t> </w:t>
      </w:r>
      <w:r>
        <w:rPr/>
        <w:t>formales dentro de la organización oficializan su funcionamiento para reducir las fuentes de incertidumbre, regular los comportamientos de los individuos, restringir la libertad de acción de los individuos o grupos, en particular, de los superiores y los subordinados. Asimismo, la transparencia busca que no se dé a conocer la información que pudiera poner en peligro la legitimidad del</w:t>
      </w:r>
      <w:r>
        <w:rPr>
          <w:spacing w:val="-24"/>
        </w:rPr>
        <w:t> </w:t>
      </w:r>
      <w:r>
        <w:rPr/>
        <w:t>Estado.</w:t>
      </w:r>
    </w:p>
    <w:p>
      <w:pPr>
        <w:pStyle w:val="BodyText"/>
      </w:pPr>
    </w:p>
    <w:p>
      <w:pPr>
        <w:pStyle w:val="BodyText"/>
      </w:pPr>
    </w:p>
    <w:p>
      <w:pPr>
        <w:pStyle w:val="BodyText"/>
        <w:spacing w:before="11"/>
        <w:rPr>
          <w:sz w:val="22"/>
        </w:rPr>
      </w:pPr>
    </w:p>
    <w:p>
      <w:pPr>
        <w:pStyle w:val="BodyText"/>
        <w:spacing w:line="360" w:lineRule="auto"/>
        <w:ind w:left="102" w:right="119"/>
        <w:jc w:val="both"/>
      </w:pPr>
      <w:r>
        <w:rPr/>
        <w:t>Para Kelsen (2007), la ley es eficiente en tanto dé resultados y no haya otra que la supere. Ésta debe establecer las sanciones correspondientes para quienes  violan</w:t>
      </w:r>
    </w:p>
    <w:p>
      <w:pPr>
        <w:spacing w:after="0" w:line="360" w:lineRule="auto"/>
        <w:jc w:val="both"/>
        <w:sectPr>
          <w:pgSz w:w="12240" w:h="15840"/>
          <w:pgMar w:header="0" w:footer="975" w:top="1360" w:bottom="1220" w:left="1600" w:right="1580"/>
        </w:sectPr>
      </w:pPr>
    </w:p>
    <w:p>
      <w:pPr>
        <w:pStyle w:val="BodyText"/>
        <w:spacing w:line="360" w:lineRule="auto" w:before="54"/>
        <w:ind w:left="102" w:right="118"/>
        <w:jc w:val="both"/>
      </w:pPr>
      <w:r>
        <w:rPr/>
        <w:t>su cumplimiento y definir claramente los canales de comunicación e información a través de cuales los actores pueden conocer el quehacer gubernamental y premiar o</w:t>
      </w:r>
      <w:r>
        <w:rPr>
          <w:spacing w:val="-17"/>
        </w:rPr>
        <w:t> </w:t>
      </w:r>
      <w:r>
        <w:rPr/>
        <w:t>castigar</w:t>
      </w:r>
      <w:r>
        <w:rPr>
          <w:spacing w:val="-18"/>
        </w:rPr>
        <w:t> </w:t>
      </w:r>
      <w:r>
        <w:rPr/>
        <w:t>su</w:t>
      </w:r>
      <w:r>
        <w:rPr>
          <w:spacing w:val="-17"/>
        </w:rPr>
        <w:t> </w:t>
      </w:r>
      <w:r>
        <w:rPr/>
        <w:t>desempeño</w:t>
      </w:r>
      <w:r>
        <w:rPr>
          <w:spacing w:val="-17"/>
        </w:rPr>
        <w:t> </w:t>
      </w:r>
      <w:r>
        <w:rPr/>
        <w:t>a</w:t>
      </w:r>
      <w:r>
        <w:rPr>
          <w:spacing w:val="-17"/>
        </w:rPr>
        <w:t> </w:t>
      </w:r>
      <w:r>
        <w:rPr/>
        <w:t>través</w:t>
      </w:r>
      <w:r>
        <w:rPr>
          <w:spacing w:val="-17"/>
        </w:rPr>
        <w:t> </w:t>
      </w:r>
      <w:r>
        <w:rPr/>
        <w:t>del</w:t>
      </w:r>
      <w:r>
        <w:rPr>
          <w:spacing w:val="-18"/>
        </w:rPr>
        <w:t> </w:t>
      </w:r>
      <w:r>
        <w:rPr/>
        <w:t>voto;</w:t>
      </w:r>
      <w:r>
        <w:rPr>
          <w:spacing w:val="-17"/>
        </w:rPr>
        <w:t> </w:t>
      </w:r>
      <w:r>
        <w:rPr/>
        <w:t>asimismo</w:t>
      </w:r>
      <w:r>
        <w:rPr>
          <w:spacing w:val="-19"/>
        </w:rPr>
        <w:t> </w:t>
      </w:r>
      <w:r>
        <w:rPr/>
        <w:t>buscará</w:t>
      </w:r>
      <w:r>
        <w:rPr>
          <w:spacing w:val="-17"/>
        </w:rPr>
        <w:t> </w:t>
      </w:r>
      <w:r>
        <w:rPr/>
        <w:t>establecer</w:t>
      </w:r>
      <w:r>
        <w:rPr>
          <w:spacing w:val="-18"/>
        </w:rPr>
        <w:t> </w:t>
      </w:r>
      <w:r>
        <w:rPr/>
        <w:t>estrategias de negociación que permitan a la población obtener más beneficios de sus gobernantes.</w:t>
      </w:r>
    </w:p>
    <w:p>
      <w:pPr>
        <w:pStyle w:val="BodyText"/>
      </w:pPr>
    </w:p>
    <w:p>
      <w:pPr>
        <w:pStyle w:val="BodyText"/>
      </w:pPr>
    </w:p>
    <w:p>
      <w:pPr>
        <w:pStyle w:val="BodyText"/>
        <w:spacing w:before="2"/>
        <w:rPr>
          <w:sz w:val="23"/>
        </w:rPr>
      </w:pPr>
    </w:p>
    <w:p>
      <w:pPr>
        <w:pStyle w:val="BodyText"/>
        <w:spacing w:line="360" w:lineRule="auto"/>
        <w:ind w:left="102" w:right="114"/>
        <w:jc w:val="both"/>
      </w:pPr>
      <w:r>
        <w:rPr/>
        <w:t>En</w:t>
      </w:r>
      <w:r>
        <w:rPr>
          <w:spacing w:val="-9"/>
        </w:rPr>
        <w:t> </w:t>
      </w:r>
      <w:r>
        <w:rPr/>
        <w:t>tanto</w:t>
      </w:r>
      <w:r>
        <w:rPr>
          <w:spacing w:val="-9"/>
        </w:rPr>
        <w:t> </w:t>
      </w:r>
      <w:r>
        <w:rPr/>
        <w:t>que</w:t>
      </w:r>
      <w:r>
        <w:rPr>
          <w:spacing w:val="-12"/>
        </w:rPr>
        <w:t> </w:t>
      </w:r>
      <w:r>
        <w:rPr/>
        <w:t>para</w:t>
      </w:r>
      <w:r>
        <w:rPr>
          <w:spacing w:val="-9"/>
        </w:rPr>
        <w:t> </w:t>
      </w:r>
      <w:r>
        <w:rPr/>
        <w:t>Schmitt</w:t>
      </w:r>
      <w:r>
        <w:rPr>
          <w:spacing w:val="-10"/>
        </w:rPr>
        <w:t> </w:t>
      </w:r>
      <w:r>
        <w:rPr/>
        <w:t>(1988),</w:t>
      </w:r>
      <w:r>
        <w:rPr>
          <w:spacing w:val="-10"/>
        </w:rPr>
        <w:t> </w:t>
      </w:r>
      <w:r>
        <w:rPr/>
        <w:t>además</w:t>
      </w:r>
      <w:r>
        <w:rPr>
          <w:spacing w:val="-13"/>
        </w:rPr>
        <w:t> </w:t>
      </w:r>
      <w:r>
        <w:rPr/>
        <w:t>de</w:t>
      </w:r>
      <w:r>
        <w:rPr>
          <w:spacing w:val="-12"/>
        </w:rPr>
        <w:t> </w:t>
      </w:r>
      <w:r>
        <w:rPr/>
        <w:t>las</w:t>
      </w:r>
      <w:r>
        <w:rPr>
          <w:spacing w:val="-10"/>
        </w:rPr>
        <w:t> </w:t>
      </w:r>
      <w:r>
        <w:rPr/>
        <w:t>normas</w:t>
      </w:r>
      <w:r>
        <w:rPr>
          <w:spacing w:val="-10"/>
        </w:rPr>
        <w:t> </w:t>
      </w:r>
      <w:r>
        <w:rPr/>
        <w:t>que</w:t>
      </w:r>
      <w:r>
        <w:rPr>
          <w:spacing w:val="-12"/>
        </w:rPr>
        <w:t> </w:t>
      </w:r>
      <w:r>
        <w:rPr/>
        <w:t>explican</w:t>
      </w:r>
      <w:r>
        <w:rPr>
          <w:spacing w:val="-12"/>
        </w:rPr>
        <w:t> </w:t>
      </w:r>
      <w:r>
        <w:rPr/>
        <w:t>al</w:t>
      </w:r>
      <w:r>
        <w:rPr>
          <w:spacing w:val="-11"/>
        </w:rPr>
        <w:t> </w:t>
      </w:r>
      <w:r>
        <w:rPr/>
        <w:t>ciudadano por qué obedecer, hay normas que lo protegen. Se generan fuentes distintas de legitimidad:</w:t>
      </w:r>
      <w:r>
        <w:rPr>
          <w:spacing w:val="-9"/>
        </w:rPr>
        <w:t> </w:t>
      </w:r>
      <w:r>
        <w:rPr>
          <w:b/>
        </w:rPr>
        <w:t>ley</w:t>
      </w:r>
      <w:r>
        <w:rPr/>
        <w:t>,</w:t>
      </w:r>
      <w:r>
        <w:rPr>
          <w:spacing w:val="-9"/>
        </w:rPr>
        <w:t> </w:t>
      </w:r>
      <w:r>
        <w:rPr>
          <w:b/>
        </w:rPr>
        <w:t>tradición</w:t>
      </w:r>
      <w:r>
        <w:rPr>
          <w:b/>
          <w:spacing w:val="-9"/>
        </w:rPr>
        <w:t> </w:t>
      </w:r>
      <w:r>
        <w:rPr/>
        <w:t>(símbolos-identidad),</w:t>
      </w:r>
      <w:r>
        <w:rPr>
          <w:spacing w:val="-9"/>
        </w:rPr>
        <w:t> </w:t>
      </w:r>
      <w:r>
        <w:rPr>
          <w:b/>
        </w:rPr>
        <w:t>la</w:t>
      </w:r>
      <w:r>
        <w:rPr>
          <w:b/>
          <w:spacing w:val="-9"/>
        </w:rPr>
        <w:t> </w:t>
      </w:r>
      <w:r>
        <w:rPr>
          <w:b/>
        </w:rPr>
        <w:t>cultura</w:t>
      </w:r>
      <w:r>
        <w:rPr>
          <w:b/>
          <w:spacing w:val="-9"/>
        </w:rPr>
        <w:t> </w:t>
      </w:r>
      <w:r>
        <w:rPr/>
        <w:t>(derecho</w:t>
      </w:r>
      <w:r>
        <w:rPr>
          <w:spacing w:val="-11"/>
        </w:rPr>
        <w:t> </w:t>
      </w:r>
      <w:r>
        <w:rPr/>
        <w:t>para</w:t>
      </w:r>
      <w:r>
        <w:rPr>
          <w:spacing w:val="-9"/>
        </w:rPr>
        <w:t> </w:t>
      </w:r>
      <w:r>
        <w:rPr/>
        <w:t>enseñar</w:t>
      </w:r>
      <w:r>
        <w:rPr>
          <w:spacing w:val="-12"/>
        </w:rPr>
        <w:t> </w:t>
      </w:r>
      <w:r>
        <w:rPr/>
        <w:t>a obedecer), </w:t>
      </w:r>
      <w:r>
        <w:rPr>
          <w:b/>
        </w:rPr>
        <w:t>el lenguaje </w:t>
      </w:r>
      <w:r>
        <w:rPr/>
        <w:t>(eliminar idiomas locales, ya que éste permite lograr acuerdos</w:t>
      </w:r>
      <w:r>
        <w:rPr>
          <w:spacing w:val="-4"/>
        </w:rPr>
        <w:t> </w:t>
      </w:r>
      <w:r>
        <w:rPr/>
        <w:t>si</w:t>
      </w:r>
      <w:r>
        <w:rPr>
          <w:spacing w:val="-5"/>
        </w:rPr>
        <w:t> </w:t>
      </w:r>
      <w:r>
        <w:rPr/>
        <w:t>tiene</w:t>
      </w:r>
      <w:r>
        <w:rPr>
          <w:spacing w:val="-4"/>
        </w:rPr>
        <w:t> </w:t>
      </w:r>
      <w:r>
        <w:rPr/>
        <w:t>el</w:t>
      </w:r>
      <w:r>
        <w:rPr>
          <w:spacing w:val="-7"/>
        </w:rPr>
        <w:t> </w:t>
      </w:r>
      <w:r>
        <w:rPr/>
        <w:t>mismo</w:t>
      </w:r>
      <w:r>
        <w:rPr>
          <w:spacing w:val="-4"/>
        </w:rPr>
        <w:t> </w:t>
      </w:r>
      <w:r>
        <w:rPr/>
        <w:t>idioma</w:t>
      </w:r>
      <w:r>
        <w:rPr>
          <w:spacing w:val="-6"/>
        </w:rPr>
        <w:t> </w:t>
      </w:r>
      <w:r>
        <w:rPr/>
        <w:t>oficial);</w:t>
      </w:r>
      <w:r>
        <w:rPr>
          <w:spacing w:val="-4"/>
        </w:rPr>
        <w:t> </w:t>
      </w:r>
      <w:r>
        <w:rPr/>
        <w:t>esto</w:t>
      </w:r>
      <w:r>
        <w:rPr>
          <w:spacing w:val="-4"/>
        </w:rPr>
        <w:t> </w:t>
      </w:r>
      <w:r>
        <w:rPr/>
        <w:t>sería</w:t>
      </w:r>
      <w:r>
        <w:rPr>
          <w:spacing w:val="-4"/>
        </w:rPr>
        <w:t> </w:t>
      </w:r>
      <w:r>
        <w:rPr/>
        <w:t>un</w:t>
      </w:r>
      <w:r>
        <w:rPr>
          <w:spacing w:val="-4"/>
        </w:rPr>
        <w:t> </w:t>
      </w:r>
      <w:r>
        <w:rPr/>
        <w:t>sistema</w:t>
      </w:r>
      <w:r>
        <w:rPr>
          <w:spacing w:val="-4"/>
        </w:rPr>
        <w:t> </w:t>
      </w:r>
      <w:r>
        <w:rPr/>
        <w:t>de</w:t>
      </w:r>
      <w:r>
        <w:rPr>
          <w:spacing w:val="-6"/>
        </w:rPr>
        <w:t> </w:t>
      </w:r>
      <w:r>
        <w:rPr/>
        <w:t>dominación,</w:t>
      </w:r>
      <w:r>
        <w:rPr>
          <w:spacing w:val="-4"/>
        </w:rPr>
        <w:t> </w:t>
      </w:r>
      <w:r>
        <w:rPr/>
        <w:t>sin abuso, desarrollado a través del proceso de socialización que recobra un sistema de confianza llamado nacionalismo, el cual genera en la sociedad un sentido de identidad que no es natural. De forma tal que, para crear una identidad global, el Estado</w:t>
      </w:r>
      <w:r>
        <w:rPr>
          <w:spacing w:val="-9"/>
        </w:rPr>
        <w:t> </w:t>
      </w:r>
      <w:r>
        <w:rPr/>
        <w:t>tiene</w:t>
      </w:r>
      <w:r>
        <w:rPr>
          <w:spacing w:val="-9"/>
        </w:rPr>
        <w:t> </w:t>
      </w:r>
      <w:r>
        <w:rPr/>
        <w:t>que</w:t>
      </w:r>
      <w:r>
        <w:rPr>
          <w:spacing w:val="-10"/>
        </w:rPr>
        <w:t> </w:t>
      </w:r>
      <w:r>
        <w:rPr/>
        <w:t>desaparecer</w:t>
      </w:r>
      <w:r>
        <w:rPr>
          <w:spacing w:val="-11"/>
        </w:rPr>
        <w:t> </w:t>
      </w:r>
      <w:r>
        <w:rPr/>
        <w:t>las</w:t>
      </w:r>
      <w:r>
        <w:rPr>
          <w:spacing w:val="-12"/>
        </w:rPr>
        <w:t> </w:t>
      </w:r>
      <w:r>
        <w:rPr/>
        <w:t>pequeñas</w:t>
      </w:r>
      <w:r>
        <w:rPr>
          <w:spacing w:val="-13"/>
        </w:rPr>
        <w:t> </w:t>
      </w:r>
      <w:r>
        <w:rPr/>
        <w:t>identidades,</w:t>
      </w:r>
      <w:r>
        <w:rPr>
          <w:spacing w:val="-10"/>
        </w:rPr>
        <w:t> </w:t>
      </w:r>
      <w:r>
        <w:rPr/>
        <w:t>se</w:t>
      </w:r>
      <w:r>
        <w:rPr>
          <w:spacing w:val="-9"/>
        </w:rPr>
        <w:t> </w:t>
      </w:r>
      <w:r>
        <w:rPr/>
        <w:t>trata</w:t>
      </w:r>
      <w:r>
        <w:rPr>
          <w:spacing w:val="-9"/>
        </w:rPr>
        <w:t> </w:t>
      </w:r>
      <w:r>
        <w:rPr/>
        <w:t>pues</w:t>
      </w:r>
      <w:r>
        <w:rPr>
          <w:spacing w:val="-10"/>
        </w:rPr>
        <w:t> </w:t>
      </w:r>
      <w:r>
        <w:rPr/>
        <w:t>de</w:t>
      </w:r>
      <w:r>
        <w:rPr>
          <w:spacing w:val="-12"/>
        </w:rPr>
        <w:t> </w:t>
      </w:r>
      <w:r>
        <w:rPr/>
        <w:t>crear</w:t>
      </w:r>
      <w:r>
        <w:rPr>
          <w:spacing w:val="-11"/>
        </w:rPr>
        <w:t> </w:t>
      </w:r>
      <w:r>
        <w:rPr/>
        <w:t>una civilización, la cual en términos de Norbert Elias (1998) consiste en domesticar el impulso</w:t>
      </w:r>
      <w:r>
        <w:rPr>
          <w:spacing w:val="-12"/>
        </w:rPr>
        <w:t> </w:t>
      </w:r>
      <w:r>
        <w:rPr/>
        <w:t>natural</w:t>
      </w:r>
      <w:r>
        <w:rPr>
          <w:spacing w:val="-10"/>
        </w:rPr>
        <w:t> </w:t>
      </w:r>
      <w:r>
        <w:rPr/>
        <w:t>de</w:t>
      </w:r>
      <w:r>
        <w:rPr>
          <w:spacing w:val="-9"/>
        </w:rPr>
        <w:t> </w:t>
      </w:r>
      <w:r>
        <w:rPr/>
        <w:t>libertad</w:t>
      </w:r>
      <w:r>
        <w:rPr>
          <w:spacing w:val="-9"/>
        </w:rPr>
        <w:t> </w:t>
      </w:r>
      <w:r>
        <w:rPr/>
        <w:t>para</w:t>
      </w:r>
      <w:r>
        <w:rPr>
          <w:spacing w:val="-10"/>
        </w:rPr>
        <w:t> </w:t>
      </w:r>
      <w:r>
        <w:rPr/>
        <w:t>cumplir</w:t>
      </w:r>
      <w:r>
        <w:rPr>
          <w:spacing w:val="-11"/>
        </w:rPr>
        <w:t> </w:t>
      </w:r>
      <w:r>
        <w:rPr/>
        <w:t>con</w:t>
      </w:r>
      <w:r>
        <w:rPr>
          <w:spacing w:val="-9"/>
        </w:rPr>
        <w:t> </w:t>
      </w:r>
      <w:r>
        <w:rPr/>
        <w:t>las</w:t>
      </w:r>
      <w:r>
        <w:rPr>
          <w:spacing w:val="-10"/>
        </w:rPr>
        <w:t> </w:t>
      </w:r>
      <w:r>
        <w:rPr/>
        <w:t>normas</w:t>
      </w:r>
      <w:r>
        <w:rPr>
          <w:spacing w:val="-12"/>
        </w:rPr>
        <w:t> </w:t>
      </w:r>
      <w:r>
        <w:rPr/>
        <w:t>estructurales</w:t>
      </w:r>
      <w:r>
        <w:rPr>
          <w:spacing w:val="-10"/>
        </w:rPr>
        <w:t> </w:t>
      </w:r>
      <w:r>
        <w:rPr/>
        <w:t>creadas</w:t>
      </w:r>
      <w:r>
        <w:rPr>
          <w:spacing w:val="-12"/>
        </w:rPr>
        <w:t> </w:t>
      </w:r>
      <w:r>
        <w:rPr/>
        <w:t>por</w:t>
      </w:r>
      <w:r>
        <w:rPr>
          <w:spacing w:val="-11"/>
        </w:rPr>
        <w:t> </w:t>
      </w:r>
      <w:r>
        <w:rPr/>
        <w:t>la sociedad;</w:t>
      </w:r>
      <w:r>
        <w:rPr>
          <w:spacing w:val="-10"/>
        </w:rPr>
        <w:t> </w:t>
      </w:r>
      <w:r>
        <w:rPr/>
        <w:t>es</w:t>
      </w:r>
      <w:r>
        <w:rPr>
          <w:spacing w:val="-8"/>
        </w:rPr>
        <w:t> </w:t>
      </w:r>
      <w:r>
        <w:rPr/>
        <w:t>decir,</w:t>
      </w:r>
      <w:r>
        <w:rPr>
          <w:spacing w:val="-7"/>
        </w:rPr>
        <w:t> </w:t>
      </w:r>
      <w:r>
        <w:rPr/>
        <w:t>crear</w:t>
      </w:r>
      <w:r>
        <w:rPr>
          <w:spacing w:val="-8"/>
        </w:rPr>
        <w:t> </w:t>
      </w:r>
      <w:r>
        <w:rPr/>
        <w:t>una</w:t>
      </w:r>
      <w:r>
        <w:rPr>
          <w:spacing w:val="-7"/>
        </w:rPr>
        <w:t> </w:t>
      </w:r>
      <w:r>
        <w:rPr/>
        <w:t>conducta</w:t>
      </w:r>
      <w:r>
        <w:rPr>
          <w:spacing w:val="-7"/>
        </w:rPr>
        <w:t> </w:t>
      </w:r>
      <w:r>
        <w:rPr/>
        <w:t>regulada,</w:t>
      </w:r>
      <w:r>
        <w:rPr>
          <w:spacing w:val="-10"/>
        </w:rPr>
        <w:t> </w:t>
      </w:r>
      <w:r>
        <w:rPr/>
        <w:t>de</w:t>
      </w:r>
      <w:r>
        <w:rPr>
          <w:spacing w:val="-9"/>
        </w:rPr>
        <w:t> </w:t>
      </w:r>
      <w:r>
        <w:rPr/>
        <w:t>modo</w:t>
      </w:r>
      <w:r>
        <w:rPr>
          <w:spacing w:val="-9"/>
        </w:rPr>
        <w:t> </w:t>
      </w:r>
      <w:r>
        <w:rPr/>
        <w:t>que</w:t>
      </w:r>
      <w:r>
        <w:rPr>
          <w:spacing w:val="-7"/>
        </w:rPr>
        <w:t> </w:t>
      </w:r>
      <w:r>
        <w:rPr/>
        <w:t>aquella</w:t>
      </w:r>
      <w:r>
        <w:rPr>
          <w:spacing w:val="-7"/>
        </w:rPr>
        <w:t> </w:t>
      </w:r>
      <w:r>
        <w:rPr/>
        <w:t>persona</w:t>
      </w:r>
      <w:r>
        <w:rPr>
          <w:spacing w:val="-7"/>
        </w:rPr>
        <w:t> </w:t>
      </w:r>
      <w:r>
        <w:rPr>
          <w:spacing w:val="-2"/>
        </w:rPr>
        <w:t>que </w:t>
      </w:r>
      <w:r>
        <w:rPr/>
        <w:t>no</w:t>
      </w:r>
      <w:r>
        <w:rPr>
          <w:spacing w:val="-7"/>
        </w:rPr>
        <w:t> </w:t>
      </w:r>
      <w:r>
        <w:rPr/>
        <w:t>ha</w:t>
      </w:r>
      <w:r>
        <w:rPr>
          <w:spacing w:val="-7"/>
        </w:rPr>
        <w:t> </w:t>
      </w:r>
      <w:r>
        <w:rPr/>
        <w:t>adoptado</w:t>
      </w:r>
      <w:r>
        <w:rPr>
          <w:spacing w:val="-7"/>
        </w:rPr>
        <w:t> </w:t>
      </w:r>
      <w:r>
        <w:rPr/>
        <w:t>el</w:t>
      </w:r>
      <w:r>
        <w:rPr>
          <w:spacing w:val="-6"/>
        </w:rPr>
        <w:t> </w:t>
      </w:r>
      <w:r>
        <w:rPr/>
        <w:t>sentido</w:t>
      </w:r>
      <w:r>
        <w:rPr>
          <w:spacing w:val="-4"/>
        </w:rPr>
        <w:t> </w:t>
      </w:r>
      <w:r>
        <w:rPr/>
        <w:t>de</w:t>
      </w:r>
      <w:r>
        <w:rPr>
          <w:spacing w:val="-7"/>
        </w:rPr>
        <w:t> </w:t>
      </w:r>
      <w:r>
        <w:rPr/>
        <w:t>la</w:t>
      </w:r>
      <w:r>
        <w:rPr>
          <w:spacing w:val="-5"/>
        </w:rPr>
        <w:t> </w:t>
      </w:r>
      <w:r>
        <w:rPr/>
        <w:t>civilización</w:t>
      </w:r>
      <w:r>
        <w:rPr>
          <w:spacing w:val="-4"/>
        </w:rPr>
        <w:t> </w:t>
      </w:r>
      <w:r>
        <w:rPr/>
        <w:t>es</w:t>
      </w:r>
      <w:r>
        <w:rPr>
          <w:spacing w:val="-8"/>
        </w:rPr>
        <w:t> </w:t>
      </w:r>
      <w:r>
        <w:rPr/>
        <w:t>desterrada</w:t>
      </w:r>
      <w:r>
        <w:rPr>
          <w:spacing w:val="-7"/>
        </w:rPr>
        <w:t> </w:t>
      </w:r>
      <w:r>
        <w:rPr/>
        <w:t>del</w:t>
      </w:r>
      <w:r>
        <w:rPr>
          <w:spacing w:val="-6"/>
        </w:rPr>
        <w:t> </w:t>
      </w:r>
      <w:r>
        <w:rPr/>
        <w:t>grupo.</w:t>
      </w:r>
      <w:r>
        <w:rPr>
          <w:spacing w:val="-7"/>
        </w:rPr>
        <w:t> </w:t>
      </w:r>
      <w:r>
        <w:rPr/>
        <w:t>Se</w:t>
      </w:r>
      <w:r>
        <w:rPr>
          <w:spacing w:val="-7"/>
        </w:rPr>
        <w:t> </w:t>
      </w:r>
      <w:r>
        <w:rPr/>
        <w:t>debe</w:t>
      </w:r>
      <w:r>
        <w:rPr>
          <w:spacing w:val="1"/>
        </w:rPr>
        <w:t> </w:t>
      </w:r>
      <w:r>
        <w:rPr/>
        <w:t>incluir la transparencia en la vida organizacional para hacerla endógena (Arellano,</w:t>
      </w:r>
      <w:r>
        <w:rPr>
          <w:spacing w:val="-29"/>
        </w:rPr>
        <w:t> </w:t>
      </w:r>
      <w:r>
        <w:rPr/>
        <w:t>2007).</w:t>
      </w:r>
    </w:p>
    <w:p>
      <w:pPr>
        <w:pStyle w:val="BodyText"/>
      </w:pPr>
    </w:p>
    <w:p>
      <w:pPr>
        <w:pStyle w:val="BodyText"/>
      </w:pPr>
    </w:p>
    <w:p>
      <w:pPr>
        <w:pStyle w:val="BodyText"/>
        <w:spacing w:before="2"/>
        <w:rPr>
          <w:sz w:val="23"/>
        </w:rPr>
      </w:pPr>
    </w:p>
    <w:p>
      <w:pPr>
        <w:pStyle w:val="BodyText"/>
        <w:spacing w:line="360" w:lineRule="auto"/>
        <w:ind w:left="102" w:right="118"/>
        <w:jc w:val="both"/>
      </w:pPr>
      <w:r>
        <w:rPr/>
        <w:t>Es</w:t>
      </w:r>
      <w:r>
        <w:rPr>
          <w:spacing w:val="-5"/>
        </w:rPr>
        <w:t> </w:t>
      </w:r>
      <w:r>
        <w:rPr/>
        <w:t>pertinente</w:t>
      </w:r>
      <w:r>
        <w:rPr>
          <w:spacing w:val="-4"/>
        </w:rPr>
        <w:t> </w:t>
      </w:r>
      <w:r>
        <w:rPr/>
        <w:t>señalar</w:t>
      </w:r>
      <w:r>
        <w:rPr>
          <w:spacing w:val="-6"/>
        </w:rPr>
        <w:t> </w:t>
      </w:r>
      <w:r>
        <w:rPr/>
        <w:t>también</w:t>
      </w:r>
      <w:r>
        <w:rPr>
          <w:spacing w:val="-5"/>
        </w:rPr>
        <w:t> </w:t>
      </w:r>
      <w:r>
        <w:rPr/>
        <w:t>que,</w:t>
      </w:r>
      <w:r>
        <w:rPr>
          <w:spacing w:val="-4"/>
        </w:rPr>
        <w:t> </w:t>
      </w:r>
      <w:r>
        <w:rPr/>
        <w:t>si</w:t>
      </w:r>
      <w:r>
        <w:rPr>
          <w:spacing w:val="-6"/>
        </w:rPr>
        <w:t> </w:t>
      </w:r>
      <w:r>
        <w:rPr/>
        <w:t>bien</w:t>
      </w:r>
      <w:r>
        <w:rPr>
          <w:spacing w:val="-5"/>
        </w:rPr>
        <w:t> </w:t>
      </w:r>
      <w:r>
        <w:rPr/>
        <w:t>las</w:t>
      </w:r>
      <w:r>
        <w:rPr>
          <w:spacing w:val="-7"/>
        </w:rPr>
        <w:t> </w:t>
      </w:r>
      <w:r>
        <w:rPr/>
        <w:t>leyes</w:t>
      </w:r>
      <w:r>
        <w:rPr>
          <w:spacing w:val="-5"/>
        </w:rPr>
        <w:t> </w:t>
      </w:r>
      <w:r>
        <w:rPr/>
        <w:t>de</w:t>
      </w:r>
      <w:r>
        <w:rPr>
          <w:spacing w:val="-5"/>
        </w:rPr>
        <w:t> </w:t>
      </w:r>
      <w:r>
        <w:rPr/>
        <w:t>transparencia</w:t>
      </w:r>
      <w:r>
        <w:rPr>
          <w:spacing w:val="-2"/>
        </w:rPr>
        <w:t> </w:t>
      </w:r>
      <w:r>
        <w:rPr/>
        <w:t>han</w:t>
      </w:r>
      <w:r>
        <w:rPr>
          <w:spacing w:val="-5"/>
        </w:rPr>
        <w:t> </w:t>
      </w:r>
      <w:r>
        <w:rPr/>
        <w:t>intentado establecer</w:t>
      </w:r>
      <w:r>
        <w:rPr>
          <w:spacing w:val="-13"/>
        </w:rPr>
        <w:t> </w:t>
      </w:r>
      <w:r>
        <w:rPr/>
        <w:t>las</w:t>
      </w:r>
      <w:r>
        <w:rPr>
          <w:spacing w:val="-12"/>
        </w:rPr>
        <w:t> </w:t>
      </w:r>
      <w:r>
        <w:rPr/>
        <w:t>condiciones,</w:t>
      </w:r>
      <w:r>
        <w:rPr>
          <w:spacing w:val="-12"/>
        </w:rPr>
        <w:t> </w:t>
      </w:r>
      <w:r>
        <w:rPr/>
        <w:t>los</w:t>
      </w:r>
      <w:r>
        <w:rPr>
          <w:spacing w:val="-12"/>
        </w:rPr>
        <w:t> </w:t>
      </w:r>
      <w:r>
        <w:rPr/>
        <w:t>procedimientos</w:t>
      </w:r>
      <w:r>
        <w:rPr>
          <w:spacing w:val="-13"/>
        </w:rPr>
        <w:t> </w:t>
      </w:r>
      <w:r>
        <w:rPr/>
        <w:t>y</w:t>
      </w:r>
      <w:r>
        <w:rPr>
          <w:spacing w:val="-13"/>
        </w:rPr>
        <w:t> </w:t>
      </w:r>
      <w:r>
        <w:rPr/>
        <w:t>los</w:t>
      </w:r>
      <w:r>
        <w:rPr>
          <w:spacing w:val="-12"/>
        </w:rPr>
        <w:t> </w:t>
      </w:r>
      <w:r>
        <w:rPr/>
        <w:t>órganos</w:t>
      </w:r>
      <w:r>
        <w:rPr>
          <w:spacing w:val="-13"/>
        </w:rPr>
        <w:t> </w:t>
      </w:r>
      <w:r>
        <w:rPr/>
        <w:t>específicos</w:t>
      </w:r>
      <w:r>
        <w:rPr>
          <w:spacing w:val="-13"/>
        </w:rPr>
        <w:t> </w:t>
      </w:r>
      <w:r>
        <w:rPr/>
        <w:t>para</w:t>
      </w:r>
      <w:r>
        <w:rPr>
          <w:spacing w:val="-12"/>
        </w:rPr>
        <w:t> </w:t>
      </w:r>
      <w:r>
        <w:rPr/>
        <w:t>hacer posible</w:t>
      </w:r>
      <w:r>
        <w:rPr>
          <w:spacing w:val="-4"/>
        </w:rPr>
        <w:t> </w:t>
      </w:r>
      <w:r>
        <w:rPr/>
        <w:t>que</w:t>
      </w:r>
      <w:r>
        <w:rPr>
          <w:spacing w:val="-4"/>
        </w:rPr>
        <w:t> </w:t>
      </w:r>
      <w:r>
        <w:rPr/>
        <w:t>se</w:t>
      </w:r>
      <w:r>
        <w:rPr>
          <w:spacing w:val="-6"/>
        </w:rPr>
        <w:t> </w:t>
      </w:r>
      <w:r>
        <w:rPr/>
        <w:t>cumpla</w:t>
      </w:r>
      <w:r>
        <w:rPr>
          <w:spacing w:val="-6"/>
        </w:rPr>
        <w:t> </w:t>
      </w:r>
      <w:r>
        <w:rPr/>
        <w:t>el</w:t>
      </w:r>
      <w:r>
        <w:rPr>
          <w:spacing w:val="-5"/>
        </w:rPr>
        <w:t> </w:t>
      </w:r>
      <w:r>
        <w:rPr/>
        <w:t>derecho</w:t>
      </w:r>
      <w:r>
        <w:rPr>
          <w:spacing w:val="-6"/>
        </w:rPr>
        <w:t> </w:t>
      </w:r>
      <w:r>
        <w:rPr/>
        <w:t>de</w:t>
      </w:r>
      <w:r>
        <w:rPr>
          <w:spacing w:val="-6"/>
        </w:rPr>
        <w:t> </w:t>
      </w:r>
      <w:r>
        <w:rPr/>
        <w:t>acceder</w:t>
      </w:r>
      <w:r>
        <w:rPr>
          <w:spacing w:val="-7"/>
        </w:rPr>
        <w:t> </w:t>
      </w:r>
      <w:r>
        <w:rPr/>
        <w:t>a</w:t>
      </w:r>
      <w:r>
        <w:rPr>
          <w:spacing w:val="-4"/>
        </w:rPr>
        <w:t> </w:t>
      </w:r>
      <w:r>
        <w:rPr/>
        <w:t>la</w:t>
      </w:r>
      <w:r>
        <w:rPr>
          <w:spacing w:val="-4"/>
        </w:rPr>
        <w:t> </w:t>
      </w:r>
      <w:r>
        <w:rPr/>
        <w:t>información</w:t>
      </w:r>
      <w:r>
        <w:rPr>
          <w:spacing w:val="-5"/>
        </w:rPr>
        <w:t> </w:t>
      </w:r>
      <w:r>
        <w:rPr/>
        <w:t>pública,</w:t>
      </w:r>
      <w:r>
        <w:rPr>
          <w:spacing w:val="-4"/>
        </w:rPr>
        <w:t> </w:t>
      </w:r>
      <w:r>
        <w:rPr/>
        <w:t>también</w:t>
      </w:r>
      <w:r>
        <w:rPr>
          <w:spacing w:val="-6"/>
        </w:rPr>
        <w:t> </w:t>
      </w:r>
      <w:r>
        <w:rPr/>
        <w:t>han establecido restricciones diferenciadas que tienden más a privilegiar el interés de los propios poderes públicos que el derecho de las personas (Merino, 2006). Cabe hacer mención que debido a que “La manera legal de cambiar la Constitución es tan lenta y tan penosa, que nos vemos forzados a adoptar una serie de ficciones cómodas que nos permiten conservar las formas sin obedecer laboriosamente   </w:t>
      </w:r>
      <w:r>
        <w:rPr>
          <w:spacing w:val="9"/>
        </w:rPr>
        <w:t> </w:t>
      </w:r>
      <w:r>
        <w:rPr/>
        <w:t>al</w:t>
      </w:r>
    </w:p>
    <w:p>
      <w:pPr>
        <w:spacing w:after="0" w:line="360" w:lineRule="auto"/>
        <w:jc w:val="both"/>
        <w:sectPr>
          <w:pgSz w:w="12240" w:h="15840"/>
          <w:pgMar w:header="0" w:footer="975" w:top="1360" w:bottom="1220" w:left="1600" w:right="1580"/>
        </w:sectPr>
      </w:pPr>
    </w:p>
    <w:p>
      <w:pPr>
        <w:pStyle w:val="BodyText"/>
        <w:spacing w:line="360" w:lineRule="auto" w:before="54"/>
        <w:ind w:left="102" w:right="118"/>
        <w:jc w:val="both"/>
      </w:pPr>
      <w:r>
        <w:rPr/>
        <w:t>espíritu de la Constitución, que se ensanchará a medida que la nación se agrande” (Wilson, 2002, 135). Asimismo, que la aprobación de 28 de las 32 leyes locales en cuatro años plantea la posibilidad de que los gobernantes solo tengan la intención de mejorar su imagen y la de sus partidos durante los procesos electorales, más que la intención de ser realmente transparentes (Guerrero y Ramírez, 2006).</w:t>
      </w:r>
    </w:p>
    <w:p>
      <w:pPr>
        <w:pStyle w:val="BodyText"/>
      </w:pPr>
    </w:p>
    <w:p>
      <w:pPr>
        <w:pStyle w:val="BodyText"/>
      </w:pPr>
    </w:p>
    <w:p>
      <w:pPr>
        <w:pStyle w:val="BodyText"/>
        <w:spacing w:line="360" w:lineRule="auto" w:before="187"/>
        <w:ind w:left="102" w:right="116"/>
        <w:jc w:val="both"/>
      </w:pPr>
      <w:r>
        <w:rPr/>
        <w:t>En este marco de referencia cabe destacar que la ley de transparencia del Estado de México establecía que a partir de 2005 los municipios deberían observar su cumplimiento</w:t>
      </w:r>
      <w:r>
        <w:rPr>
          <w:spacing w:val="-17"/>
        </w:rPr>
        <w:t> </w:t>
      </w:r>
      <w:r>
        <w:rPr/>
        <w:t>a</w:t>
      </w:r>
      <w:r>
        <w:rPr>
          <w:spacing w:val="-17"/>
        </w:rPr>
        <w:t> </w:t>
      </w:r>
      <w:r>
        <w:rPr/>
        <w:t>través</w:t>
      </w:r>
      <w:r>
        <w:rPr>
          <w:spacing w:val="-17"/>
        </w:rPr>
        <w:t> </w:t>
      </w:r>
      <w:r>
        <w:rPr/>
        <w:t>de</w:t>
      </w:r>
      <w:r>
        <w:rPr>
          <w:spacing w:val="-14"/>
        </w:rPr>
        <w:t> </w:t>
      </w:r>
      <w:r>
        <w:rPr/>
        <w:t>la</w:t>
      </w:r>
      <w:r>
        <w:rPr>
          <w:spacing w:val="-17"/>
        </w:rPr>
        <w:t> </w:t>
      </w:r>
      <w:r>
        <w:rPr/>
        <w:t>publicación</w:t>
      </w:r>
      <w:r>
        <w:rPr>
          <w:spacing w:val="-10"/>
        </w:rPr>
        <w:t> </w:t>
      </w:r>
      <w:r>
        <w:rPr/>
        <w:t>y</w:t>
      </w:r>
      <w:r>
        <w:rPr>
          <w:spacing w:val="-17"/>
        </w:rPr>
        <w:t> </w:t>
      </w:r>
      <w:r>
        <w:rPr/>
        <w:t>el</w:t>
      </w:r>
      <w:r>
        <w:rPr>
          <w:spacing w:val="-18"/>
        </w:rPr>
        <w:t> </w:t>
      </w:r>
      <w:r>
        <w:rPr/>
        <w:t>mantenimiento</w:t>
      </w:r>
      <w:r>
        <w:rPr>
          <w:spacing w:val="-16"/>
        </w:rPr>
        <w:t> </w:t>
      </w:r>
      <w:r>
        <w:rPr/>
        <w:t>actualizado</w:t>
      </w:r>
      <w:r>
        <w:rPr>
          <w:spacing w:val="-17"/>
        </w:rPr>
        <w:t> </w:t>
      </w:r>
      <w:r>
        <w:rPr/>
        <w:t>de</w:t>
      </w:r>
      <w:r>
        <w:rPr>
          <w:spacing w:val="-12"/>
        </w:rPr>
        <w:t> </w:t>
      </w:r>
      <w:r>
        <w:rPr/>
        <w:t>su</w:t>
      </w:r>
      <w:r>
        <w:rPr>
          <w:spacing w:val="-16"/>
        </w:rPr>
        <w:t> </w:t>
      </w:r>
      <w:r>
        <w:rPr/>
        <w:t>página web,</w:t>
      </w:r>
      <w:r>
        <w:rPr>
          <w:spacing w:val="-5"/>
        </w:rPr>
        <w:t> </w:t>
      </w:r>
      <w:r>
        <w:rPr/>
        <w:t>o</w:t>
      </w:r>
      <w:r>
        <w:rPr>
          <w:spacing w:val="-4"/>
        </w:rPr>
        <w:t> </w:t>
      </w:r>
      <w:r>
        <w:rPr/>
        <w:t>con</w:t>
      </w:r>
      <w:r>
        <w:rPr>
          <w:spacing w:val="-4"/>
        </w:rPr>
        <w:t> </w:t>
      </w:r>
      <w:r>
        <w:rPr/>
        <w:t>la</w:t>
      </w:r>
      <w:r>
        <w:rPr>
          <w:spacing w:val="-5"/>
        </w:rPr>
        <w:t> </w:t>
      </w:r>
      <w:r>
        <w:rPr/>
        <w:t>impresión</w:t>
      </w:r>
      <w:r>
        <w:rPr>
          <w:spacing w:val="-5"/>
        </w:rPr>
        <w:t> </w:t>
      </w:r>
      <w:r>
        <w:rPr/>
        <w:t>de</w:t>
      </w:r>
      <w:r>
        <w:rPr>
          <w:spacing w:val="-3"/>
        </w:rPr>
        <w:t> </w:t>
      </w:r>
      <w:r>
        <w:rPr/>
        <w:t>la</w:t>
      </w:r>
      <w:r>
        <w:rPr>
          <w:spacing w:val="-7"/>
        </w:rPr>
        <w:t> </w:t>
      </w:r>
      <w:r>
        <w:rPr/>
        <w:t>información</w:t>
      </w:r>
      <w:r>
        <w:rPr>
          <w:spacing w:val="-7"/>
        </w:rPr>
        <w:t> </w:t>
      </w:r>
      <w:r>
        <w:rPr/>
        <w:t>pública</w:t>
      </w:r>
      <w:r>
        <w:rPr>
          <w:spacing w:val="-5"/>
        </w:rPr>
        <w:t> </w:t>
      </w:r>
      <w:r>
        <w:rPr/>
        <w:t>establecida</w:t>
      </w:r>
      <w:r>
        <w:rPr>
          <w:spacing w:val="-7"/>
        </w:rPr>
        <w:t> </w:t>
      </w:r>
      <w:r>
        <w:rPr/>
        <w:t>en</w:t>
      </w:r>
      <w:r>
        <w:rPr>
          <w:spacing w:val="-7"/>
        </w:rPr>
        <w:t> </w:t>
      </w:r>
      <w:r>
        <w:rPr/>
        <w:t>el</w:t>
      </w:r>
      <w:r>
        <w:rPr>
          <w:spacing w:val="-8"/>
        </w:rPr>
        <w:t> </w:t>
      </w:r>
      <w:r>
        <w:rPr/>
        <w:t>artículo</w:t>
      </w:r>
      <w:r>
        <w:rPr>
          <w:spacing w:val="-5"/>
        </w:rPr>
        <w:t> </w:t>
      </w:r>
      <w:r>
        <w:rPr/>
        <w:t>12</w:t>
      </w:r>
      <w:r>
        <w:rPr>
          <w:spacing w:val="-7"/>
        </w:rPr>
        <w:t> </w:t>
      </w:r>
      <w:r>
        <w:rPr/>
        <w:t>de</w:t>
      </w:r>
      <w:r>
        <w:rPr>
          <w:spacing w:val="-7"/>
        </w:rPr>
        <w:t> </w:t>
      </w:r>
      <w:r>
        <w:rPr/>
        <w:t>la misma, la cual iba a ser vigilada por órganos autónomos. Es necesario señalar</w:t>
      </w:r>
      <w:r>
        <w:rPr>
          <w:spacing w:val="-33"/>
        </w:rPr>
        <w:t> </w:t>
      </w:r>
      <w:r>
        <w:rPr/>
        <w:t>que a</w:t>
      </w:r>
      <w:r>
        <w:rPr>
          <w:spacing w:val="-8"/>
        </w:rPr>
        <w:t> </w:t>
      </w:r>
      <w:r>
        <w:rPr/>
        <w:t>nivel</w:t>
      </w:r>
      <w:r>
        <w:rPr>
          <w:spacing w:val="-10"/>
        </w:rPr>
        <w:t> </w:t>
      </w:r>
      <w:r>
        <w:rPr/>
        <w:t>estatal</w:t>
      </w:r>
      <w:r>
        <w:rPr>
          <w:spacing w:val="-10"/>
        </w:rPr>
        <w:t> </w:t>
      </w:r>
      <w:r>
        <w:rPr/>
        <w:t>las</w:t>
      </w:r>
      <w:r>
        <w:rPr>
          <w:spacing w:val="-11"/>
        </w:rPr>
        <w:t> </w:t>
      </w:r>
      <w:r>
        <w:rPr/>
        <w:t>modificaciones</w:t>
      </w:r>
      <w:r>
        <w:rPr>
          <w:spacing w:val="-12"/>
        </w:rPr>
        <w:t> </w:t>
      </w:r>
      <w:r>
        <w:rPr/>
        <w:t>a</w:t>
      </w:r>
      <w:r>
        <w:rPr>
          <w:spacing w:val="-8"/>
        </w:rPr>
        <w:t> </w:t>
      </w:r>
      <w:r>
        <w:rPr/>
        <w:t>la</w:t>
      </w:r>
      <w:r>
        <w:rPr>
          <w:spacing w:val="-9"/>
        </w:rPr>
        <w:t> </w:t>
      </w:r>
      <w:r>
        <w:rPr/>
        <w:t>ley</w:t>
      </w:r>
      <w:r>
        <w:rPr>
          <w:spacing w:val="-11"/>
        </w:rPr>
        <w:t> </w:t>
      </w:r>
      <w:r>
        <w:rPr/>
        <w:t>de</w:t>
      </w:r>
      <w:r>
        <w:rPr>
          <w:spacing w:val="-8"/>
        </w:rPr>
        <w:t> </w:t>
      </w:r>
      <w:r>
        <w:rPr/>
        <w:t>transparencia</w:t>
      </w:r>
      <w:r>
        <w:rPr>
          <w:spacing w:val="-11"/>
        </w:rPr>
        <w:t> </w:t>
      </w:r>
      <w:r>
        <w:rPr/>
        <w:t>han</w:t>
      </w:r>
      <w:r>
        <w:rPr>
          <w:spacing w:val="-8"/>
        </w:rPr>
        <w:t> </w:t>
      </w:r>
      <w:r>
        <w:rPr/>
        <w:t>sido</w:t>
      </w:r>
      <w:r>
        <w:rPr>
          <w:spacing w:val="-11"/>
        </w:rPr>
        <w:t> </w:t>
      </w:r>
      <w:r>
        <w:rPr/>
        <w:t>más</w:t>
      </w:r>
      <w:r>
        <w:rPr>
          <w:spacing w:val="-9"/>
        </w:rPr>
        <w:t> </w:t>
      </w:r>
      <w:r>
        <w:rPr/>
        <w:t>numerosas que a nivel federal, en tanto que se trata de precisar según las condiciones del Estado, pero fueron insuficientes hasta 2013, cuando le dan la facultad al INFOEM de evaluar el cumplimiento de la</w:t>
      </w:r>
      <w:r>
        <w:rPr>
          <w:spacing w:val="-20"/>
        </w:rPr>
        <w:t> </w:t>
      </w:r>
      <w:r>
        <w:rPr/>
        <w:t>transparencia.</w:t>
      </w:r>
    </w:p>
    <w:p>
      <w:pPr>
        <w:pStyle w:val="BodyText"/>
      </w:pPr>
    </w:p>
    <w:p>
      <w:pPr>
        <w:pStyle w:val="BodyText"/>
      </w:pPr>
    </w:p>
    <w:p>
      <w:pPr>
        <w:pStyle w:val="BodyText"/>
        <w:spacing w:before="7"/>
        <w:rPr>
          <w:sz w:val="19"/>
        </w:rPr>
      </w:pPr>
    </w:p>
    <w:p>
      <w:pPr>
        <w:pStyle w:val="BodyText"/>
        <w:spacing w:line="360" w:lineRule="auto" w:before="1"/>
        <w:ind w:left="102" w:right="117"/>
        <w:jc w:val="both"/>
      </w:pPr>
      <w:r>
        <w:rPr/>
        <w:t>Se ha descrito anteriormente que la ley es una condición básica para la transparencia, pero no es suficiente. Al respecto se puede mencionar que la gran disparidad de aspectos normativos que se da en los municipios demuestra esta afirmación.</w:t>
      </w:r>
    </w:p>
    <w:p>
      <w:pPr>
        <w:pStyle w:val="BodyText"/>
      </w:pPr>
    </w:p>
    <w:p>
      <w:pPr>
        <w:pStyle w:val="BodyText"/>
      </w:pPr>
    </w:p>
    <w:p>
      <w:pPr>
        <w:pStyle w:val="BodyText"/>
        <w:spacing w:line="360" w:lineRule="auto" w:before="185"/>
        <w:ind w:left="102" w:right="116"/>
        <w:jc w:val="both"/>
      </w:pPr>
      <w:r>
        <w:rPr/>
        <w:t>Aun</w:t>
      </w:r>
      <w:r>
        <w:rPr>
          <w:spacing w:val="-4"/>
        </w:rPr>
        <w:t> </w:t>
      </w:r>
      <w:r>
        <w:rPr/>
        <w:t>cuando</w:t>
      </w:r>
      <w:r>
        <w:rPr>
          <w:spacing w:val="-4"/>
        </w:rPr>
        <w:t> </w:t>
      </w:r>
      <w:r>
        <w:rPr/>
        <w:t>la</w:t>
      </w:r>
      <w:r>
        <w:rPr>
          <w:spacing w:val="-4"/>
        </w:rPr>
        <w:t> </w:t>
      </w:r>
      <w:r>
        <w:rPr/>
        <w:t>ley</w:t>
      </w:r>
      <w:r>
        <w:rPr>
          <w:spacing w:val="-6"/>
        </w:rPr>
        <w:t> </w:t>
      </w:r>
      <w:r>
        <w:rPr/>
        <w:t>no</w:t>
      </w:r>
      <w:r>
        <w:rPr>
          <w:spacing w:val="-4"/>
        </w:rPr>
        <w:t> </w:t>
      </w:r>
      <w:r>
        <w:rPr/>
        <w:t>es</w:t>
      </w:r>
      <w:r>
        <w:rPr>
          <w:spacing w:val="-4"/>
        </w:rPr>
        <w:t> </w:t>
      </w:r>
      <w:r>
        <w:rPr/>
        <w:t>condición</w:t>
      </w:r>
      <w:r>
        <w:rPr>
          <w:spacing w:val="-4"/>
        </w:rPr>
        <w:t> </w:t>
      </w:r>
      <w:r>
        <w:rPr/>
        <w:t>suficiente</w:t>
      </w:r>
      <w:r>
        <w:rPr>
          <w:spacing w:val="-6"/>
        </w:rPr>
        <w:t> </w:t>
      </w:r>
      <w:r>
        <w:rPr/>
        <w:t>para</w:t>
      </w:r>
      <w:r>
        <w:rPr>
          <w:spacing w:val="-4"/>
        </w:rPr>
        <w:t> </w:t>
      </w:r>
      <w:r>
        <w:rPr/>
        <w:t>la</w:t>
      </w:r>
      <w:r>
        <w:rPr>
          <w:spacing w:val="-4"/>
        </w:rPr>
        <w:t> </w:t>
      </w:r>
      <w:r>
        <w:rPr/>
        <w:t>transparencia,</w:t>
      </w:r>
      <w:r>
        <w:rPr>
          <w:spacing w:val="-6"/>
        </w:rPr>
        <w:t> </w:t>
      </w:r>
      <w:r>
        <w:rPr/>
        <w:t>sí</w:t>
      </w:r>
      <w:r>
        <w:rPr>
          <w:spacing w:val="1"/>
        </w:rPr>
        <w:t> </w:t>
      </w:r>
      <w:r>
        <w:rPr/>
        <w:t>es</w:t>
      </w:r>
      <w:r>
        <w:rPr>
          <w:spacing w:val="-4"/>
        </w:rPr>
        <w:t> </w:t>
      </w:r>
      <w:r>
        <w:rPr/>
        <w:t>necesaria. Por</w:t>
      </w:r>
      <w:r>
        <w:rPr>
          <w:spacing w:val="-8"/>
        </w:rPr>
        <w:t> </w:t>
      </w:r>
      <w:r>
        <w:rPr/>
        <w:t>ello</w:t>
      </w:r>
      <w:r>
        <w:rPr>
          <w:spacing w:val="-7"/>
        </w:rPr>
        <w:t> </w:t>
      </w:r>
      <w:r>
        <w:rPr/>
        <w:t>se</w:t>
      </w:r>
      <w:r>
        <w:rPr>
          <w:spacing w:val="-7"/>
        </w:rPr>
        <w:t> </w:t>
      </w:r>
      <w:r>
        <w:rPr/>
        <w:t>debe</w:t>
      </w:r>
      <w:r>
        <w:rPr>
          <w:spacing w:val="-7"/>
        </w:rPr>
        <w:t> </w:t>
      </w:r>
      <w:r>
        <w:rPr/>
        <w:t>revisar</w:t>
      </w:r>
      <w:r>
        <w:rPr>
          <w:spacing w:val="-8"/>
        </w:rPr>
        <w:t> </w:t>
      </w:r>
      <w:r>
        <w:rPr/>
        <w:t>exhaustivamente</w:t>
      </w:r>
      <w:r>
        <w:rPr>
          <w:spacing w:val="-7"/>
        </w:rPr>
        <w:t> </w:t>
      </w:r>
      <w:r>
        <w:rPr/>
        <w:t>para</w:t>
      </w:r>
      <w:r>
        <w:rPr>
          <w:spacing w:val="-7"/>
        </w:rPr>
        <w:t> </w:t>
      </w:r>
      <w:r>
        <w:rPr/>
        <w:t>garantizar</w:t>
      </w:r>
      <w:r>
        <w:rPr>
          <w:spacing w:val="-8"/>
        </w:rPr>
        <w:t> </w:t>
      </w:r>
      <w:r>
        <w:rPr/>
        <w:t>su</w:t>
      </w:r>
      <w:r>
        <w:rPr>
          <w:spacing w:val="-7"/>
        </w:rPr>
        <w:t> </w:t>
      </w:r>
      <w:r>
        <w:rPr/>
        <w:t>funcionamiento</w:t>
      </w:r>
      <w:r>
        <w:rPr>
          <w:spacing w:val="-7"/>
        </w:rPr>
        <w:t> </w:t>
      </w:r>
      <w:r>
        <w:rPr/>
        <w:t>ya</w:t>
      </w:r>
      <w:r>
        <w:rPr>
          <w:spacing w:val="-7"/>
        </w:rPr>
        <w:t> </w:t>
      </w:r>
      <w:r>
        <w:rPr/>
        <w:t>que cuando la ley no está bien diseñada se convierte en un obstáculo para la transparencia (Guerrero,</w:t>
      </w:r>
      <w:r>
        <w:rPr>
          <w:spacing w:val="-11"/>
        </w:rPr>
        <w:t> </w:t>
      </w:r>
      <w:r>
        <w:rPr/>
        <w:t>2008).</w:t>
      </w:r>
    </w:p>
    <w:p>
      <w:pPr>
        <w:pStyle w:val="BodyText"/>
      </w:pPr>
    </w:p>
    <w:p>
      <w:pPr>
        <w:pStyle w:val="BodyText"/>
      </w:pPr>
    </w:p>
    <w:p>
      <w:pPr>
        <w:pStyle w:val="BodyText"/>
        <w:spacing w:before="11"/>
        <w:rPr>
          <w:sz w:val="22"/>
        </w:rPr>
      </w:pPr>
    </w:p>
    <w:p>
      <w:pPr>
        <w:pStyle w:val="BodyText"/>
        <w:spacing w:line="360" w:lineRule="auto"/>
        <w:ind w:left="102" w:right="118"/>
        <w:jc w:val="both"/>
      </w:pPr>
      <w:r>
        <w:rPr/>
        <w:t>Sin embargo, solo por medio de la expansión de nuestro conocimiento científico</w:t>
      </w:r>
      <w:r>
        <w:rPr>
          <w:spacing w:val="-36"/>
        </w:rPr>
        <w:t> </w:t>
      </w:r>
      <w:r>
        <w:rPr/>
        <w:t>de los orígenes, la naturaleza y el desarrollo de las leyes de acceso a la  </w:t>
      </w:r>
      <w:r>
        <w:rPr>
          <w:spacing w:val="43"/>
        </w:rPr>
        <w:t> </w:t>
      </w:r>
      <w:r>
        <w:rPr/>
        <w:t>información</w:t>
      </w:r>
    </w:p>
    <w:p>
      <w:pPr>
        <w:spacing w:after="0" w:line="360" w:lineRule="auto"/>
        <w:jc w:val="both"/>
        <w:sectPr>
          <w:pgSz w:w="12240" w:h="15840"/>
          <w:pgMar w:header="0" w:footer="975" w:top="1360" w:bottom="1220" w:left="1600" w:right="1580"/>
        </w:sectPr>
      </w:pPr>
    </w:p>
    <w:p>
      <w:pPr>
        <w:pStyle w:val="BodyText"/>
        <w:spacing w:line="360" w:lineRule="auto" w:before="54"/>
        <w:ind w:left="102" w:right="116"/>
        <w:jc w:val="both"/>
      </w:pPr>
      <w:r>
        <w:rPr/>
        <w:t>se puede consolidar el derecho a la información (Ackerman y Sandoval, 2015). Asimismo,</w:t>
      </w:r>
      <w:r>
        <w:rPr>
          <w:spacing w:val="-12"/>
        </w:rPr>
        <w:t> </w:t>
      </w:r>
      <w:r>
        <w:rPr/>
        <w:t>señala</w:t>
      </w:r>
      <w:r>
        <w:rPr>
          <w:spacing w:val="-12"/>
        </w:rPr>
        <w:t> </w:t>
      </w:r>
      <w:r>
        <w:rPr/>
        <w:t>Merino</w:t>
      </w:r>
      <w:r>
        <w:rPr>
          <w:spacing w:val="-12"/>
        </w:rPr>
        <w:t> </w:t>
      </w:r>
      <w:r>
        <w:rPr/>
        <w:t>(2006)</w:t>
      </w:r>
      <w:r>
        <w:rPr>
          <w:spacing w:val="-13"/>
        </w:rPr>
        <w:t> </w:t>
      </w:r>
      <w:r>
        <w:rPr/>
        <w:t>que</w:t>
      </w:r>
      <w:r>
        <w:rPr>
          <w:spacing w:val="-13"/>
        </w:rPr>
        <w:t> </w:t>
      </w:r>
      <w:r>
        <w:rPr/>
        <w:t>a</w:t>
      </w:r>
      <w:r>
        <w:rPr>
          <w:spacing w:val="-12"/>
        </w:rPr>
        <w:t> </w:t>
      </w:r>
      <w:r>
        <w:rPr/>
        <w:t>partir</w:t>
      </w:r>
      <w:r>
        <w:rPr>
          <w:spacing w:val="-13"/>
        </w:rPr>
        <w:t> </w:t>
      </w:r>
      <w:r>
        <w:rPr/>
        <w:t>de</w:t>
      </w:r>
      <w:r>
        <w:rPr>
          <w:spacing w:val="-12"/>
        </w:rPr>
        <w:t> </w:t>
      </w:r>
      <w:r>
        <w:rPr/>
        <w:t>la</w:t>
      </w:r>
      <w:r>
        <w:rPr>
          <w:spacing w:val="-12"/>
        </w:rPr>
        <w:t> </w:t>
      </w:r>
      <w:r>
        <w:rPr/>
        <w:t>comparación</w:t>
      </w:r>
      <w:r>
        <w:rPr>
          <w:spacing w:val="-12"/>
        </w:rPr>
        <w:t> </w:t>
      </w:r>
      <w:r>
        <w:rPr/>
        <w:t>entre</w:t>
      </w:r>
      <w:r>
        <w:rPr>
          <w:spacing w:val="-12"/>
        </w:rPr>
        <w:t> </w:t>
      </w:r>
      <w:r>
        <w:rPr/>
        <w:t>los</w:t>
      </w:r>
      <w:r>
        <w:rPr>
          <w:spacing w:val="-12"/>
        </w:rPr>
        <w:t> </w:t>
      </w:r>
      <w:r>
        <w:rPr/>
        <w:t>principales elementos pasivos, activos y coactivos que componen el derecho de acceso a la información pública, se ha demostrado que las legislaciones estatales de transparencia</w:t>
      </w:r>
      <w:r>
        <w:rPr>
          <w:spacing w:val="-20"/>
        </w:rPr>
        <w:t> </w:t>
      </w:r>
      <w:r>
        <w:rPr/>
        <w:t>promulgadas</w:t>
      </w:r>
      <w:r>
        <w:rPr>
          <w:spacing w:val="-21"/>
        </w:rPr>
        <w:t> </w:t>
      </w:r>
      <w:r>
        <w:rPr/>
        <w:t>plantean</w:t>
      </w:r>
      <w:r>
        <w:rPr>
          <w:spacing w:val="-18"/>
        </w:rPr>
        <w:t> </w:t>
      </w:r>
      <w:r>
        <w:rPr/>
        <w:t>diferencias</w:t>
      </w:r>
      <w:r>
        <w:rPr>
          <w:spacing w:val="-18"/>
        </w:rPr>
        <w:t> </w:t>
      </w:r>
      <w:r>
        <w:rPr/>
        <w:t>sustantivas</w:t>
      </w:r>
      <w:r>
        <w:rPr>
          <w:spacing w:val="-18"/>
        </w:rPr>
        <w:t> </w:t>
      </w:r>
      <w:r>
        <w:rPr/>
        <w:t>que</w:t>
      </w:r>
      <w:r>
        <w:rPr>
          <w:spacing w:val="-18"/>
        </w:rPr>
        <w:t> </w:t>
      </w:r>
      <w:r>
        <w:rPr/>
        <w:t>limitan</w:t>
      </w:r>
      <w:r>
        <w:rPr>
          <w:spacing w:val="-18"/>
        </w:rPr>
        <w:t> </w:t>
      </w:r>
      <w:r>
        <w:rPr/>
        <w:t>y</w:t>
      </w:r>
      <w:r>
        <w:rPr>
          <w:spacing w:val="-21"/>
        </w:rPr>
        <w:t> </w:t>
      </w:r>
      <w:r>
        <w:rPr/>
        <w:t>complican el acceso a la información. En la práctica, esas normas generan obligaciones y procedimientos muy distintos respecto a la forma en que los particulares pueden acceder a los documentos producidos por los poderes públicos de las entidades federativas y sus municipios. Y en ese sentido, actúan en contra de la igualdad jurídica de los ciudadanos (Merino,</w:t>
      </w:r>
      <w:r>
        <w:rPr>
          <w:spacing w:val="-17"/>
        </w:rPr>
        <w:t> </w:t>
      </w:r>
      <w:r>
        <w:rPr/>
        <w:t>2006).</w:t>
      </w:r>
    </w:p>
    <w:p>
      <w:pPr>
        <w:pStyle w:val="BodyText"/>
      </w:pPr>
    </w:p>
    <w:p>
      <w:pPr>
        <w:pStyle w:val="BodyText"/>
      </w:pPr>
    </w:p>
    <w:p>
      <w:pPr>
        <w:pStyle w:val="BodyText"/>
        <w:spacing w:before="11"/>
        <w:rPr>
          <w:sz w:val="22"/>
        </w:rPr>
      </w:pPr>
    </w:p>
    <w:p>
      <w:pPr>
        <w:pStyle w:val="BodyText"/>
        <w:spacing w:line="360" w:lineRule="auto"/>
        <w:ind w:left="102" w:right="121"/>
        <w:jc w:val="both"/>
      </w:pPr>
      <w:r>
        <w:rPr/>
        <w:t>En</w:t>
      </w:r>
      <w:r>
        <w:rPr>
          <w:spacing w:val="-4"/>
        </w:rPr>
        <w:t> </w:t>
      </w:r>
      <w:r>
        <w:rPr/>
        <w:t>el</w:t>
      </w:r>
      <w:r>
        <w:rPr>
          <w:spacing w:val="-4"/>
        </w:rPr>
        <w:t> </w:t>
      </w:r>
      <w:r>
        <w:rPr/>
        <w:t>Estado</w:t>
      </w:r>
      <w:r>
        <w:rPr>
          <w:spacing w:val="-4"/>
        </w:rPr>
        <w:t> </w:t>
      </w:r>
      <w:r>
        <w:rPr/>
        <w:t>de</w:t>
      </w:r>
      <w:r>
        <w:rPr>
          <w:spacing w:val="-4"/>
        </w:rPr>
        <w:t> </w:t>
      </w:r>
      <w:r>
        <w:rPr/>
        <w:t>México,</w:t>
      </w:r>
      <w:r>
        <w:rPr>
          <w:spacing w:val="-4"/>
        </w:rPr>
        <w:t> </w:t>
      </w:r>
      <w:r>
        <w:rPr/>
        <w:t>señala</w:t>
      </w:r>
      <w:r>
        <w:rPr>
          <w:spacing w:val="-4"/>
        </w:rPr>
        <w:t> </w:t>
      </w:r>
      <w:r>
        <w:rPr/>
        <w:t>Barrera</w:t>
      </w:r>
      <w:r>
        <w:rPr>
          <w:spacing w:val="-4"/>
        </w:rPr>
        <w:t> </w:t>
      </w:r>
      <w:r>
        <w:rPr/>
        <w:t>(2010),</w:t>
      </w:r>
      <w:r>
        <w:rPr>
          <w:spacing w:val="-5"/>
        </w:rPr>
        <w:t> </w:t>
      </w:r>
      <w:r>
        <w:rPr/>
        <w:t>se</w:t>
      </w:r>
      <w:r>
        <w:rPr>
          <w:spacing w:val="-4"/>
        </w:rPr>
        <w:t> </w:t>
      </w:r>
      <w:r>
        <w:rPr/>
        <w:t>buscó</w:t>
      </w:r>
      <w:r>
        <w:rPr>
          <w:spacing w:val="-4"/>
        </w:rPr>
        <w:t> </w:t>
      </w:r>
      <w:r>
        <w:rPr/>
        <w:t>que</w:t>
      </w:r>
      <w:r>
        <w:rPr>
          <w:spacing w:val="-4"/>
        </w:rPr>
        <w:t> </w:t>
      </w:r>
      <w:r>
        <w:rPr/>
        <w:t>las</w:t>
      </w:r>
      <w:r>
        <w:rPr>
          <w:spacing w:val="-4"/>
        </w:rPr>
        <w:t> </w:t>
      </w:r>
      <w:r>
        <w:rPr/>
        <w:t>reformas</w:t>
      </w:r>
      <w:r>
        <w:rPr>
          <w:spacing w:val="-4"/>
        </w:rPr>
        <w:t> </w:t>
      </w:r>
      <w:r>
        <w:rPr/>
        <w:t>tuvieran operación más eficaz, por una parte, y ponerla a tono con las reformas constitucionales del país. Situación que requiere la participación de los particulares para que reconozcan los tipos de información contenidos en la Ley, así como los medios de impugnación a su alcance. Se debe tener presente que “Una sociedad que participa y cuenta con la información suficiente para organizarse es, sin duda, el mejor aliado para las labores gubernamentales. Este tipo de relación entre el gobierno</w:t>
      </w:r>
      <w:r>
        <w:rPr>
          <w:spacing w:val="-4"/>
        </w:rPr>
        <w:t> </w:t>
      </w:r>
      <w:r>
        <w:rPr/>
        <w:t>y</w:t>
      </w:r>
      <w:r>
        <w:rPr>
          <w:spacing w:val="-6"/>
        </w:rPr>
        <w:t> </w:t>
      </w:r>
      <w:r>
        <w:rPr/>
        <w:t>la</w:t>
      </w:r>
      <w:r>
        <w:rPr>
          <w:spacing w:val="-4"/>
        </w:rPr>
        <w:t> </w:t>
      </w:r>
      <w:r>
        <w:rPr/>
        <w:t>sociedad</w:t>
      </w:r>
      <w:r>
        <w:rPr>
          <w:spacing w:val="-5"/>
        </w:rPr>
        <w:t> </w:t>
      </w:r>
      <w:r>
        <w:rPr/>
        <w:t>será</w:t>
      </w:r>
      <w:r>
        <w:rPr>
          <w:spacing w:val="-4"/>
        </w:rPr>
        <w:t> </w:t>
      </w:r>
      <w:r>
        <w:rPr/>
        <w:t>un</w:t>
      </w:r>
      <w:r>
        <w:rPr>
          <w:spacing w:val="-5"/>
        </w:rPr>
        <w:t> </w:t>
      </w:r>
      <w:r>
        <w:rPr/>
        <w:t>factor</w:t>
      </w:r>
      <w:r>
        <w:rPr>
          <w:spacing w:val="-6"/>
        </w:rPr>
        <w:t> </w:t>
      </w:r>
      <w:r>
        <w:rPr/>
        <w:t>fundamental</w:t>
      </w:r>
      <w:r>
        <w:rPr>
          <w:spacing w:val="-6"/>
        </w:rPr>
        <w:t> </w:t>
      </w:r>
      <w:r>
        <w:rPr/>
        <w:t>para</w:t>
      </w:r>
      <w:r>
        <w:rPr>
          <w:spacing w:val="-4"/>
        </w:rPr>
        <w:t> </w:t>
      </w:r>
      <w:r>
        <w:rPr/>
        <w:t>construir</w:t>
      </w:r>
      <w:r>
        <w:rPr>
          <w:spacing w:val="-5"/>
        </w:rPr>
        <w:t> </w:t>
      </w:r>
      <w:r>
        <w:rPr/>
        <w:t>la</w:t>
      </w:r>
      <w:r>
        <w:rPr>
          <w:spacing w:val="-4"/>
        </w:rPr>
        <w:t> </w:t>
      </w:r>
      <w:r>
        <w:rPr/>
        <w:t>responsabilidad democrática en la función pública. Esto ayudaría a superar la desconfianza de los ciudadanos en el gobierno y permitiría crear las condiciones para que las situaciones que parecen “maldiciones eternas” (Barzelay,</w:t>
      </w:r>
      <w:r>
        <w:rPr>
          <w:spacing w:val="-21"/>
        </w:rPr>
        <w:t> </w:t>
      </w:r>
      <w:r>
        <w:rPr/>
        <w:t>1998).</w:t>
      </w:r>
    </w:p>
    <w:p>
      <w:pPr>
        <w:pStyle w:val="BodyText"/>
      </w:pPr>
    </w:p>
    <w:p>
      <w:pPr>
        <w:pStyle w:val="BodyText"/>
      </w:pPr>
    </w:p>
    <w:p>
      <w:pPr>
        <w:pStyle w:val="BodyText"/>
        <w:spacing w:before="7"/>
        <w:rPr>
          <w:sz w:val="19"/>
        </w:rPr>
      </w:pPr>
    </w:p>
    <w:p>
      <w:pPr>
        <w:pStyle w:val="BodyText"/>
        <w:spacing w:line="360" w:lineRule="auto"/>
        <w:ind w:left="102" w:right="118"/>
        <w:jc w:val="both"/>
      </w:pPr>
      <w:r>
        <w:rPr/>
        <w:t>Como</w:t>
      </w:r>
      <w:r>
        <w:rPr>
          <w:spacing w:val="-16"/>
        </w:rPr>
        <w:t> </w:t>
      </w:r>
      <w:r>
        <w:rPr/>
        <w:t>se</w:t>
      </w:r>
      <w:r>
        <w:rPr>
          <w:spacing w:val="-16"/>
        </w:rPr>
        <w:t> </w:t>
      </w:r>
      <w:r>
        <w:rPr/>
        <w:t>mencionó</w:t>
      </w:r>
      <w:r>
        <w:rPr>
          <w:spacing w:val="-16"/>
        </w:rPr>
        <w:t> </w:t>
      </w:r>
      <w:r>
        <w:rPr/>
        <w:t>antes,</w:t>
      </w:r>
      <w:r>
        <w:rPr>
          <w:spacing w:val="-16"/>
        </w:rPr>
        <w:t> </w:t>
      </w:r>
      <w:r>
        <w:rPr/>
        <w:t>en</w:t>
      </w:r>
      <w:r>
        <w:rPr>
          <w:spacing w:val="-18"/>
        </w:rPr>
        <w:t> </w:t>
      </w:r>
      <w:r>
        <w:rPr/>
        <w:t>ocasiones</w:t>
      </w:r>
      <w:r>
        <w:rPr>
          <w:spacing w:val="-16"/>
        </w:rPr>
        <w:t> </w:t>
      </w:r>
      <w:r>
        <w:rPr/>
        <w:t>las</w:t>
      </w:r>
      <w:r>
        <w:rPr>
          <w:spacing w:val="-18"/>
        </w:rPr>
        <w:t> </w:t>
      </w:r>
      <w:r>
        <w:rPr/>
        <w:t>autoridades</w:t>
      </w:r>
      <w:r>
        <w:rPr>
          <w:spacing w:val="-16"/>
        </w:rPr>
        <w:t> </w:t>
      </w:r>
      <w:r>
        <w:rPr/>
        <w:t>evitan</w:t>
      </w:r>
      <w:r>
        <w:rPr>
          <w:spacing w:val="-16"/>
        </w:rPr>
        <w:t> </w:t>
      </w:r>
      <w:r>
        <w:rPr/>
        <w:t>que</w:t>
      </w:r>
      <w:r>
        <w:rPr>
          <w:spacing w:val="-16"/>
        </w:rPr>
        <w:t> </w:t>
      </w:r>
      <w:r>
        <w:rPr/>
        <w:t>las</w:t>
      </w:r>
      <w:r>
        <w:rPr>
          <w:spacing w:val="-16"/>
        </w:rPr>
        <w:t> </w:t>
      </w:r>
      <w:r>
        <w:rPr/>
        <w:t>leyes</w:t>
      </w:r>
      <w:r>
        <w:rPr>
          <w:spacing w:val="-16"/>
        </w:rPr>
        <w:t> </w:t>
      </w:r>
      <w:r>
        <w:rPr/>
        <w:t>puedan convertirse en un instrumento a través del cual ciudadanos o medios de comunicación</w:t>
      </w:r>
      <w:r>
        <w:rPr>
          <w:spacing w:val="-12"/>
        </w:rPr>
        <w:t> </w:t>
      </w:r>
      <w:r>
        <w:rPr/>
        <w:t>puedan</w:t>
      </w:r>
      <w:r>
        <w:rPr>
          <w:spacing w:val="-14"/>
        </w:rPr>
        <w:t> </w:t>
      </w:r>
      <w:r>
        <w:rPr/>
        <w:t>cuestionar</w:t>
      </w:r>
      <w:r>
        <w:rPr>
          <w:spacing w:val="-13"/>
        </w:rPr>
        <w:t> </w:t>
      </w:r>
      <w:r>
        <w:rPr/>
        <w:t>su</w:t>
      </w:r>
      <w:r>
        <w:rPr>
          <w:spacing w:val="-12"/>
        </w:rPr>
        <w:t> </w:t>
      </w:r>
      <w:r>
        <w:rPr/>
        <w:t>gestión</w:t>
      </w:r>
      <w:r>
        <w:rPr>
          <w:spacing w:val="-12"/>
        </w:rPr>
        <w:t> </w:t>
      </w:r>
      <w:r>
        <w:rPr/>
        <w:t>antes</w:t>
      </w:r>
      <w:r>
        <w:rPr>
          <w:spacing w:val="-13"/>
        </w:rPr>
        <w:t> </w:t>
      </w:r>
      <w:r>
        <w:rPr/>
        <w:t>de</w:t>
      </w:r>
      <w:r>
        <w:rPr>
          <w:spacing w:val="-12"/>
        </w:rPr>
        <w:t> </w:t>
      </w:r>
      <w:r>
        <w:rPr/>
        <w:t>que</w:t>
      </w:r>
      <w:r>
        <w:rPr>
          <w:spacing w:val="-12"/>
        </w:rPr>
        <w:t> </w:t>
      </w:r>
      <w:r>
        <w:rPr/>
        <w:t>ellos</w:t>
      </w:r>
      <w:r>
        <w:rPr>
          <w:spacing w:val="-15"/>
        </w:rPr>
        <w:t> </w:t>
      </w:r>
      <w:r>
        <w:rPr/>
        <w:t>abandonen</w:t>
      </w:r>
      <w:r>
        <w:rPr>
          <w:spacing w:val="-12"/>
        </w:rPr>
        <w:t> </w:t>
      </w:r>
      <w:r>
        <w:rPr/>
        <w:t>el</w:t>
      </w:r>
      <w:r>
        <w:rPr>
          <w:spacing w:val="-13"/>
        </w:rPr>
        <w:t> </w:t>
      </w:r>
      <w:r>
        <w:rPr/>
        <w:t>cargo.</w:t>
      </w:r>
    </w:p>
    <w:p>
      <w:pPr>
        <w:pStyle w:val="BodyText"/>
      </w:pPr>
    </w:p>
    <w:p>
      <w:pPr>
        <w:pStyle w:val="BodyText"/>
      </w:pPr>
    </w:p>
    <w:p>
      <w:pPr>
        <w:pStyle w:val="BodyText"/>
        <w:spacing w:before="3"/>
        <w:rPr>
          <w:sz w:val="23"/>
        </w:rPr>
      </w:pPr>
    </w:p>
    <w:p>
      <w:pPr>
        <w:spacing w:before="0"/>
        <w:ind w:left="668" w:right="732" w:firstLine="0"/>
        <w:jc w:val="both"/>
        <w:rPr>
          <w:sz w:val="18"/>
        </w:rPr>
      </w:pPr>
      <w:r>
        <w:rPr>
          <w:sz w:val="18"/>
        </w:rPr>
        <w:t>“En</w:t>
      </w:r>
      <w:r>
        <w:rPr>
          <w:spacing w:val="-5"/>
          <w:sz w:val="18"/>
        </w:rPr>
        <w:t> </w:t>
      </w:r>
      <w:r>
        <w:rPr>
          <w:sz w:val="18"/>
        </w:rPr>
        <w:t>la</w:t>
      </w:r>
      <w:r>
        <w:rPr>
          <w:spacing w:val="-5"/>
          <w:sz w:val="18"/>
        </w:rPr>
        <w:t> </w:t>
      </w:r>
      <w:r>
        <w:rPr>
          <w:sz w:val="18"/>
        </w:rPr>
        <w:t>gran</w:t>
      </w:r>
      <w:r>
        <w:rPr>
          <w:spacing w:val="-6"/>
          <w:sz w:val="18"/>
        </w:rPr>
        <w:t> </w:t>
      </w:r>
      <w:r>
        <w:rPr>
          <w:sz w:val="18"/>
        </w:rPr>
        <w:t>mayoría</w:t>
      </w:r>
      <w:r>
        <w:rPr>
          <w:spacing w:val="-6"/>
          <w:sz w:val="18"/>
        </w:rPr>
        <w:t> </w:t>
      </w:r>
      <w:r>
        <w:rPr>
          <w:sz w:val="18"/>
        </w:rPr>
        <w:t>de</w:t>
      </w:r>
      <w:r>
        <w:rPr>
          <w:spacing w:val="-5"/>
          <w:sz w:val="18"/>
        </w:rPr>
        <w:t> </w:t>
      </w:r>
      <w:r>
        <w:rPr>
          <w:sz w:val="18"/>
        </w:rPr>
        <w:t>las</w:t>
      </w:r>
      <w:r>
        <w:rPr>
          <w:spacing w:val="-4"/>
          <w:sz w:val="18"/>
        </w:rPr>
        <w:t> </w:t>
      </w:r>
      <w:r>
        <w:rPr>
          <w:sz w:val="18"/>
        </w:rPr>
        <w:t>entidades</w:t>
      </w:r>
      <w:r>
        <w:rPr>
          <w:spacing w:val="-4"/>
          <w:sz w:val="18"/>
        </w:rPr>
        <w:t> </w:t>
      </w:r>
      <w:r>
        <w:rPr>
          <w:sz w:val="18"/>
        </w:rPr>
        <w:t>federativas,</w:t>
      </w:r>
      <w:r>
        <w:rPr>
          <w:spacing w:val="-5"/>
          <w:sz w:val="18"/>
        </w:rPr>
        <w:t> </w:t>
      </w:r>
      <w:r>
        <w:rPr>
          <w:sz w:val="18"/>
        </w:rPr>
        <w:t>las</w:t>
      </w:r>
      <w:r>
        <w:rPr>
          <w:spacing w:val="-6"/>
          <w:sz w:val="18"/>
        </w:rPr>
        <w:t> </w:t>
      </w:r>
      <w:r>
        <w:rPr>
          <w:sz w:val="18"/>
        </w:rPr>
        <w:t>autoridades</w:t>
      </w:r>
      <w:r>
        <w:rPr>
          <w:spacing w:val="-6"/>
          <w:sz w:val="18"/>
        </w:rPr>
        <w:t> </w:t>
      </w:r>
      <w:r>
        <w:rPr>
          <w:sz w:val="18"/>
        </w:rPr>
        <w:t>legislativas</w:t>
      </w:r>
      <w:r>
        <w:rPr>
          <w:spacing w:val="-4"/>
          <w:sz w:val="18"/>
        </w:rPr>
        <w:t> </w:t>
      </w:r>
      <w:r>
        <w:rPr>
          <w:sz w:val="18"/>
        </w:rPr>
        <w:t>(en</w:t>
      </w:r>
      <w:r>
        <w:rPr>
          <w:spacing w:val="-6"/>
          <w:sz w:val="18"/>
        </w:rPr>
        <w:t> </w:t>
      </w:r>
      <w:r>
        <w:rPr>
          <w:sz w:val="18"/>
        </w:rPr>
        <w:t>conjunción</w:t>
      </w:r>
      <w:r>
        <w:rPr>
          <w:spacing w:val="-6"/>
          <w:sz w:val="18"/>
        </w:rPr>
        <w:t> </w:t>
      </w:r>
      <w:r>
        <w:rPr>
          <w:sz w:val="18"/>
        </w:rPr>
        <w:t>con las ejecutivas) han diseñado y aprobado leyes de transparencia que, con su diseño actual, tendrán</w:t>
      </w:r>
      <w:r>
        <w:rPr>
          <w:spacing w:val="31"/>
          <w:sz w:val="18"/>
        </w:rPr>
        <w:t> </w:t>
      </w:r>
      <w:r>
        <w:rPr>
          <w:sz w:val="18"/>
        </w:rPr>
        <w:t>una</w:t>
      </w:r>
      <w:r>
        <w:rPr>
          <w:spacing w:val="29"/>
          <w:sz w:val="18"/>
        </w:rPr>
        <w:t> </w:t>
      </w:r>
      <w:r>
        <w:rPr>
          <w:sz w:val="18"/>
        </w:rPr>
        <w:t>incidencia</w:t>
      </w:r>
      <w:r>
        <w:rPr>
          <w:spacing w:val="31"/>
          <w:sz w:val="18"/>
        </w:rPr>
        <w:t> </w:t>
      </w:r>
      <w:r>
        <w:rPr>
          <w:sz w:val="18"/>
        </w:rPr>
        <w:t>baja</w:t>
      </w:r>
      <w:r>
        <w:rPr>
          <w:spacing w:val="29"/>
          <w:sz w:val="18"/>
        </w:rPr>
        <w:t> </w:t>
      </w:r>
      <w:r>
        <w:rPr>
          <w:sz w:val="18"/>
        </w:rPr>
        <w:t>o</w:t>
      </w:r>
      <w:r>
        <w:rPr>
          <w:spacing w:val="31"/>
          <w:sz w:val="18"/>
        </w:rPr>
        <w:t> </w:t>
      </w:r>
      <w:r>
        <w:rPr>
          <w:sz w:val="18"/>
        </w:rPr>
        <w:t>nula</w:t>
      </w:r>
      <w:r>
        <w:rPr>
          <w:spacing w:val="31"/>
          <w:sz w:val="18"/>
        </w:rPr>
        <w:t> </w:t>
      </w:r>
      <w:r>
        <w:rPr>
          <w:sz w:val="18"/>
        </w:rPr>
        <w:t>tanto</w:t>
      </w:r>
      <w:r>
        <w:rPr>
          <w:spacing w:val="30"/>
          <w:sz w:val="18"/>
        </w:rPr>
        <w:t> </w:t>
      </w:r>
      <w:r>
        <w:rPr>
          <w:sz w:val="18"/>
        </w:rPr>
        <w:t>en</w:t>
      </w:r>
      <w:r>
        <w:rPr>
          <w:spacing w:val="31"/>
          <w:sz w:val="18"/>
        </w:rPr>
        <w:t> </w:t>
      </w:r>
      <w:r>
        <w:rPr>
          <w:sz w:val="18"/>
        </w:rPr>
        <w:t>la</w:t>
      </w:r>
      <w:r>
        <w:rPr>
          <w:spacing w:val="29"/>
          <w:sz w:val="18"/>
        </w:rPr>
        <w:t> </w:t>
      </w:r>
      <w:r>
        <w:rPr>
          <w:sz w:val="18"/>
        </w:rPr>
        <w:t>conformación</w:t>
      </w:r>
      <w:r>
        <w:rPr>
          <w:spacing w:val="31"/>
          <w:sz w:val="18"/>
        </w:rPr>
        <w:t> </w:t>
      </w:r>
      <w:r>
        <w:rPr>
          <w:sz w:val="18"/>
        </w:rPr>
        <w:t>de</w:t>
      </w:r>
      <w:r>
        <w:rPr>
          <w:spacing w:val="31"/>
          <w:sz w:val="18"/>
        </w:rPr>
        <w:t> </w:t>
      </w:r>
      <w:r>
        <w:rPr>
          <w:sz w:val="18"/>
        </w:rPr>
        <w:t>un</w:t>
      </w:r>
      <w:r>
        <w:rPr>
          <w:spacing w:val="31"/>
          <w:sz w:val="18"/>
        </w:rPr>
        <w:t> </w:t>
      </w:r>
      <w:r>
        <w:rPr>
          <w:sz w:val="18"/>
        </w:rPr>
        <w:t>sistema</w:t>
      </w:r>
      <w:r>
        <w:rPr>
          <w:spacing w:val="31"/>
          <w:sz w:val="18"/>
        </w:rPr>
        <w:t> </w:t>
      </w:r>
      <w:r>
        <w:rPr>
          <w:sz w:val="18"/>
        </w:rPr>
        <w:t>institucional</w:t>
      </w:r>
      <w:r>
        <w:rPr>
          <w:spacing w:val="31"/>
          <w:sz w:val="18"/>
        </w:rPr>
        <w:t> </w:t>
      </w:r>
      <w:r>
        <w:rPr>
          <w:sz w:val="18"/>
        </w:rPr>
        <w:t>de</w:t>
      </w:r>
    </w:p>
    <w:p>
      <w:pPr>
        <w:spacing w:after="0"/>
        <w:jc w:val="both"/>
        <w:rPr>
          <w:sz w:val="18"/>
        </w:rPr>
        <w:sectPr>
          <w:pgSz w:w="12240" w:h="15840"/>
          <w:pgMar w:header="0" w:footer="975" w:top="1360" w:bottom="1220" w:left="1600" w:right="1580"/>
        </w:sectPr>
      </w:pPr>
    </w:p>
    <w:p>
      <w:pPr>
        <w:spacing w:before="55"/>
        <w:ind w:left="668" w:right="789" w:firstLine="0"/>
        <w:jc w:val="left"/>
        <w:rPr>
          <w:sz w:val="18"/>
        </w:rPr>
      </w:pPr>
      <w:r>
        <w:rPr>
          <w:sz w:val="18"/>
        </w:rPr>
        <w:t>rendición de cuentas como en la generación de una cultura de transparencia” (Guerrero y Ramírez, 2006).</w:t>
      </w:r>
    </w:p>
    <w:p>
      <w:pPr>
        <w:pStyle w:val="BodyText"/>
        <w:rPr>
          <w:sz w:val="18"/>
        </w:rPr>
      </w:pPr>
    </w:p>
    <w:p>
      <w:pPr>
        <w:pStyle w:val="BodyText"/>
        <w:rPr>
          <w:sz w:val="18"/>
        </w:rPr>
      </w:pPr>
    </w:p>
    <w:p>
      <w:pPr>
        <w:pStyle w:val="BodyText"/>
        <w:rPr>
          <w:sz w:val="18"/>
        </w:rPr>
      </w:pPr>
    </w:p>
    <w:p>
      <w:pPr>
        <w:pStyle w:val="BodyText"/>
        <w:spacing w:line="360" w:lineRule="auto" w:before="152"/>
        <w:ind w:left="102" w:right="120"/>
        <w:jc w:val="both"/>
      </w:pPr>
      <w:r>
        <w:rPr/>
        <w:t>Es por ello que los cambios planeados en la ley de transparencia son indispensables, ya que no está adaptada a los nuevos cambios institucionales y sociales que han cambiado el interés y acceso a la información pública (Jiménez, 2012).</w:t>
      </w:r>
    </w:p>
    <w:p>
      <w:pPr>
        <w:pStyle w:val="BodyText"/>
      </w:pPr>
    </w:p>
    <w:p>
      <w:pPr>
        <w:pStyle w:val="BodyText"/>
      </w:pPr>
    </w:p>
    <w:p>
      <w:pPr>
        <w:pStyle w:val="BodyText"/>
        <w:rPr>
          <w:sz w:val="23"/>
        </w:rPr>
      </w:pPr>
    </w:p>
    <w:p>
      <w:pPr>
        <w:pStyle w:val="BodyText"/>
        <w:spacing w:line="360" w:lineRule="auto"/>
        <w:ind w:left="102" w:right="115"/>
        <w:jc w:val="both"/>
      </w:pPr>
      <w:r>
        <w:rPr/>
        <w:t>En México, las constantes disputas entre los legisladores de los diferentes partidos políticos imposibilitan la creación de leyes que atienden a la sociedad y no a sus intereses.</w:t>
      </w:r>
      <w:r>
        <w:rPr>
          <w:spacing w:val="-17"/>
        </w:rPr>
        <w:t> </w:t>
      </w:r>
      <w:r>
        <w:rPr/>
        <w:t>Situación</w:t>
      </w:r>
      <w:r>
        <w:rPr>
          <w:spacing w:val="-14"/>
        </w:rPr>
        <w:t> </w:t>
      </w:r>
      <w:r>
        <w:rPr/>
        <w:t>que</w:t>
      </w:r>
      <w:r>
        <w:rPr>
          <w:spacing w:val="-14"/>
        </w:rPr>
        <w:t> </w:t>
      </w:r>
      <w:r>
        <w:rPr/>
        <w:t>imposibilita</w:t>
      </w:r>
      <w:r>
        <w:rPr>
          <w:spacing w:val="-14"/>
        </w:rPr>
        <w:t> </w:t>
      </w:r>
      <w:r>
        <w:rPr/>
        <w:t>la</w:t>
      </w:r>
      <w:r>
        <w:rPr>
          <w:spacing w:val="-14"/>
        </w:rPr>
        <w:t> </w:t>
      </w:r>
      <w:r>
        <w:rPr/>
        <w:t>construcción</w:t>
      </w:r>
      <w:r>
        <w:rPr>
          <w:spacing w:val="-9"/>
        </w:rPr>
        <w:t> </w:t>
      </w:r>
      <w:r>
        <w:rPr/>
        <w:t>de</w:t>
      </w:r>
      <w:r>
        <w:rPr>
          <w:spacing w:val="-14"/>
        </w:rPr>
        <w:t> </w:t>
      </w:r>
      <w:r>
        <w:rPr/>
        <w:t>un</w:t>
      </w:r>
      <w:r>
        <w:rPr>
          <w:spacing w:val="-14"/>
        </w:rPr>
        <w:t> </w:t>
      </w:r>
      <w:r>
        <w:rPr/>
        <w:t>plan</w:t>
      </w:r>
      <w:r>
        <w:rPr>
          <w:spacing w:val="-14"/>
        </w:rPr>
        <w:t> </w:t>
      </w:r>
      <w:r>
        <w:rPr/>
        <w:t>general</w:t>
      </w:r>
      <w:r>
        <w:rPr>
          <w:spacing w:val="-15"/>
        </w:rPr>
        <w:t> </w:t>
      </w:r>
      <w:r>
        <w:rPr/>
        <w:t>a</w:t>
      </w:r>
      <w:r>
        <w:rPr>
          <w:spacing w:val="-14"/>
        </w:rPr>
        <w:t> </w:t>
      </w:r>
      <w:r>
        <w:rPr/>
        <w:t>largo</w:t>
      </w:r>
      <w:r>
        <w:rPr>
          <w:spacing w:val="-14"/>
        </w:rPr>
        <w:t> </w:t>
      </w:r>
      <w:r>
        <w:rPr/>
        <w:t>plazo que</w:t>
      </w:r>
      <w:r>
        <w:rPr>
          <w:spacing w:val="-17"/>
        </w:rPr>
        <w:t> </w:t>
      </w:r>
      <w:r>
        <w:rPr/>
        <w:t>permita</w:t>
      </w:r>
      <w:r>
        <w:rPr>
          <w:spacing w:val="-17"/>
        </w:rPr>
        <w:t> </w:t>
      </w:r>
      <w:r>
        <w:rPr/>
        <w:t>la</w:t>
      </w:r>
      <w:r>
        <w:rPr>
          <w:spacing w:val="-17"/>
        </w:rPr>
        <w:t> </w:t>
      </w:r>
      <w:r>
        <w:rPr/>
        <w:t>construcción</w:t>
      </w:r>
      <w:r>
        <w:rPr>
          <w:spacing w:val="-16"/>
        </w:rPr>
        <w:t> </w:t>
      </w:r>
      <w:r>
        <w:rPr/>
        <w:t>de</w:t>
      </w:r>
      <w:r>
        <w:rPr>
          <w:spacing w:val="-19"/>
        </w:rPr>
        <w:t> </w:t>
      </w:r>
      <w:r>
        <w:rPr/>
        <w:t>un</w:t>
      </w:r>
      <w:r>
        <w:rPr>
          <w:spacing w:val="-19"/>
        </w:rPr>
        <w:t> </w:t>
      </w:r>
      <w:r>
        <w:rPr/>
        <w:t>mejor</w:t>
      </w:r>
      <w:r>
        <w:rPr>
          <w:spacing w:val="-18"/>
        </w:rPr>
        <w:t> </w:t>
      </w:r>
      <w:r>
        <w:rPr/>
        <w:t>país,</w:t>
      </w:r>
      <w:r>
        <w:rPr>
          <w:spacing w:val="-17"/>
        </w:rPr>
        <w:t> </w:t>
      </w:r>
      <w:r>
        <w:rPr/>
        <w:t>puesto</w:t>
      </w:r>
      <w:r>
        <w:rPr>
          <w:spacing w:val="-17"/>
        </w:rPr>
        <w:t> </w:t>
      </w:r>
      <w:r>
        <w:rPr/>
        <w:t>que</w:t>
      </w:r>
      <w:r>
        <w:rPr>
          <w:spacing w:val="-17"/>
        </w:rPr>
        <w:t> </w:t>
      </w:r>
      <w:r>
        <w:rPr/>
        <w:t>los</w:t>
      </w:r>
      <w:r>
        <w:rPr>
          <w:spacing w:val="-17"/>
        </w:rPr>
        <w:t> </w:t>
      </w:r>
      <w:r>
        <w:rPr/>
        <w:t>legisladores</w:t>
      </w:r>
      <w:r>
        <w:rPr>
          <w:spacing w:val="-17"/>
        </w:rPr>
        <w:t> </w:t>
      </w:r>
      <w:r>
        <w:rPr/>
        <w:t>solamente se han centrado en crear leyes sin evaluar el impacto que estas leyes generan, es decir; no están visualizando que sociedad se está creando. En particular, las leyes relativas a la transparencia estatal deben ser mejoradas en todas las entidades federativas para que crezcan los esfuerzos de democratización en México (Dolz, 2011).</w:t>
      </w:r>
      <w:r>
        <w:rPr>
          <w:spacing w:val="-8"/>
        </w:rPr>
        <w:t> </w:t>
      </w:r>
      <w:r>
        <w:rPr/>
        <w:t>En</w:t>
      </w:r>
      <w:r>
        <w:rPr>
          <w:spacing w:val="-9"/>
        </w:rPr>
        <w:t> </w:t>
      </w:r>
      <w:r>
        <w:rPr/>
        <w:t>todo</w:t>
      </w:r>
      <w:r>
        <w:rPr>
          <w:spacing w:val="-7"/>
        </w:rPr>
        <w:t> </w:t>
      </w:r>
      <w:r>
        <w:rPr/>
        <w:t>caso,</w:t>
      </w:r>
      <w:r>
        <w:rPr>
          <w:spacing w:val="-7"/>
        </w:rPr>
        <w:t> </w:t>
      </w:r>
      <w:r>
        <w:rPr/>
        <w:t>como</w:t>
      </w:r>
      <w:r>
        <w:rPr>
          <w:spacing w:val="-9"/>
        </w:rPr>
        <w:t> </w:t>
      </w:r>
      <w:r>
        <w:rPr/>
        <w:t>argumenta</w:t>
      </w:r>
      <w:r>
        <w:rPr>
          <w:spacing w:val="-7"/>
        </w:rPr>
        <w:t> </w:t>
      </w:r>
      <w:r>
        <w:rPr/>
        <w:t>Majone</w:t>
      </w:r>
      <w:r>
        <w:rPr>
          <w:spacing w:val="-7"/>
        </w:rPr>
        <w:t> </w:t>
      </w:r>
      <w:r>
        <w:rPr/>
        <w:t>(1997),</w:t>
      </w:r>
      <w:r>
        <w:rPr>
          <w:spacing w:val="-8"/>
        </w:rPr>
        <w:t> </w:t>
      </w:r>
      <w:r>
        <w:rPr/>
        <w:t>las</w:t>
      </w:r>
      <w:r>
        <w:rPr>
          <w:spacing w:val="-10"/>
        </w:rPr>
        <w:t> </w:t>
      </w:r>
      <w:r>
        <w:rPr/>
        <w:t>disposiciones</w:t>
      </w:r>
      <w:r>
        <w:rPr>
          <w:spacing w:val="-1"/>
        </w:rPr>
        <w:t> </w:t>
      </w:r>
      <w:r>
        <w:rPr/>
        <w:t>normativas sirven de restricciones a las políticas públicas y dan pie a que se negocie su interpretación, entendimiento y aplicación, procurando favorecer los intereses que cobijen los grupos o personajes que en ella</w:t>
      </w:r>
      <w:r>
        <w:rPr>
          <w:spacing w:val="-18"/>
        </w:rPr>
        <w:t> </w:t>
      </w:r>
      <w:r>
        <w:rPr/>
        <w:t>intervienen.</w:t>
      </w:r>
    </w:p>
    <w:p>
      <w:pPr>
        <w:pStyle w:val="BodyText"/>
      </w:pPr>
    </w:p>
    <w:p>
      <w:pPr>
        <w:pStyle w:val="BodyText"/>
      </w:pPr>
    </w:p>
    <w:p>
      <w:pPr>
        <w:pStyle w:val="BodyText"/>
        <w:spacing w:before="11"/>
        <w:rPr>
          <w:sz w:val="22"/>
        </w:rPr>
      </w:pPr>
    </w:p>
    <w:p>
      <w:pPr>
        <w:pStyle w:val="BodyText"/>
        <w:spacing w:line="360" w:lineRule="auto"/>
        <w:ind w:left="102" w:right="116"/>
        <w:jc w:val="both"/>
      </w:pPr>
      <w:r>
        <w:rPr/>
        <w:t>De igual manera, para garantizar el estado de derecho se debe fortalecer y aplicar el sistema de sanciones por incumplimiento de la ley, ya que los mecanismos para sancionar</w:t>
      </w:r>
      <w:r>
        <w:rPr>
          <w:spacing w:val="-12"/>
        </w:rPr>
        <w:t> </w:t>
      </w:r>
      <w:r>
        <w:rPr/>
        <w:t>a</w:t>
      </w:r>
      <w:r>
        <w:rPr>
          <w:spacing w:val="-11"/>
        </w:rPr>
        <w:t> </w:t>
      </w:r>
      <w:r>
        <w:rPr/>
        <w:t>quienes</w:t>
      </w:r>
      <w:r>
        <w:rPr>
          <w:spacing w:val="-14"/>
        </w:rPr>
        <w:t> </w:t>
      </w:r>
      <w:r>
        <w:rPr/>
        <w:t>no</w:t>
      </w:r>
      <w:r>
        <w:rPr>
          <w:spacing w:val="-13"/>
        </w:rPr>
        <w:t> </w:t>
      </w:r>
      <w:r>
        <w:rPr/>
        <w:t>cumplen</w:t>
      </w:r>
      <w:r>
        <w:rPr>
          <w:spacing w:val="-13"/>
        </w:rPr>
        <w:t> </w:t>
      </w:r>
      <w:r>
        <w:rPr/>
        <w:t>la</w:t>
      </w:r>
      <w:r>
        <w:rPr>
          <w:spacing w:val="-11"/>
        </w:rPr>
        <w:t> </w:t>
      </w:r>
      <w:r>
        <w:rPr/>
        <w:t>ley</w:t>
      </w:r>
      <w:r>
        <w:rPr>
          <w:spacing w:val="-13"/>
        </w:rPr>
        <w:t> </w:t>
      </w:r>
      <w:r>
        <w:rPr/>
        <w:t>son</w:t>
      </w:r>
      <w:r>
        <w:rPr>
          <w:spacing w:val="-13"/>
        </w:rPr>
        <w:t> </w:t>
      </w:r>
      <w:r>
        <w:rPr/>
        <w:t>insuficientes,</w:t>
      </w:r>
      <w:r>
        <w:rPr>
          <w:spacing w:val="-11"/>
        </w:rPr>
        <w:t> </w:t>
      </w:r>
      <w:r>
        <w:rPr/>
        <w:t>los</w:t>
      </w:r>
      <w:r>
        <w:rPr>
          <w:spacing w:val="-13"/>
        </w:rPr>
        <w:t> </w:t>
      </w:r>
      <w:r>
        <w:rPr/>
        <w:t>políticos</w:t>
      </w:r>
      <w:r>
        <w:rPr>
          <w:spacing w:val="-14"/>
        </w:rPr>
        <w:t> </w:t>
      </w:r>
      <w:r>
        <w:rPr/>
        <w:t>se</w:t>
      </w:r>
      <w:r>
        <w:rPr>
          <w:spacing w:val="-11"/>
        </w:rPr>
        <w:t> </w:t>
      </w:r>
      <w:r>
        <w:rPr/>
        <w:t>han</w:t>
      </w:r>
      <w:r>
        <w:rPr>
          <w:spacing w:val="-11"/>
        </w:rPr>
        <w:t> </w:t>
      </w:r>
      <w:r>
        <w:rPr/>
        <w:t>burlado literalmente de la ley y del instituto. Hoy se puede pedir información al Gobierno, pero como no hay un costo político importante para el que niega información, la</w:t>
      </w:r>
      <w:r>
        <w:rPr>
          <w:spacing w:val="-35"/>
        </w:rPr>
        <w:t> </w:t>
      </w:r>
      <w:r>
        <w:rPr/>
        <w:t>ley ha demostrado ser ineficiente. Una ley que no sanciona el incumplimiento simplemente no se cumple (Dolz, 2011). En busca de que el espacio público sea realmente</w:t>
      </w:r>
      <w:r>
        <w:rPr>
          <w:spacing w:val="-11"/>
        </w:rPr>
        <w:t> </w:t>
      </w:r>
      <w:r>
        <w:rPr/>
        <w:t>público,</w:t>
      </w:r>
      <w:r>
        <w:rPr>
          <w:spacing w:val="-11"/>
        </w:rPr>
        <w:t> </w:t>
      </w:r>
      <w:r>
        <w:rPr/>
        <w:t>y</w:t>
      </w:r>
      <w:r>
        <w:rPr>
          <w:spacing w:val="-11"/>
        </w:rPr>
        <w:t> </w:t>
      </w:r>
      <w:r>
        <w:rPr/>
        <w:t>en</w:t>
      </w:r>
      <w:r>
        <w:rPr>
          <w:spacing w:val="-9"/>
        </w:rPr>
        <w:t> </w:t>
      </w:r>
      <w:r>
        <w:rPr/>
        <w:t>donde</w:t>
      </w:r>
      <w:r>
        <w:rPr>
          <w:spacing w:val="-11"/>
        </w:rPr>
        <w:t> </w:t>
      </w:r>
      <w:r>
        <w:rPr/>
        <w:t>el</w:t>
      </w:r>
      <w:r>
        <w:rPr>
          <w:spacing w:val="-11"/>
        </w:rPr>
        <w:t> </w:t>
      </w:r>
      <w:r>
        <w:rPr/>
        <w:t>gobernante</w:t>
      </w:r>
      <w:r>
        <w:rPr>
          <w:spacing w:val="-13"/>
        </w:rPr>
        <w:t> </w:t>
      </w:r>
      <w:r>
        <w:rPr/>
        <w:t>asimile</w:t>
      </w:r>
      <w:r>
        <w:rPr>
          <w:spacing w:val="-6"/>
        </w:rPr>
        <w:t> </w:t>
      </w:r>
      <w:r>
        <w:rPr/>
        <w:t>que</w:t>
      </w:r>
      <w:r>
        <w:rPr>
          <w:spacing w:val="-11"/>
        </w:rPr>
        <w:t> </w:t>
      </w:r>
      <w:r>
        <w:rPr/>
        <w:t>están</w:t>
      </w:r>
      <w:r>
        <w:rPr>
          <w:spacing w:val="-11"/>
        </w:rPr>
        <w:t> </w:t>
      </w:r>
      <w:r>
        <w:rPr/>
        <w:t>para</w:t>
      </w:r>
      <w:r>
        <w:rPr>
          <w:spacing w:val="-14"/>
        </w:rPr>
        <w:t> </w:t>
      </w:r>
      <w:r>
        <w:rPr/>
        <w:t>servir</w:t>
      </w:r>
      <w:r>
        <w:rPr>
          <w:spacing w:val="-9"/>
        </w:rPr>
        <w:t> </w:t>
      </w:r>
      <w:r>
        <w:rPr/>
        <w:t>y</w:t>
      </w:r>
      <w:r>
        <w:rPr>
          <w:spacing w:val="-11"/>
        </w:rPr>
        <w:t> </w:t>
      </w:r>
      <w:r>
        <w:rPr/>
        <w:t>no</w:t>
      </w:r>
      <w:r>
        <w:rPr>
          <w:spacing w:val="-11"/>
        </w:rPr>
        <w:t> </w:t>
      </w:r>
      <w:r>
        <w:rPr/>
        <w:t>para</w:t>
      </w:r>
    </w:p>
    <w:p>
      <w:pPr>
        <w:spacing w:after="0" w:line="360" w:lineRule="auto"/>
        <w:jc w:val="both"/>
        <w:sectPr>
          <w:pgSz w:w="12240" w:h="15840"/>
          <w:pgMar w:header="0" w:footer="975" w:top="1360" w:bottom="1220" w:left="1600" w:right="1580"/>
        </w:sectPr>
      </w:pPr>
    </w:p>
    <w:p>
      <w:pPr>
        <w:pStyle w:val="BodyText"/>
        <w:spacing w:line="360" w:lineRule="auto" w:before="54"/>
        <w:ind w:left="122" w:right="118"/>
        <w:jc w:val="both"/>
      </w:pPr>
      <w:r>
        <w:rPr/>
        <w:t>servirse. Pero también en donde la sociedad sea copartícipe en la torna de las decisiones públicas y en la definición de las políticas públicas del Estado (Vega, 2011) porque todos suponemos que los gobernantes deben hacer el bien común, pero no nos aseguramos de que lo hagan (Spencer, 1890).</w:t>
      </w:r>
    </w:p>
    <w:p>
      <w:pPr>
        <w:pStyle w:val="BodyText"/>
      </w:pPr>
    </w:p>
    <w:p>
      <w:pPr>
        <w:pStyle w:val="BodyText"/>
      </w:pPr>
    </w:p>
    <w:p>
      <w:pPr>
        <w:pStyle w:val="BodyText"/>
        <w:spacing w:line="360" w:lineRule="auto" w:before="185"/>
        <w:ind w:left="122" w:right="117"/>
        <w:jc w:val="both"/>
      </w:pPr>
      <w:r>
        <w:rPr/>
        <w:t>Ejemplo de estos incumplimientos es que a pesar de que la Ley de Transparencia y Acceso a la Información Pública del Estado de México y Municipios en sus artículos 1, 6, 7, 12, 42 al 46 establece la obligación de publicar la información relativa al ejercicio del gasto público, normatividad, instrumentos administrativos, programa anual de obra, etc. así como garantizar la entrega de información al público en general conservando su anonimato, se ha observado que no todos los municipios del Estado de México la aplican, y quienes llegan a hacerlo lo hacen de manera diferente.</w:t>
      </w:r>
    </w:p>
    <w:p>
      <w:pPr>
        <w:pStyle w:val="BodyText"/>
      </w:pPr>
    </w:p>
    <w:p>
      <w:pPr>
        <w:pStyle w:val="BodyText"/>
      </w:pPr>
    </w:p>
    <w:p>
      <w:pPr>
        <w:pStyle w:val="BodyText"/>
        <w:spacing w:line="360" w:lineRule="auto" w:before="185"/>
        <w:ind w:left="122" w:right="116"/>
        <w:jc w:val="both"/>
      </w:pPr>
      <w:r>
        <w:rPr/>
        <w:t>Las instituciones, señala North (1990), son las reglas del juego en una sociedad u organización, que sirven para crear orden, limitar la conducta individual y reducir la incertidumbre. Éstas son importantes en el proceso de cambio institucional, ya que son los mayores agentes del cambio institucional.</w:t>
      </w:r>
    </w:p>
    <w:p>
      <w:pPr>
        <w:pStyle w:val="BodyText"/>
      </w:pPr>
    </w:p>
    <w:p>
      <w:pPr>
        <w:pStyle w:val="BodyText"/>
      </w:pPr>
    </w:p>
    <w:p>
      <w:pPr>
        <w:pStyle w:val="BodyText"/>
        <w:spacing w:before="7"/>
        <w:rPr>
          <w:sz w:val="19"/>
        </w:rPr>
      </w:pPr>
    </w:p>
    <w:p>
      <w:pPr>
        <w:pStyle w:val="Heading1"/>
        <w:numPr>
          <w:ilvl w:val="3"/>
          <w:numId w:val="13"/>
        </w:numPr>
        <w:tabs>
          <w:tab w:pos="1538" w:val="left" w:leader="none"/>
        </w:tabs>
        <w:spacing w:line="240" w:lineRule="auto" w:before="0" w:after="0"/>
        <w:ind w:left="1538" w:right="0" w:hanging="1428"/>
        <w:jc w:val="both"/>
      </w:pPr>
      <w:r>
        <w:rPr/>
        <w:t>La institución trasciende al</w:t>
      </w:r>
      <w:r>
        <w:rPr>
          <w:spacing w:val="-10"/>
        </w:rPr>
        <w:t> </w:t>
      </w:r>
      <w:r>
        <w:rPr/>
        <w:t>individuo</w:t>
      </w:r>
    </w:p>
    <w:p>
      <w:pPr>
        <w:pStyle w:val="BodyText"/>
        <w:rPr>
          <w:b/>
        </w:rPr>
      </w:pPr>
    </w:p>
    <w:p>
      <w:pPr>
        <w:pStyle w:val="BodyText"/>
        <w:rPr>
          <w:b/>
        </w:rPr>
      </w:pPr>
    </w:p>
    <w:p>
      <w:pPr>
        <w:pStyle w:val="BodyText"/>
        <w:spacing w:line="360" w:lineRule="auto"/>
        <w:ind w:left="122" w:right="118"/>
        <w:jc w:val="both"/>
      </w:pPr>
      <w:r>
        <w:rPr/>
        <w:t>Las instituciones cobran importancia debido a que independientemente de que la estructura de toda organización sea formal o informal, la institución trasciende al individuo (Peters, 2003). Es decir, cuando una actividad se institucionaliza se</w:t>
      </w:r>
      <w:r>
        <w:rPr>
          <w:spacing w:val="-33"/>
        </w:rPr>
        <w:t> </w:t>
      </w:r>
      <w:r>
        <w:rPr/>
        <w:t>sigue haciendo independientemente de quién esté en la organización. Entendiendo por institución</w:t>
      </w:r>
      <w:r>
        <w:rPr>
          <w:spacing w:val="-13"/>
        </w:rPr>
        <w:t> </w:t>
      </w:r>
      <w:r>
        <w:rPr/>
        <w:t>al</w:t>
      </w:r>
      <w:r>
        <w:rPr>
          <w:spacing w:val="-12"/>
        </w:rPr>
        <w:t> </w:t>
      </w:r>
      <w:r>
        <w:rPr/>
        <w:t>conjunto</w:t>
      </w:r>
      <w:r>
        <w:rPr>
          <w:spacing w:val="-13"/>
        </w:rPr>
        <w:t> </w:t>
      </w:r>
      <w:r>
        <w:rPr/>
        <w:t>de</w:t>
      </w:r>
      <w:r>
        <w:rPr>
          <w:spacing w:val="-11"/>
        </w:rPr>
        <w:t> </w:t>
      </w:r>
      <w:r>
        <w:rPr/>
        <w:t>normas,</w:t>
      </w:r>
      <w:r>
        <w:rPr>
          <w:spacing w:val="-11"/>
        </w:rPr>
        <w:t> </w:t>
      </w:r>
      <w:r>
        <w:rPr/>
        <w:t>reglamentaciones,</w:t>
      </w:r>
      <w:r>
        <w:rPr>
          <w:spacing w:val="-11"/>
        </w:rPr>
        <w:t> </w:t>
      </w:r>
      <w:r>
        <w:rPr/>
        <w:t>supuestos</w:t>
      </w:r>
      <w:r>
        <w:rPr>
          <w:spacing w:val="-12"/>
        </w:rPr>
        <w:t> </w:t>
      </w:r>
      <w:r>
        <w:rPr/>
        <w:t>y</w:t>
      </w:r>
      <w:r>
        <w:rPr>
          <w:spacing w:val="-14"/>
        </w:rPr>
        <w:t> </w:t>
      </w:r>
      <w:r>
        <w:rPr/>
        <w:t>sobre</w:t>
      </w:r>
      <w:r>
        <w:rPr>
          <w:spacing w:val="-11"/>
        </w:rPr>
        <w:t> </w:t>
      </w:r>
      <w:r>
        <w:rPr/>
        <w:t>todo</w:t>
      </w:r>
      <w:r>
        <w:rPr>
          <w:spacing w:val="-11"/>
        </w:rPr>
        <w:t> </w:t>
      </w:r>
      <w:r>
        <w:rPr/>
        <w:t>rutinas (March y Olsen, 1997). Asimismo, las instituciones se manifiestan por conflictos de interés, ideas y poder que imitan a los actores políticos con incentivos y restricciones, lo cual define la naturaleza de la institución (Steinmo, 2001). De</w:t>
      </w:r>
      <w:r>
        <w:rPr>
          <w:spacing w:val="-34"/>
        </w:rPr>
        <w:t> </w:t>
      </w:r>
      <w:r>
        <w:rPr/>
        <w:t>igual</w:t>
      </w:r>
    </w:p>
    <w:p>
      <w:pPr>
        <w:spacing w:after="0" w:line="360" w:lineRule="auto"/>
        <w:jc w:val="both"/>
        <w:sectPr>
          <w:pgSz w:w="12240" w:h="15840"/>
          <w:pgMar w:header="0" w:footer="975" w:top="1360" w:bottom="1220" w:left="1580" w:right="1580"/>
        </w:sectPr>
      </w:pPr>
    </w:p>
    <w:p>
      <w:pPr>
        <w:pStyle w:val="BodyText"/>
        <w:spacing w:line="360" w:lineRule="auto" w:before="54"/>
        <w:ind w:left="102" w:right="117"/>
        <w:jc w:val="both"/>
      </w:pPr>
      <w:r>
        <w:rPr/>
        <w:t>manera, cumplen una función crucial en la dinámica del sistema ya que al influir positiva o negativamente en el desempeño individual afectan de manera global al sistema (Powell y Dimaggio, 1999).</w:t>
      </w:r>
    </w:p>
    <w:p>
      <w:pPr>
        <w:pStyle w:val="BodyText"/>
      </w:pPr>
    </w:p>
    <w:p>
      <w:pPr>
        <w:pStyle w:val="BodyText"/>
      </w:pPr>
    </w:p>
    <w:p>
      <w:pPr>
        <w:pStyle w:val="BodyText"/>
        <w:spacing w:line="360" w:lineRule="auto" w:before="187"/>
        <w:ind w:left="102" w:right="113"/>
        <w:jc w:val="both"/>
      </w:pPr>
      <w:r>
        <w:rPr/>
        <w:t>Es importante considerar que las organizaciones al ser creaciones artificiales son diseñadas para manipular con inteligencia los recursos que las integran y asegurar que las capacidades de la sociedad y el Estado sean funcionales para estimular el desarrollo</w:t>
      </w:r>
      <w:r>
        <w:rPr>
          <w:spacing w:val="-17"/>
        </w:rPr>
        <w:t> </w:t>
      </w:r>
      <w:r>
        <w:rPr/>
        <w:t>y</w:t>
      </w:r>
      <w:r>
        <w:rPr>
          <w:spacing w:val="-20"/>
        </w:rPr>
        <w:t> </w:t>
      </w:r>
      <w:r>
        <w:rPr/>
        <w:t>la</w:t>
      </w:r>
      <w:r>
        <w:rPr>
          <w:spacing w:val="-17"/>
        </w:rPr>
        <w:t> </w:t>
      </w:r>
      <w:r>
        <w:rPr/>
        <w:t>pervivencia</w:t>
      </w:r>
      <w:r>
        <w:rPr>
          <w:spacing w:val="-17"/>
        </w:rPr>
        <w:t> </w:t>
      </w:r>
      <w:r>
        <w:rPr/>
        <w:t>de</w:t>
      </w:r>
      <w:r>
        <w:rPr>
          <w:spacing w:val="-17"/>
        </w:rPr>
        <w:t> </w:t>
      </w:r>
      <w:r>
        <w:rPr/>
        <w:t>ambos.</w:t>
      </w:r>
      <w:r>
        <w:rPr>
          <w:spacing w:val="-17"/>
        </w:rPr>
        <w:t> </w:t>
      </w:r>
      <w:r>
        <w:rPr/>
        <w:t>No</w:t>
      </w:r>
      <w:r>
        <w:rPr>
          <w:spacing w:val="-19"/>
        </w:rPr>
        <w:t> </w:t>
      </w:r>
      <w:r>
        <w:rPr/>
        <w:t>obstante,</w:t>
      </w:r>
      <w:r>
        <w:rPr>
          <w:spacing w:val="-17"/>
        </w:rPr>
        <w:t> </w:t>
      </w:r>
      <w:r>
        <w:rPr/>
        <w:t>son</w:t>
      </w:r>
      <w:r>
        <w:rPr>
          <w:spacing w:val="-19"/>
        </w:rPr>
        <w:t> </w:t>
      </w:r>
      <w:r>
        <w:rPr/>
        <w:t>también</w:t>
      </w:r>
      <w:r>
        <w:rPr>
          <w:spacing w:val="-17"/>
        </w:rPr>
        <w:t> </w:t>
      </w:r>
      <w:r>
        <w:rPr/>
        <w:t>realidades</w:t>
      </w:r>
      <w:r>
        <w:rPr>
          <w:spacing w:val="-17"/>
        </w:rPr>
        <w:t> </w:t>
      </w:r>
      <w:r>
        <w:rPr/>
        <w:t>humanas y, en ese sentido, su comportamiento no atiende únicamente a su vida formal – normativa y prescriptiva-, sino a un cúmulo de relaciones informales que las caracterizan como un sistema de convivencia plural que se nutre de aspiraciones, ideologías, valores y motivaciones que son fundamentales para la comprensión de su funcionamiento (Uvalle, 2012:37:38). En este sentido el Neoinstitucionalismo busca</w:t>
      </w:r>
      <w:r>
        <w:rPr>
          <w:spacing w:val="-12"/>
        </w:rPr>
        <w:t> </w:t>
      </w:r>
      <w:r>
        <w:rPr/>
        <w:t>establecer</w:t>
      </w:r>
      <w:r>
        <w:rPr>
          <w:spacing w:val="-11"/>
        </w:rPr>
        <w:t> </w:t>
      </w:r>
      <w:r>
        <w:rPr/>
        <w:t>en</w:t>
      </w:r>
      <w:r>
        <w:rPr>
          <w:spacing w:val="-9"/>
        </w:rPr>
        <w:t> </w:t>
      </w:r>
      <w:r>
        <w:rPr/>
        <w:t>qué</w:t>
      </w:r>
      <w:r>
        <w:rPr>
          <w:spacing w:val="-12"/>
        </w:rPr>
        <w:t> </w:t>
      </w:r>
      <w:r>
        <w:rPr/>
        <w:t>medida</w:t>
      </w:r>
      <w:r>
        <w:rPr>
          <w:spacing w:val="-11"/>
        </w:rPr>
        <w:t> </w:t>
      </w:r>
      <w:r>
        <w:rPr/>
        <w:t>las</w:t>
      </w:r>
      <w:r>
        <w:rPr>
          <w:spacing w:val="-12"/>
        </w:rPr>
        <w:t> </w:t>
      </w:r>
      <w:r>
        <w:rPr/>
        <w:t>organizaciones</w:t>
      </w:r>
      <w:r>
        <w:rPr>
          <w:spacing w:val="-13"/>
        </w:rPr>
        <w:t> </w:t>
      </w:r>
      <w:r>
        <w:rPr/>
        <w:t>se</w:t>
      </w:r>
      <w:r>
        <w:rPr>
          <w:spacing w:val="-12"/>
        </w:rPr>
        <w:t> </w:t>
      </w:r>
      <w:r>
        <w:rPr/>
        <w:t>rigen</w:t>
      </w:r>
      <w:r>
        <w:rPr>
          <w:spacing w:val="-12"/>
        </w:rPr>
        <w:t> </w:t>
      </w:r>
      <w:r>
        <w:rPr/>
        <w:t>por</w:t>
      </w:r>
      <w:r>
        <w:rPr>
          <w:spacing w:val="-11"/>
        </w:rPr>
        <w:t> </w:t>
      </w:r>
      <w:r>
        <w:rPr/>
        <w:t>las</w:t>
      </w:r>
      <w:r>
        <w:rPr>
          <w:spacing w:val="-10"/>
        </w:rPr>
        <w:t> </w:t>
      </w:r>
      <w:r>
        <w:rPr/>
        <w:t>reglas</w:t>
      </w:r>
      <w:r>
        <w:rPr>
          <w:spacing w:val="-12"/>
        </w:rPr>
        <w:t> </w:t>
      </w:r>
      <w:r>
        <w:rPr/>
        <w:t>formales o informales en sus prácticas cotidianas (March y Olsen,</w:t>
      </w:r>
      <w:r>
        <w:rPr>
          <w:spacing w:val="-16"/>
        </w:rPr>
        <w:t> </w:t>
      </w:r>
      <w:r>
        <w:rPr/>
        <w:t>1997).</w:t>
      </w:r>
    </w:p>
    <w:p>
      <w:pPr>
        <w:pStyle w:val="BodyText"/>
      </w:pPr>
    </w:p>
    <w:p>
      <w:pPr>
        <w:pStyle w:val="BodyText"/>
      </w:pPr>
    </w:p>
    <w:p>
      <w:pPr>
        <w:pStyle w:val="BodyText"/>
        <w:spacing w:line="360" w:lineRule="auto" w:before="185"/>
        <w:ind w:left="102" w:right="115"/>
        <w:jc w:val="both"/>
      </w:pPr>
      <w:r>
        <w:rPr/>
        <w:t>Esta categoría analítica permitirá identificar la estructura (formal e informal) del gobierno municipal en relación a la política de transparencia (formal, página web, cumplimiento a la ley, responsable de transparencia, actualización); informal (influencia partidos, decisiones discrecionales, voluntad política).</w:t>
      </w:r>
    </w:p>
    <w:p>
      <w:pPr>
        <w:pStyle w:val="BodyText"/>
      </w:pPr>
    </w:p>
    <w:p>
      <w:pPr>
        <w:pStyle w:val="BodyText"/>
      </w:pPr>
    </w:p>
    <w:p>
      <w:pPr>
        <w:pStyle w:val="BodyText"/>
        <w:spacing w:line="360" w:lineRule="auto" w:before="187"/>
        <w:ind w:left="102" w:right="115"/>
        <w:jc w:val="both"/>
      </w:pPr>
      <w:r>
        <w:rPr/>
        <w:t>De</w:t>
      </w:r>
      <w:r>
        <w:rPr>
          <w:spacing w:val="-16"/>
        </w:rPr>
        <w:t> </w:t>
      </w:r>
      <w:r>
        <w:rPr/>
        <w:t>esta</w:t>
      </w:r>
      <w:r>
        <w:rPr>
          <w:spacing w:val="-18"/>
        </w:rPr>
        <w:t> </w:t>
      </w:r>
      <w:r>
        <w:rPr/>
        <w:t>manera</w:t>
      </w:r>
      <w:r>
        <w:rPr>
          <w:spacing w:val="-16"/>
        </w:rPr>
        <w:t> </w:t>
      </w:r>
      <w:r>
        <w:rPr/>
        <w:t>y</w:t>
      </w:r>
      <w:r>
        <w:rPr>
          <w:spacing w:val="-19"/>
        </w:rPr>
        <w:t> </w:t>
      </w:r>
      <w:r>
        <w:rPr/>
        <w:t>en</w:t>
      </w:r>
      <w:r>
        <w:rPr>
          <w:spacing w:val="-16"/>
        </w:rPr>
        <w:t> </w:t>
      </w:r>
      <w:r>
        <w:rPr/>
        <w:t>congruencia</w:t>
      </w:r>
      <w:r>
        <w:rPr>
          <w:spacing w:val="-16"/>
        </w:rPr>
        <w:t> </w:t>
      </w:r>
      <w:r>
        <w:rPr/>
        <w:t>con</w:t>
      </w:r>
      <w:r>
        <w:rPr>
          <w:spacing w:val="-16"/>
        </w:rPr>
        <w:t> </w:t>
      </w:r>
      <w:r>
        <w:rPr/>
        <w:t>el</w:t>
      </w:r>
      <w:r>
        <w:rPr>
          <w:spacing w:val="-19"/>
        </w:rPr>
        <w:t> </w:t>
      </w:r>
      <w:r>
        <w:rPr/>
        <w:t>planteamiento</w:t>
      </w:r>
      <w:r>
        <w:rPr>
          <w:spacing w:val="-16"/>
        </w:rPr>
        <w:t> </w:t>
      </w:r>
      <w:r>
        <w:rPr/>
        <w:t>realizado</w:t>
      </w:r>
      <w:r>
        <w:rPr>
          <w:spacing w:val="-16"/>
        </w:rPr>
        <w:t> </w:t>
      </w:r>
      <w:r>
        <w:rPr/>
        <w:t>por</w:t>
      </w:r>
      <w:r>
        <w:rPr>
          <w:spacing w:val="-17"/>
        </w:rPr>
        <w:t> </w:t>
      </w:r>
      <w:r>
        <w:rPr/>
        <w:t>Popper</w:t>
      </w:r>
      <w:r>
        <w:rPr>
          <w:spacing w:val="-17"/>
        </w:rPr>
        <w:t> </w:t>
      </w:r>
      <w:r>
        <w:rPr/>
        <w:t>(1945), la</w:t>
      </w:r>
      <w:r>
        <w:rPr>
          <w:spacing w:val="-8"/>
        </w:rPr>
        <w:t> </w:t>
      </w:r>
      <w:r>
        <w:rPr/>
        <w:t>sociedad</w:t>
      </w:r>
      <w:r>
        <w:rPr>
          <w:spacing w:val="-7"/>
        </w:rPr>
        <w:t> </w:t>
      </w:r>
      <w:r>
        <w:rPr/>
        <w:t>limita</w:t>
      </w:r>
      <w:r>
        <w:rPr>
          <w:spacing w:val="-7"/>
        </w:rPr>
        <w:t> </w:t>
      </w:r>
      <w:r>
        <w:rPr/>
        <w:t>el</w:t>
      </w:r>
      <w:r>
        <w:rPr>
          <w:spacing w:val="-9"/>
        </w:rPr>
        <w:t> </w:t>
      </w:r>
      <w:r>
        <w:rPr/>
        <w:t>raciocinio</w:t>
      </w:r>
      <w:r>
        <w:rPr>
          <w:spacing w:val="-8"/>
        </w:rPr>
        <w:t> </w:t>
      </w:r>
      <w:r>
        <w:rPr/>
        <w:t>individual</w:t>
      </w:r>
      <w:r>
        <w:rPr>
          <w:spacing w:val="-9"/>
        </w:rPr>
        <w:t> </w:t>
      </w:r>
      <w:r>
        <w:rPr/>
        <w:t>toda</w:t>
      </w:r>
      <w:r>
        <w:rPr>
          <w:spacing w:val="-10"/>
        </w:rPr>
        <w:t> </w:t>
      </w:r>
      <w:r>
        <w:rPr/>
        <w:t>vez</w:t>
      </w:r>
      <w:r>
        <w:rPr>
          <w:spacing w:val="-11"/>
        </w:rPr>
        <w:t> </w:t>
      </w:r>
      <w:r>
        <w:rPr/>
        <w:t>que</w:t>
      </w:r>
      <w:r>
        <w:rPr>
          <w:spacing w:val="-7"/>
        </w:rPr>
        <w:t> </w:t>
      </w:r>
      <w:r>
        <w:rPr/>
        <w:t>se</w:t>
      </w:r>
      <w:r>
        <w:rPr>
          <w:spacing w:val="-7"/>
        </w:rPr>
        <w:t> </w:t>
      </w:r>
      <w:r>
        <w:rPr/>
        <w:t>pudiera</w:t>
      </w:r>
      <w:r>
        <w:rPr>
          <w:spacing w:val="-8"/>
        </w:rPr>
        <w:t> </w:t>
      </w:r>
      <w:r>
        <w:rPr/>
        <w:t>poner</w:t>
      </w:r>
      <w:r>
        <w:rPr>
          <w:spacing w:val="-9"/>
        </w:rPr>
        <w:t> </w:t>
      </w:r>
      <w:r>
        <w:rPr/>
        <w:t>en</w:t>
      </w:r>
      <w:r>
        <w:rPr>
          <w:spacing w:val="-7"/>
        </w:rPr>
        <w:t> </w:t>
      </w:r>
      <w:r>
        <w:rPr/>
        <w:t>peligro</w:t>
      </w:r>
      <w:r>
        <w:rPr>
          <w:spacing w:val="-8"/>
        </w:rPr>
        <w:t> </w:t>
      </w:r>
      <w:r>
        <w:rPr/>
        <w:t>el orden</w:t>
      </w:r>
      <w:r>
        <w:rPr>
          <w:spacing w:val="-16"/>
        </w:rPr>
        <w:t> </w:t>
      </w:r>
      <w:r>
        <w:rPr/>
        <w:t>establecido</w:t>
      </w:r>
      <w:r>
        <w:rPr>
          <w:spacing w:val="-17"/>
        </w:rPr>
        <w:t> </w:t>
      </w:r>
      <w:r>
        <w:rPr/>
        <w:t>por</w:t>
      </w:r>
      <w:r>
        <w:rPr>
          <w:spacing w:val="-16"/>
        </w:rPr>
        <w:t> </w:t>
      </w:r>
      <w:r>
        <w:rPr/>
        <w:t>la</w:t>
      </w:r>
      <w:r>
        <w:rPr>
          <w:spacing w:val="-14"/>
        </w:rPr>
        <w:t> </w:t>
      </w:r>
      <w:r>
        <w:rPr/>
        <w:t>colectividad</w:t>
      </w:r>
      <w:r>
        <w:rPr>
          <w:spacing w:val="-14"/>
        </w:rPr>
        <w:t> </w:t>
      </w:r>
      <w:r>
        <w:rPr/>
        <w:t>y</w:t>
      </w:r>
      <w:r>
        <w:rPr>
          <w:spacing w:val="-17"/>
        </w:rPr>
        <w:t> </w:t>
      </w:r>
      <w:r>
        <w:rPr/>
        <w:t>se</w:t>
      </w:r>
      <w:r>
        <w:rPr>
          <w:spacing w:val="-17"/>
        </w:rPr>
        <w:t> </w:t>
      </w:r>
      <w:r>
        <w:rPr/>
        <w:t>pudiera</w:t>
      </w:r>
      <w:r>
        <w:rPr>
          <w:spacing w:val="-14"/>
        </w:rPr>
        <w:t> </w:t>
      </w:r>
      <w:r>
        <w:rPr/>
        <w:t>desestabilizar</w:t>
      </w:r>
      <w:r>
        <w:rPr>
          <w:spacing w:val="-16"/>
        </w:rPr>
        <w:t> </w:t>
      </w:r>
      <w:r>
        <w:rPr/>
        <w:t>el</w:t>
      </w:r>
      <w:r>
        <w:rPr>
          <w:spacing w:val="-15"/>
        </w:rPr>
        <w:t> </w:t>
      </w:r>
      <w:r>
        <w:rPr/>
        <w:t>sistema</w:t>
      </w:r>
      <w:r>
        <w:rPr>
          <w:spacing w:val="-17"/>
        </w:rPr>
        <w:t> </w:t>
      </w:r>
      <w:r>
        <w:rPr/>
        <w:t>de</w:t>
      </w:r>
      <w:r>
        <w:rPr>
          <w:spacing w:val="-16"/>
        </w:rPr>
        <w:t> </w:t>
      </w:r>
      <w:r>
        <w:rPr/>
        <w:t>reglas creado para</w:t>
      </w:r>
      <w:r>
        <w:rPr>
          <w:spacing w:val="-12"/>
        </w:rPr>
        <w:t> </w:t>
      </w:r>
      <w:r>
        <w:rPr/>
        <w:t>mantenerlo.</w:t>
      </w:r>
    </w:p>
    <w:p>
      <w:pPr>
        <w:spacing w:after="0" w:line="360" w:lineRule="auto"/>
        <w:jc w:val="both"/>
        <w:sectPr>
          <w:pgSz w:w="12240" w:h="15840"/>
          <w:pgMar w:header="0" w:footer="975" w:top="1360" w:bottom="1220" w:left="1600" w:right="1580"/>
        </w:sectPr>
      </w:pPr>
    </w:p>
    <w:p>
      <w:pPr>
        <w:pStyle w:val="Heading1"/>
        <w:numPr>
          <w:ilvl w:val="3"/>
          <w:numId w:val="13"/>
        </w:numPr>
        <w:tabs>
          <w:tab w:pos="1538" w:val="left" w:leader="none"/>
        </w:tabs>
        <w:spacing w:line="240" w:lineRule="auto" w:before="56" w:after="0"/>
        <w:ind w:left="1538" w:right="0" w:hanging="1428"/>
        <w:jc w:val="both"/>
      </w:pPr>
      <w:r>
        <w:rPr/>
        <w:t>Estabilidad a través de</w:t>
      </w:r>
      <w:r>
        <w:rPr>
          <w:spacing w:val="-9"/>
        </w:rPr>
        <w:t> </w:t>
      </w:r>
      <w:r>
        <w:rPr/>
        <w:t>tiempo</w:t>
      </w:r>
    </w:p>
    <w:p>
      <w:pPr>
        <w:pStyle w:val="BodyText"/>
        <w:rPr>
          <w:b/>
        </w:rPr>
      </w:pPr>
    </w:p>
    <w:p>
      <w:pPr>
        <w:pStyle w:val="BodyText"/>
        <w:spacing w:before="9"/>
        <w:rPr>
          <w:b/>
          <w:sz w:val="23"/>
        </w:rPr>
      </w:pPr>
    </w:p>
    <w:p>
      <w:pPr>
        <w:pStyle w:val="BodyText"/>
        <w:spacing w:line="360" w:lineRule="auto"/>
        <w:ind w:left="122" w:right="115"/>
        <w:jc w:val="both"/>
      </w:pPr>
      <w:r>
        <w:rPr/>
        <w:t>Esta segunda categoría se relaciona con identificar cómo las decisiones de las administraciones municipales han influido (pasado), influyen (presente) y podrían influir (futuro) en los avances de institucionalización de la transparencia, debido a que las instituciones se consagran y persisten cuando confieren beneficios que superan los costos de transacción (Powell y Dimaggio, 1999), no obstante, los constantes cambios de administración representan un talón de Aquiles para el proceso de institucionalización.</w:t>
      </w:r>
    </w:p>
    <w:p>
      <w:pPr>
        <w:pStyle w:val="BodyText"/>
      </w:pPr>
    </w:p>
    <w:p>
      <w:pPr>
        <w:pStyle w:val="BodyText"/>
        <w:spacing w:before="4"/>
        <w:rPr>
          <w:sz w:val="26"/>
        </w:rPr>
      </w:pPr>
    </w:p>
    <w:p>
      <w:pPr>
        <w:pStyle w:val="BodyText"/>
        <w:spacing w:line="360" w:lineRule="auto"/>
        <w:ind w:left="122" w:right="116"/>
        <w:jc w:val="both"/>
      </w:pPr>
      <w:r>
        <w:rPr/>
        <w:t>Respecto a lo anterior el Neoinstitucionalismo afirma que una de las</w:t>
      </w:r>
      <w:r>
        <w:rPr>
          <w:spacing w:val="-44"/>
        </w:rPr>
        <w:t> </w:t>
      </w:r>
      <w:r>
        <w:rPr/>
        <w:t>características importantes sobre las instituciones es que no cambian fácilmente debido a que se rigen por las reglas del juego estables en las que los actores maximizan sus utilidades (usualmente sus intereses propios) de acuerdo a las reglas (Steinmo, 2001).</w:t>
      </w:r>
      <w:r>
        <w:rPr>
          <w:spacing w:val="-18"/>
        </w:rPr>
        <w:t> </w:t>
      </w:r>
      <w:r>
        <w:rPr/>
        <w:t>En</w:t>
      </w:r>
      <w:r>
        <w:rPr>
          <w:spacing w:val="-17"/>
        </w:rPr>
        <w:t> </w:t>
      </w:r>
      <w:r>
        <w:rPr/>
        <w:t>este</w:t>
      </w:r>
      <w:r>
        <w:rPr>
          <w:spacing w:val="-16"/>
        </w:rPr>
        <w:t> </w:t>
      </w:r>
      <w:r>
        <w:rPr/>
        <w:t>caso,</w:t>
      </w:r>
      <w:r>
        <w:rPr>
          <w:spacing w:val="-19"/>
        </w:rPr>
        <w:t> </w:t>
      </w:r>
      <w:r>
        <w:rPr/>
        <w:t>las</w:t>
      </w:r>
      <w:r>
        <w:rPr>
          <w:spacing w:val="-17"/>
        </w:rPr>
        <w:t> </w:t>
      </w:r>
      <w:r>
        <w:rPr/>
        <w:t>reglas</w:t>
      </w:r>
      <w:r>
        <w:rPr>
          <w:spacing w:val="-17"/>
        </w:rPr>
        <w:t> </w:t>
      </w:r>
      <w:r>
        <w:rPr/>
        <w:t>del</w:t>
      </w:r>
      <w:r>
        <w:rPr>
          <w:spacing w:val="-18"/>
        </w:rPr>
        <w:t> </w:t>
      </w:r>
      <w:r>
        <w:rPr/>
        <w:t>juego</w:t>
      </w:r>
      <w:r>
        <w:rPr>
          <w:spacing w:val="-19"/>
        </w:rPr>
        <w:t> </w:t>
      </w:r>
      <w:r>
        <w:rPr/>
        <w:t>predominantes</w:t>
      </w:r>
      <w:r>
        <w:rPr>
          <w:spacing w:val="-17"/>
        </w:rPr>
        <w:t> </w:t>
      </w:r>
      <w:r>
        <w:rPr/>
        <w:t>son</w:t>
      </w:r>
      <w:r>
        <w:rPr>
          <w:spacing w:val="-17"/>
        </w:rPr>
        <w:t> </w:t>
      </w:r>
      <w:r>
        <w:rPr/>
        <w:t>las</w:t>
      </w:r>
      <w:r>
        <w:rPr>
          <w:spacing w:val="-19"/>
        </w:rPr>
        <w:t> </w:t>
      </w:r>
      <w:r>
        <w:rPr/>
        <w:t>informales</w:t>
      </w:r>
      <w:r>
        <w:rPr>
          <w:spacing w:val="-12"/>
        </w:rPr>
        <w:t> </w:t>
      </w:r>
      <w:r>
        <w:rPr/>
        <w:t>del</w:t>
      </w:r>
      <w:r>
        <w:rPr>
          <w:spacing w:val="-20"/>
        </w:rPr>
        <w:t> </w:t>
      </w:r>
      <w:r>
        <w:rPr/>
        <w:t>juego político que se rigen por los intereses de la élite gobernante, dejando de lado el compromiso institucional adquirido en</w:t>
      </w:r>
      <w:r>
        <w:rPr>
          <w:spacing w:val="-17"/>
        </w:rPr>
        <w:t> </w:t>
      </w:r>
      <w:r>
        <w:rPr/>
        <w:t>campañas.</w:t>
      </w:r>
    </w:p>
    <w:p>
      <w:pPr>
        <w:pStyle w:val="BodyText"/>
      </w:pPr>
    </w:p>
    <w:p>
      <w:pPr>
        <w:pStyle w:val="BodyText"/>
        <w:spacing w:line="360" w:lineRule="auto" w:before="142"/>
        <w:ind w:left="122" w:right="118"/>
        <w:jc w:val="both"/>
      </w:pPr>
      <w:r>
        <w:rPr/>
        <w:t>Con esta categoría pretendemos identificar cómo las decisiones de las administraciones municipales pasadas han influido en el desarrollo o atraso de la transparencia.</w:t>
      </w:r>
      <w:r>
        <w:rPr>
          <w:spacing w:val="-7"/>
        </w:rPr>
        <w:t> </w:t>
      </w:r>
      <w:r>
        <w:rPr/>
        <w:t>Considerando</w:t>
      </w:r>
      <w:r>
        <w:rPr>
          <w:spacing w:val="-7"/>
        </w:rPr>
        <w:t> </w:t>
      </w:r>
      <w:r>
        <w:rPr/>
        <w:t>el</w:t>
      </w:r>
      <w:r>
        <w:rPr>
          <w:spacing w:val="-8"/>
        </w:rPr>
        <w:t> </w:t>
      </w:r>
      <w:r>
        <w:rPr/>
        <w:t>antes,</w:t>
      </w:r>
      <w:r>
        <w:rPr>
          <w:spacing w:val="-7"/>
        </w:rPr>
        <w:t> </w:t>
      </w:r>
      <w:r>
        <w:rPr/>
        <w:t>ahora</w:t>
      </w:r>
      <w:r>
        <w:rPr>
          <w:spacing w:val="-10"/>
        </w:rPr>
        <w:t> </w:t>
      </w:r>
      <w:r>
        <w:rPr/>
        <w:t>y</w:t>
      </w:r>
      <w:r>
        <w:rPr>
          <w:spacing w:val="-10"/>
        </w:rPr>
        <w:t> </w:t>
      </w:r>
      <w:r>
        <w:rPr/>
        <w:t>después;</w:t>
      </w:r>
      <w:r>
        <w:rPr>
          <w:spacing w:val="-7"/>
        </w:rPr>
        <w:t> </w:t>
      </w:r>
      <w:r>
        <w:rPr/>
        <w:t>cambios</w:t>
      </w:r>
      <w:r>
        <w:rPr>
          <w:spacing w:val="-7"/>
        </w:rPr>
        <w:t> </w:t>
      </w:r>
      <w:r>
        <w:rPr/>
        <w:t>de</w:t>
      </w:r>
      <w:r>
        <w:rPr>
          <w:spacing w:val="-9"/>
        </w:rPr>
        <w:t> </w:t>
      </w:r>
      <w:r>
        <w:rPr/>
        <w:t>administración en la estructura formal; institucionalización en la vida social y discurso en tiempos electorales.</w:t>
      </w:r>
    </w:p>
    <w:p>
      <w:pPr>
        <w:pStyle w:val="BodyText"/>
      </w:pPr>
    </w:p>
    <w:p>
      <w:pPr>
        <w:pStyle w:val="BodyText"/>
      </w:pPr>
    </w:p>
    <w:p>
      <w:pPr>
        <w:pStyle w:val="BodyText"/>
        <w:spacing w:before="5"/>
        <w:rPr>
          <w:sz w:val="19"/>
        </w:rPr>
      </w:pPr>
    </w:p>
    <w:p>
      <w:pPr>
        <w:pStyle w:val="Heading1"/>
        <w:numPr>
          <w:ilvl w:val="3"/>
          <w:numId w:val="13"/>
        </w:numPr>
        <w:tabs>
          <w:tab w:pos="1538" w:val="left" w:leader="none"/>
        </w:tabs>
        <w:spacing w:line="240" w:lineRule="auto" w:before="0" w:after="0"/>
        <w:ind w:left="1538" w:right="0" w:hanging="1428"/>
        <w:jc w:val="both"/>
      </w:pPr>
      <w:r>
        <w:rPr/>
        <w:t>Afectación recíproca entre agente y</w:t>
      </w:r>
      <w:r>
        <w:rPr>
          <w:spacing w:val="-11"/>
        </w:rPr>
        <w:t> </w:t>
      </w:r>
      <w:r>
        <w:rPr/>
        <w:t>estructura</w:t>
      </w:r>
    </w:p>
    <w:p>
      <w:pPr>
        <w:pStyle w:val="BodyText"/>
        <w:rPr>
          <w:b/>
        </w:rPr>
      </w:pPr>
    </w:p>
    <w:p>
      <w:pPr>
        <w:pStyle w:val="BodyText"/>
        <w:rPr>
          <w:b/>
        </w:rPr>
      </w:pPr>
    </w:p>
    <w:p>
      <w:pPr>
        <w:pStyle w:val="BodyText"/>
        <w:spacing w:line="360" w:lineRule="auto" w:before="161"/>
        <w:ind w:left="122" w:right="115"/>
        <w:jc w:val="both"/>
      </w:pPr>
      <w:r>
        <w:rPr/>
        <w:t>Esta categoría señala en qué medida el individuo puede influir en la toma de decisiones para cambiar la cultura de transparencia o cuáles son las condiciones que la estructura crea para facilitar o limitar la toma de decisiones individuales. De este modo la acción y el desempeño de los individuos están conformados por  </w:t>
      </w:r>
      <w:r>
        <w:rPr>
          <w:spacing w:val="51"/>
        </w:rPr>
        <w:t> </w:t>
      </w:r>
      <w:r>
        <w:rPr/>
        <w:t>los</w:t>
      </w:r>
    </w:p>
    <w:p>
      <w:pPr>
        <w:spacing w:after="0" w:line="360" w:lineRule="auto"/>
        <w:jc w:val="both"/>
        <w:sectPr>
          <w:pgSz w:w="12240" w:h="15840"/>
          <w:pgMar w:header="0" w:footer="975" w:top="1360" w:bottom="1220" w:left="1580" w:right="1580"/>
        </w:sectPr>
      </w:pPr>
    </w:p>
    <w:p>
      <w:pPr>
        <w:pStyle w:val="BodyText"/>
        <w:spacing w:line="362" w:lineRule="auto" w:before="54"/>
        <w:ind w:left="122" w:right="115"/>
        <w:jc w:val="both"/>
      </w:pPr>
      <w:r>
        <w:rPr/>
        <w:t>entornos cultural y social que determinan las normas, valores, hábitos, roles y conforman categorías centrales para el Neoinstitucionalismo.</w:t>
      </w:r>
    </w:p>
    <w:p>
      <w:pPr>
        <w:pStyle w:val="BodyText"/>
      </w:pPr>
    </w:p>
    <w:p>
      <w:pPr>
        <w:pStyle w:val="BodyText"/>
      </w:pPr>
    </w:p>
    <w:p>
      <w:pPr>
        <w:pStyle w:val="BodyText"/>
        <w:spacing w:line="360" w:lineRule="auto" w:before="182"/>
        <w:ind w:left="122" w:right="115"/>
        <w:jc w:val="both"/>
      </w:pPr>
      <w:r>
        <w:rPr/>
        <w:t>En esta situación el Neoinstitucionalismo, a través de su enfoque sociológico, destaca los elementos cognitivos en la relación entre individuos e institución y concibe a las instituciones como marcos de referencia cultural que determinan el comportamiento de los individuos (March y Olsen, 1997). Se puede apreciar que la única manera de influir en la estructura es ser el líder la organización (Michels, 1992). Es por ello que la no participación de la sociedad favorece la opacidad del gobierno. En este contexto tiene pertinencia la reflexión de Michels (1992), cuando señala que la organización es reflejo de su líder.</w:t>
      </w:r>
    </w:p>
    <w:p>
      <w:pPr>
        <w:pStyle w:val="BodyText"/>
      </w:pPr>
    </w:p>
    <w:p>
      <w:pPr>
        <w:pStyle w:val="BodyText"/>
      </w:pPr>
    </w:p>
    <w:p>
      <w:pPr>
        <w:pStyle w:val="BodyText"/>
        <w:spacing w:line="360" w:lineRule="auto" w:before="185"/>
        <w:ind w:left="122" w:right="116"/>
        <w:jc w:val="both"/>
      </w:pPr>
      <w:r>
        <w:rPr/>
        <w:t>Esta categoría permitirá conocer cómo se logra el equilibrio entre los intereses del partido gobernante y los funcionarios, el gobierno municipal y la sociedad, en relación a la transparencia. Asimismo, qué tanto una persona puede influir en las rutinas y costumbres de la institución para generar por un lado un cambio, o cómo la estructura impone sus costumbres al individuo por el otro. En este sentido</w:t>
      </w:r>
      <w:r>
        <w:rPr>
          <w:spacing w:val="-46"/>
        </w:rPr>
        <w:t> </w:t>
      </w:r>
      <w:r>
        <w:rPr/>
        <w:t>Uvalle (2012) argumenta que con el uso de las rutinas los actores crean códigos, significados</w:t>
      </w:r>
      <w:r>
        <w:rPr>
          <w:spacing w:val="-20"/>
        </w:rPr>
        <w:t> </w:t>
      </w:r>
      <w:r>
        <w:rPr/>
        <w:t>y</w:t>
      </w:r>
      <w:r>
        <w:rPr>
          <w:spacing w:val="-20"/>
        </w:rPr>
        <w:t> </w:t>
      </w:r>
      <w:r>
        <w:rPr/>
        <w:t>valores</w:t>
      </w:r>
      <w:r>
        <w:rPr>
          <w:spacing w:val="-17"/>
        </w:rPr>
        <w:t> </w:t>
      </w:r>
      <w:r>
        <w:rPr/>
        <w:t>que</w:t>
      </w:r>
      <w:r>
        <w:rPr>
          <w:spacing w:val="-19"/>
        </w:rPr>
        <w:t> </w:t>
      </w:r>
      <w:r>
        <w:rPr/>
        <w:t>exigen</w:t>
      </w:r>
      <w:r>
        <w:rPr>
          <w:spacing w:val="-17"/>
        </w:rPr>
        <w:t> </w:t>
      </w:r>
      <w:r>
        <w:rPr/>
        <w:t>interpretación,</w:t>
      </w:r>
      <w:r>
        <w:rPr>
          <w:spacing w:val="-15"/>
        </w:rPr>
        <w:t> </w:t>
      </w:r>
      <w:r>
        <w:rPr/>
        <w:t>esta</w:t>
      </w:r>
      <w:r>
        <w:rPr>
          <w:spacing w:val="-18"/>
        </w:rPr>
        <w:t> </w:t>
      </w:r>
      <w:r>
        <w:rPr/>
        <w:t>situación</w:t>
      </w:r>
      <w:r>
        <w:rPr>
          <w:spacing w:val="-19"/>
        </w:rPr>
        <w:t> </w:t>
      </w:r>
      <w:r>
        <w:rPr/>
        <w:t>genera</w:t>
      </w:r>
      <w:r>
        <w:rPr>
          <w:spacing w:val="-17"/>
        </w:rPr>
        <w:t> </w:t>
      </w:r>
      <w:r>
        <w:rPr/>
        <w:t>que</w:t>
      </w:r>
      <w:r>
        <w:rPr>
          <w:spacing w:val="-16"/>
        </w:rPr>
        <w:t> </w:t>
      </w:r>
      <w:r>
        <w:rPr/>
        <w:t>la</w:t>
      </w:r>
      <w:r>
        <w:rPr>
          <w:spacing w:val="-19"/>
        </w:rPr>
        <w:t> </w:t>
      </w:r>
      <w:r>
        <w:rPr/>
        <w:t>política de transparencia ingrese a circuitos donde se definen problemas y se adoptan las soluciones que los sustentan para fines de interés</w:t>
      </w:r>
      <w:r>
        <w:rPr>
          <w:spacing w:val="-19"/>
        </w:rPr>
        <w:t> </w:t>
      </w:r>
      <w:r>
        <w:rPr/>
        <w:t>público.</w:t>
      </w:r>
    </w:p>
    <w:p>
      <w:pPr>
        <w:pStyle w:val="BodyText"/>
      </w:pPr>
    </w:p>
    <w:p>
      <w:pPr>
        <w:pStyle w:val="BodyText"/>
      </w:pPr>
    </w:p>
    <w:p>
      <w:pPr>
        <w:pStyle w:val="BodyText"/>
        <w:spacing w:before="11"/>
        <w:rPr>
          <w:sz w:val="22"/>
        </w:rPr>
      </w:pPr>
    </w:p>
    <w:p>
      <w:pPr>
        <w:pStyle w:val="Heading1"/>
        <w:numPr>
          <w:ilvl w:val="2"/>
          <w:numId w:val="14"/>
        </w:numPr>
        <w:tabs>
          <w:tab w:pos="830" w:val="left" w:leader="none"/>
        </w:tabs>
        <w:spacing w:line="240" w:lineRule="auto" w:before="0" w:after="0"/>
        <w:ind w:left="830" w:right="0" w:hanging="720"/>
        <w:jc w:val="both"/>
      </w:pPr>
      <w:r>
        <w:rPr/>
        <w:t>Sociología</w:t>
      </w:r>
      <w:r>
        <w:rPr>
          <w:spacing w:val="-5"/>
        </w:rPr>
        <w:t> </w:t>
      </w:r>
      <w:r>
        <w:rPr/>
        <w:t>organizacional</w:t>
      </w:r>
    </w:p>
    <w:p>
      <w:pPr>
        <w:pStyle w:val="BodyText"/>
        <w:rPr>
          <w:b/>
        </w:rPr>
      </w:pPr>
    </w:p>
    <w:p>
      <w:pPr>
        <w:pStyle w:val="BodyText"/>
        <w:rPr>
          <w:b/>
        </w:rPr>
      </w:pPr>
    </w:p>
    <w:p>
      <w:pPr>
        <w:pStyle w:val="BodyText"/>
        <w:spacing w:line="360" w:lineRule="auto" w:before="161"/>
        <w:ind w:left="122" w:right="115"/>
        <w:jc w:val="both"/>
      </w:pPr>
      <w:r>
        <w:rPr/>
        <w:t>La sociología organizacional permite identificar cuáles son los principales mecanismos de comportamiento de los trabajadores en relación al contexto en el que se desenvuelve. Para esta investigación se retoman solo algunos de estos</w:t>
      </w:r>
    </w:p>
    <w:p>
      <w:pPr>
        <w:spacing w:after="0" w:line="360" w:lineRule="auto"/>
        <w:jc w:val="both"/>
        <w:sectPr>
          <w:pgSz w:w="12240" w:h="15840"/>
          <w:pgMar w:header="0" w:footer="975" w:top="1360" w:bottom="1220" w:left="1580" w:right="1580"/>
        </w:sectPr>
      </w:pPr>
    </w:p>
    <w:p>
      <w:pPr>
        <w:pStyle w:val="BodyText"/>
        <w:spacing w:line="362" w:lineRule="auto" w:before="54"/>
        <w:ind w:left="122" w:right="124"/>
        <w:jc w:val="both"/>
      </w:pPr>
      <w:r>
        <w:rPr/>
        <w:t>elementos que se consideran fundamentales para entender el actuar de los funcionarios en relación a las prácticas de la transparencia.</w:t>
      </w:r>
    </w:p>
    <w:p>
      <w:pPr>
        <w:pStyle w:val="BodyText"/>
      </w:pPr>
    </w:p>
    <w:p>
      <w:pPr>
        <w:pStyle w:val="BodyText"/>
      </w:pPr>
    </w:p>
    <w:p>
      <w:pPr>
        <w:pStyle w:val="BodyText"/>
        <w:spacing w:before="4"/>
        <w:rPr>
          <w:sz w:val="19"/>
        </w:rPr>
      </w:pPr>
    </w:p>
    <w:p>
      <w:pPr>
        <w:pStyle w:val="Heading1"/>
        <w:numPr>
          <w:ilvl w:val="3"/>
          <w:numId w:val="14"/>
        </w:numPr>
        <w:tabs>
          <w:tab w:pos="1538" w:val="left" w:leader="none"/>
        </w:tabs>
        <w:spacing w:line="240" w:lineRule="auto" w:before="1" w:after="0"/>
        <w:ind w:left="1538" w:right="0" w:hanging="1428"/>
        <w:jc w:val="both"/>
      </w:pPr>
      <w:r>
        <w:rPr/>
        <w:t>Poder, dominación y legitimidad de</w:t>
      </w:r>
      <w:r>
        <w:rPr>
          <w:spacing w:val="-7"/>
        </w:rPr>
        <w:t> </w:t>
      </w:r>
      <w:r>
        <w:rPr/>
        <w:t>Weber</w:t>
      </w:r>
    </w:p>
    <w:p>
      <w:pPr>
        <w:pStyle w:val="BodyText"/>
        <w:rPr>
          <w:b/>
        </w:rPr>
      </w:pPr>
    </w:p>
    <w:p>
      <w:pPr>
        <w:pStyle w:val="BodyText"/>
        <w:rPr>
          <w:b/>
        </w:rPr>
      </w:pPr>
    </w:p>
    <w:p>
      <w:pPr>
        <w:pStyle w:val="BodyText"/>
        <w:spacing w:line="360" w:lineRule="auto" w:before="161"/>
        <w:ind w:left="122" w:right="114"/>
        <w:jc w:val="both"/>
      </w:pPr>
      <w:r>
        <w:rPr/>
        <w:t>Para Weber el poder no es, desde el punto de vista sociológico, la categoría analítica más importante, porque no es un concepto específico. El poder es un “concepto sociológicamente amorfo, porque su base puede ser cualquiera y las relaciones de poder pueden darse en un sentido tan amplio que puede abarcar fenómenos como la hipnosis” (Barenstein, 1981:24).</w:t>
      </w:r>
    </w:p>
    <w:p>
      <w:pPr>
        <w:pStyle w:val="BodyText"/>
      </w:pPr>
    </w:p>
    <w:p>
      <w:pPr>
        <w:pStyle w:val="BodyText"/>
        <w:spacing w:line="360" w:lineRule="auto" w:before="142"/>
        <w:ind w:left="122" w:right="119"/>
        <w:jc w:val="both"/>
      </w:pPr>
      <w:r>
        <w:rPr/>
        <w:t>En contraste, la dominación es un concepto más concreto, una relación que debe ser</w:t>
      </w:r>
      <w:r>
        <w:rPr>
          <w:spacing w:val="-5"/>
        </w:rPr>
        <w:t> </w:t>
      </w:r>
      <w:r>
        <w:rPr/>
        <w:t>efectiva</w:t>
      </w:r>
      <w:r>
        <w:rPr>
          <w:spacing w:val="-4"/>
        </w:rPr>
        <w:t> </w:t>
      </w:r>
      <w:r>
        <w:rPr/>
        <w:t>y</w:t>
      </w:r>
      <w:r>
        <w:rPr>
          <w:spacing w:val="-7"/>
        </w:rPr>
        <w:t> </w:t>
      </w:r>
      <w:r>
        <w:rPr/>
        <w:t>continua,</w:t>
      </w:r>
      <w:r>
        <w:rPr>
          <w:spacing w:val="-6"/>
        </w:rPr>
        <w:t> </w:t>
      </w:r>
      <w:r>
        <w:rPr/>
        <w:t>y</w:t>
      </w:r>
      <w:r>
        <w:rPr>
          <w:spacing w:val="-7"/>
        </w:rPr>
        <w:t> </w:t>
      </w:r>
      <w:r>
        <w:rPr/>
        <w:t>una</w:t>
      </w:r>
      <w:r>
        <w:rPr>
          <w:spacing w:val="-6"/>
        </w:rPr>
        <w:t> </w:t>
      </w:r>
      <w:r>
        <w:rPr/>
        <w:t>forma</w:t>
      </w:r>
      <w:r>
        <w:rPr>
          <w:spacing w:val="-6"/>
        </w:rPr>
        <w:t> </w:t>
      </w:r>
      <w:r>
        <w:rPr/>
        <w:t>de</w:t>
      </w:r>
      <w:r>
        <w:rPr>
          <w:spacing w:val="-6"/>
        </w:rPr>
        <w:t> </w:t>
      </w:r>
      <w:r>
        <w:rPr/>
        <w:t>influencia</w:t>
      </w:r>
      <w:r>
        <w:rPr>
          <w:spacing w:val="-4"/>
        </w:rPr>
        <w:t> </w:t>
      </w:r>
      <w:r>
        <w:rPr/>
        <w:t>que</w:t>
      </w:r>
      <w:r>
        <w:rPr>
          <w:spacing w:val="-4"/>
        </w:rPr>
        <w:t> </w:t>
      </w:r>
      <w:r>
        <w:rPr/>
        <w:t>implica</w:t>
      </w:r>
      <w:r>
        <w:rPr>
          <w:spacing w:val="-4"/>
        </w:rPr>
        <w:t> </w:t>
      </w:r>
      <w:r>
        <w:rPr/>
        <w:t>un</w:t>
      </w:r>
      <w:r>
        <w:rPr>
          <w:spacing w:val="-6"/>
        </w:rPr>
        <w:t> </w:t>
      </w:r>
      <w:r>
        <w:rPr/>
        <w:t>mandato</w:t>
      </w:r>
      <w:r>
        <w:rPr>
          <w:spacing w:val="-5"/>
        </w:rPr>
        <w:t> </w:t>
      </w:r>
      <w:r>
        <w:rPr/>
        <w:t>concreto, que genera obediencia en un sistema más o menos estable. Cuando la obediencia se vuelve habitual y se genera automáticamente, entonces se crea disciplina, requisito para el funcionamiento de la</w:t>
      </w:r>
      <w:r>
        <w:rPr>
          <w:spacing w:val="-18"/>
        </w:rPr>
        <w:t> </w:t>
      </w:r>
      <w:r>
        <w:rPr/>
        <w:t>burocracia.</w:t>
      </w:r>
    </w:p>
    <w:p>
      <w:pPr>
        <w:pStyle w:val="BodyText"/>
      </w:pPr>
    </w:p>
    <w:p>
      <w:pPr>
        <w:pStyle w:val="BodyText"/>
        <w:spacing w:line="360" w:lineRule="auto" w:before="142"/>
        <w:ind w:left="122" w:right="115"/>
        <w:jc w:val="both"/>
      </w:pPr>
      <w:r>
        <w:rPr/>
        <w:t>El poder es un elemento clave para esta investigación, ya que como señala Luks (1980), es una estructura que regula las relaciones sociales, es situacional y funciona</w:t>
      </w:r>
      <w:r>
        <w:rPr>
          <w:spacing w:val="-17"/>
        </w:rPr>
        <w:t> </w:t>
      </w:r>
      <w:r>
        <w:rPr/>
        <w:t>como</w:t>
      </w:r>
      <w:r>
        <w:rPr>
          <w:spacing w:val="-17"/>
        </w:rPr>
        <w:t> </w:t>
      </w:r>
      <w:r>
        <w:rPr/>
        <w:t>instrumento</w:t>
      </w:r>
      <w:r>
        <w:rPr>
          <w:spacing w:val="-19"/>
        </w:rPr>
        <w:t> </w:t>
      </w:r>
      <w:r>
        <w:rPr/>
        <w:t>para</w:t>
      </w:r>
      <w:r>
        <w:rPr>
          <w:spacing w:val="-20"/>
        </w:rPr>
        <w:t> </w:t>
      </w:r>
      <w:r>
        <w:rPr/>
        <w:t>entender</w:t>
      </w:r>
      <w:r>
        <w:rPr>
          <w:spacing w:val="-13"/>
        </w:rPr>
        <w:t> </w:t>
      </w:r>
      <w:r>
        <w:rPr/>
        <w:t>mejor</w:t>
      </w:r>
      <w:r>
        <w:rPr>
          <w:spacing w:val="-17"/>
        </w:rPr>
        <w:t> </w:t>
      </w:r>
      <w:r>
        <w:rPr/>
        <w:t>la</w:t>
      </w:r>
      <w:r>
        <w:rPr>
          <w:spacing w:val="-17"/>
        </w:rPr>
        <w:t> </w:t>
      </w:r>
      <w:r>
        <w:rPr/>
        <w:t>acción</w:t>
      </w:r>
      <w:r>
        <w:rPr>
          <w:spacing w:val="-17"/>
        </w:rPr>
        <w:t> </w:t>
      </w:r>
      <w:r>
        <w:rPr/>
        <w:t>colectiva,</w:t>
      </w:r>
      <w:r>
        <w:rPr>
          <w:spacing w:val="-16"/>
        </w:rPr>
        <w:t> </w:t>
      </w:r>
      <w:r>
        <w:rPr/>
        <w:t>los</w:t>
      </w:r>
      <w:r>
        <w:rPr>
          <w:spacing w:val="-17"/>
        </w:rPr>
        <w:t> </w:t>
      </w:r>
      <w:r>
        <w:rPr/>
        <w:t>lineamientos de incentivos, el sentido de las acciones que realizan los individuos dentro de una organización o grupo, ya que se refiere a la “probabilidad de imponer la propia voluntad</w:t>
      </w:r>
      <w:r>
        <w:rPr>
          <w:spacing w:val="-8"/>
        </w:rPr>
        <w:t> </w:t>
      </w:r>
      <w:r>
        <w:rPr/>
        <w:t>dentro</w:t>
      </w:r>
      <w:r>
        <w:rPr>
          <w:spacing w:val="-11"/>
        </w:rPr>
        <w:t> </w:t>
      </w:r>
      <w:r>
        <w:rPr/>
        <w:t>de</w:t>
      </w:r>
      <w:r>
        <w:rPr>
          <w:spacing w:val="-11"/>
        </w:rPr>
        <w:t> </w:t>
      </w:r>
      <w:r>
        <w:rPr/>
        <w:t>una</w:t>
      </w:r>
      <w:r>
        <w:rPr>
          <w:spacing w:val="-11"/>
        </w:rPr>
        <w:t> </w:t>
      </w:r>
      <w:r>
        <w:rPr/>
        <w:t>relación</w:t>
      </w:r>
      <w:r>
        <w:rPr>
          <w:spacing w:val="-8"/>
        </w:rPr>
        <w:t> </w:t>
      </w:r>
      <w:r>
        <w:rPr/>
        <w:t>social,</w:t>
      </w:r>
      <w:r>
        <w:rPr>
          <w:spacing w:val="-11"/>
        </w:rPr>
        <w:t> </w:t>
      </w:r>
      <w:r>
        <w:rPr/>
        <w:t>aun</w:t>
      </w:r>
      <w:r>
        <w:rPr>
          <w:spacing w:val="-8"/>
        </w:rPr>
        <w:t> </w:t>
      </w:r>
      <w:r>
        <w:rPr/>
        <w:t>contra</w:t>
      </w:r>
      <w:r>
        <w:rPr>
          <w:spacing w:val="-9"/>
        </w:rPr>
        <w:t> </w:t>
      </w:r>
      <w:r>
        <w:rPr/>
        <w:t>la</w:t>
      </w:r>
      <w:r>
        <w:rPr>
          <w:spacing w:val="-3"/>
        </w:rPr>
        <w:t> </w:t>
      </w:r>
      <w:r>
        <w:rPr/>
        <w:t>resistencia</w:t>
      </w:r>
      <w:r>
        <w:rPr>
          <w:spacing w:val="-9"/>
        </w:rPr>
        <w:t> </w:t>
      </w:r>
      <w:r>
        <w:rPr/>
        <w:t>y</w:t>
      </w:r>
      <w:r>
        <w:rPr>
          <w:spacing w:val="-12"/>
        </w:rPr>
        <w:t> </w:t>
      </w:r>
      <w:r>
        <w:rPr/>
        <w:t>cualquier</w:t>
      </w:r>
      <w:r>
        <w:rPr>
          <w:spacing w:val="-9"/>
        </w:rPr>
        <w:t> </w:t>
      </w:r>
      <w:r>
        <w:rPr/>
        <w:t>que</w:t>
      </w:r>
      <w:r>
        <w:rPr>
          <w:spacing w:val="-8"/>
        </w:rPr>
        <w:t> </w:t>
      </w:r>
      <w:r>
        <w:rPr/>
        <w:t>sea el fundamento de esa probabilidad” (Weber, 2002:43). En tanto que la dominación es “la probabilidad de obtener obediencia sobre un mandato” (Weber, 2002:43), la legitimidad es “la probabilidad de tratar y mantener a la dominación como tal” (Weber, 2002:173) y la obediencia “significa que la acción del que obedece transcurre como si el contenido del mandato se hubiera convertido, por sí mismo, en máxima de su</w:t>
      </w:r>
      <w:r>
        <w:rPr>
          <w:spacing w:val="-7"/>
        </w:rPr>
        <w:t> </w:t>
      </w:r>
      <w:r>
        <w:rPr/>
        <w:t>conducta”.</w:t>
      </w:r>
    </w:p>
    <w:p>
      <w:pPr>
        <w:spacing w:after="0" w:line="360" w:lineRule="auto"/>
        <w:jc w:val="both"/>
        <w:sectPr>
          <w:pgSz w:w="12240" w:h="15840"/>
          <w:pgMar w:header="0" w:footer="975" w:top="1360" w:bottom="1220" w:left="1580" w:right="1580"/>
        </w:sectPr>
      </w:pPr>
    </w:p>
    <w:p>
      <w:pPr>
        <w:pStyle w:val="BodyText"/>
        <w:spacing w:line="360" w:lineRule="auto" w:before="54"/>
        <w:ind w:left="102" w:right="115"/>
        <w:jc w:val="both"/>
      </w:pPr>
      <w:r>
        <w:rPr/>
        <w:t>Por tal motivo la legitimidad permite al dominado aceptar la dominación y genera estabilidad en las relaciones de los individuos, ya que se reduce la incertidumbre y se vuelven calculables los comportamientos de los individuos. De igual manera, cuando</w:t>
      </w:r>
      <w:r>
        <w:rPr>
          <w:spacing w:val="-9"/>
        </w:rPr>
        <w:t> </w:t>
      </w:r>
      <w:r>
        <w:rPr/>
        <w:t>la</w:t>
      </w:r>
      <w:r>
        <w:rPr>
          <w:spacing w:val="-12"/>
        </w:rPr>
        <w:t> </w:t>
      </w:r>
      <w:r>
        <w:rPr/>
        <w:t>obediencia</w:t>
      </w:r>
      <w:r>
        <w:rPr>
          <w:spacing w:val="-10"/>
        </w:rPr>
        <w:t> </w:t>
      </w:r>
      <w:r>
        <w:rPr/>
        <w:t>se</w:t>
      </w:r>
      <w:r>
        <w:rPr>
          <w:spacing w:val="-9"/>
        </w:rPr>
        <w:t> </w:t>
      </w:r>
      <w:r>
        <w:rPr/>
        <w:t>vuelve</w:t>
      </w:r>
      <w:r>
        <w:rPr>
          <w:spacing w:val="-9"/>
        </w:rPr>
        <w:t> </w:t>
      </w:r>
      <w:r>
        <w:rPr/>
        <w:t>habitual</w:t>
      </w:r>
      <w:r>
        <w:rPr>
          <w:spacing w:val="-11"/>
        </w:rPr>
        <w:t> </w:t>
      </w:r>
      <w:r>
        <w:rPr/>
        <w:t>y</w:t>
      </w:r>
      <w:r>
        <w:rPr>
          <w:spacing w:val="-13"/>
        </w:rPr>
        <w:t> </w:t>
      </w:r>
      <w:r>
        <w:rPr/>
        <w:t>se</w:t>
      </w:r>
      <w:r>
        <w:rPr>
          <w:spacing w:val="-12"/>
        </w:rPr>
        <w:t> </w:t>
      </w:r>
      <w:r>
        <w:rPr/>
        <w:t>genera</w:t>
      </w:r>
      <w:r>
        <w:rPr>
          <w:spacing w:val="-10"/>
        </w:rPr>
        <w:t> </w:t>
      </w:r>
      <w:r>
        <w:rPr/>
        <w:t>automáticamente,</w:t>
      </w:r>
      <w:r>
        <w:rPr>
          <w:spacing w:val="-10"/>
        </w:rPr>
        <w:t> </w:t>
      </w:r>
      <w:r>
        <w:rPr/>
        <w:t>entonces</w:t>
      </w:r>
      <w:r>
        <w:rPr>
          <w:spacing w:val="-10"/>
        </w:rPr>
        <w:t> </w:t>
      </w:r>
      <w:r>
        <w:rPr/>
        <w:t>se crea disciplina, requisito clave para el funcionamiento de la burocracia. Por tal motivo, cuando los miembros de una asociación están “sometidos a relaciones de dominación de un orden vigente” se constituye una asociación de dominación. Es importante la legitimación de la dominación porque de no hacerlo (de la forma que fuera)</w:t>
      </w:r>
      <w:r>
        <w:rPr>
          <w:spacing w:val="-12"/>
        </w:rPr>
        <w:t> </w:t>
      </w:r>
      <w:r>
        <w:rPr/>
        <w:t>no</w:t>
      </w:r>
      <w:r>
        <w:rPr>
          <w:spacing w:val="-11"/>
        </w:rPr>
        <w:t> </w:t>
      </w:r>
      <w:r>
        <w:rPr/>
        <w:t>habría</w:t>
      </w:r>
      <w:r>
        <w:rPr>
          <w:spacing w:val="-8"/>
        </w:rPr>
        <w:t> </w:t>
      </w:r>
      <w:r>
        <w:rPr/>
        <w:t>obediencia,</w:t>
      </w:r>
      <w:r>
        <w:rPr>
          <w:spacing w:val="-11"/>
        </w:rPr>
        <w:t> </w:t>
      </w:r>
      <w:r>
        <w:rPr/>
        <w:t>es</w:t>
      </w:r>
      <w:r>
        <w:rPr>
          <w:spacing w:val="-12"/>
        </w:rPr>
        <w:t> </w:t>
      </w:r>
      <w:r>
        <w:rPr/>
        <w:t>decir,</w:t>
      </w:r>
      <w:r>
        <w:rPr>
          <w:spacing w:val="-9"/>
        </w:rPr>
        <w:t> </w:t>
      </w:r>
      <w:r>
        <w:rPr/>
        <w:t>la</w:t>
      </w:r>
      <w:r>
        <w:rPr>
          <w:spacing w:val="-11"/>
        </w:rPr>
        <w:t> </w:t>
      </w:r>
      <w:r>
        <w:rPr/>
        <w:t>probabilidad</w:t>
      </w:r>
      <w:r>
        <w:rPr>
          <w:spacing w:val="-5"/>
        </w:rPr>
        <w:t> </w:t>
      </w:r>
      <w:r>
        <w:rPr/>
        <w:t>de</w:t>
      </w:r>
      <w:r>
        <w:rPr>
          <w:spacing w:val="-11"/>
        </w:rPr>
        <w:t> </w:t>
      </w:r>
      <w:r>
        <w:rPr/>
        <w:t>que</w:t>
      </w:r>
      <w:r>
        <w:rPr>
          <w:spacing w:val="-11"/>
        </w:rPr>
        <w:t> </w:t>
      </w:r>
      <w:r>
        <w:rPr/>
        <w:t>hay</w:t>
      </w:r>
      <w:r>
        <w:rPr>
          <w:spacing w:val="-12"/>
        </w:rPr>
        <w:t> </w:t>
      </w:r>
      <w:r>
        <w:rPr/>
        <w:t>reciprocidad</w:t>
      </w:r>
      <w:r>
        <w:rPr>
          <w:spacing w:val="-11"/>
        </w:rPr>
        <w:t> </w:t>
      </w:r>
      <w:r>
        <w:rPr/>
        <w:t>de</w:t>
      </w:r>
      <w:r>
        <w:rPr>
          <w:spacing w:val="-11"/>
        </w:rPr>
        <w:t> </w:t>
      </w:r>
      <w:r>
        <w:rPr/>
        <w:t>las acciones sería muy baja. La Legitimidad hace racional la dominación y genera la creencia que reconoce la dominación como adecuada: las creencias permiten la legitimidad, la legitimidad facilita la dominación y la dominación ayuda a mantener asociaciones estables. Es por ello que la dominación es un círculo de</w:t>
      </w:r>
      <w:r>
        <w:rPr>
          <w:spacing w:val="-23"/>
        </w:rPr>
        <w:t> </w:t>
      </w:r>
      <w:r>
        <w:rPr/>
        <w:t>poder.</w:t>
      </w:r>
    </w:p>
    <w:p>
      <w:pPr>
        <w:pStyle w:val="BodyText"/>
      </w:pPr>
    </w:p>
    <w:p>
      <w:pPr>
        <w:pStyle w:val="BodyText"/>
      </w:pPr>
    </w:p>
    <w:p>
      <w:pPr>
        <w:pStyle w:val="BodyText"/>
        <w:spacing w:line="360" w:lineRule="auto" w:before="187"/>
        <w:ind w:left="102" w:right="117"/>
        <w:jc w:val="both"/>
      </w:pPr>
      <w:r>
        <w:rPr/>
        <w:t>Por su parte, Crozier (1964), afirma que el poder viene de áreas de incertidumbre de los individuos, que crean círculos concretos de acción. El sistema concreto de acción está compuesto tanto de juegos de poder como mecanismos de regulación, es decir, una mezcla de dispositivos formales y de estructuras que aparecen súbitamente.</w:t>
      </w:r>
      <w:r>
        <w:rPr>
          <w:spacing w:val="-19"/>
        </w:rPr>
        <w:t> </w:t>
      </w:r>
      <w:r>
        <w:rPr/>
        <w:t>El</w:t>
      </w:r>
      <w:r>
        <w:rPr>
          <w:spacing w:val="-18"/>
        </w:rPr>
        <w:t> </w:t>
      </w:r>
      <w:r>
        <w:rPr/>
        <w:t>sistema</w:t>
      </w:r>
      <w:r>
        <w:rPr>
          <w:spacing w:val="-17"/>
        </w:rPr>
        <w:t> </w:t>
      </w:r>
      <w:r>
        <w:rPr/>
        <w:t>de</w:t>
      </w:r>
      <w:r>
        <w:rPr>
          <w:spacing w:val="-17"/>
        </w:rPr>
        <w:t> </w:t>
      </w:r>
      <w:r>
        <w:rPr/>
        <w:t>concreto</w:t>
      </w:r>
      <w:r>
        <w:rPr>
          <w:spacing w:val="-17"/>
        </w:rPr>
        <w:t> </w:t>
      </w:r>
      <w:r>
        <w:rPr/>
        <w:t>de</w:t>
      </w:r>
      <w:r>
        <w:rPr>
          <w:spacing w:val="-19"/>
        </w:rPr>
        <w:t> </w:t>
      </w:r>
      <w:r>
        <w:rPr/>
        <w:t>acción</w:t>
      </w:r>
      <w:r>
        <w:rPr>
          <w:spacing w:val="-17"/>
        </w:rPr>
        <w:t> </w:t>
      </w:r>
      <w:r>
        <w:rPr/>
        <w:t>es</w:t>
      </w:r>
      <w:r>
        <w:rPr>
          <w:spacing w:val="-20"/>
        </w:rPr>
        <w:t> </w:t>
      </w:r>
      <w:r>
        <w:rPr/>
        <w:t>resultado</w:t>
      </w:r>
      <w:r>
        <w:rPr>
          <w:spacing w:val="-19"/>
        </w:rPr>
        <w:t> </w:t>
      </w:r>
      <w:r>
        <w:rPr/>
        <w:t>de</w:t>
      </w:r>
      <w:r>
        <w:rPr>
          <w:spacing w:val="-17"/>
        </w:rPr>
        <w:t> </w:t>
      </w:r>
      <w:r>
        <w:rPr/>
        <w:t>estructuras</w:t>
      </w:r>
      <w:r>
        <w:rPr>
          <w:spacing w:val="-20"/>
        </w:rPr>
        <w:t> </w:t>
      </w:r>
      <w:r>
        <w:rPr/>
        <w:t>de</w:t>
      </w:r>
      <w:r>
        <w:rPr>
          <w:spacing w:val="-19"/>
        </w:rPr>
        <w:t> </w:t>
      </w:r>
      <w:r>
        <w:rPr/>
        <w:t>acción colectivas, productoras de un orden local y contingente cuyas características y reglas de juego se producen de la interacción estratégica y de los procesos de intercambio y de poder entre los participantes (Crozier y Friedberg,</w:t>
      </w:r>
      <w:r>
        <w:rPr>
          <w:spacing w:val="-24"/>
        </w:rPr>
        <w:t> </w:t>
      </w:r>
      <w:r>
        <w:rPr/>
        <w:t>1992).</w:t>
      </w:r>
    </w:p>
    <w:p>
      <w:pPr>
        <w:pStyle w:val="BodyText"/>
      </w:pPr>
    </w:p>
    <w:p>
      <w:pPr>
        <w:pStyle w:val="BodyText"/>
      </w:pPr>
    </w:p>
    <w:p>
      <w:pPr>
        <w:pStyle w:val="BodyText"/>
        <w:spacing w:line="360" w:lineRule="auto" w:before="185"/>
        <w:ind w:left="102" w:right="115"/>
        <w:jc w:val="both"/>
      </w:pPr>
      <w:r>
        <w:rPr/>
        <w:t>De esta forma, los mecanismos de regulación definen la pertinencia de los problemas y apuestas en torno a los cuales los actores interesados pueden movilizarse, al mismo tiempo que organizan, mediatizan y regulan tanto las interdependencias como los procesos de intercambio resultantes. Los individuos para Crozier y Friedberg (1992) son actores porque tienen capacidad reflexiva, están restringidos o limitados por su contexto, pero no están determinados, porque utilizan   sus   márgenes   de   libertad   para   elegir   o   construir   estrategias;  su</w:t>
      </w:r>
    </w:p>
    <w:p>
      <w:pPr>
        <w:spacing w:after="0" w:line="360" w:lineRule="auto"/>
        <w:jc w:val="both"/>
        <w:sectPr>
          <w:pgSz w:w="12240" w:h="15840"/>
          <w:pgMar w:header="0" w:footer="975" w:top="1360" w:bottom="1220" w:left="1600" w:right="1580"/>
        </w:sectPr>
      </w:pPr>
    </w:p>
    <w:p>
      <w:pPr>
        <w:pStyle w:val="BodyText"/>
        <w:spacing w:line="360" w:lineRule="auto" w:before="54"/>
        <w:ind w:left="122" w:right="125"/>
        <w:jc w:val="both"/>
      </w:pPr>
      <w:r>
        <w:rPr/>
        <w:t>comportamiento es racional respecto a las oportunidades y al contexto que las define, en relación con el comportamiento de los otros actores y el juego que se desarrolla entre ellos.</w:t>
      </w:r>
    </w:p>
    <w:p>
      <w:pPr>
        <w:pStyle w:val="BodyText"/>
      </w:pPr>
    </w:p>
    <w:p>
      <w:pPr>
        <w:pStyle w:val="BodyText"/>
      </w:pPr>
    </w:p>
    <w:p>
      <w:pPr>
        <w:pStyle w:val="BodyText"/>
        <w:spacing w:line="360" w:lineRule="auto" w:before="187"/>
        <w:ind w:left="122" w:right="122"/>
        <w:jc w:val="both"/>
      </w:pPr>
      <w:r>
        <w:rPr/>
        <w:t>El sistema concreto de acción es un sistema basado en el poder, la regla es el elemento</w:t>
      </w:r>
      <w:r>
        <w:rPr>
          <w:spacing w:val="-12"/>
        </w:rPr>
        <w:t> </w:t>
      </w:r>
      <w:r>
        <w:rPr/>
        <w:t>de</w:t>
      </w:r>
      <w:r>
        <w:rPr>
          <w:spacing w:val="-12"/>
        </w:rPr>
        <w:t> </w:t>
      </w:r>
      <w:r>
        <w:rPr/>
        <w:t>referencia</w:t>
      </w:r>
      <w:r>
        <w:rPr>
          <w:spacing w:val="-14"/>
        </w:rPr>
        <w:t> </w:t>
      </w:r>
      <w:r>
        <w:rPr/>
        <w:t>para</w:t>
      </w:r>
      <w:r>
        <w:rPr>
          <w:spacing w:val="-15"/>
        </w:rPr>
        <w:t> </w:t>
      </w:r>
      <w:r>
        <w:rPr/>
        <w:t>generar</w:t>
      </w:r>
      <w:r>
        <w:rPr>
          <w:spacing w:val="-15"/>
        </w:rPr>
        <w:t> </w:t>
      </w:r>
      <w:r>
        <w:rPr/>
        <w:t>espacios</w:t>
      </w:r>
      <w:r>
        <w:rPr>
          <w:spacing w:val="-14"/>
        </w:rPr>
        <w:t> </w:t>
      </w:r>
      <w:r>
        <w:rPr/>
        <w:t>de</w:t>
      </w:r>
      <w:r>
        <w:rPr>
          <w:spacing w:val="-14"/>
        </w:rPr>
        <w:t> </w:t>
      </w:r>
      <w:r>
        <w:rPr/>
        <w:t>incertidumbre.</w:t>
      </w:r>
      <w:r>
        <w:rPr>
          <w:spacing w:val="-14"/>
        </w:rPr>
        <w:t> </w:t>
      </w:r>
      <w:r>
        <w:rPr/>
        <w:t>Pero</w:t>
      </w:r>
      <w:r>
        <w:rPr>
          <w:spacing w:val="-12"/>
        </w:rPr>
        <w:t> </w:t>
      </w:r>
      <w:r>
        <w:rPr/>
        <w:t>es</w:t>
      </w:r>
      <w:r>
        <w:rPr>
          <w:spacing w:val="-15"/>
        </w:rPr>
        <w:t> </w:t>
      </w:r>
      <w:r>
        <w:rPr/>
        <w:t>un</w:t>
      </w:r>
      <w:r>
        <w:rPr>
          <w:spacing w:val="-12"/>
        </w:rPr>
        <w:t> </w:t>
      </w:r>
      <w:r>
        <w:rPr/>
        <w:t>sistema siempre contingente de regulación</w:t>
      </w:r>
      <w:r>
        <w:rPr>
          <w:spacing w:val="-14"/>
        </w:rPr>
        <w:t> </w:t>
      </w:r>
      <w:r>
        <w:rPr/>
        <w:t>mixta.</w:t>
      </w:r>
    </w:p>
    <w:p>
      <w:pPr>
        <w:pStyle w:val="BodyText"/>
      </w:pPr>
    </w:p>
    <w:p>
      <w:pPr>
        <w:pStyle w:val="BodyText"/>
      </w:pPr>
    </w:p>
    <w:p>
      <w:pPr>
        <w:pStyle w:val="BodyText"/>
        <w:spacing w:before="8"/>
        <w:rPr>
          <w:sz w:val="19"/>
        </w:rPr>
      </w:pPr>
    </w:p>
    <w:p>
      <w:pPr>
        <w:pStyle w:val="Heading1"/>
        <w:numPr>
          <w:ilvl w:val="3"/>
          <w:numId w:val="14"/>
        </w:numPr>
        <w:tabs>
          <w:tab w:pos="1538" w:val="left" w:leader="none"/>
        </w:tabs>
        <w:spacing w:line="240" w:lineRule="auto" w:before="0" w:after="0"/>
        <w:ind w:left="1538" w:right="0" w:hanging="1428"/>
        <w:jc w:val="both"/>
      </w:pPr>
      <w:r>
        <w:rPr/>
        <w:t>Interacción y actuación en</w:t>
      </w:r>
      <w:r>
        <w:rPr>
          <w:spacing w:val="-10"/>
        </w:rPr>
        <w:t> </w:t>
      </w:r>
      <w:r>
        <w:rPr/>
        <w:t>Goffman</w:t>
      </w:r>
    </w:p>
    <w:p>
      <w:pPr>
        <w:pStyle w:val="BodyText"/>
        <w:rPr>
          <w:b/>
        </w:rPr>
      </w:pPr>
    </w:p>
    <w:p>
      <w:pPr>
        <w:pStyle w:val="BodyText"/>
        <w:rPr>
          <w:b/>
        </w:rPr>
      </w:pPr>
    </w:p>
    <w:p>
      <w:pPr>
        <w:pStyle w:val="BodyText"/>
        <w:spacing w:line="360" w:lineRule="auto" w:before="158"/>
        <w:ind w:left="122" w:right="116"/>
        <w:jc w:val="both"/>
      </w:pPr>
      <w:r>
        <w:rPr/>
        <w:t>Para</w:t>
      </w:r>
      <w:r>
        <w:rPr>
          <w:spacing w:val="-5"/>
        </w:rPr>
        <w:t> </w:t>
      </w:r>
      <w:r>
        <w:rPr/>
        <w:t>Goffman</w:t>
      </w:r>
      <w:r>
        <w:rPr>
          <w:spacing w:val="-5"/>
        </w:rPr>
        <w:t> </w:t>
      </w:r>
      <w:r>
        <w:rPr/>
        <w:t>(1981),</w:t>
      </w:r>
      <w:r>
        <w:rPr>
          <w:spacing w:val="-7"/>
        </w:rPr>
        <w:t> </w:t>
      </w:r>
      <w:r>
        <w:rPr/>
        <w:t>la</w:t>
      </w:r>
      <w:r>
        <w:rPr>
          <w:spacing w:val="-5"/>
        </w:rPr>
        <w:t> </w:t>
      </w:r>
      <w:r>
        <w:rPr/>
        <w:t>interacción</w:t>
      </w:r>
      <w:r>
        <w:rPr>
          <w:spacing w:val="-6"/>
        </w:rPr>
        <w:t> </w:t>
      </w:r>
      <w:r>
        <w:rPr/>
        <w:t>es</w:t>
      </w:r>
      <w:r>
        <w:rPr>
          <w:spacing w:val="-5"/>
        </w:rPr>
        <w:t> </w:t>
      </w:r>
      <w:r>
        <w:rPr/>
        <w:t>la</w:t>
      </w:r>
      <w:r>
        <w:rPr>
          <w:spacing w:val="-7"/>
        </w:rPr>
        <w:t> </w:t>
      </w:r>
      <w:r>
        <w:rPr/>
        <w:t>influencia</w:t>
      </w:r>
      <w:r>
        <w:rPr>
          <w:spacing w:val="-5"/>
        </w:rPr>
        <w:t> </w:t>
      </w:r>
      <w:r>
        <w:rPr/>
        <w:t>recíproca</w:t>
      </w:r>
      <w:r>
        <w:rPr>
          <w:spacing w:val="-7"/>
        </w:rPr>
        <w:t> </w:t>
      </w:r>
      <w:r>
        <w:rPr/>
        <w:t>de</w:t>
      </w:r>
      <w:r>
        <w:rPr>
          <w:spacing w:val="-5"/>
        </w:rPr>
        <w:t> </w:t>
      </w:r>
      <w:r>
        <w:rPr/>
        <w:t>un</w:t>
      </w:r>
      <w:r>
        <w:rPr>
          <w:spacing w:val="-5"/>
        </w:rPr>
        <w:t> </w:t>
      </w:r>
      <w:r>
        <w:rPr/>
        <w:t>individuo</w:t>
      </w:r>
      <w:r>
        <w:rPr>
          <w:spacing w:val="-5"/>
        </w:rPr>
        <w:t> </w:t>
      </w:r>
      <w:r>
        <w:rPr/>
        <w:t>sobre las</w:t>
      </w:r>
      <w:r>
        <w:rPr>
          <w:spacing w:val="-9"/>
        </w:rPr>
        <w:t> </w:t>
      </w:r>
      <w:r>
        <w:rPr/>
        <w:t>acciones</w:t>
      </w:r>
      <w:r>
        <w:rPr>
          <w:spacing w:val="-9"/>
        </w:rPr>
        <w:t> </w:t>
      </w:r>
      <w:r>
        <w:rPr/>
        <w:t>de</w:t>
      </w:r>
      <w:r>
        <w:rPr>
          <w:spacing w:val="-8"/>
        </w:rPr>
        <w:t> </w:t>
      </w:r>
      <w:r>
        <w:rPr/>
        <w:t>otro</w:t>
      </w:r>
      <w:r>
        <w:rPr>
          <w:spacing w:val="-9"/>
        </w:rPr>
        <w:t> </w:t>
      </w:r>
      <w:r>
        <w:rPr/>
        <w:t>cuando</w:t>
      </w:r>
      <w:r>
        <w:rPr>
          <w:spacing w:val="-8"/>
        </w:rPr>
        <w:t> </w:t>
      </w:r>
      <w:r>
        <w:rPr/>
        <w:t>se</w:t>
      </w:r>
      <w:r>
        <w:rPr>
          <w:spacing w:val="-11"/>
        </w:rPr>
        <w:t> </w:t>
      </w:r>
      <w:r>
        <w:rPr/>
        <w:t>encuentran</w:t>
      </w:r>
      <w:r>
        <w:rPr>
          <w:spacing w:val="-11"/>
        </w:rPr>
        <w:t> </w:t>
      </w:r>
      <w:r>
        <w:rPr/>
        <w:t>ambos</w:t>
      </w:r>
      <w:r>
        <w:rPr>
          <w:spacing w:val="-12"/>
        </w:rPr>
        <w:t> </w:t>
      </w:r>
      <w:r>
        <w:rPr/>
        <w:t>en</w:t>
      </w:r>
      <w:r>
        <w:rPr>
          <w:spacing w:val="-11"/>
        </w:rPr>
        <w:t> </w:t>
      </w:r>
      <w:r>
        <w:rPr/>
        <w:t>presencia</w:t>
      </w:r>
      <w:r>
        <w:rPr>
          <w:spacing w:val="-11"/>
        </w:rPr>
        <w:t> </w:t>
      </w:r>
      <w:r>
        <w:rPr/>
        <w:t>física</w:t>
      </w:r>
      <w:r>
        <w:rPr>
          <w:spacing w:val="-8"/>
        </w:rPr>
        <w:t> </w:t>
      </w:r>
      <w:r>
        <w:rPr/>
        <w:t>inmediata</w:t>
      </w:r>
      <w:r>
        <w:rPr>
          <w:spacing w:val="-10"/>
        </w:rPr>
        <w:t> </w:t>
      </w:r>
      <w:r>
        <w:rPr/>
        <w:t>del otro. En tanto que la actuación la define como la actividad total de un participante dado en una ocasión dada, que sirve para influir de algún modo sobre los otros participantes.</w:t>
      </w:r>
    </w:p>
    <w:p>
      <w:pPr>
        <w:pStyle w:val="BodyText"/>
      </w:pPr>
    </w:p>
    <w:p>
      <w:pPr>
        <w:pStyle w:val="BodyText"/>
      </w:pPr>
    </w:p>
    <w:p>
      <w:pPr>
        <w:pStyle w:val="BodyText"/>
        <w:spacing w:line="360" w:lineRule="auto" w:before="188"/>
        <w:ind w:left="122" w:right="118"/>
        <w:jc w:val="both"/>
      </w:pPr>
      <w:r>
        <w:rPr/>
        <w:t>Estos</w:t>
      </w:r>
      <w:r>
        <w:rPr>
          <w:spacing w:val="-5"/>
        </w:rPr>
        <w:t> </w:t>
      </w:r>
      <w:r>
        <w:rPr/>
        <w:t>conceptos</w:t>
      </w:r>
      <w:r>
        <w:rPr>
          <w:spacing w:val="-5"/>
        </w:rPr>
        <w:t> </w:t>
      </w:r>
      <w:r>
        <w:rPr/>
        <w:t>son</w:t>
      </w:r>
      <w:r>
        <w:rPr>
          <w:spacing w:val="-5"/>
        </w:rPr>
        <w:t> </w:t>
      </w:r>
      <w:r>
        <w:rPr/>
        <w:t>importantes</w:t>
      </w:r>
      <w:r>
        <w:rPr>
          <w:spacing w:val="-5"/>
        </w:rPr>
        <w:t> </w:t>
      </w:r>
      <w:r>
        <w:rPr/>
        <w:t>para</w:t>
      </w:r>
      <w:r>
        <w:rPr>
          <w:spacing w:val="-5"/>
        </w:rPr>
        <w:t> </w:t>
      </w:r>
      <w:r>
        <w:rPr/>
        <w:t>esta</w:t>
      </w:r>
      <w:r>
        <w:rPr>
          <w:spacing w:val="-5"/>
        </w:rPr>
        <w:t> </w:t>
      </w:r>
      <w:r>
        <w:rPr/>
        <w:t>investigación</w:t>
      </w:r>
      <w:r>
        <w:rPr>
          <w:spacing w:val="-4"/>
        </w:rPr>
        <w:t> </w:t>
      </w:r>
      <w:r>
        <w:rPr/>
        <w:t>porque</w:t>
      </w:r>
      <w:r>
        <w:rPr>
          <w:spacing w:val="-5"/>
        </w:rPr>
        <w:t> </w:t>
      </w:r>
      <w:r>
        <w:rPr/>
        <w:t>es</w:t>
      </w:r>
      <w:r>
        <w:rPr>
          <w:spacing w:val="-5"/>
        </w:rPr>
        <w:t> </w:t>
      </w:r>
      <w:r>
        <w:rPr/>
        <w:t>importante</w:t>
      </w:r>
      <w:r>
        <w:rPr>
          <w:spacing w:val="-5"/>
        </w:rPr>
        <w:t> </w:t>
      </w:r>
      <w:r>
        <w:rPr/>
        <w:t>que el individuo reprima sus sentimientos para que pueda interactuar con otros, manteniendo el control de la incertidumbre que generan sus comportamientos y expresiones, ya que nadie puede saber al cien por ciento lo que éste piensa y/o siente debido a puede esconder información sobre su comportamiento. De esta manera se puede influir en los demás según o adaptarse al contexto según el rol que esté</w:t>
      </w:r>
      <w:r>
        <w:rPr>
          <w:spacing w:val="-7"/>
        </w:rPr>
        <w:t> </w:t>
      </w:r>
      <w:r>
        <w:rPr/>
        <w:t>jugando.</w:t>
      </w:r>
    </w:p>
    <w:p>
      <w:pPr>
        <w:pStyle w:val="BodyText"/>
      </w:pPr>
    </w:p>
    <w:p>
      <w:pPr>
        <w:pStyle w:val="BodyText"/>
      </w:pPr>
    </w:p>
    <w:p>
      <w:pPr>
        <w:spacing w:line="240" w:lineRule="auto" w:before="189"/>
        <w:ind w:left="1254" w:right="1108" w:firstLine="0"/>
        <w:jc w:val="both"/>
        <w:rPr>
          <w:sz w:val="18"/>
        </w:rPr>
      </w:pPr>
      <w:r>
        <w:rPr>
          <w:sz w:val="18"/>
        </w:rPr>
        <w:t>“Se espera que cada participante reprima sus sentimientos sinceros inmediatos y transmita una opinión de la situación que siente que los otros podrán encontrar por lo menos temporariamente aceptable. El mantenimiento de esta apariencia de acuerdo, esta fachada de consenso, se ve facilitado por el hecho de que cada participante encubre sus propias necesidades tras aseveraciones que expresan valores</w:t>
      </w:r>
      <w:r>
        <w:rPr>
          <w:spacing w:val="-11"/>
          <w:sz w:val="18"/>
        </w:rPr>
        <w:t> </w:t>
      </w:r>
      <w:r>
        <w:rPr>
          <w:sz w:val="18"/>
        </w:rPr>
        <w:t>que</w:t>
      </w:r>
      <w:r>
        <w:rPr>
          <w:spacing w:val="-7"/>
          <w:sz w:val="18"/>
        </w:rPr>
        <w:t> </w:t>
      </w:r>
      <w:r>
        <w:rPr>
          <w:sz w:val="18"/>
        </w:rPr>
        <w:t>todos</w:t>
      </w:r>
      <w:r>
        <w:rPr>
          <w:spacing w:val="-8"/>
          <w:sz w:val="18"/>
        </w:rPr>
        <w:t> </w:t>
      </w:r>
      <w:r>
        <w:rPr>
          <w:sz w:val="18"/>
        </w:rPr>
        <w:t>los</w:t>
      </w:r>
      <w:r>
        <w:rPr>
          <w:spacing w:val="-8"/>
          <w:sz w:val="18"/>
        </w:rPr>
        <w:t> </w:t>
      </w:r>
      <w:r>
        <w:rPr>
          <w:sz w:val="18"/>
        </w:rPr>
        <w:t>presentes</w:t>
      </w:r>
      <w:r>
        <w:rPr>
          <w:spacing w:val="-8"/>
          <w:sz w:val="18"/>
        </w:rPr>
        <w:t> </w:t>
      </w:r>
      <w:r>
        <w:rPr>
          <w:sz w:val="18"/>
        </w:rPr>
        <w:t>se</w:t>
      </w:r>
      <w:r>
        <w:rPr>
          <w:spacing w:val="-11"/>
          <w:sz w:val="18"/>
        </w:rPr>
        <w:t> </w:t>
      </w:r>
      <w:r>
        <w:rPr>
          <w:sz w:val="18"/>
        </w:rPr>
        <w:t>sienten</w:t>
      </w:r>
      <w:r>
        <w:rPr>
          <w:spacing w:val="-9"/>
          <w:sz w:val="18"/>
        </w:rPr>
        <w:t> </w:t>
      </w:r>
      <w:r>
        <w:rPr>
          <w:sz w:val="18"/>
        </w:rPr>
        <w:t>obligados</w:t>
      </w:r>
      <w:r>
        <w:rPr>
          <w:spacing w:val="-11"/>
          <w:sz w:val="18"/>
        </w:rPr>
        <w:t> </w:t>
      </w:r>
      <w:r>
        <w:rPr>
          <w:sz w:val="18"/>
        </w:rPr>
        <w:t>a</w:t>
      </w:r>
      <w:r>
        <w:rPr>
          <w:spacing w:val="-9"/>
          <w:sz w:val="18"/>
        </w:rPr>
        <w:t> </w:t>
      </w:r>
      <w:r>
        <w:rPr>
          <w:sz w:val="18"/>
        </w:rPr>
        <w:t>apoyar</w:t>
      </w:r>
      <w:r>
        <w:rPr>
          <w:spacing w:val="-9"/>
          <w:sz w:val="18"/>
        </w:rPr>
        <w:t> </w:t>
      </w:r>
      <w:r>
        <w:rPr>
          <w:sz w:val="18"/>
        </w:rPr>
        <w:t>de</w:t>
      </w:r>
      <w:r>
        <w:rPr>
          <w:spacing w:val="-9"/>
          <w:sz w:val="18"/>
        </w:rPr>
        <w:t> </w:t>
      </w:r>
      <w:r>
        <w:rPr>
          <w:sz w:val="18"/>
        </w:rPr>
        <w:t>palabra”</w:t>
      </w:r>
      <w:r>
        <w:rPr>
          <w:spacing w:val="-12"/>
          <w:sz w:val="18"/>
        </w:rPr>
        <w:t> </w:t>
      </w:r>
      <w:r>
        <w:rPr>
          <w:sz w:val="18"/>
        </w:rPr>
        <w:t>(Goffman, 1981:48).</w:t>
      </w:r>
    </w:p>
    <w:p>
      <w:pPr>
        <w:spacing w:after="0" w:line="240" w:lineRule="auto"/>
        <w:jc w:val="both"/>
        <w:rPr>
          <w:sz w:val="18"/>
        </w:rPr>
        <w:sectPr>
          <w:pgSz w:w="12240" w:h="15840"/>
          <w:pgMar w:header="0" w:footer="975" w:top="1360" w:bottom="1220" w:left="1580" w:right="1580"/>
        </w:sectPr>
      </w:pPr>
    </w:p>
    <w:p>
      <w:pPr>
        <w:pStyle w:val="BodyText"/>
        <w:spacing w:line="360" w:lineRule="auto" w:before="54"/>
        <w:ind w:left="102" w:right="116"/>
        <w:jc w:val="both"/>
      </w:pPr>
      <w:r>
        <w:rPr/>
        <w:t>En esta afirmación Goffman percibe la actuación como funcional: permite la interacción bajo un marco de entendimiento, expectativa, valores e ideales; tiene una tendencia a armonizarse por lo que se construye una relación o situación estable y recíproca. Otorga a los individuos ‘poder’ de juego en el proceso de la comunicación (éste decide qué proyectar o comunicar y la relación se construye y alimenta con base en esto). Por lo tanto, es posible argumentar que gracias a la actuación los individuos son capaces de interactuar y comunicarse en una organización con normas, códigos y estructuras específicas; esto es, los individuos actúan en función de las expectativas organizacionales pero al mismo tiempo es a través de la actuación propia y de otros que son capaces de obtener beneficios, defender intereses y asegurar su pertenencia.</w:t>
      </w:r>
    </w:p>
    <w:p>
      <w:pPr>
        <w:pStyle w:val="BodyText"/>
      </w:pPr>
    </w:p>
    <w:p>
      <w:pPr>
        <w:pStyle w:val="BodyText"/>
        <w:spacing w:line="360" w:lineRule="auto" w:before="163"/>
        <w:ind w:left="102" w:right="115"/>
        <w:jc w:val="both"/>
      </w:pPr>
      <w:r>
        <w:rPr/>
        <w:t>En la organización, las personas nos definimos en la interacción con los demás. El individuo juega un rol, que es resultado de la función y responde a las expectativas que tienen los demás sobre nuestro comportamiento y a las expectativas propias, es</w:t>
      </w:r>
      <w:r>
        <w:rPr>
          <w:spacing w:val="-12"/>
        </w:rPr>
        <w:t> </w:t>
      </w:r>
      <w:r>
        <w:rPr/>
        <w:t>decir,</w:t>
      </w:r>
      <w:r>
        <w:rPr>
          <w:spacing w:val="-13"/>
        </w:rPr>
        <w:t> </w:t>
      </w:r>
      <w:r>
        <w:rPr/>
        <w:t>el</w:t>
      </w:r>
      <w:r>
        <w:rPr>
          <w:spacing w:val="-12"/>
        </w:rPr>
        <w:t> </w:t>
      </w:r>
      <w:r>
        <w:rPr/>
        <w:t>rol</w:t>
      </w:r>
      <w:r>
        <w:rPr>
          <w:spacing w:val="-12"/>
        </w:rPr>
        <w:t> </w:t>
      </w:r>
      <w:r>
        <w:rPr/>
        <w:t>es</w:t>
      </w:r>
      <w:r>
        <w:rPr>
          <w:spacing w:val="-12"/>
        </w:rPr>
        <w:t> </w:t>
      </w:r>
      <w:r>
        <w:rPr/>
        <w:t>una</w:t>
      </w:r>
      <w:r>
        <w:rPr>
          <w:spacing w:val="-11"/>
        </w:rPr>
        <w:t> </w:t>
      </w:r>
      <w:r>
        <w:rPr/>
        <w:t>combinación</w:t>
      </w:r>
      <w:r>
        <w:rPr>
          <w:spacing w:val="-11"/>
        </w:rPr>
        <w:t> </w:t>
      </w:r>
      <w:r>
        <w:rPr/>
        <w:t>de</w:t>
      </w:r>
      <w:r>
        <w:rPr>
          <w:spacing w:val="-13"/>
        </w:rPr>
        <w:t> </w:t>
      </w:r>
      <w:r>
        <w:rPr/>
        <w:t>nuestra</w:t>
      </w:r>
      <w:r>
        <w:rPr>
          <w:spacing w:val="-13"/>
        </w:rPr>
        <w:t> </w:t>
      </w:r>
      <w:r>
        <w:rPr/>
        <w:t>individualidad,</w:t>
      </w:r>
      <w:r>
        <w:rPr>
          <w:spacing w:val="-13"/>
        </w:rPr>
        <w:t> </w:t>
      </w:r>
      <w:r>
        <w:rPr/>
        <w:t>pero</w:t>
      </w:r>
      <w:r>
        <w:rPr>
          <w:spacing w:val="-14"/>
        </w:rPr>
        <w:t> </w:t>
      </w:r>
      <w:r>
        <w:rPr/>
        <w:t>está</w:t>
      </w:r>
      <w:r>
        <w:rPr>
          <w:spacing w:val="-10"/>
        </w:rPr>
        <w:t> </w:t>
      </w:r>
      <w:r>
        <w:rPr/>
        <w:t>determinado y</w:t>
      </w:r>
      <w:r>
        <w:rPr>
          <w:spacing w:val="-19"/>
        </w:rPr>
        <w:t> </w:t>
      </w:r>
      <w:r>
        <w:rPr/>
        <w:t>reforzado</w:t>
      </w:r>
      <w:r>
        <w:rPr>
          <w:spacing w:val="-16"/>
        </w:rPr>
        <w:t> </w:t>
      </w:r>
      <w:r>
        <w:rPr/>
        <w:t>por</w:t>
      </w:r>
      <w:r>
        <w:rPr>
          <w:spacing w:val="-17"/>
        </w:rPr>
        <w:t> </w:t>
      </w:r>
      <w:r>
        <w:rPr/>
        <w:t>el</w:t>
      </w:r>
      <w:r>
        <w:rPr>
          <w:spacing w:val="-17"/>
        </w:rPr>
        <w:t> </w:t>
      </w:r>
      <w:r>
        <w:rPr/>
        <w:t>entorno</w:t>
      </w:r>
      <w:r>
        <w:rPr>
          <w:spacing w:val="-16"/>
        </w:rPr>
        <w:t> </w:t>
      </w:r>
      <w:r>
        <w:rPr/>
        <w:t>organizacional.</w:t>
      </w:r>
      <w:r>
        <w:rPr>
          <w:spacing w:val="-16"/>
        </w:rPr>
        <w:t> </w:t>
      </w:r>
      <w:r>
        <w:rPr/>
        <w:t>De</w:t>
      </w:r>
      <w:r>
        <w:rPr>
          <w:spacing w:val="-18"/>
        </w:rPr>
        <w:t> </w:t>
      </w:r>
      <w:r>
        <w:rPr/>
        <w:t>modo</w:t>
      </w:r>
      <w:r>
        <w:rPr>
          <w:spacing w:val="-16"/>
        </w:rPr>
        <w:t> </w:t>
      </w:r>
      <w:r>
        <w:rPr/>
        <w:t>que</w:t>
      </w:r>
      <w:r>
        <w:rPr>
          <w:spacing w:val="-16"/>
        </w:rPr>
        <w:t> </w:t>
      </w:r>
      <w:r>
        <w:rPr/>
        <w:t>el</w:t>
      </w:r>
      <w:r>
        <w:rPr>
          <w:spacing w:val="-17"/>
        </w:rPr>
        <w:t> </w:t>
      </w:r>
      <w:r>
        <w:rPr/>
        <w:t>rol</w:t>
      </w:r>
      <w:r>
        <w:rPr>
          <w:spacing w:val="-17"/>
        </w:rPr>
        <w:t> </w:t>
      </w:r>
      <w:r>
        <w:rPr/>
        <w:t>es</w:t>
      </w:r>
      <w:r>
        <w:rPr>
          <w:spacing w:val="-19"/>
        </w:rPr>
        <w:t> </w:t>
      </w:r>
      <w:r>
        <w:rPr/>
        <w:t>una</w:t>
      </w:r>
      <w:r>
        <w:rPr>
          <w:spacing w:val="-18"/>
        </w:rPr>
        <w:t> </w:t>
      </w:r>
      <w:r>
        <w:rPr/>
        <w:t>creación</w:t>
      </w:r>
      <w:r>
        <w:rPr>
          <w:spacing w:val="-15"/>
        </w:rPr>
        <w:t> </w:t>
      </w:r>
      <w:r>
        <w:rPr/>
        <w:t>social. El rol, es actuación y en la interacción es un mecanismo para reducir </w:t>
      </w:r>
      <w:r>
        <w:rPr>
          <w:spacing w:val="3"/>
        </w:rPr>
        <w:t>la </w:t>
      </w:r>
      <w:r>
        <w:rPr/>
        <w:t>incertidumbre y la angustia. Implica por un lado un aprisionamiento del individuo, pero también voluntad. Los roles se rutinizan, es decir, elegimos quiénes somos y cómo nos presentamos a los demás. Esta decisión reduce la incertidumbre tanto para nosotros como para los otros pues facilita la</w:t>
      </w:r>
      <w:r>
        <w:rPr>
          <w:spacing w:val="-17"/>
        </w:rPr>
        <w:t> </w:t>
      </w:r>
      <w:r>
        <w:rPr/>
        <w:t>relación.</w:t>
      </w:r>
    </w:p>
    <w:p>
      <w:pPr>
        <w:pStyle w:val="BodyText"/>
      </w:pPr>
    </w:p>
    <w:p>
      <w:pPr>
        <w:pStyle w:val="BodyText"/>
        <w:spacing w:line="360" w:lineRule="auto" w:before="163"/>
        <w:ind w:left="102" w:right="117"/>
        <w:jc w:val="both"/>
      </w:pPr>
      <w:r>
        <w:rPr/>
        <w:t>Por otra parte, está la información que generamos a partir de esa decisión (lo que el individuo guarda para sí mismo y lo que revela). Expresar nuestros sentimientos verdaderos e inmediatos puede ser irracional, pero la actuación no siempre está vinculada al engaño. Es estratégica porque lo que queremos es reducir la incertidumbre. El rol permite ocultar nuestros verdaderos sentimientos y deseos y en esa medida se convierte en un mecanismo protector (nivel micro), cuando rutinizamos el rol, lo usamos como mecanismo de repetición (nivel macro).   Como</w:t>
      </w:r>
    </w:p>
    <w:p>
      <w:pPr>
        <w:spacing w:after="0" w:line="360" w:lineRule="auto"/>
        <w:jc w:val="both"/>
        <w:sectPr>
          <w:pgSz w:w="12240" w:h="15840"/>
          <w:pgMar w:header="0" w:footer="975" w:top="1360" w:bottom="1220" w:left="1600" w:right="1580"/>
        </w:sectPr>
      </w:pPr>
    </w:p>
    <w:p>
      <w:pPr>
        <w:pStyle w:val="BodyText"/>
        <w:spacing w:line="362" w:lineRule="auto" w:before="54"/>
        <w:ind w:left="122" w:right="127"/>
        <w:jc w:val="both"/>
      </w:pPr>
      <w:r>
        <w:rPr/>
        <w:t>resultado hay hipocresía que es un instrumento de control social y de nuevo es lo que nos da mayor probabilidad de reducir la incertidumbre.</w:t>
      </w:r>
    </w:p>
    <w:p>
      <w:pPr>
        <w:pStyle w:val="BodyText"/>
      </w:pPr>
    </w:p>
    <w:p>
      <w:pPr>
        <w:pStyle w:val="BodyText"/>
      </w:pPr>
    </w:p>
    <w:p>
      <w:pPr>
        <w:pStyle w:val="BodyText"/>
        <w:spacing w:before="4"/>
        <w:rPr>
          <w:sz w:val="19"/>
        </w:rPr>
      </w:pPr>
    </w:p>
    <w:p>
      <w:pPr>
        <w:pStyle w:val="Heading1"/>
        <w:numPr>
          <w:ilvl w:val="3"/>
          <w:numId w:val="14"/>
        </w:numPr>
        <w:tabs>
          <w:tab w:pos="1538" w:val="left" w:leader="none"/>
        </w:tabs>
        <w:spacing w:line="240" w:lineRule="auto" w:before="1" w:after="0"/>
        <w:ind w:left="1538" w:right="0" w:hanging="1428"/>
        <w:jc w:val="both"/>
      </w:pPr>
      <w:r>
        <w:rPr/>
        <w:t>La creación de sentido de</w:t>
      </w:r>
      <w:r>
        <w:rPr>
          <w:spacing w:val="-6"/>
        </w:rPr>
        <w:t> </w:t>
      </w:r>
      <w:r>
        <w:rPr/>
        <w:t>Wieck</w:t>
      </w:r>
    </w:p>
    <w:p>
      <w:pPr>
        <w:pStyle w:val="BodyText"/>
        <w:rPr>
          <w:b/>
        </w:rPr>
      </w:pPr>
    </w:p>
    <w:p>
      <w:pPr>
        <w:pStyle w:val="BodyText"/>
        <w:rPr>
          <w:b/>
        </w:rPr>
      </w:pPr>
    </w:p>
    <w:p>
      <w:pPr>
        <w:pStyle w:val="BodyText"/>
        <w:spacing w:line="360" w:lineRule="auto" w:before="161"/>
        <w:ind w:left="122" w:right="117"/>
        <w:jc w:val="both"/>
      </w:pPr>
      <w:r>
        <w:rPr/>
        <w:t>Para Wieck (2001), la organización no debe ser vista como sustantivo, sino como proceso que alcanza estabilidad a partir del desarrollo de ciclos de construcción de sentido. Ya que la organización surge de la experiencia compartida en la construcción de significados, lo cual fija un terreno común para la acción y permite normalizar el cumplimiento o la actividad. No son por sí mismos los significados compartidos los que crean la organización. Es un proceso continuo porque de manera</w:t>
      </w:r>
      <w:r>
        <w:rPr>
          <w:spacing w:val="-9"/>
        </w:rPr>
        <w:t> </w:t>
      </w:r>
      <w:r>
        <w:rPr/>
        <w:t>permanente</w:t>
      </w:r>
      <w:r>
        <w:rPr>
          <w:spacing w:val="-9"/>
        </w:rPr>
        <w:t> </w:t>
      </w:r>
      <w:r>
        <w:rPr/>
        <w:t>se</w:t>
      </w:r>
      <w:r>
        <w:rPr>
          <w:spacing w:val="-8"/>
        </w:rPr>
        <w:t> </w:t>
      </w:r>
      <w:r>
        <w:rPr/>
        <w:t>trata</w:t>
      </w:r>
      <w:r>
        <w:rPr>
          <w:spacing w:val="-10"/>
        </w:rPr>
        <w:t> </w:t>
      </w:r>
      <w:r>
        <w:rPr/>
        <w:t>de</w:t>
      </w:r>
      <w:r>
        <w:rPr>
          <w:spacing w:val="-11"/>
        </w:rPr>
        <w:t> </w:t>
      </w:r>
      <w:r>
        <w:rPr/>
        <w:t>interpretar</w:t>
      </w:r>
      <w:r>
        <w:rPr>
          <w:spacing w:val="-10"/>
        </w:rPr>
        <w:t> </w:t>
      </w:r>
      <w:r>
        <w:rPr/>
        <w:t>el</w:t>
      </w:r>
      <w:r>
        <w:rPr>
          <w:spacing w:val="-12"/>
        </w:rPr>
        <w:t> </w:t>
      </w:r>
      <w:r>
        <w:rPr/>
        <w:t>ambiente</w:t>
      </w:r>
      <w:r>
        <w:rPr>
          <w:spacing w:val="-8"/>
        </w:rPr>
        <w:t> </w:t>
      </w:r>
      <w:r>
        <w:rPr/>
        <w:t>y</w:t>
      </w:r>
      <w:r>
        <w:rPr>
          <w:spacing w:val="-12"/>
        </w:rPr>
        <w:t> </w:t>
      </w:r>
      <w:r>
        <w:rPr/>
        <w:t>dar</w:t>
      </w:r>
      <w:r>
        <w:rPr>
          <w:spacing w:val="-10"/>
        </w:rPr>
        <w:t> </w:t>
      </w:r>
      <w:r>
        <w:rPr/>
        <w:t>sentido</w:t>
      </w:r>
      <w:r>
        <w:rPr>
          <w:spacing w:val="-8"/>
        </w:rPr>
        <w:t> </w:t>
      </w:r>
      <w:r>
        <w:rPr/>
        <w:t>a</w:t>
      </w:r>
      <w:r>
        <w:rPr>
          <w:spacing w:val="-8"/>
        </w:rPr>
        <w:t> </w:t>
      </w:r>
      <w:r>
        <w:rPr/>
        <w:t>lo</w:t>
      </w:r>
      <w:r>
        <w:rPr>
          <w:spacing w:val="-11"/>
        </w:rPr>
        <w:t> </w:t>
      </w:r>
      <w:r>
        <w:rPr/>
        <w:t>que</w:t>
      </w:r>
      <w:r>
        <w:rPr>
          <w:spacing w:val="-8"/>
        </w:rPr>
        <w:t> </w:t>
      </w:r>
      <w:r>
        <w:rPr/>
        <w:t>ocurre y</w:t>
      </w:r>
      <w:r>
        <w:rPr>
          <w:spacing w:val="-5"/>
        </w:rPr>
        <w:t> </w:t>
      </w:r>
      <w:r>
        <w:rPr/>
        <w:t>hacemos.</w:t>
      </w:r>
    </w:p>
    <w:p>
      <w:pPr>
        <w:pStyle w:val="BodyText"/>
      </w:pPr>
    </w:p>
    <w:p>
      <w:pPr>
        <w:pStyle w:val="BodyText"/>
      </w:pPr>
    </w:p>
    <w:p>
      <w:pPr>
        <w:pStyle w:val="BodyText"/>
        <w:spacing w:line="360" w:lineRule="auto" w:before="185"/>
        <w:ind w:left="122" w:right="118"/>
        <w:jc w:val="both"/>
      </w:pPr>
      <w:r>
        <w:rPr/>
        <w:t>El proceso de creación de sentido, señala Wieck (2001), toma en cuenta la experiencia (conocimiento previo), pero también duda de ella. Los sistemas se benefician de las lecciones aprendidas (que se preservan) y también de las respuestas adaptativas e innovadoras. Dado que la realidad es objetiva, pero las interpretaciones de los individuos son subjetivas, se generan varias realidades. Luego entonces, la realidad es una construcción social del hombre. Por tal motivo la búsqueda de sentido en una organización es un proceso social. Sus integrantes interpretan</w:t>
      </w:r>
      <w:r>
        <w:rPr>
          <w:spacing w:val="-4"/>
        </w:rPr>
        <w:t> </w:t>
      </w:r>
      <w:r>
        <w:rPr/>
        <w:t>el</w:t>
      </w:r>
      <w:r>
        <w:rPr>
          <w:spacing w:val="-5"/>
        </w:rPr>
        <w:t> </w:t>
      </w:r>
      <w:r>
        <w:rPr/>
        <w:t>medio</w:t>
      </w:r>
      <w:r>
        <w:rPr>
          <w:spacing w:val="-4"/>
        </w:rPr>
        <w:t> </w:t>
      </w:r>
      <w:r>
        <w:rPr/>
        <w:t>que</w:t>
      </w:r>
      <w:r>
        <w:rPr>
          <w:spacing w:val="-4"/>
        </w:rPr>
        <w:t> </w:t>
      </w:r>
      <w:r>
        <w:rPr/>
        <w:t>los</w:t>
      </w:r>
      <w:r>
        <w:rPr>
          <w:spacing w:val="-4"/>
        </w:rPr>
        <w:t> </w:t>
      </w:r>
      <w:r>
        <w:rPr/>
        <w:t>rodea,</w:t>
      </w:r>
      <w:r>
        <w:rPr>
          <w:spacing w:val="-4"/>
        </w:rPr>
        <w:t> </w:t>
      </w:r>
      <w:r>
        <w:rPr/>
        <w:t>lo</w:t>
      </w:r>
      <w:r>
        <w:rPr>
          <w:spacing w:val="-4"/>
        </w:rPr>
        <w:t> </w:t>
      </w:r>
      <w:r>
        <w:rPr/>
        <w:t>describen</w:t>
      </w:r>
      <w:r>
        <w:rPr>
          <w:spacing w:val="-4"/>
        </w:rPr>
        <w:t> </w:t>
      </w:r>
      <w:r>
        <w:rPr/>
        <w:t>a</w:t>
      </w:r>
      <w:r>
        <w:rPr>
          <w:spacing w:val="-4"/>
        </w:rPr>
        <w:t> </w:t>
      </w:r>
      <w:r>
        <w:rPr/>
        <w:t>través</w:t>
      </w:r>
      <w:r>
        <w:rPr>
          <w:spacing w:val="-4"/>
        </w:rPr>
        <w:t> </w:t>
      </w:r>
      <w:r>
        <w:rPr/>
        <w:t>de</w:t>
      </w:r>
      <w:r>
        <w:rPr>
          <w:spacing w:val="-4"/>
        </w:rPr>
        <w:t> </w:t>
      </w:r>
      <w:r>
        <w:rPr/>
        <w:t>interacciones</w:t>
      </w:r>
      <w:r>
        <w:rPr>
          <w:spacing w:val="-4"/>
        </w:rPr>
        <w:t> </w:t>
      </w:r>
      <w:r>
        <w:rPr/>
        <w:t>con</w:t>
      </w:r>
      <w:r>
        <w:rPr>
          <w:spacing w:val="-4"/>
        </w:rPr>
        <w:t> </w:t>
      </w:r>
      <w:r>
        <w:rPr/>
        <w:t>otros y esto les permite entender el mundo y actuar en forma</w:t>
      </w:r>
      <w:r>
        <w:rPr>
          <w:spacing w:val="-18"/>
        </w:rPr>
        <w:t> </w:t>
      </w:r>
      <w:r>
        <w:rPr/>
        <w:t>colectiva.</w:t>
      </w:r>
    </w:p>
    <w:p>
      <w:pPr>
        <w:pStyle w:val="BodyText"/>
      </w:pPr>
    </w:p>
    <w:p>
      <w:pPr>
        <w:pStyle w:val="BodyText"/>
      </w:pPr>
    </w:p>
    <w:p>
      <w:pPr>
        <w:pStyle w:val="BodyText"/>
        <w:spacing w:line="360" w:lineRule="auto" w:before="186"/>
        <w:ind w:left="122" w:right="126"/>
        <w:jc w:val="both"/>
      </w:pPr>
      <w:r>
        <w:rPr/>
        <w:t>La búsqueda de sentido para Wieck (2001) comienza cuando lo que se espera y lo que se encuentra no encajan. Se presenta un período de confusión y la pregunta “¿qué pasa aquí?” Formularla exige estar atento a lo que pasa alrededor y darse cuenta de que algo ha cambiado. Sensemaking es un proceso para manejar la</w:t>
      </w:r>
    </w:p>
    <w:p>
      <w:pPr>
        <w:spacing w:after="0" w:line="360" w:lineRule="auto"/>
        <w:jc w:val="both"/>
        <w:sectPr>
          <w:pgSz w:w="12240" w:h="15840"/>
          <w:pgMar w:header="0" w:footer="975" w:top="1360" w:bottom="1220" w:left="1580" w:right="1580"/>
        </w:sectPr>
      </w:pPr>
    </w:p>
    <w:p>
      <w:pPr>
        <w:pStyle w:val="BodyText"/>
        <w:spacing w:line="360" w:lineRule="auto" w:before="54"/>
        <w:ind w:left="122" w:right="118"/>
        <w:jc w:val="both"/>
      </w:pPr>
      <w:r>
        <w:rPr/>
        <w:t>incertidumbre. Sensemaking significa encontrar sentido a las distintas situaciones sobre la base de nuestros valores, prioridades y preferencias. Las limitaciones del pasado frenan nuestras oportunidades, habilidades y deseos de convertirnos en líderes para encontrarle sentido a distintas situaciones y tomar decisiones. Se necesitan siete condiciones para asumir estos nuevos papeles, a saber:</w:t>
      </w:r>
    </w:p>
    <w:p>
      <w:pPr>
        <w:pStyle w:val="BodyText"/>
      </w:pPr>
    </w:p>
    <w:p>
      <w:pPr>
        <w:pStyle w:val="BodyText"/>
      </w:pPr>
    </w:p>
    <w:p>
      <w:pPr>
        <w:pStyle w:val="ListParagraph"/>
        <w:numPr>
          <w:ilvl w:val="0"/>
          <w:numId w:val="15"/>
        </w:numPr>
        <w:tabs>
          <w:tab w:pos="550" w:val="left" w:leader="none"/>
        </w:tabs>
        <w:spacing w:line="276" w:lineRule="auto" w:before="187" w:after="0"/>
        <w:ind w:left="549" w:right="121" w:hanging="360"/>
        <w:jc w:val="left"/>
        <w:rPr>
          <w:sz w:val="24"/>
        </w:rPr>
      </w:pPr>
      <w:r>
        <w:rPr>
          <w:sz w:val="24"/>
        </w:rPr>
        <w:t>Libertad para actuar, o sea, saber que nos tienen confianza para llevar a cabo una acción o</w:t>
      </w:r>
      <w:r>
        <w:rPr>
          <w:spacing w:val="-5"/>
          <w:sz w:val="24"/>
        </w:rPr>
        <w:t> </w:t>
      </w:r>
      <w:r>
        <w:rPr>
          <w:sz w:val="24"/>
        </w:rPr>
        <w:t>no;</w:t>
      </w:r>
    </w:p>
    <w:p>
      <w:pPr>
        <w:pStyle w:val="ListParagraph"/>
        <w:numPr>
          <w:ilvl w:val="0"/>
          <w:numId w:val="15"/>
        </w:numPr>
        <w:tabs>
          <w:tab w:pos="550" w:val="left" w:leader="none"/>
        </w:tabs>
        <w:spacing w:line="276" w:lineRule="auto" w:before="0" w:after="0"/>
        <w:ind w:left="549" w:right="126" w:hanging="360"/>
        <w:jc w:val="left"/>
        <w:rPr>
          <w:sz w:val="24"/>
        </w:rPr>
      </w:pPr>
      <w:r>
        <w:rPr>
          <w:sz w:val="24"/>
        </w:rPr>
        <w:t>Habilidad para “advertir” correctamente aquello que nos rodea. Esta habilidad suele basarse en los conocimientos, la experiencia y el</w:t>
      </w:r>
      <w:r>
        <w:rPr>
          <w:spacing w:val="-27"/>
          <w:sz w:val="24"/>
        </w:rPr>
        <w:t> </w:t>
      </w:r>
      <w:r>
        <w:rPr>
          <w:sz w:val="24"/>
        </w:rPr>
        <w:t>entrenamiento;</w:t>
      </w:r>
    </w:p>
    <w:p>
      <w:pPr>
        <w:pStyle w:val="ListParagraph"/>
        <w:numPr>
          <w:ilvl w:val="0"/>
          <w:numId w:val="15"/>
        </w:numPr>
        <w:tabs>
          <w:tab w:pos="550" w:val="left" w:leader="none"/>
        </w:tabs>
        <w:spacing w:line="276" w:lineRule="auto" w:before="3" w:after="0"/>
        <w:ind w:left="549" w:right="119" w:hanging="360"/>
        <w:jc w:val="left"/>
        <w:rPr>
          <w:sz w:val="24"/>
        </w:rPr>
      </w:pPr>
      <w:r>
        <w:rPr>
          <w:sz w:val="24"/>
        </w:rPr>
        <w:t>Desempeño óptimo. Esto es, saber ubicar, para favorecer el éxito de la acción a tomar, el punto entre una extrema precaución y una exagerada</w:t>
      </w:r>
      <w:r>
        <w:rPr>
          <w:spacing w:val="-31"/>
          <w:sz w:val="24"/>
        </w:rPr>
        <w:t> </w:t>
      </w:r>
      <w:r>
        <w:rPr>
          <w:sz w:val="24"/>
        </w:rPr>
        <w:t>confianza;</w:t>
      </w:r>
    </w:p>
    <w:p>
      <w:pPr>
        <w:pStyle w:val="ListParagraph"/>
        <w:numPr>
          <w:ilvl w:val="0"/>
          <w:numId w:val="15"/>
        </w:numPr>
        <w:tabs>
          <w:tab w:pos="550" w:val="left" w:leader="none"/>
        </w:tabs>
        <w:spacing w:line="276" w:lineRule="auto" w:before="0" w:after="0"/>
        <w:ind w:left="549" w:right="126" w:hanging="360"/>
        <w:jc w:val="left"/>
        <w:rPr>
          <w:sz w:val="24"/>
        </w:rPr>
      </w:pPr>
      <w:r>
        <w:rPr>
          <w:sz w:val="24"/>
        </w:rPr>
        <w:t>Clima de confianza; es decir, no temer la pérdida del trabajo o la aparición de problemas;</w:t>
      </w:r>
    </w:p>
    <w:p>
      <w:pPr>
        <w:pStyle w:val="ListParagraph"/>
        <w:numPr>
          <w:ilvl w:val="0"/>
          <w:numId w:val="15"/>
        </w:numPr>
        <w:tabs>
          <w:tab w:pos="550" w:val="left" w:leader="none"/>
        </w:tabs>
        <w:spacing w:line="240" w:lineRule="auto" w:before="3" w:after="0"/>
        <w:ind w:left="549" w:right="0" w:hanging="360"/>
        <w:jc w:val="both"/>
        <w:rPr>
          <w:sz w:val="24"/>
        </w:rPr>
      </w:pPr>
      <w:r>
        <w:rPr>
          <w:sz w:val="24"/>
        </w:rPr>
        <w:t>Participación en forma adecuada e información</w:t>
      </w:r>
      <w:r>
        <w:rPr>
          <w:spacing w:val="-25"/>
          <w:sz w:val="24"/>
        </w:rPr>
        <w:t> </w:t>
      </w:r>
      <w:r>
        <w:rPr>
          <w:sz w:val="24"/>
        </w:rPr>
        <w:t>necesaria;</w:t>
      </w:r>
    </w:p>
    <w:p>
      <w:pPr>
        <w:pStyle w:val="ListParagraph"/>
        <w:numPr>
          <w:ilvl w:val="0"/>
          <w:numId w:val="15"/>
        </w:numPr>
        <w:tabs>
          <w:tab w:pos="550" w:val="left" w:leader="none"/>
        </w:tabs>
        <w:spacing w:line="240" w:lineRule="auto" w:before="41" w:after="0"/>
        <w:ind w:left="549" w:right="0" w:hanging="360"/>
        <w:jc w:val="both"/>
        <w:rPr>
          <w:sz w:val="24"/>
        </w:rPr>
      </w:pPr>
      <w:r>
        <w:rPr>
          <w:sz w:val="24"/>
        </w:rPr>
        <w:t>Influencia;</w:t>
      </w:r>
      <w:r>
        <w:rPr>
          <w:spacing w:val="-2"/>
          <w:sz w:val="24"/>
        </w:rPr>
        <w:t> </w:t>
      </w:r>
      <w:r>
        <w:rPr>
          <w:sz w:val="24"/>
        </w:rPr>
        <w:t>y</w:t>
      </w:r>
    </w:p>
    <w:p>
      <w:pPr>
        <w:pStyle w:val="ListParagraph"/>
        <w:numPr>
          <w:ilvl w:val="0"/>
          <w:numId w:val="15"/>
        </w:numPr>
        <w:tabs>
          <w:tab w:pos="550" w:val="left" w:leader="none"/>
        </w:tabs>
        <w:spacing w:line="240" w:lineRule="auto" w:before="41" w:after="0"/>
        <w:ind w:left="549" w:right="0" w:hanging="360"/>
        <w:jc w:val="both"/>
        <w:rPr>
          <w:sz w:val="24"/>
        </w:rPr>
      </w:pPr>
      <w:r>
        <w:rPr>
          <w:sz w:val="24"/>
        </w:rPr>
        <w:t>Accountability (Wieck,</w:t>
      </w:r>
      <w:r>
        <w:rPr>
          <w:spacing w:val="-9"/>
          <w:sz w:val="24"/>
        </w:rPr>
        <w:t> </w:t>
      </w:r>
      <w:r>
        <w:rPr>
          <w:sz w:val="24"/>
        </w:rPr>
        <w:t>2001).</w:t>
      </w:r>
    </w:p>
    <w:p>
      <w:pPr>
        <w:pStyle w:val="BodyText"/>
      </w:pPr>
    </w:p>
    <w:p>
      <w:pPr>
        <w:pStyle w:val="BodyText"/>
        <w:spacing w:before="4"/>
        <w:rPr>
          <w:sz w:val="29"/>
        </w:rPr>
      </w:pPr>
    </w:p>
    <w:p>
      <w:pPr>
        <w:pStyle w:val="BodyText"/>
        <w:spacing w:line="360" w:lineRule="auto" w:before="1"/>
        <w:ind w:left="122" w:right="119"/>
        <w:jc w:val="both"/>
      </w:pPr>
      <w:r>
        <w:rPr/>
        <w:t>Finalmente,</w:t>
      </w:r>
      <w:r>
        <w:rPr>
          <w:spacing w:val="-17"/>
        </w:rPr>
        <w:t> </w:t>
      </w:r>
      <w:r>
        <w:rPr/>
        <w:t>para</w:t>
      </w:r>
      <w:r>
        <w:rPr>
          <w:spacing w:val="-22"/>
        </w:rPr>
        <w:t> </w:t>
      </w:r>
      <w:r>
        <w:rPr/>
        <w:t>Wieck</w:t>
      </w:r>
      <w:r>
        <w:rPr>
          <w:spacing w:val="-13"/>
        </w:rPr>
        <w:t> </w:t>
      </w:r>
      <w:r>
        <w:rPr/>
        <w:t>(2001)</w:t>
      </w:r>
      <w:r>
        <w:rPr>
          <w:spacing w:val="-15"/>
        </w:rPr>
        <w:t> </w:t>
      </w:r>
      <w:r>
        <w:rPr/>
        <w:t>no</w:t>
      </w:r>
      <w:r>
        <w:rPr>
          <w:spacing w:val="-14"/>
        </w:rPr>
        <w:t> </w:t>
      </w:r>
      <w:r>
        <w:rPr/>
        <w:t>siempre</w:t>
      </w:r>
      <w:r>
        <w:rPr>
          <w:spacing w:val="-15"/>
        </w:rPr>
        <w:t> </w:t>
      </w:r>
      <w:r>
        <w:rPr/>
        <w:t>se</w:t>
      </w:r>
      <w:r>
        <w:rPr>
          <w:spacing w:val="-16"/>
        </w:rPr>
        <w:t> </w:t>
      </w:r>
      <w:r>
        <w:rPr/>
        <w:t>tiene</w:t>
      </w:r>
      <w:r>
        <w:rPr>
          <w:spacing w:val="-14"/>
        </w:rPr>
        <w:t> </w:t>
      </w:r>
      <w:r>
        <w:rPr/>
        <w:t>conocimiento</w:t>
      </w:r>
      <w:r>
        <w:rPr>
          <w:spacing w:val="-16"/>
        </w:rPr>
        <w:t> </w:t>
      </w:r>
      <w:r>
        <w:rPr/>
        <w:t>previo</w:t>
      </w:r>
      <w:r>
        <w:rPr>
          <w:spacing w:val="-14"/>
        </w:rPr>
        <w:t> </w:t>
      </w:r>
      <w:r>
        <w:rPr/>
        <w:t>de</w:t>
      </w:r>
      <w:r>
        <w:rPr>
          <w:spacing w:val="-14"/>
        </w:rPr>
        <w:t> </w:t>
      </w:r>
      <w:r>
        <w:rPr/>
        <w:t>la</w:t>
      </w:r>
      <w:r>
        <w:rPr>
          <w:spacing w:val="-17"/>
        </w:rPr>
        <w:t> </w:t>
      </w:r>
      <w:r>
        <w:rPr/>
        <w:t>acción y</w:t>
      </w:r>
      <w:r>
        <w:rPr>
          <w:spacing w:val="-13"/>
        </w:rPr>
        <w:t> </w:t>
      </w:r>
      <w:r>
        <w:rPr/>
        <w:t>por</w:t>
      </w:r>
      <w:r>
        <w:rPr>
          <w:spacing w:val="-11"/>
        </w:rPr>
        <w:t> </w:t>
      </w:r>
      <w:r>
        <w:rPr/>
        <w:t>ello</w:t>
      </w:r>
      <w:r>
        <w:rPr>
          <w:spacing w:val="-9"/>
        </w:rPr>
        <w:t> </w:t>
      </w:r>
      <w:r>
        <w:rPr/>
        <w:t>se</w:t>
      </w:r>
      <w:r>
        <w:rPr>
          <w:spacing w:val="-9"/>
        </w:rPr>
        <w:t> </w:t>
      </w:r>
      <w:r>
        <w:rPr/>
        <w:t>actúa</w:t>
      </w:r>
      <w:r>
        <w:rPr>
          <w:spacing w:val="-12"/>
        </w:rPr>
        <w:t> </w:t>
      </w:r>
      <w:r>
        <w:rPr/>
        <w:t>por</w:t>
      </w:r>
      <w:r>
        <w:rPr>
          <w:spacing w:val="-11"/>
        </w:rPr>
        <w:t> </w:t>
      </w:r>
      <w:r>
        <w:rPr/>
        <w:t>instinto</w:t>
      </w:r>
      <w:r>
        <w:rPr>
          <w:spacing w:val="-11"/>
        </w:rPr>
        <w:t> </w:t>
      </w:r>
      <w:r>
        <w:rPr/>
        <w:t>ya</w:t>
      </w:r>
      <w:r>
        <w:rPr>
          <w:spacing w:val="-9"/>
        </w:rPr>
        <w:t> </w:t>
      </w:r>
      <w:r>
        <w:rPr/>
        <w:t>que</w:t>
      </w:r>
      <w:r>
        <w:rPr>
          <w:spacing w:val="-9"/>
        </w:rPr>
        <w:t> </w:t>
      </w:r>
      <w:r>
        <w:rPr/>
        <w:t>no</w:t>
      </w:r>
      <w:r>
        <w:rPr>
          <w:spacing w:val="-9"/>
        </w:rPr>
        <w:t> </w:t>
      </w:r>
      <w:r>
        <w:rPr/>
        <w:t>se</w:t>
      </w:r>
      <w:r>
        <w:rPr>
          <w:spacing w:val="-9"/>
        </w:rPr>
        <w:t> </w:t>
      </w:r>
      <w:r>
        <w:rPr/>
        <w:t>puede</w:t>
      </w:r>
      <w:r>
        <w:rPr>
          <w:spacing w:val="-9"/>
        </w:rPr>
        <w:t> </w:t>
      </w:r>
      <w:r>
        <w:rPr/>
        <w:t>conocer</w:t>
      </w:r>
      <w:r>
        <w:rPr>
          <w:spacing w:val="-11"/>
        </w:rPr>
        <w:t> </w:t>
      </w:r>
      <w:r>
        <w:rPr/>
        <w:t>la</w:t>
      </w:r>
      <w:r>
        <w:rPr>
          <w:spacing w:val="-10"/>
        </w:rPr>
        <w:t> </w:t>
      </w:r>
      <w:r>
        <w:rPr/>
        <w:t>experiencia</w:t>
      </w:r>
      <w:r>
        <w:rPr>
          <w:spacing w:val="-10"/>
        </w:rPr>
        <w:t> </w:t>
      </w:r>
      <w:r>
        <w:rPr/>
        <w:t>hasta</w:t>
      </w:r>
      <w:r>
        <w:rPr>
          <w:spacing w:val="-9"/>
        </w:rPr>
        <w:t> </w:t>
      </w:r>
      <w:r>
        <w:rPr/>
        <w:t>que se vive. En este sentido todos estamos expuestos a las señales de la realidad, las cuáles</w:t>
      </w:r>
      <w:r>
        <w:rPr>
          <w:spacing w:val="-5"/>
        </w:rPr>
        <w:t> </w:t>
      </w:r>
      <w:r>
        <w:rPr/>
        <w:t>interpretamos</w:t>
      </w:r>
      <w:r>
        <w:rPr>
          <w:spacing w:val="-8"/>
        </w:rPr>
        <w:t> </w:t>
      </w:r>
      <w:r>
        <w:rPr/>
        <w:t>de</w:t>
      </w:r>
      <w:r>
        <w:rPr>
          <w:spacing w:val="-7"/>
        </w:rPr>
        <w:t> </w:t>
      </w:r>
      <w:r>
        <w:rPr/>
        <w:t>manera</w:t>
      </w:r>
      <w:r>
        <w:rPr>
          <w:spacing w:val="-8"/>
        </w:rPr>
        <w:t> </w:t>
      </w:r>
      <w:r>
        <w:rPr/>
        <w:t>distinta,</w:t>
      </w:r>
      <w:r>
        <w:rPr>
          <w:spacing w:val="-5"/>
        </w:rPr>
        <w:t> </w:t>
      </w:r>
      <w:r>
        <w:rPr/>
        <w:t>por</w:t>
      </w:r>
      <w:r>
        <w:rPr>
          <w:spacing w:val="-6"/>
        </w:rPr>
        <w:t> </w:t>
      </w:r>
      <w:r>
        <w:rPr/>
        <w:t>lo</w:t>
      </w:r>
      <w:r>
        <w:rPr>
          <w:spacing w:val="-5"/>
        </w:rPr>
        <w:t> </w:t>
      </w:r>
      <w:r>
        <w:rPr/>
        <w:t>que</w:t>
      </w:r>
      <w:r>
        <w:rPr>
          <w:spacing w:val="-7"/>
        </w:rPr>
        <w:t> </w:t>
      </w:r>
      <w:r>
        <w:rPr/>
        <w:t>buscamos</w:t>
      </w:r>
      <w:r>
        <w:rPr>
          <w:spacing w:val="-5"/>
        </w:rPr>
        <w:t> </w:t>
      </w:r>
      <w:r>
        <w:rPr/>
        <w:t>crear</w:t>
      </w:r>
      <w:r>
        <w:rPr>
          <w:spacing w:val="-8"/>
        </w:rPr>
        <w:t> </w:t>
      </w:r>
      <w:r>
        <w:rPr/>
        <w:t>sentido</w:t>
      </w:r>
      <w:r>
        <w:rPr>
          <w:spacing w:val="-5"/>
        </w:rPr>
        <w:t> </w:t>
      </w:r>
      <w:r>
        <w:rPr/>
        <w:t>común a las mismas para que se pueda dar la</w:t>
      </w:r>
      <w:r>
        <w:rPr>
          <w:spacing w:val="-22"/>
        </w:rPr>
        <w:t> </w:t>
      </w:r>
      <w:r>
        <w:rPr/>
        <w:t>organización.</w:t>
      </w:r>
    </w:p>
    <w:p>
      <w:pPr>
        <w:pStyle w:val="BodyText"/>
      </w:pPr>
    </w:p>
    <w:p>
      <w:pPr>
        <w:pStyle w:val="BodyText"/>
        <w:spacing w:before="8"/>
        <w:rPr>
          <w:sz w:val="31"/>
        </w:rPr>
      </w:pPr>
    </w:p>
    <w:p>
      <w:pPr>
        <w:pStyle w:val="Heading1"/>
        <w:numPr>
          <w:ilvl w:val="3"/>
          <w:numId w:val="14"/>
        </w:numPr>
        <w:tabs>
          <w:tab w:pos="1538" w:val="left" w:leader="none"/>
        </w:tabs>
        <w:spacing w:line="240" w:lineRule="auto" w:before="0" w:after="0"/>
        <w:ind w:left="1538" w:right="0" w:hanging="1428"/>
        <w:jc w:val="both"/>
      </w:pPr>
      <w:r>
        <w:rPr/>
        <w:t>Racionalidad limitada de</w:t>
      </w:r>
      <w:r>
        <w:rPr>
          <w:spacing w:val="-8"/>
        </w:rPr>
        <w:t> </w:t>
      </w:r>
      <w:r>
        <w:rPr/>
        <w:t>Simon</w:t>
      </w:r>
    </w:p>
    <w:p>
      <w:pPr>
        <w:pStyle w:val="BodyText"/>
        <w:rPr>
          <w:b/>
        </w:rPr>
      </w:pPr>
    </w:p>
    <w:p>
      <w:pPr>
        <w:pStyle w:val="BodyText"/>
        <w:rPr>
          <w:b/>
        </w:rPr>
      </w:pPr>
    </w:p>
    <w:p>
      <w:pPr>
        <w:pStyle w:val="BodyText"/>
        <w:spacing w:line="360" w:lineRule="auto" w:before="159"/>
        <w:ind w:left="122" w:right="117"/>
        <w:jc w:val="both"/>
      </w:pPr>
      <w:r>
        <w:rPr/>
        <w:t>Para Simon (1949), el individuo es de racionalidad limitada y no puede controlarlo, ni</w:t>
      </w:r>
      <w:r>
        <w:rPr>
          <w:spacing w:val="-20"/>
        </w:rPr>
        <w:t> </w:t>
      </w:r>
      <w:r>
        <w:rPr/>
        <w:t>saberlo</w:t>
      </w:r>
      <w:r>
        <w:rPr>
          <w:spacing w:val="-21"/>
        </w:rPr>
        <w:t> </w:t>
      </w:r>
      <w:r>
        <w:rPr/>
        <w:t>todo,</w:t>
      </w:r>
      <w:r>
        <w:rPr>
          <w:spacing w:val="-19"/>
        </w:rPr>
        <w:t> </w:t>
      </w:r>
      <w:r>
        <w:rPr/>
        <w:t>asigna</w:t>
      </w:r>
      <w:r>
        <w:rPr>
          <w:spacing w:val="-21"/>
        </w:rPr>
        <w:t> </w:t>
      </w:r>
      <w:r>
        <w:rPr/>
        <w:t>un</w:t>
      </w:r>
      <w:r>
        <w:rPr>
          <w:spacing w:val="-19"/>
        </w:rPr>
        <w:t> </w:t>
      </w:r>
      <w:r>
        <w:rPr/>
        <w:t>sentido</w:t>
      </w:r>
      <w:r>
        <w:rPr>
          <w:spacing w:val="-21"/>
        </w:rPr>
        <w:t> </w:t>
      </w:r>
      <w:r>
        <w:rPr/>
        <w:t>mentado</w:t>
      </w:r>
      <w:r>
        <w:rPr>
          <w:spacing w:val="-21"/>
        </w:rPr>
        <w:t> </w:t>
      </w:r>
      <w:r>
        <w:rPr/>
        <w:t>a</w:t>
      </w:r>
      <w:r>
        <w:rPr>
          <w:spacing w:val="-19"/>
        </w:rPr>
        <w:t> </w:t>
      </w:r>
      <w:r>
        <w:rPr/>
        <w:t>sus</w:t>
      </w:r>
      <w:r>
        <w:rPr>
          <w:spacing w:val="-20"/>
        </w:rPr>
        <w:t> </w:t>
      </w:r>
      <w:r>
        <w:rPr/>
        <w:t>acciones,</w:t>
      </w:r>
      <w:r>
        <w:rPr>
          <w:spacing w:val="-19"/>
        </w:rPr>
        <w:t> </w:t>
      </w:r>
      <w:r>
        <w:rPr/>
        <w:t>generando</w:t>
      </w:r>
      <w:r>
        <w:rPr>
          <w:spacing w:val="-19"/>
        </w:rPr>
        <w:t> </w:t>
      </w:r>
      <w:r>
        <w:rPr/>
        <w:t>percepciones de</w:t>
      </w:r>
      <w:r>
        <w:rPr>
          <w:spacing w:val="-6"/>
        </w:rPr>
        <w:t> </w:t>
      </w:r>
      <w:r>
        <w:rPr/>
        <w:t>la</w:t>
      </w:r>
      <w:r>
        <w:rPr>
          <w:spacing w:val="-6"/>
        </w:rPr>
        <w:t> </w:t>
      </w:r>
      <w:r>
        <w:rPr/>
        <w:t>realidad.</w:t>
      </w:r>
      <w:r>
        <w:rPr>
          <w:spacing w:val="-9"/>
        </w:rPr>
        <w:t> </w:t>
      </w:r>
      <w:r>
        <w:rPr/>
        <w:t>Estas</w:t>
      </w:r>
      <w:r>
        <w:rPr>
          <w:spacing w:val="-9"/>
        </w:rPr>
        <w:t> </w:t>
      </w:r>
      <w:r>
        <w:rPr/>
        <w:t>percepciones</w:t>
      </w:r>
      <w:r>
        <w:rPr>
          <w:spacing w:val="-7"/>
        </w:rPr>
        <w:t> </w:t>
      </w:r>
      <w:r>
        <w:rPr/>
        <w:t>le</w:t>
      </w:r>
      <w:r>
        <w:rPr>
          <w:spacing w:val="-6"/>
        </w:rPr>
        <w:t> </w:t>
      </w:r>
      <w:r>
        <w:rPr/>
        <w:t>permiten</w:t>
      </w:r>
      <w:r>
        <w:rPr>
          <w:spacing w:val="-6"/>
        </w:rPr>
        <w:t> </w:t>
      </w:r>
      <w:r>
        <w:rPr/>
        <w:t>negociar</w:t>
      </w:r>
      <w:r>
        <w:rPr>
          <w:spacing w:val="-7"/>
        </w:rPr>
        <w:t> </w:t>
      </w:r>
      <w:r>
        <w:rPr/>
        <w:t>con</w:t>
      </w:r>
      <w:r>
        <w:rPr>
          <w:spacing w:val="-6"/>
        </w:rPr>
        <w:t> </w:t>
      </w:r>
      <w:r>
        <w:rPr/>
        <w:t>otros</w:t>
      </w:r>
      <w:r>
        <w:rPr>
          <w:spacing w:val="-7"/>
        </w:rPr>
        <w:t> </w:t>
      </w:r>
      <w:r>
        <w:rPr/>
        <w:t>individuos,</w:t>
      </w:r>
      <w:r>
        <w:rPr>
          <w:spacing w:val="-6"/>
        </w:rPr>
        <w:t> </w:t>
      </w:r>
      <w:r>
        <w:rPr/>
        <w:t>según su sentido mentado le indique que necesita de ellos para completar sus fines. De esta</w:t>
      </w:r>
      <w:r>
        <w:rPr>
          <w:spacing w:val="-11"/>
        </w:rPr>
        <w:t> </w:t>
      </w:r>
      <w:r>
        <w:rPr/>
        <w:t>manera,</w:t>
      </w:r>
      <w:r>
        <w:rPr>
          <w:spacing w:val="-12"/>
        </w:rPr>
        <w:t> </w:t>
      </w:r>
      <w:r>
        <w:rPr/>
        <w:t>el</w:t>
      </w:r>
      <w:r>
        <w:rPr>
          <w:spacing w:val="-11"/>
        </w:rPr>
        <w:t> </w:t>
      </w:r>
      <w:r>
        <w:rPr/>
        <w:t>individuo</w:t>
      </w:r>
      <w:r>
        <w:rPr>
          <w:spacing w:val="-9"/>
        </w:rPr>
        <w:t> </w:t>
      </w:r>
      <w:r>
        <w:rPr/>
        <w:t>va</w:t>
      </w:r>
      <w:r>
        <w:rPr>
          <w:spacing w:val="-12"/>
        </w:rPr>
        <w:t> </w:t>
      </w:r>
      <w:r>
        <w:rPr/>
        <w:t>tomando</w:t>
      </w:r>
      <w:r>
        <w:rPr>
          <w:spacing w:val="-12"/>
        </w:rPr>
        <w:t> </w:t>
      </w:r>
      <w:r>
        <w:rPr/>
        <w:t>decisiones</w:t>
      </w:r>
      <w:r>
        <w:rPr>
          <w:spacing w:val="-10"/>
        </w:rPr>
        <w:t> </w:t>
      </w:r>
      <w:r>
        <w:rPr/>
        <w:t>según</w:t>
      </w:r>
      <w:r>
        <w:rPr>
          <w:spacing w:val="-12"/>
        </w:rPr>
        <w:t> </w:t>
      </w:r>
      <w:r>
        <w:rPr/>
        <w:t>su</w:t>
      </w:r>
      <w:r>
        <w:rPr>
          <w:spacing w:val="-12"/>
        </w:rPr>
        <w:t> </w:t>
      </w:r>
      <w:r>
        <w:rPr/>
        <w:t>percepción</w:t>
      </w:r>
      <w:r>
        <w:rPr>
          <w:spacing w:val="-12"/>
        </w:rPr>
        <w:t> </w:t>
      </w:r>
      <w:r>
        <w:rPr/>
        <w:t>de</w:t>
      </w:r>
      <w:r>
        <w:rPr>
          <w:spacing w:val="-12"/>
        </w:rPr>
        <w:t> </w:t>
      </w:r>
      <w:r>
        <w:rPr/>
        <w:t>las</w:t>
      </w:r>
      <w:r>
        <w:rPr>
          <w:spacing w:val="-12"/>
        </w:rPr>
        <w:t> </w:t>
      </w:r>
      <w:r>
        <w:rPr/>
        <w:t>cosas.</w:t>
      </w:r>
    </w:p>
    <w:p>
      <w:pPr>
        <w:spacing w:after="0" w:line="360" w:lineRule="auto"/>
        <w:jc w:val="both"/>
        <w:sectPr>
          <w:pgSz w:w="12240" w:h="15840"/>
          <w:pgMar w:header="0" w:footer="975" w:top="1360" w:bottom="1220" w:left="1580" w:right="1580"/>
        </w:sectPr>
      </w:pPr>
    </w:p>
    <w:p>
      <w:pPr>
        <w:pStyle w:val="BodyText"/>
        <w:spacing w:line="360" w:lineRule="auto" w:before="54"/>
        <w:ind w:left="102" w:right="116"/>
        <w:jc w:val="both"/>
      </w:pPr>
      <w:r>
        <w:rPr/>
        <w:t>Las premisas de decisión, señala Simon (1949), constituyen el ideal que legitima</w:t>
      </w:r>
      <w:r>
        <w:rPr>
          <w:spacing w:val="-37"/>
        </w:rPr>
        <w:t> </w:t>
      </w:r>
      <w:r>
        <w:rPr/>
        <w:t>la organización</w:t>
      </w:r>
      <w:r>
        <w:rPr>
          <w:spacing w:val="-15"/>
        </w:rPr>
        <w:t> </w:t>
      </w:r>
      <w:r>
        <w:rPr/>
        <w:t>en</w:t>
      </w:r>
      <w:r>
        <w:rPr>
          <w:spacing w:val="-18"/>
        </w:rPr>
        <w:t> </w:t>
      </w:r>
      <w:r>
        <w:rPr/>
        <w:t>su</w:t>
      </w:r>
      <w:r>
        <w:rPr>
          <w:spacing w:val="-18"/>
        </w:rPr>
        <w:t> </w:t>
      </w:r>
      <w:r>
        <w:rPr/>
        <w:t>carácter</w:t>
      </w:r>
      <w:r>
        <w:rPr>
          <w:spacing w:val="-19"/>
        </w:rPr>
        <w:t> </w:t>
      </w:r>
      <w:r>
        <w:rPr/>
        <w:t>de</w:t>
      </w:r>
      <w:r>
        <w:rPr>
          <w:spacing w:val="-18"/>
        </w:rPr>
        <w:t> </w:t>
      </w:r>
      <w:r>
        <w:rPr/>
        <w:t>principio</w:t>
      </w:r>
      <w:r>
        <w:rPr>
          <w:spacing w:val="-18"/>
        </w:rPr>
        <w:t> </w:t>
      </w:r>
      <w:r>
        <w:rPr/>
        <w:t>rector</w:t>
      </w:r>
      <w:r>
        <w:rPr>
          <w:spacing w:val="-17"/>
        </w:rPr>
        <w:t> </w:t>
      </w:r>
      <w:r>
        <w:rPr/>
        <w:t>de</w:t>
      </w:r>
      <w:r>
        <w:rPr>
          <w:spacing w:val="-18"/>
        </w:rPr>
        <w:t> </w:t>
      </w:r>
      <w:r>
        <w:rPr/>
        <w:t>las</w:t>
      </w:r>
      <w:r>
        <w:rPr>
          <w:spacing w:val="-18"/>
        </w:rPr>
        <w:t> </w:t>
      </w:r>
      <w:r>
        <w:rPr/>
        <w:t>decisiones;</w:t>
      </w:r>
      <w:r>
        <w:rPr>
          <w:spacing w:val="-18"/>
        </w:rPr>
        <w:t> </w:t>
      </w:r>
      <w:r>
        <w:rPr/>
        <w:t>están</w:t>
      </w:r>
      <w:r>
        <w:rPr>
          <w:spacing w:val="-16"/>
        </w:rPr>
        <w:t> </w:t>
      </w:r>
      <w:r>
        <w:rPr/>
        <w:t>conformadas por el conjunto de objetivos que constituyen el fin último de la organización, son el centro de atracción para que los individuos decidan pertenecer a la organización y se ejercen a través instrumentos enmarcados en forma de un ambiente</w:t>
      </w:r>
      <w:r>
        <w:rPr>
          <w:spacing w:val="-29"/>
        </w:rPr>
        <w:t> </w:t>
      </w:r>
      <w:r>
        <w:rPr/>
        <w:t>psicológico como mecanismo de influencia que, al mismo tiempo, reduce la incertidumbre y facilita la toma-de-decisiones. A partir de ahí, desarrollar cómo funciona el</w:t>
      </w:r>
      <w:r>
        <w:rPr>
          <w:spacing w:val="-33"/>
        </w:rPr>
        <w:t> </w:t>
      </w:r>
      <w:r>
        <w:rPr/>
        <w:t>sistema, así</w:t>
      </w:r>
      <w:r>
        <w:rPr>
          <w:spacing w:val="-11"/>
        </w:rPr>
        <w:t> </w:t>
      </w:r>
      <w:r>
        <w:rPr/>
        <w:t>se</w:t>
      </w:r>
      <w:r>
        <w:rPr>
          <w:spacing w:val="-8"/>
        </w:rPr>
        <w:t> </w:t>
      </w:r>
      <w:r>
        <w:rPr/>
        <w:t>describe</w:t>
      </w:r>
      <w:r>
        <w:rPr>
          <w:spacing w:val="-10"/>
        </w:rPr>
        <w:t> </w:t>
      </w:r>
      <w:r>
        <w:rPr/>
        <w:t>cómo</w:t>
      </w:r>
      <w:r>
        <w:rPr>
          <w:spacing w:val="-10"/>
        </w:rPr>
        <w:t> </w:t>
      </w:r>
      <w:r>
        <w:rPr/>
        <w:t>funciona</w:t>
      </w:r>
      <w:r>
        <w:rPr>
          <w:spacing w:val="-8"/>
        </w:rPr>
        <w:t> </w:t>
      </w:r>
      <w:r>
        <w:rPr/>
        <w:t>el</w:t>
      </w:r>
      <w:r>
        <w:rPr>
          <w:spacing w:val="-12"/>
        </w:rPr>
        <w:t> </w:t>
      </w:r>
      <w:r>
        <w:rPr/>
        <w:t>proceso</w:t>
      </w:r>
      <w:r>
        <w:rPr>
          <w:spacing w:val="-8"/>
        </w:rPr>
        <w:t> </w:t>
      </w:r>
      <w:r>
        <w:rPr/>
        <w:t>de</w:t>
      </w:r>
      <w:r>
        <w:rPr>
          <w:spacing w:val="-8"/>
        </w:rPr>
        <w:t> </w:t>
      </w:r>
      <w:r>
        <w:rPr/>
        <w:t>toma-de-decisiones</w:t>
      </w:r>
      <w:r>
        <w:rPr>
          <w:spacing w:val="-12"/>
        </w:rPr>
        <w:t> </w:t>
      </w:r>
      <w:r>
        <w:rPr/>
        <w:t>de</w:t>
      </w:r>
      <w:r>
        <w:rPr>
          <w:spacing w:val="-11"/>
        </w:rPr>
        <w:t> </w:t>
      </w:r>
      <w:r>
        <w:rPr/>
        <w:t>actores</w:t>
      </w:r>
      <w:r>
        <w:rPr>
          <w:spacing w:val="-9"/>
        </w:rPr>
        <w:t> </w:t>
      </w:r>
      <w:r>
        <w:rPr/>
        <w:t>con</w:t>
      </w:r>
      <w:r>
        <w:rPr>
          <w:spacing w:val="-8"/>
        </w:rPr>
        <w:t> </w:t>
      </w:r>
      <w:r>
        <w:rPr/>
        <w:t>RL que están dentro de un ambiente</w:t>
      </w:r>
      <w:r>
        <w:rPr>
          <w:spacing w:val="-15"/>
        </w:rPr>
        <w:t> </w:t>
      </w:r>
      <w:r>
        <w:rPr/>
        <w:t>psicológico.</w:t>
      </w:r>
    </w:p>
    <w:p>
      <w:pPr>
        <w:pStyle w:val="BodyText"/>
      </w:pPr>
    </w:p>
    <w:p>
      <w:pPr>
        <w:pStyle w:val="BodyText"/>
      </w:pPr>
    </w:p>
    <w:p>
      <w:pPr>
        <w:pStyle w:val="BodyText"/>
        <w:spacing w:line="360" w:lineRule="auto" w:before="188"/>
        <w:ind w:left="102" w:right="115"/>
        <w:jc w:val="both"/>
      </w:pPr>
      <w:r>
        <w:rPr/>
        <w:t>En</w:t>
      </w:r>
      <w:r>
        <w:rPr>
          <w:spacing w:val="-8"/>
        </w:rPr>
        <w:t> </w:t>
      </w:r>
      <w:r>
        <w:rPr/>
        <w:t>este</w:t>
      </w:r>
      <w:r>
        <w:rPr>
          <w:spacing w:val="-8"/>
        </w:rPr>
        <w:t> </w:t>
      </w:r>
      <w:r>
        <w:rPr/>
        <w:t>mismo</w:t>
      </w:r>
      <w:r>
        <w:rPr>
          <w:spacing w:val="-8"/>
        </w:rPr>
        <w:t> </w:t>
      </w:r>
      <w:r>
        <w:rPr/>
        <w:t>sentido,</w:t>
      </w:r>
      <w:r>
        <w:rPr>
          <w:spacing w:val="-9"/>
        </w:rPr>
        <w:t> </w:t>
      </w:r>
      <w:r>
        <w:rPr/>
        <w:t>dado</w:t>
      </w:r>
      <w:r>
        <w:rPr>
          <w:spacing w:val="-8"/>
        </w:rPr>
        <w:t> </w:t>
      </w:r>
      <w:r>
        <w:rPr/>
        <w:t>que</w:t>
      </w:r>
      <w:r>
        <w:rPr>
          <w:spacing w:val="-8"/>
        </w:rPr>
        <w:t> </w:t>
      </w:r>
      <w:r>
        <w:rPr/>
        <w:t>la</w:t>
      </w:r>
      <w:r>
        <w:rPr>
          <w:spacing w:val="-11"/>
        </w:rPr>
        <w:t> </w:t>
      </w:r>
      <w:r>
        <w:rPr/>
        <w:t>naturaleza</w:t>
      </w:r>
      <w:r>
        <w:rPr>
          <w:spacing w:val="-8"/>
        </w:rPr>
        <w:t> </w:t>
      </w:r>
      <w:r>
        <w:rPr/>
        <w:t>del</w:t>
      </w:r>
      <w:r>
        <w:rPr>
          <w:spacing w:val="-10"/>
        </w:rPr>
        <w:t> </w:t>
      </w:r>
      <w:r>
        <w:rPr/>
        <w:t>gobierno</w:t>
      </w:r>
      <w:r>
        <w:rPr>
          <w:spacing w:val="-8"/>
        </w:rPr>
        <w:t> </w:t>
      </w:r>
      <w:r>
        <w:rPr/>
        <w:t>no</w:t>
      </w:r>
      <w:r>
        <w:rPr>
          <w:spacing w:val="-8"/>
        </w:rPr>
        <w:t> </w:t>
      </w:r>
      <w:r>
        <w:rPr/>
        <w:t>es</w:t>
      </w:r>
      <w:r>
        <w:rPr>
          <w:spacing w:val="-9"/>
        </w:rPr>
        <w:t> </w:t>
      </w:r>
      <w:r>
        <w:rPr/>
        <w:t>ser</w:t>
      </w:r>
      <w:r>
        <w:rPr>
          <w:spacing w:val="-10"/>
        </w:rPr>
        <w:t> </w:t>
      </w:r>
      <w:r>
        <w:rPr/>
        <w:t>transparente, la racionalidad de los gobernantes los obliga a esconder la información, porque la “opacidad” les genera, en término de Crupier (1964), cotos de poder y control de la incertidumbre. Asimismo, los servidores públicos y los políticos son fundamentalmente actores con intereses personales (Diga, 2011) y, por lo tanto, resistentes a la transparencia. Esta situación podría verse reducida con la participación ciudadana, la creación y aplicación de leyes, reglamentos y procedimientos pro-transparencia (Vergara,</w:t>
      </w:r>
      <w:r>
        <w:rPr>
          <w:spacing w:val="-15"/>
        </w:rPr>
        <w:t> </w:t>
      </w:r>
      <w:r>
        <w:rPr/>
        <w:t>2005).</w:t>
      </w:r>
    </w:p>
    <w:p>
      <w:pPr>
        <w:pStyle w:val="BodyText"/>
      </w:pPr>
    </w:p>
    <w:p>
      <w:pPr>
        <w:pStyle w:val="BodyText"/>
      </w:pPr>
    </w:p>
    <w:p>
      <w:pPr>
        <w:pStyle w:val="BodyText"/>
        <w:spacing w:line="360" w:lineRule="auto" w:before="185"/>
        <w:ind w:left="102" w:right="115"/>
        <w:jc w:val="both"/>
      </w:pPr>
      <w:r>
        <w:rPr/>
        <w:t>En este sentido gobernar, señala Foucault (1999), no es forzar a que los sujetos hagan lo que los gobernantes desean tal como señala el concepto Severiano de dominación,</w:t>
      </w:r>
      <w:r>
        <w:rPr>
          <w:spacing w:val="-10"/>
        </w:rPr>
        <w:t> </w:t>
      </w:r>
      <w:r>
        <w:rPr/>
        <w:t>sino</w:t>
      </w:r>
      <w:r>
        <w:rPr>
          <w:spacing w:val="-12"/>
        </w:rPr>
        <w:t> </w:t>
      </w:r>
      <w:r>
        <w:rPr/>
        <w:t>que</w:t>
      </w:r>
      <w:r>
        <w:rPr>
          <w:spacing w:val="-12"/>
        </w:rPr>
        <w:t> </w:t>
      </w:r>
      <w:r>
        <w:rPr/>
        <w:t>se</w:t>
      </w:r>
      <w:r>
        <w:rPr>
          <w:spacing w:val="-9"/>
        </w:rPr>
        <w:t> </w:t>
      </w:r>
      <w:r>
        <w:rPr/>
        <w:t>trata</w:t>
      </w:r>
      <w:r>
        <w:rPr>
          <w:spacing w:val="-11"/>
        </w:rPr>
        <w:t> </w:t>
      </w:r>
      <w:r>
        <w:rPr/>
        <w:t>de</w:t>
      </w:r>
      <w:r>
        <w:rPr>
          <w:spacing w:val="-12"/>
        </w:rPr>
        <w:t> </w:t>
      </w:r>
      <w:r>
        <w:rPr/>
        <w:t>regular</w:t>
      </w:r>
      <w:r>
        <w:rPr>
          <w:spacing w:val="-13"/>
        </w:rPr>
        <w:t> </w:t>
      </w:r>
      <w:r>
        <w:rPr/>
        <w:t>las</w:t>
      </w:r>
      <w:r>
        <w:rPr>
          <w:spacing w:val="-10"/>
        </w:rPr>
        <w:t> </w:t>
      </w:r>
      <w:r>
        <w:rPr/>
        <w:t>conductas</w:t>
      </w:r>
      <w:r>
        <w:rPr>
          <w:spacing w:val="-13"/>
        </w:rPr>
        <w:t> </w:t>
      </w:r>
      <w:r>
        <w:rPr/>
        <w:t>individuales</w:t>
      </w:r>
      <w:r>
        <w:rPr>
          <w:spacing w:val="-14"/>
        </w:rPr>
        <w:t> </w:t>
      </w:r>
      <w:r>
        <w:rPr/>
        <w:t>por</w:t>
      </w:r>
      <w:r>
        <w:rPr>
          <w:spacing w:val="-11"/>
        </w:rPr>
        <w:t> </w:t>
      </w:r>
      <w:r>
        <w:rPr/>
        <w:t>la</w:t>
      </w:r>
      <w:r>
        <w:rPr>
          <w:spacing w:val="-12"/>
        </w:rPr>
        <w:t> </w:t>
      </w:r>
      <w:r>
        <w:rPr/>
        <w:t>aplicación racional de los medios técnicos apropiados. Se busca pues, en términos de Elías (1998), domesticar el impulso natural de libertad para cumplir con las normas estructurales creadas por la sociedad; es decir crear una conducta regulada y aceptada por el individuo (Weber, 1983), de modo que aquella persona que no ha adoptado el sentido de la civilización sea expulsado del</w:t>
      </w:r>
      <w:r>
        <w:rPr>
          <w:spacing w:val="-26"/>
        </w:rPr>
        <w:t> </w:t>
      </w:r>
      <w:r>
        <w:rPr/>
        <w:t>grupo.</w:t>
      </w:r>
    </w:p>
    <w:p>
      <w:pPr>
        <w:spacing w:after="0" w:line="360" w:lineRule="auto"/>
        <w:jc w:val="both"/>
        <w:sectPr>
          <w:pgSz w:w="12240" w:h="15840"/>
          <w:pgMar w:header="0" w:footer="975" w:top="1360" w:bottom="1220" w:left="1600" w:right="1580"/>
        </w:sectPr>
      </w:pPr>
    </w:p>
    <w:p>
      <w:pPr>
        <w:pStyle w:val="BodyText"/>
        <w:spacing w:line="360" w:lineRule="auto" w:before="54"/>
        <w:ind w:left="102" w:right="117"/>
        <w:jc w:val="both"/>
      </w:pPr>
      <w:r>
        <w:rPr/>
        <w:t>Visto</w:t>
      </w:r>
      <w:r>
        <w:rPr>
          <w:spacing w:val="-6"/>
        </w:rPr>
        <w:t> </w:t>
      </w:r>
      <w:r>
        <w:rPr/>
        <w:t>de</w:t>
      </w:r>
      <w:r>
        <w:rPr>
          <w:spacing w:val="-8"/>
        </w:rPr>
        <w:t> </w:t>
      </w:r>
      <w:r>
        <w:rPr/>
        <w:t>esta</w:t>
      </w:r>
      <w:r>
        <w:rPr>
          <w:spacing w:val="-8"/>
        </w:rPr>
        <w:t> </w:t>
      </w:r>
      <w:r>
        <w:rPr/>
        <w:t>manera,</w:t>
      </w:r>
      <w:r>
        <w:rPr>
          <w:spacing w:val="-9"/>
        </w:rPr>
        <w:t> </w:t>
      </w:r>
      <w:r>
        <w:rPr/>
        <w:t>el</w:t>
      </w:r>
      <w:r>
        <w:rPr>
          <w:spacing w:val="-7"/>
        </w:rPr>
        <w:t> </w:t>
      </w:r>
      <w:r>
        <w:rPr/>
        <w:t>acceso</w:t>
      </w:r>
      <w:r>
        <w:rPr>
          <w:spacing w:val="-8"/>
        </w:rPr>
        <w:t> </w:t>
      </w:r>
      <w:r>
        <w:rPr/>
        <w:t>a</w:t>
      </w:r>
      <w:r>
        <w:rPr>
          <w:spacing w:val="-6"/>
        </w:rPr>
        <w:t> </w:t>
      </w:r>
      <w:r>
        <w:rPr/>
        <w:t>la</w:t>
      </w:r>
      <w:r>
        <w:rPr>
          <w:spacing w:val="-6"/>
        </w:rPr>
        <w:t> </w:t>
      </w:r>
      <w:r>
        <w:rPr/>
        <w:t>información</w:t>
      </w:r>
      <w:r>
        <w:rPr>
          <w:spacing w:val="-6"/>
        </w:rPr>
        <w:t> </w:t>
      </w:r>
      <w:r>
        <w:rPr/>
        <w:t>y</w:t>
      </w:r>
      <w:r>
        <w:rPr>
          <w:spacing w:val="-9"/>
        </w:rPr>
        <w:t> </w:t>
      </w:r>
      <w:r>
        <w:rPr/>
        <w:t>la</w:t>
      </w:r>
      <w:r>
        <w:rPr>
          <w:spacing w:val="-6"/>
        </w:rPr>
        <w:t> </w:t>
      </w:r>
      <w:r>
        <w:rPr/>
        <w:t>transparencia</w:t>
      </w:r>
      <w:r>
        <w:rPr>
          <w:spacing w:val="-6"/>
        </w:rPr>
        <w:t> </w:t>
      </w:r>
      <w:r>
        <w:rPr/>
        <w:t>son</w:t>
      </w:r>
      <w:r>
        <w:rPr>
          <w:spacing w:val="-6"/>
        </w:rPr>
        <w:t> </w:t>
      </w:r>
      <w:r>
        <w:rPr/>
        <w:t>el</w:t>
      </w:r>
      <w:r>
        <w:rPr>
          <w:spacing w:val="-7"/>
        </w:rPr>
        <w:t> </w:t>
      </w:r>
      <w:r>
        <w:rPr/>
        <w:t>resultado de una forma de gobernar, de administrar y de gestionar al Estado, es por ello un valor</w:t>
      </w:r>
      <w:r>
        <w:rPr>
          <w:spacing w:val="-9"/>
        </w:rPr>
        <w:t> </w:t>
      </w:r>
      <w:r>
        <w:rPr/>
        <w:t>de</w:t>
      </w:r>
      <w:r>
        <w:rPr>
          <w:spacing w:val="-8"/>
        </w:rPr>
        <w:t> </w:t>
      </w:r>
      <w:r>
        <w:rPr/>
        <w:t>la</w:t>
      </w:r>
      <w:r>
        <w:rPr>
          <w:spacing w:val="-9"/>
        </w:rPr>
        <w:t> </w:t>
      </w:r>
      <w:r>
        <w:rPr/>
        <w:t>democracia</w:t>
      </w:r>
      <w:r>
        <w:rPr>
          <w:spacing w:val="-11"/>
        </w:rPr>
        <w:t> </w:t>
      </w:r>
      <w:r>
        <w:rPr/>
        <w:t>relacionado</w:t>
      </w:r>
      <w:r>
        <w:rPr>
          <w:spacing w:val="-8"/>
        </w:rPr>
        <w:t> </w:t>
      </w:r>
      <w:r>
        <w:rPr/>
        <w:t>con</w:t>
      </w:r>
      <w:r>
        <w:rPr>
          <w:spacing w:val="-8"/>
        </w:rPr>
        <w:t> </w:t>
      </w:r>
      <w:r>
        <w:rPr/>
        <w:t>el</w:t>
      </w:r>
      <w:r>
        <w:rPr>
          <w:spacing w:val="-10"/>
        </w:rPr>
        <w:t> </w:t>
      </w:r>
      <w:r>
        <w:rPr/>
        <w:t>desempeño</w:t>
      </w:r>
      <w:r>
        <w:rPr>
          <w:spacing w:val="-8"/>
        </w:rPr>
        <w:t> </w:t>
      </w:r>
      <w:r>
        <w:rPr/>
        <w:t>de</w:t>
      </w:r>
      <w:r>
        <w:rPr>
          <w:spacing w:val="-8"/>
        </w:rPr>
        <w:t> </w:t>
      </w:r>
      <w:r>
        <w:rPr/>
        <w:t>la</w:t>
      </w:r>
      <w:r>
        <w:rPr>
          <w:spacing w:val="-9"/>
        </w:rPr>
        <w:t> </w:t>
      </w:r>
      <w:r>
        <w:rPr/>
        <w:t>comunidad</w:t>
      </w:r>
      <w:r>
        <w:rPr>
          <w:spacing w:val="-8"/>
        </w:rPr>
        <w:t> </w:t>
      </w:r>
      <w:r>
        <w:rPr/>
        <w:t>política,</w:t>
      </w:r>
      <w:r>
        <w:rPr>
          <w:spacing w:val="-9"/>
        </w:rPr>
        <w:t> </w:t>
      </w:r>
      <w:r>
        <w:rPr/>
        <w:t>sus representantes y sus autoridades, quienes tienen que aclarar sus acciones para fortalecer al gobierno (Maeses, 2010). Asimismo, busca crear estructuras para reducir la zona de incertidumbre, regular los comportamientos de los individuos, restringir la libertad de acción de los individuos o grupos, en particular, de los superiores y los subordinados (Crupier y Fridera,</w:t>
      </w:r>
      <w:r>
        <w:rPr>
          <w:spacing w:val="-16"/>
        </w:rPr>
        <w:t> </w:t>
      </w:r>
      <w:r>
        <w:rPr/>
        <w:t>1990).</w:t>
      </w:r>
    </w:p>
    <w:p>
      <w:pPr>
        <w:pStyle w:val="BodyText"/>
      </w:pPr>
    </w:p>
    <w:p>
      <w:pPr>
        <w:pStyle w:val="BodyText"/>
      </w:pPr>
    </w:p>
    <w:p>
      <w:pPr>
        <w:pStyle w:val="BodyText"/>
        <w:spacing w:line="360" w:lineRule="auto" w:before="186"/>
        <w:ind w:left="102" w:right="115"/>
        <w:jc w:val="both"/>
      </w:pPr>
      <w:r>
        <w:rPr/>
        <w:t>Por otra parte, la transparencia no debe verse como un derecho abstracto o mero conjunto</w:t>
      </w:r>
      <w:r>
        <w:rPr>
          <w:spacing w:val="-8"/>
        </w:rPr>
        <w:t> </w:t>
      </w:r>
      <w:r>
        <w:rPr/>
        <w:t>de</w:t>
      </w:r>
      <w:r>
        <w:rPr>
          <w:spacing w:val="-11"/>
        </w:rPr>
        <w:t> </w:t>
      </w:r>
      <w:r>
        <w:rPr/>
        <w:t>normas</w:t>
      </w:r>
      <w:r>
        <w:rPr>
          <w:spacing w:val="-9"/>
        </w:rPr>
        <w:t> </w:t>
      </w:r>
      <w:r>
        <w:rPr/>
        <w:t>de</w:t>
      </w:r>
      <w:r>
        <w:rPr>
          <w:spacing w:val="-11"/>
        </w:rPr>
        <w:t> </w:t>
      </w:r>
      <w:r>
        <w:rPr/>
        <w:t>revelación,</w:t>
      </w:r>
      <w:r>
        <w:rPr>
          <w:spacing w:val="-9"/>
        </w:rPr>
        <w:t> </w:t>
      </w:r>
      <w:r>
        <w:rPr/>
        <w:t>sino</w:t>
      </w:r>
      <w:r>
        <w:rPr>
          <w:spacing w:val="-8"/>
        </w:rPr>
        <w:t> </w:t>
      </w:r>
      <w:r>
        <w:rPr/>
        <w:t>como</w:t>
      </w:r>
      <w:r>
        <w:rPr>
          <w:spacing w:val="-11"/>
        </w:rPr>
        <w:t> </w:t>
      </w:r>
      <w:r>
        <w:rPr/>
        <w:t>un</w:t>
      </w:r>
      <w:r>
        <w:rPr>
          <w:spacing w:val="-8"/>
        </w:rPr>
        <w:t> </w:t>
      </w:r>
      <w:r>
        <w:rPr/>
        <w:t>componente</w:t>
      </w:r>
      <w:r>
        <w:rPr>
          <w:spacing w:val="-8"/>
        </w:rPr>
        <w:t> </w:t>
      </w:r>
      <w:r>
        <w:rPr/>
        <w:t>estratégico</w:t>
      </w:r>
      <w:r>
        <w:rPr>
          <w:spacing w:val="-9"/>
        </w:rPr>
        <w:t> </w:t>
      </w:r>
      <w:r>
        <w:rPr/>
        <w:t>de</w:t>
      </w:r>
      <w:r>
        <w:rPr>
          <w:spacing w:val="-1"/>
        </w:rPr>
        <w:t> </w:t>
      </w:r>
      <w:r>
        <w:rPr/>
        <w:t>toda</w:t>
      </w:r>
      <w:r>
        <w:rPr>
          <w:spacing w:val="-8"/>
        </w:rPr>
        <w:t> </w:t>
      </w:r>
      <w:r>
        <w:rPr/>
        <w:t>la política</w:t>
      </w:r>
      <w:r>
        <w:rPr>
          <w:spacing w:val="-16"/>
        </w:rPr>
        <w:t> </w:t>
      </w:r>
      <w:r>
        <w:rPr/>
        <w:t>pública</w:t>
      </w:r>
      <w:r>
        <w:rPr>
          <w:spacing w:val="-16"/>
        </w:rPr>
        <w:t> </w:t>
      </w:r>
      <w:r>
        <w:rPr/>
        <w:t>que</w:t>
      </w:r>
      <w:r>
        <w:rPr>
          <w:spacing w:val="-16"/>
        </w:rPr>
        <w:t> </w:t>
      </w:r>
      <w:r>
        <w:rPr/>
        <w:t>se</w:t>
      </w:r>
      <w:r>
        <w:rPr>
          <w:spacing w:val="-18"/>
        </w:rPr>
        <w:t> </w:t>
      </w:r>
      <w:r>
        <w:rPr/>
        <w:t>vincula</w:t>
      </w:r>
      <w:r>
        <w:rPr>
          <w:spacing w:val="35"/>
        </w:rPr>
        <w:t> </w:t>
      </w:r>
      <w:r>
        <w:rPr/>
        <w:t>con</w:t>
      </w:r>
      <w:r>
        <w:rPr>
          <w:spacing w:val="-16"/>
        </w:rPr>
        <w:t> </w:t>
      </w:r>
      <w:r>
        <w:rPr/>
        <w:t>instituciones</w:t>
      </w:r>
      <w:r>
        <w:rPr>
          <w:spacing w:val="-16"/>
        </w:rPr>
        <w:t> </w:t>
      </w:r>
      <w:r>
        <w:rPr/>
        <w:t>e</w:t>
      </w:r>
      <w:r>
        <w:rPr>
          <w:spacing w:val="-16"/>
        </w:rPr>
        <w:t> </w:t>
      </w:r>
      <w:r>
        <w:rPr/>
        <w:t>instrumentos</w:t>
      </w:r>
      <w:r>
        <w:rPr>
          <w:spacing w:val="-16"/>
        </w:rPr>
        <w:t> </w:t>
      </w:r>
      <w:r>
        <w:rPr/>
        <w:t>concretos</w:t>
      </w:r>
      <w:r>
        <w:rPr>
          <w:spacing w:val="-16"/>
        </w:rPr>
        <w:t> </w:t>
      </w:r>
      <w:r>
        <w:rPr/>
        <w:t>de</w:t>
      </w:r>
      <w:r>
        <w:rPr>
          <w:spacing w:val="-18"/>
        </w:rPr>
        <w:t> </w:t>
      </w:r>
      <w:r>
        <w:rPr/>
        <w:t>acción, que a través de las normas pueden limitar la conducta individual y por lo tanto, los intereses de los gobernantes (Crupier y Friedberg, 1990; Weber, 1992 y Parsons, 2007). Se trata de un código genético reutilizable que debe combinarse de manera creativa para potenciar patrones de comportamiento y derechos participativos exigibles. Es una forma efectiva de crear foros o cuasi espacios públicos que coadyuven a la transparencia en distintos ámbitos (Cantú </w:t>
      </w:r>
      <w:r>
        <w:rPr>
          <w:i/>
        </w:rPr>
        <w:t>et. al. </w:t>
      </w:r>
      <w:r>
        <w:rPr/>
        <w:t>2011) donde “la cultura de la transparencia fomenta la rendición de cuentas, legitima a las instituciones</w:t>
      </w:r>
      <w:r>
        <w:rPr>
          <w:spacing w:val="-7"/>
        </w:rPr>
        <w:t> </w:t>
      </w:r>
      <w:r>
        <w:rPr/>
        <w:t>públicas</w:t>
      </w:r>
      <w:r>
        <w:rPr>
          <w:spacing w:val="-7"/>
        </w:rPr>
        <w:t> </w:t>
      </w:r>
      <w:r>
        <w:rPr/>
        <w:t>y</w:t>
      </w:r>
      <w:r>
        <w:rPr>
          <w:spacing w:val="-7"/>
        </w:rPr>
        <w:t> </w:t>
      </w:r>
      <w:r>
        <w:rPr/>
        <w:t>establece</w:t>
      </w:r>
      <w:r>
        <w:rPr>
          <w:spacing w:val="-6"/>
        </w:rPr>
        <w:t> </w:t>
      </w:r>
      <w:r>
        <w:rPr/>
        <w:t>un</w:t>
      </w:r>
      <w:r>
        <w:rPr>
          <w:spacing w:val="-8"/>
        </w:rPr>
        <w:t> </w:t>
      </w:r>
      <w:r>
        <w:rPr/>
        <w:t>puente</w:t>
      </w:r>
      <w:r>
        <w:rPr>
          <w:spacing w:val="-8"/>
        </w:rPr>
        <w:t> </w:t>
      </w:r>
      <w:r>
        <w:rPr/>
        <w:t>de</w:t>
      </w:r>
      <w:r>
        <w:rPr>
          <w:spacing w:val="-6"/>
        </w:rPr>
        <w:t> </w:t>
      </w:r>
      <w:r>
        <w:rPr/>
        <w:t>comunicación</w:t>
      </w:r>
      <w:r>
        <w:rPr>
          <w:spacing w:val="-6"/>
        </w:rPr>
        <w:t> </w:t>
      </w:r>
      <w:r>
        <w:rPr/>
        <w:t>entre</w:t>
      </w:r>
      <w:r>
        <w:rPr>
          <w:spacing w:val="-6"/>
        </w:rPr>
        <w:t> </w:t>
      </w:r>
      <w:r>
        <w:rPr/>
        <w:t>la</w:t>
      </w:r>
      <w:r>
        <w:rPr>
          <w:spacing w:val="-6"/>
        </w:rPr>
        <w:t> </w:t>
      </w:r>
      <w:r>
        <w:rPr/>
        <w:t>sociedad</w:t>
      </w:r>
      <w:r>
        <w:rPr>
          <w:spacing w:val="-6"/>
        </w:rPr>
        <w:t> </w:t>
      </w:r>
      <w:r>
        <w:rPr/>
        <w:t>y</w:t>
      </w:r>
      <w:r>
        <w:rPr>
          <w:spacing w:val="-9"/>
        </w:rPr>
        <w:t> </w:t>
      </w:r>
      <w:r>
        <w:rPr/>
        <w:t>el gobierno” (Informe de actividades del INFOEM</w:t>
      </w:r>
      <w:r>
        <w:rPr>
          <w:spacing w:val="-13"/>
        </w:rPr>
        <w:t> </w:t>
      </w:r>
      <w:r>
        <w:rPr/>
        <w:t>2011:9).</w:t>
      </w:r>
    </w:p>
    <w:p>
      <w:pPr>
        <w:pStyle w:val="BodyText"/>
      </w:pPr>
    </w:p>
    <w:p>
      <w:pPr>
        <w:pStyle w:val="BodyText"/>
      </w:pPr>
    </w:p>
    <w:p>
      <w:pPr>
        <w:pStyle w:val="BodyText"/>
        <w:spacing w:line="360" w:lineRule="auto" w:before="187"/>
        <w:ind w:left="102" w:right="117"/>
        <w:jc w:val="both"/>
      </w:pPr>
      <w:r>
        <w:rPr/>
        <w:t>Empero, para crear una identidad global o un ambiente sicológico en término de Simon (1949), el Estado tiene que desaparecer las pequeñas identidades, se trata pues</w:t>
      </w:r>
      <w:r>
        <w:rPr>
          <w:spacing w:val="-7"/>
        </w:rPr>
        <w:t> </w:t>
      </w:r>
      <w:r>
        <w:rPr/>
        <w:t>de</w:t>
      </w:r>
      <w:r>
        <w:rPr>
          <w:spacing w:val="-6"/>
        </w:rPr>
        <w:t> </w:t>
      </w:r>
      <w:r>
        <w:rPr/>
        <w:t>civilizar</w:t>
      </w:r>
      <w:r>
        <w:rPr>
          <w:spacing w:val="-7"/>
        </w:rPr>
        <w:t> </w:t>
      </w:r>
      <w:r>
        <w:rPr/>
        <w:t>al</w:t>
      </w:r>
      <w:r>
        <w:rPr>
          <w:spacing w:val="-7"/>
        </w:rPr>
        <w:t> </w:t>
      </w:r>
      <w:r>
        <w:rPr/>
        <w:t>individuo</w:t>
      </w:r>
      <w:r>
        <w:rPr>
          <w:spacing w:val="-6"/>
        </w:rPr>
        <w:t> </w:t>
      </w:r>
      <w:r>
        <w:rPr/>
        <w:t>Elias</w:t>
      </w:r>
      <w:r>
        <w:rPr>
          <w:spacing w:val="-7"/>
        </w:rPr>
        <w:t> </w:t>
      </w:r>
      <w:r>
        <w:rPr/>
        <w:t>(1998)</w:t>
      </w:r>
      <w:r>
        <w:rPr>
          <w:spacing w:val="-7"/>
        </w:rPr>
        <w:t> </w:t>
      </w:r>
      <w:r>
        <w:rPr/>
        <w:t>para</w:t>
      </w:r>
      <w:r>
        <w:rPr>
          <w:spacing w:val="-6"/>
        </w:rPr>
        <w:t> </w:t>
      </w:r>
      <w:r>
        <w:rPr/>
        <w:t>que</w:t>
      </w:r>
      <w:r>
        <w:rPr>
          <w:spacing w:val="-6"/>
        </w:rPr>
        <w:t> </w:t>
      </w:r>
      <w:r>
        <w:rPr/>
        <w:t>practique</w:t>
      </w:r>
      <w:r>
        <w:rPr>
          <w:spacing w:val="-6"/>
        </w:rPr>
        <w:t> </w:t>
      </w:r>
      <w:r>
        <w:rPr/>
        <w:t>de</w:t>
      </w:r>
      <w:r>
        <w:rPr>
          <w:spacing w:val="-6"/>
        </w:rPr>
        <w:t> </w:t>
      </w:r>
      <w:r>
        <w:rPr/>
        <w:t>manera</w:t>
      </w:r>
      <w:r>
        <w:rPr>
          <w:spacing w:val="-6"/>
        </w:rPr>
        <w:t> </w:t>
      </w:r>
      <w:r>
        <w:rPr/>
        <w:t>cotidiana</w:t>
      </w:r>
      <w:r>
        <w:rPr>
          <w:spacing w:val="-6"/>
        </w:rPr>
        <w:t> </w:t>
      </w:r>
      <w:r>
        <w:rPr/>
        <w:t>la transparencia. Es decir, incluir la transparencia en la vida organizacional para hacerla endógena (Arellano, 2007). Para comprender mejor esta situación, se describirá en el capítulo siguiente todo lo referente a la</w:t>
      </w:r>
      <w:r>
        <w:rPr>
          <w:spacing w:val="-27"/>
        </w:rPr>
        <w:t> </w:t>
      </w:r>
      <w:r>
        <w:rPr/>
        <w:t>transparencia.</w:t>
      </w:r>
    </w:p>
    <w:p>
      <w:pPr>
        <w:spacing w:after="0" w:line="360" w:lineRule="auto"/>
        <w:jc w:val="both"/>
        <w:sectPr>
          <w:pgSz w:w="12240" w:h="15840"/>
          <w:pgMar w:header="0" w:footer="975" w:top="1360" w:bottom="1220" w:left="1600" w:right="1580"/>
        </w:sectPr>
      </w:pPr>
    </w:p>
    <w:p>
      <w:pPr>
        <w:pStyle w:val="Heading1"/>
        <w:spacing w:before="54"/>
        <w:ind w:left="189" w:firstLine="0"/>
      </w:pPr>
      <w:bookmarkStart w:name="_bookmark6" w:id="12"/>
      <w:bookmarkEnd w:id="12"/>
      <w:r>
        <w:rPr>
          <w:b w:val="0"/>
        </w:rPr>
      </w:r>
      <w:r>
        <w:rPr/>
        <w:t>2.  GOBIERNO ABIERTO, TRANSPARENCIA Y ACCESO A LA INFORMACIÓN</w:t>
      </w:r>
    </w:p>
    <w:p>
      <w:pPr>
        <w:pStyle w:val="BodyText"/>
        <w:rPr>
          <w:b/>
        </w:rPr>
      </w:pPr>
    </w:p>
    <w:p>
      <w:pPr>
        <w:pStyle w:val="BodyText"/>
        <w:rPr>
          <w:b/>
        </w:rPr>
      </w:pPr>
    </w:p>
    <w:p>
      <w:pPr>
        <w:pStyle w:val="Heading1"/>
        <w:spacing w:before="161"/>
        <w:ind w:left="110" w:firstLine="0"/>
      </w:pPr>
      <w:bookmarkStart w:name="_bookmark7" w:id="13"/>
      <w:bookmarkEnd w:id="13"/>
      <w:r>
        <w:rPr>
          <w:b w:val="0"/>
        </w:rPr>
      </w:r>
      <w:r>
        <w:rPr/>
        <w:t>2.1  Generalidades del Gobierno Abierto</w:t>
      </w:r>
    </w:p>
    <w:p>
      <w:pPr>
        <w:pStyle w:val="BodyText"/>
        <w:rPr>
          <w:b/>
        </w:rPr>
      </w:pPr>
    </w:p>
    <w:p>
      <w:pPr>
        <w:pStyle w:val="BodyText"/>
        <w:rPr>
          <w:b/>
        </w:rPr>
      </w:pPr>
    </w:p>
    <w:p>
      <w:pPr>
        <w:pStyle w:val="BodyText"/>
        <w:spacing w:line="360" w:lineRule="auto" w:before="161"/>
        <w:ind w:left="122" w:right="120"/>
        <w:jc w:val="both"/>
      </w:pPr>
      <w:r>
        <w:rPr/>
        <w:t>Hablar de un Gobierno Abierto requiere que todos sus elementos generen las condiciones</w:t>
      </w:r>
      <w:r>
        <w:rPr>
          <w:spacing w:val="-8"/>
        </w:rPr>
        <w:t> </w:t>
      </w:r>
      <w:r>
        <w:rPr/>
        <w:t>necesarias</w:t>
      </w:r>
      <w:r>
        <w:rPr>
          <w:spacing w:val="-8"/>
        </w:rPr>
        <w:t> </w:t>
      </w:r>
      <w:r>
        <w:rPr/>
        <w:t>para</w:t>
      </w:r>
      <w:r>
        <w:rPr>
          <w:spacing w:val="-8"/>
        </w:rPr>
        <w:t> </w:t>
      </w:r>
      <w:r>
        <w:rPr/>
        <w:t>lograrlo.</w:t>
      </w:r>
      <w:r>
        <w:rPr>
          <w:spacing w:val="-7"/>
        </w:rPr>
        <w:t> </w:t>
      </w:r>
      <w:r>
        <w:rPr/>
        <w:t>Sobre</w:t>
      </w:r>
      <w:r>
        <w:rPr>
          <w:spacing w:val="-8"/>
        </w:rPr>
        <w:t> </w:t>
      </w:r>
      <w:r>
        <w:rPr/>
        <w:t>los</w:t>
      </w:r>
      <w:r>
        <w:rPr>
          <w:spacing w:val="-7"/>
        </w:rPr>
        <w:t> </w:t>
      </w:r>
      <w:r>
        <w:rPr/>
        <w:t>elementos</w:t>
      </w:r>
      <w:r>
        <w:rPr>
          <w:spacing w:val="-8"/>
        </w:rPr>
        <w:t> </w:t>
      </w:r>
      <w:r>
        <w:rPr/>
        <w:t>del</w:t>
      </w:r>
      <w:r>
        <w:rPr>
          <w:spacing w:val="-8"/>
        </w:rPr>
        <w:t> </w:t>
      </w:r>
      <w:r>
        <w:rPr/>
        <w:t>Estado</w:t>
      </w:r>
      <w:r>
        <w:rPr>
          <w:spacing w:val="-7"/>
        </w:rPr>
        <w:t> </w:t>
      </w:r>
      <w:r>
        <w:rPr/>
        <w:t>referidos</w:t>
      </w:r>
      <w:r>
        <w:rPr>
          <w:spacing w:val="-8"/>
        </w:rPr>
        <w:t> </w:t>
      </w:r>
      <w:r>
        <w:rPr/>
        <w:t>a</w:t>
      </w:r>
      <w:r>
        <w:rPr>
          <w:spacing w:val="-9"/>
        </w:rPr>
        <w:t> </w:t>
      </w:r>
      <w:r>
        <w:rPr/>
        <w:t>la población y el territorio se tiene amplia información a disponibilidad de los ciudadanos, ya sea a través de Internet, enciclopedias, revistas, libros, relieves, mapas, entre otros que pueden estar al alcance de la mayoría de los ciudadanos y que son características del país que generalmente no cambian y en pocas ocasiones generan situaciones de conflicto, ya que son propiedad de la</w:t>
      </w:r>
      <w:r>
        <w:rPr>
          <w:spacing w:val="-23"/>
        </w:rPr>
        <w:t> </w:t>
      </w:r>
      <w:r>
        <w:rPr/>
        <w:t>nación.</w:t>
      </w:r>
    </w:p>
    <w:p>
      <w:pPr>
        <w:pStyle w:val="BodyText"/>
      </w:pPr>
    </w:p>
    <w:p>
      <w:pPr>
        <w:pStyle w:val="BodyText"/>
      </w:pPr>
    </w:p>
    <w:p>
      <w:pPr>
        <w:pStyle w:val="BodyText"/>
        <w:spacing w:line="360" w:lineRule="auto" w:before="185"/>
        <w:ind w:left="122" w:right="115"/>
        <w:jc w:val="both"/>
      </w:pPr>
      <w:r>
        <w:rPr/>
        <w:t>Sin</w:t>
      </w:r>
      <w:r>
        <w:rPr>
          <w:spacing w:val="-16"/>
        </w:rPr>
        <w:t> </w:t>
      </w:r>
      <w:r>
        <w:rPr/>
        <w:t>embargo,</w:t>
      </w:r>
      <w:r>
        <w:rPr>
          <w:spacing w:val="-16"/>
        </w:rPr>
        <w:t> </w:t>
      </w:r>
      <w:r>
        <w:rPr/>
        <w:t>el</w:t>
      </w:r>
      <w:r>
        <w:rPr>
          <w:spacing w:val="-19"/>
        </w:rPr>
        <w:t> </w:t>
      </w:r>
      <w:r>
        <w:rPr/>
        <w:t>tercer</w:t>
      </w:r>
      <w:r>
        <w:rPr>
          <w:spacing w:val="-22"/>
        </w:rPr>
        <w:t> </w:t>
      </w:r>
      <w:r>
        <w:rPr/>
        <w:t>elemento</w:t>
      </w:r>
      <w:r>
        <w:rPr>
          <w:spacing w:val="-18"/>
        </w:rPr>
        <w:t> </w:t>
      </w:r>
      <w:r>
        <w:rPr/>
        <w:t>del</w:t>
      </w:r>
      <w:r>
        <w:rPr>
          <w:spacing w:val="-19"/>
        </w:rPr>
        <w:t> </w:t>
      </w:r>
      <w:r>
        <w:rPr/>
        <w:t>estado</w:t>
      </w:r>
      <w:r>
        <w:rPr>
          <w:spacing w:val="-18"/>
        </w:rPr>
        <w:t> </w:t>
      </w:r>
      <w:r>
        <w:rPr/>
        <w:t>(el</w:t>
      </w:r>
      <w:r>
        <w:rPr>
          <w:spacing w:val="-17"/>
        </w:rPr>
        <w:t> </w:t>
      </w:r>
      <w:r>
        <w:rPr/>
        <w:t>gobierno)</w:t>
      </w:r>
      <w:r>
        <w:rPr>
          <w:spacing w:val="-19"/>
        </w:rPr>
        <w:t> </w:t>
      </w:r>
      <w:r>
        <w:rPr/>
        <w:t>genera</w:t>
      </w:r>
      <w:r>
        <w:rPr>
          <w:spacing w:val="-19"/>
        </w:rPr>
        <w:t> </w:t>
      </w:r>
      <w:r>
        <w:rPr/>
        <w:t>constantes</w:t>
      </w:r>
      <w:r>
        <w:rPr>
          <w:spacing w:val="-16"/>
        </w:rPr>
        <w:t> </w:t>
      </w:r>
      <w:r>
        <w:rPr/>
        <w:t>cambios de administración, polémicas entre grupos políticos y con la sociedad, así como constantes</w:t>
      </w:r>
      <w:r>
        <w:rPr>
          <w:spacing w:val="-15"/>
        </w:rPr>
        <w:t> </w:t>
      </w:r>
      <w:r>
        <w:rPr/>
        <w:t>críticas</w:t>
      </w:r>
      <w:r>
        <w:rPr>
          <w:spacing w:val="-15"/>
        </w:rPr>
        <w:t> </w:t>
      </w:r>
      <w:r>
        <w:rPr/>
        <w:t>por</w:t>
      </w:r>
      <w:r>
        <w:rPr>
          <w:spacing w:val="-16"/>
        </w:rPr>
        <w:t> </w:t>
      </w:r>
      <w:r>
        <w:rPr/>
        <w:t>la</w:t>
      </w:r>
      <w:r>
        <w:rPr>
          <w:spacing w:val="-14"/>
        </w:rPr>
        <w:t> </w:t>
      </w:r>
      <w:r>
        <w:rPr/>
        <w:t>corrupción</w:t>
      </w:r>
      <w:r>
        <w:rPr>
          <w:spacing w:val="-14"/>
        </w:rPr>
        <w:t> </w:t>
      </w:r>
      <w:r>
        <w:rPr/>
        <w:t>que</w:t>
      </w:r>
      <w:r>
        <w:rPr>
          <w:spacing w:val="-14"/>
        </w:rPr>
        <w:t> </w:t>
      </w:r>
      <w:r>
        <w:rPr/>
        <w:t>se</w:t>
      </w:r>
      <w:r>
        <w:rPr>
          <w:spacing w:val="-14"/>
        </w:rPr>
        <w:t> </w:t>
      </w:r>
      <w:r>
        <w:rPr/>
        <w:t>da</w:t>
      </w:r>
      <w:r>
        <w:rPr>
          <w:spacing w:val="-16"/>
        </w:rPr>
        <w:t> </w:t>
      </w:r>
      <w:r>
        <w:rPr/>
        <w:t>entre</w:t>
      </w:r>
      <w:r>
        <w:rPr>
          <w:spacing w:val="-14"/>
        </w:rPr>
        <w:t> </w:t>
      </w:r>
      <w:r>
        <w:rPr/>
        <w:t>los</w:t>
      </w:r>
      <w:r>
        <w:rPr>
          <w:spacing w:val="-14"/>
        </w:rPr>
        <w:t> </w:t>
      </w:r>
      <w:r>
        <w:rPr/>
        <w:t>gobernantes.</w:t>
      </w:r>
      <w:r>
        <w:rPr>
          <w:spacing w:val="-16"/>
        </w:rPr>
        <w:t> </w:t>
      </w:r>
      <w:r>
        <w:rPr/>
        <w:t>Esta</w:t>
      </w:r>
      <w:r>
        <w:rPr>
          <w:spacing w:val="-14"/>
        </w:rPr>
        <w:t> </w:t>
      </w:r>
      <w:r>
        <w:rPr/>
        <w:t>situación hace relevante conocer cómo se da esa situación, por tal motivo en esta investigación se tiene como objeto de estudio el gobierno abierto en México. A través del cual se realiza una analogía con la obra de Karl Popper “La sociedad abierta y sus enemigos” en la que se describe cómo el gobierno ha utilizado un escenario</w:t>
      </w:r>
      <w:r>
        <w:rPr>
          <w:spacing w:val="-9"/>
        </w:rPr>
        <w:t> </w:t>
      </w:r>
      <w:r>
        <w:rPr/>
        <w:t>discursivo</w:t>
      </w:r>
      <w:r>
        <w:rPr>
          <w:spacing w:val="-9"/>
        </w:rPr>
        <w:t> </w:t>
      </w:r>
      <w:r>
        <w:rPr/>
        <w:t>de</w:t>
      </w:r>
      <w:r>
        <w:rPr>
          <w:spacing w:val="-9"/>
        </w:rPr>
        <w:t> </w:t>
      </w:r>
      <w:r>
        <w:rPr/>
        <w:t>apertura,</w:t>
      </w:r>
      <w:r>
        <w:rPr>
          <w:spacing w:val="-10"/>
        </w:rPr>
        <w:t> </w:t>
      </w:r>
      <w:r>
        <w:rPr/>
        <w:t>la</w:t>
      </w:r>
      <w:r>
        <w:rPr>
          <w:spacing w:val="-12"/>
        </w:rPr>
        <w:t> </w:t>
      </w:r>
      <w:r>
        <w:rPr/>
        <w:t>cual</w:t>
      </w:r>
      <w:r>
        <w:rPr>
          <w:spacing w:val="-13"/>
        </w:rPr>
        <w:t> </w:t>
      </w:r>
      <w:r>
        <w:rPr/>
        <w:t>ha</w:t>
      </w:r>
      <w:r>
        <w:rPr>
          <w:spacing w:val="-12"/>
        </w:rPr>
        <w:t> </w:t>
      </w:r>
      <w:r>
        <w:rPr/>
        <w:t>sido</w:t>
      </w:r>
      <w:r>
        <w:rPr>
          <w:spacing w:val="-9"/>
        </w:rPr>
        <w:t> </w:t>
      </w:r>
      <w:r>
        <w:rPr/>
        <w:t>justificada</w:t>
      </w:r>
      <w:r>
        <w:rPr>
          <w:spacing w:val="-12"/>
        </w:rPr>
        <w:t> </w:t>
      </w:r>
      <w:r>
        <w:rPr/>
        <w:t>por</w:t>
      </w:r>
      <w:r>
        <w:rPr>
          <w:spacing w:val="-13"/>
        </w:rPr>
        <w:t> </w:t>
      </w:r>
      <w:r>
        <w:rPr/>
        <w:t>la</w:t>
      </w:r>
      <w:r>
        <w:rPr>
          <w:spacing w:val="-10"/>
        </w:rPr>
        <w:t> </w:t>
      </w:r>
      <w:r>
        <w:rPr/>
        <w:t>creación</w:t>
      </w:r>
      <w:r>
        <w:rPr>
          <w:spacing w:val="-5"/>
        </w:rPr>
        <w:t> </w:t>
      </w:r>
      <w:r>
        <w:rPr/>
        <w:t>de</w:t>
      </w:r>
      <w:r>
        <w:rPr>
          <w:spacing w:val="-12"/>
        </w:rPr>
        <w:t> </w:t>
      </w:r>
      <w:r>
        <w:rPr/>
        <w:t>leyes, instituciones y condiciones favorables para ser abierto, pero en la práctica sigue habiendo espacios para la corrupción, el secreto y la impunidad. De modo tal que uno de los enemigos del estado abierto podría ser los mismos gobernantes. A continuación, se describen las generalidades del Gobierno Abierto (GA), objeto de estudio de esta</w:t>
      </w:r>
      <w:r>
        <w:rPr>
          <w:spacing w:val="-9"/>
        </w:rPr>
        <w:t> </w:t>
      </w:r>
      <w:r>
        <w:rPr/>
        <w:t>investigación.</w:t>
      </w:r>
    </w:p>
    <w:p>
      <w:pPr>
        <w:pStyle w:val="BodyText"/>
      </w:pPr>
    </w:p>
    <w:p>
      <w:pPr>
        <w:pStyle w:val="BodyText"/>
        <w:spacing w:before="1"/>
        <w:rPr>
          <w:sz w:val="26"/>
        </w:rPr>
      </w:pPr>
    </w:p>
    <w:p>
      <w:pPr>
        <w:pStyle w:val="BodyText"/>
        <w:spacing w:line="360" w:lineRule="auto"/>
        <w:ind w:left="122" w:right="113"/>
        <w:jc w:val="both"/>
      </w:pPr>
      <w:r>
        <w:rPr/>
        <w:t>La idea de Gobierno Abierto, afirma Cobo (2012:107) “no es nueva, de hecho, es tan vieja como la propia democracia y subyace a la mayoría de las constituciones</w:t>
      </w:r>
      <w:r>
        <w:rPr>
          <w:spacing w:val="-43"/>
        </w:rPr>
        <w:t> </w:t>
      </w:r>
      <w:r>
        <w:rPr/>
        <w:t>y leyes fundamentales de los estados occidentales modernos”. Se remonta </w:t>
      </w:r>
      <w:r>
        <w:rPr>
          <w:spacing w:val="14"/>
        </w:rPr>
        <w:t> </w:t>
      </w:r>
      <w:r>
        <w:rPr/>
        <w:t>también</w:t>
      </w:r>
    </w:p>
    <w:p>
      <w:pPr>
        <w:spacing w:after="0" w:line="360" w:lineRule="auto"/>
        <w:jc w:val="both"/>
        <w:sectPr>
          <w:pgSz w:w="12240" w:h="15840"/>
          <w:pgMar w:header="0" w:footer="975" w:top="1360" w:bottom="1220" w:left="1580" w:right="1580"/>
        </w:sectPr>
      </w:pPr>
    </w:p>
    <w:p>
      <w:pPr>
        <w:pStyle w:val="BodyText"/>
        <w:spacing w:line="360" w:lineRule="auto" w:before="54"/>
        <w:ind w:left="102" w:right="123"/>
        <w:jc w:val="both"/>
      </w:pPr>
      <w:r>
        <w:rPr/>
        <w:t>a la democrática directa que sucedía en la antigua polis griega, en la que gobierno y</w:t>
      </w:r>
      <w:r>
        <w:rPr>
          <w:spacing w:val="-7"/>
        </w:rPr>
        <w:t> </w:t>
      </w:r>
      <w:r>
        <w:rPr/>
        <w:t>ciudadanos,</w:t>
      </w:r>
      <w:r>
        <w:rPr>
          <w:spacing w:val="-4"/>
        </w:rPr>
        <w:t> </w:t>
      </w:r>
      <w:r>
        <w:rPr/>
        <w:t>de</w:t>
      </w:r>
      <w:r>
        <w:rPr>
          <w:spacing w:val="-6"/>
        </w:rPr>
        <w:t> </w:t>
      </w:r>
      <w:r>
        <w:rPr/>
        <w:t>acuerdo</w:t>
      </w:r>
      <w:r>
        <w:rPr>
          <w:spacing w:val="-3"/>
        </w:rPr>
        <w:t> </w:t>
      </w:r>
      <w:r>
        <w:rPr/>
        <w:t>con</w:t>
      </w:r>
      <w:r>
        <w:rPr>
          <w:spacing w:val="-4"/>
        </w:rPr>
        <w:t> </w:t>
      </w:r>
      <w:r>
        <w:rPr/>
        <w:t>Dalh</w:t>
      </w:r>
      <w:r>
        <w:rPr>
          <w:spacing w:val="-4"/>
        </w:rPr>
        <w:t> </w:t>
      </w:r>
      <w:r>
        <w:rPr/>
        <w:t>(1989),</w:t>
      </w:r>
      <w:r>
        <w:rPr>
          <w:spacing w:val="-5"/>
        </w:rPr>
        <w:t> </w:t>
      </w:r>
      <w:r>
        <w:rPr/>
        <w:t>participaban</w:t>
      </w:r>
      <w:r>
        <w:rPr>
          <w:spacing w:val="-4"/>
        </w:rPr>
        <w:t> </w:t>
      </w:r>
      <w:r>
        <w:rPr/>
        <w:t>de</w:t>
      </w:r>
      <w:r>
        <w:rPr>
          <w:spacing w:val="-6"/>
        </w:rPr>
        <w:t> </w:t>
      </w:r>
      <w:r>
        <w:rPr/>
        <w:t>manera</w:t>
      </w:r>
      <w:r>
        <w:rPr>
          <w:spacing w:val="-7"/>
        </w:rPr>
        <w:t> </w:t>
      </w:r>
      <w:r>
        <w:rPr/>
        <w:t>conjunta</w:t>
      </w:r>
      <w:r>
        <w:rPr>
          <w:spacing w:val="-3"/>
        </w:rPr>
        <w:t> </w:t>
      </w:r>
      <w:r>
        <w:rPr/>
        <w:t>en</w:t>
      </w:r>
      <w:r>
        <w:rPr>
          <w:spacing w:val="-4"/>
        </w:rPr>
        <w:t> </w:t>
      </w:r>
      <w:r>
        <w:rPr/>
        <w:t>los asuntos del Estado. De igual forma se relaciona con la tradición china del mandato celestial que obligaba al rey a servir a su pueblo de manera responsable y ética (Villoria,</w:t>
      </w:r>
      <w:r>
        <w:rPr>
          <w:spacing w:val="-5"/>
        </w:rPr>
        <w:t> </w:t>
      </w:r>
      <w:r>
        <w:rPr/>
        <w:t>2014).</w:t>
      </w:r>
    </w:p>
    <w:p>
      <w:pPr>
        <w:pStyle w:val="BodyText"/>
      </w:pPr>
    </w:p>
    <w:p>
      <w:pPr>
        <w:pStyle w:val="BodyText"/>
        <w:spacing w:line="360" w:lineRule="auto" w:before="142"/>
        <w:ind w:left="102" w:right="115"/>
        <w:jc w:val="both"/>
      </w:pPr>
      <w:r>
        <w:rPr/>
        <w:t>Con la aparición del Estado Feudal y, después con el Estado Absolutista se fue perdiendo</w:t>
      </w:r>
      <w:r>
        <w:rPr>
          <w:spacing w:val="-18"/>
        </w:rPr>
        <w:t> </w:t>
      </w:r>
      <w:r>
        <w:rPr/>
        <w:t>dicha</w:t>
      </w:r>
      <w:r>
        <w:rPr>
          <w:spacing w:val="-18"/>
        </w:rPr>
        <w:t> </w:t>
      </w:r>
      <w:r>
        <w:rPr/>
        <w:t>obligación</w:t>
      </w:r>
      <w:r>
        <w:rPr>
          <w:spacing w:val="-16"/>
        </w:rPr>
        <w:t> </w:t>
      </w:r>
      <w:r>
        <w:rPr/>
        <w:t>moral</w:t>
      </w:r>
      <w:r>
        <w:rPr>
          <w:spacing w:val="-18"/>
        </w:rPr>
        <w:t> </w:t>
      </w:r>
      <w:r>
        <w:rPr/>
        <w:t>y</w:t>
      </w:r>
      <w:r>
        <w:rPr>
          <w:spacing w:val="-19"/>
        </w:rPr>
        <w:t> </w:t>
      </w:r>
      <w:r>
        <w:rPr/>
        <w:t>el</w:t>
      </w:r>
      <w:r>
        <w:rPr>
          <w:spacing w:val="-18"/>
        </w:rPr>
        <w:t> </w:t>
      </w:r>
      <w:r>
        <w:rPr/>
        <w:t>gobierno</w:t>
      </w:r>
      <w:r>
        <w:rPr>
          <w:spacing w:val="-17"/>
        </w:rPr>
        <w:t> </w:t>
      </w:r>
      <w:r>
        <w:rPr/>
        <w:t>se</w:t>
      </w:r>
      <w:r>
        <w:rPr>
          <w:spacing w:val="-17"/>
        </w:rPr>
        <w:t> </w:t>
      </w:r>
      <w:r>
        <w:rPr/>
        <w:t>volvió</w:t>
      </w:r>
      <w:r>
        <w:rPr>
          <w:spacing w:val="-17"/>
        </w:rPr>
        <w:t> </w:t>
      </w:r>
      <w:r>
        <w:rPr/>
        <w:t>una</w:t>
      </w:r>
      <w:r>
        <w:rPr>
          <w:spacing w:val="-17"/>
        </w:rPr>
        <w:t> </w:t>
      </w:r>
      <w:r>
        <w:rPr/>
        <w:t>institución</w:t>
      </w:r>
      <w:r>
        <w:rPr>
          <w:spacing w:val="-17"/>
        </w:rPr>
        <w:t> </w:t>
      </w:r>
      <w:r>
        <w:rPr/>
        <w:t>de</w:t>
      </w:r>
      <w:r>
        <w:rPr>
          <w:spacing w:val="-17"/>
        </w:rPr>
        <w:t> </w:t>
      </w:r>
      <w:r>
        <w:rPr/>
        <w:t>opacidad. Lo que trajo como consecuencia que en los siglos XVIII y XIX, la obligación moral de los gobernantes comenzara a materializarse a través de diversos escritos entre los</w:t>
      </w:r>
      <w:r>
        <w:rPr>
          <w:spacing w:val="-6"/>
        </w:rPr>
        <w:t> </w:t>
      </w:r>
      <w:r>
        <w:rPr/>
        <w:t>que</w:t>
      </w:r>
      <w:r>
        <w:rPr>
          <w:spacing w:val="-6"/>
        </w:rPr>
        <w:t> </w:t>
      </w:r>
      <w:r>
        <w:rPr/>
        <w:t>destacan,</w:t>
      </w:r>
      <w:r>
        <w:rPr>
          <w:spacing w:val="-9"/>
        </w:rPr>
        <w:t> </w:t>
      </w:r>
      <w:r>
        <w:rPr/>
        <w:t>de</w:t>
      </w:r>
      <w:r>
        <w:rPr>
          <w:spacing w:val="-6"/>
        </w:rPr>
        <w:t> </w:t>
      </w:r>
      <w:r>
        <w:rPr/>
        <w:t>acuerdo</w:t>
      </w:r>
      <w:r>
        <w:rPr>
          <w:spacing w:val="-6"/>
        </w:rPr>
        <w:t> </w:t>
      </w:r>
      <w:r>
        <w:rPr/>
        <w:t>con</w:t>
      </w:r>
      <w:r>
        <w:rPr>
          <w:spacing w:val="-6"/>
        </w:rPr>
        <w:t> </w:t>
      </w:r>
      <w:r>
        <w:rPr/>
        <w:t>(Guerrero,</w:t>
      </w:r>
      <w:r>
        <w:rPr>
          <w:spacing w:val="-8"/>
        </w:rPr>
        <w:t> </w:t>
      </w:r>
      <w:r>
        <w:rPr/>
        <w:t>2008):</w:t>
      </w:r>
      <w:r>
        <w:rPr>
          <w:spacing w:val="-7"/>
        </w:rPr>
        <w:t> </w:t>
      </w:r>
      <w:r>
        <w:rPr/>
        <w:t>la</w:t>
      </w:r>
      <w:r>
        <w:rPr>
          <w:spacing w:val="-6"/>
        </w:rPr>
        <w:t> </w:t>
      </w:r>
      <w:r>
        <w:rPr/>
        <w:t>primera</w:t>
      </w:r>
      <w:r>
        <w:rPr>
          <w:spacing w:val="-7"/>
        </w:rPr>
        <w:t> </w:t>
      </w:r>
      <w:r>
        <w:rPr/>
        <w:t>ley</w:t>
      </w:r>
      <w:r>
        <w:rPr>
          <w:spacing w:val="-9"/>
        </w:rPr>
        <w:t> </w:t>
      </w:r>
      <w:r>
        <w:rPr/>
        <w:t>de</w:t>
      </w:r>
      <w:r>
        <w:rPr>
          <w:spacing w:val="-6"/>
        </w:rPr>
        <w:t> </w:t>
      </w:r>
      <w:r>
        <w:rPr/>
        <w:t>transparencia en Suecia durante el año de 1766 bajo el nombre de Freedom of Press and the Right of Access to Public Records Act; el texto On Liberty de John Stuart Mill, publicado en Londres durante 1816, que establecía el derecho de los individuos a estar informados y expresarse libremente (Martínez y Heras, 2012) y la ley de transparencia colombiana publicada en 1888 (Guerrero,</w:t>
      </w:r>
      <w:r>
        <w:rPr>
          <w:spacing w:val="-31"/>
        </w:rPr>
        <w:t> </w:t>
      </w:r>
      <w:r>
        <w:rPr/>
        <w:t>2008).</w:t>
      </w:r>
    </w:p>
    <w:p>
      <w:pPr>
        <w:pStyle w:val="BodyText"/>
      </w:pPr>
    </w:p>
    <w:p>
      <w:pPr>
        <w:pStyle w:val="BodyText"/>
      </w:pPr>
    </w:p>
    <w:p>
      <w:pPr>
        <w:pStyle w:val="BodyText"/>
        <w:spacing w:line="360" w:lineRule="auto" w:before="185"/>
        <w:ind w:left="102" w:right="117"/>
        <w:jc w:val="both"/>
      </w:pPr>
      <w:r>
        <w:rPr/>
        <w:t>Un</w:t>
      </w:r>
      <w:r>
        <w:rPr>
          <w:spacing w:val="-6"/>
        </w:rPr>
        <w:t> </w:t>
      </w:r>
      <w:r>
        <w:rPr/>
        <w:t>siglo</w:t>
      </w:r>
      <w:r>
        <w:rPr>
          <w:spacing w:val="-6"/>
        </w:rPr>
        <w:t> </w:t>
      </w:r>
      <w:r>
        <w:rPr/>
        <w:t>después</w:t>
      </w:r>
      <w:r>
        <w:rPr>
          <w:spacing w:val="-6"/>
        </w:rPr>
        <w:t> </w:t>
      </w:r>
      <w:r>
        <w:rPr/>
        <w:t>se</w:t>
      </w:r>
      <w:r>
        <w:rPr>
          <w:spacing w:val="-6"/>
        </w:rPr>
        <w:t> </w:t>
      </w:r>
      <w:r>
        <w:rPr/>
        <w:t>inicia</w:t>
      </w:r>
      <w:r>
        <w:rPr>
          <w:spacing w:val="-6"/>
        </w:rPr>
        <w:t> </w:t>
      </w:r>
      <w:r>
        <w:rPr/>
        <w:t>un</w:t>
      </w:r>
      <w:r>
        <w:rPr>
          <w:spacing w:val="-8"/>
        </w:rPr>
        <w:t> </w:t>
      </w:r>
      <w:r>
        <w:rPr/>
        <w:t>proceso</w:t>
      </w:r>
      <w:r>
        <w:rPr>
          <w:spacing w:val="-8"/>
        </w:rPr>
        <w:t> </w:t>
      </w:r>
      <w:r>
        <w:rPr/>
        <w:t>de</w:t>
      </w:r>
      <w:r>
        <w:rPr>
          <w:spacing w:val="-8"/>
        </w:rPr>
        <w:t> </w:t>
      </w:r>
      <w:r>
        <w:rPr/>
        <w:t>publicaciones</w:t>
      </w:r>
      <w:r>
        <w:rPr>
          <w:spacing w:val="-9"/>
        </w:rPr>
        <w:t> </w:t>
      </w:r>
      <w:r>
        <w:rPr/>
        <w:t>de</w:t>
      </w:r>
      <w:r>
        <w:rPr>
          <w:spacing w:val="-6"/>
        </w:rPr>
        <w:t> </w:t>
      </w:r>
      <w:r>
        <w:rPr/>
        <w:t>leyes</w:t>
      </w:r>
      <w:r>
        <w:rPr>
          <w:spacing w:val="-7"/>
        </w:rPr>
        <w:t> </w:t>
      </w:r>
      <w:r>
        <w:rPr/>
        <w:t>de</w:t>
      </w:r>
      <w:r>
        <w:rPr>
          <w:spacing w:val="-6"/>
        </w:rPr>
        <w:t> </w:t>
      </w:r>
      <w:r>
        <w:rPr/>
        <w:t>transparencia</w:t>
      </w:r>
      <w:r>
        <w:rPr>
          <w:spacing w:val="-11"/>
        </w:rPr>
        <w:t> </w:t>
      </w:r>
      <w:r>
        <w:rPr/>
        <w:t>a nivel internacional con Finlandia en 1951, hasta Honduras, Kirguistán y Macedonia en 2006 (Guerrero G, 2008). Asimismo, se constituyeron la Declaración Universal de los Derechos Humanos en 1948, el Pacto Internacional de Derechos Civiles y Políticos en 1966; la Convención Americana sobre Derechos Humanos 1969; la Convención Sobre la Eliminación de Todas las Formas de Discriminación Contra</w:t>
      </w:r>
      <w:r>
        <w:rPr>
          <w:spacing w:val="-31"/>
        </w:rPr>
        <w:t> </w:t>
      </w:r>
      <w:r>
        <w:rPr/>
        <w:t>la Mujer (1979) para garantizar el Estado de derecho en los</w:t>
      </w:r>
      <w:r>
        <w:rPr>
          <w:spacing w:val="-21"/>
        </w:rPr>
        <w:t> </w:t>
      </w:r>
      <w:r>
        <w:rPr/>
        <w:t>países.</w:t>
      </w:r>
    </w:p>
    <w:p>
      <w:pPr>
        <w:spacing w:after="0" w:line="360" w:lineRule="auto"/>
        <w:jc w:val="both"/>
        <w:sectPr>
          <w:pgSz w:w="12240" w:h="15840"/>
          <w:pgMar w:header="0" w:footer="975" w:top="1360" w:bottom="1220" w:left="1600" w:right="1580"/>
        </w:sectPr>
      </w:pPr>
    </w:p>
    <w:p>
      <w:pPr>
        <w:pStyle w:val="Heading1"/>
        <w:numPr>
          <w:ilvl w:val="3"/>
          <w:numId w:val="16"/>
        </w:numPr>
        <w:tabs>
          <w:tab w:pos="1538" w:val="left" w:leader="none"/>
        </w:tabs>
        <w:spacing w:line="240" w:lineRule="auto" w:before="56" w:after="0"/>
        <w:ind w:left="1538" w:right="0" w:hanging="1428"/>
        <w:jc w:val="both"/>
      </w:pPr>
      <w:r>
        <w:rPr/>
        <w:t>Conceptualización del Gobierno</w:t>
      </w:r>
      <w:r>
        <w:rPr>
          <w:spacing w:val="-10"/>
        </w:rPr>
        <w:t> </w:t>
      </w:r>
      <w:r>
        <w:rPr/>
        <w:t>Abierto</w:t>
      </w:r>
    </w:p>
    <w:p>
      <w:pPr>
        <w:pStyle w:val="BodyText"/>
        <w:rPr>
          <w:b/>
        </w:rPr>
      </w:pPr>
    </w:p>
    <w:p>
      <w:pPr>
        <w:pStyle w:val="BodyText"/>
        <w:spacing w:before="9"/>
        <w:rPr>
          <w:b/>
          <w:sz w:val="23"/>
        </w:rPr>
      </w:pPr>
    </w:p>
    <w:p>
      <w:pPr>
        <w:pStyle w:val="BodyText"/>
        <w:spacing w:line="360" w:lineRule="auto"/>
        <w:ind w:left="122" w:right="116"/>
        <w:jc w:val="both"/>
      </w:pPr>
      <w:r>
        <w:rPr/>
        <w:t>Escribir sobre GA, afirma Peschard (2012:27), “es un reto mayúsculo, principalmente porque no existe una definición conceptual terminada y asumida como válida por un grupo amplio e influyente de participantes”. Es por ello que ha sido conceptualizado como acceso a la información, transparencia y rendición de cuentas, política pública, un nuevo modelo de gobernanza y como un medio para combatir la corrupción. En este sentido, cabe hacer mención como parte de la revisión de literatura se ha elaborado un cuadro resumen sobre las principales afinidades semánticas del término, las cuales han servido de base para proponer una definición del GA que considere sus elementos más representativos, tal como se muestra a continuación.</w:t>
      </w:r>
    </w:p>
    <w:p>
      <w:pPr>
        <w:pStyle w:val="BodyText"/>
        <w:rPr>
          <w:sz w:val="20"/>
        </w:rPr>
      </w:pPr>
    </w:p>
    <w:p>
      <w:pPr>
        <w:pStyle w:val="BodyText"/>
        <w:spacing w:before="1"/>
        <w:rPr>
          <w:sz w:val="17"/>
        </w:rPr>
      </w:pPr>
    </w:p>
    <w:tbl>
      <w:tblPr>
        <w:tblW w:w="0" w:type="auto"/>
        <w:jc w:val="left"/>
        <w:tblInd w:w="4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5"/>
        <w:gridCol w:w="709"/>
        <w:gridCol w:w="2835"/>
        <w:gridCol w:w="2979"/>
      </w:tblGrid>
      <w:tr>
        <w:trPr>
          <w:trHeight w:val="247" w:hRule="exact"/>
        </w:trPr>
        <w:tc>
          <w:tcPr>
            <w:tcW w:w="8078" w:type="dxa"/>
            <w:gridSpan w:val="4"/>
            <w:shd w:val="clear" w:color="auto" w:fill="92D050"/>
          </w:tcPr>
          <w:p>
            <w:pPr>
              <w:pStyle w:val="TableParagraph"/>
              <w:spacing w:line="201" w:lineRule="exact"/>
              <w:ind w:left="1125"/>
              <w:jc w:val="left"/>
              <w:rPr>
                <w:b/>
                <w:sz w:val="18"/>
              </w:rPr>
            </w:pPr>
            <w:r>
              <w:rPr>
                <w:b/>
                <w:sz w:val="18"/>
              </w:rPr>
              <w:t>Tabla 1.19.  Evolución y afinidades semánticas del Gobierno abierto</w:t>
            </w:r>
          </w:p>
        </w:tc>
      </w:tr>
      <w:tr>
        <w:trPr>
          <w:trHeight w:val="247" w:hRule="exact"/>
        </w:trPr>
        <w:tc>
          <w:tcPr>
            <w:tcW w:w="1555" w:type="dxa"/>
            <w:shd w:val="clear" w:color="auto" w:fill="92D050"/>
          </w:tcPr>
          <w:p>
            <w:pPr>
              <w:pStyle w:val="TableParagraph"/>
              <w:spacing w:line="201" w:lineRule="exact"/>
              <w:ind w:left="512" w:right="512"/>
              <w:rPr>
                <w:b/>
                <w:sz w:val="18"/>
              </w:rPr>
            </w:pPr>
            <w:r>
              <w:rPr>
                <w:b/>
                <w:sz w:val="18"/>
              </w:rPr>
              <w:t>Autor</w:t>
            </w:r>
          </w:p>
        </w:tc>
        <w:tc>
          <w:tcPr>
            <w:tcW w:w="709" w:type="dxa"/>
            <w:shd w:val="clear" w:color="auto" w:fill="92D050"/>
          </w:tcPr>
          <w:p>
            <w:pPr>
              <w:pStyle w:val="TableParagraph"/>
              <w:spacing w:line="201" w:lineRule="exact"/>
              <w:ind w:left="124" w:right="128"/>
              <w:rPr>
                <w:b/>
                <w:sz w:val="18"/>
              </w:rPr>
            </w:pPr>
            <w:r>
              <w:rPr>
                <w:b/>
                <w:sz w:val="18"/>
              </w:rPr>
              <w:t>Año</w:t>
            </w:r>
          </w:p>
        </w:tc>
        <w:tc>
          <w:tcPr>
            <w:tcW w:w="2835" w:type="dxa"/>
            <w:shd w:val="clear" w:color="auto" w:fill="92D050"/>
          </w:tcPr>
          <w:p>
            <w:pPr>
              <w:pStyle w:val="TableParagraph"/>
              <w:spacing w:line="201" w:lineRule="exact"/>
              <w:ind w:left="1182" w:right="1183"/>
              <w:rPr>
                <w:b/>
                <w:sz w:val="18"/>
              </w:rPr>
            </w:pPr>
            <w:r>
              <w:rPr>
                <w:b/>
                <w:sz w:val="18"/>
              </w:rPr>
              <w:t>Obra</w:t>
            </w:r>
          </w:p>
        </w:tc>
        <w:tc>
          <w:tcPr>
            <w:tcW w:w="2979" w:type="dxa"/>
            <w:shd w:val="clear" w:color="auto" w:fill="92D050"/>
          </w:tcPr>
          <w:p>
            <w:pPr>
              <w:pStyle w:val="TableParagraph"/>
              <w:spacing w:line="201" w:lineRule="exact"/>
              <w:ind w:left="883" w:right="104"/>
              <w:jc w:val="left"/>
              <w:rPr>
                <w:b/>
                <w:sz w:val="18"/>
              </w:rPr>
            </w:pPr>
            <w:r>
              <w:rPr>
                <w:b/>
                <w:sz w:val="18"/>
              </w:rPr>
              <w:t>Interpretación</w:t>
            </w:r>
          </w:p>
        </w:tc>
      </w:tr>
      <w:tr>
        <w:trPr>
          <w:trHeight w:val="725" w:hRule="exact"/>
        </w:trPr>
        <w:tc>
          <w:tcPr>
            <w:tcW w:w="1555" w:type="dxa"/>
          </w:tcPr>
          <w:p>
            <w:pPr>
              <w:pStyle w:val="TableParagraph"/>
              <w:tabs>
                <w:tab w:pos="1242" w:val="left" w:leader="none"/>
              </w:tabs>
              <w:spacing w:before="1"/>
              <w:ind w:left="103" w:right="12"/>
              <w:jc w:val="left"/>
              <w:rPr>
                <w:sz w:val="18"/>
              </w:rPr>
            </w:pPr>
            <w:r>
              <w:rPr>
                <w:sz w:val="18"/>
              </w:rPr>
              <w:t>Ley</w:t>
              <w:tab/>
              <w:t>de</w:t>
            </w:r>
          </w:p>
          <w:p>
            <w:pPr>
              <w:pStyle w:val="TableParagraph"/>
              <w:spacing w:line="276" w:lineRule="auto" w:before="30"/>
              <w:ind w:left="103" w:right="81"/>
              <w:jc w:val="left"/>
              <w:rPr>
                <w:sz w:val="18"/>
              </w:rPr>
            </w:pPr>
            <w:r>
              <w:rPr>
                <w:sz w:val="18"/>
              </w:rPr>
              <w:t>transparencia de Suecia.</w:t>
            </w:r>
          </w:p>
        </w:tc>
        <w:tc>
          <w:tcPr>
            <w:tcW w:w="709" w:type="dxa"/>
          </w:tcPr>
          <w:p>
            <w:pPr>
              <w:pStyle w:val="TableParagraph"/>
              <w:spacing w:before="1"/>
              <w:ind w:left="129" w:right="128"/>
              <w:rPr>
                <w:sz w:val="18"/>
              </w:rPr>
            </w:pPr>
            <w:r>
              <w:rPr>
                <w:sz w:val="18"/>
              </w:rPr>
              <w:t>1766</w:t>
            </w:r>
          </w:p>
        </w:tc>
        <w:tc>
          <w:tcPr>
            <w:tcW w:w="2835" w:type="dxa"/>
          </w:tcPr>
          <w:p>
            <w:pPr>
              <w:pStyle w:val="TableParagraph"/>
              <w:spacing w:line="276" w:lineRule="auto" w:before="1"/>
              <w:ind w:left="103" w:right="101"/>
              <w:jc w:val="left"/>
              <w:rPr>
                <w:sz w:val="18"/>
              </w:rPr>
            </w:pPr>
            <w:r>
              <w:rPr>
                <w:sz w:val="18"/>
              </w:rPr>
              <w:t>Freedom of Press and the Right of Access to Public Records Act.</w:t>
            </w:r>
          </w:p>
        </w:tc>
        <w:tc>
          <w:tcPr>
            <w:tcW w:w="2979" w:type="dxa"/>
          </w:tcPr>
          <w:p>
            <w:pPr>
              <w:pStyle w:val="TableParagraph"/>
              <w:spacing w:line="276" w:lineRule="auto" w:before="1"/>
              <w:ind w:left="103" w:right="104"/>
              <w:jc w:val="left"/>
              <w:rPr>
                <w:sz w:val="18"/>
              </w:rPr>
            </w:pPr>
            <w:r>
              <w:rPr>
                <w:sz w:val="18"/>
              </w:rPr>
              <w:t>Derecho de acceso a las actas públicas.</w:t>
            </w:r>
          </w:p>
        </w:tc>
      </w:tr>
      <w:tr>
        <w:trPr>
          <w:trHeight w:val="247" w:hRule="exact"/>
        </w:trPr>
        <w:tc>
          <w:tcPr>
            <w:tcW w:w="1555" w:type="dxa"/>
          </w:tcPr>
          <w:p>
            <w:pPr>
              <w:pStyle w:val="TableParagraph"/>
              <w:spacing w:line="206" w:lineRule="exact"/>
              <w:ind w:left="103" w:right="12"/>
              <w:jc w:val="left"/>
              <w:rPr>
                <w:sz w:val="18"/>
              </w:rPr>
            </w:pPr>
            <w:r>
              <w:rPr>
                <w:sz w:val="18"/>
              </w:rPr>
              <w:t>John Stuart Mill</w:t>
            </w:r>
          </w:p>
        </w:tc>
        <w:tc>
          <w:tcPr>
            <w:tcW w:w="709" w:type="dxa"/>
          </w:tcPr>
          <w:p>
            <w:pPr>
              <w:pStyle w:val="TableParagraph"/>
              <w:spacing w:line="206" w:lineRule="exact"/>
              <w:ind w:left="129" w:right="128"/>
              <w:rPr>
                <w:sz w:val="18"/>
              </w:rPr>
            </w:pPr>
            <w:r>
              <w:rPr>
                <w:sz w:val="18"/>
              </w:rPr>
              <w:t>1816</w:t>
            </w:r>
          </w:p>
        </w:tc>
        <w:tc>
          <w:tcPr>
            <w:tcW w:w="2835" w:type="dxa"/>
          </w:tcPr>
          <w:p>
            <w:pPr>
              <w:pStyle w:val="TableParagraph"/>
              <w:spacing w:line="206" w:lineRule="exact"/>
              <w:ind w:left="103" w:right="101"/>
              <w:jc w:val="left"/>
              <w:rPr>
                <w:sz w:val="18"/>
              </w:rPr>
            </w:pPr>
            <w:r>
              <w:rPr>
                <w:sz w:val="18"/>
              </w:rPr>
              <w:t>On liberty.</w:t>
            </w:r>
          </w:p>
        </w:tc>
        <w:tc>
          <w:tcPr>
            <w:tcW w:w="2979" w:type="dxa"/>
          </w:tcPr>
          <w:p>
            <w:pPr>
              <w:pStyle w:val="TableParagraph"/>
              <w:spacing w:line="206" w:lineRule="exact"/>
              <w:ind w:left="103" w:right="104"/>
              <w:jc w:val="left"/>
              <w:rPr>
                <w:sz w:val="18"/>
              </w:rPr>
            </w:pPr>
            <w:r>
              <w:rPr>
                <w:sz w:val="18"/>
              </w:rPr>
              <w:t>Derecho a la información.</w:t>
            </w:r>
          </w:p>
        </w:tc>
      </w:tr>
      <w:tr>
        <w:trPr>
          <w:trHeight w:val="488" w:hRule="exact"/>
        </w:trPr>
        <w:tc>
          <w:tcPr>
            <w:tcW w:w="1555" w:type="dxa"/>
          </w:tcPr>
          <w:p>
            <w:pPr>
              <w:pStyle w:val="TableParagraph"/>
              <w:tabs>
                <w:tab w:pos="1241" w:val="left" w:leader="none"/>
              </w:tabs>
              <w:spacing w:line="276" w:lineRule="auto" w:before="1"/>
              <w:ind w:left="103" w:right="101"/>
              <w:jc w:val="left"/>
              <w:rPr>
                <w:sz w:val="18"/>
              </w:rPr>
            </w:pPr>
            <w:r>
              <w:rPr>
                <w:sz w:val="18"/>
              </w:rPr>
              <w:t>Gobierno</w:t>
              <w:tab/>
              <w:t>de Colombia.</w:t>
            </w:r>
          </w:p>
        </w:tc>
        <w:tc>
          <w:tcPr>
            <w:tcW w:w="709" w:type="dxa"/>
          </w:tcPr>
          <w:p>
            <w:pPr>
              <w:pStyle w:val="TableParagraph"/>
              <w:spacing w:before="1"/>
              <w:ind w:left="129" w:right="128"/>
              <w:rPr>
                <w:sz w:val="18"/>
              </w:rPr>
            </w:pPr>
            <w:r>
              <w:rPr>
                <w:sz w:val="18"/>
              </w:rPr>
              <w:t>1888</w:t>
            </w:r>
          </w:p>
        </w:tc>
        <w:tc>
          <w:tcPr>
            <w:tcW w:w="2835" w:type="dxa"/>
          </w:tcPr>
          <w:p>
            <w:pPr>
              <w:pStyle w:val="TableParagraph"/>
              <w:spacing w:before="1"/>
              <w:ind w:left="103" w:right="101"/>
              <w:jc w:val="left"/>
              <w:rPr>
                <w:sz w:val="18"/>
              </w:rPr>
            </w:pPr>
            <w:r>
              <w:rPr>
                <w:sz w:val="18"/>
              </w:rPr>
              <w:t>Ley de transparencia.</w:t>
            </w:r>
          </w:p>
        </w:tc>
        <w:tc>
          <w:tcPr>
            <w:tcW w:w="2979" w:type="dxa"/>
          </w:tcPr>
          <w:p>
            <w:pPr>
              <w:pStyle w:val="TableParagraph"/>
              <w:spacing w:before="1"/>
              <w:ind w:left="103" w:right="104"/>
              <w:jc w:val="left"/>
              <w:rPr>
                <w:sz w:val="18"/>
              </w:rPr>
            </w:pPr>
            <w:r>
              <w:rPr>
                <w:sz w:val="18"/>
              </w:rPr>
              <w:t>Publicación de asuntos públicos.</w:t>
            </w:r>
          </w:p>
        </w:tc>
      </w:tr>
      <w:tr>
        <w:trPr>
          <w:trHeight w:val="962" w:hRule="exact"/>
        </w:trPr>
        <w:tc>
          <w:tcPr>
            <w:tcW w:w="1555" w:type="dxa"/>
          </w:tcPr>
          <w:p>
            <w:pPr>
              <w:pStyle w:val="TableParagraph"/>
              <w:spacing w:line="206" w:lineRule="exact"/>
              <w:ind w:left="103" w:right="12"/>
              <w:jc w:val="left"/>
              <w:rPr>
                <w:sz w:val="18"/>
              </w:rPr>
            </w:pPr>
            <w:r>
              <w:rPr>
                <w:sz w:val="18"/>
              </w:rPr>
              <w:t>Karl Popper</w:t>
            </w:r>
          </w:p>
        </w:tc>
        <w:tc>
          <w:tcPr>
            <w:tcW w:w="709" w:type="dxa"/>
          </w:tcPr>
          <w:p>
            <w:pPr>
              <w:pStyle w:val="TableParagraph"/>
              <w:spacing w:line="206" w:lineRule="exact"/>
              <w:ind w:left="129" w:right="128"/>
              <w:rPr>
                <w:sz w:val="18"/>
              </w:rPr>
            </w:pPr>
            <w:r>
              <w:rPr>
                <w:sz w:val="18"/>
              </w:rPr>
              <w:t>1945</w:t>
            </w:r>
          </w:p>
        </w:tc>
        <w:tc>
          <w:tcPr>
            <w:tcW w:w="2835" w:type="dxa"/>
          </w:tcPr>
          <w:p>
            <w:pPr>
              <w:pStyle w:val="TableParagraph"/>
              <w:spacing w:line="276" w:lineRule="auto"/>
              <w:ind w:left="103" w:right="101"/>
              <w:jc w:val="left"/>
              <w:rPr>
                <w:sz w:val="18"/>
              </w:rPr>
            </w:pPr>
            <w:r>
              <w:rPr>
                <w:sz w:val="18"/>
              </w:rPr>
              <w:t>La sociedad abierta y sus enemigos.</w:t>
            </w:r>
          </w:p>
        </w:tc>
        <w:tc>
          <w:tcPr>
            <w:tcW w:w="2979" w:type="dxa"/>
          </w:tcPr>
          <w:p>
            <w:pPr>
              <w:pStyle w:val="TableParagraph"/>
              <w:spacing w:line="276" w:lineRule="auto"/>
              <w:ind w:left="103" w:right="102"/>
              <w:jc w:val="both"/>
              <w:rPr>
                <w:sz w:val="18"/>
              </w:rPr>
            </w:pPr>
            <w:r>
              <w:rPr>
                <w:sz w:val="18"/>
              </w:rPr>
              <w:t>Sociedad abierta en la que los individuos tienen libertad y capacidad para reflexionar tomar decisiones.</w:t>
            </w:r>
          </w:p>
        </w:tc>
      </w:tr>
      <w:tr>
        <w:trPr>
          <w:trHeight w:val="962" w:hRule="exact"/>
        </w:trPr>
        <w:tc>
          <w:tcPr>
            <w:tcW w:w="1555" w:type="dxa"/>
          </w:tcPr>
          <w:p>
            <w:pPr>
              <w:pStyle w:val="TableParagraph"/>
              <w:spacing w:line="206" w:lineRule="exact"/>
              <w:ind w:left="103" w:right="12"/>
              <w:jc w:val="left"/>
              <w:rPr>
                <w:sz w:val="18"/>
              </w:rPr>
            </w:pPr>
            <w:r>
              <w:rPr>
                <w:sz w:val="18"/>
              </w:rPr>
              <w:t>P. Sabatier</w:t>
            </w:r>
          </w:p>
        </w:tc>
        <w:tc>
          <w:tcPr>
            <w:tcW w:w="709" w:type="dxa"/>
          </w:tcPr>
          <w:p>
            <w:pPr>
              <w:pStyle w:val="TableParagraph"/>
              <w:spacing w:line="206" w:lineRule="exact"/>
              <w:ind w:left="129" w:right="128"/>
              <w:rPr>
                <w:sz w:val="18"/>
              </w:rPr>
            </w:pPr>
            <w:r>
              <w:rPr>
                <w:sz w:val="18"/>
              </w:rPr>
              <w:t>1998</w:t>
            </w:r>
          </w:p>
        </w:tc>
        <w:tc>
          <w:tcPr>
            <w:tcW w:w="2835" w:type="dxa"/>
          </w:tcPr>
          <w:p>
            <w:pPr>
              <w:pStyle w:val="TableParagraph"/>
              <w:spacing w:line="276" w:lineRule="auto"/>
              <w:ind w:left="103" w:right="100"/>
              <w:jc w:val="both"/>
              <w:rPr>
                <w:sz w:val="18"/>
              </w:rPr>
            </w:pPr>
            <w:r>
              <w:rPr>
                <w:sz w:val="18"/>
              </w:rPr>
              <w:t>“The Advocacy Coalition Framework: Revisions and Relevance for Europe”. </w:t>
            </w:r>
            <w:r>
              <w:rPr>
                <w:i/>
                <w:sz w:val="18"/>
              </w:rPr>
              <w:t>Journal </w:t>
            </w:r>
            <w:r>
              <w:rPr>
                <w:i/>
                <w:sz w:val="18"/>
              </w:rPr>
              <w:t>of European Public Policy </w:t>
            </w:r>
            <w:r>
              <w:rPr>
                <w:sz w:val="18"/>
              </w:rPr>
              <w:t>5</w:t>
            </w:r>
          </w:p>
        </w:tc>
        <w:tc>
          <w:tcPr>
            <w:tcW w:w="2979" w:type="dxa"/>
          </w:tcPr>
          <w:p>
            <w:pPr>
              <w:pStyle w:val="TableParagraph"/>
              <w:tabs>
                <w:tab w:pos="1294" w:val="left" w:leader="none"/>
                <w:tab w:pos="1743" w:val="left" w:leader="none"/>
                <w:tab w:pos="2294" w:val="left" w:leader="none"/>
              </w:tabs>
              <w:spacing w:line="276" w:lineRule="auto"/>
              <w:ind w:left="103" w:right="104"/>
              <w:jc w:val="left"/>
              <w:rPr>
                <w:sz w:val="18"/>
              </w:rPr>
            </w:pPr>
            <w:r>
              <w:rPr>
                <w:sz w:val="18"/>
              </w:rPr>
              <w:t>Subsistema</w:t>
              <w:tab/>
              <w:t>de</w:t>
              <w:tab/>
              <w:t>una</w:t>
              <w:tab/>
            </w:r>
            <w:r>
              <w:rPr>
                <w:spacing w:val="-1"/>
                <w:sz w:val="18"/>
              </w:rPr>
              <w:t>política </w:t>
            </w:r>
            <w:r>
              <w:rPr>
                <w:sz w:val="18"/>
              </w:rPr>
              <w:t>pública.</w:t>
            </w:r>
          </w:p>
        </w:tc>
      </w:tr>
      <w:tr>
        <w:trPr>
          <w:trHeight w:val="1200" w:hRule="exact"/>
        </w:trPr>
        <w:tc>
          <w:tcPr>
            <w:tcW w:w="1555" w:type="dxa"/>
          </w:tcPr>
          <w:p>
            <w:pPr>
              <w:pStyle w:val="TableParagraph"/>
              <w:spacing w:line="206" w:lineRule="exact"/>
              <w:ind w:left="103" w:right="12"/>
              <w:jc w:val="left"/>
              <w:rPr>
                <w:sz w:val="18"/>
              </w:rPr>
            </w:pPr>
            <w:r>
              <w:rPr>
                <w:sz w:val="18"/>
              </w:rPr>
              <w:t>Barac Obama</w:t>
            </w:r>
          </w:p>
        </w:tc>
        <w:tc>
          <w:tcPr>
            <w:tcW w:w="709" w:type="dxa"/>
          </w:tcPr>
          <w:p>
            <w:pPr>
              <w:pStyle w:val="TableParagraph"/>
              <w:spacing w:line="206" w:lineRule="exact"/>
              <w:ind w:left="129" w:right="128"/>
              <w:rPr>
                <w:sz w:val="18"/>
              </w:rPr>
            </w:pPr>
            <w:r>
              <w:rPr>
                <w:sz w:val="18"/>
              </w:rPr>
              <w:t>2009</w:t>
            </w:r>
          </w:p>
        </w:tc>
        <w:tc>
          <w:tcPr>
            <w:tcW w:w="2835" w:type="dxa"/>
          </w:tcPr>
          <w:p>
            <w:pPr>
              <w:pStyle w:val="TableParagraph"/>
              <w:tabs>
                <w:tab w:pos="1693" w:val="left" w:leader="none"/>
              </w:tabs>
              <w:spacing w:line="276" w:lineRule="auto"/>
              <w:ind w:left="103" w:right="100"/>
              <w:jc w:val="both"/>
              <w:rPr>
                <w:sz w:val="18"/>
              </w:rPr>
            </w:pPr>
            <w:r>
              <w:rPr>
                <w:sz w:val="18"/>
              </w:rPr>
              <w:t>Memorandum for the Heads of Executive</w:t>
              <w:tab/>
            </w:r>
            <w:r>
              <w:rPr>
                <w:spacing w:val="-1"/>
                <w:sz w:val="18"/>
              </w:rPr>
              <w:t>Departments </w:t>
            </w:r>
            <w:r>
              <w:rPr>
                <w:sz w:val="18"/>
              </w:rPr>
              <w:t>andAgencies: Freedom of Information Act. US White House.</w:t>
            </w:r>
          </w:p>
        </w:tc>
        <w:tc>
          <w:tcPr>
            <w:tcW w:w="2979" w:type="dxa"/>
          </w:tcPr>
          <w:p>
            <w:pPr>
              <w:pStyle w:val="TableParagraph"/>
              <w:spacing w:line="276" w:lineRule="auto"/>
              <w:ind w:left="103" w:right="104"/>
              <w:jc w:val="both"/>
              <w:rPr>
                <w:sz w:val="18"/>
              </w:rPr>
            </w:pPr>
            <w:r>
              <w:rPr>
                <w:sz w:val="18"/>
              </w:rPr>
              <w:t>Nuevo modelo de gobernanza que promueve la participación, la transparencia y rendición de cuentas.</w:t>
            </w:r>
          </w:p>
        </w:tc>
      </w:tr>
      <w:tr>
        <w:trPr>
          <w:trHeight w:val="485" w:hRule="exact"/>
        </w:trPr>
        <w:tc>
          <w:tcPr>
            <w:tcW w:w="1555" w:type="dxa"/>
          </w:tcPr>
          <w:p>
            <w:pPr>
              <w:pStyle w:val="TableParagraph"/>
              <w:spacing w:line="276" w:lineRule="auto"/>
              <w:ind w:left="103" w:right="672"/>
              <w:jc w:val="left"/>
              <w:rPr>
                <w:sz w:val="18"/>
              </w:rPr>
            </w:pPr>
            <w:r>
              <w:rPr>
                <w:sz w:val="18"/>
              </w:rPr>
              <w:t>Frederick Schauer</w:t>
            </w:r>
          </w:p>
        </w:tc>
        <w:tc>
          <w:tcPr>
            <w:tcW w:w="709" w:type="dxa"/>
          </w:tcPr>
          <w:p>
            <w:pPr>
              <w:pStyle w:val="TableParagraph"/>
              <w:spacing w:line="206" w:lineRule="exact"/>
              <w:ind w:left="129" w:right="128"/>
              <w:rPr>
                <w:sz w:val="18"/>
              </w:rPr>
            </w:pPr>
            <w:r>
              <w:rPr>
                <w:sz w:val="18"/>
              </w:rPr>
              <w:t>2011</w:t>
            </w:r>
          </w:p>
        </w:tc>
        <w:tc>
          <w:tcPr>
            <w:tcW w:w="2835" w:type="dxa"/>
          </w:tcPr>
          <w:p>
            <w:pPr>
              <w:pStyle w:val="TableParagraph"/>
              <w:tabs>
                <w:tab w:pos="1688" w:val="left" w:leader="none"/>
                <w:tab w:pos="2251" w:val="left" w:leader="none"/>
              </w:tabs>
              <w:spacing w:line="276" w:lineRule="auto"/>
              <w:ind w:left="103" w:right="102"/>
              <w:jc w:val="left"/>
              <w:rPr>
                <w:sz w:val="18"/>
              </w:rPr>
            </w:pPr>
            <w:r>
              <w:rPr>
                <w:sz w:val="18"/>
              </w:rPr>
              <w:t>“Transparency</w:t>
              <w:tab/>
              <w:t>in</w:t>
              <w:tab/>
              <w:t>Three</w:t>
            </w:r>
            <w:r>
              <w:rPr>
                <w:w w:val="99"/>
                <w:sz w:val="18"/>
              </w:rPr>
              <w:t> </w:t>
            </w:r>
            <w:r>
              <w:rPr>
                <w:sz w:val="18"/>
              </w:rPr>
              <w:t>Dimensions”</w:t>
            </w:r>
          </w:p>
        </w:tc>
        <w:tc>
          <w:tcPr>
            <w:tcW w:w="2979" w:type="dxa"/>
          </w:tcPr>
          <w:p>
            <w:pPr>
              <w:pStyle w:val="TableParagraph"/>
              <w:spacing w:line="276" w:lineRule="auto"/>
              <w:ind w:left="103" w:right="104"/>
              <w:jc w:val="left"/>
              <w:rPr>
                <w:sz w:val="18"/>
              </w:rPr>
            </w:pPr>
            <w:r>
              <w:rPr>
                <w:sz w:val="18"/>
              </w:rPr>
              <w:t>Es medio para combatir el abuso de poder y la corrupción.</w:t>
            </w:r>
          </w:p>
        </w:tc>
      </w:tr>
      <w:tr>
        <w:trPr>
          <w:trHeight w:val="962" w:hRule="exact"/>
        </w:trPr>
        <w:tc>
          <w:tcPr>
            <w:tcW w:w="1555" w:type="dxa"/>
          </w:tcPr>
          <w:p>
            <w:pPr>
              <w:pStyle w:val="TableParagraph"/>
              <w:spacing w:line="278" w:lineRule="auto"/>
              <w:ind w:left="103" w:right="12"/>
              <w:jc w:val="left"/>
              <w:rPr>
                <w:sz w:val="18"/>
              </w:rPr>
            </w:pPr>
            <w:r>
              <w:rPr>
                <w:sz w:val="18"/>
              </w:rPr>
              <w:t>G. Lee y Y.H. Kwak</w:t>
            </w:r>
          </w:p>
        </w:tc>
        <w:tc>
          <w:tcPr>
            <w:tcW w:w="709" w:type="dxa"/>
          </w:tcPr>
          <w:p>
            <w:pPr>
              <w:pStyle w:val="TableParagraph"/>
              <w:spacing w:line="206" w:lineRule="exact"/>
              <w:ind w:left="129" w:right="128"/>
              <w:rPr>
                <w:sz w:val="18"/>
              </w:rPr>
            </w:pPr>
            <w:r>
              <w:rPr>
                <w:sz w:val="18"/>
              </w:rPr>
              <w:t>2011</w:t>
            </w:r>
          </w:p>
        </w:tc>
        <w:tc>
          <w:tcPr>
            <w:tcW w:w="2835" w:type="dxa"/>
          </w:tcPr>
          <w:p>
            <w:pPr>
              <w:pStyle w:val="TableParagraph"/>
              <w:spacing w:line="278" w:lineRule="auto"/>
              <w:ind w:left="103" w:right="99"/>
              <w:jc w:val="both"/>
              <w:rPr>
                <w:sz w:val="18"/>
              </w:rPr>
            </w:pPr>
            <w:r>
              <w:rPr>
                <w:i/>
                <w:sz w:val="18"/>
              </w:rPr>
              <w:t>An Open Government </w:t>
            </w:r>
            <w:r>
              <w:rPr>
                <w:i/>
                <w:sz w:val="18"/>
              </w:rPr>
              <w:t>implementation model: moving</w:t>
            </w:r>
            <w:r>
              <w:rPr>
                <w:i/>
                <w:spacing w:val="-37"/>
                <w:sz w:val="18"/>
              </w:rPr>
              <w:t> </w:t>
            </w:r>
            <w:r>
              <w:rPr>
                <w:i/>
                <w:sz w:val="18"/>
              </w:rPr>
              <w:t>to increased public engagement</w:t>
            </w:r>
            <w:r>
              <w:rPr>
                <w:sz w:val="18"/>
              </w:rPr>
              <w:t>. Washington</w:t>
            </w:r>
          </w:p>
        </w:tc>
        <w:tc>
          <w:tcPr>
            <w:tcW w:w="2979" w:type="dxa"/>
          </w:tcPr>
          <w:p>
            <w:pPr>
              <w:pStyle w:val="TableParagraph"/>
              <w:spacing w:line="278" w:lineRule="auto"/>
              <w:ind w:left="103" w:right="104"/>
              <w:jc w:val="left"/>
              <w:rPr>
                <w:sz w:val="18"/>
              </w:rPr>
            </w:pPr>
            <w:r>
              <w:rPr>
                <w:sz w:val="18"/>
              </w:rPr>
              <w:t>Es un mecanismo para mejorar la participación ciudadana.</w:t>
            </w:r>
          </w:p>
        </w:tc>
      </w:tr>
    </w:tbl>
    <w:p>
      <w:pPr>
        <w:spacing w:after="0" w:line="278" w:lineRule="auto"/>
        <w:jc w:val="left"/>
        <w:rPr>
          <w:sz w:val="18"/>
        </w:rPr>
        <w:sectPr>
          <w:pgSz w:w="12240" w:h="15840"/>
          <w:pgMar w:header="0" w:footer="975" w:top="1360" w:bottom="1220" w:left="1580" w:right="1580"/>
        </w:sectPr>
      </w:pPr>
    </w:p>
    <w:tbl>
      <w:tblPr>
        <w:tblW w:w="0" w:type="auto"/>
        <w:jc w:val="left"/>
        <w:tblInd w:w="4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5"/>
        <w:gridCol w:w="709"/>
        <w:gridCol w:w="2835"/>
        <w:gridCol w:w="2979"/>
      </w:tblGrid>
      <w:tr>
        <w:trPr>
          <w:trHeight w:val="248" w:hRule="exact"/>
        </w:trPr>
        <w:tc>
          <w:tcPr>
            <w:tcW w:w="8078" w:type="dxa"/>
            <w:gridSpan w:val="4"/>
            <w:shd w:val="clear" w:color="auto" w:fill="92D050"/>
          </w:tcPr>
          <w:p>
            <w:pPr>
              <w:pStyle w:val="TableParagraph"/>
              <w:spacing w:line="203" w:lineRule="exact"/>
              <w:ind w:left="475"/>
              <w:jc w:val="left"/>
              <w:rPr>
                <w:b/>
                <w:sz w:val="18"/>
              </w:rPr>
            </w:pPr>
            <w:r>
              <w:rPr>
                <w:b/>
                <w:sz w:val="18"/>
              </w:rPr>
              <w:t>Tabla 1.19.  Evolución y afinidades semánticas del Gobierno abierto (Finaliza tabla)</w:t>
            </w:r>
          </w:p>
        </w:tc>
      </w:tr>
      <w:tr>
        <w:trPr>
          <w:trHeight w:val="248" w:hRule="exact"/>
        </w:trPr>
        <w:tc>
          <w:tcPr>
            <w:tcW w:w="1555" w:type="dxa"/>
            <w:shd w:val="clear" w:color="auto" w:fill="92D050"/>
          </w:tcPr>
          <w:p>
            <w:pPr>
              <w:pStyle w:val="TableParagraph"/>
              <w:spacing w:line="202" w:lineRule="exact"/>
              <w:ind w:left="512" w:right="512"/>
              <w:rPr>
                <w:b/>
                <w:sz w:val="18"/>
              </w:rPr>
            </w:pPr>
            <w:r>
              <w:rPr>
                <w:b/>
                <w:sz w:val="18"/>
              </w:rPr>
              <w:t>Autor</w:t>
            </w:r>
          </w:p>
        </w:tc>
        <w:tc>
          <w:tcPr>
            <w:tcW w:w="709" w:type="dxa"/>
            <w:shd w:val="clear" w:color="auto" w:fill="92D050"/>
          </w:tcPr>
          <w:p>
            <w:pPr>
              <w:pStyle w:val="TableParagraph"/>
              <w:spacing w:line="202" w:lineRule="exact"/>
              <w:ind w:left="124" w:right="128"/>
              <w:rPr>
                <w:b/>
                <w:sz w:val="18"/>
              </w:rPr>
            </w:pPr>
            <w:r>
              <w:rPr>
                <w:b/>
                <w:sz w:val="18"/>
              </w:rPr>
              <w:t>Año</w:t>
            </w:r>
          </w:p>
        </w:tc>
        <w:tc>
          <w:tcPr>
            <w:tcW w:w="2835" w:type="dxa"/>
            <w:shd w:val="clear" w:color="auto" w:fill="92D050"/>
          </w:tcPr>
          <w:p>
            <w:pPr>
              <w:pStyle w:val="TableParagraph"/>
              <w:spacing w:line="202" w:lineRule="exact"/>
              <w:ind w:left="1182" w:right="1183"/>
              <w:rPr>
                <w:b/>
                <w:sz w:val="18"/>
              </w:rPr>
            </w:pPr>
            <w:r>
              <w:rPr>
                <w:b/>
                <w:sz w:val="18"/>
              </w:rPr>
              <w:t>Obra</w:t>
            </w:r>
          </w:p>
        </w:tc>
        <w:tc>
          <w:tcPr>
            <w:tcW w:w="2979" w:type="dxa"/>
            <w:shd w:val="clear" w:color="auto" w:fill="92D050"/>
          </w:tcPr>
          <w:p>
            <w:pPr>
              <w:pStyle w:val="TableParagraph"/>
              <w:spacing w:line="202" w:lineRule="exact"/>
              <w:ind w:left="883" w:right="104"/>
              <w:jc w:val="left"/>
              <w:rPr>
                <w:b/>
                <w:sz w:val="18"/>
              </w:rPr>
            </w:pPr>
            <w:r>
              <w:rPr>
                <w:b/>
                <w:sz w:val="18"/>
              </w:rPr>
              <w:t>Interpretación</w:t>
            </w:r>
          </w:p>
        </w:tc>
      </w:tr>
      <w:tr>
        <w:trPr>
          <w:trHeight w:val="1044" w:hRule="exact"/>
        </w:trPr>
        <w:tc>
          <w:tcPr>
            <w:tcW w:w="1555" w:type="dxa"/>
          </w:tcPr>
          <w:p>
            <w:pPr>
              <w:pStyle w:val="TableParagraph"/>
              <w:tabs>
                <w:tab w:pos="1251" w:val="left" w:leader="none"/>
              </w:tabs>
              <w:ind w:left="103" w:right="100"/>
              <w:jc w:val="left"/>
              <w:rPr>
                <w:sz w:val="18"/>
              </w:rPr>
            </w:pPr>
            <w:r>
              <w:rPr>
                <w:sz w:val="18"/>
              </w:rPr>
              <w:t>Carolyn</w:t>
              <w:tab/>
              <w:t>.J. Lukensmeyer, Joe Goldman y David</w:t>
            </w:r>
            <w:r>
              <w:rPr>
                <w:spacing w:val="-2"/>
                <w:sz w:val="18"/>
              </w:rPr>
              <w:t> </w:t>
            </w:r>
            <w:r>
              <w:rPr>
                <w:sz w:val="18"/>
              </w:rPr>
              <w:t>Stern</w:t>
            </w:r>
          </w:p>
        </w:tc>
        <w:tc>
          <w:tcPr>
            <w:tcW w:w="709" w:type="dxa"/>
          </w:tcPr>
          <w:p>
            <w:pPr>
              <w:pStyle w:val="TableParagraph"/>
              <w:spacing w:line="206" w:lineRule="exact"/>
              <w:ind w:left="129" w:right="128"/>
              <w:rPr>
                <w:sz w:val="18"/>
              </w:rPr>
            </w:pPr>
            <w:r>
              <w:rPr>
                <w:sz w:val="18"/>
              </w:rPr>
              <w:t>2011</w:t>
            </w:r>
          </w:p>
        </w:tc>
        <w:tc>
          <w:tcPr>
            <w:tcW w:w="2835" w:type="dxa"/>
          </w:tcPr>
          <w:p>
            <w:pPr>
              <w:pStyle w:val="TableParagraph"/>
              <w:ind w:left="103" w:right="99"/>
              <w:jc w:val="both"/>
              <w:rPr>
                <w:sz w:val="18"/>
              </w:rPr>
            </w:pPr>
            <w:r>
              <w:rPr>
                <w:i/>
                <w:sz w:val="18"/>
              </w:rPr>
              <w:t>Assessing public participation in </w:t>
            </w:r>
            <w:r>
              <w:rPr>
                <w:i/>
                <w:sz w:val="18"/>
              </w:rPr>
              <w:t>an open government era: a review of federal agency plans</w:t>
            </w:r>
            <w:r>
              <w:rPr>
                <w:sz w:val="18"/>
              </w:rPr>
              <w:t>. Washington D.C.: IBM Center</w:t>
            </w:r>
            <w:r>
              <w:rPr>
                <w:spacing w:val="-20"/>
                <w:sz w:val="18"/>
              </w:rPr>
              <w:t> </w:t>
            </w:r>
            <w:r>
              <w:rPr>
                <w:sz w:val="18"/>
              </w:rPr>
              <w:t>for Business of</w:t>
            </w:r>
            <w:r>
              <w:rPr>
                <w:spacing w:val="-9"/>
                <w:sz w:val="18"/>
              </w:rPr>
              <w:t> </w:t>
            </w:r>
            <w:r>
              <w:rPr>
                <w:sz w:val="18"/>
              </w:rPr>
              <w:t>Government</w:t>
            </w:r>
          </w:p>
        </w:tc>
        <w:tc>
          <w:tcPr>
            <w:tcW w:w="2979" w:type="dxa"/>
          </w:tcPr>
          <w:p>
            <w:pPr>
              <w:pStyle w:val="TableParagraph"/>
              <w:ind w:left="103" w:right="105"/>
              <w:jc w:val="both"/>
              <w:rPr>
                <w:sz w:val="18"/>
              </w:rPr>
            </w:pPr>
            <w:r>
              <w:rPr>
                <w:sz w:val="18"/>
              </w:rPr>
              <w:t>Creación de una visión directiva del gobierno que promueve la transparencia, la participación y la colaboración.</w:t>
            </w:r>
          </w:p>
        </w:tc>
      </w:tr>
      <w:tr>
        <w:trPr>
          <w:trHeight w:val="631" w:hRule="exact"/>
        </w:trPr>
        <w:tc>
          <w:tcPr>
            <w:tcW w:w="1555" w:type="dxa"/>
          </w:tcPr>
          <w:p>
            <w:pPr>
              <w:pStyle w:val="TableParagraph"/>
              <w:tabs>
                <w:tab w:pos="913" w:val="left" w:leader="none"/>
              </w:tabs>
              <w:spacing w:before="1"/>
              <w:ind w:left="103" w:right="101"/>
              <w:jc w:val="left"/>
              <w:rPr>
                <w:sz w:val="18"/>
              </w:rPr>
            </w:pPr>
            <w:r>
              <w:rPr>
                <w:sz w:val="18"/>
              </w:rPr>
              <w:t>José</w:t>
              <w:tab/>
            </w:r>
            <w:r>
              <w:rPr>
                <w:spacing w:val="-1"/>
                <w:sz w:val="18"/>
              </w:rPr>
              <w:t>Miguel </w:t>
            </w:r>
            <w:r>
              <w:rPr>
                <w:sz w:val="18"/>
              </w:rPr>
              <w:t>Insulza</w:t>
            </w:r>
          </w:p>
        </w:tc>
        <w:tc>
          <w:tcPr>
            <w:tcW w:w="709" w:type="dxa"/>
          </w:tcPr>
          <w:p>
            <w:pPr>
              <w:pStyle w:val="TableParagraph"/>
              <w:spacing w:before="1"/>
              <w:ind w:left="129" w:right="128"/>
              <w:rPr>
                <w:sz w:val="18"/>
              </w:rPr>
            </w:pPr>
            <w:r>
              <w:rPr>
                <w:sz w:val="18"/>
              </w:rPr>
              <w:t>2012</w:t>
            </w:r>
          </w:p>
        </w:tc>
        <w:tc>
          <w:tcPr>
            <w:tcW w:w="2835" w:type="dxa"/>
          </w:tcPr>
          <w:p>
            <w:pPr>
              <w:pStyle w:val="TableParagraph"/>
              <w:spacing w:before="1"/>
              <w:ind w:left="103" w:right="101"/>
              <w:jc w:val="left"/>
              <w:rPr>
                <w:sz w:val="18"/>
              </w:rPr>
            </w:pPr>
            <w:r>
              <w:rPr>
                <w:sz w:val="18"/>
              </w:rPr>
              <w:t>Prologo. En la promesa del GA.</w:t>
            </w:r>
          </w:p>
        </w:tc>
        <w:tc>
          <w:tcPr>
            <w:tcW w:w="2979" w:type="dxa"/>
          </w:tcPr>
          <w:p>
            <w:pPr>
              <w:pStyle w:val="TableParagraph"/>
              <w:spacing w:before="1"/>
              <w:ind w:left="103" w:right="101"/>
              <w:jc w:val="both"/>
              <w:rPr>
                <w:sz w:val="18"/>
              </w:rPr>
            </w:pPr>
            <w:r>
              <w:rPr>
                <w:sz w:val="18"/>
              </w:rPr>
              <w:t>Política pública que agrupa transparencia, rendición de cuentas y participación ciudadana.</w:t>
            </w:r>
          </w:p>
        </w:tc>
      </w:tr>
      <w:tr>
        <w:trPr>
          <w:trHeight w:val="838" w:hRule="exact"/>
        </w:trPr>
        <w:tc>
          <w:tcPr>
            <w:tcW w:w="1555" w:type="dxa"/>
          </w:tcPr>
          <w:p>
            <w:pPr>
              <w:pStyle w:val="TableParagraph"/>
              <w:spacing w:line="242" w:lineRule="auto"/>
              <w:ind w:left="103" w:right="12"/>
              <w:jc w:val="left"/>
              <w:rPr>
                <w:i/>
                <w:sz w:val="18"/>
              </w:rPr>
            </w:pPr>
            <w:r>
              <w:rPr>
                <w:sz w:val="18"/>
              </w:rPr>
              <w:t>Albert Meijer </w:t>
            </w:r>
            <w:r>
              <w:rPr>
                <w:i/>
                <w:sz w:val="18"/>
              </w:rPr>
              <w:t>et. </w:t>
            </w:r>
            <w:r>
              <w:rPr>
                <w:i/>
                <w:sz w:val="18"/>
              </w:rPr>
              <w:t>al.</w:t>
            </w:r>
          </w:p>
        </w:tc>
        <w:tc>
          <w:tcPr>
            <w:tcW w:w="709" w:type="dxa"/>
          </w:tcPr>
          <w:p>
            <w:pPr>
              <w:pStyle w:val="TableParagraph"/>
              <w:spacing w:line="206" w:lineRule="exact"/>
              <w:ind w:left="129" w:right="128"/>
              <w:rPr>
                <w:sz w:val="18"/>
              </w:rPr>
            </w:pPr>
            <w:r>
              <w:rPr>
                <w:sz w:val="18"/>
              </w:rPr>
              <w:t>2012</w:t>
            </w:r>
          </w:p>
        </w:tc>
        <w:tc>
          <w:tcPr>
            <w:tcW w:w="2835" w:type="dxa"/>
          </w:tcPr>
          <w:p>
            <w:pPr>
              <w:pStyle w:val="TableParagraph"/>
              <w:ind w:left="103" w:right="100"/>
              <w:jc w:val="both"/>
              <w:rPr>
                <w:sz w:val="18"/>
              </w:rPr>
            </w:pPr>
            <w:r>
              <w:rPr>
                <w:sz w:val="18"/>
              </w:rPr>
              <w:t>Open government: connecting voice and 80isión. </w:t>
            </w:r>
            <w:r>
              <w:rPr>
                <w:i/>
                <w:sz w:val="18"/>
              </w:rPr>
              <w:t>International </w:t>
            </w:r>
            <w:r>
              <w:rPr>
                <w:i/>
                <w:sz w:val="18"/>
              </w:rPr>
              <w:t>Review of Administrative Sciences, </w:t>
            </w:r>
            <w:r>
              <w:rPr>
                <w:sz w:val="18"/>
              </w:rPr>
              <w:t>Volume 78, Number I</w:t>
            </w:r>
          </w:p>
        </w:tc>
        <w:tc>
          <w:tcPr>
            <w:tcW w:w="2979" w:type="dxa"/>
          </w:tcPr>
          <w:p>
            <w:pPr>
              <w:pStyle w:val="TableParagraph"/>
              <w:ind w:left="103" w:right="104"/>
              <w:jc w:val="both"/>
              <w:rPr>
                <w:i/>
                <w:sz w:val="18"/>
              </w:rPr>
            </w:pPr>
            <w:r>
              <w:rPr>
                <w:i/>
                <w:sz w:val="18"/>
              </w:rPr>
              <w:t>GA no es únicamente la </w:t>
            </w:r>
            <w:r>
              <w:rPr>
                <w:i/>
                <w:sz w:val="18"/>
              </w:rPr>
              <w:t>publicación de información sino la apertura que permite la interacción.</w:t>
            </w:r>
          </w:p>
        </w:tc>
      </w:tr>
      <w:tr>
        <w:trPr>
          <w:trHeight w:val="1669" w:hRule="exact"/>
        </w:trPr>
        <w:tc>
          <w:tcPr>
            <w:tcW w:w="1555" w:type="dxa"/>
          </w:tcPr>
          <w:p>
            <w:pPr>
              <w:pStyle w:val="TableParagraph"/>
              <w:tabs>
                <w:tab w:pos="654" w:val="left" w:leader="none"/>
                <w:tab w:pos="1352" w:val="left" w:leader="none"/>
              </w:tabs>
              <w:spacing w:before="1"/>
              <w:ind w:left="103" w:right="100"/>
              <w:jc w:val="left"/>
              <w:rPr>
                <w:sz w:val="18"/>
              </w:rPr>
            </w:pPr>
            <w:r>
              <w:rPr>
                <w:sz w:val="18"/>
              </w:rPr>
              <w:t>Lisa</w:t>
              <w:tab/>
            </w:r>
            <w:r>
              <w:rPr>
                <w:spacing w:val="-1"/>
                <w:sz w:val="18"/>
              </w:rPr>
              <w:t>Bromgren </w:t>
            </w:r>
            <w:r>
              <w:rPr>
                <w:sz w:val="18"/>
              </w:rPr>
              <w:t>Bingham</w:t>
              <w:tab/>
              <w:t>y Sussana Foxworthy</w:t>
            </w:r>
          </w:p>
        </w:tc>
        <w:tc>
          <w:tcPr>
            <w:tcW w:w="709" w:type="dxa"/>
          </w:tcPr>
          <w:p>
            <w:pPr>
              <w:pStyle w:val="TableParagraph"/>
              <w:spacing w:before="1"/>
              <w:ind w:left="129" w:right="128"/>
              <w:rPr>
                <w:sz w:val="18"/>
              </w:rPr>
            </w:pPr>
            <w:r>
              <w:rPr>
                <w:sz w:val="18"/>
              </w:rPr>
              <w:t>2012</w:t>
            </w:r>
          </w:p>
        </w:tc>
        <w:tc>
          <w:tcPr>
            <w:tcW w:w="2835" w:type="dxa"/>
          </w:tcPr>
          <w:p>
            <w:pPr>
              <w:pStyle w:val="TableParagraph"/>
              <w:spacing w:before="1"/>
              <w:ind w:left="103" w:right="101"/>
              <w:jc w:val="left"/>
              <w:rPr>
                <w:sz w:val="18"/>
              </w:rPr>
            </w:pPr>
            <w:r>
              <w:rPr>
                <w:sz w:val="18"/>
              </w:rPr>
              <w:t>“Collaborative Governance and Collaborating Online:</w:t>
            </w:r>
          </w:p>
          <w:p>
            <w:pPr>
              <w:pStyle w:val="TableParagraph"/>
              <w:ind w:left="103" w:right="101"/>
              <w:jc w:val="left"/>
              <w:rPr>
                <w:sz w:val="18"/>
              </w:rPr>
            </w:pPr>
            <w:r>
              <w:rPr>
                <w:sz w:val="18"/>
              </w:rPr>
              <w:t>The Open Government Initiative in the United States”</w:t>
            </w:r>
          </w:p>
        </w:tc>
        <w:tc>
          <w:tcPr>
            <w:tcW w:w="2979" w:type="dxa"/>
          </w:tcPr>
          <w:p>
            <w:pPr>
              <w:pStyle w:val="TableParagraph"/>
              <w:spacing w:before="1"/>
              <w:ind w:left="103" w:right="102"/>
              <w:jc w:val="both"/>
              <w:rPr>
                <w:sz w:val="18"/>
              </w:rPr>
            </w:pPr>
            <w:r>
              <w:rPr>
                <w:sz w:val="18"/>
              </w:rPr>
              <w:t>la transparencia promueve la rendición de cuentas2; la participación mejora la eficacia gubernamental y la calidad de la toma de decisiones; y la colaboración incorpora a los ciudadanos a la acción de gobierno.</w:t>
            </w:r>
          </w:p>
        </w:tc>
      </w:tr>
      <w:tr>
        <w:trPr>
          <w:trHeight w:val="838" w:hRule="exact"/>
        </w:trPr>
        <w:tc>
          <w:tcPr>
            <w:tcW w:w="1555" w:type="dxa"/>
          </w:tcPr>
          <w:p>
            <w:pPr>
              <w:pStyle w:val="TableParagraph"/>
              <w:tabs>
                <w:tab w:pos="901" w:val="left" w:leader="none"/>
              </w:tabs>
              <w:ind w:left="103" w:right="101"/>
              <w:jc w:val="left"/>
              <w:rPr>
                <w:sz w:val="18"/>
              </w:rPr>
            </w:pPr>
            <w:r>
              <w:rPr>
                <w:sz w:val="18"/>
              </w:rPr>
              <w:t>Manuel</w:t>
              <w:tab/>
              <w:t>Villoria Mendieta</w:t>
            </w:r>
          </w:p>
        </w:tc>
        <w:tc>
          <w:tcPr>
            <w:tcW w:w="709" w:type="dxa"/>
          </w:tcPr>
          <w:p>
            <w:pPr>
              <w:pStyle w:val="TableParagraph"/>
              <w:spacing w:line="206" w:lineRule="exact"/>
              <w:ind w:left="129" w:right="128"/>
              <w:rPr>
                <w:sz w:val="18"/>
              </w:rPr>
            </w:pPr>
            <w:r>
              <w:rPr>
                <w:sz w:val="18"/>
              </w:rPr>
              <w:t>2012</w:t>
            </w:r>
          </w:p>
        </w:tc>
        <w:tc>
          <w:tcPr>
            <w:tcW w:w="2835" w:type="dxa"/>
          </w:tcPr>
          <w:p>
            <w:pPr>
              <w:pStyle w:val="TableParagraph"/>
              <w:ind w:left="103" w:right="102"/>
              <w:jc w:val="both"/>
              <w:rPr>
                <w:sz w:val="18"/>
              </w:rPr>
            </w:pPr>
            <w:r>
              <w:rPr>
                <w:sz w:val="18"/>
              </w:rPr>
              <w:t>El GA como subsistema de políticas: Una evaluación desde institucionalismo discursivo. En La promesa del GA.</w:t>
            </w:r>
          </w:p>
        </w:tc>
        <w:tc>
          <w:tcPr>
            <w:tcW w:w="2979" w:type="dxa"/>
          </w:tcPr>
          <w:p>
            <w:pPr>
              <w:pStyle w:val="TableParagraph"/>
              <w:ind w:left="103"/>
              <w:jc w:val="left"/>
              <w:rPr>
                <w:sz w:val="18"/>
              </w:rPr>
            </w:pPr>
            <w:r>
              <w:rPr>
                <w:sz w:val="18"/>
              </w:rPr>
              <w:t>Es uso de las TIC para mejorar las relaciones gobierno y ciudadanos.</w:t>
            </w:r>
          </w:p>
        </w:tc>
      </w:tr>
      <w:tr>
        <w:trPr>
          <w:trHeight w:val="631" w:hRule="exact"/>
        </w:trPr>
        <w:tc>
          <w:tcPr>
            <w:tcW w:w="1555" w:type="dxa"/>
          </w:tcPr>
          <w:p>
            <w:pPr>
              <w:pStyle w:val="TableParagraph"/>
              <w:spacing w:line="206" w:lineRule="exact"/>
              <w:ind w:left="103" w:right="12"/>
              <w:jc w:val="left"/>
              <w:rPr>
                <w:sz w:val="18"/>
              </w:rPr>
            </w:pPr>
            <w:r>
              <w:rPr>
                <w:sz w:val="18"/>
              </w:rPr>
              <w:t>Cristobal Cobo</w:t>
            </w:r>
          </w:p>
        </w:tc>
        <w:tc>
          <w:tcPr>
            <w:tcW w:w="709" w:type="dxa"/>
          </w:tcPr>
          <w:p>
            <w:pPr>
              <w:pStyle w:val="TableParagraph"/>
              <w:spacing w:line="206" w:lineRule="exact"/>
              <w:ind w:left="129" w:right="128"/>
              <w:rPr>
                <w:sz w:val="18"/>
              </w:rPr>
            </w:pPr>
            <w:r>
              <w:rPr>
                <w:sz w:val="18"/>
              </w:rPr>
              <w:t>2012</w:t>
            </w:r>
          </w:p>
        </w:tc>
        <w:tc>
          <w:tcPr>
            <w:tcW w:w="2835" w:type="dxa"/>
          </w:tcPr>
          <w:p>
            <w:pPr>
              <w:pStyle w:val="TableParagraph"/>
              <w:ind w:left="103" w:right="102"/>
              <w:jc w:val="both"/>
              <w:rPr>
                <w:sz w:val="18"/>
              </w:rPr>
            </w:pPr>
            <w:r>
              <w:rPr>
                <w:sz w:val="18"/>
              </w:rPr>
              <w:t>Gobierno abierto: de la transparencia a la inteligencia cívica. En la promesa del GA.</w:t>
            </w:r>
          </w:p>
        </w:tc>
        <w:tc>
          <w:tcPr>
            <w:tcW w:w="2979" w:type="dxa"/>
          </w:tcPr>
          <w:p>
            <w:pPr>
              <w:pStyle w:val="TableParagraph"/>
              <w:ind w:left="103" w:right="105"/>
              <w:jc w:val="both"/>
              <w:rPr>
                <w:sz w:val="18"/>
              </w:rPr>
            </w:pPr>
            <w:r>
              <w:rPr>
                <w:sz w:val="18"/>
              </w:rPr>
              <w:t>Es un medio para mejorar la inteligencia cívica de los ciudadanos.</w:t>
            </w:r>
          </w:p>
        </w:tc>
      </w:tr>
      <w:tr>
        <w:trPr>
          <w:trHeight w:val="1251" w:hRule="exact"/>
        </w:trPr>
        <w:tc>
          <w:tcPr>
            <w:tcW w:w="1555" w:type="dxa"/>
          </w:tcPr>
          <w:p>
            <w:pPr>
              <w:pStyle w:val="TableParagraph"/>
              <w:ind w:left="103" w:right="12"/>
              <w:jc w:val="left"/>
              <w:rPr>
                <w:sz w:val="18"/>
              </w:rPr>
            </w:pPr>
            <w:r>
              <w:rPr>
                <w:sz w:val="18"/>
              </w:rPr>
              <w:t>Álvaro Ramírez Alujas</w:t>
            </w:r>
          </w:p>
        </w:tc>
        <w:tc>
          <w:tcPr>
            <w:tcW w:w="709" w:type="dxa"/>
          </w:tcPr>
          <w:p>
            <w:pPr>
              <w:pStyle w:val="TableParagraph"/>
              <w:spacing w:line="206" w:lineRule="exact"/>
              <w:ind w:left="129" w:right="128"/>
              <w:rPr>
                <w:sz w:val="18"/>
              </w:rPr>
            </w:pPr>
            <w:r>
              <w:rPr>
                <w:sz w:val="18"/>
              </w:rPr>
              <w:t>2012</w:t>
            </w:r>
          </w:p>
        </w:tc>
        <w:tc>
          <w:tcPr>
            <w:tcW w:w="2835" w:type="dxa"/>
          </w:tcPr>
          <w:p>
            <w:pPr>
              <w:pStyle w:val="TableParagraph"/>
              <w:tabs>
                <w:tab w:pos="1463" w:val="left" w:leader="none"/>
                <w:tab w:pos="2631" w:val="left" w:leader="none"/>
              </w:tabs>
              <w:ind w:left="103" w:right="100"/>
              <w:jc w:val="both"/>
              <w:rPr>
                <w:sz w:val="18"/>
              </w:rPr>
            </w:pPr>
            <w:r>
              <w:rPr>
                <w:sz w:val="18"/>
              </w:rPr>
              <w:t>Gobierno</w:t>
              <w:tab/>
              <w:t>abierto</w:t>
              <w:tab/>
              <w:t>y modernización de la gestión Pública. Tendencias actuales y el (inevitable) camino que viene. Reflexiones seminales. </w:t>
            </w:r>
            <w:r>
              <w:rPr>
                <w:i/>
                <w:sz w:val="18"/>
              </w:rPr>
              <w:t>Revista </w:t>
            </w:r>
            <w:r>
              <w:rPr>
                <w:i/>
                <w:sz w:val="18"/>
              </w:rPr>
              <w:t>Enfoques </w:t>
            </w:r>
            <w:r>
              <w:rPr>
                <w:sz w:val="18"/>
              </w:rPr>
              <w:t>Nº 15,</w:t>
            </w:r>
            <w:r>
              <w:rPr>
                <w:spacing w:val="-10"/>
                <w:sz w:val="18"/>
              </w:rPr>
              <w:t> </w:t>
            </w:r>
            <w:r>
              <w:rPr>
                <w:sz w:val="18"/>
              </w:rPr>
              <w:t>diciembre.</w:t>
            </w:r>
          </w:p>
        </w:tc>
        <w:tc>
          <w:tcPr>
            <w:tcW w:w="2979" w:type="dxa"/>
          </w:tcPr>
          <w:p>
            <w:pPr>
              <w:pStyle w:val="TableParagraph"/>
              <w:tabs>
                <w:tab w:pos="1885" w:val="left" w:leader="none"/>
              </w:tabs>
              <w:ind w:left="103" w:right="104"/>
              <w:jc w:val="both"/>
              <w:rPr>
                <w:sz w:val="18"/>
              </w:rPr>
            </w:pPr>
            <w:r>
              <w:rPr>
                <w:sz w:val="18"/>
              </w:rPr>
              <w:t>Es una característica clave de la práctica</w:t>
              <w:tab/>
            </w:r>
            <w:r>
              <w:rPr>
                <w:spacing w:val="-1"/>
                <w:sz w:val="18"/>
              </w:rPr>
              <w:t>democrática </w:t>
            </w:r>
            <w:r>
              <w:rPr>
                <w:sz w:val="18"/>
              </w:rPr>
              <w:t>contemporánea en el que el público tiene la capacidad de procesar la información</w:t>
            </w:r>
            <w:r>
              <w:rPr>
                <w:spacing w:val="-16"/>
                <w:sz w:val="18"/>
              </w:rPr>
              <w:t> </w:t>
            </w:r>
            <w:r>
              <w:rPr>
                <w:sz w:val="18"/>
              </w:rPr>
              <w:t>pública.</w:t>
            </w:r>
          </w:p>
        </w:tc>
      </w:tr>
      <w:tr>
        <w:trPr>
          <w:trHeight w:val="1459" w:hRule="exact"/>
        </w:trPr>
        <w:tc>
          <w:tcPr>
            <w:tcW w:w="1555" w:type="dxa"/>
          </w:tcPr>
          <w:p>
            <w:pPr>
              <w:pStyle w:val="TableParagraph"/>
              <w:ind w:left="103" w:right="131"/>
              <w:jc w:val="left"/>
              <w:rPr>
                <w:sz w:val="18"/>
              </w:rPr>
            </w:pPr>
            <w:r>
              <w:rPr>
                <w:sz w:val="18"/>
              </w:rPr>
              <w:t>Alianza para el Gobierno Abierto</w:t>
            </w:r>
          </w:p>
        </w:tc>
        <w:tc>
          <w:tcPr>
            <w:tcW w:w="709" w:type="dxa"/>
          </w:tcPr>
          <w:p>
            <w:pPr>
              <w:pStyle w:val="TableParagraph"/>
              <w:spacing w:line="206" w:lineRule="exact"/>
              <w:ind w:left="129" w:right="128"/>
              <w:rPr>
                <w:sz w:val="18"/>
              </w:rPr>
            </w:pPr>
            <w:r>
              <w:rPr>
                <w:sz w:val="18"/>
              </w:rPr>
              <w:t>2014</w:t>
            </w:r>
          </w:p>
        </w:tc>
        <w:tc>
          <w:tcPr>
            <w:tcW w:w="2835" w:type="dxa"/>
          </w:tcPr>
          <w:p>
            <w:pPr>
              <w:pStyle w:val="TableParagraph"/>
              <w:spacing w:line="206" w:lineRule="exact"/>
              <w:ind w:left="103" w:right="101"/>
              <w:jc w:val="left"/>
              <w:rPr>
                <w:sz w:val="18"/>
              </w:rPr>
            </w:pPr>
            <w:r>
              <w:rPr>
                <w:sz w:val="18"/>
              </w:rPr>
              <w:t>Declaración de principios.</w:t>
            </w:r>
          </w:p>
        </w:tc>
        <w:tc>
          <w:tcPr>
            <w:tcW w:w="2979" w:type="dxa"/>
          </w:tcPr>
          <w:p>
            <w:pPr>
              <w:pStyle w:val="TableParagraph"/>
              <w:ind w:left="103" w:right="103"/>
              <w:jc w:val="both"/>
              <w:rPr>
                <w:sz w:val="18"/>
              </w:rPr>
            </w:pPr>
            <w:r>
              <w:rPr>
                <w:sz w:val="18"/>
              </w:rPr>
              <w:t>Nuevo modelo de gobernanza</w:t>
            </w:r>
            <w:r>
              <w:rPr>
                <w:spacing w:val="-15"/>
                <w:sz w:val="18"/>
              </w:rPr>
              <w:t> </w:t>
            </w:r>
            <w:r>
              <w:rPr>
                <w:sz w:val="18"/>
              </w:rPr>
              <w:t>que busca transformar la relación</w:t>
            </w:r>
            <w:r>
              <w:rPr>
                <w:spacing w:val="-34"/>
                <w:sz w:val="18"/>
              </w:rPr>
              <w:t> </w:t>
            </w:r>
            <w:r>
              <w:rPr>
                <w:sz w:val="18"/>
              </w:rPr>
              <w:t>entre gobierno y sociedad para fortalecer la democracia. Se basa en una cultura de transparencia, colaboración, participación y rendición de</w:t>
            </w:r>
            <w:r>
              <w:rPr>
                <w:spacing w:val="-8"/>
                <w:sz w:val="18"/>
              </w:rPr>
              <w:t> </w:t>
            </w:r>
            <w:r>
              <w:rPr>
                <w:sz w:val="18"/>
              </w:rPr>
              <w:t>cuentas.</w:t>
            </w:r>
          </w:p>
        </w:tc>
      </w:tr>
    </w:tbl>
    <w:p>
      <w:pPr>
        <w:spacing w:before="3"/>
        <w:ind w:left="586" w:right="0" w:firstLine="0"/>
        <w:jc w:val="left"/>
        <w:rPr>
          <w:sz w:val="16"/>
        </w:rPr>
      </w:pPr>
      <w:r>
        <w:rPr>
          <w:sz w:val="16"/>
        </w:rPr>
        <w:t>Fuente: Elaboración propia.</w:t>
      </w:r>
    </w:p>
    <w:p>
      <w:pPr>
        <w:pStyle w:val="BodyText"/>
        <w:rPr>
          <w:sz w:val="20"/>
        </w:rPr>
      </w:pPr>
    </w:p>
    <w:p>
      <w:pPr>
        <w:pStyle w:val="BodyText"/>
        <w:spacing w:line="360" w:lineRule="auto" w:before="211"/>
        <w:ind w:left="102" w:right="114"/>
        <w:jc w:val="both"/>
      </w:pPr>
      <w:r>
        <w:rPr/>
        <w:t>“Un Gobierno Abierto es aquel que entabla una constante conversación con los ciudadanos</w:t>
      </w:r>
      <w:r>
        <w:rPr>
          <w:spacing w:val="-16"/>
        </w:rPr>
        <w:t> </w:t>
      </w:r>
      <w:r>
        <w:rPr/>
        <w:t>con</w:t>
      </w:r>
      <w:r>
        <w:rPr>
          <w:spacing w:val="-15"/>
        </w:rPr>
        <w:t> </w:t>
      </w:r>
      <w:r>
        <w:rPr/>
        <w:t>el</w:t>
      </w:r>
      <w:r>
        <w:rPr>
          <w:spacing w:val="-17"/>
        </w:rPr>
        <w:t> </w:t>
      </w:r>
      <w:r>
        <w:rPr/>
        <w:t>fin</w:t>
      </w:r>
      <w:r>
        <w:rPr>
          <w:spacing w:val="-16"/>
        </w:rPr>
        <w:t> </w:t>
      </w:r>
      <w:r>
        <w:rPr/>
        <w:t>de</w:t>
      </w:r>
      <w:r>
        <w:rPr>
          <w:spacing w:val="-13"/>
        </w:rPr>
        <w:t> </w:t>
      </w:r>
      <w:r>
        <w:rPr/>
        <w:t>escuchar</w:t>
      </w:r>
      <w:r>
        <w:rPr>
          <w:spacing w:val="-15"/>
        </w:rPr>
        <w:t> </w:t>
      </w:r>
      <w:r>
        <w:rPr/>
        <w:t>lo</w:t>
      </w:r>
      <w:r>
        <w:rPr>
          <w:spacing w:val="-13"/>
        </w:rPr>
        <w:t> </w:t>
      </w:r>
      <w:r>
        <w:rPr/>
        <w:t>que</w:t>
      </w:r>
      <w:r>
        <w:rPr>
          <w:spacing w:val="-15"/>
        </w:rPr>
        <w:t> </w:t>
      </w:r>
      <w:r>
        <w:rPr/>
        <w:t>ellos</w:t>
      </w:r>
      <w:r>
        <w:rPr>
          <w:spacing w:val="-16"/>
        </w:rPr>
        <w:t> </w:t>
      </w:r>
      <w:r>
        <w:rPr/>
        <w:t>dicen</w:t>
      </w:r>
      <w:r>
        <w:rPr>
          <w:spacing w:val="-13"/>
        </w:rPr>
        <w:t> </w:t>
      </w:r>
      <w:r>
        <w:rPr/>
        <w:t>y</w:t>
      </w:r>
      <w:r>
        <w:rPr>
          <w:spacing w:val="-16"/>
        </w:rPr>
        <w:t> </w:t>
      </w:r>
      <w:r>
        <w:rPr/>
        <w:t>solicitan,</w:t>
      </w:r>
      <w:r>
        <w:rPr>
          <w:spacing w:val="-16"/>
        </w:rPr>
        <w:t> </w:t>
      </w:r>
      <w:r>
        <w:rPr/>
        <w:t>que</w:t>
      </w:r>
      <w:r>
        <w:rPr>
          <w:spacing w:val="-13"/>
        </w:rPr>
        <w:t> </w:t>
      </w:r>
      <w:r>
        <w:rPr/>
        <w:t>toma</w:t>
      </w:r>
      <w:r>
        <w:rPr>
          <w:spacing w:val="-8"/>
        </w:rPr>
        <w:t> </w:t>
      </w:r>
      <w:r>
        <w:rPr/>
        <w:t>decisiones basadas en sus necesidades y teniendo en cuenta sus preferencias, que facilita la colaboración de los ciudadanos y funcionarios en el desarrollo de los servicios que presta, y que comunica todo lo que decide y hace de forma abierta y transparente” (Concha y Naser,</w:t>
      </w:r>
      <w:r>
        <w:rPr>
          <w:spacing w:val="-6"/>
        </w:rPr>
        <w:t> </w:t>
      </w:r>
      <w:r>
        <w:rPr/>
        <w:t>2012:12).</w:t>
      </w:r>
    </w:p>
    <w:p>
      <w:pPr>
        <w:spacing w:after="0" w:line="360" w:lineRule="auto"/>
        <w:jc w:val="both"/>
        <w:sectPr>
          <w:pgSz w:w="12240" w:h="15840"/>
          <w:pgMar w:header="0" w:footer="975" w:top="1420" w:bottom="1220" w:left="1600" w:right="1580"/>
        </w:sectPr>
      </w:pPr>
    </w:p>
    <w:p>
      <w:pPr>
        <w:pStyle w:val="BodyText"/>
        <w:spacing w:line="360" w:lineRule="auto" w:before="54"/>
        <w:ind w:left="122" w:right="116"/>
        <w:jc w:val="both"/>
      </w:pPr>
      <w:r>
        <w:rPr/>
        <w:t>En esta tabla se puede observar que dentro de las distintas formas de entender el GA existe cierta congruencia con los principios de transparencia, participación ciudadana,</w:t>
      </w:r>
      <w:r>
        <w:rPr>
          <w:spacing w:val="-4"/>
        </w:rPr>
        <w:t> </w:t>
      </w:r>
      <w:r>
        <w:rPr/>
        <w:t>innovación</w:t>
      </w:r>
      <w:r>
        <w:rPr>
          <w:spacing w:val="-6"/>
        </w:rPr>
        <w:t> </w:t>
      </w:r>
      <w:r>
        <w:rPr/>
        <w:t>tecnológica,</w:t>
      </w:r>
      <w:r>
        <w:rPr>
          <w:spacing w:val="-4"/>
        </w:rPr>
        <w:t> </w:t>
      </w:r>
      <w:r>
        <w:rPr/>
        <w:t>rendición</w:t>
      </w:r>
      <w:r>
        <w:rPr>
          <w:spacing w:val="-6"/>
        </w:rPr>
        <w:t> </w:t>
      </w:r>
      <w:r>
        <w:rPr/>
        <w:t>de</w:t>
      </w:r>
      <w:r>
        <w:rPr>
          <w:spacing w:val="-4"/>
        </w:rPr>
        <w:t> </w:t>
      </w:r>
      <w:r>
        <w:rPr/>
        <w:t>cuentas</w:t>
      </w:r>
      <w:r>
        <w:rPr>
          <w:spacing w:val="-4"/>
        </w:rPr>
        <w:t> </w:t>
      </w:r>
      <w:r>
        <w:rPr/>
        <w:t>y</w:t>
      </w:r>
      <w:r>
        <w:rPr>
          <w:spacing w:val="-7"/>
        </w:rPr>
        <w:t> </w:t>
      </w:r>
      <w:r>
        <w:rPr/>
        <w:t>políticas</w:t>
      </w:r>
      <w:r>
        <w:rPr>
          <w:spacing w:val="-4"/>
        </w:rPr>
        <w:t> </w:t>
      </w:r>
      <w:r>
        <w:rPr/>
        <w:t>públicas.</w:t>
      </w:r>
      <w:r>
        <w:rPr>
          <w:spacing w:val="-6"/>
        </w:rPr>
        <w:t> </w:t>
      </w:r>
      <w:r>
        <w:rPr/>
        <w:t>Por</w:t>
      </w:r>
      <w:r>
        <w:rPr>
          <w:spacing w:val="-5"/>
        </w:rPr>
        <w:t> </w:t>
      </w:r>
      <w:r>
        <w:rPr/>
        <w:t>lo que GA se puede definir como la obligación que tienen los gobernantes de hacer públicas</w:t>
      </w:r>
      <w:r>
        <w:rPr>
          <w:spacing w:val="-19"/>
        </w:rPr>
        <w:t> </w:t>
      </w:r>
      <w:r>
        <w:rPr/>
        <w:t>sus</w:t>
      </w:r>
      <w:r>
        <w:rPr>
          <w:spacing w:val="-19"/>
        </w:rPr>
        <w:t> </w:t>
      </w:r>
      <w:r>
        <w:rPr/>
        <w:t>acciones</w:t>
      </w:r>
      <w:r>
        <w:rPr>
          <w:spacing w:val="-21"/>
        </w:rPr>
        <w:t> </w:t>
      </w:r>
      <w:r>
        <w:rPr/>
        <w:t>y</w:t>
      </w:r>
      <w:r>
        <w:rPr>
          <w:spacing w:val="-21"/>
        </w:rPr>
        <w:t> </w:t>
      </w:r>
      <w:r>
        <w:rPr/>
        <w:t>rendir</w:t>
      </w:r>
      <w:r>
        <w:rPr>
          <w:spacing w:val="-20"/>
        </w:rPr>
        <w:t> </w:t>
      </w:r>
      <w:r>
        <w:rPr/>
        <w:t>cuentas</w:t>
      </w:r>
      <w:r>
        <w:rPr>
          <w:spacing w:val="-21"/>
        </w:rPr>
        <w:t> </w:t>
      </w:r>
      <w:r>
        <w:rPr/>
        <w:t>sobre</w:t>
      </w:r>
      <w:r>
        <w:rPr>
          <w:spacing w:val="-23"/>
        </w:rPr>
        <w:t> </w:t>
      </w:r>
      <w:r>
        <w:rPr/>
        <w:t>ellas.</w:t>
      </w:r>
      <w:r>
        <w:rPr>
          <w:spacing w:val="-18"/>
        </w:rPr>
        <w:t> </w:t>
      </w:r>
      <w:r>
        <w:rPr/>
        <w:t>Institucionalizando</w:t>
      </w:r>
      <w:r>
        <w:rPr>
          <w:spacing w:val="-18"/>
        </w:rPr>
        <w:t> </w:t>
      </w:r>
      <w:r>
        <w:rPr/>
        <w:t>como</w:t>
      </w:r>
      <w:r>
        <w:rPr>
          <w:spacing w:val="-20"/>
        </w:rPr>
        <w:t> </w:t>
      </w:r>
      <w:r>
        <w:rPr/>
        <w:t>practica administrativa del gobierno: el acceso a la información, mecanismos reales de participación ciudadana en los asuntos públicos y la toma de decisiones, así como la implementación de tecnología que mejore la transparencia gubernamental y el escrutinio del gobierno por la</w:t>
      </w:r>
      <w:r>
        <w:rPr>
          <w:spacing w:val="-12"/>
        </w:rPr>
        <w:t> </w:t>
      </w:r>
      <w:r>
        <w:rPr/>
        <w:t>sociedad.</w:t>
      </w:r>
    </w:p>
    <w:p>
      <w:pPr>
        <w:pStyle w:val="BodyText"/>
      </w:pPr>
    </w:p>
    <w:p>
      <w:pPr>
        <w:pStyle w:val="BodyText"/>
      </w:pPr>
    </w:p>
    <w:p>
      <w:pPr>
        <w:pStyle w:val="BodyText"/>
        <w:spacing w:line="360" w:lineRule="auto" w:before="188"/>
        <w:ind w:left="122" w:right="117"/>
        <w:jc w:val="both"/>
      </w:pPr>
      <w:r>
        <w:rPr/>
        <w:t>Esta forma de gobernar es relevante para esta investigación ya que en México, contrario a la antigua Grecia, el GA es para los individuos y no para la sociedad</w:t>
      </w:r>
      <w:r>
        <w:rPr>
          <w:position w:val="8"/>
          <w:sz w:val="16"/>
        </w:rPr>
        <w:t>15 </w:t>
      </w:r>
      <w:r>
        <w:rPr/>
        <w:t>(Norbert, 1995), la manera de participar en el gobierno y conocer lo que éste hace con los impuestos que se pagan, la ejecución de los programas sociales, educativos, seguridad, empleo, pobreza, los procedimientos para realizar trámites gubernamentales, entre otros que permiten conocer el desempeño de los gobernantes</w:t>
      </w:r>
      <w:r>
        <w:rPr>
          <w:spacing w:val="-13"/>
        </w:rPr>
        <w:t> </w:t>
      </w:r>
      <w:r>
        <w:rPr/>
        <w:t>respecto</w:t>
      </w:r>
      <w:r>
        <w:rPr>
          <w:spacing w:val="-14"/>
        </w:rPr>
        <w:t> </w:t>
      </w:r>
      <w:r>
        <w:rPr/>
        <w:t>a</w:t>
      </w:r>
      <w:r>
        <w:rPr>
          <w:spacing w:val="-12"/>
        </w:rPr>
        <w:t> </w:t>
      </w:r>
      <w:r>
        <w:rPr/>
        <w:t>lo</w:t>
      </w:r>
      <w:r>
        <w:rPr>
          <w:spacing w:val="-14"/>
        </w:rPr>
        <w:t> </w:t>
      </w:r>
      <w:r>
        <w:rPr/>
        <w:t>prometido</w:t>
      </w:r>
      <w:r>
        <w:rPr>
          <w:spacing w:val="-12"/>
        </w:rPr>
        <w:t> </w:t>
      </w:r>
      <w:r>
        <w:rPr/>
        <w:t>en</w:t>
      </w:r>
      <w:r>
        <w:rPr>
          <w:spacing w:val="-12"/>
        </w:rPr>
        <w:t> </w:t>
      </w:r>
      <w:r>
        <w:rPr/>
        <w:t>las</w:t>
      </w:r>
      <w:r>
        <w:rPr>
          <w:spacing w:val="-14"/>
        </w:rPr>
        <w:t> </w:t>
      </w:r>
      <w:r>
        <w:rPr/>
        <w:t>campañas</w:t>
      </w:r>
      <w:r>
        <w:rPr>
          <w:spacing w:val="-13"/>
        </w:rPr>
        <w:t> </w:t>
      </w:r>
      <w:r>
        <w:rPr/>
        <w:t>electorales.</w:t>
      </w:r>
      <w:r>
        <w:rPr>
          <w:spacing w:val="-14"/>
        </w:rPr>
        <w:t> </w:t>
      </w:r>
      <w:r>
        <w:rPr/>
        <w:t>Esta</w:t>
      </w:r>
      <w:r>
        <w:rPr>
          <w:spacing w:val="-11"/>
        </w:rPr>
        <w:t> </w:t>
      </w:r>
      <w:r>
        <w:rPr/>
        <w:t>información permite</w:t>
      </w:r>
      <w:r>
        <w:rPr>
          <w:spacing w:val="-16"/>
        </w:rPr>
        <w:t> </w:t>
      </w:r>
      <w:r>
        <w:rPr/>
        <w:t>al</w:t>
      </w:r>
      <w:r>
        <w:rPr>
          <w:spacing w:val="-17"/>
        </w:rPr>
        <w:t> </w:t>
      </w:r>
      <w:r>
        <w:rPr/>
        <w:t>ciudadano</w:t>
      </w:r>
      <w:r>
        <w:rPr>
          <w:spacing w:val="-18"/>
        </w:rPr>
        <w:t> </w:t>
      </w:r>
      <w:r>
        <w:rPr/>
        <w:t>hacer</w:t>
      </w:r>
      <w:r>
        <w:rPr>
          <w:spacing w:val="-17"/>
        </w:rPr>
        <w:t> </w:t>
      </w:r>
      <w:r>
        <w:rPr/>
        <w:t>valoraciones</w:t>
      </w:r>
      <w:r>
        <w:rPr>
          <w:spacing w:val="-16"/>
        </w:rPr>
        <w:t> </w:t>
      </w:r>
      <w:r>
        <w:rPr/>
        <w:t>antes</w:t>
      </w:r>
      <w:r>
        <w:rPr>
          <w:spacing w:val="-16"/>
        </w:rPr>
        <w:t> </w:t>
      </w:r>
      <w:r>
        <w:rPr/>
        <w:t>de</w:t>
      </w:r>
      <w:r>
        <w:rPr>
          <w:spacing w:val="-16"/>
        </w:rPr>
        <w:t> </w:t>
      </w:r>
      <w:r>
        <w:rPr/>
        <w:t>emitir</w:t>
      </w:r>
      <w:r>
        <w:rPr>
          <w:spacing w:val="-18"/>
        </w:rPr>
        <w:t> </w:t>
      </w:r>
      <w:r>
        <w:rPr/>
        <w:t>su</w:t>
      </w:r>
      <w:r>
        <w:rPr>
          <w:spacing w:val="-16"/>
        </w:rPr>
        <w:t> </w:t>
      </w:r>
      <w:r>
        <w:rPr/>
        <w:t>voto,</w:t>
      </w:r>
      <w:r>
        <w:rPr>
          <w:spacing w:val="-16"/>
        </w:rPr>
        <w:t> </w:t>
      </w:r>
      <w:r>
        <w:rPr/>
        <w:t>para</w:t>
      </w:r>
      <w:r>
        <w:rPr>
          <w:spacing w:val="-16"/>
        </w:rPr>
        <w:t> </w:t>
      </w:r>
      <w:r>
        <w:rPr/>
        <w:t>utilizarlo</w:t>
      </w:r>
      <w:r>
        <w:rPr>
          <w:spacing w:val="-16"/>
        </w:rPr>
        <w:t> </w:t>
      </w:r>
      <w:r>
        <w:rPr/>
        <w:t>como premio</w:t>
      </w:r>
      <w:r>
        <w:rPr>
          <w:spacing w:val="-14"/>
        </w:rPr>
        <w:t> </w:t>
      </w:r>
      <w:r>
        <w:rPr/>
        <w:t>o</w:t>
      </w:r>
      <w:r>
        <w:rPr>
          <w:spacing w:val="-14"/>
        </w:rPr>
        <w:t> </w:t>
      </w:r>
      <w:r>
        <w:rPr/>
        <w:t>castigo</w:t>
      </w:r>
      <w:r>
        <w:rPr>
          <w:spacing w:val="-12"/>
        </w:rPr>
        <w:t> </w:t>
      </w:r>
      <w:r>
        <w:rPr/>
        <w:t>según</w:t>
      </w:r>
      <w:r>
        <w:rPr>
          <w:spacing w:val="-14"/>
        </w:rPr>
        <w:t> </w:t>
      </w:r>
      <w:r>
        <w:rPr/>
        <w:t>su</w:t>
      </w:r>
      <w:r>
        <w:rPr>
          <w:spacing w:val="-14"/>
        </w:rPr>
        <w:t> </w:t>
      </w:r>
      <w:r>
        <w:rPr/>
        <w:t>apreciación</w:t>
      </w:r>
      <w:r>
        <w:rPr>
          <w:spacing w:val="-14"/>
        </w:rPr>
        <w:t> </w:t>
      </w:r>
      <w:r>
        <w:rPr/>
        <w:t>sobre</w:t>
      </w:r>
      <w:r>
        <w:rPr>
          <w:spacing w:val="-12"/>
        </w:rPr>
        <w:t> </w:t>
      </w:r>
      <w:r>
        <w:rPr/>
        <w:t>los</w:t>
      </w:r>
      <w:r>
        <w:rPr>
          <w:spacing w:val="-13"/>
        </w:rPr>
        <w:t> </w:t>
      </w:r>
      <w:r>
        <w:rPr/>
        <w:t>resultados</w:t>
      </w:r>
      <w:r>
        <w:rPr>
          <w:spacing w:val="-13"/>
        </w:rPr>
        <w:t> </w:t>
      </w:r>
      <w:r>
        <w:rPr/>
        <w:t>logrados</w:t>
      </w:r>
      <w:r>
        <w:rPr>
          <w:spacing w:val="-15"/>
        </w:rPr>
        <w:t> </w:t>
      </w:r>
      <w:r>
        <w:rPr/>
        <w:t>por</w:t>
      </w:r>
      <w:r>
        <w:rPr>
          <w:spacing w:val="-13"/>
        </w:rPr>
        <w:t> </w:t>
      </w:r>
      <w:r>
        <w:rPr/>
        <w:t>el</w:t>
      </w:r>
      <w:r>
        <w:rPr>
          <w:spacing w:val="-15"/>
        </w:rPr>
        <w:t> </w:t>
      </w:r>
      <w:r>
        <w:rPr/>
        <w:t>gobierno en turno (IFAI, 2003). Asimismo, es importante porque el GA garantiza la racionalidad de los gobernantes, que al sentirse vigilados tendrán que modificar su comportamiento (Villoria,</w:t>
      </w:r>
      <w:r>
        <w:rPr>
          <w:spacing w:val="-8"/>
        </w:rPr>
        <w:t> </w:t>
      </w:r>
      <w:r>
        <w:rPr/>
        <w:t>2014).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0"/>
        </w:rPr>
      </w:pPr>
      <w:r>
        <w:rPr/>
        <w:pict>
          <v:line style="position:absolute;mso-position-horizontal-relative:page;mso-position-vertical-relative:paragraph;z-index:2944;mso-wrap-distance-left:0;mso-wrap-distance-right:0" from="85.103996pt,14.31164pt" to="229.123996pt,14.31164pt" stroked="true" strokeweight=".71997pt" strokecolor="#000000">
            <w10:wrap type="topAndBottom"/>
          </v:line>
        </w:pict>
      </w:r>
    </w:p>
    <w:p>
      <w:pPr>
        <w:spacing w:line="259" w:lineRule="auto" w:before="69"/>
        <w:ind w:left="122" w:right="66" w:firstLine="0"/>
        <w:jc w:val="left"/>
        <w:rPr>
          <w:rFonts w:ascii="Times New Roman" w:hAnsi="Times New Roman"/>
          <w:sz w:val="16"/>
        </w:rPr>
      </w:pPr>
      <w:r>
        <w:rPr>
          <w:rFonts w:ascii="Calibri" w:hAnsi="Calibri"/>
          <w:position w:val="7"/>
          <w:sz w:val="13"/>
        </w:rPr>
        <w:t>15</w:t>
      </w:r>
      <w:r>
        <w:rPr>
          <w:rFonts w:ascii="Calibri" w:hAnsi="Calibri"/>
          <w:spacing w:val="3"/>
          <w:position w:val="7"/>
          <w:sz w:val="13"/>
        </w:rPr>
        <w:t> </w:t>
      </w:r>
      <w:r>
        <w:rPr>
          <w:rFonts w:ascii="Times New Roman" w:hAnsi="Times New Roman"/>
          <w:sz w:val="16"/>
        </w:rPr>
        <w:t>Hago</w:t>
      </w:r>
      <w:r>
        <w:rPr>
          <w:rFonts w:ascii="Times New Roman" w:hAnsi="Times New Roman"/>
          <w:spacing w:val="-8"/>
          <w:sz w:val="16"/>
        </w:rPr>
        <w:t> </w:t>
      </w:r>
      <w:r>
        <w:rPr>
          <w:rFonts w:ascii="Times New Roman" w:hAnsi="Times New Roman"/>
          <w:sz w:val="16"/>
        </w:rPr>
        <w:t>esta</w:t>
      </w:r>
      <w:r>
        <w:rPr>
          <w:rFonts w:ascii="Times New Roman" w:hAnsi="Times New Roman"/>
          <w:spacing w:val="-11"/>
          <w:sz w:val="16"/>
        </w:rPr>
        <w:t> </w:t>
      </w:r>
      <w:r>
        <w:rPr>
          <w:rFonts w:ascii="Times New Roman" w:hAnsi="Times New Roman"/>
          <w:sz w:val="16"/>
        </w:rPr>
        <w:t>aclaración</w:t>
      </w:r>
      <w:r>
        <w:rPr>
          <w:rFonts w:ascii="Times New Roman" w:hAnsi="Times New Roman"/>
          <w:spacing w:val="-8"/>
          <w:sz w:val="16"/>
        </w:rPr>
        <w:t> </w:t>
      </w:r>
      <w:r>
        <w:rPr>
          <w:rFonts w:ascii="Times New Roman" w:hAnsi="Times New Roman"/>
          <w:sz w:val="16"/>
        </w:rPr>
        <w:t>en</w:t>
      </w:r>
      <w:r>
        <w:rPr>
          <w:rFonts w:ascii="Times New Roman" w:hAnsi="Times New Roman"/>
          <w:spacing w:val="-8"/>
          <w:sz w:val="16"/>
        </w:rPr>
        <w:t> </w:t>
      </w:r>
      <w:r>
        <w:rPr>
          <w:rFonts w:ascii="Times New Roman" w:hAnsi="Times New Roman"/>
          <w:sz w:val="16"/>
        </w:rPr>
        <w:t>el</w:t>
      </w:r>
      <w:r>
        <w:rPr>
          <w:rFonts w:ascii="Times New Roman" w:hAnsi="Times New Roman"/>
          <w:spacing w:val="-8"/>
          <w:sz w:val="16"/>
        </w:rPr>
        <w:t> </w:t>
      </w:r>
      <w:r>
        <w:rPr>
          <w:rFonts w:ascii="Times New Roman" w:hAnsi="Times New Roman"/>
          <w:sz w:val="16"/>
        </w:rPr>
        <w:t>sentido</w:t>
      </w:r>
      <w:r>
        <w:rPr>
          <w:rFonts w:ascii="Times New Roman" w:hAnsi="Times New Roman"/>
          <w:spacing w:val="-10"/>
          <w:sz w:val="16"/>
        </w:rPr>
        <w:t> </w:t>
      </w:r>
      <w:r>
        <w:rPr>
          <w:rFonts w:ascii="Times New Roman" w:hAnsi="Times New Roman"/>
          <w:sz w:val="16"/>
        </w:rPr>
        <w:t>de</w:t>
      </w:r>
      <w:r>
        <w:rPr>
          <w:rFonts w:ascii="Times New Roman" w:hAnsi="Times New Roman"/>
          <w:spacing w:val="-11"/>
          <w:sz w:val="16"/>
        </w:rPr>
        <w:t> </w:t>
      </w:r>
      <w:r>
        <w:rPr>
          <w:rFonts w:ascii="Times New Roman" w:hAnsi="Times New Roman"/>
          <w:sz w:val="16"/>
        </w:rPr>
        <w:t>que</w:t>
      </w:r>
      <w:r>
        <w:rPr>
          <w:rFonts w:ascii="Times New Roman" w:hAnsi="Times New Roman"/>
          <w:spacing w:val="-11"/>
          <w:sz w:val="16"/>
        </w:rPr>
        <w:t> </w:t>
      </w:r>
      <w:r>
        <w:rPr>
          <w:rFonts w:ascii="Times New Roman" w:hAnsi="Times New Roman"/>
          <w:sz w:val="16"/>
        </w:rPr>
        <w:t>no</w:t>
      </w:r>
      <w:r>
        <w:rPr>
          <w:rFonts w:ascii="Times New Roman" w:hAnsi="Times New Roman"/>
          <w:spacing w:val="-10"/>
          <w:sz w:val="16"/>
        </w:rPr>
        <w:t> </w:t>
      </w:r>
      <w:r>
        <w:rPr>
          <w:rFonts w:ascii="Times New Roman" w:hAnsi="Times New Roman"/>
          <w:sz w:val="16"/>
        </w:rPr>
        <w:t>a</w:t>
      </w:r>
      <w:r>
        <w:rPr>
          <w:rFonts w:ascii="Times New Roman" w:hAnsi="Times New Roman"/>
          <w:spacing w:val="-8"/>
          <w:sz w:val="16"/>
        </w:rPr>
        <w:t> </w:t>
      </w:r>
      <w:r>
        <w:rPr>
          <w:rFonts w:ascii="Times New Roman" w:hAnsi="Times New Roman"/>
          <w:sz w:val="16"/>
        </w:rPr>
        <w:t>todos</w:t>
      </w:r>
      <w:r>
        <w:rPr>
          <w:rFonts w:ascii="Times New Roman" w:hAnsi="Times New Roman"/>
          <w:spacing w:val="-7"/>
          <w:sz w:val="16"/>
        </w:rPr>
        <w:t> </w:t>
      </w:r>
      <w:r>
        <w:rPr>
          <w:rFonts w:ascii="Times New Roman" w:hAnsi="Times New Roman"/>
          <w:sz w:val="16"/>
        </w:rPr>
        <w:t>les</w:t>
      </w:r>
      <w:r>
        <w:rPr>
          <w:rFonts w:ascii="Times New Roman" w:hAnsi="Times New Roman"/>
          <w:spacing w:val="-7"/>
          <w:sz w:val="16"/>
        </w:rPr>
        <w:t> </w:t>
      </w:r>
      <w:r>
        <w:rPr>
          <w:rFonts w:ascii="Times New Roman" w:hAnsi="Times New Roman"/>
          <w:sz w:val="16"/>
        </w:rPr>
        <w:t>interesa</w:t>
      </w:r>
      <w:r>
        <w:rPr>
          <w:rFonts w:ascii="Times New Roman" w:hAnsi="Times New Roman"/>
          <w:spacing w:val="-4"/>
          <w:sz w:val="16"/>
        </w:rPr>
        <w:t> </w:t>
      </w:r>
      <w:r>
        <w:rPr>
          <w:rFonts w:ascii="Times New Roman" w:hAnsi="Times New Roman"/>
          <w:sz w:val="16"/>
        </w:rPr>
        <w:t>el</w:t>
      </w:r>
      <w:r>
        <w:rPr>
          <w:rFonts w:ascii="Times New Roman" w:hAnsi="Times New Roman"/>
          <w:spacing w:val="-8"/>
          <w:sz w:val="16"/>
        </w:rPr>
        <w:t> </w:t>
      </w:r>
      <w:r>
        <w:rPr>
          <w:rFonts w:ascii="Times New Roman" w:hAnsi="Times New Roman"/>
          <w:sz w:val="16"/>
        </w:rPr>
        <w:t>tema</w:t>
      </w:r>
      <w:r>
        <w:rPr>
          <w:rFonts w:ascii="Times New Roman" w:hAnsi="Times New Roman"/>
          <w:spacing w:val="-11"/>
          <w:sz w:val="16"/>
        </w:rPr>
        <w:t> </w:t>
      </w:r>
      <w:r>
        <w:rPr>
          <w:rFonts w:ascii="Times New Roman" w:hAnsi="Times New Roman"/>
          <w:sz w:val="16"/>
        </w:rPr>
        <w:t>de</w:t>
      </w:r>
      <w:r>
        <w:rPr>
          <w:rFonts w:ascii="Times New Roman" w:hAnsi="Times New Roman"/>
          <w:spacing w:val="-11"/>
          <w:sz w:val="16"/>
        </w:rPr>
        <w:t> </w:t>
      </w:r>
      <w:r>
        <w:rPr>
          <w:rFonts w:ascii="Times New Roman" w:hAnsi="Times New Roman"/>
          <w:sz w:val="16"/>
        </w:rPr>
        <w:t>GA</w:t>
      </w:r>
      <w:r>
        <w:rPr>
          <w:rFonts w:ascii="Times New Roman" w:hAnsi="Times New Roman"/>
          <w:spacing w:val="-10"/>
          <w:sz w:val="16"/>
        </w:rPr>
        <w:t> </w:t>
      </w:r>
      <w:r>
        <w:rPr>
          <w:rFonts w:ascii="Times New Roman" w:hAnsi="Times New Roman"/>
          <w:sz w:val="16"/>
        </w:rPr>
        <w:t>o</w:t>
      </w:r>
      <w:r>
        <w:rPr>
          <w:rFonts w:ascii="Times New Roman" w:hAnsi="Times New Roman"/>
          <w:spacing w:val="-8"/>
          <w:sz w:val="16"/>
        </w:rPr>
        <w:t> </w:t>
      </w:r>
      <w:r>
        <w:rPr>
          <w:rFonts w:ascii="Times New Roman" w:hAnsi="Times New Roman"/>
          <w:sz w:val="16"/>
        </w:rPr>
        <w:t>tienen</w:t>
      </w:r>
      <w:r>
        <w:rPr>
          <w:rFonts w:ascii="Times New Roman" w:hAnsi="Times New Roman"/>
          <w:spacing w:val="-8"/>
          <w:sz w:val="16"/>
        </w:rPr>
        <w:t> </w:t>
      </w:r>
      <w:r>
        <w:rPr>
          <w:rFonts w:ascii="Times New Roman" w:hAnsi="Times New Roman"/>
          <w:sz w:val="16"/>
        </w:rPr>
        <w:t>medios</w:t>
      </w:r>
      <w:r>
        <w:rPr>
          <w:rFonts w:ascii="Times New Roman" w:hAnsi="Times New Roman"/>
          <w:spacing w:val="-11"/>
          <w:sz w:val="16"/>
        </w:rPr>
        <w:t> </w:t>
      </w:r>
      <w:r>
        <w:rPr>
          <w:rFonts w:ascii="Times New Roman" w:hAnsi="Times New Roman"/>
          <w:sz w:val="16"/>
        </w:rPr>
        <w:t>para</w:t>
      </w:r>
      <w:r>
        <w:rPr>
          <w:rFonts w:ascii="Times New Roman" w:hAnsi="Times New Roman"/>
          <w:spacing w:val="-8"/>
          <w:sz w:val="16"/>
        </w:rPr>
        <w:t> </w:t>
      </w:r>
      <w:r>
        <w:rPr>
          <w:rFonts w:ascii="Times New Roman" w:hAnsi="Times New Roman"/>
          <w:sz w:val="16"/>
        </w:rPr>
        <w:t>acceder</w:t>
      </w:r>
      <w:r>
        <w:rPr>
          <w:rFonts w:ascii="Times New Roman" w:hAnsi="Times New Roman"/>
          <w:spacing w:val="-10"/>
          <w:sz w:val="16"/>
        </w:rPr>
        <w:t> </w:t>
      </w:r>
      <w:r>
        <w:rPr>
          <w:rFonts w:ascii="Times New Roman" w:hAnsi="Times New Roman"/>
          <w:sz w:val="16"/>
        </w:rPr>
        <w:t>a</w:t>
      </w:r>
      <w:r>
        <w:rPr>
          <w:rFonts w:ascii="Times New Roman" w:hAnsi="Times New Roman"/>
          <w:spacing w:val="-6"/>
          <w:sz w:val="16"/>
        </w:rPr>
        <w:t> </w:t>
      </w:r>
      <w:r>
        <w:rPr>
          <w:rFonts w:ascii="Times New Roman" w:hAnsi="Times New Roman"/>
          <w:sz w:val="16"/>
        </w:rPr>
        <w:t>la</w:t>
      </w:r>
      <w:r>
        <w:rPr>
          <w:rFonts w:ascii="Times New Roman" w:hAnsi="Times New Roman"/>
          <w:spacing w:val="-8"/>
          <w:sz w:val="16"/>
        </w:rPr>
        <w:t> </w:t>
      </w:r>
      <w:r>
        <w:rPr>
          <w:rFonts w:ascii="Times New Roman" w:hAnsi="Times New Roman"/>
          <w:sz w:val="16"/>
        </w:rPr>
        <w:t>información</w:t>
      </w:r>
      <w:r>
        <w:rPr>
          <w:rFonts w:ascii="Times New Roman" w:hAnsi="Times New Roman"/>
          <w:spacing w:val="-5"/>
          <w:sz w:val="16"/>
        </w:rPr>
        <w:t> </w:t>
      </w:r>
      <w:r>
        <w:rPr>
          <w:rFonts w:ascii="Times New Roman" w:hAnsi="Times New Roman"/>
          <w:sz w:val="16"/>
        </w:rPr>
        <w:t>y</w:t>
      </w:r>
      <w:r>
        <w:rPr>
          <w:rFonts w:ascii="Times New Roman" w:hAnsi="Times New Roman"/>
          <w:spacing w:val="-12"/>
          <w:sz w:val="16"/>
        </w:rPr>
        <w:t> </w:t>
      </w:r>
      <w:r>
        <w:rPr>
          <w:rFonts w:ascii="Times New Roman" w:hAnsi="Times New Roman"/>
          <w:sz w:val="16"/>
        </w:rPr>
        <w:t>participar en los asuntos</w:t>
      </w:r>
      <w:r>
        <w:rPr>
          <w:rFonts w:ascii="Times New Roman" w:hAnsi="Times New Roman"/>
          <w:spacing w:val="-12"/>
          <w:sz w:val="16"/>
        </w:rPr>
        <w:t> </w:t>
      </w:r>
      <w:r>
        <w:rPr>
          <w:rFonts w:ascii="Times New Roman" w:hAnsi="Times New Roman"/>
          <w:sz w:val="16"/>
        </w:rPr>
        <w:t>públicos.</w:t>
      </w:r>
    </w:p>
    <w:p>
      <w:pPr>
        <w:spacing w:after="0" w:line="259" w:lineRule="auto"/>
        <w:jc w:val="left"/>
        <w:rPr>
          <w:rFonts w:ascii="Times New Roman" w:hAnsi="Times New Roman"/>
          <w:sz w:val="16"/>
        </w:rPr>
        <w:sectPr>
          <w:pgSz w:w="12240" w:h="15840"/>
          <w:pgMar w:header="0" w:footer="975" w:top="1360" w:bottom="1220" w:left="1580" w:right="1580"/>
        </w:sectPr>
      </w:pPr>
    </w:p>
    <w:p>
      <w:pPr>
        <w:pStyle w:val="Heading1"/>
        <w:numPr>
          <w:ilvl w:val="3"/>
          <w:numId w:val="16"/>
        </w:numPr>
        <w:tabs>
          <w:tab w:pos="1538" w:val="left" w:leader="none"/>
        </w:tabs>
        <w:spacing w:line="240" w:lineRule="auto" w:before="56" w:after="0"/>
        <w:ind w:left="1538" w:right="0" w:hanging="1428"/>
        <w:jc w:val="both"/>
      </w:pPr>
      <w:r>
        <w:rPr/>
        <w:t>Formalización del Gobierno Abierto en la</w:t>
      </w:r>
      <w:r>
        <w:rPr>
          <w:spacing w:val="-12"/>
        </w:rPr>
        <w:t> </w:t>
      </w:r>
      <w:r>
        <w:rPr/>
        <w:t>ONU</w:t>
      </w:r>
    </w:p>
    <w:p>
      <w:pPr>
        <w:pStyle w:val="BodyText"/>
        <w:rPr>
          <w:b/>
        </w:rPr>
      </w:pPr>
    </w:p>
    <w:p>
      <w:pPr>
        <w:pStyle w:val="BodyText"/>
        <w:rPr>
          <w:b/>
        </w:rPr>
      </w:pPr>
    </w:p>
    <w:p>
      <w:pPr>
        <w:pStyle w:val="BodyText"/>
        <w:spacing w:line="360" w:lineRule="auto" w:before="159"/>
        <w:ind w:left="122" w:right="117"/>
        <w:jc w:val="both"/>
      </w:pPr>
      <w:r>
        <w:rPr/>
        <w:t>El Gobierno Abierto (GA), término de moda a partir de que el presidente Barack Obama, anunciara que su administración tendría una apertura sin precedentes en los</w:t>
      </w:r>
      <w:r>
        <w:rPr>
          <w:spacing w:val="-7"/>
        </w:rPr>
        <w:t> </w:t>
      </w:r>
      <w:r>
        <w:rPr/>
        <w:t>asuntos</w:t>
      </w:r>
      <w:r>
        <w:rPr>
          <w:spacing w:val="-10"/>
        </w:rPr>
        <w:t> </w:t>
      </w:r>
      <w:r>
        <w:rPr/>
        <w:t>del</w:t>
      </w:r>
      <w:r>
        <w:rPr>
          <w:spacing w:val="-8"/>
        </w:rPr>
        <w:t> </w:t>
      </w:r>
      <w:r>
        <w:rPr/>
        <w:t>gobierno</w:t>
      </w:r>
      <w:r>
        <w:rPr>
          <w:spacing w:val="-7"/>
        </w:rPr>
        <w:t> </w:t>
      </w:r>
      <w:r>
        <w:rPr/>
        <w:t>para</w:t>
      </w:r>
      <w:r>
        <w:rPr>
          <w:spacing w:val="-10"/>
        </w:rPr>
        <w:t> </w:t>
      </w:r>
      <w:r>
        <w:rPr/>
        <w:t>establecer</w:t>
      </w:r>
      <w:r>
        <w:rPr>
          <w:spacing w:val="-11"/>
        </w:rPr>
        <w:t> </w:t>
      </w:r>
      <w:r>
        <w:rPr/>
        <w:t>un</w:t>
      </w:r>
      <w:r>
        <w:rPr>
          <w:spacing w:val="-7"/>
        </w:rPr>
        <w:t> </w:t>
      </w:r>
      <w:r>
        <w:rPr/>
        <w:t>sistema</w:t>
      </w:r>
      <w:r>
        <w:rPr>
          <w:spacing w:val="-7"/>
        </w:rPr>
        <w:t> </w:t>
      </w:r>
      <w:r>
        <w:rPr/>
        <w:t>de</w:t>
      </w:r>
      <w:r>
        <w:rPr>
          <w:spacing w:val="-7"/>
        </w:rPr>
        <w:t> </w:t>
      </w:r>
      <w:r>
        <w:rPr/>
        <w:t>transparencia,</w:t>
      </w:r>
      <w:r>
        <w:rPr>
          <w:spacing w:val="-7"/>
        </w:rPr>
        <w:t> </w:t>
      </w:r>
      <w:r>
        <w:rPr/>
        <w:t>participación ciudadana y colaboración que permitiera mejorar la eficiencia gubernamental y fortalecer la democracia (Obama, 2009). Dicho término se remonta también a la democracia</w:t>
      </w:r>
      <w:r>
        <w:rPr>
          <w:spacing w:val="-14"/>
        </w:rPr>
        <w:t> </w:t>
      </w:r>
      <w:r>
        <w:rPr/>
        <w:t>directa</w:t>
      </w:r>
      <w:r>
        <w:rPr>
          <w:spacing w:val="-14"/>
        </w:rPr>
        <w:t> </w:t>
      </w:r>
      <w:r>
        <w:rPr/>
        <w:t>que</w:t>
      </w:r>
      <w:r>
        <w:rPr>
          <w:spacing w:val="-12"/>
        </w:rPr>
        <w:t> </w:t>
      </w:r>
      <w:r>
        <w:rPr/>
        <w:t>sucedía</w:t>
      </w:r>
      <w:r>
        <w:rPr>
          <w:spacing w:val="-12"/>
        </w:rPr>
        <w:t> </w:t>
      </w:r>
      <w:r>
        <w:rPr/>
        <w:t>en</w:t>
      </w:r>
      <w:r>
        <w:rPr>
          <w:spacing w:val="-12"/>
        </w:rPr>
        <w:t> </w:t>
      </w:r>
      <w:r>
        <w:rPr/>
        <w:t>la</w:t>
      </w:r>
      <w:r>
        <w:rPr>
          <w:spacing w:val="-14"/>
        </w:rPr>
        <w:t> </w:t>
      </w:r>
      <w:r>
        <w:rPr/>
        <w:t>antigua</w:t>
      </w:r>
      <w:r>
        <w:rPr>
          <w:spacing w:val="-14"/>
        </w:rPr>
        <w:t> </w:t>
      </w:r>
      <w:r>
        <w:rPr/>
        <w:t>polis</w:t>
      </w:r>
      <w:r>
        <w:rPr>
          <w:spacing w:val="-13"/>
        </w:rPr>
        <w:t> </w:t>
      </w:r>
      <w:r>
        <w:rPr/>
        <w:t>griega,</w:t>
      </w:r>
      <w:r>
        <w:rPr>
          <w:spacing w:val="-12"/>
        </w:rPr>
        <w:t> </w:t>
      </w:r>
      <w:r>
        <w:rPr/>
        <w:t>en</w:t>
      </w:r>
      <w:r>
        <w:rPr>
          <w:spacing w:val="-12"/>
        </w:rPr>
        <w:t> </w:t>
      </w:r>
      <w:r>
        <w:rPr/>
        <w:t>la</w:t>
      </w:r>
      <w:r>
        <w:rPr>
          <w:spacing w:val="-14"/>
        </w:rPr>
        <w:t> </w:t>
      </w:r>
      <w:r>
        <w:rPr/>
        <w:t>que</w:t>
      </w:r>
      <w:r>
        <w:rPr>
          <w:spacing w:val="-14"/>
        </w:rPr>
        <w:t> </w:t>
      </w:r>
      <w:r>
        <w:rPr/>
        <w:t>de</w:t>
      </w:r>
      <w:r>
        <w:rPr>
          <w:spacing w:val="-14"/>
        </w:rPr>
        <w:t> </w:t>
      </w:r>
      <w:r>
        <w:rPr/>
        <w:t>acuerdo</w:t>
      </w:r>
      <w:r>
        <w:rPr>
          <w:spacing w:val="-12"/>
        </w:rPr>
        <w:t> </w:t>
      </w:r>
      <w:r>
        <w:rPr/>
        <w:t>con Dalh (1989), el gobierno y ciudadanos participaban de manera conjunta en los asuntos del Estado. Asimismo, señala (Villoria, 2014), se relaciona con la tradición china del mandato celestial que obligaba al rey a servir a su pueblo de manera responsable y ética. Sin embargo, cabe precisar que esta obligación de los gobernantes en Grecia y China era solo de tipo moral y con la aparición del Estado feudal y posteriormente del Estado absolutista se fue perdiendo, convirtiendo al gobierno en una institución de opacidad que basaba su poder en el uso de la coacción</w:t>
      </w:r>
      <w:r>
        <w:rPr>
          <w:spacing w:val="-4"/>
        </w:rPr>
        <w:t> </w:t>
      </w:r>
      <w:r>
        <w:rPr/>
        <w:t>física.</w:t>
      </w:r>
    </w:p>
    <w:p>
      <w:pPr>
        <w:pStyle w:val="BodyText"/>
      </w:pPr>
    </w:p>
    <w:p>
      <w:pPr>
        <w:pStyle w:val="BodyText"/>
      </w:pPr>
    </w:p>
    <w:p>
      <w:pPr>
        <w:pStyle w:val="BodyText"/>
        <w:spacing w:line="360" w:lineRule="auto" w:before="188"/>
        <w:ind w:left="122" w:right="115"/>
        <w:jc w:val="both"/>
      </w:pPr>
      <w:r>
        <w:rPr/>
        <w:t>Como consecuencia de la opacidad del gobierno en los siglos XVIII y XIX, la obligación moral de los gobernantes comenzó a materializarse por obligaciones escritas,</w:t>
      </w:r>
      <w:r>
        <w:rPr>
          <w:spacing w:val="-7"/>
        </w:rPr>
        <w:t> </w:t>
      </w:r>
      <w:r>
        <w:rPr/>
        <w:t>entre</w:t>
      </w:r>
      <w:r>
        <w:rPr>
          <w:spacing w:val="-7"/>
        </w:rPr>
        <w:t> </w:t>
      </w:r>
      <w:r>
        <w:rPr/>
        <w:t>los</w:t>
      </w:r>
      <w:r>
        <w:rPr>
          <w:spacing w:val="-7"/>
        </w:rPr>
        <w:t> </w:t>
      </w:r>
      <w:r>
        <w:rPr/>
        <w:t>documentos</w:t>
      </w:r>
      <w:r>
        <w:rPr>
          <w:spacing w:val="-8"/>
        </w:rPr>
        <w:t> </w:t>
      </w:r>
      <w:r>
        <w:rPr/>
        <w:t>que</w:t>
      </w:r>
      <w:r>
        <w:rPr>
          <w:spacing w:val="-7"/>
        </w:rPr>
        <w:t> </w:t>
      </w:r>
      <w:r>
        <w:rPr/>
        <w:t>destacan</w:t>
      </w:r>
      <w:r>
        <w:rPr>
          <w:spacing w:val="-7"/>
        </w:rPr>
        <w:t> </w:t>
      </w:r>
      <w:r>
        <w:rPr/>
        <w:t>se</w:t>
      </w:r>
      <w:r>
        <w:rPr>
          <w:spacing w:val="-7"/>
        </w:rPr>
        <w:t> </w:t>
      </w:r>
      <w:r>
        <w:rPr/>
        <w:t>pueden</w:t>
      </w:r>
      <w:r>
        <w:rPr>
          <w:spacing w:val="-7"/>
        </w:rPr>
        <w:t> </w:t>
      </w:r>
      <w:r>
        <w:rPr/>
        <w:t>encontrar</w:t>
      </w:r>
      <w:r>
        <w:rPr>
          <w:spacing w:val="-6"/>
        </w:rPr>
        <w:t> </w:t>
      </w:r>
      <w:r>
        <w:rPr/>
        <w:t>los</w:t>
      </w:r>
      <w:r>
        <w:rPr>
          <w:spacing w:val="-5"/>
        </w:rPr>
        <w:t> </w:t>
      </w:r>
      <w:r>
        <w:rPr/>
        <w:t>siguientes:</w:t>
      </w:r>
      <w:r>
        <w:rPr>
          <w:spacing w:val="-5"/>
        </w:rPr>
        <w:t> </w:t>
      </w:r>
      <w:r>
        <w:rPr/>
        <w:t>la primera</w:t>
      </w:r>
      <w:r>
        <w:rPr>
          <w:spacing w:val="-11"/>
        </w:rPr>
        <w:t> </w:t>
      </w:r>
      <w:r>
        <w:rPr/>
        <w:t>ley</w:t>
      </w:r>
      <w:r>
        <w:rPr>
          <w:spacing w:val="-13"/>
        </w:rPr>
        <w:t> </w:t>
      </w:r>
      <w:r>
        <w:rPr/>
        <w:t>de</w:t>
      </w:r>
      <w:r>
        <w:rPr>
          <w:spacing w:val="-11"/>
        </w:rPr>
        <w:t> </w:t>
      </w:r>
      <w:r>
        <w:rPr/>
        <w:t>transparencia</w:t>
      </w:r>
      <w:r>
        <w:rPr>
          <w:spacing w:val="-11"/>
        </w:rPr>
        <w:t> </w:t>
      </w:r>
      <w:r>
        <w:rPr/>
        <w:t>en</w:t>
      </w:r>
      <w:r>
        <w:rPr>
          <w:spacing w:val="-11"/>
        </w:rPr>
        <w:t> </w:t>
      </w:r>
      <w:r>
        <w:rPr/>
        <w:t>el</w:t>
      </w:r>
      <w:r>
        <w:rPr>
          <w:spacing w:val="-14"/>
        </w:rPr>
        <w:t> </w:t>
      </w:r>
      <w:r>
        <w:rPr/>
        <w:t>mundo,</w:t>
      </w:r>
      <w:r>
        <w:rPr>
          <w:spacing w:val="-11"/>
        </w:rPr>
        <w:t> </w:t>
      </w:r>
      <w:r>
        <w:rPr/>
        <w:t>creada</w:t>
      </w:r>
      <w:r>
        <w:rPr>
          <w:spacing w:val="-13"/>
        </w:rPr>
        <w:t> </w:t>
      </w:r>
      <w:r>
        <w:rPr/>
        <w:t>en</w:t>
      </w:r>
      <w:r>
        <w:rPr>
          <w:spacing w:val="-11"/>
        </w:rPr>
        <w:t> </w:t>
      </w:r>
      <w:r>
        <w:rPr/>
        <w:t>Suecia</w:t>
      </w:r>
      <w:r>
        <w:rPr>
          <w:spacing w:val="-13"/>
        </w:rPr>
        <w:t> </w:t>
      </w:r>
      <w:r>
        <w:rPr/>
        <w:t>durante</w:t>
      </w:r>
      <w:r>
        <w:rPr>
          <w:spacing w:val="-13"/>
        </w:rPr>
        <w:t> </w:t>
      </w:r>
      <w:r>
        <w:rPr/>
        <w:t>el</w:t>
      </w:r>
      <w:r>
        <w:rPr>
          <w:spacing w:val="-12"/>
        </w:rPr>
        <w:t> </w:t>
      </w:r>
      <w:r>
        <w:rPr/>
        <w:t>año</w:t>
      </w:r>
      <w:r>
        <w:rPr>
          <w:spacing w:val="-13"/>
        </w:rPr>
        <w:t> </w:t>
      </w:r>
      <w:r>
        <w:rPr/>
        <w:t>de</w:t>
      </w:r>
      <w:r>
        <w:rPr>
          <w:spacing w:val="-13"/>
        </w:rPr>
        <w:t> </w:t>
      </w:r>
      <w:r>
        <w:rPr/>
        <w:t>1766 bajo</w:t>
      </w:r>
      <w:r>
        <w:rPr>
          <w:spacing w:val="-8"/>
        </w:rPr>
        <w:t> </w:t>
      </w:r>
      <w:r>
        <w:rPr/>
        <w:t>el</w:t>
      </w:r>
      <w:r>
        <w:rPr>
          <w:spacing w:val="-9"/>
        </w:rPr>
        <w:t> </w:t>
      </w:r>
      <w:r>
        <w:rPr/>
        <w:t>nombre</w:t>
      </w:r>
      <w:r>
        <w:rPr>
          <w:spacing w:val="-7"/>
        </w:rPr>
        <w:t> </w:t>
      </w:r>
      <w:r>
        <w:rPr/>
        <w:t>de</w:t>
      </w:r>
      <w:r>
        <w:rPr>
          <w:spacing w:val="-5"/>
        </w:rPr>
        <w:t> </w:t>
      </w:r>
      <w:r>
        <w:rPr>
          <w:i/>
        </w:rPr>
        <w:t>Freedom</w:t>
      </w:r>
      <w:r>
        <w:rPr>
          <w:i/>
          <w:spacing w:val="-9"/>
        </w:rPr>
        <w:t> </w:t>
      </w:r>
      <w:r>
        <w:rPr>
          <w:i/>
        </w:rPr>
        <w:t>of</w:t>
      </w:r>
      <w:r>
        <w:rPr>
          <w:i/>
          <w:spacing w:val="-8"/>
        </w:rPr>
        <w:t> </w:t>
      </w:r>
      <w:r>
        <w:rPr>
          <w:i/>
        </w:rPr>
        <w:t>Press</w:t>
      </w:r>
      <w:r>
        <w:rPr>
          <w:i/>
          <w:spacing w:val="-8"/>
        </w:rPr>
        <w:t> </w:t>
      </w:r>
      <w:r>
        <w:rPr>
          <w:i/>
        </w:rPr>
        <w:t>and</w:t>
      </w:r>
      <w:r>
        <w:rPr>
          <w:i/>
          <w:spacing w:val="-7"/>
        </w:rPr>
        <w:t> </w:t>
      </w:r>
      <w:r>
        <w:rPr>
          <w:i/>
        </w:rPr>
        <w:t>the</w:t>
      </w:r>
      <w:r>
        <w:rPr>
          <w:i/>
          <w:spacing w:val="-10"/>
        </w:rPr>
        <w:t> </w:t>
      </w:r>
      <w:r>
        <w:rPr>
          <w:i/>
        </w:rPr>
        <w:t>Right</w:t>
      </w:r>
      <w:r>
        <w:rPr>
          <w:i/>
          <w:spacing w:val="-8"/>
        </w:rPr>
        <w:t> </w:t>
      </w:r>
      <w:r>
        <w:rPr>
          <w:i/>
        </w:rPr>
        <w:t>of</w:t>
      </w:r>
      <w:r>
        <w:rPr>
          <w:i/>
          <w:spacing w:val="-8"/>
        </w:rPr>
        <w:t> </w:t>
      </w:r>
      <w:r>
        <w:rPr>
          <w:i/>
        </w:rPr>
        <w:t>Access</w:t>
      </w:r>
      <w:r>
        <w:rPr>
          <w:i/>
          <w:spacing w:val="-8"/>
        </w:rPr>
        <w:t> </w:t>
      </w:r>
      <w:r>
        <w:rPr>
          <w:i/>
        </w:rPr>
        <w:t>to</w:t>
      </w:r>
      <w:r>
        <w:rPr>
          <w:i/>
          <w:spacing w:val="-7"/>
        </w:rPr>
        <w:t> </w:t>
      </w:r>
      <w:r>
        <w:rPr>
          <w:i/>
        </w:rPr>
        <w:t>Public</w:t>
      </w:r>
      <w:r>
        <w:rPr>
          <w:i/>
          <w:spacing w:val="-6"/>
        </w:rPr>
        <w:t> </w:t>
      </w:r>
      <w:r>
        <w:rPr>
          <w:i/>
        </w:rPr>
        <w:t>Records</w:t>
      </w:r>
      <w:r>
        <w:rPr>
          <w:i/>
          <w:spacing w:val="-8"/>
        </w:rPr>
        <w:t> </w:t>
      </w:r>
      <w:r>
        <w:rPr>
          <w:i/>
        </w:rPr>
        <w:t>Act</w:t>
      </w:r>
      <w:r>
        <w:rPr/>
        <w:t>; la propuesta realizada por John Stuart Mill a través del texto </w:t>
      </w:r>
      <w:r>
        <w:rPr>
          <w:i/>
        </w:rPr>
        <w:t>On Liberty </w:t>
      </w:r>
      <w:r>
        <w:rPr/>
        <w:t>publicado en Londres durante 1816, el cual establece el derecho de los individuos a estar informados y expresarse libremente (Martínez y Heras, 2012) y la ley de transparencia colombiana publicada en 1888 (Guerrero,</w:t>
      </w:r>
      <w:r>
        <w:rPr>
          <w:spacing w:val="-31"/>
        </w:rPr>
        <w:t> </w:t>
      </w:r>
      <w:r>
        <w:rPr/>
        <w:t>2008).</w:t>
      </w:r>
    </w:p>
    <w:p>
      <w:pPr>
        <w:pStyle w:val="BodyText"/>
      </w:pPr>
    </w:p>
    <w:p>
      <w:pPr>
        <w:pStyle w:val="BodyText"/>
      </w:pPr>
    </w:p>
    <w:p>
      <w:pPr>
        <w:pStyle w:val="BodyText"/>
        <w:spacing w:line="360" w:lineRule="auto" w:before="185"/>
        <w:ind w:left="122" w:right="118"/>
        <w:jc w:val="both"/>
      </w:pPr>
      <w:r>
        <w:rPr/>
        <w:t>Un siglo después, se inicia un proceso de publicaciones de leyes de transparencia a</w:t>
      </w:r>
      <w:r>
        <w:rPr>
          <w:spacing w:val="-17"/>
        </w:rPr>
        <w:t> </w:t>
      </w:r>
      <w:r>
        <w:rPr/>
        <w:t>nivel</w:t>
      </w:r>
      <w:r>
        <w:rPr>
          <w:spacing w:val="-18"/>
        </w:rPr>
        <w:t> </w:t>
      </w:r>
      <w:r>
        <w:rPr/>
        <w:t>internacional</w:t>
      </w:r>
      <w:r>
        <w:rPr>
          <w:spacing w:val="-18"/>
        </w:rPr>
        <w:t> </w:t>
      </w:r>
      <w:r>
        <w:rPr/>
        <w:t>con</w:t>
      </w:r>
      <w:r>
        <w:rPr>
          <w:spacing w:val="-17"/>
        </w:rPr>
        <w:t> </w:t>
      </w:r>
      <w:r>
        <w:rPr/>
        <w:t>Finlandia</w:t>
      </w:r>
      <w:r>
        <w:rPr>
          <w:spacing w:val="-19"/>
        </w:rPr>
        <w:t> </w:t>
      </w:r>
      <w:r>
        <w:rPr/>
        <w:t>en</w:t>
      </w:r>
      <w:r>
        <w:rPr>
          <w:spacing w:val="-19"/>
        </w:rPr>
        <w:t> </w:t>
      </w:r>
      <w:r>
        <w:rPr/>
        <w:t>1951,</w:t>
      </w:r>
      <w:r>
        <w:rPr>
          <w:spacing w:val="-19"/>
        </w:rPr>
        <w:t> </w:t>
      </w:r>
      <w:r>
        <w:rPr/>
        <w:t>hasta</w:t>
      </w:r>
      <w:r>
        <w:rPr>
          <w:spacing w:val="-17"/>
        </w:rPr>
        <w:t> </w:t>
      </w:r>
      <w:r>
        <w:rPr/>
        <w:t>Honduras,</w:t>
      </w:r>
      <w:r>
        <w:rPr>
          <w:spacing w:val="-19"/>
        </w:rPr>
        <w:t> </w:t>
      </w:r>
      <w:r>
        <w:rPr/>
        <w:t>Kirguistán</w:t>
      </w:r>
      <w:r>
        <w:rPr>
          <w:spacing w:val="-17"/>
        </w:rPr>
        <w:t> </w:t>
      </w:r>
      <w:r>
        <w:rPr/>
        <w:t>y</w:t>
      </w:r>
      <w:r>
        <w:rPr>
          <w:spacing w:val="-20"/>
        </w:rPr>
        <w:t> </w:t>
      </w:r>
      <w:r>
        <w:rPr/>
        <w:t>Macedonia</w:t>
      </w:r>
    </w:p>
    <w:p>
      <w:pPr>
        <w:spacing w:after="0" w:line="360" w:lineRule="auto"/>
        <w:jc w:val="both"/>
        <w:sectPr>
          <w:pgSz w:w="12240" w:h="15840"/>
          <w:pgMar w:header="0" w:footer="975" w:top="1360" w:bottom="1220" w:left="1580" w:right="1580"/>
        </w:sectPr>
      </w:pPr>
    </w:p>
    <w:p>
      <w:pPr>
        <w:pStyle w:val="BodyText"/>
        <w:spacing w:line="360" w:lineRule="auto" w:before="54"/>
        <w:ind w:left="102" w:right="116"/>
        <w:jc w:val="both"/>
      </w:pPr>
      <w:r>
        <w:rPr/>
        <w:t>en</w:t>
      </w:r>
      <w:r>
        <w:rPr>
          <w:spacing w:val="-6"/>
        </w:rPr>
        <w:t> </w:t>
      </w:r>
      <w:r>
        <w:rPr/>
        <w:t>2006</w:t>
      </w:r>
      <w:r>
        <w:rPr>
          <w:spacing w:val="-6"/>
        </w:rPr>
        <w:t> </w:t>
      </w:r>
      <w:r>
        <w:rPr/>
        <w:t>(Guerrero</w:t>
      </w:r>
      <w:r>
        <w:rPr>
          <w:spacing w:val="-7"/>
        </w:rPr>
        <w:t> </w:t>
      </w:r>
      <w:r>
        <w:rPr/>
        <w:t>G,</w:t>
      </w:r>
      <w:r>
        <w:rPr>
          <w:spacing w:val="-8"/>
        </w:rPr>
        <w:t> </w:t>
      </w:r>
      <w:r>
        <w:rPr/>
        <w:t>2008).</w:t>
      </w:r>
      <w:r>
        <w:rPr>
          <w:spacing w:val="-7"/>
        </w:rPr>
        <w:t> </w:t>
      </w:r>
      <w:r>
        <w:rPr/>
        <w:t>Asimismo,</w:t>
      </w:r>
      <w:r>
        <w:rPr>
          <w:spacing w:val="-6"/>
        </w:rPr>
        <w:t> </w:t>
      </w:r>
      <w:r>
        <w:rPr/>
        <w:t>contribuyen</w:t>
      </w:r>
      <w:r>
        <w:rPr>
          <w:spacing w:val="-6"/>
        </w:rPr>
        <w:t> </w:t>
      </w:r>
      <w:r>
        <w:rPr/>
        <w:t>la</w:t>
      </w:r>
      <w:r>
        <w:rPr>
          <w:spacing w:val="-6"/>
        </w:rPr>
        <w:t> </w:t>
      </w:r>
      <w:r>
        <w:rPr/>
        <w:t>Declaración</w:t>
      </w:r>
      <w:r>
        <w:rPr>
          <w:spacing w:val="-8"/>
        </w:rPr>
        <w:t> </w:t>
      </w:r>
      <w:r>
        <w:rPr/>
        <w:t>Universal</w:t>
      </w:r>
      <w:r>
        <w:rPr>
          <w:spacing w:val="-7"/>
        </w:rPr>
        <w:t> </w:t>
      </w:r>
      <w:r>
        <w:rPr/>
        <w:t>de</w:t>
      </w:r>
      <w:r>
        <w:rPr>
          <w:spacing w:val="-6"/>
        </w:rPr>
        <w:t> </w:t>
      </w:r>
      <w:r>
        <w:rPr/>
        <w:t>los Derechos Humanos (1948), el Pacto Internacional de Derechos Civiles y Políticos (1966); la Convención Americana sobre Derechos Humanos (1969); la Convención Sobre</w:t>
      </w:r>
      <w:r>
        <w:rPr>
          <w:spacing w:val="-11"/>
        </w:rPr>
        <w:t> </w:t>
      </w:r>
      <w:r>
        <w:rPr/>
        <w:t>la</w:t>
      </w:r>
      <w:r>
        <w:rPr>
          <w:spacing w:val="-11"/>
        </w:rPr>
        <w:t> </w:t>
      </w:r>
      <w:r>
        <w:rPr/>
        <w:t>Eliminación</w:t>
      </w:r>
      <w:r>
        <w:rPr>
          <w:spacing w:val="-10"/>
        </w:rPr>
        <w:t> </w:t>
      </w:r>
      <w:r>
        <w:rPr/>
        <w:t>de</w:t>
      </w:r>
      <w:r>
        <w:rPr>
          <w:spacing w:val="-11"/>
        </w:rPr>
        <w:t> </w:t>
      </w:r>
      <w:r>
        <w:rPr/>
        <w:t>Todas</w:t>
      </w:r>
      <w:r>
        <w:rPr>
          <w:spacing w:val="-12"/>
        </w:rPr>
        <w:t> </w:t>
      </w:r>
      <w:r>
        <w:rPr/>
        <w:t>las</w:t>
      </w:r>
      <w:r>
        <w:rPr>
          <w:spacing w:val="-11"/>
        </w:rPr>
        <w:t> </w:t>
      </w:r>
      <w:r>
        <w:rPr/>
        <w:t>Formas</w:t>
      </w:r>
      <w:r>
        <w:rPr>
          <w:spacing w:val="-12"/>
        </w:rPr>
        <w:t> </w:t>
      </w:r>
      <w:r>
        <w:rPr/>
        <w:t>de</w:t>
      </w:r>
      <w:r>
        <w:rPr>
          <w:spacing w:val="-11"/>
        </w:rPr>
        <w:t> </w:t>
      </w:r>
      <w:r>
        <w:rPr/>
        <w:t>Discriminación</w:t>
      </w:r>
      <w:r>
        <w:rPr>
          <w:spacing w:val="-10"/>
        </w:rPr>
        <w:t> </w:t>
      </w:r>
      <w:r>
        <w:rPr/>
        <w:t>Contra</w:t>
      </w:r>
      <w:r>
        <w:rPr>
          <w:spacing w:val="-13"/>
        </w:rPr>
        <w:t> </w:t>
      </w:r>
      <w:r>
        <w:rPr/>
        <w:t>la</w:t>
      </w:r>
      <w:r>
        <w:rPr>
          <w:spacing w:val="-9"/>
        </w:rPr>
        <w:t> </w:t>
      </w:r>
      <w:r>
        <w:rPr/>
        <w:t>Mujer</w:t>
      </w:r>
      <w:r>
        <w:rPr>
          <w:spacing w:val="-9"/>
        </w:rPr>
        <w:t> </w:t>
      </w:r>
      <w:r>
        <w:rPr/>
        <w:t>(1979) para fomentar el acceso a la información como un derecho del individuo, asimismo promoviendo la transparencia, rendición de cuentas y cumplimiento de las leyes para que el Estado de derecho predomine en todo sistema democrático. Por tal motivo es pertinente resaltar que el acceso a la información, la transparencia y la rendición de cuentas constituyen los principios del</w:t>
      </w:r>
      <w:r>
        <w:rPr>
          <w:spacing w:val="-18"/>
        </w:rPr>
        <w:t> </w:t>
      </w:r>
      <w:r>
        <w:rPr/>
        <w:t>GA.</w:t>
      </w:r>
    </w:p>
    <w:p>
      <w:pPr>
        <w:pStyle w:val="BodyText"/>
      </w:pPr>
    </w:p>
    <w:p>
      <w:pPr>
        <w:pStyle w:val="BodyText"/>
      </w:pPr>
    </w:p>
    <w:p>
      <w:pPr>
        <w:pStyle w:val="BodyText"/>
        <w:spacing w:line="360" w:lineRule="auto" w:before="188"/>
        <w:ind w:left="102" w:right="115"/>
        <w:jc w:val="both"/>
      </w:pPr>
      <w:r>
        <w:rPr/>
        <w:t>El origen institucional del GA tuvo lugar con la Asamblea General de Naciones Unidas</w:t>
      </w:r>
      <w:r>
        <w:rPr>
          <w:spacing w:val="-19"/>
        </w:rPr>
        <w:t> </w:t>
      </w:r>
      <w:r>
        <w:rPr/>
        <w:t>celebrada</w:t>
      </w:r>
      <w:r>
        <w:rPr>
          <w:spacing w:val="-20"/>
        </w:rPr>
        <w:t> </w:t>
      </w:r>
      <w:r>
        <w:rPr/>
        <w:t>el</w:t>
      </w:r>
      <w:r>
        <w:rPr>
          <w:spacing w:val="-19"/>
        </w:rPr>
        <w:t> </w:t>
      </w:r>
      <w:r>
        <w:rPr/>
        <w:t>12</w:t>
      </w:r>
      <w:r>
        <w:rPr>
          <w:spacing w:val="-20"/>
        </w:rPr>
        <w:t> </w:t>
      </w:r>
      <w:r>
        <w:rPr/>
        <w:t>de</w:t>
      </w:r>
      <w:r>
        <w:rPr>
          <w:spacing w:val="-18"/>
        </w:rPr>
        <w:t> </w:t>
      </w:r>
      <w:r>
        <w:rPr/>
        <w:t>julio</w:t>
      </w:r>
      <w:r>
        <w:rPr>
          <w:spacing w:val="-18"/>
        </w:rPr>
        <w:t> </w:t>
      </w:r>
      <w:r>
        <w:rPr/>
        <w:t>de</w:t>
      </w:r>
      <w:r>
        <w:rPr>
          <w:spacing w:val="-18"/>
        </w:rPr>
        <w:t> </w:t>
      </w:r>
      <w:r>
        <w:rPr/>
        <w:t>2011</w:t>
      </w:r>
      <w:r>
        <w:rPr>
          <w:spacing w:val="-20"/>
        </w:rPr>
        <w:t> </w:t>
      </w:r>
      <w:r>
        <w:rPr/>
        <w:t>en</w:t>
      </w:r>
      <w:r>
        <w:rPr>
          <w:spacing w:val="-18"/>
        </w:rPr>
        <w:t> </w:t>
      </w:r>
      <w:r>
        <w:rPr/>
        <w:t>Nueva</w:t>
      </w:r>
      <w:r>
        <w:rPr>
          <w:spacing w:val="-18"/>
        </w:rPr>
        <w:t> </w:t>
      </w:r>
      <w:r>
        <w:rPr/>
        <w:t>York,</w:t>
      </w:r>
      <w:r>
        <w:rPr>
          <w:spacing w:val="-19"/>
        </w:rPr>
        <w:t> </w:t>
      </w:r>
      <w:r>
        <w:rPr/>
        <w:t>en</w:t>
      </w:r>
      <w:r>
        <w:rPr>
          <w:spacing w:val="-18"/>
        </w:rPr>
        <w:t> </w:t>
      </w:r>
      <w:r>
        <w:rPr/>
        <w:t>la</w:t>
      </w:r>
      <w:r>
        <w:rPr>
          <w:spacing w:val="-18"/>
        </w:rPr>
        <w:t> </w:t>
      </w:r>
      <w:r>
        <w:rPr/>
        <w:t>que</w:t>
      </w:r>
      <w:r>
        <w:rPr>
          <w:spacing w:val="-18"/>
        </w:rPr>
        <w:t> </w:t>
      </w:r>
      <w:r>
        <w:rPr/>
        <w:t>En</w:t>
      </w:r>
      <w:r>
        <w:rPr>
          <w:spacing w:val="-20"/>
        </w:rPr>
        <w:t> </w:t>
      </w:r>
      <w:r>
        <w:rPr/>
        <w:t>Estados</w:t>
      </w:r>
      <w:r>
        <w:rPr>
          <w:spacing w:val="-19"/>
        </w:rPr>
        <w:t> </w:t>
      </w:r>
      <w:r>
        <w:rPr/>
        <w:t>Unidos y Brasil presentaron las bases de la iniciativa multilateral </w:t>
      </w:r>
      <w:r>
        <w:rPr>
          <w:i/>
        </w:rPr>
        <w:t>Open Government </w:t>
      </w:r>
      <w:r>
        <w:rPr>
          <w:i/>
        </w:rPr>
        <w:t>Partnership </w:t>
      </w:r>
      <w:r>
        <w:rPr/>
        <w:t>(Alianza para el Gobierno Abierto) como un medio para promover políticas de transparencia mediante tres principios: confianza pública, sistema de transparencia y participación de la sociedad con el gobierno (Peschard,</w:t>
      </w:r>
      <w:r>
        <w:rPr>
          <w:spacing w:val="-28"/>
        </w:rPr>
        <w:t> </w:t>
      </w:r>
      <w:r>
        <w:rPr/>
        <w:t>2012).</w:t>
      </w:r>
    </w:p>
    <w:p>
      <w:pPr>
        <w:pStyle w:val="BodyText"/>
      </w:pPr>
    </w:p>
    <w:p>
      <w:pPr>
        <w:pStyle w:val="BodyText"/>
      </w:pPr>
    </w:p>
    <w:p>
      <w:pPr>
        <w:spacing w:before="186"/>
        <w:ind w:left="810" w:right="682" w:firstLine="0"/>
        <w:jc w:val="both"/>
        <w:rPr>
          <w:sz w:val="18"/>
        </w:rPr>
      </w:pPr>
      <w:r>
        <w:rPr>
          <w:sz w:val="18"/>
        </w:rPr>
        <w:t>Tan inminente es la decisión de abordar el Gobierno Abierto que durante el 66º periodo de sesiones de la Asamblea General de las Naciones Unidas, celebrado en septiembre de 2011, se lanzó a nivel mundial el Open Government Partnership (OGP), iniciativa liderada por los gobiernos de Estados Unidos y Brasil y a la que a octubre de 2011 se han acogido 46 países, 10 de ellos de la región (Brasil, Chile, Colombia, El Salvador, Guatemala, Honduras, México, Perú, República Dominicana y Uruguay). Al pertenecer a esta iniciativa, cada país debe construir -bajo mecanismos en línea y presenciales de consulta pública- un plan de acción a presentar en marzo de 2012 en Brasilia, que contenga los compromisos a asumir, teniendo como principios la transparencia, la participación ciudadana, la rendición de cuentas y la tecnología e innovación (Concha y Naser, 2012:7).</w:t>
      </w:r>
    </w:p>
    <w:p>
      <w:pPr>
        <w:pStyle w:val="BodyText"/>
        <w:rPr>
          <w:sz w:val="18"/>
        </w:rPr>
      </w:pPr>
    </w:p>
    <w:p>
      <w:pPr>
        <w:pStyle w:val="BodyText"/>
        <w:rPr>
          <w:sz w:val="18"/>
        </w:rPr>
      </w:pPr>
    </w:p>
    <w:p>
      <w:pPr>
        <w:pStyle w:val="BodyText"/>
        <w:rPr>
          <w:sz w:val="18"/>
        </w:rPr>
      </w:pPr>
    </w:p>
    <w:p>
      <w:pPr>
        <w:pStyle w:val="BodyText"/>
        <w:spacing w:line="360" w:lineRule="auto" w:before="114"/>
        <w:ind w:left="102" w:right="125"/>
        <w:jc w:val="both"/>
      </w:pPr>
      <w:r>
        <w:rPr/>
        <w:t>Para lograrlo se han establecido cuatro principios rectores: 1) Transparencia y acceso a la información, 2) Rendición de cuentas, 3) Participación ciudadana y, 4) Tecnología e innovación (AGA, 2015).</w:t>
      </w:r>
    </w:p>
    <w:p>
      <w:pPr>
        <w:spacing w:after="0" w:line="360" w:lineRule="auto"/>
        <w:jc w:val="both"/>
        <w:sectPr>
          <w:pgSz w:w="12240" w:h="15840"/>
          <w:pgMar w:header="0" w:footer="975" w:top="1360" w:bottom="1220" w:left="1600" w:right="1580"/>
        </w:sectPr>
      </w:pPr>
    </w:p>
    <w:p>
      <w:pPr>
        <w:pStyle w:val="BodyText"/>
        <w:spacing w:line="360" w:lineRule="auto" w:before="54"/>
        <w:ind w:left="122" w:right="101"/>
        <w:jc w:val="both"/>
      </w:pPr>
      <w:r>
        <w:rPr/>
        <w:t>Es pertinente precisar que, para efectos de puntualizar este estudio, se hará principal</w:t>
      </w:r>
      <w:r>
        <w:rPr>
          <w:spacing w:val="-13"/>
        </w:rPr>
        <w:t> </w:t>
      </w:r>
      <w:r>
        <w:rPr/>
        <w:t>referencia</w:t>
      </w:r>
      <w:r>
        <w:rPr>
          <w:spacing w:val="-12"/>
        </w:rPr>
        <w:t> </w:t>
      </w:r>
      <w:r>
        <w:rPr/>
        <w:t>solamente</w:t>
      </w:r>
      <w:r>
        <w:rPr>
          <w:spacing w:val="-14"/>
        </w:rPr>
        <w:t> </w:t>
      </w:r>
      <w:r>
        <w:rPr/>
        <w:t>al</w:t>
      </w:r>
      <w:r>
        <w:rPr>
          <w:spacing w:val="-13"/>
        </w:rPr>
        <w:t> </w:t>
      </w:r>
      <w:r>
        <w:rPr/>
        <w:t>primero</w:t>
      </w:r>
      <w:r>
        <w:rPr>
          <w:spacing w:val="-12"/>
        </w:rPr>
        <w:t> </w:t>
      </w:r>
      <w:r>
        <w:rPr/>
        <w:t>de</w:t>
      </w:r>
      <w:r>
        <w:rPr>
          <w:spacing w:val="-12"/>
        </w:rPr>
        <w:t> </w:t>
      </w:r>
      <w:r>
        <w:rPr/>
        <w:t>los</w:t>
      </w:r>
      <w:r>
        <w:rPr>
          <w:spacing w:val="-13"/>
        </w:rPr>
        <w:t> </w:t>
      </w:r>
      <w:r>
        <w:rPr/>
        <w:t>principios</w:t>
      </w:r>
      <w:r>
        <w:rPr>
          <w:spacing w:val="-15"/>
        </w:rPr>
        <w:t> </w:t>
      </w:r>
      <w:r>
        <w:rPr/>
        <w:t>del</w:t>
      </w:r>
      <w:r>
        <w:rPr>
          <w:spacing w:val="-13"/>
        </w:rPr>
        <w:t> </w:t>
      </w:r>
      <w:r>
        <w:rPr/>
        <w:t>GA,</w:t>
      </w:r>
      <w:r>
        <w:rPr>
          <w:spacing w:val="-12"/>
        </w:rPr>
        <w:t> </w:t>
      </w:r>
      <w:r>
        <w:rPr/>
        <w:t>referido</w:t>
      </w:r>
      <w:r>
        <w:rPr>
          <w:spacing w:val="-12"/>
        </w:rPr>
        <w:t> </w:t>
      </w:r>
      <w:r>
        <w:rPr/>
        <w:t>al</w:t>
      </w:r>
      <w:r>
        <w:rPr>
          <w:spacing w:val="-15"/>
        </w:rPr>
        <w:t> </w:t>
      </w:r>
      <w:r>
        <w:rPr/>
        <w:t>acceso a la información y transparencia. Ya que como afirma Vergara (2005), sin información no hay</w:t>
      </w:r>
      <w:r>
        <w:rPr>
          <w:spacing w:val="-15"/>
        </w:rPr>
        <w:t> </w:t>
      </w:r>
      <w:r>
        <w:rPr/>
        <w:t>transparencia.</w:t>
      </w:r>
    </w:p>
    <w:p>
      <w:pPr>
        <w:pStyle w:val="BodyText"/>
      </w:pPr>
    </w:p>
    <w:p>
      <w:pPr>
        <w:pStyle w:val="BodyText"/>
      </w:pPr>
    </w:p>
    <w:p>
      <w:pPr>
        <w:spacing w:before="186"/>
        <w:ind w:left="830" w:right="662" w:firstLine="0"/>
        <w:jc w:val="both"/>
        <w:rPr>
          <w:sz w:val="18"/>
        </w:rPr>
      </w:pPr>
      <w:r>
        <w:rPr>
          <w:sz w:val="18"/>
        </w:rPr>
        <w:t>“Esta necesidad de los gobiernos por agilizar, optimizar, flexibilizar y transparentar su accionar gubernamental, ha motivado a utilizar en forma acelerada y sustancial las tecnologías de la información y las comunicaciones (TIC), desarrollando aplicaciones para trabajar de una manera óptima, integrando sistemas, utilizando herramientas de gestión y generando modelos adecuados a las necesidades de cada gobierno, creando plataformas compatibles que resuelven temas como la interoperabilidad, compatibilidad, rapidez, acceso, seguridad, privacidad, entre otras (Concha y Naser, 2012:11).</w:t>
      </w:r>
    </w:p>
    <w:p>
      <w:pPr>
        <w:pStyle w:val="BodyText"/>
        <w:rPr>
          <w:sz w:val="18"/>
        </w:rPr>
      </w:pPr>
    </w:p>
    <w:p>
      <w:pPr>
        <w:pStyle w:val="BodyText"/>
        <w:rPr>
          <w:sz w:val="18"/>
        </w:rPr>
      </w:pPr>
    </w:p>
    <w:p>
      <w:pPr>
        <w:pStyle w:val="BodyText"/>
        <w:rPr>
          <w:sz w:val="18"/>
        </w:rPr>
      </w:pPr>
    </w:p>
    <w:p>
      <w:pPr>
        <w:pStyle w:val="Heading1"/>
        <w:numPr>
          <w:ilvl w:val="3"/>
          <w:numId w:val="16"/>
        </w:numPr>
        <w:tabs>
          <w:tab w:pos="1538" w:val="left" w:leader="none"/>
        </w:tabs>
        <w:spacing w:line="240" w:lineRule="auto" w:before="155" w:after="0"/>
        <w:ind w:left="1538" w:right="0" w:hanging="1428"/>
        <w:jc w:val="both"/>
      </w:pPr>
      <w:r>
        <w:rPr/>
        <w:t>Principios del Gobierno</w:t>
      </w:r>
      <w:r>
        <w:rPr>
          <w:spacing w:val="-9"/>
        </w:rPr>
        <w:t> </w:t>
      </w:r>
      <w:r>
        <w:rPr/>
        <w:t>Abierto</w:t>
      </w:r>
    </w:p>
    <w:p>
      <w:pPr>
        <w:pStyle w:val="BodyText"/>
        <w:rPr>
          <w:b/>
        </w:rPr>
      </w:pPr>
    </w:p>
    <w:p>
      <w:pPr>
        <w:pStyle w:val="BodyText"/>
        <w:spacing w:before="9"/>
        <w:rPr>
          <w:b/>
          <w:sz w:val="23"/>
        </w:rPr>
      </w:pPr>
    </w:p>
    <w:p>
      <w:pPr>
        <w:pStyle w:val="BodyText"/>
        <w:spacing w:line="360" w:lineRule="auto"/>
        <w:ind w:left="122" w:right="98"/>
        <w:jc w:val="both"/>
      </w:pPr>
      <w:r>
        <w:rPr/>
        <w:t>El</w:t>
      </w:r>
      <w:r>
        <w:rPr>
          <w:spacing w:val="-5"/>
        </w:rPr>
        <w:t> </w:t>
      </w:r>
      <w:r>
        <w:rPr/>
        <w:t>discurso</w:t>
      </w:r>
      <w:r>
        <w:rPr>
          <w:spacing w:val="-6"/>
        </w:rPr>
        <w:t> </w:t>
      </w:r>
      <w:r>
        <w:rPr/>
        <w:t>del</w:t>
      </w:r>
      <w:r>
        <w:rPr>
          <w:spacing w:val="-7"/>
        </w:rPr>
        <w:t> </w:t>
      </w:r>
      <w:r>
        <w:rPr/>
        <w:t>presidente</w:t>
      </w:r>
      <w:r>
        <w:rPr>
          <w:spacing w:val="-6"/>
        </w:rPr>
        <w:t> </w:t>
      </w:r>
      <w:r>
        <w:rPr/>
        <w:t>Barack</w:t>
      </w:r>
      <w:r>
        <w:rPr>
          <w:spacing w:val="-7"/>
        </w:rPr>
        <w:t> </w:t>
      </w:r>
      <w:r>
        <w:rPr/>
        <w:t>Obama,</w:t>
      </w:r>
      <w:r>
        <w:rPr>
          <w:spacing w:val="-6"/>
        </w:rPr>
        <w:t> </w:t>
      </w:r>
      <w:r>
        <w:rPr/>
        <w:t>plasmado</w:t>
      </w:r>
      <w:r>
        <w:rPr>
          <w:spacing w:val="-6"/>
        </w:rPr>
        <w:t> </w:t>
      </w:r>
      <w:r>
        <w:rPr/>
        <w:t>en</w:t>
      </w:r>
      <w:r>
        <w:rPr>
          <w:spacing w:val="-6"/>
        </w:rPr>
        <w:t> </w:t>
      </w:r>
      <w:r>
        <w:rPr/>
        <w:t>su</w:t>
      </w:r>
      <w:r>
        <w:rPr>
          <w:spacing w:val="-6"/>
        </w:rPr>
        <w:t> </w:t>
      </w:r>
      <w:r>
        <w:rPr/>
        <w:t>primer</w:t>
      </w:r>
      <w:r>
        <w:rPr>
          <w:spacing w:val="-7"/>
        </w:rPr>
        <w:t> </w:t>
      </w:r>
      <w:r>
        <w:rPr/>
        <w:t>memorándum</w:t>
      </w:r>
      <w:r>
        <w:rPr>
          <w:spacing w:val="-5"/>
        </w:rPr>
        <w:t> </w:t>
      </w:r>
      <w:r>
        <w:rPr/>
        <w:t>en 2009, donde anunció que su administración tendría una apertura sin precedentes en los asuntos del gobierno para establecer un sistema de transparencia, participación ciudadana y colaboración que permitiera mejorar la eficiencia gubernamental y fortalecer la democracia (Obama, 2009), cobró tal relevancia que su idea sobre aperturar al gobierno fue apoyada por la mandataria brasileña Dilma Rousef, en el marco de la Asamblea General de Naciones Unidas celebrada el 12 de</w:t>
      </w:r>
      <w:r>
        <w:rPr>
          <w:spacing w:val="-13"/>
        </w:rPr>
        <w:t> </w:t>
      </w:r>
      <w:r>
        <w:rPr/>
        <w:t>julio</w:t>
      </w:r>
      <w:r>
        <w:rPr>
          <w:spacing w:val="-13"/>
        </w:rPr>
        <w:t> </w:t>
      </w:r>
      <w:r>
        <w:rPr/>
        <w:t>de</w:t>
      </w:r>
      <w:r>
        <w:rPr>
          <w:spacing w:val="-13"/>
        </w:rPr>
        <w:t> </w:t>
      </w:r>
      <w:r>
        <w:rPr/>
        <w:t>2011</w:t>
      </w:r>
      <w:r>
        <w:rPr>
          <w:spacing w:val="-13"/>
        </w:rPr>
        <w:t> </w:t>
      </w:r>
      <w:r>
        <w:rPr/>
        <w:t>en</w:t>
      </w:r>
      <w:r>
        <w:rPr>
          <w:spacing w:val="-13"/>
        </w:rPr>
        <w:t> </w:t>
      </w:r>
      <w:r>
        <w:rPr/>
        <w:t>Nueva</w:t>
      </w:r>
      <w:r>
        <w:rPr>
          <w:spacing w:val="-13"/>
        </w:rPr>
        <w:t> </w:t>
      </w:r>
      <w:r>
        <w:rPr/>
        <w:t>York,</w:t>
      </w:r>
      <w:r>
        <w:rPr>
          <w:spacing w:val="-14"/>
        </w:rPr>
        <w:t> </w:t>
      </w:r>
      <w:r>
        <w:rPr/>
        <w:t>en</w:t>
      </w:r>
      <w:r>
        <w:rPr>
          <w:spacing w:val="-13"/>
        </w:rPr>
        <w:t> </w:t>
      </w:r>
      <w:r>
        <w:rPr/>
        <w:t>la</w:t>
      </w:r>
      <w:r>
        <w:rPr>
          <w:spacing w:val="-13"/>
        </w:rPr>
        <w:t> </w:t>
      </w:r>
      <w:r>
        <w:rPr/>
        <w:t>que</w:t>
      </w:r>
      <w:r>
        <w:rPr>
          <w:spacing w:val="-13"/>
        </w:rPr>
        <w:t> </w:t>
      </w:r>
      <w:r>
        <w:rPr/>
        <w:t>ambos</w:t>
      </w:r>
      <w:r>
        <w:rPr>
          <w:spacing w:val="-14"/>
        </w:rPr>
        <w:t> </w:t>
      </w:r>
      <w:r>
        <w:rPr/>
        <w:t>presidentes</w:t>
      </w:r>
      <w:r>
        <w:rPr>
          <w:spacing w:val="-14"/>
        </w:rPr>
        <w:t> </w:t>
      </w:r>
      <w:r>
        <w:rPr/>
        <w:t>presentaron</w:t>
      </w:r>
      <w:r>
        <w:rPr>
          <w:spacing w:val="-13"/>
        </w:rPr>
        <w:t> </w:t>
      </w:r>
      <w:r>
        <w:rPr/>
        <w:t>las</w:t>
      </w:r>
      <w:r>
        <w:rPr>
          <w:spacing w:val="-16"/>
        </w:rPr>
        <w:t> </w:t>
      </w:r>
      <w:r>
        <w:rPr/>
        <w:t>bases de la iniciativa multilateral Open Government Partnership (Alianza para el</w:t>
      </w:r>
      <w:r>
        <w:rPr>
          <w:spacing w:val="-41"/>
        </w:rPr>
        <w:t> </w:t>
      </w:r>
      <w:r>
        <w:rPr/>
        <w:t>Gobierno Abierto) como una alternativa que, desde la visión de Peschard (2012) promueve políticas de transparencia mediante tres principios: confianza pública, sistema de transparencia y participación de la sociedad con el</w:t>
      </w:r>
      <w:r>
        <w:rPr>
          <w:spacing w:val="-24"/>
        </w:rPr>
        <w:t> </w:t>
      </w:r>
      <w:r>
        <w:rPr/>
        <w:t>gobierno.</w:t>
      </w:r>
    </w:p>
    <w:p>
      <w:pPr>
        <w:pStyle w:val="BodyText"/>
      </w:pPr>
    </w:p>
    <w:p>
      <w:pPr>
        <w:pStyle w:val="BodyText"/>
      </w:pPr>
    </w:p>
    <w:p>
      <w:pPr>
        <w:pStyle w:val="BodyText"/>
        <w:spacing w:line="360" w:lineRule="auto" w:before="186"/>
        <w:ind w:left="122" w:right="98"/>
        <w:jc w:val="both"/>
      </w:pPr>
      <w:r>
        <w:rPr/>
        <w:t>La AGA en su declaración de principios señala que los países miembros deben aplicar dentro de sus prácticas gubernamentales los siguientes:</w:t>
      </w:r>
    </w:p>
    <w:p>
      <w:pPr>
        <w:pStyle w:val="BodyText"/>
      </w:pPr>
    </w:p>
    <w:p>
      <w:pPr>
        <w:pStyle w:val="BodyText"/>
      </w:pPr>
    </w:p>
    <w:p>
      <w:pPr>
        <w:pStyle w:val="ListParagraph"/>
        <w:numPr>
          <w:ilvl w:val="0"/>
          <w:numId w:val="17"/>
        </w:numPr>
        <w:tabs>
          <w:tab w:pos="550" w:val="left" w:leader="none"/>
        </w:tabs>
        <w:spacing w:line="240" w:lineRule="auto" w:before="187" w:after="0"/>
        <w:ind w:left="549" w:right="0" w:hanging="360"/>
        <w:jc w:val="both"/>
        <w:rPr>
          <w:sz w:val="24"/>
        </w:rPr>
      </w:pPr>
      <w:r>
        <w:rPr>
          <w:sz w:val="24"/>
        </w:rPr>
        <w:t>Transparencia y acceso a la</w:t>
      </w:r>
      <w:r>
        <w:rPr>
          <w:spacing w:val="-17"/>
          <w:sz w:val="24"/>
        </w:rPr>
        <w:t> </w:t>
      </w:r>
      <w:r>
        <w:rPr>
          <w:sz w:val="24"/>
        </w:rPr>
        <w:t>información.</w:t>
      </w:r>
    </w:p>
    <w:p>
      <w:pPr>
        <w:spacing w:after="0" w:line="240" w:lineRule="auto"/>
        <w:jc w:val="both"/>
        <w:rPr>
          <w:sz w:val="24"/>
        </w:rPr>
        <w:sectPr>
          <w:pgSz w:w="12240" w:h="15840"/>
          <w:pgMar w:header="0" w:footer="975" w:top="1360" w:bottom="1220" w:left="1580" w:right="1600"/>
        </w:sectPr>
      </w:pPr>
    </w:p>
    <w:p>
      <w:pPr>
        <w:pStyle w:val="ListParagraph"/>
        <w:numPr>
          <w:ilvl w:val="0"/>
          <w:numId w:val="17"/>
        </w:numPr>
        <w:tabs>
          <w:tab w:pos="530" w:val="left" w:leader="none"/>
        </w:tabs>
        <w:spacing w:line="240" w:lineRule="auto" w:before="54" w:after="0"/>
        <w:ind w:left="529" w:right="0" w:hanging="360"/>
        <w:jc w:val="both"/>
        <w:rPr>
          <w:sz w:val="24"/>
        </w:rPr>
      </w:pPr>
      <w:r>
        <w:rPr>
          <w:sz w:val="24"/>
        </w:rPr>
        <w:t>Rendición de</w:t>
      </w:r>
      <w:r>
        <w:rPr>
          <w:spacing w:val="-6"/>
          <w:sz w:val="24"/>
        </w:rPr>
        <w:t> </w:t>
      </w:r>
      <w:r>
        <w:rPr>
          <w:sz w:val="24"/>
        </w:rPr>
        <w:t>cuentas.</w:t>
      </w:r>
    </w:p>
    <w:p>
      <w:pPr>
        <w:pStyle w:val="ListParagraph"/>
        <w:numPr>
          <w:ilvl w:val="0"/>
          <w:numId w:val="17"/>
        </w:numPr>
        <w:tabs>
          <w:tab w:pos="530" w:val="left" w:leader="none"/>
        </w:tabs>
        <w:spacing w:line="240" w:lineRule="auto" w:before="43" w:after="0"/>
        <w:ind w:left="529" w:right="0" w:hanging="360"/>
        <w:jc w:val="both"/>
        <w:rPr>
          <w:sz w:val="24"/>
        </w:rPr>
      </w:pPr>
      <w:r>
        <w:rPr>
          <w:sz w:val="24"/>
        </w:rPr>
        <w:t>Participación</w:t>
      </w:r>
      <w:r>
        <w:rPr>
          <w:spacing w:val="-8"/>
          <w:sz w:val="24"/>
        </w:rPr>
        <w:t> </w:t>
      </w:r>
      <w:r>
        <w:rPr>
          <w:sz w:val="24"/>
        </w:rPr>
        <w:t>ciudadana.</w:t>
      </w:r>
    </w:p>
    <w:p>
      <w:pPr>
        <w:pStyle w:val="ListParagraph"/>
        <w:numPr>
          <w:ilvl w:val="0"/>
          <w:numId w:val="17"/>
        </w:numPr>
        <w:tabs>
          <w:tab w:pos="530" w:val="left" w:leader="none"/>
        </w:tabs>
        <w:spacing w:line="240" w:lineRule="auto" w:before="41" w:after="0"/>
        <w:ind w:left="529" w:right="0" w:hanging="360"/>
        <w:jc w:val="both"/>
        <w:rPr>
          <w:sz w:val="24"/>
        </w:rPr>
      </w:pPr>
      <w:r>
        <w:rPr>
          <w:sz w:val="24"/>
        </w:rPr>
        <w:t>Tecnología e innovación (AGA,</w:t>
      </w:r>
      <w:r>
        <w:rPr>
          <w:spacing w:val="-10"/>
          <w:sz w:val="24"/>
        </w:rPr>
        <w:t> </w:t>
      </w:r>
      <w:r>
        <w:rPr>
          <w:sz w:val="24"/>
        </w:rPr>
        <w:t>2015).</w:t>
      </w:r>
    </w:p>
    <w:p>
      <w:pPr>
        <w:pStyle w:val="BodyText"/>
        <w:spacing w:before="10"/>
        <w:rPr>
          <w:sz w:val="20"/>
        </w:rPr>
      </w:pPr>
    </w:p>
    <w:p>
      <w:pPr>
        <w:pStyle w:val="BodyText"/>
        <w:spacing w:line="360" w:lineRule="auto"/>
        <w:ind w:left="169"/>
      </w:pPr>
      <w:r>
        <w:rPr/>
        <w:t>Finalmente, Villoria afirma que son cuatro las características que identifican a un gobierno abierto:</w:t>
      </w:r>
    </w:p>
    <w:p>
      <w:pPr>
        <w:pStyle w:val="BodyText"/>
      </w:pPr>
    </w:p>
    <w:p>
      <w:pPr>
        <w:pStyle w:val="BodyText"/>
      </w:pPr>
    </w:p>
    <w:p>
      <w:pPr>
        <w:pStyle w:val="ListParagraph"/>
        <w:numPr>
          <w:ilvl w:val="0"/>
          <w:numId w:val="18"/>
        </w:numPr>
        <w:tabs>
          <w:tab w:pos="530" w:val="left" w:leader="none"/>
        </w:tabs>
        <w:spacing w:line="240" w:lineRule="auto" w:before="185" w:after="0"/>
        <w:ind w:left="529" w:right="0" w:hanging="360"/>
        <w:jc w:val="both"/>
        <w:rPr>
          <w:sz w:val="24"/>
        </w:rPr>
      </w:pPr>
      <w:r>
        <w:rPr>
          <w:sz w:val="24"/>
        </w:rPr>
        <w:t>Gobierno promotor de bienestar a través de capacidad</w:t>
      </w:r>
      <w:r>
        <w:rPr>
          <w:spacing w:val="-24"/>
          <w:sz w:val="24"/>
        </w:rPr>
        <w:t> </w:t>
      </w:r>
      <w:r>
        <w:rPr>
          <w:sz w:val="24"/>
        </w:rPr>
        <w:t>regulatoria.</w:t>
      </w:r>
    </w:p>
    <w:p>
      <w:pPr>
        <w:pStyle w:val="ListParagraph"/>
        <w:numPr>
          <w:ilvl w:val="0"/>
          <w:numId w:val="18"/>
        </w:numPr>
        <w:tabs>
          <w:tab w:pos="530" w:val="left" w:leader="none"/>
        </w:tabs>
        <w:spacing w:line="240" w:lineRule="auto" w:before="41" w:after="0"/>
        <w:ind w:left="529" w:right="0" w:hanging="360"/>
        <w:jc w:val="both"/>
        <w:rPr>
          <w:sz w:val="24"/>
        </w:rPr>
      </w:pPr>
      <w:r>
        <w:rPr>
          <w:sz w:val="24"/>
        </w:rPr>
        <w:t>Gobierno transparente que rinde</w:t>
      </w:r>
      <w:r>
        <w:rPr>
          <w:spacing w:val="-14"/>
          <w:sz w:val="24"/>
        </w:rPr>
        <w:t> </w:t>
      </w:r>
      <w:r>
        <w:rPr>
          <w:sz w:val="24"/>
        </w:rPr>
        <w:t>cuentas.</w:t>
      </w:r>
    </w:p>
    <w:p>
      <w:pPr>
        <w:pStyle w:val="ListParagraph"/>
        <w:numPr>
          <w:ilvl w:val="0"/>
          <w:numId w:val="18"/>
        </w:numPr>
        <w:tabs>
          <w:tab w:pos="530" w:val="left" w:leader="none"/>
        </w:tabs>
        <w:spacing w:line="240" w:lineRule="auto" w:before="43" w:after="0"/>
        <w:ind w:left="529" w:right="0" w:hanging="360"/>
        <w:jc w:val="both"/>
        <w:rPr>
          <w:sz w:val="24"/>
        </w:rPr>
      </w:pPr>
      <w:r>
        <w:rPr>
          <w:sz w:val="24"/>
        </w:rPr>
        <w:t>Gobierno participativo y promotor de</w:t>
      </w:r>
      <w:r>
        <w:rPr>
          <w:spacing w:val="-8"/>
          <w:sz w:val="24"/>
        </w:rPr>
        <w:t> </w:t>
      </w:r>
      <w:r>
        <w:rPr>
          <w:sz w:val="24"/>
        </w:rPr>
        <w:t>civismo.</w:t>
      </w:r>
    </w:p>
    <w:p>
      <w:pPr>
        <w:pStyle w:val="ListParagraph"/>
        <w:numPr>
          <w:ilvl w:val="0"/>
          <w:numId w:val="18"/>
        </w:numPr>
        <w:tabs>
          <w:tab w:pos="530" w:val="left" w:leader="none"/>
        </w:tabs>
        <w:spacing w:line="240" w:lineRule="auto" w:before="41" w:after="0"/>
        <w:ind w:left="529" w:right="0" w:hanging="360"/>
        <w:jc w:val="both"/>
        <w:rPr>
          <w:sz w:val="24"/>
        </w:rPr>
      </w:pPr>
      <w:r>
        <w:rPr>
          <w:sz w:val="24"/>
        </w:rPr>
        <w:t>Gobierno</w:t>
      </w:r>
      <w:r>
        <w:rPr>
          <w:spacing w:val="-18"/>
          <w:sz w:val="24"/>
        </w:rPr>
        <w:t> </w:t>
      </w:r>
      <w:r>
        <w:rPr>
          <w:sz w:val="24"/>
        </w:rPr>
        <w:t>eficiente,</w:t>
      </w:r>
      <w:r>
        <w:rPr>
          <w:spacing w:val="-20"/>
          <w:sz w:val="24"/>
        </w:rPr>
        <w:t> </w:t>
      </w:r>
      <w:r>
        <w:rPr>
          <w:sz w:val="24"/>
        </w:rPr>
        <w:t>colaborador</w:t>
      </w:r>
      <w:r>
        <w:rPr>
          <w:spacing w:val="-19"/>
          <w:sz w:val="24"/>
        </w:rPr>
        <w:t> </w:t>
      </w:r>
      <w:r>
        <w:rPr>
          <w:sz w:val="24"/>
        </w:rPr>
        <w:t>y</w:t>
      </w:r>
      <w:r>
        <w:rPr>
          <w:spacing w:val="-21"/>
          <w:sz w:val="24"/>
        </w:rPr>
        <w:t> </w:t>
      </w:r>
      <w:r>
        <w:rPr>
          <w:sz w:val="24"/>
        </w:rPr>
        <w:t>generador</w:t>
      </w:r>
      <w:r>
        <w:rPr>
          <w:spacing w:val="-21"/>
          <w:sz w:val="24"/>
        </w:rPr>
        <w:t> </w:t>
      </w:r>
      <w:r>
        <w:rPr>
          <w:sz w:val="24"/>
        </w:rPr>
        <w:t>de</w:t>
      </w:r>
      <w:r>
        <w:rPr>
          <w:spacing w:val="-18"/>
          <w:sz w:val="24"/>
        </w:rPr>
        <w:t> </w:t>
      </w:r>
      <w:r>
        <w:rPr>
          <w:sz w:val="24"/>
        </w:rPr>
        <w:t>conocimiento</w:t>
      </w:r>
      <w:r>
        <w:rPr>
          <w:spacing w:val="-18"/>
          <w:sz w:val="24"/>
        </w:rPr>
        <w:t> </w:t>
      </w:r>
      <w:r>
        <w:rPr>
          <w:sz w:val="24"/>
        </w:rPr>
        <w:t>(Villoria,</w:t>
      </w:r>
      <w:r>
        <w:rPr>
          <w:spacing w:val="-18"/>
          <w:sz w:val="24"/>
        </w:rPr>
        <w:t> </w:t>
      </w:r>
      <w:r>
        <w:rPr>
          <w:sz w:val="24"/>
        </w:rPr>
        <w:t>2012:78).</w:t>
      </w:r>
    </w:p>
    <w:p>
      <w:pPr>
        <w:pStyle w:val="BodyText"/>
      </w:pPr>
    </w:p>
    <w:p>
      <w:pPr>
        <w:pStyle w:val="BodyText"/>
        <w:spacing w:before="11"/>
        <w:rPr>
          <w:sz w:val="32"/>
        </w:rPr>
      </w:pPr>
    </w:p>
    <w:p>
      <w:pPr>
        <w:pStyle w:val="BodyText"/>
        <w:spacing w:line="360" w:lineRule="auto"/>
        <w:ind w:left="102" w:right="116"/>
        <w:jc w:val="both"/>
      </w:pPr>
      <w:r>
        <w:rPr/>
        <w:t>Desde estas diferentes formas de presentar los principios del GA, la investigación que se propone realizar se enfoca a la establecida por la AGA y particularmente</w:t>
      </w:r>
      <w:r>
        <w:rPr>
          <w:spacing w:val="-30"/>
        </w:rPr>
        <w:t> </w:t>
      </w:r>
      <w:r>
        <w:rPr/>
        <w:t>en el principio número uno, referido a la transparencia y acceso a la información. Por tal motivo en el siguiente apartado se describe la propuesta de metodología correspondiente para su</w:t>
      </w:r>
      <w:r>
        <w:rPr>
          <w:spacing w:val="-10"/>
        </w:rPr>
        <w:t> </w:t>
      </w:r>
      <w:r>
        <w:rPr/>
        <w:t>estudio.</w:t>
      </w:r>
    </w:p>
    <w:p>
      <w:pPr>
        <w:pStyle w:val="BodyText"/>
      </w:pPr>
    </w:p>
    <w:p>
      <w:pPr>
        <w:pStyle w:val="BodyText"/>
        <w:spacing w:line="360" w:lineRule="auto" w:before="142"/>
        <w:ind w:left="102" w:right="119"/>
        <w:jc w:val="both"/>
      </w:pPr>
      <w:r>
        <w:rPr/>
        <w:t>En México, el acceso a la información presenta una serie de limitantes por la poca gestión</w:t>
      </w:r>
      <w:r>
        <w:rPr>
          <w:spacing w:val="-9"/>
        </w:rPr>
        <w:t> </w:t>
      </w:r>
      <w:r>
        <w:rPr/>
        <w:t>y</w:t>
      </w:r>
      <w:r>
        <w:rPr>
          <w:spacing w:val="-13"/>
        </w:rPr>
        <w:t> </w:t>
      </w:r>
      <w:r>
        <w:rPr/>
        <w:t>control</w:t>
      </w:r>
      <w:r>
        <w:rPr>
          <w:spacing w:val="-11"/>
        </w:rPr>
        <w:t> </w:t>
      </w:r>
      <w:r>
        <w:rPr/>
        <w:t>de</w:t>
      </w:r>
      <w:r>
        <w:rPr>
          <w:spacing w:val="-9"/>
        </w:rPr>
        <w:t> </w:t>
      </w:r>
      <w:r>
        <w:rPr/>
        <w:t>documentos</w:t>
      </w:r>
      <w:r>
        <w:rPr>
          <w:spacing w:val="-10"/>
        </w:rPr>
        <w:t> </w:t>
      </w:r>
      <w:r>
        <w:rPr/>
        <w:t>que</w:t>
      </w:r>
      <w:r>
        <w:rPr>
          <w:spacing w:val="-9"/>
        </w:rPr>
        <w:t> </w:t>
      </w:r>
      <w:r>
        <w:rPr/>
        <w:t>tienen</w:t>
      </w:r>
      <w:r>
        <w:rPr>
          <w:spacing w:val="-9"/>
        </w:rPr>
        <w:t> </w:t>
      </w:r>
      <w:r>
        <w:rPr/>
        <w:t>en</w:t>
      </w:r>
      <w:r>
        <w:rPr>
          <w:spacing w:val="-9"/>
        </w:rPr>
        <w:t> </w:t>
      </w:r>
      <w:r>
        <w:rPr/>
        <w:t>las</w:t>
      </w:r>
      <w:r>
        <w:rPr>
          <w:spacing w:val="-10"/>
        </w:rPr>
        <w:t> </w:t>
      </w:r>
      <w:r>
        <w:rPr/>
        <w:t>dependencias</w:t>
      </w:r>
      <w:r>
        <w:rPr>
          <w:spacing w:val="-10"/>
        </w:rPr>
        <w:t> </w:t>
      </w:r>
      <w:r>
        <w:rPr/>
        <w:t>gubernamentales. Situación</w:t>
      </w:r>
      <w:r>
        <w:rPr>
          <w:spacing w:val="-18"/>
        </w:rPr>
        <w:t> </w:t>
      </w:r>
      <w:r>
        <w:rPr/>
        <w:t>que</w:t>
      </w:r>
      <w:r>
        <w:rPr>
          <w:spacing w:val="-18"/>
        </w:rPr>
        <w:t> </w:t>
      </w:r>
      <w:r>
        <w:rPr/>
        <w:t>dificulta</w:t>
      </w:r>
      <w:r>
        <w:rPr>
          <w:spacing w:val="-20"/>
        </w:rPr>
        <w:t> </w:t>
      </w:r>
      <w:r>
        <w:rPr/>
        <w:t>cumplir</w:t>
      </w:r>
      <w:r>
        <w:rPr>
          <w:spacing w:val="-19"/>
        </w:rPr>
        <w:t> </w:t>
      </w:r>
      <w:r>
        <w:rPr/>
        <w:t>el</w:t>
      </w:r>
      <w:r>
        <w:rPr>
          <w:spacing w:val="-19"/>
        </w:rPr>
        <w:t> </w:t>
      </w:r>
      <w:r>
        <w:rPr/>
        <w:t>principio</w:t>
      </w:r>
      <w:r>
        <w:rPr>
          <w:spacing w:val="-18"/>
        </w:rPr>
        <w:t> </w:t>
      </w:r>
      <w:r>
        <w:rPr/>
        <w:t>del</w:t>
      </w:r>
      <w:r>
        <w:rPr>
          <w:spacing w:val="-19"/>
        </w:rPr>
        <w:t> </w:t>
      </w:r>
      <w:r>
        <w:rPr/>
        <w:t>GA</w:t>
      </w:r>
      <w:r>
        <w:rPr>
          <w:spacing w:val="-18"/>
        </w:rPr>
        <w:t> </w:t>
      </w:r>
      <w:r>
        <w:rPr/>
        <w:t>referido</w:t>
      </w:r>
      <w:r>
        <w:rPr>
          <w:spacing w:val="-18"/>
        </w:rPr>
        <w:t> </w:t>
      </w:r>
      <w:r>
        <w:rPr/>
        <w:t>al</w:t>
      </w:r>
      <w:r>
        <w:rPr>
          <w:spacing w:val="-19"/>
        </w:rPr>
        <w:t> </w:t>
      </w:r>
      <w:r>
        <w:rPr/>
        <w:t>acceso</w:t>
      </w:r>
      <w:r>
        <w:rPr>
          <w:spacing w:val="-18"/>
        </w:rPr>
        <w:t> </w:t>
      </w:r>
      <w:r>
        <w:rPr/>
        <w:t>de</w:t>
      </w:r>
      <w:r>
        <w:rPr>
          <w:spacing w:val="-18"/>
        </w:rPr>
        <w:t> </w:t>
      </w:r>
      <w:r>
        <w:rPr/>
        <w:t>la</w:t>
      </w:r>
      <w:r>
        <w:rPr>
          <w:spacing w:val="-18"/>
        </w:rPr>
        <w:t> </w:t>
      </w:r>
      <w:r>
        <w:rPr/>
        <w:t>información y la transparencia. Dentro de estas limitaciones se encuentran las</w:t>
      </w:r>
      <w:r>
        <w:rPr>
          <w:spacing w:val="-18"/>
        </w:rPr>
        <w:t> </w:t>
      </w:r>
      <w:r>
        <w:rPr/>
        <w:t>siguientes:</w:t>
      </w:r>
    </w:p>
    <w:p>
      <w:pPr>
        <w:pStyle w:val="BodyText"/>
      </w:pPr>
    </w:p>
    <w:p>
      <w:pPr>
        <w:pStyle w:val="BodyText"/>
        <w:spacing w:before="2"/>
        <w:rPr>
          <w:sz w:val="26"/>
        </w:rPr>
      </w:pPr>
    </w:p>
    <w:p>
      <w:pPr>
        <w:pStyle w:val="ListParagraph"/>
        <w:numPr>
          <w:ilvl w:val="0"/>
          <w:numId w:val="12"/>
        </w:numPr>
        <w:tabs>
          <w:tab w:pos="529" w:val="left" w:leader="none"/>
          <w:tab w:pos="530" w:val="left" w:leader="none"/>
        </w:tabs>
        <w:spacing w:line="273" w:lineRule="auto" w:before="0" w:after="0"/>
        <w:ind w:left="529" w:right="125" w:hanging="360"/>
        <w:jc w:val="left"/>
        <w:rPr>
          <w:sz w:val="24"/>
        </w:rPr>
      </w:pPr>
      <w:r>
        <w:rPr>
          <w:sz w:val="24"/>
        </w:rPr>
        <w:t>La falta de administración de documentos y control de archivos; la cultura del secreto; falta de conciencia de los gobernantes (Barrera,</w:t>
      </w:r>
      <w:r>
        <w:rPr>
          <w:spacing w:val="-21"/>
          <w:sz w:val="24"/>
        </w:rPr>
        <w:t> </w:t>
      </w:r>
      <w:r>
        <w:rPr>
          <w:sz w:val="24"/>
        </w:rPr>
        <w:t>2010).</w:t>
      </w:r>
    </w:p>
    <w:p>
      <w:pPr>
        <w:pStyle w:val="ListParagraph"/>
        <w:numPr>
          <w:ilvl w:val="0"/>
          <w:numId w:val="12"/>
        </w:numPr>
        <w:tabs>
          <w:tab w:pos="530" w:val="left" w:leader="none"/>
        </w:tabs>
        <w:spacing w:line="276" w:lineRule="auto" w:before="1" w:after="0"/>
        <w:ind w:left="529" w:right="116" w:hanging="360"/>
        <w:jc w:val="both"/>
        <w:rPr>
          <w:sz w:val="24"/>
        </w:rPr>
      </w:pPr>
      <w:r>
        <w:rPr>
          <w:sz w:val="24"/>
        </w:rPr>
        <w:t>Así</w:t>
      </w:r>
      <w:r>
        <w:rPr>
          <w:spacing w:val="-9"/>
          <w:sz w:val="24"/>
        </w:rPr>
        <w:t> </w:t>
      </w:r>
      <w:r>
        <w:rPr>
          <w:sz w:val="24"/>
        </w:rPr>
        <w:t>como</w:t>
      </w:r>
      <w:r>
        <w:rPr>
          <w:spacing w:val="-6"/>
          <w:sz w:val="24"/>
        </w:rPr>
        <w:t> </w:t>
      </w:r>
      <w:r>
        <w:rPr>
          <w:sz w:val="24"/>
        </w:rPr>
        <w:t>la</w:t>
      </w:r>
      <w:r>
        <w:rPr>
          <w:spacing w:val="-9"/>
          <w:sz w:val="24"/>
        </w:rPr>
        <w:t> </w:t>
      </w:r>
      <w:r>
        <w:rPr>
          <w:sz w:val="24"/>
        </w:rPr>
        <w:t>falta</w:t>
      </w:r>
      <w:r>
        <w:rPr>
          <w:spacing w:val="-6"/>
          <w:sz w:val="24"/>
        </w:rPr>
        <w:t> </w:t>
      </w:r>
      <w:r>
        <w:rPr>
          <w:sz w:val="24"/>
        </w:rPr>
        <w:t>de</w:t>
      </w:r>
      <w:r>
        <w:rPr>
          <w:spacing w:val="-6"/>
          <w:sz w:val="24"/>
        </w:rPr>
        <w:t> </w:t>
      </w:r>
      <w:r>
        <w:rPr>
          <w:sz w:val="24"/>
        </w:rPr>
        <w:t>condiciones</w:t>
      </w:r>
      <w:r>
        <w:rPr>
          <w:spacing w:val="-9"/>
          <w:sz w:val="24"/>
        </w:rPr>
        <w:t> </w:t>
      </w:r>
      <w:r>
        <w:rPr>
          <w:sz w:val="24"/>
        </w:rPr>
        <w:t>de</w:t>
      </w:r>
      <w:r>
        <w:rPr>
          <w:spacing w:val="-6"/>
          <w:sz w:val="24"/>
        </w:rPr>
        <w:t> </w:t>
      </w:r>
      <w:r>
        <w:rPr>
          <w:sz w:val="24"/>
        </w:rPr>
        <w:t>los</w:t>
      </w:r>
      <w:r>
        <w:rPr>
          <w:spacing w:val="-9"/>
          <w:sz w:val="24"/>
        </w:rPr>
        <w:t> </w:t>
      </w:r>
      <w:r>
        <w:rPr>
          <w:sz w:val="24"/>
        </w:rPr>
        <w:t>municipios</w:t>
      </w:r>
      <w:r>
        <w:rPr>
          <w:spacing w:val="-6"/>
          <w:sz w:val="24"/>
        </w:rPr>
        <w:t> </w:t>
      </w:r>
      <w:r>
        <w:rPr>
          <w:sz w:val="24"/>
        </w:rPr>
        <w:t>para</w:t>
      </w:r>
      <w:r>
        <w:rPr>
          <w:spacing w:val="-7"/>
          <w:sz w:val="24"/>
        </w:rPr>
        <w:t> </w:t>
      </w:r>
      <w:r>
        <w:rPr>
          <w:sz w:val="24"/>
        </w:rPr>
        <w:t>administrar</w:t>
      </w:r>
      <w:r>
        <w:rPr>
          <w:spacing w:val="-7"/>
          <w:sz w:val="24"/>
        </w:rPr>
        <w:t> </w:t>
      </w:r>
      <w:r>
        <w:rPr>
          <w:sz w:val="24"/>
        </w:rPr>
        <w:t>información y</w:t>
      </w:r>
      <w:r>
        <w:rPr>
          <w:spacing w:val="-10"/>
          <w:sz w:val="24"/>
        </w:rPr>
        <w:t> </w:t>
      </w:r>
      <w:r>
        <w:rPr>
          <w:sz w:val="24"/>
        </w:rPr>
        <w:t>para</w:t>
      </w:r>
      <w:r>
        <w:rPr>
          <w:spacing w:val="-8"/>
          <w:sz w:val="24"/>
        </w:rPr>
        <w:t> </w:t>
      </w:r>
      <w:r>
        <w:rPr>
          <w:sz w:val="24"/>
        </w:rPr>
        <w:t>practicar</w:t>
      </w:r>
      <w:r>
        <w:rPr>
          <w:spacing w:val="-11"/>
          <w:sz w:val="24"/>
        </w:rPr>
        <w:t> </w:t>
      </w:r>
      <w:r>
        <w:rPr>
          <w:sz w:val="24"/>
        </w:rPr>
        <w:t>una</w:t>
      </w:r>
      <w:r>
        <w:rPr>
          <w:spacing w:val="-9"/>
          <w:sz w:val="24"/>
        </w:rPr>
        <w:t> </w:t>
      </w:r>
      <w:r>
        <w:rPr>
          <w:sz w:val="24"/>
        </w:rPr>
        <w:t>cultura</w:t>
      </w:r>
      <w:r>
        <w:rPr>
          <w:spacing w:val="-8"/>
          <w:sz w:val="24"/>
        </w:rPr>
        <w:t> </w:t>
      </w:r>
      <w:r>
        <w:rPr>
          <w:sz w:val="24"/>
        </w:rPr>
        <w:t>de</w:t>
      </w:r>
      <w:r>
        <w:rPr>
          <w:spacing w:val="-9"/>
          <w:sz w:val="24"/>
        </w:rPr>
        <w:t> </w:t>
      </w:r>
      <w:r>
        <w:rPr>
          <w:sz w:val="24"/>
        </w:rPr>
        <w:t>transparencia</w:t>
      </w:r>
      <w:r>
        <w:rPr>
          <w:spacing w:val="-7"/>
          <w:sz w:val="24"/>
        </w:rPr>
        <w:t> </w:t>
      </w:r>
      <w:r>
        <w:rPr>
          <w:sz w:val="24"/>
        </w:rPr>
        <w:t>(Barrera,</w:t>
      </w:r>
      <w:r>
        <w:rPr>
          <w:spacing w:val="-7"/>
          <w:sz w:val="24"/>
        </w:rPr>
        <w:t> </w:t>
      </w:r>
      <w:r>
        <w:rPr>
          <w:sz w:val="24"/>
        </w:rPr>
        <w:t>2010;</w:t>
      </w:r>
      <w:r>
        <w:rPr>
          <w:spacing w:val="-3"/>
          <w:sz w:val="24"/>
        </w:rPr>
        <w:t> </w:t>
      </w:r>
      <w:r>
        <w:rPr>
          <w:sz w:val="24"/>
        </w:rPr>
        <w:t>Cantú</w:t>
      </w:r>
      <w:r>
        <w:rPr>
          <w:spacing w:val="-8"/>
          <w:sz w:val="24"/>
        </w:rPr>
        <w:t> </w:t>
      </w:r>
      <w:r>
        <w:rPr>
          <w:i/>
          <w:sz w:val="24"/>
        </w:rPr>
        <w:t>et.</w:t>
      </w:r>
      <w:r>
        <w:rPr>
          <w:i/>
          <w:spacing w:val="-7"/>
          <w:sz w:val="24"/>
        </w:rPr>
        <w:t> </w:t>
      </w:r>
      <w:r>
        <w:rPr>
          <w:i/>
          <w:sz w:val="24"/>
        </w:rPr>
        <w:t>al.</w:t>
      </w:r>
      <w:r>
        <w:rPr>
          <w:i/>
          <w:spacing w:val="-10"/>
          <w:sz w:val="24"/>
        </w:rPr>
        <w:t> </w:t>
      </w:r>
      <w:r>
        <w:rPr>
          <w:sz w:val="24"/>
        </w:rPr>
        <w:t>2011; Sánchez,</w:t>
      </w:r>
      <w:r>
        <w:rPr>
          <w:spacing w:val="-8"/>
          <w:sz w:val="24"/>
        </w:rPr>
        <w:t> </w:t>
      </w:r>
      <w:r>
        <w:rPr>
          <w:sz w:val="24"/>
        </w:rPr>
        <w:t>2011).</w:t>
      </w:r>
    </w:p>
    <w:p>
      <w:pPr>
        <w:pStyle w:val="ListParagraph"/>
        <w:numPr>
          <w:ilvl w:val="0"/>
          <w:numId w:val="12"/>
        </w:numPr>
        <w:tabs>
          <w:tab w:pos="530" w:val="left" w:leader="none"/>
        </w:tabs>
        <w:spacing w:line="273" w:lineRule="auto" w:before="1" w:after="0"/>
        <w:ind w:left="529" w:right="122" w:hanging="360"/>
        <w:jc w:val="both"/>
        <w:rPr>
          <w:sz w:val="24"/>
        </w:rPr>
      </w:pPr>
      <w:r>
        <w:rPr>
          <w:sz w:val="24"/>
        </w:rPr>
        <w:t>Los</w:t>
      </w:r>
      <w:r>
        <w:rPr>
          <w:spacing w:val="-12"/>
          <w:sz w:val="24"/>
        </w:rPr>
        <w:t> </w:t>
      </w:r>
      <w:r>
        <w:rPr>
          <w:sz w:val="24"/>
        </w:rPr>
        <w:t>problemas</w:t>
      </w:r>
      <w:r>
        <w:rPr>
          <w:spacing w:val="-14"/>
          <w:sz w:val="24"/>
        </w:rPr>
        <w:t> </w:t>
      </w:r>
      <w:r>
        <w:rPr>
          <w:sz w:val="24"/>
        </w:rPr>
        <w:t>prácticos</w:t>
      </w:r>
      <w:r>
        <w:rPr>
          <w:spacing w:val="-9"/>
          <w:sz w:val="24"/>
        </w:rPr>
        <w:t> </w:t>
      </w:r>
      <w:r>
        <w:rPr>
          <w:sz w:val="24"/>
        </w:rPr>
        <w:t>en</w:t>
      </w:r>
      <w:r>
        <w:rPr>
          <w:spacing w:val="-11"/>
          <w:sz w:val="24"/>
        </w:rPr>
        <w:t> </w:t>
      </w:r>
      <w:r>
        <w:rPr>
          <w:sz w:val="24"/>
        </w:rPr>
        <w:t>el</w:t>
      </w:r>
      <w:r>
        <w:rPr>
          <w:spacing w:val="-12"/>
          <w:sz w:val="24"/>
        </w:rPr>
        <w:t> </w:t>
      </w:r>
      <w:r>
        <w:rPr>
          <w:sz w:val="24"/>
        </w:rPr>
        <w:t>acceso</w:t>
      </w:r>
      <w:r>
        <w:rPr>
          <w:spacing w:val="-11"/>
          <w:sz w:val="24"/>
        </w:rPr>
        <w:t> </w:t>
      </w:r>
      <w:r>
        <w:rPr>
          <w:sz w:val="24"/>
        </w:rPr>
        <w:t>a</w:t>
      </w:r>
      <w:r>
        <w:rPr>
          <w:spacing w:val="-11"/>
          <w:sz w:val="24"/>
        </w:rPr>
        <w:t> </w:t>
      </w:r>
      <w:r>
        <w:rPr>
          <w:sz w:val="24"/>
        </w:rPr>
        <w:t>la</w:t>
      </w:r>
      <w:r>
        <w:rPr>
          <w:spacing w:val="-11"/>
          <w:sz w:val="24"/>
        </w:rPr>
        <w:t> </w:t>
      </w:r>
      <w:r>
        <w:rPr>
          <w:sz w:val="24"/>
        </w:rPr>
        <w:t>información</w:t>
      </w:r>
      <w:r>
        <w:rPr>
          <w:spacing w:val="-11"/>
          <w:sz w:val="24"/>
        </w:rPr>
        <w:t> </w:t>
      </w:r>
      <w:r>
        <w:rPr>
          <w:sz w:val="24"/>
        </w:rPr>
        <w:t>pública</w:t>
      </w:r>
      <w:r>
        <w:rPr>
          <w:spacing w:val="-11"/>
          <w:sz w:val="24"/>
        </w:rPr>
        <w:t> </w:t>
      </w:r>
      <w:r>
        <w:rPr>
          <w:sz w:val="24"/>
        </w:rPr>
        <w:t>en</w:t>
      </w:r>
      <w:r>
        <w:rPr>
          <w:spacing w:val="-8"/>
          <w:sz w:val="24"/>
        </w:rPr>
        <w:t> </w:t>
      </w:r>
      <w:r>
        <w:rPr>
          <w:sz w:val="24"/>
        </w:rPr>
        <w:t>los</w:t>
      </w:r>
      <w:r>
        <w:rPr>
          <w:spacing w:val="-9"/>
          <w:sz w:val="24"/>
        </w:rPr>
        <w:t> </w:t>
      </w:r>
      <w:r>
        <w:rPr>
          <w:sz w:val="24"/>
        </w:rPr>
        <w:t>municipios por la deficiencia de las leyes actuales en México (Domínguez, 2006; Padinas y Granados,</w:t>
      </w:r>
      <w:r>
        <w:rPr>
          <w:spacing w:val="-7"/>
          <w:sz w:val="24"/>
        </w:rPr>
        <w:t> </w:t>
      </w:r>
      <w:r>
        <w:rPr>
          <w:sz w:val="24"/>
        </w:rPr>
        <w:t>2010).</w:t>
      </w:r>
    </w:p>
    <w:p>
      <w:pPr>
        <w:pStyle w:val="ListParagraph"/>
        <w:numPr>
          <w:ilvl w:val="0"/>
          <w:numId w:val="12"/>
        </w:numPr>
        <w:tabs>
          <w:tab w:pos="529" w:val="left" w:leader="none"/>
          <w:tab w:pos="530" w:val="left" w:leader="none"/>
        </w:tabs>
        <w:spacing w:line="273" w:lineRule="auto" w:before="1" w:after="0"/>
        <w:ind w:left="529" w:right="123" w:hanging="360"/>
        <w:jc w:val="left"/>
        <w:rPr>
          <w:sz w:val="24"/>
        </w:rPr>
      </w:pPr>
      <w:r>
        <w:rPr>
          <w:sz w:val="24"/>
        </w:rPr>
        <w:t>La información de oficio, al haber sido encerrada en un portal complejo, está totalmente  estructurada,  se  dirigen  deliberadamente  hacia  la  opacidad; </w:t>
      </w:r>
      <w:r>
        <w:rPr>
          <w:spacing w:val="41"/>
          <w:sz w:val="24"/>
        </w:rPr>
        <w:t> </w:t>
      </w:r>
      <w:r>
        <w:rPr>
          <w:sz w:val="24"/>
        </w:rPr>
        <w:t>el</w:t>
      </w:r>
    </w:p>
    <w:p>
      <w:pPr>
        <w:spacing w:after="0" w:line="273" w:lineRule="auto"/>
        <w:jc w:val="left"/>
        <w:rPr>
          <w:sz w:val="24"/>
        </w:rPr>
        <w:sectPr>
          <w:pgSz w:w="12240" w:h="15840"/>
          <w:pgMar w:header="0" w:footer="975" w:top="1360" w:bottom="1220" w:left="1600" w:right="1580"/>
        </w:sectPr>
      </w:pPr>
    </w:p>
    <w:p>
      <w:pPr>
        <w:pStyle w:val="BodyText"/>
        <w:spacing w:line="278" w:lineRule="auto" w:before="54"/>
        <w:ind w:left="549" w:right="-15"/>
      </w:pPr>
      <w:r>
        <w:rPr/>
        <w:t>incumplimiento del Portal de Obligaciones de Transparencia no solamente divulga información pública no clara, sino que la esconde (Quintanilla, 2012).</w:t>
      </w:r>
    </w:p>
    <w:p>
      <w:pPr>
        <w:pStyle w:val="ListParagraph"/>
        <w:numPr>
          <w:ilvl w:val="0"/>
          <w:numId w:val="12"/>
        </w:numPr>
        <w:tabs>
          <w:tab w:pos="550" w:val="left" w:leader="none"/>
        </w:tabs>
        <w:spacing w:line="276" w:lineRule="auto" w:before="0" w:after="0"/>
        <w:ind w:left="549" w:right="117" w:hanging="360"/>
        <w:jc w:val="both"/>
        <w:rPr>
          <w:sz w:val="24"/>
        </w:rPr>
      </w:pPr>
      <w:r>
        <w:rPr>
          <w:sz w:val="24"/>
        </w:rPr>
        <w:t>La información en los sitios web gubernamentales está diseñada desde las necesidades de la administración pública y no desde las necesidades del usuario; además de tener un lenguaje administrativo que pocos entienden (López Ayllón,</w:t>
      </w:r>
      <w:r>
        <w:rPr>
          <w:spacing w:val="-10"/>
          <w:sz w:val="24"/>
        </w:rPr>
        <w:t> </w:t>
      </w:r>
      <w:r>
        <w:rPr>
          <w:sz w:val="24"/>
        </w:rPr>
        <w:t>2011).</w:t>
      </w:r>
    </w:p>
    <w:p>
      <w:pPr>
        <w:pStyle w:val="ListParagraph"/>
        <w:numPr>
          <w:ilvl w:val="0"/>
          <w:numId w:val="12"/>
        </w:numPr>
        <w:tabs>
          <w:tab w:pos="550" w:val="left" w:leader="none"/>
        </w:tabs>
        <w:spacing w:line="271" w:lineRule="auto" w:before="1" w:after="0"/>
        <w:ind w:left="549" w:right="124" w:hanging="360"/>
        <w:jc w:val="both"/>
        <w:rPr>
          <w:sz w:val="24"/>
        </w:rPr>
      </w:pPr>
      <w:r>
        <w:rPr>
          <w:sz w:val="24"/>
        </w:rPr>
        <w:t>La cultura de negación de la información por parte de las dependencias (Barrera, 2010 y Fox </w:t>
      </w:r>
      <w:r>
        <w:rPr>
          <w:i/>
          <w:sz w:val="24"/>
        </w:rPr>
        <w:t>et. al.</w:t>
      </w:r>
      <w:r>
        <w:rPr>
          <w:i/>
          <w:spacing w:val="-9"/>
          <w:sz w:val="24"/>
        </w:rPr>
        <w:t> </w:t>
      </w:r>
      <w:r>
        <w:rPr>
          <w:sz w:val="24"/>
        </w:rPr>
        <w:t>2011)</w:t>
      </w:r>
    </w:p>
    <w:p>
      <w:pPr>
        <w:pStyle w:val="ListParagraph"/>
        <w:numPr>
          <w:ilvl w:val="0"/>
          <w:numId w:val="12"/>
        </w:numPr>
        <w:tabs>
          <w:tab w:pos="550" w:val="left" w:leader="none"/>
        </w:tabs>
        <w:spacing w:line="240" w:lineRule="auto" w:before="6" w:after="0"/>
        <w:ind w:left="549" w:right="0" w:hanging="360"/>
        <w:jc w:val="both"/>
        <w:rPr>
          <w:sz w:val="24"/>
        </w:rPr>
      </w:pPr>
      <w:r>
        <w:rPr>
          <w:sz w:val="24"/>
        </w:rPr>
        <w:t>La falta de precisión de la ley (Spencer,</w:t>
      </w:r>
      <w:r>
        <w:rPr>
          <w:spacing w:val="-20"/>
          <w:sz w:val="24"/>
        </w:rPr>
        <w:t> </w:t>
      </w:r>
      <w:r>
        <w:rPr>
          <w:sz w:val="24"/>
        </w:rPr>
        <w:t>2008).</w:t>
      </w:r>
    </w:p>
    <w:p>
      <w:pPr>
        <w:pStyle w:val="BodyText"/>
      </w:pPr>
    </w:p>
    <w:p>
      <w:pPr>
        <w:pStyle w:val="BodyText"/>
        <w:spacing w:before="5"/>
        <w:rPr>
          <w:sz w:val="29"/>
        </w:rPr>
      </w:pPr>
    </w:p>
    <w:p>
      <w:pPr>
        <w:pStyle w:val="BodyText"/>
        <w:spacing w:line="360" w:lineRule="auto"/>
        <w:ind w:left="122" w:right="120"/>
        <w:jc w:val="both"/>
      </w:pPr>
      <w:r>
        <w:rPr/>
        <w:t>Por tal motivo, señala Hofmann (2012), la principal promesa del GA es que la sociedad</w:t>
      </w:r>
      <w:r>
        <w:rPr>
          <w:spacing w:val="-9"/>
        </w:rPr>
        <w:t> </w:t>
      </w:r>
      <w:r>
        <w:rPr/>
        <w:t>pueda</w:t>
      </w:r>
      <w:r>
        <w:rPr>
          <w:spacing w:val="-9"/>
        </w:rPr>
        <w:t> </w:t>
      </w:r>
      <w:r>
        <w:rPr/>
        <w:t>gestionar</w:t>
      </w:r>
      <w:r>
        <w:rPr>
          <w:spacing w:val="-11"/>
        </w:rPr>
        <w:t> </w:t>
      </w:r>
      <w:r>
        <w:rPr/>
        <w:t>grandes</w:t>
      </w:r>
      <w:r>
        <w:rPr>
          <w:spacing w:val="-10"/>
        </w:rPr>
        <w:t> </w:t>
      </w:r>
      <w:r>
        <w:rPr/>
        <w:t>cantidades</w:t>
      </w:r>
      <w:r>
        <w:rPr>
          <w:spacing w:val="-10"/>
        </w:rPr>
        <w:t> </w:t>
      </w:r>
      <w:r>
        <w:rPr/>
        <w:t>de</w:t>
      </w:r>
      <w:r>
        <w:rPr>
          <w:spacing w:val="-9"/>
        </w:rPr>
        <w:t> </w:t>
      </w:r>
      <w:r>
        <w:rPr/>
        <w:t>información</w:t>
      </w:r>
      <w:r>
        <w:rPr>
          <w:spacing w:val="-9"/>
        </w:rPr>
        <w:t> </w:t>
      </w:r>
      <w:r>
        <w:rPr/>
        <w:t>y</w:t>
      </w:r>
      <w:r>
        <w:rPr>
          <w:spacing w:val="-13"/>
        </w:rPr>
        <w:t> </w:t>
      </w:r>
      <w:r>
        <w:rPr/>
        <w:t>el</w:t>
      </w:r>
      <w:r>
        <w:rPr>
          <w:spacing w:val="-11"/>
        </w:rPr>
        <w:t> </w:t>
      </w:r>
      <w:r>
        <w:rPr/>
        <w:t>gobierno,</w:t>
      </w:r>
      <w:r>
        <w:rPr>
          <w:spacing w:val="-10"/>
        </w:rPr>
        <w:t> </w:t>
      </w:r>
      <w:r>
        <w:rPr/>
        <w:t>gracias a las Tecnologías de la Información y Comunicaciones (TIC), pueda ponerla a su disposición sin cuestionar quién la utiliza y para qué</w:t>
      </w:r>
      <w:r>
        <w:rPr>
          <w:spacing w:val="-16"/>
        </w:rPr>
        <w:t> </w:t>
      </w:r>
      <w:r>
        <w:rPr/>
        <w:t>fines.</w:t>
      </w:r>
    </w:p>
    <w:p>
      <w:pPr>
        <w:pStyle w:val="BodyText"/>
      </w:pPr>
    </w:p>
    <w:p>
      <w:pPr>
        <w:pStyle w:val="BodyText"/>
      </w:pPr>
    </w:p>
    <w:p>
      <w:pPr>
        <w:pStyle w:val="Heading1"/>
        <w:numPr>
          <w:ilvl w:val="1"/>
          <w:numId w:val="19"/>
        </w:numPr>
        <w:tabs>
          <w:tab w:pos="550" w:val="left" w:leader="none"/>
        </w:tabs>
        <w:spacing w:line="240" w:lineRule="auto" w:before="187" w:after="0"/>
        <w:ind w:left="549" w:right="0" w:hanging="439"/>
        <w:jc w:val="both"/>
      </w:pPr>
      <w:bookmarkStart w:name="_bookmark8" w:id="14"/>
      <w:bookmarkEnd w:id="14"/>
      <w:r>
        <w:rPr>
          <w:b w:val="0"/>
        </w:rPr>
      </w:r>
      <w:bookmarkStart w:name="_bookmark8" w:id="15"/>
      <w:bookmarkEnd w:id="15"/>
      <w:r>
        <w:rPr/>
        <w:t>G</w:t>
      </w:r>
      <w:r>
        <w:rPr/>
        <w:t>eneralidades del acceso a la</w:t>
      </w:r>
      <w:r>
        <w:rPr>
          <w:spacing w:val="-14"/>
        </w:rPr>
        <w:t> </w:t>
      </w:r>
      <w:r>
        <w:rPr/>
        <w:t>información</w:t>
      </w:r>
    </w:p>
    <w:p>
      <w:pPr>
        <w:pStyle w:val="BodyText"/>
        <w:rPr>
          <w:b/>
        </w:rPr>
      </w:pPr>
    </w:p>
    <w:p>
      <w:pPr>
        <w:pStyle w:val="BodyText"/>
        <w:rPr>
          <w:b/>
        </w:rPr>
      </w:pPr>
    </w:p>
    <w:p>
      <w:pPr>
        <w:pStyle w:val="BodyText"/>
        <w:spacing w:line="360" w:lineRule="auto" w:before="158"/>
        <w:ind w:left="122" w:right="116"/>
        <w:jc w:val="both"/>
      </w:pPr>
      <w:r>
        <w:rPr/>
        <w:t>La Declaración de Guadalajara, suscrita a finales de 2005 por los gobernadores de Chihuahua, Zacatecas y Aguascalientes se pronunció a favor de una reforma constitucional que plasme los mínimos de transparencia y acceso a la información que deben existir en todo el país. A fin de corregir las asimetrías que hay entre los distintos niveles de gobierno. (Guerrero y Ramírez, 2006).</w:t>
      </w:r>
    </w:p>
    <w:p>
      <w:pPr>
        <w:pStyle w:val="BodyText"/>
      </w:pPr>
    </w:p>
    <w:p>
      <w:pPr>
        <w:pStyle w:val="BodyText"/>
      </w:pPr>
    </w:p>
    <w:p>
      <w:pPr>
        <w:pStyle w:val="BodyText"/>
        <w:spacing w:line="360" w:lineRule="auto" w:before="187"/>
        <w:ind w:left="122" w:right="119"/>
        <w:jc w:val="both"/>
      </w:pPr>
      <w:r>
        <w:rPr/>
        <w:t>No obstante, la transparencia y el acceso a la información pública son, señala Merino (2006), dos cuestiones distintas: el acceso a la información se trata de un derecho fundamental que debe ser garantizado de manera igual para todos los ciudadanos, con independencia de su lugar de origen o residencia. Pero la transparencia lleva también a la definición de una política destinada a modificar las prácticas tradicionales de gestión pública. De estas dos precisiones es pertinente destacar que el acceso a la información es la base de la transparencia, ya que sin información no hay transparencia (Barrera, 2010).</w:t>
      </w:r>
    </w:p>
    <w:p>
      <w:pPr>
        <w:spacing w:after="0" w:line="360" w:lineRule="auto"/>
        <w:jc w:val="both"/>
        <w:sectPr>
          <w:pgSz w:w="12240" w:h="15840"/>
          <w:pgMar w:header="0" w:footer="975" w:top="1360" w:bottom="1220" w:left="1580" w:right="1580"/>
        </w:sectPr>
      </w:pPr>
    </w:p>
    <w:p>
      <w:pPr>
        <w:pStyle w:val="BodyText"/>
        <w:spacing w:line="360" w:lineRule="auto" w:before="54"/>
        <w:ind w:left="102" w:right="120"/>
        <w:jc w:val="both"/>
      </w:pPr>
      <w:r>
        <w:rPr/>
        <w:t>Dentro</w:t>
      </w:r>
      <w:r>
        <w:rPr>
          <w:spacing w:val="-11"/>
        </w:rPr>
        <w:t> </w:t>
      </w:r>
      <w:r>
        <w:rPr/>
        <w:t>de</w:t>
      </w:r>
      <w:r>
        <w:rPr>
          <w:spacing w:val="-9"/>
        </w:rPr>
        <w:t> </w:t>
      </w:r>
      <w:r>
        <w:rPr/>
        <w:t>las</w:t>
      </w:r>
      <w:r>
        <w:rPr>
          <w:spacing w:val="-10"/>
        </w:rPr>
        <w:t> </w:t>
      </w:r>
      <w:r>
        <w:rPr/>
        <w:t>definiciones</w:t>
      </w:r>
      <w:r>
        <w:rPr>
          <w:spacing w:val="-12"/>
        </w:rPr>
        <w:t> </w:t>
      </w:r>
      <w:r>
        <w:rPr/>
        <w:t>de</w:t>
      </w:r>
      <w:r>
        <w:rPr>
          <w:spacing w:val="-11"/>
        </w:rPr>
        <w:t> </w:t>
      </w:r>
      <w:r>
        <w:rPr/>
        <w:t>acceso</w:t>
      </w:r>
      <w:r>
        <w:rPr>
          <w:spacing w:val="-9"/>
        </w:rPr>
        <w:t> </w:t>
      </w:r>
      <w:r>
        <w:rPr/>
        <w:t>a</w:t>
      </w:r>
      <w:r>
        <w:rPr>
          <w:spacing w:val="-11"/>
        </w:rPr>
        <w:t> </w:t>
      </w:r>
      <w:r>
        <w:rPr/>
        <w:t>la</w:t>
      </w:r>
      <w:r>
        <w:rPr>
          <w:spacing w:val="-10"/>
        </w:rPr>
        <w:t> </w:t>
      </w:r>
      <w:r>
        <w:rPr/>
        <w:t>información</w:t>
      </w:r>
      <w:r>
        <w:rPr>
          <w:spacing w:val="-11"/>
        </w:rPr>
        <w:t> </w:t>
      </w:r>
      <w:r>
        <w:rPr/>
        <w:t>se</w:t>
      </w:r>
      <w:r>
        <w:rPr>
          <w:spacing w:val="-11"/>
        </w:rPr>
        <w:t> </w:t>
      </w:r>
      <w:r>
        <w:rPr/>
        <w:t>puede</w:t>
      </w:r>
      <w:r>
        <w:rPr>
          <w:spacing w:val="-13"/>
        </w:rPr>
        <w:t> </w:t>
      </w:r>
      <w:r>
        <w:rPr/>
        <w:t>mencionar</w:t>
      </w:r>
      <w:r>
        <w:rPr>
          <w:spacing w:val="-11"/>
        </w:rPr>
        <w:t> </w:t>
      </w:r>
      <w:r>
        <w:rPr/>
        <w:t>que</w:t>
      </w:r>
      <w:r>
        <w:rPr>
          <w:spacing w:val="-11"/>
        </w:rPr>
        <w:t> </w:t>
      </w:r>
      <w:r>
        <w:rPr/>
        <w:t>para Cantú </w:t>
      </w:r>
      <w:r>
        <w:rPr>
          <w:i/>
        </w:rPr>
        <w:t>et. al. </w:t>
      </w:r>
      <w:r>
        <w:rPr/>
        <w:t>(2011), INFOEM (2013), Naessens (2010), Sánchez (2011) y Uvalle (2012) es un derecho por medio del cual los gobernados pueden conocer, solicitar y supervisar las acciones de los</w:t>
      </w:r>
      <w:r>
        <w:rPr>
          <w:spacing w:val="-12"/>
        </w:rPr>
        <w:t> </w:t>
      </w:r>
      <w:r>
        <w:rPr/>
        <w:t>gobernantes.</w:t>
      </w:r>
    </w:p>
    <w:p>
      <w:pPr>
        <w:pStyle w:val="BodyText"/>
      </w:pPr>
    </w:p>
    <w:p>
      <w:pPr>
        <w:pStyle w:val="BodyText"/>
      </w:pPr>
    </w:p>
    <w:p>
      <w:pPr>
        <w:pStyle w:val="BodyText"/>
        <w:spacing w:line="360" w:lineRule="auto" w:before="185"/>
        <w:ind w:left="102" w:right="116"/>
        <w:jc w:val="both"/>
      </w:pPr>
      <w:r>
        <w:rPr/>
        <w:t>Este derecho es una condición de la vida democrática que cuando los ciudadanos tienen</w:t>
      </w:r>
      <w:r>
        <w:rPr>
          <w:spacing w:val="-7"/>
        </w:rPr>
        <w:t> </w:t>
      </w:r>
      <w:r>
        <w:rPr/>
        <w:t>lealtad</w:t>
      </w:r>
      <w:r>
        <w:rPr>
          <w:spacing w:val="-7"/>
        </w:rPr>
        <w:t> </w:t>
      </w:r>
      <w:r>
        <w:rPr/>
        <w:t>con</w:t>
      </w:r>
      <w:r>
        <w:rPr>
          <w:spacing w:val="-9"/>
        </w:rPr>
        <w:t> </w:t>
      </w:r>
      <w:r>
        <w:rPr/>
        <w:t>el</w:t>
      </w:r>
      <w:r>
        <w:rPr>
          <w:spacing w:val="-8"/>
        </w:rPr>
        <w:t> </w:t>
      </w:r>
      <w:r>
        <w:rPr/>
        <w:t>orden</w:t>
      </w:r>
      <w:r>
        <w:rPr>
          <w:spacing w:val="-9"/>
        </w:rPr>
        <w:t> </w:t>
      </w:r>
      <w:r>
        <w:rPr/>
        <w:t>establecido,</w:t>
      </w:r>
      <w:r>
        <w:rPr>
          <w:spacing w:val="-7"/>
        </w:rPr>
        <w:t> </w:t>
      </w:r>
      <w:r>
        <w:rPr/>
        <w:t>pagan</w:t>
      </w:r>
      <w:r>
        <w:rPr>
          <w:spacing w:val="-7"/>
        </w:rPr>
        <w:t> </w:t>
      </w:r>
      <w:r>
        <w:rPr/>
        <w:t>impuestos</w:t>
      </w:r>
      <w:r>
        <w:rPr>
          <w:spacing w:val="-8"/>
        </w:rPr>
        <w:t> </w:t>
      </w:r>
      <w:r>
        <w:rPr/>
        <w:t>y</w:t>
      </w:r>
      <w:r>
        <w:rPr>
          <w:spacing w:val="-10"/>
        </w:rPr>
        <w:t> </w:t>
      </w:r>
      <w:r>
        <w:rPr/>
        <w:t>respetan</w:t>
      </w:r>
      <w:r>
        <w:rPr>
          <w:spacing w:val="-7"/>
        </w:rPr>
        <w:t> </w:t>
      </w:r>
      <w:r>
        <w:rPr/>
        <w:t>en</w:t>
      </w:r>
      <w:r>
        <w:rPr>
          <w:spacing w:val="-9"/>
        </w:rPr>
        <w:t> </w:t>
      </w:r>
      <w:r>
        <w:rPr/>
        <w:t>términos</w:t>
      </w:r>
      <w:r>
        <w:rPr>
          <w:spacing w:val="-10"/>
        </w:rPr>
        <w:t> </w:t>
      </w:r>
      <w:r>
        <w:rPr/>
        <w:t>de cumplimiento las reglas del derecho, no hay motivo para justificar que el poder no difunda la información público gubernamental (Uvalle, 2012). No obstante, este derecho</w:t>
      </w:r>
      <w:r>
        <w:rPr>
          <w:spacing w:val="-13"/>
        </w:rPr>
        <w:t> </w:t>
      </w:r>
      <w:r>
        <w:rPr/>
        <w:t>tiene</w:t>
      </w:r>
      <w:r>
        <w:rPr>
          <w:spacing w:val="-15"/>
        </w:rPr>
        <w:t> </w:t>
      </w:r>
      <w:r>
        <w:rPr/>
        <w:t>varios</w:t>
      </w:r>
      <w:r>
        <w:rPr>
          <w:spacing w:val="-14"/>
        </w:rPr>
        <w:t> </w:t>
      </w:r>
      <w:r>
        <w:rPr/>
        <w:t>retos</w:t>
      </w:r>
      <w:r>
        <w:rPr>
          <w:spacing w:val="-14"/>
        </w:rPr>
        <w:t> </w:t>
      </w:r>
      <w:r>
        <w:rPr/>
        <w:t>que</w:t>
      </w:r>
      <w:r>
        <w:rPr>
          <w:spacing w:val="-15"/>
        </w:rPr>
        <w:t> </w:t>
      </w:r>
      <w:r>
        <w:rPr/>
        <w:t>implican</w:t>
      </w:r>
      <w:r>
        <w:rPr>
          <w:spacing w:val="-13"/>
        </w:rPr>
        <w:t> </w:t>
      </w:r>
      <w:r>
        <w:rPr/>
        <w:t>la</w:t>
      </w:r>
      <w:r>
        <w:rPr>
          <w:spacing w:val="-15"/>
        </w:rPr>
        <w:t> </w:t>
      </w:r>
      <w:r>
        <w:rPr/>
        <w:t>obligación</w:t>
      </w:r>
      <w:r>
        <w:rPr>
          <w:spacing w:val="-12"/>
        </w:rPr>
        <w:t> </w:t>
      </w:r>
      <w:r>
        <w:rPr/>
        <w:t>de</w:t>
      </w:r>
      <w:r>
        <w:rPr>
          <w:spacing w:val="-13"/>
        </w:rPr>
        <w:t> </w:t>
      </w:r>
      <w:r>
        <w:rPr/>
        <w:t>encontrar</w:t>
      </w:r>
      <w:r>
        <w:rPr>
          <w:spacing w:val="-16"/>
        </w:rPr>
        <w:t> </w:t>
      </w:r>
      <w:r>
        <w:rPr/>
        <w:t>mecanismos</w:t>
      </w:r>
      <w:r>
        <w:rPr>
          <w:spacing w:val="-16"/>
        </w:rPr>
        <w:t> </w:t>
      </w:r>
      <w:r>
        <w:rPr/>
        <w:t>para que los ciudadanos obtengan mayores beneficios, a la vez que les gobierno hacen más fácil el proceso y generan mecanismos adecuados para romper las inercias hacia la opacidad que se dan en el seno de las organizaciones</w:t>
      </w:r>
      <w:r>
        <w:rPr>
          <w:spacing w:val="-24"/>
        </w:rPr>
        <w:t> </w:t>
      </w:r>
      <w:r>
        <w:rPr/>
        <w:t>públicas.</w:t>
      </w:r>
    </w:p>
    <w:p>
      <w:pPr>
        <w:pStyle w:val="BodyText"/>
      </w:pPr>
    </w:p>
    <w:p>
      <w:pPr>
        <w:pStyle w:val="BodyText"/>
      </w:pPr>
    </w:p>
    <w:p>
      <w:pPr>
        <w:pStyle w:val="BodyText"/>
        <w:spacing w:line="360" w:lineRule="auto" w:before="185"/>
        <w:ind w:left="102" w:right="121"/>
        <w:jc w:val="both"/>
      </w:pPr>
      <w:r>
        <w:rPr/>
        <w:t>En</w:t>
      </w:r>
      <w:r>
        <w:rPr>
          <w:spacing w:val="-12"/>
        </w:rPr>
        <w:t> </w:t>
      </w:r>
      <w:r>
        <w:rPr/>
        <w:t>este</w:t>
      </w:r>
      <w:r>
        <w:rPr>
          <w:spacing w:val="-11"/>
        </w:rPr>
        <w:t> </w:t>
      </w:r>
      <w:r>
        <w:rPr/>
        <w:t>sentido</w:t>
      </w:r>
      <w:r>
        <w:rPr>
          <w:spacing w:val="-12"/>
        </w:rPr>
        <w:t> </w:t>
      </w:r>
      <w:r>
        <w:rPr/>
        <w:t>hablar</w:t>
      </w:r>
      <w:r>
        <w:rPr>
          <w:spacing w:val="-15"/>
        </w:rPr>
        <w:t> </w:t>
      </w:r>
      <w:r>
        <w:rPr/>
        <w:t>de</w:t>
      </w:r>
      <w:r>
        <w:rPr>
          <w:spacing w:val="-12"/>
        </w:rPr>
        <w:t> </w:t>
      </w:r>
      <w:r>
        <w:rPr/>
        <w:t>derechos</w:t>
      </w:r>
      <w:r>
        <w:rPr>
          <w:spacing w:val="-13"/>
        </w:rPr>
        <w:t> </w:t>
      </w:r>
      <w:r>
        <w:rPr/>
        <w:t>en</w:t>
      </w:r>
      <w:r>
        <w:rPr>
          <w:spacing w:val="-12"/>
        </w:rPr>
        <w:t> </w:t>
      </w:r>
      <w:r>
        <w:rPr/>
        <w:t>una</w:t>
      </w:r>
      <w:r>
        <w:rPr>
          <w:spacing w:val="-14"/>
        </w:rPr>
        <w:t> </w:t>
      </w:r>
      <w:r>
        <w:rPr/>
        <w:t>democracia</w:t>
      </w:r>
      <w:r>
        <w:rPr>
          <w:spacing w:val="-14"/>
        </w:rPr>
        <w:t> </w:t>
      </w:r>
      <w:r>
        <w:rPr/>
        <w:t>significa</w:t>
      </w:r>
      <w:r>
        <w:rPr>
          <w:spacing w:val="-14"/>
        </w:rPr>
        <w:t> </w:t>
      </w:r>
      <w:r>
        <w:rPr/>
        <w:t>que</w:t>
      </w:r>
      <w:r>
        <w:rPr>
          <w:spacing w:val="-14"/>
        </w:rPr>
        <w:t> </w:t>
      </w:r>
      <w:r>
        <w:rPr/>
        <w:t>éste</w:t>
      </w:r>
      <w:r>
        <w:rPr>
          <w:spacing w:val="-14"/>
        </w:rPr>
        <w:t> </w:t>
      </w:r>
      <w:r>
        <w:rPr/>
        <w:t>es</w:t>
      </w:r>
      <w:r>
        <w:rPr>
          <w:spacing w:val="-13"/>
        </w:rPr>
        <w:t> </w:t>
      </w:r>
      <w:r>
        <w:rPr/>
        <w:t>dirigido hacia los ciudadanos, no a los súbditos. Tomando en consideración que un ciudadano debate, analiza y solicita explicación sobre el modo en que las autoridades</w:t>
      </w:r>
      <w:r>
        <w:rPr>
          <w:spacing w:val="-18"/>
        </w:rPr>
        <w:t> </w:t>
      </w:r>
      <w:r>
        <w:rPr/>
        <w:t>cumplen</w:t>
      </w:r>
      <w:r>
        <w:rPr>
          <w:spacing w:val="-17"/>
        </w:rPr>
        <w:t> </w:t>
      </w:r>
      <w:r>
        <w:rPr/>
        <w:t>con</w:t>
      </w:r>
      <w:r>
        <w:rPr>
          <w:spacing w:val="-18"/>
        </w:rPr>
        <w:t> </w:t>
      </w:r>
      <w:r>
        <w:rPr/>
        <w:t>las</w:t>
      </w:r>
      <w:r>
        <w:rPr>
          <w:spacing w:val="-20"/>
        </w:rPr>
        <w:t> </w:t>
      </w:r>
      <w:r>
        <w:rPr/>
        <w:t>funciones</w:t>
      </w:r>
      <w:r>
        <w:rPr>
          <w:spacing w:val="-18"/>
        </w:rPr>
        <w:t> </w:t>
      </w:r>
      <w:r>
        <w:rPr/>
        <w:t>que</w:t>
      </w:r>
      <w:r>
        <w:rPr>
          <w:spacing w:val="-18"/>
        </w:rPr>
        <w:t> </w:t>
      </w:r>
      <w:r>
        <w:rPr/>
        <w:t>se</w:t>
      </w:r>
      <w:r>
        <w:rPr>
          <w:spacing w:val="-18"/>
        </w:rPr>
        <w:t> </w:t>
      </w:r>
      <w:r>
        <w:rPr/>
        <w:t>les</w:t>
      </w:r>
      <w:r>
        <w:rPr>
          <w:spacing w:val="-18"/>
        </w:rPr>
        <w:t> </w:t>
      </w:r>
      <w:r>
        <w:rPr/>
        <w:t>han</w:t>
      </w:r>
      <w:r>
        <w:rPr>
          <w:spacing w:val="-18"/>
        </w:rPr>
        <w:t> </w:t>
      </w:r>
      <w:r>
        <w:rPr/>
        <w:t>encomendado</w:t>
      </w:r>
      <w:r>
        <w:rPr>
          <w:spacing w:val="-18"/>
        </w:rPr>
        <w:t> </w:t>
      </w:r>
      <w:r>
        <w:rPr/>
        <w:t>(Uvalle,</w:t>
      </w:r>
      <w:r>
        <w:rPr>
          <w:spacing w:val="-18"/>
        </w:rPr>
        <w:t> </w:t>
      </w:r>
      <w:r>
        <w:rPr/>
        <w:t>2012). Es importante señalar que en los países más desarrollados se tiene mayor acceso a</w:t>
      </w:r>
      <w:r>
        <w:rPr>
          <w:spacing w:val="-10"/>
        </w:rPr>
        <w:t> </w:t>
      </w:r>
      <w:r>
        <w:rPr/>
        <w:t>la</w:t>
      </w:r>
      <w:r>
        <w:rPr>
          <w:spacing w:val="-13"/>
        </w:rPr>
        <w:t> </w:t>
      </w:r>
      <w:r>
        <w:rPr/>
        <w:t>información</w:t>
      </w:r>
      <w:r>
        <w:rPr>
          <w:spacing w:val="-13"/>
        </w:rPr>
        <w:t> </w:t>
      </w:r>
      <w:r>
        <w:rPr/>
        <w:t>porque</w:t>
      </w:r>
      <w:r>
        <w:rPr>
          <w:spacing w:val="-10"/>
        </w:rPr>
        <w:t> </w:t>
      </w:r>
      <w:r>
        <w:rPr/>
        <w:t>cuentan</w:t>
      </w:r>
      <w:r>
        <w:rPr>
          <w:spacing w:val="-13"/>
        </w:rPr>
        <w:t> </w:t>
      </w:r>
      <w:r>
        <w:rPr/>
        <w:t>con</w:t>
      </w:r>
      <w:r>
        <w:rPr>
          <w:spacing w:val="-14"/>
        </w:rPr>
        <w:t> </w:t>
      </w:r>
      <w:r>
        <w:rPr/>
        <w:t>mecanismos</w:t>
      </w:r>
      <w:r>
        <w:rPr>
          <w:spacing w:val="-14"/>
        </w:rPr>
        <w:t> </w:t>
      </w:r>
      <w:r>
        <w:rPr/>
        <w:t>legislativos</w:t>
      </w:r>
      <w:r>
        <w:rPr>
          <w:spacing w:val="-11"/>
        </w:rPr>
        <w:t> </w:t>
      </w:r>
      <w:r>
        <w:rPr/>
        <w:t>rigurosos</w:t>
      </w:r>
      <w:r>
        <w:rPr>
          <w:spacing w:val="-11"/>
        </w:rPr>
        <w:t> </w:t>
      </w:r>
      <w:r>
        <w:rPr/>
        <w:t>(Villanueva, 2006).</w:t>
      </w:r>
    </w:p>
    <w:p>
      <w:pPr>
        <w:pStyle w:val="BodyText"/>
      </w:pPr>
    </w:p>
    <w:p>
      <w:pPr>
        <w:pStyle w:val="BodyText"/>
      </w:pPr>
    </w:p>
    <w:p>
      <w:pPr>
        <w:pStyle w:val="BodyText"/>
        <w:spacing w:before="7"/>
        <w:rPr>
          <w:sz w:val="19"/>
        </w:rPr>
      </w:pPr>
    </w:p>
    <w:p>
      <w:pPr>
        <w:pStyle w:val="BodyText"/>
        <w:spacing w:line="360" w:lineRule="auto"/>
        <w:ind w:left="102" w:right="117"/>
        <w:jc w:val="both"/>
      </w:pPr>
      <w:r>
        <w:rPr/>
        <w:t>Uvalle, afirma que “El derecho de acceso a la información es propio de la vida democrática e implica, en una relación de reciprocidad hacia el poder vigente, que cuando los ciudadanos tienen lealtad con el orden establecido, pagan impuestos y respetan en términos de cumplimiento las reglas del derecho, no hay motivo para justificar que el poder no difunda la información público gubernamental” (Uvalle, 2012:31).</w:t>
      </w:r>
    </w:p>
    <w:p>
      <w:pPr>
        <w:spacing w:after="0" w:line="360" w:lineRule="auto"/>
        <w:jc w:val="both"/>
        <w:sectPr>
          <w:pgSz w:w="12240" w:h="15840"/>
          <w:pgMar w:header="0" w:footer="975" w:top="1360" w:bottom="1220" w:left="1600" w:right="1580"/>
        </w:sectPr>
      </w:pPr>
    </w:p>
    <w:p>
      <w:pPr>
        <w:pStyle w:val="BodyText"/>
        <w:rPr>
          <w:sz w:val="20"/>
        </w:rPr>
      </w:pPr>
    </w:p>
    <w:p>
      <w:pPr>
        <w:pStyle w:val="BodyText"/>
        <w:spacing w:before="7"/>
        <w:rPr>
          <w:sz w:val="16"/>
        </w:rPr>
      </w:pPr>
    </w:p>
    <w:p>
      <w:pPr>
        <w:pStyle w:val="BodyText"/>
        <w:spacing w:line="360" w:lineRule="auto" w:before="69"/>
        <w:ind w:left="102" w:right="117"/>
        <w:jc w:val="both"/>
      </w:pPr>
      <w:r>
        <w:rPr/>
        <w:t>Esta problemática también es señalada por Sánchez (2011), quien afirma que al respecto del ejercicio del derecho a la información se tienen varios retos que implican</w:t>
      </w:r>
      <w:r>
        <w:rPr>
          <w:spacing w:val="-4"/>
        </w:rPr>
        <w:t> </w:t>
      </w:r>
      <w:r>
        <w:rPr/>
        <w:t>la</w:t>
      </w:r>
      <w:r>
        <w:rPr>
          <w:spacing w:val="-6"/>
        </w:rPr>
        <w:t> </w:t>
      </w:r>
      <w:r>
        <w:rPr/>
        <w:t>obligación</w:t>
      </w:r>
      <w:r>
        <w:rPr>
          <w:spacing w:val="-6"/>
        </w:rPr>
        <w:t> </w:t>
      </w:r>
      <w:r>
        <w:rPr/>
        <w:t>de</w:t>
      </w:r>
      <w:r>
        <w:rPr>
          <w:spacing w:val="-4"/>
        </w:rPr>
        <w:t> </w:t>
      </w:r>
      <w:r>
        <w:rPr/>
        <w:t>encontrar</w:t>
      </w:r>
      <w:r>
        <w:rPr>
          <w:spacing w:val="-5"/>
        </w:rPr>
        <w:t> </w:t>
      </w:r>
      <w:r>
        <w:rPr/>
        <w:t>mecanismos</w:t>
      </w:r>
      <w:r>
        <w:rPr>
          <w:spacing w:val="-7"/>
        </w:rPr>
        <w:t> </w:t>
      </w:r>
      <w:r>
        <w:rPr/>
        <w:t>para</w:t>
      </w:r>
      <w:r>
        <w:rPr>
          <w:spacing w:val="-4"/>
        </w:rPr>
        <w:t> </w:t>
      </w:r>
      <w:r>
        <w:rPr/>
        <w:t>que</w:t>
      </w:r>
      <w:r>
        <w:rPr>
          <w:spacing w:val="-4"/>
        </w:rPr>
        <w:t> </w:t>
      </w:r>
      <w:r>
        <w:rPr/>
        <w:t>los</w:t>
      </w:r>
      <w:r>
        <w:rPr>
          <w:spacing w:val="-6"/>
        </w:rPr>
        <w:t> </w:t>
      </w:r>
      <w:r>
        <w:rPr/>
        <w:t>ciudadanos</w:t>
      </w:r>
      <w:r>
        <w:rPr>
          <w:spacing w:val="-4"/>
        </w:rPr>
        <w:t> </w:t>
      </w:r>
      <w:r>
        <w:rPr/>
        <w:t>obtengan mayores beneficios derivados del ejercicio del derecho a la información, a la vez que les hacemos más fácil el proceso, y en contraparte, se generen mecanismos adecuados</w:t>
      </w:r>
      <w:r>
        <w:rPr>
          <w:spacing w:val="-7"/>
        </w:rPr>
        <w:t> </w:t>
      </w:r>
      <w:r>
        <w:rPr/>
        <w:t>para</w:t>
      </w:r>
      <w:r>
        <w:rPr>
          <w:spacing w:val="-7"/>
        </w:rPr>
        <w:t> </w:t>
      </w:r>
      <w:r>
        <w:rPr/>
        <w:t>romper</w:t>
      </w:r>
      <w:r>
        <w:rPr>
          <w:spacing w:val="-5"/>
        </w:rPr>
        <w:t> </w:t>
      </w:r>
      <w:r>
        <w:rPr/>
        <w:t>las</w:t>
      </w:r>
      <w:r>
        <w:rPr>
          <w:spacing w:val="-4"/>
        </w:rPr>
        <w:t> </w:t>
      </w:r>
      <w:r>
        <w:rPr/>
        <w:t>inercias</w:t>
      </w:r>
      <w:r>
        <w:rPr>
          <w:spacing w:val="-7"/>
        </w:rPr>
        <w:t> </w:t>
      </w:r>
      <w:r>
        <w:rPr/>
        <w:t>hacia</w:t>
      </w:r>
      <w:r>
        <w:rPr>
          <w:spacing w:val="-6"/>
        </w:rPr>
        <w:t> </w:t>
      </w:r>
      <w:r>
        <w:rPr/>
        <w:t>la</w:t>
      </w:r>
      <w:r>
        <w:rPr>
          <w:spacing w:val="-6"/>
        </w:rPr>
        <w:t> </w:t>
      </w:r>
      <w:r>
        <w:rPr/>
        <w:t>opacidad</w:t>
      </w:r>
      <w:r>
        <w:rPr>
          <w:spacing w:val="-6"/>
        </w:rPr>
        <w:t> </w:t>
      </w:r>
      <w:r>
        <w:rPr/>
        <w:t>que</w:t>
      </w:r>
      <w:r>
        <w:rPr>
          <w:spacing w:val="-4"/>
        </w:rPr>
        <w:t> </w:t>
      </w:r>
      <w:r>
        <w:rPr/>
        <w:t>se</w:t>
      </w:r>
      <w:r>
        <w:rPr>
          <w:spacing w:val="-6"/>
        </w:rPr>
        <w:t> </w:t>
      </w:r>
      <w:r>
        <w:rPr/>
        <w:t>dan</w:t>
      </w:r>
      <w:r>
        <w:rPr>
          <w:spacing w:val="-6"/>
        </w:rPr>
        <w:t> </w:t>
      </w:r>
      <w:r>
        <w:rPr/>
        <w:t>en</w:t>
      </w:r>
      <w:r>
        <w:rPr>
          <w:spacing w:val="-4"/>
        </w:rPr>
        <w:t> </w:t>
      </w:r>
      <w:r>
        <w:rPr/>
        <w:t>el</w:t>
      </w:r>
      <w:r>
        <w:rPr>
          <w:spacing w:val="-7"/>
        </w:rPr>
        <w:t> </w:t>
      </w:r>
      <w:r>
        <w:rPr/>
        <w:t>seno</w:t>
      </w:r>
      <w:r>
        <w:rPr>
          <w:spacing w:val="-6"/>
        </w:rPr>
        <w:t> </w:t>
      </w:r>
      <w:r>
        <w:rPr/>
        <w:t>de</w:t>
      </w:r>
      <w:r>
        <w:rPr>
          <w:spacing w:val="-6"/>
        </w:rPr>
        <w:t> </w:t>
      </w:r>
      <w:r>
        <w:rPr/>
        <w:t>las organizaciones públicas. Hablar de derechos en una democracia significa que éste es dirigido hacia los ciudadanos, no a los súbditos. Tomando en consideración que un ciudadano debate, analiza y solicita explicación sobre el modo en que las autoridades cumplen con las funciones que se les han encomendado (Uvalle, 2012:31).</w:t>
      </w:r>
    </w:p>
    <w:p>
      <w:pPr>
        <w:pStyle w:val="BodyText"/>
      </w:pPr>
    </w:p>
    <w:p>
      <w:pPr>
        <w:pStyle w:val="BodyText"/>
      </w:pPr>
    </w:p>
    <w:p>
      <w:pPr>
        <w:pStyle w:val="BodyText"/>
        <w:spacing w:before="187"/>
        <w:ind w:left="102"/>
        <w:jc w:val="both"/>
      </w:pPr>
      <w:r>
        <w:rPr/>
        <w:t>Por su parte Álvarez (2007) afirma que el acceso a la información es una</w:t>
      </w:r>
    </w:p>
    <w:p>
      <w:pPr>
        <w:pStyle w:val="BodyText"/>
      </w:pPr>
    </w:p>
    <w:p>
      <w:pPr>
        <w:pStyle w:val="BodyText"/>
        <w:spacing w:before="10"/>
        <w:rPr>
          <w:sz w:val="33"/>
        </w:rPr>
      </w:pPr>
    </w:p>
    <w:p>
      <w:pPr>
        <w:spacing w:line="240" w:lineRule="auto" w:before="0"/>
        <w:ind w:left="668" w:right="825" w:firstLine="0"/>
        <w:jc w:val="both"/>
        <w:rPr>
          <w:sz w:val="18"/>
        </w:rPr>
      </w:pPr>
      <w:r>
        <w:rPr>
          <w:sz w:val="18"/>
        </w:rPr>
        <w:t>“Herramienta esencial para combatir la corrupción, hacer realidad el principio de transparencia en</w:t>
      </w:r>
      <w:r>
        <w:rPr>
          <w:spacing w:val="-7"/>
          <w:sz w:val="18"/>
        </w:rPr>
        <w:t> </w:t>
      </w:r>
      <w:r>
        <w:rPr>
          <w:sz w:val="18"/>
        </w:rPr>
        <w:t>la</w:t>
      </w:r>
      <w:r>
        <w:rPr>
          <w:spacing w:val="-10"/>
          <w:sz w:val="18"/>
        </w:rPr>
        <w:t> </w:t>
      </w:r>
      <w:r>
        <w:rPr>
          <w:sz w:val="18"/>
        </w:rPr>
        <w:t>gestión</w:t>
      </w:r>
      <w:r>
        <w:rPr>
          <w:spacing w:val="-7"/>
          <w:sz w:val="18"/>
        </w:rPr>
        <w:t> </w:t>
      </w:r>
      <w:r>
        <w:rPr>
          <w:sz w:val="18"/>
        </w:rPr>
        <w:t>pública</w:t>
      </w:r>
      <w:r>
        <w:rPr>
          <w:spacing w:val="-7"/>
          <w:sz w:val="18"/>
        </w:rPr>
        <w:t> </w:t>
      </w:r>
      <w:r>
        <w:rPr>
          <w:sz w:val="18"/>
        </w:rPr>
        <w:t>y</w:t>
      </w:r>
      <w:r>
        <w:rPr>
          <w:spacing w:val="-11"/>
          <w:sz w:val="18"/>
        </w:rPr>
        <w:t> </w:t>
      </w:r>
      <w:r>
        <w:rPr>
          <w:sz w:val="18"/>
        </w:rPr>
        <w:t>mejorar</w:t>
      </w:r>
      <w:r>
        <w:rPr>
          <w:spacing w:val="-10"/>
          <w:sz w:val="18"/>
        </w:rPr>
        <w:t> </w:t>
      </w:r>
      <w:r>
        <w:rPr>
          <w:sz w:val="18"/>
        </w:rPr>
        <w:t>la</w:t>
      </w:r>
      <w:r>
        <w:rPr>
          <w:spacing w:val="-7"/>
          <w:sz w:val="18"/>
        </w:rPr>
        <w:t> </w:t>
      </w:r>
      <w:r>
        <w:rPr>
          <w:sz w:val="18"/>
        </w:rPr>
        <w:t>calidad</w:t>
      </w:r>
      <w:r>
        <w:rPr>
          <w:spacing w:val="-10"/>
          <w:sz w:val="18"/>
        </w:rPr>
        <w:t> </w:t>
      </w:r>
      <w:r>
        <w:rPr>
          <w:sz w:val="18"/>
        </w:rPr>
        <w:t>de</w:t>
      </w:r>
      <w:r>
        <w:rPr>
          <w:spacing w:val="-7"/>
          <w:sz w:val="18"/>
        </w:rPr>
        <w:t> </w:t>
      </w:r>
      <w:r>
        <w:rPr>
          <w:sz w:val="18"/>
        </w:rPr>
        <w:t>nuestras</w:t>
      </w:r>
      <w:r>
        <w:rPr>
          <w:spacing w:val="-7"/>
          <w:sz w:val="18"/>
        </w:rPr>
        <w:t> </w:t>
      </w:r>
      <w:r>
        <w:rPr>
          <w:sz w:val="18"/>
        </w:rPr>
        <w:t>democracias,</w:t>
      </w:r>
      <w:r>
        <w:rPr>
          <w:spacing w:val="-10"/>
          <w:sz w:val="18"/>
        </w:rPr>
        <w:t> </w:t>
      </w:r>
      <w:r>
        <w:rPr>
          <w:sz w:val="18"/>
        </w:rPr>
        <w:t>signadas</w:t>
      </w:r>
      <w:r>
        <w:rPr>
          <w:spacing w:val="-7"/>
          <w:sz w:val="18"/>
        </w:rPr>
        <w:t> </w:t>
      </w:r>
      <w:r>
        <w:rPr>
          <w:sz w:val="18"/>
        </w:rPr>
        <w:t>por</w:t>
      </w:r>
      <w:r>
        <w:rPr>
          <w:spacing w:val="-8"/>
          <w:sz w:val="18"/>
        </w:rPr>
        <w:t> </w:t>
      </w:r>
      <w:r>
        <w:rPr>
          <w:sz w:val="18"/>
        </w:rPr>
        <w:t>una</w:t>
      </w:r>
      <w:r>
        <w:rPr>
          <w:spacing w:val="-7"/>
          <w:sz w:val="18"/>
        </w:rPr>
        <w:t> </w:t>
      </w:r>
      <w:r>
        <w:rPr>
          <w:sz w:val="18"/>
        </w:rPr>
        <w:t>cultura</w:t>
      </w:r>
      <w:r>
        <w:rPr>
          <w:spacing w:val="-7"/>
          <w:sz w:val="18"/>
        </w:rPr>
        <w:t> </w:t>
      </w:r>
      <w:r>
        <w:rPr>
          <w:sz w:val="18"/>
        </w:rPr>
        <w:t>de secretismo y por organismos públicos cuyas políticas y prácticas de manejo físico de la información no están orientadas a facilitar el acceso de las personas a la misma” (Álvarez, 2007:6).</w:t>
      </w:r>
    </w:p>
    <w:p>
      <w:pPr>
        <w:pStyle w:val="BodyText"/>
        <w:rPr>
          <w:sz w:val="18"/>
        </w:rPr>
      </w:pPr>
    </w:p>
    <w:p>
      <w:pPr>
        <w:pStyle w:val="BodyText"/>
        <w:rPr>
          <w:sz w:val="18"/>
        </w:rPr>
      </w:pPr>
    </w:p>
    <w:p>
      <w:pPr>
        <w:pStyle w:val="BodyText"/>
        <w:rPr>
          <w:sz w:val="18"/>
        </w:rPr>
      </w:pPr>
    </w:p>
    <w:p>
      <w:pPr>
        <w:pStyle w:val="BodyText"/>
        <w:spacing w:line="360" w:lineRule="auto" w:before="114"/>
        <w:ind w:left="102" w:right="118"/>
        <w:jc w:val="both"/>
      </w:pPr>
      <w:r>
        <w:rPr/>
        <w:t>Por</w:t>
      </w:r>
      <w:r>
        <w:rPr>
          <w:spacing w:val="-7"/>
        </w:rPr>
        <w:t> </w:t>
      </w:r>
      <w:r>
        <w:rPr/>
        <w:t>tal</w:t>
      </w:r>
      <w:r>
        <w:rPr>
          <w:spacing w:val="-7"/>
        </w:rPr>
        <w:t> </w:t>
      </w:r>
      <w:r>
        <w:rPr/>
        <w:t>motivo</w:t>
      </w:r>
      <w:r>
        <w:rPr>
          <w:spacing w:val="-6"/>
        </w:rPr>
        <w:t> </w:t>
      </w:r>
      <w:r>
        <w:rPr/>
        <w:t>uno</w:t>
      </w:r>
      <w:r>
        <w:rPr>
          <w:spacing w:val="-8"/>
        </w:rPr>
        <w:t> </w:t>
      </w:r>
      <w:r>
        <w:rPr/>
        <w:t>de</w:t>
      </w:r>
      <w:r>
        <w:rPr>
          <w:spacing w:val="-6"/>
        </w:rPr>
        <w:t> </w:t>
      </w:r>
      <w:r>
        <w:rPr/>
        <w:t>los</w:t>
      </w:r>
      <w:r>
        <w:rPr>
          <w:spacing w:val="-7"/>
        </w:rPr>
        <w:t> </w:t>
      </w:r>
      <w:r>
        <w:rPr/>
        <w:t>mecanismos</w:t>
      </w:r>
      <w:r>
        <w:rPr>
          <w:spacing w:val="-7"/>
        </w:rPr>
        <w:t> </w:t>
      </w:r>
      <w:r>
        <w:rPr/>
        <w:t>para</w:t>
      </w:r>
      <w:r>
        <w:rPr>
          <w:spacing w:val="-7"/>
        </w:rPr>
        <w:t> </w:t>
      </w:r>
      <w:r>
        <w:rPr/>
        <w:t>garantizar</w:t>
      </w:r>
      <w:r>
        <w:rPr>
          <w:spacing w:val="-7"/>
        </w:rPr>
        <w:t> </w:t>
      </w:r>
      <w:r>
        <w:rPr/>
        <w:t>el</w:t>
      </w:r>
      <w:r>
        <w:rPr>
          <w:spacing w:val="-7"/>
        </w:rPr>
        <w:t> </w:t>
      </w:r>
      <w:r>
        <w:rPr/>
        <w:t>acceso</w:t>
      </w:r>
      <w:r>
        <w:rPr>
          <w:spacing w:val="-8"/>
        </w:rPr>
        <w:t> </w:t>
      </w:r>
      <w:r>
        <w:rPr/>
        <w:t>a</w:t>
      </w:r>
      <w:r>
        <w:rPr>
          <w:spacing w:val="-6"/>
        </w:rPr>
        <w:t> </w:t>
      </w:r>
      <w:r>
        <w:rPr/>
        <w:t>la</w:t>
      </w:r>
      <w:r>
        <w:rPr>
          <w:spacing w:val="-9"/>
        </w:rPr>
        <w:t> </w:t>
      </w:r>
      <w:r>
        <w:rPr/>
        <w:t>información</w:t>
      </w:r>
      <w:r>
        <w:rPr>
          <w:spacing w:val="-6"/>
        </w:rPr>
        <w:t> </w:t>
      </w:r>
      <w:r>
        <w:rPr/>
        <w:t>es el</w:t>
      </w:r>
      <w:r>
        <w:rPr>
          <w:spacing w:val="-7"/>
        </w:rPr>
        <w:t> </w:t>
      </w:r>
      <w:r>
        <w:rPr/>
        <w:t>sistema</w:t>
      </w:r>
      <w:r>
        <w:rPr>
          <w:spacing w:val="-8"/>
        </w:rPr>
        <w:t> </w:t>
      </w:r>
      <w:r>
        <w:rPr/>
        <w:t>INFOMEX</w:t>
      </w:r>
      <w:r>
        <w:rPr>
          <w:spacing w:val="-8"/>
        </w:rPr>
        <w:t> </w:t>
      </w:r>
      <w:r>
        <w:rPr/>
        <w:t>el</w:t>
      </w:r>
      <w:r>
        <w:rPr>
          <w:spacing w:val="-7"/>
        </w:rPr>
        <w:t> </w:t>
      </w:r>
      <w:r>
        <w:rPr/>
        <w:t>cual,</w:t>
      </w:r>
      <w:r>
        <w:rPr>
          <w:spacing w:val="-9"/>
        </w:rPr>
        <w:t> </w:t>
      </w:r>
      <w:r>
        <w:rPr/>
        <w:t>señala</w:t>
      </w:r>
      <w:r>
        <w:rPr>
          <w:spacing w:val="-9"/>
        </w:rPr>
        <w:t> </w:t>
      </w:r>
      <w:r>
        <w:rPr/>
        <w:t>Fox</w:t>
      </w:r>
      <w:r>
        <w:rPr>
          <w:spacing w:val="-9"/>
        </w:rPr>
        <w:t> </w:t>
      </w:r>
      <w:r>
        <w:rPr/>
        <w:t>(2011),</w:t>
      </w:r>
      <w:r>
        <w:rPr>
          <w:spacing w:val="-6"/>
        </w:rPr>
        <w:t> </w:t>
      </w:r>
      <w:r>
        <w:rPr/>
        <w:t>se</w:t>
      </w:r>
      <w:r>
        <w:rPr>
          <w:spacing w:val="-8"/>
        </w:rPr>
        <w:t> </w:t>
      </w:r>
      <w:r>
        <w:rPr/>
        <w:t>diseñó</w:t>
      </w:r>
      <w:r>
        <w:rPr>
          <w:spacing w:val="-8"/>
        </w:rPr>
        <w:t> </w:t>
      </w:r>
      <w:r>
        <w:rPr/>
        <w:t>cuidadosamente</w:t>
      </w:r>
      <w:r>
        <w:rPr>
          <w:spacing w:val="-8"/>
        </w:rPr>
        <w:t> </w:t>
      </w:r>
      <w:r>
        <w:rPr/>
        <w:t>a</w:t>
      </w:r>
      <w:r>
        <w:rPr>
          <w:spacing w:val="-10"/>
        </w:rPr>
        <w:t> </w:t>
      </w:r>
      <w:r>
        <w:rPr/>
        <w:t>fin</w:t>
      </w:r>
      <w:r>
        <w:rPr>
          <w:spacing w:val="-10"/>
        </w:rPr>
        <w:t> </w:t>
      </w:r>
      <w:r>
        <w:rPr/>
        <w:t>de tomar en cuenta los incentivos de los organismos para mantener la opacidad. La expectativa de que los ciudadanos cuestionarían frecuentemente la legitimidad de las negativas a proporcionar información condujo a la creación de un mecanismo institucionalizado de quejas. El nuevo sistema del INAI para vigilar las respuestas de</w:t>
      </w:r>
      <w:r>
        <w:rPr>
          <w:spacing w:val="-7"/>
        </w:rPr>
        <w:t> </w:t>
      </w:r>
      <w:r>
        <w:rPr/>
        <w:t>las</w:t>
      </w:r>
      <w:r>
        <w:rPr>
          <w:spacing w:val="-7"/>
        </w:rPr>
        <w:t> </w:t>
      </w:r>
      <w:r>
        <w:rPr/>
        <w:t>dependencias</w:t>
      </w:r>
      <w:r>
        <w:rPr>
          <w:spacing w:val="-7"/>
        </w:rPr>
        <w:t> </w:t>
      </w:r>
      <w:r>
        <w:rPr/>
        <w:t>a</w:t>
      </w:r>
      <w:r>
        <w:rPr>
          <w:spacing w:val="-8"/>
        </w:rPr>
        <w:t> </w:t>
      </w:r>
      <w:r>
        <w:rPr/>
        <w:t>las</w:t>
      </w:r>
      <w:r>
        <w:rPr>
          <w:spacing w:val="-7"/>
        </w:rPr>
        <w:t> </w:t>
      </w:r>
      <w:r>
        <w:rPr/>
        <w:t>solicitudes</w:t>
      </w:r>
      <w:r>
        <w:rPr>
          <w:spacing w:val="-8"/>
        </w:rPr>
        <w:t> </w:t>
      </w:r>
      <w:r>
        <w:rPr/>
        <w:t>de</w:t>
      </w:r>
      <w:r>
        <w:rPr>
          <w:spacing w:val="-7"/>
        </w:rPr>
        <w:t> </w:t>
      </w:r>
      <w:r>
        <w:rPr/>
        <w:t>información</w:t>
      </w:r>
      <w:r>
        <w:rPr>
          <w:spacing w:val="-7"/>
        </w:rPr>
        <w:t> </w:t>
      </w:r>
      <w:r>
        <w:rPr/>
        <w:t>tiene</w:t>
      </w:r>
      <w:r>
        <w:rPr>
          <w:spacing w:val="-7"/>
        </w:rPr>
        <w:t> </w:t>
      </w:r>
      <w:r>
        <w:rPr/>
        <w:t>el</w:t>
      </w:r>
      <w:r>
        <w:rPr>
          <w:spacing w:val="-8"/>
        </w:rPr>
        <w:t> </w:t>
      </w:r>
      <w:r>
        <w:rPr/>
        <w:t>potencial</w:t>
      </w:r>
      <w:r>
        <w:rPr>
          <w:spacing w:val="-8"/>
        </w:rPr>
        <w:t> </w:t>
      </w:r>
      <w:r>
        <w:rPr/>
        <w:t>de</w:t>
      </w:r>
      <w:r>
        <w:rPr>
          <w:spacing w:val="-7"/>
        </w:rPr>
        <w:t> </w:t>
      </w:r>
      <w:r>
        <w:rPr/>
        <w:t>promover una mayor responsabilidad si sus hallazgos se divulgan de manera proactiva. Pero para</w:t>
      </w:r>
      <w:r>
        <w:rPr>
          <w:spacing w:val="-6"/>
        </w:rPr>
        <w:t> </w:t>
      </w:r>
      <w:r>
        <w:rPr/>
        <w:t>que</w:t>
      </w:r>
      <w:r>
        <w:rPr>
          <w:spacing w:val="-5"/>
        </w:rPr>
        <w:t> </w:t>
      </w:r>
      <w:r>
        <w:rPr/>
        <w:t>este</w:t>
      </w:r>
      <w:r>
        <w:rPr>
          <w:spacing w:val="-7"/>
        </w:rPr>
        <w:t> </w:t>
      </w:r>
      <w:r>
        <w:rPr/>
        <w:t>portal</w:t>
      </w:r>
      <w:r>
        <w:rPr>
          <w:spacing w:val="-9"/>
        </w:rPr>
        <w:t> </w:t>
      </w:r>
      <w:r>
        <w:rPr/>
        <w:t>funcione</w:t>
      </w:r>
      <w:r>
        <w:rPr>
          <w:spacing w:val="-5"/>
        </w:rPr>
        <w:t> </w:t>
      </w:r>
      <w:r>
        <w:rPr/>
        <w:t>es</w:t>
      </w:r>
      <w:r>
        <w:rPr>
          <w:spacing w:val="-8"/>
        </w:rPr>
        <w:t> </w:t>
      </w:r>
      <w:r>
        <w:rPr/>
        <w:t>necesaria</w:t>
      </w:r>
      <w:r>
        <w:rPr>
          <w:spacing w:val="-5"/>
        </w:rPr>
        <w:t> </w:t>
      </w:r>
      <w:r>
        <w:rPr/>
        <w:t>la</w:t>
      </w:r>
      <w:r>
        <w:rPr>
          <w:spacing w:val="-5"/>
        </w:rPr>
        <w:t> </w:t>
      </w:r>
      <w:r>
        <w:rPr/>
        <w:t>voluntad</w:t>
      </w:r>
      <w:r>
        <w:rPr>
          <w:spacing w:val="-5"/>
        </w:rPr>
        <w:t> </w:t>
      </w:r>
      <w:r>
        <w:rPr/>
        <w:t>política</w:t>
      </w:r>
      <w:r>
        <w:rPr>
          <w:spacing w:val="-5"/>
        </w:rPr>
        <w:t> </w:t>
      </w:r>
      <w:r>
        <w:rPr/>
        <w:t>de</w:t>
      </w:r>
      <w:r>
        <w:rPr>
          <w:spacing w:val="-5"/>
        </w:rPr>
        <w:t> </w:t>
      </w:r>
      <w:r>
        <w:rPr/>
        <w:t>los</w:t>
      </w:r>
      <w:r>
        <w:rPr>
          <w:spacing w:val="-8"/>
        </w:rPr>
        <w:t> </w:t>
      </w:r>
      <w:r>
        <w:rPr/>
        <w:t>gobernantes</w:t>
      </w:r>
      <w:r>
        <w:rPr>
          <w:spacing w:val="-6"/>
        </w:rPr>
        <w:t> </w:t>
      </w:r>
      <w:r>
        <w:rPr/>
        <w:t>y la exigencia de los ciudadanos (Lizacano,</w:t>
      </w:r>
      <w:r>
        <w:rPr>
          <w:spacing w:val="-21"/>
        </w:rPr>
        <w:t> </w:t>
      </w:r>
      <w:r>
        <w:rPr/>
        <w:t>2012).</w:t>
      </w:r>
    </w:p>
    <w:p>
      <w:pPr>
        <w:spacing w:after="0" w:line="360" w:lineRule="auto"/>
        <w:jc w:val="both"/>
        <w:sectPr>
          <w:pgSz w:w="12240" w:h="15840"/>
          <w:pgMar w:header="0" w:footer="975" w:top="1500" w:bottom="1220" w:left="1600" w:right="1580"/>
        </w:sectPr>
      </w:pPr>
    </w:p>
    <w:p>
      <w:pPr>
        <w:pStyle w:val="Heading1"/>
        <w:numPr>
          <w:ilvl w:val="2"/>
          <w:numId w:val="19"/>
        </w:numPr>
        <w:tabs>
          <w:tab w:pos="830" w:val="left" w:leader="none"/>
        </w:tabs>
        <w:spacing w:line="240" w:lineRule="auto" w:before="54" w:after="0"/>
        <w:ind w:left="830" w:right="0" w:hanging="720"/>
        <w:jc w:val="both"/>
      </w:pPr>
      <w:r>
        <w:rPr/>
        <w:t>Fundamento legal del acceso a la</w:t>
      </w:r>
      <w:r>
        <w:rPr>
          <w:spacing w:val="-12"/>
        </w:rPr>
        <w:t> </w:t>
      </w:r>
      <w:r>
        <w:rPr/>
        <w:t>información</w:t>
      </w:r>
    </w:p>
    <w:p>
      <w:pPr>
        <w:pStyle w:val="BodyText"/>
        <w:rPr>
          <w:b/>
        </w:rPr>
      </w:pPr>
    </w:p>
    <w:p>
      <w:pPr>
        <w:pStyle w:val="BodyText"/>
        <w:rPr>
          <w:b/>
        </w:rPr>
      </w:pPr>
    </w:p>
    <w:p>
      <w:pPr>
        <w:pStyle w:val="BodyText"/>
        <w:spacing w:line="360" w:lineRule="auto" w:before="161"/>
        <w:ind w:left="122" w:right="105"/>
        <w:jc w:val="both"/>
      </w:pPr>
      <w:r>
        <w:rPr/>
        <w:t>En México, desde el año de 1977, el presidente José López Portillo incluyó en el artículo 6 la Constitución Política de los Estados Unidos Mexicanos (CPEUM) que el acceso de la información sería un derecho garantizado por el Estado.</w:t>
      </w:r>
    </w:p>
    <w:p>
      <w:pPr>
        <w:pStyle w:val="BodyText"/>
      </w:pPr>
    </w:p>
    <w:p>
      <w:pPr>
        <w:pStyle w:val="BodyText"/>
      </w:pPr>
    </w:p>
    <w:p>
      <w:pPr>
        <w:spacing w:before="186"/>
        <w:ind w:left="688" w:right="675" w:firstLine="0"/>
        <w:jc w:val="both"/>
        <w:rPr>
          <w:sz w:val="18"/>
        </w:rPr>
      </w:pPr>
      <w:r>
        <w:rPr>
          <w:sz w:val="18"/>
        </w:rPr>
        <w:t>“Toda persona tiene derecho al libre acceso a información plural y oportuna, así como a buscar, recibir y difundir información e ideas de toda índole por cualquier medio de expresión.</w:t>
      </w:r>
    </w:p>
    <w:p>
      <w:pPr>
        <w:spacing w:line="240" w:lineRule="auto" w:before="160"/>
        <w:ind w:left="688" w:right="663" w:firstLine="0"/>
        <w:jc w:val="both"/>
        <w:rPr>
          <w:sz w:val="18"/>
        </w:rPr>
      </w:pPr>
      <w:r>
        <w:rPr>
          <w:sz w:val="18"/>
        </w:rPr>
        <w:t>El Estado garantizará el derecho de acceso a las tecnologías de la información y comunicación, así como a los servicios de radiodifusión y telecomunicaciones, incluido el de banda ancha e Internet. Para tales efectos, el Estado establecerá condiciones de competencia efectiva en la prestación de dichos servicios” (CPEUM, 2016:10).</w:t>
      </w:r>
    </w:p>
    <w:p>
      <w:pPr>
        <w:pStyle w:val="BodyText"/>
        <w:rPr>
          <w:sz w:val="18"/>
        </w:rPr>
      </w:pPr>
    </w:p>
    <w:p>
      <w:pPr>
        <w:pStyle w:val="BodyText"/>
        <w:rPr>
          <w:sz w:val="18"/>
        </w:rPr>
      </w:pPr>
    </w:p>
    <w:p>
      <w:pPr>
        <w:pStyle w:val="BodyText"/>
        <w:rPr>
          <w:sz w:val="18"/>
        </w:rPr>
      </w:pPr>
    </w:p>
    <w:p>
      <w:pPr>
        <w:pStyle w:val="BodyText"/>
        <w:spacing w:line="360" w:lineRule="auto" w:before="114"/>
        <w:ind w:left="122" w:right="104"/>
        <w:jc w:val="both"/>
      </w:pPr>
      <w:r>
        <w:rPr/>
        <w:t>Asimismo, para efectos de extender el compromiso hacia todas las entidades federativas del territorio nacional se establecieron ciertos principios y bases:</w:t>
      </w:r>
    </w:p>
    <w:p>
      <w:pPr>
        <w:pStyle w:val="BodyText"/>
      </w:pPr>
    </w:p>
    <w:p>
      <w:pPr>
        <w:pStyle w:val="BodyText"/>
        <w:rPr>
          <w:sz w:val="31"/>
        </w:rPr>
      </w:pPr>
    </w:p>
    <w:p>
      <w:pPr>
        <w:spacing w:before="0"/>
        <w:ind w:left="688" w:right="0" w:firstLine="0"/>
        <w:jc w:val="both"/>
        <w:rPr>
          <w:sz w:val="18"/>
        </w:rPr>
      </w:pPr>
      <w:r>
        <w:rPr>
          <w:sz w:val="18"/>
        </w:rPr>
        <w:t>“Para efectos de lo dispuesto en el presente artículo se observará lo siguiente:</w:t>
      </w:r>
    </w:p>
    <w:p>
      <w:pPr>
        <w:pStyle w:val="BodyText"/>
        <w:spacing w:before="3"/>
        <w:rPr>
          <w:sz w:val="14"/>
        </w:rPr>
      </w:pPr>
    </w:p>
    <w:p>
      <w:pPr>
        <w:pStyle w:val="ListParagraph"/>
        <w:numPr>
          <w:ilvl w:val="3"/>
          <w:numId w:val="19"/>
        </w:numPr>
        <w:tabs>
          <w:tab w:pos="1537" w:val="left" w:leader="none"/>
          <w:tab w:pos="1538" w:val="left" w:leader="none"/>
        </w:tabs>
        <w:spacing w:line="237" w:lineRule="auto" w:before="0" w:after="0"/>
        <w:ind w:left="688" w:right="669" w:firstLine="0"/>
        <w:jc w:val="both"/>
        <w:rPr>
          <w:sz w:val="18"/>
        </w:rPr>
      </w:pPr>
      <w:r>
        <w:rPr>
          <w:sz w:val="18"/>
        </w:rPr>
        <w:t>Para</w:t>
      </w:r>
      <w:r>
        <w:rPr>
          <w:spacing w:val="-5"/>
          <w:sz w:val="18"/>
        </w:rPr>
        <w:t> </w:t>
      </w:r>
      <w:r>
        <w:rPr>
          <w:sz w:val="18"/>
        </w:rPr>
        <w:t>el</w:t>
      </w:r>
      <w:r>
        <w:rPr>
          <w:spacing w:val="-7"/>
          <w:sz w:val="18"/>
        </w:rPr>
        <w:t> </w:t>
      </w:r>
      <w:r>
        <w:rPr>
          <w:sz w:val="18"/>
        </w:rPr>
        <w:t>ejercicio</w:t>
      </w:r>
      <w:r>
        <w:rPr>
          <w:spacing w:val="-7"/>
          <w:sz w:val="18"/>
        </w:rPr>
        <w:t> </w:t>
      </w:r>
      <w:r>
        <w:rPr>
          <w:sz w:val="18"/>
        </w:rPr>
        <w:t>del</w:t>
      </w:r>
      <w:r>
        <w:rPr>
          <w:spacing w:val="-7"/>
          <w:sz w:val="18"/>
        </w:rPr>
        <w:t> </w:t>
      </w:r>
      <w:r>
        <w:rPr>
          <w:sz w:val="18"/>
        </w:rPr>
        <w:t>derecho</w:t>
      </w:r>
      <w:r>
        <w:rPr>
          <w:spacing w:val="-7"/>
          <w:sz w:val="18"/>
        </w:rPr>
        <w:t> </w:t>
      </w:r>
      <w:r>
        <w:rPr>
          <w:sz w:val="18"/>
        </w:rPr>
        <w:t>de</w:t>
      </w:r>
      <w:r>
        <w:rPr>
          <w:spacing w:val="-5"/>
          <w:sz w:val="18"/>
        </w:rPr>
        <w:t> </w:t>
      </w:r>
      <w:r>
        <w:rPr>
          <w:sz w:val="18"/>
        </w:rPr>
        <w:t>acceso</w:t>
      </w:r>
      <w:r>
        <w:rPr>
          <w:spacing w:val="-7"/>
          <w:sz w:val="18"/>
        </w:rPr>
        <w:t> </w:t>
      </w:r>
      <w:r>
        <w:rPr>
          <w:sz w:val="18"/>
        </w:rPr>
        <w:t>a</w:t>
      </w:r>
      <w:r>
        <w:rPr>
          <w:spacing w:val="-7"/>
          <w:sz w:val="18"/>
        </w:rPr>
        <w:t> </w:t>
      </w:r>
      <w:r>
        <w:rPr>
          <w:sz w:val="18"/>
        </w:rPr>
        <w:t>la</w:t>
      </w:r>
      <w:r>
        <w:rPr>
          <w:spacing w:val="-7"/>
          <w:sz w:val="18"/>
        </w:rPr>
        <w:t> </w:t>
      </w:r>
      <w:r>
        <w:rPr>
          <w:sz w:val="18"/>
        </w:rPr>
        <w:t>información,</w:t>
      </w:r>
      <w:r>
        <w:rPr>
          <w:spacing w:val="-7"/>
          <w:sz w:val="18"/>
        </w:rPr>
        <w:t> </w:t>
      </w:r>
      <w:r>
        <w:rPr>
          <w:sz w:val="18"/>
        </w:rPr>
        <w:t>la</w:t>
      </w:r>
      <w:r>
        <w:rPr>
          <w:spacing w:val="-7"/>
          <w:sz w:val="18"/>
        </w:rPr>
        <w:t> </w:t>
      </w:r>
      <w:r>
        <w:rPr>
          <w:sz w:val="18"/>
        </w:rPr>
        <w:t>Federación</w:t>
      </w:r>
      <w:r>
        <w:rPr>
          <w:spacing w:val="-5"/>
          <w:sz w:val="18"/>
        </w:rPr>
        <w:t> </w:t>
      </w:r>
      <w:r>
        <w:rPr>
          <w:sz w:val="18"/>
        </w:rPr>
        <w:t>y</w:t>
      </w:r>
      <w:r>
        <w:rPr>
          <w:spacing w:val="-8"/>
          <w:sz w:val="18"/>
        </w:rPr>
        <w:t> </w:t>
      </w:r>
      <w:r>
        <w:rPr>
          <w:sz w:val="18"/>
        </w:rPr>
        <w:t>las</w:t>
      </w:r>
      <w:r>
        <w:rPr>
          <w:spacing w:val="-7"/>
          <w:sz w:val="18"/>
        </w:rPr>
        <w:t> </w:t>
      </w:r>
      <w:r>
        <w:rPr>
          <w:sz w:val="18"/>
        </w:rPr>
        <w:t>entidades federativas,</w:t>
      </w:r>
      <w:r>
        <w:rPr>
          <w:spacing w:val="-15"/>
          <w:sz w:val="18"/>
        </w:rPr>
        <w:t> </w:t>
      </w:r>
      <w:r>
        <w:rPr>
          <w:sz w:val="18"/>
        </w:rPr>
        <w:t>en</w:t>
      </w:r>
      <w:r>
        <w:rPr>
          <w:spacing w:val="-12"/>
          <w:sz w:val="18"/>
        </w:rPr>
        <w:t> </w:t>
      </w:r>
      <w:r>
        <w:rPr>
          <w:sz w:val="18"/>
        </w:rPr>
        <w:t>el</w:t>
      </w:r>
      <w:r>
        <w:rPr>
          <w:spacing w:val="-14"/>
          <w:sz w:val="18"/>
        </w:rPr>
        <w:t> </w:t>
      </w:r>
      <w:r>
        <w:rPr>
          <w:sz w:val="18"/>
        </w:rPr>
        <w:t>ámbito</w:t>
      </w:r>
      <w:r>
        <w:rPr>
          <w:spacing w:val="-14"/>
          <w:sz w:val="18"/>
        </w:rPr>
        <w:t> </w:t>
      </w:r>
      <w:r>
        <w:rPr>
          <w:sz w:val="18"/>
        </w:rPr>
        <w:t>de</w:t>
      </w:r>
      <w:r>
        <w:rPr>
          <w:spacing w:val="-12"/>
          <w:sz w:val="18"/>
        </w:rPr>
        <w:t> </w:t>
      </w:r>
      <w:r>
        <w:rPr>
          <w:sz w:val="18"/>
        </w:rPr>
        <w:t>sus</w:t>
      </w:r>
      <w:r>
        <w:rPr>
          <w:spacing w:val="-12"/>
          <w:sz w:val="18"/>
        </w:rPr>
        <w:t> </w:t>
      </w:r>
      <w:r>
        <w:rPr>
          <w:sz w:val="18"/>
        </w:rPr>
        <w:t>respectivas</w:t>
      </w:r>
      <w:r>
        <w:rPr>
          <w:spacing w:val="-14"/>
          <w:sz w:val="18"/>
        </w:rPr>
        <w:t> </w:t>
      </w:r>
      <w:r>
        <w:rPr>
          <w:sz w:val="18"/>
        </w:rPr>
        <w:t>competencias,</w:t>
      </w:r>
      <w:r>
        <w:rPr>
          <w:spacing w:val="-12"/>
          <w:sz w:val="18"/>
        </w:rPr>
        <w:t> </w:t>
      </w:r>
      <w:r>
        <w:rPr>
          <w:sz w:val="18"/>
        </w:rPr>
        <w:t>se</w:t>
      </w:r>
      <w:r>
        <w:rPr>
          <w:spacing w:val="-12"/>
          <w:sz w:val="18"/>
        </w:rPr>
        <w:t> </w:t>
      </w:r>
      <w:r>
        <w:rPr>
          <w:sz w:val="18"/>
        </w:rPr>
        <w:t>regirán</w:t>
      </w:r>
      <w:r>
        <w:rPr>
          <w:spacing w:val="-12"/>
          <w:sz w:val="18"/>
        </w:rPr>
        <w:t> </w:t>
      </w:r>
      <w:r>
        <w:rPr>
          <w:sz w:val="18"/>
        </w:rPr>
        <w:t>por</w:t>
      </w:r>
      <w:r>
        <w:rPr>
          <w:spacing w:val="-15"/>
          <w:sz w:val="18"/>
        </w:rPr>
        <w:t> </w:t>
      </w:r>
      <w:r>
        <w:rPr>
          <w:sz w:val="18"/>
        </w:rPr>
        <w:t>los</w:t>
      </w:r>
      <w:r>
        <w:rPr>
          <w:spacing w:val="-12"/>
          <w:sz w:val="18"/>
        </w:rPr>
        <w:t> </w:t>
      </w:r>
      <w:r>
        <w:rPr>
          <w:sz w:val="18"/>
        </w:rPr>
        <w:t>siguientes</w:t>
      </w:r>
      <w:r>
        <w:rPr>
          <w:spacing w:val="-12"/>
          <w:sz w:val="18"/>
        </w:rPr>
        <w:t> </w:t>
      </w:r>
      <w:r>
        <w:rPr>
          <w:sz w:val="18"/>
        </w:rPr>
        <w:t>principios y</w:t>
      </w:r>
      <w:r>
        <w:rPr>
          <w:spacing w:val="-3"/>
          <w:sz w:val="18"/>
        </w:rPr>
        <w:t> </w:t>
      </w:r>
      <w:r>
        <w:rPr>
          <w:sz w:val="18"/>
        </w:rPr>
        <w:t>bases:</w:t>
      </w:r>
    </w:p>
    <w:p>
      <w:pPr>
        <w:pStyle w:val="BodyText"/>
        <w:spacing w:before="2"/>
        <w:rPr>
          <w:sz w:val="14"/>
        </w:rPr>
      </w:pPr>
    </w:p>
    <w:p>
      <w:pPr>
        <w:pStyle w:val="ListParagraph"/>
        <w:numPr>
          <w:ilvl w:val="0"/>
          <w:numId w:val="20"/>
        </w:numPr>
        <w:tabs>
          <w:tab w:pos="854" w:val="left" w:leader="none"/>
        </w:tabs>
        <w:spacing w:line="240" w:lineRule="auto" w:before="0" w:after="0"/>
        <w:ind w:left="688" w:right="663" w:firstLine="0"/>
        <w:jc w:val="both"/>
        <w:rPr>
          <w:sz w:val="18"/>
        </w:rPr>
      </w:pPr>
      <w:r>
        <w:rPr>
          <w:sz w:val="18"/>
        </w:rPr>
        <w:t>Toda la información en posesión de cualquier autoridad, entidad, órgano y organismo de los Poderes Ejecutivo, Legislativo y Judicial, órganos autónomos, partidos políticos, fideicomisos y fondos públicos, así como de cualquier persona física, moral o sindicato que reciba y ejerza recursos</w:t>
      </w:r>
      <w:r>
        <w:rPr>
          <w:spacing w:val="-9"/>
          <w:sz w:val="18"/>
        </w:rPr>
        <w:t> </w:t>
      </w:r>
      <w:r>
        <w:rPr>
          <w:sz w:val="18"/>
        </w:rPr>
        <w:t>públicos</w:t>
      </w:r>
      <w:r>
        <w:rPr>
          <w:spacing w:val="-7"/>
          <w:sz w:val="18"/>
        </w:rPr>
        <w:t> </w:t>
      </w:r>
      <w:r>
        <w:rPr>
          <w:sz w:val="18"/>
        </w:rPr>
        <w:t>o</w:t>
      </w:r>
      <w:r>
        <w:rPr>
          <w:spacing w:val="-10"/>
          <w:sz w:val="18"/>
        </w:rPr>
        <w:t> </w:t>
      </w:r>
      <w:r>
        <w:rPr>
          <w:sz w:val="18"/>
        </w:rPr>
        <w:t>realice</w:t>
      </w:r>
      <w:r>
        <w:rPr>
          <w:spacing w:val="-7"/>
          <w:sz w:val="18"/>
        </w:rPr>
        <w:t> </w:t>
      </w:r>
      <w:r>
        <w:rPr>
          <w:sz w:val="18"/>
        </w:rPr>
        <w:t>actos</w:t>
      </w:r>
      <w:r>
        <w:rPr>
          <w:spacing w:val="-7"/>
          <w:sz w:val="18"/>
        </w:rPr>
        <w:t> </w:t>
      </w:r>
      <w:r>
        <w:rPr>
          <w:sz w:val="18"/>
        </w:rPr>
        <w:t>de</w:t>
      </w:r>
      <w:r>
        <w:rPr>
          <w:spacing w:val="-7"/>
          <w:sz w:val="18"/>
        </w:rPr>
        <w:t> </w:t>
      </w:r>
      <w:r>
        <w:rPr>
          <w:sz w:val="18"/>
        </w:rPr>
        <w:t>autoridad</w:t>
      </w:r>
      <w:r>
        <w:rPr>
          <w:spacing w:val="-10"/>
          <w:sz w:val="18"/>
        </w:rPr>
        <w:t> </w:t>
      </w:r>
      <w:r>
        <w:rPr>
          <w:sz w:val="18"/>
        </w:rPr>
        <w:t>en</w:t>
      </w:r>
      <w:r>
        <w:rPr>
          <w:spacing w:val="-10"/>
          <w:sz w:val="18"/>
        </w:rPr>
        <w:t> </w:t>
      </w:r>
      <w:r>
        <w:rPr>
          <w:sz w:val="18"/>
        </w:rPr>
        <w:t>el</w:t>
      </w:r>
      <w:r>
        <w:rPr>
          <w:spacing w:val="-10"/>
          <w:sz w:val="18"/>
        </w:rPr>
        <w:t> </w:t>
      </w:r>
      <w:r>
        <w:rPr>
          <w:sz w:val="18"/>
        </w:rPr>
        <w:t>ámbito</w:t>
      </w:r>
      <w:r>
        <w:rPr>
          <w:spacing w:val="-7"/>
          <w:sz w:val="18"/>
        </w:rPr>
        <w:t> </w:t>
      </w:r>
      <w:r>
        <w:rPr>
          <w:sz w:val="18"/>
        </w:rPr>
        <w:t>federal,</w:t>
      </w:r>
      <w:r>
        <w:rPr>
          <w:spacing w:val="-10"/>
          <w:sz w:val="18"/>
        </w:rPr>
        <w:t> </w:t>
      </w:r>
      <w:r>
        <w:rPr>
          <w:sz w:val="18"/>
        </w:rPr>
        <w:t>estatal</w:t>
      </w:r>
      <w:r>
        <w:rPr>
          <w:spacing w:val="-7"/>
          <w:sz w:val="18"/>
        </w:rPr>
        <w:t> </w:t>
      </w:r>
      <w:r>
        <w:rPr>
          <w:sz w:val="18"/>
        </w:rPr>
        <w:t>y</w:t>
      </w:r>
      <w:r>
        <w:rPr>
          <w:spacing w:val="-12"/>
          <w:sz w:val="18"/>
        </w:rPr>
        <w:t> </w:t>
      </w:r>
      <w:r>
        <w:rPr>
          <w:sz w:val="18"/>
        </w:rPr>
        <w:t>municipal,</w:t>
      </w:r>
      <w:r>
        <w:rPr>
          <w:spacing w:val="-10"/>
          <w:sz w:val="18"/>
        </w:rPr>
        <w:t> </w:t>
      </w:r>
      <w:r>
        <w:rPr>
          <w:sz w:val="18"/>
        </w:rPr>
        <w:t>es</w:t>
      </w:r>
      <w:r>
        <w:rPr>
          <w:spacing w:val="-7"/>
          <w:sz w:val="18"/>
        </w:rPr>
        <w:t> </w:t>
      </w:r>
      <w:r>
        <w:rPr>
          <w:sz w:val="18"/>
        </w:rPr>
        <w:t>pública y solo podrá ser reservada temporalmente por razones de interés público y seguridad nacional, en los términos que fijen las leyes. En la interpretación de este derecho deberá prevalecer el principio de máxima publicidad. Los sujetos obligados deberán documentar todo acto que derive del ejercicio de sus facultades, competencias o funciones, la ley determinará los supuestos específicos bajo los cuales procederá la declaración de inexistencia de la información” (CPEUM, 2016:10).</w:t>
      </w:r>
    </w:p>
    <w:p>
      <w:pPr>
        <w:pStyle w:val="BodyText"/>
        <w:rPr>
          <w:sz w:val="18"/>
        </w:rPr>
      </w:pPr>
    </w:p>
    <w:p>
      <w:pPr>
        <w:pStyle w:val="BodyText"/>
        <w:rPr>
          <w:sz w:val="18"/>
        </w:rPr>
      </w:pPr>
    </w:p>
    <w:p>
      <w:pPr>
        <w:pStyle w:val="BodyText"/>
        <w:rPr>
          <w:sz w:val="18"/>
        </w:rPr>
      </w:pPr>
    </w:p>
    <w:p>
      <w:pPr>
        <w:pStyle w:val="BodyText"/>
        <w:spacing w:line="360" w:lineRule="auto" w:before="114"/>
        <w:ind w:left="122" w:right="103"/>
        <w:jc w:val="both"/>
      </w:pPr>
      <w:r>
        <w:rPr/>
        <w:t>En este apartado del art. 6° cabe hacer mención que no se definen cuáles son los asuntos de interés público y los de seguridad nacional. Asimismo, que existe una gran contradicción en la afirmación de que toda la información es pública y el principio de máxima publicidad con las precisiones de que hay información reservada.</w:t>
      </w:r>
    </w:p>
    <w:p>
      <w:pPr>
        <w:spacing w:after="0" w:line="360" w:lineRule="auto"/>
        <w:jc w:val="both"/>
        <w:sectPr>
          <w:pgSz w:w="12240" w:h="15840"/>
          <w:pgMar w:header="0" w:footer="975" w:top="1360" w:bottom="1220" w:left="1580" w:right="1600"/>
        </w:sectPr>
      </w:pPr>
    </w:p>
    <w:p>
      <w:pPr>
        <w:pStyle w:val="BodyText"/>
        <w:spacing w:line="360" w:lineRule="auto" w:before="54"/>
        <w:ind w:left="102" w:right="116"/>
        <w:jc w:val="both"/>
      </w:pPr>
      <w:r>
        <w:rPr/>
        <w:t>De igual manera en la carta magna se establece que habrá leyes que regulen la información que se considera privada y no es necesario acreditar la identidad de quienes solicitan información pública. En tanto que la fracción II señala que “La información que se refiere a la vida privada y los datos personales será protegida en los términos y con las excepciones que fijen las leyes” (CPEUM, 2016:10). En esta fracción se encuentra el fundamento de la Ley federal de protección de datos personales que sería publicada.</w:t>
      </w:r>
    </w:p>
    <w:p>
      <w:pPr>
        <w:pStyle w:val="BodyText"/>
      </w:pPr>
    </w:p>
    <w:p>
      <w:pPr>
        <w:pStyle w:val="BodyText"/>
      </w:pPr>
    </w:p>
    <w:p>
      <w:pPr>
        <w:pStyle w:val="BodyText"/>
        <w:spacing w:line="360" w:lineRule="auto" w:before="188"/>
        <w:ind w:left="102" w:right="126"/>
        <w:jc w:val="both"/>
      </w:pPr>
      <w:r>
        <w:rPr/>
        <w:t>La CPEUM también señala que no es necesario identificar los datos de quienes solicitan información:</w:t>
      </w:r>
    </w:p>
    <w:p>
      <w:pPr>
        <w:spacing w:before="164"/>
        <w:ind w:left="1181" w:right="691" w:firstLine="0"/>
        <w:jc w:val="both"/>
        <w:rPr>
          <w:sz w:val="18"/>
        </w:rPr>
      </w:pPr>
      <w:r>
        <w:rPr>
          <w:sz w:val="18"/>
        </w:rPr>
        <w:t>“III. Toda persona, sin necesidad de acreditar interés alguno o justificar su utilización, tendrá acceso gratuito a la información pública, a sus datos personales o a la rectificación de estos.</w:t>
      </w:r>
    </w:p>
    <w:p>
      <w:pPr>
        <w:pStyle w:val="BodyText"/>
        <w:spacing w:before="10"/>
        <w:rPr>
          <w:sz w:val="17"/>
        </w:rPr>
      </w:pPr>
    </w:p>
    <w:p>
      <w:pPr>
        <w:spacing w:before="0"/>
        <w:ind w:left="1181" w:right="686" w:firstLine="0"/>
        <w:jc w:val="both"/>
        <w:rPr>
          <w:sz w:val="18"/>
        </w:rPr>
      </w:pPr>
      <w:r>
        <w:rPr>
          <w:sz w:val="18"/>
        </w:rPr>
        <w:t>IV. Se establecerán mecanismos de acceso a la información y procedimientos de revisión expeditos que se sustanciarán ante los organismos autónomos especializados e imparciales que establece esta Constitución” (CPEUM, 2016:10).</w:t>
      </w:r>
    </w:p>
    <w:p>
      <w:pPr>
        <w:pStyle w:val="BodyText"/>
        <w:rPr>
          <w:sz w:val="18"/>
        </w:rPr>
      </w:pPr>
    </w:p>
    <w:p>
      <w:pPr>
        <w:pStyle w:val="BodyText"/>
        <w:rPr>
          <w:sz w:val="18"/>
        </w:rPr>
      </w:pPr>
    </w:p>
    <w:p>
      <w:pPr>
        <w:pStyle w:val="BodyText"/>
        <w:rPr>
          <w:sz w:val="18"/>
        </w:rPr>
      </w:pPr>
    </w:p>
    <w:p>
      <w:pPr>
        <w:pStyle w:val="BodyText"/>
        <w:spacing w:line="360" w:lineRule="auto" w:before="114"/>
        <w:ind w:left="102" w:right="121"/>
        <w:jc w:val="both"/>
      </w:pPr>
      <w:r>
        <w:rPr/>
        <w:t>En relación a estos principios, cabe resaltar que al no identificar el usuario </w:t>
      </w:r>
      <w:r>
        <w:rPr>
          <w:spacing w:val="-2"/>
        </w:rPr>
        <w:t>que </w:t>
      </w:r>
      <w:r>
        <w:rPr/>
        <w:t>solicita</w:t>
      </w:r>
      <w:r>
        <w:rPr>
          <w:spacing w:val="-11"/>
        </w:rPr>
        <w:t> </w:t>
      </w:r>
      <w:r>
        <w:rPr/>
        <w:t>la</w:t>
      </w:r>
      <w:r>
        <w:rPr>
          <w:spacing w:val="-11"/>
        </w:rPr>
        <w:t> </w:t>
      </w:r>
      <w:r>
        <w:rPr/>
        <w:t>información,</w:t>
      </w:r>
      <w:r>
        <w:rPr>
          <w:spacing w:val="-12"/>
        </w:rPr>
        <w:t> </w:t>
      </w:r>
      <w:r>
        <w:rPr/>
        <w:t>se</w:t>
      </w:r>
      <w:r>
        <w:rPr>
          <w:spacing w:val="-11"/>
        </w:rPr>
        <w:t> </w:t>
      </w:r>
      <w:r>
        <w:rPr/>
        <w:t>pierde</w:t>
      </w:r>
      <w:r>
        <w:rPr>
          <w:spacing w:val="-11"/>
        </w:rPr>
        <w:t> </w:t>
      </w:r>
      <w:r>
        <w:rPr/>
        <w:t>la</w:t>
      </w:r>
      <w:r>
        <w:rPr>
          <w:spacing w:val="-11"/>
        </w:rPr>
        <w:t> </w:t>
      </w:r>
      <w:r>
        <w:rPr/>
        <w:t>condición</w:t>
      </w:r>
      <w:r>
        <w:rPr>
          <w:spacing w:val="-11"/>
        </w:rPr>
        <w:t> </w:t>
      </w:r>
      <w:r>
        <w:rPr/>
        <w:t>de</w:t>
      </w:r>
      <w:r>
        <w:rPr>
          <w:spacing w:val="-11"/>
        </w:rPr>
        <w:t> </w:t>
      </w:r>
      <w:r>
        <w:rPr/>
        <w:t>reciprocidad</w:t>
      </w:r>
      <w:r>
        <w:rPr>
          <w:spacing w:val="-11"/>
        </w:rPr>
        <w:t> </w:t>
      </w:r>
      <w:r>
        <w:rPr/>
        <w:t>de</w:t>
      </w:r>
      <w:r>
        <w:rPr>
          <w:spacing w:val="-11"/>
        </w:rPr>
        <w:t> </w:t>
      </w:r>
      <w:r>
        <w:rPr/>
        <w:t>los</w:t>
      </w:r>
      <w:r>
        <w:rPr>
          <w:spacing w:val="-13"/>
        </w:rPr>
        <w:t> </w:t>
      </w:r>
      <w:r>
        <w:rPr/>
        <w:t>servicios</w:t>
      </w:r>
      <w:r>
        <w:rPr>
          <w:spacing w:val="-9"/>
        </w:rPr>
        <w:t> </w:t>
      </w:r>
      <w:r>
        <w:rPr/>
        <w:t>ya</w:t>
      </w:r>
      <w:r>
        <w:rPr>
          <w:spacing w:val="-8"/>
        </w:rPr>
        <w:t> </w:t>
      </w:r>
      <w:r>
        <w:rPr/>
        <w:t>que se pueden usar nombres apócrifos para solicitar cierto tipo de información y los organismos podrían no proporcionarla por no tener datos de quien la</w:t>
      </w:r>
      <w:r>
        <w:rPr>
          <w:spacing w:val="-32"/>
        </w:rPr>
        <w:t> </w:t>
      </w:r>
      <w:r>
        <w:rPr/>
        <w:t>solicita.</w:t>
      </w:r>
    </w:p>
    <w:p>
      <w:pPr>
        <w:pStyle w:val="BodyText"/>
      </w:pPr>
    </w:p>
    <w:p>
      <w:pPr>
        <w:pStyle w:val="BodyText"/>
      </w:pPr>
    </w:p>
    <w:p>
      <w:pPr>
        <w:pStyle w:val="BodyText"/>
        <w:spacing w:line="360" w:lineRule="auto" w:before="187"/>
        <w:ind w:left="102" w:right="116"/>
        <w:jc w:val="both"/>
      </w:pPr>
      <w:r>
        <w:rPr/>
        <w:t>La CPEUM también establece que los sujetos obligados deben cuidar y actualizar la información que se considera pública:</w:t>
      </w:r>
    </w:p>
    <w:p>
      <w:pPr>
        <w:pStyle w:val="BodyText"/>
      </w:pPr>
    </w:p>
    <w:p>
      <w:pPr>
        <w:pStyle w:val="BodyText"/>
      </w:pPr>
    </w:p>
    <w:p>
      <w:pPr>
        <w:spacing w:line="240" w:lineRule="auto" w:before="187"/>
        <w:ind w:left="668" w:right="685" w:firstLine="0"/>
        <w:jc w:val="both"/>
        <w:rPr>
          <w:sz w:val="18"/>
        </w:rPr>
      </w:pPr>
      <w:r>
        <w:rPr>
          <w:sz w:val="18"/>
        </w:rPr>
        <w:t>“V. Los sujetos obligados deberán preservar sus documentos en archivos administrativos actualizados y publicarán, a través de los medios electrónicos disponibles, la información completa y actualizada sobre el ejercicio de los recursos públicos y los indicadores que permitan rendir cuenta del cumplimiento de sus objetivos y de los resultados obtenidos.</w:t>
      </w:r>
    </w:p>
    <w:p>
      <w:pPr>
        <w:pStyle w:val="BodyText"/>
        <w:spacing w:before="7"/>
        <w:rPr>
          <w:sz w:val="14"/>
        </w:rPr>
      </w:pPr>
    </w:p>
    <w:p>
      <w:pPr>
        <w:pStyle w:val="ListParagraph"/>
        <w:numPr>
          <w:ilvl w:val="0"/>
          <w:numId w:val="21"/>
        </w:numPr>
        <w:tabs>
          <w:tab w:pos="966" w:val="left" w:leader="none"/>
        </w:tabs>
        <w:spacing w:line="204" w:lineRule="exact" w:before="0" w:after="0"/>
        <w:ind w:left="668" w:right="690" w:firstLine="0"/>
        <w:jc w:val="both"/>
        <w:rPr>
          <w:sz w:val="18"/>
        </w:rPr>
      </w:pPr>
      <w:r>
        <w:rPr>
          <w:sz w:val="18"/>
        </w:rPr>
        <w:t>Las leyes determinarán la manera en que los sujetos obligados deberán hacer pública la información</w:t>
      </w:r>
      <w:r>
        <w:rPr>
          <w:spacing w:val="-3"/>
          <w:sz w:val="18"/>
        </w:rPr>
        <w:t> </w:t>
      </w:r>
      <w:r>
        <w:rPr>
          <w:sz w:val="18"/>
        </w:rPr>
        <w:t>relativa</w:t>
      </w:r>
      <w:r>
        <w:rPr>
          <w:spacing w:val="-3"/>
          <w:sz w:val="18"/>
        </w:rPr>
        <w:t> </w:t>
      </w:r>
      <w:r>
        <w:rPr>
          <w:sz w:val="18"/>
        </w:rPr>
        <w:t>a</w:t>
      </w:r>
      <w:r>
        <w:rPr>
          <w:spacing w:val="-5"/>
          <w:sz w:val="18"/>
        </w:rPr>
        <w:t> </w:t>
      </w:r>
      <w:r>
        <w:rPr>
          <w:sz w:val="18"/>
        </w:rPr>
        <w:t>los</w:t>
      </w:r>
      <w:r>
        <w:rPr>
          <w:spacing w:val="-5"/>
          <w:sz w:val="18"/>
        </w:rPr>
        <w:t> </w:t>
      </w:r>
      <w:r>
        <w:rPr>
          <w:sz w:val="18"/>
        </w:rPr>
        <w:t>recursos</w:t>
      </w:r>
      <w:r>
        <w:rPr>
          <w:spacing w:val="-4"/>
          <w:sz w:val="18"/>
        </w:rPr>
        <w:t> </w:t>
      </w:r>
      <w:r>
        <w:rPr>
          <w:sz w:val="18"/>
        </w:rPr>
        <w:t>públicos</w:t>
      </w:r>
      <w:r>
        <w:rPr>
          <w:spacing w:val="-4"/>
          <w:sz w:val="18"/>
        </w:rPr>
        <w:t> </w:t>
      </w:r>
      <w:r>
        <w:rPr>
          <w:sz w:val="18"/>
        </w:rPr>
        <w:t>que</w:t>
      </w:r>
      <w:r>
        <w:rPr>
          <w:spacing w:val="-5"/>
          <w:sz w:val="18"/>
        </w:rPr>
        <w:t> </w:t>
      </w:r>
      <w:r>
        <w:rPr>
          <w:sz w:val="18"/>
        </w:rPr>
        <w:t>entreguen</w:t>
      </w:r>
      <w:r>
        <w:rPr>
          <w:spacing w:val="-3"/>
          <w:sz w:val="18"/>
        </w:rPr>
        <w:t> </w:t>
      </w:r>
      <w:r>
        <w:rPr>
          <w:sz w:val="18"/>
        </w:rPr>
        <w:t>a</w:t>
      </w:r>
      <w:r>
        <w:rPr>
          <w:spacing w:val="-5"/>
          <w:sz w:val="18"/>
        </w:rPr>
        <w:t> </w:t>
      </w:r>
      <w:r>
        <w:rPr>
          <w:sz w:val="18"/>
        </w:rPr>
        <w:t>personas</w:t>
      </w:r>
      <w:r>
        <w:rPr>
          <w:spacing w:val="-5"/>
          <w:sz w:val="18"/>
        </w:rPr>
        <w:t> </w:t>
      </w:r>
      <w:r>
        <w:rPr>
          <w:sz w:val="18"/>
        </w:rPr>
        <w:t>físicas</w:t>
      </w:r>
      <w:r>
        <w:rPr>
          <w:spacing w:val="-2"/>
          <w:sz w:val="18"/>
        </w:rPr>
        <w:t> </w:t>
      </w:r>
      <w:r>
        <w:rPr>
          <w:sz w:val="18"/>
        </w:rPr>
        <w:t>o</w:t>
      </w:r>
      <w:r>
        <w:rPr>
          <w:spacing w:val="-5"/>
          <w:sz w:val="18"/>
        </w:rPr>
        <w:t> </w:t>
      </w:r>
      <w:r>
        <w:rPr>
          <w:sz w:val="18"/>
        </w:rPr>
        <w:t>morales.</w:t>
      </w:r>
    </w:p>
    <w:p>
      <w:pPr>
        <w:pStyle w:val="BodyText"/>
        <w:spacing w:before="4"/>
        <w:rPr>
          <w:sz w:val="14"/>
        </w:rPr>
      </w:pPr>
    </w:p>
    <w:p>
      <w:pPr>
        <w:pStyle w:val="ListParagraph"/>
        <w:numPr>
          <w:ilvl w:val="0"/>
          <w:numId w:val="21"/>
        </w:numPr>
        <w:tabs>
          <w:tab w:pos="1014" w:val="left" w:leader="none"/>
        </w:tabs>
        <w:spacing w:line="204" w:lineRule="exact" w:before="0" w:after="0"/>
        <w:ind w:left="668" w:right="695" w:firstLine="0"/>
        <w:jc w:val="both"/>
        <w:rPr>
          <w:sz w:val="18"/>
        </w:rPr>
      </w:pPr>
      <w:r>
        <w:rPr>
          <w:sz w:val="18"/>
        </w:rPr>
        <w:t>La inobservancia a las disposiciones en materia de acceso a la información pública será sancionada en los términos que dispongan las leyes” (CPEUM,</w:t>
      </w:r>
      <w:r>
        <w:rPr>
          <w:spacing w:val="-23"/>
          <w:sz w:val="18"/>
        </w:rPr>
        <w:t> </w:t>
      </w:r>
      <w:r>
        <w:rPr>
          <w:sz w:val="18"/>
        </w:rPr>
        <w:t>2016:10).</w:t>
      </w:r>
    </w:p>
    <w:p>
      <w:pPr>
        <w:spacing w:after="0" w:line="204" w:lineRule="exact"/>
        <w:jc w:val="both"/>
        <w:rPr>
          <w:sz w:val="18"/>
        </w:rPr>
        <w:sectPr>
          <w:pgSz w:w="12240" w:h="15840"/>
          <w:pgMar w:header="0" w:footer="975" w:top="1360" w:bottom="1220" w:left="1600" w:right="1580"/>
        </w:sectPr>
      </w:pPr>
    </w:p>
    <w:p>
      <w:pPr>
        <w:pStyle w:val="BodyText"/>
        <w:rPr>
          <w:sz w:val="20"/>
        </w:rPr>
      </w:pPr>
    </w:p>
    <w:p>
      <w:pPr>
        <w:pStyle w:val="BodyText"/>
        <w:spacing w:before="7"/>
        <w:rPr>
          <w:sz w:val="16"/>
        </w:rPr>
      </w:pPr>
    </w:p>
    <w:p>
      <w:pPr>
        <w:pStyle w:val="BodyText"/>
        <w:spacing w:line="360" w:lineRule="auto" w:before="69"/>
        <w:ind w:left="102" w:right="115"/>
        <w:jc w:val="both"/>
      </w:pPr>
      <w:r>
        <w:rPr/>
        <w:t>Asimismo, en este artículo se establece también que los sujetos obligados que incumplan la ley deben ser sancionados en términos de la ley correspondiente. Aplica aquí lo relativo a la Ley federal de responsabilidades administrativas de los servidores públicos que establece en su artículo 13 las sanciones administrativas, el artículo 15 las sanciones económicas.</w:t>
      </w:r>
    </w:p>
    <w:p>
      <w:pPr>
        <w:pStyle w:val="BodyText"/>
      </w:pPr>
    </w:p>
    <w:p>
      <w:pPr>
        <w:pStyle w:val="BodyText"/>
      </w:pPr>
    </w:p>
    <w:p>
      <w:pPr>
        <w:pStyle w:val="BodyText"/>
        <w:spacing w:line="360" w:lineRule="auto" w:before="185"/>
        <w:ind w:left="102" w:right="116"/>
        <w:jc w:val="both"/>
      </w:pPr>
      <w:r>
        <w:rPr/>
        <w:t>Entre las estrategias implementadas para garantizar estas actividades, también se establece</w:t>
      </w:r>
      <w:r>
        <w:rPr>
          <w:spacing w:val="-8"/>
        </w:rPr>
        <w:t> </w:t>
      </w:r>
      <w:r>
        <w:rPr/>
        <w:t>la</w:t>
      </w:r>
      <w:r>
        <w:rPr>
          <w:spacing w:val="-9"/>
        </w:rPr>
        <w:t> </w:t>
      </w:r>
      <w:r>
        <w:rPr/>
        <w:t>creación</w:t>
      </w:r>
      <w:r>
        <w:rPr>
          <w:spacing w:val="-6"/>
        </w:rPr>
        <w:t> </w:t>
      </w:r>
      <w:r>
        <w:rPr/>
        <w:t>de</w:t>
      </w:r>
      <w:r>
        <w:rPr>
          <w:spacing w:val="-8"/>
        </w:rPr>
        <w:t> </w:t>
      </w:r>
      <w:r>
        <w:rPr/>
        <w:t>un</w:t>
      </w:r>
      <w:r>
        <w:rPr>
          <w:spacing w:val="-8"/>
        </w:rPr>
        <w:t> </w:t>
      </w:r>
      <w:r>
        <w:rPr/>
        <w:t>organismo</w:t>
      </w:r>
      <w:r>
        <w:rPr>
          <w:spacing w:val="-8"/>
        </w:rPr>
        <w:t> </w:t>
      </w:r>
      <w:r>
        <w:rPr/>
        <w:t>encargado</w:t>
      </w:r>
      <w:r>
        <w:rPr>
          <w:spacing w:val="-8"/>
        </w:rPr>
        <w:t> </w:t>
      </w:r>
      <w:r>
        <w:rPr/>
        <w:t>de</w:t>
      </w:r>
      <w:r>
        <w:rPr>
          <w:spacing w:val="-8"/>
        </w:rPr>
        <w:t> </w:t>
      </w:r>
      <w:r>
        <w:rPr/>
        <w:t>vigilar</w:t>
      </w:r>
      <w:r>
        <w:rPr>
          <w:spacing w:val="-9"/>
        </w:rPr>
        <w:t> </w:t>
      </w:r>
      <w:r>
        <w:rPr/>
        <w:t>que</w:t>
      </w:r>
      <w:r>
        <w:rPr>
          <w:spacing w:val="-8"/>
        </w:rPr>
        <w:t> </w:t>
      </w:r>
      <w:r>
        <w:rPr/>
        <w:t>se</w:t>
      </w:r>
      <w:r>
        <w:rPr>
          <w:spacing w:val="-8"/>
        </w:rPr>
        <w:t> </w:t>
      </w:r>
      <w:r>
        <w:rPr/>
        <w:t>cumpla</w:t>
      </w:r>
      <w:r>
        <w:rPr>
          <w:spacing w:val="-2"/>
        </w:rPr>
        <w:t> </w:t>
      </w:r>
      <w:r>
        <w:rPr/>
        <w:t>la</w:t>
      </w:r>
      <w:r>
        <w:rPr>
          <w:spacing w:val="-9"/>
        </w:rPr>
        <w:t> </w:t>
      </w:r>
      <w:r>
        <w:rPr/>
        <w:t>ley</w:t>
      </w:r>
      <w:r>
        <w:rPr>
          <w:spacing w:val="-11"/>
        </w:rPr>
        <w:t> </w:t>
      </w:r>
      <w:r>
        <w:rPr/>
        <w:t>en materia</w:t>
      </w:r>
      <w:r>
        <w:rPr>
          <w:spacing w:val="-19"/>
        </w:rPr>
        <w:t> </w:t>
      </w:r>
      <w:r>
        <w:rPr/>
        <w:t>de</w:t>
      </w:r>
      <w:r>
        <w:rPr>
          <w:spacing w:val="-19"/>
        </w:rPr>
        <w:t> </w:t>
      </w:r>
      <w:r>
        <w:rPr/>
        <w:t>la</w:t>
      </w:r>
      <w:r>
        <w:rPr>
          <w:spacing w:val="-19"/>
        </w:rPr>
        <w:t> </w:t>
      </w:r>
      <w:r>
        <w:rPr/>
        <w:t>transparencia</w:t>
      </w:r>
      <w:r>
        <w:rPr>
          <w:spacing w:val="-19"/>
        </w:rPr>
        <w:t> </w:t>
      </w:r>
      <w:r>
        <w:rPr/>
        <w:t>de</w:t>
      </w:r>
      <w:r>
        <w:rPr>
          <w:spacing w:val="-19"/>
        </w:rPr>
        <w:t> </w:t>
      </w:r>
      <w:r>
        <w:rPr/>
        <w:t>la</w:t>
      </w:r>
      <w:r>
        <w:rPr>
          <w:spacing w:val="-19"/>
        </w:rPr>
        <w:t> </w:t>
      </w:r>
      <w:r>
        <w:rPr/>
        <w:t>información</w:t>
      </w:r>
      <w:r>
        <w:rPr>
          <w:spacing w:val="-21"/>
        </w:rPr>
        <w:t> </w:t>
      </w:r>
      <w:r>
        <w:rPr/>
        <w:t>pública</w:t>
      </w:r>
      <w:r>
        <w:rPr>
          <w:spacing w:val="-19"/>
        </w:rPr>
        <w:t> </w:t>
      </w:r>
      <w:r>
        <w:rPr/>
        <w:t>que</w:t>
      </w:r>
      <w:r>
        <w:rPr>
          <w:spacing w:val="-21"/>
        </w:rPr>
        <w:t> </w:t>
      </w:r>
      <w:r>
        <w:rPr/>
        <w:t>ostentan</w:t>
      </w:r>
      <w:r>
        <w:rPr>
          <w:spacing w:val="-19"/>
        </w:rPr>
        <w:t> </w:t>
      </w:r>
      <w:r>
        <w:rPr/>
        <w:t>las</w:t>
      </w:r>
      <w:r>
        <w:rPr>
          <w:spacing w:val="-20"/>
        </w:rPr>
        <w:t> </w:t>
      </w:r>
      <w:r>
        <w:rPr/>
        <w:t>dependencias gubernamentales.</w:t>
      </w:r>
    </w:p>
    <w:p>
      <w:pPr>
        <w:pStyle w:val="BodyText"/>
      </w:pPr>
    </w:p>
    <w:p>
      <w:pPr>
        <w:pStyle w:val="BodyText"/>
      </w:pPr>
    </w:p>
    <w:p>
      <w:pPr>
        <w:spacing w:before="188"/>
        <w:ind w:left="668" w:right="681" w:firstLine="0"/>
        <w:jc w:val="both"/>
        <w:rPr>
          <w:sz w:val="18"/>
        </w:rPr>
      </w:pPr>
      <w:r>
        <w:rPr>
          <w:sz w:val="18"/>
        </w:rPr>
        <w:t>“VIII. La Federación contará con un organismo autónomo, especializado, imparcial, colegiado, con</w:t>
      </w:r>
      <w:r>
        <w:rPr>
          <w:spacing w:val="-15"/>
          <w:sz w:val="18"/>
        </w:rPr>
        <w:t> </w:t>
      </w:r>
      <w:r>
        <w:rPr>
          <w:sz w:val="18"/>
        </w:rPr>
        <w:t>personalidad</w:t>
      </w:r>
      <w:r>
        <w:rPr>
          <w:spacing w:val="-15"/>
          <w:sz w:val="18"/>
        </w:rPr>
        <w:t> </w:t>
      </w:r>
      <w:r>
        <w:rPr>
          <w:sz w:val="18"/>
        </w:rPr>
        <w:t>jurídica</w:t>
      </w:r>
      <w:r>
        <w:rPr>
          <w:spacing w:val="-15"/>
          <w:sz w:val="18"/>
        </w:rPr>
        <w:t> </w:t>
      </w:r>
      <w:r>
        <w:rPr>
          <w:sz w:val="18"/>
        </w:rPr>
        <w:t>y</w:t>
      </w:r>
      <w:r>
        <w:rPr>
          <w:spacing w:val="-16"/>
          <w:sz w:val="18"/>
        </w:rPr>
        <w:t> </w:t>
      </w:r>
      <w:r>
        <w:rPr>
          <w:sz w:val="18"/>
        </w:rPr>
        <w:t>patrimonio</w:t>
      </w:r>
      <w:r>
        <w:rPr>
          <w:spacing w:val="-15"/>
          <w:sz w:val="18"/>
        </w:rPr>
        <w:t> </w:t>
      </w:r>
      <w:r>
        <w:rPr>
          <w:sz w:val="18"/>
        </w:rPr>
        <w:t>propio,</w:t>
      </w:r>
      <w:r>
        <w:rPr>
          <w:spacing w:val="-17"/>
          <w:sz w:val="18"/>
        </w:rPr>
        <w:t> </w:t>
      </w:r>
      <w:r>
        <w:rPr>
          <w:sz w:val="18"/>
        </w:rPr>
        <w:t>con</w:t>
      </w:r>
      <w:r>
        <w:rPr>
          <w:spacing w:val="-15"/>
          <w:sz w:val="18"/>
        </w:rPr>
        <w:t> </w:t>
      </w:r>
      <w:r>
        <w:rPr>
          <w:sz w:val="18"/>
        </w:rPr>
        <w:t>plena</w:t>
      </w:r>
      <w:r>
        <w:rPr>
          <w:spacing w:val="-15"/>
          <w:sz w:val="18"/>
        </w:rPr>
        <w:t> </w:t>
      </w:r>
      <w:r>
        <w:rPr>
          <w:sz w:val="18"/>
        </w:rPr>
        <w:t>autonomía</w:t>
      </w:r>
      <w:r>
        <w:rPr>
          <w:spacing w:val="-15"/>
          <w:sz w:val="18"/>
        </w:rPr>
        <w:t> </w:t>
      </w:r>
      <w:r>
        <w:rPr>
          <w:sz w:val="18"/>
        </w:rPr>
        <w:t>técnica,</w:t>
      </w:r>
      <w:r>
        <w:rPr>
          <w:spacing w:val="-15"/>
          <w:sz w:val="18"/>
        </w:rPr>
        <w:t> </w:t>
      </w:r>
      <w:r>
        <w:rPr>
          <w:sz w:val="18"/>
        </w:rPr>
        <w:t>de</w:t>
      </w:r>
      <w:r>
        <w:rPr>
          <w:spacing w:val="-15"/>
          <w:sz w:val="18"/>
        </w:rPr>
        <w:t> </w:t>
      </w:r>
      <w:r>
        <w:rPr>
          <w:sz w:val="18"/>
        </w:rPr>
        <w:t>gestión,</w:t>
      </w:r>
      <w:r>
        <w:rPr>
          <w:spacing w:val="-15"/>
          <w:sz w:val="18"/>
        </w:rPr>
        <w:t> </w:t>
      </w:r>
      <w:r>
        <w:rPr>
          <w:sz w:val="18"/>
        </w:rPr>
        <w:t>capacidad para decidir sobre el ejercicio de su presupuesto y determinar su organización interna, responsable de garantizar el cumplimiento del derecho de acceso a la información pública y a la protección de datos personales en posesión de los sujetos obligados en los términos que establezca</w:t>
      </w:r>
      <w:r>
        <w:rPr>
          <w:spacing w:val="-11"/>
          <w:sz w:val="18"/>
        </w:rPr>
        <w:t> </w:t>
      </w:r>
      <w:r>
        <w:rPr>
          <w:sz w:val="18"/>
        </w:rPr>
        <w:t>la</w:t>
      </w:r>
      <w:r>
        <w:rPr>
          <w:spacing w:val="-9"/>
          <w:sz w:val="18"/>
        </w:rPr>
        <w:t> </w:t>
      </w:r>
      <w:r>
        <w:rPr>
          <w:sz w:val="18"/>
        </w:rPr>
        <w:t>ley.</w:t>
      </w:r>
      <w:r>
        <w:rPr>
          <w:spacing w:val="-9"/>
          <w:sz w:val="18"/>
        </w:rPr>
        <w:t> </w:t>
      </w:r>
      <w:r>
        <w:rPr>
          <w:sz w:val="18"/>
        </w:rPr>
        <w:t>El</w:t>
      </w:r>
      <w:r>
        <w:rPr>
          <w:spacing w:val="-9"/>
          <w:sz w:val="18"/>
        </w:rPr>
        <w:t> </w:t>
      </w:r>
      <w:r>
        <w:rPr>
          <w:sz w:val="18"/>
        </w:rPr>
        <w:t>organismo</w:t>
      </w:r>
      <w:r>
        <w:rPr>
          <w:spacing w:val="-11"/>
          <w:sz w:val="18"/>
        </w:rPr>
        <w:t> </w:t>
      </w:r>
      <w:r>
        <w:rPr>
          <w:sz w:val="18"/>
        </w:rPr>
        <w:t>autónomo</w:t>
      </w:r>
      <w:r>
        <w:rPr>
          <w:spacing w:val="-11"/>
          <w:sz w:val="18"/>
        </w:rPr>
        <w:t> </w:t>
      </w:r>
      <w:r>
        <w:rPr>
          <w:sz w:val="18"/>
        </w:rPr>
        <w:t>previsto</w:t>
      </w:r>
      <w:r>
        <w:rPr>
          <w:spacing w:val="-8"/>
          <w:sz w:val="18"/>
        </w:rPr>
        <w:t> </w:t>
      </w:r>
      <w:r>
        <w:rPr>
          <w:sz w:val="18"/>
        </w:rPr>
        <w:t>en</w:t>
      </w:r>
      <w:r>
        <w:rPr>
          <w:spacing w:val="-11"/>
          <w:sz w:val="18"/>
        </w:rPr>
        <w:t> </w:t>
      </w:r>
      <w:r>
        <w:rPr>
          <w:sz w:val="18"/>
        </w:rPr>
        <w:t>esta</w:t>
      </w:r>
      <w:r>
        <w:rPr>
          <w:spacing w:val="-9"/>
          <w:sz w:val="18"/>
        </w:rPr>
        <w:t> </w:t>
      </w:r>
      <w:r>
        <w:rPr>
          <w:sz w:val="18"/>
        </w:rPr>
        <w:t>fracción,</w:t>
      </w:r>
      <w:r>
        <w:rPr>
          <w:spacing w:val="-11"/>
          <w:sz w:val="18"/>
        </w:rPr>
        <w:t> </w:t>
      </w:r>
      <w:r>
        <w:rPr>
          <w:sz w:val="18"/>
        </w:rPr>
        <w:t>se</w:t>
      </w:r>
      <w:r>
        <w:rPr>
          <w:spacing w:val="-9"/>
          <w:sz w:val="18"/>
        </w:rPr>
        <w:t> </w:t>
      </w:r>
      <w:r>
        <w:rPr>
          <w:sz w:val="18"/>
        </w:rPr>
        <w:t>regirá</w:t>
      </w:r>
      <w:r>
        <w:rPr>
          <w:spacing w:val="-9"/>
          <w:sz w:val="18"/>
        </w:rPr>
        <w:t> </w:t>
      </w:r>
      <w:r>
        <w:rPr>
          <w:sz w:val="18"/>
        </w:rPr>
        <w:t>por</w:t>
      </w:r>
      <w:r>
        <w:rPr>
          <w:spacing w:val="-9"/>
          <w:sz w:val="18"/>
        </w:rPr>
        <w:t> </w:t>
      </w:r>
      <w:r>
        <w:rPr>
          <w:sz w:val="18"/>
        </w:rPr>
        <w:t>la</w:t>
      </w:r>
      <w:r>
        <w:rPr>
          <w:spacing w:val="-11"/>
          <w:sz w:val="18"/>
        </w:rPr>
        <w:t> </w:t>
      </w:r>
      <w:r>
        <w:rPr>
          <w:sz w:val="18"/>
        </w:rPr>
        <w:t>ley</w:t>
      </w:r>
      <w:r>
        <w:rPr>
          <w:spacing w:val="-11"/>
          <w:sz w:val="18"/>
        </w:rPr>
        <w:t> </w:t>
      </w:r>
      <w:r>
        <w:rPr>
          <w:sz w:val="18"/>
        </w:rPr>
        <w:t>en</w:t>
      </w:r>
      <w:r>
        <w:rPr>
          <w:spacing w:val="-11"/>
          <w:sz w:val="18"/>
        </w:rPr>
        <w:t> </w:t>
      </w:r>
      <w:r>
        <w:rPr>
          <w:sz w:val="18"/>
        </w:rPr>
        <w:t>materia de</w:t>
      </w:r>
      <w:r>
        <w:rPr>
          <w:spacing w:val="-6"/>
          <w:sz w:val="18"/>
        </w:rPr>
        <w:t> </w:t>
      </w:r>
      <w:r>
        <w:rPr>
          <w:sz w:val="18"/>
        </w:rPr>
        <w:t>transparencia</w:t>
      </w:r>
      <w:r>
        <w:rPr>
          <w:spacing w:val="-6"/>
          <w:sz w:val="18"/>
        </w:rPr>
        <w:t> </w:t>
      </w:r>
      <w:r>
        <w:rPr>
          <w:sz w:val="18"/>
        </w:rPr>
        <w:t>y</w:t>
      </w:r>
      <w:r>
        <w:rPr>
          <w:spacing w:val="-8"/>
          <w:sz w:val="18"/>
        </w:rPr>
        <w:t> </w:t>
      </w:r>
      <w:r>
        <w:rPr>
          <w:sz w:val="18"/>
        </w:rPr>
        <w:t>acceso</w:t>
      </w:r>
      <w:r>
        <w:rPr>
          <w:spacing w:val="-6"/>
          <w:sz w:val="18"/>
        </w:rPr>
        <w:t> </w:t>
      </w:r>
      <w:r>
        <w:rPr>
          <w:sz w:val="18"/>
        </w:rPr>
        <w:t>a</w:t>
      </w:r>
      <w:r>
        <w:rPr>
          <w:spacing w:val="-6"/>
          <w:sz w:val="18"/>
        </w:rPr>
        <w:t> </w:t>
      </w:r>
      <w:r>
        <w:rPr>
          <w:sz w:val="18"/>
        </w:rPr>
        <w:t>la</w:t>
      </w:r>
      <w:r>
        <w:rPr>
          <w:spacing w:val="-9"/>
          <w:sz w:val="18"/>
        </w:rPr>
        <w:t> </w:t>
      </w:r>
      <w:r>
        <w:rPr>
          <w:sz w:val="18"/>
        </w:rPr>
        <w:t>información</w:t>
      </w:r>
      <w:r>
        <w:rPr>
          <w:spacing w:val="-6"/>
          <w:sz w:val="18"/>
        </w:rPr>
        <w:t> </w:t>
      </w:r>
      <w:r>
        <w:rPr>
          <w:sz w:val="18"/>
        </w:rPr>
        <w:t>pública</w:t>
      </w:r>
      <w:r>
        <w:rPr>
          <w:spacing w:val="-6"/>
          <w:sz w:val="18"/>
        </w:rPr>
        <w:t> </w:t>
      </w:r>
      <w:r>
        <w:rPr>
          <w:sz w:val="18"/>
        </w:rPr>
        <w:t>y</w:t>
      </w:r>
      <w:r>
        <w:rPr>
          <w:spacing w:val="-8"/>
          <w:sz w:val="18"/>
        </w:rPr>
        <w:t> </w:t>
      </w:r>
      <w:r>
        <w:rPr>
          <w:sz w:val="18"/>
        </w:rPr>
        <w:t>protección</w:t>
      </w:r>
      <w:r>
        <w:rPr>
          <w:spacing w:val="-6"/>
          <w:sz w:val="18"/>
        </w:rPr>
        <w:t> </w:t>
      </w:r>
      <w:r>
        <w:rPr>
          <w:sz w:val="18"/>
        </w:rPr>
        <w:t>de</w:t>
      </w:r>
      <w:r>
        <w:rPr>
          <w:spacing w:val="-6"/>
          <w:sz w:val="18"/>
        </w:rPr>
        <w:t> </w:t>
      </w:r>
      <w:r>
        <w:rPr>
          <w:sz w:val="18"/>
        </w:rPr>
        <w:t>datos</w:t>
      </w:r>
      <w:r>
        <w:rPr>
          <w:spacing w:val="-6"/>
          <w:sz w:val="18"/>
        </w:rPr>
        <w:t> </w:t>
      </w:r>
      <w:r>
        <w:rPr>
          <w:sz w:val="18"/>
        </w:rPr>
        <w:t>personales</w:t>
      </w:r>
      <w:r>
        <w:rPr>
          <w:spacing w:val="-6"/>
          <w:sz w:val="18"/>
        </w:rPr>
        <w:t> </w:t>
      </w:r>
      <w:r>
        <w:rPr>
          <w:sz w:val="18"/>
        </w:rPr>
        <w:t>en</w:t>
      </w:r>
      <w:r>
        <w:rPr>
          <w:spacing w:val="-6"/>
          <w:sz w:val="18"/>
        </w:rPr>
        <w:t> </w:t>
      </w:r>
      <w:r>
        <w:rPr>
          <w:sz w:val="18"/>
        </w:rPr>
        <w:t>posesión de sujetos obligados, en los términos que establezca la ley general que emita el Congreso de la Unión para establecer las bases, principios generales y procedimientos del ejercicio de este derecho. En su funcionamiento se regirá por los principios de certeza, legalidad, independencia, imparcialidad, eficacia, objetividad, profesionalismo, transparencia y máxima publicidad. El organismo garante tiene competencia para conocer de los asuntos relacionados con el acceso a la</w:t>
      </w:r>
      <w:r>
        <w:rPr>
          <w:spacing w:val="-10"/>
          <w:sz w:val="18"/>
        </w:rPr>
        <w:t> </w:t>
      </w:r>
      <w:r>
        <w:rPr>
          <w:sz w:val="18"/>
        </w:rPr>
        <w:t>información</w:t>
      </w:r>
      <w:r>
        <w:rPr>
          <w:spacing w:val="-12"/>
          <w:sz w:val="18"/>
        </w:rPr>
        <w:t> </w:t>
      </w:r>
      <w:r>
        <w:rPr>
          <w:sz w:val="18"/>
        </w:rPr>
        <w:t>pública</w:t>
      </w:r>
      <w:r>
        <w:rPr>
          <w:spacing w:val="-10"/>
          <w:sz w:val="18"/>
        </w:rPr>
        <w:t> </w:t>
      </w:r>
      <w:r>
        <w:rPr>
          <w:sz w:val="18"/>
        </w:rPr>
        <w:t>y</w:t>
      </w:r>
      <w:r>
        <w:rPr>
          <w:spacing w:val="-14"/>
          <w:sz w:val="18"/>
        </w:rPr>
        <w:t> </w:t>
      </w:r>
      <w:r>
        <w:rPr>
          <w:sz w:val="18"/>
        </w:rPr>
        <w:t>la</w:t>
      </w:r>
      <w:r>
        <w:rPr>
          <w:spacing w:val="-12"/>
          <w:sz w:val="18"/>
        </w:rPr>
        <w:t> </w:t>
      </w:r>
      <w:r>
        <w:rPr>
          <w:sz w:val="18"/>
        </w:rPr>
        <w:t>protección</w:t>
      </w:r>
      <w:r>
        <w:rPr>
          <w:spacing w:val="-12"/>
          <w:sz w:val="18"/>
        </w:rPr>
        <w:t> </w:t>
      </w:r>
      <w:r>
        <w:rPr>
          <w:sz w:val="18"/>
        </w:rPr>
        <w:t>de</w:t>
      </w:r>
      <w:r>
        <w:rPr>
          <w:spacing w:val="-12"/>
          <w:sz w:val="18"/>
        </w:rPr>
        <w:t> </w:t>
      </w:r>
      <w:r>
        <w:rPr>
          <w:sz w:val="18"/>
        </w:rPr>
        <w:t>datos</w:t>
      </w:r>
      <w:r>
        <w:rPr>
          <w:spacing w:val="-12"/>
          <w:sz w:val="18"/>
        </w:rPr>
        <w:t> </w:t>
      </w:r>
      <w:r>
        <w:rPr>
          <w:sz w:val="18"/>
        </w:rPr>
        <w:t>personales</w:t>
      </w:r>
      <w:r>
        <w:rPr>
          <w:spacing w:val="-9"/>
          <w:sz w:val="18"/>
        </w:rPr>
        <w:t> </w:t>
      </w:r>
      <w:r>
        <w:rPr>
          <w:sz w:val="18"/>
        </w:rPr>
        <w:t>de</w:t>
      </w:r>
      <w:r>
        <w:rPr>
          <w:spacing w:val="-12"/>
          <w:sz w:val="18"/>
        </w:rPr>
        <w:t> </w:t>
      </w:r>
      <w:r>
        <w:rPr>
          <w:sz w:val="18"/>
        </w:rPr>
        <w:t>cualquier</w:t>
      </w:r>
      <w:r>
        <w:rPr>
          <w:spacing w:val="-10"/>
          <w:sz w:val="18"/>
        </w:rPr>
        <w:t> </w:t>
      </w:r>
      <w:r>
        <w:rPr>
          <w:sz w:val="18"/>
        </w:rPr>
        <w:t>autoridad,</w:t>
      </w:r>
      <w:r>
        <w:rPr>
          <w:spacing w:val="-12"/>
          <w:sz w:val="18"/>
        </w:rPr>
        <w:t> </w:t>
      </w:r>
      <w:r>
        <w:rPr>
          <w:sz w:val="18"/>
        </w:rPr>
        <w:t>entidad,</w:t>
      </w:r>
      <w:r>
        <w:rPr>
          <w:spacing w:val="-12"/>
          <w:sz w:val="18"/>
        </w:rPr>
        <w:t> </w:t>
      </w:r>
      <w:r>
        <w:rPr>
          <w:sz w:val="18"/>
        </w:rPr>
        <w:t>órgano u organismo que forme parte de alguno de los Poderes Legislativo, Ejecutivo y Judicial, órganos autónomos, partidos políticos, fideicomisos y fondos públicos, así como de cualquier persona física, moral o sindicatos que reciba y ejerza recursos públicos o realice actos de autoridad en el ámbito federal; con excepción de aquellos asuntos jurisdiccionales que correspondan a la Suprema Corte de Justicia de la Nación, en cuyo caso resolverá un comité integrado por tres ministros. También conocerá de los recursos que interpongan los particulares respecto de las resoluciones de los organismos autónomos especializados de las entidades federativas que determinen</w:t>
      </w:r>
      <w:r>
        <w:rPr>
          <w:spacing w:val="-11"/>
          <w:sz w:val="18"/>
        </w:rPr>
        <w:t> </w:t>
      </w:r>
      <w:r>
        <w:rPr>
          <w:sz w:val="18"/>
        </w:rPr>
        <w:t>la</w:t>
      </w:r>
      <w:r>
        <w:rPr>
          <w:spacing w:val="-11"/>
          <w:sz w:val="18"/>
        </w:rPr>
        <w:t> </w:t>
      </w:r>
      <w:r>
        <w:rPr>
          <w:sz w:val="18"/>
        </w:rPr>
        <w:t>reserva,</w:t>
      </w:r>
      <w:r>
        <w:rPr>
          <w:spacing w:val="-12"/>
          <w:sz w:val="18"/>
        </w:rPr>
        <w:t> </w:t>
      </w:r>
      <w:r>
        <w:rPr>
          <w:sz w:val="18"/>
        </w:rPr>
        <w:t>confidencialidad,</w:t>
      </w:r>
      <w:r>
        <w:rPr>
          <w:spacing w:val="-12"/>
          <w:sz w:val="18"/>
        </w:rPr>
        <w:t> </w:t>
      </w:r>
      <w:r>
        <w:rPr>
          <w:sz w:val="18"/>
        </w:rPr>
        <w:t>inexistencia</w:t>
      </w:r>
      <w:r>
        <w:rPr>
          <w:spacing w:val="-12"/>
          <w:sz w:val="18"/>
        </w:rPr>
        <w:t> </w:t>
      </w:r>
      <w:r>
        <w:rPr>
          <w:sz w:val="18"/>
        </w:rPr>
        <w:t>o</w:t>
      </w:r>
      <w:r>
        <w:rPr>
          <w:spacing w:val="-12"/>
          <w:sz w:val="18"/>
        </w:rPr>
        <w:t> </w:t>
      </w:r>
      <w:r>
        <w:rPr>
          <w:sz w:val="18"/>
        </w:rPr>
        <w:t>negativa</w:t>
      </w:r>
      <w:r>
        <w:rPr>
          <w:spacing w:val="-11"/>
          <w:sz w:val="18"/>
        </w:rPr>
        <w:t> </w:t>
      </w:r>
      <w:r>
        <w:rPr>
          <w:sz w:val="18"/>
        </w:rPr>
        <w:t>de</w:t>
      </w:r>
      <w:r>
        <w:rPr>
          <w:spacing w:val="-11"/>
          <w:sz w:val="18"/>
        </w:rPr>
        <w:t> </w:t>
      </w:r>
      <w:r>
        <w:rPr>
          <w:sz w:val="18"/>
        </w:rPr>
        <w:t>la</w:t>
      </w:r>
      <w:r>
        <w:rPr>
          <w:spacing w:val="-11"/>
          <w:sz w:val="18"/>
        </w:rPr>
        <w:t> </w:t>
      </w:r>
      <w:r>
        <w:rPr>
          <w:sz w:val="18"/>
        </w:rPr>
        <w:t>información,</w:t>
      </w:r>
      <w:r>
        <w:rPr>
          <w:spacing w:val="-12"/>
          <w:sz w:val="18"/>
        </w:rPr>
        <w:t> </w:t>
      </w:r>
      <w:r>
        <w:rPr>
          <w:sz w:val="18"/>
        </w:rPr>
        <w:t>en</w:t>
      </w:r>
      <w:r>
        <w:rPr>
          <w:spacing w:val="-12"/>
          <w:sz w:val="18"/>
        </w:rPr>
        <w:t> </w:t>
      </w:r>
      <w:r>
        <w:rPr>
          <w:sz w:val="18"/>
        </w:rPr>
        <w:t>los</w:t>
      </w:r>
      <w:r>
        <w:rPr>
          <w:spacing w:val="-10"/>
          <w:sz w:val="18"/>
        </w:rPr>
        <w:t> </w:t>
      </w:r>
      <w:r>
        <w:rPr>
          <w:sz w:val="18"/>
        </w:rPr>
        <w:t>términos que establezca la</w:t>
      </w:r>
      <w:r>
        <w:rPr>
          <w:spacing w:val="-10"/>
          <w:sz w:val="18"/>
        </w:rPr>
        <w:t> </w:t>
      </w:r>
      <w:r>
        <w:rPr>
          <w:sz w:val="18"/>
        </w:rPr>
        <w:t>ley.</w:t>
      </w:r>
    </w:p>
    <w:p>
      <w:pPr>
        <w:pStyle w:val="BodyText"/>
        <w:spacing w:before="3"/>
        <w:rPr>
          <w:sz w:val="14"/>
        </w:rPr>
      </w:pPr>
    </w:p>
    <w:p>
      <w:pPr>
        <w:spacing w:line="237" w:lineRule="auto" w:before="0"/>
        <w:ind w:left="668" w:right="680" w:firstLine="0"/>
        <w:jc w:val="both"/>
        <w:rPr>
          <w:sz w:val="18"/>
        </w:rPr>
      </w:pPr>
      <w:r>
        <w:rPr>
          <w:sz w:val="18"/>
        </w:rPr>
        <w:t>El organismo garante federal, de oficio o a petición fundada del organismo garante equivalente de las entidades federativas, podrá conocer de los recursos de revisión que por su interés y trascendencia así lo ameriten” (CPEUM, 2016:10-11).</w:t>
      </w:r>
    </w:p>
    <w:p>
      <w:pPr>
        <w:pStyle w:val="BodyText"/>
        <w:rPr>
          <w:sz w:val="18"/>
        </w:rPr>
      </w:pPr>
    </w:p>
    <w:p>
      <w:pPr>
        <w:pStyle w:val="BodyText"/>
        <w:rPr>
          <w:sz w:val="18"/>
        </w:rPr>
      </w:pPr>
    </w:p>
    <w:p>
      <w:pPr>
        <w:pStyle w:val="BodyText"/>
        <w:rPr>
          <w:sz w:val="18"/>
        </w:rPr>
      </w:pPr>
    </w:p>
    <w:p>
      <w:pPr>
        <w:pStyle w:val="BodyText"/>
        <w:spacing w:line="360" w:lineRule="auto" w:before="114"/>
        <w:ind w:left="102" w:right="117"/>
        <w:jc w:val="both"/>
      </w:pPr>
      <w:r>
        <w:rPr/>
        <w:t>De igual manera, el artículo seis de la constitución señala que se debe establecer una ley que defina el tipo de información que se considera pública, reservada o</w:t>
      </w:r>
    </w:p>
    <w:p>
      <w:pPr>
        <w:spacing w:after="0" w:line="360" w:lineRule="auto"/>
        <w:jc w:val="both"/>
        <w:sectPr>
          <w:pgSz w:w="12240" w:h="15840"/>
          <w:pgMar w:header="0" w:footer="975" w:top="1500" w:bottom="1220" w:left="1600" w:right="1580"/>
        </w:sectPr>
      </w:pPr>
    </w:p>
    <w:p>
      <w:pPr>
        <w:pStyle w:val="BodyText"/>
        <w:spacing w:line="362" w:lineRule="auto" w:before="54"/>
        <w:ind w:left="102" w:right="105"/>
        <w:jc w:val="both"/>
      </w:pPr>
      <w:r>
        <w:rPr/>
        <w:t>confidencial y la integración del organismo autónomo encargado de vigilar el cumplimiento de la ley.</w:t>
      </w:r>
    </w:p>
    <w:p>
      <w:pPr>
        <w:pStyle w:val="BodyText"/>
      </w:pPr>
    </w:p>
    <w:p>
      <w:pPr>
        <w:pStyle w:val="BodyText"/>
      </w:pPr>
    </w:p>
    <w:p>
      <w:pPr>
        <w:spacing w:line="240" w:lineRule="auto" w:before="183"/>
        <w:ind w:left="668" w:right="664" w:firstLine="0"/>
        <w:jc w:val="both"/>
        <w:rPr>
          <w:sz w:val="18"/>
        </w:rPr>
      </w:pPr>
      <w:r>
        <w:rPr>
          <w:sz w:val="18"/>
        </w:rPr>
        <w:t>“La ley establecerá aquella información que se considere reservada o confidencial. Las resoluciones del organismo garante son vinculatorias, definitivas e inatacables para los sujetos obligados. El Consejero Jurídico del Gobierno podrá interponer recurso de revisión ante la Suprema</w:t>
      </w:r>
      <w:r>
        <w:rPr>
          <w:spacing w:val="-9"/>
          <w:sz w:val="18"/>
        </w:rPr>
        <w:t> </w:t>
      </w:r>
      <w:r>
        <w:rPr>
          <w:sz w:val="18"/>
        </w:rPr>
        <w:t>Corte</w:t>
      </w:r>
      <w:r>
        <w:rPr>
          <w:spacing w:val="-9"/>
          <w:sz w:val="18"/>
        </w:rPr>
        <w:t> </w:t>
      </w:r>
      <w:r>
        <w:rPr>
          <w:sz w:val="18"/>
        </w:rPr>
        <w:t>de</w:t>
      </w:r>
      <w:r>
        <w:rPr>
          <w:spacing w:val="-9"/>
          <w:sz w:val="18"/>
        </w:rPr>
        <w:t> </w:t>
      </w:r>
      <w:r>
        <w:rPr>
          <w:sz w:val="18"/>
        </w:rPr>
        <w:t>Justicia</w:t>
      </w:r>
      <w:r>
        <w:rPr>
          <w:spacing w:val="-9"/>
          <w:sz w:val="18"/>
        </w:rPr>
        <w:t> </w:t>
      </w:r>
      <w:r>
        <w:rPr>
          <w:sz w:val="18"/>
        </w:rPr>
        <w:t>de</w:t>
      </w:r>
      <w:r>
        <w:rPr>
          <w:spacing w:val="-9"/>
          <w:sz w:val="18"/>
        </w:rPr>
        <w:t> </w:t>
      </w:r>
      <w:r>
        <w:rPr>
          <w:sz w:val="18"/>
        </w:rPr>
        <w:t>la</w:t>
      </w:r>
      <w:r>
        <w:rPr>
          <w:spacing w:val="-9"/>
          <w:sz w:val="18"/>
        </w:rPr>
        <w:t> </w:t>
      </w:r>
      <w:r>
        <w:rPr>
          <w:sz w:val="18"/>
        </w:rPr>
        <w:t>Nación</w:t>
      </w:r>
      <w:r>
        <w:rPr>
          <w:spacing w:val="-9"/>
          <w:sz w:val="18"/>
        </w:rPr>
        <w:t> </w:t>
      </w:r>
      <w:r>
        <w:rPr>
          <w:sz w:val="18"/>
        </w:rPr>
        <w:t>en</w:t>
      </w:r>
      <w:r>
        <w:rPr>
          <w:spacing w:val="-11"/>
          <w:sz w:val="18"/>
        </w:rPr>
        <w:t> </w:t>
      </w:r>
      <w:r>
        <w:rPr>
          <w:sz w:val="18"/>
        </w:rPr>
        <w:t>los</w:t>
      </w:r>
      <w:r>
        <w:rPr>
          <w:spacing w:val="-8"/>
          <w:sz w:val="18"/>
        </w:rPr>
        <w:t> </w:t>
      </w:r>
      <w:r>
        <w:rPr>
          <w:sz w:val="18"/>
        </w:rPr>
        <w:t>términos</w:t>
      </w:r>
      <w:r>
        <w:rPr>
          <w:spacing w:val="-8"/>
          <w:sz w:val="18"/>
        </w:rPr>
        <w:t> </w:t>
      </w:r>
      <w:r>
        <w:rPr>
          <w:sz w:val="18"/>
        </w:rPr>
        <w:t>que</w:t>
      </w:r>
      <w:r>
        <w:rPr>
          <w:spacing w:val="-11"/>
          <w:sz w:val="18"/>
        </w:rPr>
        <w:t> </w:t>
      </w:r>
      <w:r>
        <w:rPr>
          <w:sz w:val="18"/>
        </w:rPr>
        <w:t>establezca</w:t>
      </w:r>
      <w:r>
        <w:rPr>
          <w:spacing w:val="-9"/>
          <w:sz w:val="18"/>
        </w:rPr>
        <w:t> </w:t>
      </w:r>
      <w:r>
        <w:rPr>
          <w:sz w:val="18"/>
        </w:rPr>
        <w:t>la</w:t>
      </w:r>
      <w:r>
        <w:rPr>
          <w:spacing w:val="-9"/>
          <w:sz w:val="18"/>
        </w:rPr>
        <w:t> </w:t>
      </w:r>
      <w:r>
        <w:rPr>
          <w:sz w:val="18"/>
        </w:rPr>
        <w:t>ley,</w:t>
      </w:r>
      <w:r>
        <w:rPr>
          <w:spacing w:val="-2"/>
          <w:sz w:val="18"/>
        </w:rPr>
        <w:t> </w:t>
      </w:r>
      <w:r>
        <w:rPr>
          <w:sz w:val="18"/>
        </w:rPr>
        <w:t>solo</w:t>
      </w:r>
      <w:r>
        <w:rPr>
          <w:spacing w:val="-11"/>
          <w:sz w:val="18"/>
        </w:rPr>
        <w:t> </w:t>
      </w:r>
      <w:r>
        <w:rPr>
          <w:sz w:val="18"/>
        </w:rPr>
        <w:t>en</w:t>
      </w:r>
      <w:r>
        <w:rPr>
          <w:spacing w:val="-9"/>
          <w:sz w:val="18"/>
        </w:rPr>
        <w:t> </w:t>
      </w:r>
      <w:r>
        <w:rPr>
          <w:sz w:val="18"/>
        </w:rPr>
        <w:t>el</w:t>
      </w:r>
      <w:r>
        <w:rPr>
          <w:spacing w:val="-11"/>
          <w:sz w:val="18"/>
        </w:rPr>
        <w:t> </w:t>
      </w:r>
      <w:r>
        <w:rPr>
          <w:sz w:val="18"/>
        </w:rPr>
        <w:t>caso</w:t>
      </w:r>
      <w:r>
        <w:rPr>
          <w:spacing w:val="-9"/>
          <w:sz w:val="18"/>
        </w:rPr>
        <w:t> </w:t>
      </w:r>
      <w:r>
        <w:rPr>
          <w:sz w:val="18"/>
        </w:rPr>
        <w:t>que dichas resoluciones puedan poner en peligro la seguridad nacional conforme a la ley de la materia. El organismo garante se integra por siete comisionados. Para su nombramiento, la Cámara de Senadores, previa realización de una amplia consulta a la sociedad, a propuesta de los grupos parlamentarios, con el voto de las dos terceras partes de los miembros presentes, nombrará al comisionado que deba cubrir la vacante, siguiendo el proceso establecido en la ley. El nombramiento podrá ser objetado por el Presidente de la República en un plazo de diez días hábiles. Si el Presidente de la República no objetara el nombramiento dentro de dicho plazo, ocupará el cargo de comisionado la persona nombrada por el Senado de la República. En caso de que el Presidente de la República objetara el nombramiento, la Cámara de Senadores nombrará una nueva propuesta, en los términos del párrafo anterior, pero con una votación de las</w:t>
      </w:r>
      <w:r>
        <w:rPr>
          <w:spacing w:val="-12"/>
          <w:sz w:val="18"/>
        </w:rPr>
        <w:t> </w:t>
      </w:r>
      <w:r>
        <w:rPr>
          <w:sz w:val="18"/>
        </w:rPr>
        <w:t>tres</w:t>
      </w:r>
      <w:r>
        <w:rPr>
          <w:spacing w:val="-12"/>
          <w:sz w:val="18"/>
        </w:rPr>
        <w:t> </w:t>
      </w:r>
      <w:r>
        <w:rPr>
          <w:sz w:val="18"/>
        </w:rPr>
        <w:t>quintas</w:t>
      </w:r>
      <w:r>
        <w:rPr>
          <w:spacing w:val="-12"/>
          <w:sz w:val="18"/>
        </w:rPr>
        <w:t> </w:t>
      </w:r>
      <w:r>
        <w:rPr>
          <w:sz w:val="18"/>
        </w:rPr>
        <w:t>partes</w:t>
      </w:r>
      <w:r>
        <w:rPr>
          <w:spacing w:val="-12"/>
          <w:sz w:val="18"/>
        </w:rPr>
        <w:t> </w:t>
      </w:r>
      <w:r>
        <w:rPr>
          <w:sz w:val="18"/>
        </w:rPr>
        <w:t>de</w:t>
      </w:r>
      <w:r>
        <w:rPr>
          <w:spacing w:val="-12"/>
          <w:sz w:val="18"/>
        </w:rPr>
        <w:t> </w:t>
      </w:r>
      <w:r>
        <w:rPr>
          <w:sz w:val="18"/>
        </w:rPr>
        <w:t>los</w:t>
      </w:r>
      <w:r>
        <w:rPr>
          <w:spacing w:val="-12"/>
          <w:sz w:val="18"/>
        </w:rPr>
        <w:t> </w:t>
      </w:r>
      <w:r>
        <w:rPr>
          <w:sz w:val="18"/>
        </w:rPr>
        <w:t>miembros</w:t>
      </w:r>
      <w:r>
        <w:rPr>
          <w:spacing w:val="-12"/>
          <w:sz w:val="18"/>
        </w:rPr>
        <w:t> </w:t>
      </w:r>
      <w:r>
        <w:rPr>
          <w:sz w:val="18"/>
        </w:rPr>
        <w:t>presentes.</w:t>
      </w:r>
      <w:r>
        <w:rPr>
          <w:spacing w:val="-12"/>
          <w:sz w:val="18"/>
        </w:rPr>
        <w:t> </w:t>
      </w:r>
      <w:r>
        <w:rPr>
          <w:sz w:val="18"/>
        </w:rPr>
        <w:t>Si</w:t>
      </w:r>
      <w:r>
        <w:rPr>
          <w:spacing w:val="-12"/>
          <w:sz w:val="18"/>
        </w:rPr>
        <w:t> </w:t>
      </w:r>
      <w:r>
        <w:rPr>
          <w:sz w:val="18"/>
        </w:rPr>
        <w:t>este</w:t>
      </w:r>
      <w:r>
        <w:rPr>
          <w:spacing w:val="-12"/>
          <w:sz w:val="18"/>
        </w:rPr>
        <w:t> </w:t>
      </w:r>
      <w:r>
        <w:rPr>
          <w:sz w:val="18"/>
        </w:rPr>
        <w:t>segundo</w:t>
      </w:r>
      <w:r>
        <w:rPr>
          <w:spacing w:val="-12"/>
          <w:sz w:val="18"/>
        </w:rPr>
        <w:t> </w:t>
      </w:r>
      <w:r>
        <w:rPr>
          <w:sz w:val="18"/>
        </w:rPr>
        <w:t>nombramiento</w:t>
      </w:r>
      <w:r>
        <w:rPr>
          <w:spacing w:val="-12"/>
          <w:sz w:val="18"/>
        </w:rPr>
        <w:t> </w:t>
      </w:r>
      <w:r>
        <w:rPr>
          <w:sz w:val="18"/>
        </w:rPr>
        <w:t>fuera</w:t>
      </w:r>
      <w:r>
        <w:rPr>
          <w:spacing w:val="-12"/>
          <w:sz w:val="18"/>
        </w:rPr>
        <w:t> </w:t>
      </w:r>
      <w:r>
        <w:rPr>
          <w:sz w:val="18"/>
        </w:rPr>
        <w:t>objetado, la Cámara de Senadores, en los términos del párrafo anterior, con la votación de las tres quintas partes de los miembros presentes, designará al comisionado que ocupará la vacante. Los comisionados</w:t>
      </w:r>
      <w:r>
        <w:rPr>
          <w:spacing w:val="-9"/>
          <w:sz w:val="18"/>
        </w:rPr>
        <w:t> </w:t>
      </w:r>
      <w:r>
        <w:rPr>
          <w:sz w:val="18"/>
        </w:rPr>
        <w:t>durarán</w:t>
      </w:r>
      <w:r>
        <w:rPr>
          <w:spacing w:val="-10"/>
          <w:sz w:val="18"/>
        </w:rPr>
        <w:t> </w:t>
      </w:r>
      <w:r>
        <w:rPr>
          <w:sz w:val="18"/>
        </w:rPr>
        <w:t>en</w:t>
      </w:r>
      <w:r>
        <w:rPr>
          <w:spacing w:val="-10"/>
          <w:sz w:val="18"/>
        </w:rPr>
        <w:t> </w:t>
      </w:r>
      <w:r>
        <w:rPr>
          <w:sz w:val="18"/>
        </w:rPr>
        <w:t>su</w:t>
      </w:r>
      <w:r>
        <w:rPr>
          <w:spacing w:val="-10"/>
          <w:sz w:val="18"/>
        </w:rPr>
        <w:t> </w:t>
      </w:r>
      <w:r>
        <w:rPr>
          <w:sz w:val="18"/>
        </w:rPr>
        <w:t>encargo</w:t>
      </w:r>
      <w:r>
        <w:rPr>
          <w:spacing w:val="-7"/>
          <w:sz w:val="18"/>
        </w:rPr>
        <w:t> </w:t>
      </w:r>
      <w:r>
        <w:rPr>
          <w:sz w:val="18"/>
        </w:rPr>
        <w:t>siete</w:t>
      </w:r>
      <w:r>
        <w:rPr>
          <w:spacing w:val="-9"/>
          <w:sz w:val="18"/>
        </w:rPr>
        <w:t> </w:t>
      </w:r>
      <w:r>
        <w:rPr>
          <w:sz w:val="18"/>
        </w:rPr>
        <w:t>años</w:t>
      </w:r>
      <w:r>
        <w:rPr>
          <w:spacing w:val="-7"/>
          <w:sz w:val="18"/>
        </w:rPr>
        <w:t> </w:t>
      </w:r>
      <w:r>
        <w:rPr>
          <w:sz w:val="18"/>
        </w:rPr>
        <w:t>y</w:t>
      </w:r>
      <w:r>
        <w:rPr>
          <w:spacing w:val="-9"/>
          <w:sz w:val="18"/>
        </w:rPr>
        <w:t> </w:t>
      </w:r>
      <w:r>
        <w:rPr>
          <w:sz w:val="18"/>
        </w:rPr>
        <w:t>deberán</w:t>
      </w:r>
      <w:r>
        <w:rPr>
          <w:spacing w:val="-10"/>
          <w:sz w:val="18"/>
        </w:rPr>
        <w:t> </w:t>
      </w:r>
      <w:r>
        <w:rPr>
          <w:sz w:val="18"/>
        </w:rPr>
        <w:t>cumplir</w:t>
      </w:r>
      <w:r>
        <w:rPr>
          <w:spacing w:val="-10"/>
          <w:sz w:val="18"/>
        </w:rPr>
        <w:t> </w:t>
      </w:r>
      <w:r>
        <w:rPr>
          <w:sz w:val="18"/>
        </w:rPr>
        <w:t>con</w:t>
      </w:r>
      <w:r>
        <w:rPr>
          <w:spacing w:val="-10"/>
          <w:sz w:val="18"/>
        </w:rPr>
        <w:t> </w:t>
      </w:r>
      <w:r>
        <w:rPr>
          <w:sz w:val="18"/>
        </w:rPr>
        <w:t>los</w:t>
      </w:r>
      <w:r>
        <w:rPr>
          <w:spacing w:val="-9"/>
          <w:sz w:val="18"/>
        </w:rPr>
        <w:t> </w:t>
      </w:r>
      <w:r>
        <w:rPr>
          <w:sz w:val="18"/>
        </w:rPr>
        <w:t>requisitos</w:t>
      </w:r>
      <w:r>
        <w:rPr>
          <w:spacing w:val="-7"/>
          <w:sz w:val="18"/>
        </w:rPr>
        <w:t> </w:t>
      </w:r>
      <w:r>
        <w:rPr>
          <w:sz w:val="18"/>
        </w:rPr>
        <w:t>previstos</w:t>
      </w:r>
      <w:r>
        <w:rPr>
          <w:spacing w:val="-7"/>
          <w:sz w:val="18"/>
        </w:rPr>
        <w:t> </w:t>
      </w:r>
      <w:r>
        <w:rPr>
          <w:sz w:val="18"/>
        </w:rPr>
        <w:t>en las fracciones I, II, IV, V y VI del artículo 95 de esta Constitución, no podrán tener otro empleo, cargo o comisión, con excepción de los no remunerados en instituciones docentes, científicas o de</w:t>
      </w:r>
      <w:r>
        <w:rPr>
          <w:spacing w:val="-6"/>
          <w:sz w:val="18"/>
        </w:rPr>
        <w:t> </w:t>
      </w:r>
      <w:r>
        <w:rPr>
          <w:sz w:val="18"/>
        </w:rPr>
        <w:t>beneficencia,</w:t>
      </w:r>
      <w:r>
        <w:rPr>
          <w:spacing w:val="-7"/>
          <w:sz w:val="18"/>
        </w:rPr>
        <w:t> </w:t>
      </w:r>
      <w:r>
        <w:rPr>
          <w:sz w:val="18"/>
        </w:rPr>
        <w:t>solo</w:t>
      </w:r>
      <w:r>
        <w:rPr>
          <w:spacing w:val="-5"/>
          <w:sz w:val="18"/>
        </w:rPr>
        <w:t> </w:t>
      </w:r>
      <w:r>
        <w:rPr>
          <w:sz w:val="18"/>
        </w:rPr>
        <w:t>podrán</w:t>
      </w:r>
      <w:r>
        <w:rPr>
          <w:spacing w:val="-6"/>
          <w:sz w:val="18"/>
        </w:rPr>
        <w:t> </w:t>
      </w:r>
      <w:r>
        <w:rPr>
          <w:sz w:val="18"/>
        </w:rPr>
        <w:t>ser</w:t>
      </w:r>
      <w:r>
        <w:rPr>
          <w:spacing w:val="-7"/>
          <w:sz w:val="18"/>
        </w:rPr>
        <w:t> </w:t>
      </w:r>
      <w:r>
        <w:rPr>
          <w:sz w:val="18"/>
        </w:rPr>
        <w:t>removidos</w:t>
      </w:r>
      <w:r>
        <w:rPr>
          <w:spacing w:val="-6"/>
          <w:sz w:val="18"/>
        </w:rPr>
        <w:t> </w:t>
      </w:r>
      <w:r>
        <w:rPr>
          <w:sz w:val="18"/>
        </w:rPr>
        <w:t>de</w:t>
      </w:r>
      <w:r>
        <w:rPr>
          <w:spacing w:val="-9"/>
          <w:sz w:val="18"/>
        </w:rPr>
        <w:t> </w:t>
      </w:r>
      <w:r>
        <w:rPr>
          <w:sz w:val="18"/>
        </w:rPr>
        <w:t>su</w:t>
      </w:r>
      <w:r>
        <w:rPr>
          <w:spacing w:val="-6"/>
          <w:sz w:val="18"/>
        </w:rPr>
        <w:t> </w:t>
      </w:r>
      <w:r>
        <w:rPr>
          <w:sz w:val="18"/>
        </w:rPr>
        <w:t>cargo</w:t>
      </w:r>
      <w:r>
        <w:rPr>
          <w:spacing w:val="-6"/>
          <w:sz w:val="18"/>
        </w:rPr>
        <w:t> </w:t>
      </w:r>
      <w:r>
        <w:rPr>
          <w:sz w:val="18"/>
        </w:rPr>
        <w:t>en</w:t>
      </w:r>
      <w:r>
        <w:rPr>
          <w:spacing w:val="-6"/>
          <w:sz w:val="18"/>
        </w:rPr>
        <w:t> </w:t>
      </w:r>
      <w:r>
        <w:rPr>
          <w:sz w:val="18"/>
        </w:rPr>
        <w:t>los</w:t>
      </w:r>
      <w:r>
        <w:rPr>
          <w:spacing w:val="-6"/>
          <w:sz w:val="18"/>
        </w:rPr>
        <w:t> </w:t>
      </w:r>
      <w:r>
        <w:rPr>
          <w:sz w:val="18"/>
        </w:rPr>
        <w:t>términos</w:t>
      </w:r>
      <w:r>
        <w:rPr>
          <w:spacing w:val="-6"/>
          <w:sz w:val="18"/>
        </w:rPr>
        <w:t> </w:t>
      </w:r>
      <w:r>
        <w:rPr>
          <w:sz w:val="18"/>
        </w:rPr>
        <w:t>del</w:t>
      </w:r>
      <w:r>
        <w:rPr>
          <w:spacing w:val="-6"/>
          <w:sz w:val="18"/>
        </w:rPr>
        <w:t> </w:t>
      </w:r>
      <w:r>
        <w:rPr>
          <w:sz w:val="18"/>
        </w:rPr>
        <w:t>Título</w:t>
      </w:r>
      <w:r>
        <w:rPr>
          <w:spacing w:val="-6"/>
          <w:sz w:val="18"/>
        </w:rPr>
        <w:t> </w:t>
      </w:r>
      <w:r>
        <w:rPr>
          <w:sz w:val="18"/>
        </w:rPr>
        <w:t>Cuarto</w:t>
      </w:r>
      <w:r>
        <w:rPr>
          <w:spacing w:val="-6"/>
          <w:sz w:val="18"/>
        </w:rPr>
        <w:t> </w:t>
      </w:r>
      <w:r>
        <w:rPr>
          <w:sz w:val="18"/>
        </w:rPr>
        <w:t>de</w:t>
      </w:r>
      <w:r>
        <w:rPr>
          <w:spacing w:val="-9"/>
          <w:sz w:val="18"/>
        </w:rPr>
        <w:t> </w:t>
      </w:r>
      <w:r>
        <w:rPr>
          <w:sz w:val="18"/>
        </w:rPr>
        <w:t>esta Constitución y serán sujetos de juicio político” (CPEUM,</w:t>
      </w:r>
      <w:r>
        <w:rPr>
          <w:spacing w:val="-19"/>
          <w:sz w:val="18"/>
        </w:rPr>
        <w:t> </w:t>
      </w:r>
      <w:r>
        <w:rPr>
          <w:sz w:val="18"/>
        </w:rPr>
        <w:t>2016:11).</w:t>
      </w:r>
    </w:p>
    <w:p>
      <w:pPr>
        <w:pStyle w:val="BodyText"/>
        <w:rPr>
          <w:sz w:val="18"/>
        </w:rPr>
      </w:pPr>
    </w:p>
    <w:p>
      <w:pPr>
        <w:pStyle w:val="BodyText"/>
        <w:rPr>
          <w:sz w:val="18"/>
        </w:rPr>
      </w:pPr>
    </w:p>
    <w:p>
      <w:pPr>
        <w:pStyle w:val="BodyText"/>
        <w:rPr>
          <w:sz w:val="18"/>
        </w:rPr>
      </w:pPr>
    </w:p>
    <w:p>
      <w:pPr>
        <w:pStyle w:val="BodyText"/>
        <w:spacing w:line="360" w:lineRule="auto" w:before="114"/>
        <w:ind w:left="102" w:right="662"/>
        <w:jc w:val="both"/>
      </w:pPr>
      <w:r>
        <w:rPr/>
        <w:t>Es importante destacar que en este rubro no se define cuál es la información que se considera pública, reservada y confidencial. Este parámetro se repite en relación a lo que define la Ley federal de transparencia y acceso a la información pública frente a todas las leyes de las entidades federativas.</w:t>
      </w:r>
    </w:p>
    <w:p>
      <w:pPr>
        <w:pStyle w:val="BodyText"/>
      </w:pPr>
    </w:p>
    <w:p>
      <w:pPr>
        <w:pStyle w:val="BodyText"/>
      </w:pPr>
    </w:p>
    <w:p>
      <w:pPr>
        <w:pStyle w:val="BodyText"/>
        <w:spacing w:line="360" w:lineRule="auto" w:before="185"/>
        <w:ind w:left="102" w:right="102"/>
        <w:jc w:val="both"/>
      </w:pPr>
      <w:r>
        <w:rPr/>
        <w:t>Finalmente, en este artículo también se contempla la conformación del órgano garante encargado de vigilar el cumplimiento de la ley de transparencia y los mecanismos de remoción de los funcionarios que lo integran.</w:t>
      </w:r>
    </w:p>
    <w:p>
      <w:pPr>
        <w:pStyle w:val="BodyText"/>
      </w:pPr>
    </w:p>
    <w:p>
      <w:pPr>
        <w:pStyle w:val="BodyText"/>
      </w:pPr>
    </w:p>
    <w:p>
      <w:pPr>
        <w:spacing w:before="187"/>
        <w:ind w:left="668" w:right="665" w:firstLine="0"/>
        <w:jc w:val="both"/>
        <w:rPr>
          <w:sz w:val="18"/>
        </w:rPr>
      </w:pPr>
      <w:r>
        <w:rPr>
          <w:sz w:val="18"/>
        </w:rPr>
        <w:t>“En la conformación del organismo garante se procurará la equidad de género. El comisionado presidente será designado por los propios comisionados, mediante voto secreto, por un periodo de tres años, con posibilidad de ser reelecto por un periodo igual; estará obligado a rendir un informe anual ante el Senado, en la fecha y en los términos que disponga la ley. El organismo garante tendrá un Consejo Consultivo, integrado por diez consejeros, que serán elegidos por el voto de las dos terceras partes de los miembros presentes de la Cámara de Senadores. La ley determinará los procedimientos a seguir para la presentación de las propuestas por la propia Cámara.</w:t>
      </w:r>
      <w:r>
        <w:rPr>
          <w:spacing w:val="-15"/>
          <w:sz w:val="18"/>
        </w:rPr>
        <w:t> </w:t>
      </w:r>
      <w:r>
        <w:rPr>
          <w:sz w:val="18"/>
        </w:rPr>
        <w:t>Anualmente</w:t>
      </w:r>
      <w:r>
        <w:rPr>
          <w:spacing w:val="-15"/>
          <w:sz w:val="18"/>
        </w:rPr>
        <w:t> </w:t>
      </w:r>
      <w:r>
        <w:rPr>
          <w:sz w:val="18"/>
        </w:rPr>
        <w:t>serán</w:t>
      </w:r>
      <w:r>
        <w:rPr>
          <w:spacing w:val="-15"/>
          <w:sz w:val="18"/>
        </w:rPr>
        <w:t> </w:t>
      </w:r>
      <w:r>
        <w:rPr>
          <w:sz w:val="18"/>
        </w:rPr>
        <w:t>sustituidos</w:t>
      </w:r>
      <w:r>
        <w:rPr>
          <w:spacing w:val="-14"/>
          <w:sz w:val="18"/>
        </w:rPr>
        <w:t> </w:t>
      </w:r>
      <w:r>
        <w:rPr>
          <w:sz w:val="18"/>
        </w:rPr>
        <w:t>los</w:t>
      </w:r>
      <w:r>
        <w:rPr>
          <w:spacing w:val="-14"/>
          <w:sz w:val="18"/>
        </w:rPr>
        <w:t> </w:t>
      </w:r>
      <w:r>
        <w:rPr>
          <w:sz w:val="18"/>
        </w:rPr>
        <w:t>dos</w:t>
      </w:r>
      <w:r>
        <w:rPr>
          <w:spacing w:val="-15"/>
          <w:sz w:val="18"/>
        </w:rPr>
        <w:t> </w:t>
      </w:r>
      <w:r>
        <w:rPr>
          <w:sz w:val="18"/>
        </w:rPr>
        <w:t>consejeros</w:t>
      </w:r>
      <w:r>
        <w:rPr>
          <w:spacing w:val="-14"/>
          <w:sz w:val="18"/>
        </w:rPr>
        <w:t> </w:t>
      </w:r>
      <w:r>
        <w:rPr>
          <w:sz w:val="18"/>
        </w:rPr>
        <w:t>de</w:t>
      </w:r>
      <w:r>
        <w:rPr>
          <w:spacing w:val="-15"/>
          <w:sz w:val="18"/>
        </w:rPr>
        <w:t> </w:t>
      </w:r>
      <w:r>
        <w:rPr>
          <w:sz w:val="18"/>
        </w:rPr>
        <w:t>mayor</w:t>
      </w:r>
      <w:r>
        <w:rPr>
          <w:spacing w:val="-15"/>
          <w:sz w:val="18"/>
        </w:rPr>
        <w:t> </w:t>
      </w:r>
      <w:r>
        <w:rPr>
          <w:sz w:val="18"/>
        </w:rPr>
        <w:t>antigüedad</w:t>
      </w:r>
      <w:r>
        <w:rPr>
          <w:spacing w:val="-15"/>
          <w:sz w:val="18"/>
        </w:rPr>
        <w:t> </w:t>
      </w:r>
      <w:r>
        <w:rPr>
          <w:sz w:val="18"/>
        </w:rPr>
        <w:t>en</w:t>
      </w:r>
      <w:r>
        <w:rPr>
          <w:spacing w:val="-15"/>
          <w:sz w:val="18"/>
        </w:rPr>
        <w:t> </w:t>
      </w:r>
      <w:r>
        <w:rPr>
          <w:sz w:val="18"/>
        </w:rPr>
        <w:t>el</w:t>
      </w:r>
      <w:r>
        <w:rPr>
          <w:spacing w:val="-14"/>
          <w:sz w:val="18"/>
        </w:rPr>
        <w:t> </w:t>
      </w:r>
      <w:r>
        <w:rPr>
          <w:sz w:val="18"/>
        </w:rPr>
        <w:t>cargo,</w:t>
      </w:r>
      <w:r>
        <w:rPr>
          <w:spacing w:val="-15"/>
          <w:sz w:val="18"/>
        </w:rPr>
        <w:t> </w:t>
      </w:r>
      <w:r>
        <w:rPr>
          <w:sz w:val="18"/>
        </w:rPr>
        <w:t>salvo</w:t>
      </w:r>
    </w:p>
    <w:p>
      <w:pPr>
        <w:spacing w:after="0"/>
        <w:jc w:val="both"/>
        <w:rPr>
          <w:sz w:val="18"/>
        </w:rPr>
        <w:sectPr>
          <w:pgSz w:w="12240" w:h="15840"/>
          <w:pgMar w:header="0" w:footer="975" w:top="1360" w:bottom="1220" w:left="1600" w:right="1600"/>
        </w:sectPr>
      </w:pPr>
    </w:p>
    <w:p>
      <w:pPr>
        <w:spacing w:line="240" w:lineRule="auto" w:before="55"/>
        <w:ind w:left="668" w:right="681" w:firstLine="0"/>
        <w:jc w:val="both"/>
        <w:rPr>
          <w:sz w:val="18"/>
        </w:rPr>
      </w:pPr>
      <w:r>
        <w:rPr>
          <w:sz w:val="18"/>
        </w:rPr>
        <w:t>que</w:t>
      </w:r>
      <w:r>
        <w:rPr>
          <w:spacing w:val="-5"/>
          <w:sz w:val="18"/>
        </w:rPr>
        <w:t> </w:t>
      </w:r>
      <w:r>
        <w:rPr>
          <w:sz w:val="18"/>
        </w:rPr>
        <w:t>fuesen</w:t>
      </w:r>
      <w:r>
        <w:rPr>
          <w:spacing w:val="-5"/>
          <w:sz w:val="18"/>
        </w:rPr>
        <w:t> </w:t>
      </w:r>
      <w:r>
        <w:rPr>
          <w:sz w:val="18"/>
        </w:rPr>
        <w:t>propuestos</w:t>
      </w:r>
      <w:r>
        <w:rPr>
          <w:spacing w:val="-2"/>
          <w:sz w:val="18"/>
        </w:rPr>
        <w:t> </w:t>
      </w:r>
      <w:r>
        <w:rPr>
          <w:sz w:val="18"/>
        </w:rPr>
        <w:t>y</w:t>
      </w:r>
      <w:r>
        <w:rPr>
          <w:spacing w:val="-4"/>
          <w:sz w:val="18"/>
        </w:rPr>
        <w:t> </w:t>
      </w:r>
      <w:r>
        <w:rPr>
          <w:sz w:val="18"/>
        </w:rPr>
        <w:t>ratificados</w:t>
      </w:r>
      <w:r>
        <w:rPr>
          <w:spacing w:val="-5"/>
          <w:sz w:val="18"/>
        </w:rPr>
        <w:t> </w:t>
      </w:r>
      <w:r>
        <w:rPr>
          <w:sz w:val="18"/>
        </w:rPr>
        <w:t>para</w:t>
      </w:r>
      <w:r>
        <w:rPr>
          <w:spacing w:val="-3"/>
          <w:sz w:val="18"/>
        </w:rPr>
        <w:t> </w:t>
      </w:r>
      <w:r>
        <w:rPr>
          <w:sz w:val="18"/>
        </w:rPr>
        <w:t>un</w:t>
      </w:r>
      <w:r>
        <w:rPr>
          <w:spacing w:val="-5"/>
          <w:sz w:val="18"/>
        </w:rPr>
        <w:t> </w:t>
      </w:r>
      <w:r>
        <w:rPr>
          <w:sz w:val="18"/>
        </w:rPr>
        <w:t>segundo</w:t>
      </w:r>
      <w:r>
        <w:rPr>
          <w:spacing w:val="-5"/>
          <w:sz w:val="18"/>
        </w:rPr>
        <w:t> </w:t>
      </w:r>
      <w:r>
        <w:rPr>
          <w:sz w:val="18"/>
        </w:rPr>
        <w:t>periodo.</w:t>
      </w:r>
      <w:r>
        <w:rPr>
          <w:spacing w:val="-3"/>
          <w:sz w:val="18"/>
        </w:rPr>
        <w:t> </w:t>
      </w:r>
      <w:r>
        <w:rPr>
          <w:sz w:val="18"/>
        </w:rPr>
        <w:t>La</w:t>
      </w:r>
      <w:r>
        <w:rPr>
          <w:spacing w:val="-5"/>
          <w:sz w:val="18"/>
        </w:rPr>
        <w:t> </w:t>
      </w:r>
      <w:r>
        <w:rPr>
          <w:sz w:val="18"/>
        </w:rPr>
        <w:t>ley</w:t>
      </w:r>
      <w:r>
        <w:rPr>
          <w:spacing w:val="-7"/>
          <w:sz w:val="18"/>
        </w:rPr>
        <w:t> </w:t>
      </w:r>
      <w:r>
        <w:rPr>
          <w:sz w:val="18"/>
        </w:rPr>
        <w:t>establecerá</w:t>
      </w:r>
      <w:r>
        <w:rPr>
          <w:spacing w:val="-3"/>
          <w:sz w:val="18"/>
        </w:rPr>
        <w:t> </w:t>
      </w:r>
      <w:r>
        <w:rPr>
          <w:sz w:val="18"/>
        </w:rPr>
        <w:t>las</w:t>
      </w:r>
      <w:r>
        <w:rPr>
          <w:spacing w:val="-5"/>
          <w:sz w:val="18"/>
        </w:rPr>
        <w:t> </w:t>
      </w:r>
      <w:r>
        <w:rPr>
          <w:sz w:val="18"/>
        </w:rPr>
        <w:t>medidas</w:t>
      </w:r>
      <w:r>
        <w:rPr>
          <w:spacing w:val="-4"/>
          <w:sz w:val="18"/>
        </w:rPr>
        <w:t> </w:t>
      </w:r>
      <w:r>
        <w:rPr>
          <w:sz w:val="18"/>
        </w:rPr>
        <w:t>de apremio que podrá imponer el organismo garante para asegurar el cumplimiento de sus decisiones. Toda autoridad y servidor público estará obligado a coadyuvar con el organismo garante y sus integrantes para el buen desempeño de sus funciones. El organismo garante coordinará</w:t>
      </w:r>
      <w:r>
        <w:rPr>
          <w:spacing w:val="-4"/>
          <w:sz w:val="18"/>
        </w:rPr>
        <w:t> </w:t>
      </w:r>
      <w:r>
        <w:rPr>
          <w:sz w:val="18"/>
        </w:rPr>
        <w:t>sus</w:t>
      </w:r>
      <w:r>
        <w:rPr>
          <w:spacing w:val="-3"/>
          <w:sz w:val="18"/>
        </w:rPr>
        <w:t> </w:t>
      </w:r>
      <w:r>
        <w:rPr>
          <w:sz w:val="18"/>
        </w:rPr>
        <w:t>acciones</w:t>
      </w:r>
      <w:r>
        <w:rPr>
          <w:spacing w:val="-6"/>
          <w:sz w:val="18"/>
        </w:rPr>
        <w:t> </w:t>
      </w:r>
      <w:r>
        <w:rPr>
          <w:sz w:val="18"/>
        </w:rPr>
        <w:t>con</w:t>
      </w:r>
      <w:r>
        <w:rPr>
          <w:spacing w:val="-6"/>
          <w:sz w:val="18"/>
        </w:rPr>
        <w:t> </w:t>
      </w:r>
      <w:r>
        <w:rPr>
          <w:sz w:val="18"/>
        </w:rPr>
        <w:t>la</w:t>
      </w:r>
      <w:r>
        <w:rPr>
          <w:spacing w:val="-4"/>
          <w:sz w:val="18"/>
        </w:rPr>
        <w:t> </w:t>
      </w:r>
      <w:r>
        <w:rPr>
          <w:sz w:val="18"/>
        </w:rPr>
        <w:t>Auditoría</w:t>
      </w:r>
      <w:r>
        <w:rPr>
          <w:spacing w:val="-4"/>
          <w:sz w:val="18"/>
        </w:rPr>
        <w:t> </w:t>
      </w:r>
      <w:r>
        <w:rPr>
          <w:sz w:val="18"/>
        </w:rPr>
        <w:t>Superior</w:t>
      </w:r>
      <w:r>
        <w:rPr>
          <w:spacing w:val="-4"/>
          <w:sz w:val="18"/>
        </w:rPr>
        <w:t> </w:t>
      </w:r>
      <w:r>
        <w:rPr>
          <w:sz w:val="18"/>
        </w:rPr>
        <w:t>de</w:t>
      </w:r>
      <w:r>
        <w:rPr>
          <w:spacing w:val="-4"/>
          <w:sz w:val="18"/>
        </w:rPr>
        <w:t> </w:t>
      </w:r>
      <w:r>
        <w:rPr>
          <w:sz w:val="18"/>
        </w:rPr>
        <w:t>la</w:t>
      </w:r>
      <w:r>
        <w:rPr>
          <w:spacing w:val="-4"/>
          <w:sz w:val="18"/>
        </w:rPr>
        <w:t> </w:t>
      </w:r>
      <w:r>
        <w:rPr>
          <w:sz w:val="18"/>
        </w:rPr>
        <w:t>Federación,</w:t>
      </w:r>
      <w:r>
        <w:rPr>
          <w:spacing w:val="-4"/>
          <w:sz w:val="18"/>
        </w:rPr>
        <w:t> </w:t>
      </w:r>
      <w:r>
        <w:rPr>
          <w:sz w:val="18"/>
        </w:rPr>
        <w:t>con</w:t>
      </w:r>
      <w:r>
        <w:rPr>
          <w:spacing w:val="-4"/>
          <w:sz w:val="18"/>
        </w:rPr>
        <w:t> </w:t>
      </w:r>
      <w:r>
        <w:rPr>
          <w:sz w:val="18"/>
        </w:rPr>
        <w:t>la</w:t>
      </w:r>
      <w:r>
        <w:rPr>
          <w:spacing w:val="-6"/>
          <w:sz w:val="18"/>
        </w:rPr>
        <w:t> </w:t>
      </w:r>
      <w:r>
        <w:rPr>
          <w:sz w:val="18"/>
        </w:rPr>
        <w:t>entidad</w:t>
      </w:r>
      <w:r>
        <w:rPr>
          <w:spacing w:val="-4"/>
          <w:sz w:val="18"/>
        </w:rPr>
        <w:t> </w:t>
      </w:r>
      <w:r>
        <w:rPr>
          <w:sz w:val="18"/>
        </w:rPr>
        <w:t>especializada en materia de archivos y con el organismo encargado de regular la captación, procesamiento y publicación de la información estadística y geográfica, así como con los organismos garantes de las</w:t>
      </w:r>
      <w:r>
        <w:rPr>
          <w:spacing w:val="-13"/>
          <w:sz w:val="18"/>
        </w:rPr>
        <w:t> </w:t>
      </w:r>
      <w:r>
        <w:rPr>
          <w:sz w:val="18"/>
        </w:rPr>
        <w:t>entidades</w:t>
      </w:r>
      <w:r>
        <w:rPr>
          <w:spacing w:val="-13"/>
          <w:sz w:val="18"/>
        </w:rPr>
        <w:t> </w:t>
      </w:r>
      <w:r>
        <w:rPr>
          <w:sz w:val="18"/>
        </w:rPr>
        <w:t>federativas,</w:t>
      </w:r>
      <w:r>
        <w:rPr>
          <w:spacing w:val="-14"/>
          <w:sz w:val="18"/>
        </w:rPr>
        <w:t> </w:t>
      </w:r>
      <w:r>
        <w:rPr>
          <w:sz w:val="18"/>
        </w:rPr>
        <w:t>con</w:t>
      </w:r>
      <w:r>
        <w:rPr>
          <w:spacing w:val="-16"/>
          <w:sz w:val="18"/>
        </w:rPr>
        <w:t> </w:t>
      </w:r>
      <w:r>
        <w:rPr>
          <w:sz w:val="18"/>
        </w:rPr>
        <w:t>el</w:t>
      </w:r>
      <w:r>
        <w:rPr>
          <w:spacing w:val="-9"/>
          <w:sz w:val="18"/>
        </w:rPr>
        <w:t> </w:t>
      </w:r>
      <w:r>
        <w:rPr>
          <w:sz w:val="18"/>
        </w:rPr>
        <w:t>objeto</w:t>
      </w:r>
      <w:r>
        <w:rPr>
          <w:spacing w:val="-11"/>
          <w:sz w:val="18"/>
        </w:rPr>
        <w:t> </w:t>
      </w:r>
      <w:r>
        <w:rPr>
          <w:sz w:val="18"/>
        </w:rPr>
        <w:t>de</w:t>
      </w:r>
      <w:r>
        <w:rPr>
          <w:spacing w:val="-11"/>
          <w:sz w:val="18"/>
        </w:rPr>
        <w:t> </w:t>
      </w:r>
      <w:r>
        <w:rPr>
          <w:sz w:val="18"/>
        </w:rPr>
        <w:t>fortalecer</w:t>
      </w:r>
      <w:r>
        <w:rPr>
          <w:spacing w:val="-14"/>
          <w:sz w:val="18"/>
        </w:rPr>
        <w:t> </w:t>
      </w:r>
      <w:r>
        <w:rPr>
          <w:sz w:val="18"/>
        </w:rPr>
        <w:t>la</w:t>
      </w:r>
      <w:r>
        <w:rPr>
          <w:spacing w:val="-13"/>
          <w:sz w:val="18"/>
        </w:rPr>
        <w:t> </w:t>
      </w:r>
      <w:r>
        <w:rPr>
          <w:sz w:val="18"/>
        </w:rPr>
        <w:t>rendición</w:t>
      </w:r>
      <w:r>
        <w:rPr>
          <w:spacing w:val="-11"/>
          <w:sz w:val="18"/>
        </w:rPr>
        <w:t> </w:t>
      </w:r>
      <w:r>
        <w:rPr>
          <w:sz w:val="18"/>
        </w:rPr>
        <w:t>de</w:t>
      </w:r>
      <w:r>
        <w:rPr>
          <w:spacing w:val="-11"/>
          <w:sz w:val="18"/>
        </w:rPr>
        <w:t> </w:t>
      </w:r>
      <w:r>
        <w:rPr>
          <w:sz w:val="18"/>
        </w:rPr>
        <w:t>cuentas</w:t>
      </w:r>
      <w:r>
        <w:rPr>
          <w:spacing w:val="-13"/>
          <w:sz w:val="18"/>
        </w:rPr>
        <w:t> </w:t>
      </w:r>
      <w:r>
        <w:rPr>
          <w:sz w:val="18"/>
        </w:rPr>
        <w:t>del</w:t>
      </w:r>
      <w:r>
        <w:rPr>
          <w:spacing w:val="-13"/>
          <w:sz w:val="18"/>
        </w:rPr>
        <w:t> </w:t>
      </w:r>
      <w:r>
        <w:rPr>
          <w:sz w:val="18"/>
        </w:rPr>
        <w:t>Estado</w:t>
      </w:r>
      <w:r>
        <w:rPr>
          <w:spacing w:val="-13"/>
          <w:sz w:val="18"/>
        </w:rPr>
        <w:t> </w:t>
      </w:r>
      <w:r>
        <w:rPr>
          <w:sz w:val="18"/>
        </w:rPr>
        <w:t>Mexicano” (CPEUM,</w:t>
      </w:r>
      <w:r>
        <w:rPr>
          <w:spacing w:val="-7"/>
          <w:sz w:val="18"/>
        </w:rPr>
        <w:t> </w:t>
      </w:r>
      <w:r>
        <w:rPr>
          <w:sz w:val="18"/>
        </w:rPr>
        <w:t>2016:12).</w:t>
      </w:r>
    </w:p>
    <w:p>
      <w:pPr>
        <w:pStyle w:val="BodyText"/>
        <w:rPr>
          <w:sz w:val="18"/>
        </w:rPr>
      </w:pPr>
    </w:p>
    <w:p>
      <w:pPr>
        <w:pStyle w:val="BodyText"/>
        <w:rPr>
          <w:sz w:val="18"/>
        </w:rPr>
      </w:pPr>
    </w:p>
    <w:p>
      <w:pPr>
        <w:pStyle w:val="BodyText"/>
        <w:rPr>
          <w:sz w:val="18"/>
        </w:rPr>
      </w:pPr>
    </w:p>
    <w:p>
      <w:pPr>
        <w:pStyle w:val="BodyText"/>
        <w:spacing w:line="360" w:lineRule="auto" w:before="114"/>
        <w:ind w:left="102" w:right="115"/>
        <w:jc w:val="both"/>
      </w:pPr>
      <w:r>
        <w:rPr/>
        <w:t>En</w:t>
      </w:r>
      <w:r>
        <w:rPr>
          <w:spacing w:val="-8"/>
        </w:rPr>
        <w:t> </w:t>
      </w:r>
      <w:r>
        <w:rPr/>
        <w:t>este</w:t>
      </w:r>
      <w:r>
        <w:rPr>
          <w:spacing w:val="-8"/>
        </w:rPr>
        <w:t> </w:t>
      </w:r>
      <w:r>
        <w:rPr/>
        <w:t>contexto</w:t>
      </w:r>
      <w:r>
        <w:rPr>
          <w:spacing w:val="-8"/>
        </w:rPr>
        <w:t> </w:t>
      </w:r>
      <w:r>
        <w:rPr/>
        <w:t>es</w:t>
      </w:r>
      <w:r>
        <w:rPr>
          <w:spacing w:val="-9"/>
        </w:rPr>
        <w:t> </w:t>
      </w:r>
      <w:r>
        <w:rPr/>
        <w:t>preciso</w:t>
      </w:r>
      <w:r>
        <w:rPr>
          <w:spacing w:val="-9"/>
        </w:rPr>
        <w:t> </w:t>
      </w:r>
      <w:r>
        <w:rPr/>
        <w:t>resaltar</w:t>
      </w:r>
      <w:r>
        <w:rPr>
          <w:spacing w:val="-10"/>
        </w:rPr>
        <w:t> </w:t>
      </w:r>
      <w:r>
        <w:rPr/>
        <w:t>que</w:t>
      </w:r>
      <w:r>
        <w:rPr>
          <w:spacing w:val="-8"/>
        </w:rPr>
        <w:t> </w:t>
      </w:r>
      <w:r>
        <w:rPr/>
        <w:t>el</w:t>
      </w:r>
      <w:r>
        <w:rPr>
          <w:spacing w:val="-10"/>
        </w:rPr>
        <w:t> </w:t>
      </w:r>
      <w:r>
        <w:rPr/>
        <w:t>derecho</w:t>
      </w:r>
      <w:r>
        <w:rPr>
          <w:spacing w:val="-8"/>
        </w:rPr>
        <w:t> </w:t>
      </w:r>
      <w:r>
        <w:rPr/>
        <w:t>a</w:t>
      </w:r>
      <w:r>
        <w:rPr>
          <w:spacing w:val="-8"/>
        </w:rPr>
        <w:t> </w:t>
      </w:r>
      <w:r>
        <w:rPr/>
        <w:t>la</w:t>
      </w:r>
      <w:r>
        <w:rPr>
          <w:spacing w:val="-9"/>
        </w:rPr>
        <w:t> </w:t>
      </w:r>
      <w:r>
        <w:rPr/>
        <w:t>información</w:t>
      </w:r>
      <w:r>
        <w:rPr>
          <w:spacing w:val="-8"/>
        </w:rPr>
        <w:t> </w:t>
      </w:r>
      <w:r>
        <w:rPr/>
        <w:t>plasmado</w:t>
      </w:r>
      <w:r>
        <w:rPr>
          <w:spacing w:val="-8"/>
        </w:rPr>
        <w:t> </w:t>
      </w:r>
      <w:r>
        <w:rPr/>
        <w:t>en</w:t>
      </w:r>
      <w:r>
        <w:rPr>
          <w:spacing w:val="-8"/>
        </w:rPr>
        <w:t> </w:t>
      </w:r>
      <w:r>
        <w:rPr/>
        <w:t>el artículo 6° de la CPEUM es una fachada legal, en términos de (Goffman, 1981), para</w:t>
      </w:r>
      <w:r>
        <w:rPr>
          <w:spacing w:val="-9"/>
        </w:rPr>
        <w:t> </w:t>
      </w:r>
      <w:r>
        <w:rPr/>
        <w:t>el</w:t>
      </w:r>
      <w:r>
        <w:rPr>
          <w:spacing w:val="-10"/>
        </w:rPr>
        <w:t> </w:t>
      </w:r>
      <w:r>
        <w:rPr/>
        <w:t>discurso</w:t>
      </w:r>
      <w:r>
        <w:rPr>
          <w:spacing w:val="-11"/>
        </w:rPr>
        <w:t> </w:t>
      </w:r>
      <w:r>
        <w:rPr/>
        <w:t>del</w:t>
      </w:r>
      <w:r>
        <w:rPr>
          <w:spacing w:val="-10"/>
        </w:rPr>
        <w:t> </w:t>
      </w:r>
      <w:r>
        <w:rPr/>
        <w:t>gobierno</w:t>
      </w:r>
      <w:r>
        <w:rPr>
          <w:spacing w:val="-8"/>
        </w:rPr>
        <w:t> </w:t>
      </w:r>
      <w:r>
        <w:rPr/>
        <w:t>debido</w:t>
      </w:r>
      <w:r>
        <w:rPr>
          <w:spacing w:val="-8"/>
        </w:rPr>
        <w:t> </w:t>
      </w:r>
      <w:r>
        <w:rPr/>
        <w:t>a</w:t>
      </w:r>
      <w:r>
        <w:rPr>
          <w:spacing w:val="-8"/>
        </w:rPr>
        <w:t> </w:t>
      </w:r>
      <w:r>
        <w:rPr/>
        <w:t>que</w:t>
      </w:r>
      <w:r>
        <w:rPr>
          <w:spacing w:val="-8"/>
        </w:rPr>
        <w:t> </w:t>
      </w:r>
      <w:r>
        <w:rPr/>
        <w:t>en</w:t>
      </w:r>
      <w:r>
        <w:rPr>
          <w:spacing w:val="-11"/>
        </w:rPr>
        <w:t> </w:t>
      </w:r>
      <w:r>
        <w:rPr/>
        <w:t>la</w:t>
      </w:r>
      <w:r>
        <w:rPr>
          <w:spacing w:val="-9"/>
        </w:rPr>
        <w:t> </w:t>
      </w:r>
      <w:r>
        <w:rPr/>
        <w:t>práctica</w:t>
      </w:r>
      <w:r>
        <w:rPr>
          <w:spacing w:val="-9"/>
        </w:rPr>
        <w:t> </w:t>
      </w:r>
      <w:r>
        <w:rPr/>
        <w:t>es</w:t>
      </w:r>
      <w:r>
        <w:rPr>
          <w:spacing w:val="-9"/>
        </w:rPr>
        <w:t> </w:t>
      </w:r>
      <w:r>
        <w:rPr/>
        <w:t>un</w:t>
      </w:r>
      <w:r>
        <w:rPr>
          <w:spacing w:val="-8"/>
        </w:rPr>
        <w:t> </w:t>
      </w:r>
      <w:r>
        <w:rPr/>
        <w:t>derecho</w:t>
      </w:r>
      <w:r>
        <w:rPr>
          <w:spacing w:val="-8"/>
        </w:rPr>
        <w:t> </w:t>
      </w:r>
      <w:r>
        <w:rPr/>
        <w:t>que</w:t>
      </w:r>
      <w:r>
        <w:rPr>
          <w:spacing w:val="-8"/>
        </w:rPr>
        <w:t> </w:t>
      </w:r>
      <w:r>
        <w:rPr/>
        <w:t>no</w:t>
      </w:r>
      <w:r>
        <w:rPr>
          <w:spacing w:val="-11"/>
        </w:rPr>
        <w:t> </w:t>
      </w:r>
      <w:r>
        <w:rPr/>
        <w:t>está realmente garantizado en los municipios, ya que la falta de organización de los archivos dificulta tener información actualizada, ordenada e</w:t>
      </w:r>
      <w:r>
        <w:rPr>
          <w:spacing w:val="-30"/>
        </w:rPr>
        <w:t> </w:t>
      </w:r>
      <w:r>
        <w:rPr/>
        <w:t>histórica.</w:t>
      </w:r>
    </w:p>
    <w:p>
      <w:pPr>
        <w:pStyle w:val="BodyText"/>
      </w:pPr>
    </w:p>
    <w:p>
      <w:pPr>
        <w:pStyle w:val="BodyText"/>
      </w:pPr>
    </w:p>
    <w:p>
      <w:pPr>
        <w:pStyle w:val="BodyText"/>
        <w:spacing w:line="360" w:lineRule="auto" w:before="187"/>
        <w:ind w:left="102" w:right="117"/>
        <w:jc w:val="both"/>
      </w:pPr>
      <w:r>
        <w:rPr/>
        <w:t>Asimismo, debido a la ausencia de mecanismos que regulen la organización y conservación de archivos que ha sido un reclamo constante por parte del Instituto Nacional de Acceso a la Información (INAI), de acuerdo con su comunicado publicado el 08 de abril de 2014. Todo ello repercute en la disminución del porcentaje de efectividad de los municipios sobre la información proporcionada a los solicitantes pasando de 96% en 2008 a 87% en 2012; de igual manera, esta situación retrasa el tiempo de respuesta en que los municipios atienden las solicitudes, siendo el sujeto obligado con menor porcentaje de solicitudes de información</w:t>
      </w:r>
      <w:r>
        <w:rPr>
          <w:spacing w:val="-17"/>
        </w:rPr>
        <w:t> </w:t>
      </w:r>
      <w:r>
        <w:rPr/>
        <w:t>atendidas</w:t>
      </w:r>
      <w:r>
        <w:rPr>
          <w:spacing w:val="-18"/>
        </w:rPr>
        <w:t> </w:t>
      </w:r>
      <w:r>
        <w:rPr/>
        <w:t>de</w:t>
      </w:r>
      <w:r>
        <w:rPr>
          <w:spacing w:val="-18"/>
        </w:rPr>
        <w:t> </w:t>
      </w:r>
      <w:r>
        <w:rPr/>
        <w:t>manera</w:t>
      </w:r>
      <w:r>
        <w:rPr>
          <w:spacing w:val="-18"/>
        </w:rPr>
        <w:t> </w:t>
      </w:r>
      <w:r>
        <w:rPr/>
        <w:t>satisfactoria</w:t>
      </w:r>
      <w:r>
        <w:rPr>
          <w:spacing w:val="-15"/>
        </w:rPr>
        <w:t> </w:t>
      </w:r>
      <w:r>
        <w:rPr/>
        <w:t>con</w:t>
      </w:r>
      <w:r>
        <w:rPr>
          <w:spacing w:val="-15"/>
        </w:rPr>
        <w:t> </w:t>
      </w:r>
      <w:r>
        <w:rPr/>
        <w:t>65%</w:t>
      </w:r>
      <w:r>
        <w:rPr>
          <w:spacing w:val="-16"/>
        </w:rPr>
        <w:t> </w:t>
      </w:r>
      <w:r>
        <w:rPr/>
        <w:t>(Informe</w:t>
      </w:r>
      <w:r>
        <w:rPr>
          <w:spacing w:val="-18"/>
        </w:rPr>
        <w:t> </w:t>
      </w:r>
      <w:r>
        <w:rPr/>
        <w:t>INFOEM</w:t>
      </w:r>
      <w:r>
        <w:rPr>
          <w:spacing w:val="-17"/>
        </w:rPr>
        <w:t> </w:t>
      </w:r>
      <w:r>
        <w:rPr/>
        <w:t>2013:42).</w:t>
      </w:r>
    </w:p>
    <w:p>
      <w:pPr>
        <w:pStyle w:val="BodyText"/>
      </w:pPr>
    </w:p>
    <w:p>
      <w:pPr>
        <w:pStyle w:val="BodyText"/>
      </w:pPr>
    </w:p>
    <w:p>
      <w:pPr>
        <w:pStyle w:val="BodyText"/>
        <w:spacing w:line="360" w:lineRule="auto" w:before="185"/>
        <w:ind w:left="102" w:right="117"/>
        <w:jc w:val="both"/>
      </w:pPr>
      <w:r>
        <w:rPr/>
        <w:t>Por tal motivo la transparencia solamente se puede lograr cuando se tiene información y se garantiza el acceso a la misma. En este sentido la falta de organización de archivos, de información histórica y bases de datos son un gran obstáculo para la transparencia (Ackerman, 2008; IFAI, 2014). De igual manera el no contar con indicadores de medición dificulta crear parámetros para su medición y</w:t>
      </w:r>
      <w:r>
        <w:rPr>
          <w:spacing w:val="-12"/>
        </w:rPr>
        <w:t> </w:t>
      </w:r>
      <w:r>
        <w:rPr/>
        <w:t>saber</w:t>
      </w:r>
      <w:r>
        <w:rPr>
          <w:spacing w:val="-10"/>
        </w:rPr>
        <w:t> </w:t>
      </w:r>
      <w:r>
        <w:rPr/>
        <w:t>si</w:t>
      </w:r>
      <w:r>
        <w:rPr>
          <w:spacing w:val="-10"/>
        </w:rPr>
        <w:t> </w:t>
      </w:r>
      <w:r>
        <w:rPr/>
        <w:t>se</w:t>
      </w:r>
      <w:r>
        <w:rPr>
          <w:spacing w:val="-8"/>
        </w:rPr>
        <w:t> </w:t>
      </w:r>
      <w:r>
        <w:rPr/>
        <w:t>está</w:t>
      </w:r>
      <w:r>
        <w:rPr>
          <w:spacing w:val="-8"/>
        </w:rPr>
        <w:t> </w:t>
      </w:r>
      <w:r>
        <w:rPr/>
        <w:t>avanzando</w:t>
      </w:r>
      <w:r>
        <w:rPr>
          <w:spacing w:val="-8"/>
        </w:rPr>
        <w:t> </w:t>
      </w:r>
      <w:r>
        <w:rPr/>
        <w:t>o</w:t>
      </w:r>
      <w:r>
        <w:rPr>
          <w:spacing w:val="-8"/>
        </w:rPr>
        <w:t> </w:t>
      </w:r>
      <w:r>
        <w:rPr/>
        <w:t>retrocediendo</w:t>
      </w:r>
      <w:r>
        <w:rPr>
          <w:spacing w:val="-11"/>
        </w:rPr>
        <w:t> </w:t>
      </w:r>
      <w:r>
        <w:rPr/>
        <w:t>en</w:t>
      </w:r>
      <w:r>
        <w:rPr>
          <w:spacing w:val="-8"/>
        </w:rPr>
        <w:t> </w:t>
      </w:r>
      <w:r>
        <w:rPr/>
        <w:t>materia</w:t>
      </w:r>
      <w:r>
        <w:rPr>
          <w:spacing w:val="-8"/>
        </w:rPr>
        <w:t> </w:t>
      </w:r>
      <w:r>
        <w:rPr/>
        <w:t>de</w:t>
      </w:r>
      <w:r>
        <w:rPr>
          <w:spacing w:val="-8"/>
        </w:rPr>
        <w:t> </w:t>
      </w:r>
      <w:r>
        <w:rPr/>
        <w:t>transparencia</w:t>
      </w:r>
      <w:r>
        <w:rPr>
          <w:spacing w:val="-9"/>
        </w:rPr>
        <w:t> </w:t>
      </w:r>
      <w:r>
        <w:rPr/>
        <w:t>(Barrera, 2010).</w:t>
      </w:r>
    </w:p>
    <w:p>
      <w:pPr>
        <w:spacing w:after="0" w:line="360" w:lineRule="auto"/>
        <w:jc w:val="both"/>
        <w:sectPr>
          <w:pgSz w:w="12240" w:h="15840"/>
          <w:pgMar w:header="0" w:footer="975" w:top="1360" w:bottom="1220" w:left="1600" w:right="1580"/>
        </w:sectPr>
      </w:pPr>
    </w:p>
    <w:p>
      <w:pPr>
        <w:pStyle w:val="BodyText"/>
        <w:spacing w:line="360" w:lineRule="auto" w:before="54"/>
        <w:ind w:left="102" w:right="117"/>
        <w:jc w:val="both"/>
      </w:pPr>
      <w:r>
        <w:rPr/>
        <w:t>El servicio de información y orientación al público por lo regular se concentra en trámites</w:t>
      </w:r>
      <w:r>
        <w:rPr>
          <w:spacing w:val="-16"/>
        </w:rPr>
        <w:t> </w:t>
      </w:r>
      <w:r>
        <w:rPr/>
        <w:t>y</w:t>
      </w:r>
      <w:r>
        <w:rPr>
          <w:spacing w:val="-16"/>
        </w:rPr>
        <w:t> </w:t>
      </w:r>
      <w:r>
        <w:rPr/>
        <w:t>servicios</w:t>
      </w:r>
      <w:r>
        <w:rPr>
          <w:spacing w:val="-14"/>
        </w:rPr>
        <w:t> </w:t>
      </w:r>
      <w:r>
        <w:rPr/>
        <w:t>del</w:t>
      </w:r>
      <w:r>
        <w:rPr>
          <w:spacing w:val="-17"/>
        </w:rPr>
        <w:t> </w:t>
      </w:r>
      <w:r>
        <w:rPr/>
        <w:t>conjunto</w:t>
      </w:r>
      <w:r>
        <w:rPr>
          <w:spacing w:val="-15"/>
        </w:rPr>
        <w:t> </w:t>
      </w:r>
      <w:r>
        <w:rPr/>
        <w:t>de</w:t>
      </w:r>
      <w:r>
        <w:rPr>
          <w:spacing w:val="-15"/>
        </w:rPr>
        <w:t> </w:t>
      </w:r>
      <w:r>
        <w:rPr/>
        <w:t>dependencias</w:t>
      </w:r>
      <w:r>
        <w:rPr>
          <w:spacing w:val="-13"/>
        </w:rPr>
        <w:t> </w:t>
      </w:r>
      <w:r>
        <w:rPr/>
        <w:t>y</w:t>
      </w:r>
      <w:r>
        <w:rPr>
          <w:spacing w:val="-16"/>
        </w:rPr>
        <w:t> </w:t>
      </w:r>
      <w:r>
        <w:rPr/>
        <w:t>organismos</w:t>
      </w:r>
      <w:r>
        <w:rPr>
          <w:spacing w:val="-16"/>
        </w:rPr>
        <w:t> </w:t>
      </w:r>
      <w:r>
        <w:rPr/>
        <w:t>auxiliares</w:t>
      </w:r>
      <w:r>
        <w:rPr>
          <w:spacing w:val="-14"/>
        </w:rPr>
        <w:t> </w:t>
      </w:r>
      <w:r>
        <w:rPr/>
        <w:t>estatales, pero también incluye trámites y servicios de los otros dos poderes, de los órganos autónomos y de los ayuntamientos del estado. La información proporcionada se relaciona con requisitos, costos, tiempos de respuesta, localización de oficinas, en las</w:t>
      </w:r>
      <w:r>
        <w:rPr>
          <w:spacing w:val="-5"/>
        </w:rPr>
        <w:t> </w:t>
      </w:r>
      <w:r>
        <w:rPr/>
        <w:t>que</w:t>
      </w:r>
      <w:r>
        <w:rPr>
          <w:spacing w:val="-5"/>
        </w:rPr>
        <w:t> </w:t>
      </w:r>
      <w:r>
        <w:rPr/>
        <w:t>se</w:t>
      </w:r>
      <w:r>
        <w:rPr>
          <w:spacing w:val="-7"/>
        </w:rPr>
        <w:t> </w:t>
      </w:r>
      <w:r>
        <w:rPr/>
        <w:t>puede</w:t>
      </w:r>
      <w:r>
        <w:rPr>
          <w:spacing w:val="-5"/>
        </w:rPr>
        <w:t> </w:t>
      </w:r>
      <w:r>
        <w:rPr/>
        <w:t>desahogar</w:t>
      </w:r>
      <w:r>
        <w:rPr>
          <w:spacing w:val="-6"/>
        </w:rPr>
        <w:t> </w:t>
      </w:r>
      <w:r>
        <w:rPr/>
        <w:t>el</w:t>
      </w:r>
      <w:r>
        <w:rPr>
          <w:spacing w:val="-6"/>
        </w:rPr>
        <w:t> </w:t>
      </w:r>
      <w:r>
        <w:rPr/>
        <w:t>trámite</w:t>
      </w:r>
      <w:r>
        <w:rPr>
          <w:spacing w:val="-7"/>
        </w:rPr>
        <w:t> </w:t>
      </w:r>
      <w:r>
        <w:rPr/>
        <w:t>en</w:t>
      </w:r>
      <w:r>
        <w:rPr>
          <w:spacing w:val="-7"/>
        </w:rPr>
        <w:t> </w:t>
      </w:r>
      <w:r>
        <w:rPr/>
        <w:t>cuestión</w:t>
      </w:r>
      <w:r>
        <w:rPr>
          <w:spacing w:val="-5"/>
        </w:rPr>
        <w:t> </w:t>
      </w:r>
      <w:r>
        <w:rPr/>
        <w:t>o</w:t>
      </w:r>
      <w:r>
        <w:rPr>
          <w:spacing w:val="-7"/>
        </w:rPr>
        <w:t> </w:t>
      </w:r>
      <w:r>
        <w:rPr/>
        <w:t>conseguir</w:t>
      </w:r>
      <w:r>
        <w:rPr>
          <w:spacing w:val="-7"/>
        </w:rPr>
        <w:t> </w:t>
      </w:r>
      <w:r>
        <w:rPr/>
        <w:t>el</w:t>
      </w:r>
      <w:r>
        <w:rPr>
          <w:spacing w:val="-6"/>
        </w:rPr>
        <w:t> </w:t>
      </w:r>
      <w:r>
        <w:rPr/>
        <w:t>servicio</w:t>
      </w:r>
      <w:r>
        <w:rPr>
          <w:spacing w:val="-5"/>
        </w:rPr>
        <w:t> </w:t>
      </w:r>
      <w:r>
        <w:rPr/>
        <w:t>deseado, horarios de atención, de entre los más relevantes (Barrera,</w:t>
      </w:r>
      <w:r>
        <w:rPr>
          <w:spacing w:val="-21"/>
        </w:rPr>
        <w:t> </w:t>
      </w:r>
      <w:r>
        <w:rPr/>
        <w:t>2010).</w:t>
      </w:r>
    </w:p>
    <w:p>
      <w:pPr>
        <w:pStyle w:val="BodyText"/>
      </w:pPr>
    </w:p>
    <w:p>
      <w:pPr>
        <w:pStyle w:val="BodyText"/>
      </w:pPr>
    </w:p>
    <w:p>
      <w:pPr>
        <w:pStyle w:val="BodyText"/>
        <w:spacing w:before="2"/>
        <w:rPr>
          <w:sz w:val="23"/>
        </w:rPr>
      </w:pPr>
    </w:p>
    <w:p>
      <w:pPr>
        <w:pStyle w:val="BodyText"/>
        <w:spacing w:line="360" w:lineRule="auto" w:before="1"/>
        <w:ind w:left="102" w:right="115"/>
        <w:jc w:val="both"/>
      </w:pPr>
      <w:r>
        <w:rPr/>
        <w:t>La transparencia solamente se puede lograr cuando se garantiza el acceso a la información. En este sentido la falta de organización de archivos, de información histórica y bases de datos son un gran obstáculo para la transparencia (Ackerman, 2008; IFAI, 2014). De igual manera el no contar con indicadores de medición dificulta crear parámetros para su medición y saber si se está avanzando o retrocediendo en materia de transparencia (Barrera, 2010).</w:t>
      </w:r>
    </w:p>
    <w:p>
      <w:pPr>
        <w:pStyle w:val="BodyText"/>
      </w:pPr>
    </w:p>
    <w:p>
      <w:pPr>
        <w:pStyle w:val="BodyText"/>
      </w:pPr>
    </w:p>
    <w:p>
      <w:pPr>
        <w:pStyle w:val="BodyText"/>
        <w:spacing w:line="360" w:lineRule="auto" w:before="185"/>
        <w:ind w:left="102" w:right="120"/>
        <w:jc w:val="both"/>
      </w:pPr>
      <w:r>
        <w:rPr/>
        <w:t>Por su parte Cantú </w:t>
      </w:r>
      <w:r>
        <w:rPr>
          <w:i/>
        </w:rPr>
        <w:t>et. al. </w:t>
      </w:r>
      <w:r>
        <w:rPr/>
        <w:t>(2011), señalan que tras revisar la situación del derecho de acceso a la información plasmado en el artículo 6° de la CPEUM se nota grave problema de incumplimiento, marcado por la falta de un sistema municipal de indicadores</w:t>
      </w:r>
      <w:r>
        <w:rPr>
          <w:spacing w:val="-14"/>
        </w:rPr>
        <w:t> </w:t>
      </w:r>
      <w:r>
        <w:rPr/>
        <w:t>de</w:t>
      </w:r>
      <w:r>
        <w:rPr>
          <w:spacing w:val="-15"/>
        </w:rPr>
        <w:t> </w:t>
      </w:r>
      <w:r>
        <w:rPr/>
        <w:t>gestión</w:t>
      </w:r>
      <w:r>
        <w:rPr>
          <w:spacing w:val="-16"/>
        </w:rPr>
        <w:t> </w:t>
      </w:r>
      <w:r>
        <w:rPr/>
        <w:t>y</w:t>
      </w:r>
      <w:r>
        <w:rPr>
          <w:spacing w:val="-16"/>
        </w:rPr>
        <w:t> </w:t>
      </w:r>
      <w:r>
        <w:rPr/>
        <w:t>de</w:t>
      </w:r>
      <w:r>
        <w:rPr>
          <w:spacing w:val="-13"/>
        </w:rPr>
        <w:t> </w:t>
      </w:r>
      <w:r>
        <w:rPr/>
        <w:t>uso</w:t>
      </w:r>
      <w:r>
        <w:rPr>
          <w:spacing w:val="-13"/>
        </w:rPr>
        <w:t> </w:t>
      </w:r>
      <w:r>
        <w:rPr/>
        <w:t>de</w:t>
      </w:r>
      <w:r>
        <w:rPr>
          <w:spacing w:val="-13"/>
        </w:rPr>
        <w:t> </w:t>
      </w:r>
      <w:r>
        <w:rPr/>
        <w:t>recursos</w:t>
      </w:r>
      <w:r>
        <w:rPr>
          <w:spacing w:val="-16"/>
        </w:rPr>
        <w:t> </w:t>
      </w:r>
      <w:r>
        <w:rPr/>
        <w:t>que</w:t>
      </w:r>
      <w:r>
        <w:rPr>
          <w:spacing w:val="-13"/>
        </w:rPr>
        <w:t> </w:t>
      </w:r>
      <w:r>
        <w:rPr/>
        <w:t>además</w:t>
      </w:r>
      <w:r>
        <w:rPr>
          <w:spacing w:val="-16"/>
        </w:rPr>
        <w:t> </w:t>
      </w:r>
      <w:r>
        <w:rPr/>
        <w:t>de</w:t>
      </w:r>
      <w:r>
        <w:rPr>
          <w:spacing w:val="-13"/>
        </w:rPr>
        <w:t> </w:t>
      </w:r>
      <w:r>
        <w:rPr/>
        <w:t>completo</w:t>
      </w:r>
      <w:r>
        <w:rPr>
          <w:spacing w:val="-13"/>
        </w:rPr>
        <w:t> </w:t>
      </w:r>
      <w:r>
        <w:rPr/>
        <w:t>y</w:t>
      </w:r>
      <w:r>
        <w:rPr>
          <w:spacing w:val="-16"/>
        </w:rPr>
        <w:t> </w:t>
      </w:r>
      <w:r>
        <w:rPr/>
        <w:t>actualizado, sea comparable con otros</w:t>
      </w:r>
      <w:r>
        <w:rPr>
          <w:spacing w:val="-9"/>
        </w:rPr>
        <w:t> </w:t>
      </w:r>
      <w:r>
        <w:rPr/>
        <w:t>municipios.</w:t>
      </w:r>
    </w:p>
    <w:p>
      <w:pPr>
        <w:pStyle w:val="BodyText"/>
      </w:pPr>
    </w:p>
    <w:p>
      <w:pPr>
        <w:pStyle w:val="BodyText"/>
      </w:pPr>
    </w:p>
    <w:p>
      <w:pPr>
        <w:pStyle w:val="BodyText"/>
        <w:spacing w:line="360" w:lineRule="auto" w:before="185"/>
        <w:ind w:left="102" w:right="116"/>
        <w:jc w:val="both"/>
      </w:pPr>
      <w:r>
        <w:rPr/>
        <w:t>En el Estado de México, identificamos algunas investigaciones de la transparencia en relación al acceso de la información, tal es caso de Gudiño </w:t>
      </w:r>
      <w:r>
        <w:rPr>
          <w:i/>
        </w:rPr>
        <w:t>et. al. </w:t>
      </w:r>
      <w:r>
        <w:rPr/>
        <w:t>(2009) que realizan una evaluación el grado de cumplimiento de la ley de transparencia de las 28</w:t>
      </w:r>
      <w:r>
        <w:rPr>
          <w:spacing w:val="-14"/>
        </w:rPr>
        <w:t> </w:t>
      </w:r>
      <w:r>
        <w:rPr/>
        <w:t>dependencias</w:t>
      </w:r>
      <w:r>
        <w:rPr>
          <w:spacing w:val="-17"/>
        </w:rPr>
        <w:t> </w:t>
      </w:r>
      <w:r>
        <w:rPr/>
        <w:t>del</w:t>
      </w:r>
      <w:r>
        <w:rPr>
          <w:spacing w:val="-15"/>
        </w:rPr>
        <w:t> </w:t>
      </w:r>
      <w:r>
        <w:rPr/>
        <w:t>caso</w:t>
      </w:r>
      <w:r>
        <w:rPr>
          <w:spacing w:val="-14"/>
        </w:rPr>
        <w:t> </w:t>
      </w:r>
      <w:r>
        <w:rPr/>
        <w:t>del</w:t>
      </w:r>
      <w:r>
        <w:rPr>
          <w:spacing w:val="-15"/>
        </w:rPr>
        <w:t> </w:t>
      </w:r>
      <w:r>
        <w:rPr/>
        <w:t>Poder</w:t>
      </w:r>
      <w:r>
        <w:rPr>
          <w:spacing w:val="-16"/>
        </w:rPr>
        <w:t> </w:t>
      </w:r>
      <w:r>
        <w:rPr/>
        <w:t>Ejecutivo</w:t>
      </w:r>
      <w:r>
        <w:rPr>
          <w:spacing w:val="-14"/>
        </w:rPr>
        <w:t> </w:t>
      </w:r>
      <w:r>
        <w:rPr/>
        <w:t>del</w:t>
      </w:r>
      <w:r>
        <w:rPr>
          <w:spacing w:val="-14"/>
        </w:rPr>
        <w:t> </w:t>
      </w:r>
      <w:r>
        <w:rPr/>
        <w:t>Estado</w:t>
      </w:r>
      <w:r>
        <w:rPr>
          <w:spacing w:val="-14"/>
        </w:rPr>
        <w:t> </w:t>
      </w:r>
      <w:r>
        <w:rPr/>
        <w:t>de</w:t>
      </w:r>
      <w:r>
        <w:rPr>
          <w:spacing w:val="-14"/>
        </w:rPr>
        <w:t> </w:t>
      </w:r>
      <w:r>
        <w:rPr/>
        <w:t>México.</w:t>
      </w:r>
      <w:r>
        <w:rPr>
          <w:spacing w:val="-14"/>
        </w:rPr>
        <w:t> </w:t>
      </w:r>
      <w:r>
        <w:rPr/>
        <w:t>Barrera</w:t>
      </w:r>
      <w:r>
        <w:rPr>
          <w:spacing w:val="-15"/>
        </w:rPr>
        <w:t> </w:t>
      </w:r>
      <w:r>
        <w:rPr/>
        <w:t>(2010) toda vez que realiza una descripción de la situación que tenía la transparencia del Estado</w:t>
      </w:r>
      <w:r>
        <w:rPr>
          <w:spacing w:val="-14"/>
        </w:rPr>
        <w:t> </w:t>
      </w:r>
      <w:r>
        <w:rPr/>
        <w:t>de</w:t>
      </w:r>
      <w:r>
        <w:rPr>
          <w:spacing w:val="-14"/>
        </w:rPr>
        <w:t> </w:t>
      </w:r>
      <w:r>
        <w:rPr/>
        <w:t>México</w:t>
      </w:r>
      <w:r>
        <w:rPr>
          <w:spacing w:val="-13"/>
        </w:rPr>
        <w:t> </w:t>
      </w:r>
      <w:r>
        <w:rPr/>
        <w:t>en</w:t>
      </w:r>
      <w:r>
        <w:rPr>
          <w:spacing w:val="-14"/>
        </w:rPr>
        <w:t> </w:t>
      </w:r>
      <w:r>
        <w:rPr/>
        <w:t>el</w:t>
      </w:r>
      <w:r>
        <w:rPr>
          <w:spacing w:val="-18"/>
        </w:rPr>
        <w:t> </w:t>
      </w:r>
      <w:r>
        <w:rPr/>
        <w:t>periodo</w:t>
      </w:r>
      <w:r>
        <w:rPr>
          <w:spacing w:val="-16"/>
        </w:rPr>
        <w:t> </w:t>
      </w:r>
      <w:r>
        <w:rPr/>
        <w:t>2004-2008.</w:t>
      </w:r>
      <w:r>
        <w:rPr>
          <w:spacing w:val="-14"/>
        </w:rPr>
        <w:t> </w:t>
      </w:r>
      <w:r>
        <w:rPr/>
        <w:t>Asimismo,</w:t>
      </w:r>
      <w:r>
        <w:rPr>
          <w:spacing w:val="-14"/>
        </w:rPr>
        <w:t> </w:t>
      </w:r>
      <w:r>
        <w:rPr/>
        <w:t>afirma</w:t>
      </w:r>
      <w:r>
        <w:rPr>
          <w:spacing w:val="-14"/>
        </w:rPr>
        <w:t> </w:t>
      </w:r>
      <w:r>
        <w:rPr/>
        <w:t>que</w:t>
      </w:r>
      <w:r>
        <w:rPr>
          <w:spacing w:val="-14"/>
        </w:rPr>
        <w:t> </w:t>
      </w:r>
      <w:r>
        <w:rPr/>
        <w:t>todavía</w:t>
      </w:r>
      <w:r>
        <w:rPr>
          <w:spacing w:val="-14"/>
        </w:rPr>
        <w:t> </w:t>
      </w:r>
      <w:r>
        <w:rPr/>
        <w:t>hace</w:t>
      </w:r>
      <w:r>
        <w:rPr>
          <w:spacing w:val="-17"/>
        </w:rPr>
        <w:t> </w:t>
      </w:r>
      <w:r>
        <w:rPr/>
        <w:t>falta que pasen los años para que se vaya creando una cultura en relación a la transparencia.</w:t>
      </w:r>
    </w:p>
    <w:p>
      <w:pPr>
        <w:spacing w:after="0" w:line="360" w:lineRule="auto"/>
        <w:jc w:val="both"/>
        <w:sectPr>
          <w:pgSz w:w="12240" w:h="15840"/>
          <w:pgMar w:header="0" w:footer="975" w:top="1360" w:bottom="1220" w:left="1600" w:right="1580"/>
        </w:sectPr>
      </w:pPr>
    </w:p>
    <w:p>
      <w:pPr>
        <w:pStyle w:val="BodyText"/>
        <w:rPr>
          <w:sz w:val="20"/>
        </w:rPr>
      </w:pPr>
    </w:p>
    <w:p>
      <w:pPr>
        <w:pStyle w:val="BodyText"/>
        <w:spacing w:before="7"/>
        <w:rPr>
          <w:sz w:val="16"/>
        </w:rPr>
      </w:pPr>
    </w:p>
    <w:p>
      <w:pPr>
        <w:pStyle w:val="BodyText"/>
        <w:spacing w:line="360" w:lineRule="auto" w:before="69"/>
        <w:ind w:left="122" w:right="122"/>
        <w:jc w:val="both"/>
      </w:pPr>
      <w:r>
        <w:rPr/>
        <w:t>Otras investigaciones son las realizadas por Martínez y Heras (2011 y 2012), cuyo análisis permite ver las relaciones que se dan entre la transparencia y el acceso a la información por una parte y la transparencia y rendición de cuentas. Para estas autoras</w:t>
      </w:r>
      <w:r>
        <w:rPr>
          <w:spacing w:val="-12"/>
        </w:rPr>
        <w:t> </w:t>
      </w:r>
      <w:r>
        <w:rPr/>
        <w:t>el</w:t>
      </w:r>
      <w:r>
        <w:rPr>
          <w:spacing w:val="-11"/>
        </w:rPr>
        <w:t> </w:t>
      </w:r>
      <w:r>
        <w:rPr/>
        <w:t>camino</w:t>
      </w:r>
      <w:r>
        <w:rPr>
          <w:spacing w:val="-9"/>
        </w:rPr>
        <w:t> </w:t>
      </w:r>
      <w:r>
        <w:rPr/>
        <w:t>de</w:t>
      </w:r>
      <w:r>
        <w:rPr>
          <w:spacing w:val="-9"/>
        </w:rPr>
        <w:t> </w:t>
      </w:r>
      <w:r>
        <w:rPr/>
        <w:t>la</w:t>
      </w:r>
      <w:r>
        <w:rPr>
          <w:spacing w:val="-12"/>
        </w:rPr>
        <w:t> </w:t>
      </w:r>
      <w:r>
        <w:rPr/>
        <w:t>transparencia</w:t>
      </w:r>
      <w:r>
        <w:rPr>
          <w:spacing w:val="-12"/>
        </w:rPr>
        <w:t> </w:t>
      </w:r>
      <w:r>
        <w:rPr/>
        <w:t>es</w:t>
      </w:r>
      <w:r>
        <w:rPr>
          <w:spacing w:val="-13"/>
        </w:rPr>
        <w:t> </w:t>
      </w:r>
      <w:r>
        <w:rPr/>
        <w:t>algo</w:t>
      </w:r>
      <w:r>
        <w:rPr>
          <w:spacing w:val="-9"/>
        </w:rPr>
        <w:t> </w:t>
      </w:r>
      <w:r>
        <w:rPr/>
        <w:t>que</w:t>
      </w:r>
      <w:r>
        <w:rPr>
          <w:spacing w:val="-9"/>
        </w:rPr>
        <w:t> </w:t>
      </w:r>
      <w:r>
        <w:rPr/>
        <w:t>debe</w:t>
      </w:r>
      <w:r>
        <w:rPr>
          <w:spacing w:val="-9"/>
        </w:rPr>
        <w:t> </w:t>
      </w:r>
      <w:r>
        <w:rPr/>
        <w:t>ser</w:t>
      </w:r>
      <w:r>
        <w:rPr>
          <w:spacing w:val="-11"/>
        </w:rPr>
        <w:t> </w:t>
      </w:r>
      <w:r>
        <w:rPr/>
        <w:t>estudiado</w:t>
      </w:r>
      <w:r>
        <w:rPr>
          <w:spacing w:val="-9"/>
        </w:rPr>
        <w:t> </w:t>
      </w:r>
      <w:r>
        <w:rPr/>
        <w:t>considerando un enfoque más profundo y tiempo de la aplicación de la misma ya que su estudio fue exploratorio y limitado por el poco tiempo en que ha transcurrido su</w:t>
      </w:r>
      <w:r>
        <w:rPr>
          <w:spacing w:val="-26"/>
        </w:rPr>
        <w:t> </w:t>
      </w:r>
      <w:r>
        <w:rPr/>
        <w:t>aplicación.</w:t>
      </w:r>
    </w:p>
    <w:p>
      <w:pPr>
        <w:pStyle w:val="BodyText"/>
      </w:pPr>
    </w:p>
    <w:p>
      <w:pPr>
        <w:pStyle w:val="BodyText"/>
      </w:pPr>
    </w:p>
    <w:p>
      <w:pPr>
        <w:pStyle w:val="BodyText"/>
        <w:spacing w:line="360" w:lineRule="auto" w:before="186"/>
        <w:ind w:left="122" w:right="122"/>
        <w:jc w:val="both"/>
      </w:pPr>
      <w:r>
        <w:rPr/>
        <w:t>Finalmente, Toledo (2009), afirma que uno de los aspectos a considerar después de su investigación debe estar centrado en análisis más profundos, considerando aspectos como la institucionalización de la transparencia y rendición de cuentas.</w:t>
      </w:r>
    </w:p>
    <w:p>
      <w:pPr>
        <w:pStyle w:val="BodyText"/>
      </w:pPr>
    </w:p>
    <w:p>
      <w:pPr>
        <w:pStyle w:val="BodyText"/>
      </w:pPr>
    </w:p>
    <w:p>
      <w:pPr>
        <w:pStyle w:val="Heading1"/>
        <w:spacing w:before="187"/>
        <w:ind w:left="110" w:firstLine="0"/>
      </w:pPr>
      <w:bookmarkStart w:name="_bookmark9" w:id="16"/>
      <w:bookmarkEnd w:id="16"/>
      <w:r>
        <w:rPr>
          <w:b w:val="0"/>
        </w:rPr>
      </w:r>
      <w:r>
        <w:rPr/>
        <w:t>2.3  Generalidades de la transparencia</w:t>
      </w:r>
    </w:p>
    <w:p>
      <w:pPr>
        <w:pStyle w:val="BodyText"/>
        <w:rPr>
          <w:b/>
        </w:rPr>
      </w:pPr>
    </w:p>
    <w:p>
      <w:pPr>
        <w:pStyle w:val="BodyText"/>
        <w:rPr>
          <w:b/>
        </w:rPr>
      </w:pPr>
    </w:p>
    <w:p>
      <w:pPr>
        <w:pStyle w:val="BodyText"/>
        <w:spacing w:line="360" w:lineRule="auto" w:before="158"/>
        <w:ind w:left="122" w:right="113"/>
        <w:jc w:val="both"/>
      </w:pPr>
      <w:r>
        <w:rPr/>
        <w:t>El</w:t>
      </w:r>
      <w:r>
        <w:rPr>
          <w:spacing w:val="-14"/>
        </w:rPr>
        <w:t> </w:t>
      </w:r>
      <w:r>
        <w:rPr/>
        <w:t>origen</w:t>
      </w:r>
      <w:r>
        <w:rPr>
          <w:spacing w:val="-13"/>
        </w:rPr>
        <w:t> </w:t>
      </w:r>
      <w:r>
        <w:rPr/>
        <w:t>de</w:t>
      </w:r>
      <w:r>
        <w:rPr>
          <w:spacing w:val="-13"/>
        </w:rPr>
        <w:t> </w:t>
      </w:r>
      <w:r>
        <w:rPr/>
        <w:t>la</w:t>
      </w:r>
      <w:r>
        <w:rPr>
          <w:spacing w:val="-13"/>
        </w:rPr>
        <w:t> </w:t>
      </w:r>
      <w:r>
        <w:rPr/>
        <w:t>transparencia</w:t>
      </w:r>
      <w:r>
        <w:rPr>
          <w:spacing w:val="-13"/>
        </w:rPr>
        <w:t> </w:t>
      </w:r>
      <w:r>
        <w:rPr/>
        <w:t>es</w:t>
      </w:r>
      <w:r>
        <w:rPr>
          <w:spacing w:val="-14"/>
        </w:rPr>
        <w:t> </w:t>
      </w:r>
      <w:r>
        <w:rPr/>
        <w:t>incierto,</w:t>
      </w:r>
      <w:r>
        <w:rPr>
          <w:spacing w:val="-13"/>
        </w:rPr>
        <w:t> </w:t>
      </w:r>
      <w:r>
        <w:rPr/>
        <w:t>ya</w:t>
      </w:r>
      <w:r>
        <w:rPr>
          <w:spacing w:val="-13"/>
        </w:rPr>
        <w:t> </w:t>
      </w:r>
      <w:r>
        <w:rPr/>
        <w:t>que</w:t>
      </w:r>
      <w:r>
        <w:rPr>
          <w:spacing w:val="-13"/>
        </w:rPr>
        <w:t> </w:t>
      </w:r>
      <w:r>
        <w:rPr/>
        <w:t>aún</w:t>
      </w:r>
      <w:r>
        <w:rPr>
          <w:spacing w:val="-16"/>
        </w:rPr>
        <w:t> </w:t>
      </w:r>
      <w:r>
        <w:rPr/>
        <w:t>no</w:t>
      </w:r>
      <w:r>
        <w:rPr>
          <w:spacing w:val="-13"/>
        </w:rPr>
        <w:t> </w:t>
      </w:r>
      <w:r>
        <w:rPr/>
        <w:t>ha</w:t>
      </w:r>
      <w:r>
        <w:rPr>
          <w:spacing w:val="-13"/>
        </w:rPr>
        <w:t> </w:t>
      </w:r>
      <w:r>
        <w:rPr/>
        <w:t>concluido</w:t>
      </w:r>
      <w:r>
        <w:rPr>
          <w:spacing w:val="-16"/>
        </w:rPr>
        <w:t> </w:t>
      </w:r>
      <w:r>
        <w:rPr/>
        <w:t>el</w:t>
      </w:r>
      <w:r>
        <w:rPr>
          <w:spacing w:val="-14"/>
        </w:rPr>
        <w:t> </w:t>
      </w:r>
      <w:r>
        <w:rPr/>
        <w:t>debate</w:t>
      </w:r>
      <w:r>
        <w:rPr>
          <w:spacing w:val="-13"/>
        </w:rPr>
        <w:t> </w:t>
      </w:r>
      <w:r>
        <w:rPr/>
        <w:t>sobre el</w:t>
      </w:r>
      <w:r>
        <w:rPr>
          <w:spacing w:val="-15"/>
        </w:rPr>
        <w:t> </w:t>
      </w:r>
      <w:r>
        <w:rPr/>
        <w:t>mismo.</w:t>
      </w:r>
      <w:r>
        <w:rPr>
          <w:spacing w:val="-17"/>
        </w:rPr>
        <w:t> </w:t>
      </w:r>
      <w:r>
        <w:rPr/>
        <w:t>De</w:t>
      </w:r>
      <w:r>
        <w:rPr>
          <w:spacing w:val="-19"/>
        </w:rPr>
        <w:t> </w:t>
      </w:r>
      <w:r>
        <w:rPr/>
        <w:t>modo</w:t>
      </w:r>
      <w:r>
        <w:rPr>
          <w:spacing w:val="-14"/>
        </w:rPr>
        <w:t> </w:t>
      </w:r>
      <w:r>
        <w:rPr/>
        <w:t>tal</w:t>
      </w:r>
      <w:r>
        <w:rPr>
          <w:spacing w:val="-18"/>
        </w:rPr>
        <w:t> </w:t>
      </w:r>
      <w:r>
        <w:rPr/>
        <w:t>que</w:t>
      </w:r>
      <w:r>
        <w:rPr>
          <w:spacing w:val="-14"/>
        </w:rPr>
        <w:t> </w:t>
      </w:r>
      <w:r>
        <w:rPr/>
        <w:t>para</w:t>
      </w:r>
      <w:r>
        <w:rPr>
          <w:spacing w:val="-14"/>
        </w:rPr>
        <w:t> </w:t>
      </w:r>
      <w:r>
        <w:rPr/>
        <w:t>Guerrero</w:t>
      </w:r>
      <w:r>
        <w:rPr>
          <w:spacing w:val="-17"/>
        </w:rPr>
        <w:t> </w:t>
      </w:r>
      <w:r>
        <w:rPr/>
        <w:t>G.</w:t>
      </w:r>
      <w:r>
        <w:rPr>
          <w:spacing w:val="-16"/>
        </w:rPr>
        <w:t> </w:t>
      </w:r>
      <w:r>
        <w:rPr/>
        <w:t>(2008)</w:t>
      </w:r>
      <w:r>
        <w:rPr>
          <w:spacing w:val="-16"/>
        </w:rPr>
        <w:t> </w:t>
      </w:r>
      <w:r>
        <w:rPr/>
        <w:t>se</w:t>
      </w:r>
      <w:r>
        <w:rPr>
          <w:spacing w:val="-16"/>
        </w:rPr>
        <w:t> </w:t>
      </w:r>
      <w:r>
        <w:rPr/>
        <w:t>remonta</w:t>
      </w:r>
      <w:r>
        <w:rPr>
          <w:spacing w:val="-17"/>
        </w:rPr>
        <w:t> </w:t>
      </w:r>
      <w:r>
        <w:rPr/>
        <w:t>al</w:t>
      </w:r>
      <w:r>
        <w:rPr>
          <w:spacing w:val="-15"/>
        </w:rPr>
        <w:t> </w:t>
      </w:r>
      <w:r>
        <w:rPr/>
        <w:t>siglo</w:t>
      </w:r>
      <w:r>
        <w:rPr>
          <w:spacing w:val="-14"/>
        </w:rPr>
        <w:t> </w:t>
      </w:r>
      <w:r>
        <w:rPr/>
        <w:t>XVIII</w:t>
      </w:r>
      <w:r>
        <w:rPr>
          <w:spacing w:val="-14"/>
        </w:rPr>
        <w:t> </w:t>
      </w:r>
      <w:r>
        <w:rPr/>
        <w:t>cuando se publicó la primera ley de transparencia en Suecia, en el año de 1766, bajo el nombre de </w:t>
      </w:r>
      <w:r>
        <w:rPr>
          <w:i/>
        </w:rPr>
        <w:t>Freedom of Press and the Right of Access to Public Records Act </w:t>
      </w:r>
      <w:r>
        <w:rPr/>
        <w:t>(Ley para la Libertad de Prensa y el Derecho de Acceso a las Actas Públicas). Por su parte Martínez y Heras (2012) afirman que el origen de la transparencia se encuentra en la propuesta realizada por John Stuart Mill a través del texto </w:t>
      </w:r>
      <w:r>
        <w:rPr>
          <w:i/>
        </w:rPr>
        <w:t>On </w:t>
      </w:r>
      <w:r>
        <w:rPr>
          <w:i/>
        </w:rPr>
        <w:t>Liberty</w:t>
      </w:r>
      <w:r>
        <w:rPr/>
        <w:t>, publicado en Londres en 1816, en el que establece el derecho de los individuos</w:t>
      </w:r>
      <w:r>
        <w:rPr>
          <w:spacing w:val="-9"/>
        </w:rPr>
        <w:t> </w:t>
      </w:r>
      <w:r>
        <w:rPr/>
        <w:t>a</w:t>
      </w:r>
      <w:r>
        <w:rPr>
          <w:spacing w:val="-8"/>
        </w:rPr>
        <w:t> </w:t>
      </w:r>
      <w:r>
        <w:rPr/>
        <w:t>estar</w:t>
      </w:r>
      <w:r>
        <w:rPr>
          <w:spacing w:val="-10"/>
        </w:rPr>
        <w:t> </w:t>
      </w:r>
      <w:r>
        <w:rPr/>
        <w:t>informados</w:t>
      </w:r>
      <w:r>
        <w:rPr>
          <w:spacing w:val="-9"/>
        </w:rPr>
        <w:t> </w:t>
      </w:r>
      <w:r>
        <w:rPr/>
        <w:t>y</w:t>
      </w:r>
      <w:r>
        <w:rPr>
          <w:spacing w:val="-12"/>
        </w:rPr>
        <w:t> </w:t>
      </w:r>
      <w:r>
        <w:rPr/>
        <w:t>expresarse</w:t>
      </w:r>
      <w:r>
        <w:rPr>
          <w:spacing w:val="-9"/>
        </w:rPr>
        <w:t> </w:t>
      </w:r>
      <w:r>
        <w:rPr/>
        <w:t>libremente.</w:t>
      </w:r>
      <w:r>
        <w:rPr>
          <w:spacing w:val="-3"/>
        </w:rPr>
        <w:t> </w:t>
      </w:r>
      <w:r>
        <w:rPr/>
        <w:t>Para</w:t>
      </w:r>
      <w:r>
        <w:rPr>
          <w:spacing w:val="-9"/>
        </w:rPr>
        <w:t> </w:t>
      </w:r>
      <w:r>
        <w:rPr/>
        <w:t>1888</w:t>
      </w:r>
      <w:r>
        <w:rPr>
          <w:spacing w:val="-8"/>
        </w:rPr>
        <w:t> </w:t>
      </w:r>
      <w:r>
        <w:rPr/>
        <w:t>Colombia</w:t>
      </w:r>
      <w:r>
        <w:rPr>
          <w:spacing w:val="-8"/>
        </w:rPr>
        <w:t> </w:t>
      </w:r>
      <w:r>
        <w:rPr/>
        <w:t>publicó lo que se conoce como la segunda ley de</w:t>
      </w:r>
      <w:r>
        <w:rPr>
          <w:spacing w:val="-24"/>
        </w:rPr>
        <w:t> </w:t>
      </w:r>
      <w:r>
        <w:rPr/>
        <w:t>transparencia.</w:t>
      </w:r>
    </w:p>
    <w:p>
      <w:pPr>
        <w:pStyle w:val="BodyText"/>
      </w:pPr>
    </w:p>
    <w:p>
      <w:pPr>
        <w:pStyle w:val="BodyText"/>
      </w:pPr>
    </w:p>
    <w:p>
      <w:pPr>
        <w:pStyle w:val="BodyText"/>
        <w:spacing w:line="360" w:lineRule="auto" w:before="185"/>
        <w:ind w:left="122" w:right="122"/>
        <w:jc w:val="both"/>
      </w:pPr>
      <w:r>
        <w:rPr/>
        <w:t>Empero, es después de la segunda mitad del siglo XX que la transparencia cobra relevancia, debido a los grandes cambios políticos, económicos y sociales originados con la transición de    regímenes autoritarios hacia unos eventualmente</w:t>
      </w:r>
    </w:p>
    <w:p>
      <w:pPr>
        <w:spacing w:after="0" w:line="360" w:lineRule="auto"/>
        <w:jc w:val="both"/>
        <w:sectPr>
          <w:pgSz w:w="12240" w:h="15840"/>
          <w:pgMar w:header="0" w:footer="975" w:top="1500" w:bottom="1220" w:left="1580" w:right="1580"/>
        </w:sectPr>
      </w:pPr>
    </w:p>
    <w:p>
      <w:pPr>
        <w:pStyle w:val="BodyText"/>
        <w:spacing w:line="360" w:lineRule="auto" w:before="54"/>
        <w:ind w:left="102" w:right="118"/>
        <w:jc w:val="both"/>
      </w:pPr>
      <w:r>
        <w:rPr/>
        <w:t>democráticos, en la que aspectos tales como el voto, la participación ciudadana, la legitimidad,</w:t>
      </w:r>
      <w:r>
        <w:rPr>
          <w:spacing w:val="-16"/>
        </w:rPr>
        <w:t> </w:t>
      </w:r>
      <w:r>
        <w:rPr/>
        <w:t>el</w:t>
      </w:r>
      <w:r>
        <w:rPr>
          <w:spacing w:val="-14"/>
        </w:rPr>
        <w:t> </w:t>
      </w:r>
      <w:r>
        <w:rPr/>
        <w:t>acceso</w:t>
      </w:r>
      <w:r>
        <w:rPr>
          <w:spacing w:val="-16"/>
        </w:rPr>
        <w:t> </w:t>
      </w:r>
      <w:r>
        <w:rPr/>
        <w:t>a</w:t>
      </w:r>
      <w:r>
        <w:rPr>
          <w:spacing w:val="-13"/>
        </w:rPr>
        <w:t> </w:t>
      </w:r>
      <w:r>
        <w:rPr/>
        <w:t>la</w:t>
      </w:r>
      <w:r>
        <w:rPr>
          <w:spacing w:val="-13"/>
        </w:rPr>
        <w:t> </w:t>
      </w:r>
      <w:r>
        <w:rPr/>
        <w:t>información,</w:t>
      </w:r>
      <w:r>
        <w:rPr>
          <w:spacing w:val="-13"/>
        </w:rPr>
        <w:t> </w:t>
      </w:r>
      <w:r>
        <w:rPr/>
        <w:t>la</w:t>
      </w:r>
      <w:r>
        <w:rPr>
          <w:spacing w:val="-16"/>
        </w:rPr>
        <w:t> </w:t>
      </w:r>
      <w:r>
        <w:rPr/>
        <w:t>transparencia</w:t>
      </w:r>
      <w:r>
        <w:rPr>
          <w:spacing w:val="-13"/>
        </w:rPr>
        <w:t> </w:t>
      </w:r>
      <w:r>
        <w:rPr/>
        <w:t>y</w:t>
      </w:r>
      <w:r>
        <w:rPr>
          <w:spacing w:val="-16"/>
        </w:rPr>
        <w:t> </w:t>
      </w:r>
      <w:r>
        <w:rPr/>
        <w:t>rendición</w:t>
      </w:r>
      <w:r>
        <w:rPr>
          <w:spacing w:val="-13"/>
        </w:rPr>
        <w:t> </w:t>
      </w:r>
      <w:r>
        <w:rPr/>
        <w:t>de</w:t>
      </w:r>
      <w:r>
        <w:rPr>
          <w:spacing w:val="-13"/>
        </w:rPr>
        <w:t> </w:t>
      </w:r>
      <w:r>
        <w:rPr/>
        <w:t>cuentas</w:t>
      </w:r>
      <w:r>
        <w:rPr>
          <w:spacing w:val="-16"/>
        </w:rPr>
        <w:t> </w:t>
      </w:r>
      <w:r>
        <w:rPr/>
        <w:t>entre otras cosas, son pilares fundamentales para la consolidación de los sistemas políticos democráticos (Guerrero 2008), marcando con ello el origen de una nueva forma</w:t>
      </w:r>
      <w:r>
        <w:rPr>
          <w:spacing w:val="-15"/>
        </w:rPr>
        <w:t> </w:t>
      </w:r>
      <w:r>
        <w:rPr/>
        <w:t>de</w:t>
      </w:r>
      <w:r>
        <w:rPr>
          <w:spacing w:val="-15"/>
        </w:rPr>
        <w:t> </w:t>
      </w:r>
      <w:r>
        <w:rPr/>
        <w:t>organización</w:t>
      </w:r>
      <w:r>
        <w:rPr>
          <w:spacing w:val="-15"/>
        </w:rPr>
        <w:t> </w:t>
      </w:r>
      <w:r>
        <w:rPr/>
        <w:t>pública</w:t>
      </w:r>
      <w:r>
        <w:rPr>
          <w:spacing w:val="-13"/>
        </w:rPr>
        <w:t> </w:t>
      </w:r>
      <w:r>
        <w:rPr/>
        <w:t>y</w:t>
      </w:r>
      <w:r>
        <w:rPr>
          <w:spacing w:val="-16"/>
        </w:rPr>
        <w:t> </w:t>
      </w:r>
      <w:r>
        <w:rPr/>
        <w:t>social</w:t>
      </w:r>
      <w:r>
        <w:rPr>
          <w:spacing w:val="-14"/>
        </w:rPr>
        <w:t> </w:t>
      </w:r>
      <w:r>
        <w:rPr/>
        <w:t>en</w:t>
      </w:r>
      <w:r>
        <w:rPr>
          <w:spacing w:val="-13"/>
        </w:rPr>
        <w:t> </w:t>
      </w:r>
      <w:r>
        <w:rPr/>
        <w:t>la</w:t>
      </w:r>
      <w:r>
        <w:rPr>
          <w:spacing w:val="-13"/>
        </w:rPr>
        <w:t> </w:t>
      </w:r>
      <w:r>
        <w:rPr/>
        <w:t>que</w:t>
      </w:r>
      <w:r>
        <w:rPr>
          <w:spacing w:val="-13"/>
        </w:rPr>
        <w:t> </w:t>
      </w:r>
      <w:r>
        <w:rPr/>
        <w:t>se</w:t>
      </w:r>
      <w:r>
        <w:rPr>
          <w:spacing w:val="-15"/>
        </w:rPr>
        <w:t> </w:t>
      </w:r>
      <w:r>
        <w:rPr/>
        <w:t>podía</w:t>
      </w:r>
      <w:r>
        <w:rPr>
          <w:spacing w:val="-13"/>
        </w:rPr>
        <w:t> </w:t>
      </w:r>
      <w:r>
        <w:rPr/>
        <w:t>hacer</w:t>
      </w:r>
      <w:r>
        <w:rPr>
          <w:spacing w:val="-15"/>
        </w:rPr>
        <w:t> </w:t>
      </w:r>
      <w:r>
        <w:rPr/>
        <w:t>públicos</w:t>
      </w:r>
      <w:r>
        <w:rPr>
          <w:spacing w:val="-14"/>
        </w:rPr>
        <w:t> </w:t>
      </w:r>
      <w:r>
        <w:rPr/>
        <w:t>los</w:t>
      </w:r>
      <w:r>
        <w:rPr>
          <w:spacing w:val="-13"/>
        </w:rPr>
        <w:t> </w:t>
      </w:r>
      <w:r>
        <w:rPr/>
        <w:t>asuntos de interés común manejados por el gobierno y pueden ahora ser constantemente sometidos al escrutinio público por parte de los</w:t>
      </w:r>
      <w:r>
        <w:rPr>
          <w:spacing w:val="-25"/>
        </w:rPr>
        <w:t> </w:t>
      </w:r>
      <w:r>
        <w:rPr/>
        <w:t>ciudadanos.</w:t>
      </w:r>
    </w:p>
    <w:p>
      <w:pPr>
        <w:pStyle w:val="BodyText"/>
      </w:pPr>
    </w:p>
    <w:p>
      <w:pPr>
        <w:pStyle w:val="BodyText"/>
      </w:pPr>
    </w:p>
    <w:p>
      <w:pPr>
        <w:pStyle w:val="BodyText"/>
        <w:spacing w:line="360" w:lineRule="auto" w:before="188"/>
        <w:ind w:left="102" w:right="117"/>
        <w:jc w:val="both"/>
      </w:pPr>
      <w:r>
        <w:rPr/>
        <w:t>Un siglo después, se inicia el proceso a nivel internacional: Finlandia en 1951, Estados</w:t>
      </w:r>
      <w:r>
        <w:rPr>
          <w:spacing w:val="-16"/>
        </w:rPr>
        <w:t> </w:t>
      </w:r>
      <w:r>
        <w:rPr/>
        <w:t>Unidos</w:t>
      </w:r>
      <w:r>
        <w:rPr>
          <w:spacing w:val="-19"/>
        </w:rPr>
        <w:t> </w:t>
      </w:r>
      <w:r>
        <w:rPr/>
        <w:t>en</w:t>
      </w:r>
      <w:r>
        <w:rPr>
          <w:spacing w:val="-18"/>
        </w:rPr>
        <w:t> </w:t>
      </w:r>
      <w:r>
        <w:rPr/>
        <w:t>1966,</w:t>
      </w:r>
      <w:r>
        <w:rPr>
          <w:spacing w:val="-16"/>
        </w:rPr>
        <w:t> </w:t>
      </w:r>
      <w:r>
        <w:rPr/>
        <w:t>Dinamarca</w:t>
      </w:r>
      <w:r>
        <w:rPr>
          <w:spacing w:val="-16"/>
        </w:rPr>
        <w:t> </w:t>
      </w:r>
      <w:r>
        <w:rPr/>
        <w:t>y</w:t>
      </w:r>
      <w:r>
        <w:rPr>
          <w:spacing w:val="-19"/>
        </w:rPr>
        <w:t> </w:t>
      </w:r>
      <w:r>
        <w:rPr/>
        <w:t>Noruega</w:t>
      </w:r>
      <w:r>
        <w:rPr>
          <w:spacing w:val="-16"/>
        </w:rPr>
        <w:t> </w:t>
      </w:r>
      <w:r>
        <w:rPr/>
        <w:t>en</w:t>
      </w:r>
      <w:r>
        <w:rPr>
          <w:spacing w:val="38"/>
        </w:rPr>
        <w:t> </w:t>
      </w:r>
      <w:r>
        <w:rPr/>
        <w:t>1970,</w:t>
      </w:r>
      <w:r>
        <w:rPr>
          <w:spacing w:val="-16"/>
        </w:rPr>
        <w:t> </w:t>
      </w:r>
      <w:r>
        <w:rPr/>
        <w:t>Francia</w:t>
      </w:r>
      <w:r>
        <w:rPr>
          <w:spacing w:val="-18"/>
        </w:rPr>
        <w:t> </w:t>
      </w:r>
      <w:r>
        <w:rPr/>
        <w:t>en</w:t>
      </w:r>
      <w:r>
        <w:rPr>
          <w:spacing w:val="-18"/>
        </w:rPr>
        <w:t> </w:t>
      </w:r>
      <w:r>
        <w:rPr/>
        <w:t>1978,</w:t>
      </w:r>
      <w:r>
        <w:rPr>
          <w:spacing w:val="-16"/>
        </w:rPr>
        <w:t> </w:t>
      </w:r>
      <w:r>
        <w:rPr/>
        <w:t>Australia y Nueva Zelanda en 1982, Austria y Filipinas en 1987, Italia en 1990, Holanda en 1991, Hungría, España y Ucrania en 1992, Portugal en 1993, Belice y Bélgica en 1994,</w:t>
      </w:r>
      <w:r>
        <w:rPr>
          <w:spacing w:val="-11"/>
        </w:rPr>
        <w:t> </w:t>
      </w:r>
      <w:r>
        <w:rPr/>
        <w:t>Islandia</w:t>
      </w:r>
      <w:r>
        <w:rPr>
          <w:spacing w:val="-11"/>
        </w:rPr>
        <w:t> </w:t>
      </w:r>
      <w:r>
        <w:rPr/>
        <w:t>y</w:t>
      </w:r>
      <w:r>
        <w:rPr>
          <w:spacing w:val="-14"/>
        </w:rPr>
        <w:t> </w:t>
      </w:r>
      <w:r>
        <w:rPr/>
        <w:t>Corea</w:t>
      </w:r>
      <w:r>
        <w:rPr>
          <w:spacing w:val="-11"/>
        </w:rPr>
        <w:t> </w:t>
      </w:r>
      <w:r>
        <w:rPr/>
        <w:t>del</w:t>
      </w:r>
      <w:r>
        <w:rPr>
          <w:spacing w:val="-12"/>
        </w:rPr>
        <w:t> </w:t>
      </w:r>
      <w:r>
        <w:rPr/>
        <w:t>Sur</w:t>
      </w:r>
      <w:r>
        <w:rPr>
          <w:spacing w:val="-12"/>
        </w:rPr>
        <w:t> </w:t>
      </w:r>
      <w:r>
        <w:rPr/>
        <w:t>en</w:t>
      </w:r>
      <w:r>
        <w:rPr>
          <w:spacing w:val="-11"/>
        </w:rPr>
        <w:t> </w:t>
      </w:r>
      <w:r>
        <w:rPr/>
        <w:t>1996,</w:t>
      </w:r>
      <w:r>
        <w:rPr>
          <w:spacing w:val="-11"/>
        </w:rPr>
        <w:t> </w:t>
      </w:r>
      <w:r>
        <w:rPr/>
        <w:t>Tailandia</w:t>
      </w:r>
      <w:r>
        <w:rPr>
          <w:spacing w:val="-11"/>
        </w:rPr>
        <w:t> </w:t>
      </w:r>
      <w:r>
        <w:rPr/>
        <w:t>e</w:t>
      </w:r>
      <w:r>
        <w:rPr>
          <w:spacing w:val="-11"/>
        </w:rPr>
        <w:t> </w:t>
      </w:r>
      <w:r>
        <w:rPr/>
        <w:t>Irlanda</w:t>
      </w:r>
      <w:r>
        <w:rPr>
          <w:spacing w:val="-11"/>
        </w:rPr>
        <w:t> </w:t>
      </w:r>
      <w:r>
        <w:rPr/>
        <w:t>en</w:t>
      </w:r>
      <w:r>
        <w:rPr>
          <w:spacing w:val="-11"/>
        </w:rPr>
        <w:t> </w:t>
      </w:r>
      <w:r>
        <w:rPr/>
        <w:t>1997,</w:t>
      </w:r>
      <w:r>
        <w:rPr>
          <w:spacing w:val="-11"/>
        </w:rPr>
        <w:t> </w:t>
      </w:r>
      <w:r>
        <w:rPr/>
        <w:t>Israel</w:t>
      </w:r>
      <w:r>
        <w:rPr>
          <w:spacing w:val="-12"/>
        </w:rPr>
        <w:t> </w:t>
      </w:r>
      <w:r>
        <w:rPr/>
        <w:t>y</w:t>
      </w:r>
      <w:r>
        <w:rPr>
          <w:spacing w:val="-14"/>
        </w:rPr>
        <w:t> </w:t>
      </w:r>
      <w:r>
        <w:rPr/>
        <w:t>Letonia en 1998, República Checa, Albania, Georgia, Grecia, Japón, Trinidad y Tobago, Liechtenstein y Sudáfrica en 1999. El siglo XXI fue escenario de una segunda oleada de países que publicaron su ley entre los que se encuentran los siguientes: Polonia</w:t>
      </w:r>
      <w:r>
        <w:rPr>
          <w:spacing w:val="-6"/>
        </w:rPr>
        <w:t> </w:t>
      </w:r>
      <w:r>
        <w:rPr/>
        <w:t>y</w:t>
      </w:r>
      <w:r>
        <w:rPr>
          <w:spacing w:val="-7"/>
        </w:rPr>
        <w:t> </w:t>
      </w:r>
      <w:r>
        <w:rPr/>
        <w:t>Rumania</w:t>
      </w:r>
      <w:r>
        <w:rPr>
          <w:spacing w:val="-6"/>
        </w:rPr>
        <w:t> </w:t>
      </w:r>
      <w:r>
        <w:rPr/>
        <w:t>en</w:t>
      </w:r>
      <w:r>
        <w:rPr>
          <w:spacing w:val="-6"/>
        </w:rPr>
        <w:t> </w:t>
      </w:r>
      <w:r>
        <w:rPr/>
        <w:t>2001,</w:t>
      </w:r>
      <w:r>
        <w:rPr>
          <w:spacing w:val="-6"/>
        </w:rPr>
        <w:t> </w:t>
      </w:r>
      <w:r>
        <w:rPr/>
        <w:t>Panamá,</w:t>
      </w:r>
      <w:r>
        <w:rPr>
          <w:spacing w:val="-6"/>
        </w:rPr>
        <w:t> </w:t>
      </w:r>
      <w:r>
        <w:rPr/>
        <w:t>Pakistán,</w:t>
      </w:r>
      <w:r>
        <w:rPr>
          <w:spacing w:val="-6"/>
        </w:rPr>
        <w:t> </w:t>
      </w:r>
      <w:r>
        <w:rPr/>
        <w:t>México,</w:t>
      </w:r>
      <w:r>
        <w:rPr>
          <w:spacing w:val="-4"/>
        </w:rPr>
        <w:t> </w:t>
      </w:r>
      <w:r>
        <w:rPr/>
        <w:t>Jamaica,</w:t>
      </w:r>
      <w:r>
        <w:rPr>
          <w:spacing w:val="-8"/>
        </w:rPr>
        <w:t> </w:t>
      </w:r>
      <w:r>
        <w:rPr/>
        <w:t>Perú,</w:t>
      </w:r>
      <w:r>
        <w:rPr>
          <w:spacing w:val="-6"/>
        </w:rPr>
        <w:t> </w:t>
      </w:r>
      <w:r>
        <w:rPr/>
        <w:t>Tayikistán, Uzbekistán, Zimbague y Angola en 2002, Croacia, Kosovo, Armenia, Eslovenia y Turquía en 2003, República Dominicana, Serbia, Suiza, Ecuador, Bosnia y Herzegovina y Antigua Barbuda en 2004, Azerbayán, Alemania, India, Montenegro y Uganda en 2005, Honduras, Kirguistán y Macedonia en 2006 (Guerrero,</w:t>
      </w:r>
      <w:r>
        <w:rPr>
          <w:spacing w:val="-32"/>
        </w:rPr>
        <w:t> </w:t>
      </w:r>
      <w:r>
        <w:rPr/>
        <w:t>2008).</w:t>
      </w:r>
    </w:p>
    <w:p>
      <w:pPr>
        <w:pStyle w:val="BodyText"/>
      </w:pPr>
    </w:p>
    <w:p>
      <w:pPr>
        <w:pStyle w:val="BodyText"/>
      </w:pPr>
    </w:p>
    <w:p>
      <w:pPr>
        <w:pStyle w:val="BodyText"/>
        <w:spacing w:line="360" w:lineRule="auto" w:before="187"/>
        <w:ind w:left="102" w:right="122"/>
        <w:jc w:val="both"/>
      </w:pPr>
      <w:r>
        <w:rPr/>
        <w:t>Dentro del gobierno abierto se inaugura una nueva visión para la transparencia gubernamental, en el que ésta se impulsa hacia un dinamismo y profundización nunca antes vistos (Hofmann </w:t>
      </w:r>
      <w:r>
        <w:rPr>
          <w:i/>
        </w:rPr>
        <w:t>et. al. </w:t>
      </w:r>
      <w:r>
        <w:rPr/>
        <w:t>2012). Al respeto es pertinente señalar que en México el antecedente de la transparencia se da con la reforma constitucional de 1977 que incluyó en el artículo 6 de la Constitución Política de los Estado Unidos Mexicanos (CPEUM) que el derecho a la información sería garantizado por el Estado (López, 2002; Guerrero, 2008; Martínez y Heras, 2010 y 2012; Villanueva, 2012; Pérez, 2012; Peña y Ruelas, 2012). Sin embargo, fue en el contexto de la</w:t>
      </w:r>
    </w:p>
    <w:p>
      <w:pPr>
        <w:spacing w:after="0" w:line="360" w:lineRule="auto"/>
        <w:jc w:val="both"/>
        <w:sectPr>
          <w:pgSz w:w="12240" w:h="15840"/>
          <w:pgMar w:header="0" w:footer="975" w:top="1360" w:bottom="1220" w:left="1600" w:right="1580"/>
        </w:sectPr>
      </w:pPr>
    </w:p>
    <w:p>
      <w:pPr>
        <w:pStyle w:val="BodyText"/>
        <w:spacing w:line="360" w:lineRule="auto" w:before="54"/>
        <w:ind w:left="102" w:right="118"/>
        <w:jc w:val="both"/>
      </w:pPr>
      <w:r>
        <w:rPr/>
        <w:t>alternancia política del año 2000 que el tema de transparencia cobró relevancia, debido a la acumulación de casos de corrupción e impunidad que se tenían en ese momento a lo largo y ancho del país (Villanueva, 2012). Este contexto político permitió que la transparencia se presentara como elemento discursivo y aspiración administrativa para combatir la corrupción en los diversos órdenes de gobierno del país (Peña y Ruelas, 2012).</w:t>
      </w:r>
    </w:p>
    <w:p>
      <w:pPr>
        <w:pStyle w:val="BodyText"/>
      </w:pPr>
    </w:p>
    <w:p>
      <w:pPr>
        <w:pStyle w:val="BodyText"/>
      </w:pPr>
    </w:p>
    <w:p>
      <w:pPr>
        <w:pStyle w:val="BodyText"/>
        <w:spacing w:line="360" w:lineRule="auto" w:before="185"/>
        <w:ind w:left="102" w:right="117"/>
        <w:jc w:val="both"/>
      </w:pPr>
      <w:r>
        <w:rPr/>
        <w:t>Con la iniciativa del Grupo Oaxaca en 2001 sobre la necesidad de reflexionar respecto a que el poder estatal tuviera mayor vigilancia y control por parte de los ciudadanos se dio inicio a una propuesta de ley en materia de transparencia (Ackerman,</w:t>
      </w:r>
      <w:r>
        <w:rPr>
          <w:spacing w:val="-17"/>
        </w:rPr>
        <w:t> </w:t>
      </w:r>
      <w:r>
        <w:rPr/>
        <w:t>2008;</w:t>
      </w:r>
      <w:r>
        <w:rPr>
          <w:spacing w:val="-17"/>
        </w:rPr>
        <w:t> </w:t>
      </w:r>
      <w:r>
        <w:rPr/>
        <w:t>Transparencia</w:t>
      </w:r>
      <w:r>
        <w:rPr>
          <w:spacing w:val="-17"/>
        </w:rPr>
        <w:t> </w:t>
      </w:r>
      <w:r>
        <w:rPr/>
        <w:t>Mexicana,</w:t>
      </w:r>
      <w:r>
        <w:rPr>
          <w:spacing w:val="-17"/>
        </w:rPr>
        <w:t> </w:t>
      </w:r>
      <w:r>
        <w:rPr/>
        <w:t>2011).</w:t>
      </w:r>
      <w:r>
        <w:rPr>
          <w:spacing w:val="-18"/>
        </w:rPr>
        <w:t> </w:t>
      </w:r>
      <w:r>
        <w:rPr/>
        <w:t>De</w:t>
      </w:r>
      <w:r>
        <w:rPr>
          <w:spacing w:val="-19"/>
        </w:rPr>
        <w:t> </w:t>
      </w:r>
      <w:r>
        <w:rPr/>
        <w:t>este</w:t>
      </w:r>
      <w:r>
        <w:rPr>
          <w:spacing w:val="-19"/>
        </w:rPr>
        <w:t> </w:t>
      </w:r>
      <w:r>
        <w:rPr/>
        <w:t>modo</w:t>
      </w:r>
      <w:r>
        <w:rPr>
          <w:spacing w:val="-17"/>
        </w:rPr>
        <w:t> </w:t>
      </w:r>
      <w:r>
        <w:rPr/>
        <w:t>“el</w:t>
      </w:r>
      <w:r>
        <w:rPr>
          <w:spacing w:val="-20"/>
        </w:rPr>
        <w:t> </w:t>
      </w:r>
      <w:r>
        <w:rPr/>
        <w:t>control</w:t>
      </w:r>
      <w:r>
        <w:rPr>
          <w:spacing w:val="-18"/>
        </w:rPr>
        <w:t> </w:t>
      </w:r>
      <w:r>
        <w:rPr/>
        <w:t>efectivo sobre el poder del Estado solo se garantiza cuando la transparencia se adopta, mediante</w:t>
      </w:r>
      <w:r>
        <w:rPr>
          <w:spacing w:val="-7"/>
        </w:rPr>
        <w:t> </w:t>
      </w:r>
      <w:r>
        <w:rPr/>
        <w:t>un</w:t>
      </w:r>
      <w:r>
        <w:rPr>
          <w:spacing w:val="-7"/>
        </w:rPr>
        <w:t> </w:t>
      </w:r>
      <w:r>
        <w:rPr/>
        <w:t>sistema</w:t>
      </w:r>
      <w:r>
        <w:rPr>
          <w:spacing w:val="-9"/>
        </w:rPr>
        <w:t> </w:t>
      </w:r>
      <w:r>
        <w:rPr/>
        <w:t>de</w:t>
      </w:r>
      <w:r>
        <w:rPr>
          <w:spacing w:val="-7"/>
        </w:rPr>
        <w:t> </w:t>
      </w:r>
      <w:r>
        <w:rPr/>
        <w:t>reglas</w:t>
      </w:r>
      <w:r>
        <w:rPr>
          <w:spacing w:val="-7"/>
        </w:rPr>
        <w:t> </w:t>
      </w:r>
      <w:r>
        <w:rPr/>
        <w:t>y</w:t>
      </w:r>
      <w:r>
        <w:rPr>
          <w:spacing w:val="-10"/>
        </w:rPr>
        <w:t> </w:t>
      </w:r>
      <w:r>
        <w:rPr/>
        <w:t>órganos</w:t>
      </w:r>
      <w:r>
        <w:rPr>
          <w:spacing w:val="-8"/>
        </w:rPr>
        <w:t> </w:t>
      </w:r>
      <w:r>
        <w:rPr/>
        <w:t>que</w:t>
      </w:r>
      <w:r>
        <w:rPr>
          <w:spacing w:val="-9"/>
        </w:rPr>
        <w:t> </w:t>
      </w:r>
      <w:r>
        <w:rPr/>
        <w:t>permitan</w:t>
      </w:r>
      <w:r>
        <w:rPr>
          <w:spacing w:val="-9"/>
        </w:rPr>
        <w:t> </w:t>
      </w:r>
      <w:r>
        <w:rPr/>
        <w:t>la</w:t>
      </w:r>
      <w:r>
        <w:rPr>
          <w:spacing w:val="-7"/>
        </w:rPr>
        <w:t> </w:t>
      </w:r>
      <w:r>
        <w:rPr/>
        <w:t>regulación</w:t>
      </w:r>
      <w:r>
        <w:rPr>
          <w:spacing w:val="-9"/>
        </w:rPr>
        <w:t> </w:t>
      </w:r>
      <w:r>
        <w:rPr/>
        <w:t>de</w:t>
      </w:r>
      <w:r>
        <w:rPr>
          <w:spacing w:val="-9"/>
        </w:rPr>
        <w:t> </w:t>
      </w:r>
      <w:r>
        <w:rPr/>
        <w:t>efectividad, para evitar que las autoridades políticas y los cuadros burocráticos se sustraigan a la vista de los ciudadanos” (Uvalle,</w:t>
      </w:r>
      <w:r>
        <w:rPr>
          <w:spacing w:val="-15"/>
        </w:rPr>
        <w:t> </w:t>
      </w:r>
      <w:r>
        <w:rPr/>
        <w:t>2012:26).</w:t>
      </w:r>
    </w:p>
    <w:p>
      <w:pPr>
        <w:pStyle w:val="BodyText"/>
      </w:pPr>
    </w:p>
    <w:p>
      <w:pPr>
        <w:pStyle w:val="BodyText"/>
      </w:pPr>
    </w:p>
    <w:p>
      <w:pPr>
        <w:pStyle w:val="BodyText"/>
        <w:spacing w:line="360" w:lineRule="auto" w:before="185"/>
        <w:ind w:left="102" w:right="123"/>
        <w:jc w:val="both"/>
      </w:pPr>
      <w:r>
        <w:rPr/>
        <w:t>En el año 2002 con la aprobación de la Ley de transparencia y en el 2003 con la creación del Instituto Nacional de Acceso a la Información Pública Gubernamental se fortaleció la obligación del gobierno para transparentar los asuntos públicos al escrutinio de la sociedad, logrando con ello que en el año 2007 todos los estados contaran con una ley de acceso a la información (INAI, 2013).</w:t>
      </w:r>
    </w:p>
    <w:p>
      <w:pPr>
        <w:pStyle w:val="BodyText"/>
        <w:spacing w:line="360" w:lineRule="auto" w:before="163"/>
        <w:ind w:left="102" w:right="117"/>
        <w:jc w:val="both"/>
      </w:pPr>
      <w:r>
        <w:rPr/>
        <w:t>Es importante tener presente que con una política de transparencia gana el</w:t>
      </w:r>
      <w:r>
        <w:rPr>
          <w:spacing w:val="-37"/>
        </w:rPr>
        <w:t> </w:t>
      </w:r>
      <w:r>
        <w:rPr/>
        <w:t>público pero también gana el gobierno, pues a través de la publicidad de sus acciones se pone</w:t>
      </w:r>
      <w:r>
        <w:rPr>
          <w:spacing w:val="-7"/>
        </w:rPr>
        <w:t> </w:t>
      </w:r>
      <w:r>
        <w:rPr/>
        <w:t>en</w:t>
      </w:r>
      <w:r>
        <w:rPr>
          <w:spacing w:val="-9"/>
        </w:rPr>
        <w:t> </w:t>
      </w:r>
      <w:r>
        <w:rPr/>
        <w:t>marcha</w:t>
      </w:r>
      <w:r>
        <w:rPr>
          <w:spacing w:val="-7"/>
        </w:rPr>
        <w:t> </w:t>
      </w:r>
      <w:r>
        <w:rPr/>
        <w:t>un</w:t>
      </w:r>
      <w:r>
        <w:rPr>
          <w:spacing w:val="-9"/>
        </w:rPr>
        <w:t> </w:t>
      </w:r>
      <w:r>
        <w:rPr/>
        <w:t>mecanismo</w:t>
      </w:r>
      <w:r>
        <w:rPr>
          <w:spacing w:val="-7"/>
        </w:rPr>
        <w:t> </w:t>
      </w:r>
      <w:r>
        <w:rPr/>
        <w:t>de</w:t>
      </w:r>
      <w:r>
        <w:rPr>
          <w:spacing w:val="-7"/>
        </w:rPr>
        <w:t> </w:t>
      </w:r>
      <w:r>
        <w:rPr/>
        <w:t>rendición</w:t>
      </w:r>
      <w:r>
        <w:rPr>
          <w:spacing w:val="-9"/>
        </w:rPr>
        <w:t> </w:t>
      </w:r>
      <w:r>
        <w:rPr/>
        <w:t>de</w:t>
      </w:r>
      <w:r>
        <w:rPr>
          <w:spacing w:val="-7"/>
        </w:rPr>
        <w:t> </w:t>
      </w:r>
      <w:r>
        <w:rPr/>
        <w:t>cuentas</w:t>
      </w:r>
      <w:r>
        <w:rPr>
          <w:spacing w:val="-8"/>
        </w:rPr>
        <w:t> </w:t>
      </w:r>
      <w:r>
        <w:rPr/>
        <w:t>que</w:t>
      </w:r>
      <w:r>
        <w:rPr>
          <w:spacing w:val="-9"/>
        </w:rPr>
        <w:t> </w:t>
      </w:r>
      <w:r>
        <w:rPr/>
        <w:t>expone</w:t>
      </w:r>
      <w:r>
        <w:rPr>
          <w:spacing w:val="-12"/>
        </w:rPr>
        <w:t> </w:t>
      </w:r>
      <w:r>
        <w:rPr/>
        <w:t>su</w:t>
      </w:r>
      <w:r>
        <w:rPr>
          <w:spacing w:val="-7"/>
        </w:rPr>
        <w:t> </w:t>
      </w:r>
      <w:r>
        <w:rPr/>
        <w:t>gestión</w:t>
      </w:r>
      <w:r>
        <w:rPr>
          <w:spacing w:val="-9"/>
        </w:rPr>
        <w:t> </w:t>
      </w:r>
      <w:r>
        <w:rPr/>
        <w:t>a</w:t>
      </w:r>
      <w:r>
        <w:rPr>
          <w:spacing w:val="-9"/>
        </w:rPr>
        <w:t> </w:t>
      </w:r>
      <w:r>
        <w:rPr/>
        <w:t>la crítica y deliberación públicas, con lo que se eleva la probabilidad de detectar errores y, a su vez, de prevenirlos o corregirlos. Al final, lo que tendremos será</w:t>
      </w:r>
      <w:r>
        <w:rPr>
          <w:spacing w:val="-33"/>
        </w:rPr>
        <w:t> </w:t>
      </w:r>
      <w:r>
        <w:rPr/>
        <w:t>una gestión gubernamental de mejor calidad (Guerrero, 2008). Por su parte Cabrero (2002)  apunta  que  la  transparencia  permite  establecer  marcos  de  medición</w:t>
      </w:r>
      <w:r>
        <w:rPr>
          <w:spacing w:val="24"/>
        </w:rPr>
        <w:t> </w:t>
      </w:r>
      <w:r>
        <w:rPr/>
        <w:t>y</w:t>
      </w:r>
    </w:p>
    <w:p>
      <w:pPr>
        <w:spacing w:after="0" w:line="360" w:lineRule="auto"/>
        <w:jc w:val="both"/>
        <w:sectPr>
          <w:pgSz w:w="12240" w:h="15840"/>
          <w:pgMar w:header="0" w:footer="975" w:top="1360" w:bottom="1220" w:left="1600" w:right="1580"/>
        </w:sectPr>
      </w:pPr>
    </w:p>
    <w:p>
      <w:pPr>
        <w:pStyle w:val="BodyText"/>
        <w:spacing w:line="362" w:lineRule="auto" w:before="54"/>
        <w:ind w:left="122" w:right="127"/>
        <w:jc w:val="both"/>
      </w:pPr>
      <w:r>
        <w:rPr/>
        <w:t>comparación del desempeño y evitar la duplicación de funciones con lo que se contribuye a una mayor eficiencia gubernamental.</w:t>
      </w:r>
    </w:p>
    <w:p>
      <w:pPr>
        <w:pStyle w:val="BodyText"/>
      </w:pPr>
    </w:p>
    <w:p>
      <w:pPr>
        <w:pStyle w:val="BodyText"/>
      </w:pPr>
    </w:p>
    <w:p>
      <w:pPr>
        <w:pStyle w:val="BodyText"/>
        <w:spacing w:line="360" w:lineRule="auto" w:before="182"/>
        <w:ind w:left="122" w:right="123"/>
        <w:jc w:val="both"/>
      </w:pPr>
      <w:r>
        <w:rPr/>
        <w:t>En este sentido, se describirá a continuación las generalidades de la transparencia para</w:t>
      </w:r>
      <w:r>
        <w:rPr>
          <w:spacing w:val="-20"/>
        </w:rPr>
        <w:t> </w:t>
      </w:r>
      <w:r>
        <w:rPr/>
        <w:t>identificar</w:t>
      </w:r>
      <w:r>
        <w:rPr>
          <w:spacing w:val="-20"/>
        </w:rPr>
        <w:t> </w:t>
      </w:r>
      <w:r>
        <w:rPr/>
        <w:t>cómo</w:t>
      </w:r>
      <w:r>
        <w:rPr>
          <w:spacing w:val="-19"/>
        </w:rPr>
        <w:t> </w:t>
      </w:r>
      <w:r>
        <w:rPr/>
        <w:t>es</w:t>
      </w:r>
      <w:r>
        <w:rPr>
          <w:spacing w:val="-20"/>
        </w:rPr>
        <w:t> </w:t>
      </w:r>
      <w:r>
        <w:rPr/>
        <w:t>que</w:t>
      </w:r>
      <w:r>
        <w:rPr>
          <w:spacing w:val="-19"/>
        </w:rPr>
        <w:t> </w:t>
      </w:r>
      <w:r>
        <w:rPr/>
        <w:t>el</w:t>
      </w:r>
      <w:r>
        <w:rPr>
          <w:spacing w:val="-20"/>
        </w:rPr>
        <w:t> </w:t>
      </w:r>
      <w:r>
        <w:rPr/>
        <w:t>estado</w:t>
      </w:r>
      <w:r>
        <w:rPr>
          <w:spacing w:val="-19"/>
        </w:rPr>
        <w:t> </w:t>
      </w:r>
      <w:r>
        <w:rPr/>
        <w:t>logra</w:t>
      </w:r>
      <w:r>
        <w:rPr>
          <w:spacing w:val="-20"/>
        </w:rPr>
        <w:t> </w:t>
      </w:r>
      <w:r>
        <w:rPr/>
        <w:t>el</w:t>
      </w:r>
      <w:r>
        <w:rPr>
          <w:spacing w:val="-22"/>
        </w:rPr>
        <w:t> </w:t>
      </w:r>
      <w:r>
        <w:rPr/>
        <w:t>control</w:t>
      </w:r>
      <w:r>
        <w:rPr>
          <w:spacing w:val="-20"/>
        </w:rPr>
        <w:t> </w:t>
      </w:r>
      <w:r>
        <w:rPr/>
        <w:t>e</w:t>
      </w:r>
      <w:r>
        <w:rPr>
          <w:spacing w:val="-20"/>
        </w:rPr>
        <w:t> </w:t>
      </w:r>
      <w:r>
        <w:rPr/>
        <w:t>implementación</w:t>
      </w:r>
      <w:r>
        <w:rPr>
          <w:spacing w:val="-19"/>
        </w:rPr>
        <w:t> </w:t>
      </w:r>
      <w:r>
        <w:rPr/>
        <w:t>de</w:t>
      </w:r>
      <w:r>
        <w:rPr>
          <w:spacing w:val="-19"/>
        </w:rPr>
        <w:t> </w:t>
      </w:r>
      <w:r>
        <w:rPr/>
        <w:t>la</w:t>
      </w:r>
      <w:r>
        <w:rPr>
          <w:spacing w:val="-21"/>
        </w:rPr>
        <w:t> </w:t>
      </w:r>
      <w:r>
        <w:rPr/>
        <w:t>misma.</w:t>
      </w:r>
    </w:p>
    <w:p>
      <w:pPr>
        <w:pStyle w:val="BodyText"/>
      </w:pPr>
    </w:p>
    <w:p>
      <w:pPr>
        <w:pStyle w:val="BodyText"/>
      </w:pPr>
    </w:p>
    <w:p>
      <w:pPr>
        <w:pStyle w:val="Heading1"/>
        <w:spacing w:before="185"/>
        <w:ind w:left="110" w:firstLine="0"/>
      </w:pPr>
      <w:r>
        <w:rPr/>
        <w:t>2.3.1   Los problemas de conceptualización de la transparencia</w:t>
      </w:r>
    </w:p>
    <w:p>
      <w:pPr>
        <w:pStyle w:val="BodyText"/>
        <w:rPr>
          <w:b/>
        </w:rPr>
      </w:pPr>
    </w:p>
    <w:p>
      <w:pPr>
        <w:pStyle w:val="BodyText"/>
        <w:rPr>
          <w:b/>
        </w:rPr>
      </w:pPr>
    </w:p>
    <w:p>
      <w:pPr>
        <w:pStyle w:val="BodyText"/>
        <w:spacing w:line="360" w:lineRule="auto" w:before="161"/>
        <w:ind w:left="122" w:right="115"/>
        <w:jc w:val="both"/>
      </w:pPr>
      <w:r>
        <w:rPr/>
        <w:t>La transparencia pese a que es un concepto de uso común en la sociedad actual, se le han atribuido diferentes significados (Guerrero, 2008). Esto se debe a que se ha utilizado más de forma metafórica sobre la actuación de la autoridad gubernamental, que con el rigor conceptual que requiere una categoría de análisis (Barrera, 2010). De modo que ha sido vista como la cualidad de un objeto; como atributo de una persona y; cómo atributo de un grupo o sujeto (Guerrero, 2008). Para fines de esta investigación la transparencia que se considera es la de un atributo</w:t>
      </w:r>
      <w:r>
        <w:rPr>
          <w:spacing w:val="-18"/>
        </w:rPr>
        <w:t> </w:t>
      </w:r>
      <w:r>
        <w:rPr/>
        <w:t>de</w:t>
      </w:r>
      <w:r>
        <w:rPr>
          <w:spacing w:val="-19"/>
        </w:rPr>
        <w:t> </w:t>
      </w:r>
      <w:r>
        <w:rPr/>
        <w:t>un</w:t>
      </w:r>
      <w:r>
        <w:rPr>
          <w:spacing w:val="-19"/>
        </w:rPr>
        <w:t> </w:t>
      </w:r>
      <w:r>
        <w:rPr/>
        <w:t>ente</w:t>
      </w:r>
      <w:r>
        <w:rPr>
          <w:spacing w:val="-17"/>
        </w:rPr>
        <w:t> </w:t>
      </w:r>
      <w:r>
        <w:rPr/>
        <w:t>colectivo,</w:t>
      </w:r>
      <w:r>
        <w:rPr>
          <w:spacing w:val="-17"/>
        </w:rPr>
        <w:t> </w:t>
      </w:r>
      <w:r>
        <w:rPr/>
        <w:t>llámese</w:t>
      </w:r>
      <w:r>
        <w:rPr>
          <w:spacing w:val="-19"/>
        </w:rPr>
        <w:t> </w:t>
      </w:r>
      <w:r>
        <w:rPr/>
        <w:t>gobierno,</w:t>
      </w:r>
      <w:r>
        <w:rPr>
          <w:spacing w:val="-17"/>
        </w:rPr>
        <w:t> </w:t>
      </w:r>
      <w:r>
        <w:rPr/>
        <w:t>empresa</w:t>
      </w:r>
      <w:r>
        <w:rPr>
          <w:spacing w:val="-17"/>
        </w:rPr>
        <w:t> </w:t>
      </w:r>
      <w:r>
        <w:rPr/>
        <w:t>o</w:t>
      </w:r>
      <w:r>
        <w:rPr>
          <w:spacing w:val="-19"/>
        </w:rPr>
        <w:t> </w:t>
      </w:r>
      <w:r>
        <w:rPr/>
        <w:t>asociación</w:t>
      </w:r>
      <w:r>
        <w:rPr>
          <w:spacing w:val="-19"/>
        </w:rPr>
        <w:t> </w:t>
      </w:r>
      <w:r>
        <w:rPr/>
        <w:t>civil,</w:t>
      </w:r>
      <w:r>
        <w:rPr>
          <w:spacing w:val="-17"/>
        </w:rPr>
        <w:t> </w:t>
      </w:r>
      <w:r>
        <w:rPr/>
        <w:t>que</w:t>
      </w:r>
      <w:r>
        <w:rPr>
          <w:spacing w:val="-17"/>
        </w:rPr>
        <w:t> </w:t>
      </w:r>
      <w:r>
        <w:rPr/>
        <w:t>hace pública o entrega la información que le solicitan sobre su funcionamiento, procedimientos, administración de recursos o servicios que ofrece a la</w:t>
      </w:r>
      <w:r>
        <w:rPr>
          <w:spacing w:val="-18"/>
        </w:rPr>
        <w:t> </w:t>
      </w:r>
      <w:r>
        <w:rPr/>
        <w:t>sociedad.</w:t>
      </w:r>
    </w:p>
    <w:p>
      <w:pPr>
        <w:pStyle w:val="BodyText"/>
      </w:pPr>
    </w:p>
    <w:p>
      <w:pPr>
        <w:pStyle w:val="BodyText"/>
      </w:pPr>
    </w:p>
    <w:p>
      <w:pPr>
        <w:pStyle w:val="BodyText"/>
        <w:spacing w:line="360" w:lineRule="auto" w:before="185"/>
        <w:ind w:left="122" w:right="116"/>
        <w:jc w:val="both"/>
      </w:pPr>
      <w:r>
        <w:rPr/>
        <w:t>En</w:t>
      </w:r>
      <w:r>
        <w:rPr>
          <w:spacing w:val="-6"/>
        </w:rPr>
        <w:t> </w:t>
      </w:r>
      <w:r>
        <w:rPr/>
        <w:t>este</w:t>
      </w:r>
      <w:r>
        <w:rPr>
          <w:spacing w:val="-6"/>
        </w:rPr>
        <w:t> </w:t>
      </w:r>
      <w:r>
        <w:rPr/>
        <w:t>sentido</w:t>
      </w:r>
      <w:r>
        <w:rPr>
          <w:spacing w:val="-5"/>
        </w:rPr>
        <w:t> </w:t>
      </w:r>
      <w:r>
        <w:rPr/>
        <w:t>señala</w:t>
      </w:r>
      <w:r>
        <w:rPr>
          <w:spacing w:val="-8"/>
        </w:rPr>
        <w:t> </w:t>
      </w:r>
      <w:r>
        <w:rPr/>
        <w:t>(Barrera,</w:t>
      </w:r>
      <w:r>
        <w:rPr>
          <w:spacing w:val="-6"/>
        </w:rPr>
        <w:t> </w:t>
      </w:r>
      <w:r>
        <w:rPr/>
        <w:t>2010),</w:t>
      </w:r>
      <w:r>
        <w:rPr>
          <w:spacing w:val="-7"/>
        </w:rPr>
        <w:t> </w:t>
      </w:r>
      <w:r>
        <w:rPr/>
        <w:t>cabe</w:t>
      </w:r>
      <w:r>
        <w:rPr>
          <w:spacing w:val="-8"/>
        </w:rPr>
        <w:t> </w:t>
      </w:r>
      <w:r>
        <w:rPr/>
        <w:t>mencionar</w:t>
      </w:r>
      <w:r>
        <w:rPr>
          <w:spacing w:val="-7"/>
        </w:rPr>
        <w:t> </w:t>
      </w:r>
      <w:r>
        <w:rPr/>
        <w:t>que</w:t>
      </w:r>
      <w:r>
        <w:rPr>
          <w:spacing w:val="-6"/>
        </w:rPr>
        <w:t> </w:t>
      </w:r>
      <w:r>
        <w:rPr/>
        <w:t>se</w:t>
      </w:r>
      <w:r>
        <w:rPr>
          <w:spacing w:val="-6"/>
        </w:rPr>
        <w:t> </w:t>
      </w:r>
      <w:r>
        <w:rPr/>
        <w:t>ha</w:t>
      </w:r>
      <w:r>
        <w:rPr>
          <w:spacing w:val="-6"/>
        </w:rPr>
        <w:t> </w:t>
      </w:r>
      <w:r>
        <w:rPr/>
        <w:t>utilizado</w:t>
      </w:r>
      <w:r>
        <w:rPr>
          <w:spacing w:val="-6"/>
        </w:rPr>
        <w:t> </w:t>
      </w:r>
      <w:r>
        <w:rPr/>
        <w:t>más</w:t>
      </w:r>
      <w:r>
        <w:rPr>
          <w:spacing w:val="-7"/>
        </w:rPr>
        <w:t> </w:t>
      </w:r>
      <w:r>
        <w:rPr/>
        <w:t>de forma</w:t>
      </w:r>
      <w:r>
        <w:rPr>
          <w:spacing w:val="-12"/>
        </w:rPr>
        <w:t> </w:t>
      </w:r>
      <w:r>
        <w:rPr/>
        <w:t>metafórica</w:t>
      </w:r>
      <w:r>
        <w:rPr>
          <w:spacing w:val="-9"/>
        </w:rPr>
        <w:t> </w:t>
      </w:r>
      <w:r>
        <w:rPr/>
        <w:t>sobre</w:t>
      </w:r>
      <w:r>
        <w:rPr>
          <w:spacing w:val="-12"/>
        </w:rPr>
        <w:t> </w:t>
      </w:r>
      <w:r>
        <w:rPr/>
        <w:t>la</w:t>
      </w:r>
      <w:r>
        <w:rPr>
          <w:spacing w:val="-10"/>
        </w:rPr>
        <w:t> </w:t>
      </w:r>
      <w:r>
        <w:rPr/>
        <w:t>actuación</w:t>
      </w:r>
      <w:r>
        <w:rPr>
          <w:spacing w:val="-9"/>
        </w:rPr>
        <w:t> </w:t>
      </w:r>
      <w:r>
        <w:rPr/>
        <w:t>de</w:t>
      </w:r>
      <w:r>
        <w:rPr>
          <w:spacing w:val="-9"/>
        </w:rPr>
        <w:t> </w:t>
      </w:r>
      <w:r>
        <w:rPr/>
        <w:t>la</w:t>
      </w:r>
      <w:r>
        <w:rPr>
          <w:spacing w:val="-12"/>
        </w:rPr>
        <w:t> </w:t>
      </w:r>
      <w:r>
        <w:rPr/>
        <w:t>autoridad</w:t>
      </w:r>
      <w:r>
        <w:rPr>
          <w:spacing w:val="-9"/>
        </w:rPr>
        <w:t> </w:t>
      </w:r>
      <w:r>
        <w:rPr/>
        <w:t>gubernamental,</w:t>
      </w:r>
      <w:r>
        <w:rPr>
          <w:spacing w:val="-10"/>
        </w:rPr>
        <w:t> </w:t>
      </w:r>
      <w:r>
        <w:rPr/>
        <w:t>que</w:t>
      </w:r>
      <w:r>
        <w:rPr>
          <w:spacing w:val="-9"/>
        </w:rPr>
        <w:t> </w:t>
      </w:r>
      <w:r>
        <w:rPr/>
        <w:t>con</w:t>
      </w:r>
      <w:r>
        <w:rPr>
          <w:spacing w:val="-9"/>
        </w:rPr>
        <w:t> </w:t>
      </w:r>
      <w:r>
        <w:rPr/>
        <w:t>el</w:t>
      </w:r>
      <w:r>
        <w:rPr>
          <w:spacing w:val="-11"/>
        </w:rPr>
        <w:t> </w:t>
      </w:r>
      <w:r>
        <w:rPr/>
        <w:t>rigor conceptual que requiere una categoría de análisis, es por ello que se le han dado varios significados. Para Richard (2004) es una divulgación activa de información pública; Fox (2005) la define como la obligada publicación de decisiones públicas que tienen los gobiernos. Guerrero (2005) señala que la transparencia debe ser entendida como la acción del gobierno que muestra su funcionamiento y le permite ser sujeto de escrutinio público. Para Vergara (2005) es el compromiso que establece</w:t>
      </w:r>
      <w:r>
        <w:rPr>
          <w:spacing w:val="-7"/>
        </w:rPr>
        <w:t> </w:t>
      </w:r>
      <w:r>
        <w:rPr/>
        <w:t>una</w:t>
      </w:r>
      <w:r>
        <w:rPr>
          <w:spacing w:val="-7"/>
        </w:rPr>
        <w:t> </w:t>
      </w:r>
      <w:r>
        <w:rPr/>
        <w:t>organización</w:t>
      </w:r>
      <w:r>
        <w:rPr>
          <w:spacing w:val="-7"/>
        </w:rPr>
        <w:t> </w:t>
      </w:r>
      <w:r>
        <w:rPr/>
        <w:t>gubernamental</w:t>
      </w:r>
      <w:r>
        <w:rPr>
          <w:spacing w:val="-8"/>
        </w:rPr>
        <w:t> </w:t>
      </w:r>
      <w:r>
        <w:rPr/>
        <w:t>por</w:t>
      </w:r>
      <w:r>
        <w:rPr>
          <w:spacing w:val="-4"/>
        </w:rPr>
        <w:t> </w:t>
      </w:r>
      <w:r>
        <w:rPr/>
        <w:t>dar</w:t>
      </w:r>
      <w:r>
        <w:rPr>
          <w:spacing w:val="-8"/>
        </w:rPr>
        <w:t> </w:t>
      </w:r>
      <w:r>
        <w:rPr/>
        <w:t>a</w:t>
      </w:r>
      <w:r>
        <w:rPr>
          <w:spacing w:val="-7"/>
        </w:rPr>
        <w:t> </w:t>
      </w:r>
      <w:r>
        <w:rPr/>
        <w:t>conocer</w:t>
      </w:r>
      <w:r>
        <w:rPr>
          <w:spacing w:val="-11"/>
        </w:rPr>
        <w:t> </w:t>
      </w:r>
      <w:r>
        <w:rPr/>
        <w:t>al</w:t>
      </w:r>
      <w:r>
        <w:rPr>
          <w:spacing w:val="-8"/>
        </w:rPr>
        <w:t> </w:t>
      </w:r>
      <w:r>
        <w:rPr/>
        <w:t>público</w:t>
      </w:r>
      <w:r>
        <w:rPr>
          <w:spacing w:val="-7"/>
        </w:rPr>
        <w:t> </w:t>
      </w:r>
      <w:r>
        <w:rPr/>
        <w:t>que</w:t>
      </w:r>
      <w:r>
        <w:rPr>
          <w:spacing w:val="-4"/>
        </w:rPr>
        <w:t> </w:t>
      </w:r>
      <w:r>
        <w:rPr/>
        <w:t>solicite la información existente sobre un asunto</w:t>
      </w:r>
      <w:r>
        <w:rPr>
          <w:spacing w:val="-16"/>
        </w:rPr>
        <w:t> </w:t>
      </w:r>
      <w:r>
        <w:rPr/>
        <w:t>público.</w:t>
      </w:r>
    </w:p>
    <w:p>
      <w:pPr>
        <w:spacing w:after="0" w:line="360" w:lineRule="auto"/>
        <w:jc w:val="both"/>
        <w:sectPr>
          <w:pgSz w:w="12240" w:h="15840"/>
          <w:pgMar w:header="0" w:footer="975" w:top="1360" w:bottom="1220" w:left="1580" w:right="1580"/>
        </w:sectPr>
      </w:pPr>
    </w:p>
    <w:p>
      <w:pPr>
        <w:pStyle w:val="BodyText"/>
        <w:spacing w:line="360" w:lineRule="auto" w:before="54"/>
        <w:ind w:left="102" w:right="115"/>
        <w:jc w:val="both"/>
      </w:pPr>
      <w:r>
        <w:rPr/>
        <w:t>Por su parte Aguilar (2008), afirma que la transparencia es una práctica o un instrumento que utilizan las organizaciones para publicar cierto tipo de información o bien, para abrir al público algunos procesos de toma de decisiones. Guerrero (2008) afirma que puede tener tres significados: primero como la cualidad de un objeto; segundo, como característica de una persona y; tercero, como una práctica gubernamental. Ferranti (2009) la define como la disponibilidad y creciente flujo de información oportuna, comprensiva, relevante y de alta calidad relacionada con las actividades gubernamentales.</w:t>
      </w:r>
    </w:p>
    <w:p>
      <w:pPr>
        <w:pStyle w:val="BodyText"/>
      </w:pPr>
    </w:p>
    <w:p>
      <w:pPr>
        <w:pStyle w:val="BodyText"/>
      </w:pPr>
    </w:p>
    <w:p>
      <w:pPr>
        <w:pStyle w:val="BodyText"/>
        <w:spacing w:line="360" w:lineRule="auto" w:before="183"/>
        <w:ind w:left="102" w:right="118"/>
        <w:jc w:val="both"/>
      </w:pPr>
      <w:r>
        <w:rPr/>
        <w:t>Para Fox </w:t>
      </w:r>
      <w:r>
        <w:rPr>
          <w:i/>
        </w:rPr>
        <w:t>et. al. </w:t>
      </w:r>
      <w:r>
        <w:rPr/>
        <w:t>(2011) existen dos tipos: primero, la transparencia clara que refleja cómo se comportan realmente, en la práctica, las instituciones: qué decisiones toman, cómo las toman, a dónde va a dar su dinero y cuáles son los resultados tangibles de sus acciones. Segundo, la transparencia opaca que se refiere a la entrega de información disponible solo nominalmente; es decir, está accesible en teoría</w:t>
      </w:r>
      <w:r>
        <w:rPr>
          <w:spacing w:val="-4"/>
        </w:rPr>
        <w:t> </w:t>
      </w:r>
      <w:r>
        <w:rPr/>
        <w:t>pero</w:t>
      </w:r>
      <w:r>
        <w:rPr>
          <w:spacing w:val="-4"/>
        </w:rPr>
        <w:t> </w:t>
      </w:r>
      <w:r>
        <w:rPr/>
        <w:t>no</w:t>
      </w:r>
      <w:r>
        <w:rPr>
          <w:spacing w:val="-4"/>
        </w:rPr>
        <w:t> </w:t>
      </w:r>
      <w:r>
        <w:rPr/>
        <w:t>en</w:t>
      </w:r>
      <w:r>
        <w:rPr>
          <w:spacing w:val="-4"/>
        </w:rPr>
        <w:t> </w:t>
      </w:r>
      <w:r>
        <w:rPr/>
        <w:t>la</w:t>
      </w:r>
      <w:r>
        <w:rPr>
          <w:spacing w:val="-4"/>
        </w:rPr>
        <w:t> </w:t>
      </w:r>
      <w:r>
        <w:rPr/>
        <w:t>práctica,</w:t>
      </w:r>
      <w:r>
        <w:rPr>
          <w:spacing w:val="-4"/>
        </w:rPr>
        <w:t> </w:t>
      </w:r>
      <w:r>
        <w:rPr/>
        <w:t>son</w:t>
      </w:r>
      <w:r>
        <w:rPr>
          <w:spacing w:val="-4"/>
        </w:rPr>
        <w:t> </w:t>
      </w:r>
      <w:r>
        <w:rPr/>
        <w:t>datos</w:t>
      </w:r>
      <w:r>
        <w:rPr>
          <w:spacing w:val="-4"/>
        </w:rPr>
        <w:t> </w:t>
      </w:r>
      <w:r>
        <w:rPr/>
        <w:t>cuya</w:t>
      </w:r>
      <w:r>
        <w:rPr>
          <w:spacing w:val="-4"/>
        </w:rPr>
        <w:t> </w:t>
      </w:r>
      <w:r>
        <w:rPr/>
        <w:t>significación</w:t>
      </w:r>
      <w:r>
        <w:rPr>
          <w:spacing w:val="-4"/>
        </w:rPr>
        <w:t> </w:t>
      </w:r>
      <w:r>
        <w:rPr/>
        <w:t>no</w:t>
      </w:r>
      <w:r>
        <w:rPr>
          <w:spacing w:val="-4"/>
        </w:rPr>
        <w:t> </w:t>
      </w:r>
      <w:r>
        <w:rPr/>
        <w:t>es</w:t>
      </w:r>
      <w:r>
        <w:rPr>
          <w:spacing w:val="-4"/>
        </w:rPr>
        <w:t> </w:t>
      </w:r>
      <w:r>
        <w:rPr/>
        <w:t>clara</w:t>
      </w:r>
      <w:r>
        <w:rPr>
          <w:spacing w:val="-4"/>
        </w:rPr>
        <w:t> </w:t>
      </w:r>
      <w:r>
        <w:rPr/>
        <w:t>o</w:t>
      </w:r>
      <w:r>
        <w:rPr>
          <w:spacing w:val="-4"/>
        </w:rPr>
        <w:t> </w:t>
      </w:r>
      <w:r>
        <w:rPr/>
        <w:t>información que se difunde pero que resulta no ser</w:t>
      </w:r>
      <w:r>
        <w:rPr>
          <w:spacing w:val="-15"/>
        </w:rPr>
        <w:t> </w:t>
      </w:r>
      <w:r>
        <w:rPr/>
        <w:t>confiable.</w:t>
      </w:r>
    </w:p>
    <w:p>
      <w:pPr>
        <w:pStyle w:val="BodyText"/>
      </w:pPr>
    </w:p>
    <w:p>
      <w:pPr>
        <w:pStyle w:val="BodyText"/>
      </w:pPr>
    </w:p>
    <w:p>
      <w:pPr>
        <w:pStyle w:val="BodyText"/>
        <w:spacing w:line="360" w:lineRule="auto" w:before="185"/>
        <w:ind w:left="102" w:right="121"/>
        <w:jc w:val="both"/>
      </w:pPr>
      <w:r>
        <w:rPr/>
        <w:t>Naessens (2010) además de un valor ético la visualiza como un mecanismo fundamental</w:t>
      </w:r>
      <w:r>
        <w:rPr>
          <w:spacing w:val="-8"/>
        </w:rPr>
        <w:t> </w:t>
      </w:r>
      <w:r>
        <w:rPr/>
        <w:t>de</w:t>
      </w:r>
      <w:r>
        <w:rPr>
          <w:spacing w:val="-11"/>
        </w:rPr>
        <w:t> </w:t>
      </w:r>
      <w:r>
        <w:rPr/>
        <w:t>exigibilidad</w:t>
      </w:r>
      <w:r>
        <w:rPr>
          <w:spacing w:val="-11"/>
        </w:rPr>
        <w:t> </w:t>
      </w:r>
      <w:r>
        <w:rPr/>
        <w:t>pública</w:t>
      </w:r>
      <w:r>
        <w:rPr>
          <w:spacing w:val="-8"/>
        </w:rPr>
        <w:t> </w:t>
      </w:r>
      <w:r>
        <w:rPr/>
        <w:t>y</w:t>
      </w:r>
      <w:r>
        <w:rPr>
          <w:spacing w:val="-12"/>
        </w:rPr>
        <w:t> </w:t>
      </w:r>
      <w:r>
        <w:rPr/>
        <w:t>de</w:t>
      </w:r>
      <w:r>
        <w:rPr>
          <w:spacing w:val="-11"/>
        </w:rPr>
        <w:t> </w:t>
      </w:r>
      <w:r>
        <w:rPr/>
        <w:t>responsabilidad</w:t>
      </w:r>
      <w:r>
        <w:rPr>
          <w:spacing w:val="-11"/>
        </w:rPr>
        <w:t> </w:t>
      </w:r>
      <w:r>
        <w:rPr/>
        <w:t>para</w:t>
      </w:r>
      <w:r>
        <w:rPr>
          <w:spacing w:val="-11"/>
        </w:rPr>
        <w:t> </w:t>
      </w:r>
      <w:r>
        <w:rPr/>
        <w:t>con</w:t>
      </w:r>
      <w:r>
        <w:rPr>
          <w:spacing w:val="-11"/>
        </w:rPr>
        <w:t> </w:t>
      </w:r>
      <w:r>
        <w:rPr/>
        <w:t>la</w:t>
      </w:r>
      <w:r>
        <w:rPr>
          <w:spacing w:val="-13"/>
        </w:rPr>
        <w:t> </w:t>
      </w:r>
      <w:r>
        <w:rPr/>
        <w:t>sociedad.</w:t>
      </w:r>
      <w:r>
        <w:rPr>
          <w:spacing w:val="-11"/>
        </w:rPr>
        <w:t> </w:t>
      </w:r>
      <w:r>
        <w:rPr/>
        <w:t>Para Barrera (2010) la transparencia se puede definir como la cualidad de la gestión pública que se manifiesta en la existencia de archivos que contienen y resguardan evidencias documentales que dan cuenta de información significativa y de calidad, resultado</w:t>
      </w:r>
      <w:r>
        <w:rPr>
          <w:spacing w:val="-8"/>
        </w:rPr>
        <w:t> </w:t>
      </w:r>
      <w:r>
        <w:rPr/>
        <w:t>de</w:t>
      </w:r>
      <w:r>
        <w:rPr>
          <w:spacing w:val="-8"/>
        </w:rPr>
        <w:t> </w:t>
      </w:r>
      <w:r>
        <w:rPr/>
        <w:t>las</w:t>
      </w:r>
      <w:r>
        <w:rPr>
          <w:spacing w:val="-9"/>
        </w:rPr>
        <w:t> </w:t>
      </w:r>
      <w:r>
        <w:rPr/>
        <w:t>tareas</w:t>
      </w:r>
      <w:r>
        <w:rPr>
          <w:spacing w:val="-12"/>
        </w:rPr>
        <w:t> </w:t>
      </w:r>
      <w:r>
        <w:rPr/>
        <w:t>cotidianas</w:t>
      </w:r>
      <w:r>
        <w:rPr>
          <w:spacing w:val="-12"/>
        </w:rPr>
        <w:t> </w:t>
      </w:r>
      <w:r>
        <w:rPr/>
        <w:t>de</w:t>
      </w:r>
      <w:r>
        <w:rPr>
          <w:spacing w:val="-8"/>
        </w:rPr>
        <w:t> </w:t>
      </w:r>
      <w:r>
        <w:rPr/>
        <w:t>la</w:t>
      </w:r>
      <w:r>
        <w:rPr>
          <w:spacing w:val="-9"/>
        </w:rPr>
        <w:t> </w:t>
      </w:r>
      <w:r>
        <w:rPr/>
        <w:t>propia</w:t>
      </w:r>
      <w:r>
        <w:rPr>
          <w:spacing w:val="-11"/>
        </w:rPr>
        <w:t> </w:t>
      </w:r>
      <w:r>
        <w:rPr/>
        <w:t>gestión</w:t>
      </w:r>
      <w:r>
        <w:rPr>
          <w:spacing w:val="-8"/>
        </w:rPr>
        <w:t> </w:t>
      </w:r>
      <w:r>
        <w:rPr/>
        <w:t>pública,</w:t>
      </w:r>
      <w:r>
        <w:rPr>
          <w:spacing w:val="-11"/>
        </w:rPr>
        <w:t> </w:t>
      </w:r>
      <w:r>
        <w:rPr/>
        <w:t>accesible</w:t>
      </w:r>
      <w:r>
        <w:rPr>
          <w:spacing w:val="-8"/>
        </w:rPr>
        <w:t> </w:t>
      </w:r>
      <w:r>
        <w:rPr/>
        <w:t>de</w:t>
      </w:r>
      <w:r>
        <w:rPr>
          <w:spacing w:val="-8"/>
        </w:rPr>
        <w:t> </w:t>
      </w:r>
      <w:r>
        <w:rPr/>
        <w:t>manera tradicional o electrónica (o ambas) a los interesados, sea que pertenezca o no a la propia administración, con la posibilidad de que ésta sea significativa para ser utilizada, entre otras finalidades, para valorar la actuación y el desempeño de las autoridades gubernamentales y de los servidores</w:t>
      </w:r>
      <w:r>
        <w:rPr>
          <w:spacing w:val="-24"/>
        </w:rPr>
        <w:t> </w:t>
      </w:r>
      <w:r>
        <w:rPr/>
        <w:t>públicos.</w:t>
      </w:r>
    </w:p>
    <w:p>
      <w:pPr>
        <w:spacing w:after="0" w:line="360" w:lineRule="auto"/>
        <w:jc w:val="both"/>
        <w:sectPr>
          <w:pgSz w:w="12240" w:h="15840"/>
          <w:pgMar w:header="0" w:footer="975" w:top="1360" w:bottom="1220" w:left="1600" w:right="1580"/>
        </w:sectPr>
      </w:pPr>
    </w:p>
    <w:p>
      <w:pPr>
        <w:pStyle w:val="BodyText"/>
        <w:spacing w:line="360" w:lineRule="auto" w:before="54"/>
        <w:ind w:left="102" w:right="115"/>
        <w:jc w:val="both"/>
      </w:pPr>
      <w:r>
        <w:rPr/>
        <w:t>Transparencia Internacional la define como el estudio de la responsabilidad de los servidores públicos, administradores y fideicomisarios para que estos actúen visiblemente, predeciblemente y comprensivamente. Respecto a las leyes Federal y Estatal en materia de transparencia es importante resaltar que no definen qué es la transparencia. Es pertinente señalar que la falta de definición de la misma se dificulta al vislumbrar sus alcances y limitaciones (Guerrero, 2011).</w:t>
      </w:r>
    </w:p>
    <w:p>
      <w:pPr>
        <w:pStyle w:val="BodyText"/>
      </w:pPr>
    </w:p>
    <w:p>
      <w:pPr>
        <w:pStyle w:val="BodyText"/>
      </w:pPr>
    </w:p>
    <w:p>
      <w:pPr>
        <w:pStyle w:val="BodyText"/>
        <w:spacing w:line="360" w:lineRule="auto" w:before="185"/>
        <w:ind w:left="102" w:right="121"/>
        <w:jc w:val="both"/>
      </w:pPr>
      <w:r>
        <w:rPr/>
        <w:t>Por otra parte, es importante mencionar que dentro de los estudios realizados recientemente</w:t>
      </w:r>
      <w:r>
        <w:rPr>
          <w:spacing w:val="-16"/>
        </w:rPr>
        <w:t> </w:t>
      </w:r>
      <w:r>
        <w:rPr/>
        <w:t>por</w:t>
      </w:r>
      <w:r>
        <w:rPr>
          <w:spacing w:val="-15"/>
        </w:rPr>
        <w:t> </w:t>
      </w:r>
      <w:r>
        <w:rPr/>
        <w:t>Ackerman</w:t>
      </w:r>
      <w:r>
        <w:rPr>
          <w:spacing w:val="-14"/>
        </w:rPr>
        <w:t> </w:t>
      </w:r>
      <w:r>
        <w:rPr/>
        <w:t>(2008),</w:t>
      </w:r>
      <w:r>
        <w:rPr>
          <w:spacing w:val="-18"/>
        </w:rPr>
        <w:t> </w:t>
      </w:r>
      <w:r>
        <w:rPr/>
        <w:t>Barrera</w:t>
      </w:r>
      <w:r>
        <w:rPr>
          <w:spacing w:val="-20"/>
        </w:rPr>
        <w:t> </w:t>
      </w:r>
      <w:r>
        <w:rPr/>
        <w:t>(2010),</w:t>
      </w:r>
      <w:r>
        <w:rPr>
          <w:spacing w:val="-18"/>
        </w:rPr>
        <w:t> </w:t>
      </w:r>
      <w:r>
        <w:rPr/>
        <w:t>Estrada</w:t>
      </w:r>
      <w:r>
        <w:rPr>
          <w:spacing w:val="-14"/>
        </w:rPr>
        <w:t> </w:t>
      </w:r>
      <w:r>
        <w:rPr/>
        <w:t>(2011),</w:t>
      </w:r>
      <w:r>
        <w:rPr>
          <w:spacing w:val="-18"/>
        </w:rPr>
        <w:t> </w:t>
      </w:r>
      <w:r>
        <w:rPr/>
        <w:t>Gault</w:t>
      </w:r>
      <w:r>
        <w:rPr>
          <w:spacing w:val="-17"/>
        </w:rPr>
        <w:t> </w:t>
      </w:r>
      <w:r>
        <w:rPr/>
        <w:t>y</w:t>
      </w:r>
      <w:r>
        <w:rPr>
          <w:spacing w:val="-17"/>
        </w:rPr>
        <w:t> </w:t>
      </w:r>
      <w:r>
        <w:rPr/>
        <w:t>Lepore (2009), Guichot  (2011), Guerrero (2011), López-Ayllón  (2006), Martínez y  </w:t>
      </w:r>
      <w:r>
        <w:rPr>
          <w:spacing w:val="32"/>
        </w:rPr>
        <w:t> </w:t>
      </w:r>
      <w:r>
        <w:rPr/>
        <w:t>Heras</w:t>
      </w:r>
    </w:p>
    <w:p>
      <w:pPr>
        <w:pStyle w:val="BodyText"/>
        <w:spacing w:line="360" w:lineRule="auto" w:before="5"/>
        <w:ind w:left="102" w:right="116"/>
        <w:jc w:val="both"/>
      </w:pPr>
      <w:r>
        <w:rPr/>
        <w:t>(2011</w:t>
      </w:r>
      <w:r>
        <w:rPr>
          <w:spacing w:val="-13"/>
        </w:rPr>
        <w:t> </w:t>
      </w:r>
      <w:r>
        <w:rPr/>
        <w:t>y</w:t>
      </w:r>
      <w:r>
        <w:rPr>
          <w:spacing w:val="-16"/>
        </w:rPr>
        <w:t> </w:t>
      </w:r>
      <w:r>
        <w:rPr/>
        <w:t>2012),</w:t>
      </w:r>
      <w:r>
        <w:rPr>
          <w:spacing w:val="-14"/>
        </w:rPr>
        <w:t> </w:t>
      </w:r>
      <w:r>
        <w:rPr/>
        <w:t>Merino</w:t>
      </w:r>
      <w:r>
        <w:rPr>
          <w:spacing w:val="-13"/>
        </w:rPr>
        <w:t> </w:t>
      </w:r>
      <w:r>
        <w:rPr/>
        <w:t>(2007)</w:t>
      </w:r>
      <w:r>
        <w:rPr>
          <w:spacing w:val="-15"/>
        </w:rPr>
        <w:t> </w:t>
      </w:r>
      <w:r>
        <w:rPr/>
        <w:t>y</w:t>
      </w:r>
      <w:r>
        <w:rPr>
          <w:spacing w:val="-16"/>
        </w:rPr>
        <w:t> </w:t>
      </w:r>
      <w:r>
        <w:rPr/>
        <w:t>Toledo</w:t>
      </w:r>
      <w:r>
        <w:rPr>
          <w:spacing w:val="-13"/>
        </w:rPr>
        <w:t> </w:t>
      </w:r>
      <w:r>
        <w:rPr/>
        <w:t>(2011),</w:t>
      </w:r>
      <w:r>
        <w:rPr>
          <w:spacing w:val="-16"/>
        </w:rPr>
        <w:t> </w:t>
      </w:r>
      <w:r>
        <w:rPr/>
        <w:t>se</w:t>
      </w:r>
      <w:r>
        <w:rPr>
          <w:spacing w:val="-13"/>
        </w:rPr>
        <w:t> </w:t>
      </w:r>
      <w:r>
        <w:rPr/>
        <w:t>ha</w:t>
      </w:r>
      <w:r>
        <w:rPr>
          <w:spacing w:val="-13"/>
        </w:rPr>
        <w:t> </w:t>
      </w:r>
      <w:r>
        <w:rPr/>
        <w:t>considerado</w:t>
      </w:r>
      <w:r>
        <w:rPr>
          <w:spacing w:val="-15"/>
        </w:rPr>
        <w:t> </w:t>
      </w:r>
      <w:r>
        <w:rPr/>
        <w:t>pertinente</w:t>
      </w:r>
      <w:r>
        <w:rPr>
          <w:spacing w:val="-13"/>
        </w:rPr>
        <w:t> </w:t>
      </w:r>
      <w:r>
        <w:rPr/>
        <w:t>abordar la transparencia desde un enfoque integral que permita diagnosticar cuáles son las variables políticas y administrativas que más influyen en su institucionalización, considerando</w:t>
      </w:r>
      <w:r>
        <w:rPr>
          <w:spacing w:val="-7"/>
        </w:rPr>
        <w:t> </w:t>
      </w:r>
      <w:r>
        <w:rPr/>
        <w:t>el</w:t>
      </w:r>
      <w:r>
        <w:rPr>
          <w:spacing w:val="-11"/>
        </w:rPr>
        <w:t> </w:t>
      </w:r>
      <w:r>
        <w:rPr/>
        <w:t>problema</w:t>
      </w:r>
      <w:r>
        <w:rPr>
          <w:spacing w:val="-7"/>
        </w:rPr>
        <w:t> </w:t>
      </w:r>
      <w:r>
        <w:rPr/>
        <w:t>que</w:t>
      </w:r>
      <w:r>
        <w:rPr>
          <w:spacing w:val="-7"/>
        </w:rPr>
        <w:t> </w:t>
      </w:r>
      <w:r>
        <w:rPr/>
        <w:t>se</w:t>
      </w:r>
      <w:r>
        <w:rPr>
          <w:spacing w:val="-9"/>
        </w:rPr>
        <w:t> </w:t>
      </w:r>
      <w:r>
        <w:rPr/>
        <w:t>tienen</w:t>
      </w:r>
      <w:r>
        <w:rPr>
          <w:spacing w:val="-7"/>
        </w:rPr>
        <w:t> </w:t>
      </w:r>
      <w:r>
        <w:rPr/>
        <w:t>respecto</w:t>
      </w:r>
      <w:r>
        <w:rPr>
          <w:spacing w:val="-9"/>
        </w:rPr>
        <w:t> </w:t>
      </w:r>
      <w:r>
        <w:rPr/>
        <w:t>al</w:t>
      </w:r>
      <w:r>
        <w:rPr>
          <w:spacing w:val="-8"/>
        </w:rPr>
        <w:t> </w:t>
      </w:r>
      <w:r>
        <w:rPr/>
        <w:t>control</w:t>
      </w:r>
      <w:r>
        <w:rPr>
          <w:spacing w:val="-8"/>
        </w:rPr>
        <w:t> </w:t>
      </w:r>
      <w:r>
        <w:rPr/>
        <w:t>de</w:t>
      </w:r>
      <w:r>
        <w:rPr>
          <w:spacing w:val="-7"/>
        </w:rPr>
        <w:t> </w:t>
      </w:r>
      <w:r>
        <w:rPr/>
        <w:t>la</w:t>
      </w:r>
      <w:r>
        <w:rPr>
          <w:spacing w:val="-10"/>
        </w:rPr>
        <w:t> </w:t>
      </w:r>
      <w:r>
        <w:rPr/>
        <w:t>documentación,</w:t>
      </w:r>
      <w:r>
        <w:rPr>
          <w:spacing w:val="-10"/>
        </w:rPr>
        <w:t> </w:t>
      </w:r>
      <w:r>
        <w:rPr/>
        <w:t>la voluntad política, las ausencias y contradicciones de la ley y ampliando el periodo de</w:t>
      </w:r>
      <w:r>
        <w:rPr>
          <w:spacing w:val="-17"/>
        </w:rPr>
        <w:t> </w:t>
      </w:r>
      <w:r>
        <w:rPr/>
        <w:t>estudio.</w:t>
      </w:r>
      <w:r>
        <w:rPr>
          <w:spacing w:val="-17"/>
        </w:rPr>
        <w:t> </w:t>
      </w:r>
      <w:r>
        <w:rPr/>
        <w:t>Estas</w:t>
      </w:r>
      <w:r>
        <w:rPr>
          <w:spacing w:val="-17"/>
        </w:rPr>
        <w:t> </w:t>
      </w:r>
      <w:r>
        <w:rPr/>
        <w:t>consideraciones</w:t>
      </w:r>
      <w:r>
        <w:rPr>
          <w:spacing w:val="-17"/>
        </w:rPr>
        <w:t> </w:t>
      </w:r>
      <w:r>
        <w:rPr/>
        <w:t>son</w:t>
      </w:r>
      <w:r>
        <w:rPr>
          <w:spacing w:val="-17"/>
        </w:rPr>
        <w:t> </w:t>
      </w:r>
      <w:r>
        <w:rPr/>
        <w:t>el</w:t>
      </w:r>
      <w:r>
        <w:rPr>
          <w:spacing w:val="-18"/>
        </w:rPr>
        <w:t> </w:t>
      </w:r>
      <w:r>
        <w:rPr/>
        <w:t>punto</w:t>
      </w:r>
      <w:r>
        <w:rPr>
          <w:spacing w:val="-17"/>
        </w:rPr>
        <w:t> </w:t>
      </w:r>
      <w:r>
        <w:rPr/>
        <w:t>central</w:t>
      </w:r>
      <w:r>
        <w:rPr>
          <w:spacing w:val="-20"/>
        </w:rPr>
        <w:t> </w:t>
      </w:r>
      <w:r>
        <w:rPr/>
        <w:t>a</w:t>
      </w:r>
      <w:r>
        <w:rPr>
          <w:spacing w:val="-17"/>
        </w:rPr>
        <w:t> </w:t>
      </w:r>
      <w:r>
        <w:rPr/>
        <w:t>tratar</w:t>
      </w:r>
      <w:r>
        <w:rPr>
          <w:spacing w:val="-18"/>
        </w:rPr>
        <w:t> </w:t>
      </w:r>
      <w:r>
        <w:rPr/>
        <w:t>en</w:t>
      </w:r>
      <w:r>
        <w:rPr>
          <w:spacing w:val="-17"/>
        </w:rPr>
        <w:t> </w:t>
      </w:r>
      <w:r>
        <w:rPr/>
        <w:t>esta</w:t>
      </w:r>
      <w:r>
        <w:rPr>
          <w:spacing w:val="-17"/>
        </w:rPr>
        <w:t> </w:t>
      </w:r>
      <w:r>
        <w:rPr/>
        <w:t>investigación. Dentro de las definiciones que se han realizado sobre la transparencia se pueden agrupar en varios grandes</w:t>
      </w:r>
      <w:r>
        <w:rPr>
          <w:spacing w:val="-10"/>
        </w:rPr>
        <w:t> </w:t>
      </w:r>
      <w:r>
        <w:rPr/>
        <w:t>grupos:</w:t>
      </w:r>
    </w:p>
    <w:p>
      <w:pPr>
        <w:pStyle w:val="BodyText"/>
      </w:pPr>
    </w:p>
    <w:p>
      <w:pPr>
        <w:pStyle w:val="BodyText"/>
      </w:pPr>
    </w:p>
    <w:p>
      <w:pPr>
        <w:pStyle w:val="BodyText"/>
        <w:spacing w:before="7"/>
        <w:rPr>
          <w:sz w:val="19"/>
        </w:rPr>
      </w:pPr>
    </w:p>
    <w:p>
      <w:pPr>
        <w:pStyle w:val="Heading1"/>
        <w:numPr>
          <w:ilvl w:val="0"/>
          <w:numId w:val="22"/>
        </w:numPr>
        <w:tabs>
          <w:tab w:pos="530" w:val="left" w:leader="none"/>
        </w:tabs>
        <w:spacing w:line="240" w:lineRule="auto" w:before="0" w:after="0"/>
        <w:ind w:left="529" w:right="0" w:hanging="360"/>
        <w:jc w:val="both"/>
      </w:pPr>
      <w:r>
        <w:rPr/>
        <w:t>Los que la definen como la publicación de</w:t>
      </w:r>
      <w:r>
        <w:rPr>
          <w:spacing w:val="-10"/>
        </w:rPr>
        <w:t> </w:t>
      </w:r>
      <w:r>
        <w:rPr/>
        <w:t>información</w:t>
      </w:r>
    </w:p>
    <w:p>
      <w:pPr>
        <w:pStyle w:val="BodyText"/>
        <w:rPr>
          <w:b/>
        </w:rPr>
      </w:pPr>
    </w:p>
    <w:p>
      <w:pPr>
        <w:pStyle w:val="BodyText"/>
        <w:rPr>
          <w:b/>
        </w:rPr>
      </w:pPr>
    </w:p>
    <w:p>
      <w:pPr>
        <w:pStyle w:val="BodyText"/>
        <w:spacing w:line="360" w:lineRule="auto" w:before="161"/>
        <w:ind w:left="102" w:right="117"/>
        <w:jc w:val="both"/>
      </w:pPr>
      <w:r>
        <w:rPr/>
        <w:t>Entre los que destacan Richard (2004), para quien la transparencia es una divulgación activa de información pública; Fox (2005) la define como la obligada publicación de decisiones públicas que tienen los gobiernos. Por su parte Aguilar (2008)</w:t>
      </w:r>
      <w:r>
        <w:rPr>
          <w:spacing w:val="-7"/>
        </w:rPr>
        <w:t> </w:t>
      </w:r>
      <w:r>
        <w:rPr/>
        <w:t>afirma</w:t>
      </w:r>
      <w:r>
        <w:rPr>
          <w:spacing w:val="-6"/>
        </w:rPr>
        <w:t> </w:t>
      </w:r>
      <w:r>
        <w:rPr/>
        <w:t>que</w:t>
      </w:r>
      <w:r>
        <w:rPr>
          <w:spacing w:val="-4"/>
        </w:rPr>
        <w:t> </w:t>
      </w:r>
      <w:r>
        <w:rPr/>
        <w:t>la</w:t>
      </w:r>
      <w:r>
        <w:rPr>
          <w:spacing w:val="-6"/>
        </w:rPr>
        <w:t> </w:t>
      </w:r>
      <w:r>
        <w:rPr/>
        <w:t>transparencia</w:t>
      </w:r>
      <w:r>
        <w:rPr>
          <w:spacing w:val="-6"/>
        </w:rPr>
        <w:t> </w:t>
      </w:r>
      <w:r>
        <w:rPr/>
        <w:t>es</w:t>
      </w:r>
      <w:r>
        <w:rPr>
          <w:spacing w:val="-4"/>
        </w:rPr>
        <w:t> </w:t>
      </w:r>
      <w:r>
        <w:rPr/>
        <w:t>una</w:t>
      </w:r>
      <w:r>
        <w:rPr>
          <w:spacing w:val="-6"/>
        </w:rPr>
        <w:t> </w:t>
      </w:r>
      <w:r>
        <w:rPr/>
        <w:t>práctica</w:t>
      </w:r>
      <w:r>
        <w:rPr>
          <w:spacing w:val="-4"/>
        </w:rPr>
        <w:t> </w:t>
      </w:r>
      <w:r>
        <w:rPr/>
        <w:t>o</w:t>
      </w:r>
      <w:r>
        <w:rPr>
          <w:spacing w:val="-6"/>
        </w:rPr>
        <w:t> </w:t>
      </w:r>
      <w:r>
        <w:rPr/>
        <w:t>un</w:t>
      </w:r>
      <w:r>
        <w:rPr>
          <w:spacing w:val="-6"/>
        </w:rPr>
        <w:t> </w:t>
      </w:r>
      <w:r>
        <w:rPr/>
        <w:t>instrumento</w:t>
      </w:r>
      <w:r>
        <w:rPr>
          <w:spacing w:val="-4"/>
        </w:rPr>
        <w:t> </w:t>
      </w:r>
      <w:r>
        <w:rPr/>
        <w:t>que</w:t>
      </w:r>
      <w:r>
        <w:rPr>
          <w:spacing w:val="-4"/>
        </w:rPr>
        <w:t> </w:t>
      </w:r>
      <w:r>
        <w:rPr/>
        <w:t>utilizan</w:t>
      </w:r>
      <w:r>
        <w:rPr>
          <w:spacing w:val="-4"/>
        </w:rPr>
        <w:t> </w:t>
      </w:r>
      <w:r>
        <w:rPr/>
        <w:t>las organizaciones para publicar cierto tipo de información o bien para abrir al público algunos procesos de toma de decisiones. Ferranti (2009) la concibe como la disponibilidad y creciente flujo de información oportuna, comprensiva, relevante y de alta calidad, relacionada con las actividades gubernamentales. Guerrero</w:t>
      </w:r>
      <w:r>
        <w:rPr>
          <w:spacing w:val="17"/>
        </w:rPr>
        <w:t> </w:t>
      </w:r>
      <w:r>
        <w:rPr/>
        <w:t>(2008)</w:t>
      </w:r>
    </w:p>
    <w:p>
      <w:pPr>
        <w:spacing w:after="0" w:line="360" w:lineRule="auto"/>
        <w:jc w:val="both"/>
        <w:sectPr>
          <w:footerReference w:type="default" r:id="rId27"/>
          <w:pgSz w:w="12240" w:h="15840"/>
          <w:pgMar w:footer="1035" w:header="0" w:top="1360" w:bottom="1220" w:left="1600" w:right="1580"/>
        </w:sectPr>
      </w:pPr>
    </w:p>
    <w:p>
      <w:pPr>
        <w:pStyle w:val="BodyText"/>
        <w:spacing w:line="360" w:lineRule="auto" w:before="54"/>
        <w:ind w:left="102" w:right="117"/>
        <w:jc w:val="both"/>
      </w:pPr>
      <w:r>
        <w:rPr/>
        <w:t>señala que es un atributo o cualidad que permite tener información clara y precisa sobre algo o alguien, lo que aumenta nuestras capacidades de comprensión, vigilancia y comunicación. Naessens (2010) la define como un atributo o cualidad que permite tener más información clara y precisa sobre una persona o algo.</w:t>
      </w:r>
    </w:p>
    <w:p>
      <w:pPr>
        <w:pStyle w:val="BodyText"/>
      </w:pPr>
    </w:p>
    <w:p>
      <w:pPr>
        <w:pStyle w:val="BodyText"/>
      </w:pPr>
    </w:p>
    <w:p>
      <w:pPr>
        <w:pStyle w:val="BodyText"/>
        <w:spacing w:line="360" w:lineRule="auto" w:before="185"/>
        <w:ind w:left="102" w:right="122"/>
        <w:jc w:val="both"/>
      </w:pPr>
      <w:r>
        <w:rPr/>
        <w:t>Para</w:t>
      </w:r>
      <w:r>
        <w:rPr>
          <w:spacing w:val="-14"/>
        </w:rPr>
        <w:t> </w:t>
      </w:r>
      <w:r>
        <w:rPr/>
        <w:t>Barrera</w:t>
      </w:r>
      <w:r>
        <w:rPr>
          <w:spacing w:val="-13"/>
        </w:rPr>
        <w:t> </w:t>
      </w:r>
      <w:r>
        <w:rPr/>
        <w:t>(2010)</w:t>
      </w:r>
      <w:r>
        <w:rPr>
          <w:spacing w:val="-15"/>
        </w:rPr>
        <w:t> </w:t>
      </w:r>
      <w:r>
        <w:rPr/>
        <w:t>la</w:t>
      </w:r>
      <w:r>
        <w:rPr>
          <w:spacing w:val="-13"/>
        </w:rPr>
        <w:t> </w:t>
      </w:r>
      <w:r>
        <w:rPr/>
        <w:t>transparencia</w:t>
      </w:r>
      <w:r>
        <w:rPr>
          <w:spacing w:val="-13"/>
        </w:rPr>
        <w:t> </w:t>
      </w:r>
      <w:r>
        <w:rPr/>
        <w:t>se</w:t>
      </w:r>
      <w:r>
        <w:rPr>
          <w:spacing w:val="-13"/>
        </w:rPr>
        <w:t> </w:t>
      </w:r>
      <w:r>
        <w:rPr/>
        <w:t>puede</w:t>
      </w:r>
      <w:r>
        <w:rPr>
          <w:spacing w:val="-13"/>
        </w:rPr>
        <w:t> </w:t>
      </w:r>
      <w:r>
        <w:rPr/>
        <w:t>definir</w:t>
      </w:r>
      <w:r>
        <w:rPr>
          <w:spacing w:val="-15"/>
        </w:rPr>
        <w:t> </w:t>
      </w:r>
      <w:r>
        <w:rPr/>
        <w:t>como</w:t>
      </w:r>
      <w:r>
        <w:rPr>
          <w:spacing w:val="-13"/>
        </w:rPr>
        <w:t> </w:t>
      </w:r>
      <w:r>
        <w:rPr/>
        <w:t>la</w:t>
      </w:r>
      <w:r>
        <w:rPr>
          <w:spacing w:val="-13"/>
        </w:rPr>
        <w:t> </w:t>
      </w:r>
      <w:r>
        <w:rPr/>
        <w:t>cualidad</w:t>
      </w:r>
      <w:r>
        <w:rPr>
          <w:spacing w:val="-13"/>
        </w:rPr>
        <w:t> </w:t>
      </w:r>
      <w:r>
        <w:rPr/>
        <w:t>de</w:t>
      </w:r>
      <w:r>
        <w:rPr>
          <w:spacing w:val="-13"/>
        </w:rPr>
        <w:t> </w:t>
      </w:r>
      <w:r>
        <w:rPr/>
        <w:t>la</w:t>
      </w:r>
      <w:r>
        <w:rPr>
          <w:spacing w:val="-13"/>
        </w:rPr>
        <w:t> </w:t>
      </w:r>
      <w:r>
        <w:rPr/>
        <w:t>gestión pública que se manifiesta en la existencia de archivos que contienen y resguardan evidencias documentales que dan cuenta de información significativa y de calidad, resultado</w:t>
      </w:r>
      <w:r>
        <w:rPr>
          <w:spacing w:val="-8"/>
        </w:rPr>
        <w:t> </w:t>
      </w:r>
      <w:r>
        <w:rPr/>
        <w:t>de</w:t>
      </w:r>
      <w:r>
        <w:rPr>
          <w:spacing w:val="-8"/>
        </w:rPr>
        <w:t> </w:t>
      </w:r>
      <w:r>
        <w:rPr/>
        <w:t>las</w:t>
      </w:r>
      <w:r>
        <w:rPr>
          <w:spacing w:val="-9"/>
        </w:rPr>
        <w:t> </w:t>
      </w:r>
      <w:r>
        <w:rPr/>
        <w:t>tareas</w:t>
      </w:r>
      <w:r>
        <w:rPr>
          <w:spacing w:val="-12"/>
        </w:rPr>
        <w:t> </w:t>
      </w:r>
      <w:r>
        <w:rPr/>
        <w:t>cotidianas</w:t>
      </w:r>
      <w:r>
        <w:rPr>
          <w:spacing w:val="-12"/>
        </w:rPr>
        <w:t> </w:t>
      </w:r>
      <w:r>
        <w:rPr/>
        <w:t>de</w:t>
      </w:r>
      <w:r>
        <w:rPr>
          <w:spacing w:val="-8"/>
        </w:rPr>
        <w:t> </w:t>
      </w:r>
      <w:r>
        <w:rPr/>
        <w:t>la</w:t>
      </w:r>
      <w:r>
        <w:rPr>
          <w:spacing w:val="-9"/>
        </w:rPr>
        <w:t> </w:t>
      </w:r>
      <w:r>
        <w:rPr/>
        <w:t>propia</w:t>
      </w:r>
      <w:r>
        <w:rPr>
          <w:spacing w:val="-11"/>
        </w:rPr>
        <w:t> </w:t>
      </w:r>
      <w:r>
        <w:rPr/>
        <w:t>gestión</w:t>
      </w:r>
      <w:r>
        <w:rPr>
          <w:spacing w:val="-8"/>
        </w:rPr>
        <w:t> </w:t>
      </w:r>
      <w:r>
        <w:rPr/>
        <w:t>pública,</w:t>
      </w:r>
      <w:r>
        <w:rPr>
          <w:spacing w:val="-11"/>
        </w:rPr>
        <w:t> </w:t>
      </w:r>
      <w:r>
        <w:rPr/>
        <w:t>accesible</w:t>
      </w:r>
      <w:r>
        <w:rPr>
          <w:spacing w:val="-8"/>
        </w:rPr>
        <w:t> </w:t>
      </w:r>
      <w:r>
        <w:rPr/>
        <w:t>de</w:t>
      </w:r>
      <w:r>
        <w:rPr>
          <w:spacing w:val="-8"/>
        </w:rPr>
        <w:t> </w:t>
      </w:r>
      <w:r>
        <w:rPr/>
        <w:t>manera tradicional o electrónica (o ambas) a los interesados, sea que pertenezca o no a la propia administración, con la posibilidad de que ésta sea significativa para ser utilizada, entre otras finalidades, para valorar la actuación y el desempeño de las autoridades gubernamentales y de los servidores</w:t>
      </w:r>
      <w:r>
        <w:rPr>
          <w:spacing w:val="-24"/>
        </w:rPr>
        <w:t> </w:t>
      </w:r>
      <w:r>
        <w:rPr/>
        <w:t>públicos.</w:t>
      </w:r>
    </w:p>
    <w:p>
      <w:pPr>
        <w:pStyle w:val="BodyText"/>
      </w:pPr>
    </w:p>
    <w:p>
      <w:pPr>
        <w:pStyle w:val="BodyText"/>
      </w:pPr>
    </w:p>
    <w:p>
      <w:pPr>
        <w:pStyle w:val="BodyText"/>
        <w:spacing w:before="7"/>
        <w:rPr>
          <w:sz w:val="19"/>
        </w:rPr>
      </w:pPr>
    </w:p>
    <w:p>
      <w:pPr>
        <w:pStyle w:val="Heading1"/>
        <w:numPr>
          <w:ilvl w:val="0"/>
          <w:numId w:val="22"/>
        </w:numPr>
        <w:tabs>
          <w:tab w:pos="530" w:val="left" w:leader="none"/>
        </w:tabs>
        <w:spacing w:line="240" w:lineRule="auto" w:before="0" w:after="0"/>
        <w:ind w:left="529" w:right="0" w:hanging="360"/>
        <w:jc w:val="both"/>
      </w:pPr>
      <w:r>
        <w:rPr/>
        <w:t>Los que la definen como variable</w:t>
      </w:r>
      <w:r>
        <w:rPr>
          <w:spacing w:val="-11"/>
        </w:rPr>
        <w:t> </w:t>
      </w:r>
      <w:r>
        <w:rPr/>
        <w:t>democrática</w:t>
      </w:r>
    </w:p>
    <w:p>
      <w:pPr>
        <w:pStyle w:val="BodyText"/>
        <w:rPr>
          <w:b/>
        </w:rPr>
      </w:pPr>
    </w:p>
    <w:p>
      <w:pPr>
        <w:pStyle w:val="BodyText"/>
        <w:rPr>
          <w:b/>
        </w:rPr>
      </w:pPr>
    </w:p>
    <w:p>
      <w:pPr>
        <w:pStyle w:val="BodyText"/>
        <w:spacing w:line="360" w:lineRule="auto" w:before="159"/>
        <w:ind w:left="102" w:right="118"/>
        <w:jc w:val="both"/>
      </w:pPr>
      <w:r>
        <w:rPr/>
        <w:t>La consolidación de la democracia implica mayor transparencia, es por ello que autores</w:t>
      </w:r>
      <w:r>
        <w:rPr>
          <w:spacing w:val="-7"/>
        </w:rPr>
        <w:t> </w:t>
      </w:r>
      <w:r>
        <w:rPr/>
        <w:t>como</w:t>
      </w:r>
      <w:r>
        <w:rPr>
          <w:spacing w:val="-4"/>
        </w:rPr>
        <w:t> </w:t>
      </w:r>
      <w:r>
        <w:rPr/>
        <w:t>Alatorre</w:t>
      </w:r>
      <w:r>
        <w:rPr>
          <w:spacing w:val="-6"/>
        </w:rPr>
        <w:t> </w:t>
      </w:r>
      <w:r>
        <w:rPr/>
        <w:t>(2006),</w:t>
      </w:r>
      <w:r>
        <w:rPr>
          <w:spacing w:val="-5"/>
        </w:rPr>
        <w:t> </w:t>
      </w:r>
      <w:r>
        <w:rPr/>
        <w:t>FDGL</w:t>
      </w:r>
      <w:r>
        <w:rPr>
          <w:spacing w:val="-5"/>
        </w:rPr>
        <w:t> </w:t>
      </w:r>
      <w:r>
        <w:rPr/>
        <w:t>(2011),</w:t>
      </w:r>
      <w:r>
        <w:rPr>
          <w:spacing w:val="-7"/>
        </w:rPr>
        <w:t> </w:t>
      </w:r>
      <w:r>
        <w:rPr/>
        <w:t>Guerrero</w:t>
      </w:r>
      <w:r>
        <w:rPr>
          <w:spacing w:val="-5"/>
        </w:rPr>
        <w:t> </w:t>
      </w:r>
      <w:r>
        <w:rPr/>
        <w:t>(2008),</w:t>
      </w:r>
      <w:r>
        <w:rPr>
          <w:spacing w:val="-7"/>
        </w:rPr>
        <w:t> </w:t>
      </w:r>
      <w:r>
        <w:rPr/>
        <w:t>López-Ayllón</w:t>
      </w:r>
      <w:r>
        <w:rPr>
          <w:spacing w:val="-5"/>
        </w:rPr>
        <w:t> </w:t>
      </w:r>
      <w:r>
        <w:rPr/>
        <w:t>(2006),</w:t>
      </w:r>
    </w:p>
    <w:p>
      <w:pPr>
        <w:pStyle w:val="BodyText"/>
        <w:spacing w:line="360" w:lineRule="auto" w:before="2"/>
        <w:ind w:left="102" w:right="115"/>
        <w:jc w:val="both"/>
      </w:pPr>
      <w:r>
        <w:rPr/>
        <w:t>Merino (2007), Pérez (2007), Plá (1997), Uvalle (2007) señalan que ambas necesitan de la participación ciudadana para madurar, asimismo la falta de participación se convierte en un fuerte obstáculo para su consolidación. Por otra parte,</w:t>
      </w:r>
      <w:r>
        <w:rPr>
          <w:spacing w:val="-18"/>
        </w:rPr>
        <w:t> </w:t>
      </w:r>
      <w:r>
        <w:rPr/>
        <w:t>es</w:t>
      </w:r>
      <w:r>
        <w:rPr>
          <w:spacing w:val="-19"/>
        </w:rPr>
        <w:t> </w:t>
      </w:r>
      <w:r>
        <w:rPr/>
        <w:t>importante</w:t>
      </w:r>
      <w:r>
        <w:rPr>
          <w:spacing w:val="-17"/>
        </w:rPr>
        <w:t> </w:t>
      </w:r>
      <w:r>
        <w:rPr/>
        <w:t>señalar</w:t>
      </w:r>
      <w:r>
        <w:rPr>
          <w:spacing w:val="-17"/>
        </w:rPr>
        <w:t> </w:t>
      </w:r>
      <w:r>
        <w:rPr/>
        <w:t>que</w:t>
      </w:r>
      <w:r>
        <w:rPr>
          <w:spacing w:val="-18"/>
        </w:rPr>
        <w:t> </w:t>
      </w:r>
      <w:r>
        <w:rPr/>
        <w:t>hay</w:t>
      </w:r>
      <w:r>
        <w:rPr>
          <w:spacing w:val="-19"/>
        </w:rPr>
        <w:t> </w:t>
      </w:r>
      <w:r>
        <w:rPr/>
        <w:t>quienes</w:t>
      </w:r>
      <w:r>
        <w:rPr>
          <w:spacing w:val="-19"/>
        </w:rPr>
        <w:t> </w:t>
      </w:r>
      <w:r>
        <w:rPr/>
        <w:t>han</w:t>
      </w:r>
      <w:r>
        <w:rPr>
          <w:spacing w:val="-18"/>
        </w:rPr>
        <w:t> </w:t>
      </w:r>
      <w:r>
        <w:rPr/>
        <w:t>estudiado</w:t>
      </w:r>
      <w:r>
        <w:rPr>
          <w:spacing w:val="-18"/>
        </w:rPr>
        <w:t> </w:t>
      </w:r>
      <w:r>
        <w:rPr/>
        <w:t>a</w:t>
      </w:r>
      <w:r>
        <w:rPr>
          <w:spacing w:val="-16"/>
        </w:rPr>
        <w:t> </w:t>
      </w:r>
      <w:r>
        <w:rPr/>
        <w:t>la</w:t>
      </w:r>
      <w:r>
        <w:rPr>
          <w:spacing w:val="-18"/>
        </w:rPr>
        <w:t> </w:t>
      </w:r>
      <w:r>
        <w:rPr/>
        <w:t>transparencia</w:t>
      </w:r>
      <w:r>
        <w:rPr>
          <w:spacing w:val="-18"/>
        </w:rPr>
        <w:t> </w:t>
      </w:r>
      <w:r>
        <w:rPr/>
        <w:t>como tal,</w:t>
      </w:r>
      <w:r>
        <w:rPr>
          <w:spacing w:val="-4"/>
        </w:rPr>
        <w:t> </w:t>
      </w:r>
      <w:r>
        <w:rPr/>
        <w:t>para</w:t>
      </w:r>
      <w:r>
        <w:rPr>
          <w:spacing w:val="-4"/>
        </w:rPr>
        <w:t> </w:t>
      </w:r>
      <w:r>
        <w:rPr/>
        <w:t>identificar</w:t>
      </w:r>
      <w:r>
        <w:rPr>
          <w:spacing w:val="-5"/>
        </w:rPr>
        <w:t> </w:t>
      </w:r>
      <w:r>
        <w:rPr/>
        <w:t>qué</w:t>
      </w:r>
      <w:r>
        <w:rPr>
          <w:spacing w:val="-6"/>
        </w:rPr>
        <w:t> </w:t>
      </w:r>
      <w:r>
        <w:rPr/>
        <w:t>es</w:t>
      </w:r>
      <w:r>
        <w:rPr>
          <w:spacing w:val="-4"/>
        </w:rPr>
        <w:t> </w:t>
      </w:r>
      <w:r>
        <w:rPr/>
        <w:t>y</w:t>
      </w:r>
      <w:r>
        <w:rPr>
          <w:spacing w:val="-7"/>
        </w:rPr>
        <w:t> </w:t>
      </w:r>
      <w:r>
        <w:rPr/>
        <w:t>cómo</w:t>
      </w:r>
      <w:r>
        <w:rPr>
          <w:spacing w:val="-7"/>
        </w:rPr>
        <w:t> </w:t>
      </w:r>
      <w:r>
        <w:rPr/>
        <w:t>funciona,</w:t>
      </w:r>
      <w:r>
        <w:rPr>
          <w:spacing w:val="-4"/>
        </w:rPr>
        <w:t> </w:t>
      </w:r>
      <w:r>
        <w:rPr/>
        <w:t>sin</w:t>
      </w:r>
      <w:r>
        <w:rPr>
          <w:spacing w:val="-4"/>
        </w:rPr>
        <w:t> </w:t>
      </w:r>
      <w:r>
        <w:rPr/>
        <w:t>referirse</w:t>
      </w:r>
      <w:r>
        <w:rPr>
          <w:spacing w:val="-4"/>
        </w:rPr>
        <w:t> </w:t>
      </w:r>
      <w:r>
        <w:rPr/>
        <w:t>a</w:t>
      </w:r>
      <w:r>
        <w:rPr>
          <w:spacing w:val="-6"/>
        </w:rPr>
        <w:t> </w:t>
      </w:r>
      <w:r>
        <w:rPr/>
        <w:t>un</w:t>
      </w:r>
      <w:r>
        <w:rPr>
          <w:spacing w:val="-6"/>
        </w:rPr>
        <w:t> </w:t>
      </w:r>
      <w:r>
        <w:rPr/>
        <w:t>enfoque</w:t>
      </w:r>
      <w:r>
        <w:rPr>
          <w:spacing w:val="-4"/>
        </w:rPr>
        <w:t> </w:t>
      </w:r>
      <w:r>
        <w:rPr/>
        <w:t>en</w:t>
      </w:r>
      <w:r>
        <w:rPr>
          <w:spacing w:val="-6"/>
        </w:rPr>
        <w:t> </w:t>
      </w:r>
      <w:r>
        <w:rPr/>
        <w:t>particular, tal es el caso de Arellano y Lepore (2009), Erendira (2008), Guerrero (2008), Jiménez, Lizcano y Villoria (2012), Pardiñas y Granados (2010), Vergara (2005). Otros enfoques menos analizados destacan los relacionados con Corrupción de Morales (2009) y Ética de Naessens</w:t>
      </w:r>
      <w:r>
        <w:rPr>
          <w:spacing w:val="-15"/>
        </w:rPr>
        <w:t> </w:t>
      </w:r>
      <w:r>
        <w:rPr/>
        <w:t>(2010).</w:t>
      </w:r>
    </w:p>
    <w:p>
      <w:pPr>
        <w:spacing w:after="0" w:line="360" w:lineRule="auto"/>
        <w:jc w:val="both"/>
        <w:sectPr>
          <w:footerReference w:type="default" r:id="rId28"/>
          <w:pgSz w:w="12240" w:h="15840"/>
          <w:pgMar w:footer="1035" w:header="0" w:top="1360" w:bottom="1220" w:left="1600" w:right="1580"/>
          <w:pgNumType w:start="101"/>
        </w:sectPr>
      </w:pPr>
    </w:p>
    <w:p>
      <w:pPr>
        <w:pStyle w:val="BodyText"/>
        <w:spacing w:line="360" w:lineRule="auto" w:before="54"/>
        <w:ind w:left="102" w:right="117"/>
        <w:jc w:val="both"/>
      </w:pPr>
      <w:r>
        <w:rPr/>
        <w:t>Guerrero</w:t>
      </w:r>
      <w:r>
        <w:rPr>
          <w:spacing w:val="-9"/>
        </w:rPr>
        <w:t> </w:t>
      </w:r>
      <w:r>
        <w:rPr/>
        <w:t>(2005)</w:t>
      </w:r>
      <w:r>
        <w:rPr>
          <w:spacing w:val="-10"/>
        </w:rPr>
        <w:t> </w:t>
      </w:r>
      <w:r>
        <w:rPr/>
        <w:t>señala</w:t>
      </w:r>
      <w:r>
        <w:rPr>
          <w:spacing w:val="-8"/>
        </w:rPr>
        <w:t> </w:t>
      </w:r>
      <w:r>
        <w:rPr/>
        <w:t>que</w:t>
      </w:r>
      <w:r>
        <w:rPr>
          <w:spacing w:val="-8"/>
        </w:rPr>
        <w:t> </w:t>
      </w:r>
      <w:r>
        <w:rPr/>
        <w:t>la</w:t>
      </w:r>
      <w:r>
        <w:rPr>
          <w:spacing w:val="-9"/>
        </w:rPr>
        <w:t> </w:t>
      </w:r>
      <w:r>
        <w:rPr/>
        <w:t>transparencia</w:t>
      </w:r>
      <w:r>
        <w:rPr>
          <w:spacing w:val="-11"/>
        </w:rPr>
        <w:t> </w:t>
      </w:r>
      <w:r>
        <w:rPr/>
        <w:t>debe</w:t>
      </w:r>
      <w:r>
        <w:rPr>
          <w:spacing w:val="-8"/>
        </w:rPr>
        <w:t> </w:t>
      </w:r>
      <w:r>
        <w:rPr/>
        <w:t>ser</w:t>
      </w:r>
      <w:r>
        <w:rPr>
          <w:spacing w:val="-10"/>
        </w:rPr>
        <w:t> </w:t>
      </w:r>
      <w:r>
        <w:rPr/>
        <w:t>entendida</w:t>
      </w:r>
      <w:r>
        <w:rPr>
          <w:spacing w:val="-8"/>
        </w:rPr>
        <w:t> </w:t>
      </w:r>
      <w:r>
        <w:rPr/>
        <w:t>como</w:t>
      </w:r>
      <w:r>
        <w:rPr>
          <w:spacing w:val="-8"/>
        </w:rPr>
        <w:t> </w:t>
      </w:r>
      <w:r>
        <w:rPr/>
        <w:t>la</w:t>
      </w:r>
      <w:r>
        <w:rPr>
          <w:spacing w:val="-9"/>
        </w:rPr>
        <w:t> </w:t>
      </w:r>
      <w:r>
        <w:rPr/>
        <w:t>acción</w:t>
      </w:r>
      <w:r>
        <w:rPr>
          <w:spacing w:val="-8"/>
        </w:rPr>
        <w:t> </w:t>
      </w:r>
      <w:r>
        <w:rPr/>
        <w:t>del gobierno que muestra su funcionamiento y le permite ser sujeto de escrutinio público.</w:t>
      </w:r>
      <w:r>
        <w:rPr>
          <w:spacing w:val="-9"/>
        </w:rPr>
        <w:t> </w:t>
      </w:r>
      <w:r>
        <w:rPr/>
        <w:t>De</w:t>
      </w:r>
      <w:r>
        <w:rPr>
          <w:spacing w:val="-9"/>
        </w:rPr>
        <w:t> </w:t>
      </w:r>
      <w:r>
        <w:rPr/>
        <w:t>igual</w:t>
      </w:r>
      <w:r>
        <w:rPr>
          <w:spacing w:val="-12"/>
        </w:rPr>
        <w:t> </w:t>
      </w:r>
      <w:r>
        <w:rPr/>
        <w:t>manera</w:t>
      </w:r>
      <w:r>
        <w:rPr>
          <w:spacing w:val="-9"/>
        </w:rPr>
        <w:t> </w:t>
      </w:r>
      <w:r>
        <w:rPr/>
        <w:t>para</w:t>
      </w:r>
      <w:r>
        <w:rPr>
          <w:spacing w:val="-9"/>
        </w:rPr>
        <w:t> </w:t>
      </w:r>
      <w:r>
        <w:rPr/>
        <w:t>Jiménez</w:t>
      </w:r>
      <w:r>
        <w:rPr>
          <w:spacing w:val="-12"/>
        </w:rPr>
        <w:t> </w:t>
      </w:r>
      <w:r>
        <w:rPr/>
        <w:t>(2012)</w:t>
      </w:r>
      <w:r>
        <w:rPr>
          <w:spacing w:val="-10"/>
        </w:rPr>
        <w:t> </w:t>
      </w:r>
      <w:r>
        <w:rPr/>
        <w:t>es</w:t>
      </w:r>
      <w:r>
        <w:rPr>
          <w:spacing w:val="-9"/>
        </w:rPr>
        <w:t> </w:t>
      </w:r>
      <w:r>
        <w:rPr/>
        <w:t>un</w:t>
      </w:r>
      <w:r>
        <w:rPr>
          <w:spacing w:val="-8"/>
        </w:rPr>
        <w:t> </w:t>
      </w:r>
      <w:r>
        <w:rPr/>
        <w:t>proceso</w:t>
      </w:r>
      <w:r>
        <w:rPr>
          <w:spacing w:val="-3"/>
        </w:rPr>
        <w:t> </w:t>
      </w:r>
      <w:r>
        <w:rPr/>
        <w:t>democrático</w:t>
      </w:r>
      <w:r>
        <w:rPr>
          <w:spacing w:val="-7"/>
        </w:rPr>
        <w:t> </w:t>
      </w:r>
      <w:r>
        <w:rPr/>
        <w:t>en</w:t>
      </w:r>
      <w:r>
        <w:rPr>
          <w:spacing w:val="-11"/>
        </w:rPr>
        <w:t> </w:t>
      </w:r>
      <w:r>
        <w:rPr/>
        <w:t>el</w:t>
      </w:r>
      <w:r>
        <w:rPr>
          <w:spacing w:val="-10"/>
        </w:rPr>
        <w:t> </w:t>
      </w:r>
      <w:r>
        <w:rPr/>
        <w:t>que uno de sus elementos claves es conocer cómo se adoptan las decisiones y qué consecuencias tienen, con la finalidad de establecer un sistema de rendición de cuentas. Para Vergara (2005) es el compromiso que establece una organización gubernamental por dar a conocer al público que lo solicite la información existente sobre un asunto público. Transparencia Internacional la define como el estudio de la responsabilidad de los servidores públicos, administradores y fideicomisarios para que estos actúen visible, predecible y</w:t>
      </w:r>
      <w:r>
        <w:rPr>
          <w:spacing w:val="-18"/>
        </w:rPr>
        <w:t> </w:t>
      </w:r>
      <w:r>
        <w:rPr/>
        <w:t>comprensivamente.</w:t>
      </w:r>
    </w:p>
    <w:p>
      <w:pPr>
        <w:pStyle w:val="BodyText"/>
      </w:pPr>
    </w:p>
    <w:p>
      <w:pPr>
        <w:pStyle w:val="BodyText"/>
      </w:pPr>
    </w:p>
    <w:p>
      <w:pPr>
        <w:pStyle w:val="BodyText"/>
        <w:spacing w:line="360" w:lineRule="auto" w:before="183"/>
        <w:ind w:left="102" w:right="119"/>
        <w:jc w:val="both"/>
      </w:pPr>
      <w:r>
        <w:rPr/>
        <w:t>Para</w:t>
      </w:r>
      <w:r>
        <w:rPr>
          <w:spacing w:val="-4"/>
        </w:rPr>
        <w:t> </w:t>
      </w:r>
      <w:r>
        <w:rPr/>
        <w:t>Cantú</w:t>
      </w:r>
      <w:r>
        <w:rPr>
          <w:spacing w:val="-3"/>
        </w:rPr>
        <w:t> </w:t>
      </w:r>
      <w:r>
        <w:rPr>
          <w:i/>
        </w:rPr>
        <w:t>et.</w:t>
      </w:r>
      <w:r>
        <w:rPr>
          <w:i/>
          <w:spacing w:val="-6"/>
        </w:rPr>
        <w:t> </w:t>
      </w:r>
      <w:r>
        <w:rPr>
          <w:i/>
        </w:rPr>
        <w:t>al</w:t>
      </w:r>
      <w:r>
        <w:rPr/>
        <w:t>.</w:t>
      </w:r>
      <w:r>
        <w:rPr>
          <w:spacing w:val="-4"/>
        </w:rPr>
        <w:t> </w:t>
      </w:r>
      <w:r>
        <w:rPr/>
        <w:t>(2011)</w:t>
      </w:r>
      <w:r>
        <w:rPr>
          <w:spacing w:val="-5"/>
        </w:rPr>
        <w:t> </w:t>
      </w:r>
      <w:r>
        <w:rPr/>
        <w:t>la</w:t>
      </w:r>
      <w:r>
        <w:rPr>
          <w:spacing w:val="-4"/>
        </w:rPr>
        <w:t> </w:t>
      </w:r>
      <w:r>
        <w:rPr/>
        <w:t>transparencia</w:t>
      </w:r>
      <w:r>
        <w:rPr>
          <w:spacing w:val="-2"/>
        </w:rPr>
        <w:t> </w:t>
      </w:r>
      <w:r>
        <w:rPr/>
        <w:t>se</w:t>
      </w:r>
      <w:r>
        <w:rPr>
          <w:spacing w:val="-6"/>
        </w:rPr>
        <w:t> </w:t>
      </w:r>
      <w:r>
        <w:rPr/>
        <w:t>considera</w:t>
      </w:r>
      <w:r>
        <w:rPr>
          <w:spacing w:val="-3"/>
        </w:rPr>
        <w:t> </w:t>
      </w:r>
      <w:r>
        <w:rPr/>
        <w:t>como</w:t>
      </w:r>
      <w:r>
        <w:rPr>
          <w:spacing w:val="-4"/>
        </w:rPr>
        <w:t> </w:t>
      </w:r>
      <w:r>
        <w:rPr/>
        <w:t>un</w:t>
      </w:r>
      <w:r>
        <w:rPr>
          <w:spacing w:val="-6"/>
        </w:rPr>
        <w:t> </w:t>
      </w:r>
      <w:r>
        <w:rPr/>
        <w:t>atributo</w:t>
      </w:r>
      <w:r>
        <w:rPr>
          <w:spacing w:val="-6"/>
        </w:rPr>
        <w:t> </w:t>
      </w:r>
      <w:r>
        <w:rPr/>
        <w:t>del</w:t>
      </w:r>
      <w:r>
        <w:rPr>
          <w:spacing w:val="-5"/>
        </w:rPr>
        <w:t> </w:t>
      </w:r>
      <w:r>
        <w:rPr/>
        <w:t>estado que</w:t>
      </w:r>
      <w:r>
        <w:rPr>
          <w:spacing w:val="-14"/>
        </w:rPr>
        <w:t> </w:t>
      </w:r>
      <w:r>
        <w:rPr/>
        <w:t>guarda</w:t>
      </w:r>
      <w:r>
        <w:rPr>
          <w:spacing w:val="-14"/>
        </w:rPr>
        <w:t> </w:t>
      </w:r>
      <w:r>
        <w:rPr/>
        <w:t>un</w:t>
      </w:r>
      <w:r>
        <w:rPr>
          <w:spacing w:val="-14"/>
        </w:rPr>
        <w:t> </w:t>
      </w:r>
      <w:r>
        <w:rPr/>
        <w:t>sistema</w:t>
      </w:r>
      <w:r>
        <w:rPr>
          <w:spacing w:val="-15"/>
        </w:rPr>
        <w:t> </w:t>
      </w:r>
      <w:r>
        <w:rPr/>
        <w:t>público.</w:t>
      </w:r>
      <w:r>
        <w:rPr>
          <w:spacing w:val="-16"/>
        </w:rPr>
        <w:t> </w:t>
      </w:r>
      <w:r>
        <w:rPr/>
        <w:t>Es,</w:t>
      </w:r>
      <w:r>
        <w:rPr>
          <w:spacing w:val="-16"/>
        </w:rPr>
        <w:t> </w:t>
      </w:r>
      <w:r>
        <w:rPr/>
        <w:t>en</w:t>
      </w:r>
      <w:r>
        <w:rPr>
          <w:spacing w:val="-14"/>
        </w:rPr>
        <w:t> </w:t>
      </w:r>
      <w:r>
        <w:rPr/>
        <w:t>sentido</w:t>
      </w:r>
      <w:r>
        <w:rPr>
          <w:spacing w:val="-15"/>
        </w:rPr>
        <w:t> </w:t>
      </w:r>
      <w:r>
        <w:rPr/>
        <w:t>orgánico,</w:t>
      </w:r>
      <w:r>
        <w:rPr>
          <w:spacing w:val="-14"/>
        </w:rPr>
        <w:t> </w:t>
      </w:r>
      <w:r>
        <w:rPr/>
        <w:t>el</w:t>
      </w:r>
      <w:r>
        <w:rPr>
          <w:spacing w:val="-15"/>
        </w:rPr>
        <w:t> </w:t>
      </w:r>
      <w:r>
        <w:rPr/>
        <w:t>resultado</w:t>
      </w:r>
      <w:r>
        <w:rPr>
          <w:spacing w:val="-16"/>
        </w:rPr>
        <w:t> </w:t>
      </w:r>
      <w:r>
        <w:rPr/>
        <w:t>de</w:t>
      </w:r>
      <w:r>
        <w:rPr>
          <w:spacing w:val="-14"/>
        </w:rPr>
        <w:t> </w:t>
      </w:r>
      <w:r>
        <w:rPr/>
        <w:t>la</w:t>
      </w:r>
      <w:r>
        <w:rPr>
          <w:spacing w:val="-16"/>
        </w:rPr>
        <w:t> </w:t>
      </w:r>
      <w:r>
        <w:rPr/>
        <w:t>operación de</w:t>
      </w:r>
      <w:r>
        <w:rPr>
          <w:spacing w:val="-4"/>
        </w:rPr>
        <w:t> </w:t>
      </w:r>
      <w:r>
        <w:rPr/>
        <w:t>varios</w:t>
      </w:r>
      <w:r>
        <w:rPr>
          <w:spacing w:val="-4"/>
        </w:rPr>
        <w:t> </w:t>
      </w:r>
      <w:r>
        <w:rPr/>
        <w:t>sistemas,</w:t>
      </w:r>
      <w:r>
        <w:rPr>
          <w:spacing w:val="-4"/>
        </w:rPr>
        <w:t> </w:t>
      </w:r>
      <w:r>
        <w:rPr/>
        <w:t>como</w:t>
      </w:r>
      <w:r>
        <w:rPr>
          <w:spacing w:val="-4"/>
        </w:rPr>
        <w:t> </w:t>
      </w:r>
      <w:r>
        <w:rPr/>
        <w:t>los</w:t>
      </w:r>
      <w:r>
        <w:rPr>
          <w:spacing w:val="-6"/>
        </w:rPr>
        <w:t> </w:t>
      </w:r>
      <w:r>
        <w:rPr/>
        <w:t>de</w:t>
      </w:r>
      <w:r>
        <w:rPr>
          <w:spacing w:val="-6"/>
        </w:rPr>
        <w:t> </w:t>
      </w:r>
      <w:r>
        <w:rPr/>
        <w:t>planeación,</w:t>
      </w:r>
      <w:r>
        <w:rPr>
          <w:spacing w:val="-6"/>
        </w:rPr>
        <w:t> </w:t>
      </w:r>
      <w:r>
        <w:rPr/>
        <w:t>presupuestación,</w:t>
      </w:r>
      <w:r>
        <w:rPr>
          <w:spacing w:val="-4"/>
        </w:rPr>
        <w:t> </w:t>
      </w:r>
      <w:r>
        <w:rPr/>
        <w:t>control</w:t>
      </w:r>
      <w:r>
        <w:rPr>
          <w:spacing w:val="-5"/>
        </w:rPr>
        <w:t> </w:t>
      </w:r>
      <w:r>
        <w:rPr/>
        <w:t>y</w:t>
      </w:r>
      <w:r>
        <w:rPr>
          <w:spacing w:val="-7"/>
        </w:rPr>
        <w:t> </w:t>
      </w:r>
      <w:r>
        <w:rPr/>
        <w:t>evaluación, entre</w:t>
      </w:r>
      <w:r>
        <w:rPr>
          <w:spacing w:val="-2"/>
        </w:rPr>
        <w:t> </w:t>
      </w:r>
      <w:r>
        <w:rPr/>
        <w:t>otros.</w:t>
      </w:r>
    </w:p>
    <w:p>
      <w:pPr>
        <w:pStyle w:val="BodyText"/>
      </w:pPr>
    </w:p>
    <w:p>
      <w:pPr>
        <w:pStyle w:val="BodyText"/>
      </w:pPr>
    </w:p>
    <w:p>
      <w:pPr>
        <w:pStyle w:val="BodyText"/>
        <w:spacing w:line="360" w:lineRule="auto" w:before="185"/>
        <w:ind w:left="102" w:right="123"/>
        <w:jc w:val="both"/>
      </w:pPr>
      <w:r>
        <w:rPr/>
        <w:t>Tomando como referencia que la democracia implica algo más que simples elecciones,</w:t>
      </w:r>
      <w:r>
        <w:rPr>
          <w:spacing w:val="-7"/>
        </w:rPr>
        <w:t> </w:t>
      </w:r>
      <w:r>
        <w:rPr/>
        <w:t>el</w:t>
      </w:r>
      <w:r>
        <w:rPr>
          <w:spacing w:val="-11"/>
        </w:rPr>
        <w:t> </w:t>
      </w:r>
      <w:r>
        <w:rPr/>
        <w:t>derecho</w:t>
      </w:r>
      <w:r>
        <w:rPr>
          <w:spacing w:val="-9"/>
        </w:rPr>
        <w:t> </w:t>
      </w:r>
      <w:r>
        <w:rPr/>
        <w:t>de</w:t>
      </w:r>
      <w:r>
        <w:rPr>
          <w:spacing w:val="-7"/>
        </w:rPr>
        <w:t> </w:t>
      </w:r>
      <w:r>
        <w:rPr/>
        <w:t>acceso</w:t>
      </w:r>
      <w:r>
        <w:rPr>
          <w:spacing w:val="-9"/>
        </w:rPr>
        <w:t> </w:t>
      </w:r>
      <w:r>
        <w:rPr/>
        <w:t>a</w:t>
      </w:r>
      <w:r>
        <w:rPr>
          <w:spacing w:val="-7"/>
        </w:rPr>
        <w:t> </w:t>
      </w:r>
      <w:r>
        <w:rPr/>
        <w:t>la</w:t>
      </w:r>
      <w:r>
        <w:rPr>
          <w:spacing w:val="-10"/>
        </w:rPr>
        <w:t> </w:t>
      </w:r>
      <w:r>
        <w:rPr/>
        <w:t>información</w:t>
      </w:r>
      <w:r>
        <w:rPr>
          <w:spacing w:val="-7"/>
        </w:rPr>
        <w:t> </w:t>
      </w:r>
      <w:r>
        <w:rPr/>
        <w:t>pública</w:t>
      </w:r>
      <w:r>
        <w:rPr>
          <w:spacing w:val="-7"/>
        </w:rPr>
        <w:t> </w:t>
      </w:r>
      <w:r>
        <w:rPr/>
        <w:t>y</w:t>
      </w:r>
      <w:r>
        <w:rPr>
          <w:spacing w:val="-10"/>
        </w:rPr>
        <w:t> </w:t>
      </w:r>
      <w:r>
        <w:rPr/>
        <w:t>la</w:t>
      </w:r>
      <w:r>
        <w:rPr>
          <w:spacing w:val="-7"/>
        </w:rPr>
        <w:t> </w:t>
      </w:r>
      <w:r>
        <w:rPr/>
        <w:t>transparencia</w:t>
      </w:r>
      <w:r>
        <w:rPr>
          <w:spacing w:val="-7"/>
        </w:rPr>
        <w:t> </w:t>
      </w:r>
      <w:r>
        <w:rPr/>
        <w:t>cobran relevancia, ya que permiten conocer y evaluar el funcionamiento de gobierno (Vergara, 2005; Barrera,</w:t>
      </w:r>
      <w:r>
        <w:rPr>
          <w:spacing w:val="-7"/>
        </w:rPr>
        <w:t> </w:t>
      </w:r>
      <w:r>
        <w:rPr/>
        <w:t>2010).</w:t>
      </w:r>
    </w:p>
    <w:p>
      <w:pPr>
        <w:pStyle w:val="BodyText"/>
      </w:pPr>
    </w:p>
    <w:p>
      <w:pPr>
        <w:pStyle w:val="BodyText"/>
      </w:pPr>
    </w:p>
    <w:p>
      <w:pPr>
        <w:spacing w:line="240" w:lineRule="auto" w:before="188"/>
        <w:ind w:left="668" w:right="733" w:firstLine="0"/>
        <w:jc w:val="both"/>
        <w:rPr>
          <w:sz w:val="18"/>
        </w:rPr>
      </w:pPr>
      <w:r>
        <w:rPr>
          <w:sz w:val="18"/>
        </w:rPr>
        <w:t>“La</w:t>
      </w:r>
      <w:r>
        <w:rPr>
          <w:spacing w:val="-12"/>
          <w:sz w:val="18"/>
        </w:rPr>
        <w:t> </w:t>
      </w:r>
      <w:r>
        <w:rPr>
          <w:sz w:val="18"/>
        </w:rPr>
        <w:t>democracia</w:t>
      </w:r>
      <w:r>
        <w:rPr>
          <w:spacing w:val="-12"/>
          <w:sz w:val="18"/>
        </w:rPr>
        <w:t> </w:t>
      </w:r>
      <w:r>
        <w:rPr>
          <w:sz w:val="18"/>
        </w:rPr>
        <w:t>no</w:t>
      </w:r>
      <w:r>
        <w:rPr>
          <w:spacing w:val="-12"/>
          <w:sz w:val="18"/>
        </w:rPr>
        <w:t> </w:t>
      </w:r>
      <w:r>
        <w:rPr>
          <w:sz w:val="18"/>
        </w:rPr>
        <w:t>es</w:t>
      </w:r>
      <w:r>
        <w:rPr>
          <w:spacing w:val="-12"/>
          <w:sz w:val="18"/>
        </w:rPr>
        <w:t> </w:t>
      </w:r>
      <w:r>
        <w:rPr>
          <w:sz w:val="18"/>
        </w:rPr>
        <w:t>solamente</w:t>
      </w:r>
      <w:r>
        <w:rPr>
          <w:spacing w:val="-12"/>
          <w:sz w:val="18"/>
        </w:rPr>
        <w:t> </w:t>
      </w:r>
      <w:r>
        <w:rPr>
          <w:sz w:val="18"/>
        </w:rPr>
        <w:t>la</w:t>
      </w:r>
      <w:r>
        <w:rPr>
          <w:spacing w:val="-12"/>
          <w:sz w:val="18"/>
        </w:rPr>
        <w:t> </w:t>
      </w:r>
      <w:r>
        <w:rPr>
          <w:sz w:val="18"/>
        </w:rPr>
        <w:t>celebración</w:t>
      </w:r>
      <w:r>
        <w:rPr>
          <w:spacing w:val="-12"/>
          <w:sz w:val="18"/>
        </w:rPr>
        <w:t> </w:t>
      </w:r>
      <w:r>
        <w:rPr>
          <w:sz w:val="18"/>
        </w:rPr>
        <w:t>de</w:t>
      </w:r>
      <w:r>
        <w:rPr>
          <w:spacing w:val="-12"/>
          <w:sz w:val="18"/>
        </w:rPr>
        <w:t> </w:t>
      </w:r>
      <w:r>
        <w:rPr>
          <w:sz w:val="18"/>
        </w:rPr>
        <w:t>elecciones</w:t>
      </w:r>
      <w:r>
        <w:rPr>
          <w:spacing w:val="-13"/>
          <w:sz w:val="18"/>
        </w:rPr>
        <w:t> </w:t>
      </w:r>
      <w:r>
        <w:rPr>
          <w:sz w:val="18"/>
        </w:rPr>
        <w:t>periódicas,</w:t>
      </w:r>
      <w:r>
        <w:rPr>
          <w:spacing w:val="-12"/>
          <w:sz w:val="18"/>
        </w:rPr>
        <w:t> </w:t>
      </w:r>
      <w:r>
        <w:rPr>
          <w:sz w:val="18"/>
        </w:rPr>
        <w:t>libres</w:t>
      </w:r>
      <w:r>
        <w:rPr>
          <w:spacing w:val="-12"/>
          <w:sz w:val="18"/>
        </w:rPr>
        <w:t> </w:t>
      </w:r>
      <w:r>
        <w:rPr>
          <w:sz w:val="18"/>
        </w:rPr>
        <w:t>y</w:t>
      </w:r>
      <w:r>
        <w:rPr>
          <w:spacing w:val="-13"/>
          <w:sz w:val="18"/>
        </w:rPr>
        <w:t> </w:t>
      </w:r>
      <w:r>
        <w:rPr>
          <w:sz w:val="18"/>
        </w:rPr>
        <w:t>justas,</w:t>
      </w:r>
      <w:r>
        <w:rPr>
          <w:spacing w:val="-12"/>
          <w:sz w:val="18"/>
        </w:rPr>
        <w:t> </w:t>
      </w:r>
      <w:r>
        <w:rPr>
          <w:sz w:val="18"/>
        </w:rPr>
        <w:t>basadas en el sufragio universal, ni tampoco reunirse en el seno de instituciones democráticas, sino más bien forjar redes de confianza que permitan a todos los ciudadanos sentirse parte de la misma institucionalidad, de la misma nación. Esto implica, desde luego, un buen funcionamiento del Estado en crear un mayor dinamismo de la democracia. La ola de democratización que vivió la región tuvo que heredar varias dificultades que venían rezagadas, y las demandas de los ciudadanos después de casi treinta años desde las transiciones democráticas, se hacen cada día</w:t>
      </w:r>
      <w:r>
        <w:rPr>
          <w:spacing w:val="-17"/>
          <w:sz w:val="18"/>
        </w:rPr>
        <w:t> </w:t>
      </w:r>
      <w:r>
        <w:rPr>
          <w:sz w:val="18"/>
        </w:rPr>
        <w:t>más</w:t>
      </w:r>
      <w:r>
        <w:rPr>
          <w:spacing w:val="-16"/>
          <w:sz w:val="18"/>
        </w:rPr>
        <w:t> </w:t>
      </w:r>
      <w:r>
        <w:rPr>
          <w:sz w:val="18"/>
        </w:rPr>
        <w:t>presentes.</w:t>
      </w:r>
      <w:r>
        <w:rPr>
          <w:spacing w:val="-17"/>
          <w:sz w:val="18"/>
        </w:rPr>
        <w:t> </w:t>
      </w:r>
      <w:r>
        <w:rPr>
          <w:sz w:val="18"/>
        </w:rPr>
        <w:t>Una</w:t>
      </w:r>
      <w:r>
        <w:rPr>
          <w:spacing w:val="-17"/>
          <w:sz w:val="18"/>
        </w:rPr>
        <w:t> </w:t>
      </w:r>
      <w:r>
        <w:rPr>
          <w:sz w:val="18"/>
        </w:rPr>
        <w:t>democracia</w:t>
      </w:r>
      <w:r>
        <w:rPr>
          <w:spacing w:val="-17"/>
          <w:sz w:val="18"/>
        </w:rPr>
        <w:t> </w:t>
      </w:r>
      <w:r>
        <w:rPr>
          <w:sz w:val="18"/>
        </w:rPr>
        <w:t>de</w:t>
      </w:r>
      <w:r>
        <w:rPr>
          <w:spacing w:val="-17"/>
          <w:sz w:val="18"/>
        </w:rPr>
        <w:t> </w:t>
      </w:r>
      <w:r>
        <w:rPr>
          <w:sz w:val="18"/>
        </w:rPr>
        <w:t>calidad</w:t>
      </w:r>
      <w:r>
        <w:rPr>
          <w:spacing w:val="-15"/>
          <w:sz w:val="18"/>
        </w:rPr>
        <w:t> </w:t>
      </w:r>
      <w:r>
        <w:rPr>
          <w:sz w:val="18"/>
        </w:rPr>
        <w:t>demanda</w:t>
      </w:r>
      <w:r>
        <w:rPr>
          <w:spacing w:val="-17"/>
          <w:sz w:val="18"/>
        </w:rPr>
        <w:t> </w:t>
      </w:r>
      <w:r>
        <w:rPr>
          <w:sz w:val="18"/>
        </w:rPr>
        <w:t>que</w:t>
      </w:r>
      <w:r>
        <w:rPr>
          <w:spacing w:val="-15"/>
          <w:sz w:val="18"/>
        </w:rPr>
        <w:t> </w:t>
      </w:r>
      <w:r>
        <w:rPr>
          <w:sz w:val="18"/>
        </w:rPr>
        <w:t>los</w:t>
      </w:r>
      <w:r>
        <w:rPr>
          <w:spacing w:val="-16"/>
          <w:sz w:val="18"/>
        </w:rPr>
        <w:t> </w:t>
      </w:r>
      <w:r>
        <w:rPr>
          <w:sz w:val="18"/>
        </w:rPr>
        <w:t>ciudadanos</w:t>
      </w:r>
      <w:r>
        <w:rPr>
          <w:spacing w:val="-16"/>
          <w:sz w:val="18"/>
        </w:rPr>
        <w:t> </w:t>
      </w:r>
      <w:r>
        <w:rPr>
          <w:sz w:val="18"/>
        </w:rPr>
        <w:t>exijan</w:t>
      </w:r>
      <w:r>
        <w:rPr>
          <w:spacing w:val="-15"/>
          <w:sz w:val="18"/>
        </w:rPr>
        <w:t> </w:t>
      </w:r>
      <w:r>
        <w:rPr>
          <w:sz w:val="18"/>
        </w:rPr>
        <w:t>no</w:t>
      </w:r>
      <w:r>
        <w:rPr>
          <w:spacing w:val="-15"/>
          <w:sz w:val="18"/>
        </w:rPr>
        <w:t> </w:t>
      </w:r>
      <w:r>
        <w:rPr>
          <w:sz w:val="18"/>
        </w:rPr>
        <w:t>solamente mayores derechos, pero también cuentas a sus gobernantes, que participen activamente en la definición e implementación de políticas, y que ejerzan plenamente sus derechos. Mayor participación y mayores derechos resultan en un desarrollo más pleno, más equitativo y más inclusivo de los países” (Insulza,</w:t>
      </w:r>
      <w:r>
        <w:rPr>
          <w:spacing w:val="-17"/>
          <w:sz w:val="18"/>
        </w:rPr>
        <w:t> </w:t>
      </w:r>
      <w:r>
        <w:rPr>
          <w:sz w:val="18"/>
        </w:rPr>
        <w:t>2012:11).</w:t>
      </w:r>
    </w:p>
    <w:p>
      <w:pPr>
        <w:spacing w:after="0" w:line="240" w:lineRule="auto"/>
        <w:jc w:val="both"/>
        <w:rPr>
          <w:sz w:val="18"/>
        </w:rPr>
        <w:sectPr>
          <w:pgSz w:w="12240" w:h="15840"/>
          <w:pgMar w:header="0" w:footer="1035" w:top="1360" w:bottom="1220" w:left="1600" w:right="1580"/>
        </w:sectPr>
      </w:pPr>
    </w:p>
    <w:p>
      <w:pPr>
        <w:pStyle w:val="BodyText"/>
        <w:spacing w:line="360" w:lineRule="auto" w:before="54"/>
        <w:ind w:left="102" w:right="116"/>
        <w:jc w:val="both"/>
      </w:pPr>
      <w:r>
        <w:rPr/>
        <w:t>Dicha afirmación tiene importancia precisamente porque la democracia implica</w:t>
      </w:r>
      <w:r>
        <w:rPr>
          <w:spacing w:val="-37"/>
        </w:rPr>
        <w:t> </w:t>
      </w:r>
      <w:r>
        <w:rPr/>
        <w:t>que el gobierno garantice el estado de derecho, en este caso lo referido a la transparencia y el acceso a la información (López, 2012). A pesar de que la transparencia, el derecho de acceso a la información y la protección de datos personales son nuevos elementos que fortalecen la vida democrática del país, sus frutos</w:t>
      </w:r>
      <w:r>
        <w:rPr>
          <w:spacing w:val="-6"/>
        </w:rPr>
        <w:t> </w:t>
      </w:r>
      <w:r>
        <w:rPr/>
        <w:t>se</w:t>
      </w:r>
      <w:r>
        <w:rPr>
          <w:spacing w:val="-5"/>
        </w:rPr>
        <w:t> </w:t>
      </w:r>
      <w:r>
        <w:rPr/>
        <w:t>esperan</w:t>
      </w:r>
      <w:r>
        <w:rPr>
          <w:spacing w:val="-5"/>
        </w:rPr>
        <w:t> </w:t>
      </w:r>
      <w:r>
        <w:rPr/>
        <w:t>y</w:t>
      </w:r>
      <w:r>
        <w:rPr>
          <w:spacing w:val="-8"/>
        </w:rPr>
        <w:t> </w:t>
      </w:r>
      <w:r>
        <w:rPr/>
        <w:t>se</w:t>
      </w:r>
      <w:r>
        <w:rPr>
          <w:spacing w:val="-5"/>
        </w:rPr>
        <w:t> </w:t>
      </w:r>
      <w:r>
        <w:rPr/>
        <w:t>apreciarán</w:t>
      </w:r>
      <w:r>
        <w:rPr>
          <w:spacing w:val="-7"/>
        </w:rPr>
        <w:t> </w:t>
      </w:r>
      <w:r>
        <w:rPr/>
        <w:t>en</w:t>
      </w:r>
      <w:r>
        <w:rPr>
          <w:spacing w:val="-5"/>
        </w:rPr>
        <w:t> </w:t>
      </w:r>
      <w:r>
        <w:rPr/>
        <w:t>el</w:t>
      </w:r>
      <w:r>
        <w:rPr>
          <w:spacing w:val="-6"/>
        </w:rPr>
        <w:t> </w:t>
      </w:r>
      <w:r>
        <w:rPr/>
        <w:t>largo</w:t>
      </w:r>
      <w:r>
        <w:rPr>
          <w:spacing w:val="-5"/>
        </w:rPr>
        <w:t> </w:t>
      </w:r>
      <w:r>
        <w:rPr/>
        <w:t>plazo.</w:t>
      </w:r>
      <w:r>
        <w:rPr>
          <w:spacing w:val="-5"/>
        </w:rPr>
        <w:t> </w:t>
      </w:r>
      <w:r>
        <w:rPr/>
        <w:t>Serán</w:t>
      </w:r>
      <w:r>
        <w:rPr>
          <w:spacing w:val="-5"/>
        </w:rPr>
        <w:t> </w:t>
      </w:r>
      <w:r>
        <w:rPr/>
        <w:t>las</w:t>
      </w:r>
      <w:r>
        <w:rPr>
          <w:spacing w:val="-5"/>
        </w:rPr>
        <w:t> </w:t>
      </w:r>
      <w:r>
        <w:rPr/>
        <w:t>nuevas</w:t>
      </w:r>
      <w:r>
        <w:rPr>
          <w:spacing w:val="-6"/>
        </w:rPr>
        <w:t> </w:t>
      </w:r>
      <w:r>
        <w:rPr/>
        <w:t>generaciones de nuestro país quienes reconozcan las bondades de estas, todavía hoy en día novedosas figuras jurídicas, en la medida en que sean utilizadas crecientemente por tales generaciones y exijan su respeto y su mayor difusión (Barrera,</w:t>
      </w:r>
      <w:r>
        <w:rPr>
          <w:spacing w:val="-15"/>
        </w:rPr>
        <w:t> </w:t>
      </w:r>
      <w:r>
        <w:rPr/>
        <w:t>2010).</w:t>
      </w:r>
    </w:p>
    <w:p>
      <w:pPr>
        <w:pStyle w:val="BodyText"/>
      </w:pPr>
    </w:p>
    <w:p>
      <w:pPr>
        <w:pStyle w:val="BodyText"/>
      </w:pPr>
    </w:p>
    <w:p>
      <w:pPr>
        <w:pStyle w:val="BodyText"/>
        <w:spacing w:line="360" w:lineRule="auto" w:before="188"/>
        <w:ind w:left="102" w:right="116"/>
        <w:jc w:val="both"/>
      </w:pPr>
      <w:r>
        <w:rPr/>
        <w:t>Asimismo, ver el acceso a la información y la transparencia como variable democrática implica que los gobernantes deben realizar acciones para que estas variables</w:t>
      </w:r>
      <w:r>
        <w:rPr>
          <w:spacing w:val="-10"/>
        </w:rPr>
        <w:t> </w:t>
      </w:r>
      <w:r>
        <w:rPr/>
        <w:t>se</w:t>
      </w:r>
      <w:r>
        <w:rPr>
          <w:spacing w:val="-11"/>
        </w:rPr>
        <w:t> </w:t>
      </w:r>
      <w:r>
        <w:rPr/>
        <w:t>muestren</w:t>
      </w:r>
      <w:r>
        <w:rPr>
          <w:spacing w:val="-13"/>
        </w:rPr>
        <w:t> </w:t>
      </w:r>
      <w:r>
        <w:rPr/>
        <w:t>de</w:t>
      </w:r>
      <w:r>
        <w:rPr>
          <w:spacing w:val="-11"/>
        </w:rPr>
        <w:t> </w:t>
      </w:r>
      <w:r>
        <w:rPr/>
        <w:t>forma</w:t>
      </w:r>
      <w:r>
        <w:rPr>
          <w:spacing w:val="-9"/>
        </w:rPr>
        <w:t> </w:t>
      </w:r>
      <w:r>
        <w:rPr/>
        <w:t>sencilla</w:t>
      </w:r>
      <w:r>
        <w:rPr>
          <w:spacing w:val="-10"/>
        </w:rPr>
        <w:t> </w:t>
      </w:r>
      <w:r>
        <w:rPr/>
        <w:t>y</w:t>
      </w:r>
      <w:r>
        <w:rPr>
          <w:spacing w:val="-12"/>
        </w:rPr>
        <w:t> </w:t>
      </w:r>
      <w:r>
        <w:rPr/>
        <w:t>comprensible,</w:t>
      </w:r>
      <w:r>
        <w:rPr>
          <w:spacing w:val="-11"/>
        </w:rPr>
        <w:t> </w:t>
      </w:r>
      <w:r>
        <w:rPr/>
        <w:t>dado</w:t>
      </w:r>
      <w:r>
        <w:rPr>
          <w:spacing w:val="-9"/>
        </w:rPr>
        <w:t> </w:t>
      </w:r>
      <w:r>
        <w:rPr/>
        <w:t>que</w:t>
      </w:r>
      <w:r>
        <w:rPr>
          <w:spacing w:val="-9"/>
        </w:rPr>
        <w:t> </w:t>
      </w:r>
      <w:r>
        <w:rPr/>
        <w:t>la</w:t>
      </w:r>
      <w:r>
        <w:rPr>
          <w:spacing w:val="-9"/>
        </w:rPr>
        <w:t> </w:t>
      </w:r>
      <w:r>
        <w:rPr/>
        <w:t>mayoría</w:t>
      </w:r>
      <w:r>
        <w:rPr>
          <w:spacing w:val="-9"/>
        </w:rPr>
        <w:t> </w:t>
      </w:r>
      <w:r>
        <w:rPr/>
        <w:t>de</w:t>
      </w:r>
      <w:r>
        <w:rPr>
          <w:spacing w:val="-9"/>
        </w:rPr>
        <w:t> </w:t>
      </w:r>
      <w:r>
        <w:rPr/>
        <w:t>los ciudadanos</w:t>
      </w:r>
      <w:r>
        <w:rPr>
          <w:spacing w:val="-7"/>
        </w:rPr>
        <w:t> </w:t>
      </w:r>
      <w:r>
        <w:rPr/>
        <w:t>no</w:t>
      </w:r>
      <w:r>
        <w:rPr>
          <w:spacing w:val="-4"/>
        </w:rPr>
        <w:t> </w:t>
      </w:r>
      <w:r>
        <w:rPr/>
        <w:t>ejercen</w:t>
      </w:r>
      <w:r>
        <w:rPr>
          <w:spacing w:val="-6"/>
        </w:rPr>
        <w:t> </w:t>
      </w:r>
      <w:r>
        <w:rPr/>
        <w:t>el</w:t>
      </w:r>
      <w:r>
        <w:rPr>
          <w:spacing w:val="-5"/>
        </w:rPr>
        <w:t> </w:t>
      </w:r>
      <w:r>
        <w:rPr/>
        <w:t>derecho</w:t>
      </w:r>
      <w:r>
        <w:rPr>
          <w:spacing w:val="-4"/>
        </w:rPr>
        <w:t> </w:t>
      </w:r>
      <w:r>
        <w:rPr/>
        <w:t>de</w:t>
      </w:r>
      <w:r>
        <w:rPr>
          <w:spacing w:val="-6"/>
        </w:rPr>
        <w:t> </w:t>
      </w:r>
      <w:r>
        <w:rPr/>
        <w:t>acceso</w:t>
      </w:r>
      <w:r>
        <w:rPr>
          <w:spacing w:val="-6"/>
        </w:rPr>
        <w:t> </w:t>
      </w:r>
      <w:r>
        <w:rPr/>
        <w:t>a</w:t>
      </w:r>
      <w:r>
        <w:rPr>
          <w:spacing w:val="-4"/>
        </w:rPr>
        <w:t> </w:t>
      </w:r>
      <w:r>
        <w:rPr/>
        <w:t>la</w:t>
      </w:r>
      <w:r>
        <w:rPr>
          <w:spacing w:val="-4"/>
        </w:rPr>
        <w:t> </w:t>
      </w:r>
      <w:r>
        <w:rPr/>
        <w:t>información</w:t>
      </w:r>
      <w:r>
        <w:rPr>
          <w:spacing w:val="-6"/>
        </w:rPr>
        <w:t> </w:t>
      </w:r>
      <w:r>
        <w:rPr/>
        <w:t>porque</w:t>
      </w:r>
      <w:r>
        <w:rPr>
          <w:spacing w:val="-4"/>
        </w:rPr>
        <w:t> </w:t>
      </w:r>
      <w:r>
        <w:rPr/>
        <w:t>no</w:t>
      </w:r>
      <w:r>
        <w:rPr>
          <w:spacing w:val="-4"/>
        </w:rPr>
        <w:t> </w:t>
      </w:r>
      <w:r>
        <w:rPr/>
        <w:t>saben</w:t>
      </w:r>
      <w:r>
        <w:rPr>
          <w:spacing w:val="-4"/>
        </w:rPr>
        <w:t> </w:t>
      </w:r>
      <w:r>
        <w:rPr/>
        <w:t>que lo tienen (Quintanilla, 2012). Visto de esta manera, la transparencia es el resultado de una forma de gobernar, de administrar y de gestionar al Estado, es por ello un valor de la democracia. Tiene que ver con el desempeño de la comunidad política, de sus representantes y de sus autoridades, quienes tienen que aclarar sus acciones para fortalecer al gobierno (Naessens,</w:t>
      </w:r>
      <w:r>
        <w:rPr>
          <w:spacing w:val="-20"/>
        </w:rPr>
        <w:t> </w:t>
      </w:r>
      <w:r>
        <w:rPr/>
        <w:t>2010).</w:t>
      </w:r>
    </w:p>
    <w:p>
      <w:pPr>
        <w:pStyle w:val="BodyText"/>
      </w:pPr>
    </w:p>
    <w:p>
      <w:pPr>
        <w:pStyle w:val="BodyText"/>
      </w:pPr>
    </w:p>
    <w:p>
      <w:pPr>
        <w:pStyle w:val="BodyText"/>
        <w:spacing w:line="360" w:lineRule="auto" w:before="187"/>
        <w:ind w:left="102" w:right="116"/>
        <w:jc w:val="both"/>
      </w:pPr>
      <w:r>
        <w:rPr/>
        <w:t>Es</w:t>
      </w:r>
      <w:r>
        <w:rPr>
          <w:spacing w:val="-19"/>
        </w:rPr>
        <w:t> </w:t>
      </w:r>
      <w:r>
        <w:rPr/>
        <w:t>preciso</w:t>
      </w:r>
      <w:r>
        <w:rPr>
          <w:spacing w:val="-18"/>
        </w:rPr>
        <w:t> </w:t>
      </w:r>
      <w:r>
        <w:rPr/>
        <w:t>aclarar</w:t>
      </w:r>
      <w:r>
        <w:rPr>
          <w:spacing w:val="-19"/>
        </w:rPr>
        <w:t> </w:t>
      </w:r>
      <w:r>
        <w:rPr/>
        <w:t>que,</w:t>
      </w:r>
      <w:r>
        <w:rPr>
          <w:spacing w:val="-20"/>
        </w:rPr>
        <w:t> </w:t>
      </w:r>
      <w:r>
        <w:rPr/>
        <w:t>dentro</w:t>
      </w:r>
      <w:r>
        <w:rPr>
          <w:spacing w:val="-20"/>
        </w:rPr>
        <w:t> </w:t>
      </w:r>
      <w:r>
        <w:rPr/>
        <w:t>de</w:t>
      </w:r>
      <w:r>
        <w:rPr>
          <w:spacing w:val="-18"/>
        </w:rPr>
        <w:t> </w:t>
      </w:r>
      <w:r>
        <w:rPr/>
        <w:t>esa</w:t>
      </w:r>
      <w:r>
        <w:rPr>
          <w:spacing w:val="-18"/>
        </w:rPr>
        <w:t> </w:t>
      </w:r>
      <w:r>
        <w:rPr/>
        <w:t>construcción</w:t>
      </w:r>
      <w:r>
        <w:rPr>
          <w:spacing w:val="-18"/>
        </w:rPr>
        <w:t> </w:t>
      </w:r>
      <w:r>
        <w:rPr/>
        <w:t>de</w:t>
      </w:r>
      <w:r>
        <w:rPr>
          <w:spacing w:val="-18"/>
        </w:rPr>
        <w:t> </w:t>
      </w:r>
      <w:r>
        <w:rPr/>
        <w:t>la</w:t>
      </w:r>
      <w:r>
        <w:rPr>
          <w:spacing w:val="-20"/>
        </w:rPr>
        <w:t> </w:t>
      </w:r>
      <w:r>
        <w:rPr/>
        <w:t>democracia,</w:t>
      </w:r>
      <w:r>
        <w:rPr>
          <w:spacing w:val="-18"/>
        </w:rPr>
        <w:t> </w:t>
      </w:r>
      <w:r>
        <w:rPr/>
        <w:t>la</w:t>
      </w:r>
      <w:r>
        <w:rPr>
          <w:spacing w:val="-18"/>
        </w:rPr>
        <w:t> </w:t>
      </w:r>
      <w:r>
        <w:rPr/>
        <w:t>participación social es fundamental para que sean los ciudadanos quienes la consoliden dentro del tejido colectivo de la sociedad. Sin embargo, es preciso aclarar que solamente los ciudadanos bien informados son capaces de ejercer plenamente sus derechos políticos, participar activamente en la política e influir en la agenda del gobierno, </w:t>
      </w:r>
      <w:r>
        <w:rPr>
          <w:spacing w:val="-3"/>
        </w:rPr>
        <w:t>ya </w:t>
      </w:r>
      <w:r>
        <w:rPr/>
        <w:t>que los ciudadanos poco informados pueden dar oportunidad al gobierno de manipular la información de acuerdo a sus intereses (Guerrero, 2010). Asimismo, ello implica que la sociedad también sea razonable al momento de solicitar información,</w:t>
      </w:r>
      <w:r>
        <w:rPr>
          <w:spacing w:val="-9"/>
        </w:rPr>
        <w:t> </w:t>
      </w:r>
      <w:r>
        <w:rPr/>
        <w:t>debido</w:t>
      </w:r>
      <w:r>
        <w:rPr>
          <w:spacing w:val="-8"/>
        </w:rPr>
        <w:t> </w:t>
      </w:r>
      <w:r>
        <w:rPr/>
        <w:t>a</w:t>
      </w:r>
      <w:r>
        <w:rPr>
          <w:spacing w:val="-6"/>
        </w:rPr>
        <w:t> </w:t>
      </w:r>
      <w:r>
        <w:rPr/>
        <w:t>que</w:t>
      </w:r>
      <w:r>
        <w:rPr>
          <w:spacing w:val="-6"/>
        </w:rPr>
        <w:t> </w:t>
      </w:r>
      <w:r>
        <w:rPr/>
        <w:t>el</w:t>
      </w:r>
      <w:r>
        <w:rPr>
          <w:spacing w:val="-7"/>
        </w:rPr>
        <w:t> </w:t>
      </w:r>
      <w:r>
        <w:rPr/>
        <w:t>discurso</w:t>
      </w:r>
      <w:r>
        <w:rPr>
          <w:spacing w:val="-8"/>
        </w:rPr>
        <w:t> </w:t>
      </w:r>
      <w:r>
        <w:rPr/>
        <w:t>dominante</w:t>
      </w:r>
      <w:r>
        <w:rPr>
          <w:spacing w:val="-8"/>
        </w:rPr>
        <w:t> </w:t>
      </w:r>
      <w:r>
        <w:rPr/>
        <w:t>en</w:t>
      </w:r>
      <w:r>
        <w:rPr>
          <w:spacing w:val="-6"/>
        </w:rPr>
        <w:t> </w:t>
      </w:r>
      <w:r>
        <w:rPr/>
        <w:t>México</w:t>
      </w:r>
      <w:r>
        <w:rPr>
          <w:spacing w:val="-6"/>
        </w:rPr>
        <w:t> </w:t>
      </w:r>
      <w:r>
        <w:rPr/>
        <w:t>ha</w:t>
      </w:r>
      <w:r>
        <w:rPr>
          <w:spacing w:val="-6"/>
        </w:rPr>
        <w:t> </w:t>
      </w:r>
      <w:r>
        <w:rPr/>
        <w:t>sido</w:t>
      </w:r>
      <w:r>
        <w:rPr>
          <w:spacing w:val="-8"/>
        </w:rPr>
        <w:t> </w:t>
      </w:r>
      <w:r>
        <w:rPr/>
        <w:t>aquel</w:t>
      </w:r>
      <w:r>
        <w:rPr>
          <w:spacing w:val="-7"/>
        </w:rPr>
        <w:t> </w:t>
      </w:r>
      <w:r>
        <w:rPr/>
        <w:t>que</w:t>
      </w:r>
      <w:r>
        <w:rPr>
          <w:spacing w:val="-6"/>
        </w:rPr>
        <w:t> </w:t>
      </w:r>
      <w:r>
        <w:rPr/>
        <w:t>parte de   una   premisa   sustantiva:   los   servidores   públicos   y   los   políticos    </w:t>
      </w:r>
      <w:r>
        <w:rPr>
          <w:spacing w:val="22"/>
        </w:rPr>
        <w:t> </w:t>
      </w:r>
      <w:r>
        <w:rPr/>
        <w:t>son</w:t>
      </w:r>
    </w:p>
    <w:p>
      <w:pPr>
        <w:spacing w:after="0" w:line="360" w:lineRule="auto"/>
        <w:jc w:val="both"/>
        <w:sectPr>
          <w:pgSz w:w="12240" w:h="15840"/>
          <w:pgMar w:header="0" w:footer="1035" w:top="1360" w:bottom="1220" w:left="1600" w:right="1580"/>
        </w:sectPr>
      </w:pPr>
    </w:p>
    <w:p>
      <w:pPr>
        <w:pStyle w:val="BodyText"/>
        <w:spacing w:line="360" w:lineRule="auto" w:before="54"/>
        <w:ind w:left="102" w:right="118"/>
        <w:jc w:val="both"/>
      </w:pPr>
      <w:r>
        <w:rPr/>
        <w:t>fundamentalmente actores con intereses políticos y, por lo tanto, resistentes a la transparencia. Está en su racionalidad esconder la información, guardarla por secreto burocrático, dado que la “opacidad” les conviene. Sin considerar que la sociedad solicita información clasificada como reservada o en condiciones que no la tienen las dependencias (Arellano, 2007).</w:t>
      </w:r>
    </w:p>
    <w:p>
      <w:pPr>
        <w:pStyle w:val="BodyText"/>
      </w:pPr>
    </w:p>
    <w:p>
      <w:pPr>
        <w:pStyle w:val="BodyText"/>
      </w:pPr>
    </w:p>
    <w:p>
      <w:pPr>
        <w:pStyle w:val="BodyText"/>
        <w:spacing w:line="360" w:lineRule="auto" w:before="187"/>
        <w:ind w:left="102" w:right="116"/>
        <w:jc w:val="both"/>
      </w:pPr>
      <w:r>
        <w:rPr/>
        <w:t>Respecto a lo anterior es pertinente señalar que la transparencia busca reducir la zona</w:t>
      </w:r>
      <w:r>
        <w:rPr>
          <w:spacing w:val="-7"/>
        </w:rPr>
        <w:t> </w:t>
      </w:r>
      <w:r>
        <w:rPr/>
        <w:t>de</w:t>
      </w:r>
      <w:r>
        <w:rPr>
          <w:spacing w:val="-7"/>
        </w:rPr>
        <w:t> </w:t>
      </w:r>
      <w:r>
        <w:rPr/>
        <w:t>incertidumbre</w:t>
      </w:r>
      <w:r>
        <w:rPr>
          <w:spacing w:val="-12"/>
        </w:rPr>
        <w:t> </w:t>
      </w:r>
      <w:r>
        <w:rPr/>
        <w:t>que</w:t>
      </w:r>
      <w:r>
        <w:rPr>
          <w:spacing w:val="-7"/>
        </w:rPr>
        <w:t> </w:t>
      </w:r>
      <w:r>
        <w:rPr/>
        <w:t>tiene</w:t>
      </w:r>
      <w:r>
        <w:rPr>
          <w:spacing w:val="-7"/>
        </w:rPr>
        <w:t> </w:t>
      </w:r>
      <w:r>
        <w:rPr/>
        <w:t>los</w:t>
      </w:r>
      <w:r>
        <w:rPr>
          <w:spacing w:val="-8"/>
        </w:rPr>
        <w:t> </w:t>
      </w:r>
      <w:r>
        <w:rPr/>
        <w:t>ciudadanos</w:t>
      </w:r>
      <w:r>
        <w:rPr>
          <w:spacing w:val="-8"/>
        </w:rPr>
        <w:t> </w:t>
      </w:r>
      <w:r>
        <w:rPr/>
        <w:t>respecto</w:t>
      </w:r>
      <w:r>
        <w:rPr>
          <w:spacing w:val="-9"/>
        </w:rPr>
        <w:t> </w:t>
      </w:r>
      <w:r>
        <w:rPr/>
        <w:t>a</w:t>
      </w:r>
      <w:r>
        <w:rPr>
          <w:spacing w:val="-9"/>
        </w:rPr>
        <w:t> </w:t>
      </w:r>
      <w:r>
        <w:rPr/>
        <w:t>lo</w:t>
      </w:r>
      <w:r>
        <w:rPr>
          <w:spacing w:val="-10"/>
        </w:rPr>
        <w:t> </w:t>
      </w:r>
      <w:r>
        <w:rPr/>
        <w:t>que</w:t>
      </w:r>
      <w:r>
        <w:rPr>
          <w:spacing w:val="-9"/>
        </w:rPr>
        <w:t> </w:t>
      </w:r>
      <w:r>
        <w:rPr/>
        <w:t>hace</w:t>
      </w:r>
      <w:r>
        <w:rPr>
          <w:spacing w:val="-9"/>
        </w:rPr>
        <w:t> </w:t>
      </w:r>
      <w:r>
        <w:rPr/>
        <w:t>el</w:t>
      </w:r>
      <w:r>
        <w:rPr>
          <w:spacing w:val="-8"/>
        </w:rPr>
        <w:t> </w:t>
      </w:r>
      <w:r>
        <w:rPr/>
        <w:t>gobierno, por ello los gobernantes siempre están cuidando no dar a conocer la información que</w:t>
      </w:r>
      <w:r>
        <w:rPr>
          <w:spacing w:val="-6"/>
        </w:rPr>
        <w:t> </w:t>
      </w:r>
      <w:r>
        <w:rPr/>
        <w:t>pudiera</w:t>
      </w:r>
      <w:r>
        <w:rPr>
          <w:spacing w:val="-6"/>
        </w:rPr>
        <w:t> </w:t>
      </w:r>
      <w:r>
        <w:rPr/>
        <w:t>poner</w:t>
      </w:r>
      <w:r>
        <w:rPr>
          <w:spacing w:val="-7"/>
        </w:rPr>
        <w:t> </w:t>
      </w:r>
      <w:r>
        <w:rPr/>
        <w:t>en</w:t>
      </w:r>
      <w:r>
        <w:rPr>
          <w:spacing w:val="-6"/>
        </w:rPr>
        <w:t> </w:t>
      </w:r>
      <w:r>
        <w:rPr/>
        <w:t>peligro</w:t>
      </w:r>
      <w:r>
        <w:rPr>
          <w:spacing w:val="-7"/>
        </w:rPr>
        <w:t> </w:t>
      </w:r>
      <w:r>
        <w:rPr/>
        <w:t>la</w:t>
      </w:r>
      <w:r>
        <w:rPr>
          <w:spacing w:val="-6"/>
        </w:rPr>
        <w:t> </w:t>
      </w:r>
      <w:r>
        <w:rPr/>
        <w:t>legitimidad</w:t>
      </w:r>
      <w:r>
        <w:rPr>
          <w:spacing w:val="-6"/>
        </w:rPr>
        <w:t> </w:t>
      </w:r>
      <w:r>
        <w:rPr/>
        <w:t>del</w:t>
      </w:r>
      <w:r>
        <w:rPr>
          <w:spacing w:val="-7"/>
        </w:rPr>
        <w:t> </w:t>
      </w:r>
      <w:r>
        <w:rPr/>
        <w:t>Estado,</w:t>
      </w:r>
      <w:r>
        <w:rPr>
          <w:spacing w:val="-6"/>
        </w:rPr>
        <w:t> </w:t>
      </w:r>
      <w:r>
        <w:rPr/>
        <w:t>ya</w:t>
      </w:r>
      <w:r>
        <w:rPr>
          <w:spacing w:val="-6"/>
        </w:rPr>
        <w:t> </w:t>
      </w:r>
      <w:r>
        <w:rPr/>
        <w:t>que</w:t>
      </w:r>
      <w:r>
        <w:rPr>
          <w:spacing w:val="-6"/>
        </w:rPr>
        <w:t> </w:t>
      </w:r>
      <w:r>
        <w:rPr/>
        <w:t>esto</w:t>
      </w:r>
      <w:r>
        <w:rPr>
          <w:spacing w:val="-6"/>
        </w:rPr>
        <w:t> </w:t>
      </w:r>
      <w:r>
        <w:rPr/>
        <w:t>impediría</w:t>
      </w:r>
      <w:r>
        <w:rPr>
          <w:spacing w:val="-6"/>
        </w:rPr>
        <w:t> </w:t>
      </w:r>
      <w:r>
        <w:rPr/>
        <w:t>seguir maximizando sus propios beneficios (Crozier y Friedberg, 1990). De ahí viene la importancia de que la sociedad participe, entienda y valore la transparencia como una</w:t>
      </w:r>
      <w:r>
        <w:rPr>
          <w:spacing w:val="-4"/>
        </w:rPr>
        <w:t> </w:t>
      </w:r>
      <w:r>
        <w:rPr/>
        <w:t>institución</w:t>
      </w:r>
      <w:r>
        <w:rPr>
          <w:spacing w:val="-4"/>
        </w:rPr>
        <w:t> </w:t>
      </w:r>
      <w:r>
        <w:rPr/>
        <w:t>útil</w:t>
      </w:r>
      <w:r>
        <w:rPr>
          <w:spacing w:val="-5"/>
        </w:rPr>
        <w:t> </w:t>
      </w:r>
      <w:r>
        <w:rPr/>
        <w:t>para</w:t>
      </w:r>
      <w:r>
        <w:rPr>
          <w:spacing w:val="-7"/>
        </w:rPr>
        <w:t> </w:t>
      </w:r>
      <w:r>
        <w:rPr/>
        <w:t>la</w:t>
      </w:r>
      <w:r>
        <w:rPr>
          <w:spacing w:val="-4"/>
        </w:rPr>
        <w:t> </w:t>
      </w:r>
      <w:r>
        <w:rPr/>
        <w:t>vida</w:t>
      </w:r>
      <w:r>
        <w:rPr>
          <w:spacing w:val="-3"/>
        </w:rPr>
        <w:t> </w:t>
      </w:r>
      <w:r>
        <w:rPr/>
        <w:t>en</w:t>
      </w:r>
      <w:r>
        <w:rPr>
          <w:spacing w:val="-4"/>
        </w:rPr>
        <w:t> </w:t>
      </w:r>
      <w:r>
        <w:rPr/>
        <w:t>común,</w:t>
      </w:r>
      <w:r>
        <w:rPr>
          <w:spacing w:val="-6"/>
        </w:rPr>
        <w:t> </w:t>
      </w:r>
      <w:r>
        <w:rPr/>
        <w:t>no</w:t>
      </w:r>
      <w:r>
        <w:rPr>
          <w:spacing w:val="-4"/>
        </w:rPr>
        <w:t> </w:t>
      </w:r>
      <w:r>
        <w:rPr/>
        <w:t>como</w:t>
      </w:r>
      <w:r>
        <w:rPr>
          <w:spacing w:val="-6"/>
        </w:rPr>
        <w:t> </w:t>
      </w:r>
      <w:r>
        <w:rPr/>
        <w:t>un</w:t>
      </w:r>
      <w:r>
        <w:rPr>
          <w:spacing w:val="-6"/>
        </w:rPr>
        <w:t> </w:t>
      </w:r>
      <w:r>
        <w:rPr/>
        <w:t>mal</w:t>
      </w:r>
      <w:r>
        <w:rPr>
          <w:spacing w:val="-5"/>
        </w:rPr>
        <w:t> </w:t>
      </w:r>
      <w:r>
        <w:rPr/>
        <w:t>inevitable. Lo</w:t>
      </w:r>
      <w:r>
        <w:rPr>
          <w:spacing w:val="-4"/>
        </w:rPr>
        <w:t> </w:t>
      </w:r>
      <w:r>
        <w:rPr/>
        <w:t>público</w:t>
      </w:r>
      <w:r>
        <w:rPr>
          <w:spacing w:val="-6"/>
        </w:rPr>
        <w:t> </w:t>
      </w:r>
      <w:r>
        <w:rPr/>
        <w:t>del Estado es entonces una condición indispensable para que el ejercicio del poder no sea faraónico, sino que favorezca más la convivencia de los opuestos dando vigencia a relaciones de igualdad y equidad, que se sustentan como principios irrenunciables de la sociedad civil moderna (Uvalle,</w:t>
      </w:r>
      <w:r>
        <w:rPr>
          <w:spacing w:val="-18"/>
        </w:rPr>
        <w:t> </w:t>
      </w:r>
      <w:r>
        <w:rPr/>
        <w:t>2007).</w:t>
      </w:r>
    </w:p>
    <w:p>
      <w:pPr>
        <w:pStyle w:val="BodyText"/>
      </w:pPr>
    </w:p>
    <w:p>
      <w:pPr>
        <w:pStyle w:val="BodyText"/>
        <w:spacing w:before="1"/>
        <w:rPr>
          <w:sz w:val="26"/>
        </w:rPr>
      </w:pPr>
    </w:p>
    <w:p>
      <w:pPr>
        <w:pStyle w:val="BodyText"/>
        <w:spacing w:line="360" w:lineRule="auto" w:before="1"/>
        <w:ind w:left="102" w:right="117"/>
        <w:jc w:val="both"/>
      </w:pPr>
      <w:r>
        <w:rPr/>
        <w:t>La transparencia no debe verse como un derecho abstracto o mero conjunto de normas de revelación, sino como un componente estratégico de toda la política pública que se vincula con instituciones e instrumentos concretos. Se trata de un código</w:t>
      </w:r>
      <w:r>
        <w:rPr>
          <w:spacing w:val="-17"/>
        </w:rPr>
        <w:t> </w:t>
      </w:r>
      <w:r>
        <w:rPr/>
        <w:t>genético</w:t>
      </w:r>
      <w:r>
        <w:rPr>
          <w:spacing w:val="-17"/>
        </w:rPr>
        <w:t> </w:t>
      </w:r>
      <w:r>
        <w:rPr/>
        <w:t>reutilizable</w:t>
      </w:r>
      <w:r>
        <w:rPr>
          <w:spacing w:val="-19"/>
        </w:rPr>
        <w:t> </w:t>
      </w:r>
      <w:r>
        <w:rPr/>
        <w:t>que</w:t>
      </w:r>
      <w:r>
        <w:rPr>
          <w:spacing w:val="-19"/>
        </w:rPr>
        <w:t> </w:t>
      </w:r>
      <w:r>
        <w:rPr/>
        <w:t>debe</w:t>
      </w:r>
      <w:r>
        <w:rPr>
          <w:spacing w:val="-19"/>
        </w:rPr>
        <w:t> </w:t>
      </w:r>
      <w:r>
        <w:rPr/>
        <w:t>combinarse</w:t>
      </w:r>
      <w:r>
        <w:rPr>
          <w:spacing w:val="-17"/>
        </w:rPr>
        <w:t> </w:t>
      </w:r>
      <w:r>
        <w:rPr/>
        <w:t>de</w:t>
      </w:r>
      <w:r>
        <w:rPr>
          <w:spacing w:val="-21"/>
        </w:rPr>
        <w:t> </w:t>
      </w:r>
      <w:r>
        <w:rPr/>
        <w:t>manera</w:t>
      </w:r>
      <w:r>
        <w:rPr>
          <w:spacing w:val="-20"/>
        </w:rPr>
        <w:t> </w:t>
      </w:r>
      <w:r>
        <w:rPr/>
        <w:t>creativa</w:t>
      </w:r>
      <w:r>
        <w:rPr>
          <w:spacing w:val="-17"/>
        </w:rPr>
        <w:t> </w:t>
      </w:r>
      <w:r>
        <w:rPr/>
        <w:t>para</w:t>
      </w:r>
      <w:r>
        <w:rPr>
          <w:spacing w:val="-22"/>
        </w:rPr>
        <w:t> </w:t>
      </w:r>
      <w:r>
        <w:rPr/>
        <w:t>potenciar patrones de comportamiento y derechos participativos exigibles. Es una forma efectiva de crear foros o cuasi espacios públicos que coadyuven a la transparencia en distintos ámbitos (Cantú </w:t>
      </w:r>
      <w:r>
        <w:rPr>
          <w:i/>
        </w:rPr>
        <w:t>et. al. </w:t>
      </w:r>
      <w:r>
        <w:rPr/>
        <w:t>2011), donde “la cultura de la transparencia fomenta</w:t>
      </w:r>
      <w:r>
        <w:rPr>
          <w:spacing w:val="-6"/>
        </w:rPr>
        <w:t> </w:t>
      </w:r>
      <w:r>
        <w:rPr/>
        <w:t>la</w:t>
      </w:r>
      <w:r>
        <w:rPr>
          <w:spacing w:val="-6"/>
        </w:rPr>
        <w:t> </w:t>
      </w:r>
      <w:r>
        <w:rPr/>
        <w:t>rendición</w:t>
      </w:r>
      <w:r>
        <w:rPr>
          <w:spacing w:val="-6"/>
        </w:rPr>
        <w:t> </w:t>
      </w:r>
      <w:r>
        <w:rPr/>
        <w:t>de</w:t>
      </w:r>
      <w:r>
        <w:rPr>
          <w:spacing w:val="-6"/>
        </w:rPr>
        <w:t> </w:t>
      </w:r>
      <w:r>
        <w:rPr/>
        <w:t>cuentas,</w:t>
      </w:r>
      <w:r>
        <w:rPr>
          <w:spacing w:val="-6"/>
        </w:rPr>
        <w:t> </w:t>
      </w:r>
      <w:r>
        <w:rPr/>
        <w:t>legitima</w:t>
      </w:r>
      <w:r>
        <w:rPr>
          <w:spacing w:val="-8"/>
        </w:rPr>
        <w:t> </w:t>
      </w:r>
      <w:r>
        <w:rPr/>
        <w:t>a</w:t>
      </w:r>
      <w:r>
        <w:rPr>
          <w:spacing w:val="-6"/>
        </w:rPr>
        <w:t> </w:t>
      </w:r>
      <w:r>
        <w:rPr/>
        <w:t>las</w:t>
      </w:r>
      <w:r>
        <w:rPr>
          <w:spacing w:val="-7"/>
        </w:rPr>
        <w:t> </w:t>
      </w:r>
      <w:r>
        <w:rPr/>
        <w:t>instituciones</w:t>
      </w:r>
      <w:r>
        <w:rPr>
          <w:spacing w:val="-7"/>
        </w:rPr>
        <w:t> </w:t>
      </w:r>
      <w:r>
        <w:rPr/>
        <w:t>públicas</w:t>
      </w:r>
      <w:r>
        <w:rPr>
          <w:spacing w:val="-7"/>
        </w:rPr>
        <w:t> </w:t>
      </w:r>
      <w:r>
        <w:rPr/>
        <w:t>y</w:t>
      </w:r>
      <w:r>
        <w:rPr>
          <w:spacing w:val="-9"/>
        </w:rPr>
        <w:t> </w:t>
      </w:r>
      <w:r>
        <w:rPr/>
        <w:t>establece</w:t>
      </w:r>
      <w:r>
        <w:rPr>
          <w:spacing w:val="-6"/>
        </w:rPr>
        <w:t> </w:t>
      </w:r>
      <w:r>
        <w:rPr/>
        <w:t>un puente de comunicación entre la sociedad y el gobierno” (INFOEM,</w:t>
      </w:r>
      <w:r>
        <w:rPr>
          <w:spacing w:val="-19"/>
        </w:rPr>
        <w:t> </w:t>
      </w:r>
      <w:r>
        <w:rPr/>
        <w:t>2011:9).</w:t>
      </w:r>
    </w:p>
    <w:p>
      <w:pPr>
        <w:spacing w:after="0" w:line="360" w:lineRule="auto"/>
        <w:jc w:val="both"/>
        <w:sectPr>
          <w:pgSz w:w="12240" w:h="15840"/>
          <w:pgMar w:header="0" w:footer="1035" w:top="1360" w:bottom="1220" w:left="1600" w:right="1580"/>
        </w:sectPr>
      </w:pPr>
    </w:p>
    <w:p>
      <w:pPr>
        <w:pStyle w:val="BodyText"/>
        <w:spacing w:line="360" w:lineRule="auto" w:before="54"/>
        <w:ind w:left="102" w:right="115"/>
        <w:jc w:val="both"/>
      </w:pPr>
      <w:r>
        <w:rPr/>
        <w:t>En México, la transparencia es la única forma en que los ciudadanos podemos conocer</w:t>
      </w:r>
      <w:r>
        <w:rPr>
          <w:spacing w:val="-12"/>
        </w:rPr>
        <w:t> </w:t>
      </w:r>
      <w:r>
        <w:rPr/>
        <w:t>lo</w:t>
      </w:r>
      <w:r>
        <w:rPr>
          <w:spacing w:val="-11"/>
        </w:rPr>
        <w:t> </w:t>
      </w:r>
      <w:r>
        <w:rPr/>
        <w:t>que</w:t>
      </w:r>
      <w:r>
        <w:rPr>
          <w:spacing w:val="-11"/>
        </w:rPr>
        <w:t> </w:t>
      </w:r>
      <w:r>
        <w:rPr/>
        <w:t>hace</w:t>
      </w:r>
      <w:r>
        <w:rPr>
          <w:spacing w:val="-13"/>
        </w:rPr>
        <w:t> </w:t>
      </w:r>
      <w:r>
        <w:rPr/>
        <w:t>el</w:t>
      </w:r>
      <w:r>
        <w:rPr>
          <w:spacing w:val="-12"/>
        </w:rPr>
        <w:t> </w:t>
      </w:r>
      <w:r>
        <w:rPr/>
        <w:t>gobierno</w:t>
      </w:r>
      <w:r>
        <w:rPr>
          <w:spacing w:val="-11"/>
        </w:rPr>
        <w:t> </w:t>
      </w:r>
      <w:r>
        <w:rPr/>
        <w:t>con</w:t>
      </w:r>
      <w:r>
        <w:rPr>
          <w:spacing w:val="-11"/>
        </w:rPr>
        <w:t> </w:t>
      </w:r>
      <w:r>
        <w:rPr/>
        <w:t>los</w:t>
      </w:r>
      <w:r>
        <w:rPr>
          <w:spacing w:val="-11"/>
        </w:rPr>
        <w:t> </w:t>
      </w:r>
      <w:r>
        <w:rPr/>
        <w:t>impuestos</w:t>
      </w:r>
      <w:r>
        <w:rPr>
          <w:spacing w:val="-12"/>
        </w:rPr>
        <w:t> </w:t>
      </w:r>
      <w:r>
        <w:rPr/>
        <w:t>que</w:t>
      </w:r>
      <w:r>
        <w:rPr>
          <w:spacing w:val="-11"/>
        </w:rPr>
        <w:t> </w:t>
      </w:r>
      <w:r>
        <w:rPr/>
        <w:t>pagamos,</w:t>
      </w:r>
      <w:r>
        <w:rPr>
          <w:spacing w:val="-11"/>
        </w:rPr>
        <w:t> </w:t>
      </w:r>
      <w:r>
        <w:rPr/>
        <w:t>la</w:t>
      </w:r>
      <w:r>
        <w:rPr>
          <w:spacing w:val="-13"/>
        </w:rPr>
        <w:t> </w:t>
      </w:r>
      <w:r>
        <w:rPr/>
        <w:t>operatividad</w:t>
      </w:r>
      <w:r>
        <w:rPr>
          <w:spacing w:val="-11"/>
        </w:rPr>
        <w:t> </w:t>
      </w:r>
      <w:r>
        <w:rPr/>
        <w:t>de los programas sociales, niveles de educación, seguridad, empleo, pobreza, los procedimientos para realizar trámites gubernamentales, entre otros aspectos que permiten conocer el desempeño del gobierno respecto a lo prometido en </w:t>
      </w:r>
      <w:r>
        <w:rPr>
          <w:spacing w:val="3"/>
        </w:rPr>
        <w:t>las </w:t>
      </w:r>
      <w:r>
        <w:rPr/>
        <w:t>campañas electorales (Ávila,</w:t>
      </w:r>
      <w:r>
        <w:rPr>
          <w:spacing w:val="-8"/>
        </w:rPr>
        <w:t> </w:t>
      </w:r>
      <w:r>
        <w:rPr/>
        <w:t>2013).</w:t>
      </w:r>
    </w:p>
    <w:p>
      <w:pPr>
        <w:pStyle w:val="BodyText"/>
      </w:pPr>
    </w:p>
    <w:p>
      <w:pPr>
        <w:pStyle w:val="BodyText"/>
      </w:pPr>
    </w:p>
    <w:p>
      <w:pPr>
        <w:pStyle w:val="BodyText"/>
        <w:spacing w:line="360" w:lineRule="auto" w:before="185"/>
        <w:ind w:left="102" w:right="116"/>
        <w:jc w:val="both"/>
      </w:pPr>
      <w:r>
        <w:rPr/>
        <w:t>Es importante recordar, que como señala Goffman (1981), los individuos constantemente cambian de máscara según la situación. En este sentido, los gobernantes durante los periodos electorales se crean un escenario teatral que presenta hechos ficticios (promesas de campaña). El papel que desempeña un individuo (candidato) se ajusta a los papeles representados por los otros</w:t>
      </w:r>
      <w:r>
        <w:rPr>
          <w:spacing w:val="-33"/>
        </w:rPr>
        <w:t> </w:t>
      </w:r>
      <w:r>
        <w:rPr/>
        <w:t>individuos presentes (grupos de interés), pero una vez que esos candidatos llegan al poder, utilizan la información para que ésta solo evidencie los logros obtenidos durante su gestión y se ocultan los rezagos, problemas y corrupción que se generan en su periodo de gobierno. La transparencia entonces, cumple la función de hacer públicos ambas cosas, lo bueno y lo malo de la gestión</w:t>
      </w:r>
      <w:r>
        <w:rPr>
          <w:spacing w:val="-21"/>
        </w:rPr>
        <w:t> </w:t>
      </w:r>
      <w:r>
        <w:rPr/>
        <w:t>pública.</w:t>
      </w:r>
    </w:p>
    <w:p>
      <w:pPr>
        <w:pStyle w:val="BodyText"/>
      </w:pPr>
    </w:p>
    <w:p>
      <w:pPr>
        <w:pStyle w:val="BodyText"/>
      </w:pPr>
    </w:p>
    <w:p>
      <w:pPr>
        <w:pStyle w:val="BodyText"/>
        <w:spacing w:before="5"/>
        <w:rPr>
          <w:sz w:val="19"/>
        </w:rPr>
      </w:pPr>
    </w:p>
    <w:p>
      <w:pPr>
        <w:pStyle w:val="Heading1"/>
        <w:numPr>
          <w:ilvl w:val="0"/>
          <w:numId w:val="22"/>
        </w:numPr>
        <w:tabs>
          <w:tab w:pos="530" w:val="left" w:leader="none"/>
        </w:tabs>
        <w:spacing w:line="240" w:lineRule="auto" w:before="0" w:after="0"/>
        <w:ind w:left="529" w:right="0" w:hanging="360"/>
        <w:jc w:val="both"/>
      </w:pPr>
      <w:r>
        <w:rPr/>
        <w:t>Los que la definen como política</w:t>
      </w:r>
      <w:r>
        <w:rPr>
          <w:spacing w:val="-8"/>
        </w:rPr>
        <w:t> </w:t>
      </w:r>
      <w:r>
        <w:rPr/>
        <w:t>pública</w:t>
      </w:r>
    </w:p>
    <w:p>
      <w:pPr>
        <w:pStyle w:val="BodyText"/>
        <w:rPr>
          <w:b/>
        </w:rPr>
      </w:pPr>
    </w:p>
    <w:p>
      <w:pPr>
        <w:pStyle w:val="BodyText"/>
        <w:rPr>
          <w:b/>
        </w:rPr>
      </w:pPr>
    </w:p>
    <w:p>
      <w:pPr>
        <w:pStyle w:val="BodyText"/>
        <w:spacing w:line="360" w:lineRule="auto" w:before="161"/>
        <w:ind w:left="102" w:right="117"/>
        <w:jc w:val="both"/>
      </w:pPr>
      <w:r>
        <w:rPr/>
        <w:t>La transparencia como política pública contribuye a que el Estado y la sociedad queden unidos en términos de responsabilidad, corresponsabilidad y funcionalidad donde se hace factible que el acceso a la información sea institucionalizado en el ámbito del Estado de derecho (Uvalle, 2012). No obstante, lograr lo anterior ha exigido una reforma gubernamental orientada para mejorar la certidumbre que la sociedad</w:t>
      </w:r>
      <w:r>
        <w:rPr>
          <w:spacing w:val="-15"/>
        </w:rPr>
        <w:t> </w:t>
      </w:r>
      <w:r>
        <w:rPr/>
        <w:t>tiene</w:t>
      </w:r>
      <w:r>
        <w:rPr>
          <w:spacing w:val="-17"/>
        </w:rPr>
        <w:t> </w:t>
      </w:r>
      <w:r>
        <w:rPr/>
        <w:t>respecto</w:t>
      </w:r>
      <w:r>
        <w:rPr>
          <w:spacing w:val="-15"/>
        </w:rPr>
        <w:t> </w:t>
      </w:r>
      <w:r>
        <w:rPr/>
        <w:t>al</w:t>
      </w:r>
      <w:r>
        <w:rPr>
          <w:spacing w:val="-16"/>
        </w:rPr>
        <w:t> </w:t>
      </w:r>
      <w:r>
        <w:rPr/>
        <w:t>quehacer</w:t>
      </w:r>
      <w:r>
        <w:rPr>
          <w:spacing w:val="-19"/>
        </w:rPr>
        <w:t> </w:t>
      </w:r>
      <w:r>
        <w:rPr/>
        <w:t>del</w:t>
      </w:r>
      <w:r>
        <w:rPr>
          <w:spacing w:val="-16"/>
        </w:rPr>
        <w:t> </w:t>
      </w:r>
      <w:r>
        <w:rPr/>
        <w:t>gobierno.,</w:t>
      </w:r>
      <w:r>
        <w:rPr>
          <w:spacing w:val="-15"/>
        </w:rPr>
        <w:t> </w:t>
      </w:r>
      <w:r>
        <w:rPr/>
        <w:t>ya</w:t>
      </w:r>
      <w:r>
        <w:rPr>
          <w:spacing w:val="-15"/>
        </w:rPr>
        <w:t> </w:t>
      </w:r>
      <w:r>
        <w:rPr/>
        <w:t>que</w:t>
      </w:r>
      <w:r>
        <w:rPr>
          <w:spacing w:val="-15"/>
        </w:rPr>
        <w:t> </w:t>
      </w:r>
      <w:r>
        <w:rPr/>
        <w:t>como</w:t>
      </w:r>
      <w:r>
        <w:rPr>
          <w:spacing w:val="-15"/>
        </w:rPr>
        <w:t> </w:t>
      </w:r>
      <w:r>
        <w:rPr/>
        <w:t>afirma</w:t>
      </w:r>
      <w:r>
        <w:rPr>
          <w:spacing w:val="-17"/>
        </w:rPr>
        <w:t> </w:t>
      </w:r>
      <w:r>
        <w:rPr/>
        <w:t>Nacif</w:t>
      </w:r>
      <w:r>
        <w:rPr>
          <w:spacing w:val="-13"/>
        </w:rPr>
        <w:t> </w:t>
      </w:r>
      <w:r>
        <w:rPr/>
        <w:t>(2010), el</w:t>
      </w:r>
      <w:r>
        <w:rPr>
          <w:spacing w:val="-11"/>
        </w:rPr>
        <w:t> </w:t>
      </w:r>
      <w:r>
        <w:rPr/>
        <w:t>proceso</w:t>
      </w:r>
      <w:r>
        <w:rPr>
          <w:spacing w:val="-9"/>
        </w:rPr>
        <w:t> </w:t>
      </w:r>
      <w:r>
        <w:rPr/>
        <w:t>de</w:t>
      </w:r>
      <w:r>
        <w:rPr>
          <w:spacing w:val="-9"/>
        </w:rPr>
        <w:t> </w:t>
      </w:r>
      <w:r>
        <w:rPr/>
        <w:t>alternancia</w:t>
      </w:r>
      <w:r>
        <w:rPr>
          <w:spacing w:val="-10"/>
        </w:rPr>
        <w:t> </w:t>
      </w:r>
      <w:r>
        <w:rPr/>
        <w:t>trajo</w:t>
      </w:r>
      <w:r>
        <w:rPr>
          <w:spacing w:val="-10"/>
        </w:rPr>
        <w:t> </w:t>
      </w:r>
      <w:r>
        <w:rPr/>
        <w:t>consigo</w:t>
      </w:r>
      <w:r>
        <w:rPr>
          <w:spacing w:val="-9"/>
        </w:rPr>
        <w:t> </w:t>
      </w:r>
      <w:r>
        <w:rPr/>
        <w:t>una</w:t>
      </w:r>
      <w:r>
        <w:rPr>
          <w:spacing w:val="-9"/>
        </w:rPr>
        <w:t> </w:t>
      </w:r>
      <w:r>
        <w:rPr/>
        <w:t>reestructuración</w:t>
      </w:r>
      <w:r>
        <w:rPr>
          <w:spacing w:val="-12"/>
        </w:rPr>
        <w:t> </w:t>
      </w:r>
      <w:r>
        <w:rPr/>
        <w:t>del</w:t>
      </w:r>
      <w:r>
        <w:rPr>
          <w:spacing w:val="-11"/>
        </w:rPr>
        <w:t> </w:t>
      </w:r>
      <w:r>
        <w:rPr/>
        <w:t>gobierno,</w:t>
      </w:r>
      <w:r>
        <w:rPr>
          <w:spacing w:val="-10"/>
        </w:rPr>
        <w:t> </w:t>
      </w:r>
      <w:r>
        <w:rPr/>
        <w:t>ya</w:t>
      </w:r>
      <w:r>
        <w:rPr>
          <w:spacing w:val="-9"/>
        </w:rPr>
        <w:t> </w:t>
      </w:r>
      <w:r>
        <w:rPr/>
        <w:t>que</w:t>
      </w:r>
      <w:r>
        <w:rPr>
          <w:spacing w:val="-12"/>
        </w:rPr>
        <w:t> </w:t>
      </w:r>
      <w:r>
        <w:rPr/>
        <w:t>se acabó el autoritarismo del presidente y se entró en una mesa de debates en la</w:t>
      </w:r>
      <w:r>
        <w:rPr>
          <w:spacing w:val="-16"/>
        </w:rPr>
        <w:t> </w:t>
      </w:r>
      <w:r>
        <w:rPr/>
        <w:t>que</w:t>
      </w:r>
    </w:p>
    <w:p>
      <w:pPr>
        <w:spacing w:after="0" w:line="360" w:lineRule="auto"/>
        <w:jc w:val="both"/>
        <w:sectPr>
          <w:pgSz w:w="12240" w:h="15840"/>
          <w:pgMar w:header="0" w:footer="1035" w:top="1360" w:bottom="1220" w:left="1600" w:right="1580"/>
        </w:sectPr>
      </w:pPr>
    </w:p>
    <w:p>
      <w:pPr>
        <w:pStyle w:val="BodyText"/>
        <w:spacing w:line="362" w:lineRule="auto" w:before="54"/>
        <w:ind w:left="102" w:right="121"/>
        <w:jc w:val="both"/>
      </w:pPr>
      <w:r>
        <w:rPr/>
        <w:t>el congreso comenzó a hacer frente a las decisiones del ejecutivo, lo que trajo consigo un nuevo estilo de negociación entre los poderes del gobierno.</w:t>
      </w:r>
    </w:p>
    <w:p>
      <w:pPr>
        <w:pStyle w:val="BodyText"/>
      </w:pPr>
    </w:p>
    <w:p>
      <w:pPr>
        <w:pStyle w:val="BodyText"/>
      </w:pPr>
    </w:p>
    <w:p>
      <w:pPr>
        <w:pStyle w:val="BodyText"/>
        <w:spacing w:before="4"/>
        <w:rPr>
          <w:sz w:val="19"/>
        </w:rPr>
      </w:pPr>
    </w:p>
    <w:p>
      <w:pPr>
        <w:pStyle w:val="BodyText"/>
        <w:spacing w:line="360" w:lineRule="auto" w:before="1"/>
        <w:ind w:left="102" w:right="115"/>
        <w:jc w:val="both"/>
      </w:pPr>
      <w:r>
        <w:rPr/>
        <w:t>Adicionalmente, las recientes elecciones del 2012 resultaron de suma importancia, no solo porque estuvieron impregnados del uso de términos como transparencia y rendición de cuentas, que sirvieron de slogans para ganar la simpatía de los votantes, sino porque significaron el regreso del PRI al gobierno federal, gobiernos estatales y municipales que habían perdido electoralmente, lo que </w:t>
      </w:r>
      <w:r>
        <w:rPr>
          <w:spacing w:val="3"/>
        </w:rPr>
        <w:t>les </w:t>
      </w:r>
      <w:r>
        <w:rPr/>
        <w:t>obliga a legitimarse ante la sociedad para contrarrestar la visión de retraso, corrupción y burocracia creada durante los dos sexenios panistas que les antecedieron. En</w:t>
      </w:r>
      <w:r>
        <w:rPr>
          <w:spacing w:val="-42"/>
        </w:rPr>
        <w:t> </w:t>
      </w:r>
      <w:r>
        <w:rPr/>
        <w:t>este sentido</w:t>
      </w:r>
      <w:r>
        <w:rPr>
          <w:spacing w:val="-6"/>
        </w:rPr>
        <w:t> </w:t>
      </w:r>
      <w:r>
        <w:rPr/>
        <w:t>los</w:t>
      </w:r>
      <w:r>
        <w:rPr>
          <w:spacing w:val="-6"/>
        </w:rPr>
        <w:t> </w:t>
      </w:r>
      <w:r>
        <w:rPr/>
        <w:t>gobiernos</w:t>
      </w:r>
      <w:r>
        <w:rPr>
          <w:spacing w:val="-9"/>
        </w:rPr>
        <w:t> </w:t>
      </w:r>
      <w:r>
        <w:rPr/>
        <w:t>priistas</w:t>
      </w:r>
      <w:r>
        <w:rPr>
          <w:spacing w:val="-7"/>
        </w:rPr>
        <w:t> </w:t>
      </w:r>
      <w:r>
        <w:rPr/>
        <w:t>deberán</w:t>
      </w:r>
      <w:r>
        <w:rPr>
          <w:spacing w:val="-8"/>
        </w:rPr>
        <w:t> </w:t>
      </w:r>
      <w:r>
        <w:rPr/>
        <w:t>utilizar</w:t>
      </w:r>
      <w:r>
        <w:rPr>
          <w:spacing w:val="-7"/>
        </w:rPr>
        <w:t> </w:t>
      </w:r>
      <w:r>
        <w:rPr/>
        <w:t>y</w:t>
      </w:r>
      <w:r>
        <w:rPr>
          <w:spacing w:val="-9"/>
        </w:rPr>
        <w:t> </w:t>
      </w:r>
      <w:r>
        <w:rPr/>
        <w:t>en</w:t>
      </w:r>
      <w:r>
        <w:rPr>
          <w:spacing w:val="-6"/>
        </w:rPr>
        <w:t> </w:t>
      </w:r>
      <w:r>
        <w:rPr/>
        <w:t>su</w:t>
      </w:r>
      <w:r>
        <w:rPr>
          <w:spacing w:val="-6"/>
        </w:rPr>
        <w:t> </w:t>
      </w:r>
      <w:r>
        <w:rPr/>
        <w:t>caso</w:t>
      </w:r>
      <w:r>
        <w:rPr>
          <w:spacing w:val="-6"/>
        </w:rPr>
        <w:t> </w:t>
      </w:r>
      <w:r>
        <w:rPr/>
        <w:t>reforzar</w:t>
      </w:r>
      <w:r>
        <w:rPr>
          <w:spacing w:val="-7"/>
        </w:rPr>
        <w:t> </w:t>
      </w:r>
      <w:r>
        <w:rPr/>
        <w:t>los</w:t>
      </w:r>
      <w:r>
        <w:rPr>
          <w:spacing w:val="-6"/>
        </w:rPr>
        <w:t> </w:t>
      </w:r>
      <w:r>
        <w:rPr/>
        <w:t>mecanismos de transparencia y rendición de cuentas creados por los gobiernos anteriores para lograr legitimar sus acciones ante la sociedad y justificar su regreso al</w:t>
      </w:r>
      <w:r>
        <w:rPr>
          <w:spacing w:val="-19"/>
        </w:rPr>
        <w:t> </w:t>
      </w:r>
      <w:r>
        <w:rPr/>
        <w:t>gobierno.</w:t>
      </w:r>
    </w:p>
    <w:p>
      <w:pPr>
        <w:pStyle w:val="BodyText"/>
      </w:pPr>
    </w:p>
    <w:p>
      <w:pPr>
        <w:pStyle w:val="BodyText"/>
      </w:pPr>
    </w:p>
    <w:p>
      <w:pPr>
        <w:pStyle w:val="BodyText"/>
        <w:spacing w:line="360" w:lineRule="auto" w:before="187"/>
        <w:ind w:left="102" w:right="120"/>
        <w:jc w:val="both"/>
      </w:pPr>
      <w:r>
        <w:rPr/>
        <w:t>Respecto a lo anterior, Uvalle (2007) señala que a la luz de los cambios democráticos, la gobernabilidad, la transparencia y la gobernanza abren paso a nuevas formas de convivencia, en las cuales la sociedad y el Estado revisan sus relaciones, ámbitos y espacios de acción para ampliar y fortalecer la convivencia republicana en términos modernos. En el caso de la transparencia, la igualdad permite que las personas civiles y los ciudadanos tengan un trato que posibilite invocar el derecho a la información, para conocer y evaluar la acción de los gobernantes.</w:t>
      </w:r>
    </w:p>
    <w:p>
      <w:pPr>
        <w:pStyle w:val="BodyText"/>
      </w:pPr>
    </w:p>
    <w:p>
      <w:pPr>
        <w:pStyle w:val="BodyText"/>
      </w:pPr>
    </w:p>
    <w:p>
      <w:pPr>
        <w:pStyle w:val="BodyText"/>
        <w:spacing w:line="360" w:lineRule="auto" w:before="186"/>
        <w:ind w:left="102" w:right="115"/>
        <w:jc w:val="both"/>
      </w:pPr>
      <w:r>
        <w:rPr/>
        <w:t>Por</w:t>
      </w:r>
      <w:r>
        <w:rPr>
          <w:spacing w:val="-11"/>
        </w:rPr>
        <w:t> </w:t>
      </w:r>
      <w:r>
        <w:rPr/>
        <w:t>su</w:t>
      </w:r>
      <w:r>
        <w:rPr>
          <w:spacing w:val="-9"/>
        </w:rPr>
        <w:t> </w:t>
      </w:r>
      <w:r>
        <w:rPr/>
        <w:t>parte,</w:t>
      </w:r>
      <w:r>
        <w:rPr>
          <w:spacing w:val="-10"/>
        </w:rPr>
        <w:t> </w:t>
      </w:r>
      <w:r>
        <w:rPr/>
        <w:t>Santizo</w:t>
      </w:r>
      <w:r>
        <w:rPr>
          <w:spacing w:val="-9"/>
        </w:rPr>
        <w:t> </w:t>
      </w:r>
      <w:r>
        <w:rPr/>
        <w:t>(2006)</w:t>
      </w:r>
      <w:r>
        <w:rPr>
          <w:spacing w:val="-11"/>
        </w:rPr>
        <w:t> </w:t>
      </w:r>
      <w:r>
        <w:rPr/>
        <w:t>a</w:t>
      </w:r>
      <w:r>
        <w:rPr>
          <w:spacing w:val="-6"/>
        </w:rPr>
        <w:t> </w:t>
      </w:r>
      <w:r>
        <w:rPr/>
        <w:t>través</w:t>
      </w:r>
      <w:r>
        <w:rPr>
          <w:spacing w:val="-10"/>
        </w:rPr>
        <w:t> </w:t>
      </w:r>
      <w:r>
        <w:rPr/>
        <w:t>evaluar</w:t>
      </w:r>
      <w:r>
        <w:rPr>
          <w:spacing w:val="-8"/>
        </w:rPr>
        <w:t> </w:t>
      </w:r>
      <w:r>
        <w:rPr/>
        <w:t>los</w:t>
      </w:r>
      <w:r>
        <w:rPr>
          <w:spacing w:val="-10"/>
        </w:rPr>
        <w:t> </w:t>
      </w:r>
      <w:r>
        <w:rPr/>
        <w:t>grados</w:t>
      </w:r>
      <w:r>
        <w:rPr>
          <w:spacing w:val="-10"/>
        </w:rPr>
        <w:t> </w:t>
      </w:r>
      <w:r>
        <w:rPr/>
        <w:t>de</w:t>
      </w:r>
      <w:r>
        <w:rPr>
          <w:spacing w:val="-9"/>
        </w:rPr>
        <w:t> </w:t>
      </w:r>
      <w:r>
        <w:rPr/>
        <w:t>transparencia,</w:t>
      </w:r>
      <w:r>
        <w:rPr>
          <w:spacing w:val="-9"/>
        </w:rPr>
        <w:t> </w:t>
      </w:r>
      <w:r>
        <w:rPr/>
        <w:t>rendición de cuentas y participación social en la implementación del Programa de Escuelas de</w:t>
      </w:r>
      <w:r>
        <w:rPr>
          <w:spacing w:val="-8"/>
        </w:rPr>
        <w:t> </w:t>
      </w:r>
      <w:r>
        <w:rPr/>
        <w:t>Calidad</w:t>
      </w:r>
      <w:r>
        <w:rPr>
          <w:spacing w:val="-8"/>
        </w:rPr>
        <w:t> </w:t>
      </w:r>
      <w:r>
        <w:rPr/>
        <w:t>describe</w:t>
      </w:r>
      <w:r>
        <w:rPr>
          <w:spacing w:val="-8"/>
        </w:rPr>
        <w:t> </w:t>
      </w:r>
      <w:r>
        <w:rPr/>
        <w:t>cómo</w:t>
      </w:r>
      <w:r>
        <w:rPr>
          <w:spacing w:val="-11"/>
        </w:rPr>
        <w:t> </w:t>
      </w:r>
      <w:r>
        <w:rPr/>
        <w:t>a</w:t>
      </w:r>
      <w:r>
        <w:rPr>
          <w:spacing w:val="-8"/>
        </w:rPr>
        <w:t> </w:t>
      </w:r>
      <w:r>
        <w:rPr/>
        <w:t>través</w:t>
      </w:r>
      <w:r>
        <w:rPr>
          <w:spacing w:val="-9"/>
        </w:rPr>
        <w:t> </w:t>
      </w:r>
      <w:r>
        <w:rPr/>
        <w:t>del</w:t>
      </w:r>
      <w:r>
        <w:rPr>
          <w:spacing w:val="-10"/>
        </w:rPr>
        <w:t> </w:t>
      </w:r>
      <w:r>
        <w:rPr/>
        <w:t>involucramiento</w:t>
      </w:r>
      <w:r>
        <w:rPr>
          <w:spacing w:val="-8"/>
        </w:rPr>
        <w:t> </w:t>
      </w:r>
      <w:r>
        <w:rPr/>
        <w:t>y</w:t>
      </w:r>
      <w:r>
        <w:rPr>
          <w:spacing w:val="-12"/>
        </w:rPr>
        <w:t> </w:t>
      </w:r>
      <w:r>
        <w:rPr/>
        <w:t>participación</w:t>
      </w:r>
      <w:r>
        <w:rPr>
          <w:spacing w:val="-8"/>
        </w:rPr>
        <w:t> </w:t>
      </w:r>
      <w:r>
        <w:rPr/>
        <w:t>directa</w:t>
      </w:r>
      <w:r>
        <w:rPr>
          <w:spacing w:val="-10"/>
        </w:rPr>
        <w:t> </w:t>
      </w:r>
      <w:r>
        <w:rPr/>
        <w:t>de</w:t>
      </w:r>
      <w:r>
        <w:rPr>
          <w:spacing w:val="-11"/>
        </w:rPr>
        <w:t> </w:t>
      </w:r>
      <w:r>
        <w:rPr/>
        <w:t>los actores clave en el programa se lograron mejores resultados del mismo, que se tradujeron en más beneficios sociales. La transparencia es asunto que concierne a la</w:t>
      </w:r>
      <w:r>
        <w:rPr>
          <w:spacing w:val="22"/>
        </w:rPr>
        <w:t> </w:t>
      </w:r>
      <w:r>
        <w:rPr/>
        <w:t>sociedad,</w:t>
      </w:r>
      <w:r>
        <w:rPr>
          <w:spacing w:val="22"/>
        </w:rPr>
        <w:t> </w:t>
      </w:r>
      <w:r>
        <w:rPr/>
        <w:t>los</w:t>
      </w:r>
      <w:r>
        <w:rPr>
          <w:spacing w:val="20"/>
        </w:rPr>
        <w:t> </w:t>
      </w:r>
      <w:r>
        <w:rPr/>
        <w:t>ciudadanos</w:t>
      </w:r>
      <w:r>
        <w:rPr>
          <w:spacing w:val="22"/>
        </w:rPr>
        <w:t> </w:t>
      </w:r>
      <w:r>
        <w:rPr/>
        <w:t>y</w:t>
      </w:r>
      <w:r>
        <w:rPr>
          <w:spacing w:val="19"/>
        </w:rPr>
        <w:t> </w:t>
      </w:r>
      <w:r>
        <w:rPr/>
        <w:t>al</w:t>
      </w:r>
      <w:r>
        <w:rPr>
          <w:spacing w:val="25"/>
        </w:rPr>
        <w:t> </w:t>
      </w:r>
      <w:r>
        <w:rPr/>
        <w:t>Estado,</w:t>
      </w:r>
      <w:r>
        <w:rPr>
          <w:spacing w:val="20"/>
        </w:rPr>
        <w:t> </w:t>
      </w:r>
      <w:r>
        <w:rPr/>
        <w:t>motivo</w:t>
      </w:r>
      <w:r>
        <w:rPr>
          <w:spacing w:val="23"/>
        </w:rPr>
        <w:t> </w:t>
      </w:r>
      <w:r>
        <w:rPr/>
        <w:t>por</w:t>
      </w:r>
      <w:r>
        <w:rPr>
          <w:spacing w:val="21"/>
        </w:rPr>
        <w:t> </w:t>
      </w:r>
      <w:r>
        <w:rPr/>
        <w:t>el</w:t>
      </w:r>
      <w:r>
        <w:rPr>
          <w:spacing w:val="21"/>
        </w:rPr>
        <w:t> </w:t>
      </w:r>
      <w:r>
        <w:rPr/>
        <w:t>cual</w:t>
      </w:r>
      <w:r>
        <w:rPr>
          <w:spacing w:val="21"/>
        </w:rPr>
        <w:t> </w:t>
      </w:r>
      <w:r>
        <w:rPr/>
        <w:t>su</w:t>
      </w:r>
      <w:r>
        <w:rPr>
          <w:spacing w:val="23"/>
        </w:rPr>
        <w:t> </w:t>
      </w:r>
      <w:r>
        <w:rPr/>
        <w:t>importancia</w:t>
      </w:r>
      <w:r>
        <w:rPr>
          <w:spacing w:val="23"/>
        </w:rPr>
        <w:t> </w:t>
      </w:r>
      <w:r>
        <w:rPr/>
        <w:t>no</w:t>
      </w:r>
      <w:r>
        <w:rPr>
          <w:spacing w:val="20"/>
        </w:rPr>
        <w:t> </w:t>
      </w:r>
      <w:r>
        <w:rPr/>
        <w:t>se</w:t>
      </w:r>
    </w:p>
    <w:p>
      <w:pPr>
        <w:spacing w:after="0" w:line="360" w:lineRule="auto"/>
        <w:jc w:val="both"/>
        <w:sectPr>
          <w:pgSz w:w="12240" w:h="15840"/>
          <w:pgMar w:header="0" w:footer="1035" w:top="1360" w:bottom="1220" w:left="1600" w:right="1580"/>
        </w:sectPr>
      </w:pPr>
    </w:p>
    <w:p>
      <w:pPr>
        <w:pStyle w:val="BodyText"/>
        <w:spacing w:line="360" w:lineRule="auto" w:before="54"/>
        <w:ind w:left="102" w:right="116"/>
        <w:jc w:val="both"/>
      </w:pPr>
      <w:r>
        <w:rPr/>
        <w:t>restringe</w:t>
      </w:r>
      <w:r>
        <w:rPr>
          <w:spacing w:val="-3"/>
        </w:rPr>
        <w:t> </w:t>
      </w:r>
      <w:r>
        <w:rPr/>
        <w:t>solo</w:t>
      </w:r>
      <w:r>
        <w:rPr>
          <w:spacing w:val="-4"/>
        </w:rPr>
        <w:t> </w:t>
      </w:r>
      <w:r>
        <w:rPr/>
        <w:t>a</w:t>
      </w:r>
      <w:r>
        <w:rPr>
          <w:spacing w:val="-6"/>
        </w:rPr>
        <w:t> </w:t>
      </w:r>
      <w:r>
        <w:rPr/>
        <w:t>lo</w:t>
      </w:r>
      <w:r>
        <w:rPr>
          <w:spacing w:val="-4"/>
        </w:rPr>
        <w:t> </w:t>
      </w:r>
      <w:r>
        <w:rPr/>
        <w:t>gubernamental</w:t>
      </w:r>
      <w:r>
        <w:rPr>
          <w:spacing w:val="-5"/>
        </w:rPr>
        <w:t> </w:t>
      </w:r>
      <w:r>
        <w:rPr/>
        <w:t>y</w:t>
      </w:r>
      <w:r>
        <w:rPr>
          <w:spacing w:val="-7"/>
        </w:rPr>
        <w:t> </w:t>
      </w:r>
      <w:r>
        <w:rPr/>
        <w:t>lo</w:t>
      </w:r>
      <w:r>
        <w:rPr>
          <w:spacing w:val="-4"/>
        </w:rPr>
        <w:t> </w:t>
      </w:r>
      <w:r>
        <w:rPr/>
        <w:t>no</w:t>
      </w:r>
      <w:r>
        <w:rPr>
          <w:spacing w:val="-6"/>
        </w:rPr>
        <w:t> </w:t>
      </w:r>
      <w:r>
        <w:rPr/>
        <w:t>gubernamental,</w:t>
      </w:r>
      <w:r>
        <w:rPr>
          <w:spacing w:val="-4"/>
        </w:rPr>
        <w:t> </w:t>
      </w:r>
      <w:r>
        <w:rPr/>
        <w:t>sino</w:t>
      </w:r>
      <w:r>
        <w:rPr>
          <w:spacing w:val="-4"/>
        </w:rPr>
        <w:t> </w:t>
      </w:r>
      <w:r>
        <w:rPr/>
        <w:t>que</w:t>
      </w:r>
      <w:r>
        <w:rPr>
          <w:spacing w:val="-4"/>
        </w:rPr>
        <w:t> </w:t>
      </w:r>
      <w:r>
        <w:rPr/>
        <w:t>contiene</w:t>
      </w:r>
      <w:r>
        <w:rPr>
          <w:spacing w:val="-6"/>
        </w:rPr>
        <w:t> </w:t>
      </w:r>
      <w:r>
        <w:rPr/>
        <w:t>a</w:t>
      </w:r>
      <w:r>
        <w:rPr>
          <w:spacing w:val="-4"/>
        </w:rPr>
        <w:t> </w:t>
      </w:r>
      <w:r>
        <w:rPr/>
        <w:t>uno</w:t>
      </w:r>
      <w:r>
        <w:rPr>
          <w:spacing w:val="-4"/>
        </w:rPr>
        <w:t> </w:t>
      </w:r>
      <w:r>
        <w:rPr/>
        <w:t>y otro</w:t>
      </w:r>
      <w:r>
        <w:rPr>
          <w:spacing w:val="-17"/>
        </w:rPr>
        <w:t> </w:t>
      </w:r>
      <w:r>
        <w:rPr/>
        <w:t>sobre</w:t>
      </w:r>
      <w:r>
        <w:rPr>
          <w:spacing w:val="-17"/>
        </w:rPr>
        <w:t> </w:t>
      </w:r>
      <w:r>
        <w:rPr/>
        <w:t>la</w:t>
      </w:r>
      <w:r>
        <w:rPr>
          <w:spacing w:val="-17"/>
        </w:rPr>
        <w:t> </w:t>
      </w:r>
      <w:r>
        <w:rPr/>
        <w:t>estructuración</w:t>
      </w:r>
      <w:r>
        <w:rPr>
          <w:spacing w:val="-16"/>
        </w:rPr>
        <w:t> </w:t>
      </w:r>
      <w:r>
        <w:rPr/>
        <w:t>de</w:t>
      </w:r>
      <w:r>
        <w:rPr>
          <w:spacing w:val="-17"/>
        </w:rPr>
        <w:t> </w:t>
      </w:r>
      <w:r>
        <w:rPr/>
        <w:t>reglas</w:t>
      </w:r>
      <w:r>
        <w:rPr>
          <w:spacing w:val="-17"/>
        </w:rPr>
        <w:t> </w:t>
      </w:r>
      <w:r>
        <w:rPr/>
        <w:t>institucionales</w:t>
      </w:r>
      <w:r>
        <w:rPr>
          <w:spacing w:val="-17"/>
        </w:rPr>
        <w:t> </w:t>
      </w:r>
      <w:r>
        <w:rPr/>
        <w:t>que</w:t>
      </w:r>
      <w:r>
        <w:rPr>
          <w:spacing w:val="-17"/>
        </w:rPr>
        <w:t> </w:t>
      </w:r>
      <w:r>
        <w:rPr/>
        <w:t>incentivan</w:t>
      </w:r>
      <w:r>
        <w:rPr>
          <w:spacing w:val="-17"/>
        </w:rPr>
        <w:t> </w:t>
      </w:r>
      <w:r>
        <w:rPr/>
        <w:t>la</w:t>
      </w:r>
      <w:r>
        <w:rPr>
          <w:spacing w:val="-19"/>
        </w:rPr>
        <w:t> </w:t>
      </w:r>
      <w:r>
        <w:rPr/>
        <w:t>estructuración de reglas institucionales que motivan la interacción de ámbitos que imprimen dinámica a la correlación de fuerzas con la sociedad (Uvalle, 2012). En este contexto la transparencia como política pública, implica lo</w:t>
      </w:r>
      <w:r>
        <w:rPr>
          <w:spacing w:val="-25"/>
        </w:rPr>
        <w:t> </w:t>
      </w:r>
      <w:r>
        <w:rPr/>
        <w:t>siguiente:</w:t>
      </w:r>
    </w:p>
    <w:p>
      <w:pPr>
        <w:pStyle w:val="BodyText"/>
      </w:pPr>
    </w:p>
    <w:p>
      <w:pPr>
        <w:pStyle w:val="BodyText"/>
      </w:pPr>
    </w:p>
    <w:p>
      <w:pPr>
        <w:pStyle w:val="BodyText"/>
        <w:spacing w:before="8"/>
        <w:rPr>
          <w:sz w:val="19"/>
        </w:rPr>
      </w:pPr>
    </w:p>
    <w:p>
      <w:pPr>
        <w:pStyle w:val="ListParagraph"/>
        <w:numPr>
          <w:ilvl w:val="0"/>
          <w:numId w:val="23"/>
        </w:numPr>
        <w:tabs>
          <w:tab w:pos="529" w:val="left" w:leader="none"/>
          <w:tab w:pos="530" w:val="left" w:leader="none"/>
        </w:tabs>
        <w:spacing w:line="240" w:lineRule="auto" w:before="0" w:after="0"/>
        <w:ind w:left="529" w:right="0" w:hanging="360"/>
        <w:jc w:val="left"/>
        <w:rPr>
          <w:sz w:val="18"/>
        </w:rPr>
      </w:pPr>
      <w:r>
        <w:rPr>
          <w:sz w:val="18"/>
        </w:rPr>
        <w:t>“El responsable de generar la información público-gubernamental es el</w:t>
      </w:r>
      <w:r>
        <w:rPr>
          <w:spacing w:val="-32"/>
          <w:sz w:val="18"/>
        </w:rPr>
        <w:t> </w:t>
      </w:r>
      <w:r>
        <w:rPr>
          <w:sz w:val="18"/>
        </w:rPr>
        <w:t>Estado.</w:t>
      </w:r>
    </w:p>
    <w:p>
      <w:pPr>
        <w:pStyle w:val="ListParagraph"/>
        <w:numPr>
          <w:ilvl w:val="0"/>
          <w:numId w:val="23"/>
        </w:numPr>
        <w:tabs>
          <w:tab w:pos="529" w:val="left" w:leader="none"/>
          <w:tab w:pos="530" w:val="left" w:leader="none"/>
        </w:tabs>
        <w:spacing w:line="240" w:lineRule="auto" w:before="33" w:after="0"/>
        <w:ind w:left="529" w:right="0" w:hanging="360"/>
        <w:jc w:val="left"/>
        <w:rPr>
          <w:sz w:val="18"/>
        </w:rPr>
      </w:pPr>
      <w:r>
        <w:rPr>
          <w:sz w:val="18"/>
        </w:rPr>
        <w:t>Los beneficiarios de la información que el Estado produce son los</w:t>
      </w:r>
      <w:r>
        <w:rPr>
          <w:spacing w:val="-34"/>
          <w:sz w:val="18"/>
        </w:rPr>
        <w:t> </w:t>
      </w:r>
      <w:r>
        <w:rPr>
          <w:sz w:val="18"/>
        </w:rPr>
        <w:t>ciudadanos.</w:t>
      </w:r>
    </w:p>
    <w:p>
      <w:pPr>
        <w:pStyle w:val="ListParagraph"/>
        <w:numPr>
          <w:ilvl w:val="0"/>
          <w:numId w:val="23"/>
        </w:numPr>
        <w:tabs>
          <w:tab w:pos="529" w:val="left" w:leader="none"/>
          <w:tab w:pos="530" w:val="left" w:leader="none"/>
        </w:tabs>
        <w:spacing w:line="276" w:lineRule="auto" w:before="30" w:after="0"/>
        <w:ind w:left="529" w:right="122" w:hanging="360"/>
        <w:jc w:val="left"/>
        <w:rPr>
          <w:sz w:val="18"/>
        </w:rPr>
      </w:pPr>
      <w:r>
        <w:rPr>
          <w:sz w:val="18"/>
        </w:rPr>
        <w:t>La</w:t>
      </w:r>
      <w:r>
        <w:rPr>
          <w:spacing w:val="-8"/>
          <w:sz w:val="18"/>
        </w:rPr>
        <w:t> </w:t>
      </w:r>
      <w:r>
        <w:rPr>
          <w:sz w:val="18"/>
        </w:rPr>
        <w:t>información</w:t>
      </w:r>
      <w:r>
        <w:rPr>
          <w:spacing w:val="-6"/>
          <w:sz w:val="18"/>
        </w:rPr>
        <w:t> </w:t>
      </w:r>
      <w:r>
        <w:rPr>
          <w:sz w:val="18"/>
        </w:rPr>
        <w:t>público-gubernamental</w:t>
      </w:r>
      <w:r>
        <w:rPr>
          <w:spacing w:val="-8"/>
          <w:sz w:val="18"/>
        </w:rPr>
        <w:t> </w:t>
      </w:r>
      <w:r>
        <w:rPr>
          <w:sz w:val="18"/>
        </w:rPr>
        <w:t>se</w:t>
      </w:r>
      <w:r>
        <w:rPr>
          <w:spacing w:val="-8"/>
          <w:sz w:val="18"/>
        </w:rPr>
        <w:t> </w:t>
      </w:r>
      <w:r>
        <w:rPr>
          <w:sz w:val="18"/>
        </w:rPr>
        <w:t>genera</w:t>
      </w:r>
      <w:r>
        <w:rPr>
          <w:spacing w:val="-8"/>
          <w:sz w:val="18"/>
        </w:rPr>
        <w:t> </w:t>
      </w:r>
      <w:r>
        <w:rPr>
          <w:sz w:val="18"/>
        </w:rPr>
        <w:t>en</w:t>
      </w:r>
      <w:r>
        <w:rPr>
          <w:spacing w:val="-8"/>
          <w:sz w:val="18"/>
        </w:rPr>
        <w:t> </w:t>
      </w:r>
      <w:r>
        <w:rPr>
          <w:sz w:val="18"/>
        </w:rPr>
        <w:t>base</w:t>
      </w:r>
      <w:r>
        <w:rPr>
          <w:spacing w:val="-8"/>
          <w:sz w:val="18"/>
        </w:rPr>
        <w:t> </w:t>
      </w:r>
      <w:r>
        <w:rPr>
          <w:sz w:val="18"/>
        </w:rPr>
        <w:t>a</w:t>
      </w:r>
      <w:r>
        <w:rPr>
          <w:spacing w:val="-8"/>
          <w:sz w:val="18"/>
        </w:rPr>
        <w:t> </w:t>
      </w:r>
      <w:r>
        <w:rPr>
          <w:sz w:val="18"/>
        </w:rPr>
        <w:t>códigos,</w:t>
      </w:r>
      <w:r>
        <w:rPr>
          <w:spacing w:val="-8"/>
          <w:sz w:val="18"/>
        </w:rPr>
        <w:t> </w:t>
      </w:r>
      <w:r>
        <w:rPr>
          <w:sz w:val="18"/>
        </w:rPr>
        <w:t>reglas</w:t>
      </w:r>
      <w:r>
        <w:rPr>
          <w:spacing w:val="-8"/>
          <w:sz w:val="18"/>
        </w:rPr>
        <w:t> </w:t>
      </w:r>
      <w:r>
        <w:rPr>
          <w:sz w:val="18"/>
        </w:rPr>
        <w:t>y</w:t>
      </w:r>
      <w:r>
        <w:rPr>
          <w:spacing w:val="-10"/>
          <w:sz w:val="18"/>
        </w:rPr>
        <w:t> </w:t>
      </w:r>
      <w:r>
        <w:rPr>
          <w:sz w:val="18"/>
        </w:rPr>
        <w:t>procedimientos</w:t>
      </w:r>
      <w:r>
        <w:rPr>
          <w:spacing w:val="-5"/>
          <w:sz w:val="18"/>
        </w:rPr>
        <w:t> </w:t>
      </w:r>
      <w:r>
        <w:rPr>
          <w:sz w:val="18"/>
        </w:rPr>
        <w:t>burocráticos que</w:t>
      </w:r>
      <w:r>
        <w:rPr>
          <w:spacing w:val="-2"/>
          <w:sz w:val="18"/>
        </w:rPr>
        <w:t> </w:t>
      </w:r>
      <w:r>
        <w:rPr>
          <w:sz w:val="18"/>
        </w:rPr>
        <w:t>deben</w:t>
      </w:r>
      <w:r>
        <w:rPr>
          <w:spacing w:val="-4"/>
          <w:sz w:val="18"/>
        </w:rPr>
        <w:t> </w:t>
      </w:r>
      <w:r>
        <w:rPr>
          <w:sz w:val="18"/>
        </w:rPr>
        <w:t>tomar</w:t>
      </w:r>
      <w:r>
        <w:rPr>
          <w:spacing w:val="-2"/>
          <w:sz w:val="18"/>
        </w:rPr>
        <w:t> </w:t>
      </w:r>
      <w:r>
        <w:rPr>
          <w:sz w:val="18"/>
        </w:rPr>
        <w:t>en</w:t>
      </w:r>
      <w:r>
        <w:rPr>
          <w:spacing w:val="-2"/>
          <w:sz w:val="18"/>
        </w:rPr>
        <w:t> </w:t>
      </w:r>
      <w:r>
        <w:rPr>
          <w:sz w:val="18"/>
        </w:rPr>
        <w:t>cuenta</w:t>
      </w:r>
      <w:r>
        <w:rPr>
          <w:spacing w:val="-2"/>
          <w:sz w:val="18"/>
        </w:rPr>
        <w:t> </w:t>
      </w:r>
      <w:r>
        <w:rPr>
          <w:sz w:val="18"/>
        </w:rPr>
        <w:t>el</w:t>
      </w:r>
      <w:r>
        <w:rPr>
          <w:spacing w:val="-6"/>
          <w:sz w:val="18"/>
        </w:rPr>
        <w:t> </w:t>
      </w:r>
      <w:r>
        <w:rPr>
          <w:sz w:val="18"/>
        </w:rPr>
        <w:t>sentido</w:t>
      </w:r>
      <w:r>
        <w:rPr>
          <w:spacing w:val="-2"/>
          <w:sz w:val="18"/>
        </w:rPr>
        <w:t> </w:t>
      </w:r>
      <w:r>
        <w:rPr>
          <w:sz w:val="18"/>
        </w:rPr>
        <w:t>y</w:t>
      </w:r>
      <w:r>
        <w:rPr>
          <w:spacing w:val="-3"/>
          <w:sz w:val="18"/>
        </w:rPr>
        <w:t> </w:t>
      </w:r>
      <w:r>
        <w:rPr>
          <w:sz w:val="18"/>
        </w:rPr>
        <w:t>filosofía</w:t>
      </w:r>
      <w:r>
        <w:rPr>
          <w:spacing w:val="-4"/>
          <w:sz w:val="18"/>
        </w:rPr>
        <w:t> </w:t>
      </w:r>
      <w:r>
        <w:rPr>
          <w:sz w:val="18"/>
        </w:rPr>
        <w:t>del</w:t>
      </w:r>
      <w:r>
        <w:rPr>
          <w:spacing w:val="-2"/>
          <w:sz w:val="18"/>
        </w:rPr>
        <w:t> </w:t>
      </w:r>
      <w:r>
        <w:rPr>
          <w:sz w:val="18"/>
        </w:rPr>
        <w:t>derecho</w:t>
      </w:r>
      <w:r>
        <w:rPr>
          <w:spacing w:val="-4"/>
          <w:sz w:val="18"/>
        </w:rPr>
        <w:t> </w:t>
      </w:r>
      <w:r>
        <w:rPr>
          <w:sz w:val="18"/>
        </w:rPr>
        <w:t>a</w:t>
      </w:r>
      <w:r>
        <w:rPr>
          <w:spacing w:val="-2"/>
          <w:sz w:val="18"/>
        </w:rPr>
        <w:t> </w:t>
      </w:r>
      <w:r>
        <w:rPr>
          <w:sz w:val="18"/>
        </w:rPr>
        <w:t>la</w:t>
      </w:r>
      <w:r>
        <w:rPr>
          <w:spacing w:val="-4"/>
          <w:sz w:val="18"/>
        </w:rPr>
        <w:t> </w:t>
      </w:r>
      <w:r>
        <w:rPr>
          <w:sz w:val="18"/>
        </w:rPr>
        <w:t>información.</w:t>
      </w:r>
    </w:p>
    <w:p>
      <w:pPr>
        <w:pStyle w:val="ListParagraph"/>
        <w:numPr>
          <w:ilvl w:val="0"/>
          <w:numId w:val="23"/>
        </w:numPr>
        <w:tabs>
          <w:tab w:pos="529" w:val="left" w:leader="none"/>
          <w:tab w:pos="530" w:val="left" w:leader="none"/>
        </w:tabs>
        <w:spacing w:line="240" w:lineRule="auto" w:before="1" w:after="0"/>
        <w:ind w:left="529" w:right="0" w:hanging="360"/>
        <w:jc w:val="left"/>
        <w:rPr>
          <w:sz w:val="18"/>
        </w:rPr>
      </w:pPr>
      <w:r>
        <w:rPr>
          <w:sz w:val="18"/>
        </w:rPr>
        <w:t>La</w:t>
      </w:r>
      <w:r>
        <w:rPr>
          <w:spacing w:val="-8"/>
          <w:sz w:val="18"/>
        </w:rPr>
        <w:t> </w:t>
      </w:r>
      <w:r>
        <w:rPr>
          <w:sz w:val="18"/>
        </w:rPr>
        <w:t>sistematización</w:t>
      </w:r>
      <w:r>
        <w:rPr>
          <w:spacing w:val="-8"/>
          <w:sz w:val="18"/>
        </w:rPr>
        <w:t> </w:t>
      </w:r>
      <w:r>
        <w:rPr>
          <w:sz w:val="18"/>
        </w:rPr>
        <w:t>de</w:t>
      </w:r>
      <w:r>
        <w:rPr>
          <w:spacing w:val="-8"/>
          <w:sz w:val="18"/>
        </w:rPr>
        <w:t> </w:t>
      </w:r>
      <w:r>
        <w:rPr>
          <w:sz w:val="18"/>
        </w:rPr>
        <w:t>la</w:t>
      </w:r>
      <w:r>
        <w:rPr>
          <w:spacing w:val="-8"/>
          <w:sz w:val="18"/>
        </w:rPr>
        <w:t> </w:t>
      </w:r>
      <w:r>
        <w:rPr>
          <w:sz w:val="18"/>
        </w:rPr>
        <w:t>información</w:t>
      </w:r>
      <w:r>
        <w:rPr>
          <w:spacing w:val="-8"/>
          <w:sz w:val="18"/>
        </w:rPr>
        <w:t> </w:t>
      </w:r>
      <w:r>
        <w:rPr>
          <w:sz w:val="18"/>
        </w:rPr>
        <w:t>pública</w:t>
      </w:r>
      <w:r>
        <w:rPr>
          <w:spacing w:val="-11"/>
          <w:sz w:val="18"/>
        </w:rPr>
        <w:t> </w:t>
      </w:r>
      <w:r>
        <w:rPr>
          <w:sz w:val="18"/>
        </w:rPr>
        <w:t>se</w:t>
      </w:r>
      <w:r>
        <w:rPr>
          <w:spacing w:val="-8"/>
          <w:sz w:val="18"/>
        </w:rPr>
        <w:t> </w:t>
      </w:r>
      <w:r>
        <w:rPr>
          <w:sz w:val="18"/>
        </w:rPr>
        <w:t>formaliza</w:t>
      </w:r>
      <w:r>
        <w:rPr>
          <w:spacing w:val="-8"/>
          <w:sz w:val="18"/>
        </w:rPr>
        <w:t> </w:t>
      </w:r>
      <w:r>
        <w:rPr>
          <w:sz w:val="18"/>
        </w:rPr>
        <w:t>en</w:t>
      </w:r>
      <w:r>
        <w:rPr>
          <w:spacing w:val="-8"/>
          <w:sz w:val="18"/>
        </w:rPr>
        <w:t> </w:t>
      </w:r>
      <w:r>
        <w:rPr>
          <w:sz w:val="18"/>
        </w:rPr>
        <w:t>una</w:t>
      </w:r>
      <w:r>
        <w:rPr>
          <w:spacing w:val="-8"/>
          <w:sz w:val="18"/>
        </w:rPr>
        <w:t> </w:t>
      </w:r>
      <w:r>
        <w:rPr>
          <w:sz w:val="18"/>
        </w:rPr>
        <w:t>diversidad</w:t>
      </w:r>
      <w:r>
        <w:rPr>
          <w:spacing w:val="-8"/>
          <w:sz w:val="18"/>
        </w:rPr>
        <w:t> </w:t>
      </w:r>
      <w:r>
        <w:rPr>
          <w:sz w:val="18"/>
        </w:rPr>
        <w:t>de</w:t>
      </w:r>
      <w:r>
        <w:rPr>
          <w:spacing w:val="-8"/>
          <w:sz w:val="18"/>
        </w:rPr>
        <w:t> </w:t>
      </w:r>
      <w:r>
        <w:rPr>
          <w:sz w:val="18"/>
        </w:rPr>
        <w:t>archivos</w:t>
      </w:r>
      <w:r>
        <w:rPr>
          <w:spacing w:val="-10"/>
          <w:sz w:val="18"/>
        </w:rPr>
        <w:t> </w:t>
      </w:r>
      <w:r>
        <w:rPr>
          <w:sz w:val="18"/>
        </w:rPr>
        <w:t>gubernamentales.</w:t>
      </w:r>
    </w:p>
    <w:p>
      <w:pPr>
        <w:pStyle w:val="ListParagraph"/>
        <w:numPr>
          <w:ilvl w:val="0"/>
          <w:numId w:val="23"/>
        </w:numPr>
        <w:tabs>
          <w:tab w:pos="529" w:val="left" w:leader="none"/>
          <w:tab w:pos="530" w:val="left" w:leader="none"/>
        </w:tabs>
        <w:spacing w:line="276" w:lineRule="auto" w:before="30" w:after="0"/>
        <w:ind w:left="529" w:right="128" w:hanging="360"/>
        <w:jc w:val="left"/>
        <w:rPr>
          <w:sz w:val="18"/>
        </w:rPr>
      </w:pPr>
      <w:r>
        <w:rPr>
          <w:sz w:val="18"/>
        </w:rPr>
        <w:t>La publicidad de la esfera pública es objeto de legalidad y reglamentación para garantizar el derecho a la información a favor de los ciudadanos y demás grupos de la</w:t>
      </w:r>
      <w:r>
        <w:rPr>
          <w:spacing w:val="-32"/>
          <w:sz w:val="18"/>
        </w:rPr>
        <w:t> </w:t>
      </w:r>
      <w:r>
        <w:rPr>
          <w:sz w:val="18"/>
        </w:rPr>
        <w:t>sociedad.</w:t>
      </w:r>
    </w:p>
    <w:p>
      <w:pPr>
        <w:pStyle w:val="ListParagraph"/>
        <w:numPr>
          <w:ilvl w:val="0"/>
          <w:numId w:val="23"/>
        </w:numPr>
        <w:tabs>
          <w:tab w:pos="529" w:val="left" w:leader="none"/>
          <w:tab w:pos="530" w:val="left" w:leader="none"/>
        </w:tabs>
        <w:spacing w:line="276" w:lineRule="auto" w:before="3" w:after="0"/>
        <w:ind w:left="529" w:right="121" w:hanging="360"/>
        <w:jc w:val="left"/>
        <w:rPr>
          <w:sz w:val="18"/>
        </w:rPr>
      </w:pPr>
      <w:r>
        <w:rPr>
          <w:sz w:val="18"/>
        </w:rPr>
        <w:t>La información pública se produce y distribuye por canales </w:t>
      </w:r>
      <w:r>
        <w:rPr>
          <w:spacing w:val="4"/>
          <w:sz w:val="18"/>
        </w:rPr>
        <w:t>de </w:t>
      </w:r>
      <w:r>
        <w:rPr>
          <w:sz w:val="18"/>
        </w:rPr>
        <w:t>organización que enlazan a dos actores centrales, a saber: los políticos y los administradores del</w:t>
      </w:r>
      <w:r>
        <w:rPr>
          <w:spacing w:val="-26"/>
          <w:sz w:val="18"/>
        </w:rPr>
        <w:t> </w:t>
      </w:r>
      <w:r>
        <w:rPr>
          <w:sz w:val="18"/>
        </w:rPr>
        <w:t>Estado.</w:t>
      </w:r>
    </w:p>
    <w:p>
      <w:pPr>
        <w:pStyle w:val="ListParagraph"/>
        <w:numPr>
          <w:ilvl w:val="0"/>
          <w:numId w:val="23"/>
        </w:numPr>
        <w:tabs>
          <w:tab w:pos="529" w:val="left" w:leader="none"/>
          <w:tab w:pos="530" w:val="left" w:leader="none"/>
        </w:tabs>
        <w:spacing w:line="276" w:lineRule="auto" w:before="0" w:after="0"/>
        <w:ind w:left="529" w:right="126" w:hanging="360"/>
        <w:jc w:val="left"/>
        <w:rPr>
          <w:sz w:val="18"/>
        </w:rPr>
      </w:pPr>
      <w:r>
        <w:rPr>
          <w:sz w:val="18"/>
        </w:rPr>
        <w:t>Hay zonas de seguridad estatal que protegen su confidencialidad tomando en cuenta su ubicación estratégica para la vida</w:t>
      </w:r>
      <w:r>
        <w:rPr>
          <w:spacing w:val="-16"/>
          <w:sz w:val="18"/>
        </w:rPr>
        <w:t> </w:t>
      </w:r>
      <w:r>
        <w:rPr>
          <w:sz w:val="18"/>
        </w:rPr>
        <w:t>política.</w:t>
      </w:r>
    </w:p>
    <w:p>
      <w:pPr>
        <w:pStyle w:val="ListParagraph"/>
        <w:numPr>
          <w:ilvl w:val="0"/>
          <w:numId w:val="23"/>
        </w:numPr>
        <w:tabs>
          <w:tab w:pos="529" w:val="left" w:leader="none"/>
          <w:tab w:pos="530" w:val="left" w:leader="none"/>
        </w:tabs>
        <w:spacing w:line="276" w:lineRule="auto" w:before="0" w:after="0"/>
        <w:ind w:left="529" w:right="125" w:hanging="360"/>
        <w:jc w:val="left"/>
        <w:rPr>
          <w:sz w:val="18"/>
        </w:rPr>
      </w:pPr>
      <w:r>
        <w:rPr>
          <w:sz w:val="18"/>
        </w:rPr>
        <w:t>La seguridad es una zona relacionada con el imperativo de cuidar y proteger al Estado de poderes que tienden a desafiarlo y, por tanto, su acceso es</w:t>
      </w:r>
      <w:r>
        <w:rPr>
          <w:spacing w:val="-23"/>
          <w:sz w:val="18"/>
        </w:rPr>
        <w:t> </w:t>
      </w:r>
      <w:r>
        <w:rPr>
          <w:sz w:val="18"/>
        </w:rPr>
        <w:t>restringido.</w:t>
      </w:r>
    </w:p>
    <w:p>
      <w:pPr>
        <w:pStyle w:val="ListParagraph"/>
        <w:numPr>
          <w:ilvl w:val="0"/>
          <w:numId w:val="23"/>
        </w:numPr>
        <w:tabs>
          <w:tab w:pos="529" w:val="left" w:leader="none"/>
          <w:tab w:pos="530" w:val="left" w:leader="none"/>
        </w:tabs>
        <w:spacing w:line="276" w:lineRule="auto" w:before="3" w:after="0"/>
        <w:ind w:left="529" w:right="128" w:hanging="360"/>
        <w:jc w:val="left"/>
        <w:rPr>
          <w:sz w:val="18"/>
        </w:rPr>
      </w:pPr>
      <w:r>
        <w:rPr>
          <w:sz w:val="18"/>
        </w:rPr>
        <w:t>Hay responsabilidad ineludible para que las autoridades directivas y los cuadros burocráticos garanticen que el derecho a la información no se</w:t>
      </w:r>
      <w:r>
        <w:rPr>
          <w:spacing w:val="-19"/>
          <w:sz w:val="18"/>
        </w:rPr>
        <w:t> </w:t>
      </w:r>
      <w:r>
        <w:rPr>
          <w:sz w:val="18"/>
        </w:rPr>
        <w:t>acortado.</w:t>
      </w:r>
    </w:p>
    <w:p>
      <w:pPr>
        <w:pStyle w:val="ListParagraph"/>
        <w:numPr>
          <w:ilvl w:val="0"/>
          <w:numId w:val="23"/>
        </w:numPr>
        <w:tabs>
          <w:tab w:pos="530" w:val="left" w:leader="none"/>
        </w:tabs>
        <w:spacing w:line="276" w:lineRule="auto" w:before="0" w:after="0"/>
        <w:ind w:left="529" w:right="115" w:hanging="360"/>
        <w:jc w:val="both"/>
        <w:rPr>
          <w:sz w:val="18"/>
        </w:rPr>
      </w:pPr>
      <w:r>
        <w:rPr>
          <w:sz w:val="18"/>
        </w:rPr>
        <w:t>La información pública, como valor democrático, permite la vigilancia operacional del Estado desde el momento en que los ciudadanos tienen el derecho de conocer los archivos gubernamentales” (Uvalle, 2012:36-37).</w:t>
      </w:r>
    </w:p>
    <w:p>
      <w:pPr>
        <w:pStyle w:val="BodyText"/>
        <w:rPr>
          <w:sz w:val="18"/>
        </w:rPr>
      </w:pPr>
    </w:p>
    <w:p>
      <w:pPr>
        <w:pStyle w:val="BodyText"/>
        <w:rPr>
          <w:sz w:val="18"/>
        </w:rPr>
      </w:pPr>
    </w:p>
    <w:p>
      <w:pPr>
        <w:pStyle w:val="BodyText"/>
        <w:rPr>
          <w:sz w:val="18"/>
        </w:rPr>
      </w:pPr>
    </w:p>
    <w:p>
      <w:pPr>
        <w:pStyle w:val="BodyText"/>
        <w:spacing w:before="10"/>
        <w:rPr>
          <w:sz w:val="16"/>
        </w:rPr>
      </w:pPr>
    </w:p>
    <w:p>
      <w:pPr>
        <w:pStyle w:val="BodyText"/>
        <w:spacing w:line="360" w:lineRule="auto" w:before="1"/>
        <w:ind w:left="102" w:right="121"/>
        <w:jc w:val="both"/>
      </w:pPr>
      <w:r>
        <w:rPr/>
        <w:t>Con todas estas acciones se puede denotar que la política de transparencia no se agota en la formación de una oficina o de un órgano responsable de otorgar la información solicitada por las personas, sino que exige modificaciones mucho más amplias en la forma en que los gobiernos abordan la gestión pública. Y por esa razón, cada uno debe adoptarla conforme a sus propias características (Merino, 2006). Las políticas de transparencia son indispensables en una democracia. Sin embargo, para que el éxito de esta se dé, es imprescindible su incorporación a la cultura organizativa (en sus estructuras y en la toma de decisiones) y social, bajo un</w:t>
      </w:r>
      <w:r>
        <w:rPr>
          <w:spacing w:val="-16"/>
        </w:rPr>
        <w:t> </w:t>
      </w:r>
      <w:r>
        <w:rPr/>
        <w:t>criterio</w:t>
      </w:r>
      <w:r>
        <w:rPr>
          <w:spacing w:val="-16"/>
        </w:rPr>
        <w:t> </w:t>
      </w:r>
      <w:r>
        <w:rPr/>
        <w:t>y</w:t>
      </w:r>
      <w:r>
        <w:rPr>
          <w:spacing w:val="-19"/>
        </w:rPr>
        <w:t> </w:t>
      </w:r>
      <w:r>
        <w:rPr/>
        <w:t>un</w:t>
      </w:r>
      <w:r>
        <w:rPr>
          <w:spacing w:val="-16"/>
        </w:rPr>
        <w:t> </w:t>
      </w:r>
      <w:r>
        <w:rPr/>
        <w:t>valor</w:t>
      </w:r>
      <w:r>
        <w:rPr>
          <w:spacing w:val="-17"/>
        </w:rPr>
        <w:t> </w:t>
      </w:r>
      <w:r>
        <w:rPr/>
        <w:t>de</w:t>
      </w:r>
      <w:r>
        <w:rPr>
          <w:spacing w:val="-16"/>
        </w:rPr>
        <w:t> </w:t>
      </w:r>
      <w:r>
        <w:rPr/>
        <w:t>utilidad</w:t>
      </w:r>
      <w:r>
        <w:rPr>
          <w:spacing w:val="-16"/>
        </w:rPr>
        <w:t> </w:t>
      </w:r>
      <w:r>
        <w:rPr/>
        <w:t>y</w:t>
      </w:r>
      <w:r>
        <w:rPr>
          <w:spacing w:val="-19"/>
        </w:rPr>
        <w:t> </w:t>
      </w:r>
      <w:r>
        <w:rPr/>
        <w:t>razonabilidad.</w:t>
      </w:r>
      <w:r>
        <w:rPr>
          <w:spacing w:val="-16"/>
        </w:rPr>
        <w:t> </w:t>
      </w:r>
      <w:r>
        <w:rPr/>
        <w:t>Control</w:t>
      </w:r>
      <w:r>
        <w:rPr>
          <w:spacing w:val="-17"/>
        </w:rPr>
        <w:t> </w:t>
      </w:r>
      <w:r>
        <w:rPr/>
        <w:t>y</w:t>
      </w:r>
      <w:r>
        <w:rPr>
          <w:spacing w:val="-19"/>
        </w:rPr>
        <w:t> </w:t>
      </w:r>
      <w:r>
        <w:rPr/>
        <w:t>confianza,</w:t>
      </w:r>
      <w:r>
        <w:rPr>
          <w:spacing w:val="-16"/>
        </w:rPr>
        <w:t> </w:t>
      </w:r>
      <w:r>
        <w:rPr/>
        <w:t>en</w:t>
      </w:r>
      <w:r>
        <w:rPr>
          <w:spacing w:val="-16"/>
        </w:rPr>
        <w:t> </w:t>
      </w:r>
      <w:r>
        <w:rPr/>
        <w:t>un</w:t>
      </w:r>
      <w:r>
        <w:rPr>
          <w:spacing w:val="-16"/>
        </w:rPr>
        <w:t> </w:t>
      </w:r>
      <w:r>
        <w:rPr/>
        <w:t>intrincado equilibrio, parecieran ser una de las tensiones críticas para el éxito de este tipo de políticas</w:t>
      </w:r>
      <w:r>
        <w:rPr>
          <w:spacing w:val="21"/>
        </w:rPr>
        <w:t> </w:t>
      </w:r>
      <w:r>
        <w:rPr/>
        <w:t>(Arellano,</w:t>
      </w:r>
      <w:r>
        <w:rPr>
          <w:spacing w:val="19"/>
        </w:rPr>
        <w:t> </w:t>
      </w:r>
      <w:r>
        <w:rPr/>
        <w:t>2007).</w:t>
      </w:r>
      <w:r>
        <w:rPr>
          <w:spacing w:val="24"/>
        </w:rPr>
        <w:t> </w:t>
      </w:r>
      <w:r>
        <w:rPr/>
        <w:t>Retomando</w:t>
      </w:r>
      <w:r>
        <w:rPr>
          <w:spacing w:val="19"/>
        </w:rPr>
        <w:t> </w:t>
      </w:r>
      <w:r>
        <w:rPr/>
        <w:t>a</w:t>
      </w:r>
      <w:r>
        <w:rPr>
          <w:spacing w:val="22"/>
        </w:rPr>
        <w:t> </w:t>
      </w:r>
      <w:r>
        <w:rPr/>
        <w:t>Subirats</w:t>
      </w:r>
      <w:r>
        <w:rPr>
          <w:spacing w:val="21"/>
        </w:rPr>
        <w:t> </w:t>
      </w:r>
      <w:r>
        <w:rPr/>
        <w:t>(2008)</w:t>
      </w:r>
      <w:r>
        <w:rPr>
          <w:spacing w:val="20"/>
        </w:rPr>
        <w:t> </w:t>
      </w:r>
      <w:r>
        <w:rPr/>
        <w:t>en</w:t>
      </w:r>
      <w:r>
        <w:rPr>
          <w:spacing w:val="22"/>
        </w:rPr>
        <w:t> </w:t>
      </w:r>
      <w:r>
        <w:rPr/>
        <w:t>el</w:t>
      </w:r>
      <w:r>
        <w:rPr>
          <w:spacing w:val="18"/>
        </w:rPr>
        <w:t> </w:t>
      </w:r>
      <w:r>
        <w:rPr/>
        <w:t>aspecto</w:t>
      </w:r>
      <w:r>
        <w:rPr>
          <w:spacing w:val="20"/>
        </w:rPr>
        <w:t> </w:t>
      </w:r>
      <w:r>
        <w:rPr/>
        <w:t>de</w:t>
      </w:r>
      <w:r>
        <w:rPr>
          <w:spacing w:val="19"/>
        </w:rPr>
        <w:t> </w:t>
      </w:r>
      <w:r>
        <w:rPr/>
        <w:t>que</w:t>
      </w:r>
      <w:r>
        <w:rPr>
          <w:spacing w:val="22"/>
        </w:rPr>
        <w:t> </w:t>
      </w:r>
      <w:r>
        <w:rPr/>
        <w:t>es</w:t>
      </w:r>
    </w:p>
    <w:p>
      <w:pPr>
        <w:spacing w:after="0" w:line="360" w:lineRule="auto"/>
        <w:jc w:val="both"/>
        <w:sectPr>
          <w:pgSz w:w="12240" w:h="15840"/>
          <w:pgMar w:header="0" w:footer="1035" w:top="1360" w:bottom="1220" w:left="1600" w:right="1580"/>
        </w:sectPr>
      </w:pPr>
    </w:p>
    <w:p>
      <w:pPr>
        <w:pStyle w:val="BodyText"/>
        <w:spacing w:line="362" w:lineRule="auto" w:before="54"/>
        <w:ind w:left="102"/>
      </w:pPr>
      <w:r>
        <w:rPr/>
        <w:t>importante identificar a los actores de la política, la transparencia podría verse reflejada de la siguiente forma:</w:t>
      </w:r>
    </w:p>
    <w:p>
      <w:pPr>
        <w:pStyle w:val="BodyText"/>
        <w:spacing w:before="5"/>
        <w:rPr>
          <w:sz w:val="27"/>
        </w:rPr>
      </w:pPr>
      <w:r>
        <w:rPr/>
        <w:pict>
          <v:group style="position:absolute;margin-left:108.305pt;margin-top:17.770174pt;width:392.7pt;height:350.9pt;mso-position-horizontal-relative:page;mso-position-vertical-relative:paragraph;z-index:3088;mso-wrap-distance-left:0;mso-wrap-distance-right:0" coordorigin="2166,355" coordsize="7854,7018">
            <v:line style="position:absolute" from="2216,402" to="2216,541" stroked="true" strokeweight="4.607193pt" strokecolor="#dbdbdb"/>
            <v:line style="position:absolute" from="9964,402" to="9964,541" stroked="true" strokeweight="4.607193pt" strokecolor="#dbdbdb"/>
            <v:rect style="position:absolute;left:2262;top:402;width:7657;height:139" filled="true" fillcolor="#dbdbdb" stroked="false">
              <v:fill type="solid"/>
            </v:rect>
            <v:line style="position:absolute" from="2170,399" to="10010,399" stroked="true" strokeweight=".3167pt" strokecolor="#000000"/>
            <v:line style="position:absolute" from="2170,544" to="10010,544" stroked="true" strokeweight=".3167pt" strokecolor="#000000"/>
            <v:line style="position:absolute" from="10015,396" to="10015,7368" stroked="true" strokeweight=".428558pt" strokecolor="#000000"/>
            <v:line style="position:absolute" from="2170,7365" to="2178,7365" stroked="true" strokeweight=".332516pt" strokecolor="#000000"/>
            <v:line style="position:absolute" from="2178,7365" to="10010,7365" stroked="true" strokeweight=".332516pt" strokecolor="#000000"/>
            <v:line style="position:absolute" from="8138,3865" to="9938,3865" stroked="true" strokeweight=".67991pt" strokecolor="#000000"/>
            <v:line style="position:absolute" from="8146,2341" to="8146,3859" stroked="true" strokeweight=".892867pt" strokecolor="#000000"/>
            <v:line style="position:absolute" from="8138,2334" to="9938,2334" stroked="true" strokeweight=".67991pt" strokecolor="#000000"/>
            <v:line style="position:absolute" from="9929,2341" to="9929,3858" stroked="true" strokeweight=".892867pt" strokecolor="#000000"/>
            <v:line style="position:absolute" from="8173,3838" to="9902,3838" stroked="true" strokeweight=".67991pt" strokecolor="#000000"/>
            <v:line style="position:absolute" from="8182,2368" to="8182,3831" stroked="true" strokeweight=".892867pt" strokecolor="#000000"/>
            <v:line style="position:absolute" from="8173,2361" to="9902,2361" stroked="true" strokeweight=".67991pt" strokecolor="#000000"/>
            <v:line style="position:absolute" from="9893,2367" to="9893,3832" stroked="true" strokeweight=".892867pt" strokecolor="#000000"/>
            <v:line style="position:absolute" from="2294,4929" to="4960,4929" stroked="true" strokeweight=".67991pt" strokecolor="#000000"/>
            <v:line style="position:absolute" from="2303,2327" to="2303,4923" stroked="true" strokeweight=".892867pt" strokecolor="#000000"/>
            <v:line style="position:absolute" from="2294,2320" to="4960,2320" stroked="true" strokeweight=".67991pt" strokecolor="#000000"/>
            <v:line style="position:absolute" from="4951,2326" to="4951,4922" stroked="true" strokeweight=".892867pt" strokecolor="#000000"/>
            <v:line style="position:absolute" from="2330,4902" to="4924,4902" stroked="true" strokeweight=".67991pt" strokecolor="#000000"/>
            <v:line style="position:absolute" from="2339,2353" to="2339,4895" stroked="true" strokeweight=".892867pt" strokecolor="#000000"/>
            <v:line style="position:absolute" from="2330,2346" to="4924,2346" stroked="true" strokeweight=".67991pt" strokecolor="#000000"/>
            <v:line style="position:absolute" from="4915,2353" to="4915,4896" stroked="true" strokeweight=".892867pt" strokecolor="#000000"/>
            <v:line style="position:absolute" from="2375,7315" to="9091,7315" stroked="true" strokeweight=".594921pt" strokecolor="#000000"/>
            <v:line style="position:absolute" from="2384,5842" to="2384,7309" stroked="true" strokeweight=".892867pt" strokecolor="#000000"/>
            <v:line style="position:absolute" from="2375,5835" to="9091,5835" stroked="true" strokeweight=".67991pt" strokecolor="#000000"/>
            <v:line style="position:absolute" from="9082,5842" to="9082,7309" stroked="true" strokeweight=".892867pt" strokecolor="#000000"/>
            <v:line style="position:absolute" from="2411,7289" to="9055,7289" stroked="true" strokeweight=".67991pt" strokecolor="#000000"/>
            <v:line style="position:absolute" from="2420,5868" to="2420,7282" stroked="true" strokeweight=".892867pt" strokecolor="#000000"/>
            <v:line style="position:absolute" from="2411,5862" to="9055,5862" stroked="true" strokeweight=".594921pt" strokecolor="#000000"/>
            <v:line style="position:absolute" from="9046,5868" to="9046,7282" stroked="true" strokeweight=".892867pt" strokecolor="#000000"/>
            <v:shape style="position:absolute;left:3277;top:1305;width:1773;height:797" coordorigin="3277,1305" coordsize="1773,797" path="m3633,1817l3672,1866,4972,1305,5050,1404,3749,1964,3788,2014,3277,2102,3633,1817xe" filled="false" stroked="true" strokeweight=".524218pt" strokecolor="#000000">
              <v:path arrowok="t"/>
            </v:shape>
            <v:shape style="position:absolute;left:8084;top:1184;width:1313;height:902" coordorigin="8084,1184" coordsize="1313,902" path="m8923,1918l8975,1876,8084,1268,8188,1184,9080,1792,9132,1750,9396,2086,8923,1918xe" filled="false" stroked="true" strokeweight=".550869pt" strokecolor="#000000">
              <v:path arrowok="t"/>
            </v:shape>
            <v:shape style="position:absolute;left:3379;top:5319;width:463;height:433" coordorigin="3379,5319" coordsize="463,433" path="m3558,5706l3629,5672,3379,5387,3520,5319,3771,5605,3842,5571,3799,5752,3558,5706xe" filled="false" stroked="true" strokeweight=".576352pt" strokecolor="#000000">
              <v:path arrowok="t"/>
            </v:shape>
            <v:shape style="position:absolute;left:7365;top:4693;width:1030;height:1058" coordorigin="7365,4693" coordsize="1030,1058" path="m7480,5429l7543,5461,8268,4693,8395,4758,7670,5527,7733,5559,7365,5750,7480,5429xe" filled="false" stroked="true" strokeweight=".584533pt" strokecolor="#000000">
              <v:path arrowok="t"/>
            </v:shape>
            <v:shape style="position:absolute;left:4075;top:5338;width:298;height:320" type="#_x0000_t75" stroked="false">
              <v:imagedata r:id="rId29" o:title=""/>
            </v:shape>
            <v:shape style="position:absolute;left:6872;top:4601;width:832;height:1023" coordorigin="6872,4601" coordsize="832,1023" path="m7641,4666l6872,5617,6887,5624,7656,4673,7641,4666xm7698,4655l7650,4655,7666,4661,7656,4673,7695,4690,7698,4655xm7650,4655l7641,4666,7656,4673,7666,4661,7650,4655xm7704,4601l7603,4649,7641,4666,7650,4655,7698,4655,7704,4601xe" filled="true" fillcolor="#000000" stroked="false">
              <v:path arrowok="t"/>
              <v:fill type="solid"/>
            </v:shape>
            <v:shape style="position:absolute;left:4021;top:1843;width:1010;height:423" coordorigin="4021,1843" coordsize="1010,423" path="m4933,1876l4021,2253,4030,2265,4942,1887,4933,1876xm5006,1869l4948,1869,4957,1881,4942,1887,4963,1916,5006,1869xm4948,1869l4933,1876,4942,1887,4957,1881,4948,1869xm5031,1843l4911,1847,4933,1876,4948,1869,5006,1869,5031,1843xe" filled="true" fillcolor="#000000" stroked="false">
              <v:path arrowok="t"/>
              <v:fill type="solid"/>
            </v:shape>
            <v:shape style="position:absolute;left:7928;top:1702;width:766;height:452" coordorigin="7928,1702" coordsize="766,452" path="m8017,1746l8006,1756,8682,2153,8693,2143,8017,1746xm7928,1702l7978,1782,8006,1756,7992,1748,8003,1738,8026,1738,8045,1720,7928,1702xm8003,1738l7992,1748,8006,1756,8017,1746,8003,1738xm8026,1738l8003,1738,8017,1746,8026,1738xe" filled="true" fillcolor="#000000" stroked="false">
              <v:path arrowok="t"/>
              <v:fill type="solid"/>
            </v:shape>
            <v:line style="position:absolute" from="5133,3440" to="7797,3440" stroked="true" strokeweight=".67991pt" strokecolor="#000000"/>
            <v:line style="position:absolute" from="5142,1054" to="5142,3434" stroked="true" strokeweight=".892867pt" strokecolor="#000000"/>
            <v:line style="position:absolute" from="5133,1047" to="7797,1047" stroked="true" strokeweight=".67991pt" strokecolor="#000000"/>
            <v:line style="position:absolute" from="7788,1053" to="7788,3434" stroked="true" strokeweight=".892867pt" strokecolor="#000000"/>
            <v:line style="position:absolute" from="5169,3414" to="7761,3414" stroked="true" strokeweight=".594921pt" strokecolor="#000000"/>
            <v:line style="position:absolute" from="5178,1079" to="5178,3408" stroked="true" strokeweight=".892867pt" strokecolor="#000000"/>
            <v:line style="position:absolute" from="5169,1073" to="7761,1073" stroked="true" strokeweight=".67991pt" strokecolor="#000000"/>
            <v:line style="position:absolute" from="7752,1080" to="7752,3407" stroked="true" strokeweight=".892867pt" strokecolor="#000000"/>
            <v:shape style="position:absolute;left:5140;top:3678;width:2270;height:80" coordorigin="5140,3678" coordsize="2270,80" path="m7302,3678l7302,3757,7391,3724,7320,3724,7320,3711,7391,3711,7302,3678xm7302,3711l5140,3711,5140,3724,7302,3724,7302,3711xm7391,3711l7320,3711,7320,3724,7391,3724,7409,3718,7391,3711xe" filled="true" fillcolor="#000000" stroked="false">
              <v:path arrowok="t"/>
              <v:fill type="solid"/>
            </v:shape>
            <v:shape style="position:absolute;left:5221;top:3827;width:2186;height:202" coordorigin="5221,3827" coordsize="2186,202" path="m5664,3827l5664,3877,7407,3877,7407,3978,5664,3978,5664,4028,5221,3928,5664,3827xe" filled="false" stroked="true" strokeweight=".476459pt" strokecolor="#000000">
              <v:path arrowok="t"/>
            </v:shape>
            <v:shape style="position:absolute;left:2170;top:399;width:7846;height:146" type="#_x0000_t202" filled="false" stroked="false">
              <v:textbox inset="0,0,0,0">
                <w:txbxContent>
                  <w:p>
                    <w:pPr>
                      <w:spacing w:before="6"/>
                      <w:ind w:left="786" w:right="0" w:firstLine="0"/>
                      <w:jc w:val="left"/>
                      <w:rPr>
                        <w:b/>
                        <w:sz w:val="10"/>
                      </w:rPr>
                    </w:pPr>
                    <w:r>
                      <w:rPr>
                        <w:b/>
                        <w:w w:val="145"/>
                        <w:sz w:val="10"/>
                      </w:rPr>
                      <w:t>Diagrama 1. Análisis de la política de transparencia en los municipios del Estado de México.</w:t>
                    </w:r>
                  </w:p>
                </w:txbxContent>
              </v:textbox>
              <w10:wrap type="none"/>
            </v:shape>
            <v:shape style="position:absolute;left:5160;top:1060;width:2611;height:2368" type="#_x0000_t202" filled="false" stroked="false">
              <v:textbox inset="0,0,0,0">
                <w:txbxContent>
                  <w:p>
                    <w:pPr>
                      <w:spacing w:before="64"/>
                      <w:ind w:left="1006" w:right="1006" w:firstLine="0"/>
                      <w:jc w:val="center"/>
                      <w:rPr>
                        <w:rFonts w:ascii="Calibri"/>
                        <w:b/>
                        <w:sz w:val="12"/>
                      </w:rPr>
                    </w:pPr>
                    <w:r>
                      <w:rPr>
                        <w:rFonts w:ascii="Calibri"/>
                        <w:b/>
                        <w:w w:val="135"/>
                        <w:sz w:val="12"/>
                      </w:rPr>
                      <w:t>Actores:</w:t>
                    </w:r>
                  </w:p>
                  <w:p>
                    <w:pPr>
                      <w:spacing w:line="240" w:lineRule="auto" w:before="0"/>
                      <w:rPr>
                        <w:sz w:val="12"/>
                      </w:rPr>
                    </w:pPr>
                  </w:p>
                  <w:p>
                    <w:pPr>
                      <w:spacing w:line="240" w:lineRule="auto" w:before="0"/>
                      <w:rPr>
                        <w:sz w:val="12"/>
                      </w:rPr>
                    </w:pPr>
                  </w:p>
                  <w:p>
                    <w:pPr>
                      <w:numPr>
                        <w:ilvl w:val="0"/>
                        <w:numId w:val="24"/>
                      </w:numPr>
                      <w:tabs>
                        <w:tab w:pos="281" w:val="left" w:leader="none"/>
                        <w:tab w:pos="1662" w:val="left" w:leader="none"/>
                      </w:tabs>
                      <w:spacing w:line="144" w:lineRule="exact" w:before="107"/>
                      <w:ind w:left="280" w:right="155" w:hanging="137"/>
                      <w:jc w:val="both"/>
                      <w:rPr>
                        <w:rFonts w:ascii="Calibri" w:hAnsi="Calibri"/>
                        <w:sz w:val="12"/>
                      </w:rPr>
                    </w:pPr>
                    <w:r>
                      <w:rPr>
                        <w:rFonts w:ascii="Calibri" w:hAnsi="Calibri"/>
                        <w:w w:val="135"/>
                        <w:sz w:val="12"/>
                      </w:rPr>
                      <w:t>GO. Servidores públicos de los municipios</w:t>
                      <w:tab/>
                    </w:r>
                    <w:r>
                      <w:rPr>
                        <w:rFonts w:ascii="Calibri" w:hAnsi="Calibri"/>
                        <w:w w:val="130"/>
                        <w:sz w:val="12"/>
                      </w:rPr>
                      <w:t>(Presidente,</w:t>
                    </w:r>
                  </w:p>
                  <w:p>
                    <w:pPr>
                      <w:tabs>
                        <w:tab w:pos="1605" w:val="left" w:leader="none"/>
                      </w:tabs>
                      <w:spacing w:before="2"/>
                      <w:ind w:left="280" w:right="155" w:firstLine="0"/>
                      <w:jc w:val="left"/>
                      <w:rPr>
                        <w:rFonts w:ascii="Calibri"/>
                        <w:sz w:val="12"/>
                      </w:rPr>
                    </w:pPr>
                    <w:r>
                      <w:rPr>
                        <w:rFonts w:ascii="Calibri"/>
                        <w:w w:val="135"/>
                        <w:sz w:val="12"/>
                      </w:rPr>
                      <w:t>regidores,</w:t>
                      <w:tab/>
                    </w:r>
                    <w:r>
                      <w:rPr>
                        <w:rFonts w:ascii="Calibri"/>
                        <w:spacing w:val="-1"/>
                        <w:w w:val="135"/>
                        <w:sz w:val="12"/>
                      </w:rPr>
                      <w:t>funcionarios, </w:t>
                    </w:r>
                    <w:r>
                      <w:rPr>
                        <w:rFonts w:ascii="Calibri"/>
                        <w:w w:val="135"/>
                        <w:sz w:val="12"/>
                      </w:rPr>
                      <w:t>responsable de</w:t>
                    </w:r>
                    <w:r>
                      <w:rPr>
                        <w:rFonts w:ascii="Calibri"/>
                        <w:spacing w:val="-28"/>
                        <w:w w:val="135"/>
                        <w:sz w:val="12"/>
                      </w:rPr>
                      <w:t> </w:t>
                    </w:r>
                    <w:r>
                      <w:rPr>
                        <w:rFonts w:ascii="Calibri"/>
                        <w:w w:val="135"/>
                        <w:sz w:val="12"/>
                      </w:rPr>
                      <w:t>transparencia).</w:t>
                    </w:r>
                  </w:p>
                  <w:p>
                    <w:pPr>
                      <w:numPr>
                        <w:ilvl w:val="0"/>
                        <w:numId w:val="24"/>
                      </w:numPr>
                      <w:tabs>
                        <w:tab w:pos="281" w:val="left" w:leader="none"/>
                        <w:tab w:pos="1467" w:val="left" w:leader="none"/>
                        <w:tab w:pos="1983" w:val="left" w:leader="none"/>
                      </w:tabs>
                      <w:spacing w:line="146" w:lineRule="exact" w:before="1"/>
                      <w:ind w:left="280" w:right="155" w:hanging="137"/>
                      <w:jc w:val="both"/>
                      <w:rPr>
                        <w:rFonts w:ascii="Calibri"/>
                        <w:sz w:val="12"/>
                      </w:rPr>
                    </w:pPr>
                    <w:r>
                      <w:rPr>
                        <w:rFonts w:ascii="Calibri"/>
                        <w:w w:val="135"/>
                        <w:sz w:val="12"/>
                      </w:rPr>
                      <w:t>Instituciones</w:t>
                      <w:tab/>
                      <w:t>de</w:t>
                      <w:tab/>
                    </w:r>
                    <w:r>
                      <w:rPr>
                        <w:rFonts w:ascii="Calibri"/>
                        <w:w w:val="130"/>
                        <w:sz w:val="12"/>
                      </w:rPr>
                      <w:t>control </w:t>
                    </w:r>
                    <w:r>
                      <w:rPr>
                        <w:rFonts w:ascii="Calibri"/>
                        <w:w w:val="135"/>
                        <w:sz w:val="12"/>
                      </w:rPr>
                      <w:t>(INFOEM, OSFEM,</w:t>
                    </w:r>
                    <w:r>
                      <w:rPr>
                        <w:rFonts w:ascii="Calibri"/>
                        <w:spacing w:val="-25"/>
                        <w:w w:val="135"/>
                        <w:sz w:val="12"/>
                      </w:rPr>
                      <w:t> </w:t>
                    </w:r>
                    <w:r>
                      <w:rPr>
                        <w:rFonts w:ascii="Calibri"/>
                        <w:w w:val="135"/>
                        <w:sz w:val="12"/>
                      </w:rPr>
                      <w:t>ASF).</w:t>
                    </w:r>
                  </w:p>
                  <w:p>
                    <w:pPr>
                      <w:numPr>
                        <w:ilvl w:val="0"/>
                        <w:numId w:val="24"/>
                      </w:numPr>
                      <w:tabs>
                        <w:tab w:pos="281" w:val="left" w:leader="none"/>
                        <w:tab w:pos="1449" w:val="left" w:leader="none"/>
                        <w:tab w:pos="1578" w:val="left" w:leader="none"/>
                        <w:tab w:pos="2287" w:val="left" w:leader="none"/>
                      </w:tabs>
                      <w:spacing w:line="237" w:lineRule="auto" w:before="1"/>
                      <w:ind w:left="280" w:right="154" w:hanging="137"/>
                      <w:jc w:val="both"/>
                      <w:rPr>
                        <w:rFonts w:ascii="Calibri" w:hAnsi="Calibri"/>
                        <w:sz w:val="12"/>
                      </w:rPr>
                    </w:pPr>
                    <w:r>
                      <w:rPr>
                        <w:rFonts w:ascii="Calibri" w:hAnsi="Calibri"/>
                        <w:w w:val="135"/>
                        <w:sz w:val="12"/>
                      </w:rPr>
                      <w:t>BF. Sociedad (ciudadanos, partidos políticos, empresarios, académicos,</w:t>
                      <w:tab/>
                      <w:t>medios</w:t>
                      <w:tab/>
                      <w:t>de comunicación,</w:t>
                      <w:tab/>
                      <w:tab/>
                    </w:r>
                    <w:r>
                      <w:rPr>
                        <w:rFonts w:ascii="Calibri" w:hAnsi="Calibri"/>
                        <w:w w:val="130"/>
                        <w:sz w:val="12"/>
                      </w:rPr>
                      <w:t>delincuentes, </w:t>
                    </w:r>
                    <w:r>
                      <w:rPr>
                        <w:rFonts w:ascii="Calibri" w:hAnsi="Calibri"/>
                        <w:w w:val="135"/>
                        <w:sz w:val="12"/>
                      </w:rPr>
                      <w:t>grupo objetivo, beneficiarios finales).</w:t>
                    </w:r>
                  </w:p>
                </w:txbxContent>
              </v:textbox>
              <w10:wrap type="none"/>
            </v:shape>
            <v:shape style="position:absolute;left:2321;top:2333;width:2613;height:2583" type="#_x0000_t202" filled="false" stroked="false">
              <v:textbox inset="0,0,0,0">
                <w:txbxContent>
                  <w:p>
                    <w:pPr>
                      <w:spacing w:before="64"/>
                      <w:ind w:left="223" w:right="0" w:firstLine="0"/>
                      <w:jc w:val="left"/>
                      <w:rPr>
                        <w:rFonts w:ascii="Calibri"/>
                        <w:b/>
                        <w:sz w:val="12"/>
                      </w:rPr>
                    </w:pPr>
                    <w:r>
                      <w:rPr>
                        <w:rFonts w:ascii="Calibri"/>
                        <w:b/>
                        <w:w w:val="135"/>
                        <w:sz w:val="12"/>
                      </w:rPr>
                      <w:t>Reglas institucionales generales:</w:t>
                    </w:r>
                  </w:p>
                  <w:p>
                    <w:pPr>
                      <w:spacing w:line="240" w:lineRule="auto" w:before="1"/>
                      <w:rPr>
                        <w:sz w:val="10"/>
                      </w:rPr>
                    </w:pPr>
                  </w:p>
                  <w:p>
                    <w:pPr>
                      <w:numPr>
                        <w:ilvl w:val="0"/>
                        <w:numId w:val="25"/>
                      </w:numPr>
                      <w:tabs>
                        <w:tab w:pos="282" w:val="left" w:leader="none"/>
                      </w:tabs>
                      <w:spacing w:line="152" w:lineRule="exact" w:before="0"/>
                      <w:ind w:left="281" w:right="0" w:hanging="137"/>
                      <w:jc w:val="left"/>
                      <w:rPr>
                        <w:rFonts w:ascii="Calibri"/>
                        <w:sz w:val="12"/>
                      </w:rPr>
                    </w:pPr>
                    <w:r>
                      <w:rPr>
                        <w:rFonts w:ascii="Calibri"/>
                        <w:w w:val="135"/>
                        <w:sz w:val="12"/>
                      </w:rPr>
                      <w:t>CPEUM,</w:t>
                    </w:r>
                    <w:r>
                      <w:rPr>
                        <w:rFonts w:ascii="Calibri"/>
                        <w:spacing w:val="-17"/>
                        <w:w w:val="135"/>
                        <w:sz w:val="12"/>
                      </w:rPr>
                      <w:t> </w:t>
                    </w:r>
                    <w:r>
                      <w:rPr>
                        <w:rFonts w:ascii="Calibri"/>
                        <w:w w:val="135"/>
                        <w:sz w:val="12"/>
                      </w:rPr>
                      <w:t>CPELSM.</w:t>
                    </w:r>
                  </w:p>
                  <w:p>
                    <w:pPr>
                      <w:numPr>
                        <w:ilvl w:val="0"/>
                        <w:numId w:val="25"/>
                      </w:numPr>
                      <w:tabs>
                        <w:tab w:pos="282" w:val="left" w:leader="none"/>
                      </w:tabs>
                      <w:spacing w:line="151" w:lineRule="exact" w:before="0"/>
                      <w:ind w:left="281" w:right="0" w:hanging="137"/>
                      <w:jc w:val="left"/>
                      <w:rPr>
                        <w:rFonts w:ascii="Calibri"/>
                        <w:sz w:val="12"/>
                      </w:rPr>
                    </w:pPr>
                    <w:r>
                      <w:rPr>
                        <w:rFonts w:ascii="Calibri"/>
                        <w:w w:val="135"/>
                        <w:sz w:val="12"/>
                      </w:rPr>
                      <w:t>LFAIPPDP,</w:t>
                    </w:r>
                    <w:r>
                      <w:rPr>
                        <w:rFonts w:ascii="Calibri"/>
                        <w:spacing w:val="-19"/>
                        <w:w w:val="135"/>
                        <w:sz w:val="12"/>
                      </w:rPr>
                      <w:t> </w:t>
                    </w:r>
                    <w:r>
                      <w:rPr>
                        <w:rFonts w:ascii="Calibri"/>
                        <w:w w:val="135"/>
                        <w:sz w:val="12"/>
                      </w:rPr>
                      <w:t>LTEyAIPEMM</w:t>
                    </w:r>
                  </w:p>
                  <w:p>
                    <w:pPr>
                      <w:numPr>
                        <w:ilvl w:val="0"/>
                        <w:numId w:val="25"/>
                      </w:numPr>
                      <w:tabs>
                        <w:tab w:pos="282" w:val="left" w:leader="none"/>
                      </w:tabs>
                      <w:spacing w:line="151" w:lineRule="exact" w:before="0"/>
                      <w:ind w:left="281" w:right="0" w:hanging="137"/>
                      <w:jc w:val="left"/>
                      <w:rPr>
                        <w:rFonts w:ascii="Calibri"/>
                        <w:sz w:val="12"/>
                      </w:rPr>
                    </w:pPr>
                    <w:r>
                      <w:rPr>
                        <w:rFonts w:ascii="Calibri"/>
                        <w:w w:val="135"/>
                        <w:sz w:val="12"/>
                      </w:rPr>
                      <w:t>Reglamentos.</w:t>
                    </w:r>
                  </w:p>
                  <w:p>
                    <w:pPr>
                      <w:numPr>
                        <w:ilvl w:val="0"/>
                        <w:numId w:val="25"/>
                      </w:numPr>
                      <w:tabs>
                        <w:tab w:pos="282" w:val="left" w:leader="none"/>
                      </w:tabs>
                      <w:spacing w:before="0"/>
                      <w:ind w:left="281" w:right="154" w:hanging="137"/>
                      <w:jc w:val="left"/>
                      <w:rPr>
                        <w:rFonts w:ascii="Calibri"/>
                        <w:sz w:val="12"/>
                      </w:rPr>
                    </w:pPr>
                    <w:r>
                      <w:rPr>
                        <w:rFonts w:ascii="Calibri"/>
                        <w:w w:val="135"/>
                        <w:sz w:val="12"/>
                      </w:rPr>
                      <w:t>Plan</w:t>
                    </w:r>
                    <w:r>
                      <w:rPr>
                        <w:rFonts w:ascii="Calibri"/>
                        <w:spacing w:val="-16"/>
                        <w:w w:val="135"/>
                        <w:sz w:val="12"/>
                      </w:rPr>
                      <w:t> </w:t>
                    </w:r>
                    <w:r>
                      <w:rPr>
                        <w:rFonts w:ascii="Calibri"/>
                        <w:w w:val="135"/>
                        <w:sz w:val="12"/>
                      </w:rPr>
                      <w:t>de</w:t>
                    </w:r>
                    <w:r>
                      <w:rPr>
                        <w:rFonts w:ascii="Calibri"/>
                        <w:spacing w:val="-16"/>
                        <w:w w:val="135"/>
                        <w:sz w:val="12"/>
                      </w:rPr>
                      <w:t> </w:t>
                    </w:r>
                    <w:r>
                      <w:rPr>
                        <w:rFonts w:ascii="Calibri"/>
                        <w:w w:val="135"/>
                        <w:sz w:val="12"/>
                      </w:rPr>
                      <w:t>Desarrollo</w:t>
                    </w:r>
                    <w:r>
                      <w:rPr>
                        <w:rFonts w:ascii="Calibri"/>
                        <w:spacing w:val="-14"/>
                        <w:w w:val="135"/>
                        <w:sz w:val="12"/>
                      </w:rPr>
                      <w:t> </w:t>
                    </w:r>
                    <w:r>
                      <w:rPr>
                        <w:rFonts w:ascii="Calibri"/>
                        <w:w w:val="135"/>
                        <w:sz w:val="12"/>
                      </w:rPr>
                      <w:t>Nacional</w:t>
                    </w:r>
                    <w:r>
                      <w:rPr>
                        <w:rFonts w:ascii="Calibri"/>
                        <w:spacing w:val="-15"/>
                        <w:w w:val="135"/>
                        <w:sz w:val="12"/>
                      </w:rPr>
                      <w:t> </w:t>
                    </w:r>
                    <w:r>
                      <w:rPr>
                        <w:rFonts w:ascii="Calibri"/>
                        <w:w w:val="135"/>
                        <w:sz w:val="12"/>
                      </w:rPr>
                      <w:t>2012- 2018.</w:t>
                    </w:r>
                  </w:p>
                  <w:p>
                    <w:pPr>
                      <w:numPr>
                        <w:ilvl w:val="0"/>
                        <w:numId w:val="25"/>
                      </w:numPr>
                      <w:tabs>
                        <w:tab w:pos="282" w:val="left" w:leader="none"/>
                      </w:tabs>
                      <w:spacing w:line="146" w:lineRule="exact" w:before="1"/>
                      <w:ind w:left="281" w:right="154" w:hanging="137"/>
                      <w:jc w:val="left"/>
                      <w:rPr>
                        <w:rFonts w:ascii="Calibri"/>
                        <w:sz w:val="12"/>
                      </w:rPr>
                    </w:pPr>
                    <w:r>
                      <w:rPr>
                        <w:rFonts w:ascii="Calibri"/>
                        <w:w w:val="135"/>
                        <w:sz w:val="12"/>
                      </w:rPr>
                      <w:t>Plan de Desarrollo Estatal 2011- 2017.</w:t>
                    </w:r>
                  </w:p>
                  <w:p>
                    <w:pPr>
                      <w:spacing w:line="240" w:lineRule="auto" w:before="0"/>
                      <w:rPr>
                        <w:sz w:val="12"/>
                      </w:rPr>
                    </w:pPr>
                  </w:p>
                  <w:p>
                    <w:pPr>
                      <w:spacing w:line="240" w:lineRule="auto" w:before="10"/>
                      <w:rPr>
                        <w:sz w:val="10"/>
                      </w:rPr>
                    </w:pPr>
                  </w:p>
                  <w:p>
                    <w:pPr>
                      <w:spacing w:before="0"/>
                      <w:ind w:left="185" w:right="0" w:firstLine="0"/>
                      <w:jc w:val="left"/>
                      <w:rPr>
                        <w:rFonts w:ascii="Calibri" w:hAnsi="Calibri"/>
                        <w:b/>
                        <w:sz w:val="12"/>
                      </w:rPr>
                    </w:pPr>
                    <w:r>
                      <w:rPr>
                        <w:rFonts w:ascii="Calibri" w:hAnsi="Calibri"/>
                        <w:b/>
                        <w:w w:val="135"/>
                        <w:sz w:val="12"/>
                      </w:rPr>
                      <w:t>Reglas institucionales específicas:</w:t>
                    </w:r>
                  </w:p>
                  <w:p>
                    <w:pPr>
                      <w:spacing w:line="240" w:lineRule="auto" w:before="11"/>
                      <w:rPr>
                        <w:sz w:val="9"/>
                      </w:rPr>
                    </w:pPr>
                  </w:p>
                  <w:p>
                    <w:pPr>
                      <w:numPr>
                        <w:ilvl w:val="0"/>
                        <w:numId w:val="25"/>
                      </w:numPr>
                      <w:tabs>
                        <w:tab w:pos="282" w:val="left" w:leader="none"/>
                      </w:tabs>
                      <w:spacing w:line="152" w:lineRule="exact" w:before="0"/>
                      <w:ind w:left="281" w:right="0" w:hanging="137"/>
                      <w:jc w:val="left"/>
                      <w:rPr>
                        <w:rFonts w:ascii="Calibri"/>
                        <w:sz w:val="12"/>
                      </w:rPr>
                    </w:pPr>
                    <w:r>
                      <w:rPr>
                        <w:rFonts w:ascii="Calibri"/>
                        <w:w w:val="135"/>
                        <w:sz w:val="12"/>
                      </w:rPr>
                      <w:t>Plan de Desarrollo</w:t>
                    </w:r>
                    <w:r>
                      <w:rPr>
                        <w:rFonts w:ascii="Calibri"/>
                        <w:spacing w:val="-27"/>
                        <w:w w:val="135"/>
                        <w:sz w:val="12"/>
                      </w:rPr>
                      <w:t> </w:t>
                    </w:r>
                    <w:r>
                      <w:rPr>
                        <w:rFonts w:ascii="Calibri"/>
                        <w:w w:val="135"/>
                        <w:sz w:val="12"/>
                      </w:rPr>
                      <w:t>Municipal.</w:t>
                    </w:r>
                  </w:p>
                  <w:p>
                    <w:pPr>
                      <w:numPr>
                        <w:ilvl w:val="0"/>
                        <w:numId w:val="25"/>
                      </w:numPr>
                      <w:tabs>
                        <w:tab w:pos="282" w:val="left" w:leader="none"/>
                      </w:tabs>
                      <w:spacing w:line="151" w:lineRule="exact" w:before="0"/>
                      <w:ind w:left="281" w:right="0" w:hanging="137"/>
                      <w:jc w:val="left"/>
                      <w:rPr>
                        <w:rFonts w:ascii="Calibri"/>
                        <w:sz w:val="12"/>
                      </w:rPr>
                    </w:pPr>
                    <w:r>
                      <w:rPr>
                        <w:rFonts w:ascii="Calibri"/>
                        <w:w w:val="135"/>
                        <w:sz w:val="12"/>
                      </w:rPr>
                      <w:t>Bando</w:t>
                    </w:r>
                    <w:r>
                      <w:rPr>
                        <w:rFonts w:ascii="Calibri"/>
                        <w:spacing w:val="-17"/>
                        <w:w w:val="135"/>
                        <w:sz w:val="12"/>
                      </w:rPr>
                      <w:t> </w:t>
                    </w:r>
                    <w:r>
                      <w:rPr>
                        <w:rFonts w:ascii="Calibri"/>
                        <w:w w:val="135"/>
                        <w:sz w:val="12"/>
                      </w:rPr>
                      <w:t>municipal.</w:t>
                    </w:r>
                  </w:p>
                  <w:p>
                    <w:pPr>
                      <w:numPr>
                        <w:ilvl w:val="0"/>
                        <w:numId w:val="25"/>
                      </w:numPr>
                      <w:tabs>
                        <w:tab w:pos="282" w:val="left" w:leader="none"/>
                      </w:tabs>
                      <w:spacing w:line="151" w:lineRule="exact" w:before="0"/>
                      <w:ind w:left="281" w:right="0" w:hanging="137"/>
                      <w:jc w:val="left"/>
                      <w:rPr>
                        <w:rFonts w:ascii="Calibri"/>
                        <w:sz w:val="12"/>
                      </w:rPr>
                    </w:pPr>
                    <w:r>
                      <w:rPr>
                        <w:rFonts w:ascii="Calibri"/>
                        <w:w w:val="135"/>
                        <w:sz w:val="12"/>
                      </w:rPr>
                      <w:t>Procedimientos.</w:t>
                    </w:r>
                  </w:p>
                  <w:p>
                    <w:pPr>
                      <w:numPr>
                        <w:ilvl w:val="0"/>
                        <w:numId w:val="25"/>
                      </w:numPr>
                      <w:tabs>
                        <w:tab w:pos="282" w:val="left" w:leader="none"/>
                      </w:tabs>
                      <w:spacing w:line="153" w:lineRule="exact" w:before="0"/>
                      <w:ind w:left="281" w:right="0" w:hanging="137"/>
                      <w:jc w:val="left"/>
                      <w:rPr>
                        <w:rFonts w:ascii="Calibri"/>
                        <w:sz w:val="12"/>
                      </w:rPr>
                    </w:pPr>
                    <w:r>
                      <w:rPr>
                        <w:rFonts w:ascii="Calibri"/>
                        <w:w w:val="135"/>
                        <w:sz w:val="12"/>
                      </w:rPr>
                      <w:t>Reglas</w:t>
                    </w:r>
                    <w:r>
                      <w:rPr>
                        <w:rFonts w:ascii="Calibri"/>
                        <w:spacing w:val="-17"/>
                        <w:w w:val="135"/>
                        <w:sz w:val="12"/>
                      </w:rPr>
                      <w:t> </w:t>
                    </w:r>
                    <w:r>
                      <w:rPr>
                        <w:rFonts w:ascii="Calibri"/>
                        <w:w w:val="135"/>
                        <w:sz w:val="12"/>
                      </w:rPr>
                      <w:t>informales.</w:t>
                    </w:r>
                  </w:p>
                </w:txbxContent>
              </v:textbox>
              <w10:wrap type="none"/>
            </v:shape>
            <v:shape style="position:absolute;left:8164;top:2347;width:1747;height:1505" type="#_x0000_t202" filled="false" stroked="false">
              <v:textbox inset="0,0,0,0">
                <w:txbxContent>
                  <w:p>
                    <w:pPr>
                      <w:spacing w:before="64"/>
                      <w:ind w:left="553" w:right="0" w:firstLine="0"/>
                      <w:jc w:val="left"/>
                      <w:rPr>
                        <w:rFonts w:ascii="Calibri"/>
                        <w:b/>
                        <w:sz w:val="12"/>
                      </w:rPr>
                    </w:pPr>
                    <w:r>
                      <w:rPr>
                        <w:rFonts w:ascii="Calibri"/>
                        <w:b/>
                        <w:w w:val="135"/>
                        <w:sz w:val="12"/>
                      </w:rPr>
                      <w:t>Recursos:</w:t>
                    </w:r>
                  </w:p>
                  <w:p>
                    <w:pPr>
                      <w:spacing w:line="240" w:lineRule="auto" w:before="1"/>
                      <w:rPr>
                        <w:sz w:val="10"/>
                      </w:rPr>
                    </w:pPr>
                  </w:p>
                  <w:p>
                    <w:pPr>
                      <w:numPr>
                        <w:ilvl w:val="0"/>
                        <w:numId w:val="26"/>
                      </w:numPr>
                      <w:tabs>
                        <w:tab w:pos="284" w:val="left" w:leader="none"/>
                      </w:tabs>
                      <w:spacing w:line="152" w:lineRule="exact" w:before="0"/>
                      <w:ind w:left="283" w:right="0" w:hanging="137"/>
                      <w:jc w:val="left"/>
                      <w:rPr>
                        <w:rFonts w:ascii="Calibri"/>
                        <w:sz w:val="12"/>
                      </w:rPr>
                    </w:pPr>
                    <w:r>
                      <w:rPr>
                        <w:rFonts w:ascii="Calibri"/>
                        <w:w w:val="135"/>
                        <w:sz w:val="12"/>
                      </w:rPr>
                      <w:t>Infraestructura.</w:t>
                    </w:r>
                  </w:p>
                  <w:p>
                    <w:pPr>
                      <w:numPr>
                        <w:ilvl w:val="0"/>
                        <w:numId w:val="26"/>
                      </w:numPr>
                      <w:tabs>
                        <w:tab w:pos="284" w:val="left" w:leader="none"/>
                      </w:tabs>
                      <w:spacing w:line="151" w:lineRule="exact" w:before="0"/>
                      <w:ind w:left="283" w:right="0" w:hanging="137"/>
                      <w:jc w:val="left"/>
                      <w:rPr>
                        <w:rFonts w:ascii="Calibri"/>
                        <w:sz w:val="12"/>
                      </w:rPr>
                    </w:pPr>
                    <w:r>
                      <w:rPr>
                        <w:rFonts w:ascii="Calibri"/>
                        <w:w w:val="135"/>
                        <w:sz w:val="12"/>
                      </w:rPr>
                      <w:t>Personal.</w:t>
                    </w:r>
                  </w:p>
                  <w:p>
                    <w:pPr>
                      <w:numPr>
                        <w:ilvl w:val="0"/>
                        <w:numId w:val="26"/>
                      </w:numPr>
                      <w:tabs>
                        <w:tab w:pos="284" w:val="left" w:leader="none"/>
                      </w:tabs>
                      <w:spacing w:line="151" w:lineRule="exact" w:before="0"/>
                      <w:ind w:left="283" w:right="0" w:hanging="137"/>
                      <w:jc w:val="left"/>
                      <w:rPr>
                        <w:rFonts w:ascii="Calibri"/>
                        <w:sz w:val="12"/>
                      </w:rPr>
                    </w:pPr>
                    <w:r>
                      <w:rPr>
                        <w:rFonts w:ascii="Calibri"/>
                        <w:w w:val="135"/>
                        <w:sz w:val="12"/>
                      </w:rPr>
                      <w:t>Portales</w:t>
                    </w:r>
                    <w:r>
                      <w:rPr>
                        <w:rFonts w:ascii="Calibri"/>
                        <w:spacing w:val="-12"/>
                        <w:w w:val="135"/>
                        <w:sz w:val="12"/>
                      </w:rPr>
                      <w:t> </w:t>
                    </w:r>
                    <w:r>
                      <w:rPr>
                        <w:rFonts w:ascii="Calibri"/>
                        <w:w w:val="135"/>
                        <w:sz w:val="12"/>
                      </w:rPr>
                      <w:t>web.</w:t>
                    </w:r>
                  </w:p>
                  <w:p>
                    <w:pPr>
                      <w:numPr>
                        <w:ilvl w:val="0"/>
                        <w:numId w:val="26"/>
                      </w:numPr>
                      <w:tabs>
                        <w:tab w:pos="284" w:val="left" w:leader="none"/>
                      </w:tabs>
                      <w:spacing w:line="151" w:lineRule="exact" w:before="0"/>
                      <w:ind w:left="283" w:right="0" w:hanging="137"/>
                      <w:jc w:val="left"/>
                      <w:rPr>
                        <w:rFonts w:ascii="Calibri"/>
                        <w:sz w:val="12"/>
                      </w:rPr>
                    </w:pPr>
                    <w:r>
                      <w:rPr>
                        <w:rFonts w:ascii="Calibri"/>
                        <w:w w:val="135"/>
                        <w:sz w:val="12"/>
                      </w:rPr>
                      <w:t>Ley.</w:t>
                    </w:r>
                  </w:p>
                  <w:p>
                    <w:pPr>
                      <w:numPr>
                        <w:ilvl w:val="0"/>
                        <w:numId w:val="26"/>
                      </w:numPr>
                      <w:tabs>
                        <w:tab w:pos="284" w:val="left" w:leader="none"/>
                      </w:tabs>
                      <w:spacing w:line="151" w:lineRule="exact" w:before="0"/>
                      <w:ind w:left="283" w:right="0" w:hanging="137"/>
                      <w:jc w:val="left"/>
                      <w:rPr>
                        <w:rFonts w:ascii="Calibri"/>
                        <w:sz w:val="12"/>
                      </w:rPr>
                    </w:pPr>
                    <w:r>
                      <w:rPr>
                        <w:rFonts w:ascii="Calibri"/>
                        <w:w w:val="135"/>
                        <w:sz w:val="12"/>
                      </w:rPr>
                      <w:t>Derecho.</w:t>
                    </w:r>
                  </w:p>
                  <w:p>
                    <w:pPr>
                      <w:numPr>
                        <w:ilvl w:val="0"/>
                        <w:numId w:val="26"/>
                      </w:numPr>
                      <w:tabs>
                        <w:tab w:pos="284" w:val="left" w:leader="none"/>
                      </w:tabs>
                      <w:spacing w:line="151" w:lineRule="exact" w:before="0"/>
                      <w:ind w:left="283" w:right="0" w:hanging="137"/>
                      <w:jc w:val="left"/>
                      <w:rPr>
                        <w:rFonts w:ascii="Calibri" w:hAnsi="Calibri"/>
                        <w:sz w:val="12"/>
                      </w:rPr>
                    </w:pPr>
                    <w:r>
                      <w:rPr>
                        <w:rFonts w:ascii="Calibri" w:hAnsi="Calibri"/>
                        <w:w w:val="135"/>
                        <w:sz w:val="12"/>
                      </w:rPr>
                      <w:t>Información.</w:t>
                    </w:r>
                  </w:p>
                  <w:p>
                    <w:pPr>
                      <w:numPr>
                        <w:ilvl w:val="0"/>
                        <w:numId w:val="26"/>
                      </w:numPr>
                      <w:tabs>
                        <w:tab w:pos="284" w:val="left" w:leader="none"/>
                      </w:tabs>
                      <w:spacing w:line="152" w:lineRule="exact" w:before="0"/>
                      <w:ind w:left="283" w:right="0" w:hanging="137"/>
                      <w:jc w:val="left"/>
                      <w:rPr>
                        <w:rFonts w:ascii="Calibri" w:hAnsi="Calibri"/>
                        <w:sz w:val="12"/>
                      </w:rPr>
                    </w:pPr>
                    <w:r>
                      <w:rPr>
                        <w:rFonts w:ascii="Calibri" w:hAnsi="Calibri"/>
                        <w:w w:val="135"/>
                        <w:sz w:val="12"/>
                      </w:rPr>
                      <w:t>Participación.</w:t>
                    </w:r>
                  </w:p>
                </w:txbxContent>
              </v:textbox>
              <w10:wrap type="none"/>
            </v:shape>
            <v:shape style="position:absolute;left:2402;top:5848;width:6663;height:1454" type="#_x0000_t202" filled="false" stroked="false">
              <v:textbox inset="0,0,0,0">
                <w:txbxContent>
                  <w:p>
                    <w:pPr>
                      <w:spacing w:before="67"/>
                      <w:ind w:left="2489" w:right="2494" w:firstLine="0"/>
                      <w:jc w:val="center"/>
                      <w:rPr>
                        <w:rFonts w:ascii="Calibri" w:hAnsi="Calibri"/>
                        <w:b/>
                        <w:sz w:val="12"/>
                      </w:rPr>
                    </w:pPr>
                    <w:r>
                      <w:rPr>
                        <w:rFonts w:ascii="Calibri" w:hAnsi="Calibri"/>
                        <w:b/>
                        <w:w w:val="135"/>
                        <w:sz w:val="12"/>
                      </w:rPr>
                      <w:t>Contenido de la política:</w:t>
                    </w:r>
                  </w:p>
                  <w:p>
                    <w:pPr>
                      <w:spacing w:line="240" w:lineRule="auto" w:before="0"/>
                      <w:rPr>
                        <w:sz w:val="10"/>
                      </w:rPr>
                    </w:pPr>
                  </w:p>
                  <w:p>
                    <w:pPr>
                      <w:numPr>
                        <w:ilvl w:val="0"/>
                        <w:numId w:val="27"/>
                      </w:numPr>
                      <w:tabs>
                        <w:tab w:pos="280" w:val="left" w:leader="none"/>
                      </w:tabs>
                      <w:spacing w:line="152" w:lineRule="exact" w:before="0"/>
                      <w:ind w:left="279" w:right="0" w:hanging="137"/>
                      <w:jc w:val="left"/>
                      <w:rPr>
                        <w:rFonts w:ascii="Calibri" w:hAnsi="Calibri"/>
                        <w:sz w:val="12"/>
                      </w:rPr>
                    </w:pPr>
                    <w:r>
                      <w:rPr>
                        <w:rFonts w:ascii="Calibri" w:hAnsi="Calibri"/>
                        <w:w w:val="135"/>
                        <w:sz w:val="12"/>
                      </w:rPr>
                      <w:t>Problema:</w:t>
                    </w:r>
                    <w:r>
                      <w:rPr>
                        <w:rFonts w:ascii="Calibri" w:hAnsi="Calibri"/>
                        <w:spacing w:val="-13"/>
                        <w:w w:val="135"/>
                        <w:sz w:val="12"/>
                      </w:rPr>
                      <w:t> </w:t>
                    </w:r>
                    <w:r>
                      <w:rPr>
                        <w:rFonts w:ascii="Calibri" w:hAnsi="Calibri"/>
                        <w:w w:val="135"/>
                        <w:sz w:val="12"/>
                      </w:rPr>
                      <w:t>(Definición</w:t>
                    </w:r>
                    <w:r>
                      <w:rPr>
                        <w:rFonts w:ascii="Calibri" w:hAnsi="Calibri"/>
                        <w:spacing w:val="-14"/>
                        <w:w w:val="135"/>
                        <w:sz w:val="12"/>
                      </w:rPr>
                      <w:t> </w:t>
                    </w:r>
                    <w:r>
                      <w:rPr>
                        <w:rFonts w:ascii="Calibri" w:hAnsi="Calibri"/>
                        <w:w w:val="135"/>
                        <w:sz w:val="12"/>
                      </w:rPr>
                      <w:t>pública)</w:t>
                    </w:r>
                    <w:r>
                      <w:rPr>
                        <w:rFonts w:ascii="Calibri" w:hAnsi="Calibri"/>
                        <w:spacing w:val="-13"/>
                        <w:w w:val="135"/>
                        <w:sz w:val="12"/>
                      </w:rPr>
                      <w:t> </w:t>
                    </w:r>
                    <w:r>
                      <w:rPr>
                        <w:rFonts w:ascii="Calibri" w:hAnsi="Calibri"/>
                        <w:w w:val="135"/>
                        <w:sz w:val="12"/>
                      </w:rPr>
                      <w:t>Transparencia</w:t>
                    </w:r>
                    <w:r>
                      <w:rPr>
                        <w:rFonts w:ascii="Calibri" w:hAnsi="Calibri"/>
                        <w:spacing w:val="-13"/>
                        <w:w w:val="135"/>
                        <w:sz w:val="12"/>
                      </w:rPr>
                      <w:t> </w:t>
                    </w:r>
                    <w:r>
                      <w:rPr>
                        <w:rFonts w:ascii="Calibri" w:hAnsi="Calibri"/>
                        <w:w w:val="135"/>
                        <w:sz w:val="12"/>
                      </w:rPr>
                      <w:t>incipiente.</w:t>
                    </w:r>
                  </w:p>
                  <w:p>
                    <w:pPr>
                      <w:numPr>
                        <w:ilvl w:val="0"/>
                        <w:numId w:val="27"/>
                      </w:numPr>
                      <w:tabs>
                        <w:tab w:pos="280" w:val="left" w:leader="none"/>
                      </w:tabs>
                      <w:spacing w:line="151" w:lineRule="exact" w:before="0"/>
                      <w:ind w:left="279" w:right="0" w:hanging="137"/>
                      <w:jc w:val="left"/>
                      <w:rPr>
                        <w:rFonts w:ascii="Calibri" w:hAnsi="Calibri"/>
                        <w:sz w:val="12"/>
                      </w:rPr>
                    </w:pPr>
                    <w:r>
                      <w:rPr>
                        <w:rFonts w:ascii="Calibri" w:hAnsi="Calibri"/>
                        <w:w w:val="135"/>
                        <w:sz w:val="12"/>
                      </w:rPr>
                      <w:t>Programa</w:t>
                    </w:r>
                    <w:r>
                      <w:rPr>
                        <w:rFonts w:ascii="Calibri" w:hAnsi="Calibri"/>
                        <w:spacing w:val="-6"/>
                        <w:w w:val="135"/>
                        <w:sz w:val="12"/>
                      </w:rPr>
                      <w:t> </w:t>
                    </w:r>
                    <w:r>
                      <w:rPr>
                        <w:rFonts w:ascii="Calibri" w:hAnsi="Calibri"/>
                        <w:w w:val="135"/>
                        <w:sz w:val="12"/>
                      </w:rPr>
                      <w:t>de</w:t>
                    </w:r>
                    <w:r>
                      <w:rPr>
                        <w:rFonts w:ascii="Calibri" w:hAnsi="Calibri"/>
                        <w:spacing w:val="-6"/>
                        <w:w w:val="135"/>
                        <w:sz w:val="12"/>
                      </w:rPr>
                      <w:t> </w:t>
                    </w:r>
                    <w:r>
                      <w:rPr>
                        <w:rFonts w:ascii="Calibri" w:hAnsi="Calibri"/>
                        <w:w w:val="135"/>
                        <w:sz w:val="12"/>
                      </w:rPr>
                      <w:t>acción:</w:t>
                    </w:r>
                    <w:r>
                      <w:rPr>
                        <w:rFonts w:ascii="Calibri" w:hAnsi="Calibri"/>
                        <w:spacing w:val="-5"/>
                        <w:w w:val="135"/>
                        <w:sz w:val="12"/>
                      </w:rPr>
                      <w:t> </w:t>
                    </w:r>
                    <w:r>
                      <w:rPr>
                        <w:rFonts w:ascii="Calibri" w:hAnsi="Calibri"/>
                        <w:w w:val="135"/>
                        <w:sz w:val="12"/>
                      </w:rPr>
                      <w:t>Incluído</w:t>
                    </w:r>
                    <w:r>
                      <w:rPr>
                        <w:rFonts w:ascii="Calibri" w:hAnsi="Calibri"/>
                        <w:spacing w:val="-5"/>
                        <w:w w:val="135"/>
                        <w:sz w:val="12"/>
                      </w:rPr>
                      <w:t> </w:t>
                    </w:r>
                    <w:r>
                      <w:rPr>
                        <w:rFonts w:ascii="Calibri" w:hAnsi="Calibri"/>
                        <w:w w:val="135"/>
                        <w:sz w:val="12"/>
                      </w:rPr>
                      <w:t>en</w:t>
                    </w:r>
                    <w:r>
                      <w:rPr>
                        <w:rFonts w:ascii="Calibri" w:hAnsi="Calibri"/>
                        <w:spacing w:val="-5"/>
                        <w:w w:val="135"/>
                        <w:sz w:val="12"/>
                      </w:rPr>
                      <w:t> </w:t>
                    </w:r>
                    <w:r>
                      <w:rPr>
                        <w:rFonts w:ascii="Calibri" w:hAnsi="Calibri"/>
                        <w:w w:val="135"/>
                        <w:sz w:val="12"/>
                      </w:rPr>
                      <w:t>las</w:t>
                    </w:r>
                    <w:r>
                      <w:rPr>
                        <w:rFonts w:ascii="Calibri" w:hAnsi="Calibri"/>
                        <w:spacing w:val="-6"/>
                        <w:w w:val="135"/>
                        <w:sz w:val="12"/>
                      </w:rPr>
                      <w:t> </w:t>
                    </w:r>
                    <w:r>
                      <w:rPr>
                        <w:rFonts w:ascii="Calibri" w:hAnsi="Calibri"/>
                        <w:w w:val="135"/>
                        <w:sz w:val="12"/>
                      </w:rPr>
                      <w:t>metas</w:t>
                    </w:r>
                    <w:r>
                      <w:rPr>
                        <w:rFonts w:ascii="Calibri" w:hAnsi="Calibri"/>
                        <w:spacing w:val="-6"/>
                        <w:w w:val="135"/>
                        <w:sz w:val="12"/>
                      </w:rPr>
                      <w:t> </w:t>
                    </w:r>
                    <w:r>
                      <w:rPr>
                        <w:rFonts w:ascii="Calibri" w:hAnsi="Calibri"/>
                        <w:w w:val="135"/>
                        <w:sz w:val="12"/>
                      </w:rPr>
                      <w:t>de</w:t>
                    </w:r>
                    <w:r>
                      <w:rPr>
                        <w:rFonts w:ascii="Calibri" w:hAnsi="Calibri"/>
                        <w:spacing w:val="-6"/>
                        <w:w w:val="135"/>
                        <w:sz w:val="12"/>
                      </w:rPr>
                      <w:t> </w:t>
                    </w:r>
                    <w:r>
                      <w:rPr>
                        <w:rFonts w:ascii="Calibri" w:hAnsi="Calibri"/>
                        <w:w w:val="135"/>
                        <w:sz w:val="12"/>
                      </w:rPr>
                      <w:t>los</w:t>
                    </w:r>
                    <w:r>
                      <w:rPr>
                        <w:rFonts w:ascii="Calibri" w:hAnsi="Calibri"/>
                        <w:spacing w:val="-6"/>
                        <w:w w:val="135"/>
                        <w:sz w:val="12"/>
                      </w:rPr>
                      <w:t> </w:t>
                    </w:r>
                    <w:r>
                      <w:rPr>
                        <w:rFonts w:ascii="Calibri" w:hAnsi="Calibri"/>
                        <w:w w:val="135"/>
                        <w:sz w:val="12"/>
                      </w:rPr>
                      <w:t>PDM,</w:t>
                    </w:r>
                    <w:r>
                      <w:rPr>
                        <w:rFonts w:ascii="Calibri" w:hAnsi="Calibri"/>
                        <w:spacing w:val="-5"/>
                        <w:w w:val="135"/>
                        <w:sz w:val="12"/>
                      </w:rPr>
                      <w:t> </w:t>
                    </w:r>
                    <w:r>
                      <w:rPr>
                        <w:rFonts w:ascii="Calibri" w:hAnsi="Calibri"/>
                        <w:w w:val="135"/>
                        <w:sz w:val="12"/>
                      </w:rPr>
                      <w:t>INFOEM</w:t>
                    </w:r>
                  </w:p>
                  <w:p>
                    <w:pPr>
                      <w:numPr>
                        <w:ilvl w:val="0"/>
                        <w:numId w:val="27"/>
                      </w:numPr>
                      <w:tabs>
                        <w:tab w:pos="280" w:val="left" w:leader="none"/>
                      </w:tabs>
                      <w:spacing w:line="151" w:lineRule="exact" w:before="0"/>
                      <w:ind w:left="279" w:right="0" w:hanging="137"/>
                      <w:jc w:val="left"/>
                      <w:rPr>
                        <w:rFonts w:ascii="Calibri" w:hAnsi="Calibri"/>
                        <w:sz w:val="12"/>
                      </w:rPr>
                    </w:pPr>
                    <w:r>
                      <w:rPr>
                        <w:rFonts w:ascii="Calibri" w:hAnsi="Calibri"/>
                        <w:w w:val="135"/>
                        <w:sz w:val="12"/>
                      </w:rPr>
                      <w:t>Acuerdo</w:t>
                    </w:r>
                    <w:r>
                      <w:rPr>
                        <w:rFonts w:ascii="Calibri" w:hAnsi="Calibri"/>
                        <w:spacing w:val="-11"/>
                        <w:w w:val="135"/>
                        <w:sz w:val="12"/>
                      </w:rPr>
                      <w:t> </w:t>
                    </w:r>
                    <w:r>
                      <w:rPr>
                        <w:rFonts w:ascii="Calibri" w:hAnsi="Calibri"/>
                        <w:w w:val="135"/>
                        <w:sz w:val="12"/>
                      </w:rPr>
                      <w:t>político-administrativo:</w:t>
                    </w:r>
                    <w:r>
                      <w:rPr>
                        <w:rFonts w:ascii="Calibri" w:hAnsi="Calibri"/>
                        <w:spacing w:val="-11"/>
                        <w:w w:val="135"/>
                        <w:sz w:val="12"/>
                      </w:rPr>
                      <w:t> </w:t>
                    </w:r>
                    <w:r>
                      <w:rPr>
                        <w:rFonts w:ascii="Calibri" w:hAnsi="Calibri"/>
                        <w:w w:val="135"/>
                        <w:sz w:val="12"/>
                      </w:rPr>
                      <w:t>Cumplimiento</w:t>
                    </w:r>
                    <w:r>
                      <w:rPr>
                        <w:rFonts w:ascii="Calibri" w:hAnsi="Calibri"/>
                        <w:spacing w:val="-11"/>
                        <w:w w:val="135"/>
                        <w:sz w:val="12"/>
                      </w:rPr>
                      <w:t> </w:t>
                    </w:r>
                    <w:r>
                      <w:rPr>
                        <w:rFonts w:ascii="Calibri" w:hAnsi="Calibri"/>
                        <w:w w:val="135"/>
                        <w:sz w:val="12"/>
                      </w:rPr>
                      <w:t>de</w:t>
                    </w:r>
                    <w:r>
                      <w:rPr>
                        <w:rFonts w:ascii="Calibri" w:hAnsi="Calibri"/>
                        <w:spacing w:val="-10"/>
                        <w:w w:val="135"/>
                        <w:sz w:val="12"/>
                      </w:rPr>
                      <w:t> </w:t>
                    </w:r>
                    <w:r>
                      <w:rPr>
                        <w:rFonts w:ascii="Calibri" w:hAnsi="Calibri"/>
                        <w:w w:val="135"/>
                        <w:sz w:val="12"/>
                      </w:rPr>
                      <w:t>la</w:t>
                    </w:r>
                    <w:r>
                      <w:rPr>
                        <w:rFonts w:ascii="Calibri" w:hAnsi="Calibri"/>
                        <w:spacing w:val="-11"/>
                        <w:w w:val="135"/>
                        <w:sz w:val="12"/>
                      </w:rPr>
                      <w:t> </w:t>
                    </w:r>
                    <w:r>
                      <w:rPr>
                        <w:rFonts w:ascii="Calibri" w:hAnsi="Calibri"/>
                        <w:w w:val="135"/>
                        <w:sz w:val="12"/>
                      </w:rPr>
                      <w:t>ley.</w:t>
                    </w:r>
                  </w:p>
                  <w:p>
                    <w:pPr>
                      <w:numPr>
                        <w:ilvl w:val="0"/>
                        <w:numId w:val="27"/>
                      </w:numPr>
                      <w:tabs>
                        <w:tab w:pos="280" w:val="left" w:leader="none"/>
                      </w:tabs>
                      <w:spacing w:line="152" w:lineRule="exact" w:before="0"/>
                      <w:ind w:left="279" w:right="0" w:hanging="137"/>
                      <w:jc w:val="left"/>
                      <w:rPr>
                        <w:rFonts w:ascii="Calibri" w:hAnsi="Calibri"/>
                        <w:sz w:val="12"/>
                      </w:rPr>
                    </w:pPr>
                    <w:r>
                      <w:rPr>
                        <w:rFonts w:ascii="Calibri" w:hAnsi="Calibri"/>
                        <w:w w:val="135"/>
                        <w:sz w:val="12"/>
                      </w:rPr>
                      <w:t>Plan</w:t>
                    </w:r>
                    <w:r>
                      <w:rPr>
                        <w:rFonts w:ascii="Calibri" w:hAnsi="Calibri"/>
                        <w:spacing w:val="-9"/>
                        <w:w w:val="135"/>
                        <w:sz w:val="12"/>
                      </w:rPr>
                      <w:t> </w:t>
                    </w:r>
                    <w:r>
                      <w:rPr>
                        <w:rFonts w:ascii="Calibri" w:hAnsi="Calibri"/>
                        <w:w w:val="135"/>
                        <w:sz w:val="12"/>
                      </w:rPr>
                      <w:t>de</w:t>
                    </w:r>
                    <w:r>
                      <w:rPr>
                        <w:rFonts w:ascii="Calibri" w:hAnsi="Calibri"/>
                        <w:spacing w:val="-9"/>
                        <w:w w:val="135"/>
                        <w:sz w:val="12"/>
                      </w:rPr>
                      <w:t> </w:t>
                    </w:r>
                    <w:r>
                      <w:rPr>
                        <w:rFonts w:ascii="Calibri" w:hAnsi="Calibri"/>
                        <w:w w:val="135"/>
                        <w:sz w:val="12"/>
                      </w:rPr>
                      <w:t>acción:</w:t>
                    </w:r>
                    <w:r>
                      <w:rPr>
                        <w:rFonts w:ascii="Calibri" w:hAnsi="Calibri"/>
                        <w:spacing w:val="-8"/>
                        <w:w w:val="135"/>
                        <w:sz w:val="12"/>
                      </w:rPr>
                      <w:t> </w:t>
                    </w:r>
                    <w:r>
                      <w:rPr>
                        <w:rFonts w:ascii="Calibri" w:hAnsi="Calibri"/>
                        <w:w w:val="135"/>
                        <w:sz w:val="12"/>
                      </w:rPr>
                      <w:t>No</w:t>
                    </w:r>
                    <w:r>
                      <w:rPr>
                        <w:rFonts w:ascii="Calibri" w:hAnsi="Calibri"/>
                        <w:spacing w:val="-8"/>
                        <w:w w:val="135"/>
                        <w:sz w:val="12"/>
                      </w:rPr>
                      <w:t> </w:t>
                    </w:r>
                    <w:r>
                      <w:rPr>
                        <w:rFonts w:ascii="Calibri" w:hAnsi="Calibri"/>
                        <w:w w:val="135"/>
                        <w:sz w:val="12"/>
                      </w:rPr>
                      <w:t>identificado.</w:t>
                    </w:r>
                  </w:p>
                  <w:p>
                    <w:pPr>
                      <w:numPr>
                        <w:ilvl w:val="0"/>
                        <w:numId w:val="27"/>
                      </w:numPr>
                      <w:tabs>
                        <w:tab w:pos="280" w:val="left" w:leader="none"/>
                      </w:tabs>
                      <w:spacing w:line="144" w:lineRule="exact" w:before="5"/>
                      <w:ind w:left="279" w:right="159" w:hanging="137"/>
                      <w:jc w:val="left"/>
                      <w:rPr>
                        <w:rFonts w:ascii="Calibri" w:hAnsi="Calibri"/>
                        <w:sz w:val="12"/>
                      </w:rPr>
                    </w:pPr>
                    <w:r>
                      <w:rPr>
                        <w:rFonts w:ascii="Calibri" w:hAnsi="Calibri"/>
                        <w:w w:val="135"/>
                        <w:sz w:val="12"/>
                      </w:rPr>
                      <w:t>Acciones de implementación: Creación de portal web y publicación de información, capacitación,</w:t>
                    </w:r>
                    <w:r>
                      <w:rPr>
                        <w:rFonts w:ascii="Calibri" w:hAnsi="Calibri"/>
                        <w:spacing w:val="-7"/>
                        <w:w w:val="135"/>
                        <w:sz w:val="12"/>
                      </w:rPr>
                      <w:t> </w:t>
                    </w:r>
                    <w:r>
                      <w:rPr>
                        <w:rFonts w:ascii="Calibri" w:hAnsi="Calibri"/>
                        <w:w w:val="135"/>
                        <w:sz w:val="12"/>
                      </w:rPr>
                      <w:t>apoyo</w:t>
                    </w:r>
                    <w:r>
                      <w:rPr>
                        <w:rFonts w:ascii="Calibri" w:hAnsi="Calibri"/>
                        <w:spacing w:val="-6"/>
                        <w:w w:val="135"/>
                        <w:sz w:val="12"/>
                      </w:rPr>
                      <w:t> </w:t>
                    </w:r>
                    <w:r>
                      <w:rPr>
                        <w:rFonts w:ascii="Calibri" w:hAnsi="Calibri"/>
                        <w:w w:val="135"/>
                        <w:sz w:val="12"/>
                      </w:rPr>
                      <w:t>al</w:t>
                    </w:r>
                    <w:r>
                      <w:rPr>
                        <w:rFonts w:ascii="Calibri" w:hAnsi="Calibri"/>
                        <w:spacing w:val="-7"/>
                        <w:w w:val="135"/>
                        <w:sz w:val="12"/>
                      </w:rPr>
                      <w:t> </w:t>
                    </w:r>
                    <w:r>
                      <w:rPr>
                        <w:rFonts w:ascii="Calibri" w:hAnsi="Calibri"/>
                        <w:w w:val="135"/>
                        <w:sz w:val="12"/>
                      </w:rPr>
                      <w:t>responsable</w:t>
                    </w:r>
                    <w:r>
                      <w:rPr>
                        <w:rFonts w:ascii="Calibri" w:hAnsi="Calibri"/>
                        <w:spacing w:val="-8"/>
                        <w:w w:val="135"/>
                        <w:sz w:val="12"/>
                      </w:rPr>
                      <w:t> </w:t>
                    </w:r>
                    <w:r>
                      <w:rPr>
                        <w:rFonts w:ascii="Calibri" w:hAnsi="Calibri"/>
                        <w:w w:val="135"/>
                        <w:sz w:val="12"/>
                      </w:rPr>
                      <w:t>de</w:t>
                    </w:r>
                    <w:r>
                      <w:rPr>
                        <w:rFonts w:ascii="Calibri" w:hAnsi="Calibri"/>
                        <w:spacing w:val="-8"/>
                        <w:w w:val="135"/>
                        <w:sz w:val="12"/>
                      </w:rPr>
                      <w:t> </w:t>
                    </w:r>
                    <w:r>
                      <w:rPr>
                        <w:rFonts w:ascii="Calibri" w:hAnsi="Calibri"/>
                        <w:w w:val="135"/>
                        <w:sz w:val="12"/>
                      </w:rPr>
                      <w:t>transparencia,</w:t>
                    </w:r>
                    <w:r>
                      <w:rPr>
                        <w:rFonts w:ascii="Calibri" w:hAnsi="Calibri"/>
                        <w:spacing w:val="-7"/>
                        <w:w w:val="135"/>
                        <w:sz w:val="12"/>
                      </w:rPr>
                      <w:t> </w:t>
                    </w:r>
                    <w:r>
                      <w:rPr>
                        <w:rFonts w:ascii="Calibri" w:hAnsi="Calibri"/>
                        <w:w w:val="135"/>
                        <w:sz w:val="12"/>
                      </w:rPr>
                      <w:t>creación</w:t>
                    </w:r>
                    <w:r>
                      <w:rPr>
                        <w:rFonts w:ascii="Calibri" w:hAnsi="Calibri"/>
                        <w:spacing w:val="-8"/>
                        <w:w w:val="135"/>
                        <w:sz w:val="12"/>
                      </w:rPr>
                      <w:t> </w:t>
                    </w:r>
                    <w:r>
                      <w:rPr>
                        <w:rFonts w:ascii="Calibri" w:hAnsi="Calibri"/>
                        <w:w w:val="135"/>
                        <w:sz w:val="12"/>
                      </w:rPr>
                      <w:t>de</w:t>
                    </w:r>
                    <w:r>
                      <w:rPr>
                        <w:rFonts w:ascii="Calibri" w:hAnsi="Calibri"/>
                        <w:spacing w:val="-6"/>
                        <w:w w:val="135"/>
                        <w:sz w:val="12"/>
                      </w:rPr>
                      <w:t> </w:t>
                    </w:r>
                    <w:r>
                      <w:rPr>
                        <w:rFonts w:ascii="Calibri" w:hAnsi="Calibri"/>
                        <w:w w:val="135"/>
                        <w:sz w:val="12"/>
                      </w:rPr>
                      <w:t>UT,</w:t>
                    </w:r>
                    <w:r>
                      <w:rPr>
                        <w:rFonts w:ascii="Calibri" w:hAnsi="Calibri"/>
                        <w:spacing w:val="-7"/>
                        <w:w w:val="135"/>
                        <w:sz w:val="12"/>
                      </w:rPr>
                      <w:t> </w:t>
                    </w:r>
                    <w:r>
                      <w:rPr>
                        <w:rFonts w:ascii="Calibri" w:hAnsi="Calibri"/>
                        <w:w w:val="135"/>
                        <w:sz w:val="12"/>
                      </w:rPr>
                      <w:t>Comités</w:t>
                    </w:r>
                    <w:r>
                      <w:rPr>
                        <w:rFonts w:ascii="Calibri" w:hAnsi="Calibri"/>
                        <w:spacing w:val="-8"/>
                        <w:w w:val="135"/>
                        <w:sz w:val="12"/>
                      </w:rPr>
                      <w:t> </w:t>
                    </w:r>
                    <w:r>
                      <w:rPr>
                        <w:rFonts w:ascii="Calibri" w:hAnsi="Calibri"/>
                        <w:w w:val="135"/>
                        <w:sz w:val="12"/>
                      </w:rPr>
                      <w:t>INFOEM.</w:t>
                    </w:r>
                  </w:p>
                  <w:p>
                    <w:pPr>
                      <w:numPr>
                        <w:ilvl w:val="0"/>
                        <w:numId w:val="27"/>
                      </w:numPr>
                      <w:tabs>
                        <w:tab w:pos="280" w:val="left" w:leader="none"/>
                      </w:tabs>
                      <w:spacing w:before="2"/>
                      <w:ind w:left="279" w:right="0" w:hanging="137"/>
                      <w:jc w:val="left"/>
                      <w:rPr>
                        <w:rFonts w:ascii="Calibri" w:hAnsi="Calibri"/>
                        <w:sz w:val="12"/>
                      </w:rPr>
                    </w:pPr>
                    <w:r>
                      <w:rPr>
                        <w:rFonts w:ascii="Calibri" w:hAnsi="Calibri"/>
                        <w:w w:val="135"/>
                        <w:sz w:val="12"/>
                      </w:rPr>
                      <w:t>Evaluación</w:t>
                    </w:r>
                    <w:r>
                      <w:rPr>
                        <w:rFonts w:ascii="Calibri" w:hAnsi="Calibri"/>
                        <w:spacing w:val="-8"/>
                        <w:w w:val="135"/>
                        <w:sz w:val="12"/>
                      </w:rPr>
                      <w:t> </w:t>
                    </w:r>
                    <w:r>
                      <w:rPr>
                        <w:rFonts w:ascii="Calibri" w:hAnsi="Calibri"/>
                        <w:w w:val="135"/>
                        <w:sz w:val="12"/>
                      </w:rPr>
                      <w:t>de</w:t>
                    </w:r>
                    <w:r>
                      <w:rPr>
                        <w:rFonts w:ascii="Calibri" w:hAnsi="Calibri"/>
                        <w:spacing w:val="-8"/>
                        <w:w w:val="135"/>
                        <w:sz w:val="12"/>
                      </w:rPr>
                      <w:t> </w:t>
                    </w:r>
                    <w:r>
                      <w:rPr>
                        <w:rFonts w:ascii="Calibri" w:hAnsi="Calibri"/>
                        <w:w w:val="135"/>
                        <w:sz w:val="12"/>
                      </w:rPr>
                      <w:t>los</w:t>
                    </w:r>
                    <w:r>
                      <w:rPr>
                        <w:rFonts w:ascii="Calibri" w:hAnsi="Calibri"/>
                        <w:spacing w:val="-8"/>
                        <w:w w:val="135"/>
                        <w:sz w:val="12"/>
                      </w:rPr>
                      <w:t> </w:t>
                    </w:r>
                    <w:r>
                      <w:rPr>
                        <w:rFonts w:ascii="Calibri" w:hAnsi="Calibri"/>
                        <w:w w:val="135"/>
                        <w:sz w:val="12"/>
                      </w:rPr>
                      <w:t>efectos:</w:t>
                    </w:r>
                    <w:r>
                      <w:rPr>
                        <w:rFonts w:ascii="Calibri" w:hAnsi="Calibri"/>
                        <w:spacing w:val="-7"/>
                        <w:w w:val="135"/>
                        <w:sz w:val="12"/>
                      </w:rPr>
                      <w:t> </w:t>
                    </w:r>
                    <w:r>
                      <w:rPr>
                        <w:rFonts w:ascii="Calibri" w:hAnsi="Calibri"/>
                        <w:w w:val="135"/>
                        <w:sz w:val="12"/>
                      </w:rPr>
                      <w:t>En</w:t>
                    </w:r>
                    <w:r>
                      <w:rPr>
                        <w:rFonts w:ascii="Calibri" w:hAnsi="Calibri"/>
                        <w:spacing w:val="-8"/>
                        <w:w w:val="135"/>
                        <w:sz w:val="12"/>
                      </w:rPr>
                      <w:t> </w:t>
                    </w:r>
                    <w:r>
                      <w:rPr>
                        <w:rFonts w:ascii="Calibri" w:hAnsi="Calibri"/>
                        <w:w w:val="135"/>
                        <w:sz w:val="12"/>
                      </w:rPr>
                      <w:t>proceso.</w:t>
                    </w:r>
                  </w:p>
                </w:txbxContent>
              </v:textbox>
              <w10:wrap type="none"/>
            </v:shape>
            <w10:wrap type="topAndBottom"/>
          </v:group>
        </w:pict>
      </w:r>
    </w:p>
    <w:p>
      <w:pPr>
        <w:spacing w:line="87" w:lineRule="exact" w:before="0"/>
        <w:ind w:left="661" w:right="0" w:firstLine="0"/>
        <w:jc w:val="left"/>
        <w:rPr>
          <w:sz w:val="10"/>
        </w:rPr>
      </w:pPr>
      <w:r>
        <w:rPr>
          <w:w w:val="145"/>
          <w:sz w:val="10"/>
        </w:rPr>
        <w:t>Fuente: Adaptado de Subirats et. al. (2008)</w:t>
      </w:r>
    </w:p>
    <w:p>
      <w:pPr>
        <w:pStyle w:val="BodyText"/>
        <w:rPr>
          <w:sz w:val="20"/>
        </w:rPr>
      </w:pPr>
    </w:p>
    <w:p>
      <w:pPr>
        <w:pStyle w:val="BodyText"/>
        <w:rPr>
          <w:sz w:val="20"/>
        </w:rPr>
      </w:pPr>
    </w:p>
    <w:p>
      <w:pPr>
        <w:pStyle w:val="BodyText"/>
        <w:rPr>
          <w:sz w:val="20"/>
        </w:rPr>
      </w:pPr>
    </w:p>
    <w:p>
      <w:pPr>
        <w:pStyle w:val="BodyText"/>
        <w:spacing w:line="360" w:lineRule="auto" w:before="188"/>
        <w:ind w:left="102" w:right="116"/>
        <w:jc w:val="both"/>
      </w:pPr>
      <w:r>
        <w:rPr/>
        <w:t>En</w:t>
      </w:r>
      <w:r>
        <w:rPr>
          <w:spacing w:val="-18"/>
        </w:rPr>
        <w:t> </w:t>
      </w:r>
      <w:r>
        <w:rPr/>
        <w:t>este</w:t>
      </w:r>
      <w:r>
        <w:rPr>
          <w:spacing w:val="-20"/>
        </w:rPr>
        <w:t> </w:t>
      </w:r>
      <w:r>
        <w:rPr/>
        <w:t>escenario</w:t>
      </w:r>
      <w:r>
        <w:rPr>
          <w:spacing w:val="-18"/>
        </w:rPr>
        <w:t> </w:t>
      </w:r>
      <w:r>
        <w:rPr/>
        <w:t>tiene</w:t>
      </w:r>
      <w:r>
        <w:rPr>
          <w:spacing w:val="-18"/>
        </w:rPr>
        <w:t> </w:t>
      </w:r>
      <w:r>
        <w:rPr/>
        <w:t>importancia</w:t>
      </w:r>
      <w:r>
        <w:rPr>
          <w:spacing w:val="-18"/>
        </w:rPr>
        <w:t> </w:t>
      </w:r>
      <w:r>
        <w:rPr/>
        <w:t>la</w:t>
      </w:r>
      <w:r>
        <w:rPr>
          <w:spacing w:val="-21"/>
        </w:rPr>
        <w:t> </w:t>
      </w:r>
      <w:r>
        <w:rPr/>
        <w:t>afirmación</w:t>
      </w:r>
      <w:r>
        <w:rPr>
          <w:spacing w:val="-18"/>
        </w:rPr>
        <w:t> </w:t>
      </w:r>
      <w:r>
        <w:rPr/>
        <w:t>de</w:t>
      </w:r>
      <w:r>
        <w:rPr>
          <w:spacing w:val="-18"/>
        </w:rPr>
        <w:t> </w:t>
      </w:r>
      <w:r>
        <w:rPr/>
        <w:t>Uvalle</w:t>
      </w:r>
      <w:r>
        <w:rPr>
          <w:spacing w:val="-18"/>
        </w:rPr>
        <w:t> </w:t>
      </w:r>
      <w:r>
        <w:rPr/>
        <w:t>respecto</w:t>
      </w:r>
      <w:r>
        <w:rPr>
          <w:spacing w:val="-20"/>
        </w:rPr>
        <w:t> </w:t>
      </w:r>
      <w:r>
        <w:rPr/>
        <w:t>a</w:t>
      </w:r>
      <w:r>
        <w:rPr>
          <w:spacing w:val="-18"/>
        </w:rPr>
        <w:t> </w:t>
      </w:r>
      <w:r>
        <w:rPr/>
        <w:t>que</w:t>
      </w:r>
      <w:r>
        <w:rPr>
          <w:spacing w:val="-12"/>
        </w:rPr>
        <w:t> </w:t>
      </w:r>
      <w:r>
        <w:rPr/>
        <w:t>la</w:t>
      </w:r>
      <w:r>
        <w:rPr>
          <w:spacing w:val="-18"/>
        </w:rPr>
        <w:t> </w:t>
      </w:r>
      <w:r>
        <w:rPr/>
        <w:t>política de</w:t>
      </w:r>
      <w:r>
        <w:rPr>
          <w:spacing w:val="-6"/>
        </w:rPr>
        <w:t> </w:t>
      </w:r>
      <w:r>
        <w:rPr/>
        <w:t>transparencia</w:t>
      </w:r>
      <w:r>
        <w:rPr>
          <w:spacing w:val="-6"/>
        </w:rPr>
        <w:t> </w:t>
      </w:r>
      <w:r>
        <w:rPr/>
        <w:t>se</w:t>
      </w:r>
      <w:r>
        <w:rPr>
          <w:spacing w:val="-6"/>
        </w:rPr>
        <w:t> </w:t>
      </w:r>
      <w:r>
        <w:rPr/>
        <w:t>desenvuelve</w:t>
      </w:r>
      <w:r>
        <w:rPr>
          <w:spacing w:val="-6"/>
        </w:rPr>
        <w:t> </w:t>
      </w:r>
      <w:r>
        <w:rPr/>
        <w:t>en</w:t>
      </w:r>
      <w:r>
        <w:rPr>
          <w:spacing w:val="-6"/>
        </w:rPr>
        <w:t> </w:t>
      </w:r>
      <w:r>
        <w:rPr/>
        <w:t>el</w:t>
      </w:r>
      <w:r>
        <w:rPr>
          <w:spacing w:val="-7"/>
        </w:rPr>
        <w:t> </w:t>
      </w:r>
      <w:r>
        <w:rPr/>
        <w:t>marco</w:t>
      </w:r>
      <w:r>
        <w:rPr>
          <w:spacing w:val="-9"/>
        </w:rPr>
        <w:t> </w:t>
      </w:r>
      <w:r>
        <w:rPr/>
        <w:t>de</w:t>
      </w:r>
      <w:r>
        <w:rPr>
          <w:spacing w:val="-6"/>
        </w:rPr>
        <w:t> </w:t>
      </w:r>
      <w:r>
        <w:rPr/>
        <w:t>actores,</w:t>
      </w:r>
      <w:r>
        <w:rPr>
          <w:spacing w:val="-6"/>
        </w:rPr>
        <w:t> </w:t>
      </w:r>
      <w:r>
        <w:rPr/>
        <w:t>contextos</w:t>
      </w:r>
      <w:r>
        <w:rPr>
          <w:spacing w:val="-7"/>
        </w:rPr>
        <w:t> </w:t>
      </w:r>
      <w:r>
        <w:rPr/>
        <w:t>y</w:t>
      </w:r>
      <w:r>
        <w:rPr>
          <w:spacing w:val="-9"/>
        </w:rPr>
        <w:t> </w:t>
      </w:r>
      <w:r>
        <w:rPr/>
        <w:t>procesos</w:t>
      </w:r>
      <w:r>
        <w:rPr>
          <w:spacing w:val="-7"/>
        </w:rPr>
        <w:t> </w:t>
      </w:r>
      <w:r>
        <w:rPr/>
        <w:t>que se encargan de llevarla a la práctica. Por lo tanto, la política de transparencia debe reunir los siguientes</w:t>
      </w:r>
      <w:r>
        <w:rPr>
          <w:spacing w:val="-11"/>
        </w:rPr>
        <w:t> </w:t>
      </w:r>
      <w:r>
        <w:rPr/>
        <w:t>elementos:</w:t>
      </w:r>
    </w:p>
    <w:p>
      <w:pPr>
        <w:pStyle w:val="BodyText"/>
      </w:pPr>
    </w:p>
    <w:p>
      <w:pPr>
        <w:pStyle w:val="BodyText"/>
      </w:pPr>
    </w:p>
    <w:p>
      <w:pPr>
        <w:pStyle w:val="BodyText"/>
        <w:spacing w:before="4"/>
        <w:rPr>
          <w:sz w:val="23"/>
        </w:rPr>
      </w:pPr>
    </w:p>
    <w:p>
      <w:pPr>
        <w:pStyle w:val="ListParagraph"/>
        <w:numPr>
          <w:ilvl w:val="1"/>
          <w:numId w:val="23"/>
        </w:numPr>
        <w:tabs>
          <w:tab w:pos="1095" w:val="left" w:leader="none"/>
          <w:tab w:pos="1096" w:val="left" w:leader="none"/>
        </w:tabs>
        <w:spacing w:line="207" w:lineRule="exact" w:before="0" w:after="0"/>
        <w:ind w:left="1095" w:right="0" w:hanging="360"/>
        <w:jc w:val="left"/>
        <w:rPr>
          <w:sz w:val="18"/>
        </w:rPr>
      </w:pPr>
      <w:r>
        <w:rPr>
          <w:sz w:val="18"/>
        </w:rPr>
        <w:t>Derecho de acceso a la información</w:t>
      </w:r>
      <w:r>
        <w:rPr>
          <w:spacing w:val="-20"/>
          <w:sz w:val="18"/>
        </w:rPr>
        <w:t> </w:t>
      </w:r>
      <w:r>
        <w:rPr>
          <w:sz w:val="18"/>
        </w:rPr>
        <w:t>pública.</w:t>
      </w:r>
    </w:p>
    <w:p>
      <w:pPr>
        <w:pStyle w:val="ListParagraph"/>
        <w:numPr>
          <w:ilvl w:val="1"/>
          <w:numId w:val="23"/>
        </w:numPr>
        <w:tabs>
          <w:tab w:pos="1095" w:val="left" w:leader="none"/>
          <w:tab w:pos="1096" w:val="left" w:leader="none"/>
        </w:tabs>
        <w:spacing w:line="206" w:lineRule="exact" w:before="0" w:after="0"/>
        <w:ind w:left="1095" w:right="0" w:hanging="360"/>
        <w:jc w:val="left"/>
        <w:rPr>
          <w:sz w:val="18"/>
        </w:rPr>
      </w:pPr>
      <w:r>
        <w:rPr>
          <w:sz w:val="18"/>
        </w:rPr>
        <w:t>Vigencia del principio de máxima</w:t>
      </w:r>
      <w:r>
        <w:rPr>
          <w:spacing w:val="-20"/>
          <w:sz w:val="18"/>
        </w:rPr>
        <w:t> </w:t>
      </w:r>
      <w:r>
        <w:rPr>
          <w:sz w:val="18"/>
        </w:rPr>
        <w:t>publicidad.</w:t>
      </w:r>
    </w:p>
    <w:p>
      <w:pPr>
        <w:pStyle w:val="ListParagraph"/>
        <w:numPr>
          <w:ilvl w:val="1"/>
          <w:numId w:val="23"/>
        </w:numPr>
        <w:tabs>
          <w:tab w:pos="1095" w:val="left" w:leader="none"/>
          <w:tab w:pos="1096" w:val="left" w:leader="none"/>
        </w:tabs>
        <w:spacing w:line="240" w:lineRule="auto" w:before="0" w:after="0"/>
        <w:ind w:left="1095" w:right="739" w:hanging="360"/>
        <w:jc w:val="left"/>
        <w:rPr>
          <w:sz w:val="18"/>
        </w:rPr>
      </w:pPr>
      <w:r>
        <w:rPr>
          <w:sz w:val="18"/>
        </w:rPr>
        <w:t>Definición funcional de la organización, administración e implementación de su espíritu, objetivos y</w:t>
      </w:r>
      <w:r>
        <w:rPr>
          <w:spacing w:val="-7"/>
          <w:sz w:val="18"/>
        </w:rPr>
        <w:t> </w:t>
      </w:r>
      <w:r>
        <w:rPr>
          <w:sz w:val="18"/>
        </w:rPr>
        <w:t>metas.</w:t>
      </w:r>
    </w:p>
    <w:p>
      <w:pPr>
        <w:pStyle w:val="ListParagraph"/>
        <w:numPr>
          <w:ilvl w:val="1"/>
          <w:numId w:val="23"/>
        </w:numPr>
        <w:tabs>
          <w:tab w:pos="1095" w:val="left" w:leader="none"/>
          <w:tab w:pos="1096" w:val="left" w:leader="none"/>
        </w:tabs>
        <w:spacing w:line="206" w:lineRule="exact" w:before="0" w:after="0"/>
        <w:ind w:left="1095" w:right="0" w:hanging="360"/>
        <w:jc w:val="left"/>
        <w:rPr>
          <w:sz w:val="18"/>
        </w:rPr>
      </w:pPr>
      <w:r>
        <w:rPr>
          <w:sz w:val="18"/>
        </w:rPr>
        <w:t>Reconocimiento de principio de</w:t>
      </w:r>
      <w:r>
        <w:rPr>
          <w:spacing w:val="-15"/>
          <w:sz w:val="18"/>
        </w:rPr>
        <w:t> </w:t>
      </w:r>
      <w:r>
        <w:rPr>
          <w:sz w:val="18"/>
        </w:rPr>
        <w:t>legalidad.</w:t>
      </w:r>
    </w:p>
    <w:p>
      <w:pPr>
        <w:spacing w:after="0" w:line="206" w:lineRule="exact"/>
        <w:jc w:val="left"/>
        <w:rPr>
          <w:sz w:val="18"/>
        </w:rPr>
        <w:sectPr>
          <w:pgSz w:w="12240" w:h="15840"/>
          <w:pgMar w:header="0" w:footer="1035" w:top="1360" w:bottom="1220" w:left="1600" w:right="1580"/>
        </w:sectPr>
      </w:pPr>
    </w:p>
    <w:p>
      <w:pPr>
        <w:pStyle w:val="ListParagraph"/>
        <w:numPr>
          <w:ilvl w:val="1"/>
          <w:numId w:val="23"/>
        </w:numPr>
        <w:tabs>
          <w:tab w:pos="1095" w:val="left" w:leader="none"/>
          <w:tab w:pos="1096" w:val="left" w:leader="none"/>
        </w:tabs>
        <w:spacing w:line="242" w:lineRule="auto" w:before="55" w:after="0"/>
        <w:ind w:left="1095" w:right="732" w:hanging="360"/>
        <w:jc w:val="left"/>
        <w:rPr>
          <w:sz w:val="18"/>
        </w:rPr>
      </w:pPr>
      <w:r>
        <w:rPr>
          <w:sz w:val="18"/>
        </w:rPr>
        <w:t>Definición de los titulares y órganos responsables del cumplimiento del derecho a la información (Uvalle,</w:t>
      </w:r>
      <w:r>
        <w:rPr>
          <w:spacing w:val="-14"/>
          <w:sz w:val="18"/>
        </w:rPr>
        <w:t> </w:t>
      </w:r>
      <w:r>
        <w:rPr>
          <w:sz w:val="18"/>
        </w:rPr>
        <w:t>2012:44-45).</w:t>
      </w:r>
    </w:p>
    <w:p>
      <w:pPr>
        <w:pStyle w:val="BodyText"/>
        <w:rPr>
          <w:sz w:val="18"/>
        </w:rPr>
      </w:pPr>
    </w:p>
    <w:p>
      <w:pPr>
        <w:pStyle w:val="BodyText"/>
        <w:rPr>
          <w:sz w:val="18"/>
        </w:rPr>
      </w:pPr>
    </w:p>
    <w:p>
      <w:pPr>
        <w:pStyle w:val="BodyText"/>
        <w:rPr>
          <w:sz w:val="18"/>
        </w:rPr>
      </w:pPr>
    </w:p>
    <w:p>
      <w:pPr>
        <w:pStyle w:val="BodyText"/>
        <w:spacing w:line="360" w:lineRule="auto" w:before="148"/>
        <w:ind w:left="102" w:right="118"/>
        <w:jc w:val="both"/>
      </w:pPr>
      <w:r>
        <w:rPr/>
        <w:t>Los recientes cambios de las últimas tres décadas en América Latina han hecho notoria la incapacidad del gobierno para continuar con sus programas de bienestar social y protagonismo económico (Aguilar, 2009). Asimismo, se ha hecho observable</w:t>
      </w:r>
      <w:r>
        <w:rPr>
          <w:spacing w:val="-5"/>
        </w:rPr>
        <w:t> </w:t>
      </w:r>
      <w:r>
        <w:rPr/>
        <w:t>su</w:t>
      </w:r>
      <w:r>
        <w:rPr>
          <w:spacing w:val="-7"/>
        </w:rPr>
        <w:t> </w:t>
      </w:r>
      <w:r>
        <w:rPr/>
        <w:t>déficit</w:t>
      </w:r>
      <w:r>
        <w:rPr>
          <w:spacing w:val="-7"/>
        </w:rPr>
        <w:t> </w:t>
      </w:r>
      <w:r>
        <w:rPr/>
        <w:t>fiscal,</w:t>
      </w:r>
      <w:r>
        <w:rPr>
          <w:spacing w:val="-5"/>
        </w:rPr>
        <w:t> </w:t>
      </w:r>
      <w:r>
        <w:rPr/>
        <w:t>el</w:t>
      </w:r>
      <w:r>
        <w:rPr>
          <w:spacing w:val="-6"/>
        </w:rPr>
        <w:t> </w:t>
      </w:r>
      <w:r>
        <w:rPr/>
        <w:t>incremento</w:t>
      </w:r>
      <w:r>
        <w:rPr>
          <w:spacing w:val="-6"/>
        </w:rPr>
        <w:t> </w:t>
      </w:r>
      <w:r>
        <w:rPr/>
        <w:t>de</w:t>
      </w:r>
      <w:r>
        <w:rPr>
          <w:spacing w:val="-5"/>
        </w:rPr>
        <w:t> </w:t>
      </w:r>
      <w:r>
        <w:rPr/>
        <w:t>la</w:t>
      </w:r>
      <w:r>
        <w:rPr>
          <w:spacing w:val="-5"/>
        </w:rPr>
        <w:t> </w:t>
      </w:r>
      <w:r>
        <w:rPr/>
        <w:t>deuda</w:t>
      </w:r>
      <w:r>
        <w:rPr>
          <w:spacing w:val="-5"/>
        </w:rPr>
        <w:t> </w:t>
      </w:r>
      <w:r>
        <w:rPr/>
        <w:t>pública,</w:t>
      </w:r>
      <w:r>
        <w:rPr>
          <w:spacing w:val="-7"/>
        </w:rPr>
        <w:t> </w:t>
      </w:r>
      <w:r>
        <w:rPr/>
        <w:t>la</w:t>
      </w:r>
      <w:r>
        <w:rPr>
          <w:spacing w:val="-5"/>
        </w:rPr>
        <w:t> </w:t>
      </w:r>
      <w:r>
        <w:rPr/>
        <w:t>pérdida</w:t>
      </w:r>
      <w:r>
        <w:rPr>
          <w:spacing w:val="-7"/>
        </w:rPr>
        <w:t> </w:t>
      </w:r>
      <w:r>
        <w:rPr/>
        <w:t>de</w:t>
      </w:r>
      <w:r>
        <w:rPr>
          <w:spacing w:val="-5"/>
        </w:rPr>
        <w:t> </w:t>
      </w:r>
      <w:r>
        <w:rPr/>
        <w:t>calidad de vida de los habitantes, así como la falta de calidad de servicios públicos, por lo que el gobierno ha comenzado a adoptar técnicas de las empresas privadas para mejorar las acciones gubernamentales, tales como la calidad y la eficiencia (Guerrero, 2003 y Méndez,</w:t>
      </w:r>
      <w:r>
        <w:rPr>
          <w:spacing w:val="-13"/>
        </w:rPr>
        <w:t> </w:t>
      </w:r>
      <w:r>
        <w:rPr/>
        <w:t>2010).</w:t>
      </w:r>
    </w:p>
    <w:p>
      <w:pPr>
        <w:pStyle w:val="BodyText"/>
      </w:pPr>
    </w:p>
    <w:p>
      <w:pPr>
        <w:pStyle w:val="BodyText"/>
      </w:pPr>
    </w:p>
    <w:p>
      <w:pPr>
        <w:pStyle w:val="BodyText"/>
        <w:spacing w:line="360" w:lineRule="auto" w:before="185"/>
        <w:ind w:left="102" w:right="115"/>
        <w:jc w:val="both"/>
      </w:pPr>
      <w:r>
        <w:rPr/>
        <w:t>Es por ello que el origen de las políticas públicas de acuerdo con Aguilar (2009), tuvieron</w:t>
      </w:r>
      <w:r>
        <w:rPr>
          <w:spacing w:val="-6"/>
        </w:rPr>
        <w:t> </w:t>
      </w:r>
      <w:r>
        <w:rPr/>
        <w:t>como</w:t>
      </w:r>
      <w:r>
        <w:rPr>
          <w:spacing w:val="-6"/>
        </w:rPr>
        <w:t> </w:t>
      </w:r>
      <w:r>
        <w:rPr/>
        <w:t>objetivo</w:t>
      </w:r>
      <w:r>
        <w:rPr>
          <w:spacing w:val="-6"/>
        </w:rPr>
        <w:t> </w:t>
      </w:r>
      <w:r>
        <w:rPr/>
        <w:t>mejorar</w:t>
      </w:r>
      <w:r>
        <w:rPr>
          <w:spacing w:val="-7"/>
        </w:rPr>
        <w:t> </w:t>
      </w:r>
      <w:r>
        <w:rPr/>
        <w:t>la</w:t>
      </w:r>
      <w:r>
        <w:rPr>
          <w:spacing w:val="-6"/>
        </w:rPr>
        <w:t> </w:t>
      </w:r>
      <w:r>
        <w:rPr/>
        <w:t>calidad</w:t>
      </w:r>
      <w:r>
        <w:rPr>
          <w:spacing w:val="-8"/>
        </w:rPr>
        <w:t> </w:t>
      </w:r>
      <w:r>
        <w:rPr/>
        <w:t>de</w:t>
      </w:r>
      <w:r>
        <w:rPr>
          <w:spacing w:val="-6"/>
        </w:rPr>
        <w:t> </w:t>
      </w:r>
      <w:r>
        <w:rPr/>
        <w:t>la</w:t>
      </w:r>
      <w:r>
        <w:rPr>
          <w:spacing w:val="-6"/>
        </w:rPr>
        <w:t> </w:t>
      </w:r>
      <w:r>
        <w:rPr/>
        <w:t>decisión</w:t>
      </w:r>
      <w:r>
        <w:rPr>
          <w:spacing w:val="-6"/>
        </w:rPr>
        <w:t> </w:t>
      </w:r>
      <w:r>
        <w:rPr/>
        <w:t>pública</w:t>
      </w:r>
      <w:r>
        <w:rPr>
          <w:spacing w:val="-6"/>
        </w:rPr>
        <w:t> </w:t>
      </w:r>
      <w:r>
        <w:rPr/>
        <w:t>de</w:t>
      </w:r>
      <w:r>
        <w:rPr>
          <w:spacing w:val="-6"/>
        </w:rPr>
        <w:t> </w:t>
      </w:r>
      <w:r>
        <w:rPr/>
        <w:t>los</w:t>
      </w:r>
      <w:r>
        <w:rPr>
          <w:spacing w:val="-7"/>
        </w:rPr>
        <w:t> </w:t>
      </w:r>
      <w:r>
        <w:rPr/>
        <w:t>gobiernos</w:t>
      </w:r>
      <w:r>
        <w:rPr>
          <w:spacing w:val="-9"/>
        </w:rPr>
        <w:t> </w:t>
      </w:r>
      <w:r>
        <w:rPr/>
        <w:t>en dos</w:t>
      </w:r>
      <w:r>
        <w:rPr>
          <w:spacing w:val="-8"/>
        </w:rPr>
        <w:t> </w:t>
      </w:r>
      <w:r>
        <w:rPr/>
        <w:t>de</w:t>
      </w:r>
      <w:r>
        <w:rPr>
          <w:spacing w:val="-5"/>
        </w:rPr>
        <w:t> </w:t>
      </w:r>
      <w:r>
        <w:rPr/>
        <w:t>sus</w:t>
      </w:r>
      <w:r>
        <w:rPr>
          <w:spacing w:val="-5"/>
        </w:rPr>
        <w:t> </w:t>
      </w:r>
      <w:r>
        <w:rPr/>
        <w:t>dimensiones</w:t>
      </w:r>
      <w:r>
        <w:rPr>
          <w:spacing w:val="-5"/>
        </w:rPr>
        <w:t> </w:t>
      </w:r>
      <w:r>
        <w:rPr/>
        <w:t>principales:</w:t>
      </w:r>
      <w:r>
        <w:rPr>
          <w:spacing w:val="-5"/>
        </w:rPr>
        <w:t> </w:t>
      </w:r>
      <w:r>
        <w:rPr/>
        <w:t>la</w:t>
      </w:r>
      <w:r>
        <w:rPr>
          <w:spacing w:val="-5"/>
        </w:rPr>
        <w:t> </w:t>
      </w:r>
      <w:r>
        <w:rPr/>
        <w:t>calidad</w:t>
      </w:r>
      <w:r>
        <w:rPr>
          <w:spacing w:val="-5"/>
        </w:rPr>
        <w:t> </w:t>
      </w:r>
      <w:r>
        <w:rPr/>
        <w:t>institucional</w:t>
      </w:r>
      <w:r>
        <w:rPr>
          <w:spacing w:val="-8"/>
        </w:rPr>
        <w:t> </w:t>
      </w:r>
      <w:r>
        <w:rPr/>
        <w:t>de</w:t>
      </w:r>
      <w:r>
        <w:rPr>
          <w:spacing w:val="-7"/>
        </w:rPr>
        <w:t> </w:t>
      </w:r>
      <w:r>
        <w:rPr/>
        <w:t>la</w:t>
      </w:r>
      <w:r>
        <w:rPr>
          <w:spacing w:val="-7"/>
        </w:rPr>
        <w:t> </w:t>
      </w:r>
      <w:r>
        <w:rPr/>
        <w:t>decisión</w:t>
      </w:r>
      <w:r>
        <w:rPr>
          <w:spacing w:val="-5"/>
        </w:rPr>
        <w:t> </w:t>
      </w:r>
      <w:r>
        <w:rPr/>
        <w:t>referida</w:t>
      </w:r>
      <w:r>
        <w:rPr>
          <w:spacing w:val="-7"/>
        </w:rPr>
        <w:t> </w:t>
      </w:r>
      <w:r>
        <w:rPr/>
        <w:t>a los</w:t>
      </w:r>
      <w:r>
        <w:rPr>
          <w:spacing w:val="-9"/>
        </w:rPr>
        <w:t> </w:t>
      </w:r>
      <w:r>
        <w:rPr/>
        <w:t>valores</w:t>
      </w:r>
      <w:r>
        <w:rPr>
          <w:spacing w:val="-9"/>
        </w:rPr>
        <w:t> </w:t>
      </w:r>
      <w:r>
        <w:rPr/>
        <w:t>públicos</w:t>
      </w:r>
      <w:r>
        <w:rPr>
          <w:spacing w:val="-9"/>
        </w:rPr>
        <w:t> </w:t>
      </w:r>
      <w:r>
        <w:rPr/>
        <w:t>pasmados</w:t>
      </w:r>
      <w:r>
        <w:rPr>
          <w:spacing w:val="-9"/>
        </w:rPr>
        <w:t> </w:t>
      </w:r>
      <w:r>
        <w:rPr/>
        <w:t>en</w:t>
      </w:r>
      <w:r>
        <w:rPr>
          <w:spacing w:val="-8"/>
        </w:rPr>
        <w:t> </w:t>
      </w:r>
      <w:r>
        <w:rPr/>
        <w:t>la</w:t>
      </w:r>
      <w:r>
        <w:rPr>
          <w:spacing w:val="-9"/>
        </w:rPr>
        <w:t> </w:t>
      </w:r>
      <w:r>
        <w:rPr/>
        <w:t>constitución</w:t>
      </w:r>
      <w:r>
        <w:rPr>
          <w:spacing w:val="-8"/>
        </w:rPr>
        <w:t> </w:t>
      </w:r>
      <w:r>
        <w:rPr/>
        <w:t>y</w:t>
      </w:r>
      <w:r>
        <w:rPr>
          <w:spacing w:val="-12"/>
        </w:rPr>
        <w:t> </w:t>
      </w:r>
      <w:r>
        <w:rPr/>
        <w:t>la</w:t>
      </w:r>
      <w:r>
        <w:rPr>
          <w:spacing w:val="-9"/>
        </w:rPr>
        <w:t> </w:t>
      </w:r>
      <w:r>
        <w:rPr/>
        <w:t>calidad</w:t>
      </w:r>
      <w:r>
        <w:rPr>
          <w:spacing w:val="-8"/>
        </w:rPr>
        <w:t> </w:t>
      </w:r>
      <w:r>
        <w:rPr/>
        <w:t>técnica-causal,</w:t>
      </w:r>
      <w:r>
        <w:rPr>
          <w:spacing w:val="-9"/>
        </w:rPr>
        <w:t> </w:t>
      </w:r>
      <w:r>
        <w:rPr/>
        <w:t>que</w:t>
      </w:r>
      <w:r>
        <w:rPr>
          <w:spacing w:val="-8"/>
        </w:rPr>
        <w:t> </w:t>
      </w:r>
      <w:r>
        <w:rPr/>
        <w:t>se refiere a la selección de acciones eficaces y eficientes para producir situaciones públicas deseadas o legalmente</w:t>
      </w:r>
      <w:r>
        <w:rPr>
          <w:spacing w:val="-18"/>
        </w:rPr>
        <w:t> </w:t>
      </w:r>
      <w:r>
        <w:rPr/>
        <w:t>prescritas.</w:t>
      </w:r>
    </w:p>
    <w:p>
      <w:pPr>
        <w:pStyle w:val="BodyText"/>
      </w:pPr>
    </w:p>
    <w:p>
      <w:pPr>
        <w:pStyle w:val="BodyText"/>
      </w:pPr>
    </w:p>
    <w:p>
      <w:pPr>
        <w:pStyle w:val="BodyText"/>
        <w:spacing w:line="360" w:lineRule="auto" w:before="185"/>
        <w:ind w:left="102" w:right="122"/>
        <w:jc w:val="both"/>
      </w:pPr>
      <w:r>
        <w:rPr/>
        <w:t>Sobre el concepto de política pública se puede señalar que para Dye (1984) es lo que</w:t>
      </w:r>
      <w:r>
        <w:rPr>
          <w:spacing w:val="-4"/>
        </w:rPr>
        <w:t> </w:t>
      </w:r>
      <w:r>
        <w:rPr/>
        <w:t>los</w:t>
      </w:r>
      <w:r>
        <w:rPr>
          <w:spacing w:val="-3"/>
        </w:rPr>
        <w:t> </w:t>
      </w:r>
      <w:r>
        <w:rPr/>
        <w:t>gobiernos</w:t>
      </w:r>
      <w:r>
        <w:rPr>
          <w:spacing w:val="-4"/>
        </w:rPr>
        <w:t> </w:t>
      </w:r>
      <w:r>
        <w:rPr/>
        <w:t>deciden</w:t>
      </w:r>
      <w:r>
        <w:rPr>
          <w:spacing w:val="-4"/>
        </w:rPr>
        <w:t> </w:t>
      </w:r>
      <w:r>
        <w:rPr/>
        <w:t>hacer</w:t>
      </w:r>
      <w:r>
        <w:rPr>
          <w:spacing w:val="-5"/>
        </w:rPr>
        <w:t> </w:t>
      </w:r>
      <w:r>
        <w:rPr/>
        <w:t>o</w:t>
      </w:r>
      <w:r>
        <w:rPr>
          <w:spacing w:val="-4"/>
        </w:rPr>
        <w:t> </w:t>
      </w:r>
      <w:r>
        <w:rPr/>
        <w:t>no</w:t>
      </w:r>
      <w:r>
        <w:rPr>
          <w:spacing w:val="-4"/>
        </w:rPr>
        <w:t> </w:t>
      </w:r>
      <w:r>
        <w:rPr/>
        <w:t>hacer.</w:t>
      </w:r>
      <w:r>
        <w:rPr>
          <w:spacing w:val="-5"/>
        </w:rPr>
        <w:t> </w:t>
      </w:r>
      <w:r>
        <w:rPr/>
        <w:t>En</w:t>
      </w:r>
      <w:r>
        <w:rPr>
          <w:spacing w:val="-4"/>
        </w:rPr>
        <w:t> </w:t>
      </w:r>
      <w:r>
        <w:rPr/>
        <w:t>tanto</w:t>
      </w:r>
      <w:r>
        <w:rPr>
          <w:spacing w:val="-3"/>
        </w:rPr>
        <w:t> </w:t>
      </w:r>
      <w:r>
        <w:rPr/>
        <w:t>que</w:t>
      </w:r>
      <w:r>
        <w:rPr>
          <w:spacing w:val="-4"/>
        </w:rPr>
        <w:t> </w:t>
      </w:r>
      <w:r>
        <w:rPr/>
        <w:t>para</w:t>
      </w:r>
      <w:r>
        <w:rPr>
          <w:spacing w:val="-7"/>
        </w:rPr>
        <w:t> </w:t>
      </w:r>
      <w:r>
        <w:rPr/>
        <w:t>Thoening</w:t>
      </w:r>
      <w:r>
        <w:rPr>
          <w:spacing w:val="-5"/>
        </w:rPr>
        <w:t> </w:t>
      </w:r>
      <w:r>
        <w:rPr/>
        <w:t>(1985)</w:t>
      </w:r>
      <w:r>
        <w:rPr>
          <w:spacing w:val="-7"/>
        </w:rPr>
        <w:t> </w:t>
      </w:r>
      <w:r>
        <w:rPr/>
        <w:t>es un programa de acción propio de una o varias autoridades públicas o gubernamentales en un ámbito sectorial de la sociedad. Para Lemiux (1995) una política pública es aquella que está conformada por actividades orientadas hacia la solución de problemas públicos, en la que intervienen actores políticos con interacciones estructuradas que evolucionan a lo largo del</w:t>
      </w:r>
      <w:r>
        <w:rPr>
          <w:spacing w:val="-18"/>
        </w:rPr>
        <w:t> </w:t>
      </w:r>
      <w:r>
        <w:rPr/>
        <w:t>tiempo.</w:t>
      </w:r>
    </w:p>
    <w:p>
      <w:pPr>
        <w:pStyle w:val="BodyText"/>
      </w:pPr>
    </w:p>
    <w:p>
      <w:pPr>
        <w:pStyle w:val="BodyText"/>
      </w:pPr>
    </w:p>
    <w:p>
      <w:pPr>
        <w:pStyle w:val="BodyText"/>
        <w:spacing w:line="360" w:lineRule="auto" w:before="185"/>
        <w:ind w:left="102" w:right="116"/>
        <w:jc w:val="both"/>
      </w:pPr>
      <w:r>
        <w:rPr/>
        <w:t>Subirats (2008) la define como una serie de decisiones o de acciones, intencionalmente coherentes, tomadas por diferentes actores con el fin de resolver</w:t>
      </w:r>
    </w:p>
    <w:p>
      <w:pPr>
        <w:spacing w:after="0" w:line="360" w:lineRule="auto"/>
        <w:jc w:val="both"/>
        <w:sectPr>
          <w:pgSz w:w="12240" w:h="15840"/>
          <w:pgMar w:header="0" w:footer="1035" w:top="1360" w:bottom="1220" w:left="1600" w:right="1580"/>
        </w:sectPr>
      </w:pPr>
    </w:p>
    <w:p>
      <w:pPr>
        <w:pStyle w:val="BodyText"/>
        <w:spacing w:line="360" w:lineRule="auto" w:before="54"/>
        <w:ind w:left="102" w:right="117"/>
        <w:jc w:val="both"/>
      </w:pPr>
      <w:r>
        <w:rPr/>
        <w:t>de manera puntual un problema políticamente definido como colectivo. En donde este conjunto de decisiones y acciones da lugar a efectos formales, con un grado de obligatoriedad variable, tendentes a modificar la conducta de grupos sociales que, se supone, originaron el problema colectivo (grupos-objetivo), en el interés de aquellos que padecen los efectos negativos del problema (beneficiarios finales). También puede verse la política pública como “una intervención de los órganos del Estado para corregir o modificar una situación social o económica que ha sido reconocida como problema público” (Merino, 2006:147).</w:t>
      </w:r>
    </w:p>
    <w:p>
      <w:pPr>
        <w:pStyle w:val="BodyText"/>
      </w:pPr>
    </w:p>
    <w:p>
      <w:pPr>
        <w:pStyle w:val="BodyText"/>
      </w:pPr>
    </w:p>
    <w:p>
      <w:pPr>
        <w:pStyle w:val="BodyText"/>
        <w:spacing w:line="360" w:lineRule="auto" w:before="186"/>
        <w:ind w:left="102" w:right="119"/>
        <w:jc w:val="both"/>
      </w:pPr>
      <w:r>
        <w:rPr/>
        <w:t>Es importante señalar que en esta investigación se parte del concepto de política pública como las decisiones de gobierno que incorporan la opinión, participación, corresponsabilidad</w:t>
      </w:r>
      <w:r>
        <w:rPr>
          <w:spacing w:val="-17"/>
        </w:rPr>
        <w:t> </w:t>
      </w:r>
      <w:r>
        <w:rPr/>
        <w:t>y</w:t>
      </w:r>
      <w:r>
        <w:rPr>
          <w:spacing w:val="-20"/>
        </w:rPr>
        <w:t> </w:t>
      </w:r>
      <w:r>
        <w:rPr/>
        <w:t>el</w:t>
      </w:r>
      <w:r>
        <w:rPr>
          <w:spacing w:val="-20"/>
        </w:rPr>
        <w:t> </w:t>
      </w:r>
      <w:r>
        <w:rPr/>
        <w:t>dinero</w:t>
      </w:r>
      <w:r>
        <w:rPr>
          <w:spacing w:val="-20"/>
        </w:rPr>
        <w:t> </w:t>
      </w:r>
      <w:r>
        <w:rPr/>
        <w:t>de</w:t>
      </w:r>
      <w:r>
        <w:rPr>
          <w:spacing w:val="-17"/>
        </w:rPr>
        <w:t> </w:t>
      </w:r>
      <w:r>
        <w:rPr/>
        <w:t>los</w:t>
      </w:r>
      <w:r>
        <w:rPr>
          <w:spacing w:val="-19"/>
        </w:rPr>
        <w:t> </w:t>
      </w:r>
      <w:r>
        <w:rPr/>
        <w:t>privados</w:t>
      </w:r>
      <w:r>
        <w:rPr>
          <w:spacing w:val="-20"/>
        </w:rPr>
        <w:t> </w:t>
      </w:r>
      <w:r>
        <w:rPr/>
        <w:t>en</w:t>
      </w:r>
      <w:r>
        <w:rPr>
          <w:spacing w:val="-17"/>
        </w:rPr>
        <w:t> </w:t>
      </w:r>
      <w:r>
        <w:rPr/>
        <w:t>su</w:t>
      </w:r>
      <w:r>
        <w:rPr>
          <w:spacing w:val="-17"/>
        </w:rPr>
        <w:t> </w:t>
      </w:r>
      <w:r>
        <w:rPr/>
        <w:t>calidad</w:t>
      </w:r>
      <w:r>
        <w:rPr>
          <w:spacing w:val="-19"/>
        </w:rPr>
        <w:t> </w:t>
      </w:r>
      <w:r>
        <w:rPr/>
        <w:t>de</w:t>
      </w:r>
      <w:r>
        <w:rPr>
          <w:spacing w:val="-19"/>
        </w:rPr>
        <w:t> </w:t>
      </w:r>
      <w:r>
        <w:rPr/>
        <w:t>ciudadanos</w:t>
      </w:r>
      <w:r>
        <w:rPr>
          <w:spacing w:val="-17"/>
        </w:rPr>
        <w:t> </w:t>
      </w:r>
      <w:r>
        <w:rPr/>
        <w:t>electores y contribuyentes (Aguilar,</w:t>
      </w:r>
      <w:r>
        <w:rPr>
          <w:spacing w:val="-10"/>
        </w:rPr>
        <w:t> </w:t>
      </w:r>
      <w:r>
        <w:rPr/>
        <w:t>2003).</w:t>
      </w:r>
    </w:p>
    <w:p>
      <w:pPr>
        <w:pStyle w:val="BodyText"/>
      </w:pPr>
    </w:p>
    <w:p>
      <w:pPr>
        <w:pStyle w:val="BodyText"/>
      </w:pPr>
    </w:p>
    <w:p>
      <w:pPr>
        <w:pStyle w:val="BodyText"/>
        <w:spacing w:line="360" w:lineRule="auto" w:before="185"/>
        <w:ind w:left="102" w:right="118"/>
        <w:jc w:val="both"/>
      </w:pPr>
      <w:r>
        <w:rPr/>
        <w:t>El análisis de políticas públicas según Salazar (2003), es una metodología para formular problemas y encontrar posibles soluciones a los mismos, de manera tal que la evaluación forma parte integral del proceso de análisis, por lo que se considera el análisis de políticas públicas como un proceso cíclico que comprende la definición del problema, la elección de políticas, el monitoreo o evaluación de</w:t>
      </w:r>
      <w:r>
        <w:rPr>
          <w:spacing w:val="-37"/>
        </w:rPr>
        <w:t> </w:t>
      </w:r>
      <w:r>
        <w:rPr/>
        <w:t>los resultados de esas políticas y la redefinición del</w:t>
      </w:r>
      <w:r>
        <w:rPr>
          <w:spacing w:val="-20"/>
        </w:rPr>
        <w:t> </w:t>
      </w:r>
      <w:r>
        <w:rPr/>
        <w:t>problema.</w:t>
      </w:r>
    </w:p>
    <w:p>
      <w:pPr>
        <w:pStyle w:val="BodyText"/>
      </w:pPr>
    </w:p>
    <w:p>
      <w:pPr>
        <w:pStyle w:val="BodyText"/>
      </w:pPr>
    </w:p>
    <w:p>
      <w:pPr>
        <w:pStyle w:val="BodyText"/>
        <w:spacing w:line="360" w:lineRule="auto" w:before="187"/>
        <w:ind w:left="102" w:right="116"/>
        <w:jc w:val="both"/>
      </w:pPr>
      <w:r>
        <w:rPr/>
        <w:t>Respecto al estudio de las políticas públicas, señala Subirats (2008), han sido abordadas desde tres grandes perspectivas: la primera se relaciona con el análisis de políticas públicas y la Teoría del Estado, la segunda se centra en el funcionamiento de los poderes públicos, la tercera enfatiza en la evaluación de los resultados y efectos de las políticas públicas.</w:t>
      </w:r>
    </w:p>
    <w:p>
      <w:pPr>
        <w:spacing w:after="0" w:line="360" w:lineRule="auto"/>
        <w:jc w:val="both"/>
        <w:sectPr>
          <w:pgSz w:w="12240" w:h="15840"/>
          <w:pgMar w:header="0" w:footer="1035" w:top="1360" w:bottom="1220" w:left="1600" w:right="1580"/>
        </w:sectPr>
      </w:pPr>
    </w:p>
    <w:p>
      <w:pPr>
        <w:pStyle w:val="BodyText"/>
        <w:spacing w:line="360" w:lineRule="auto" w:before="54"/>
        <w:ind w:left="102" w:right="118"/>
        <w:jc w:val="both"/>
      </w:pPr>
      <w:r>
        <w:rPr/>
        <w:t>Asimismo, dentro de los estudios que conciben la transparencia como una política pública es pertinente señalar que se tienen dos visiones predominantes. Una que afirma que no puede haber una política genérica, sino que su adopción debe responder a las características propias de cada gobierno:</w:t>
      </w:r>
    </w:p>
    <w:p>
      <w:pPr>
        <w:pStyle w:val="BodyText"/>
      </w:pPr>
    </w:p>
    <w:p>
      <w:pPr>
        <w:pStyle w:val="BodyText"/>
      </w:pPr>
    </w:p>
    <w:p>
      <w:pPr>
        <w:spacing w:line="240" w:lineRule="auto" w:before="186"/>
        <w:ind w:left="668" w:right="734" w:firstLine="0"/>
        <w:jc w:val="both"/>
        <w:rPr>
          <w:sz w:val="18"/>
        </w:rPr>
      </w:pPr>
      <w:r>
        <w:rPr>
          <w:sz w:val="18"/>
        </w:rPr>
        <w:t>“En la configuración de una política de transparencia interviene una gran cantidad de variables: preferencias de múltiples actores políticos, disposición de recursos presupuestales, correlación de</w:t>
      </w:r>
      <w:r>
        <w:rPr>
          <w:spacing w:val="-12"/>
          <w:sz w:val="18"/>
        </w:rPr>
        <w:t> </w:t>
      </w:r>
      <w:r>
        <w:rPr>
          <w:sz w:val="18"/>
        </w:rPr>
        <w:t>fuerzas</w:t>
      </w:r>
      <w:r>
        <w:rPr>
          <w:spacing w:val="-12"/>
          <w:sz w:val="18"/>
        </w:rPr>
        <w:t> </w:t>
      </w:r>
      <w:r>
        <w:rPr>
          <w:sz w:val="18"/>
        </w:rPr>
        <w:t>al</w:t>
      </w:r>
      <w:r>
        <w:rPr>
          <w:spacing w:val="-12"/>
          <w:sz w:val="18"/>
        </w:rPr>
        <w:t> </w:t>
      </w:r>
      <w:r>
        <w:rPr>
          <w:sz w:val="18"/>
        </w:rPr>
        <w:t>interior</w:t>
      </w:r>
      <w:r>
        <w:rPr>
          <w:spacing w:val="-13"/>
          <w:sz w:val="18"/>
        </w:rPr>
        <w:t> </w:t>
      </w:r>
      <w:r>
        <w:rPr>
          <w:sz w:val="18"/>
        </w:rPr>
        <w:t>del</w:t>
      </w:r>
      <w:r>
        <w:rPr>
          <w:spacing w:val="-12"/>
          <w:sz w:val="18"/>
        </w:rPr>
        <w:t> </w:t>
      </w:r>
      <w:r>
        <w:rPr>
          <w:sz w:val="18"/>
        </w:rPr>
        <w:t>sistema</w:t>
      </w:r>
      <w:r>
        <w:rPr>
          <w:spacing w:val="-12"/>
          <w:sz w:val="18"/>
        </w:rPr>
        <w:t> </w:t>
      </w:r>
      <w:r>
        <w:rPr>
          <w:sz w:val="18"/>
        </w:rPr>
        <w:t>político,</w:t>
      </w:r>
      <w:r>
        <w:rPr>
          <w:spacing w:val="-12"/>
          <w:sz w:val="18"/>
        </w:rPr>
        <w:t> </w:t>
      </w:r>
      <w:r>
        <w:rPr>
          <w:sz w:val="18"/>
        </w:rPr>
        <w:t>presiones</w:t>
      </w:r>
      <w:r>
        <w:rPr>
          <w:spacing w:val="-12"/>
          <w:sz w:val="18"/>
        </w:rPr>
        <w:t> </w:t>
      </w:r>
      <w:r>
        <w:rPr>
          <w:sz w:val="18"/>
        </w:rPr>
        <w:t>de</w:t>
      </w:r>
      <w:r>
        <w:rPr>
          <w:spacing w:val="-12"/>
          <w:sz w:val="18"/>
        </w:rPr>
        <w:t> </w:t>
      </w:r>
      <w:r>
        <w:rPr>
          <w:sz w:val="18"/>
        </w:rPr>
        <w:t>organizaciones</w:t>
      </w:r>
      <w:r>
        <w:rPr>
          <w:spacing w:val="-12"/>
          <w:sz w:val="18"/>
        </w:rPr>
        <w:t> </w:t>
      </w:r>
      <w:r>
        <w:rPr>
          <w:sz w:val="18"/>
        </w:rPr>
        <w:t>civiles</w:t>
      </w:r>
      <w:r>
        <w:rPr>
          <w:spacing w:val="-12"/>
          <w:sz w:val="18"/>
        </w:rPr>
        <w:t> </w:t>
      </w:r>
      <w:r>
        <w:rPr>
          <w:sz w:val="18"/>
        </w:rPr>
        <w:t>y</w:t>
      </w:r>
      <w:r>
        <w:rPr>
          <w:spacing w:val="-14"/>
          <w:sz w:val="18"/>
        </w:rPr>
        <w:t> </w:t>
      </w:r>
      <w:r>
        <w:rPr>
          <w:sz w:val="18"/>
        </w:rPr>
        <w:t>grupos</w:t>
      </w:r>
      <w:r>
        <w:rPr>
          <w:spacing w:val="-12"/>
          <w:sz w:val="18"/>
        </w:rPr>
        <w:t> </w:t>
      </w:r>
      <w:r>
        <w:rPr>
          <w:sz w:val="18"/>
        </w:rPr>
        <w:t>de</w:t>
      </w:r>
      <w:r>
        <w:rPr>
          <w:spacing w:val="-12"/>
          <w:sz w:val="18"/>
        </w:rPr>
        <w:t> </w:t>
      </w:r>
      <w:r>
        <w:rPr>
          <w:sz w:val="18"/>
        </w:rPr>
        <w:t>interés, capacidades</w:t>
      </w:r>
      <w:r>
        <w:rPr>
          <w:spacing w:val="-12"/>
          <w:sz w:val="18"/>
        </w:rPr>
        <w:t> </w:t>
      </w:r>
      <w:r>
        <w:rPr>
          <w:sz w:val="18"/>
        </w:rPr>
        <w:t>de</w:t>
      </w:r>
      <w:r>
        <w:rPr>
          <w:spacing w:val="-15"/>
          <w:sz w:val="18"/>
        </w:rPr>
        <w:t> </w:t>
      </w:r>
      <w:r>
        <w:rPr>
          <w:sz w:val="18"/>
        </w:rPr>
        <w:t>cabildeo</w:t>
      </w:r>
      <w:r>
        <w:rPr>
          <w:spacing w:val="-12"/>
          <w:sz w:val="18"/>
        </w:rPr>
        <w:t> </w:t>
      </w:r>
      <w:r>
        <w:rPr>
          <w:sz w:val="18"/>
        </w:rPr>
        <w:t>y</w:t>
      </w:r>
      <w:r>
        <w:rPr>
          <w:spacing w:val="-14"/>
          <w:sz w:val="18"/>
        </w:rPr>
        <w:t> </w:t>
      </w:r>
      <w:r>
        <w:rPr>
          <w:sz w:val="18"/>
        </w:rPr>
        <w:t>de</w:t>
      </w:r>
      <w:r>
        <w:rPr>
          <w:spacing w:val="-15"/>
          <w:sz w:val="18"/>
        </w:rPr>
        <w:t> </w:t>
      </w:r>
      <w:r>
        <w:rPr>
          <w:sz w:val="18"/>
        </w:rPr>
        <w:t>generación</w:t>
      </w:r>
      <w:r>
        <w:rPr>
          <w:spacing w:val="-12"/>
          <w:sz w:val="18"/>
        </w:rPr>
        <w:t> </w:t>
      </w:r>
      <w:r>
        <w:rPr>
          <w:sz w:val="18"/>
        </w:rPr>
        <w:t>de</w:t>
      </w:r>
      <w:r>
        <w:rPr>
          <w:spacing w:val="-15"/>
          <w:sz w:val="18"/>
        </w:rPr>
        <w:t> </w:t>
      </w:r>
      <w:r>
        <w:rPr>
          <w:sz w:val="18"/>
        </w:rPr>
        <w:t>consensos,</w:t>
      </w:r>
      <w:r>
        <w:rPr>
          <w:spacing w:val="-12"/>
          <w:sz w:val="18"/>
        </w:rPr>
        <w:t> </w:t>
      </w:r>
      <w:r>
        <w:rPr>
          <w:sz w:val="18"/>
        </w:rPr>
        <w:t>estrategias</w:t>
      </w:r>
      <w:r>
        <w:rPr>
          <w:spacing w:val="-12"/>
          <w:sz w:val="18"/>
        </w:rPr>
        <w:t> </w:t>
      </w:r>
      <w:r>
        <w:rPr>
          <w:sz w:val="18"/>
        </w:rPr>
        <w:t>y</w:t>
      </w:r>
      <w:r>
        <w:rPr>
          <w:spacing w:val="-14"/>
          <w:sz w:val="18"/>
        </w:rPr>
        <w:t> </w:t>
      </w:r>
      <w:r>
        <w:rPr>
          <w:sz w:val="18"/>
        </w:rPr>
        <w:t>habilidad</w:t>
      </w:r>
      <w:r>
        <w:rPr>
          <w:spacing w:val="-15"/>
          <w:sz w:val="18"/>
        </w:rPr>
        <w:t> </w:t>
      </w:r>
      <w:r>
        <w:rPr>
          <w:sz w:val="18"/>
        </w:rPr>
        <w:t>de</w:t>
      </w:r>
      <w:r>
        <w:rPr>
          <w:spacing w:val="-12"/>
          <w:sz w:val="18"/>
        </w:rPr>
        <w:t> </w:t>
      </w:r>
      <w:r>
        <w:rPr>
          <w:sz w:val="18"/>
        </w:rPr>
        <w:t>comunicación social, el momento electoral, el desempeño de una autoridad ejecutiva, autónoma y especializada, las características del diseño de la ley federal y de leyes estatales de transparencia etcétera. Por lo anterior, una política de transparencia no puede ser la misma en cada uno de los estados o municipios del país” (Guerrero,</w:t>
      </w:r>
      <w:r>
        <w:rPr>
          <w:spacing w:val="-23"/>
          <w:sz w:val="18"/>
        </w:rPr>
        <w:t> </w:t>
      </w:r>
      <w:r>
        <w:rPr>
          <w:sz w:val="18"/>
        </w:rPr>
        <w:t>2008:14).</w:t>
      </w:r>
    </w:p>
    <w:p>
      <w:pPr>
        <w:pStyle w:val="BodyText"/>
        <w:rPr>
          <w:sz w:val="18"/>
        </w:rPr>
      </w:pPr>
    </w:p>
    <w:p>
      <w:pPr>
        <w:pStyle w:val="BodyText"/>
        <w:rPr>
          <w:sz w:val="18"/>
        </w:rPr>
      </w:pPr>
    </w:p>
    <w:p>
      <w:pPr>
        <w:pStyle w:val="BodyText"/>
        <w:spacing w:before="160"/>
        <w:ind w:left="102"/>
        <w:jc w:val="both"/>
      </w:pPr>
      <w:r>
        <w:rPr/>
        <w:t>Y otra que señala lo contario, es decir:</w:t>
      </w:r>
    </w:p>
    <w:p>
      <w:pPr>
        <w:pStyle w:val="BodyText"/>
      </w:pPr>
    </w:p>
    <w:p>
      <w:pPr>
        <w:pStyle w:val="BodyText"/>
      </w:pPr>
    </w:p>
    <w:p>
      <w:pPr>
        <w:pStyle w:val="BodyText"/>
        <w:spacing w:before="2"/>
        <w:rPr>
          <w:sz w:val="28"/>
        </w:rPr>
      </w:pPr>
    </w:p>
    <w:p>
      <w:pPr>
        <w:spacing w:line="237" w:lineRule="auto" w:before="0"/>
        <w:ind w:left="668" w:right="731" w:firstLine="0"/>
        <w:jc w:val="both"/>
        <w:rPr>
          <w:sz w:val="18"/>
        </w:rPr>
      </w:pPr>
      <w:r>
        <w:rPr>
          <w:sz w:val="18"/>
        </w:rPr>
        <w:t>“La</w:t>
      </w:r>
      <w:r>
        <w:rPr>
          <w:spacing w:val="-12"/>
          <w:sz w:val="18"/>
        </w:rPr>
        <w:t> </w:t>
      </w:r>
      <w:r>
        <w:rPr>
          <w:sz w:val="18"/>
        </w:rPr>
        <w:t>transparencia</w:t>
      </w:r>
      <w:r>
        <w:rPr>
          <w:spacing w:val="-12"/>
          <w:sz w:val="18"/>
        </w:rPr>
        <w:t> </w:t>
      </w:r>
      <w:r>
        <w:rPr>
          <w:sz w:val="18"/>
        </w:rPr>
        <w:t>debe</w:t>
      </w:r>
      <w:r>
        <w:rPr>
          <w:spacing w:val="-15"/>
          <w:sz w:val="18"/>
        </w:rPr>
        <w:t> </w:t>
      </w:r>
      <w:r>
        <w:rPr>
          <w:sz w:val="18"/>
        </w:rPr>
        <w:t>ser</w:t>
      </w:r>
      <w:r>
        <w:rPr>
          <w:spacing w:val="-13"/>
          <w:sz w:val="18"/>
        </w:rPr>
        <w:t> </w:t>
      </w:r>
      <w:r>
        <w:rPr>
          <w:sz w:val="18"/>
        </w:rPr>
        <w:t>una</w:t>
      </w:r>
      <w:r>
        <w:rPr>
          <w:spacing w:val="-12"/>
          <w:sz w:val="18"/>
        </w:rPr>
        <w:t> </w:t>
      </w:r>
      <w:r>
        <w:rPr>
          <w:sz w:val="18"/>
        </w:rPr>
        <w:t>política</w:t>
      </w:r>
      <w:r>
        <w:rPr>
          <w:spacing w:val="-12"/>
          <w:sz w:val="18"/>
        </w:rPr>
        <w:t> </w:t>
      </w:r>
      <w:r>
        <w:rPr>
          <w:sz w:val="18"/>
        </w:rPr>
        <w:t>genérica,</w:t>
      </w:r>
      <w:r>
        <w:rPr>
          <w:spacing w:val="-15"/>
          <w:sz w:val="18"/>
        </w:rPr>
        <w:t> </w:t>
      </w:r>
      <w:r>
        <w:rPr>
          <w:sz w:val="18"/>
        </w:rPr>
        <w:t>con</w:t>
      </w:r>
      <w:r>
        <w:rPr>
          <w:spacing w:val="-12"/>
          <w:sz w:val="18"/>
        </w:rPr>
        <w:t> </w:t>
      </w:r>
      <w:r>
        <w:rPr>
          <w:sz w:val="18"/>
        </w:rPr>
        <w:t>espacios</w:t>
      </w:r>
      <w:r>
        <w:rPr>
          <w:spacing w:val="-12"/>
          <w:sz w:val="18"/>
        </w:rPr>
        <w:t> </w:t>
      </w:r>
      <w:r>
        <w:rPr>
          <w:sz w:val="18"/>
        </w:rPr>
        <w:t>de</w:t>
      </w:r>
      <w:r>
        <w:rPr>
          <w:spacing w:val="-12"/>
          <w:sz w:val="18"/>
        </w:rPr>
        <w:t> </w:t>
      </w:r>
      <w:r>
        <w:rPr>
          <w:sz w:val="18"/>
        </w:rPr>
        <w:t>vigilancia</w:t>
      </w:r>
      <w:r>
        <w:rPr>
          <w:spacing w:val="-12"/>
          <w:sz w:val="18"/>
        </w:rPr>
        <w:t> </w:t>
      </w:r>
      <w:r>
        <w:rPr>
          <w:sz w:val="18"/>
        </w:rPr>
        <w:t>propios</w:t>
      </w:r>
      <w:r>
        <w:rPr>
          <w:spacing w:val="-12"/>
          <w:sz w:val="18"/>
        </w:rPr>
        <w:t> </w:t>
      </w:r>
      <w:r>
        <w:rPr>
          <w:sz w:val="18"/>
        </w:rPr>
        <w:t>y</w:t>
      </w:r>
      <w:r>
        <w:rPr>
          <w:spacing w:val="-14"/>
          <w:sz w:val="18"/>
        </w:rPr>
        <w:t> </w:t>
      </w:r>
      <w:r>
        <w:rPr>
          <w:sz w:val="18"/>
        </w:rPr>
        <w:t>separados. Esto debe ser entendido solo como uno de los pasos en una dinámica política particular. Para que la transparencia se incorpore efectivamente se requeriría que tal concepto sea agregado organizativamente y no solo normativamente” (Arellano,</w:t>
      </w:r>
      <w:r>
        <w:rPr>
          <w:spacing w:val="-18"/>
          <w:sz w:val="18"/>
        </w:rPr>
        <w:t> </w:t>
      </w:r>
      <w:r>
        <w:rPr>
          <w:sz w:val="18"/>
        </w:rPr>
        <w:t>2007:5).</w:t>
      </w:r>
    </w:p>
    <w:p>
      <w:pPr>
        <w:pStyle w:val="BodyText"/>
        <w:rPr>
          <w:sz w:val="18"/>
        </w:rPr>
      </w:pPr>
    </w:p>
    <w:p>
      <w:pPr>
        <w:pStyle w:val="BodyText"/>
        <w:rPr>
          <w:sz w:val="18"/>
        </w:rPr>
      </w:pPr>
    </w:p>
    <w:p>
      <w:pPr>
        <w:pStyle w:val="BodyText"/>
        <w:rPr>
          <w:sz w:val="18"/>
        </w:rPr>
      </w:pPr>
    </w:p>
    <w:p>
      <w:pPr>
        <w:pStyle w:val="BodyText"/>
        <w:spacing w:line="360" w:lineRule="auto" w:before="115"/>
        <w:ind w:left="102" w:right="114"/>
        <w:jc w:val="both"/>
      </w:pPr>
      <w:r>
        <w:rPr/>
        <w:t>Cualquiera</w:t>
      </w:r>
      <w:r>
        <w:rPr>
          <w:spacing w:val="-9"/>
        </w:rPr>
        <w:t> </w:t>
      </w:r>
      <w:r>
        <w:rPr/>
        <w:t>que</w:t>
      </w:r>
      <w:r>
        <w:rPr>
          <w:spacing w:val="-8"/>
        </w:rPr>
        <w:t> </w:t>
      </w:r>
      <w:r>
        <w:rPr/>
        <w:t>sea</w:t>
      </w:r>
      <w:r>
        <w:rPr>
          <w:spacing w:val="-8"/>
        </w:rPr>
        <w:t> </w:t>
      </w:r>
      <w:r>
        <w:rPr/>
        <w:t>la</w:t>
      </w:r>
      <w:r>
        <w:rPr>
          <w:spacing w:val="-11"/>
        </w:rPr>
        <w:t> </w:t>
      </w:r>
      <w:r>
        <w:rPr/>
        <w:t>postura</w:t>
      </w:r>
      <w:r>
        <w:rPr>
          <w:spacing w:val="-11"/>
        </w:rPr>
        <w:t> </w:t>
      </w:r>
      <w:r>
        <w:rPr/>
        <w:t>que</w:t>
      </w:r>
      <w:r>
        <w:rPr>
          <w:spacing w:val="-8"/>
        </w:rPr>
        <w:t> </w:t>
      </w:r>
      <w:r>
        <w:rPr/>
        <w:t>se</w:t>
      </w:r>
      <w:r>
        <w:rPr>
          <w:spacing w:val="-11"/>
        </w:rPr>
        <w:t> </w:t>
      </w:r>
      <w:r>
        <w:rPr/>
        <w:t>adopte</w:t>
      </w:r>
      <w:r>
        <w:rPr>
          <w:spacing w:val="-11"/>
        </w:rPr>
        <w:t> </w:t>
      </w:r>
      <w:r>
        <w:rPr/>
        <w:t>en</w:t>
      </w:r>
      <w:r>
        <w:rPr>
          <w:spacing w:val="-8"/>
        </w:rPr>
        <w:t> </w:t>
      </w:r>
      <w:r>
        <w:rPr/>
        <w:t>ambas</w:t>
      </w:r>
      <w:r>
        <w:rPr>
          <w:spacing w:val="-9"/>
        </w:rPr>
        <w:t> </w:t>
      </w:r>
      <w:r>
        <w:rPr/>
        <w:t>visiones</w:t>
      </w:r>
      <w:r>
        <w:rPr>
          <w:spacing w:val="-9"/>
        </w:rPr>
        <w:t> </w:t>
      </w:r>
      <w:r>
        <w:rPr/>
        <w:t>lo</w:t>
      </w:r>
      <w:r>
        <w:rPr>
          <w:spacing w:val="-9"/>
        </w:rPr>
        <w:t> </w:t>
      </w:r>
      <w:r>
        <w:rPr/>
        <w:t>relevante</w:t>
      </w:r>
      <w:r>
        <w:rPr>
          <w:spacing w:val="-10"/>
        </w:rPr>
        <w:t> </w:t>
      </w:r>
      <w:r>
        <w:rPr/>
        <w:t>es</w:t>
      </w:r>
      <w:r>
        <w:rPr>
          <w:spacing w:val="-9"/>
        </w:rPr>
        <w:t> </w:t>
      </w:r>
      <w:r>
        <w:rPr/>
        <w:t>que una política de transparencia es un conjunto variable de decisiones y acciones adoptado por cada gobierno y dirigido a modificar las prácticas tradicionales de gestión pública (Merino, 2006). En este sentido, la gobernabilidad democrática es una política pública de transparencia, la cual refleja cómo el poder del Estado</w:t>
      </w:r>
      <w:r>
        <w:rPr>
          <w:spacing w:val="-42"/>
        </w:rPr>
        <w:t> </w:t>
      </w:r>
      <w:r>
        <w:rPr/>
        <w:t>debe ser controlado y vigilado por el poder de los ciudadanos” (Uvalle, 2007). Por otra parte, es importante resaltar que los elementos clave de la política pública, de acuerdo con Subirats (2008) son los siguientes: Actores, recursos, reglas institucionales</w:t>
      </w:r>
      <w:r>
        <w:rPr>
          <w:spacing w:val="-9"/>
        </w:rPr>
        <w:t> </w:t>
      </w:r>
      <w:r>
        <w:rPr/>
        <w:t>generales</w:t>
      </w:r>
      <w:r>
        <w:rPr>
          <w:spacing w:val="-9"/>
        </w:rPr>
        <w:t> </w:t>
      </w:r>
      <w:r>
        <w:rPr/>
        <w:t>y</w:t>
      </w:r>
      <w:r>
        <w:rPr>
          <w:spacing w:val="-12"/>
        </w:rPr>
        <w:t> </w:t>
      </w:r>
      <w:r>
        <w:rPr/>
        <w:t>contenido</w:t>
      </w:r>
      <w:r>
        <w:rPr>
          <w:spacing w:val="-8"/>
        </w:rPr>
        <w:t> </w:t>
      </w:r>
      <w:r>
        <w:rPr/>
        <w:t>de</w:t>
      </w:r>
      <w:r>
        <w:rPr>
          <w:spacing w:val="-8"/>
        </w:rPr>
        <w:t> </w:t>
      </w:r>
      <w:r>
        <w:rPr/>
        <w:t>la</w:t>
      </w:r>
      <w:r>
        <w:rPr>
          <w:spacing w:val="-11"/>
        </w:rPr>
        <w:t> </w:t>
      </w:r>
      <w:r>
        <w:rPr/>
        <w:t>política</w:t>
      </w:r>
      <w:r>
        <w:rPr>
          <w:spacing w:val="-8"/>
        </w:rPr>
        <w:t> </w:t>
      </w:r>
      <w:r>
        <w:rPr/>
        <w:t>(ver</w:t>
      </w:r>
      <w:r>
        <w:rPr>
          <w:spacing w:val="-10"/>
        </w:rPr>
        <w:t> </w:t>
      </w:r>
      <w:r>
        <w:rPr/>
        <w:t>tabla</w:t>
      </w:r>
      <w:r>
        <w:rPr>
          <w:spacing w:val="-11"/>
        </w:rPr>
        <w:t> </w:t>
      </w:r>
      <w:r>
        <w:rPr/>
        <w:t>5).</w:t>
      </w:r>
      <w:r>
        <w:rPr>
          <w:spacing w:val="-7"/>
        </w:rPr>
        <w:t> </w:t>
      </w:r>
      <w:r>
        <w:rPr/>
        <w:t>Por</w:t>
      </w:r>
      <w:r>
        <w:rPr>
          <w:spacing w:val="-12"/>
        </w:rPr>
        <w:t> </w:t>
      </w:r>
      <w:r>
        <w:rPr/>
        <w:t>su</w:t>
      </w:r>
      <w:r>
        <w:rPr>
          <w:spacing w:val="-8"/>
        </w:rPr>
        <w:t> </w:t>
      </w:r>
      <w:r>
        <w:rPr/>
        <w:t>parte</w:t>
      </w:r>
      <w:r>
        <w:rPr>
          <w:spacing w:val="-11"/>
        </w:rPr>
        <w:t> </w:t>
      </w:r>
      <w:r>
        <w:rPr/>
        <w:t>Aguilar (2009) señala que el análisis de la política pública puede agruparse en cuatro tipos diferentes: análisis jurídico, análisis económico, análisis organizacional- administrativo y análisis</w:t>
      </w:r>
      <w:r>
        <w:rPr>
          <w:spacing w:val="-9"/>
        </w:rPr>
        <w:t> </w:t>
      </w:r>
      <w:r>
        <w:rPr/>
        <w:t>politológico.</w:t>
      </w:r>
    </w:p>
    <w:p>
      <w:pPr>
        <w:spacing w:after="0" w:line="360" w:lineRule="auto"/>
        <w:jc w:val="both"/>
        <w:sectPr>
          <w:pgSz w:w="12240" w:h="15840"/>
          <w:pgMar w:header="0" w:footer="1035" w:top="1360" w:bottom="1220" w:left="1600" w:right="1580"/>
        </w:sectPr>
      </w:pPr>
    </w:p>
    <w:p>
      <w:pPr>
        <w:pStyle w:val="Heading1"/>
        <w:numPr>
          <w:ilvl w:val="0"/>
          <w:numId w:val="22"/>
        </w:numPr>
        <w:tabs>
          <w:tab w:pos="530" w:val="left" w:leader="none"/>
        </w:tabs>
        <w:spacing w:line="240" w:lineRule="auto" w:before="54" w:after="0"/>
        <w:ind w:left="529" w:right="0" w:hanging="360"/>
        <w:jc w:val="both"/>
      </w:pPr>
      <w:r>
        <w:rPr/>
        <w:t>Los que la definen como un derecho o</w:t>
      </w:r>
      <w:r>
        <w:rPr>
          <w:spacing w:val="-13"/>
        </w:rPr>
        <w:t> </w:t>
      </w:r>
      <w:r>
        <w:rPr/>
        <w:t>valor</w:t>
      </w:r>
    </w:p>
    <w:p>
      <w:pPr>
        <w:pStyle w:val="BodyText"/>
        <w:rPr>
          <w:b/>
        </w:rPr>
      </w:pPr>
    </w:p>
    <w:p>
      <w:pPr>
        <w:pStyle w:val="BodyText"/>
        <w:rPr>
          <w:b/>
        </w:rPr>
      </w:pPr>
    </w:p>
    <w:p>
      <w:pPr>
        <w:pStyle w:val="BodyText"/>
        <w:spacing w:line="360" w:lineRule="auto" w:before="161"/>
        <w:ind w:left="102" w:right="114"/>
        <w:jc w:val="both"/>
      </w:pPr>
      <w:r>
        <w:rPr/>
        <w:t>La transparencia se ha vinculado como parte de un derecho universal de acceso a la información, en el que destacan los estudios de Ackerman (2005), Ackerman (2008),</w:t>
      </w:r>
      <w:r>
        <w:rPr>
          <w:spacing w:val="-9"/>
        </w:rPr>
        <w:t> </w:t>
      </w:r>
      <w:r>
        <w:rPr/>
        <w:t>Carpizo</w:t>
      </w:r>
      <w:r>
        <w:rPr>
          <w:spacing w:val="-8"/>
        </w:rPr>
        <w:t> </w:t>
      </w:r>
      <w:r>
        <w:rPr/>
        <w:t>(2009),</w:t>
      </w:r>
      <w:r>
        <w:rPr>
          <w:spacing w:val="-9"/>
        </w:rPr>
        <w:t> </w:t>
      </w:r>
      <w:r>
        <w:rPr/>
        <w:t>IFAI</w:t>
      </w:r>
      <w:r>
        <w:rPr>
          <w:spacing w:val="-9"/>
        </w:rPr>
        <w:t> </w:t>
      </w:r>
      <w:r>
        <w:rPr/>
        <w:t>(s/a),</w:t>
      </w:r>
      <w:r>
        <w:rPr>
          <w:spacing w:val="-7"/>
        </w:rPr>
        <w:t> </w:t>
      </w:r>
      <w:r>
        <w:rPr/>
        <w:t>López-Ayllón</w:t>
      </w:r>
      <w:r>
        <w:rPr>
          <w:spacing w:val="-8"/>
        </w:rPr>
        <w:t> </w:t>
      </w:r>
      <w:r>
        <w:rPr/>
        <w:t>y</w:t>
      </w:r>
      <w:r>
        <w:rPr>
          <w:spacing w:val="-12"/>
        </w:rPr>
        <w:t> </w:t>
      </w:r>
      <w:r>
        <w:rPr/>
        <w:t>Arellano</w:t>
      </w:r>
      <w:r>
        <w:rPr>
          <w:spacing w:val="-8"/>
        </w:rPr>
        <w:t> </w:t>
      </w:r>
      <w:r>
        <w:rPr/>
        <w:t>(2008),</w:t>
      </w:r>
      <w:r>
        <w:rPr>
          <w:spacing w:val="-9"/>
        </w:rPr>
        <w:t> </w:t>
      </w:r>
      <w:r>
        <w:rPr/>
        <w:t>Martínez</w:t>
      </w:r>
      <w:r>
        <w:rPr>
          <w:spacing w:val="-9"/>
        </w:rPr>
        <w:t> </w:t>
      </w:r>
      <w:r>
        <w:rPr/>
        <w:t>y</w:t>
      </w:r>
      <w:r>
        <w:rPr>
          <w:spacing w:val="-12"/>
        </w:rPr>
        <w:t> </w:t>
      </w:r>
      <w:r>
        <w:rPr/>
        <w:t>Heras (2011), Mejía (2008), Saldivar (2006), entre otros que han tratado de ver cómo el acceso a la información es parte fundamental de la</w:t>
      </w:r>
      <w:r>
        <w:rPr>
          <w:spacing w:val="-20"/>
        </w:rPr>
        <w:t> </w:t>
      </w:r>
      <w:r>
        <w:rPr/>
        <w:t>transparencia.</w:t>
      </w:r>
    </w:p>
    <w:p>
      <w:pPr>
        <w:pStyle w:val="BodyText"/>
      </w:pPr>
    </w:p>
    <w:p>
      <w:pPr>
        <w:pStyle w:val="BodyText"/>
      </w:pPr>
    </w:p>
    <w:p>
      <w:pPr>
        <w:pStyle w:val="BodyText"/>
        <w:spacing w:line="360" w:lineRule="auto" w:before="186"/>
        <w:ind w:left="102" w:right="116"/>
        <w:jc w:val="both"/>
      </w:pPr>
      <w:r>
        <w:rPr/>
        <w:t>Para Merino (2005) es un derecho cívico que sirve para impedir la apropiación privada</w:t>
      </w:r>
      <w:r>
        <w:rPr>
          <w:spacing w:val="-8"/>
        </w:rPr>
        <w:t> </w:t>
      </w:r>
      <w:r>
        <w:rPr/>
        <w:t>de</w:t>
      </w:r>
      <w:r>
        <w:rPr>
          <w:spacing w:val="-8"/>
        </w:rPr>
        <w:t> </w:t>
      </w:r>
      <w:r>
        <w:rPr/>
        <w:t>los</w:t>
      </w:r>
      <w:r>
        <w:rPr>
          <w:spacing w:val="-9"/>
        </w:rPr>
        <w:t> </w:t>
      </w:r>
      <w:r>
        <w:rPr/>
        <w:t>espacios</w:t>
      </w:r>
      <w:r>
        <w:rPr>
          <w:spacing w:val="-6"/>
        </w:rPr>
        <w:t> </w:t>
      </w:r>
      <w:r>
        <w:rPr/>
        <w:t>públicos,</w:t>
      </w:r>
      <w:r>
        <w:rPr>
          <w:spacing w:val="-8"/>
        </w:rPr>
        <w:t> </w:t>
      </w:r>
      <w:r>
        <w:rPr/>
        <w:t>cuyo</w:t>
      </w:r>
      <w:r>
        <w:rPr>
          <w:spacing w:val="-8"/>
        </w:rPr>
        <w:t> </w:t>
      </w:r>
      <w:r>
        <w:rPr/>
        <w:t>propósito</w:t>
      </w:r>
      <w:r>
        <w:rPr>
          <w:spacing w:val="-7"/>
        </w:rPr>
        <w:t> </w:t>
      </w:r>
      <w:r>
        <w:rPr/>
        <w:t>es</w:t>
      </w:r>
      <w:r>
        <w:rPr>
          <w:spacing w:val="-10"/>
        </w:rPr>
        <w:t> </w:t>
      </w:r>
      <w:r>
        <w:rPr/>
        <w:t>asegurar</w:t>
      </w:r>
      <w:r>
        <w:rPr>
          <w:spacing w:val="-9"/>
        </w:rPr>
        <w:t> </w:t>
      </w:r>
      <w:r>
        <w:rPr/>
        <w:t>que</w:t>
      </w:r>
      <w:r>
        <w:rPr>
          <w:spacing w:val="-8"/>
        </w:rPr>
        <w:t> </w:t>
      </w:r>
      <w:r>
        <w:rPr/>
        <w:t>las</w:t>
      </w:r>
      <w:r>
        <w:rPr>
          <w:spacing w:val="-9"/>
        </w:rPr>
        <w:t> </w:t>
      </w:r>
      <w:r>
        <w:rPr/>
        <w:t>cosas</w:t>
      </w:r>
      <w:r>
        <w:rPr>
          <w:spacing w:val="-10"/>
        </w:rPr>
        <w:t> </w:t>
      </w:r>
      <w:r>
        <w:rPr/>
        <w:t>ocurran respetando</w:t>
      </w:r>
      <w:r>
        <w:rPr>
          <w:spacing w:val="-11"/>
        </w:rPr>
        <w:t> </w:t>
      </w:r>
      <w:r>
        <w:rPr/>
        <w:t>las</w:t>
      </w:r>
      <w:r>
        <w:rPr>
          <w:spacing w:val="-11"/>
        </w:rPr>
        <w:t> </w:t>
      </w:r>
      <w:r>
        <w:rPr/>
        <w:t>reglas</w:t>
      </w:r>
      <w:r>
        <w:rPr>
          <w:spacing w:val="-13"/>
        </w:rPr>
        <w:t> </w:t>
      </w:r>
      <w:r>
        <w:rPr/>
        <w:t>del</w:t>
      </w:r>
      <w:r>
        <w:rPr>
          <w:spacing w:val="-12"/>
        </w:rPr>
        <w:t> </w:t>
      </w:r>
      <w:r>
        <w:rPr/>
        <w:t>juego.</w:t>
      </w:r>
      <w:r>
        <w:rPr>
          <w:spacing w:val="-13"/>
        </w:rPr>
        <w:t> </w:t>
      </w:r>
      <w:r>
        <w:rPr/>
        <w:t>En</w:t>
      </w:r>
      <w:r>
        <w:rPr>
          <w:spacing w:val="-13"/>
        </w:rPr>
        <w:t> </w:t>
      </w:r>
      <w:r>
        <w:rPr/>
        <w:t>visión</w:t>
      </w:r>
      <w:r>
        <w:rPr>
          <w:spacing w:val="-11"/>
        </w:rPr>
        <w:t> </w:t>
      </w:r>
      <w:r>
        <w:rPr/>
        <w:t>contraria,</w:t>
      </w:r>
      <w:r>
        <w:rPr>
          <w:spacing w:val="-8"/>
        </w:rPr>
        <w:t> </w:t>
      </w:r>
      <w:r>
        <w:rPr/>
        <w:t>Cantú</w:t>
      </w:r>
      <w:r>
        <w:rPr>
          <w:spacing w:val="-12"/>
        </w:rPr>
        <w:t> </w:t>
      </w:r>
      <w:r>
        <w:rPr>
          <w:i/>
        </w:rPr>
        <w:t>et.</w:t>
      </w:r>
      <w:r>
        <w:rPr>
          <w:i/>
          <w:spacing w:val="-13"/>
        </w:rPr>
        <w:t> </w:t>
      </w:r>
      <w:r>
        <w:rPr>
          <w:i/>
        </w:rPr>
        <w:t>al.</w:t>
      </w:r>
      <w:r>
        <w:rPr>
          <w:i/>
          <w:spacing w:val="-12"/>
        </w:rPr>
        <w:t> </w:t>
      </w:r>
      <w:r>
        <w:rPr/>
        <w:t>(2011)</w:t>
      </w:r>
      <w:r>
        <w:rPr>
          <w:spacing w:val="-15"/>
        </w:rPr>
        <w:t> </w:t>
      </w:r>
      <w:r>
        <w:rPr/>
        <w:t>afirman</w:t>
      </w:r>
      <w:r>
        <w:rPr>
          <w:spacing w:val="-11"/>
        </w:rPr>
        <w:t> </w:t>
      </w:r>
      <w:r>
        <w:rPr/>
        <w:t>que la transparencia no debe verse como un derecho abstracto, sino como un componente estratégico de toda la política pública que se vincula con instituciones e instrumentos concretos. Es decir, se trata de un código genético reutilizable que debe</w:t>
      </w:r>
      <w:r>
        <w:rPr>
          <w:spacing w:val="-5"/>
        </w:rPr>
        <w:t> </w:t>
      </w:r>
      <w:r>
        <w:rPr/>
        <w:t>combinarse</w:t>
      </w:r>
      <w:r>
        <w:rPr>
          <w:spacing w:val="-8"/>
        </w:rPr>
        <w:t> </w:t>
      </w:r>
      <w:r>
        <w:rPr/>
        <w:t>de</w:t>
      </w:r>
      <w:r>
        <w:rPr>
          <w:spacing w:val="-7"/>
        </w:rPr>
        <w:t> </w:t>
      </w:r>
      <w:r>
        <w:rPr/>
        <w:t>manera</w:t>
      </w:r>
      <w:r>
        <w:rPr>
          <w:spacing w:val="-8"/>
        </w:rPr>
        <w:t> </w:t>
      </w:r>
      <w:r>
        <w:rPr/>
        <w:t>creativa</w:t>
      </w:r>
      <w:r>
        <w:rPr>
          <w:spacing w:val="-5"/>
        </w:rPr>
        <w:t> </w:t>
      </w:r>
      <w:r>
        <w:rPr/>
        <w:t>para</w:t>
      </w:r>
      <w:r>
        <w:rPr>
          <w:spacing w:val="-8"/>
        </w:rPr>
        <w:t> </w:t>
      </w:r>
      <w:r>
        <w:rPr/>
        <w:t>potenciar</w:t>
      </w:r>
      <w:r>
        <w:rPr>
          <w:spacing w:val="-8"/>
        </w:rPr>
        <w:t> </w:t>
      </w:r>
      <w:r>
        <w:rPr/>
        <w:t>patrones</w:t>
      </w:r>
      <w:r>
        <w:rPr>
          <w:spacing w:val="-8"/>
        </w:rPr>
        <w:t> </w:t>
      </w:r>
      <w:r>
        <w:rPr/>
        <w:t>de</w:t>
      </w:r>
      <w:r>
        <w:rPr>
          <w:spacing w:val="-5"/>
        </w:rPr>
        <w:t> </w:t>
      </w:r>
      <w:r>
        <w:rPr/>
        <w:t>comportamiento</w:t>
      </w:r>
      <w:r>
        <w:rPr>
          <w:spacing w:val="-5"/>
        </w:rPr>
        <w:t> </w:t>
      </w:r>
      <w:r>
        <w:rPr/>
        <w:t>y derechos participativos exigibles. Naessens (2010) además de un valor ético la visualiza como un mecanismo fundamental de exigibilidad pública y de responsabilidad para con la</w:t>
      </w:r>
      <w:r>
        <w:rPr>
          <w:spacing w:val="-14"/>
        </w:rPr>
        <w:t> </w:t>
      </w:r>
      <w:r>
        <w:rPr/>
        <w:t>sociedad.</w:t>
      </w:r>
    </w:p>
    <w:p>
      <w:pPr>
        <w:pStyle w:val="BodyText"/>
      </w:pPr>
    </w:p>
    <w:p>
      <w:pPr>
        <w:pStyle w:val="BodyText"/>
      </w:pPr>
    </w:p>
    <w:p>
      <w:pPr>
        <w:pStyle w:val="BodyText"/>
        <w:spacing w:before="7"/>
        <w:rPr>
          <w:sz w:val="19"/>
        </w:rPr>
      </w:pPr>
    </w:p>
    <w:p>
      <w:pPr>
        <w:pStyle w:val="Heading1"/>
        <w:numPr>
          <w:ilvl w:val="0"/>
          <w:numId w:val="22"/>
        </w:numPr>
        <w:tabs>
          <w:tab w:pos="530" w:val="left" w:leader="none"/>
        </w:tabs>
        <w:spacing w:line="240" w:lineRule="auto" w:before="0" w:after="0"/>
        <w:ind w:left="529" w:right="0" w:hanging="360"/>
        <w:jc w:val="both"/>
      </w:pPr>
      <w:r>
        <w:rPr/>
        <w:t>Como sistema</w:t>
      </w:r>
    </w:p>
    <w:p>
      <w:pPr>
        <w:pStyle w:val="BodyText"/>
        <w:rPr>
          <w:b/>
        </w:rPr>
      </w:pPr>
    </w:p>
    <w:p>
      <w:pPr>
        <w:pStyle w:val="BodyText"/>
        <w:rPr>
          <w:b/>
        </w:rPr>
      </w:pPr>
    </w:p>
    <w:p>
      <w:pPr>
        <w:pStyle w:val="BodyText"/>
        <w:spacing w:line="360" w:lineRule="auto" w:before="158"/>
        <w:ind w:left="102" w:right="122"/>
        <w:jc w:val="both"/>
      </w:pPr>
      <w:r>
        <w:rPr/>
        <w:t>La transparencia como un sistema donde los elementos constitutivos fortalecen o debilitan al sistema mismo. Solo esta perspectiva permite analizar las causas de la heterogeneidad en materia de transparencia que caracteriza al país. Urge, sin embargo, trabajar en la calidad de la información sobre el tema (Ríos, 2011).</w:t>
      </w:r>
    </w:p>
    <w:p>
      <w:pPr>
        <w:pStyle w:val="BodyText"/>
      </w:pPr>
    </w:p>
    <w:p>
      <w:pPr>
        <w:pStyle w:val="BodyText"/>
      </w:pPr>
    </w:p>
    <w:p>
      <w:pPr>
        <w:pStyle w:val="BodyText"/>
        <w:spacing w:line="360" w:lineRule="auto" w:before="185"/>
        <w:ind w:left="102" w:right="124"/>
        <w:jc w:val="both"/>
      </w:pPr>
      <w:r>
        <w:rPr/>
        <w:t>La palabra sistema se emplea para significar al conjunto de elementos, interrelacionados e interdependientes, que forman una unidad o todo coherente   y</w:t>
      </w:r>
    </w:p>
    <w:p>
      <w:pPr>
        <w:spacing w:after="0" w:line="360" w:lineRule="auto"/>
        <w:jc w:val="both"/>
        <w:sectPr>
          <w:pgSz w:w="12240" w:h="15840"/>
          <w:pgMar w:header="0" w:footer="1035" w:top="1360" w:bottom="1220" w:left="1600" w:right="1580"/>
        </w:sectPr>
      </w:pPr>
    </w:p>
    <w:p>
      <w:pPr>
        <w:pStyle w:val="BodyText"/>
        <w:spacing w:line="360" w:lineRule="auto" w:before="54"/>
        <w:ind w:left="102" w:right="115"/>
        <w:jc w:val="both"/>
      </w:pPr>
      <w:r>
        <w:rPr/>
        <w:t>que tiene un objetivo común o cumplen la misma función y que dentro de sus características, de acuerdo a Velasco (1987) y Parsons (2007) se encuentran las siguientes:</w:t>
      </w:r>
    </w:p>
    <w:p>
      <w:pPr>
        <w:pStyle w:val="BodyText"/>
      </w:pPr>
    </w:p>
    <w:p>
      <w:pPr>
        <w:pStyle w:val="BodyText"/>
        <w:spacing w:before="2"/>
        <w:rPr>
          <w:sz w:val="26"/>
        </w:rPr>
      </w:pPr>
    </w:p>
    <w:p>
      <w:pPr>
        <w:pStyle w:val="ListParagraph"/>
        <w:numPr>
          <w:ilvl w:val="0"/>
          <w:numId w:val="12"/>
        </w:numPr>
        <w:tabs>
          <w:tab w:pos="530" w:val="left" w:leader="none"/>
        </w:tabs>
        <w:spacing w:line="273" w:lineRule="auto" w:before="0" w:after="0"/>
        <w:ind w:left="529" w:right="117" w:hanging="360"/>
        <w:jc w:val="both"/>
        <w:rPr>
          <w:sz w:val="24"/>
        </w:rPr>
      </w:pPr>
      <w:r>
        <w:rPr>
          <w:sz w:val="24"/>
        </w:rPr>
        <w:t>Todo sistema contiene sistemas menores y a la vez pertenece a sistemas mayores, aplicado al caso del gobierno en México sería lo siguiente: subsistemas (municipio), sistemas (entidad federativa) y suprasistemas</w:t>
      </w:r>
      <w:r>
        <w:rPr>
          <w:spacing w:val="-23"/>
          <w:sz w:val="24"/>
        </w:rPr>
        <w:t> </w:t>
      </w:r>
      <w:r>
        <w:rPr>
          <w:sz w:val="24"/>
        </w:rPr>
        <w:t>(país).</w:t>
      </w:r>
    </w:p>
    <w:p>
      <w:pPr>
        <w:pStyle w:val="ListParagraph"/>
        <w:numPr>
          <w:ilvl w:val="0"/>
          <w:numId w:val="12"/>
        </w:numPr>
        <w:tabs>
          <w:tab w:pos="530" w:val="left" w:leader="none"/>
        </w:tabs>
        <w:spacing w:line="276" w:lineRule="auto" w:before="148" w:after="0"/>
        <w:ind w:left="529" w:right="116" w:hanging="360"/>
        <w:jc w:val="both"/>
        <w:rPr>
          <w:sz w:val="24"/>
        </w:rPr>
      </w:pPr>
      <w:r>
        <w:rPr>
          <w:sz w:val="24"/>
        </w:rPr>
        <w:t>Los</w:t>
      </w:r>
      <w:r>
        <w:rPr>
          <w:spacing w:val="-4"/>
          <w:sz w:val="24"/>
        </w:rPr>
        <w:t> </w:t>
      </w:r>
      <w:r>
        <w:rPr>
          <w:sz w:val="24"/>
        </w:rPr>
        <w:t>objetivos</w:t>
      </w:r>
      <w:r>
        <w:rPr>
          <w:spacing w:val="-4"/>
          <w:sz w:val="24"/>
        </w:rPr>
        <w:t> </w:t>
      </w:r>
      <w:r>
        <w:rPr>
          <w:sz w:val="24"/>
        </w:rPr>
        <w:t>son</w:t>
      </w:r>
      <w:r>
        <w:rPr>
          <w:spacing w:val="-4"/>
          <w:sz w:val="24"/>
        </w:rPr>
        <w:t> </w:t>
      </w:r>
      <w:r>
        <w:rPr>
          <w:sz w:val="24"/>
        </w:rPr>
        <w:t>el</w:t>
      </w:r>
      <w:r>
        <w:rPr>
          <w:spacing w:val="-7"/>
          <w:sz w:val="24"/>
        </w:rPr>
        <w:t> </w:t>
      </w:r>
      <w:r>
        <w:rPr>
          <w:sz w:val="24"/>
        </w:rPr>
        <w:t>factor</w:t>
      </w:r>
      <w:r>
        <w:rPr>
          <w:spacing w:val="-5"/>
          <w:sz w:val="24"/>
        </w:rPr>
        <w:t> </w:t>
      </w:r>
      <w:r>
        <w:rPr>
          <w:sz w:val="24"/>
        </w:rPr>
        <w:t>que</w:t>
      </w:r>
      <w:r>
        <w:rPr>
          <w:spacing w:val="-4"/>
          <w:sz w:val="24"/>
        </w:rPr>
        <w:t> </w:t>
      </w:r>
      <w:r>
        <w:rPr>
          <w:sz w:val="24"/>
        </w:rPr>
        <w:t>integra</w:t>
      </w:r>
      <w:r>
        <w:rPr>
          <w:spacing w:val="-4"/>
          <w:sz w:val="24"/>
        </w:rPr>
        <w:t> </w:t>
      </w:r>
      <w:r>
        <w:rPr>
          <w:sz w:val="24"/>
        </w:rPr>
        <w:t>y</w:t>
      </w:r>
      <w:r>
        <w:rPr>
          <w:spacing w:val="-7"/>
          <w:sz w:val="24"/>
        </w:rPr>
        <w:t> </w:t>
      </w:r>
      <w:r>
        <w:rPr>
          <w:sz w:val="24"/>
        </w:rPr>
        <w:t>cohesiona</w:t>
      </w:r>
      <w:r>
        <w:rPr>
          <w:spacing w:val="-4"/>
          <w:sz w:val="24"/>
        </w:rPr>
        <w:t> </w:t>
      </w:r>
      <w:r>
        <w:rPr>
          <w:sz w:val="24"/>
        </w:rPr>
        <w:t>a</w:t>
      </w:r>
      <w:r>
        <w:rPr>
          <w:spacing w:val="-4"/>
          <w:sz w:val="24"/>
        </w:rPr>
        <w:t> </w:t>
      </w:r>
      <w:r>
        <w:rPr>
          <w:sz w:val="24"/>
        </w:rPr>
        <w:t>los</w:t>
      </w:r>
      <w:r>
        <w:rPr>
          <w:spacing w:val="-6"/>
          <w:sz w:val="24"/>
        </w:rPr>
        <w:t> </w:t>
      </w:r>
      <w:r>
        <w:rPr>
          <w:sz w:val="24"/>
        </w:rPr>
        <w:t>diversos</w:t>
      </w:r>
      <w:r>
        <w:rPr>
          <w:spacing w:val="-4"/>
          <w:sz w:val="24"/>
        </w:rPr>
        <w:t> </w:t>
      </w:r>
      <w:r>
        <w:rPr>
          <w:sz w:val="24"/>
        </w:rPr>
        <w:t>componentes de</w:t>
      </w:r>
      <w:r>
        <w:rPr>
          <w:spacing w:val="-13"/>
          <w:sz w:val="24"/>
        </w:rPr>
        <w:t> </w:t>
      </w:r>
      <w:r>
        <w:rPr>
          <w:sz w:val="24"/>
        </w:rPr>
        <w:t>los</w:t>
      </w:r>
      <w:r>
        <w:rPr>
          <w:spacing w:val="-16"/>
          <w:sz w:val="24"/>
        </w:rPr>
        <w:t> </w:t>
      </w:r>
      <w:r>
        <w:rPr>
          <w:sz w:val="24"/>
        </w:rPr>
        <w:t>sistemas.</w:t>
      </w:r>
      <w:r>
        <w:rPr>
          <w:spacing w:val="-16"/>
          <w:sz w:val="24"/>
        </w:rPr>
        <w:t> </w:t>
      </w:r>
      <w:r>
        <w:rPr>
          <w:sz w:val="24"/>
        </w:rPr>
        <w:t>En</w:t>
      </w:r>
      <w:r>
        <w:rPr>
          <w:spacing w:val="-16"/>
          <w:sz w:val="24"/>
        </w:rPr>
        <w:t> </w:t>
      </w:r>
      <w:r>
        <w:rPr>
          <w:sz w:val="24"/>
        </w:rPr>
        <w:t>este</w:t>
      </w:r>
      <w:r>
        <w:rPr>
          <w:spacing w:val="-13"/>
          <w:sz w:val="24"/>
        </w:rPr>
        <w:t> </w:t>
      </w:r>
      <w:r>
        <w:rPr>
          <w:sz w:val="24"/>
        </w:rPr>
        <w:t>caso</w:t>
      </w:r>
      <w:r>
        <w:rPr>
          <w:spacing w:val="-13"/>
          <w:sz w:val="24"/>
        </w:rPr>
        <w:t> </w:t>
      </w:r>
      <w:r>
        <w:rPr>
          <w:sz w:val="24"/>
        </w:rPr>
        <w:t>la</w:t>
      </w:r>
      <w:r>
        <w:rPr>
          <w:spacing w:val="-16"/>
          <w:sz w:val="24"/>
        </w:rPr>
        <w:t> </w:t>
      </w:r>
      <w:r>
        <w:rPr>
          <w:sz w:val="24"/>
        </w:rPr>
        <w:t>permanencia</w:t>
      </w:r>
      <w:r>
        <w:rPr>
          <w:spacing w:val="-16"/>
          <w:sz w:val="24"/>
        </w:rPr>
        <w:t> </w:t>
      </w:r>
      <w:r>
        <w:rPr>
          <w:sz w:val="24"/>
        </w:rPr>
        <w:t>en</w:t>
      </w:r>
      <w:r>
        <w:rPr>
          <w:spacing w:val="-16"/>
          <w:sz w:val="24"/>
        </w:rPr>
        <w:t> </w:t>
      </w:r>
      <w:r>
        <w:rPr>
          <w:sz w:val="24"/>
        </w:rPr>
        <w:t>el</w:t>
      </w:r>
      <w:r>
        <w:rPr>
          <w:spacing w:val="-14"/>
          <w:sz w:val="24"/>
        </w:rPr>
        <w:t> </w:t>
      </w:r>
      <w:r>
        <w:rPr>
          <w:sz w:val="24"/>
        </w:rPr>
        <w:t>poder,</w:t>
      </w:r>
      <w:r>
        <w:rPr>
          <w:spacing w:val="-14"/>
          <w:sz w:val="24"/>
        </w:rPr>
        <w:t> </w:t>
      </w:r>
      <w:r>
        <w:rPr>
          <w:sz w:val="24"/>
        </w:rPr>
        <w:t>por</w:t>
      </w:r>
      <w:r>
        <w:rPr>
          <w:spacing w:val="-15"/>
          <w:sz w:val="24"/>
        </w:rPr>
        <w:t> </w:t>
      </w:r>
      <w:r>
        <w:rPr>
          <w:sz w:val="24"/>
        </w:rPr>
        <w:t>ello</w:t>
      </w:r>
      <w:r>
        <w:rPr>
          <w:spacing w:val="-15"/>
          <w:sz w:val="24"/>
        </w:rPr>
        <w:t> </w:t>
      </w:r>
      <w:r>
        <w:rPr>
          <w:sz w:val="24"/>
        </w:rPr>
        <w:t>es</w:t>
      </w:r>
      <w:r>
        <w:rPr>
          <w:spacing w:val="-19"/>
          <w:sz w:val="24"/>
        </w:rPr>
        <w:t> </w:t>
      </w:r>
      <w:r>
        <w:rPr>
          <w:sz w:val="24"/>
        </w:rPr>
        <w:t>importante ser transparente ya que otorga</w:t>
      </w:r>
      <w:r>
        <w:rPr>
          <w:spacing w:val="-12"/>
          <w:sz w:val="24"/>
        </w:rPr>
        <w:t> </w:t>
      </w:r>
      <w:r>
        <w:rPr>
          <w:sz w:val="24"/>
        </w:rPr>
        <w:t>legitimidad.</w:t>
      </w:r>
    </w:p>
    <w:p>
      <w:pPr>
        <w:pStyle w:val="ListParagraph"/>
        <w:numPr>
          <w:ilvl w:val="0"/>
          <w:numId w:val="12"/>
        </w:numPr>
        <w:tabs>
          <w:tab w:pos="530" w:val="left" w:leader="none"/>
        </w:tabs>
        <w:spacing w:line="273" w:lineRule="auto" w:before="145" w:after="0"/>
        <w:ind w:left="529" w:right="117" w:hanging="360"/>
        <w:jc w:val="both"/>
        <w:rPr>
          <w:sz w:val="24"/>
        </w:rPr>
      </w:pPr>
      <w:r>
        <w:rPr>
          <w:sz w:val="24"/>
        </w:rPr>
        <w:t>El cambio de uno de los elementos influye en los demás afectando la conducta del</w:t>
      </w:r>
      <w:r>
        <w:rPr>
          <w:spacing w:val="-5"/>
          <w:sz w:val="24"/>
        </w:rPr>
        <w:t> </w:t>
      </w:r>
      <w:r>
        <w:rPr>
          <w:sz w:val="24"/>
        </w:rPr>
        <w:t>sistema</w:t>
      </w:r>
      <w:r>
        <w:rPr>
          <w:spacing w:val="-6"/>
          <w:sz w:val="24"/>
        </w:rPr>
        <w:t> </w:t>
      </w:r>
      <w:r>
        <w:rPr>
          <w:sz w:val="24"/>
        </w:rPr>
        <w:t>total,</w:t>
      </w:r>
      <w:r>
        <w:rPr>
          <w:spacing w:val="-7"/>
          <w:sz w:val="24"/>
        </w:rPr>
        <w:t> </w:t>
      </w:r>
      <w:r>
        <w:rPr>
          <w:sz w:val="24"/>
        </w:rPr>
        <w:t>como</w:t>
      </w:r>
      <w:r>
        <w:rPr>
          <w:spacing w:val="-6"/>
          <w:sz w:val="24"/>
        </w:rPr>
        <w:t> </w:t>
      </w:r>
      <w:r>
        <w:rPr>
          <w:sz w:val="24"/>
        </w:rPr>
        <w:t>son</w:t>
      </w:r>
      <w:r>
        <w:rPr>
          <w:spacing w:val="-6"/>
          <w:sz w:val="24"/>
        </w:rPr>
        <w:t> </w:t>
      </w:r>
      <w:r>
        <w:rPr>
          <w:sz w:val="24"/>
        </w:rPr>
        <w:t>las</w:t>
      </w:r>
      <w:r>
        <w:rPr>
          <w:spacing w:val="-9"/>
          <w:sz w:val="24"/>
        </w:rPr>
        <w:t> </w:t>
      </w:r>
      <w:r>
        <w:rPr>
          <w:sz w:val="24"/>
        </w:rPr>
        <w:t>modificaciones</w:t>
      </w:r>
      <w:r>
        <w:rPr>
          <w:spacing w:val="-4"/>
          <w:sz w:val="24"/>
        </w:rPr>
        <w:t> </w:t>
      </w:r>
      <w:r>
        <w:rPr>
          <w:sz w:val="24"/>
        </w:rPr>
        <w:t>a</w:t>
      </w:r>
      <w:r>
        <w:rPr>
          <w:spacing w:val="-6"/>
          <w:sz w:val="24"/>
        </w:rPr>
        <w:t> </w:t>
      </w:r>
      <w:r>
        <w:rPr>
          <w:sz w:val="24"/>
        </w:rPr>
        <w:t>la</w:t>
      </w:r>
      <w:r>
        <w:rPr>
          <w:spacing w:val="-6"/>
          <w:sz w:val="24"/>
        </w:rPr>
        <w:t> </w:t>
      </w:r>
      <w:r>
        <w:rPr>
          <w:sz w:val="24"/>
        </w:rPr>
        <w:t>ley</w:t>
      </w:r>
      <w:r>
        <w:rPr>
          <w:spacing w:val="-6"/>
          <w:sz w:val="24"/>
        </w:rPr>
        <w:t> </w:t>
      </w:r>
      <w:r>
        <w:rPr>
          <w:sz w:val="24"/>
        </w:rPr>
        <w:t>respectiva</w:t>
      </w:r>
      <w:r>
        <w:rPr>
          <w:spacing w:val="-6"/>
          <w:sz w:val="24"/>
        </w:rPr>
        <w:t> </w:t>
      </w:r>
      <w:r>
        <w:rPr>
          <w:sz w:val="24"/>
        </w:rPr>
        <w:t>o</w:t>
      </w:r>
      <w:r>
        <w:rPr>
          <w:spacing w:val="-4"/>
          <w:sz w:val="24"/>
        </w:rPr>
        <w:t> </w:t>
      </w:r>
      <w:r>
        <w:rPr>
          <w:sz w:val="24"/>
        </w:rPr>
        <w:t>los</w:t>
      </w:r>
      <w:r>
        <w:rPr>
          <w:spacing w:val="-4"/>
          <w:sz w:val="24"/>
        </w:rPr>
        <w:t> </w:t>
      </w:r>
      <w:r>
        <w:rPr>
          <w:sz w:val="24"/>
        </w:rPr>
        <w:t>cambios de partido en</w:t>
      </w:r>
      <w:r>
        <w:rPr>
          <w:spacing w:val="-9"/>
          <w:sz w:val="24"/>
        </w:rPr>
        <w:t> </w:t>
      </w:r>
      <w:r>
        <w:rPr>
          <w:sz w:val="24"/>
        </w:rPr>
        <w:t>poder.</w:t>
      </w:r>
    </w:p>
    <w:p>
      <w:pPr>
        <w:pStyle w:val="BodyText"/>
      </w:pPr>
    </w:p>
    <w:p>
      <w:pPr>
        <w:pStyle w:val="BodyText"/>
        <w:spacing w:line="360" w:lineRule="auto" w:before="142"/>
        <w:ind w:left="102" w:right="119"/>
        <w:jc w:val="both"/>
      </w:pPr>
      <w:r>
        <w:rPr/>
        <w:t>Bajo</w:t>
      </w:r>
      <w:r>
        <w:rPr>
          <w:spacing w:val="-14"/>
        </w:rPr>
        <w:t> </w:t>
      </w:r>
      <w:r>
        <w:rPr/>
        <w:t>esta</w:t>
      </w:r>
      <w:r>
        <w:rPr>
          <w:spacing w:val="-14"/>
        </w:rPr>
        <w:t> </w:t>
      </w:r>
      <w:r>
        <w:rPr/>
        <w:t>perspectiva,</w:t>
      </w:r>
      <w:r>
        <w:rPr>
          <w:spacing w:val="-14"/>
        </w:rPr>
        <w:t> </w:t>
      </w:r>
      <w:r>
        <w:rPr/>
        <w:t>se</w:t>
      </w:r>
      <w:r>
        <w:rPr>
          <w:spacing w:val="-12"/>
        </w:rPr>
        <w:t> </w:t>
      </w:r>
      <w:r>
        <w:rPr/>
        <w:t>puede</w:t>
      </w:r>
      <w:r>
        <w:rPr>
          <w:spacing w:val="-14"/>
        </w:rPr>
        <w:t> </w:t>
      </w:r>
      <w:r>
        <w:rPr/>
        <w:t>señalar</w:t>
      </w:r>
      <w:r>
        <w:rPr>
          <w:spacing w:val="-13"/>
        </w:rPr>
        <w:t> </w:t>
      </w:r>
      <w:r>
        <w:rPr/>
        <w:t>que</w:t>
      </w:r>
      <w:r>
        <w:rPr>
          <w:spacing w:val="-16"/>
        </w:rPr>
        <w:t> </w:t>
      </w:r>
      <w:r>
        <w:rPr/>
        <w:t>dentro</w:t>
      </w:r>
      <w:r>
        <w:rPr>
          <w:spacing w:val="-14"/>
        </w:rPr>
        <w:t> </w:t>
      </w:r>
      <w:r>
        <w:rPr/>
        <w:t>de</w:t>
      </w:r>
      <w:r>
        <w:rPr>
          <w:spacing w:val="-12"/>
        </w:rPr>
        <w:t> </w:t>
      </w:r>
      <w:r>
        <w:rPr/>
        <w:t>los</w:t>
      </w:r>
      <w:r>
        <w:rPr>
          <w:spacing w:val="-15"/>
        </w:rPr>
        <w:t> </w:t>
      </w:r>
      <w:r>
        <w:rPr/>
        <w:t>principales</w:t>
      </w:r>
      <w:r>
        <w:rPr>
          <w:spacing w:val="-13"/>
        </w:rPr>
        <w:t> </w:t>
      </w:r>
      <w:r>
        <w:rPr/>
        <w:t>elementos</w:t>
      </w:r>
      <w:r>
        <w:rPr>
          <w:spacing w:val="-15"/>
        </w:rPr>
        <w:t> </w:t>
      </w:r>
      <w:r>
        <w:rPr/>
        <w:t>del sistema (o estructuras para Parsons) se encuentran los</w:t>
      </w:r>
      <w:r>
        <w:rPr>
          <w:spacing w:val="-17"/>
        </w:rPr>
        <w:t> </w:t>
      </w:r>
      <w:r>
        <w:rPr/>
        <w:t>siguientes:</w:t>
      </w:r>
    </w:p>
    <w:p>
      <w:pPr>
        <w:pStyle w:val="BodyText"/>
      </w:pPr>
    </w:p>
    <w:p>
      <w:pPr>
        <w:pStyle w:val="BodyText"/>
        <w:spacing w:before="3"/>
        <w:rPr>
          <w:sz w:val="26"/>
        </w:rPr>
      </w:pPr>
    </w:p>
    <w:p>
      <w:pPr>
        <w:pStyle w:val="ListParagraph"/>
        <w:numPr>
          <w:ilvl w:val="0"/>
          <w:numId w:val="28"/>
        </w:numPr>
        <w:tabs>
          <w:tab w:pos="386" w:val="left" w:leader="none"/>
        </w:tabs>
        <w:spacing w:line="360" w:lineRule="auto" w:before="1" w:after="0"/>
        <w:ind w:left="385" w:right="118" w:hanging="283"/>
        <w:jc w:val="both"/>
        <w:rPr>
          <w:sz w:val="24"/>
        </w:rPr>
      </w:pPr>
      <w:r>
        <w:rPr>
          <w:b/>
          <w:sz w:val="24"/>
        </w:rPr>
        <w:t>El gobierno. </w:t>
      </w:r>
      <w:r>
        <w:rPr>
          <w:sz w:val="24"/>
        </w:rPr>
        <w:t>A través de sus poderes ejecutivo, legislativo y judicial y considerando sus tres niveles de aplicación: federal, estatal y municipal que asumen las funciones de aplicación, creación y vigilancia de las leyes, así como garantizar ciertas condiciones de vida a la sociedad. Todo ello implicando transparentar sus acciones para cobrar legitimidad ante quienes los</w:t>
      </w:r>
      <w:r>
        <w:rPr>
          <w:spacing w:val="-23"/>
          <w:sz w:val="24"/>
        </w:rPr>
        <w:t> </w:t>
      </w:r>
      <w:r>
        <w:rPr>
          <w:sz w:val="24"/>
        </w:rPr>
        <w:t>eligieron.</w:t>
      </w:r>
    </w:p>
    <w:p>
      <w:pPr>
        <w:pStyle w:val="BodyText"/>
      </w:pPr>
    </w:p>
    <w:p>
      <w:pPr>
        <w:pStyle w:val="ListParagraph"/>
        <w:numPr>
          <w:ilvl w:val="0"/>
          <w:numId w:val="28"/>
        </w:numPr>
        <w:tabs>
          <w:tab w:pos="386" w:val="left" w:leader="none"/>
        </w:tabs>
        <w:spacing w:line="360" w:lineRule="auto" w:before="142" w:after="0"/>
        <w:ind w:left="385" w:right="117" w:hanging="283"/>
        <w:jc w:val="both"/>
        <w:rPr>
          <w:sz w:val="24"/>
        </w:rPr>
      </w:pPr>
      <w:r>
        <w:rPr>
          <w:b/>
          <w:sz w:val="24"/>
        </w:rPr>
        <w:t>Las</w:t>
      </w:r>
      <w:r>
        <w:rPr>
          <w:b/>
          <w:spacing w:val="-11"/>
          <w:sz w:val="24"/>
        </w:rPr>
        <w:t> </w:t>
      </w:r>
      <w:r>
        <w:rPr>
          <w:b/>
          <w:sz w:val="24"/>
        </w:rPr>
        <w:t>organizaciones</w:t>
      </w:r>
      <w:r>
        <w:rPr>
          <w:b/>
          <w:spacing w:val="-13"/>
          <w:sz w:val="24"/>
        </w:rPr>
        <w:t> </w:t>
      </w:r>
      <w:r>
        <w:rPr>
          <w:b/>
          <w:sz w:val="24"/>
        </w:rPr>
        <w:t>del</w:t>
      </w:r>
      <w:r>
        <w:rPr>
          <w:b/>
          <w:spacing w:val="-11"/>
          <w:sz w:val="24"/>
        </w:rPr>
        <w:t> </w:t>
      </w:r>
      <w:r>
        <w:rPr>
          <w:b/>
          <w:sz w:val="24"/>
        </w:rPr>
        <w:t>sistema.</w:t>
      </w:r>
      <w:r>
        <w:rPr>
          <w:b/>
          <w:spacing w:val="-11"/>
          <w:sz w:val="24"/>
        </w:rPr>
        <w:t> </w:t>
      </w:r>
      <w:r>
        <w:rPr>
          <w:sz w:val="24"/>
        </w:rPr>
        <w:t>Partidos</w:t>
      </w:r>
      <w:r>
        <w:rPr>
          <w:spacing w:val="-14"/>
          <w:sz w:val="24"/>
        </w:rPr>
        <w:t> </w:t>
      </w:r>
      <w:r>
        <w:rPr>
          <w:sz w:val="24"/>
        </w:rPr>
        <w:t>políticos</w:t>
      </w:r>
      <w:r>
        <w:rPr>
          <w:spacing w:val="-12"/>
          <w:sz w:val="24"/>
        </w:rPr>
        <w:t> </w:t>
      </w:r>
      <w:r>
        <w:rPr>
          <w:sz w:val="24"/>
        </w:rPr>
        <w:t>como</w:t>
      </w:r>
      <w:r>
        <w:rPr>
          <w:spacing w:val="-13"/>
          <w:sz w:val="24"/>
        </w:rPr>
        <w:t> </w:t>
      </w:r>
      <w:r>
        <w:rPr>
          <w:sz w:val="24"/>
        </w:rPr>
        <w:t>el</w:t>
      </w:r>
      <w:r>
        <w:rPr>
          <w:spacing w:val="-14"/>
          <w:sz w:val="24"/>
        </w:rPr>
        <w:t> </w:t>
      </w:r>
      <w:r>
        <w:rPr>
          <w:sz w:val="24"/>
        </w:rPr>
        <w:t>medio</w:t>
      </w:r>
      <w:r>
        <w:rPr>
          <w:spacing w:val="-13"/>
          <w:sz w:val="24"/>
        </w:rPr>
        <w:t> </w:t>
      </w:r>
      <w:r>
        <w:rPr>
          <w:sz w:val="24"/>
        </w:rPr>
        <w:t>para</w:t>
      </w:r>
      <w:r>
        <w:rPr>
          <w:spacing w:val="-14"/>
          <w:sz w:val="24"/>
        </w:rPr>
        <w:t> </w:t>
      </w:r>
      <w:r>
        <w:rPr>
          <w:sz w:val="24"/>
        </w:rPr>
        <w:t>acceder al poder; los organismos autónomos (INAI, INFOEM, OSFEM etc.) como responsables de vigilar el cumplimiento de las acciones del gobierno, en este caso la transparencia; medios de comunicación, que en su afán de vender la noticia están al pendiente del actuar de los gobiernos para utilizar los acontecimientos relevantes como oportunidad de venta; la universidad, donde a través de las investigaciones que se hacen busca explicar una realidad sobre</w:t>
      </w:r>
      <w:r>
        <w:rPr>
          <w:spacing w:val="-37"/>
          <w:sz w:val="24"/>
        </w:rPr>
        <w:t> </w:t>
      </w:r>
      <w:r>
        <w:rPr>
          <w:sz w:val="24"/>
        </w:rPr>
        <w:t>un tema;</w:t>
      </w:r>
      <w:r>
        <w:rPr>
          <w:spacing w:val="-17"/>
          <w:sz w:val="24"/>
        </w:rPr>
        <w:t> </w:t>
      </w:r>
      <w:r>
        <w:rPr>
          <w:sz w:val="24"/>
        </w:rPr>
        <w:t>las</w:t>
      </w:r>
      <w:r>
        <w:rPr>
          <w:spacing w:val="-19"/>
          <w:sz w:val="24"/>
        </w:rPr>
        <w:t> </w:t>
      </w:r>
      <w:r>
        <w:rPr>
          <w:sz w:val="24"/>
        </w:rPr>
        <w:t>empresas,</w:t>
      </w:r>
      <w:r>
        <w:rPr>
          <w:spacing w:val="-17"/>
          <w:sz w:val="24"/>
        </w:rPr>
        <w:t> </w:t>
      </w:r>
      <w:r>
        <w:rPr>
          <w:sz w:val="24"/>
        </w:rPr>
        <w:t>que</w:t>
      </w:r>
      <w:r>
        <w:rPr>
          <w:spacing w:val="-17"/>
          <w:sz w:val="24"/>
        </w:rPr>
        <w:t> </w:t>
      </w:r>
      <w:r>
        <w:rPr>
          <w:sz w:val="24"/>
        </w:rPr>
        <w:t>buscan</w:t>
      </w:r>
      <w:r>
        <w:rPr>
          <w:spacing w:val="-19"/>
          <w:sz w:val="24"/>
        </w:rPr>
        <w:t> </w:t>
      </w:r>
      <w:r>
        <w:rPr>
          <w:sz w:val="24"/>
        </w:rPr>
        <w:t>estabilidad</w:t>
      </w:r>
      <w:r>
        <w:rPr>
          <w:spacing w:val="-19"/>
          <w:sz w:val="24"/>
        </w:rPr>
        <w:t> </w:t>
      </w:r>
      <w:r>
        <w:rPr>
          <w:sz w:val="24"/>
        </w:rPr>
        <w:t>para</w:t>
      </w:r>
      <w:r>
        <w:rPr>
          <w:spacing w:val="-17"/>
          <w:sz w:val="24"/>
        </w:rPr>
        <w:t> </w:t>
      </w:r>
      <w:r>
        <w:rPr>
          <w:sz w:val="24"/>
        </w:rPr>
        <w:t>poder</w:t>
      </w:r>
      <w:r>
        <w:rPr>
          <w:spacing w:val="-18"/>
          <w:sz w:val="24"/>
        </w:rPr>
        <w:t> </w:t>
      </w:r>
      <w:r>
        <w:rPr>
          <w:sz w:val="24"/>
        </w:rPr>
        <w:t>invertir</w:t>
      </w:r>
      <w:r>
        <w:rPr>
          <w:spacing w:val="-18"/>
          <w:sz w:val="24"/>
        </w:rPr>
        <w:t> </w:t>
      </w:r>
      <w:r>
        <w:rPr>
          <w:sz w:val="24"/>
        </w:rPr>
        <w:t>de</w:t>
      </w:r>
      <w:r>
        <w:rPr>
          <w:spacing w:val="-19"/>
          <w:sz w:val="24"/>
        </w:rPr>
        <w:t> </w:t>
      </w:r>
      <w:r>
        <w:rPr>
          <w:sz w:val="24"/>
        </w:rPr>
        <w:t>manera</w:t>
      </w:r>
      <w:r>
        <w:rPr>
          <w:spacing w:val="-17"/>
          <w:sz w:val="24"/>
        </w:rPr>
        <w:t> </w:t>
      </w:r>
      <w:r>
        <w:rPr>
          <w:sz w:val="24"/>
        </w:rPr>
        <w:t>segura</w:t>
      </w:r>
    </w:p>
    <w:p>
      <w:pPr>
        <w:spacing w:after="0" w:line="360" w:lineRule="auto"/>
        <w:jc w:val="both"/>
        <w:rPr>
          <w:sz w:val="24"/>
        </w:rPr>
        <w:sectPr>
          <w:pgSz w:w="12240" w:h="15840"/>
          <w:pgMar w:header="0" w:footer="1035" w:top="1360" w:bottom="1220" w:left="1600" w:right="1580"/>
        </w:sectPr>
      </w:pPr>
    </w:p>
    <w:p>
      <w:pPr>
        <w:pStyle w:val="BodyText"/>
        <w:spacing w:line="362" w:lineRule="auto" w:before="54"/>
        <w:ind w:left="385" w:right="49"/>
      </w:pPr>
      <w:r>
        <w:rPr/>
        <w:t>en algún lugar. Estos son ejemplos de algunas organizaciones que influyen en el sistema.</w:t>
      </w:r>
    </w:p>
    <w:p>
      <w:pPr>
        <w:pStyle w:val="BodyText"/>
      </w:pPr>
    </w:p>
    <w:p>
      <w:pPr>
        <w:pStyle w:val="ListParagraph"/>
        <w:numPr>
          <w:ilvl w:val="0"/>
          <w:numId w:val="28"/>
        </w:numPr>
        <w:tabs>
          <w:tab w:pos="386" w:val="left" w:leader="none"/>
        </w:tabs>
        <w:spacing w:line="360" w:lineRule="auto" w:before="139" w:after="0"/>
        <w:ind w:left="385" w:right="115" w:hanging="283"/>
        <w:jc w:val="both"/>
        <w:rPr>
          <w:sz w:val="24"/>
        </w:rPr>
      </w:pPr>
      <w:r>
        <w:rPr>
          <w:b/>
          <w:sz w:val="24"/>
        </w:rPr>
        <w:t>Los ciudadanos. </w:t>
      </w:r>
      <w:r>
        <w:rPr>
          <w:sz w:val="24"/>
        </w:rPr>
        <w:t>Que reclaman incansablemente al gobierno la solución de</w:t>
      </w:r>
      <w:r>
        <w:rPr>
          <w:spacing w:val="-44"/>
          <w:sz w:val="24"/>
        </w:rPr>
        <w:t> </w:t>
      </w:r>
      <w:r>
        <w:rPr>
          <w:sz w:val="24"/>
        </w:rPr>
        <w:t>sus demandas, apoyándose en las leyes, los organismos autónomos y los partidos políticos, como opción alterna cuando no reciben respuesta favorable del gobierno.</w:t>
      </w:r>
    </w:p>
    <w:p>
      <w:pPr>
        <w:pStyle w:val="BodyText"/>
      </w:pPr>
    </w:p>
    <w:p>
      <w:pPr>
        <w:pStyle w:val="BodyText"/>
        <w:spacing w:before="10"/>
        <w:rPr>
          <w:sz w:val="29"/>
        </w:rPr>
      </w:pPr>
    </w:p>
    <w:p>
      <w:pPr>
        <w:pStyle w:val="BodyText"/>
        <w:spacing w:line="360" w:lineRule="auto"/>
        <w:ind w:left="102" w:right="117"/>
        <w:jc w:val="both"/>
      </w:pPr>
      <w:r>
        <w:rPr/>
        <w:t>En este contexto, si se considera a la transparencia como un elemento del sistema democrático</w:t>
      </w:r>
      <w:r>
        <w:rPr>
          <w:spacing w:val="-9"/>
        </w:rPr>
        <w:t> </w:t>
      </w:r>
      <w:r>
        <w:rPr/>
        <w:t>que</w:t>
      </w:r>
      <w:r>
        <w:rPr>
          <w:spacing w:val="-8"/>
        </w:rPr>
        <w:t> </w:t>
      </w:r>
      <w:r>
        <w:rPr/>
        <w:t>cumple</w:t>
      </w:r>
      <w:r>
        <w:rPr>
          <w:spacing w:val="-9"/>
        </w:rPr>
        <w:t> </w:t>
      </w:r>
      <w:r>
        <w:rPr/>
        <w:t>el</w:t>
      </w:r>
      <w:r>
        <w:rPr>
          <w:spacing w:val="-10"/>
        </w:rPr>
        <w:t> </w:t>
      </w:r>
      <w:r>
        <w:rPr/>
        <w:t>rol</w:t>
      </w:r>
      <w:r>
        <w:rPr>
          <w:spacing w:val="-9"/>
        </w:rPr>
        <w:t> </w:t>
      </w:r>
      <w:r>
        <w:rPr/>
        <w:t>de</w:t>
      </w:r>
      <w:r>
        <w:rPr>
          <w:spacing w:val="-8"/>
        </w:rPr>
        <w:t> </w:t>
      </w:r>
      <w:r>
        <w:rPr/>
        <w:t>brindar</w:t>
      </w:r>
      <w:r>
        <w:rPr>
          <w:spacing w:val="-10"/>
        </w:rPr>
        <w:t> </w:t>
      </w:r>
      <w:r>
        <w:rPr/>
        <w:t>información</w:t>
      </w:r>
      <w:r>
        <w:rPr>
          <w:spacing w:val="-8"/>
        </w:rPr>
        <w:t> </w:t>
      </w:r>
      <w:r>
        <w:rPr/>
        <w:t>a</w:t>
      </w:r>
      <w:r>
        <w:rPr>
          <w:spacing w:val="-8"/>
        </w:rPr>
        <w:t> </w:t>
      </w:r>
      <w:r>
        <w:rPr/>
        <w:t>otros</w:t>
      </w:r>
      <w:r>
        <w:rPr>
          <w:spacing w:val="-9"/>
        </w:rPr>
        <w:t> </w:t>
      </w:r>
      <w:r>
        <w:rPr/>
        <w:t>elementos</w:t>
      </w:r>
      <w:r>
        <w:rPr>
          <w:spacing w:val="-9"/>
        </w:rPr>
        <w:t> </w:t>
      </w:r>
      <w:r>
        <w:rPr/>
        <w:t>del</w:t>
      </w:r>
      <w:r>
        <w:rPr>
          <w:spacing w:val="-10"/>
        </w:rPr>
        <w:t> </w:t>
      </w:r>
      <w:r>
        <w:rPr/>
        <w:t>sistema (Parsons, 2007), también se ve envuelta en múltiples interacciones con los otros actores, tales como la sociedad que reclama información y el gobierno, que no tienen manera de saber cuál es el uso que se le dará; los partidos políticos que ejercen</w:t>
      </w:r>
      <w:r>
        <w:rPr>
          <w:spacing w:val="-5"/>
        </w:rPr>
        <w:t> </w:t>
      </w:r>
      <w:r>
        <w:rPr/>
        <w:t>presiones</w:t>
      </w:r>
      <w:r>
        <w:rPr>
          <w:spacing w:val="-8"/>
        </w:rPr>
        <w:t> </w:t>
      </w:r>
      <w:r>
        <w:rPr/>
        <w:t>de</w:t>
      </w:r>
      <w:r>
        <w:rPr>
          <w:spacing w:val="-7"/>
        </w:rPr>
        <w:t> </w:t>
      </w:r>
      <w:r>
        <w:rPr/>
        <w:t>publicar</w:t>
      </w:r>
      <w:r>
        <w:rPr>
          <w:spacing w:val="-6"/>
        </w:rPr>
        <w:t> </w:t>
      </w:r>
      <w:r>
        <w:rPr/>
        <w:t>o</w:t>
      </w:r>
      <w:r>
        <w:rPr>
          <w:spacing w:val="-5"/>
        </w:rPr>
        <w:t> </w:t>
      </w:r>
      <w:r>
        <w:rPr/>
        <w:t>de</w:t>
      </w:r>
      <w:r>
        <w:rPr>
          <w:spacing w:val="-5"/>
        </w:rPr>
        <w:t> </w:t>
      </w:r>
      <w:r>
        <w:rPr/>
        <w:t>ocultar/maquillar</w:t>
      </w:r>
      <w:r>
        <w:rPr>
          <w:spacing w:val="-6"/>
        </w:rPr>
        <w:t> </w:t>
      </w:r>
      <w:r>
        <w:rPr/>
        <w:t>información</w:t>
      </w:r>
      <w:r>
        <w:rPr>
          <w:spacing w:val="-4"/>
        </w:rPr>
        <w:t> </w:t>
      </w:r>
      <w:r>
        <w:rPr/>
        <w:t>según</w:t>
      </w:r>
      <w:r>
        <w:rPr>
          <w:spacing w:val="-5"/>
        </w:rPr>
        <w:t> </w:t>
      </w:r>
      <w:r>
        <w:rPr/>
        <w:t>su</w:t>
      </w:r>
      <w:r>
        <w:rPr>
          <w:spacing w:val="-7"/>
        </w:rPr>
        <w:t> </w:t>
      </w:r>
      <w:r>
        <w:rPr/>
        <w:t>posición, los distintos grupos políticos que, bajo el pretexto de lealtad y de secrecía que les faculta la constitución, omiten hacer públicos los asuntos</w:t>
      </w:r>
      <w:r>
        <w:rPr>
          <w:spacing w:val="-22"/>
        </w:rPr>
        <w:t> </w:t>
      </w:r>
      <w:r>
        <w:rPr/>
        <w:t>gubernamentales.</w:t>
      </w:r>
    </w:p>
    <w:p>
      <w:pPr>
        <w:pStyle w:val="BodyText"/>
      </w:pPr>
    </w:p>
    <w:p>
      <w:pPr>
        <w:pStyle w:val="BodyText"/>
      </w:pPr>
    </w:p>
    <w:p>
      <w:pPr>
        <w:pStyle w:val="BodyText"/>
        <w:spacing w:line="360" w:lineRule="auto" w:before="185"/>
        <w:ind w:left="102" w:right="115"/>
        <w:jc w:val="both"/>
      </w:pPr>
      <w:r>
        <w:rPr/>
        <w:t>De</w:t>
      </w:r>
      <w:r>
        <w:rPr>
          <w:spacing w:val="-4"/>
        </w:rPr>
        <w:t> </w:t>
      </w:r>
      <w:r>
        <w:rPr/>
        <w:t>igual</w:t>
      </w:r>
      <w:r>
        <w:rPr>
          <w:spacing w:val="-5"/>
        </w:rPr>
        <w:t> </w:t>
      </w:r>
      <w:r>
        <w:rPr/>
        <w:t>manera</w:t>
      </w:r>
      <w:r>
        <w:rPr>
          <w:spacing w:val="-4"/>
        </w:rPr>
        <w:t> </w:t>
      </w:r>
      <w:r>
        <w:rPr/>
        <w:t>la</w:t>
      </w:r>
      <w:r>
        <w:rPr>
          <w:spacing w:val="-6"/>
        </w:rPr>
        <w:t> </w:t>
      </w:r>
      <w:r>
        <w:rPr/>
        <w:t>falta</w:t>
      </w:r>
      <w:r>
        <w:rPr>
          <w:spacing w:val="-4"/>
        </w:rPr>
        <w:t> </w:t>
      </w:r>
      <w:r>
        <w:rPr/>
        <w:t>de</w:t>
      </w:r>
      <w:r>
        <w:rPr>
          <w:spacing w:val="-4"/>
        </w:rPr>
        <w:t> </w:t>
      </w:r>
      <w:r>
        <w:rPr/>
        <w:t>una</w:t>
      </w:r>
      <w:r>
        <w:rPr>
          <w:spacing w:val="-4"/>
        </w:rPr>
        <w:t> </w:t>
      </w:r>
      <w:r>
        <w:rPr/>
        <w:t>cultura</w:t>
      </w:r>
      <w:r>
        <w:rPr>
          <w:spacing w:val="-4"/>
        </w:rPr>
        <w:t> </w:t>
      </w:r>
      <w:r>
        <w:rPr/>
        <w:t>cívica</w:t>
      </w:r>
      <w:r>
        <w:rPr>
          <w:spacing w:val="-4"/>
        </w:rPr>
        <w:t> </w:t>
      </w:r>
      <w:r>
        <w:rPr/>
        <w:t>que</w:t>
      </w:r>
      <w:r>
        <w:rPr>
          <w:spacing w:val="-4"/>
        </w:rPr>
        <w:t> </w:t>
      </w:r>
      <w:r>
        <w:rPr/>
        <w:t>genera</w:t>
      </w:r>
      <w:r>
        <w:rPr>
          <w:spacing w:val="-4"/>
        </w:rPr>
        <w:t> </w:t>
      </w:r>
      <w:r>
        <w:rPr/>
        <w:t>un</w:t>
      </w:r>
      <w:r>
        <w:rPr>
          <w:spacing w:val="-4"/>
        </w:rPr>
        <w:t> </w:t>
      </w:r>
      <w:r>
        <w:rPr/>
        <w:t>clima</w:t>
      </w:r>
      <w:r>
        <w:rPr>
          <w:spacing w:val="-6"/>
        </w:rPr>
        <w:t> </w:t>
      </w:r>
      <w:r>
        <w:rPr/>
        <w:t>de</w:t>
      </w:r>
      <w:r>
        <w:rPr>
          <w:spacing w:val="-4"/>
        </w:rPr>
        <w:t> </w:t>
      </w:r>
      <w:r>
        <w:rPr/>
        <w:t>desconfianza gobierno sociedad sobre la información que se solicita o proporciona y que puede comprometer ciertas acciones. Es por ello que el funcionamiento del sistema dependerá de su capacidad para adjudicar valores en la sociedad y lograr su aceptación, considerando que si sus autoridades no están en condiciones de satisfacer las demandas sociales habrá un descontento cada vez mayor en los ciudadanos (Easton,</w:t>
      </w:r>
      <w:r>
        <w:rPr>
          <w:spacing w:val="-10"/>
        </w:rPr>
        <w:t> </w:t>
      </w:r>
      <w:r>
        <w:rPr/>
        <w:t>1989).</w:t>
      </w:r>
    </w:p>
    <w:p>
      <w:pPr>
        <w:pStyle w:val="BodyText"/>
      </w:pPr>
    </w:p>
    <w:p>
      <w:pPr>
        <w:pStyle w:val="BodyText"/>
      </w:pPr>
    </w:p>
    <w:p>
      <w:pPr>
        <w:pStyle w:val="BodyText"/>
        <w:spacing w:line="360" w:lineRule="auto" w:before="188"/>
        <w:ind w:left="102" w:right="118"/>
        <w:jc w:val="both"/>
      </w:pPr>
      <w:r>
        <w:rPr/>
        <w:t>Es la conciencia de un sistema sobre su desempeño y su capacidad de medirse, monitorearse</w:t>
      </w:r>
      <w:r>
        <w:rPr>
          <w:spacing w:val="-10"/>
        </w:rPr>
        <w:t> </w:t>
      </w:r>
      <w:r>
        <w:rPr/>
        <w:t>y</w:t>
      </w:r>
      <w:r>
        <w:rPr>
          <w:spacing w:val="-10"/>
        </w:rPr>
        <w:t> </w:t>
      </w:r>
      <w:r>
        <w:rPr/>
        <w:t>gobernarse,</w:t>
      </w:r>
      <w:r>
        <w:rPr>
          <w:spacing w:val="-10"/>
        </w:rPr>
        <w:t> </w:t>
      </w:r>
      <w:r>
        <w:rPr/>
        <w:t>así</w:t>
      </w:r>
      <w:r>
        <w:rPr>
          <w:spacing w:val="-10"/>
        </w:rPr>
        <w:t> </w:t>
      </w:r>
      <w:r>
        <w:rPr/>
        <w:t>como</w:t>
      </w:r>
      <w:r>
        <w:rPr>
          <w:spacing w:val="-7"/>
        </w:rPr>
        <w:t> </w:t>
      </w:r>
      <w:r>
        <w:rPr/>
        <w:t>la</w:t>
      </w:r>
      <w:r>
        <w:rPr>
          <w:spacing w:val="-10"/>
        </w:rPr>
        <w:t> </w:t>
      </w:r>
      <w:r>
        <w:rPr/>
        <w:t>capacidad</w:t>
      </w:r>
      <w:r>
        <w:rPr>
          <w:spacing w:val="-7"/>
        </w:rPr>
        <w:t> </w:t>
      </w:r>
      <w:r>
        <w:rPr/>
        <w:t>y</w:t>
      </w:r>
      <w:r>
        <w:rPr>
          <w:spacing w:val="-10"/>
        </w:rPr>
        <w:t> </w:t>
      </w:r>
      <w:r>
        <w:rPr/>
        <w:t>disposición</w:t>
      </w:r>
      <w:r>
        <w:rPr>
          <w:spacing w:val="-9"/>
        </w:rPr>
        <w:t> </w:t>
      </w:r>
      <w:r>
        <w:rPr/>
        <w:t>para</w:t>
      </w:r>
      <w:r>
        <w:rPr>
          <w:spacing w:val="-7"/>
        </w:rPr>
        <w:t> </w:t>
      </w:r>
      <w:r>
        <w:rPr/>
        <w:t>compartir</w:t>
      </w:r>
      <w:r>
        <w:rPr>
          <w:spacing w:val="-8"/>
        </w:rPr>
        <w:t> </w:t>
      </w:r>
      <w:r>
        <w:rPr/>
        <w:t>esa información con los actores que son destinatarios de su desempeño y finalmente eligen  a  quienes  lo  administran.  La  transparencia  es,  en  sentido  orgánico,</w:t>
      </w:r>
      <w:r>
        <w:rPr>
          <w:spacing w:val="37"/>
        </w:rPr>
        <w:t> </w:t>
      </w:r>
      <w:r>
        <w:rPr/>
        <w:t>el</w:t>
      </w:r>
    </w:p>
    <w:p>
      <w:pPr>
        <w:spacing w:after="0" w:line="360" w:lineRule="auto"/>
        <w:jc w:val="both"/>
        <w:sectPr>
          <w:pgSz w:w="12240" w:h="15840"/>
          <w:pgMar w:header="0" w:footer="1035" w:top="1360" w:bottom="1220" w:left="1600" w:right="1580"/>
        </w:sectPr>
      </w:pPr>
    </w:p>
    <w:p>
      <w:pPr>
        <w:pStyle w:val="BodyText"/>
        <w:spacing w:line="360" w:lineRule="auto" w:before="54"/>
        <w:ind w:left="102" w:right="104"/>
        <w:jc w:val="both"/>
      </w:pPr>
      <w:r>
        <w:rPr/>
        <w:t>resultado de la operación de varios sistemas como los de planeación, presupuestación, control y evaluación, entre otros (Cantú </w:t>
      </w:r>
      <w:r>
        <w:rPr>
          <w:i/>
        </w:rPr>
        <w:t>et. al. </w:t>
      </w:r>
      <w:r>
        <w:rPr/>
        <w:t>2011).</w:t>
      </w:r>
    </w:p>
    <w:p>
      <w:pPr>
        <w:pStyle w:val="BodyText"/>
      </w:pPr>
    </w:p>
    <w:p>
      <w:pPr>
        <w:pStyle w:val="BodyText"/>
      </w:pPr>
    </w:p>
    <w:p>
      <w:pPr>
        <w:pStyle w:val="BodyText"/>
        <w:spacing w:line="360" w:lineRule="auto" w:before="187"/>
        <w:ind w:left="102" w:right="100"/>
        <w:jc w:val="both"/>
      </w:pPr>
      <w:r>
        <w:rPr/>
        <w:t>Se debe recordar que la obstrucción, el bloqueo y la oposición frenan el avance de las</w:t>
      </w:r>
      <w:r>
        <w:rPr>
          <w:spacing w:val="-14"/>
        </w:rPr>
        <w:t> </w:t>
      </w:r>
      <w:r>
        <w:rPr/>
        <w:t>instituciones</w:t>
      </w:r>
      <w:r>
        <w:rPr>
          <w:spacing w:val="-17"/>
        </w:rPr>
        <w:t> </w:t>
      </w:r>
      <w:r>
        <w:rPr/>
        <w:t>de</w:t>
      </w:r>
      <w:r>
        <w:rPr>
          <w:spacing w:val="-14"/>
        </w:rPr>
        <w:t> </w:t>
      </w:r>
      <w:r>
        <w:rPr/>
        <w:t>transparencia.</w:t>
      </w:r>
      <w:r>
        <w:rPr>
          <w:spacing w:val="-17"/>
        </w:rPr>
        <w:t> </w:t>
      </w:r>
      <w:r>
        <w:rPr/>
        <w:t>Es</w:t>
      </w:r>
      <w:r>
        <w:rPr>
          <w:spacing w:val="-17"/>
        </w:rPr>
        <w:t> </w:t>
      </w:r>
      <w:r>
        <w:rPr/>
        <w:t>necesario</w:t>
      </w:r>
      <w:r>
        <w:rPr>
          <w:spacing w:val="-14"/>
        </w:rPr>
        <w:t> </w:t>
      </w:r>
      <w:r>
        <w:rPr/>
        <w:t>tutelar</w:t>
      </w:r>
      <w:r>
        <w:rPr>
          <w:spacing w:val="-15"/>
        </w:rPr>
        <w:t> </w:t>
      </w:r>
      <w:r>
        <w:rPr/>
        <w:t>la</w:t>
      </w:r>
      <w:r>
        <w:rPr>
          <w:spacing w:val="-17"/>
        </w:rPr>
        <w:t> </w:t>
      </w:r>
      <w:r>
        <w:rPr/>
        <w:t>calidad</w:t>
      </w:r>
      <w:r>
        <w:rPr>
          <w:spacing w:val="-17"/>
        </w:rPr>
        <w:t> </w:t>
      </w:r>
      <w:r>
        <w:rPr/>
        <w:t>de</w:t>
      </w:r>
      <w:r>
        <w:rPr>
          <w:spacing w:val="-19"/>
        </w:rPr>
        <w:t> </w:t>
      </w:r>
      <w:r>
        <w:rPr/>
        <w:t>las</w:t>
      </w:r>
      <w:r>
        <w:rPr>
          <w:spacing w:val="-14"/>
        </w:rPr>
        <w:t> </w:t>
      </w:r>
      <w:r>
        <w:rPr/>
        <w:t>instituciones y los procesos de la transparencia. La magnitud del esfuerzo y las dificultades</w:t>
      </w:r>
      <w:r>
        <w:rPr>
          <w:spacing w:val="-40"/>
        </w:rPr>
        <w:t> </w:t>
      </w:r>
      <w:r>
        <w:rPr/>
        <w:t>para avanzar no pueden oscurecer el hecho de que la calidad de las instituciones y procesos de transparencia deben evaluarse cándidamente y que esta evaluación no es local (es decir, que ataña a una ley y un conjunto reducido de instituciones), sino que debe verse como un atributo sistémico (Cantú </w:t>
      </w:r>
      <w:r>
        <w:rPr>
          <w:i/>
        </w:rPr>
        <w:t>et. al.</w:t>
      </w:r>
      <w:r>
        <w:rPr>
          <w:i/>
          <w:spacing w:val="-20"/>
        </w:rPr>
        <w:t> </w:t>
      </w:r>
      <w:r>
        <w:rPr/>
        <w:t>2011).</w:t>
      </w:r>
    </w:p>
    <w:p>
      <w:pPr>
        <w:pStyle w:val="BodyText"/>
      </w:pPr>
    </w:p>
    <w:p>
      <w:pPr>
        <w:pStyle w:val="BodyText"/>
      </w:pPr>
    </w:p>
    <w:p>
      <w:pPr>
        <w:pStyle w:val="BodyText"/>
        <w:spacing w:before="4"/>
        <w:rPr>
          <w:sz w:val="23"/>
        </w:rPr>
      </w:pPr>
    </w:p>
    <w:p>
      <w:pPr>
        <w:pStyle w:val="Heading1"/>
        <w:numPr>
          <w:ilvl w:val="0"/>
          <w:numId w:val="22"/>
        </w:numPr>
        <w:tabs>
          <w:tab w:pos="529" w:val="left" w:leader="none"/>
          <w:tab w:pos="530" w:val="left" w:leader="none"/>
        </w:tabs>
        <w:spacing w:line="360" w:lineRule="auto" w:before="0" w:after="0"/>
        <w:ind w:left="529" w:right="329" w:hanging="360"/>
        <w:jc w:val="left"/>
      </w:pPr>
      <w:r>
        <w:rPr/>
        <w:t>Como el de una herramienta que permite mejorar la eficacia y eficiencia del gobierno</w:t>
      </w:r>
    </w:p>
    <w:p>
      <w:pPr>
        <w:pStyle w:val="BodyText"/>
        <w:rPr>
          <w:b/>
        </w:rPr>
      </w:pPr>
    </w:p>
    <w:p>
      <w:pPr>
        <w:pStyle w:val="BodyText"/>
        <w:spacing w:before="3"/>
        <w:rPr>
          <w:b/>
          <w:sz w:val="26"/>
        </w:rPr>
      </w:pPr>
    </w:p>
    <w:p>
      <w:pPr>
        <w:pStyle w:val="BodyText"/>
        <w:spacing w:line="360" w:lineRule="auto" w:before="1"/>
        <w:ind w:left="102" w:right="98"/>
        <w:jc w:val="both"/>
      </w:pPr>
      <w:r>
        <w:rPr/>
        <w:t>Este enfoque parte de la premisa de que la transparencia contribuye a mejorar la eficiencia gubernamental, ya que se impide el desvío de funciones de la</w:t>
      </w:r>
      <w:r>
        <w:rPr>
          <w:spacing w:val="-33"/>
        </w:rPr>
        <w:t> </w:t>
      </w:r>
      <w:r>
        <w:rPr/>
        <w:t>burocracia (Vergara, 2005). Para que tenga mayores posibilidades de éxito, es deseable que esté vinculada con la modernización administrativa del gobierno respectivo que haya decidido impulsarla (Barrera,</w:t>
      </w:r>
      <w:r>
        <w:rPr>
          <w:spacing w:val="-15"/>
        </w:rPr>
        <w:t> </w:t>
      </w:r>
      <w:r>
        <w:rPr/>
        <w:t>2010).</w:t>
      </w:r>
    </w:p>
    <w:p>
      <w:pPr>
        <w:pStyle w:val="BodyText"/>
      </w:pPr>
    </w:p>
    <w:p>
      <w:pPr>
        <w:pStyle w:val="BodyText"/>
      </w:pPr>
    </w:p>
    <w:p>
      <w:pPr>
        <w:pStyle w:val="BodyText"/>
        <w:spacing w:line="360" w:lineRule="auto" w:before="185"/>
        <w:ind w:left="102" w:right="99"/>
        <w:jc w:val="both"/>
      </w:pPr>
      <w:r>
        <w:rPr/>
        <w:t>Guerrero (2008) por su parte señala que con una política de transparencia gana el público, pero también gana el gobierno, pues a través de la publicidad de sus acciones se pone en marcha un mecanismo de rendición de cuentas que expone su</w:t>
      </w:r>
      <w:r>
        <w:rPr>
          <w:spacing w:val="-6"/>
        </w:rPr>
        <w:t> </w:t>
      </w:r>
      <w:r>
        <w:rPr/>
        <w:t>gestión</w:t>
      </w:r>
      <w:r>
        <w:rPr>
          <w:spacing w:val="-8"/>
        </w:rPr>
        <w:t> </w:t>
      </w:r>
      <w:r>
        <w:rPr/>
        <w:t>a</w:t>
      </w:r>
      <w:r>
        <w:rPr>
          <w:spacing w:val="-6"/>
        </w:rPr>
        <w:t> </w:t>
      </w:r>
      <w:r>
        <w:rPr/>
        <w:t>la</w:t>
      </w:r>
      <w:r>
        <w:rPr>
          <w:spacing w:val="-9"/>
        </w:rPr>
        <w:t> </w:t>
      </w:r>
      <w:r>
        <w:rPr/>
        <w:t>crítica</w:t>
      </w:r>
      <w:r>
        <w:rPr>
          <w:spacing w:val="-6"/>
        </w:rPr>
        <w:t> </w:t>
      </w:r>
      <w:r>
        <w:rPr/>
        <w:t>y</w:t>
      </w:r>
      <w:r>
        <w:rPr>
          <w:spacing w:val="-7"/>
        </w:rPr>
        <w:t> </w:t>
      </w:r>
      <w:r>
        <w:rPr/>
        <w:t>deliberación</w:t>
      </w:r>
      <w:r>
        <w:rPr>
          <w:spacing w:val="-8"/>
        </w:rPr>
        <w:t> </w:t>
      </w:r>
      <w:r>
        <w:rPr/>
        <w:t>públicas,</w:t>
      </w:r>
      <w:r>
        <w:rPr>
          <w:spacing w:val="-9"/>
        </w:rPr>
        <w:t> </w:t>
      </w:r>
      <w:r>
        <w:rPr/>
        <w:t>con</w:t>
      </w:r>
      <w:r>
        <w:rPr>
          <w:spacing w:val="-6"/>
        </w:rPr>
        <w:t> </w:t>
      </w:r>
      <w:r>
        <w:rPr/>
        <w:t>lo</w:t>
      </w:r>
      <w:r>
        <w:rPr>
          <w:spacing w:val="-6"/>
        </w:rPr>
        <w:t> </w:t>
      </w:r>
      <w:r>
        <w:rPr/>
        <w:t>que</w:t>
      </w:r>
      <w:r>
        <w:rPr>
          <w:spacing w:val="-6"/>
        </w:rPr>
        <w:t> </w:t>
      </w:r>
      <w:r>
        <w:rPr/>
        <w:t>se</w:t>
      </w:r>
      <w:r>
        <w:rPr>
          <w:spacing w:val="-8"/>
        </w:rPr>
        <w:t> </w:t>
      </w:r>
      <w:r>
        <w:rPr/>
        <w:t>eleva</w:t>
      </w:r>
      <w:r>
        <w:rPr>
          <w:spacing w:val="-6"/>
        </w:rPr>
        <w:t> </w:t>
      </w:r>
      <w:r>
        <w:rPr/>
        <w:t>la</w:t>
      </w:r>
      <w:r>
        <w:rPr>
          <w:spacing w:val="-9"/>
        </w:rPr>
        <w:t> </w:t>
      </w:r>
      <w:r>
        <w:rPr/>
        <w:t>probabilidad</w:t>
      </w:r>
      <w:r>
        <w:rPr>
          <w:spacing w:val="-8"/>
        </w:rPr>
        <w:t> </w:t>
      </w:r>
      <w:r>
        <w:rPr/>
        <w:t>de detectar errores y, a su vez, de prevenirlos o corregirlos. Al final, lo que tendremos será una gestión gubernamental de mejor calidad. Por su parte Cabrero (2002) señala que la transparencia permite establecer marcos de medición y</w:t>
      </w:r>
      <w:r>
        <w:rPr>
          <w:spacing w:val="-20"/>
        </w:rPr>
        <w:t> </w:t>
      </w:r>
      <w:r>
        <w:rPr/>
        <w:t>comparación</w:t>
      </w:r>
    </w:p>
    <w:p>
      <w:pPr>
        <w:spacing w:after="0" w:line="360" w:lineRule="auto"/>
        <w:jc w:val="both"/>
        <w:sectPr>
          <w:pgSz w:w="12240" w:h="15840"/>
          <w:pgMar w:header="0" w:footer="1035" w:top="1360" w:bottom="1220" w:left="1600" w:right="1600"/>
        </w:sectPr>
      </w:pPr>
    </w:p>
    <w:p>
      <w:pPr>
        <w:pStyle w:val="BodyText"/>
        <w:spacing w:line="362" w:lineRule="auto" w:before="54"/>
        <w:ind w:left="122" w:right="128"/>
        <w:jc w:val="both"/>
      </w:pPr>
      <w:r>
        <w:rPr/>
        <w:t>del desempeño y evitar la duplicación de funciones con lo que se contribuye a una mayor eficiencia gubernamental.</w:t>
      </w:r>
    </w:p>
    <w:p>
      <w:pPr>
        <w:pStyle w:val="BodyText"/>
      </w:pPr>
    </w:p>
    <w:p>
      <w:pPr>
        <w:pStyle w:val="BodyText"/>
      </w:pPr>
    </w:p>
    <w:p>
      <w:pPr>
        <w:pStyle w:val="BodyText"/>
        <w:spacing w:line="360" w:lineRule="auto" w:before="182"/>
        <w:ind w:left="122" w:right="113"/>
        <w:jc w:val="both"/>
      </w:pPr>
      <w:r>
        <w:rPr/>
        <w:t>La transparencia puede contribuir a la construcción de un gobierno más eficiente si se</w:t>
      </w:r>
      <w:r>
        <w:rPr>
          <w:spacing w:val="-7"/>
        </w:rPr>
        <w:t> </w:t>
      </w:r>
      <w:r>
        <w:rPr/>
        <w:t>considera</w:t>
      </w:r>
      <w:r>
        <w:rPr>
          <w:spacing w:val="-9"/>
        </w:rPr>
        <w:t> </w:t>
      </w:r>
      <w:r>
        <w:rPr/>
        <w:t>la</w:t>
      </w:r>
      <w:r>
        <w:rPr>
          <w:spacing w:val="-9"/>
        </w:rPr>
        <w:t> </w:t>
      </w:r>
      <w:r>
        <w:rPr/>
        <w:t>revisión</w:t>
      </w:r>
      <w:r>
        <w:rPr>
          <w:spacing w:val="-5"/>
        </w:rPr>
        <w:t> </w:t>
      </w:r>
      <w:r>
        <w:rPr/>
        <w:t>de</w:t>
      </w:r>
      <w:r>
        <w:rPr>
          <w:spacing w:val="-7"/>
        </w:rPr>
        <w:t> </w:t>
      </w:r>
      <w:r>
        <w:rPr/>
        <w:t>la</w:t>
      </w:r>
      <w:r>
        <w:rPr>
          <w:spacing w:val="-11"/>
        </w:rPr>
        <w:t> </w:t>
      </w:r>
      <w:r>
        <w:rPr/>
        <w:t>fontanería</w:t>
      </w:r>
      <w:r>
        <w:rPr>
          <w:spacing w:val="-8"/>
        </w:rPr>
        <w:t> </w:t>
      </w:r>
      <w:r>
        <w:rPr/>
        <w:t>democrática</w:t>
      </w:r>
      <w:r>
        <w:rPr>
          <w:spacing w:val="-7"/>
        </w:rPr>
        <w:t> </w:t>
      </w:r>
      <w:r>
        <w:rPr/>
        <w:t>(Merino,</w:t>
      </w:r>
      <w:r>
        <w:rPr>
          <w:spacing w:val="-9"/>
        </w:rPr>
        <w:t> </w:t>
      </w:r>
      <w:r>
        <w:rPr/>
        <w:t>2007).</w:t>
      </w:r>
      <w:r>
        <w:rPr>
          <w:spacing w:val="-8"/>
        </w:rPr>
        <w:t> </w:t>
      </w:r>
      <w:r>
        <w:rPr/>
        <w:t>En</w:t>
      </w:r>
      <w:r>
        <w:rPr>
          <w:spacing w:val="-8"/>
        </w:rPr>
        <w:t> </w:t>
      </w:r>
      <w:r>
        <w:rPr/>
        <w:t>caso</w:t>
      </w:r>
      <w:r>
        <w:rPr>
          <w:spacing w:val="-8"/>
        </w:rPr>
        <w:t> </w:t>
      </w:r>
      <w:r>
        <w:rPr/>
        <w:t>de</w:t>
      </w:r>
      <w:r>
        <w:rPr>
          <w:spacing w:val="-8"/>
        </w:rPr>
        <w:t> </w:t>
      </w:r>
      <w:r>
        <w:rPr/>
        <w:t>no considerar las particularidades de cada municipio los incrementos presupuestales serán</w:t>
      </w:r>
      <w:r>
        <w:rPr>
          <w:spacing w:val="-9"/>
        </w:rPr>
        <w:t> </w:t>
      </w:r>
      <w:r>
        <w:rPr/>
        <w:t>incapaces</w:t>
      </w:r>
      <w:r>
        <w:rPr>
          <w:spacing w:val="-10"/>
        </w:rPr>
        <w:t> </w:t>
      </w:r>
      <w:r>
        <w:rPr/>
        <w:t>de</w:t>
      </w:r>
      <w:r>
        <w:rPr>
          <w:spacing w:val="-9"/>
        </w:rPr>
        <w:t> </w:t>
      </w:r>
      <w:r>
        <w:rPr/>
        <w:t>mejorar</w:t>
      </w:r>
      <w:r>
        <w:rPr>
          <w:spacing w:val="-11"/>
        </w:rPr>
        <w:t> </w:t>
      </w:r>
      <w:r>
        <w:rPr/>
        <w:t>la</w:t>
      </w:r>
      <w:r>
        <w:rPr>
          <w:spacing w:val="-10"/>
        </w:rPr>
        <w:t> </w:t>
      </w:r>
      <w:r>
        <w:rPr/>
        <w:t>gestión,</w:t>
      </w:r>
      <w:r>
        <w:rPr>
          <w:spacing w:val="-10"/>
        </w:rPr>
        <w:t> </w:t>
      </w:r>
      <w:r>
        <w:rPr/>
        <w:t>mostrándose</w:t>
      </w:r>
      <w:r>
        <w:rPr>
          <w:spacing w:val="-9"/>
        </w:rPr>
        <w:t> </w:t>
      </w:r>
      <w:r>
        <w:rPr/>
        <w:t>un</w:t>
      </w:r>
      <w:r>
        <w:rPr>
          <w:spacing w:val="-9"/>
        </w:rPr>
        <w:t> </w:t>
      </w:r>
      <w:r>
        <w:rPr/>
        <w:t>problema</w:t>
      </w:r>
      <w:r>
        <w:rPr>
          <w:spacing w:val="-9"/>
        </w:rPr>
        <w:t> </w:t>
      </w:r>
      <w:r>
        <w:rPr/>
        <w:t>caracterizado</w:t>
      </w:r>
      <w:r>
        <w:rPr>
          <w:spacing w:val="-9"/>
        </w:rPr>
        <w:t> </w:t>
      </w:r>
      <w:r>
        <w:rPr/>
        <w:t>por la incongruencia entre mayor presupuesto y menor transparencia (Pardiñas y Granados,</w:t>
      </w:r>
      <w:r>
        <w:rPr>
          <w:spacing w:val="-7"/>
        </w:rPr>
        <w:t> </w:t>
      </w:r>
      <w:r>
        <w:rPr/>
        <w:t>2012).</w:t>
      </w:r>
    </w:p>
    <w:p>
      <w:pPr>
        <w:pStyle w:val="BodyText"/>
      </w:pPr>
    </w:p>
    <w:p>
      <w:pPr>
        <w:pStyle w:val="BodyText"/>
      </w:pPr>
    </w:p>
    <w:p>
      <w:pPr>
        <w:pStyle w:val="BodyText"/>
        <w:spacing w:line="360" w:lineRule="auto" w:before="185"/>
        <w:ind w:left="122" w:right="117"/>
        <w:jc w:val="both"/>
      </w:pPr>
      <w:r>
        <w:rPr/>
        <w:t>De igual manera, la falta de transparencia mantiene un sistema de gobierno burocrático</w:t>
      </w:r>
      <w:r>
        <w:rPr>
          <w:spacing w:val="-6"/>
        </w:rPr>
        <w:t> </w:t>
      </w:r>
      <w:r>
        <w:rPr/>
        <w:t>incapaz</w:t>
      </w:r>
      <w:r>
        <w:rPr>
          <w:spacing w:val="-7"/>
        </w:rPr>
        <w:t> </w:t>
      </w:r>
      <w:r>
        <w:rPr/>
        <w:t>de</w:t>
      </w:r>
      <w:r>
        <w:rPr>
          <w:spacing w:val="-6"/>
        </w:rPr>
        <w:t> </w:t>
      </w:r>
      <w:r>
        <w:rPr/>
        <w:t>agilizar</w:t>
      </w:r>
      <w:r>
        <w:rPr>
          <w:spacing w:val="-5"/>
        </w:rPr>
        <w:t> </w:t>
      </w:r>
      <w:r>
        <w:rPr/>
        <w:t>los</w:t>
      </w:r>
      <w:r>
        <w:rPr>
          <w:spacing w:val="-4"/>
        </w:rPr>
        <w:t> </w:t>
      </w:r>
      <w:r>
        <w:rPr/>
        <w:t>trámites</w:t>
      </w:r>
      <w:r>
        <w:rPr>
          <w:spacing w:val="-7"/>
        </w:rPr>
        <w:t> </w:t>
      </w:r>
      <w:r>
        <w:rPr/>
        <w:t>de</w:t>
      </w:r>
      <w:r>
        <w:rPr>
          <w:spacing w:val="-6"/>
        </w:rPr>
        <w:t> </w:t>
      </w:r>
      <w:r>
        <w:rPr/>
        <w:t>la</w:t>
      </w:r>
      <w:r>
        <w:rPr>
          <w:spacing w:val="-4"/>
        </w:rPr>
        <w:t> </w:t>
      </w:r>
      <w:r>
        <w:rPr/>
        <w:t>sociedad,</w:t>
      </w:r>
      <w:r>
        <w:rPr>
          <w:spacing w:val="-6"/>
        </w:rPr>
        <w:t> </w:t>
      </w:r>
      <w:r>
        <w:rPr/>
        <w:t>aún</w:t>
      </w:r>
      <w:r>
        <w:rPr>
          <w:spacing w:val="-6"/>
        </w:rPr>
        <w:t> </w:t>
      </w:r>
      <w:r>
        <w:rPr/>
        <w:t>en</w:t>
      </w:r>
      <w:r>
        <w:rPr>
          <w:spacing w:val="-6"/>
        </w:rPr>
        <w:t> </w:t>
      </w:r>
      <w:r>
        <w:rPr/>
        <w:t>áreas</w:t>
      </w:r>
      <w:r>
        <w:rPr>
          <w:spacing w:val="-7"/>
        </w:rPr>
        <w:t> </w:t>
      </w:r>
      <w:r>
        <w:rPr/>
        <w:t>prioritarias como</w:t>
      </w:r>
      <w:r>
        <w:rPr>
          <w:spacing w:val="-13"/>
        </w:rPr>
        <w:t> </w:t>
      </w:r>
      <w:r>
        <w:rPr/>
        <w:t>la</w:t>
      </w:r>
      <w:r>
        <w:rPr>
          <w:spacing w:val="-16"/>
        </w:rPr>
        <w:t> </w:t>
      </w:r>
      <w:r>
        <w:rPr/>
        <w:t>de</w:t>
      </w:r>
      <w:r>
        <w:rPr>
          <w:spacing w:val="-12"/>
        </w:rPr>
        <w:t> </w:t>
      </w:r>
      <w:r>
        <w:rPr/>
        <w:t>salud,</w:t>
      </w:r>
      <w:r>
        <w:rPr>
          <w:spacing w:val="-13"/>
        </w:rPr>
        <w:t> </w:t>
      </w:r>
      <w:r>
        <w:rPr/>
        <w:t>lo</w:t>
      </w:r>
      <w:r>
        <w:rPr>
          <w:spacing w:val="-13"/>
        </w:rPr>
        <w:t> </w:t>
      </w:r>
      <w:r>
        <w:rPr/>
        <w:t>cual</w:t>
      </w:r>
      <w:r>
        <w:rPr>
          <w:spacing w:val="-14"/>
        </w:rPr>
        <w:t> </w:t>
      </w:r>
      <w:r>
        <w:rPr/>
        <w:t>se</w:t>
      </w:r>
      <w:r>
        <w:rPr>
          <w:spacing w:val="-13"/>
        </w:rPr>
        <w:t> </w:t>
      </w:r>
      <w:r>
        <w:rPr/>
        <w:t>vio</w:t>
      </w:r>
      <w:r>
        <w:rPr>
          <w:spacing w:val="-13"/>
        </w:rPr>
        <w:t> </w:t>
      </w:r>
      <w:r>
        <w:rPr/>
        <w:t>reflejado</w:t>
      </w:r>
      <w:r>
        <w:rPr>
          <w:spacing w:val="-13"/>
        </w:rPr>
        <w:t> </w:t>
      </w:r>
      <w:r>
        <w:rPr/>
        <w:t>con</w:t>
      </w:r>
      <w:r>
        <w:rPr>
          <w:spacing w:val="-13"/>
        </w:rPr>
        <w:t> </w:t>
      </w:r>
      <w:r>
        <w:rPr/>
        <w:t>la</w:t>
      </w:r>
      <w:r>
        <w:rPr>
          <w:spacing w:val="-13"/>
        </w:rPr>
        <w:t> </w:t>
      </w:r>
      <w:r>
        <w:rPr/>
        <w:t>participación</w:t>
      </w:r>
      <w:r>
        <w:rPr>
          <w:spacing w:val="-13"/>
        </w:rPr>
        <w:t> </w:t>
      </w:r>
      <w:r>
        <w:rPr/>
        <w:t>de</w:t>
      </w:r>
      <w:r>
        <w:rPr>
          <w:spacing w:val="-16"/>
        </w:rPr>
        <w:t> </w:t>
      </w:r>
      <w:r>
        <w:rPr/>
        <w:t>20,000</w:t>
      </w:r>
      <w:r>
        <w:rPr>
          <w:spacing w:val="-13"/>
        </w:rPr>
        <w:t> </w:t>
      </w:r>
      <w:r>
        <w:rPr/>
        <w:t>mil</w:t>
      </w:r>
      <w:r>
        <w:rPr>
          <w:spacing w:val="-15"/>
        </w:rPr>
        <w:t> </w:t>
      </w:r>
      <w:r>
        <w:rPr/>
        <w:t>personas en</w:t>
      </w:r>
      <w:r>
        <w:rPr>
          <w:spacing w:val="-7"/>
        </w:rPr>
        <w:t> </w:t>
      </w:r>
      <w:r>
        <w:rPr/>
        <w:t>la</w:t>
      </w:r>
      <w:r>
        <w:rPr>
          <w:spacing w:val="-7"/>
        </w:rPr>
        <w:t> </w:t>
      </w:r>
      <w:r>
        <w:rPr/>
        <w:t>convocatoria</w:t>
      </w:r>
      <w:r>
        <w:rPr>
          <w:spacing w:val="-7"/>
        </w:rPr>
        <w:t> </w:t>
      </w:r>
      <w:r>
        <w:rPr/>
        <w:t>“El</w:t>
      </w:r>
      <w:r>
        <w:rPr>
          <w:spacing w:val="-8"/>
        </w:rPr>
        <w:t> </w:t>
      </w:r>
      <w:r>
        <w:rPr/>
        <w:t>trámite</w:t>
      </w:r>
      <w:r>
        <w:rPr>
          <w:spacing w:val="-9"/>
        </w:rPr>
        <w:t> </w:t>
      </w:r>
      <w:r>
        <w:rPr/>
        <w:t>más</w:t>
      </w:r>
      <w:r>
        <w:rPr>
          <w:spacing w:val="-8"/>
        </w:rPr>
        <w:t> </w:t>
      </w:r>
      <w:r>
        <w:rPr/>
        <w:t>inútil</w:t>
      </w:r>
      <w:r>
        <w:rPr>
          <w:spacing w:val="-8"/>
        </w:rPr>
        <w:t> </w:t>
      </w:r>
      <w:r>
        <w:rPr/>
        <w:t>del</w:t>
      </w:r>
      <w:r>
        <w:rPr>
          <w:spacing w:val="-8"/>
        </w:rPr>
        <w:t> </w:t>
      </w:r>
      <w:r>
        <w:rPr/>
        <w:t>mundo”</w:t>
      </w:r>
      <w:r>
        <w:rPr>
          <w:spacing w:val="-8"/>
        </w:rPr>
        <w:t> </w:t>
      </w:r>
      <w:r>
        <w:rPr/>
        <w:t>emitida</w:t>
      </w:r>
      <w:r>
        <w:rPr>
          <w:spacing w:val="-7"/>
        </w:rPr>
        <w:t> </w:t>
      </w:r>
      <w:r>
        <w:rPr/>
        <w:t>por</w:t>
      </w:r>
      <w:r>
        <w:rPr>
          <w:spacing w:val="-8"/>
        </w:rPr>
        <w:t> </w:t>
      </w:r>
      <w:r>
        <w:rPr/>
        <w:t>el</w:t>
      </w:r>
      <w:r>
        <w:rPr>
          <w:spacing w:val="-8"/>
        </w:rPr>
        <w:t> </w:t>
      </w:r>
      <w:r>
        <w:rPr/>
        <w:t>Presidente</w:t>
      </w:r>
      <w:r>
        <w:rPr>
          <w:spacing w:val="-7"/>
        </w:rPr>
        <w:t> </w:t>
      </w:r>
      <w:r>
        <w:rPr/>
        <w:t>Felipe Calderón Hinojosa en el año 2009, en la que el IMSS se llevó el premio por su trámite de surtimiento de medicamentos que pasa por ocho manos antes de llegar a los</w:t>
      </w:r>
      <w:r>
        <w:rPr>
          <w:spacing w:val="-7"/>
        </w:rPr>
        <w:t> </w:t>
      </w:r>
      <w:r>
        <w:rPr/>
        <w:t>ciudadanos</w:t>
      </w:r>
      <w:r>
        <w:rPr>
          <w:position w:val="8"/>
          <w:sz w:val="16"/>
        </w:rPr>
        <w:t>16</w:t>
      </w:r>
      <w:r>
        <w:rPr/>
        <w:t>.</w:t>
      </w:r>
    </w:p>
    <w:p>
      <w:pPr>
        <w:pStyle w:val="BodyText"/>
        <w:rPr>
          <w:sz w:val="26"/>
        </w:rPr>
      </w:pPr>
    </w:p>
    <w:p>
      <w:pPr>
        <w:pStyle w:val="BodyText"/>
        <w:rPr>
          <w:sz w:val="26"/>
        </w:rPr>
      </w:pPr>
    </w:p>
    <w:p>
      <w:pPr>
        <w:pStyle w:val="Heading1"/>
        <w:numPr>
          <w:ilvl w:val="0"/>
          <w:numId w:val="22"/>
        </w:numPr>
        <w:tabs>
          <w:tab w:pos="550" w:val="left" w:leader="none"/>
        </w:tabs>
        <w:spacing w:line="240" w:lineRule="auto" w:before="176" w:after="0"/>
        <w:ind w:left="549" w:right="0" w:hanging="360"/>
        <w:jc w:val="both"/>
      </w:pPr>
      <w:r>
        <w:rPr/>
        <w:t>Como valor ético que combate la</w:t>
      </w:r>
      <w:r>
        <w:rPr>
          <w:spacing w:val="-10"/>
        </w:rPr>
        <w:t> </w:t>
      </w:r>
      <w:r>
        <w:rPr/>
        <w:t>corrupción.</w:t>
      </w:r>
    </w:p>
    <w:p>
      <w:pPr>
        <w:pStyle w:val="BodyText"/>
        <w:rPr>
          <w:b/>
        </w:rPr>
      </w:pPr>
    </w:p>
    <w:p>
      <w:pPr>
        <w:pStyle w:val="BodyText"/>
        <w:rPr>
          <w:b/>
        </w:rPr>
      </w:pPr>
    </w:p>
    <w:p>
      <w:pPr>
        <w:pStyle w:val="BodyText"/>
        <w:spacing w:line="360" w:lineRule="auto" w:before="158"/>
        <w:ind w:left="122" w:right="117"/>
        <w:jc w:val="both"/>
      </w:pPr>
      <w:r>
        <w:rPr/>
        <w:t>Uno de los grandes problemas de la transparencia en México es la politización del servicio público que se ha dado a lo largo de varios años, provocando una gran corrupción entre servidores públicos y los políticos, lo cual ha contribuido a desmoralizar y a desacreditar al sector público, trayendo además el empobrecimiento del Estado, destruyendo el apoyo y la respetabilidad del sector público (Naessens, 2010).</w:t>
      </w:r>
    </w:p>
    <w:p>
      <w:pPr>
        <w:pStyle w:val="BodyText"/>
        <w:rPr>
          <w:sz w:val="20"/>
        </w:rPr>
      </w:pPr>
    </w:p>
    <w:p>
      <w:pPr>
        <w:pStyle w:val="BodyText"/>
        <w:spacing w:before="10"/>
        <w:rPr>
          <w:sz w:val="28"/>
        </w:rPr>
      </w:pPr>
      <w:r>
        <w:rPr/>
        <w:pict>
          <v:line style="position:absolute;mso-position-horizontal-relative:page;mso-position-vertical-relative:paragraph;z-index:3112;mso-wrap-distance-left:0;mso-wrap-distance-right:0" from="85.103996pt,18.970896pt" to="229.123996pt,18.970896pt" stroked="true" strokeweight=".71997pt" strokecolor="#000000">
            <w10:wrap type="topAndBottom"/>
          </v:line>
        </w:pict>
      </w:r>
    </w:p>
    <w:p>
      <w:pPr>
        <w:spacing w:before="64"/>
        <w:ind w:left="122" w:right="325" w:firstLine="0"/>
        <w:jc w:val="left"/>
        <w:rPr>
          <w:rFonts w:ascii="Times New Roman" w:hAnsi="Times New Roman"/>
          <w:sz w:val="16"/>
        </w:rPr>
      </w:pPr>
      <w:r>
        <w:rPr>
          <w:rFonts w:ascii="Times New Roman" w:hAnsi="Times New Roman"/>
          <w:position w:val="6"/>
          <w:sz w:val="10"/>
        </w:rPr>
        <w:t>16</w:t>
      </w:r>
      <w:r>
        <w:rPr>
          <w:rFonts w:ascii="Times New Roman" w:hAnsi="Times New Roman"/>
          <w:sz w:val="16"/>
        </w:rPr>
        <w:t>El trámite más inútil. Disponible en: </w:t>
      </w:r>
      <w:hyperlink r:id="rId30">
        <w:r>
          <w:rPr>
            <w:rFonts w:ascii="Times New Roman" w:hAnsi="Times New Roman"/>
            <w:color w:val="0462C1"/>
            <w:sz w:val="16"/>
            <w:u w:val="single" w:color="0462C1"/>
          </w:rPr>
          <w:t>http://eleconomista.com.mx/politica/2009/01/08/imss-se-lleva-tramite-mas-inutil </w:t>
        </w:r>
      </w:hyperlink>
      <w:r>
        <w:rPr>
          <w:rFonts w:ascii="Times New Roman" w:hAnsi="Times New Roman"/>
          <w:sz w:val="16"/>
        </w:rPr>
        <w:t>[Consultado el 24-10-2013]</w:t>
      </w:r>
    </w:p>
    <w:p>
      <w:pPr>
        <w:spacing w:after="0"/>
        <w:jc w:val="left"/>
        <w:rPr>
          <w:rFonts w:ascii="Times New Roman" w:hAnsi="Times New Roman"/>
          <w:sz w:val="16"/>
        </w:rPr>
        <w:sectPr>
          <w:pgSz w:w="12240" w:h="15840"/>
          <w:pgMar w:header="0" w:footer="1035" w:top="1360" w:bottom="1220" w:left="1580" w:right="1580"/>
        </w:sectPr>
      </w:pPr>
    </w:p>
    <w:p>
      <w:pPr>
        <w:pStyle w:val="BodyText"/>
        <w:rPr>
          <w:rFonts w:ascii="Times New Roman"/>
          <w:sz w:val="20"/>
        </w:rPr>
      </w:pPr>
    </w:p>
    <w:p>
      <w:pPr>
        <w:pStyle w:val="BodyText"/>
        <w:spacing w:before="7"/>
        <w:rPr>
          <w:rFonts w:ascii="Times New Roman"/>
          <w:sz w:val="16"/>
        </w:rPr>
      </w:pPr>
    </w:p>
    <w:p>
      <w:pPr>
        <w:pStyle w:val="BodyText"/>
        <w:spacing w:line="360" w:lineRule="auto" w:before="69"/>
        <w:ind w:left="102" w:right="122"/>
        <w:jc w:val="both"/>
      </w:pPr>
      <w:r>
        <w:rPr/>
        <w:t>Por tal motivo la transparencia debe ser un valor y característica de la gestión pública cuya vigencia no depende, principalmente, de la expresión de la voluntad de la autoridad gubernamental. Si no constituye un reclamo social, una demanda cotidiana, ex- presada objetivamente en las solicitudes de acceso a la información, entonces su existencia podría estar acotada a la formalidad legal, exclusivamente. Puesto que las burocracias en general son “cerradas”, más proclives a la reserva, la</w:t>
      </w:r>
      <w:r>
        <w:rPr>
          <w:spacing w:val="-9"/>
        </w:rPr>
        <w:t> </w:t>
      </w:r>
      <w:r>
        <w:rPr/>
        <w:t>confidencialidad</w:t>
      </w:r>
      <w:r>
        <w:rPr>
          <w:spacing w:val="-8"/>
        </w:rPr>
        <w:t> </w:t>
      </w:r>
      <w:r>
        <w:rPr/>
        <w:t>y</w:t>
      </w:r>
      <w:r>
        <w:rPr>
          <w:spacing w:val="-12"/>
        </w:rPr>
        <w:t> </w:t>
      </w:r>
      <w:r>
        <w:rPr/>
        <w:t>el</w:t>
      </w:r>
      <w:r>
        <w:rPr>
          <w:spacing w:val="-10"/>
        </w:rPr>
        <w:t> </w:t>
      </w:r>
      <w:r>
        <w:rPr/>
        <w:t>secreto,</w:t>
      </w:r>
      <w:r>
        <w:rPr>
          <w:spacing w:val="-9"/>
        </w:rPr>
        <w:t> </w:t>
      </w:r>
      <w:r>
        <w:rPr/>
        <w:t>se</w:t>
      </w:r>
      <w:r>
        <w:rPr>
          <w:spacing w:val="-8"/>
        </w:rPr>
        <w:t> </w:t>
      </w:r>
      <w:r>
        <w:rPr/>
        <w:t>requiere</w:t>
      </w:r>
      <w:r>
        <w:rPr>
          <w:spacing w:val="-9"/>
        </w:rPr>
        <w:t> </w:t>
      </w:r>
      <w:r>
        <w:rPr/>
        <w:t>de</w:t>
      </w:r>
      <w:r>
        <w:rPr>
          <w:spacing w:val="-11"/>
        </w:rPr>
        <w:t> </w:t>
      </w:r>
      <w:r>
        <w:rPr/>
        <w:t>una</w:t>
      </w:r>
      <w:r>
        <w:rPr>
          <w:spacing w:val="-11"/>
        </w:rPr>
        <w:t> </w:t>
      </w:r>
      <w:r>
        <w:rPr/>
        <w:t>fuerza</w:t>
      </w:r>
      <w:r>
        <w:rPr>
          <w:spacing w:val="-8"/>
        </w:rPr>
        <w:t> </w:t>
      </w:r>
      <w:r>
        <w:rPr/>
        <w:t>externa</w:t>
      </w:r>
      <w:r>
        <w:rPr>
          <w:spacing w:val="-8"/>
        </w:rPr>
        <w:t> </w:t>
      </w:r>
      <w:r>
        <w:rPr/>
        <w:t>que</w:t>
      </w:r>
      <w:r>
        <w:rPr>
          <w:spacing w:val="-8"/>
        </w:rPr>
        <w:t> </w:t>
      </w:r>
      <w:r>
        <w:rPr/>
        <w:t>logre</w:t>
      </w:r>
      <w:r>
        <w:rPr>
          <w:spacing w:val="-9"/>
        </w:rPr>
        <w:t> </w:t>
      </w:r>
      <w:r>
        <w:rPr/>
        <w:t>abrirlas para que, metafóricamente hablando, reciban la luz del escrutinio social y la valoración de su desempeño (Barrera,</w:t>
      </w:r>
      <w:r>
        <w:rPr>
          <w:spacing w:val="-12"/>
        </w:rPr>
        <w:t> </w:t>
      </w:r>
      <w:r>
        <w:rPr/>
        <w:t>2010).</w:t>
      </w:r>
    </w:p>
    <w:p>
      <w:pPr>
        <w:pStyle w:val="BodyText"/>
      </w:pPr>
    </w:p>
    <w:p>
      <w:pPr>
        <w:pStyle w:val="BodyText"/>
      </w:pPr>
    </w:p>
    <w:p>
      <w:pPr>
        <w:pStyle w:val="BodyText"/>
        <w:spacing w:before="7"/>
        <w:rPr>
          <w:sz w:val="19"/>
        </w:rPr>
      </w:pPr>
    </w:p>
    <w:p>
      <w:pPr>
        <w:pStyle w:val="BodyText"/>
        <w:spacing w:line="360" w:lineRule="auto"/>
        <w:ind w:left="102" w:right="114"/>
        <w:jc w:val="both"/>
      </w:pPr>
      <w:r>
        <w:rPr/>
        <w:t>Ya no es suficiente que las personas que trabajan en el servicio público se limiten al cumplimiento formal de sus obligaciones y deberes, sino que es necesario que por parte de las administraciones públicas se fomente positivamente aquellos valores, modelos o pautas de conducta que ayuden a aquellos que trabajan al servicio de los intereses generales como referentes éticos para su superación personal y profesional. Hay que expandir la ética pública a todos los niveles y ámbitos del gobierno, provocando la participación del sector social o sea de la ciudadanía, para lograr un mejor control de la conducta de los servidores públicos, combatir los contravalores y reinstalar a la ética pública en el lugar que le corresponde dentro del ámbito de la administración pública (Naessens, 2010).</w:t>
      </w:r>
    </w:p>
    <w:p>
      <w:pPr>
        <w:pStyle w:val="BodyText"/>
      </w:pPr>
    </w:p>
    <w:p>
      <w:pPr>
        <w:pStyle w:val="BodyText"/>
      </w:pPr>
    </w:p>
    <w:p>
      <w:pPr>
        <w:pStyle w:val="BodyText"/>
        <w:spacing w:before="7"/>
        <w:rPr>
          <w:sz w:val="19"/>
        </w:rPr>
      </w:pPr>
    </w:p>
    <w:p>
      <w:pPr>
        <w:pStyle w:val="Heading1"/>
        <w:numPr>
          <w:ilvl w:val="0"/>
          <w:numId w:val="22"/>
        </w:numPr>
        <w:tabs>
          <w:tab w:pos="530" w:val="left" w:leader="none"/>
        </w:tabs>
        <w:spacing w:line="240" w:lineRule="auto" w:before="0" w:after="0"/>
        <w:ind w:left="529" w:right="0" w:hanging="360"/>
        <w:jc w:val="both"/>
      </w:pPr>
      <w:r>
        <w:rPr/>
        <w:t>Como parte de un proceso de rendición de</w:t>
      </w:r>
      <w:r>
        <w:rPr>
          <w:spacing w:val="-11"/>
        </w:rPr>
        <w:t> </w:t>
      </w:r>
      <w:r>
        <w:rPr/>
        <w:t>cuentas</w:t>
      </w:r>
    </w:p>
    <w:p>
      <w:pPr>
        <w:pStyle w:val="BodyText"/>
        <w:rPr>
          <w:b/>
        </w:rPr>
      </w:pPr>
    </w:p>
    <w:p>
      <w:pPr>
        <w:pStyle w:val="BodyText"/>
        <w:rPr>
          <w:b/>
        </w:rPr>
      </w:pPr>
    </w:p>
    <w:p>
      <w:pPr>
        <w:pStyle w:val="BodyText"/>
        <w:spacing w:line="360" w:lineRule="auto" w:before="159"/>
        <w:ind w:left="102" w:right="115"/>
        <w:jc w:val="both"/>
      </w:pPr>
      <w:r>
        <w:rPr/>
        <w:t>Asimismo, la transparencia se ha vinculado con la rendición de cuentas para justificar</w:t>
      </w:r>
      <w:r>
        <w:rPr>
          <w:spacing w:val="-5"/>
        </w:rPr>
        <w:t> </w:t>
      </w:r>
      <w:r>
        <w:rPr/>
        <w:t>esa</w:t>
      </w:r>
      <w:r>
        <w:rPr>
          <w:spacing w:val="-6"/>
        </w:rPr>
        <w:t> </w:t>
      </w:r>
      <w:r>
        <w:rPr/>
        <w:t>responsabilidad</w:t>
      </w:r>
      <w:r>
        <w:rPr>
          <w:spacing w:val="-4"/>
        </w:rPr>
        <w:t> </w:t>
      </w:r>
      <w:r>
        <w:rPr/>
        <w:t>que</w:t>
      </w:r>
      <w:r>
        <w:rPr>
          <w:spacing w:val="-6"/>
        </w:rPr>
        <w:t> </w:t>
      </w:r>
      <w:r>
        <w:rPr/>
        <w:t>tiene</w:t>
      </w:r>
      <w:r>
        <w:rPr>
          <w:spacing w:val="-4"/>
        </w:rPr>
        <w:t> </w:t>
      </w:r>
      <w:r>
        <w:rPr/>
        <w:t>el</w:t>
      </w:r>
      <w:r>
        <w:rPr>
          <w:spacing w:val="-7"/>
        </w:rPr>
        <w:t> </w:t>
      </w:r>
      <w:r>
        <w:rPr/>
        <w:t>gobierno</w:t>
      </w:r>
      <w:r>
        <w:rPr>
          <w:spacing w:val="-6"/>
        </w:rPr>
        <w:t> </w:t>
      </w:r>
      <w:r>
        <w:rPr/>
        <w:t>de</w:t>
      </w:r>
      <w:r>
        <w:rPr>
          <w:spacing w:val="-4"/>
        </w:rPr>
        <w:t> </w:t>
      </w:r>
      <w:r>
        <w:rPr/>
        <w:t>informar</w:t>
      </w:r>
      <w:r>
        <w:rPr>
          <w:spacing w:val="-5"/>
        </w:rPr>
        <w:t> </w:t>
      </w:r>
      <w:r>
        <w:rPr/>
        <w:t>a</w:t>
      </w:r>
      <w:r>
        <w:rPr>
          <w:spacing w:val="-6"/>
        </w:rPr>
        <w:t> </w:t>
      </w:r>
      <w:r>
        <w:rPr/>
        <w:t>la</w:t>
      </w:r>
      <w:r>
        <w:rPr>
          <w:spacing w:val="-6"/>
        </w:rPr>
        <w:t> </w:t>
      </w:r>
      <w:r>
        <w:rPr/>
        <w:t>sociedad</w:t>
      </w:r>
      <w:r>
        <w:rPr>
          <w:spacing w:val="-4"/>
        </w:rPr>
        <w:t> </w:t>
      </w:r>
      <w:r>
        <w:rPr/>
        <w:t>lo</w:t>
      </w:r>
      <w:r>
        <w:rPr>
          <w:spacing w:val="-4"/>
        </w:rPr>
        <w:t> </w:t>
      </w:r>
      <w:r>
        <w:rPr>
          <w:spacing w:val="-2"/>
        </w:rPr>
        <w:t>que </w:t>
      </w:r>
      <w:r>
        <w:rPr/>
        <w:t>hace con sus impuestos para mejorar sus condiciones de vida, Baqueiro (2006), Gordon (2009), Portal (2011), Quintanilla (2012), Santizo (2006), Schedler (2004), Ugalde</w:t>
      </w:r>
      <w:r>
        <w:rPr>
          <w:spacing w:val="37"/>
        </w:rPr>
        <w:t> </w:t>
      </w:r>
      <w:r>
        <w:rPr/>
        <w:t>(2002).</w:t>
      </w:r>
      <w:r>
        <w:rPr>
          <w:spacing w:val="35"/>
        </w:rPr>
        <w:t> </w:t>
      </w:r>
      <w:r>
        <w:rPr/>
        <w:t>Otra</w:t>
      </w:r>
      <w:r>
        <w:rPr>
          <w:spacing w:val="36"/>
        </w:rPr>
        <w:t> </w:t>
      </w:r>
      <w:r>
        <w:rPr/>
        <w:t>vertiente</w:t>
      </w:r>
      <w:r>
        <w:rPr>
          <w:spacing w:val="37"/>
        </w:rPr>
        <w:t> </w:t>
      </w:r>
      <w:r>
        <w:rPr/>
        <w:t>que</w:t>
      </w:r>
      <w:r>
        <w:rPr>
          <w:spacing w:val="36"/>
        </w:rPr>
        <w:t> </w:t>
      </w:r>
      <w:r>
        <w:rPr/>
        <w:t>ha</w:t>
      </w:r>
      <w:r>
        <w:rPr>
          <w:spacing w:val="36"/>
        </w:rPr>
        <w:t> </w:t>
      </w:r>
      <w:r>
        <w:rPr/>
        <w:t>cobrado</w:t>
      </w:r>
      <w:r>
        <w:rPr>
          <w:spacing w:val="34"/>
        </w:rPr>
        <w:t> </w:t>
      </w:r>
      <w:r>
        <w:rPr/>
        <w:t>fuerza</w:t>
      </w:r>
      <w:r>
        <w:rPr>
          <w:spacing w:val="36"/>
        </w:rPr>
        <w:t> </w:t>
      </w:r>
      <w:r>
        <w:rPr/>
        <w:t>es</w:t>
      </w:r>
      <w:r>
        <w:rPr>
          <w:spacing w:val="36"/>
        </w:rPr>
        <w:t> </w:t>
      </w:r>
      <w:r>
        <w:rPr/>
        <w:t>la</w:t>
      </w:r>
      <w:r>
        <w:rPr>
          <w:spacing w:val="36"/>
        </w:rPr>
        <w:t> </w:t>
      </w:r>
      <w:r>
        <w:rPr/>
        <w:t>referida</w:t>
      </w:r>
      <w:r>
        <w:rPr>
          <w:spacing w:val="36"/>
        </w:rPr>
        <w:t> </w:t>
      </w:r>
      <w:r>
        <w:rPr/>
        <w:t>a</w:t>
      </w:r>
      <w:r>
        <w:rPr>
          <w:spacing w:val="36"/>
        </w:rPr>
        <w:t> </w:t>
      </w:r>
      <w:r>
        <w:rPr/>
        <w:t>la</w:t>
      </w:r>
      <w:r>
        <w:rPr>
          <w:spacing w:val="36"/>
        </w:rPr>
        <w:t> </w:t>
      </w:r>
      <w:r>
        <w:rPr/>
        <w:t>gestión</w:t>
      </w:r>
    </w:p>
    <w:p>
      <w:pPr>
        <w:spacing w:after="0" w:line="360" w:lineRule="auto"/>
        <w:jc w:val="both"/>
        <w:sectPr>
          <w:pgSz w:w="12240" w:h="15840"/>
          <w:pgMar w:header="0" w:footer="1035" w:top="1500" w:bottom="1220" w:left="1600" w:right="1580"/>
        </w:sectPr>
      </w:pPr>
    </w:p>
    <w:p>
      <w:pPr>
        <w:pStyle w:val="BodyText"/>
        <w:spacing w:line="360" w:lineRule="auto" w:before="54"/>
        <w:ind w:left="102" w:right="116"/>
        <w:jc w:val="both"/>
      </w:pPr>
      <w:r>
        <w:rPr/>
        <w:t>pública</w:t>
      </w:r>
      <w:r>
        <w:rPr>
          <w:spacing w:val="-4"/>
        </w:rPr>
        <w:t> </w:t>
      </w:r>
      <w:r>
        <w:rPr/>
        <w:t>que</w:t>
      </w:r>
      <w:r>
        <w:rPr>
          <w:spacing w:val="-4"/>
        </w:rPr>
        <w:t> </w:t>
      </w:r>
      <w:r>
        <w:rPr/>
        <w:t>visualizan</w:t>
      </w:r>
      <w:r>
        <w:rPr>
          <w:spacing w:val="-4"/>
        </w:rPr>
        <w:t> </w:t>
      </w:r>
      <w:r>
        <w:rPr/>
        <w:t>a</w:t>
      </w:r>
      <w:r>
        <w:rPr>
          <w:spacing w:val="-4"/>
        </w:rPr>
        <w:t> </w:t>
      </w:r>
      <w:r>
        <w:rPr/>
        <w:t>la</w:t>
      </w:r>
      <w:r>
        <w:rPr>
          <w:spacing w:val="-4"/>
        </w:rPr>
        <w:t> </w:t>
      </w:r>
      <w:r>
        <w:rPr/>
        <w:t>transparencia</w:t>
      </w:r>
      <w:r>
        <w:rPr>
          <w:spacing w:val="-4"/>
        </w:rPr>
        <w:t> </w:t>
      </w:r>
      <w:r>
        <w:rPr/>
        <w:t>como</w:t>
      </w:r>
      <w:r>
        <w:rPr>
          <w:spacing w:val="-4"/>
        </w:rPr>
        <w:t> </w:t>
      </w:r>
      <w:r>
        <w:rPr/>
        <w:t>una</w:t>
      </w:r>
      <w:r>
        <w:rPr>
          <w:spacing w:val="-6"/>
        </w:rPr>
        <w:t> </w:t>
      </w:r>
      <w:r>
        <w:rPr/>
        <w:t>manera</w:t>
      </w:r>
      <w:r>
        <w:rPr>
          <w:spacing w:val="-7"/>
        </w:rPr>
        <w:t> </w:t>
      </w:r>
      <w:r>
        <w:rPr/>
        <w:t>de</w:t>
      </w:r>
      <w:r>
        <w:rPr>
          <w:spacing w:val="-6"/>
        </w:rPr>
        <w:t> </w:t>
      </w:r>
      <w:r>
        <w:rPr/>
        <w:t>mejorar</w:t>
      </w:r>
      <w:r>
        <w:rPr>
          <w:spacing w:val="-5"/>
        </w:rPr>
        <w:t> </w:t>
      </w:r>
      <w:r>
        <w:rPr/>
        <w:t>la</w:t>
      </w:r>
      <w:r>
        <w:rPr>
          <w:spacing w:val="-4"/>
        </w:rPr>
        <w:t> </w:t>
      </w:r>
      <w:r>
        <w:rPr/>
        <w:t>eficiencia gubernamental para poder brindar servicios de calidad a los ciudadanos, Amparán (2000),</w:t>
      </w:r>
      <w:r>
        <w:rPr>
          <w:spacing w:val="28"/>
        </w:rPr>
        <w:t> </w:t>
      </w:r>
      <w:r>
        <w:rPr/>
        <w:t>Amparán</w:t>
      </w:r>
      <w:r>
        <w:rPr>
          <w:spacing w:val="30"/>
        </w:rPr>
        <w:t> </w:t>
      </w:r>
      <w:r>
        <w:rPr>
          <w:i/>
        </w:rPr>
        <w:t>et.</w:t>
      </w:r>
      <w:r>
        <w:rPr>
          <w:i/>
          <w:spacing w:val="29"/>
        </w:rPr>
        <w:t> </w:t>
      </w:r>
      <w:r>
        <w:rPr>
          <w:i/>
        </w:rPr>
        <w:t>al.</w:t>
      </w:r>
      <w:r>
        <w:rPr>
          <w:i/>
          <w:spacing w:val="31"/>
        </w:rPr>
        <w:t> </w:t>
      </w:r>
      <w:r>
        <w:rPr/>
        <w:t>(2001),</w:t>
      </w:r>
      <w:r>
        <w:rPr>
          <w:spacing w:val="28"/>
        </w:rPr>
        <w:t> </w:t>
      </w:r>
      <w:r>
        <w:rPr/>
        <w:t>Arellano</w:t>
      </w:r>
      <w:r>
        <w:rPr>
          <w:spacing w:val="29"/>
        </w:rPr>
        <w:t> </w:t>
      </w:r>
      <w:r>
        <w:rPr/>
        <w:t>(2007),</w:t>
      </w:r>
      <w:r>
        <w:rPr>
          <w:spacing w:val="29"/>
        </w:rPr>
        <w:t> </w:t>
      </w:r>
      <w:r>
        <w:rPr/>
        <w:t>Chanes</w:t>
      </w:r>
      <w:r>
        <w:rPr>
          <w:spacing w:val="30"/>
        </w:rPr>
        <w:t> </w:t>
      </w:r>
      <w:r>
        <w:rPr/>
        <w:t>(1993),</w:t>
      </w:r>
      <w:r>
        <w:rPr>
          <w:spacing w:val="25"/>
        </w:rPr>
        <w:t> </w:t>
      </w:r>
      <w:r>
        <w:rPr/>
        <w:t>Culebro</w:t>
      </w:r>
      <w:r>
        <w:rPr>
          <w:spacing w:val="30"/>
        </w:rPr>
        <w:t> </w:t>
      </w:r>
      <w:r>
        <w:rPr/>
        <w:t>(2008),</w:t>
      </w:r>
    </w:p>
    <w:p>
      <w:pPr>
        <w:pStyle w:val="BodyText"/>
        <w:spacing w:before="7"/>
        <w:ind w:left="102"/>
        <w:jc w:val="both"/>
      </w:pPr>
      <w:r>
        <w:rPr/>
        <w:t>Culebro (2009), Dussauge  (2009), Fox (2011), García  (2011), Guerrero     (2010),</w:t>
      </w:r>
    </w:p>
    <w:p>
      <w:pPr>
        <w:pStyle w:val="BodyText"/>
        <w:spacing w:before="137"/>
        <w:ind w:left="102"/>
        <w:jc w:val="both"/>
      </w:pPr>
      <w:r>
        <w:rPr/>
        <w:t>Guichot (2011), Haight (2011), Haro (1999), Hofbauer (2003), Hood y Heald (2006),</w:t>
      </w:r>
    </w:p>
    <w:p>
      <w:pPr>
        <w:pStyle w:val="BodyText"/>
        <w:spacing w:before="139"/>
        <w:ind w:left="102"/>
        <w:jc w:val="both"/>
      </w:pPr>
      <w:r>
        <w:rPr/>
        <w:t>Palmer-Rubin (2011), Spenser (2008).</w:t>
      </w:r>
    </w:p>
    <w:p>
      <w:pPr>
        <w:pStyle w:val="BodyText"/>
      </w:pPr>
    </w:p>
    <w:p>
      <w:pPr>
        <w:pStyle w:val="BodyText"/>
      </w:pPr>
    </w:p>
    <w:p>
      <w:pPr>
        <w:pStyle w:val="BodyText"/>
        <w:spacing w:before="8"/>
        <w:rPr>
          <w:sz w:val="27"/>
        </w:rPr>
      </w:pPr>
    </w:p>
    <w:p>
      <w:pPr>
        <w:pStyle w:val="BodyText"/>
        <w:spacing w:line="360" w:lineRule="auto"/>
        <w:ind w:left="102" w:right="117"/>
        <w:jc w:val="both"/>
      </w:pPr>
      <w:r>
        <w:rPr/>
        <w:t>Si</w:t>
      </w:r>
      <w:r>
        <w:rPr>
          <w:spacing w:val="-12"/>
        </w:rPr>
        <w:t> </w:t>
      </w:r>
      <w:r>
        <w:rPr/>
        <w:t>se</w:t>
      </w:r>
      <w:r>
        <w:rPr>
          <w:spacing w:val="-12"/>
        </w:rPr>
        <w:t> </w:t>
      </w:r>
      <w:r>
        <w:rPr/>
        <w:t>parte</w:t>
      </w:r>
      <w:r>
        <w:rPr>
          <w:spacing w:val="-12"/>
        </w:rPr>
        <w:t> </w:t>
      </w:r>
      <w:r>
        <w:rPr/>
        <w:t>de</w:t>
      </w:r>
      <w:r>
        <w:rPr>
          <w:spacing w:val="-12"/>
        </w:rPr>
        <w:t> </w:t>
      </w:r>
      <w:r>
        <w:rPr/>
        <w:t>la</w:t>
      </w:r>
      <w:r>
        <w:rPr>
          <w:spacing w:val="-12"/>
        </w:rPr>
        <w:t> </w:t>
      </w:r>
      <w:r>
        <w:rPr/>
        <w:t>idea</w:t>
      </w:r>
      <w:r>
        <w:rPr>
          <w:spacing w:val="-12"/>
        </w:rPr>
        <w:t> </w:t>
      </w:r>
      <w:r>
        <w:rPr/>
        <w:t>de</w:t>
      </w:r>
      <w:r>
        <w:rPr>
          <w:spacing w:val="-12"/>
        </w:rPr>
        <w:t> </w:t>
      </w:r>
      <w:r>
        <w:rPr/>
        <w:t>que</w:t>
      </w:r>
      <w:r>
        <w:rPr>
          <w:spacing w:val="-12"/>
        </w:rPr>
        <w:t> </w:t>
      </w:r>
      <w:r>
        <w:rPr/>
        <w:t>la</w:t>
      </w:r>
      <w:r>
        <w:rPr>
          <w:spacing w:val="-12"/>
        </w:rPr>
        <w:t> </w:t>
      </w:r>
      <w:r>
        <w:rPr/>
        <w:t>rendición</w:t>
      </w:r>
      <w:r>
        <w:rPr>
          <w:spacing w:val="-13"/>
        </w:rPr>
        <w:t> </w:t>
      </w:r>
      <w:r>
        <w:rPr/>
        <w:t>de</w:t>
      </w:r>
      <w:r>
        <w:rPr>
          <w:spacing w:val="-12"/>
        </w:rPr>
        <w:t> </w:t>
      </w:r>
      <w:r>
        <w:rPr/>
        <w:t>cuentas</w:t>
      </w:r>
      <w:r>
        <w:rPr>
          <w:spacing w:val="-14"/>
        </w:rPr>
        <w:t> </w:t>
      </w:r>
      <w:r>
        <w:rPr/>
        <w:t>más</w:t>
      </w:r>
      <w:r>
        <w:rPr>
          <w:spacing w:val="-12"/>
        </w:rPr>
        <w:t> </w:t>
      </w:r>
      <w:r>
        <w:rPr/>
        <w:t>que</w:t>
      </w:r>
      <w:r>
        <w:rPr>
          <w:spacing w:val="-12"/>
        </w:rPr>
        <w:t> </w:t>
      </w:r>
      <w:r>
        <w:rPr/>
        <w:t>simplemente</w:t>
      </w:r>
      <w:r>
        <w:rPr>
          <w:spacing w:val="-13"/>
        </w:rPr>
        <w:t> </w:t>
      </w:r>
      <w:r>
        <w:rPr/>
        <w:t>describir acciones y decisiones gubernamentales, es responder estas acciones. El derecho de acceder a la información pública es una herramienta que, si se implementa correctamente, puede redundar en una mejora en la rendición de cuentas y la eficiencia del gobierno, así como también estimular la participación ciudadana ya que “La cultura de la transparencia fomenta la rendición de cuentas, legitima a las instituciones</w:t>
      </w:r>
      <w:r>
        <w:rPr>
          <w:spacing w:val="-7"/>
        </w:rPr>
        <w:t> </w:t>
      </w:r>
      <w:r>
        <w:rPr/>
        <w:t>públicas</w:t>
      </w:r>
      <w:r>
        <w:rPr>
          <w:spacing w:val="-7"/>
        </w:rPr>
        <w:t> </w:t>
      </w:r>
      <w:r>
        <w:rPr/>
        <w:t>y</w:t>
      </w:r>
      <w:r>
        <w:rPr>
          <w:spacing w:val="-7"/>
        </w:rPr>
        <w:t> </w:t>
      </w:r>
      <w:r>
        <w:rPr/>
        <w:t>establece</w:t>
      </w:r>
      <w:r>
        <w:rPr>
          <w:spacing w:val="-6"/>
        </w:rPr>
        <w:t> </w:t>
      </w:r>
      <w:r>
        <w:rPr/>
        <w:t>un</w:t>
      </w:r>
      <w:r>
        <w:rPr>
          <w:spacing w:val="-8"/>
        </w:rPr>
        <w:t> </w:t>
      </w:r>
      <w:r>
        <w:rPr/>
        <w:t>puente</w:t>
      </w:r>
      <w:r>
        <w:rPr>
          <w:spacing w:val="-8"/>
        </w:rPr>
        <w:t> </w:t>
      </w:r>
      <w:r>
        <w:rPr/>
        <w:t>de</w:t>
      </w:r>
      <w:r>
        <w:rPr>
          <w:spacing w:val="-6"/>
        </w:rPr>
        <w:t> </w:t>
      </w:r>
      <w:r>
        <w:rPr/>
        <w:t>comunicación</w:t>
      </w:r>
      <w:r>
        <w:rPr>
          <w:spacing w:val="-6"/>
        </w:rPr>
        <w:t> </w:t>
      </w:r>
      <w:r>
        <w:rPr/>
        <w:t>entre</w:t>
      </w:r>
      <w:r>
        <w:rPr>
          <w:spacing w:val="-6"/>
        </w:rPr>
        <w:t> </w:t>
      </w:r>
      <w:r>
        <w:rPr/>
        <w:t>la</w:t>
      </w:r>
      <w:r>
        <w:rPr>
          <w:spacing w:val="-6"/>
        </w:rPr>
        <w:t> </w:t>
      </w:r>
      <w:r>
        <w:rPr/>
        <w:t>sociedad</w:t>
      </w:r>
      <w:r>
        <w:rPr>
          <w:spacing w:val="-6"/>
        </w:rPr>
        <w:t> </w:t>
      </w:r>
      <w:r>
        <w:rPr/>
        <w:t>y</w:t>
      </w:r>
      <w:r>
        <w:rPr>
          <w:spacing w:val="-9"/>
        </w:rPr>
        <w:t> </w:t>
      </w:r>
      <w:r>
        <w:rPr/>
        <w:t>el gobierno”</w:t>
      </w:r>
      <w:r>
        <w:rPr>
          <w:spacing w:val="-6"/>
        </w:rPr>
        <w:t> </w:t>
      </w:r>
      <w:r>
        <w:rPr/>
        <w:t>(INFOEM,</w:t>
      </w:r>
      <w:r>
        <w:rPr>
          <w:spacing w:val="-5"/>
        </w:rPr>
        <w:t> </w:t>
      </w:r>
      <w:r>
        <w:rPr/>
        <w:t>2011:9)</w:t>
      </w:r>
      <w:r>
        <w:rPr>
          <w:spacing w:val="-6"/>
        </w:rPr>
        <w:t> </w:t>
      </w:r>
      <w:r>
        <w:rPr/>
        <w:t>y</w:t>
      </w:r>
      <w:r>
        <w:rPr>
          <w:spacing w:val="-6"/>
        </w:rPr>
        <w:t> </w:t>
      </w:r>
      <w:r>
        <w:rPr/>
        <w:t>proporciona</w:t>
      </w:r>
      <w:r>
        <w:rPr>
          <w:spacing w:val="-5"/>
        </w:rPr>
        <w:t> </w:t>
      </w:r>
      <w:r>
        <w:rPr/>
        <w:t>información</w:t>
      </w:r>
      <w:r>
        <w:rPr>
          <w:spacing w:val="-5"/>
        </w:rPr>
        <w:t> </w:t>
      </w:r>
      <w:r>
        <w:rPr/>
        <w:t>a</w:t>
      </w:r>
      <w:r>
        <w:rPr>
          <w:spacing w:val="-5"/>
        </w:rPr>
        <w:t> </w:t>
      </w:r>
      <w:r>
        <w:rPr/>
        <w:t>los</w:t>
      </w:r>
      <w:r>
        <w:rPr>
          <w:spacing w:val="-5"/>
        </w:rPr>
        <w:t> </w:t>
      </w:r>
      <w:r>
        <w:rPr/>
        <w:t>ciudadanos</w:t>
      </w:r>
      <w:r>
        <w:rPr>
          <w:spacing w:val="-8"/>
        </w:rPr>
        <w:t> </w:t>
      </w:r>
      <w:r>
        <w:rPr/>
        <w:t>acerca</w:t>
      </w:r>
      <w:r>
        <w:rPr>
          <w:spacing w:val="-5"/>
        </w:rPr>
        <w:t> </w:t>
      </w:r>
      <w:r>
        <w:rPr/>
        <w:t>de lo que su Gobierno está haciendo (Obama, 2009). Respecto a las leyes Federal y Estatal</w:t>
      </w:r>
      <w:r>
        <w:rPr>
          <w:spacing w:val="-7"/>
        </w:rPr>
        <w:t> </w:t>
      </w:r>
      <w:r>
        <w:rPr/>
        <w:t>en</w:t>
      </w:r>
      <w:r>
        <w:rPr>
          <w:spacing w:val="-6"/>
        </w:rPr>
        <w:t> </w:t>
      </w:r>
      <w:r>
        <w:rPr/>
        <w:t>materia</w:t>
      </w:r>
      <w:r>
        <w:rPr>
          <w:spacing w:val="-6"/>
        </w:rPr>
        <w:t> </w:t>
      </w:r>
      <w:r>
        <w:rPr/>
        <w:t>de</w:t>
      </w:r>
      <w:r>
        <w:rPr>
          <w:spacing w:val="-6"/>
        </w:rPr>
        <w:t> </w:t>
      </w:r>
      <w:r>
        <w:rPr/>
        <w:t>transparencia</w:t>
      </w:r>
      <w:r>
        <w:rPr>
          <w:spacing w:val="-6"/>
        </w:rPr>
        <w:t> </w:t>
      </w:r>
      <w:r>
        <w:rPr/>
        <w:t>es</w:t>
      </w:r>
      <w:r>
        <w:rPr>
          <w:spacing w:val="-4"/>
        </w:rPr>
        <w:t> </w:t>
      </w:r>
      <w:r>
        <w:rPr/>
        <w:t>importante</w:t>
      </w:r>
      <w:r>
        <w:rPr>
          <w:spacing w:val="-5"/>
        </w:rPr>
        <w:t> </w:t>
      </w:r>
      <w:r>
        <w:rPr/>
        <w:t>resaltar</w:t>
      </w:r>
      <w:r>
        <w:rPr>
          <w:spacing w:val="-5"/>
        </w:rPr>
        <w:t> </w:t>
      </w:r>
      <w:r>
        <w:rPr/>
        <w:t>que</w:t>
      </w:r>
      <w:r>
        <w:rPr>
          <w:spacing w:val="-4"/>
        </w:rPr>
        <w:t> </w:t>
      </w:r>
      <w:r>
        <w:rPr/>
        <w:t>no</w:t>
      </w:r>
      <w:r>
        <w:rPr>
          <w:spacing w:val="-4"/>
        </w:rPr>
        <w:t> </w:t>
      </w:r>
      <w:r>
        <w:rPr/>
        <w:t>definen</w:t>
      </w:r>
      <w:r>
        <w:rPr>
          <w:spacing w:val="-4"/>
        </w:rPr>
        <w:t> </w:t>
      </w:r>
      <w:r>
        <w:rPr/>
        <w:t>qué</w:t>
      </w:r>
      <w:r>
        <w:rPr>
          <w:spacing w:val="-6"/>
        </w:rPr>
        <w:t> </w:t>
      </w:r>
      <w:r>
        <w:rPr/>
        <w:t>es</w:t>
      </w:r>
      <w:r>
        <w:rPr>
          <w:spacing w:val="-4"/>
        </w:rPr>
        <w:t> </w:t>
      </w:r>
      <w:r>
        <w:rPr/>
        <w:t>la transparencia.</w:t>
      </w:r>
    </w:p>
    <w:p>
      <w:pPr>
        <w:pStyle w:val="BodyText"/>
      </w:pPr>
    </w:p>
    <w:p>
      <w:pPr>
        <w:pStyle w:val="BodyText"/>
      </w:pPr>
    </w:p>
    <w:p>
      <w:pPr>
        <w:pStyle w:val="BodyText"/>
        <w:spacing w:line="360" w:lineRule="auto" w:before="185"/>
        <w:ind w:left="102" w:right="120"/>
        <w:jc w:val="both"/>
      </w:pPr>
      <w:r>
        <w:rPr/>
        <w:t>De todas estas definiciones de transparencia es preciso mencionar las características más comunes: es una obligación del gobierno, un valor ético, una práctica</w:t>
      </w:r>
      <w:r>
        <w:rPr>
          <w:spacing w:val="-9"/>
        </w:rPr>
        <w:t> </w:t>
      </w:r>
      <w:r>
        <w:rPr/>
        <w:t>administrativa</w:t>
      </w:r>
      <w:r>
        <w:rPr>
          <w:spacing w:val="-8"/>
        </w:rPr>
        <w:t> </w:t>
      </w:r>
      <w:r>
        <w:rPr/>
        <w:t>de</w:t>
      </w:r>
      <w:r>
        <w:rPr>
          <w:spacing w:val="-8"/>
        </w:rPr>
        <w:t> </w:t>
      </w:r>
      <w:r>
        <w:rPr/>
        <w:t>la</w:t>
      </w:r>
      <w:r>
        <w:rPr>
          <w:spacing w:val="-9"/>
        </w:rPr>
        <w:t> </w:t>
      </w:r>
      <w:r>
        <w:rPr/>
        <w:t>gestión</w:t>
      </w:r>
      <w:r>
        <w:rPr>
          <w:spacing w:val="-8"/>
        </w:rPr>
        <w:t> </w:t>
      </w:r>
      <w:r>
        <w:rPr/>
        <w:t>pública,</w:t>
      </w:r>
      <w:r>
        <w:rPr>
          <w:spacing w:val="-9"/>
        </w:rPr>
        <w:t> </w:t>
      </w:r>
      <w:r>
        <w:rPr/>
        <w:t>se</w:t>
      </w:r>
      <w:r>
        <w:rPr>
          <w:spacing w:val="-8"/>
        </w:rPr>
        <w:t> </w:t>
      </w:r>
      <w:r>
        <w:rPr/>
        <w:t>trata</w:t>
      </w:r>
      <w:r>
        <w:rPr>
          <w:spacing w:val="-8"/>
        </w:rPr>
        <w:t> </w:t>
      </w:r>
      <w:r>
        <w:rPr/>
        <w:t>de</w:t>
      </w:r>
      <w:r>
        <w:rPr>
          <w:spacing w:val="-8"/>
        </w:rPr>
        <w:t> </w:t>
      </w:r>
      <w:r>
        <w:rPr/>
        <w:t>hacer</w:t>
      </w:r>
      <w:r>
        <w:rPr>
          <w:spacing w:val="-10"/>
        </w:rPr>
        <w:t> </w:t>
      </w:r>
      <w:r>
        <w:rPr/>
        <w:t>públicas</w:t>
      </w:r>
      <w:r>
        <w:rPr>
          <w:spacing w:val="-9"/>
        </w:rPr>
        <w:t> </w:t>
      </w:r>
      <w:r>
        <w:rPr/>
        <w:t>las</w:t>
      </w:r>
      <w:r>
        <w:rPr>
          <w:spacing w:val="-9"/>
        </w:rPr>
        <w:t> </w:t>
      </w:r>
      <w:r>
        <w:rPr/>
        <w:t>acciones del</w:t>
      </w:r>
      <w:r>
        <w:rPr>
          <w:spacing w:val="-20"/>
        </w:rPr>
        <w:t> </w:t>
      </w:r>
      <w:r>
        <w:rPr/>
        <w:t>gobierno,</w:t>
      </w:r>
      <w:r>
        <w:rPr>
          <w:spacing w:val="-19"/>
        </w:rPr>
        <w:t> </w:t>
      </w:r>
      <w:r>
        <w:rPr/>
        <w:t>requiere</w:t>
      </w:r>
      <w:r>
        <w:rPr>
          <w:spacing w:val="-22"/>
        </w:rPr>
        <w:t> </w:t>
      </w:r>
      <w:r>
        <w:rPr/>
        <w:t>de</w:t>
      </w:r>
      <w:r>
        <w:rPr>
          <w:spacing w:val="-19"/>
        </w:rPr>
        <w:t> </w:t>
      </w:r>
      <w:r>
        <w:rPr/>
        <w:t>tener</w:t>
      </w:r>
      <w:r>
        <w:rPr>
          <w:spacing w:val="-20"/>
        </w:rPr>
        <w:t> </w:t>
      </w:r>
      <w:r>
        <w:rPr/>
        <w:t>archivos</w:t>
      </w:r>
      <w:r>
        <w:rPr>
          <w:spacing w:val="-20"/>
        </w:rPr>
        <w:t> </w:t>
      </w:r>
      <w:r>
        <w:rPr/>
        <w:t>con</w:t>
      </w:r>
      <w:r>
        <w:rPr>
          <w:spacing w:val="-19"/>
        </w:rPr>
        <w:t> </w:t>
      </w:r>
      <w:r>
        <w:rPr/>
        <w:t>información</w:t>
      </w:r>
      <w:r>
        <w:rPr>
          <w:spacing w:val="-21"/>
        </w:rPr>
        <w:t> </w:t>
      </w:r>
      <w:r>
        <w:rPr/>
        <w:t>de</w:t>
      </w:r>
      <w:r>
        <w:rPr>
          <w:spacing w:val="-19"/>
        </w:rPr>
        <w:t> </w:t>
      </w:r>
      <w:r>
        <w:rPr/>
        <w:t>calidad,</w:t>
      </w:r>
      <w:r>
        <w:rPr>
          <w:spacing w:val="-22"/>
        </w:rPr>
        <w:t> </w:t>
      </w:r>
      <w:r>
        <w:rPr/>
        <w:t>permite</w:t>
      </w:r>
      <w:r>
        <w:rPr>
          <w:spacing w:val="-19"/>
        </w:rPr>
        <w:t> </w:t>
      </w:r>
      <w:r>
        <w:rPr/>
        <w:t>conocer el desempeño gubernamental para evaluar su desempeño. En este sentido, el concepto de transparencia que se propone para la presente investigación es el siguiente:</w:t>
      </w:r>
    </w:p>
    <w:p>
      <w:pPr>
        <w:pStyle w:val="BodyText"/>
      </w:pPr>
    </w:p>
    <w:p>
      <w:pPr>
        <w:pStyle w:val="BodyText"/>
      </w:pPr>
    </w:p>
    <w:p>
      <w:pPr>
        <w:pStyle w:val="BodyText"/>
        <w:spacing w:line="360" w:lineRule="auto" w:before="187"/>
        <w:ind w:left="102" w:right="118"/>
        <w:jc w:val="both"/>
      </w:pPr>
      <w:r>
        <w:rPr/>
        <w:t>Transparencia es una práctica administrativa que, ya sea por obligación del gobierno  o  por  solicitud  de  la  ciudadanía,  consiste  en  publicar información de</w:t>
      </w:r>
    </w:p>
    <w:p>
      <w:pPr>
        <w:spacing w:after="0" w:line="360" w:lineRule="auto"/>
        <w:jc w:val="both"/>
        <w:sectPr>
          <w:pgSz w:w="12240" w:h="15840"/>
          <w:pgMar w:header="0" w:footer="1035" w:top="1360" w:bottom="1220" w:left="1600" w:right="1580"/>
        </w:sectPr>
      </w:pPr>
    </w:p>
    <w:p>
      <w:pPr>
        <w:pStyle w:val="BodyText"/>
        <w:spacing w:line="360" w:lineRule="auto" w:before="54"/>
        <w:ind w:left="102" w:right="125"/>
        <w:jc w:val="both"/>
      </w:pPr>
      <w:r>
        <w:rPr/>
        <w:t>calidad, oportuna, relevante y verídica sobre las acciones del gobierno, la cual permite a la sociedad conocer el desempeño de los gobernantes para evaluar su desempeño.</w:t>
      </w:r>
    </w:p>
    <w:p>
      <w:pPr>
        <w:pStyle w:val="BodyText"/>
      </w:pPr>
    </w:p>
    <w:p>
      <w:pPr>
        <w:pStyle w:val="BodyText"/>
      </w:pPr>
    </w:p>
    <w:p>
      <w:pPr>
        <w:pStyle w:val="BodyText"/>
        <w:spacing w:line="360" w:lineRule="auto" w:before="187"/>
        <w:ind w:left="102" w:right="118"/>
        <w:jc w:val="both"/>
      </w:pPr>
      <w:r>
        <w:rPr/>
        <w:t>Es importante resaltar que la falta de conceptualización de la transparencia hace subjetiva su comprensión ya que cada gobernante la interpreta según los conocimientos previos que tiene de la misma (Schuzt, 2008) lo que dificulta dar continuidad a los trabajados realizados por administraciones anteriores. Asimismo, en términos de Gadamer (2006), esta situación perjudica al gobierno debido a que no logra constituir un lenguaje común con lo que, de acuerdo a Guerrero (2011), dificulta definir los alcances y limitaciones de la transparencia para actuar en consecuencia. Como bien plantea Schedler (2006), ¿cómo exigir cuentas claras si no contamos con conceptos claros?, en este sentido, es posible que nuestro esfuerzo por la transparencia conceptual, por trazar las coordenadas conceptuales de la rendición de cuentas, tendrá no solamente ciertas implicaciones lingüísticas, sino también prácticas.</w:t>
      </w:r>
    </w:p>
    <w:p>
      <w:pPr>
        <w:pStyle w:val="BodyText"/>
      </w:pPr>
    </w:p>
    <w:p>
      <w:pPr>
        <w:pStyle w:val="BodyText"/>
        <w:spacing w:before="4"/>
        <w:rPr>
          <w:sz w:val="26"/>
        </w:rPr>
      </w:pPr>
    </w:p>
    <w:p>
      <w:pPr>
        <w:pStyle w:val="BodyText"/>
        <w:spacing w:line="360" w:lineRule="auto"/>
        <w:ind w:left="102" w:right="116"/>
        <w:jc w:val="both"/>
      </w:pPr>
      <w:r>
        <w:rPr/>
        <w:t>Al respecto tiene lugar la afirmación de Norbert (2008), en la que señala que toda persona que escucha la palabra sociedad, sabe a qué se está aludiendo porque le han asignado una conceptualización generalizada. En cambio, en la transparencia, se puede recurrir a la hermenéutica, como una metodología universal para comprender su significado, ya que la comprensión efectiva requiere de la explicitación del componente inconsciente de una operación de conocimiento (Gadamer, 2006). De igual manera cabe hacer mención que la limitada definición del</w:t>
      </w:r>
      <w:r>
        <w:rPr>
          <w:spacing w:val="-20"/>
        </w:rPr>
        <w:t> </w:t>
      </w:r>
      <w:r>
        <w:rPr/>
        <w:t>marco</w:t>
      </w:r>
      <w:r>
        <w:rPr>
          <w:spacing w:val="-20"/>
        </w:rPr>
        <w:t> </w:t>
      </w:r>
      <w:r>
        <w:rPr/>
        <w:t>referencial</w:t>
      </w:r>
      <w:r>
        <w:rPr>
          <w:spacing w:val="-20"/>
        </w:rPr>
        <w:t> </w:t>
      </w:r>
      <w:r>
        <w:rPr/>
        <w:t>de</w:t>
      </w:r>
      <w:r>
        <w:rPr>
          <w:spacing w:val="-19"/>
        </w:rPr>
        <w:t> </w:t>
      </w:r>
      <w:r>
        <w:rPr/>
        <w:t>la</w:t>
      </w:r>
      <w:r>
        <w:rPr>
          <w:spacing w:val="-19"/>
        </w:rPr>
        <w:t> </w:t>
      </w:r>
      <w:r>
        <w:rPr/>
        <w:t>transparencia,</w:t>
      </w:r>
      <w:r>
        <w:rPr>
          <w:spacing w:val="-19"/>
        </w:rPr>
        <w:t> </w:t>
      </w:r>
      <w:r>
        <w:rPr/>
        <w:t>tal</w:t>
      </w:r>
      <w:r>
        <w:rPr>
          <w:spacing w:val="-20"/>
        </w:rPr>
        <w:t> </w:t>
      </w:r>
      <w:r>
        <w:rPr/>
        <w:t>como</w:t>
      </w:r>
      <w:r>
        <w:rPr>
          <w:spacing w:val="-19"/>
        </w:rPr>
        <w:t> </w:t>
      </w:r>
      <w:r>
        <w:rPr/>
        <w:t>se</w:t>
      </w:r>
      <w:r>
        <w:rPr>
          <w:spacing w:val="-19"/>
        </w:rPr>
        <w:t> </w:t>
      </w:r>
      <w:r>
        <w:rPr/>
        <w:t>señaló</w:t>
      </w:r>
      <w:r>
        <w:rPr>
          <w:spacing w:val="-19"/>
        </w:rPr>
        <w:t> </w:t>
      </w:r>
      <w:r>
        <w:rPr/>
        <w:t>anteriormente,</w:t>
      </w:r>
      <w:r>
        <w:rPr>
          <w:spacing w:val="-21"/>
        </w:rPr>
        <w:t> </w:t>
      </w:r>
      <w:r>
        <w:rPr/>
        <w:t>da</w:t>
      </w:r>
      <w:r>
        <w:rPr>
          <w:spacing w:val="-19"/>
        </w:rPr>
        <w:t> </w:t>
      </w:r>
      <w:r>
        <w:rPr/>
        <w:t>lugar a un variado conjunto de transparencias específicas: sobre la educación, el ambiente, la transparencia laboral, la sanitaria, presupuestal, entre otras (Barrera, 2010).</w:t>
      </w:r>
    </w:p>
    <w:p>
      <w:pPr>
        <w:spacing w:after="0" w:line="360" w:lineRule="auto"/>
        <w:jc w:val="both"/>
        <w:sectPr>
          <w:pgSz w:w="12240" w:h="15840"/>
          <w:pgMar w:header="0" w:footer="1035" w:top="1360" w:bottom="1220" w:left="1600" w:right="1580"/>
        </w:sectPr>
      </w:pPr>
    </w:p>
    <w:p>
      <w:pPr>
        <w:pStyle w:val="Heading1"/>
        <w:numPr>
          <w:ilvl w:val="0"/>
          <w:numId w:val="22"/>
        </w:numPr>
        <w:tabs>
          <w:tab w:pos="530" w:val="left" w:leader="none"/>
        </w:tabs>
        <w:spacing w:line="240" w:lineRule="auto" w:before="56" w:after="0"/>
        <w:ind w:left="529" w:right="0" w:hanging="360"/>
        <w:jc w:val="both"/>
      </w:pPr>
      <w:r>
        <w:rPr/>
        <w:t>La transparencia en un gobierno</w:t>
      </w:r>
      <w:r>
        <w:rPr>
          <w:spacing w:val="-12"/>
        </w:rPr>
        <w:t> </w:t>
      </w:r>
      <w:r>
        <w:rPr/>
        <w:t>democrático</w:t>
      </w:r>
    </w:p>
    <w:p>
      <w:pPr>
        <w:pStyle w:val="BodyText"/>
        <w:rPr>
          <w:b/>
        </w:rPr>
      </w:pPr>
    </w:p>
    <w:p>
      <w:pPr>
        <w:pStyle w:val="BodyText"/>
        <w:rPr>
          <w:b/>
        </w:rPr>
      </w:pPr>
    </w:p>
    <w:p>
      <w:pPr>
        <w:pStyle w:val="BodyText"/>
        <w:spacing w:line="360" w:lineRule="auto" w:before="159"/>
        <w:ind w:left="102" w:right="118"/>
        <w:jc w:val="both"/>
      </w:pPr>
      <w:r>
        <w:rPr/>
        <w:t>La transparencia al igual que la democracia necesita de la participación ciudadana para consolidarse. Al respecto, Uvalle (2007) señala que, a la luz de los cambios democráticos, la gobernabilidad, la transparencia y la gobernanza abren paso a nuevas formas de convivencia, en las cuales la sociedad y el Estado revisan sus relaciones, ámbitos y espacios de acción para ampliar y fortalecer la convivencia republicana en términos modernos. En el caso de la transparencia, la igualdad permite que las personas civiles y los ciudadanos tengan un trato que posibilite invocar el derecho a la información, para conocer y evaluar la acción de los gobernantes.</w:t>
      </w:r>
    </w:p>
    <w:p>
      <w:pPr>
        <w:pStyle w:val="BodyText"/>
      </w:pPr>
    </w:p>
    <w:p>
      <w:pPr>
        <w:pStyle w:val="BodyText"/>
      </w:pPr>
    </w:p>
    <w:p>
      <w:pPr>
        <w:pStyle w:val="BodyText"/>
        <w:spacing w:line="360" w:lineRule="auto" w:before="185"/>
        <w:ind w:left="102" w:right="118"/>
        <w:jc w:val="both"/>
      </w:pPr>
      <w:r>
        <w:rPr/>
        <w:t>Santizo (2006) a través de evaluar los grados de transparencia, rendición de cuentas y participación social en la implementación del Programa de Escuelas de Calidad, describe cómo a través del involucramiento y participación directa de los actores clave en el programa se lograron mejores resultados del mismo que se tradujeron en más beneficios sociales.</w:t>
      </w:r>
    </w:p>
    <w:p>
      <w:pPr>
        <w:pStyle w:val="BodyText"/>
      </w:pPr>
    </w:p>
    <w:p>
      <w:pPr>
        <w:pStyle w:val="BodyText"/>
      </w:pPr>
    </w:p>
    <w:p>
      <w:pPr>
        <w:pStyle w:val="BodyText"/>
        <w:spacing w:before="7"/>
        <w:rPr>
          <w:sz w:val="19"/>
        </w:rPr>
      </w:pPr>
    </w:p>
    <w:p>
      <w:pPr>
        <w:pStyle w:val="BodyText"/>
        <w:spacing w:line="360" w:lineRule="auto"/>
        <w:ind w:left="102" w:right="117"/>
        <w:jc w:val="both"/>
      </w:pPr>
      <w:r>
        <w:rPr/>
        <w:t>La</w:t>
      </w:r>
      <w:r>
        <w:rPr>
          <w:spacing w:val="-10"/>
        </w:rPr>
        <w:t> </w:t>
      </w:r>
      <w:r>
        <w:rPr/>
        <w:t>transparencia,</w:t>
      </w:r>
      <w:r>
        <w:rPr>
          <w:spacing w:val="-8"/>
        </w:rPr>
        <w:t> </w:t>
      </w:r>
      <w:r>
        <w:rPr/>
        <w:t>dentro</w:t>
      </w:r>
      <w:r>
        <w:rPr>
          <w:spacing w:val="-9"/>
        </w:rPr>
        <w:t> </w:t>
      </w:r>
      <w:r>
        <w:rPr/>
        <w:t>de</w:t>
      </w:r>
      <w:r>
        <w:rPr>
          <w:spacing w:val="-10"/>
        </w:rPr>
        <w:t> </w:t>
      </w:r>
      <w:r>
        <w:rPr/>
        <w:t>un</w:t>
      </w:r>
      <w:r>
        <w:rPr>
          <w:spacing w:val="-8"/>
        </w:rPr>
        <w:t> </w:t>
      </w:r>
      <w:r>
        <w:rPr/>
        <w:t>contexto</w:t>
      </w:r>
      <w:r>
        <w:rPr>
          <w:spacing w:val="-8"/>
        </w:rPr>
        <w:t> </w:t>
      </w:r>
      <w:r>
        <w:rPr/>
        <w:t>democrático</w:t>
      </w:r>
      <w:r>
        <w:rPr>
          <w:spacing w:val="-8"/>
        </w:rPr>
        <w:t> </w:t>
      </w:r>
      <w:r>
        <w:rPr/>
        <w:t>cobra</w:t>
      </w:r>
      <w:r>
        <w:rPr>
          <w:spacing w:val="-11"/>
        </w:rPr>
        <w:t> </w:t>
      </w:r>
      <w:r>
        <w:rPr/>
        <w:t>relevancia</w:t>
      </w:r>
      <w:r>
        <w:rPr>
          <w:spacing w:val="-8"/>
        </w:rPr>
        <w:t> </w:t>
      </w:r>
      <w:r>
        <w:rPr/>
        <w:t>debido</w:t>
      </w:r>
      <w:r>
        <w:rPr>
          <w:spacing w:val="-10"/>
        </w:rPr>
        <w:t> </w:t>
      </w:r>
      <w:r>
        <w:rPr/>
        <w:t>a</w:t>
      </w:r>
      <w:r>
        <w:rPr>
          <w:spacing w:val="-10"/>
        </w:rPr>
        <w:t> </w:t>
      </w:r>
      <w:r>
        <w:rPr/>
        <w:t>que ésta es la única forma en que los ciudadanos pueden conocer lo que hace el gobierno con los impuestos que pagan, la operatividad de los programas sociales, niveles</w:t>
      </w:r>
      <w:r>
        <w:rPr>
          <w:spacing w:val="-8"/>
        </w:rPr>
        <w:t> </w:t>
      </w:r>
      <w:r>
        <w:rPr/>
        <w:t>de</w:t>
      </w:r>
      <w:r>
        <w:rPr>
          <w:spacing w:val="-10"/>
        </w:rPr>
        <w:t> </w:t>
      </w:r>
      <w:r>
        <w:rPr/>
        <w:t>educación,</w:t>
      </w:r>
      <w:r>
        <w:rPr>
          <w:spacing w:val="-11"/>
        </w:rPr>
        <w:t> </w:t>
      </w:r>
      <w:r>
        <w:rPr/>
        <w:t>seguridad,</w:t>
      </w:r>
      <w:r>
        <w:rPr>
          <w:spacing w:val="-11"/>
        </w:rPr>
        <w:t> </w:t>
      </w:r>
      <w:r>
        <w:rPr/>
        <w:t>empleo,</w:t>
      </w:r>
      <w:r>
        <w:rPr>
          <w:spacing w:val="-8"/>
        </w:rPr>
        <w:t> </w:t>
      </w:r>
      <w:r>
        <w:rPr/>
        <w:t>pobreza,</w:t>
      </w:r>
      <w:r>
        <w:rPr>
          <w:spacing w:val="-8"/>
        </w:rPr>
        <w:t> </w:t>
      </w:r>
      <w:r>
        <w:rPr/>
        <w:t>los</w:t>
      </w:r>
      <w:r>
        <w:rPr>
          <w:spacing w:val="-8"/>
        </w:rPr>
        <w:t> </w:t>
      </w:r>
      <w:r>
        <w:rPr/>
        <w:t>procedimientos</w:t>
      </w:r>
      <w:r>
        <w:rPr>
          <w:spacing w:val="-9"/>
        </w:rPr>
        <w:t> </w:t>
      </w:r>
      <w:r>
        <w:rPr/>
        <w:t>para</w:t>
      </w:r>
      <w:r>
        <w:rPr>
          <w:spacing w:val="-9"/>
        </w:rPr>
        <w:t> </w:t>
      </w:r>
      <w:r>
        <w:rPr/>
        <w:t>realizar trámites gubernamentales, entre otros aspectos que permiten conocer el desempeño del gobierno respecto a lo prometido en las campañas electorales (Ávila, 2013). Para Uvalle es importante porque “es el camino que permite a los ciudadanos conocer cómo se registra en las oficinas gubernamentales la información público-gubernamental, cuál es su origen y qué utilidad tienen para la adopción de las decisiones colectivas” (Uvalle,</w:t>
      </w:r>
      <w:r>
        <w:rPr>
          <w:spacing w:val="-22"/>
        </w:rPr>
        <w:t> </w:t>
      </w:r>
      <w:r>
        <w:rPr/>
        <w:t>2012:28).</w:t>
      </w:r>
    </w:p>
    <w:p>
      <w:pPr>
        <w:spacing w:after="0" w:line="360" w:lineRule="auto"/>
        <w:jc w:val="both"/>
        <w:sectPr>
          <w:pgSz w:w="12240" w:h="15840"/>
          <w:pgMar w:header="0" w:footer="1035" w:top="1360" w:bottom="1220" w:left="1600" w:right="1580"/>
        </w:sectPr>
      </w:pPr>
    </w:p>
    <w:p>
      <w:pPr>
        <w:pStyle w:val="BodyText"/>
        <w:spacing w:line="360" w:lineRule="auto" w:before="54"/>
        <w:ind w:left="122" w:right="114"/>
        <w:jc w:val="both"/>
      </w:pPr>
      <w:r>
        <w:rPr/>
        <w:t>La transparencia responde a lo público de la sociedad y da contenido público a la esfera del Estado, dado que es la oportunidad que tienen los habitantes de la vida civil para conocer el modo en que se administra, organiza y archiva la vida público- gubernamental que es requerida por los ciudadanos invocando el derecho de acceso a la información (Villanueva, 2005). Dentro de este escenario de derechos es pertinente señalar que la transparencia no es contraria al Estado ni tampoco implica desmantelarlo para que sea abierto sin límites a fin de que sea conocido desde</w:t>
      </w:r>
      <w:r>
        <w:rPr>
          <w:spacing w:val="-14"/>
        </w:rPr>
        <w:t> </w:t>
      </w:r>
      <w:r>
        <w:rPr/>
        <w:t>la</w:t>
      </w:r>
      <w:r>
        <w:rPr>
          <w:spacing w:val="-14"/>
        </w:rPr>
        <w:t> </w:t>
      </w:r>
      <w:r>
        <w:rPr/>
        <w:t>sociedad.</w:t>
      </w:r>
      <w:r>
        <w:rPr>
          <w:spacing w:val="-14"/>
        </w:rPr>
        <w:t> </w:t>
      </w:r>
      <w:r>
        <w:rPr/>
        <w:t>En</w:t>
      </w:r>
      <w:r>
        <w:rPr>
          <w:spacing w:val="-14"/>
        </w:rPr>
        <w:t> </w:t>
      </w:r>
      <w:r>
        <w:rPr/>
        <w:t>los</w:t>
      </w:r>
      <w:r>
        <w:rPr>
          <w:spacing w:val="-15"/>
        </w:rPr>
        <w:t> </w:t>
      </w:r>
      <w:r>
        <w:rPr/>
        <w:t>tiempos</w:t>
      </w:r>
      <w:r>
        <w:rPr>
          <w:spacing w:val="-17"/>
        </w:rPr>
        <w:t> </w:t>
      </w:r>
      <w:r>
        <w:rPr/>
        <w:t>de</w:t>
      </w:r>
      <w:r>
        <w:rPr>
          <w:spacing w:val="-14"/>
        </w:rPr>
        <w:t> </w:t>
      </w:r>
      <w:r>
        <w:rPr/>
        <w:t>las</w:t>
      </w:r>
      <w:r>
        <w:rPr>
          <w:spacing w:val="-14"/>
        </w:rPr>
        <w:t> </w:t>
      </w:r>
      <w:r>
        <w:rPr/>
        <w:t>sociedades</w:t>
      </w:r>
      <w:r>
        <w:rPr>
          <w:spacing w:val="-15"/>
        </w:rPr>
        <w:t> </w:t>
      </w:r>
      <w:r>
        <w:rPr/>
        <w:t>democráticas,</w:t>
      </w:r>
      <w:r>
        <w:rPr>
          <w:spacing w:val="-8"/>
        </w:rPr>
        <w:t> </w:t>
      </w:r>
      <w:r>
        <w:rPr/>
        <w:t>la</w:t>
      </w:r>
      <w:r>
        <w:rPr>
          <w:spacing w:val="-17"/>
        </w:rPr>
        <w:t> </w:t>
      </w:r>
      <w:r>
        <w:rPr/>
        <w:t>transparencia es reconocida por el Estado para dar respuesta a las exigencias del público ciudadano que tiene interés por conocer el significado de la información que se resguarda en los archivos gubernamentales (Uvalle,</w:t>
      </w:r>
      <w:r>
        <w:rPr>
          <w:spacing w:val="-21"/>
        </w:rPr>
        <w:t> </w:t>
      </w:r>
      <w:r>
        <w:rPr/>
        <w:t>2012).</w:t>
      </w:r>
    </w:p>
    <w:p>
      <w:pPr>
        <w:pStyle w:val="BodyText"/>
      </w:pPr>
    </w:p>
    <w:p>
      <w:pPr>
        <w:pStyle w:val="BodyText"/>
        <w:spacing w:before="10"/>
        <w:rPr>
          <w:sz w:val="29"/>
        </w:rPr>
      </w:pPr>
    </w:p>
    <w:p>
      <w:pPr>
        <w:pStyle w:val="BodyText"/>
        <w:spacing w:line="357" w:lineRule="auto"/>
        <w:ind w:left="122" w:right="116"/>
        <w:jc w:val="both"/>
      </w:pPr>
      <w:r>
        <w:rPr/>
        <w:t>En este sentido, cabe destacar que dichos sistemas además de garantizar reglas claras,</w:t>
      </w:r>
      <w:r>
        <w:rPr>
          <w:spacing w:val="-4"/>
        </w:rPr>
        <w:t> </w:t>
      </w:r>
      <w:r>
        <w:rPr/>
        <w:t>equitativas</w:t>
      </w:r>
      <w:r>
        <w:rPr>
          <w:spacing w:val="-4"/>
        </w:rPr>
        <w:t> </w:t>
      </w:r>
      <w:r>
        <w:rPr/>
        <w:t>y</w:t>
      </w:r>
      <w:r>
        <w:rPr>
          <w:spacing w:val="-7"/>
        </w:rPr>
        <w:t> </w:t>
      </w:r>
      <w:r>
        <w:rPr/>
        <w:t>confiables</w:t>
      </w:r>
      <w:r>
        <w:rPr>
          <w:spacing w:val="-6"/>
        </w:rPr>
        <w:t> </w:t>
      </w:r>
      <w:r>
        <w:rPr/>
        <w:t>para</w:t>
      </w:r>
      <w:r>
        <w:rPr>
          <w:spacing w:val="-4"/>
        </w:rPr>
        <w:t> </w:t>
      </w:r>
      <w:r>
        <w:rPr/>
        <w:t>la</w:t>
      </w:r>
      <w:r>
        <w:rPr>
          <w:spacing w:val="-4"/>
        </w:rPr>
        <w:t> </w:t>
      </w:r>
      <w:r>
        <w:rPr/>
        <w:t>competencia</w:t>
      </w:r>
      <w:r>
        <w:rPr>
          <w:spacing w:val="-4"/>
        </w:rPr>
        <w:t> </w:t>
      </w:r>
      <w:r>
        <w:rPr/>
        <w:t>electoral,</w:t>
      </w:r>
      <w:r>
        <w:rPr>
          <w:spacing w:val="-7"/>
        </w:rPr>
        <w:t> </w:t>
      </w:r>
      <w:r>
        <w:rPr/>
        <w:t>el</w:t>
      </w:r>
      <w:r>
        <w:rPr>
          <w:spacing w:val="-5"/>
        </w:rPr>
        <w:t> </w:t>
      </w:r>
      <w:r>
        <w:rPr/>
        <w:t>ascenso</w:t>
      </w:r>
      <w:r>
        <w:rPr>
          <w:spacing w:val="-4"/>
        </w:rPr>
        <w:t> </w:t>
      </w:r>
      <w:r>
        <w:rPr/>
        <w:t>al</w:t>
      </w:r>
      <w:r>
        <w:rPr>
          <w:spacing w:val="-7"/>
        </w:rPr>
        <w:t> </w:t>
      </w:r>
      <w:r>
        <w:rPr/>
        <w:t>poder</w:t>
      </w:r>
      <w:r>
        <w:rPr>
          <w:spacing w:val="-5"/>
        </w:rPr>
        <w:t> </w:t>
      </w:r>
      <w:r>
        <w:rPr/>
        <w:t>y la</w:t>
      </w:r>
      <w:r>
        <w:rPr>
          <w:spacing w:val="-7"/>
        </w:rPr>
        <w:t> </w:t>
      </w:r>
      <w:r>
        <w:rPr/>
        <w:t>distribución</w:t>
      </w:r>
      <w:r>
        <w:rPr>
          <w:spacing w:val="-9"/>
        </w:rPr>
        <w:t> </w:t>
      </w:r>
      <w:r>
        <w:rPr/>
        <w:t>de</w:t>
      </w:r>
      <w:r>
        <w:rPr>
          <w:spacing w:val="-9"/>
        </w:rPr>
        <w:t> </w:t>
      </w:r>
      <w:r>
        <w:rPr/>
        <w:t>recursos,</w:t>
      </w:r>
      <w:r>
        <w:rPr>
          <w:spacing w:val="-7"/>
        </w:rPr>
        <w:t> </w:t>
      </w:r>
      <w:r>
        <w:rPr/>
        <w:t>debe</w:t>
      </w:r>
      <w:r>
        <w:rPr>
          <w:spacing w:val="-9"/>
        </w:rPr>
        <w:t> </w:t>
      </w:r>
      <w:r>
        <w:rPr/>
        <w:t>también</w:t>
      </w:r>
      <w:r>
        <w:rPr>
          <w:spacing w:val="-7"/>
        </w:rPr>
        <w:t> </w:t>
      </w:r>
      <w:r>
        <w:rPr/>
        <w:t>proveer</w:t>
      </w:r>
      <w:r>
        <w:rPr>
          <w:spacing w:val="-8"/>
        </w:rPr>
        <w:t> </w:t>
      </w:r>
      <w:r>
        <w:rPr/>
        <w:t>canales</w:t>
      </w:r>
      <w:r>
        <w:rPr>
          <w:spacing w:val="-7"/>
        </w:rPr>
        <w:t> </w:t>
      </w:r>
      <w:r>
        <w:rPr/>
        <w:t>institucionales</w:t>
      </w:r>
      <w:r>
        <w:rPr>
          <w:spacing w:val="-7"/>
        </w:rPr>
        <w:t> </w:t>
      </w:r>
      <w:r>
        <w:rPr/>
        <w:t>de</w:t>
      </w:r>
      <w:r>
        <w:rPr>
          <w:spacing w:val="-7"/>
        </w:rPr>
        <w:t> </w:t>
      </w:r>
      <w:r>
        <w:rPr/>
        <w:t>acceso a la información para transparentar los asuntos públicos</w:t>
      </w:r>
      <w:r>
        <w:rPr>
          <w:position w:val="8"/>
          <w:sz w:val="16"/>
        </w:rPr>
        <w:t>17 </w:t>
      </w:r>
      <w:r>
        <w:rPr/>
        <w:t>que permitan a la sociedad, “representada por sus gobernantes”, conocer las decisiones que toma el gobierno</w:t>
      </w:r>
      <w:r>
        <w:rPr>
          <w:spacing w:val="-11"/>
        </w:rPr>
        <w:t> </w:t>
      </w:r>
      <w:r>
        <w:rPr/>
        <w:t>(Vergara,</w:t>
      </w:r>
      <w:r>
        <w:rPr>
          <w:spacing w:val="-11"/>
        </w:rPr>
        <w:t> </w:t>
      </w:r>
      <w:r>
        <w:rPr/>
        <w:t>2005).</w:t>
      </w:r>
      <w:r>
        <w:rPr>
          <w:spacing w:val="-12"/>
        </w:rPr>
        <w:t> </w:t>
      </w:r>
      <w:r>
        <w:rPr/>
        <w:t>En</w:t>
      </w:r>
      <w:r>
        <w:rPr>
          <w:spacing w:val="-11"/>
        </w:rPr>
        <w:t> </w:t>
      </w:r>
      <w:r>
        <w:rPr/>
        <w:t>la</w:t>
      </w:r>
      <w:r>
        <w:rPr>
          <w:spacing w:val="-11"/>
        </w:rPr>
        <w:t> </w:t>
      </w:r>
      <w:r>
        <w:rPr/>
        <w:t>antigua</w:t>
      </w:r>
      <w:r>
        <w:rPr>
          <w:spacing w:val="-8"/>
        </w:rPr>
        <w:t> </w:t>
      </w:r>
      <w:r>
        <w:rPr>
          <w:i/>
        </w:rPr>
        <w:t>Polis</w:t>
      </w:r>
      <w:r>
        <w:rPr>
          <w:i/>
          <w:spacing w:val="-14"/>
        </w:rPr>
        <w:t> </w:t>
      </w:r>
      <w:r>
        <w:rPr>
          <w:i/>
        </w:rPr>
        <w:t>griega</w:t>
      </w:r>
      <w:r>
        <w:rPr>
          <w:i/>
          <w:spacing w:val="-9"/>
        </w:rPr>
        <w:t> </w:t>
      </w:r>
      <w:r>
        <w:rPr/>
        <w:t>del</w:t>
      </w:r>
      <w:r>
        <w:rPr>
          <w:spacing w:val="-12"/>
        </w:rPr>
        <w:t> </w:t>
      </w:r>
      <w:r>
        <w:rPr/>
        <w:t>siglo</w:t>
      </w:r>
      <w:r>
        <w:rPr>
          <w:spacing w:val="-11"/>
        </w:rPr>
        <w:t> </w:t>
      </w:r>
      <w:r>
        <w:rPr/>
        <w:t>tercero</w:t>
      </w:r>
      <w:r>
        <w:rPr>
          <w:spacing w:val="-11"/>
        </w:rPr>
        <w:t> </w:t>
      </w:r>
      <w:r>
        <w:rPr/>
        <w:t>a.C.</w:t>
      </w:r>
      <w:r>
        <w:rPr>
          <w:spacing w:val="-11"/>
        </w:rPr>
        <w:t> </w:t>
      </w:r>
      <w:r>
        <w:rPr/>
        <w:t>donde</w:t>
      </w:r>
      <w:r>
        <w:rPr>
          <w:spacing w:val="-11"/>
        </w:rPr>
        <w:t> </w:t>
      </w:r>
      <w:r>
        <w:rPr/>
        <w:t>era evidente el involucramiento de los ciudadanos en la vida política de su país</w:t>
      </w:r>
      <w:r>
        <w:rPr>
          <w:position w:val="8"/>
          <w:sz w:val="16"/>
        </w:rPr>
        <w:t>18</w:t>
      </w:r>
      <w:r>
        <w:rPr/>
        <w:t>, ya que estos participaban directamente en las decisiones que se tomaban en relación a los asuntos públicos (Dahl,</w:t>
      </w:r>
      <w:r>
        <w:rPr>
          <w:spacing w:val="-12"/>
        </w:rPr>
        <w:t> </w:t>
      </w:r>
      <w:r>
        <w:rPr/>
        <w:t>1989).</w:t>
      </w:r>
    </w:p>
    <w:p>
      <w:pPr>
        <w:pStyle w:val="BodyText"/>
      </w:pPr>
    </w:p>
    <w:p>
      <w:pPr>
        <w:pStyle w:val="BodyText"/>
      </w:pPr>
    </w:p>
    <w:p>
      <w:pPr>
        <w:pStyle w:val="BodyText"/>
        <w:spacing w:line="360" w:lineRule="auto" w:before="190"/>
        <w:ind w:left="122" w:right="119"/>
        <w:jc w:val="both"/>
      </w:pPr>
      <w:r>
        <w:rPr/>
        <w:t>En México, la transparencia permite conocer lo que hace el gobierno con los impuestos que recibe, la operatividad de los programas sociales, niveles de educación, seguridad, empleo, pobreza, los procedimientos para realizar trámites gubernamentales, entre otros aspectos que permiten conocer el desempeño del gobierno respecto a lo prometido en las campañas electorales. Esta información permite al ciudadano hacer valoraciones antes de emitir su voto, utilizando éste</w:t>
      </w:r>
    </w:p>
    <w:p>
      <w:pPr>
        <w:pStyle w:val="BodyText"/>
        <w:spacing w:before="9"/>
        <w:rPr>
          <w:sz w:val="17"/>
        </w:rPr>
      </w:pPr>
      <w:r>
        <w:rPr/>
        <w:pict>
          <v:line style="position:absolute;mso-position-horizontal-relative:page;mso-position-vertical-relative:paragraph;z-index:3136;mso-wrap-distance-left:0;mso-wrap-distance-right:0" from="85.103996pt,12.593919pt" to="229.123996pt,12.593919pt" stroked="true" strokeweight=".71997pt" strokecolor="#000000">
            <w10:wrap type="topAndBottom"/>
          </v:line>
        </w:pict>
      </w:r>
    </w:p>
    <w:p>
      <w:pPr>
        <w:spacing w:before="66"/>
        <w:ind w:left="122" w:right="337" w:firstLine="0"/>
        <w:jc w:val="left"/>
        <w:rPr>
          <w:sz w:val="14"/>
        </w:rPr>
      </w:pPr>
      <w:r>
        <w:rPr>
          <w:position w:val="5"/>
          <w:sz w:val="9"/>
        </w:rPr>
        <w:t>17 </w:t>
      </w:r>
      <w:r>
        <w:rPr>
          <w:sz w:val="14"/>
        </w:rPr>
        <w:t>Se entiende por asuntos públicos todas las acciones que realiza el gobierno y que afectan de alguna manera a la sociedad.</w:t>
      </w:r>
    </w:p>
    <w:p>
      <w:pPr>
        <w:spacing w:line="244" w:lineRule="auto" w:before="5"/>
        <w:ind w:left="122" w:right="-15" w:firstLine="0"/>
        <w:jc w:val="left"/>
        <w:rPr>
          <w:rFonts w:ascii="Times New Roman" w:hAnsi="Times New Roman"/>
          <w:sz w:val="16"/>
        </w:rPr>
      </w:pPr>
      <w:r>
        <w:rPr>
          <w:rFonts w:ascii="Calibri" w:hAnsi="Calibri"/>
          <w:position w:val="5"/>
          <w:sz w:val="10"/>
        </w:rPr>
        <w:t>18 </w:t>
      </w:r>
      <w:r>
        <w:rPr>
          <w:rFonts w:ascii="Times New Roman" w:hAnsi="Times New Roman"/>
          <w:sz w:val="16"/>
        </w:rPr>
        <w:t>Debemos recordar que los ciudadanos era solamente los hombres que gozaban de reconocimiento, sin tomar en cuenta a los esclavos, las mujeres y los niños. Asimismo, que la polis era un grupo pequeño de personas que definían el rumbo de Grecia.</w:t>
      </w:r>
    </w:p>
    <w:p>
      <w:pPr>
        <w:spacing w:after="0" w:line="244" w:lineRule="auto"/>
        <w:jc w:val="left"/>
        <w:rPr>
          <w:rFonts w:ascii="Times New Roman" w:hAnsi="Times New Roman"/>
          <w:sz w:val="16"/>
        </w:rPr>
        <w:sectPr>
          <w:pgSz w:w="12240" w:h="15840"/>
          <w:pgMar w:header="0" w:footer="1035" w:top="1360" w:bottom="1220" w:left="1580" w:right="1580"/>
        </w:sectPr>
      </w:pPr>
    </w:p>
    <w:p>
      <w:pPr>
        <w:pStyle w:val="BodyText"/>
        <w:spacing w:line="362" w:lineRule="auto" w:before="54"/>
        <w:ind w:left="102" w:right="128"/>
        <w:jc w:val="both"/>
      </w:pPr>
      <w:r>
        <w:rPr/>
        <w:t>como premio al buen gobierno y votando nuevamente por el partido gobernante, o como castigo al mal gobierno votando por la oposición.</w:t>
      </w:r>
    </w:p>
    <w:p>
      <w:pPr>
        <w:pStyle w:val="BodyText"/>
      </w:pPr>
    </w:p>
    <w:p>
      <w:pPr>
        <w:pStyle w:val="BodyText"/>
      </w:pPr>
    </w:p>
    <w:p>
      <w:pPr>
        <w:pStyle w:val="BodyText"/>
        <w:spacing w:line="360" w:lineRule="auto" w:before="182"/>
        <w:ind w:left="102" w:right="122"/>
        <w:jc w:val="both"/>
      </w:pPr>
      <w:r>
        <w:rPr/>
        <w:t>El</w:t>
      </w:r>
      <w:r>
        <w:rPr>
          <w:spacing w:val="-19"/>
        </w:rPr>
        <w:t> </w:t>
      </w:r>
      <w:r>
        <w:rPr/>
        <w:t>punto</w:t>
      </w:r>
      <w:r>
        <w:rPr>
          <w:spacing w:val="-18"/>
        </w:rPr>
        <w:t> </w:t>
      </w:r>
      <w:r>
        <w:rPr/>
        <w:t>de</w:t>
      </w:r>
      <w:r>
        <w:rPr>
          <w:spacing w:val="-18"/>
        </w:rPr>
        <w:t> </w:t>
      </w:r>
      <w:r>
        <w:rPr/>
        <w:t>partida</w:t>
      </w:r>
      <w:r>
        <w:rPr>
          <w:spacing w:val="-18"/>
        </w:rPr>
        <w:t> </w:t>
      </w:r>
      <w:r>
        <w:rPr/>
        <w:t>de</w:t>
      </w:r>
      <w:r>
        <w:rPr>
          <w:spacing w:val="-18"/>
        </w:rPr>
        <w:t> </w:t>
      </w:r>
      <w:r>
        <w:rPr/>
        <w:t>la</w:t>
      </w:r>
      <w:r>
        <w:rPr>
          <w:spacing w:val="-18"/>
        </w:rPr>
        <w:t> </w:t>
      </w:r>
      <w:r>
        <w:rPr/>
        <w:t>transparencia</w:t>
      </w:r>
      <w:r>
        <w:rPr>
          <w:spacing w:val="-18"/>
        </w:rPr>
        <w:t> </w:t>
      </w:r>
      <w:r>
        <w:rPr/>
        <w:t>en</w:t>
      </w:r>
      <w:r>
        <w:rPr>
          <w:spacing w:val="-18"/>
        </w:rPr>
        <w:t> </w:t>
      </w:r>
      <w:r>
        <w:rPr/>
        <w:t>México</w:t>
      </w:r>
      <w:r>
        <w:rPr>
          <w:spacing w:val="-18"/>
        </w:rPr>
        <w:t> </w:t>
      </w:r>
      <w:r>
        <w:rPr/>
        <w:t>se</w:t>
      </w:r>
      <w:r>
        <w:rPr>
          <w:spacing w:val="-18"/>
        </w:rPr>
        <w:t> </w:t>
      </w:r>
      <w:r>
        <w:rPr/>
        <w:t>da</w:t>
      </w:r>
      <w:r>
        <w:rPr>
          <w:spacing w:val="-18"/>
        </w:rPr>
        <w:t> </w:t>
      </w:r>
      <w:r>
        <w:rPr/>
        <w:t>con</w:t>
      </w:r>
      <w:r>
        <w:rPr>
          <w:spacing w:val="-18"/>
        </w:rPr>
        <w:t> </w:t>
      </w:r>
      <w:r>
        <w:rPr/>
        <w:t>la</w:t>
      </w:r>
      <w:r>
        <w:rPr>
          <w:spacing w:val="-18"/>
        </w:rPr>
        <w:t> </w:t>
      </w:r>
      <w:r>
        <w:rPr/>
        <w:t>reforma</w:t>
      </w:r>
      <w:r>
        <w:rPr>
          <w:spacing w:val="-18"/>
        </w:rPr>
        <w:t> </w:t>
      </w:r>
      <w:r>
        <w:rPr/>
        <w:t>constitucional de</w:t>
      </w:r>
      <w:r>
        <w:rPr>
          <w:spacing w:val="-8"/>
        </w:rPr>
        <w:t> </w:t>
      </w:r>
      <w:r>
        <w:rPr/>
        <w:t>1977</w:t>
      </w:r>
      <w:r>
        <w:rPr>
          <w:spacing w:val="-8"/>
        </w:rPr>
        <w:t> </w:t>
      </w:r>
      <w:r>
        <w:rPr/>
        <w:t>que</w:t>
      </w:r>
      <w:r>
        <w:rPr>
          <w:spacing w:val="-6"/>
        </w:rPr>
        <w:t> </w:t>
      </w:r>
      <w:r>
        <w:rPr/>
        <w:t>incluyó</w:t>
      </w:r>
      <w:r>
        <w:rPr>
          <w:spacing w:val="-6"/>
        </w:rPr>
        <w:t> </w:t>
      </w:r>
      <w:r>
        <w:rPr/>
        <w:t>en</w:t>
      </w:r>
      <w:r>
        <w:rPr>
          <w:spacing w:val="-6"/>
        </w:rPr>
        <w:t> </w:t>
      </w:r>
      <w:r>
        <w:rPr/>
        <w:t>el</w:t>
      </w:r>
      <w:r>
        <w:rPr>
          <w:spacing w:val="-10"/>
        </w:rPr>
        <w:t> </w:t>
      </w:r>
      <w:r>
        <w:rPr/>
        <w:t>6</w:t>
      </w:r>
      <w:r>
        <w:rPr>
          <w:spacing w:val="-8"/>
        </w:rPr>
        <w:t> </w:t>
      </w:r>
      <w:r>
        <w:rPr/>
        <w:t>de</w:t>
      </w:r>
      <w:r>
        <w:rPr>
          <w:spacing w:val="-6"/>
        </w:rPr>
        <w:t> </w:t>
      </w:r>
      <w:r>
        <w:rPr/>
        <w:t>la</w:t>
      </w:r>
      <w:r>
        <w:rPr>
          <w:spacing w:val="-9"/>
        </w:rPr>
        <w:t> </w:t>
      </w:r>
      <w:r>
        <w:rPr/>
        <w:t>Constitución</w:t>
      </w:r>
      <w:r>
        <w:rPr>
          <w:spacing w:val="-6"/>
        </w:rPr>
        <w:t> </w:t>
      </w:r>
      <w:r>
        <w:rPr/>
        <w:t>de</w:t>
      </w:r>
      <w:r>
        <w:rPr>
          <w:spacing w:val="-6"/>
        </w:rPr>
        <w:t> </w:t>
      </w:r>
      <w:r>
        <w:rPr/>
        <w:t>los</w:t>
      </w:r>
      <w:r>
        <w:rPr>
          <w:spacing w:val="-9"/>
        </w:rPr>
        <w:t> </w:t>
      </w:r>
      <w:r>
        <w:rPr/>
        <w:t>Estado</w:t>
      </w:r>
      <w:r>
        <w:rPr>
          <w:spacing w:val="-8"/>
        </w:rPr>
        <w:t> </w:t>
      </w:r>
      <w:r>
        <w:rPr/>
        <w:t>Unidos</w:t>
      </w:r>
      <w:r>
        <w:rPr>
          <w:spacing w:val="-9"/>
        </w:rPr>
        <w:t> </w:t>
      </w:r>
      <w:r>
        <w:rPr/>
        <w:t>Mexicanos</w:t>
      </w:r>
      <w:r>
        <w:rPr>
          <w:spacing w:val="-7"/>
        </w:rPr>
        <w:t> </w:t>
      </w:r>
      <w:r>
        <w:rPr>
          <w:spacing w:val="-2"/>
        </w:rPr>
        <w:t>que </w:t>
      </w:r>
      <w:r>
        <w:rPr/>
        <w:t>el acceso de la información sería un derecho garantizado por el Estado, los programas implantados en el 2001 por el presidente Vicente Fox como consecuencia de la alternancia política, asimismo el grupo Oaxaca que en el año 2001 presentó el primero proyecto de ley en materia de transparencia, el cual fue revisado</w:t>
      </w:r>
      <w:r>
        <w:rPr>
          <w:spacing w:val="-3"/>
        </w:rPr>
        <w:t> </w:t>
      </w:r>
      <w:r>
        <w:rPr/>
        <w:t>y</w:t>
      </w:r>
      <w:r>
        <w:rPr>
          <w:spacing w:val="-3"/>
        </w:rPr>
        <w:t> </w:t>
      </w:r>
      <w:r>
        <w:rPr/>
        <w:t>corregido</w:t>
      </w:r>
      <w:r>
        <w:rPr>
          <w:spacing w:val="-2"/>
        </w:rPr>
        <w:t> </w:t>
      </w:r>
      <w:r>
        <w:rPr/>
        <w:t>por</w:t>
      </w:r>
      <w:r>
        <w:rPr>
          <w:spacing w:val="-4"/>
        </w:rPr>
        <w:t> </w:t>
      </w:r>
      <w:r>
        <w:rPr/>
        <w:t>el</w:t>
      </w:r>
      <w:r>
        <w:rPr>
          <w:spacing w:val="-4"/>
        </w:rPr>
        <w:t> </w:t>
      </w:r>
      <w:r>
        <w:rPr/>
        <w:t>Congreso</w:t>
      </w:r>
      <w:r>
        <w:rPr>
          <w:spacing w:val="-2"/>
        </w:rPr>
        <w:t> </w:t>
      </w:r>
      <w:r>
        <w:rPr/>
        <w:t>de</w:t>
      </w:r>
      <w:r>
        <w:rPr>
          <w:spacing w:val="-3"/>
        </w:rPr>
        <w:t> </w:t>
      </w:r>
      <w:r>
        <w:rPr/>
        <w:t>la</w:t>
      </w:r>
      <w:r>
        <w:rPr>
          <w:spacing w:val="1"/>
        </w:rPr>
        <w:t> </w:t>
      </w:r>
      <w:r>
        <w:rPr/>
        <w:t>Unión</w:t>
      </w:r>
      <w:r>
        <w:rPr>
          <w:spacing w:val="-3"/>
        </w:rPr>
        <w:t> </w:t>
      </w:r>
      <w:r>
        <w:rPr/>
        <w:t>y</w:t>
      </w:r>
      <w:r>
        <w:rPr>
          <w:spacing w:val="-6"/>
        </w:rPr>
        <w:t> </w:t>
      </w:r>
      <w:r>
        <w:rPr/>
        <w:t>que</w:t>
      </w:r>
      <w:r>
        <w:rPr>
          <w:spacing w:val="-3"/>
        </w:rPr>
        <w:t> </w:t>
      </w:r>
      <w:r>
        <w:rPr/>
        <w:t>se</w:t>
      </w:r>
      <w:r>
        <w:rPr>
          <w:spacing w:val="-3"/>
        </w:rPr>
        <w:t> </w:t>
      </w:r>
      <w:r>
        <w:rPr/>
        <w:t>convirtió</w:t>
      </w:r>
      <w:r>
        <w:rPr>
          <w:spacing w:val="-1"/>
        </w:rPr>
        <w:t> </w:t>
      </w:r>
      <w:r>
        <w:rPr/>
        <w:t>en</w:t>
      </w:r>
      <w:r>
        <w:rPr>
          <w:spacing w:val="-3"/>
        </w:rPr>
        <w:t> </w:t>
      </w:r>
      <w:r>
        <w:rPr/>
        <w:t>Ley</w:t>
      </w:r>
      <w:r>
        <w:rPr>
          <w:spacing w:val="-6"/>
        </w:rPr>
        <w:t> </w:t>
      </w:r>
      <w:r>
        <w:rPr/>
        <w:t>el</w:t>
      </w:r>
      <w:r>
        <w:rPr>
          <w:spacing w:val="-4"/>
        </w:rPr>
        <w:t> </w:t>
      </w:r>
      <w:r>
        <w:rPr/>
        <w:t>10</w:t>
      </w:r>
      <w:r>
        <w:rPr>
          <w:spacing w:val="-3"/>
        </w:rPr>
        <w:t> </w:t>
      </w:r>
      <w:r>
        <w:rPr/>
        <w:t>de junio de 2002 a través de un decreto presidencial (Transparencia Mexicana,</w:t>
      </w:r>
      <w:r>
        <w:rPr>
          <w:spacing w:val="-29"/>
        </w:rPr>
        <w:t> </w:t>
      </w:r>
      <w:r>
        <w:rPr/>
        <w:t>2011).</w:t>
      </w:r>
    </w:p>
    <w:p>
      <w:pPr>
        <w:pStyle w:val="BodyText"/>
      </w:pPr>
    </w:p>
    <w:p>
      <w:pPr>
        <w:pStyle w:val="BodyText"/>
      </w:pPr>
    </w:p>
    <w:p>
      <w:pPr>
        <w:pStyle w:val="BodyText"/>
        <w:spacing w:line="360" w:lineRule="auto" w:before="185"/>
        <w:ind w:left="102" w:right="115"/>
        <w:jc w:val="both"/>
      </w:pPr>
      <w:r>
        <w:rPr/>
        <w:t>Sin</w:t>
      </w:r>
      <w:r>
        <w:rPr>
          <w:spacing w:val="-12"/>
        </w:rPr>
        <w:t> </w:t>
      </w:r>
      <w:r>
        <w:rPr/>
        <w:t>embargo,</w:t>
      </w:r>
      <w:r>
        <w:rPr>
          <w:spacing w:val="-12"/>
        </w:rPr>
        <w:t> </w:t>
      </w:r>
      <w:r>
        <w:rPr/>
        <w:t>en</w:t>
      </w:r>
      <w:r>
        <w:rPr>
          <w:spacing w:val="-13"/>
        </w:rPr>
        <w:t> </w:t>
      </w:r>
      <w:r>
        <w:rPr/>
        <w:t>casi</w:t>
      </w:r>
      <w:r>
        <w:rPr>
          <w:spacing w:val="-13"/>
        </w:rPr>
        <w:t> </w:t>
      </w:r>
      <w:r>
        <w:rPr/>
        <w:t>cuatro</w:t>
      </w:r>
      <w:r>
        <w:rPr>
          <w:spacing w:val="-13"/>
        </w:rPr>
        <w:t> </w:t>
      </w:r>
      <w:r>
        <w:rPr/>
        <w:t>décadas</w:t>
      </w:r>
      <w:r>
        <w:rPr>
          <w:spacing w:val="-14"/>
        </w:rPr>
        <w:t> </w:t>
      </w:r>
      <w:r>
        <w:rPr/>
        <w:t>de</w:t>
      </w:r>
      <w:r>
        <w:rPr>
          <w:spacing w:val="-13"/>
        </w:rPr>
        <w:t> </w:t>
      </w:r>
      <w:r>
        <w:rPr/>
        <w:t>que</w:t>
      </w:r>
      <w:r>
        <w:rPr>
          <w:spacing w:val="-13"/>
        </w:rPr>
        <w:t> </w:t>
      </w:r>
      <w:r>
        <w:rPr/>
        <w:t>se</w:t>
      </w:r>
      <w:r>
        <w:rPr>
          <w:spacing w:val="-12"/>
        </w:rPr>
        <w:t> </w:t>
      </w:r>
      <w:r>
        <w:rPr/>
        <w:t>abrió</w:t>
      </w:r>
      <w:r>
        <w:rPr>
          <w:spacing w:val="-13"/>
        </w:rPr>
        <w:t> </w:t>
      </w:r>
      <w:r>
        <w:rPr/>
        <w:t>la</w:t>
      </w:r>
      <w:r>
        <w:rPr>
          <w:spacing w:val="-12"/>
        </w:rPr>
        <w:t> </w:t>
      </w:r>
      <w:r>
        <w:rPr/>
        <w:t>posibilidad</w:t>
      </w:r>
      <w:r>
        <w:rPr>
          <w:spacing w:val="-15"/>
        </w:rPr>
        <w:t> </w:t>
      </w:r>
      <w:r>
        <w:rPr/>
        <w:t>de</w:t>
      </w:r>
      <w:r>
        <w:rPr>
          <w:spacing w:val="-12"/>
        </w:rPr>
        <w:t> </w:t>
      </w:r>
      <w:r>
        <w:rPr/>
        <w:t>transparentar los</w:t>
      </w:r>
      <w:r>
        <w:rPr>
          <w:spacing w:val="-16"/>
        </w:rPr>
        <w:t> </w:t>
      </w:r>
      <w:r>
        <w:rPr/>
        <w:t>asuntos</w:t>
      </w:r>
      <w:r>
        <w:rPr>
          <w:spacing w:val="-16"/>
        </w:rPr>
        <w:t> </w:t>
      </w:r>
      <w:r>
        <w:rPr/>
        <w:t>públicos,</w:t>
      </w:r>
      <w:r>
        <w:rPr>
          <w:spacing w:val="-18"/>
        </w:rPr>
        <w:t> </w:t>
      </w:r>
      <w:r>
        <w:rPr/>
        <w:t>es</w:t>
      </w:r>
      <w:r>
        <w:rPr>
          <w:spacing w:val="-16"/>
        </w:rPr>
        <w:t> </w:t>
      </w:r>
      <w:r>
        <w:rPr/>
        <w:t>partir</w:t>
      </w:r>
      <w:r>
        <w:rPr>
          <w:spacing w:val="-17"/>
        </w:rPr>
        <w:t> </w:t>
      </w:r>
      <w:r>
        <w:rPr/>
        <w:t>del</w:t>
      </w:r>
      <w:r>
        <w:rPr>
          <w:spacing w:val="-17"/>
        </w:rPr>
        <w:t> </w:t>
      </w:r>
      <w:r>
        <w:rPr/>
        <w:t>año</w:t>
      </w:r>
      <w:r>
        <w:rPr>
          <w:spacing w:val="-16"/>
        </w:rPr>
        <w:t> </w:t>
      </w:r>
      <w:r>
        <w:rPr/>
        <w:t>2000</w:t>
      </w:r>
      <w:r>
        <w:rPr>
          <w:spacing w:val="-16"/>
        </w:rPr>
        <w:t> </w:t>
      </w:r>
      <w:r>
        <w:rPr/>
        <w:t>que,</w:t>
      </w:r>
      <w:r>
        <w:rPr>
          <w:spacing w:val="-16"/>
        </w:rPr>
        <w:t> </w:t>
      </w:r>
      <w:r>
        <w:rPr/>
        <w:t>con</w:t>
      </w:r>
      <w:r>
        <w:rPr>
          <w:spacing w:val="-18"/>
        </w:rPr>
        <w:t> </w:t>
      </w:r>
      <w:r>
        <w:rPr/>
        <w:t>motivo</w:t>
      </w:r>
      <w:r>
        <w:rPr>
          <w:spacing w:val="-16"/>
        </w:rPr>
        <w:t> </w:t>
      </w:r>
      <w:r>
        <w:rPr/>
        <w:t>de</w:t>
      </w:r>
      <w:r>
        <w:rPr>
          <w:spacing w:val="-16"/>
        </w:rPr>
        <w:t> </w:t>
      </w:r>
      <w:r>
        <w:rPr/>
        <w:t>la</w:t>
      </w:r>
      <w:r>
        <w:rPr>
          <w:spacing w:val="-16"/>
        </w:rPr>
        <w:t> </w:t>
      </w:r>
      <w:r>
        <w:rPr/>
        <w:t>alternancia</w:t>
      </w:r>
      <w:r>
        <w:rPr>
          <w:spacing w:val="-16"/>
        </w:rPr>
        <w:t> </w:t>
      </w:r>
      <w:r>
        <w:rPr/>
        <w:t>política debido</w:t>
      </w:r>
      <w:r>
        <w:rPr>
          <w:spacing w:val="-11"/>
        </w:rPr>
        <w:t> </w:t>
      </w:r>
      <w:r>
        <w:rPr/>
        <w:t>a</w:t>
      </w:r>
      <w:r>
        <w:rPr>
          <w:spacing w:val="-8"/>
        </w:rPr>
        <w:t> </w:t>
      </w:r>
      <w:r>
        <w:rPr/>
        <w:t>la</w:t>
      </w:r>
      <w:r>
        <w:rPr>
          <w:spacing w:val="-10"/>
        </w:rPr>
        <w:t> </w:t>
      </w:r>
      <w:r>
        <w:rPr/>
        <w:t>llegada</w:t>
      </w:r>
      <w:r>
        <w:rPr>
          <w:spacing w:val="-11"/>
        </w:rPr>
        <w:t> </w:t>
      </w:r>
      <w:r>
        <w:rPr/>
        <w:t>del</w:t>
      </w:r>
      <w:r>
        <w:rPr>
          <w:spacing w:val="-12"/>
        </w:rPr>
        <w:t> </w:t>
      </w:r>
      <w:r>
        <w:rPr/>
        <w:t>PAN</w:t>
      </w:r>
      <w:r>
        <w:rPr>
          <w:spacing w:val="-10"/>
        </w:rPr>
        <w:t> </w:t>
      </w:r>
      <w:r>
        <w:rPr/>
        <w:t>a</w:t>
      </w:r>
      <w:r>
        <w:rPr>
          <w:spacing w:val="-11"/>
        </w:rPr>
        <w:t> </w:t>
      </w:r>
      <w:r>
        <w:rPr/>
        <w:t>la</w:t>
      </w:r>
      <w:r>
        <w:rPr>
          <w:spacing w:val="-11"/>
        </w:rPr>
        <w:t> </w:t>
      </w:r>
      <w:r>
        <w:rPr/>
        <w:t>presidencia</w:t>
      </w:r>
      <w:r>
        <w:rPr>
          <w:spacing w:val="-11"/>
        </w:rPr>
        <w:t> </w:t>
      </w:r>
      <w:r>
        <w:rPr/>
        <w:t>de</w:t>
      </w:r>
      <w:r>
        <w:rPr>
          <w:spacing w:val="-8"/>
        </w:rPr>
        <w:t> </w:t>
      </w:r>
      <w:r>
        <w:rPr/>
        <w:t>República,</w:t>
      </w:r>
      <w:r>
        <w:rPr>
          <w:spacing w:val="-11"/>
        </w:rPr>
        <w:t> </w:t>
      </w:r>
      <w:r>
        <w:rPr/>
        <w:t>se</w:t>
      </w:r>
      <w:r>
        <w:rPr>
          <w:spacing w:val="-11"/>
        </w:rPr>
        <w:t> </w:t>
      </w:r>
      <w:r>
        <w:rPr/>
        <w:t>acentúan</w:t>
      </w:r>
      <w:r>
        <w:rPr>
          <w:spacing w:val="-7"/>
        </w:rPr>
        <w:t> </w:t>
      </w:r>
      <w:r>
        <w:rPr/>
        <w:t>los</w:t>
      </w:r>
      <w:r>
        <w:rPr>
          <w:spacing w:val="-12"/>
        </w:rPr>
        <w:t> </w:t>
      </w:r>
      <w:r>
        <w:rPr/>
        <w:t>estudios en esta materia. Dado que la transparencia tiene como ámbito de materialidad el espacio de lo público y en éste, los procesos del poder tienen que ser abiertos e interactivos porque responden al movimiento que los diversos actores de la sociedad tienen para conocer tanto la producción como la distribución de la información público-gubernamental con la intervención de las burocracias</w:t>
      </w:r>
      <w:r>
        <w:rPr>
          <w:spacing w:val="-42"/>
        </w:rPr>
        <w:t> </w:t>
      </w:r>
      <w:r>
        <w:rPr/>
        <w:t>estatales (Uvalle,</w:t>
      </w:r>
      <w:r>
        <w:rPr>
          <w:spacing w:val="-7"/>
        </w:rPr>
        <w:t> </w:t>
      </w:r>
      <w:r>
        <w:rPr/>
        <w:t>2012).</w:t>
      </w:r>
    </w:p>
    <w:p>
      <w:pPr>
        <w:pStyle w:val="BodyText"/>
      </w:pPr>
    </w:p>
    <w:p>
      <w:pPr>
        <w:pStyle w:val="BodyText"/>
      </w:pPr>
    </w:p>
    <w:p>
      <w:pPr>
        <w:pStyle w:val="BodyText"/>
        <w:spacing w:before="7"/>
        <w:rPr>
          <w:sz w:val="19"/>
        </w:rPr>
      </w:pPr>
    </w:p>
    <w:p>
      <w:pPr>
        <w:pStyle w:val="Heading1"/>
        <w:numPr>
          <w:ilvl w:val="0"/>
          <w:numId w:val="22"/>
        </w:numPr>
        <w:tabs>
          <w:tab w:pos="530" w:val="left" w:leader="none"/>
        </w:tabs>
        <w:spacing w:line="240" w:lineRule="auto" w:before="0" w:after="0"/>
        <w:ind w:left="529" w:right="0" w:hanging="360"/>
        <w:jc w:val="both"/>
      </w:pPr>
      <w:r>
        <w:rPr/>
        <w:t>Ventajas y limitaciones de la</w:t>
      </w:r>
      <w:r>
        <w:rPr>
          <w:spacing w:val="-16"/>
        </w:rPr>
        <w:t> </w:t>
      </w:r>
      <w:r>
        <w:rPr/>
        <w:t>transparencia</w:t>
      </w:r>
    </w:p>
    <w:p>
      <w:pPr>
        <w:pStyle w:val="BodyText"/>
        <w:rPr>
          <w:b/>
        </w:rPr>
      </w:pPr>
    </w:p>
    <w:p>
      <w:pPr>
        <w:pStyle w:val="BodyText"/>
        <w:rPr>
          <w:b/>
        </w:rPr>
      </w:pPr>
    </w:p>
    <w:p>
      <w:pPr>
        <w:pStyle w:val="BodyText"/>
        <w:spacing w:line="360" w:lineRule="auto" w:before="159"/>
        <w:ind w:left="102" w:right="115"/>
        <w:jc w:val="both"/>
      </w:pPr>
      <w:r>
        <w:rPr/>
        <w:t>La transparencia puede contribuir a la construcción de un gobierno más eficiente, por tal motivo Pardiñas y Granados (2012) señalan que los municipios, a pesar de que en los últimos años han recibido constantes incrementos en su presupuesto, han sido incapaces de mejorar su gestión para ser transparentes, mostrándose un</w:t>
      </w:r>
    </w:p>
    <w:p>
      <w:pPr>
        <w:spacing w:after="0" w:line="360" w:lineRule="auto"/>
        <w:jc w:val="both"/>
        <w:sectPr>
          <w:pgSz w:w="12240" w:h="15840"/>
          <w:pgMar w:header="0" w:footer="1035" w:top="1360" w:bottom="1220" w:left="1600" w:right="1580"/>
        </w:sectPr>
      </w:pPr>
    </w:p>
    <w:p>
      <w:pPr>
        <w:pStyle w:val="BodyText"/>
        <w:spacing w:line="362" w:lineRule="auto" w:before="54"/>
        <w:ind w:left="182" w:right="6"/>
      </w:pPr>
      <w:r>
        <w:rPr/>
        <w:t>problema caracterizado por la incongruencia entre mayor presupuesto y menor transparencia.</w:t>
      </w:r>
    </w:p>
    <w:p>
      <w:pPr>
        <w:pStyle w:val="BodyText"/>
      </w:pPr>
    </w:p>
    <w:p>
      <w:pPr>
        <w:pStyle w:val="BodyText"/>
      </w:pPr>
    </w:p>
    <w:p>
      <w:pPr>
        <w:pStyle w:val="BodyText"/>
        <w:spacing w:line="360" w:lineRule="auto" w:before="182"/>
        <w:ind w:left="182" w:right="6"/>
      </w:pPr>
      <w:r>
        <w:rPr/>
        <w:t>Dentro de las principales ventajas que se pueden tener al ser transparente se encuentran las siguientes:</w:t>
      </w:r>
    </w:p>
    <w:p>
      <w:pPr>
        <w:pStyle w:val="BodyText"/>
      </w:pPr>
    </w:p>
    <w:p>
      <w:pPr>
        <w:pStyle w:val="BodyText"/>
      </w:pPr>
    </w:p>
    <w:p>
      <w:pPr>
        <w:pStyle w:val="ListParagraph"/>
        <w:numPr>
          <w:ilvl w:val="0"/>
          <w:numId w:val="29"/>
        </w:numPr>
        <w:tabs>
          <w:tab w:pos="466" w:val="left" w:leader="none"/>
        </w:tabs>
        <w:spacing w:line="276" w:lineRule="auto" w:before="185" w:after="0"/>
        <w:ind w:left="465" w:right="126" w:hanging="360"/>
        <w:jc w:val="both"/>
        <w:rPr>
          <w:sz w:val="24"/>
        </w:rPr>
      </w:pPr>
      <w:r>
        <w:rPr>
          <w:sz w:val="24"/>
        </w:rPr>
        <w:t>La cultura de la transparencia fomenta la rendición de cuentas, legitima a las instituciones públicas y establece un puente de comunicación entre la sociedad y el gobierno (INFOEM 2011; FMI, 2014; Guerrero, 2008 y Obama,</w:t>
      </w:r>
      <w:r>
        <w:rPr>
          <w:spacing w:val="-20"/>
          <w:sz w:val="24"/>
        </w:rPr>
        <w:t> </w:t>
      </w:r>
      <w:r>
        <w:rPr>
          <w:sz w:val="24"/>
        </w:rPr>
        <w:t>2009).</w:t>
      </w:r>
    </w:p>
    <w:p>
      <w:pPr>
        <w:pStyle w:val="ListParagraph"/>
        <w:numPr>
          <w:ilvl w:val="0"/>
          <w:numId w:val="29"/>
        </w:numPr>
        <w:tabs>
          <w:tab w:pos="466" w:val="left" w:leader="none"/>
        </w:tabs>
        <w:spacing w:line="276" w:lineRule="auto" w:before="3" w:after="0"/>
        <w:ind w:left="465" w:right="119" w:hanging="360"/>
        <w:jc w:val="both"/>
        <w:rPr>
          <w:sz w:val="24"/>
        </w:rPr>
      </w:pPr>
      <w:r>
        <w:rPr>
          <w:sz w:val="24"/>
        </w:rPr>
        <w:t>Facilita</w:t>
      </w:r>
      <w:r>
        <w:rPr>
          <w:spacing w:val="-7"/>
          <w:sz w:val="24"/>
        </w:rPr>
        <w:t> </w:t>
      </w:r>
      <w:r>
        <w:rPr>
          <w:sz w:val="24"/>
        </w:rPr>
        <w:t>la</w:t>
      </w:r>
      <w:r>
        <w:rPr>
          <w:spacing w:val="-7"/>
          <w:sz w:val="24"/>
        </w:rPr>
        <w:t> </w:t>
      </w:r>
      <w:r>
        <w:rPr>
          <w:sz w:val="24"/>
        </w:rPr>
        <w:t>comunicación</w:t>
      </w:r>
      <w:r>
        <w:rPr>
          <w:spacing w:val="-5"/>
          <w:sz w:val="24"/>
        </w:rPr>
        <w:t> </w:t>
      </w:r>
      <w:r>
        <w:rPr>
          <w:sz w:val="24"/>
        </w:rPr>
        <w:t>y</w:t>
      </w:r>
      <w:r>
        <w:rPr>
          <w:spacing w:val="-10"/>
          <w:sz w:val="24"/>
        </w:rPr>
        <w:t> </w:t>
      </w:r>
      <w:r>
        <w:rPr>
          <w:sz w:val="24"/>
        </w:rPr>
        <w:t>propicia</w:t>
      </w:r>
      <w:r>
        <w:rPr>
          <w:spacing w:val="-6"/>
          <w:sz w:val="24"/>
        </w:rPr>
        <w:t> </w:t>
      </w:r>
      <w:r>
        <w:rPr>
          <w:sz w:val="24"/>
        </w:rPr>
        <w:t>una</w:t>
      </w:r>
      <w:r>
        <w:rPr>
          <w:spacing w:val="-7"/>
          <w:sz w:val="24"/>
        </w:rPr>
        <w:t> </w:t>
      </w:r>
      <w:r>
        <w:rPr>
          <w:sz w:val="24"/>
        </w:rPr>
        <w:t>relación</w:t>
      </w:r>
      <w:r>
        <w:rPr>
          <w:spacing w:val="-7"/>
          <w:sz w:val="24"/>
        </w:rPr>
        <w:t> </w:t>
      </w:r>
      <w:r>
        <w:rPr>
          <w:sz w:val="24"/>
        </w:rPr>
        <w:t>más</w:t>
      </w:r>
      <w:r>
        <w:rPr>
          <w:spacing w:val="-8"/>
          <w:sz w:val="24"/>
        </w:rPr>
        <w:t> </w:t>
      </w:r>
      <w:r>
        <w:rPr>
          <w:sz w:val="24"/>
        </w:rPr>
        <w:t>comprensiva</w:t>
      </w:r>
      <w:r>
        <w:rPr>
          <w:spacing w:val="-7"/>
          <w:sz w:val="24"/>
        </w:rPr>
        <w:t> </w:t>
      </w:r>
      <w:r>
        <w:rPr>
          <w:sz w:val="24"/>
        </w:rPr>
        <w:t>entre</w:t>
      </w:r>
      <w:r>
        <w:rPr>
          <w:spacing w:val="-7"/>
          <w:sz w:val="24"/>
        </w:rPr>
        <w:t> </w:t>
      </w:r>
      <w:r>
        <w:rPr>
          <w:sz w:val="24"/>
        </w:rPr>
        <w:t>los</w:t>
      </w:r>
      <w:r>
        <w:rPr>
          <w:spacing w:val="-7"/>
          <w:sz w:val="24"/>
        </w:rPr>
        <w:t> </w:t>
      </w:r>
      <w:r>
        <w:rPr>
          <w:sz w:val="24"/>
        </w:rPr>
        <w:t>seres humanos, al tiempo que permite ejercer vigilancia (Naessens,</w:t>
      </w:r>
      <w:r>
        <w:rPr>
          <w:spacing w:val="-21"/>
          <w:sz w:val="24"/>
        </w:rPr>
        <w:t> </w:t>
      </w:r>
      <w:r>
        <w:rPr>
          <w:sz w:val="24"/>
        </w:rPr>
        <w:t>2010).</w:t>
      </w:r>
    </w:p>
    <w:p>
      <w:pPr>
        <w:pStyle w:val="ListParagraph"/>
        <w:numPr>
          <w:ilvl w:val="0"/>
          <w:numId w:val="29"/>
        </w:numPr>
        <w:tabs>
          <w:tab w:pos="466" w:val="left" w:leader="none"/>
        </w:tabs>
        <w:spacing w:line="276" w:lineRule="auto" w:before="0" w:after="0"/>
        <w:ind w:left="465" w:right="118" w:hanging="360"/>
        <w:jc w:val="both"/>
        <w:rPr>
          <w:color w:val="221F1F"/>
          <w:sz w:val="24"/>
        </w:rPr>
      </w:pPr>
      <w:r>
        <w:rPr>
          <w:sz w:val="24"/>
        </w:rPr>
        <w:t>Promueve la operación ordenada y eficiente de los mercados financieros</w:t>
      </w:r>
      <w:r>
        <w:rPr>
          <w:spacing w:val="-36"/>
          <w:sz w:val="24"/>
        </w:rPr>
        <w:t> </w:t>
      </w:r>
      <w:r>
        <w:rPr>
          <w:sz w:val="24"/>
        </w:rPr>
        <w:t>porque mantiene mejor informados a los participantes </w:t>
      </w:r>
      <w:r>
        <w:rPr>
          <w:color w:val="221F1F"/>
          <w:sz w:val="24"/>
        </w:rPr>
        <w:t>(FMI,</w:t>
      </w:r>
      <w:r>
        <w:rPr>
          <w:color w:val="221F1F"/>
          <w:spacing w:val="-13"/>
          <w:sz w:val="24"/>
        </w:rPr>
        <w:t> </w:t>
      </w:r>
      <w:r>
        <w:rPr>
          <w:color w:val="221F1F"/>
          <w:sz w:val="24"/>
        </w:rPr>
        <w:t>2001).</w:t>
      </w:r>
    </w:p>
    <w:p>
      <w:pPr>
        <w:pStyle w:val="ListParagraph"/>
        <w:numPr>
          <w:ilvl w:val="0"/>
          <w:numId w:val="29"/>
        </w:numPr>
        <w:tabs>
          <w:tab w:pos="466" w:val="left" w:leader="none"/>
        </w:tabs>
        <w:spacing w:line="240" w:lineRule="auto" w:before="3" w:after="0"/>
        <w:ind w:left="465" w:right="0" w:hanging="360"/>
        <w:jc w:val="left"/>
        <w:rPr>
          <w:sz w:val="24"/>
        </w:rPr>
      </w:pPr>
      <w:r>
        <w:rPr>
          <w:sz w:val="24"/>
        </w:rPr>
        <w:t>Reduce las oportunidades de corrupción (</w:t>
      </w:r>
      <w:r>
        <w:rPr>
          <w:color w:val="221F1F"/>
          <w:sz w:val="24"/>
        </w:rPr>
        <w:t>FMI,</w:t>
      </w:r>
      <w:r>
        <w:rPr>
          <w:color w:val="221F1F"/>
          <w:spacing w:val="-14"/>
          <w:sz w:val="24"/>
        </w:rPr>
        <w:t> </w:t>
      </w:r>
      <w:r>
        <w:rPr>
          <w:color w:val="221F1F"/>
          <w:sz w:val="24"/>
        </w:rPr>
        <w:t>2001).</w:t>
      </w:r>
    </w:p>
    <w:p>
      <w:pPr>
        <w:pStyle w:val="ListParagraph"/>
        <w:numPr>
          <w:ilvl w:val="0"/>
          <w:numId w:val="29"/>
        </w:numPr>
        <w:tabs>
          <w:tab w:pos="466" w:val="left" w:leader="none"/>
        </w:tabs>
        <w:spacing w:line="276" w:lineRule="auto" w:before="41" w:after="0"/>
        <w:ind w:left="465" w:right="118" w:hanging="360"/>
        <w:jc w:val="both"/>
        <w:rPr>
          <w:sz w:val="24"/>
        </w:rPr>
      </w:pPr>
      <w:r>
        <w:rPr>
          <w:sz w:val="24"/>
        </w:rPr>
        <w:t>Permite conocer la información que, como bien público, interesa a los miembros de</w:t>
      </w:r>
      <w:r>
        <w:rPr>
          <w:spacing w:val="-6"/>
          <w:sz w:val="24"/>
        </w:rPr>
        <w:t> </w:t>
      </w:r>
      <w:r>
        <w:rPr>
          <w:sz w:val="24"/>
        </w:rPr>
        <w:t>la</w:t>
      </w:r>
      <w:r>
        <w:rPr>
          <w:spacing w:val="-6"/>
          <w:sz w:val="24"/>
        </w:rPr>
        <w:t> </w:t>
      </w:r>
      <w:r>
        <w:rPr>
          <w:sz w:val="24"/>
        </w:rPr>
        <w:t>sociedad,</w:t>
      </w:r>
      <w:r>
        <w:rPr>
          <w:spacing w:val="-9"/>
          <w:sz w:val="24"/>
        </w:rPr>
        <w:t> </w:t>
      </w:r>
      <w:r>
        <w:rPr>
          <w:sz w:val="24"/>
        </w:rPr>
        <w:t>desde</w:t>
      </w:r>
      <w:r>
        <w:rPr>
          <w:spacing w:val="-11"/>
          <w:sz w:val="24"/>
        </w:rPr>
        <w:t> </w:t>
      </w:r>
      <w:r>
        <w:rPr>
          <w:sz w:val="24"/>
        </w:rPr>
        <w:t>el</w:t>
      </w:r>
      <w:r>
        <w:rPr>
          <w:spacing w:val="-7"/>
          <w:sz w:val="24"/>
        </w:rPr>
        <w:t> </w:t>
      </w:r>
      <w:r>
        <w:rPr>
          <w:sz w:val="24"/>
        </w:rPr>
        <w:t>momento</w:t>
      </w:r>
      <w:r>
        <w:rPr>
          <w:spacing w:val="-8"/>
          <w:sz w:val="24"/>
        </w:rPr>
        <w:t> </w:t>
      </w:r>
      <w:r>
        <w:rPr>
          <w:sz w:val="24"/>
        </w:rPr>
        <w:t>en</w:t>
      </w:r>
      <w:r>
        <w:rPr>
          <w:spacing w:val="-8"/>
          <w:sz w:val="24"/>
        </w:rPr>
        <w:t> </w:t>
      </w:r>
      <w:r>
        <w:rPr>
          <w:sz w:val="24"/>
        </w:rPr>
        <w:t>que</w:t>
      </w:r>
      <w:r>
        <w:rPr>
          <w:spacing w:val="-8"/>
          <w:sz w:val="24"/>
        </w:rPr>
        <w:t> </w:t>
      </w:r>
      <w:r>
        <w:rPr>
          <w:sz w:val="24"/>
        </w:rPr>
        <w:t>la</w:t>
      </w:r>
      <w:r>
        <w:rPr>
          <w:spacing w:val="-9"/>
          <w:sz w:val="24"/>
        </w:rPr>
        <w:t> </w:t>
      </w:r>
      <w:r>
        <w:rPr>
          <w:sz w:val="24"/>
        </w:rPr>
        <w:t>vida</w:t>
      </w:r>
      <w:r>
        <w:rPr>
          <w:spacing w:val="-6"/>
          <w:sz w:val="24"/>
        </w:rPr>
        <w:t> </w:t>
      </w:r>
      <w:r>
        <w:rPr>
          <w:sz w:val="24"/>
        </w:rPr>
        <w:t>civil</w:t>
      </w:r>
      <w:r>
        <w:rPr>
          <w:spacing w:val="-7"/>
          <w:sz w:val="24"/>
        </w:rPr>
        <w:t> </w:t>
      </w:r>
      <w:r>
        <w:rPr>
          <w:sz w:val="24"/>
        </w:rPr>
        <w:t>es</w:t>
      </w:r>
      <w:r>
        <w:rPr>
          <w:spacing w:val="-7"/>
          <w:sz w:val="24"/>
        </w:rPr>
        <w:t> </w:t>
      </w:r>
      <w:r>
        <w:rPr>
          <w:sz w:val="24"/>
        </w:rPr>
        <w:t>la</w:t>
      </w:r>
      <w:r>
        <w:rPr>
          <w:spacing w:val="-11"/>
          <w:sz w:val="24"/>
        </w:rPr>
        <w:t> </w:t>
      </w:r>
      <w:r>
        <w:rPr>
          <w:sz w:val="24"/>
        </w:rPr>
        <w:t>fuente</w:t>
      </w:r>
      <w:r>
        <w:rPr>
          <w:spacing w:val="-6"/>
          <w:sz w:val="24"/>
        </w:rPr>
        <w:t> </w:t>
      </w:r>
      <w:r>
        <w:rPr>
          <w:sz w:val="24"/>
        </w:rPr>
        <w:t>que</w:t>
      </w:r>
      <w:r>
        <w:rPr>
          <w:spacing w:val="-6"/>
          <w:sz w:val="24"/>
        </w:rPr>
        <w:t> </w:t>
      </w:r>
      <w:r>
        <w:rPr>
          <w:sz w:val="24"/>
        </w:rPr>
        <w:t>genera</w:t>
      </w:r>
      <w:r>
        <w:rPr>
          <w:spacing w:val="-9"/>
          <w:sz w:val="24"/>
        </w:rPr>
        <w:t> </w:t>
      </w:r>
      <w:r>
        <w:rPr>
          <w:sz w:val="24"/>
        </w:rPr>
        <w:t>los datos que se convierten en motivo de interés público para institucionalizar el derecho de acceso a la información (Uvalle,</w:t>
      </w:r>
      <w:r>
        <w:rPr>
          <w:spacing w:val="-23"/>
          <w:sz w:val="24"/>
        </w:rPr>
        <w:t> </w:t>
      </w:r>
      <w:r>
        <w:rPr>
          <w:sz w:val="24"/>
        </w:rPr>
        <w:t>2012).</w:t>
      </w:r>
    </w:p>
    <w:p>
      <w:pPr>
        <w:pStyle w:val="ListParagraph"/>
        <w:numPr>
          <w:ilvl w:val="0"/>
          <w:numId w:val="29"/>
        </w:numPr>
        <w:tabs>
          <w:tab w:pos="466" w:val="left" w:leader="none"/>
        </w:tabs>
        <w:spacing w:line="276" w:lineRule="auto" w:before="0" w:after="0"/>
        <w:ind w:left="465" w:right="125" w:hanging="360"/>
        <w:jc w:val="both"/>
        <w:rPr>
          <w:sz w:val="24"/>
        </w:rPr>
      </w:pPr>
      <w:r>
        <w:rPr>
          <w:sz w:val="24"/>
        </w:rPr>
        <w:t>Se avanza hacia una nueva gobernanza que tiende hacia la democratización y vigilancia del aparato estatal (Uvalle,</w:t>
      </w:r>
      <w:r>
        <w:rPr>
          <w:spacing w:val="-14"/>
          <w:sz w:val="24"/>
        </w:rPr>
        <w:t> </w:t>
      </w:r>
      <w:r>
        <w:rPr>
          <w:sz w:val="24"/>
        </w:rPr>
        <w:t>2012).</w:t>
      </w:r>
    </w:p>
    <w:p>
      <w:pPr>
        <w:pStyle w:val="ListParagraph"/>
        <w:numPr>
          <w:ilvl w:val="0"/>
          <w:numId w:val="29"/>
        </w:numPr>
        <w:tabs>
          <w:tab w:pos="466" w:val="left" w:leader="none"/>
        </w:tabs>
        <w:spacing w:line="276" w:lineRule="auto" w:before="0" w:after="0"/>
        <w:ind w:left="465" w:right="117" w:hanging="360"/>
        <w:jc w:val="both"/>
        <w:rPr>
          <w:sz w:val="24"/>
        </w:rPr>
      </w:pPr>
      <w:r>
        <w:rPr>
          <w:sz w:val="24"/>
        </w:rPr>
        <w:t>Con</w:t>
      </w:r>
      <w:r>
        <w:rPr>
          <w:spacing w:val="-11"/>
          <w:sz w:val="24"/>
        </w:rPr>
        <w:t> </w:t>
      </w:r>
      <w:r>
        <w:rPr>
          <w:sz w:val="24"/>
        </w:rPr>
        <w:t>una</w:t>
      </w:r>
      <w:r>
        <w:rPr>
          <w:spacing w:val="-12"/>
          <w:sz w:val="24"/>
        </w:rPr>
        <w:t> </w:t>
      </w:r>
      <w:r>
        <w:rPr>
          <w:sz w:val="24"/>
        </w:rPr>
        <w:t>política</w:t>
      </w:r>
      <w:r>
        <w:rPr>
          <w:spacing w:val="-12"/>
          <w:sz w:val="24"/>
        </w:rPr>
        <w:t> </w:t>
      </w:r>
      <w:r>
        <w:rPr>
          <w:sz w:val="24"/>
        </w:rPr>
        <w:t>de</w:t>
      </w:r>
      <w:r>
        <w:rPr>
          <w:spacing w:val="-12"/>
          <w:sz w:val="24"/>
        </w:rPr>
        <w:t> </w:t>
      </w:r>
      <w:r>
        <w:rPr>
          <w:sz w:val="24"/>
        </w:rPr>
        <w:t>transparencia</w:t>
      </w:r>
      <w:r>
        <w:rPr>
          <w:spacing w:val="-12"/>
          <w:sz w:val="24"/>
        </w:rPr>
        <w:t> </w:t>
      </w:r>
      <w:r>
        <w:rPr>
          <w:sz w:val="24"/>
        </w:rPr>
        <w:t>gana</w:t>
      </w:r>
      <w:r>
        <w:rPr>
          <w:spacing w:val="-12"/>
          <w:sz w:val="24"/>
        </w:rPr>
        <w:t> </w:t>
      </w:r>
      <w:r>
        <w:rPr>
          <w:sz w:val="24"/>
        </w:rPr>
        <w:t>el</w:t>
      </w:r>
      <w:r>
        <w:rPr>
          <w:spacing w:val="-13"/>
          <w:sz w:val="24"/>
        </w:rPr>
        <w:t> </w:t>
      </w:r>
      <w:r>
        <w:rPr>
          <w:sz w:val="24"/>
        </w:rPr>
        <w:t>público</w:t>
      </w:r>
      <w:r>
        <w:rPr>
          <w:spacing w:val="-12"/>
          <w:sz w:val="24"/>
        </w:rPr>
        <w:t> </w:t>
      </w:r>
      <w:r>
        <w:rPr>
          <w:sz w:val="24"/>
        </w:rPr>
        <w:t>pero</w:t>
      </w:r>
      <w:r>
        <w:rPr>
          <w:spacing w:val="-12"/>
          <w:sz w:val="24"/>
        </w:rPr>
        <w:t> </w:t>
      </w:r>
      <w:r>
        <w:rPr>
          <w:sz w:val="24"/>
        </w:rPr>
        <w:t>también</w:t>
      </w:r>
      <w:r>
        <w:rPr>
          <w:spacing w:val="-11"/>
          <w:sz w:val="24"/>
        </w:rPr>
        <w:t> </w:t>
      </w:r>
      <w:r>
        <w:rPr>
          <w:sz w:val="24"/>
        </w:rPr>
        <w:t>gana</w:t>
      </w:r>
      <w:r>
        <w:rPr>
          <w:spacing w:val="-12"/>
          <w:sz w:val="24"/>
        </w:rPr>
        <w:t> </w:t>
      </w:r>
      <w:r>
        <w:rPr>
          <w:sz w:val="24"/>
        </w:rPr>
        <w:t>el</w:t>
      </w:r>
      <w:r>
        <w:rPr>
          <w:spacing w:val="-13"/>
          <w:sz w:val="24"/>
        </w:rPr>
        <w:t> </w:t>
      </w:r>
      <w:r>
        <w:rPr>
          <w:sz w:val="24"/>
        </w:rPr>
        <w:t>gobierno, pues</w:t>
      </w:r>
      <w:r>
        <w:rPr>
          <w:spacing w:val="-14"/>
          <w:sz w:val="24"/>
        </w:rPr>
        <w:t> </w:t>
      </w:r>
      <w:r>
        <w:rPr>
          <w:sz w:val="24"/>
        </w:rPr>
        <w:t>a</w:t>
      </w:r>
      <w:r>
        <w:rPr>
          <w:spacing w:val="-16"/>
          <w:sz w:val="24"/>
        </w:rPr>
        <w:t> </w:t>
      </w:r>
      <w:r>
        <w:rPr>
          <w:sz w:val="24"/>
        </w:rPr>
        <w:t>través</w:t>
      </w:r>
      <w:r>
        <w:rPr>
          <w:spacing w:val="-14"/>
          <w:sz w:val="24"/>
        </w:rPr>
        <w:t> </w:t>
      </w:r>
      <w:r>
        <w:rPr>
          <w:sz w:val="24"/>
        </w:rPr>
        <w:t>de</w:t>
      </w:r>
      <w:r>
        <w:rPr>
          <w:spacing w:val="-13"/>
          <w:sz w:val="24"/>
        </w:rPr>
        <w:t> </w:t>
      </w:r>
      <w:r>
        <w:rPr>
          <w:sz w:val="24"/>
        </w:rPr>
        <w:t>la</w:t>
      </w:r>
      <w:r>
        <w:rPr>
          <w:spacing w:val="-13"/>
          <w:sz w:val="24"/>
        </w:rPr>
        <w:t> </w:t>
      </w:r>
      <w:r>
        <w:rPr>
          <w:sz w:val="24"/>
        </w:rPr>
        <w:t>publicidad</w:t>
      </w:r>
      <w:r>
        <w:rPr>
          <w:spacing w:val="-13"/>
          <w:sz w:val="24"/>
        </w:rPr>
        <w:t> </w:t>
      </w:r>
      <w:r>
        <w:rPr>
          <w:sz w:val="24"/>
        </w:rPr>
        <w:t>de</w:t>
      </w:r>
      <w:r>
        <w:rPr>
          <w:spacing w:val="-13"/>
          <w:sz w:val="24"/>
        </w:rPr>
        <w:t> </w:t>
      </w:r>
      <w:r>
        <w:rPr>
          <w:sz w:val="24"/>
        </w:rPr>
        <w:t>sus</w:t>
      </w:r>
      <w:r>
        <w:rPr>
          <w:spacing w:val="-16"/>
          <w:sz w:val="24"/>
        </w:rPr>
        <w:t> </w:t>
      </w:r>
      <w:r>
        <w:rPr>
          <w:sz w:val="24"/>
        </w:rPr>
        <w:t>acciones</w:t>
      </w:r>
      <w:r>
        <w:rPr>
          <w:spacing w:val="-16"/>
          <w:sz w:val="24"/>
        </w:rPr>
        <w:t> </w:t>
      </w:r>
      <w:r>
        <w:rPr>
          <w:sz w:val="24"/>
        </w:rPr>
        <w:t>se</w:t>
      </w:r>
      <w:r>
        <w:rPr>
          <w:spacing w:val="-13"/>
          <w:sz w:val="24"/>
        </w:rPr>
        <w:t> </w:t>
      </w:r>
      <w:r>
        <w:rPr>
          <w:sz w:val="24"/>
        </w:rPr>
        <w:t>pone</w:t>
      </w:r>
      <w:r>
        <w:rPr>
          <w:spacing w:val="-13"/>
          <w:sz w:val="24"/>
        </w:rPr>
        <w:t> </w:t>
      </w:r>
      <w:r>
        <w:rPr>
          <w:sz w:val="24"/>
        </w:rPr>
        <w:t>en</w:t>
      </w:r>
      <w:r>
        <w:rPr>
          <w:spacing w:val="-16"/>
          <w:sz w:val="24"/>
        </w:rPr>
        <w:t> </w:t>
      </w:r>
      <w:r>
        <w:rPr>
          <w:sz w:val="24"/>
        </w:rPr>
        <w:t>marcha</w:t>
      </w:r>
      <w:r>
        <w:rPr>
          <w:spacing w:val="-13"/>
          <w:sz w:val="24"/>
        </w:rPr>
        <w:t> </w:t>
      </w:r>
      <w:r>
        <w:rPr>
          <w:sz w:val="24"/>
        </w:rPr>
        <w:t>un</w:t>
      </w:r>
      <w:r>
        <w:rPr>
          <w:spacing w:val="-13"/>
          <w:sz w:val="24"/>
        </w:rPr>
        <w:t> </w:t>
      </w:r>
      <w:r>
        <w:rPr>
          <w:sz w:val="24"/>
        </w:rPr>
        <w:t>mecanismo de</w:t>
      </w:r>
      <w:r>
        <w:rPr>
          <w:spacing w:val="-17"/>
          <w:sz w:val="24"/>
        </w:rPr>
        <w:t> </w:t>
      </w:r>
      <w:r>
        <w:rPr>
          <w:sz w:val="24"/>
        </w:rPr>
        <w:t>rendición</w:t>
      </w:r>
      <w:r>
        <w:rPr>
          <w:spacing w:val="-19"/>
          <w:sz w:val="24"/>
        </w:rPr>
        <w:t> </w:t>
      </w:r>
      <w:r>
        <w:rPr>
          <w:sz w:val="24"/>
        </w:rPr>
        <w:t>de</w:t>
      </w:r>
      <w:r>
        <w:rPr>
          <w:spacing w:val="-17"/>
          <w:sz w:val="24"/>
        </w:rPr>
        <w:t> </w:t>
      </w:r>
      <w:r>
        <w:rPr>
          <w:sz w:val="24"/>
        </w:rPr>
        <w:t>cuentas</w:t>
      </w:r>
      <w:r>
        <w:rPr>
          <w:spacing w:val="-17"/>
          <w:sz w:val="24"/>
        </w:rPr>
        <w:t> </w:t>
      </w:r>
      <w:r>
        <w:rPr>
          <w:sz w:val="24"/>
        </w:rPr>
        <w:t>que</w:t>
      </w:r>
      <w:r>
        <w:rPr>
          <w:spacing w:val="-19"/>
          <w:sz w:val="24"/>
        </w:rPr>
        <w:t> </w:t>
      </w:r>
      <w:r>
        <w:rPr>
          <w:sz w:val="24"/>
        </w:rPr>
        <w:t>expone</w:t>
      </w:r>
      <w:r>
        <w:rPr>
          <w:spacing w:val="-19"/>
          <w:sz w:val="24"/>
        </w:rPr>
        <w:t> </w:t>
      </w:r>
      <w:r>
        <w:rPr>
          <w:sz w:val="24"/>
        </w:rPr>
        <w:t>su</w:t>
      </w:r>
      <w:r>
        <w:rPr>
          <w:spacing w:val="-19"/>
          <w:sz w:val="24"/>
        </w:rPr>
        <w:t> </w:t>
      </w:r>
      <w:r>
        <w:rPr>
          <w:sz w:val="24"/>
        </w:rPr>
        <w:t>gestión</w:t>
      </w:r>
      <w:r>
        <w:rPr>
          <w:spacing w:val="-17"/>
          <w:sz w:val="24"/>
        </w:rPr>
        <w:t> </w:t>
      </w:r>
      <w:r>
        <w:rPr>
          <w:sz w:val="24"/>
        </w:rPr>
        <w:t>a</w:t>
      </w:r>
      <w:r>
        <w:rPr>
          <w:spacing w:val="-19"/>
          <w:sz w:val="24"/>
        </w:rPr>
        <w:t> </w:t>
      </w:r>
      <w:r>
        <w:rPr>
          <w:sz w:val="24"/>
        </w:rPr>
        <w:t>la</w:t>
      </w:r>
      <w:r>
        <w:rPr>
          <w:spacing w:val="-19"/>
          <w:sz w:val="24"/>
        </w:rPr>
        <w:t> </w:t>
      </w:r>
      <w:r>
        <w:rPr>
          <w:sz w:val="24"/>
        </w:rPr>
        <w:t>crítica</w:t>
      </w:r>
      <w:r>
        <w:rPr>
          <w:spacing w:val="-17"/>
          <w:sz w:val="24"/>
        </w:rPr>
        <w:t> </w:t>
      </w:r>
      <w:r>
        <w:rPr>
          <w:sz w:val="24"/>
        </w:rPr>
        <w:t>y</w:t>
      </w:r>
      <w:r>
        <w:rPr>
          <w:spacing w:val="-20"/>
          <w:sz w:val="24"/>
        </w:rPr>
        <w:t> </w:t>
      </w:r>
      <w:r>
        <w:rPr>
          <w:sz w:val="24"/>
        </w:rPr>
        <w:t>deliberación</w:t>
      </w:r>
      <w:r>
        <w:rPr>
          <w:spacing w:val="-16"/>
          <w:sz w:val="24"/>
        </w:rPr>
        <w:t> </w:t>
      </w:r>
      <w:r>
        <w:rPr>
          <w:sz w:val="24"/>
        </w:rPr>
        <w:t>públicas, con</w:t>
      </w:r>
      <w:r>
        <w:rPr>
          <w:spacing w:val="-8"/>
          <w:sz w:val="24"/>
        </w:rPr>
        <w:t> </w:t>
      </w:r>
      <w:r>
        <w:rPr>
          <w:sz w:val="24"/>
        </w:rPr>
        <w:t>lo</w:t>
      </w:r>
      <w:r>
        <w:rPr>
          <w:spacing w:val="-9"/>
          <w:sz w:val="24"/>
        </w:rPr>
        <w:t> </w:t>
      </w:r>
      <w:r>
        <w:rPr>
          <w:sz w:val="24"/>
        </w:rPr>
        <w:t>que</w:t>
      </w:r>
      <w:r>
        <w:rPr>
          <w:spacing w:val="-8"/>
          <w:sz w:val="24"/>
        </w:rPr>
        <w:t> </w:t>
      </w:r>
      <w:r>
        <w:rPr>
          <w:sz w:val="24"/>
        </w:rPr>
        <w:t>se</w:t>
      </w:r>
      <w:r>
        <w:rPr>
          <w:spacing w:val="-8"/>
          <w:sz w:val="24"/>
        </w:rPr>
        <w:t> </w:t>
      </w:r>
      <w:r>
        <w:rPr>
          <w:sz w:val="24"/>
        </w:rPr>
        <w:t>eleva</w:t>
      </w:r>
      <w:r>
        <w:rPr>
          <w:spacing w:val="-8"/>
          <w:sz w:val="24"/>
        </w:rPr>
        <w:t> </w:t>
      </w:r>
      <w:r>
        <w:rPr>
          <w:sz w:val="24"/>
        </w:rPr>
        <w:t>la</w:t>
      </w:r>
      <w:r>
        <w:rPr>
          <w:spacing w:val="-9"/>
          <w:sz w:val="24"/>
        </w:rPr>
        <w:t> </w:t>
      </w:r>
      <w:r>
        <w:rPr>
          <w:sz w:val="24"/>
        </w:rPr>
        <w:t>probabilidad</w:t>
      </w:r>
      <w:r>
        <w:rPr>
          <w:spacing w:val="-8"/>
          <w:sz w:val="24"/>
        </w:rPr>
        <w:t> </w:t>
      </w:r>
      <w:r>
        <w:rPr>
          <w:sz w:val="24"/>
        </w:rPr>
        <w:t>de</w:t>
      </w:r>
      <w:r>
        <w:rPr>
          <w:spacing w:val="-8"/>
          <w:sz w:val="24"/>
        </w:rPr>
        <w:t> </w:t>
      </w:r>
      <w:r>
        <w:rPr>
          <w:sz w:val="24"/>
        </w:rPr>
        <w:t>detectar</w:t>
      </w:r>
      <w:r>
        <w:rPr>
          <w:spacing w:val="-10"/>
          <w:sz w:val="24"/>
        </w:rPr>
        <w:t> </w:t>
      </w:r>
      <w:r>
        <w:rPr>
          <w:sz w:val="24"/>
        </w:rPr>
        <w:t>errores</w:t>
      </w:r>
      <w:r>
        <w:rPr>
          <w:spacing w:val="-9"/>
          <w:sz w:val="24"/>
        </w:rPr>
        <w:t> </w:t>
      </w:r>
      <w:r>
        <w:rPr>
          <w:sz w:val="24"/>
        </w:rPr>
        <w:t>y,</w:t>
      </w:r>
      <w:r>
        <w:rPr>
          <w:spacing w:val="-9"/>
          <w:sz w:val="24"/>
        </w:rPr>
        <w:t> </w:t>
      </w:r>
      <w:r>
        <w:rPr>
          <w:sz w:val="24"/>
        </w:rPr>
        <w:t>a</w:t>
      </w:r>
      <w:r>
        <w:rPr>
          <w:spacing w:val="-8"/>
          <w:sz w:val="24"/>
        </w:rPr>
        <w:t> </w:t>
      </w:r>
      <w:r>
        <w:rPr>
          <w:sz w:val="24"/>
        </w:rPr>
        <w:t>su</w:t>
      </w:r>
      <w:r>
        <w:rPr>
          <w:spacing w:val="-6"/>
          <w:sz w:val="24"/>
        </w:rPr>
        <w:t> </w:t>
      </w:r>
      <w:r>
        <w:rPr>
          <w:sz w:val="24"/>
        </w:rPr>
        <w:t>vez,</w:t>
      </w:r>
      <w:r>
        <w:rPr>
          <w:spacing w:val="-6"/>
          <w:sz w:val="24"/>
        </w:rPr>
        <w:t> </w:t>
      </w:r>
      <w:r>
        <w:rPr>
          <w:sz w:val="24"/>
        </w:rPr>
        <w:t>de</w:t>
      </w:r>
      <w:r>
        <w:rPr>
          <w:spacing w:val="-8"/>
          <w:sz w:val="24"/>
        </w:rPr>
        <w:t> </w:t>
      </w:r>
      <w:r>
        <w:rPr>
          <w:sz w:val="24"/>
        </w:rPr>
        <w:t>prevenirlos o</w:t>
      </w:r>
      <w:r>
        <w:rPr>
          <w:spacing w:val="-11"/>
          <w:sz w:val="24"/>
        </w:rPr>
        <w:t> </w:t>
      </w:r>
      <w:r>
        <w:rPr>
          <w:sz w:val="24"/>
        </w:rPr>
        <w:t>corregirlos.</w:t>
      </w:r>
      <w:r>
        <w:rPr>
          <w:spacing w:val="-11"/>
          <w:sz w:val="24"/>
        </w:rPr>
        <w:t> </w:t>
      </w:r>
      <w:r>
        <w:rPr>
          <w:sz w:val="24"/>
        </w:rPr>
        <w:t>Al</w:t>
      </w:r>
      <w:r>
        <w:rPr>
          <w:spacing w:val="-14"/>
          <w:sz w:val="24"/>
        </w:rPr>
        <w:t> </w:t>
      </w:r>
      <w:r>
        <w:rPr>
          <w:sz w:val="24"/>
        </w:rPr>
        <w:t>final,</w:t>
      </w:r>
      <w:r>
        <w:rPr>
          <w:spacing w:val="-14"/>
          <w:sz w:val="24"/>
        </w:rPr>
        <w:t> </w:t>
      </w:r>
      <w:r>
        <w:rPr>
          <w:sz w:val="24"/>
        </w:rPr>
        <w:t>lo</w:t>
      </w:r>
      <w:r>
        <w:rPr>
          <w:spacing w:val="-13"/>
          <w:sz w:val="24"/>
        </w:rPr>
        <w:t> </w:t>
      </w:r>
      <w:r>
        <w:rPr>
          <w:sz w:val="24"/>
        </w:rPr>
        <w:t>que</w:t>
      </w:r>
      <w:r>
        <w:rPr>
          <w:spacing w:val="-11"/>
          <w:sz w:val="24"/>
        </w:rPr>
        <w:t> </w:t>
      </w:r>
      <w:r>
        <w:rPr>
          <w:sz w:val="24"/>
        </w:rPr>
        <w:t>tendremos</w:t>
      </w:r>
      <w:r>
        <w:rPr>
          <w:spacing w:val="-14"/>
          <w:sz w:val="24"/>
        </w:rPr>
        <w:t> </w:t>
      </w:r>
      <w:r>
        <w:rPr>
          <w:sz w:val="24"/>
        </w:rPr>
        <w:t>será</w:t>
      </w:r>
      <w:r>
        <w:rPr>
          <w:spacing w:val="-14"/>
          <w:sz w:val="24"/>
        </w:rPr>
        <w:t> </w:t>
      </w:r>
      <w:r>
        <w:rPr>
          <w:sz w:val="24"/>
        </w:rPr>
        <w:t>una</w:t>
      </w:r>
      <w:r>
        <w:rPr>
          <w:spacing w:val="-11"/>
          <w:sz w:val="24"/>
        </w:rPr>
        <w:t> </w:t>
      </w:r>
      <w:r>
        <w:rPr>
          <w:sz w:val="24"/>
        </w:rPr>
        <w:t>gestión</w:t>
      </w:r>
      <w:r>
        <w:rPr>
          <w:spacing w:val="-11"/>
          <w:sz w:val="24"/>
        </w:rPr>
        <w:t> </w:t>
      </w:r>
      <w:r>
        <w:rPr>
          <w:sz w:val="24"/>
        </w:rPr>
        <w:t>gubernamental</w:t>
      </w:r>
      <w:r>
        <w:rPr>
          <w:spacing w:val="-12"/>
          <w:sz w:val="24"/>
        </w:rPr>
        <w:t> </w:t>
      </w:r>
      <w:r>
        <w:rPr>
          <w:sz w:val="24"/>
        </w:rPr>
        <w:t>de</w:t>
      </w:r>
      <w:r>
        <w:rPr>
          <w:spacing w:val="-13"/>
          <w:sz w:val="24"/>
        </w:rPr>
        <w:t> </w:t>
      </w:r>
      <w:r>
        <w:rPr>
          <w:sz w:val="24"/>
        </w:rPr>
        <w:t>mejor calidad (Guerrero,</w:t>
      </w:r>
      <w:r>
        <w:rPr>
          <w:spacing w:val="-11"/>
          <w:sz w:val="24"/>
        </w:rPr>
        <w:t> </w:t>
      </w:r>
      <w:r>
        <w:rPr>
          <w:sz w:val="24"/>
        </w:rPr>
        <w:t>2008).</w:t>
      </w:r>
    </w:p>
    <w:p>
      <w:pPr>
        <w:pStyle w:val="ListParagraph"/>
        <w:numPr>
          <w:ilvl w:val="0"/>
          <w:numId w:val="29"/>
        </w:numPr>
        <w:tabs>
          <w:tab w:pos="466" w:val="left" w:leader="none"/>
        </w:tabs>
        <w:spacing w:line="276" w:lineRule="auto" w:before="0" w:after="0"/>
        <w:ind w:left="465" w:right="118" w:hanging="360"/>
        <w:jc w:val="both"/>
        <w:rPr>
          <w:sz w:val="24"/>
        </w:rPr>
      </w:pPr>
      <w:r>
        <w:rPr>
          <w:sz w:val="24"/>
        </w:rPr>
        <w:t>El</w:t>
      </w:r>
      <w:r>
        <w:rPr>
          <w:spacing w:val="-12"/>
          <w:sz w:val="24"/>
        </w:rPr>
        <w:t> </w:t>
      </w:r>
      <w:r>
        <w:rPr>
          <w:sz w:val="24"/>
        </w:rPr>
        <w:t>principio</w:t>
      </w:r>
      <w:r>
        <w:rPr>
          <w:spacing w:val="-13"/>
          <w:sz w:val="24"/>
        </w:rPr>
        <w:t> </w:t>
      </w:r>
      <w:r>
        <w:rPr>
          <w:sz w:val="24"/>
        </w:rPr>
        <w:t>de</w:t>
      </w:r>
      <w:r>
        <w:rPr>
          <w:spacing w:val="-13"/>
          <w:sz w:val="24"/>
        </w:rPr>
        <w:t> </w:t>
      </w:r>
      <w:r>
        <w:rPr>
          <w:sz w:val="24"/>
        </w:rPr>
        <w:t>publicidad</w:t>
      </w:r>
      <w:r>
        <w:rPr>
          <w:spacing w:val="-13"/>
          <w:sz w:val="24"/>
        </w:rPr>
        <w:t> </w:t>
      </w:r>
      <w:r>
        <w:rPr>
          <w:sz w:val="24"/>
        </w:rPr>
        <w:t>empieza</w:t>
      </w:r>
      <w:r>
        <w:rPr>
          <w:spacing w:val="-11"/>
          <w:sz w:val="24"/>
        </w:rPr>
        <w:t> </w:t>
      </w:r>
      <w:r>
        <w:rPr>
          <w:sz w:val="24"/>
        </w:rPr>
        <w:t>a</w:t>
      </w:r>
      <w:r>
        <w:rPr>
          <w:spacing w:val="-15"/>
          <w:sz w:val="24"/>
        </w:rPr>
        <w:t> </w:t>
      </w:r>
      <w:r>
        <w:rPr>
          <w:sz w:val="24"/>
        </w:rPr>
        <w:t>arraigarse</w:t>
      </w:r>
      <w:r>
        <w:rPr>
          <w:spacing w:val="-11"/>
          <w:sz w:val="24"/>
        </w:rPr>
        <w:t> </w:t>
      </w:r>
      <w:r>
        <w:rPr>
          <w:sz w:val="24"/>
        </w:rPr>
        <w:t>en</w:t>
      </w:r>
      <w:r>
        <w:rPr>
          <w:spacing w:val="-11"/>
          <w:sz w:val="24"/>
        </w:rPr>
        <w:t> </w:t>
      </w:r>
      <w:r>
        <w:rPr>
          <w:sz w:val="24"/>
        </w:rPr>
        <w:t>las</w:t>
      </w:r>
      <w:r>
        <w:rPr>
          <w:spacing w:val="-14"/>
          <w:sz w:val="24"/>
        </w:rPr>
        <w:t> </w:t>
      </w:r>
      <w:r>
        <w:rPr>
          <w:sz w:val="24"/>
        </w:rPr>
        <w:t>prácticas</w:t>
      </w:r>
      <w:r>
        <w:rPr>
          <w:spacing w:val="-13"/>
          <w:sz w:val="24"/>
        </w:rPr>
        <w:t> </w:t>
      </w:r>
      <w:r>
        <w:rPr>
          <w:sz w:val="24"/>
        </w:rPr>
        <w:t>institucionales</w:t>
      </w:r>
      <w:r>
        <w:rPr>
          <w:spacing w:val="-16"/>
          <w:sz w:val="24"/>
        </w:rPr>
        <w:t> </w:t>
      </w:r>
      <w:r>
        <w:rPr>
          <w:sz w:val="24"/>
        </w:rPr>
        <w:t>del Estado mexicano (Uvalle,</w:t>
      </w:r>
      <w:r>
        <w:rPr>
          <w:spacing w:val="-12"/>
          <w:sz w:val="24"/>
        </w:rPr>
        <w:t> </w:t>
      </w:r>
      <w:r>
        <w:rPr>
          <w:sz w:val="24"/>
        </w:rPr>
        <w:t>2012).</w:t>
      </w:r>
    </w:p>
    <w:p>
      <w:pPr>
        <w:pStyle w:val="ListParagraph"/>
        <w:numPr>
          <w:ilvl w:val="0"/>
          <w:numId w:val="29"/>
        </w:numPr>
        <w:tabs>
          <w:tab w:pos="466" w:val="left" w:leader="none"/>
        </w:tabs>
        <w:spacing w:line="276" w:lineRule="auto" w:before="0" w:after="0"/>
        <w:ind w:left="465" w:right="126" w:hanging="360"/>
        <w:jc w:val="both"/>
        <w:rPr>
          <w:sz w:val="24"/>
        </w:rPr>
      </w:pPr>
      <w:r>
        <w:rPr>
          <w:sz w:val="24"/>
        </w:rPr>
        <w:t>Empieza a diluirse el paradigma, de la administración unilateral, pudorosa y celosa por cuanto conocedora única de los datos públicos (Uvalle,</w:t>
      </w:r>
      <w:r>
        <w:rPr>
          <w:spacing w:val="-30"/>
          <w:sz w:val="24"/>
        </w:rPr>
        <w:t> </w:t>
      </w:r>
      <w:r>
        <w:rPr>
          <w:sz w:val="24"/>
        </w:rPr>
        <w:t>2012).</w:t>
      </w:r>
    </w:p>
    <w:p>
      <w:pPr>
        <w:pStyle w:val="ListParagraph"/>
        <w:numPr>
          <w:ilvl w:val="0"/>
          <w:numId w:val="29"/>
        </w:numPr>
        <w:tabs>
          <w:tab w:pos="466" w:val="left" w:leader="none"/>
        </w:tabs>
        <w:spacing w:line="276" w:lineRule="auto" w:before="3" w:after="0"/>
        <w:ind w:left="465" w:right="121" w:hanging="360"/>
        <w:jc w:val="both"/>
        <w:rPr>
          <w:sz w:val="24"/>
        </w:rPr>
      </w:pPr>
      <w:r>
        <w:rPr>
          <w:sz w:val="24"/>
        </w:rPr>
        <w:t>Facilita a los ciudadanos institucionaliza el derecho a la información, para conocer</w:t>
      </w:r>
      <w:r>
        <w:rPr>
          <w:spacing w:val="-8"/>
          <w:sz w:val="24"/>
        </w:rPr>
        <w:t> </w:t>
      </w:r>
      <w:r>
        <w:rPr>
          <w:sz w:val="24"/>
        </w:rPr>
        <w:t>y</w:t>
      </w:r>
      <w:r>
        <w:rPr>
          <w:spacing w:val="-10"/>
          <w:sz w:val="24"/>
        </w:rPr>
        <w:t> </w:t>
      </w:r>
      <w:r>
        <w:rPr>
          <w:sz w:val="24"/>
        </w:rPr>
        <w:t>evaluar</w:t>
      </w:r>
      <w:r>
        <w:rPr>
          <w:spacing w:val="-8"/>
          <w:sz w:val="24"/>
        </w:rPr>
        <w:t> </w:t>
      </w:r>
      <w:r>
        <w:rPr>
          <w:sz w:val="24"/>
        </w:rPr>
        <w:t>la</w:t>
      </w:r>
      <w:r>
        <w:rPr>
          <w:spacing w:val="-7"/>
          <w:sz w:val="24"/>
        </w:rPr>
        <w:t> </w:t>
      </w:r>
      <w:r>
        <w:rPr>
          <w:sz w:val="24"/>
        </w:rPr>
        <w:t>acción</w:t>
      </w:r>
      <w:r>
        <w:rPr>
          <w:spacing w:val="-7"/>
          <w:sz w:val="24"/>
        </w:rPr>
        <w:t> </w:t>
      </w:r>
      <w:r>
        <w:rPr>
          <w:sz w:val="24"/>
        </w:rPr>
        <w:t>de</w:t>
      </w:r>
      <w:r>
        <w:rPr>
          <w:spacing w:val="-9"/>
          <w:sz w:val="24"/>
        </w:rPr>
        <w:t> </w:t>
      </w:r>
      <w:r>
        <w:rPr>
          <w:sz w:val="24"/>
        </w:rPr>
        <w:t>los</w:t>
      </w:r>
      <w:r>
        <w:rPr>
          <w:spacing w:val="-7"/>
          <w:sz w:val="24"/>
        </w:rPr>
        <w:t> </w:t>
      </w:r>
      <w:r>
        <w:rPr>
          <w:sz w:val="24"/>
        </w:rPr>
        <w:t>gobernantes.</w:t>
      </w:r>
      <w:r>
        <w:rPr>
          <w:spacing w:val="-7"/>
          <w:sz w:val="24"/>
        </w:rPr>
        <w:t> </w:t>
      </w:r>
      <w:r>
        <w:rPr>
          <w:sz w:val="24"/>
        </w:rPr>
        <w:t>Asimismo,</w:t>
      </w:r>
      <w:r>
        <w:rPr>
          <w:spacing w:val="-7"/>
          <w:sz w:val="24"/>
        </w:rPr>
        <w:t> </w:t>
      </w:r>
      <w:r>
        <w:rPr>
          <w:sz w:val="24"/>
        </w:rPr>
        <w:t>restringe</w:t>
      </w:r>
      <w:r>
        <w:rPr>
          <w:spacing w:val="-7"/>
          <w:sz w:val="24"/>
        </w:rPr>
        <w:t> </w:t>
      </w:r>
      <w:r>
        <w:rPr>
          <w:sz w:val="24"/>
        </w:rPr>
        <w:t>los</w:t>
      </w:r>
      <w:r>
        <w:rPr>
          <w:spacing w:val="-7"/>
          <w:sz w:val="24"/>
        </w:rPr>
        <w:t> </w:t>
      </w:r>
      <w:r>
        <w:rPr>
          <w:sz w:val="24"/>
        </w:rPr>
        <w:t>secretos de estado (Uvalle,</w:t>
      </w:r>
      <w:r>
        <w:rPr>
          <w:spacing w:val="-11"/>
          <w:sz w:val="24"/>
        </w:rPr>
        <w:t> </w:t>
      </w:r>
      <w:r>
        <w:rPr>
          <w:sz w:val="24"/>
        </w:rPr>
        <w:t>2007).</w:t>
      </w:r>
    </w:p>
    <w:p>
      <w:pPr>
        <w:pStyle w:val="ListParagraph"/>
        <w:numPr>
          <w:ilvl w:val="0"/>
          <w:numId w:val="29"/>
        </w:numPr>
        <w:tabs>
          <w:tab w:pos="466" w:val="left" w:leader="none"/>
        </w:tabs>
        <w:spacing w:line="278" w:lineRule="auto" w:before="0" w:after="0"/>
        <w:ind w:left="465" w:right="122" w:hanging="360"/>
        <w:jc w:val="both"/>
        <w:rPr>
          <w:sz w:val="24"/>
        </w:rPr>
      </w:pPr>
      <w:r>
        <w:rPr>
          <w:sz w:val="24"/>
        </w:rPr>
        <w:t>Facilita y fortalece la relación gobierno – ciudadano e incrementa la legitimidad del gobierno (Barrera,</w:t>
      </w:r>
      <w:r>
        <w:rPr>
          <w:spacing w:val="-8"/>
          <w:sz w:val="24"/>
        </w:rPr>
        <w:t> </w:t>
      </w:r>
      <w:r>
        <w:rPr>
          <w:sz w:val="24"/>
        </w:rPr>
        <w:t>2010).</w:t>
      </w:r>
    </w:p>
    <w:p>
      <w:pPr>
        <w:pStyle w:val="ListParagraph"/>
        <w:numPr>
          <w:ilvl w:val="0"/>
          <w:numId w:val="29"/>
        </w:numPr>
        <w:tabs>
          <w:tab w:pos="466" w:val="left" w:leader="none"/>
        </w:tabs>
        <w:spacing w:line="274" w:lineRule="exact" w:before="0" w:after="0"/>
        <w:ind w:left="465" w:right="0" w:hanging="360"/>
        <w:jc w:val="left"/>
        <w:rPr>
          <w:sz w:val="24"/>
        </w:rPr>
      </w:pPr>
      <w:r>
        <w:rPr>
          <w:sz w:val="24"/>
        </w:rPr>
        <w:t>Favorece la gobernanza y democracia (ONU, 2014 y Uvalle,</w:t>
      </w:r>
      <w:r>
        <w:rPr>
          <w:spacing w:val="-17"/>
          <w:sz w:val="24"/>
        </w:rPr>
        <w:t> </w:t>
      </w:r>
      <w:r>
        <w:rPr>
          <w:sz w:val="24"/>
        </w:rPr>
        <w:t>2012).</w:t>
      </w:r>
    </w:p>
    <w:p>
      <w:pPr>
        <w:spacing w:after="0" w:line="274" w:lineRule="exact"/>
        <w:jc w:val="left"/>
        <w:rPr>
          <w:sz w:val="24"/>
        </w:rPr>
        <w:sectPr>
          <w:pgSz w:w="12240" w:h="15840"/>
          <w:pgMar w:header="0" w:footer="1035" w:top="1360" w:bottom="1220" w:left="1520" w:right="1580"/>
        </w:sectPr>
      </w:pPr>
    </w:p>
    <w:p>
      <w:pPr>
        <w:pStyle w:val="ListParagraph"/>
        <w:numPr>
          <w:ilvl w:val="0"/>
          <w:numId w:val="29"/>
        </w:numPr>
        <w:tabs>
          <w:tab w:pos="466" w:val="left" w:leader="none"/>
        </w:tabs>
        <w:spacing w:line="276" w:lineRule="auto" w:before="54" w:after="0"/>
        <w:ind w:left="465" w:right="123" w:hanging="360"/>
        <w:jc w:val="both"/>
        <w:rPr>
          <w:sz w:val="24"/>
        </w:rPr>
      </w:pPr>
      <w:r>
        <w:rPr>
          <w:sz w:val="24"/>
        </w:rPr>
        <w:t>La información pública no se entiende como monopolio, sino que es obligación del poder diseñar los canales de funcionalidad para que sea conocida por la sociedad.</w:t>
      </w:r>
    </w:p>
    <w:p>
      <w:pPr>
        <w:pStyle w:val="ListParagraph"/>
        <w:numPr>
          <w:ilvl w:val="0"/>
          <w:numId w:val="29"/>
        </w:numPr>
        <w:tabs>
          <w:tab w:pos="466" w:val="left" w:leader="none"/>
        </w:tabs>
        <w:spacing w:line="276" w:lineRule="auto" w:before="0" w:after="0"/>
        <w:ind w:left="465" w:right="125" w:hanging="360"/>
        <w:jc w:val="both"/>
        <w:rPr>
          <w:sz w:val="24"/>
        </w:rPr>
      </w:pPr>
      <w:r>
        <w:rPr>
          <w:sz w:val="24"/>
        </w:rPr>
        <w:t>La transparencia contribuye a mejorar la eficiencia gubernamental ya que se impide el desvío de funciones de la burocracia (Vergara,</w:t>
      </w:r>
      <w:r>
        <w:rPr>
          <w:spacing w:val="-21"/>
          <w:sz w:val="24"/>
        </w:rPr>
        <w:t> </w:t>
      </w:r>
      <w:r>
        <w:rPr>
          <w:sz w:val="24"/>
        </w:rPr>
        <w:t>2005).</w:t>
      </w:r>
    </w:p>
    <w:p>
      <w:pPr>
        <w:pStyle w:val="ListParagraph"/>
        <w:numPr>
          <w:ilvl w:val="0"/>
          <w:numId w:val="29"/>
        </w:numPr>
        <w:tabs>
          <w:tab w:pos="466" w:val="left" w:leader="none"/>
        </w:tabs>
        <w:spacing w:line="276" w:lineRule="auto" w:before="3" w:after="0"/>
        <w:ind w:left="465" w:right="125" w:hanging="360"/>
        <w:jc w:val="both"/>
        <w:rPr>
          <w:sz w:val="24"/>
        </w:rPr>
      </w:pPr>
      <w:r>
        <w:rPr>
          <w:sz w:val="24"/>
        </w:rPr>
        <w:t>Los documentos y archivos serán administrados sobre la base de reglas más puntuales y operativas (Uvalle,</w:t>
      </w:r>
      <w:r>
        <w:rPr>
          <w:spacing w:val="-15"/>
          <w:sz w:val="24"/>
        </w:rPr>
        <w:t> </w:t>
      </w:r>
      <w:r>
        <w:rPr>
          <w:sz w:val="24"/>
        </w:rPr>
        <w:t>2012).</w:t>
      </w:r>
    </w:p>
    <w:p>
      <w:pPr>
        <w:pStyle w:val="ListParagraph"/>
        <w:numPr>
          <w:ilvl w:val="0"/>
          <w:numId w:val="29"/>
        </w:numPr>
        <w:tabs>
          <w:tab w:pos="466" w:val="left" w:leader="none"/>
        </w:tabs>
        <w:spacing w:line="276" w:lineRule="auto" w:before="0" w:after="0"/>
        <w:ind w:left="465" w:right="124" w:hanging="360"/>
        <w:jc w:val="both"/>
        <w:rPr>
          <w:sz w:val="24"/>
        </w:rPr>
      </w:pPr>
      <w:r>
        <w:rPr>
          <w:sz w:val="24"/>
        </w:rPr>
        <w:t>Permite a las personas encontrar información que fácilmente pueden consultar</w:t>
      </w:r>
      <w:r>
        <w:rPr>
          <w:spacing w:val="-44"/>
          <w:sz w:val="24"/>
        </w:rPr>
        <w:t> </w:t>
      </w:r>
      <w:r>
        <w:rPr>
          <w:sz w:val="24"/>
        </w:rPr>
        <w:t>y usar (Obama,</w:t>
      </w:r>
      <w:r>
        <w:rPr>
          <w:spacing w:val="-6"/>
          <w:sz w:val="24"/>
        </w:rPr>
        <w:t> </w:t>
      </w:r>
      <w:r>
        <w:rPr>
          <w:sz w:val="24"/>
        </w:rPr>
        <w:t>2009).</w:t>
      </w:r>
    </w:p>
    <w:p>
      <w:pPr>
        <w:pStyle w:val="ListParagraph"/>
        <w:numPr>
          <w:ilvl w:val="0"/>
          <w:numId w:val="29"/>
        </w:numPr>
        <w:tabs>
          <w:tab w:pos="466" w:val="left" w:leader="none"/>
        </w:tabs>
        <w:spacing w:line="240" w:lineRule="auto" w:before="3" w:after="0"/>
        <w:ind w:left="465" w:right="0" w:hanging="360"/>
        <w:jc w:val="left"/>
        <w:rPr>
          <w:sz w:val="24"/>
        </w:rPr>
      </w:pPr>
      <w:r>
        <w:rPr>
          <w:sz w:val="24"/>
        </w:rPr>
        <w:t>Permite combatir la corrupción (FMI, 2014; Naessens, 2010 y Vergara,</w:t>
      </w:r>
      <w:r>
        <w:rPr>
          <w:spacing w:val="-22"/>
          <w:sz w:val="24"/>
        </w:rPr>
        <w:t> </w:t>
      </w:r>
      <w:r>
        <w:rPr>
          <w:sz w:val="24"/>
        </w:rPr>
        <w:t>2005).</w:t>
      </w:r>
    </w:p>
    <w:p>
      <w:pPr>
        <w:pStyle w:val="ListParagraph"/>
        <w:numPr>
          <w:ilvl w:val="0"/>
          <w:numId w:val="29"/>
        </w:numPr>
        <w:tabs>
          <w:tab w:pos="466" w:val="left" w:leader="none"/>
        </w:tabs>
        <w:spacing w:line="276" w:lineRule="auto" w:before="41" w:after="0"/>
        <w:ind w:left="465" w:right="121" w:hanging="360"/>
        <w:jc w:val="both"/>
        <w:rPr>
          <w:sz w:val="24"/>
        </w:rPr>
      </w:pPr>
      <w:r>
        <w:rPr>
          <w:sz w:val="24"/>
        </w:rPr>
        <w:t>Permite establecer marcos de medición y comparación del desempeño, evita la duplicidad de funciones y contribuye a una mayor eficiencia gubernamental (Arellano, 2007; Cabrero, 2002; Pardiñas y Granados, 2012 y Vergara,</w:t>
      </w:r>
      <w:r>
        <w:rPr>
          <w:spacing w:val="-25"/>
          <w:sz w:val="24"/>
        </w:rPr>
        <w:t> </w:t>
      </w:r>
      <w:r>
        <w:rPr>
          <w:sz w:val="24"/>
        </w:rPr>
        <w:t>2005).</w:t>
      </w:r>
    </w:p>
    <w:p>
      <w:pPr>
        <w:pStyle w:val="ListParagraph"/>
        <w:numPr>
          <w:ilvl w:val="0"/>
          <w:numId w:val="29"/>
        </w:numPr>
        <w:tabs>
          <w:tab w:pos="466" w:val="left" w:leader="none"/>
        </w:tabs>
        <w:spacing w:line="276" w:lineRule="auto" w:before="3" w:after="0"/>
        <w:ind w:left="465" w:right="119" w:hanging="360"/>
        <w:jc w:val="both"/>
        <w:rPr>
          <w:sz w:val="24"/>
        </w:rPr>
      </w:pPr>
      <w:r>
        <w:rPr>
          <w:sz w:val="24"/>
        </w:rPr>
        <w:t>Promueve la operación ordenada y eficiente de los mercados financieros</w:t>
      </w:r>
      <w:r>
        <w:rPr>
          <w:spacing w:val="-42"/>
          <w:sz w:val="24"/>
        </w:rPr>
        <w:t> </w:t>
      </w:r>
      <w:r>
        <w:rPr>
          <w:sz w:val="24"/>
        </w:rPr>
        <w:t>porque mantiene mejor informados a los participantes y perfecciona el desempeño económico (FMI,</w:t>
      </w:r>
      <w:r>
        <w:rPr>
          <w:spacing w:val="-8"/>
          <w:sz w:val="24"/>
        </w:rPr>
        <w:t> </w:t>
      </w:r>
      <w:r>
        <w:rPr>
          <w:sz w:val="24"/>
        </w:rPr>
        <w:t>2014).</w:t>
      </w:r>
    </w:p>
    <w:p>
      <w:pPr>
        <w:pStyle w:val="ListParagraph"/>
        <w:numPr>
          <w:ilvl w:val="0"/>
          <w:numId w:val="29"/>
        </w:numPr>
        <w:tabs>
          <w:tab w:pos="466" w:val="left" w:leader="none"/>
        </w:tabs>
        <w:spacing w:line="276" w:lineRule="auto" w:before="0" w:after="0"/>
        <w:ind w:left="465" w:right="128" w:hanging="360"/>
        <w:jc w:val="both"/>
        <w:rPr>
          <w:sz w:val="24"/>
        </w:rPr>
      </w:pPr>
      <w:r>
        <w:rPr>
          <w:sz w:val="24"/>
        </w:rPr>
        <w:t>Se</w:t>
      </w:r>
      <w:r>
        <w:rPr>
          <w:spacing w:val="-19"/>
          <w:sz w:val="24"/>
        </w:rPr>
        <w:t> </w:t>
      </w:r>
      <w:r>
        <w:rPr>
          <w:sz w:val="24"/>
        </w:rPr>
        <w:t>reconoce</w:t>
      </w:r>
      <w:r>
        <w:rPr>
          <w:spacing w:val="-21"/>
          <w:sz w:val="24"/>
        </w:rPr>
        <w:t> </w:t>
      </w:r>
      <w:r>
        <w:rPr>
          <w:sz w:val="24"/>
        </w:rPr>
        <w:t>el</w:t>
      </w:r>
      <w:r>
        <w:rPr>
          <w:spacing w:val="-20"/>
          <w:sz w:val="24"/>
        </w:rPr>
        <w:t> </w:t>
      </w:r>
      <w:r>
        <w:rPr>
          <w:sz w:val="24"/>
        </w:rPr>
        <w:t>derecho</w:t>
      </w:r>
      <w:r>
        <w:rPr>
          <w:spacing w:val="-19"/>
          <w:sz w:val="24"/>
        </w:rPr>
        <w:t> </w:t>
      </w:r>
      <w:r>
        <w:rPr>
          <w:sz w:val="24"/>
        </w:rPr>
        <w:t>de</w:t>
      </w:r>
      <w:r>
        <w:rPr>
          <w:spacing w:val="-19"/>
          <w:sz w:val="24"/>
        </w:rPr>
        <w:t> </w:t>
      </w:r>
      <w:r>
        <w:rPr>
          <w:sz w:val="24"/>
        </w:rPr>
        <w:t>los</w:t>
      </w:r>
      <w:r>
        <w:rPr>
          <w:spacing w:val="-19"/>
          <w:sz w:val="24"/>
        </w:rPr>
        <w:t> </w:t>
      </w:r>
      <w:r>
        <w:rPr>
          <w:sz w:val="24"/>
        </w:rPr>
        <w:t>ciudadanos</w:t>
      </w:r>
      <w:r>
        <w:rPr>
          <w:spacing w:val="-20"/>
          <w:sz w:val="24"/>
        </w:rPr>
        <w:t> </w:t>
      </w:r>
      <w:r>
        <w:rPr>
          <w:sz w:val="24"/>
        </w:rPr>
        <w:t>a</w:t>
      </w:r>
      <w:r>
        <w:rPr>
          <w:spacing w:val="-19"/>
          <w:sz w:val="24"/>
        </w:rPr>
        <w:t> </w:t>
      </w:r>
      <w:r>
        <w:rPr>
          <w:sz w:val="24"/>
        </w:rPr>
        <w:t>ser</w:t>
      </w:r>
      <w:r>
        <w:rPr>
          <w:spacing w:val="-20"/>
          <w:sz w:val="24"/>
        </w:rPr>
        <w:t> </w:t>
      </w:r>
      <w:r>
        <w:rPr>
          <w:sz w:val="24"/>
        </w:rPr>
        <w:t>informados</w:t>
      </w:r>
      <w:r>
        <w:rPr>
          <w:spacing w:val="-22"/>
          <w:sz w:val="24"/>
        </w:rPr>
        <w:t> </w:t>
      </w:r>
      <w:r>
        <w:rPr>
          <w:sz w:val="24"/>
        </w:rPr>
        <w:t>por</w:t>
      </w:r>
      <w:r>
        <w:rPr>
          <w:spacing w:val="-20"/>
          <w:sz w:val="24"/>
        </w:rPr>
        <w:t> </w:t>
      </w:r>
      <w:r>
        <w:rPr>
          <w:sz w:val="24"/>
        </w:rPr>
        <w:t>el</w:t>
      </w:r>
      <w:r>
        <w:rPr>
          <w:spacing w:val="-20"/>
          <w:sz w:val="24"/>
        </w:rPr>
        <w:t> </w:t>
      </w:r>
      <w:r>
        <w:rPr>
          <w:sz w:val="24"/>
        </w:rPr>
        <w:t>político</w:t>
      </w:r>
      <w:r>
        <w:rPr>
          <w:spacing w:val="-19"/>
          <w:sz w:val="24"/>
        </w:rPr>
        <w:t> </w:t>
      </w:r>
      <w:r>
        <w:rPr>
          <w:sz w:val="24"/>
        </w:rPr>
        <w:t>(Uvalle, 2012).</w:t>
      </w:r>
    </w:p>
    <w:p>
      <w:pPr>
        <w:pStyle w:val="BodyText"/>
      </w:pPr>
    </w:p>
    <w:p>
      <w:pPr>
        <w:pStyle w:val="BodyText"/>
        <w:spacing w:before="7"/>
        <w:rPr>
          <w:sz w:val="29"/>
        </w:rPr>
      </w:pPr>
    </w:p>
    <w:p>
      <w:pPr>
        <w:pStyle w:val="BodyText"/>
        <w:spacing w:before="1"/>
        <w:ind w:left="182" w:right="6"/>
      </w:pPr>
      <w:r>
        <w:rPr/>
        <w:t>Por su parte las limitaciones de la transparencia pueden ser:</w:t>
      </w:r>
    </w:p>
    <w:p>
      <w:pPr>
        <w:pStyle w:val="BodyText"/>
      </w:pPr>
    </w:p>
    <w:p>
      <w:pPr>
        <w:pStyle w:val="BodyText"/>
      </w:pPr>
    </w:p>
    <w:p>
      <w:pPr>
        <w:pStyle w:val="BodyText"/>
        <w:spacing w:before="5"/>
        <w:rPr>
          <w:sz w:val="19"/>
        </w:rPr>
      </w:pPr>
    </w:p>
    <w:p>
      <w:pPr>
        <w:pStyle w:val="ListParagraph"/>
        <w:numPr>
          <w:ilvl w:val="1"/>
          <w:numId w:val="29"/>
        </w:numPr>
        <w:tabs>
          <w:tab w:pos="610" w:val="left" w:leader="none"/>
        </w:tabs>
        <w:spacing w:line="276" w:lineRule="auto" w:before="0" w:after="0"/>
        <w:ind w:left="609" w:right="118" w:hanging="360"/>
        <w:jc w:val="both"/>
        <w:rPr>
          <w:sz w:val="24"/>
        </w:rPr>
      </w:pPr>
      <w:r>
        <w:rPr>
          <w:sz w:val="24"/>
        </w:rPr>
        <w:t>En los artículos 13 y 14 de la Ley de Transparencia, se estipula la categoría información reservada para aludir que, por motivos de seguridad, hay reglas restrictivas para su divulgación (Uvalle,</w:t>
      </w:r>
      <w:r>
        <w:rPr>
          <w:spacing w:val="-12"/>
          <w:sz w:val="24"/>
        </w:rPr>
        <w:t> </w:t>
      </w:r>
      <w:r>
        <w:rPr>
          <w:sz w:val="24"/>
        </w:rPr>
        <w:t>2012).</w:t>
      </w:r>
    </w:p>
    <w:p>
      <w:pPr>
        <w:pStyle w:val="ListParagraph"/>
        <w:numPr>
          <w:ilvl w:val="1"/>
          <w:numId w:val="29"/>
        </w:numPr>
        <w:tabs>
          <w:tab w:pos="610" w:val="left" w:leader="none"/>
        </w:tabs>
        <w:spacing w:line="278" w:lineRule="auto" w:before="0" w:after="0"/>
        <w:ind w:left="609" w:right="126" w:hanging="360"/>
        <w:jc w:val="both"/>
        <w:rPr>
          <w:sz w:val="24"/>
        </w:rPr>
      </w:pPr>
      <w:r>
        <w:rPr>
          <w:sz w:val="24"/>
        </w:rPr>
        <w:t>Se limitan a la publicación de cierto tipo de información en una página web (Arellano,</w:t>
      </w:r>
      <w:r>
        <w:rPr>
          <w:spacing w:val="-6"/>
          <w:sz w:val="24"/>
        </w:rPr>
        <w:t> </w:t>
      </w:r>
      <w:r>
        <w:rPr>
          <w:sz w:val="24"/>
        </w:rPr>
        <w:t>2007).</w:t>
      </w:r>
    </w:p>
    <w:p>
      <w:pPr>
        <w:pStyle w:val="ListParagraph"/>
        <w:numPr>
          <w:ilvl w:val="1"/>
          <w:numId w:val="29"/>
        </w:numPr>
        <w:tabs>
          <w:tab w:pos="610" w:val="left" w:leader="none"/>
        </w:tabs>
        <w:spacing w:line="276" w:lineRule="auto" w:before="0" w:after="0"/>
        <w:ind w:left="609" w:right="123" w:hanging="360"/>
        <w:jc w:val="both"/>
        <w:rPr>
          <w:sz w:val="24"/>
        </w:rPr>
      </w:pPr>
      <w:r>
        <w:rPr>
          <w:sz w:val="24"/>
        </w:rPr>
        <w:t>El mal diseñado de normas de derecho de acceso a la información (Guerrero, 2008).</w:t>
      </w:r>
    </w:p>
    <w:p>
      <w:pPr>
        <w:pStyle w:val="ListParagraph"/>
        <w:numPr>
          <w:ilvl w:val="1"/>
          <w:numId w:val="29"/>
        </w:numPr>
        <w:tabs>
          <w:tab w:pos="610" w:val="left" w:leader="none"/>
        </w:tabs>
        <w:spacing w:line="278" w:lineRule="auto" w:before="0" w:after="0"/>
        <w:ind w:left="609" w:right="127" w:hanging="360"/>
        <w:jc w:val="both"/>
        <w:rPr>
          <w:sz w:val="24"/>
        </w:rPr>
      </w:pPr>
      <w:r>
        <w:rPr>
          <w:sz w:val="24"/>
        </w:rPr>
        <w:t>Las fallas de operatividad de los cabildos y Estados; la falta de veracidad en la información pública (Ríos,</w:t>
      </w:r>
      <w:r>
        <w:rPr>
          <w:spacing w:val="-9"/>
          <w:sz w:val="24"/>
        </w:rPr>
        <w:t> </w:t>
      </w:r>
      <w:r>
        <w:rPr>
          <w:sz w:val="24"/>
        </w:rPr>
        <w:t>2011).</w:t>
      </w:r>
    </w:p>
    <w:p>
      <w:pPr>
        <w:pStyle w:val="ListParagraph"/>
        <w:numPr>
          <w:ilvl w:val="1"/>
          <w:numId w:val="29"/>
        </w:numPr>
        <w:tabs>
          <w:tab w:pos="610" w:val="left" w:leader="none"/>
        </w:tabs>
        <w:spacing w:line="276" w:lineRule="auto" w:before="0" w:after="0"/>
        <w:ind w:left="609" w:right="116" w:hanging="360"/>
        <w:jc w:val="both"/>
        <w:rPr>
          <w:sz w:val="24"/>
        </w:rPr>
      </w:pPr>
      <w:r>
        <w:rPr>
          <w:sz w:val="24"/>
        </w:rPr>
        <w:t>La falta de su incorporación a la cultura y realidad organizacional (Arellano, 2007).</w:t>
      </w:r>
    </w:p>
    <w:p>
      <w:pPr>
        <w:pStyle w:val="ListParagraph"/>
        <w:numPr>
          <w:ilvl w:val="1"/>
          <w:numId w:val="29"/>
        </w:numPr>
        <w:tabs>
          <w:tab w:pos="610" w:val="left" w:leader="none"/>
        </w:tabs>
        <w:spacing w:line="276" w:lineRule="auto" w:before="0" w:after="0"/>
        <w:ind w:left="609" w:right="122" w:hanging="360"/>
        <w:jc w:val="both"/>
        <w:rPr>
          <w:sz w:val="24"/>
        </w:rPr>
      </w:pPr>
      <w:r>
        <w:rPr>
          <w:sz w:val="24"/>
        </w:rPr>
        <w:t>La</w:t>
      </w:r>
      <w:r>
        <w:rPr>
          <w:spacing w:val="-8"/>
          <w:sz w:val="24"/>
        </w:rPr>
        <w:t> </w:t>
      </w:r>
      <w:r>
        <w:rPr>
          <w:sz w:val="24"/>
        </w:rPr>
        <w:t>ausencia</w:t>
      </w:r>
      <w:r>
        <w:rPr>
          <w:spacing w:val="-8"/>
          <w:sz w:val="24"/>
        </w:rPr>
        <w:t> </w:t>
      </w:r>
      <w:r>
        <w:rPr>
          <w:sz w:val="24"/>
        </w:rPr>
        <w:t>de</w:t>
      </w:r>
      <w:r>
        <w:rPr>
          <w:spacing w:val="-8"/>
          <w:sz w:val="24"/>
        </w:rPr>
        <w:t> </w:t>
      </w:r>
      <w:r>
        <w:rPr>
          <w:sz w:val="24"/>
        </w:rPr>
        <w:t>sistemas</w:t>
      </w:r>
      <w:r>
        <w:rPr>
          <w:spacing w:val="-9"/>
          <w:sz w:val="24"/>
        </w:rPr>
        <w:t> </w:t>
      </w:r>
      <w:r>
        <w:rPr>
          <w:sz w:val="24"/>
        </w:rPr>
        <w:t>apropiados</w:t>
      </w:r>
      <w:r>
        <w:rPr>
          <w:spacing w:val="-9"/>
          <w:sz w:val="24"/>
        </w:rPr>
        <w:t> </w:t>
      </w:r>
      <w:r>
        <w:rPr>
          <w:sz w:val="24"/>
        </w:rPr>
        <w:t>para</w:t>
      </w:r>
      <w:r>
        <w:rPr>
          <w:spacing w:val="-9"/>
          <w:sz w:val="24"/>
        </w:rPr>
        <w:t> </w:t>
      </w:r>
      <w:r>
        <w:rPr>
          <w:sz w:val="24"/>
        </w:rPr>
        <w:t>el</w:t>
      </w:r>
      <w:r>
        <w:rPr>
          <w:spacing w:val="-12"/>
          <w:sz w:val="24"/>
        </w:rPr>
        <w:t> </w:t>
      </w:r>
      <w:r>
        <w:rPr>
          <w:sz w:val="24"/>
        </w:rPr>
        <w:t>manejo</w:t>
      </w:r>
      <w:r>
        <w:rPr>
          <w:spacing w:val="-11"/>
          <w:sz w:val="24"/>
        </w:rPr>
        <w:t> </w:t>
      </w:r>
      <w:r>
        <w:rPr>
          <w:sz w:val="24"/>
        </w:rPr>
        <w:t>de</w:t>
      </w:r>
      <w:r>
        <w:rPr>
          <w:spacing w:val="-8"/>
          <w:sz w:val="24"/>
        </w:rPr>
        <w:t> </w:t>
      </w:r>
      <w:r>
        <w:rPr>
          <w:sz w:val="24"/>
        </w:rPr>
        <w:t>información</w:t>
      </w:r>
      <w:r>
        <w:rPr>
          <w:spacing w:val="-10"/>
          <w:sz w:val="24"/>
        </w:rPr>
        <w:t> </w:t>
      </w:r>
      <w:r>
        <w:rPr>
          <w:sz w:val="24"/>
        </w:rPr>
        <w:t>y</w:t>
      </w:r>
      <w:r>
        <w:rPr>
          <w:spacing w:val="-12"/>
          <w:sz w:val="24"/>
        </w:rPr>
        <w:t> </w:t>
      </w:r>
      <w:r>
        <w:rPr>
          <w:sz w:val="24"/>
        </w:rPr>
        <w:t>control</w:t>
      </w:r>
      <w:r>
        <w:rPr>
          <w:spacing w:val="-12"/>
          <w:sz w:val="24"/>
        </w:rPr>
        <w:t> </w:t>
      </w:r>
      <w:r>
        <w:rPr>
          <w:sz w:val="24"/>
        </w:rPr>
        <w:t>de archivos; la falta de equipos de cómputo, capacitación del personal y modernización del gobierno; la ausencia de la aplicación de sanciones por incumplimiento de la ley y no utilización de incentivos; la falta de voluntad de la autoridad política y el poco compromiso de los servidores públicos, el trabajo técnico   y   riguroso   de   auditoría   y   fiscalización   para   establecer      </w:t>
      </w:r>
      <w:r>
        <w:rPr>
          <w:spacing w:val="63"/>
          <w:sz w:val="24"/>
        </w:rPr>
        <w:t> </w:t>
      </w:r>
      <w:r>
        <w:rPr>
          <w:sz w:val="24"/>
        </w:rPr>
        <w:t>las</w:t>
      </w:r>
    </w:p>
    <w:p>
      <w:pPr>
        <w:spacing w:after="0" w:line="276" w:lineRule="auto"/>
        <w:jc w:val="both"/>
        <w:rPr>
          <w:sz w:val="24"/>
        </w:rPr>
        <w:sectPr>
          <w:pgSz w:w="12240" w:h="15840"/>
          <w:pgMar w:header="0" w:footer="1035" w:top="1360" w:bottom="1220" w:left="1520" w:right="1580"/>
        </w:sectPr>
      </w:pPr>
    </w:p>
    <w:p>
      <w:pPr>
        <w:pStyle w:val="BodyText"/>
        <w:spacing w:line="278" w:lineRule="auto" w:before="54"/>
        <w:ind w:left="549" w:right="-15"/>
      </w:pPr>
      <w:r>
        <w:rPr/>
        <w:t>responsabilidades de los servidores públicos; el nombramiento de servidores públicos por compromisos y lealtades políticas (Barrera, 2010).</w:t>
      </w:r>
    </w:p>
    <w:p>
      <w:pPr>
        <w:pStyle w:val="BodyText"/>
      </w:pPr>
    </w:p>
    <w:p>
      <w:pPr>
        <w:pStyle w:val="BodyText"/>
      </w:pPr>
    </w:p>
    <w:p>
      <w:pPr>
        <w:pStyle w:val="BodyText"/>
        <w:spacing w:before="6"/>
        <w:rPr>
          <w:sz w:val="22"/>
        </w:rPr>
      </w:pPr>
    </w:p>
    <w:p>
      <w:pPr>
        <w:pStyle w:val="Heading1"/>
        <w:numPr>
          <w:ilvl w:val="1"/>
          <w:numId w:val="30"/>
        </w:numPr>
        <w:tabs>
          <w:tab w:pos="550" w:val="left" w:leader="none"/>
        </w:tabs>
        <w:spacing w:line="240" w:lineRule="auto" w:before="0" w:after="0"/>
        <w:ind w:left="549" w:right="0" w:hanging="439"/>
        <w:jc w:val="both"/>
      </w:pPr>
      <w:bookmarkStart w:name="_bookmark10" w:id="17"/>
      <w:bookmarkEnd w:id="17"/>
      <w:r>
        <w:rPr>
          <w:b w:val="0"/>
        </w:rPr>
      </w:r>
      <w:bookmarkStart w:name="_bookmark10" w:id="18"/>
      <w:bookmarkEnd w:id="18"/>
      <w:r>
        <w:rPr/>
        <w:t>A</w:t>
      </w:r>
      <w:r>
        <w:rPr/>
        <w:t>cceso a la información, transparencia y rendición de</w:t>
      </w:r>
      <w:r>
        <w:rPr>
          <w:spacing w:val="-18"/>
        </w:rPr>
        <w:t> </w:t>
      </w:r>
      <w:r>
        <w:rPr/>
        <w:t>cuentas</w:t>
      </w:r>
    </w:p>
    <w:p>
      <w:pPr>
        <w:pStyle w:val="BodyText"/>
        <w:rPr>
          <w:b/>
        </w:rPr>
      </w:pPr>
    </w:p>
    <w:p>
      <w:pPr>
        <w:pStyle w:val="BodyText"/>
        <w:rPr>
          <w:b/>
        </w:rPr>
      </w:pPr>
    </w:p>
    <w:p>
      <w:pPr>
        <w:pStyle w:val="BodyText"/>
        <w:spacing w:line="360" w:lineRule="auto" w:before="199"/>
        <w:ind w:left="122" w:right="124"/>
        <w:jc w:val="both"/>
      </w:pPr>
      <w:r>
        <w:rPr/>
        <w:t>El</w:t>
      </w:r>
      <w:r>
        <w:rPr>
          <w:spacing w:val="-6"/>
        </w:rPr>
        <w:t> </w:t>
      </w:r>
      <w:r>
        <w:rPr/>
        <w:t>acceso</w:t>
      </w:r>
      <w:r>
        <w:rPr>
          <w:spacing w:val="-7"/>
        </w:rPr>
        <w:t> </w:t>
      </w:r>
      <w:r>
        <w:rPr/>
        <w:t>a</w:t>
      </w:r>
      <w:r>
        <w:rPr>
          <w:spacing w:val="-5"/>
        </w:rPr>
        <w:t> </w:t>
      </w:r>
      <w:r>
        <w:rPr/>
        <w:t>la</w:t>
      </w:r>
      <w:r>
        <w:rPr>
          <w:spacing w:val="-5"/>
        </w:rPr>
        <w:t> </w:t>
      </w:r>
      <w:r>
        <w:rPr/>
        <w:t>información</w:t>
      </w:r>
      <w:r>
        <w:rPr>
          <w:spacing w:val="-5"/>
        </w:rPr>
        <w:t> </w:t>
      </w:r>
      <w:r>
        <w:rPr/>
        <w:t>es</w:t>
      </w:r>
      <w:r>
        <w:rPr>
          <w:spacing w:val="-6"/>
        </w:rPr>
        <w:t> </w:t>
      </w:r>
      <w:r>
        <w:rPr/>
        <w:t>la</w:t>
      </w:r>
      <w:r>
        <w:rPr>
          <w:spacing w:val="-8"/>
        </w:rPr>
        <w:t> </w:t>
      </w:r>
      <w:r>
        <w:rPr/>
        <w:t>base</w:t>
      </w:r>
      <w:r>
        <w:rPr>
          <w:spacing w:val="-7"/>
        </w:rPr>
        <w:t> </w:t>
      </w:r>
      <w:r>
        <w:rPr/>
        <w:t>de</w:t>
      </w:r>
      <w:r>
        <w:rPr>
          <w:spacing w:val="-5"/>
        </w:rPr>
        <w:t> </w:t>
      </w:r>
      <w:r>
        <w:rPr/>
        <w:t>la</w:t>
      </w:r>
      <w:r>
        <w:rPr>
          <w:spacing w:val="-8"/>
        </w:rPr>
        <w:t> </w:t>
      </w:r>
      <w:r>
        <w:rPr/>
        <w:t>transparencia</w:t>
      </w:r>
      <w:r>
        <w:rPr>
          <w:spacing w:val="-5"/>
        </w:rPr>
        <w:t> </w:t>
      </w:r>
      <w:r>
        <w:rPr/>
        <w:t>y</w:t>
      </w:r>
      <w:r>
        <w:rPr>
          <w:spacing w:val="-8"/>
        </w:rPr>
        <w:t> </w:t>
      </w:r>
      <w:r>
        <w:rPr/>
        <w:t>ésta</w:t>
      </w:r>
      <w:r>
        <w:rPr>
          <w:spacing w:val="-7"/>
        </w:rPr>
        <w:t> </w:t>
      </w:r>
      <w:r>
        <w:rPr/>
        <w:t>es</w:t>
      </w:r>
      <w:r>
        <w:rPr>
          <w:spacing w:val="-6"/>
        </w:rPr>
        <w:t> </w:t>
      </w:r>
      <w:r>
        <w:rPr/>
        <w:t>la</w:t>
      </w:r>
      <w:r>
        <w:rPr>
          <w:spacing w:val="-5"/>
        </w:rPr>
        <w:t> </w:t>
      </w:r>
      <w:r>
        <w:rPr/>
        <w:t>antesala</w:t>
      </w:r>
      <w:r>
        <w:rPr>
          <w:spacing w:val="-8"/>
        </w:rPr>
        <w:t> </w:t>
      </w:r>
      <w:r>
        <w:rPr/>
        <w:t>de</w:t>
      </w:r>
      <w:r>
        <w:rPr>
          <w:spacing w:val="-7"/>
        </w:rPr>
        <w:t> </w:t>
      </w:r>
      <w:r>
        <w:rPr/>
        <w:t>la rendición de cuentas. Para entender esta afirmación se presenta lo relativo a la relación existente entre estos</w:t>
      </w:r>
      <w:r>
        <w:rPr>
          <w:spacing w:val="-11"/>
        </w:rPr>
        <w:t> </w:t>
      </w:r>
      <w:r>
        <w:rPr/>
        <w:t>conceptos.</w:t>
      </w:r>
    </w:p>
    <w:p>
      <w:pPr>
        <w:pStyle w:val="BodyText"/>
      </w:pPr>
    </w:p>
    <w:p>
      <w:pPr>
        <w:pStyle w:val="BodyText"/>
      </w:pPr>
    </w:p>
    <w:p>
      <w:pPr>
        <w:pStyle w:val="BodyText"/>
        <w:spacing w:before="2"/>
        <w:rPr>
          <w:sz w:val="23"/>
        </w:rPr>
      </w:pPr>
    </w:p>
    <w:p>
      <w:pPr>
        <w:pStyle w:val="Heading1"/>
        <w:numPr>
          <w:ilvl w:val="2"/>
          <w:numId w:val="30"/>
        </w:numPr>
        <w:tabs>
          <w:tab w:pos="830" w:val="left" w:leader="none"/>
        </w:tabs>
        <w:spacing w:line="240" w:lineRule="auto" w:before="1" w:after="0"/>
        <w:ind w:left="830" w:right="0" w:hanging="720"/>
        <w:jc w:val="both"/>
      </w:pPr>
      <w:r>
        <w:rPr/>
        <w:t>Sobre la rendición de</w:t>
      </w:r>
      <w:r>
        <w:rPr>
          <w:spacing w:val="-5"/>
        </w:rPr>
        <w:t> </w:t>
      </w:r>
      <w:r>
        <w:rPr/>
        <w:t>cuentas</w:t>
      </w:r>
    </w:p>
    <w:p>
      <w:pPr>
        <w:pStyle w:val="BodyText"/>
        <w:rPr>
          <w:b/>
        </w:rPr>
      </w:pPr>
    </w:p>
    <w:p>
      <w:pPr>
        <w:pStyle w:val="BodyText"/>
        <w:rPr>
          <w:b/>
        </w:rPr>
      </w:pPr>
    </w:p>
    <w:p>
      <w:pPr>
        <w:pStyle w:val="BodyText"/>
        <w:spacing w:line="360" w:lineRule="auto" w:before="161"/>
        <w:ind w:left="122" w:right="119"/>
        <w:jc w:val="both"/>
      </w:pPr>
      <w:r>
        <w:rPr/>
        <w:t>La</w:t>
      </w:r>
      <w:r>
        <w:rPr>
          <w:spacing w:val="-14"/>
        </w:rPr>
        <w:t> </w:t>
      </w:r>
      <w:r>
        <w:rPr/>
        <w:t>rendición</w:t>
      </w:r>
      <w:r>
        <w:rPr>
          <w:spacing w:val="-17"/>
        </w:rPr>
        <w:t> </w:t>
      </w:r>
      <w:r>
        <w:rPr/>
        <w:t>de</w:t>
      </w:r>
      <w:r>
        <w:rPr>
          <w:spacing w:val="-14"/>
        </w:rPr>
        <w:t> </w:t>
      </w:r>
      <w:r>
        <w:rPr/>
        <w:t>cuentas</w:t>
      </w:r>
      <w:r>
        <w:rPr>
          <w:spacing w:val="-15"/>
        </w:rPr>
        <w:t> </w:t>
      </w:r>
      <w:r>
        <w:rPr/>
        <w:t>de</w:t>
      </w:r>
      <w:r>
        <w:rPr>
          <w:spacing w:val="-14"/>
        </w:rPr>
        <w:t> </w:t>
      </w:r>
      <w:r>
        <w:rPr/>
        <w:t>acuerdo</w:t>
      </w:r>
      <w:r>
        <w:rPr>
          <w:spacing w:val="-14"/>
        </w:rPr>
        <w:t> </w:t>
      </w:r>
      <w:r>
        <w:rPr/>
        <w:t>con</w:t>
      </w:r>
      <w:r>
        <w:rPr>
          <w:spacing w:val="-16"/>
        </w:rPr>
        <w:t> </w:t>
      </w:r>
      <w:r>
        <w:rPr/>
        <w:t>Schedler</w:t>
      </w:r>
      <w:r>
        <w:rPr>
          <w:spacing w:val="-15"/>
        </w:rPr>
        <w:t> </w:t>
      </w:r>
      <w:r>
        <w:rPr/>
        <w:t>(2004)</w:t>
      </w:r>
      <w:r>
        <w:rPr>
          <w:spacing w:val="-16"/>
        </w:rPr>
        <w:t> </w:t>
      </w:r>
      <w:r>
        <w:rPr/>
        <w:t>proviene</w:t>
      </w:r>
      <w:r>
        <w:rPr>
          <w:spacing w:val="-14"/>
        </w:rPr>
        <w:t> </w:t>
      </w:r>
      <w:r>
        <w:rPr/>
        <w:t>del</w:t>
      </w:r>
      <w:r>
        <w:rPr>
          <w:spacing w:val="-15"/>
        </w:rPr>
        <w:t> </w:t>
      </w:r>
      <w:r>
        <w:rPr/>
        <w:t>término</w:t>
      </w:r>
      <w:r>
        <w:rPr>
          <w:spacing w:val="-16"/>
        </w:rPr>
        <w:t> </w:t>
      </w:r>
      <w:r>
        <w:rPr/>
        <w:t>inglés </w:t>
      </w:r>
      <w:r>
        <w:rPr>
          <w:i/>
        </w:rPr>
        <w:t>accountability</w:t>
      </w:r>
      <w:r>
        <w:rPr/>
        <w:t>, el cual se integra por dos dimensiones: la primera denominada </w:t>
      </w:r>
      <w:r>
        <w:rPr>
          <w:i/>
        </w:rPr>
        <w:t>answerability</w:t>
      </w:r>
      <w:r>
        <w:rPr/>
        <w:t>, entendida como la obligación de los gobernantes de informar sobre sus decisiones; la segunda se refiere al </w:t>
      </w:r>
      <w:r>
        <w:rPr>
          <w:i/>
        </w:rPr>
        <w:t>enforcement</w:t>
      </w:r>
      <w:r>
        <w:rPr/>
        <w:t>, referido a las sanciones que deben</w:t>
      </w:r>
      <w:r>
        <w:rPr>
          <w:spacing w:val="-12"/>
        </w:rPr>
        <w:t> </w:t>
      </w:r>
      <w:r>
        <w:rPr/>
        <w:t>ser</w:t>
      </w:r>
      <w:r>
        <w:rPr>
          <w:spacing w:val="-13"/>
        </w:rPr>
        <w:t> </w:t>
      </w:r>
      <w:r>
        <w:rPr/>
        <w:t>aplicadas</w:t>
      </w:r>
      <w:r>
        <w:rPr>
          <w:spacing w:val="-14"/>
        </w:rPr>
        <w:t> </w:t>
      </w:r>
      <w:r>
        <w:rPr/>
        <w:t>a</w:t>
      </w:r>
      <w:r>
        <w:rPr>
          <w:spacing w:val="-12"/>
        </w:rPr>
        <w:t> </w:t>
      </w:r>
      <w:r>
        <w:rPr/>
        <w:t>los</w:t>
      </w:r>
      <w:r>
        <w:rPr>
          <w:spacing w:val="-13"/>
        </w:rPr>
        <w:t> </w:t>
      </w:r>
      <w:r>
        <w:rPr/>
        <w:t>gobernantes</w:t>
      </w:r>
      <w:r>
        <w:rPr>
          <w:spacing w:val="-14"/>
        </w:rPr>
        <w:t> </w:t>
      </w:r>
      <w:r>
        <w:rPr/>
        <w:t>en</w:t>
      </w:r>
      <w:r>
        <w:rPr>
          <w:spacing w:val="-12"/>
        </w:rPr>
        <w:t> </w:t>
      </w:r>
      <w:r>
        <w:rPr/>
        <w:t>los</w:t>
      </w:r>
      <w:r>
        <w:rPr>
          <w:spacing w:val="-10"/>
        </w:rPr>
        <w:t> </w:t>
      </w:r>
      <w:r>
        <w:rPr/>
        <w:t>casos</w:t>
      </w:r>
      <w:r>
        <w:rPr>
          <w:spacing w:val="-13"/>
        </w:rPr>
        <w:t> </w:t>
      </w:r>
      <w:r>
        <w:rPr/>
        <w:t>que</w:t>
      </w:r>
      <w:r>
        <w:rPr>
          <w:spacing w:val="-12"/>
        </w:rPr>
        <w:t> </w:t>
      </w:r>
      <w:r>
        <w:rPr/>
        <w:t>no</w:t>
      </w:r>
      <w:r>
        <w:rPr>
          <w:spacing w:val="-12"/>
        </w:rPr>
        <w:t> </w:t>
      </w:r>
      <w:r>
        <w:rPr/>
        <w:t>hayan</w:t>
      </w:r>
      <w:r>
        <w:rPr>
          <w:spacing w:val="-12"/>
        </w:rPr>
        <w:t> </w:t>
      </w:r>
      <w:r>
        <w:rPr/>
        <w:t>cumplido</w:t>
      </w:r>
      <w:r>
        <w:rPr>
          <w:spacing w:val="-12"/>
        </w:rPr>
        <w:t> </w:t>
      </w:r>
      <w:r>
        <w:rPr/>
        <w:t>con</w:t>
      </w:r>
      <w:r>
        <w:rPr>
          <w:spacing w:val="-12"/>
        </w:rPr>
        <w:t> </w:t>
      </w:r>
      <w:r>
        <w:rPr/>
        <w:t>sus atribuciones y deberes</w:t>
      </w:r>
      <w:r>
        <w:rPr>
          <w:spacing w:val="-12"/>
        </w:rPr>
        <w:t> </w:t>
      </w:r>
      <w:r>
        <w:rPr/>
        <w:t>públicos.</w:t>
      </w:r>
    </w:p>
    <w:p>
      <w:pPr>
        <w:pStyle w:val="BodyText"/>
      </w:pPr>
    </w:p>
    <w:p>
      <w:pPr>
        <w:pStyle w:val="BodyText"/>
      </w:pPr>
    </w:p>
    <w:p>
      <w:pPr>
        <w:pStyle w:val="BodyText"/>
        <w:spacing w:line="360" w:lineRule="auto" w:before="185"/>
        <w:ind w:left="122" w:right="122"/>
        <w:jc w:val="both"/>
      </w:pPr>
      <w:r>
        <w:rPr/>
        <w:t>Para</w:t>
      </w:r>
      <w:r>
        <w:rPr>
          <w:spacing w:val="-20"/>
        </w:rPr>
        <w:t> </w:t>
      </w:r>
      <w:r>
        <w:rPr/>
        <w:t>Guerrero</w:t>
      </w:r>
      <w:r>
        <w:rPr>
          <w:spacing w:val="-20"/>
        </w:rPr>
        <w:t> </w:t>
      </w:r>
      <w:r>
        <w:rPr/>
        <w:t>(2008)</w:t>
      </w:r>
      <w:r>
        <w:rPr>
          <w:spacing w:val="-18"/>
        </w:rPr>
        <w:t> </w:t>
      </w:r>
      <w:r>
        <w:rPr/>
        <w:t>significa</w:t>
      </w:r>
      <w:r>
        <w:rPr>
          <w:spacing w:val="-19"/>
        </w:rPr>
        <w:t> </w:t>
      </w:r>
      <w:r>
        <w:rPr/>
        <w:t>asegurar</w:t>
      </w:r>
      <w:r>
        <w:rPr>
          <w:spacing w:val="-18"/>
        </w:rPr>
        <w:t> </w:t>
      </w:r>
      <w:r>
        <w:rPr/>
        <w:t>que</w:t>
      </w:r>
      <w:r>
        <w:rPr>
          <w:spacing w:val="-19"/>
        </w:rPr>
        <w:t> </w:t>
      </w:r>
      <w:r>
        <w:rPr/>
        <w:t>las</w:t>
      </w:r>
      <w:r>
        <w:rPr>
          <w:spacing w:val="-17"/>
        </w:rPr>
        <w:t> </w:t>
      </w:r>
      <w:r>
        <w:rPr/>
        <w:t>autoridades</w:t>
      </w:r>
      <w:r>
        <w:rPr>
          <w:spacing w:val="-20"/>
        </w:rPr>
        <w:t> </w:t>
      </w:r>
      <w:r>
        <w:rPr/>
        <w:t>se</w:t>
      </w:r>
      <w:r>
        <w:rPr>
          <w:spacing w:val="-19"/>
        </w:rPr>
        <w:t> </w:t>
      </w:r>
      <w:r>
        <w:rPr/>
        <w:t>responsabilicen</w:t>
      </w:r>
      <w:r>
        <w:rPr>
          <w:spacing w:val="-18"/>
        </w:rPr>
        <w:t> </w:t>
      </w:r>
      <w:r>
        <w:rPr/>
        <w:t>ante alguien</w:t>
      </w:r>
      <w:r>
        <w:rPr>
          <w:spacing w:val="-18"/>
        </w:rPr>
        <w:t> </w:t>
      </w:r>
      <w:r>
        <w:rPr/>
        <w:t>de</w:t>
      </w:r>
      <w:r>
        <w:rPr>
          <w:spacing w:val="-18"/>
        </w:rPr>
        <w:t> </w:t>
      </w:r>
      <w:r>
        <w:rPr/>
        <w:t>sus</w:t>
      </w:r>
      <w:r>
        <w:rPr>
          <w:spacing w:val="-19"/>
        </w:rPr>
        <w:t> </w:t>
      </w:r>
      <w:r>
        <w:rPr/>
        <w:t>actos.</w:t>
      </w:r>
      <w:r>
        <w:rPr>
          <w:spacing w:val="-18"/>
        </w:rPr>
        <w:t> </w:t>
      </w:r>
      <w:r>
        <w:rPr/>
        <w:t>Por</w:t>
      </w:r>
      <w:r>
        <w:rPr>
          <w:spacing w:val="-19"/>
        </w:rPr>
        <w:t> </w:t>
      </w:r>
      <w:r>
        <w:rPr/>
        <w:t>su</w:t>
      </w:r>
      <w:r>
        <w:rPr>
          <w:spacing w:val="-18"/>
        </w:rPr>
        <w:t> </w:t>
      </w:r>
      <w:r>
        <w:rPr/>
        <w:t>parte</w:t>
      </w:r>
      <w:r>
        <w:rPr>
          <w:spacing w:val="-21"/>
        </w:rPr>
        <w:t> </w:t>
      </w:r>
      <w:r>
        <w:rPr/>
        <w:t>Toledo</w:t>
      </w:r>
      <w:r>
        <w:rPr>
          <w:spacing w:val="-18"/>
        </w:rPr>
        <w:t> </w:t>
      </w:r>
      <w:r>
        <w:rPr/>
        <w:t>(2009),</w:t>
      </w:r>
      <w:r>
        <w:rPr>
          <w:spacing w:val="-19"/>
        </w:rPr>
        <w:t> </w:t>
      </w:r>
      <w:r>
        <w:rPr/>
        <w:t>afirma</w:t>
      </w:r>
      <w:r>
        <w:rPr>
          <w:spacing w:val="-18"/>
        </w:rPr>
        <w:t> </w:t>
      </w:r>
      <w:r>
        <w:rPr/>
        <w:t>que</w:t>
      </w:r>
      <w:r>
        <w:rPr>
          <w:spacing w:val="-18"/>
        </w:rPr>
        <w:t> </w:t>
      </w:r>
      <w:r>
        <w:rPr/>
        <w:t>la</w:t>
      </w:r>
      <w:r>
        <w:rPr>
          <w:spacing w:val="-18"/>
        </w:rPr>
        <w:t> </w:t>
      </w:r>
      <w:r>
        <w:rPr/>
        <w:t>rendición</w:t>
      </w:r>
      <w:r>
        <w:rPr>
          <w:spacing w:val="-18"/>
        </w:rPr>
        <w:t> </w:t>
      </w:r>
      <w:r>
        <w:rPr/>
        <w:t>de</w:t>
      </w:r>
      <w:r>
        <w:rPr>
          <w:spacing w:val="-18"/>
        </w:rPr>
        <w:t> </w:t>
      </w:r>
      <w:r>
        <w:rPr/>
        <w:t>cuentas: es un elemento esencial de la democracia, pues implica la posibilidad de que los diferentes agentes del gobierno se hagan responsables de sus decisiones y de</w:t>
      </w:r>
      <w:r>
        <w:rPr>
          <w:spacing w:val="-39"/>
        </w:rPr>
        <w:t> </w:t>
      </w:r>
      <w:r>
        <w:rPr/>
        <w:t>sus actos, a efecto de controlar el abuso del poder y hacer coincidir el interés particular del servidor público con el del</w:t>
      </w:r>
      <w:r>
        <w:rPr>
          <w:spacing w:val="-11"/>
        </w:rPr>
        <w:t> </w:t>
      </w:r>
      <w:r>
        <w:rPr/>
        <w:t>ciudadano.</w:t>
      </w:r>
    </w:p>
    <w:p>
      <w:pPr>
        <w:pStyle w:val="BodyText"/>
      </w:pPr>
    </w:p>
    <w:p>
      <w:pPr>
        <w:pStyle w:val="BodyText"/>
      </w:pPr>
    </w:p>
    <w:p>
      <w:pPr>
        <w:pStyle w:val="BodyText"/>
        <w:spacing w:before="11"/>
        <w:rPr>
          <w:sz w:val="22"/>
        </w:rPr>
      </w:pPr>
    </w:p>
    <w:p>
      <w:pPr>
        <w:pStyle w:val="BodyText"/>
        <w:spacing w:line="360" w:lineRule="auto"/>
        <w:ind w:left="122" w:right="117"/>
        <w:jc w:val="both"/>
      </w:pPr>
      <w:r>
        <w:rPr/>
        <w:t>Ríos</w:t>
      </w:r>
      <w:r>
        <w:rPr>
          <w:spacing w:val="-5"/>
        </w:rPr>
        <w:t> </w:t>
      </w:r>
      <w:r>
        <w:rPr/>
        <w:t>(2011)</w:t>
      </w:r>
      <w:r>
        <w:rPr>
          <w:spacing w:val="-8"/>
        </w:rPr>
        <w:t> </w:t>
      </w:r>
      <w:r>
        <w:rPr/>
        <w:t>afirma</w:t>
      </w:r>
      <w:r>
        <w:rPr>
          <w:spacing w:val="-5"/>
        </w:rPr>
        <w:t> </w:t>
      </w:r>
      <w:r>
        <w:rPr/>
        <w:t>que</w:t>
      </w:r>
      <w:r>
        <w:rPr>
          <w:spacing w:val="-7"/>
        </w:rPr>
        <w:t> </w:t>
      </w:r>
      <w:r>
        <w:rPr/>
        <w:t>la</w:t>
      </w:r>
      <w:r>
        <w:rPr>
          <w:spacing w:val="-5"/>
        </w:rPr>
        <w:t> </w:t>
      </w:r>
      <w:r>
        <w:rPr/>
        <w:t>rendición</w:t>
      </w:r>
      <w:r>
        <w:rPr>
          <w:spacing w:val="-7"/>
        </w:rPr>
        <w:t> </w:t>
      </w:r>
      <w:r>
        <w:rPr/>
        <w:t>de</w:t>
      </w:r>
      <w:r>
        <w:rPr>
          <w:spacing w:val="-7"/>
        </w:rPr>
        <w:t> </w:t>
      </w:r>
      <w:r>
        <w:rPr/>
        <w:t>cuentas</w:t>
      </w:r>
      <w:r>
        <w:rPr>
          <w:spacing w:val="-5"/>
        </w:rPr>
        <w:t> </w:t>
      </w:r>
      <w:r>
        <w:rPr/>
        <w:t>es</w:t>
      </w:r>
      <w:r>
        <w:rPr>
          <w:spacing w:val="-8"/>
        </w:rPr>
        <w:t> </w:t>
      </w:r>
      <w:r>
        <w:rPr/>
        <w:t>una</w:t>
      </w:r>
      <w:r>
        <w:rPr>
          <w:spacing w:val="-2"/>
        </w:rPr>
        <w:t> </w:t>
      </w:r>
      <w:r>
        <w:rPr/>
        <w:t>relación</w:t>
      </w:r>
      <w:r>
        <w:rPr>
          <w:spacing w:val="-6"/>
        </w:rPr>
        <w:t> </w:t>
      </w:r>
      <w:r>
        <w:rPr/>
        <w:t>entre</w:t>
      </w:r>
      <w:r>
        <w:rPr>
          <w:spacing w:val="-7"/>
        </w:rPr>
        <w:t> </w:t>
      </w:r>
      <w:r>
        <w:rPr/>
        <w:t>dos</w:t>
      </w:r>
      <w:r>
        <w:rPr>
          <w:spacing w:val="-8"/>
        </w:rPr>
        <w:t> </w:t>
      </w:r>
      <w:r>
        <w:rPr/>
        <w:t>actores</w:t>
      </w:r>
      <w:r>
        <w:rPr>
          <w:spacing w:val="-8"/>
        </w:rPr>
        <w:t> </w:t>
      </w:r>
      <w:r>
        <w:rPr/>
        <w:t>(a y b),  en  la  que  “a” está formalmente obligado  a informar, explicar y justificar  </w:t>
      </w:r>
      <w:r>
        <w:rPr>
          <w:spacing w:val="2"/>
        </w:rPr>
        <w:t> </w:t>
      </w:r>
      <w:r>
        <w:rPr/>
        <w:t>su</w:t>
      </w:r>
    </w:p>
    <w:p>
      <w:pPr>
        <w:spacing w:after="0" w:line="360" w:lineRule="auto"/>
        <w:jc w:val="both"/>
        <w:sectPr>
          <w:pgSz w:w="12240" w:h="15840"/>
          <w:pgMar w:header="0" w:footer="1035" w:top="1360" w:bottom="1220" w:left="1580" w:right="1580"/>
        </w:sectPr>
      </w:pPr>
    </w:p>
    <w:p>
      <w:pPr>
        <w:pStyle w:val="BodyText"/>
        <w:spacing w:line="360" w:lineRule="auto" w:before="54"/>
        <w:ind w:left="102" w:right="117"/>
        <w:jc w:val="both"/>
      </w:pPr>
      <w:r>
        <w:rPr/>
        <w:t>conducta a “b” (con respecto a r). En esta relación, b tiene la facultad de examinar la</w:t>
      </w:r>
      <w:r>
        <w:rPr>
          <w:spacing w:val="-6"/>
        </w:rPr>
        <w:t> </w:t>
      </w:r>
      <w:r>
        <w:rPr/>
        <w:t>conducta</w:t>
      </w:r>
      <w:r>
        <w:rPr>
          <w:spacing w:val="-6"/>
        </w:rPr>
        <w:t> </w:t>
      </w:r>
      <w:r>
        <w:rPr/>
        <w:t>de</w:t>
      </w:r>
      <w:r>
        <w:rPr>
          <w:spacing w:val="-6"/>
        </w:rPr>
        <w:t> </w:t>
      </w:r>
      <w:r>
        <w:rPr/>
        <w:t>a</w:t>
      </w:r>
      <w:r>
        <w:rPr>
          <w:spacing w:val="-6"/>
        </w:rPr>
        <w:t> </w:t>
      </w:r>
      <w:r>
        <w:rPr/>
        <w:t>(con</w:t>
      </w:r>
      <w:r>
        <w:rPr>
          <w:spacing w:val="-6"/>
        </w:rPr>
        <w:t> </w:t>
      </w:r>
      <w:r>
        <w:rPr/>
        <w:t>respecto</w:t>
      </w:r>
      <w:r>
        <w:rPr>
          <w:spacing w:val="-6"/>
        </w:rPr>
        <w:t> </w:t>
      </w:r>
      <w:r>
        <w:rPr/>
        <w:t>a</w:t>
      </w:r>
      <w:r>
        <w:rPr>
          <w:spacing w:val="-6"/>
        </w:rPr>
        <w:t> </w:t>
      </w:r>
      <w:r>
        <w:rPr/>
        <w:t>r)</w:t>
      </w:r>
      <w:r>
        <w:rPr>
          <w:spacing w:val="-8"/>
        </w:rPr>
        <w:t> </w:t>
      </w:r>
      <w:r>
        <w:rPr/>
        <w:t>y</w:t>
      </w:r>
      <w:r>
        <w:rPr>
          <w:spacing w:val="-9"/>
        </w:rPr>
        <w:t> </w:t>
      </w:r>
      <w:r>
        <w:rPr/>
        <w:t>cuenta</w:t>
      </w:r>
      <w:r>
        <w:rPr>
          <w:spacing w:val="-6"/>
        </w:rPr>
        <w:t> </w:t>
      </w:r>
      <w:r>
        <w:rPr/>
        <w:t>con</w:t>
      </w:r>
      <w:r>
        <w:rPr>
          <w:spacing w:val="-6"/>
        </w:rPr>
        <w:t> </w:t>
      </w:r>
      <w:r>
        <w:rPr/>
        <w:t>instrumentos</w:t>
      </w:r>
      <w:r>
        <w:rPr>
          <w:spacing w:val="-7"/>
        </w:rPr>
        <w:t> </w:t>
      </w:r>
      <w:r>
        <w:rPr/>
        <w:t>para</w:t>
      </w:r>
      <w:r>
        <w:rPr>
          <w:spacing w:val="-7"/>
        </w:rPr>
        <w:t> </w:t>
      </w:r>
      <w:r>
        <w:rPr/>
        <w:t>vigilarlo</w:t>
      </w:r>
      <w:r>
        <w:rPr>
          <w:spacing w:val="-6"/>
        </w:rPr>
        <w:t> </w:t>
      </w:r>
      <w:r>
        <w:rPr/>
        <w:t>e</w:t>
      </w:r>
      <w:r>
        <w:rPr>
          <w:spacing w:val="-6"/>
        </w:rPr>
        <w:t> </w:t>
      </w:r>
      <w:r>
        <w:rPr/>
        <w:t>incidir en su comportamiento ya sea por medio de sanciones o incentivos. Asimismo, la rendición</w:t>
      </w:r>
      <w:r>
        <w:rPr>
          <w:spacing w:val="-11"/>
        </w:rPr>
        <w:t> </w:t>
      </w:r>
      <w:r>
        <w:rPr/>
        <w:t>de</w:t>
      </w:r>
      <w:r>
        <w:rPr>
          <w:spacing w:val="-8"/>
        </w:rPr>
        <w:t> </w:t>
      </w:r>
      <w:r>
        <w:rPr/>
        <w:t>cuentas</w:t>
      </w:r>
      <w:r>
        <w:rPr>
          <w:spacing w:val="-7"/>
        </w:rPr>
        <w:t> </w:t>
      </w:r>
      <w:r>
        <w:rPr/>
        <w:t>incluye</w:t>
      </w:r>
      <w:r>
        <w:rPr>
          <w:spacing w:val="-8"/>
        </w:rPr>
        <w:t> </w:t>
      </w:r>
      <w:r>
        <w:rPr/>
        <w:t>por</w:t>
      </w:r>
      <w:r>
        <w:rPr>
          <w:spacing w:val="-10"/>
        </w:rPr>
        <w:t> </w:t>
      </w:r>
      <w:r>
        <w:rPr/>
        <w:t>un</w:t>
      </w:r>
      <w:r>
        <w:rPr>
          <w:spacing w:val="-8"/>
        </w:rPr>
        <w:t> </w:t>
      </w:r>
      <w:r>
        <w:rPr/>
        <w:t>lado,</w:t>
      </w:r>
      <w:r>
        <w:rPr>
          <w:spacing w:val="-9"/>
        </w:rPr>
        <w:t> </w:t>
      </w:r>
      <w:r>
        <w:rPr/>
        <w:t>la</w:t>
      </w:r>
      <w:r>
        <w:rPr>
          <w:spacing w:val="-11"/>
        </w:rPr>
        <w:t> </w:t>
      </w:r>
      <w:r>
        <w:rPr/>
        <w:t>obligación</w:t>
      </w:r>
      <w:r>
        <w:rPr>
          <w:spacing w:val="-8"/>
        </w:rPr>
        <w:t> </w:t>
      </w:r>
      <w:r>
        <w:rPr/>
        <w:t>de</w:t>
      </w:r>
      <w:r>
        <w:rPr>
          <w:spacing w:val="-8"/>
        </w:rPr>
        <w:t> </w:t>
      </w:r>
      <w:r>
        <w:rPr/>
        <w:t>políticos</w:t>
      </w:r>
      <w:r>
        <w:rPr>
          <w:spacing w:val="-5"/>
        </w:rPr>
        <w:t> </w:t>
      </w:r>
      <w:r>
        <w:rPr/>
        <w:t>y</w:t>
      </w:r>
      <w:r>
        <w:rPr>
          <w:spacing w:val="-12"/>
        </w:rPr>
        <w:t> </w:t>
      </w:r>
      <w:r>
        <w:rPr/>
        <w:t>funcionarios</w:t>
      </w:r>
      <w:r>
        <w:rPr>
          <w:spacing w:val="-9"/>
        </w:rPr>
        <w:t> </w:t>
      </w:r>
      <w:r>
        <w:rPr/>
        <w:t>de informar sobre sus decisiones y de justificarlas en público. Por otro, incluye la capacidad</w:t>
      </w:r>
      <w:r>
        <w:rPr>
          <w:spacing w:val="-9"/>
        </w:rPr>
        <w:t> </w:t>
      </w:r>
      <w:r>
        <w:rPr/>
        <w:t>de</w:t>
      </w:r>
      <w:r>
        <w:rPr>
          <w:spacing w:val="-9"/>
        </w:rPr>
        <w:t> </w:t>
      </w:r>
      <w:r>
        <w:rPr/>
        <w:t>sancionar</w:t>
      </w:r>
      <w:r>
        <w:rPr>
          <w:spacing w:val="-11"/>
        </w:rPr>
        <w:t> </w:t>
      </w:r>
      <w:r>
        <w:rPr/>
        <w:t>a</w:t>
      </w:r>
      <w:r>
        <w:rPr>
          <w:spacing w:val="-9"/>
        </w:rPr>
        <w:t> </w:t>
      </w:r>
      <w:r>
        <w:rPr/>
        <w:t>políticos</w:t>
      </w:r>
      <w:r>
        <w:rPr>
          <w:spacing w:val="-10"/>
        </w:rPr>
        <w:t> </w:t>
      </w:r>
      <w:r>
        <w:rPr/>
        <w:t>y</w:t>
      </w:r>
      <w:r>
        <w:rPr>
          <w:spacing w:val="-13"/>
        </w:rPr>
        <w:t> </w:t>
      </w:r>
      <w:r>
        <w:rPr/>
        <w:t>funcionarios</w:t>
      </w:r>
      <w:r>
        <w:rPr>
          <w:spacing w:val="-10"/>
        </w:rPr>
        <w:t> </w:t>
      </w:r>
      <w:r>
        <w:rPr/>
        <w:t>en</w:t>
      </w:r>
      <w:r>
        <w:rPr>
          <w:spacing w:val="-9"/>
        </w:rPr>
        <w:t> </w:t>
      </w:r>
      <w:r>
        <w:rPr/>
        <w:t>caso</w:t>
      </w:r>
      <w:r>
        <w:rPr>
          <w:spacing w:val="-9"/>
        </w:rPr>
        <w:t> </w:t>
      </w:r>
      <w:r>
        <w:rPr/>
        <w:t>de</w:t>
      </w:r>
      <w:r>
        <w:rPr>
          <w:spacing w:val="-9"/>
        </w:rPr>
        <w:t> </w:t>
      </w:r>
      <w:r>
        <w:rPr/>
        <w:t>que</w:t>
      </w:r>
      <w:r>
        <w:rPr>
          <w:spacing w:val="-9"/>
        </w:rPr>
        <w:t> </w:t>
      </w:r>
      <w:r>
        <w:rPr/>
        <w:t>hayan</w:t>
      </w:r>
      <w:r>
        <w:rPr>
          <w:spacing w:val="-9"/>
        </w:rPr>
        <w:t> </w:t>
      </w:r>
      <w:r>
        <w:rPr/>
        <w:t>violado</w:t>
      </w:r>
      <w:r>
        <w:rPr>
          <w:spacing w:val="-9"/>
        </w:rPr>
        <w:t> </w:t>
      </w:r>
      <w:r>
        <w:rPr/>
        <w:t>sus deberes públicos (Schedler, 2006; Naessens,</w:t>
      </w:r>
      <w:r>
        <w:rPr>
          <w:spacing w:val="-17"/>
        </w:rPr>
        <w:t> </w:t>
      </w:r>
      <w:r>
        <w:rPr/>
        <w:t>2010).</w:t>
      </w:r>
    </w:p>
    <w:p>
      <w:pPr>
        <w:pStyle w:val="BodyText"/>
      </w:pPr>
    </w:p>
    <w:p>
      <w:pPr>
        <w:pStyle w:val="BodyText"/>
      </w:pPr>
    </w:p>
    <w:p>
      <w:pPr>
        <w:pStyle w:val="BodyText"/>
        <w:spacing w:before="2"/>
        <w:rPr>
          <w:sz w:val="23"/>
        </w:rPr>
      </w:pPr>
    </w:p>
    <w:p>
      <w:pPr>
        <w:pStyle w:val="BodyText"/>
        <w:spacing w:line="360" w:lineRule="auto" w:before="1"/>
        <w:ind w:left="102" w:right="119"/>
        <w:jc w:val="both"/>
      </w:pPr>
      <w:r>
        <w:rPr/>
        <w:t>Por su parte Quintanilla (2012), menciona que las TIC e Internet pueden ayudar a promover</w:t>
      </w:r>
      <w:r>
        <w:rPr>
          <w:spacing w:val="-10"/>
        </w:rPr>
        <w:t> </w:t>
      </w:r>
      <w:r>
        <w:rPr/>
        <w:t>la</w:t>
      </w:r>
      <w:r>
        <w:rPr>
          <w:spacing w:val="-9"/>
        </w:rPr>
        <w:t> </w:t>
      </w:r>
      <w:r>
        <w:rPr/>
        <w:t>e-Transparencia</w:t>
      </w:r>
      <w:r>
        <w:rPr>
          <w:spacing w:val="-9"/>
        </w:rPr>
        <w:t> </w:t>
      </w:r>
      <w:r>
        <w:rPr/>
        <w:t>y</w:t>
      </w:r>
      <w:r>
        <w:rPr>
          <w:spacing w:val="-12"/>
        </w:rPr>
        <w:t> </w:t>
      </w:r>
      <w:r>
        <w:rPr/>
        <w:t>la</w:t>
      </w:r>
      <w:r>
        <w:rPr>
          <w:spacing w:val="-9"/>
        </w:rPr>
        <w:t> </w:t>
      </w:r>
      <w:r>
        <w:rPr/>
        <w:t>e-Rendición</w:t>
      </w:r>
      <w:r>
        <w:rPr>
          <w:spacing w:val="-11"/>
        </w:rPr>
        <w:t> </w:t>
      </w:r>
      <w:r>
        <w:rPr/>
        <w:t>de</w:t>
      </w:r>
      <w:r>
        <w:rPr>
          <w:spacing w:val="-8"/>
        </w:rPr>
        <w:t> </w:t>
      </w:r>
      <w:r>
        <w:rPr/>
        <w:t>cuentas</w:t>
      </w:r>
      <w:r>
        <w:rPr>
          <w:spacing w:val="-9"/>
        </w:rPr>
        <w:t> </w:t>
      </w:r>
      <w:r>
        <w:rPr/>
        <w:t>y</w:t>
      </w:r>
      <w:r>
        <w:rPr>
          <w:spacing w:val="-12"/>
        </w:rPr>
        <w:t> </w:t>
      </w:r>
      <w:r>
        <w:rPr/>
        <w:t>a</w:t>
      </w:r>
      <w:r>
        <w:rPr>
          <w:spacing w:val="-8"/>
        </w:rPr>
        <w:t> </w:t>
      </w:r>
      <w:r>
        <w:rPr/>
        <w:t>combatir</w:t>
      </w:r>
      <w:r>
        <w:rPr>
          <w:spacing w:val="-10"/>
        </w:rPr>
        <w:t> </w:t>
      </w:r>
      <w:r>
        <w:rPr/>
        <w:t>la</w:t>
      </w:r>
      <w:r>
        <w:rPr>
          <w:spacing w:val="-9"/>
        </w:rPr>
        <w:t> </w:t>
      </w:r>
      <w:r>
        <w:rPr/>
        <w:t>corrupción mediante la mejora de la normatividad, la reducción de la discrecionalidad de los funcionarios y el uso coordinado y colaborativo de las tecnologías y, por ende, un e-Gobierno eficiente. No obstante, a México todavía le falta mucho para lograr el reconocimiento y revalorización de su</w:t>
      </w:r>
      <w:r>
        <w:rPr>
          <w:spacing w:val="-12"/>
        </w:rPr>
        <w:t> </w:t>
      </w:r>
      <w:r>
        <w:rPr/>
        <w:t>sociedad.</w:t>
      </w:r>
    </w:p>
    <w:p>
      <w:pPr>
        <w:pStyle w:val="BodyText"/>
      </w:pPr>
    </w:p>
    <w:p>
      <w:pPr>
        <w:pStyle w:val="BodyText"/>
      </w:pPr>
    </w:p>
    <w:p>
      <w:pPr>
        <w:pStyle w:val="BodyText"/>
        <w:spacing w:before="7"/>
        <w:rPr>
          <w:sz w:val="19"/>
        </w:rPr>
      </w:pPr>
    </w:p>
    <w:p>
      <w:pPr>
        <w:pStyle w:val="BodyText"/>
        <w:spacing w:line="360" w:lineRule="auto"/>
        <w:ind w:left="102" w:right="116"/>
        <w:jc w:val="both"/>
      </w:pPr>
      <w:r>
        <w:rPr/>
        <w:t>López-Ayllón</w:t>
      </w:r>
      <w:r>
        <w:rPr>
          <w:spacing w:val="-5"/>
        </w:rPr>
        <w:t> </w:t>
      </w:r>
      <w:r>
        <w:rPr/>
        <w:t>y</w:t>
      </w:r>
      <w:r>
        <w:rPr>
          <w:spacing w:val="-8"/>
        </w:rPr>
        <w:t> </w:t>
      </w:r>
      <w:r>
        <w:rPr/>
        <w:t>Merino</w:t>
      </w:r>
      <w:r>
        <w:rPr>
          <w:spacing w:val="-5"/>
        </w:rPr>
        <w:t> </w:t>
      </w:r>
      <w:r>
        <w:rPr/>
        <w:t>(2009)</w:t>
      </w:r>
      <w:r>
        <w:rPr>
          <w:spacing w:val="-8"/>
        </w:rPr>
        <w:t> </w:t>
      </w:r>
      <w:r>
        <w:rPr/>
        <w:t>definen</w:t>
      </w:r>
      <w:r>
        <w:rPr>
          <w:spacing w:val="-7"/>
        </w:rPr>
        <w:t> </w:t>
      </w:r>
      <w:r>
        <w:rPr/>
        <w:t>la</w:t>
      </w:r>
      <w:r>
        <w:rPr>
          <w:spacing w:val="-5"/>
        </w:rPr>
        <w:t> </w:t>
      </w:r>
      <w:r>
        <w:rPr/>
        <w:t>rendición</w:t>
      </w:r>
      <w:r>
        <w:rPr>
          <w:spacing w:val="-4"/>
        </w:rPr>
        <w:t> </w:t>
      </w:r>
      <w:r>
        <w:rPr/>
        <w:t>de</w:t>
      </w:r>
      <w:r>
        <w:rPr>
          <w:spacing w:val="-5"/>
        </w:rPr>
        <w:t> </w:t>
      </w:r>
      <w:r>
        <w:rPr/>
        <w:t>cuentas</w:t>
      </w:r>
      <w:r>
        <w:rPr>
          <w:spacing w:val="-5"/>
        </w:rPr>
        <w:t> </w:t>
      </w:r>
      <w:r>
        <w:rPr/>
        <w:t>como</w:t>
      </w:r>
      <w:r>
        <w:rPr>
          <w:spacing w:val="-5"/>
        </w:rPr>
        <w:t> </w:t>
      </w:r>
      <w:r>
        <w:rPr/>
        <w:t>la</w:t>
      </w:r>
      <w:r>
        <w:rPr>
          <w:spacing w:val="-5"/>
        </w:rPr>
        <w:t> </w:t>
      </w:r>
      <w:r>
        <w:rPr/>
        <w:t>presencia</w:t>
      </w:r>
      <w:r>
        <w:rPr>
          <w:spacing w:val="-7"/>
        </w:rPr>
        <w:t> </w:t>
      </w:r>
      <w:r>
        <w:rPr/>
        <w:t>de relaciones de vigilancia y control entre dependencias públicas para delimitar las facultades y la capacidad de la sociedad para exigir cuentas y demandar el acceso a</w:t>
      </w:r>
      <w:r>
        <w:rPr>
          <w:spacing w:val="-12"/>
        </w:rPr>
        <w:t> </w:t>
      </w:r>
      <w:r>
        <w:rPr/>
        <w:t>la</w:t>
      </w:r>
      <w:r>
        <w:rPr>
          <w:spacing w:val="-12"/>
        </w:rPr>
        <w:t> </w:t>
      </w:r>
      <w:r>
        <w:rPr/>
        <w:t>información.</w:t>
      </w:r>
      <w:r>
        <w:rPr>
          <w:spacing w:val="-14"/>
        </w:rPr>
        <w:t> </w:t>
      </w:r>
      <w:r>
        <w:rPr/>
        <w:t>Ackerman</w:t>
      </w:r>
      <w:r>
        <w:rPr>
          <w:spacing w:val="-14"/>
        </w:rPr>
        <w:t> </w:t>
      </w:r>
      <w:r>
        <w:rPr/>
        <w:t>(2005)</w:t>
      </w:r>
      <w:r>
        <w:rPr>
          <w:spacing w:val="-13"/>
        </w:rPr>
        <w:t> </w:t>
      </w:r>
      <w:r>
        <w:rPr/>
        <w:t>la</w:t>
      </w:r>
      <w:r>
        <w:rPr>
          <w:spacing w:val="-12"/>
        </w:rPr>
        <w:t> </w:t>
      </w:r>
      <w:r>
        <w:rPr/>
        <w:t>refiere</w:t>
      </w:r>
      <w:r>
        <w:rPr>
          <w:spacing w:val="-14"/>
        </w:rPr>
        <w:t> </w:t>
      </w:r>
      <w:r>
        <w:rPr/>
        <w:t>como</w:t>
      </w:r>
      <w:r>
        <w:rPr>
          <w:spacing w:val="-14"/>
        </w:rPr>
        <w:t> </w:t>
      </w:r>
      <w:r>
        <w:rPr/>
        <w:t>un</w:t>
      </w:r>
      <w:r>
        <w:rPr>
          <w:spacing w:val="-14"/>
        </w:rPr>
        <w:t> </w:t>
      </w:r>
      <w:r>
        <w:rPr/>
        <w:t>proceso</w:t>
      </w:r>
      <w:r>
        <w:rPr>
          <w:spacing w:val="-12"/>
        </w:rPr>
        <w:t> </w:t>
      </w:r>
      <w:r>
        <w:rPr/>
        <w:t>proactivo</w:t>
      </w:r>
      <w:r>
        <w:rPr>
          <w:spacing w:val="-12"/>
        </w:rPr>
        <w:t> </w:t>
      </w:r>
      <w:r>
        <w:rPr/>
        <w:t>que</w:t>
      </w:r>
      <w:r>
        <w:rPr>
          <w:spacing w:val="-12"/>
        </w:rPr>
        <w:t> </w:t>
      </w:r>
      <w:r>
        <w:rPr/>
        <w:t>permite a los servidores públicos informar y justificar el uso de los diferentes recursos en la gestión y los resultados obtenidos, y Fox (2007) la describe como un modo de answerability de cara suave y otro de cara dura que incluye</w:t>
      </w:r>
      <w:r>
        <w:rPr>
          <w:spacing w:val="-23"/>
        </w:rPr>
        <w:t> </w:t>
      </w:r>
      <w:r>
        <w:rPr/>
        <w:t>sanciones.</w:t>
      </w:r>
    </w:p>
    <w:p>
      <w:pPr>
        <w:pStyle w:val="BodyText"/>
      </w:pPr>
    </w:p>
    <w:p>
      <w:pPr>
        <w:pStyle w:val="BodyText"/>
      </w:pPr>
    </w:p>
    <w:p>
      <w:pPr>
        <w:pStyle w:val="BodyText"/>
        <w:spacing w:line="360" w:lineRule="auto" w:before="186"/>
        <w:ind w:left="102" w:right="122"/>
        <w:jc w:val="both"/>
      </w:pPr>
      <w:r>
        <w:rPr/>
        <w:t>Para Cantú </w:t>
      </w:r>
      <w:r>
        <w:rPr>
          <w:i/>
        </w:rPr>
        <w:t>et. al. </w:t>
      </w:r>
      <w:r>
        <w:rPr/>
        <w:t>(2011) la rendición de cuentas es un término más complejo aun que</w:t>
      </w:r>
      <w:r>
        <w:rPr>
          <w:spacing w:val="-5"/>
        </w:rPr>
        <w:t> </w:t>
      </w:r>
      <w:r>
        <w:rPr/>
        <w:t>requiere</w:t>
      </w:r>
      <w:r>
        <w:rPr>
          <w:spacing w:val="-5"/>
        </w:rPr>
        <w:t> </w:t>
      </w:r>
      <w:r>
        <w:rPr/>
        <w:t>no</w:t>
      </w:r>
      <w:r>
        <w:rPr>
          <w:spacing w:val="-4"/>
        </w:rPr>
        <w:t> </w:t>
      </w:r>
      <w:r>
        <w:rPr/>
        <w:t>solo</w:t>
      </w:r>
      <w:r>
        <w:rPr>
          <w:spacing w:val="-4"/>
        </w:rPr>
        <w:t> </w:t>
      </w:r>
      <w:r>
        <w:rPr/>
        <w:t>información</w:t>
      </w:r>
      <w:r>
        <w:rPr>
          <w:spacing w:val="-5"/>
        </w:rPr>
        <w:t> </w:t>
      </w:r>
      <w:r>
        <w:rPr/>
        <w:t>sobre</w:t>
      </w:r>
      <w:r>
        <w:rPr>
          <w:spacing w:val="-5"/>
        </w:rPr>
        <w:t> </w:t>
      </w:r>
      <w:r>
        <w:rPr/>
        <w:t>la</w:t>
      </w:r>
      <w:r>
        <w:rPr>
          <w:spacing w:val="-5"/>
        </w:rPr>
        <w:t> </w:t>
      </w:r>
      <w:r>
        <w:rPr/>
        <w:t>situación</w:t>
      </w:r>
      <w:r>
        <w:rPr>
          <w:spacing w:val="-7"/>
        </w:rPr>
        <w:t> </w:t>
      </w:r>
      <w:r>
        <w:rPr/>
        <w:t>del</w:t>
      </w:r>
      <w:r>
        <w:rPr>
          <w:spacing w:val="-6"/>
        </w:rPr>
        <w:t> </w:t>
      </w:r>
      <w:r>
        <w:rPr/>
        <w:t>sistema,</w:t>
      </w:r>
      <w:r>
        <w:rPr>
          <w:spacing w:val="-5"/>
        </w:rPr>
        <w:t> </w:t>
      </w:r>
      <w:r>
        <w:rPr/>
        <w:t>sino</w:t>
      </w:r>
      <w:r>
        <w:rPr>
          <w:spacing w:val="-7"/>
        </w:rPr>
        <w:t> </w:t>
      </w:r>
      <w:r>
        <w:rPr/>
        <w:t>también</w:t>
      </w:r>
      <w:r>
        <w:rPr>
          <w:spacing w:val="-5"/>
        </w:rPr>
        <w:t> </w:t>
      </w:r>
      <w:r>
        <w:rPr/>
        <w:t>sobre el</w:t>
      </w:r>
      <w:r>
        <w:rPr>
          <w:spacing w:val="-5"/>
        </w:rPr>
        <w:t> </w:t>
      </w:r>
      <w:r>
        <w:rPr/>
        <w:t>compromiso</w:t>
      </w:r>
      <w:r>
        <w:rPr>
          <w:spacing w:val="-6"/>
        </w:rPr>
        <w:t> </w:t>
      </w:r>
      <w:r>
        <w:rPr/>
        <w:t>de</w:t>
      </w:r>
      <w:r>
        <w:rPr>
          <w:spacing w:val="-4"/>
        </w:rPr>
        <w:t> </w:t>
      </w:r>
      <w:r>
        <w:rPr/>
        <w:t>Alcaldes</w:t>
      </w:r>
      <w:r>
        <w:rPr>
          <w:spacing w:val="-4"/>
        </w:rPr>
        <w:t> </w:t>
      </w:r>
      <w:r>
        <w:rPr/>
        <w:t>y</w:t>
      </w:r>
      <w:r>
        <w:rPr>
          <w:spacing w:val="-7"/>
        </w:rPr>
        <w:t> </w:t>
      </w:r>
      <w:r>
        <w:rPr/>
        <w:t>Ayuntamientos</w:t>
      </w:r>
      <w:r>
        <w:rPr>
          <w:spacing w:val="-7"/>
        </w:rPr>
        <w:t> </w:t>
      </w:r>
      <w:r>
        <w:rPr/>
        <w:t>de</w:t>
      </w:r>
      <w:r>
        <w:rPr>
          <w:spacing w:val="-4"/>
        </w:rPr>
        <w:t> </w:t>
      </w:r>
      <w:r>
        <w:rPr/>
        <w:t>cumplir</w:t>
      </w:r>
      <w:r>
        <w:rPr>
          <w:spacing w:val="-5"/>
        </w:rPr>
        <w:t> </w:t>
      </w:r>
      <w:r>
        <w:rPr/>
        <w:t>con</w:t>
      </w:r>
      <w:r>
        <w:rPr>
          <w:spacing w:val="-4"/>
        </w:rPr>
        <w:t> </w:t>
      </w:r>
      <w:r>
        <w:rPr/>
        <w:t>compromisos,</w:t>
      </w:r>
      <w:r>
        <w:rPr>
          <w:spacing w:val="-4"/>
        </w:rPr>
        <w:t> </w:t>
      </w:r>
      <w:r>
        <w:rPr/>
        <w:t>planes</w:t>
      </w:r>
      <w:r>
        <w:rPr>
          <w:spacing w:val="-4"/>
        </w:rPr>
        <w:t> </w:t>
      </w:r>
      <w:r>
        <w:rPr/>
        <w:t>y programas y de utilizar los recursos de acuerdo con estándares de eficiencia, efectividad y eficacia. Se trata del cumplimiento de responsabilidades y la atención de</w:t>
      </w:r>
      <w:r>
        <w:rPr>
          <w:spacing w:val="-17"/>
        </w:rPr>
        <w:t> </w:t>
      </w:r>
      <w:r>
        <w:rPr/>
        <w:t>exigencias</w:t>
      </w:r>
      <w:r>
        <w:rPr>
          <w:spacing w:val="-15"/>
        </w:rPr>
        <w:t> </w:t>
      </w:r>
      <w:r>
        <w:rPr/>
        <w:t>que</w:t>
      </w:r>
      <w:r>
        <w:rPr>
          <w:spacing w:val="-15"/>
        </w:rPr>
        <w:t> </w:t>
      </w:r>
      <w:r>
        <w:rPr/>
        <w:t>requieren</w:t>
      </w:r>
      <w:r>
        <w:rPr>
          <w:spacing w:val="-15"/>
        </w:rPr>
        <w:t> </w:t>
      </w:r>
      <w:r>
        <w:rPr/>
        <w:t>ser</w:t>
      </w:r>
      <w:r>
        <w:rPr>
          <w:spacing w:val="-16"/>
        </w:rPr>
        <w:t> </w:t>
      </w:r>
      <w:r>
        <w:rPr/>
        <w:t>asumidas</w:t>
      </w:r>
      <w:r>
        <w:rPr>
          <w:spacing w:val="-15"/>
        </w:rPr>
        <w:t> </w:t>
      </w:r>
      <w:r>
        <w:rPr/>
        <w:t>y</w:t>
      </w:r>
      <w:r>
        <w:rPr>
          <w:spacing w:val="-17"/>
        </w:rPr>
        <w:t> </w:t>
      </w:r>
      <w:r>
        <w:rPr/>
        <w:t>que</w:t>
      </w:r>
      <w:r>
        <w:rPr>
          <w:spacing w:val="-17"/>
        </w:rPr>
        <w:t> </w:t>
      </w:r>
      <w:r>
        <w:rPr/>
        <w:t>exigen</w:t>
      </w:r>
      <w:r>
        <w:rPr>
          <w:spacing w:val="-15"/>
        </w:rPr>
        <w:t> </w:t>
      </w:r>
      <w:r>
        <w:rPr/>
        <w:t>la</w:t>
      </w:r>
      <w:r>
        <w:rPr>
          <w:spacing w:val="-15"/>
        </w:rPr>
        <w:t> </w:t>
      </w:r>
      <w:r>
        <w:rPr/>
        <w:t>revelación</w:t>
      </w:r>
      <w:r>
        <w:rPr>
          <w:spacing w:val="-16"/>
        </w:rPr>
        <w:t> </w:t>
      </w:r>
      <w:r>
        <w:rPr/>
        <w:t>de</w:t>
      </w:r>
      <w:r>
        <w:rPr>
          <w:spacing w:val="-16"/>
        </w:rPr>
        <w:t> </w:t>
      </w:r>
      <w:r>
        <w:rPr/>
        <w:t>información</w:t>
      </w:r>
    </w:p>
    <w:p>
      <w:pPr>
        <w:spacing w:after="0" w:line="360" w:lineRule="auto"/>
        <w:jc w:val="both"/>
        <w:sectPr>
          <w:pgSz w:w="12240" w:h="15840"/>
          <w:pgMar w:header="0" w:footer="1035" w:top="1360" w:bottom="1220" w:left="1600" w:right="1580"/>
        </w:sectPr>
      </w:pPr>
    </w:p>
    <w:p>
      <w:pPr>
        <w:pStyle w:val="BodyText"/>
        <w:spacing w:line="362" w:lineRule="auto" w:before="54"/>
        <w:ind w:left="102" w:right="118"/>
        <w:jc w:val="both"/>
      </w:pPr>
      <w:r>
        <w:rPr/>
        <w:t>concreta que muestra el grado de cumplimientos. Requiere, por lo tanto, del desarrollo de competencias.</w:t>
      </w:r>
    </w:p>
    <w:p>
      <w:pPr>
        <w:pStyle w:val="BodyText"/>
      </w:pPr>
    </w:p>
    <w:p>
      <w:pPr>
        <w:pStyle w:val="BodyText"/>
      </w:pPr>
    </w:p>
    <w:p>
      <w:pPr>
        <w:pStyle w:val="BodyText"/>
        <w:spacing w:before="4"/>
        <w:rPr>
          <w:sz w:val="19"/>
        </w:rPr>
      </w:pPr>
    </w:p>
    <w:p>
      <w:pPr>
        <w:pStyle w:val="BodyText"/>
        <w:spacing w:line="360" w:lineRule="auto" w:before="1"/>
        <w:ind w:left="102" w:right="112"/>
        <w:jc w:val="both"/>
      </w:pPr>
      <w:r>
        <w:rPr/>
        <w:t>Para Toledo (2009), la rendición de cuentas es un elemento esencial de la democracia, pues implica la posibilidad de que los diferentes agentes del gobierno se hagan responsables de sus decisiones y de sus actos, a efecto de controlar el abuso del poder y hacer coincidir el interés particular del servidor público con el del ciudadano. Quintanilla (2012), menciona que las tecnologías de la información y comunicación e Internet pueden ayudar a promover la e-Transparencia y la e- Rendición de cuentas y a combatir la corrupción mediante la mejora de la normatividad, la reducción de la discrecionalidad de los funcionarios y el uso coordinado y colaborativo de las tecnologías y, por ende, un e-Gobierno eficiente. No obstante, a México todavía le falta mucho para lograr el reconocimiento y revalorización de su sociedad.</w:t>
      </w:r>
    </w:p>
    <w:p>
      <w:pPr>
        <w:pStyle w:val="BodyText"/>
        <w:spacing w:line="360" w:lineRule="auto" w:before="204"/>
        <w:ind w:left="102" w:right="118"/>
        <w:jc w:val="both"/>
      </w:pPr>
      <w:r>
        <w:rPr/>
        <w:t>López-</w:t>
      </w:r>
      <w:r>
        <w:rPr>
          <w:spacing w:val="-11"/>
        </w:rPr>
        <w:t> </w:t>
      </w:r>
      <w:r>
        <w:rPr/>
        <w:t>Ayllón</w:t>
      </w:r>
      <w:r>
        <w:rPr>
          <w:spacing w:val="-9"/>
        </w:rPr>
        <w:t> </w:t>
      </w:r>
      <w:r>
        <w:rPr/>
        <w:t>y</w:t>
      </w:r>
      <w:r>
        <w:rPr>
          <w:spacing w:val="-13"/>
        </w:rPr>
        <w:t> </w:t>
      </w:r>
      <w:r>
        <w:rPr/>
        <w:t>Merino</w:t>
      </w:r>
      <w:r>
        <w:rPr>
          <w:spacing w:val="-7"/>
        </w:rPr>
        <w:t> </w:t>
      </w:r>
      <w:r>
        <w:rPr/>
        <w:t>(2009)</w:t>
      </w:r>
      <w:r>
        <w:rPr>
          <w:spacing w:val="-11"/>
        </w:rPr>
        <w:t> </w:t>
      </w:r>
      <w:r>
        <w:rPr/>
        <w:t>definen</w:t>
      </w:r>
      <w:r>
        <w:rPr>
          <w:spacing w:val="-9"/>
        </w:rPr>
        <w:t> </w:t>
      </w:r>
      <w:r>
        <w:rPr/>
        <w:t>la</w:t>
      </w:r>
      <w:r>
        <w:rPr>
          <w:spacing w:val="-12"/>
        </w:rPr>
        <w:t> </w:t>
      </w:r>
      <w:r>
        <w:rPr/>
        <w:t>rendición</w:t>
      </w:r>
      <w:r>
        <w:rPr>
          <w:spacing w:val="-9"/>
        </w:rPr>
        <w:t> </w:t>
      </w:r>
      <w:r>
        <w:rPr/>
        <w:t>de</w:t>
      </w:r>
      <w:r>
        <w:rPr>
          <w:spacing w:val="-9"/>
        </w:rPr>
        <w:t> </w:t>
      </w:r>
      <w:r>
        <w:rPr/>
        <w:t>cuentas</w:t>
      </w:r>
      <w:r>
        <w:rPr>
          <w:spacing w:val="-10"/>
        </w:rPr>
        <w:t> </w:t>
      </w:r>
      <w:r>
        <w:rPr/>
        <w:t>como</w:t>
      </w:r>
      <w:r>
        <w:rPr>
          <w:spacing w:val="-9"/>
        </w:rPr>
        <w:t> </w:t>
      </w:r>
      <w:r>
        <w:rPr/>
        <w:t>la</w:t>
      </w:r>
      <w:r>
        <w:rPr>
          <w:spacing w:val="-9"/>
        </w:rPr>
        <w:t> </w:t>
      </w:r>
      <w:r>
        <w:rPr/>
        <w:t>presencia</w:t>
      </w:r>
      <w:r>
        <w:rPr>
          <w:spacing w:val="-14"/>
        </w:rPr>
        <w:t> </w:t>
      </w:r>
      <w:r>
        <w:rPr/>
        <w:t>de relaciones de vigilancia y control entre dependencias públicas para delimitar las facultades y la capacidad de la sociedad para exigir cuentas y demandar el acceso a</w:t>
      </w:r>
      <w:r>
        <w:rPr>
          <w:spacing w:val="-12"/>
        </w:rPr>
        <w:t> </w:t>
      </w:r>
      <w:r>
        <w:rPr/>
        <w:t>la</w:t>
      </w:r>
      <w:r>
        <w:rPr>
          <w:spacing w:val="-12"/>
        </w:rPr>
        <w:t> </w:t>
      </w:r>
      <w:r>
        <w:rPr/>
        <w:t>información.</w:t>
      </w:r>
      <w:r>
        <w:rPr>
          <w:spacing w:val="-14"/>
        </w:rPr>
        <w:t> </w:t>
      </w:r>
      <w:r>
        <w:rPr/>
        <w:t>Ackerman</w:t>
      </w:r>
      <w:r>
        <w:rPr>
          <w:spacing w:val="-14"/>
        </w:rPr>
        <w:t> </w:t>
      </w:r>
      <w:r>
        <w:rPr/>
        <w:t>(2005)</w:t>
      </w:r>
      <w:r>
        <w:rPr>
          <w:spacing w:val="-13"/>
        </w:rPr>
        <w:t> </w:t>
      </w:r>
      <w:r>
        <w:rPr/>
        <w:t>la</w:t>
      </w:r>
      <w:r>
        <w:rPr>
          <w:spacing w:val="-12"/>
        </w:rPr>
        <w:t> </w:t>
      </w:r>
      <w:r>
        <w:rPr/>
        <w:t>refiere</w:t>
      </w:r>
      <w:r>
        <w:rPr>
          <w:spacing w:val="-14"/>
        </w:rPr>
        <w:t> </w:t>
      </w:r>
      <w:r>
        <w:rPr/>
        <w:t>como</w:t>
      </w:r>
      <w:r>
        <w:rPr>
          <w:spacing w:val="-14"/>
        </w:rPr>
        <w:t> </w:t>
      </w:r>
      <w:r>
        <w:rPr/>
        <w:t>un</w:t>
      </w:r>
      <w:r>
        <w:rPr>
          <w:spacing w:val="-14"/>
        </w:rPr>
        <w:t> </w:t>
      </w:r>
      <w:r>
        <w:rPr/>
        <w:t>proceso</w:t>
      </w:r>
      <w:r>
        <w:rPr>
          <w:spacing w:val="-12"/>
        </w:rPr>
        <w:t> </w:t>
      </w:r>
      <w:r>
        <w:rPr/>
        <w:t>proactivo</w:t>
      </w:r>
      <w:r>
        <w:rPr>
          <w:spacing w:val="-12"/>
        </w:rPr>
        <w:t> </w:t>
      </w:r>
      <w:r>
        <w:rPr/>
        <w:t>que</w:t>
      </w:r>
      <w:r>
        <w:rPr>
          <w:spacing w:val="-12"/>
        </w:rPr>
        <w:t> </w:t>
      </w:r>
      <w:r>
        <w:rPr/>
        <w:t>permite a los servidores públicos informar y justificar el uso de los diferentes recursos en la gestión y los resultados obtenidos, y Fox (2007) la describe como un modo de answerability de cara suave y otro de cara dura que incluye</w:t>
      </w:r>
      <w:r>
        <w:rPr>
          <w:spacing w:val="-23"/>
        </w:rPr>
        <w:t> </w:t>
      </w:r>
      <w:r>
        <w:rPr/>
        <w:t>sanciones.</w:t>
      </w:r>
    </w:p>
    <w:p>
      <w:pPr>
        <w:pStyle w:val="BodyText"/>
      </w:pPr>
    </w:p>
    <w:p>
      <w:pPr>
        <w:pStyle w:val="BodyText"/>
      </w:pPr>
    </w:p>
    <w:p>
      <w:pPr>
        <w:pStyle w:val="BodyText"/>
        <w:spacing w:line="360" w:lineRule="auto" w:before="187"/>
        <w:ind w:left="102" w:right="116"/>
        <w:jc w:val="both"/>
      </w:pPr>
      <w:r>
        <w:rPr/>
        <w:t>Para Barrera (2010) la transparencia no puede apreciarse aislada de la práctica de la</w:t>
      </w:r>
      <w:r>
        <w:rPr>
          <w:spacing w:val="-13"/>
        </w:rPr>
        <w:t> </w:t>
      </w:r>
      <w:r>
        <w:rPr/>
        <w:t>gestión</w:t>
      </w:r>
      <w:r>
        <w:rPr>
          <w:spacing w:val="-13"/>
        </w:rPr>
        <w:t> </w:t>
      </w:r>
      <w:r>
        <w:rPr/>
        <w:t>pública,</w:t>
      </w:r>
      <w:r>
        <w:rPr>
          <w:spacing w:val="-16"/>
        </w:rPr>
        <w:t> </w:t>
      </w:r>
      <w:r>
        <w:rPr/>
        <w:t>ni</w:t>
      </w:r>
      <w:r>
        <w:rPr>
          <w:spacing w:val="-14"/>
        </w:rPr>
        <w:t> </w:t>
      </w:r>
      <w:r>
        <w:rPr/>
        <w:t>de</w:t>
      </w:r>
      <w:r>
        <w:rPr>
          <w:spacing w:val="-13"/>
        </w:rPr>
        <w:t> </w:t>
      </w:r>
      <w:r>
        <w:rPr/>
        <w:t>su</w:t>
      </w:r>
      <w:r>
        <w:rPr>
          <w:spacing w:val="-13"/>
        </w:rPr>
        <w:t> </w:t>
      </w:r>
      <w:r>
        <w:rPr/>
        <w:t>cultura</w:t>
      </w:r>
      <w:r>
        <w:rPr>
          <w:spacing w:val="-14"/>
        </w:rPr>
        <w:t> </w:t>
      </w:r>
      <w:r>
        <w:rPr/>
        <w:t>burocrática</w:t>
      </w:r>
      <w:r>
        <w:rPr>
          <w:spacing w:val="-13"/>
        </w:rPr>
        <w:t> </w:t>
      </w:r>
      <w:r>
        <w:rPr/>
        <w:t>de</w:t>
      </w:r>
      <w:r>
        <w:rPr>
          <w:spacing w:val="-13"/>
        </w:rPr>
        <w:t> </w:t>
      </w:r>
      <w:r>
        <w:rPr/>
        <w:t>rendición</w:t>
      </w:r>
      <w:r>
        <w:rPr>
          <w:spacing w:val="-13"/>
        </w:rPr>
        <w:t> </w:t>
      </w:r>
      <w:r>
        <w:rPr/>
        <w:t>de</w:t>
      </w:r>
      <w:r>
        <w:rPr>
          <w:spacing w:val="-13"/>
        </w:rPr>
        <w:t> </w:t>
      </w:r>
      <w:r>
        <w:rPr/>
        <w:t>cuentas.</w:t>
      </w:r>
      <w:r>
        <w:rPr>
          <w:spacing w:val="-13"/>
        </w:rPr>
        <w:t> </w:t>
      </w:r>
      <w:r>
        <w:rPr/>
        <w:t>Como</w:t>
      </w:r>
      <w:r>
        <w:rPr>
          <w:spacing w:val="-13"/>
        </w:rPr>
        <w:t> </w:t>
      </w:r>
      <w:r>
        <w:rPr/>
        <w:t>medio o instrumento, la transparencia podría atenerse a simplemente dar acceso a la información documental de la manera en que ésta se encuentre, independientemente que le represente o no algún valor al</w:t>
      </w:r>
      <w:r>
        <w:rPr>
          <w:spacing w:val="-24"/>
        </w:rPr>
        <w:t> </w:t>
      </w:r>
      <w:r>
        <w:rPr/>
        <w:t>ciudadano.</w:t>
      </w:r>
    </w:p>
    <w:p>
      <w:pPr>
        <w:pStyle w:val="BodyText"/>
        <w:spacing w:line="360" w:lineRule="auto" w:before="204"/>
        <w:ind w:left="102" w:right="124"/>
        <w:jc w:val="both"/>
      </w:pPr>
      <w:r>
        <w:rPr/>
        <w:t>En</w:t>
      </w:r>
      <w:r>
        <w:rPr>
          <w:spacing w:val="-16"/>
        </w:rPr>
        <w:t> </w:t>
      </w:r>
      <w:r>
        <w:rPr/>
        <w:t>resumen,</w:t>
      </w:r>
      <w:r>
        <w:rPr>
          <w:spacing w:val="-16"/>
        </w:rPr>
        <w:t> </w:t>
      </w:r>
      <w:r>
        <w:rPr/>
        <w:t>la</w:t>
      </w:r>
      <w:r>
        <w:rPr>
          <w:spacing w:val="-16"/>
        </w:rPr>
        <w:t> </w:t>
      </w:r>
      <w:r>
        <w:rPr/>
        <w:t>“rendición</w:t>
      </w:r>
      <w:r>
        <w:rPr>
          <w:spacing w:val="-16"/>
        </w:rPr>
        <w:t> </w:t>
      </w:r>
      <w:r>
        <w:rPr/>
        <w:t>de</w:t>
      </w:r>
      <w:r>
        <w:rPr>
          <w:spacing w:val="-16"/>
        </w:rPr>
        <w:t> </w:t>
      </w:r>
      <w:r>
        <w:rPr/>
        <w:t>cuentas</w:t>
      </w:r>
      <w:r>
        <w:rPr>
          <w:spacing w:val="-19"/>
        </w:rPr>
        <w:t> </w:t>
      </w:r>
      <w:r>
        <w:rPr/>
        <w:t>no</w:t>
      </w:r>
      <w:r>
        <w:rPr>
          <w:spacing w:val="-16"/>
        </w:rPr>
        <w:t> </w:t>
      </w:r>
      <w:r>
        <w:rPr/>
        <w:t>es</w:t>
      </w:r>
      <w:r>
        <w:rPr>
          <w:spacing w:val="-19"/>
        </w:rPr>
        <w:t> </w:t>
      </w:r>
      <w:r>
        <w:rPr/>
        <w:t>un</w:t>
      </w:r>
      <w:r>
        <w:rPr>
          <w:spacing w:val="-18"/>
        </w:rPr>
        <w:t> </w:t>
      </w:r>
      <w:r>
        <w:rPr/>
        <w:t>derecho</w:t>
      </w:r>
      <w:r>
        <w:rPr>
          <w:spacing w:val="-16"/>
        </w:rPr>
        <w:t> </w:t>
      </w:r>
      <w:r>
        <w:rPr/>
        <w:t>de</w:t>
      </w:r>
      <w:r>
        <w:rPr>
          <w:spacing w:val="-18"/>
        </w:rPr>
        <w:t> </w:t>
      </w:r>
      <w:r>
        <w:rPr/>
        <w:t>petición</w:t>
      </w:r>
      <w:r>
        <w:rPr>
          <w:spacing w:val="-16"/>
        </w:rPr>
        <w:t> </w:t>
      </w:r>
      <w:r>
        <w:rPr/>
        <w:t>[sino]</w:t>
      </w:r>
      <w:r>
        <w:rPr>
          <w:spacing w:val="-16"/>
        </w:rPr>
        <w:t> </w:t>
      </w:r>
      <w:r>
        <w:rPr/>
        <w:t>un</w:t>
      </w:r>
      <w:r>
        <w:rPr>
          <w:spacing w:val="-16"/>
        </w:rPr>
        <w:t> </w:t>
      </w:r>
      <w:r>
        <w:rPr/>
        <w:t>derecho a la crítica y al diálogo” (Schedler, 2004: 15) que cobra relevancia toda vez que </w:t>
      </w:r>
      <w:r>
        <w:rPr>
          <w:spacing w:val="51"/>
        </w:rPr>
        <w:t> </w:t>
      </w:r>
      <w:r>
        <w:rPr/>
        <w:t>el</w:t>
      </w:r>
    </w:p>
    <w:p>
      <w:pPr>
        <w:spacing w:after="0" w:line="360" w:lineRule="auto"/>
        <w:jc w:val="both"/>
        <w:sectPr>
          <w:pgSz w:w="12240" w:h="15840"/>
          <w:pgMar w:header="0" w:footer="1035" w:top="1360" w:bottom="1220" w:left="1600" w:right="1580"/>
        </w:sectPr>
      </w:pPr>
    </w:p>
    <w:p>
      <w:pPr>
        <w:pStyle w:val="BodyText"/>
        <w:spacing w:line="360" w:lineRule="auto" w:before="54"/>
        <w:ind w:left="122" w:right="119"/>
        <w:jc w:val="both"/>
      </w:pPr>
      <w:r>
        <w:rPr/>
        <w:t>gobierno</w:t>
      </w:r>
      <w:r>
        <w:rPr>
          <w:spacing w:val="-16"/>
        </w:rPr>
        <w:t> </w:t>
      </w:r>
      <w:r>
        <w:rPr/>
        <w:t>necesita</w:t>
      </w:r>
      <w:r>
        <w:rPr>
          <w:spacing w:val="-14"/>
        </w:rPr>
        <w:t> </w:t>
      </w:r>
      <w:r>
        <w:rPr/>
        <w:t>legitimarse</w:t>
      </w:r>
      <w:r>
        <w:rPr>
          <w:spacing w:val="-16"/>
        </w:rPr>
        <w:t> </w:t>
      </w:r>
      <w:r>
        <w:rPr/>
        <w:t>con</w:t>
      </w:r>
      <w:r>
        <w:rPr>
          <w:spacing w:val="-16"/>
        </w:rPr>
        <w:t> </w:t>
      </w:r>
      <w:r>
        <w:rPr/>
        <w:t>los</w:t>
      </w:r>
      <w:r>
        <w:rPr>
          <w:spacing w:val="-16"/>
        </w:rPr>
        <w:t> </w:t>
      </w:r>
      <w:r>
        <w:rPr/>
        <w:t>ciudadanos</w:t>
      </w:r>
      <w:r>
        <w:rPr>
          <w:spacing w:val="-16"/>
        </w:rPr>
        <w:t> </w:t>
      </w:r>
      <w:r>
        <w:rPr/>
        <w:t>para</w:t>
      </w:r>
      <w:r>
        <w:rPr>
          <w:spacing w:val="-16"/>
        </w:rPr>
        <w:t> </w:t>
      </w:r>
      <w:r>
        <w:rPr/>
        <w:t>dar</w:t>
      </w:r>
      <w:r>
        <w:rPr>
          <w:spacing w:val="-17"/>
        </w:rPr>
        <w:t> </w:t>
      </w:r>
      <w:r>
        <w:rPr/>
        <w:t>continuidad</w:t>
      </w:r>
      <w:r>
        <w:rPr>
          <w:spacing w:val="-16"/>
        </w:rPr>
        <w:t> </w:t>
      </w:r>
      <w:r>
        <w:rPr/>
        <w:t>a</w:t>
      </w:r>
      <w:r>
        <w:rPr>
          <w:spacing w:val="-14"/>
        </w:rPr>
        <w:t> </w:t>
      </w:r>
      <w:r>
        <w:rPr/>
        <w:t>su</w:t>
      </w:r>
      <w:r>
        <w:rPr>
          <w:spacing w:val="-16"/>
        </w:rPr>
        <w:t> </w:t>
      </w:r>
      <w:r>
        <w:rPr/>
        <w:t>estancia en</w:t>
      </w:r>
      <w:r>
        <w:rPr>
          <w:spacing w:val="-9"/>
        </w:rPr>
        <w:t> </w:t>
      </w:r>
      <w:r>
        <w:rPr/>
        <w:t>el</w:t>
      </w:r>
      <w:r>
        <w:rPr>
          <w:spacing w:val="-8"/>
        </w:rPr>
        <w:t> </w:t>
      </w:r>
      <w:r>
        <w:rPr/>
        <w:t>poder,</w:t>
      </w:r>
      <w:r>
        <w:rPr>
          <w:spacing w:val="-10"/>
        </w:rPr>
        <w:t> </w:t>
      </w:r>
      <w:r>
        <w:rPr/>
        <w:t>por</w:t>
      </w:r>
      <w:r>
        <w:rPr>
          <w:spacing w:val="-8"/>
        </w:rPr>
        <w:t> </w:t>
      </w:r>
      <w:r>
        <w:rPr/>
        <w:t>lo</w:t>
      </w:r>
      <w:r>
        <w:rPr>
          <w:spacing w:val="-7"/>
        </w:rPr>
        <w:t> </w:t>
      </w:r>
      <w:r>
        <w:rPr/>
        <w:t>que</w:t>
      </w:r>
      <w:r>
        <w:rPr>
          <w:spacing w:val="-12"/>
        </w:rPr>
        <w:t> </w:t>
      </w:r>
      <w:r>
        <w:rPr/>
        <w:t>el</w:t>
      </w:r>
      <w:r>
        <w:rPr>
          <w:spacing w:val="-8"/>
        </w:rPr>
        <w:t> </w:t>
      </w:r>
      <w:r>
        <w:rPr/>
        <w:t>hecho</w:t>
      </w:r>
      <w:r>
        <w:rPr>
          <w:spacing w:val="-9"/>
        </w:rPr>
        <w:t> </w:t>
      </w:r>
      <w:r>
        <w:rPr/>
        <w:t>mismo</w:t>
      </w:r>
      <w:r>
        <w:rPr>
          <w:spacing w:val="-9"/>
        </w:rPr>
        <w:t> </w:t>
      </w:r>
      <w:r>
        <w:rPr/>
        <w:t>de</w:t>
      </w:r>
      <w:r>
        <w:rPr>
          <w:spacing w:val="-9"/>
        </w:rPr>
        <w:t> </w:t>
      </w:r>
      <w:r>
        <w:rPr/>
        <w:t>que</w:t>
      </w:r>
      <w:r>
        <w:rPr>
          <w:spacing w:val="-7"/>
        </w:rPr>
        <w:t> </w:t>
      </w:r>
      <w:r>
        <w:rPr/>
        <w:t>el</w:t>
      </w:r>
      <w:r>
        <w:rPr>
          <w:spacing w:val="-8"/>
        </w:rPr>
        <w:t> </w:t>
      </w:r>
      <w:r>
        <w:rPr/>
        <w:t>compromiso</w:t>
      </w:r>
      <w:r>
        <w:rPr>
          <w:spacing w:val="-7"/>
        </w:rPr>
        <w:t> </w:t>
      </w:r>
      <w:r>
        <w:rPr/>
        <w:t>gubernamental</w:t>
      </w:r>
      <w:r>
        <w:rPr>
          <w:spacing w:val="-8"/>
        </w:rPr>
        <w:t> </w:t>
      </w:r>
      <w:r>
        <w:rPr/>
        <w:t>sobre la</w:t>
      </w:r>
      <w:r>
        <w:rPr>
          <w:spacing w:val="-6"/>
        </w:rPr>
        <w:t> </w:t>
      </w:r>
      <w:r>
        <w:rPr/>
        <w:t>transparencia</w:t>
      </w:r>
      <w:r>
        <w:rPr>
          <w:spacing w:val="-6"/>
        </w:rPr>
        <w:t> </w:t>
      </w:r>
      <w:r>
        <w:rPr/>
        <w:t>se</w:t>
      </w:r>
      <w:r>
        <w:rPr>
          <w:spacing w:val="-8"/>
        </w:rPr>
        <w:t> </w:t>
      </w:r>
      <w:r>
        <w:rPr/>
        <w:t>vea</w:t>
      </w:r>
      <w:r>
        <w:rPr>
          <w:spacing w:val="-6"/>
        </w:rPr>
        <w:t> </w:t>
      </w:r>
      <w:r>
        <w:rPr/>
        <w:t>reflejado</w:t>
      </w:r>
      <w:r>
        <w:rPr>
          <w:spacing w:val="-8"/>
        </w:rPr>
        <w:t> </w:t>
      </w:r>
      <w:r>
        <w:rPr/>
        <w:t>no</w:t>
      </w:r>
      <w:r>
        <w:rPr>
          <w:spacing w:val="-5"/>
        </w:rPr>
        <w:t> </w:t>
      </w:r>
      <w:r>
        <w:rPr/>
        <w:t>solo</w:t>
      </w:r>
      <w:r>
        <w:rPr>
          <w:spacing w:val="-8"/>
        </w:rPr>
        <w:t> </w:t>
      </w:r>
      <w:r>
        <w:rPr/>
        <w:t>en</w:t>
      </w:r>
      <w:r>
        <w:rPr>
          <w:spacing w:val="-11"/>
        </w:rPr>
        <w:t> </w:t>
      </w:r>
      <w:r>
        <w:rPr/>
        <w:t>el</w:t>
      </w:r>
      <w:r>
        <w:rPr>
          <w:spacing w:val="-7"/>
        </w:rPr>
        <w:t> </w:t>
      </w:r>
      <w:r>
        <w:rPr/>
        <w:t>discurso</w:t>
      </w:r>
      <w:r>
        <w:rPr>
          <w:spacing w:val="-8"/>
        </w:rPr>
        <w:t> </w:t>
      </w:r>
      <w:r>
        <w:rPr/>
        <w:t>oficial,</w:t>
      </w:r>
      <w:r>
        <w:rPr>
          <w:spacing w:val="-9"/>
        </w:rPr>
        <w:t> </w:t>
      </w:r>
      <w:r>
        <w:rPr/>
        <w:t>sino</w:t>
      </w:r>
      <w:r>
        <w:rPr>
          <w:spacing w:val="-10"/>
        </w:rPr>
        <w:t> </w:t>
      </w:r>
      <w:r>
        <w:rPr/>
        <w:t>en</w:t>
      </w:r>
      <w:r>
        <w:rPr>
          <w:spacing w:val="-6"/>
        </w:rPr>
        <w:t> </w:t>
      </w:r>
      <w:r>
        <w:rPr/>
        <w:t>la</w:t>
      </w:r>
      <w:r>
        <w:rPr>
          <w:spacing w:val="-9"/>
        </w:rPr>
        <w:t> </w:t>
      </w:r>
      <w:r>
        <w:rPr/>
        <w:t>asignación de presupuesto, infraestructura y personal facilita al gobierno una rendición de cuentas hacia la ciudadanía que le confió el poder a través del voto. De este modo “el</w:t>
      </w:r>
      <w:r>
        <w:rPr>
          <w:spacing w:val="-9"/>
        </w:rPr>
        <w:t> </w:t>
      </w:r>
      <w:r>
        <w:rPr/>
        <w:t>gobierno</w:t>
      </w:r>
      <w:r>
        <w:rPr>
          <w:spacing w:val="-8"/>
        </w:rPr>
        <w:t> </w:t>
      </w:r>
      <w:r>
        <w:rPr/>
        <w:t>democrático</w:t>
      </w:r>
      <w:r>
        <w:rPr>
          <w:spacing w:val="-8"/>
        </w:rPr>
        <w:t> </w:t>
      </w:r>
      <w:r>
        <w:rPr/>
        <w:t>rinde</w:t>
      </w:r>
      <w:r>
        <w:rPr>
          <w:spacing w:val="-8"/>
        </w:rPr>
        <w:t> </w:t>
      </w:r>
      <w:r>
        <w:rPr/>
        <w:t>cuentas</w:t>
      </w:r>
      <w:r>
        <w:rPr>
          <w:spacing w:val="-9"/>
        </w:rPr>
        <w:t> </w:t>
      </w:r>
      <w:r>
        <w:rPr/>
        <w:t>cuando</w:t>
      </w:r>
      <w:r>
        <w:rPr>
          <w:spacing w:val="-8"/>
        </w:rPr>
        <w:t> </w:t>
      </w:r>
      <w:r>
        <w:rPr/>
        <w:t>explica</w:t>
      </w:r>
      <w:r>
        <w:rPr>
          <w:spacing w:val="-8"/>
        </w:rPr>
        <w:t> </w:t>
      </w:r>
      <w:r>
        <w:rPr/>
        <w:t>o</w:t>
      </w:r>
      <w:r>
        <w:rPr>
          <w:spacing w:val="-8"/>
        </w:rPr>
        <w:t> </w:t>
      </w:r>
      <w:r>
        <w:rPr/>
        <w:t>justifica</w:t>
      </w:r>
      <w:r>
        <w:rPr>
          <w:spacing w:val="-9"/>
        </w:rPr>
        <w:t> </w:t>
      </w:r>
      <w:r>
        <w:rPr/>
        <w:t>sus</w:t>
      </w:r>
      <w:r>
        <w:rPr>
          <w:spacing w:val="-9"/>
        </w:rPr>
        <w:t> </w:t>
      </w:r>
      <w:r>
        <w:rPr/>
        <w:t>acciones</w:t>
      </w:r>
      <w:r>
        <w:rPr>
          <w:spacing w:val="-9"/>
        </w:rPr>
        <w:t> </w:t>
      </w:r>
      <w:r>
        <w:rPr/>
        <w:t>a</w:t>
      </w:r>
      <w:r>
        <w:rPr>
          <w:spacing w:val="-8"/>
        </w:rPr>
        <w:t> </w:t>
      </w:r>
      <w:r>
        <w:rPr/>
        <w:t>los ciudadanos” (Guerrero,</w:t>
      </w:r>
      <w:r>
        <w:rPr>
          <w:spacing w:val="-14"/>
        </w:rPr>
        <w:t> </w:t>
      </w:r>
      <w:r>
        <w:rPr/>
        <w:t>2008:12).</w:t>
      </w:r>
    </w:p>
    <w:p>
      <w:pPr>
        <w:pStyle w:val="BodyText"/>
      </w:pPr>
    </w:p>
    <w:p>
      <w:pPr>
        <w:pStyle w:val="BodyText"/>
      </w:pPr>
    </w:p>
    <w:p>
      <w:pPr>
        <w:pStyle w:val="BodyText"/>
        <w:spacing w:line="360" w:lineRule="auto" w:before="188"/>
        <w:ind w:left="122" w:right="121"/>
        <w:jc w:val="both"/>
      </w:pPr>
      <w:r>
        <w:rPr/>
        <w:t>Dichos órganos auxiliares se denominarán Consejos de Armonización Contable de las Entidades Federativas y tendrán funciones y atribuciones que les permitan coadyuvar</w:t>
      </w:r>
      <w:r>
        <w:rPr>
          <w:spacing w:val="-8"/>
        </w:rPr>
        <w:t> </w:t>
      </w:r>
      <w:r>
        <w:rPr/>
        <w:t>en</w:t>
      </w:r>
      <w:r>
        <w:rPr>
          <w:spacing w:val="-9"/>
        </w:rPr>
        <w:t> </w:t>
      </w:r>
      <w:r>
        <w:rPr/>
        <w:t>el</w:t>
      </w:r>
      <w:r>
        <w:rPr>
          <w:spacing w:val="-8"/>
        </w:rPr>
        <w:t> </w:t>
      </w:r>
      <w:r>
        <w:rPr/>
        <w:t>seguimiento</w:t>
      </w:r>
      <w:r>
        <w:rPr>
          <w:spacing w:val="-9"/>
        </w:rPr>
        <w:t> </w:t>
      </w:r>
      <w:r>
        <w:rPr/>
        <w:t>de</w:t>
      </w:r>
      <w:r>
        <w:rPr>
          <w:spacing w:val="-7"/>
        </w:rPr>
        <w:t> </w:t>
      </w:r>
      <w:r>
        <w:rPr/>
        <w:t>las</w:t>
      </w:r>
      <w:r>
        <w:rPr>
          <w:spacing w:val="-8"/>
        </w:rPr>
        <w:t> </w:t>
      </w:r>
      <w:r>
        <w:rPr/>
        <w:t>acciones</w:t>
      </w:r>
      <w:r>
        <w:rPr>
          <w:spacing w:val="-10"/>
        </w:rPr>
        <w:t> </w:t>
      </w:r>
      <w:r>
        <w:rPr/>
        <w:t>que</w:t>
      </w:r>
      <w:r>
        <w:rPr>
          <w:spacing w:val="-7"/>
        </w:rPr>
        <w:t> </w:t>
      </w:r>
      <w:r>
        <w:rPr/>
        <w:t>se</w:t>
      </w:r>
      <w:r>
        <w:rPr>
          <w:spacing w:val="-9"/>
        </w:rPr>
        <w:t> </w:t>
      </w:r>
      <w:r>
        <w:rPr/>
        <w:t>realizan</w:t>
      </w:r>
      <w:r>
        <w:rPr>
          <w:spacing w:val="-7"/>
        </w:rPr>
        <w:t> </w:t>
      </w:r>
      <w:r>
        <w:rPr/>
        <w:t>en</w:t>
      </w:r>
      <w:r>
        <w:rPr>
          <w:spacing w:val="-7"/>
        </w:rPr>
        <w:t> </w:t>
      </w:r>
      <w:r>
        <w:rPr/>
        <w:t>los</w:t>
      </w:r>
      <w:r>
        <w:rPr>
          <w:spacing w:val="-12"/>
        </w:rPr>
        <w:t> </w:t>
      </w:r>
      <w:r>
        <w:rPr/>
        <w:t>tres</w:t>
      </w:r>
      <w:r>
        <w:rPr>
          <w:spacing w:val="-8"/>
        </w:rPr>
        <w:t> </w:t>
      </w:r>
      <w:r>
        <w:rPr/>
        <w:t>órdenes</w:t>
      </w:r>
      <w:r>
        <w:rPr>
          <w:spacing w:val="-10"/>
        </w:rPr>
        <w:t> </w:t>
      </w:r>
      <w:r>
        <w:rPr/>
        <w:t>de gobierno incorporando mayor precisión a las obligaciones a cargo de los entes públicos que ejercen recursos fiscales. El objetivo último es que, en términos contables financieros y de evaluación del desempeño, todos los órdenes de gobierno tengan la misma</w:t>
      </w:r>
      <w:r>
        <w:rPr>
          <w:spacing w:val="-12"/>
        </w:rPr>
        <w:t> </w:t>
      </w:r>
      <w:r>
        <w:rPr/>
        <w:t>medida</w:t>
      </w:r>
      <w:r>
        <w:rPr>
          <w:position w:val="8"/>
          <w:sz w:val="16"/>
        </w:rPr>
        <w:t>19</w:t>
      </w:r>
      <w:r>
        <w:rPr/>
        <w:t>.</w:t>
      </w:r>
    </w:p>
    <w:p>
      <w:pPr>
        <w:pStyle w:val="BodyText"/>
        <w:rPr>
          <w:sz w:val="26"/>
        </w:rPr>
      </w:pPr>
    </w:p>
    <w:p>
      <w:pPr>
        <w:pStyle w:val="BodyText"/>
        <w:spacing w:before="9"/>
        <w:rPr>
          <w:sz w:val="37"/>
        </w:rPr>
      </w:pPr>
    </w:p>
    <w:p>
      <w:pPr>
        <w:pStyle w:val="Heading1"/>
        <w:numPr>
          <w:ilvl w:val="2"/>
          <w:numId w:val="30"/>
        </w:numPr>
        <w:tabs>
          <w:tab w:pos="830" w:val="left" w:leader="none"/>
        </w:tabs>
        <w:spacing w:line="360" w:lineRule="auto" w:before="0" w:after="0"/>
        <w:ind w:left="830" w:right="119" w:hanging="720"/>
        <w:jc w:val="left"/>
      </w:pPr>
      <w:r>
        <w:rPr/>
        <w:t>Relación</w:t>
      </w:r>
      <w:r>
        <w:rPr>
          <w:spacing w:val="-6"/>
        </w:rPr>
        <w:t> </w:t>
      </w:r>
      <w:r>
        <w:rPr/>
        <w:t>y</w:t>
      </w:r>
      <w:r>
        <w:rPr>
          <w:spacing w:val="-12"/>
        </w:rPr>
        <w:t> </w:t>
      </w:r>
      <w:r>
        <w:rPr/>
        <w:t>diferencias</w:t>
      </w:r>
      <w:r>
        <w:rPr>
          <w:spacing w:val="-5"/>
        </w:rPr>
        <w:t> </w:t>
      </w:r>
      <w:r>
        <w:rPr/>
        <w:t>del</w:t>
      </w:r>
      <w:r>
        <w:rPr>
          <w:spacing w:val="-5"/>
        </w:rPr>
        <w:t> </w:t>
      </w:r>
      <w:r>
        <w:rPr/>
        <w:t>acceso</w:t>
      </w:r>
      <w:r>
        <w:rPr>
          <w:spacing w:val="-6"/>
        </w:rPr>
        <w:t> </w:t>
      </w:r>
      <w:r>
        <w:rPr/>
        <w:t>a</w:t>
      </w:r>
      <w:r>
        <w:rPr>
          <w:spacing w:val="-5"/>
        </w:rPr>
        <w:t> </w:t>
      </w:r>
      <w:r>
        <w:rPr/>
        <w:t>la</w:t>
      </w:r>
      <w:r>
        <w:rPr>
          <w:spacing w:val="-5"/>
        </w:rPr>
        <w:t> </w:t>
      </w:r>
      <w:r>
        <w:rPr/>
        <w:t>información,</w:t>
      </w:r>
      <w:r>
        <w:rPr>
          <w:spacing w:val="-5"/>
        </w:rPr>
        <w:t> </w:t>
      </w:r>
      <w:r>
        <w:rPr/>
        <w:t>la</w:t>
      </w:r>
      <w:r>
        <w:rPr>
          <w:spacing w:val="-5"/>
        </w:rPr>
        <w:t> </w:t>
      </w:r>
      <w:r>
        <w:rPr/>
        <w:t>transparencia y</w:t>
      </w:r>
      <w:r>
        <w:rPr>
          <w:spacing w:val="-12"/>
        </w:rPr>
        <w:t> </w:t>
      </w:r>
      <w:r>
        <w:rPr/>
        <w:t>la rendición de</w:t>
      </w:r>
      <w:r>
        <w:rPr>
          <w:spacing w:val="-4"/>
        </w:rPr>
        <w:t> </w:t>
      </w:r>
      <w:r>
        <w:rPr/>
        <w:t>cuentas</w:t>
      </w:r>
    </w:p>
    <w:p>
      <w:pPr>
        <w:pStyle w:val="BodyText"/>
        <w:rPr>
          <w:b/>
        </w:rPr>
      </w:pPr>
    </w:p>
    <w:p>
      <w:pPr>
        <w:pStyle w:val="BodyText"/>
        <w:spacing w:before="3"/>
        <w:rPr>
          <w:b/>
          <w:sz w:val="26"/>
        </w:rPr>
      </w:pPr>
    </w:p>
    <w:p>
      <w:pPr>
        <w:pStyle w:val="BodyText"/>
        <w:spacing w:line="360" w:lineRule="auto" w:before="1"/>
        <w:ind w:left="122" w:right="116"/>
        <w:jc w:val="both"/>
      </w:pPr>
      <w:r>
        <w:rPr/>
        <w:t>Si bien los tres conceptos tienen estrecha relación es importante resaltar que el acceso a la información es la antesala de la transparencia, ya que sin información no</w:t>
      </w:r>
      <w:r>
        <w:rPr>
          <w:spacing w:val="-19"/>
        </w:rPr>
        <w:t> </w:t>
      </w:r>
      <w:r>
        <w:rPr/>
        <w:t>hay</w:t>
      </w:r>
      <w:r>
        <w:rPr>
          <w:spacing w:val="-20"/>
        </w:rPr>
        <w:t> </w:t>
      </w:r>
      <w:r>
        <w:rPr/>
        <w:t>transparencia</w:t>
      </w:r>
      <w:r>
        <w:rPr>
          <w:spacing w:val="-15"/>
        </w:rPr>
        <w:t> </w:t>
      </w:r>
      <w:r>
        <w:rPr/>
        <w:t>(Arellano,</w:t>
      </w:r>
      <w:r>
        <w:rPr>
          <w:spacing w:val="-19"/>
        </w:rPr>
        <w:t> </w:t>
      </w:r>
      <w:r>
        <w:rPr/>
        <w:t>2008</w:t>
      </w:r>
      <w:r>
        <w:rPr>
          <w:spacing w:val="-19"/>
        </w:rPr>
        <w:t> </w:t>
      </w:r>
      <w:r>
        <w:rPr/>
        <w:t>y</w:t>
      </w:r>
      <w:r>
        <w:rPr>
          <w:spacing w:val="-18"/>
        </w:rPr>
        <w:t> </w:t>
      </w:r>
      <w:r>
        <w:rPr/>
        <w:t>Barrera,</w:t>
      </w:r>
      <w:r>
        <w:rPr>
          <w:spacing w:val="-17"/>
        </w:rPr>
        <w:t> </w:t>
      </w:r>
      <w:r>
        <w:rPr/>
        <w:t>2010).</w:t>
      </w:r>
      <w:r>
        <w:rPr>
          <w:spacing w:val="-18"/>
        </w:rPr>
        <w:t> </w:t>
      </w:r>
      <w:r>
        <w:rPr/>
        <w:t>Por</w:t>
      </w:r>
      <w:r>
        <w:rPr>
          <w:spacing w:val="-18"/>
        </w:rPr>
        <w:t> </w:t>
      </w:r>
      <w:r>
        <w:rPr/>
        <w:t>su</w:t>
      </w:r>
      <w:r>
        <w:rPr>
          <w:spacing w:val="-19"/>
        </w:rPr>
        <w:t> </w:t>
      </w:r>
      <w:r>
        <w:rPr/>
        <w:t>parte,</w:t>
      </w:r>
      <w:r>
        <w:rPr>
          <w:spacing w:val="-17"/>
        </w:rPr>
        <w:t> </w:t>
      </w:r>
      <w:r>
        <w:rPr/>
        <w:t>la</w:t>
      </w:r>
      <w:r>
        <w:rPr>
          <w:spacing w:val="-17"/>
        </w:rPr>
        <w:t> </w:t>
      </w:r>
      <w:r>
        <w:rPr/>
        <w:t>transparencia puede ser utilizada como medio para rendir cuentas a la sociedad, ya que a través de</w:t>
      </w:r>
      <w:r>
        <w:rPr>
          <w:spacing w:val="-12"/>
        </w:rPr>
        <w:t> </w:t>
      </w:r>
      <w:r>
        <w:rPr/>
        <w:t>publicar</w:t>
      </w:r>
      <w:r>
        <w:rPr>
          <w:spacing w:val="-13"/>
        </w:rPr>
        <w:t> </w:t>
      </w:r>
      <w:r>
        <w:rPr/>
        <w:t>la</w:t>
      </w:r>
      <w:r>
        <w:rPr>
          <w:spacing w:val="-12"/>
        </w:rPr>
        <w:t> </w:t>
      </w:r>
      <w:r>
        <w:rPr/>
        <w:t>información</w:t>
      </w:r>
      <w:r>
        <w:rPr>
          <w:spacing w:val="-12"/>
        </w:rPr>
        <w:t> </w:t>
      </w:r>
      <w:r>
        <w:rPr/>
        <w:t>del</w:t>
      </w:r>
      <w:r>
        <w:rPr>
          <w:spacing w:val="-13"/>
        </w:rPr>
        <w:t> </w:t>
      </w:r>
      <w:r>
        <w:rPr/>
        <w:t>gobierno</w:t>
      </w:r>
      <w:r>
        <w:rPr>
          <w:spacing w:val="-14"/>
        </w:rPr>
        <w:t> </w:t>
      </w:r>
      <w:r>
        <w:rPr/>
        <w:t>los</w:t>
      </w:r>
      <w:r>
        <w:rPr>
          <w:spacing w:val="-12"/>
        </w:rPr>
        <w:t> </w:t>
      </w:r>
      <w:r>
        <w:rPr/>
        <w:t>ciudadanos</w:t>
      </w:r>
      <w:r>
        <w:rPr>
          <w:spacing w:val="-15"/>
        </w:rPr>
        <w:t> </w:t>
      </w:r>
      <w:r>
        <w:rPr/>
        <w:t>pueden</w:t>
      </w:r>
      <w:r>
        <w:rPr>
          <w:spacing w:val="-12"/>
        </w:rPr>
        <w:t> </w:t>
      </w:r>
      <w:r>
        <w:rPr/>
        <w:t>valorar</w:t>
      </w:r>
      <w:r>
        <w:rPr>
          <w:spacing w:val="-13"/>
        </w:rPr>
        <w:t> </w:t>
      </w:r>
      <w:r>
        <w:rPr/>
        <w:t>su</w:t>
      </w:r>
      <w:r>
        <w:rPr>
          <w:spacing w:val="-12"/>
        </w:rPr>
        <w:t> </w:t>
      </w:r>
      <w:r>
        <w:rPr/>
        <w:t>voto</w:t>
      </w:r>
      <w:r>
        <w:rPr>
          <w:spacing w:val="-11"/>
        </w:rPr>
        <w:t> </w:t>
      </w:r>
      <w:r>
        <w:rPr/>
        <w:t>como un premio o castigo según el desempeño de los gobernantes (Vergara, 2005). En este sentido cobra pertinencia la afirmación de Uvalle cuando señala que “El arte de</w:t>
      </w:r>
      <w:r>
        <w:rPr>
          <w:spacing w:val="-7"/>
        </w:rPr>
        <w:t> </w:t>
      </w:r>
      <w:r>
        <w:rPr/>
        <w:t>gobernar</w:t>
      </w:r>
      <w:r>
        <w:rPr>
          <w:spacing w:val="-11"/>
        </w:rPr>
        <w:t> </w:t>
      </w:r>
      <w:r>
        <w:rPr/>
        <w:t>consisten</w:t>
      </w:r>
      <w:r>
        <w:rPr>
          <w:spacing w:val="-12"/>
        </w:rPr>
        <w:t> </w:t>
      </w:r>
      <w:r>
        <w:rPr/>
        <w:t>en</w:t>
      </w:r>
      <w:r>
        <w:rPr>
          <w:spacing w:val="-9"/>
        </w:rPr>
        <w:t> </w:t>
      </w:r>
      <w:r>
        <w:rPr/>
        <w:t>hacer</w:t>
      </w:r>
      <w:r>
        <w:rPr>
          <w:spacing w:val="-11"/>
        </w:rPr>
        <w:t> </w:t>
      </w:r>
      <w:r>
        <w:rPr/>
        <w:t>coexistir</w:t>
      </w:r>
      <w:r>
        <w:rPr>
          <w:spacing w:val="-9"/>
        </w:rPr>
        <w:t> </w:t>
      </w:r>
      <w:r>
        <w:rPr/>
        <w:t>los</w:t>
      </w:r>
      <w:r>
        <w:rPr>
          <w:spacing w:val="-7"/>
        </w:rPr>
        <w:t> </w:t>
      </w:r>
      <w:r>
        <w:rPr/>
        <w:t>intereses</w:t>
      </w:r>
      <w:r>
        <w:rPr>
          <w:spacing w:val="-10"/>
        </w:rPr>
        <w:t> </w:t>
      </w:r>
      <w:r>
        <w:rPr/>
        <w:t>del</w:t>
      </w:r>
      <w:r>
        <w:rPr>
          <w:spacing w:val="-8"/>
        </w:rPr>
        <w:t> </w:t>
      </w:r>
      <w:r>
        <w:rPr/>
        <w:t>Estado</w:t>
      </w:r>
      <w:r>
        <w:rPr>
          <w:spacing w:val="-7"/>
        </w:rPr>
        <w:t> </w:t>
      </w:r>
      <w:r>
        <w:rPr/>
        <w:t>con</w:t>
      </w:r>
      <w:r>
        <w:rPr>
          <w:spacing w:val="-7"/>
        </w:rPr>
        <w:t> </w:t>
      </w:r>
      <w:r>
        <w:rPr/>
        <w:t>el</w:t>
      </w:r>
      <w:r>
        <w:rPr>
          <w:spacing w:val="-11"/>
        </w:rPr>
        <w:t> </w:t>
      </w:r>
      <w:r>
        <w:rPr/>
        <w:t>derecho</w:t>
      </w:r>
      <w:r>
        <w:rPr>
          <w:spacing w:val="-9"/>
        </w:rPr>
        <w:t> </w:t>
      </w:r>
      <w:r>
        <w:rPr/>
        <w:t>de</w:t>
      </w:r>
    </w:p>
    <w:p>
      <w:pPr>
        <w:pStyle w:val="BodyText"/>
        <w:rPr>
          <w:sz w:val="20"/>
        </w:rPr>
      </w:pPr>
    </w:p>
    <w:p>
      <w:pPr>
        <w:pStyle w:val="BodyText"/>
        <w:spacing w:before="10"/>
        <w:rPr>
          <w:sz w:val="13"/>
        </w:rPr>
      </w:pPr>
      <w:r>
        <w:rPr/>
        <w:pict>
          <v:line style="position:absolute;mso-position-horizontal-relative:page;mso-position-vertical-relative:paragraph;z-index:3160;mso-wrap-distance-left:0;mso-wrap-distance-right:0" from="85.103996pt,10.334897pt" to="229.123996pt,10.334897pt" stroked="true" strokeweight=".71997pt" strokecolor="#000000">
            <w10:wrap type="topAndBottom"/>
          </v:line>
        </w:pict>
      </w:r>
    </w:p>
    <w:p>
      <w:pPr>
        <w:spacing w:before="69"/>
        <w:ind w:left="122" w:right="-15" w:firstLine="0"/>
        <w:jc w:val="left"/>
        <w:rPr>
          <w:rFonts w:ascii="Calibri"/>
          <w:sz w:val="20"/>
        </w:rPr>
      </w:pPr>
      <w:r>
        <w:rPr>
          <w:rFonts w:ascii="Calibri"/>
          <w:position w:val="7"/>
          <w:sz w:val="13"/>
        </w:rPr>
        <w:t>19 </w:t>
      </w:r>
      <w:hyperlink r:id="rId31">
        <w:r>
          <w:rPr>
            <w:rFonts w:ascii="Calibri"/>
            <w:sz w:val="20"/>
          </w:rPr>
          <w:t>http://eleconomista.com.mx/finanzas-publicas/2015/10/21/decreto-rendicion-cuentas-aprobado</w:t>
        </w:r>
      </w:hyperlink>
      <w:r>
        <w:rPr>
          <w:rFonts w:ascii="Calibri"/>
          <w:sz w:val="20"/>
        </w:rPr>
        <w:t> [10-11-</w:t>
      </w:r>
    </w:p>
    <w:p>
      <w:pPr>
        <w:spacing w:before="0"/>
        <w:ind w:left="122" w:right="337" w:firstLine="0"/>
        <w:jc w:val="left"/>
        <w:rPr>
          <w:rFonts w:ascii="Calibri"/>
          <w:sz w:val="20"/>
        </w:rPr>
      </w:pPr>
      <w:r>
        <w:rPr>
          <w:rFonts w:ascii="Calibri"/>
          <w:sz w:val="20"/>
        </w:rPr>
        <w:t>15]</w:t>
      </w:r>
    </w:p>
    <w:p>
      <w:pPr>
        <w:spacing w:after="0"/>
        <w:jc w:val="left"/>
        <w:rPr>
          <w:rFonts w:ascii="Calibri"/>
          <w:sz w:val="20"/>
        </w:rPr>
        <w:sectPr>
          <w:pgSz w:w="12240" w:h="15840"/>
          <w:pgMar w:header="0" w:footer="1035" w:top="1360" w:bottom="1220" w:left="1580" w:right="1580"/>
        </w:sectPr>
      </w:pPr>
    </w:p>
    <w:p>
      <w:pPr>
        <w:pStyle w:val="BodyText"/>
        <w:spacing w:line="362" w:lineRule="auto" w:before="54"/>
        <w:ind w:left="102" w:right="120"/>
        <w:jc w:val="both"/>
      </w:pPr>
      <w:r>
        <w:rPr/>
        <w:t>los</w:t>
      </w:r>
      <w:r>
        <w:rPr>
          <w:spacing w:val="-10"/>
        </w:rPr>
        <w:t> </w:t>
      </w:r>
      <w:r>
        <w:rPr/>
        <w:t>ciudadanos</w:t>
      </w:r>
      <w:r>
        <w:rPr>
          <w:spacing w:val="-10"/>
        </w:rPr>
        <w:t> </w:t>
      </w:r>
      <w:r>
        <w:rPr/>
        <w:t>a</w:t>
      </w:r>
      <w:r>
        <w:rPr>
          <w:spacing w:val="-9"/>
        </w:rPr>
        <w:t> </w:t>
      </w:r>
      <w:r>
        <w:rPr/>
        <w:t>la</w:t>
      </w:r>
      <w:r>
        <w:rPr>
          <w:spacing w:val="-10"/>
        </w:rPr>
        <w:t> </w:t>
      </w:r>
      <w:r>
        <w:rPr/>
        <w:t>información</w:t>
      </w:r>
      <w:r>
        <w:rPr>
          <w:spacing w:val="-9"/>
        </w:rPr>
        <w:t> </w:t>
      </w:r>
      <w:r>
        <w:rPr/>
        <w:t>público-gubernamental</w:t>
      </w:r>
      <w:r>
        <w:rPr>
          <w:spacing w:val="-11"/>
        </w:rPr>
        <w:t> </w:t>
      </w:r>
      <w:r>
        <w:rPr/>
        <w:t>en</w:t>
      </w:r>
      <w:r>
        <w:rPr>
          <w:spacing w:val="-9"/>
        </w:rPr>
        <w:t> </w:t>
      </w:r>
      <w:r>
        <w:rPr/>
        <w:t>un</w:t>
      </w:r>
      <w:r>
        <w:rPr>
          <w:spacing w:val="-9"/>
        </w:rPr>
        <w:t> </w:t>
      </w:r>
      <w:r>
        <w:rPr/>
        <w:t>esquema</w:t>
      </w:r>
      <w:r>
        <w:rPr>
          <w:spacing w:val="-9"/>
        </w:rPr>
        <w:t> </w:t>
      </w:r>
      <w:r>
        <w:rPr/>
        <w:t>que</w:t>
      </w:r>
      <w:r>
        <w:rPr>
          <w:spacing w:val="-9"/>
        </w:rPr>
        <w:t> </w:t>
      </w:r>
      <w:r>
        <w:rPr/>
        <w:t>articule la transparencia como una auténtica política pública” (Uvalle,</w:t>
      </w:r>
      <w:r>
        <w:rPr>
          <w:spacing w:val="-23"/>
        </w:rPr>
        <w:t> </w:t>
      </w:r>
      <w:r>
        <w:rPr/>
        <w:t>2012:49).</w:t>
      </w:r>
    </w:p>
    <w:p>
      <w:pPr>
        <w:pStyle w:val="BodyText"/>
      </w:pPr>
    </w:p>
    <w:p>
      <w:pPr>
        <w:pStyle w:val="BodyText"/>
      </w:pPr>
    </w:p>
    <w:p>
      <w:pPr>
        <w:pStyle w:val="BodyText"/>
        <w:spacing w:before="4"/>
        <w:rPr>
          <w:sz w:val="19"/>
        </w:rPr>
      </w:pPr>
    </w:p>
    <w:p>
      <w:pPr>
        <w:pStyle w:val="BodyText"/>
        <w:spacing w:line="360" w:lineRule="auto" w:before="1"/>
        <w:ind w:left="102" w:right="113"/>
        <w:jc w:val="both"/>
      </w:pPr>
      <w:r>
        <w:rPr/>
        <w:t>“El gobierno abierto promueve la rendición de cuentas, lo cual mejora el desempeño”</w:t>
      </w:r>
      <w:r>
        <w:rPr>
          <w:spacing w:val="-10"/>
        </w:rPr>
        <w:t> </w:t>
      </w:r>
      <w:r>
        <w:rPr/>
        <w:t>(Peschard,</w:t>
      </w:r>
      <w:r>
        <w:rPr>
          <w:spacing w:val="-7"/>
        </w:rPr>
        <w:t> </w:t>
      </w:r>
      <w:r>
        <w:rPr/>
        <w:t>2012:33).</w:t>
      </w:r>
      <w:r>
        <w:rPr>
          <w:spacing w:val="-8"/>
        </w:rPr>
        <w:t> </w:t>
      </w:r>
      <w:r>
        <w:rPr/>
        <w:t>Por</w:t>
      </w:r>
      <w:r>
        <w:rPr>
          <w:spacing w:val="-8"/>
        </w:rPr>
        <w:t> </w:t>
      </w:r>
      <w:r>
        <w:rPr/>
        <w:t>tal</w:t>
      </w:r>
      <w:r>
        <w:rPr>
          <w:spacing w:val="-10"/>
        </w:rPr>
        <w:t> </w:t>
      </w:r>
      <w:r>
        <w:rPr/>
        <w:t>motivo</w:t>
      </w:r>
      <w:r>
        <w:rPr>
          <w:spacing w:val="-7"/>
        </w:rPr>
        <w:t> </w:t>
      </w:r>
      <w:r>
        <w:rPr/>
        <w:t>cobra</w:t>
      </w:r>
      <w:r>
        <w:rPr>
          <w:spacing w:val="-8"/>
        </w:rPr>
        <w:t> </w:t>
      </w:r>
      <w:r>
        <w:rPr/>
        <w:t>relevancia</w:t>
      </w:r>
      <w:r>
        <w:rPr>
          <w:spacing w:val="-9"/>
        </w:rPr>
        <w:t> </w:t>
      </w:r>
      <w:r>
        <w:rPr/>
        <w:t>conocer</w:t>
      </w:r>
      <w:r>
        <w:rPr>
          <w:spacing w:val="-8"/>
        </w:rPr>
        <w:t> </w:t>
      </w:r>
      <w:r>
        <w:rPr/>
        <w:t>qué</w:t>
      </w:r>
      <w:r>
        <w:rPr>
          <w:spacing w:val="-7"/>
        </w:rPr>
        <w:t> </w:t>
      </w:r>
      <w:r>
        <w:rPr/>
        <w:t>es</w:t>
      </w:r>
      <w:r>
        <w:rPr>
          <w:spacing w:val="-8"/>
        </w:rPr>
        <w:t> </w:t>
      </w:r>
      <w:r>
        <w:rPr/>
        <w:t>y cuál es el vínculo que esta tiene con el acceso a la información. Por tal motivo la rendición de cuentas implica no solo otorgar y difundir información respecto a las decisiones</w:t>
      </w:r>
      <w:r>
        <w:rPr>
          <w:spacing w:val="-8"/>
        </w:rPr>
        <w:t> </w:t>
      </w:r>
      <w:r>
        <w:rPr/>
        <w:t>y</w:t>
      </w:r>
      <w:r>
        <w:rPr>
          <w:spacing w:val="-8"/>
        </w:rPr>
        <w:t> </w:t>
      </w:r>
      <w:r>
        <w:rPr/>
        <w:t>acciones</w:t>
      </w:r>
      <w:r>
        <w:rPr>
          <w:spacing w:val="-8"/>
        </w:rPr>
        <w:t> </w:t>
      </w:r>
      <w:r>
        <w:rPr/>
        <w:t>de</w:t>
      </w:r>
      <w:r>
        <w:rPr>
          <w:spacing w:val="-6"/>
        </w:rPr>
        <w:t> </w:t>
      </w:r>
      <w:r>
        <w:rPr/>
        <w:t>los</w:t>
      </w:r>
      <w:r>
        <w:rPr>
          <w:spacing w:val="-8"/>
        </w:rPr>
        <w:t> </w:t>
      </w:r>
      <w:r>
        <w:rPr/>
        <w:t>servidores</w:t>
      </w:r>
      <w:r>
        <w:rPr>
          <w:spacing w:val="-8"/>
        </w:rPr>
        <w:t> </w:t>
      </w:r>
      <w:r>
        <w:rPr/>
        <w:t>públicos,</w:t>
      </w:r>
      <w:r>
        <w:rPr>
          <w:spacing w:val="-6"/>
        </w:rPr>
        <w:t> </w:t>
      </w:r>
      <w:r>
        <w:rPr/>
        <w:t>sino</w:t>
      </w:r>
      <w:r>
        <w:rPr>
          <w:spacing w:val="-6"/>
        </w:rPr>
        <w:t> </w:t>
      </w:r>
      <w:r>
        <w:rPr/>
        <w:t>ir</w:t>
      </w:r>
      <w:r>
        <w:rPr>
          <w:spacing w:val="-9"/>
        </w:rPr>
        <w:t> </w:t>
      </w:r>
      <w:r>
        <w:rPr/>
        <w:t>más</w:t>
      </w:r>
      <w:r>
        <w:rPr>
          <w:spacing w:val="-8"/>
        </w:rPr>
        <w:t> </w:t>
      </w:r>
      <w:r>
        <w:rPr/>
        <w:t>allá</w:t>
      </w:r>
      <w:r>
        <w:rPr>
          <w:spacing w:val="-7"/>
        </w:rPr>
        <w:t> </w:t>
      </w:r>
      <w:r>
        <w:rPr/>
        <w:t>e</w:t>
      </w:r>
      <w:r>
        <w:rPr>
          <w:spacing w:val="-7"/>
        </w:rPr>
        <w:t> </w:t>
      </w:r>
      <w:r>
        <w:rPr/>
        <w:t>involucrarse</w:t>
      </w:r>
      <w:r>
        <w:rPr>
          <w:spacing w:val="-7"/>
        </w:rPr>
        <w:t> </w:t>
      </w:r>
      <w:r>
        <w:rPr/>
        <w:t>con la acción de los servidores públicos de las dependencias administrativas, organismos constitucionales autónomos, tribunales administrativos y poderes; con la</w:t>
      </w:r>
      <w:r>
        <w:rPr>
          <w:spacing w:val="-9"/>
        </w:rPr>
        <w:t> </w:t>
      </w:r>
      <w:r>
        <w:rPr/>
        <w:t>acción</w:t>
      </w:r>
      <w:r>
        <w:rPr>
          <w:spacing w:val="-10"/>
        </w:rPr>
        <w:t> </w:t>
      </w:r>
      <w:r>
        <w:rPr/>
        <w:t>de</w:t>
      </w:r>
      <w:r>
        <w:rPr>
          <w:spacing w:val="-8"/>
        </w:rPr>
        <w:t> </w:t>
      </w:r>
      <w:r>
        <w:rPr/>
        <w:t>los</w:t>
      </w:r>
      <w:r>
        <w:rPr>
          <w:spacing w:val="-9"/>
        </w:rPr>
        <w:t> </w:t>
      </w:r>
      <w:r>
        <w:rPr/>
        <w:t>informadores</w:t>
      </w:r>
      <w:r>
        <w:rPr>
          <w:spacing w:val="-11"/>
        </w:rPr>
        <w:t> </w:t>
      </w:r>
      <w:r>
        <w:rPr/>
        <w:t>de</w:t>
      </w:r>
      <w:r>
        <w:rPr>
          <w:spacing w:val="-8"/>
        </w:rPr>
        <w:t> </w:t>
      </w:r>
      <w:r>
        <w:rPr/>
        <w:t>los</w:t>
      </w:r>
      <w:r>
        <w:rPr>
          <w:spacing w:val="-9"/>
        </w:rPr>
        <w:t> </w:t>
      </w:r>
      <w:r>
        <w:rPr/>
        <w:t>medios</w:t>
      </w:r>
      <w:r>
        <w:rPr>
          <w:spacing w:val="-11"/>
        </w:rPr>
        <w:t> </w:t>
      </w:r>
      <w:r>
        <w:rPr/>
        <w:t>de</w:t>
      </w:r>
      <w:r>
        <w:rPr>
          <w:spacing w:val="-8"/>
        </w:rPr>
        <w:t> </w:t>
      </w:r>
      <w:r>
        <w:rPr/>
        <w:t>comunicación</w:t>
      </w:r>
      <w:r>
        <w:rPr>
          <w:spacing w:val="-8"/>
        </w:rPr>
        <w:t> </w:t>
      </w:r>
      <w:r>
        <w:rPr/>
        <w:t>y</w:t>
      </w:r>
      <w:r>
        <w:rPr>
          <w:spacing w:val="-12"/>
        </w:rPr>
        <w:t> </w:t>
      </w:r>
      <w:r>
        <w:rPr/>
        <w:t>con</w:t>
      </w:r>
      <w:r>
        <w:rPr>
          <w:spacing w:val="-8"/>
        </w:rPr>
        <w:t> </w:t>
      </w:r>
      <w:r>
        <w:rPr/>
        <w:t>las</w:t>
      </w:r>
      <w:r>
        <w:rPr>
          <w:spacing w:val="-9"/>
        </w:rPr>
        <w:t> </w:t>
      </w:r>
      <w:r>
        <w:rPr/>
        <w:t>personas</w:t>
      </w:r>
      <w:r>
        <w:rPr>
          <w:spacing w:val="-12"/>
        </w:rPr>
        <w:t> </w:t>
      </w:r>
      <w:r>
        <w:rPr/>
        <w:t>de la sociedad civil que realizan actos de interés público que tienen el poder de rendir cuentas (Quintanilla,</w:t>
      </w:r>
      <w:r>
        <w:rPr>
          <w:spacing w:val="-8"/>
        </w:rPr>
        <w:t> </w:t>
      </w:r>
      <w:r>
        <w:rPr/>
        <w:t>2012).</w:t>
      </w:r>
    </w:p>
    <w:p>
      <w:pPr>
        <w:pStyle w:val="BodyText"/>
      </w:pPr>
    </w:p>
    <w:p>
      <w:pPr>
        <w:pStyle w:val="BodyText"/>
      </w:pPr>
    </w:p>
    <w:p>
      <w:pPr>
        <w:pStyle w:val="BodyText"/>
        <w:spacing w:line="360" w:lineRule="auto" w:before="187"/>
        <w:ind w:left="102" w:right="114"/>
        <w:jc w:val="both"/>
      </w:pPr>
      <w:r>
        <w:rPr/>
        <w:t>Se debe por tanto impulsar, a partir de la CPEUM, parámetros o criterios para la Reforma Constitucional y legal aplicables al ámbito Federal y Local en materia de Archivos y Protección de Datos Personales. Recientemente se reformó el artículo 16 de la CPEUM, para reconocer de directamente la protección de datos, pero es preciso</w:t>
      </w:r>
      <w:r>
        <w:rPr>
          <w:spacing w:val="-13"/>
        </w:rPr>
        <w:t> </w:t>
      </w:r>
      <w:r>
        <w:rPr/>
        <w:t>hacerlo</w:t>
      </w:r>
      <w:r>
        <w:rPr>
          <w:spacing w:val="-13"/>
        </w:rPr>
        <w:t> </w:t>
      </w:r>
      <w:r>
        <w:rPr/>
        <w:t>de</w:t>
      </w:r>
      <w:r>
        <w:rPr>
          <w:spacing w:val="-13"/>
        </w:rPr>
        <w:t> </w:t>
      </w:r>
      <w:r>
        <w:rPr/>
        <w:t>manera</w:t>
      </w:r>
      <w:r>
        <w:rPr>
          <w:spacing w:val="-14"/>
        </w:rPr>
        <w:t> </w:t>
      </w:r>
      <w:r>
        <w:rPr/>
        <w:t>particular</w:t>
      </w:r>
      <w:r>
        <w:rPr>
          <w:spacing w:val="-14"/>
        </w:rPr>
        <w:t> </w:t>
      </w:r>
      <w:r>
        <w:rPr/>
        <w:t>y</w:t>
      </w:r>
      <w:r>
        <w:rPr>
          <w:spacing w:val="-16"/>
        </w:rPr>
        <w:t> </w:t>
      </w:r>
      <w:r>
        <w:rPr/>
        <w:t>así</w:t>
      </w:r>
      <w:r>
        <w:rPr>
          <w:spacing w:val="-16"/>
        </w:rPr>
        <w:t> </w:t>
      </w:r>
      <w:r>
        <w:rPr/>
        <w:t>en</w:t>
      </w:r>
      <w:r>
        <w:rPr>
          <w:spacing w:val="-13"/>
        </w:rPr>
        <w:t> </w:t>
      </w:r>
      <w:r>
        <w:rPr/>
        <w:t>materia</w:t>
      </w:r>
      <w:r>
        <w:rPr>
          <w:spacing w:val="-13"/>
        </w:rPr>
        <w:t> </w:t>
      </w:r>
      <w:r>
        <w:rPr/>
        <w:t>de</w:t>
      </w:r>
      <w:r>
        <w:rPr>
          <w:spacing w:val="-15"/>
        </w:rPr>
        <w:t> </w:t>
      </w:r>
      <w:r>
        <w:rPr/>
        <w:t>archivos.</w:t>
      </w:r>
      <w:r>
        <w:rPr>
          <w:spacing w:val="-13"/>
        </w:rPr>
        <w:t> </w:t>
      </w:r>
      <w:r>
        <w:rPr/>
        <w:t>Es</w:t>
      </w:r>
      <w:r>
        <w:rPr>
          <w:spacing w:val="-14"/>
        </w:rPr>
        <w:t> </w:t>
      </w:r>
      <w:r>
        <w:rPr/>
        <w:t>decir,</w:t>
      </w:r>
      <w:r>
        <w:rPr>
          <w:spacing w:val="-13"/>
        </w:rPr>
        <w:t> </w:t>
      </w:r>
      <w:r>
        <w:rPr/>
        <w:t>entregar facultades a los organismos constitucionales autónomos garantes del DAIP para plantear iniciativas de reformas constitucionales y de leyes o iniciativa </w:t>
      </w:r>
      <w:r>
        <w:rPr>
          <w:spacing w:val="4"/>
        </w:rPr>
        <w:t>de </w:t>
      </w:r>
      <w:r>
        <w:rPr/>
        <w:t>leyes. Lo que podrá preverse en el apartado respectivo de la CPEUM y en lo particular en cada una de las constituciones locales (Vega,</w:t>
      </w:r>
      <w:r>
        <w:rPr>
          <w:spacing w:val="-14"/>
        </w:rPr>
        <w:t> </w:t>
      </w:r>
      <w:r>
        <w:rPr/>
        <w:t>2011).</w:t>
      </w:r>
    </w:p>
    <w:p>
      <w:pPr>
        <w:pStyle w:val="BodyText"/>
      </w:pPr>
    </w:p>
    <w:p>
      <w:pPr>
        <w:pStyle w:val="BodyText"/>
      </w:pPr>
    </w:p>
    <w:p>
      <w:pPr>
        <w:pStyle w:val="BodyText"/>
        <w:spacing w:line="360" w:lineRule="auto" w:before="188"/>
        <w:ind w:left="102" w:right="120"/>
        <w:jc w:val="both"/>
      </w:pPr>
      <w:r>
        <w:rPr/>
        <w:t>Se</w:t>
      </w:r>
      <w:r>
        <w:rPr>
          <w:spacing w:val="-19"/>
        </w:rPr>
        <w:t> </w:t>
      </w:r>
      <w:r>
        <w:rPr/>
        <w:t>puede</w:t>
      </w:r>
      <w:r>
        <w:rPr>
          <w:spacing w:val="-19"/>
        </w:rPr>
        <w:t> </w:t>
      </w:r>
      <w:r>
        <w:rPr/>
        <w:t>decir</w:t>
      </w:r>
      <w:r>
        <w:rPr>
          <w:spacing w:val="-19"/>
        </w:rPr>
        <w:t> </w:t>
      </w:r>
      <w:r>
        <w:rPr/>
        <w:t>que</w:t>
      </w:r>
      <w:r>
        <w:rPr>
          <w:spacing w:val="-17"/>
        </w:rPr>
        <w:t> </w:t>
      </w:r>
      <w:r>
        <w:rPr/>
        <w:t>un</w:t>
      </w:r>
      <w:r>
        <w:rPr>
          <w:spacing w:val="-19"/>
        </w:rPr>
        <w:t> </w:t>
      </w:r>
      <w:r>
        <w:rPr/>
        <w:t>gobierno</w:t>
      </w:r>
      <w:r>
        <w:rPr>
          <w:spacing w:val="-19"/>
        </w:rPr>
        <w:t> </w:t>
      </w:r>
      <w:r>
        <w:rPr/>
        <w:t>es</w:t>
      </w:r>
      <w:r>
        <w:rPr>
          <w:spacing w:val="-17"/>
        </w:rPr>
        <w:t> </w:t>
      </w:r>
      <w:r>
        <w:rPr/>
        <w:t>transparente</w:t>
      </w:r>
      <w:r>
        <w:rPr>
          <w:spacing w:val="-16"/>
        </w:rPr>
        <w:t> </w:t>
      </w:r>
      <w:r>
        <w:rPr/>
        <w:t>cuando</w:t>
      </w:r>
      <w:r>
        <w:rPr>
          <w:spacing w:val="-19"/>
        </w:rPr>
        <w:t> </w:t>
      </w:r>
      <w:r>
        <w:rPr/>
        <w:t>exhibe</w:t>
      </w:r>
      <w:r>
        <w:rPr>
          <w:spacing w:val="-19"/>
        </w:rPr>
        <w:t> </w:t>
      </w:r>
      <w:r>
        <w:rPr/>
        <w:t>u</w:t>
      </w:r>
      <w:r>
        <w:rPr>
          <w:spacing w:val="-19"/>
        </w:rPr>
        <w:t> </w:t>
      </w:r>
      <w:r>
        <w:rPr/>
        <w:t>ofrece</w:t>
      </w:r>
      <w:r>
        <w:rPr>
          <w:spacing w:val="-17"/>
        </w:rPr>
        <w:t> </w:t>
      </w:r>
      <w:r>
        <w:rPr/>
        <w:t>información sobre su funcionamiento y es sujeto de escrutinio público, pero rinde cuentas cuando justifica o explica sus acciones y se responsabiliza de sus actos (Guerrero, 2008).</w:t>
      </w:r>
    </w:p>
    <w:p>
      <w:pPr>
        <w:spacing w:after="0" w:line="360" w:lineRule="auto"/>
        <w:jc w:val="both"/>
        <w:sectPr>
          <w:pgSz w:w="12240" w:h="15840"/>
          <w:pgMar w:header="0" w:footer="1035" w:top="1360" w:bottom="1220" w:left="1600" w:right="1580"/>
        </w:sectPr>
      </w:pPr>
    </w:p>
    <w:tbl>
      <w:tblPr>
        <w:tblW w:w="0" w:type="auto"/>
        <w:jc w:val="left"/>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82"/>
        <w:gridCol w:w="3404"/>
        <w:gridCol w:w="2943"/>
      </w:tblGrid>
      <w:tr>
        <w:trPr>
          <w:trHeight w:val="248" w:hRule="exact"/>
        </w:trPr>
        <w:tc>
          <w:tcPr>
            <w:tcW w:w="8829" w:type="dxa"/>
            <w:gridSpan w:val="3"/>
            <w:shd w:val="clear" w:color="auto" w:fill="92D050"/>
          </w:tcPr>
          <w:p>
            <w:pPr>
              <w:pStyle w:val="TableParagraph"/>
              <w:spacing w:line="200" w:lineRule="exact"/>
              <w:ind w:left="1295" w:right="312"/>
              <w:jc w:val="left"/>
              <w:rPr>
                <w:b/>
                <w:sz w:val="18"/>
              </w:rPr>
            </w:pPr>
            <w:r>
              <w:rPr>
                <w:b/>
                <w:sz w:val="18"/>
              </w:rPr>
              <w:t>Tabla 2.1. Acceso a la información, transparencia y rendición de cuentas</w:t>
            </w:r>
          </w:p>
        </w:tc>
      </w:tr>
      <w:tr>
        <w:trPr>
          <w:trHeight w:val="248" w:hRule="exact"/>
        </w:trPr>
        <w:tc>
          <w:tcPr>
            <w:tcW w:w="2482" w:type="dxa"/>
            <w:shd w:val="clear" w:color="auto" w:fill="92D050"/>
          </w:tcPr>
          <w:p>
            <w:pPr>
              <w:pStyle w:val="TableParagraph"/>
              <w:spacing w:line="199" w:lineRule="exact"/>
              <w:ind w:left="69" w:right="70"/>
              <w:rPr>
                <w:b/>
                <w:sz w:val="18"/>
              </w:rPr>
            </w:pPr>
            <w:r>
              <w:rPr>
                <w:b/>
                <w:sz w:val="18"/>
              </w:rPr>
              <w:t>Acceso a la información</w:t>
            </w:r>
          </w:p>
        </w:tc>
        <w:tc>
          <w:tcPr>
            <w:tcW w:w="3404" w:type="dxa"/>
            <w:shd w:val="clear" w:color="auto" w:fill="92D050"/>
          </w:tcPr>
          <w:p>
            <w:pPr>
              <w:pStyle w:val="TableParagraph"/>
              <w:spacing w:line="199" w:lineRule="exact"/>
              <w:ind w:left="1080"/>
              <w:jc w:val="left"/>
              <w:rPr>
                <w:b/>
                <w:sz w:val="18"/>
              </w:rPr>
            </w:pPr>
            <w:r>
              <w:rPr>
                <w:b/>
                <w:sz w:val="18"/>
              </w:rPr>
              <w:t>Transparencia</w:t>
            </w:r>
          </w:p>
        </w:tc>
        <w:tc>
          <w:tcPr>
            <w:tcW w:w="2943" w:type="dxa"/>
            <w:shd w:val="clear" w:color="auto" w:fill="92D050"/>
          </w:tcPr>
          <w:p>
            <w:pPr>
              <w:pStyle w:val="TableParagraph"/>
              <w:spacing w:line="199" w:lineRule="exact"/>
              <w:ind w:left="535"/>
              <w:jc w:val="left"/>
              <w:rPr>
                <w:b/>
                <w:sz w:val="18"/>
              </w:rPr>
            </w:pPr>
            <w:r>
              <w:rPr>
                <w:b/>
                <w:sz w:val="18"/>
              </w:rPr>
              <w:t>Rendición de cuentas</w:t>
            </w:r>
          </w:p>
        </w:tc>
      </w:tr>
      <w:tr>
        <w:trPr>
          <w:trHeight w:val="725" w:hRule="exact"/>
        </w:trPr>
        <w:tc>
          <w:tcPr>
            <w:tcW w:w="2482" w:type="dxa"/>
          </w:tcPr>
          <w:p>
            <w:pPr>
              <w:pStyle w:val="TableParagraph"/>
              <w:spacing w:line="203" w:lineRule="exact"/>
              <w:ind w:left="70" w:right="70"/>
              <w:rPr>
                <w:sz w:val="18"/>
              </w:rPr>
            </w:pPr>
            <w:r>
              <w:rPr>
                <w:sz w:val="18"/>
              </w:rPr>
              <w:t>Antecede a la transparencia.</w:t>
            </w:r>
          </w:p>
        </w:tc>
        <w:tc>
          <w:tcPr>
            <w:tcW w:w="3404" w:type="dxa"/>
          </w:tcPr>
          <w:p>
            <w:pPr>
              <w:pStyle w:val="TableParagraph"/>
              <w:spacing w:line="276" w:lineRule="auto"/>
              <w:ind w:left="103" w:right="102"/>
              <w:jc w:val="both"/>
              <w:rPr>
                <w:sz w:val="18"/>
              </w:rPr>
            </w:pPr>
            <w:r>
              <w:rPr>
                <w:sz w:val="18"/>
              </w:rPr>
              <w:t>Es posterior al acceso a la información pero puede o no anteceder a la rendición de cuentas.</w:t>
            </w:r>
          </w:p>
        </w:tc>
        <w:tc>
          <w:tcPr>
            <w:tcW w:w="2943" w:type="dxa"/>
          </w:tcPr>
          <w:p>
            <w:pPr>
              <w:pStyle w:val="TableParagraph"/>
              <w:spacing w:line="276" w:lineRule="auto"/>
              <w:ind w:left="100"/>
              <w:jc w:val="left"/>
              <w:rPr>
                <w:sz w:val="18"/>
              </w:rPr>
            </w:pPr>
            <w:r>
              <w:rPr>
                <w:sz w:val="18"/>
              </w:rPr>
              <w:t>Es posterior al acceso a la información y transparencia.</w:t>
            </w:r>
          </w:p>
        </w:tc>
      </w:tr>
      <w:tr>
        <w:trPr>
          <w:trHeight w:val="725" w:hRule="exact"/>
        </w:trPr>
        <w:tc>
          <w:tcPr>
            <w:tcW w:w="2482" w:type="dxa"/>
          </w:tcPr>
          <w:p>
            <w:pPr>
              <w:pStyle w:val="TableParagraph"/>
              <w:spacing w:line="276" w:lineRule="auto"/>
              <w:ind w:left="103" w:right="102"/>
              <w:jc w:val="both"/>
              <w:rPr>
                <w:sz w:val="18"/>
              </w:rPr>
            </w:pPr>
            <w:r>
              <w:rPr>
                <w:sz w:val="18"/>
              </w:rPr>
              <w:t>Se refiere a la información que debe ser solicitada para obtenerla.</w:t>
            </w:r>
          </w:p>
        </w:tc>
        <w:tc>
          <w:tcPr>
            <w:tcW w:w="3404" w:type="dxa"/>
          </w:tcPr>
          <w:p>
            <w:pPr>
              <w:pStyle w:val="TableParagraph"/>
              <w:spacing w:line="276" w:lineRule="auto"/>
              <w:ind w:left="103" w:right="103"/>
              <w:jc w:val="both"/>
              <w:rPr>
                <w:sz w:val="18"/>
              </w:rPr>
            </w:pPr>
            <w:r>
              <w:rPr>
                <w:sz w:val="18"/>
              </w:rPr>
              <w:t>Se refiere a la información pública considerada</w:t>
            </w:r>
            <w:r>
              <w:rPr>
                <w:spacing w:val="-6"/>
                <w:sz w:val="18"/>
              </w:rPr>
              <w:t> </w:t>
            </w:r>
            <w:r>
              <w:rPr>
                <w:sz w:val="18"/>
              </w:rPr>
              <w:t>por</w:t>
            </w:r>
            <w:r>
              <w:rPr>
                <w:spacing w:val="-7"/>
                <w:sz w:val="18"/>
              </w:rPr>
              <w:t> </w:t>
            </w:r>
            <w:r>
              <w:rPr>
                <w:sz w:val="18"/>
              </w:rPr>
              <w:t>la</w:t>
            </w:r>
            <w:r>
              <w:rPr>
                <w:spacing w:val="-6"/>
                <w:sz w:val="18"/>
              </w:rPr>
              <w:t> </w:t>
            </w:r>
            <w:r>
              <w:rPr>
                <w:sz w:val="18"/>
              </w:rPr>
              <w:t>ley</w:t>
            </w:r>
            <w:r>
              <w:rPr>
                <w:spacing w:val="-8"/>
                <w:sz w:val="18"/>
              </w:rPr>
              <w:t> </w:t>
            </w:r>
            <w:r>
              <w:rPr>
                <w:sz w:val="18"/>
              </w:rPr>
              <w:t>que</w:t>
            </w:r>
            <w:r>
              <w:rPr>
                <w:spacing w:val="-6"/>
                <w:sz w:val="18"/>
              </w:rPr>
              <w:t> </w:t>
            </w:r>
            <w:r>
              <w:rPr>
                <w:sz w:val="18"/>
              </w:rPr>
              <w:t>debe</w:t>
            </w:r>
            <w:r>
              <w:rPr>
                <w:spacing w:val="-6"/>
                <w:sz w:val="18"/>
              </w:rPr>
              <w:t> </w:t>
            </w:r>
            <w:r>
              <w:rPr>
                <w:sz w:val="18"/>
              </w:rPr>
              <w:t>darse</w:t>
            </w:r>
            <w:r>
              <w:rPr>
                <w:spacing w:val="-6"/>
                <w:sz w:val="18"/>
              </w:rPr>
              <w:t> </w:t>
            </w:r>
            <w:r>
              <w:rPr>
                <w:sz w:val="18"/>
              </w:rPr>
              <w:t>a conocer haya sido o no</w:t>
            </w:r>
            <w:r>
              <w:rPr>
                <w:spacing w:val="-13"/>
                <w:sz w:val="18"/>
              </w:rPr>
              <w:t> </w:t>
            </w:r>
            <w:r>
              <w:rPr>
                <w:sz w:val="18"/>
              </w:rPr>
              <w:t>solicitada.</w:t>
            </w:r>
          </w:p>
        </w:tc>
        <w:tc>
          <w:tcPr>
            <w:tcW w:w="2943" w:type="dxa"/>
          </w:tcPr>
          <w:p>
            <w:pPr>
              <w:pStyle w:val="TableParagraph"/>
              <w:spacing w:line="276" w:lineRule="auto"/>
              <w:ind w:left="100" w:right="102"/>
              <w:jc w:val="both"/>
              <w:rPr>
                <w:sz w:val="18"/>
              </w:rPr>
            </w:pPr>
            <w:r>
              <w:rPr>
                <w:sz w:val="18"/>
              </w:rPr>
              <w:t>Un gobierno rinde cuentas</w:t>
            </w:r>
            <w:r>
              <w:rPr>
                <w:spacing w:val="-36"/>
                <w:sz w:val="18"/>
              </w:rPr>
              <w:t> </w:t>
            </w:r>
            <w:r>
              <w:rPr>
                <w:sz w:val="18"/>
              </w:rPr>
              <w:t>cuando explica o justifica sus acciones a los</w:t>
            </w:r>
            <w:r>
              <w:rPr>
                <w:spacing w:val="-6"/>
                <w:sz w:val="18"/>
              </w:rPr>
              <w:t> </w:t>
            </w:r>
            <w:r>
              <w:rPr>
                <w:sz w:val="18"/>
              </w:rPr>
              <w:t>ciudadanos.</w:t>
            </w:r>
          </w:p>
        </w:tc>
      </w:tr>
      <w:tr>
        <w:trPr>
          <w:trHeight w:val="722" w:hRule="exact"/>
        </w:trPr>
        <w:tc>
          <w:tcPr>
            <w:tcW w:w="2482" w:type="dxa"/>
          </w:tcPr>
          <w:p>
            <w:pPr>
              <w:pStyle w:val="TableParagraph"/>
              <w:spacing w:line="276" w:lineRule="auto"/>
              <w:ind w:left="103" w:right="102"/>
              <w:jc w:val="both"/>
              <w:rPr>
                <w:sz w:val="18"/>
              </w:rPr>
            </w:pPr>
            <w:r>
              <w:rPr>
                <w:sz w:val="18"/>
              </w:rPr>
              <w:t>En amplio sentido hace referencia a un derecho de los ciudadanos.</w:t>
            </w:r>
          </w:p>
        </w:tc>
        <w:tc>
          <w:tcPr>
            <w:tcW w:w="3404" w:type="dxa"/>
          </w:tcPr>
          <w:p>
            <w:pPr>
              <w:pStyle w:val="TableParagraph"/>
              <w:spacing w:line="276" w:lineRule="auto"/>
              <w:ind w:left="103"/>
              <w:jc w:val="left"/>
              <w:rPr>
                <w:sz w:val="18"/>
              </w:rPr>
            </w:pPr>
            <w:r>
              <w:rPr>
                <w:sz w:val="18"/>
              </w:rPr>
              <w:t>En sentido amplio hace referencia a una política pública.</w:t>
            </w:r>
          </w:p>
        </w:tc>
        <w:tc>
          <w:tcPr>
            <w:tcW w:w="2943" w:type="dxa"/>
          </w:tcPr>
          <w:p>
            <w:pPr>
              <w:pStyle w:val="TableParagraph"/>
              <w:spacing w:line="276" w:lineRule="auto"/>
              <w:ind w:left="100" w:right="102"/>
              <w:jc w:val="both"/>
              <w:rPr>
                <w:sz w:val="18"/>
              </w:rPr>
            </w:pPr>
            <w:r>
              <w:rPr>
                <w:sz w:val="18"/>
              </w:rPr>
              <w:t>Permite asegurar que los funcionarios</w:t>
            </w:r>
            <w:r>
              <w:rPr>
                <w:spacing w:val="-16"/>
                <w:sz w:val="18"/>
              </w:rPr>
              <w:t> </w:t>
            </w:r>
            <w:r>
              <w:rPr>
                <w:sz w:val="18"/>
              </w:rPr>
              <w:t>se</w:t>
            </w:r>
            <w:r>
              <w:rPr>
                <w:spacing w:val="-17"/>
                <w:sz w:val="18"/>
              </w:rPr>
              <w:t> </w:t>
            </w:r>
            <w:r>
              <w:rPr>
                <w:sz w:val="18"/>
              </w:rPr>
              <w:t>responsabilicen</w:t>
            </w:r>
            <w:r>
              <w:rPr>
                <w:spacing w:val="-17"/>
                <w:sz w:val="18"/>
              </w:rPr>
              <w:t> </w:t>
            </w:r>
            <w:r>
              <w:rPr>
                <w:sz w:val="18"/>
              </w:rPr>
              <w:t>de sus</w:t>
            </w:r>
            <w:r>
              <w:rPr>
                <w:spacing w:val="-1"/>
                <w:sz w:val="18"/>
              </w:rPr>
              <w:t> </w:t>
            </w:r>
            <w:r>
              <w:rPr>
                <w:sz w:val="18"/>
              </w:rPr>
              <w:t>actos.</w:t>
            </w:r>
          </w:p>
        </w:tc>
      </w:tr>
      <w:tr>
        <w:trPr>
          <w:trHeight w:val="725" w:hRule="exact"/>
        </w:trPr>
        <w:tc>
          <w:tcPr>
            <w:tcW w:w="2482" w:type="dxa"/>
          </w:tcPr>
          <w:p>
            <w:pPr>
              <w:pStyle w:val="TableParagraph"/>
              <w:spacing w:line="278" w:lineRule="auto"/>
              <w:ind w:left="103" w:right="87"/>
              <w:jc w:val="left"/>
              <w:rPr>
                <w:sz w:val="18"/>
              </w:rPr>
            </w:pPr>
            <w:r>
              <w:rPr>
                <w:sz w:val="18"/>
              </w:rPr>
              <w:t>Es un derecho que debe ser el mismo para todos.</w:t>
            </w:r>
          </w:p>
        </w:tc>
        <w:tc>
          <w:tcPr>
            <w:tcW w:w="3404" w:type="dxa"/>
          </w:tcPr>
          <w:p>
            <w:pPr>
              <w:pStyle w:val="TableParagraph"/>
              <w:spacing w:line="276" w:lineRule="auto"/>
              <w:ind w:left="103" w:right="104"/>
              <w:jc w:val="both"/>
              <w:rPr>
                <w:sz w:val="18"/>
              </w:rPr>
            </w:pPr>
            <w:r>
              <w:rPr>
                <w:sz w:val="18"/>
              </w:rPr>
              <w:t>Puede existir, sin que haya un derecho de acceso a información o rendición de cuentas.</w:t>
            </w:r>
          </w:p>
        </w:tc>
        <w:tc>
          <w:tcPr>
            <w:tcW w:w="2943" w:type="dxa"/>
          </w:tcPr>
          <w:p>
            <w:pPr/>
          </w:p>
        </w:tc>
      </w:tr>
      <w:tr>
        <w:trPr>
          <w:trHeight w:val="963" w:hRule="exact"/>
        </w:trPr>
        <w:tc>
          <w:tcPr>
            <w:tcW w:w="2482" w:type="dxa"/>
          </w:tcPr>
          <w:p>
            <w:pPr/>
          </w:p>
        </w:tc>
        <w:tc>
          <w:tcPr>
            <w:tcW w:w="3404" w:type="dxa"/>
          </w:tcPr>
          <w:p>
            <w:pPr>
              <w:pStyle w:val="TableParagraph"/>
              <w:spacing w:line="276" w:lineRule="auto"/>
              <w:ind w:left="103" w:right="99"/>
              <w:jc w:val="both"/>
              <w:rPr>
                <w:sz w:val="18"/>
              </w:rPr>
            </w:pPr>
            <w:r>
              <w:rPr>
                <w:sz w:val="18"/>
              </w:rPr>
              <w:t>Un gobierno es transparente cuando exhibe u ofrece información sobre su funcionamiento</w:t>
            </w:r>
            <w:r>
              <w:rPr>
                <w:spacing w:val="-9"/>
                <w:sz w:val="18"/>
              </w:rPr>
              <w:t> </w:t>
            </w:r>
            <w:r>
              <w:rPr>
                <w:sz w:val="18"/>
              </w:rPr>
              <w:t>y</w:t>
            </w:r>
            <w:r>
              <w:rPr>
                <w:spacing w:val="-9"/>
                <w:sz w:val="18"/>
              </w:rPr>
              <w:t> </w:t>
            </w:r>
            <w:r>
              <w:rPr>
                <w:sz w:val="18"/>
              </w:rPr>
              <w:t>es</w:t>
            </w:r>
            <w:r>
              <w:rPr>
                <w:spacing w:val="-9"/>
                <w:sz w:val="18"/>
              </w:rPr>
              <w:t> </w:t>
            </w:r>
            <w:r>
              <w:rPr>
                <w:sz w:val="18"/>
              </w:rPr>
              <w:t>objeto</w:t>
            </w:r>
            <w:r>
              <w:rPr>
                <w:spacing w:val="-7"/>
                <w:sz w:val="18"/>
              </w:rPr>
              <w:t> </w:t>
            </w:r>
            <w:r>
              <w:rPr>
                <w:sz w:val="18"/>
              </w:rPr>
              <w:t>de</w:t>
            </w:r>
            <w:r>
              <w:rPr>
                <w:spacing w:val="-10"/>
                <w:sz w:val="18"/>
              </w:rPr>
              <w:t> </w:t>
            </w:r>
            <w:r>
              <w:rPr>
                <w:sz w:val="18"/>
              </w:rPr>
              <w:t>escrutinio público.</w:t>
            </w:r>
          </w:p>
        </w:tc>
        <w:tc>
          <w:tcPr>
            <w:tcW w:w="2943" w:type="dxa"/>
          </w:tcPr>
          <w:p>
            <w:pPr/>
          </w:p>
        </w:tc>
      </w:tr>
      <w:tr>
        <w:trPr>
          <w:trHeight w:val="725" w:hRule="exact"/>
        </w:trPr>
        <w:tc>
          <w:tcPr>
            <w:tcW w:w="2482" w:type="dxa"/>
          </w:tcPr>
          <w:p>
            <w:pPr/>
          </w:p>
        </w:tc>
        <w:tc>
          <w:tcPr>
            <w:tcW w:w="3404" w:type="dxa"/>
          </w:tcPr>
          <w:p>
            <w:pPr>
              <w:pStyle w:val="TableParagraph"/>
              <w:spacing w:line="276" w:lineRule="auto"/>
              <w:ind w:left="103" w:right="103"/>
              <w:jc w:val="both"/>
              <w:rPr>
                <w:sz w:val="18"/>
              </w:rPr>
            </w:pPr>
            <w:r>
              <w:rPr>
                <w:sz w:val="18"/>
              </w:rPr>
              <w:t>Permite exigir a los funcionarios que actúen conforme a la ley y de modo ético.</w:t>
            </w:r>
          </w:p>
        </w:tc>
        <w:tc>
          <w:tcPr>
            <w:tcW w:w="2943" w:type="dxa"/>
          </w:tcPr>
          <w:p>
            <w:pPr/>
          </w:p>
        </w:tc>
      </w:tr>
      <w:tr>
        <w:trPr>
          <w:trHeight w:val="722" w:hRule="exact"/>
        </w:trPr>
        <w:tc>
          <w:tcPr>
            <w:tcW w:w="2482" w:type="dxa"/>
          </w:tcPr>
          <w:p>
            <w:pPr/>
          </w:p>
        </w:tc>
        <w:tc>
          <w:tcPr>
            <w:tcW w:w="3404" w:type="dxa"/>
          </w:tcPr>
          <w:p>
            <w:pPr>
              <w:pStyle w:val="TableParagraph"/>
              <w:spacing w:line="276" w:lineRule="auto"/>
              <w:ind w:left="103" w:right="103"/>
              <w:jc w:val="both"/>
              <w:rPr>
                <w:sz w:val="18"/>
              </w:rPr>
            </w:pPr>
            <w:r>
              <w:rPr>
                <w:sz w:val="18"/>
              </w:rPr>
              <w:t>Dadas las numerosas variables que la condicionan</w:t>
            </w:r>
            <w:r>
              <w:rPr>
                <w:spacing w:val="-11"/>
                <w:sz w:val="18"/>
              </w:rPr>
              <w:t> </w:t>
            </w:r>
            <w:r>
              <w:rPr>
                <w:sz w:val="18"/>
              </w:rPr>
              <w:t>no</w:t>
            </w:r>
            <w:r>
              <w:rPr>
                <w:spacing w:val="-11"/>
                <w:sz w:val="18"/>
              </w:rPr>
              <w:t> </w:t>
            </w:r>
            <w:r>
              <w:rPr>
                <w:sz w:val="18"/>
              </w:rPr>
              <w:t>puede</w:t>
            </w:r>
            <w:r>
              <w:rPr>
                <w:spacing w:val="-11"/>
                <w:sz w:val="18"/>
              </w:rPr>
              <w:t> </w:t>
            </w:r>
            <w:r>
              <w:rPr>
                <w:sz w:val="18"/>
              </w:rPr>
              <w:t>ser</w:t>
            </w:r>
            <w:r>
              <w:rPr>
                <w:spacing w:val="-14"/>
                <w:sz w:val="18"/>
              </w:rPr>
              <w:t> </w:t>
            </w:r>
            <w:r>
              <w:rPr>
                <w:sz w:val="18"/>
              </w:rPr>
              <w:t>la</w:t>
            </w:r>
            <w:r>
              <w:rPr>
                <w:spacing w:val="-11"/>
                <w:sz w:val="18"/>
              </w:rPr>
              <w:t> </w:t>
            </w:r>
            <w:r>
              <w:rPr>
                <w:sz w:val="18"/>
              </w:rPr>
              <w:t>misma</w:t>
            </w:r>
            <w:r>
              <w:rPr>
                <w:spacing w:val="-14"/>
                <w:sz w:val="18"/>
              </w:rPr>
              <w:t> </w:t>
            </w:r>
            <w:r>
              <w:rPr>
                <w:sz w:val="18"/>
              </w:rPr>
              <w:t>para todos.</w:t>
            </w:r>
          </w:p>
        </w:tc>
        <w:tc>
          <w:tcPr>
            <w:tcW w:w="2943" w:type="dxa"/>
          </w:tcPr>
          <w:p>
            <w:pPr/>
          </w:p>
        </w:tc>
      </w:tr>
    </w:tbl>
    <w:p>
      <w:pPr>
        <w:spacing w:line="203" w:lineRule="exact" w:before="0"/>
        <w:ind w:left="234" w:right="337" w:firstLine="0"/>
        <w:jc w:val="left"/>
        <w:rPr>
          <w:sz w:val="18"/>
        </w:rPr>
      </w:pPr>
      <w:r>
        <w:rPr>
          <w:sz w:val="18"/>
        </w:rPr>
        <w:t>Fuente: Elaboración propia.</w:t>
      </w:r>
    </w:p>
    <w:p>
      <w:pPr>
        <w:pStyle w:val="BodyText"/>
        <w:rPr>
          <w:sz w:val="20"/>
        </w:rPr>
      </w:pPr>
    </w:p>
    <w:p>
      <w:pPr>
        <w:pStyle w:val="BodyText"/>
        <w:spacing w:before="7"/>
        <w:rPr>
          <w:sz w:val="26"/>
        </w:rPr>
      </w:pPr>
    </w:p>
    <w:p>
      <w:pPr>
        <w:pStyle w:val="Heading1"/>
        <w:numPr>
          <w:ilvl w:val="1"/>
          <w:numId w:val="30"/>
        </w:numPr>
        <w:tabs>
          <w:tab w:pos="550" w:val="left" w:leader="none"/>
        </w:tabs>
        <w:spacing w:line="240" w:lineRule="auto" w:before="69" w:after="0"/>
        <w:ind w:left="549" w:right="0" w:hanging="439"/>
        <w:jc w:val="both"/>
      </w:pPr>
      <w:bookmarkStart w:name="_bookmark11" w:id="19"/>
      <w:bookmarkEnd w:id="19"/>
      <w:r>
        <w:rPr>
          <w:b w:val="0"/>
        </w:rPr>
      </w:r>
      <w:bookmarkStart w:name="_bookmark11" w:id="20"/>
      <w:bookmarkEnd w:id="20"/>
      <w:r>
        <w:rPr/>
        <w:t>I</w:t>
      </w:r>
      <w:r>
        <w:rPr/>
        <w:t>nstituciones que promueven la</w:t>
      </w:r>
      <w:r>
        <w:rPr>
          <w:spacing w:val="-8"/>
        </w:rPr>
        <w:t> </w:t>
      </w:r>
      <w:r>
        <w:rPr/>
        <w:t>transparencia</w:t>
      </w:r>
    </w:p>
    <w:p>
      <w:pPr>
        <w:pStyle w:val="BodyText"/>
        <w:rPr>
          <w:b/>
        </w:rPr>
      </w:pPr>
    </w:p>
    <w:p>
      <w:pPr>
        <w:pStyle w:val="BodyText"/>
        <w:rPr>
          <w:b/>
        </w:rPr>
      </w:pPr>
    </w:p>
    <w:p>
      <w:pPr>
        <w:pStyle w:val="BodyText"/>
        <w:spacing w:line="360" w:lineRule="auto" w:before="159"/>
        <w:ind w:left="122" w:right="116"/>
        <w:jc w:val="both"/>
      </w:pPr>
      <w:r>
        <w:rPr/>
        <w:t>Ante la incapacidad del gobierno para garantizar la transparencia de los asuntos públicos han surgido organizaciones no gubernamentales (ONG) que promueven dichas prácticas en todo el planeta. Estas ONG exigen a los gobiernos la apertura de sus finanzas y presupuesto al escrutinio público; dichas acciones las realizan mediante el condicionamiento de préstamos que les otorgan para solventar necesidades</w:t>
      </w:r>
      <w:r>
        <w:rPr>
          <w:spacing w:val="-8"/>
        </w:rPr>
        <w:t> </w:t>
      </w:r>
      <w:r>
        <w:rPr/>
        <w:t>sociales.</w:t>
      </w:r>
      <w:r>
        <w:rPr>
          <w:spacing w:val="-10"/>
        </w:rPr>
        <w:t> </w:t>
      </w:r>
      <w:r>
        <w:rPr/>
        <w:t>Es</w:t>
      </w:r>
      <w:r>
        <w:rPr>
          <w:spacing w:val="-8"/>
        </w:rPr>
        <w:t> </w:t>
      </w:r>
      <w:r>
        <w:rPr/>
        <w:t>pertinente</w:t>
      </w:r>
      <w:r>
        <w:rPr>
          <w:spacing w:val="-7"/>
        </w:rPr>
        <w:t> </w:t>
      </w:r>
      <w:r>
        <w:rPr/>
        <w:t>resaltar</w:t>
      </w:r>
      <w:r>
        <w:rPr>
          <w:spacing w:val="-11"/>
        </w:rPr>
        <w:t> </w:t>
      </w:r>
      <w:r>
        <w:rPr/>
        <w:t>que</w:t>
      </w:r>
      <w:r>
        <w:rPr>
          <w:spacing w:val="-7"/>
        </w:rPr>
        <w:t> </w:t>
      </w:r>
      <w:r>
        <w:rPr/>
        <w:t>dichas</w:t>
      </w:r>
      <w:r>
        <w:rPr>
          <w:spacing w:val="-8"/>
        </w:rPr>
        <w:t> </w:t>
      </w:r>
      <w:r>
        <w:rPr/>
        <w:t>organizaciones</w:t>
      </w:r>
      <w:r>
        <w:rPr>
          <w:spacing w:val="-8"/>
        </w:rPr>
        <w:t> </w:t>
      </w:r>
      <w:r>
        <w:rPr/>
        <w:t>promueven la transparencia de los gobiernos, pero no necesariamente la propia. Asimismo, se hace</w:t>
      </w:r>
      <w:r>
        <w:rPr>
          <w:spacing w:val="-7"/>
        </w:rPr>
        <w:t> </w:t>
      </w:r>
      <w:r>
        <w:rPr/>
        <w:t>referencia</w:t>
      </w:r>
      <w:r>
        <w:rPr>
          <w:spacing w:val="-7"/>
        </w:rPr>
        <w:t> </w:t>
      </w:r>
      <w:r>
        <w:rPr/>
        <w:t>a</w:t>
      </w:r>
      <w:r>
        <w:rPr>
          <w:spacing w:val="-7"/>
        </w:rPr>
        <w:t> </w:t>
      </w:r>
      <w:r>
        <w:rPr/>
        <w:t>las</w:t>
      </w:r>
      <w:r>
        <w:rPr>
          <w:spacing w:val="-10"/>
        </w:rPr>
        <w:t> </w:t>
      </w:r>
      <w:r>
        <w:rPr/>
        <w:t>dependencias</w:t>
      </w:r>
      <w:r>
        <w:rPr>
          <w:spacing w:val="-7"/>
        </w:rPr>
        <w:t> </w:t>
      </w:r>
      <w:r>
        <w:rPr/>
        <w:t>gubernamentales</w:t>
      </w:r>
      <w:r>
        <w:rPr>
          <w:spacing w:val="-7"/>
        </w:rPr>
        <w:t> </w:t>
      </w:r>
      <w:r>
        <w:rPr/>
        <w:t>encargadas</w:t>
      </w:r>
      <w:r>
        <w:rPr>
          <w:spacing w:val="-10"/>
        </w:rPr>
        <w:t> </w:t>
      </w:r>
      <w:r>
        <w:rPr/>
        <w:t>del</w:t>
      </w:r>
      <w:r>
        <w:rPr>
          <w:spacing w:val="-8"/>
        </w:rPr>
        <w:t> </w:t>
      </w:r>
      <w:r>
        <w:rPr/>
        <w:t>desarrollo</w:t>
      </w:r>
      <w:r>
        <w:rPr>
          <w:spacing w:val="-7"/>
        </w:rPr>
        <w:t> </w:t>
      </w:r>
      <w:r>
        <w:rPr/>
        <w:t>de esa función. En este apartado se describen las más relevantes que existen en el ámbito internacional, nacional, estatal y</w:t>
      </w:r>
      <w:r>
        <w:rPr>
          <w:spacing w:val="-16"/>
        </w:rPr>
        <w:t> </w:t>
      </w:r>
      <w:r>
        <w:rPr/>
        <w:t>municipal.</w:t>
      </w:r>
    </w:p>
    <w:p>
      <w:pPr>
        <w:spacing w:after="0" w:line="360" w:lineRule="auto"/>
        <w:jc w:val="both"/>
        <w:sectPr>
          <w:pgSz w:w="12240" w:h="15840"/>
          <w:pgMar w:header="0" w:footer="1035" w:top="1420" w:bottom="1220" w:left="1580" w:right="1580"/>
        </w:sectPr>
      </w:pPr>
    </w:p>
    <w:p>
      <w:pPr>
        <w:pStyle w:val="Heading1"/>
        <w:numPr>
          <w:ilvl w:val="2"/>
          <w:numId w:val="30"/>
        </w:numPr>
        <w:tabs>
          <w:tab w:pos="830" w:val="left" w:leader="none"/>
        </w:tabs>
        <w:spacing w:line="240" w:lineRule="auto" w:before="54" w:after="0"/>
        <w:ind w:left="830" w:right="0" w:hanging="720"/>
        <w:jc w:val="both"/>
      </w:pPr>
      <w:r>
        <w:rPr/>
        <w:t>Instituciones a nivel</w:t>
      </w:r>
      <w:r>
        <w:rPr>
          <w:spacing w:val="-8"/>
        </w:rPr>
        <w:t> </w:t>
      </w:r>
      <w:r>
        <w:rPr/>
        <w:t>internacional</w:t>
      </w:r>
    </w:p>
    <w:p>
      <w:pPr>
        <w:pStyle w:val="BodyText"/>
        <w:rPr>
          <w:b/>
        </w:rPr>
      </w:pPr>
    </w:p>
    <w:p>
      <w:pPr>
        <w:pStyle w:val="BodyText"/>
        <w:rPr>
          <w:b/>
        </w:rPr>
      </w:pPr>
    </w:p>
    <w:p>
      <w:pPr>
        <w:pStyle w:val="BodyText"/>
        <w:spacing w:line="360" w:lineRule="auto" w:before="161"/>
        <w:ind w:left="122" w:right="123"/>
        <w:jc w:val="both"/>
      </w:pPr>
      <w:r>
        <w:rPr/>
        <w:t>A</w:t>
      </w:r>
      <w:r>
        <w:rPr>
          <w:spacing w:val="-12"/>
        </w:rPr>
        <w:t> </w:t>
      </w:r>
      <w:r>
        <w:rPr/>
        <w:t>nivel</w:t>
      </w:r>
      <w:r>
        <w:rPr>
          <w:spacing w:val="-13"/>
        </w:rPr>
        <w:t> </w:t>
      </w:r>
      <w:r>
        <w:rPr/>
        <w:t>internacional</w:t>
      </w:r>
      <w:r>
        <w:rPr>
          <w:spacing w:val="-13"/>
        </w:rPr>
        <w:t> </w:t>
      </w:r>
      <w:r>
        <w:rPr/>
        <w:t>la</w:t>
      </w:r>
      <w:r>
        <w:rPr>
          <w:spacing w:val="-14"/>
        </w:rPr>
        <w:t> </w:t>
      </w:r>
      <w:r>
        <w:rPr/>
        <w:t>transparencia</w:t>
      </w:r>
      <w:r>
        <w:rPr>
          <w:spacing w:val="-12"/>
        </w:rPr>
        <w:t> </w:t>
      </w:r>
      <w:r>
        <w:rPr/>
        <w:t>toma</w:t>
      </w:r>
      <w:r>
        <w:rPr>
          <w:spacing w:val="-12"/>
        </w:rPr>
        <w:t> </w:t>
      </w:r>
      <w:r>
        <w:rPr/>
        <w:t>sentido</w:t>
      </w:r>
      <w:r>
        <w:rPr>
          <w:spacing w:val="-14"/>
        </w:rPr>
        <w:t> </w:t>
      </w:r>
      <w:r>
        <w:rPr/>
        <w:t>después</w:t>
      </w:r>
      <w:r>
        <w:rPr>
          <w:spacing w:val="-15"/>
        </w:rPr>
        <w:t> </w:t>
      </w:r>
      <w:r>
        <w:rPr/>
        <w:t>de</w:t>
      </w:r>
      <w:r>
        <w:rPr>
          <w:spacing w:val="-12"/>
        </w:rPr>
        <w:t> </w:t>
      </w:r>
      <w:r>
        <w:rPr/>
        <w:t>la</w:t>
      </w:r>
      <w:r>
        <w:rPr>
          <w:spacing w:val="-12"/>
        </w:rPr>
        <w:t> </w:t>
      </w:r>
      <w:r>
        <w:rPr/>
        <w:t>segunda</w:t>
      </w:r>
      <w:r>
        <w:rPr>
          <w:spacing w:val="-14"/>
        </w:rPr>
        <w:t> </w:t>
      </w:r>
      <w:r>
        <w:rPr/>
        <w:t>mitad</w:t>
      </w:r>
      <w:r>
        <w:rPr>
          <w:spacing w:val="-12"/>
        </w:rPr>
        <w:t> </w:t>
      </w:r>
      <w:r>
        <w:rPr/>
        <w:t>del siglo XX, como resultado de grandes cambios políticos, económicos y sociales en los que se dio la transición de regímenes autoritarios hacia unos eventualmente democráticos. En esta nueva configuración política aspectos tales como el voto, competitividad electoral, la participación ciudadana, la legitimidad, el acceso a la información, la transparencia y rendición de cuentas, profesionalización de los servidores públicos, eficacia y eficiencia gubernamental son pilares fundamentales para la consolidación de los regímenes democráticos (Guerrero,</w:t>
      </w:r>
      <w:r>
        <w:rPr>
          <w:spacing w:val="-19"/>
        </w:rPr>
        <w:t> </w:t>
      </w:r>
      <w:r>
        <w:rPr/>
        <w:t>2008).</w:t>
      </w:r>
    </w:p>
    <w:p>
      <w:pPr>
        <w:pStyle w:val="BodyText"/>
      </w:pPr>
    </w:p>
    <w:p>
      <w:pPr>
        <w:pStyle w:val="BodyText"/>
      </w:pPr>
    </w:p>
    <w:p>
      <w:pPr>
        <w:pStyle w:val="BodyText"/>
        <w:spacing w:before="2"/>
        <w:rPr>
          <w:sz w:val="23"/>
        </w:rPr>
      </w:pPr>
    </w:p>
    <w:p>
      <w:pPr>
        <w:pStyle w:val="BodyText"/>
        <w:spacing w:line="360" w:lineRule="auto"/>
        <w:ind w:left="122" w:right="117"/>
        <w:jc w:val="both"/>
      </w:pPr>
      <w:r>
        <w:rPr/>
        <w:t>Estas variables constituyen el objeto de estudio de esta investigación, por lo que es</w:t>
      </w:r>
      <w:r>
        <w:rPr>
          <w:spacing w:val="-8"/>
        </w:rPr>
        <w:t> </w:t>
      </w:r>
      <w:r>
        <w:rPr/>
        <w:t>preciso</w:t>
      </w:r>
      <w:r>
        <w:rPr>
          <w:spacing w:val="-7"/>
        </w:rPr>
        <w:t> </w:t>
      </w:r>
      <w:r>
        <w:rPr/>
        <w:t>señalar</w:t>
      </w:r>
      <w:r>
        <w:rPr>
          <w:spacing w:val="-8"/>
        </w:rPr>
        <w:t> </w:t>
      </w:r>
      <w:r>
        <w:rPr/>
        <w:t>que</w:t>
      </w:r>
      <w:r>
        <w:rPr>
          <w:spacing w:val="-8"/>
        </w:rPr>
        <w:t> </w:t>
      </w:r>
      <w:r>
        <w:rPr/>
        <w:t>aun</w:t>
      </w:r>
      <w:r>
        <w:rPr>
          <w:spacing w:val="-8"/>
        </w:rPr>
        <w:t> </w:t>
      </w:r>
      <w:r>
        <w:rPr/>
        <w:t>cuando</w:t>
      </w:r>
      <w:r>
        <w:rPr>
          <w:spacing w:val="-8"/>
        </w:rPr>
        <w:t> </w:t>
      </w:r>
      <w:r>
        <w:rPr/>
        <w:t>se</w:t>
      </w:r>
      <w:r>
        <w:rPr>
          <w:spacing w:val="-8"/>
        </w:rPr>
        <w:t> </w:t>
      </w:r>
      <w:r>
        <w:rPr/>
        <w:t>ha</w:t>
      </w:r>
      <w:r>
        <w:rPr>
          <w:spacing w:val="-7"/>
        </w:rPr>
        <w:t> </w:t>
      </w:r>
      <w:r>
        <w:rPr/>
        <w:t>convertido</w:t>
      </w:r>
      <w:r>
        <w:rPr>
          <w:spacing w:val="-7"/>
        </w:rPr>
        <w:t> </w:t>
      </w:r>
      <w:r>
        <w:rPr/>
        <w:t>en</w:t>
      </w:r>
      <w:r>
        <w:rPr>
          <w:spacing w:val="-7"/>
        </w:rPr>
        <w:t> </w:t>
      </w:r>
      <w:r>
        <w:rPr/>
        <w:t>una</w:t>
      </w:r>
      <w:r>
        <w:rPr>
          <w:spacing w:val="-7"/>
        </w:rPr>
        <w:t> </w:t>
      </w:r>
      <w:r>
        <w:rPr/>
        <w:t>tendencia</w:t>
      </w:r>
      <w:r>
        <w:rPr>
          <w:spacing w:val="-7"/>
        </w:rPr>
        <w:t> </w:t>
      </w:r>
      <w:r>
        <w:rPr/>
        <w:t>universal,</w:t>
      </w:r>
      <w:r>
        <w:rPr>
          <w:spacing w:val="-7"/>
        </w:rPr>
        <w:t> </w:t>
      </w:r>
      <w:r>
        <w:rPr/>
        <w:t>no todos los países la han adoptado como parte de su forma de gobierno, siendo en su mayoría los países autoritarios quienes más han puesto resistencia</w:t>
      </w:r>
      <w:r>
        <w:rPr>
          <w:position w:val="8"/>
          <w:sz w:val="16"/>
        </w:rPr>
        <w:t>20</w:t>
      </w:r>
      <w:r>
        <w:rPr/>
        <w:t>. En este sentido, la no transparencia se ha vinculado con la opacidad del gobierno reflejada por corrupción, falta de rendición de cuentas, secrecía, desviación de recursos públicos e ineficiencia gubernamental, que son prácticas comunes de un régimen autoritario más que de uno democrático (Guerrero,</w:t>
      </w:r>
      <w:r>
        <w:rPr>
          <w:spacing w:val="-15"/>
        </w:rPr>
        <w:t> </w:t>
      </w:r>
      <w:r>
        <w:rPr/>
        <w:t>2008).</w:t>
      </w:r>
    </w:p>
    <w:p>
      <w:pPr>
        <w:pStyle w:val="BodyText"/>
      </w:pPr>
    </w:p>
    <w:p>
      <w:pPr>
        <w:pStyle w:val="BodyText"/>
      </w:pPr>
    </w:p>
    <w:p>
      <w:pPr>
        <w:pStyle w:val="BodyText"/>
        <w:spacing w:before="7"/>
        <w:rPr>
          <w:sz w:val="19"/>
        </w:rPr>
      </w:pPr>
    </w:p>
    <w:p>
      <w:pPr>
        <w:pStyle w:val="BodyText"/>
        <w:spacing w:line="360" w:lineRule="auto"/>
        <w:ind w:left="122" w:right="117"/>
        <w:jc w:val="both"/>
      </w:pPr>
      <w:r>
        <w:rPr/>
        <w:t>En</w:t>
      </w:r>
      <w:r>
        <w:rPr>
          <w:spacing w:val="-7"/>
        </w:rPr>
        <w:t> </w:t>
      </w:r>
      <w:r>
        <w:rPr/>
        <w:t>este</w:t>
      </w:r>
      <w:r>
        <w:rPr>
          <w:spacing w:val="-7"/>
        </w:rPr>
        <w:t> </w:t>
      </w:r>
      <w:r>
        <w:rPr/>
        <w:t>escenario</w:t>
      </w:r>
      <w:r>
        <w:rPr>
          <w:spacing w:val="-7"/>
        </w:rPr>
        <w:t> </w:t>
      </w:r>
      <w:r>
        <w:rPr/>
        <w:t>de</w:t>
      </w:r>
      <w:r>
        <w:rPr>
          <w:spacing w:val="-7"/>
        </w:rPr>
        <w:t> </w:t>
      </w:r>
      <w:r>
        <w:rPr/>
        <w:t>transparentar</w:t>
      </w:r>
      <w:r>
        <w:rPr>
          <w:spacing w:val="-8"/>
        </w:rPr>
        <w:t> </w:t>
      </w:r>
      <w:r>
        <w:rPr/>
        <w:t>las</w:t>
      </w:r>
      <w:r>
        <w:rPr>
          <w:spacing w:val="-7"/>
        </w:rPr>
        <w:t> </w:t>
      </w:r>
      <w:r>
        <w:rPr/>
        <w:t>acciones</w:t>
      </w:r>
      <w:r>
        <w:rPr>
          <w:spacing w:val="-8"/>
        </w:rPr>
        <w:t> </w:t>
      </w:r>
      <w:r>
        <w:rPr/>
        <w:t>del</w:t>
      </w:r>
      <w:r>
        <w:rPr>
          <w:spacing w:val="-8"/>
        </w:rPr>
        <w:t> </w:t>
      </w:r>
      <w:r>
        <w:rPr/>
        <w:t>gobierno,</w:t>
      </w:r>
      <w:r>
        <w:rPr>
          <w:spacing w:val="-7"/>
        </w:rPr>
        <w:t> </w:t>
      </w:r>
      <w:r>
        <w:rPr/>
        <w:t>instituciones</w:t>
      </w:r>
      <w:r>
        <w:rPr>
          <w:spacing w:val="-8"/>
        </w:rPr>
        <w:t> </w:t>
      </w:r>
      <w:r>
        <w:rPr/>
        <w:t>como</w:t>
      </w:r>
      <w:r>
        <w:rPr>
          <w:spacing w:val="-9"/>
        </w:rPr>
        <w:t> </w:t>
      </w:r>
      <w:r>
        <w:rPr/>
        <w:t>el Fondo Monetario Internacional (FMI), Banco Mundial (BM), Organización para la Cooperación y el Desarrollo Económico (OCDE), Transparency International, Comisión Económica para América Latina y el Caribe (CEPAL) y CLAD han promovido medidas regulatorias sobre el tema de transparencia para monitorear la estabilidad económica de los países que las integran. De este modo en la medida en</w:t>
      </w:r>
      <w:r>
        <w:rPr>
          <w:spacing w:val="-12"/>
        </w:rPr>
        <w:t> </w:t>
      </w:r>
      <w:r>
        <w:rPr/>
        <w:t>que</w:t>
      </w:r>
      <w:r>
        <w:rPr>
          <w:spacing w:val="-14"/>
        </w:rPr>
        <w:t> </w:t>
      </w:r>
      <w:r>
        <w:rPr/>
        <w:t>el</w:t>
      </w:r>
      <w:r>
        <w:rPr>
          <w:spacing w:val="-15"/>
        </w:rPr>
        <w:t> </w:t>
      </w:r>
      <w:r>
        <w:rPr/>
        <w:t>poder</w:t>
      </w:r>
      <w:r>
        <w:rPr>
          <w:spacing w:val="-13"/>
        </w:rPr>
        <w:t> </w:t>
      </w:r>
      <w:r>
        <w:rPr/>
        <w:t>del</w:t>
      </w:r>
      <w:r>
        <w:rPr>
          <w:spacing w:val="-13"/>
        </w:rPr>
        <w:t> </w:t>
      </w:r>
      <w:r>
        <w:rPr/>
        <w:t>Estado</w:t>
      </w:r>
      <w:r>
        <w:rPr>
          <w:spacing w:val="-14"/>
        </w:rPr>
        <w:t> </w:t>
      </w:r>
      <w:r>
        <w:rPr/>
        <w:t>es</w:t>
      </w:r>
      <w:r>
        <w:rPr>
          <w:spacing w:val="-15"/>
        </w:rPr>
        <w:t> </w:t>
      </w:r>
      <w:r>
        <w:rPr/>
        <w:t>transparente,</w:t>
      </w:r>
      <w:r>
        <w:rPr>
          <w:spacing w:val="-12"/>
        </w:rPr>
        <w:t> </w:t>
      </w:r>
      <w:r>
        <w:rPr/>
        <w:t>se</w:t>
      </w:r>
      <w:r>
        <w:rPr>
          <w:spacing w:val="-12"/>
        </w:rPr>
        <w:t> </w:t>
      </w:r>
      <w:r>
        <w:rPr/>
        <w:t>cumple</w:t>
      </w:r>
      <w:r>
        <w:rPr>
          <w:spacing w:val="-14"/>
        </w:rPr>
        <w:t> </w:t>
      </w:r>
      <w:r>
        <w:rPr/>
        <w:t>con</w:t>
      </w:r>
      <w:r>
        <w:rPr>
          <w:spacing w:val="-12"/>
        </w:rPr>
        <w:t> </w:t>
      </w:r>
      <w:r>
        <w:rPr/>
        <w:t>el</w:t>
      </w:r>
      <w:r>
        <w:rPr>
          <w:spacing w:val="-15"/>
        </w:rPr>
        <w:t> </w:t>
      </w:r>
      <w:r>
        <w:rPr/>
        <w:t>principio</w:t>
      </w:r>
      <w:r>
        <w:rPr>
          <w:spacing w:val="-12"/>
        </w:rPr>
        <w:t> </w:t>
      </w:r>
      <w:r>
        <w:rPr/>
        <w:t>de</w:t>
      </w:r>
      <w:r>
        <w:rPr>
          <w:spacing w:val="-14"/>
        </w:rPr>
        <w:t> </w:t>
      </w:r>
      <w:r>
        <w:rPr/>
        <w:t>publicidad</w:t>
      </w:r>
    </w:p>
    <w:p>
      <w:pPr>
        <w:pStyle w:val="BodyText"/>
        <w:rPr>
          <w:sz w:val="20"/>
        </w:rPr>
      </w:pPr>
    </w:p>
    <w:p>
      <w:pPr>
        <w:pStyle w:val="BodyText"/>
        <w:spacing w:before="9"/>
        <w:rPr>
          <w:sz w:val="10"/>
        </w:rPr>
      </w:pPr>
      <w:r>
        <w:rPr/>
        <w:pict>
          <v:line style="position:absolute;mso-position-horizontal-relative:page;mso-position-vertical-relative:paragraph;z-index:3184;mso-wrap-distance-left:0;mso-wrap-distance-right:0" from="85.103996pt,8.530867pt" to="229.123996pt,8.530867pt" stroked="true" strokeweight=".72003pt" strokecolor="#000000">
            <w10:wrap type="topAndBottom"/>
          </v:line>
        </w:pict>
      </w:r>
    </w:p>
    <w:p>
      <w:pPr>
        <w:spacing w:line="273" w:lineRule="auto" w:before="69"/>
        <w:ind w:left="122" w:right="-15" w:firstLine="0"/>
        <w:jc w:val="left"/>
        <w:rPr>
          <w:sz w:val="14"/>
        </w:rPr>
      </w:pPr>
      <w:r>
        <w:rPr>
          <w:rFonts w:ascii="Calibri" w:hAnsi="Calibri"/>
          <w:position w:val="7"/>
          <w:sz w:val="13"/>
        </w:rPr>
        <w:t>20 </w:t>
      </w:r>
      <w:r>
        <w:rPr>
          <w:sz w:val="14"/>
        </w:rPr>
        <w:t>Ejemplo de ello son Rusia, Kazajistán, Irán, Irak, Afganistán, Arabia Saudita, Siria, Yemen, Omán, Mongolia, Nepal, Bangladesh, Singapur, Birmania, Laos, Vietnam, Uganda y Zimbague, entre otros.</w:t>
      </w:r>
    </w:p>
    <w:p>
      <w:pPr>
        <w:spacing w:after="0" w:line="273" w:lineRule="auto"/>
        <w:jc w:val="left"/>
        <w:rPr>
          <w:sz w:val="14"/>
        </w:rPr>
        <w:sectPr>
          <w:pgSz w:w="12240" w:h="15840"/>
          <w:pgMar w:header="0" w:footer="1035" w:top="1360" w:bottom="1220" w:left="1580" w:right="1580"/>
        </w:sectPr>
      </w:pPr>
    </w:p>
    <w:p>
      <w:pPr>
        <w:pStyle w:val="BodyText"/>
        <w:spacing w:line="360" w:lineRule="auto" w:before="54"/>
        <w:ind w:left="102" w:right="118"/>
        <w:jc w:val="both"/>
      </w:pPr>
      <w:r>
        <w:rPr/>
        <w:t>que es propio de las democracias modernas. En la medida en que el poder del Estado es transparente, la publicidad sobre los archivos y acciones de él generan confianza,</w:t>
      </w:r>
      <w:r>
        <w:rPr>
          <w:spacing w:val="-7"/>
        </w:rPr>
        <w:t> </w:t>
      </w:r>
      <w:r>
        <w:rPr/>
        <w:t>ya</w:t>
      </w:r>
      <w:r>
        <w:rPr>
          <w:spacing w:val="-7"/>
        </w:rPr>
        <w:t> </w:t>
      </w:r>
      <w:r>
        <w:rPr/>
        <w:t>que</w:t>
      </w:r>
      <w:r>
        <w:rPr>
          <w:spacing w:val="-7"/>
        </w:rPr>
        <w:t> </w:t>
      </w:r>
      <w:r>
        <w:rPr/>
        <w:t>es</w:t>
      </w:r>
      <w:r>
        <w:rPr>
          <w:spacing w:val="-10"/>
        </w:rPr>
        <w:t> </w:t>
      </w:r>
      <w:r>
        <w:rPr/>
        <w:t>fundamental</w:t>
      </w:r>
      <w:r>
        <w:rPr>
          <w:spacing w:val="-11"/>
        </w:rPr>
        <w:t> </w:t>
      </w:r>
      <w:r>
        <w:rPr/>
        <w:t>para</w:t>
      </w:r>
      <w:r>
        <w:rPr>
          <w:spacing w:val="-8"/>
        </w:rPr>
        <w:t> </w:t>
      </w:r>
      <w:r>
        <w:rPr/>
        <w:t>que</w:t>
      </w:r>
      <w:r>
        <w:rPr>
          <w:spacing w:val="-7"/>
        </w:rPr>
        <w:t> </w:t>
      </w:r>
      <w:r>
        <w:rPr/>
        <w:t>la</w:t>
      </w:r>
      <w:r>
        <w:rPr>
          <w:spacing w:val="-10"/>
        </w:rPr>
        <w:t> </w:t>
      </w:r>
      <w:r>
        <w:rPr/>
        <w:t>economía</w:t>
      </w:r>
      <w:r>
        <w:rPr>
          <w:spacing w:val="-9"/>
        </w:rPr>
        <w:t> </w:t>
      </w:r>
      <w:r>
        <w:rPr/>
        <w:t>de</w:t>
      </w:r>
      <w:r>
        <w:rPr>
          <w:spacing w:val="-9"/>
        </w:rPr>
        <w:t> </w:t>
      </w:r>
      <w:r>
        <w:rPr/>
        <w:t>mercado</w:t>
      </w:r>
      <w:r>
        <w:rPr>
          <w:spacing w:val="-9"/>
        </w:rPr>
        <w:t> </w:t>
      </w:r>
      <w:r>
        <w:rPr/>
        <w:t>tenga</w:t>
      </w:r>
      <w:r>
        <w:rPr>
          <w:spacing w:val="-9"/>
        </w:rPr>
        <w:t> </w:t>
      </w:r>
      <w:r>
        <w:rPr/>
        <w:t>mejores bases de desarrollo, productividad y desempeño (Uvalle,</w:t>
      </w:r>
      <w:r>
        <w:rPr>
          <w:spacing w:val="-30"/>
        </w:rPr>
        <w:t> </w:t>
      </w:r>
      <w:r>
        <w:rPr/>
        <w:t>2012).</w:t>
      </w:r>
    </w:p>
    <w:p>
      <w:pPr>
        <w:pStyle w:val="BodyText"/>
      </w:pPr>
    </w:p>
    <w:p>
      <w:pPr>
        <w:pStyle w:val="BodyText"/>
      </w:pPr>
    </w:p>
    <w:p>
      <w:pPr>
        <w:pStyle w:val="BodyText"/>
        <w:spacing w:before="7"/>
        <w:rPr>
          <w:sz w:val="19"/>
        </w:rPr>
      </w:pPr>
    </w:p>
    <w:p>
      <w:pPr>
        <w:pStyle w:val="Heading1"/>
        <w:numPr>
          <w:ilvl w:val="3"/>
          <w:numId w:val="31"/>
        </w:numPr>
        <w:tabs>
          <w:tab w:pos="954" w:val="left" w:leader="none"/>
        </w:tabs>
        <w:spacing w:line="240" w:lineRule="auto" w:before="0" w:after="0"/>
        <w:ind w:left="954" w:right="0" w:hanging="852"/>
        <w:jc w:val="both"/>
      </w:pPr>
      <w:r>
        <w:rPr/>
        <w:t>Fondo Monetario Internacional</w:t>
      </w:r>
      <w:r>
        <w:rPr>
          <w:spacing w:val="-4"/>
        </w:rPr>
        <w:t> </w:t>
      </w:r>
      <w:r>
        <w:rPr/>
        <w:t>(FMI)</w:t>
      </w:r>
    </w:p>
    <w:p>
      <w:pPr>
        <w:pStyle w:val="BodyText"/>
        <w:rPr>
          <w:b/>
        </w:rPr>
      </w:pPr>
    </w:p>
    <w:p>
      <w:pPr>
        <w:pStyle w:val="BodyText"/>
        <w:rPr>
          <w:b/>
        </w:rPr>
      </w:pPr>
    </w:p>
    <w:p>
      <w:pPr>
        <w:pStyle w:val="BodyText"/>
        <w:spacing w:line="360" w:lineRule="auto" w:before="158"/>
        <w:ind w:left="102" w:right="115"/>
        <w:jc w:val="both"/>
      </w:pPr>
      <w:r>
        <w:rPr/>
        <w:t>El FMI es un organismo internacional que “promueve la estabilidad financiera y la cooperación monetaria internacional. Asimismo, busca facilitar el comercio internacional, promover un empleo elevado y un crecimiento económico sostenible y</w:t>
      </w:r>
      <w:r>
        <w:rPr>
          <w:spacing w:val="-12"/>
        </w:rPr>
        <w:t> </w:t>
      </w:r>
      <w:r>
        <w:rPr/>
        <w:t>reducir</w:t>
      </w:r>
      <w:r>
        <w:rPr>
          <w:spacing w:val="-10"/>
        </w:rPr>
        <w:t> </w:t>
      </w:r>
      <w:r>
        <w:rPr/>
        <w:t>la</w:t>
      </w:r>
      <w:r>
        <w:rPr>
          <w:spacing w:val="-9"/>
        </w:rPr>
        <w:t> </w:t>
      </w:r>
      <w:r>
        <w:rPr/>
        <w:t>pobreza</w:t>
      </w:r>
      <w:r>
        <w:rPr>
          <w:spacing w:val="-8"/>
        </w:rPr>
        <w:t> </w:t>
      </w:r>
      <w:r>
        <w:rPr/>
        <w:t>en</w:t>
      </w:r>
      <w:r>
        <w:rPr>
          <w:spacing w:val="-11"/>
        </w:rPr>
        <w:t> </w:t>
      </w:r>
      <w:r>
        <w:rPr/>
        <w:t>el</w:t>
      </w:r>
      <w:r>
        <w:rPr>
          <w:spacing w:val="-12"/>
        </w:rPr>
        <w:t> </w:t>
      </w:r>
      <w:r>
        <w:rPr/>
        <w:t>mundo</w:t>
      </w:r>
      <w:r>
        <w:rPr>
          <w:spacing w:val="-11"/>
        </w:rPr>
        <w:t> </w:t>
      </w:r>
      <w:r>
        <w:rPr/>
        <w:t>entero”,</w:t>
      </w:r>
      <w:r>
        <w:rPr>
          <w:spacing w:val="-9"/>
        </w:rPr>
        <w:t> </w:t>
      </w:r>
      <w:r>
        <w:rPr/>
        <w:t>se</w:t>
      </w:r>
      <w:r>
        <w:rPr>
          <w:spacing w:val="-11"/>
        </w:rPr>
        <w:t> </w:t>
      </w:r>
      <w:r>
        <w:rPr/>
        <w:t>encuentra</w:t>
      </w:r>
      <w:r>
        <w:rPr>
          <w:spacing w:val="-11"/>
        </w:rPr>
        <w:t> </w:t>
      </w:r>
      <w:r>
        <w:rPr/>
        <w:t>administrado</w:t>
      </w:r>
      <w:r>
        <w:rPr>
          <w:spacing w:val="-11"/>
        </w:rPr>
        <w:t> </w:t>
      </w:r>
      <w:r>
        <w:rPr/>
        <w:t>por</w:t>
      </w:r>
      <w:r>
        <w:rPr>
          <w:spacing w:val="-10"/>
        </w:rPr>
        <w:t> </w:t>
      </w:r>
      <w:r>
        <w:rPr/>
        <w:t>188</w:t>
      </w:r>
      <w:r>
        <w:rPr>
          <w:spacing w:val="-11"/>
        </w:rPr>
        <w:t> </w:t>
      </w:r>
      <w:r>
        <w:rPr/>
        <w:t>países a los que rinde cuentas. Su principal propósito consiste en asegurar la estabilidad del sistema monetario internacional (FMI, 2014b). Este organismo internacional busca que los países que lo integran mejoren la rendición de cuentas reforzando</w:t>
      </w:r>
      <w:r>
        <w:rPr>
          <w:spacing w:val="-40"/>
        </w:rPr>
        <w:t> </w:t>
      </w:r>
      <w:r>
        <w:rPr/>
        <w:t>la transparencia en la divulgación de documentos, de acuerdo con lo contemplado en su política de transparencia (FMI, 2014c). Dicha política establece</w:t>
      </w:r>
      <w:r>
        <w:rPr>
          <w:spacing w:val="-23"/>
        </w:rPr>
        <w:t> </w:t>
      </w:r>
      <w:r>
        <w:rPr/>
        <w:t>que:</w:t>
      </w:r>
    </w:p>
    <w:p>
      <w:pPr>
        <w:pStyle w:val="BodyText"/>
      </w:pPr>
    </w:p>
    <w:p>
      <w:pPr>
        <w:pStyle w:val="BodyText"/>
      </w:pPr>
    </w:p>
    <w:p>
      <w:pPr>
        <w:spacing w:line="240" w:lineRule="auto" w:before="189"/>
        <w:ind w:left="1234" w:right="1298" w:firstLine="0"/>
        <w:jc w:val="both"/>
        <w:rPr>
          <w:sz w:val="18"/>
        </w:rPr>
      </w:pPr>
      <w:r>
        <w:rPr>
          <w:sz w:val="18"/>
        </w:rPr>
        <w:t>“La</w:t>
      </w:r>
      <w:r>
        <w:rPr>
          <w:spacing w:val="-15"/>
          <w:sz w:val="18"/>
        </w:rPr>
        <w:t> </w:t>
      </w:r>
      <w:r>
        <w:rPr>
          <w:sz w:val="18"/>
        </w:rPr>
        <w:t>transparencia</w:t>
      </w:r>
      <w:r>
        <w:rPr>
          <w:spacing w:val="-17"/>
          <w:sz w:val="18"/>
        </w:rPr>
        <w:t> </w:t>
      </w:r>
      <w:r>
        <w:rPr>
          <w:sz w:val="18"/>
        </w:rPr>
        <w:t>de</w:t>
      </w:r>
      <w:r>
        <w:rPr>
          <w:spacing w:val="-15"/>
          <w:sz w:val="18"/>
        </w:rPr>
        <w:t> </w:t>
      </w:r>
      <w:r>
        <w:rPr>
          <w:sz w:val="18"/>
        </w:rPr>
        <w:t>la</w:t>
      </w:r>
      <w:r>
        <w:rPr>
          <w:spacing w:val="-15"/>
          <w:sz w:val="18"/>
        </w:rPr>
        <w:t> </w:t>
      </w:r>
      <w:r>
        <w:rPr>
          <w:sz w:val="18"/>
        </w:rPr>
        <w:t>política</w:t>
      </w:r>
      <w:r>
        <w:rPr>
          <w:spacing w:val="-17"/>
          <w:sz w:val="18"/>
        </w:rPr>
        <w:t> </w:t>
      </w:r>
      <w:r>
        <w:rPr>
          <w:sz w:val="18"/>
        </w:rPr>
        <w:t>económica</w:t>
      </w:r>
      <w:r>
        <w:rPr>
          <w:spacing w:val="-15"/>
          <w:sz w:val="18"/>
        </w:rPr>
        <w:t> </w:t>
      </w:r>
      <w:r>
        <w:rPr>
          <w:sz w:val="18"/>
        </w:rPr>
        <w:t>y</w:t>
      </w:r>
      <w:r>
        <w:rPr>
          <w:spacing w:val="-16"/>
          <w:sz w:val="18"/>
        </w:rPr>
        <w:t> </w:t>
      </w:r>
      <w:r>
        <w:rPr>
          <w:sz w:val="18"/>
        </w:rPr>
        <w:t>la</w:t>
      </w:r>
      <w:r>
        <w:rPr>
          <w:spacing w:val="-15"/>
          <w:sz w:val="18"/>
        </w:rPr>
        <w:t> </w:t>
      </w:r>
      <w:r>
        <w:rPr>
          <w:sz w:val="18"/>
        </w:rPr>
        <w:t>disponibilidad</w:t>
      </w:r>
      <w:r>
        <w:rPr>
          <w:spacing w:val="-17"/>
          <w:sz w:val="18"/>
        </w:rPr>
        <w:t> </w:t>
      </w:r>
      <w:r>
        <w:rPr>
          <w:sz w:val="18"/>
        </w:rPr>
        <w:t>de</w:t>
      </w:r>
      <w:r>
        <w:rPr>
          <w:spacing w:val="-15"/>
          <w:sz w:val="18"/>
        </w:rPr>
        <w:t> </w:t>
      </w:r>
      <w:r>
        <w:rPr>
          <w:sz w:val="18"/>
        </w:rPr>
        <w:t>datos</w:t>
      </w:r>
      <w:r>
        <w:rPr>
          <w:spacing w:val="-14"/>
          <w:sz w:val="18"/>
        </w:rPr>
        <w:t> </w:t>
      </w:r>
      <w:r>
        <w:rPr>
          <w:sz w:val="18"/>
        </w:rPr>
        <w:t>fiables</w:t>
      </w:r>
      <w:r>
        <w:rPr>
          <w:spacing w:val="-16"/>
          <w:sz w:val="18"/>
        </w:rPr>
        <w:t> </w:t>
      </w:r>
      <w:r>
        <w:rPr>
          <w:sz w:val="18"/>
        </w:rPr>
        <w:t>sobre la evolución económica y financiera son elementos esenciales para la toma de decisiones acertadas y el buen funcionamiento de una economía. El FMI ha adoptado una serie de medidas que aseguran el suministro a todo el mundo en tiempo real de información útil y precisa sobre su propia función en la economía mundial y sobre las economías de los países miembros” (Ficha técnica 31-03- 2014. Transparencia en el</w:t>
      </w:r>
      <w:r>
        <w:rPr>
          <w:spacing w:val="-17"/>
          <w:sz w:val="18"/>
        </w:rPr>
        <w:t> </w:t>
      </w:r>
      <w:r>
        <w:rPr>
          <w:sz w:val="18"/>
        </w:rPr>
        <w:t>FMI).</w:t>
      </w:r>
    </w:p>
    <w:p>
      <w:pPr>
        <w:pStyle w:val="BodyText"/>
        <w:rPr>
          <w:sz w:val="18"/>
        </w:rPr>
      </w:pPr>
    </w:p>
    <w:p>
      <w:pPr>
        <w:pStyle w:val="BodyText"/>
        <w:rPr>
          <w:sz w:val="18"/>
        </w:rPr>
      </w:pPr>
    </w:p>
    <w:p>
      <w:pPr>
        <w:pStyle w:val="BodyText"/>
        <w:rPr>
          <w:sz w:val="18"/>
        </w:rPr>
      </w:pPr>
    </w:p>
    <w:p>
      <w:pPr>
        <w:pStyle w:val="BodyText"/>
        <w:spacing w:line="360" w:lineRule="auto" w:before="114"/>
        <w:ind w:left="102" w:right="116"/>
        <w:jc w:val="both"/>
      </w:pPr>
      <w:r>
        <w:rPr/>
        <w:t>Esta política sugiere que la transparencia permite un mejor funcionamiento de las economías</w:t>
      </w:r>
      <w:r>
        <w:rPr>
          <w:spacing w:val="-6"/>
        </w:rPr>
        <w:t> </w:t>
      </w:r>
      <w:r>
        <w:rPr/>
        <w:t>de</w:t>
      </w:r>
      <w:r>
        <w:rPr>
          <w:spacing w:val="-5"/>
        </w:rPr>
        <w:t> </w:t>
      </w:r>
      <w:r>
        <w:rPr/>
        <w:t>los</w:t>
      </w:r>
      <w:r>
        <w:rPr>
          <w:spacing w:val="-8"/>
        </w:rPr>
        <w:t> </w:t>
      </w:r>
      <w:r>
        <w:rPr/>
        <w:t>países</w:t>
      </w:r>
      <w:r>
        <w:rPr>
          <w:spacing w:val="-6"/>
        </w:rPr>
        <w:t> </w:t>
      </w:r>
      <w:r>
        <w:rPr/>
        <w:t>y</w:t>
      </w:r>
      <w:r>
        <w:rPr>
          <w:spacing w:val="-8"/>
        </w:rPr>
        <w:t> </w:t>
      </w:r>
      <w:r>
        <w:rPr/>
        <w:t>con</w:t>
      </w:r>
      <w:r>
        <w:rPr>
          <w:spacing w:val="-5"/>
        </w:rPr>
        <w:t> </w:t>
      </w:r>
      <w:r>
        <w:rPr/>
        <w:t>ello</w:t>
      </w:r>
      <w:r>
        <w:rPr>
          <w:spacing w:val="-5"/>
        </w:rPr>
        <w:t> </w:t>
      </w:r>
      <w:r>
        <w:rPr/>
        <w:t>se</w:t>
      </w:r>
      <w:r>
        <w:rPr>
          <w:spacing w:val="-5"/>
        </w:rPr>
        <w:t> </w:t>
      </w:r>
      <w:r>
        <w:rPr/>
        <w:t>puede</w:t>
      </w:r>
      <w:r>
        <w:rPr>
          <w:spacing w:val="-7"/>
        </w:rPr>
        <w:t> </w:t>
      </w:r>
      <w:r>
        <w:rPr/>
        <w:t>evitar</w:t>
      </w:r>
      <w:r>
        <w:rPr>
          <w:spacing w:val="-6"/>
        </w:rPr>
        <w:t> </w:t>
      </w:r>
      <w:r>
        <w:rPr/>
        <w:t>las</w:t>
      </w:r>
      <w:r>
        <w:rPr>
          <w:spacing w:val="-5"/>
        </w:rPr>
        <w:t> </w:t>
      </w:r>
      <w:r>
        <w:rPr/>
        <w:t>crisis</w:t>
      </w:r>
      <w:r>
        <w:rPr>
          <w:spacing w:val="-4"/>
        </w:rPr>
        <w:t> </w:t>
      </w:r>
      <w:r>
        <w:rPr/>
        <w:t>financieras</w:t>
      </w:r>
      <w:r>
        <w:rPr>
          <w:spacing w:val="-6"/>
        </w:rPr>
        <w:t> </w:t>
      </w:r>
      <w:r>
        <w:rPr/>
        <w:t>como</w:t>
      </w:r>
      <w:r>
        <w:rPr>
          <w:spacing w:val="-5"/>
        </w:rPr>
        <w:t> </w:t>
      </w:r>
      <w:r>
        <w:rPr/>
        <w:t>la</w:t>
      </w:r>
      <w:r>
        <w:rPr>
          <w:spacing w:val="-8"/>
        </w:rPr>
        <w:t> </w:t>
      </w:r>
      <w:r>
        <w:rPr/>
        <w:t>de México en 1994-1995 y la de los mercados emergentes en 1997-1998, ya que los datos económicos disponibles no eran adecuados debido a que tenían deficiencias fiscales</w:t>
      </w:r>
      <w:r>
        <w:rPr>
          <w:spacing w:val="-9"/>
        </w:rPr>
        <w:t> </w:t>
      </w:r>
      <w:r>
        <w:rPr/>
        <w:t>ocultas</w:t>
      </w:r>
      <w:r>
        <w:rPr>
          <w:spacing w:val="-12"/>
        </w:rPr>
        <w:t> </w:t>
      </w:r>
      <w:r>
        <w:rPr/>
        <w:t>(FMI,</w:t>
      </w:r>
      <w:r>
        <w:rPr>
          <w:spacing w:val="-8"/>
        </w:rPr>
        <w:t> </w:t>
      </w:r>
      <w:r>
        <w:rPr/>
        <w:t>2014).</w:t>
      </w:r>
      <w:r>
        <w:rPr>
          <w:spacing w:val="-12"/>
        </w:rPr>
        <w:t> </w:t>
      </w:r>
      <w:r>
        <w:rPr/>
        <w:t>Asimismo,</w:t>
      </w:r>
      <w:r>
        <w:rPr>
          <w:spacing w:val="-11"/>
        </w:rPr>
        <w:t> </w:t>
      </w:r>
      <w:r>
        <w:rPr/>
        <w:t>el</w:t>
      </w:r>
      <w:r>
        <w:rPr>
          <w:spacing w:val="-12"/>
        </w:rPr>
        <w:t> </w:t>
      </w:r>
      <w:r>
        <w:rPr/>
        <w:t>principio</w:t>
      </w:r>
      <w:r>
        <w:rPr>
          <w:spacing w:val="-9"/>
        </w:rPr>
        <w:t> </w:t>
      </w:r>
      <w:r>
        <w:rPr/>
        <w:t>general</w:t>
      </w:r>
      <w:r>
        <w:rPr>
          <w:spacing w:val="-12"/>
        </w:rPr>
        <w:t> </w:t>
      </w:r>
      <w:r>
        <w:rPr/>
        <w:t>en</w:t>
      </w:r>
      <w:r>
        <w:rPr>
          <w:spacing w:val="-11"/>
        </w:rPr>
        <w:t> </w:t>
      </w:r>
      <w:r>
        <w:rPr/>
        <w:t>el</w:t>
      </w:r>
      <w:r>
        <w:rPr>
          <w:spacing w:val="-10"/>
        </w:rPr>
        <w:t> </w:t>
      </w:r>
      <w:r>
        <w:rPr/>
        <w:t>que</w:t>
      </w:r>
      <w:r>
        <w:rPr>
          <w:spacing w:val="-13"/>
        </w:rPr>
        <w:t> </w:t>
      </w:r>
      <w:r>
        <w:rPr/>
        <w:t>se</w:t>
      </w:r>
      <w:r>
        <w:rPr>
          <w:spacing w:val="-8"/>
        </w:rPr>
        <w:t> </w:t>
      </w:r>
      <w:r>
        <w:rPr/>
        <w:t>basa</w:t>
      </w:r>
      <w:r>
        <w:rPr>
          <w:spacing w:val="-11"/>
        </w:rPr>
        <w:t> </w:t>
      </w:r>
      <w:r>
        <w:rPr/>
        <w:t>el</w:t>
      </w:r>
      <w:r>
        <w:rPr>
          <w:spacing w:val="-10"/>
        </w:rPr>
        <w:t> </w:t>
      </w:r>
      <w:r>
        <w:rPr/>
        <w:t>FMI con</w:t>
      </w:r>
      <w:r>
        <w:rPr>
          <w:spacing w:val="-15"/>
        </w:rPr>
        <w:t> </w:t>
      </w:r>
      <w:r>
        <w:rPr/>
        <w:t>respecto</w:t>
      </w:r>
      <w:r>
        <w:rPr>
          <w:spacing w:val="-18"/>
        </w:rPr>
        <w:t> </w:t>
      </w:r>
      <w:r>
        <w:rPr/>
        <w:t>a</w:t>
      </w:r>
      <w:r>
        <w:rPr>
          <w:spacing w:val="-15"/>
        </w:rPr>
        <w:t> </w:t>
      </w:r>
      <w:r>
        <w:rPr/>
        <w:t>la</w:t>
      </w:r>
      <w:r>
        <w:rPr>
          <w:spacing w:val="-18"/>
        </w:rPr>
        <w:t> </w:t>
      </w:r>
      <w:r>
        <w:rPr/>
        <w:t>transparencia</w:t>
      </w:r>
      <w:r>
        <w:rPr>
          <w:spacing w:val="-18"/>
        </w:rPr>
        <w:t> </w:t>
      </w:r>
      <w:r>
        <w:rPr/>
        <w:t>es</w:t>
      </w:r>
      <w:r>
        <w:rPr>
          <w:spacing w:val="-18"/>
        </w:rPr>
        <w:t> </w:t>
      </w:r>
      <w:r>
        <w:rPr/>
        <w:t>que</w:t>
      </w:r>
      <w:r>
        <w:rPr>
          <w:spacing w:val="-18"/>
        </w:rPr>
        <w:t> </w:t>
      </w:r>
      <w:r>
        <w:rPr/>
        <w:t>procurará</w:t>
      </w:r>
      <w:r>
        <w:rPr>
          <w:spacing w:val="-16"/>
        </w:rPr>
        <w:t> </w:t>
      </w:r>
      <w:r>
        <w:rPr/>
        <w:t>divulgar</w:t>
      </w:r>
      <w:r>
        <w:rPr>
          <w:spacing w:val="-17"/>
        </w:rPr>
        <w:t> </w:t>
      </w:r>
      <w:r>
        <w:rPr/>
        <w:t>puntualmente</w:t>
      </w:r>
      <w:r>
        <w:rPr>
          <w:spacing w:val="-15"/>
        </w:rPr>
        <w:t> </w:t>
      </w:r>
      <w:r>
        <w:rPr/>
        <w:t>información y</w:t>
      </w:r>
      <w:r>
        <w:rPr>
          <w:spacing w:val="-9"/>
        </w:rPr>
        <w:t> </w:t>
      </w:r>
      <w:r>
        <w:rPr/>
        <w:t>documentos</w:t>
      </w:r>
      <w:r>
        <w:rPr>
          <w:spacing w:val="-7"/>
        </w:rPr>
        <w:t> </w:t>
      </w:r>
      <w:r>
        <w:rPr/>
        <w:t>a</w:t>
      </w:r>
      <w:r>
        <w:rPr>
          <w:spacing w:val="-8"/>
        </w:rPr>
        <w:t> </w:t>
      </w:r>
      <w:r>
        <w:rPr/>
        <w:t>menos</w:t>
      </w:r>
      <w:r>
        <w:rPr>
          <w:spacing w:val="-7"/>
        </w:rPr>
        <w:t> </w:t>
      </w:r>
      <w:r>
        <w:rPr/>
        <w:t>que</w:t>
      </w:r>
      <w:r>
        <w:rPr>
          <w:spacing w:val="-6"/>
        </w:rPr>
        <w:t> </w:t>
      </w:r>
      <w:r>
        <w:rPr/>
        <w:t>existan</w:t>
      </w:r>
      <w:r>
        <w:rPr>
          <w:spacing w:val="-6"/>
        </w:rPr>
        <w:t> </w:t>
      </w:r>
      <w:r>
        <w:rPr/>
        <w:t>razones</w:t>
      </w:r>
      <w:r>
        <w:rPr>
          <w:spacing w:val="-7"/>
        </w:rPr>
        <w:t> </w:t>
      </w:r>
      <w:r>
        <w:rPr/>
        <w:t>poderosas</w:t>
      </w:r>
      <w:r>
        <w:rPr>
          <w:spacing w:val="-7"/>
        </w:rPr>
        <w:t> </w:t>
      </w:r>
      <w:r>
        <w:rPr/>
        <w:t>y</w:t>
      </w:r>
      <w:r>
        <w:rPr>
          <w:spacing w:val="-9"/>
        </w:rPr>
        <w:t> </w:t>
      </w:r>
      <w:r>
        <w:rPr/>
        <w:t>específicas</w:t>
      </w:r>
      <w:r>
        <w:rPr>
          <w:spacing w:val="-7"/>
        </w:rPr>
        <w:t> </w:t>
      </w:r>
      <w:r>
        <w:rPr/>
        <w:t>por</w:t>
      </w:r>
      <w:r>
        <w:rPr>
          <w:spacing w:val="-7"/>
        </w:rPr>
        <w:t> </w:t>
      </w:r>
      <w:r>
        <w:rPr/>
        <w:t>las</w:t>
      </w:r>
      <w:r>
        <w:rPr>
          <w:spacing w:val="-6"/>
        </w:rPr>
        <w:t> </w:t>
      </w:r>
      <w:r>
        <w:rPr/>
        <w:t>cuales</w:t>
      </w:r>
    </w:p>
    <w:p>
      <w:pPr>
        <w:spacing w:after="0" w:line="360" w:lineRule="auto"/>
        <w:jc w:val="both"/>
        <w:sectPr>
          <w:pgSz w:w="12240" w:h="15840"/>
          <w:pgMar w:header="0" w:footer="1035" w:top="1360" w:bottom="1220" w:left="1600" w:right="1580"/>
        </w:sectPr>
      </w:pPr>
    </w:p>
    <w:p>
      <w:pPr>
        <w:pStyle w:val="BodyText"/>
        <w:spacing w:line="360" w:lineRule="auto" w:before="54"/>
        <w:ind w:left="102" w:right="119"/>
        <w:jc w:val="both"/>
      </w:pPr>
      <w:r>
        <w:rPr/>
        <w:t>no deberían publicarse (FMI, 2014b). Para el mejor desarrollo de la política de transparencia fiscal el FMI estableció el Código de Buenas Prácticas de Transparencia Fiscal (CBPTF), el cual fue revisado en el año de 2007 y en su apartado III establece lo siguiente:</w:t>
      </w:r>
    </w:p>
    <w:p>
      <w:pPr>
        <w:pStyle w:val="BodyText"/>
      </w:pPr>
    </w:p>
    <w:p>
      <w:pPr>
        <w:pStyle w:val="BodyText"/>
      </w:pPr>
    </w:p>
    <w:p>
      <w:pPr>
        <w:pStyle w:val="ListParagraph"/>
        <w:numPr>
          <w:ilvl w:val="0"/>
          <w:numId w:val="32"/>
        </w:numPr>
        <w:tabs>
          <w:tab w:pos="529" w:val="left" w:leader="none"/>
          <w:tab w:pos="530" w:val="left" w:leader="none"/>
        </w:tabs>
        <w:spacing w:line="273" w:lineRule="auto" w:before="183" w:after="0"/>
        <w:ind w:left="529" w:right="118" w:hanging="360"/>
        <w:jc w:val="left"/>
        <w:rPr>
          <w:rFonts w:ascii="Symbol" w:hAnsi="Symbol"/>
          <w:sz w:val="24"/>
        </w:rPr>
      </w:pPr>
      <w:r>
        <w:rPr>
          <w:sz w:val="24"/>
        </w:rPr>
        <w:t>Deberá proporcionarse al público información completa sobre las operaciones fiscales pasadas, actuales y futuras, y sobre los principales riesgos</w:t>
      </w:r>
      <w:r>
        <w:rPr>
          <w:spacing w:val="-23"/>
          <w:sz w:val="24"/>
        </w:rPr>
        <w:t> </w:t>
      </w:r>
      <w:r>
        <w:rPr>
          <w:sz w:val="24"/>
        </w:rPr>
        <w:t>fiscales.</w:t>
      </w:r>
    </w:p>
    <w:p>
      <w:pPr>
        <w:pStyle w:val="ListParagraph"/>
        <w:numPr>
          <w:ilvl w:val="0"/>
          <w:numId w:val="32"/>
        </w:numPr>
        <w:tabs>
          <w:tab w:pos="529" w:val="left" w:leader="none"/>
          <w:tab w:pos="530" w:val="left" w:leader="none"/>
        </w:tabs>
        <w:spacing w:line="273" w:lineRule="auto" w:before="1" w:after="0"/>
        <w:ind w:left="529" w:right="127" w:hanging="360"/>
        <w:jc w:val="left"/>
        <w:rPr>
          <w:rFonts w:ascii="Symbol" w:hAnsi="Symbol"/>
          <w:sz w:val="24"/>
        </w:rPr>
      </w:pPr>
      <w:r>
        <w:rPr>
          <w:sz w:val="24"/>
        </w:rPr>
        <w:t>La información fiscal deberá presentarse de manera que facilite el análisis de las políticas y que estimule la rendición de</w:t>
      </w:r>
      <w:r>
        <w:rPr>
          <w:spacing w:val="-20"/>
          <w:sz w:val="24"/>
        </w:rPr>
        <w:t> </w:t>
      </w:r>
      <w:r>
        <w:rPr>
          <w:sz w:val="24"/>
        </w:rPr>
        <w:t>cuentas.</w:t>
      </w:r>
    </w:p>
    <w:p>
      <w:pPr>
        <w:pStyle w:val="ListParagraph"/>
        <w:numPr>
          <w:ilvl w:val="0"/>
          <w:numId w:val="32"/>
        </w:numPr>
        <w:tabs>
          <w:tab w:pos="529" w:val="left" w:leader="none"/>
          <w:tab w:pos="530" w:val="left" w:leader="none"/>
        </w:tabs>
        <w:spacing w:line="273" w:lineRule="auto" w:before="4" w:after="0"/>
        <w:ind w:left="529" w:right="125" w:hanging="360"/>
        <w:jc w:val="left"/>
        <w:rPr>
          <w:rFonts w:ascii="Symbol" w:hAnsi="Symbol"/>
          <w:sz w:val="24"/>
        </w:rPr>
      </w:pPr>
      <w:r>
        <w:rPr>
          <w:sz w:val="24"/>
        </w:rPr>
        <w:t>Deberá contraerse el compromiso de divulgar puntualmente información sobre las finanzas públicas (CBPTF,</w:t>
      </w:r>
      <w:r>
        <w:rPr>
          <w:spacing w:val="-9"/>
          <w:sz w:val="24"/>
        </w:rPr>
        <w:t> </w:t>
      </w:r>
      <w:r>
        <w:rPr>
          <w:sz w:val="24"/>
        </w:rPr>
        <w:t>2007).</w:t>
      </w:r>
    </w:p>
    <w:p>
      <w:pPr>
        <w:pStyle w:val="BodyText"/>
      </w:pPr>
    </w:p>
    <w:p>
      <w:pPr>
        <w:pStyle w:val="BodyText"/>
        <w:spacing w:before="1"/>
        <w:rPr>
          <w:sz w:val="26"/>
        </w:rPr>
      </w:pPr>
    </w:p>
    <w:p>
      <w:pPr>
        <w:pStyle w:val="BodyText"/>
        <w:spacing w:line="360" w:lineRule="auto" w:before="1"/>
        <w:ind w:left="102" w:right="115"/>
        <w:jc w:val="both"/>
      </w:pPr>
      <w:r>
        <w:rPr/>
        <w:t>Asimismo, dado que la transparencia promueve la operación ordenada y eficiente de los mercados financieros ya que mantiene mejor informados a los participantes (FMI,</w:t>
      </w:r>
      <w:r>
        <w:rPr>
          <w:spacing w:val="-8"/>
        </w:rPr>
        <w:t> </w:t>
      </w:r>
      <w:r>
        <w:rPr/>
        <w:t>2001);</w:t>
      </w:r>
      <w:r>
        <w:rPr>
          <w:spacing w:val="-9"/>
        </w:rPr>
        <w:t> </w:t>
      </w:r>
      <w:r>
        <w:rPr/>
        <w:t>el</w:t>
      </w:r>
      <w:r>
        <w:rPr>
          <w:spacing w:val="-10"/>
        </w:rPr>
        <w:t> </w:t>
      </w:r>
      <w:r>
        <w:rPr/>
        <w:t>FMI</w:t>
      </w:r>
      <w:r>
        <w:rPr>
          <w:spacing w:val="-9"/>
        </w:rPr>
        <w:t> </w:t>
      </w:r>
      <w:r>
        <w:rPr/>
        <w:t>estableció</w:t>
      </w:r>
      <w:r>
        <w:rPr>
          <w:spacing w:val="-8"/>
        </w:rPr>
        <w:t> </w:t>
      </w:r>
      <w:r>
        <w:rPr/>
        <w:t>Normas</w:t>
      </w:r>
      <w:r>
        <w:rPr>
          <w:spacing w:val="-9"/>
        </w:rPr>
        <w:t> </w:t>
      </w:r>
      <w:r>
        <w:rPr/>
        <w:t>Especiales</w:t>
      </w:r>
      <w:r>
        <w:rPr>
          <w:spacing w:val="-9"/>
        </w:rPr>
        <w:t> </w:t>
      </w:r>
      <w:r>
        <w:rPr/>
        <w:t>para</w:t>
      </w:r>
      <w:r>
        <w:rPr>
          <w:spacing w:val="-9"/>
        </w:rPr>
        <w:t> </w:t>
      </w:r>
      <w:r>
        <w:rPr/>
        <w:t>la</w:t>
      </w:r>
      <w:r>
        <w:rPr>
          <w:spacing w:val="-9"/>
        </w:rPr>
        <w:t> </w:t>
      </w:r>
      <w:r>
        <w:rPr/>
        <w:t>Divulgación</w:t>
      </w:r>
      <w:r>
        <w:rPr>
          <w:spacing w:val="-8"/>
        </w:rPr>
        <w:t> </w:t>
      </w:r>
      <w:r>
        <w:rPr/>
        <w:t>de</w:t>
      </w:r>
      <w:r>
        <w:rPr>
          <w:spacing w:val="-8"/>
        </w:rPr>
        <w:t> </w:t>
      </w:r>
      <w:r>
        <w:rPr/>
        <w:t>Datos</w:t>
      </w:r>
      <w:r>
        <w:rPr>
          <w:spacing w:val="-9"/>
        </w:rPr>
        <w:t> </w:t>
      </w:r>
      <w:r>
        <w:rPr/>
        <w:t>con el</w:t>
      </w:r>
      <w:r>
        <w:rPr>
          <w:spacing w:val="-10"/>
        </w:rPr>
        <w:t> </w:t>
      </w:r>
      <w:r>
        <w:rPr/>
        <w:t>que</w:t>
      </w:r>
      <w:r>
        <w:rPr>
          <w:spacing w:val="-8"/>
        </w:rPr>
        <w:t> </w:t>
      </w:r>
      <w:r>
        <w:rPr/>
        <w:t>los</w:t>
      </w:r>
      <w:r>
        <w:rPr>
          <w:spacing w:val="-9"/>
        </w:rPr>
        <w:t> </w:t>
      </w:r>
      <w:r>
        <w:rPr/>
        <w:t>países</w:t>
      </w:r>
      <w:r>
        <w:rPr>
          <w:spacing w:val="-9"/>
        </w:rPr>
        <w:t> </w:t>
      </w:r>
      <w:r>
        <w:rPr/>
        <w:t>mejoraron</w:t>
      </w:r>
      <w:r>
        <w:rPr>
          <w:spacing w:val="-8"/>
        </w:rPr>
        <w:t> </w:t>
      </w:r>
      <w:r>
        <w:rPr/>
        <w:t>entre</w:t>
      </w:r>
      <w:r>
        <w:rPr>
          <w:spacing w:val="-11"/>
        </w:rPr>
        <w:t> </w:t>
      </w:r>
      <w:r>
        <w:rPr/>
        <w:t>4%</w:t>
      </w:r>
      <w:r>
        <w:rPr>
          <w:spacing w:val="-9"/>
        </w:rPr>
        <w:t> </w:t>
      </w:r>
      <w:r>
        <w:rPr/>
        <w:t>y</w:t>
      </w:r>
      <w:r>
        <w:rPr>
          <w:spacing w:val="-12"/>
        </w:rPr>
        <w:t> </w:t>
      </w:r>
      <w:r>
        <w:rPr/>
        <w:t>12%</w:t>
      </w:r>
      <w:r>
        <w:rPr>
          <w:spacing w:val="-9"/>
        </w:rPr>
        <w:t> </w:t>
      </w:r>
      <w:r>
        <w:rPr/>
        <w:t>en</w:t>
      </w:r>
      <w:r>
        <w:rPr>
          <w:spacing w:val="-8"/>
        </w:rPr>
        <w:t> </w:t>
      </w:r>
      <w:r>
        <w:rPr/>
        <w:t>relación</w:t>
      </w:r>
      <w:r>
        <w:rPr>
          <w:spacing w:val="-10"/>
        </w:rPr>
        <w:t> </w:t>
      </w:r>
      <w:r>
        <w:rPr/>
        <w:t>a</w:t>
      </w:r>
      <w:r>
        <w:rPr>
          <w:spacing w:val="-8"/>
        </w:rPr>
        <w:t> </w:t>
      </w:r>
      <w:r>
        <w:rPr/>
        <w:t>países</w:t>
      </w:r>
      <w:r>
        <w:rPr>
          <w:spacing w:val="-9"/>
        </w:rPr>
        <w:t> </w:t>
      </w:r>
      <w:r>
        <w:rPr/>
        <w:t>que</w:t>
      </w:r>
      <w:r>
        <w:rPr>
          <w:spacing w:val="-11"/>
        </w:rPr>
        <w:t> </w:t>
      </w:r>
      <w:r>
        <w:rPr/>
        <w:t>no</w:t>
      </w:r>
      <w:r>
        <w:rPr>
          <w:spacing w:val="-8"/>
        </w:rPr>
        <w:t> </w:t>
      </w:r>
      <w:r>
        <w:rPr/>
        <w:t>lo</w:t>
      </w:r>
      <w:r>
        <w:rPr>
          <w:spacing w:val="-11"/>
        </w:rPr>
        <w:t> </w:t>
      </w:r>
      <w:r>
        <w:rPr/>
        <w:t>hicieron, creo</w:t>
      </w:r>
      <w:r>
        <w:rPr>
          <w:spacing w:val="-9"/>
        </w:rPr>
        <w:t> </w:t>
      </w:r>
      <w:r>
        <w:rPr/>
        <w:t>un</w:t>
      </w:r>
      <w:r>
        <w:rPr>
          <w:spacing w:val="-9"/>
        </w:rPr>
        <w:t> </w:t>
      </w:r>
      <w:r>
        <w:rPr/>
        <w:t>Sistema</w:t>
      </w:r>
      <w:r>
        <w:rPr>
          <w:spacing w:val="-9"/>
        </w:rPr>
        <w:t> </w:t>
      </w:r>
      <w:r>
        <w:rPr/>
        <w:t>General</w:t>
      </w:r>
      <w:r>
        <w:rPr>
          <w:spacing w:val="-10"/>
        </w:rPr>
        <w:t> </w:t>
      </w:r>
      <w:r>
        <w:rPr/>
        <w:t>de</w:t>
      </w:r>
      <w:r>
        <w:rPr>
          <w:spacing w:val="-12"/>
        </w:rPr>
        <w:t> </w:t>
      </w:r>
      <w:r>
        <w:rPr/>
        <w:t>Divulgación</w:t>
      </w:r>
      <w:r>
        <w:rPr>
          <w:spacing w:val="-9"/>
        </w:rPr>
        <w:t> </w:t>
      </w:r>
      <w:r>
        <w:rPr/>
        <w:t>de</w:t>
      </w:r>
      <w:r>
        <w:rPr>
          <w:spacing w:val="-9"/>
        </w:rPr>
        <w:t> </w:t>
      </w:r>
      <w:r>
        <w:rPr/>
        <w:t>Datos</w:t>
      </w:r>
      <w:r>
        <w:rPr>
          <w:spacing w:val="-10"/>
        </w:rPr>
        <w:t> </w:t>
      </w:r>
      <w:r>
        <w:rPr/>
        <w:t>y</w:t>
      </w:r>
      <w:r>
        <w:rPr>
          <w:spacing w:val="-13"/>
        </w:rPr>
        <w:t> </w:t>
      </w:r>
      <w:r>
        <w:rPr/>
        <w:t>un</w:t>
      </w:r>
      <w:r>
        <w:rPr>
          <w:spacing w:val="-9"/>
        </w:rPr>
        <w:t> </w:t>
      </w:r>
      <w:r>
        <w:rPr/>
        <w:t>sitio</w:t>
      </w:r>
      <w:r>
        <w:rPr>
          <w:spacing w:val="-10"/>
        </w:rPr>
        <w:t> </w:t>
      </w:r>
      <w:r>
        <w:rPr/>
        <w:t>web</w:t>
      </w:r>
      <w:r>
        <w:rPr>
          <w:spacing w:val="-9"/>
        </w:rPr>
        <w:t> </w:t>
      </w:r>
      <w:r>
        <w:rPr/>
        <w:t>(www.fmi.org)</w:t>
      </w:r>
      <w:r>
        <w:rPr>
          <w:spacing w:val="-11"/>
        </w:rPr>
        <w:t> </w:t>
      </w:r>
      <w:r>
        <w:rPr/>
        <w:t>para divulgación de información financiera de los países integrantes del FMI (FMI, 2001 y FMI, 2004). A través de estas medidas de transparencia, el FMI busca evitar que la corrupción siga afectando a los más pobres debido a las grandes cantidades de dinero de los fondos públicos que están siendo desperdiciadas y robadas por funcionarios públicos (FMI, 2001 y FMI, 2001b). Para dar seguimiento a estas acciones creo una Oficina de Evaluación y solicitó evaluaciones externas (FMI, 2001). Por ello la transparencia se ha convertido en uno de los aspectos clave del FMI:</w:t>
      </w:r>
    </w:p>
    <w:p>
      <w:pPr>
        <w:pStyle w:val="BodyText"/>
      </w:pPr>
    </w:p>
    <w:p>
      <w:pPr>
        <w:pStyle w:val="BodyText"/>
      </w:pPr>
    </w:p>
    <w:p>
      <w:pPr>
        <w:spacing w:line="240" w:lineRule="auto" w:before="187"/>
        <w:ind w:left="1234" w:right="1303" w:firstLine="0"/>
        <w:jc w:val="both"/>
        <w:rPr>
          <w:sz w:val="18"/>
        </w:rPr>
      </w:pPr>
      <w:r>
        <w:rPr>
          <w:sz w:val="18"/>
        </w:rPr>
        <w:t>“De todos los cambios que tuvieron lugar en el FMI en los últimos años, el más significativo es el aumento de la transparencia en ambos sentidos entre el FMI y el mundo exterior. La transparencia no solo hace que los ciudadanos y los inversionistas estén mejor informados, sino que también alienta a las autoridades a fortalecer sus políticas y sus instituciones” (FMI, 2001:199).</w:t>
      </w:r>
    </w:p>
    <w:p>
      <w:pPr>
        <w:spacing w:after="0" w:line="240" w:lineRule="auto"/>
        <w:jc w:val="both"/>
        <w:rPr>
          <w:sz w:val="18"/>
        </w:rPr>
        <w:sectPr>
          <w:pgSz w:w="12240" w:h="15840"/>
          <w:pgMar w:header="0" w:footer="1035" w:top="1360" w:bottom="1220" w:left="1600" w:right="1580"/>
        </w:sectPr>
      </w:pPr>
    </w:p>
    <w:p>
      <w:pPr>
        <w:pStyle w:val="BodyText"/>
        <w:spacing w:line="360" w:lineRule="auto" w:before="54"/>
        <w:ind w:left="102" w:right="115"/>
        <w:jc w:val="both"/>
      </w:pPr>
      <w:r>
        <w:rPr/>
        <w:t>El nuevo índice muestra el círculo vicioso de pobreza y corrupción “Las personas más pobres del mundo son las mayores víctimas de la corrupción (…) Enormes sumas de los fondos públicos están siendo desperdiciadas y robadas por funcionarios públicos” (Eigen, 2001:240).</w:t>
      </w:r>
    </w:p>
    <w:p>
      <w:pPr>
        <w:pStyle w:val="BodyText"/>
      </w:pPr>
    </w:p>
    <w:p>
      <w:pPr>
        <w:pStyle w:val="BodyText"/>
      </w:pPr>
    </w:p>
    <w:p>
      <w:pPr>
        <w:spacing w:line="240" w:lineRule="auto" w:before="186"/>
        <w:ind w:left="1234" w:right="1298" w:firstLine="0"/>
        <w:jc w:val="both"/>
        <w:rPr>
          <w:sz w:val="18"/>
        </w:rPr>
      </w:pPr>
      <w:r>
        <w:rPr>
          <w:sz w:val="18"/>
        </w:rPr>
        <w:t>“Transparencia.</w:t>
      </w:r>
      <w:r>
        <w:rPr>
          <w:spacing w:val="-5"/>
          <w:sz w:val="18"/>
        </w:rPr>
        <w:t> </w:t>
      </w:r>
      <w:r>
        <w:rPr>
          <w:sz w:val="18"/>
        </w:rPr>
        <w:t>Además</w:t>
      </w:r>
      <w:r>
        <w:rPr>
          <w:spacing w:val="-7"/>
          <w:sz w:val="18"/>
        </w:rPr>
        <w:t> </w:t>
      </w:r>
      <w:r>
        <w:rPr>
          <w:sz w:val="18"/>
        </w:rPr>
        <w:t>de</w:t>
      </w:r>
      <w:r>
        <w:rPr>
          <w:spacing w:val="-7"/>
          <w:sz w:val="18"/>
        </w:rPr>
        <w:t> </w:t>
      </w:r>
      <w:r>
        <w:rPr>
          <w:sz w:val="18"/>
        </w:rPr>
        <w:t>publicar</w:t>
      </w:r>
      <w:r>
        <w:rPr>
          <w:spacing w:val="-8"/>
          <w:sz w:val="18"/>
        </w:rPr>
        <w:t> </w:t>
      </w:r>
      <w:r>
        <w:rPr>
          <w:sz w:val="18"/>
        </w:rPr>
        <w:t>más</w:t>
      </w:r>
      <w:r>
        <w:rPr>
          <w:spacing w:val="-4"/>
          <w:sz w:val="18"/>
        </w:rPr>
        <w:t> </w:t>
      </w:r>
      <w:r>
        <w:rPr>
          <w:sz w:val="18"/>
        </w:rPr>
        <w:t>informes</w:t>
      </w:r>
      <w:r>
        <w:rPr>
          <w:spacing w:val="-7"/>
          <w:sz w:val="18"/>
        </w:rPr>
        <w:t> </w:t>
      </w:r>
      <w:r>
        <w:rPr>
          <w:sz w:val="18"/>
        </w:rPr>
        <w:t>y</w:t>
      </w:r>
      <w:r>
        <w:rPr>
          <w:spacing w:val="-7"/>
          <w:sz w:val="18"/>
        </w:rPr>
        <w:t> </w:t>
      </w:r>
      <w:r>
        <w:rPr>
          <w:sz w:val="18"/>
        </w:rPr>
        <w:t>datos</w:t>
      </w:r>
      <w:r>
        <w:rPr>
          <w:spacing w:val="-7"/>
          <w:sz w:val="18"/>
        </w:rPr>
        <w:t> </w:t>
      </w:r>
      <w:r>
        <w:rPr>
          <w:sz w:val="18"/>
        </w:rPr>
        <w:t>internos,</w:t>
      </w:r>
      <w:r>
        <w:rPr>
          <w:spacing w:val="-1"/>
          <w:sz w:val="18"/>
        </w:rPr>
        <w:t> </w:t>
      </w:r>
      <w:r>
        <w:rPr>
          <w:sz w:val="18"/>
        </w:rPr>
        <w:t>el</w:t>
      </w:r>
      <w:r>
        <w:rPr>
          <w:spacing w:val="-7"/>
          <w:sz w:val="18"/>
        </w:rPr>
        <w:t> </w:t>
      </w:r>
      <w:r>
        <w:rPr>
          <w:sz w:val="18"/>
        </w:rPr>
        <w:t>FMI</w:t>
      </w:r>
      <w:r>
        <w:rPr>
          <w:spacing w:val="-5"/>
          <w:sz w:val="18"/>
        </w:rPr>
        <w:t> </w:t>
      </w:r>
      <w:r>
        <w:rPr>
          <w:sz w:val="18"/>
        </w:rPr>
        <w:t>solicitó comentarios</w:t>
      </w:r>
      <w:r>
        <w:rPr>
          <w:spacing w:val="-15"/>
          <w:sz w:val="18"/>
        </w:rPr>
        <w:t> </w:t>
      </w:r>
      <w:r>
        <w:rPr>
          <w:sz w:val="18"/>
        </w:rPr>
        <w:t>externos</w:t>
      </w:r>
      <w:r>
        <w:rPr>
          <w:spacing w:val="-13"/>
          <w:sz w:val="18"/>
        </w:rPr>
        <w:t> </w:t>
      </w:r>
      <w:r>
        <w:rPr>
          <w:sz w:val="18"/>
        </w:rPr>
        <w:t>sobre</w:t>
      </w:r>
      <w:r>
        <w:rPr>
          <w:spacing w:val="-13"/>
          <w:sz w:val="18"/>
        </w:rPr>
        <w:t> </w:t>
      </w:r>
      <w:r>
        <w:rPr>
          <w:sz w:val="18"/>
        </w:rPr>
        <w:t>varias</w:t>
      </w:r>
      <w:r>
        <w:rPr>
          <w:spacing w:val="-13"/>
          <w:sz w:val="18"/>
        </w:rPr>
        <w:t> </w:t>
      </w:r>
      <w:r>
        <w:rPr>
          <w:sz w:val="18"/>
        </w:rPr>
        <w:t>iniciativas</w:t>
      </w:r>
      <w:r>
        <w:rPr>
          <w:spacing w:val="-13"/>
          <w:sz w:val="18"/>
        </w:rPr>
        <w:t> </w:t>
      </w:r>
      <w:r>
        <w:rPr>
          <w:sz w:val="18"/>
        </w:rPr>
        <w:t>de</w:t>
      </w:r>
      <w:r>
        <w:rPr>
          <w:spacing w:val="-13"/>
          <w:sz w:val="18"/>
        </w:rPr>
        <w:t> </w:t>
      </w:r>
      <w:r>
        <w:rPr>
          <w:sz w:val="18"/>
        </w:rPr>
        <w:t>envergadura</w:t>
      </w:r>
      <w:r>
        <w:rPr>
          <w:spacing w:val="-16"/>
          <w:sz w:val="18"/>
        </w:rPr>
        <w:t> </w:t>
      </w:r>
      <w:r>
        <w:rPr>
          <w:sz w:val="18"/>
        </w:rPr>
        <w:t>(especialmente</w:t>
      </w:r>
      <w:r>
        <w:rPr>
          <w:spacing w:val="-15"/>
          <w:sz w:val="18"/>
        </w:rPr>
        <w:t> </w:t>
      </w:r>
      <w:r>
        <w:rPr>
          <w:sz w:val="18"/>
        </w:rPr>
        <w:t>la</w:t>
      </w:r>
      <w:r>
        <w:rPr>
          <w:spacing w:val="-13"/>
          <w:sz w:val="18"/>
        </w:rPr>
        <w:t> </w:t>
      </w:r>
      <w:r>
        <w:rPr>
          <w:sz w:val="18"/>
        </w:rPr>
        <w:t>de racionalización de la condicionalidad) y creó una Oficina de Evaluación independiente que se encargará de preparar evaluaciones y exámenes objetivos de las labores operativas” (FMI,</w:t>
      </w:r>
      <w:r>
        <w:rPr>
          <w:spacing w:val="-12"/>
          <w:sz w:val="18"/>
        </w:rPr>
        <w:t> </w:t>
      </w:r>
      <w:r>
        <w:rPr>
          <w:sz w:val="18"/>
        </w:rPr>
        <w:t>2001).</w:t>
      </w:r>
    </w:p>
    <w:p>
      <w:pPr>
        <w:pStyle w:val="BodyText"/>
        <w:rPr>
          <w:sz w:val="18"/>
        </w:rPr>
      </w:pPr>
    </w:p>
    <w:p>
      <w:pPr>
        <w:pStyle w:val="BodyText"/>
        <w:rPr>
          <w:sz w:val="18"/>
        </w:rPr>
      </w:pPr>
    </w:p>
    <w:p>
      <w:pPr>
        <w:pStyle w:val="BodyText"/>
        <w:rPr>
          <w:sz w:val="18"/>
        </w:rPr>
      </w:pPr>
    </w:p>
    <w:p>
      <w:pPr>
        <w:pStyle w:val="BodyText"/>
        <w:spacing w:line="360" w:lineRule="auto" w:before="114"/>
        <w:ind w:left="102" w:right="115"/>
        <w:jc w:val="both"/>
      </w:pPr>
      <w:r>
        <w:rPr/>
        <w:t>Cabe destacar que el FMI fomenta prácticas de transparencia, como el suministro de información económica a los mercados a efectos de mejorar la situación económica</w:t>
      </w:r>
      <w:r>
        <w:rPr>
          <w:spacing w:val="-14"/>
        </w:rPr>
        <w:t> </w:t>
      </w:r>
      <w:r>
        <w:rPr/>
        <w:t>mundial.</w:t>
      </w:r>
      <w:r>
        <w:rPr>
          <w:spacing w:val="-14"/>
        </w:rPr>
        <w:t> </w:t>
      </w:r>
      <w:r>
        <w:rPr/>
        <w:t>Elaborando</w:t>
      </w:r>
      <w:r>
        <w:rPr>
          <w:spacing w:val="-14"/>
        </w:rPr>
        <w:t> </w:t>
      </w:r>
      <w:r>
        <w:rPr/>
        <w:t>normas</w:t>
      </w:r>
      <w:r>
        <w:rPr>
          <w:spacing w:val="-13"/>
        </w:rPr>
        <w:t> </w:t>
      </w:r>
      <w:r>
        <w:rPr/>
        <w:t>para</w:t>
      </w:r>
      <w:r>
        <w:rPr>
          <w:spacing w:val="-15"/>
        </w:rPr>
        <w:t> </w:t>
      </w:r>
      <w:r>
        <w:rPr/>
        <w:t>orientar</w:t>
      </w:r>
      <w:r>
        <w:rPr>
          <w:spacing w:val="-13"/>
        </w:rPr>
        <w:t> </w:t>
      </w:r>
      <w:r>
        <w:rPr/>
        <w:t>a</w:t>
      </w:r>
      <w:r>
        <w:rPr>
          <w:spacing w:val="-12"/>
        </w:rPr>
        <w:t> </w:t>
      </w:r>
      <w:r>
        <w:rPr/>
        <w:t>los</w:t>
      </w:r>
      <w:r>
        <w:rPr>
          <w:spacing w:val="-13"/>
        </w:rPr>
        <w:t> </w:t>
      </w:r>
      <w:r>
        <w:rPr/>
        <w:t>países</w:t>
      </w:r>
      <w:r>
        <w:rPr>
          <w:spacing w:val="-13"/>
        </w:rPr>
        <w:t> </w:t>
      </w:r>
      <w:r>
        <w:rPr/>
        <w:t>en</w:t>
      </w:r>
      <w:r>
        <w:rPr>
          <w:spacing w:val="-12"/>
        </w:rPr>
        <w:t> </w:t>
      </w:r>
      <w:r>
        <w:rPr/>
        <w:t>la</w:t>
      </w:r>
      <w:r>
        <w:rPr>
          <w:spacing w:val="-4"/>
        </w:rPr>
        <w:t> </w:t>
      </w:r>
      <w:r>
        <w:rPr/>
        <w:t>distribución de datos económicos y financieros al público, como las Normas Especiales para la Divulgación de Datos (NEDD) a las que generalmente se suscriben los países que tienen o procuran acceso a los mercados internacionales de capital, y el Sistema General de Divulgación de Datos (SGDD), que constituye un marco para que otros países mejoren sus procedimientos de compilación y divulgación de datos </w:t>
      </w:r>
      <w:r>
        <w:rPr>
          <w:color w:val="221F1F"/>
        </w:rPr>
        <w:t>(FMI, 2001).</w:t>
      </w:r>
    </w:p>
    <w:p>
      <w:pPr>
        <w:pStyle w:val="BodyText"/>
      </w:pPr>
    </w:p>
    <w:p>
      <w:pPr>
        <w:pStyle w:val="BodyText"/>
      </w:pPr>
    </w:p>
    <w:p>
      <w:pPr>
        <w:spacing w:before="186"/>
        <w:ind w:left="1234" w:right="1300" w:firstLine="0"/>
        <w:jc w:val="both"/>
        <w:rPr>
          <w:sz w:val="18"/>
        </w:rPr>
      </w:pPr>
      <w:r>
        <w:rPr>
          <w:sz w:val="18"/>
        </w:rPr>
        <w:t>“La falta de transparencia fue uno de los factores que desencadenó la crisis mexicana de 1994–95 y las crisis de los mercados emergentes de 1997–98. Los datos económicos no eran adecuados, había deficiencias ocultas en los sistemas financieros, no había claridad en torno a las medidas gubernamentales ni a la formulación</w:t>
      </w:r>
      <w:r>
        <w:rPr>
          <w:spacing w:val="-11"/>
          <w:sz w:val="18"/>
        </w:rPr>
        <w:t> </w:t>
      </w:r>
      <w:r>
        <w:rPr>
          <w:sz w:val="18"/>
        </w:rPr>
        <w:t>de</w:t>
      </w:r>
      <w:r>
        <w:rPr>
          <w:spacing w:val="-11"/>
          <w:sz w:val="18"/>
        </w:rPr>
        <w:t> </w:t>
      </w:r>
      <w:r>
        <w:rPr>
          <w:sz w:val="18"/>
        </w:rPr>
        <w:t>la</w:t>
      </w:r>
      <w:r>
        <w:rPr>
          <w:spacing w:val="-11"/>
          <w:sz w:val="18"/>
        </w:rPr>
        <w:t> </w:t>
      </w:r>
      <w:r>
        <w:rPr>
          <w:sz w:val="18"/>
        </w:rPr>
        <w:t>política</w:t>
      </w:r>
      <w:r>
        <w:rPr>
          <w:spacing w:val="-11"/>
          <w:sz w:val="18"/>
        </w:rPr>
        <w:t> </w:t>
      </w:r>
      <w:r>
        <w:rPr>
          <w:sz w:val="18"/>
        </w:rPr>
        <w:t>económica,</w:t>
      </w:r>
      <w:r>
        <w:rPr>
          <w:spacing w:val="-8"/>
          <w:sz w:val="18"/>
        </w:rPr>
        <w:t> </w:t>
      </w:r>
      <w:r>
        <w:rPr>
          <w:sz w:val="18"/>
        </w:rPr>
        <w:t>todo</w:t>
      </w:r>
      <w:r>
        <w:rPr>
          <w:spacing w:val="-11"/>
          <w:sz w:val="18"/>
        </w:rPr>
        <w:t> </w:t>
      </w:r>
      <w:r>
        <w:rPr>
          <w:sz w:val="18"/>
        </w:rPr>
        <w:t>lo</w:t>
      </w:r>
      <w:r>
        <w:rPr>
          <w:spacing w:val="-9"/>
          <w:sz w:val="18"/>
        </w:rPr>
        <w:t> </w:t>
      </w:r>
      <w:r>
        <w:rPr>
          <w:sz w:val="18"/>
        </w:rPr>
        <w:t>cual</w:t>
      </w:r>
      <w:r>
        <w:rPr>
          <w:spacing w:val="-11"/>
          <w:sz w:val="18"/>
        </w:rPr>
        <w:t> </w:t>
      </w:r>
      <w:r>
        <w:rPr>
          <w:sz w:val="18"/>
        </w:rPr>
        <w:t>suscitó</w:t>
      </w:r>
      <w:r>
        <w:rPr>
          <w:spacing w:val="-11"/>
          <w:sz w:val="18"/>
        </w:rPr>
        <w:t> </w:t>
      </w:r>
      <w:r>
        <w:rPr>
          <w:sz w:val="18"/>
        </w:rPr>
        <w:t>una</w:t>
      </w:r>
      <w:r>
        <w:rPr>
          <w:spacing w:val="-11"/>
          <w:sz w:val="18"/>
        </w:rPr>
        <w:t> </w:t>
      </w:r>
      <w:r>
        <w:rPr>
          <w:sz w:val="18"/>
        </w:rPr>
        <w:t>pérdida</w:t>
      </w:r>
      <w:r>
        <w:rPr>
          <w:spacing w:val="-11"/>
          <w:sz w:val="18"/>
        </w:rPr>
        <w:t> </w:t>
      </w:r>
      <w:r>
        <w:rPr>
          <w:sz w:val="18"/>
        </w:rPr>
        <w:t>de</w:t>
      </w:r>
      <w:r>
        <w:rPr>
          <w:spacing w:val="-11"/>
          <w:sz w:val="18"/>
        </w:rPr>
        <w:t> </w:t>
      </w:r>
      <w:r>
        <w:rPr>
          <w:sz w:val="18"/>
        </w:rPr>
        <w:t>confianza que puso en peligro la estabilidad mundial” (FMI,</w:t>
      </w:r>
      <w:r>
        <w:rPr>
          <w:spacing w:val="-21"/>
          <w:sz w:val="18"/>
        </w:rPr>
        <w:t> </w:t>
      </w:r>
      <w:r>
        <w:rPr>
          <w:sz w:val="18"/>
        </w:rPr>
        <w:t>2001).</w:t>
      </w:r>
    </w:p>
    <w:p>
      <w:pPr>
        <w:pStyle w:val="BodyText"/>
        <w:rPr>
          <w:sz w:val="18"/>
        </w:rPr>
      </w:pPr>
    </w:p>
    <w:p>
      <w:pPr>
        <w:pStyle w:val="BodyText"/>
        <w:rPr>
          <w:sz w:val="18"/>
        </w:rPr>
      </w:pPr>
    </w:p>
    <w:p>
      <w:pPr>
        <w:pStyle w:val="BodyText"/>
        <w:rPr>
          <w:sz w:val="18"/>
        </w:rPr>
      </w:pPr>
    </w:p>
    <w:p>
      <w:pPr>
        <w:pStyle w:val="BodyText"/>
        <w:spacing w:line="360" w:lineRule="auto" w:before="114"/>
        <w:ind w:left="102" w:right="116"/>
        <w:jc w:val="both"/>
      </w:pPr>
      <w:r>
        <w:rPr/>
        <w:t>No cabe duda que de todos los cambios que tuvieron lugar en el FMI a finales del siglo XX e inicios del siglo XXI, el más significativo es el aumento de la transparencia,</w:t>
      </w:r>
      <w:r>
        <w:rPr>
          <w:spacing w:val="-15"/>
        </w:rPr>
        <w:t> </w:t>
      </w:r>
      <w:r>
        <w:rPr/>
        <w:t>porque</w:t>
      </w:r>
      <w:r>
        <w:rPr>
          <w:spacing w:val="-16"/>
        </w:rPr>
        <w:t> </w:t>
      </w:r>
      <w:r>
        <w:rPr/>
        <w:t>ésta</w:t>
      </w:r>
      <w:r>
        <w:rPr>
          <w:spacing w:val="-13"/>
        </w:rPr>
        <w:t> </w:t>
      </w:r>
      <w:r>
        <w:rPr/>
        <w:t>hace</w:t>
      </w:r>
      <w:r>
        <w:rPr>
          <w:spacing w:val="-13"/>
        </w:rPr>
        <w:t> </w:t>
      </w:r>
      <w:r>
        <w:rPr/>
        <w:t>que</w:t>
      </w:r>
      <w:r>
        <w:rPr>
          <w:spacing w:val="-15"/>
        </w:rPr>
        <w:t> </w:t>
      </w:r>
      <w:r>
        <w:rPr/>
        <w:t>los</w:t>
      </w:r>
      <w:r>
        <w:rPr>
          <w:spacing w:val="-16"/>
        </w:rPr>
        <w:t> </w:t>
      </w:r>
      <w:r>
        <w:rPr/>
        <w:t>ciudadanos</w:t>
      </w:r>
      <w:r>
        <w:rPr>
          <w:spacing w:val="-14"/>
        </w:rPr>
        <w:t> </w:t>
      </w:r>
      <w:r>
        <w:rPr/>
        <w:t>y</w:t>
      </w:r>
      <w:r>
        <w:rPr>
          <w:spacing w:val="-16"/>
        </w:rPr>
        <w:t> </w:t>
      </w:r>
      <w:r>
        <w:rPr/>
        <w:t>los</w:t>
      </w:r>
      <w:r>
        <w:rPr>
          <w:spacing w:val="-16"/>
        </w:rPr>
        <w:t> </w:t>
      </w:r>
      <w:r>
        <w:rPr/>
        <w:t>inversionistas</w:t>
      </w:r>
      <w:r>
        <w:rPr>
          <w:spacing w:val="-16"/>
        </w:rPr>
        <w:t> </w:t>
      </w:r>
      <w:r>
        <w:rPr/>
        <w:t>estén</w:t>
      </w:r>
      <w:r>
        <w:rPr>
          <w:spacing w:val="-18"/>
        </w:rPr>
        <w:t> </w:t>
      </w:r>
      <w:r>
        <w:rPr/>
        <w:t>mejor informados,</w:t>
      </w:r>
      <w:r>
        <w:rPr>
          <w:spacing w:val="-12"/>
        </w:rPr>
        <w:t> </w:t>
      </w:r>
      <w:r>
        <w:rPr/>
        <w:t>alentando</w:t>
      </w:r>
      <w:r>
        <w:rPr>
          <w:spacing w:val="-12"/>
        </w:rPr>
        <w:t> </w:t>
      </w:r>
      <w:r>
        <w:rPr/>
        <w:t>a</w:t>
      </w:r>
      <w:r>
        <w:rPr>
          <w:spacing w:val="-11"/>
        </w:rPr>
        <w:t> </w:t>
      </w:r>
      <w:r>
        <w:rPr/>
        <w:t>las</w:t>
      </w:r>
      <w:r>
        <w:rPr>
          <w:spacing w:val="-11"/>
        </w:rPr>
        <w:t> </w:t>
      </w:r>
      <w:r>
        <w:rPr/>
        <w:t>autoridades</w:t>
      </w:r>
      <w:r>
        <w:rPr>
          <w:spacing w:val="-12"/>
        </w:rPr>
        <w:t> </w:t>
      </w:r>
      <w:r>
        <w:rPr/>
        <w:t>a</w:t>
      </w:r>
      <w:r>
        <w:rPr>
          <w:spacing w:val="-13"/>
        </w:rPr>
        <w:t> </w:t>
      </w:r>
      <w:r>
        <w:rPr/>
        <w:t>fortalecer</w:t>
      </w:r>
      <w:r>
        <w:rPr>
          <w:spacing w:val="-12"/>
        </w:rPr>
        <w:t> </w:t>
      </w:r>
      <w:r>
        <w:rPr/>
        <w:t>sus</w:t>
      </w:r>
      <w:r>
        <w:rPr>
          <w:spacing w:val="-12"/>
        </w:rPr>
        <w:t> </w:t>
      </w:r>
      <w:r>
        <w:rPr/>
        <w:t>políticas</w:t>
      </w:r>
      <w:r>
        <w:rPr>
          <w:spacing w:val="-12"/>
        </w:rPr>
        <w:t> </w:t>
      </w:r>
      <w:r>
        <w:rPr/>
        <w:t>y</w:t>
      </w:r>
      <w:r>
        <w:rPr>
          <w:spacing w:val="-14"/>
        </w:rPr>
        <w:t> </w:t>
      </w:r>
      <w:r>
        <w:rPr/>
        <w:t>sus</w:t>
      </w:r>
      <w:r>
        <w:rPr>
          <w:spacing w:val="-12"/>
        </w:rPr>
        <w:t> </w:t>
      </w:r>
      <w:r>
        <w:rPr/>
        <w:t>instituciones para que sean más transparentes y faciliten el funcionamiento del mercado de valores aumentando el costo de la</w:t>
      </w:r>
      <w:r>
        <w:rPr>
          <w:spacing w:val="-19"/>
        </w:rPr>
        <w:t> </w:t>
      </w:r>
      <w:r>
        <w:rPr/>
        <w:t>especulación.</w:t>
      </w:r>
    </w:p>
    <w:p>
      <w:pPr>
        <w:spacing w:after="0" w:line="360" w:lineRule="auto"/>
        <w:jc w:val="both"/>
        <w:sectPr>
          <w:pgSz w:w="12240" w:h="15840"/>
          <w:pgMar w:header="0" w:footer="1035" w:top="1360" w:bottom="1220" w:left="1600" w:right="1580"/>
        </w:sectPr>
      </w:pPr>
    </w:p>
    <w:p>
      <w:pPr>
        <w:pStyle w:val="BodyText"/>
        <w:rPr>
          <w:sz w:val="20"/>
        </w:rPr>
      </w:pPr>
    </w:p>
    <w:p>
      <w:pPr>
        <w:pStyle w:val="BodyText"/>
        <w:spacing w:before="3"/>
        <w:rPr>
          <w:sz w:val="22"/>
        </w:rPr>
      </w:pPr>
    </w:p>
    <w:p>
      <w:pPr>
        <w:spacing w:line="240" w:lineRule="auto" w:before="1"/>
        <w:ind w:left="1234" w:right="1303" w:firstLine="0"/>
        <w:jc w:val="both"/>
        <w:rPr>
          <w:sz w:val="18"/>
        </w:rPr>
      </w:pPr>
      <w:r>
        <w:rPr>
          <w:b/>
          <w:sz w:val="18"/>
        </w:rPr>
        <w:t>“DICKS-MIREAUX: </w:t>
      </w:r>
      <w:r>
        <w:rPr>
          <w:sz w:val="18"/>
        </w:rPr>
        <w:t>En el estudio se destacaron dos temas omnicomprensivos: responsabilización</w:t>
      </w:r>
      <w:r>
        <w:rPr>
          <w:spacing w:val="-8"/>
          <w:sz w:val="18"/>
        </w:rPr>
        <w:t> </w:t>
      </w:r>
      <w:r>
        <w:rPr>
          <w:sz w:val="18"/>
        </w:rPr>
        <w:t>y</w:t>
      </w:r>
      <w:r>
        <w:rPr>
          <w:spacing w:val="-10"/>
          <w:sz w:val="18"/>
        </w:rPr>
        <w:t> </w:t>
      </w:r>
      <w:r>
        <w:rPr>
          <w:sz w:val="18"/>
        </w:rPr>
        <w:t>transparencia.</w:t>
      </w:r>
      <w:r>
        <w:rPr>
          <w:spacing w:val="-9"/>
          <w:sz w:val="18"/>
        </w:rPr>
        <w:t> </w:t>
      </w:r>
      <w:r>
        <w:rPr>
          <w:sz w:val="18"/>
        </w:rPr>
        <w:t>A</w:t>
      </w:r>
      <w:r>
        <w:rPr>
          <w:spacing w:val="-9"/>
          <w:sz w:val="18"/>
        </w:rPr>
        <w:t> </w:t>
      </w:r>
      <w:r>
        <w:rPr>
          <w:sz w:val="18"/>
        </w:rPr>
        <w:t>mi</w:t>
      </w:r>
      <w:r>
        <w:rPr>
          <w:spacing w:val="-8"/>
          <w:sz w:val="18"/>
        </w:rPr>
        <w:t> </w:t>
      </w:r>
      <w:r>
        <w:rPr>
          <w:sz w:val="18"/>
        </w:rPr>
        <w:t>juicio</w:t>
      </w:r>
      <w:r>
        <w:rPr>
          <w:spacing w:val="-8"/>
          <w:sz w:val="18"/>
        </w:rPr>
        <w:t> </w:t>
      </w:r>
      <w:r>
        <w:rPr>
          <w:sz w:val="18"/>
        </w:rPr>
        <w:t>la</w:t>
      </w:r>
      <w:r>
        <w:rPr>
          <w:spacing w:val="-8"/>
          <w:sz w:val="18"/>
        </w:rPr>
        <w:t> </w:t>
      </w:r>
      <w:r>
        <w:rPr>
          <w:sz w:val="18"/>
        </w:rPr>
        <w:t>transparencia</w:t>
      </w:r>
      <w:r>
        <w:rPr>
          <w:spacing w:val="-8"/>
          <w:sz w:val="18"/>
        </w:rPr>
        <w:t> </w:t>
      </w:r>
      <w:r>
        <w:rPr>
          <w:sz w:val="18"/>
        </w:rPr>
        <w:t>es</w:t>
      </w:r>
      <w:r>
        <w:rPr>
          <w:spacing w:val="-8"/>
          <w:sz w:val="18"/>
        </w:rPr>
        <w:t> </w:t>
      </w:r>
      <w:r>
        <w:rPr>
          <w:sz w:val="18"/>
        </w:rPr>
        <w:t>la</w:t>
      </w:r>
      <w:r>
        <w:rPr>
          <w:spacing w:val="-10"/>
          <w:sz w:val="18"/>
        </w:rPr>
        <w:t> </w:t>
      </w:r>
      <w:r>
        <w:rPr>
          <w:sz w:val="18"/>
        </w:rPr>
        <w:t>clave,</w:t>
      </w:r>
      <w:r>
        <w:rPr>
          <w:spacing w:val="-9"/>
          <w:sz w:val="18"/>
        </w:rPr>
        <w:t> </w:t>
      </w:r>
      <w:r>
        <w:rPr>
          <w:sz w:val="18"/>
        </w:rPr>
        <w:t>porque necesariamente suscita responsabilización: permite a las autoridades y a los supervisores crear mecanismos de rendición de cuentas y responsabiliza a los países frente a la sociedad civil y a los</w:t>
      </w:r>
      <w:r>
        <w:rPr>
          <w:spacing w:val="-22"/>
          <w:sz w:val="18"/>
        </w:rPr>
        <w:t> </w:t>
      </w:r>
      <w:r>
        <w:rPr>
          <w:sz w:val="18"/>
        </w:rPr>
        <w:t>donantes.”</w:t>
      </w:r>
    </w:p>
    <w:p>
      <w:pPr>
        <w:pStyle w:val="BodyText"/>
        <w:rPr>
          <w:sz w:val="18"/>
        </w:rPr>
      </w:pPr>
    </w:p>
    <w:p>
      <w:pPr>
        <w:pStyle w:val="BodyText"/>
        <w:rPr>
          <w:sz w:val="18"/>
        </w:rPr>
      </w:pPr>
    </w:p>
    <w:p>
      <w:pPr>
        <w:spacing w:before="113"/>
        <w:ind w:left="1234" w:right="1301" w:firstLine="0"/>
        <w:jc w:val="both"/>
        <w:rPr>
          <w:sz w:val="18"/>
        </w:rPr>
      </w:pPr>
      <w:r>
        <w:rPr>
          <w:sz w:val="18"/>
        </w:rPr>
        <w:t>No obstante, la transparencia no es todo. A los efectos de una adecuada gestión se</w:t>
      </w:r>
      <w:r>
        <w:rPr>
          <w:spacing w:val="-5"/>
          <w:sz w:val="18"/>
        </w:rPr>
        <w:t> </w:t>
      </w:r>
      <w:r>
        <w:rPr>
          <w:sz w:val="18"/>
        </w:rPr>
        <w:t>requieren</w:t>
      </w:r>
      <w:r>
        <w:rPr>
          <w:spacing w:val="-5"/>
          <w:sz w:val="18"/>
        </w:rPr>
        <w:t> </w:t>
      </w:r>
      <w:r>
        <w:rPr>
          <w:sz w:val="18"/>
        </w:rPr>
        <w:t>también</w:t>
      </w:r>
      <w:r>
        <w:rPr>
          <w:spacing w:val="-5"/>
          <w:sz w:val="18"/>
        </w:rPr>
        <w:t> </w:t>
      </w:r>
      <w:r>
        <w:rPr>
          <w:sz w:val="18"/>
        </w:rPr>
        <w:t>eficaces</w:t>
      </w:r>
      <w:r>
        <w:rPr>
          <w:spacing w:val="-7"/>
          <w:sz w:val="18"/>
        </w:rPr>
        <w:t> </w:t>
      </w:r>
      <w:r>
        <w:rPr>
          <w:sz w:val="18"/>
        </w:rPr>
        <w:t>mecanismos</w:t>
      </w:r>
      <w:r>
        <w:rPr>
          <w:spacing w:val="-4"/>
          <w:sz w:val="18"/>
        </w:rPr>
        <w:t> </w:t>
      </w:r>
      <w:r>
        <w:rPr>
          <w:sz w:val="18"/>
        </w:rPr>
        <w:t>de</w:t>
      </w:r>
      <w:r>
        <w:rPr>
          <w:spacing w:val="-7"/>
          <w:sz w:val="18"/>
        </w:rPr>
        <w:t> </w:t>
      </w:r>
      <w:r>
        <w:rPr>
          <w:sz w:val="18"/>
        </w:rPr>
        <w:t>cumplimiento</w:t>
      </w:r>
      <w:r>
        <w:rPr>
          <w:spacing w:val="-7"/>
          <w:sz w:val="18"/>
        </w:rPr>
        <w:t> </w:t>
      </w:r>
      <w:r>
        <w:rPr>
          <w:sz w:val="18"/>
        </w:rPr>
        <w:t>coercitivo</w:t>
      </w:r>
      <w:r>
        <w:rPr>
          <w:spacing w:val="-5"/>
          <w:sz w:val="18"/>
        </w:rPr>
        <w:t> </w:t>
      </w:r>
      <w:r>
        <w:rPr>
          <w:sz w:val="18"/>
        </w:rPr>
        <w:t>de</w:t>
      </w:r>
      <w:r>
        <w:rPr>
          <w:spacing w:val="-5"/>
          <w:sz w:val="18"/>
        </w:rPr>
        <w:t> </w:t>
      </w:r>
      <w:r>
        <w:rPr>
          <w:sz w:val="18"/>
        </w:rPr>
        <w:t>normas y corrección de fallas, y la certeza de que la responsabilidad es sistemática y se realiza en un campo de juego nivelado, y no con carácter ad hoc. También se requieren compromisos de alto nivel, ya que si existe corrupción en la cima, es probable que la misma impregne a todo el sistema” </w:t>
      </w:r>
      <w:r>
        <w:rPr>
          <w:color w:val="221F1F"/>
          <w:sz w:val="18"/>
        </w:rPr>
        <w:t>(FMI,</w:t>
      </w:r>
      <w:r>
        <w:rPr>
          <w:color w:val="221F1F"/>
          <w:spacing w:val="-22"/>
          <w:sz w:val="18"/>
        </w:rPr>
        <w:t> </w:t>
      </w:r>
      <w:r>
        <w:rPr>
          <w:color w:val="221F1F"/>
          <w:sz w:val="18"/>
        </w:rPr>
        <w:t>2001).</w:t>
      </w:r>
    </w:p>
    <w:p>
      <w:pPr>
        <w:pStyle w:val="BodyText"/>
        <w:rPr>
          <w:sz w:val="18"/>
        </w:rPr>
      </w:pPr>
    </w:p>
    <w:p>
      <w:pPr>
        <w:pStyle w:val="BodyText"/>
        <w:rPr>
          <w:sz w:val="18"/>
        </w:rPr>
      </w:pPr>
    </w:p>
    <w:p>
      <w:pPr>
        <w:pStyle w:val="BodyText"/>
        <w:rPr>
          <w:sz w:val="18"/>
        </w:rPr>
      </w:pPr>
    </w:p>
    <w:p>
      <w:pPr>
        <w:pStyle w:val="Heading1"/>
        <w:numPr>
          <w:ilvl w:val="3"/>
          <w:numId w:val="31"/>
        </w:numPr>
        <w:tabs>
          <w:tab w:pos="954" w:val="left" w:leader="none"/>
        </w:tabs>
        <w:spacing w:line="240" w:lineRule="auto" w:before="155" w:after="0"/>
        <w:ind w:left="954" w:right="0" w:hanging="852"/>
        <w:jc w:val="both"/>
      </w:pPr>
      <w:r>
        <w:rPr/>
        <w:t>Organización de las Naciones Unidas</w:t>
      </w:r>
      <w:r>
        <w:rPr>
          <w:spacing w:val="-9"/>
        </w:rPr>
        <w:t> </w:t>
      </w:r>
      <w:r>
        <w:rPr/>
        <w:t>(ONU)</w:t>
      </w:r>
    </w:p>
    <w:p>
      <w:pPr>
        <w:pStyle w:val="BodyText"/>
        <w:rPr>
          <w:b/>
        </w:rPr>
      </w:pPr>
    </w:p>
    <w:p>
      <w:pPr>
        <w:pStyle w:val="BodyText"/>
        <w:rPr>
          <w:b/>
        </w:rPr>
      </w:pPr>
    </w:p>
    <w:p>
      <w:pPr>
        <w:pStyle w:val="BodyText"/>
        <w:spacing w:line="360" w:lineRule="auto" w:before="158"/>
        <w:ind w:left="102" w:right="115"/>
        <w:jc w:val="both"/>
      </w:pPr>
      <w:r>
        <w:rPr/>
        <w:t>La ONU es la agrupación de Estados soberanos cuyo origen se remonta a finales de</w:t>
      </w:r>
      <w:r>
        <w:rPr>
          <w:spacing w:val="-8"/>
        </w:rPr>
        <w:t> </w:t>
      </w:r>
      <w:r>
        <w:rPr/>
        <w:t>la</w:t>
      </w:r>
      <w:r>
        <w:rPr>
          <w:spacing w:val="-9"/>
        </w:rPr>
        <w:t> </w:t>
      </w:r>
      <w:r>
        <w:rPr/>
        <w:t>Segunda</w:t>
      </w:r>
      <w:r>
        <w:rPr>
          <w:spacing w:val="-8"/>
        </w:rPr>
        <w:t> </w:t>
      </w:r>
      <w:r>
        <w:rPr/>
        <w:t>Guerra</w:t>
      </w:r>
      <w:r>
        <w:rPr>
          <w:spacing w:val="-8"/>
        </w:rPr>
        <w:t> </w:t>
      </w:r>
      <w:r>
        <w:rPr/>
        <w:t>Mundial.</w:t>
      </w:r>
      <w:r>
        <w:rPr>
          <w:spacing w:val="-9"/>
        </w:rPr>
        <w:t> </w:t>
      </w:r>
      <w:r>
        <w:rPr/>
        <w:t>Cuando</w:t>
      </w:r>
      <w:r>
        <w:rPr>
          <w:spacing w:val="-11"/>
        </w:rPr>
        <w:t> </w:t>
      </w:r>
      <w:r>
        <w:rPr/>
        <w:t>después</w:t>
      </w:r>
      <w:r>
        <w:rPr>
          <w:spacing w:val="-9"/>
        </w:rPr>
        <w:t> </w:t>
      </w:r>
      <w:r>
        <w:rPr/>
        <w:t>de</w:t>
      </w:r>
      <w:r>
        <w:rPr>
          <w:spacing w:val="-8"/>
        </w:rPr>
        <w:t> </w:t>
      </w:r>
      <w:r>
        <w:rPr/>
        <w:t>cuatro</w:t>
      </w:r>
      <w:r>
        <w:rPr>
          <w:spacing w:val="-9"/>
        </w:rPr>
        <w:t> </w:t>
      </w:r>
      <w:r>
        <w:rPr/>
        <w:t>años</w:t>
      </w:r>
      <w:r>
        <w:rPr>
          <w:spacing w:val="-9"/>
        </w:rPr>
        <w:t> </w:t>
      </w:r>
      <w:r>
        <w:rPr/>
        <w:t>de</w:t>
      </w:r>
      <w:r>
        <w:rPr>
          <w:spacing w:val="-11"/>
        </w:rPr>
        <w:t> </w:t>
      </w:r>
      <w:r>
        <w:rPr/>
        <w:t>preparación</w:t>
      </w:r>
      <w:r>
        <w:rPr>
          <w:spacing w:val="-8"/>
        </w:rPr>
        <w:t> </w:t>
      </w:r>
      <w:r>
        <w:rPr/>
        <w:t>los líderes de las principales potencias del mundo (Roosevelt de Estados Unidos, Winston Churchill de Inglaterra, Litvinov de la Unión Soviética, y T. V. Soong de China) lograron la inclusión 51 países, entre ellos México, para firmar la Carta de las Naciones Unidas (CNU) el 24 de octubre de 1945 (Historia de la Carta de las Naciones Unidas). Actualmente, la organización se integra por 193 países (ONU, 2015)</w:t>
      </w:r>
    </w:p>
    <w:p>
      <w:pPr>
        <w:pStyle w:val="BodyText"/>
      </w:pPr>
    </w:p>
    <w:p>
      <w:pPr>
        <w:pStyle w:val="BodyText"/>
      </w:pPr>
    </w:p>
    <w:p>
      <w:pPr>
        <w:pStyle w:val="BodyText"/>
        <w:spacing w:line="360" w:lineRule="auto" w:before="187"/>
        <w:ind w:left="102" w:right="116"/>
        <w:jc w:val="both"/>
      </w:pPr>
      <w:r>
        <w:rPr/>
        <w:t>Los propósitos la ONU consisten en mantener la paz y seguridad internacionales; fomentar relaciones de amistad entre las naciones cuya base es el respeto al principio de la igualdad de derechos y al de la libre determinación de los pueblos; realizar cooperación internacional en la solución de problemas internacionales de carácter económico, social, cultural o humanitario, y en el desarrollo y estímulo del respeto a los derechos humanos; servir de centro que armonice los esfuerzos de las naciones por alcanzar estos propósitos comunes (Art. 1 y 76 de la CNU).</w:t>
      </w:r>
    </w:p>
    <w:p>
      <w:pPr>
        <w:spacing w:after="0" w:line="360" w:lineRule="auto"/>
        <w:jc w:val="both"/>
        <w:sectPr>
          <w:pgSz w:w="12240" w:h="15840"/>
          <w:pgMar w:header="0" w:footer="1035" w:top="1500" w:bottom="1220" w:left="1600" w:right="1580"/>
        </w:sectPr>
      </w:pPr>
    </w:p>
    <w:p>
      <w:pPr>
        <w:pStyle w:val="BodyText"/>
        <w:spacing w:line="360" w:lineRule="auto" w:before="54"/>
        <w:ind w:left="102" w:right="99"/>
        <w:jc w:val="both"/>
      </w:pPr>
      <w:r>
        <w:rPr/>
        <w:t>Es preciso destacar que la ONU cobra relevancia para esta investigación debido a que</w:t>
      </w:r>
      <w:r>
        <w:rPr>
          <w:spacing w:val="-12"/>
        </w:rPr>
        <w:t> </w:t>
      </w:r>
      <w:r>
        <w:rPr/>
        <w:t>busca</w:t>
      </w:r>
      <w:r>
        <w:rPr>
          <w:spacing w:val="-12"/>
        </w:rPr>
        <w:t> </w:t>
      </w:r>
      <w:r>
        <w:rPr/>
        <w:t>promover</w:t>
      </w:r>
      <w:r>
        <w:rPr>
          <w:spacing w:val="-13"/>
        </w:rPr>
        <w:t> </w:t>
      </w:r>
      <w:r>
        <w:rPr/>
        <w:t>“el</w:t>
      </w:r>
      <w:r>
        <w:rPr>
          <w:spacing w:val="-13"/>
        </w:rPr>
        <w:t> </w:t>
      </w:r>
      <w:r>
        <w:rPr/>
        <w:t>respeto</w:t>
      </w:r>
      <w:r>
        <w:rPr>
          <w:spacing w:val="-14"/>
        </w:rPr>
        <w:t> </w:t>
      </w:r>
      <w:r>
        <w:rPr/>
        <w:t>universal</w:t>
      </w:r>
      <w:r>
        <w:rPr>
          <w:spacing w:val="-13"/>
        </w:rPr>
        <w:t> </w:t>
      </w:r>
      <w:r>
        <w:rPr/>
        <w:t>a</w:t>
      </w:r>
      <w:r>
        <w:rPr>
          <w:spacing w:val="-12"/>
        </w:rPr>
        <w:t> </w:t>
      </w:r>
      <w:r>
        <w:rPr/>
        <w:t>los</w:t>
      </w:r>
      <w:r>
        <w:rPr>
          <w:spacing w:val="-13"/>
        </w:rPr>
        <w:t> </w:t>
      </w:r>
      <w:r>
        <w:rPr/>
        <w:t>derechos</w:t>
      </w:r>
      <w:r>
        <w:rPr>
          <w:spacing w:val="-15"/>
        </w:rPr>
        <w:t> </w:t>
      </w:r>
      <w:r>
        <w:rPr/>
        <w:t>humanos</w:t>
      </w:r>
      <w:r>
        <w:rPr>
          <w:spacing w:val="-13"/>
        </w:rPr>
        <w:t> </w:t>
      </w:r>
      <w:r>
        <w:rPr/>
        <w:t>y</w:t>
      </w:r>
      <w:r>
        <w:rPr>
          <w:spacing w:val="-15"/>
        </w:rPr>
        <w:t> </w:t>
      </w:r>
      <w:r>
        <w:rPr/>
        <w:t>a</w:t>
      </w:r>
      <w:r>
        <w:rPr>
          <w:spacing w:val="-12"/>
        </w:rPr>
        <w:t> </w:t>
      </w:r>
      <w:r>
        <w:rPr/>
        <w:t>las</w:t>
      </w:r>
      <w:r>
        <w:rPr>
          <w:spacing w:val="-12"/>
        </w:rPr>
        <w:t> </w:t>
      </w:r>
      <w:r>
        <w:rPr/>
        <w:t>libertades fundamentales de todos, sin hacer distinción por motivos de raza, sexo, idioma o religión, y la efectividad de tales derechos y libertades” (Art. 55 de la CNU). Dicha promoción de los derechos humanos los realiza a través del Consejo Económico y Social</w:t>
      </w:r>
      <w:r>
        <w:rPr>
          <w:spacing w:val="-7"/>
        </w:rPr>
        <w:t> </w:t>
      </w:r>
      <w:r>
        <w:rPr/>
        <w:t>que</w:t>
      </w:r>
      <w:r>
        <w:rPr>
          <w:spacing w:val="-6"/>
        </w:rPr>
        <w:t> </w:t>
      </w:r>
      <w:r>
        <w:rPr/>
        <w:t>hace</w:t>
      </w:r>
      <w:r>
        <w:rPr>
          <w:spacing w:val="-6"/>
        </w:rPr>
        <w:t> </w:t>
      </w:r>
      <w:r>
        <w:rPr/>
        <w:t>recomendaciones</w:t>
      </w:r>
      <w:r>
        <w:rPr>
          <w:spacing w:val="-9"/>
        </w:rPr>
        <w:t> </w:t>
      </w:r>
      <w:r>
        <w:rPr/>
        <w:t>para</w:t>
      </w:r>
      <w:r>
        <w:rPr>
          <w:spacing w:val="-7"/>
        </w:rPr>
        <w:t> </w:t>
      </w:r>
      <w:r>
        <w:rPr/>
        <w:t>vigilar</w:t>
      </w:r>
      <w:r>
        <w:rPr>
          <w:spacing w:val="-7"/>
        </w:rPr>
        <w:t> </w:t>
      </w:r>
      <w:r>
        <w:rPr/>
        <w:t>su</w:t>
      </w:r>
      <w:r>
        <w:rPr>
          <w:spacing w:val="-6"/>
        </w:rPr>
        <w:t> </w:t>
      </w:r>
      <w:r>
        <w:rPr/>
        <w:t>cumplimiento</w:t>
      </w:r>
      <w:r>
        <w:rPr>
          <w:spacing w:val="-6"/>
        </w:rPr>
        <w:t> </w:t>
      </w:r>
      <w:r>
        <w:rPr/>
        <w:t>(Art.</w:t>
      </w:r>
      <w:r>
        <w:rPr>
          <w:spacing w:val="-7"/>
        </w:rPr>
        <w:t> </w:t>
      </w:r>
      <w:r>
        <w:rPr/>
        <w:t>62</w:t>
      </w:r>
      <w:r>
        <w:rPr>
          <w:spacing w:val="-6"/>
        </w:rPr>
        <w:t> </w:t>
      </w:r>
      <w:r>
        <w:rPr/>
        <w:t>de</w:t>
      </w:r>
      <w:r>
        <w:rPr>
          <w:spacing w:val="-6"/>
        </w:rPr>
        <w:t> </w:t>
      </w:r>
      <w:r>
        <w:rPr/>
        <w:t>la</w:t>
      </w:r>
      <w:r>
        <w:rPr>
          <w:spacing w:val="-6"/>
        </w:rPr>
        <w:t> </w:t>
      </w:r>
      <w:r>
        <w:rPr/>
        <w:t>CNU). Si bien la Declaración Universal de los Derechos Humanos (DUDH) no considera como tal el acceso a la información y la transparencia, sí establece el derecho de participar en el gobierno del país de forma directa o indirecta a través de representantes (Art. 61 de la DUDH); de ahí la relevancia de estos aspectos en el acceso a la información y la transparencia, ya que a través de ellos se pueden conocer las acciones de los gobernantes para evaluar su desempeño y actuar en consecuencia.</w:t>
      </w:r>
    </w:p>
    <w:p>
      <w:pPr>
        <w:pStyle w:val="BodyText"/>
      </w:pPr>
    </w:p>
    <w:p>
      <w:pPr>
        <w:pStyle w:val="BodyText"/>
      </w:pPr>
    </w:p>
    <w:p>
      <w:pPr>
        <w:pStyle w:val="BodyText"/>
        <w:spacing w:line="360" w:lineRule="auto" w:before="187"/>
        <w:ind w:left="102" w:right="100"/>
        <w:jc w:val="both"/>
      </w:pPr>
      <w:r>
        <w:rPr/>
        <w:t>Aunado a lo anterior es preciso destacar que la ONU promueve también el estado de derecho debido a que es uno de los pilares fundamentales de su misión para lograr</w:t>
      </w:r>
      <w:r>
        <w:rPr>
          <w:spacing w:val="-10"/>
        </w:rPr>
        <w:t> </w:t>
      </w:r>
      <w:r>
        <w:rPr/>
        <w:t>la</w:t>
      </w:r>
      <w:r>
        <w:rPr>
          <w:spacing w:val="-9"/>
        </w:rPr>
        <w:t> </w:t>
      </w:r>
      <w:r>
        <w:rPr/>
        <w:t>paz.</w:t>
      </w:r>
      <w:r>
        <w:rPr>
          <w:spacing w:val="-9"/>
        </w:rPr>
        <w:t> </w:t>
      </w:r>
      <w:r>
        <w:rPr/>
        <w:t>Cumplir</w:t>
      </w:r>
      <w:r>
        <w:rPr>
          <w:spacing w:val="-10"/>
        </w:rPr>
        <w:t> </w:t>
      </w:r>
      <w:r>
        <w:rPr/>
        <w:t>con</w:t>
      </w:r>
      <w:r>
        <w:rPr>
          <w:spacing w:val="-8"/>
        </w:rPr>
        <w:t> </w:t>
      </w:r>
      <w:r>
        <w:rPr/>
        <w:t>el</w:t>
      </w:r>
      <w:r>
        <w:rPr>
          <w:spacing w:val="-10"/>
        </w:rPr>
        <w:t> </w:t>
      </w:r>
      <w:r>
        <w:rPr/>
        <w:t>estado</w:t>
      </w:r>
      <w:r>
        <w:rPr>
          <w:spacing w:val="-8"/>
        </w:rPr>
        <w:t> </w:t>
      </w:r>
      <w:r>
        <w:rPr/>
        <w:t>de</w:t>
      </w:r>
      <w:r>
        <w:rPr>
          <w:spacing w:val="-8"/>
        </w:rPr>
        <w:t> </w:t>
      </w:r>
      <w:r>
        <w:rPr/>
        <w:t>derecho</w:t>
      </w:r>
      <w:r>
        <w:rPr>
          <w:spacing w:val="-8"/>
        </w:rPr>
        <w:t> </w:t>
      </w:r>
      <w:r>
        <w:rPr/>
        <w:t>implica</w:t>
      </w:r>
      <w:r>
        <w:rPr>
          <w:spacing w:val="-8"/>
        </w:rPr>
        <w:t> </w:t>
      </w:r>
      <w:r>
        <w:rPr/>
        <w:t>el</w:t>
      </w:r>
      <w:r>
        <w:rPr>
          <w:spacing w:val="-10"/>
        </w:rPr>
        <w:t> </w:t>
      </w:r>
      <w:r>
        <w:rPr/>
        <w:t>cumplimiento</w:t>
      </w:r>
      <w:r>
        <w:rPr>
          <w:spacing w:val="-8"/>
        </w:rPr>
        <w:t> </w:t>
      </w:r>
      <w:r>
        <w:rPr/>
        <w:t>de</w:t>
      </w:r>
      <w:r>
        <w:rPr>
          <w:spacing w:val="-8"/>
        </w:rPr>
        <w:t> </w:t>
      </w:r>
      <w:r>
        <w:rPr/>
        <w:t>las</w:t>
      </w:r>
      <w:r>
        <w:rPr>
          <w:spacing w:val="-9"/>
        </w:rPr>
        <w:t> </w:t>
      </w:r>
      <w:r>
        <w:rPr/>
        <w:t>leyes que promulgan los</w:t>
      </w:r>
      <w:r>
        <w:rPr>
          <w:spacing w:val="-10"/>
        </w:rPr>
        <w:t> </w:t>
      </w:r>
      <w:r>
        <w:rPr/>
        <w:t>estados:</w:t>
      </w:r>
    </w:p>
    <w:p>
      <w:pPr>
        <w:pStyle w:val="BodyText"/>
      </w:pPr>
    </w:p>
    <w:p>
      <w:pPr>
        <w:pStyle w:val="BodyText"/>
      </w:pPr>
    </w:p>
    <w:p>
      <w:pPr>
        <w:spacing w:before="186"/>
        <w:ind w:left="1234" w:right="1278" w:firstLine="0"/>
        <w:jc w:val="both"/>
        <w:rPr>
          <w:sz w:val="18"/>
        </w:rPr>
      </w:pPr>
      <w:r>
        <w:rPr>
          <w:sz w:val="18"/>
        </w:rPr>
        <w:t>“Para las Naciones Unidas, el concepto de «Estado de derecho» ocupa un lugar central en el cometido de la Organización. Se refiere a un principio de gobierno según el cual todas las personas, instituciones y entidades, públicas y privadas, incluido el propio Estado, están sometidas a unas leyes que se promulgan públicamente,</w:t>
      </w:r>
      <w:r>
        <w:rPr>
          <w:spacing w:val="-10"/>
          <w:sz w:val="18"/>
        </w:rPr>
        <w:t> </w:t>
      </w:r>
      <w:r>
        <w:rPr>
          <w:sz w:val="18"/>
        </w:rPr>
        <w:t>se</w:t>
      </w:r>
      <w:r>
        <w:rPr>
          <w:spacing w:val="-7"/>
          <w:sz w:val="18"/>
        </w:rPr>
        <w:t> </w:t>
      </w:r>
      <w:r>
        <w:rPr>
          <w:sz w:val="18"/>
        </w:rPr>
        <w:t>hacen</w:t>
      </w:r>
      <w:r>
        <w:rPr>
          <w:spacing w:val="-7"/>
          <w:sz w:val="18"/>
        </w:rPr>
        <w:t> </w:t>
      </w:r>
      <w:r>
        <w:rPr>
          <w:sz w:val="18"/>
        </w:rPr>
        <w:t>cumplir</w:t>
      </w:r>
      <w:r>
        <w:rPr>
          <w:spacing w:val="-8"/>
          <w:sz w:val="18"/>
        </w:rPr>
        <w:t> </w:t>
      </w:r>
      <w:r>
        <w:rPr>
          <w:sz w:val="18"/>
        </w:rPr>
        <w:t>por</w:t>
      </w:r>
      <w:r>
        <w:rPr>
          <w:spacing w:val="-10"/>
          <w:sz w:val="18"/>
        </w:rPr>
        <w:t> </w:t>
      </w:r>
      <w:r>
        <w:rPr>
          <w:sz w:val="18"/>
        </w:rPr>
        <w:t>igual</w:t>
      </w:r>
      <w:r>
        <w:rPr>
          <w:spacing w:val="-7"/>
          <w:sz w:val="18"/>
        </w:rPr>
        <w:t> </w:t>
      </w:r>
      <w:r>
        <w:rPr>
          <w:sz w:val="18"/>
        </w:rPr>
        <w:t>y</w:t>
      </w:r>
      <w:r>
        <w:rPr>
          <w:spacing w:val="-9"/>
          <w:sz w:val="18"/>
        </w:rPr>
        <w:t> </w:t>
      </w:r>
      <w:r>
        <w:rPr>
          <w:sz w:val="18"/>
        </w:rPr>
        <w:t>se</w:t>
      </w:r>
      <w:r>
        <w:rPr>
          <w:spacing w:val="-10"/>
          <w:sz w:val="18"/>
        </w:rPr>
        <w:t> </w:t>
      </w:r>
      <w:r>
        <w:rPr>
          <w:sz w:val="18"/>
        </w:rPr>
        <w:t>aplican</w:t>
      </w:r>
      <w:r>
        <w:rPr>
          <w:spacing w:val="-10"/>
          <w:sz w:val="18"/>
        </w:rPr>
        <w:t> </w:t>
      </w:r>
      <w:r>
        <w:rPr>
          <w:sz w:val="18"/>
        </w:rPr>
        <w:t>con</w:t>
      </w:r>
      <w:r>
        <w:rPr>
          <w:spacing w:val="-10"/>
          <w:sz w:val="18"/>
        </w:rPr>
        <w:t> </w:t>
      </w:r>
      <w:r>
        <w:rPr>
          <w:sz w:val="18"/>
        </w:rPr>
        <w:t>independencia,</w:t>
      </w:r>
      <w:r>
        <w:rPr>
          <w:spacing w:val="-10"/>
          <w:sz w:val="18"/>
        </w:rPr>
        <w:t> </w:t>
      </w:r>
      <w:r>
        <w:rPr>
          <w:sz w:val="18"/>
        </w:rPr>
        <w:t>además de ser compatibles con las normas y los principios internacionales de derechos humanos. Asimismo, exige que se adopten medidas para garantizar el respeto de los</w:t>
      </w:r>
      <w:r>
        <w:rPr>
          <w:spacing w:val="-7"/>
          <w:sz w:val="18"/>
        </w:rPr>
        <w:t> </w:t>
      </w:r>
      <w:r>
        <w:rPr>
          <w:sz w:val="18"/>
        </w:rPr>
        <w:t>principios</w:t>
      </w:r>
      <w:r>
        <w:rPr>
          <w:spacing w:val="-4"/>
          <w:sz w:val="18"/>
        </w:rPr>
        <w:t> </w:t>
      </w:r>
      <w:r>
        <w:rPr>
          <w:sz w:val="18"/>
        </w:rPr>
        <w:t>de</w:t>
      </w:r>
      <w:r>
        <w:rPr>
          <w:spacing w:val="-5"/>
          <w:sz w:val="18"/>
        </w:rPr>
        <w:t> </w:t>
      </w:r>
      <w:r>
        <w:rPr>
          <w:sz w:val="18"/>
        </w:rPr>
        <w:t>primacía</w:t>
      </w:r>
      <w:r>
        <w:rPr>
          <w:spacing w:val="-5"/>
          <w:sz w:val="18"/>
        </w:rPr>
        <w:t> </w:t>
      </w:r>
      <w:r>
        <w:rPr>
          <w:sz w:val="18"/>
        </w:rPr>
        <w:t>de</w:t>
      </w:r>
      <w:r>
        <w:rPr>
          <w:spacing w:val="-5"/>
          <w:sz w:val="18"/>
        </w:rPr>
        <w:t> </w:t>
      </w:r>
      <w:r>
        <w:rPr>
          <w:sz w:val="18"/>
        </w:rPr>
        <w:t>la</w:t>
      </w:r>
      <w:r>
        <w:rPr>
          <w:spacing w:val="-7"/>
          <w:sz w:val="18"/>
        </w:rPr>
        <w:t> </w:t>
      </w:r>
      <w:r>
        <w:rPr>
          <w:sz w:val="18"/>
        </w:rPr>
        <w:t>ley,</w:t>
      </w:r>
      <w:r>
        <w:rPr>
          <w:spacing w:val="-5"/>
          <w:sz w:val="18"/>
        </w:rPr>
        <w:t> </w:t>
      </w:r>
      <w:r>
        <w:rPr>
          <w:sz w:val="18"/>
        </w:rPr>
        <w:t>igualdad</w:t>
      </w:r>
      <w:r>
        <w:rPr>
          <w:spacing w:val="-5"/>
          <w:sz w:val="18"/>
        </w:rPr>
        <w:t> </w:t>
      </w:r>
      <w:r>
        <w:rPr>
          <w:sz w:val="18"/>
        </w:rPr>
        <w:t>ante</w:t>
      </w:r>
      <w:r>
        <w:rPr>
          <w:spacing w:val="-7"/>
          <w:sz w:val="18"/>
        </w:rPr>
        <w:t> </w:t>
      </w:r>
      <w:r>
        <w:rPr>
          <w:sz w:val="18"/>
        </w:rPr>
        <w:t>la</w:t>
      </w:r>
      <w:r>
        <w:rPr>
          <w:spacing w:val="-7"/>
          <w:sz w:val="18"/>
        </w:rPr>
        <w:t> </w:t>
      </w:r>
      <w:r>
        <w:rPr>
          <w:sz w:val="18"/>
        </w:rPr>
        <w:t>ley,</w:t>
      </w:r>
      <w:r>
        <w:rPr>
          <w:spacing w:val="-5"/>
          <w:sz w:val="18"/>
        </w:rPr>
        <w:t> </w:t>
      </w:r>
      <w:r>
        <w:rPr>
          <w:sz w:val="18"/>
        </w:rPr>
        <w:t>rendición</w:t>
      </w:r>
      <w:r>
        <w:rPr>
          <w:spacing w:val="-7"/>
          <w:sz w:val="18"/>
        </w:rPr>
        <w:t> </w:t>
      </w:r>
      <w:r>
        <w:rPr>
          <w:sz w:val="18"/>
        </w:rPr>
        <w:t>de</w:t>
      </w:r>
      <w:r>
        <w:rPr>
          <w:spacing w:val="-7"/>
          <w:sz w:val="18"/>
        </w:rPr>
        <w:t> </w:t>
      </w:r>
      <w:r>
        <w:rPr>
          <w:sz w:val="18"/>
        </w:rPr>
        <w:t>cuentas</w:t>
      </w:r>
      <w:r>
        <w:rPr>
          <w:spacing w:val="-7"/>
          <w:sz w:val="18"/>
        </w:rPr>
        <w:t> </w:t>
      </w:r>
      <w:r>
        <w:rPr>
          <w:sz w:val="18"/>
        </w:rPr>
        <w:t>ante la ley, equidad en la aplicación de la ley, separación de poderes, participación en la adopción de decisiones, legalidad, no arbitrariedad, y transparencia procesal y legal” (ONU,</w:t>
      </w:r>
      <w:r>
        <w:rPr>
          <w:spacing w:val="-5"/>
          <w:sz w:val="18"/>
        </w:rPr>
        <w:t> </w:t>
      </w:r>
      <w:r>
        <w:rPr>
          <w:sz w:val="18"/>
        </w:rPr>
        <w:t>2004:5).</w:t>
      </w:r>
    </w:p>
    <w:p>
      <w:pPr>
        <w:pStyle w:val="BodyText"/>
        <w:rPr>
          <w:sz w:val="18"/>
        </w:rPr>
      </w:pPr>
    </w:p>
    <w:p>
      <w:pPr>
        <w:pStyle w:val="BodyText"/>
        <w:rPr>
          <w:sz w:val="18"/>
        </w:rPr>
      </w:pPr>
    </w:p>
    <w:p>
      <w:pPr>
        <w:pStyle w:val="BodyText"/>
        <w:rPr>
          <w:sz w:val="18"/>
        </w:rPr>
      </w:pPr>
    </w:p>
    <w:p>
      <w:pPr>
        <w:pStyle w:val="BodyText"/>
        <w:spacing w:line="360" w:lineRule="auto" w:before="114"/>
        <w:ind w:left="102" w:right="98"/>
        <w:jc w:val="both"/>
      </w:pPr>
      <w:r>
        <w:rPr/>
        <w:t>Por tal motivo en México, al contemplar como derecho el acceso a la información en</w:t>
      </w:r>
      <w:r>
        <w:rPr>
          <w:spacing w:val="-5"/>
        </w:rPr>
        <w:t> </w:t>
      </w:r>
      <w:r>
        <w:rPr/>
        <w:t>el</w:t>
      </w:r>
      <w:r>
        <w:rPr>
          <w:spacing w:val="-6"/>
        </w:rPr>
        <w:t> </w:t>
      </w:r>
      <w:r>
        <w:rPr/>
        <w:t>artículo</w:t>
      </w:r>
      <w:r>
        <w:rPr>
          <w:spacing w:val="-5"/>
        </w:rPr>
        <w:t> </w:t>
      </w:r>
      <w:r>
        <w:rPr/>
        <w:t>6</w:t>
      </w:r>
      <w:r>
        <w:rPr>
          <w:spacing w:val="-7"/>
        </w:rPr>
        <w:t> </w:t>
      </w:r>
      <w:r>
        <w:rPr/>
        <w:t>de</w:t>
      </w:r>
      <w:r>
        <w:rPr>
          <w:spacing w:val="-5"/>
        </w:rPr>
        <w:t> </w:t>
      </w:r>
      <w:r>
        <w:rPr/>
        <w:t>la</w:t>
      </w:r>
      <w:r>
        <w:rPr>
          <w:spacing w:val="-5"/>
        </w:rPr>
        <w:t> </w:t>
      </w:r>
      <w:r>
        <w:rPr/>
        <w:t>CPEUM</w:t>
      </w:r>
      <w:r>
        <w:rPr>
          <w:spacing w:val="-7"/>
        </w:rPr>
        <w:t> </w:t>
      </w:r>
      <w:r>
        <w:rPr/>
        <w:t>y</w:t>
      </w:r>
      <w:r>
        <w:rPr>
          <w:spacing w:val="-8"/>
        </w:rPr>
        <w:t> </w:t>
      </w:r>
      <w:r>
        <w:rPr/>
        <w:t>crear</w:t>
      </w:r>
      <w:r>
        <w:rPr>
          <w:spacing w:val="-6"/>
        </w:rPr>
        <w:t> </w:t>
      </w:r>
      <w:r>
        <w:rPr/>
        <w:t>la</w:t>
      </w:r>
      <w:r>
        <w:rPr>
          <w:spacing w:val="-5"/>
        </w:rPr>
        <w:t> </w:t>
      </w:r>
      <w:r>
        <w:rPr/>
        <w:t>Ley</w:t>
      </w:r>
      <w:r>
        <w:rPr>
          <w:spacing w:val="-8"/>
        </w:rPr>
        <w:t> </w:t>
      </w:r>
      <w:r>
        <w:rPr/>
        <w:t>Federal</w:t>
      </w:r>
      <w:r>
        <w:rPr>
          <w:spacing w:val="-6"/>
        </w:rPr>
        <w:t> </w:t>
      </w:r>
      <w:r>
        <w:rPr/>
        <w:t>de</w:t>
      </w:r>
      <w:r>
        <w:rPr>
          <w:spacing w:val="-7"/>
        </w:rPr>
        <w:t> </w:t>
      </w:r>
      <w:r>
        <w:rPr/>
        <w:t>Transparencia</w:t>
      </w:r>
      <w:r>
        <w:rPr>
          <w:spacing w:val="-5"/>
        </w:rPr>
        <w:t> </w:t>
      </w:r>
      <w:r>
        <w:rPr/>
        <w:t>y</w:t>
      </w:r>
      <w:r>
        <w:rPr>
          <w:spacing w:val="-8"/>
        </w:rPr>
        <w:t> </w:t>
      </w:r>
      <w:r>
        <w:rPr/>
        <w:t>Acceso</w:t>
      </w:r>
      <w:r>
        <w:rPr>
          <w:spacing w:val="-5"/>
        </w:rPr>
        <w:t> </w:t>
      </w:r>
      <w:r>
        <w:rPr/>
        <w:t>a</w:t>
      </w:r>
      <w:r>
        <w:rPr>
          <w:spacing w:val="-5"/>
        </w:rPr>
        <w:t> </w:t>
      </w:r>
      <w:r>
        <w:rPr/>
        <w:t>la Información Pública Gubernamental (LFTAIPG), la transparencia y el acceso a  </w:t>
      </w:r>
      <w:r>
        <w:rPr>
          <w:spacing w:val="63"/>
        </w:rPr>
        <w:t> </w:t>
      </w:r>
      <w:r>
        <w:rPr/>
        <w:t>la</w:t>
      </w:r>
    </w:p>
    <w:p>
      <w:pPr>
        <w:spacing w:after="0" w:line="360" w:lineRule="auto"/>
        <w:jc w:val="both"/>
        <w:sectPr>
          <w:pgSz w:w="12240" w:h="15840"/>
          <w:pgMar w:header="0" w:footer="1035" w:top="1360" w:bottom="1220" w:left="1600" w:right="1600"/>
        </w:sectPr>
      </w:pPr>
    </w:p>
    <w:p>
      <w:pPr>
        <w:pStyle w:val="BodyText"/>
        <w:spacing w:line="360" w:lineRule="auto" w:before="54"/>
        <w:ind w:left="102" w:right="112"/>
        <w:jc w:val="both"/>
      </w:pPr>
      <w:r>
        <w:rPr/>
        <w:t>información se convierten en asunto de estado de derecho ya que, de acuerdo con (Uvalle, 2012), la transparencia como política pública contribuye a que el estado y la sociedad queden unidos en términos de responsabilidad, corresponsabilidad y funcionalidad, donde se hace factible que el acceso a la información sea institucionalizado</w:t>
      </w:r>
      <w:r>
        <w:rPr>
          <w:spacing w:val="-4"/>
        </w:rPr>
        <w:t> </w:t>
      </w:r>
      <w:r>
        <w:rPr/>
        <w:t>en</w:t>
      </w:r>
      <w:r>
        <w:rPr>
          <w:spacing w:val="-6"/>
        </w:rPr>
        <w:t> </w:t>
      </w:r>
      <w:r>
        <w:rPr/>
        <w:t>el</w:t>
      </w:r>
      <w:r>
        <w:rPr>
          <w:spacing w:val="-7"/>
        </w:rPr>
        <w:t> </w:t>
      </w:r>
      <w:r>
        <w:rPr/>
        <w:t>ámbito</w:t>
      </w:r>
      <w:r>
        <w:rPr>
          <w:spacing w:val="-6"/>
        </w:rPr>
        <w:t> </w:t>
      </w:r>
      <w:r>
        <w:rPr/>
        <w:t>del</w:t>
      </w:r>
      <w:r>
        <w:rPr>
          <w:spacing w:val="-7"/>
        </w:rPr>
        <w:t> </w:t>
      </w:r>
      <w:r>
        <w:rPr/>
        <w:t>estado</w:t>
      </w:r>
      <w:r>
        <w:rPr>
          <w:spacing w:val="-6"/>
        </w:rPr>
        <w:t> </w:t>
      </w:r>
      <w:r>
        <w:rPr/>
        <w:t>de</w:t>
      </w:r>
      <w:r>
        <w:rPr>
          <w:spacing w:val="-6"/>
        </w:rPr>
        <w:t> </w:t>
      </w:r>
      <w:r>
        <w:rPr/>
        <w:t>derecho.</w:t>
      </w:r>
      <w:r>
        <w:rPr>
          <w:spacing w:val="2"/>
        </w:rPr>
        <w:t> </w:t>
      </w:r>
      <w:r>
        <w:rPr/>
        <w:t>En</w:t>
      </w:r>
      <w:r>
        <w:rPr>
          <w:spacing w:val="-4"/>
        </w:rPr>
        <w:t> </w:t>
      </w:r>
      <w:r>
        <w:rPr/>
        <w:t>este</w:t>
      </w:r>
      <w:r>
        <w:rPr>
          <w:spacing w:val="-6"/>
        </w:rPr>
        <w:t> </w:t>
      </w:r>
      <w:r>
        <w:rPr/>
        <w:t>escenario</w:t>
      </w:r>
      <w:r>
        <w:rPr>
          <w:spacing w:val="-4"/>
        </w:rPr>
        <w:t> </w:t>
      </w:r>
      <w:r>
        <w:rPr/>
        <w:t>la</w:t>
      </w:r>
      <w:r>
        <w:rPr>
          <w:spacing w:val="-6"/>
        </w:rPr>
        <w:t> </w:t>
      </w:r>
      <w:r>
        <w:rPr/>
        <w:t>ONU</w:t>
      </w:r>
      <w:r>
        <w:rPr>
          <w:spacing w:val="-5"/>
        </w:rPr>
        <w:t> </w:t>
      </w:r>
      <w:r>
        <w:rPr/>
        <w:t>se ha</w:t>
      </w:r>
      <w:r>
        <w:rPr>
          <w:spacing w:val="-18"/>
        </w:rPr>
        <w:t> </w:t>
      </w:r>
      <w:r>
        <w:rPr/>
        <w:t>encargado</w:t>
      </w:r>
      <w:r>
        <w:rPr>
          <w:spacing w:val="-18"/>
        </w:rPr>
        <w:t> </w:t>
      </w:r>
      <w:r>
        <w:rPr/>
        <w:t>de</w:t>
      </w:r>
      <w:r>
        <w:rPr>
          <w:spacing w:val="-20"/>
        </w:rPr>
        <w:t> </w:t>
      </w:r>
      <w:r>
        <w:rPr/>
        <w:t>fomentar</w:t>
      </w:r>
      <w:r>
        <w:rPr>
          <w:spacing w:val="-19"/>
        </w:rPr>
        <w:t> </w:t>
      </w:r>
      <w:r>
        <w:rPr/>
        <w:t>la</w:t>
      </w:r>
      <w:r>
        <w:rPr>
          <w:spacing w:val="-18"/>
        </w:rPr>
        <w:t> </w:t>
      </w:r>
      <w:r>
        <w:rPr/>
        <w:t>transparencia</w:t>
      </w:r>
      <w:r>
        <w:rPr>
          <w:spacing w:val="-18"/>
        </w:rPr>
        <w:t> </w:t>
      </w:r>
      <w:r>
        <w:rPr/>
        <w:t>en</w:t>
      </w:r>
      <w:r>
        <w:rPr>
          <w:spacing w:val="-18"/>
        </w:rPr>
        <w:t> </w:t>
      </w:r>
      <w:r>
        <w:rPr/>
        <w:t>el</w:t>
      </w:r>
      <w:r>
        <w:rPr>
          <w:spacing w:val="-19"/>
        </w:rPr>
        <w:t> </w:t>
      </w:r>
      <w:r>
        <w:rPr/>
        <w:t>mercado</w:t>
      </w:r>
      <w:r>
        <w:rPr>
          <w:spacing w:val="-20"/>
        </w:rPr>
        <w:t> </w:t>
      </w:r>
      <w:r>
        <w:rPr/>
        <w:t>de</w:t>
      </w:r>
      <w:r>
        <w:rPr>
          <w:spacing w:val="-20"/>
        </w:rPr>
        <w:t> </w:t>
      </w:r>
      <w:r>
        <w:rPr/>
        <w:t>materias</w:t>
      </w:r>
      <w:r>
        <w:rPr>
          <w:spacing w:val="-19"/>
        </w:rPr>
        <w:t> </w:t>
      </w:r>
      <w:r>
        <w:rPr/>
        <w:t>primas</w:t>
      </w:r>
      <w:r>
        <w:rPr>
          <w:spacing w:val="-19"/>
        </w:rPr>
        <w:t> </w:t>
      </w:r>
      <w:r>
        <w:rPr/>
        <w:t>(ONU, 2004).</w:t>
      </w:r>
    </w:p>
    <w:p>
      <w:pPr>
        <w:pStyle w:val="BodyText"/>
      </w:pPr>
    </w:p>
    <w:p>
      <w:pPr>
        <w:pStyle w:val="BodyText"/>
      </w:pPr>
    </w:p>
    <w:p>
      <w:pPr>
        <w:pStyle w:val="BodyText"/>
        <w:spacing w:before="8"/>
        <w:rPr>
          <w:sz w:val="19"/>
        </w:rPr>
      </w:pPr>
    </w:p>
    <w:p>
      <w:pPr>
        <w:pStyle w:val="Heading1"/>
        <w:numPr>
          <w:ilvl w:val="3"/>
          <w:numId w:val="31"/>
        </w:numPr>
        <w:tabs>
          <w:tab w:pos="954" w:val="left" w:leader="none"/>
        </w:tabs>
        <w:spacing w:line="240" w:lineRule="auto" w:before="0" w:after="0"/>
        <w:ind w:left="954" w:right="0" w:hanging="852"/>
        <w:jc w:val="both"/>
      </w:pPr>
      <w:r>
        <w:rPr/>
        <w:t>Banco Mundial</w:t>
      </w:r>
      <w:r>
        <w:rPr>
          <w:spacing w:val="-4"/>
        </w:rPr>
        <w:t> </w:t>
      </w:r>
      <w:r>
        <w:rPr/>
        <w:t>(BM)</w:t>
      </w:r>
    </w:p>
    <w:p>
      <w:pPr>
        <w:pStyle w:val="BodyText"/>
        <w:rPr>
          <w:b/>
        </w:rPr>
      </w:pPr>
    </w:p>
    <w:p>
      <w:pPr>
        <w:pStyle w:val="BodyText"/>
        <w:rPr>
          <w:b/>
        </w:rPr>
      </w:pPr>
    </w:p>
    <w:p>
      <w:pPr>
        <w:pStyle w:val="BodyText"/>
        <w:spacing w:line="360" w:lineRule="auto" w:before="161"/>
        <w:ind w:left="102" w:right="117"/>
        <w:jc w:val="both"/>
      </w:pPr>
      <w:r>
        <w:rPr/>
        <w:t>El Banco Mundial es un organismo internacional creado en 1944, cuya sede se encuentra</w:t>
      </w:r>
      <w:r>
        <w:rPr>
          <w:spacing w:val="-14"/>
        </w:rPr>
        <w:t> </w:t>
      </w:r>
      <w:r>
        <w:rPr/>
        <w:t>en</w:t>
      </w:r>
      <w:r>
        <w:rPr>
          <w:spacing w:val="-14"/>
        </w:rPr>
        <w:t> </w:t>
      </w:r>
      <w:r>
        <w:rPr/>
        <w:t>la</w:t>
      </w:r>
      <w:r>
        <w:rPr>
          <w:spacing w:val="-14"/>
        </w:rPr>
        <w:t> </w:t>
      </w:r>
      <w:r>
        <w:rPr/>
        <w:t>ciudad</w:t>
      </w:r>
      <w:r>
        <w:rPr>
          <w:spacing w:val="-15"/>
        </w:rPr>
        <w:t> </w:t>
      </w:r>
      <w:r>
        <w:rPr/>
        <w:t>de</w:t>
      </w:r>
      <w:r>
        <w:rPr>
          <w:spacing w:val="-18"/>
        </w:rPr>
        <w:t> </w:t>
      </w:r>
      <w:r>
        <w:rPr/>
        <w:t>Washington.</w:t>
      </w:r>
      <w:r>
        <w:rPr>
          <w:spacing w:val="-14"/>
        </w:rPr>
        <w:t> </w:t>
      </w:r>
      <w:r>
        <w:rPr/>
        <w:t>Este</w:t>
      </w:r>
      <w:r>
        <w:rPr>
          <w:spacing w:val="-14"/>
        </w:rPr>
        <w:t> </w:t>
      </w:r>
      <w:r>
        <w:rPr/>
        <w:t>organismo</w:t>
      </w:r>
      <w:r>
        <w:rPr>
          <w:spacing w:val="-12"/>
        </w:rPr>
        <w:t> </w:t>
      </w:r>
      <w:r>
        <w:rPr/>
        <w:t>tiene</w:t>
      </w:r>
      <w:r>
        <w:rPr>
          <w:spacing w:val="-14"/>
        </w:rPr>
        <w:t> </w:t>
      </w:r>
      <w:r>
        <w:rPr/>
        <w:t>dos</w:t>
      </w:r>
      <w:r>
        <w:rPr>
          <w:spacing w:val="-13"/>
        </w:rPr>
        <w:t> </w:t>
      </w:r>
      <w:r>
        <w:rPr/>
        <w:t>grandes</w:t>
      </w:r>
      <w:r>
        <w:rPr>
          <w:spacing w:val="-15"/>
        </w:rPr>
        <w:t> </w:t>
      </w:r>
      <w:r>
        <w:rPr/>
        <w:t>objetivos: terminar con la pobreza extrema y promover una prosperidad compartida. Para acabar</w:t>
      </w:r>
      <w:r>
        <w:rPr>
          <w:spacing w:val="-5"/>
        </w:rPr>
        <w:t> </w:t>
      </w:r>
      <w:r>
        <w:rPr/>
        <w:t>con</w:t>
      </w:r>
      <w:r>
        <w:rPr>
          <w:spacing w:val="-3"/>
        </w:rPr>
        <w:t> </w:t>
      </w:r>
      <w:r>
        <w:rPr/>
        <w:t>la</w:t>
      </w:r>
      <w:r>
        <w:rPr>
          <w:spacing w:val="-4"/>
        </w:rPr>
        <w:t> </w:t>
      </w:r>
      <w:r>
        <w:rPr/>
        <w:t>pobreza</w:t>
      </w:r>
      <w:r>
        <w:rPr>
          <w:spacing w:val="-4"/>
        </w:rPr>
        <w:t> </w:t>
      </w:r>
      <w:r>
        <w:rPr/>
        <w:t>extrema,</w:t>
      </w:r>
      <w:r>
        <w:rPr>
          <w:spacing w:val="-4"/>
        </w:rPr>
        <w:t> </w:t>
      </w:r>
      <w:r>
        <w:rPr/>
        <w:t>la</w:t>
      </w:r>
      <w:r>
        <w:rPr>
          <w:spacing w:val="-4"/>
        </w:rPr>
        <w:t> </w:t>
      </w:r>
      <w:r>
        <w:rPr/>
        <w:t>meta</w:t>
      </w:r>
      <w:r>
        <w:rPr>
          <w:spacing w:val="-6"/>
        </w:rPr>
        <w:t> </w:t>
      </w:r>
      <w:r>
        <w:rPr/>
        <w:t>del</w:t>
      </w:r>
      <w:r>
        <w:rPr>
          <w:spacing w:val="-5"/>
        </w:rPr>
        <w:t> </w:t>
      </w:r>
      <w:r>
        <w:rPr/>
        <w:t>Banco</w:t>
      </w:r>
      <w:r>
        <w:rPr>
          <w:spacing w:val="-4"/>
        </w:rPr>
        <w:t> </w:t>
      </w:r>
      <w:r>
        <w:rPr/>
        <w:t>es</w:t>
      </w:r>
      <w:r>
        <w:rPr>
          <w:spacing w:val="-7"/>
        </w:rPr>
        <w:t> </w:t>
      </w:r>
      <w:r>
        <w:rPr/>
        <w:t>disminuir</w:t>
      </w:r>
      <w:r>
        <w:rPr>
          <w:spacing w:val="-6"/>
        </w:rPr>
        <w:t> </w:t>
      </w:r>
      <w:r>
        <w:rPr/>
        <w:t>el</w:t>
      </w:r>
      <w:r>
        <w:rPr>
          <w:spacing w:val="-5"/>
        </w:rPr>
        <w:t> </w:t>
      </w:r>
      <w:r>
        <w:rPr/>
        <w:t>porcentaje</w:t>
      </w:r>
      <w:r>
        <w:rPr>
          <w:spacing w:val="-4"/>
        </w:rPr>
        <w:t> </w:t>
      </w:r>
      <w:r>
        <w:rPr/>
        <w:t>de</w:t>
      </w:r>
      <w:r>
        <w:rPr>
          <w:spacing w:val="-4"/>
        </w:rPr>
        <w:t> </w:t>
      </w:r>
      <w:r>
        <w:rPr/>
        <w:t>las personas que viven con menos de US$1,25 al día a al 3% antes de fines de 2030. Sobre fomentar la prosperidad compartida, la meta es promover el crecimiento de los ingresos de la población de todos los países que se sitúa en el 40% inferior de la distribución del</w:t>
      </w:r>
      <w:r>
        <w:rPr>
          <w:spacing w:val="-7"/>
        </w:rPr>
        <w:t> </w:t>
      </w:r>
      <w:r>
        <w:rPr/>
        <w:t>ingreso.</w:t>
      </w:r>
    </w:p>
    <w:p>
      <w:pPr>
        <w:pStyle w:val="BodyText"/>
      </w:pPr>
    </w:p>
    <w:p>
      <w:pPr>
        <w:pStyle w:val="BodyText"/>
      </w:pPr>
    </w:p>
    <w:p>
      <w:pPr>
        <w:pStyle w:val="BodyText"/>
        <w:spacing w:line="360" w:lineRule="auto" w:before="187"/>
        <w:ind w:left="102" w:right="122"/>
        <w:jc w:val="both"/>
      </w:pPr>
      <w:r>
        <w:rPr/>
        <w:t>El análisis de este organismo es relevante para la investigación porque es una institución que otorga préstamos, créditos sin intereses y hace donaciones a los países en desarrollo que apoyan una amplia gama de inversiones en educación, salud, administración pública, infraestructura, desarrollo del sector privado y financiero, agricultura, gestión ambiental y de recursos naturales. Algunos de</w:t>
      </w:r>
      <w:r>
        <w:rPr>
          <w:spacing w:val="-36"/>
        </w:rPr>
        <w:t> </w:t>
      </w:r>
      <w:r>
        <w:rPr/>
        <w:t>estos proyectos se cofinancian con Gobiernos, otras instituciones multilaterales, bancos comerciales, organismos de créditos para la exportación e inversionistas del sector privado.</w:t>
      </w:r>
    </w:p>
    <w:p>
      <w:pPr>
        <w:spacing w:after="0" w:line="360" w:lineRule="auto"/>
        <w:jc w:val="both"/>
        <w:sectPr>
          <w:pgSz w:w="12240" w:h="15840"/>
          <w:pgMar w:header="0" w:footer="1035" w:top="1360" w:bottom="1220" w:left="1600" w:right="1580"/>
        </w:sectPr>
      </w:pPr>
    </w:p>
    <w:p>
      <w:pPr>
        <w:pStyle w:val="BodyText"/>
        <w:spacing w:line="360" w:lineRule="auto" w:before="54"/>
        <w:ind w:left="182" w:right="121"/>
        <w:jc w:val="both"/>
      </w:pPr>
      <w:r>
        <w:rPr/>
        <w:t>El Banco Mundial ayuda a los países en desarrollo mediante asesoramiento sobre políticas, investigación, análisis y asistencia técnica. En ese sentido, el trabajo analítico suele servir de base del financiamiento entregado y ayuda a moldear las propias inversiones de los países en desarrollo. A través de estos apoyos se imponen ciertas condiciones que los países deben tomar en cuenta para recibir los beneficios de este organismo. Entre los cuales se encuentran los siguientes:</w:t>
      </w:r>
    </w:p>
    <w:p>
      <w:pPr>
        <w:pStyle w:val="BodyText"/>
      </w:pPr>
    </w:p>
    <w:p>
      <w:pPr>
        <w:pStyle w:val="BodyText"/>
      </w:pPr>
    </w:p>
    <w:p>
      <w:pPr>
        <w:pStyle w:val="ListParagraph"/>
        <w:numPr>
          <w:ilvl w:val="0"/>
          <w:numId w:val="32"/>
        </w:numPr>
        <w:tabs>
          <w:tab w:pos="482" w:val="left" w:leader="none"/>
        </w:tabs>
        <w:spacing w:line="267" w:lineRule="exact" w:before="184" w:after="0"/>
        <w:ind w:left="482" w:right="0" w:hanging="360"/>
        <w:jc w:val="both"/>
        <w:rPr>
          <w:rFonts w:ascii="Symbol" w:hAnsi="Symbol"/>
          <w:sz w:val="20"/>
        </w:rPr>
      </w:pPr>
      <w:r>
        <w:rPr>
          <w:rFonts w:ascii="Calibri" w:hAnsi="Calibri"/>
          <w:sz w:val="22"/>
        </w:rPr>
        <w:t>“</w:t>
      </w:r>
      <w:hyperlink r:id="rId32">
        <w:r>
          <w:rPr>
            <w:b/>
            <w:sz w:val="18"/>
          </w:rPr>
          <w:t>Resultados.</w:t>
        </w:r>
      </w:hyperlink>
      <w:r>
        <w:rPr>
          <w:b/>
          <w:sz w:val="18"/>
        </w:rPr>
        <w:t> </w:t>
      </w:r>
      <w:r>
        <w:rPr>
          <w:sz w:val="18"/>
        </w:rPr>
        <w:t>Cuyo enfoque es ayudar a los países en desarrollo a </w:t>
      </w:r>
      <w:hyperlink r:id="rId32">
        <w:r>
          <w:rPr>
            <w:sz w:val="18"/>
          </w:rPr>
          <w:t>producir resultados</w:t>
        </w:r>
        <w:r>
          <w:rPr>
            <w:spacing w:val="-28"/>
            <w:sz w:val="18"/>
          </w:rPr>
          <w:t> </w:t>
        </w:r>
        <w:r>
          <w:rPr>
            <w:sz w:val="18"/>
          </w:rPr>
          <w:t>medibles.</w:t>
        </w:r>
      </w:hyperlink>
    </w:p>
    <w:p>
      <w:pPr>
        <w:pStyle w:val="ListParagraph"/>
        <w:numPr>
          <w:ilvl w:val="0"/>
          <w:numId w:val="32"/>
        </w:numPr>
        <w:tabs>
          <w:tab w:pos="482" w:val="left" w:leader="none"/>
        </w:tabs>
        <w:spacing w:line="240" w:lineRule="auto" w:before="0" w:after="0"/>
        <w:ind w:left="482" w:right="116" w:hanging="360"/>
        <w:jc w:val="both"/>
        <w:rPr>
          <w:rFonts w:ascii="Symbol" w:hAnsi="Symbol"/>
          <w:sz w:val="20"/>
        </w:rPr>
      </w:pPr>
      <w:hyperlink r:id="rId33">
        <w:r>
          <w:rPr>
            <w:b/>
            <w:sz w:val="18"/>
          </w:rPr>
          <w:t>Reforma.</w:t>
        </w:r>
      </w:hyperlink>
      <w:r>
        <w:rPr>
          <w:b/>
          <w:sz w:val="18"/>
        </w:rPr>
        <w:t> </w:t>
      </w:r>
      <w:r>
        <w:rPr>
          <w:sz w:val="18"/>
        </w:rPr>
        <w:t>Sobre el diseño de los proyectos, la disponibilidad de la información (Acceso a información) y el acercamiento de las operaciones a las comunidades y Gobiernos</w:t>
      </w:r>
      <w:r>
        <w:rPr>
          <w:spacing w:val="-20"/>
          <w:sz w:val="18"/>
        </w:rPr>
        <w:t> </w:t>
      </w:r>
      <w:r>
        <w:rPr>
          <w:sz w:val="18"/>
        </w:rPr>
        <w:t>clientes.</w:t>
      </w:r>
    </w:p>
    <w:p>
      <w:pPr>
        <w:pStyle w:val="ListParagraph"/>
        <w:numPr>
          <w:ilvl w:val="0"/>
          <w:numId w:val="32"/>
        </w:numPr>
        <w:tabs>
          <w:tab w:pos="466" w:val="left" w:leader="none"/>
        </w:tabs>
        <w:spacing w:line="240" w:lineRule="auto" w:before="0" w:after="0"/>
        <w:ind w:left="465" w:right="116" w:hanging="360"/>
        <w:jc w:val="both"/>
        <w:rPr>
          <w:rFonts w:ascii="Symbol" w:hAnsi="Symbol"/>
          <w:sz w:val="20"/>
        </w:rPr>
      </w:pPr>
      <w:hyperlink r:id="rId34">
        <w:r>
          <w:rPr>
            <w:b/>
            <w:sz w:val="18"/>
          </w:rPr>
          <w:t>Desarrollo</w:t>
        </w:r>
        <w:r>
          <w:rPr>
            <w:b/>
            <w:spacing w:val="-12"/>
            <w:sz w:val="18"/>
          </w:rPr>
          <w:t> </w:t>
        </w:r>
        <w:r>
          <w:rPr>
            <w:b/>
            <w:sz w:val="18"/>
          </w:rPr>
          <w:t>abierto.</w:t>
        </w:r>
      </w:hyperlink>
      <w:r>
        <w:rPr>
          <w:b/>
          <w:spacing w:val="-12"/>
          <w:sz w:val="18"/>
        </w:rPr>
        <w:t> </w:t>
      </w:r>
      <w:r>
        <w:rPr>
          <w:sz w:val="18"/>
        </w:rPr>
        <w:t>En</w:t>
      </w:r>
      <w:r>
        <w:rPr>
          <w:spacing w:val="-15"/>
          <w:sz w:val="18"/>
        </w:rPr>
        <w:t> </w:t>
      </w:r>
      <w:r>
        <w:rPr>
          <w:sz w:val="18"/>
        </w:rPr>
        <w:t>el</w:t>
      </w:r>
      <w:r>
        <w:rPr>
          <w:spacing w:val="-12"/>
          <w:sz w:val="18"/>
        </w:rPr>
        <w:t> </w:t>
      </w:r>
      <w:r>
        <w:rPr>
          <w:sz w:val="18"/>
        </w:rPr>
        <w:t>que</w:t>
      </w:r>
      <w:r>
        <w:rPr>
          <w:spacing w:val="-15"/>
          <w:sz w:val="18"/>
        </w:rPr>
        <w:t> </w:t>
      </w:r>
      <w:r>
        <w:rPr>
          <w:sz w:val="18"/>
        </w:rPr>
        <w:t>se</w:t>
      </w:r>
      <w:r>
        <w:rPr>
          <w:spacing w:val="-12"/>
          <w:sz w:val="18"/>
        </w:rPr>
        <w:t> </w:t>
      </w:r>
      <w:r>
        <w:rPr>
          <w:sz w:val="18"/>
        </w:rPr>
        <w:t>busca</w:t>
      </w:r>
      <w:r>
        <w:rPr>
          <w:spacing w:val="-12"/>
          <w:sz w:val="18"/>
        </w:rPr>
        <w:t> </w:t>
      </w:r>
      <w:r>
        <w:rPr>
          <w:sz w:val="18"/>
        </w:rPr>
        <w:t>la</w:t>
      </w:r>
      <w:r>
        <w:rPr>
          <w:spacing w:val="-15"/>
          <w:sz w:val="18"/>
        </w:rPr>
        <w:t> </w:t>
      </w:r>
      <w:r>
        <w:rPr>
          <w:sz w:val="18"/>
        </w:rPr>
        <w:t>inclusión</w:t>
      </w:r>
      <w:r>
        <w:rPr>
          <w:spacing w:val="-12"/>
          <w:sz w:val="18"/>
        </w:rPr>
        <w:t> </w:t>
      </w:r>
      <w:r>
        <w:rPr>
          <w:sz w:val="18"/>
        </w:rPr>
        <w:t>de</w:t>
      </w:r>
      <w:r>
        <w:rPr>
          <w:spacing w:val="-9"/>
          <w:sz w:val="18"/>
        </w:rPr>
        <w:t> </w:t>
      </w:r>
      <w:hyperlink r:id="rId34">
        <w:r>
          <w:rPr>
            <w:sz w:val="18"/>
          </w:rPr>
          <w:t>herramientas,</w:t>
        </w:r>
        <w:r>
          <w:rPr>
            <w:spacing w:val="-12"/>
            <w:sz w:val="18"/>
          </w:rPr>
          <w:t> </w:t>
        </w:r>
        <w:r>
          <w:rPr>
            <w:sz w:val="18"/>
          </w:rPr>
          <w:t>investigación</w:t>
        </w:r>
        <w:r>
          <w:rPr>
            <w:spacing w:val="-12"/>
            <w:sz w:val="18"/>
          </w:rPr>
          <w:t> </w:t>
        </w:r>
        <w:r>
          <w:rPr>
            <w:sz w:val="18"/>
          </w:rPr>
          <w:t>y</w:t>
        </w:r>
        <w:r>
          <w:rPr>
            <w:spacing w:val="-14"/>
            <w:sz w:val="18"/>
          </w:rPr>
          <w:t> </w:t>
        </w:r>
        <w:r>
          <w:rPr>
            <w:sz w:val="18"/>
          </w:rPr>
          <w:t>conocimientos</w:t>
        </w:r>
      </w:hyperlink>
      <w:r>
        <w:rPr>
          <w:spacing w:val="-10"/>
          <w:sz w:val="18"/>
        </w:rPr>
        <w:t> </w:t>
      </w:r>
      <w:r>
        <w:rPr>
          <w:sz w:val="18"/>
        </w:rPr>
        <w:t>gratuitos y de libre acceso que permiten a las personas abordar los desafíos planetarios en materia de desarrollo tales como sitio web, d</w:t>
      </w:r>
      <w:hyperlink r:id="rId35">
        <w:r>
          <w:rPr>
            <w:sz w:val="18"/>
          </w:rPr>
          <w:t>atos de libre acceso</w:t>
        </w:r>
      </w:hyperlink>
      <w:r>
        <w:rPr>
          <w:sz w:val="18"/>
        </w:rPr>
        <w:t> y el </w:t>
      </w:r>
      <w:hyperlink r:id="rId36">
        <w:r>
          <w:rPr>
            <w:sz w:val="18"/>
          </w:rPr>
          <w:t>Foro Abierto</w:t>
        </w:r>
      </w:hyperlink>
      <w:r>
        <w:rPr>
          <w:sz w:val="18"/>
        </w:rPr>
        <w:t>” (BM,</w:t>
      </w:r>
      <w:r>
        <w:rPr>
          <w:spacing w:val="-25"/>
          <w:sz w:val="18"/>
        </w:rPr>
        <w:t> </w:t>
      </w:r>
      <w:r>
        <w:rPr>
          <w:sz w:val="18"/>
        </w:rPr>
        <w:t>2014).</w:t>
      </w:r>
    </w:p>
    <w:p>
      <w:pPr>
        <w:pStyle w:val="BodyText"/>
        <w:rPr>
          <w:sz w:val="18"/>
        </w:rPr>
      </w:pPr>
    </w:p>
    <w:p>
      <w:pPr>
        <w:pStyle w:val="BodyText"/>
        <w:rPr>
          <w:sz w:val="18"/>
        </w:rPr>
      </w:pPr>
    </w:p>
    <w:p>
      <w:pPr>
        <w:pStyle w:val="BodyText"/>
        <w:spacing w:line="360" w:lineRule="auto" w:before="158"/>
        <w:ind w:left="182" w:right="120"/>
        <w:jc w:val="both"/>
      </w:pPr>
      <w:r>
        <w:rPr/>
        <w:t>En este segundo aspecto sobre acceso a la información cobra relevancia ya que el BM promueve políticas anticorrupción para los países que se las solicitan. Entre estas se encuentran las siguientes:</w:t>
      </w:r>
    </w:p>
    <w:p>
      <w:pPr>
        <w:pStyle w:val="BodyText"/>
      </w:pPr>
    </w:p>
    <w:p>
      <w:pPr>
        <w:pStyle w:val="BodyText"/>
        <w:spacing w:before="7"/>
        <w:rPr>
          <w:sz w:val="31"/>
        </w:rPr>
      </w:pPr>
    </w:p>
    <w:p>
      <w:pPr>
        <w:pStyle w:val="ListParagraph"/>
        <w:numPr>
          <w:ilvl w:val="1"/>
          <w:numId w:val="32"/>
        </w:numPr>
        <w:tabs>
          <w:tab w:pos="901" w:val="left" w:leader="none"/>
          <w:tab w:pos="902" w:val="left" w:leader="none"/>
        </w:tabs>
        <w:spacing w:line="273" w:lineRule="auto" w:before="0" w:after="0"/>
        <w:ind w:left="902" w:right="121" w:hanging="360"/>
        <w:jc w:val="left"/>
        <w:rPr>
          <w:sz w:val="24"/>
        </w:rPr>
      </w:pPr>
      <w:hyperlink r:id="rId37">
        <w:r>
          <w:rPr>
            <w:sz w:val="24"/>
          </w:rPr>
          <w:t>Impedir el fraude y la corrupción en los proyectos y programas financiados</w:t>
        </w:r>
      </w:hyperlink>
      <w:r>
        <w:rPr>
          <w:sz w:val="24"/>
        </w:rPr>
        <w:t> </w:t>
      </w:r>
      <w:hyperlink r:id="rId37">
        <w:r>
          <w:rPr>
            <w:sz w:val="24"/>
          </w:rPr>
          <w:t>por el</w:t>
        </w:r>
        <w:r>
          <w:rPr>
            <w:spacing w:val="-4"/>
            <w:sz w:val="24"/>
          </w:rPr>
          <w:t> </w:t>
        </w:r>
        <w:r>
          <w:rPr>
            <w:sz w:val="24"/>
          </w:rPr>
          <w:t>Banco</w:t>
        </w:r>
      </w:hyperlink>
      <w:r>
        <w:rPr>
          <w:sz w:val="24"/>
        </w:rPr>
        <w:t>;</w:t>
      </w:r>
    </w:p>
    <w:p>
      <w:pPr>
        <w:pStyle w:val="ListParagraph"/>
        <w:numPr>
          <w:ilvl w:val="1"/>
          <w:numId w:val="32"/>
        </w:numPr>
        <w:tabs>
          <w:tab w:pos="901" w:val="left" w:leader="none"/>
          <w:tab w:pos="902" w:val="left" w:leader="none"/>
        </w:tabs>
        <w:spacing w:line="240" w:lineRule="auto" w:before="4" w:after="0"/>
        <w:ind w:left="902" w:right="0" w:hanging="360"/>
        <w:jc w:val="left"/>
        <w:rPr>
          <w:sz w:val="24"/>
        </w:rPr>
      </w:pPr>
      <w:hyperlink r:id="rId38">
        <w:r>
          <w:rPr>
            <w:sz w:val="24"/>
          </w:rPr>
          <w:t>Ayudar a los países que lo soliciten a combatir la</w:t>
        </w:r>
        <w:r>
          <w:rPr>
            <w:spacing w:val="-21"/>
            <w:sz w:val="24"/>
          </w:rPr>
          <w:t> </w:t>
        </w:r>
        <w:r>
          <w:rPr>
            <w:sz w:val="24"/>
          </w:rPr>
          <w:t>corrupción;</w:t>
        </w:r>
      </w:hyperlink>
    </w:p>
    <w:p>
      <w:pPr>
        <w:pStyle w:val="ListParagraph"/>
        <w:numPr>
          <w:ilvl w:val="1"/>
          <w:numId w:val="32"/>
        </w:numPr>
        <w:tabs>
          <w:tab w:pos="901" w:val="left" w:leader="none"/>
          <w:tab w:pos="902" w:val="left" w:leader="none"/>
        </w:tabs>
        <w:spacing w:line="273" w:lineRule="auto" w:before="37" w:after="0"/>
        <w:ind w:left="902" w:right="124" w:hanging="360"/>
        <w:jc w:val="left"/>
        <w:rPr>
          <w:sz w:val="24"/>
        </w:rPr>
      </w:pPr>
      <w:hyperlink r:id="rId38">
        <w:r>
          <w:rPr>
            <w:sz w:val="24"/>
          </w:rPr>
          <w:t>Incorporar la preocupación acerca de la corrupción directamente en los</w:t>
        </w:r>
      </w:hyperlink>
      <w:r>
        <w:rPr>
          <w:sz w:val="24"/>
        </w:rPr>
        <w:t> </w:t>
      </w:r>
      <w:hyperlink r:id="rId38">
        <w:r>
          <w:rPr>
            <w:sz w:val="24"/>
          </w:rPr>
          <w:t>análisis de los países y las decisiones de otorgar préstamos</w:t>
        </w:r>
      </w:hyperlink>
      <w:r>
        <w:rPr>
          <w:sz w:val="24"/>
        </w:rPr>
        <w:t>,</w:t>
      </w:r>
      <w:r>
        <w:rPr>
          <w:spacing w:val="-16"/>
          <w:sz w:val="24"/>
        </w:rPr>
        <w:t> </w:t>
      </w:r>
      <w:r>
        <w:rPr>
          <w:sz w:val="24"/>
        </w:rPr>
        <w:t>y</w:t>
      </w:r>
    </w:p>
    <w:p>
      <w:pPr>
        <w:pStyle w:val="ListParagraph"/>
        <w:numPr>
          <w:ilvl w:val="1"/>
          <w:numId w:val="32"/>
        </w:numPr>
        <w:tabs>
          <w:tab w:pos="901" w:val="left" w:leader="none"/>
          <w:tab w:pos="902" w:val="left" w:leader="none"/>
        </w:tabs>
        <w:spacing w:line="273" w:lineRule="auto" w:before="4" w:after="0"/>
        <w:ind w:left="902" w:right="115" w:hanging="360"/>
        <w:jc w:val="left"/>
        <w:rPr>
          <w:sz w:val="24"/>
        </w:rPr>
      </w:pPr>
      <w:hyperlink r:id="rId39">
        <w:r>
          <w:rPr>
            <w:sz w:val="24"/>
          </w:rPr>
          <w:t>Contribuir a los esfuerzos internacionales por combatir la corrupción</w:t>
        </w:r>
      </w:hyperlink>
      <w:r>
        <w:rPr>
          <w:sz w:val="24"/>
        </w:rPr>
        <w:t> (BM, 2004).</w:t>
      </w:r>
    </w:p>
    <w:p>
      <w:pPr>
        <w:pStyle w:val="BodyText"/>
      </w:pPr>
    </w:p>
    <w:p>
      <w:pPr>
        <w:pStyle w:val="BodyText"/>
        <w:spacing w:before="1"/>
        <w:rPr>
          <w:sz w:val="26"/>
        </w:rPr>
      </w:pPr>
    </w:p>
    <w:p>
      <w:pPr>
        <w:pStyle w:val="BodyText"/>
        <w:spacing w:line="360" w:lineRule="auto" w:before="1"/>
        <w:ind w:left="182" w:right="115"/>
        <w:jc w:val="both"/>
      </w:pPr>
      <w:r>
        <w:rPr/>
        <w:t>Al respecto es importante señalar que el BM realiza mediciones sobre </w:t>
      </w:r>
      <w:r>
        <w:rPr>
          <w:spacing w:val="3"/>
        </w:rPr>
        <w:t>la </w:t>
      </w:r>
      <w:r>
        <w:rPr/>
        <w:t>transparencia, responsabilidad y corrupción en el sector público, evalúa hasta </w:t>
      </w:r>
      <w:r>
        <w:rPr>
          <w:spacing w:val="-2"/>
        </w:rPr>
        <w:t>qué </w:t>
      </w:r>
      <w:r>
        <w:rPr/>
        <w:t>punto el Poder Ejecutivo es responsable del uso de los fondos y del resultado de sus</w:t>
      </w:r>
      <w:r>
        <w:rPr>
          <w:spacing w:val="-9"/>
        </w:rPr>
        <w:t> </w:t>
      </w:r>
      <w:r>
        <w:rPr/>
        <w:t>acciones</w:t>
      </w:r>
      <w:r>
        <w:rPr>
          <w:spacing w:val="-11"/>
        </w:rPr>
        <w:t> </w:t>
      </w:r>
      <w:r>
        <w:rPr/>
        <w:t>ante</w:t>
      </w:r>
      <w:r>
        <w:rPr>
          <w:spacing w:val="-10"/>
        </w:rPr>
        <w:t> </w:t>
      </w:r>
      <w:r>
        <w:rPr/>
        <w:t>el</w:t>
      </w:r>
      <w:r>
        <w:rPr>
          <w:spacing w:val="-12"/>
        </w:rPr>
        <w:t> </w:t>
      </w:r>
      <w:r>
        <w:rPr/>
        <w:t>electorado</w:t>
      </w:r>
      <w:r>
        <w:rPr>
          <w:spacing w:val="-7"/>
        </w:rPr>
        <w:t> </w:t>
      </w:r>
      <w:r>
        <w:rPr/>
        <w:t>y</w:t>
      </w:r>
      <w:r>
        <w:rPr>
          <w:spacing w:val="-12"/>
        </w:rPr>
        <w:t> </w:t>
      </w:r>
      <w:r>
        <w:rPr/>
        <w:t>los</w:t>
      </w:r>
      <w:r>
        <w:rPr>
          <w:spacing w:val="-11"/>
        </w:rPr>
        <w:t> </w:t>
      </w:r>
      <w:r>
        <w:rPr/>
        <w:t>poderes</w:t>
      </w:r>
      <w:r>
        <w:rPr>
          <w:spacing w:val="-11"/>
        </w:rPr>
        <w:t> </w:t>
      </w:r>
      <w:r>
        <w:rPr/>
        <w:t>Legislativo</w:t>
      </w:r>
      <w:r>
        <w:rPr>
          <w:spacing w:val="-7"/>
        </w:rPr>
        <w:t> </w:t>
      </w:r>
      <w:r>
        <w:rPr/>
        <w:t>y</w:t>
      </w:r>
      <w:r>
        <w:rPr>
          <w:spacing w:val="-12"/>
        </w:rPr>
        <w:t> </w:t>
      </w:r>
      <w:r>
        <w:rPr/>
        <w:t>Judicial</w:t>
      </w:r>
      <w:r>
        <w:rPr>
          <w:spacing w:val="-9"/>
        </w:rPr>
        <w:t> </w:t>
      </w:r>
      <w:r>
        <w:rPr/>
        <w:t>y</w:t>
      </w:r>
      <w:r>
        <w:rPr>
          <w:spacing w:val="-12"/>
        </w:rPr>
        <w:t> </w:t>
      </w:r>
      <w:r>
        <w:rPr/>
        <w:t>en</w:t>
      </w:r>
      <w:r>
        <w:rPr>
          <w:spacing w:val="-10"/>
        </w:rPr>
        <w:t> </w:t>
      </w:r>
      <w:r>
        <w:rPr/>
        <w:t>qué</w:t>
      </w:r>
      <w:r>
        <w:rPr>
          <w:spacing w:val="-10"/>
        </w:rPr>
        <w:t> </w:t>
      </w:r>
      <w:r>
        <w:rPr/>
        <w:t>medida se exige a los empleados públicos que conforman el Poder Ejecutivo que rindan cuentas de las decisiones administrativas, el uso de los recursos y los resultados obtenidos (</w:t>
      </w:r>
      <w:r>
        <w:rPr>
          <w:color w:val="403D3B"/>
        </w:rPr>
        <w:t>Ver mapa</w:t>
      </w:r>
      <w:r>
        <w:rPr>
          <w:color w:val="403D3B"/>
          <w:spacing w:val="-6"/>
        </w:rPr>
        <w:t> </w:t>
      </w:r>
      <w:r>
        <w:rPr>
          <w:color w:val="403D3B"/>
        </w:rPr>
        <w:t>2.1).</w:t>
      </w:r>
    </w:p>
    <w:p>
      <w:pPr>
        <w:spacing w:after="0" w:line="360" w:lineRule="auto"/>
        <w:jc w:val="both"/>
        <w:sectPr>
          <w:pgSz w:w="12240" w:h="15840"/>
          <w:pgMar w:header="0" w:footer="1035" w:top="1360" w:bottom="1220" w:left="1520" w:right="1580"/>
        </w:sectPr>
      </w:pPr>
    </w:p>
    <w:p>
      <w:pPr>
        <w:pStyle w:val="BodyText"/>
        <w:rPr>
          <w:sz w:val="20"/>
        </w:rPr>
      </w:pPr>
    </w:p>
    <w:p>
      <w:pPr>
        <w:pStyle w:val="BodyText"/>
        <w:rPr>
          <w:sz w:val="20"/>
        </w:rPr>
      </w:pPr>
    </w:p>
    <w:p>
      <w:pPr>
        <w:pStyle w:val="BodyText"/>
        <w:rPr>
          <w:sz w:val="20"/>
        </w:rPr>
      </w:pPr>
    </w:p>
    <w:p>
      <w:pPr>
        <w:pStyle w:val="BodyText"/>
        <w:spacing w:before="5"/>
        <w:rPr>
          <w:sz w:val="26"/>
        </w:rPr>
      </w:pPr>
    </w:p>
    <w:p>
      <w:pPr>
        <w:pStyle w:val="Heading1"/>
        <w:spacing w:before="70"/>
        <w:ind w:left="1373" w:firstLine="0"/>
        <w:jc w:val="left"/>
      </w:pPr>
      <w:r>
        <w:rPr/>
        <w:drawing>
          <wp:anchor distT="0" distB="0" distL="0" distR="0" allowOverlap="1" layoutInCell="1" locked="0" behindDoc="1" simplePos="0" relativeHeight="265665239">
            <wp:simplePos x="0" y="0"/>
            <wp:positionH relativeFrom="page">
              <wp:posOffset>2000250</wp:posOffset>
            </wp:positionH>
            <wp:positionV relativeFrom="paragraph">
              <wp:posOffset>259662</wp:posOffset>
            </wp:positionV>
            <wp:extent cx="3594608" cy="2127885"/>
            <wp:effectExtent l="0" t="0" r="0" b="0"/>
            <wp:wrapNone/>
            <wp:docPr id="11" name="image9.jpeg" descr=""/>
            <wp:cNvGraphicFramePr>
              <a:graphicFrameLocks noChangeAspect="1"/>
            </wp:cNvGraphicFramePr>
            <a:graphic>
              <a:graphicData uri="http://schemas.openxmlformats.org/drawingml/2006/picture">
                <pic:pic>
                  <pic:nvPicPr>
                    <pic:cNvPr id="12" name="image9.jpeg"/>
                    <pic:cNvPicPr/>
                  </pic:nvPicPr>
                  <pic:blipFill>
                    <a:blip r:embed="rId40" cstate="print"/>
                    <a:stretch>
                      <a:fillRect/>
                    </a:stretch>
                  </pic:blipFill>
                  <pic:spPr>
                    <a:xfrm>
                      <a:off x="0" y="0"/>
                      <a:ext cx="3594608" cy="2127885"/>
                    </a:xfrm>
                    <a:prstGeom prst="rect">
                      <a:avLst/>
                    </a:prstGeom>
                  </pic:spPr>
                </pic:pic>
              </a:graphicData>
            </a:graphic>
          </wp:anchor>
        </w:drawing>
      </w:r>
      <w:r>
        <w:rPr/>
        <w:t>Mapa 2.1. Percepción de corrupción del Banco Mundial</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4"/>
        <w:rPr>
          <w:b/>
          <w:sz w:val="25"/>
        </w:rPr>
      </w:pPr>
    </w:p>
    <w:p>
      <w:pPr>
        <w:spacing w:before="0"/>
        <w:ind w:left="102" w:right="0" w:firstLine="0"/>
        <w:jc w:val="left"/>
        <w:rPr>
          <w:sz w:val="16"/>
        </w:rPr>
      </w:pPr>
      <w:r>
        <w:rPr>
          <w:sz w:val="16"/>
        </w:rPr>
        <w:t>Fuente: </w:t>
      </w:r>
      <w:hyperlink r:id="rId41">
        <w:r>
          <w:rPr>
            <w:color w:val="0462C1"/>
            <w:sz w:val="16"/>
            <w:u w:val="single" w:color="0462C1"/>
          </w:rPr>
          <w:t>http://datos.bancomundial.org/indicador/IQ.CPA.TRAN.XQ/countries?display=map </w:t>
        </w:r>
      </w:hyperlink>
      <w:r>
        <w:rPr>
          <w:color w:val="403D3B"/>
          <w:sz w:val="16"/>
        </w:rPr>
        <w:t>[11-09-2014]</w:t>
      </w:r>
    </w:p>
    <w:p>
      <w:pPr>
        <w:pStyle w:val="BodyText"/>
        <w:rPr>
          <w:sz w:val="20"/>
        </w:rPr>
      </w:pPr>
    </w:p>
    <w:p>
      <w:pPr>
        <w:pStyle w:val="BodyText"/>
        <w:rPr>
          <w:sz w:val="20"/>
        </w:rPr>
      </w:pPr>
    </w:p>
    <w:p>
      <w:pPr>
        <w:pStyle w:val="BodyText"/>
        <w:spacing w:before="6"/>
        <w:rPr>
          <w:sz w:val="29"/>
        </w:rPr>
      </w:pPr>
    </w:p>
    <w:p>
      <w:pPr>
        <w:pStyle w:val="Heading1"/>
        <w:numPr>
          <w:ilvl w:val="3"/>
          <w:numId w:val="31"/>
        </w:numPr>
        <w:tabs>
          <w:tab w:pos="954" w:val="left" w:leader="none"/>
        </w:tabs>
        <w:spacing w:line="240" w:lineRule="auto" w:before="69" w:after="0"/>
        <w:ind w:left="954" w:right="0" w:hanging="852"/>
        <w:jc w:val="both"/>
      </w:pPr>
      <w:r>
        <w:rPr/>
        <w:t>Organización para la Cooperación y el Desarrollo Económico</w:t>
      </w:r>
      <w:r>
        <w:rPr>
          <w:spacing w:val="-11"/>
        </w:rPr>
        <w:t> </w:t>
      </w:r>
      <w:r>
        <w:rPr/>
        <w:t>(OCDE)</w:t>
      </w:r>
    </w:p>
    <w:p>
      <w:pPr>
        <w:pStyle w:val="BodyText"/>
        <w:rPr>
          <w:b/>
        </w:rPr>
      </w:pPr>
    </w:p>
    <w:p>
      <w:pPr>
        <w:pStyle w:val="BodyText"/>
        <w:rPr>
          <w:b/>
        </w:rPr>
      </w:pPr>
    </w:p>
    <w:p>
      <w:pPr>
        <w:pStyle w:val="BodyText"/>
        <w:spacing w:line="360" w:lineRule="auto" w:before="158"/>
        <w:ind w:left="102" w:right="115"/>
        <w:jc w:val="both"/>
      </w:pPr>
      <w:r>
        <w:rPr/>
        <w:t>La OCDE es un organismo internacional fundado en 1961 que agrupa a 34 países, entre ellos México, cuya misión es “promover políticas que mejoren el bienestar económico y social de las personas alrededor del mundo” (OCDE, 2014). En sus reportes “</w:t>
      </w:r>
      <w:r>
        <w:rPr>
          <w:i/>
        </w:rPr>
        <w:t>Perspectivas OCDE: México Políticas clave para el desarrollo sostenible </w:t>
      </w:r>
      <w:r>
        <w:rPr/>
        <w:t>2010 y 2012” establece dentro de sus recomendaciones: acabar con los paraísos fiscales, mejorar la transparencia presupuestaria, fiscal y del sector educativo, promover</w:t>
      </w:r>
      <w:r>
        <w:rPr>
          <w:spacing w:val="-6"/>
        </w:rPr>
        <w:t> </w:t>
      </w:r>
      <w:r>
        <w:rPr/>
        <w:t>la</w:t>
      </w:r>
      <w:r>
        <w:rPr>
          <w:spacing w:val="-5"/>
        </w:rPr>
        <w:t> </w:t>
      </w:r>
      <w:r>
        <w:rPr/>
        <w:t>eficacia</w:t>
      </w:r>
      <w:r>
        <w:rPr>
          <w:spacing w:val="-5"/>
        </w:rPr>
        <w:t> </w:t>
      </w:r>
      <w:r>
        <w:rPr/>
        <w:t>del</w:t>
      </w:r>
      <w:r>
        <w:rPr>
          <w:spacing w:val="-6"/>
        </w:rPr>
        <w:t> </w:t>
      </w:r>
      <w:r>
        <w:rPr/>
        <w:t>gobierno</w:t>
      </w:r>
      <w:r>
        <w:rPr>
          <w:spacing w:val="-5"/>
        </w:rPr>
        <w:t> </w:t>
      </w:r>
      <w:r>
        <w:rPr/>
        <w:t>y</w:t>
      </w:r>
      <w:r>
        <w:rPr>
          <w:spacing w:val="-8"/>
        </w:rPr>
        <w:t> </w:t>
      </w:r>
      <w:r>
        <w:rPr/>
        <w:t>la</w:t>
      </w:r>
      <w:r>
        <w:rPr>
          <w:spacing w:val="-5"/>
        </w:rPr>
        <w:t> </w:t>
      </w:r>
      <w:r>
        <w:rPr/>
        <w:t>profesionalización</w:t>
      </w:r>
      <w:r>
        <w:rPr>
          <w:spacing w:val="-4"/>
        </w:rPr>
        <w:t> </w:t>
      </w:r>
      <w:r>
        <w:rPr/>
        <w:t>de</w:t>
      </w:r>
      <w:r>
        <w:rPr>
          <w:spacing w:val="-5"/>
        </w:rPr>
        <w:t> </w:t>
      </w:r>
      <w:r>
        <w:rPr/>
        <w:t>los</w:t>
      </w:r>
      <w:r>
        <w:rPr>
          <w:spacing w:val="-5"/>
        </w:rPr>
        <w:t> </w:t>
      </w:r>
      <w:r>
        <w:rPr/>
        <w:t>servidores</w:t>
      </w:r>
      <w:r>
        <w:rPr>
          <w:spacing w:val="-5"/>
        </w:rPr>
        <w:t> </w:t>
      </w:r>
      <w:r>
        <w:rPr/>
        <w:t>públicos:</w:t>
      </w:r>
    </w:p>
    <w:p>
      <w:pPr>
        <w:pStyle w:val="BodyText"/>
      </w:pPr>
    </w:p>
    <w:p>
      <w:pPr>
        <w:pStyle w:val="BodyText"/>
      </w:pPr>
    </w:p>
    <w:p>
      <w:pPr>
        <w:spacing w:line="240" w:lineRule="auto" w:before="186"/>
        <w:ind w:left="1234" w:right="1301" w:firstLine="0"/>
        <w:jc w:val="both"/>
        <w:rPr>
          <w:sz w:val="18"/>
        </w:rPr>
      </w:pPr>
      <w:r>
        <w:rPr>
          <w:sz w:val="18"/>
        </w:rPr>
        <w:t>“Las recientes iniciativas de la OCDE y el G20 pretenden combatir los paraísos fiscales y la evasión fiscal, y México ha desempeñado un papel clave en estos esfuerzos. El país albergó el Foro Global sobre Transparencia e Intercambio de Información en 2009, además ha negociado con éxito varios acuerdos fiscales y otros convenios que promueven el intercambio </w:t>
      </w:r>
      <w:r>
        <w:rPr>
          <w:spacing w:val="2"/>
          <w:sz w:val="18"/>
        </w:rPr>
        <w:t>de </w:t>
      </w:r>
      <w:r>
        <w:rPr>
          <w:sz w:val="18"/>
        </w:rPr>
        <w:t>información” (OCDE, 2012:18). (…)</w:t>
      </w:r>
      <w:r>
        <w:rPr>
          <w:spacing w:val="-15"/>
          <w:sz w:val="18"/>
        </w:rPr>
        <w:t> </w:t>
      </w:r>
      <w:r>
        <w:rPr>
          <w:sz w:val="18"/>
        </w:rPr>
        <w:t>“México</w:t>
      </w:r>
      <w:r>
        <w:rPr>
          <w:spacing w:val="-15"/>
          <w:sz w:val="18"/>
        </w:rPr>
        <w:t> </w:t>
      </w:r>
      <w:r>
        <w:rPr>
          <w:sz w:val="18"/>
        </w:rPr>
        <w:t>se</w:t>
      </w:r>
      <w:r>
        <w:rPr>
          <w:spacing w:val="-15"/>
          <w:sz w:val="18"/>
        </w:rPr>
        <w:t> </w:t>
      </w:r>
      <w:r>
        <w:rPr>
          <w:sz w:val="18"/>
        </w:rPr>
        <w:t>encuentra</w:t>
      </w:r>
      <w:r>
        <w:rPr>
          <w:spacing w:val="-14"/>
          <w:sz w:val="18"/>
        </w:rPr>
        <w:t> </w:t>
      </w:r>
      <w:r>
        <w:rPr>
          <w:sz w:val="18"/>
        </w:rPr>
        <w:t>en</w:t>
      </w:r>
      <w:r>
        <w:rPr>
          <w:spacing w:val="-15"/>
          <w:sz w:val="18"/>
        </w:rPr>
        <w:t> </w:t>
      </w:r>
      <w:r>
        <w:rPr>
          <w:sz w:val="18"/>
        </w:rPr>
        <w:t>una</w:t>
      </w:r>
      <w:r>
        <w:rPr>
          <w:spacing w:val="-15"/>
          <w:sz w:val="18"/>
        </w:rPr>
        <w:t> </w:t>
      </w:r>
      <w:r>
        <w:rPr>
          <w:sz w:val="18"/>
        </w:rPr>
        <w:t>región</w:t>
      </w:r>
      <w:r>
        <w:rPr>
          <w:spacing w:val="-15"/>
          <w:sz w:val="18"/>
        </w:rPr>
        <w:t> </w:t>
      </w:r>
      <w:r>
        <w:rPr>
          <w:sz w:val="18"/>
        </w:rPr>
        <w:t>donde</w:t>
      </w:r>
      <w:r>
        <w:rPr>
          <w:spacing w:val="-15"/>
          <w:sz w:val="18"/>
        </w:rPr>
        <w:t> </w:t>
      </w:r>
      <w:r>
        <w:rPr>
          <w:sz w:val="18"/>
        </w:rPr>
        <w:t>abundan</w:t>
      </w:r>
      <w:r>
        <w:rPr>
          <w:spacing w:val="-15"/>
          <w:sz w:val="18"/>
        </w:rPr>
        <w:t> </w:t>
      </w:r>
      <w:r>
        <w:rPr>
          <w:sz w:val="18"/>
        </w:rPr>
        <w:t>los</w:t>
      </w:r>
      <w:r>
        <w:rPr>
          <w:spacing w:val="-14"/>
          <w:sz w:val="18"/>
        </w:rPr>
        <w:t> </w:t>
      </w:r>
      <w:r>
        <w:rPr>
          <w:sz w:val="18"/>
        </w:rPr>
        <w:t>paraísos</w:t>
      </w:r>
      <w:r>
        <w:rPr>
          <w:spacing w:val="-14"/>
          <w:sz w:val="18"/>
        </w:rPr>
        <w:t> </w:t>
      </w:r>
      <w:r>
        <w:rPr>
          <w:sz w:val="18"/>
        </w:rPr>
        <w:t>fiscales.</w:t>
      </w:r>
      <w:r>
        <w:rPr>
          <w:spacing w:val="-15"/>
          <w:sz w:val="18"/>
        </w:rPr>
        <w:t> </w:t>
      </w:r>
      <w:r>
        <w:rPr>
          <w:sz w:val="18"/>
        </w:rPr>
        <w:t>Esto ofrece la posibilidad a los contribuyentes mexicanos de evadir impuestos. Las recientes iniciativas de la OCDE y el G20 pretenden contrarrestar dicho incumplimiento mediante el combate a la falta de transparencia en los paraísos fiscales. México ha desempeñado un papel clave en estos esfuerzos, albergando el Foro Global sobre Transparencia e Intercambio de Información en 2009, y ha negociado con éxito varios acuerdos fiscales y otros convenios (con Panamá,</w:t>
      </w:r>
      <w:r>
        <w:rPr>
          <w:spacing w:val="-15"/>
          <w:sz w:val="18"/>
        </w:rPr>
        <w:t> </w:t>
      </w:r>
      <w:r>
        <w:rPr>
          <w:sz w:val="18"/>
        </w:rPr>
        <w:t>por</w:t>
      </w:r>
    </w:p>
    <w:p>
      <w:pPr>
        <w:spacing w:after="0" w:line="240" w:lineRule="auto"/>
        <w:jc w:val="both"/>
        <w:rPr>
          <w:sz w:val="18"/>
        </w:rPr>
        <w:sectPr>
          <w:pgSz w:w="12240" w:h="15840"/>
          <w:pgMar w:header="0" w:footer="1035" w:top="1500" w:bottom="1220" w:left="1600" w:right="1580"/>
        </w:sectPr>
      </w:pPr>
    </w:p>
    <w:p>
      <w:pPr>
        <w:spacing w:line="240" w:lineRule="auto" w:before="55"/>
        <w:ind w:left="1234" w:right="1279" w:firstLine="0"/>
        <w:jc w:val="both"/>
        <w:rPr>
          <w:sz w:val="18"/>
        </w:rPr>
      </w:pPr>
      <w:r>
        <w:rPr>
          <w:sz w:val="18"/>
        </w:rPr>
        <w:t>ejemplo)</w:t>
      </w:r>
      <w:r>
        <w:rPr>
          <w:spacing w:val="-15"/>
          <w:sz w:val="18"/>
        </w:rPr>
        <w:t> </w:t>
      </w:r>
      <w:r>
        <w:rPr>
          <w:sz w:val="18"/>
        </w:rPr>
        <w:t>que</w:t>
      </w:r>
      <w:r>
        <w:rPr>
          <w:spacing w:val="-15"/>
          <w:sz w:val="18"/>
        </w:rPr>
        <w:t> </w:t>
      </w:r>
      <w:r>
        <w:rPr>
          <w:sz w:val="18"/>
        </w:rPr>
        <w:t>promueven</w:t>
      </w:r>
      <w:r>
        <w:rPr>
          <w:spacing w:val="-12"/>
          <w:sz w:val="18"/>
        </w:rPr>
        <w:t> </w:t>
      </w:r>
      <w:r>
        <w:rPr>
          <w:sz w:val="18"/>
        </w:rPr>
        <w:t>el</w:t>
      </w:r>
      <w:r>
        <w:rPr>
          <w:spacing w:val="-12"/>
          <w:sz w:val="18"/>
        </w:rPr>
        <w:t> </w:t>
      </w:r>
      <w:r>
        <w:rPr>
          <w:sz w:val="18"/>
        </w:rPr>
        <w:t>intercambio</w:t>
      </w:r>
      <w:r>
        <w:rPr>
          <w:spacing w:val="-12"/>
          <w:sz w:val="18"/>
        </w:rPr>
        <w:t> </w:t>
      </w:r>
      <w:r>
        <w:rPr>
          <w:sz w:val="18"/>
        </w:rPr>
        <w:t>de</w:t>
      </w:r>
      <w:r>
        <w:rPr>
          <w:spacing w:val="-12"/>
          <w:sz w:val="18"/>
        </w:rPr>
        <w:t> </w:t>
      </w:r>
      <w:r>
        <w:rPr>
          <w:sz w:val="18"/>
        </w:rPr>
        <w:t>información</w:t>
      </w:r>
      <w:r>
        <w:rPr>
          <w:spacing w:val="-15"/>
          <w:sz w:val="18"/>
        </w:rPr>
        <w:t> </w:t>
      </w:r>
      <w:r>
        <w:rPr>
          <w:sz w:val="18"/>
        </w:rPr>
        <w:t>(…)</w:t>
      </w:r>
      <w:r>
        <w:rPr>
          <w:spacing w:val="-15"/>
          <w:sz w:val="18"/>
        </w:rPr>
        <w:t> </w:t>
      </w:r>
      <w:r>
        <w:rPr>
          <w:sz w:val="18"/>
        </w:rPr>
        <w:t>Desde</w:t>
      </w:r>
      <w:r>
        <w:rPr>
          <w:spacing w:val="-15"/>
          <w:sz w:val="18"/>
        </w:rPr>
        <w:t> </w:t>
      </w:r>
      <w:r>
        <w:rPr>
          <w:sz w:val="18"/>
        </w:rPr>
        <w:t>el</w:t>
      </w:r>
      <w:r>
        <w:rPr>
          <w:spacing w:val="-12"/>
          <w:sz w:val="18"/>
        </w:rPr>
        <w:t> </w:t>
      </w:r>
      <w:r>
        <w:rPr>
          <w:sz w:val="18"/>
        </w:rPr>
        <w:t>2006,</w:t>
      </w:r>
      <w:r>
        <w:rPr>
          <w:spacing w:val="-12"/>
          <w:sz w:val="18"/>
        </w:rPr>
        <w:t> </w:t>
      </w:r>
      <w:r>
        <w:rPr>
          <w:sz w:val="18"/>
        </w:rPr>
        <w:t>México ha venido introduciendo una serie de leyes para mejorar la responsabilidad y la transparencia fiscales. Pero la legislación es solo el primer paso. También es necesario</w:t>
      </w:r>
      <w:r>
        <w:rPr>
          <w:spacing w:val="-10"/>
          <w:sz w:val="18"/>
        </w:rPr>
        <w:t> </w:t>
      </w:r>
      <w:r>
        <w:rPr>
          <w:sz w:val="18"/>
        </w:rPr>
        <w:t>contar</w:t>
      </w:r>
      <w:r>
        <w:rPr>
          <w:spacing w:val="-13"/>
          <w:sz w:val="18"/>
        </w:rPr>
        <w:t> </w:t>
      </w:r>
      <w:r>
        <w:rPr>
          <w:sz w:val="18"/>
        </w:rPr>
        <w:t>con</w:t>
      </w:r>
      <w:r>
        <w:rPr>
          <w:spacing w:val="-12"/>
          <w:sz w:val="18"/>
        </w:rPr>
        <w:t> </w:t>
      </w:r>
      <w:r>
        <w:rPr>
          <w:sz w:val="18"/>
        </w:rPr>
        <w:t>un</w:t>
      </w:r>
      <w:r>
        <w:rPr>
          <w:spacing w:val="-10"/>
          <w:sz w:val="18"/>
        </w:rPr>
        <w:t> </w:t>
      </w:r>
      <w:r>
        <w:rPr>
          <w:sz w:val="18"/>
        </w:rPr>
        <w:t>respaldo</w:t>
      </w:r>
      <w:r>
        <w:rPr>
          <w:spacing w:val="-10"/>
          <w:sz w:val="18"/>
        </w:rPr>
        <w:t> </w:t>
      </w:r>
      <w:r>
        <w:rPr>
          <w:sz w:val="18"/>
        </w:rPr>
        <w:t>sólido</w:t>
      </w:r>
      <w:r>
        <w:rPr>
          <w:spacing w:val="-10"/>
          <w:sz w:val="18"/>
        </w:rPr>
        <w:t> </w:t>
      </w:r>
      <w:r>
        <w:rPr>
          <w:sz w:val="18"/>
        </w:rPr>
        <w:t>y</w:t>
      </w:r>
      <w:r>
        <w:rPr>
          <w:spacing w:val="-12"/>
          <w:sz w:val="18"/>
        </w:rPr>
        <w:t> </w:t>
      </w:r>
      <w:r>
        <w:rPr>
          <w:sz w:val="18"/>
        </w:rPr>
        <w:t>sostenido</w:t>
      </w:r>
      <w:r>
        <w:rPr>
          <w:spacing w:val="-10"/>
          <w:sz w:val="18"/>
        </w:rPr>
        <w:t> </w:t>
      </w:r>
      <w:r>
        <w:rPr>
          <w:sz w:val="18"/>
        </w:rPr>
        <w:t>en</w:t>
      </w:r>
      <w:r>
        <w:rPr>
          <w:spacing w:val="-10"/>
          <w:sz w:val="18"/>
        </w:rPr>
        <w:t> </w:t>
      </w:r>
      <w:r>
        <w:rPr>
          <w:sz w:val="18"/>
        </w:rPr>
        <w:t>todos</w:t>
      </w:r>
      <w:r>
        <w:rPr>
          <w:spacing w:val="-12"/>
          <w:sz w:val="18"/>
        </w:rPr>
        <w:t> </w:t>
      </w:r>
      <w:r>
        <w:rPr>
          <w:sz w:val="18"/>
        </w:rPr>
        <w:t>los</w:t>
      </w:r>
      <w:r>
        <w:rPr>
          <w:spacing w:val="-9"/>
          <w:sz w:val="18"/>
        </w:rPr>
        <w:t> </w:t>
      </w:r>
      <w:r>
        <w:rPr>
          <w:sz w:val="18"/>
        </w:rPr>
        <w:t>niveles</w:t>
      </w:r>
      <w:r>
        <w:rPr>
          <w:spacing w:val="-3"/>
          <w:sz w:val="18"/>
        </w:rPr>
        <w:t> </w:t>
      </w:r>
      <w:r>
        <w:rPr>
          <w:sz w:val="18"/>
        </w:rPr>
        <w:t>—federal, estatal y municipal— para garantizar la implementación y la utilización de dichas leyes. La crisis financiera debe verse como una oportunidad para lograr importantes reformas (…) Recomendaciones clave de la OCDE (…) Promover la eficacia del gobierno mediante la profesionalización de los servidores públicos, el fomento de la calidad del gasto y la extensión de la transparencia y las iniciativas de gobierno abierto” (OCDE,</w:t>
      </w:r>
      <w:r>
        <w:rPr>
          <w:spacing w:val="-13"/>
          <w:sz w:val="18"/>
        </w:rPr>
        <w:t> </w:t>
      </w:r>
      <w:r>
        <w:rPr>
          <w:sz w:val="18"/>
        </w:rPr>
        <w:t>2010:15-21).</w:t>
      </w:r>
    </w:p>
    <w:p>
      <w:pPr>
        <w:pStyle w:val="BodyText"/>
        <w:rPr>
          <w:sz w:val="18"/>
        </w:rPr>
      </w:pPr>
    </w:p>
    <w:p>
      <w:pPr>
        <w:pStyle w:val="BodyText"/>
        <w:rPr>
          <w:sz w:val="18"/>
        </w:rPr>
      </w:pPr>
    </w:p>
    <w:p>
      <w:pPr>
        <w:pStyle w:val="BodyText"/>
        <w:rPr>
          <w:sz w:val="18"/>
        </w:rPr>
      </w:pPr>
    </w:p>
    <w:p>
      <w:pPr>
        <w:pStyle w:val="BodyText"/>
        <w:spacing w:line="360" w:lineRule="auto" w:before="114"/>
        <w:ind w:left="102" w:right="107"/>
        <w:jc w:val="both"/>
      </w:pPr>
      <w:r>
        <w:rPr/>
        <w:t>Asimismo, en su reporte de evaluación de la gobernanza reconoce los avances de México en materia de desregulación económica, transparencia y uso de TIC para fortalecer el gobierno abierto (OCDE, 2011).</w:t>
      </w:r>
    </w:p>
    <w:p>
      <w:pPr>
        <w:pStyle w:val="BodyText"/>
      </w:pPr>
    </w:p>
    <w:p>
      <w:pPr>
        <w:pStyle w:val="BodyText"/>
      </w:pPr>
    </w:p>
    <w:p>
      <w:pPr>
        <w:spacing w:line="240" w:lineRule="auto" w:before="186"/>
        <w:ind w:left="1234" w:right="1281" w:firstLine="0"/>
        <w:jc w:val="both"/>
        <w:rPr>
          <w:sz w:val="18"/>
        </w:rPr>
      </w:pPr>
      <w:r>
        <w:rPr>
          <w:sz w:val="18"/>
        </w:rPr>
        <w:t>“Los esfuerzos de México por desregular se encuentran entre los mejores casos documentados por la OCDE. El impacto de esta estrategia se reflejará en aumentos en la eficiencia y la transparencia del gobierno, </w:t>
      </w:r>
      <w:r>
        <w:rPr>
          <w:spacing w:val="2"/>
          <w:sz w:val="18"/>
        </w:rPr>
        <w:t>así </w:t>
      </w:r>
      <w:r>
        <w:rPr>
          <w:sz w:val="18"/>
        </w:rPr>
        <w:t>como en la competitividad</w:t>
      </w:r>
      <w:r>
        <w:rPr>
          <w:spacing w:val="-6"/>
          <w:sz w:val="18"/>
        </w:rPr>
        <w:t> </w:t>
      </w:r>
      <w:r>
        <w:rPr>
          <w:sz w:val="18"/>
        </w:rPr>
        <w:t>y</w:t>
      </w:r>
      <w:r>
        <w:rPr>
          <w:spacing w:val="-8"/>
          <w:sz w:val="18"/>
        </w:rPr>
        <w:t> </w:t>
      </w:r>
      <w:r>
        <w:rPr>
          <w:sz w:val="18"/>
        </w:rPr>
        <w:t>el</w:t>
      </w:r>
      <w:r>
        <w:rPr>
          <w:spacing w:val="-6"/>
          <w:sz w:val="18"/>
        </w:rPr>
        <w:t> </w:t>
      </w:r>
      <w:r>
        <w:rPr>
          <w:sz w:val="18"/>
        </w:rPr>
        <w:t>crecimiento</w:t>
      </w:r>
      <w:r>
        <w:rPr>
          <w:spacing w:val="-8"/>
          <w:sz w:val="18"/>
        </w:rPr>
        <w:t> </w:t>
      </w:r>
      <w:r>
        <w:rPr>
          <w:sz w:val="18"/>
        </w:rPr>
        <w:t>económico</w:t>
      </w:r>
      <w:r>
        <w:rPr>
          <w:spacing w:val="-9"/>
          <w:sz w:val="18"/>
        </w:rPr>
        <w:t> </w:t>
      </w:r>
      <w:r>
        <w:rPr>
          <w:sz w:val="18"/>
        </w:rPr>
        <w:t>del</w:t>
      </w:r>
      <w:r>
        <w:rPr>
          <w:spacing w:val="-6"/>
          <w:sz w:val="18"/>
        </w:rPr>
        <w:t> </w:t>
      </w:r>
      <w:r>
        <w:rPr>
          <w:sz w:val="18"/>
        </w:rPr>
        <w:t>país</w:t>
      </w:r>
      <w:r>
        <w:rPr>
          <w:spacing w:val="-6"/>
          <w:sz w:val="18"/>
        </w:rPr>
        <w:t> </w:t>
      </w:r>
      <w:r>
        <w:rPr>
          <w:sz w:val="18"/>
        </w:rPr>
        <w:t>y</w:t>
      </w:r>
      <w:r>
        <w:rPr>
          <w:spacing w:val="-8"/>
          <w:sz w:val="18"/>
        </w:rPr>
        <w:t> </w:t>
      </w:r>
      <w:r>
        <w:rPr>
          <w:sz w:val="18"/>
        </w:rPr>
        <w:t>en</w:t>
      </w:r>
      <w:r>
        <w:rPr>
          <w:spacing w:val="-9"/>
          <w:sz w:val="18"/>
        </w:rPr>
        <w:t> </w:t>
      </w:r>
      <w:r>
        <w:rPr>
          <w:sz w:val="18"/>
        </w:rPr>
        <w:t>su</w:t>
      </w:r>
      <w:r>
        <w:rPr>
          <w:spacing w:val="-9"/>
          <w:sz w:val="18"/>
        </w:rPr>
        <w:t> </w:t>
      </w:r>
      <w:r>
        <w:rPr>
          <w:sz w:val="18"/>
        </w:rPr>
        <w:t>capacidad</w:t>
      </w:r>
      <w:r>
        <w:rPr>
          <w:spacing w:val="-9"/>
          <w:sz w:val="18"/>
        </w:rPr>
        <w:t> </w:t>
      </w:r>
      <w:r>
        <w:rPr>
          <w:sz w:val="18"/>
        </w:rPr>
        <w:t>para</w:t>
      </w:r>
      <w:r>
        <w:rPr>
          <w:spacing w:val="-6"/>
          <w:sz w:val="18"/>
        </w:rPr>
        <w:t> </w:t>
      </w:r>
      <w:r>
        <w:rPr>
          <w:sz w:val="18"/>
        </w:rPr>
        <w:t>prestar mejores servicios y procedimientos más ágiles a sus ciudadanos” (OCDE, 2011:13).</w:t>
      </w:r>
    </w:p>
    <w:p>
      <w:pPr>
        <w:pStyle w:val="BodyText"/>
        <w:rPr>
          <w:sz w:val="18"/>
        </w:rPr>
      </w:pPr>
    </w:p>
    <w:p>
      <w:pPr>
        <w:pStyle w:val="BodyText"/>
        <w:rPr>
          <w:sz w:val="18"/>
        </w:rPr>
      </w:pPr>
    </w:p>
    <w:p>
      <w:pPr>
        <w:pStyle w:val="BodyText"/>
        <w:rPr>
          <w:sz w:val="18"/>
        </w:rPr>
      </w:pPr>
    </w:p>
    <w:p>
      <w:pPr>
        <w:pStyle w:val="BodyText"/>
        <w:spacing w:line="362" w:lineRule="auto" w:before="114"/>
        <w:ind w:left="102" w:right="109"/>
        <w:jc w:val="both"/>
      </w:pPr>
      <w:r>
        <w:rPr/>
        <w:t>Y afirma que dentro de los tres elementos de la buena gobernanza se encuentran los siguientes:</w:t>
      </w:r>
    </w:p>
    <w:p>
      <w:pPr>
        <w:pStyle w:val="BodyText"/>
      </w:pPr>
    </w:p>
    <w:p>
      <w:pPr>
        <w:pStyle w:val="BodyText"/>
      </w:pPr>
    </w:p>
    <w:p>
      <w:pPr>
        <w:spacing w:line="240" w:lineRule="auto" w:before="179"/>
        <w:ind w:left="954" w:right="999" w:firstLine="0"/>
        <w:jc w:val="both"/>
        <w:rPr>
          <w:sz w:val="18"/>
        </w:rPr>
      </w:pPr>
      <w:r>
        <w:rPr>
          <w:b/>
          <w:sz w:val="18"/>
        </w:rPr>
        <w:t>“Rendición</w:t>
      </w:r>
      <w:r>
        <w:rPr>
          <w:b/>
          <w:spacing w:val="-7"/>
          <w:sz w:val="18"/>
        </w:rPr>
        <w:t> </w:t>
      </w:r>
      <w:r>
        <w:rPr>
          <w:b/>
          <w:sz w:val="18"/>
        </w:rPr>
        <w:t>de</w:t>
      </w:r>
      <w:r>
        <w:rPr>
          <w:b/>
          <w:spacing w:val="-7"/>
          <w:sz w:val="18"/>
        </w:rPr>
        <w:t> </w:t>
      </w:r>
      <w:r>
        <w:rPr>
          <w:b/>
          <w:sz w:val="18"/>
        </w:rPr>
        <w:t>cuentas:</w:t>
      </w:r>
      <w:r>
        <w:rPr>
          <w:b/>
          <w:spacing w:val="-6"/>
          <w:sz w:val="18"/>
        </w:rPr>
        <w:t> </w:t>
      </w:r>
      <w:r>
        <w:rPr>
          <w:sz w:val="18"/>
        </w:rPr>
        <w:t>el</w:t>
      </w:r>
      <w:r>
        <w:rPr>
          <w:spacing w:val="-5"/>
          <w:sz w:val="18"/>
        </w:rPr>
        <w:t> </w:t>
      </w:r>
      <w:r>
        <w:rPr>
          <w:sz w:val="18"/>
        </w:rPr>
        <w:t>gobierno</w:t>
      </w:r>
      <w:r>
        <w:rPr>
          <w:spacing w:val="-7"/>
          <w:sz w:val="18"/>
        </w:rPr>
        <w:t> </w:t>
      </w:r>
      <w:r>
        <w:rPr>
          <w:sz w:val="18"/>
        </w:rPr>
        <w:t>está</w:t>
      </w:r>
      <w:r>
        <w:rPr>
          <w:spacing w:val="-7"/>
          <w:sz w:val="18"/>
        </w:rPr>
        <w:t> </w:t>
      </w:r>
      <w:r>
        <w:rPr>
          <w:sz w:val="18"/>
        </w:rPr>
        <w:t>en</w:t>
      </w:r>
      <w:r>
        <w:rPr>
          <w:spacing w:val="-7"/>
          <w:sz w:val="18"/>
        </w:rPr>
        <w:t> </w:t>
      </w:r>
      <w:r>
        <w:rPr>
          <w:sz w:val="18"/>
        </w:rPr>
        <w:t>posibilidades</w:t>
      </w:r>
      <w:r>
        <w:rPr>
          <w:spacing w:val="-4"/>
          <w:sz w:val="18"/>
        </w:rPr>
        <w:t> </w:t>
      </w:r>
      <w:r>
        <w:rPr>
          <w:sz w:val="18"/>
        </w:rPr>
        <w:t>y</w:t>
      </w:r>
      <w:r>
        <w:rPr>
          <w:spacing w:val="-9"/>
          <w:sz w:val="18"/>
        </w:rPr>
        <w:t> </w:t>
      </w:r>
      <w:r>
        <w:rPr>
          <w:sz w:val="18"/>
        </w:rPr>
        <w:t>tiene</w:t>
      </w:r>
      <w:r>
        <w:rPr>
          <w:spacing w:val="-7"/>
          <w:sz w:val="18"/>
        </w:rPr>
        <w:t> </w:t>
      </w:r>
      <w:r>
        <w:rPr>
          <w:sz w:val="18"/>
        </w:rPr>
        <w:t>la</w:t>
      </w:r>
      <w:r>
        <w:rPr>
          <w:spacing w:val="-7"/>
          <w:sz w:val="18"/>
        </w:rPr>
        <w:t> </w:t>
      </w:r>
      <w:r>
        <w:rPr>
          <w:sz w:val="18"/>
        </w:rPr>
        <w:t>intención</w:t>
      </w:r>
      <w:r>
        <w:rPr>
          <w:spacing w:val="-7"/>
          <w:sz w:val="18"/>
        </w:rPr>
        <w:t> </w:t>
      </w:r>
      <w:r>
        <w:rPr>
          <w:sz w:val="18"/>
        </w:rPr>
        <w:t>de</w:t>
      </w:r>
      <w:r>
        <w:rPr>
          <w:spacing w:val="-7"/>
          <w:sz w:val="18"/>
        </w:rPr>
        <w:t> </w:t>
      </w:r>
      <w:r>
        <w:rPr>
          <w:sz w:val="18"/>
        </w:rPr>
        <w:t>mostrar hasta qué punto las medidas que aplica y las decisiones que toma son congruentes con objetivos claramente definidos y</w:t>
      </w:r>
      <w:r>
        <w:rPr>
          <w:spacing w:val="-20"/>
          <w:sz w:val="18"/>
        </w:rPr>
        <w:t> </w:t>
      </w:r>
      <w:r>
        <w:rPr>
          <w:sz w:val="18"/>
        </w:rPr>
        <w:t>acordados.</w:t>
      </w:r>
    </w:p>
    <w:p>
      <w:pPr>
        <w:spacing w:line="240" w:lineRule="auto" w:before="158"/>
        <w:ind w:left="954" w:right="1002" w:firstLine="0"/>
        <w:jc w:val="both"/>
        <w:rPr>
          <w:sz w:val="18"/>
        </w:rPr>
      </w:pPr>
      <w:r>
        <w:rPr>
          <w:b/>
          <w:sz w:val="18"/>
        </w:rPr>
        <w:t>Transparencia: </w:t>
      </w:r>
      <w:r>
        <w:rPr>
          <w:sz w:val="18"/>
        </w:rPr>
        <w:t>las medidas que toma el gobierno, así como sus decisiones y los procesos</w:t>
      </w:r>
      <w:r>
        <w:rPr>
          <w:spacing w:val="-4"/>
          <w:sz w:val="18"/>
        </w:rPr>
        <w:t> </w:t>
      </w:r>
      <w:r>
        <w:rPr>
          <w:sz w:val="18"/>
        </w:rPr>
        <w:t>que</w:t>
      </w:r>
      <w:r>
        <w:rPr>
          <w:spacing w:val="-5"/>
          <w:sz w:val="18"/>
        </w:rPr>
        <w:t> </w:t>
      </w:r>
      <w:r>
        <w:rPr>
          <w:sz w:val="18"/>
        </w:rPr>
        <w:t>llevan</w:t>
      </w:r>
      <w:r>
        <w:rPr>
          <w:spacing w:val="-7"/>
          <w:sz w:val="18"/>
        </w:rPr>
        <w:t> </w:t>
      </w:r>
      <w:r>
        <w:rPr>
          <w:sz w:val="18"/>
        </w:rPr>
        <w:t>a</w:t>
      </w:r>
      <w:r>
        <w:rPr>
          <w:spacing w:val="-5"/>
          <w:sz w:val="18"/>
        </w:rPr>
        <w:t> </w:t>
      </w:r>
      <w:r>
        <w:rPr>
          <w:sz w:val="18"/>
        </w:rPr>
        <w:t>las</w:t>
      </w:r>
      <w:r>
        <w:rPr>
          <w:spacing w:val="-7"/>
          <w:sz w:val="18"/>
        </w:rPr>
        <w:t> </w:t>
      </w:r>
      <w:r>
        <w:rPr>
          <w:sz w:val="18"/>
        </w:rPr>
        <w:t>mismas</w:t>
      </w:r>
      <w:r>
        <w:rPr>
          <w:spacing w:val="-7"/>
          <w:sz w:val="18"/>
        </w:rPr>
        <w:t> </w:t>
      </w:r>
      <w:r>
        <w:rPr>
          <w:sz w:val="18"/>
        </w:rPr>
        <w:t>están</w:t>
      </w:r>
      <w:r>
        <w:rPr>
          <w:spacing w:val="-7"/>
          <w:sz w:val="18"/>
        </w:rPr>
        <w:t> </w:t>
      </w:r>
      <w:r>
        <w:rPr>
          <w:sz w:val="18"/>
        </w:rPr>
        <w:t>abiertos</w:t>
      </w:r>
      <w:r>
        <w:rPr>
          <w:spacing w:val="-4"/>
          <w:sz w:val="18"/>
        </w:rPr>
        <w:t> </w:t>
      </w:r>
      <w:r>
        <w:rPr>
          <w:sz w:val="18"/>
        </w:rPr>
        <w:t>en</w:t>
      </w:r>
      <w:r>
        <w:rPr>
          <w:spacing w:val="-7"/>
          <w:sz w:val="18"/>
        </w:rPr>
        <w:t> </w:t>
      </w:r>
      <w:r>
        <w:rPr>
          <w:sz w:val="18"/>
        </w:rPr>
        <w:t>un</w:t>
      </w:r>
      <w:r>
        <w:rPr>
          <w:spacing w:val="-7"/>
          <w:sz w:val="18"/>
        </w:rPr>
        <w:t> </w:t>
      </w:r>
      <w:r>
        <w:rPr>
          <w:sz w:val="18"/>
        </w:rPr>
        <w:t>nivel</w:t>
      </w:r>
      <w:r>
        <w:rPr>
          <w:spacing w:val="-7"/>
          <w:sz w:val="18"/>
        </w:rPr>
        <w:t> </w:t>
      </w:r>
      <w:r>
        <w:rPr>
          <w:sz w:val="18"/>
        </w:rPr>
        <w:t>de</w:t>
      </w:r>
      <w:r>
        <w:rPr>
          <w:spacing w:val="-5"/>
          <w:sz w:val="18"/>
        </w:rPr>
        <w:t> </w:t>
      </w:r>
      <w:r>
        <w:rPr>
          <w:sz w:val="18"/>
        </w:rPr>
        <w:t>escrutinio</w:t>
      </w:r>
      <w:r>
        <w:rPr>
          <w:spacing w:val="-7"/>
          <w:sz w:val="18"/>
        </w:rPr>
        <w:t> </w:t>
      </w:r>
      <w:r>
        <w:rPr>
          <w:sz w:val="18"/>
        </w:rPr>
        <w:t>adecuado</w:t>
      </w:r>
      <w:r>
        <w:rPr>
          <w:spacing w:val="-5"/>
          <w:sz w:val="18"/>
        </w:rPr>
        <w:t> </w:t>
      </w:r>
      <w:r>
        <w:rPr>
          <w:sz w:val="18"/>
        </w:rPr>
        <w:t>para ser objeto de revisión en otros sectores del gobierno o por la sociedad civil y, en algunos casos, instituciones</w:t>
      </w:r>
      <w:r>
        <w:rPr>
          <w:spacing w:val="-9"/>
          <w:sz w:val="18"/>
        </w:rPr>
        <w:t> </w:t>
      </w:r>
      <w:r>
        <w:rPr>
          <w:sz w:val="18"/>
        </w:rPr>
        <w:t>externas.</w:t>
      </w:r>
    </w:p>
    <w:p>
      <w:pPr>
        <w:spacing w:line="242" w:lineRule="auto" w:before="158"/>
        <w:ind w:left="954" w:right="998" w:firstLine="0"/>
        <w:jc w:val="both"/>
        <w:rPr>
          <w:sz w:val="18"/>
        </w:rPr>
      </w:pPr>
      <w:r>
        <w:rPr>
          <w:b/>
          <w:sz w:val="18"/>
        </w:rPr>
        <w:t>Eficiencia</w:t>
      </w:r>
      <w:r>
        <w:rPr>
          <w:b/>
          <w:spacing w:val="-5"/>
          <w:sz w:val="18"/>
        </w:rPr>
        <w:t> </w:t>
      </w:r>
      <w:r>
        <w:rPr>
          <w:b/>
          <w:sz w:val="18"/>
        </w:rPr>
        <w:t>y</w:t>
      </w:r>
      <w:r>
        <w:rPr>
          <w:b/>
          <w:spacing w:val="-13"/>
          <w:sz w:val="18"/>
        </w:rPr>
        <w:t> </w:t>
      </w:r>
      <w:r>
        <w:rPr>
          <w:b/>
          <w:sz w:val="18"/>
        </w:rPr>
        <w:t>eficacia:</w:t>
      </w:r>
      <w:r>
        <w:rPr>
          <w:b/>
          <w:spacing w:val="-8"/>
          <w:sz w:val="18"/>
        </w:rPr>
        <w:t> </w:t>
      </w:r>
      <w:r>
        <w:rPr>
          <w:sz w:val="18"/>
        </w:rPr>
        <w:t>el</w:t>
      </w:r>
      <w:r>
        <w:rPr>
          <w:spacing w:val="-7"/>
          <w:sz w:val="18"/>
        </w:rPr>
        <w:t> </w:t>
      </w:r>
      <w:r>
        <w:rPr>
          <w:sz w:val="18"/>
        </w:rPr>
        <w:t>gobierno</w:t>
      </w:r>
      <w:r>
        <w:rPr>
          <w:spacing w:val="-7"/>
          <w:sz w:val="18"/>
        </w:rPr>
        <w:t> </w:t>
      </w:r>
      <w:r>
        <w:rPr>
          <w:sz w:val="18"/>
        </w:rPr>
        <w:t>se</w:t>
      </w:r>
      <w:r>
        <w:rPr>
          <w:spacing w:val="-7"/>
          <w:sz w:val="18"/>
        </w:rPr>
        <w:t> </w:t>
      </w:r>
      <w:r>
        <w:rPr>
          <w:sz w:val="18"/>
        </w:rPr>
        <w:t>esfuerza</w:t>
      </w:r>
      <w:r>
        <w:rPr>
          <w:spacing w:val="-7"/>
          <w:sz w:val="18"/>
        </w:rPr>
        <w:t> </w:t>
      </w:r>
      <w:r>
        <w:rPr>
          <w:sz w:val="18"/>
        </w:rPr>
        <w:t>por</w:t>
      </w:r>
      <w:r>
        <w:rPr>
          <w:spacing w:val="-8"/>
          <w:sz w:val="18"/>
        </w:rPr>
        <w:t> </w:t>
      </w:r>
      <w:r>
        <w:rPr>
          <w:sz w:val="18"/>
        </w:rPr>
        <w:t>generar</w:t>
      </w:r>
      <w:r>
        <w:rPr>
          <w:spacing w:val="-8"/>
          <w:sz w:val="18"/>
        </w:rPr>
        <w:t> </w:t>
      </w:r>
      <w:r>
        <w:rPr>
          <w:sz w:val="18"/>
        </w:rPr>
        <w:t>productos</w:t>
      </w:r>
      <w:r>
        <w:rPr>
          <w:spacing w:val="-7"/>
          <w:sz w:val="18"/>
        </w:rPr>
        <w:t> </w:t>
      </w:r>
      <w:r>
        <w:rPr>
          <w:sz w:val="18"/>
        </w:rPr>
        <w:t>públicos</w:t>
      </w:r>
      <w:r>
        <w:rPr>
          <w:spacing w:val="-7"/>
          <w:sz w:val="18"/>
        </w:rPr>
        <w:t> </w:t>
      </w:r>
      <w:r>
        <w:rPr>
          <w:sz w:val="18"/>
        </w:rPr>
        <w:t>de</w:t>
      </w:r>
      <w:r>
        <w:rPr>
          <w:spacing w:val="-9"/>
          <w:sz w:val="18"/>
        </w:rPr>
        <w:t> </w:t>
      </w:r>
      <w:r>
        <w:rPr>
          <w:sz w:val="18"/>
        </w:rPr>
        <w:t>calidad, incluyendo los servicios que se prestan a los ciudadanos, al mejor costo, y garantiza que lo</w:t>
      </w:r>
      <w:r>
        <w:rPr>
          <w:spacing w:val="-12"/>
          <w:sz w:val="18"/>
        </w:rPr>
        <w:t> </w:t>
      </w:r>
      <w:r>
        <w:rPr>
          <w:sz w:val="18"/>
        </w:rPr>
        <w:t>ofrecido</w:t>
      </w:r>
      <w:r>
        <w:rPr>
          <w:spacing w:val="-15"/>
          <w:sz w:val="18"/>
        </w:rPr>
        <w:t> </w:t>
      </w:r>
      <w:r>
        <w:rPr>
          <w:sz w:val="18"/>
        </w:rPr>
        <w:t>cumpla</w:t>
      </w:r>
      <w:r>
        <w:rPr>
          <w:spacing w:val="-14"/>
          <w:sz w:val="18"/>
        </w:rPr>
        <w:t> </w:t>
      </w:r>
      <w:r>
        <w:rPr>
          <w:sz w:val="18"/>
        </w:rPr>
        <w:t>con</w:t>
      </w:r>
      <w:r>
        <w:rPr>
          <w:spacing w:val="-12"/>
          <w:sz w:val="18"/>
        </w:rPr>
        <w:t> </w:t>
      </w:r>
      <w:r>
        <w:rPr>
          <w:sz w:val="18"/>
        </w:rPr>
        <w:t>las</w:t>
      </w:r>
      <w:r>
        <w:rPr>
          <w:spacing w:val="-14"/>
          <w:sz w:val="18"/>
        </w:rPr>
        <w:t> </w:t>
      </w:r>
      <w:r>
        <w:rPr>
          <w:sz w:val="18"/>
        </w:rPr>
        <w:t>intenciones</w:t>
      </w:r>
      <w:r>
        <w:rPr>
          <w:spacing w:val="-14"/>
          <w:sz w:val="18"/>
        </w:rPr>
        <w:t> </w:t>
      </w:r>
      <w:r>
        <w:rPr>
          <w:sz w:val="18"/>
        </w:rPr>
        <w:t>originales</w:t>
      </w:r>
      <w:r>
        <w:rPr>
          <w:spacing w:val="-12"/>
          <w:sz w:val="18"/>
        </w:rPr>
        <w:t> </w:t>
      </w:r>
      <w:r>
        <w:rPr>
          <w:sz w:val="18"/>
        </w:rPr>
        <w:t>de</w:t>
      </w:r>
      <w:r>
        <w:rPr>
          <w:spacing w:val="-14"/>
          <w:sz w:val="18"/>
        </w:rPr>
        <w:t> </w:t>
      </w:r>
      <w:r>
        <w:rPr>
          <w:sz w:val="18"/>
        </w:rPr>
        <w:t>los</w:t>
      </w:r>
      <w:r>
        <w:rPr>
          <w:spacing w:val="-12"/>
          <w:sz w:val="18"/>
        </w:rPr>
        <w:t> </w:t>
      </w:r>
      <w:r>
        <w:rPr>
          <w:sz w:val="18"/>
        </w:rPr>
        <w:t>encargados</w:t>
      </w:r>
      <w:r>
        <w:rPr>
          <w:spacing w:val="-12"/>
          <w:sz w:val="18"/>
        </w:rPr>
        <w:t> </w:t>
      </w:r>
      <w:r>
        <w:rPr>
          <w:sz w:val="18"/>
        </w:rPr>
        <w:t>del</w:t>
      </w:r>
      <w:r>
        <w:rPr>
          <w:spacing w:val="-12"/>
          <w:sz w:val="18"/>
        </w:rPr>
        <w:t> </w:t>
      </w:r>
      <w:r>
        <w:rPr>
          <w:sz w:val="18"/>
        </w:rPr>
        <w:t>diseño</w:t>
      </w:r>
      <w:r>
        <w:rPr>
          <w:spacing w:val="-15"/>
          <w:sz w:val="18"/>
        </w:rPr>
        <w:t> </w:t>
      </w:r>
      <w:r>
        <w:rPr>
          <w:sz w:val="18"/>
        </w:rPr>
        <w:t>de</w:t>
      </w:r>
      <w:r>
        <w:rPr>
          <w:spacing w:val="-12"/>
          <w:sz w:val="18"/>
        </w:rPr>
        <w:t> </w:t>
      </w:r>
      <w:r>
        <w:rPr>
          <w:sz w:val="18"/>
        </w:rPr>
        <w:t>políticas públicas” (OCDE,</w:t>
      </w:r>
      <w:r>
        <w:rPr>
          <w:spacing w:val="-8"/>
          <w:sz w:val="18"/>
        </w:rPr>
        <w:t> </w:t>
      </w:r>
      <w:r>
        <w:rPr>
          <w:sz w:val="18"/>
        </w:rPr>
        <w:t>2011:16).</w:t>
      </w:r>
    </w:p>
    <w:p>
      <w:pPr>
        <w:pStyle w:val="BodyText"/>
        <w:rPr>
          <w:sz w:val="18"/>
        </w:rPr>
      </w:pPr>
    </w:p>
    <w:p>
      <w:pPr>
        <w:pStyle w:val="BodyText"/>
        <w:rPr>
          <w:sz w:val="18"/>
        </w:rPr>
      </w:pPr>
    </w:p>
    <w:p>
      <w:pPr>
        <w:pStyle w:val="BodyText"/>
        <w:rPr>
          <w:sz w:val="18"/>
        </w:rPr>
      </w:pPr>
    </w:p>
    <w:p>
      <w:pPr>
        <w:pStyle w:val="BodyText"/>
        <w:spacing w:line="360" w:lineRule="auto" w:before="112"/>
        <w:ind w:left="102" w:right="146"/>
        <w:jc w:val="both"/>
      </w:pPr>
      <w:r>
        <w:rPr/>
        <w:t>Es de notar el segundo aspecto, referido a la transparencia, donde establece la posibilidad de ser revisados por otras instituciones y sociedad civil. Lo que implica tener información pública y de interés común para todos, aunque no se señala  de</w:t>
      </w:r>
    </w:p>
    <w:p>
      <w:pPr>
        <w:spacing w:after="0" w:line="360" w:lineRule="auto"/>
        <w:jc w:val="both"/>
        <w:sectPr>
          <w:pgSz w:w="12240" w:h="15840"/>
          <w:pgMar w:header="0" w:footer="1035" w:top="1360" w:bottom="1220" w:left="1600" w:right="1600"/>
        </w:sectPr>
      </w:pPr>
    </w:p>
    <w:p>
      <w:pPr>
        <w:pStyle w:val="BodyText"/>
        <w:spacing w:line="360" w:lineRule="auto" w:before="54"/>
        <w:ind w:left="102" w:right="147"/>
        <w:jc w:val="both"/>
      </w:pPr>
      <w:r>
        <w:rPr/>
        <w:t>manera explícita se podría intuir que se refiere principalmente a datos económico que</w:t>
      </w:r>
      <w:r>
        <w:rPr>
          <w:spacing w:val="-7"/>
        </w:rPr>
        <w:t> </w:t>
      </w:r>
      <w:r>
        <w:rPr/>
        <w:t>permitan</w:t>
      </w:r>
      <w:r>
        <w:rPr>
          <w:spacing w:val="-9"/>
        </w:rPr>
        <w:t> </w:t>
      </w:r>
      <w:r>
        <w:rPr/>
        <w:t>monitorear</w:t>
      </w:r>
      <w:r>
        <w:rPr>
          <w:spacing w:val="-8"/>
        </w:rPr>
        <w:t> </w:t>
      </w:r>
      <w:r>
        <w:rPr/>
        <w:t>la</w:t>
      </w:r>
      <w:r>
        <w:rPr>
          <w:spacing w:val="-7"/>
        </w:rPr>
        <w:t> </w:t>
      </w:r>
      <w:r>
        <w:rPr/>
        <w:t>situación</w:t>
      </w:r>
      <w:r>
        <w:rPr>
          <w:spacing w:val="-7"/>
        </w:rPr>
        <w:t> </w:t>
      </w:r>
      <w:r>
        <w:rPr/>
        <w:t>del</w:t>
      </w:r>
      <w:r>
        <w:rPr>
          <w:spacing w:val="-8"/>
        </w:rPr>
        <w:t> </w:t>
      </w:r>
      <w:r>
        <w:rPr/>
        <w:t>país</w:t>
      </w:r>
      <w:r>
        <w:rPr>
          <w:spacing w:val="-10"/>
        </w:rPr>
        <w:t> </w:t>
      </w:r>
      <w:r>
        <w:rPr/>
        <w:t>respecto</w:t>
      </w:r>
      <w:r>
        <w:rPr>
          <w:spacing w:val="-9"/>
        </w:rPr>
        <w:t> </w:t>
      </w:r>
      <w:r>
        <w:rPr/>
        <w:t>a</w:t>
      </w:r>
      <w:r>
        <w:rPr>
          <w:spacing w:val="-7"/>
        </w:rPr>
        <w:t> </w:t>
      </w:r>
      <w:r>
        <w:rPr/>
        <w:t>su</w:t>
      </w:r>
      <w:r>
        <w:rPr>
          <w:spacing w:val="-9"/>
        </w:rPr>
        <w:t> </w:t>
      </w:r>
      <w:r>
        <w:rPr/>
        <w:t>estabilidad</w:t>
      </w:r>
      <w:r>
        <w:rPr>
          <w:spacing w:val="-7"/>
        </w:rPr>
        <w:t> </w:t>
      </w:r>
      <w:r>
        <w:rPr/>
        <w:t>para</w:t>
      </w:r>
      <w:r>
        <w:rPr>
          <w:spacing w:val="-8"/>
        </w:rPr>
        <w:t> </w:t>
      </w:r>
      <w:r>
        <w:rPr/>
        <w:t>invertir ya</w:t>
      </w:r>
      <w:r>
        <w:rPr>
          <w:spacing w:val="-14"/>
        </w:rPr>
        <w:t> </w:t>
      </w:r>
      <w:r>
        <w:rPr/>
        <w:t>que</w:t>
      </w:r>
      <w:r>
        <w:rPr>
          <w:spacing w:val="-14"/>
        </w:rPr>
        <w:t> </w:t>
      </w:r>
      <w:r>
        <w:rPr>
          <w:color w:val="292425"/>
        </w:rPr>
        <w:t>además</w:t>
      </w:r>
      <w:r>
        <w:rPr>
          <w:color w:val="292425"/>
          <w:spacing w:val="-15"/>
        </w:rPr>
        <w:t> </w:t>
      </w:r>
      <w:r>
        <w:rPr>
          <w:color w:val="292425"/>
        </w:rPr>
        <w:t>de</w:t>
      </w:r>
      <w:r>
        <w:rPr>
          <w:color w:val="292425"/>
          <w:spacing w:val="-14"/>
        </w:rPr>
        <w:t> </w:t>
      </w:r>
      <w:r>
        <w:rPr>
          <w:color w:val="292425"/>
        </w:rPr>
        <w:t>señalar</w:t>
      </w:r>
      <w:r>
        <w:rPr>
          <w:color w:val="292425"/>
          <w:spacing w:val="-15"/>
        </w:rPr>
        <w:t> </w:t>
      </w:r>
      <w:r>
        <w:rPr>
          <w:color w:val="292425"/>
        </w:rPr>
        <w:t>a</w:t>
      </w:r>
      <w:r>
        <w:rPr>
          <w:color w:val="292425"/>
          <w:spacing w:val="-14"/>
        </w:rPr>
        <w:t> </w:t>
      </w:r>
      <w:r>
        <w:rPr>
          <w:color w:val="292425"/>
        </w:rPr>
        <w:t>la</w:t>
      </w:r>
      <w:r>
        <w:rPr>
          <w:color w:val="292425"/>
          <w:spacing w:val="-14"/>
        </w:rPr>
        <w:t> </w:t>
      </w:r>
      <w:r>
        <w:rPr>
          <w:color w:val="292425"/>
        </w:rPr>
        <w:t>transparencia</w:t>
      </w:r>
      <w:r>
        <w:rPr>
          <w:color w:val="292425"/>
          <w:spacing w:val="-16"/>
        </w:rPr>
        <w:t> </w:t>
      </w:r>
      <w:r>
        <w:rPr>
          <w:color w:val="292425"/>
        </w:rPr>
        <w:t>como</w:t>
      </w:r>
      <w:r>
        <w:rPr>
          <w:color w:val="292425"/>
          <w:spacing w:val="-15"/>
        </w:rPr>
        <w:t> </w:t>
      </w:r>
      <w:r>
        <w:rPr>
          <w:color w:val="292425"/>
        </w:rPr>
        <w:t>el</w:t>
      </w:r>
      <w:r>
        <w:rPr>
          <w:color w:val="292425"/>
          <w:spacing w:val="-15"/>
        </w:rPr>
        <w:t> </w:t>
      </w:r>
      <w:r>
        <w:rPr>
          <w:color w:val="292425"/>
        </w:rPr>
        <w:t>pilar</w:t>
      </w:r>
      <w:r>
        <w:rPr>
          <w:color w:val="292425"/>
          <w:spacing w:val="-15"/>
        </w:rPr>
        <w:t> </w:t>
      </w:r>
      <w:r>
        <w:rPr>
          <w:color w:val="292425"/>
        </w:rPr>
        <w:t>de</w:t>
      </w:r>
      <w:r>
        <w:rPr>
          <w:color w:val="292425"/>
          <w:spacing w:val="-14"/>
        </w:rPr>
        <w:t> </w:t>
      </w:r>
      <w:r>
        <w:rPr>
          <w:color w:val="292425"/>
        </w:rPr>
        <w:t>la</w:t>
      </w:r>
      <w:r>
        <w:rPr>
          <w:color w:val="292425"/>
          <w:spacing w:val="-14"/>
        </w:rPr>
        <w:t> </w:t>
      </w:r>
      <w:r>
        <w:rPr>
          <w:color w:val="292425"/>
        </w:rPr>
        <w:t>buena</w:t>
      </w:r>
      <w:r>
        <w:rPr>
          <w:color w:val="292425"/>
          <w:spacing w:val="-14"/>
        </w:rPr>
        <w:t> </w:t>
      </w:r>
      <w:r>
        <w:rPr>
          <w:color w:val="292425"/>
        </w:rPr>
        <w:t>gobernanza, la define como el ambiente en el cual los objetivos de política, el marco legal, institucional y económico, las decisiones políticas y su racionalidad, los datos y la información</w:t>
      </w:r>
      <w:r>
        <w:rPr>
          <w:color w:val="292425"/>
          <w:spacing w:val="-10"/>
        </w:rPr>
        <w:t> </w:t>
      </w:r>
      <w:r>
        <w:rPr>
          <w:color w:val="292425"/>
        </w:rPr>
        <w:t>relativa</w:t>
      </w:r>
      <w:r>
        <w:rPr>
          <w:color w:val="292425"/>
          <w:spacing w:val="-11"/>
        </w:rPr>
        <w:t> </w:t>
      </w:r>
      <w:r>
        <w:rPr>
          <w:color w:val="292425"/>
        </w:rPr>
        <w:t>a</w:t>
      </w:r>
      <w:r>
        <w:rPr>
          <w:color w:val="292425"/>
          <w:spacing w:val="-11"/>
        </w:rPr>
        <w:t> </w:t>
      </w:r>
      <w:r>
        <w:rPr>
          <w:color w:val="292425"/>
        </w:rPr>
        <w:t>políticas</w:t>
      </w:r>
      <w:r>
        <w:rPr>
          <w:color w:val="292425"/>
          <w:spacing w:val="-12"/>
        </w:rPr>
        <w:t> </w:t>
      </w:r>
      <w:r>
        <w:rPr>
          <w:color w:val="292425"/>
        </w:rPr>
        <w:t>monetarias</w:t>
      </w:r>
      <w:r>
        <w:rPr>
          <w:color w:val="292425"/>
          <w:spacing w:val="-12"/>
        </w:rPr>
        <w:t> </w:t>
      </w:r>
      <w:r>
        <w:rPr>
          <w:color w:val="292425"/>
        </w:rPr>
        <w:t>y</w:t>
      </w:r>
      <w:r>
        <w:rPr>
          <w:color w:val="292425"/>
          <w:spacing w:val="-14"/>
        </w:rPr>
        <w:t> </w:t>
      </w:r>
      <w:r>
        <w:rPr>
          <w:color w:val="292425"/>
        </w:rPr>
        <w:t>financieras</w:t>
      </w:r>
      <w:r>
        <w:rPr>
          <w:color w:val="292425"/>
          <w:spacing w:val="-12"/>
        </w:rPr>
        <w:t> </w:t>
      </w:r>
      <w:r>
        <w:rPr>
          <w:color w:val="292425"/>
        </w:rPr>
        <w:t>y,</w:t>
      </w:r>
      <w:r>
        <w:rPr>
          <w:color w:val="292425"/>
          <w:spacing w:val="-11"/>
        </w:rPr>
        <w:t> </w:t>
      </w:r>
      <w:r>
        <w:rPr>
          <w:color w:val="292425"/>
        </w:rPr>
        <w:t>los</w:t>
      </w:r>
      <w:r>
        <w:rPr>
          <w:color w:val="292425"/>
          <w:spacing w:val="-11"/>
        </w:rPr>
        <w:t> </w:t>
      </w:r>
      <w:r>
        <w:rPr>
          <w:color w:val="292425"/>
        </w:rPr>
        <w:t>términos</w:t>
      </w:r>
      <w:r>
        <w:rPr>
          <w:color w:val="292425"/>
          <w:spacing w:val="-12"/>
        </w:rPr>
        <w:t> </w:t>
      </w:r>
      <w:r>
        <w:rPr>
          <w:color w:val="292425"/>
        </w:rPr>
        <w:t>de</w:t>
      </w:r>
      <w:r>
        <w:rPr>
          <w:color w:val="292425"/>
          <w:spacing w:val="-11"/>
        </w:rPr>
        <w:t> </w:t>
      </w:r>
      <w:r>
        <w:rPr>
          <w:color w:val="292425"/>
        </w:rPr>
        <w:t>rendición de</w:t>
      </w:r>
      <w:r>
        <w:rPr>
          <w:color w:val="292425"/>
          <w:spacing w:val="-11"/>
        </w:rPr>
        <w:t> </w:t>
      </w:r>
      <w:r>
        <w:rPr>
          <w:color w:val="292425"/>
        </w:rPr>
        <w:t>cuentas</w:t>
      </w:r>
      <w:r>
        <w:rPr>
          <w:color w:val="292425"/>
          <w:spacing w:val="-12"/>
        </w:rPr>
        <w:t> </w:t>
      </w:r>
      <w:r>
        <w:rPr>
          <w:color w:val="292425"/>
        </w:rPr>
        <w:t>son</w:t>
      </w:r>
      <w:r>
        <w:rPr>
          <w:color w:val="292425"/>
          <w:spacing w:val="-13"/>
        </w:rPr>
        <w:t> </w:t>
      </w:r>
      <w:r>
        <w:rPr>
          <w:color w:val="292425"/>
        </w:rPr>
        <w:t>provistos</w:t>
      </w:r>
      <w:r>
        <w:rPr>
          <w:color w:val="292425"/>
          <w:spacing w:val="-12"/>
        </w:rPr>
        <w:t> </w:t>
      </w:r>
      <w:r>
        <w:rPr>
          <w:color w:val="292425"/>
        </w:rPr>
        <w:t>al</w:t>
      </w:r>
      <w:r>
        <w:rPr>
          <w:color w:val="292425"/>
          <w:spacing w:val="-12"/>
        </w:rPr>
        <w:t> </w:t>
      </w:r>
      <w:r>
        <w:rPr>
          <w:color w:val="292425"/>
        </w:rPr>
        <w:t>público</w:t>
      </w:r>
      <w:r>
        <w:rPr>
          <w:color w:val="292425"/>
          <w:spacing w:val="-11"/>
        </w:rPr>
        <w:t> </w:t>
      </w:r>
      <w:r>
        <w:rPr>
          <w:color w:val="292425"/>
        </w:rPr>
        <w:t>en</w:t>
      </w:r>
      <w:r>
        <w:rPr>
          <w:color w:val="292425"/>
          <w:spacing w:val="-13"/>
        </w:rPr>
        <w:t> </w:t>
      </w:r>
      <w:r>
        <w:rPr>
          <w:color w:val="292425"/>
        </w:rPr>
        <w:t>una</w:t>
      </w:r>
      <w:r>
        <w:rPr>
          <w:color w:val="292425"/>
          <w:spacing w:val="-13"/>
        </w:rPr>
        <w:t> </w:t>
      </w:r>
      <w:r>
        <w:rPr>
          <w:color w:val="292425"/>
        </w:rPr>
        <w:t>forma</w:t>
      </w:r>
      <w:r>
        <w:rPr>
          <w:color w:val="292425"/>
          <w:spacing w:val="-11"/>
        </w:rPr>
        <w:t> </w:t>
      </w:r>
      <w:r>
        <w:rPr>
          <w:color w:val="292425"/>
        </w:rPr>
        <w:t>comprensible,</w:t>
      </w:r>
      <w:r>
        <w:rPr>
          <w:color w:val="292425"/>
          <w:spacing w:val="-11"/>
        </w:rPr>
        <w:t> </w:t>
      </w:r>
      <w:r>
        <w:rPr>
          <w:color w:val="292425"/>
        </w:rPr>
        <w:t>accesible</w:t>
      </w:r>
      <w:r>
        <w:rPr>
          <w:color w:val="292425"/>
          <w:spacing w:val="-11"/>
        </w:rPr>
        <w:t> </w:t>
      </w:r>
      <w:r>
        <w:rPr>
          <w:color w:val="292425"/>
        </w:rPr>
        <w:t>y</w:t>
      </w:r>
      <w:r>
        <w:rPr>
          <w:color w:val="292425"/>
          <w:spacing w:val="-14"/>
        </w:rPr>
        <w:t> </w:t>
      </w:r>
      <w:r>
        <w:rPr>
          <w:color w:val="292425"/>
        </w:rPr>
        <w:t>sencilla (OCDE, 2007 en Quintanilla,</w:t>
      </w:r>
      <w:r>
        <w:rPr>
          <w:color w:val="292425"/>
          <w:spacing w:val="-9"/>
        </w:rPr>
        <w:t> </w:t>
      </w:r>
      <w:r>
        <w:rPr>
          <w:color w:val="292425"/>
        </w:rPr>
        <w:t>2012:97).</w:t>
      </w:r>
    </w:p>
    <w:p>
      <w:pPr>
        <w:pStyle w:val="BodyText"/>
      </w:pPr>
    </w:p>
    <w:p>
      <w:pPr>
        <w:pStyle w:val="BodyText"/>
      </w:pPr>
    </w:p>
    <w:p>
      <w:pPr>
        <w:pStyle w:val="BodyText"/>
        <w:spacing w:before="8"/>
        <w:rPr>
          <w:sz w:val="19"/>
        </w:rPr>
      </w:pPr>
    </w:p>
    <w:p>
      <w:pPr>
        <w:pStyle w:val="Heading1"/>
        <w:numPr>
          <w:ilvl w:val="3"/>
          <w:numId w:val="31"/>
        </w:numPr>
        <w:tabs>
          <w:tab w:pos="954" w:val="left" w:leader="none"/>
        </w:tabs>
        <w:spacing w:line="240" w:lineRule="auto" w:before="0" w:after="0"/>
        <w:ind w:left="954" w:right="0" w:hanging="852"/>
        <w:jc w:val="both"/>
      </w:pPr>
      <w:r>
        <w:rPr/>
        <w:t>Alianza para el Gobierno Abierto</w:t>
      </w:r>
      <w:r>
        <w:rPr>
          <w:spacing w:val="-10"/>
        </w:rPr>
        <w:t> </w:t>
      </w:r>
      <w:r>
        <w:rPr/>
        <w:t>(AGA)</w:t>
      </w:r>
    </w:p>
    <w:p>
      <w:pPr>
        <w:pStyle w:val="BodyText"/>
        <w:rPr>
          <w:b/>
        </w:rPr>
      </w:pPr>
    </w:p>
    <w:p>
      <w:pPr>
        <w:pStyle w:val="BodyText"/>
        <w:rPr>
          <w:b/>
        </w:rPr>
      </w:pPr>
    </w:p>
    <w:p>
      <w:pPr>
        <w:pStyle w:val="BodyText"/>
        <w:spacing w:line="360" w:lineRule="auto" w:before="158"/>
        <w:ind w:left="102" w:right="99"/>
        <w:jc w:val="both"/>
      </w:pPr>
      <w:r>
        <w:rPr/>
        <w:t>La</w:t>
      </w:r>
      <w:r>
        <w:rPr>
          <w:spacing w:val="-11"/>
        </w:rPr>
        <w:t> </w:t>
      </w:r>
      <w:r>
        <w:rPr/>
        <w:t>AGA</w:t>
      </w:r>
      <w:r>
        <w:rPr>
          <w:spacing w:val="-10"/>
        </w:rPr>
        <w:t> </w:t>
      </w:r>
      <w:r>
        <w:rPr/>
        <w:t>es</w:t>
      </w:r>
      <w:r>
        <w:rPr>
          <w:spacing w:val="-12"/>
        </w:rPr>
        <w:t> </w:t>
      </w:r>
      <w:r>
        <w:rPr/>
        <w:t>una</w:t>
      </w:r>
      <w:r>
        <w:rPr>
          <w:spacing w:val="-11"/>
        </w:rPr>
        <w:t> </w:t>
      </w:r>
      <w:r>
        <w:rPr/>
        <w:t>alianza</w:t>
      </w:r>
      <w:r>
        <w:rPr>
          <w:spacing w:val="-11"/>
        </w:rPr>
        <w:t> </w:t>
      </w:r>
      <w:r>
        <w:rPr/>
        <w:t>internacional</w:t>
      </w:r>
      <w:r>
        <w:rPr>
          <w:spacing w:val="-10"/>
        </w:rPr>
        <w:t> </w:t>
      </w:r>
      <w:r>
        <w:rPr/>
        <w:t>surgida</w:t>
      </w:r>
      <w:r>
        <w:rPr>
          <w:spacing w:val="-10"/>
        </w:rPr>
        <w:t> </w:t>
      </w:r>
      <w:r>
        <w:rPr/>
        <w:t>en</w:t>
      </w:r>
      <w:r>
        <w:rPr>
          <w:spacing w:val="-11"/>
        </w:rPr>
        <w:t> </w:t>
      </w:r>
      <w:r>
        <w:rPr/>
        <w:t>2011</w:t>
      </w:r>
      <w:r>
        <w:rPr>
          <w:spacing w:val="-11"/>
        </w:rPr>
        <w:t> </w:t>
      </w:r>
      <w:r>
        <w:rPr/>
        <w:t>con</w:t>
      </w:r>
      <w:r>
        <w:rPr>
          <w:spacing w:val="-11"/>
        </w:rPr>
        <w:t> </w:t>
      </w:r>
      <w:r>
        <w:rPr/>
        <w:t>el</w:t>
      </w:r>
      <w:r>
        <w:rPr>
          <w:spacing w:val="-12"/>
        </w:rPr>
        <w:t> </w:t>
      </w:r>
      <w:r>
        <w:rPr/>
        <w:t>objetivo</w:t>
      </w:r>
      <w:r>
        <w:rPr>
          <w:spacing w:val="-8"/>
        </w:rPr>
        <w:t> </w:t>
      </w:r>
      <w:r>
        <w:rPr/>
        <w:t>de</w:t>
      </w:r>
      <w:r>
        <w:rPr>
          <w:spacing w:val="-11"/>
        </w:rPr>
        <w:t> </w:t>
      </w:r>
      <w:r>
        <w:rPr/>
        <w:t>proveer</w:t>
      </w:r>
      <w:r>
        <w:rPr>
          <w:spacing w:val="-12"/>
        </w:rPr>
        <w:t> </w:t>
      </w:r>
      <w:r>
        <w:rPr/>
        <w:t>una plataforma internacional para reformadores domésticos comprometidos a que sus gobiernos rindan cuentas, sean más abiertos y mejoraren su capacidad de respuesta hacia sus ciudadanos. Como se señaló anteriormente agrupa a 65 países. Esta alianza se rige por cuatro principios: aumentar la disponibilidad de información sobre las actividades gubernamentales, apoyar la participación ciudadana, aplicar los más altos estándares de integridad profesional en todos nuestros gobiernos, aumentar el acceso a las nuevas tecnologías para la apertura y la rendición de cuentas (AGA,</w:t>
      </w:r>
      <w:r>
        <w:rPr>
          <w:spacing w:val="-9"/>
        </w:rPr>
        <w:t> </w:t>
      </w:r>
      <w:r>
        <w:rPr/>
        <w:t>2015).</w:t>
      </w:r>
    </w:p>
    <w:p>
      <w:pPr>
        <w:pStyle w:val="BodyText"/>
      </w:pPr>
    </w:p>
    <w:p>
      <w:pPr>
        <w:pStyle w:val="BodyText"/>
      </w:pPr>
    </w:p>
    <w:p>
      <w:pPr>
        <w:pStyle w:val="BodyText"/>
        <w:spacing w:line="360" w:lineRule="auto" w:before="187"/>
        <w:ind w:left="102" w:right="98"/>
        <w:jc w:val="both"/>
      </w:pPr>
      <w:r>
        <w:rPr/>
        <w:t>En su Declaración de Gobierno Abierto reafirma su compromiso con los principios consagrados</w:t>
      </w:r>
      <w:r>
        <w:rPr>
          <w:spacing w:val="-13"/>
        </w:rPr>
        <w:t> </w:t>
      </w:r>
      <w:r>
        <w:rPr/>
        <w:t>en</w:t>
      </w:r>
      <w:r>
        <w:rPr>
          <w:spacing w:val="-12"/>
        </w:rPr>
        <w:t> </w:t>
      </w:r>
      <w:r>
        <w:rPr/>
        <w:t>la</w:t>
      </w:r>
      <w:r>
        <w:rPr>
          <w:spacing w:val="-10"/>
        </w:rPr>
        <w:t> </w:t>
      </w:r>
      <w:r>
        <w:rPr/>
        <w:t>Declaración</w:t>
      </w:r>
      <w:r>
        <w:rPr>
          <w:spacing w:val="-9"/>
        </w:rPr>
        <w:t> </w:t>
      </w:r>
      <w:r>
        <w:rPr/>
        <w:t>Universal</w:t>
      </w:r>
      <w:r>
        <w:rPr>
          <w:spacing w:val="-10"/>
        </w:rPr>
        <w:t> </w:t>
      </w:r>
      <w:r>
        <w:rPr/>
        <w:t>de</w:t>
      </w:r>
      <w:r>
        <w:rPr>
          <w:spacing w:val="-12"/>
        </w:rPr>
        <w:t> </w:t>
      </w:r>
      <w:r>
        <w:rPr/>
        <w:t>los</w:t>
      </w:r>
      <w:r>
        <w:rPr>
          <w:spacing w:val="-10"/>
        </w:rPr>
        <w:t> </w:t>
      </w:r>
      <w:r>
        <w:rPr/>
        <w:t>Derechos</w:t>
      </w:r>
      <w:r>
        <w:rPr>
          <w:spacing w:val="-10"/>
        </w:rPr>
        <w:t> </w:t>
      </w:r>
      <w:r>
        <w:rPr/>
        <w:t>Humanos,</w:t>
      </w:r>
      <w:r>
        <w:rPr>
          <w:spacing w:val="-10"/>
        </w:rPr>
        <w:t> </w:t>
      </w:r>
      <w:r>
        <w:rPr/>
        <w:t>la</w:t>
      </w:r>
      <w:r>
        <w:rPr>
          <w:spacing w:val="-10"/>
        </w:rPr>
        <w:t> </w:t>
      </w:r>
      <w:r>
        <w:rPr/>
        <w:t>Convención de las Naciones Unidas contra la Corrupción y otros instrumentos internacionales relacionados con los derechos humanos y el buen</w:t>
      </w:r>
      <w:r>
        <w:rPr>
          <w:spacing w:val="-23"/>
        </w:rPr>
        <w:t> </w:t>
      </w:r>
      <w:r>
        <w:rPr/>
        <w:t>gobierno:</w:t>
      </w:r>
    </w:p>
    <w:p>
      <w:pPr>
        <w:pStyle w:val="BodyText"/>
        <w:spacing w:before="9"/>
      </w:pPr>
    </w:p>
    <w:p>
      <w:pPr>
        <w:pStyle w:val="ListParagraph"/>
        <w:numPr>
          <w:ilvl w:val="0"/>
          <w:numId w:val="32"/>
        </w:numPr>
        <w:tabs>
          <w:tab w:pos="477" w:val="left" w:leader="none"/>
        </w:tabs>
        <w:spacing w:line="237" w:lineRule="auto" w:before="0" w:after="0"/>
        <w:ind w:left="476" w:right="104" w:hanging="360"/>
        <w:jc w:val="both"/>
        <w:rPr>
          <w:rFonts w:ascii="Symbol" w:hAnsi="Symbol"/>
          <w:sz w:val="20"/>
        </w:rPr>
      </w:pPr>
      <w:r>
        <w:rPr>
          <w:sz w:val="18"/>
        </w:rPr>
        <w:t>“Reconocemos</w:t>
      </w:r>
      <w:r>
        <w:rPr>
          <w:spacing w:val="-3"/>
          <w:sz w:val="18"/>
        </w:rPr>
        <w:t> </w:t>
      </w:r>
      <w:r>
        <w:rPr>
          <w:sz w:val="18"/>
        </w:rPr>
        <w:t>que</w:t>
      </w:r>
      <w:r>
        <w:rPr>
          <w:spacing w:val="-5"/>
          <w:sz w:val="18"/>
        </w:rPr>
        <w:t> </w:t>
      </w:r>
      <w:r>
        <w:rPr>
          <w:sz w:val="18"/>
        </w:rPr>
        <w:t>los</w:t>
      </w:r>
      <w:r>
        <w:rPr>
          <w:spacing w:val="-3"/>
          <w:sz w:val="18"/>
        </w:rPr>
        <w:t> </w:t>
      </w:r>
      <w:r>
        <w:rPr>
          <w:sz w:val="18"/>
        </w:rPr>
        <w:t>pueblos</w:t>
      </w:r>
      <w:r>
        <w:rPr>
          <w:spacing w:val="-3"/>
          <w:sz w:val="18"/>
        </w:rPr>
        <w:t> </w:t>
      </w:r>
      <w:r>
        <w:rPr>
          <w:sz w:val="18"/>
        </w:rPr>
        <w:t>del</w:t>
      </w:r>
      <w:r>
        <w:rPr>
          <w:spacing w:val="-5"/>
          <w:sz w:val="18"/>
        </w:rPr>
        <w:t> </w:t>
      </w:r>
      <w:r>
        <w:rPr>
          <w:sz w:val="18"/>
        </w:rPr>
        <w:t>mundo</w:t>
      </w:r>
      <w:r>
        <w:rPr>
          <w:spacing w:val="-5"/>
          <w:sz w:val="18"/>
        </w:rPr>
        <w:t> </w:t>
      </w:r>
      <w:r>
        <w:rPr>
          <w:sz w:val="18"/>
        </w:rPr>
        <w:t>entero</w:t>
      </w:r>
      <w:r>
        <w:rPr>
          <w:spacing w:val="-5"/>
          <w:sz w:val="18"/>
        </w:rPr>
        <w:t> </w:t>
      </w:r>
      <w:r>
        <w:rPr>
          <w:sz w:val="18"/>
        </w:rPr>
        <w:t>exigen</w:t>
      </w:r>
      <w:r>
        <w:rPr>
          <w:spacing w:val="-4"/>
          <w:sz w:val="18"/>
        </w:rPr>
        <w:t> </w:t>
      </w:r>
      <w:r>
        <w:rPr>
          <w:sz w:val="18"/>
        </w:rPr>
        <w:t>una</w:t>
      </w:r>
      <w:r>
        <w:rPr>
          <w:spacing w:val="-4"/>
          <w:sz w:val="18"/>
        </w:rPr>
        <w:t> </w:t>
      </w:r>
      <w:r>
        <w:rPr>
          <w:sz w:val="18"/>
        </w:rPr>
        <w:t>mayor</w:t>
      </w:r>
      <w:r>
        <w:rPr>
          <w:spacing w:val="-4"/>
          <w:sz w:val="18"/>
        </w:rPr>
        <w:t> </w:t>
      </w:r>
      <w:r>
        <w:rPr>
          <w:sz w:val="18"/>
        </w:rPr>
        <w:t>apertura</w:t>
      </w:r>
      <w:r>
        <w:rPr>
          <w:spacing w:val="-4"/>
          <w:sz w:val="18"/>
        </w:rPr>
        <w:t> </w:t>
      </w:r>
      <w:r>
        <w:rPr>
          <w:sz w:val="18"/>
        </w:rPr>
        <w:t>en</w:t>
      </w:r>
      <w:r>
        <w:rPr>
          <w:spacing w:val="-4"/>
          <w:sz w:val="18"/>
        </w:rPr>
        <w:t> </w:t>
      </w:r>
      <w:r>
        <w:rPr>
          <w:sz w:val="18"/>
        </w:rPr>
        <w:t>el</w:t>
      </w:r>
      <w:r>
        <w:rPr>
          <w:spacing w:val="-5"/>
          <w:sz w:val="18"/>
        </w:rPr>
        <w:t> </w:t>
      </w:r>
      <w:r>
        <w:rPr>
          <w:sz w:val="18"/>
        </w:rPr>
        <w:t>gobierno.</w:t>
      </w:r>
      <w:r>
        <w:rPr>
          <w:spacing w:val="-4"/>
          <w:sz w:val="18"/>
        </w:rPr>
        <w:t> </w:t>
      </w:r>
      <w:r>
        <w:rPr>
          <w:sz w:val="18"/>
        </w:rPr>
        <w:t>Piden</w:t>
      </w:r>
      <w:r>
        <w:rPr>
          <w:spacing w:val="-5"/>
          <w:sz w:val="18"/>
        </w:rPr>
        <w:t> </w:t>
      </w:r>
      <w:r>
        <w:rPr>
          <w:sz w:val="18"/>
        </w:rPr>
        <w:t>mayor participación ciudadana en los asuntos públicos y buscan la forma de que sus gobiernos sean más transparentes, sensibles, responsables y</w:t>
      </w:r>
      <w:r>
        <w:rPr>
          <w:spacing w:val="-22"/>
          <w:sz w:val="18"/>
        </w:rPr>
        <w:t> </w:t>
      </w:r>
      <w:r>
        <w:rPr>
          <w:sz w:val="18"/>
        </w:rPr>
        <w:t>eficaces.</w:t>
      </w:r>
    </w:p>
    <w:p>
      <w:pPr>
        <w:pStyle w:val="ListParagraph"/>
        <w:numPr>
          <w:ilvl w:val="0"/>
          <w:numId w:val="32"/>
        </w:numPr>
        <w:tabs>
          <w:tab w:pos="477" w:val="left" w:leader="none"/>
        </w:tabs>
        <w:spacing w:line="237" w:lineRule="auto" w:before="0" w:after="0"/>
        <w:ind w:left="476" w:right="104" w:hanging="360"/>
        <w:jc w:val="both"/>
        <w:rPr>
          <w:rFonts w:ascii="Symbol" w:hAnsi="Symbol"/>
          <w:sz w:val="20"/>
        </w:rPr>
      </w:pPr>
      <w:r>
        <w:rPr>
          <w:sz w:val="18"/>
        </w:rPr>
        <w:t>Reconocemos que los países se encuentran en diferentes etapas en sus esfuerzos por promover la apertura en el gobierno y que cada uno de nosotros busca un planteamiento coherente con nuestras prioridades y circunstancias nacionales y las aspiraciones de nuestros</w:t>
      </w:r>
      <w:r>
        <w:rPr>
          <w:spacing w:val="-34"/>
          <w:sz w:val="18"/>
        </w:rPr>
        <w:t> </w:t>
      </w:r>
      <w:r>
        <w:rPr>
          <w:sz w:val="18"/>
        </w:rPr>
        <w:t>ciudadanos.</w:t>
      </w:r>
    </w:p>
    <w:p>
      <w:pPr>
        <w:spacing w:after="0" w:line="237" w:lineRule="auto"/>
        <w:jc w:val="both"/>
        <w:rPr>
          <w:rFonts w:ascii="Symbol" w:hAnsi="Symbol"/>
          <w:sz w:val="20"/>
        </w:rPr>
        <w:sectPr>
          <w:pgSz w:w="12240" w:h="15840"/>
          <w:pgMar w:header="0" w:footer="1035" w:top="1360" w:bottom="1220" w:left="1600" w:right="1600"/>
        </w:sectPr>
      </w:pPr>
    </w:p>
    <w:p>
      <w:pPr>
        <w:pStyle w:val="ListParagraph"/>
        <w:numPr>
          <w:ilvl w:val="0"/>
          <w:numId w:val="32"/>
        </w:numPr>
        <w:tabs>
          <w:tab w:pos="477" w:val="left" w:leader="none"/>
        </w:tabs>
        <w:spacing w:line="237" w:lineRule="auto" w:before="36" w:after="0"/>
        <w:ind w:left="476" w:right="127" w:hanging="360"/>
        <w:jc w:val="both"/>
        <w:rPr>
          <w:rFonts w:ascii="Symbol" w:hAnsi="Symbol"/>
          <w:sz w:val="20"/>
        </w:rPr>
      </w:pPr>
      <w:r>
        <w:rPr>
          <w:sz w:val="18"/>
        </w:rPr>
        <w:t>Aceptamos la responsabilidad de aprovechar este momento para fortalecer nuestros compromisos con miras a promover la transparencia, luchar contra la corrupción, empoderar a los ciudadanos y aprovechar el</w:t>
      </w:r>
      <w:r>
        <w:rPr>
          <w:spacing w:val="-2"/>
          <w:sz w:val="18"/>
        </w:rPr>
        <w:t> </w:t>
      </w:r>
      <w:r>
        <w:rPr>
          <w:sz w:val="18"/>
        </w:rPr>
        <w:t>poder</w:t>
      </w:r>
      <w:r>
        <w:rPr>
          <w:spacing w:val="-2"/>
          <w:sz w:val="18"/>
        </w:rPr>
        <w:t> </w:t>
      </w:r>
      <w:r>
        <w:rPr>
          <w:sz w:val="18"/>
        </w:rPr>
        <w:t>de</w:t>
      </w:r>
      <w:r>
        <w:rPr>
          <w:spacing w:val="-2"/>
          <w:sz w:val="18"/>
        </w:rPr>
        <w:t> </w:t>
      </w:r>
      <w:r>
        <w:rPr>
          <w:sz w:val="18"/>
        </w:rPr>
        <w:t>las</w:t>
      </w:r>
      <w:r>
        <w:rPr>
          <w:spacing w:val="-1"/>
          <w:sz w:val="18"/>
        </w:rPr>
        <w:t> </w:t>
      </w:r>
      <w:r>
        <w:rPr>
          <w:sz w:val="18"/>
        </w:rPr>
        <w:t>nuevas</w:t>
      </w:r>
      <w:r>
        <w:rPr>
          <w:spacing w:val="-3"/>
          <w:sz w:val="18"/>
        </w:rPr>
        <w:t> </w:t>
      </w:r>
      <w:r>
        <w:rPr>
          <w:sz w:val="18"/>
        </w:rPr>
        <w:t>tecnologías</w:t>
      </w:r>
      <w:r>
        <w:rPr>
          <w:spacing w:val="-3"/>
          <w:sz w:val="18"/>
        </w:rPr>
        <w:t> </w:t>
      </w:r>
      <w:r>
        <w:rPr>
          <w:sz w:val="18"/>
        </w:rPr>
        <w:t>para</w:t>
      </w:r>
      <w:r>
        <w:rPr>
          <w:spacing w:val="-4"/>
          <w:sz w:val="18"/>
        </w:rPr>
        <w:t> </w:t>
      </w:r>
      <w:r>
        <w:rPr>
          <w:sz w:val="18"/>
        </w:rPr>
        <w:t>que</w:t>
      </w:r>
      <w:r>
        <w:rPr>
          <w:spacing w:val="-4"/>
          <w:sz w:val="18"/>
        </w:rPr>
        <w:t> </w:t>
      </w:r>
      <w:r>
        <w:rPr>
          <w:sz w:val="18"/>
        </w:rPr>
        <w:t>el</w:t>
      </w:r>
      <w:r>
        <w:rPr>
          <w:spacing w:val="-4"/>
          <w:sz w:val="18"/>
        </w:rPr>
        <w:t> </w:t>
      </w:r>
      <w:r>
        <w:rPr>
          <w:sz w:val="18"/>
        </w:rPr>
        <w:t>gobierno</w:t>
      </w:r>
      <w:r>
        <w:rPr>
          <w:spacing w:val="-4"/>
          <w:sz w:val="18"/>
        </w:rPr>
        <w:t> </w:t>
      </w:r>
      <w:r>
        <w:rPr>
          <w:sz w:val="18"/>
        </w:rPr>
        <w:t>sea</w:t>
      </w:r>
      <w:r>
        <w:rPr>
          <w:spacing w:val="-4"/>
          <w:sz w:val="18"/>
        </w:rPr>
        <w:t> </w:t>
      </w:r>
      <w:r>
        <w:rPr>
          <w:sz w:val="18"/>
        </w:rPr>
        <w:t>más</w:t>
      </w:r>
      <w:r>
        <w:rPr>
          <w:spacing w:val="-3"/>
          <w:sz w:val="18"/>
        </w:rPr>
        <w:t> </w:t>
      </w:r>
      <w:r>
        <w:rPr>
          <w:sz w:val="18"/>
        </w:rPr>
        <w:t>eficaz</w:t>
      </w:r>
      <w:r>
        <w:rPr>
          <w:spacing w:val="-4"/>
          <w:sz w:val="18"/>
        </w:rPr>
        <w:t> </w:t>
      </w:r>
      <w:r>
        <w:rPr>
          <w:sz w:val="18"/>
        </w:rPr>
        <w:t>y</w:t>
      </w:r>
      <w:r>
        <w:rPr>
          <w:spacing w:val="-3"/>
          <w:sz w:val="18"/>
        </w:rPr>
        <w:t> </w:t>
      </w:r>
      <w:r>
        <w:rPr>
          <w:sz w:val="18"/>
        </w:rPr>
        <w:t>responsable.</w:t>
      </w:r>
    </w:p>
    <w:p>
      <w:pPr>
        <w:pStyle w:val="ListParagraph"/>
        <w:numPr>
          <w:ilvl w:val="0"/>
          <w:numId w:val="32"/>
        </w:numPr>
        <w:tabs>
          <w:tab w:pos="477" w:val="left" w:leader="none"/>
        </w:tabs>
        <w:spacing w:line="206" w:lineRule="exact" w:before="37" w:after="0"/>
        <w:ind w:left="476" w:right="118" w:hanging="360"/>
        <w:jc w:val="both"/>
        <w:rPr>
          <w:rFonts w:ascii="Symbol" w:hAnsi="Symbol"/>
          <w:sz w:val="20"/>
        </w:rPr>
      </w:pPr>
      <w:r>
        <w:rPr>
          <w:sz w:val="18"/>
        </w:rPr>
        <w:t>Defendemos</w:t>
      </w:r>
      <w:r>
        <w:rPr>
          <w:spacing w:val="-4"/>
          <w:sz w:val="18"/>
        </w:rPr>
        <w:t> </w:t>
      </w:r>
      <w:r>
        <w:rPr>
          <w:sz w:val="18"/>
        </w:rPr>
        <w:t>el</w:t>
      </w:r>
      <w:r>
        <w:rPr>
          <w:spacing w:val="-5"/>
          <w:sz w:val="18"/>
        </w:rPr>
        <w:t> </w:t>
      </w:r>
      <w:r>
        <w:rPr>
          <w:sz w:val="18"/>
        </w:rPr>
        <w:t>valor</w:t>
      </w:r>
      <w:r>
        <w:rPr>
          <w:spacing w:val="-5"/>
          <w:sz w:val="18"/>
        </w:rPr>
        <w:t> </w:t>
      </w:r>
      <w:r>
        <w:rPr>
          <w:sz w:val="18"/>
        </w:rPr>
        <w:t>de</w:t>
      </w:r>
      <w:r>
        <w:rPr>
          <w:spacing w:val="-5"/>
          <w:sz w:val="18"/>
        </w:rPr>
        <w:t> </w:t>
      </w:r>
      <w:r>
        <w:rPr>
          <w:sz w:val="18"/>
        </w:rPr>
        <w:t>la</w:t>
      </w:r>
      <w:r>
        <w:rPr>
          <w:spacing w:val="-5"/>
          <w:sz w:val="18"/>
        </w:rPr>
        <w:t> </w:t>
      </w:r>
      <w:r>
        <w:rPr>
          <w:sz w:val="18"/>
        </w:rPr>
        <w:t>apertura</w:t>
      </w:r>
      <w:r>
        <w:rPr>
          <w:spacing w:val="-5"/>
          <w:sz w:val="18"/>
        </w:rPr>
        <w:t> </w:t>
      </w:r>
      <w:r>
        <w:rPr>
          <w:sz w:val="18"/>
        </w:rPr>
        <w:t>en</w:t>
      </w:r>
      <w:r>
        <w:rPr>
          <w:spacing w:val="-5"/>
          <w:sz w:val="18"/>
        </w:rPr>
        <w:t> </w:t>
      </w:r>
      <w:r>
        <w:rPr>
          <w:sz w:val="18"/>
        </w:rPr>
        <w:t>nuestro</w:t>
      </w:r>
      <w:r>
        <w:rPr>
          <w:spacing w:val="-5"/>
          <w:sz w:val="18"/>
        </w:rPr>
        <w:t> </w:t>
      </w:r>
      <w:r>
        <w:rPr>
          <w:sz w:val="18"/>
        </w:rPr>
        <w:t>compromiso</w:t>
      </w:r>
      <w:r>
        <w:rPr>
          <w:spacing w:val="-5"/>
          <w:sz w:val="18"/>
        </w:rPr>
        <w:t> </w:t>
      </w:r>
      <w:r>
        <w:rPr>
          <w:sz w:val="18"/>
        </w:rPr>
        <w:t>con</w:t>
      </w:r>
      <w:r>
        <w:rPr>
          <w:spacing w:val="-5"/>
          <w:sz w:val="18"/>
        </w:rPr>
        <w:t> </w:t>
      </w:r>
      <w:r>
        <w:rPr>
          <w:sz w:val="18"/>
        </w:rPr>
        <w:t>los</w:t>
      </w:r>
      <w:r>
        <w:rPr>
          <w:spacing w:val="-7"/>
          <w:sz w:val="18"/>
        </w:rPr>
        <w:t> </w:t>
      </w:r>
      <w:r>
        <w:rPr>
          <w:sz w:val="18"/>
        </w:rPr>
        <w:t>ciudadanos</w:t>
      </w:r>
      <w:r>
        <w:rPr>
          <w:spacing w:val="2"/>
          <w:sz w:val="18"/>
        </w:rPr>
        <w:t> </w:t>
      </w:r>
      <w:r>
        <w:rPr>
          <w:sz w:val="18"/>
        </w:rPr>
        <w:t>para</w:t>
      </w:r>
      <w:r>
        <w:rPr>
          <w:spacing w:val="-5"/>
          <w:sz w:val="18"/>
        </w:rPr>
        <w:t> </w:t>
      </w:r>
      <w:r>
        <w:rPr>
          <w:sz w:val="18"/>
        </w:rPr>
        <w:t>mejorar</w:t>
      </w:r>
      <w:r>
        <w:rPr>
          <w:spacing w:val="-5"/>
          <w:sz w:val="18"/>
        </w:rPr>
        <w:t> </w:t>
      </w:r>
      <w:r>
        <w:rPr>
          <w:sz w:val="18"/>
        </w:rPr>
        <w:t>los</w:t>
      </w:r>
      <w:r>
        <w:rPr>
          <w:spacing w:val="-4"/>
          <w:sz w:val="18"/>
        </w:rPr>
        <w:t> </w:t>
      </w:r>
      <w:r>
        <w:rPr>
          <w:sz w:val="18"/>
        </w:rPr>
        <w:t>servicios, gestionar</w:t>
      </w:r>
      <w:r>
        <w:rPr>
          <w:spacing w:val="-10"/>
          <w:sz w:val="18"/>
        </w:rPr>
        <w:t> </w:t>
      </w:r>
      <w:r>
        <w:rPr>
          <w:sz w:val="18"/>
        </w:rPr>
        <w:t>los</w:t>
      </w:r>
      <w:r>
        <w:rPr>
          <w:spacing w:val="-8"/>
          <w:sz w:val="18"/>
        </w:rPr>
        <w:t> </w:t>
      </w:r>
      <w:r>
        <w:rPr>
          <w:sz w:val="18"/>
        </w:rPr>
        <w:t>recursos</w:t>
      </w:r>
      <w:r>
        <w:rPr>
          <w:spacing w:val="-9"/>
          <w:sz w:val="18"/>
        </w:rPr>
        <w:t> </w:t>
      </w:r>
      <w:r>
        <w:rPr>
          <w:sz w:val="18"/>
        </w:rPr>
        <w:t>públicos,</w:t>
      </w:r>
      <w:r>
        <w:rPr>
          <w:spacing w:val="-9"/>
          <w:sz w:val="18"/>
        </w:rPr>
        <w:t> </w:t>
      </w:r>
      <w:r>
        <w:rPr>
          <w:sz w:val="18"/>
        </w:rPr>
        <w:t>promover</w:t>
      </w:r>
      <w:r>
        <w:rPr>
          <w:spacing w:val="-9"/>
          <w:sz w:val="18"/>
        </w:rPr>
        <w:t> </w:t>
      </w:r>
      <w:r>
        <w:rPr>
          <w:sz w:val="18"/>
        </w:rPr>
        <w:t>la</w:t>
      </w:r>
      <w:r>
        <w:rPr>
          <w:spacing w:val="-8"/>
          <w:sz w:val="18"/>
        </w:rPr>
        <w:t> </w:t>
      </w:r>
      <w:r>
        <w:rPr>
          <w:sz w:val="18"/>
        </w:rPr>
        <w:t>innovación</w:t>
      </w:r>
      <w:r>
        <w:rPr>
          <w:spacing w:val="-8"/>
          <w:sz w:val="18"/>
        </w:rPr>
        <w:t> </w:t>
      </w:r>
      <w:r>
        <w:rPr>
          <w:sz w:val="18"/>
        </w:rPr>
        <w:t>y</w:t>
      </w:r>
      <w:r>
        <w:rPr>
          <w:spacing w:val="-9"/>
          <w:sz w:val="18"/>
        </w:rPr>
        <w:t> </w:t>
      </w:r>
      <w:r>
        <w:rPr>
          <w:sz w:val="18"/>
        </w:rPr>
        <w:t>crear</w:t>
      </w:r>
      <w:r>
        <w:rPr>
          <w:spacing w:val="-9"/>
          <w:sz w:val="18"/>
        </w:rPr>
        <w:t> </w:t>
      </w:r>
      <w:r>
        <w:rPr>
          <w:sz w:val="18"/>
        </w:rPr>
        <w:t>comunidades</w:t>
      </w:r>
      <w:r>
        <w:rPr>
          <w:spacing w:val="-8"/>
          <w:sz w:val="18"/>
        </w:rPr>
        <w:t> </w:t>
      </w:r>
      <w:r>
        <w:rPr>
          <w:sz w:val="18"/>
        </w:rPr>
        <w:t>más</w:t>
      </w:r>
      <w:r>
        <w:rPr>
          <w:spacing w:val="-9"/>
          <w:sz w:val="18"/>
        </w:rPr>
        <w:t> </w:t>
      </w:r>
      <w:r>
        <w:rPr>
          <w:sz w:val="18"/>
        </w:rPr>
        <w:t>seguras.</w:t>
      </w:r>
      <w:r>
        <w:rPr>
          <w:spacing w:val="-9"/>
          <w:sz w:val="18"/>
        </w:rPr>
        <w:t> </w:t>
      </w:r>
      <w:r>
        <w:rPr>
          <w:sz w:val="18"/>
        </w:rPr>
        <w:t>Adoptamos</w:t>
      </w:r>
      <w:r>
        <w:rPr>
          <w:spacing w:val="-8"/>
          <w:sz w:val="18"/>
        </w:rPr>
        <w:t> </w:t>
      </w:r>
      <w:r>
        <w:rPr>
          <w:sz w:val="18"/>
        </w:rPr>
        <w:t>los principios de transparencia y gobierno abierto para que haya más prosperidad, bienestar y dignidad humana en nuestros propios países y en un mundo cada vez más interconectado” (AGA,</w:t>
      </w:r>
      <w:r>
        <w:rPr>
          <w:spacing w:val="-26"/>
          <w:sz w:val="18"/>
        </w:rPr>
        <w:t> </w:t>
      </w:r>
      <w:r>
        <w:rPr>
          <w:sz w:val="18"/>
        </w:rPr>
        <w:t>2015b).</w:t>
      </w:r>
    </w:p>
    <w:p>
      <w:pPr>
        <w:pStyle w:val="BodyText"/>
        <w:rPr>
          <w:sz w:val="18"/>
        </w:rPr>
      </w:pPr>
    </w:p>
    <w:p>
      <w:pPr>
        <w:pStyle w:val="BodyText"/>
        <w:rPr>
          <w:sz w:val="18"/>
        </w:rPr>
      </w:pPr>
    </w:p>
    <w:p>
      <w:pPr>
        <w:pStyle w:val="BodyText"/>
        <w:rPr>
          <w:sz w:val="18"/>
        </w:rPr>
      </w:pPr>
    </w:p>
    <w:p>
      <w:pPr>
        <w:pStyle w:val="BodyText"/>
        <w:spacing w:before="7"/>
        <w:rPr>
          <w:sz w:val="23"/>
        </w:rPr>
      </w:pPr>
    </w:p>
    <w:p>
      <w:pPr>
        <w:pStyle w:val="Heading1"/>
        <w:numPr>
          <w:ilvl w:val="3"/>
          <w:numId w:val="31"/>
        </w:numPr>
        <w:tabs>
          <w:tab w:pos="954" w:val="left" w:leader="none"/>
        </w:tabs>
        <w:spacing w:line="240" w:lineRule="auto" w:before="0" w:after="0"/>
        <w:ind w:left="954" w:right="0" w:hanging="852"/>
        <w:jc w:val="left"/>
      </w:pPr>
      <w:r>
        <w:rPr/>
        <w:t>Transparency International</w:t>
      </w:r>
      <w:r>
        <w:rPr>
          <w:spacing w:val="-6"/>
        </w:rPr>
        <w:t> </w:t>
      </w:r>
      <w:r>
        <w:rPr/>
        <w:t>(TI)</w:t>
      </w:r>
    </w:p>
    <w:p>
      <w:pPr>
        <w:pStyle w:val="BodyText"/>
        <w:rPr>
          <w:b/>
        </w:rPr>
      </w:pPr>
    </w:p>
    <w:p>
      <w:pPr>
        <w:pStyle w:val="BodyText"/>
        <w:rPr>
          <w:b/>
        </w:rPr>
      </w:pPr>
    </w:p>
    <w:p>
      <w:pPr>
        <w:pStyle w:val="BodyText"/>
        <w:spacing w:line="360" w:lineRule="auto" w:before="158"/>
        <w:ind w:left="102" w:right="116"/>
        <w:jc w:val="both"/>
      </w:pPr>
      <w:r>
        <w:rPr/>
        <w:t>TI es un organismo internacional no gubernamental que surge con una Secretaría en</w:t>
      </w:r>
      <w:r>
        <w:rPr>
          <w:spacing w:val="-16"/>
        </w:rPr>
        <w:t> </w:t>
      </w:r>
      <w:r>
        <w:rPr/>
        <w:t>Berlín,</w:t>
      </w:r>
      <w:r>
        <w:rPr>
          <w:spacing w:val="-14"/>
        </w:rPr>
        <w:t> </w:t>
      </w:r>
      <w:r>
        <w:rPr/>
        <w:t>Alemania</w:t>
      </w:r>
      <w:r>
        <w:rPr>
          <w:spacing w:val="-16"/>
        </w:rPr>
        <w:t> </w:t>
      </w:r>
      <w:r>
        <w:rPr/>
        <w:t>en</w:t>
      </w:r>
      <w:r>
        <w:rPr>
          <w:spacing w:val="-18"/>
        </w:rPr>
        <w:t> </w:t>
      </w:r>
      <w:r>
        <w:rPr/>
        <w:t>el</w:t>
      </w:r>
      <w:r>
        <w:rPr>
          <w:spacing w:val="-14"/>
        </w:rPr>
        <w:t> </w:t>
      </w:r>
      <w:r>
        <w:rPr/>
        <w:t>año</w:t>
      </w:r>
      <w:r>
        <w:rPr>
          <w:spacing w:val="-15"/>
        </w:rPr>
        <w:t> </w:t>
      </w:r>
      <w:r>
        <w:rPr/>
        <w:t>de</w:t>
      </w:r>
      <w:r>
        <w:rPr>
          <w:spacing w:val="-15"/>
        </w:rPr>
        <w:t> </w:t>
      </w:r>
      <w:r>
        <w:rPr/>
        <w:t>1990,</w:t>
      </w:r>
      <w:r>
        <w:rPr>
          <w:spacing w:val="-14"/>
        </w:rPr>
        <w:t> </w:t>
      </w:r>
      <w:r>
        <w:rPr/>
        <w:t>como</w:t>
      </w:r>
      <w:r>
        <w:rPr>
          <w:spacing w:val="-16"/>
        </w:rPr>
        <w:t> </w:t>
      </w:r>
      <w:r>
        <w:rPr/>
        <w:t>propuesta</w:t>
      </w:r>
      <w:r>
        <w:rPr>
          <w:spacing w:val="-16"/>
        </w:rPr>
        <w:t> </w:t>
      </w:r>
      <w:r>
        <w:rPr/>
        <w:t>del</w:t>
      </w:r>
      <w:r>
        <w:rPr>
          <w:spacing w:val="-17"/>
        </w:rPr>
        <w:t> </w:t>
      </w:r>
      <w:r>
        <w:rPr/>
        <w:t>ex</w:t>
      </w:r>
      <w:r>
        <w:rPr>
          <w:spacing w:val="-19"/>
        </w:rPr>
        <w:t> </w:t>
      </w:r>
      <w:r>
        <w:rPr/>
        <w:t>funcionario</w:t>
      </w:r>
      <w:r>
        <w:rPr>
          <w:spacing w:val="-14"/>
        </w:rPr>
        <w:t> </w:t>
      </w:r>
      <w:r>
        <w:rPr/>
        <w:t>del</w:t>
      </w:r>
      <w:r>
        <w:rPr>
          <w:spacing w:val="-11"/>
        </w:rPr>
        <w:t> </w:t>
      </w:r>
      <w:r>
        <w:rPr/>
        <w:t>Banco Mundial</w:t>
      </w:r>
      <w:r>
        <w:rPr>
          <w:spacing w:val="-7"/>
        </w:rPr>
        <w:t> </w:t>
      </w:r>
      <w:r>
        <w:rPr/>
        <w:t>Peter</w:t>
      </w:r>
      <w:r>
        <w:rPr>
          <w:spacing w:val="-7"/>
        </w:rPr>
        <w:t> </w:t>
      </w:r>
      <w:r>
        <w:rPr/>
        <w:t>Eigen</w:t>
      </w:r>
      <w:r>
        <w:rPr>
          <w:spacing w:val="-6"/>
        </w:rPr>
        <w:t> </w:t>
      </w:r>
      <w:r>
        <w:rPr/>
        <w:t>para</w:t>
      </w:r>
      <w:r>
        <w:rPr>
          <w:spacing w:val="-7"/>
        </w:rPr>
        <w:t> </w:t>
      </w:r>
      <w:r>
        <w:rPr/>
        <w:t>estudiar</w:t>
      </w:r>
      <w:r>
        <w:rPr>
          <w:spacing w:val="-7"/>
        </w:rPr>
        <w:t> </w:t>
      </w:r>
      <w:r>
        <w:rPr/>
        <w:t>el</w:t>
      </w:r>
      <w:r>
        <w:rPr>
          <w:spacing w:val="-7"/>
        </w:rPr>
        <w:t> </w:t>
      </w:r>
      <w:r>
        <w:rPr/>
        <w:t>tema</w:t>
      </w:r>
      <w:r>
        <w:rPr>
          <w:spacing w:val="-6"/>
        </w:rPr>
        <w:t> </w:t>
      </w:r>
      <w:r>
        <w:rPr/>
        <w:t>la</w:t>
      </w:r>
      <w:r>
        <w:rPr>
          <w:spacing w:val="-9"/>
        </w:rPr>
        <w:t> </w:t>
      </w:r>
      <w:r>
        <w:rPr/>
        <w:t>transparencia</w:t>
      </w:r>
      <w:r>
        <w:rPr>
          <w:spacing w:val="-6"/>
        </w:rPr>
        <w:t> </w:t>
      </w:r>
      <w:r>
        <w:rPr/>
        <w:t>que</w:t>
      </w:r>
      <w:r>
        <w:rPr>
          <w:spacing w:val="-6"/>
        </w:rPr>
        <w:t> </w:t>
      </w:r>
      <w:r>
        <w:rPr/>
        <w:t>se</w:t>
      </w:r>
      <w:r>
        <w:rPr>
          <w:spacing w:val="-8"/>
        </w:rPr>
        <w:t> </w:t>
      </w:r>
      <w:r>
        <w:rPr/>
        <w:t>había</w:t>
      </w:r>
      <w:r>
        <w:rPr>
          <w:spacing w:val="-6"/>
        </w:rPr>
        <w:t> </w:t>
      </w:r>
      <w:r>
        <w:rPr/>
        <w:t>convertido en un tabú afínales del siglo XX. En el año 2000 hizo grandes aportaciones innovaciones</w:t>
      </w:r>
      <w:r>
        <w:rPr>
          <w:spacing w:val="-9"/>
        </w:rPr>
        <w:t> </w:t>
      </w:r>
      <w:r>
        <w:rPr/>
        <w:t>contra</w:t>
      </w:r>
      <w:r>
        <w:rPr>
          <w:spacing w:val="-6"/>
        </w:rPr>
        <w:t> </w:t>
      </w:r>
      <w:r>
        <w:rPr/>
        <w:t>la</w:t>
      </w:r>
      <w:r>
        <w:rPr>
          <w:spacing w:val="-11"/>
        </w:rPr>
        <w:t> </w:t>
      </w:r>
      <w:r>
        <w:rPr/>
        <w:t>corrupción</w:t>
      </w:r>
      <w:r>
        <w:rPr>
          <w:spacing w:val="-8"/>
        </w:rPr>
        <w:t> </w:t>
      </w:r>
      <w:r>
        <w:rPr/>
        <w:t>al</w:t>
      </w:r>
      <w:r>
        <w:rPr>
          <w:spacing w:val="-7"/>
        </w:rPr>
        <w:t> </w:t>
      </w:r>
      <w:r>
        <w:rPr/>
        <w:t>trabajar</w:t>
      </w:r>
      <w:r>
        <w:rPr>
          <w:spacing w:val="-9"/>
        </w:rPr>
        <w:t> </w:t>
      </w:r>
      <w:r>
        <w:rPr/>
        <w:t>con</w:t>
      </w:r>
      <w:r>
        <w:rPr>
          <w:spacing w:val="-8"/>
        </w:rPr>
        <w:t> </w:t>
      </w:r>
      <w:r>
        <w:rPr/>
        <w:t>11</w:t>
      </w:r>
      <w:r>
        <w:rPr>
          <w:spacing w:val="-8"/>
        </w:rPr>
        <w:t> </w:t>
      </w:r>
      <w:r>
        <w:rPr/>
        <w:t>de</w:t>
      </w:r>
      <w:r>
        <w:rPr>
          <w:spacing w:val="-8"/>
        </w:rPr>
        <w:t> </w:t>
      </w:r>
      <w:r>
        <w:rPr/>
        <w:t>bancos</w:t>
      </w:r>
      <w:r>
        <w:rPr>
          <w:spacing w:val="-9"/>
        </w:rPr>
        <w:t> </w:t>
      </w:r>
      <w:r>
        <w:rPr/>
        <w:t>internacionales</w:t>
      </w:r>
      <w:r>
        <w:rPr>
          <w:spacing w:val="-9"/>
        </w:rPr>
        <w:t> </w:t>
      </w:r>
      <w:r>
        <w:rPr/>
        <w:t>para combatir el lavado de dinero. En el año 2001 elaboró un Informe Global de Corrupción</w:t>
      </w:r>
      <w:r>
        <w:rPr>
          <w:spacing w:val="-13"/>
        </w:rPr>
        <w:t> </w:t>
      </w:r>
      <w:r>
        <w:rPr/>
        <w:t>a</w:t>
      </w:r>
      <w:r>
        <w:rPr>
          <w:spacing w:val="-15"/>
        </w:rPr>
        <w:t> </w:t>
      </w:r>
      <w:r>
        <w:rPr/>
        <w:t>nivel</w:t>
      </w:r>
      <w:r>
        <w:rPr>
          <w:spacing w:val="-14"/>
        </w:rPr>
        <w:t> </w:t>
      </w:r>
      <w:r>
        <w:rPr/>
        <w:t>mundial</w:t>
      </w:r>
      <w:r>
        <w:rPr>
          <w:spacing w:val="-14"/>
        </w:rPr>
        <w:t> </w:t>
      </w:r>
      <w:r>
        <w:rPr/>
        <w:t>y</w:t>
      </w:r>
      <w:r>
        <w:rPr>
          <w:spacing w:val="-16"/>
        </w:rPr>
        <w:t> </w:t>
      </w:r>
      <w:r>
        <w:rPr/>
        <w:t>hasta</w:t>
      </w:r>
      <w:r>
        <w:rPr>
          <w:spacing w:val="-13"/>
        </w:rPr>
        <w:t> </w:t>
      </w:r>
      <w:r>
        <w:rPr/>
        <w:t>la</w:t>
      </w:r>
      <w:r>
        <w:rPr>
          <w:spacing w:val="-18"/>
        </w:rPr>
        <w:t> </w:t>
      </w:r>
      <w:r>
        <w:rPr/>
        <w:t>fecha</w:t>
      </w:r>
      <w:r>
        <w:rPr>
          <w:spacing w:val="-13"/>
        </w:rPr>
        <w:t> </w:t>
      </w:r>
      <w:r>
        <w:rPr/>
        <w:t>los</w:t>
      </w:r>
      <w:r>
        <w:rPr>
          <w:spacing w:val="-16"/>
        </w:rPr>
        <w:t> </w:t>
      </w:r>
      <w:r>
        <w:rPr/>
        <w:t>estudios</w:t>
      </w:r>
      <w:r>
        <w:rPr>
          <w:spacing w:val="-13"/>
        </w:rPr>
        <w:t> </w:t>
      </w:r>
      <w:r>
        <w:rPr/>
        <w:t>que</w:t>
      </w:r>
      <w:r>
        <w:rPr>
          <w:spacing w:val="-13"/>
        </w:rPr>
        <w:t> </w:t>
      </w:r>
      <w:r>
        <w:rPr/>
        <w:t>realiza</w:t>
      </w:r>
      <w:r>
        <w:rPr>
          <w:spacing w:val="-13"/>
        </w:rPr>
        <w:t> </w:t>
      </w:r>
      <w:r>
        <w:rPr/>
        <w:t>se</w:t>
      </w:r>
      <w:r>
        <w:rPr>
          <w:spacing w:val="-13"/>
        </w:rPr>
        <w:t> </w:t>
      </w:r>
      <w:r>
        <w:rPr/>
        <w:t>han</w:t>
      </w:r>
      <w:r>
        <w:rPr>
          <w:spacing w:val="-13"/>
        </w:rPr>
        <w:t> </w:t>
      </w:r>
      <w:r>
        <w:rPr/>
        <w:t>enfocado a medir la transparencia de los países según sus niveles de corrupción (TI, 2015). Cabe hacer mención que dentro de los principales estudios realizados se encuentran los</w:t>
      </w:r>
      <w:r>
        <w:rPr>
          <w:spacing w:val="-7"/>
        </w:rPr>
        <w:t> </w:t>
      </w:r>
      <w:r>
        <w:rPr/>
        <w:t>siguientes:</w:t>
      </w:r>
    </w:p>
    <w:p>
      <w:pPr>
        <w:pStyle w:val="BodyText"/>
      </w:pPr>
    </w:p>
    <w:p>
      <w:pPr>
        <w:pStyle w:val="BodyText"/>
      </w:pPr>
    </w:p>
    <w:p>
      <w:pPr>
        <w:pStyle w:val="ListParagraph"/>
        <w:numPr>
          <w:ilvl w:val="0"/>
          <w:numId w:val="33"/>
        </w:numPr>
        <w:tabs>
          <w:tab w:pos="530" w:val="left" w:leader="none"/>
        </w:tabs>
        <w:spacing w:line="242" w:lineRule="auto" w:before="183" w:after="0"/>
        <w:ind w:left="529" w:right="122" w:hanging="360"/>
        <w:jc w:val="both"/>
        <w:rPr>
          <w:rFonts w:ascii="Symbol" w:hAnsi="Symbol"/>
          <w:sz w:val="18"/>
        </w:rPr>
      </w:pPr>
      <w:r>
        <w:rPr>
          <w:b/>
          <w:sz w:val="18"/>
        </w:rPr>
        <w:t>“Índice</w:t>
      </w:r>
      <w:r>
        <w:rPr>
          <w:b/>
          <w:spacing w:val="-10"/>
          <w:sz w:val="18"/>
        </w:rPr>
        <w:t> </w:t>
      </w:r>
      <w:r>
        <w:rPr>
          <w:b/>
          <w:sz w:val="18"/>
        </w:rPr>
        <w:t>de</w:t>
      </w:r>
      <w:r>
        <w:rPr>
          <w:b/>
          <w:spacing w:val="-12"/>
          <w:sz w:val="18"/>
        </w:rPr>
        <w:t> </w:t>
      </w:r>
      <w:r>
        <w:rPr>
          <w:b/>
          <w:sz w:val="18"/>
        </w:rPr>
        <w:t>Percepción</w:t>
      </w:r>
      <w:r>
        <w:rPr>
          <w:b/>
          <w:spacing w:val="-12"/>
          <w:sz w:val="18"/>
        </w:rPr>
        <w:t> </w:t>
      </w:r>
      <w:r>
        <w:rPr>
          <w:b/>
          <w:sz w:val="18"/>
        </w:rPr>
        <w:t>de</w:t>
      </w:r>
      <w:r>
        <w:rPr>
          <w:b/>
          <w:spacing w:val="-9"/>
          <w:sz w:val="18"/>
        </w:rPr>
        <w:t> </w:t>
      </w:r>
      <w:r>
        <w:rPr>
          <w:b/>
          <w:sz w:val="18"/>
        </w:rPr>
        <w:t>Corrupción.</w:t>
      </w:r>
      <w:r>
        <w:rPr>
          <w:b/>
          <w:spacing w:val="-7"/>
          <w:sz w:val="18"/>
        </w:rPr>
        <w:t> </w:t>
      </w:r>
      <w:r>
        <w:rPr>
          <w:sz w:val="18"/>
        </w:rPr>
        <w:t>Cuyo</w:t>
      </w:r>
      <w:r>
        <w:rPr>
          <w:spacing w:val="-12"/>
          <w:sz w:val="18"/>
        </w:rPr>
        <w:t> </w:t>
      </w:r>
      <w:r>
        <w:rPr>
          <w:sz w:val="18"/>
        </w:rPr>
        <w:t>objetivo</w:t>
      </w:r>
      <w:r>
        <w:rPr>
          <w:spacing w:val="-10"/>
          <w:sz w:val="18"/>
        </w:rPr>
        <w:t> </w:t>
      </w:r>
      <w:r>
        <w:rPr>
          <w:sz w:val="18"/>
        </w:rPr>
        <w:t>consiste</w:t>
      </w:r>
      <w:r>
        <w:rPr>
          <w:spacing w:val="-9"/>
          <w:sz w:val="18"/>
        </w:rPr>
        <w:t> </w:t>
      </w:r>
      <w:r>
        <w:rPr>
          <w:sz w:val="18"/>
        </w:rPr>
        <w:t>en</w:t>
      </w:r>
      <w:r>
        <w:rPr>
          <w:spacing w:val="-10"/>
          <w:sz w:val="18"/>
        </w:rPr>
        <w:t> </w:t>
      </w:r>
      <w:r>
        <w:rPr>
          <w:sz w:val="18"/>
        </w:rPr>
        <w:t>clasificar</w:t>
      </w:r>
      <w:r>
        <w:rPr>
          <w:spacing w:val="-13"/>
          <w:sz w:val="18"/>
        </w:rPr>
        <w:t> </w:t>
      </w:r>
      <w:r>
        <w:rPr>
          <w:sz w:val="18"/>
        </w:rPr>
        <w:t>la</w:t>
      </w:r>
      <w:r>
        <w:rPr>
          <w:spacing w:val="-10"/>
          <w:sz w:val="18"/>
        </w:rPr>
        <w:t> </w:t>
      </w:r>
      <w:r>
        <w:rPr>
          <w:sz w:val="18"/>
        </w:rPr>
        <w:t>transparencia</w:t>
      </w:r>
      <w:r>
        <w:rPr>
          <w:spacing w:val="-10"/>
          <w:sz w:val="18"/>
        </w:rPr>
        <w:t> </w:t>
      </w:r>
      <w:r>
        <w:rPr>
          <w:sz w:val="18"/>
        </w:rPr>
        <w:t>de</w:t>
      </w:r>
      <w:r>
        <w:rPr>
          <w:spacing w:val="-12"/>
          <w:sz w:val="18"/>
        </w:rPr>
        <w:t> </w:t>
      </w:r>
      <w:r>
        <w:rPr>
          <w:sz w:val="18"/>
        </w:rPr>
        <w:t>los</w:t>
      </w:r>
      <w:r>
        <w:rPr>
          <w:spacing w:val="-12"/>
          <w:sz w:val="18"/>
        </w:rPr>
        <w:t> </w:t>
      </w:r>
      <w:r>
        <w:rPr>
          <w:sz w:val="18"/>
        </w:rPr>
        <w:t>países respecto</w:t>
      </w:r>
      <w:r>
        <w:rPr>
          <w:spacing w:val="-4"/>
          <w:sz w:val="18"/>
        </w:rPr>
        <w:t> </w:t>
      </w:r>
      <w:r>
        <w:rPr>
          <w:sz w:val="18"/>
        </w:rPr>
        <w:t>al</w:t>
      </w:r>
      <w:r>
        <w:rPr>
          <w:spacing w:val="-4"/>
          <w:sz w:val="18"/>
        </w:rPr>
        <w:t> </w:t>
      </w:r>
      <w:r>
        <w:rPr>
          <w:sz w:val="18"/>
        </w:rPr>
        <w:t>grado</w:t>
      </w:r>
      <w:r>
        <w:rPr>
          <w:spacing w:val="-4"/>
          <w:sz w:val="18"/>
        </w:rPr>
        <w:t> </w:t>
      </w:r>
      <w:r>
        <w:rPr>
          <w:sz w:val="18"/>
        </w:rPr>
        <w:t>en</w:t>
      </w:r>
      <w:r>
        <w:rPr>
          <w:spacing w:val="-4"/>
          <w:sz w:val="18"/>
        </w:rPr>
        <w:t> </w:t>
      </w:r>
      <w:r>
        <w:rPr>
          <w:sz w:val="18"/>
        </w:rPr>
        <w:t>que</w:t>
      </w:r>
      <w:r>
        <w:rPr>
          <w:spacing w:val="-4"/>
          <w:sz w:val="18"/>
        </w:rPr>
        <w:t> </w:t>
      </w:r>
      <w:r>
        <w:rPr>
          <w:sz w:val="18"/>
        </w:rPr>
        <w:t>se</w:t>
      </w:r>
      <w:r>
        <w:rPr>
          <w:spacing w:val="-4"/>
          <w:sz w:val="18"/>
        </w:rPr>
        <w:t> </w:t>
      </w:r>
      <w:r>
        <w:rPr>
          <w:sz w:val="18"/>
        </w:rPr>
        <w:t>percibe</w:t>
      </w:r>
      <w:r>
        <w:rPr>
          <w:spacing w:val="-2"/>
          <w:sz w:val="18"/>
        </w:rPr>
        <w:t> </w:t>
      </w:r>
      <w:r>
        <w:rPr>
          <w:sz w:val="18"/>
        </w:rPr>
        <w:t>que</w:t>
      </w:r>
      <w:r>
        <w:rPr>
          <w:spacing w:val="-2"/>
          <w:sz w:val="18"/>
        </w:rPr>
        <w:t> </w:t>
      </w:r>
      <w:r>
        <w:rPr>
          <w:sz w:val="18"/>
        </w:rPr>
        <w:t>existe</w:t>
      </w:r>
      <w:r>
        <w:rPr>
          <w:spacing w:val="-4"/>
          <w:sz w:val="18"/>
        </w:rPr>
        <w:t> </w:t>
      </w:r>
      <w:r>
        <w:rPr>
          <w:sz w:val="18"/>
        </w:rPr>
        <w:t>corrupción</w:t>
      </w:r>
      <w:r>
        <w:rPr>
          <w:spacing w:val="-2"/>
          <w:sz w:val="18"/>
        </w:rPr>
        <w:t> </w:t>
      </w:r>
      <w:r>
        <w:rPr>
          <w:sz w:val="18"/>
        </w:rPr>
        <w:t>entre</w:t>
      </w:r>
      <w:r>
        <w:rPr>
          <w:spacing w:val="-2"/>
          <w:sz w:val="18"/>
        </w:rPr>
        <w:t> </w:t>
      </w:r>
      <w:r>
        <w:rPr>
          <w:sz w:val="18"/>
        </w:rPr>
        <w:t>los</w:t>
      </w:r>
      <w:r>
        <w:rPr>
          <w:spacing w:val="-1"/>
          <w:sz w:val="18"/>
        </w:rPr>
        <w:t> </w:t>
      </w:r>
      <w:r>
        <w:rPr>
          <w:sz w:val="18"/>
        </w:rPr>
        <w:t>funcionarios</w:t>
      </w:r>
      <w:r>
        <w:rPr>
          <w:spacing w:val="-1"/>
          <w:sz w:val="18"/>
        </w:rPr>
        <w:t> </w:t>
      </w:r>
      <w:r>
        <w:rPr>
          <w:sz w:val="18"/>
        </w:rPr>
        <w:t>públicos</w:t>
      </w:r>
      <w:r>
        <w:rPr>
          <w:spacing w:val="-3"/>
          <w:sz w:val="18"/>
        </w:rPr>
        <w:t> </w:t>
      </w:r>
      <w:r>
        <w:rPr>
          <w:sz w:val="18"/>
        </w:rPr>
        <w:t>y</w:t>
      </w:r>
      <w:r>
        <w:rPr>
          <w:spacing w:val="-4"/>
          <w:sz w:val="18"/>
        </w:rPr>
        <w:t> </w:t>
      </w:r>
      <w:r>
        <w:rPr>
          <w:sz w:val="18"/>
        </w:rPr>
        <w:t>los</w:t>
      </w:r>
      <w:r>
        <w:rPr>
          <w:spacing w:val="-1"/>
          <w:sz w:val="18"/>
        </w:rPr>
        <w:t> </w:t>
      </w:r>
      <w:r>
        <w:rPr>
          <w:sz w:val="18"/>
        </w:rPr>
        <w:t>políticos.</w:t>
      </w:r>
    </w:p>
    <w:p>
      <w:pPr>
        <w:pStyle w:val="ListParagraph"/>
        <w:numPr>
          <w:ilvl w:val="0"/>
          <w:numId w:val="33"/>
        </w:numPr>
        <w:tabs>
          <w:tab w:pos="530" w:val="left" w:leader="none"/>
        </w:tabs>
        <w:spacing w:line="242" w:lineRule="auto" w:before="0" w:after="0"/>
        <w:ind w:left="529" w:right="124" w:hanging="360"/>
        <w:jc w:val="both"/>
        <w:rPr>
          <w:rFonts w:ascii="Symbol" w:hAnsi="Symbol"/>
          <w:sz w:val="18"/>
        </w:rPr>
      </w:pPr>
      <w:r>
        <w:rPr>
          <w:b/>
          <w:sz w:val="18"/>
        </w:rPr>
        <w:t>Barómetro Global de la Corrupción. </w:t>
      </w:r>
      <w:r>
        <w:rPr>
          <w:sz w:val="18"/>
        </w:rPr>
        <w:t>Enfocado a medir las experiencias y opiniones del público en general acerca de los niveles de corrupción en sus países y los esfuerzos que realizan los respectivos gobiernos para combatir la</w:t>
      </w:r>
      <w:r>
        <w:rPr>
          <w:spacing w:val="-14"/>
          <w:sz w:val="18"/>
        </w:rPr>
        <w:t> </w:t>
      </w:r>
      <w:r>
        <w:rPr>
          <w:sz w:val="18"/>
        </w:rPr>
        <w:t>corrupción.</w:t>
      </w:r>
    </w:p>
    <w:p>
      <w:pPr>
        <w:pStyle w:val="ListParagraph"/>
        <w:numPr>
          <w:ilvl w:val="0"/>
          <w:numId w:val="33"/>
        </w:numPr>
        <w:tabs>
          <w:tab w:pos="530" w:val="left" w:leader="none"/>
        </w:tabs>
        <w:spacing w:line="242" w:lineRule="auto" w:before="0" w:after="0"/>
        <w:ind w:left="529" w:right="123" w:hanging="360"/>
        <w:jc w:val="both"/>
        <w:rPr>
          <w:rFonts w:ascii="Symbol" w:hAnsi="Symbol"/>
          <w:sz w:val="18"/>
        </w:rPr>
      </w:pPr>
      <w:hyperlink r:id="rId42">
        <w:r>
          <w:rPr>
            <w:b/>
            <w:sz w:val="18"/>
          </w:rPr>
          <w:t>Informe</w:t>
        </w:r>
        <w:r>
          <w:rPr>
            <w:b/>
            <w:spacing w:val="-6"/>
            <w:sz w:val="18"/>
          </w:rPr>
          <w:t> </w:t>
        </w:r>
        <w:r>
          <w:rPr>
            <w:b/>
            <w:sz w:val="18"/>
          </w:rPr>
          <w:t>Global</w:t>
        </w:r>
        <w:r>
          <w:rPr>
            <w:b/>
            <w:spacing w:val="-7"/>
            <w:sz w:val="18"/>
          </w:rPr>
          <w:t> </w:t>
        </w:r>
        <w:r>
          <w:rPr>
            <w:b/>
            <w:sz w:val="18"/>
          </w:rPr>
          <w:t>de</w:t>
        </w:r>
        <w:r>
          <w:rPr>
            <w:b/>
            <w:spacing w:val="-8"/>
            <w:sz w:val="18"/>
          </w:rPr>
          <w:t> </w:t>
        </w:r>
        <w:r>
          <w:rPr>
            <w:b/>
            <w:sz w:val="18"/>
          </w:rPr>
          <w:t>la</w:t>
        </w:r>
        <w:r>
          <w:rPr>
            <w:b/>
            <w:spacing w:val="-6"/>
            <w:sz w:val="18"/>
          </w:rPr>
          <w:t> </w:t>
        </w:r>
        <w:r>
          <w:rPr>
            <w:b/>
            <w:sz w:val="18"/>
          </w:rPr>
          <w:t>Corrupción.</w:t>
        </w:r>
      </w:hyperlink>
      <w:r>
        <w:rPr>
          <w:b/>
          <w:spacing w:val="-7"/>
          <w:sz w:val="18"/>
        </w:rPr>
        <w:t> </w:t>
      </w:r>
      <w:r>
        <w:rPr>
          <w:sz w:val="18"/>
        </w:rPr>
        <w:t>Ofrece</w:t>
      </w:r>
      <w:r>
        <w:rPr>
          <w:spacing w:val="-6"/>
          <w:sz w:val="18"/>
        </w:rPr>
        <w:t> </w:t>
      </w:r>
      <w:r>
        <w:rPr>
          <w:sz w:val="18"/>
        </w:rPr>
        <w:t>una</w:t>
      </w:r>
      <w:r>
        <w:rPr>
          <w:spacing w:val="-6"/>
          <w:sz w:val="18"/>
        </w:rPr>
        <w:t> </w:t>
      </w:r>
      <w:r>
        <w:rPr>
          <w:sz w:val="18"/>
        </w:rPr>
        <w:t>perspectiva</w:t>
      </w:r>
      <w:r>
        <w:rPr>
          <w:spacing w:val="-9"/>
          <w:sz w:val="18"/>
        </w:rPr>
        <w:t> </w:t>
      </w:r>
      <w:r>
        <w:rPr>
          <w:sz w:val="18"/>
        </w:rPr>
        <w:t>única</w:t>
      </w:r>
      <w:r>
        <w:rPr>
          <w:spacing w:val="-6"/>
          <w:sz w:val="18"/>
        </w:rPr>
        <w:t> </w:t>
      </w:r>
      <w:r>
        <w:rPr>
          <w:sz w:val="18"/>
        </w:rPr>
        <w:t>sobre</w:t>
      </w:r>
      <w:r>
        <w:rPr>
          <w:spacing w:val="-9"/>
          <w:sz w:val="18"/>
        </w:rPr>
        <w:t> </w:t>
      </w:r>
      <w:r>
        <w:rPr>
          <w:sz w:val="18"/>
        </w:rPr>
        <w:t>el</w:t>
      </w:r>
      <w:r>
        <w:rPr>
          <w:spacing w:val="-6"/>
          <w:sz w:val="18"/>
        </w:rPr>
        <w:t> </w:t>
      </w:r>
      <w:r>
        <w:rPr>
          <w:sz w:val="18"/>
        </w:rPr>
        <w:t>estado</w:t>
      </w:r>
      <w:r>
        <w:rPr>
          <w:spacing w:val="-9"/>
          <w:sz w:val="18"/>
        </w:rPr>
        <w:t> </w:t>
      </w:r>
      <w:r>
        <w:rPr>
          <w:sz w:val="18"/>
        </w:rPr>
        <w:t>mundial</w:t>
      </w:r>
      <w:r>
        <w:rPr>
          <w:spacing w:val="-11"/>
          <w:sz w:val="18"/>
        </w:rPr>
        <w:t> </w:t>
      </w:r>
      <w:r>
        <w:rPr>
          <w:sz w:val="18"/>
        </w:rPr>
        <w:t>de</w:t>
      </w:r>
      <w:r>
        <w:rPr>
          <w:spacing w:val="-6"/>
          <w:sz w:val="18"/>
        </w:rPr>
        <w:t> </w:t>
      </w:r>
      <w:r>
        <w:rPr>
          <w:sz w:val="18"/>
        </w:rPr>
        <w:t>la</w:t>
      </w:r>
      <w:r>
        <w:rPr>
          <w:spacing w:val="-9"/>
          <w:sz w:val="18"/>
        </w:rPr>
        <w:t> </w:t>
      </w:r>
      <w:r>
        <w:rPr>
          <w:sz w:val="18"/>
        </w:rPr>
        <w:t>corrupción y de los numerosos esfuerzos realizados para</w:t>
      </w:r>
      <w:r>
        <w:rPr>
          <w:spacing w:val="-20"/>
          <w:sz w:val="18"/>
        </w:rPr>
        <w:t> </w:t>
      </w:r>
      <w:r>
        <w:rPr>
          <w:sz w:val="18"/>
        </w:rPr>
        <w:t>combatirla.</w:t>
      </w:r>
    </w:p>
    <w:p>
      <w:pPr>
        <w:pStyle w:val="ListParagraph"/>
        <w:numPr>
          <w:ilvl w:val="0"/>
          <w:numId w:val="33"/>
        </w:numPr>
        <w:tabs>
          <w:tab w:pos="530" w:val="left" w:leader="none"/>
        </w:tabs>
        <w:spacing w:line="242" w:lineRule="auto" w:before="0" w:after="0"/>
        <w:ind w:left="529" w:right="118" w:hanging="360"/>
        <w:jc w:val="both"/>
        <w:rPr>
          <w:rFonts w:ascii="Symbol" w:hAnsi="Symbol"/>
          <w:sz w:val="18"/>
        </w:rPr>
      </w:pPr>
      <w:hyperlink r:id="rId43">
        <w:r>
          <w:rPr>
            <w:b/>
            <w:sz w:val="18"/>
          </w:rPr>
          <w:t>Report on Revenue Transparency of Oil and Gas Companies.</w:t>
        </w:r>
      </w:hyperlink>
      <w:r>
        <w:rPr>
          <w:b/>
          <w:sz w:val="18"/>
        </w:rPr>
        <w:t> </w:t>
      </w:r>
      <w:r>
        <w:rPr>
          <w:sz w:val="18"/>
        </w:rPr>
        <w:t>Evaluar los niveles de transparencia</w:t>
      </w:r>
      <w:r>
        <w:rPr>
          <w:spacing w:val="-32"/>
          <w:sz w:val="18"/>
        </w:rPr>
        <w:t> </w:t>
      </w:r>
      <w:r>
        <w:rPr>
          <w:sz w:val="18"/>
        </w:rPr>
        <w:t>de empresas líderes en el mundo en materia de petróleo y</w:t>
      </w:r>
      <w:r>
        <w:rPr>
          <w:spacing w:val="-23"/>
          <w:sz w:val="18"/>
        </w:rPr>
        <w:t> </w:t>
      </w:r>
      <w:r>
        <w:rPr>
          <w:sz w:val="18"/>
        </w:rPr>
        <w:t>gas.</w:t>
      </w:r>
    </w:p>
    <w:p>
      <w:pPr>
        <w:pStyle w:val="ListParagraph"/>
        <w:numPr>
          <w:ilvl w:val="0"/>
          <w:numId w:val="33"/>
        </w:numPr>
        <w:tabs>
          <w:tab w:pos="530" w:val="left" w:leader="none"/>
        </w:tabs>
        <w:spacing w:line="242" w:lineRule="auto" w:before="0" w:after="0"/>
        <w:ind w:left="529" w:right="124" w:hanging="360"/>
        <w:jc w:val="both"/>
        <w:rPr>
          <w:rFonts w:ascii="Symbol" w:hAnsi="Symbol"/>
          <w:sz w:val="18"/>
        </w:rPr>
      </w:pPr>
      <w:hyperlink r:id="rId44">
        <w:r>
          <w:rPr>
            <w:b/>
            <w:sz w:val="18"/>
          </w:rPr>
          <w:t>Índice de Fuentes de Soborno.</w:t>
        </w:r>
      </w:hyperlink>
      <w:r>
        <w:rPr>
          <w:b/>
          <w:sz w:val="18"/>
        </w:rPr>
        <w:t> </w:t>
      </w:r>
      <w:r>
        <w:rPr>
          <w:sz w:val="18"/>
        </w:rPr>
        <w:t>Clasifica a los principales países exportadores en función de la medida en que se percibe que las compañías internacionales con sede principal en esos países tienden a pagar sobornos</w:t>
      </w:r>
      <w:r>
        <w:rPr>
          <w:spacing w:val="-5"/>
          <w:sz w:val="18"/>
        </w:rPr>
        <w:t> </w:t>
      </w:r>
      <w:r>
        <w:rPr>
          <w:sz w:val="18"/>
        </w:rPr>
        <w:t>a</w:t>
      </w:r>
      <w:r>
        <w:rPr>
          <w:spacing w:val="-3"/>
          <w:sz w:val="18"/>
        </w:rPr>
        <w:t> </w:t>
      </w:r>
      <w:r>
        <w:rPr>
          <w:sz w:val="18"/>
        </w:rPr>
        <w:t>funcionarios</w:t>
      </w:r>
      <w:r>
        <w:rPr>
          <w:spacing w:val="-2"/>
          <w:sz w:val="18"/>
        </w:rPr>
        <w:t> </w:t>
      </w:r>
      <w:r>
        <w:rPr>
          <w:sz w:val="18"/>
        </w:rPr>
        <w:t>públicos</w:t>
      </w:r>
      <w:r>
        <w:rPr>
          <w:spacing w:val="-2"/>
          <w:sz w:val="18"/>
        </w:rPr>
        <w:t> </w:t>
      </w:r>
      <w:r>
        <w:rPr>
          <w:sz w:val="18"/>
        </w:rPr>
        <w:t>de</w:t>
      </w:r>
      <w:r>
        <w:rPr>
          <w:spacing w:val="-3"/>
          <w:sz w:val="18"/>
        </w:rPr>
        <w:t> </w:t>
      </w:r>
      <w:r>
        <w:rPr>
          <w:sz w:val="18"/>
        </w:rPr>
        <w:t>alto</w:t>
      </w:r>
      <w:r>
        <w:rPr>
          <w:spacing w:val="-3"/>
          <w:sz w:val="18"/>
        </w:rPr>
        <w:t> </w:t>
      </w:r>
      <w:r>
        <w:rPr>
          <w:sz w:val="18"/>
        </w:rPr>
        <w:t>rango</w:t>
      </w:r>
      <w:r>
        <w:rPr>
          <w:spacing w:val="-5"/>
          <w:sz w:val="18"/>
        </w:rPr>
        <w:t> </w:t>
      </w:r>
      <w:r>
        <w:rPr>
          <w:sz w:val="18"/>
        </w:rPr>
        <w:t>en</w:t>
      </w:r>
      <w:r>
        <w:rPr>
          <w:spacing w:val="-3"/>
          <w:sz w:val="18"/>
        </w:rPr>
        <w:t> </w:t>
      </w:r>
      <w:r>
        <w:rPr>
          <w:sz w:val="18"/>
        </w:rPr>
        <w:t>los</w:t>
      </w:r>
      <w:r>
        <w:rPr>
          <w:spacing w:val="-4"/>
          <w:sz w:val="18"/>
        </w:rPr>
        <w:t> </w:t>
      </w:r>
      <w:r>
        <w:rPr>
          <w:sz w:val="18"/>
        </w:rPr>
        <w:t>países</w:t>
      </w:r>
      <w:r>
        <w:rPr>
          <w:spacing w:val="-4"/>
          <w:sz w:val="18"/>
        </w:rPr>
        <w:t> </w:t>
      </w:r>
      <w:r>
        <w:rPr>
          <w:sz w:val="18"/>
        </w:rPr>
        <w:t>con</w:t>
      </w:r>
      <w:r>
        <w:rPr>
          <w:spacing w:val="-5"/>
          <w:sz w:val="18"/>
        </w:rPr>
        <w:t> </w:t>
      </w:r>
      <w:r>
        <w:rPr>
          <w:sz w:val="18"/>
        </w:rPr>
        <w:t>economías</w:t>
      </w:r>
      <w:r>
        <w:rPr>
          <w:spacing w:val="-4"/>
          <w:sz w:val="18"/>
        </w:rPr>
        <w:t> </w:t>
      </w:r>
      <w:r>
        <w:rPr>
          <w:sz w:val="18"/>
        </w:rPr>
        <w:t>de</w:t>
      </w:r>
      <w:r>
        <w:rPr>
          <w:spacing w:val="-5"/>
          <w:sz w:val="18"/>
        </w:rPr>
        <w:t> </w:t>
      </w:r>
      <w:r>
        <w:rPr>
          <w:sz w:val="18"/>
        </w:rPr>
        <w:t>mercado</w:t>
      </w:r>
      <w:r>
        <w:rPr>
          <w:spacing w:val="5"/>
          <w:sz w:val="18"/>
        </w:rPr>
        <w:t> </w:t>
      </w:r>
      <w:r>
        <w:rPr>
          <w:sz w:val="18"/>
        </w:rPr>
        <w:t>emergentes.</w:t>
      </w:r>
    </w:p>
    <w:p>
      <w:pPr>
        <w:pStyle w:val="ListParagraph"/>
        <w:numPr>
          <w:ilvl w:val="0"/>
          <w:numId w:val="33"/>
        </w:numPr>
        <w:tabs>
          <w:tab w:pos="530" w:val="left" w:leader="none"/>
        </w:tabs>
        <w:spacing w:line="242" w:lineRule="auto" w:before="0" w:after="0"/>
        <w:ind w:left="529" w:right="125" w:hanging="360"/>
        <w:jc w:val="both"/>
        <w:rPr>
          <w:rFonts w:ascii="Symbol" w:hAnsi="Symbol"/>
          <w:sz w:val="18"/>
        </w:rPr>
      </w:pPr>
      <w:hyperlink r:id="rId45">
        <w:r>
          <w:rPr>
            <w:b/>
            <w:sz w:val="18"/>
          </w:rPr>
          <w:t>Índice de Integridad Global.</w:t>
        </w:r>
      </w:hyperlink>
      <w:r>
        <w:rPr>
          <w:b/>
          <w:sz w:val="18"/>
        </w:rPr>
        <w:t> </w:t>
      </w:r>
      <w:r>
        <w:rPr>
          <w:sz w:val="18"/>
        </w:rPr>
        <w:t>Evalúa la existencia y eficacia de los mecanismos anticorrupción utilizados por los gobiernos, por lo que su objetivo no es medir la corrupción sino evaluar los métodos preventivos para</w:t>
      </w:r>
      <w:r>
        <w:rPr>
          <w:spacing w:val="-6"/>
          <w:sz w:val="18"/>
        </w:rPr>
        <w:t> </w:t>
      </w:r>
      <w:r>
        <w:rPr>
          <w:sz w:val="18"/>
        </w:rPr>
        <w:t>evitarla,</w:t>
      </w:r>
      <w:r>
        <w:rPr>
          <w:spacing w:val="-5"/>
          <w:sz w:val="18"/>
        </w:rPr>
        <w:t> </w:t>
      </w:r>
      <w:r>
        <w:rPr>
          <w:sz w:val="18"/>
        </w:rPr>
        <w:t>como</w:t>
      </w:r>
      <w:r>
        <w:rPr>
          <w:spacing w:val="-5"/>
          <w:sz w:val="18"/>
        </w:rPr>
        <w:t> </w:t>
      </w:r>
      <w:r>
        <w:rPr>
          <w:sz w:val="18"/>
        </w:rPr>
        <w:t>la</w:t>
      </w:r>
      <w:r>
        <w:rPr>
          <w:spacing w:val="-5"/>
          <w:sz w:val="18"/>
        </w:rPr>
        <w:t> </w:t>
      </w:r>
      <w:r>
        <w:rPr>
          <w:sz w:val="18"/>
        </w:rPr>
        <w:t>transparencia,</w:t>
      </w:r>
      <w:r>
        <w:rPr>
          <w:spacing w:val="-7"/>
          <w:sz w:val="18"/>
        </w:rPr>
        <w:t> </w:t>
      </w:r>
      <w:r>
        <w:rPr>
          <w:sz w:val="18"/>
        </w:rPr>
        <w:t>la</w:t>
      </w:r>
      <w:r>
        <w:rPr>
          <w:spacing w:val="-5"/>
          <w:sz w:val="18"/>
        </w:rPr>
        <w:t> </w:t>
      </w:r>
      <w:r>
        <w:rPr>
          <w:sz w:val="18"/>
        </w:rPr>
        <w:t>rendición</w:t>
      </w:r>
      <w:r>
        <w:rPr>
          <w:spacing w:val="-5"/>
          <w:sz w:val="18"/>
        </w:rPr>
        <w:t> </w:t>
      </w:r>
      <w:r>
        <w:rPr>
          <w:sz w:val="18"/>
        </w:rPr>
        <w:t>de</w:t>
      </w:r>
      <w:r>
        <w:rPr>
          <w:spacing w:val="-6"/>
          <w:sz w:val="18"/>
        </w:rPr>
        <w:t> </w:t>
      </w:r>
      <w:r>
        <w:rPr>
          <w:sz w:val="18"/>
        </w:rPr>
        <w:t>cuentas</w:t>
      </w:r>
      <w:r>
        <w:rPr>
          <w:spacing w:val="-8"/>
          <w:sz w:val="18"/>
        </w:rPr>
        <w:t> </w:t>
      </w:r>
      <w:r>
        <w:rPr>
          <w:sz w:val="18"/>
        </w:rPr>
        <w:t>y</w:t>
      </w:r>
      <w:r>
        <w:rPr>
          <w:spacing w:val="-6"/>
          <w:sz w:val="18"/>
        </w:rPr>
        <w:t> </w:t>
      </w:r>
      <w:r>
        <w:rPr>
          <w:sz w:val="18"/>
        </w:rPr>
        <w:t>el</w:t>
      </w:r>
      <w:r>
        <w:rPr>
          <w:spacing w:val="-5"/>
          <w:sz w:val="18"/>
        </w:rPr>
        <w:t> </w:t>
      </w:r>
      <w:r>
        <w:rPr>
          <w:sz w:val="18"/>
        </w:rPr>
        <w:t>acceso</w:t>
      </w:r>
      <w:r>
        <w:rPr>
          <w:spacing w:val="-6"/>
          <w:sz w:val="18"/>
        </w:rPr>
        <w:t> </w:t>
      </w:r>
      <w:r>
        <w:rPr>
          <w:sz w:val="18"/>
        </w:rPr>
        <w:t>a</w:t>
      </w:r>
      <w:r>
        <w:rPr>
          <w:spacing w:val="-6"/>
          <w:sz w:val="18"/>
        </w:rPr>
        <w:t> </w:t>
      </w:r>
      <w:r>
        <w:rPr>
          <w:sz w:val="18"/>
        </w:rPr>
        <w:t>la</w:t>
      </w:r>
      <w:r>
        <w:rPr>
          <w:spacing w:val="-6"/>
          <w:sz w:val="18"/>
        </w:rPr>
        <w:t> </w:t>
      </w:r>
      <w:r>
        <w:rPr>
          <w:sz w:val="18"/>
        </w:rPr>
        <w:t>información,</w:t>
      </w:r>
      <w:r>
        <w:rPr>
          <w:spacing w:val="-5"/>
          <w:sz w:val="18"/>
        </w:rPr>
        <w:t> </w:t>
      </w:r>
      <w:r>
        <w:rPr>
          <w:sz w:val="18"/>
        </w:rPr>
        <w:t>a</w:t>
      </w:r>
      <w:r>
        <w:rPr>
          <w:spacing w:val="-9"/>
          <w:sz w:val="18"/>
        </w:rPr>
        <w:t> </w:t>
      </w:r>
      <w:r>
        <w:rPr>
          <w:sz w:val="18"/>
        </w:rPr>
        <w:t>través</w:t>
      </w:r>
      <w:r>
        <w:rPr>
          <w:spacing w:val="-4"/>
          <w:sz w:val="18"/>
        </w:rPr>
        <w:t> </w:t>
      </w:r>
      <w:r>
        <w:rPr>
          <w:sz w:val="18"/>
        </w:rPr>
        <w:t>de</w:t>
      </w:r>
      <w:r>
        <w:rPr>
          <w:spacing w:val="-6"/>
          <w:sz w:val="18"/>
        </w:rPr>
        <w:t> </w:t>
      </w:r>
      <w:r>
        <w:rPr>
          <w:sz w:val="18"/>
        </w:rPr>
        <w:t>más de 300 indicadores de acciones</w:t>
      </w:r>
      <w:r>
        <w:rPr>
          <w:spacing w:val="-21"/>
          <w:sz w:val="18"/>
        </w:rPr>
        <w:t> </w:t>
      </w:r>
      <w:r>
        <w:rPr>
          <w:sz w:val="18"/>
        </w:rPr>
        <w:t>concretas.</w:t>
      </w:r>
    </w:p>
    <w:p>
      <w:pPr>
        <w:pStyle w:val="ListParagraph"/>
        <w:numPr>
          <w:ilvl w:val="0"/>
          <w:numId w:val="33"/>
        </w:numPr>
        <w:tabs>
          <w:tab w:pos="530" w:val="left" w:leader="none"/>
        </w:tabs>
        <w:spacing w:line="235" w:lineRule="auto" w:before="0" w:after="0"/>
        <w:ind w:left="529" w:right="118" w:hanging="360"/>
        <w:jc w:val="both"/>
        <w:rPr>
          <w:rFonts w:ascii="Symbol" w:hAnsi="Symbol"/>
          <w:sz w:val="24"/>
        </w:rPr>
      </w:pPr>
      <w:hyperlink r:id="rId46">
        <w:r>
          <w:rPr>
            <w:b/>
            <w:sz w:val="18"/>
          </w:rPr>
          <w:t>Governance</w:t>
        </w:r>
        <w:r>
          <w:rPr>
            <w:b/>
            <w:spacing w:val="-10"/>
            <w:sz w:val="18"/>
          </w:rPr>
          <w:t> </w:t>
        </w:r>
        <w:r>
          <w:rPr>
            <w:b/>
            <w:sz w:val="18"/>
          </w:rPr>
          <w:t>Matters</w:t>
        </w:r>
        <w:r>
          <w:rPr>
            <w:b/>
            <w:spacing w:val="-12"/>
            <w:sz w:val="18"/>
          </w:rPr>
          <w:t> </w:t>
        </w:r>
        <w:r>
          <w:rPr>
            <w:b/>
            <w:sz w:val="18"/>
          </w:rPr>
          <w:t>del</w:t>
        </w:r>
        <w:r>
          <w:rPr>
            <w:b/>
            <w:spacing w:val="-12"/>
            <w:sz w:val="18"/>
          </w:rPr>
          <w:t> </w:t>
        </w:r>
        <w:r>
          <w:rPr>
            <w:b/>
            <w:sz w:val="18"/>
          </w:rPr>
          <w:t>Banco</w:t>
        </w:r>
        <w:r>
          <w:rPr>
            <w:b/>
            <w:spacing w:val="-10"/>
            <w:sz w:val="18"/>
          </w:rPr>
          <w:t> </w:t>
        </w:r>
        <w:r>
          <w:rPr>
            <w:b/>
            <w:sz w:val="18"/>
          </w:rPr>
          <w:t>Mundial.</w:t>
        </w:r>
      </w:hyperlink>
      <w:r>
        <w:rPr>
          <w:b/>
          <w:spacing w:val="-10"/>
          <w:sz w:val="18"/>
        </w:rPr>
        <w:t> </w:t>
      </w:r>
      <w:r>
        <w:rPr>
          <w:sz w:val="18"/>
        </w:rPr>
        <w:t>Su</w:t>
      </w:r>
      <w:r>
        <w:rPr>
          <w:spacing w:val="-10"/>
          <w:sz w:val="18"/>
        </w:rPr>
        <w:t> </w:t>
      </w:r>
      <w:r>
        <w:rPr>
          <w:sz w:val="18"/>
        </w:rPr>
        <w:t>objetivo</w:t>
      </w:r>
      <w:r>
        <w:rPr>
          <w:spacing w:val="-10"/>
          <w:sz w:val="18"/>
        </w:rPr>
        <w:t> </w:t>
      </w:r>
      <w:r>
        <w:rPr>
          <w:sz w:val="18"/>
        </w:rPr>
        <w:t>es</w:t>
      </w:r>
      <w:r>
        <w:rPr>
          <w:spacing w:val="-12"/>
          <w:sz w:val="18"/>
        </w:rPr>
        <w:t> </w:t>
      </w:r>
      <w:r>
        <w:rPr>
          <w:sz w:val="18"/>
        </w:rPr>
        <w:t>medir</w:t>
      </w:r>
      <w:r>
        <w:rPr>
          <w:spacing w:val="-10"/>
          <w:sz w:val="18"/>
        </w:rPr>
        <w:t> </w:t>
      </w:r>
      <w:r>
        <w:rPr>
          <w:sz w:val="18"/>
        </w:rPr>
        <w:t>la</w:t>
      </w:r>
      <w:r>
        <w:rPr>
          <w:spacing w:val="-12"/>
          <w:sz w:val="18"/>
        </w:rPr>
        <w:t> </w:t>
      </w:r>
      <w:r>
        <w:rPr>
          <w:sz w:val="18"/>
        </w:rPr>
        <w:t>gobernabilidad</w:t>
      </w:r>
      <w:r>
        <w:rPr>
          <w:spacing w:val="-12"/>
          <w:sz w:val="18"/>
        </w:rPr>
        <w:t> </w:t>
      </w:r>
      <w:r>
        <w:rPr>
          <w:sz w:val="18"/>
        </w:rPr>
        <w:t>en</w:t>
      </w:r>
      <w:r>
        <w:rPr>
          <w:spacing w:val="-12"/>
          <w:sz w:val="18"/>
        </w:rPr>
        <w:t> </w:t>
      </w:r>
      <w:r>
        <w:rPr>
          <w:sz w:val="18"/>
        </w:rPr>
        <w:t>los</w:t>
      </w:r>
      <w:r>
        <w:rPr>
          <w:spacing w:val="-12"/>
          <w:sz w:val="18"/>
        </w:rPr>
        <w:t> </w:t>
      </w:r>
      <w:r>
        <w:rPr>
          <w:sz w:val="18"/>
        </w:rPr>
        <w:t>países,</w:t>
      </w:r>
      <w:r>
        <w:rPr>
          <w:spacing w:val="-12"/>
          <w:sz w:val="18"/>
        </w:rPr>
        <w:t> </w:t>
      </w:r>
      <w:r>
        <w:rPr>
          <w:sz w:val="18"/>
        </w:rPr>
        <w:t>entendida ésta</w:t>
      </w:r>
      <w:r>
        <w:rPr>
          <w:spacing w:val="-7"/>
          <w:sz w:val="18"/>
        </w:rPr>
        <w:t> </w:t>
      </w:r>
      <w:r>
        <w:rPr>
          <w:sz w:val="18"/>
        </w:rPr>
        <w:t>como</w:t>
      </w:r>
      <w:r>
        <w:rPr>
          <w:spacing w:val="-7"/>
          <w:sz w:val="18"/>
        </w:rPr>
        <w:t> </w:t>
      </w:r>
      <w:r>
        <w:rPr>
          <w:sz w:val="18"/>
        </w:rPr>
        <w:t>el</w:t>
      </w:r>
      <w:r>
        <w:rPr>
          <w:spacing w:val="-7"/>
          <w:sz w:val="18"/>
        </w:rPr>
        <w:t> </w:t>
      </w:r>
      <w:r>
        <w:rPr>
          <w:sz w:val="18"/>
        </w:rPr>
        <w:t>conjunto</w:t>
      </w:r>
      <w:r>
        <w:rPr>
          <w:spacing w:val="-7"/>
          <w:sz w:val="18"/>
        </w:rPr>
        <w:t> </w:t>
      </w:r>
      <w:r>
        <w:rPr>
          <w:sz w:val="18"/>
        </w:rPr>
        <w:t>de</w:t>
      </w:r>
      <w:r>
        <w:rPr>
          <w:spacing w:val="-4"/>
          <w:sz w:val="18"/>
        </w:rPr>
        <w:t> </w:t>
      </w:r>
      <w:r>
        <w:rPr>
          <w:sz w:val="18"/>
        </w:rPr>
        <w:t>tradiciones</w:t>
      </w:r>
      <w:r>
        <w:rPr>
          <w:spacing w:val="-7"/>
          <w:sz w:val="18"/>
        </w:rPr>
        <w:t> </w:t>
      </w:r>
      <w:r>
        <w:rPr>
          <w:sz w:val="18"/>
        </w:rPr>
        <w:t>e</w:t>
      </w:r>
      <w:r>
        <w:rPr>
          <w:spacing w:val="-7"/>
          <w:sz w:val="18"/>
        </w:rPr>
        <w:t> </w:t>
      </w:r>
      <w:r>
        <w:rPr>
          <w:sz w:val="18"/>
        </w:rPr>
        <w:t>instituciones</w:t>
      </w:r>
      <w:r>
        <w:rPr>
          <w:spacing w:val="-7"/>
          <w:sz w:val="18"/>
        </w:rPr>
        <w:t> </w:t>
      </w:r>
      <w:r>
        <w:rPr>
          <w:sz w:val="18"/>
        </w:rPr>
        <w:t>mediante</w:t>
      </w:r>
      <w:r>
        <w:rPr>
          <w:spacing w:val="-7"/>
          <w:sz w:val="18"/>
        </w:rPr>
        <w:t> </w:t>
      </w:r>
      <w:r>
        <w:rPr>
          <w:sz w:val="18"/>
        </w:rPr>
        <w:t>las</w:t>
      </w:r>
      <w:r>
        <w:rPr>
          <w:spacing w:val="-7"/>
          <w:sz w:val="18"/>
        </w:rPr>
        <w:t> </w:t>
      </w:r>
      <w:r>
        <w:rPr>
          <w:sz w:val="18"/>
        </w:rPr>
        <w:t>cuales</w:t>
      </w:r>
      <w:r>
        <w:rPr>
          <w:spacing w:val="-7"/>
          <w:sz w:val="18"/>
        </w:rPr>
        <w:t> </w:t>
      </w:r>
      <w:r>
        <w:rPr>
          <w:sz w:val="18"/>
        </w:rPr>
        <w:t>se</w:t>
      </w:r>
      <w:r>
        <w:rPr>
          <w:spacing w:val="-2"/>
          <w:sz w:val="18"/>
        </w:rPr>
        <w:t> </w:t>
      </w:r>
      <w:r>
        <w:rPr>
          <w:sz w:val="18"/>
        </w:rPr>
        <w:t>ejerce</w:t>
      </w:r>
      <w:r>
        <w:rPr>
          <w:spacing w:val="-7"/>
          <w:sz w:val="18"/>
        </w:rPr>
        <w:t> </w:t>
      </w:r>
      <w:r>
        <w:rPr>
          <w:sz w:val="18"/>
        </w:rPr>
        <w:t>la</w:t>
      </w:r>
      <w:r>
        <w:rPr>
          <w:spacing w:val="-7"/>
          <w:sz w:val="18"/>
        </w:rPr>
        <w:t> </w:t>
      </w:r>
      <w:r>
        <w:rPr>
          <w:sz w:val="18"/>
        </w:rPr>
        <w:t>autoridad</w:t>
      </w:r>
      <w:r>
        <w:rPr>
          <w:spacing w:val="-7"/>
          <w:sz w:val="18"/>
        </w:rPr>
        <w:t> </w:t>
      </w:r>
      <w:r>
        <w:rPr>
          <w:sz w:val="18"/>
        </w:rPr>
        <w:t>en</w:t>
      </w:r>
      <w:r>
        <w:rPr>
          <w:spacing w:val="-7"/>
          <w:sz w:val="18"/>
        </w:rPr>
        <w:t> </w:t>
      </w:r>
      <w:r>
        <w:rPr>
          <w:sz w:val="18"/>
        </w:rPr>
        <w:t>un</w:t>
      </w:r>
      <w:r>
        <w:rPr>
          <w:spacing w:val="-7"/>
          <w:sz w:val="18"/>
        </w:rPr>
        <w:t> </w:t>
      </w:r>
      <w:r>
        <w:rPr>
          <w:sz w:val="18"/>
        </w:rPr>
        <w:t>país” (TI,</w:t>
      </w:r>
      <w:r>
        <w:rPr>
          <w:spacing w:val="-2"/>
          <w:sz w:val="18"/>
        </w:rPr>
        <w:t> </w:t>
      </w:r>
      <w:r>
        <w:rPr>
          <w:sz w:val="18"/>
        </w:rPr>
        <w:t>2015).</w:t>
      </w:r>
    </w:p>
    <w:p>
      <w:pPr>
        <w:spacing w:after="0" w:line="235" w:lineRule="auto"/>
        <w:jc w:val="both"/>
        <w:rPr>
          <w:rFonts w:ascii="Symbol" w:hAnsi="Symbol"/>
          <w:sz w:val="24"/>
        </w:rPr>
        <w:sectPr>
          <w:pgSz w:w="12240" w:h="15840"/>
          <w:pgMar w:header="0" w:footer="1035" w:top="1380" w:bottom="1220" w:left="1600" w:right="1580"/>
        </w:sectPr>
      </w:pPr>
    </w:p>
    <w:p>
      <w:pPr>
        <w:pStyle w:val="BodyText"/>
        <w:spacing w:line="360" w:lineRule="auto" w:before="54"/>
        <w:ind w:left="102" w:right="119"/>
        <w:jc w:val="both"/>
      </w:pPr>
      <w:r>
        <w:rPr/>
        <w:t>De estos índices se retomará más adelante el Índice de Percepción de la Corrupción, ya que mide los niveles de corrupción, de modo tal que entre menos corrupto es un país, se le considera más transparente. Este índice permitirá ver la evolución</w:t>
      </w:r>
      <w:r>
        <w:rPr>
          <w:spacing w:val="-9"/>
        </w:rPr>
        <w:t> </w:t>
      </w:r>
      <w:r>
        <w:rPr/>
        <w:t>que</w:t>
      </w:r>
      <w:r>
        <w:rPr>
          <w:spacing w:val="-9"/>
        </w:rPr>
        <w:t> </w:t>
      </w:r>
      <w:r>
        <w:rPr/>
        <w:t>ha</w:t>
      </w:r>
      <w:r>
        <w:rPr>
          <w:spacing w:val="-12"/>
        </w:rPr>
        <w:t> </w:t>
      </w:r>
      <w:r>
        <w:rPr/>
        <w:t>tenido</w:t>
      </w:r>
      <w:r>
        <w:rPr>
          <w:spacing w:val="-9"/>
        </w:rPr>
        <w:t> </w:t>
      </w:r>
      <w:r>
        <w:rPr/>
        <w:t>México</w:t>
      </w:r>
      <w:r>
        <w:rPr>
          <w:spacing w:val="-10"/>
        </w:rPr>
        <w:t> </w:t>
      </w:r>
      <w:r>
        <w:rPr/>
        <w:t>en</w:t>
      </w:r>
      <w:r>
        <w:rPr>
          <w:spacing w:val="-9"/>
        </w:rPr>
        <w:t> </w:t>
      </w:r>
      <w:r>
        <w:rPr/>
        <w:t>la</w:t>
      </w:r>
      <w:r>
        <w:rPr>
          <w:spacing w:val="-10"/>
        </w:rPr>
        <w:t> </w:t>
      </w:r>
      <w:r>
        <w:rPr/>
        <w:t>percepción</w:t>
      </w:r>
      <w:r>
        <w:rPr>
          <w:spacing w:val="-9"/>
        </w:rPr>
        <w:t> </w:t>
      </w:r>
      <w:r>
        <w:rPr/>
        <w:t>global</w:t>
      </w:r>
      <w:r>
        <w:rPr>
          <w:spacing w:val="-11"/>
        </w:rPr>
        <w:t> </w:t>
      </w:r>
      <w:r>
        <w:rPr/>
        <w:t>de</w:t>
      </w:r>
      <w:r>
        <w:rPr>
          <w:spacing w:val="-12"/>
        </w:rPr>
        <w:t> </w:t>
      </w:r>
      <w:r>
        <w:rPr/>
        <w:t>transparencia</w:t>
      </w:r>
      <w:r>
        <w:rPr>
          <w:spacing w:val="-10"/>
        </w:rPr>
        <w:t> </w:t>
      </w:r>
      <w:r>
        <w:rPr/>
        <w:t>de</w:t>
      </w:r>
      <w:r>
        <w:rPr>
          <w:spacing w:val="-9"/>
        </w:rPr>
        <w:t> </w:t>
      </w:r>
      <w:r>
        <w:rPr/>
        <w:t>los</w:t>
      </w:r>
      <w:r>
        <w:rPr>
          <w:spacing w:val="-10"/>
        </w:rPr>
        <w:t> </w:t>
      </w:r>
      <w:r>
        <w:rPr/>
        <w:t>175 países que fueron evaluados por</w:t>
      </w:r>
      <w:r>
        <w:rPr>
          <w:spacing w:val="-12"/>
        </w:rPr>
        <w:t> </w:t>
      </w:r>
      <w:r>
        <w:rPr/>
        <w:t>TI.</w:t>
      </w:r>
    </w:p>
    <w:p>
      <w:pPr>
        <w:pStyle w:val="BodyText"/>
      </w:pPr>
    </w:p>
    <w:p>
      <w:pPr>
        <w:pStyle w:val="BodyText"/>
      </w:pPr>
    </w:p>
    <w:p>
      <w:pPr>
        <w:pStyle w:val="BodyText"/>
        <w:spacing w:before="9"/>
        <w:rPr>
          <w:sz w:val="19"/>
        </w:rPr>
      </w:pPr>
    </w:p>
    <w:p>
      <w:pPr>
        <w:pStyle w:val="Heading1"/>
        <w:numPr>
          <w:ilvl w:val="3"/>
          <w:numId w:val="31"/>
        </w:numPr>
        <w:tabs>
          <w:tab w:pos="954" w:val="left" w:leader="none"/>
        </w:tabs>
        <w:spacing w:line="240" w:lineRule="auto" w:before="1" w:after="0"/>
        <w:ind w:left="954" w:right="0" w:hanging="852"/>
        <w:jc w:val="both"/>
      </w:pPr>
      <w:r>
        <w:rPr/>
        <w:t>Centro Latinoamericano de Administración para el Desarrollo</w:t>
      </w:r>
      <w:r>
        <w:rPr>
          <w:spacing w:val="-16"/>
        </w:rPr>
        <w:t> </w:t>
      </w:r>
      <w:r>
        <w:rPr/>
        <w:t>(CLAD)</w:t>
      </w:r>
    </w:p>
    <w:p>
      <w:pPr>
        <w:pStyle w:val="BodyText"/>
        <w:rPr>
          <w:b/>
        </w:rPr>
      </w:pPr>
    </w:p>
    <w:p>
      <w:pPr>
        <w:pStyle w:val="BodyText"/>
        <w:rPr>
          <w:b/>
        </w:rPr>
      </w:pPr>
    </w:p>
    <w:p>
      <w:pPr>
        <w:pStyle w:val="BodyText"/>
        <w:spacing w:line="360" w:lineRule="auto" w:before="159"/>
        <w:ind w:left="102" w:right="122"/>
        <w:jc w:val="both"/>
      </w:pPr>
      <w:r>
        <w:rPr/>
        <w:t>El CLAD es un organismo público internacional de carácter intergubernamental creado en 1972 bajo la iniciativa de México, Venezuela y Perú. Su misión es promover el análisis el intercambio de experiencias y conocimientos en torno a la reforma del Estado y la modernización de la Administración Pública, a través de la organización de reuniones internacionales especializadas, la publicación de obras, la prestación de servicios de documentación e información, la realización de estudios e investigaciones y la ejecución de actividades de cooperación técnica entre sus países miembros y proveniente de otras regiones.</w:t>
      </w:r>
    </w:p>
    <w:p>
      <w:pPr>
        <w:pStyle w:val="BodyText"/>
      </w:pPr>
    </w:p>
    <w:p>
      <w:pPr>
        <w:pStyle w:val="BodyText"/>
      </w:pPr>
    </w:p>
    <w:p>
      <w:pPr>
        <w:pStyle w:val="BodyText"/>
        <w:spacing w:line="360" w:lineRule="auto" w:before="188"/>
        <w:ind w:left="102" w:right="116"/>
        <w:jc w:val="both"/>
      </w:pPr>
      <w:r>
        <w:rPr/>
        <w:t>En su Carta Iberoamericana de Participación Ciudadana en la Gestión Pública aprobada por la XI Conferencia Iberoamericana de Ministros de Administración Pública y Reforma del Estado llevada a cabo en Lisboa, Portugal los días 25 y 26 de junio de 2009. Misma que fue adoptada por la XIX Cumbre Iberoamericana de Jefes de Estado y de Gobierno en Estoril, Portugal el 30 de noviembre y 1° de diciembre de 2009, establece en su capítulo quinto el acceso a la información pública para la participación ciudadana. Numerales 42 al 47 que la transparencia debe ser un principio básico de la gestión pública.</w:t>
      </w:r>
    </w:p>
    <w:p>
      <w:pPr>
        <w:pStyle w:val="BodyText"/>
      </w:pPr>
    </w:p>
    <w:p>
      <w:pPr>
        <w:pStyle w:val="BodyText"/>
      </w:pPr>
    </w:p>
    <w:p>
      <w:pPr>
        <w:spacing w:before="186"/>
        <w:ind w:left="954" w:right="1006" w:firstLine="0"/>
        <w:jc w:val="left"/>
        <w:rPr>
          <w:sz w:val="18"/>
        </w:rPr>
      </w:pPr>
      <w:r>
        <w:rPr>
          <w:sz w:val="18"/>
        </w:rPr>
        <w:t>“42. La transparencia es un principio que debe orientar la relación de la Administración con los ciudadanos y las ciudadanas en el manejo de la gestión pública.</w:t>
      </w:r>
    </w:p>
    <w:p>
      <w:pPr>
        <w:pStyle w:val="BodyText"/>
        <w:spacing w:before="1"/>
        <w:rPr>
          <w:sz w:val="14"/>
        </w:rPr>
      </w:pPr>
    </w:p>
    <w:p>
      <w:pPr>
        <w:pStyle w:val="ListParagraph"/>
        <w:numPr>
          <w:ilvl w:val="2"/>
          <w:numId w:val="29"/>
        </w:numPr>
        <w:tabs>
          <w:tab w:pos="1283" w:val="left" w:leader="none"/>
        </w:tabs>
        <w:spacing w:line="240" w:lineRule="auto" w:before="0" w:after="0"/>
        <w:ind w:left="954" w:right="1017" w:firstLine="0"/>
        <w:jc w:val="left"/>
        <w:rPr>
          <w:sz w:val="18"/>
        </w:rPr>
      </w:pPr>
      <w:r>
        <w:rPr>
          <w:sz w:val="18"/>
        </w:rPr>
        <w:t>Los Estados adoptarán las medidas adecuadas para que la información puesta a disposición</w:t>
      </w:r>
      <w:r>
        <w:rPr>
          <w:spacing w:val="-10"/>
          <w:sz w:val="18"/>
        </w:rPr>
        <w:t> </w:t>
      </w:r>
      <w:r>
        <w:rPr>
          <w:sz w:val="18"/>
        </w:rPr>
        <w:t>de</w:t>
      </w:r>
      <w:r>
        <w:rPr>
          <w:spacing w:val="-10"/>
          <w:sz w:val="18"/>
        </w:rPr>
        <w:t> </w:t>
      </w:r>
      <w:r>
        <w:rPr>
          <w:sz w:val="18"/>
        </w:rPr>
        <w:t>los</w:t>
      </w:r>
      <w:r>
        <w:rPr>
          <w:spacing w:val="-12"/>
          <w:sz w:val="18"/>
        </w:rPr>
        <w:t> </w:t>
      </w:r>
      <w:r>
        <w:rPr>
          <w:sz w:val="18"/>
        </w:rPr>
        <w:t>ciudadanos</w:t>
      </w:r>
      <w:r>
        <w:rPr>
          <w:spacing w:val="-12"/>
          <w:sz w:val="18"/>
        </w:rPr>
        <w:t> </w:t>
      </w:r>
      <w:r>
        <w:rPr>
          <w:sz w:val="18"/>
        </w:rPr>
        <w:t>y</w:t>
      </w:r>
      <w:r>
        <w:rPr>
          <w:spacing w:val="-12"/>
          <w:sz w:val="18"/>
        </w:rPr>
        <w:t> </w:t>
      </w:r>
      <w:r>
        <w:rPr>
          <w:sz w:val="18"/>
        </w:rPr>
        <w:t>las</w:t>
      </w:r>
      <w:r>
        <w:rPr>
          <w:spacing w:val="-12"/>
          <w:sz w:val="18"/>
        </w:rPr>
        <w:t> </w:t>
      </w:r>
      <w:r>
        <w:rPr>
          <w:sz w:val="18"/>
        </w:rPr>
        <w:t>ciudadanas</w:t>
      </w:r>
      <w:r>
        <w:rPr>
          <w:spacing w:val="-12"/>
          <w:sz w:val="18"/>
        </w:rPr>
        <w:t> </w:t>
      </w:r>
      <w:r>
        <w:rPr>
          <w:sz w:val="18"/>
        </w:rPr>
        <w:t>garantice</w:t>
      </w:r>
      <w:r>
        <w:rPr>
          <w:spacing w:val="-10"/>
          <w:sz w:val="18"/>
        </w:rPr>
        <w:t> </w:t>
      </w:r>
      <w:r>
        <w:rPr>
          <w:sz w:val="18"/>
        </w:rPr>
        <w:t>el</w:t>
      </w:r>
      <w:r>
        <w:rPr>
          <w:spacing w:val="-10"/>
          <w:sz w:val="18"/>
        </w:rPr>
        <w:t> </w:t>
      </w:r>
      <w:r>
        <w:rPr>
          <w:sz w:val="18"/>
        </w:rPr>
        <w:t>principio</w:t>
      </w:r>
      <w:r>
        <w:rPr>
          <w:spacing w:val="-12"/>
          <w:sz w:val="18"/>
        </w:rPr>
        <w:t> </w:t>
      </w:r>
      <w:r>
        <w:rPr>
          <w:sz w:val="18"/>
        </w:rPr>
        <w:t>de</w:t>
      </w:r>
      <w:r>
        <w:rPr>
          <w:spacing w:val="-12"/>
          <w:sz w:val="18"/>
        </w:rPr>
        <w:t> </w:t>
      </w:r>
      <w:r>
        <w:rPr>
          <w:sz w:val="18"/>
        </w:rPr>
        <w:t>transparencia,</w:t>
      </w:r>
      <w:r>
        <w:rPr>
          <w:spacing w:val="-12"/>
          <w:sz w:val="18"/>
        </w:rPr>
        <w:t> </w:t>
      </w:r>
      <w:r>
        <w:rPr>
          <w:sz w:val="18"/>
        </w:rPr>
        <w:t>en</w:t>
      </w:r>
    </w:p>
    <w:p>
      <w:pPr>
        <w:spacing w:after="0" w:line="240" w:lineRule="auto"/>
        <w:jc w:val="left"/>
        <w:rPr>
          <w:sz w:val="18"/>
        </w:rPr>
        <w:sectPr>
          <w:pgSz w:w="12240" w:h="15840"/>
          <w:pgMar w:header="0" w:footer="1035" w:top="1360" w:bottom="1220" w:left="1600" w:right="1580"/>
        </w:sectPr>
      </w:pPr>
    </w:p>
    <w:p>
      <w:pPr>
        <w:spacing w:before="55"/>
        <w:ind w:left="974" w:right="1006" w:firstLine="0"/>
        <w:jc w:val="both"/>
        <w:rPr>
          <w:sz w:val="18"/>
        </w:rPr>
      </w:pPr>
      <w:r>
        <w:rPr>
          <w:sz w:val="18"/>
        </w:rPr>
        <w:t>particular su relevancia, exigibilidad, accesibilidad, oportunidad, veracidad, sencillez, comprensibilidad y máxima divulgación.</w:t>
      </w:r>
    </w:p>
    <w:p>
      <w:pPr>
        <w:pStyle w:val="BodyText"/>
        <w:spacing w:before="3"/>
        <w:rPr>
          <w:sz w:val="14"/>
        </w:rPr>
      </w:pPr>
    </w:p>
    <w:p>
      <w:pPr>
        <w:pStyle w:val="ListParagraph"/>
        <w:numPr>
          <w:ilvl w:val="2"/>
          <w:numId w:val="29"/>
        </w:numPr>
        <w:tabs>
          <w:tab w:pos="1322" w:val="left" w:leader="none"/>
        </w:tabs>
        <w:spacing w:line="237" w:lineRule="auto" w:before="0" w:after="0"/>
        <w:ind w:left="974" w:right="1003" w:firstLine="0"/>
        <w:jc w:val="both"/>
        <w:rPr>
          <w:sz w:val="18"/>
        </w:rPr>
      </w:pPr>
      <w:r>
        <w:rPr>
          <w:sz w:val="18"/>
        </w:rPr>
        <w:t>El Estado pondrá a disposición, sin que necesariamente medie solicitud de los ciudadanos</w:t>
      </w:r>
      <w:r>
        <w:rPr>
          <w:spacing w:val="-8"/>
          <w:sz w:val="18"/>
        </w:rPr>
        <w:t> </w:t>
      </w:r>
      <w:r>
        <w:rPr>
          <w:sz w:val="18"/>
        </w:rPr>
        <w:t>y</w:t>
      </w:r>
      <w:r>
        <w:rPr>
          <w:spacing w:val="-10"/>
          <w:sz w:val="18"/>
        </w:rPr>
        <w:t> </w:t>
      </w:r>
      <w:r>
        <w:rPr>
          <w:sz w:val="18"/>
        </w:rPr>
        <w:t>las</w:t>
      </w:r>
      <w:r>
        <w:rPr>
          <w:spacing w:val="-8"/>
          <w:sz w:val="18"/>
        </w:rPr>
        <w:t> </w:t>
      </w:r>
      <w:r>
        <w:rPr>
          <w:sz w:val="18"/>
        </w:rPr>
        <w:t>ciudadanas,</w:t>
      </w:r>
      <w:r>
        <w:rPr>
          <w:spacing w:val="-11"/>
          <w:sz w:val="18"/>
        </w:rPr>
        <w:t> </w:t>
      </w:r>
      <w:r>
        <w:rPr>
          <w:sz w:val="18"/>
        </w:rPr>
        <w:t>información</w:t>
      </w:r>
      <w:r>
        <w:rPr>
          <w:spacing w:val="-8"/>
          <w:sz w:val="18"/>
        </w:rPr>
        <w:t> </w:t>
      </w:r>
      <w:r>
        <w:rPr>
          <w:sz w:val="18"/>
        </w:rPr>
        <w:t>actualizada</w:t>
      </w:r>
      <w:r>
        <w:rPr>
          <w:spacing w:val="-8"/>
          <w:sz w:val="18"/>
        </w:rPr>
        <w:t> </w:t>
      </w:r>
      <w:r>
        <w:rPr>
          <w:sz w:val="18"/>
        </w:rPr>
        <w:t>referida</w:t>
      </w:r>
      <w:r>
        <w:rPr>
          <w:spacing w:val="-8"/>
          <w:sz w:val="18"/>
        </w:rPr>
        <w:t> </w:t>
      </w:r>
      <w:r>
        <w:rPr>
          <w:sz w:val="18"/>
        </w:rPr>
        <w:t>a</w:t>
      </w:r>
      <w:r>
        <w:rPr>
          <w:spacing w:val="-8"/>
          <w:sz w:val="18"/>
        </w:rPr>
        <w:t> </w:t>
      </w:r>
      <w:r>
        <w:rPr>
          <w:sz w:val="18"/>
        </w:rPr>
        <w:t>la</w:t>
      </w:r>
      <w:r>
        <w:rPr>
          <w:spacing w:val="-8"/>
          <w:sz w:val="18"/>
        </w:rPr>
        <w:t> </w:t>
      </w:r>
      <w:r>
        <w:rPr>
          <w:sz w:val="18"/>
        </w:rPr>
        <w:t>ejecución</w:t>
      </w:r>
      <w:r>
        <w:rPr>
          <w:spacing w:val="-8"/>
          <w:sz w:val="18"/>
        </w:rPr>
        <w:t> </w:t>
      </w:r>
      <w:r>
        <w:rPr>
          <w:sz w:val="18"/>
        </w:rPr>
        <w:t>y</w:t>
      </w:r>
      <w:r>
        <w:rPr>
          <w:spacing w:val="-10"/>
          <w:sz w:val="18"/>
        </w:rPr>
        <w:t> </w:t>
      </w:r>
      <w:r>
        <w:rPr>
          <w:sz w:val="18"/>
        </w:rPr>
        <w:t>resultados de las políticas</w:t>
      </w:r>
      <w:r>
        <w:rPr>
          <w:spacing w:val="-9"/>
          <w:sz w:val="18"/>
        </w:rPr>
        <w:t> </w:t>
      </w:r>
      <w:r>
        <w:rPr>
          <w:sz w:val="18"/>
        </w:rPr>
        <w:t>públicas.</w:t>
      </w:r>
    </w:p>
    <w:p>
      <w:pPr>
        <w:pStyle w:val="BodyText"/>
        <w:spacing w:before="2"/>
        <w:rPr>
          <w:sz w:val="14"/>
        </w:rPr>
      </w:pPr>
    </w:p>
    <w:p>
      <w:pPr>
        <w:pStyle w:val="ListParagraph"/>
        <w:numPr>
          <w:ilvl w:val="2"/>
          <w:numId w:val="29"/>
        </w:numPr>
        <w:tabs>
          <w:tab w:pos="1269" w:val="left" w:leader="none"/>
        </w:tabs>
        <w:spacing w:line="240" w:lineRule="auto" w:before="0" w:after="0"/>
        <w:ind w:left="974" w:right="998" w:firstLine="0"/>
        <w:jc w:val="both"/>
        <w:rPr>
          <w:sz w:val="18"/>
        </w:rPr>
      </w:pPr>
      <w:r>
        <w:rPr>
          <w:sz w:val="18"/>
        </w:rPr>
        <w:t>Las</w:t>
      </w:r>
      <w:r>
        <w:rPr>
          <w:spacing w:val="-10"/>
          <w:sz w:val="18"/>
        </w:rPr>
        <w:t> </w:t>
      </w:r>
      <w:r>
        <w:rPr>
          <w:sz w:val="18"/>
        </w:rPr>
        <w:t>Administraciones</w:t>
      </w:r>
      <w:r>
        <w:rPr>
          <w:spacing w:val="-10"/>
          <w:sz w:val="18"/>
        </w:rPr>
        <w:t> </w:t>
      </w:r>
      <w:r>
        <w:rPr>
          <w:sz w:val="18"/>
        </w:rPr>
        <w:t>Públicas</w:t>
      </w:r>
      <w:r>
        <w:rPr>
          <w:spacing w:val="-10"/>
          <w:sz w:val="18"/>
        </w:rPr>
        <w:t> </w:t>
      </w:r>
      <w:r>
        <w:rPr>
          <w:sz w:val="18"/>
        </w:rPr>
        <w:t>pondrán</w:t>
      </w:r>
      <w:r>
        <w:rPr>
          <w:spacing w:val="-11"/>
          <w:sz w:val="18"/>
        </w:rPr>
        <w:t> </w:t>
      </w:r>
      <w:r>
        <w:rPr>
          <w:sz w:val="18"/>
        </w:rPr>
        <w:t>a</w:t>
      </w:r>
      <w:r>
        <w:rPr>
          <w:spacing w:val="-11"/>
          <w:sz w:val="18"/>
        </w:rPr>
        <w:t> </w:t>
      </w:r>
      <w:r>
        <w:rPr>
          <w:sz w:val="18"/>
        </w:rPr>
        <w:t>disposición</w:t>
      </w:r>
      <w:r>
        <w:rPr>
          <w:spacing w:val="-11"/>
          <w:sz w:val="18"/>
        </w:rPr>
        <w:t> </w:t>
      </w:r>
      <w:r>
        <w:rPr>
          <w:sz w:val="18"/>
        </w:rPr>
        <w:t>de</w:t>
      </w:r>
      <w:r>
        <w:rPr>
          <w:spacing w:val="-11"/>
          <w:sz w:val="18"/>
        </w:rPr>
        <w:t> </w:t>
      </w:r>
      <w:r>
        <w:rPr>
          <w:sz w:val="18"/>
        </w:rPr>
        <w:t>los</w:t>
      </w:r>
      <w:r>
        <w:rPr>
          <w:spacing w:val="-10"/>
          <w:sz w:val="18"/>
        </w:rPr>
        <w:t> </w:t>
      </w:r>
      <w:r>
        <w:rPr>
          <w:sz w:val="18"/>
        </w:rPr>
        <w:t>ciudadanos</w:t>
      </w:r>
      <w:r>
        <w:rPr>
          <w:spacing w:val="-10"/>
          <w:sz w:val="18"/>
        </w:rPr>
        <w:t> </w:t>
      </w:r>
      <w:r>
        <w:rPr>
          <w:sz w:val="18"/>
        </w:rPr>
        <w:t>y</w:t>
      </w:r>
      <w:r>
        <w:rPr>
          <w:spacing w:val="-13"/>
          <w:sz w:val="18"/>
        </w:rPr>
        <w:t> </w:t>
      </w:r>
      <w:r>
        <w:rPr>
          <w:sz w:val="18"/>
        </w:rPr>
        <w:t>ciudadanas la información relativa a los servicios y prestaciones que ofrecen y </w:t>
      </w:r>
      <w:r>
        <w:rPr>
          <w:spacing w:val="2"/>
          <w:sz w:val="18"/>
        </w:rPr>
        <w:t>los </w:t>
      </w:r>
      <w:r>
        <w:rPr>
          <w:sz w:val="18"/>
        </w:rPr>
        <w:t>requisitos, condiciones, trámites y plazos de los procedimientos administrativos y los medios para acceder a</w:t>
      </w:r>
      <w:r>
        <w:rPr>
          <w:spacing w:val="-7"/>
          <w:sz w:val="18"/>
        </w:rPr>
        <w:t> </w:t>
      </w:r>
      <w:r>
        <w:rPr>
          <w:sz w:val="18"/>
        </w:rPr>
        <w:t>ellos.</w:t>
      </w:r>
    </w:p>
    <w:p>
      <w:pPr>
        <w:pStyle w:val="BodyText"/>
        <w:spacing w:before="3"/>
        <w:rPr>
          <w:sz w:val="14"/>
        </w:rPr>
      </w:pPr>
    </w:p>
    <w:p>
      <w:pPr>
        <w:pStyle w:val="ListParagraph"/>
        <w:numPr>
          <w:ilvl w:val="2"/>
          <w:numId w:val="29"/>
        </w:numPr>
        <w:tabs>
          <w:tab w:pos="1286" w:val="left" w:leader="none"/>
        </w:tabs>
        <w:spacing w:line="237" w:lineRule="auto" w:before="0" w:after="0"/>
        <w:ind w:left="974" w:right="996" w:firstLine="0"/>
        <w:jc w:val="both"/>
        <w:rPr>
          <w:sz w:val="18"/>
        </w:rPr>
      </w:pPr>
      <w:r>
        <w:rPr>
          <w:sz w:val="18"/>
        </w:rPr>
        <w:t>Los entes y órganos públicos dispondrán de sistemas de organización y producción de información básica sobre su gestión, para facilitar la participación ciudadana” (CLAD, 2009).</w:t>
      </w:r>
    </w:p>
    <w:p>
      <w:pPr>
        <w:pStyle w:val="BodyText"/>
        <w:rPr>
          <w:sz w:val="18"/>
        </w:rPr>
      </w:pPr>
    </w:p>
    <w:p>
      <w:pPr>
        <w:pStyle w:val="BodyText"/>
        <w:rPr>
          <w:sz w:val="18"/>
        </w:rPr>
      </w:pPr>
    </w:p>
    <w:p>
      <w:pPr>
        <w:pStyle w:val="BodyText"/>
        <w:spacing w:line="360" w:lineRule="auto" w:before="160"/>
        <w:ind w:left="122" w:right="99"/>
        <w:jc w:val="both"/>
      </w:pPr>
      <w:r>
        <w:rPr/>
        <w:t>En estos numerales el CLAD reconoce la obligación del Estado para transparentar los asuntos públicos y establecer las condiciones necesarias de infraestructura y participación social para lograrlo. El enfoque, sin embargo, es solamente dirigido a los servicios y prestaciones que ofrecen las instituciones gubernamentales.</w:t>
      </w:r>
    </w:p>
    <w:p>
      <w:pPr>
        <w:pStyle w:val="BodyText"/>
      </w:pPr>
    </w:p>
    <w:p>
      <w:pPr>
        <w:pStyle w:val="BodyText"/>
      </w:pPr>
    </w:p>
    <w:p>
      <w:pPr>
        <w:pStyle w:val="BodyText"/>
        <w:spacing w:before="7"/>
        <w:rPr>
          <w:sz w:val="19"/>
        </w:rPr>
      </w:pPr>
    </w:p>
    <w:p>
      <w:pPr>
        <w:pStyle w:val="Heading1"/>
        <w:numPr>
          <w:ilvl w:val="2"/>
          <w:numId w:val="34"/>
        </w:numPr>
        <w:tabs>
          <w:tab w:pos="830" w:val="left" w:leader="none"/>
        </w:tabs>
        <w:spacing w:line="240" w:lineRule="auto" w:before="0" w:after="0"/>
        <w:ind w:left="830" w:right="0" w:hanging="720"/>
        <w:jc w:val="both"/>
      </w:pPr>
      <w:r>
        <w:rPr/>
        <w:t>Instituciones a nivel</w:t>
      </w:r>
      <w:r>
        <w:rPr>
          <w:spacing w:val="-6"/>
        </w:rPr>
        <w:t> </w:t>
      </w:r>
      <w:r>
        <w:rPr/>
        <w:t>nacional</w:t>
      </w:r>
    </w:p>
    <w:p>
      <w:pPr>
        <w:pStyle w:val="BodyText"/>
        <w:rPr>
          <w:b/>
        </w:rPr>
      </w:pPr>
    </w:p>
    <w:p>
      <w:pPr>
        <w:pStyle w:val="BodyText"/>
        <w:rPr>
          <w:b/>
        </w:rPr>
      </w:pPr>
    </w:p>
    <w:p>
      <w:pPr>
        <w:pStyle w:val="BodyText"/>
        <w:spacing w:line="360" w:lineRule="auto" w:before="161"/>
        <w:ind w:left="122" w:right="98"/>
        <w:jc w:val="both"/>
      </w:pPr>
      <w:r>
        <w:rPr/>
        <w:t>En México el antecedente la transparencia se da con la reforma constitucional de 1977, que incluyó en el artículo 6 de la Constitución Política de los Estado Unidos Mexicanos (CPEUM) que el derecho a la información sería garantizado por el Estado (López, 2002; Guerrero, 2008; Martínez y Heras, 2010 y 2012; Villanueva, 2012; Pérez, 2012; Peña y Ruelas, 2012). Sin embargo, fue en el contexto de la alternancia política del año 2000 que el tema de transparencia cobró relevancia, debido a la acumulación de casos de corrupción e impunidad que se tenían en ese momento a lo largo y ancho del país (Villanueva, 2012). Este contexto político permitió que la transparencia se presentara como elemento discursivo y aspiración administrativa para combatir la corrupción en los diversos órdenes de gobierno del país (Peña y Ruelas, 2012).</w:t>
      </w:r>
    </w:p>
    <w:p>
      <w:pPr>
        <w:pStyle w:val="BodyText"/>
      </w:pPr>
    </w:p>
    <w:p>
      <w:pPr>
        <w:pStyle w:val="BodyText"/>
      </w:pPr>
    </w:p>
    <w:p>
      <w:pPr>
        <w:pStyle w:val="BodyText"/>
        <w:spacing w:line="360" w:lineRule="auto" w:before="187"/>
        <w:ind w:left="122" w:right="98"/>
        <w:jc w:val="both"/>
      </w:pPr>
      <w:r>
        <w:rPr/>
        <w:t>Con la iniciativa del Grupo Oaxaca en 2001 sobre la necesidad de reflexionar respecto a que el poder estatal tuviera mayor vigilancia y control por parte de los</w:t>
      </w:r>
    </w:p>
    <w:p>
      <w:pPr>
        <w:spacing w:after="0" w:line="360" w:lineRule="auto"/>
        <w:jc w:val="both"/>
        <w:sectPr>
          <w:pgSz w:w="12240" w:h="15840"/>
          <w:pgMar w:header="0" w:footer="1035" w:top="1360" w:bottom="1220" w:left="1580" w:right="1600"/>
        </w:sectPr>
      </w:pPr>
    </w:p>
    <w:p>
      <w:pPr>
        <w:pStyle w:val="BodyText"/>
        <w:spacing w:line="360" w:lineRule="auto" w:before="54"/>
        <w:ind w:left="122" w:right="116"/>
        <w:jc w:val="both"/>
      </w:pPr>
      <w:r>
        <w:rPr/>
        <w:t>ciudadanos se dio inicio a una propuesta de ley en materia de transparencia (Ackerman,</w:t>
      </w:r>
      <w:r>
        <w:rPr>
          <w:spacing w:val="-17"/>
        </w:rPr>
        <w:t> </w:t>
      </w:r>
      <w:r>
        <w:rPr/>
        <w:t>2008;</w:t>
      </w:r>
      <w:r>
        <w:rPr>
          <w:spacing w:val="-17"/>
        </w:rPr>
        <w:t> </w:t>
      </w:r>
      <w:r>
        <w:rPr/>
        <w:t>Transparencia</w:t>
      </w:r>
      <w:r>
        <w:rPr>
          <w:spacing w:val="-17"/>
        </w:rPr>
        <w:t> </w:t>
      </w:r>
      <w:r>
        <w:rPr/>
        <w:t>Mexicana,</w:t>
      </w:r>
      <w:r>
        <w:rPr>
          <w:spacing w:val="-17"/>
        </w:rPr>
        <w:t> </w:t>
      </w:r>
      <w:r>
        <w:rPr/>
        <w:t>2011).</w:t>
      </w:r>
      <w:r>
        <w:rPr>
          <w:spacing w:val="-18"/>
        </w:rPr>
        <w:t> </w:t>
      </w:r>
      <w:r>
        <w:rPr/>
        <w:t>De</w:t>
      </w:r>
      <w:r>
        <w:rPr>
          <w:spacing w:val="-19"/>
        </w:rPr>
        <w:t> </w:t>
      </w:r>
      <w:r>
        <w:rPr/>
        <w:t>este</w:t>
      </w:r>
      <w:r>
        <w:rPr>
          <w:spacing w:val="-19"/>
        </w:rPr>
        <w:t> </w:t>
      </w:r>
      <w:r>
        <w:rPr/>
        <w:t>modo</w:t>
      </w:r>
      <w:r>
        <w:rPr>
          <w:spacing w:val="-17"/>
        </w:rPr>
        <w:t> </w:t>
      </w:r>
      <w:r>
        <w:rPr/>
        <w:t>“el</w:t>
      </w:r>
      <w:r>
        <w:rPr>
          <w:spacing w:val="-14"/>
        </w:rPr>
        <w:t> </w:t>
      </w:r>
      <w:r>
        <w:rPr/>
        <w:t>control</w:t>
      </w:r>
      <w:r>
        <w:rPr>
          <w:spacing w:val="-18"/>
        </w:rPr>
        <w:t> </w:t>
      </w:r>
      <w:r>
        <w:rPr/>
        <w:t>efectivo sobre el poder del Estado solo se garantiza cuando la transparencia se adopta, mediante</w:t>
      </w:r>
      <w:r>
        <w:rPr>
          <w:spacing w:val="-7"/>
        </w:rPr>
        <w:t> </w:t>
      </w:r>
      <w:r>
        <w:rPr/>
        <w:t>un</w:t>
      </w:r>
      <w:r>
        <w:rPr>
          <w:spacing w:val="-7"/>
        </w:rPr>
        <w:t> </w:t>
      </w:r>
      <w:r>
        <w:rPr/>
        <w:t>sistema</w:t>
      </w:r>
      <w:r>
        <w:rPr>
          <w:spacing w:val="-9"/>
        </w:rPr>
        <w:t> </w:t>
      </w:r>
      <w:r>
        <w:rPr/>
        <w:t>de</w:t>
      </w:r>
      <w:r>
        <w:rPr>
          <w:spacing w:val="-7"/>
        </w:rPr>
        <w:t> </w:t>
      </w:r>
      <w:r>
        <w:rPr/>
        <w:t>reglas</w:t>
      </w:r>
      <w:r>
        <w:rPr>
          <w:spacing w:val="-7"/>
        </w:rPr>
        <w:t> </w:t>
      </w:r>
      <w:r>
        <w:rPr/>
        <w:t>y</w:t>
      </w:r>
      <w:r>
        <w:rPr>
          <w:spacing w:val="-10"/>
        </w:rPr>
        <w:t> </w:t>
      </w:r>
      <w:r>
        <w:rPr/>
        <w:t>órganos</w:t>
      </w:r>
      <w:r>
        <w:rPr>
          <w:spacing w:val="-8"/>
        </w:rPr>
        <w:t> </w:t>
      </w:r>
      <w:r>
        <w:rPr/>
        <w:t>que</w:t>
      </w:r>
      <w:r>
        <w:rPr>
          <w:spacing w:val="-9"/>
        </w:rPr>
        <w:t> </w:t>
      </w:r>
      <w:r>
        <w:rPr/>
        <w:t>permitan</w:t>
      </w:r>
      <w:r>
        <w:rPr>
          <w:spacing w:val="-9"/>
        </w:rPr>
        <w:t> </w:t>
      </w:r>
      <w:r>
        <w:rPr/>
        <w:t>la</w:t>
      </w:r>
      <w:r>
        <w:rPr>
          <w:spacing w:val="-7"/>
        </w:rPr>
        <w:t> </w:t>
      </w:r>
      <w:r>
        <w:rPr/>
        <w:t>regulación</w:t>
      </w:r>
      <w:r>
        <w:rPr>
          <w:spacing w:val="-9"/>
        </w:rPr>
        <w:t> </w:t>
      </w:r>
      <w:r>
        <w:rPr/>
        <w:t>de</w:t>
      </w:r>
      <w:r>
        <w:rPr>
          <w:spacing w:val="-9"/>
        </w:rPr>
        <w:t> </w:t>
      </w:r>
      <w:r>
        <w:rPr/>
        <w:t>efectividad, para evitar que las autoridades políticas y los cuadros burocráticos se sustraigan a la vista de los ciudadanos” (Uvalle,</w:t>
      </w:r>
      <w:r>
        <w:rPr>
          <w:spacing w:val="-15"/>
        </w:rPr>
        <w:t> </w:t>
      </w:r>
      <w:r>
        <w:rPr/>
        <w:t>2012:26).</w:t>
      </w:r>
    </w:p>
    <w:p>
      <w:pPr>
        <w:pStyle w:val="BodyText"/>
      </w:pPr>
    </w:p>
    <w:p>
      <w:pPr>
        <w:pStyle w:val="BodyText"/>
      </w:pPr>
    </w:p>
    <w:p>
      <w:pPr>
        <w:pStyle w:val="BodyText"/>
        <w:spacing w:line="360" w:lineRule="auto" w:before="185"/>
        <w:ind w:left="122" w:right="112"/>
        <w:jc w:val="both"/>
      </w:pPr>
      <w:r>
        <w:rPr/>
        <w:t>Los programas implantados en el 2001 por el presidente Vicente Fox como consecuencia</w:t>
      </w:r>
      <w:r>
        <w:rPr>
          <w:spacing w:val="-6"/>
        </w:rPr>
        <w:t> </w:t>
      </w:r>
      <w:r>
        <w:rPr/>
        <w:t>de</w:t>
      </w:r>
      <w:r>
        <w:rPr>
          <w:spacing w:val="-4"/>
        </w:rPr>
        <w:t> </w:t>
      </w:r>
      <w:r>
        <w:rPr/>
        <w:t>la</w:t>
      </w:r>
      <w:r>
        <w:rPr>
          <w:spacing w:val="-6"/>
        </w:rPr>
        <w:t> </w:t>
      </w:r>
      <w:r>
        <w:rPr/>
        <w:t>alternancia</w:t>
      </w:r>
      <w:r>
        <w:rPr>
          <w:spacing w:val="-6"/>
        </w:rPr>
        <w:t> </w:t>
      </w:r>
      <w:r>
        <w:rPr/>
        <w:t>política,</w:t>
      </w:r>
      <w:r>
        <w:rPr>
          <w:spacing w:val="-1"/>
        </w:rPr>
        <w:t> </w:t>
      </w:r>
      <w:r>
        <w:rPr/>
        <w:t>la</w:t>
      </w:r>
      <w:r>
        <w:rPr>
          <w:spacing w:val="-4"/>
        </w:rPr>
        <w:t> </w:t>
      </w:r>
      <w:r>
        <w:rPr/>
        <w:t>presión</w:t>
      </w:r>
      <w:r>
        <w:rPr>
          <w:spacing w:val="-3"/>
        </w:rPr>
        <w:t> </w:t>
      </w:r>
      <w:r>
        <w:rPr/>
        <w:t>de</w:t>
      </w:r>
      <w:r>
        <w:rPr>
          <w:spacing w:val="-4"/>
        </w:rPr>
        <w:t> </w:t>
      </w:r>
      <w:r>
        <w:rPr/>
        <w:t>la</w:t>
      </w:r>
      <w:r>
        <w:rPr>
          <w:spacing w:val="-4"/>
        </w:rPr>
        <w:t> </w:t>
      </w:r>
      <w:r>
        <w:rPr/>
        <w:t>sociedad</w:t>
      </w:r>
      <w:r>
        <w:rPr>
          <w:spacing w:val="-4"/>
        </w:rPr>
        <w:t> </w:t>
      </w:r>
      <w:r>
        <w:rPr/>
        <w:t>civil</w:t>
      </w:r>
      <w:r>
        <w:rPr>
          <w:spacing w:val="-3"/>
        </w:rPr>
        <w:t> </w:t>
      </w:r>
      <w:r>
        <w:rPr/>
        <w:t>desde</w:t>
      </w:r>
      <w:r>
        <w:rPr>
          <w:spacing w:val="-6"/>
        </w:rPr>
        <w:t> </w:t>
      </w:r>
      <w:r>
        <w:rPr/>
        <w:t>finales del milenio pasado, asimismo el grupo Oaxaca que en el año 2001 presentó el primero</w:t>
      </w:r>
      <w:r>
        <w:rPr>
          <w:spacing w:val="-16"/>
        </w:rPr>
        <w:t> </w:t>
      </w:r>
      <w:r>
        <w:rPr/>
        <w:t>proyecto</w:t>
      </w:r>
      <w:r>
        <w:rPr>
          <w:spacing w:val="-18"/>
        </w:rPr>
        <w:t> </w:t>
      </w:r>
      <w:r>
        <w:rPr/>
        <w:t>de</w:t>
      </w:r>
      <w:r>
        <w:rPr>
          <w:spacing w:val="-16"/>
        </w:rPr>
        <w:t> </w:t>
      </w:r>
      <w:r>
        <w:rPr/>
        <w:t>ley</w:t>
      </w:r>
      <w:r>
        <w:rPr>
          <w:spacing w:val="-19"/>
        </w:rPr>
        <w:t> </w:t>
      </w:r>
      <w:r>
        <w:rPr/>
        <w:t>en</w:t>
      </w:r>
      <w:r>
        <w:rPr>
          <w:spacing w:val="-16"/>
        </w:rPr>
        <w:t> </w:t>
      </w:r>
      <w:r>
        <w:rPr/>
        <w:t>materia</w:t>
      </w:r>
      <w:r>
        <w:rPr>
          <w:spacing w:val="-18"/>
        </w:rPr>
        <w:t> </w:t>
      </w:r>
      <w:r>
        <w:rPr/>
        <w:t>de</w:t>
      </w:r>
      <w:r>
        <w:rPr>
          <w:spacing w:val="-16"/>
        </w:rPr>
        <w:t> </w:t>
      </w:r>
      <w:r>
        <w:rPr/>
        <w:t>transparencia,</w:t>
      </w:r>
      <w:r>
        <w:rPr>
          <w:spacing w:val="-18"/>
        </w:rPr>
        <w:t> </w:t>
      </w:r>
      <w:r>
        <w:rPr/>
        <w:t>el</w:t>
      </w:r>
      <w:r>
        <w:rPr>
          <w:spacing w:val="-17"/>
        </w:rPr>
        <w:t> </w:t>
      </w:r>
      <w:r>
        <w:rPr/>
        <w:t>cual</w:t>
      </w:r>
      <w:r>
        <w:rPr>
          <w:spacing w:val="-19"/>
        </w:rPr>
        <w:t> </w:t>
      </w:r>
      <w:r>
        <w:rPr/>
        <w:t>fue</w:t>
      </w:r>
      <w:r>
        <w:rPr>
          <w:spacing w:val="-16"/>
        </w:rPr>
        <w:t> </w:t>
      </w:r>
      <w:r>
        <w:rPr/>
        <w:t>revisado</w:t>
      </w:r>
      <w:r>
        <w:rPr>
          <w:spacing w:val="-16"/>
        </w:rPr>
        <w:t> </w:t>
      </w:r>
      <w:r>
        <w:rPr/>
        <w:t>y</w:t>
      </w:r>
      <w:r>
        <w:rPr>
          <w:spacing w:val="-19"/>
        </w:rPr>
        <w:t> </w:t>
      </w:r>
      <w:r>
        <w:rPr/>
        <w:t>corregido por</w:t>
      </w:r>
      <w:r>
        <w:rPr>
          <w:spacing w:val="-14"/>
        </w:rPr>
        <w:t> </w:t>
      </w:r>
      <w:r>
        <w:rPr/>
        <w:t>el</w:t>
      </w:r>
      <w:r>
        <w:rPr>
          <w:spacing w:val="-13"/>
        </w:rPr>
        <w:t> </w:t>
      </w:r>
      <w:r>
        <w:rPr/>
        <w:t>Congreso</w:t>
      </w:r>
      <w:r>
        <w:rPr>
          <w:spacing w:val="-14"/>
        </w:rPr>
        <w:t> </w:t>
      </w:r>
      <w:r>
        <w:rPr/>
        <w:t>de</w:t>
      </w:r>
      <w:r>
        <w:rPr>
          <w:spacing w:val="-12"/>
        </w:rPr>
        <w:t> </w:t>
      </w:r>
      <w:r>
        <w:rPr/>
        <w:t>la</w:t>
      </w:r>
      <w:r>
        <w:rPr>
          <w:spacing w:val="-15"/>
        </w:rPr>
        <w:t> </w:t>
      </w:r>
      <w:r>
        <w:rPr/>
        <w:t>Unión</w:t>
      </w:r>
      <w:r>
        <w:rPr>
          <w:spacing w:val="-12"/>
        </w:rPr>
        <w:t> </w:t>
      </w:r>
      <w:r>
        <w:rPr/>
        <w:t>y</w:t>
      </w:r>
      <w:r>
        <w:rPr>
          <w:spacing w:val="-15"/>
        </w:rPr>
        <w:t> </w:t>
      </w:r>
      <w:r>
        <w:rPr/>
        <w:t>que</w:t>
      </w:r>
      <w:r>
        <w:rPr>
          <w:spacing w:val="-12"/>
        </w:rPr>
        <w:t> </w:t>
      </w:r>
      <w:r>
        <w:rPr/>
        <w:t>se</w:t>
      </w:r>
      <w:r>
        <w:rPr>
          <w:spacing w:val="-12"/>
        </w:rPr>
        <w:t> </w:t>
      </w:r>
      <w:r>
        <w:rPr/>
        <w:t>convirtió</w:t>
      </w:r>
      <w:r>
        <w:rPr>
          <w:spacing w:val="-12"/>
        </w:rPr>
        <w:t> </w:t>
      </w:r>
      <w:r>
        <w:rPr/>
        <w:t>en</w:t>
      </w:r>
      <w:r>
        <w:rPr>
          <w:spacing w:val="-15"/>
        </w:rPr>
        <w:t> </w:t>
      </w:r>
      <w:r>
        <w:rPr/>
        <w:t>Ley</w:t>
      </w:r>
      <w:r>
        <w:rPr>
          <w:spacing w:val="-15"/>
        </w:rPr>
        <w:t> </w:t>
      </w:r>
      <w:r>
        <w:rPr/>
        <w:t>el</w:t>
      </w:r>
      <w:r>
        <w:rPr>
          <w:spacing w:val="-13"/>
        </w:rPr>
        <w:t> </w:t>
      </w:r>
      <w:r>
        <w:rPr/>
        <w:t>10</w:t>
      </w:r>
      <w:r>
        <w:rPr>
          <w:spacing w:val="-15"/>
        </w:rPr>
        <w:t> </w:t>
      </w:r>
      <w:r>
        <w:rPr/>
        <w:t>de</w:t>
      </w:r>
      <w:r>
        <w:rPr>
          <w:spacing w:val="-12"/>
        </w:rPr>
        <w:t> </w:t>
      </w:r>
      <w:r>
        <w:rPr/>
        <w:t>junio</w:t>
      </w:r>
      <w:r>
        <w:rPr>
          <w:spacing w:val="-15"/>
        </w:rPr>
        <w:t> </w:t>
      </w:r>
      <w:r>
        <w:rPr/>
        <w:t>de</w:t>
      </w:r>
      <w:r>
        <w:rPr>
          <w:spacing w:val="-12"/>
        </w:rPr>
        <w:t> </w:t>
      </w:r>
      <w:r>
        <w:rPr/>
        <w:t>2002</w:t>
      </w:r>
      <w:r>
        <w:rPr>
          <w:spacing w:val="-15"/>
        </w:rPr>
        <w:t> </w:t>
      </w:r>
      <w:r>
        <w:rPr/>
        <w:t>a</w:t>
      </w:r>
      <w:r>
        <w:rPr>
          <w:spacing w:val="-12"/>
        </w:rPr>
        <w:t> </w:t>
      </w:r>
      <w:r>
        <w:rPr/>
        <w:t>través de</w:t>
      </w:r>
      <w:r>
        <w:rPr>
          <w:spacing w:val="-14"/>
        </w:rPr>
        <w:t> </w:t>
      </w:r>
      <w:r>
        <w:rPr/>
        <w:t>un</w:t>
      </w:r>
      <w:r>
        <w:rPr>
          <w:spacing w:val="-14"/>
        </w:rPr>
        <w:t> </w:t>
      </w:r>
      <w:r>
        <w:rPr/>
        <w:t>decreto</w:t>
      </w:r>
      <w:r>
        <w:rPr>
          <w:spacing w:val="-14"/>
        </w:rPr>
        <w:t> </w:t>
      </w:r>
      <w:r>
        <w:rPr/>
        <w:t>presidencial.</w:t>
      </w:r>
      <w:r>
        <w:rPr>
          <w:spacing w:val="-12"/>
        </w:rPr>
        <w:t> </w:t>
      </w:r>
      <w:r>
        <w:rPr/>
        <w:t>Con</w:t>
      </w:r>
      <w:r>
        <w:rPr>
          <w:spacing w:val="-14"/>
        </w:rPr>
        <w:t> </w:t>
      </w:r>
      <w:r>
        <w:rPr/>
        <w:t>el</w:t>
      </w:r>
      <w:r>
        <w:rPr>
          <w:spacing w:val="-14"/>
        </w:rPr>
        <w:t> </w:t>
      </w:r>
      <w:r>
        <w:rPr/>
        <w:t>objetivo</w:t>
      </w:r>
      <w:r>
        <w:rPr>
          <w:spacing w:val="-12"/>
        </w:rPr>
        <w:t> </w:t>
      </w:r>
      <w:r>
        <w:rPr/>
        <w:t>de</w:t>
      </w:r>
      <w:r>
        <w:rPr>
          <w:spacing w:val="-14"/>
        </w:rPr>
        <w:t> </w:t>
      </w:r>
      <w:r>
        <w:rPr/>
        <w:t>consolidar</w:t>
      </w:r>
      <w:r>
        <w:rPr>
          <w:spacing w:val="-15"/>
        </w:rPr>
        <w:t> </w:t>
      </w:r>
      <w:r>
        <w:rPr/>
        <w:t>la</w:t>
      </w:r>
      <w:r>
        <w:rPr>
          <w:spacing w:val="-14"/>
        </w:rPr>
        <w:t> </w:t>
      </w:r>
      <w:r>
        <w:rPr/>
        <w:t>política</w:t>
      </w:r>
      <w:r>
        <w:rPr>
          <w:spacing w:val="-14"/>
        </w:rPr>
        <w:t> </w:t>
      </w:r>
      <w:r>
        <w:rPr/>
        <w:t>de</w:t>
      </w:r>
      <w:r>
        <w:rPr>
          <w:spacing w:val="-12"/>
        </w:rPr>
        <w:t> </w:t>
      </w:r>
      <w:r>
        <w:rPr/>
        <w:t>transparencia es</w:t>
      </w:r>
      <w:r>
        <w:rPr>
          <w:spacing w:val="-10"/>
        </w:rPr>
        <w:t> </w:t>
      </w:r>
      <w:r>
        <w:rPr/>
        <w:t>uno</w:t>
      </w:r>
      <w:r>
        <w:rPr>
          <w:spacing w:val="-12"/>
        </w:rPr>
        <w:t> </w:t>
      </w:r>
      <w:r>
        <w:rPr/>
        <w:t>de</w:t>
      </w:r>
      <w:r>
        <w:rPr>
          <w:spacing w:val="-9"/>
        </w:rPr>
        <w:t> </w:t>
      </w:r>
      <w:r>
        <w:rPr/>
        <w:t>los</w:t>
      </w:r>
      <w:r>
        <w:rPr>
          <w:spacing w:val="-10"/>
        </w:rPr>
        <w:t> </w:t>
      </w:r>
      <w:r>
        <w:rPr/>
        <w:t>retos</w:t>
      </w:r>
      <w:r>
        <w:rPr>
          <w:spacing w:val="-13"/>
        </w:rPr>
        <w:t> </w:t>
      </w:r>
      <w:r>
        <w:rPr/>
        <w:t>mayúsculos</w:t>
      </w:r>
      <w:r>
        <w:rPr>
          <w:spacing w:val="-10"/>
        </w:rPr>
        <w:t> </w:t>
      </w:r>
      <w:r>
        <w:rPr/>
        <w:t>que</w:t>
      </w:r>
      <w:r>
        <w:rPr>
          <w:spacing w:val="-12"/>
        </w:rPr>
        <w:t> </w:t>
      </w:r>
      <w:r>
        <w:rPr/>
        <w:t>enfrentan</w:t>
      </w:r>
      <w:r>
        <w:rPr>
          <w:spacing w:val="-9"/>
        </w:rPr>
        <w:t> </w:t>
      </w:r>
      <w:r>
        <w:rPr/>
        <w:t>los</w:t>
      </w:r>
      <w:r>
        <w:rPr>
          <w:spacing w:val="-14"/>
        </w:rPr>
        <w:t> </w:t>
      </w:r>
      <w:r>
        <w:rPr/>
        <w:t>movimientos</w:t>
      </w:r>
      <w:r>
        <w:rPr>
          <w:spacing w:val="-10"/>
        </w:rPr>
        <w:t> </w:t>
      </w:r>
      <w:r>
        <w:rPr/>
        <w:t>y</w:t>
      </w:r>
      <w:r>
        <w:rPr>
          <w:spacing w:val="-13"/>
        </w:rPr>
        <w:t> </w:t>
      </w:r>
      <w:r>
        <w:rPr/>
        <w:t>las</w:t>
      </w:r>
      <w:r>
        <w:rPr>
          <w:spacing w:val="-12"/>
        </w:rPr>
        <w:t> </w:t>
      </w:r>
      <w:r>
        <w:rPr/>
        <w:t>organizaciones que tienden hacia la democratización del poder (Transparencia Mexicana, 2009 y Uvalle,</w:t>
      </w:r>
      <w:r>
        <w:rPr>
          <w:spacing w:val="-7"/>
        </w:rPr>
        <w:t> </w:t>
      </w:r>
      <w:r>
        <w:rPr/>
        <w:t>2012:46).</w:t>
      </w:r>
    </w:p>
    <w:p>
      <w:pPr>
        <w:pStyle w:val="BodyText"/>
      </w:pPr>
    </w:p>
    <w:p>
      <w:pPr>
        <w:pStyle w:val="BodyText"/>
      </w:pPr>
    </w:p>
    <w:p>
      <w:pPr>
        <w:pStyle w:val="BodyText"/>
        <w:spacing w:before="2"/>
        <w:rPr>
          <w:sz w:val="19"/>
        </w:rPr>
      </w:pPr>
    </w:p>
    <w:p>
      <w:pPr>
        <w:pStyle w:val="Heading1"/>
        <w:numPr>
          <w:ilvl w:val="3"/>
          <w:numId w:val="34"/>
        </w:numPr>
        <w:tabs>
          <w:tab w:pos="974" w:val="left" w:leader="none"/>
        </w:tabs>
        <w:spacing w:line="240" w:lineRule="auto" w:before="1" w:after="0"/>
        <w:ind w:left="974" w:right="0" w:hanging="852"/>
        <w:jc w:val="both"/>
        <w:rPr>
          <w:sz w:val="16"/>
        </w:rPr>
      </w:pPr>
      <w:r>
        <w:rPr/>
        <w:t>Secretaría de la Función Pública</w:t>
      </w:r>
      <w:r>
        <w:rPr>
          <w:spacing w:val="-13"/>
        </w:rPr>
        <w:t> </w:t>
      </w:r>
      <w:r>
        <w:rPr/>
        <w:t>(SFP)</w:t>
      </w:r>
      <w:r>
        <w:rPr>
          <w:position w:val="8"/>
          <w:sz w:val="16"/>
        </w:rPr>
        <w:t>21</w:t>
      </w:r>
    </w:p>
    <w:p>
      <w:pPr>
        <w:pStyle w:val="BodyText"/>
        <w:rPr>
          <w:b/>
          <w:sz w:val="26"/>
        </w:rPr>
      </w:pPr>
    </w:p>
    <w:p>
      <w:pPr>
        <w:pStyle w:val="BodyText"/>
        <w:spacing w:before="11"/>
        <w:rPr>
          <w:b/>
          <w:sz w:val="35"/>
        </w:rPr>
      </w:pPr>
    </w:p>
    <w:p>
      <w:pPr>
        <w:pStyle w:val="BodyText"/>
        <w:spacing w:line="360" w:lineRule="auto"/>
        <w:ind w:left="122" w:right="-15"/>
      </w:pPr>
      <w:r>
        <w:rPr/>
        <w:t>La SFP es una dependencia del Poder Ejecutivo Federal cuyas funciones son las siguientes:</w:t>
      </w:r>
    </w:p>
    <w:p>
      <w:pPr>
        <w:pStyle w:val="BodyText"/>
        <w:spacing w:before="6"/>
      </w:pPr>
    </w:p>
    <w:p>
      <w:pPr>
        <w:pStyle w:val="ListParagraph"/>
        <w:numPr>
          <w:ilvl w:val="0"/>
          <w:numId w:val="35"/>
        </w:numPr>
        <w:tabs>
          <w:tab w:pos="549" w:val="left" w:leader="none"/>
          <w:tab w:pos="550" w:val="left" w:leader="none"/>
        </w:tabs>
        <w:spacing w:line="240" w:lineRule="auto" w:before="0" w:after="0"/>
        <w:ind w:left="549" w:right="129" w:hanging="360"/>
        <w:jc w:val="left"/>
        <w:rPr>
          <w:rFonts w:ascii="Symbol" w:hAnsi="Symbol"/>
          <w:sz w:val="18"/>
        </w:rPr>
      </w:pPr>
      <w:r>
        <w:rPr>
          <w:sz w:val="18"/>
        </w:rPr>
        <w:t>“Vigila que los servidores públicos federales se apeguen a la legalidad durante el ejercicio de sus funciones, sanciona a los que no lo hacen</w:t>
      </w:r>
      <w:r>
        <w:rPr>
          <w:spacing w:val="-16"/>
          <w:sz w:val="18"/>
        </w:rPr>
        <w:t> </w:t>
      </w:r>
      <w:r>
        <w:rPr>
          <w:sz w:val="18"/>
        </w:rPr>
        <w:t>así;</w:t>
      </w:r>
    </w:p>
    <w:p>
      <w:pPr>
        <w:pStyle w:val="ListParagraph"/>
        <w:numPr>
          <w:ilvl w:val="0"/>
          <w:numId w:val="35"/>
        </w:numPr>
        <w:tabs>
          <w:tab w:pos="549" w:val="left" w:leader="none"/>
          <w:tab w:pos="550" w:val="left" w:leader="none"/>
        </w:tabs>
        <w:spacing w:line="240" w:lineRule="auto" w:before="0" w:after="0"/>
        <w:ind w:left="549" w:right="126" w:hanging="360"/>
        <w:jc w:val="left"/>
        <w:rPr>
          <w:rFonts w:ascii="Symbol" w:hAnsi="Symbol"/>
          <w:sz w:val="18"/>
        </w:rPr>
      </w:pPr>
      <w:r>
        <w:rPr>
          <w:sz w:val="18"/>
        </w:rPr>
        <w:t>Promueve</w:t>
      </w:r>
      <w:r>
        <w:rPr>
          <w:spacing w:val="-10"/>
          <w:sz w:val="18"/>
        </w:rPr>
        <w:t> </w:t>
      </w:r>
      <w:r>
        <w:rPr>
          <w:sz w:val="18"/>
        </w:rPr>
        <w:t>el</w:t>
      </w:r>
      <w:r>
        <w:rPr>
          <w:spacing w:val="-10"/>
          <w:sz w:val="18"/>
        </w:rPr>
        <w:t> </w:t>
      </w:r>
      <w:r>
        <w:rPr>
          <w:sz w:val="18"/>
        </w:rPr>
        <w:t>cumplimiento</w:t>
      </w:r>
      <w:r>
        <w:rPr>
          <w:spacing w:val="-10"/>
          <w:sz w:val="18"/>
        </w:rPr>
        <w:t> </w:t>
      </w:r>
      <w:r>
        <w:rPr>
          <w:sz w:val="18"/>
        </w:rPr>
        <w:t>de</w:t>
      </w:r>
      <w:r>
        <w:rPr>
          <w:spacing w:val="-10"/>
          <w:sz w:val="18"/>
        </w:rPr>
        <w:t> </w:t>
      </w:r>
      <w:r>
        <w:rPr>
          <w:sz w:val="18"/>
        </w:rPr>
        <w:t>los</w:t>
      </w:r>
      <w:r>
        <w:rPr>
          <w:spacing w:val="-9"/>
          <w:sz w:val="18"/>
        </w:rPr>
        <w:t> </w:t>
      </w:r>
      <w:r>
        <w:rPr>
          <w:sz w:val="18"/>
        </w:rPr>
        <w:t>procesos</w:t>
      </w:r>
      <w:r>
        <w:rPr>
          <w:spacing w:val="-12"/>
          <w:sz w:val="18"/>
        </w:rPr>
        <w:t> </w:t>
      </w:r>
      <w:r>
        <w:rPr>
          <w:sz w:val="18"/>
        </w:rPr>
        <w:t>de</w:t>
      </w:r>
      <w:r>
        <w:rPr>
          <w:spacing w:val="-10"/>
          <w:sz w:val="18"/>
        </w:rPr>
        <w:t> </w:t>
      </w:r>
      <w:r>
        <w:rPr>
          <w:sz w:val="18"/>
        </w:rPr>
        <w:t>control</w:t>
      </w:r>
      <w:r>
        <w:rPr>
          <w:spacing w:val="-10"/>
          <w:sz w:val="18"/>
        </w:rPr>
        <w:t> </w:t>
      </w:r>
      <w:r>
        <w:rPr>
          <w:sz w:val="18"/>
        </w:rPr>
        <w:t>y</w:t>
      </w:r>
      <w:r>
        <w:rPr>
          <w:spacing w:val="-12"/>
          <w:sz w:val="18"/>
        </w:rPr>
        <w:t> </w:t>
      </w:r>
      <w:r>
        <w:rPr>
          <w:sz w:val="18"/>
        </w:rPr>
        <w:t>fiscalización</w:t>
      </w:r>
      <w:r>
        <w:rPr>
          <w:spacing w:val="-10"/>
          <w:sz w:val="18"/>
        </w:rPr>
        <w:t> </w:t>
      </w:r>
      <w:r>
        <w:rPr>
          <w:sz w:val="18"/>
        </w:rPr>
        <w:t>del</w:t>
      </w:r>
      <w:r>
        <w:rPr>
          <w:spacing w:val="-10"/>
          <w:sz w:val="18"/>
        </w:rPr>
        <w:t> </w:t>
      </w:r>
      <w:r>
        <w:rPr>
          <w:sz w:val="18"/>
        </w:rPr>
        <w:t>gobierno</w:t>
      </w:r>
      <w:r>
        <w:rPr>
          <w:spacing w:val="-10"/>
          <w:sz w:val="18"/>
        </w:rPr>
        <w:t> </w:t>
      </w:r>
      <w:r>
        <w:rPr>
          <w:sz w:val="18"/>
        </w:rPr>
        <w:t>federal,</w:t>
      </w:r>
      <w:r>
        <w:rPr>
          <w:spacing w:val="-10"/>
          <w:sz w:val="18"/>
        </w:rPr>
        <w:t> </w:t>
      </w:r>
      <w:r>
        <w:rPr>
          <w:sz w:val="18"/>
        </w:rPr>
        <w:t>de</w:t>
      </w:r>
      <w:r>
        <w:rPr>
          <w:spacing w:val="-12"/>
          <w:sz w:val="18"/>
        </w:rPr>
        <w:t> </w:t>
      </w:r>
      <w:r>
        <w:rPr>
          <w:sz w:val="18"/>
        </w:rPr>
        <w:t>disposiciones legales en diversas</w:t>
      </w:r>
      <w:r>
        <w:rPr>
          <w:spacing w:val="-14"/>
          <w:sz w:val="18"/>
        </w:rPr>
        <w:t> </w:t>
      </w:r>
      <w:r>
        <w:rPr>
          <w:sz w:val="18"/>
        </w:rPr>
        <w:t>materias;</w:t>
      </w:r>
    </w:p>
    <w:p>
      <w:pPr>
        <w:pStyle w:val="ListParagraph"/>
        <w:numPr>
          <w:ilvl w:val="0"/>
          <w:numId w:val="35"/>
        </w:numPr>
        <w:tabs>
          <w:tab w:pos="550" w:val="left" w:leader="none"/>
        </w:tabs>
        <w:spacing w:line="219" w:lineRule="exact" w:before="2" w:after="0"/>
        <w:ind w:left="549" w:right="0" w:hanging="360"/>
        <w:jc w:val="both"/>
        <w:rPr>
          <w:rFonts w:ascii="Symbol" w:hAnsi="Symbol"/>
          <w:sz w:val="18"/>
        </w:rPr>
      </w:pPr>
      <w:r>
        <w:rPr>
          <w:sz w:val="18"/>
        </w:rPr>
        <w:t>Dirige y determina la política de compras públicas de la</w:t>
      </w:r>
      <w:r>
        <w:rPr>
          <w:spacing w:val="-27"/>
          <w:sz w:val="18"/>
        </w:rPr>
        <w:t> </w:t>
      </w:r>
      <w:r>
        <w:rPr>
          <w:sz w:val="18"/>
        </w:rPr>
        <w:t>Federación;</w:t>
      </w:r>
    </w:p>
    <w:p>
      <w:pPr>
        <w:pStyle w:val="ListParagraph"/>
        <w:numPr>
          <w:ilvl w:val="0"/>
          <w:numId w:val="35"/>
        </w:numPr>
        <w:tabs>
          <w:tab w:pos="550" w:val="left" w:leader="none"/>
        </w:tabs>
        <w:spacing w:line="218" w:lineRule="exact" w:before="0" w:after="0"/>
        <w:ind w:left="549" w:right="0" w:hanging="360"/>
        <w:jc w:val="both"/>
        <w:rPr>
          <w:rFonts w:ascii="Symbol" w:hAnsi="Symbol"/>
          <w:sz w:val="18"/>
        </w:rPr>
      </w:pPr>
      <w:r>
        <w:rPr>
          <w:sz w:val="18"/>
        </w:rPr>
        <w:t>Coordina y realiza auditorías sobre el gasto de recursos</w:t>
      </w:r>
      <w:r>
        <w:rPr>
          <w:spacing w:val="-30"/>
          <w:sz w:val="18"/>
        </w:rPr>
        <w:t> </w:t>
      </w:r>
      <w:r>
        <w:rPr>
          <w:sz w:val="18"/>
        </w:rPr>
        <w:t>federales;</w:t>
      </w:r>
    </w:p>
    <w:p>
      <w:pPr>
        <w:pStyle w:val="ListParagraph"/>
        <w:numPr>
          <w:ilvl w:val="0"/>
          <w:numId w:val="35"/>
        </w:numPr>
        <w:tabs>
          <w:tab w:pos="550" w:val="left" w:leader="none"/>
        </w:tabs>
        <w:spacing w:line="219" w:lineRule="exact" w:before="0" w:after="0"/>
        <w:ind w:left="549" w:right="0" w:hanging="360"/>
        <w:jc w:val="both"/>
        <w:rPr>
          <w:rFonts w:ascii="Symbol"/>
          <w:sz w:val="18"/>
        </w:rPr>
      </w:pPr>
      <w:r>
        <w:rPr>
          <w:sz w:val="18"/>
        </w:rPr>
        <w:t>Coordina procesos de desarrollo administrativo y gobierno</w:t>
      </w:r>
      <w:r>
        <w:rPr>
          <w:spacing w:val="-31"/>
          <w:sz w:val="18"/>
        </w:rPr>
        <w:t> </w:t>
      </w:r>
      <w:r>
        <w:rPr>
          <w:sz w:val="18"/>
        </w:rPr>
        <w:t>digital;</w:t>
      </w:r>
    </w:p>
    <w:p>
      <w:pPr>
        <w:pStyle w:val="ListParagraph"/>
        <w:numPr>
          <w:ilvl w:val="0"/>
          <w:numId w:val="35"/>
        </w:numPr>
        <w:tabs>
          <w:tab w:pos="550" w:val="left" w:leader="none"/>
        </w:tabs>
        <w:spacing w:line="219" w:lineRule="exact" w:before="0" w:after="0"/>
        <w:ind w:left="549" w:right="0" w:hanging="360"/>
        <w:jc w:val="both"/>
        <w:rPr>
          <w:rFonts w:ascii="Symbol"/>
          <w:sz w:val="18"/>
        </w:rPr>
      </w:pPr>
      <w:r>
        <w:rPr>
          <w:sz w:val="18"/>
        </w:rPr>
        <w:t>Opera y encabeza el Servicio Profesional de</w:t>
      </w:r>
      <w:r>
        <w:rPr>
          <w:spacing w:val="-22"/>
          <w:sz w:val="18"/>
        </w:rPr>
        <w:t> </w:t>
      </w:r>
      <w:r>
        <w:rPr>
          <w:sz w:val="18"/>
        </w:rPr>
        <w:t>Carrera;</w:t>
      </w:r>
    </w:p>
    <w:p>
      <w:pPr>
        <w:pStyle w:val="ListParagraph"/>
        <w:numPr>
          <w:ilvl w:val="0"/>
          <w:numId w:val="35"/>
        </w:numPr>
        <w:tabs>
          <w:tab w:pos="550" w:val="left" w:leader="none"/>
        </w:tabs>
        <w:spacing w:line="218" w:lineRule="exact" w:before="0" w:after="0"/>
        <w:ind w:left="549" w:right="0" w:hanging="360"/>
        <w:jc w:val="both"/>
        <w:rPr>
          <w:rFonts w:ascii="Symbol" w:hAnsi="Symbol"/>
          <w:sz w:val="18"/>
        </w:rPr>
      </w:pPr>
      <w:r>
        <w:rPr>
          <w:sz w:val="18"/>
        </w:rPr>
        <w:t>Coordina la labor de los órganos internos de control en cada</w:t>
      </w:r>
      <w:r>
        <w:rPr>
          <w:spacing w:val="-35"/>
          <w:sz w:val="18"/>
        </w:rPr>
        <w:t> </w:t>
      </w:r>
      <w:r>
        <w:rPr>
          <w:sz w:val="18"/>
        </w:rPr>
        <w:t>dependencia del gobierno federal y;</w:t>
      </w:r>
    </w:p>
    <w:p>
      <w:pPr>
        <w:pStyle w:val="ListParagraph"/>
        <w:numPr>
          <w:ilvl w:val="0"/>
          <w:numId w:val="35"/>
        </w:numPr>
        <w:tabs>
          <w:tab w:pos="550" w:val="left" w:leader="none"/>
        </w:tabs>
        <w:spacing w:line="293" w:lineRule="exact" w:before="0" w:after="0"/>
        <w:ind w:left="549" w:right="0" w:hanging="360"/>
        <w:jc w:val="both"/>
        <w:rPr>
          <w:rFonts w:ascii="Symbol" w:hAnsi="Symbol"/>
          <w:sz w:val="24"/>
        </w:rPr>
      </w:pPr>
      <w:r>
        <w:rPr>
          <w:sz w:val="18"/>
        </w:rPr>
        <w:t>Evalúa la gestión de las entidades</w:t>
      </w:r>
      <w:r>
        <w:rPr>
          <w:spacing w:val="-15"/>
          <w:sz w:val="18"/>
        </w:rPr>
        <w:t> </w:t>
      </w:r>
      <w:r>
        <w:rPr>
          <w:sz w:val="18"/>
        </w:rPr>
        <w:t>federales.”</w:t>
      </w:r>
    </w:p>
    <w:p>
      <w:pPr>
        <w:pStyle w:val="BodyText"/>
        <w:rPr>
          <w:sz w:val="20"/>
        </w:rPr>
      </w:pPr>
    </w:p>
    <w:p>
      <w:pPr>
        <w:pStyle w:val="BodyText"/>
        <w:rPr>
          <w:sz w:val="20"/>
        </w:rPr>
      </w:pPr>
    </w:p>
    <w:p>
      <w:pPr>
        <w:pStyle w:val="BodyText"/>
        <w:spacing w:before="6"/>
        <w:rPr>
          <w:sz w:val="13"/>
        </w:rPr>
      </w:pPr>
      <w:r>
        <w:rPr/>
        <w:pict>
          <v:line style="position:absolute;mso-position-horizontal-relative:page;mso-position-vertical-relative:paragraph;z-index:3232;mso-wrap-distance-left:0;mso-wrap-distance-right:0" from="85.103996pt,10.12125pt" to="229.123996pt,10.12125pt" stroked="true" strokeweight=".71997pt" strokecolor="#000000">
            <w10:wrap type="topAndBottom"/>
          </v:line>
        </w:pict>
      </w:r>
    </w:p>
    <w:p>
      <w:pPr>
        <w:spacing w:before="66"/>
        <w:ind w:left="122" w:right="337" w:firstLine="0"/>
        <w:jc w:val="left"/>
        <w:rPr>
          <w:sz w:val="16"/>
        </w:rPr>
      </w:pPr>
      <w:r>
        <w:rPr>
          <w:position w:val="6"/>
          <w:sz w:val="10"/>
        </w:rPr>
        <w:t>21 </w:t>
      </w:r>
      <w:r>
        <w:rPr>
          <w:sz w:val="16"/>
        </w:rPr>
        <w:t>Página web de la Secretaría de la Función Pública. Recuperado de </w:t>
      </w:r>
      <w:hyperlink r:id="rId47">
        <w:r>
          <w:rPr>
            <w:color w:val="0462C1"/>
            <w:sz w:val="16"/>
            <w:u w:val="single" w:color="0462C1"/>
          </w:rPr>
          <w:t>http://www.funcionpublica.gob.mx</w:t>
        </w:r>
        <w:r>
          <w:rPr>
            <w:sz w:val="16"/>
          </w:rPr>
          <w:t>.</w:t>
        </w:r>
      </w:hyperlink>
    </w:p>
    <w:p>
      <w:pPr>
        <w:spacing w:after="0"/>
        <w:jc w:val="left"/>
        <w:rPr>
          <w:sz w:val="16"/>
        </w:rPr>
        <w:sectPr>
          <w:pgSz w:w="12240" w:h="15840"/>
          <w:pgMar w:header="0" w:footer="1035" w:top="1360" w:bottom="1220" w:left="1580" w:right="1580"/>
        </w:sectPr>
      </w:pPr>
    </w:p>
    <w:p>
      <w:pPr>
        <w:pStyle w:val="BodyText"/>
        <w:spacing w:line="362" w:lineRule="auto" w:before="54"/>
        <w:ind w:left="102"/>
      </w:pPr>
      <w:r>
        <w:rPr/>
        <w:t>La SFP tiene fundamento en las facultades que le confiere la normativa federal a través las siguientes leyes:</w:t>
      </w:r>
    </w:p>
    <w:p>
      <w:pPr>
        <w:pStyle w:val="BodyText"/>
      </w:pPr>
    </w:p>
    <w:p>
      <w:pPr>
        <w:pStyle w:val="ListParagraph"/>
        <w:numPr>
          <w:ilvl w:val="0"/>
          <w:numId w:val="35"/>
        </w:numPr>
        <w:tabs>
          <w:tab w:pos="530" w:val="left" w:leader="none"/>
        </w:tabs>
        <w:spacing w:line="219" w:lineRule="exact" w:before="140" w:after="0"/>
        <w:ind w:left="529" w:right="0" w:hanging="360"/>
        <w:jc w:val="both"/>
        <w:rPr>
          <w:rFonts w:ascii="Symbol" w:hAnsi="Symbol"/>
          <w:sz w:val="18"/>
        </w:rPr>
      </w:pPr>
      <w:r>
        <w:rPr>
          <w:sz w:val="18"/>
        </w:rPr>
        <w:t>“Ley Orgánica de la Administración Pública</w:t>
      </w:r>
      <w:r>
        <w:rPr>
          <w:spacing w:val="-20"/>
          <w:sz w:val="18"/>
        </w:rPr>
        <w:t> </w:t>
      </w:r>
      <w:r>
        <w:rPr>
          <w:sz w:val="18"/>
        </w:rPr>
        <w:t>Federal;</w:t>
      </w:r>
    </w:p>
    <w:p>
      <w:pPr>
        <w:pStyle w:val="ListParagraph"/>
        <w:numPr>
          <w:ilvl w:val="0"/>
          <w:numId w:val="35"/>
        </w:numPr>
        <w:tabs>
          <w:tab w:pos="530" w:val="left" w:leader="none"/>
        </w:tabs>
        <w:spacing w:line="218" w:lineRule="exact" w:before="0" w:after="0"/>
        <w:ind w:left="529" w:right="0" w:hanging="360"/>
        <w:jc w:val="both"/>
        <w:rPr>
          <w:rFonts w:ascii="Symbol" w:hAnsi="Symbol"/>
          <w:sz w:val="18"/>
        </w:rPr>
      </w:pPr>
      <w:r>
        <w:rPr>
          <w:sz w:val="18"/>
        </w:rPr>
        <w:t>Ley Federal de Responsabilidades</w:t>
      </w:r>
      <w:r>
        <w:rPr>
          <w:spacing w:val="-36"/>
          <w:sz w:val="18"/>
        </w:rPr>
        <w:t> </w:t>
      </w:r>
      <w:r>
        <w:rPr>
          <w:sz w:val="18"/>
        </w:rPr>
        <w:t>Administrativas de los Servidores Públicos</w:t>
      </w:r>
    </w:p>
    <w:p>
      <w:pPr>
        <w:pStyle w:val="ListParagraph"/>
        <w:numPr>
          <w:ilvl w:val="0"/>
          <w:numId w:val="35"/>
        </w:numPr>
        <w:tabs>
          <w:tab w:pos="530" w:val="left" w:leader="none"/>
        </w:tabs>
        <w:spacing w:line="219" w:lineRule="exact" w:before="0" w:after="0"/>
        <w:ind w:left="529" w:right="0" w:hanging="360"/>
        <w:jc w:val="both"/>
        <w:rPr>
          <w:rFonts w:ascii="Symbol" w:hAnsi="Symbol"/>
          <w:sz w:val="18"/>
        </w:rPr>
      </w:pPr>
      <w:r>
        <w:rPr>
          <w:sz w:val="18"/>
        </w:rPr>
        <w:t>Ley de Adquisiciones, Arrendamientos y Servicios del Sector</w:t>
      </w:r>
      <w:r>
        <w:rPr>
          <w:spacing w:val="-29"/>
          <w:sz w:val="18"/>
        </w:rPr>
        <w:t> </w:t>
      </w:r>
      <w:r>
        <w:rPr>
          <w:sz w:val="18"/>
        </w:rPr>
        <w:t>Público;</w:t>
      </w:r>
    </w:p>
    <w:p>
      <w:pPr>
        <w:pStyle w:val="ListParagraph"/>
        <w:numPr>
          <w:ilvl w:val="0"/>
          <w:numId w:val="35"/>
        </w:numPr>
        <w:tabs>
          <w:tab w:pos="530" w:val="left" w:leader="none"/>
        </w:tabs>
        <w:spacing w:line="219" w:lineRule="exact" w:before="0" w:after="0"/>
        <w:ind w:left="529" w:right="0" w:hanging="360"/>
        <w:jc w:val="both"/>
        <w:rPr>
          <w:rFonts w:ascii="Symbol" w:hAnsi="Symbol"/>
          <w:sz w:val="18"/>
        </w:rPr>
      </w:pPr>
      <w:r>
        <w:rPr>
          <w:sz w:val="18"/>
        </w:rPr>
        <w:t>Ley de Obras Públicas y Servicios Relacionados con las</w:t>
      </w:r>
      <w:r>
        <w:rPr>
          <w:spacing w:val="-20"/>
          <w:sz w:val="18"/>
        </w:rPr>
        <w:t> </w:t>
      </w:r>
      <w:r>
        <w:rPr>
          <w:sz w:val="18"/>
        </w:rPr>
        <w:t>Mismas;</w:t>
      </w:r>
    </w:p>
    <w:p>
      <w:pPr>
        <w:pStyle w:val="ListParagraph"/>
        <w:numPr>
          <w:ilvl w:val="0"/>
          <w:numId w:val="35"/>
        </w:numPr>
        <w:tabs>
          <w:tab w:pos="530" w:val="left" w:leader="none"/>
        </w:tabs>
        <w:spacing w:line="218" w:lineRule="exact" w:before="0" w:after="0"/>
        <w:ind w:left="529" w:right="0" w:hanging="360"/>
        <w:jc w:val="both"/>
        <w:rPr>
          <w:rFonts w:ascii="Symbol"/>
          <w:sz w:val="18"/>
        </w:rPr>
      </w:pPr>
      <w:r>
        <w:rPr>
          <w:sz w:val="18"/>
        </w:rPr>
        <w:t>Ley General de Bienes</w:t>
      </w:r>
      <w:r>
        <w:rPr>
          <w:spacing w:val="-14"/>
          <w:sz w:val="18"/>
        </w:rPr>
        <w:t> </w:t>
      </w:r>
      <w:r>
        <w:rPr>
          <w:sz w:val="18"/>
        </w:rPr>
        <w:t>Nacionales;</w:t>
      </w:r>
    </w:p>
    <w:p>
      <w:pPr>
        <w:pStyle w:val="ListParagraph"/>
        <w:numPr>
          <w:ilvl w:val="0"/>
          <w:numId w:val="35"/>
        </w:numPr>
        <w:tabs>
          <w:tab w:pos="530" w:val="left" w:leader="none"/>
        </w:tabs>
        <w:spacing w:line="219" w:lineRule="exact" w:before="0" w:after="0"/>
        <w:ind w:left="529" w:right="0" w:hanging="360"/>
        <w:jc w:val="both"/>
        <w:rPr>
          <w:rFonts w:ascii="Symbol" w:hAnsi="Symbol"/>
          <w:sz w:val="18"/>
        </w:rPr>
      </w:pPr>
      <w:r>
        <w:rPr>
          <w:sz w:val="18"/>
        </w:rPr>
        <w:t>Ley del Servicio Profesional de Carrera en la Administración Pública</w:t>
      </w:r>
      <w:r>
        <w:rPr>
          <w:spacing w:val="-27"/>
          <w:sz w:val="18"/>
        </w:rPr>
        <w:t> </w:t>
      </w:r>
      <w:r>
        <w:rPr>
          <w:sz w:val="18"/>
        </w:rPr>
        <w:t>Federal;</w:t>
      </w:r>
    </w:p>
    <w:p>
      <w:pPr>
        <w:pStyle w:val="ListParagraph"/>
        <w:numPr>
          <w:ilvl w:val="0"/>
          <w:numId w:val="35"/>
        </w:numPr>
        <w:tabs>
          <w:tab w:pos="530" w:val="left" w:leader="none"/>
        </w:tabs>
        <w:spacing w:line="240" w:lineRule="auto" w:before="0" w:after="0"/>
        <w:ind w:left="529" w:right="0" w:hanging="360"/>
        <w:jc w:val="both"/>
        <w:rPr>
          <w:rFonts w:ascii="Symbol" w:hAnsi="Symbol"/>
          <w:sz w:val="18"/>
        </w:rPr>
      </w:pPr>
      <w:r>
        <w:rPr>
          <w:sz w:val="18"/>
        </w:rPr>
        <w:t>Ley Federal de Presupuesto y Responsabilidad</w:t>
      </w:r>
      <w:r>
        <w:rPr>
          <w:spacing w:val="-17"/>
          <w:sz w:val="18"/>
        </w:rPr>
        <w:t> </w:t>
      </w:r>
      <w:r>
        <w:rPr>
          <w:sz w:val="18"/>
        </w:rPr>
        <w:t>Hacendaria.”</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2"/>
        <w:rPr>
          <w:sz w:val="15"/>
        </w:rPr>
      </w:pPr>
    </w:p>
    <w:p>
      <w:pPr>
        <w:pStyle w:val="BodyText"/>
        <w:spacing w:line="360" w:lineRule="auto"/>
        <w:ind w:left="102" w:right="115"/>
        <w:jc w:val="both"/>
      </w:pPr>
      <w:r>
        <w:rPr/>
        <w:t>En este marco de referencia, la SFP establece que el federal está convencido de que la transparencia y el acceso a la información juegan un papel esencial en la construcción de gobiernos más abiertos al escrutinio público, con capacidad de fomentar la participación de la sociedad en el diseño y evaluación de las políticas públicas</w:t>
      </w:r>
      <w:r>
        <w:rPr>
          <w:spacing w:val="-14"/>
        </w:rPr>
        <w:t> </w:t>
      </w:r>
      <w:r>
        <w:rPr/>
        <w:t>gubernamentales</w:t>
      </w:r>
      <w:r>
        <w:rPr>
          <w:spacing w:val="-12"/>
        </w:rPr>
        <w:t> </w:t>
      </w:r>
      <w:r>
        <w:rPr/>
        <w:t>y</w:t>
      </w:r>
      <w:r>
        <w:rPr>
          <w:spacing w:val="-15"/>
        </w:rPr>
        <w:t> </w:t>
      </w:r>
      <w:r>
        <w:rPr/>
        <w:t>por</w:t>
      </w:r>
      <w:r>
        <w:rPr>
          <w:spacing w:val="-13"/>
        </w:rPr>
        <w:t> </w:t>
      </w:r>
      <w:r>
        <w:rPr/>
        <w:t>lo</w:t>
      </w:r>
      <w:r>
        <w:rPr>
          <w:spacing w:val="-14"/>
        </w:rPr>
        <w:t> </w:t>
      </w:r>
      <w:r>
        <w:rPr/>
        <w:t>tanto</w:t>
      </w:r>
      <w:r>
        <w:rPr>
          <w:spacing w:val="-14"/>
        </w:rPr>
        <w:t> </w:t>
      </w:r>
      <w:r>
        <w:rPr/>
        <w:t>de</w:t>
      </w:r>
      <w:r>
        <w:rPr>
          <w:spacing w:val="-14"/>
        </w:rPr>
        <w:t> </w:t>
      </w:r>
      <w:r>
        <w:rPr/>
        <w:t>una</w:t>
      </w:r>
      <w:r>
        <w:rPr>
          <w:spacing w:val="-14"/>
        </w:rPr>
        <w:t> </w:t>
      </w:r>
      <w:r>
        <w:rPr/>
        <w:t>mayor</w:t>
      </w:r>
      <w:r>
        <w:rPr>
          <w:spacing w:val="-13"/>
        </w:rPr>
        <w:t> </w:t>
      </w:r>
      <w:r>
        <w:rPr/>
        <w:t>rendición</w:t>
      </w:r>
      <w:r>
        <w:rPr>
          <w:spacing w:val="-14"/>
        </w:rPr>
        <w:t> </w:t>
      </w:r>
      <w:r>
        <w:rPr/>
        <w:t>de</w:t>
      </w:r>
      <w:r>
        <w:rPr>
          <w:spacing w:val="-14"/>
        </w:rPr>
        <w:t> </w:t>
      </w:r>
      <w:r>
        <w:rPr/>
        <w:t>cuentas</w:t>
      </w:r>
      <w:r>
        <w:rPr>
          <w:spacing w:val="-15"/>
        </w:rPr>
        <w:t> </w:t>
      </w:r>
      <w:r>
        <w:rPr/>
        <w:t>pública. Por tal motivo la política de transparencia del Gobierno de la República tiene como objetivo</w:t>
      </w:r>
      <w:r>
        <w:rPr>
          <w:spacing w:val="-8"/>
        </w:rPr>
        <w:t> </w:t>
      </w:r>
      <w:r>
        <w:rPr/>
        <w:t>“no</w:t>
      </w:r>
      <w:r>
        <w:rPr>
          <w:spacing w:val="-9"/>
        </w:rPr>
        <w:t> </w:t>
      </w:r>
      <w:r>
        <w:rPr/>
        <w:t>solo</w:t>
      </w:r>
      <w:r>
        <w:rPr>
          <w:spacing w:val="-11"/>
        </w:rPr>
        <w:t> </w:t>
      </w:r>
      <w:r>
        <w:rPr/>
        <w:t>contribuir</w:t>
      </w:r>
      <w:r>
        <w:rPr>
          <w:spacing w:val="-9"/>
        </w:rPr>
        <w:t> </w:t>
      </w:r>
      <w:r>
        <w:rPr/>
        <w:t>a</w:t>
      </w:r>
      <w:r>
        <w:rPr>
          <w:spacing w:val="-11"/>
        </w:rPr>
        <w:t> </w:t>
      </w:r>
      <w:r>
        <w:rPr/>
        <w:t>garantizar</w:t>
      </w:r>
      <w:r>
        <w:rPr>
          <w:spacing w:val="-10"/>
        </w:rPr>
        <w:t> </w:t>
      </w:r>
      <w:r>
        <w:rPr/>
        <w:t>el</w:t>
      </w:r>
      <w:r>
        <w:rPr>
          <w:spacing w:val="-12"/>
        </w:rPr>
        <w:t> </w:t>
      </w:r>
      <w:r>
        <w:rPr/>
        <w:t>derecho</w:t>
      </w:r>
      <w:r>
        <w:rPr>
          <w:spacing w:val="-11"/>
        </w:rPr>
        <w:t> </w:t>
      </w:r>
      <w:r>
        <w:rPr/>
        <w:t>de</w:t>
      </w:r>
      <w:r>
        <w:rPr>
          <w:spacing w:val="-8"/>
        </w:rPr>
        <w:t> </w:t>
      </w:r>
      <w:r>
        <w:rPr/>
        <w:t>acceso</w:t>
      </w:r>
      <w:r>
        <w:rPr>
          <w:spacing w:val="-10"/>
        </w:rPr>
        <w:t> </w:t>
      </w:r>
      <w:r>
        <w:rPr/>
        <w:t>a</w:t>
      </w:r>
      <w:r>
        <w:rPr>
          <w:spacing w:val="-11"/>
        </w:rPr>
        <w:t> </w:t>
      </w:r>
      <w:r>
        <w:rPr/>
        <w:t>la</w:t>
      </w:r>
      <w:r>
        <w:rPr>
          <w:spacing w:val="-11"/>
        </w:rPr>
        <w:t> </w:t>
      </w:r>
      <w:r>
        <w:rPr/>
        <w:t>información</w:t>
      </w:r>
      <w:r>
        <w:rPr>
          <w:spacing w:val="-9"/>
        </w:rPr>
        <w:t> </w:t>
      </w:r>
      <w:r>
        <w:rPr/>
        <w:t>de</w:t>
      </w:r>
      <w:r>
        <w:rPr>
          <w:spacing w:val="-11"/>
        </w:rPr>
        <w:t> </w:t>
      </w:r>
      <w:r>
        <w:rPr/>
        <w:t>los mexicanos, sino también a brindar información oportuna que permita mejorar la toma de las decisiones de los ciudadanos y mejorar la confianza y certidumbre respecto de la acción gubernamental”</w:t>
      </w:r>
      <w:r>
        <w:rPr>
          <w:spacing w:val="-26"/>
        </w:rPr>
        <w:t> </w:t>
      </w:r>
      <w:r>
        <w:rPr/>
        <w:t>(http://www.funcionpublica.gob.mx).</w:t>
      </w:r>
    </w:p>
    <w:p>
      <w:pPr>
        <w:pStyle w:val="BodyText"/>
      </w:pPr>
    </w:p>
    <w:p>
      <w:pPr>
        <w:pStyle w:val="BodyText"/>
      </w:pPr>
    </w:p>
    <w:p>
      <w:pPr>
        <w:pStyle w:val="BodyText"/>
        <w:spacing w:before="6"/>
        <w:rPr>
          <w:sz w:val="26"/>
        </w:rPr>
      </w:pPr>
    </w:p>
    <w:p>
      <w:pPr>
        <w:pStyle w:val="BodyText"/>
        <w:spacing w:line="360" w:lineRule="auto"/>
        <w:ind w:left="102" w:right="116"/>
        <w:jc w:val="both"/>
      </w:pPr>
      <w:r>
        <w:rPr/>
        <w:t>No obstante, contrario al discurso oficial, es una de las secretarías federales que más se resiste a responder las solicitudes de información de los ciudadanos, así como una de las más renuentes a acatar los mandatos del INAI (Fox </w:t>
      </w:r>
      <w:r>
        <w:rPr>
          <w:i/>
        </w:rPr>
        <w:t>et. al. </w:t>
      </w:r>
      <w:r>
        <w:rPr/>
        <w:t>2011). Esta situación es ejemplo de un estado cuasidemocrático (Morlino, 2005), ya que se tienen leyes e instituciones, pero no hay transparencia. Por lo que ésta puede ser</w:t>
      </w:r>
      <w:r>
        <w:rPr>
          <w:spacing w:val="-16"/>
        </w:rPr>
        <w:t> </w:t>
      </w:r>
      <w:r>
        <w:rPr/>
        <w:t>solamente</w:t>
      </w:r>
      <w:r>
        <w:rPr>
          <w:spacing w:val="-16"/>
        </w:rPr>
        <w:t> </w:t>
      </w:r>
      <w:r>
        <w:rPr/>
        <w:t>un</w:t>
      </w:r>
      <w:r>
        <w:rPr>
          <w:spacing w:val="-14"/>
        </w:rPr>
        <w:t> </w:t>
      </w:r>
      <w:r>
        <w:rPr/>
        <w:t>discurso</w:t>
      </w:r>
      <w:r>
        <w:rPr>
          <w:spacing w:val="-15"/>
        </w:rPr>
        <w:t> </w:t>
      </w:r>
      <w:r>
        <w:rPr/>
        <w:t>que</w:t>
      </w:r>
      <w:r>
        <w:rPr>
          <w:spacing w:val="-14"/>
        </w:rPr>
        <w:t> </w:t>
      </w:r>
      <w:r>
        <w:rPr/>
        <w:t>se</w:t>
      </w:r>
      <w:r>
        <w:rPr>
          <w:spacing w:val="-17"/>
        </w:rPr>
        <w:t> </w:t>
      </w:r>
      <w:r>
        <w:rPr/>
        <w:t>utiliza</w:t>
      </w:r>
      <w:r>
        <w:rPr>
          <w:spacing w:val="-14"/>
        </w:rPr>
        <w:t> </w:t>
      </w:r>
      <w:r>
        <w:rPr/>
        <w:t>como</w:t>
      </w:r>
      <w:r>
        <w:rPr>
          <w:spacing w:val="-19"/>
        </w:rPr>
        <w:t> </w:t>
      </w:r>
      <w:r>
        <w:rPr/>
        <w:t>fachada</w:t>
      </w:r>
      <w:r>
        <w:rPr>
          <w:spacing w:val="-14"/>
        </w:rPr>
        <w:t> </w:t>
      </w:r>
      <w:r>
        <w:rPr/>
        <w:t>(Goffman,</w:t>
      </w:r>
      <w:r>
        <w:rPr>
          <w:spacing w:val="-17"/>
        </w:rPr>
        <w:t> </w:t>
      </w:r>
      <w:r>
        <w:rPr/>
        <w:t>1981)</w:t>
      </w:r>
      <w:r>
        <w:rPr>
          <w:spacing w:val="-16"/>
        </w:rPr>
        <w:t> </w:t>
      </w:r>
      <w:r>
        <w:rPr/>
        <w:t>para</w:t>
      </w:r>
      <w:r>
        <w:rPr>
          <w:spacing w:val="-17"/>
        </w:rPr>
        <w:t> </w:t>
      </w:r>
      <w:r>
        <w:rPr/>
        <w:t>ocultar la</w:t>
      </w:r>
      <w:r>
        <w:rPr>
          <w:spacing w:val="-4"/>
        </w:rPr>
        <w:t> </w:t>
      </w:r>
      <w:r>
        <w:rPr/>
        <w:t>realidad.</w:t>
      </w:r>
    </w:p>
    <w:p>
      <w:pPr>
        <w:spacing w:after="0" w:line="360" w:lineRule="auto"/>
        <w:jc w:val="both"/>
        <w:sectPr>
          <w:pgSz w:w="12240" w:h="15840"/>
          <w:pgMar w:header="0" w:footer="1035" w:top="1360" w:bottom="1220" w:left="1600" w:right="1580"/>
        </w:sectPr>
      </w:pPr>
    </w:p>
    <w:p>
      <w:pPr>
        <w:pStyle w:val="Heading1"/>
        <w:numPr>
          <w:ilvl w:val="3"/>
          <w:numId w:val="34"/>
        </w:numPr>
        <w:tabs>
          <w:tab w:pos="974" w:val="left" w:leader="none"/>
        </w:tabs>
        <w:spacing w:line="240" w:lineRule="auto" w:before="51" w:after="0"/>
        <w:ind w:left="974" w:right="0" w:hanging="852"/>
        <w:jc w:val="both"/>
        <w:rPr>
          <w:sz w:val="16"/>
        </w:rPr>
      </w:pPr>
      <w:r>
        <w:rPr/>
        <w:t>Suprema Corte de Justicia de la Nación</w:t>
      </w:r>
      <w:r>
        <w:rPr>
          <w:spacing w:val="-12"/>
        </w:rPr>
        <w:t> </w:t>
      </w:r>
      <w:r>
        <w:rPr/>
        <w:t>(SCJN)</w:t>
      </w:r>
      <w:r>
        <w:rPr>
          <w:position w:val="8"/>
          <w:sz w:val="16"/>
        </w:rPr>
        <w:t>22</w:t>
      </w:r>
    </w:p>
    <w:p>
      <w:pPr>
        <w:pStyle w:val="BodyText"/>
        <w:rPr>
          <w:b/>
          <w:sz w:val="26"/>
        </w:rPr>
      </w:pPr>
    </w:p>
    <w:p>
      <w:pPr>
        <w:pStyle w:val="BodyText"/>
        <w:spacing w:before="9"/>
        <w:rPr>
          <w:b/>
          <w:sz w:val="35"/>
        </w:rPr>
      </w:pPr>
    </w:p>
    <w:p>
      <w:pPr>
        <w:pStyle w:val="BodyText"/>
        <w:spacing w:line="360" w:lineRule="auto"/>
        <w:ind w:left="122" w:right="102"/>
        <w:jc w:val="both"/>
      </w:pPr>
      <w:r>
        <w:rPr/>
        <w:t>La Suprema Corte de Justicia de la Nación (SCJN) es el Máximo Tribunal Constitucional del país y cabeza del Poder Judicial de la Federación. Tiene entre sus responsabilidades defender el orden establecido por la Constitución Política</w:t>
      </w:r>
      <w:r>
        <w:rPr>
          <w:spacing w:val="-38"/>
        </w:rPr>
        <w:t> </w:t>
      </w:r>
      <w:r>
        <w:rPr/>
        <w:t>de los Estados Unidos Mexicanos; mantener el equilibrio entre los distintos Poderes y ámbitos de gobierno, a través de las resoluciones judiciales que emite; además de solucionar, de manera definitiva, asuntos que son de gran importancia para la sociedad.</w:t>
      </w:r>
      <w:r>
        <w:rPr>
          <w:spacing w:val="-13"/>
        </w:rPr>
        <w:t> </w:t>
      </w:r>
      <w:r>
        <w:rPr/>
        <w:t>En</w:t>
      </w:r>
      <w:r>
        <w:rPr>
          <w:spacing w:val="-16"/>
        </w:rPr>
        <w:t> </w:t>
      </w:r>
      <w:r>
        <w:rPr/>
        <w:t>esa</w:t>
      </w:r>
      <w:r>
        <w:rPr>
          <w:spacing w:val="-13"/>
        </w:rPr>
        <w:t> </w:t>
      </w:r>
      <w:r>
        <w:rPr/>
        <w:t>virtud,</w:t>
      </w:r>
      <w:r>
        <w:rPr>
          <w:spacing w:val="-13"/>
        </w:rPr>
        <w:t> </w:t>
      </w:r>
      <w:r>
        <w:rPr/>
        <w:t>y</w:t>
      </w:r>
      <w:r>
        <w:rPr>
          <w:spacing w:val="-16"/>
        </w:rPr>
        <w:t> </w:t>
      </w:r>
      <w:r>
        <w:rPr/>
        <w:t>toda</w:t>
      </w:r>
      <w:r>
        <w:rPr>
          <w:spacing w:val="-13"/>
        </w:rPr>
        <w:t> </w:t>
      </w:r>
      <w:r>
        <w:rPr/>
        <w:t>vez</w:t>
      </w:r>
      <w:r>
        <w:rPr>
          <w:spacing w:val="-14"/>
        </w:rPr>
        <w:t> </w:t>
      </w:r>
      <w:r>
        <w:rPr/>
        <w:t>que</w:t>
      </w:r>
      <w:r>
        <w:rPr>
          <w:spacing w:val="-13"/>
        </w:rPr>
        <w:t> </w:t>
      </w:r>
      <w:r>
        <w:rPr/>
        <w:t>imparte</w:t>
      </w:r>
      <w:r>
        <w:rPr>
          <w:spacing w:val="-13"/>
        </w:rPr>
        <w:t> </w:t>
      </w:r>
      <w:r>
        <w:rPr/>
        <w:t>justicia</w:t>
      </w:r>
      <w:r>
        <w:rPr>
          <w:spacing w:val="-13"/>
        </w:rPr>
        <w:t> </w:t>
      </w:r>
      <w:r>
        <w:rPr/>
        <w:t>en</w:t>
      </w:r>
      <w:r>
        <w:rPr>
          <w:spacing w:val="-16"/>
        </w:rPr>
        <w:t> </w:t>
      </w:r>
      <w:r>
        <w:rPr/>
        <w:t>el</w:t>
      </w:r>
      <w:r>
        <w:rPr>
          <w:spacing w:val="-14"/>
        </w:rPr>
        <w:t> </w:t>
      </w:r>
      <w:r>
        <w:rPr/>
        <w:t>más</w:t>
      </w:r>
      <w:r>
        <w:rPr>
          <w:spacing w:val="-14"/>
        </w:rPr>
        <w:t> </w:t>
      </w:r>
      <w:r>
        <w:rPr/>
        <w:t>alto</w:t>
      </w:r>
      <w:r>
        <w:rPr>
          <w:spacing w:val="-13"/>
        </w:rPr>
        <w:t> </w:t>
      </w:r>
      <w:r>
        <w:rPr/>
        <w:t>nivel,</w:t>
      </w:r>
      <w:r>
        <w:rPr>
          <w:spacing w:val="-14"/>
        </w:rPr>
        <w:t> </w:t>
      </w:r>
      <w:r>
        <w:rPr/>
        <w:t>es</w:t>
      </w:r>
      <w:r>
        <w:rPr>
          <w:spacing w:val="-14"/>
        </w:rPr>
        <w:t> </w:t>
      </w:r>
      <w:r>
        <w:rPr/>
        <w:t>decir, el constitucional, no existe en nuestro país autoridad que se encuentre por encima de ella o recurso legal que pueda ejercerse en contra de sus</w:t>
      </w:r>
      <w:r>
        <w:rPr>
          <w:spacing w:val="-24"/>
        </w:rPr>
        <w:t> </w:t>
      </w:r>
      <w:r>
        <w:rPr/>
        <w:t>resoluciones.</w:t>
      </w:r>
    </w:p>
    <w:p>
      <w:pPr>
        <w:pStyle w:val="BodyText"/>
      </w:pPr>
    </w:p>
    <w:p>
      <w:pPr>
        <w:pStyle w:val="BodyText"/>
      </w:pPr>
    </w:p>
    <w:p>
      <w:pPr>
        <w:pStyle w:val="BodyText"/>
        <w:spacing w:line="360" w:lineRule="auto" w:before="185"/>
        <w:ind w:left="122" w:right="101"/>
        <w:jc w:val="both"/>
      </w:pPr>
      <w:r>
        <w:rPr/>
        <w:t>La</w:t>
      </w:r>
      <w:r>
        <w:rPr>
          <w:spacing w:val="-12"/>
        </w:rPr>
        <w:t> </w:t>
      </w:r>
      <w:r>
        <w:rPr/>
        <w:t>SCJN</w:t>
      </w:r>
      <w:r>
        <w:rPr>
          <w:spacing w:val="-16"/>
        </w:rPr>
        <w:t> </w:t>
      </w:r>
      <w:r>
        <w:rPr/>
        <w:t>es</w:t>
      </w:r>
      <w:r>
        <w:rPr>
          <w:spacing w:val="-13"/>
        </w:rPr>
        <w:t> </w:t>
      </w:r>
      <w:r>
        <w:rPr/>
        <w:t>la</w:t>
      </w:r>
      <w:r>
        <w:rPr>
          <w:spacing w:val="-12"/>
        </w:rPr>
        <w:t> </w:t>
      </w:r>
      <w:r>
        <w:rPr/>
        <w:t>responsable</w:t>
      </w:r>
      <w:r>
        <w:rPr>
          <w:spacing w:val="-14"/>
        </w:rPr>
        <w:t> </w:t>
      </w:r>
      <w:r>
        <w:rPr/>
        <w:t>de</w:t>
      </w:r>
      <w:r>
        <w:rPr>
          <w:spacing w:val="-12"/>
        </w:rPr>
        <w:t> </w:t>
      </w:r>
      <w:r>
        <w:rPr/>
        <w:t>resolver</w:t>
      </w:r>
      <w:r>
        <w:rPr>
          <w:spacing w:val="-13"/>
        </w:rPr>
        <w:t> </w:t>
      </w:r>
      <w:r>
        <w:rPr/>
        <w:t>las</w:t>
      </w:r>
      <w:r>
        <w:rPr>
          <w:spacing w:val="-12"/>
        </w:rPr>
        <w:t> </w:t>
      </w:r>
      <w:r>
        <w:rPr/>
        <w:t>controversias</w:t>
      </w:r>
      <w:r>
        <w:rPr>
          <w:spacing w:val="-13"/>
        </w:rPr>
        <w:t> </w:t>
      </w:r>
      <w:r>
        <w:rPr/>
        <w:t>que</w:t>
      </w:r>
      <w:r>
        <w:rPr>
          <w:spacing w:val="-12"/>
        </w:rPr>
        <w:t> </w:t>
      </w:r>
      <w:r>
        <w:rPr/>
        <w:t>se</w:t>
      </w:r>
      <w:r>
        <w:rPr>
          <w:spacing w:val="-12"/>
        </w:rPr>
        <w:t> </w:t>
      </w:r>
      <w:r>
        <w:rPr/>
        <w:t>suscitan</w:t>
      </w:r>
      <w:r>
        <w:rPr>
          <w:spacing w:val="-12"/>
        </w:rPr>
        <w:t> </w:t>
      </w:r>
      <w:r>
        <w:rPr/>
        <w:t>en</w:t>
      </w:r>
      <w:r>
        <w:rPr>
          <w:spacing w:val="-14"/>
        </w:rPr>
        <w:t> </w:t>
      </w:r>
      <w:r>
        <w:rPr/>
        <w:t>materia constitucional</w:t>
      </w:r>
      <w:r>
        <w:rPr>
          <w:spacing w:val="-14"/>
        </w:rPr>
        <w:t> </w:t>
      </w:r>
      <w:r>
        <w:rPr/>
        <w:t>y</w:t>
      </w:r>
      <w:r>
        <w:rPr>
          <w:spacing w:val="-16"/>
        </w:rPr>
        <w:t> </w:t>
      </w:r>
      <w:r>
        <w:rPr/>
        <w:t>legal.</w:t>
      </w:r>
      <w:r>
        <w:rPr>
          <w:spacing w:val="-12"/>
        </w:rPr>
        <w:t> </w:t>
      </w:r>
      <w:r>
        <w:rPr/>
        <w:t>Por</w:t>
      </w:r>
      <w:r>
        <w:rPr>
          <w:spacing w:val="-12"/>
        </w:rPr>
        <w:t> </w:t>
      </w:r>
      <w:r>
        <w:rPr/>
        <w:t>ejemplo,</w:t>
      </w:r>
      <w:r>
        <w:rPr>
          <w:spacing w:val="-13"/>
        </w:rPr>
        <w:t> </w:t>
      </w:r>
      <w:r>
        <w:rPr/>
        <w:t>la</w:t>
      </w:r>
      <w:r>
        <w:rPr>
          <w:spacing w:val="-13"/>
        </w:rPr>
        <w:t> </w:t>
      </w:r>
      <w:r>
        <w:rPr/>
        <w:t>resolución</w:t>
      </w:r>
      <w:r>
        <w:rPr>
          <w:spacing w:val="-13"/>
        </w:rPr>
        <w:t> </w:t>
      </w:r>
      <w:r>
        <w:rPr/>
        <w:t>18/97</w:t>
      </w:r>
      <w:r>
        <w:rPr>
          <w:spacing w:val="-13"/>
        </w:rPr>
        <w:t> </w:t>
      </w:r>
      <w:r>
        <w:rPr/>
        <w:t>en</w:t>
      </w:r>
      <w:r>
        <w:rPr>
          <w:spacing w:val="-13"/>
        </w:rPr>
        <w:t> </w:t>
      </w:r>
      <w:r>
        <w:rPr/>
        <w:t>la</w:t>
      </w:r>
      <w:r>
        <w:rPr>
          <w:spacing w:val="-13"/>
        </w:rPr>
        <w:t> </w:t>
      </w:r>
      <w:r>
        <w:rPr/>
        <w:t>que</w:t>
      </w:r>
      <w:r>
        <w:rPr>
          <w:spacing w:val="-13"/>
        </w:rPr>
        <w:t> </w:t>
      </w:r>
      <w:r>
        <w:rPr/>
        <w:t>el</w:t>
      </w:r>
      <w:r>
        <w:rPr>
          <w:spacing w:val="-14"/>
        </w:rPr>
        <w:t> </w:t>
      </w:r>
      <w:r>
        <w:rPr/>
        <w:t>municipio</w:t>
      </w:r>
      <w:r>
        <w:rPr>
          <w:spacing w:val="-13"/>
        </w:rPr>
        <w:t> </w:t>
      </w:r>
      <w:r>
        <w:rPr/>
        <w:t>de</w:t>
      </w:r>
      <w:r>
        <w:rPr>
          <w:spacing w:val="-13"/>
        </w:rPr>
        <w:t> </w:t>
      </w:r>
      <w:r>
        <w:rPr/>
        <w:t>San Nicolás de los Garza demanda a la federación la revisión de participaciones federales otorgadas al municipio. Dentro de una las conclusiones se establece la necesidad de mayor transparencia fiscal en las participaciones federales que se otorgan a los municipios (SCJN,</w:t>
      </w:r>
      <w:r>
        <w:rPr>
          <w:spacing w:val="-10"/>
        </w:rPr>
        <w:t> </w:t>
      </w:r>
      <w:r>
        <w:rPr/>
        <w:t>2006).</w:t>
      </w:r>
    </w:p>
    <w:p>
      <w:pPr>
        <w:pStyle w:val="BodyText"/>
      </w:pPr>
    </w:p>
    <w:p>
      <w:pPr>
        <w:pStyle w:val="BodyText"/>
      </w:pPr>
    </w:p>
    <w:p>
      <w:pPr>
        <w:pStyle w:val="BodyText"/>
        <w:spacing w:line="360" w:lineRule="auto" w:before="185"/>
        <w:ind w:left="122" w:right="102"/>
        <w:jc w:val="both"/>
      </w:pPr>
      <w:r>
        <w:rPr/>
        <w:t>Por su parte la controversia 23/09 en la que el Poder Legislativo del Estado de Jalisco solicita se anule la petición que hace el Instituto de Transparencia e Información Pública del Estado de Jalisco al Secretario General de Gobierno sobre la publicación del informe sobre la aplicación de los recursos asignados a cinco partidas del Presupuesto de Egresos del Poder Legislativo para 2008. La cual fue resuelta</w:t>
      </w:r>
      <w:r>
        <w:rPr>
          <w:spacing w:val="-4"/>
        </w:rPr>
        <w:t> </w:t>
      </w:r>
      <w:r>
        <w:rPr/>
        <w:t>a</w:t>
      </w:r>
      <w:r>
        <w:rPr>
          <w:spacing w:val="-6"/>
        </w:rPr>
        <w:t> </w:t>
      </w:r>
      <w:r>
        <w:rPr/>
        <w:t>favor</w:t>
      </w:r>
      <w:r>
        <w:rPr>
          <w:spacing w:val="-5"/>
        </w:rPr>
        <w:t> </w:t>
      </w:r>
      <w:r>
        <w:rPr/>
        <w:t>del</w:t>
      </w:r>
      <w:r>
        <w:rPr>
          <w:spacing w:val="-5"/>
        </w:rPr>
        <w:t> </w:t>
      </w:r>
      <w:r>
        <w:rPr/>
        <w:t>Instituto,</w:t>
      </w:r>
      <w:r>
        <w:rPr>
          <w:spacing w:val="-4"/>
        </w:rPr>
        <w:t> </w:t>
      </w:r>
      <w:r>
        <w:rPr/>
        <w:t>ya</w:t>
      </w:r>
      <w:r>
        <w:rPr>
          <w:spacing w:val="-4"/>
        </w:rPr>
        <w:t> </w:t>
      </w:r>
      <w:r>
        <w:rPr/>
        <w:t>que</w:t>
      </w:r>
      <w:r>
        <w:rPr>
          <w:spacing w:val="-4"/>
        </w:rPr>
        <w:t> </w:t>
      </w:r>
      <w:r>
        <w:rPr/>
        <w:t>la</w:t>
      </w:r>
      <w:r>
        <w:rPr>
          <w:spacing w:val="-4"/>
        </w:rPr>
        <w:t> </w:t>
      </w:r>
      <w:r>
        <w:rPr/>
        <w:t>negativa</w:t>
      </w:r>
      <w:r>
        <w:rPr>
          <w:spacing w:val="-4"/>
        </w:rPr>
        <w:t> </w:t>
      </w:r>
      <w:r>
        <w:rPr/>
        <w:t>por</w:t>
      </w:r>
      <w:r>
        <w:rPr>
          <w:spacing w:val="-5"/>
        </w:rPr>
        <w:t> </w:t>
      </w:r>
      <w:r>
        <w:rPr/>
        <w:t>parte</w:t>
      </w:r>
      <w:r>
        <w:rPr>
          <w:spacing w:val="-4"/>
        </w:rPr>
        <w:t> </w:t>
      </w:r>
      <w:r>
        <w:rPr/>
        <w:t>del</w:t>
      </w:r>
      <w:r>
        <w:rPr>
          <w:spacing w:val="-5"/>
        </w:rPr>
        <w:t> </w:t>
      </w:r>
      <w:r>
        <w:rPr/>
        <w:t>Secretario</w:t>
      </w:r>
      <w:r>
        <w:rPr>
          <w:spacing w:val="-4"/>
        </w:rPr>
        <w:t> </w:t>
      </w:r>
      <w:r>
        <w:rPr/>
        <w:t>General</w:t>
      </w:r>
      <w:r>
        <w:rPr>
          <w:spacing w:val="-5"/>
        </w:rPr>
        <w:t> </w:t>
      </w:r>
      <w:r>
        <w:rPr/>
        <w:t>de Gobierno de publicar dicha información fue algo inconstitucional, motivo por el cual tuvo que publicarse dicha información (SCJN, Controversia</w:t>
      </w:r>
      <w:r>
        <w:rPr>
          <w:spacing w:val="-27"/>
        </w:rPr>
        <w:t> </w:t>
      </w:r>
      <w:r>
        <w:rPr/>
        <w:t>23/2009).</w:t>
      </w:r>
    </w:p>
    <w:p>
      <w:pPr>
        <w:pStyle w:val="BodyText"/>
        <w:rPr>
          <w:sz w:val="20"/>
        </w:rPr>
      </w:pPr>
    </w:p>
    <w:p>
      <w:pPr>
        <w:pStyle w:val="BodyText"/>
        <w:rPr>
          <w:sz w:val="20"/>
        </w:rPr>
      </w:pPr>
    </w:p>
    <w:p>
      <w:pPr>
        <w:pStyle w:val="BodyText"/>
        <w:spacing w:before="4"/>
        <w:rPr>
          <w:sz w:val="20"/>
        </w:rPr>
      </w:pPr>
      <w:r>
        <w:rPr/>
        <w:pict>
          <v:line style="position:absolute;mso-position-horizontal-relative:page;mso-position-vertical-relative:paragraph;z-index:3256;mso-wrap-distance-left:0;mso-wrap-distance-right:0" from="85.103996pt,14.071873pt" to="229.123996pt,14.071873pt" stroked="true" strokeweight=".71997pt" strokecolor="#000000">
            <w10:wrap type="topAndBottom"/>
          </v:line>
        </w:pict>
      </w:r>
    </w:p>
    <w:p>
      <w:pPr>
        <w:spacing w:before="66"/>
        <w:ind w:left="122" w:right="0" w:firstLine="0"/>
        <w:jc w:val="left"/>
        <w:rPr>
          <w:sz w:val="16"/>
        </w:rPr>
      </w:pPr>
      <w:r>
        <w:rPr>
          <w:position w:val="6"/>
          <w:sz w:val="10"/>
        </w:rPr>
        <w:t>22 </w:t>
      </w:r>
      <w:r>
        <w:rPr>
          <w:sz w:val="16"/>
        </w:rPr>
        <w:t>Página web de la Suprema Corte de Justicia de la Nacional. Recuperado de </w:t>
      </w:r>
      <w:hyperlink r:id="rId48">
        <w:r>
          <w:rPr>
            <w:color w:val="0462C1"/>
            <w:sz w:val="16"/>
            <w:u w:val="single" w:color="0462C1"/>
          </w:rPr>
          <w:t>https://www.scjn.gob.mx/</w:t>
        </w:r>
      </w:hyperlink>
    </w:p>
    <w:p>
      <w:pPr>
        <w:spacing w:after="0"/>
        <w:jc w:val="left"/>
        <w:rPr>
          <w:sz w:val="16"/>
        </w:rPr>
        <w:sectPr>
          <w:pgSz w:w="12240" w:h="15840"/>
          <w:pgMar w:header="0" w:footer="1035" w:top="1360" w:bottom="1220" w:left="1580" w:right="1600"/>
        </w:sectPr>
      </w:pPr>
    </w:p>
    <w:p>
      <w:pPr>
        <w:pStyle w:val="BodyText"/>
        <w:rPr>
          <w:sz w:val="20"/>
        </w:rPr>
      </w:pPr>
    </w:p>
    <w:p>
      <w:pPr>
        <w:pStyle w:val="BodyText"/>
        <w:spacing w:before="7"/>
        <w:rPr>
          <w:sz w:val="16"/>
        </w:rPr>
      </w:pPr>
    </w:p>
    <w:p>
      <w:pPr>
        <w:pStyle w:val="BodyText"/>
        <w:spacing w:line="360" w:lineRule="auto" w:before="69"/>
        <w:ind w:left="102" w:right="98"/>
        <w:jc w:val="both"/>
      </w:pPr>
      <w:r>
        <w:rPr/>
        <w:t>Asimismo, el amparo 2137/93 en el que se demanda al Presidente del Tribunal Superior de Justicia del Distrito Federal por rendir un informe autoritario y poco preciso, argumentando el derecho a la información de los ciudadanos. En el que la SCJN determina no procedente porque la reglamentación exige que el presidente rinda informa al Tribunal Pleno, no al público en general. Pero este hecho sirvió de base para la revisión del art. 6 constitucional en el que se determinó que el acceso a la información es una garantía individual (SCJN, Amparo 213/93).</w:t>
      </w:r>
    </w:p>
    <w:p>
      <w:pPr>
        <w:pStyle w:val="BodyText"/>
      </w:pPr>
    </w:p>
    <w:p>
      <w:pPr>
        <w:pStyle w:val="BodyText"/>
      </w:pPr>
    </w:p>
    <w:p>
      <w:pPr>
        <w:pStyle w:val="BodyText"/>
        <w:spacing w:line="360" w:lineRule="auto" w:before="188"/>
        <w:ind w:left="102" w:right="104"/>
        <w:jc w:val="both"/>
      </w:pPr>
      <w:r>
        <w:rPr/>
        <w:t>Es importante señalar que la SCJN reconoce las limitaciones del acceso a la información y la transparencia cuando considera que aun cuando el art. 6 constitucional señala que el Estado debe garantizar el acceso a la información, no toda debe ser pública.</w:t>
      </w:r>
    </w:p>
    <w:p>
      <w:pPr>
        <w:pStyle w:val="BodyText"/>
      </w:pPr>
    </w:p>
    <w:p>
      <w:pPr>
        <w:pStyle w:val="BodyText"/>
      </w:pPr>
    </w:p>
    <w:p>
      <w:pPr>
        <w:spacing w:line="240" w:lineRule="auto" w:before="188"/>
        <w:ind w:left="668" w:right="710" w:firstLine="0"/>
        <w:jc w:val="both"/>
        <w:rPr>
          <w:sz w:val="18"/>
        </w:rPr>
      </w:pPr>
      <w:r>
        <w:rPr>
          <w:sz w:val="18"/>
        </w:rPr>
        <w:t>“El derecho a la información consagrado en la última parte del artículo 6o. de la Constitución Federal no es absoluto, sino que, como toda garantía, se halla sujeto a limitaciones o excepciones que se sustentan, fundamentalmente, en la protección de la seguridad nacional y en el respeto tanto a los intereses de la sociedad como a los derechos de los gobernados, limitaciones que, incluso, han dado origen a la figura jurídica del secreto de información que se conoce en la doctrina como "reserva de información" o "secreto burocrático” (Amparo 3137/98).</w:t>
      </w:r>
    </w:p>
    <w:p>
      <w:pPr>
        <w:pStyle w:val="BodyText"/>
        <w:rPr>
          <w:sz w:val="18"/>
        </w:rPr>
      </w:pPr>
    </w:p>
    <w:p>
      <w:pPr>
        <w:pStyle w:val="BodyText"/>
        <w:rPr>
          <w:sz w:val="18"/>
        </w:rPr>
      </w:pPr>
    </w:p>
    <w:p>
      <w:pPr>
        <w:pStyle w:val="BodyText"/>
        <w:rPr>
          <w:sz w:val="18"/>
        </w:rPr>
      </w:pPr>
    </w:p>
    <w:p>
      <w:pPr>
        <w:pStyle w:val="BodyText"/>
        <w:spacing w:line="360" w:lineRule="auto" w:before="114"/>
        <w:ind w:left="102" w:right="103"/>
        <w:jc w:val="both"/>
      </w:pPr>
      <w:r>
        <w:rPr/>
        <w:t>Asimismo, que el acceso a la información plasmado en el art. 6 de la CPEUM tiene límites,</w:t>
      </w:r>
      <w:r>
        <w:rPr>
          <w:spacing w:val="-16"/>
        </w:rPr>
        <w:t> </w:t>
      </w:r>
      <w:r>
        <w:rPr/>
        <w:t>ya</w:t>
      </w:r>
      <w:r>
        <w:rPr>
          <w:spacing w:val="-16"/>
        </w:rPr>
        <w:t> </w:t>
      </w:r>
      <w:r>
        <w:rPr/>
        <w:t>que</w:t>
      </w:r>
      <w:r>
        <w:rPr>
          <w:spacing w:val="-16"/>
        </w:rPr>
        <w:t> </w:t>
      </w:r>
      <w:r>
        <w:rPr/>
        <w:t>no</w:t>
      </w:r>
      <w:r>
        <w:rPr>
          <w:spacing w:val="-16"/>
        </w:rPr>
        <w:t> </w:t>
      </w:r>
      <w:r>
        <w:rPr/>
        <w:t>puede</w:t>
      </w:r>
      <w:r>
        <w:rPr>
          <w:spacing w:val="-16"/>
        </w:rPr>
        <w:t> </w:t>
      </w:r>
      <w:r>
        <w:rPr/>
        <w:t>contravenir</w:t>
      </w:r>
      <w:r>
        <w:rPr>
          <w:spacing w:val="-18"/>
        </w:rPr>
        <w:t> </w:t>
      </w:r>
      <w:r>
        <w:rPr/>
        <w:t>lo</w:t>
      </w:r>
      <w:r>
        <w:rPr>
          <w:spacing w:val="-16"/>
        </w:rPr>
        <w:t> </w:t>
      </w:r>
      <w:r>
        <w:rPr/>
        <w:t>plasmado</w:t>
      </w:r>
      <w:r>
        <w:rPr>
          <w:spacing w:val="-16"/>
        </w:rPr>
        <w:t> </w:t>
      </w:r>
      <w:r>
        <w:rPr/>
        <w:t>en</w:t>
      </w:r>
      <w:r>
        <w:rPr>
          <w:spacing w:val="-16"/>
        </w:rPr>
        <w:t> </w:t>
      </w:r>
      <w:r>
        <w:rPr/>
        <w:t>los</w:t>
      </w:r>
      <w:r>
        <w:rPr>
          <w:spacing w:val="-16"/>
        </w:rPr>
        <w:t> </w:t>
      </w:r>
      <w:r>
        <w:rPr/>
        <w:t>arts.</w:t>
      </w:r>
      <w:r>
        <w:rPr>
          <w:spacing w:val="-16"/>
        </w:rPr>
        <w:t> </w:t>
      </w:r>
      <w:r>
        <w:rPr/>
        <w:t>7</w:t>
      </w:r>
      <w:r>
        <w:rPr>
          <w:spacing w:val="-16"/>
        </w:rPr>
        <w:t> </w:t>
      </w:r>
      <w:r>
        <w:rPr/>
        <w:t>y</w:t>
      </w:r>
      <w:r>
        <w:rPr>
          <w:spacing w:val="-19"/>
        </w:rPr>
        <w:t> </w:t>
      </w:r>
      <w:r>
        <w:rPr/>
        <w:t>24</w:t>
      </w:r>
      <w:r>
        <w:rPr>
          <w:spacing w:val="-16"/>
        </w:rPr>
        <w:t> </w:t>
      </w:r>
      <w:r>
        <w:rPr/>
        <w:t>constitucionales.</w:t>
      </w:r>
    </w:p>
    <w:p>
      <w:pPr>
        <w:pStyle w:val="BodyText"/>
      </w:pPr>
    </w:p>
    <w:p>
      <w:pPr>
        <w:pStyle w:val="BodyText"/>
      </w:pPr>
    </w:p>
    <w:p>
      <w:pPr>
        <w:spacing w:line="240" w:lineRule="auto" w:before="188"/>
        <w:ind w:left="668" w:right="712" w:firstLine="0"/>
        <w:jc w:val="both"/>
        <w:rPr>
          <w:sz w:val="18"/>
        </w:rPr>
      </w:pPr>
      <w:r>
        <w:rPr>
          <w:sz w:val="18"/>
        </w:rPr>
        <w:t>“El</w:t>
      </w:r>
      <w:r>
        <w:rPr>
          <w:spacing w:val="-4"/>
          <w:sz w:val="18"/>
        </w:rPr>
        <w:t> </w:t>
      </w:r>
      <w:r>
        <w:rPr>
          <w:sz w:val="18"/>
        </w:rPr>
        <w:t>derecho</w:t>
      </w:r>
      <w:r>
        <w:rPr>
          <w:spacing w:val="-6"/>
          <w:sz w:val="18"/>
        </w:rPr>
        <w:t> </w:t>
      </w:r>
      <w:r>
        <w:rPr>
          <w:sz w:val="18"/>
        </w:rPr>
        <w:t>a</w:t>
      </w:r>
      <w:r>
        <w:rPr>
          <w:spacing w:val="-4"/>
          <w:sz w:val="18"/>
        </w:rPr>
        <w:t> </w:t>
      </w:r>
      <w:r>
        <w:rPr>
          <w:sz w:val="18"/>
        </w:rPr>
        <w:t>la</w:t>
      </w:r>
      <w:r>
        <w:rPr>
          <w:spacing w:val="-6"/>
          <w:sz w:val="18"/>
        </w:rPr>
        <w:t> </w:t>
      </w:r>
      <w:r>
        <w:rPr>
          <w:sz w:val="18"/>
        </w:rPr>
        <w:t>información</w:t>
      </w:r>
      <w:r>
        <w:rPr>
          <w:spacing w:val="-4"/>
          <w:sz w:val="18"/>
        </w:rPr>
        <w:t> </w:t>
      </w:r>
      <w:r>
        <w:rPr>
          <w:sz w:val="18"/>
        </w:rPr>
        <w:t>tiene</w:t>
      </w:r>
      <w:r>
        <w:rPr>
          <w:spacing w:val="-6"/>
          <w:sz w:val="18"/>
        </w:rPr>
        <w:t> </w:t>
      </w:r>
      <w:r>
        <w:rPr>
          <w:sz w:val="18"/>
        </w:rPr>
        <w:t>como</w:t>
      </w:r>
      <w:r>
        <w:rPr>
          <w:spacing w:val="-6"/>
          <w:sz w:val="18"/>
        </w:rPr>
        <w:t> </w:t>
      </w:r>
      <w:r>
        <w:rPr>
          <w:sz w:val="18"/>
        </w:rPr>
        <w:t>límites</w:t>
      </w:r>
      <w:r>
        <w:rPr>
          <w:spacing w:val="-6"/>
          <w:sz w:val="18"/>
        </w:rPr>
        <w:t> </w:t>
      </w:r>
      <w:r>
        <w:rPr>
          <w:sz w:val="18"/>
        </w:rPr>
        <w:t>el</w:t>
      </w:r>
      <w:r>
        <w:rPr>
          <w:spacing w:val="-6"/>
          <w:sz w:val="18"/>
        </w:rPr>
        <w:t> </w:t>
      </w:r>
      <w:r>
        <w:rPr>
          <w:sz w:val="18"/>
        </w:rPr>
        <w:t>decoro,</w:t>
      </w:r>
      <w:r>
        <w:rPr>
          <w:spacing w:val="-6"/>
          <w:sz w:val="18"/>
        </w:rPr>
        <w:t> </w:t>
      </w:r>
      <w:r>
        <w:rPr>
          <w:sz w:val="18"/>
        </w:rPr>
        <w:t>el</w:t>
      </w:r>
      <w:r>
        <w:rPr>
          <w:spacing w:val="-9"/>
          <w:sz w:val="18"/>
        </w:rPr>
        <w:t> </w:t>
      </w:r>
      <w:r>
        <w:rPr>
          <w:sz w:val="18"/>
        </w:rPr>
        <w:t>honor,</w:t>
      </w:r>
      <w:r>
        <w:rPr>
          <w:spacing w:val="-6"/>
          <w:sz w:val="18"/>
        </w:rPr>
        <w:t> </w:t>
      </w:r>
      <w:r>
        <w:rPr>
          <w:sz w:val="18"/>
        </w:rPr>
        <w:t>el</w:t>
      </w:r>
      <w:r>
        <w:rPr>
          <w:spacing w:val="-6"/>
          <w:sz w:val="18"/>
        </w:rPr>
        <w:t> </w:t>
      </w:r>
      <w:r>
        <w:rPr>
          <w:sz w:val="18"/>
        </w:rPr>
        <w:t>respeto,</w:t>
      </w:r>
      <w:r>
        <w:rPr>
          <w:spacing w:val="-7"/>
          <w:sz w:val="18"/>
        </w:rPr>
        <w:t> </w:t>
      </w:r>
      <w:r>
        <w:rPr>
          <w:sz w:val="18"/>
        </w:rPr>
        <w:t>la</w:t>
      </w:r>
      <w:r>
        <w:rPr>
          <w:spacing w:val="-6"/>
          <w:sz w:val="18"/>
        </w:rPr>
        <w:t> </w:t>
      </w:r>
      <w:r>
        <w:rPr>
          <w:sz w:val="18"/>
        </w:rPr>
        <w:t>circunspección, la honestidad, el recato, la honra y la estimación, pues el artículo 6o. otorga a toda persona el derecho de manifestar libremente sus ideas y prohíbe a los gobernantes que sometan dicha manifestación</w:t>
      </w:r>
      <w:r>
        <w:rPr>
          <w:spacing w:val="-7"/>
          <w:sz w:val="18"/>
        </w:rPr>
        <w:t> </w:t>
      </w:r>
      <w:r>
        <w:rPr>
          <w:sz w:val="18"/>
        </w:rPr>
        <w:t>a</w:t>
      </w:r>
      <w:r>
        <w:rPr>
          <w:spacing w:val="-7"/>
          <w:sz w:val="18"/>
        </w:rPr>
        <w:t> </w:t>
      </w:r>
      <w:r>
        <w:rPr>
          <w:sz w:val="18"/>
        </w:rPr>
        <w:t>inquisición</w:t>
      </w:r>
      <w:r>
        <w:rPr>
          <w:spacing w:val="-7"/>
          <w:sz w:val="18"/>
        </w:rPr>
        <w:t> </w:t>
      </w:r>
      <w:r>
        <w:rPr>
          <w:sz w:val="18"/>
        </w:rPr>
        <w:t>judicial</w:t>
      </w:r>
      <w:r>
        <w:rPr>
          <w:spacing w:val="-6"/>
          <w:sz w:val="18"/>
        </w:rPr>
        <w:t> </w:t>
      </w:r>
      <w:r>
        <w:rPr>
          <w:sz w:val="18"/>
        </w:rPr>
        <w:t>o</w:t>
      </w:r>
      <w:r>
        <w:rPr>
          <w:spacing w:val="-7"/>
          <w:sz w:val="18"/>
        </w:rPr>
        <w:t> </w:t>
      </w:r>
      <w:r>
        <w:rPr>
          <w:sz w:val="18"/>
        </w:rPr>
        <w:t>administrativa,</w:t>
      </w:r>
      <w:r>
        <w:rPr>
          <w:spacing w:val="-7"/>
          <w:sz w:val="18"/>
        </w:rPr>
        <w:t> </w:t>
      </w:r>
      <w:r>
        <w:rPr>
          <w:sz w:val="18"/>
        </w:rPr>
        <w:t>salvo</w:t>
      </w:r>
      <w:r>
        <w:rPr>
          <w:spacing w:val="-6"/>
          <w:sz w:val="18"/>
        </w:rPr>
        <w:t> </w:t>
      </w:r>
      <w:r>
        <w:rPr>
          <w:sz w:val="18"/>
        </w:rPr>
        <w:t>que</w:t>
      </w:r>
      <w:r>
        <w:rPr>
          <w:spacing w:val="-6"/>
          <w:sz w:val="18"/>
        </w:rPr>
        <w:t> </w:t>
      </w:r>
      <w:r>
        <w:rPr>
          <w:sz w:val="18"/>
        </w:rPr>
        <w:t>ataquen</w:t>
      </w:r>
      <w:r>
        <w:rPr>
          <w:spacing w:val="-6"/>
          <w:sz w:val="18"/>
        </w:rPr>
        <w:t> </w:t>
      </w:r>
      <w:r>
        <w:rPr>
          <w:sz w:val="18"/>
        </w:rPr>
        <w:t>la</w:t>
      </w:r>
      <w:r>
        <w:rPr>
          <w:spacing w:val="-7"/>
          <w:sz w:val="18"/>
        </w:rPr>
        <w:t> </w:t>
      </w:r>
      <w:r>
        <w:rPr>
          <w:sz w:val="18"/>
        </w:rPr>
        <w:t>moral,</w:t>
      </w:r>
      <w:r>
        <w:rPr>
          <w:spacing w:val="-6"/>
          <w:sz w:val="18"/>
        </w:rPr>
        <w:t> </w:t>
      </w:r>
      <w:r>
        <w:rPr>
          <w:sz w:val="18"/>
        </w:rPr>
        <w:t>los</w:t>
      </w:r>
      <w:r>
        <w:rPr>
          <w:spacing w:val="-7"/>
          <w:sz w:val="18"/>
        </w:rPr>
        <w:t> </w:t>
      </w:r>
      <w:r>
        <w:rPr>
          <w:sz w:val="18"/>
        </w:rPr>
        <w:t>derechos</w:t>
      </w:r>
      <w:r>
        <w:rPr>
          <w:spacing w:val="-5"/>
          <w:sz w:val="18"/>
        </w:rPr>
        <w:t> </w:t>
      </w:r>
      <w:r>
        <w:rPr>
          <w:sz w:val="18"/>
        </w:rPr>
        <w:t>de tercero, provoquen algún delito o perturben el orden público. Así, la manifestación de las ideas se encuentra consagrada como uno de los derechos públicos individuales fundamentales que reconoce</w:t>
      </w:r>
      <w:r>
        <w:rPr>
          <w:spacing w:val="-12"/>
          <w:sz w:val="18"/>
        </w:rPr>
        <w:t> </w:t>
      </w:r>
      <w:r>
        <w:rPr>
          <w:sz w:val="18"/>
        </w:rPr>
        <w:t>la</w:t>
      </w:r>
      <w:r>
        <w:rPr>
          <w:spacing w:val="-10"/>
          <w:sz w:val="18"/>
        </w:rPr>
        <w:t> </w:t>
      </w:r>
      <w:r>
        <w:rPr>
          <w:sz w:val="18"/>
        </w:rPr>
        <w:t>Constitución,</w:t>
      </w:r>
      <w:r>
        <w:rPr>
          <w:spacing w:val="-12"/>
          <w:sz w:val="18"/>
        </w:rPr>
        <w:t> </w:t>
      </w:r>
      <w:r>
        <w:rPr>
          <w:sz w:val="18"/>
        </w:rPr>
        <w:t>oponible</w:t>
      </w:r>
      <w:r>
        <w:rPr>
          <w:spacing w:val="-12"/>
          <w:sz w:val="18"/>
        </w:rPr>
        <w:t> </w:t>
      </w:r>
      <w:r>
        <w:rPr>
          <w:sz w:val="18"/>
        </w:rPr>
        <w:t>por</w:t>
      </w:r>
      <w:r>
        <w:rPr>
          <w:spacing w:val="-13"/>
          <w:sz w:val="18"/>
        </w:rPr>
        <w:t> </w:t>
      </w:r>
      <w:r>
        <w:rPr>
          <w:sz w:val="18"/>
        </w:rPr>
        <w:t>todo</w:t>
      </w:r>
      <w:r>
        <w:rPr>
          <w:spacing w:val="-12"/>
          <w:sz w:val="18"/>
        </w:rPr>
        <w:t> </w:t>
      </w:r>
      <w:r>
        <w:rPr>
          <w:sz w:val="18"/>
        </w:rPr>
        <w:t>individuo,</w:t>
      </w:r>
      <w:r>
        <w:rPr>
          <w:spacing w:val="-12"/>
          <w:sz w:val="18"/>
        </w:rPr>
        <w:t> </w:t>
      </w:r>
      <w:r>
        <w:rPr>
          <w:sz w:val="18"/>
        </w:rPr>
        <w:t>con</w:t>
      </w:r>
      <w:r>
        <w:rPr>
          <w:spacing w:val="-12"/>
          <w:sz w:val="18"/>
        </w:rPr>
        <w:t> </w:t>
      </w:r>
      <w:r>
        <w:rPr>
          <w:sz w:val="18"/>
        </w:rPr>
        <w:t>independencia</w:t>
      </w:r>
      <w:r>
        <w:rPr>
          <w:spacing w:val="-12"/>
          <w:sz w:val="18"/>
        </w:rPr>
        <w:t> </w:t>
      </w:r>
      <w:r>
        <w:rPr>
          <w:sz w:val="18"/>
        </w:rPr>
        <w:t>de</w:t>
      </w:r>
      <w:r>
        <w:rPr>
          <w:spacing w:val="-12"/>
          <w:sz w:val="18"/>
        </w:rPr>
        <w:t> </w:t>
      </w:r>
      <w:r>
        <w:rPr>
          <w:sz w:val="18"/>
        </w:rPr>
        <w:t>su</w:t>
      </w:r>
      <w:r>
        <w:rPr>
          <w:spacing w:val="-12"/>
          <w:sz w:val="18"/>
        </w:rPr>
        <w:t> </w:t>
      </w:r>
      <w:r>
        <w:rPr>
          <w:sz w:val="18"/>
        </w:rPr>
        <w:t>labor</w:t>
      </w:r>
      <w:r>
        <w:rPr>
          <w:spacing w:val="-13"/>
          <w:sz w:val="18"/>
        </w:rPr>
        <w:t> </w:t>
      </w:r>
      <w:r>
        <w:rPr>
          <w:sz w:val="18"/>
        </w:rPr>
        <w:t>profesional, al Estado, y los artículos 7o. y 24 de la propia Carta Fundamental se refieren a aspectos concretos</w:t>
      </w:r>
      <w:r>
        <w:rPr>
          <w:spacing w:val="-7"/>
          <w:sz w:val="18"/>
        </w:rPr>
        <w:t> </w:t>
      </w:r>
      <w:r>
        <w:rPr>
          <w:sz w:val="18"/>
        </w:rPr>
        <w:t>del</w:t>
      </w:r>
      <w:r>
        <w:rPr>
          <w:spacing w:val="-7"/>
          <w:sz w:val="18"/>
        </w:rPr>
        <w:t> </w:t>
      </w:r>
      <w:r>
        <w:rPr>
          <w:sz w:val="18"/>
        </w:rPr>
        <w:t>ejercicio</w:t>
      </w:r>
      <w:r>
        <w:rPr>
          <w:spacing w:val="-5"/>
          <w:sz w:val="18"/>
        </w:rPr>
        <w:t> </w:t>
      </w:r>
      <w:r>
        <w:rPr>
          <w:sz w:val="18"/>
        </w:rPr>
        <w:t>del</w:t>
      </w:r>
      <w:r>
        <w:rPr>
          <w:spacing w:val="-7"/>
          <w:sz w:val="18"/>
        </w:rPr>
        <w:t> </w:t>
      </w:r>
      <w:r>
        <w:rPr>
          <w:sz w:val="18"/>
        </w:rPr>
        <w:t>derecho</w:t>
      </w:r>
      <w:r>
        <w:rPr>
          <w:spacing w:val="-7"/>
          <w:sz w:val="18"/>
        </w:rPr>
        <w:t> </w:t>
      </w:r>
      <w:r>
        <w:rPr>
          <w:sz w:val="18"/>
        </w:rPr>
        <w:t>a</w:t>
      </w:r>
      <w:r>
        <w:rPr>
          <w:spacing w:val="-4"/>
          <w:sz w:val="18"/>
        </w:rPr>
        <w:t> </w:t>
      </w:r>
      <w:r>
        <w:rPr>
          <w:sz w:val="18"/>
        </w:rPr>
        <w:t>manifestar</w:t>
      </w:r>
      <w:r>
        <w:rPr>
          <w:spacing w:val="-5"/>
          <w:sz w:val="18"/>
        </w:rPr>
        <w:t> </w:t>
      </w:r>
      <w:r>
        <w:rPr>
          <w:sz w:val="18"/>
        </w:rPr>
        <w:t>libremente</w:t>
      </w:r>
      <w:r>
        <w:rPr>
          <w:spacing w:val="-7"/>
          <w:sz w:val="18"/>
        </w:rPr>
        <w:t> </w:t>
      </w:r>
      <w:r>
        <w:rPr>
          <w:sz w:val="18"/>
        </w:rPr>
        <w:t>las</w:t>
      </w:r>
      <w:r>
        <w:rPr>
          <w:spacing w:val="-7"/>
          <w:sz w:val="18"/>
        </w:rPr>
        <w:t> </w:t>
      </w:r>
      <w:r>
        <w:rPr>
          <w:sz w:val="18"/>
        </w:rPr>
        <w:t>ideas”</w:t>
      </w:r>
      <w:r>
        <w:rPr>
          <w:spacing w:val="-8"/>
          <w:sz w:val="18"/>
        </w:rPr>
        <w:t> </w:t>
      </w:r>
      <w:r>
        <w:rPr>
          <w:sz w:val="18"/>
        </w:rPr>
        <w:t>(Amparo</w:t>
      </w:r>
      <w:r>
        <w:rPr>
          <w:spacing w:val="-7"/>
          <w:sz w:val="18"/>
        </w:rPr>
        <w:t> </w:t>
      </w:r>
      <w:r>
        <w:rPr>
          <w:sz w:val="18"/>
        </w:rPr>
        <w:t>8633/99,</w:t>
      </w:r>
      <w:r>
        <w:rPr>
          <w:spacing w:val="-7"/>
          <w:sz w:val="18"/>
        </w:rPr>
        <w:t> </w:t>
      </w:r>
      <w:r>
        <w:rPr>
          <w:sz w:val="18"/>
        </w:rPr>
        <w:t>Amparo directo</w:t>
      </w:r>
      <w:r>
        <w:rPr>
          <w:spacing w:val="-9"/>
          <w:sz w:val="18"/>
        </w:rPr>
        <w:t> </w:t>
      </w:r>
      <w:r>
        <w:rPr>
          <w:sz w:val="18"/>
        </w:rPr>
        <w:t>14424/2002).</w:t>
      </w:r>
    </w:p>
    <w:p>
      <w:pPr>
        <w:spacing w:after="0" w:line="240" w:lineRule="auto"/>
        <w:jc w:val="both"/>
        <w:rPr>
          <w:sz w:val="18"/>
        </w:rPr>
        <w:sectPr>
          <w:pgSz w:w="12240" w:h="15840"/>
          <w:pgMar w:header="0" w:footer="1035" w:top="1500" w:bottom="1220" w:left="1600" w:right="1600"/>
        </w:sectPr>
      </w:pPr>
    </w:p>
    <w:p>
      <w:pPr>
        <w:pStyle w:val="BodyText"/>
        <w:spacing w:line="360" w:lineRule="auto" w:before="54"/>
        <w:ind w:left="102" w:right="114"/>
        <w:jc w:val="both"/>
      </w:pPr>
      <w:r>
        <w:rPr/>
        <w:t>De igual manera se suprimió el secreto fiscal, el secreto fiduciario y el secreto bancario del Instituto Federal Electoral (IFE) bajo la petición del Partido revolucionario Institucional en mayo de 2002, bajo el Recurso de apelación SUP- RAP-050/2001. Asimismo, se han realizado otras aportaciones en materia político electoral a través de los juicios para la protección de los derechos político- electorales de los ciudadanos (SUP-JDC-117/2001; SUP-JDC-127/2001 y SUP- JDC-128/2001).</w:t>
      </w:r>
    </w:p>
    <w:p>
      <w:pPr>
        <w:pStyle w:val="BodyText"/>
      </w:pPr>
    </w:p>
    <w:p>
      <w:pPr>
        <w:pStyle w:val="BodyText"/>
      </w:pPr>
    </w:p>
    <w:p>
      <w:pPr>
        <w:pStyle w:val="BodyText"/>
        <w:spacing w:line="360" w:lineRule="auto" w:before="188"/>
        <w:ind w:left="102" w:right="119"/>
        <w:jc w:val="both"/>
      </w:pPr>
      <w:r>
        <w:rPr/>
        <w:t>Conocer este tipo de resoluciones es importante ya que ante tantas lagunas y deficiencias</w:t>
      </w:r>
      <w:r>
        <w:rPr>
          <w:spacing w:val="-9"/>
        </w:rPr>
        <w:t> </w:t>
      </w:r>
      <w:r>
        <w:rPr/>
        <w:t>que</w:t>
      </w:r>
      <w:r>
        <w:rPr>
          <w:spacing w:val="-8"/>
        </w:rPr>
        <w:t> </w:t>
      </w:r>
      <w:r>
        <w:rPr/>
        <w:t>presentan</w:t>
      </w:r>
      <w:r>
        <w:rPr>
          <w:spacing w:val="-8"/>
        </w:rPr>
        <w:t> </w:t>
      </w:r>
      <w:r>
        <w:rPr/>
        <w:t>las</w:t>
      </w:r>
      <w:r>
        <w:rPr>
          <w:spacing w:val="-9"/>
        </w:rPr>
        <w:t> </w:t>
      </w:r>
      <w:r>
        <w:rPr/>
        <w:t>leyes</w:t>
      </w:r>
      <w:r>
        <w:rPr>
          <w:spacing w:val="-9"/>
        </w:rPr>
        <w:t> </w:t>
      </w:r>
      <w:r>
        <w:rPr/>
        <w:t>estatales,</w:t>
      </w:r>
      <w:r>
        <w:rPr>
          <w:spacing w:val="-8"/>
        </w:rPr>
        <w:t> </w:t>
      </w:r>
      <w:r>
        <w:rPr/>
        <w:t>corresponde</w:t>
      </w:r>
      <w:r>
        <w:rPr>
          <w:spacing w:val="-11"/>
        </w:rPr>
        <w:t> </w:t>
      </w:r>
      <w:r>
        <w:rPr/>
        <w:t>a</w:t>
      </w:r>
      <w:r>
        <w:rPr>
          <w:spacing w:val="-8"/>
        </w:rPr>
        <w:t> </w:t>
      </w:r>
      <w:r>
        <w:rPr/>
        <w:t>la</w:t>
      </w:r>
      <w:r>
        <w:rPr>
          <w:spacing w:val="-9"/>
        </w:rPr>
        <w:t> </w:t>
      </w:r>
      <w:r>
        <w:rPr/>
        <w:t>SCJN</w:t>
      </w:r>
      <w:r>
        <w:rPr>
          <w:spacing w:val="-10"/>
        </w:rPr>
        <w:t> </w:t>
      </w:r>
      <w:r>
        <w:rPr/>
        <w:t>interpretar</w:t>
      </w:r>
      <w:r>
        <w:rPr>
          <w:spacing w:val="-10"/>
        </w:rPr>
        <w:t> </w:t>
      </w:r>
      <w:r>
        <w:rPr/>
        <w:t>la aplicación de la normativa</w:t>
      </w:r>
      <w:r>
        <w:rPr>
          <w:spacing w:val="-16"/>
        </w:rPr>
        <w:t> </w:t>
      </w:r>
      <w:r>
        <w:rPr/>
        <w:t>correspondiente.</w:t>
      </w:r>
    </w:p>
    <w:p>
      <w:pPr>
        <w:pStyle w:val="BodyText"/>
      </w:pPr>
    </w:p>
    <w:p>
      <w:pPr>
        <w:pStyle w:val="BodyText"/>
      </w:pPr>
    </w:p>
    <w:p>
      <w:pPr>
        <w:pStyle w:val="BodyText"/>
        <w:spacing w:line="360" w:lineRule="auto" w:before="185"/>
        <w:ind w:left="102" w:right="116"/>
        <w:jc w:val="both"/>
      </w:pPr>
      <w:r>
        <w:rPr/>
        <w:t>En el Estado de México la transparencia se inició dos años después con las acciones emprendidas por el entonces gobernador Arturo Montiel Rojas, </w:t>
      </w:r>
      <w:r>
        <w:rPr>
          <w:spacing w:val="-2"/>
        </w:rPr>
        <w:t>que </w:t>
      </w:r>
      <w:r>
        <w:rPr/>
        <w:t>asumió la política federal de transparencia hasta el 30 de abril de 2004, cuando publicó la Ley de Transparencia y Acceso a la Información Pública del Estado de México y Municipios y pese a que también ha sido reformada en varias ocasiones, 28</w:t>
      </w:r>
      <w:r>
        <w:rPr>
          <w:spacing w:val="-11"/>
        </w:rPr>
        <w:t> </w:t>
      </w:r>
      <w:r>
        <w:rPr/>
        <w:t>de</w:t>
      </w:r>
      <w:r>
        <w:rPr>
          <w:spacing w:val="-13"/>
        </w:rPr>
        <w:t> </w:t>
      </w:r>
      <w:r>
        <w:rPr/>
        <w:t>diciembre</w:t>
      </w:r>
      <w:r>
        <w:rPr>
          <w:spacing w:val="-11"/>
        </w:rPr>
        <w:t> </w:t>
      </w:r>
      <w:r>
        <w:rPr/>
        <w:t>de</w:t>
      </w:r>
      <w:r>
        <w:rPr>
          <w:spacing w:val="-13"/>
        </w:rPr>
        <w:t> </w:t>
      </w:r>
      <w:r>
        <w:rPr/>
        <w:t>2004,</w:t>
      </w:r>
      <w:r>
        <w:rPr>
          <w:spacing w:val="-13"/>
        </w:rPr>
        <w:t> </w:t>
      </w:r>
      <w:r>
        <w:rPr/>
        <w:t>29</w:t>
      </w:r>
      <w:r>
        <w:rPr>
          <w:spacing w:val="-13"/>
        </w:rPr>
        <w:t> </w:t>
      </w:r>
      <w:r>
        <w:rPr/>
        <w:t>de</w:t>
      </w:r>
      <w:r>
        <w:rPr>
          <w:spacing w:val="-13"/>
        </w:rPr>
        <w:t> </w:t>
      </w:r>
      <w:r>
        <w:rPr/>
        <w:t>diciembre</w:t>
      </w:r>
      <w:r>
        <w:rPr>
          <w:spacing w:val="-14"/>
        </w:rPr>
        <w:t> </w:t>
      </w:r>
      <w:r>
        <w:rPr/>
        <w:t>de</w:t>
      </w:r>
      <w:r>
        <w:rPr>
          <w:spacing w:val="-13"/>
        </w:rPr>
        <w:t> </w:t>
      </w:r>
      <w:r>
        <w:rPr/>
        <w:t>2006,</w:t>
      </w:r>
      <w:r>
        <w:rPr>
          <w:spacing w:val="-13"/>
        </w:rPr>
        <w:t> </w:t>
      </w:r>
      <w:r>
        <w:rPr/>
        <w:t>1</w:t>
      </w:r>
      <w:r>
        <w:rPr>
          <w:spacing w:val="-13"/>
        </w:rPr>
        <w:t> </w:t>
      </w:r>
      <w:r>
        <w:rPr/>
        <w:t>de</w:t>
      </w:r>
      <w:r>
        <w:rPr>
          <w:spacing w:val="-13"/>
        </w:rPr>
        <w:t> </w:t>
      </w:r>
      <w:r>
        <w:rPr/>
        <w:t>febrero</w:t>
      </w:r>
      <w:r>
        <w:rPr>
          <w:spacing w:val="-13"/>
        </w:rPr>
        <w:t> </w:t>
      </w:r>
      <w:r>
        <w:rPr/>
        <w:t>de</w:t>
      </w:r>
      <w:r>
        <w:rPr>
          <w:spacing w:val="-15"/>
        </w:rPr>
        <w:t> </w:t>
      </w:r>
      <w:r>
        <w:rPr/>
        <w:t>2007,</w:t>
      </w:r>
      <w:r>
        <w:rPr>
          <w:spacing w:val="-11"/>
        </w:rPr>
        <w:t> </w:t>
      </w:r>
      <w:r>
        <w:rPr/>
        <w:t>24</w:t>
      </w:r>
      <w:r>
        <w:rPr>
          <w:spacing w:val="-13"/>
        </w:rPr>
        <w:t> </w:t>
      </w:r>
      <w:r>
        <w:rPr/>
        <w:t>de</w:t>
      </w:r>
      <w:r>
        <w:rPr>
          <w:spacing w:val="-11"/>
        </w:rPr>
        <w:t> </w:t>
      </w:r>
      <w:r>
        <w:rPr/>
        <w:t>julio</w:t>
      </w:r>
    </w:p>
    <w:p>
      <w:pPr>
        <w:pStyle w:val="BodyText"/>
        <w:spacing w:line="360" w:lineRule="auto" w:before="5"/>
        <w:ind w:left="102" w:right="119"/>
        <w:jc w:val="both"/>
      </w:pPr>
      <w:r>
        <w:rPr/>
        <w:t>de</w:t>
      </w:r>
      <w:r>
        <w:rPr>
          <w:spacing w:val="-11"/>
        </w:rPr>
        <w:t> </w:t>
      </w:r>
      <w:r>
        <w:rPr/>
        <w:t>2008,</w:t>
      </w:r>
      <w:r>
        <w:rPr>
          <w:spacing w:val="-13"/>
        </w:rPr>
        <w:t> </w:t>
      </w:r>
      <w:r>
        <w:rPr/>
        <w:t>2</w:t>
      </w:r>
      <w:r>
        <w:rPr>
          <w:spacing w:val="-11"/>
        </w:rPr>
        <w:t> </w:t>
      </w:r>
      <w:r>
        <w:rPr/>
        <w:t>de</w:t>
      </w:r>
      <w:r>
        <w:rPr>
          <w:spacing w:val="-11"/>
        </w:rPr>
        <w:t> </w:t>
      </w:r>
      <w:r>
        <w:rPr/>
        <w:t>agosto</w:t>
      </w:r>
      <w:r>
        <w:rPr>
          <w:spacing w:val="-11"/>
        </w:rPr>
        <w:t> </w:t>
      </w:r>
      <w:r>
        <w:rPr/>
        <w:t>de</w:t>
      </w:r>
      <w:r>
        <w:rPr>
          <w:spacing w:val="-11"/>
        </w:rPr>
        <w:t> </w:t>
      </w:r>
      <w:r>
        <w:rPr/>
        <w:t>2011,</w:t>
      </w:r>
      <w:r>
        <w:rPr>
          <w:spacing w:val="-11"/>
        </w:rPr>
        <w:t> </w:t>
      </w:r>
      <w:r>
        <w:rPr/>
        <w:t>31</w:t>
      </w:r>
      <w:r>
        <w:rPr>
          <w:spacing w:val="-11"/>
        </w:rPr>
        <w:t> </w:t>
      </w:r>
      <w:r>
        <w:rPr/>
        <w:t>de</w:t>
      </w:r>
      <w:r>
        <w:rPr>
          <w:spacing w:val="-11"/>
        </w:rPr>
        <w:t> </w:t>
      </w:r>
      <w:r>
        <w:rPr/>
        <w:t>agosto</w:t>
      </w:r>
      <w:r>
        <w:rPr>
          <w:spacing w:val="-11"/>
        </w:rPr>
        <w:t> </w:t>
      </w:r>
      <w:r>
        <w:rPr/>
        <w:t>de</w:t>
      </w:r>
      <w:r>
        <w:rPr>
          <w:spacing w:val="-11"/>
        </w:rPr>
        <w:t> </w:t>
      </w:r>
      <w:r>
        <w:rPr/>
        <w:t>2012</w:t>
      </w:r>
      <w:r>
        <w:rPr>
          <w:spacing w:val="-11"/>
        </w:rPr>
        <w:t> </w:t>
      </w:r>
      <w:r>
        <w:rPr/>
        <w:t>y</w:t>
      </w:r>
      <w:r>
        <w:rPr>
          <w:spacing w:val="-14"/>
        </w:rPr>
        <w:t> </w:t>
      </w:r>
      <w:r>
        <w:rPr/>
        <w:t>29</w:t>
      </w:r>
      <w:r>
        <w:rPr>
          <w:spacing w:val="-11"/>
        </w:rPr>
        <w:t> </w:t>
      </w:r>
      <w:r>
        <w:rPr/>
        <w:t>de</w:t>
      </w:r>
      <w:r>
        <w:rPr>
          <w:spacing w:val="-11"/>
        </w:rPr>
        <w:t> </w:t>
      </w:r>
      <w:r>
        <w:rPr/>
        <w:t>julio</w:t>
      </w:r>
      <w:r>
        <w:rPr>
          <w:spacing w:val="-11"/>
        </w:rPr>
        <w:t> </w:t>
      </w:r>
      <w:r>
        <w:rPr/>
        <w:t>de</w:t>
      </w:r>
      <w:r>
        <w:rPr>
          <w:spacing w:val="-13"/>
        </w:rPr>
        <w:t> </w:t>
      </w:r>
      <w:r>
        <w:rPr/>
        <w:t>2013,</w:t>
      </w:r>
      <w:r>
        <w:rPr>
          <w:spacing w:val="-11"/>
        </w:rPr>
        <w:t> </w:t>
      </w:r>
      <w:r>
        <w:rPr/>
        <w:t>presenta deficiencias similares a la ley federal en cuanto a la manera de institucionalizar la transparencia.</w:t>
      </w:r>
    </w:p>
    <w:p>
      <w:pPr>
        <w:pStyle w:val="BodyText"/>
      </w:pPr>
    </w:p>
    <w:p>
      <w:pPr>
        <w:pStyle w:val="BodyText"/>
      </w:pPr>
    </w:p>
    <w:p>
      <w:pPr>
        <w:pStyle w:val="BodyText"/>
        <w:spacing w:before="7"/>
        <w:rPr>
          <w:sz w:val="19"/>
        </w:rPr>
      </w:pPr>
    </w:p>
    <w:p>
      <w:pPr>
        <w:pStyle w:val="Heading1"/>
        <w:numPr>
          <w:ilvl w:val="3"/>
          <w:numId w:val="34"/>
        </w:numPr>
        <w:tabs>
          <w:tab w:pos="954" w:val="left" w:leader="none"/>
        </w:tabs>
        <w:spacing w:line="240" w:lineRule="auto" w:before="0" w:after="0"/>
        <w:ind w:left="954" w:right="0" w:hanging="852"/>
        <w:jc w:val="both"/>
      </w:pPr>
      <w:r>
        <w:rPr/>
        <w:t>Instituto Nacional de Acceso a la Información Pública</w:t>
      </w:r>
      <w:r>
        <w:rPr>
          <w:spacing w:val="-21"/>
        </w:rPr>
        <w:t> </w:t>
      </w:r>
      <w:r>
        <w:rPr/>
        <w:t>Gubernamental</w:t>
      </w:r>
    </w:p>
    <w:p>
      <w:pPr>
        <w:pStyle w:val="BodyText"/>
        <w:rPr>
          <w:b/>
        </w:rPr>
      </w:pPr>
    </w:p>
    <w:p>
      <w:pPr>
        <w:pStyle w:val="BodyText"/>
        <w:rPr>
          <w:b/>
        </w:rPr>
      </w:pPr>
    </w:p>
    <w:p>
      <w:pPr>
        <w:pStyle w:val="BodyText"/>
        <w:spacing w:line="360" w:lineRule="auto" w:before="159"/>
        <w:ind w:left="102" w:right="118"/>
        <w:jc w:val="both"/>
      </w:pPr>
      <w:r>
        <w:rPr/>
        <w:t>En México la institución responsable de la transparencia es el Instituto Nacional de Acceso a la Información Pública Gubernamental (INAI), creado en el año 2002 por el entonces presidente Vicente Fox para llevar a cabo los trabajos relativos a la transparencia. Dentro de su misión, visión y objetivos se encuentran los</w:t>
      </w:r>
      <w:r>
        <w:rPr>
          <w:spacing w:val="-34"/>
        </w:rPr>
        <w:t> </w:t>
      </w:r>
      <w:r>
        <w:rPr/>
        <w:t>siguientes:</w:t>
      </w:r>
    </w:p>
    <w:p>
      <w:pPr>
        <w:spacing w:after="0" w:line="360" w:lineRule="auto"/>
        <w:jc w:val="both"/>
        <w:sectPr>
          <w:pgSz w:w="12240" w:h="15840"/>
          <w:pgMar w:header="0" w:footer="1035" w:top="1360" w:bottom="1220" w:left="1600" w:right="1580"/>
        </w:sectPr>
      </w:pPr>
    </w:p>
    <w:p>
      <w:pPr>
        <w:pStyle w:val="BodyText"/>
        <w:rPr>
          <w:sz w:val="20"/>
        </w:rPr>
      </w:pPr>
    </w:p>
    <w:p>
      <w:pPr>
        <w:pStyle w:val="BodyText"/>
        <w:spacing w:before="9"/>
        <w:rPr>
          <w:sz w:val="22"/>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2"/>
        <w:gridCol w:w="7727"/>
      </w:tblGrid>
      <w:tr>
        <w:trPr>
          <w:trHeight w:val="247" w:hRule="exact"/>
        </w:trPr>
        <w:tc>
          <w:tcPr>
            <w:tcW w:w="8829" w:type="dxa"/>
            <w:gridSpan w:val="2"/>
            <w:shd w:val="clear" w:color="auto" w:fill="92D050"/>
          </w:tcPr>
          <w:p>
            <w:pPr>
              <w:pStyle w:val="TableParagraph"/>
              <w:spacing w:line="201" w:lineRule="exact"/>
              <w:ind w:left="2522" w:right="312"/>
              <w:jc w:val="left"/>
              <w:rPr>
                <w:b/>
                <w:sz w:val="18"/>
              </w:rPr>
            </w:pPr>
            <w:r>
              <w:rPr>
                <w:b/>
                <w:sz w:val="18"/>
              </w:rPr>
              <w:t>Tabla 2.2. Misión, visión y objetivos del INAI</w:t>
            </w:r>
          </w:p>
        </w:tc>
      </w:tr>
      <w:tr>
        <w:trPr>
          <w:trHeight w:val="962" w:hRule="exact"/>
        </w:trPr>
        <w:tc>
          <w:tcPr>
            <w:tcW w:w="1102" w:type="dxa"/>
            <w:shd w:val="clear" w:color="auto" w:fill="92D050"/>
          </w:tcPr>
          <w:p>
            <w:pPr>
              <w:pStyle w:val="TableParagraph"/>
              <w:spacing w:before="2"/>
              <w:jc w:val="left"/>
              <w:rPr>
                <w:sz w:val="20"/>
              </w:rPr>
            </w:pPr>
          </w:p>
          <w:p>
            <w:pPr>
              <w:pStyle w:val="TableParagraph"/>
              <w:ind w:left="103"/>
              <w:jc w:val="left"/>
              <w:rPr>
                <w:b/>
                <w:sz w:val="18"/>
              </w:rPr>
            </w:pPr>
            <w:r>
              <w:rPr>
                <w:b/>
                <w:sz w:val="18"/>
              </w:rPr>
              <w:t>Misión</w:t>
            </w:r>
          </w:p>
        </w:tc>
        <w:tc>
          <w:tcPr>
            <w:tcW w:w="7727" w:type="dxa"/>
          </w:tcPr>
          <w:p>
            <w:pPr>
              <w:pStyle w:val="TableParagraph"/>
              <w:spacing w:line="276" w:lineRule="auto"/>
              <w:ind w:left="103" w:right="107"/>
              <w:jc w:val="both"/>
              <w:rPr>
                <w:sz w:val="18"/>
              </w:rPr>
            </w:pPr>
            <w:r>
              <w:rPr>
                <w:sz w:val="18"/>
              </w:rPr>
              <w:t>Trabajamos para garantizar el derecho de los ciudadanos a la información pública gubernamental y a la privacidad de sus datos personales, así como para promover en la sociedad y en el gobierno la cultura del acceso a la información, la rendición de cuentas y el derecho a la privacidad.</w:t>
            </w:r>
          </w:p>
        </w:tc>
      </w:tr>
      <w:tr>
        <w:trPr>
          <w:trHeight w:val="1200" w:hRule="exact"/>
        </w:trPr>
        <w:tc>
          <w:tcPr>
            <w:tcW w:w="1102" w:type="dxa"/>
            <w:shd w:val="clear" w:color="auto" w:fill="92D050"/>
          </w:tcPr>
          <w:p>
            <w:pPr>
              <w:pStyle w:val="TableParagraph"/>
              <w:spacing w:before="2"/>
              <w:jc w:val="left"/>
              <w:rPr>
                <w:sz w:val="20"/>
              </w:rPr>
            </w:pPr>
          </w:p>
          <w:p>
            <w:pPr>
              <w:pStyle w:val="TableParagraph"/>
              <w:ind w:left="103"/>
              <w:jc w:val="left"/>
              <w:rPr>
                <w:b/>
                <w:sz w:val="18"/>
              </w:rPr>
            </w:pPr>
            <w:r>
              <w:rPr>
                <w:b/>
                <w:sz w:val="18"/>
              </w:rPr>
              <w:t>Visión</w:t>
            </w:r>
          </w:p>
        </w:tc>
        <w:tc>
          <w:tcPr>
            <w:tcW w:w="7727" w:type="dxa"/>
          </w:tcPr>
          <w:p>
            <w:pPr>
              <w:pStyle w:val="TableParagraph"/>
              <w:spacing w:line="276" w:lineRule="auto"/>
              <w:ind w:left="103" w:right="106"/>
              <w:jc w:val="both"/>
              <w:rPr>
                <w:sz w:val="18"/>
              </w:rPr>
            </w:pPr>
            <w:r>
              <w:rPr>
                <w:sz w:val="18"/>
              </w:rPr>
              <w:t>El INAI ha logrado que la administración pública federal cumpla y respete sus resoluciones y que exista un sistema homologado de archivos administrativos y de datos personales con los reglamentos, tecnología y métodos de gestión apropiados. Ha conseguido asimismo que el acceso a la información pública sea un derecho y una práctica generalizada y normal en el país. Es un líder nacional y mundial en el tema de acceso a la información.</w:t>
            </w:r>
          </w:p>
        </w:tc>
      </w:tr>
      <w:tr>
        <w:trPr>
          <w:trHeight w:val="2153" w:hRule="exact"/>
        </w:trPr>
        <w:tc>
          <w:tcPr>
            <w:tcW w:w="1102" w:type="dxa"/>
            <w:shd w:val="clear" w:color="auto" w:fill="92D050"/>
          </w:tcPr>
          <w:p>
            <w:pPr>
              <w:pStyle w:val="TableParagraph"/>
              <w:jc w:val="left"/>
              <w:rPr>
                <w:sz w:val="18"/>
              </w:rPr>
            </w:pPr>
          </w:p>
          <w:p>
            <w:pPr>
              <w:pStyle w:val="TableParagraph"/>
              <w:jc w:val="left"/>
              <w:rPr>
                <w:sz w:val="18"/>
              </w:rPr>
            </w:pPr>
          </w:p>
          <w:p>
            <w:pPr>
              <w:pStyle w:val="TableParagraph"/>
              <w:spacing w:before="8"/>
              <w:jc w:val="left"/>
              <w:rPr>
                <w:sz w:val="25"/>
              </w:rPr>
            </w:pPr>
          </w:p>
          <w:p>
            <w:pPr>
              <w:pStyle w:val="TableParagraph"/>
              <w:ind w:left="103"/>
              <w:jc w:val="left"/>
              <w:rPr>
                <w:b/>
                <w:sz w:val="18"/>
              </w:rPr>
            </w:pPr>
            <w:r>
              <w:rPr>
                <w:b/>
                <w:sz w:val="18"/>
              </w:rPr>
              <w:t>Objetivos</w:t>
            </w:r>
          </w:p>
        </w:tc>
        <w:tc>
          <w:tcPr>
            <w:tcW w:w="7727" w:type="dxa"/>
          </w:tcPr>
          <w:p>
            <w:pPr>
              <w:pStyle w:val="TableParagraph"/>
              <w:spacing w:line="276" w:lineRule="auto"/>
              <w:ind w:left="103" w:right="108"/>
              <w:jc w:val="both"/>
              <w:rPr>
                <w:sz w:val="18"/>
              </w:rPr>
            </w:pPr>
            <w:r>
              <w:rPr>
                <w:sz w:val="18"/>
              </w:rPr>
              <w:t>Facilitar</w:t>
            </w:r>
            <w:r>
              <w:rPr>
                <w:spacing w:val="-14"/>
                <w:sz w:val="18"/>
              </w:rPr>
              <w:t> </w:t>
            </w:r>
            <w:r>
              <w:rPr>
                <w:sz w:val="18"/>
              </w:rPr>
              <w:t>y</w:t>
            </w:r>
            <w:r>
              <w:rPr>
                <w:spacing w:val="-13"/>
                <w:sz w:val="18"/>
              </w:rPr>
              <w:t> </w:t>
            </w:r>
            <w:r>
              <w:rPr>
                <w:sz w:val="18"/>
              </w:rPr>
              <w:t>garantizar</w:t>
            </w:r>
            <w:r>
              <w:rPr>
                <w:spacing w:val="-12"/>
                <w:sz w:val="18"/>
              </w:rPr>
              <w:t> </w:t>
            </w:r>
            <w:r>
              <w:rPr>
                <w:sz w:val="18"/>
              </w:rPr>
              <w:t>el</w:t>
            </w:r>
            <w:r>
              <w:rPr>
                <w:spacing w:val="-13"/>
                <w:sz w:val="18"/>
              </w:rPr>
              <w:t> </w:t>
            </w:r>
            <w:r>
              <w:rPr>
                <w:sz w:val="18"/>
              </w:rPr>
              <w:t>acceso</w:t>
            </w:r>
            <w:r>
              <w:rPr>
                <w:spacing w:val="-14"/>
                <w:sz w:val="18"/>
              </w:rPr>
              <w:t> </w:t>
            </w:r>
            <w:r>
              <w:rPr>
                <w:sz w:val="18"/>
              </w:rPr>
              <w:t>de</w:t>
            </w:r>
            <w:r>
              <w:rPr>
                <w:spacing w:val="-11"/>
                <w:sz w:val="18"/>
              </w:rPr>
              <w:t> </w:t>
            </w:r>
            <w:r>
              <w:rPr>
                <w:sz w:val="18"/>
              </w:rPr>
              <w:t>las</w:t>
            </w:r>
            <w:r>
              <w:rPr>
                <w:spacing w:val="-11"/>
                <w:sz w:val="18"/>
              </w:rPr>
              <w:t> </w:t>
            </w:r>
            <w:r>
              <w:rPr>
                <w:sz w:val="18"/>
              </w:rPr>
              <w:t>personas</w:t>
            </w:r>
            <w:r>
              <w:rPr>
                <w:spacing w:val="-13"/>
                <w:sz w:val="18"/>
              </w:rPr>
              <w:t> </w:t>
            </w:r>
            <w:r>
              <w:rPr>
                <w:sz w:val="18"/>
              </w:rPr>
              <w:t>a</w:t>
            </w:r>
            <w:r>
              <w:rPr>
                <w:spacing w:val="-11"/>
                <w:sz w:val="18"/>
              </w:rPr>
              <w:t> </w:t>
            </w:r>
            <w:r>
              <w:rPr>
                <w:sz w:val="18"/>
              </w:rPr>
              <w:t>la</w:t>
            </w:r>
            <w:r>
              <w:rPr>
                <w:spacing w:val="-11"/>
                <w:sz w:val="18"/>
              </w:rPr>
              <w:t> </w:t>
            </w:r>
            <w:r>
              <w:rPr>
                <w:sz w:val="18"/>
              </w:rPr>
              <w:t>información</w:t>
            </w:r>
            <w:r>
              <w:rPr>
                <w:spacing w:val="-11"/>
                <w:sz w:val="18"/>
              </w:rPr>
              <w:t> </w:t>
            </w:r>
            <w:r>
              <w:rPr>
                <w:sz w:val="18"/>
              </w:rPr>
              <w:t>pública</w:t>
            </w:r>
            <w:r>
              <w:rPr>
                <w:spacing w:val="-11"/>
                <w:sz w:val="18"/>
              </w:rPr>
              <w:t> </w:t>
            </w:r>
            <w:r>
              <w:rPr>
                <w:sz w:val="18"/>
              </w:rPr>
              <w:t>y</w:t>
            </w:r>
            <w:r>
              <w:rPr>
                <w:spacing w:val="-13"/>
                <w:sz w:val="18"/>
              </w:rPr>
              <w:t> </w:t>
            </w:r>
            <w:r>
              <w:rPr>
                <w:sz w:val="18"/>
              </w:rPr>
              <w:t>el</w:t>
            </w:r>
            <w:r>
              <w:rPr>
                <w:spacing w:val="-13"/>
                <w:sz w:val="18"/>
              </w:rPr>
              <w:t> </w:t>
            </w:r>
            <w:r>
              <w:rPr>
                <w:sz w:val="18"/>
              </w:rPr>
              <w:t>acceso</w:t>
            </w:r>
            <w:r>
              <w:rPr>
                <w:spacing w:val="-11"/>
                <w:sz w:val="18"/>
              </w:rPr>
              <w:t> </w:t>
            </w:r>
            <w:r>
              <w:rPr>
                <w:sz w:val="18"/>
              </w:rPr>
              <w:t>y</w:t>
            </w:r>
            <w:r>
              <w:rPr>
                <w:spacing w:val="-13"/>
                <w:sz w:val="18"/>
              </w:rPr>
              <w:t> </w:t>
            </w:r>
            <w:r>
              <w:rPr>
                <w:sz w:val="18"/>
              </w:rPr>
              <w:t>protección de</w:t>
            </w:r>
            <w:r>
              <w:rPr>
                <w:spacing w:val="-3"/>
                <w:sz w:val="18"/>
              </w:rPr>
              <w:t> </w:t>
            </w:r>
            <w:r>
              <w:rPr>
                <w:sz w:val="18"/>
              </w:rPr>
              <w:t>los</w:t>
            </w:r>
            <w:r>
              <w:rPr>
                <w:spacing w:val="-2"/>
                <w:sz w:val="18"/>
              </w:rPr>
              <w:t> </w:t>
            </w:r>
            <w:r>
              <w:rPr>
                <w:sz w:val="18"/>
              </w:rPr>
              <w:t>datos</w:t>
            </w:r>
            <w:r>
              <w:rPr>
                <w:spacing w:val="-2"/>
                <w:sz w:val="18"/>
              </w:rPr>
              <w:t> </w:t>
            </w:r>
            <w:r>
              <w:rPr>
                <w:sz w:val="18"/>
              </w:rPr>
              <w:t>personales,</w:t>
            </w:r>
            <w:r>
              <w:rPr>
                <w:spacing w:val="-3"/>
                <w:sz w:val="18"/>
              </w:rPr>
              <w:t> </w:t>
            </w:r>
            <w:r>
              <w:rPr>
                <w:sz w:val="18"/>
              </w:rPr>
              <w:t>así</w:t>
            </w:r>
            <w:r>
              <w:rPr>
                <w:spacing w:val="-5"/>
                <w:sz w:val="18"/>
              </w:rPr>
              <w:t> </w:t>
            </w:r>
            <w:r>
              <w:rPr>
                <w:sz w:val="18"/>
              </w:rPr>
              <w:t>como</w:t>
            </w:r>
            <w:r>
              <w:rPr>
                <w:spacing w:val="-5"/>
                <w:sz w:val="18"/>
              </w:rPr>
              <w:t> </w:t>
            </w:r>
            <w:r>
              <w:rPr>
                <w:sz w:val="18"/>
              </w:rPr>
              <w:t>contribuir</w:t>
            </w:r>
            <w:r>
              <w:rPr>
                <w:spacing w:val="-3"/>
                <w:sz w:val="18"/>
              </w:rPr>
              <w:t> </w:t>
            </w:r>
            <w:r>
              <w:rPr>
                <w:sz w:val="18"/>
              </w:rPr>
              <w:t>a</w:t>
            </w:r>
            <w:r>
              <w:rPr>
                <w:spacing w:val="-5"/>
                <w:sz w:val="18"/>
              </w:rPr>
              <w:t> </w:t>
            </w:r>
            <w:r>
              <w:rPr>
                <w:sz w:val="18"/>
              </w:rPr>
              <w:t>la</w:t>
            </w:r>
            <w:r>
              <w:rPr>
                <w:spacing w:val="-3"/>
                <w:sz w:val="18"/>
              </w:rPr>
              <w:t> </w:t>
            </w:r>
            <w:r>
              <w:rPr>
                <w:sz w:val="18"/>
              </w:rPr>
              <w:t>organización</w:t>
            </w:r>
            <w:r>
              <w:rPr>
                <w:spacing w:val="-3"/>
                <w:sz w:val="18"/>
              </w:rPr>
              <w:t> </w:t>
            </w:r>
            <w:r>
              <w:rPr>
                <w:sz w:val="18"/>
              </w:rPr>
              <w:t>de</w:t>
            </w:r>
            <w:r>
              <w:rPr>
                <w:spacing w:val="-5"/>
                <w:sz w:val="18"/>
              </w:rPr>
              <w:t> </w:t>
            </w:r>
            <w:r>
              <w:rPr>
                <w:sz w:val="18"/>
              </w:rPr>
              <w:t>los</w:t>
            </w:r>
            <w:r>
              <w:rPr>
                <w:spacing w:val="-4"/>
                <w:sz w:val="18"/>
              </w:rPr>
              <w:t> </w:t>
            </w:r>
            <w:r>
              <w:rPr>
                <w:sz w:val="18"/>
              </w:rPr>
              <w:t>archivos</w:t>
            </w:r>
            <w:r>
              <w:rPr>
                <w:spacing w:val="-4"/>
                <w:sz w:val="18"/>
              </w:rPr>
              <w:t> </w:t>
            </w:r>
            <w:r>
              <w:rPr>
                <w:sz w:val="18"/>
              </w:rPr>
              <w:t>nacionales.</w:t>
            </w:r>
          </w:p>
          <w:p>
            <w:pPr>
              <w:pStyle w:val="TableParagraph"/>
              <w:spacing w:line="278" w:lineRule="auto"/>
              <w:ind w:left="103" w:right="106"/>
              <w:jc w:val="both"/>
              <w:rPr>
                <w:sz w:val="18"/>
              </w:rPr>
            </w:pPr>
            <w:r>
              <w:rPr>
                <w:sz w:val="18"/>
              </w:rPr>
              <w:t>Promover la cultura de la transparencia en la gestión pública y la rendición de cuentas del gobierno</w:t>
            </w:r>
            <w:r>
              <w:rPr>
                <w:spacing w:val="-4"/>
                <w:sz w:val="18"/>
              </w:rPr>
              <w:t> </w:t>
            </w:r>
            <w:r>
              <w:rPr>
                <w:sz w:val="18"/>
              </w:rPr>
              <w:t>a</w:t>
            </w:r>
            <w:r>
              <w:rPr>
                <w:spacing w:val="-6"/>
                <w:sz w:val="18"/>
              </w:rPr>
              <w:t> </w:t>
            </w:r>
            <w:r>
              <w:rPr>
                <w:sz w:val="18"/>
              </w:rPr>
              <w:t>la</w:t>
            </w:r>
            <w:r>
              <w:rPr>
                <w:spacing w:val="-6"/>
                <w:sz w:val="18"/>
              </w:rPr>
              <w:t> </w:t>
            </w:r>
            <w:r>
              <w:rPr>
                <w:sz w:val="18"/>
              </w:rPr>
              <w:t>sociedad,</w:t>
            </w:r>
            <w:r>
              <w:rPr>
                <w:spacing w:val="-4"/>
                <w:sz w:val="18"/>
              </w:rPr>
              <w:t> </w:t>
            </w:r>
            <w:r>
              <w:rPr>
                <w:sz w:val="18"/>
              </w:rPr>
              <w:t>así</w:t>
            </w:r>
            <w:r>
              <w:rPr>
                <w:spacing w:val="-7"/>
                <w:sz w:val="18"/>
              </w:rPr>
              <w:t> </w:t>
            </w:r>
            <w:r>
              <w:rPr>
                <w:sz w:val="18"/>
              </w:rPr>
              <w:t>como</w:t>
            </w:r>
            <w:r>
              <w:rPr>
                <w:spacing w:val="-4"/>
                <w:sz w:val="18"/>
              </w:rPr>
              <w:t> </w:t>
            </w:r>
            <w:r>
              <w:rPr>
                <w:sz w:val="18"/>
              </w:rPr>
              <w:t>el</w:t>
            </w:r>
            <w:r>
              <w:rPr>
                <w:spacing w:val="-6"/>
                <w:sz w:val="18"/>
              </w:rPr>
              <w:t> </w:t>
            </w:r>
            <w:r>
              <w:rPr>
                <w:sz w:val="18"/>
              </w:rPr>
              <w:t>ejercicio</w:t>
            </w:r>
            <w:r>
              <w:rPr>
                <w:spacing w:val="-6"/>
                <w:sz w:val="18"/>
              </w:rPr>
              <w:t> </w:t>
            </w:r>
            <w:r>
              <w:rPr>
                <w:sz w:val="18"/>
              </w:rPr>
              <w:t>de</w:t>
            </w:r>
            <w:r>
              <w:rPr>
                <w:spacing w:val="-4"/>
                <w:sz w:val="18"/>
              </w:rPr>
              <w:t> </w:t>
            </w:r>
            <w:r>
              <w:rPr>
                <w:sz w:val="18"/>
              </w:rPr>
              <w:t>los</w:t>
            </w:r>
            <w:r>
              <w:rPr>
                <w:spacing w:val="-3"/>
                <w:sz w:val="18"/>
              </w:rPr>
              <w:t> </w:t>
            </w:r>
            <w:r>
              <w:rPr>
                <w:sz w:val="18"/>
              </w:rPr>
              <w:t>derechos</w:t>
            </w:r>
            <w:r>
              <w:rPr>
                <w:spacing w:val="-3"/>
                <w:sz w:val="18"/>
              </w:rPr>
              <w:t> </w:t>
            </w:r>
            <w:r>
              <w:rPr>
                <w:sz w:val="18"/>
              </w:rPr>
              <w:t>de</w:t>
            </w:r>
            <w:r>
              <w:rPr>
                <w:spacing w:val="-4"/>
                <w:sz w:val="18"/>
              </w:rPr>
              <w:t> </w:t>
            </w:r>
            <w:r>
              <w:rPr>
                <w:sz w:val="18"/>
              </w:rPr>
              <w:t>los</w:t>
            </w:r>
            <w:r>
              <w:rPr>
                <w:spacing w:val="-6"/>
                <w:sz w:val="18"/>
              </w:rPr>
              <w:t> </w:t>
            </w:r>
            <w:r>
              <w:rPr>
                <w:sz w:val="18"/>
              </w:rPr>
              <w:t>gobernados</w:t>
            </w:r>
            <w:r>
              <w:rPr>
                <w:spacing w:val="-3"/>
                <w:sz w:val="18"/>
              </w:rPr>
              <w:t> </w:t>
            </w:r>
            <w:r>
              <w:rPr>
                <w:sz w:val="18"/>
              </w:rPr>
              <w:t>en</w:t>
            </w:r>
            <w:r>
              <w:rPr>
                <w:spacing w:val="-4"/>
                <w:sz w:val="18"/>
              </w:rPr>
              <w:t> </w:t>
            </w:r>
            <w:r>
              <w:rPr>
                <w:sz w:val="18"/>
              </w:rPr>
              <w:t>materia</w:t>
            </w:r>
            <w:r>
              <w:rPr>
                <w:spacing w:val="-4"/>
                <w:sz w:val="18"/>
              </w:rPr>
              <w:t> </w:t>
            </w:r>
            <w:r>
              <w:rPr>
                <w:sz w:val="18"/>
              </w:rPr>
              <w:t>de acceso a la información y protección de datos</w:t>
            </w:r>
            <w:r>
              <w:rPr>
                <w:spacing w:val="-25"/>
                <w:sz w:val="18"/>
              </w:rPr>
              <w:t> </w:t>
            </w:r>
            <w:r>
              <w:rPr>
                <w:sz w:val="18"/>
              </w:rPr>
              <w:t>personales.</w:t>
            </w:r>
          </w:p>
          <w:p>
            <w:pPr>
              <w:pStyle w:val="TableParagraph"/>
              <w:spacing w:line="276" w:lineRule="auto"/>
              <w:ind w:left="103" w:right="100"/>
              <w:jc w:val="both"/>
              <w:rPr>
                <w:sz w:val="18"/>
              </w:rPr>
            </w:pPr>
            <w:r>
              <w:rPr>
                <w:sz w:val="18"/>
              </w:rPr>
              <w:t>Contribuir</w:t>
            </w:r>
            <w:r>
              <w:rPr>
                <w:spacing w:val="-15"/>
                <w:sz w:val="18"/>
              </w:rPr>
              <w:t> </w:t>
            </w:r>
            <w:r>
              <w:rPr>
                <w:sz w:val="18"/>
              </w:rPr>
              <w:t>en</w:t>
            </w:r>
            <w:r>
              <w:rPr>
                <w:spacing w:val="-15"/>
                <w:sz w:val="18"/>
              </w:rPr>
              <w:t> </w:t>
            </w:r>
            <w:r>
              <w:rPr>
                <w:sz w:val="18"/>
              </w:rPr>
              <w:t>los</w:t>
            </w:r>
            <w:r>
              <w:rPr>
                <w:spacing w:val="-14"/>
                <w:sz w:val="18"/>
              </w:rPr>
              <w:t> </w:t>
            </w:r>
            <w:r>
              <w:rPr>
                <w:sz w:val="18"/>
              </w:rPr>
              <w:t>procesos</w:t>
            </w:r>
            <w:r>
              <w:rPr>
                <w:spacing w:val="-14"/>
                <w:sz w:val="18"/>
              </w:rPr>
              <w:t> </w:t>
            </w:r>
            <w:r>
              <w:rPr>
                <w:sz w:val="18"/>
              </w:rPr>
              <w:t>de</w:t>
            </w:r>
            <w:r>
              <w:rPr>
                <w:spacing w:val="-14"/>
                <w:sz w:val="18"/>
              </w:rPr>
              <w:t> </w:t>
            </w:r>
            <w:r>
              <w:rPr>
                <w:sz w:val="18"/>
              </w:rPr>
              <w:t>análisis,</w:t>
            </w:r>
            <w:r>
              <w:rPr>
                <w:spacing w:val="-12"/>
                <w:sz w:val="18"/>
              </w:rPr>
              <w:t> </w:t>
            </w:r>
            <w:r>
              <w:rPr>
                <w:sz w:val="18"/>
              </w:rPr>
              <w:t>deliberación,</w:t>
            </w:r>
            <w:r>
              <w:rPr>
                <w:spacing w:val="-15"/>
                <w:sz w:val="18"/>
              </w:rPr>
              <w:t> </w:t>
            </w:r>
            <w:r>
              <w:rPr>
                <w:sz w:val="18"/>
              </w:rPr>
              <w:t>diseño</w:t>
            </w:r>
            <w:r>
              <w:rPr>
                <w:spacing w:val="-14"/>
                <w:sz w:val="18"/>
              </w:rPr>
              <w:t> </w:t>
            </w:r>
            <w:r>
              <w:rPr>
                <w:sz w:val="18"/>
              </w:rPr>
              <w:t>y</w:t>
            </w:r>
            <w:r>
              <w:rPr>
                <w:spacing w:val="-14"/>
                <w:sz w:val="18"/>
              </w:rPr>
              <w:t> </w:t>
            </w:r>
            <w:r>
              <w:rPr>
                <w:sz w:val="18"/>
              </w:rPr>
              <w:t>expedición</w:t>
            </w:r>
            <w:r>
              <w:rPr>
                <w:spacing w:val="-14"/>
                <w:sz w:val="18"/>
              </w:rPr>
              <w:t> </w:t>
            </w:r>
            <w:r>
              <w:rPr>
                <w:sz w:val="18"/>
              </w:rPr>
              <w:t>de</w:t>
            </w:r>
            <w:r>
              <w:rPr>
                <w:spacing w:val="-14"/>
                <w:sz w:val="18"/>
              </w:rPr>
              <w:t> </w:t>
            </w:r>
            <w:r>
              <w:rPr>
                <w:sz w:val="18"/>
              </w:rPr>
              <w:t>las</w:t>
            </w:r>
            <w:r>
              <w:rPr>
                <w:spacing w:val="-12"/>
                <w:sz w:val="18"/>
              </w:rPr>
              <w:t> </w:t>
            </w:r>
            <w:r>
              <w:rPr>
                <w:sz w:val="18"/>
              </w:rPr>
              <w:t>normas</w:t>
            </w:r>
            <w:r>
              <w:rPr>
                <w:spacing w:val="-14"/>
                <w:sz w:val="18"/>
              </w:rPr>
              <w:t> </w:t>
            </w:r>
            <w:r>
              <w:rPr>
                <w:sz w:val="18"/>
              </w:rPr>
              <w:t>jurídicas necesarias en materia de archivos y datos personales, así como en los procedimientos legislativos dirigidos a perfeccionar y consolidar el marco normativo e institucional en materia de transparencia y acceso a la información</w:t>
            </w:r>
            <w:r>
              <w:rPr>
                <w:spacing w:val="-21"/>
                <w:sz w:val="18"/>
              </w:rPr>
              <w:t> </w:t>
            </w:r>
            <w:r>
              <w:rPr>
                <w:sz w:val="18"/>
              </w:rPr>
              <w:t>pública.</w:t>
            </w:r>
          </w:p>
        </w:tc>
      </w:tr>
    </w:tbl>
    <w:p>
      <w:pPr>
        <w:spacing w:line="183" w:lineRule="exact" w:before="0"/>
        <w:ind w:left="214" w:right="0" w:firstLine="0"/>
        <w:jc w:val="left"/>
        <w:rPr>
          <w:sz w:val="16"/>
        </w:rPr>
      </w:pPr>
      <w:r>
        <w:rPr>
          <w:sz w:val="16"/>
        </w:rPr>
        <w:t>Fuente: Adaptado de </w:t>
      </w:r>
      <w:hyperlink r:id="rId49">
        <w:r>
          <w:rPr>
            <w:color w:val="0462C1"/>
            <w:sz w:val="16"/>
            <w:u w:val="single" w:color="0462C1"/>
          </w:rPr>
          <w:t>http://inicio.ifai.org.mx/_catalogs/masterpage/misionViosionObjetivos.aspx </w:t>
        </w:r>
      </w:hyperlink>
      <w:r>
        <w:rPr>
          <w:sz w:val="16"/>
        </w:rPr>
        <w:t>[10-11-2013.]</w:t>
      </w:r>
    </w:p>
    <w:p>
      <w:pPr>
        <w:pStyle w:val="BodyText"/>
        <w:rPr>
          <w:sz w:val="20"/>
        </w:rPr>
      </w:pPr>
    </w:p>
    <w:p>
      <w:pPr>
        <w:pStyle w:val="BodyText"/>
        <w:spacing w:before="10"/>
        <w:rPr>
          <w:sz w:val="25"/>
        </w:rPr>
      </w:pPr>
    </w:p>
    <w:p>
      <w:pPr>
        <w:pStyle w:val="BodyText"/>
        <w:spacing w:line="360" w:lineRule="auto" w:before="70"/>
        <w:ind w:left="102" w:right="120"/>
        <w:jc w:val="both"/>
      </w:pPr>
      <w:r>
        <w:rPr/>
        <w:t>Este instituto, señalan Fox </w:t>
      </w:r>
      <w:r>
        <w:rPr>
          <w:i/>
        </w:rPr>
        <w:t>et. al. </w:t>
      </w:r>
      <w:r>
        <w:rPr/>
        <w:t>(2011) constituye el segundo escenario de rendición de cuentas, que obliga a las dependencias a justificar sus presuntas negativas a dar información tanto ante el INAI como ante el público. Este sistema constituye</w:t>
      </w:r>
      <w:r>
        <w:rPr>
          <w:spacing w:val="-16"/>
        </w:rPr>
        <w:t> </w:t>
      </w:r>
      <w:r>
        <w:rPr/>
        <w:t>una</w:t>
      </w:r>
      <w:r>
        <w:rPr>
          <w:spacing w:val="-18"/>
        </w:rPr>
        <w:t> </w:t>
      </w:r>
      <w:r>
        <w:rPr/>
        <w:t>forma</w:t>
      </w:r>
      <w:r>
        <w:rPr>
          <w:spacing w:val="-18"/>
        </w:rPr>
        <w:t> </w:t>
      </w:r>
      <w:r>
        <w:rPr/>
        <w:t>de</w:t>
      </w:r>
      <w:r>
        <w:rPr>
          <w:spacing w:val="-16"/>
        </w:rPr>
        <w:t> </w:t>
      </w:r>
      <w:r>
        <w:rPr/>
        <w:t>equilibrio</w:t>
      </w:r>
      <w:r>
        <w:rPr>
          <w:spacing w:val="-16"/>
        </w:rPr>
        <w:t> </w:t>
      </w:r>
      <w:r>
        <w:rPr/>
        <w:t>del</w:t>
      </w:r>
      <w:r>
        <w:rPr>
          <w:spacing w:val="-17"/>
        </w:rPr>
        <w:t> </w:t>
      </w:r>
      <w:r>
        <w:rPr/>
        <w:t>poder</w:t>
      </w:r>
      <w:r>
        <w:rPr>
          <w:spacing w:val="-17"/>
        </w:rPr>
        <w:t> </w:t>
      </w:r>
      <w:r>
        <w:rPr/>
        <w:t>en</w:t>
      </w:r>
      <w:r>
        <w:rPr>
          <w:spacing w:val="-16"/>
        </w:rPr>
        <w:t> </w:t>
      </w:r>
      <w:r>
        <w:rPr/>
        <w:t>la</w:t>
      </w:r>
      <w:r>
        <w:rPr>
          <w:spacing w:val="-16"/>
        </w:rPr>
        <w:t> </w:t>
      </w:r>
      <w:r>
        <w:rPr/>
        <w:t>cual</w:t>
      </w:r>
      <w:r>
        <w:rPr>
          <w:spacing w:val="-17"/>
        </w:rPr>
        <w:t> </w:t>
      </w:r>
      <w:r>
        <w:rPr/>
        <w:t>una</w:t>
      </w:r>
      <w:r>
        <w:rPr>
          <w:spacing w:val="-18"/>
        </w:rPr>
        <w:t> </w:t>
      </w:r>
      <w:r>
        <w:rPr/>
        <w:t>dependencia</w:t>
      </w:r>
      <w:r>
        <w:rPr>
          <w:spacing w:val="-16"/>
        </w:rPr>
        <w:t> </w:t>
      </w:r>
      <w:r>
        <w:rPr/>
        <w:t>insta</w:t>
      </w:r>
      <w:r>
        <w:rPr>
          <w:spacing w:val="-16"/>
        </w:rPr>
        <w:t> </w:t>
      </w:r>
      <w:r>
        <w:rPr/>
        <w:t>a</w:t>
      </w:r>
      <w:r>
        <w:rPr>
          <w:spacing w:val="-18"/>
        </w:rPr>
        <w:t> </w:t>
      </w:r>
      <w:r>
        <w:rPr/>
        <w:t>otras a cumplir la ley y por lo tanto representa una medida de la rendición de cuentas horizontal.</w:t>
      </w:r>
      <w:r>
        <w:rPr>
          <w:spacing w:val="-8"/>
        </w:rPr>
        <w:t> </w:t>
      </w:r>
      <w:r>
        <w:rPr/>
        <w:t>Para</w:t>
      </w:r>
      <w:r>
        <w:rPr>
          <w:spacing w:val="-8"/>
        </w:rPr>
        <w:t> </w:t>
      </w:r>
      <w:r>
        <w:rPr/>
        <w:t>lograrlo</w:t>
      </w:r>
      <w:r>
        <w:rPr>
          <w:spacing w:val="-7"/>
        </w:rPr>
        <w:t> </w:t>
      </w:r>
      <w:r>
        <w:rPr/>
        <w:t>el</w:t>
      </w:r>
      <w:r>
        <w:rPr>
          <w:spacing w:val="-8"/>
        </w:rPr>
        <w:t> </w:t>
      </w:r>
      <w:r>
        <w:rPr/>
        <w:t>Instituto</w:t>
      </w:r>
      <w:r>
        <w:rPr>
          <w:spacing w:val="-9"/>
        </w:rPr>
        <w:t> </w:t>
      </w:r>
      <w:r>
        <w:rPr/>
        <w:t>trabaja</w:t>
      </w:r>
      <w:r>
        <w:rPr>
          <w:spacing w:val="-2"/>
        </w:rPr>
        <w:t> </w:t>
      </w:r>
      <w:r>
        <w:rPr/>
        <w:t>manera</w:t>
      </w:r>
      <w:r>
        <w:rPr>
          <w:spacing w:val="-8"/>
        </w:rPr>
        <w:t> </w:t>
      </w:r>
      <w:r>
        <w:rPr/>
        <w:t>coordinada</w:t>
      </w:r>
      <w:r>
        <w:rPr>
          <w:spacing w:val="-7"/>
        </w:rPr>
        <w:t> </w:t>
      </w:r>
      <w:r>
        <w:rPr/>
        <w:t>con</w:t>
      </w:r>
      <w:r>
        <w:rPr>
          <w:spacing w:val="-7"/>
        </w:rPr>
        <w:t> </w:t>
      </w:r>
      <w:r>
        <w:rPr/>
        <w:t>las</w:t>
      </w:r>
      <w:r>
        <w:rPr>
          <w:spacing w:val="-8"/>
        </w:rPr>
        <w:t> </w:t>
      </w:r>
      <w:r>
        <w:rPr/>
        <w:t>Unidades</w:t>
      </w:r>
      <w:r>
        <w:rPr>
          <w:spacing w:val="-10"/>
        </w:rPr>
        <w:t> </w:t>
      </w:r>
      <w:r>
        <w:rPr/>
        <w:t>de Enlace y Comités de Información de las distintas dependencias</w:t>
      </w:r>
      <w:r>
        <w:rPr>
          <w:spacing w:val="-27"/>
        </w:rPr>
        <w:t> </w:t>
      </w:r>
      <w:r>
        <w:rPr/>
        <w:t>federales.</w:t>
      </w:r>
    </w:p>
    <w:p>
      <w:pPr>
        <w:pStyle w:val="BodyText"/>
      </w:pPr>
    </w:p>
    <w:p>
      <w:pPr>
        <w:pStyle w:val="BodyText"/>
      </w:pPr>
    </w:p>
    <w:p>
      <w:pPr>
        <w:pStyle w:val="BodyText"/>
        <w:spacing w:line="360" w:lineRule="auto" w:before="185"/>
        <w:ind w:left="102" w:right="125"/>
        <w:jc w:val="both"/>
      </w:pPr>
      <w:r>
        <w:rPr/>
        <w:t>Las</w:t>
      </w:r>
      <w:r>
        <w:rPr>
          <w:spacing w:val="-13"/>
        </w:rPr>
        <w:t> </w:t>
      </w:r>
      <w:r>
        <w:rPr/>
        <w:t>Unidades</w:t>
      </w:r>
      <w:r>
        <w:rPr>
          <w:spacing w:val="-14"/>
        </w:rPr>
        <w:t> </w:t>
      </w:r>
      <w:r>
        <w:rPr/>
        <w:t>de</w:t>
      </w:r>
      <w:r>
        <w:rPr>
          <w:spacing w:val="-13"/>
        </w:rPr>
        <w:t> </w:t>
      </w:r>
      <w:r>
        <w:rPr/>
        <w:t>Información</w:t>
      </w:r>
      <w:r>
        <w:rPr>
          <w:spacing w:val="-12"/>
        </w:rPr>
        <w:t> </w:t>
      </w:r>
      <w:r>
        <w:rPr/>
        <w:t>tienen</w:t>
      </w:r>
      <w:r>
        <w:rPr>
          <w:spacing w:val="-12"/>
        </w:rPr>
        <w:t> </w:t>
      </w:r>
      <w:r>
        <w:rPr/>
        <w:t>su</w:t>
      </w:r>
      <w:r>
        <w:rPr>
          <w:spacing w:val="-13"/>
        </w:rPr>
        <w:t> </w:t>
      </w:r>
      <w:r>
        <w:rPr/>
        <w:t>fundamento</w:t>
      </w:r>
      <w:r>
        <w:rPr>
          <w:spacing w:val="-13"/>
        </w:rPr>
        <w:t> </w:t>
      </w:r>
      <w:r>
        <w:rPr/>
        <w:t>operativo</w:t>
      </w:r>
      <w:r>
        <w:rPr>
          <w:spacing w:val="-12"/>
        </w:rPr>
        <w:t> </w:t>
      </w:r>
      <w:r>
        <w:rPr/>
        <w:t>conforme</w:t>
      </w:r>
      <w:r>
        <w:rPr>
          <w:spacing w:val="-13"/>
        </w:rPr>
        <w:t> </w:t>
      </w:r>
      <w:r>
        <w:rPr/>
        <w:t>al</w:t>
      </w:r>
      <w:r>
        <w:rPr>
          <w:spacing w:val="-13"/>
        </w:rPr>
        <w:t> </w:t>
      </w:r>
      <w:r>
        <w:rPr/>
        <w:t>art.</w:t>
      </w:r>
      <w:r>
        <w:rPr>
          <w:spacing w:val="-14"/>
        </w:rPr>
        <w:t> </w:t>
      </w:r>
      <w:r>
        <w:rPr/>
        <w:t>28</w:t>
      </w:r>
      <w:r>
        <w:rPr>
          <w:spacing w:val="-13"/>
        </w:rPr>
        <w:t> </w:t>
      </w:r>
      <w:r>
        <w:rPr/>
        <w:t>de la LFTAIPG que establece sus</w:t>
      </w:r>
      <w:r>
        <w:rPr>
          <w:spacing w:val="-15"/>
        </w:rPr>
        <w:t> </w:t>
      </w:r>
      <w:r>
        <w:rPr/>
        <w:t>funciones:</w:t>
      </w:r>
    </w:p>
    <w:p>
      <w:pPr>
        <w:pStyle w:val="BodyText"/>
      </w:pPr>
    </w:p>
    <w:p>
      <w:pPr>
        <w:pStyle w:val="BodyText"/>
      </w:pPr>
    </w:p>
    <w:p>
      <w:pPr>
        <w:spacing w:before="187"/>
        <w:ind w:left="810" w:right="1006" w:firstLine="0"/>
        <w:jc w:val="left"/>
        <w:rPr>
          <w:sz w:val="18"/>
        </w:rPr>
      </w:pPr>
      <w:r>
        <w:rPr>
          <w:sz w:val="18"/>
        </w:rPr>
        <w:t>“I. Recabar y difundir la información a que se refiere el Artículo 7, además de propiciar que las unidades administrativas la actualicen periódicamente;</w:t>
      </w:r>
    </w:p>
    <w:p>
      <w:pPr>
        <w:pStyle w:val="ListParagraph"/>
        <w:numPr>
          <w:ilvl w:val="1"/>
          <w:numId w:val="21"/>
        </w:numPr>
        <w:tabs>
          <w:tab w:pos="1002" w:val="left" w:leader="none"/>
        </w:tabs>
        <w:spacing w:line="240" w:lineRule="auto" w:before="2" w:after="0"/>
        <w:ind w:left="810" w:right="1023" w:firstLine="0"/>
        <w:jc w:val="left"/>
        <w:rPr>
          <w:sz w:val="18"/>
        </w:rPr>
      </w:pPr>
      <w:r>
        <w:rPr>
          <w:sz w:val="18"/>
        </w:rPr>
        <w:t>Recibir</w:t>
      </w:r>
      <w:r>
        <w:rPr>
          <w:spacing w:val="-13"/>
          <w:sz w:val="18"/>
        </w:rPr>
        <w:t> </w:t>
      </w:r>
      <w:r>
        <w:rPr>
          <w:sz w:val="18"/>
        </w:rPr>
        <w:t>y</w:t>
      </w:r>
      <w:r>
        <w:rPr>
          <w:spacing w:val="-14"/>
          <w:sz w:val="18"/>
        </w:rPr>
        <w:t> </w:t>
      </w:r>
      <w:r>
        <w:rPr>
          <w:sz w:val="18"/>
        </w:rPr>
        <w:t>dar</w:t>
      </w:r>
      <w:r>
        <w:rPr>
          <w:spacing w:val="-13"/>
          <w:sz w:val="18"/>
        </w:rPr>
        <w:t> </w:t>
      </w:r>
      <w:r>
        <w:rPr>
          <w:sz w:val="18"/>
        </w:rPr>
        <w:t>trámite</w:t>
      </w:r>
      <w:r>
        <w:rPr>
          <w:spacing w:val="-12"/>
          <w:sz w:val="18"/>
        </w:rPr>
        <w:t> </w:t>
      </w:r>
      <w:r>
        <w:rPr>
          <w:sz w:val="18"/>
        </w:rPr>
        <w:t>a</w:t>
      </w:r>
      <w:r>
        <w:rPr>
          <w:spacing w:val="-15"/>
          <w:sz w:val="18"/>
        </w:rPr>
        <w:t> </w:t>
      </w:r>
      <w:r>
        <w:rPr>
          <w:sz w:val="18"/>
        </w:rPr>
        <w:t>las</w:t>
      </w:r>
      <w:r>
        <w:rPr>
          <w:spacing w:val="-14"/>
          <w:sz w:val="18"/>
        </w:rPr>
        <w:t> </w:t>
      </w:r>
      <w:r>
        <w:rPr>
          <w:sz w:val="18"/>
        </w:rPr>
        <w:t>solicitudes</w:t>
      </w:r>
      <w:r>
        <w:rPr>
          <w:spacing w:val="-12"/>
          <w:sz w:val="18"/>
        </w:rPr>
        <w:t> </w:t>
      </w:r>
      <w:r>
        <w:rPr>
          <w:sz w:val="18"/>
        </w:rPr>
        <w:t>de</w:t>
      </w:r>
      <w:r>
        <w:rPr>
          <w:spacing w:val="-14"/>
          <w:sz w:val="18"/>
        </w:rPr>
        <w:t> </w:t>
      </w:r>
      <w:r>
        <w:rPr>
          <w:sz w:val="18"/>
        </w:rPr>
        <w:t>acceso</w:t>
      </w:r>
      <w:r>
        <w:rPr>
          <w:spacing w:val="-12"/>
          <w:sz w:val="18"/>
        </w:rPr>
        <w:t> </w:t>
      </w:r>
      <w:r>
        <w:rPr>
          <w:sz w:val="18"/>
        </w:rPr>
        <w:t>a</w:t>
      </w:r>
      <w:r>
        <w:rPr>
          <w:spacing w:val="-14"/>
          <w:sz w:val="18"/>
        </w:rPr>
        <w:t> </w:t>
      </w:r>
      <w:r>
        <w:rPr>
          <w:sz w:val="18"/>
        </w:rPr>
        <w:t>la</w:t>
      </w:r>
      <w:r>
        <w:rPr>
          <w:spacing w:val="-15"/>
          <w:sz w:val="18"/>
        </w:rPr>
        <w:t> </w:t>
      </w:r>
      <w:r>
        <w:rPr>
          <w:sz w:val="18"/>
        </w:rPr>
        <w:t>información,</w:t>
      </w:r>
      <w:r>
        <w:rPr>
          <w:spacing w:val="-12"/>
          <w:sz w:val="18"/>
        </w:rPr>
        <w:t> </w:t>
      </w:r>
      <w:r>
        <w:rPr>
          <w:sz w:val="18"/>
        </w:rPr>
        <w:t>referidas</w:t>
      </w:r>
      <w:r>
        <w:rPr>
          <w:spacing w:val="-12"/>
          <w:sz w:val="18"/>
        </w:rPr>
        <w:t> </w:t>
      </w:r>
      <w:r>
        <w:rPr>
          <w:sz w:val="18"/>
        </w:rPr>
        <w:t>en</w:t>
      </w:r>
      <w:r>
        <w:rPr>
          <w:spacing w:val="-12"/>
          <w:sz w:val="18"/>
        </w:rPr>
        <w:t> </w:t>
      </w:r>
      <w:r>
        <w:rPr>
          <w:sz w:val="18"/>
        </w:rPr>
        <w:t>los</w:t>
      </w:r>
      <w:r>
        <w:rPr>
          <w:spacing w:val="-12"/>
          <w:sz w:val="18"/>
        </w:rPr>
        <w:t> </w:t>
      </w:r>
      <w:r>
        <w:rPr>
          <w:sz w:val="18"/>
        </w:rPr>
        <w:t>artículos 24, 25 y</w:t>
      </w:r>
      <w:r>
        <w:rPr>
          <w:spacing w:val="-4"/>
          <w:sz w:val="18"/>
        </w:rPr>
        <w:t> </w:t>
      </w:r>
      <w:r>
        <w:rPr>
          <w:sz w:val="18"/>
        </w:rPr>
        <w:t>40;</w:t>
      </w:r>
    </w:p>
    <w:p>
      <w:pPr>
        <w:pStyle w:val="ListParagraph"/>
        <w:numPr>
          <w:ilvl w:val="1"/>
          <w:numId w:val="21"/>
        </w:numPr>
        <w:tabs>
          <w:tab w:pos="1053" w:val="left" w:leader="none"/>
        </w:tabs>
        <w:spacing w:line="240" w:lineRule="auto" w:before="0" w:after="0"/>
        <w:ind w:left="810" w:right="1019" w:firstLine="0"/>
        <w:jc w:val="left"/>
        <w:rPr>
          <w:sz w:val="18"/>
        </w:rPr>
      </w:pPr>
      <w:r>
        <w:rPr>
          <w:sz w:val="18"/>
        </w:rPr>
        <w:t>Auxiliar</w:t>
      </w:r>
      <w:r>
        <w:rPr>
          <w:spacing w:val="-12"/>
          <w:sz w:val="18"/>
        </w:rPr>
        <w:t> </w:t>
      </w:r>
      <w:r>
        <w:rPr>
          <w:sz w:val="18"/>
        </w:rPr>
        <w:t>a</w:t>
      </w:r>
      <w:r>
        <w:rPr>
          <w:spacing w:val="-11"/>
          <w:sz w:val="18"/>
        </w:rPr>
        <w:t> </w:t>
      </w:r>
      <w:r>
        <w:rPr>
          <w:sz w:val="18"/>
        </w:rPr>
        <w:t>los</w:t>
      </w:r>
      <w:r>
        <w:rPr>
          <w:spacing w:val="-11"/>
          <w:sz w:val="18"/>
        </w:rPr>
        <w:t> </w:t>
      </w:r>
      <w:r>
        <w:rPr>
          <w:sz w:val="18"/>
        </w:rPr>
        <w:t>particulares</w:t>
      </w:r>
      <w:r>
        <w:rPr>
          <w:spacing w:val="-11"/>
          <w:sz w:val="18"/>
        </w:rPr>
        <w:t> </w:t>
      </w:r>
      <w:r>
        <w:rPr>
          <w:sz w:val="18"/>
        </w:rPr>
        <w:t>en</w:t>
      </w:r>
      <w:r>
        <w:rPr>
          <w:spacing w:val="-13"/>
          <w:sz w:val="18"/>
        </w:rPr>
        <w:t> </w:t>
      </w:r>
      <w:r>
        <w:rPr>
          <w:sz w:val="18"/>
        </w:rPr>
        <w:t>la</w:t>
      </w:r>
      <w:r>
        <w:rPr>
          <w:spacing w:val="-11"/>
          <w:sz w:val="18"/>
        </w:rPr>
        <w:t> </w:t>
      </w:r>
      <w:r>
        <w:rPr>
          <w:sz w:val="18"/>
        </w:rPr>
        <w:t>elaboración</w:t>
      </w:r>
      <w:r>
        <w:rPr>
          <w:spacing w:val="-11"/>
          <w:sz w:val="18"/>
        </w:rPr>
        <w:t> </w:t>
      </w:r>
      <w:r>
        <w:rPr>
          <w:sz w:val="18"/>
        </w:rPr>
        <w:t>de</w:t>
      </w:r>
      <w:r>
        <w:rPr>
          <w:spacing w:val="-14"/>
          <w:sz w:val="18"/>
        </w:rPr>
        <w:t> </w:t>
      </w:r>
      <w:r>
        <w:rPr>
          <w:sz w:val="18"/>
        </w:rPr>
        <w:t>solicitudes</w:t>
      </w:r>
      <w:r>
        <w:rPr>
          <w:spacing w:val="-11"/>
          <w:sz w:val="18"/>
        </w:rPr>
        <w:t> </w:t>
      </w:r>
      <w:r>
        <w:rPr>
          <w:sz w:val="18"/>
        </w:rPr>
        <w:t>y,</w:t>
      </w:r>
      <w:r>
        <w:rPr>
          <w:spacing w:val="-11"/>
          <w:sz w:val="18"/>
        </w:rPr>
        <w:t> </w:t>
      </w:r>
      <w:r>
        <w:rPr>
          <w:sz w:val="18"/>
        </w:rPr>
        <w:t>en</w:t>
      </w:r>
      <w:r>
        <w:rPr>
          <w:spacing w:val="-11"/>
          <w:sz w:val="18"/>
        </w:rPr>
        <w:t> </w:t>
      </w:r>
      <w:r>
        <w:rPr>
          <w:sz w:val="18"/>
        </w:rPr>
        <w:t>su</w:t>
      </w:r>
      <w:r>
        <w:rPr>
          <w:spacing w:val="-14"/>
          <w:sz w:val="18"/>
        </w:rPr>
        <w:t> </w:t>
      </w:r>
      <w:r>
        <w:rPr>
          <w:sz w:val="18"/>
        </w:rPr>
        <w:t>caso,</w:t>
      </w:r>
      <w:r>
        <w:rPr>
          <w:spacing w:val="-11"/>
          <w:sz w:val="18"/>
        </w:rPr>
        <w:t> </w:t>
      </w:r>
      <w:r>
        <w:rPr>
          <w:sz w:val="18"/>
        </w:rPr>
        <w:t>orientarlos</w:t>
      </w:r>
      <w:r>
        <w:rPr>
          <w:spacing w:val="-11"/>
          <w:sz w:val="18"/>
        </w:rPr>
        <w:t> </w:t>
      </w:r>
      <w:r>
        <w:rPr>
          <w:sz w:val="18"/>
        </w:rPr>
        <w:t>sobre las</w:t>
      </w:r>
      <w:r>
        <w:rPr>
          <w:spacing w:val="-13"/>
          <w:sz w:val="18"/>
        </w:rPr>
        <w:t> </w:t>
      </w:r>
      <w:r>
        <w:rPr>
          <w:sz w:val="18"/>
        </w:rPr>
        <w:t>dependencias</w:t>
      </w:r>
      <w:r>
        <w:rPr>
          <w:spacing w:val="-10"/>
          <w:sz w:val="18"/>
        </w:rPr>
        <w:t> </w:t>
      </w:r>
      <w:r>
        <w:rPr>
          <w:sz w:val="18"/>
        </w:rPr>
        <w:t>o</w:t>
      </w:r>
      <w:r>
        <w:rPr>
          <w:spacing w:val="-13"/>
          <w:sz w:val="18"/>
        </w:rPr>
        <w:t> </w:t>
      </w:r>
      <w:r>
        <w:rPr>
          <w:sz w:val="18"/>
        </w:rPr>
        <w:t>entidades</w:t>
      </w:r>
      <w:r>
        <w:rPr>
          <w:spacing w:val="-13"/>
          <w:sz w:val="18"/>
        </w:rPr>
        <w:t> </w:t>
      </w:r>
      <w:r>
        <w:rPr>
          <w:sz w:val="18"/>
        </w:rPr>
        <w:t>u</w:t>
      </w:r>
      <w:r>
        <w:rPr>
          <w:spacing w:val="-11"/>
          <w:sz w:val="18"/>
        </w:rPr>
        <w:t> </w:t>
      </w:r>
      <w:r>
        <w:rPr>
          <w:sz w:val="18"/>
        </w:rPr>
        <w:t>otro</w:t>
      </w:r>
      <w:r>
        <w:rPr>
          <w:spacing w:val="-11"/>
          <w:sz w:val="18"/>
        </w:rPr>
        <w:t> </w:t>
      </w:r>
      <w:r>
        <w:rPr>
          <w:sz w:val="18"/>
        </w:rPr>
        <w:t>órgano</w:t>
      </w:r>
      <w:r>
        <w:rPr>
          <w:spacing w:val="-11"/>
          <w:sz w:val="18"/>
        </w:rPr>
        <w:t> </w:t>
      </w:r>
      <w:r>
        <w:rPr>
          <w:sz w:val="18"/>
        </w:rPr>
        <w:t>que</w:t>
      </w:r>
      <w:r>
        <w:rPr>
          <w:spacing w:val="-13"/>
          <w:sz w:val="18"/>
        </w:rPr>
        <w:t> </w:t>
      </w:r>
      <w:r>
        <w:rPr>
          <w:sz w:val="18"/>
        </w:rPr>
        <w:t>pudieran</w:t>
      </w:r>
      <w:r>
        <w:rPr>
          <w:spacing w:val="-11"/>
          <w:sz w:val="18"/>
        </w:rPr>
        <w:t> </w:t>
      </w:r>
      <w:r>
        <w:rPr>
          <w:sz w:val="18"/>
        </w:rPr>
        <w:t>tener</w:t>
      </w:r>
      <w:r>
        <w:rPr>
          <w:spacing w:val="-11"/>
          <w:sz w:val="18"/>
        </w:rPr>
        <w:t> </w:t>
      </w:r>
      <w:r>
        <w:rPr>
          <w:sz w:val="18"/>
        </w:rPr>
        <w:t>la</w:t>
      </w:r>
      <w:r>
        <w:rPr>
          <w:spacing w:val="-13"/>
          <w:sz w:val="18"/>
        </w:rPr>
        <w:t> </w:t>
      </w:r>
      <w:r>
        <w:rPr>
          <w:sz w:val="18"/>
        </w:rPr>
        <w:t>información</w:t>
      </w:r>
      <w:r>
        <w:rPr>
          <w:spacing w:val="-13"/>
          <w:sz w:val="18"/>
        </w:rPr>
        <w:t> </w:t>
      </w:r>
      <w:r>
        <w:rPr>
          <w:sz w:val="18"/>
        </w:rPr>
        <w:t>que</w:t>
      </w:r>
      <w:r>
        <w:rPr>
          <w:spacing w:val="-13"/>
          <w:sz w:val="18"/>
        </w:rPr>
        <w:t> </w:t>
      </w:r>
      <w:r>
        <w:rPr>
          <w:sz w:val="18"/>
        </w:rPr>
        <w:t>solicitan;</w:t>
      </w:r>
    </w:p>
    <w:p>
      <w:pPr>
        <w:pStyle w:val="ListParagraph"/>
        <w:numPr>
          <w:ilvl w:val="1"/>
          <w:numId w:val="21"/>
        </w:numPr>
        <w:tabs>
          <w:tab w:pos="1079" w:val="left" w:leader="none"/>
        </w:tabs>
        <w:spacing w:line="240" w:lineRule="auto" w:before="1" w:after="0"/>
        <w:ind w:left="810" w:right="1024" w:firstLine="0"/>
        <w:jc w:val="left"/>
        <w:rPr>
          <w:sz w:val="18"/>
        </w:rPr>
      </w:pPr>
      <w:r>
        <w:rPr>
          <w:sz w:val="18"/>
        </w:rPr>
        <w:t>Realizar</w:t>
      </w:r>
      <w:r>
        <w:rPr>
          <w:spacing w:val="-8"/>
          <w:sz w:val="18"/>
        </w:rPr>
        <w:t> </w:t>
      </w:r>
      <w:r>
        <w:rPr>
          <w:sz w:val="18"/>
        </w:rPr>
        <w:t>los</w:t>
      </w:r>
      <w:r>
        <w:rPr>
          <w:spacing w:val="-7"/>
          <w:sz w:val="18"/>
        </w:rPr>
        <w:t> </w:t>
      </w:r>
      <w:r>
        <w:rPr>
          <w:sz w:val="18"/>
        </w:rPr>
        <w:t>trámites</w:t>
      </w:r>
      <w:r>
        <w:rPr>
          <w:spacing w:val="-4"/>
          <w:sz w:val="18"/>
        </w:rPr>
        <w:t> </w:t>
      </w:r>
      <w:r>
        <w:rPr>
          <w:sz w:val="18"/>
        </w:rPr>
        <w:t>internos</w:t>
      </w:r>
      <w:r>
        <w:rPr>
          <w:spacing w:val="-4"/>
          <w:sz w:val="18"/>
        </w:rPr>
        <w:t> </w:t>
      </w:r>
      <w:r>
        <w:rPr>
          <w:sz w:val="18"/>
        </w:rPr>
        <w:t>de</w:t>
      </w:r>
      <w:r>
        <w:rPr>
          <w:spacing w:val="-7"/>
          <w:sz w:val="18"/>
        </w:rPr>
        <w:t> </w:t>
      </w:r>
      <w:r>
        <w:rPr>
          <w:sz w:val="18"/>
        </w:rPr>
        <w:t>cada</w:t>
      </w:r>
      <w:r>
        <w:rPr>
          <w:spacing w:val="-5"/>
          <w:sz w:val="18"/>
        </w:rPr>
        <w:t> </w:t>
      </w:r>
      <w:r>
        <w:rPr>
          <w:sz w:val="18"/>
        </w:rPr>
        <w:t>dependencia</w:t>
      </w:r>
      <w:r>
        <w:rPr>
          <w:spacing w:val="-7"/>
          <w:sz w:val="18"/>
        </w:rPr>
        <w:t> </w:t>
      </w:r>
      <w:r>
        <w:rPr>
          <w:sz w:val="18"/>
        </w:rPr>
        <w:t>o</w:t>
      </w:r>
      <w:r>
        <w:rPr>
          <w:spacing w:val="-5"/>
          <w:sz w:val="18"/>
        </w:rPr>
        <w:t> </w:t>
      </w:r>
      <w:r>
        <w:rPr>
          <w:sz w:val="18"/>
        </w:rPr>
        <w:t>entidad,</w:t>
      </w:r>
      <w:r>
        <w:rPr>
          <w:spacing w:val="-5"/>
          <w:sz w:val="18"/>
        </w:rPr>
        <w:t> </w:t>
      </w:r>
      <w:r>
        <w:rPr>
          <w:sz w:val="18"/>
        </w:rPr>
        <w:t>necesarios</w:t>
      </w:r>
      <w:r>
        <w:rPr>
          <w:spacing w:val="-7"/>
          <w:sz w:val="18"/>
        </w:rPr>
        <w:t> </w:t>
      </w:r>
      <w:r>
        <w:rPr>
          <w:sz w:val="18"/>
        </w:rPr>
        <w:t>para</w:t>
      </w:r>
      <w:r>
        <w:rPr>
          <w:spacing w:val="-7"/>
          <w:sz w:val="18"/>
        </w:rPr>
        <w:t> </w:t>
      </w:r>
      <w:r>
        <w:rPr>
          <w:sz w:val="18"/>
        </w:rPr>
        <w:t>entregar la</w:t>
      </w:r>
      <w:r>
        <w:rPr>
          <w:spacing w:val="-3"/>
          <w:sz w:val="18"/>
        </w:rPr>
        <w:t> </w:t>
      </w:r>
      <w:r>
        <w:rPr>
          <w:sz w:val="18"/>
        </w:rPr>
        <w:t>información</w:t>
      </w:r>
      <w:r>
        <w:rPr>
          <w:spacing w:val="-5"/>
          <w:sz w:val="18"/>
        </w:rPr>
        <w:t> </w:t>
      </w:r>
      <w:r>
        <w:rPr>
          <w:sz w:val="18"/>
        </w:rPr>
        <w:t>solicitada,</w:t>
      </w:r>
      <w:r>
        <w:rPr>
          <w:spacing w:val="-3"/>
          <w:sz w:val="18"/>
        </w:rPr>
        <w:t> </w:t>
      </w:r>
      <w:r>
        <w:rPr>
          <w:sz w:val="18"/>
        </w:rPr>
        <w:t>además</w:t>
      </w:r>
      <w:r>
        <w:rPr>
          <w:spacing w:val="-4"/>
          <w:sz w:val="18"/>
        </w:rPr>
        <w:t> </w:t>
      </w:r>
      <w:r>
        <w:rPr>
          <w:sz w:val="18"/>
        </w:rPr>
        <w:t>de</w:t>
      </w:r>
      <w:r>
        <w:rPr>
          <w:spacing w:val="-3"/>
          <w:sz w:val="18"/>
        </w:rPr>
        <w:t> </w:t>
      </w:r>
      <w:r>
        <w:rPr>
          <w:sz w:val="18"/>
        </w:rPr>
        <w:t>efectuar</w:t>
      </w:r>
      <w:r>
        <w:rPr>
          <w:spacing w:val="-5"/>
          <w:sz w:val="18"/>
        </w:rPr>
        <w:t> </w:t>
      </w:r>
      <w:r>
        <w:rPr>
          <w:sz w:val="18"/>
        </w:rPr>
        <w:t>las</w:t>
      </w:r>
      <w:r>
        <w:rPr>
          <w:spacing w:val="-5"/>
          <w:sz w:val="18"/>
        </w:rPr>
        <w:t> </w:t>
      </w:r>
      <w:r>
        <w:rPr>
          <w:sz w:val="18"/>
        </w:rPr>
        <w:t>notificaciones</w:t>
      </w:r>
      <w:r>
        <w:rPr>
          <w:spacing w:val="-4"/>
          <w:sz w:val="18"/>
        </w:rPr>
        <w:t> </w:t>
      </w:r>
      <w:r>
        <w:rPr>
          <w:sz w:val="18"/>
        </w:rPr>
        <w:t>a</w:t>
      </w:r>
      <w:r>
        <w:rPr>
          <w:spacing w:val="-3"/>
          <w:sz w:val="18"/>
        </w:rPr>
        <w:t> </w:t>
      </w:r>
      <w:r>
        <w:rPr>
          <w:sz w:val="18"/>
        </w:rPr>
        <w:t>los</w:t>
      </w:r>
      <w:r>
        <w:rPr>
          <w:spacing w:val="-2"/>
          <w:sz w:val="18"/>
        </w:rPr>
        <w:t> </w:t>
      </w:r>
      <w:r>
        <w:rPr>
          <w:sz w:val="18"/>
        </w:rPr>
        <w:t>particulares;</w:t>
      </w:r>
    </w:p>
    <w:p>
      <w:pPr>
        <w:spacing w:after="0" w:line="240" w:lineRule="auto"/>
        <w:jc w:val="left"/>
        <w:rPr>
          <w:sz w:val="18"/>
        </w:rPr>
        <w:sectPr>
          <w:pgSz w:w="12240" w:h="15840"/>
          <w:pgMar w:header="0" w:footer="1035" w:top="1500" w:bottom="1220" w:left="1600" w:right="1580"/>
        </w:sectPr>
      </w:pPr>
    </w:p>
    <w:p>
      <w:pPr>
        <w:pStyle w:val="ListParagraph"/>
        <w:numPr>
          <w:ilvl w:val="1"/>
          <w:numId w:val="21"/>
        </w:numPr>
        <w:tabs>
          <w:tab w:pos="1038" w:val="left" w:leader="none"/>
        </w:tabs>
        <w:spacing w:line="242" w:lineRule="auto" w:before="55" w:after="0"/>
        <w:ind w:left="810" w:right="1026" w:firstLine="0"/>
        <w:jc w:val="left"/>
        <w:rPr>
          <w:sz w:val="18"/>
        </w:rPr>
      </w:pPr>
      <w:r>
        <w:rPr>
          <w:sz w:val="18"/>
        </w:rPr>
        <w:t>Proponer al Comité los procedimientos internos que aseguren la mayor eficiencia en la gestión de las solicitudes de acceso a la</w:t>
      </w:r>
      <w:r>
        <w:rPr>
          <w:spacing w:val="-21"/>
          <w:sz w:val="18"/>
        </w:rPr>
        <w:t> </w:t>
      </w:r>
      <w:r>
        <w:rPr>
          <w:sz w:val="18"/>
        </w:rPr>
        <w:t>información;</w:t>
      </w:r>
    </w:p>
    <w:p>
      <w:pPr>
        <w:pStyle w:val="ListParagraph"/>
        <w:numPr>
          <w:ilvl w:val="1"/>
          <w:numId w:val="21"/>
        </w:numPr>
        <w:tabs>
          <w:tab w:pos="1098" w:val="left" w:leader="none"/>
        </w:tabs>
        <w:spacing w:line="206" w:lineRule="exact" w:before="1" w:after="0"/>
        <w:ind w:left="810" w:right="1021" w:firstLine="0"/>
        <w:jc w:val="left"/>
        <w:rPr>
          <w:sz w:val="18"/>
        </w:rPr>
      </w:pPr>
      <w:r>
        <w:rPr>
          <w:sz w:val="18"/>
        </w:rPr>
        <w:t>Habilitar a los servidores públicos de la dependencia o entidad que sean necesarios, para recibir y dar trámite a las solicitudes de acceso a la</w:t>
      </w:r>
      <w:r>
        <w:rPr>
          <w:spacing w:val="-29"/>
          <w:sz w:val="18"/>
        </w:rPr>
        <w:t> </w:t>
      </w:r>
      <w:r>
        <w:rPr>
          <w:sz w:val="18"/>
        </w:rPr>
        <w:t>información;</w:t>
      </w:r>
    </w:p>
    <w:p>
      <w:pPr>
        <w:pStyle w:val="ListParagraph"/>
        <w:numPr>
          <w:ilvl w:val="1"/>
          <w:numId w:val="21"/>
        </w:numPr>
        <w:tabs>
          <w:tab w:pos="1125" w:val="left" w:leader="none"/>
        </w:tabs>
        <w:spacing w:line="242" w:lineRule="auto" w:before="0" w:after="0"/>
        <w:ind w:left="810" w:right="1023" w:firstLine="0"/>
        <w:jc w:val="left"/>
        <w:rPr>
          <w:sz w:val="18"/>
        </w:rPr>
      </w:pPr>
      <w:r>
        <w:rPr>
          <w:sz w:val="18"/>
        </w:rPr>
        <w:t>Llevar</w:t>
      </w:r>
      <w:r>
        <w:rPr>
          <w:spacing w:val="-10"/>
          <w:sz w:val="18"/>
        </w:rPr>
        <w:t> </w:t>
      </w:r>
      <w:r>
        <w:rPr>
          <w:sz w:val="18"/>
        </w:rPr>
        <w:t>un</w:t>
      </w:r>
      <w:r>
        <w:rPr>
          <w:spacing w:val="-12"/>
          <w:sz w:val="18"/>
        </w:rPr>
        <w:t> </w:t>
      </w:r>
      <w:r>
        <w:rPr>
          <w:sz w:val="18"/>
        </w:rPr>
        <w:t>registro</w:t>
      </w:r>
      <w:r>
        <w:rPr>
          <w:spacing w:val="-10"/>
          <w:sz w:val="18"/>
        </w:rPr>
        <w:t> </w:t>
      </w:r>
      <w:r>
        <w:rPr>
          <w:sz w:val="18"/>
        </w:rPr>
        <w:t>de</w:t>
      </w:r>
      <w:r>
        <w:rPr>
          <w:spacing w:val="-10"/>
          <w:sz w:val="18"/>
        </w:rPr>
        <w:t> </w:t>
      </w:r>
      <w:r>
        <w:rPr>
          <w:sz w:val="18"/>
        </w:rPr>
        <w:t>las</w:t>
      </w:r>
      <w:r>
        <w:rPr>
          <w:spacing w:val="-12"/>
          <w:sz w:val="18"/>
        </w:rPr>
        <w:t> </w:t>
      </w:r>
      <w:r>
        <w:rPr>
          <w:sz w:val="18"/>
        </w:rPr>
        <w:t>solicitudes</w:t>
      </w:r>
      <w:r>
        <w:rPr>
          <w:spacing w:val="-12"/>
          <w:sz w:val="18"/>
        </w:rPr>
        <w:t> </w:t>
      </w:r>
      <w:r>
        <w:rPr>
          <w:sz w:val="18"/>
        </w:rPr>
        <w:t>de</w:t>
      </w:r>
      <w:r>
        <w:rPr>
          <w:spacing w:val="-12"/>
          <w:sz w:val="18"/>
        </w:rPr>
        <w:t> </w:t>
      </w:r>
      <w:r>
        <w:rPr>
          <w:sz w:val="18"/>
        </w:rPr>
        <w:t>acceso</w:t>
      </w:r>
      <w:r>
        <w:rPr>
          <w:spacing w:val="-10"/>
          <w:sz w:val="18"/>
        </w:rPr>
        <w:t> </w:t>
      </w:r>
      <w:r>
        <w:rPr>
          <w:sz w:val="18"/>
        </w:rPr>
        <w:t>a</w:t>
      </w:r>
      <w:r>
        <w:rPr>
          <w:spacing w:val="-12"/>
          <w:sz w:val="18"/>
        </w:rPr>
        <w:t> </w:t>
      </w:r>
      <w:r>
        <w:rPr>
          <w:sz w:val="18"/>
        </w:rPr>
        <w:t>la</w:t>
      </w:r>
      <w:r>
        <w:rPr>
          <w:spacing w:val="-12"/>
          <w:sz w:val="18"/>
        </w:rPr>
        <w:t> </w:t>
      </w:r>
      <w:r>
        <w:rPr>
          <w:sz w:val="18"/>
        </w:rPr>
        <w:t>información,</w:t>
      </w:r>
      <w:r>
        <w:rPr>
          <w:spacing w:val="-12"/>
          <w:sz w:val="18"/>
        </w:rPr>
        <w:t> </w:t>
      </w:r>
      <w:r>
        <w:rPr>
          <w:sz w:val="18"/>
        </w:rPr>
        <w:t>sus</w:t>
      </w:r>
      <w:r>
        <w:rPr>
          <w:spacing w:val="-12"/>
          <w:sz w:val="18"/>
        </w:rPr>
        <w:t> </w:t>
      </w:r>
      <w:r>
        <w:rPr>
          <w:sz w:val="18"/>
        </w:rPr>
        <w:t>resultados</w:t>
      </w:r>
      <w:r>
        <w:rPr>
          <w:spacing w:val="-9"/>
          <w:sz w:val="18"/>
        </w:rPr>
        <w:t> </w:t>
      </w:r>
      <w:r>
        <w:rPr>
          <w:sz w:val="18"/>
        </w:rPr>
        <w:t>y</w:t>
      </w:r>
      <w:r>
        <w:rPr>
          <w:spacing w:val="-12"/>
          <w:sz w:val="18"/>
        </w:rPr>
        <w:t> </w:t>
      </w:r>
      <w:r>
        <w:rPr>
          <w:sz w:val="18"/>
        </w:rPr>
        <w:t>costos, y</w:t>
      </w:r>
    </w:p>
    <w:p>
      <w:pPr>
        <w:pStyle w:val="ListParagraph"/>
        <w:numPr>
          <w:ilvl w:val="1"/>
          <w:numId w:val="21"/>
        </w:numPr>
        <w:tabs>
          <w:tab w:pos="1228" w:val="left" w:leader="none"/>
        </w:tabs>
        <w:spacing w:line="206" w:lineRule="exact" w:before="1" w:after="0"/>
        <w:ind w:left="810" w:right="1020" w:firstLine="0"/>
        <w:jc w:val="left"/>
        <w:rPr>
          <w:sz w:val="18"/>
        </w:rPr>
      </w:pPr>
      <w:r>
        <w:rPr>
          <w:sz w:val="18"/>
        </w:rPr>
        <w:t>Las demás necesarias para garantizar y agilizar el flujo de información entre la dependencia o entidad y los</w:t>
      </w:r>
      <w:r>
        <w:rPr>
          <w:spacing w:val="-11"/>
          <w:sz w:val="18"/>
        </w:rPr>
        <w:t> </w:t>
      </w:r>
      <w:r>
        <w:rPr>
          <w:sz w:val="18"/>
        </w:rPr>
        <w:t>particulares.”</w:t>
      </w:r>
    </w:p>
    <w:p>
      <w:pPr>
        <w:pStyle w:val="BodyText"/>
        <w:rPr>
          <w:sz w:val="18"/>
        </w:rPr>
      </w:pPr>
    </w:p>
    <w:p>
      <w:pPr>
        <w:pStyle w:val="BodyText"/>
        <w:spacing w:before="8"/>
        <w:rPr>
          <w:sz w:val="17"/>
        </w:rPr>
      </w:pPr>
    </w:p>
    <w:p>
      <w:pPr>
        <w:pStyle w:val="BodyText"/>
        <w:spacing w:line="360" w:lineRule="auto"/>
        <w:ind w:left="102"/>
      </w:pPr>
      <w:r>
        <w:rPr/>
        <w:t>Por su parte los Comités de Información de Nivel Federal conforme al art. 29 de la LFTAIPG tienen las siguientes funciones:</w:t>
      </w:r>
    </w:p>
    <w:p>
      <w:pPr>
        <w:pStyle w:val="BodyText"/>
      </w:pPr>
    </w:p>
    <w:p>
      <w:pPr>
        <w:pStyle w:val="BodyText"/>
      </w:pPr>
    </w:p>
    <w:p>
      <w:pPr>
        <w:spacing w:before="189"/>
        <w:ind w:left="810" w:right="0" w:firstLine="0"/>
        <w:jc w:val="left"/>
        <w:rPr>
          <w:sz w:val="18"/>
        </w:rPr>
      </w:pPr>
      <w:r>
        <w:rPr>
          <w:sz w:val="18"/>
        </w:rPr>
        <w:t>“I. Coordinar y supervisar las acciones de la dependencia o entidad tendientes a proporcionar la información prevista en esta Ley;</w:t>
      </w:r>
    </w:p>
    <w:p>
      <w:pPr>
        <w:pStyle w:val="ListParagraph"/>
        <w:numPr>
          <w:ilvl w:val="0"/>
          <w:numId w:val="36"/>
        </w:numPr>
        <w:tabs>
          <w:tab w:pos="1024" w:val="left" w:leader="none"/>
        </w:tabs>
        <w:spacing w:line="240" w:lineRule="auto" w:before="0" w:after="0"/>
        <w:ind w:left="810" w:right="126" w:firstLine="0"/>
        <w:jc w:val="left"/>
        <w:rPr>
          <w:sz w:val="18"/>
        </w:rPr>
      </w:pPr>
      <w:r>
        <w:rPr>
          <w:sz w:val="18"/>
        </w:rPr>
        <w:t>Instituir, de conformidad con el Reglamento, los procedimientos para asegurar la mayor eficiencia en la gestión de las solicitudes de acceso a la</w:t>
      </w:r>
      <w:r>
        <w:rPr>
          <w:spacing w:val="-22"/>
          <w:sz w:val="18"/>
        </w:rPr>
        <w:t> </w:t>
      </w:r>
      <w:r>
        <w:rPr>
          <w:sz w:val="18"/>
        </w:rPr>
        <w:t>información;</w:t>
      </w:r>
    </w:p>
    <w:p>
      <w:pPr>
        <w:pStyle w:val="ListParagraph"/>
        <w:numPr>
          <w:ilvl w:val="0"/>
          <w:numId w:val="36"/>
        </w:numPr>
        <w:tabs>
          <w:tab w:pos="1093" w:val="left" w:leader="none"/>
        </w:tabs>
        <w:spacing w:line="240" w:lineRule="auto" w:before="2" w:after="0"/>
        <w:ind w:left="810" w:right="127" w:firstLine="0"/>
        <w:jc w:val="left"/>
        <w:rPr>
          <w:sz w:val="18"/>
        </w:rPr>
      </w:pPr>
      <w:r>
        <w:rPr>
          <w:sz w:val="18"/>
        </w:rPr>
        <w:t>Confirmar, modificar o revocar la clasificación de la información hecha por los titulares de las unidades administrativas de la dependencia o</w:t>
      </w:r>
      <w:r>
        <w:rPr>
          <w:spacing w:val="-24"/>
          <w:sz w:val="18"/>
        </w:rPr>
        <w:t> </w:t>
      </w:r>
      <w:r>
        <w:rPr>
          <w:sz w:val="18"/>
        </w:rPr>
        <w:t>entidad;</w:t>
      </w:r>
    </w:p>
    <w:p>
      <w:pPr>
        <w:pStyle w:val="ListParagraph"/>
        <w:numPr>
          <w:ilvl w:val="0"/>
          <w:numId w:val="36"/>
        </w:numPr>
        <w:tabs>
          <w:tab w:pos="1091" w:val="left" w:leader="none"/>
        </w:tabs>
        <w:spacing w:line="240" w:lineRule="auto" w:before="0" w:after="0"/>
        <w:ind w:left="810" w:right="128" w:firstLine="0"/>
        <w:jc w:val="left"/>
        <w:rPr>
          <w:sz w:val="18"/>
        </w:rPr>
      </w:pPr>
      <w:r>
        <w:rPr>
          <w:sz w:val="18"/>
        </w:rPr>
        <w:t>Realizar a través de la unidad de enlace, las gestiones necesarias para localizar los documentos administrativos en los que conste la información</w:t>
      </w:r>
      <w:r>
        <w:rPr>
          <w:spacing w:val="-26"/>
          <w:sz w:val="18"/>
        </w:rPr>
        <w:t> </w:t>
      </w:r>
      <w:r>
        <w:rPr>
          <w:sz w:val="18"/>
        </w:rPr>
        <w:t>solicitada;</w:t>
      </w:r>
    </w:p>
    <w:p>
      <w:pPr>
        <w:pStyle w:val="ListParagraph"/>
        <w:numPr>
          <w:ilvl w:val="0"/>
          <w:numId w:val="36"/>
        </w:numPr>
        <w:tabs>
          <w:tab w:pos="1036" w:val="left" w:leader="none"/>
        </w:tabs>
        <w:spacing w:line="240" w:lineRule="auto" w:before="2" w:after="0"/>
        <w:ind w:left="810" w:right="115" w:firstLine="0"/>
        <w:jc w:val="both"/>
        <w:rPr>
          <w:sz w:val="18"/>
        </w:rPr>
      </w:pPr>
      <w:r>
        <w:rPr>
          <w:sz w:val="18"/>
        </w:rPr>
        <w:t>Establecer y supervisar la aplicación de los criterios específicos para la dependencia o entidad, en materia de clasificación y conservación de los documentos administrativos, así como la organización de archivos, de conformidad con los lineamientos expedidos por el Instituto y el Archivo General de la Nación, según</w:t>
      </w:r>
      <w:r>
        <w:rPr>
          <w:spacing w:val="-12"/>
          <w:sz w:val="18"/>
        </w:rPr>
        <w:t> </w:t>
      </w:r>
      <w:r>
        <w:rPr>
          <w:sz w:val="18"/>
        </w:rPr>
        <w:t>corresponda;</w:t>
      </w:r>
    </w:p>
    <w:p>
      <w:pPr>
        <w:pStyle w:val="ListParagraph"/>
        <w:numPr>
          <w:ilvl w:val="0"/>
          <w:numId w:val="36"/>
        </w:numPr>
        <w:tabs>
          <w:tab w:pos="1089" w:val="left" w:leader="none"/>
        </w:tabs>
        <w:spacing w:line="240" w:lineRule="auto" w:before="2" w:after="0"/>
        <w:ind w:left="810" w:right="125" w:firstLine="0"/>
        <w:jc w:val="both"/>
        <w:rPr>
          <w:sz w:val="18"/>
        </w:rPr>
      </w:pPr>
      <w:r>
        <w:rPr>
          <w:sz w:val="18"/>
        </w:rPr>
        <w:t>Elaborar un programa para facilitar la obtención de información de la dependencia o entidad, que deberá ser actualizado periódicamente y que incluya las medidas necesarias para la organización de los archivos,</w:t>
      </w:r>
      <w:r>
        <w:rPr>
          <w:spacing w:val="-4"/>
          <w:sz w:val="18"/>
        </w:rPr>
        <w:t> </w:t>
      </w:r>
      <w:r>
        <w:rPr>
          <w:sz w:val="18"/>
        </w:rPr>
        <w:t>y</w:t>
      </w:r>
    </w:p>
    <w:p>
      <w:pPr>
        <w:pStyle w:val="ListParagraph"/>
        <w:numPr>
          <w:ilvl w:val="0"/>
          <w:numId w:val="36"/>
        </w:numPr>
        <w:tabs>
          <w:tab w:pos="1161" w:val="left" w:leader="none"/>
        </w:tabs>
        <w:spacing w:line="240" w:lineRule="auto" w:before="0" w:after="0"/>
        <w:ind w:left="810" w:right="126" w:firstLine="0"/>
        <w:jc w:val="left"/>
        <w:rPr>
          <w:sz w:val="18"/>
        </w:rPr>
      </w:pPr>
      <w:r>
        <w:rPr>
          <w:sz w:val="18"/>
        </w:rPr>
        <w:t>Elaborar y enviar al Instituto, de conformidad con los lineamientos que éste expida, los datos necesarios para la elaboración del informe anual a que se refiere el Artículo</w:t>
      </w:r>
      <w:r>
        <w:rPr>
          <w:spacing w:val="-28"/>
          <w:sz w:val="18"/>
        </w:rPr>
        <w:t> </w:t>
      </w:r>
      <w:r>
        <w:rPr>
          <w:sz w:val="18"/>
        </w:rPr>
        <w:t>39.”</w:t>
      </w:r>
    </w:p>
    <w:p>
      <w:pPr>
        <w:pStyle w:val="BodyText"/>
        <w:rPr>
          <w:sz w:val="18"/>
        </w:rPr>
      </w:pPr>
    </w:p>
    <w:p>
      <w:pPr>
        <w:pStyle w:val="BodyText"/>
        <w:rPr>
          <w:sz w:val="18"/>
        </w:rPr>
      </w:pPr>
    </w:p>
    <w:p>
      <w:pPr>
        <w:pStyle w:val="BodyText"/>
        <w:spacing w:line="360" w:lineRule="auto" w:before="158"/>
        <w:ind w:left="102"/>
      </w:pPr>
      <w:r>
        <w:rPr/>
        <w:t>Respecto a lo anterior es preciso destacar que la atención del INAI a consultas de Comités de Información y Unidades de Enlace fueron las siguientes:</w:t>
      </w:r>
    </w:p>
    <w:p>
      <w:pPr>
        <w:pStyle w:val="Heading1"/>
        <w:spacing w:before="166"/>
        <w:ind w:left="2338" w:firstLine="0"/>
        <w:jc w:val="left"/>
      </w:pPr>
      <w:r>
        <w:rPr/>
        <w:drawing>
          <wp:anchor distT="0" distB="0" distL="0" distR="0" allowOverlap="1" layoutInCell="1" locked="0" behindDoc="1" simplePos="0" relativeHeight="265665311">
            <wp:simplePos x="0" y="0"/>
            <wp:positionH relativeFrom="page">
              <wp:posOffset>2480945</wp:posOffset>
            </wp:positionH>
            <wp:positionV relativeFrom="paragraph">
              <wp:posOffset>265123</wp:posOffset>
            </wp:positionV>
            <wp:extent cx="2864993" cy="1365885"/>
            <wp:effectExtent l="0" t="0" r="0" b="0"/>
            <wp:wrapNone/>
            <wp:docPr id="13" name="image10.jpeg" descr=""/>
            <wp:cNvGraphicFramePr>
              <a:graphicFrameLocks noChangeAspect="1"/>
            </wp:cNvGraphicFramePr>
            <a:graphic>
              <a:graphicData uri="http://schemas.openxmlformats.org/drawingml/2006/picture">
                <pic:pic>
                  <pic:nvPicPr>
                    <pic:cNvPr id="14" name="image10.jpeg"/>
                    <pic:cNvPicPr/>
                  </pic:nvPicPr>
                  <pic:blipFill>
                    <a:blip r:embed="rId50" cstate="print"/>
                    <a:stretch>
                      <a:fillRect/>
                    </a:stretch>
                  </pic:blipFill>
                  <pic:spPr>
                    <a:xfrm>
                      <a:off x="0" y="0"/>
                      <a:ext cx="2864993" cy="1365885"/>
                    </a:xfrm>
                    <a:prstGeom prst="rect">
                      <a:avLst/>
                    </a:prstGeom>
                  </pic:spPr>
                </pic:pic>
              </a:graphicData>
            </a:graphic>
          </wp:anchor>
        </w:drawing>
      </w:r>
      <w:r>
        <w:rPr/>
        <w:t>Tabla 2.3. Consultas realizadas al INAI</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6"/>
        <w:rPr>
          <w:b/>
          <w:sz w:val="31"/>
        </w:rPr>
      </w:pPr>
    </w:p>
    <w:p>
      <w:pPr>
        <w:spacing w:before="0"/>
        <w:ind w:left="2305" w:right="0" w:firstLine="0"/>
        <w:jc w:val="left"/>
        <w:rPr>
          <w:sz w:val="24"/>
        </w:rPr>
      </w:pPr>
      <w:r>
        <w:rPr>
          <w:sz w:val="18"/>
        </w:rPr>
        <w:t>Fuente: Informe de actividades 2012 del INAI</w:t>
      </w:r>
      <w:r>
        <w:rPr>
          <w:sz w:val="24"/>
        </w:rPr>
        <w:t>.</w:t>
      </w:r>
    </w:p>
    <w:p>
      <w:pPr>
        <w:pStyle w:val="BodyText"/>
      </w:pPr>
    </w:p>
    <w:p>
      <w:pPr>
        <w:pStyle w:val="BodyText"/>
      </w:pPr>
    </w:p>
    <w:p>
      <w:pPr>
        <w:pStyle w:val="BodyText"/>
        <w:spacing w:before="8"/>
        <w:rPr>
          <w:sz w:val="27"/>
        </w:rPr>
      </w:pPr>
    </w:p>
    <w:p>
      <w:pPr>
        <w:pStyle w:val="BodyText"/>
        <w:spacing w:line="360" w:lineRule="auto"/>
        <w:ind w:left="102"/>
      </w:pPr>
      <w:r>
        <w:rPr/>
        <w:t>En</w:t>
      </w:r>
      <w:r>
        <w:rPr>
          <w:spacing w:val="-13"/>
        </w:rPr>
        <w:t> </w:t>
      </w:r>
      <w:r>
        <w:rPr/>
        <w:t>este</w:t>
      </w:r>
      <w:r>
        <w:rPr>
          <w:spacing w:val="-13"/>
        </w:rPr>
        <w:t> </w:t>
      </w:r>
      <w:r>
        <w:rPr/>
        <w:t>cuadro</w:t>
      </w:r>
      <w:r>
        <w:rPr>
          <w:spacing w:val="-14"/>
        </w:rPr>
        <w:t> </w:t>
      </w:r>
      <w:r>
        <w:rPr/>
        <w:t>se</w:t>
      </w:r>
      <w:r>
        <w:rPr>
          <w:spacing w:val="-16"/>
        </w:rPr>
        <w:t> </w:t>
      </w:r>
      <w:r>
        <w:rPr/>
        <w:t>puede</w:t>
      </w:r>
      <w:r>
        <w:rPr>
          <w:spacing w:val="-13"/>
        </w:rPr>
        <w:t> </w:t>
      </w:r>
      <w:r>
        <w:rPr/>
        <w:t>observar</w:t>
      </w:r>
      <w:r>
        <w:rPr>
          <w:spacing w:val="-15"/>
        </w:rPr>
        <w:t> </w:t>
      </w:r>
      <w:r>
        <w:rPr/>
        <w:t>cómo</w:t>
      </w:r>
      <w:r>
        <w:rPr>
          <w:spacing w:val="-13"/>
        </w:rPr>
        <w:t> </w:t>
      </w:r>
      <w:r>
        <w:rPr/>
        <w:t>en</w:t>
      </w:r>
      <w:r>
        <w:rPr>
          <w:spacing w:val="-13"/>
        </w:rPr>
        <w:t> </w:t>
      </w:r>
      <w:r>
        <w:rPr/>
        <w:t>2008</w:t>
      </w:r>
      <w:r>
        <w:rPr>
          <w:spacing w:val="-13"/>
        </w:rPr>
        <w:t> </w:t>
      </w:r>
      <w:r>
        <w:rPr/>
        <w:t>se</w:t>
      </w:r>
      <w:r>
        <w:rPr>
          <w:spacing w:val="-13"/>
        </w:rPr>
        <w:t> </w:t>
      </w:r>
      <w:r>
        <w:rPr/>
        <w:t>dio</w:t>
      </w:r>
      <w:r>
        <w:rPr>
          <w:spacing w:val="-13"/>
        </w:rPr>
        <w:t> </w:t>
      </w:r>
      <w:r>
        <w:rPr/>
        <w:t>un</w:t>
      </w:r>
      <w:r>
        <w:rPr>
          <w:spacing w:val="-13"/>
        </w:rPr>
        <w:t> </w:t>
      </w:r>
      <w:r>
        <w:rPr/>
        <w:t>incremento</w:t>
      </w:r>
      <w:r>
        <w:rPr>
          <w:spacing w:val="-13"/>
        </w:rPr>
        <w:t> </w:t>
      </w:r>
      <w:r>
        <w:rPr/>
        <w:t>considerable de</w:t>
      </w:r>
      <w:r>
        <w:rPr>
          <w:spacing w:val="-19"/>
        </w:rPr>
        <w:t> </w:t>
      </w:r>
      <w:r>
        <w:rPr/>
        <w:t>consultas</w:t>
      </w:r>
      <w:r>
        <w:rPr>
          <w:spacing w:val="-19"/>
        </w:rPr>
        <w:t> </w:t>
      </w:r>
      <w:r>
        <w:rPr/>
        <w:t>al</w:t>
      </w:r>
      <w:r>
        <w:rPr>
          <w:spacing w:val="-19"/>
        </w:rPr>
        <w:t> </w:t>
      </w:r>
      <w:r>
        <w:rPr/>
        <w:t>llegar</w:t>
      </w:r>
      <w:r>
        <w:rPr>
          <w:spacing w:val="-19"/>
        </w:rPr>
        <w:t> </w:t>
      </w:r>
      <w:r>
        <w:rPr/>
        <w:t>hasta</w:t>
      </w:r>
      <w:r>
        <w:rPr>
          <w:spacing w:val="-19"/>
        </w:rPr>
        <w:t> </w:t>
      </w:r>
      <w:r>
        <w:rPr/>
        <w:t>10,</w:t>
      </w:r>
      <w:r>
        <w:rPr>
          <w:spacing w:val="-19"/>
        </w:rPr>
        <w:t> </w:t>
      </w:r>
      <w:r>
        <w:rPr/>
        <w:t>307,</w:t>
      </w:r>
      <w:r>
        <w:rPr>
          <w:spacing w:val="-19"/>
        </w:rPr>
        <w:t> </w:t>
      </w:r>
      <w:r>
        <w:rPr/>
        <w:t>situación</w:t>
      </w:r>
      <w:r>
        <w:rPr>
          <w:spacing w:val="-20"/>
        </w:rPr>
        <w:t> </w:t>
      </w:r>
      <w:r>
        <w:rPr/>
        <w:t>que</w:t>
      </w:r>
      <w:r>
        <w:rPr>
          <w:spacing w:val="-19"/>
        </w:rPr>
        <w:t> </w:t>
      </w:r>
      <w:r>
        <w:rPr/>
        <w:t>podría</w:t>
      </w:r>
      <w:r>
        <w:rPr>
          <w:spacing w:val="-19"/>
        </w:rPr>
        <w:t> </w:t>
      </w:r>
      <w:r>
        <w:rPr/>
        <w:t>explicarse</w:t>
      </w:r>
      <w:r>
        <w:rPr>
          <w:spacing w:val="-19"/>
        </w:rPr>
        <w:t> </w:t>
      </w:r>
      <w:r>
        <w:rPr/>
        <w:t>por</w:t>
      </w:r>
      <w:r>
        <w:rPr>
          <w:spacing w:val="-19"/>
        </w:rPr>
        <w:t> </w:t>
      </w:r>
      <w:r>
        <w:rPr/>
        <w:t>los</w:t>
      </w:r>
      <w:r>
        <w:rPr>
          <w:spacing w:val="-19"/>
        </w:rPr>
        <w:t> </w:t>
      </w:r>
      <w:r>
        <w:rPr/>
        <w:t>procesos</w:t>
      </w:r>
    </w:p>
    <w:p>
      <w:pPr>
        <w:spacing w:after="0" w:line="360" w:lineRule="auto"/>
        <w:sectPr>
          <w:pgSz w:w="12240" w:h="15840"/>
          <w:pgMar w:header="0" w:footer="1035" w:top="1360" w:bottom="1220" w:left="1600" w:right="1580"/>
        </w:sectPr>
      </w:pPr>
    </w:p>
    <w:p>
      <w:pPr>
        <w:pStyle w:val="BodyText"/>
        <w:spacing w:line="360" w:lineRule="auto" w:before="54"/>
        <w:ind w:left="122" w:right="118"/>
        <w:jc w:val="both"/>
      </w:pPr>
      <w:r>
        <w:rPr/>
        <w:t>electorales</w:t>
      </w:r>
      <w:r>
        <w:rPr>
          <w:spacing w:val="-8"/>
        </w:rPr>
        <w:t> </w:t>
      </w:r>
      <w:r>
        <w:rPr/>
        <w:t>de</w:t>
      </w:r>
      <w:r>
        <w:rPr>
          <w:spacing w:val="-5"/>
        </w:rPr>
        <w:t> </w:t>
      </w:r>
      <w:r>
        <w:rPr/>
        <w:t>2009,</w:t>
      </w:r>
      <w:r>
        <w:rPr>
          <w:spacing w:val="-5"/>
        </w:rPr>
        <w:t> </w:t>
      </w:r>
      <w:r>
        <w:rPr/>
        <w:t>en</w:t>
      </w:r>
      <w:r>
        <w:rPr>
          <w:spacing w:val="-5"/>
        </w:rPr>
        <w:t> </w:t>
      </w:r>
      <w:r>
        <w:rPr/>
        <w:t>los</w:t>
      </w:r>
      <w:r>
        <w:rPr>
          <w:spacing w:val="-5"/>
        </w:rPr>
        <w:t> </w:t>
      </w:r>
      <w:r>
        <w:rPr/>
        <w:t>que</w:t>
      </w:r>
      <w:r>
        <w:rPr>
          <w:spacing w:val="-7"/>
        </w:rPr>
        <w:t> </w:t>
      </w:r>
      <w:r>
        <w:rPr/>
        <w:t>las</w:t>
      </w:r>
      <w:r>
        <w:rPr>
          <w:spacing w:val="-7"/>
        </w:rPr>
        <w:t> </w:t>
      </w:r>
      <w:r>
        <w:rPr/>
        <w:t>demandas</w:t>
      </w:r>
      <w:r>
        <w:rPr>
          <w:spacing w:val="-5"/>
        </w:rPr>
        <w:t> </w:t>
      </w:r>
      <w:r>
        <w:rPr/>
        <w:t>de</w:t>
      </w:r>
      <w:r>
        <w:rPr>
          <w:spacing w:val="-7"/>
        </w:rPr>
        <w:t> </w:t>
      </w:r>
      <w:r>
        <w:rPr/>
        <w:t>información</w:t>
      </w:r>
      <w:r>
        <w:rPr>
          <w:spacing w:val="-5"/>
        </w:rPr>
        <w:t> </w:t>
      </w:r>
      <w:r>
        <w:rPr/>
        <w:t>se</w:t>
      </w:r>
      <w:r>
        <w:rPr>
          <w:spacing w:val="-7"/>
        </w:rPr>
        <w:t> </w:t>
      </w:r>
      <w:r>
        <w:rPr/>
        <w:t>incrementan.</w:t>
      </w:r>
      <w:r>
        <w:rPr>
          <w:spacing w:val="-5"/>
        </w:rPr>
        <w:t> </w:t>
      </w:r>
      <w:r>
        <w:rPr/>
        <w:t>Ante el incremento de solicitudes de información las actividades realizadas por el INAI para promover la transparencia se encuentran las</w:t>
      </w:r>
      <w:r>
        <w:rPr>
          <w:spacing w:val="-23"/>
        </w:rPr>
        <w:t> </w:t>
      </w:r>
      <w:r>
        <w:rPr/>
        <w:t>siguientes:</w:t>
      </w:r>
    </w:p>
    <w:p>
      <w:pPr>
        <w:pStyle w:val="BodyText"/>
      </w:pPr>
    </w:p>
    <w:p>
      <w:pPr>
        <w:pStyle w:val="BodyText"/>
      </w:pPr>
    </w:p>
    <w:p>
      <w:pPr>
        <w:pStyle w:val="ListParagraph"/>
        <w:numPr>
          <w:ilvl w:val="4"/>
          <w:numId w:val="34"/>
        </w:numPr>
        <w:tabs>
          <w:tab w:pos="549" w:val="left" w:leader="none"/>
          <w:tab w:pos="550" w:val="left" w:leader="none"/>
        </w:tabs>
        <w:spacing w:line="240" w:lineRule="auto" w:before="186" w:after="0"/>
        <w:ind w:left="549" w:right="0" w:hanging="360"/>
        <w:jc w:val="left"/>
        <w:rPr>
          <w:sz w:val="24"/>
        </w:rPr>
      </w:pPr>
      <w:r>
        <w:rPr>
          <w:sz w:val="24"/>
        </w:rPr>
        <w:t>Cursos de capacitación sobre la ley de transparencia y el portal de</w:t>
      </w:r>
      <w:r>
        <w:rPr>
          <w:spacing w:val="-17"/>
          <w:sz w:val="24"/>
        </w:rPr>
        <w:t> </w:t>
      </w:r>
      <w:r>
        <w:rPr>
          <w:sz w:val="24"/>
        </w:rPr>
        <w:t>Internet.</w:t>
      </w:r>
    </w:p>
    <w:p>
      <w:pPr>
        <w:pStyle w:val="ListParagraph"/>
        <w:numPr>
          <w:ilvl w:val="4"/>
          <w:numId w:val="34"/>
        </w:numPr>
        <w:tabs>
          <w:tab w:pos="550" w:val="left" w:leader="none"/>
        </w:tabs>
        <w:spacing w:line="273" w:lineRule="auto" w:before="39" w:after="0"/>
        <w:ind w:left="549" w:right="125" w:hanging="360"/>
        <w:jc w:val="both"/>
        <w:rPr>
          <w:sz w:val="24"/>
        </w:rPr>
      </w:pPr>
      <w:r>
        <w:rPr>
          <w:sz w:val="24"/>
        </w:rPr>
        <w:t>Estudios de medición de la transparencia en coordinación con la Secretaría de la Función Pública, el CIDE y</w:t>
      </w:r>
      <w:r>
        <w:rPr>
          <w:spacing w:val="-14"/>
          <w:sz w:val="24"/>
        </w:rPr>
        <w:t> </w:t>
      </w:r>
      <w:r>
        <w:rPr>
          <w:sz w:val="24"/>
        </w:rPr>
        <w:t>Transparencia.</w:t>
      </w:r>
    </w:p>
    <w:p>
      <w:pPr>
        <w:pStyle w:val="ListParagraph"/>
        <w:numPr>
          <w:ilvl w:val="4"/>
          <w:numId w:val="34"/>
        </w:numPr>
        <w:tabs>
          <w:tab w:pos="550" w:val="left" w:leader="none"/>
        </w:tabs>
        <w:spacing w:line="276" w:lineRule="auto" w:before="1" w:after="0"/>
        <w:ind w:left="549" w:right="114" w:hanging="360"/>
        <w:jc w:val="both"/>
        <w:rPr>
          <w:sz w:val="24"/>
        </w:rPr>
      </w:pPr>
      <w:r>
        <w:rPr>
          <w:sz w:val="24"/>
        </w:rPr>
        <w:t>Convenios de colaboración con dependencias tales como: la Comisión Federal de Telecomunicaciones (COFETEL) a efectos de promover la transparencia y la protección de datos personales; la Secretaría de Hacienda y Crédito Público (SHCP),</w:t>
      </w:r>
      <w:r>
        <w:rPr>
          <w:spacing w:val="-18"/>
          <w:sz w:val="24"/>
        </w:rPr>
        <w:t> </w:t>
      </w:r>
      <w:r>
        <w:rPr>
          <w:sz w:val="24"/>
        </w:rPr>
        <w:t>para</w:t>
      </w:r>
      <w:r>
        <w:rPr>
          <w:spacing w:val="-20"/>
          <w:sz w:val="24"/>
        </w:rPr>
        <w:t> </w:t>
      </w:r>
      <w:r>
        <w:rPr>
          <w:sz w:val="24"/>
        </w:rPr>
        <w:t>crear</w:t>
      </w:r>
      <w:r>
        <w:rPr>
          <w:spacing w:val="-20"/>
          <w:sz w:val="24"/>
        </w:rPr>
        <w:t> </w:t>
      </w:r>
      <w:r>
        <w:rPr>
          <w:sz w:val="24"/>
        </w:rPr>
        <w:t>el</w:t>
      </w:r>
      <w:r>
        <w:rPr>
          <w:spacing w:val="-20"/>
          <w:sz w:val="24"/>
        </w:rPr>
        <w:t> </w:t>
      </w:r>
      <w:r>
        <w:rPr>
          <w:sz w:val="24"/>
        </w:rPr>
        <w:t>Portal</w:t>
      </w:r>
      <w:r>
        <w:rPr>
          <w:spacing w:val="-20"/>
          <w:sz w:val="24"/>
        </w:rPr>
        <w:t> </w:t>
      </w:r>
      <w:r>
        <w:rPr>
          <w:sz w:val="24"/>
        </w:rPr>
        <w:t>de</w:t>
      </w:r>
      <w:r>
        <w:rPr>
          <w:spacing w:val="-21"/>
          <w:sz w:val="24"/>
        </w:rPr>
        <w:t> </w:t>
      </w:r>
      <w:r>
        <w:rPr>
          <w:sz w:val="24"/>
        </w:rPr>
        <w:t>Transparencia</w:t>
      </w:r>
      <w:r>
        <w:rPr>
          <w:spacing w:val="-17"/>
          <w:sz w:val="24"/>
        </w:rPr>
        <w:t> </w:t>
      </w:r>
      <w:r>
        <w:rPr>
          <w:sz w:val="24"/>
        </w:rPr>
        <w:t>Presupuestaria;</w:t>
      </w:r>
      <w:r>
        <w:rPr>
          <w:spacing w:val="-19"/>
          <w:sz w:val="24"/>
        </w:rPr>
        <w:t> </w:t>
      </w:r>
      <w:r>
        <w:rPr>
          <w:sz w:val="24"/>
        </w:rPr>
        <w:t>con</w:t>
      </w:r>
      <w:r>
        <w:rPr>
          <w:spacing w:val="-17"/>
          <w:sz w:val="24"/>
        </w:rPr>
        <w:t> </w:t>
      </w:r>
      <w:r>
        <w:rPr>
          <w:sz w:val="24"/>
        </w:rPr>
        <w:t>la</w:t>
      </w:r>
      <w:r>
        <w:rPr>
          <w:spacing w:val="-17"/>
          <w:sz w:val="24"/>
        </w:rPr>
        <w:t> </w:t>
      </w:r>
      <w:r>
        <w:rPr>
          <w:sz w:val="24"/>
        </w:rPr>
        <w:t>Secretaría de Educación Pública, sobre los resultados de ingreso de los alumnos. Asimismo, ha establecido convenios con diferentes organizaciones civiles</w:t>
      </w:r>
      <w:r>
        <w:rPr>
          <w:position w:val="8"/>
          <w:sz w:val="16"/>
        </w:rPr>
        <w:t>23 </w:t>
      </w:r>
      <w:r>
        <w:rPr>
          <w:sz w:val="24"/>
        </w:rPr>
        <w:t>para promover la</w:t>
      </w:r>
      <w:r>
        <w:rPr>
          <w:spacing w:val="-14"/>
          <w:sz w:val="24"/>
        </w:rPr>
        <w:t> </w:t>
      </w:r>
      <w:r>
        <w:rPr>
          <w:sz w:val="24"/>
        </w:rPr>
        <w:t>transparencia.</w:t>
      </w:r>
    </w:p>
    <w:p>
      <w:pPr>
        <w:pStyle w:val="ListParagraph"/>
        <w:numPr>
          <w:ilvl w:val="4"/>
          <w:numId w:val="34"/>
        </w:numPr>
        <w:tabs>
          <w:tab w:pos="550" w:val="left" w:leader="none"/>
        </w:tabs>
        <w:spacing w:line="276" w:lineRule="auto" w:before="0" w:after="0"/>
        <w:ind w:left="549" w:right="125" w:hanging="360"/>
        <w:jc w:val="both"/>
        <w:rPr>
          <w:sz w:val="24"/>
        </w:rPr>
      </w:pPr>
      <w:r>
        <w:rPr>
          <w:sz w:val="24"/>
        </w:rPr>
        <w:t>Asimismo, contiene una serie de publicaciones denominada “cuadernos de transparencia” en los que diversos autores explican la situación de la transparencia en</w:t>
      </w:r>
      <w:r>
        <w:rPr>
          <w:spacing w:val="-7"/>
          <w:sz w:val="24"/>
        </w:rPr>
        <w:t> </w:t>
      </w:r>
      <w:r>
        <w:rPr>
          <w:sz w:val="24"/>
        </w:rPr>
        <w:t>México.</w:t>
      </w:r>
    </w:p>
    <w:p>
      <w:pPr>
        <w:pStyle w:val="ListParagraph"/>
        <w:numPr>
          <w:ilvl w:val="4"/>
          <w:numId w:val="34"/>
        </w:numPr>
        <w:tabs>
          <w:tab w:pos="550" w:val="left" w:leader="none"/>
        </w:tabs>
        <w:spacing w:line="273" w:lineRule="auto" w:before="0" w:after="0"/>
        <w:ind w:left="549" w:right="124" w:hanging="360"/>
        <w:jc w:val="both"/>
        <w:rPr>
          <w:sz w:val="24"/>
        </w:rPr>
      </w:pPr>
      <w:r>
        <w:rPr>
          <w:sz w:val="24"/>
        </w:rPr>
        <w:t>De igual manera ha elaborado informes de actividades en los que se describe la situación que guarda el país, respecto al número de solicitudes y sus respuestas por parte de las dependencias</w:t>
      </w:r>
      <w:r>
        <w:rPr>
          <w:spacing w:val="-16"/>
          <w:sz w:val="24"/>
        </w:rPr>
        <w:t> </w:t>
      </w:r>
      <w:r>
        <w:rPr>
          <w:sz w:val="24"/>
        </w:rPr>
        <w:t>federales.</w:t>
      </w:r>
    </w:p>
    <w:p>
      <w:pPr>
        <w:pStyle w:val="ListParagraph"/>
        <w:numPr>
          <w:ilvl w:val="4"/>
          <w:numId w:val="34"/>
        </w:numPr>
        <w:tabs>
          <w:tab w:pos="550" w:val="left" w:leader="none"/>
        </w:tabs>
        <w:spacing w:line="276" w:lineRule="auto" w:before="2" w:after="0"/>
        <w:ind w:left="549" w:right="118" w:hanging="360"/>
        <w:jc w:val="both"/>
        <w:rPr>
          <w:sz w:val="24"/>
        </w:rPr>
      </w:pPr>
      <w:r>
        <w:rPr>
          <w:sz w:val="24"/>
        </w:rPr>
        <w:t>En coordinación con la Secretaría de la Función Pública (SFP) y diferentes Dependencias del Gobierno Federal se realizaron reuniones para definir temas susceptibles de publicación en los sitios web institucionales bajo el tema de “transparencia</w:t>
      </w:r>
      <w:r>
        <w:rPr>
          <w:spacing w:val="-10"/>
          <w:sz w:val="24"/>
        </w:rPr>
        <w:t> </w:t>
      </w:r>
      <w:r>
        <w:rPr>
          <w:sz w:val="24"/>
        </w:rPr>
        <w:t>focalizada”.</w:t>
      </w:r>
    </w:p>
    <w:p>
      <w:pPr>
        <w:pStyle w:val="ListParagraph"/>
        <w:numPr>
          <w:ilvl w:val="4"/>
          <w:numId w:val="34"/>
        </w:numPr>
        <w:tabs>
          <w:tab w:pos="549" w:val="left" w:leader="none"/>
          <w:tab w:pos="550" w:val="left" w:leader="none"/>
        </w:tabs>
        <w:spacing w:line="293" w:lineRule="exact" w:before="0" w:after="0"/>
        <w:ind w:left="549" w:right="0" w:hanging="360"/>
        <w:jc w:val="left"/>
        <w:rPr>
          <w:sz w:val="24"/>
        </w:rPr>
      </w:pPr>
      <w:r>
        <w:rPr>
          <w:sz w:val="24"/>
        </w:rPr>
        <w:t>Se ha realizado la Semana Nacional de Transparencia desde</w:t>
      </w:r>
      <w:r>
        <w:rPr>
          <w:spacing w:val="-25"/>
          <w:sz w:val="24"/>
        </w:rPr>
        <w:t> </w:t>
      </w:r>
      <w:r>
        <w:rPr>
          <w:sz w:val="24"/>
        </w:rPr>
        <w:t>2007.</w:t>
      </w:r>
    </w:p>
    <w:p>
      <w:pPr>
        <w:pStyle w:val="ListParagraph"/>
        <w:numPr>
          <w:ilvl w:val="4"/>
          <w:numId w:val="34"/>
        </w:numPr>
        <w:tabs>
          <w:tab w:pos="550" w:val="left" w:leader="none"/>
        </w:tabs>
        <w:spacing w:line="273" w:lineRule="auto" w:before="39" w:after="0"/>
        <w:ind w:left="549" w:right="125" w:hanging="360"/>
        <w:jc w:val="both"/>
        <w:rPr>
          <w:sz w:val="24"/>
        </w:rPr>
      </w:pPr>
      <w:r>
        <w:rPr>
          <w:sz w:val="24"/>
        </w:rPr>
        <w:t>Se creó en 2004 la Conferencia Mexicana para el Acceso a la Información Pública que agrupa los institutos estatales de información del</w:t>
      </w:r>
      <w:r>
        <w:rPr>
          <w:spacing w:val="-26"/>
          <w:sz w:val="24"/>
        </w:rPr>
        <w:t> </w:t>
      </w:r>
      <w:r>
        <w:rPr>
          <w:sz w:val="24"/>
        </w:rPr>
        <w:t>país.</w:t>
      </w:r>
    </w:p>
    <w:p>
      <w:pPr>
        <w:pStyle w:val="ListParagraph"/>
        <w:numPr>
          <w:ilvl w:val="4"/>
          <w:numId w:val="34"/>
        </w:numPr>
        <w:tabs>
          <w:tab w:pos="550" w:val="left" w:leader="none"/>
        </w:tabs>
        <w:spacing w:line="273" w:lineRule="auto" w:before="1" w:after="0"/>
        <w:ind w:left="549" w:right="124" w:hanging="360"/>
        <w:jc w:val="both"/>
        <w:rPr>
          <w:sz w:val="24"/>
        </w:rPr>
      </w:pPr>
      <w:r>
        <w:rPr>
          <w:sz w:val="24"/>
        </w:rPr>
        <w:t>Se creó el sistema INFOMEX para brindar atención vía web a los distintos usuarios.</w:t>
      </w:r>
    </w:p>
    <w:p>
      <w:pPr>
        <w:pStyle w:val="ListParagraph"/>
        <w:numPr>
          <w:ilvl w:val="4"/>
          <w:numId w:val="34"/>
        </w:numPr>
        <w:tabs>
          <w:tab w:pos="550" w:val="left" w:leader="none"/>
        </w:tabs>
        <w:spacing w:line="273" w:lineRule="auto" w:before="1" w:after="0"/>
        <w:ind w:left="549" w:right="125" w:hanging="360"/>
        <w:jc w:val="both"/>
        <w:rPr>
          <w:sz w:val="24"/>
        </w:rPr>
      </w:pPr>
      <w:r>
        <w:rPr>
          <w:sz w:val="24"/>
        </w:rPr>
        <w:t>Asimismo, ha realizados 423 eventos en favor de la promoción del derecho de acceso a la</w:t>
      </w:r>
      <w:r>
        <w:rPr>
          <w:spacing w:val="-6"/>
          <w:sz w:val="24"/>
        </w:rPr>
        <w:t> </w:t>
      </w:r>
      <w:r>
        <w:rPr>
          <w:sz w:val="24"/>
        </w:rPr>
        <w:t>información.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r>
        <w:rPr/>
        <w:pict>
          <v:line style="position:absolute;mso-position-horizontal-relative:page;mso-position-vertical-relative:paragraph;z-index:3304;mso-wrap-distance-left:0;mso-wrap-distance-right:0" from="85.103996pt,17.113012pt" to="229.123996pt,17.113012pt" stroked="true" strokeweight=".71997pt" strokecolor="#000000">
            <w10:wrap type="topAndBottom"/>
          </v:line>
        </w:pict>
      </w:r>
    </w:p>
    <w:p>
      <w:pPr>
        <w:spacing w:before="70"/>
        <w:ind w:left="122" w:right="337" w:firstLine="0"/>
        <w:jc w:val="left"/>
        <w:rPr>
          <w:rFonts w:ascii="Calibri"/>
          <w:sz w:val="13"/>
        </w:rPr>
      </w:pPr>
      <w:r>
        <w:rPr>
          <w:rFonts w:ascii="Calibri"/>
          <w:sz w:val="13"/>
        </w:rPr>
        <w:t>23</w:t>
      </w:r>
    </w:p>
    <w:p>
      <w:pPr>
        <w:spacing w:after="0"/>
        <w:jc w:val="left"/>
        <w:rPr>
          <w:rFonts w:ascii="Calibri"/>
          <w:sz w:val="13"/>
        </w:rPr>
        <w:sectPr>
          <w:pgSz w:w="12240" w:h="15840"/>
          <w:pgMar w:header="0" w:footer="1035" w:top="1360" w:bottom="1220" w:left="1580" w:right="1580"/>
        </w:sectPr>
      </w:pPr>
    </w:p>
    <w:p>
      <w:pPr>
        <w:pStyle w:val="Heading1"/>
        <w:spacing w:line="360" w:lineRule="auto" w:before="54"/>
        <w:ind w:left="2106" w:right="2865" w:firstLine="1"/>
        <w:jc w:val="center"/>
      </w:pPr>
      <w:r>
        <w:rPr/>
        <w:drawing>
          <wp:anchor distT="0" distB="0" distL="0" distR="0" allowOverlap="1" layoutInCell="1" locked="0" behindDoc="1" simplePos="0" relativeHeight="265665359">
            <wp:simplePos x="0" y="0"/>
            <wp:positionH relativeFrom="page">
              <wp:posOffset>2105025</wp:posOffset>
            </wp:positionH>
            <wp:positionV relativeFrom="paragraph">
              <wp:posOffset>782902</wp:posOffset>
            </wp:positionV>
            <wp:extent cx="3214370" cy="1495425"/>
            <wp:effectExtent l="0" t="0" r="0" b="0"/>
            <wp:wrapNone/>
            <wp:docPr id="15" name="image11.jpeg" descr=""/>
            <wp:cNvGraphicFramePr>
              <a:graphicFrameLocks noChangeAspect="1"/>
            </wp:cNvGraphicFramePr>
            <a:graphic>
              <a:graphicData uri="http://schemas.openxmlformats.org/drawingml/2006/picture">
                <pic:pic>
                  <pic:nvPicPr>
                    <pic:cNvPr id="16" name="image11.jpeg"/>
                    <pic:cNvPicPr/>
                  </pic:nvPicPr>
                  <pic:blipFill>
                    <a:blip r:embed="rId51" cstate="print"/>
                    <a:stretch>
                      <a:fillRect/>
                    </a:stretch>
                  </pic:blipFill>
                  <pic:spPr>
                    <a:xfrm>
                      <a:off x="0" y="0"/>
                      <a:ext cx="3214370" cy="1495425"/>
                    </a:xfrm>
                    <a:prstGeom prst="rect">
                      <a:avLst/>
                    </a:prstGeom>
                  </pic:spPr>
                </pic:pic>
              </a:graphicData>
            </a:graphic>
          </wp:anchor>
        </w:drawing>
      </w:r>
      <w:r>
        <w:rPr/>
        <w:t>Tabla 2.4. Actividades del INAI para promover el derecho de acceso a la información</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
        <w:rPr>
          <w:b/>
          <w:sz w:val="22"/>
        </w:rPr>
      </w:pPr>
    </w:p>
    <w:p>
      <w:pPr>
        <w:spacing w:before="0"/>
        <w:ind w:left="1662" w:right="579" w:firstLine="0"/>
        <w:jc w:val="left"/>
        <w:rPr>
          <w:sz w:val="18"/>
        </w:rPr>
      </w:pPr>
      <w:r>
        <w:rPr>
          <w:sz w:val="18"/>
        </w:rPr>
        <w:t>Fuente: Informe de Actividades del INAI, 2012).</w:t>
      </w:r>
    </w:p>
    <w:p>
      <w:pPr>
        <w:pStyle w:val="BodyText"/>
        <w:rPr>
          <w:sz w:val="18"/>
        </w:rPr>
      </w:pPr>
    </w:p>
    <w:p>
      <w:pPr>
        <w:pStyle w:val="BodyText"/>
        <w:rPr>
          <w:sz w:val="18"/>
        </w:rPr>
      </w:pPr>
    </w:p>
    <w:p>
      <w:pPr>
        <w:pStyle w:val="BodyText"/>
        <w:rPr>
          <w:sz w:val="18"/>
        </w:rPr>
      </w:pPr>
    </w:p>
    <w:p>
      <w:pPr>
        <w:pStyle w:val="BodyText"/>
        <w:spacing w:before="8"/>
        <w:rPr>
          <w:sz w:val="18"/>
        </w:rPr>
      </w:pPr>
    </w:p>
    <w:p>
      <w:pPr>
        <w:pStyle w:val="BodyText"/>
        <w:spacing w:line="360" w:lineRule="auto"/>
        <w:ind w:left="102" w:right="98"/>
        <w:jc w:val="both"/>
      </w:pPr>
      <w:r>
        <w:rPr/>
        <w:t>Todas</w:t>
      </w:r>
      <w:r>
        <w:rPr>
          <w:spacing w:val="-16"/>
        </w:rPr>
        <w:t> </w:t>
      </w:r>
      <w:r>
        <w:rPr/>
        <w:t>estas</w:t>
      </w:r>
      <w:r>
        <w:rPr>
          <w:spacing w:val="-16"/>
        </w:rPr>
        <w:t> </w:t>
      </w:r>
      <w:r>
        <w:rPr/>
        <w:t>acciones</w:t>
      </w:r>
      <w:r>
        <w:rPr>
          <w:spacing w:val="-19"/>
        </w:rPr>
        <w:t> </w:t>
      </w:r>
      <w:r>
        <w:rPr/>
        <w:t>denotan</w:t>
      </w:r>
      <w:r>
        <w:rPr>
          <w:spacing w:val="-15"/>
        </w:rPr>
        <w:t> </w:t>
      </w:r>
      <w:r>
        <w:rPr/>
        <w:t>cómo</w:t>
      </w:r>
      <w:r>
        <w:rPr>
          <w:spacing w:val="-13"/>
        </w:rPr>
        <w:t> </w:t>
      </w:r>
      <w:r>
        <w:rPr/>
        <w:t>se</w:t>
      </w:r>
      <w:r>
        <w:rPr>
          <w:spacing w:val="-15"/>
        </w:rPr>
        <w:t> </w:t>
      </w:r>
      <w:r>
        <w:rPr/>
        <w:t>va</w:t>
      </w:r>
      <w:r>
        <w:rPr>
          <w:spacing w:val="-13"/>
        </w:rPr>
        <w:t> </w:t>
      </w:r>
      <w:r>
        <w:rPr/>
        <w:t>consolidando</w:t>
      </w:r>
      <w:r>
        <w:rPr>
          <w:spacing w:val="-15"/>
        </w:rPr>
        <w:t> </w:t>
      </w:r>
      <w:r>
        <w:rPr/>
        <w:t>el</w:t>
      </w:r>
      <w:r>
        <w:rPr>
          <w:spacing w:val="-17"/>
        </w:rPr>
        <w:t> </w:t>
      </w:r>
      <w:r>
        <w:rPr/>
        <w:t>trabajo</w:t>
      </w:r>
      <w:r>
        <w:rPr>
          <w:spacing w:val="-16"/>
        </w:rPr>
        <w:t> </w:t>
      </w:r>
      <w:r>
        <w:rPr/>
        <w:t>del</w:t>
      </w:r>
      <w:r>
        <w:rPr>
          <w:spacing w:val="-14"/>
        </w:rPr>
        <w:t> </w:t>
      </w:r>
      <w:r>
        <w:rPr/>
        <w:t>INAI</w:t>
      </w:r>
      <w:r>
        <w:rPr>
          <w:spacing w:val="-16"/>
        </w:rPr>
        <w:t> </w:t>
      </w:r>
      <w:r>
        <w:rPr/>
        <w:t>respecto a la transparencia en nuestro país. Ya que se comienzan a estructurar y repetir en favor de la transparencia. De igual manera, se ha incrementado el número de dependencias que colaboran en dichas actividades, por lo que la sinergia respecto a la transparencia a nivel federal comienza a notarse dentro de la administración pública.</w:t>
      </w:r>
      <w:r>
        <w:rPr>
          <w:spacing w:val="-10"/>
        </w:rPr>
        <w:t> </w:t>
      </w:r>
      <w:r>
        <w:rPr/>
        <w:t>Sin</w:t>
      </w:r>
      <w:r>
        <w:rPr>
          <w:spacing w:val="-7"/>
        </w:rPr>
        <w:t> </w:t>
      </w:r>
      <w:r>
        <w:rPr/>
        <w:t>embargo,</w:t>
      </w:r>
      <w:r>
        <w:rPr>
          <w:spacing w:val="-10"/>
        </w:rPr>
        <w:t> </w:t>
      </w:r>
      <w:r>
        <w:rPr/>
        <w:t>pese</w:t>
      </w:r>
      <w:r>
        <w:rPr>
          <w:spacing w:val="-9"/>
        </w:rPr>
        <w:t> </w:t>
      </w:r>
      <w:r>
        <w:rPr/>
        <w:t>a</w:t>
      </w:r>
      <w:r>
        <w:rPr>
          <w:spacing w:val="-7"/>
        </w:rPr>
        <w:t> </w:t>
      </w:r>
      <w:r>
        <w:rPr/>
        <w:t>los</w:t>
      </w:r>
      <w:r>
        <w:rPr>
          <w:spacing w:val="-10"/>
        </w:rPr>
        <w:t> </w:t>
      </w:r>
      <w:r>
        <w:rPr/>
        <w:t>esfuerzos</w:t>
      </w:r>
      <w:r>
        <w:rPr>
          <w:spacing w:val="-8"/>
        </w:rPr>
        <w:t> </w:t>
      </w:r>
      <w:r>
        <w:rPr/>
        <w:t>realzados,</w:t>
      </w:r>
      <w:r>
        <w:rPr>
          <w:spacing w:val="-7"/>
        </w:rPr>
        <w:t> </w:t>
      </w:r>
      <w:r>
        <w:rPr/>
        <w:t>México</w:t>
      </w:r>
      <w:r>
        <w:rPr>
          <w:spacing w:val="-7"/>
        </w:rPr>
        <w:t> </w:t>
      </w:r>
      <w:r>
        <w:rPr/>
        <w:t>sigue</w:t>
      </w:r>
      <w:r>
        <w:rPr>
          <w:spacing w:val="-7"/>
        </w:rPr>
        <w:t> </w:t>
      </w:r>
      <w:r>
        <w:rPr/>
        <w:t>incrementando sus niveles de corrupción, tal como se verá más adelante en el apartado de mediciones de la</w:t>
      </w:r>
      <w:r>
        <w:rPr>
          <w:spacing w:val="-13"/>
        </w:rPr>
        <w:t> </w:t>
      </w:r>
      <w:r>
        <w:rPr/>
        <w:t>transparencia.</w:t>
      </w:r>
    </w:p>
    <w:p>
      <w:pPr>
        <w:pStyle w:val="BodyText"/>
      </w:pPr>
    </w:p>
    <w:p>
      <w:pPr>
        <w:pStyle w:val="BodyText"/>
      </w:pPr>
    </w:p>
    <w:p>
      <w:pPr>
        <w:pStyle w:val="BodyText"/>
        <w:spacing w:before="7"/>
        <w:rPr>
          <w:sz w:val="19"/>
        </w:rPr>
      </w:pPr>
    </w:p>
    <w:p>
      <w:pPr>
        <w:pStyle w:val="Heading1"/>
        <w:numPr>
          <w:ilvl w:val="3"/>
          <w:numId w:val="34"/>
        </w:numPr>
        <w:tabs>
          <w:tab w:pos="954" w:val="left" w:leader="none"/>
        </w:tabs>
        <w:spacing w:line="240" w:lineRule="auto" w:before="0" w:after="0"/>
        <w:ind w:left="954" w:right="0" w:hanging="852"/>
        <w:jc w:val="both"/>
      </w:pPr>
      <w:r>
        <w:rPr/>
        <w:t>Otras organizaciones que promueven la transparencia en</w:t>
      </w:r>
      <w:r>
        <w:rPr>
          <w:spacing w:val="-13"/>
        </w:rPr>
        <w:t> </w:t>
      </w:r>
      <w:r>
        <w:rPr/>
        <w:t>México</w:t>
      </w:r>
    </w:p>
    <w:p>
      <w:pPr>
        <w:pStyle w:val="BodyText"/>
        <w:rPr>
          <w:b/>
        </w:rPr>
      </w:pPr>
    </w:p>
    <w:p>
      <w:pPr>
        <w:pStyle w:val="BodyText"/>
        <w:rPr>
          <w:b/>
        </w:rPr>
      </w:pPr>
    </w:p>
    <w:p>
      <w:pPr>
        <w:pStyle w:val="BodyText"/>
        <w:spacing w:line="360" w:lineRule="auto"/>
        <w:ind w:left="102" w:right="106"/>
        <w:jc w:val="both"/>
      </w:pPr>
      <w:r>
        <w:rPr/>
        <w:t>Es importante resaltar que existen organizaciones del sector privado que han presionado al gobierno para transparentar los asuntos públicos a la sociedad.</w:t>
      </w:r>
    </w:p>
    <w:p>
      <w:pPr>
        <w:spacing w:after="0" w:line="360" w:lineRule="auto"/>
        <w:jc w:val="both"/>
        <w:sectPr>
          <w:pgSz w:w="12240" w:h="15840"/>
          <w:pgMar w:header="0" w:footer="1035" w:top="1360" w:bottom="1220" w:left="1600" w:right="1600"/>
        </w:sectPr>
      </w:pPr>
    </w:p>
    <w:p>
      <w:pPr>
        <w:pStyle w:val="BodyText"/>
        <w:spacing w:before="54"/>
        <w:ind w:left="102"/>
      </w:pPr>
      <w:r>
        <w:rPr/>
        <w:t>Estas son las siguientes:</w:t>
      </w:r>
    </w:p>
    <w:p>
      <w:pPr>
        <w:pStyle w:val="BodyText"/>
        <w:spacing w:before="3"/>
        <w:rPr>
          <w:sz w:val="26"/>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57"/>
        <w:gridCol w:w="6772"/>
      </w:tblGrid>
      <w:tr>
        <w:trPr>
          <w:trHeight w:val="216" w:hRule="exact"/>
        </w:trPr>
        <w:tc>
          <w:tcPr>
            <w:tcW w:w="8829" w:type="dxa"/>
            <w:gridSpan w:val="2"/>
            <w:shd w:val="clear" w:color="auto" w:fill="92D050"/>
          </w:tcPr>
          <w:p>
            <w:pPr>
              <w:pStyle w:val="TableParagraph"/>
              <w:spacing w:line="201" w:lineRule="exact"/>
              <w:ind w:left="2051" w:right="312"/>
              <w:jc w:val="left"/>
              <w:rPr>
                <w:b/>
                <w:sz w:val="18"/>
              </w:rPr>
            </w:pPr>
            <w:r>
              <w:rPr>
                <w:b/>
                <w:sz w:val="18"/>
              </w:rPr>
              <w:t>Tabla 2.5. Organizaciones pro-transparencia en México</w:t>
            </w:r>
          </w:p>
        </w:tc>
      </w:tr>
      <w:tr>
        <w:trPr>
          <w:trHeight w:val="276" w:hRule="exact"/>
        </w:trPr>
        <w:tc>
          <w:tcPr>
            <w:tcW w:w="2057" w:type="dxa"/>
            <w:shd w:val="clear" w:color="auto" w:fill="92D050"/>
          </w:tcPr>
          <w:p>
            <w:pPr>
              <w:pStyle w:val="TableParagraph"/>
              <w:spacing w:line="201" w:lineRule="exact"/>
              <w:ind w:left="453" w:right="373"/>
              <w:jc w:val="left"/>
              <w:rPr>
                <w:b/>
                <w:sz w:val="18"/>
              </w:rPr>
            </w:pPr>
            <w:r>
              <w:rPr>
                <w:b/>
                <w:sz w:val="18"/>
              </w:rPr>
              <w:t>Organización</w:t>
            </w:r>
          </w:p>
        </w:tc>
        <w:tc>
          <w:tcPr>
            <w:tcW w:w="6772" w:type="dxa"/>
            <w:shd w:val="clear" w:color="auto" w:fill="92D050"/>
          </w:tcPr>
          <w:p>
            <w:pPr>
              <w:pStyle w:val="TableParagraph"/>
              <w:spacing w:line="201" w:lineRule="exact"/>
              <w:ind w:left="3001" w:right="3001"/>
              <w:rPr>
                <w:b/>
                <w:sz w:val="18"/>
              </w:rPr>
            </w:pPr>
            <w:r>
              <w:rPr>
                <w:b/>
                <w:sz w:val="18"/>
              </w:rPr>
              <w:t>Objetivo</w:t>
            </w:r>
          </w:p>
        </w:tc>
      </w:tr>
      <w:tr>
        <w:trPr>
          <w:trHeight w:val="509" w:hRule="exact"/>
        </w:trPr>
        <w:tc>
          <w:tcPr>
            <w:tcW w:w="2057" w:type="dxa"/>
          </w:tcPr>
          <w:p>
            <w:pPr>
              <w:pStyle w:val="TableParagraph"/>
              <w:spacing w:line="204" w:lineRule="exact"/>
              <w:ind w:left="103" w:right="373"/>
              <w:jc w:val="left"/>
              <w:rPr>
                <w:b/>
                <w:sz w:val="18"/>
              </w:rPr>
            </w:pPr>
            <w:r>
              <w:rPr>
                <w:b/>
                <w:sz w:val="18"/>
              </w:rPr>
              <w:t>Borde político</w:t>
            </w:r>
          </w:p>
        </w:tc>
        <w:tc>
          <w:tcPr>
            <w:tcW w:w="6772" w:type="dxa"/>
          </w:tcPr>
          <w:p>
            <w:pPr>
              <w:pStyle w:val="TableParagraph"/>
              <w:spacing w:before="1"/>
              <w:ind w:left="103" w:right="5"/>
              <w:jc w:val="left"/>
              <w:rPr>
                <w:sz w:val="18"/>
              </w:rPr>
            </w:pPr>
            <w:r>
              <w:rPr>
                <w:sz w:val="18"/>
              </w:rPr>
              <w:t>Estudiar e impulsar las dinámicas de participación ciudadana en el poder Legislativo, cuya principal herramienta son las TIC.</w:t>
            </w:r>
          </w:p>
        </w:tc>
      </w:tr>
      <w:tr>
        <w:trPr>
          <w:trHeight w:val="2288" w:hRule="exact"/>
        </w:trPr>
        <w:tc>
          <w:tcPr>
            <w:tcW w:w="2057" w:type="dxa"/>
          </w:tcPr>
          <w:p>
            <w:pPr>
              <w:pStyle w:val="TableParagraph"/>
              <w:jc w:val="left"/>
              <w:rPr>
                <w:sz w:val="18"/>
              </w:rPr>
            </w:pPr>
          </w:p>
          <w:p>
            <w:pPr>
              <w:pStyle w:val="TableParagraph"/>
              <w:jc w:val="left"/>
              <w:rPr>
                <w:sz w:val="18"/>
              </w:rPr>
            </w:pPr>
          </w:p>
          <w:p>
            <w:pPr>
              <w:pStyle w:val="TableParagraph"/>
              <w:spacing w:before="6"/>
              <w:jc w:val="left"/>
              <w:rPr>
                <w:sz w:val="17"/>
              </w:rPr>
            </w:pPr>
          </w:p>
          <w:p>
            <w:pPr>
              <w:pStyle w:val="TableParagraph"/>
              <w:ind w:left="103" w:right="373"/>
              <w:jc w:val="left"/>
              <w:rPr>
                <w:b/>
                <w:sz w:val="18"/>
              </w:rPr>
            </w:pPr>
            <w:r>
              <w:rPr>
                <w:b/>
                <w:sz w:val="18"/>
              </w:rPr>
              <w:t>Consorcio para el Diálogo Parlamentario y la Equidad.</w:t>
            </w:r>
          </w:p>
        </w:tc>
        <w:tc>
          <w:tcPr>
            <w:tcW w:w="6772" w:type="dxa"/>
          </w:tcPr>
          <w:p>
            <w:pPr>
              <w:pStyle w:val="TableParagraph"/>
              <w:numPr>
                <w:ilvl w:val="0"/>
                <w:numId w:val="37"/>
              </w:numPr>
              <w:tabs>
                <w:tab w:pos="305" w:val="left" w:leader="none"/>
              </w:tabs>
              <w:spacing w:line="207" w:lineRule="exact" w:before="1" w:after="0"/>
              <w:ind w:left="103" w:right="0" w:firstLine="0"/>
              <w:jc w:val="both"/>
              <w:rPr>
                <w:sz w:val="18"/>
              </w:rPr>
            </w:pPr>
            <w:r>
              <w:rPr>
                <w:sz w:val="18"/>
              </w:rPr>
              <w:t>Contribuir a lograr la Reforma del Estado</w:t>
            </w:r>
            <w:r>
              <w:rPr>
                <w:spacing w:val="-25"/>
                <w:sz w:val="18"/>
              </w:rPr>
              <w:t> </w:t>
            </w:r>
            <w:r>
              <w:rPr>
                <w:sz w:val="18"/>
              </w:rPr>
              <w:t>Mexicano.</w:t>
            </w:r>
          </w:p>
          <w:p>
            <w:pPr>
              <w:pStyle w:val="TableParagraph"/>
              <w:numPr>
                <w:ilvl w:val="0"/>
                <w:numId w:val="37"/>
              </w:numPr>
              <w:tabs>
                <w:tab w:pos="336" w:val="left" w:leader="none"/>
              </w:tabs>
              <w:spacing w:line="240" w:lineRule="auto" w:before="0" w:after="0"/>
              <w:ind w:left="103" w:right="100" w:firstLine="0"/>
              <w:jc w:val="both"/>
              <w:rPr>
                <w:sz w:val="18"/>
              </w:rPr>
            </w:pPr>
            <w:r>
              <w:rPr>
                <w:sz w:val="18"/>
              </w:rPr>
              <w:t>Contribuir al fortalecimiento de los movimientos ciudadano y feminista en la defensa de la equidad de género, la diversidad, la justicia, la transparencia y rendición de</w:t>
            </w:r>
            <w:r>
              <w:rPr>
                <w:spacing w:val="-8"/>
                <w:sz w:val="18"/>
              </w:rPr>
              <w:t> </w:t>
            </w:r>
            <w:r>
              <w:rPr>
                <w:sz w:val="18"/>
              </w:rPr>
              <w:t>cuentas.</w:t>
            </w:r>
          </w:p>
          <w:p>
            <w:pPr>
              <w:pStyle w:val="TableParagraph"/>
              <w:numPr>
                <w:ilvl w:val="0"/>
                <w:numId w:val="37"/>
              </w:numPr>
              <w:tabs>
                <w:tab w:pos="303" w:val="left" w:leader="none"/>
              </w:tabs>
              <w:spacing w:line="240" w:lineRule="auto" w:before="2" w:after="0"/>
              <w:ind w:left="103" w:right="108" w:firstLine="0"/>
              <w:jc w:val="both"/>
              <w:rPr>
                <w:sz w:val="18"/>
              </w:rPr>
            </w:pPr>
            <w:r>
              <w:rPr>
                <w:sz w:val="18"/>
              </w:rPr>
              <w:t>Lograr</w:t>
            </w:r>
            <w:r>
              <w:rPr>
                <w:spacing w:val="-8"/>
                <w:sz w:val="18"/>
              </w:rPr>
              <w:t> </w:t>
            </w:r>
            <w:r>
              <w:rPr>
                <w:sz w:val="18"/>
              </w:rPr>
              <w:t>un</w:t>
            </w:r>
            <w:r>
              <w:rPr>
                <w:spacing w:val="-5"/>
                <w:sz w:val="18"/>
              </w:rPr>
              <w:t> </w:t>
            </w:r>
            <w:r>
              <w:rPr>
                <w:sz w:val="18"/>
              </w:rPr>
              <w:t>marco</w:t>
            </w:r>
            <w:r>
              <w:rPr>
                <w:spacing w:val="-5"/>
                <w:sz w:val="18"/>
              </w:rPr>
              <w:t> </w:t>
            </w:r>
            <w:r>
              <w:rPr>
                <w:sz w:val="18"/>
              </w:rPr>
              <w:t>jurídico</w:t>
            </w:r>
            <w:r>
              <w:rPr>
                <w:spacing w:val="-5"/>
                <w:sz w:val="18"/>
              </w:rPr>
              <w:t> </w:t>
            </w:r>
            <w:r>
              <w:rPr>
                <w:sz w:val="18"/>
              </w:rPr>
              <w:t>local,</w:t>
            </w:r>
            <w:r>
              <w:rPr>
                <w:spacing w:val="-5"/>
                <w:sz w:val="18"/>
              </w:rPr>
              <w:t> </w:t>
            </w:r>
            <w:r>
              <w:rPr>
                <w:sz w:val="18"/>
              </w:rPr>
              <w:t>nacional</w:t>
            </w:r>
            <w:r>
              <w:rPr>
                <w:spacing w:val="-5"/>
                <w:sz w:val="18"/>
              </w:rPr>
              <w:t> </w:t>
            </w:r>
            <w:r>
              <w:rPr>
                <w:sz w:val="18"/>
              </w:rPr>
              <w:t>e</w:t>
            </w:r>
            <w:r>
              <w:rPr>
                <w:spacing w:val="-5"/>
                <w:sz w:val="18"/>
              </w:rPr>
              <w:t> </w:t>
            </w:r>
            <w:r>
              <w:rPr>
                <w:sz w:val="18"/>
              </w:rPr>
              <w:t>internacional</w:t>
            </w:r>
            <w:r>
              <w:rPr>
                <w:spacing w:val="-5"/>
                <w:sz w:val="18"/>
              </w:rPr>
              <w:t> </w:t>
            </w:r>
            <w:r>
              <w:rPr>
                <w:sz w:val="18"/>
              </w:rPr>
              <w:t>que</w:t>
            </w:r>
            <w:r>
              <w:rPr>
                <w:spacing w:val="-5"/>
                <w:sz w:val="18"/>
              </w:rPr>
              <w:t> </w:t>
            </w:r>
            <w:r>
              <w:rPr>
                <w:sz w:val="18"/>
              </w:rPr>
              <w:t>amplíe</w:t>
            </w:r>
            <w:r>
              <w:rPr>
                <w:spacing w:val="-5"/>
                <w:sz w:val="18"/>
              </w:rPr>
              <w:t> </w:t>
            </w:r>
            <w:r>
              <w:rPr>
                <w:sz w:val="18"/>
              </w:rPr>
              <w:t>los</w:t>
            </w:r>
            <w:r>
              <w:rPr>
                <w:spacing w:val="-4"/>
                <w:sz w:val="18"/>
              </w:rPr>
              <w:t> </w:t>
            </w:r>
            <w:r>
              <w:rPr>
                <w:sz w:val="18"/>
              </w:rPr>
              <w:t>derechos de las mujeres, que reconozca la diversidad, la rendición de cuentas y la participación</w:t>
            </w:r>
            <w:r>
              <w:rPr>
                <w:spacing w:val="-10"/>
                <w:sz w:val="18"/>
              </w:rPr>
              <w:t> </w:t>
            </w:r>
            <w:r>
              <w:rPr>
                <w:sz w:val="18"/>
              </w:rPr>
              <w:t>ciudadana.</w:t>
            </w:r>
          </w:p>
          <w:p>
            <w:pPr>
              <w:pStyle w:val="TableParagraph"/>
              <w:numPr>
                <w:ilvl w:val="0"/>
                <w:numId w:val="37"/>
              </w:numPr>
              <w:tabs>
                <w:tab w:pos="298" w:val="left" w:leader="none"/>
              </w:tabs>
              <w:spacing w:line="240" w:lineRule="auto" w:before="0" w:after="0"/>
              <w:ind w:left="103" w:right="105" w:firstLine="0"/>
              <w:jc w:val="both"/>
              <w:rPr>
                <w:sz w:val="18"/>
              </w:rPr>
            </w:pPr>
            <w:r>
              <w:rPr>
                <w:sz w:val="18"/>
              </w:rPr>
              <w:t>Fomentar</w:t>
            </w:r>
            <w:r>
              <w:rPr>
                <w:spacing w:val="-9"/>
                <w:sz w:val="18"/>
              </w:rPr>
              <w:t> </w:t>
            </w:r>
            <w:r>
              <w:rPr>
                <w:sz w:val="18"/>
              </w:rPr>
              <w:t>una</w:t>
            </w:r>
            <w:r>
              <w:rPr>
                <w:spacing w:val="-9"/>
                <w:sz w:val="18"/>
              </w:rPr>
              <w:t> </w:t>
            </w:r>
            <w:r>
              <w:rPr>
                <w:sz w:val="18"/>
              </w:rPr>
              <w:t>opinión</w:t>
            </w:r>
            <w:r>
              <w:rPr>
                <w:spacing w:val="-9"/>
                <w:sz w:val="18"/>
              </w:rPr>
              <w:t> </w:t>
            </w:r>
            <w:r>
              <w:rPr>
                <w:sz w:val="18"/>
              </w:rPr>
              <w:t>pública</w:t>
            </w:r>
            <w:r>
              <w:rPr>
                <w:spacing w:val="-9"/>
                <w:sz w:val="18"/>
              </w:rPr>
              <w:t> </w:t>
            </w:r>
            <w:r>
              <w:rPr>
                <w:sz w:val="18"/>
              </w:rPr>
              <w:t>favorable</w:t>
            </w:r>
            <w:r>
              <w:rPr>
                <w:spacing w:val="-9"/>
                <w:sz w:val="18"/>
              </w:rPr>
              <w:t> </w:t>
            </w:r>
            <w:r>
              <w:rPr>
                <w:sz w:val="18"/>
              </w:rPr>
              <w:t>a</w:t>
            </w:r>
            <w:r>
              <w:rPr>
                <w:spacing w:val="-9"/>
                <w:sz w:val="18"/>
              </w:rPr>
              <w:t> </w:t>
            </w:r>
            <w:r>
              <w:rPr>
                <w:sz w:val="18"/>
              </w:rPr>
              <w:t>la</w:t>
            </w:r>
            <w:r>
              <w:rPr>
                <w:spacing w:val="-9"/>
                <w:sz w:val="18"/>
              </w:rPr>
              <w:t> </w:t>
            </w:r>
            <w:r>
              <w:rPr>
                <w:sz w:val="18"/>
              </w:rPr>
              <w:t>agenda</w:t>
            </w:r>
            <w:r>
              <w:rPr>
                <w:spacing w:val="-9"/>
                <w:sz w:val="18"/>
              </w:rPr>
              <w:t> </w:t>
            </w:r>
            <w:r>
              <w:rPr>
                <w:sz w:val="18"/>
              </w:rPr>
              <w:t>y</w:t>
            </w:r>
            <w:r>
              <w:rPr>
                <w:spacing w:val="-11"/>
                <w:sz w:val="18"/>
              </w:rPr>
              <w:t> </w:t>
            </w:r>
            <w:r>
              <w:rPr>
                <w:sz w:val="18"/>
              </w:rPr>
              <w:t>temas</w:t>
            </w:r>
            <w:r>
              <w:rPr>
                <w:spacing w:val="-8"/>
                <w:sz w:val="18"/>
              </w:rPr>
              <w:t> </w:t>
            </w:r>
            <w:r>
              <w:rPr>
                <w:sz w:val="18"/>
              </w:rPr>
              <w:t>prioritarios</w:t>
            </w:r>
            <w:r>
              <w:rPr>
                <w:spacing w:val="-8"/>
                <w:sz w:val="18"/>
              </w:rPr>
              <w:t> </w:t>
            </w:r>
            <w:r>
              <w:rPr>
                <w:sz w:val="18"/>
              </w:rPr>
              <w:t>en</w:t>
            </w:r>
            <w:r>
              <w:rPr>
                <w:spacing w:val="-9"/>
                <w:sz w:val="18"/>
              </w:rPr>
              <w:t> </w:t>
            </w:r>
            <w:r>
              <w:rPr>
                <w:sz w:val="18"/>
              </w:rPr>
              <w:t>torno a los derechos humanos de las mujeres desde un enfoque</w:t>
            </w:r>
            <w:r>
              <w:rPr>
                <w:spacing w:val="-26"/>
                <w:sz w:val="18"/>
              </w:rPr>
              <w:t> </w:t>
            </w:r>
            <w:r>
              <w:rPr>
                <w:sz w:val="18"/>
              </w:rPr>
              <w:t>feminista.</w:t>
            </w:r>
          </w:p>
          <w:p>
            <w:pPr>
              <w:pStyle w:val="TableParagraph"/>
              <w:numPr>
                <w:ilvl w:val="0"/>
                <w:numId w:val="37"/>
              </w:numPr>
              <w:tabs>
                <w:tab w:pos="303" w:val="left" w:leader="none"/>
              </w:tabs>
              <w:spacing w:line="240" w:lineRule="auto" w:before="0" w:after="0"/>
              <w:ind w:left="103" w:right="106" w:firstLine="0"/>
              <w:jc w:val="both"/>
              <w:rPr>
                <w:sz w:val="18"/>
              </w:rPr>
            </w:pPr>
            <w:r>
              <w:rPr>
                <w:sz w:val="18"/>
              </w:rPr>
              <w:t>Lograr</w:t>
            </w:r>
            <w:r>
              <w:rPr>
                <w:spacing w:val="-9"/>
                <w:sz w:val="18"/>
              </w:rPr>
              <w:t> </w:t>
            </w:r>
            <w:r>
              <w:rPr>
                <w:sz w:val="18"/>
              </w:rPr>
              <w:t>un</w:t>
            </w:r>
            <w:r>
              <w:rPr>
                <w:spacing w:val="-8"/>
                <w:sz w:val="18"/>
              </w:rPr>
              <w:t> </w:t>
            </w:r>
            <w:r>
              <w:rPr>
                <w:sz w:val="18"/>
              </w:rPr>
              <w:t>cambio</w:t>
            </w:r>
            <w:r>
              <w:rPr>
                <w:spacing w:val="-6"/>
                <w:sz w:val="18"/>
              </w:rPr>
              <w:t> </w:t>
            </w:r>
            <w:r>
              <w:rPr>
                <w:sz w:val="18"/>
              </w:rPr>
              <w:t>y</w:t>
            </w:r>
            <w:r>
              <w:rPr>
                <w:spacing w:val="-9"/>
                <w:sz w:val="18"/>
              </w:rPr>
              <w:t> </w:t>
            </w:r>
            <w:r>
              <w:rPr>
                <w:sz w:val="18"/>
              </w:rPr>
              <w:t>apertura</w:t>
            </w:r>
            <w:r>
              <w:rPr>
                <w:spacing w:val="-8"/>
                <w:sz w:val="18"/>
              </w:rPr>
              <w:t> </w:t>
            </w:r>
            <w:r>
              <w:rPr>
                <w:sz w:val="18"/>
              </w:rPr>
              <w:t>en</w:t>
            </w:r>
            <w:r>
              <w:rPr>
                <w:spacing w:val="-8"/>
                <w:sz w:val="18"/>
              </w:rPr>
              <w:t> </w:t>
            </w:r>
            <w:r>
              <w:rPr>
                <w:sz w:val="18"/>
              </w:rPr>
              <w:t>las</w:t>
            </w:r>
            <w:r>
              <w:rPr>
                <w:spacing w:val="-5"/>
                <w:sz w:val="18"/>
              </w:rPr>
              <w:t> </w:t>
            </w:r>
            <w:r>
              <w:rPr>
                <w:sz w:val="18"/>
              </w:rPr>
              <w:t>Agencias</w:t>
            </w:r>
            <w:r>
              <w:rPr>
                <w:spacing w:val="-5"/>
                <w:sz w:val="18"/>
              </w:rPr>
              <w:t> </w:t>
            </w:r>
            <w:r>
              <w:rPr>
                <w:sz w:val="18"/>
              </w:rPr>
              <w:t>de</w:t>
            </w:r>
            <w:r>
              <w:rPr>
                <w:spacing w:val="-6"/>
                <w:sz w:val="18"/>
              </w:rPr>
              <w:t> </w:t>
            </w:r>
            <w:r>
              <w:rPr>
                <w:sz w:val="18"/>
              </w:rPr>
              <w:t>Cooperación</w:t>
            </w:r>
            <w:r>
              <w:rPr>
                <w:spacing w:val="-6"/>
                <w:sz w:val="18"/>
              </w:rPr>
              <w:t> </w:t>
            </w:r>
            <w:r>
              <w:rPr>
                <w:sz w:val="18"/>
              </w:rPr>
              <w:t>Internacional</w:t>
            </w:r>
            <w:r>
              <w:rPr>
                <w:spacing w:val="-6"/>
                <w:sz w:val="18"/>
              </w:rPr>
              <w:t> </w:t>
            </w:r>
            <w:r>
              <w:rPr>
                <w:sz w:val="18"/>
              </w:rPr>
              <w:t>para destinar recursos al trabajo político de las mujeres meta-partidario o no</w:t>
            </w:r>
            <w:r>
              <w:rPr>
                <w:spacing w:val="-31"/>
                <w:sz w:val="18"/>
              </w:rPr>
              <w:t> </w:t>
            </w:r>
            <w:r>
              <w:rPr>
                <w:sz w:val="18"/>
              </w:rPr>
              <w:t>partidario.</w:t>
            </w:r>
          </w:p>
        </w:tc>
      </w:tr>
      <w:tr>
        <w:trPr>
          <w:trHeight w:val="838" w:hRule="exact"/>
        </w:trPr>
        <w:tc>
          <w:tcPr>
            <w:tcW w:w="2057" w:type="dxa"/>
          </w:tcPr>
          <w:p>
            <w:pPr>
              <w:pStyle w:val="TableParagraph"/>
              <w:ind w:left="103" w:right="424"/>
              <w:jc w:val="left"/>
              <w:rPr>
                <w:b/>
                <w:sz w:val="18"/>
              </w:rPr>
            </w:pPr>
            <w:r>
              <w:rPr>
                <w:b/>
                <w:sz w:val="18"/>
              </w:rPr>
              <w:t>Fundar Centro de Análisis e Investigación</w:t>
            </w:r>
          </w:p>
        </w:tc>
        <w:tc>
          <w:tcPr>
            <w:tcW w:w="6772" w:type="dxa"/>
          </w:tcPr>
          <w:p>
            <w:pPr>
              <w:pStyle w:val="TableParagraph"/>
              <w:ind w:left="103" w:right="104"/>
              <w:jc w:val="both"/>
              <w:rPr>
                <w:sz w:val="18"/>
              </w:rPr>
            </w:pPr>
            <w:r>
              <w:rPr>
                <w:sz w:val="18"/>
              </w:rPr>
              <w:t>Incidir en políticas e instituciones públicas a través de la construcción y socialización de conocimiento especializado, de la reflexión crítica y propositiva, así como de la experimentación y vinculación con actores civiles, sociales y gubernamentales.</w:t>
            </w:r>
          </w:p>
        </w:tc>
      </w:tr>
      <w:tr>
        <w:trPr>
          <w:trHeight w:val="840" w:hRule="exact"/>
        </w:trPr>
        <w:tc>
          <w:tcPr>
            <w:tcW w:w="2057" w:type="dxa"/>
          </w:tcPr>
          <w:p>
            <w:pPr>
              <w:pStyle w:val="TableParagraph"/>
              <w:spacing w:before="7"/>
              <w:jc w:val="left"/>
              <w:rPr>
                <w:sz w:val="17"/>
              </w:rPr>
            </w:pPr>
          </w:p>
          <w:p>
            <w:pPr>
              <w:pStyle w:val="TableParagraph"/>
              <w:ind w:left="103" w:right="93"/>
              <w:jc w:val="left"/>
              <w:rPr>
                <w:b/>
                <w:sz w:val="18"/>
              </w:rPr>
            </w:pPr>
            <w:r>
              <w:rPr>
                <w:b/>
                <w:sz w:val="18"/>
              </w:rPr>
              <w:t>Gesoc  Gestión Social y Cooperación</w:t>
            </w:r>
          </w:p>
        </w:tc>
        <w:tc>
          <w:tcPr>
            <w:tcW w:w="6772" w:type="dxa"/>
          </w:tcPr>
          <w:p>
            <w:pPr>
              <w:pStyle w:val="TableParagraph"/>
              <w:spacing w:before="1"/>
              <w:ind w:left="103" w:right="101"/>
              <w:jc w:val="both"/>
              <w:rPr>
                <w:sz w:val="18"/>
              </w:rPr>
            </w:pPr>
            <w:r>
              <w:rPr>
                <w:sz w:val="18"/>
              </w:rPr>
              <w:t>Generar evidencia y soluciones metodológicas útiles y robustas para que </w:t>
            </w:r>
            <w:r>
              <w:rPr>
                <w:spacing w:val="2"/>
                <w:sz w:val="18"/>
              </w:rPr>
              <w:t>las </w:t>
            </w:r>
            <w:r>
              <w:rPr>
                <w:sz w:val="18"/>
              </w:rPr>
              <w:t>iniciativas sociales de gobierno, OSCs y empresas maximicen el valor público que producen</w:t>
            </w:r>
            <w:r>
              <w:rPr>
                <w:spacing w:val="-9"/>
                <w:sz w:val="18"/>
              </w:rPr>
              <w:t> </w:t>
            </w:r>
            <w:r>
              <w:rPr>
                <w:sz w:val="18"/>
              </w:rPr>
              <w:t>a</w:t>
            </w:r>
            <w:r>
              <w:rPr>
                <w:spacing w:val="-7"/>
                <w:sz w:val="18"/>
              </w:rPr>
              <w:t> </w:t>
            </w:r>
            <w:r>
              <w:rPr>
                <w:sz w:val="18"/>
              </w:rPr>
              <w:t>favor</w:t>
            </w:r>
            <w:r>
              <w:rPr>
                <w:spacing w:val="-9"/>
                <w:sz w:val="18"/>
              </w:rPr>
              <w:t> </w:t>
            </w:r>
            <w:r>
              <w:rPr>
                <w:sz w:val="18"/>
              </w:rPr>
              <w:t>del</w:t>
            </w:r>
            <w:r>
              <w:rPr>
                <w:spacing w:val="-9"/>
                <w:sz w:val="18"/>
              </w:rPr>
              <w:t> </w:t>
            </w:r>
            <w:r>
              <w:rPr>
                <w:sz w:val="18"/>
              </w:rPr>
              <w:t>desarrollo</w:t>
            </w:r>
            <w:r>
              <w:rPr>
                <w:spacing w:val="-7"/>
                <w:sz w:val="18"/>
              </w:rPr>
              <w:t> </w:t>
            </w:r>
            <w:r>
              <w:rPr>
                <w:sz w:val="18"/>
              </w:rPr>
              <w:t>social,</w:t>
            </w:r>
            <w:r>
              <w:rPr>
                <w:spacing w:val="-9"/>
                <w:sz w:val="18"/>
              </w:rPr>
              <w:t> </w:t>
            </w:r>
            <w:r>
              <w:rPr>
                <w:sz w:val="18"/>
              </w:rPr>
              <w:t>con</w:t>
            </w:r>
            <w:r>
              <w:rPr>
                <w:spacing w:val="-9"/>
                <w:sz w:val="18"/>
              </w:rPr>
              <w:t> </w:t>
            </w:r>
            <w:r>
              <w:rPr>
                <w:sz w:val="18"/>
              </w:rPr>
              <w:t>apego</w:t>
            </w:r>
            <w:r>
              <w:rPr>
                <w:spacing w:val="-7"/>
                <w:sz w:val="18"/>
              </w:rPr>
              <w:t> </w:t>
            </w:r>
            <w:r>
              <w:rPr>
                <w:sz w:val="18"/>
              </w:rPr>
              <w:t>a</w:t>
            </w:r>
            <w:r>
              <w:rPr>
                <w:spacing w:val="-9"/>
                <w:sz w:val="18"/>
              </w:rPr>
              <w:t> </w:t>
            </w:r>
            <w:r>
              <w:rPr>
                <w:sz w:val="18"/>
              </w:rPr>
              <w:t>los</w:t>
            </w:r>
            <w:r>
              <w:rPr>
                <w:spacing w:val="-7"/>
                <w:sz w:val="18"/>
              </w:rPr>
              <w:t> </w:t>
            </w:r>
            <w:r>
              <w:rPr>
                <w:sz w:val="18"/>
              </w:rPr>
              <w:t>principios</w:t>
            </w:r>
            <w:r>
              <w:rPr>
                <w:spacing w:val="-8"/>
                <w:sz w:val="18"/>
              </w:rPr>
              <w:t> </w:t>
            </w:r>
            <w:r>
              <w:rPr>
                <w:sz w:val="18"/>
              </w:rPr>
              <w:t>de</w:t>
            </w:r>
            <w:r>
              <w:rPr>
                <w:spacing w:val="-9"/>
                <w:sz w:val="18"/>
              </w:rPr>
              <w:t> </w:t>
            </w:r>
            <w:r>
              <w:rPr>
                <w:sz w:val="18"/>
              </w:rPr>
              <w:t>transparencia, rendición de cuentas y respeto a los derechos</w:t>
            </w:r>
            <w:r>
              <w:rPr>
                <w:spacing w:val="-21"/>
                <w:sz w:val="18"/>
              </w:rPr>
              <w:t> </w:t>
            </w:r>
            <w:r>
              <w:rPr>
                <w:sz w:val="18"/>
              </w:rPr>
              <w:t>humanos.</w:t>
            </w:r>
          </w:p>
        </w:tc>
      </w:tr>
      <w:tr>
        <w:trPr>
          <w:trHeight w:val="629" w:hRule="exact"/>
        </w:trPr>
        <w:tc>
          <w:tcPr>
            <w:tcW w:w="2057" w:type="dxa"/>
          </w:tcPr>
          <w:p>
            <w:pPr>
              <w:pStyle w:val="TableParagraph"/>
              <w:ind w:left="103" w:right="214"/>
              <w:jc w:val="left"/>
              <w:rPr>
                <w:b/>
                <w:sz w:val="18"/>
              </w:rPr>
            </w:pPr>
            <w:r>
              <w:rPr>
                <w:b/>
                <w:sz w:val="18"/>
              </w:rPr>
              <w:t>Instituto Mexicano para la Competitividad A.C.</w:t>
            </w:r>
          </w:p>
        </w:tc>
        <w:tc>
          <w:tcPr>
            <w:tcW w:w="6772" w:type="dxa"/>
          </w:tcPr>
          <w:p>
            <w:pPr>
              <w:pStyle w:val="TableParagraph"/>
              <w:spacing w:line="206" w:lineRule="exact"/>
              <w:ind w:left="103" w:right="5"/>
              <w:jc w:val="left"/>
              <w:rPr>
                <w:sz w:val="18"/>
              </w:rPr>
            </w:pPr>
            <w:r>
              <w:rPr>
                <w:sz w:val="18"/>
              </w:rPr>
              <w:t>Ser consultores de la sociedad mexicana en materia de políticas públicas.</w:t>
            </w:r>
          </w:p>
        </w:tc>
      </w:tr>
      <w:tr>
        <w:trPr>
          <w:trHeight w:val="425" w:hRule="exact"/>
        </w:trPr>
        <w:tc>
          <w:tcPr>
            <w:tcW w:w="2057" w:type="dxa"/>
          </w:tcPr>
          <w:p>
            <w:pPr>
              <w:pStyle w:val="TableParagraph"/>
              <w:spacing w:line="204" w:lineRule="exact"/>
              <w:ind w:left="103" w:right="93"/>
              <w:jc w:val="left"/>
              <w:rPr>
                <w:b/>
                <w:sz w:val="18"/>
              </w:rPr>
            </w:pPr>
            <w:r>
              <w:rPr>
                <w:b/>
                <w:sz w:val="18"/>
              </w:rPr>
              <w:t>Impacto Legislativo</w:t>
            </w:r>
          </w:p>
        </w:tc>
        <w:tc>
          <w:tcPr>
            <w:tcW w:w="6772" w:type="dxa"/>
          </w:tcPr>
          <w:p>
            <w:pPr>
              <w:pStyle w:val="TableParagraph"/>
              <w:spacing w:before="1"/>
              <w:ind w:left="103" w:right="5"/>
              <w:jc w:val="left"/>
              <w:rPr>
                <w:sz w:val="18"/>
              </w:rPr>
            </w:pPr>
            <w:r>
              <w:rPr>
                <w:sz w:val="18"/>
              </w:rPr>
              <w:t>Es el estudio del poder Legislativo y la transparencia, al dar seguimiento, monitoreo, realización de análisis y recomendaciones en la materia.</w:t>
            </w:r>
          </w:p>
        </w:tc>
      </w:tr>
      <w:tr>
        <w:trPr>
          <w:trHeight w:val="425" w:hRule="exact"/>
        </w:trPr>
        <w:tc>
          <w:tcPr>
            <w:tcW w:w="2057" w:type="dxa"/>
          </w:tcPr>
          <w:p>
            <w:pPr>
              <w:pStyle w:val="TableParagraph"/>
              <w:spacing w:line="242" w:lineRule="auto"/>
              <w:ind w:left="103" w:right="423"/>
              <w:jc w:val="left"/>
              <w:rPr>
                <w:b/>
                <w:sz w:val="18"/>
              </w:rPr>
            </w:pPr>
            <w:r>
              <w:rPr>
                <w:b/>
                <w:sz w:val="18"/>
              </w:rPr>
              <w:t>Open Intelligence OPI</w:t>
            </w:r>
          </w:p>
        </w:tc>
        <w:tc>
          <w:tcPr>
            <w:tcW w:w="6772" w:type="dxa"/>
          </w:tcPr>
          <w:p>
            <w:pPr>
              <w:pStyle w:val="TableParagraph"/>
              <w:spacing w:line="206" w:lineRule="exact"/>
              <w:ind w:left="103" w:right="5"/>
              <w:jc w:val="left"/>
              <w:rPr>
                <w:sz w:val="18"/>
              </w:rPr>
            </w:pPr>
            <w:r>
              <w:rPr>
                <w:sz w:val="18"/>
              </w:rPr>
              <w:t>Identificar factores clave que mejoran el desempeño de los programas públicos.</w:t>
            </w:r>
          </w:p>
        </w:tc>
      </w:tr>
      <w:tr>
        <w:trPr>
          <w:trHeight w:val="423" w:hRule="exact"/>
        </w:trPr>
        <w:tc>
          <w:tcPr>
            <w:tcW w:w="2057" w:type="dxa"/>
          </w:tcPr>
          <w:p>
            <w:pPr>
              <w:pStyle w:val="TableParagraph"/>
              <w:spacing w:line="201" w:lineRule="exact"/>
              <w:ind w:left="103" w:right="373"/>
              <w:jc w:val="left"/>
              <w:rPr>
                <w:b/>
                <w:sz w:val="18"/>
              </w:rPr>
            </w:pPr>
            <w:r>
              <w:rPr>
                <w:b/>
                <w:sz w:val="18"/>
              </w:rPr>
              <w:t>Social Tic</w:t>
            </w:r>
          </w:p>
        </w:tc>
        <w:tc>
          <w:tcPr>
            <w:tcW w:w="6772" w:type="dxa"/>
          </w:tcPr>
          <w:p>
            <w:pPr>
              <w:pStyle w:val="TableParagraph"/>
              <w:ind w:left="103" w:right="5"/>
              <w:jc w:val="left"/>
              <w:rPr>
                <w:sz w:val="18"/>
              </w:rPr>
            </w:pPr>
            <w:r>
              <w:rPr>
                <w:sz w:val="18"/>
              </w:rPr>
              <w:t>Promover y habilitar a grupos sociales para reforzar su actividad a través de la tecnología.</w:t>
            </w:r>
          </w:p>
        </w:tc>
      </w:tr>
      <w:tr>
        <w:trPr>
          <w:trHeight w:val="425" w:hRule="exact"/>
        </w:trPr>
        <w:tc>
          <w:tcPr>
            <w:tcW w:w="2057" w:type="dxa"/>
          </w:tcPr>
          <w:p>
            <w:pPr>
              <w:pStyle w:val="TableParagraph"/>
              <w:spacing w:line="206" w:lineRule="exact"/>
              <w:ind w:left="103" w:right="333"/>
              <w:jc w:val="left"/>
              <w:rPr>
                <w:b/>
                <w:sz w:val="18"/>
              </w:rPr>
            </w:pPr>
            <w:r>
              <w:rPr>
                <w:b/>
                <w:sz w:val="18"/>
              </w:rPr>
              <w:t>Sonora Ciudadana A.C.</w:t>
            </w:r>
          </w:p>
        </w:tc>
        <w:tc>
          <w:tcPr>
            <w:tcW w:w="6772" w:type="dxa"/>
          </w:tcPr>
          <w:p>
            <w:pPr>
              <w:pStyle w:val="TableParagraph"/>
              <w:spacing w:before="1"/>
              <w:ind w:left="103" w:right="5"/>
              <w:jc w:val="left"/>
              <w:rPr>
                <w:sz w:val="18"/>
              </w:rPr>
            </w:pPr>
            <w:r>
              <w:rPr>
                <w:color w:val="212121"/>
                <w:sz w:val="18"/>
              </w:rPr>
              <w:t>La defensa y promoción de los derechos humanos a favor de construir una democracia integral en México.</w:t>
            </w:r>
          </w:p>
        </w:tc>
      </w:tr>
      <w:tr>
        <w:trPr>
          <w:trHeight w:val="1253" w:hRule="exact"/>
        </w:trPr>
        <w:tc>
          <w:tcPr>
            <w:tcW w:w="2057" w:type="dxa"/>
          </w:tcPr>
          <w:p>
            <w:pPr>
              <w:pStyle w:val="TableParagraph"/>
              <w:jc w:val="left"/>
              <w:rPr>
                <w:sz w:val="18"/>
              </w:rPr>
            </w:pPr>
          </w:p>
          <w:p>
            <w:pPr>
              <w:pStyle w:val="TableParagraph"/>
              <w:spacing w:before="7"/>
              <w:jc w:val="left"/>
              <w:rPr>
                <w:sz w:val="17"/>
              </w:rPr>
            </w:pPr>
          </w:p>
          <w:p>
            <w:pPr>
              <w:pStyle w:val="TableParagraph"/>
              <w:ind w:left="103" w:right="693"/>
              <w:jc w:val="left"/>
              <w:rPr>
                <w:b/>
                <w:sz w:val="18"/>
              </w:rPr>
            </w:pPr>
            <w:r>
              <w:rPr>
                <w:b/>
                <w:sz w:val="18"/>
              </w:rPr>
              <w:t>Transparencia Mexicana</w:t>
            </w:r>
          </w:p>
        </w:tc>
        <w:tc>
          <w:tcPr>
            <w:tcW w:w="6772" w:type="dxa"/>
          </w:tcPr>
          <w:p>
            <w:pPr>
              <w:pStyle w:val="TableParagraph"/>
              <w:ind w:left="103" w:right="107"/>
              <w:jc w:val="both"/>
              <w:rPr>
                <w:sz w:val="18"/>
              </w:rPr>
            </w:pPr>
            <w:r>
              <w:rPr>
                <w:color w:val="212121"/>
                <w:sz w:val="18"/>
              </w:rPr>
              <w:t>Promover</w:t>
            </w:r>
            <w:r>
              <w:rPr>
                <w:color w:val="212121"/>
                <w:spacing w:val="-14"/>
                <w:sz w:val="18"/>
              </w:rPr>
              <w:t> </w:t>
            </w:r>
            <w:r>
              <w:rPr>
                <w:color w:val="212121"/>
                <w:sz w:val="18"/>
              </w:rPr>
              <w:t>la</w:t>
            </w:r>
            <w:r>
              <w:rPr>
                <w:color w:val="212121"/>
                <w:spacing w:val="-14"/>
                <w:sz w:val="18"/>
              </w:rPr>
              <w:t> </w:t>
            </w:r>
            <w:r>
              <w:rPr>
                <w:color w:val="212121"/>
                <w:sz w:val="18"/>
              </w:rPr>
              <w:t>consolidación</w:t>
            </w:r>
            <w:r>
              <w:rPr>
                <w:color w:val="212121"/>
                <w:spacing w:val="-11"/>
                <w:sz w:val="18"/>
              </w:rPr>
              <w:t> </w:t>
            </w:r>
            <w:r>
              <w:rPr>
                <w:color w:val="212121"/>
                <w:sz w:val="18"/>
              </w:rPr>
              <w:t>de</w:t>
            </w:r>
            <w:r>
              <w:rPr>
                <w:color w:val="212121"/>
                <w:spacing w:val="-16"/>
                <w:sz w:val="18"/>
              </w:rPr>
              <w:t> </w:t>
            </w:r>
            <w:r>
              <w:rPr>
                <w:color w:val="212121"/>
                <w:sz w:val="18"/>
              </w:rPr>
              <w:t>una</w:t>
            </w:r>
            <w:r>
              <w:rPr>
                <w:color w:val="212121"/>
                <w:spacing w:val="-14"/>
                <w:sz w:val="18"/>
              </w:rPr>
              <w:t> </w:t>
            </w:r>
            <w:r>
              <w:rPr>
                <w:color w:val="212121"/>
                <w:sz w:val="18"/>
              </w:rPr>
              <w:t>cultura</w:t>
            </w:r>
            <w:r>
              <w:rPr>
                <w:color w:val="212121"/>
                <w:spacing w:val="-14"/>
                <w:sz w:val="18"/>
              </w:rPr>
              <w:t> </w:t>
            </w:r>
            <w:r>
              <w:rPr>
                <w:color w:val="212121"/>
                <w:sz w:val="18"/>
              </w:rPr>
              <w:t>ciudadana</w:t>
            </w:r>
            <w:r>
              <w:rPr>
                <w:color w:val="212121"/>
                <w:spacing w:val="-14"/>
                <w:sz w:val="18"/>
              </w:rPr>
              <w:t> </w:t>
            </w:r>
            <w:r>
              <w:rPr>
                <w:color w:val="212121"/>
                <w:sz w:val="18"/>
              </w:rPr>
              <w:t>de</w:t>
            </w:r>
            <w:r>
              <w:rPr>
                <w:color w:val="212121"/>
                <w:spacing w:val="-11"/>
                <w:sz w:val="18"/>
              </w:rPr>
              <w:t> </w:t>
            </w:r>
            <w:r>
              <w:rPr>
                <w:color w:val="212121"/>
                <w:sz w:val="18"/>
              </w:rPr>
              <w:t>respeto</w:t>
            </w:r>
            <w:r>
              <w:rPr>
                <w:color w:val="212121"/>
                <w:spacing w:val="-11"/>
                <w:sz w:val="18"/>
              </w:rPr>
              <w:t> </w:t>
            </w:r>
            <w:r>
              <w:rPr>
                <w:color w:val="212121"/>
                <w:sz w:val="18"/>
              </w:rPr>
              <w:t>a</w:t>
            </w:r>
            <w:r>
              <w:rPr>
                <w:color w:val="212121"/>
                <w:spacing w:val="-13"/>
                <w:sz w:val="18"/>
              </w:rPr>
              <w:t> </w:t>
            </w:r>
            <w:r>
              <w:rPr>
                <w:color w:val="212121"/>
                <w:sz w:val="18"/>
              </w:rPr>
              <w:t>la</w:t>
            </w:r>
            <w:r>
              <w:rPr>
                <w:color w:val="212121"/>
                <w:spacing w:val="-13"/>
                <w:sz w:val="18"/>
              </w:rPr>
              <w:t> </w:t>
            </w:r>
            <w:r>
              <w:rPr>
                <w:color w:val="212121"/>
                <w:sz w:val="18"/>
              </w:rPr>
              <w:t>legalidad.</w:t>
            </w:r>
            <w:r>
              <w:rPr>
                <w:color w:val="212121"/>
                <w:spacing w:val="-14"/>
                <w:sz w:val="18"/>
              </w:rPr>
              <w:t> </w:t>
            </w:r>
            <w:r>
              <w:rPr>
                <w:color w:val="212121"/>
                <w:sz w:val="18"/>
              </w:rPr>
              <w:t>Para ello, busca mejorar la comprensión de dicha cultura, así como los retos que una ética social</w:t>
            </w:r>
            <w:r>
              <w:rPr>
                <w:color w:val="212121"/>
                <w:spacing w:val="-7"/>
                <w:sz w:val="18"/>
              </w:rPr>
              <w:t> </w:t>
            </w:r>
            <w:r>
              <w:rPr>
                <w:color w:val="212121"/>
                <w:sz w:val="18"/>
              </w:rPr>
              <w:t>supone.</w:t>
            </w:r>
          </w:p>
          <w:p>
            <w:pPr>
              <w:pStyle w:val="TableParagraph"/>
              <w:ind w:left="103" w:right="103"/>
              <w:jc w:val="both"/>
              <w:rPr>
                <w:sz w:val="18"/>
              </w:rPr>
            </w:pPr>
            <w:r>
              <w:rPr>
                <w:color w:val="212121"/>
                <w:sz w:val="18"/>
              </w:rPr>
              <w:t>Analizar</w:t>
            </w:r>
            <w:r>
              <w:rPr>
                <w:color w:val="212121"/>
                <w:spacing w:val="-16"/>
                <w:sz w:val="18"/>
              </w:rPr>
              <w:t> </w:t>
            </w:r>
            <w:r>
              <w:rPr>
                <w:color w:val="212121"/>
                <w:sz w:val="18"/>
              </w:rPr>
              <w:t>e</w:t>
            </w:r>
            <w:r>
              <w:rPr>
                <w:color w:val="212121"/>
                <w:spacing w:val="-15"/>
                <w:sz w:val="18"/>
              </w:rPr>
              <w:t> </w:t>
            </w:r>
            <w:r>
              <w:rPr>
                <w:color w:val="212121"/>
                <w:sz w:val="18"/>
              </w:rPr>
              <w:t>integrar</w:t>
            </w:r>
            <w:r>
              <w:rPr>
                <w:color w:val="212121"/>
                <w:spacing w:val="-16"/>
                <w:sz w:val="18"/>
              </w:rPr>
              <w:t> </w:t>
            </w:r>
            <w:r>
              <w:rPr>
                <w:color w:val="212121"/>
                <w:sz w:val="18"/>
              </w:rPr>
              <w:t>propuestas</w:t>
            </w:r>
            <w:r>
              <w:rPr>
                <w:color w:val="212121"/>
                <w:spacing w:val="-15"/>
                <w:sz w:val="18"/>
              </w:rPr>
              <w:t> </w:t>
            </w:r>
            <w:r>
              <w:rPr>
                <w:color w:val="212121"/>
                <w:sz w:val="18"/>
              </w:rPr>
              <w:t>en</w:t>
            </w:r>
            <w:r>
              <w:rPr>
                <w:color w:val="212121"/>
                <w:spacing w:val="-15"/>
                <w:sz w:val="18"/>
              </w:rPr>
              <w:t> </w:t>
            </w:r>
            <w:r>
              <w:rPr>
                <w:color w:val="212121"/>
                <w:sz w:val="18"/>
              </w:rPr>
              <w:t>torno</w:t>
            </w:r>
            <w:r>
              <w:rPr>
                <w:color w:val="212121"/>
                <w:spacing w:val="-10"/>
                <w:sz w:val="18"/>
              </w:rPr>
              <w:t> </w:t>
            </w:r>
            <w:r>
              <w:rPr>
                <w:color w:val="212121"/>
                <w:sz w:val="18"/>
              </w:rPr>
              <w:t>al</w:t>
            </w:r>
            <w:r>
              <w:rPr>
                <w:color w:val="212121"/>
                <w:spacing w:val="-14"/>
                <w:sz w:val="18"/>
              </w:rPr>
              <w:t> </w:t>
            </w:r>
            <w:r>
              <w:rPr>
                <w:color w:val="212121"/>
                <w:sz w:val="18"/>
              </w:rPr>
              <w:t>aparato</w:t>
            </w:r>
            <w:r>
              <w:rPr>
                <w:color w:val="212121"/>
                <w:spacing w:val="-15"/>
                <w:sz w:val="18"/>
              </w:rPr>
              <w:t> </w:t>
            </w:r>
            <w:r>
              <w:rPr>
                <w:color w:val="212121"/>
                <w:sz w:val="18"/>
              </w:rPr>
              <w:t>educativo</w:t>
            </w:r>
            <w:r>
              <w:rPr>
                <w:color w:val="212121"/>
                <w:spacing w:val="-15"/>
                <w:sz w:val="18"/>
              </w:rPr>
              <w:t> </w:t>
            </w:r>
            <w:r>
              <w:rPr>
                <w:color w:val="212121"/>
                <w:sz w:val="18"/>
              </w:rPr>
              <w:t>y</w:t>
            </w:r>
            <w:r>
              <w:rPr>
                <w:color w:val="212121"/>
                <w:spacing w:val="-18"/>
                <w:sz w:val="18"/>
              </w:rPr>
              <w:t> </w:t>
            </w:r>
            <w:r>
              <w:rPr>
                <w:color w:val="212121"/>
                <w:sz w:val="18"/>
              </w:rPr>
              <w:t>al</w:t>
            </w:r>
            <w:r>
              <w:rPr>
                <w:color w:val="212121"/>
                <w:spacing w:val="-14"/>
                <w:sz w:val="18"/>
              </w:rPr>
              <w:t> </w:t>
            </w:r>
            <w:r>
              <w:rPr>
                <w:color w:val="212121"/>
                <w:sz w:val="18"/>
              </w:rPr>
              <w:t>sistema</w:t>
            </w:r>
            <w:r>
              <w:rPr>
                <w:color w:val="212121"/>
                <w:spacing w:val="-16"/>
                <w:sz w:val="18"/>
              </w:rPr>
              <w:t> </w:t>
            </w:r>
            <w:r>
              <w:rPr>
                <w:color w:val="212121"/>
                <w:sz w:val="18"/>
              </w:rPr>
              <w:t>de</w:t>
            </w:r>
            <w:r>
              <w:rPr>
                <w:color w:val="212121"/>
                <w:spacing w:val="-16"/>
                <w:sz w:val="18"/>
              </w:rPr>
              <w:t> </w:t>
            </w:r>
            <w:r>
              <w:rPr>
                <w:color w:val="212121"/>
                <w:sz w:val="18"/>
              </w:rPr>
              <w:t>valores. Establecer alianzas y redes de combate a la</w:t>
            </w:r>
            <w:r>
              <w:rPr>
                <w:color w:val="212121"/>
                <w:spacing w:val="-25"/>
                <w:sz w:val="18"/>
              </w:rPr>
              <w:t> </w:t>
            </w:r>
            <w:r>
              <w:rPr>
                <w:color w:val="212121"/>
                <w:sz w:val="18"/>
              </w:rPr>
              <w:t>corrupción.</w:t>
            </w:r>
          </w:p>
          <w:p>
            <w:pPr>
              <w:pStyle w:val="TableParagraph"/>
              <w:spacing w:line="206" w:lineRule="exact"/>
              <w:ind w:left="103"/>
              <w:jc w:val="both"/>
              <w:rPr>
                <w:sz w:val="18"/>
              </w:rPr>
            </w:pPr>
            <w:r>
              <w:rPr>
                <w:color w:val="212121"/>
                <w:sz w:val="18"/>
              </w:rPr>
              <w:t>Mantener una vocación de servicio y asesoría.</w:t>
            </w:r>
          </w:p>
        </w:tc>
      </w:tr>
      <w:tr>
        <w:trPr>
          <w:trHeight w:val="631" w:hRule="exact"/>
        </w:trPr>
        <w:tc>
          <w:tcPr>
            <w:tcW w:w="2057" w:type="dxa"/>
          </w:tcPr>
          <w:p>
            <w:pPr>
              <w:pStyle w:val="TableParagraph"/>
              <w:spacing w:before="5"/>
              <w:jc w:val="left"/>
              <w:rPr>
                <w:sz w:val="17"/>
              </w:rPr>
            </w:pPr>
          </w:p>
          <w:p>
            <w:pPr>
              <w:pStyle w:val="TableParagraph"/>
              <w:ind w:left="103" w:right="373"/>
              <w:jc w:val="left"/>
              <w:rPr>
                <w:b/>
                <w:sz w:val="18"/>
              </w:rPr>
            </w:pPr>
            <w:r>
              <w:rPr>
                <w:b/>
                <w:sz w:val="18"/>
              </w:rPr>
              <w:t>Visión Legislativa</w:t>
            </w:r>
          </w:p>
        </w:tc>
        <w:tc>
          <w:tcPr>
            <w:tcW w:w="6772" w:type="dxa"/>
          </w:tcPr>
          <w:p>
            <w:pPr>
              <w:pStyle w:val="TableParagraph"/>
              <w:tabs>
                <w:tab w:pos="1612" w:val="left" w:leader="none"/>
                <w:tab w:pos="2699" w:val="left" w:leader="none"/>
                <w:tab w:pos="4677" w:val="left" w:leader="none"/>
                <w:tab w:pos="6565" w:val="left" w:leader="none"/>
              </w:tabs>
              <w:ind w:left="103" w:right="103"/>
              <w:jc w:val="both"/>
              <w:rPr>
                <w:sz w:val="18"/>
              </w:rPr>
            </w:pPr>
            <w:r>
              <w:rPr>
                <w:color w:val="212121"/>
                <w:sz w:val="18"/>
              </w:rPr>
              <w:t>Contribuir al conocimiento y toma de decisiones a partir de la construcción y difusión</w:t>
              <w:tab/>
              <w:t>de</w:t>
              <w:tab/>
              <w:t>investigación,</w:t>
              <w:tab/>
              <w:t>capacitación</w:t>
              <w:tab/>
              <w:t>y propuestas</w:t>
            </w:r>
            <w:r>
              <w:rPr>
                <w:color w:val="212121"/>
                <w:spacing w:val="-4"/>
                <w:sz w:val="18"/>
              </w:rPr>
              <w:t> </w:t>
            </w:r>
            <w:r>
              <w:rPr>
                <w:color w:val="212121"/>
                <w:sz w:val="18"/>
              </w:rPr>
              <w:t>sobre</w:t>
            </w:r>
            <w:r>
              <w:rPr>
                <w:color w:val="212121"/>
                <w:spacing w:val="-5"/>
                <w:sz w:val="18"/>
              </w:rPr>
              <w:t> </w:t>
            </w:r>
            <w:r>
              <w:rPr>
                <w:color w:val="212121"/>
                <w:sz w:val="18"/>
              </w:rPr>
              <w:t>instituciones</w:t>
            </w:r>
            <w:r>
              <w:rPr>
                <w:color w:val="212121"/>
                <w:spacing w:val="-4"/>
                <w:sz w:val="18"/>
              </w:rPr>
              <w:t> </w:t>
            </w:r>
            <w:r>
              <w:rPr>
                <w:color w:val="212121"/>
                <w:sz w:val="18"/>
              </w:rPr>
              <w:t>legislativas,</w:t>
            </w:r>
            <w:r>
              <w:rPr>
                <w:color w:val="212121"/>
                <w:spacing w:val="-10"/>
                <w:sz w:val="18"/>
              </w:rPr>
              <w:t> </w:t>
            </w:r>
            <w:r>
              <w:rPr>
                <w:color w:val="212121"/>
                <w:sz w:val="18"/>
              </w:rPr>
              <w:t>partidos</w:t>
            </w:r>
            <w:r>
              <w:rPr>
                <w:color w:val="212121"/>
                <w:spacing w:val="-10"/>
                <w:sz w:val="18"/>
              </w:rPr>
              <w:t> </w:t>
            </w:r>
            <w:r>
              <w:rPr>
                <w:color w:val="212121"/>
                <w:sz w:val="18"/>
              </w:rPr>
              <w:t>políticos</w:t>
            </w:r>
            <w:r>
              <w:rPr>
                <w:color w:val="212121"/>
                <w:spacing w:val="-10"/>
                <w:sz w:val="18"/>
              </w:rPr>
              <w:t> </w:t>
            </w:r>
            <w:r>
              <w:rPr>
                <w:color w:val="212121"/>
                <w:sz w:val="18"/>
              </w:rPr>
              <w:t>y</w:t>
            </w:r>
            <w:r>
              <w:rPr>
                <w:color w:val="212121"/>
                <w:spacing w:val="-10"/>
                <w:sz w:val="18"/>
              </w:rPr>
              <w:t> </w:t>
            </w:r>
            <w:r>
              <w:rPr>
                <w:color w:val="212121"/>
                <w:sz w:val="18"/>
              </w:rPr>
              <w:t>derechos</w:t>
            </w:r>
            <w:r>
              <w:rPr>
                <w:color w:val="212121"/>
                <w:spacing w:val="-10"/>
                <w:sz w:val="18"/>
              </w:rPr>
              <w:t> </w:t>
            </w:r>
            <w:r>
              <w:rPr>
                <w:color w:val="212121"/>
                <w:sz w:val="18"/>
              </w:rPr>
              <w:t>humanos.</w:t>
            </w:r>
          </w:p>
        </w:tc>
      </w:tr>
    </w:tbl>
    <w:p>
      <w:pPr>
        <w:spacing w:line="206" w:lineRule="exact" w:before="0"/>
        <w:ind w:left="214" w:right="0" w:firstLine="0"/>
        <w:jc w:val="left"/>
        <w:rPr>
          <w:sz w:val="18"/>
        </w:rPr>
      </w:pPr>
      <w:r>
        <w:rPr>
          <w:color w:val="212121"/>
          <w:sz w:val="18"/>
        </w:rPr>
        <w:t>Fuente: Elaboración propia.</w:t>
      </w:r>
    </w:p>
    <w:p>
      <w:pPr>
        <w:pStyle w:val="BodyText"/>
        <w:rPr>
          <w:sz w:val="20"/>
        </w:rPr>
      </w:pPr>
    </w:p>
    <w:p>
      <w:pPr>
        <w:pStyle w:val="BodyText"/>
        <w:spacing w:before="8"/>
        <w:rPr>
          <w:sz w:val="23"/>
        </w:rPr>
      </w:pPr>
    </w:p>
    <w:p>
      <w:pPr>
        <w:pStyle w:val="BodyText"/>
        <w:spacing w:line="360" w:lineRule="auto" w:before="70"/>
        <w:ind w:left="102" w:right="117"/>
        <w:jc w:val="both"/>
      </w:pPr>
      <w:r>
        <w:rPr/>
        <w:t>La</w:t>
      </w:r>
      <w:r>
        <w:rPr>
          <w:spacing w:val="-14"/>
        </w:rPr>
        <w:t> </w:t>
      </w:r>
      <w:r>
        <w:rPr/>
        <w:t>tabla</w:t>
      </w:r>
      <w:r>
        <w:rPr>
          <w:spacing w:val="-17"/>
        </w:rPr>
        <w:t> </w:t>
      </w:r>
      <w:r>
        <w:rPr/>
        <w:t>anterior</w:t>
      </w:r>
      <w:r>
        <w:rPr>
          <w:spacing w:val="-18"/>
        </w:rPr>
        <w:t> </w:t>
      </w:r>
      <w:r>
        <w:rPr/>
        <w:t>muestra</w:t>
      </w:r>
      <w:r>
        <w:rPr>
          <w:spacing w:val="-15"/>
        </w:rPr>
        <w:t> </w:t>
      </w:r>
      <w:r>
        <w:rPr/>
        <w:t>la</w:t>
      </w:r>
      <w:r>
        <w:rPr>
          <w:spacing w:val="-14"/>
        </w:rPr>
        <w:t> </w:t>
      </w:r>
      <w:r>
        <w:rPr/>
        <w:t>creciente</w:t>
      </w:r>
      <w:r>
        <w:rPr>
          <w:spacing w:val="-16"/>
        </w:rPr>
        <w:t> </w:t>
      </w:r>
      <w:r>
        <w:rPr/>
        <w:t>demanda</w:t>
      </w:r>
      <w:r>
        <w:rPr>
          <w:spacing w:val="-14"/>
        </w:rPr>
        <w:t> </w:t>
      </w:r>
      <w:r>
        <w:rPr/>
        <w:t>social</w:t>
      </w:r>
      <w:r>
        <w:rPr>
          <w:spacing w:val="-17"/>
        </w:rPr>
        <w:t> </w:t>
      </w:r>
      <w:r>
        <w:rPr/>
        <w:t>por</w:t>
      </w:r>
      <w:r>
        <w:rPr>
          <w:spacing w:val="-18"/>
        </w:rPr>
        <w:t> </w:t>
      </w:r>
      <w:r>
        <w:rPr/>
        <w:t>promover</w:t>
      </w:r>
      <w:r>
        <w:rPr>
          <w:spacing w:val="-16"/>
        </w:rPr>
        <w:t> </w:t>
      </w:r>
      <w:r>
        <w:rPr/>
        <w:t>la</w:t>
      </w:r>
      <w:r>
        <w:rPr>
          <w:spacing w:val="-14"/>
        </w:rPr>
        <w:t> </w:t>
      </w:r>
      <w:r>
        <w:rPr/>
        <w:t>transparencia gubernamental, ya que la sociedad civil está cada vez más organizada para presionar la creación del GA. Como se describió anteriormente, el Grupo Oaxaca logró la creación de la laye de transparencia. Asimismo, la presión política de</w:t>
      </w:r>
      <w:r>
        <w:rPr>
          <w:spacing w:val="-42"/>
        </w:rPr>
        <w:t> </w:t>
      </w:r>
      <w:r>
        <w:rPr/>
        <w:t>estas 11 organizaciones obligó al gobierno a crear la Alianza para el Parlamento Abierto, de la cual se hablará más</w:t>
      </w:r>
      <w:r>
        <w:rPr>
          <w:spacing w:val="-14"/>
        </w:rPr>
        <w:t> </w:t>
      </w:r>
      <w:r>
        <w:rPr/>
        <w:t>adelante.</w:t>
      </w:r>
    </w:p>
    <w:p>
      <w:pPr>
        <w:spacing w:after="0" w:line="360" w:lineRule="auto"/>
        <w:jc w:val="both"/>
        <w:sectPr>
          <w:pgSz w:w="12240" w:h="15840"/>
          <w:pgMar w:header="0" w:footer="1035" w:top="1360" w:bottom="1220" w:left="1600" w:right="1580"/>
        </w:sectPr>
      </w:pPr>
    </w:p>
    <w:p>
      <w:pPr>
        <w:pStyle w:val="Heading1"/>
        <w:numPr>
          <w:ilvl w:val="2"/>
          <w:numId w:val="38"/>
        </w:numPr>
        <w:tabs>
          <w:tab w:pos="830" w:val="left" w:leader="none"/>
        </w:tabs>
        <w:spacing w:line="240" w:lineRule="auto" w:before="54" w:after="0"/>
        <w:ind w:left="830" w:right="0" w:hanging="720"/>
        <w:jc w:val="both"/>
      </w:pPr>
      <w:r>
        <w:rPr/>
        <w:t>Instituciones en el Estado de</w:t>
      </w:r>
      <w:r>
        <w:rPr>
          <w:spacing w:val="-7"/>
        </w:rPr>
        <w:t> </w:t>
      </w:r>
      <w:r>
        <w:rPr/>
        <w:t>México</w:t>
      </w:r>
    </w:p>
    <w:p>
      <w:pPr>
        <w:pStyle w:val="BodyText"/>
        <w:rPr>
          <w:b/>
        </w:rPr>
      </w:pPr>
    </w:p>
    <w:p>
      <w:pPr>
        <w:pStyle w:val="BodyText"/>
        <w:rPr>
          <w:b/>
        </w:rPr>
      </w:pPr>
    </w:p>
    <w:p>
      <w:pPr>
        <w:pStyle w:val="ListParagraph"/>
        <w:numPr>
          <w:ilvl w:val="3"/>
          <w:numId w:val="38"/>
        </w:numPr>
        <w:tabs>
          <w:tab w:pos="974" w:val="left" w:leader="none"/>
        </w:tabs>
        <w:spacing w:line="360" w:lineRule="auto" w:before="202" w:after="0"/>
        <w:ind w:left="974" w:right="930" w:hanging="852"/>
        <w:jc w:val="left"/>
        <w:rPr>
          <w:b/>
          <w:sz w:val="24"/>
        </w:rPr>
      </w:pPr>
      <w:r>
        <w:rPr>
          <w:b/>
          <w:sz w:val="24"/>
        </w:rPr>
        <w:t>Instituto de Acceso a la Información Pública y Municipios en</w:t>
      </w:r>
      <w:r>
        <w:rPr>
          <w:b/>
          <w:spacing w:val="-15"/>
          <w:sz w:val="24"/>
        </w:rPr>
        <w:t> </w:t>
      </w:r>
      <w:r>
        <w:rPr>
          <w:b/>
          <w:sz w:val="24"/>
        </w:rPr>
        <w:t>el Estado de México y Municipios</w:t>
      </w:r>
      <w:r>
        <w:rPr>
          <w:b/>
          <w:spacing w:val="-3"/>
          <w:sz w:val="24"/>
        </w:rPr>
        <w:t> </w:t>
      </w:r>
      <w:r>
        <w:rPr>
          <w:b/>
          <w:sz w:val="24"/>
        </w:rPr>
        <w:t>(INFOEM)</w:t>
      </w:r>
    </w:p>
    <w:p>
      <w:pPr>
        <w:pStyle w:val="BodyText"/>
        <w:rPr>
          <w:b/>
        </w:rPr>
      </w:pPr>
    </w:p>
    <w:p>
      <w:pPr>
        <w:pStyle w:val="BodyText"/>
        <w:spacing w:before="3"/>
        <w:rPr>
          <w:b/>
          <w:sz w:val="26"/>
        </w:rPr>
      </w:pPr>
    </w:p>
    <w:p>
      <w:pPr>
        <w:pStyle w:val="BodyText"/>
        <w:spacing w:line="360" w:lineRule="auto" w:before="1"/>
        <w:ind w:left="122" w:right="120"/>
        <w:jc w:val="both"/>
      </w:pPr>
      <w:r>
        <w:rPr/>
        <w:t>En el Estado de México el equivalente al INAI es el Instituto de Acceso a la Información Pública del Estado de México y Municipios (INFOEM) cuyo objetivo y funciones son las siguientes:</w:t>
      </w:r>
    </w:p>
    <w:p>
      <w:pPr>
        <w:pStyle w:val="BodyText"/>
        <w:spacing w:before="5"/>
        <w:rPr>
          <w:sz w:val="14"/>
        </w:rPr>
      </w:pPr>
    </w:p>
    <w:tbl>
      <w:tblPr>
        <w:tblW w:w="0" w:type="auto"/>
        <w:jc w:val="left"/>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02"/>
        <w:gridCol w:w="7727"/>
      </w:tblGrid>
      <w:tr>
        <w:trPr>
          <w:trHeight w:val="319" w:hRule="exact"/>
        </w:trPr>
        <w:tc>
          <w:tcPr>
            <w:tcW w:w="8829" w:type="dxa"/>
            <w:gridSpan w:val="2"/>
            <w:shd w:val="clear" w:color="auto" w:fill="92D050"/>
          </w:tcPr>
          <w:p>
            <w:pPr>
              <w:pStyle w:val="TableParagraph"/>
              <w:spacing w:line="201" w:lineRule="exact"/>
              <w:ind w:left="2352" w:right="312"/>
              <w:jc w:val="left"/>
              <w:rPr>
                <w:b/>
                <w:sz w:val="18"/>
              </w:rPr>
            </w:pPr>
            <w:r>
              <w:rPr>
                <w:b/>
                <w:sz w:val="18"/>
              </w:rPr>
              <w:t>Tabla 2.6. Misión, visión y objetivos del INFOEM</w:t>
            </w:r>
          </w:p>
        </w:tc>
      </w:tr>
      <w:tr>
        <w:trPr>
          <w:trHeight w:val="725" w:hRule="exact"/>
        </w:trPr>
        <w:tc>
          <w:tcPr>
            <w:tcW w:w="1102" w:type="dxa"/>
            <w:shd w:val="clear" w:color="auto" w:fill="92D050"/>
          </w:tcPr>
          <w:p>
            <w:pPr>
              <w:pStyle w:val="TableParagraph"/>
              <w:spacing w:before="7"/>
              <w:jc w:val="left"/>
              <w:rPr>
                <w:sz w:val="26"/>
              </w:rPr>
            </w:pPr>
          </w:p>
          <w:p>
            <w:pPr>
              <w:pStyle w:val="TableParagraph"/>
              <w:ind w:left="103"/>
              <w:jc w:val="left"/>
              <w:rPr>
                <w:b/>
                <w:sz w:val="18"/>
              </w:rPr>
            </w:pPr>
            <w:r>
              <w:rPr>
                <w:b/>
                <w:sz w:val="18"/>
              </w:rPr>
              <w:t>Misión</w:t>
            </w:r>
          </w:p>
        </w:tc>
        <w:tc>
          <w:tcPr>
            <w:tcW w:w="7727" w:type="dxa"/>
          </w:tcPr>
          <w:p>
            <w:pPr>
              <w:pStyle w:val="TableParagraph"/>
              <w:spacing w:line="276" w:lineRule="auto" w:before="1"/>
              <w:ind w:left="103" w:right="100"/>
              <w:jc w:val="both"/>
              <w:rPr>
                <w:sz w:val="18"/>
              </w:rPr>
            </w:pPr>
            <w:r>
              <w:rPr>
                <w:sz w:val="18"/>
              </w:rPr>
              <w:t>Constituirse como un órgano garante del derecho de acceso a la información pública y la protección</w:t>
            </w:r>
            <w:r>
              <w:rPr>
                <w:spacing w:val="-4"/>
                <w:sz w:val="18"/>
              </w:rPr>
              <w:t> </w:t>
            </w:r>
            <w:r>
              <w:rPr>
                <w:sz w:val="18"/>
              </w:rPr>
              <w:t>de</w:t>
            </w:r>
            <w:r>
              <w:rPr>
                <w:spacing w:val="-4"/>
                <w:sz w:val="18"/>
              </w:rPr>
              <w:t> </w:t>
            </w:r>
            <w:r>
              <w:rPr>
                <w:sz w:val="18"/>
              </w:rPr>
              <w:t>los</w:t>
            </w:r>
            <w:r>
              <w:rPr>
                <w:spacing w:val="-3"/>
                <w:sz w:val="18"/>
              </w:rPr>
              <w:t> </w:t>
            </w:r>
            <w:r>
              <w:rPr>
                <w:sz w:val="18"/>
              </w:rPr>
              <w:t>datos</w:t>
            </w:r>
            <w:r>
              <w:rPr>
                <w:spacing w:val="-3"/>
                <w:sz w:val="18"/>
              </w:rPr>
              <w:t> </w:t>
            </w:r>
            <w:r>
              <w:rPr>
                <w:sz w:val="18"/>
              </w:rPr>
              <w:t>personales</w:t>
            </w:r>
            <w:r>
              <w:rPr>
                <w:spacing w:val="-6"/>
                <w:sz w:val="18"/>
              </w:rPr>
              <w:t> </w:t>
            </w:r>
            <w:r>
              <w:rPr>
                <w:sz w:val="18"/>
              </w:rPr>
              <w:t>en</w:t>
            </w:r>
            <w:r>
              <w:rPr>
                <w:spacing w:val="-4"/>
                <w:sz w:val="18"/>
              </w:rPr>
              <w:t> </w:t>
            </w:r>
            <w:r>
              <w:rPr>
                <w:sz w:val="18"/>
              </w:rPr>
              <w:t>el</w:t>
            </w:r>
            <w:r>
              <w:rPr>
                <w:spacing w:val="-1"/>
                <w:sz w:val="18"/>
              </w:rPr>
              <w:t> </w:t>
            </w:r>
            <w:r>
              <w:rPr>
                <w:sz w:val="18"/>
              </w:rPr>
              <w:t>Estado</w:t>
            </w:r>
            <w:r>
              <w:rPr>
                <w:spacing w:val="-4"/>
                <w:sz w:val="18"/>
              </w:rPr>
              <w:t> </w:t>
            </w:r>
            <w:r>
              <w:rPr>
                <w:sz w:val="18"/>
              </w:rPr>
              <w:t>de</w:t>
            </w:r>
            <w:r>
              <w:rPr>
                <w:spacing w:val="-4"/>
                <w:sz w:val="18"/>
              </w:rPr>
              <w:t> </w:t>
            </w:r>
            <w:r>
              <w:rPr>
                <w:sz w:val="18"/>
              </w:rPr>
              <w:t>México,</w:t>
            </w:r>
            <w:r>
              <w:rPr>
                <w:spacing w:val="-4"/>
                <w:sz w:val="18"/>
              </w:rPr>
              <w:t> </w:t>
            </w:r>
            <w:r>
              <w:rPr>
                <w:sz w:val="18"/>
              </w:rPr>
              <w:t>a</w:t>
            </w:r>
            <w:r>
              <w:rPr>
                <w:spacing w:val="-4"/>
                <w:sz w:val="18"/>
              </w:rPr>
              <w:t> </w:t>
            </w:r>
            <w:r>
              <w:rPr>
                <w:sz w:val="18"/>
              </w:rPr>
              <w:t>través</w:t>
            </w:r>
            <w:r>
              <w:rPr>
                <w:spacing w:val="-3"/>
                <w:sz w:val="18"/>
              </w:rPr>
              <w:t> </w:t>
            </w:r>
            <w:r>
              <w:rPr>
                <w:sz w:val="18"/>
              </w:rPr>
              <w:t>de</w:t>
            </w:r>
            <w:r>
              <w:rPr>
                <w:spacing w:val="-4"/>
                <w:sz w:val="18"/>
              </w:rPr>
              <w:t> </w:t>
            </w:r>
            <w:r>
              <w:rPr>
                <w:sz w:val="18"/>
              </w:rPr>
              <w:t>la</w:t>
            </w:r>
            <w:r>
              <w:rPr>
                <w:spacing w:val="-4"/>
                <w:sz w:val="18"/>
              </w:rPr>
              <w:t> </w:t>
            </w:r>
            <w:r>
              <w:rPr>
                <w:sz w:val="18"/>
              </w:rPr>
              <w:t>promoción</w:t>
            </w:r>
            <w:r>
              <w:rPr>
                <w:spacing w:val="-4"/>
                <w:sz w:val="18"/>
              </w:rPr>
              <w:t> </w:t>
            </w:r>
            <w:r>
              <w:rPr>
                <w:sz w:val="18"/>
              </w:rPr>
              <w:t>oportuna y dinámica de la cultura de la</w:t>
            </w:r>
            <w:r>
              <w:rPr>
                <w:spacing w:val="-21"/>
                <w:sz w:val="18"/>
              </w:rPr>
              <w:t> </w:t>
            </w:r>
            <w:r>
              <w:rPr>
                <w:sz w:val="18"/>
              </w:rPr>
              <w:t>transparencia.</w:t>
            </w:r>
          </w:p>
        </w:tc>
      </w:tr>
      <w:tr>
        <w:trPr>
          <w:trHeight w:val="725" w:hRule="exact"/>
        </w:trPr>
        <w:tc>
          <w:tcPr>
            <w:tcW w:w="1102" w:type="dxa"/>
            <w:shd w:val="clear" w:color="auto" w:fill="92D050"/>
          </w:tcPr>
          <w:p>
            <w:pPr>
              <w:pStyle w:val="TableParagraph"/>
              <w:spacing w:before="7"/>
              <w:jc w:val="left"/>
              <w:rPr>
                <w:sz w:val="26"/>
              </w:rPr>
            </w:pPr>
          </w:p>
          <w:p>
            <w:pPr>
              <w:pStyle w:val="TableParagraph"/>
              <w:ind w:left="103"/>
              <w:jc w:val="left"/>
              <w:rPr>
                <w:b/>
                <w:sz w:val="18"/>
              </w:rPr>
            </w:pPr>
            <w:r>
              <w:rPr>
                <w:b/>
                <w:sz w:val="18"/>
              </w:rPr>
              <w:t>Visión</w:t>
            </w:r>
          </w:p>
        </w:tc>
        <w:tc>
          <w:tcPr>
            <w:tcW w:w="7727" w:type="dxa"/>
          </w:tcPr>
          <w:p>
            <w:pPr>
              <w:pStyle w:val="TableParagraph"/>
              <w:spacing w:line="276" w:lineRule="auto"/>
              <w:ind w:left="103" w:right="102"/>
              <w:jc w:val="both"/>
              <w:rPr>
                <w:sz w:val="18"/>
              </w:rPr>
            </w:pPr>
            <w:r>
              <w:rPr>
                <w:sz w:val="18"/>
              </w:rPr>
              <w:t>Actuar</w:t>
            </w:r>
            <w:r>
              <w:rPr>
                <w:spacing w:val="-7"/>
                <w:sz w:val="18"/>
              </w:rPr>
              <w:t> </w:t>
            </w:r>
            <w:r>
              <w:rPr>
                <w:sz w:val="18"/>
              </w:rPr>
              <w:t>como</w:t>
            </w:r>
            <w:r>
              <w:rPr>
                <w:spacing w:val="-5"/>
                <w:sz w:val="18"/>
              </w:rPr>
              <w:t> </w:t>
            </w:r>
            <w:r>
              <w:rPr>
                <w:sz w:val="18"/>
              </w:rPr>
              <w:t>un</w:t>
            </w:r>
            <w:r>
              <w:rPr>
                <w:spacing w:val="-5"/>
                <w:sz w:val="18"/>
              </w:rPr>
              <w:t> </w:t>
            </w:r>
            <w:r>
              <w:rPr>
                <w:sz w:val="18"/>
              </w:rPr>
              <w:t>órgano</w:t>
            </w:r>
            <w:r>
              <w:rPr>
                <w:spacing w:val="-5"/>
                <w:sz w:val="18"/>
              </w:rPr>
              <w:t> </w:t>
            </w:r>
            <w:r>
              <w:rPr>
                <w:sz w:val="18"/>
              </w:rPr>
              <w:t>garante</w:t>
            </w:r>
            <w:r>
              <w:rPr>
                <w:spacing w:val="-5"/>
                <w:sz w:val="18"/>
              </w:rPr>
              <w:t> </w:t>
            </w:r>
            <w:r>
              <w:rPr>
                <w:sz w:val="18"/>
              </w:rPr>
              <w:t>confiable</w:t>
            </w:r>
            <w:r>
              <w:rPr>
                <w:spacing w:val="-5"/>
                <w:sz w:val="18"/>
              </w:rPr>
              <w:t> </w:t>
            </w:r>
            <w:r>
              <w:rPr>
                <w:sz w:val="18"/>
              </w:rPr>
              <w:t>y</w:t>
            </w:r>
            <w:r>
              <w:rPr>
                <w:spacing w:val="-6"/>
                <w:sz w:val="18"/>
              </w:rPr>
              <w:t> </w:t>
            </w:r>
            <w:r>
              <w:rPr>
                <w:sz w:val="18"/>
              </w:rPr>
              <w:t>seguro,</w:t>
            </w:r>
            <w:r>
              <w:rPr>
                <w:spacing w:val="-5"/>
                <w:sz w:val="18"/>
              </w:rPr>
              <w:t> </w:t>
            </w:r>
            <w:r>
              <w:rPr>
                <w:sz w:val="18"/>
              </w:rPr>
              <w:t>que</w:t>
            </w:r>
            <w:r>
              <w:rPr>
                <w:spacing w:val="-5"/>
                <w:sz w:val="18"/>
              </w:rPr>
              <w:t> </w:t>
            </w:r>
            <w:r>
              <w:rPr>
                <w:sz w:val="18"/>
              </w:rPr>
              <w:t>garantiza</w:t>
            </w:r>
            <w:r>
              <w:rPr>
                <w:spacing w:val="1"/>
                <w:sz w:val="18"/>
              </w:rPr>
              <w:t> </w:t>
            </w:r>
            <w:r>
              <w:rPr>
                <w:sz w:val="18"/>
              </w:rPr>
              <w:t>y</w:t>
            </w:r>
            <w:r>
              <w:rPr>
                <w:spacing w:val="-6"/>
                <w:sz w:val="18"/>
              </w:rPr>
              <w:t> </w:t>
            </w:r>
            <w:r>
              <w:rPr>
                <w:sz w:val="18"/>
              </w:rPr>
              <w:t>salvaguarda,</w:t>
            </w:r>
            <w:r>
              <w:rPr>
                <w:spacing w:val="-7"/>
                <w:sz w:val="18"/>
              </w:rPr>
              <w:t> </w:t>
            </w:r>
            <w:r>
              <w:rPr>
                <w:sz w:val="18"/>
              </w:rPr>
              <w:t>con</w:t>
            </w:r>
            <w:r>
              <w:rPr>
                <w:spacing w:val="-6"/>
                <w:sz w:val="18"/>
              </w:rPr>
              <w:t> </w:t>
            </w:r>
            <w:r>
              <w:rPr>
                <w:sz w:val="18"/>
              </w:rPr>
              <w:t>seriedad y</w:t>
            </w:r>
            <w:r>
              <w:rPr>
                <w:spacing w:val="-4"/>
                <w:sz w:val="18"/>
              </w:rPr>
              <w:t> </w:t>
            </w:r>
            <w:r>
              <w:rPr>
                <w:sz w:val="18"/>
              </w:rPr>
              <w:t>apego</w:t>
            </w:r>
            <w:r>
              <w:rPr>
                <w:spacing w:val="-4"/>
                <w:sz w:val="18"/>
              </w:rPr>
              <w:t> </w:t>
            </w:r>
            <w:r>
              <w:rPr>
                <w:sz w:val="18"/>
              </w:rPr>
              <w:t>a</w:t>
            </w:r>
            <w:r>
              <w:rPr>
                <w:spacing w:val="-4"/>
                <w:sz w:val="18"/>
              </w:rPr>
              <w:t> </w:t>
            </w:r>
            <w:r>
              <w:rPr>
                <w:sz w:val="18"/>
              </w:rPr>
              <w:t>las</w:t>
            </w:r>
            <w:r>
              <w:rPr>
                <w:spacing w:val="-3"/>
                <w:sz w:val="18"/>
              </w:rPr>
              <w:t> </w:t>
            </w:r>
            <w:r>
              <w:rPr>
                <w:sz w:val="18"/>
              </w:rPr>
              <w:t>leyes,</w:t>
            </w:r>
            <w:r>
              <w:rPr>
                <w:spacing w:val="-4"/>
                <w:sz w:val="18"/>
              </w:rPr>
              <w:t> </w:t>
            </w:r>
            <w:r>
              <w:rPr>
                <w:sz w:val="18"/>
              </w:rPr>
              <w:t>el</w:t>
            </w:r>
            <w:r>
              <w:rPr>
                <w:spacing w:val="-4"/>
                <w:sz w:val="18"/>
              </w:rPr>
              <w:t> </w:t>
            </w:r>
            <w:r>
              <w:rPr>
                <w:sz w:val="18"/>
              </w:rPr>
              <w:t>derecho</w:t>
            </w:r>
            <w:r>
              <w:rPr>
                <w:spacing w:val="-2"/>
                <w:sz w:val="18"/>
              </w:rPr>
              <w:t> </w:t>
            </w:r>
            <w:r>
              <w:rPr>
                <w:sz w:val="18"/>
              </w:rPr>
              <w:t>de</w:t>
            </w:r>
            <w:r>
              <w:rPr>
                <w:spacing w:val="-4"/>
                <w:sz w:val="18"/>
              </w:rPr>
              <w:t> </w:t>
            </w:r>
            <w:r>
              <w:rPr>
                <w:sz w:val="18"/>
              </w:rPr>
              <w:t>acceso</w:t>
            </w:r>
            <w:r>
              <w:rPr>
                <w:spacing w:val="-4"/>
                <w:sz w:val="18"/>
              </w:rPr>
              <w:t> </w:t>
            </w:r>
            <w:r>
              <w:rPr>
                <w:sz w:val="18"/>
              </w:rPr>
              <w:t>a</w:t>
            </w:r>
            <w:r>
              <w:rPr>
                <w:spacing w:val="-4"/>
                <w:sz w:val="18"/>
              </w:rPr>
              <w:t> </w:t>
            </w:r>
            <w:r>
              <w:rPr>
                <w:sz w:val="18"/>
              </w:rPr>
              <w:t>la</w:t>
            </w:r>
            <w:r>
              <w:rPr>
                <w:spacing w:val="-4"/>
                <w:sz w:val="18"/>
              </w:rPr>
              <w:t> </w:t>
            </w:r>
            <w:r>
              <w:rPr>
                <w:sz w:val="18"/>
              </w:rPr>
              <w:t>información</w:t>
            </w:r>
            <w:r>
              <w:rPr>
                <w:spacing w:val="-4"/>
                <w:sz w:val="18"/>
              </w:rPr>
              <w:t> </w:t>
            </w:r>
            <w:r>
              <w:rPr>
                <w:sz w:val="18"/>
              </w:rPr>
              <w:t>pública</w:t>
            </w:r>
            <w:r>
              <w:rPr>
                <w:spacing w:val="-2"/>
                <w:sz w:val="18"/>
              </w:rPr>
              <w:t> </w:t>
            </w:r>
            <w:r>
              <w:rPr>
                <w:sz w:val="18"/>
              </w:rPr>
              <w:t>y</w:t>
            </w:r>
            <w:r>
              <w:rPr>
                <w:spacing w:val="-5"/>
                <w:sz w:val="18"/>
              </w:rPr>
              <w:t> </w:t>
            </w:r>
            <w:r>
              <w:rPr>
                <w:sz w:val="18"/>
              </w:rPr>
              <w:t>la</w:t>
            </w:r>
            <w:r>
              <w:rPr>
                <w:spacing w:val="-4"/>
                <w:sz w:val="18"/>
              </w:rPr>
              <w:t> </w:t>
            </w:r>
            <w:r>
              <w:rPr>
                <w:sz w:val="18"/>
              </w:rPr>
              <w:t>protección</w:t>
            </w:r>
            <w:r>
              <w:rPr>
                <w:spacing w:val="-2"/>
                <w:sz w:val="18"/>
              </w:rPr>
              <w:t> </w:t>
            </w:r>
            <w:r>
              <w:rPr>
                <w:sz w:val="18"/>
              </w:rPr>
              <w:t>de</w:t>
            </w:r>
            <w:r>
              <w:rPr>
                <w:spacing w:val="-2"/>
                <w:sz w:val="18"/>
              </w:rPr>
              <w:t> </w:t>
            </w:r>
            <w:r>
              <w:rPr>
                <w:sz w:val="18"/>
              </w:rPr>
              <w:t>los</w:t>
            </w:r>
            <w:r>
              <w:rPr>
                <w:spacing w:val="-4"/>
                <w:sz w:val="18"/>
              </w:rPr>
              <w:t> </w:t>
            </w:r>
            <w:r>
              <w:rPr>
                <w:sz w:val="18"/>
              </w:rPr>
              <w:t>datos personales en el Estado de</w:t>
            </w:r>
            <w:r>
              <w:rPr>
                <w:spacing w:val="-13"/>
                <w:sz w:val="18"/>
              </w:rPr>
              <w:t> </w:t>
            </w:r>
            <w:r>
              <w:rPr>
                <w:sz w:val="18"/>
              </w:rPr>
              <w:t>México.</w:t>
            </w:r>
          </w:p>
        </w:tc>
      </w:tr>
      <w:tr>
        <w:trPr>
          <w:trHeight w:val="1676" w:hRule="exact"/>
        </w:trPr>
        <w:tc>
          <w:tcPr>
            <w:tcW w:w="1102" w:type="dxa"/>
            <w:shd w:val="clear" w:color="auto" w:fill="92D050"/>
          </w:tcPr>
          <w:p>
            <w:pPr>
              <w:pStyle w:val="TableParagraph"/>
              <w:spacing w:line="201" w:lineRule="exact"/>
              <w:ind w:left="103"/>
              <w:jc w:val="left"/>
              <w:rPr>
                <w:b/>
                <w:sz w:val="18"/>
              </w:rPr>
            </w:pPr>
            <w:r>
              <w:rPr>
                <w:b/>
                <w:sz w:val="18"/>
              </w:rPr>
              <w:t>Fines</w:t>
            </w:r>
          </w:p>
        </w:tc>
        <w:tc>
          <w:tcPr>
            <w:tcW w:w="7727" w:type="dxa"/>
          </w:tcPr>
          <w:p>
            <w:pPr>
              <w:pStyle w:val="TableParagraph"/>
              <w:spacing w:line="276" w:lineRule="auto"/>
              <w:ind w:left="103" w:right="99"/>
              <w:jc w:val="both"/>
              <w:rPr>
                <w:sz w:val="18"/>
              </w:rPr>
            </w:pPr>
            <w:r>
              <w:rPr>
                <w:sz w:val="18"/>
              </w:rPr>
              <w:t>Garantizar el derecho de acceso a la información pública y la protección de los datos personales, mediante la interpretación y la aplicación de la Ley de Transparencia y Acceso a la Información Pública del Estado de México y Municipios y la Ley de Protección de Datos Personales del Estado de México; la resolución de los recursos de revisión, y la vigilancia de su cumplimiento por parte de los sujetos obligados. Además, se encarga de fomentar la transparencia y la rendición de cuentas, a través del contacto cercano y permanente con la sociedad mexiquense.</w:t>
            </w:r>
          </w:p>
        </w:tc>
      </w:tr>
    </w:tbl>
    <w:p>
      <w:pPr>
        <w:spacing w:line="183" w:lineRule="exact" w:before="0"/>
        <w:ind w:left="234" w:right="337" w:firstLine="0"/>
        <w:jc w:val="left"/>
        <w:rPr>
          <w:sz w:val="16"/>
        </w:rPr>
      </w:pPr>
      <w:r>
        <w:rPr>
          <w:sz w:val="16"/>
        </w:rPr>
        <w:t>Fuente: Adaptado de </w:t>
      </w:r>
      <w:hyperlink r:id="rId49">
        <w:r>
          <w:rPr>
            <w:color w:val="0462C1"/>
            <w:sz w:val="16"/>
            <w:u w:val="single" w:color="0462C1"/>
          </w:rPr>
          <w:t>http://inicio.ifai.org.mx/_catalogs/masterpage/misionViosionObjetivos.aspx </w:t>
        </w:r>
      </w:hyperlink>
      <w:r>
        <w:rPr>
          <w:sz w:val="16"/>
        </w:rPr>
        <w:t>[10-11-2013.]</w:t>
      </w:r>
    </w:p>
    <w:p>
      <w:pPr>
        <w:pStyle w:val="BodyText"/>
        <w:spacing w:before="2"/>
        <w:rPr>
          <w:sz w:val="19"/>
        </w:rPr>
      </w:pPr>
    </w:p>
    <w:p>
      <w:pPr>
        <w:pStyle w:val="Heading1"/>
        <w:numPr>
          <w:ilvl w:val="3"/>
          <w:numId w:val="38"/>
        </w:numPr>
        <w:tabs>
          <w:tab w:pos="974" w:val="left" w:leader="none"/>
        </w:tabs>
        <w:spacing w:line="240" w:lineRule="auto" w:before="70" w:after="0"/>
        <w:ind w:left="974" w:right="0" w:hanging="852"/>
        <w:jc w:val="left"/>
      </w:pPr>
      <w:r>
        <w:rPr/>
        <w:t>Unidades de</w:t>
      </w:r>
      <w:r>
        <w:rPr>
          <w:spacing w:val="-6"/>
        </w:rPr>
        <w:t> </w:t>
      </w:r>
      <w:r>
        <w:rPr/>
        <w:t>información</w:t>
      </w:r>
    </w:p>
    <w:p>
      <w:pPr>
        <w:pStyle w:val="BodyText"/>
        <w:spacing w:line="360" w:lineRule="auto" w:before="139"/>
        <w:ind w:left="122" w:right="-15"/>
      </w:pPr>
      <w:r>
        <w:rPr/>
        <w:t>De manera similar al INAI, el INFOEM trabaja colaborativamente con Unidades de Información, que conforme al art. 35 de la LTyAIPEMyM son responsables de:</w:t>
      </w:r>
    </w:p>
    <w:p>
      <w:pPr>
        <w:pStyle w:val="BodyText"/>
      </w:pPr>
    </w:p>
    <w:p>
      <w:pPr>
        <w:pStyle w:val="BodyText"/>
      </w:pPr>
    </w:p>
    <w:p>
      <w:pPr>
        <w:spacing w:line="207" w:lineRule="exact" w:before="186"/>
        <w:ind w:left="122" w:right="337" w:firstLine="0"/>
        <w:jc w:val="left"/>
        <w:rPr>
          <w:sz w:val="18"/>
        </w:rPr>
      </w:pPr>
      <w:r>
        <w:rPr>
          <w:sz w:val="18"/>
        </w:rPr>
        <w:t>“I. Recabar, difundir y actualizar la información pública de oficio a la que se refiere esta Ley;</w:t>
      </w:r>
    </w:p>
    <w:p>
      <w:pPr>
        <w:pStyle w:val="ListParagraph"/>
        <w:numPr>
          <w:ilvl w:val="0"/>
          <w:numId w:val="20"/>
        </w:numPr>
        <w:tabs>
          <w:tab w:pos="324" w:val="left" w:leader="none"/>
        </w:tabs>
        <w:spacing w:line="207" w:lineRule="exact" w:before="0" w:after="0"/>
        <w:ind w:left="323" w:right="0" w:hanging="201"/>
        <w:jc w:val="left"/>
        <w:rPr>
          <w:sz w:val="18"/>
        </w:rPr>
      </w:pPr>
      <w:r>
        <w:rPr>
          <w:sz w:val="18"/>
        </w:rPr>
        <w:t>Entregar, en su caso, a los particulares la información</w:t>
      </w:r>
      <w:r>
        <w:rPr>
          <w:spacing w:val="-30"/>
          <w:sz w:val="18"/>
        </w:rPr>
        <w:t> </w:t>
      </w:r>
      <w:r>
        <w:rPr>
          <w:sz w:val="18"/>
        </w:rPr>
        <w:t>solicitada;</w:t>
      </w:r>
    </w:p>
    <w:p>
      <w:pPr>
        <w:pStyle w:val="ListParagraph"/>
        <w:numPr>
          <w:ilvl w:val="0"/>
          <w:numId w:val="20"/>
        </w:numPr>
        <w:tabs>
          <w:tab w:pos="375" w:val="left" w:leader="none"/>
        </w:tabs>
        <w:spacing w:line="240" w:lineRule="auto" w:before="2" w:after="0"/>
        <w:ind w:left="122" w:right="127" w:firstLine="0"/>
        <w:jc w:val="left"/>
        <w:rPr>
          <w:sz w:val="18"/>
        </w:rPr>
      </w:pPr>
      <w:r>
        <w:rPr>
          <w:sz w:val="18"/>
        </w:rPr>
        <w:t>Auxiliar</w:t>
      </w:r>
      <w:r>
        <w:rPr>
          <w:spacing w:val="-2"/>
          <w:sz w:val="18"/>
        </w:rPr>
        <w:t> </w:t>
      </w:r>
      <w:r>
        <w:rPr>
          <w:sz w:val="18"/>
        </w:rPr>
        <w:t>a</w:t>
      </w:r>
      <w:r>
        <w:rPr>
          <w:spacing w:val="-4"/>
          <w:sz w:val="18"/>
        </w:rPr>
        <w:t> </w:t>
      </w:r>
      <w:r>
        <w:rPr>
          <w:sz w:val="18"/>
        </w:rPr>
        <w:t>los</w:t>
      </w:r>
      <w:r>
        <w:rPr>
          <w:spacing w:val="-3"/>
          <w:sz w:val="18"/>
        </w:rPr>
        <w:t> </w:t>
      </w:r>
      <w:r>
        <w:rPr>
          <w:sz w:val="18"/>
        </w:rPr>
        <w:t>particulares</w:t>
      </w:r>
      <w:r>
        <w:rPr>
          <w:spacing w:val="-2"/>
          <w:sz w:val="18"/>
        </w:rPr>
        <w:t> </w:t>
      </w:r>
      <w:r>
        <w:rPr>
          <w:sz w:val="18"/>
        </w:rPr>
        <w:t>en</w:t>
      </w:r>
      <w:r>
        <w:rPr>
          <w:spacing w:val="-2"/>
          <w:sz w:val="18"/>
        </w:rPr>
        <w:t> </w:t>
      </w:r>
      <w:r>
        <w:rPr>
          <w:sz w:val="18"/>
        </w:rPr>
        <w:t>la</w:t>
      </w:r>
      <w:r>
        <w:rPr>
          <w:spacing w:val="-2"/>
          <w:sz w:val="18"/>
        </w:rPr>
        <w:t> </w:t>
      </w:r>
      <w:r>
        <w:rPr>
          <w:sz w:val="18"/>
        </w:rPr>
        <w:t>elaboración</w:t>
      </w:r>
      <w:r>
        <w:rPr>
          <w:spacing w:val="-4"/>
          <w:sz w:val="18"/>
        </w:rPr>
        <w:t> </w:t>
      </w:r>
      <w:r>
        <w:rPr>
          <w:sz w:val="18"/>
        </w:rPr>
        <w:t>de</w:t>
      </w:r>
      <w:r>
        <w:rPr>
          <w:spacing w:val="-4"/>
          <w:sz w:val="18"/>
        </w:rPr>
        <w:t> </w:t>
      </w:r>
      <w:r>
        <w:rPr>
          <w:sz w:val="18"/>
        </w:rPr>
        <w:t>solicitudes</w:t>
      </w:r>
      <w:r>
        <w:rPr>
          <w:spacing w:val="-4"/>
          <w:sz w:val="18"/>
        </w:rPr>
        <w:t> </w:t>
      </w:r>
      <w:r>
        <w:rPr>
          <w:sz w:val="18"/>
        </w:rPr>
        <w:t>y,</w:t>
      </w:r>
      <w:r>
        <w:rPr>
          <w:spacing w:val="-2"/>
          <w:sz w:val="18"/>
        </w:rPr>
        <w:t> </w:t>
      </w:r>
      <w:r>
        <w:rPr>
          <w:sz w:val="18"/>
        </w:rPr>
        <w:t>en</w:t>
      </w:r>
      <w:r>
        <w:rPr>
          <w:spacing w:val="-2"/>
          <w:sz w:val="18"/>
        </w:rPr>
        <w:t> </w:t>
      </w:r>
      <w:r>
        <w:rPr>
          <w:sz w:val="18"/>
        </w:rPr>
        <w:t>su</w:t>
      </w:r>
      <w:r>
        <w:rPr>
          <w:spacing w:val="-4"/>
          <w:sz w:val="18"/>
        </w:rPr>
        <w:t> </w:t>
      </w:r>
      <w:r>
        <w:rPr>
          <w:sz w:val="18"/>
        </w:rPr>
        <w:t>caso,</w:t>
      </w:r>
      <w:r>
        <w:rPr>
          <w:spacing w:val="-2"/>
          <w:sz w:val="18"/>
        </w:rPr>
        <w:t> </w:t>
      </w:r>
      <w:r>
        <w:rPr>
          <w:sz w:val="18"/>
        </w:rPr>
        <w:t>orientarlos</w:t>
      </w:r>
      <w:r>
        <w:rPr>
          <w:spacing w:val="-3"/>
          <w:sz w:val="18"/>
        </w:rPr>
        <w:t> </w:t>
      </w:r>
      <w:r>
        <w:rPr>
          <w:sz w:val="18"/>
        </w:rPr>
        <w:t>sobre</w:t>
      </w:r>
      <w:r>
        <w:rPr>
          <w:spacing w:val="-2"/>
          <w:sz w:val="18"/>
        </w:rPr>
        <w:t> </w:t>
      </w:r>
      <w:r>
        <w:rPr>
          <w:sz w:val="18"/>
        </w:rPr>
        <w:t>el</w:t>
      </w:r>
      <w:r>
        <w:rPr>
          <w:spacing w:val="-2"/>
          <w:sz w:val="18"/>
        </w:rPr>
        <w:t> </w:t>
      </w:r>
      <w:r>
        <w:rPr>
          <w:sz w:val="18"/>
        </w:rPr>
        <w:t>lugar</w:t>
      </w:r>
      <w:r>
        <w:rPr>
          <w:spacing w:val="-4"/>
          <w:sz w:val="18"/>
        </w:rPr>
        <w:t> </w:t>
      </w:r>
      <w:r>
        <w:rPr>
          <w:sz w:val="18"/>
        </w:rPr>
        <w:t>donde</w:t>
      </w:r>
      <w:r>
        <w:rPr>
          <w:spacing w:val="-2"/>
          <w:sz w:val="18"/>
        </w:rPr>
        <w:t> </w:t>
      </w:r>
      <w:r>
        <w:rPr>
          <w:sz w:val="18"/>
        </w:rPr>
        <w:t>les pueden proporcionar la información que</w:t>
      </w:r>
      <w:r>
        <w:rPr>
          <w:spacing w:val="-21"/>
          <w:sz w:val="18"/>
        </w:rPr>
        <w:t> </w:t>
      </w:r>
      <w:r>
        <w:rPr>
          <w:sz w:val="18"/>
        </w:rPr>
        <w:t>solicitan;</w:t>
      </w:r>
    </w:p>
    <w:p>
      <w:pPr>
        <w:pStyle w:val="ListParagraph"/>
        <w:numPr>
          <w:ilvl w:val="0"/>
          <w:numId w:val="20"/>
        </w:numPr>
        <w:tabs>
          <w:tab w:pos="394" w:val="left" w:leader="none"/>
        </w:tabs>
        <w:spacing w:line="207" w:lineRule="exact" w:before="0" w:after="0"/>
        <w:ind w:left="393" w:right="0" w:hanging="271"/>
        <w:jc w:val="left"/>
        <w:rPr>
          <w:sz w:val="18"/>
        </w:rPr>
      </w:pPr>
      <w:r>
        <w:rPr>
          <w:sz w:val="18"/>
        </w:rPr>
        <w:t>Efectuar las notificaciones a los</w:t>
      </w:r>
      <w:r>
        <w:rPr>
          <w:spacing w:val="-21"/>
          <w:sz w:val="18"/>
        </w:rPr>
        <w:t> </w:t>
      </w:r>
      <w:r>
        <w:rPr>
          <w:sz w:val="18"/>
        </w:rPr>
        <w:t>particulares;</w:t>
      </w:r>
    </w:p>
    <w:p>
      <w:pPr>
        <w:pStyle w:val="ListParagraph"/>
        <w:numPr>
          <w:ilvl w:val="0"/>
          <w:numId w:val="20"/>
        </w:numPr>
        <w:tabs>
          <w:tab w:pos="351" w:val="left" w:leader="none"/>
        </w:tabs>
        <w:spacing w:line="240" w:lineRule="auto" w:before="0" w:after="0"/>
        <w:ind w:left="122" w:right="123" w:firstLine="0"/>
        <w:jc w:val="left"/>
        <w:rPr>
          <w:sz w:val="18"/>
        </w:rPr>
      </w:pPr>
      <w:r>
        <w:rPr>
          <w:sz w:val="18"/>
        </w:rPr>
        <w:t>Proponer al Comité los procedimientos internos que contribuyan a la mayor eficiencia en la atención de las solicitudes de acceso a la</w:t>
      </w:r>
      <w:r>
        <w:rPr>
          <w:spacing w:val="-17"/>
          <w:sz w:val="18"/>
        </w:rPr>
        <w:t> </w:t>
      </w:r>
      <w:r>
        <w:rPr>
          <w:sz w:val="18"/>
        </w:rPr>
        <w:t>información;</w:t>
      </w:r>
    </w:p>
    <w:p>
      <w:pPr>
        <w:pStyle w:val="ListParagraph"/>
        <w:numPr>
          <w:ilvl w:val="0"/>
          <w:numId w:val="20"/>
        </w:numPr>
        <w:tabs>
          <w:tab w:pos="420" w:val="left" w:leader="none"/>
        </w:tabs>
        <w:spacing w:line="240" w:lineRule="auto" w:before="0" w:after="0"/>
        <w:ind w:left="122" w:right="125" w:firstLine="0"/>
        <w:jc w:val="left"/>
        <w:rPr>
          <w:sz w:val="18"/>
        </w:rPr>
      </w:pPr>
      <w:r>
        <w:rPr>
          <w:sz w:val="18"/>
        </w:rPr>
        <w:t>Proponer a quien preside el Comité de Información, los servidores públicos habilitados en cada unidad administrativa;</w:t>
      </w:r>
    </w:p>
    <w:p>
      <w:pPr>
        <w:pStyle w:val="ListParagraph"/>
        <w:numPr>
          <w:ilvl w:val="0"/>
          <w:numId w:val="20"/>
        </w:numPr>
        <w:tabs>
          <w:tab w:pos="444" w:val="left" w:leader="none"/>
        </w:tabs>
        <w:spacing w:line="206" w:lineRule="exact" w:before="0" w:after="0"/>
        <w:ind w:left="443" w:right="0" w:hanging="321"/>
        <w:jc w:val="left"/>
        <w:rPr>
          <w:sz w:val="18"/>
        </w:rPr>
      </w:pPr>
      <w:r>
        <w:rPr>
          <w:sz w:val="18"/>
        </w:rPr>
        <w:t>Llevar</w:t>
      </w:r>
      <w:r>
        <w:rPr>
          <w:spacing w:val="-3"/>
          <w:sz w:val="18"/>
        </w:rPr>
        <w:t> </w:t>
      </w:r>
      <w:r>
        <w:rPr>
          <w:sz w:val="18"/>
        </w:rPr>
        <w:t>un</w:t>
      </w:r>
      <w:r>
        <w:rPr>
          <w:spacing w:val="-3"/>
          <w:sz w:val="18"/>
        </w:rPr>
        <w:t> </w:t>
      </w:r>
      <w:r>
        <w:rPr>
          <w:sz w:val="18"/>
        </w:rPr>
        <w:t>registro</w:t>
      </w:r>
      <w:r>
        <w:rPr>
          <w:spacing w:val="-5"/>
          <w:sz w:val="18"/>
        </w:rPr>
        <w:t> </w:t>
      </w:r>
      <w:r>
        <w:rPr>
          <w:sz w:val="18"/>
        </w:rPr>
        <w:t>de</w:t>
      </w:r>
      <w:r>
        <w:rPr>
          <w:spacing w:val="-3"/>
          <w:sz w:val="18"/>
        </w:rPr>
        <w:t> </w:t>
      </w:r>
      <w:r>
        <w:rPr>
          <w:sz w:val="18"/>
        </w:rPr>
        <w:t>las</w:t>
      </w:r>
      <w:r>
        <w:rPr>
          <w:spacing w:val="-4"/>
          <w:sz w:val="18"/>
        </w:rPr>
        <w:t> </w:t>
      </w:r>
      <w:r>
        <w:rPr>
          <w:sz w:val="18"/>
        </w:rPr>
        <w:t>solicitudes</w:t>
      </w:r>
      <w:r>
        <w:rPr>
          <w:spacing w:val="-4"/>
          <w:sz w:val="18"/>
        </w:rPr>
        <w:t> </w:t>
      </w:r>
      <w:r>
        <w:rPr>
          <w:sz w:val="18"/>
        </w:rPr>
        <w:t>de</w:t>
      </w:r>
      <w:r>
        <w:rPr>
          <w:spacing w:val="-3"/>
          <w:sz w:val="18"/>
        </w:rPr>
        <w:t> </w:t>
      </w:r>
      <w:r>
        <w:rPr>
          <w:sz w:val="18"/>
        </w:rPr>
        <w:t>acceso</w:t>
      </w:r>
      <w:r>
        <w:rPr>
          <w:spacing w:val="-3"/>
          <w:sz w:val="18"/>
        </w:rPr>
        <w:t> </w:t>
      </w:r>
      <w:r>
        <w:rPr>
          <w:sz w:val="18"/>
        </w:rPr>
        <w:t>a</w:t>
      </w:r>
      <w:r>
        <w:rPr>
          <w:spacing w:val="-3"/>
          <w:sz w:val="18"/>
        </w:rPr>
        <w:t> </w:t>
      </w:r>
      <w:r>
        <w:rPr>
          <w:sz w:val="18"/>
        </w:rPr>
        <w:t>la</w:t>
      </w:r>
      <w:r>
        <w:rPr>
          <w:spacing w:val="-3"/>
          <w:sz w:val="18"/>
        </w:rPr>
        <w:t> </w:t>
      </w:r>
      <w:r>
        <w:rPr>
          <w:sz w:val="18"/>
        </w:rPr>
        <w:t>información,</w:t>
      </w:r>
      <w:r>
        <w:rPr>
          <w:spacing w:val="-5"/>
          <w:sz w:val="18"/>
        </w:rPr>
        <w:t> </w:t>
      </w:r>
      <w:r>
        <w:rPr>
          <w:sz w:val="18"/>
        </w:rPr>
        <w:t>sus</w:t>
      </w:r>
      <w:r>
        <w:rPr>
          <w:spacing w:val="-2"/>
          <w:sz w:val="18"/>
        </w:rPr>
        <w:t> </w:t>
      </w:r>
      <w:r>
        <w:rPr>
          <w:sz w:val="18"/>
        </w:rPr>
        <w:t>resultados</w:t>
      </w:r>
      <w:r>
        <w:rPr>
          <w:spacing w:val="-2"/>
          <w:sz w:val="18"/>
        </w:rPr>
        <w:t> </w:t>
      </w:r>
      <w:r>
        <w:rPr>
          <w:sz w:val="18"/>
        </w:rPr>
        <w:t>y</w:t>
      </w:r>
      <w:r>
        <w:rPr>
          <w:spacing w:val="-4"/>
          <w:sz w:val="18"/>
        </w:rPr>
        <w:t> </w:t>
      </w:r>
      <w:r>
        <w:rPr>
          <w:sz w:val="18"/>
        </w:rPr>
        <w:t>costos;</w:t>
      </w:r>
    </w:p>
    <w:p>
      <w:pPr>
        <w:pStyle w:val="ListParagraph"/>
        <w:numPr>
          <w:ilvl w:val="0"/>
          <w:numId w:val="20"/>
        </w:numPr>
        <w:tabs>
          <w:tab w:pos="494" w:val="left" w:leader="none"/>
        </w:tabs>
        <w:spacing w:line="207" w:lineRule="exact" w:before="2" w:after="0"/>
        <w:ind w:left="494" w:right="0" w:hanging="372"/>
        <w:jc w:val="left"/>
        <w:rPr>
          <w:sz w:val="18"/>
        </w:rPr>
      </w:pPr>
      <w:r>
        <w:rPr>
          <w:sz w:val="18"/>
        </w:rPr>
        <w:t>Presentar ante el Comité, el proyecto de clasificación de</w:t>
      </w:r>
      <w:r>
        <w:rPr>
          <w:spacing w:val="-32"/>
          <w:sz w:val="18"/>
        </w:rPr>
        <w:t> </w:t>
      </w:r>
      <w:r>
        <w:rPr>
          <w:sz w:val="18"/>
        </w:rPr>
        <w:t>información;</w:t>
      </w:r>
    </w:p>
    <w:p>
      <w:pPr>
        <w:pStyle w:val="ListParagraph"/>
        <w:numPr>
          <w:ilvl w:val="0"/>
          <w:numId w:val="20"/>
        </w:numPr>
        <w:tabs>
          <w:tab w:pos="391" w:val="left" w:leader="none"/>
        </w:tabs>
        <w:spacing w:line="206" w:lineRule="exact" w:before="0" w:after="0"/>
        <w:ind w:left="390" w:right="0" w:hanging="268"/>
        <w:jc w:val="left"/>
        <w:rPr>
          <w:sz w:val="18"/>
        </w:rPr>
      </w:pPr>
      <w:r>
        <w:rPr>
          <w:sz w:val="18"/>
        </w:rPr>
        <w:t>Las demás necesarias para facilitar el acceso a la información;</w:t>
      </w:r>
      <w:r>
        <w:rPr>
          <w:spacing w:val="-24"/>
          <w:sz w:val="18"/>
        </w:rPr>
        <w:t> </w:t>
      </w:r>
      <w:r>
        <w:rPr>
          <w:sz w:val="18"/>
        </w:rPr>
        <w:t>y</w:t>
      </w:r>
    </w:p>
    <w:p>
      <w:pPr>
        <w:pStyle w:val="ListParagraph"/>
        <w:numPr>
          <w:ilvl w:val="0"/>
          <w:numId w:val="20"/>
        </w:numPr>
        <w:tabs>
          <w:tab w:pos="341" w:val="left" w:leader="none"/>
        </w:tabs>
        <w:spacing w:line="207" w:lineRule="exact" w:before="0" w:after="0"/>
        <w:ind w:left="340" w:right="0" w:hanging="218"/>
        <w:jc w:val="left"/>
        <w:rPr>
          <w:sz w:val="18"/>
        </w:rPr>
      </w:pPr>
      <w:r>
        <w:rPr>
          <w:sz w:val="18"/>
        </w:rPr>
        <w:t>Las demás que disponga esta Ley y las disposiciones</w:t>
      </w:r>
      <w:r>
        <w:rPr>
          <w:spacing w:val="-24"/>
          <w:sz w:val="18"/>
        </w:rPr>
        <w:t> </w:t>
      </w:r>
      <w:r>
        <w:rPr>
          <w:sz w:val="18"/>
        </w:rPr>
        <w:t>reglamentarias.”</w:t>
      </w:r>
    </w:p>
    <w:p>
      <w:pPr>
        <w:spacing w:after="0" w:line="207" w:lineRule="exact"/>
        <w:jc w:val="left"/>
        <w:rPr>
          <w:sz w:val="18"/>
        </w:rPr>
        <w:sectPr>
          <w:pgSz w:w="12240" w:h="15840"/>
          <w:pgMar w:header="0" w:footer="1035" w:top="1360" w:bottom="1220" w:left="1580" w:right="1580"/>
        </w:sectPr>
      </w:pPr>
    </w:p>
    <w:p>
      <w:pPr>
        <w:pStyle w:val="Heading1"/>
        <w:numPr>
          <w:ilvl w:val="3"/>
          <w:numId w:val="38"/>
        </w:numPr>
        <w:tabs>
          <w:tab w:pos="954" w:val="left" w:leader="none"/>
        </w:tabs>
        <w:spacing w:line="240" w:lineRule="auto" w:before="54" w:after="0"/>
        <w:ind w:left="954" w:right="0" w:hanging="852"/>
        <w:jc w:val="left"/>
      </w:pPr>
      <w:r>
        <w:rPr/>
        <w:t>Comités de</w:t>
      </w:r>
      <w:r>
        <w:rPr>
          <w:spacing w:val="-5"/>
        </w:rPr>
        <w:t> </w:t>
      </w:r>
      <w:r>
        <w:rPr/>
        <w:t>información</w:t>
      </w:r>
    </w:p>
    <w:p>
      <w:pPr>
        <w:pStyle w:val="BodyText"/>
        <w:rPr>
          <w:b/>
        </w:rPr>
      </w:pPr>
    </w:p>
    <w:p>
      <w:pPr>
        <w:pStyle w:val="BodyText"/>
        <w:rPr>
          <w:b/>
        </w:rPr>
      </w:pPr>
    </w:p>
    <w:p>
      <w:pPr>
        <w:pStyle w:val="BodyText"/>
        <w:spacing w:line="360" w:lineRule="auto" w:before="161"/>
        <w:ind w:left="102" w:right="119"/>
      </w:pPr>
      <w:r>
        <w:rPr/>
        <w:t>De igual manera que a nivel federal existen Comités de Información, que conforme al art. 30 de la LTyAIPEMyM tienen las siguientes funciones:</w:t>
      </w:r>
    </w:p>
    <w:p>
      <w:pPr>
        <w:spacing w:line="207" w:lineRule="exact" w:before="164"/>
        <w:ind w:left="102" w:right="0" w:firstLine="0"/>
        <w:jc w:val="left"/>
        <w:rPr>
          <w:sz w:val="18"/>
        </w:rPr>
      </w:pPr>
      <w:r>
        <w:rPr>
          <w:sz w:val="18"/>
        </w:rPr>
        <w:t>“I. Coordinar y supervisar las acciones realizadas en cumplimiento de las disposiciones previstas en esta Ley;</w:t>
      </w:r>
    </w:p>
    <w:p>
      <w:pPr>
        <w:pStyle w:val="ListParagraph"/>
        <w:numPr>
          <w:ilvl w:val="0"/>
          <w:numId w:val="39"/>
        </w:numPr>
        <w:tabs>
          <w:tab w:pos="314" w:val="left" w:leader="none"/>
        </w:tabs>
        <w:spacing w:line="240" w:lineRule="auto" w:before="0" w:after="0"/>
        <w:ind w:left="102" w:right="127" w:firstLine="0"/>
        <w:jc w:val="left"/>
        <w:rPr>
          <w:sz w:val="18"/>
        </w:rPr>
      </w:pPr>
      <w:r>
        <w:rPr>
          <w:sz w:val="18"/>
        </w:rPr>
        <w:t>Establecer de conformidad con las disposiciones reglamentarias, las medidas que coadyuven a una mayor eficiencia en la atención de las solicitudes de acceso a la</w:t>
      </w:r>
      <w:r>
        <w:rPr>
          <w:spacing w:val="-30"/>
          <w:sz w:val="18"/>
        </w:rPr>
        <w:t> </w:t>
      </w:r>
      <w:r>
        <w:rPr>
          <w:sz w:val="18"/>
        </w:rPr>
        <w:t>información;</w:t>
      </w:r>
    </w:p>
    <w:p>
      <w:pPr>
        <w:pStyle w:val="ListParagraph"/>
        <w:numPr>
          <w:ilvl w:val="0"/>
          <w:numId w:val="39"/>
        </w:numPr>
        <w:tabs>
          <w:tab w:pos="355" w:val="left" w:leader="none"/>
        </w:tabs>
        <w:spacing w:line="206" w:lineRule="exact" w:before="0" w:after="0"/>
        <w:ind w:left="354" w:right="0" w:hanging="252"/>
        <w:jc w:val="left"/>
        <w:rPr>
          <w:sz w:val="18"/>
        </w:rPr>
      </w:pPr>
      <w:r>
        <w:rPr>
          <w:sz w:val="18"/>
        </w:rPr>
        <w:t>Aprobar, modificar o revocar la clasificación de la</w:t>
      </w:r>
      <w:r>
        <w:rPr>
          <w:spacing w:val="-24"/>
          <w:sz w:val="18"/>
        </w:rPr>
        <w:t> </w:t>
      </w:r>
      <w:r>
        <w:rPr>
          <w:sz w:val="18"/>
        </w:rPr>
        <w:t>información;</w:t>
      </w:r>
    </w:p>
    <w:p>
      <w:pPr>
        <w:pStyle w:val="ListParagraph"/>
        <w:numPr>
          <w:ilvl w:val="0"/>
          <w:numId w:val="39"/>
        </w:numPr>
        <w:tabs>
          <w:tab w:pos="379" w:val="left" w:leader="none"/>
        </w:tabs>
        <w:spacing w:line="240" w:lineRule="auto" w:before="2" w:after="0"/>
        <w:ind w:left="102" w:right="117" w:firstLine="0"/>
        <w:jc w:val="both"/>
        <w:rPr>
          <w:sz w:val="18"/>
        </w:rPr>
      </w:pPr>
      <w:r>
        <w:rPr>
          <w:sz w:val="18"/>
        </w:rPr>
        <w:t>Supervisar la aplicación de los lineamientos en materia de acceso a la información pública para el manejo, mantenimiento y seguridad de los datos personales, así como los criterios de clasificación expedidos por el Instituto;</w:t>
      </w:r>
    </w:p>
    <w:p>
      <w:pPr>
        <w:pStyle w:val="ListParagraph"/>
        <w:numPr>
          <w:ilvl w:val="0"/>
          <w:numId w:val="39"/>
        </w:numPr>
        <w:tabs>
          <w:tab w:pos="331" w:val="left" w:leader="none"/>
        </w:tabs>
        <w:spacing w:line="242" w:lineRule="auto" w:before="0" w:after="0"/>
        <w:ind w:left="102" w:right="129" w:firstLine="0"/>
        <w:jc w:val="left"/>
        <w:rPr>
          <w:sz w:val="18"/>
        </w:rPr>
      </w:pPr>
      <w:r>
        <w:rPr>
          <w:sz w:val="18"/>
        </w:rPr>
        <w:t>Elaborar un programa para facilitar la sistematización y actualización de la información, mismo que deberá remitirse al Instituto dentro de los primeros veinte días de cada año;</w:t>
      </w:r>
      <w:r>
        <w:rPr>
          <w:spacing w:val="-29"/>
          <w:sz w:val="18"/>
        </w:rPr>
        <w:t> </w:t>
      </w:r>
      <w:r>
        <w:rPr>
          <w:sz w:val="18"/>
        </w:rPr>
        <w:t>y</w:t>
      </w:r>
    </w:p>
    <w:p>
      <w:pPr>
        <w:pStyle w:val="ListParagraph"/>
        <w:numPr>
          <w:ilvl w:val="0"/>
          <w:numId w:val="39"/>
        </w:numPr>
        <w:tabs>
          <w:tab w:pos="383" w:val="left" w:leader="none"/>
        </w:tabs>
        <w:spacing w:line="206" w:lineRule="exact" w:before="1" w:after="0"/>
        <w:ind w:left="102" w:right="120" w:firstLine="0"/>
        <w:jc w:val="left"/>
        <w:rPr>
          <w:sz w:val="18"/>
        </w:rPr>
      </w:pPr>
      <w:r>
        <w:rPr>
          <w:sz w:val="18"/>
        </w:rPr>
        <w:t>Enviar los datos necesarios para la elaboración del informe anual del Instituto, de conformidad con lo que éste</w:t>
      </w:r>
      <w:r>
        <w:rPr>
          <w:spacing w:val="-5"/>
          <w:sz w:val="18"/>
        </w:rPr>
        <w:t> </w:t>
      </w:r>
      <w:r>
        <w:rPr>
          <w:sz w:val="18"/>
        </w:rPr>
        <w:t>solicite.</w:t>
      </w:r>
    </w:p>
    <w:p>
      <w:pPr>
        <w:pStyle w:val="ListParagraph"/>
        <w:numPr>
          <w:ilvl w:val="0"/>
          <w:numId w:val="39"/>
        </w:numPr>
        <w:tabs>
          <w:tab w:pos="434" w:val="left" w:leader="none"/>
        </w:tabs>
        <w:spacing w:line="242" w:lineRule="auto" w:before="0" w:after="0"/>
        <w:ind w:left="102" w:right="129" w:firstLine="0"/>
        <w:jc w:val="left"/>
        <w:rPr>
          <w:sz w:val="18"/>
        </w:rPr>
      </w:pPr>
      <w:r>
        <w:rPr>
          <w:sz w:val="18"/>
        </w:rPr>
        <w:t>Emitir las resoluciones que correspondan para la atención de las solicitudes de información, así como de acceso y de corrección de datos personales, de acuerdo con los lineamientos que emita</w:t>
      </w:r>
      <w:r>
        <w:rPr>
          <w:spacing w:val="-35"/>
          <w:sz w:val="18"/>
        </w:rPr>
        <w:t> </w:t>
      </w:r>
      <w:r>
        <w:rPr>
          <w:sz w:val="18"/>
        </w:rPr>
        <w:t>el Instituto.</w:t>
      </w:r>
    </w:p>
    <w:p>
      <w:pPr>
        <w:pStyle w:val="ListParagraph"/>
        <w:numPr>
          <w:ilvl w:val="0"/>
          <w:numId w:val="39"/>
        </w:numPr>
        <w:tabs>
          <w:tab w:pos="470" w:val="left" w:leader="none"/>
        </w:tabs>
        <w:spacing w:line="206" w:lineRule="exact" w:before="1" w:after="0"/>
        <w:ind w:left="102" w:right="126" w:firstLine="0"/>
        <w:jc w:val="left"/>
        <w:rPr>
          <w:sz w:val="18"/>
        </w:rPr>
      </w:pPr>
      <w:r>
        <w:rPr>
          <w:sz w:val="18"/>
        </w:rPr>
        <w:t>Dictaminar</w:t>
      </w:r>
      <w:r>
        <w:rPr>
          <w:spacing w:val="-9"/>
          <w:sz w:val="18"/>
        </w:rPr>
        <w:t> </w:t>
      </w:r>
      <w:r>
        <w:rPr>
          <w:sz w:val="18"/>
        </w:rPr>
        <w:t>las</w:t>
      </w:r>
      <w:r>
        <w:rPr>
          <w:spacing w:val="-8"/>
          <w:sz w:val="18"/>
        </w:rPr>
        <w:t> </w:t>
      </w:r>
      <w:r>
        <w:rPr>
          <w:sz w:val="18"/>
        </w:rPr>
        <w:t>declaratorias</w:t>
      </w:r>
      <w:r>
        <w:rPr>
          <w:spacing w:val="-8"/>
          <w:sz w:val="18"/>
        </w:rPr>
        <w:t> </w:t>
      </w:r>
      <w:r>
        <w:rPr>
          <w:sz w:val="18"/>
        </w:rPr>
        <w:t>de</w:t>
      </w:r>
      <w:r>
        <w:rPr>
          <w:spacing w:val="-8"/>
          <w:sz w:val="18"/>
        </w:rPr>
        <w:t> </w:t>
      </w:r>
      <w:r>
        <w:rPr>
          <w:sz w:val="18"/>
        </w:rPr>
        <w:t>inexistencia</w:t>
      </w:r>
      <w:r>
        <w:rPr>
          <w:spacing w:val="-8"/>
          <w:sz w:val="18"/>
        </w:rPr>
        <w:t> </w:t>
      </w:r>
      <w:r>
        <w:rPr>
          <w:sz w:val="18"/>
        </w:rPr>
        <w:t>de</w:t>
      </w:r>
      <w:r>
        <w:rPr>
          <w:spacing w:val="-8"/>
          <w:sz w:val="18"/>
        </w:rPr>
        <w:t> </w:t>
      </w:r>
      <w:r>
        <w:rPr>
          <w:sz w:val="18"/>
        </w:rPr>
        <w:t>la</w:t>
      </w:r>
      <w:r>
        <w:rPr>
          <w:spacing w:val="-8"/>
          <w:sz w:val="18"/>
        </w:rPr>
        <w:t> </w:t>
      </w:r>
      <w:r>
        <w:rPr>
          <w:sz w:val="18"/>
        </w:rPr>
        <w:t>información</w:t>
      </w:r>
      <w:r>
        <w:rPr>
          <w:spacing w:val="-8"/>
          <w:sz w:val="18"/>
        </w:rPr>
        <w:t> </w:t>
      </w:r>
      <w:r>
        <w:rPr>
          <w:sz w:val="18"/>
        </w:rPr>
        <w:t>que</w:t>
      </w:r>
      <w:r>
        <w:rPr>
          <w:spacing w:val="-11"/>
          <w:sz w:val="18"/>
        </w:rPr>
        <w:t> </w:t>
      </w:r>
      <w:r>
        <w:rPr>
          <w:sz w:val="18"/>
        </w:rPr>
        <w:t>les</w:t>
      </w:r>
      <w:r>
        <w:rPr>
          <w:spacing w:val="-8"/>
          <w:sz w:val="18"/>
        </w:rPr>
        <w:t> </w:t>
      </w:r>
      <w:r>
        <w:rPr>
          <w:sz w:val="18"/>
        </w:rPr>
        <w:t>remitan</w:t>
      </w:r>
      <w:r>
        <w:rPr>
          <w:spacing w:val="-8"/>
          <w:sz w:val="18"/>
        </w:rPr>
        <w:t> </w:t>
      </w:r>
      <w:r>
        <w:rPr>
          <w:sz w:val="18"/>
        </w:rPr>
        <w:t>las</w:t>
      </w:r>
      <w:r>
        <w:rPr>
          <w:spacing w:val="-8"/>
          <w:sz w:val="18"/>
        </w:rPr>
        <w:t> </w:t>
      </w:r>
      <w:r>
        <w:rPr>
          <w:sz w:val="18"/>
        </w:rPr>
        <w:t>unidades</w:t>
      </w:r>
      <w:r>
        <w:rPr>
          <w:spacing w:val="-8"/>
          <w:sz w:val="18"/>
        </w:rPr>
        <w:t> </w:t>
      </w:r>
      <w:r>
        <w:rPr>
          <w:sz w:val="18"/>
        </w:rPr>
        <w:t>administrativas, y resolver en</w:t>
      </w:r>
      <w:r>
        <w:rPr>
          <w:spacing w:val="-10"/>
          <w:sz w:val="18"/>
        </w:rPr>
        <w:t> </w:t>
      </w:r>
      <w:r>
        <w:rPr>
          <w:sz w:val="18"/>
        </w:rPr>
        <w:t>consecuencia.”</w:t>
      </w:r>
    </w:p>
    <w:p>
      <w:pPr>
        <w:pStyle w:val="BodyText"/>
        <w:rPr>
          <w:sz w:val="18"/>
        </w:rPr>
      </w:pPr>
    </w:p>
    <w:p>
      <w:pPr>
        <w:pStyle w:val="BodyText"/>
        <w:spacing w:before="8"/>
        <w:rPr>
          <w:sz w:val="17"/>
        </w:rPr>
      </w:pPr>
    </w:p>
    <w:p>
      <w:pPr>
        <w:pStyle w:val="BodyText"/>
        <w:ind w:left="102"/>
      </w:pPr>
      <w:r>
        <w:rPr/>
        <w:t>Dentro de las actividades más relevantes se encuentran las siguientes:</w:t>
      </w:r>
    </w:p>
    <w:p>
      <w:pPr>
        <w:pStyle w:val="BodyText"/>
      </w:pPr>
    </w:p>
    <w:p>
      <w:pPr>
        <w:pStyle w:val="BodyText"/>
      </w:pPr>
    </w:p>
    <w:p>
      <w:pPr>
        <w:pStyle w:val="ListParagraph"/>
        <w:numPr>
          <w:ilvl w:val="0"/>
          <w:numId w:val="40"/>
        </w:numPr>
        <w:tabs>
          <w:tab w:pos="529" w:val="left" w:leader="none"/>
          <w:tab w:pos="530" w:val="left" w:leader="none"/>
        </w:tabs>
        <w:spacing w:line="240" w:lineRule="auto" w:before="156" w:after="0"/>
        <w:ind w:left="529" w:right="0" w:hanging="360"/>
        <w:jc w:val="left"/>
        <w:rPr>
          <w:sz w:val="24"/>
        </w:rPr>
      </w:pPr>
      <w:r>
        <w:rPr>
          <w:sz w:val="24"/>
        </w:rPr>
        <w:t>En promedio realizan 40 sesiones del pleno por</w:t>
      </w:r>
      <w:r>
        <w:rPr>
          <w:spacing w:val="-22"/>
          <w:sz w:val="24"/>
        </w:rPr>
        <w:t> </w:t>
      </w:r>
      <w:r>
        <w:rPr>
          <w:sz w:val="24"/>
        </w:rPr>
        <w:t>año.</w:t>
      </w:r>
    </w:p>
    <w:p>
      <w:pPr>
        <w:pStyle w:val="ListParagraph"/>
        <w:numPr>
          <w:ilvl w:val="0"/>
          <w:numId w:val="40"/>
        </w:numPr>
        <w:tabs>
          <w:tab w:pos="529" w:val="left" w:leader="none"/>
          <w:tab w:pos="530" w:val="left" w:leader="none"/>
        </w:tabs>
        <w:spacing w:line="273" w:lineRule="auto" w:before="39" w:after="0"/>
        <w:ind w:left="529" w:right="125" w:hanging="360"/>
        <w:jc w:val="left"/>
        <w:rPr>
          <w:sz w:val="24"/>
        </w:rPr>
      </w:pPr>
      <w:r>
        <w:rPr>
          <w:sz w:val="24"/>
        </w:rPr>
        <w:t>Se creó el sistema INPOMEX para dar atención vía web a los solicitantes de información.</w:t>
      </w:r>
    </w:p>
    <w:p>
      <w:pPr>
        <w:pStyle w:val="ListParagraph"/>
        <w:numPr>
          <w:ilvl w:val="0"/>
          <w:numId w:val="40"/>
        </w:numPr>
        <w:tabs>
          <w:tab w:pos="529" w:val="left" w:leader="none"/>
          <w:tab w:pos="530" w:val="left" w:leader="none"/>
        </w:tabs>
        <w:spacing w:line="240" w:lineRule="auto" w:before="4" w:after="0"/>
        <w:ind w:left="529" w:right="0" w:hanging="360"/>
        <w:jc w:val="left"/>
        <w:rPr>
          <w:sz w:val="24"/>
        </w:rPr>
      </w:pPr>
      <w:r>
        <w:rPr>
          <w:sz w:val="24"/>
        </w:rPr>
        <w:t>Crearon 9 historietas y nueve juegos infantiles sobre</w:t>
      </w:r>
      <w:r>
        <w:rPr>
          <w:spacing w:val="-27"/>
          <w:sz w:val="24"/>
        </w:rPr>
        <w:t> </w:t>
      </w:r>
      <w:r>
        <w:rPr>
          <w:sz w:val="24"/>
        </w:rPr>
        <w:t>transparencia.</w:t>
      </w:r>
    </w:p>
    <w:p>
      <w:pPr>
        <w:pStyle w:val="ListParagraph"/>
        <w:numPr>
          <w:ilvl w:val="0"/>
          <w:numId w:val="40"/>
        </w:numPr>
        <w:tabs>
          <w:tab w:pos="529" w:val="left" w:leader="none"/>
          <w:tab w:pos="530" w:val="left" w:leader="none"/>
        </w:tabs>
        <w:spacing w:line="240" w:lineRule="auto" w:before="39" w:after="0"/>
        <w:ind w:left="529" w:right="0" w:hanging="360"/>
        <w:jc w:val="left"/>
        <w:rPr>
          <w:sz w:val="24"/>
        </w:rPr>
      </w:pPr>
      <w:r>
        <w:rPr>
          <w:sz w:val="24"/>
        </w:rPr>
        <w:t>Se creó el sistema electrónico infantil con el personaje</w:t>
      </w:r>
      <w:r>
        <w:rPr>
          <w:spacing w:val="-21"/>
          <w:sz w:val="24"/>
        </w:rPr>
        <w:t> </w:t>
      </w:r>
      <w:r>
        <w:rPr>
          <w:sz w:val="24"/>
        </w:rPr>
        <w:t>transparentín.</w:t>
      </w:r>
    </w:p>
    <w:p>
      <w:pPr>
        <w:pStyle w:val="ListParagraph"/>
        <w:numPr>
          <w:ilvl w:val="0"/>
          <w:numId w:val="40"/>
        </w:numPr>
        <w:tabs>
          <w:tab w:pos="529" w:val="left" w:leader="none"/>
          <w:tab w:pos="530" w:val="left" w:leader="none"/>
        </w:tabs>
        <w:spacing w:line="240" w:lineRule="auto" w:before="39" w:after="0"/>
        <w:ind w:left="529" w:right="0" w:hanging="360"/>
        <w:jc w:val="left"/>
        <w:rPr>
          <w:sz w:val="24"/>
        </w:rPr>
      </w:pPr>
      <w:r>
        <w:rPr>
          <w:sz w:val="24"/>
        </w:rPr>
        <w:t>Se realiza difusión de las acciones del INFOEM en diversas redes</w:t>
      </w:r>
      <w:r>
        <w:rPr>
          <w:spacing w:val="-22"/>
          <w:sz w:val="24"/>
        </w:rPr>
        <w:t> </w:t>
      </w:r>
      <w:r>
        <w:rPr>
          <w:sz w:val="24"/>
        </w:rPr>
        <w:t>sociales.</w:t>
      </w:r>
    </w:p>
    <w:p>
      <w:pPr>
        <w:pStyle w:val="ListParagraph"/>
        <w:numPr>
          <w:ilvl w:val="0"/>
          <w:numId w:val="40"/>
        </w:numPr>
        <w:tabs>
          <w:tab w:pos="529" w:val="left" w:leader="none"/>
          <w:tab w:pos="530" w:val="left" w:leader="none"/>
        </w:tabs>
        <w:spacing w:line="240" w:lineRule="auto" w:before="39" w:after="0"/>
        <w:ind w:left="529" w:right="0" w:hanging="360"/>
        <w:jc w:val="left"/>
        <w:rPr>
          <w:sz w:val="24"/>
        </w:rPr>
      </w:pPr>
      <w:r>
        <w:rPr>
          <w:sz w:val="24"/>
        </w:rPr>
        <w:t>Se elaboran informes de actividades y boletines</w:t>
      </w:r>
      <w:r>
        <w:rPr>
          <w:spacing w:val="-25"/>
          <w:sz w:val="24"/>
        </w:rPr>
        <w:t> </w:t>
      </w:r>
      <w:r>
        <w:rPr>
          <w:sz w:val="24"/>
        </w:rPr>
        <w:t>informativos.</w:t>
      </w:r>
    </w:p>
    <w:p>
      <w:pPr>
        <w:pStyle w:val="ListParagraph"/>
        <w:numPr>
          <w:ilvl w:val="0"/>
          <w:numId w:val="40"/>
        </w:numPr>
        <w:tabs>
          <w:tab w:pos="530" w:val="left" w:leader="none"/>
        </w:tabs>
        <w:spacing w:line="273" w:lineRule="auto" w:before="39" w:after="0"/>
        <w:ind w:left="529" w:right="116" w:hanging="360"/>
        <w:jc w:val="both"/>
        <w:rPr>
          <w:sz w:val="24"/>
        </w:rPr>
      </w:pPr>
      <w:r>
        <w:rPr>
          <w:sz w:val="24"/>
        </w:rPr>
        <w:t>En</w:t>
      </w:r>
      <w:r>
        <w:rPr>
          <w:spacing w:val="-12"/>
          <w:sz w:val="24"/>
        </w:rPr>
        <w:t> </w:t>
      </w:r>
      <w:r>
        <w:rPr>
          <w:sz w:val="24"/>
        </w:rPr>
        <w:t>coordinación</w:t>
      </w:r>
      <w:r>
        <w:rPr>
          <w:spacing w:val="-14"/>
          <w:sz w:val="24"/>
        </w:rPr>
        <w:t> </w:t>
      </w:r>
      <w:r>
        <w:rPr>
          <w:sz w:val="24"/>
        </w:rPr>
        <w:t>con</w:t>
      </w:r>
      <w:r>
        <w:rPr>
          <w:spacing w:val="-14"/>
          <w:sz w:val="24"/>
        </w:rPr>
        <w:t> </w:t>
      </w:r>
      <w:r>
        <w:rPr>
          <w:sz w:val="24"/>
        </w:rPr>
        <w:t>la</w:t>
      </w:r>
      <w:r>
        <w:rPr>
          <w:spacing w:val="-14"/>
          <w:sz w:val="24"/>
        </w:rPr>
        <w:t> </w:t>
      </w:r>
      <w:r>
        <w:rPr>
          <w:sz w:val="24"/>
        </w:rPr>
        <w:t>Universidad</w:t>
      </w:r>
      <w:r>
        <w:rPr>
          <w:spacing w:val="-12"/>
          <w:sz w:val="24"/>
        </w:rPr>
        <w:t> </w:t>
      </w:r>
      <w:r>
        <w:rPr>
          <w:sz w:val="24"/>
        </w:rPr>
        <w:t>Autónoma</w:t>
      </w:r>
      <w:r>
        <w:rPr>
          <w:spacing w:val="-14"/>
          <w:sz w:val="24"/>
        </w:rPr>
        <w:t> </w:t>
      </w:r>
      <w:r>
        <w:rPr>
          <w:sz w:val="24"/>
        </w:rPr>
        <w:t>del</w:t>
      </w:r>
      <w:r>
        <w:rPr>
          <w:spacing w:val="-11"/>
          <w:sz w:val="24"/>
        </w:rPr>
        <w:t> </w:t>
      </w:r>
      <w:r>
        <w:rPr>
          <w:sz w:val="24"/>
        </w:rPr>
        <w:t>Estado</w:t>
      </w:r>
      <w:r>
        <w:rPr>
          <w:spacing w:val="-14"/>
          <w:sz w:val="24"/>
        </w:rPr>
        <w:t> </w:t>
      </w:r>
      <w:r>
        <w:rPr>
          <w:sz w:val="24"/>
        </w:rPr>
        <w:t>de</w:t>
      </w:r>
      <w:r>
        <w:rPr>
          <w:spacing w:val="-14"/>
          <w:sz w:val="24"/>
        </w:rPr>
        <w:t> </w:t>
      </w:r>
      <w:r>
        <w:rPr>
          <w:sz w:val="24"/>
        </w:rPr>
        <w:t>México</w:t>
      </w:r>
      <w:r>
        <w:rPr>
          <w:spacing w:val="-13"/>
          <w:sz w:val="24"/>
        </w:rPr>
        <w:t> </w:t>
      </w:r>
      <w:r>
        <w:rPr>
          <w:sz w:val="24"/>
        </w:rPr>
        <w:t>(UAEM)</w:t>
      </w:r>
      <w:r>
        <w:rPr>
          <w:spacing w:val="-13"/>
          <w:sz w:val="24"/>
        </w:rPr>
        <w:t> </w:t>
      </w:r>
      <w:r>
        <w:rPr>
          <w:sz w:val="24"/>
        </w:rPr>
        <w:t>se creó el Comité de Registro de Testigos Sociales del Estado de México (CRTSEM).</w:t>
      </w:r>
    </w:p>
    <w:p>
      <w:pPr>
        <w:pStyle w:val="ListParagraph"/>
        <w:numPr>
          <w:ilvl w:val="0"/>
          <w:numId w:val="40"/>
        </w:numPr>
        <w:tabs>
          <w:tab w:pos="529" w:val="left" w:leader="none"/>
          <w:tab w:pos="530" w:val="left" w:leader="none"/>
        </w:tabs>
        <w:spacing w:line="273" w:lineRule="auto" w:before="1" w:after="0"/>
        <w:ind w:left="529" w:right="125" w:hanging="360"/>
        <w:jc w:val="left"/>
        <w:rPr>
          <w:sz w:val="24"/>
        </w:rPr>
      </w:pPr>
      <w:r>
        <w:rPr>
          <w:sz w:val="24"/>
        </w:rPr>
        <w:t>Se realiza el concurso de spot de radio sobre transparencia y el premio estatal de</w:t>
      </w:r>
      <w:r>
        <w:rPr>
          <w:spacing w:val="-7"/>
          <w:sz w:val="24"/>
        </w:rPr>
        <w:t> </w:t>
      </w:r>
      <w:r>
        <w:rPr>
          <w:sz w:val="24"/>
        </w:rPr>
        <w:t>transparencia.</w:t>
      </w:r>
    </w:p>
    <w:p>
      <w:pPr>
        <w:pStyle w:val="ListParagraph"/>
        <w:numPr>
          <w:ilvl w:val="0"/>
          <w:numId w:val="40"/>
        </w:numPr>
        <w:tabs>
          <w:tab w:pos="529" w:val="left" w:leader="none"/>
          <w:tab w:pos="530" w:val="left" w:leader="none"/>
        </w:tabs>
        <w:spacing w:line="273" w:lineRule="auto" w:before="1" w:after="0"/>
        <w:ind w:left="529" w:right="125" w:hanging="360"/>
        <w:jc w:val="left"/>
        <w:rPr>
          <w:sz w:val="24"/>
        </w:rPr>
      </w:pPr>
      <w:r>
        <w:rPr>
          <w:sz w:val="24"/>
        </w:rPr>
        <w:t>Se realizaron diversos foros de expresión y mesas de discusión sobre transparencia.</w:t>
      </w:r>
    </w:p>
    <w:p>
      <w:pPr>
        <w:pStyle w:val="ListParagraph"/>
        <w:numPr>
          <w:ilvl w:val="0"/>
          <w:numId w:val="40"/>
        </w:numPr>
        <w:tabs>
          <w:tab w:pos="529" w:val="left" w:leader="none"/>
          <w:tab w:pos="530" w:val="left" w:leader="none"/>
        </w:tabs>
        <w:spacing w:line="240" w:lineRule="auto" w:before="1" w:after="0"/>
        <w:ind w:left="529" w:right="0" w:hanging="360"/>
        <w:jc w:val="left"/>
        <w:rPr>
          <w:sz w:val="24"/>
        </w:rPr>
      </w:pPr>
      <w:r>
        <w:rPr>
          <w:sz w:val="24"/>
        </w:rPr>
        <w:t>Se brinda capacitación a los servidores públicos sobre diferentes</w:t>
      </w:r>
      <w:r>
        <w:rPr>
          <w:spacing w:val="-20"/>
          <w:sz w:val="24"/>
        </w:rPr>
        <w:t> </w:t>
      </w:r>
      <w:r>
        <w:rPr>
          <w:sz w:val="24"/>
        </w:rPr>
        <w:t>temas.</w:t>
      </w:r>
    </w:p>
    <w:p>
      <w:pPr>
        <w:pStyle w:val="BodyText"/>
      </w:pPr>
    </w:p>
    <w:p>
      <w:pPr>
        <w:pStyle w:val="BodyText"/>
        <w:spacing w:before="7"/>
        <w:rPr>
          <w:sz w:val="29"/>
        </w:rPr>
      </w:pPr>
    </w:p>
    <w:p>
      <w:pPr>
        <w:pStyle w:val="BodyText"/>
        <w:spacing w:line="360" w:lineRule="auto" w:before="1"/>
        <w:ind w:left="102"/>
      </w:pPr>
      <w:r>
        <w:rPr/>
        <w:t>Sin embargo, pese a los trabajos del INFOEM, el Estado de México es la segunda entidad más corrupta del país. Por lo que es preciso resaltar que los  </w:t>
      </w:r>
      <w:r>
        <w:rPr>
          <w:spacing w:val="64"/>
        </w:rPr>
        <w:t> </w:t>
      </w:r>
      <w:r>
        <w:rPr/>
        <w:t>institutos de</w:t>
      </w:r>
    </w:p>
    <w:p>
      <w:pPr>
        <w:spacing w:after="0" w:line="360" w:lineRule="auto"/>
        <w:sectPr>
          <w:pgSz w:w="12240" w:h="15840"/>
          <w:pgMar w:header="0" w:footer="1035" w:top="1360" w:bottom="1220" w:left="1600" w:right="1580"/>
        </w:sectPr>
      </w:pPr>
    </w:p>
    <w:p>
      <w:pPr>
        <w:pStyle w:val="BodyText"/>
        <w:spacing w:line="360" w:lineRule="auto" w:before="54"/>
        <w:ind w:left="122" w:right="116"/>
        <w:jc w:val="both"/>
      </w:pPr>
      <w:r>
        <w:rPr/>
        <w:t>transparencia, como organismos públicos autónomos, deben garantizar el derecho a</w:t>
      </w:r>
      <w:r>
        <w:rPr>
          <w:spacing w:val="-11"/>
        </w:rPr>
        <w:t> </w:t>
      </w:r>
      <w:r>
        <w:rPr/>
        <w:t>la</w:t>
      </w:r>
      <w:r>
        <w:rPr>
          <w:spacing w:val="-11"/>
        </w:rPr>
        <w:t> </w:t>
      </w:r>
      <w:r>
        <w:rPr/>
        <w:t>información</w:t>
      </w:r>
      <w:r>
        <w:rPr>
          <w:spacing w:val="-10"/>
        </w:rPr>
        <w:t> </w:t>
      </w:r>
      <w:r>
        <w:rPr/>
        <w:t>y</w:t>
      </w:r>
      <w:r>
        <w:rPr>
          <w:spacing w:val="-14"/>
        </w:rPr>
        <w:t> </w:t>
      </w:r>
      <w:r>
        <w:rPr/>
        <w:t>promover</w:t>
      </w:r>
      <w:r>
        <w:rPr>
          <w:spacing w:val="-12"/>
        </w:rPr>
        <w:t> </w:t>
      </w:r>
      <w:r>
        <w:rPr/>
        <w:t>la</w:t>
      </w:r>
      <w:r>
        <w:rPr>
          <w:spacing w:val="-11"/>
        </w:rPr>
        <w:t> </w:t>
      </w:r>
      <w:r>
        <w:rPr/>
        <w:t>cultura</w:t>
      </w:r>
      <w:r>
        <w:rPr>
          <w:spacing w:val="-14"/>
        </w:rPr>
        <w:t> </w:t>
      </w:r>
      <w:r>
        <w:rPr/>
        <w:t>de</w:t>
      </w:r>
      <w:r>
        <w:rPr>
          <w:spacing w:val="-11"/>
        </w:rPr>
        <w:t> </w:t>
      </w:r>
      <w:r>
        <w:rPr/>
        <w:t>la</w:t>
      </w:r>
      <w:r>
        <w:rPr>
          <w:spacing w:val="-13"/>
        </w:rPr>
        <w:t> </w:t>
      </w:r>
      <w:r>
        <w:rPr/>
        <w:t>transparencia.</w:t>
      </w:r>
      <w:r>
        <w:rPr>
          <w:spacing w:val="-13"/>
        </w:rPr>
        <w:t> </w:t>
      </w:r>
      <w:r>
        <w:rPr/>
        <w:t>Para</w:t>
      </w:r>
      <w:r>
        <w:rPr>
          <w:spacing w:val="-11"/>
        </w:rPr>
        <w:t> </w:t>
      </w:r>
      <w:r>
        <w:rPr/>
        <w:t>lograr</w:t>
      </w:r>
      <w:r>
        <w:rPr>
          <w:spacing w:val="-12"/>
        </w:rPr>
        <w:t> </w:t>
      </w:r>
      <w:r>
        <w:rPr/>
        <w:t>sus</w:t>
      </w:r>
      <w:r>
        <w:rPr>
          <w:spacing w:val="-14"/>
        </w:rPr>
        <w:t> </w:t>
      </w:r>
      <w:r>
        <w:rPr/>
        <w:t>funciones requieren de independencia, recursos suficientes y una estructura sólida, ciudadana, libre de grillas y de intereses políticos (Barrera, 2010 y Dolz, 2011). Dentro del contexto municipal es necesario señalar que queda pendiente la descripción de las acciones realizadas por las contralorías municipales y las unidades de información ya que será trabajo de campo que se realizará el próximo semestre.</w:t>
      </w:r>
    </w:p>
    <w:p>
      <w:pPr>
        <w:pStyle w:val="BodyText"/>
      </w:pPr>
    </w:p>
    <w:p>
      <w:pPr>
        <w:pStyle w:val="BodyText"/>
      </w:pPr>
    </w:p>
    <w:p>
      <w:pPr>
        <w:pStyle w:val="BodyText"/>
        <w:rPr>
          <w:sz w:val="23"/>
        </w:rPr>
      </w:pPr>
    </w:p>
    <w:p>
      <w:pPr>
        <w:pStyle w:val="Heading1"/>
        <w:numPr>
          <w:ilvl w:val="1"/>
          <w:numId w:val="41"/>
        </w:numPr>
        <w:tabs>
          <w:tab w:pos="550" w:val="left" w:leader="none"/>
        </w:tabs>
        <w:spacing w:line="240" w:lineRule="auto" w:before="0" w:after="0"/>
        <w:ind w:left="549" w:right="0" w:hanging="439"/>
        <w:jc w:val="both"/>
      </w:pPr>
      <w:bookmarkStart w:name="_bookmark12" w:id="21"/>
      <w:bookmarkEnd w:id="21"/>
      <w:r>
        <w:rPr>
          <w:b w:val="0"/>
        </w:rPr>
      </w:r>
      <w:bookmarkStart w:name="_bookmark12" w:id="22"/>
      <w:bookmarkEnd w:id="22"/>
      <w:r>
        <w:rPr/>
        <w:t>E</w:t>
      </w:r>
      <w:r>
        <w:rPr/>
        <w:t>studios de medición de la</w:t>
      </w:r>
      <w:r>
        <w:rPr>
          <w:spacing w:val="-15"/>
        </w:rPr>
        <w:t> </w:t>
      </w:r>
      <w:r>
        <w:rPr/>
        <w:t>transparencia</w:t>
      </w:r>
    </w:p>
    <w:p>
      <w:pPr>
        <w:pStyle w:val="BodyText"/>
        <w:rPr>
          <w:b/>
        </w:rPr>
      </w:pPr>
    </w:p>
    <w:p>
      <w:pPr>
        <w:pStyle w:val="BodyText"/>
        <w:rPr>
          <w:b/>
        </w:rPr>
      </w:pPr>
    </w:p>
    <w:p>
      <w:pPr>
        <w:pStyle w:val="BodyText"/>
        <w:spacing w:line="360" w:lineRule="auto"/>
        <w:ind w:left="122" w:right="116"/>
        <w:jc w:val="both"/>
      </w:pPr>
      <w:r>
        <w:rPr/>
        <w:t>Diferentes organizaciones han realizado estudios de medición de la transparencia, a nivel internacional el Índice de Percepción de la Corrupción realizado por Transparency International, a nivel nacional los estudios de Métrica de la transparencia realizados por el Centro de Investigación y Docencia Económicas (CIDE) y la Encuesta Nacional de Transparencia realizada por la UNAM. Finalmente, a nivel municipal se tiene información de la ONG (CIMTRA) que ha hecho estudios para identificar a los municipios más transparentes.</w:t>
      </w:r>
    </w:p>
    <w:p>
      <w:pPr>
        <w:pStyle w:val="BodyText"/>
        <w:rPr>
          <w:sz w:val="20"/>
        </w:rPr>
      </w:pPr>
    </w:p>
    <w:p>
      <w:pPr>
        <w:pStyle w:val="BodyText"/>
        <w:rPr>
          <w:sz w:val="20"/>
        </w:rPr>
      </w:pPr>
    </w:p>
    <w:p>
      <w:pPr>
        <w:pStyle w:val="BodyText"/>
        <w:spacing w:before="5"/>
      </w:pPr>
    </w:p>
    <w:tbl>
      <w:tblPr>
        <w:tblW w:w="0" w:type="auto"/>
        <w:jc w:val="left"/>
        <w:tblInd w:w="6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65"/>
        <w:gridCol w:w="5670"/>
      </w:tblGrid>
      <w:tr>
        <w:trPr>
          <w:trHeight w:val="216" w:hRule="exact"/>
        </w:trPr>
        <w:tc>
          <w:tcPr>
            <w:tcW w:w="7734" w:type="dxa"/>
            <w:gridSpan w:val="2"/>
            <w:shd w:val="clear" w:color="auto" w:fill="92D050"/>
          </w:tcPr>
          <w:p>
            <w:pPr>
              <w:pStyle w:val="TableParagraph"/>
              <w:spacing w:line="201" w:lineRule="exact"/>
              <w:ind w:left="1130"/>
              <w:jc w:val="left"/>
              <w:rPr>
                <w:b/>
                <w:sz w:val="18"/>
              </w:rPr>
            </w:pPr>
            <w:r>
              <w:rPr>
                <w:b/>
                <w:sz w:val="18"/>
              </w:rPr>
              <w:t>Tabla 2.7. Estudios sobre transparencia y corrupción en México</w:t>
            </w:r>
          </w:p>
        </w:tc>
      </w:tr>
      <w:tr>
        <w:trPr>
          <w:trHeight w:val="425" w:hRule="exact"/>
        </w:trPr>
        <w:tc>
          <w:tcPr>
            <w:tcW w:w="2065" w:type="dxa"/>
            <w:shd w:val="clear" w:color="auto" w:fill="92D050"/>
          </w:tcPr>
          <w:p>
            <w:pPr>
              <w:pStyle w:val="TableParagraph"/>
              <w:ind w:left="180" w:right="164" w:firstLine="36"/>
              <w:jc w:val="left"/>
              <w:rPr>
                <w:b/>
                <w:sz w:val="18"/>
              </w:rPr>
            </w:pPr>
            <w:r>
              <w:rPr>
                <w:b/>
                <w:sz w:val="18"/>
              </w:rPr>
              <w:t>Índice de medición de la transparencia.</w:t>
            </w:r>
          </w:p>
        </w:tc>
        <w:tc>
          <w:tcPr>
            <w:tcW w:w="5670" w:type="dxa"/>
            <w:shd w:val="clear" w:color="auto" w:fill="92D050"/>
          </w:tcPr>
          <w:p>
            <w:pPr>
              <w:pStyle w:val="TableParagraph"/>
              <w:spacing w:line="201" w:lineRule="exact"/>
              <w:ind w:left="2449" w:right="2450"/>
              <w:rPr>
                <w:b/>
                <w:sz w:val="18"/>
              </w:rPr>
            </w:pPr>
            <w:r>
              <w:rPr>
                <w:b/>
                <w:sz w:val="18"/>
              </w:rPr>
              <w:t>Objetivo</w:t>
            </w:r>
          </w:p>
        </w:tc>
      </w:tr>
      <w:tr>
        <w:trPr>
          <w:trHeight w:val="422" w:hRule="exact"/>
        </w:trPr>
        <w:tc>
          <w:tcPr>
            <w:tcW w:w="2065" w:type="dxa"/>
          </w:tcPr>
          <w:p>
            <w:pPr>
              <w:pStyle w:val="TableParagraph"/>
              <w:ind w:left="103"/>
              <w:jc w:val="left"/>
              <w:rPr>
                <w:sz w:val="18"/>
              </w:rPr>
            </w:pPr>
            <w:r>
              <w:rPr>
                <w:sz w:val="18"/>
              </w:rPr>
              <w:t>Índice de Corrupción y Buen Gobierno.</w:t>
            </w:r>
          </w:p>
        </w:tc>
        <w:tc>
          <w:tcPr>
            <w:tcW w:w="5670" w:type="dxa"/>
          </w:tcPr>
          <w:p>
            <w:pPr>
              <w:pStyle w:val="TableParagraph"/>
              <w:ind w:left="103"/>
              <w:jc w:val="left"/>
              <w:rPr>
                <w:sz w:val="18"/>
              </w:rPr>
            </w:pPr>
            <w:r>
              <w:rPr>
                <w:sz w:val="18"/>
              </w:rPr>
              <w:t>Medir las experiencias y percepciones que tiene la ciudadanía mexicana en materia de corrupción.</w:t>
            </w:r>
          </w:p>
        </w:tc>
      </w:tr>
      <w:tr>
        <w:trPr>
          <w:trHeight w:val="1047" w:hRule="exact"/>
        </w:trPr>
        <w:tc>
          <w:tcPr>
            <w:tcW w:w="2065" w:type="dxa"/>
          </w:tcPr>
          <w:p>
            <w:pPr>
              <w:pStyle w:val="TableParagraph"/>
              <w:spacing w:before="1"/>
              <w:ind w:left="103" w:right="100"/>
              <w:jc w:val="both"/>
              <w:rPr>
                <w:sz w:val="18"/>
              </w:rPr>
            </w:pPr>
            <w:r>
              <w:rPr>
                <w:sz w:val="18"/>
              </w:rPr>
              <w:t>Encuesta Nacional sobre transparencia, rendición de cuentas y combate a la corrupción 2012.</w:t>
            </w:r>
          </w:p>
        </w:tc>
        <w:tc>
          <w:tcPr>
            <w:tcW w:w="5670" w:type="dxa"/>
          </w:tcPr>
          <w:p>
            <w:pPr>
              <w:pStyle w:val="TableParagraph"/>
              <w:spacing w:before="1"/>
              <w:ind w:left="103" w:right="102"/>
              <w:jc w:val="both"/>
              <w:rPr>
                <w:sz w:val="18"/>
              </w:rPr>
            </w:pPr>
            <w:r>
              <w:rPr>
                <w:sz w:val="18"/>
              </w:rPr>
              <w:t>Conocer la percepción, opiniones y expectativas de la sociedad respecto</w:t>
            </w:r>
            <w:r>
              <w:rPr>
                <w:spacing w:val="-7"/>
                <w:sz w:val="18"/>
              </w:rPr>
              <w:t> </w:t>
            </w:r>
            <w:r>
              <w:rPr>
                <w:sz w:val="18"/>
              </w:rPr>
              <w:t>de</w:t>
            </w:r>
            <w:r>
              <w:rPr>
                <w:spacing w:val="-7"/>
                <w:sz w:val="18"/>
              </w:rPr>
              <w:t> </w:t>
            </w:r>
            <w:r>
              <w:rPr>
                <w:sz w:val="18"/>
              </w:rPr>
              <w:t>los</w:t>
            </w:r>
            <w:r>
              <w:rPr>
                <w:spacing w:val="-7"/>
                <w:sz w:val="18"/>
              </w:rPr>
              <w:t> </w:t>
            </w:r>
            <w:r>
              <w:rPr>
                <w:sz w:val="18"/>
              </w:rPr>
              <w:t>temas</w:t>
            </w:r>
            <w:r>
              <w:rPr>
                <w:spacing w:val="-7"/>
                <w:sz w:val="18"/>
              </w:rPr>
              <w:t> </w:t>
            </w:r>
            <w:r>
              <w:rPr>
                <w:sz w:val="18"/>
              </w:rPr>
              <w:t>relacionados</w:t>
            </w:r>
            <w:r>
              <w:rPr>
                <w:spacing w:val="-7"/>
                <w:sz w:val="18"/>
              </w:rPr>
              <w:t> </w:t>
            </w:r>
            <w:r>
              <w:rPr>
                <w:sz w:val="18"/>
              </w:rPr>
              <w:t>con</w:t>
            </w:r>
            <w:r>
              <w:rPr>
                <w:spacing w:val="-7"/>
                <w:sz w:val="18"/>
              </w:rPr>
              <w:t> </w:t>
            </w:r>
            <w:r>
              <w:rPr>
                <w:sz w:val="18"/>
              </w:rPr>
              <w:t>transparencia</w:t>
            </w:r>
            <w:r>
              <w:rPr>
                <w:spacing w:val="-7"/>
                <w:sz w:val="18"/>
              </w:rPr>
              <w:t> </w:t>
            </w:r>
            <w:r>
              <w:rPr>
                <w:sz w:val="18"/>
              </w:rPr>
              <w:t>y</w:t>
            </w:r>
            <w:r>
              <w:rPr>
                <w:spacing w:val="-7"/>
                <w:sz w:val="18"/>
              </w:rPr>
              <w:t> </w:t>
            </w:r>
            <w:r>
              <w:rPr>
                <w:sz w:val="18"/>
              </w:rPr>
              <w:t>rendición</w:t>
            </w:r>
            <w:r>
              <w:rPr>
                <w:spacing w:val="-7"/>
                <w:sz w:val="18"/>
              </w:rPr>
              <w:t> </w:t>
            </w:r>
            <w:r>
              <w:rPr>
                <w:sz w:val="18"/>
              </w:rPr>
              <w:t>de cuentas.</w:t>
            </w:r>
          </w:p>
          <w:p>
            <w:pPr>
              <w:pStyle w:val="TableParagraph"/>
              <w:ind w:left="103" w:right="105"/>
              <w:jc w:val="both"/>
              <w:rPr>
                <w:sz w:val="18"/>
              </w:rPr>
            </w:pPr>
            <w:r>
              <w:rPr>
                <w:sz w:val="18"/>
              </w:rPr>
              <w:t>Dar cuenta de las actitudes de los mexicanos hacia la corrupción y denuncia del manejo inadecuado de los recursos públicos.</w:t>
            </w:r>
          </w:p>
        </w:tc>
      </w:tr>
      <w:tr>
        <w:trPr>
          <w:trHeight w:val="422" w:hRule="exact"/>
        </w:trPr>
        <w:tc>
          <w:tcPr>
            <w:tcW w:w="2065" w:type="dxa"/>
          </w:tcPr>
          <w:p>
            <w:pPr>
              <w:pStyle w:val="TableParagraph"/>
              <w:ind w:left="103" w:right="280"/>
              <w:jc w:val="left"/>
              <w:rPr>
                <w:sz w:val="18"/>
              </w:rPr>
            </w:pPr>
            <w:r>
              <w:rPr>
                <w:sz w:val="18"/>
              </w:rPr>
              <w:t>Métrica de la Transparencia 2010.</w:t>
            </w:r>
          </w:p>
        </w:tc>
        <w:tc>
          <w:tcPr>
            <w:tcW w:w="5670" w:type="dxa"/>
          </w:tcPr>
          <w:p>
            <w:pPr>
              <w:pStyle w:val="TableParagraph"/>
              <w:ind w:left="103" w:right="733"/>
              <w:jc w:val="left"/>
              <w:rPr>
                <w:sz w:val="18"/>
              </w:rPr>
            </w:pPr>
            <w:r>
              <w:rPr>
                <w:sz w:val="18"/>
              </w:rPr>
              <w:t>Establecer una propuesta de metodología de medición de la transparencia en México.</w:t>
            </w:r>
          </w:p>
        </w:tc>
      </w:tr>
    </w:tbl>
    <w:p>
      <w:pPr>
        <w:tabs>
          <w:tab w:pos="2305" w:val="left" w:leader="none"/>
          <w:tab w:pos="4131" w:val="left" w:leader="none"/>
          <w:tab w:pos="5553" w:val="left" w:leader="none"/>
          <w:tab w:pos="6794" w:val="left" w:leader="none"/>
          <w:tab w:pos="8120" w:val="left" w:leader="none"/>
        </w:tabs>
        <w:spacing w:before="0"/>
        <w:ind w:left="781" w:right="778" w:firstLine="0"/>
        <w:jc w:val="left"/>
        <w:rPr>
          <w:sz w:val="16"/>
        </w:rPr>
      </w:pPr>
      <w:r>
        <w:rPr>
          <w:sz w:val="16"/>
        </w:rPr>
        <w:t>Fuente:</w:t>
        <w:tab/>
        <w:t>Elaboración</w:t>
        <w:tab/>
        <w:t>propia</w:t>
        <w:tab/>
        <w:t>con</w:t>
        <w:tab/>
        <w:t>base</w:t>
        <w:tab/>
        <w:t>en </w:t>
      </w:r>
      <w:hyperlink r:id="rId52">
        <w:r>
          <w:rPr>
            <w:color w:val="0462C1"/>
            <w:sz w:val="16"/>
            <w:u w:val="single" w:color="0462C1"/>
          </w:rPr>
          <w:t>http://www.funcionpublica.gob.mx/index.php/transparencia/transparencia-focalizada/indices-</w:t>
        </w:r>
      </w:hyperlink>
      <w:r>
        <w:rPr>
          <w:color w:val="0462C1"/>
          <w:sz w:val="16"/>
          <w:u w:val="single" w:color="0462C1"/>
        </w:rPr>
        <w:t> </w:t>
      </w:r>
      <w:hyperlink r:id="rId52">
        <w:r>
          <w:rPr>
            <w:color w:val="0462C1"/>
            <w:sz w:val="16"/>
            <w:u w:val="single" w:color="0462C1"/>
          </w:rPr>
          <w:t>anticorrupcion.html</w:t>
        </w:r>
      </w:hyperlink>
      <w:r>
        <w:rPr>
          <w:color w:val="0462C1"/>
          <w:sz w:val="16"/>
          <w:u w:val="single" w:color="0462C1"/>
        </w:rPr>
        <w:t> y </w:t>
      </w:r>
      <w:hyperlink r:id="rId53">
        <w:r>
          <w:rPr>
            <w:color w:val="0462C1"/>
            <w:sz w:val="16"/>
            <w:u w:val="single" w:color="0462C1"/>
          </w:rPr>
          <w:t>www.tm.org.mx</w:t>
        </w:r>
      </w:hyperlink>
      <w:r>
        <w:rPr>
          <w:color w:val="0462C1"/>
          <w:spacing w:val="-20"/>
          <w:sz w:val="16"/>
          <w:u w:val="single" w:color="0462C1"/>
        </w:rPr>
        <w:t> </w:t>
      </w:r>
      <w:r>
        <w:rPr>
          <w:sz w:val="16"/>
        </w:rPr>
        <w:t>[17-09-2013]</w:t>
      </w:r>
    </w:p>
    <w:p>
      <w:pPr>
        <w:spacing w:after="0"/>
        <w:jc w:val="left"/>
        <w:rPr>
          <w:sz w:val="16"/>
        </w:rPr>
        <w:sectPr>
          <w:pgSz w:w="12240" w:h="15840"/>
          <w:pgMar w:header="0" w:footer="1035" w:top="1360" w:bottom="1220" w:left="1580" w:right="1580"/>
        </w:sectPr>
      </w:pPr>
    </w:p>
    <w:p>
      <w:pPr>
        <w:pStyle w:val="Heading1"/>
        <w:numPr>
          <w:ilvl w:val="2"/>
          <w:numId w:val="41"/>
        </w:numPr>
        <w:tabs>
          <w:tab w:pos="830" w:val="left" w:leader="none"/>
        </w:tabs>
        <w:spacing w:line="240" w:lineRule="auto" w:before="54" w:after="0"/>
        <w:ind w:left="830" w:right="0" w:hanging="720"/>
        <w:jc w:val="both"/>
      </w:pPr>
      <w:r>
        <w:rPr/>
        <w:t>Índice de Percepción de la</w:t>
      </w:r>
      <w:r>
        <w:rPr>
          <w:spacing w:val="-12"/>
        </w:rPr>
        <w:t> </w:t>
      </w:r>
      <w:r>
        <w:rPr/>
        <w:t>Corrupción</w:t>
      </w:r>
    </w:p>
    <w:p>
      <w:pPr>
        <w:pStyle w:val="BodyText"/>
        <w:rPr>
          <w:b/>
        </w:rPr>
      </w:pPr>
    </w:p>
    <w:p>
      <w:pPr>
        <w:pStyle w:val="BodyText"/>
        <w:rPr>
          <w:b/>
        </w:rPr>
      </w:pPr>
    </w:p>
    <w:p>
      <w:pPr>
        <w:pStyle w:val="BodyText"/>
        <w:spacing w:line="357" w:lineRule="auto" w:before="161"/>
        <w:ind w:left="122" w:right="118"/>
        <w:jc w:val="both"/>
      </w:pPr>
      <w:r>
        <w:rPr/>
        <w:t>De</w:t>
      </w:r>
      <w:r>
        <w:rPr>
          <w:spacing w:val="-7"/>
        </w:rPr>
        <w:t> </w:t>
      </w:r>
      <w:r>
        <w:rPr/>
        <w:t>acuerdo</w:t>
      </w:r>
      <w:r>
        <w:rPr>
          <w:spacing w:val="-9"/>
        </w:rPr>
        <w:t> </w:t>
      </w:r>
      <w:r>
        <w:rPr/>
        <w:t>con</w:t>
      </w:r>
      <w:r>
        <w:rPr>
          <w:spacing w:val="-7"/>
        </w:rPr>
        <w:t> </w:t>
      </w:r>
      <w:r>
        <w:rPr/>
        <w:t>el</w:t>
      </w:r>
      <w:r>
        <w:rPr>
          <w:spacing w:val="-11"/>
        </w:rPr>
        <w:t> </w:t>
      </w:r>
      <w:r>
        <w:rPr/>
        <w:t>Índice</w:t>
      </w:r>
      <w:r>
        <w:rPr>
          <w:spacing w:val="-7"/>
        </w:rPr>
        <w:t> </w:t>
      </w:r>
      <w:r>
        <w:rPr/>
        <w:t>de</w:t>
      </w:r>
      <w:r>
        <w:rPr>
          <w:spacing w:val="-7"/>
        </w:rPr>
        <w:t> </w:t>
      </w:r>
      <w:r>
        <w:rPr/>
        <w:t>Percepción</w:t>
      </w:r>
      <w:r>
        <w:rPr>
          <w:spacing w:val="-9"/>
        </w:rPr>
        <w:t> </w:t>
      </w:r>
      <w:r>
        <w:rPr/>
        <w:t>de</w:t>
      </w:r>
      <w:r>
        <w:rPr>
          <w:spacing w:val="-9"/>
        </w:rPr>
        <w:t> </w:t>
      </w:r>
      <w:r>
        <w:rPr/>
        <w:t>Corrupción</w:t>
      </w:r>
      <w:r>
        <w:rPr>
          <w:spacing w:val="-9"/>
        </w:rPr>
        <w:t> </w:t>
      </w:r>
      <w:r>
        <w:rPr/>
        <w:t>manejado</w:t>
      </w:r>
      <w:r>
        <w:rPr>
          <w:spacing w:val="-9"/>
        </w:rPr>
        <w:t> </w:t>
      </w:r>
      <w:r>
        <w:rPr/>
        <w:t>por</w:t>
      </w:r>
      <w:r>
        <w:rPr>
          <w:spacing w:val="-8"/>
        </w:rPr>
        <w:t> </w:t>
      </w:r>
      <w:r>
        <w:rPr/>
        <w:t>Transparency International</w:t>
      </w:r>
      <w:r>
        <w:rPr>
          <w:position w:val="8"/>
          <w:sz w:val="16"/>
        </w:rPr>
        <w:t>24</w:t>
      </w:r>
      <w:r>
        <w:rPr/>
        <w:t>, México ha venido presentando incrementos constantes sobre el tema. Estando en el lugar más bajo en el año de 1995, al ocupar el lugar  </w:t>
      </w:r>
      <w:r>
        <w:rPr>
          <w:spacing w:val="58"/>
        </w:rPr>
        <w:t> </w:t>
      </w:r>
      <w:r>
        <w:rPr/>
        <w:t>número</w:t>
      </w:r>
    </w:p>
    <w:p>
      <w:pPr>
        <w:pStyle w:val="BodyText"/>
        <w:spacing w:line="360" w:lineRule="auto" w:before="8"/>
        <w:ind w:left="122" w:right="122"/>
        <w:jc w:val="both"/>
      </w:pPr>
      <w:r>
        <w:rPr/>
        <w:pict>
          <v:group style="position:absolute;margin-left:123.375pt;margin-top:78.140839pt;width:363.75pt;height:213pt;mso-position-horizontal-relative:page;mso-position-vertical-relative:paragraph;z-index:3736" coordorigin="2468,1563" coordsize="7275,4260">
            <v:shape style="position:absolute;left:3046;top:2902;width:6470;height:1577" coordorigin="3046,2902" coordsize="6470,1577" path="m3046,4478l9515,4478m3046,4085l9515,4085m3046,3689l9515,3689m3046,3295l9515,3295m3046,2902l9515,2902e" filled="false" stroked="true" strokeweight=".75pt" strokecolor="#d9d9d9">
              <v:path arrowok="t"/>
            </v:shape>
            <v:shape style="position:absolute;left:3200;top:2783;width:6162;height:1458" coordorigin="3200,2783" coordsize="6162,1458" path="m3200,4241l3509,4123,3816,3946,4123,3787,4433,3730,4740,3710,5047,3866,5357,3749,5664,3612,5971,3590,6281,3590,6588,3492,6898,3454,7205,3454,7512,3118,7822,2940,8129,2902,8436,2803,8746,2783,9053,2842,9361,3000e" filled="false" stroked="true" strokeweight="2.25pt" strokecolor="#5b9bd4">
              <v:path arrowok="t"/>
            </v:shape>
            <v:shape style="position:absolute;left:3142;top:4184;width:115;height:115" type="#_x0000_t75" stroked="false">
              <v:imagedata r:id="rId54" o:title=""/>
            </v:shape>
            <v:shape style="position:absolute;left:3452;top:4066;width:115;height:115" type="#_x0000_t75" stroked="false">
              <v:imagedata r:id="rId55" o:title=""/>
            </v:shape>
            <v:shape style="position:absolute;left:3759;top:3889;width:115;height:115" type="#_x0000_t75" stroked="false">
              <v:imagedata r:id="rId56" o:title=""/>
            </v:shape>
            <v:shape style="position:absolute;left:4066;top:3730;width:115;height:115" type="#_x0000_t75" stroked="false">
              <v:imagedata r:id="rId56" o:title=""/>
            </v:shape>
            <v:shape style="position:absolute;left:4376;top:3673;width:115;height:115" type="#_x0000_t75" stroked="false">
              <v:imagedata r:id="rId56" o:title=""/>
            </v:shape>
            <v:shape style="position:absolute;left:4683;top:3654;width:115;height:115" type="#_x0000_t75" stroked="false">
              <v:imagedata r:id="rId55" o:title=""/>
            </v:shape>
            <v:shape style="position:absolute;left:4990;top:3810;width:115;height:115" type="#_x0000_t75" stroked="false">
              <v:imagedata r:id="rId56" o:title=""/>
            </v:shape>
            <v:shape style="position:absolute;left:5300;top:3692;width:115;height:115" type="#_x0000_t75" stroked="false">
              <v:imagedata r:id="rId57" o:title=""/>
            </v:shape>
            <v:shape style="position:absolute;left:5607;top:3555;width:115;height:115" type="#_x0000_t75" stroked="false">
              <v:imagedata r:id="rId57" o:title=""/>
            </v:shape>
            <v:shape style="position:absolute;left:5914;top:3534;width:115;height:115" type="#_x0000_t75" stroked="false">
              <v:imagedata r:id="rId57" o:title=""/>
            </v:shape>
            <v:shape style="position:absolute;left:6224;top:3534;width:115;height:115" type="#_x0000_t75" stroked="false">
              <v:imagedata r:id="rId57" o:title=""/>
            </v:shape>
            <v:shape style="position:absolute;left:6531;top:3435;width:115;height:115" type="#_x0000_t75" stroked="false">
              <v:imagedata r:id="rId57" o:title=""/>
            </v:shape>
            <v:shape style="position:absolute;left:6841;top:3397;width:115;height:115" type="#_x0000_t75" stroked="false">
              <v:imagedata r:id="rId54" o:title=""/>
            </v:shape>
            <v:shape style="position:absolute;left:7148;top:3397;width:115;height:115" type="#_x0000_t75" stroked="false">
              <v:imagedata r:id="rId54" o:title=""/>
            </v:shape>
            <v:shape style="position:absolute;left:7455;top:3061;width:115;height:115" type="#_x0000_t75" stroked="false">
              <v:imagedata r:id="rId57" o:title=""/>
            </v:shape>
            <v:shape style="position:absolute;left:7765;top:2883;width:115;height:115" type="#_x0000_t75" stroked="false">
              <v:imagedata r:id="rId56" o:title=""/>
            </v:shape>
            <v:shape style="position:absolute;left:8072;top:2845;width:115;height:115" type="#_x0000_t75" stroked="false">
              <v:imagedata r:id="rId55" o:title=""/>
            </v:shape>
            <v:shape style="position:absolute;left:8379;top:2746;width:115;height:115" type="#_x0000_t75" stroked="false">
              <v:imagedata r:id="rId55" o:title=""/>
            </v:shape>
            <v:shape style="position:absolute;left:8689;top:2727;width:115;height:115" type="#_x0000_t75" stroked="false">
              <v:imagedata r:id="rId56" o:title=""/>
            </v:shape>
            <v:shape style="position:absolute;left:8996;top:2785;width:115;height:115" type="#_x0000_t75" stroked="false">
              <v:imagedata r:id="rId55" o:title=""/>
            </v:shape>
            <v:shape style="position:absolute;left:9303;top:2943;width:115;height:115" type="#_x0000_t75" stroked="false">
              <v:imagedata r:id="rId56" o:title=""/>
            </v:shape>
            <v:shape style="position:absolute;left:3046;top:2508;width:6470;height:2365" coordorigin="3046,2508" coordsize="6470,2365" path="m3046,2508l9515,2508m3046,4872l9515,4872e" filled="false" stroked="true" strokeweight=".75pt" strokecolor="#d9d9d9">
              <v:path arrowok="t"/>
            </v:shape>
            <v:rect style="position:absolute;left:2475;top:1570;width:7260;height:4245" filled="false" stroked="true" strokeweight=".75pt" strokecolor="#d9d9d9"/>
            <v:shape style="position:absolute;left:3269;top:1764;width:5670;height:490" type="#_x0000_t202" filled="false" stroked="false">
              <v:textbox inset="0,0,0,0">
                <w:txbxContent>
                  <w:p>
                    <w:pPr>
                      <w:spacing w:line="225" w:lineRule="exact" w:before="0"/>
                      <w:ind w:left="-1" w:right="0" w:firstLine="0"/>
                      <w:jc w:val="center"/>
                      <w:rPr>
                        <w:rFonts w:ascii="Calibri" w:hAnsi="Calibri"/>
                        <w:b/>
                        <w:sz w:val="22"/>
                      </w:rPr>
                    </w:pPr>
                    <w:r>
                      <w:rPr>
                        <w:rFonts w:ascii="Calibri" w:hAnsi="Calibri"/>
                        <w:b/>
                        <w:color w:val="585858"/>
                        <w:sz w:val="22"/>
                      </w:rPr>
                      <w:t>Gráfica 2.1. Lugar que ocupa México en el Indice</w:t>
                    </w:r>
                    <w:r>
                      <w:rPr>
                        <w:rFonts w:ascii="Calibri" w:hAnsi="Calibri"/>
                        <w:b/>
                        <w:color w:val="585858"/>
                        <w:spacing w:val="-24"/>
                        <w:sz w:val="22"/>
                      </w:rPr>
                      <w:t> </w:t>
                    </w:r>
                    <w:r>
                      <w:rPr>
                        <w:rFonts w:ascii="Calibri" w:hAnsi="Calibri"/>
                        <w:b/>
                        <w:color w:val="585858"/>
                        <w:sz w:val="22"/>
                      </w:rPr>
                      <w:t>Internacional</w:t>
                    </w:r>
                  </w:p>
                  <w:p>
                    <w:pPr>
                      <w:spacing w:line="265" w:lineRule="exact" w:before="0"/>
                      <w:ind w:left="3" w:right="0" w:firstLine="0"/>
                      <w:jc w:val="center"/>
                      <w:rPr>
                        <w:rFonts w:ascii="Calibri" w:hAnsi="Calibri"/>
                        <w:b/>
                        <w:sz w:val="22"/>
                      </w:rPr>
                    </w:pPr>
                    <w:r>
                      <w:rPr>
                        <w:rFonts w:ascii="Calibri" w:hAnsi="Calibri"/>
                        <w:b/>
                        <w:color w:val="585858"/>
                        <w:sz w:val="22"/>
                      </w:rPr>
                      <w:t>de Percepción de la Porrupción (1995-2015)</w:t>
                    </w:r>
                  </w:p>
                </w:txbxContent>
              </v:textbox>
              <w10:wrap type="none"/>
            </v:shape>
            <v:shape style="position:absolute;left:2605;top:2424;width:274;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120</w:t>
                    </w:r>
                  </w:p>
                </w:txbxContent>
              </v:textbox>
              <w10:wrap type="none"/>
            </v:shape>
            <v:shape style="position:absolute;left:7729;top:2460;width:1461;height:338" type="#_x0000_t202" filled="false" stroked="false">
              <v:textbox inset="0,0,0,0">
                <w:txbxContent>
                  <w:p>
                    <w:pPr>
                      <w:spacing w:line="338" w:lineRule="exact" w:before="0"/>
                      <w:ind w:left="0" w:right="0" w:firstLine="0"/>
                      <w:jc w:val="left"/>
                      <w:rPr>
                        <w:rFonts w:ascii="Calibri"/>
                        <w:sz w:val="18"/>
                      </w:rPr>
                    </w:pPr>
                    <w:r>
                      <w:rPr>
                        <w:rFonts w:ascii="Calibri"/>
                        <w:color w:val="404040"/>
                        <w:position w:val="-13"/>
                        <w:sz w:val="18"/>
                      </w:rPr>
                      <w:t>98 </w:t>
                    </w:r>
                    <w:r>
                      <w:rPr>
                        <w:rFonts w:ascii="Calibri"/>
                        <w:color w:val="404040"/>
                        <w:position w:val="-9"/>
                        <w:sz w:val="18"/>
                      </w:rPr>
                      <w:t>100 </w:t>
                    </w:r>
                    <w:r>
                      <w:rPr>
                        <w:rFonts w:ascii="Calibri"/>
                        <w:color w:val="404040"/>
                        <w:sz w:val="18"/>
                      </w:rPr>
                      <w:t>105 </w:t>
                    </w:r>
                    <w:r>
                      <w:rPr>
                        <w:rFonts w:ascii="Calibri"/>
                        <w:color w:val="404040"/>
                        <w:position w:val="2"/>
                        <w:sz w:val="18"/>
                      </w:rPr>
                      <w:t>106 </w:t>
                    </w:r>
                    <w:r>
                      <w:rPr>
                        <w:rFonts w:ascii="Calibri"/>
                        <w:color w:val="404040"/>
                        <w:position w:val="-3"/>
                        <w:sz w:val="18"/>
                      </w:rPr>
                      <w:t>103</w:t>
                    </w:r>
                  </w:p>
                </w:txbxContent>
              </v:textbox>
              <w10:wrap type="none"/>
            </v:shape>
            <v:shape style="position:absolute;left:9270;top:2677;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95</w:t>
                    </w:r>
                  </w:p>
                </w:txbxContent>
              </v:textbox>
              <w10:wrap type="none"/>
            </v:shape>
            <v:shape style="position:absolute;left:2605;top:2818;width:274;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100</w:t>
                    </w:r>
                  </w:p>
                </w:txbxContent>
              </v:textbox>
              <w10:wrap type="none"/>
            </v:shape>
            <v:shape style="position:absolute;left:7421;top:2795;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89</w:t>
                    </w:r>
                  </w:p>
                </w:txbxContent>
              </v:textbox>
              <w10:wrap type="none"/>
            </v:shape>
            <v:shape style="position:absolute;left:2697;top:3212;width:183;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80</w:t>
                    </w:r>
                  </w:p>
                </w:txbxContent>
              </v:textbox>
              <w10:wrap type="none"/>
            </v:shape>
            <v:shape style="position:absolute;left:5573;top:3130;width:1724;height:338" type="#_x0000_t202" filled="false" stroked="false">
              <v:textbox inset="0,0,0,0">
                <w:txbxContent>
                  <w:p>
                    <w:pPr>
                      <w:spacing w:line="337" w:lineRule="exact" w:before="0"/>
                      <w:ind w:left="0" w:right="-2" w:firstLine="0"/>
                      <w:jc w:val="left"/>
                      <w:rPr>
                        <w:rFonts w:ascii="Calibri"/>
                        <w:sz w:val="18"/>
                      </w:rPr>
                    </w:pPr>
                    <w:r>
                      <w:rPr>
                        <w:rFonts w:ascii="Calibri"/>
                        <w:color w:val="404040"/>
                        <w:sz w:val="18"/>
                      </w:rPr>
                      <w:t>64   </w:t>
                    </w:r>
                    <w:r>
                      <w:rPr>
                        <w:rFonts w:ascii="Calibri"/>
                        <w:color w:val="404040"/>
                        <w:position w:val="2"/>
                        <w:sz w:val="18"/>
                      </w:rPr>
                      <w:t>65   65   </w:t>
                    </w:r>
                    <w:r>
                      <w:rPr>
                        <w:rFonts w:ascii="Calibri"/>
                        <w:color w:val="404040"/>
                        <w:position w:val="12"/>
                        <w:sz w:val="18"/>
                      </w:rPr>
                      <w:t>70   </w:t>
                    </w:r>
                    <w:r>
                      <w:rPr>
                        <w:rFonts w:ascii="Calibri"/>
                        <w:color w:val="404040"/>
                        <w:position w:val="16"/>
                        <w:sz w:val="18"/>
                      </w:rPr>
                      <w:t>72   72</w:t>
                    </w:r>
                  </w:p>
                </w:txbxContent>
              </v:textbox>
              <w10:wrap type="none"/>
            </v:shape>
            <v:shape style="position:absolute;left:2697;top:3606;width:183;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60</w:t>
                    </w:r>
                  </w:p>
                </w:txbxContent>
              </v:textbox>
              <w10:wrap type="none"/>
            </v:shape>
            <v:shape style="position:absolute;left:3724;top:3622;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47</w:t>
                    </w:r>
                  </w:p>
                </w:txbxContent>
              </v:textbox>
              <w10:wrap type="none"/>
            </v:shape>
            <v:shape style="position:absolute;left:4032;top:3386;width:1415;height:338" type="#_x0000_t202" filled="false" stroked="false">
              <v:textbox inset="0,0,0,0">
                <w:txbxContent>
                  <w:p>
                    <w:pPr>
                      <w:spacing w:line="338" w:lineRule="exact" w:before="0"/>
                      <w:ind w:left="0" w:right="-6" w:firstLine="0"/>
                      <w:jc w:val="left"/>
                      <w:rPr>
                        <w:rFonts w:ascii="Calibri"/>
                        <w:sz w:val="18"/>
                      </w:rPr>
                    </w:pPr>
                    <w:r>
                      <w:rPr>
                        <w:rFonts w:ascii="Calibri"/>
                        <w:color w:val="404040"/>
                        <w:position w:val="-3"/>
                        <w:sz w:val="18"/>
                      </w:rPr>
                      <w:t>55   </w:t>
                    </w:r>
                    <w:r>
                      <w:rPr>
                        <w:rFonts w:ascii="Calibri"/>
                        <w:color w:val="404040"/>
                        <w:position w:val="2"/>
                        <w:sz w:val="18"/>
                      </w:rPr>
                      <w:t>58   </w:t>
                    </w:r>
                    <w:r>
                      <w:rPr>
                        <w:rFonts w:ascii="Calibri"/>
                        <w:color w:val="404040"/>
                        <w:position w:val="4"/>
                        <w:sz w:val="18"/>
                      </w:rPr>
                      <w:t>59   </w:t>
                    </w:r>
                    <w:r>
                      <w:rPr>
                        <w:rFonts w:ascii="Calibri"/>
                        <w:color w:val="404040"/>
                        <w:position w:val="-11"/>
                        <w:sz w:val="18"/>
                      </w:rPr>
                      <w:t>51   </w:t>
                    </w:r>
                    <w:r>
                      <w:rPr>
                        <w:rFonts w:ascii="Calibri"/>
                        <w:color w:val="404040"/>
                        <w:sz w:val="18"/>
                      </w:rPr>
                      <w:t>57</w:t>
                    </w:r>
                  </w:p>
                </w:txbxContent>
              </v:textbox>
              <w10:wrap type="none"/>
            </v:shape>
            <v:shape style="position:absolute;left:3416;top:3800;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38</w:t>
                    </w:r>
                  </w:p>
                </w:txbxContent>
              </v:textbox>
              <w10:wrap type="none"/>
            </v:shape>
            <v:shape style="position:absolute;left:2697;top:4001;width:183;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40</w:t>
                    </w:r>
                  </w:p>
                </w:txbxContent>
              </v:textbox>
              <w10:wrap type="none"/>
            </v:shape>
            <v:shape style="position:absolute;left:3108;top:3918;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32</w:t>
                    </w:r>
                  </w:p>
                </w:txbxContent>
              </v:textbox>
              <w10:wrap type="none"/>
            </v:shape>
            <v:shape style="position:absolute;left:2697;top:4395;width:183;height:574"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20</w:t>
                    </w:r>
                  </w:p>
                  <w:p>
                    <w:pPr>
                      <w:spacing w:line="240" w:lineRule="auto" w:before="1"/>
                      <w:rPr>
                        <w:sz w:val="15"/>
                      </w:rPr>
                    </w:pPr>
                  </w:p>
                  <w:p>
                    <w:pPr>
                      <w:spacing w:line="216" w:lineRule="exact" w:before="0"/>
                      <w:ind w:left="91" w:right="0" w:firstLine="0"/>
                      <w:jc w:val="left"/>
                      <w:rPr>
                        <w:rFonts w:ascii="Calibri"/>
                        <w:sz w:val="18"/>
                      </w:rPr>
                    </w:pPr>
                    <w:r>
                      <w:rPr>
                        <w:rFonts w:ascii="Calibri"/>
                        <w:color w:val="585858"/>
                        <w:sz w:val="18"/>
                      </w:rPr>
                      <w:t>0</w:t>
                    </w:r>
                  </w:p>
                </w:txbxContent>
              </v:textbox>
              <w10:wrap type="none"/>
            </v:shape>
            <w10:wrap type="none"/>
          </v:group>
        </w:pict>
      </w:r>
      <w:r>
        <w:rPr/>
        <w:t>32.</w:t>
      </w:r>
      <w:r>
        <w:rPr>
          <w:spacing w:val="-5"/>
        </w:rPr>
        <w:t> </w:t>
      </w:r>
      <w:r>
        <w:rPr/>
        <w:t>El</w:t>
      </w:r>
      <w:r>
        <w:rPr>
          <w:spacing w:val="-6"/>
        </w:rPr>
        <w:t> </w:t>
      </w:r>
      <w:r>
        <w:rPr/>
        <w:t>más</w:t>
      </w:r>
      <w:r>
        <w:rPr>
          <w:spacing w:val="-6"/>
        </w:rPr>
        <w:t> </w:t>
      </w:r>
      <w:r>
        <w:rPr/>
        <w:t>alto</w:t>
      </w:r>
      <w:r>
        <w:rPr>
          <w:spacing w:val="-7"/>
        </w:rPr>
        <w:t> </w:t>
      </w:r>
      <w:r>
        <w:rPr/>
        <w:t>fue</w:t>
      </w:r>
      <w:r>
        <w:rPr>
          <w:spacing w:val="-3"/>
        </w:rPr>
        <w:t> </w:t>
      </w:r>
      <w:r>
        <w:rPr/>
        <w:t>el</w:t>
      </w:r>
      <w:r>
        <w:rPr>
          <w:spacing w:val="-6"/>
        </w:rPr>
        <w:t> </w:t>
      </w:r>
      <w:r>
        <w:rPr/>
        <w:t>año</w:t>
      </w:r>
      <w:r>
        <w:rPr>
          <w:spacing w:val="-5"/>
        </w:rPr>
        <w:t> </w:t>
      </w:r>
      <w:r>
        <w:rPr/>
        <w:t>2013,</w:t>
      </w:r>
      <w:r>
        <w:rPr>
          <w:spacing w:val="-5"/>
        </w:rPr>
        <w:t> </w:t>
      </w:r>
      <w:r>
        <w:rPr/>
        <w:t>cuando</w:t>
      </w:r>
      <w:r>
        <w:rPr>
          <w:spacing w:val="-5"/>
        </w:rPr>
        <w:t> </w:t>
      </w:r>
      <w:r>
        <w:rPr/>
        <w:t>ocupó</w:t>
      </w:r>
      <w:r>
        <w:rPr>
          <w:spacing w:val="-5"/>
        </w:rPr>
        <w:t> </w:t>
      </w:r>
      <w:r>
        <w:rPr/>
        <w:t>el</w:t>
      </w:r>
      <w:r>
        <w:rPr>
          <w:spacing w:val="-6"/>
        </w:rPr>
        <w:t> </w:t>
      </w:r>
      <w:r>
        <w:rPr/>
        <w:t>lugar</w:t>
      </w:r>
      <w:r>
        <w:rPr>
          <w:spacing w:val="-6"/>
        </w:rPr>
        <w:t> </w:t>
      </w:r>
      <w:r>
        <w:rPr/>
        <w:t>número</w:t>
      </w:r>
      <w:r>
        <w:rPr>
          <w:spacing w:val="-6"/>
        </w:rPr>
        <w:t> </w:t>
      </w:r>
      <w:r>
        <w:rPr/>
        <w:t>106.</w:t>
      </w:r>
      <w:r>
        <w:rPr>
          <w:spacing w:val="-8"/>
        </w:rPr>
        <w:t> </w:t>
      </w:r>
      <w:r>
        <w:rPr/>
        <w:t>En</w:t>
      </w:r>
      <w:r>
        <w:rPr>
          <w:spacing w:val="-5"/>
        </w:rPr>
        <w:t> </w:t>
      </w:r>
      <w:r>
        <w:rPr/>
        <w:t>el</w:t>
      </w:r>
      <w:r>
        <w:rPr>
          <w:spacing w:val="-6"/>
        </w:rPr>
        <w:t> </w:t>
      </w:r>
      <w:r>
        <w:rPr/>
        <w:t>año</w:t>
      </w:r>
      <w:r>
        <w:rPr>
          <w:spacing w:val="-7"/>
        </w:rPr>
        <w:t> </w:t>
      </w:r>
      <w:r>
        <w:rPr/>
        <w:t>2016 bajó al lugar 95, tal como se puede apreciar en la siguiente</w:t>
      </w:r>
      <w:r>
        <w:rPr>
          <w:spacing w:val="-20"/>
        </w:rPr>
        <w:t> </w:t>
      </w:r>
      <w:r>
        <w:rPr/>
        <w:t>gráfica: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8"/>
        </w:rPr>
      </w:pPr>
    </w:p>
    <w:p>
      <w:pPr>
        <w:tabs>
          <w:tab w:pos="1889" w:val="left" w:leader="none"/>
          <w:tab w:pos="3141" w:val="left" w:leader="none"/>
          <w:tab w:pos="3944" w:val="left" w:leader="none"/>
          <w:tab w:pos="4539" w:val="left" w:leader="none"/>
          <w:tab w:pos="5282" w:val="left" w:leader="none"/>
          <w:tab w:pos="5786" w:val="left" w:leader="none"/>
          <w:tab w:pos="7179" w:val="left" w:leader="none"/>
        </w:tabs>
        <w:spacing w:line="362" w:lineRule="auto" w:before="0"/>
        <w:ind w:left="974" w:right="880" w:firstLine="0"/>
        <w:jc w:val="left"/>
        <w:rPr>
          <w:sz w:val="18"/>
        </w:rPr>
      </w:pPr>
      <w:r>
        <w:rPr/>
        <w:pict>
          <v:shape style="position:absolute;margin-left:155.279999pt;margin-top:-57.969109pt;width:319.150pt;height:36.950pt;mso-position-horizontal-relative:page;mso-position-vertical-relative:paragraph;z-index:3760" type="#_x0000_t202" filled="false" stroked="false">
            <v:textbox inset="0,0,0,0" style="layout-flow:vertical;mso-layout-flow-alt:bottom-to-top">
              <w:txbxContent>
                <w:p>
                  <w:pPr>
                    <w:spacing w:line="203" w:lineRule="exact" w:before="0"/>
                    <w:ind w:left="20" w:right="0" w:firstLine="0"/>
                    <w:jc w:val="left"/>
                    <w:rPr>
                      <w:rFonts w:ascii="Calibri" w:hAnsi="Calibri"/>
                      <w:sz w:val="18"/>
                    </w:rPr>
                  </w:pPr>
                  <w:r>
                    <w:rPr>
                      <w:rFonts w:ascii="Calibri" w:hAnsi="Calibri"/>
                      <w:color w:val="585858"/>
                      <w:spacing w:val="-1"/>
                      <w:sz w:val="18"/>
                    </w:rPr>
                    <w:t>A</w:t>
                  </w:r>
                  <w:r>
                    <w:rPr>
                      <w:rFonts w:ascii="Calibri" w:hAnsi="Calibri"/>
                      <w:color w:val="585858"/>
                      <w:spacing w:val="1"/>
                      <w:sz w:val="18"/>
                    </w:rPr>
                    <w:t>ñ</w:t>
                  </w:r>
                  <w:r>
                    <w:rPr>
                      <w:rFonts w:ascii="Calibri" w:hAnsi="Calibri"/>
                      <w:color w:val="585858"/>
                      <w:sz w:val="18"/>
                    </w:rPr>
                    <w:t>o</w:t>
                  </w:r>
                  <w:r>
                    <w:rPr>
                      <w:rFonts w:ascii="Calibri" w:hAnsi="Calibri"/>
                      <w:color w:val="585858"/>
                      <w:spacing w:val="-2"/>
                      <w:sz w:val="18"/>
                    </w:rPr>
                    <w:t> </w:t>
                  </w:r>
                  <w:r>
                    <w:rPr>
                      <w:rFonts w:ascii="Calibri" w:hAnsi="Calibri"/>
                      <w:color w:val="585858"/>
                      <w:sz w:val="18"/>
                    </w:rPr>
                    <w:t>1995</w:t>
                  </w:r>
                </w:p>
                <w:p>
                  <w:pPr>
                    <w:spacing w:before="88"/>
                    <w:ind w:left="20" w:right="0" w:firstLine="0"/>
                    <w:jc w:val="left"/>
                    <w:rPr>
                      <w:rFonts w:ascii="Calibri" w:hAnsi="Calibri"/>
                      <w:sz w:val="18"/>
                    </w:rPr>
                  </w:pPr>
                  <w:r>
                    <w:rPr>
                      <w:rFonts w:ascii="Calibri" w:hAnsi="Calibri"/>
                      <w:color w:val="585858"/>
                      <w:spacing w:val="-1"/>
                      <w:sz w:val="18"/>
                    </w:rPr>
                    <w:t>A</w:t>
                  </w:r>
                  <w:r>
                    <w:rPr>
                      <w:rFonts w:ascii="Calibri" w:hAnsi="Calibri"/>
                      <w:color w:val="585858"/>
                      <w:spacing w:val="1"/>
                      <w:sz w:val="18"/>
                    </w:rPr>
                    <w:t>ñ</w:t>
                  </w:r>
                  <w:r>
                    <w:rPr>
                      <w:rFonts w:ascii="Calibri" w:hAnsi="Calibri"/>
                      <w:color w:val="585858"/>
                      <w:sz w:val="18"/>
                    </w:rPr>
                    <w:t>o</w:t>
                  </w:r>
                  <w:r>
                    <w:rPr>
                      <w:rFonts w:ascii="Calibri" w:hAnsi="Calibri"/>
                      <w:color w:val="585858"/>
                      <w:spacing w:val="-2"/>
                      <w:sz w:val="18"/>
                    </w:rPr>
                    <w:t> </w:t>
                  </w:r>
                  <w:r>
                    <w:rPr>
                      <w:rFonts w:ascii="Calibri" w:hAnsi="Calibri"/>
                      <w:color w:val="585858"/>
                      <w:sz w:val="18"/>
                    </w:rPr>
                    <w:t>1996</w:t>
                  </w:r>
                </w:p>
                <w:p>
                  <w:pPr>
                    <w:spacing w:before="88"/>
                    <w:ind w:left="20" w:right="0" w:firstLine="0"/>
                    <w:jc w:val="left"/>
                    <w:rPr>
                      <w:rFonts w:ascii="Calibri" w:hAnsi="Calibri"/>
                      <w:sz w:val="18"/>
                    </w:rPr>
                  </w:pPr>
                  <w:r>
                    <w:rPr>
                      <w:rFonts w:ascii="Calibri" w:hAnsi="Calibri"/>
                      <w:color w:val="585858"/>
                      <w:spacing w:val="-1"/>
                      <w:sz w:val="18"/>
                    </w:rPr>
                    <w:t>A</w:t>
                  </w:r>
                  <w:r>
                    <w:rPr>
                      <w:rFonts w:ascii="Calibri" w:hAnsi="Calibri"/>
                      <w:color w:val="585858"/>
                      <w:spacing w:val="1"/>
                      <w:sz w:val="18"/>
                    </w:rPr>
                    <w:t>ñ</w:t>
                  </w:r>
                  <w:r>
                    <w:rPr>
                      <w:rFonts w:ascii="Calibri" w:hAnsi="Calibri"/>
                      <w:color w:val="585858"/>
                      <w:sz w:val="18"/>
                    </w:rPr>
                    <w:t>o</w:t>
                  </w:r>
                  <w:r>
                    <w:rPr>
                      <w:rFonts w:ascii="Calibri" w:hAnsi="Calibri"/>
                      <w:color w:val="585858"/>
                      <w:spacing w:val="-2"/>
                      <w:sz w:val="18"/>
                    </w:rPr>
                    <w:t> </w:t>
                  </w:r>
                  <w:r>
                    <w:rPr>
                      <w:rFonts w:ascii="Calibri" w:hAnsi="Calibri"/>
                      <w:color w:val="585858"/>
                      <w:sz w:val="18"/>
                    </w:rPr>
                    <w:t>1997</w:t>
                  </w:r>
                </w:p>
                <w:p>
                  <w:pPr>
                    <w:spacing w:before="88"/>
                    <w:ind w:left="20" w:right="0" w:firstLine="0"/>
                    <w:jc w:val="left"/>
                    <w:rPr>
                      <w:rFonts w:ascii="Calibri" w:hAnsi="Calibri"/>
                      <w:sz w:val="18"/>
                    </w:rPr>
                  </w:pPr>
                  <w:r>
                    <w:rPr>
                      <w:rFonts w:ascii="Calibri" w:hAnsi="Calibri"/>
                      <w:color w:val="585858"/>
                      <w:spacing w:val="-1"/>
                      <w:sz w:val="18"/>
                    </w:rPr>
                    <w:t>A</w:t>
                  </w:r>
                  <w:r>
                    <w:rPr>
                      <w:rFonts w:ascii="Calibri" w:hAnsi="Calibri"/>
                      <w:color w:val="585858"/>
                      <w:spacing w:val="1"/>
                      <w:sz w:val="18"/>
                    </w:rPr>
                    <w:t>ñ</w:t>
                  </w:r>
                  <w:r>
                    <w:rPr>
                      <w:rFonts w:ascii="Calibri" w:hAnsi="Calibri"/>
                      <w:color w:val="585858"/>
                      <w:sz w:val="18"/>
                    </w:rPr>
                    <w:t>o</w:t>
                  </w:r>
                  <w:r>
                    <w:rPr>
                      <w:rFonts w:ascii="Calibri" w:hAnsi="Calibri"/>
                      <w:color w:val="585858"/>
                      <w:spacing w:val="-2"/>
                      <w:sz w:val="18"/>
                    </w:rPr>
                    <w:t> </w:t>
                  </w:r>
                  <w:r>
                    <w:rPr>
                      <w:rFonts w:ascii="Calibri" w:hAnsi="Calibri"/>
                      <w:color w:val="585858"/>
                      <w:sz w:val="18"/>
                    </w:rPr>
                    <w:t>1998</w:t>
                  </w:r>
                </w:p>
                <w:p>
                  <w:pPr>
                    <w:spacing w:before="88"/>
                    <w:ind w:left="20" w:right="0" w:firstLine="0"/>
                    <w:jc w:val="left"/>
                    <w:rPr>
                      <w:rFonts w:ascii="Calibri" w:hAnsi="Calibri"/>
                      <w:sz w:val="18"/>
                    </w:rPr>
                  </w:pPr>
                  <w:r>
                    <w:rPr>
                      <w:rFonts w:ascii="Calibri" w:hAnsi="Calibri"/>
                      <w:color w:val="585858"/>
                      <w:spacing w:val="-1"/>
                      <w:sz w:val="18"/>
                    </w:rPr>
                    <w:t>A</w:t>
                  </w:r>
                  <w:r>
                    <w:rPr>
                      <w:rFonts w:ascii="Calibri" w:hAnsi="Calibri"/>
                      <w:color w:val="585858"/>
                      <w:spacing w:val="1"/>
                      <w:sz w:val="18"/>
                    </w:rPr>
                    <w:t>ñ</w:t>
                  </w:r>
                  <w:r>
                    <w:rPr>
                      <w:rFonts w:ascii="Calibri" w:hAnsi="Calibri"/>
                      <w:color w:val="585858"/>
                      <w:sz w:val="18"/>
                    </w:rPr>
                    <w:t>o</w:t>
                  </w:r>
                  <w:r>
                    <w:rPr>
                      <w:rFonts w:ascii="Calibri" w:hAnsi="Calibri"/>
                      <w:color w:val="585858"/>
                      <w:spacing w:val="-2"/>
                      <w:sz w:val="18"/>
                    </w:rPr>
                    <w:t> </w:t>
                  </w:r>
                  <w:r>
                    <w:rPr>
                      <w:rFonts w:ascii="Calibri" w:hAnsi="Calibri"/>
                      <w:color w:val="585858"/>
                      <w:sz w:val="18"/>
                    </w:rPr>
                    <w:t>1999</w:t>
                  </w:r>
                </w:p>
                <w:p>
                  <w:pPr>
                    <w:spacing w:before="88"/>
                    <w:ind w:left="20" w:right="0" w:firstLine="0"/>
                    <w:jc w:val="left"/>
                    <w:rPr>
                      <w:rFonts w:ascii="Calibri" w:hAnsi="Calibri"/>
                      <w:sz w:val="18"/>
                    </w:rPr>
                  </w:pPr>
                  <w:r>
                    <w:rPr>
                      <w:rFonts w:ascii="Calibri" w:hAnsi="Calibri"/>
                      <w:color w:val="585858"/>
                      <w:spacing w:val="-1"/>
                      <w:sz w:val="18"/>
                    </w:rPr>
                    <w:t>A</w:t>
                  </w:r>
                  <w:r>
                    <w:rPr>
                      <w:rFonts w:ascii="Calibri" w:hAnsi="Calibri"/>
                      <w:color w:val="585858"/>
                      <w:spacing w:val="1"/>
                      <w:sz w:val="18"/>
                    </w:rPr>
                    <w:t>ñ</w:t>
                  </w:r>
                  <w:r>
                    <w:rPr>
                      <w:rFonts w:ascii="Calibri" w:hAnsi="Calibri"/>
                      <w:color w:val="585858"/>
                      <w:sz w:val="18"/>
                    </w:rPr>
                    <w:t>o</w:t>
                  </w:r>
                  <w:r>
                    <w:rPr>
                      <w:rFonts w:ascii="Calibri" w:hAnsi="Calibri"/>
                      <w:color w:val="585858"/>
                      <w:spacing w:val="-2"/>
                      <w:sz w:val="18"/>
                    </w:rPr>
                    <w:t> </w:t>
                  </w:r>
                  <w:r>
                    <w:rPr>
                      <w:rFonts w:ascii="Calibri" w:hAnsi="Calibri"/>
                      <w:color w:val="585858"/>
                      <w:sz w:val="18"/>
                    </w:rPr>
                    <w:t>2000</w:t>
                  </w:r>
                </w:p>
                <w:p>
                  <w:pPr>
                    <w:spacing w:before="88"/>
                    <w:ind w:left="20" w:right="0" w:firstLine="0"/>
                    <w:jc w:val="left"/>
                    <w:rPr>
                      <w:rFonts w:ascii="Calibri" w:hAnsi="Calibri"/>
                      <w:sz w:val="18"/>
                    </w:rPr>
                  </w:pPr>
                  <w:r>
                    <w:rPr>
                      <w:rFonts w:ascii="Calibri" w:hAnsi="Calibri"/>
                      <w:color w:val="585858"/>
                      <w:spacing w:val="-1"/>
                      <w:sz w:val="18"/>
                    </w:rPr>
                    <w:t>A</w:t>
                  </w:r>
                  <w:r>
                    <w:rPr>
                      <w:rFonts w:ascii="Calibri" w:hAnsi="Calibri"/>
                      <w:color w:val="585858"/>
                      <w:spacing w:val="1"/>
                      <w:sz w:val="18"/>
                    </w:rPr>
                    <w:t>ñ</w:t>
                  </w:r>
                  <w:r>
                    <w:rPr>
                      <w:rFonts w:ascii="Calibri" w:hAnsi="Calibri"/>
                      <w:color w:val="585858"/>
                      <w:sz w:val="18"/>
                    </w:rPr>
                    <w:t>o</w:t>
                  </w:r>
                  <w:r>
                    <w:rPr>
                      <w:rFonts w:ascii="Calibri" w:hAnsi="Calibri"/>
                      <w:color w:val="585858"/>
                      <w:spacing w:val="-2"/>
                      <w:sz w:val="18"/>
                    </w:rPr>
                    <w:t> </w:t>
                  </w:r>
                  <w:r>
                    <w:rPr>
                      <w:rFonts w:ascii="Calibri" w:hAnsi="Calibri"/>
                      <w:color w:val="585858"/>
                      <w:sz w:val="18"/>
                    </w:rPr>
                    <w:t>2001</w:t>
                  </w:r>
                </w:p>
                <w:p>
                  <w:pPr>
                    <w:spacing w:before="88"/>
                    <w:ind w:left="20" w:right="0" w:firstLine="0"/>
                    <w:jc w:val="left"/>
                    <w:rPr>
                      <w:rFonts w:ascii="Calibri" w:hAnsi="Calibri"/>
                      <w:sz w:val="18"/>
                    </w:rPr>
                  </w:pPr>
                  <w:r>
                    <w:rPr>
                      <w:rFonts w:ascii="Calibri" w:hAnsi="Calibri"/>
                      <w:color w:val="585858"/>
                      <w:spacing w:val="-1"/>
                      <w:sz w:val="18"/>
                    </w:rPr>
                    <w:t>A</w:t>
                  </w:r>
                  <w:r>
                    <w:rPr>
                      <w:rFonts w:ascii="Calibri" w:hAnsi="Calibri"/>
                      <w:color w:val="585858"/>
                      <w:spacing w:val="1"/>
                      <w:sz w:val="18"/>
                    </w:rPr>
                    <w:t>ñ</w:t>
                  </w:r>
                  <w:r>
                    <w:rPr>
                      <w:rFonts w:ascii="Calibri" w:hAnsi="Calibri"/>
                      <w:color w:val="585858"/>
                      <w:sz w:val="18"/>
                    </w:rPr>
                    <w:t>o</w:t>
                  </w:r>
                  <w:r>
                    <w:rPr>
                      <w:rFonts w:ascii="Calibri" w:hAnsi="Calibri"/>
                      <w:color w:val="585858"/>
                      <w:spacing w:val="-2"/>
                      <w:sz w:val="18"/>
                    </w:rPr>
                    <w:t> </w:t>
                  </w:r>
                  <w:r>
                    <w:rPr>
                      <w:rFonts w:ascii="Calibri" w:hAnsi="Calibri"/>
                      <w:color w:val="585858"/>
                      <w:sz w:val="18"/>
                    </w:rPr>
                    <w:t>2002</w:t>
                  </w:r>
                </w:p>
                <w:p>
                  <w:pPr>
                    <w:spacing w:before="88"/>
                    <w:ind w:left="20" w:right="0" w:firstLine="0"/>
                    <w:jc w:val="left"/>
                    <w:rPr>
                      <w:rFonts w:ascii="Calibri" w:hAnsi="Calibri"/>
                      <w:sz w:val="18"/>
                    </w:rPr>
                  </w:pPr>
                  <w:r>
                    <w:rPr>
                      <w:rFonts w:ascii="Calibri" w:hAnsi="Calibri"/>
                      <w:color w:val="585858"/>
                      <w:spacing w:val="-1"/>
                      <w:sz w:val="18"/>
                    </w:rPr>
                    <w:t>A</w:t>
                  </w:r>
                  <w:r>
                    <w:rPr>
                      <w:rFonts w:ascii="Calibri" w:hAnsi="Calibri"/>
                      <w:color w:val="585858"/>
                      <w:spacing w:val="1"/>
                      <w:sz w:val="18"/>
                    </w:rPr>
                    <w:t>ñ</w:t>
                  </w:r>
                  <w:r>
                    <w:rPr>
                      <w:rFonts w:ascii="Calibri" w:hAnsi="Calibri"/>
                      <w:color w:val="585858"/>
                      <w:sz w:val="18"/>
                    </w:rPr>
                    <w:t>o</w:t>
                  </w:r>
                  <w:r>
                    <w:rPr>
                      <w:rFonts w:ascii="Calibri" w:hAnsi="Calibri"/>
                      <w:color w:val="585858"/>
                      <w:spacing w:val="-2"/>
                      <w:sz w:val="18"/>
                    </w:rPr>
                    <w:t> </w:t>
                  </w:r>
                  <w:r>
                    <w:rPr>
                      <w:rFonts w:ascii="Calibri" w:hAnsi="Calibri"/>
                      <w:color w:val="585858"/>
                      <w:sz w:val="18"/>
                    </w:rPr>
                    <w:t>2003</w:t>
                  </w:r>
                </w:p>
                <w:p>
                  <w:pPr>
                    <w:spacing w:before="88"/>
                    <w:ind w:left="20" w:right="0" w:firstLine="0"/>
                    <w:jc w:val="left"/>
                    <w:rPr>
                      <w:rFonts w:ascii="Calibri" w:hAnsi="Calibri"/>
                      <w:sz w:val="18"/>
                    </w:rPr>
                  </w:pPr>
                  <w:r>
                    <w:rPr>
                      <w:rFonts w:ascii="Calibri" w:hAnsi="Calibri"/>
                      <w:color w:val="585858"/>
                      <w:spacing w:val="-1"/>
                      <w:sz w:val="18"/>
                    </w:rPr>
                    <w:t>A</w:t>
                  </w:r>
                  <w:r>
                    <w:rPr>
                      <w:rFonts w:ascii="Calibri" w:hAnsi="Calibri"/>
                      <w:color w:val="585858"/>
                      <w:spacing w:val="1"/>
                      <w:sz w:val="18"/>
                    </w:rPr>
                    <w:t>ñ</w:t>
                  </w:r>
                  <w:r>
                    <w:rPr>
                      <w:rFonts w:ascii="Calibri" w:hAnsi="Calibri"/>
                      <w:color w:val="585858"/>
                      <w:sz w:val="18"/>
                    </w:rPr>
                    <w:t>o</w:t>
                  </w:r>
                  <w:r>
                    <w:rPr>
                      <w:rFonts w:ascii="Calibri" w:hAnsi="Calibri"/>
                      <w:color w:val="585858"/>
                      <w:spacing w:val="-2"/>
                      <w:sz w:val="18"/>
                    </w:rPr>
                    <w:t> </w:t>
                  </w:r>
                  <w:r>
                    <w:rPr>
                      <w:rFonts w:ascii="Calibri" w:hAnsi="Calibri"/>
                      <w:color w:val="585858"/>
                      <w:sz w:val="18"/>
                    </w:rPr>
                    <w:t>2004</w:t>
                  </w:r>
                </w:p>
                <w:p>
                  <w:pPr>
                    <w:spacing w:before="88"/>
                    <w:ind w:left="20" w:right="0" w:firstLine="0"/>
                    <w:jc w:val="left"/>
                    <w:rPr>
                      <w:rFonts w:ascii="Calibri" w:hAnsi="Calibri"/>
                      <w:sz w:val="18"/>
                    </w:rPr>
                  </w:pPr>
                  <w:r>
                    <w:rPr>
                      <w:rFonts w:ascii="Calibri" w:hAnsi="Calibri"/>
                      <w:color w:val="585858"/>
                      <w:spacing w:val="-1"/>
                      <w:sz w:val="18"/>
                    </w:rPr>
                    <w:t>A</w:t>
                  </w:r>
                  <w:r>
                    <w:rPr>
                      <w:rFonts w:ascii="Calibri" w:hAnsi="Calibri"/>
                      <w:color w:val="585858"/>
                      <w:spacing w:val="1"/>
                      <w:sz w:val="18"/>
                    </w:rPr>
                    <w:t>ñ</w:t>
                  </w:r>
                  <w:r>
                    <w:rPr>
                      <w:rFonts w:ascii="Calibri" w:hAnsi="Calibri"/>
                      <w:color w:val="585858"/>
                      <w:sz w:val="18"/>
                    </w:rPr>
                    <w:t>o</w:t>
                  </w:r>
                  <w:r>
                    <w:rPr>
                      <w:rFonts w:ascii="Calibri" w:hAnsi="Calibri"/>
                      <w:color w:val="585858"/>
                      <w:spacing w:val="-2"/>
                      <w:sz w:val="18"/>
                    </w:rPr>
                    <w:t> </w:t>
                  </w:r>
                  <w:r>
                    <w:rPr>
                      <w:rFonts w:ascii="Calibri" w:hAnsi="Calibri"/>
                      <w:color w:val="585858"/>
                      <w:sz w:val="18"/>
                    </w:rPr>
                    <w:t>2005</w:t>
                  </w:r>
                </w:p>
                <w:p>
                  <w:pPr>
                    <w:spacing w:before="88"/>
                    <w:ind w:left="20" w:right="0" w:firstLine="0"/>
                    <w:jc w:val="left"/>
                    <w:rPr>
                      <w:rFonts w:ascii="Calibri" w:hAnsi="Calibri"/>
                      <w:sz w:val="18"/>
                    </w:rPr>
                  </w:pPr>
                  <w:hyperlink r:id="rId58">
                    <w:r>
                      <w:rPr>
                        <w:rFonts w:ascii="Calibri" w:hAnsi="Calibri"/>
                        <w:color w:val="585858"/>
                        <w:spacing w:val="-1"/>
                        <w:sz w:val="18"/>
                      </w:rPr>
                      <w:t>A</w:t>
                    </w:r>
                    <w:r>
                      <w:rPr>
                        <w:rFonts w:ascii="Calibri" w:hAnsi="Calibri"/>
                        <w:color w:val="585858"/>
                        <w:spacing w:val="1"/>
                        <w:sz w:val="18"/>
                      </w:rPr>
                      <w:t>ñ</w:t>
                    </w:r>
                    <w:r>
                      <w:rPr>
                        <w:rFonts w:ascii="Calibri" w:hAnsi="Calibri"/>
                        <w:color w:val="585858"/>
                        <w:sz w:val="18"/>
                      </w:rPr>
                      <w:t>o</w:t>
                    </w:r>
                    <w:r>
                      <w:rPr>
                        <w:rFonts w:ascii="Calibri" w:hAnsi="Calibri"/>
                        <w:color w:val="585858"/>
                        <w:spacing w:val="-2"/>
                        <w:sz w:val="18"/>
                      </w:rPr>
                      <w:t> </w:t>
                    </w:r>
                    <w:r>
                      <w:rPr>
                        <w:rFonts w:ascii="Calibri" w:hAnsi="Calibri"/>
                        <w:color w:val="585858"/>
                        <w:sz w:val="18"/>
                      </w:rPr>
                      <w:t>2006</w:t>
                    </w:r>
                  </w:hyperlink>
                </w:p>
                <w:p>
                  <w:pPr>
                    <w:spacing w:before="88"/>
                    <w:ind w:left="20" w:right="0" w:firstLine="0"/>
                    <w:jc w:val="left"/>
                    <w:rPr>
                      <w:rFonts w:ascii="Calibri" w:hAnsi="Calibri"/>
                      <w:sz w:val="18"/>
                    </w:rPr>
                  </w:pPr>
                  <w:r>
                    <w:rPr>
                      <w:rFonts w:ascii="Calibri" w:hAnsi="Calibri"/>
                      <w:color w:val="585858"/>
                      <w:spacing w:val="-1"/>
                      <w:sz w:val="18"/>
                    </w:rPr>
                    <w:t>A</w:t>
                  </w:r>
                  <w:r>
                    <w:rPr>
                      <w:rFonts w:ascii="Calibri" w:hAnsi="Calibri"/>
                      <w:color w:val="585858"/>
                      <w:spacing w:val="1"/>
                      <w:sz w:val="18"/>
                    </w:rPr>
                    <w:t>ñ</w:t>
                  </w:r>
                  <w:r>
                    <w:rPr>
                      <w:rFonts w:ascii="Calibri" w:hAnsi="Calibri"/>
                      <w:color w:val="585858"/>
                      <w:sz w:val="18"/>
                    </w:rPr>
                    <w:t>o</w:t>
                  </w:r>
                  <w:r>
                    <w:rPr>
                      <w:rFonts w:ascii="Calibri" w:hAnsi="Calibri"/>
                      <w:color w:val="585858"/>
                      <w:spacing w:val="-2"/>
                      <w:sz w:val="18"/>
                    </w:rPr>
                    <w:t> </w:t>
                  </w:r>
                  <w:r>
                    <w:rPr>
                      <w:rFonts w:ascii="Calibri" w:hAnsi="Calibri"/>
                      <w:color w:val="585858"/>
                      <w:sz w:val="18"/>
                    </w:rPr>
                    <w:t>2007</w:t>
                  </w:r>
                </w:p>
                <w:p>
                  <w:pPr>
                    <w:spacing w:before="88"/>
                    <w:ind w:left="20" w:right="0" w:firstLine="0"/>
                    <w:jc w:val="left"/>
                    <w:rPr>
                      <w:rFonts w:ascii="Calibri" w:hAnsi="Calibri"/>
                      <w:sz w:val="18"/>
                    </w:rPr>
                  </w:pPr>
                  <w:r>
                    <w:rPr>
                      <w:rFonts w:ascii="Calibri" w:hAnsi="Calibri"/>
                      <w:color w:val="585858"/>
                      <w:spacing w:val="-1"/>
                      <w:sz w:val="18"/>
                    </w:rPr>
                    <w:t>A</w:t>
                  </w:r>
                  <w:r>
                    <w:rPr>
                      <w:rFonts w:ascii="Calibri" w:hAnsi="Calibri"/>
                      <w:color w:val="585858"/>
                      <w:spacing w:val="1"/>
                      <w:sz w:val="18"/>
                    </w:rPr>
                    <w:t>ñ</w:t>
                  </w:r>
                  <w:r>
                    <w:rPr>
                      <w:rFonts w:ascii="Calibri" w:hAnsi="Calibri"/>
                      <w:color w:val="585858"/>
                      <w:sz w:val="18"/>
                    </w:rPr>
                    <w:t>o</w:t>
                  </w:r>
                  <w:r>
                    <w:rPr>
                      <w:rFonts w:ascii="Calibri" w:hAnsi="Calibri"/>
                      <w:color w:val="585858"/>
                      <w:spacing w:val="-2"/>
                      <w:sz w:val="18"/>
                    </w:rPr>
                    <w:t> </w:t>
                  </w:r>
                  <w:r>
                    <w:rPr>
                      <w:rFonts w:ascii="Calibri" w:hAnsi="Calibri"/>
                      <w:color w:val="585858"/>
                      <w:sz w:val="18"/>
                    </w:rPr>
                    <w:t>2008</w:t>
                  </w:r>
                </w:p>
                <w:p>
                  <w:pPr>
                    <w:spacing w:before="88"/>
                    <w:ind w:left="20" w:right="0" w:firstLine="0"/>
                    <w:jc w:val="left"/>
                    <w:rPr>
                      <w:rFonts w:ascii="Calibri" w:hAnsi="Calibri"/>
                      <w:sz w:val="18"/>
                    </w:rPr>
                  </w:pPr>
                  <w:r>
                    <w:rPr>
                      <w:rFonts w:ascii="Calibri" w:hAnsi="Calibri"/>
                      <w:color w:val="585858"/>
                      <w:spacing w:val="-1"/>
                      <w:sz w:val="18"/>
                    </w:rPr>
                    <w:t>A</w:t>
                  </w:r>
                  <w:r>
                    <w:rPr>
                      <w:rFonts w:ascii="Calibri" w:hAnsi="Calibri"/>
                      <w:color w:val="585858"/>
                      <w:spacing w:val="1"/>
                      <w:sz w:val="18"/>
                    </w:rPr>
                    <w:t>ñ</w:t>
                  </w:r>
                  <w:r>
                    <w:rPr>
                      <w:rFonts w:ascii="Calibri" w:hAnsi="Calibri"/>
                      <w:color w:val="585858"/>
                      <w:sz w:val="18"/>
                    </w:rPr>
                    <w:t>o</w:t>
                  </w:r>
                  <w:r>
                    <w:rPr>
                      <w:rFonts w:ascii="Calibri" w:hAnsi="Calibri"/>
                      <w:color w:val="585858"/>
                      <w:spacing w:val="-2"/>
                      <w:sz w:val="18"/>
                    </w:rPr>
                    <w:t> </w:t>
                  </w:r>
                  <w:r>
                    <w:rPr>
                      <w:rFonts w:ascii="Calibri" w:hAnsi="Calibri"/>
                      <w:color w:val="585858"/>
                      <w:sz w:val="18"/>
                    </w:rPr>
                    <w:t>2009</w:t>
                  </w:r>
                </w:p>
                <w:p>
                  <w:pPr>
                    <w:spacing w:before="88"/>
                    <w:ind w:left="20" w:right="0" w:firstLine="0"/>
                    <w:jc w:val="left"/>
                    <w:rPr>
                      <w:rFonts w:ascii="Calibri" w:hAnsi="Calibri"/>
                      <w:sz w:val="18"/>
                    </w:rPr>
                  </w:pPr>
                  <w:r>
                    <w:rPr>
                      <w:rFonts w:ascii="Calibri" w:hAnsi="Calibri"/>
                      <w:color w:val="585858"/>
                      <w:spacing w:val="-1"/>
                      <w:sz w:val="18"/>
                    </w:rPr>
                    <w:t>A</w:t>
                  </w:r>
                  <w:r>
                    <w:rPr>
                      <w:rFonts w:ascii="Calibri" w:hAnsi="Calibri"/>
                      <w:color w:val="585858"/>
                      <w:spacing w:val="1"/>
                      <w:sz w:val="18"/>
                    </w:rPr>
                    <w:t>ñ</w:t>
                  </w:r>
                  <w:r>
                    <w:rPr>
                      <w:rFonts w:ascii="Calibri" w:hAnsi="Calibri"/>
                      <w:color w:val="585858"/>
                      <w:sz w:val="18"/>
                    </w:rPr>
                    <w:t>o</w:t>
                  </w:r>
                  <w:r>
                    <w:rPr>
                      <w:rFonts w:ascii="Calibri" w:hAnsi="Calibri"/>
                      <w:color w:val="585858"/>
                      <w:spacing w:val="-2"/>
                      <w:sz w:val="18"/>
                    </w:rPr>
                    <w:t> </w:t>
                  </w:r>
                  <w:r>
                    <w:rPr>
                      <w:rFonts w:ascii="Calibri" w:hAnsi="Calibri"/>
                      <w:color w:val="585858"/>
                      <w:sz w:val="18"/>
                    </w:rPr>
                    <w:t>2010</w:t>
                  </w:r>
                </w:p>
                <w:p>
                  <w:pPr>
                    <w:spacing w:before="88"/>
                    <w:ind w:left="20" w:right="0" w:firstLine="0"/>
                    <w:jc w:val="left"/>
                    <w:rPr>
                      <w:rFonts w:ascii="Calibri" w:hAnsi="Calibri"/>
                      <w:sz w:val="18"/>
                    </w:rPr>
                  </w:pPr>
                  <w:r>
                    <w:rPr>
                      <w:rFonts w:ascii="Calibri" w:hAnsi="Calibri"/>
                      <w:color w:val="585858"/>
                      <w:spacing w:val="-1"/>
                      <w:sz w:val="18"/>
                    </w:rPr>
                    <w:t>A</w:t>
                  </w:r>
                  <w:r>
                    <w:rPr>
                      <w:rFonts w:ascii="Calibri" w:hAnsi="Calibri"/>
                      <w:color w:val="585858"/>
                      <w:spacing w:val="1"/>
                      <w:sz w:val="18"/>
                    </w:rPr>
                    <w:t>ñ</w:t>
                  </w:r>
                  <w:r>
                    <w:rPr>
                      <w:rFonts w:ascii="Calibri" w:hAnsi="Calibri"/>
                      <w:color w:val="585858"/>
                      <w:sz w:val="18"/>
                    </w:rPr>
                    <w:t>o</w:t>
                  </w:r>
                  <w:r>
                    <w:rPr>
                      <w:rFonts w:ascii="Calibri" w:hAnsi="Calibri"/>
                      <w:color w:val="585858"/>
                      <w:spacing w:val="-2"/>
                      <w:sz w:val="18"/>
                    </w:rPr>
                    <w:t> </w:t>
                  </w:r>
                  <w:r>
                    <w:rPr>
                      <w:rFonts w:ascii="Calibri" w:hAnsi="Calibri"/>
                      <w:color w:val="585858"/>
                      <w:sz w:val="18"/>
                    </w:rPr>
                    <w:t>2011</w:t>
                  </w:r>
                </w:p>
                <w:p>
                  <w:pPr>
                    <w:spacing w:before="88"/>
                    <w:ind w:left="20" w:right="0" w:firstLine="0"/>
                    <w:jc w:val="left"/>
                    <w:rPr>
                      <w:rFonts w:ascii="Calibri" w:hAnsi="Calibri"/>
                      <w:sz w:val="18"/>
                    </w:rPr>
                  </w:pPr>
                  <w:r>
                    <w:rPr>
                      <w:rFonts w:ascii="Calibri" w:hAnsi="Calibri"/>
                      <w:color w:val="585858"/>
                      <w:spacing w:val="-1"/>
                      <w:sz w:val="18"/>
                    </w:rPr>
                    <w:t>A</w:t>
                  </w:r>
                  <w:r>
                    <w:rPr>
                      <w:rFonts w:ascii="Calibri" w:hAnsi="Calibri"/>
                      <w:color w:val="585858"/>
                      <w:spacing w:val="1"/>
                      <w:sz w:val="18"/>
                    </w:rPr>
                    <w:t>ñ</w:t>
                  </w:r>
                  <w:r>
                    <w:rPr>
                      <w:rFonts w:ascii="Calibri" w:hAnsi="Calibri"/>
                      <w:color w:val="585858"/>
                      <w:sz w:val="18"/>
                    </w:rPr>
                    <w:t>o</w:t>
                  </w:r>
                  <w:r>
                    <w:rPr>
                      <w:rFonts w:ascii="Calibri" w:hAnsi="Calibri"/>
                      <w:color w:val="585858"/>
                      <w:spacing w:val="-2"/>
                      <w:sz w:val="18"/>
                    </w:rPr>
                    <w:t> </w:t>
                  </w:r>
                  <w:r>
                    <w:rPr>
                      <w:rFonts w:ascii="Calibri" w:hAnsi="Calibri"/>
                      <w:color w:val="585858"/>
                      <w:sz w:val="18"/>
                    </w:rPr>
                    <w:t>2012</w:t>
                  </w:r>
                </w:p>
                <w:p>
                  <w:pPr>
                    <w:spacing w:before="88"/>
                    <w:ind w:left="20" w:right="0" w:firstLine="0"/>
                    <w:jc w:val="left"/>
                    <w:rPr>
                      <w:rFonts w:ascii="Calibri" w:hAnsi="Calibri"/>
                      <w:sz w:val="18"/>
                    </w:rPr>
                  </w:pPr>
                  <w:r>
                    <w:rPr>
                      <w:rFonts w:ascii="Calibri" w:hAnsi="Calibri"/>
                      <w:color w:val="585858"/>
                      <w:spacing w:val="-1"/>
                      <w:sz w:val="18"/>
                    </w:rPr>
                    <w:t>A</w:t>
                  </w:r>
                  <w:r>
                    <w:rPr>
                      <w:rFonts w:ascii="Calibri" w:hAnsi="Calibri"/>
                      <w:color w:val="585858"/>
                      <w:spacing w:val="1"/>
                      <w:sz w:val="18"/>
                    </w:rPr>
                    <w:t>ñ</w:t>
                  </w:r>
                  <w:r>
                    <w:rPr>
                      <w:rFonts w:ascii="Calibri" w:hAnsi="Calibri"/>
                      <w:color w:val="585858"/>
                      <w:sz w:val="18"/>
                    </w:rPr>
                    <w:t>o</w:t>
                  </w:r>
                  <w:r>
                    <w:rPr>
                      <w:rFonts w:ascii="Calibri" w:hAnsi="Calibri"/>
                      <w:color w:val="585858"/>
                      <w:spacing w:val="-2"/>
                      <w:sz w:val="18"/>
                    </w:rPr>
                    <w:t> </w:t>
                  </w:r>
                  <w:r>
                    <w:rPr>
                      <w:rFonts w:ascii="Calibri" w:hAnsi="Calibri"/>
                      <w:color w:val="585858"/>
                      <w:sz w:val="18"/>
                    </w:rPr>
                    <w:t>2013</w:t>
                  </w:r>
                </w:p>
                <w:p>
                  <w:pPr>
                    <w:spacing w:before="88"/>
                    <w:ind w:left="20" w:right="0" w:firstLine="0"/>
                    <w:jc w:val="left"/>
                    <w:rPr>
                      <w:rFonts w:ascii="Calibri" w:hAnsi="Calibri"/>
                      <w:sz w:val="18"/>
                    </w:rPr>
                  </w:pPr>
                  <w:r>
                    <w:rPr>
                      <w:rFonts w:ascii="Calibri" w:hAnsi="Calibri"/>
                      <w:color w:val="585858"/>
                      <w:spacing w:val="-1"/>
                      <w:sz w:val="18"/>
                    </w:rPr>
                    <w:t>A</w:t>
                  </w:r>
                  <w:r>
                    <w:rPr>
                      <w:rFonts w:ascii="Calibri" w:hAnsi="Calibri"/>
                      <w:color w:val="585858"/>
                      <w:spacing w:val="1"/>
                      <w:sz w:val="18"/>
                    </w:rPr>
                    <w:t>ñ</w:t>
                  </w:r>
                  <w:r>
                    <w:rPr>
                      <w:rFonts w:ascii="Calibri" w:hAnsi="Calibri"/>
                      <w:color w:val="585858"/>
                      <w:sz w:val="18"/>
                    </w:rPr>
                    <w:t>o</w:t>
                  </w:r>
                  <w:r>
                    <w:rPr>
                      <w:rFonts w:ascii="Calibri" w:hAnsi="Calibri"/>
                      <w:color w:val="585858"/>
                      <w:spacing w:val="-2"/>
                      <w:sz w:val="18"/>
                    </w:rPr>
                    <w:t> </w:t>
                  </w:r>
                  <w:r>
                    <w:rPr>
                      <w:rFonts w:ascii="Calibri" w:hAnsi="Calibri"/>
                      <w:color w:val="585858"/>
                      <w:sz w:val="18"/>
                    </w:rPr>
                    <w:t>2014</w:t>
                  </w:r>
                </w:p>
                <w:p>
                  <w:pPr>
                    <w:spacing w:before="88"/>
                    <w:ind w:left="20" w:right="0" w:firstLine="0"/>
                    <w:jc w:val="left"/>
                    <w:rPr>
                      <w:rFonts w:ascii="Calibri" w:hAnsi="Calibri"/>
                      <w:sz w:val="18"/>
                    </w:rPr>
                  </w:pPr>
                  <w:r>
                    <w:rPr>
                      <w:rFonts w:ascii="Calibri" w:hAnsi="Calibri"/>
                      <w:color w:val="585858"/>
                      <w:spacing w:val="-1"/>
                      <w:sz w:val="18"/>
                    </w:rPr>
                    <w:t>A</w:t>
                  </w:r>
                  <w:r>
                    <w:rPr>
                      <w:rFonts w:ascii="Calibri" w:hAnsi="Calibri"/>
                      <w:color w:val="585858"/>
                      <w:spacing w:val="1"/>
                      <w:sz w:val="18"/>
                    </w:rPr>
                    <w:t>ñ</w:t>
                  </w:r>
                  <w:r>
                    <w:rPr>
                      <w:rFonts w:ascii="Calibri" w:hAnsi="Calibri"/>
                      <w:color w:val="585858"/>
                      <w:sz w:val="18"/>
                    </w:rPr>
                    <w:t>o</w:t>
                  </w:r>
                  <w:r>
                    <w:rPr>
                      <w:rFonts w:ascii="Calibri" w:hAnsi="Calibri"/>
                      <w:color w:val="585858"/>
                      <w:spacing w:val="-2"/>
                      <w:sz w:val="18"/>
                    </w:rPr>
                    <w:t> </w:t>
                  </w:r>
                  <w:r>
                    <w:rPr>
                      <w:rFonts w:ascii="Calibri" w:hAnsi="Calibri"/>
                      <w:color w:val="585858"/>
                      <w:sz w:val="18"/>
                    </w:rPr>
                    <w:t>2015</w:t>
                  </w:r>
                </w:p>
              </w:txbxContent>
            </v:textbox>
            <w10:wrap type="none"/>
          </v:shape>
        </w:pict>
      </w:r>
      <w:r>
        <w:rPr>
          <w:sz w:val="18"/>
        </w:rPr>
        <w:t>Fuente:</w:t>
        <w:tab/>
        <w:t>Elaboración</w:t>
        <w:tab/>
        <w:t>propia</w:t>
        <w:tab/>
        <w:t>con</w:t>
        <w:tab/>
        <w:t>datos</w:t>
        <w:tab/>
        <w:t>de</w:t>
        <w:tab/>
        <w:t>transparencia</w:t>
        <w:tab/>
      </w:r>
      <w:r>
        <w:rPr>
          <w:spacing w:val="-1"/>
          <w:sz w:val="18"/>
        </w:rPr>
        <w:t>internacional </w:t>
      </w:r>
      <w:hyperlink r:id="rId58">
        <w:r>
          <w:rPr>
            <w:color w:val="0462C1"/>
            <w:sz w:val="18"/>
            <w:u w:val="single" w:color="0462C1"/>
          </w:rPr>
          <w:t>https://www.transparency.org/research/cpi/cpi_1998/0/#results</w:t>
        </w:r>
        <w:r>
          <w:rPr>
            <w:color w:val="0462C1"/>
            <w:spacing w:val="-26"/>
            <w:sz w:val="18"/>
            <w:u w:val="single" w:color="0462C1"/>
          </w:rPr>
          <w:t> </w:t>
        </w:r>
      </w:hyperlink>
      <w:r>
        <w:rPr>
          <w:sz w:val="18"/>
        </w:rPr>
        <w:t>[18-11-2016]</w:t>
      </w:r>
    </w:p>
    <w:p>
      <w:pPr>
        <w:pStyle w:val="BodyText"/>
        <w:rPr>
          <w:sz w:val="20"/>
        </w:rPr>
      </w:pPr>
    </w:p>
    <w:p>
      <w:pPr>
        <w:pStyle w:val="BodyText"/>
        <w:rPr>
          <w:sz w:val="20"/>
        </w:rPr>
      </w:pPr>
    </w:p>
    <w:p>
      <w:pPr>
        <w:pStyle w:val="BodyText"/>
        <w:spacing w:before="8"/>
        <w:rPr>
          <w:sz w:val="17"/>
        </w:rPr>
      </w:pPr>
    </w:p>
    <w:p>
      <w:pPr>
        <w:pStyle w:val="BodyText"/>
        <w:spacing w:line="360" w:lineRule="auto" w:before="70"/>
        <w:ind w:left="122" w:right="115"/>
        <w:jc w:val="both"/>
      </w:pPr>
      <w:r>
        <w:rPr/>
        <w:t>Es importante destacar que fue a partir del año 2002 cuando se creó la ley de transparencia en México, así como un año después se creó el INAI para vigilar la transparencia de las instituciones de la Administración Pública Federal. Los resultados no han sido satisfactorio ya que reflejan el incremento de corrupción a nivel internacional.</w:t>
      </w:r>
    </w:p>
    <w:p>
      <w:pPr>
        <w:pStyle w:val="BodyText"/>
        <w:rPr>
          <w:sz w:val="20"/>
        </w:rPr>
      </w:pPr>
    </w:p>
    <w:p>
      <w:pPr>
        <w:pStyle w:val="BodyText"/>
        <w:rPr>
          <w:sz w:val="20"/>
        </w:rPr>
      </w:pPr>
    </w:p>
    <w:p>
      <w:pPr>
        <w:pStyle w:val="BodyText"/>
        <w:rPr>
          <w:sz w:val="26"/>
        </w:rPr>
      </w:pPr>
      <w:r>
        <w:rPr/>
        <w:pict>
          <v:line style="position:absolute;mso-position-horizontal-relative:page;mso-position-vertical-relative:paragraph;z-index:3352;mso-wrap-distance-left:0;mso-wrap-distance-right:0" from="85.103996pt,17.311846pt" to="229.123996pt,17.311846pt" stroked="true" strokeweight=".72003pt" strokecolor="#000000">
            <w10:wrap type="topAndBottom"/>
          </v:line>
        </w:pict>
      </w:r>
    </w:p>
    <w:p>
      <w:pPr>
        <w:spacing w:line="242" w:lineRule="auto" w:before="66"/>
        <w:ind w:left="122" w:right="-15" w:firstLine="0"/>
        <w:jc w:val="left"/>
        <w:rPr>
          <w:sz w:val="14"/>
        </w:rPr>
      </w:pPr>
      <w:r>
        <w:rPr>
          <w:position w:val="5"/>
          <w:sz w:val="9"/>
        </w:rPr>
        <w:t>24 </w:t>
      </w:r>
      <w:r>
        <w:rPr>
          <w:sz w:val="14"/>
        </w:rPr>
        <w:t>Índice de Percepción de la Corrupción. Disponible en </w:t>
      </w:r>
      <w:hyperlink r:id="rId58">
        <w:r>
          <w:rPr>
            <w:color w:val="0462C1"/>
            <w:sz w:val="14"/>
            <w:u w:val="single" w:color="0462C1"/>
          </w:rPr>
          <w:t>https://www.transparency.org/research/cpi/cpi_1998/0/#results </w:t>
        </w:r>
      </w:hyperlink>
      <w:r>
        <w:rPr>
          <w:sz w:val="14"/>
        </w:rPr>
        <w:t>[Consultado el 18 de diciembre de 2016].</w:t>
      </w:r>
    </w:p>
    <w:p>
      <w:pPr>
        <w:spacing w:after="0" w:line="242" w:lineRule="auto"/>
        <w:jc w:val="left"/>
        <w:rPr>
          <w:sz w:val="14"/>
        </w:rPr>
        <w:sectPr>
          <w:pgSz w:w="12240" w:h="15840"/>
          <w:pgMar w:header="0" w:footer="1035" w:top="1360" w:bottom="1220" w:left="1580" w:right="1580"/>
        </w:sectPr>
      </w:pPr>
    </w:p>
    <w:p>
      <w:pPr>
        <w:pStyle w:val="BodyText"/>
        <w:rPr>
          <w:sz w:val="20"/>
        </w:rPr>
      </w:pPr>
    </w:p>
    <w:p>
      <w:pPr>
        <w:pStyle w:val="BodyText"/>
        <w:spacing w:before="7"/>
        <w:rPr>
          <w:sz w:val="16"/>
        </w:rPr>
      </w:pPr>
    </w:p>
    <w:p>
      <w:pPr>
        <w:pStyle w:val="BodyText"/>
        <w:spacing w:line="360" w:lineRule="auto" w:before="69"/>
        <w:ind w:left="102" w:right="115"/>
        <w:jc w:val="both"/>
      </w:pPr>
      <w:r>
        <w:rPr/>
        <w:t>En este tenor, cabe destacar que a nivel internacional en el siguiente mapa se muestra</w:t>
      </w:r>
      <w:r>
        <w:rPr>
          <w:spacing w:val="-9"/>
        </w:rPr>
        <w:t> </w:t>
      </w:r>
      <w:r>
        <w:rPr/>
        <w:t>cómo</w:t>
      </w:r>
      <w:r>
        <w:rPr>
          <w:spacing w:val="-8"/>
        </w:rPr>
        <w:t> </w:t>
      </w:r>
      <w:r>
        <w:rPr/>
        <w:t>los</w:t>
      </w:r>
      <w:r>
        <w:rPr>
          <w:spacing w:val="-11"/>
        </w:rPr>
        <w:t> </w:t>
      </w:r>
      <w:r>
        <w:rPr/>
        <w:t>países</w:t>
      </w:r>
      <w:r>
        <w:rPr>
          <w:spacing w:val="-9"/>
        </w:rPr>
        <w:t> </w:t>
      </w:r>
      <w:r>
        <w:rPr/>
        <w:t>de</w:t>
      </w:r>
      <w:r>
        <w:rPr>
          <w:spacing w:val="-11"/>
        </w:rPr>
        <w:t> </w:t>
      </w:r>
      <w:r>
        <w:rPr/>
        <w:t>Europa</w:t>
      </w:r>
      <w:r>
        <w:rPr>
          <w:spacing w:val="-11"/>
        </w:rPr>
        <w:t> </w:t>
      </w:r>
      <w:r>
        <w:rPr/>
        <w:t>del</w:t>
      </w:r>
      <w:r>
        <w:rPr>
          <w:spacing w:val="-10"/>
        </w:rPr>
        <w:t> </w:t>
      </w:r>
      <w:r>
        <w:rPr/>
        <w:t>Norte,</w:t>
      </w:r>
      <w:r>
        <w:rPr>
          <w:spacing w:val="-9"/>
        </w:rPr>
        <w:t> </w:t>
      </w:r>
      <w:r>
        <w:rPr/>
        <w:t>América</w:t>
      </w:r>
      <w:r>
        <w:rPr>
          <w:spacing w:val="-11"/>
        </w:rPr>
        <w:t> </w:t>
      </w:r>
      <w:r>
        <w:rPr/>
        <w:t>del</w:t>
      </w:r>
      <w:r>
        <w:rPr>
          <w:spacing w:val="-12"/>
        </w:rPr>
        <w:t> </w:t>
      </w:r>
      <w:r>
        <w:rPr/>
        <w:t>Norte</w:t>
      </w:r>
      <w:r>
        <w:rPr>
          <w:spacing w:val="-10"/>
        </w:rPr>
        <w:t> </w:t>
      </w:r>
      <w:r>
        <w:rPr/>
        <w:t>y</w:t>
      </w:r>
      <w:r>
        <w:rPr>
          <w:spacing w:val="-12"/>
        </w:rPr>
        <w:t> </w:t>
      </w:r>
      <w:r>
        <w:rPr/>
        <w:t>Australia</w:t>
      </w:r>
      <w:r>
        <w:rPr>
          <w:spacing w:val="-8"/>
        </w:rPr>
        <w:t> </w:t>
      </w:r>
      <w:r>
        <w:rPr/>
        <w:t>son</w:t>
      </w:r>
      <w:r>
        <w:rPr>
          <w:spacing w:val="-6"/>
        </w:rPr>
        <w:t> </w:t>
      </w:r>
      <w:r>
        <w:rPr/>
        <w:t>los más transparentes. Asimismo, que muchos de los países de Medio Oriente son los menos</w:t>
      </w:r>
      <w:r>
        <w:rPr>
          <w:spacing w:val="-6"/>
        </w:rPr>
        <w:t> </w:t>
      </w:r>
      <w:r>
        <w:rPr/>
        <w:t>opacos.</w:t>
      </w:r>
    </w:p>
    <w:p>
      <w:pPr>
        <w:pStyle w:val="BodyText"/>
      </w:pPr>
    </w:p>
    <w:p>
      <w:pPr>
        <w:pStyle w:val="BodyText"/>
      </w:pPr>
    </w:p>
    <w:p>
      <w:pPr>
        <w:pStyle w:val="BodyText"/>
        <w:spacing w:line="360" w:lineRule="auto" w:before="185"/>
        <w:ind w:left="102" w:right="116"/>
        <w:jc w:val="both"/>
      </w:pPr>
      <w:r>
        <w:rPr/>
        <w:t>En tanto que México sigue estando dentro de los países más corruptos del mundo, los cuales se identifican en color rojo, versus los países más transparentes que se identifican en amarillo.</w:t>
      </w:r>
    </w:p>
    <w:p>
      <w:pPr>
        <w:pStyle w:val="BodyText"/>
        <w:rPr>
          <w:sz w:val="20"/>
        </w:rPr>
      </w:pPr>
    </w:p>
    <w:p>
      <w:pPr>
        <w:pStyle w:val="BodyText"/>
        <w:rPr>
          <w:sz w:val="20"/>
        </w:rPr>
      </w:pPr>
    </w:p>
    <w:p>
      <w:pPr>
        <w:pStyle w:val="BodyText"/>
        <w:spacing w:before="3"/>
        <w:rPr>
          <w:sz w:val="28"/>
        </w:rPr>
      </w:pPr>
      <w:r>
        <w:rPr/>
        <w:pict>
          <v:group style="position:absolute;margin-left:108pt;margin-top:18.225874pt;width:363.2pt;height:286.55pt;mso-position-horizontal-relative:page;mso-position-vertical-relative:paragraph;z-index:3808;mso-wrap-distance-left:0;mso-wrap-distance-right:0" coordorigin="2160,365" coordsize="7264,5731">
            <v:shape style="position:absolute;left:2160;top:700;width:7264;height:5396" type="#_x0000_t75" stroked="false">
              <v:imagedata r:id="rId59" o:title=""/>
            </v:shape>
            <v:rect style="position:absolute;left:2175;top:365;width:6900;height:450" filled="true" fillcolor="#ffffff" stroked="false">
              <v:fill type="solid"/>
            </v:rect>
            <v:shape style="position:absolute;left:3396;top:486;width:4455;height:221" type="#_x0000_t202" filled="false" stroked="false">
              <v:textbox inset="0,0,0,0">
                <w:txbxContent>
                  <w:p>
                    <w:pPr>
                      <w:spacing w:line="221" w:lineRule="exact" w:before="0"/>
                      <w:ind w:left="0" w:right="-19" w:firstLine="0"/>
                      <w:jc w:val="left"/>
                      <w:rPr>
                        <w:rFonts w:ascii="Calibri" w:hAnsi="Calibri"/>
                        <w:b/>
                        <w:sz w:val="22"/>
                      </w:rPr>
                    </w:pPr>
                    <w:r>
                      <w:rPr>
                        <w:rFonts w:ascii="Calibri" w:hAnsi="Calibri"/>
                        <w:b/>
                        <w:color w:val="2E5395"/>
                        <w:sz w:val="22"/>
                      </w:rPr>
                      <w:t>Mapa 2.1 .Mapa mundial de la corrupción (2015)</w:t>
                    </w:r>
                  </w:p>
                </w:txbxContent>
              </v:textbox>
              <w10:wrap type="none"/>
            </v:shape>
            <w10:wrap type="topAndBottom"/>
          </v:group>
        </w:pict>
      </w:r>
    </w:p>
    <w:p>
      <w:pPr>
        <w:pStyle w:val="BodyText"/>
        <w:spacing w:before="10"/>
        <w:rPr>
          <w:sz w:val="22"/>
        </w:rPr>
      </w:pPr>
    </w:p>
    <w:p>
      <w:pPr>
        <w:spacing w:line="360" w:lineRule="auto" w:before="0"/>
        <w:ind w:left="954" w:right="2178" w:firstLine="0"/>
        <w:jc w:val="left"/>
        <w:rPr>
          <w:sz w:val="18"/>
        </w:rPr>
      </w:pPr>
      <w:r>
        <w:rPr>
          <w:sz w:val="18"/>
        </w:rPr>
        <w:t>Fuente: Transparencia internacional </w:t>
      </w:r>
      <w:hyperlink r:id="rId60">
        <w:r>
          <w:rPr>
            <w:color w:val="0462C1"/>
            <w:sz w:val="18"/>
            <w:u w:val="single" w:color="0462C1"/>
          </w:rPr>
          <w:t>http://transparencia.org.es/wp-</w:t>
        </w:r>
      </w:hyperlink>
      <w:r>
        <w:rPr>
          <w:color w:val="0462C1"/>
          <w:sz w:val="18"/>
          <w:u w:val="single" w:color="0462C1"/>
        </w:rPr>
        <w:t> </w:t>
      </w:r>
      <w:hyperlink r:id="rId60">
        <w:r>
          <w:rPr>
            <w:color w:val="0462C1"/>
            <w:sz w:val="18"/>
            <w:u w:val="single" w:color="0462C1"/>
          </w:rPr>
          <w:t>content/uploads/2016/01/mapa_ipc-2015.pdf </w:t>
        </w:r>
      </w:hyperlink>
      <w:r>
        <w:rPr>
          <w:sz w:val="18"/>
        </w:rPr>
        <w:t>[Consultados el 01-11-2016].</w:t>
      </w:r>
    </w:p>
    <w:p>
      <w:pPr>
        <w:pStyle w:val="BodyText"/>
        <w:rPr>
          <w:sz w:val="20"/>
        </w:rPr>
      </w:pPr>
    </w:p>
    <w:p>
      <w:pPr>
        <w:pStyle w:val="BodyText"/>
        <w:spacing w:before="10"/>
        <w:rPr>
          <w:sz w:val="28"/>
        </w:rPr>
      </w:pPr>
    </w:p>
    <w:p>
      <w:pPr>
        <w:pStyle w:val="BodyText"/>
        <w:spacing w:line="360" w:lineRule="auto" w:before="70"/>
        <w:ind w:left="102"/>
      </w:pPr>
      <w:r>
        <w:rPr/>
        <w:t>Este mapa refleja que los países más transparentes son los europeos, tales como Dinamarca, Finlandia, Noruega, Singapur y Suecia. En Australia destaca Nueva</w:t>
      </w:r>
    </w:p>
    <w:p>
      <w:pPr>
        <w:spacing w:after="0" w:line="360" w:lineRule="auto"/>
        <w:sectPr>
          <w:pgSz w:w="12240" w:h="15840"/>
          <w:pgMar w:header="0" w:footer="1035" w:top="1500" w:bottom="1220" w:left="1600" w:right="1580"/>
        </w:sectPr>
      </w:pPr>
    </w:p>
    <w:p>
      <w:pPr>
        <w:pStyle w:val="BodyText"/>
        <w:spacing w:line="360" w:lineRule="auto" w:before="54"/>
        <w:ind w:left="102" w:right="125"/>
        <w:jc w:val="both"/>
      </w:pPr>
      <w:r>
        <w:rPr/>
        <w:t>Zelanda. En tanto que los países americanos se ven apuntalados por Canadá, Estado Unidos, Uruguay y Chile. Es importante señalar que en este índice México ocupó el lugar 95 de 175 Estas mediciones de corrupción lo comparan con países tales como Argentina, Bolivia, Gabón y Nigeria.</w:t>
      </w:r>
    </w:p>
    <w:p>
      <w:pPr>
        <w:pStyle w:val="BodyText"/>
      </w:pPr>
    </w:p>
    <w:p>
      <w:pPr>
        <w:pStyle w:val="BodyText"/>
      </w:pPr>
    </w:p>
    <w:p>
      <w:pPr>
        <w:pStyle w:val="BodyText"/>
        <w:spacing w:line="360" w:lineRule="auto" w:before="185"/>
        <w:ind w:left="102" w:right="116"/>
        <w:jc w:val="both"/>
      </w:pPr>
      <w:r>
        <w:rPr/>
        <w:t>Llama</w:t>
      </w:r>
      <w:r>
        <w:rPr>
          <w:spacing w:val="-6"/>
        </w:rPr>
        <w:t> </w:t>
      </w:r>
      <w:r>
        <w:rPr/>
        <w:t>la</w:t>
      </w:r>
      <w:r>
        <w:rPr>
          <w:spacing w:val="-6"/>
        </w:rPr>
        <w:t> </w:t>
      </w:r>
      <w:r>
        <w:rPr/>
        <w:t>atención</w:t>
      </w:r>
      <w:r>
        <w:rPr>
          <w:spacing w:val="-6"/>
        </w:rPr>
        <w:t> </w:t>
      </w:r>
      <w:r>
        <w:rPr/>
        <w:t>que</w:t>
      </w:r>
      <w:r>
        <w:rPr>
          <w:spacing w:val="-8"/>
        </w:rPr>
        <w:t> </w:t>
      </w:r>
      <w:r>
        <w:rPr/>
        <w:t>México</w:t>
      </w:r>
      <w:r>
        <w:rPr>
          <w:spacing w:val="-6"/>
        </w:rPr>
        <w:t> </w:t>
      </w:r>
      <w:r>
        <w:rPr/>
        <w:t>inició</w:t>
      </w:r>
      <w:r>
        <w:rPr>
          <w:spacing w:val="-6"/>
        </w:rPr>
        <w:t> </w:t>
      </w:r>
      <w:r>
        <w:rPr/>
        <w:t>su</w:t>
      </w:r>
      <w:r>
        <w:rPr>
          <w:spacing w:val="-6"/>
        </w:rPr>
        <w:t> </w:t>
      </w:r>
      <w:r>
        <w:rPr/>
        <w:t>camino</w:t>
      </w:r>
      <w:r>
        <w:rPr>
          <w:spacing w:val="-6"/>
        </w:rPr>
        <w:t> </w:t>
      </w:r>
      <w:r>
        <w:rPr/>
        <w:t>democrático</w:t>
      </w:r>
      <w:r>
        <w:rPr>
          <w:spacing w:val="-6"/>
        </w:rPr>
        <w:t> </w:t>
      </w:r>
      <w:r>
        <w:rPr/>
        <w:t>en</w:t>
      </w:r>
      <w:r>
        <w:rPr>
          <w:spacing w:val="-6"/>
        </w:rPr>
        <w:t> </w:t>
      </w:r>
      <w:r>
        <w:rPr/>
        <w:t>el</w:t>
      </w:r>
      <w:r>
        <w:rPr>
          <w:spacing w:val="-10"/>
        </w:rPr>
        <w:t> </w:t>
      </w:r>
      <w:r>
        <w:rPr/>
        <w:t>año</w:t>
      </w:r>
      <w:r>
        <w:rPr>
          <w:spacing w:val="-6"/>
        </w:rPr>
        <w:t> </w:t>
      </w:r>
      <w:r>
        <w:rPr/>
        <w:t>2000,</w:t>
      </w:r>
      <w:r>
        <w:rPr>
          <w:spacing w:val="-6"/>
        </w:rPr>
        <w:t> </w:t>
      </w:r>
      <w:r>
        <w:rPr/>
        <w:t>cuando el Partido Acción Nacional (PAN) ganó la presidencia de los Estados Unidos Mexicanos poniendo fin al autoritarismo priista, que perduró por más de setenta años.</w:t>
      </w:r>
      <w:r>
        <w:rPr>
          <w:spacing w:val="-13"/>
        </w:rPr>
        <w:t> </w:t>
      </w:r>
      <w:r>
        <w:rPr/>
        <w:t>Sin</w:t>
      </w:r>
      <w:r>
        <w:rPr>
          <w:spacing w:val="-11"/>
        </w:rPr>
        <w:t> </w:t>
      </w:r>
      <w:r>
        <w:rPr/>
        <w:t>embargo,</w:t>
      </w:r>
      <w:r>
        <w:rPr>
          <w:spacing w:val="-11"/>
        </w:rPr>
        <w:t> </w:t>
      </w:r>
      <w:r>
        <w:rPr/>
        <w:t>los</w:t>
      </w:r>
      <w:r>
        <w:rPr>
          <w:spacing w:val="-13"/>
        </w:rPr>
        <w:t> </w:t>
      </w:r>
      <w:r>
        <w:rPr/>
        <w:t>niveles</w:t>
      </w:r>
      <w:r>
        <w:rPr>
          <w:spacing w:val="-11"/>
        </w:rPr>
        <w:t> </w:t>
      </w:r>
      <w:r>
        <w:rPr/>
        <w:t>de</w:t>
      </w:r>
      <w:r>
        <w:rPr>
          <w:spacing w:val="-11"/>
        </w:rPr>
        <w:t> </w:t>
      </w:r>
      <w:r>
        <w:rPr/>
        <w:t>corrupción</w:t>
      </w:r>
      <w:r>
        <w:rPr>
          <w:spacing w:val="-13"/>
        </w:rPr>
        <w:t> </w:t>
      </w:r>
      <w:r>
        <w:rPr/>
        <w:t>siguieron</w:t>
      </w:r>
      <w:r>
        <w:rPr>
          <w:spacing w:val="-11"/>
        </w:rPr>
        <w:t> </w:t>
      </w:r>
      <w:r>
        <w:rPr/>
        <w:t>incrementándose,</w:t>
      </w:r>
      <w:r>
        <w:rPr>
          <w:spacing w:val="-7"/>
        </w:rPr>
        <w:t> </w:t>
      </w:r>
      <w:r>
        <w:rPr/>
        <w:t>por</w:t>
      </w:r>
      <w:r>
        <w:rPr>
          <w:spacing w:val="-12"/>
        </w:rPr>
        <w:t> </w:t>
      </w:r>
      <w:r>
        <w:rPr/>
        <w:t>lo</w:t>
      </w:r>
      <w:r>
        <w:rPr>
          <w:spacing w:val="-11"/>
        </w:rPr>
        <w:t> </w:t>
      </w:r>
      <w:r>
        <w:rPr/>
        <w:t>que el cambio de partido no fue una variable que impactara en la transparencia mexicana.</w:t>
      </w:r>
    </w:p>
    <w:p>
      <w:pPr>
        <w:pStyle w:val="BodyText"/>
        <w:spacing w:line="360" w:lineRule="auto" w:before="163"/>
        <w:ind w:left="102" w:right="117"/>
        <w:jc w:val="both"/>
      </w:pPr>
      <w:r>
        <w:rPr/>
        <w:t>Contar</w:t>
      </w:r>
      <w:r>
        <w:rPr>
          <w:spacing w:val="-13"/>
        </w:rPr>
        <w:t> </w:t>
      </w:r>
      <w:r>
        <w:rPr/>
        <w:t>con</w:t>
      </w:r>
      <w:r>
        <w:rPr>
          <w:spacing w:val="-12"/>
        </w:rPr>
        <w:t> </w:t>
      </w:r>
      <w:r>
        <w:rPr/>
        <w:t>diversos</w:t>
      </w:r>
      <w:r>
        <w:rPr>
          <w:spacing w:val="-12"/>
        </w:rPr>
        <w:t> </w:t>
      </w:r>
      <w:r>
        <w:rPr/>
        <w:t>estudios</w:t>
      </w:r>
      <w:r>
        <w:rPr>
          <w:spacing w:val="-12"/>
        </w:rPr>
        <w:t> </w:t>
      </w:r>
      <w:r>
        <w:rPr/>
        <w:t>de</w:t>
      </w:r>
      <w:r>
        <w:rPr>
          <w:spacing w:val="-12"/>
        </w:rPr>
        <w:t> </w:t>
      </w:r>
      <w:r>
        <w:rPr/>
        <w:t>medición,</w:t>
      </w:r>
      <w:r>
        <w:rPr>
          <w:spacing w:val="-12"/>
        </w:rPr>
        <w:t> </w:t>
      </w:r>
      <w:r>
        <w:rPr/>
        <w:t>en</w:t>
      </w:r>
      <w:r>
        <w:rPr>
          <w:spacing w:val="-12"/>
        </w:rPr>
        <w:t> </w:t>
      </w:r>
      <w:r>
        <w:rPr/>
        <w:t>los</w:t>
      </w:r>
      <w:r>
        <w:rPr>
          <w:spacing w:val="-10"/>
        </w:rPr>
        <w:t> </w:t>
      </w:r>
      <w:r>
        <w:rPr/>
        <w:t>cuales</w:t>
      </w:r>
      <w:r>
        <w:rPr>
          <w:spacing w:val="-10"/>
        </w:rPr>
        <w:t> </w:t>
      </w:r>
      <w:r>
        <w:rPr/>
        <w:t>varían</w:t>
      </w:r>
      <w:r>
        <w:rPr>
          <w:spacing w:val="-9"/>
        </w:rPr>
        <w:t> </w:t>
      </w:r>
      <w:r>
        <w:rPr/>
        <w:t>los</w:t>
      </w:r>
      <w:r>
        <w:rPr>
          <w:spacing w:val="-12"/>
        </w:rPr>
        <w:t> </w:t>
      </w:r>
      <w:r>
        <w:rPr/>
        <w:t>resultados</w:t>
      </w:r>
      <w:r>
        <w:rPr>
          <w:spacing w:val="-10"/>
        </w:rPr>
        <w:t> </w:t>
      </w:r>
      <w:r>
        <w:rPr/>
        <w:t>sobre la transparencia representa un problema debido a que ésta, tal como señala Arellano (2007), implica establecer marcos específicos de medición y comparación para establecer estándares de comparación que permitan a los actores organizacionales involucrados medir los costos-beneficios de las interacciones entre estos. Las dependencias, sin embargo, se limitan a la publicación de cierto tipo</w:t>
      </w:r>
      <w:r>
        <w:rPr>
          <w:spacing w:val="-13"/>
        </w:rPr>
        <w:t> </w:t>
      </w:r>
      <w:r>
        <w:rPr/>
        <w:t>de</w:t>
      </w:r>
      <w:r>
        <w:rPr>
          <w:spacing w:val="-13"/>
        </w:rPr>
        <w:t> </w:t>
      </w:r>
      <w:r>
        <w:rPr/>
        <w:t>información</w:t>
      </w:r>
      <w:r>
        <w:rPr>
          <w:spacing w:val="-13"/>
        </w:rPr>
        <w:t> </w:t>
      </w:r>
      <w:r>
        <w:rPr/>
        <w:t>en</w:t>
      </w:r>
      <w:r>
        <w:rPr>
          <w:spacing w:val="-16"/>
        </w:rPr>
        <w:t> </w:t>
      </w:r>
      <w:r>
        <w:rPr/>
        <w:t>una</w:t>
      </w:r>
      <w:r>
        <w:rPr>
          <w:spacing w:val="-13"/>
        </w:rPr>
        <w:t> </w:t>
      </w:r>
      <w:r>
        <w:rPr/>
        <w:t>página</w:t>
      </w:r>
      <w:r>
        <w:rPr>
          <w:spacing w:val="-13"/>
        </w:rPr>
        <w:t> </w:t>
      </w:r>
      <w:r>
        <w:rPr/>
        <w:t>web.</w:t>
      </w:r>
      <w:r>
        <w:rPr>
          <w:spacing w:val="-13"/>
        </w:rPr>
        <w:t> </w:t>
      </w:r>
      <w:r>
        <w:rPr/>
        <w:t>De</w:t>
      </w:r>
      <w:r>
        <w:rPr>
          <w:spacing w:val="-13"/>
        </w:rPr>
        <w:t> </w:t>
      </w:r>
      <w:r>
        <w:rPr/>
        <w:t>igual</w:t>
      </w:r>
      <w:r>
        <w:rPr>
          <w:spacing w:val="-14"/>
        </w:rPr>
        <w:t> </w:t>
      </w:r>
      <w:r>
        <w:rPr/>
        <w:t>manera</w:t>
      </w:r>
      <w:r>
        <w:rPr>
          <w:spacing w:val="-14"/>
        </w:rPr>
        <w:t> </w:t>
      </w:r>
      <w:r>
        <w:rPr/>
        <w:t>otra</w:t>
      </w:r>
      <w:r>
        <w:rPr>
          <w:spacing w:val="-13"/>
        </w:rPr>
        <w:t> </w:t>
      </w:r>
      <w:r>
        <w:rPr/>
        <w:t>de</w:t>
      </w:r>
      <w:r>
        <w:rPr>
          <w:spacing w:val="-13"/>
        </w:rPr>
        <w:t> </w:t>
      </w:r>
      <w:r>
        <w:rPr/>
        <w:t>las</w:t>
      </w:r>
      <w:r>
        <w:rPr>
          <w:spacing w:val="-16"/>
        </w:rPr>
        <w:t> </w:t>
      </w:r>
      <w:r>
        <w:rPr/>
        <w:t>deficiencias</w:t>
      </w:r>
      <w:r>
        <w:rPr>
          <w:spacing w:val="-13"/>
        </w:rPr>
        <w:t> </w:t>
      </w:r>
      <w:r>
        <w:rPr/>
        <w:t>que tiene la transparencia en México es que los índices utilizados consideran otras variables, tales como corrupción, acceso a la información y rendición de cuentas, además</w:t>
      </w:r>
      <w:r>
        <w:rPr>
          <w:spacing w:val="-9"/>
        </w:rPr>
        <w:t> </w:t>
      </w:r>
      <w:r>
        <w:rPr/>
        <w:t>de</w:t>
      </w:r>
      <w:r>
        <w:rPr>
          <w:spacing w:val="-6"/>
        </w:rPr>
        <w:t> </w:t>
      </w:r>
      <w:r>
        <w:rPr/>
        <w:t>la</w:t>
      </w:r>
      <w:r>
        <w:rPr>
          <w:spacing w:val="-9"/>
        </w:rPr>
        <w:t> </w:t>
      </w:r>
      <w:r>
        <w:rPr/>
        <w:t>transparencia,</w:t>
      </w:r>
      <w:r>
        <w:rPr>
          <w:spacing w:val="-6"/>
        </w:rPr>
        <w:t> </w:t>
      </w:r>
      <w:r>
        <w:rPr/>
        <w:t>lo</w:t>
      </w:r>
      <w:r>
        <w:rPr>
          <w:spacing w:val="-9"/>
        </w:rPr>
        <w:t> </w:t>
      </w:r>
      <w:r>
        <w:rPr/>
        <w:t>que</w:t>
      </w:r>
      <w:r>
        <w:rPr>
          <w:spacing w:val="-6"/>
        </w:rPr>
        <w:t> </w:t>
      </w:r>
      <w:r>
        <w:rPr/>
        <w:t>dificulta</w:t>
      </w:r>
      <w:r>
        <w:rPr>
          <w:spacing w:val="-6"/>
        </w:rPr>
        <w:t> </w:t>
      </w:r>
      <w:r>
        <w:rPr/>
        <w:t>aún</w:t>
      </w:r>
      <w:r>
        <w:rPr>
          <w:spacing w:val="-8"/>
        </w:rPr>
        <w:t> </w:t>
      </w:r>
      <w:r>
        <w:rPr/>
        <w:t>más</w:t>
      </w:r>
      <w:r>
        <w:rPr>
          <w:spacing w:val="-7"/>
        </w:rPr>
        <w:t> </w:t>
      </w:r>
      <w:r>
        <w:rPr/>
        <w:t>la</w:t>
      </w:r>
      <w:r>
        <w:rPr>
          <w:spacing w:val="-9"/>
        </w:rPr>
        <w:t> </w:t>
      </w:r>
      <w:r>
        <w:rPr/>
        <w:t>precisión</w:t>
      </w:r>
      <w:r>
        <w:rPr>
          <w:spacing w:val="-8"/>
        </w:rPr>
        <w:t> </w:t>
      </w:r>
      <w:r>
        <w:rPr/>
        <w:t>de</w:t>
      </w:r>
      <w:r>
        <w:rPr>
          <w:spacing w:val="-8"/>
        </w:rPr>
        <w:t> </w:t>
      </w:r>
      <w:r>
        <w:rPr/>
        <w:t>los</w:t>
      </w:r>
      <w:r>
        <w:rPr>
          <w:spacing w:val="-6"/>
        </w:rPr>
        <w:t> </w:t>
      </w:r>
      <w:r>
        <w:rPr/>
        <w:t>indicadores para</w:t>
      </w:r>
      <w:r>
        <w:rPr>
          <w:spacing w:val="-5"/>
        </w:rPr>
        <w:t> </w:t>
      </w:r>
      <w:r>
        <w:rPr/>
        <w:t>medir</w:t>
      </w:r>
      <w:r>
        <w:rPr>
          <w:spacing w:val="-7"/>
        </w:rPr>
        <w:t> </w:t>
      </w:r>
      <w:r>
        <w:rPr/>
        <w:t>la</w:t>
      </w:r>
      <w:r>
        <w:rPr>
          <w:spacing w:val="-5"/>
        </w:rPr>
        <w:t> </w:t>
      </w:r>
      <w:r>
        <w:rPr/>
        <w:t>transparencia.</w:t>
      </w:r>
      <w:r>
        <w:rPr>
          <w:spacing w:val="-5"/>
        </w:rPr>
        <w:t> </w:t>
      </w:r>
      <w:r>
        <w:rPr/>
        <w:t>En</w:t>
      </w:r>
      <w:r>
        <w:rPr>
          <w:spacing w:val="-5"/>
        </w:rPr>
        <w:t> </w:t>
      </w:r>
      <w:r>
        <w:rPr/>
        <w:t>este</w:t>
      </w:r>
      <w:r>
        <w:rPr>
          <w:spacing w:val="-5"/>
        </w:rPr>
        <w:t> </w:t>
      </w:r>
      <w:r>
        <w:rPr/>
        <w:t>escenario</w:t>
      </w:r>
      <w:r>
        <w:rPr>
          <w:spacing w:val="-5"/>
        </w:rPr>
        <w:t> </w:t>
      </w:r>
      <w:r>
        <w:rPr/>
        <w:t>es</w:t>
      </w:r>
      <w:r>
        <w:rPr>
          <w:spacing w:val="-5"/>
        </w:rPr>
        <w:t> </w:t>
      </w:r>
      <w:r>
        <w:rPr/>
        <w:t>importante</w:t>
      </w:r>
      <w:r>
        <w:rPr>
          <w:spacing w:val="-5"/>
        </w:rPr>
        <w:t> </w:t>
      </w:r>
      <w:r>
        <w:rPr/>
        <w:t>señalar</w:t>
      </w:r>
      <w:r>
        <w:rPr>
          <w:spacing w:val="-6"/>
        </w:rPr>
        <w:t> </w:t>
      </w:r>
      <w:r>
        <w:rPr/>
        <w:t>que</w:t>
      </w:r>
      <w:r>
        <w:rPr>
          <w:spacing w:val="-5"/>
        </w:rPr>
        <w:t> </w:t>
      </w:r>
      <w:r>
        <w:rPr/>
        <w:t>pese</w:t>
      </w:r>
      <w:r>
        <w:rPr>
          <w:spacing w:val="-5"/>
        </w:rPr>
        <w:t> </w:t>
      </w:r>
      <w:r>
        <w:rPr/>
        <w:t>a</w:t>
      </w:r>
      <w:r>
        <w:rPr>
          <w:spacing w:val="-5"/>
        </w:rPr>
        <w:t> </w:t>
      </w:r>
      <w:r>
        <w:rPr/>
        <w:t>la distinta metodología utilizada por los índices anteriormente señalados, se repite un alto índice de falta de transparencia en los asuntos públicos que se traducen en corrupción y una limitada rendición de</w:t>
      </w:r>
      <w:r>
        <w:rPr>
          <w:spacing w:val="-17"/>
        </w:rPr>
        <w:t> </w:t>
      </w:r>
      <w:r>
        <w:rPr/>
        <w:t>cuentas.</w:t>
      </w:r>
    </w:p>
    <w:p>
      <w:pPr>
        <w:spacing w:after="0" w:line="360" w:lineRule="auto"/>
        <w:jc w:val="both"/>
        <w:sectPr>
          <w:pgSz w:w="12240" w:h="15840"/>
          <w:pgMar w:header="0" w:footer="1035" w:top="1360" w:bottom="1220" w:left="1600" w:right="1580"/>
        </w:sectPr>
      </w:pPr>
    </w:p>
    <w:p>
      <w:pPr>
        <w:pStyle w:val="Heading1"/>
        <w:numPr>
          <w:ilvl w:val="2"/>
          <w:numId w:val="41"/>
        </w:numPr>
        <w:tabs>
          <w:tab w:pos="830" w:val="left" w:leader="none"/>
        </w:tabs>
        <w:spacing w:line="240" w:lineRule="auto" w:before="54" w:after="0"/>
        <w:ind w:left="830" w:right="0" w:hanging="720"/>
        <w:jc w:val="both"/>
      </w:pPr>
      <w:r>
        <w:rPr/>
        <w:t>Encuesta Nacional Métrica de la</w:t>
      </w:r>
      <w:r>
        <w:rPr>
          <w:spacing w:val="-21"/>
        </w:rPr>
        <w:t> </w:t>
      </w:r>
      <w:r>
        <w:rPr/>
        <w:t>Transparencia</w:t>
      </w:r>
    </w:p>
    <w:p>
      <w:pPr>
        <w:pStyle w:val="BodyText"/>
        <w:rPr>
          <w:b/>
        </w:rPr>
      </w:pPr>
    </w:p>
    <w:p>
      <w:pPr>
        <w:pStyle w:val="BodyText"/>
        <w:rPr>
          <w:b/>
        </w:rPr>
      </w:pPr>
    </w:p>
    <w:p>
      <w:pPr>
        <w:pStyle w:val="BodyText"/>
        <w:spacing w:line="360" w:lineRule="auto" w:before="161"/>
        <w:ind w:left="122" w:right="116"/>
        <w:jc w:val="both"/>
      </w:pPr>
      <w:r>
        <w:rPr/>
        <w:t>Esta investigación realizada por el CIDE es un estudio que toma como base la encuesta nación del INEGI llevada a cabo en 2009. Esta investigación permite conocer cómo en México, el avance de la transparencia en la agenda ha sido importante</w:t>
      </w:r>
      <w:r>
        <w:rPr>
          <w:spacing w:val="-17"/>
        </w:rPr>
        <w:t> </w:t>
      </w:r>
      <w:r>
        <w:rPr/>
        <w:t>sin</w:t>
      </w:r>
      <w:r>
        <w:rPr>
          <w:spacing w:val="-19"/>
        </w:rPr>
        <w:t> </w:t>
      </w:r>
      <w:r>
        <w:rPr/>
        <w:t>lugar</w:t>
      </w:r>
      <w:r>
        <w:rPr>
          <w:spacing w:val="-18"/>
        </w:rPr>
        <w:t> </w:t>
      </w:r>
      <w:r>
        <w:rPr/>
        <w:t>a</w:t>
      </w:r>
      <w:r>
        <w:rPr>
          <w:spacing w:val="-19"/>
        </w:rPr>
        <w:t> </w:t>
      </w:r>
      <w:r>
        <w:rPr/>
        <w:t>dudas.</w:t>
      </w:r>
      <w:r>
        <w:rPr>
          <w:spacing w:val="-19"/>
        </w:rPr>
        <w:t> </w:t>
      </w:r>
      <w:r>
        <w:rPr/>
        <w:t>Sin</w:t>
      </w:r>
      <w:r>
        <w:rPr>
          <w:spacing w:val="-19"/>
        </w:rPr>
        <w:t> </w:t>
      </w:r>
      <w:r>
        <w:rPr/>
        <w:t>embargo,</w:t>
      </w:r>
      <w:r>
        <w:rPr>
          <w:spacing w:val="-17"/>
        </w:rPr>
        <w:t> </w:t>
      </w:r>
      <w:r>
        <w:rPr/>
        <w:t>este</w:t>
      </w:r>
      <w:r>
        <w:rPr>
          <w:spacing w:val="-17"/>
        </w:rPr>
        <w:t> </w:t>
      </w:r>
      <w:r>
        <w:rPr/>
        <w:t>debate</w:t>
      </w:r>
      <w:r>
        <w:rPr>
          <w:spacing w:val="-19"/>
        </w:rPr>
        <w:t> </w:t>
      </w:r>
      <w:r>
        <w:rPr/>
        <w:t>está</w:t>
      </w:r>
      <w:r>
        <w:rPr>
          <w:spacing w:val="-18"/>
        </w:rPr>
        <w:t> </w:t>
      </w:r>
      <w:r>
        <w:rPr/>
        <w:t>basado,</w:t>
      </w:r>
      <w:r>
        <w:rPr>
          <w:spacing w:val="-21"/>
        </w:rPr>
        <w:t> </w:t>
      </w:r>
      <w:r>
        <w:rPr/>
        <w:t>muchas</w:t>
      </w:r>
      <w:r>
        <w:rPr>
          <w:spacing w:val="-17"/>
        </w:rPr>
        <w:t> </w:t>
      </w:r>
      <w:r>
        <w:rPr/>
        <w:t>veces, en una especie de esperanza poco fundamentada teórica y analíticamente. Darle contenido a la categoría social “transparencia” pareciera fundamental, con el fin de dirigirse</w:t>
      </w:r>
      <w:r>
        <w:rPr>
          <w:spacing w:val="-15"/>
        </w:rPr>
        <w:t> </w:t>
      </w:r>
      <w:r>
        <w:rPr/>
        <w:t>hacia</w:t>
      </w:r>
      <w:r>
        <w:rPr>
          <w:spacing w:val="-16"/>
        </w:rPr>
        <w:t> </w:t>
      </w:r>
      <w:r>
        <w:rPr/>
        <w:t>agendas</w:t>
      </w:r>
      <w:r>
        <w:rPr>
          <w:spacing w:val="-16"/>
        </w:rPr>
        <w:t> </w:t>
      </w:r>
      <w:r>
        <w:rPr/>
        <w:t>más</w:t>
      </w:r>
      <w:r>
        <w:rPr>
          <w:spacing w:val="-15"/>
        </w:rPr>
        <w:t> </w:t>
      </w:r>
      <w:r>
        <w:rPr/>
        <w:t>relevantes</w:t>
      </w:r>
      <w:r>
        <w:rPr>
          <w:spacing w:val="-15"/>
        </w:rPr>
        <w:t> </w:t>
      </w:r>
      <w:r>
        <w:rPr/>
        <w:t>y</w:t>
      </w:r>
      <w:r>
        <w:rPr>
          <w:spacing w:val="-16"/>
        </w:rPr>
        <w:t> </w:t>
      </w:r>
      <w:r>
        <w:rPr/>
        <w:t>trascendentes</w:t>
      </w:r>
      <w:r>
        <w:rPr>
          <w:spacing w:val="-16"/>
        </w:rPr>
        <w:t> </w:t>
      </w:r>
      <w:r>
        <w:rPr/>
        <w:t>en</w:t>
      </w:r>
      <w:r>
        <w:rPr>
          <w:spacing w:val="-14"/>
        </w:rPr>
        <w:t> </w:t>
      </w:r>
      <w:r>
        <w:rPr/>
        <w:t>la</w:t>
      </w:r>
      <w:r>
        <w:rPr>
          <w:spacing w:val="-16"/>
        </w:rPr>
        <w:t> </w:t>
      </w:r>
      <w:r>
        <w:rPr/>
        <w:t>práctica,</w:t>
      </w:r>
      <w:r>
        <w:rPr>
          <w:spacing w:val="-14"/>
        </w:rPr>
        <w:t> </w:t>
      </w:r>
      <w:r>
        <w:rPr/>
        <w:t>como</w:t>
      </w:r>
      <w:r>
        <w:rPr>
          <w:spacing w:val="-15"/>
        </w:rPr>
        <w:t> </w:t>
      </w:r>
      <w:r>
        <w:rPr/>
        <w:t>lo</w:t>
      </w:r>
      <w:r>
        <w:rPr>
          <w:spacing w:val="-14"/>
        </w:rPr>
        <w:t> </w:t>
      </w:r>
      <w:r>
        <w:rPr/>
        <w:t>sería su incorporación e implementación efectiva en los organismos gubernamentales (Arellano,</w:t>
      </w:r>
      <w:r>
        <w:rPr>
          <w:spacing w:val="-6"/>
        </w:rPr>
        <w:t> </w:t>
      </w:r>
      <w:r>
        <w:rPr/>
        <w:t>2007).</w:t>
      </w:r>
    </w:p>
    <w:p>
      <w:pPr>
        <w:pStyle w:val="BodyText"/>
      </w:pPr>
    </w:p>
    <w:p>
      <w:pPr>
        <w:pStyle w:val="BodyText"/>
      </w:pPr>
    </w:p>
    <w:p>
      <w:pPr>
        <w:pStyle w:val="Heading1"/>
        <w:spacing w:before="185"/>
        <w:ind w:left="122" w:firstLine="0"/>
      </w:pPr>
      <w:r>
        <w:rPr/>
        <w:t>Datos relevantes sobre las principales características de los municipios.</w:t>
      </w:r>
    </w:p>
    <w:p>
      <w:pPr>
        <w:pStyle w:val="BodyText"/>
        <w:rPr>
          <w:b/>
        </w:rPr>
      </w:pPr>
    </w:p>
    <w:p>
      <w:pPr>
        <w:pStyle w:val="BodyText"/>
        <w:rPr>
          <w:b/>
        </w:rPr>
      </w:pPr>
    </w:p>
    <w:p>
      <w:pPr>
        <w:pStyle w:val="BodyText"/>
        <w:spacing w:before="11"/>
        <w:rPr>
          <w:b/>
          <w:sz w:val="27"/>
        </w:rPr>
      </w:pPr>
    </w:p>
    <w:p>
      <w:pPr>
        <w:pStyle w:val="BodyText"/>
        <w:spacing w:line="360" w:lineRule="auto"/>
        <w:ind w:left="122" w:right="115"/>
        <w:jc w:val="both"/>
      </w:pPr>
      <w:r>
        <w:rPr/>
        <w:t>Dentro de las características de los municipios se encuentran las siguientes: Del total de municipios el 26% son urbanos y 74% rurales. Del total de municipios urbanos los clasificados como urbanos grandes representan 0.1%, los urbanos medios</w:t>
      </w:r>
      <w:r>
        <w:rPr>
          <w:spacing w:val="-17"/>
        </w:rPr>
        <w:t> </w:t>
      </w:r>
      <w:r>
        <w:rPr/>
        <w:t>el</w:t>
      </w:r>
      <w:r>
        <w:rPr>
          <w:spacing w:val="-18"/>
        </w:rPr>
        <w:t> </w:t>
      </w:r>
      <w:r>
        <w:rPr/>
        <w:t>1.2%,</w:t>
      </w:r>
      <w:r>
        <w:rPr>
          <w:spacing w:val="-17"/>
        </w:rPr>
        <w:t> </w:t>
      </w:r>
      <w:r>
        <w:rPr/>
        <w:t>los</w:t>
      </w:r>
      <w:r>
        <w:rPr>
          <w:spacing w:val="-19"/>
        </w:rPr>
        <w:t> </w:t>
      </w:r>
      <w:r>
        <w:rPr/>
        <w:t>urbanos</w:t>
      </w:r>
      <w:r>
        <w:rPr>
          <w:spacing w:val="-20"/>
        </w:rPr>
        <w:t> </w:t>
      </w:r>
      <w:r>
        <w:rPr/>
        <w:t>pequeños</w:t>
      </w:r>
      <w:r>
        <w:rPr>
          <w:spacing w:val="-17"/>
        </w:rPr>
        <w:t> </w:t>
      </w:r>
      <w:r>
        <w:rPr/>
        <w:t>10%.</w:t>
      </w:r>
      <w:r>
        <w:rPr>
          <w:spacing w:val="-17"/>
        </w:rPr>
        <w:t> </w:t>
      </w:r>
      <w:r>
        <w:rPr/>
        <w:t>Sobre</w:t>
      </w:r>
      <w:r>
        <w:rPr>
          <w:spacing w:val="-17"/>
        </w:rPr>
        <w:t> </w:t>
      </w:r>
      <w:r>
        <w:rPr/>
        <w:t>los</w:t>
      </w:r>
      <w:r>
        <w:rPr>
          <w:spacing w:val="-17"/>
        </w:rPr>
        <w:t> </w:t>
      </w:r>
      <w:r>
        <w:rPr/>
        <w:t>rurales,</w:t>
      </w:r>
      <w:r>
        <w:rPr>
          <w:spacing w:val="-17"/>
        </w:rPr>
        <w:t> </w:t>
      </w:r>
      <w:r>
        <w:rPr/>
        <w:t>es</w:t>
      </w:r>
      <w:r>
        <w:rPr>
          <w:spacing w:val="-17"/>
        </w:rPr>
        <w:t> </w:t>
      </w:r>
      <w:r>
        <w:rPr/>
        <w:t>pertinente</w:t>
      </w:r>
      <w:r>
        <w:rPr>
          <w:spacing w:val="-17"/>
        </w:rPr>
        <w:t> </w:t>
      </w:r>
      <w:r>
        <w:rPr/>
        <w:t>señalar que 38% son mixtos y el 36% son</w:t>
      </w:r>
      <w:r>
        <w:rPr>
          <w:spacing w:val="-12"/>
        </w:rPr>
        <w:t> </w:t>
      </w:r>
      <w:r>
        <w:rPr/>
        <w:t>rurales.</w:t>
      </w:r>
    </w:p>
    <w:p>
      <w:pPr>
        <w:pStyle w:val="BodyText"/>
        <w:spacing w:line="360" w:lineRule="auto" w:before="166"/>
        <w:ind w:left="122" w:right="118"/>
        <w:jc w:val="both"/>
      </w:pPr>
      <w:r>
        <w:rPr/>
        <w:t>Conviene</w:t>
      </w:r>
      <w:r>
        <w:rPr>
          <w:spacing w:val="-5"/>
        </w:rPr>
        <w:t> </w:t>
      </w:r>
      <w:r>
        <w:rPr/>
        <w:t>señalar</w:t>
      </w:r>
      <w:r>
        <w:rPr>
          <w:spacing w:val="-7"/>
        </w:rPr>
        <w:t> </w:t>
      </w:r>
      <w:r>
        <w:rPr/>
        <w:t>que</w:t>
      </w:r>
      <w:r>
        <w:rPr>
          <w:spacing w:val="-8"/>
        </w:rPr>
        <w:t> </w:t>
      </w:r>
      <w:r>
        <w:rPr/>
        <w:t>el</w:t>
      </w:r>
      <w:r>
        <w:rPr>
          <w:spacing w:val="-7"/>
        </w:rPr>
        <w:t> </w:t>
      </w:r>
      <w:r>
        <w:rPr/>
        <w:t>80%</w:t>
      </w:r>
      <w:r>
        <w:rPr>
          <w:spacing w:val="-9"/>
        </w:rPr>
        <w:t> </w:t>
      </w:r>
      <w:r>
        <w:rPr/>
        <w:t>de</w:t>
      </w:r>
      <w:r>
        <w:rPr>
          <w:spacing w:val="-6"/>
        </w:rPr>
        <w:t> </w:t>
      </w:r>
      <w:r>
        <w:rPr/>
        <w:t>la</w:t>
      </w:r>
      <w:r>
        <w:rPr>
          <w:spacing w:val="-9"/>
        </w:rPr>
        <w:t> </w:t>
      </w:r>
      <w:r>
        <w:rPr/>
        <w:t>población</w:t>
      </w:r>
      <w:r>
        <w:rPr>
          <w:spacing w:val="-8"/>
        </w:rPr>
        <w:t> </w:t>
      </w:r>
      <w:r>
        <w:rPr/>
        <w:t>del</w:t>
      </w:r>
      <w:r>
        <w:rPr>
          <w:spacing w:val="-7"/>
        </w:rPr>
        <w:t> </w:t>
      </w:r>
      <w:r>
        <w:rPr/>
        <w:t>país</w:t>
      </w:r>
      <w:r>
        <w:rPr>
          <w:spacing w:val="-7"/>
        </w:rPr>
        <w:t> </w:t>
      </w:r>
      <w:r>
        <w:rPr/>
        <w:t>se</w:t>
      </w:r>
      <w:r>
        <w:rPr>
          <w:spacing w:val="-6"/>
        </w:rPr>
        <w:t> </w:t>
      </w:r>
      <w:r>
        <w:rPr/>
        <w:t>encuentra</w:t>
      </w:r>
      <w:r>
        <w:rPr>
          <w:spacing w:val="-9"/>
        </w:rPr>
        <w:t> </w:t>
      </w:r>
      <w:r>
        <w:rPr/>
        <w:t>concentrada</w:t>
      </w:r>
      <w:r>
        <w:rPr>
          <w:spacing w:val="-6"/>
        </w:rPr>
        <w:t> </w:t>
      </w:r>
      <w:r>
        <w:rPr/>
        <w:t>en los</w:t>
      </w:r>
      <w:r>
        <w:rPr>
          <w:spacing w:val="-6"/>
        </w:rPr>
        <w:t> </w:t>
      </w:r>
      <w:r>
        <w:rPr/>
        <w:t>municipios</w:t>
      </w:r>
      <w:r>
        <w:rPr>
          <w:spacing w:val="-9"/>
        </w:rPr>
        <w:t> </w:t>
      </w:r>
      <w:r>
        <w:rPr/>
        <w:t>urbanos</w:t>
      </w:r>
      <w:r>
        <w:rPr>
          <w:spacing w:val="-9"/>
        </w:rPr>
        <w:t> </w:t>
      </w:r>
      <w:r>
        <w:rPr/>
        <w:t>y</w:t>
      </w:r>
      <w:r>
        <w:rPr>
          <w:spacing w:val="-7"/>
        </w:rPr>
        <w:t> </w:t>
      </w:r>
      <w:r>
        <w:rPr/>
        <w:t>el</w:t>
      </w:r>
      <w:r>
        <w:rPr>
          <w:spacing w:val="-5"/>
        </w:rPr>
        <w:t> </w:t>
      </w:r>
      <w:r>
        <w:rPr/>
        <w:t>20%</w:t>
      </w:r>
      <w:r>
        <w:rPr>
          <w:spacing w:val="-7"/>
        </w:rPr>
        <w:t> </w:t>
      </w:r>
      <w:r>
        <w:rPr/>
        <w:t>restante</w:t>
      </w:r>
      <w:r>
        <w:rPr>
          <w:spacing w:val="-6"/>
        </w:rPr>
        <w:t> </w:t>
      </w:r>
      <w:r>
        <w:rPr/>
        <w:t>en</w:t>
      </w:r>
      <w:r>
        <w:rPr>
          <w:spacing w:val="-6"/>
        </w:rPr>
        <w:t> </w:t>
      </w:r>
      <w:r>
        <w:rPr/>
        <w:t>los</w:t>
      </w:r>
      <w:r>
        <w:rPr>
          <w:spacing w:val="-4"/>
        </w:rPr>
        <w:t> </w:t>
      </w:r>
      <w:r>
        <w:rPr/>
        <w:t>rurales.</w:t>
      </w:r>
      <w:r>
        <w:rPr>
          <w:spacing w:val="-6"/>
        </w:rPr>
        <w:t> </w:t>
      </w:r>
      <w:r>
        <w:rPr/>
        <w:t>Esta</w:t>
      </w:r>
      <w:r>
        <w:rPr>
          <w:spacing w:val="-6"/>
        </w:rPr>
        <w:t> </w:t>
      </w:r>
      <w:r>
        <w:rPr/>
        <w:t>situación</w:t>
      </w:r>
      <w:r>
        <w:rPr>
          <w:spacing w:val="-6"/>
        </w:rPr>
        <w:t> </w:t>
      </w:r>
      <w:r>
        <w:rPr/>
        <w:t>mantiene</w:t>
      </w:r>
      <w:r>
        <w:rPr>
          <w:spacing w:val="-8"/>
        </w:rPr>
        <w:t> </w:t>
      </w:r>
      <w:r>
        <w:rPr/>
        <w:t>un 36% de municipios con un alto grado de marginación, 20% con nivel medio, 17% bajo, 15% muy alto y 11% muy</w:t>
      </w:r>
      <w:r>
        <w:rPr>
          <w:spacing w:val="-11"/>
        </w:rPr>
        <w:t> </w:t>
      </w:r>
      <w:r>
        <w:rPr/>
        <w:t>bajo.</w:t>
      </w:r>
    </w:p>
    <w:p>
      <w:pPr>
        <w:spacing w:after="0" w:line="360" w:lineRule="auto"/>
        <w:jc w:val="both"/>
        <w:sectPr>
          <w:pgSz w:w="12240" w:h="15840"/>
          <w:pgMar w:header="0" w:footer="1035" w:top="1360" w:bottom="1220" w:left="1580" w:right="1580"/>
        </w:sectPr>
      </w:pPr>
    </w:p>
    <w:p>
      <w:pPr>
        <w:pStyle w:val="Heading1"/>
        <w:spacing w:before="54"/>
        <w:ind w:left="102" w:firstLine="0"/>
      </w:pPr>
      <w:r>
        <w:rPr/>
        <w:t>Datos relevantes sobre transparencia y acceso a la información.</w:t>
      </w:r>
    </w:p>
    <w:p>
      <w:pPr>
        <w:pStyle w:val="BodyText"/>
        <w:rPr>
          <w:b/>
        </w:rPr>
      </w:pPr>
    </w:p>
    <w:p>
      <w:pPr>
        <w:pStyle w:val="BodyText"/>
        <w:rPr>
          <w:b/>
        </w:rPr>
      </w:pPr>
    </w:p>
    <w:p>
      <w:pPr>
        <w:pStyle w:val="BodyText"/>
        <w:rPr>
          <w:b/>
          <w:sz w:val="28"/>
        </w:rPr>
      </w:pPr>
    </w:p>
    <w:p>
      <w:pPr>
        <w:pStyle w:val="BodyText"/>
        <w:spacing w:line="360" w:lineRule="auto"/>
        <w:ind w:left="102" w:right="116"/>
        <w:jc w:val="both"/>
      </w:pPr>
      <w:r>
        <w:rPr/>
        <w:t>Solo</w:t>
      </w:r>
      <w:r>
        <w:rPr>
          <w:spacing w:val="-12"/>
        </w:rPr>
        <w:t> </w:t>
      </w:r>
      <w:r>
        <w:rPr/>
        <w:t>el</w:t>
      </w:r>
      <w:r>
        <w:rPr>
          <w:spacing w:val="-11"/>
        </w:rPr>
        <w:t> </w:t>
      </w:r>
      <w:r>
        <w:rPr/>
        <w:t>29%</w:t>
      </w:r>
      <w:r>
        <w:rPr>
          <w:spacing w:val="-12"/>
        </w:rPr>
        <w:t> </w:t>
      </w:r>
      <w:r>
        <w:rPr/>
        <w:t>de</w:t>
      </w:r>
      <w:r>
        <w:rPr>
          <w:spacing w:val="-9"/>
        </w:rPr>
        <w:t> </w:t>
      </w:r>
      <w:r>
        <w:rPr/>
        <w:t>los</w:t>
      </w:r>
      <w:r>
        <w:rPr>
          <w:spacing w:val="-13"/>
        </w:rPr>
        <w:t> </w:t>
      </w:r>
      <w:r>
        <w:rPr/>
        <w:t>municipios</w:t>
      </w:r>
      <w:r>
        <w:rPr>
          <w:spacing w:val="-10"/>
        </w:rPr>
        <w:t> </w:t>
      </w:r>
      <w:r>
        <w:rPr/>
        <w:t>cuenta</w:t>
      </w:r>
      <w:r>
        <w:rPr>
          <w:spacing w:val="-9"/>
        </w:rPr>
        <w:t> </w:t>
      </w:r>
      <w:r>
        <w:rPr/>
        <w:t>con</w:t>
      </w:r>
      <w:r>
        <w:rPr>
          <w:spacing w:val="-12"/>
        </w:rPr>
        <w:t> </w:t>
      </w:r>
      <w:r>
        <w:rPr/>
        <w:t>normativa</w:t>
      </w:r>
      <w:r>
        <w:rPr>
          <w:spacing w:val="-9"/>
        </w:rPr>
        <w:t> </w:t>
      </w:r>
      <w:r>
        <w:rPr/>
        <w:t>sobre</w:t>
      </w:r>
      <w:r>
        <w:rPr>
          <w:spacing w:val="-10"/>
        </w:rPr>
        <w:t> </w:t>
      </w:r>
      <w:r>
        <w:rPr/>
        <w:t>la</w:t>
      </w:r>
      <w:r>
        <w:rPr>
          <w:spacing w:val="-12"/>
        </w:rPr>
        <w:t> </w:t>
      </w:r>
      <w:r>
        <w:rPr/>
        <w:t>transparencia.</w:t>
      </w:r>
      <w:r>
        <w:rPr>
          <w:spacing w:val="-12"/>
        </w:rPr>
        <w:t> </w:t>
      </w:r>
      <w:r>
        <w:rPr/>
        <w:t>15%</w:t>
      </w:r>
      <w:r>
        <w:rPr>
          <w:spacing w:val="-12"/>
        </w:rPr>
        <w:t> </w:t>
      </w:r>
      <w:r>
        <w:rPr/>
        <w:t>de los municipios no tiene ningún mecanismo de transparencia. Solo un 25% cuenta con</w:t>
      </w:r>
      <w:r>
        <w:rPr>
          <w:spacing w:val="-12"/>
        </w:rPr>
        <w:t> </w:t>
      </w:r>
      <w:r>
        <w:rPr/>
        <w:t>una</w:t>
      </w:r>
      <w:r>
        <w:rPr>
          <w:spacing w:val="-9"/>
        </w:rPr>
        <w:t> </w:t>
      </w:r>
      <w:r>
        <w:rPr/>
        <w:t>comisión</w:t>
      </w:r>
      <w:r>
        <w:rPr>
          <w:spacing w:val="-12"/>
        </w:rPr>
        <w:t> </w:t>
      </w:r>
      <w:r>
        <w:rPr/>
        <w:t>de</w:t>
      </w:r>
      <w:r>
        <w:rPr>
          <w:spacing w:val="-12"/>
        </w:rPr>
        <w:t> </w:t>
      </w:r>
      <w:r>
        <w:rPr/>
        <w:t>participación</w:t>
      </w:r>
      <w:r>
        <w:rPr>
          <w:spacing w:val="-11"/>
        </w:rPr>
        <w:t> </w:t>
      </w:r>
      <w:r>
        <w:rPr/>
        <w:t>ciudadana.</w:t>
      </w:r>
      <w:r>
        <w:rPr>
          <w:spacing w:val="-12"/>
        </w:rPr>
        <w:t> </w:t>
      </w:r>
      <w:r>
        <w:rPr/>
        <w:t>El</w:t>
      </w:r>
      <w:r>
        <w:rPr>
          <w:spacing w:val="-13"/>
        </w:rPr>
        <w:t> </w:t>
      </w:r>
      <w:r>
        <w:rPr/>
        <w:t>promedio</w:t>
      </w:r>
      <w:r>
        <w:rPr>
          <w:spacing w:val="-12"/>
        </w:rPr>
        <w:t> </w:t>
      </w:r>
      <w:r>
        <w:rPr/>
        <w:t>de</w:t>
      </w:r>
      <w:r>
        <w:rPr>
          <w:spacing w:val="-12"/>
        </w:rPr>
        <w:t> </w:t>
      </w:r>
      <w:r>
        <w:rPr/>
        <w:t>la</w:t>
      </w:r>
      <w:r>
        <w:rPr>
          <w:spacing w:val="-12"/>
        </w:rPr>
        <w:t> </w:t>
      </w:r>
      <w:r>
        <w:rPr/>
        <w:t>normatividad</w:t>
      </w:r>
      <w:r>
        <w:rPr>
          <w:spacing w:val="-12"/>
        </w:rPr>
        <w:t> </w:t>
      </w:r>
      <w:r>
        <w:rPr/>
        <w:t>en</w:t>
      </w:r>
      <w:r>
        <w:rPr>
          <w:spacing w:val="-12"/>
        </w:rPr>
        <w:t> </w:t>
      </w:r>
      <w:r>
        <w:rPr/>
        <w:t>los estados es de 0.56 de un total de 1.0. El Estado de México tuvo 0.81. El más bajo es Baja california Sur con 0.325 y el máximo Veracruz con</w:t>
      </w:r>
      <w:r>
        <w:rPr>
          <w:spacing w:val="-21"/>
        </w:rPr>
        <w:t> </w:t>
      </w:r>
      <w:r>
        <w:rPr/>
        <w:t>0.79.</w:t>
      </w:r>
    </w:p>
    <w:p>
      <w:pPr>
        <w:pStyle w:val="BodyText"/>
      </w:pPr>
    </w:p>
    <w:p>
      <w:pPr>
        <w:pStyle w:val="BodyText"/>
      </w:pPr>
    </w:p>
    <w:p>
      <w:pPr>
        <w:pStyle w:val="BodyText"/>
        <w:spacing w:line="360" w:lineRule="auto" w:before="186"/>
        <w:ind w:left="102" w:right="117"/>
        <w:jc w:val="both"/>
      </w:pPr>
      <w:r>
        <w:rPr/>
        <w:t>En</w:t>
      </w:r>
      <w:r>
        <w:rPr>
          <w:spacing w:val="-6"/>
        </w:rPr>
        <w:t> </w:t>
      </w:r>
      <w:r>
        <w:rPr/>
        <w:t>el</w:t>
      </w:r>
      <w:r>
        <w:rPr>
          <w:spacing w:val="-7"/>
        </w:rPr>
        <w:t> </w:t>
      </w:r>
      <w:r>
        <w:rPr/>
        <w:t>ámbito</w:t>
      </w:r>
      <w:r>
        <w:rPr>
          <w:spacing w:val="-8"/>
        </w:rPr>
        <w:t> </w:t>
      </w:r>
      <w:r>
        <w:rPr/>
        <w:t>municipal,</w:t>
      </w:r>
      <w:r>
        <w:rPr>
          <w:spacing w:val="-7"/>
        </w:rPr>
        <w:t> </w:t>
      </w:r>
      <w:r>
        <w:rPr/>
        <w:t>es</w:t>
      </w:r>
      <w:r>
        <w:rPr>
          <w:spacing w:val="-7"/>
        </w:rPr>
        <w:t> </w:t>
      </w:r>
      <w:r>
        <w:rPr/>
        <w:t>importante</w:t>
      </w:r>
      <w:r>
        <w:rPr>
          <w:spacing w:val="-6"/>
        </w:rPr>
        <w:t> </w:t>
      </w:r>
      <w:r>
        <w:rPr/>
        <w:t>señalar</w:t>
      </w:r>
      <w:r>
        <w:rPr>
          <w:spacing w:val="-7"/>
        </w:rPr>
        <w:t> </w:t>
      </w:r>
      <w:r>
        <w:rPr/>
        <w:t>que</w:t>
      </w:r>
      <w:r>
        <w:rPr>
          <w:spacing w:val="-6"/>
        </w:rPr>
        <w:t> </w:t>
      </w:r>
      <w:r>
        <w:rPr/>
        <w:t>de</w:t>
      </w:r>
      <w:r>
        <w:rPr>
          <w:spacing w:val="-6"/>
        </w:rPr>
        <w:t> </w:t>
      </w:r>
      <w:r>
        <w:rPr/>
        <w:t>los</w:t>
      </w:r>
      <w:r>
        <w:rPr>
          <w:spacing w:val="-6"/>
        </w:rPr>
        <w:t> </w:t>
      </w:r>
      <w:r>
        <w:rPr/>
        <w:t>644</w:t>
      </w:r>
      <w:r>
        <w:rPr>
          <w:spacing w:val="-8"/>
        </w:rPr>
        <w:t> </w:t>
      </w:r>
      <w:r>
        <w:rPr/>
        <w:t>municipios</w:t>
      </w:r>
      <w:r>
        <w:rPr>
          <w:spacing w:val="-6"/>
        </w:rPr>
        <w:t> </w:t>
      </w:r>
      <w:r>
        <w:rPr/>
        <w:t>que</w:t>
      </w:r>
      <w:r>
        <w:rPr>
          <w:spacing w:val="-6"/>
        </w:rPr>
        <w:t> </w:t>
      </w:r>
      <w:r>
        <w:rPr/>
        <w:t>tienen una disposición normativa, el promedio de actualización de información es de 58 meses. Siendo los extremos Guanajuato con 129 meses y Yucatán con 15 meses. En el Estado de México el promedio fue de 67 meses. Siendo los extremos de </w:t>
      </w:r>
      <w:r>
        <w:rPr>
          <w:spacing w:val="-2"/>
        </w:rPr>
        <w:t>129 </w:t>
      </w:r>
      <w:r>
        <w:rPr/>
        <w:t>el más desactualizado y de 3 el más actualizado. 80% de los municipios indicaron que sí aplican la normativa de</w:t>
      </w:r>
      <w:r>
        <w:rPr>
          <w:spacing w:val="-18"/>
        </w:rPr>
        <w:t> </w:t>
      </w:r>
      <w:r>
        <w:rPr/>
        <w:t>transparencia.</w:t>
      </w:r>
    </w:p>
    <w:p>
      <w:pPr>
        <w:pStyle w:val="BodyText"/>
      </w:pPr>
    </w:p>
    <w:p>
      <w:pPr>
        <w:pStyle w:val="BodyText"/>
      </w:pPr>
    </w:p>
    <w:p>
      <w:pPr>
        <w:pStyle w:val="BodyText"/>
        <w:spacing w:line="360" w:lineRule="auto" w:before="188"/>
        <w:ind w:left="102" w:right="115"/>
        <w:jc w:val="both"/>
      </w:pPr>
      <w:r>
        <w:rPr/>
        <w:t>Lo</w:t>
      </w:r>
      <w:r>
        <w:rPr>
          <w:spacing w:val="-8"/>
        </w:rPr>
        <w:t> </w:t>
      </w:r>
      <w:r>
        <w:rPr/>
        <w:t>anterior,</w:t>
      </w:r>
      <w:r>
        <w:rPr>
          <w:spacing w:val="-12"/>
        </w:rPr>
        <w:t> </w:t>
      </w:r>
      <w:r>
        <w:rPr/>
        <w:t>en</w:t>
      </w:r>
      <w:r>
        <w:rPr>
          <w:spacing w:val="-8"/>
        </w:rPr>
        <w:t> </w:t>
      </w:r>
      <w:r>
        <w:rPr/>
        <w:t>virtud</w:t>
      </w:r>
      <w:r>
        <w:rPr>
          <w:spacing w:val="-8"/>
        </w:rPr>
        <w:t> </w:t>
      </w:r>
      <w:r>
        <w:rPr/>
        <w:t>de</w:t>
      </w:r>
      <w:r>
        <w:rPr>
          <w:spacing w:val="-8"/>
        </w:rPr>
        <w:t> </w:t>
      </w:r>
      <w:r>
        <w:rPr/>
        <w:t>que</w:t>
      </w:r>
      <w:r>
        <w:rPr>
          <w:spacing w:val="-8"/>
        </w:rPr>
        <w:t> </w:t>
      </w:r>
      <w:r>
        <w:rPr/>
        <w:t>la</w:t>
      </w:r>
      <w:r>
        <w:rPr>
          <w:spacing w:val="-9"/>
        </w:rPr>
        <w:t> </w:t>
      </w:r>
      <w:r>
        <w:rPr/>
        <w:t>calificación</w:t>
      </w:r>
      <w:r>
        <w:rPr>
          <w:spacing w:val="-10"/>
        </w:rPr>
        <w:t> </w:t>
      </w:r>
      <w:r>
        <w:rPr/>
        <w:t>promedio</w:t>
      </w:r>
      <w:r>
        <w:rPr>
          <w:spacing w:val="-11"/>
        </w:rPr>
        <w:t> </w:t>
      </w:r>
      <w:r>
        <w:rPr/>
        <w:t>del</w:t>
      </w:r>
      <w:r>
        <w:rPr>
          <w:spacing w:val="-10"/>
        </w:rPr>
        <w:t> </w:t>
      </w:r>
      <w:r>
        <w:rPr/>
        <w:t>Índice</w:t>
      </w:r>
      <w:r>
        <w:rPr>
          <w:spacing w:val="-5"/>
        </w:rPr>
        <w:t> </w:t>
      </w:r>
      <w:r>
        <w:rPr/>
        <w:t>de</w:t>
      </w:r>
      <w:r>
        <w:rPr>
          <w:spacing w:val="-11"/>
        </w:rPr>
        <w:t> </w:t>
      </w:r>
      <w:r>
        <w:rPr/>
        <w:t>Evaluación</w:t>
      </w:r>
      <w:r>
        <w:rPr>
          <w:spacing w:val="-8"/>
        </w:rPr>
        <w:t> </w:t>
      </w:r>
      <w:r>
        <w:rPr/>
        <w:t>de</w:t>
      </w:r>
      <w:r>
        <w:rPr>
          <w:spacing w:val="-11"/>
        </w:rPr>
        <w:t> </w:t>
      </w:r>
      <w:r>
        <w:rPr/>
        <w:t>las Leyes Estatales, como aparece en el cuadro 16, es muy baja: 0.27. De hecho, solamente</w:t>
      </w:r>
      <w:r>
        <w:rPr>
          <w:spacing w:val="-7"/>
        </w:rPr>
        <w:t> </w:t>
      </w:r>
      <w:r>
        <w:rPr/>
        <w:t>la</w:t>
      </w:r>
      <w:r>
        <w:rPr>
          <w:spacing w:val="-10"/>
        </w:rPr>
        <w:t> </w:t>
      </w:r>
      <w:r>
        <w:rPr/>
        <w:t>ley</w:t>
      </w:r>
      <w:r>
        <w:rPr>
          <w:spacing w:val="-10"/>
        </w:rPr>
        <w:t> </w:t>
      </w:r>
      <w:r>
        <w:rPr/>
        <w:t>de</w:t>
      </w:r>
      <w:r>
        <w:rPr>
          <w:spacing w:val="-9"/>
        </w:rPr>
        <w:t> </w:t>
      </w:r>
      <w:r>
        <w:rPr/>
        <w:t>Jalisco</w:t>
      </w:r>
      <w:r>
        <w:rPr>
          <w:spacing w:val="-7"/>
        </w:rPr>
        <w:t> </w:t>
      </w:r>
      <w:r>
        <w:rPr/>
        <w:t>obtuvo</w:t>
      </w:r>
      <w:r>
        <w:rPr>
          <w:spacing w:val="-7"/>
        </w:rPr>
        <w:t> </w:t>
      </w:r>
      <w:r>
        <w:rPr/>
        <w:t>una</w:t>
      </w:r>
      <w:r>
        <w:rPr>
          <w:spacing w:val="-9"/>
        </w:rPr>
        <w:t> </w:t>
      </w:r>
      <w:r>
        <w:rPr/>
        <w:t>calificación</w:t>
      </w:r>
      <w:r>
        <w:rPr>
          <w:spacing w:val="-9"/>
        </w:rPr>
        <w:t> </w:t>
      </w:r>
      <w:r>
        <w:rPr/>
        <w:t>aprobatoria</w:t>
      </w:r>
      <w:r>
        <w:rPr>
          <w:spacing w:val="-7"/>
        </w:rPr>
        <w:t> </w:t>
      </w:r>
      <w:r>
        <w:rPr/>
        <w:t>(0.76).</w:t>
      </w:r>
      <w:r>
        <w:rPr>
          <w:spacing w:val="-8"/>
        </w:rPr>
        <w:t> </w:t>
      </w:r>
      <w:r>
        <w:rPr/>
        <w:t>La</w:t>
      </w:r>
      <w:r>
        <w:rPr>
          <w:spacing w:val="-7"/>
        </w:rPr>
        <w:t> </w:t>
      </w:r>
      <w:r>
        <w:rPr/>
        <w:t>dimensión que</w:t>
      </w:r>
      <w:r>
        <w:rPr>
          <w:spacing w:val="-4"/>
        </w:rPr>
        <w:t> </w:t>
      </w:r>
      <w:r>
        <w:rPr/>
        <w:t>requiere</w:t>
      </w:r>
      <w:r>
        <w:rPr>
          <w:spacing w:val="-4"/>
        </w:rPr>
        <w:t> </w:t>
      </w:r>
      <w:r>
        <w:rPr/>
        <w:t>más</w:t>
      </w:r>
      <w:r>
        <w:rPr>
          <w:spacing w:val="-4"/>
        </w:rPr>
        <w:t> </w:t>
      </w:r>
      <w:r>
        <w:rPr/>
        <w:t>atención</w:t>
      </w:r>
      <w:r>
        <w:rPr>
          <w:spacing w:val="-3"/>
        </w:rPr>
        <w:t> </w:t>
      </w:r>
      <w:r>
        <w:rPr/>
        <w:t>es</w:t>
      </w:r>
      <w:r>
        <w:rPr>
          <w:spacing w:val="-4"/>
        </w:rPr>
        <w:t> </w:t>
      </w:r>
      <w:r>
        <w:rPr/>
        <w:t>la</w:t>
      </w:r>
      <w:r>
        <w:rPr>
          <w:spacing w:val="-4"/>
        </w:rPr>
        <w:t> </w:t>
      </w:r>
      <w:r>
        <w:rPr/>
        <w:t>referente</w:t>
      </w:r>
      <w:r>
        <w:rPr>
          <w:spacing w:val="-4"/>
        </w:rPr>
        <w:t> </w:t>
      </w:r>
      <w:r>
        <w:rPr/>
        <w:t>a</w:t>
      </w:r>
      <w:r>
        <w:rPr>
          <w:spacing w:val="-6"/>
        </w:rPr>
        <w:t> </w:t>
      </w:r>
      <w:r>
        <w:rPr/>
        <w:t>los</w:t>
      </w:r>
      <w:r>
        <w:rPr>
          <w:spacing w:val="-4"/>
        </w:rPr>
        <w:t> </w:t>
      </w:r>
      <w:r>
        <w:rPr/>
        <w:t>mecanismos</w:t>
      </w:r>
      <w:r>
        <w:rPr>
          <w:spacing w:val="-7"/>
        </w:rPr>
        <w:t> </w:t>
      </w:r>
      <w:r>
        <w:rPr/>
        <w:t>previstos</w:t>
      </w:r>
      <w:r>
        <w:rPr>
          <w:spacing w:val="-4"/>
        </w:rPr>
        <w:t> </w:t>
      </w:r>
      <w:r>
        <w:rPr/>
        <w:t>por</w:t>
      </w:r>
      <w:r>
        <w:rPr>
          <w:spacing w:val="-5"/>
        </w:rPr>
        <w:t> </w:t>
      </w:r>
      <w:r>
        <w:rPr/>
        <w:t>las</w:t>
      </w:r>
      <w:r>
        <w:rPr>
          <w:spacing w:val="-4"/>
        </w:rPr>
        <w:t> </w:t>
      </w:r>
      <w:r>
        <w:rPr/>
        <w:t>leyes para garantizar su cabal observancia. El promedio de este indicador, como puede observarse en el cuadro 16, fue de 0.34, y se trata una variable crucial que determina, en gran medida, el grado de eficacia en la implementación de la ley (Guerrero y Ramírez,</w:t>
      </w:r>
      <w:r>
        <w:rPr>
          <w:spacing w:val="-10"/>
        </w:rPr>
        <w:t> </w:t>
      </w:r>
      <w:r>
        <w:rPr/>
        <w:t>2006).</w:t>
      </w:r>
    </w:p>
    <w:p>
      <w:pPr>
        <w:pStyle w:val="BodyText"/>
      </w:pPr>
    </w:p>
    <w:p>
      <w:pPr>
        <w:pStyle w:val="BodyText"/>
      </w:pPr>
    </w:p>
    <w:p>
      <w:pPr>
        <w:pStyle w:val="BodyText"/>
        <w:spacing w:line="360" w:lineRule="auto" w:before="186"/>
        <w:ind w:left="102" w:right="126"/>
        <w:jc w:val="both"/>
      </w:pPr>
      <w:r>
        <w:rPr/>
        <w:t>El promedio de comisiones de transparencia que tienen los municipios es de 29 en 2008.</w:t>
      </w:r>
    </w:p>
    <w:p>
      <w:pPr>
        <w:spacing w:after="0" w:line="360" w:lineRule="auto"/>
        <w:jc w:val="both"/>
        <w:sectPr>
          <w:pgSz w:w="12240" w:h="15840"/>
          <w:pgMar w:header="0" w:footer="1035" w:top="1360" w:bottom="1220" w:left="1600" w:right="1580"/>
        </w:sectPr>
      </w:pPr>
    </w:p>
    <w:p>
      <w:pPr>
        <w:pStyle w:val="BodyText"/>
        <w:spacing w:line="360" w:lineRule="auto" w:before="54"/>
        <w:ind w:left="102" w:right="117"/>
        <w:jc w:val="both"/>
      </w:pPr>
      <w:r>
        <w:rPr/>
        <w:t>De los titulares de transparencia en los municipios cabe señalar que el 66% son hombres y el 34% mujeres. De ellos el 64% tiene estudios de escolaridad y el 36% no terminó sus estudios o tiene menor grado escolar. El 34% de los titulares proviene de un sector diferente al público y el 41.2.5 proviene del gobierno, para 11% de los titulares es su primer empleo.</w:t>
      </w:r>
    </w:p>
    <w:p>
      <w:pPr>
        <w:pStyle w:val="BodyText"/>
      </w:pPr>
    </w:p>
    <w:p>
      <w:pPr>
        <w:pStyle w:val="BodyText"/>
      </w:pPr>
    </w:p>
    <w:p>
      <w:pPr>
        <w:pStyle w:val="BodyText"/>
        <w:spacing w:line="360" w:lineRule="auto" w:before="187"/>
        <w:ind w:left="102" w:right="117"/>
        <w:jc w:val="both"/>
      </w:pPr>
      <w:r>
        <w:rPr/>
        <w:t>De los 644 municipios solo 221 tienen inmuebles para el desarrollo de su trabajo, 417 tienen equipo de cómputo y 91 tienen un edificio propio. De los que tienen equipo</w:t>
      </w:r>
      <w:r>
        <w:rPr>
          <w:spacing w:val="-8"/>
        </w:rPr>
        <w:t> </w:t>
      </w:r>
      <w:r>
        <w:rPr/>
        <w:t>de</w:t>
      </w:r>
      <w:r>
        <w:rPr>
          <w:spacing w:val="-8"/>
        </w:rPr>
        <w:t> </w:t>
      </w:r>
      <w:r>
        <w:rPr/>
        <w:t>cómputo</w:t>
      </w:r>
      <w:r>
        <w:rPr>
          <w:spacing w:val="-10"/>
        </w:rPr>
        <w:t> </w:t>
      </w:r>
      <w:r>
        <w:rPr/>
        <w:t>89.4%</w:t>
      </w:r>
      <w:r>
        <w:rPr>
          <w:spacing w:val="-9"/>
        </w:rPr>
        <w:t> </w:t>
      </w:r>
      <w:r>
        <w:rPr/>
        <w:t>tienen</w:t>
      </w:r>
      <w:r>
        <w:rPr>
          <w:spacing w:val="-8"/>
        </w:rPr>
        <w:t> </w:t>
      </w:r>
      <w:r>
        <w:rPr/>
        <w:t>de</w:t>
      </w:r>
      <w:r>
        <w:rPr>
          <w:spacing w:val="-11"/>
        </w:rPr>
        <w:t> </w:t>
      </w:r>
      <w:r>
        <w:rPr/>
        <w:t>una</w:t>
      </w:r>
      <w:r>
        <w:rPr>
          <w:spacing w:val="-8"/>
        </w:rPr>
        <w:t> </w:t>
      </w:r>
      <w:r>
        <w:rPr/>
        <w:t>a</w:t>
      </w:r>
      <w:r>
        <w:rPr>
          <w:spacing w:val="-8"/>
        </w:rPr>
        <w:t> </w:t>
      </w:r>
      <w:r>
        <w:rPr/>
        <w:t>cinco</w:t>
      </w:r>
      <w:r>
        <w:rPr>
          <w:spacing w:val="-8"/>
        </w:rPr>
        <w:t> </w:t>
      </w:r>
      <w:r>
        <w:rPr/>
        <w:t>computadoras.</w:t>
      </w:r>
      <w:r>
        <w:rPr>
          <w:spacing w:val="-7"/>
        </w:rPr>
        <w:t> </w:t>
      </w:r>
      <w:r>
        <w:rPr/>
        <w:t>Los</w:t>
      </w:r>
      <w:r>
        <w:rPr>
          <w:spacing w:val="-12"/>
        </w:rPr>
        <w:t> </w:t>
      </w:r>
      <w:r>
        <w:rPr/>
        <w:t>municipios</w:t>
      </w:r>
      <w:r>
        <w:rPr>
          <w:spacing w:val="-9"/>
        </w:rPr>
        <w:t> </w:t>
      </w:r>
      <w:r>
        <w:rPr/>
        <w:t>que tienen sistema de recepción de solicitudes son 1044, y 1374 tienen un servidor público responsable de atender las solicitudes. De la información que más</w:t>
      </w:r>
      <w:r>
        <w:rPr>
          <w:spacing w:val="-10"/>
        </w:rPr>
        <w:t> </w:t>
      </w:r>
      <w:r>
        <w:rPr/>
        <w:t>reciben,</w:t>
      </w:r>
    </w:p>
    <w:p>
      <w:pPr>
        <w:pStyle w:val="BodyText"/>
        <w:spacing w:line="360" w:lineRule="auto" w:before="2"/>
        <w:ind w:left="102" w:right="116"/>
        <w:jc w:val="both"/>
      </w:pPr>
      <w:r>
        <w:rPr/>
        <w:t>46.7 señaló que es sobre servicios que ofrecen los municipios y trámites por Internet. De los 2396 municipios 43.9% dan información por Internet y 52.9% en medios impresos.</w:t>
      </w:r>
    </w:p>
    <w:p>
      <w:pPr>
        <w:pStyle w:val="BodyText"/>
      </w:pPr>
    </w:p>
    <w:p>
      <w:pPr>
        <w:pStyle w:val="BodyText"/>
      </w:pPr>
    </w:p>
    <w:p>
      <w:pPr>
        <w:pStyle w:val="BodyText"/>
        <w:spacing w:line="360" w:lineRule="auto" w:before="185"/>
        <w:ind w:left="102" w:right="116"/>
        <w:jc w:val="both"/>
      </w:pPr>
      <w:r>
        <w:rPr/>
        <w:t>Esta situación impone el reto de que la información debe dejar de ser restringido y mostrar claras tendencias hacia la opacidad. Como se mencionó, el acceso a la información está garantizado por la Constitución Política de México y por diversas leyes, lo que le ha permitido mayores libertades; no obstante, es claro que la normatividad por sí misma no es suficiente para el otorgamiento de información pública por parte de las autoridades gubernamentales, sino que se requieren mecanismos institucionales y acciones que propicien el ejercicio de este derecho (Quintanilla, 2012). En el año 2009 solo 345 municipios realizaron funciones de control, 61.6% tuvo denuncias o irregularidades y 58.8 % realizó auditorías.</w:t>
      </w:r>
    </w:p>
    <w:p>
      <w:pPr>
        <w:pStyle w:val="BodyText"/>
      </w:pPr>
    </w:p>
    <w:p>
      <w:pPr>
        <w:pStyle w:val="BodyText"/>
      </w:pPr>
    </w:p>
    <w:p>
      <w:pPr>
        <w:pStyle w:val="BodyText"/>
        <w:spacing w:line="360" w:lineRule="auto" w:before="188"/>
        <w:ind w:left="102" w:right="118"/>
        <w:jc w:val="both"/>
      </w:pPr>
      <w:r>
        <w:rPr/>
        <w:t>Estas</w:t>
      </w:r>
      <w:r>
        <w:rPr>
          <w:spacing w:val="-15"/>
        </w:rPr>
        <w:t> </w:t>
      </w:r>
      <w:r>
        <w:rPr/>
        <w:t>cifras</w:t>
      </w:r>
      <w:r>
        <w:rPr>
          <w:spacing w:val="-15"/>
        </w:rPr>
        <w:t> </w:t>
      </w:r>
      <w:r>
        <w:rPr/>
        <w:t>sobre</w:t>
      </w:r>
      <w:r>
        <w:rPr>
          <w:spacing w:val="-14"/>
        </w:rPr>
        <w:t> </w:t>
      </w:r>
      <w:r>
        <w:rPr/>
        <w:t>la</w:t>
      </w:r>
      <w:r>
        <w:rPr>
          <w:spacing w:val="-14"/>
        </w:rPr>
        <w:t> </w:t>
      </w:r>
      <w:r>
        <w:rPr/>
        <w:t>transparencia</w:t>
      </w:r>
      <w:r>
        <w:rPr>
          <w:spacing w:val="-17"/>
        </w:rPr>
        <w:t> </w:t>
      </w:r>
      <w:r>
        <w:rPr/>
        <w:t>son</w:t>
      </w:r>
      <w:r>
        <w:rPr>
          <w:spacing w:val="-14"/>
        </w:rPr>
        <w:t> </w:t>
      </w:r>
      <w:r>
        <w:rPr/>
        <w:t>relevantes,</w:t>
      </w:r>
      <w:r>
        <w:rPr>
          <w:spacing w:val="-17"/>
        </w:rPr>
        <w:t> </w:t>
      </w:r>
      <w:r>
        <w:rPr/>
        <w:t>ya</w:t>
      </w:r>
      <w:r>
        <w:rPr>
          <w:spacing w:val="-14"/>
        </w:rPr>
        <w:t> </w:t>
      </w:r>
      <w:r>
        <w:rPr/>
        <w:t>que</w:t>
      </w:r>
      <w:r>
        <w:rPr>
          <w:spacing w:val="-17"/>
        </w:rPr>
        <w:t> </w:t>
      </w:r>
      <w:r>
        <w:rPr/>
        <w:t>denotan</w:t>
      </w:r>
      <w:r>
        <w:rPr>
          <w:spacing w:val="-17"/>
        </w:rPr>
        <w:t> </w:t>
      </w:r>
      <w:r>
        <w:rPr/>
        <w:t>un</w:t>
      </w:r>
      <w:r>
        <w:rPr>
          <w:spacing w:val="-12"/>
        </w:rPr>
        <w:t> </w:t>
      </w:r>
      <w:r>
        <w:rPr/>
        <w:t>reto</w:t>
      </w:r>
      <w:r>
        <w:rPr>
          <w:spacing w:val="-17"/>
        </w:rPr>
        <w:t> </w:t>
      </w:r>
      <w:r>
        <w:rPr/>
        <w:t>adicional, probablemente el más importante, que es la construcción de un sistema de archivo en los municipios del país. Ya que solo 28.6 por ciento de los municipios cuenten con</w:t>
      </w:r>
      <w:r>
        <w:rPr>
          <w:spacing w:val="-5"/>
        </w:rPr>
        <w:t> </w:t>
      </w:r>
      <w:r>
        <w:rPr/>
        <w:t>un</w:t>
      </w:r>
      <w:r>
        <w:rPr>
          <w:spacing w:val="-5"/>
        </w:rPr>
        <w:t> </w:t>
      </w:r>
      <w:r>
        <w:rPr/>
        <w:t>procedimiento</w:t>
      </w:r>
      <w:r>
        <w:rPr>
          <w:spacing w:val="-8"/>
        </w:rPr>
        <w:t> </w:t>
      </w:r>
      <w:r>
        <w:rPr/>
        <w:t>de</w:t>
      </w:r>
      <w:r>
        <w:rPr>
          <w:spacing w:val="-5"/>
        </w:rPr>
        <w:t> </w:t>
      </w:r>
      <w:r>
        <w:rPr/>
        <w:t>organización,</w:t>
      </w:r>
      <w:r>
        <w:rPr>
          <w:spacing w:val="-5"/>
        </w:rPr>
        <w:t> </w:t>
      </w:r>
      <w:r>
        <w:rPr/>
        <w:t>protección</w:t>
      </w:r>
      <w:r>
        <w:rPr>
          <w:spacing w:val="-4"/>
        </w:rPr>
        <w:t> </w:t>
      </w:r>
      <w:r>
        <w:rPr/>
        <w:t>y</w:t>
      </w:r>
      <w:r>
        <w:rPr>
          <w:spacing w:val="-7"/>
        </w:rPr>
        <w:t> </w:t>
      </w:r>
      <w:r>
        <w:rPr/>
        <w:t>mantenimiento</w:t>
      </w:r>
      <w:r>
        <w:rPr>
          <w:spacing w:val="-6"/>
        </w:rPr>
        <w:t> </w:t>
      </w:r>
      <w:r>
        <w:rPr/>
        <w:t>de</w:t>
      </w:r>
      <w:r>
        <w:rPr>
          <w:spacing w:val="-5"/>
        </w:rPr>
        <w:t> </w:t>
      </w:r>
      <w:r>
        <w:rPr/>
        <w:t>archivos.</w:t>
      </w:r>
      <w:r>
        <w:rPr>
          <w:spacing w:val="-5"/>
        </w:rPr>
        <w:t> </w:t>
      </w:r>
      <w:r>
        <w:rPr/>
        <w:t>No</w:t>
      </w:r>
    </w:p>
    <w:p>
      <w:pPr>
        <w:spacing w:after="0" w:line="360" w:lineRule="auto"/>
        <w:jc w:val="both"/>
        <w:sectPr>
          <w:pgSz w:w="12240" w:h="15840"/>
          <w:pgMar w:header="0" w:footer="1035" w:top="1360" w:bottom="1220" w:left="1600" w:right="1580"/>
        </w:sectPr>
      </w:pPr>
    </w:p>
    <w:p>
      <w:pPr>
        <w:pStyle w:val="BodyText"/>
        <w:spacing w:line="360" w:lineRule="auto" w:before="54"/>
        <w:ind w:left="102" w:right="119"/>
        <w:jc w:val="both"/>
      </w:pPr>
      <w:r>
        <w:rPr/>
        <w:t>habrá normatividad, ni institución que logre solventar la ausencia de información. También es alarmante que 15 por ciento de los municipios no cuente con ningún mecanismo</w:t>
      </w:r>
      <w:r>
        <w:rPr>
          <w:spacing w:val="-14"/>
        </w:rPr>
        <w:t> </w:t>
      </w:r>
      <w:r>
        <w:rPr/>
        <w:t>de</w:t>
      </w:r>
      <w:r>
        <w:rPr>
          <w:spacing w:val="-14"/>
        </w:rPr>
        <w:t> </w:t>
      </w:r>
      <w:r>
        <w:rPr/>
        <w:t>transparencia</w:t>
      </w:r>
      <w:r>
        <w:rPr>
          <w:spacing w:val="-12"/>
        </w:rPr>
        <w:t> </w:t>
      </w:r>
      <w:r>
        <w:rPr/>
        <w:t>y</w:t>
      </w:r>
      <w:r>
        <w:rPr>
          <w:spacing w:val="-15"/>
        </w:rPr>
        <w:t> </w:t>
      </w:r>
      <w:r>
        <w:rPr/>
        <w:t>que</w:t>
      </w:r>
      <w:r>
        <w:rPr>
          <w:spacing w:val="-14"/>
        </w:rPr>
        <w:t> </w:t>
      </w:r>
      <w:r>
        <w:rPr/>
        <w:t>14</w:t>
      </w:r>
      <w:r>
        <w:rPr>
          <w:spacing w:val="-14"/>
        </w:rPr>
        <w:t> </w:t>
      </w:r>
      <w:r>
        <w:rPr/>
        <w:t>por</w:t>
      </w:r>
      <w:r>
        <w:rPr>
          <w:spacing w:val="-10"/>
        </w:rPr>
        <w:t> </w:t>
      </w:r>
      <w:r>
        <w:rPr/>
        <w:t>ciento</w:t>
      </w:r>
      <w:r>
        <w:rPr>
          <w:spacing w:val="-14"/>
        </w:rPr>
        <w:t> </w:t>
      </w:r>
      <w:r>
        <w:rPr/>
        <w:t>indique</w:t>
      </w:r>
      <w:r>
        <w:rPr>
          <w:spacing w:val="-14"/>
        </w:rPr>
        <w:t> </w:t>
      </w:r>
      <w:r>
        <w:rPr/>
        <w:t>no</w:t>
      </w:r>
      <w:r>
        <w:rPr>
          <w:spacing w:val="-14"/>
        </w:rPr>
        <w:t> </w:t>
      </w:r>
      <w:r>
        <w:rPr/>
        <w:t>contar</w:t>
      </w:r>
      <w:r>
        <w:rPr>
          <w:spacing w:val="-16"/>
        </w:rPr>
        <w:t> </w:t>
      </w:r>
      <w:r>
        <w:rPr/>
        <w:t>con</w:t>
      </w:r>
      <w:r>
        <w:rPr>
          <w:spacing w:val="-14"/>
        </w:rPr>
        <w:t> </w:t>
      </w:r>
      <w:r>
        <w:rPr/>
        <w:t>mecanismos de control</w:t>
      </w:r>
      <w:r>
        <w:rPr>
          <w:spacing w:val="-4"/>
        </w:rPr>
        <w:t> </w:t>
      </w:r>
      <w:r>
        <w:rPr/>
        <w:t>interno.</w:t>
      </w:r>
    </w:p>
    <w:p>
      <w:pPr>
        <w:pStyle w:val="BodyText"/>
      </w:pPr>
    </w:p>
    <w:p>
      <w:pPr>
        <w:pStyle w:val="BodyText"/>
      </w:pPr>
    </w:p>
    <w:p>
      <w:pPr>
        <w:pStyle w:val="BodyText"/>
        <w:spacing w:before="2"/>
        <w:rPr>
          <w:sz w:val="23"/>
        </w:rPr>
      </w:pPr>
    </w:p>
    <w:p>
      <w:pPr>
        <w:pStyle w:val="BodyText"/>
        <w:spacing w:line="360" w:lineRule="auto"/>
        <w:ind w:left="102" w:right="119"/>
        <w:jc w:val="both"/>
      </w:pPr>
      <w:r>
        <w:rPr/>
        <w:t>Por ello es importante contar con datos concretos sobre el número de solicitudes que reciben los gobiernos municipales, temas recurrentes de estas solicitudes, número de recursos de revisión, características de las unidades de acceso, así como información sobre el uso que el propio gobierno municipal hace de las estadísticas sobre el tema para retroalimentar la gestión gubernamental (Ríos, 2011).</w:t>
      </w:r>
    </w:p>
    <w:p>
      <w:pPr>
        <w:pStyle w:val="BodyText"/>
      </w:pPr>
    </w:p>
    <w:p>
      <w:pPr>
        <w:pStyle w:val="BodyText"/>
      </w:pPr>
    </w:p>
    <w:p>
      <w:pPr>
        <w:pStyle w:val="BodyText"/>
        <w:spacing w:before="7"/>
        <w:rPr>
          <w:sz w:val="19"/>
        </w:rPr>
      </w:pPr>
    </w:p>
    <w:p>
      <w:pPr>
        <w:pStyle w:val="BodyText"/>
        <w:spacing w:line="360" w:lineRule="auto"/>
        <w:ind w:left="102" w:right="114"/>
        <w:jc w:val="both"/>
      </w:pPr>
      <w:r>
        <w:rPr/>
        <w:t>Asimismo, este estudio confirma, con base en un análisis anterior (Quintanilla, 2012), que la transparencia en los sitios web mexicanos solo alcanza 53.2% y continúa</w:t>
      </w:r>
      <w:r>
        <w:rPr>
          <w:spacing w:val="-4"/>
        </w:rPr>
        <w:t> </w:t>
      </w:r>
      <w:r>
        <w:rPr/>
        <w:t>siendo,</w:t>
      </w:r>
      <w:r>
        <w:rPr>
          <w:spacing w:val="-6"/>
        </w:rPr>
        <w:t> </w:t>
      </w:r>
      <w:r>
        <w:rPr/>
        <w:t>por</w:t>
      </w:r>
      <w:r>
        <w:rPr>
          <w:spacing w:val="-5"/>
        </w:rPr>
        <w:t> </w:t>
      </w:r>
      <w:r>
        <w:rPr/>
        <w:t>tanto,</w:t>
      </w:r>
      <w:r>
        <w:rPr>
          <w:spacing w:val="-6"/>
        </w:rPr>
        <w:t> </w:t>
      </w:r>
      <w:r>
        <w:rPr/>
        <w:t>un</w:t>
      </w:r>
      <w:r>
        <w:rPr>
          <w:spacing w:val="-4"/>
        </w:rPr>
        <w:t> </w:t>
      </w:r>
      <w:r>
        <w:rPr/>
        <w:t>elemento</w:t>
      </w:r>
      <w:r>
        <w:rPr>
          <w:spacing w:val="-6"/>
        </w:rPr>
        <w:t> </w:t>
      </w:r>
      <w:r>
        <w:rPr/>
        <w:t>del</w:t>
      </w:r>
      <w:r>
        <w:rPr>
          <w:spacing w:val="-5"/>
        </w:rPr>
        <w:t> </w:t>
      </w:r>
      <w:r>
        <w:rPr/>
        <w:t>gobierno</w:t>
      </w:r>
      <w:r>
        <w:rPr>
          <w:spacing w:val="-4"/>
        </w:rPr>
        <w:t> </w:t>
      </w:r>
      <w:r>
        <w:rPr/>
        <w:t>que</w:t>
      </w:r>
      <w:r>
        <w:rPr>
          <w:spacing w:val="-4"/>
        </w:rPr>
        <w:t> </w:t>
      </w:r>
      <w:r>
        <w:rPr/>
        <w:t>requiere</w:t>
      </w:r>
      <w:r>
        <w:rPr>
          <w:spacing w:val="-4"/>
        </w:rPr>
        <w:t> </w:t>
      </w:r>
      <w:r>
        <w:rPr/>
        <w:t>ser</w:t>
      </w:r>
      <w:r>
        <w:rPr>
          <w:spacing w:val="-5"/>
        </w:rPr>
        <w:t> </w:t>
      </w:r>
      <w:r>
        <w:rPr/>
        <w:t>atendido</w:t>
      </w:r>
      <w:r>
        <w:rPr>
          <w:spacing w:val="-6"/>
        </w:rPr>
        <w:t> </w:t>
      </w:r>
      <w:r>
        <w:rPr/>
        <w:t>con mayor énfasis. No basta tener el reconocimiento internacional sobre el accionar mexicano, sino asegurar a los mexicanos que existe la transparencia gubernamental y que la corrupción a todos los niveles está siendo</w:t>
      </w:r>
      <w:r>
        <w:rPr>
          <w:spacing w:val="-24"/>
        </w:rPr>
        <w:t> </w:t>
      </w:r>
      <w:r>
        <w:rPr/>
        <w:t>erradicada.</w:t>
      </w:r>
    </w:p>
    <w:p>
      <w:pPr>
        <w:pStyle w:val="BodyText"/>
      </w:pPr>
    </w:p>
    <w:p>
      <w:pPr>
        <w:pStyle w:val="BodyText"/>
      </w:pPr>
    </w:p>
    <w:p>
      <w:pPr>
        <w:pStyle w:val="BodyText"/>
        <w:spacing w:before="2"/>
        <w:rPr>
          <w:sz w:val="23"/>
        </w:rPr>
      </w:pPr>
    </w:p>
    <w:p>
      <w:pPr>
        <w:pStyle w:val="BodyText"/>
        <w:spacing w:line="360" w:lineRule="auto"/>
        <w:ind w:left="102" w:right="125"/>
        <w:jc w:val="both"/>
      </w:pPr>
      <w:r>
        <w:rPr/>
        <w:t>No obstante, los datos también hacen patente la importante heterogeneidad que impera entre los municipios mexicanos, siendo la única tendencia en firme la poca permeabilidad de la región sur a los mecanismos de transparencia. A pesar de que el horizonte es dispar, hay retos evidentes que demandan atención y que la Encuesta 2009 solo permite atisbar (Ríos, 2011).</w:t>
      </w:r>
    </w:p>
    <w:p>
      <w:pPr>
        <w:pStyle w:val="BodyText"/>
      </w:pPr>
    </w:p>
    <w:p>
      <w:pPr>
        <w:pStyle w:val="BodyText"/>
      </w:pPr>
    </w:p>
    <w:p>
      <w:pPr>
        <w:pStyle w:val="BodyText"/>
        <w:spacing w:line="360" w:lineRule="auto" w:before="185"/>
        <w:ind w:left="102" w:right="116"/>
        <w:jc w:val="both"/>
      </w:pPr>
      <w:r>
        <w:rPr/>
        <w:t>El reto institucional de la transparencia debe desarrollarse mediante una profunda comunicación,</w:t>
      </w:r>
      <w:r>
        <w:rPr>
          <w:spacing w:val="-12"/>
        </w:rPr>
        <w:t> </w:t>
      </w:r>
      <w:r>
        <w:rPr/>
        <w:t>que</w:t>
      </w:r>
      <w:r>
        <w:rPr>
          <w:spacing w:val="-12"/>
        </w:rPr>
        <w:t> </w:t>
      </w:r>
      <w:r>
        <w:rPr/>
        <w:t>venza</w:t>
      </w:r>
      <w:r>
        <w:rPr>
          <w:spacing w:val="-12"/>
        </w:rPr>
        <w:t> </w:t>
      </w:r>
      <w:r>
        <w:rPr/>
        <w:t>resistencias</w:t>
      </w:r>
      <w:r>
        <w:rPr>
          <w:spacing w:val="-12"/>
        </w:rPr>
        <w:t> </w:t>
      </w:r>
      <w:r>
        <w:rPr/>
        <w:t>no</w:t>
      </w:r>
      <w:r>
        <w:rPr>
          <w:spacing w:val="-8"/>
        </w:rPr>
        <w:t> </w:t>
      </w:r>
      <w:r>
        <w:rPr/>
        <w:t>solo</w:t>
      </w:r>
      <w:r>
        <w:rPr>
          <w:spacing w:val="-14"/>
        </w:rPr>
        <w:t> </w:t>
      </w:r>
      <w:r>
        <w:rPr/>
        <w:t>a</w:t>
      </w:r>
      <w:r>
        <w:rPr>
          <w:spacing w:val="-12"/>
        </w:rPr>
        <w:t> </w:t>
      </w:r>
      <w:r>
        <w:rPr/>
        <w:t>través</w:t>
      </w:r>
      <w:r>
        <w:rPr>
          <w:spacing w:val="-13"/>
        </w:rPr>
        <w:t> </w:t>
      </w:r>
      <w:r>
        <w:rPr/>
        <w:t>de</w:t>
      </w:r>
      <w:r>
        <w:rPr>
          <w:spacing w:val="-12"/>
        </w:rPr>
        <w:t> </w:t>
      </w:r>
      <w:r>
        <w:rPr/>
        <w:t>incentivos</w:t>
      </w:r>
      <w:r>
        <w:rPr>
          <w:spacing w:val="-13"/>
        </w:rPr>
        <w:t> </w:t>
      </w:r>
      <w:r>
        <w:rPr/>
        <w:t>negativos,</w:t>
      </w:r>
      <w:r>
        <w:rPr>
          <w:spacing w:val="-12"/>
        </w:rPr>
        <w:t> </w:t>
      </w:r>
      <w:r>
        <w:rPr/>
        <w:t>sino también  con  la  incorporación  del  discurso y la  lógica  de  la  transparencia a </w:t>
      </w:r>
      <w:r>
        <w:rPr>
          <w:spacing w:val="45"/>
        </w:rPr>
        <w:t> </w:t>
      </w:r>
      <w:r>
        <w:rPr/>
        <w:t>la</w:t>
      </w:r>
    </w:p>
    <w:p>
      <w:pPr>
        <w:spacing w:after="0" w:line="360" w:lineRule="auto"/>
        <w:jc w:val="both"/>
        <w:sectPr>
          <w:pgSz w:w="12240" w:h="15840"/>
          <w:pgMar w:header="0" w:footer="1035" w:top="1360" w:bottom="1220" w:left="1600" w:right="1580"/>
        </w:sectPr>
      </w:pPr>
    </w:p>
    <w:p>
      <w:pPr>
        <w:pStyle w:val="BodyText"/>
        <w:spacing w:line="360" w:lineRule="auto" w:before="54"/>
        <w:ind w:left="102" w:right="122"/>
        <w:jc w:val="both"/>
      </w:pPr>
      <w:r>
        <w:rPr/>
        <w:t>actividad cotidiana. Las políticas de transparencia implican costos organizativos importantes: áreas dedicadas al mantenimiento de la información, áreas de enlace y</w:t>
      </w:r>
      <w:r>
        <w:rPr>
          <w:spacing w:val="-7"/>
        </w:rPr>
        <w:t> </w:t>
      </w:r>
      <w:r>
        <w:rPr/>
        <w:t>páginas</w:t>
      </w:r>
      <w:r>
        <w:rPr>
          <w:spacing w:val="-4"/>
        </w:rPr>
        <w:t> </w:t>
      </w:r>
      <w:r>
        <w:rPr/>
        <w:t>web.</w:t>
      </w:r>
      <w:r>
        <w:rPr>
          <w:spacing w:val="-4"/>
        </w:rPr>
        <w:t> </w:t>
      </w:r>
      <w:r>
        <w:rPr/>
        <w:t>Otros</w:t>
      </w:r>
      <w:r>
        <w:rPr>
          <w:spacing w:val="-7"/>
        </w:rPr>
        <w:t> </w:t>
      </w:r>
      <w:r>
        <w:rPr/>
        <w:t>menos</w:t>
      </w:r>
      <w:r>
        <w:rPr>
          <w:spacing w:val="-4"/>
        </w:rPr>
        <w:t> </w:t>
      </w:r>
      <w:r>
        <w:rPr/>
        <w:t>evidentes:</w:t>
      </w:r>
      <w:r>
        <w:rPr>
          <w:spacing w:val="-6"/>
        </w:rPr>
        <w:t> </w:t>
      </w:r>
      <w:r>
        <w:rPr/>
        <w:t>el</w:t>
      </w:r>
      <w:r>
        <w:rPr>
          <w:spacing w:val="-5"/>
        </w:rPr>
        <w:t> </w:t>
      </w:r>
      <w:r>
        <w:rPr/>
        <w:t>costo</w:t>
      </w:r>
      <w:r>
        <w:rPr>
          <w:spacing w:val="-3"/>
        </w:rPr>
        <w:t> </w:t>
      </w:r>
      <w:r>
        <w:rPr/>
        <w:t>del</w:t>
      </w:r>
      <w:r>
        <w:rPr>
          <w:spacing w:val="-5"/>
        </w:rPr>
        <w:t> </w:t>
      </w:r>
      <w:r>
        <w:rPr/>
        <w:t>uso</w:t>
      </w:r>
      <w:r>
        <w:rPr>
          <w:spacing w:val="-6"/>
        </w:rPr>
        <w:t> </w:t>
      </w:r>
      <w:r>
        <w:rPr/>
        <w:t>del</w:t>
      </w:r>
      <w:r>
        <w:rPr>
          <w:spacing w:val="-7"/>
        </w:rPr>
        <w:t> </w:t>
      </w:r>
      <w:r>
        <w:rPr/>
        <w:t>tiempo</w:t>
      </w:r>
      <w:r>
        <w:rPr>
          <w:spacing w:val="-6"/>
        </w:rPr>
        <w:t> </w:t>
      </w:r>
      <w:r>
        <w:rPr/>
        <w:t>de</w:t>
      </w:r>
      <w:r>
        <w:rPr>
          <w:spacing w:val="-4"/>
        </w:rPr>
        <w:t> </w:t>
      </w:r>
      <w:r>
        <w:rPr/>
        <w:t>las</w:t>
      </w:r>
      <w:r>
        <w:rPr>
          <w:spacing w:val="-6"/>
        </w:rPr>
        <w:t> </w:t>
      </w:r>
      <w:r>
        <w:rPr/>
        <w:t>personas que</w:t>
      </w:r>
      <w:r>
        <w:rPr>
          <w:spacing w:val="-10"/>
        </w:rPr>
        <w:t> </w:t>
      </w:r>
      <w:r>
        <w:rPr/>
        <w:t>tendrán</w:t>
      </w:r>
      <w:r>
        <w:rPr>
          <w:spacing w:val="-12"/>
        </w:rPr>
        <w:t> </w:t>
      </w:r>
      <w:r>
        <w:rPr/>
        <w:t>que</w:t>
      </w:r>
      <w:r>
        <w:rPr>
          <w:spacing w:val="-12"/>
        </w:rPr>
        <w:t> </w:t>
      </w:r>
      <w:r>
        <w:rPr/>
        <w:t>dedicarse</w:t>
      </w:r>
      <w:r>
        <w:rPr>
          <w:spacing w:val="-11"/>
        </w:rPr>
        <w:t> </w:t>
      </w:r>
      <w:r>
        <w:rPr/>
        <w:t>a</w:t>
      </w:r>
      <w:r>
        <w:rPr>
          <w:spacing w:val="-12"/>
        </w:rPr>
        <w:t> </w:t>
      </w:r>
      <w:r>
        <w:rPr/>
        <w:t>preparar</w:t>
      </w:r>
      <w:r>
        <w:rPr>
          <w:spacing w:val="-12"/>
        </w:rPr>
        <w:t> </w:t>
      </w:r>
      <w:r>
        <w:rPr/>
        <w:t>información</w:t>
      </w:r>
      <w:r>
        <w:rPr>
          <w:spacing w:val="-12"/>
        </w:rPr>
        <w:t> </w:t>
      </w:r>
      <w:r>
        <w:rPr/>
        <w:t>para</w:t>
      </w:r>
      <w:r>
        <w:rPr>
          <w:spacing w:val="-12"/>
        </w:rPr>
        <w:t> </w:t>
      </w:r>
      <w:r>
        <w:rPr/>
        <w:t>su</w:t>
      </w:r>
      <w:r>
        <w:rPr>
          <w:spacing w:val="-12"/>
        </w:rPr>
        <w:t> </w:t>
      </w:r>
      <w:r>
        <w:rPr/>
        <w:t>entrega</w:t>
      </w:r>
      <w:r>
        <w:rPr>
          <w:spacing w:val="-10"/>
        </w:rPr>
        <w:t> </w:t>
      </w:r>
      <w:r>
        <w:rPr/>
        <w:t>(Arellano,</w:t>
      </w:r>
      <w:r>
        <w:rPr>
          <w:spacing w:val="-12"/>
        </w:rPr>
        <w:t> </w:t>
      </w:r>
      <w:r>
        <w:rPr/>
        <w:t>2007).</w:t>
      </w:r>
    </w:p>
    <w:p>
      <w:pPr>
        <w:pStyle w:val="BodyText"/>
      </w:pPr>
    </w:p>
    <w:p>
      <w:pPr>
        <w:pStyle w:val="BodyText"/>
      </w:pPr>
    </w:p>
    <w:p>
      <w:pPr>
        <w:pStyle w:val="BodyText"/>
        <w:spacing w:line="360" w:lineRule="auto" w:before="185"/>
        <w:ind w:left="102" w:right="119"/>
        <w:jc w:val="both"/>
      </w:pPr>
      <w:r>
        <w:rPr/>
        <w:t>En este sentido el diseño institucional es un reto enorme de las ciencias sociales aplicadas. Por ello, es importante no perder de vista los límites de este diseño cuando hablamos de relaciones sociales en el espacio político y organizado de los aparatos gubernamentales. En efecto, la separación entre instituciones y organizaciones puede ser analíticamente aceptable y útil, pero es muy limitada cuando no solo estudiamos la dinámica social bajo los lentes de la teoría, sino también a la luz de las anomalías o efectos distintos a los predichos. En vez de insistir en que los efectos no esperados o negativos se deben a errores de diseño institucional −como por lo regular lo hace el NIE−, habría que enfatizar la probabilidad de que dichos efectos se deben a dinámicas sociales y organizacionales particulares” (Arellano y Lepore, 2009).</w:t>
      </w:r>
    </w:p>
    <w:p>
      <w:pPr>
        <w:pStyle w:val="BodyText"/>
      </w:pPr>
    </w:p>
    <w:p>
      <w:pPr>
        <w:pStyle w:val="BodyText"/>
      </w:pPr>
    </w:p>
    <w:p>
      <w:pPr>
        <w:pStyle w:val="BodyText"/>
        <w:spacing w:line="360" w:lineRule="auto" w:before="185"/>
        <w:ind w:left="102" w:right="117"/>
        <w:jc w:val="both"/>
      </w:pPr>
      <w:r>
        <w:rPr/>
        <w:t>Resumiendo, el reto actual para la transparencia consiste en asegurar la implementación y la práctica sean competentes. Es necesario construir un sistema de estándares altos a partir de las mejores prácticas que ciertamente están emergiendo de forma lenta. Se debe construir una integralidad en donde la transparencia tenga un papel activo, ésta debe retroalimentarse y reconstruir al garantizarse el “valor de la información” para agentes concretos que involucran al Estado, como la defensa de sus derechos (consumidores, agentes económicos, actores sociales). De igual forma, debe darse una retroalimentación y un fortalecimiento dinámico entre políticas públicas de transparencia y muchas otras políticas públicas. En la medida en que esto se logre, se irá ganando la batalla por la transparencia y asegurando el valor de la información (Cantú </w:t>
      </w:r>
      <w:r>
        <w:rPr>
          <w:i/>
        </w:rPr>
        <w:t>et al</w:t>
      </w:r>
      <w:r>
        <w:rPr/>
        <w:t>., 2011, Dolz, 2011).</w:t>
      </w:r>
    </w:p>
    <w:p>
      <w:pPr>
        <w:spacing w:after="0" w:line="360" w:lineRule="auto"/>
        <w:jc w:val="both"/>
        <w:sectPr>
          <w:pgSz w:w="12240" w:h="15840"/>
          <w:pgMar w:header="0" w:footer="1035" w:top="1360" w:bottom="1220" w:left="1600" w:right="1580"/>
        </w:sectPr>
      </w:pPr>
    </w:p>
    <w:p>
      <w:pPr>
        <w:pStyle w:val="Heading1"/>
        <w:numPr>
          <w:ilvl w:val="2"/>
          <w:numId w:val="42"/>
        </w:numPr>
        <w:tabs>
          <w:tab w:pos="830" w:val="left" w:leader="none"/>
        </w:tabs>
        <w:spacing w:line="240" w:lineRule="auto" w:before="54" w:after="0"/>
        <w:ind w:left="830" w:right="0" w:hanging="720"/>
        <w:jc w:val="both"/>
      </w:pPr>
      <w:r>
        <w:rPr/>
        <w:t>Índice Nacional de Corrupción y Buen</w:t>
      </w:r>
      <w:r>
        <w:rPr>
          <w:spacing w:val="-8"/>
        </w:rPr>
        <w:t> </w:t>
      </w:r>
      <w:r>
        <w:rPr/>
        <w:t>Gobierno</w:t>
      </w:r>
    </w:p>
    <w:p>
      <w:pPr>
        <w:pStyle w:val="BodyText"/>
        <w:rPr>
          <w:b/>
        </w:rPr>
      </w:pPr>
    </w:p>
    <w:p>
      <w:pPr>
        <w:pStyle w:val="BodyText"/>
        <w:spacing w:before="8"/>
        <w:rPr>
          <w:b/>
          <w:sz w:val="26"/>
        </w:rPr>
      </w:pPr>
    </w:p>
    <w:p>
      <w:pPr>
        <w:pStyle w:val="BodyText"/>
        <w:spacing w:line="360" w:lineRule="auto"/>
        <w:ind w:left="122" w:right="116"/>
        <w:jc w:val="both"/>
      </w:pPr>
      <w:r>
        <w:rPr/>
        <w:t>El Índice Nacional de Corrupción y Buen Gobierno</w:t>
      </w:r>
      <w:r>
        <w:rPr>
          <w:position w:val="8"/>
          <w:sz w:val="16"/>
        </w:rPr>
        <w:t>25 </w:t>
      </w:r>
      <w:r>
        <w:rPr/>
        <w:t>el Estado de México se ubica en el lugar 31 de 32. En cuanto al ámbito municipal se ha identificado el caso del Rankin municipal promovido por la asociación de Ciudadanos por Municipios Transparentes (CIMTRA)</w:t>
      </w:r>
      <w:r>
        <w:rPr>
          <w:position w:val="8"/>
          <w:sz w:val="16"/>
        </w:rPr>
        <w:t>26</w:t>
      </w:r>
      <w:r>
        <w:rPr/>
        <w:t>, en el que los municipios de Toluca y Metepec ocupan los lugares 105 y 88 respectivamente de 175 municipios del país analizados.</w:t>
      </w:r>
    </w:p>
    <w:p>
      <w:pPr>
        <w:pStyle w:val="BodyText"/>
      </w:pPr>
    </w:p>
    <w:p>
      <w:pPr>
        <w:pStyle w:val="BodyText"/>
      </w:pPr>
    </w:p>
    <w:p>
      <w:pPr>
        <w:pStyle w:val="BodyText"/>
        <w:spacing w:line="360" w:lineRule="auto" w:before="188"/>
        <w:ind w:left="122" w:right="118"/>
        <w:jc w:val="both"/>
      </w:pPr>
      <w:r>
        <w:rPr/>
        <w:t>En</w:t>
      </w:r>
      <w:r>
        <w:rPr>
          <w:spacing w:val="-8"/>
        </w:rPr>
        <w:t> </w:t>
      </w:r>
      <w:r>
        <w:rPr/>
        <w:t>lo</w:t>
      </w:r>
      <w:r>
        <w:rPr>
          <w:spacing w:val="-11"/>
        </w:rPr>
        <w:t> </w:t>
      </w:r>
      <w:r>
        <w:rPr/>
        <w:t>que</w:t>
      </w:r>
      <w:r>
        <w:rPr>
          <w:spacing w:val="-8"/>
        </w:rPr>
        <w:t> </w:t>
      </w:r>
      <w:r>
        <w:rPr/>
        <w:t>respecta</w:t>
      </w:r>
      <w:r>
        <w:rPr>
          <w:spacing w:val="-8"/>
        </w:rPr>
        <w:t> </w:t>
      </w:r>
      <w:r>
        <w:rPr/>
        <w:t>a</w:t>
      </w:r>
      <w:r>
        <w:rPr>
          <w:spacing w:val="-11"/>
        </w:rPr>
        <w:t> </w:t>
      </w:r>
      <w:r>
        <w:rPr/>
        <w:t>la</w:t>
      </w:r>
      <w:r>
        <w:rPr>
          <w:spacing w:val="-11"/>
        </w:rPr>
        <w:t> </w:t>
      </w:r>
      <w:r>
        <w:rPr/>
        <w:t>corrupción</w:t>
      </w:r>
      <w:r>
        <w:rPr>
          <w:spacing w:val="-10"/>
        </w:rPr>
        <w:t> </w:t>
      </w:r>
      <w:r>
        <w:rPr/>
        <w:t>en</w:t>
      </w:r>
      <w:r>
        <w:rPr>
          <w:spacing w:val="-8"/>
        </w:rPr>
        <w:t> </w:t>
      </w:r>
      <w:r>
        <w:rPr/>
        <w:t>el</w:t>
      </w:r>
      <w:r>
        <w:rPr>
          <w:spacing w:val="-9"/>
        </w:rPr>
        <w:t> </w:t>
      </w:r>
      <w:r>
        <w:rPr/>
        <w:t>Estado</w:t>
      </w:r>
      <w:r>
        <w:rPr>
          <w:spacing w:val="-8"/>
        </w:rPr>
        <w:t> </w:t>
      </w:r>
      <w:r>
        <w:rPr/>
        <w:t>de</w:t>
      </w:r>
      <w:r>
        <w:rPr>
          <w:spacing w:val="-8"/>
        </w:rPr>
        <w:t> </w:t>
      </w:r>
      <w:r>
        <w:rPr/>
        <w:t>México,</w:t>
      </w:r>
      <w:r>
        <w:rPr>
          <w:spacing w:val="-9"/>
        </w:rPr>
        <w:t> </w:t>
      </w:r>
      <w:r>
        <w:rPr/>
        <w:t>el</w:t>
      </w:r>
      <w:r>
        <w:rPr>
          <w:spacing w:val="-12"/>
        </w:rPr>
        <w:t> </w:t>
      </w:r>
      <w:r>
        <w:rPr/>
        <w:t>discurso</w:t>
      </w:r>
      <w:r>
        <w:rPr>
          <w:spacing w:val="-8"/>
        </w:rPr>
        <w:t> </w:t>
      </w:r>
      <w:r>
        <w:rPr/>
        <w:t>oficial</w:t>
      </w:r>
      <w:r>
        <w:rPr>
          <w:spacing w:val="-10"/>
        </w:rPr>
        <w:t> </w:t>
      </w:r>
      <w:r>
        <w:rPr/>
        <w:t>resalta cómo esta entidad ocupa la primera posición en el Índice de Transparencia y Disponibilidad</w:t>
      </w:r>
      <w:r>
        <w:rPr>
          <w:spacing w:val="-18"/>
        </w:rPr>
        <w:t> </w:t>
      </w:r>
      <w:r>
        <w:rPr/>
        <w:t>de</w:t>
      </w:r>
      <w:r>
        <w:rPr>
          <w:spacing w:val="-16"/>
        </w:rPr>
        <w:t> </w:t>
      </w:r>
      <w:r>
        <w:rPr/>
        <w:t>la</w:t>
      </w:r>
      <w:r>
        <w:rPr>
          <w:spacing w:val="-18"/>
        </w:rPr>
        <w:t> </w:t>
      </w:r>
      <w:r>
        <w:rPr/>
        <w:t>Información</w:t>
      </w:r>
      <w:r>
        <w:rPr>
          <w:spacing w:val="-16"/>
        </w:rPr>
        <w:t> </w:t>
      </w:r>
      <w:r>
        <w:rPr/>
        <w:t>Fiscal</w:t>
      </w:r>
      <w:r>
        <w:rPr>
          <w:spacing w:val="-19"/>
        </w:rPr>
        <w:t> </w:t>
      </w:r>
      <w:r>
        <w:rPr/>
        <w:t>de</w:t>
      </w:r>
      <w:r>
        <w:rPr>
          <w:spacing w:val="-18"/>
        </w:rPr>
        <w:t> </w:t>
      </w:r>
      <w:r>
        <w:rPr/>
        <w:t>las</w:t>
      </w:r>
      <w:r>
        <w:rPr>
          <w:spacing w:val="-18"/>
        </w:rPr>
        <w:t> </w:t>
      </w:r>
      <w:r>
        <w:rPr/>
        <w:t>Entidades</w:t>
      </w:r>
      <w:r>
        <w:rPr>
          <w:spacing w:val="-21"/>
        </w:rPr>
        <w:t> </w:t>
      </w:r>
      <w:r>
        <w:rPr/>
        <w:t>federativas</w:t>
      </w:r>
      <w:r>
        <w:rPr>
          <w:spacing w:val="-19"/>
        </w:rPr>
        <w:t> </w:t>
      </w:r>
      <w:r>
        <w:rPr/>
        <w:t>del</w:t>
      </w:r>
      <w:r>
        <w:rPr>
          <w:spacing w:val="-17"/>
        </w:rPr>
        <w:t> </w:t>
      </w:r>
      <w:r>
        <w:rPr/>
        <w:t>país</w:t>
      </w:r>
      <w:r>
        <w:rPr>
          <w:spacing w:val="-16"/>
        </w:rPr>
        <w:t> </w:t>
      </w:r>
      <w:r>
        <w:rPr/>
        <w:t>en</w:t>
      </w:r>
      <w:r>
        <w:rPr>
          <w:spacing w:val="-18"/>
        </w:rPr>
        <w:t> </w:t>
      </w:r>
      <w:r>
        <w:rPr/>
        <w:t>2013 (SHyCP,</w:t>
      </w:r>
      <w:r>
        <w:rPr>
          <w:spacing w:val="-14"/>
        </w:rPr>
        <w:t> </w:t>
      </w:r>
      <w:r>
        <w:rPr/>
        <w:t>2013)</w:t>
      </w:r>
      <w:r>
        <w:rPr>
          <w:spacing w:val="-16"/>
        </w:rPr>
        <w:t> </w:t>
      </w:r>
      <w:r>
        <w:rPr/>
        <w:t>y</w:t>
      </w:r>
      <w:r>
        <w:rPr>
          <w:spacing w:val="-17"/>
        </w:rPr>
        <w:t> </w:t>
      </w:r>
      <w:r>
        <w:rPr/>
        <w:t>oculta</w:t>
      </w:r>
      <w:r>
        <w:rPr>
          <w:spacing w:val="-14"/>
        </w:rPr>
        <w:t> </w:t>
      </w:r>
      <w:r>
        <w:rPr/>
        <w:t>que</w:t>
      </w:r>
      <w:r>
        <w:rPr>
          <w:spacing w:val="-14"/>
        </w:rPr>
        <w:t> </w:t>
      </w:r>
      <w:r>
        <w:rPr/>
        <w:t>es,</w:t>
      </w:r>
      <w:r>
        <w:rPr>
          <w:spacing w:val="-17"/>
        </w:rPr>
        <w:t> </w:t>
      </w:r>
      <w:r>
        <w:rPr/>
        <w:t>después</w:t>
      </w:r>
      <w:r>
        <w:rPr>
          <w:spacing w:val="-17"/>
        </w:rPr>
        <w:t> </w:t>
      </w:r>
      <w:r>
        <w:rPr/>
        <w:t>del</w:t>
      </w:r>
      <w:r>
        <w:rPr>
          <w:spacing w:val="-18"/>
        </w:rPr>
        <w:t> </w:t>
      </w:r>
      <w:r>
        <w:rPr/>
        <w:t>D.F.,</w:t>
      </w:r>
      <w:r>
        <w:rPr>
          <w:spacing w:val="-14"/>
        </w:rPr>
        <w:t> </w:t>
      </w:r>
      <w:r>
        <w:rPr/>
        <w:t>la</w:t>
      </w:r>
      <w:r>
        <w:rPr>
          <w:spacing w:val="-17"/>
        </w:rPr>
        <w:t> </w:t>
      </w:r>
      <w:r>
        <w:rPr/>
        <w:t>entidad</w:t>
      </w:r>
      <w:r>
        <w:rPr>
          <w:spacing w:val="-17"/>
        </w:rPr>
        <w:t> </w:t>
      </w:r>
      <w:r>
        <w:rPr/>
        <w:t>federativa</w:t>
      </w:r>
      <w:r>
        <w:rPr>
          <w:spacing w:val="-14"/>
        </w:rPr>
        <w:t> </w:t>
      </w:r>
      <w:r>
        <w:rPr/>
        <w:t>más</w:t>
      </w:r>
      <w:r>
        <w:rPr>
          <w:spacing w:val="-15"/>
        </w:rPr>
        <w:t> </w:t>
      </w:r>
      <w:r>
        <w:rPr/>
        <w:t>corrupta del país, lo que demuestra cómo la falta de transparencia en el gobierno sigue estando</w:t>
      </w:r>
      <w:r>
        <w:rPr>
          <w:spacing w:val="-14"/>
        </w:rPr>
        <w:t> </w:t>
      </w:r>
      <w:r>
        <w:rPr/>
        <w:t>vinculada</w:t>
      </w:r>
      <w:r>
        <w:rPr>
          <w:spacing w:val="-14"/>
        </w:rPr>
        <w:t> </w:t>
      </w:r>
      <w:r>
        <w:rPr/>
        <w:t>a</w:t>
      </w:r>
      <w:r>
        <w:rPr>
          <w:spacing w:val="-14"/>
        </w:rPr>
        <w:t> </w:t>
      </w:r>
      <w:r>
        <w:rPr/>
        <w:t>la</w:t>
      </w:r>
      <w:r>
        <w:rPr>
          <w:spacing w:val="-16"/>
        </w:rPr>
        <w:t> </w:t>
      </w:r>
      <w:r>
        <w:rPr/>
        <w:t>corrupción</w:t>
      </w:r>
      <w:r>
        <w:rPr>
          <w:spacing w:val="-14"/>
        </w:rPr>
        <w:t> </w:t>
      </w:r>
      <w:r>
        <w:rPr/>
        <w:t>si</w:t>
      </w:r>
      <w:r>
        <w:rPr>
          <w:spacing w:val="-14"/>
        </w:rPr>
        <w:t> </w:t>
      </w:r>
      <w:r>
        <w:rPr/>
        <w:t>consideramos</w:t>
      </w:r>
      <w:r>
        <w:rPr>
          <w:spacing w:val="-14"/>
        </w:rPr>
        <w:t> </w:t>
      </w:r>
      <w:r>
        <w:rPr/>
        <w:t>que</w:t>
      </w:r>
      <w:r>
        <w:rPr>
          <w:spacing w:val="-14"/>
        </w:rPr>
        <w:t> </w:t>
      </w:r>
      <w:r>
        <w:rPr/>
        <w:t>México</w:t>
      </w:r>
      <w:r>
        <w:rPr>
          <w:spacing w:val="-9"/>
        </w:rPr>
        <w:t> </w:t>
      </w:r>
      <w:r>
        <w:rPr/>
        <w:t>es</w:t>
      </w:r>
      <w:r>
        <w:rPr>
          <w:spacing w:val="-14"/>
        </w:rPr>
        <w:t> </w:t>
      </w:r>
      <w:r>
        <w:rPr/>
        <w:t>de</w:t>
      </w:r>
      <w:r>
        <w:rPr>
          <w:spacing w:val="-16"/>
        </w:rPr>
        <w:t> </w:t>
      </w:r>
      <w:r>
        <w:rPr/>
        <w:t>los</w:t>
      </w:r>
      <w:r>
        <w:rPr>
          <w:spacing w:val="-14"/>
        </w:rPr>
        <w:t> </w:t>
      </w:r>
      <w:r>
        <w:rPr/>
        <w:t>países</w:t>
      </w:r>
      <w:r>
        <w:rPr>
          <w:spacing w:val="-14"/>
        </w:rPr>
        <w:t> </w:t>
      </w:r>
      <w:r>
        <w:rPr/>
        <w:t>más recientes en crear su ley de transparencia e iniciar actividades correspondientes, aunado</w:t>
      </w:r>
      <w:r>
        <w:rPr>
          <w:spacing w:val="-6"/>
        </w:rPr>
        <w:t> </w:t>
      </w:r>
      <w:r>
        <w:rPr/>
        <w:t>a</w:t>
      </w:r>
      <w:r>
        <w:rPr>
          <w:spacing w:val="-6"/>
        </w:rPr>
        <w:t> </w:t>
      </w:r>
      <w:r>
        <w:rPr/>
        <w:t>la</w:t>
      </w:r>
      <w:r>
        <w:rPr>
          <w:spacing w:val="-6"/>
        </w:rPr>
        <w:t> </w:t>
      </w:r>
      <w:r>
        <w:rPr/>
        <w:t>reciente</w:t>
      </w:r>
      <w:r>
        <w:rPr>
          <w:spacing w:val="-6"/>
        </w:rPr>
        <w:t> </w:t>
      </w:r>
      <w:r>
        <w:rPr/>
        <w:t>alternancia</w:t>
      </w:r>
      <w:r>
        <w:rPr>
          <w:spacing w:val="-6"/>
        </w:rPr>
        <w:t> </w:t>
      </w:r>
      <w:r>
        <w:rPr/>
        <w:t>del</w:t>
      </w:r>
      <w:r>
        <w:rPr>
          <w:spacing w:val="-7"/>
        </w:rPr>
        <w:t> </w:t>
      </w:r>
      <w:r>
        <w:rPr/>
        <w:t>gobierno</w:t>
      </w:r>
      <w:r>
        <w:rPr>
          <w:spacing w:val="-8"/>
        </w:rPr>
        <w:t> </w:t>
      </w:r>
      <w:r>
        <w:rPr/>
        <w:t>federal</w:t>
      </w:r>
      <w:r>
        <w:rPr>
          <w:spacing w:val="-7"/>
        </w:rPr>
        <w:t> </w:t>
      </w:r>
      <w:r>
        <w:rPr/>
        <w:t>que</w:t>
      </w:r>
      <w:r>
        <w:rPr>
          <w:spacing w:val="-8"/>
        </w:rPr>
        <w:t> </w:t>
      </w:r>
      <w:r>
        <w:rPr/>
        <w:t>fue</w:t>
      </w:r>
      <w:r>
        <w:rPr>
          <w:spacing w:val="-6"/>
        </w:rPr>
        <w:t> </w:t>
      </w:r>
      <w:r>
        <w:rPr/>
        <w:t>el</w:t>
      </w:r>
      <w:r>
        <w:rPr>
          <w:spacing w:val="-7"/>
        </w:rPr>
        <w:t> </w:t>
      </w:r>
      <w:r>
        <w:rPr/>
        <w:t>que</w:t>
      </w:r>
      <w:r>
        <w:rPr>
          <w:spacing w:val="-2"/>
        </w:rPr>
        <w:t> </w:t>
      </w:r>
      <w:r>
        <w:rPr/>
        <w:t>promovió</w:t>
      </w:r>
      <w:r>
        <w:rPr>
          <w:spacing w:val="-6"/>
        </w:rPr>
        <w:t> </w:t>
      </w:r>
      <w:r>
        <w:rPr/>
        <w:t>dicha ley.</w:t>
      </w:r>
    </w:p>
    <w:p>
      <w:pPr>
        <w:pStyle w:val="BodyText"/>
      </w:pPr>
    </w:p>
    <w:p>
      <w:pPr>
        <w:pStyle w:val="BodyText"/>
      </w:pPr>
    </w:p>
    <w:p>
      <w:pPr>
        <w:pStyle w:val="Heading1"/>
        <w:numPr>
          <w:ilvl w:val="2"/>
          <w:numId w:val="42"/>
        </w:numPr>
        <w:tabs>
          <w:tab w:pos="830" w:val="left" w:leader="none"/>
        </w:tabs>
        <w:spacing w:line="240" w:lineRule="auto" w:before="188" w:after="0"/>
        <w:ind w:left="830" w:right="0" w:hanging="720"/>
        <w:jc w:val="both"/>
      </w:pPr>
      <w:r>
        <w:rPr/>
        <w:t>Índice transparencia</w:t>
      </w:r>
      <w:r>
        <w:rPr>
          <w:spacing w:val="-8"/>
        </w:rPr>
        <w:t> </w:t>
      </w:r>
      <w:r>
        <w:rPr/>
        <w:t>municipal</w:t>
      </w:r>
    </w:p>
    <w:p>
      <w:pPr>
        <w:pStyle w:val="BodyText"/>
        <w:rPr>
          <w:b/>
        </w:rPr>
      </w:pPr>
    </w:p>
    <w:p>
      <w:pPr>
        <w:pStyle w:val="BodyText"/>
        <w:rPr>
          <w:b/>
        </w:rPr>
      </w:pPr>
    </w:p>
    <w:p>
      <w:pPr>
        <w:pStyle w:val="BodyText"/>
        <w:spacing w:line="360" w:lineRule="auto" w:before="158"/>
        <w:ind w:left="122" w:right="115"/>
        <w:jc w:val="both"/>
      </w:pPr>
      <w:r>
        <w:rPr/>
        <w:t>En cuanto al ámbito municipal, se ha identificado el caso del Rankin municipal promovido por la asociación de Ciudadanos por Municipios Transparentes (CIMTRA)</w:t>
      </w:r>
      <w:r>
        <w:rPr>
          <w:position w:val="8"/>
          <w:sz w:val="16"/>
        </w:rPr>
        <w:t>27</w:t>
      </w:r>
      <w:r>
        <w:rPr/>
        <w:t>, en el que los municipios de Toluca y Metepec ocupan los lugares 105 y 88 respectivamente de 175 municipios del país analizados.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3"/>
        </w:rPr>
      </w:pPr>
      <w:r>
        <w:rPr/>
        <w:pict>
          <v:line style="position:absolute;mso-position-horizontal-relative:page;mso-position-vertical-relative:paragraph;z-index:3832;mso-wrap-distance-left:0;mso-wrap-distance-right:0" from="85.103996pt,9.968807pt" to="229.123996pt,9.968807pt" stroked="true" strokeweight=".71997pt" strokecolor="#000000">
            <w10:wrap type="topAndBottom"/>
          </v:line>
        </w:pict>
      </w:r>
    </w:p>
    <w:p>
      <w:pPr>
        <w:spacing w:line="195" w:lineRule="exact" w:before="72"/>
        <w:ind w:left="122" w:right="-15" w:firstLine="0"/>
        <w:jc w:val="left"/>
        <w:rPr>
          <w:rFonts w:ascii="Calibri" w:hAnsi="Calibri"/>
          <w:sz w:val="16"/>
        </w:rPr>
      </w:pPr>
      <w:r>
        <w:rPr>
          <w:rFonts w:ascii="Calibri" w:hAnsi="Calibri"/>
          <w:position w:val="5"/>
          <w:sz w:val="10"/>
        </w:rPr>
        <w:t>25    </w:t>
      </w:r>
      <w:r>
        <w:rPr>
          <w:rFonts w:ascii="Calibri" w:hAnsi="Calibri"/>
          <w:sz w:val="16"/>
        </w:rPr>
        <w:t>Consúltese </w:t>
      </w:r>
      <w:hyperlink r:id="rId8">
        <w:r>
          <w:rPr>
            <w:rFonts w:ascii="Calibri" w:hAnsi="Calibri"/>
            <w:color w:val="0462C1"/>
            <w:sz w:val="16"/>
            <w:u w:val="single" w:color="0462C1"/>
          </w:rPr>
          <w:t>http://www.tm.org.mx/indice-nacional-de-corrupcion-y-buen-gobierno-primera-serie-historica-de-corrupcion-en-mexico/</w:t>
        </w:r>
      </w:hyperlink>
    </w:p>
    <w:p>
      <w:pPr>
        <w:spacing w:line="195" w:lineRule="exact" w:before="0"/>
        <w:ind w:left="122" w:right="337" w:firstLine="0"/>
        <w:jc w:val="left"/>
        <w:rPr>
          <w:rFonts w:ascii="Calibri"/>
          <w:sz w:val="16"/>
        </w:rPr>
      </w:pPr>
      <w:r>
        <w:rPr>
          <w:rFonts w:ascii="Calibri"/>
          <w:sz w:val="16"/>
        </w:rPr>
        <w:t>[17-09-2013}</w:t>
      </w:r>
    </w:p>
    <w:p>
      <w:pPr>
        <w:spacing w:line="195" w:lineRule="exact" w:before="1"/>
        <w:ind w:left="122" w:right="337" w:firstLine="0"/>
        <w:jc w:val="left"/>
        <w:rPr>
          <w:rFonts w:ascii="Calibri" w:hAnsi="Calibri"/>
          <w:sz w:val="16"/>
        </w:rPr>
      </w:pPr>
      <w:r>
        <w:rPr>
          <w:rFonts w:ascii="Calibri" w:hAnsi="Calibri"/>
          <w:position w:val="5"/>
          <w:sz w:val="10"/>
        </w:rPr>
        <w:t>26 </w:t>
      </w:r>
      <w:r>
        <w:rPr>
          <w:rFonts w:ascii="Calibri" w:hAnsi="Calibri"/>
          <w:sz w:val="16"/>
        </w:rPr>
        <w:t>Consúltese </w:t>
      </w:r>
      <w:hyperlink r:id="rId61">
        <w:r>
          <w:rPr>
            <w:rFonts w:ascii="Calibri" w:hAnsi="Calibri"/>
            <w:color w:val="0462C1"/>
            <w:sz w:val="16"/>
            <w:u w:val="single" w:color="0462C1"/>
          </w:rPr>
          <w:t>http://www.cimtra.org.mx/ </w:t>
        </w:r>
      </w:hyperlink>
      <w:r>
        <w:rPr>
          <w:rFonts w:ascii="Calibri" w:hAnsi="Calibri"/>
          <w:sz w:val="16"/>
        </w:rPr>
        <w:t>[17-09-2013]</w:t>
      </w:r>
    </w:p>
    <w:p>
      <w:pPr>
        <w:spacing w:line="195" w:lineRule="exact" w:before="0"/>
        <w:ind w:left="122" w:right="337" w:firstLine="0"/>
        <w:jc w:val="left"/>
        <w:rPr>
          <w:rFonts w:ascii="Calibri" w:hAnsi="Calibri"/>
          <w:sz w:val="16"/>
        </w:rPr>
      </w:pPr>
      <w:r>
        <w:rPr>
          <w:rFonts w:ascii="Calibri" w:hAnsi="Calibri"/>
          <w:position w:val="5"/>
          <w:sz w:val="10"/>
        </w:rPr>
        <w:t>27 </w:t>
      </w:r>
      <w:r>
        <w:rPr>
          <w:rFonts w:ascii="Calibri" w:hAnsi="Calibri"/>
          <w:sz w:val="16"/>
        </w:rPr>
        <w:t>Consúltese </w:t>
      </w:r>
      <w:hyperlink r:id="rId61">
        <w:r>
          <w:rPr>
            <w:rFonts w:ascii="Calibri" w:hAnsi="Calibri"/>
            <w:color w:val="0462C1"/>
            <w:sz w:val="16"/>
            <w:u w:val="single" w:color="0462C1"/>
          </w:rPr>
          <w:t>http://www.cimtra.org.mx/ </w:t>
        </w:r>
      </w:hyperlink>
      <w:r>
        <w:rPr>
          <w:rFonts w:ascii="Calibri" w:hAnsi="Calibri"/>
          <w:sz w:val="16"/>
        </w:rPr>
        <w:t>[17-09-2013]</w:t>
      </w:r>
    </w:p>
    <w:p>
      <w:pPr>
        <w:spacing w:after="0" w:line="195" w:lineRule="exact"/>
        <w:jc w:val="left"/>
        <w:rPr>
          <w:rFonts w:ascii="Calibri" w:hAnsi="Calibri"/>
          <w:sz w:val="16"/>
        </w:rPr>
        <w:sectPr>
          <w:pgSz w:w="12240" w:h="15840"/>
          <w:pgMar w:header="0" w:footer="1035" w:top="1360" w:bottom="1220" w:left="1580" w:right="1580"/>
        </w:sectPr>
      </w:pPr>
    </w:p>
    <w:p>
      <w:pPr>
        <w:pStyle w:val="Heading1"/>
        <w:numPr>
          <w:ilvl w:val="0"/>
          <w:numId w:val="43"/>
        </w:numPr>
        <w:tabs>
          <w:tab w:pos="536" w:val="left" w:leader="none"/>
        </w:tabs>
        <w:spacing w:line="362" w:lineRule="auto" w:before="53" w:after="0"/>
        <w:ind w:left="535" w:right="117" w:hanging="360"/>
        <w:jc w:val="left"/>
      </w:pPr>
      <w:bookmarkStart w:name="_bookmark13" w:id="23"/>
      <w:bookmarkEnd w:id="23"/>
      <w:r>
        <w:rPr>
          <w:b w:val="0"/>
        </w:rPr>
      </w:r>
      <w:bookmarkStart w:name="_bookmark13" w:id="24"/>
      <w:bookmarkEnd w:id="24"/>
      <w:r>
        <w:rPr/>
        <w:t>L</w:t>
      </w:r>
      <w:r>
        <w:rPr/>
        <w:t>A PRÁCTICA DEL GOBIERNO ABIERTO </w:t>
      </w:r>
      <w:r>
        <w:rPr>
          <w:spacing w:val="2"/>
        </w:rPr>
        <w:t>EN </w:t>
      </w:r>
      <w:r>
        <w:rPr/>
        <w:t>LOS MUNICIPIOS DEL ESTADO DE</w:t>
      </w:r>
      <w:r>
        <w:rPr>
          <w:spacing w:val="-6"/>
        </w:rPr>
        <w:t> </w:t>
      </w:r>
      <w:r>
        <w:rPr/>
        <w:t>MÉXICO</w:t>
      </w:r>
    </w:p>
    <w:p>
      <w:pPr>
        <w:pStyle w:val="BodyText"/>
        <w:rPr>
          <w:b/>
        </w:rPr>
      </w:pPr>
    </w:p>
    <w:p>
      <w:pPr>
        <w:pStyle w:val="BodyText"/>
        <w:spacing w:before="1"/>
        <w:rPr>
          <w:b/>
          <w:sz w:val="26"/>
        </w:rPr>
      </w:pPr>
    </w:p>
    <w:p>
      <w:pPr>
        <w:pStyle w:val="BodyText"/>
        <w:spacing w:line="360" w:lineRule="auto"/>
        <w:ind w:left="108" w:right="118"/>
        <w:jc w:val="both"/>
      </w:pPr>
      <w:r>
        <w:rPr/>
        <w:t>El análisis de la práctica del GA en los municipios del Estado de México se realizó con el propósito de identificar en qué medida las prácticas administrativas de los municipios,</w:t>
      </w:r>
      <w:r>
        <w:rPr>
          <w:spacing w:val="-7"/>
        </w:rPr>
        <w:t> </w:t>
      </w:r>
      <w:r>
        <w:rPr/>
        <w:t>las</w:t>
      </w:r>
      <w:r>
        <w:rPr>
          <w:spacing w:val="-10"/>
        </w:rPr>
        <w:t> </w:t>
      </w:r>
      <w:r>
        <w:rPr/>
        <w:t>políticas</w:t>
      </w:r>
      <w:r>
        <w:rPr>
          <w:spacing w:val="-8"/>
        </w:rPr>
        <w:t> </w:t>
      </w:r>
      <w:r>
        <w:rPr/>
        <w:t>implementadas</w:t>
      </w:r>
      <w:r>
        <w:rPr>
          <w:spacing w:val="-10"/>
        </w:rPr>
        <w:t> </w:t>
      </w:r>
      <w:r>
        <w:rPr/>
        <w:t>por</w:t>
      </w:r>
      <w:r>
        <w:rPr>
          <w:spacing w:val="-8"/>
        </w:rPr>
        <w:t> </w:t>
      </w:r>
      <w:r>
        <w:rPr/>
        <w:t>el</w:t>
      </w:r>
      <w:r>
        <w:rPr>
          <w:spacing w:val="-8"/>
        </w:rPr>
        <w:t> </w:t>
      </w:r>
      <w:r>
        <w:rPr/>
        <w:t>gobierno</w:t>
      </w:r>
      <w:r>
        <w:rPr>
          <w:spacing w:val="-9"/>
        </w:rPr>
        <w:t> </w:t>
      </w:r>
      <w:r>
        <w:rPr/>
        <w:t>en</w:t>
      </w:r>
      <w:r>
        <w:rPr>
          <w:spacing w:val="-12"/>
        </w:rPr>
        <w:t> </w:t>
      </w:r>
      <w:r>
        <w:rPr/>
        <w:t>favor</w:t>
      </w:r>
      <w:r>
        <w:rPr>
          <w:spacing w:val="-8"/>
        </w:rPr>
        <w:t> </w:t>
      </w:r>
      <w:r>
        <w:rPr/>
        <w:t>de</w:t>
      </w:r>
      <w:r>
        <w:rPr>
          <w:spacing w:val="-7"/>
        </w:rPr>
        <w:t> </w:t>
      </w:r>
      <w:r>
        <w:rPr/>
        <w:t>la</w:t>
      </w:r>
      <w:r>
        <w:rPr>
          <w:spacing w:val="-7"/>
        </w:rPr>
        <w:t> </w:t>
      </w:r>
      <w:r>
        <w:rPr/>
        <w:t>transparencia, la normativa, la capacidad de los gobiernos municipales para poner en práctica el acceso a la información y la transparencia han beneficiado o limitado el</w:t>
      </w:r>
      <w:r>
        <w:rPr>
          <w:spacing w:val="-22"/>
        </w:rPr>
        <w:t> </w:t>
      </w:r>
      <w:r>
        <w:rPr/>
        <w:t>GA.</w:t>
      </w:r>
    </w:p>
    <w:p>
      <w:pPr>
        <w:pStyle w:val="BodyText"/>
      </w:pPr>
    </w:p>
    <w:p>
      <w:pPr>
        <w:pStyle w:val="BodyText"/>
      </w:pPr>
    </w:p>
    <w:p>
      <w:pPr>
        <w:pStyle w:val="BodyText"/>
        <w:spacing w:line="360" w:lineRule="auto" w:before="186"/>
        <w:ind w:left="108" w:right="115"/>
        <w:jc w:val="both"/>
      </w:pPr>
      <w:r>
        <w:rPr/>
        <w:t>Para</w:t>
      </w:r>
      <w:r>
        <w:rPr>
          <w:spacing w:val="-7"/>
        </w:rPr>
        <w:t> </w:t>
      </w:r>
      <w:r>
        <w:rPr/>
        <w:t>cumplir</w:t>
      </w:r>
      <w:r>
        <w:rPr>
          <w:spacing w:val="-7"/>
        </w:rPr>
        <w:t> </w:t>
      </w:r>
      <w:r>
        <w:rPr/>
        <w:t>con</w:t>
      </w:r>
      <w:r>
        <w:rPr>
          <w:spacing w:val="-6"/>
        </w:rPr>
        <w:t> </w:t>
      </w:r>
      <w:r>
        <w:rPr/>
        <w:t>el</w:t>
      </w:r>
      <w:r>
        <w:rPr>
          <w:spacing w:val="-7"/>
        </w:rPr>
        <w:t> </w:t>
      </w:r>
      <w:r>
        <w:rPr/>
        <w:t>propósito</w:t>
      </w:r>
      <w:r>
        <w:rPr>
          <w:spacing w:val="-6"/>
        </w:rPr>
        <w:t> </w:t>
      </w:r>
      <w:r>
        <w:rPr/>
        <w:t>se</w:t>
      </w:r>
      <w:r>
        <w:rPr>
          <w:spacing w:val="-6"/>
        </w:rPr>
        <w:t> </w:t>
      </w:r>
      <w:r>
        <w:rPr/>
        <w:t>tomaron</w:t>
      </w:r>
      <w:r>
        <w:rPr>
          <w:spacing w:val="-6"/>
        </w:rPr>
        <w:t> </w:t>
      </w:r>
      <w:r>
        <w:rPr/>
        <w:t>como</w:t>
      </w:r>
      <w:r>
        <w:rPr>
          <w:spacing w:val="-6"/>
        </w:rPr>
        <w:t> </w:t>
      </w:r>
      <w:r>
        <w:rPr/>
        <w:t>base</w:t>
      </w:r>
      <w:r>
        <w:rPr>
          <w:spacing w:val="-6"/>
        </w:rPr>
        <w:t> </w:t>
      </w:r>
      <w:r>
        <w:rPr/>
        <w:t>tres</w:t>
      </w:r>
      <w:r>
        <w:rPr>
          <w:spacing w:val="-1"/>
        </w:rPr>
        <w:t> </w:t>
      </w:r>
      <w:r>
        <w:rPr/>
        <w:t>técnicas</w:t>
      </w:r>
      <w:r>
        <w:rPr>
          <w:spacing w:val="-6"/>
        </w:rPr>
        <w:t> </w:t>
      </w:r>
      <w:r>
        <w:rPr/>
        <w:t>de</w:t>
      </w:r>
      <w:r>
        <w:rPr>
          <w:spacing w:val="-8"/>
        </w:rPr>
        <w:t> </w:t>
      </w:r>
      <w:r>
        <w:rPr/>
        <w:t>recolección</w:t>
      </w:r>
      <w:r>
        <w:rPr>
          <w:spacing w:val="-4"/>
        </w:rPr>
        <w:t> </w:t>
      </w:r>
      <w:r>
        <w:rPr/>
        <w:t>de información: una encuesta electrónica, una entrevista a la responsable de trasparencia</w:t>
      </w:r>
      <w:r>
        <w:rPr>
          <w:spacing w:val="-9"/>
        </w:rPr>
        <w:t> </w:t>
      </w:r>
      <w:r>
        <w:rPr/>
        <w:t>del</w:t>
      </w:r>
      <w:r>
        <w:rPr>
          <w:spacing w:val="-10"/>
        </w:rPr>
        <w:t> </w:t>
      </w:r>
      <w:r>
        <w:rPr/>
        <w:t>municipio</w:t>
      </w:r>
      <w:r>
        <w:rPr>
          <w:spacing w:val="-9"/>
        </w:rPr>
        <w:t> </w:t>
      </w:r>
      <w:r>
        <w:rPr/>
        <w:t>de</w:t>
      </w:r>
      <w:r>
        <w:rPr>
          <w:spacing w:val="-11"/>
        </w:rPr>
        <w:t> </w:t>
      </w:r>
      <w:r>
        <w:rPr/>
        <w:t>San</w:t>
      </w:r>
      <w:r>
        <w:rPr>
          <w:spacing w:val="-8"/>
        </w:rPr>
        <w:t> </w:t>
      </w:r>
      <w:r>
        <w:rPr/>
        <w:t>Mateo</w:t>
      </w:r>
      <w:r>
        <w:rPr>
          <w:spacing w:val="-8"/>
        </w:rPr>
        <w:t> </w:t>
      </w:r>
      <w:r>
        <w:rPr/>
        <w:t>Atenco</w:t>
      </w:r>
      <w:r>
        <w:rPr>
          <w:position w:val="8"/>
          <w:sz w:val="16"/>
        </w:rPr>
        <w:t>28</w:t>
      </w:r>
      <w:r>
        <w:rPr/>
        <w:t>,</w:t>
      </w:r>
      <w:r>
        <w:rPr>
          <w:spacing w:val="-9"/>
        </w:rPr>
        <w:t> </w:t>
      </w:r>
      <w:r>
        <w:rPr/>
        <w:t>la</w:t>
      </w:r>
      <w:r>
        <w:rPr>
          <w:spacing w:val="-9"/>
        </w:rPr>
        <w:t> </w:t>
      </w:r>
      <w:r>
        <w:rPr/>
        <w:t>revisión</w:t>
      </w:r>
      <w:r>
        <w:rPr>
          <w:spacing w:val="-8"/>
        </w:rPr>
        <w:t> </w:t>
      </w:r>
      <w:r>
        <w:rPr/>
        <w:t>de</w:t>
      </w:r>
      <w:r>
        <w:rPr>
          <w:spacing w:val="-11"/>
        </w:rPr>
        <w:t> </w:t>
      </w:r>
      <w:r>
        <w:rPr/>
        <w:t>los</w:t>
      </w:r>
      <w:r>
        <w:rPr>
          <w:spacing w:val="-9"/>
        </w:rPr>
        <w:t> </w:t>
      </w:r>
      <w:r>
        <w:rPr/>
        <w:t>portales</w:t>
      </w:r>
      <w:r>
        <w:rPr>
          <w:spacing w:val="-9"/>
        </w:rPr>
        <w:t> </w:t>
      </w:r>
      <w:r>
        <w:rPr/>
        <w:t>web</w:t>
      </w:r>
      <w:r>
        <w:rPr>
          <w:spacing w:val="-8"/>
        </w:rPr>
        <w:t> </w:t>
      </w:r>
      <w:r>
        <w:rPr/>
        <w:t>de los 125 municipios y las mediciones de la transparencia realizadas por el INFOEM, las</w:t>
      </w:r>
      <w:r>
        <w:rPr>
          <w:spacing w:val="-16"/>
        </w:rPr>
        <w:t> </w:t>
      </w:r>
      <w:r>
        <w:rPr/>
        <w:t>cuales</w:t>
      </w:r>
      <w:r>
        <w:rPr>
          <w:spacing w:val="-16"/>
        </w:rPr>
        <w:t> </w:t>
      </w:r>
      <w:r>
        <w:rPr/>
        <w:t>tienen</w:t>
      </w:r>
      <w:r>
        <w:rPr>
          <w:spacing w:val="-16"/>
        </w:rPr>
        <w:t> </w:t>
      </w:r>
      <w:r>
        <w:rPr/>
        <w:t>su</w:t>
      </w:r>
      <w:r>
        <w:rPr>
          <w:spacing w:val="-18"/>
        </w:rPr>
        <w:t> </w:t>
      </w:r>
      <w:r>
        <w:rPr/>
        <w:t>fundamento</w:t>
      </w:r>
      <w:r>
        <w:rPr>
          <w:spacing w:val="-18"/>
        </w:rPr>
        <w:t> </w:t>
      </w:r>
      <w:r>
        <w:rPr/>
        <w:t>en</w:t>
      </w:r>
      <w:r>
        <w:rPr>
          <w:spacing w:val="-18"/>
        </w:rPr>
        <w:t> </w:t>
      </w:r>
      <w:r>
        <w:rPr/>
        <w:t>el</w:t>
      </w:r>
      <w:r>
        <w:rPr>
          <w:spacing w:val="-19"/>
        </w:rPr>
        <w:t> </w:t>
      </w:r>
      <w:r>
        <w:rPr/>
        <w:t>objetivo,</w:t>
      </w:r>
      <w:r>
        <w:rPr>
          <w:spacing w:val="-18"/>
        </w:rPr>
        <w:t> </w:t>
      </w:r>
      <w:r>
        <w:rPr/>
        <w:t>hipótesis</w:t>
      </w:r>
      <w:r>
        <w:rPr>
          <w:spacing w:val="-17"/>
        </w:rPr>
        <w:t> </w:t>
      </w:r>
      <w:r>
        <w:rPr/>
        <w:t>y</w:t>
      </w:r>
      <w:r>
        <w:rPr>
          <w:spacing w:val="-19"/>
        </w:rPr>
        <w:t> </w:t>
      </w:r>
      <w:r>
        <w:rPr/>
        <w:t>preguntas</w:t>
      </w:r>
      <w:r>
        <w:rPr>
          <w:spacing w:val="-21"/>
        </w:rPr>
        <w:t> </w:t>
      </w:r>
      <w:r>
        <w:rPr/>
        <w:t>de</w:t>
      </w:r>
      <w:r>
        <w:rPr>
          <w:spacing w:val="-16"/>
        </w:rPr>
        <w:t> </w:t>
      </w:r>
      <w:r>
        <w:rPr/>
        <w:t>investigación que guían este estudio. A continuación, se presentan los resultados obtenidos en cada aspecto antes</w:t>
      </w:r>
      <w:r>
        <w:rPr>
          <w:spacing w:val="-15"/>
        </w:rPr>
        <w:t> </w:t>
      </w:r>
      <w:r>
        <w:rPr/>
        <w:t>mencionado.</w:t>
      </w:r>
    </w:p>
    <w:p>
      <w:pPr>
        <w:pStyle w:val="BodyText"/>
      </w:pPr>
    </w:p>
    <w:p>
      <w:pPr>
        <w:pStyle w:val="BodyText"/>
      </w:pPr>
    </w:p>
    <w:p>
      <w:pPr>
        <w:pStyle w:val="Heading1"/>
        <w:numPr>
          <w:ilvl w:val="1"/>
          <w:numId w:val="43"/>
        </w:numPr>
        <w:tabs>
          <w:tab w:pos="634" w:val="left" w:leader="none"/>
        </w:tabs>
        <w:spacing w:line="360" w:lineRule="auto" w:before="185" w:after="0"/>
        <w:ind w:left="634" w:right="118" w:hanging="526"/>
        <w:jc w:val="left"/>
      </w:pPr>
      <w:bookmarkStart w:name="_bookmark14" w:id="25"/>
      <w:bookmarkEnd w:id="25"/>
      <w:r>
        <w:rPr>
          <w:b w:val="0"/>
        </w:rPr>
      </w:r>
      <w:bookmarkStart w:name="_bookmark14" w:id="26"/>
      <w:bookmarkEnd w:id="26"/>
      <w:r>
        <w:rPr/>
        <w:t>Encue</w:t>
      </w:r>
      <w:r>
        <w:rPr/>
        <w:t>sta realizada a los responsables de transparencia de los gobiernos municipales del Estado de</w:t>
      </w:r>
      <w:r>
        <w:rPr>
          <w:spacing w:val="-8"/>
        </w:rPr>
        <w:t> </w:t>
      </w:r>
      <w:r>
        <w:rPr/>
        <w:t>México</w:t>
      </w:r>
    </w:p>
    <w:p>
      <w:pPr>
        <w:pStyle w:val="BodyText"/>
        <w:rPr>
          <w:b/>
        </w:rPr>
      </w:pPr>
    </w:p>
    <w:p>
      <w:pPr>
        <w:pStyle w:val="BodyText"/>
        <w:spacing w:before="1"/>
        <w:rPr>
          <w:b/>
          <w:sz w:val="26"/>
        </w:rPr>
      </w:pPr>
    </w:p>
    <w:p>
      <w:pPr>
        <w:pStyle w:val="BodyText"/>
        <w:spacing w:line="360" w:lineRule="auto"/>
        <w:ind w:left="108" w:right="116"/>
        <w:jc w:val="both"/>
      </w:pPr>
      <w:r>
        <w:rPr/>
        <w:t>La primera técnica de recolección de información que se utilizó para conocer cómo se da la práctica del GA en los municipios mexiquenses se refiere a una encuesta electrónica que se envió a los responsables de transparencia de los gobiernos municipales. Es pertinente aclarar que inicialmente se realizó la petición vía correo electrónico (ver anexo 16) a los servidores públicos con la finalidad de hacer un censo, sin embargo, no hubo respuesta de parte de estos. Como estrategia alterna, se realizó la petición de contestar la encuesta vía SAIMEX. Teniendo respuesta  de</w:t>
      </w:r>
    </w:p>
    <w:p>
      <w:pPr>
        <w:pStyle w:val="BodyText"/>
        <w:spacing w:before="7"/>
        <w:rPr>
          <w:sz w:val="27"/>
        </w:rPr>
      </w:pPr>
      <w:r>
        <w:rPr/>
        <w:pict>
          <v:line style="position:absolute;mso-position-horizontal-relative:page;mso-position-vertical-relative:paragraph;z-index:3856;mso-wrap-distance-left:0;mso-wrap-distance-right:0" from="80.424004pt,18.229891pt" to="224.444004pt,18.229891pt" stroked="true" strokeweight=".72003pt" strokecolor="#000000">
            <w10:wrap type="topAndBottom"/>
          </v:line>
        </w:pict>
      </w:r>
    </w:p>
    <w:p>
      <w:pPr>
        <w:spacing w:line="242" w:lineRule="auto" w:before="66"/>
        <w:ind w:left="108" w:right="6" w:firstLine="0"/>
        <w:jc w:val="left"/>
        <w:rPr>
          <w:sz w:val="14"/>
        </w:rPr>
      </w:pPr>
      <w:r>
        <w:rPr>
          <w:position w:val="5"/>
          <w:sz w:val="9"/>
        </w:rPr>
        <w:t>28 </w:t>
      </w:r>
      <w:r>
        <w:rPr>
          <w:sz w:val="14"/>
        </w:rPr>
        <w:t>Esta información se integró a lo largo del documento para reforzar algunas opiniones emitidas por los responsables a través de la encuesta. Asimismo, con los resultados obtenidos de la revisión de portales web.</w:t>
      </w:r>
    </w:p>
    <w:p>
      <w:pPr>
        <w:spacing w:after="0" w:line="242" w:lineRule="auto"/>
        <w:jc w:val="left"/>
        <w:rPr>
          <w:sz w:val="14"/>
        </w:rPr>
        <w:sectPr>
          <w:pgSz w:w="12240" w:h="15840"/>
          <w:pgMar w:header="0" w:footer="1035" w:top="1440" w:bottom="1220" w:left="1500" w:right="1580"/>
        </w:sectPr>
      </w:pPr>
    </w:p>
    <w:p>
      <w:pPr>
        <w:pStyle w:val="BodyText"/>
        <w:spacing w:line="362" w:lineRule="auto" w:before="54"/>
        <w:ind w:left="108" w:right="6"/>
      </w:pPr>
      <w:r>
        <w:rPr/>
        <w:t>78 de los 125 municipios, los cuales se encuentran sombreados en el siguiente mapa.</w:t>
      </w:r>
    </w:p>
    <w:p>
      <w:pPr>
        <w:pStyle w:val="BodyText"/>
      </w:pPr>
    </w:p>
    <w:p>
      <w:pPr>
        <w:pStyle w:val="BodyText"/>
        <w:spacing w:before="1"/>
        <w:rPr>
          <w:sz w:val="26"/>
        </w:rPr>
      </w:pPr>
    </w:p>
    <w:p>
      <w:pPr>
        <w:pStyle w:val="Heading1"/>
        <w:ind w:left="1070" w:right="6" w:firstLine="0"/>
        <w:jc w:val="left"/>
      </w:pPr>
      <w:r>
        <w:rPr/>
        <w:t>Mapa 3.1. Municipios que respondieron encuesta electrónica.</w:t>
      </w:r>
    </w:p>
    <w:p>
      <w:pPr>
        <w:pStyle w:val="BodyText"/>
        <w:spacing w:before="7"/>
        <w:rPr>
          <w:b/>
          <w:sz w:val="22"/>
        </w:rPr>
      </w:pPr>
      <w:r>
        <w:rPr/>
        <w:drawing>
          <wp:anchor distT="0" distB="0" distL="0" distR="0" allowOverlap="1" layoutInCell="1" locked="0" behindDoc="0" simplePos="0" relativeHeight="3880">
            <wp:simplePos x="0" y="0"/>
            <wp:positionH relativeFrom="page">
              <wp:posOffset>1700276</wp:posOffset>
            </wp:positionH>
            <wp:positionV relativeFrom="paragraph">
              <wp:posOffset>189954</wp:posOffset>
            </wp:positionV>
            <wp:extent cx="4308146" cy="3238500"/>
            <wp:effectExtent l="0" t="0" r="0" b="0"/>
            <wp:wrapTopAndBottom/>
            <wp:docPr id="17" name="image17.jpeg" descr=""/>
            <wp:cNvGraphicFramePr>
              <a:graphicFrameLocks noChangeAspect="1"/>
            </wp:cNvGraphicFramePr>
            <a:graphic>
              <a:graphicData uri="http://schemas.openxmlformats.org/drawingml/2006/picture">
                <pic:pic>
                  <pic:nvPicPr>
                    <pic:cNvPr id="18" name="image17.jpeg"/>
                    <pic:cNvPicPr/>
                  </pic:nvPicPr>
                  <pic:blipFill>
                    <a:blip r:embed="rId62" cstate="print"/>
                    <a:stretch>
                      <a:fillRect/>
                    </a:stretch>
                  </pic:blipFill>
                  <pic:spPr>
                    <a:xfrm>
                      <a:off x="0" y="0"/>
                      <a:ext cx="4308146" cy="3238500"/>
                    </a:xfrm>
                    <a:prstGeom prst="rect">
                      <a:avLst/>
                    </a:prstGeom>
                  </pic:spPr>
                </pic:pic>
              </a:graphicData>
            </a:graphic>
          </wp:anchor>
        </w:drawing>
      </w:r>
    </w:p>
    <w:p>
      <w:pPr>
        <w:pStyle w:val="BodyText"/>
        <w:spacing w:before="6"/>
        <w:rPr>
          <w:b/>
          <w:sz w:val="23"/>
        </w:rPr>
      </w:pPr>
    </w:p>
    <w:p>
      <w:pPr>
        <w:spacing w:before="0"/>
        <w:ind w:left="1241" w:right="6" w:firstLine="0"/>
        <w:jc w:val="left"/>
        <w:rPr>
          <w:sz w:val="16"/>
        </w:rPr>
      </w:pPr>
      <w:r>
        <w:rPr>
          <w:sz w:val="16"/>
        </w:rPr>
        <w:t>Fuente: Elaboración propia con mapa del Estado de México.</w:t>
      </w:r>
    </w:p>
    <w:p>
      <w:pPr>
        <w:pStyle w:val="BodyText"/>
        <w:rPr>
          <w:sz w:val="16"/>
        </w:rPr>
      </w:pPr>
    </w:p>
    <w:p>
      <w:pPr>
        <w:pStyle w:val="BodyText"/>
        <w:rPr>
          <w:sz w:val="16"/>
        </w:rPr>
      </w:pPr>
    </w:p>
    <w:p>
      <w:pPr>
        <w:pStyle w:val="BodyText"/>
        <w:rPr>
          <w:sz w:val="16"/>
        </w:rPr>
      </w:pPr>
    </w:p>
    <w:p>
      <w:pPr>
        <w:pStyle w:val="BodyText"/>
        <w:rPr>
          <w:sz w:val="16"/>
        </w:rPr>
      </w:pPr>
    </w:p>
    <w:p>
      <w:pPr>
        <w:pStyle w:val="BodyText"/>
        <w:spacing w:line="360" w:lineRule="auto" w:before="92"/>
        <w:ind w:left="108" w:right="6"/>
      </w:pPr>
      <w:r>
        <w:rPr/>
        <w:t>La encuesta electrónica que se elaboró tiene las siguientes características metodológicas de acuerdo con Sampieri </w:t>
      </w:r>
      <w:r>
        <w:rPr>
          <w:i/>
        </w:rPr>
        <w:t>et. al.. </w:t>
      </w:r>
      <w:r>
        <w:rPr/>
        <w:t>(2010):</w:t>
      </w:r>
    </w:p>
    <w:p>
      <w:pPr>
        <w:pStyle w:val="BodyText"/>
        <w:spacing w:before="6" w:after="1"/>
        <w:rPr>
          <w:sz w:val="14"/>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73"/>
        <w:gridCol w:w="6349"/>
      </w:tblGrid>
      <w:tr>
        <w:trPr>
          <w:trHeight w:val="485" w:hRule="exact"/>
        </w:trPr>
        <w:tc>
          <w:tcPr>
            <w:tcW w:w="8922" w:type="dxa"/>
            <w:gridSpan w:val="2"/>
            <w:shd w:val="clear" w:color="auto" w:fill="92D050"/>
          </w:tcPr>
          <w:p>
            <w:pPr>
              <w:pStyle w:val="TableParagraph"/>
              <w:spacing w:line="276" w:lineRule="auto"/>
              <w:ind w:left="103" w:right="56"/>
              <w:jc w:val="left"/>
              <w:rPr>
                <w:b/>
                <w:sz w:val="18"/>
              </w:rPr>
            </w:pPr>
            <w:r>
              <w:rPr>
                <w:b/>
                <w:sz w:val="18"/>
              </w:rPr>
              <w:t>Tabla 3.1. Características metodológicas de la encuesta electrónica aplicada a los responsables de transparencia de los gobiernos municipales del Estado de México.</w:t>
            </w:r>
          </w:p>
        </w:tc>
      </w:tr>
      <w:tr>
        <w:trPr>
          <w:trHeight w:val="250" w:hRule="exact"/>
        </w:trPr>
        <w:tc>
          <w:tcPr>
            <w:tcW w:w="2573" w:type="dxa"/>
            <w:shd w:val="clear" w:color="auto" w:fill="92D050"/>
          </w:tcPr>
          <w:p>
            <w:pPr>
              <w:pStyle w:val="TableParagraph"/>
              <w:spacing w:line="201" w:lineRule="exact"/>
              <w:ind w:left="911" w:right="911"/>
              <w:rPr>
                <w:b/>
                <w:sz w:val="18"/>
              </w:rPr>
            </w:pPr>
            <w:r>
              <w:rPr>
                <w:b/>
                <w:sz w:val="18"/>
              </w:rPr>
              <w:t>Variable</w:t>
            </w:r>
          </w:p>
        </w:tc>
        <w:tc>
          <w:tcPr>
            <w:tcW w:w="6349" w:type="dxa"/>
            <w:shd w:val="clear" w:color="auto" w:fill="92D050"/>
          </w:tcPr>
          <w:p>
            <w:pPr>
              <w:pStyle w:val="TableParagraph"/>
              <w:spacing w:line="201" w:lineRule="exact"/>
              <w:ind w:left="2635" w:right="2634"/>
              <w:rPr>
                <w:b/>
                <w:sz w:val="18"/>
              </w:rPr>
            </w:pPr>
            <w:r>
              <w:rPr>
                <w:b/>
                <w:sz w:val="18"/>
              </w:rPr>
              <w:t>Descripción</w:t>
            </w:r>
          </w:p>
        </w:tc>
      </w:tr>
      <w:tr>
        <w:trPr>
          <w:trHeight w:val="485" w:hRule="exact"/>
        </w:trPr>
        <w:tc>
          <w:tcPr>
            <w:tcW w:w="2573" w:type="dxa"/>
          </w:tcPr>
          <w:p>
            <w:pPr>
              <w:pStyle w:val="TableParagraph"/>
              <w:spacing w:before="116"/>
              <w:ind w:left="103" w:right="103"/>
              <w:jc w:val="left"/>
              <w:rPr>
                <w:sz w:val="18"/>
              </w:rPr>
            </w:pPr>
            <w:r>
              <w:rPr>
                <w:sz w:val="18"/>
              </w:rPr>
              <w:t>Tipo de muestra.</w:t>
            </w:r>
          </w:p>
        </w:tc>
        <w:tc>
          <w:tcPr>
            <w:tcW w:w="6349" w:type="dxa"/>
          </w:tcPr>
          <w:p>
            <w:pPr>
              <w:pStyle w:val="TableParagraph"/>
              <w:spacing w:line="280" w:lineRule="auto"/>
              <w:ind w:left="103" w:right="12"/>
              <w:jc w:val="left"/>
              <w:rPr>
                <w:sz w:val="18"/>
              </w:rPr>
            </w:pPr>
            <w:r>
              <w:rPr>
                <w:b/>
                <w:sz w:val="18"/>
              </w:rPr>
              <w:t>Probabilística. </w:t>
            </w:r>
            <w:r>
              <w:rPr>
                <w:sz w:val="18"/>
              </w:rPr>
              <w:t>Toda vez que todos los responsables de transparencia tenían la misma oportunidad de ser elegidos.</w:t>
            </w:r>
          </w:p>
        </w:tc>
      </w:tr>
      <w:tr>
        <w:trPr>
          <w:trHeight w:val="488" w:hRule="exact"/>
        </w:trPr>
        <w:tc>
          <w:tcPr>
            <w:tcW w:w="2573" w:type="dxa"/>
          </w:tcPr>
          <w:p>
            <w:pPr>
              <w:pStyle w:val="TableParagraph"/>
              <w:spacing w:before="119"/>
              <w:ind w:left="103" w:right="103"/>
              <w:jc w:val="left"/>
              <w:rPr>
                <w:sz w:val="18"/>
              </w:rPr>
            </w:pPr>
            <w:r>
              <w:rPr>
                <w:sz w:val="18"/>
              </w:rPr>
              <w:t>Universo</w:t>
            </w:r>
          </w:p>
        </w:tc>
        <w:tc>
          <w:tcPr>
            <w:tcW w:w="6349" w:type="dxa"/>
          </w:tcPr>
          <w:p>
            <w:pPr>
              <w:pStyle w:val="TableParagraph"/>
              <w:spacing w:line="278" w:lineRule="auto"/>
              <w:ind w:left="103" w:right="12"/>
              <w:jc w:val="left"/>
              <w:rPr>
                <w:sz w:val="18"/>
              </w:rPr>
            </w:pPr>
            <w:r>
              <w:rPr>
                <w:sz w:val="18"/>
              </w:rPr>
              <w:t>125 responsables de transparencia de los gobiernos municipales del Estado de México.</w:t>
            </w:r>
          </w:p>
        </w:tc>
      </w:tr>
      <w:tr>
        <w:trPr>
          <w:trHeight w:val="247" w:hRule="exact"/>
        </w:trPr>
        <w:tc>
          <w:tcPr>
            <w:tcW w:w="2573" w:type="dxa"/>
          </w:tcPr>
          <w:p>
            <w:pPr>
              <w:pStyle w:val="TableParagraph"/>
              <w:spacing w:line="206" w:lineRule="exact"/>
              <w:ind w:left="103" w:right="103"/>
              <w:jc w:val="left"/>
              <w:rPr>
                <w:sz w:val="18"/>
              </w:rPr>
            </w:pPr>
            <w:r>
              <w:rPr>
                <w:sz w:val="18"/>
              </w:rPr>
              <w:t>Muestra</w:t>
            </w:r>
          </w:p>
        </w:tc>
        <w:tc>
          <w:tcPr>
            <w:tcW w:w="6349" w:type="dxa"/>
          </w:tcPr>
          <w:p>
            <w:pPr>
              <w:pStyle w:val="TableParagraph"/>
              <w:spacing w:line="206" w:lineRule="exact"/>
              <w:ind w:left="103" w:right="12"/>
              <w:jc w:val="left"/>
              <w:rPr>
                <w:sz w:val="18"/>
              </w:rPr>
            </w:pPr>
            <w:r>
              <w:rPr>
                <w:sz w:val="18"/>
              </w:rPr>
              <w:t>78 encuestados.</w:t>
            </w:r>
          </w:p>
        </w:tc>
      </w:tr>
      <w:tr>
        <w:trPr>
          <w:trHeight w:val="487" w:hRule="exact"/>
        </w:trPr>
        <w:tc>
          <w:tcPr>
            <w:tcW w:w="2573" w:type="dxa"/>
          </w:tcPr>
          <w:p>
            <w:pPr>
              <w:pStyle w:val="TableParagraph"/>
              <w:spacing w:line="276" w:lineRule="auto"/>
              <w:ind w:left="103" w:right="103"/>
              <w:jc w:val="left"/>
              <w:rPr>
                <w:sz w:val="18"/>
              </w:rPr>
            </w:pPr>
            <w:r>
              <w:rPr>
                <w:sz w:val="18"/>
              </w:rPr>
              <w:t>% de encuestados respecto al universo</w:t>
            </w:r>
          </w:p>
        </w:tc>
        <w:tc>
          <w:tcPr>
            <w:tcW w:w="6349" w:type="dxa"/>
          </w:tcPr>
          <w:p>
            <w:pPr>
              <w:pStyle w:val="TableParagraph"/>
              <w:spacing w:before="6"/>
              <w:jc w:val="left"/>
              <w:rPr>
                <w:sz w:val="20"/>
              </w:rPr>
            </w:pPr>
          </w:p>
          <w:p>
            <w:pPr>
              <w:pStyle w:val="TableParagraph"/>
              <w:ind w:left="103" w:right="12"/>
              <w:jc w:val="left"/>
              <w:rPr>
                <w:sz w:val="18"/>
              </w:rPr>
            </w:pPr>
            <w:r>
              <w:rPr>
                <w:sz w:val="18"/>
              </w:rPr>
              <w:t>62.4%</w:t>
            </w:r>
          </w:p>
        </w:tc>
      </w:tr>
      <w:tr>
        <w:trPr>
          <w:trHeight w:val="247" w:hRule="exact"/>
        </w:trPr>
        <w:tc>
          <w:tcPr>
            <w:tcW w:w="2573" w:type="dxa"/>
          </w:tcPr>
          <w:p>
            <w:pPr>
              <w:pStyle w:val="TableParagraph"/>
              <w:spacing w:line="206" w:lineRule="exact"/>
              <w:ind w:left="103" w:right="103"/>
              <w:jc w:val="left"/>
              <w:rPr>
                <w:sz w:val="18"/>
              </w:rPr>
            </w:pPr>
            <w:r>
              <w:rPr>
                <w:sz w:val="18"/>
              </w:rPr>
              <w:t>Nivel de confianza</w:t>
            </w:r>
          </w:p>
        </w:tc>
        <w:tc>
          <w:tcPr>
            <w:tcW w:w="6349" w:type="dxa"/>
          </w:tcPr>
          <w:p>
            <w:pPr>
              <w:pStyle w:val="TableParagraph"/>
              <w:spacing w:line="206" w:lineRule="exact"/>
              <w:ind w:left="103" w:right="12"/>
              <w:jc w:val="left"/>
              <w:rPr>
                <w:sz w:val="18"/>
              </w:rPr>
            </w:pPr>
            <w:r>
              <w:rPr>
                <w:sz w:val="18"/>
              </w:rPr>
              <w:t>93.5%</w:t>
            </w:r>
          </w:p>
        </w:tc>
      </w:tr>
      <w:tr>
        <w:trPr>
          <w:trHeight w:val="247" w:hRule="exact"/>
        </w:trPr>
        <w:tc>
          <w:tcPr>
            <w:tcW w:w="2573" w:type="dxa"/>
          </w:tcPr>
          <w:p>
            <w:pPr>
              <w:pStyle w:val="TableParagraph"/>
              <w:spacing w:line="206" w:lineRule="exact"/>
              <w:ind w:left="103" w:right="103"/>
              <w:jc w:val="left"/>
              <w:rPr>
                <w:sz w:val="18"/>
              </w:rPr>
            </w:pPr>
            <w:r>
              <w:rPr>
                <w:sz w:val="18"/>
              </w:rPr>
              <w:t>Margen de error</w:t>
            </w:r>
          </w:p>
        </w:tc>
        <w:tc>
          <w:tcPr>
            <w:tcW w:w="6349" w:type="dxa"/>
          </w:tcPr>
          <w:p>
            <w:pPr>
              <w:pStyle w:val="TableParagraph"/>
              <w:spacing w:line="206" w:lineRule="exact"/>
              <w:ind w:left="103" w:right="12"/>
              <w:jc w:val="left"/>
              <w:rPr>
                <w:sz w:val="18"/>
              </w:rPr>
            </w:pPr>
            <w:r>
              <w:rPr>
                <w:sz w:val="18"/>
              </w:rPr>
              <w:t>6.5%</w:t>
            </w:r>
          </w:p>
        </w:tc>
      </w:tr>
      <w:tr>
        <w:trPr>
          <w:trHeight w:val="250" w:hRule="exact"/>
        </w:trPr>
        <w:tc>
          <w:tcPr>
            <w:tcW w:w="2573" w:type="dxa"/>
          </w:tcPr>
          <w:p>
            <w:pPr>
              <w:pStyle w:val="TableParagraph"/>
              <w:spacing w:line="206" w:lineRule="exact"/>
              <w:ind w:left="103" w:right="103"/>
              <w:jc w:val="left"/>
              <w:rPr>
                <w:sz w:val="18"/>
              </w:rPr>
            </w:pPr>
            <w:r>
              <w:rPr>
                <w:sz w:val="18"/>
              </w:rPr>
              <w:t>Probabilidad</w:t>
            </w:r>
          </w:p>
        </w:tc>
        <w:tc>
          <w:tcPr>
            <w:tcW w:w="6349" w:type="dxa"/>
          </w:tcPr>
          <w:p>
            <w:pPr>
              <w:pStyle w:val="TableParagraph"/>
              <w:spacing w:line="206" w:lineRule="exact"/>
              <w:ind w:left="103" w:right="12"/>
              <w:jc w:val="left"/>
              <w:rPr>
                <w:sz w:val="18"/>
              </w:rPr>
            </w:pPr>
            <w:r>
              <w:rPr>
                <w:sz w:val="18"/>
              </w:rPr>
              <w:t>50%</w:t>
            </w:r>
          </w:p>
        </w:tc>
      </w:tr>
    </w:tbl>
    <w:p>
      <w:pPr>
        <w:spacing w:line="276" w:lineRule="auto" w:before="0"/>
        <w:ind w:left="221" w:right="6" w:firstLine="0"/>
        <w:jc w:val="left"/>
        <w:rPr>
          <w:sz w:val="16"/>
        </w:rPr>
      </w:pPr>
      <w:r>
        <w:rPr>
          <w:sz w:val="16"/>
        </w:rPr>
        <w:t>Fuente: Elaboración propia con base en Sampieri </w:t>
      </w:r>
      <w:r>
        <w:rPr>
          <w:i/>
          <w:sz w:val="16"/>
        </w:rPr>
        <w:t>et. al. </w:t>
      </w:r>
      <w:r>
        <w:rPr>
          <w:sz w:val="16"/>
        </w:rPr>
        <w:t>(2010) y calculados mediante la fórmula electrónica disponible en </w:t>
      </w:r>
      <w:hyperlink r:id="rId63">
        <w:r>
          <w:rPr>
            <w:color w:val="0462C1"/>
            <w:sz w:val="16"/>
            <w:u w:val="single" w:color="0462C1"/>
          </w:rPr>
          <w:t>http://www.berrie.dds.nl/calcss.htm</w:t>
        </w:r>
        <w:r>
          <w:rPr>
            <w:sz w:val="16"/>
          </w:rPr>
          <w:t>.</w:t>
        </w:r>
      </w:hyperlink>
    </w:p>
    <w:p>
      <w:pPr>
        <w:spacing w:after="0" w:line="276" w:lineRule="auto"/>
        <w:jc w:val="left"/>
        <w:rPr>
          <w:sz w:val="16"/>
        </w:rPr>
        <w:sectPr>
          <w:pgSz w:w="12240" w:h="15840"/>
          <w:pgMar w:header="0" w:footer="1035" w:top="1360" w:bottom="1220" w:left="1500" w:right="1580"/>
        </w:sectPr>
      </w:pPr>
    </w:p>
    <w:p>
      <w:pPr>
        <w:pStyle w:val="BodyText"/>
        <w:spacing w:line="360" w:lineRule="auto" w:before="54"/>
        <w:ind w:left="128" w:right="118"/>
        <w:jc w:val="both"/>
      </w:pPr>
      <w:r>
        <w:rPr/>
        <w:t>La estructura de la encuesta correspondió a tres apartados: el primero proporciona información relativa a las características biográficas de los encuestados, tales como edad, género, nivel de estudios y antigüedad en el puesto. En la segunda parte se aplican preguntas relacionadas con las variables teóricas referidas en las teorías de la organización, tales como la institución trasciende al individuo, estabilidad a</w:t>
      </w:r>
      <w:r>
        <w:rPr>
          <w:spacing w:val="-35"/>
        </w:rPr>
        <w:t> </w:t>
      </w:r>
      <w:r>
        <w:rPr/>
        <w:t>través del</w:t>
      </w:r>
      <w:r>
        <w:rPr>
          <w:spacing w:val="-5"/>
        </w:rPr>
        <w:t> </w:t>
      </w:r>
      <w:r>
        <w:rPr/>
        <w:t>tiempo,</w:t>
      </w:r>
      <w:r>
        <w:rPr>
          <w:spacing w:val="-4"/>
        </w:rPr>
        <w:t> </w:t>
      </w:r>
      <w:r>
        <w:rPr/>
        <w:t>afectación</w:t>
      </w:r>
      <w:r>
        <w:rPr>
          <w:spacing w:val="-4"/>
        </w:rPr>
        <w:t> </w:t>
      </w:r>
      <w:r>
        <w:rPr/>
        <w:t>recíproca</w:t>
      </w:r>
      <w:r>
        <w:rPr>
          <w:spacing w:val="-3"/>
        </w:rPr>
        <w:t> </w:t>
      </w:r>
      <w:r>
        <w:rPr/>
        <w:t>entre</w:t>
      </w:r>
      <w:r>
        <w:rPr>
          <w:spacing w:val="-4"/>
        </w:rPr>
        <w:t> </w:t>
      </w:r>
      <w:r>
        <w:rPr/>
        <w:t>agente</w:t>
      </w:r>
      <w:r>
        <w:rPr>
          <w:spacing w:val="-5"/>
        </w:rPr>
        <w:t> </w:t>
      </w:r>
      <w:r>
        <w:rPr/>
        <w:t>y</w:t>
      </w:r>
      <w:r>
        <w:rPr>
          <w:spacing w:val="-7"/>
        </w:rPr>
        <w:t> </w:t>
      </w:r>
      <w:r>
        <w:rPr/>
        <w:t>estructura,</w:t>
      </w:r>
      <w:r>
        <w:rPr>
          <w:spacing w:val="-4"/>
        </w:rPr>
        <w:t> </w:t>
      </w:r>
      <w:r>
        <w:rPr/>
        <w:t>el</w:t>
      </w:r>
      <w:r>
        <w:rPr>
          <w:spacing w:val="-5"/>
        </w:rPr>
        <w:t> </w:t>
      </w:r>
      <w:r>
        <w:rPr/>
        <w:t>rol</w:t>
      </w:r>
      <w:r>
        <w:rPr>
          <w:spacing w:val="-5"/>
        </w:rPr>
        <w:t> </w:t>
      </w:r>
      <w:r>
        <w:rPr/>
        <w:t>de</w:t>
      </w:r>
      <w:r>
        <w:rPr>
          <w:spacing w:val="-4"/>
        </w:rPr>
        <w:t> </w:t>
      </w:r>
      <w:r>
        <w:rPr/>
        <w:t>las</w:t>
      </w:r>
      <w:r>
        <w:rPr>
          <w:spacing w:val="-4"/>
        </w:rPr>
        <w:t> </w:t>
      </w:r>
      <w:r>
        <w:rPr/>
        <w:t>instituciones, poder, dominación, legitimidad, interacción y actuación, la creación de sentido y racionalidad</w:t>
      </w:r>
      <w:r>
        <w:rPr>
          <w:spacing w:val="-9"/>
        </w:rPr>
        <w:t> </w:t>
      </w:r>
      <w:r>
        <w:rPr/>
        <w:t>limitada,</w:t>
      </w:r>
      <w:r>
        <w:rPr>
          <w:spacing w:val="-10"/>
        </w:rPr>
        <w:t> </w:t>
      </w:r>
      <w:r>
        <w:rPr/>
        <w:t>a</w:t>
      </w:r>
      <w:r>
        <w:rPr>
          <w:spacing w:val="-12"/>
        </w:rPr>
        <w:t> </w:t>
      </w:r>
      <w:r>
        <w:rPr/>
        <w:t>través</w:t>
      </w:r>
      <w:r>
        <w:rPr>
          <w:spacing w:val="-10"/>
        </w:rPr>
        <w:t> </w:t>
      </w:r>
      <w:r>
        <w:rPr/>
        <w:t>de</w:t>
      </w:r>
      <w:r>
        <w:rPr>
          <w:spacing w:val="-12"/>
        </w:rPr>
        <w:t> </w:t>
      </w:r>
      <w:r>
        <w:rPr/>
        <w:t>las</w:t>
      </w:r>
      <w:r>
        <w:rPr>
          <w:spacing w:val="-10"/>
        </w:rPr>
        <w:t> </w:t>
      </w:r>
      <w:r>
        <w:rPr/>
        <w:t>cuales</w:t>
      </w:r>
      <w:r>
        <w:rPr>
          <w:spacing w:val="-10"/>
        </w:rPr>
        <w:t> </w:t>
      </w:r>
      <w:r>
        <w:rPr/>
        <w:t>se</w:t>
      </w:r>
      <w:r>
        <w:rPr>
          <w:spacing w:val="-9"/>
        </w:rPr>
        <w:t> </w:t>
      </w:r>
      <w:r>
        <w:rPr/>
        <w:t>explica</w:t>
      </w:r>
      <w:r>
        <w:rPr>
          <w:spacing w:val="-9"/>
        </w:rPr>
        <w:t> </w:t>
      </w:r>
      <w:r>
        <w:rPr/>
        <w:t>cómo</w:t>
      </w:r>
      <w:r>
        <w:rPr>
          <w:spacing w:val="-12"/>
        </w:rPr>
        <w:t> </w:t>
      </w:r>
      <w:r>
        <w:rPr/>
        <w:t>es</w:t>
      </w:r>
      <w:r>
        <w:rPr>
          <w:spacing w:val="-10"/>
        </w:rPr>
        <w:t> </w:t>
      </w:r>
      <w:r>
        <w:rPr/>
        <w:t>la</w:t>
      </w:r>
      <w:r>
        <w:rPr>
          <w:spacing w:val="-9"/>
        </w:rPr>
        <w:t> </w:t>
      </w:r>
      <w:r>
        <w:rPr/>
        <w:t>práctica</w:t>
      </w:r>
      <w:r>
        <w:rPr>
          <w:spacing w:val="-9"/>
        </w:rPr>
        <w:t> </w:t>
      </w:r>
      <w:r>
        <w:rPr/>
        <w:t>del</w:t>
      </w:r>
      <w:r>
        <w:rPr>
          <w:spacing w:val="-11"/>
        </w:rPr>
        <w:t> </w:t>
      </w:r>
      <w:r>
        <w:rPr/>
        <w:t>GA</w:t>
      </w:r>
      <w:r>
        <w:rPr>
          <w:spacing w:val="-12"/>
        </w:rPr>
        <w:t> </w:t>
      </w:r>
      <w:r>
        <w:rPr/>
        <w:t>en los municipios del Estado de</w:t>
      </w:r>
      <w:r>
        <w:rPr>
          <w:spacing w:val="-10"/>
        </w:rPr>
        <w:t> </w:t>
      </w:r>
      <w:r>
        <w:rPr/>
        <w:t>México.</w:t>
      </w:r>
    </w:p>
    <w:p>
      <w:pPr>
        <w:pStyle w:val="BodyText"/>
      </w:pPr>
    </w:p>
    <w:p>
      <w:pPr>
        <w:pStyle w:val="BodyText"/>
        <w:spacing w:before="4"/>
        <w:rPr>
          <w:sz w:val="26"/>
        </w:rPr>
      </w:pPr>
    </w:p>
    <w:p>
      <w:pPr>
        <w:pStyle w:val="BodyText"/>
        <w:spacing w:line="360" w:lineRule="auto"/>
        <w:ind w:left="128" w:right="122"/>
        <w:jc w:val="both"/>
      </w:pPr>
      <w:r>
        <w:rPr/>
        <w:t>Esta</w:t>
      </w:r>
      <w:r>
        <w:rPr>
          <w:spacing w:val="-10"/>
        </w:rPr>
        <w:t> </w:t>
      </w:r>
      <w:r>
        <w:rPr/>
        <w:t>encuesta</w:t>
      </w:r>
      <w:r>
        <w:rPr>
          <w:spacing w:val="-10"/>
        </w:rPr>
        <w:t> </w:t>
      </w:r>
      <w:r>
        <w:rPr/>
        <w:t>es</w:t>
      </w:r>
      <w:r>
        <w:rPr>
          <w:spacing w:val="-12"/>
        </w:rPr>
        <w:t> </w:t>
      </w:r>
      <w:r>
        <w:rPr/>
        <w:t>complementada</w:t>
      </w:r>
      <w:r>
        <w:rPr>
          <w:spacing w:val="-11"/>
        </w:rPr>
        <w:t> </w:t>
      </w:r>
      <w:r>
        <w:rPr/>
        <w:t>con</w:t>
      </w:r>
      <w:r>
        <w:rPr>
          <w:spacing w:val="-8"/>
        </w:rPr>
        <w:t> </w:t>
      </w:r>
      <w:r>
        <w:rPr/>
        <w:t>la</w:t>
      </w:r>
      <w:r>
        <w:rPr>
          <w:spacing w:val="-11"/>
        </w:rPr>
        <w:t> </w:t>
      </w:r>
      <w:r>
        <w:rPr/>
        <w:t>opinión</w:t>
      </w:r>
      <w:r>
        <w:rPr>
          <w:spacing w:val="-10"/>
        </w:rPr>
        <w:t> </w:t>
      </w:r>
      <w:r>
        <w:rPr/>
        <w:t>de</w:t>
      </w:r>
      <w:r>
        <w:rPr>
          <w:spacing w:val="-11"/>
        </w:rPr>
        <w:t> </w:t>
      </w:r>
      <w:r>
        <w:rPr/>
        <w:t>la</w:t>
      </w:r>
      <w:r>
        <w:rPr>
          <w:spacing w:val="-11"/>
        </w:rPr>
        <w:t> </w:t>
      </w:r>
      <w:r>
        <w:rPr/>
        <w:t>única</w:t>
      </w:r>
      <w:r>
        <w:rPr>
          <w:spacing w:val="-11"/>
        </w:rPr>
        <w:t> </w:t>
      </w:r>
      <w:r>
        <w:rPr/>
        <w:t>responsable</w:t>
      </w:r>
      <w:r>
        <w:rPr>
          <w:spacing w:val="-11"/>
        </w:rPr>
        <w:t> </w:t>
      </w:r>
      <w:r>
        <w:rPr/>
        <w:t>del</w:t>
      </w:r>
      <w:r>
        <w:rPr>
          <w:spacing w:val="-12"/>
        </w:rPr>
        <w:t> </w:t>
      </w:r>
      <w:r>
        <w:rPr/>
        <w:t>área</w:t>
      </w:r>
      <w:r>
        <w:rPr>
          <w:spacing w:val="-10"/>
        </w:rPr>
        <w:t> </w:t>
      </w:r>
      <w:r>
        <w:rPr/>
        <w:t>de transparencia que permitió ser entrevistada. Es preciso aclarar que se</w:t>
      </w:r>
      <w:r>
        <w:rPr>
          <w:spacing w:val="3"/>
        </w:rPr>
        <w:t> </w:t>
      </w:r>
      <w:r>
        <w:rPr/>
        <w:t>programaron</w:t>
      </w:r>
    </w:p>
    <w:p>
      <w:pPr>
        <w:pStyle w:val="BodyText"/>
        <w:spacing w:line="360" w:lineRule="auto" w:before="5"/>
        <w:ind w:left="128" w:right="114"/>
        <w:jc w:val="both"/>
      </w:pPr>
      <w:r>
        <w:rPr/>
        <w:t>10 entrevistas, pero la agenda y contantes negativas de los funcionarios no permitieron concretarlas. Asimismo, es de resaltar que se ingresó un oficio al INFOEM para solicitar apoyo en la realización de entrevistas a funcionarios del Instituto y no hubo respuesta. Situación que resulta por demás interesante ya que éste Órgano Garante encargado de promover la transparencia debería promoverla, más no limitarla.</w:t>
      </w:r>
    </w:p>
    <w:p>
      <w:pPr>
        <w:pStyle w:val="BodyText"/>
      </w:pPr>
    </w:p>
    <w:p>
      <w:pPr>
        <w:pStyle w:val="BodyText"/>
      </w:pPr>
    </w:p>
    <w:p>
      <w:pPr>
        <w:pStyle w:val="Heading1"/>
        <w:numPr>
          <w:ilvl w:val="2"/>
          <w:numId w:val="43"/>
        </w:numPr>
        <w:tabs>
          <w:tab w:pos="837" w:val="left" w:leader="none"/>
        </w:tabs>
        <w:spacing w:line="240" w:lineRule="auto" w:before="187" w:after="0"/>
        <w:ind w:left="836" w:right="0" w:hanging="720"/>
        <w:jc w:val="both"/>
      </w:pPr>
      <w:r>
        <w:rPr/>
        <w:t>Procedimiento para elaboración de la</w:t>
      </w:r>
      <w:r>
        <w:rPr>
          <w:spacing w:val="-11"/>
        </w:rPr>
        <w:t> </w:t>
      </w:r>
      <w:r>
        <w:rPr/>
        <w:t>encuesta</w:t>
      </w:r>
    </w:p>
    <w:p>
      <w:pPr>
        <w:pStyle w:val="BodyText"/>
        <w:rPr>
          <w:b/>
        </w:rPr>
      </w:pPr>
    </w:p>
    <w:p>
      <w:pPr>
        <w:pStyle w:val="BodyText"/>
        <w:rPr>
          <w:b/>
        </w:rPr>
      </w:pPr>
    </w:p>
    <w:p>
      <w:pPr>
        <w:pStyle w:val="BodyText"/>
        <w:spacing w:line="357" w:lineRule="auto" w:before="158"/>
        <w:ind w:left="128" w:right="116"/>
        <w:jc w:val="both"/>
      </w:pPr>
      <w:r>
        <w:rPr/>
        <w:t>El instrumento aplicado a los responsables de transparencia fue el resultado de una serie de ejercicios previos retroalimentados por otros investigadores</w:t>
      </w:r>
      <w:r>
        <w:rPr>
          <w:position w:val="8"/>
          <w:sz w:val="16"/>
        </w:rPr>
        <w:t>29 </w:t>
      </w:r>
      <w:r>
        <w:rPr/>
        <w:t>que, finalmente se desarrolló bajo el siguiente orden:</w:t>
      </w:r>
    </w:p>
    <w:p>
      <w:pPr>
        <w:pStyle w:val="BodyText"/>
        <w:spacing w:before="9"/>
        <w:rPr>
          <w:sz w:val="28"/>
        </w:rPr>
      </w:pPr>
      <w:r>
        <w:rPr/>
        <w:pict>
          <v:line style="position:absolute;mso-position-horizontal-relative:page;mso-position-vertical-relative:paragraph;z-index:3904;mso-wrap-distance-left:0;mso-wrap-distance-right:0" from="80.424004pt,18.877983pt" to="224.444004pt,18.877983pt" stroked="true" strokeweight=".71997pt" strokecolor="#000000">
            <w10:wrap type="topAndBottom"/>
          </v:line>
        </w:pict>
      </w:r>
    </w:p>
    <w:p>
      <w:pPr>
        <w:spacing w:before="72"/>
        <w:ind w:left="128" w:right="116" w:firstLine="0"/>
        <w:jc w:val="both"/>
        <w:rPr>
          <w:rFonts w:ascii="Calibri" w:hAnsi="Calibri"/>
          <w:sz w:val="16"/>
        </w:rPr>
      </w:pPr>
      <w:r>
        <w:rPr>
          <w:rFonts w:ascii="Calibri" w:hAnsi="Calibri"/>
          <w:position w:val="5"/>
          <w:sz w:val="10"/>
        </w:rPr>
        <w:t>29 </w:t>
      </w:r>
      <w:r>
        <w:rPr>
          <w:rFonts w:ascii="Calibri" w:hAnsi="Calibri"/>
          <w:sz w:val="16"/>
        </w:rPr>
        <w:t>Dr. Abraham Osorio Orozco, profesor investigador de la Facultad de Ciencias Políticas y Sociales de la UAEM, quien fue mi profesor de metodología cualitativa. La Dra. Gabriela Martínez Tiburcio, profesora investigadora de la UAM Lerma, quien siendo amiga desde hace varios años me compartió sus experiencias de investigación doctoral. La Dra. Patricia Mercado Salgado, profesora investigadora de la Facultad de Contaduría y Administración de la UAEM, con quien tomé un curso de metodología de la investigación que me sirvió de guía estructurar</w:t>
      </w:r>
      <w:r>
        <w:rPr>
          <w:rFonts w:ascii="Calibri" w:hAnsi="Calibri"/>
          <w:spacing w:val="-4"/>
          <w:sz w:val="16"/>
        </w:rPr>
        <w:t> </w:t>
      </w:r>
      <w:r>
        <w:rPr>
          <w:rFonts w:ascii="Calibri" w:hAnsi="Calibri"/>
          <w:sz w:val="16"/>
        </w:rPr>
        <w:t>encuestas.</w:t>
      </w:r>
      <w:r>
        <w:rPr>
          <w:rFonts w:ascii="Calibri" w:hAnsi="Calibri"/>
          <w:spacing w:val="-3"/>
          <w:sz w:val="16"/>
        </w:rPr>
        <w:t> </w:t>
      </w:r>
      <w:r>
        <w:rPr>
          <w:rFonts w:ascii="Calibri" w:hAnsi="Calibri"/>
          <w:sz w:val="16"/>
        </w:rPr>
        <w:t>El</w:t>
      </w:r>
      <w:r>
        <w:rPr>
          <w:rFonts w:ascii="Calibri" w:hAnsi="Calibri"/>
          <w:spacing w:val="-4"/>
          <w:sz w:val="16"/>
        </w:rPr>
        <w:t> </w:t>
      </w:r>
      <w:r>
        <w:rPr>
          <w:rFonts w:ascii="Calibri" w:hAnsi="Calibri"/>
          <w:sz w:val="16"/>
        </w:rPr>
        <w:t>Dr.</w:t>
      </w:r>
      <w:r>
        <w:rPr>
          <w:rFonts w:ascii="Calibri" w:hAnsi="Calibri"/>
          <w:spacing w:val="-3"/>
          <w:sz w:val="16"/>
        </w:rPr>
        <w:t> </w:t>
      </w:r>
      <w:r>
        <w:rPr>
          <w:rFonts w:ascii="Calibri" w:hAnsi="Calibri"/>
          <w:sz w:val="16"/>
        </w:rPr>
        <w:t>Heriberto</w:t>
      </w:r>
      <w:r>
        <w:rPr>
          <w:rFonts w:ascii="Calibri" w:hAnsi="Calibri"/>
          <w:spacing w:val="-4"/>
          <w:sz w:val="16"/>
        </w:rPr>
        <w:t> </w:t>
      </w:r>
      <w:r>
        <w:rPr>
          <w:rFonts w:ascii="Calibri" w:hAnsi="Calibri"/>
          <w:sz w:val="16"/>
        </w:rPr>
        <w:t>Gutiérrez</w:t>
      </w:r>
      <w:r>
        <w:rPr>
          <w:rFonts w:ascii="Calibri" w:hAnsi="Calibri"/>
          <w:spacing w:val="-3"/>
          <w:sz w:val="16"/>
        </w:rPr>
        <w:t> </w:t>
      </w:r>
      <w:r>
        <w:rPr>
          <w:rFonts w:ascii="Calibri" w:hAnsi="Calibri"/>
          <w:sz w:val="16"/>
        </w:rPr>
        <w:t>Enríquez,</w:t>
      </w:r>
      <w:r>
        <w:rPr>
          <w:rFonts w:ascii="Calibri" w:hAnsi="Calibri"/>
          <w:spacing w:val="-3"/>
          <w:sz w:val="16"/>
        </w:rPr>
        <w:t> </w:t>
      </w:r>
      <w:r>
        <w:rPr>
          <w:rFonts w:ascii="Calibri" w:hAnsi="Calibri"/>
          <w:sz w:val="16"/>
        </w:rPr>
        <w:t>profesor</w:t>
      </w:r>
      <w:r>
        <w:rPr>
          <w:rFonts w:ascii="Calibri" w:hAnsi="Calibri"/>
          <w:spacing w:val="-4"/>
          <w:sz w:val="16"/>
        </w:rPr>
        <w:t> </w:t>
      </w:r>
      <w:r>
        <w:rPr>
          <w:rFonts w:ascii="Calibri" w:hAnsi="Calibri"/>
          <w:sz w:val="16"/>
        </w:rPr>
        <w:t>investigador</w:t>
      </w:r>
      <w:r>
        <w:rPr>
          <w:rFonts w:ascii="Calibri" w:hAnsi="Calibri"/>
          <w:spacing w:val="-4"/>
          <w:sz w:val="16"/>
        </w:rPr>
        <w:t> </w:t>
      </w:r>
      <w:r>
        <w:rPr>
          <w:rFonts w:ascii="Calibri" w:hAnsi="Calibri"/>
          <w:sz w:val="16"/>
        </w:rPr>
        <w:t>de</w:t>
      </w:r>
      <w:r>
        <w:rPr>
          <w:rFonts w:ascii="Calibri" w:hAnsi="Calibri"/>
          <w:spacing w:val="-4"/>
          <w:sz w:val="16"/>
        </w:rPr>
        <w:t> </w:t>
      </w:r>
      <w:r>
        <w:rPr>
          <w:rFonts w:ascii="Calibri" w:hAnsi="Calibri"/>
          <w:sz w:val="16"/>
        </w:rPr>
        <w:t>la</w:t>
      </w:r>
      <w:r>
        <w:rPr>
          <w:rFonts w:ascii="Calibri" w:hAnsi="Calibri"/>
          <w:spacing w:val="-4"/>
          <w:sz w:val="16"/>
        </w:rPr>
        <w:t> </w:t>
      </w:r>
      <w:r>
        <w:rPr>
          <w:rFonts w:ascii="Calibri" w:hAnsi="Calibri"/>
          <w:sz w:val="16"/>
        </w:rPr>
        <w:t>de</w:t>
      </w:r>
      <w:r>
        <w:rPr>
          <w:rFonts w:ascii="Calibri" w:hAnsi="Calibri"/>
          <w:spacing w:val="-5"/>
          <w:sz w:val="16"/>
        </w:rPr>
        <w:t> </w:t>
      </w:r>
      <w:r>
        <w:rPr>
          <w:rFonts w:ascii="Calibri" w:hAnsi="Calibri"/>
          <w:sz w:val="16"/>
        </w:rPr>
        <w:t>la</w:t>
      </w:r>
      <w:r>
        <w:rPr>
          <w:rFonts w:ascii="Calibri" w:hAnsi="Calibri"/>
          <w:spacing w:val="-4"/>
          <w:sz w:val="16"/>
        </w:rPr>
        <w:t> </w:t>
      </w:r>
      <w:r>
        <w:rPr>
          <w:rFonts w:ascii="Calibri" w:hAnsi="Calibri"/>
          <w:sz w:val="16"/>
        </w:rPr>
        <w:t>Facultad</w:t>
      </w:r>
      <w:r>
        <w:rPr>
          <w:rFonts w:ascii="Calibri" w:hAnsi="Calibri"/>
          <w:spacing w:val="-4"/>
          <w:sz w:val="16"/>
        </w:rPr>
        <w:t> </w:t>
      </w:r>
      <w:r>
        <w:rPr>
          <w:rFonts w:ascii="Calibri" w:hAnsi="Calibri"/>
          <w:sz w:val="16"/>
        </w:rPr>
        <w:t>de</w:t>
      </w:r>
      <w:r>
        <w:rPr>
          <w:rFonts w:ascii="Calibri" w:hAnsi="Calibri"/>
          <w:spacing w:val="-4"/>
          <w:sz w:val="16"/>
        </w:rPr>
        <w:t> </w:t>
      </w:r>
      <w:r>
        <w:rPr>
          <w:rFonts w:ascii="Calibri" w:hAnsi="Calibri"/>
          <w:sz w:val="16"/>
        </w:rPr>
        <w:t>Contaduría</w:t>
      </w:r>
      <w:r>
        <w:rPr>
          <w:rFonts w:ascii="Calibri" w:hAnsi="Calibri"/>
          <w:spacing w:val="-4"/>
          <w:sz w:val="16"/>
        </w:rPr>
        <w:t> </w:t>
      </w:r>
      <w:r>
        <w:rPr>
          <w:rFonts w:ascii="Calibri" w:hAnsi="Calibri"/>
          <w:sz w:val="16"/>
        </w:rPr>
        <w:t>y</w:t>
      </w:r>
      <w:r>
        <w:rPr>
          <w:rFonts w:ascii="Calibri" w:hAnsi="Calibri"/>
          <w:spacing w:val="-4"/>
          <w:sz w:val="16"/>
        </w:rPr>
        <w:t> </w:t>
      </w:r>
      <w:r>
        <w:rPr>
          <w:rFonts w:ascii="Calibri" w:hAnsi="Calibri"/>
          <w:sz w:val="16"/>
        </w:rPr>
        <w:t>Administración</w:t>
      </w:r>
      <w:r>
        <w:rPr>
          <w:rFonts w:ascii="Calibri" w:hAnsi="Calibri"/>
          <w:spacing w:val="-4"/>
          <w:sz w:val="16"/>
        </w:rPr>
        <w:t> </w:t>
      </w:r>
      <w:r>
        <w:rPr>
          <w:rFonts w:ascii="Calibri" w:hAnsi="Calibri"/>
          <w:sz w:val="16"/>
        </w:rPr>
        <w:t>de</w:t>
      </w:r>
      <w:r>
        <w:rPr>
          <w:rFonts w:ascii="Calibri" w:hAnsi="Calibri"/>
          <w:spacing w:val="-5"/>
          <w:sz w:val="16"/>
        </w:rPr>
        <w:t> </w:t>
      </w:r>
      <w:r>
        <w:rPr>
          <w:rFonts w:ascii="Calibri" w:hAnsi="Calibri"/>
          <w:sz w:val="16"/>
        </w:rPr>
        <w:t>la UAEM,</w:t>
      </w:r>
      <w:r>
        <w:rPr>
          <w:rFonts w:ascii="Calibri" w:hAnsi="Calibri"/>
          <w:spacing w:val="-7"/>
          <w:sz w:val="16"/>
        </w:rPr>
        <w:t> </w:t>
      </w:r>
      <w:r>
        <w:rPr>
          <w:rFonts w:ascii="Calibri" w:hAnsi="Calibri"/>
          <w:sz w:val="16"/>
        </w:rPr>
        <w:t>quien</w:t>
      </w:r>
      <w:r>
        <w:rPr>
          <w:rFonts w:ascii="Calibri" w:hAnsi="Calibri"/>
          <w:spacing w:val="-6"/>
          <w:sz w:val="16"/>
        </w:rPr>
        <w:t> </w:t>
      </w:r>
      <w:r>
        <w:rPr>
          <w:rFonts w:ascii="Calibri" w:hAnsi="Calibri"/>
          <w:sz w:val="16"/>
        </w:rPr>
        <w:t>siendo</w:t>
      </w:r>
      <w:r>
        <w:rPr>
          <w:rFonts w:ascii="Calibri" w:hAnsi="Calibri"/>
          <w:spacing w:val="-6"/>
          <w:sz w:val="16"/>
        </w:rPr>
        <w:t> </w:t>
      </w:r>
      <w:r>
        <w:rPr>
          <w:rFonts w:ascii="Calibri" w:hAnsi="Calibri"/>
          <w:sz w:val="16"/>
        </w:rPr>
        <w:t>mi</w:t>
      </w:r>
      <w:r>
        <w:rPr>
          <w:rFonts w:ascii="Calibri" w:hAnsi="Calibri"/>
          <w:spacing w:val="-6"/>
          <w:sz w:val="16"/>
        </w:rPr>
        <w:t> </w:t>
      </w:r>
      <w:r>
        <w:rPr>
          <w:rFonts w:ascii="Calibri" w:hAnsi="Calibri"/>
          <w:sz w:val="16"/>
        </w:rPr>
        <w:t>maestro</w:t>
      </w:r>
      <w:r>
        <w:rPr>
          <w:rFonts w:ascii="Calibri" w:hAnsi="Calibri"/>
          <w:spacing w:val="-6"/>
          <w:sz w:val="16"/>
        </w:rPr>
        <w:t> </w:t>
      </w:r>
      <w:r>
        <w:rPr>
          <w:rFonts w:ascii="Calibri" w:hAnsi="Calibri"/>
          <w:sz w:val="16"/>
        </w:rPr>
        <w:t>durante</w:t>
      </w:r>
      <w:r>
        <w:rPr>
          <w:rFonts w:ascii="Calibri" w:hAnsi="Calibri"/>
          <w:spacing w:val="-6"/>
          <w:sz w:val="16"/>
        </w:rPr>
        <w:t> </w:t>
      </w:r>
      <w:r>
        <w:rPr>
          <w:rFonts w:ascii="Calibri" w:hAnsi="Calibri"/>
          <w:sz w:val="16"/>
        </w:rPr>
        <w:t>la</w:t>
      </w:r>
      <w:r>
        <w:rPr>
          <w:rFonts w:ascii="Calibri" w:hAnsi="Calibri"/>
          <w:spacing w:val="-5"/>
          <w:sz w:val="16"/>
        </w:rPr>
        <w:t> </w:t>
      </w:r>
      <w:r>
        <w:rPr>
          <w:rFonts w:ascii="Calibri" w:hAnsi="Calibri"/>
          <w:sz w:val="16"/>
        </w:rPr>
        <w:t>maestría</w:t>
      </w:r>
      <w:r>
        <w:rPr>
          <w:rFonts w:ascii="Calibri" w:hAnsi="Calibri"/>
          <w:spacing w:val="-5"/>
          <w:sz w:val="16"/>
        </w:rPr>
        <w:t> </w:t>
      </w:r>
      <w:r>
        <w:rPr>
          <w:rFonts w:ascii="Calibri" w:hAnsi="Calibri"/>
          <w:sz w:val="16"/>
        </w:rPr>
        <w:t>nos</w:t>
      </w:r>
      <w:r>
        <w:rPr>
          <w:rFonts w:ascii="Calibri" w:hAnsi="Calibri"/>
          <w:spacing w:val="-6"/>
          <w:sz w:val="16"/>
        </w:rPr>
        <w:t> </w:t>
      </w:r>
      <w:r>
        <w:rPr>
          <w:rFonts w:ascii="Calibri" w:hAnsi="Calibri"/>
          <w:sz w:val="16"/>
        </w:rPr>
        <w:t>dio</w:t>
      </w:r>
      <w:r>
        <w:rPr>
          <w:rFonts w:ascii="Calibri" w:hAnsi="Calibri"/>
          <w:spacing w:val="-6"/>
          <w:sz w:val="16"/>
        </w:rPr>
        <w:t> </w:t>
      </w:r>
      <w:r>
        <w:rPr>
          <w:rFonts w:ascii="Calibri" w:hAnsi="Calibri"/>
          <w:sz w:val="16"/>
        </w:rPr>
        <w:t>elementos</w:t>
      </w:r>
      <w:r>
        <w:rPr>
          <w:rFonts w:ascii="Calibri" w:hAnsi="Calibri"/>
          <w:spacing w:val="-6"/>
          <w:sz w:val="16"/>
        </w:rPr>
        <w:t> </w:t>
      </w:r>
      <w:r>
        <w:rPr>
          <w:rFonts w:ascii="Calibri" w:hAnsi="Calibri"/>
          <w:sz w:val="16"/>
        </w:rPr>
        <w:t>clave</w:t>
      </w:r>
      <w:r>
        <w:rPr>
          <w:rFonts w:ascii="Calibri" w:hAnsi="Calibri"/>
          <w:spacing w:val="-6"/>
          <w:sz w:val="16"/>
        </w:rPr>
        <w:t> </w:t>
      </w:r>
      <w:r>
        <w:rPr>
          <w:rFonts w:ascii="Calibri" w:hAnsi="Calibri"/>
          <w:sz w:val="16"/>
        </w:rPr>
        <w:t>para</w:t>
      </w:r>
      <w:r>
        <w:rPr>
          <w:rFonts w:ascii="Calibri" w:hAnsi="Calibri"/>
          <w:spacing w:val="-5"/>
          <w:sz w:val="16"/>
        </w:rPr>
        <w:t> </w:t>
      </w:r>
      <w:r>
        <w:rPr>
          <w:rFonts w:ascii="Calibri" w:hAnsi="Calibri"/>
          <w:sz w:val="16"/>
        </w:rPr>
        <w:t>estructurar</w:t>
      </w:r>
      <w:r>
        <w:rPr>
          <w:rFonts w:ascii="Calibri" w:hAnsi="Calibri"/>
          <w:spacing w:val="-6"/>
          <w:sz w:val="16"/>
        </w:rPr>
        <w:t> </w:t>
      </w:r>
      <w:r>
        <w:rPr>
          <w:rFonts w:ascii="Calibri" w:hAnsi="Calibri"/>
          <w:sz w:val="16"/>
        </w:rPr>
        <w:t>cuestionarios</w:t>
      </w:r>
      <w:r>
        <w:rPr>
          <w:rFonts w:ascii="Calibri" w:hAnsi="Calibri"/>
          <w:spacing w:val="-6"/>
          <w:sz w:val="16"/>
        </w:rPr>
        <w:t> </w:t>
      </w:r>
      <w:r>
        <w:rPr>
          <w:rFonts w:ascii="Calibri" w:hAnsi="Calibri"/>
          <w:sz w:val="16"/>
        </w:rPr>
        <w:t>de</w:t>
      </w:r>
      <w:r>
        <w:rPr>
          <w:rFonts w:ascii="Calibri" w:hAnsi="Calibri"/>
          <w:spacing w:val="-6"/>
          <w:sz w:val="16"/>
        </w:rPr>
        <w:t> </w:t>
      </w:r>
      <w:r>
        <w:rPr>
          <w:rFonts w:ascii="Calibri" w:hAnsi="Calibri"/>
          <w:sz w:val="16"/>
        </w:rPr>
        <w:t>investigación</w:t>
      </w:r>
      <w:r>
        <w:rPr>
          <w:rFonts w:ascii="Calibri" w:hAnsi="Calibri"/>
          <w:spacing w:val="-6"/>
          <w:sz w:val="16"/>
        </w:rPr>
        <w:t> </w:t>
      </w:r>
      <w:r>
        <w:rPr>
          <w:rFonts w:ascii="Calibri" w:hAnsi="Calibri"/>
          <w:sz w:val="16"/>
        </w:rPr>
        <w:t>y</w:t>
      </w:r>
      <w:r>
        <w:rPr>
          <w:rFonts w:ascii="Calibri" w:hAnsi="Calibri"/>
          <w:spacing w:val="-6"/>
          <w:sz w:val="16"/>
        </w:rPr>
        <w:t> </w:t>
      </w:r>
      <w:r>
        <w:rPr>
          <w:rFonts w:ascii="Calibri" w:hAnsi="Calibri"/>
          <w:sz w:val="16"/>
        </w:rPr>
        <w:t>nos</w:t>
      </w:r>
      <w:r>
        <w:rPr>
          <w:rFonts w:ascii="Calibri" w:hAnsi="Calibri"/>
          <w:spacing w:val="-6"/>
          <w:sz w:val="16"/>
        </w:rPr>
        <w:t> </w:t>
      </w:r>
      <w:r>
        <w:rPr>
          <w:rFonts w:ascii="Calibri" w:hAnsi="Calibri"/>
          <w:sz w:val="16"/>
        </w:rPr>
        <w:t>enseñó la aplicación de </w:t>
      </w:r>
      <w:r>
        <w:rPr>
          <w:rFonts w:ascii="Calibri" w:hAnsi="Calibri"/>
          <w:i/>
          <w:sz w:val="16"/>
        </w:rPr>
        <w:t>Alpha de Cronbach </w:t>
      </w:r>
      <w:r>
        <w:rPr>
          <w:rFonts w:ascii="Calibri" w:hAnsi="Calibri"/>
          <w:sz w:val="16"/>
        </w:rPr>
        <w:t>como método de revisión de dicho instrumento. La Dra. Leticia Heras Gómez, profesora investigadora de</w:t>
      </w:r>
      <w:r>
        <w:rPr>
          <w:rFonts w:ascii="Calibri" w:hAnsi="Calibri"/>
          <w:spacing w:val="-4"/>
          <w:sz w:val="16"/>
        </w:rPr>
        <w:t> </w:t>
      </w:r>
      <w:r>
        <w:rPr>
          <w:rFonts w:ascii="Calibri" w:hAnsi="Calibri"/>
          <w:sz w:val="16"/>
        </w:rPr>
        <w:t>la</w:t>
      </w:r>
      <w:r>
        <w:rPr>
          <w:rFonts w:ascii="Calibri" w:hAnsi="Calibri"/>
          <w:spacing w:val="-3"/>
          <w:sz w:val="16"/>
        </w:rPr>
        <w:t> </w:t>
      </w:r>
      <w:r>
        <w:rPr>
          <w:rFonts w:ascii="Calibri" w:hAnsi="Calibri"/>
          <w:sz w:val="16"/>
        </w:rPr>
        <w:t>Facultad</w:t>
      </w:r>
      <w:r>
        <w:rPr>
          <w:rFonts w:ascii="Calibri" w:hAnsi="Calibri"/>
          <w:spacing w:val="-3"/>
          <w:sz w:val="16"/>
        </w:rPr>
        <w:t> </w:t>
      </w:r>
      <w:r>
        <w:rPr>
          <w:rFonts w:ascii="Calibri" w:hAnsi="Calibri"/>
          <w:sz w:val="16"/>
        </w:rPr>
        <w:t>de</w:t>
      </w:r>
      <w:r>
        <w:rPr>
          <w:rFonts w:ascii="Calibri" w:hAnsi="Calibri"/>
          <w:spacing w:val="-3"/>
          <w:sz w:val="16"/>
        </w:rPr>
        <w:t> </w:t>
      </w:r>
      <w:r>
        <w:rPr>
          <w:rFonts w:ascii="Calibri" w:hAnsi="Calibri"/>
          <w:sz w:val="16"/>
        </w:rPr>
        <w:t>Ciencias</w:t>
      </w:r>
      <w:r>
        <w:rPr>
          <w:rFonts w:ascii="Calibri" w:hAnsi="Calibri"/>
          <w:spacing w:val="-3"/>
          <w:sz w:val="16"/>
        </w:rPr>
        <w:t> </w:t>
      </w:r>
      <w:r>
        <w:rPr>
          <w:rFonts w:ascii="Calibri" w:hAnsi="Calibri"/>
          <w:sz w:val="16"/>
        </w:rPr>
        <w:t>Sociales,</w:t>
      </w:r>
      <w:r>
        <w:rPr>
          <w:rFonts w:ascii="Calibri" w:hAnsi="Calibri"/>
          <w:spacing w:val="-2"/>
          <w:sz w:val="16"/>
        </w:rPr>
        <w:t> </w:t>
      </w:r>
      <w:r>
        <w:rPr>
          <w:rFonts w:ascii="Calibri" w:hAnsi="Calibri"/>
          <w:sz w:val="16"/>
        </w:rPr>
        <w:t>quien</w:t>
      </w:r>
      <w:r>
        <w:rPr>
          <w:rFonts w:ascii="Calibri" w:hAnsi="Calibri"/>
          <w:spacing w:val="-3"/>
          <w:sz w:val="16"/>
        </w:rPr>
        <w:t> </w:t>
      </w:r>
      <w:r>
        <w:rPr>
          <w:rFonts w:ascii="Calibri" w:hAnsi="Calibri"/>
          <w:sz w:val="16"/>
        </w:rPr>
        <w:t>siendo</w:t>
      </w:r>
      <w:r>
        <w:rPr>
          <w:rFonts w:ascii="Calibri" w:hAnsi="Calibri"/>
          <w:spacing w:val="-3"/>
          <w:sz w:val="16"/>
        </w:rPr>
        <w:t> </w:t>
      </w:r>
      <w:r>
        <w:rPr>
          <w:rFonts w:ascii="Calibri" w:hAnsi="Calibri"/>
          <w:sz w:val="16"/>
        </w:rPr>
        <w:t>mi</w:t>
      </w:r>
      <w:r>
        <w:rPr>
          <w:rFonts w:ascii="Calibri" w:hAnsi="Calibri"/>
          <w:spacing w:val="-3"/>
          <w:sz w:val="16"/>
        </w:rPr>
        <w:t> </w:t>
      </w:r>
      <w:r>
        <w:rPr>
          <w:rFonts w:ascii="Calibri" w:hAnsi="Calibri"/>
          <w:sz w:val="16"/>
        </w:rPr>
        <w:t>profesora</w:t>
      </w:r>
      <w:r>
        <w:rPr>
          <w:rFonts w:ascii="Calibri" w:hAnsi="Calibri"/>
          <w:spacing w:val="-3"/>
          <w:sz w:val="16"/>
        </w:rPr>
        <w:t> </w:t>
      </w:r>
      <w:r>
        <w:rPr>
          <w:rFonts w:ascii="Calibri" w:hAnsi="Calibri"/>
          <w:sz w:val="16"/>
        </w:rPr>
        <w:t>de</w:t>
      </w:r>
      <w:r>
        <w:rPr>
          <w:rFonts w:ascii="Calibri" w:hAnsi="Calibri"/>
          <w:spacing w:val="-4"/>
          <w:sz w:val="16"/>
        </w:rPr>
        <w:t> </w:t>
      </w:r>
      <w:r>
        <w:rPr>
          <w:rFonts w:ascii="Calibri" w:hAnsi="Calibri"/>
          <w:sz w:val="16"/>
        </w:rPr>
        <w:t>Taller</w:t>
      </w:r>
      <w:r>
        <w:rPr>
          <w:rFonts w:ascii="Calibri" w:hAnsi="Calibri"/>
          <w:spacing w:val="-3"/>
          <w:sz w:val="16"/>
        </w:rPr>
        <w:t> </w:t>
      </w:r>
      <w:r>
        <w:rPr>
          <w:rFonts w:ascii="Calibri" w:hAnsi="Calibri"/>
          <w:sz w:val="16"/>
        </w:rPr>
        <w:t>de</w:t>
      </w:r>
      <w:r>
        <w:rPr>
          <w:rFonts w:ascii="Calibri" w:hAnsi="Calibri"/>
          <w:spacing w:val="-1"/>
          <w:sz w:val="16"/>
        </w:rPr>
        <w:t> </w:t>
      </w:r>
      <w:r>
        <w:rPr>
          <w:rFonts w:ascii="Calibri" w:hAnsi="Calibri"/>
          <w:sz w:val="16"/>
        </w:rPr>
        <w:t>proyectos</w:t>
      </w:r>
      <w:r>
        <w:rPr>
          <w:rFonts w:ascii="Calibri" w:hAnsi="Calibri"/>
          <w:spacing w:val="-3"/>
          <w:sz w:val="16"/>
        </w:rPr>
        <w:t> </w:t>
      </w:r>
      <w:r>
        <w:rPr>
          <w:rFonts w:ascii="Calibri" w:hAnsi="Calibri"/>
          <w:sz w:val="16"/>
        </w:rPr>
        <w:t>de</w:t>
      </w:r>
      <w:r>
        <w:rPr>
          <w:rFonts w:ascii="Calibri" w:hAnsi="Calibri"/>
          <w:spacing w:val="-4"/>
          <w:sz w:val="16"/>
        </w:rPr>
        <w:t> </w:t>
      </w:r>
      <w:r>
        <w:rPr>
          <w:rFonts w:ascii="Calibri" w:hAnsi="Calibri"/>
          <w:sz w:val="16"/>
        </w:rPr>
        <w:t>investigación</w:t>
      </w:r>
      <w:r>
        <w:rPr>
          <w:rFonts w:ascii="Calibri" w:hAnsi="Calibri"/>
          <w:spacing w:val="-3"/>
          <w:sz w:val="16"/>
        </w:rPr>
        <w:t> </w:t>
      </w:r>
      <w:r>
        <w:rPr>
          <w:rFonts w:ascii="Calibri" w:hAnsi="Calibri"/>
          <w:sz w:val="16"/>
        </w:rPr>
        <w:t>me</w:t>
      </w:r>
      <w:r>
        <w:rPr>
          <w:rFonts w:ascii="Calibri" w:hAnsi="Calibri"/>
          <w:spacing w:val="-3"/>
          <w:sz w:val="16"/>
        </w:rPr>
        <w:t> </w:t>
      </w:r>
      <w:r>
        <w:rPr>
          <w:rFonts w:ascii="Calibri" w:hAnsi="Calibri"/>
          <w:sz w:val="16"/>
        </w:rPr>
        <w:t>ayudó</w:t>
      </w:r>
      <w:r>
        <w:rPr>
          <w:rFonts w:ascii="Calibri" w:hAnsi="Calibri"/>
          <w:spacing w:val="-3"/>
          <w:sz w:val="16"/>
        </w:rPr>
        <w:t> </w:t>
      </w:r>
      <w:r>
        <w:rPr>
          <w:rFonts w:ascii="Calibri" w:hAnsi="Calibri"/>
          <w:sz w:val="16"/>
        </w:rPr>
        <w:t>a</w:t>
      </w:r>
      <w:r>
        <w:rPr>
          <w:rFonts w:ascii="Calibri" w:hAnsi="Calibri"/>
          <w:spacing w:val="-3"/>
          <w:sz w:val="16"/>
        </w:rPr>
        <w:t> </w:t>
      </w:r>
      <w:r>
        <w:rPr>
          <w:rFonts w:ascii="Calibri" w:hAnsi="Calibri"/>
          <w:sz w:val="16"/>
        </w:rPr>
        <w:t>definir</w:t>
      </w:r>
      <w:r>
        <w:rPr>
          <w:rFonts w:ascii="Calibri" w:hAnsi="Calibri"/>
          <w:spacing w:val="-3"/>
          <w:sz w:val="16"/>
        </w:rPr>
        <w:t> </w:t>
      </w:r>
      <w:r>
        <w:rPr>
          <w:rFonts w:ascii="Calibri" w:hAnsi="Calibri"/>
          <w:sz w:val="16"/>
        </w:rPr>
        <w:t>las categorías</w:t>
      </w:r>
      <w:r>
        <w:rPr>
          <w:rFonts w:ascii="Calibri" w:hAnsi="Calibri"/>
          <w:spacing w:val="-3"/>
          <w:sz w:val="16"/>
        </w:rPr>
        <w:t> </w:t>
      </w:r>
      <w:r>
        <w:rPr>
          <w:rFonts w:ascii="Calibri" w:hAnsi="Calibri"/>
          <w:sz w:val="16"/>
        </w:rPr>
        <w:t>de análisis del Neoinstitucionalismo. El Dr. David Arellano Gault, profesor investigador del CIDE, quien siendo mi docente de Teorías de la Organización</w:t>
      </w:r>
      <w:r>
        <w:rPr>
          <w:rFonts w:ascii="Calibri" w:hAnsi="Calibri"/>
          <w:spacing w:val="-3"/>
          <w:sz w:val="16"/>
        </w:rPr>
        <w:t> </w:t>
      </w:r>
      <w:r>
        <w:rPr>
          <w:rFonts w:ascii="Calibri" w:hAnsi="Calibri"/>
          <w:sz w:val="16"/>
        </w:rPr>
        <w:t>me</w:t>
      </w:r>
      <w:r>
        <w:rPr>
          <w:rFonts w:ascii="Calibri" w:hAnsi="Calibri"/>
          <w:spacing w:val="-3"/>
          <w:sz w:val="16"/>
        </w:rPr>
        <w:t> </w:t>
      </w:r>
      <w:r>
        <w:rPr>
          <w:rFonts w:ascii="Calibri" w:hAnsi="Calibri"/>
          <w:sz w:val="16"/>
        </w:rPr>
        <w:t>ayudó</w:t>
      </w:r>
      <w:r>
        <w:rPr>
          <w:rFonts w:ascii="Calibri" w:hAnsi="Calibri"/>
          <w:spacing w:val="-3"/>
          <w:sz w:val="16"/>
        </w:rPr>
        <w:t> </w:t>
      </w:r>
      <w:r>
        <w:rPr>
          <w:rFonts w:ascii="Calibri" w:hAnsi="Calibri"/>
          <w:sz w:val="16"/>
        </w:rPr>
        <w:t>a</w:t>
      </w:r>
      <w:r>
        <w:rPr>
          <w:rFonts w:ascii="Calibri" w:hAnsi="Calibri"/>
          <w:spacing w:val="-3"/>
          <w:sz w:val="16"/>
        </w:rPr>
        <w:t> </w:t>
      </w:r>
      <w:r>
        <w:rPr>
          <w:rFonts w:ascii="Calibri" w:hAnsi="Calibri"/>
          <w:sz w:val="16"/>
        </w:rPr>
        <w:t>identificar</w:t>
      </w:r>
      <w:r>
        <w:rPr>
          <w:rFonts w:ascii="Calibri" w:hAnsi="Calibri"/>
          <w:spacing w:val="-3"/>
          <w:sz w:val="16"/>
        </w:rPr>
        <w:t> </w:t>
      </w:r>
      <w:r>
        <w:rPr>
          <w:rFonts w:ascii="Calibri" w:hAnsi="Calibri"/>
          <w:sz w:val="16"/>
        </w:rPr>
        <w:t>las</w:t>
      </w:r>
      <w:r>
        <w:rPr>
          <w:rFonts w:ascii="Calibri" w:hAnsi="Calibri"/>
          <w:spacing w:val="-3"/>
          <w:sz w:val="16"/>
        </w:rPr>
        <w:t> </w:t>
      </w:r>
      <w:r>
        <w:rPr>
          <w:rFonts w:ascii="Calibri" w:hAnsi="Calibri"/>
          <w:sz w:val="16"/>
        </w:rPr>
        <w:t>categorías</w:t>
      </w:r>
      <w:r>
        <w:rPr>
          <w:rFonts w:ascii="Calibri" w:hAnsi="Calibri"/>
          <w:spacing w:val="-3"/>
          <w:sz w:val="16"/>
        </w:rPr>
        <w:t> </w:t>
      </w:r>
      <w:r>
        <w:rPr>
          <w:rFonts w:ascii="Calibri" w:hAnsi="Calibri"/>
          <w:sz w:val="16"/>
        </w:rPr>
        <w:t>de</w:t>
      </w:r>
      <w:r>
        <w:rPr>
          <w:rFonts w:ascii="Calibri" w:hAnsi="Calibri"/>
          <w:spacing w:val="-3"/>
          <w:sz w:val="16"/>
        </w:rPr>
        <w:t> </w:t>
      </w:r>
      <w:r>
        <w:rPr>
          <w:rFonts w:ascii="Calibri" w:hAnsi="Calibri"/>
          <w:sz w:val="16"/>
        </w:rPr>
        <w:t>análisis</w:t>
      </w:r>
      <w:r>
        <w:rPr>
          <w:rFonts w:ascii="Calibri" w:hAnsi="Calibri"/>
          <w:spacing w:val="-3"/>
          <w:sz w:val="16"/>
        </w:rPr>
        <w:t> </w:t>
      </w:r>
      <w:r>
        <w:rPr>
          <w:rFonts w:ascii="Calibri" w:hAnsi="Calibri"/>
          <w:sz w:val="16"/>
        </w:rPr>
        <w:t>de</w:t>
      </w:r>
      <w:r>
        <w:rPr>
          <w:rFonts w:ascii="Calibri" w:hAnsi="Calibri"/>
          <w:spacing w:val="-4"/>
          <w:sz w:val="16"/>
        </w:rPr>
        <w:t> </w:t>
      </w:r>
      <w:r>
        <w:rPr>
          <w:rFonts w:ascii="Calibri" w:hAnsi="Calibri"/>
          <w:sz w:val="16"/>
        </w:rPr>
        <w:t>la</w:t>
      </w:r>
      <w:r>
        <w:rPr>
          <w:rFonts w:ascii="Calibri" w:hAnsi="Calibri"/>
          <w:spacing w:val="-3"/>
          <w:sz w:val="16"/>
        </w:rPr>
        <w:t> </w:t>
      </w:r>
      <w:r>
        <w:rPr>
          <w:rFonts w:ascii="Calibri" w:hAnsi="Calibri"/>
          <w:sz w:val="16"/>
        </w:rPr>
        <w:t>sociología</w:t>
      </w:r>
      <w:r>
        <w:rPr>
          <w:rFonts w:ascii="Calibri" w:hAnsi="Calibri"/>
          <w:spacing w:val="-3"/>
          <w:sz w:val="16"/>
        </w:rPr>
        <w:t> </w:t>
      </w:r>
      <w:r>
        <w:rPr>
          <w:rFonts w:ascii="Calibri" w:hAnsi="Calibri"/>
          <w:sz w:val="16"/>
        </w:rPr>
        <w:t>organizacional.</w:t>
      </w:r>
      <w:r>
        <w:rPr>
          <w:rFonts w:ascii="Calibri" w:hAnsi="Calibri"/>
          <w:spacing w:val="-2"/>
          <w:sz w:val="16"/>
        </w:rPr>
        <w:t> </w:t>
      </w:r>
      <w:r>
        <w:rPr>
          <w:rFonts w:ascii="Calibri" w:hAnsi="Calibri"/>
          <w:sz w:val="16"/>
        </w:rPr>
        <w:t>De</w:t>
      </w:r>
      <w:r>
        <w:rPr>
          <w:rFonts w:ascii="Calibri" w:hAnsi="Calibri"/>
          <w:spacing w:val="-3"/>
          <w:sz w:val="16"/>
        </w:rPr>
        <w:t> </w:t>
      </w:r>
      <w:r>
        <w:rPr>
          <w:rFonts w:ascii="Calibri" w:hAnsi="Calibri"/>
          <w:sz w:val="16"/>
        </w:rPr>
        <w:t>igual</w:t>
      </w:r>
      <w:r>
        <w:rPr>
          <w:rFonts w:ascii="Calibri" w:hAnsi="Calibri"/>
          <w:spacing w:val="-3"/>
          <w:sz w:val="16"/>
        </w:rPr>
        <w:t> </w:t>
      </w:r>
      <w:r>
        <w:rPr>
          <w:rFonts w:ascii="Calibri" w:hAnsi="Calibri"/>
          <w:sz w:val="16"/>
        </w:rPr>
        <w:t>manera,</w:t>
      </w:r>
      <w:r>
        <w:rPr>
          <w:rFonts w:ascii="Calibri" w:hAnsi="Calibri"/>
          <w:spacing w:val="-2"/>
          <w:sz w:val="16"/>
        </w:rPr>
        <w:t> </w:t>
      </w:r>
      <w:r>
        <w:rPr>
          <w:rFonts w:ascii="Calibri" w:hAnsi="Calibri"/>
          <w:sz w:val="16"/>
        </w:rPr>
        <w:t>el</w:t>
      </w:r>
      <w:r>
        <w:rPr>
          <w:rFonts w:ascii="Calibri" w:hAnsi="Calibri"/>
          <w:spacing w:val="-3"/>
          <w:sz w:val="16"/>
        </w:rPr>
        <w:t> </w:t>
      </w:r>
      <w:r>
        <w:rPr>
          <w:rFonts w:ascii="Calibri" w:hAnsi="Calibri"/>
          <w:sz w:val="16"/>
        </w:rPr>
        <w:t>Dr.</w:t>
      </w:r>
      <w:r>
        <w:rPr>
          <w:rFonts w:ascii="Calibri" w:hAnsi="Calibri"/>
          <w:spacing w:val="-2"/>
          <w:sz w:val="16"/>
        </w:rPr>
        <w:t> </w:t>
      </w:r>
      <w:r>
        <w:rPr>
          <w:rFonts w:ascii="Calibri" w:hAnsi="Calibri"/>
          <w:sz w:val="16"/>
        </w:rPr>
        <w:t>José</w:t>
      </w:r>
      <w:r>
        <w:rPr>
          <w:rFonts w:ascii="Calibri" w:hAnsi="Calibri"/>
          <w:spacing w:val="-1"/>
          <w:sz w:val="16"/>
        </w:rPr>
        <w:t> </w:t>
      </w:r>
      <w:r>
        <w:rPr>
          <w:rFonts w:ascii="Calibri" w:hAnsi="Calibri"/>
          <w:sz w:val="16"/>
        </w:rPr>
        <w:t>Chanes</w:t>
      </w:r>
      <w:r>
        <w:rPr>
          <w:rFonts w:ascii="Calibri" w:hAnsi="Calibri"/>
          <w:spacing w:val="-3"/>
          <w:sz w:val="16"/>
        </w:rPr>
        <w:t> </w:t>
      </w:r>
      <w:r>
        <w:rPr>
          <w:rFonts w:ascii="Calibri" w:hAnsi="Calibri"/>
          <w:sz w:val="16"/>
        </w:rPr>
        <w:t>Nieto,</w:t>
      </w:r>
      <w:r>
        <w:rPr>
          <w:rFonts w:ascii="Calibri" w:hAnsi="Calibri"/>
          <w:spacing w:val="-2"/>
          <w:sz w:val="16"/>
        </w:rPr>
        <w:t> </w:t>
      </w:r>
      <w:r>
        <w:rPr>
          <w:rFonts w:ascii="Calibri" w:hAnsi="Calibri"/>
          <w:sz w:val="16"/>
        </w:rPr>
        <w:t>la</w:t>
      </w:r>
    </w:p>
    <w:p>
      <w:pPr>
        <w:spacing w:after="0"/>
        <w:jc w:val="both"/>
        <w:rPr>
          <w:rFonts w:ascii="Calibri" w:hAnsi="Calibri"/>
          <w:sz w:val="16"/>
        </w:rPr>
        <w:sectPr>
          <w:pgSz w:w="12240" w:h="15840"/>
          <w:pgMar w:header="0" w:footer="1035" w:top="1360" w:bottom="1220" w:left="1480" w:right="1580"/>
        </w:sectPr>
      </w:pPr>
    </w:p>
    <w:p>
      <w:pPr>
        <w:pStyle w:val="ListParagraph"/>
        <w:numPr>
          <w:ilvl w:val="3"/>
          <w:numId w:val="43"/>
        </w:numPr>
        <w:tabs>
          <w:tab w:pos="817" w:val="left" w:leader="none"/>
        </w:tabs>
        <w:spacing w:line="360" w:lineRule="auto" w:before="54" w:after="0"/>
        <w:ind w:left="391" w:right="118" w:hanging="185"/>
        <w:jc w:val="both"/>
        <w:rPr>
          <w:sz w:val="24"/>
        </w:rPr>
      </w:pPr>
      <w:r>
        <w:rPr>
          <w:b/>
          <w:sz w:val="24"/>
        </w:rPr>
        <w:t>Objetivo de la investigación. </w:t>
      </w:r>
      <w:r>
        <w:rPr>
          <w:sz w:val="24"/>
        </w:rPr>
        <w:t>Se tomó como base el objetivo de la investigación como eje rector de la encuesta para evitar realizar preguntas sin sentido.</w:t>
      </w:r>
    </w:p>
    <w:p>
      <w:pPr>
        <w:pStyle w:val="BodyText"/>
      </w:pPr>
    </w:p>
    <w:p>
      <w:pPr>
        <w:pStyle w:val="ListParagraph"/>
        <w:numPr>
          <w:ilvl w:val="3"/>
          <w:numId w:val="43"/>
        </w:numPr>
        <w:tabs>
          <w:tab w:pos="817" w:val="left" w:leader="none"/>
        </w:tabs>
        <w:spacing w:line="360" w:lineRule="auto" w:before="142" w:after="0"/>
        <w:ind w:left="391" w:right="119" w:hanging="185"/>
        <w:jc w:val="both"/>
        <w:rPr>
          <w:sz w:val="24"/>
        </w:rPr>
      </w:pPr>
      <w:r>
        <w:rPr>
          <w:b/>
          <w:sz w:val="24"/>
        </w:rPr>
        <w:t>Definir marco teórico guía. </w:t>
      </w:r>
      <w:r>
        <w:rPr>
          <w:sz w:val="24"/>
        </w:rPr>
        <w:t>Se identificó que en el marco teórico había dos tipos</w:t>
      </w:r>
      <w:r>
        <w:rPr>
          <w:spacing w:val="-19"/>
          <w:sz w:val="24"/>
        </w:rPr>
        <w:t> </w:t>
      </w:r>
      <w:r>
        <w:rPr>
          <w:sz w:val="24"/>
        </w:rPr>
        <w:t>de</w:t>
      </w:r>
      <w:r>
        <w:rPr>
          <w:spacing w:val="-18"/>
          <w:sz w:val="24"/>
        </w:rPr>
        <w:t> </w:t>
      </w:r>
      <w:r>
        <w:rPr>
          <w:sz w:val="24"/>
        </w:rPr>
        <w:t>teorías:</w:t>
      </w:r>
      <w:r>
        <w:rPr>
          <w:spacing w:val="-18"/>
          <w:sz w:val="24"/>
        </w:rPr>
        <w:t> </w:t>
      </w:r>
      <w:r>
        <w:rPr>
          <w:sz w:val="24"/>
        </w:rPr>
        <w:t>primero,</w:t>
      </w:r>
      <w:r>
        <w:rPr>
          <w:spacing w:val="-18"/>
          <w:sz w:val="24"/>
        </w:rPr>
        <w:t> </w:t>
      </w:r>
      <w:r>
        <w:rPr>
          <w:sz w:val="24"/>
        </w:rPr>
        <w:t>las</w:t>
      </w:r>
      <w:r>
        <w:rPr>
          <w:spacing w:val="-18"/>
          <w:sz w:val="24"/>
        </w:rPr>
        <w:t> </w:t>
      </w:r>
      <w:r>
        <w:rPr>
          <w:sz w:val="24"/>
        </w:rPr>
        <w:t>que</w:t>
      </w:r>
      <w:r>
        <w:rPr>
          <w:spacing w:val="-20"/>
          <w:sz w:val="24"/>
        </w:rPr>
        <w:t> </w:t>
      </w:r>
      <w:r>
        <w:rPr>
          <w:sz w:val="24"/>
        </w:rPr>
        <w:t>marcan</w:t>
      </w:r>
      <w:r>
        <w:rPr>
          <w:spacing w:val="-18"/>
          <w:sz w:val="24"/>
        </w:rPr>
        <w:t> </w:t>
      </w:r>
      <w:r>
        <w:rPr>
          <w:sz w:val="24"/>
        </w:rPr>
        <w:t>un</w:t>
      </w:r>
      <w:r>
        <w:rPr>
          <w:spacing w:val="-20"/>
          <w:sz w:val="24"/>
        </w:rPr>
        <w:t> </w:t>
      </w:r>
      <w:r>
        <w:rPr>
          <w:sz w:val="24"/>
        </w:rPr>
        <w:t>referente</w:t>
      </w:r>
      <w:r>
        <w:rPr>
          <w:spacing w:val="-18"/>
          <w:sz w:val="24"/>
        </w:rPr>
        <w:t> </w:t>
      </w:r>
      <w:r>
        <w:rPr>
          <w:sz w:val="24"/>
        </w:rPr>
        <w:t>sobre</w:t>
      </w:r>
      <w:r>
        <w:rPr>
          <w:spacing w:val="-18"/>
          <w:sz w:val="24"/>
        </w:rPr>
        <w:t> </w:t>
      </w:r>
      <w:r>
        <w:rPr>
          <w:sz w:val="24"/>
        </w:rPr>
        <w:t>los</w:t>
      </w:r>
      <w:r>
        <w:rPr>
          <w:spacing w:val="-18"/>
          <w:sz w:val="24"/>
        </w:rPr>
        <w:t> </w:t>
      </w:r>
      <w:r>
        <w:rPr>
          <w:sz w:val="24"/>
        </w:rPr>
        <w:t>elementos</w:t>
      </w:r>
      <w:r>
        <w:rPr>
          <w:spacing w:val="-21"/>
          <w:sz w:val="24"/>
        </w:rPr>
        <w:t> </w:t>
      </w:r>
      <w:r>
        <w:rPr>
          <w:sz w:val="24"/>
        </w:rPr>
        <w:t>teóricos básicos que todo investigador debe conocer para realizar la investigación, los cuales se enfocan en guiar el conocimiento. Segundo, las que permiten realizar interpretación</w:t>
      </w:r>
      <w:r>
        <w:rPr>
          <w:spacing w:val="-6"/>
          <w:sz w:val="24"/>
        </w:rPr>
        <w:t> </w:t>
      </w:r>
      <w:r>
        <w:rPr>
          <w:sz w:val="24"/>
        </w:rPr>
        <w:t>de</w:t>
      </w:r>
      <w:r>
        <w:rPr>
          <w:spacing w:val="-7"/>
          <w:sz w:val="24"/>
        </w:rPr>
        <w:t> </w:t>
      </w:r>
      <w:r>
        <w:rPr>
          <w:sz w:val="24"/>
        </w:rPr>
        <w:t>las</w:t>
      </w:r>
      <w:r>
        <w:rPr>
          <w:spacing w:val="-7"/>
          <w:sz w:val="24"/>
        </w:rPr>
        <w:t> </w:t>
      </w:r>
      <w:r>
        <w:rPr>
          <w:sz w:val="24"/>
        </w:rPr>
        <w:t>variables</w:t>
      </w:r>
      <w:r>
        <w:rPr>
          <w:spacing w:val="-5"/>
          <w:sz w:val="24"/>
        </w:rPr>
        <w:t> </w:t>
      </w:r>
      <w:r>
        <w:rPr>
          <w:sz w:val="24"/>
        </w:rPr>
        <w:t>que</w:t>
      </w:r>
      <w:r>
        <w:rPr>
          <w:spacing w:val="-7"/>
          <w:sz w:val="24"/>
        </w:rPr>
        <w:t> </w:t>
      </w:r>
      <w:r>
        <w:rPr>
          <w:sz w:val="24"/>
        </w:rPr>
        <w:t>el</w:t>
      </w:r>
      <w:r>
        <w:rPr>
          <w:spacing w:val="-6"/>
          <w:sz w:val="24"/>
        </w:rPr>
        <w:t> </w:t>
      </w:r>
      <w:r>
        <w:rPr>
          <w:sz w:val="24"/>
        </w:rPr>
        <w:t>investigador</w:t>
      </w:r>
      <w:r>
        <w:rPr>
          <w:spacing w:val="-6"/>
          <w:sz w:val="24"/>
        </w:rPr>
        <w:t> </w:t>
      </w:r>
      <w:r>
        <w:rPr>
          <w:sz w:val="24"/>
        </w:rPr>
        <w:t>quiere</w:t>
      </w:r>
      <w:r>
        <w:rPr>
          <w:spacing w:val="-9"/>
          <w:sz w:val="24"/>
        </w:rPr>
        <w:t> </w:t>
      </w:r>
      <w:r>
        <w:rPr>
          <w:sz w:val="24"/>
        </w:rPr>
        <w:t>analizar,</w:t>
      </w:r>
      <w:r>
        <w:rPr>
          <w:spacing w:val="-6"/>
          <w:sz w:val="24"/>
        </w:rPr>
        <w:t> </w:t>
      </w:r>
      <w:r>
        <w:rPr>
          <w:sz w:val="24"/>
        </w:rPr>
        <w:t>es</w:t>
      </w:r>
      <w:r>
        <w:rPr>
          <w:spacing w:val="-5"/>
          <w:sz w:val="24"/>
        </w:rPr>
        <w:t> </w:t>
      </w:r>
      <w:r>
        <w:rPr>
          <w:sz w:val="24"/>
        </w:rPr>
        <w:t>decir</w:t>
      </w:r>
      <w:r>
        <w:rPr>
          <w:spacing w:val="-9"/>
          <w:sz w:val="24"/>
        </w:rPr>
        <w:t> </w:t>
      </w:r>
      <w:r>
        <w:rPr>
          <w:sz w:val="24"/>
        </w:rPr>
        <w:t>teorías creadoras de conocimiento. Para efectos de la encuesta se consideró el</w:t>
      </w:r>
      <w:r>
        <w:rPr>
          <w:spacing w:val="-36"/>
          <w:sz w:val="24"/>
        </w:rPr>
        <w:t> </w:t>
      </w:r>
      <w:r>
        <w:rPr>
          <w:sz w:val="24"/>
        </w:rPr>
        <w:t>segundo tipo de teorías: Neoinstitucionalismo y Sociología</w:t>
      </w:r>
      <w:r>
        <w:rPr>
          <w:spacing w:val="-21"/>
          <w:sz w:val="24"/>
        </w:rPr>
        <w:t> </w:t>
      </w:r>
      <w:r>
        <w:rPr>
          <w:sz w:val="24"/>
        </w:rPr>
        <w:t>organizacional.</w:t>
      </w:r>
    </w:p>
    <w:p>
      <w:pPr>
        <w:pStyle w:val="BodyText"/>
      </w:pPr>
    </w:p>
    <w:p>
      <w:pPr>
        <w:pStyle w:val="ListParagraph"/>
        <w:numPr>
          <w:ilvl w:val="3"/>
          <w:numId w:val="43"/>
        </w:numPr>
        <w:tabs>
          <w:tab w:pos="817" w:val="left" w:leader="none"/>
        </w:tabs>
        <w:spacing w:line="360" w:lineRule="auto" w:before="142" w:after="0"/>
        <w:ind w:left="391" w:right="116" w:hanging="185"/>
        <w:jc w:val="both"/>
        <w:rPr>
          <w:sz w:val="24"/>
        </w:rPr>
      </w:pPr>
      <w:r>
        <w:rPr>
          <w:b/>
          <w:sz w:val="24"/>
        </w:rPr>
        <w:t>Definir categorías de análisis de dichas teorías. </w:t>
      </w:r>
      <w:r>
        <w:rPr>
          <w:sz w:val="24"/>
        </w:rPr>
        <w:t>Se identificaron las principales categorías de análisis de las teorías creadoras de conocimiento. Para el caso del Neointitucionalismo se consideraron las siguientes: la institución trasciende al individuo, la institución brinda estabilidad a través del tiempo, la institución produce una afectación recíproca entre agente y estructura. Por su parte, en la sociología organizacional se identificaron las siguientes: poder, dominación y legitimidad dentro de las organizaciones, interacción e interactuación de los integrantes de las organizaciones, la creación de sentido de las actividades realizadas y la racionalidad limitada de los</w:t>
      </w:r>
      <w:r>
        <w:rPr>
          <w:spacing w:val="-26"/>
          <w:sz w:val="24"/>
        </w:rPr>
        <w:t> </w:t>
      </w:r>
      <w:r>
        <w:rPr>
          <w:sz w:val="24"/>
        </w:rPr>
        <w:t>individuos.</w:t>
      </w:r>
    </w:p>
    <w:p>
      <w:pPr>
        <w:pStyle w:val="BodyText"/>
      </w:pPr>
    </w:p>
    <w:p>
      <w:pPr>
        <w:pStyle w:val="ListParagraph"/>
        <w:numPr>
          <w:ilvl w:val="3"/>
          <w:numId w:val="43"/>
        </w:numPr>
        <w:tabs>
          <w:tab w:pos="817" w:val="left" w:leader="none"/>
        </w:tabs>
        <w:spacing w:line="360" w:lineRule="auto" w:before="142" w:after="0"/>
        <w:ind w:left="391" w:right="115" w:hanging="185"/>
        <w:jc w:val="both"/>
        <w:rPr>
          <w:sz w:val="24"/>
        </w:rPr>
      </w:pPr>
      <w:r>
        <w:rPr>
          <w:b/>
          <w:sz w:val="24"/>
        </w:rPr>
        <w:t>Identificar las preguntas relevantes. </w:t>
      </w:r>
      <w:r>
        <w:rPr>
          <w:sz w:val="24"/>
        </w:rPr>
        <w:t>En este paso se realizaron todas preguntas que eran de interés para la investigación según correspondía a cada categoría de análisis. Haciendo sondeos con compañeros del doctorado, docentes, revisando investigaciones sobre el tema se definieron todas las preguntas que se consideraron</w:t>
      </w:r>
      <w:r>
        <w:rPr>
          <w:spacing w:val="-12"/>
          <w:sz w:val="24"/>
        </w:rPr>
        <w:t> </w:t>
      </w:r>
      <w:r>
        <w:rPr>
          <w:sz w:val="24"/>
        </w:rPr>
        <w:t>relevantes.</w:t>
      </w:r>
    </w:p>
    <w:p>
      <w:pPr>
        <w:pStyle w:val="BodyText"/>
        <w:rPr>
          <w:sz w:val="20"/>
        </w:rPr>
      </w:pPr>
    </w:p>
    <w:p>
      <w:pPr>
        <w:pStyle w:val="BodyText"/>
        <w:rPr>
          <w:sz w:val="20"/>
        </w:rPr>
      </w:pPr>
    </w:p>
    <w:p>
      <w:pPr>
        <w:pStyle w:val="BodyText"/>
        <w:rPr>
          <w:sz w:val="21"/>
        </w:rPr>
      </w:pPr>
      <w:r>
        <w:rPr/>
        <w:pict>
          <v:line style="position:absolute;mso-position-horizontal-relative:page;mso-position-vertical-relative:paragraph;z-index:3928;mso-wrap-distance-left:0;mso-wrap-distance-right:0" from="80.424004pt,14.43585pt" to="224.444004pt,14.43585pt" stroked="true" strokeweight=".72003pt" strokecolor="#000000">
            <w10:wrap type="topAndBottom"/>
          </v:line>
        </w:pict>
      </w:r>
    </w:p>
    <w:p>
      <w:pPr>
        <w:spacing w:before="72"/>
        <w:ind w:left="108" w:right="116" w:firstLine="0"/>
        <w:jc w:val="both"/>
        <w:rPr>
          <w:rFonts w:ascii="Calibri" w:hAnsi="Calibri"/>
          <w:sz w:val="16"/>
        </w:rPr>
      </w:pPr>
      <w:r>
        <w:rPr>
          <w:rFonts w:ascii="Calibri" w:hAnsi="Calibri"/>
          <w:sz w:val="16"/>
        </w:rPr>
        <w:t>Dra.</w:t>
      </w:r>
      <w:r>
        <w:rPr>
          <w:rFonts w:ascii="Calibri" w:hAnsi="Calibri"/>
          <w:spacing w:val="-5"/>
          <w:sz w:val="16"/>
        </w:rPr>
        <w:t> </w:t>
      </w:r>
      <w:r>
        <w:rPr>
          <w:rFonts w:ascii="Calibri" w:hAnsi="Calibri"/>
          <w:sz w:val="16"/>
        </w:rPr>
        <w:t>Guillermina</w:t>
      </w:r>
      <w:r>
        <w:rPr>
          <w:rFonts w:ascii="Calibri" w:hAnsi="Calibri"/>
          <w:spacing w:val="-6"/>
          <w:sz w:val="16"/>
        </w:rPr>
        <w:t> </w:t>
      </w:r>
      <w:r>
        <w:rPr>
          <w:rFonts w:ascii="Calibri" w:hAnsi="Calibri"/>
          <w:sz w:val="16"/>
        </w:rPr>
        <w:t>Díaz</w:t>
      </w:r>
      <w:r>
        <w:rPr>
          <w:rFonts w:ascii="Calibri" w:hAnsi="Calibri"/>
          <w:spacing w:val="-4"/>
          <w:sz w:val="16"/>
        </w:rPr>
        <w:t> </w:t>
      </w:r>
      <w:r>
        <w:rPr>
          <w:rFonts w:ascii="Calibri" w:hAnsi="Calibri"/>
          <w:sz w:val="16"/>
        </w:rPr>
        <w:t>Pérez,</w:t>
      </w:r>
      <w:r>
        <w:rPr>
          <w:rFonts w:ascii="Calibri" w:hAnsi="Calibri"/>
          <w:spacing w:val="-4"/>
          <w:sz w:val="16"/>
        </w:rPr>
        <w:t> </w:t>
      </w:r>
      <w:r>
        <w:rPr>
          <w:rFonts w:ascii="Calibri" w:hAnsi="Calibri"/>
          <w:sz w:val="16"/>
        </w:rPr>
        <w:t>Dr.</w:t>
      </w:r>
      <w:r>
        <w:rPr>
          <w:rFonts w:ascii="Calibri" w:hAnsi="Calibri"/>
          <w:spacing w:val="-3"/>
          <w:sz w:val="16"/>
        </w:rPr>
        <w:t> </w:t>
      </w:r>
      <w:r>
        <w:rPr>
          <w:rFonts w:ascii="Calibri" w:hAnsi="Calibri"/>
          <w:sz w:val="16"/>
        </w:rPr>
        <w:t>Juan</w:t>
      </w:r>
      <w:r>
        <w:rPr>
          <w:rFonts w:ascii="Calibri" w:hAnsi="Calibri"/>
          <w:spacing w:val="-3"/>
          <w:sz w:val="16"/>
        </w:rPr>
        <w:t> </w:t>
      </w:r>
      <w:r>
        <w:rPr>
          <w:rFonts w:ascii="Calibri" w:hAnsi="Calibri"/>
          <w:sz w:val="16"/>
        </w:rPr>
        <w:t>Miguel</w:t>
      </w:r>
      <w:r>
        <w:rPr>
          <w:rFonts w:ascii="Calibri" w:hAnsi="Calibri"/>
          <w:spacing w:val="-6"/>
          <w:sz w:val="16"/>
        </w:rPr>
        <w:t> </w:t>
      </w:r>
      <w:r>
        <w:rPr>
          <w:rFonts w:ascii="Calibri" w:hAnsi="Calibri"/>
          <w:sz w:val="16"/>
        </w:rPr>
        <w:t>Morales</w:t>
      </w:r>
      <w:r>
        <w:rPr>
          <w:rFonts w:ascii="Calibri" w:hAnsi="Calibri"/>
          <w:spacing w:val="-3"/>
          <w:sz w:val="16"/>
        </w:rPr>
        <w:t> </w:t>
      </w:r>
      <w:r>
        <w:rPr>
          <w:rFonts w:ascii="Calibri" w:hAnsi="Calibri"/>
          <w:sz w:val="16"/>
        </w:rPr>
        <w:t>y</w:t>
      </w:r>
      <w:r>
        <w:rPr>
          <w:rFonts w:ascii="Calibri" w:hAnsi="Calibri"/>
          <w:spacing w:val="-6"/>
          <w:sz w:val="16"/>
        </w:rPr>
        <w:t> </w:t>
      </w:r>
      <w:r>
        <w:rPr>
          <w:rFonts w:ascii="Calibri" w:hAnsi="Calibri"/>
          <w:sz w:val="16"/>
        </w:rPr>
        <w:t>Gómez</w:t>
      </w:r>
      <w:r>
        <w:rPr>
          <w:rFonts w:ascii="Calibri" w:hAnsi="Calibri"/>
          <w:spacing w:val="-6"/>
          <w:sz w:val="16"/>
        </w:rPr>
        <w:t> </w:t>
      </w:r>
      <w:r>
        <w:rPr>
          <w:rFonts w:ascii="Calibri" w:hAnsi="Calibri"/>
          <w:sz w:val="16"/>
        </w:rPr>
        <w:t>y</w:t>
      </w:r>
      <w:r>
        <w:rPr>
          <w:rFonts w:ascii="Calibri" w:hAnsi="Calibri"/>
          <w:spacing w:val="-3"/>
          <w:sz w:val="16"/>
        </w:rPr>
        <w:t> </w:t>
      </w:r>
      <w:r>
        <w:rPr>
          <w:rFonts w:ascii="Calibri" w:hAnsi="Calibri"/>
          <w:sz w:val="16"/>
        </w:rPr>
        <w:t>el</w:t>
      </w:r>
      <w:r>
        <w:rPr>
          <w:rFonts w:ascii="Calibri" w:hAnsi="Calibri"/>
          <w:spacing w:val="-6"/>
          <w:sz w:val="16"/>
        </w:rPr>
        <w:t> </w:t>
      </w:r>
      <w:r>
        <w:rPr>
          <w:rFonts w:ascii="Calibri" w:hAnsi="Calibri"/>
          <w:sz w:val="16"/>
        </w:rPr>
        <w:t>Dr.</w:t>
      </w:r>
      <w:r>
        <w:rPr>
          <w:rFonts w:ascii="Calibri" w:hAnsi="Calibri"/>
          <w:spacing w:val="-3"/>
          <w:sz w:val="16"/>
        </w:rPr>
        <w:t> </w:t>
      </w:r>
      <w:r>
        <w:rPr>
          <w:rFonts w:ascii="Calibri" w:hAnsi="Calibri"/>
          <w:sz w:val="16"/>
        </w:rPr>
        <w:t>José</w:t>
      </w:r>
      <w:r>
        <w:rPr>
          <w:rFonts w:ascii="Calibri" w:hAnsi="Calibri"/>
          <w:spacing w:val="-1"/>
          <w:sz w:val="16"/>
        </w:rPr>
        <w:t> </w:t>
      </w:r>
      <w:r>
        <w:rPr>
          <w:rFonts w:ascii="Calibri" w:hAnsi="Calibri"/>
          <w:sz w:val="16"/>
        </w:rPr>
        <w:t>Martínez</w:t>
      </w:r>
      <w:r>
        <w:rPr>
          <w:rFonts w:ascii="Calibri" w:hAnsi="Calibri"/>
          <w:spacing w:val="-4"/>
          <w:sz w:val="16"/>
        </w:rPr>
        <w:t> </w:t>
      </w:r>
      <w:r>
        <w:rPr>
          <w:rFonts w:ascii="Calibri" w:hAnsi="Calibri"/>
          <w:sz w:val="16"/>
        </w:rPr>
        <w:t>Vilchis</w:t>
      </w:r>
      <w:r>
        <w:rPr>
          <w:rFonts w:ascii="Calibri" w:hAnsi="Calibri"/>
          <w:spacing w:val="-6"/>
          <w:sz w:val="16"/>
        </w:rPr>
        <w:t> </w:t>
      </w:r>
      <w:r>
        <w:rPr>
          <w:rFonts w:ascii="Calibri" w:hAnsi="Calibri"/>
          <w:sz w:val="16"/>
        </w:rPr>
        <w:t>todos</w:t>
      </w:r>
      <w:r>
        <w:rPr>
          <w:rFonts w:ascii="Calibri" w:hAnsi="Calibri"/>
          <w:spacing w:val="-6"/>
          <w:sz w:val="16"/>
        </w:rPr>
        <w:t> </w:t>
      </w:r>
      <w:r>
        <w:rPr>
          <w:rFonts w:ascii="Calibri" w:hAnsi="Calibri"/>
          <w:sz w:val="16"/>
        </w:rPr>
        <w:t>profesores</w:t>
      </w:r>
      <w:r>
        <w:rPr>
          <w:rFonts w:ascii="Calibri" w:hAnsi="Calibri"/>
          <w:spacing w:val="-3"/>
          <w:sz w:val="16"/>
        </w:rPr>
        <w:t> </w:t>
      </w:r>
      <w:r>
        <w:rPr>
          <w:rFonts w:ascii="Calibri" w:hAnsi="Calibri"/>
          <w:sz w:val="16"/>
        </w:rPr>
        <w:t>investigadores</w:t>
      </w:r>
      <w:r>
        <w:rPr>
          <w:rFonts w:ascii="Calibri" w:hAnsi="Calibri"/>
          <w:spacing w:val="-6"/>
          <w:sz w:val="16"/>
        </w:rPr>
        <w:t> </w:t>
      </w:r>
      <w:r>
        <w:rPr>
          <w:rFonts w:ascii="Calibri" w:hAnsi="Calibri"/>
          <w:sz w:val="16"/>
        </w:rPr>
        <w:t>de</w:t>
      </w:r>
      <w:r>
        <w:rPr>
          <w:rFonts w:ascii="Calibri" w:hAnsi="Calibri"/>
          <w:spacing w:val="-4"/>
          <w:sz w:val="16"/>
        </w:rPr>
        <w:t> </w:t>
      </w:r>
      <w:r>
        <w:rPr>
          <w:rFonts w:ascii="Calibri" w:hAnsi="Calibri"/>
          <w:sz w:val="16"/>
        </w:rPr>
        <w:t>la</w:t>
      </w:r>
      <w:r>
        <w:rPr>
          <w:rFonts w:ascii="Calibri" w:hAnsi="Calibri"/>
          <w:spacing w:val="-5"/>
          <w:sz w:val="16"/>
        </w:rPr>
        <w:t> </w:t>
      </w:r>
      <w:r>
        <w:rPr>
          <w:rFonts w:ascii="Calibri" w:hAnsi="Calibri"/>
          <w:sz w:val="16"/>
        </w:rPr>
        <w:t>Facultad de</w:t>
      </w:r>
      <w:r>
        <w:rPr>
          <w:rFonts w:ascii="Calibri" w:hAnsi="Calibri"/>
          <w:spacing w:val="-6"/>
          <w:sz w:val="16"/>
        </w:rPr>
        <w:t> </w:t>
      </w:r>
      <w:r>
        <w:rPr>
          <w:rFonts w:ascii="Calibri" w:hAnsi="Calibri"/>
          <w:sz w:val="16"/>
        </w:rPr>
        <w:t>Ciencias</w:t>
      </w:r>
      <w:r>
        <w:rPr>
          <w:rFonts w:ascii="Calibri" w:hAnsi="Calibri"/>
          <w:spacing w:val="-6"/>
          <w:sz w:val="16"/>
        </w:rPr>
        <w:t> </w:t>
      </w:r>
      <w:r>
        <w:rPr>
          <w:rFonts w:ascii="Calibri" w:hAnsi="Calibri"/>
          <w:sz w:val="16"/>
        </w:rPr>
        <w:t>Políticas</w:t>
      </w:r>
      <w:r>
        <w:rPr>
          <w:rFonts w:ascii="Calibri" w:hAnsi="Calibri"/>
          <w:spacing w:val="-6"/>
          <w:sz w:val="16"/>
        </w:rPr>
        <w:t> </w:t>
      </w:r>
      <w:r>
        <w:rPr>
          <w:rFonts w:ascii="Calibri" w:hAnsi="Calibri"/>
          <w:sz w:val="16"/>
        </w:rPr>
        <w:t>y</w:t>
      </w:r>
      <w:r>
        <w:rPr>
          <w:rFonts w:ascii="Calibri" w:hAnsi="Calibri"/>
          <w:spacing w:val="-6"/>
          <w:sz w:val="16"/>
        </w:rPr>
        <w:t> </w:t>
      </w:r>
      <w:r>
        <w:rPr>
          <w:rFonts w:ascii="Calibri" w:hAnsi="Calibri"/>
          <w:sz w:val="16"/>
        </w:rPr>
        <w:t>Sociales</w:t>
      </w:r>
      <w:r>
        <w:rPr>
          <w:rFonts w:ascii="Calibri" w:hAnsi="Calibri"/>
          <w:spacing w:val="-6"/>
          <w:sz w:val="16"/>
        </w:rPr>
        <w:t> </w:t>
      </w:r>
      <w:r>
        <w:rPr>
          <w:rFonts w:ascii="Calibri" w:hAnsi="Calibri"/>
          <w:sz w:val="16"/>
        </w:rPr>
        <w:t>de</w:t>
      </w:r>
      <w:r>
        <w:rPr>
          <w:rFonts w:ascii="Calibri" w:hAnsi="Calibri"/>
          <w:spacing w:val="-6"/>
          <w:sz w:val="16"/>
        </w:rPr>
        <w:t> </w:t>
      </w:r>
      <w:r>
        <w:rPr>
          <w:rFonts w:ascii="Calibri" w:hAnsi="Calibri"/>
          <w:sz w:val="16"/>
        </w:rPr>
        <w:t>la</w:t>
      </w:r>
      <w:r>
        <w:rPr>
          <w:rFonts w:ascii="Calibri" w:hAnsi="Calibri"/>
          <w:spacing w:val="-5"/>
          <w:sz w:val="16"/>
        </w:rPr>
        <w:t> </w:t>
      </w:r>
      <w:r>
        <w:rPr>
          <w:rFonts w:ascii="Calibri" w:hAnsi="Calibri"/>
          <w:sz w:val="16"/>
        </w:rPr>
        <w:t>UAEM</w:t>
      </w:r>
      <w:r>
        <w:rPr>
          <w:rFonts w:ascii="Calibri" w:hAnsi="Calibri"/>
          <w:spacing w:val="-6"/>
          <w:sz w:val="16"/>
        </w:rPr>
        <w:t> </w:t>
      </w:r>
      <w:r>
        <w:rPr>
          <w:rFonts w:ascii="Calibri" w:hAnsi="Calibri"/>
          <w:sz w:val="16"/>
        </w:rPr>
        <w:t>y</w:t>
      </w:r>
      <w:r>
        <w:rPr>
          <w:rFonts w:ascii="Calibri" w:hAnsi="Calibri"/>
          <w:spacing w:val="-6"/>
          <w:sz w:val="16"/>
        </w:rPr>
        <w:t> </w:t>
      </w:r>
      <w:r>
        <w:rPr>
          <w:rFonts w:ascii="Calibri" w:hAnsi="Calibri"/>
          <w:sz w:val="16"/>
        </w:rPr>
        <w:t>siendo</w:t>
      </w:r>
      <w:r>
        <w:rPr>
          <w:rFonts w:ascii="Calibri" w:hAnsi="Calibri"/>
          <w:spacing w:val="-6"/>
          <w:sz w:val="16"/>
        </w:rPr>
        <w:t> </w:t>
      </w:r>
      <w:r>
        <w:rPr>
          <w:rFonts w:ascii="Calibri" w:hAnsi="Calibri"/>
          <w:sz w:val="16"/>
        </w:rPr>
        <w:t>mi</w:t>
      </w:r>
      <w:r>
        <w:rPr>
          <w:rFonts w:ascii="Calibri" w:hAnsi="Calibri"/>
          <w:spacing w:val="-6"/>
          <w:sz w:val="16"/>
        </w:rPr>
        <w:t> </w:t>
      </w:r>
      <w:r>
        <w:rPr>
          <w:rFonts w:ascii="Calibri" w:hAnsi="Calibri"/>
          <w:sz w:val="16"/>
        </w:rPr>
        <w:t>director</w:t>
      </w:r>
      <w:r>
        <w:rPr>
          <w:rFonts w:ascii="Calibri" w:hAnsi="Calibri"/>
          <w:spacing w:val="-6"/>
          <w:sz w:val="16"/>
        </w:rPr>
        <w:t> </w:t>
      </w:r>
      <w:r>
        <w:rPr>
          <w:rFonts w:ascii="Calibri" w:hAnsi="Calibri"/>
          <w:sz w:val="16"/>
        </w:rPr>
        <w:t>de</w:t>
      </w:r>
      <w:r>
        <w:rPr>
          <w:rFonts w:ascii="Calibri" w:hAnsi="Calibri"/>
          <w:spacing w:val="-4"/>
          <w:sz w:val="16"/>
        </w:rPr>
        <w:t> </w:t>
      </w:r>
      <w:r>
        <w:rPr>
          <w:rFonts w:ascii="Calibri" w:hAnsi="Calibri"/>
          <w:sz w:val="16"/>
        </w:rPr>
        <w:t>tesis,</w:t>
      </w:r>
      <w:r>
        <w:rPr>
          <w:rFonts w:ascii="Calibri" w:hAnsi="Calibri"/>
          <w:spacing w:val="-5"/>
          <w:sz w:val="16"/>
        </w:rPr>
        <w:t> </w:t>
      </w:r>
      <w:r>
        <w:rPr>
          <w:rFonts w:ascii="Calibri" w:hAnsi="Calibri"/>
          <w:sz w:val="16"/>
        </w:rPr>
        <w:t>tutores</w:t>
      </w:r>
      <w:r>
        <w:rPr>
          <w:rFonts w:ascii="Calibri" w:hAnsi="Calibri"/>
          <w:spacing w:val="-6"/>
          <w:sz w:val="16"/>
        </w:rPr>
        <w:t> </w:t>
      </w:r>
      <w:r>
        <w:rPr>
          <w:rFonts w:ascii="Calibri" w:hAnsi="Calibri"/>
          <w:sz w:val="16"/>
        </w:rPr>
        <w:t>académicos</w:t>
      </w:r>
      <w:r>
        <w:rPr>
          <w:rFonts w:ascii="Calibri" w:hAnsi="Calibri"/>
          <w:spacing w:val="-6"/>
          <w:sz w:val="16"/>
        </w:rPr>
        <w:t> </w:t>
      </w:r>
      <w:r>
        <w:rPr>
          <w:rFonts w:ascii="Calibri" w:hAnsi="Calibri"/>
          <w:sz w:val="16"/>
        </w:rPr>
        <w:t>y</w:t>
      </w:r>
      <w:r>
        <w:rPr>
          <w:rFonts w:ascii="Calibri" w:hAnsi="Calibri"/>
          <w:spacing w:val="-6"/>
          <w:sz w:val="16"/>
        </w:rPr>
        <w:t> </w:t>
      </w:r>
      <w:r>
        <w:rPr>
          <w:rFonts w:ascii="Calibri" w:hAnsi="Calibri"/>
          <w:sz w:val="16"/>
        </w:rPr>
        <w:t>revisor</w:t>
      </w:r>
      <w:r>
        <w:rPr>
          <w:rFonts w:ascii="Calibri" w:hAnsi="Calibri"/>
          <w:spacing w:val="-6"/>
          <w:sz w:val="16"/>
        </w:rPr>
        <w:t> </w:t>
      </w:r>
      <w:r>
        <w:rPr>
          <w:rFonts w:ascii="Calibri" w:hAnsi="Calibri"/>
          <w:sz w:val="16"/>
        </w:rPr>
        <w:t>respectivamente</w:t>
      </w:r>
      <w:r>
        <w:rPr>
          <w:rFonts w:ascii="Calibri" w:hAnsi="Calibri"/>
          <w:spacing w:val="-6"/>
          <w:sz w:val="16"/>
        </w:rPr>
        <w:t> </w:t>
      </w:r>
      <w:r>
        <w:rPr>
          <w:rFonts w:ascii="Calibri" w:hAnsi="Calibri"/>
          <w:sz w:val="16"/>
        </w:rPr>
        <w:t>estuvieron</w:t>
      </w:r>
      <w:r>
        <w:rPr>
          <w:rFonts w:ascii="Calibri" w:hAnsi="Calibri"/>
          <w:spacing w:val="-6"/>
          <w:sz w:val="16"/>
        </w:rPr>
        <w:t> </w:t>
      </w:r>
      <w:r>
        <w:rPr>
          <w:rFonts w:ascii="Calibri" w:hAnsi="Calibri"/>
          <w:sz w:val="16"/>
        </w:rPr>
        <w:t>siempre al</w:t>
      </w:r>
      <w:r>
        <w:rPr>
          <w:rFonts w:ascii="Calibri" w:hAnsi="Calibri"/>
          <w:spacing w:val="-6"/>
          <w:sz w:val="16"/>
        </w:rPr>
        <w:t> </w:t>
      </w:r>
      <w:r>
        <w:rPr>
          <w:rFonts w:ascii="Calibri" w:hAnsi="Calibri"/>
          <w:sz w:val="16"/>
        </w:rPr>
        <w:t>pendiente</w:t>
      </w:r>
      <w:r>
        <w:rPr>
          <w:rFonts w:ascii="Calibri" w:hAnsi="Calibri"/>
          <w:spacing w:val="-6"/>
          <w:sz w:val="16"/>
        </w:rPr>
        <w:t> </w:t>
      </w:r>
      <w:r>
        <w:rPr>
          <w:rFonts w:ascii="Calibri" w:hAnsi="Calibri"/>
          <w:sz w:val="16"/>
        </w:rPr>
        <w:t>de</w:t>
      </w:r>
      <w:r>
        <w:rPr>
          <w:rFonts w:ascii="Calibri" w:hAnsi="Calibri"/>
          <w:spacing w:val="-4"/>
          <w:sz w:val="16"/>
        </w:rPr>
        <w:t> </w:t>
      </w:r>
      <w:r>
        <w:rPr>
          <w:rFonts w:ascii="Calibri" w:hAnsi="Calibri"/>
          <w:sz w:val="16"/>
        </w:rPr>
        <w:t>congruencia</w:t>
      </w:r>
      <w:r>
        <w:rPr>
          <w:rFonts w:ascii="Calibri" w:hAnsi="Calibri"/>
          <w:spacing w:val="-3"/>
          <w:sz w:val="16"/>
        </w:rPr>
        <w:t> </w:t>
      </w:r>
      <w:r>
        <w:rPr>
          <w:rFonts w:ascii="Calibri" w:hAnsi="Calibri"/>
          <w:sz w:val="16"/>
        </w:rPr>
        <w:t>y</w:t>
      </w:r>
      <w:r>
        <w:rPr>
          <w:rFonts w:ascii="Calibri" w:hAnsi="Calibri"/>
          <w:spacing w:val="-6"/>
          <w:sz w:val="16"/>
        </w:rPr>
        <w:t> </w:t>
      </w:r>
      <w:r>
        <w:rPr>
          <w:rFonts w:ascii="Calibri" w:hAnsi="Calibri"/>
          <w:sz w:val="16"/>
        </w:rPr>
        <w:t>fundamentación</w:t>
      </w:r>
      <w:r>
        <w:rPr>
          <w:rFonts w:ascii="Calibri" w:hAnsi="Calibri"/>
          <w:spacing w:val="-6"/>
          <w:sz w:val="16"/>
        </w:rPr>
        <w:t> </w:t>
      </w:r>
      <w:r>
        <w:rPr>
          <w:rFonts w:ascii="Calibri" w:hAnsi="Calibri"/>
          <w:sz w:val="16"/>
        </w:rPr>
        <w:t>de</w:t>
      </w:r>
      <w:r>
        <w:rPr>
          <w:rFonts w:ascii="Calibri" w:hAnsi="Calibri"/>
          <w:spacing w:val="-4"/>
          <w:sz w:val="16"/>
        </w:rPr>
        <w:t> </w:t>
      </w:r>
      <w:r>
        <w:rPr>
          <w:rFonts w:ascii="Calibri" w:hAnsi="Calibri"/>
          <w:sz w:val="16"/>
        </w:rPr>
        <w:t>todo</w:t>
      </w:r>
      <w:r>
        <w:rPr>
          <w:rFonts w:ascii="Calibri" w:hAnsi="Calibri"/>
          <w:spacing w:val="-3"/>
          <w:sz w:val="16"/>
        </w:rPr>
        <w:t> </w:t>
      </w:r>
      <w:r>
        <w:rPr>
          <w:rFonts w:ascii="Calibri" w:hAnsi="Calibri"/>
          <w:sz w:val="16"/>
        </w:rPr>
        <w:t>lo</w:t>
      </w:r>
      <w:r>
        <w:rPr>
          <w:rFonts w:ascii="Calibri" w:hAnsi="Calibri"/>
          <w:spacing w:val="-6"/>
          <w:sz w:val="16"/>
        </w:rPr>
        <w:t> </w:t>
      </w:r>
      <w:r>
        <w:rPr>
          <w:rFonts w:ascii="Calibri" w:hAnsi="Calibri"/>
          <w:sz w:val="16"/>
        </w:rPr>
        <w:t>realizado</w:t>
      </w:r>
      <w:r>
        <w:rPr>
          <w:rFonts w:ascii="Calibri" w:hAnsi="Calibri"/>
          <w:spacing w:val="-4"/>
          <w:sz w:val="16"/>
        </w:rPr>
        <w:t> </w:t>
      </w:r>
      <w:r>
        <w:rPr>
          <w:rFonts w:ascii="Calibri" w:hAnsi="Calibri"/>
          <w:sz w:val="16"/>
        </w:rPr>
        <w:t>en</w:t>
      </w:r>
      <w:r>
        <w:rPr>
          <w:rFonts w:ascii="Calibri" w:hAnsi="Calibri"/>
          <w:spacing w:val="-6"/>
          <w:sz w:val="16"/>
        </w:rPr>
        <w:t> </w:t>
      </w:r>
      <w:r>
        <w:rPr>
          <w:rFonts w:ascii="Calibri" w:hAnsi="Calibri"/>
          <w:sz w:val="16"/>
        </w:rPr>
        <w:t>esta</w:t>
      </w:r>
      <w:r>
        <w:rPr>
          <w:rFonts w:ascii="Calibri" w:hAnsi="Calibri"/>
          <w:spacing w:val="-5"/>
          <w:sz w:val="16"/>
        </w:rPr>
        <w:t> </w:t>
      </w:r>
      <w:r>
        <w:rPr>
          <w:rFonts w:ascii="Calibri" w:hAnsi="Calibri"/>
          <w:sz w:val="16"/>
        </w:rPr>
        <w:t>investigación.</w:t>
      </w:r>
      <w:r>
        <w:rPr>
          <w:rFonts w:ascii="Calibri" w:hAnsi="Calibri"/>
          <w:spacing w:val="-5"/>
          <w:sz w:val="16"/>
        </w:rPr>
        <w:t> </w:t>
      </w:r>
      <w:r>
        <w:rPr>
          <w:rFonts w:ascii="Calibri" w:hAnsi="Calibri"/>
          <w:sz w:val="16"/>
        </w:rPr>
        <w:t>Finalmente,</w:t>
      </w:r>
      <w:r>
        <w:rPr>
          <w:rFonts w:ascii="Calibri" w:hAnsi="Calibri"/>
          <w:spacing w:val="-4"/>
          <w:sz w:val="16"/>
        </w:rPr>
        <w:t> </w:t>
      </w:r>
      <w:r>
        <w:rPr>
          <w:rFonts w:ascii="Calibri" w:hAnsi="Calibri"/>
          <w:sz w:val="16"/>
        </w:rPr>
        <w:t>con</w:t>
      </w:r>
      <w:r>
        <w:rPr>
          <w:rFonts w:ascii="Calibri" w:hAnsi="Calibri"/>
          <w:spacing w:val="-3"/>
          <w:sz w:val="16"/>
        </w:rPr>
        <w:t> </w:t>
      </w:r>
      <w:r>
        <w:rPr>
          <w:rFonts w:ascii="Calibri" w:hAnsi="Calibri"/>
          <w:sz w:val="16"/>
        </w:rPr>
        <w:t>mis</w:t>
      </w:r>
      <w:r>
        <w:rPr>
          <w:rFonts w:ascii="Calibri" w:hAnsi="Calibri"/>
          <w:spacing w:val="-6"/>
          <w:sz w:val="16"/>
        </w:rPr>
        <w:t> </w:t>
      </w:r>
      <w:r>
        <w:rPr>
          <w:rFonts w:ascii="Calibri" w:hAnsi="Calibri"/>
          <w:sz w:val="16"/>
        </w:rPr>
        <w:t>compañeros</w:t>
      </w:r>
      <w:r>
        <w:rPr>
          <w:rFonts w:ascii="Calibri" w:hAnsi="Calibri"/>
          <w:spacing w:val="-6"/>
          <w:sz w:val="16"/>
        </w:rPr>
        <w:t> </w:t>
      </w:r>
      <w:r>
        <w:rPr>
          <w:rFonts w:ascii="Calibri" w:hAnsi="Calibri"/>
          <w:sz w:val="16"/>
        </w:rPr>
        <w:t>del</w:t>
      </w:r>
      <w:r>
        <w:rPr>
          <w:rFonts w:ascii="Calibri" w:hAnsi="Calibri"/>
          <w:spacing w:val="-6"/>
          <w:sz w:val="16"/>
        </w:rPr>
        <w:t> </w:t>
      </w:r>
      <w:r>
        <w:rPr>
          <w:rFonts w:ascii="Calibri" w:hAnsi="Calibri"/>
          <w:sz w:val="16"/>
        </w:rPr>
        <w:t>doctorado Reyes,</w:t>
      </w:r>
      <w:r>
        <w:rPr>
          <w:rFonts w:ascii="Calibri" w:hAnsi="Calibri"/>
          <w:spacing w:val="-10"/>
          <w:sz w:val="16"/>
        </w:rPr>
        <w:t> </w:t>
      </w:r>
      <w:r>
        <w:rPr>
          <w:rFonts w:ascii="Calibri" w:hAnsi="Calibri"/>
          <w:sz w:val="16"/>
        </w:rPr>
        <w:t>Diego,</w:t>
      </w:r>
      <w:r>
        <w:rPr>
          <w:rFonts w:ascii="Calibri" w:hAnsi="Calibri"/>
          <w:spacing w:val="-9"/>
          <w:sz w:val="16"/>
        </w:rPr>
        <w:t> </w:t>
      </w:r>
      <w:r>
        <w:rPr>
          <w:rFonts w:ascii="Calibri" w:hAnsi="Calibri"/>
          <w:sz w:val="16"/>
        </w:rPr>
        <w:t>María,</w:t>
      </w:r>
      <w:r>
        <w:rPr>
          <w:rFonts w:ascii="Calibri" w:hAnsi="Calibri"/>
          <w:spacing w:val="-9"/>
          <w:sz w:val="16"/>
        </w:rPr>
        <w:t> </w:t>
      </w:r>
      <w:r>
        <w:rPr>
          <w:rFonts w:ascii="Calibri" w:hAnsi="Calibri"/>
          <w:sz w:val="16"/>
        </w:rPr>
        <w:t>Isabel,</w:t>
      </w:r>
      <w:r>
        <w:rPr>
          <w:rFonts w:ascii="Calibri" w:hAnsi="Calibri"/>
          <w:spacing w:val="-9"/>
          <w:sz w:val="16"/>
        </w:rPr>
        <w:t> </w:t>
      </w:r>
      <w:r>
        <w:rPr>
          <w:rFonts w:ascii="Calibri" w:hAnsi="Calibri"/>
          <w:sz w:val="16"/>
        </w:rPr>
        <w:t>Ingrid,</w:t>
      </w:r>
      <w:r>
        <w:rPr>
          <w:rFonts w:ascii="Calibri" w:hAnsi="Calibri"/>
          <w:spacing w:val="-10"/>
          <w:sz w:val="16"/>
        </w:rPr>
        <w:t> </w:t>
      </w:r>
      <w:r>
        <w:rPr>
          <w:rFonts w:ascii="Calibri" w:hAnsi="Calibri"/>
          <w:sz w:val="16"/>
        </w:rPr>
        <w:t>Alejandro,</w:t>
      </w:r>
      <w:r>
        <w:rPr>
          <w:rFonts w:ascii="Calibri" w:hAnsi="Calibri"/>
          <w:spacing w:val="-9"/>
          <w:sz w:val="16"/>
        </w:rPr>
        <w:t> </w:t>
      </w:r>
      <w:r>
        <w:rPr>
          <w:rFonts w:ascii="Calibri" w:hAnsi="Calibri"/>
          <w:sz w:val="16"/>
        </w:rPr>
        <w:t>Esmeralda,</w:t>
      </w:r>
      <w:r>
        <w:rPr>
          <w:rFonts w:ascii="Calibri" w:hAnsi="Calibri"/>
          <w:spacing w:val="-9"/>
          <w:sz w:val="16"/>
        </w:rPr>
        <w:t> </w:t>
      </w:r>
      <w:r>
        <w:rPr>
          <w:rFonts w:ascii="Calibri" w:hAnsi="Calibri"/>
          <w:sz w:val="16"/>
        </w:rPr>
        <w:t>Karla,</w:t>
      </w:r>
      <w:r>
        <w:rPr>
          <w:rFonts w:ascii="Calibri" w:hAnsi="Calibri"/>
          <w:spacing w:val="-12"/>
          <w:sz w:val="16"/>
        </w:rPr>
        <w:t> </w:t>
      </w:r>
      <w:r>
        <w:rPr>
          <w:rFonts w:ascii="Calibri" w:hAnsi="Calibri"/>
          <w:sz w:val="16"/>
        </w:rPr>
        <w:t>Antonio</w:t>
      </w:r>
      <w:r>
        <w:rPr>
          <w:rFonts w:ascii="Calibri" w:hAnsi="Calibri"/>
          <w:spacing w:val="-11"/>
          <w:sz w:val="16"/>
        </w:rPr>
        <w:t> </w:t>
      </w:r>
      <w:r>
        <w:rPr>
          <w:rFonts w:ascii="Calibri" w:hAnsi="Calibri"/>
          <w:sz w:val="16"/>
        </w:rPr>
        <w:t>y</w:t>
      </w:r>
      <w:r>
        <w:rPr>
          <w:rFonts w:ascii="Calibri" w:hAnsi="Calibri"/>
          <w:spacing w:val="-11"/>
          <w:sz w:val="16"/>
        </w:rPr>
        <w:t> </w:t>
      </w:r>
      <w:r>
        <w:rPr>
          <w:rFonts w:ascii="Calibri" w:hAnsi="Calibri"/>
          <w:sz w:val="16"/>
        </w:rPr>
        <w:t>Edgar,</w:t>
      </w:r>
      <w:r>
        <w:rPr>
          <w:rFonts w:ascii="Calibri" w:hAnsi="Calibri"/>
          <w:spacing w:val="-9"/>
          <w:sz w:val="16"/>
        </w:rPr>
        <w:t> </w:t>
      </w:r>
      <w:r>
        <w:rPr>
          <w:rFonts w:ascii="Calibri" w:hAnsi="Calibri"/>
          <w:sz w:val="16"/>
        </w:rPr>
        <w:t>que</w:t>
      </w:r>
      <w:r>
        <w:rPr>
          <w:rFonts w:ascii="Calibri" w:hAnsi="Calibri"/>
          <w:spacing w:val="-11"/>
          <w:sz w:val="16"/>
        </w:rPr>
        <w:t> </w:t>
      </w:r>
      <w:r>
        <w:rPr>
          <w:rFonts w:ascii="Calibri" w:hAnsi="Calibri"/>
          <w:sz w:val="16"/>
        </w:rPr>
        <w:t>en</w:t>
      </w:r>
      <w:r>
        <w:rPr>
          <w:rFonts w:ascii="Calibri" w:hAnsi="Calibri"/>
          <w:spacing w:val="-10"/>
          <w:sz w:val="16"/>
        </w:rPr>
        <w:t> </w:t>
      </w:r>
      <w:r>
        <w:rPr>
          <w:rFonts w:ascii="Calibri" w:hAnsi="Calibri"/>
          <w:sz w:val="16"/>
        </w:rPr>
        <w:t>los</w:t>
      </w:r>
      <w:r>
        <w:rPr>
          <w:rFonts w:ascii="Calibri" w:hAnsi="Calibri"/>
          <w:spacing w:val="-10"/>
          <w:sz w:val="16"/>
        </w:rPr>
        <w:t> </w:t>
      </w:r>
      <w:r>
        <w:rPr>
          <w:rFonts w:ascii="Calibri" w:hAnsi="Calibri"/>
          <w:sz w:val="16"/>
        </w:rPr>
        <w:t>coloquios</w:t>
      </w:r>
      <w:r>
        <w:rPr>
          <w:rFonts w:ascii="Calibri" w:hAnsi="Calibri"/>
          <w:spacing w:val="-10"/>
          <w:sz w:val="16"/>
        </w:rPr>
        <w:t> </w:t>
      </w:r>
      <w:r>
        <w:rPr>
          <w:rFonts w:ascii="Calibri" w:hAnsi="Calibri"/>
          <w:sz w:val="16"/>
        </w:rPr>
        <w:t>de</w:t>
      </w:r>
      <w:r>
        <w:rPr>
          <w:rFonts w:ascii="Calibri" w:hAnsi="Calibri"/>
          <w:spacing w:val="-11"/>
          <w:sz w:val="16"/>
        </w:rPr>
        <w:t> </w:t>
      </w:r>
      <w:r>
        <w:rPr>
          <w:rFonts w:ascii="Calibri" w:hAnsi="Calibri"/>
          <w:sz w:val="16"/>
        </w:rPr>
        <w:t>investigación</w:t>
      </w:r>
      <w:r>
        <w:rPr>
          <w:rFonts w:ascii="Calibri" w:hAnsi="Calibri"/>
          <w:spacing w:val="-10"/>
          <w:sz w:val="16"/>
        </w:rPr>
        <w:t> </w:t>
      </w:r>
      <w:r>
        <w:rPr>
          <w:rFonts w:ascii="Calibri" w:hAnsi="Calibri"/>
          <w:sz w:val="16"/>
        </w:rPr>
        <w:t>realizaban</w:t>
      </w:r>
      <w:r>
        <w:rPr>
          <w:rFonts w:ascii="Calibri" w:hAnsi="Calibri"/>
          <w:spacing w:val="-11"/>
          <w:sz w:val="16"/>
        </w:rPr>
        <w:t> </w:t>
      </w:r>
      <w:r>
        <w:rPr>
          <w:rFonts w:ascii="Calibri" w:hAnsi="Calibri"/>
          <w:sz w:val="16"/>
        </w:rPr>
        <w:t>preguntas estremecedoras</w:t>
      </w:r>
      <w:r>
        <w:rPr>
          <w:rFonts w:ascii="Calibri" w:hAnsi="Calibri"/>
          <w:spacing w:val="-4"/>
          <w:sz w:val="16"/>
        </w:rPr>
        <w:t> </w:t>
      </w:r>
      <w:r>
        <w:rPr>
          <w:rFonts w:ascii="Calibri" w:hAnsi="Calibri"/>
          <w:sz w:val="16"/>
        </w:rPr>
        <w:t>y</w:t>
      </w:r>
      <w:r>
        <w:rPr>
          <w:rFonts w:ascii="Calibri" w:hAnsi="Calibri"/>
          <w:spacing w:val="-3"/>
          <w:sz w:val="16"/>
        </w:rPr>
        <w:t> </w:t>
      </w:r>
      <w:r>
        <w:rPr>
          <w:rFonts w:ascii="Calibri" w:hAnsi="Calibri"/>
          <w:sz w:val="16"/>
        </w:rPr>
        <w:t>sugerencias</w:t>
      </w:r>
      <w:r>
        <w:rPr>
          <w:rFonts w:ascii="Calibri" w:hAnsi="Calibri"/>
          <w:spacing w:val="-4"/>
          <w:sz w:val="16"/>
        </w:rPr>
        <w:t> </w:t>
      </w:r>
      <w:r>
        <w:rPr>
          <w:rFonts w:ascii="Calibri" w:hAnsi="Calibri"/>
          <w:sz w:val="16"/>
        </w:rPr>
        <w:t>relevantes</w:t>
      </w:r>
      <w:r>
        <w:rPr>
          <w:rFonts w:ascii="Calibri" w:hAnsi="Calibri"/>
          <w:spacing w:val="-4"/>
          <w:sz w:val="16"/>
        </w:rPr>
        <w:t> </w:t>
      </w:r>
      <w:r>
        <w:rPr>
          <w:rFonts w:ascii="Calibri" w:hAnsi="Calibri"/>
          <w:sz w:val="16"/>
        </w:rPr>
        <w:t>para</w:t>
      </w:r>
      <w:r>
        <w:rPr>
          <w:rFonts w:ascii="Calibri" w:hAnsi="Calibri"/>
          <w:spacing w:val="-4"/>
          <w:sz w:val="16"/>
        </w:rPr>
        <w:t> </w:t>
      </w:r>
      <w:r>
        <w:rPr>
          <w:rFonts w:ascii="Calibri" w:hAnsi="Calibri"/>
          <w:sz w:val="16"/>
        </w:rPr>
        <w:t>mejorar</w:t>
      </w:r>
      <w:r>
        <w:rPr>
          <w:rFonts w:ascii="Calibri" w:hAnsi="Calibri"/>
          <w:spacing w:val="-4"/>
          <w:sz w:val="16"/>
        </w:rPr>
        <w:t> </w:t>
      </w:r>
      <w:r>
        <w:rPr>
          <w:rFonts w:ascii="Calibri" w:hAnsi="Calibri"/>
          <w:sz w:val="16"/>
        </w:rPr>
        <w:t>mi</w:t>
      </w:r>
      <w:r>
        <w:rPr>
          <w:rFonts w:ascii="Calibri" w:hAnsi="Calibri"/>
          <w:spacing w:val="-4"/>
          <w:sz w:val="16"/>
        </w:rPr>
        <w:t> </w:t>
      </w:r>
      <w:r>
        <w:rPr>
          <w:rFonts w:ascii="Calibri" w:hAnsi="Calibri"/>
          <w:sz w:val="16"/>
        </w:rPr>
        <w:t>investigación.</w:t>
      </w:r>
    </w:p>
    <w:p>
      <w:pPr>
        <w:spacing w:after="0"/>
        <w:jc w:val="both"/>
        <w:rPr>
          <w:rFonts w:ascii="Calibri" w:hAnsi="Calibri"/>
          <w:sz w:val="16"/>
        </w:rPr>
        <w:sectPr>
          <w:pgSz w:w="12240" w:h="15840"/>
          <w:pgMar w:header="0" w:footer="1035" w:top="1360" w:bottom="1220" w:left="1500" w:right="1580"/>
        </w:sectPr>
      </w:pPr>
    </w:p>
    <w:p>
      <w:pPr>
        <w:pStyle w:val="ListParagraph"/>
        <w:numPr>
          <w:ilvl w:val="3"/>
          <w:numId w:val="43"/>
        </w:numPr>
        <w:tabs>
          <w:tab w:pos="817" w:val="left" w:leader="none"/>
        </w:tabs>
        <w:spacing w:line="360" w:lineRule="auto" w:before="54" w:after="0"/>
        <w:ind w:left="391" w:right="115" w:hanging="185"/>
        <w:jc w:val="both"/>
        <w:rPr>
          <w:sz w:val="24"/>
        </w:rPr>
      </w:pPr>
      <w:r>
        <w:rPr>
          <w:b/>
          <w:sz w:val="24"/>
        </w:rPr>
        <w:t>Definir las preguntas de la encuesta. </w:t>
      </w:r>
      <w:r>
        <w:rPr>
          <w:sz w:val="24"/>
        </w:rPr>
        <w:t>Una vez identificadas las preguntas relevantes, se realizó un ejercicio de depuración que consistió en separar las preguntas que se podían responder a través de la investigación documental realizada. Y todas las que no tenían respuesta se integraron a la</w:t>
      </w:r>
      <w:r>
        <w:rPr>
          <w:spacing w:val="-29"/>
          <w:sz w:val="24"/>
        </w:rPr>
        <w:t> </w:t>
      </w:r>
      <w:r>
        <w:rPr>
          <w:sz w:val="24"/>
        </w:rPr>
        <w:t>encuesta.</w:t>
      </w:r>
    </w:p>
    <w:p>
      <w:pPr>
        <w:pStyle w:val="BodyText"/>
      </w:pPr>
    </w:p>
    <w:p>
      <w:pPr>
        <w:pStyle w:val="ListParagraph"/>
        <w:numPr>
          <w:ilvl w:val="3"/>
          <w:numId w:val="43"/>
        </w:numPr>
        <w:tabs>
          <w:tab w:pos="817" w:val="left" w:leader="none"/>
        </w:tabs>
        <w:spacing w:line="360" w:lineRule="auto" w:before="142" w:after="0"/>
        <w:ind w:left="391" w:right="121" w:hanging="185"/>
        <w:jc w:val="both"/>
        <w:rPr>
          <w:sz w:val="24"/>
        </w:rPr>
      </w:pPr>
      <w:r>
        <w:rPr>
          <w:b/>
          <w:sz w:val="24"/>
        </w:rPr>
        <w:t>Definir tipo de encuesta. </w:t>
      </w:r>
      <w:r>
        <w:rPr>
          <w:sz w:val="24"/>
        </w:rPr>
        <w:t>Dadas las limitaciones en tiempo y recursos se definió aplicar una encuesta</w:t>
      </w:r>
      <w:r>
        <w:rPr>
          <w:spacing w:val="-14"/>
          <w:sz w:val="24"/>
        </w:rPr>
        <w:t> </w:t>
      </w:r>
      <w:r>
        <w:rPr>
          <w:sz w:val="24"/>
        </w:rPr>
        <w:t>electrónica.</w:t>
      </w:r>
    </w:p>
    <w:p>
      <w:pPr>
        <w:pStyle w:val="BodyText"/>
      </w:pPr>
    </w:p>
    <w:p>
      <w:pPr>
        <w:pStyle w:val="ListParagraph"/>
        <w:numPr>
          <w:ilvl w:val="3"/>
          <w:numId w:val="43"/>
        </w:numPr>
        <w:tabs>
          <w:tab w:pos="817" w:val="left" w:leader="none"/>
        </w:tabs>
        <w:spacing w:line="360" w:lineRule="auto" w:before="142" w:after="0"/>
        <w:ind w:left="391" w:right="115" w:hanging="185"/>
        <w:jc w:val="both"/>
        <w:rPr>
          <w:sz w:val="24"/>
        </w:rPr>
      </w:pPr>
      <w:r>
        <w:rPr>
          <w:b/>
          <w:sz w:val="24"/>
        </w:rPr>
        <w:t>Definir tipo de preguntas. </w:t>
      </w:r>
      <w:r>
        <w:rPr>
          <w:sz w:val="24"/>
        </w:rPr>
        <w:t>Al revisar algunas ventajas y desventajas de las preguntas abierta y cerradas se optó por aplicar la escala Likert para facilitar el procesamiento de la</w:t>
      </w:r>
      <w:r>
        <w:rPr>
          <w:spacing w:val="-10"/>
          <w:sz w:val="24"/>
        </w:rPr>
        <w:t> </w:t>
      </w:r>
      <w:r>
        <w:rPr>
          <w:sz w:val="24"/>
        </w:rPr>
        <w:t>información.</w:t>
      </w:r>
    </w:p>
    <w:p>
      <w:pPr>
        <w:pStyle w:val="BodyText"/>
      </w:pPr>
    </w:p>
    <w:p>
      <w:pPr>
        <w:pStyle w:val="ListParagraph"/>
        <w:numPr>
          <w:ilvl w:val="3"/>
          <w:numId w:val="43"/>
        </w:numPr>
        <w:tabs>
          <w:tab w:pos="817" w:val="left" w:leader="none"/>
        </w:tabs>
        <w:spacing w:line="360" w:lineRule="auto" w:before="142" w:after="0"/>
        <w:ind w:left="391" w:right="119" w:hanging="185"/>
        <w:jc w:val="both"/>
        <w:rPr>
          <w:sz w:val="24"/>
        </w:rPr>
      </w:pPr>
      <w:r>
        <w:rPr>
          <w:b/>
          <w:sz w:val="24"/>
        </w:rPr>
        <w:t>Preguntas control. </w:t>
      </w:r>
      <w:r>
        <w:rPr>
          <w:sz w:val="24"/>
        </w:rPr>
        <w:t>Para complementar la encuesta se definieron preguntas control que consistían en preguntar lo mismo, pero con diferente redacción para verificar la autenticidad de las respuestas proporcionadas por los</w:t>
      </w:r>
      <w:r>
        <w:rPr>
          <w:spacing w:val="-23"/>
          <w:sz w:val="24"/>
        </w:rPr>
        <w:t> </w:t>
      </w:r>
      <w:r>
        <w:rPr>
          <w:sz w:val="24"/>
        </w:rPr>
        <w:t>encuestados.</w:t>
      </w:r>
    </w:p>
    <w:p>
      <w:pPr>
        <w:pStyle w:val="BodyText"/>
      </w:pPr>
    </w:p>
    <w:p>
      <w:pPr>
        <w:pStyle w:val="ListParagraph"/>
        <w:numPr>
          <w:ilvl w:val="3"/>
          <w:numId w:val="43"/>
        </w:numPr>
        <w:tabs>
          <w:tab w:pos="817" w:val="left" w:leader="none"/>
        </w:tabs>
        <w:spacing w:line="360" w:lineRule="auto" w:before="142" w:after="0"/>
        <w:ind w:left="391" w:right="115" w:hanging="185"/>
        <w:jc w:val="both"/>
        <w:rPr>
          <w:sz w:val="24"/>
        </w:rPr>
      </w:pPr>
      <w:r>
        <w:rPr>
          <w:b/>
          <w:sz w:val="24"/>
        </w:rPr>
        <w:t>Medir nivel de fiabilidad de las preguntas. </w:t>
      </w:r>
      <w:r>
        <w:rPr>
          <w:sz w:val="24"/>
        </w:rPr>
        <w:t>Como punto final se aplicó la metodología de </w:t>
      </w:r>
      <w:r>
        <w:rPr>
          <w:i/>
          <w:sz w:val="24"/>
        </w:rPr>
        <w:t>Alfa de Cronbach</w:t>
      </w:r>
      <w:r>
        <w:rPr>
          <w:i/>
          <w:position w:val="7"/>
          <w:sz w:val="16"/>
        </w:rPr>
        <w:t>30 </w:t>
      </w:r>
      <w:r>
        <w:rPr>
          <w:sz w:val="24"/>
        </w:rPr>
        <w:t>para verificar que el nivel de fiabilidad de los ítems utilizados tuviera correlación y congruencia con lo que se buscaba en la investigación. Dicho análisis arrojó un 0.90% para las preguntas</w:t>
      </w:r>
      <w:r>
        <w:rPr>
          <w:spacing w:val="-26"/>
          <w:sz w:val="24"/>
        </w:rPr>
        <w:t> </w:t>
      </w:r>
      <w:r>
        <w:rPr>
          <w:sz w:val="24"/>
        </w:rPr>
        <w:t>planteadas.</w:t>
      </w:r>
    </w:p>
    <w:p>
      <w:pPr>
        <w:pStyle w:val="BodyText"/>
      </w:pPr>
    </w:p>
    <w:p>
      <w:pPr>
        <w:pStyle w:val="BodyText"/>
      </w:pPr>
    </w:p>
    <w:p>
      <w:pPr>
        <w:pStyle w:val="BodyText"/>
        <w:spacing w:line="360" w:lineRule="auto" w:before="185"/>
        <w:ind w:left="108" w:right="115"/>
        <w:jc w:val="both"/>
      </w:pPr>
      <w:r>
        <w:rPr/>
        <w:t>Para el procesamiento de la información se utilizó el programa estadístico SPSS versión</w:t>
      </w:r>
      <w:r>
        <w:rPr>
          <w:spacing w:val="-4"/>
        </w:rPr>
        <w:t> </w:t>
      </w:r>
      <w:r>
        <w:rPr/>
        <w:t>22,</w:t>
      </w:r>
      <w:r>
        <w:rPr>
          <w:spacing w:val="-6"/>
        </w:rPr>
        <w:t> </w:t>
      </w:r>
      <w:r>
        <w:rPr/>
        <w:t>para</w:t>
      </w:r>
      <w:r>
        <w:rPr>
          <w:spacing w:val="-7"/>
        </w:rPr>
        <w:t> </w:t>
      </w:r>
      <w:r>
        <w:rPr/>
        <w:t>procesar</w:t>
      </w:r>
      <w:r>
        <w:rPr>
          <w:spacing w:val="-5"/>
        </w:rPr>
        <w:t> </w:t>
      </w:r>
      <w:r>
        <w:rPr/>
        <w:t>la</w:t>
      </w:r>
      <w:r>
        <w:rPr>
          <w:spacing w:val="-6"/>
        </w:rPr>
        <w:t> </w:t>
      </w:r>
      <w:r>
        <w:rPr/>
        <w:t>información</w:t>
      </w:r>
      <w:r>
        <w:rPr>
          <w:spacing w:val="-6"/>
        </w:rPr>
        <w:t> </w:t>
      </w:r>
      <w:r>
        <w:rPr/>
        <w:t>de</w:t>
      </w:r>
      <w:r>
        <w:rPr>
          <w:spacing w:val="-8"/>
        </w:rPr>
        <w:t> </w:t>
      </w:r>
      <w:r>
        <w:rPr/>
        <w:t>manera</w:t>
      </w:r>
      <w:r>
        <w:rPr>
          <w:spacing w:val="-8"/>
        </w:rPr>
        <w:t> </w:t>
      </w:r>
      <w:r>
        <w:rPr/>
        <w:t>fácil</w:t>
      </w:r>
      <w:r>
        <w:rPr>
          <w:spacing w:val="-5"/>
        </w:rPr>
        <w:t> </w:t>
      </w:r>
      <w:r>
        <w:rPr/>
        <w:t>y</w:t>
      </w:r>
      <w:r>
        <w:rPr>
          <w:spacing w:val="-7"/>
        </w:rPr>
        <w:t> </w:t>
      </w:r>
      <w:r>
        <w:rPr/>
        <w:t>rápida.</w:t>
      </w:r>
      <w:r>
        <w:rPr>
          <w:spacing w:val="-8"/>
        </w:rPr>
        <w:t> </w:t>
      </w:r>
      <w:r>
        <w:rPr/>
        <w:t>Asimismo,</w:t>
      </w:r>
      <w:r>
        <w:rPr>
          <w:spacing w:val="-6"/>
        </w:rPr>
        <w:t> </w:t>
      </w:r>
      <w:r>
        <w:rPr/>
        <w:t>se</w:t>
      </w:r>
      <w:r>
        <w:rPr>
          <w:spacing w:val="-6"/>
        </w:rPr>
        <w:t> </w:t>
      </w:r>
      <w:r>
        <w:rPr/>
        <w:t>hizo uso del programa Excel para realizar gráficas y ordenar información, ya que el programa SPSS no permite realizar cambios a la información generada</w:t>
      </w:r>
      <w:r>
        <w:rPr>
          <w:position w:val="8"/>
          <w:sz w:val="16"/>
        </w:rPr>
        <w:t>31</w:t>
      </w:r>
      <w:r>
        <w:rPr/>
        <w:t>. Esta información es complementada con una entrevista que se realizó a la  </w:t>
      </w:r>
      <w:r>
        <w:rPr>
          <w:spacing w:val="10"/>
        </w:rPr>
        <w:t> </w:t>
      </w:r>
      <w:r>
        <w:rPr/>
        <w:t>responsable</w:t>
      </w:r>
    </w:p>
    <w:p>
      <w:pPr>
        <w:pStyle w:val="BodyText"/>
        <w:rPr>
          <w:sz w:val="20"/>
        </w:rPr>
      </w:pPr>
    </w:p>
    <w:p>
      <w:pPr>
        <w:pStyle w:val="BodyText"/>
        <w:rPr>
          <w:sz w:val="20"/>
        </w:rPr>
      </w:pPr>
    </w:p>
    <w:p>
      <w:pPr>
        <w:pStyle w:val="BodyText"/>
        <w:rPr>
          <w:sz w:val="20"/>
        </w:rPr>
      </w:pPr>
    </w:p>
    <w:p>
      <w:pPr>
        <w:pStyle w:val="BodyText"/>
        <w:spacing w:before="1"/>
        <w:rPr>
          <w:sz w:val="26"/>
        </w:rPr>
      </w:pPr>
      <w:r>
        <w:rPr/>
        <w:pict>
          <v:line style="position:absolute;mso-position-horizontal-relative:page;mso-position-vertical-relative:paragraph;z-index:3952;mso-wrap-distance-left:0;mso-wrap-distance-right:0" from="80.424004pt,17.336849pt" to="224.444004pt,17.336849pt" stroked="true" strokeweight=".71997pt" strokecolor="#000000">
            <w10:wrap type="topAndBottom"/>
          </v:line>
        </w:pict>
      </w:r>
    </w:p>
    <w:p>
      <w:pPr>
        <w:spacing w:before="72"/>
        <w:ind w:left="108" w:right="6" w:firstLine="0"/>
        <w:jc w:val="left"/>
        <w:rPr>
          <w:rFonts w:ascii="Calibri" w:hAnsi="Calibri"/>
          <w:sz w:val="16"/>
        </w:rPr>
      </w:pPr>
      <w:r>
        <w:rPr>
          <w:rFonts w:ascii="Calibri" w:hAnsi="Calibri"/>
          <w:position w:val="5"/>
          <w:sz w:val="10"/>
        </w:rPr>
        <w:t>30 </w:t>
      </w:r>
      <w:r>
        <w:rPr>
          <w:rFonts w:ascii="Calibri" w:hAnsi="Calibri"/>
          <w:sz w:val="16"/>
        </w:rPr>
        <w:t>Para sacar esta prueba de fiabilidad se utilizó el SPSS siguiendo el procedimiento siguiente: analizar, escala, análisis de fiabilidad, copiar preguntas en recuadro y seleccionar modelo Alfa, aplicar.</w:t>
      </w:r>
    </w:p>
    <w:p>
      <w:pPr>
        <w:spacing w:before="1"/>
        <w:ind w:left="108" w:right="122" w:firstLine="0"/>
        <w:jc w:val="left"/>
        <w:rPr>
          <w:rFonts w:ascii="Calibri" w:hAnsi="Calibri"/>
          <w:sz w:val="16"/>
        </w:rPr>
      </w:pPr>
      <w:r>
        <w:rPr>
          <w:rFonts w:ascii="Calibri" w:hAnsi="Calibri"/>
          <w:position w:val="5"/>
          <w:sz w:val="10"/>
        </w:rPr>
        <w:t>31</w:t>
      </w:r>
      <w:r>
        <w:rPr>
          <w:rFonts w:ascii="Calibri" w:hAnsi="Calibri"/>
          <w:spacing w:val="8"/>
          <w:position w:val="5"/>
          <w:sz w:val="10"/>
        </w:rPr>
        <w:t> </w:t>
      </w:r>
      <w:r>
        <w:rPr>
          <w:rFonts w:ascii="Calibri" w:hAnsi="Calibri"/>
          <w:sz w:val="16"/>
        </w:rPr>
        <w:t>Dichos</w:t>
      </w:r>
      <w:r>
        <w:rPr>
          <w:rFonts w:ascii="Calibri" w:hAnsi="Calibri"/>
          <w:spacing w:val="-3"/>
          <w:sz w:val="16"/>
        </w:rPr>
        <w:t> </w:t>
      </w:r>
      <w:r>
        <w:rPr>
          <w:rFonts w:ascii="Calibri" w:hAnsi="Calibri"/>
          <w:sz w:val="16"/>
        </w:rPr>
        <w:t>cambios</w:t>
      </w:r>
      <w:r>
        <w:rPr>
          <w:rFonts w:ascii="Calibri" w:hAnsi="Calibri"/>
          <w:spacing w:val="-6"/>
          <w:sz w:val="16"/>
        </w:rPr>
        <w:t> </w:t>
      </w:r>
      <w:r>
        <w:rPr>
          <w:rFonts w:ascii="Calibri" w:hAnsi="Calibri"/>
          <w:sz w:val="16"/>
        </w:rPr>
        <w:t>básicamente</w:t>
      </w:r>
      <w:r>
        <w:rPr>
          <w:rFonts w:ascii="Calibri" w:hAnsi="Calibri"/>
          <w:spacing w:val="-6"/>
          <w:sz w:val="16"/>
        </w:rPr>
        <w:t> </w:t>
      </w:r>
      <w:r>
        <w:rPr>
          <w:rFonts w:ascii="Calibri" w:hAnsi="Calibri"/>
          <w:sz w:val="16"/>
        </w:rPr>
        <w:t>de</w:t>
      </w:r>
      <w:r>
        <w:rPr>
          <w:rFonts w:ascii="Calibri" w:hAnsi="Calibri"/>
          <w:spacing w:val="-3"/>
          <w:sz w:val="16"/>
        </w:rPr>
        <w:t> </w:t>
      </w:r>
      <w:r>
        <w:rPr>
          <w:rFonts w:ascii="Calibri" w:hAnsi="Calibri"/>
          <w:sz w:val="16"/>
        </w:rPr>
        <w:t>forma,</w:t>
      </w:r>
      <w:r>
        <w:rPr>
          <w:rFonts w:ascii="Calibri" w:hAnsi="Calibri"/>
          <w:spacing w:val="-5"/>
          <w:sz w:val="16"/>
        </w:rPr>
        <w:t> </w:t>
      </w:r>
      <w:r>
        <w:rPr>
          <w:rFonts w:ascii="Calibri" w:hAnsi="Calibri"/>
          <w:sz w:val="16"/>
        </w:rPr>
        <w:t>para</w:t>
      </w:r>
      <w:r>
        <w:rPr>
          <w:rFonts w:ascii="Calibri" w:hAnsi="Calibri"/>
          <w:spacing w:val="-5"/>
          <w:sz w:val="16"/>
        </w:rPr>
        <w:t> </w:t>
      </w:r>
      <w:r>
        <w:rPr>
          <w:rFonts w:ascii="Calibri" w:hAnsi="Calibri"/>
          <w:sz w:val="16"/>
        </w:rPr>
        <w:t>eliminar</w:t>
      </w:r>
      <w:r>
        <w:rPr>
          <w:rFonts w:ascii="Calibri" w:hAnsi="Calibri"/>
          <w:spacing w:val="-6"/>
          <w:sz w:val="16"/>
        </w:rPr>
        <w:t> </w:t>
      </w:r>
      <w:r>
        <w:rPr>
          <w:rFonts w:ascii="Calibri" w:hAnsi="Calibri"/>
          <w:sz w:val="16"/>
        </w:rPr>
        <w:t>columnas</w:t>
      </w:r>
      <w:r>
        <w:rPr>
          <w:rFonts w:ascii="Calibri" w:hAnsi="Calibri"/>
          <w:spacing w:val="-6"/>
          <w:sz w:val="16"/>
        </w:rPr>
        <w:t> </w:t>
      </w:r>
      <w:r>
        <w:rPr>
          <w:rFonts w:ascii="Calibri" w:hAnsi="Calibri"/>
          <w:sz w:val="16"/>
        </w:rPr>
        <w:t>no</w:t>
      </w:r>
      <w:r>
        <w:rPr>
          <w:rFonts w:ascii="Calibri" w:hAnsi="Calibri"/>
          <w:spacing w:val="-3"/>
          <w:sz w:val="16"/>
        </w:rPr>
        <w:t> </w:t>
      </w:r>
      <w:r>
        <w:rPr>
          <w:rFonts w:ascii="Calibri" w:hAnsi="Calibri"/>
          <w:sz w:val="16"/>
        </w:rPr>
        <w:t>necesarias</w:t>
      </w:r>
      <w:r>
        <w:rPr>
          <w:rFonts w:ascii="Calibri" w:hAnsi="Calibri"/>
          <w:spacing w:val="-6"/>
          <w:sz w:val="16"/>
        </w:rPr>
        <w:t> </w:t>
      </w:r>
      <w:r>
        <w:rPr>
          <w:rFonts w:ascii="Calibri" w:hAnsi="Calibri"/>
          <w:sz w:val="16"/>
        </w:rPr>
        <w:t>o</w:t>
      </w:r>
      <w:r>
        <w:rPr>
          <w:rFonts w:ascii="Calibri" w:hAnsi="Calibri"/>
          <w:spacing w:val="-4"/>
          <w:sz w:val="16"/>
        </w:rPr>
        <w:t> </w:t>
      </w:r>
      <w:r>
        <w:rPr>
          <w:rFonts w:ascii="Calibri" w:hAnsi="Calibri"/>
          <w:sz w:val="16"/>
        </w:rPr>
        <w:t>mover</w:t>
      </w:r>
      <w:r>
        <w:rPr>
          <w:rFonts w:ascii="Calibri" w:hAnsi="Calibri"/>
          <w:spacing w:val="-6"/>
          <w:sz w:val="16"/>
        </w:rPr>
        <w:t> </w:t>
      </w:r>
      <w:r>
        <w:rPr>
          <w:rFonts w:ascii="Calibri" w:hAnsi="Calibri"/>
          <w:sz w:val="16"/>
        </w:rPr>
        <w:t>sentido</w:t>
      </w:r>
      <w:r>
        <w:rPr>
          <w:rFonts w:ascii="Calibri" w:hAnsi="Calibri"/>
          <w:spacing w:val="-4"/>
          <w:sz w:val="16"/>
        </w:rPr>
        <w:t> </w:t>
      </w:r>
      <w:r>
        <w:rPr>
          <w:rFonts w:ascii="Calibri" w:hAnsi="Calibri"/>
          <w:sz w:val="16"/>
        </w:rPr>
        <w:t>de</w:t>
      </w:r>
      <w:r>
        <w:rPr>
          <w:rFonts w:ascii="Calibri" w:hAnsi="Calibri"/>
          <w:spacing w:val="-4"/>
          <w:sz w:val="16"/>
        </w:rPr>
        <w:t> </w:t>
      </w:r>
      <w:r>
        <w:rPr>
          <w:rFonts w:ascii="Calibri" w:hAnsi="Calibri"/>
          <w:sz w:val="16"/>
        </w:rPr>
        <w:t>columnas</w:t>
      </w:r>
      <w:r>
        <w:rPr>
          <w:rFonts w:ascii="Calibri" w:hAnsi="Calibri"/>
          <w:spacing w:val="-6"/>
          <w:sz w:val="16"/>
        </w:rPr>
        <w:t> </w:t>
      </w:r>
      <w:r>
        <w:rPr>
          <w:rFonts w:ascii="Calibri" w:hAnsi="Calibri"/>
          <w:sz w:val="16"/>
        </w:rPr>
        <w:t>para</w:t>
      </w:r>
      <w:r>
        <w:rPr>
          <w:rFonts w:ascii="Calibri" w:hAnsi="Calibri"/>
          <w:spacing w:val="-5"/>
          <w:sz w:val="16"/>
        </w:rPr>
        <w:t> </w:t>
      </w:r>
      <w:r>
        <w:rPr>
          <w:rFonts w:ascii="Calibri" w:hAnsi="Calibri"/>
          <w:sz w:val="16"/>
        </w:rPr>
        <w:t>poder</w:t>
      </w:r>
      <w:r>
        <w:rPr>
          <w:rFonts w:ascii="Calibri" w:hAnsi="Calibri"/>
          <w:spacing w:val="-4"/>
          <w:sz w:val="16"/>
        </w:rPr>
        <w:t> </w:t>
      </w:r>
      <w:r>
        <w:rPr>
          <w:rFonts w:ascii="Calibri" w:hAnsi="Calibri"/>
          <w:sz w:val="16"/>
        </w:rPr>
        <w:t>generar</w:t>
      </w:r>
      <w:r>
        <w:rPr>
          <w:rFonts w:ascii="Calibri" w:hAnsi="Calibri"/>
          <w:spacing w:val="-4"/>
          <w:sz w:val="16"/>
        </w:rPr>
        <w:t> </w:t>
      </w:r>
      <w:r>
        <w:rPr>
          <w:rFonts w:ascii="Calibri" w:hAnsi="Calibri"/>
          <w:sz w:val="16"/>
        </w:rPr>
        <w:t>gráficas y colores diferentes a las permite el programa</w:t>
      </w:r>
      <w:r>
        <w:rPr>
          <w:rFonts w:ascii="Calibri" w:hAnsi="Calibri"/>
          <w:spacing w:val="-16"/>
          <w:sz w:val="16"/>
        </w:rPr>
        <w:t> </w:t>
      </w:r>
      <w:r>
        <w:rPr>
          <w:rFonts w:ascii="Calibri" w:hAnsi="Calibri"/>
          <w:sz w:val="16"/>
        </w:rPr>
        <w:t>SPSS.</w:t>
      </w:r>
    </w:p>
    <w:p>
      <w:pPr>
        <w:spacing w:after="0"/>
        <w:jc w:val="left"/>
        <w:rPr>
          <w:rFonts w:ascii="Calibri" w:hAnsi="Calibri"/>
          <w:sz w:val="16"/>
        </w:rPr>
        <w:sectPr>
          <w:pgSz w:w="12240" w:h="15840"/>
          <w:pgMar w:header="0" w:footer="1035" w:top="1360" w:bottom="1220" w:left="1500" w:right="1580"/>
        </w:sectPr>
      </w:pPr>
    </w:p>
    <w:p>
      <w:pPr>
        <w:pStyle w:val="BodyText"/>
        <w:spacing w:line="362" w:lineRule="auto" w:before="54"/>
        <w:ind w:left="128" w:right="99"/>
        <w:jc w:val="both"/>
      </w:pPr>
      <w:r>
        <w:rPr/>
        <w:t>de transparencia del Municipio de San Mateo Atenco, cuya información fue procesada con el programa Atlas TI 7.0 para un mayor manejo (Ver anexo 6)</w:t>
      </w:r>
    </w:p>
    <w:p>
      <w:pPr>
        <w:pStyle w:val="BodyText"/>
      </w:pPr>
    </w:p>
    <w:p>
      <w:pPr>
        <w:pStyle w:val="BodyText"/>
      </w:pPr>
    </w:p>
    <w:p>
      <w:pPr>
        <w:pStyle w:val="Heading1"/>
        <w:numPr>
          <w:ilvl w:val="2"/>
          <w:numId w:val="43"/>
        </w:numPr>
        <w:tabs>
          <w:tab w:pos="837" w:val="left" w:leader="none"/>
          <w:tab w:pos="2376" w:val="left" w:leader="none"/>
          <w:tab w:pos="2899" w:val="left" w:leader="none"/>
          <w:tab w:pos="3342" w:val="left" w:leader="none"/>
          <w:tab w:pos="4698" w:val="left" w:leader="none"/>
          <w:tab w:pos="6665" w:val="left" w:leader="none"/>
          <w:tab w:pos="8188" w:val="left" w:leader="none"/>
          <w:tab w:pos="8713" w:val="left" w:leader="none"/>
        </w:tabs>
        <w:spacing w:line="360" w:lineRule="auto" w:before="182" w:after="0"/>
        <w:ind w:left="836" w:right="100" w:hanging="720"/>
        <w:jc w:val="left"/>
      </w:pPr>
      <w:r>
        <w:rPr/>
        <w:t>Resultados</w:t>
        <w:tab/>
        <w:t>de</w:t>
        <w:tab/>
        <w:t>la</w:t>
        <w:tab/>
        <w:t>encuesta.</w:t>
        <w:tab/>
        <w:t>Características</w:t>
        <w:tab/>
        <w:t>biográficas</w:t>
        <w:tab/>
        <w:t>de</w:t>
        <w:tab/>
      </w:r>
      <w:r>
        <w:rPr>
          <w:spacing w:val="-1"/>
        </w:rPr>
        <w:t>los </w:t>
      </w:r>
      <w:r>
        <w:rPr/>
        <w:t>encuestados</w:t>
      </w:r>
    </w:p>
    <w:p>
      <w:pPr>
        <w:pStyle w:val="BodyText"/>
        <w:rPr>
          <w:b/>
        </w:rPr>
      </w:pPr>
    </w:p>
    <w:p>
      <w:pPr>
        <w:pStyle w:val="BodyText"/>
        <w:spacing w:line="360" w:lineRule="auto" w:before="142"/>
        <w:ind w:left="128" w:right="101"/>
        <w:jc w:val="both"/>
      </w:pPr>
      <w:r>
        <w:rPr/>
        <w:t>Dentro de los responsables de transparencia encuestados, el 37.2% fueron de género femenino y el 60.3% son de género masculino. Cabe hacer mención que el 2.6%</w:t>
      </w:r>
      <w:r>
        <w:rPr>
          <w:spacing w:val="-5"/>
        </w:rPr>
        <w:t> </w:t>
      </w:r>
      <w:r>
        <w:rPr/>
        <w:t>no</w:t>
      </w:r>
      <w:r>
        <w:rPr>
          <w:spacing w:val="-5"/>
        </w:rPr>
        <w:t> </w:t>
      </w:r>
      <w:r>
        <w:rPr/>
        <w:t>contestaron.</w:t>
      </w:r>
      <w:r>
        <w:rPr>
          <w:spacing w:val="-7"/>
        </w:rPr>
        <w:t> </w:t>
      </w:r>
      <w:r>
        <w:rPr/>
        <w:t>Es</w:t>
      </w:r>
      <w:r>
        <w:rPr>
          <w:spacing w:val="-5"/>
        </w:rPr>
        <w:t> </w:t>
      </w:r>
      <w:r>
        <w:rPr/>
        <w:t>de</w:t>
      </w:r>
      <w:r>
        <w:rPr>
          <w:spacing w:val="-5"/>
        </w:rPr>
        <w:t> </w:t>
      </w:r>
      <w:r>
        <w:rPr/>
        <w:t>resaltar</w:t>
      </w:r>
      <w:r>
        <w:rPr>
          <w:spacing w:val="-6"/>
        </w:rPr>
        <w:t> </w:t>
      </w:r>
      <w:r>
        <w:rPr/>
        <w:t>que</w:t>
      </w:r>
      <w:r>
        <w:rPr>
          <w:spacing w:val="-5"/>
        </w:rPr>
        <w:t> </w:t>
      </w:r>
      <w:r>
        <w:rPr/>
        <w:t>congruente</w:t>
      </w:r>
      <w:r>
        <w:rPr>
          <w:spacing w:val="-4"/>
        </w:rPr>
        <w:t> </w:t>
      </w:r>
      <w:r>
        <w:rPr/>
        <w:t>con</w:t>
      </w:r>
      <w:r>
        <w:rPr>
          <w:spacing w:val="-5"/>
        </w:rPr>
        <w:t> </w:t>
      </w:r>
      <w:r>
        <w:rPr/>
        <w:t>el</w:t>
      </w:r>
      <w:r>
        <w:rPr>
          <w:spacing w:val="-6"/>
        </w:rPr>
        <w:t> </w:t>
      </w:r>
      <w:r>
        <w:rPr/>
        <w:t>discurso</w:t>
      </w:r>
      <w:r>
        <w:rPr>
          <w:spacing w:val="-5"/>
        </w:rPr>
        <w:t> </w:t>
      </w:r>
      <w:r>
        <w:rPr/>
        <w:t>gubernamental, si se tiene más oportunidad de trabajo para los jóvenes, ya que la edad de los encuestados se encuentra distribuida de la siguiente forma: 35.8% oscila entre 23 y 28 años de edad, 28.2% tiene entre 29 y 34 años, 15.4% entre 35 y 40 años, </w:t>
      </w:r>
      <w:r>
        <w:rPr>
          <w:spacing w:val="28"/>
        </w:rPr>
        <w:t> </w:t>
      </w:r>
      <w:r>
        <w:rPr/>
        <w:t>5.1%</w:t>
      </w:r>
    </w:p>
    <w:p>
      <w:pPr>
        <w:pStyle w:val="BodyText"/>
        <w:spacing w:before="5"/>
        <w:ind w:left="128"/>
        <w:jc w:val="both"/>
      </w:pPr>
      <w:r>
        <w:rPr/>
        <w:t>se</w:t>
      </w:r>
      <w:r>
        <w:rPr>
          <w:spacing w:val="-11"/>
        </w:rPr>
        <w:t> </w:t>
      </w:r>
      <w:r>
        <w:rPr/>
        <w:t>encuentra</w:t>
      </w:r>
      <w:r>
        <w:rPr>
          <w:spacing w:val="-13"/>
        </w:rPr>
        <w:t> </w:t>
      </w:r>
      <w:r>
        <w:rPr/>
        <w:t>entre</w:t>
      </w:r>
      <w:r>
        <w:rPr>
          <w:spacing w:val="-13"/>
        </w:rPr>
        <w:t> </w:t>
      </w:r>
      <w:r>
        <w:rPr/>
        <w:t>41</w:t>
      </w:r>
      <w:r>
        <w:rPr>
          <w:spacing w:val="-14"/>
        </w:rPr>
        <w:t> </w:t>
      </w:r>
      <w:r>
        <w:rPr/>
        <w:t>y</w:t>
      </w:r>
      <w:r>
        <w:rPr>
          <w:spacing w:val="-14"/>
        </w:rPr>
        <w:t> </w:t>
      </w:r>
      <w:r>
        <w:rPr/>
        <w:t>46</w:t>
      </w:r>
      <w:r>
        <w:rPr>
          <w:spacing w:val="-11"/>
        </w:rPr>
        <w:t> </w:t>
      </w:r>
      <w:r>
        <w:rPr/>
        <w:t>años,</w:t>
      </w:r>
      <w:r>
        <w:rPr>
          <w:spacing w:val="-13"/>
        </w:rPr>
        <w:t> </w:t>
      </w:r>
      <w:r>
        <w:rPr/>
        <w:t>3.8%</w:t>
      </w:r>
      <w:r>
        <w:rPr>
          <w:spacing w:val="-14"/>
        </w:rPr>
        <w:t> </w:t>
      </w:r>
      <w:r>
        <w:rPr/>
        <w:t>tiene</w:t>
      </w:r>
      <w:r>
        <w:rPr>
          <w:spacing w:val="-13"/>
        </w:rPr>
        <w:t> </w:t>
      </w:r>
      <w:r>
        <w:rPr/>
        <w:t>entre</w:t>
      </w:r>
      <w:r>
        <w:rPr>
          <w:spacing w:val="-13"/>
        </w:rPr>
        <w:t> </w:t>
      </w:r>
      <w:r>
        <w:rPr/>
        <w:t>59</w:t>
      </w:r>
      <w:r>
        <w:rPr>
          <w:spacing w:val="-11"/>
        </w:rPr>
        <w:t> </w:t>
      </w:r>
      <w:r>
        <w:rPr/>
        <w:t>y</w:t>
      </w:r>
      <w:r>
        <w:rPr>
          <w:spacing w:val="-14"/>
        </w:rPr>
        <w:t> </w:t>
      </w:r>
      <w:r>
        <w:rPr/>
        <w:t>64</w:t>
      </w:r>
      <w:r>
        <w:rPr>
          <w:spacing w:val="-11"/>
        </w:rPr>
        <w:t> </w:t>
      </w:r>
      <w:r>
        <w:rPr/>
        <w:t>años.</w:t>
      </w:r>
      <w:r>
        <w:rPr>
          <w:spacing w:val="-13"/>
        </w:rPr>
        <w:t> </w:t>
      </w:r>
      <w:r>
        <w:rPr/>
        <w:t>El</w:t>
      </w:r>
      <w:r>
        <w:rPr>
          <w:spacing w:val="-14"/>
        </w:rPr>
        <w:t> </w:t>
      </w:r>
      <w:r>
        <w:rPr/>
        <w:t>5.1%</w:t>
      </w:r>
      <w:r>
        <w:rPr>
          <w:spacing w:val="-14"/>
        </w:rPr>
        <w:t> </w:t>
      </w:r>
      <w:r>
        <w:rPr/>
        <w:t>no</w:t>
      </w:r>
      <w:r>
        <w:rPr>
          <w:spacing w:val="-11"/>
        </w:rPr>
        <w:t> </w:t>
      </w:r>
      <w:r>
        <w:rPr/>
        <w:t>contestó.</w:t>
      </w:r>
    </w:p>
    <w:p>
      <w:pPr>
        <w:pStyle w:val="BodyText"/>
      </w:pPr>
    </w:p>
    <w:p>
      <w:pPr>
        <w:pStyle w:val="BodyText"/>
      </w:pPr>
    </w:p>
    <w:p>
      <w:pPr>
        <w:pStyle w:val="BodyText"/>
        <w:spacing w:line="360" w:lineRule="auto"/>
        <w:ind w:left="128" w:right="102"/>
        <w:jc w:val="both"/>
      </w:pPr>
      <w:r>
        <w:rPr/>
        <w:t>En cuanto al nivel de estudios cabe señalar que el 4% tiene preparatoria, 4% licenciatura trunca, 10% son pasantes de licenciatura, 59% tiene estudios de licenciatura, 13% estudios de maestría, el 9% referenció a otro tipo de estudios y el 1% no contestó. Respecto a la antigüedad que los encuestados tienen en el puesto es</w:t>
      </w:r>
      <w:r>
        <w:rPr>
          <w:spacing w:val="-7"/>
        </w:rPr>
        <w:t> </w:t>
      </w:r>
      <w:r>
        <w:rPr/>
        <w:t>preciso</w:t>
      </w:r>
      <w:r>
        <w:rPr>
          <w:spacing w:val="-6"/>
        </w:rPr>
        <w:t> </w:t>
      </w:r>
      <w:r>
        <w:rPr/>
        <w:t>señalar</w:t>
      </w:r>
      <w:r>
        <w:rPr>
          <w:spacing w:val="-9"/>
        </w:rPr>
        <w:t> </w:t>
      </w:r>
      <w:r>
        <w:rPr/>
        <w:t>que</w:t>
      </w:r>
      <w:r>
        <w:rPr>
          <w:spacing w:val="-8"/>
        </w:rPr>
        <w:t> </w:t>
      </w:r>
      <w:r>
        <w:rPr/>
        <w:t>el</w:t>
      </w:r>
      <w:r>
        <w:rPr>
          <w:spacing w:val="-10"/>
        </w:rPr>
        <w:t> </w:t>
      </w:r>
      <w:r>
        <w:rPr/>
        <w:t>62%</w:t>
      </w:r>
      <w:r>
        <w:rPr>
          <w:spacing w:val="-9"/>
        </w:rPr>
        <w:t> </w:t>
      </w:r>
      <w:r>
        <w:rPr/>
        <w:t>tiene</w:t>
      </w:r>
      <w:r>
        <w:rPr>
          <w:spacing w:val="-8"/>
        </w:rPr>
        <w:t> </w:t>
      </w:r>
      <w:r>
        <w:rPr/>
        <w:t>menos</w:t>
      </w:r>
      <w:r>
        <w:rPr>
          <w:spacing w:val="-9"/>
        </w:rPr>
        <w:t> </w:t>
      </w:r>
      <w:r>
        <w:rPr/>
        <w:t>de</w:t>
      </w:r>
      <w:r>
        <w:rPr>
          <w:spacing w:val="-6"/>
        </w:rPr>
        <w:t> </w:t>
      </w:r>
      <w:r>
        <w:rPr/>
        <w:t>un</w:t>
      </w:r>
      <w:r>
        <w:rPr>
          <w:spacing w:val="-8"/>
        </w:rPr>
        <w:t> </w:t>
      </w:r>
      <w:r>
        <w:rPr/>
        <w:t>año,</w:t>
      </w:r>
      <w:r>
        <w:rPr>
          <w:spacing w:val="-9"/>
        </w:rPr>
        <w:t> </w:t>
      </w:r>
      <w:r>
        <w:rPr/>
        <w:t>el</w:t>
      </w:r>
      <w:r>
        <w:rPr>
          <w:spacing w:val="-7"/>
        </w:rPr>
        <w:t> </w:t>
      </w:r>
      <w:r>
        <w:rPr/>
        <w:t>20%</w:t>
      </w:r>
      <w:r>
        <w:rPr>
          <w:spacing w:val="-9"/>
        </w:rPr>
        <w:t> </w:t>
      </w:r>
      <w:r>
        <w:rPr/>
        <w:t>tiene</w:t>
      </w:r>
      <w:r>
        <w:rPr>
          <w:spacing w:val="-11"/>
        </w:rPr>
        <w:t> </w:t>
      </w:r>
      <w:r>
        <w:rPr/>
        <w:t>entre</w:t>
      </w:r>
      <w:r>
        <w:rPr>
          <w:spacing w:val="-8"/>
        </w:rPr>
        <w:t> </w:t>
      </w:r>
      <w:r>
        <w:rPr/>
        <w:t>1</w:t>
      </w:r>
      <w:r>
        <w:rPr>
          <w:spacing w:val="-8"/>
        </w:rPr>
        <w:t> </w:t>
      </w:r>
      <w:r>
        <w:rPr/>
        <w:t>y</w:t>
      </w:r>
      <w:r>
        <w:rPr>
          <w:spacing w:val="-9"/>
        </w:rPr>
        <w:t> </w:t>
      </w:r>
      <w:r>
        <w:rPr/>
        <w:t>3</w:t>
      </w:r>
      <w:r>
        <w:rPr>
          <w:spacing w:val="-6"/>
        </w:rPr>
        <w:t> </w:t>
      </w:r>
      <w:r>
        <w:rPr/>
        <w:t>años, el 12% tiene entre 4 y 6 años, el resto reportó tener más de 9 años en el</w:t>
      </w:r>
      <w:r>
        <w:rPr>
          <w:spacing w:val="-32"/>
        </w:rPr>
        <w:t> </w:t>
      </w:r>
      <w:r>
        <w:rPr/>
        <w:t>puesto.</w:t>
      </w:r>
    </w:p>
    <w:p>
      <w:pPr>
        <w:pStyle w:val="BodyText"/>
      </w:pPr>
    </w:p>
    <w:p>
      <w:pPr>
        <w:pStyle w:val="BodyText"/>
        <w:spacing w:line="360" w:lineRule="auto" w:before="142"/>
        <w:ind w:left="128" w:right="98"/>
        <w:jc w:val="both"/>
      </w:pPr>
      <w:r>
        <w:rPr/>
        <w:t>Sobre la experiencia laboral, se puede mencionar que el 56% referenció haber trabajado en el gobierno antes de llegar a su puesto actual y el 44% dijo no haber trabajado en el gobierno antes de su puesto.</w:t>
      </w:r>
    </w:p>
    <w:p>
      <w:pPr>
        <w:spacing w:after="0" w:line="360" w:lineRule="auto"/>
        <w:jc w:val="both"/>
        <w:sectPr>
          <w:pgSz w:w="12240" w:h="15840"/>
          <w:pgMar w:header="0" w:footer="1035" w:top="1360" w:bottom="1220" w:left="1480" w:right="1600"/>
        </w:sectPr>
      </w:pPr>
    </w:p>
    <w:p>
      <w:pPr>
        <w:pStyle w:val="Heading1"/>
        <w:numPr>
          <w:ilvl w:val="2"/>
          <w:numId w:val="43"/>
        </w:numPr>
        <w:tabs>
          <w:tab w:pos="837" w:val="left" w:leader="none"/>
        </w:tabs>
        <w:spacing w:line="240" w:lineRule="auto" w:before="54" w:after="0"/>
        <w:ind w:left="836" w:right="0" w:hanging="720"/>
        <w:jc w:val="both"/>
      </w:pPr>
      <w:r>
        <w:rPr/>
        <w:t>Resultados de la encuesta.</w:t>
      </w:r>
      <w:r>
        <w:rPr>
          <w:spacing w:val="-11"/>
        </w:rPr>
        <w:t> </w:t>
      </w:r>
      <w:r>
        <w:rPr/>
        <w:t>Neoinstitucionalismo</w:t>
      </w:r>
    </w:p>
    <w:p>
      <w:pPr>
        <w:pStyle w:val="BodyText"/>
        <w:rPr>
          <w:b/>
        </w:rPr>
      </w:pPr>
    </w:p>
    <w:p>
      <w:pPr>
        <w:pStyle w:val="BodyText"/>
        <w:rPr>
          <w:b/>
        </w:rPr>
      </w:pPr>
    </w:p>
    <w:p>
      <w:pPr>
        <w:pStyle w:val="ListParagraph"/>
        <w:numPr>
          <w:ilvl w:val="3"/>
          <w:numId w:val="44"/>
        </w:numPr>
        <w:tabs>
          <w:tab w:pos="981" w:val="left" w:leader="none"/>
        </w:tabs>
        <w:spacing w:line="240" w:lineRule="auto" w:before="199" w:after="0"/>
        <w:ind w:left="980" w:right="0" w:hanging="852"/>
        <w:jc w:val="both"/>
        <w:rPr>
          <w:b/>
          <w:sz w:val="24"/>
        </w:rPr>
      </w:pPr>
      <w:r>
        <w:rPr>
          <w:b/>
          <w:sz w:val="24"/>
        </w:rPr>
        <w:t>La institución trasciende al</w:t>
      </w:r>
      <w:r>
        <w:rPr>
          <w:b/>
          <w:spacing w:val="-10"/>
          <w:sz w:val="24"/>
        </w:rPr>
        <w:t> </w:t>
      </w:r>
      <w:r>
        <w:rPr>
          <w:b/>
          <w:sz w:val="24"/>
        </w:rPr>
        <w:t>individuo</w:t>
      </w:r>
    </w:p>
    <w:p>
      <w:pPr>
        <w:pStyle w:val="BodyText"/>
        <w:rPr>
          <w:b/>
        </w:rPr>
      </w:pPr>
    </w:p>
    <w:p>
      <w:pPr>
        <w:pStyle w:val="BodyText"/>
        <w:spacing w:before="2"/>
        <w:rPr>
          <w:b/>
        </w:rPr>
      </w:pPr>
    </w:p>
    <w:p>
      <w:pPr>
        <w:pStyle w:val="BodyText"/>
        <w:spacing w:line="360" w:lineRule="auto"/>
        <w:ind w:left="128" w:right="115"/>
        <w:jc w:val="both"/>
      </w:pPr>
      <w:r>
        <w:rPr/>
        <w:t>Dado que las instituciones crean normas formales e informales que limitan la conducta individual, resulta interesante conocer cuáles son las que predominan en la práctica de la transparencia a nivel municipal, ya que pueden evidenciar un cumplimiento</w:t>
      </w:r>
      <w:r>
        <w:rPr>
          <w:spacing w:val="-6"/>
        </w:rPr>
        <w:t> </w:t>
      </w:r>
      <w:r>
        <w:rPr/>
        <w:t>real</w:t>
      </w:r>
      <w:r>
        <w:rPr>
          <w:spacing w:val="-7"/>
        </w:rPr>
        <w:t> </w:t>
      </w:r>
      <w:r>
        <w:rPr/>
        <w:t>de</w:t>
      </w:r>
      <w:r>
        <w:rPr>
          <w:spacing w:val="-8"/>
        </w:rPr>
        <w:t> </w:t>
      </w:r>
      <w:r>
        <w:rPr/>
        <w:t>la</w:t>
      </w:r>
      <w:r>
        <w:rPr>
          <w:spacing w:val="-9"/>
        </w:rPr>
        <w:t> </w:t>
      </w:r>
      <w:r>
        <w:rPr/>
        <w:t>ley</w:t>
      </w:r>
      <w:r>
        <w:rPr>
          <w:spacing w:val="-6"/>
        </w:rPr>
        <w:t> </w:t>
      </w:r>
      <w:r>
        <w:rPr/>
        <w:t>o</w:t>
      </w:r>
      <w:r>
        <w:rPr>
          <w:spacing w:val="-6"/>
        </w:rPr>
        <w:t> </w:t>
      </w:r>
      <w:r>
        <w:rPr/>
        <w:t>una</w:t>
      </w:r>
      <w:r>
        <w:rPr>
          <w:spacing w:val="-8"/>
        </w:rPr>
        <w:t> </w:t>
      </w:r>
      <w:r>
        <w:rPr/>
        <w:t>simulación</w:t>
      </w:r>
      <w:r>
        <w:rPr>
          <w:spacing w:val="-8"/>
        </w:rPr>
        <w:t> </w:t>
      </w:r>
      <w:r>
        <w:rPr/>
        <w:t>de</w:t>
      </w:r>
      <w:r>
        <w:rPr>
          <w:spacing w:val="-6"/>
        </w:rPr>
        <w:t> </w:t>
      </w:r>
      <w:r>
        <w:rPr/>
        <w:t>la</w:t>
      </w:r>
      <w:r>
        <w:rPr>
          <w:spacing w:val="-7"/>
        </w:rPr>
        <w:t> </w:t>
      </w:r>
      <w:r>
        <w:rPr/>
        <w:t>misma.</w:t>
      </w:r>
      <w:r>
        <w:rPr>
          <w:spacing w:val="-6"/>
        </w:rPr>
        <w:t> </w:t>
      </w:r>
      <w:r>
        <w:rPr/>
        <w:t>Un</w:t>
      </w:r>
      <w:r>
        <w:rPr>
          <w:spacing w:val="-9"/>
        </w:rPr>
        <w:t> </w:t>
      </w:r>
      <w:r>
        <w:rPr/>
        <w:t>elemento</w:t>
      </w:r>
      <w:r>
        <w:rPr>
          <w:spacing w:val="-7"/>
        </w:rPr>
        <w:t> </w:t>
      </w:r>
      <w:r>
        <w:rPr/>
        <w:t>formal</w:t>
      </w:r>
      <w:r>
        <w:rPr>
          <w:spacing w:val="-8"/>
        </w:rPr>
        <w:t> </w:t>
      </w:r>
      <w:r>
        <w:rPr/>
        <w:t>de</w:t>
      </w:r>
      <w:r>
        <w:rPr>
          <w:spacing w:val="-6"/>
        </w:rPr>
        <w:t> </w:t>
      </w:r>
      <w:r>
        <w:rPr/>
        <w:t>las instituciones es el referido a las leyes, las cuales facultan al individuo para realizar sus</w:t>
      </w:r>
      <w:r>
        <w:rPr>
          <w:spacing w:val="-7"/>
        </w:rPr>
        <w:t> </w:t>
      </w:r>
      <w:r>
        <w:rPr/>
        <w:t>funciones,</w:t>
      </w:r>
      <w:r>
        <w:rPr>
          <w:spacing w:val="-9"/>
        </w:rPr>
        <w:t> </w:t>
      </w:r>
      <w:r>
        <w:rPr/>
        <w:t>al</w:t>
      </w:r>
      <w:r>
        <w:rPr>
          <w:spacing w:val="-7"/>
        </w:rPr>
        <w:t> </w:t>
      </w:r>
      <w:r>
        <w:rPr/>
        <w:t>mismo</w:t>
      </w:r>
      <w:r>
        <w:rPr>
          <w:spacing w:val="-6"/>
        </w:rPr>
        <w:t> </w:t>
      </w:r>
      <w:r>
        <w:rPr/>
        <w:t>tiempo</w:t>
      </w:r>
      <w:r>
        <w:rPr>
          <w:spacing w:val="-3"/>
        </w:rPr>
        <w:t> </w:t>
      </w:r>
      <w:r>
        <w:rPr/>
        <w:t>que</w:t>
      </w:r>
      <w:r>
        <w:rPr>
          <w:spacing w:val="-6"/>
        </w:rPr>
        <w:t> </w:t>
      </w:r>
      <w:r>
        <w:rPr/>
        <w:t>lo</w:t>
      </w:r>
      <w:r>
        <w:rPr>
          <w:spacing w:val="-6"/>
        </w:rPr>
        <w:t> </w:t>
      </w:r>
      <w:r>
        <w:rPr/>
        <w:t>limitan</w:t>
      </w:r>
      <w:r>
        <w:rPr>
          <w:spacing w:val="-8"/>
        </w:rPr>
        <w:t> </w:t>
      </w:r>
      <w:r>
        <w:rPr/>
        <w:t>en</w:t>
      </w:r>
      <w:r>
        <w:rPr>
          <w:spacing w:val="-6"/>
        </w:rPr>
        <w:t> </w:t>
      </w:r>
      <w:r>
        <w:rPr/>
        <w:t>el</w:t>
      </w:r>
      <w:r>
        <w:rPr>
          <w:spacing w:val="-7"/>
        </w:rPr>
        <w:t> </w:t>
      </w:r>
      <w:r>
        <w:rPr/>
        <w:t>desarrollo</w:t>
      </w:r>
      <w:r>
        <w:rPr>
          <w:spacing w:val="-6"/>
        </w:rPr>
        <w:t> </w:t>
      </w:r>
      <w:r>
        <w:rPr/>
        <w:t>de</w:t>
      </w:r>
      <w:r>
        <w:rPr>
          <w:spacing w:val="-6"/>
        </w:rPr>
        <w:t> </w:t>
      </w:r>
      <w:r>
        <w:rPr/>
        <w:t>las</w:t>
      </w:r>
      <w:r>
        <w:rPr>
          <w:spacing w:val="-9"/>
        </w:rPr>
        <w:t> </w:t>
      </w:r>
      <w:r>
        <w:rPr/>
        <w:t>mismas,</w:t>
      </w:r>
      <w:r>
        <w:rPr>
          <w:spacing w:val="-6"/>
        </w:rPr>
        <w:t> </w:t>
      </w:r>
      <w:r>
        <w:rPr/>
        <w:t>ya</w:t>
      </w:r>
      <w:r>
        <w:rPr>
          <w:spacing w:val="-6"/>
        </w:rPr>
        <w:t> </w:t>
      </w:r>
      <w:r>
        <w:rPr/>
        <w:t>que solo puede hacer (al menos dentro de lo formal) lo que establece la norma. De este modo, toda práctica que se realice sobre la transparencia y no se encuentra la normativa correspondiente se considera informal o fuera de la</w:t>
      </w:r>
      <w:r>
        <w:rPr>
          <w:spacing w:val="-21"/>
        </w:rPr>
        <w:t> </w:t>
      </w:r>
      <w:r>
        <w:rPr/>
        <w:t>ley.</w:t>
      </w:r>
    </w:p>
    <w:p>
      <w:pPr>
        <w:pStyle w:val="BodyText"/>
      </w:pPr>
    </w:p>
    <w:p>
      <w:pPr>
        <w:pStyle w:val="BodyText"/>
        <w:spacing w:line="360" w:lineRule="auto" w:before="142"/>
        <w:ind w:left="128" w:right="117"/>
        <w:jc w:val="both"/>
      </w:pPr>
      <w:r>
        <w:rPr/>
        <w:t>Dentro de las leyes que se consideraron en la encuesta se encuentran la Ley de transparencia y acceso a la información pública del Estado de México y municipios, la Ley de responsabilidades de los servidores públicos del Estado y municipios y la Ley de protección de datos personales del Estado de México.</w:t>
      </w:r>
    </w:p>
    <w:p>
      <w:pPr>
        <w:pStyle w:val="BodyText"/>
      </w:pPr>
    </w:p>
    <w:p>
      <w:pPr>
        <w:pStyle w:val="Heading1"/>
        <w:numPr>
          <w:ilvl w:val="0"/>
          <w:numId w:val="45"/>
        </w:numPr>
        <w:tabs>
          <w:tab w:pos="556" w:val="left" w:leader="none"/>
        </w:tabs>
        <w:spacing w:line="240" w:lineRule="auto" w:before="142" w:after="0"/>
        <w:ind w:left="555" w:right="0" w:hanging="360"/>
        <w:jc w:val="both"/>
      </w:pPr>
      <w:r>
        <w:rPr/>
        <w:t>Conocimiento de la normativa por parte de los</w:t>
      </w:r>
      <w:r>
        <w:rPr>
          <w:spacing w:val="-17"/>
        </w:rPr>
        <w:t> </w:t>
      </w:r>
      <w:r>
        <w:rPr/>
        <w:t>encuestados</w:t>
      </w:r>
    </w:p>
    <w:p>
      <w:pPr>
        <w:pStyle w:val="BodyText"/>
        <w:rPr>
          <w:b/>
        </w:rPr>
      </w:pPr>
    </w:p>
    <w:p>
      <w:pPr>
        <w:pStyle w:val="BodyText"/>
        <w:rPr>
          <w:b/>
        </w:rPr>
      </w:pPr>
    </w:p>
    <w:p>
      <w:pPr>
        <w:pStyle w:val="BodyText"/>
        <w:spacing w:line="360" w:lineRule="auto"/>
        <w:ind w:left="128" w:right="116"/>
        <w:jc w:val="both"/>
      </w:pPr>
      <w:r>
        <w:rPr/>
        <w:t>Sobre la Ley de transparencia y acceso a la información pública del Estado de México y municipios cabe señalar que 37.2% de los encuestados señaló conocerla completamente, 57.3% lo suficiente, 10.3% lo necesario y 1.3% no la conoce. En cuanto a la Ley de responsabilidades de los servidores públicos del Estado y municipios el 33.3% de los encuestado señaló conocerla completamente, 55.1% lo suficiente, 9% lo necesario, 1.3% no contestó y el 1.3% nada. Respecto a la Ley de protección de datos personales del Estado de México el 38.5% señaló conocerla completamente, 51.3% lo suficiente, 9% lo necesario y el 1.3% nada.</w:t>
      </w:r>
    </w:p>
    <w:p>
      <w:pPr>
        <w:spacing w:after="0" w:line="360" w:lineRule="auto"/>
        <w:jc w:val="both"/>
        <w:sectPr>
          <w:pgSz w:w="12240" w:h="15840"/>
          <w:pgMar w:header="0" w:footer="1035" w:top="1360" w:bottom="1220" w:left="1480" w:right="1580"/>
        </w:sectPr>
      </w:pPr>
    </w:p>
    <w:p>
      <w:pPr>
        <w:pStyle w:val="Heading1"/>
        <w:numPr>
          <w:ilvl w:val="0"/>
          <w:numId w:val="45"/>
        </w:numPr>
        <w:tabs>
          <w:tab w:pos="536" w:val="left" w:leader="none"/>
        </w:tabs>
        <w:spacing w:line="240" w:lineRule="auto" w:before="54" w:after="0"/>
        <w:ind w:left="535" w:right="0" w:hanging="360"/>
        <w:jc w:val="both"/>
      </w:pPr>
      <w:r>
        <w:rPr/>
        <w:t>Cumplimiento de la normativa por parte de los</w:t>
      </w:r>
      <w:r>
        <w:rPr>
          <w:spacing w:val="-17"/>
        </w:rPr>
        <w:t> </w:t>
      </w:r>
      <w:r>
        <w:rPr/>
        <w:t>encuestados</w:t>
      </w:r>
    </w:p>
    <w:p>
      <w:pPr>
        <w:pStyle w:val="BodyText"/>
        <w:rPr>
          <w:b/>
        </w:rPr>
      </w:pPr>
    </w:p>
    <w:p>
      <w:pPr>
        <w:pStyle w:val="BodyText"/>
        <w:rPr>
          <w:b/>
        </w:rPr>
      </w:pPr>
    </w:p>
    <w:p>
      <w:pPr>
        <w:pStyle w:val="BodyText"/>
        <w:spacing w:line="360" w:lineRule="auto"/>
        <w:ind w:left="108" w:right="115"/>
        <w:jc w:val="both"/>
      </w:pPr>
      <w:r>
        <w:rPr/>
        <w:t>De manera complementaria a su conocimiento de la normativa el 43.6% de los encuestados considera que se cumple completamente la ley de transparencia en</w:t>
      </w:r>
      <w:r>
        <w:rPr>
          <w:spacing w:val="-32"/>
        </w:rPr>
        <w:t> </w:t>
      </w:r>
      <w:r>
        <w:rPr/>
        <w:t>su municipio, el 41% lo suficiente, 12.8% lo necesario, 2.6% no contestaron. Respecto a</w:t>
      </w:r>
      <w:r>
        <w:rPr>
          <w:spacing w:val="-13"/>
        </w:rPr>
        <w:t> </w:t>
      </w:r>
      <w:r>
        <w:rPr/>
        <w:t>aplicación</w:t>
      </w:r>
      <w:r>
        <w:rPr>
          <w:spacing w:val="-13"/>
        </w:rPr>
        <w:t> </w:t>
      </w:r>
      <w:r>
        <w:rPr/>
        <w:t>de</w:t>
      </w:r>
      <w:r>
        <w:rPr>
          <w:spacing w:val="-13"/>
        </w:rPr>
        <w:t> </w:t>
      </w:r>
      <w:r>
        <w:rPr/>
        <w:t>la</w:t>
      </w:r>
      <w:r>
        <w:rPr>
          <w:spacing w:val="-13"/>
        </w:rPr>
        <w:t> </w:t>
      </w:r>
      <w:r>
        <w:rPr/>
        <w:t>ley</w:t>
      </w:r>
      <w:r>
        <w:rPr>
          <w:spacing w:val="-16"/>
        </w:rPr>
        <w:t> </w:t>
      </w:r>
      <w:r>
        <w:rPr/>
        <w:t>de</w:t>
      </w:r>
      <w:r>
        <w:rPr>
          <w:spacing w:val="-13"/>
        </w:rPr>
        <w:t> </w:t>
      </w:r>
      <w:r>
        <w:rPr/>
        <w:t>protección</w:t>
      </w:r>
      <w:r>
        <w:rPr>
          <w:spacing w:val="-15"/>
        </w:rPr>
        <w:t> </w:t>
      </w:r>
      <w:r>
        <w:rPr/>
        <w:t>de</w:t>
      </w:r>
      <w:r>
        <w:rPr>
          <w:spacing w:val="-16"/>
        </w:rPr>
        <w:t> </w:t>
      </w:r>
      <w:r>
        <w:rPr/>
        <w:t>datos</w:t>
      </w:r>
      <w:r>
        <w:rPr>
          <w:spacing w:val="-14"/>
        </w:rPr>
        <w:t> </w:t>
      </w:r>
      <w:r>
        <w:rPr/>
        <w:t>personales</w:t>
      </w:r>
      <w:r>
        <w:rPr>
          <w:spacing w:val="-16"/>
        </w:rPr>
        <w:t> </w:t>
      </w:r>
      <w:r>
        <w:rPr/>
        <w:t>el</w:t>
      </w:r>
      <w:r>
        <w:rPr>
          <w:spacing w:val="-14"/>
        </w:rPr>
        <w:t> </w:t>
      </w:r>
      <w:r>
        <w:rPr/>
        <w:t>51.3%</w:t>
      </w:r>
      <w:r>
        <w:rPr>
          <w:spacing w:val="-16"/>
        </w:rPr>
        <w:t> </w:t>
      </w:r>
      <w:r>
        <w:rPr/>
        <w:t>de</w:t>
      </w:r>
      <w:r>
        <w:rPr>
          <w:spacing w:val="-15"/>
        </w:rPr>
        <w:t> </w:t>
      </w:r>
      <w:r>
        <w:rPr/>
        <w:t>los</w:t>
      </w:r>
      <w:r>
        <w:rPr>
          <w:spacing w:val="-13"/>
        </w:rPr>
        <w:t> </w:t>
      </w:r>
      <w:r>
        <w:rPr/>
        <w:t>encuestados mencionó</w:t>
      </w:r>
      <w:r>
        <w:rPr>
          <w:spacing w:val="-9"/>
        </w:rPr>
        <w:t> </w:t>
      </w:r>
      <w:r>
        <w:rPr/>
        <w:t>que</w:t>
      </w:r>
      <w:r>
        <w:rPr>
          <w:spacing w:val="-7"/>
        </w:rPr>
        <w:t> </w:t>
      </w:r>
      <w:r>
        <w:rPr/>
        <w:t>se</w:t>
      </w:r>
      <w:r>
        <w:rPr>
          <w:spacing w:val="-7"/>
        </w:rPr>
        <w:t> </w:t>
      </w:r>
      <w:r>
        <w:rPr/>
        <w:t>aplica</w:t>
      </w:r>
      <w:r>
        <w:rPr>
          <w:spacing w:val="-7"/>
        </w:rPr>
        <w:t> </w:t>
      </w:r>
      <w:r>
        <w:rPr/>
        <w:t>completamente,</w:t>
      </w:r>
      <w:r>
        <w:rPr>
          <w:spacing w:val="-10"/>
        </w:rPr>
        <w:t> </w:t>
      </w:r>
      <w:r>
        <w:rPr/>
        <w:t>37.2%</w:t>
      </w:r>
      <w:r>
        <w:rPr>
          <w:spacing w:val="-8"/>
        </w:rPr>
        <w:t> </w:t>
      </w:r>
      <w:r>
        <w:rPr/>
        <w:t>lo</w:t>
      </w:r>
      <w:r>
        <w:rPr>
          <w:spacing w:val="-7"/>
        </w:rPr>
        <w:t> </w:t>
      </w:r>
      <w:r>
        <w:rPr/>
        <w:t>suficiente,</w:t>
      </w:r>
      <w:r>
        <w:rPr>
          <w:spacing w:val="-7"/>
        </w:rPr>
        <w:t> </w:t>
      </w:r>
      <w:r>
        <w:rPr/>
        <w:t>10.3%</w:t>
      </w:r>
      <w:r>
        <w:rPr>
          <w:spacing w:val="-12"/>
        </w:rPr>
        <w:t> </w:t>
      </w:r>
      <w:r>
        <w:rPr/>
        <w:t>lo</w:t>
      </w:r>
      <w:r>
        <w:rPr>
          <w:spacing w:val="-7"/>
        </w:rPr>
        <w:t> </w:t>
      </w:r>
      <w:r>
        <w:rPr/>
        <w:t>necesario</w:t>
      </w:r>
      <w:r>
        <w:rPr>
          <w:spacing w:val="-7"/>
        </w:rPr>
        <w:t> </w:t>
      </w:r>
      <w:r>
        <w:rPr/>
        <w:t>y</w:t>
      </w:r>
      <w:r>
        <w:rPr>
          <w:spacing w:val="-10"/>
        </w:rPr>
        <w:t> </w:t>
      </w:r>
      <w:r>
        <w:rPr/>
        <w:t>el 1.3% nada. Respecto a Ley de responsabilidades de los servidores públicos cabe destacar que el 53.8% señaló que se aplica a totalidad, 26.9% lo suficiente, 14.1% lo necesario y 5.1%</w:t>
      </w:r>
      <w:r>
        <w:rPr>
          <w:spacing w:val="-10"/>
        </w:rPr>
        <w:t> </w:t>
      </w:r>
      <w:r>
        <w:rPr/>
        <w:t>nada.</w:t>
      </w:r>
    </w:p>
    <w:p>
      <w:pPr>
        <w:pStyle w:val="BodyText"/>
      </w:pPr>
    </w:p>
    <w:p>
      <w:pPr>
        <w:pStyle w:val="BodyText"/>
        <w:spacing w:line="360" w:lineRule="auto" w:before="142"/>
        <w:ind w:left="108" w:right="116"/>
        <w:jc w:val="both"/>
      </w:pPr>
      <w:r>
        <w:rPr/>
        <w:t>Es</w:t>
      </w:r>
      <w:r>
        <w:rPr>
          <w:spacing w:val="-5"/>
        </w:rPr>
        <w:t> </w:t>
      </w:r>
      <w:r>
        <w:rPr/>
        <w:t>de</w:t>
      </w:r>
      <w:r>
        <w:rPr>
          <w:spacing w:val="-7"/>
        </w:rPr>
        <w:t> </w:t>
      </w:r>
      <w:r>
        <w:rPr/>
        <w:t>destacar</w:t>
      </w:r>
      <w:r>
        <w:rPr>
          <w:spacing w:val="-6"/>
        </w:rPr>
        <w:t> </w:t>
      </w:r>
      <w:r>
        <w:rPr/>
        <w:t>que</w:t>
      </w:r>
      <w:r>
        <w:rPr>
          <w:spacing w:val="-7"/>
        </w:rPr>
        <w:t> </w:t>
      </w:r>
      <w:r>
        <w:rPr/>
        <w:t>según</w:t>
      </w:r>
      <w:r>
        <w:rPr>
          <w:spacing w:val="-5"/>
        </w:rPr>
        <w:t> </w:t>
      </w:r>
      <w:r>
        <w:rPr/>
        <w:t>los</w:t>
      </w:r>
      <w:r>
        <w:rPr>
          <w:spacing w:val="-5"/>
        </w:rPr>
        <w:t> </w:t>
      </w:r>
      <w:r>
        <w:rPr/>
        <w:t>encuestados</w:t>
      </w:r>
      <w:r>
        <w:rPr>
          <w:spacing w:val="-5"/>
        </w:rPr>
        <w:t> </w:t>
      </w:r>
      <w:r>
        <w:rPr/>
        <w:t>se</w:t>
      </w:r>
      <w:r>
        <w:rPr>
          <w:spacing w:val="-5"/>
        </w:rPr>
        <w:t> </w:t>
      </w:r>
      <w:r>
        <w:rPr/>
        <w:t>obliga</w:t>
      </w:r>
      <w:r>
        <w:rPr>
          <w:spacing w:val="-5"/>
        </w:rPr>
        <w:t> </w:t>
      </w:r>
      <w:r>
        <w:rPr/>
        <w:t>a</w:t>
      </w:r>
      <w:r>
        <w:rPr>
          <w:spacing w:val="-7"/>
        </w:rPr>
        <w:t> </w:t>
      </w:r>
      <w:r>
        <w:rPr/>
        <w:t>los</w:t>
      </w:r>
      <w:r>
        <w:rPr>
          <w:spacing w:val="-5"/>
        </w:rPr>
        <w:t> </w:t>
      </w:r>
      <w:r>
        <w:rPr/>
        <w:t>servidores</w:t>
      </w:r>
      <w:r>
        <w:rPr>
          <w:spacing w:val="-5"/>
        </w:rPr>
        <w:t> </w:t>
      </w:r>
      <w:r>
        <w:rPr/>
        <w:t>públicos</w:t>
      </w:r>
      <w:r>
        <w:rPr>
          <w:spacing w:val="-5"/>
        </w:rPr>
        <w:t> </w:t>
      </w:r>
      <w:r>
        <w:rPr/>
        <w:t>de</w:t>
      </w:r>
      <w:r>
        <w:rPr>
          <w:spacing w:val="-5"/>
        </w:rPr>
        <w:t> </w:t>
      </w:r>
      <w:r>
        <w:rPr/>
        <w:t>su municipio a cumplir completamente la ley de transparencia en un 52.6%, 30.8% lo suficiente, 10.3% lo necesario, 5.1% nada y el 1.3% no contestó. Asimismo, que se procura dar cumplimiento a lo establecido en la ley de transparencia el 80.8% siempre, 17.9% casi siempre y el 1.3% no</w:t>
      </w:r>
      <w:r>
        <w:rPr>
          <w:spacing w:val="-12"/>
        </w:rPr>
        <w:t> </w:t>
      </w:r>
      <w:r>
        <w:rPr/>
        <w:t>contestó.</w:t>
      </w:r>
    </w:p>
    <w:p>
      <w:pPr>
        <w:pStyle w:val="BodyText"/>
      </w:pPr>
    </w:p>
    <w:p>
      <w:pPr>
        <w:pStyle w:val="BodyText"/>
        <w:spacing w:line="360" w:lineRule="auto" w:before="142"/>
        <w:ind w:left="108" w:right="117"/>
        <w:jc w:val="both"/>
      </w:pPr>
      <w:r>
        <w:rPr/>
        <w:t>De igual manera se puede contrastar esta información ya que de acuerdo a la percepción</w:t>
      </w:r>
      <w:r>
        <w:rPr>
          <w:spacing w:val="-13"/>
        </w:rPr>
        <w:t> </w:t>
      </w:r>
      <w:r>
        <w:rPr/>
        <w:t>de</w:t>
      </w:r>
      <w:r>
        <w:rPr>
          <w:spacing w:val="-13"/>
        </w:rPr>
        <w:t> </w:t>
      </w:r>
      <w:r>
        <w:rPr/>
        <w:t>los</w:t>
      </w:r>
      <w:r>
        <w:rPr>
          <w:spacing w:val="-13"/>
        </w:rPr>
        <w:t> </w:t>
      </w:r>
      <w:r>
        <w:rPr/>
        <w:t>encuestados,</w:t>
      </w:r>
      <w:r>
        <w:rPr>
          <w:spacing w:val="-13"/>
        </w:rPr>
        <w:t> </w:t>
      </w:r>
      <w:r>
        <w:rPr/>
        <w:t>consideran</w:t>
      </w:r>
      <w:r>
        <w:rPr>
          <w:spacing w:val="-11"/>
        </w:rPr>
        <w:t> </w:t>
      </w:r>
      <w:r>
        <w:rPr/>
        <w:t>que</w:t>
      </w:r>
      <w:r>
        <w:rPr>
          <w:spacing w:val="-13"/>
        </w:rPr>
        <w:t> </w:t>
      </w:r>
      <w:r>
        <w:rPr/>
        <w:t>un</w:t>
      </w:r>
      <w:r>
        <w:rPr>
          <w:spacing w:val="-13"/>
        </w:rPr>
        <w:t> </w:t>
      </w:r>
      <w:r>
        <w:rPr/>
        <w:t>35.9%</w:t>
      </w:r>
      <w:r>
        <w:rPr>
          <w:spacing w:val="-13"/>
        </w:rPr>
        <w:t> </w:t>
      </w:r>
      <w:r>
        <w:rPr/>
        <w:t>promueve</w:t>
      </w:r>
      <w:r>
        <w:rPr>
          <w:spacing w:val="-8"/>
        </w:rPr>
        <w:t> </w:t>
      </w:r>
      <w:r>
        <w:rPr/>
        <w:t>completamente la transparencia como una práctica cotidiana, 39.7% lo suficiente, 12.8% lo necesario, 3.8% nada y el 7.7% no</w:t>
      </w:r>
      <w:r>
        <w:rPr>
          <w:spacing w:val="-17"/>
        </w:rPr>
        <w:t> </w:t>
      </w:r>
      <w:r>
        <w:rPr/>
        <w:t>contestó.</w:t>
      </w:r>
    </w:p>
    <w:p>
      <w:pPr>
        <w:pStyle w:val="BodyText"/>
      </w:pPr>
    </w:p>
    <w:p>
      <w:pPr>
        <w:pStyle w:val="BodyText"/>
        <w:spacing w:line="360" w:lineRule="auto" w:before="142"/>
        <w:ind w:left="108" w:right="116"/>
        <w:jc w:val="both"/>
      </w:pPr>
      <w:r>
        <w:rPr/>
        <w:t>En este escenario de conocimiento y de la ley, es preciso destacar cómo el trabajo realizado el INFOEM ha generado impactos relevantes toda vez que la mitad de los encuestados conoce y cumple las leyes. Sin embargo, aún es insuficiente ya que dentro de sus funciones básicas está la capacitación sobre la normativa de la transparencia</w:t>
      </w:r>
      <w:r>
        <w:rPr>
          <w:spacing w:val="-17"/>
        </w:rPr>
        <w:t> </w:t>
      </w:r>
      <w:r>
        <w:rPr/>
        <w:t>y</w:t>
      </w:r>
      <w:r>
        <w:rPr>
          <w:spacing w:val="-17"/>
        </w:rPr>
        <w:t> </w:t>
      </w:r>
      <w:r>
        <w:rPr/>
        <w:t>los</w:t>
      </w:r>
      <w:r>
        <w:rPr>
          <w:spacing w:val="-15"/>
        </w:rPr>
        <w:t> </w:t>
      </w:r>
      <w:r>
        <w:rPr/>
        <w:t>portales</w:t>
      </w:r>
      <w:r>
        <w:rPr>
          <w:spacing w:val="-15"/>
        </w:rPr>
        <w:t> </w:t>
      </w:r>
      <w:r>
        <w:rPr/>
        <w:t>web.</w:t>
      </w:r>
      <w:r>
        <w:rPr>
          <w:spacing w:val="-15"/>
        </w:rPr>
        <w:t> </w:t>
      </w:r>
      <w:r>
        <w:rPr/>
        <w:t>Dichas</w:t>
      </w:r>
      <w:r>
        <w:rPr>
          <w:spacing w:val="-17"/>
        </w:rPr>
        <w:t> </w:t>
      </w:r>
      <w:r>
        <w:rPr/>
        <w:t>actividades</w:t>
      </w:r>
      <w:r>
        <w:rPr>
          <w:spacing w:val="-16"/>
        </w:rPr>
        <w:t> </w:t>
      </w:r>
      <w:r>
        <w:rPr/>
        <w:t>no</w:t>
      </w:r>
      <w:r>
        <w:rPr>
          <w:spacing w:val="-15"/>
        </w:rPr>
        <w:t> </w:t>
      </w:r>
      <w:r>
        <w:rPr/>
        <w:t>se</w:t>
      </w:r>
      <w:r>
        <w:rPr>
          <w:spacing w:val="-15"/>
        </w:rPr>
        <w:t> </w:t>
      </w:r>
      <w:r>
        <w:rPr/>
        <w:t>ven</w:t>
      </w:r>
      <w:r>
        <w:rPr>
          <w:spacing w:val="-17"/>
        </w:rPr>
        <w:t> </w:t>
      </w:r>
      <w:r>
        <w:rPr/>
        <w:t>reflejadas</w:t>
      </w:r>
      <w:r>
        <w:rPr>
          <w:spacing w:val="-17"/>
        </w:rPr>
        <w:t> </w:t>
      </w:r>
      <w:r>
        <w:rPr/>
        <w:t>a</w:t>
      </w:r>
      <w:r>
        <w:rPr>
          <w:spacing w:val="-15"/>
        </w:rPr>
        <w:t> </w:t>
      </w:r>
      <w:r>
        <w:rPr/>
        <w:t>cabalidad según los resultados de la encuesta, ya que más de la mitad de los encuestados señaló no conocer la</w:t>
      </w:r>
      <w:r>
        <w:rPr>
          <w:spacing w:val="-7"/>
        </w:rPr>
        <w:t> </w:t>
      </w:r>
      <w:r>
        <w:rPr/>
        <w:t>norma.</w:t>
      </w:r>
    </w:p>
    <w:p>
      <w:pPr>
        <w:spacing w:after="0" w:line="360" w:lineRule="auto"/>
        <w:jc w:val="both"/>
        <w:sectPr>
          <w:pgSz w:w="12240" w:h="15840"/>
          <w:pgMar w:header="0" w:footer="1035" w:top="1360" w:bottom="1220" w:left="1500" w:right="1580"/>
        </w:sectPr>
      </w:pPr>
    </w:p>
    <w:p>
      <w:pPr>
        <w:pStyle w:val="BodyText"/>
        <w:spacing w:line="360" w:lineRule="auto" w:before="54"/>
        <w:ind w:left="108" w:right="117"/>
        <w:jc w:val="both"/>
      </w:pPr>
      <w:r>
        <w:rPr/>
        <w:t>Dado que se muestra falta de cumplimiento de la ley, así como de sanciones a los servidores que la incumplen. Se genera impunidad y por tanto la costumbre de no cumplir con lo que indica la ley, ya que el costo beneficio de no hacerlo es menor que si lo hicieran, situación que refleja predominio de la institución informal sobre la formal.</w:t>
      </w:r>
    </w:p>
    <w:p>
      <w:pPr>
        <w:pStyle w:val="BodyText"/>
      </w:pPr>
    </w:p>
    <w:p>
      <w:pPr>
        <w:pStyle w:val="BodyText"/>
        <w:spacing w:line="360" w:lineRule="auto" w:before="142"/>
        <w:ind w:left="108" w:right="117"/>
        <w:jc w:val="both"/>
      </w:pPr>
      <w:r>
        <w:rPr/>
        <w:t>Esta situación de incumplimiento de la ley también refleja como la transparencia es más bien parte de un escenario discursivo de los gobernantes que una práctica de la administración pública municipal. De estos resultados se pudiera inferir que en primer lugar no siempre se pretende cumplir con lo que marca la ley. En segundo lugar,</w:t>
      </w:r>
      <w:r>
        <w:rPr>
          <w:spacing w:val="-9"/>
        </w:rPr>
        <w:t> </w:t>
      </w:r>
      <w:r>
        <w:rPr/>
        <w:t>que</w:t>
      </w:r>
      <w:r>
        <w:rPr>
          <w:spacing w:val="-8"/>
        </w:rPr>
        <w:t> </w:t>
      </w:r>
      <w:r>
        <w:rPr/>
        <w:t>de</w:t>
      </w:r>
      <w:r>
        <w:rPr>
          <w:spacing w:val="-11"/>
        </w:rPr>
        <w:t> </w:t>
      </w:r>
      <w:r>
        <w:rPr/>
        <w:t>ese</w:t>
      </w:r>
      <w:r>
        <w:rPr>
          <w:spacing w:val="-11"/>
        </w:rPr>
        <w:t> </w:t>
      </w:r>
      <w:r>
        <w:rPr/>
        <w:t>80%</w:t>
      </w:r>
      <w:r>
        <w:rPr>
          <w:spacing w:val="-11"/>
        </w:rPr>
        <w:t> </w:t>
      </w:r>
      <w:r>
        <w:rPr/>
        <w:t>que</w:t>
      </w:r>
      <w:r>
        <w:rPr>
          <w:spacing w:val="-8"/>
        </w:rPr>
        <w:t> </w:t>
      </w:r>
      <w:r>
        <w:rPr/>
        <w:t>se</w:t>
      </w:r>
      <w:r>
        <w:rPr>
          <w:spacing w:val="-8"/>
        </w:rPr>
        <w:t> </w:t>
      </w:r>
      <w:r>
        <w:rPr/>
        <w:t>procura</w:t>
      </w:r>
      <w:r>
        <w:rPr>
          <w:spacing w:val="-9"/>
        </w:rPr>
        <w:t> </w:t>
      </w:r>
      <w:r>
        <w:rPr/>
        <w:t>cumplir,</w:t>
      </w:r>
      <w:r>
        <w:rPr>
          <w:spacing w:val="-9"/>
        </w:rPr>
        <w:t> </w:t>
      </w:r>
      <w:r>
        <w:rPr/>
        <w:t>solamente</w:t>
      </w:r>
      <w:r>
        <w:rPr>
          <w:spacing w:val="-10"/>
        </w:rPr>
        <w:t> </w:t>
      </w:r>
      <w:r>
        <w:rPr/>
        <w:t>el</w:t>
      </w:r>
      <w:r>
        <w:rPr>
          <w:spacing w:val="-10"/>
        </w:rPr>
        <w:t> </w:t>
      </w:r>
      <w:r>
        <w:rPr/>
        <w:t>52.6%</w:t>
      </w:r>
      <w:r>
        <w:rPr>
          <w:spacing w:val="-11"/>
        </w:rPr>
        <w:t> </w:t>
      </w:r>
      <w:r>
        <w:rPr/>
        <w:t>busca</w:t>
      </w:r>
      <w:r>
        <w:rPr>
          <w:spacing w:val="-8"/>
        </w:rPr>
        <w:t> </w:t>
      </w:r>
      <w:r>
        <w:rPr/>
        <w:t>a</w:t>
      </w:r>
      <w:r>
        <w:rPr>
          <w:spacing w:val="-11"/>
        </w:rPr>
        <w:t> </w:t>
      </w:r>
      <w:r>
        <w:rPr/>
        <w:t>totalidad su cumplimiento. Tiene lugar aquí la afirmación antes mencionada de </w:t>
      </w:r>
      <w:r>
        <w:rPr>
          <w:spacing w:val="2"/>
        </w:rPr>
        <w:t>que </w:t>
      </w:r>
      <w:r>
        <w:rPr/>
        <w:t>la norma es una condición necesaria más no suficiente para garantizar la transparencia gubernamental.</w:t>
      </w:r>
    </w:p>
    <w:p>
      <w:pPr>
        <w:pStyle w:val="BodyText"/>
      </w:pPr>
    </w:p>
    <w:p>
      <w:pPr>
        <w:pStyle w:val="BodyText"/>
        <w:spacing w:line="360" w:lineRule="auto" w:before="142"/>
        <w:ind w:left="108" w:right="118"/>
        <w:jc w:val="both"/>
      </w:pPr>
      <w:r>
        <w:rPr/>
        <w:t>De</w:t>
      </w:r>
      <w:r>
        <w:rPr>
          <w:spacing w:val="-13"/>
        </w:rPr>
        <w:t> </w:t>
      </w:r>
      <w:r>
        <w:rPr/>
        <w:t>igual</w:t>
      </w:r>
      <w:r>
        <w:rPr>
          <w:spacing w:val="-14"/>
        </w:rPr>
        <w:t> </w:t>
      </w:r>
      <w:r>
        <w:rPr/>
        <w:t>manera,</w:t>
      </w:r>
      <w:r>
        <w:rPr>
          <w:spacing w:val="-13"/>
        </w:rPr>
        <w:t> </w:t>
      </w:r>
      <w:r>
        <w:rPr/>
        <w:t>que</w:t>
      </w:r>
      <w:r>
        <w:rPr>
          <w:spacing w:val="-13"/>
        </w:rPr>
        <w:t> </w:t>
      </w:r>
      <w:r>
        <w:rPr/>
        <w:t>el</w:t>
      </w:r>
      <w:r>
        <w:rPr>
          <w:spacing w:val="-14"/>
        </w:rPr>
        <w:t> </w:t>
      </w:r>
      <w:r>
        <w:rPr/>
        <w:t>52.6%</w:t>
      </w:r>
      <w:r>
        <w:rPr>
          <w:spacing w:val="-14"/>
        </w:rPr>
        <w:t> </w:t>
      </w:r>
      <w:r>
        <w:rPr/>
        <w:t>señaló</w:t>
      </w:r>
      <w:r>
        <w:rPr>
          <w:spacing w:val="-13"/>
        </w:rPr>
        <w:t> </w:t>
      </w:r>
      <w:r>
        <w:rPr/>
        <w:t>que</w:t>
      </w:r>
      <w:r>
        <w:rPr>
          <w:spacing w:val="-13"/>
        </w:rPr>
        <w:t> </w:t>
      </w:r>
      <w:r>
        <w:rPr/>
        <w:t>siempre</w:t>
      </w:r>
      <w:r>
        <w:rPr>
          <w:spacing w:val="-14"/>
        </w:rPr>
        <w:t> </w:t>
      </w:r>
      <w:r>
        <w:rPr/>
        <w:t>se</w:t>
      </w:r>
      <w:r>
        <w:rPr>
          <w:spacing w:val="-13"/>
        </w:rPr>
        <w:t> </w:t>
      </w:r>
      <w:r>
        <w:rPr/>
        <w:t>sanciona</w:t>
      </w:r>
      <w:r>
        <w:rPr>
          <w:spacing w:val="-13"/>
        </w:rPr>
        <w:t> </w:t>
      </w:r>
      <w:r>
        <w:rPr/>
        <w:t>a</w:t>
      </w:r>
      <w:r>
        <w:rPr>
          <w:spacing w:val="-13"/>
        </w:rPr>
        <w:t> </w:t>
      </w:r>
      <w:r>
        <w:rPr/>
        <w:t>quienes</w:t>
      </w:r>
      <w:r>
        <w:rPr>
          <w:spacing w:val="-14"/>
        </w:rPr>
        <w:t> </w:t>
      </w:r>
      <w:r>
        <w:rPr/>
        <w:t>incumplen la ley de transparencia, 21.8% casi siempre, 10.3% casi nunca, 11.5% nunca y el 3.8% no</w:t>
      </w:r>
      <w:r>
        <w:rPr>
          <w:spacing w:val="-3"/>
        </w:rPr>
        <w:t> </w:t>
      </w:r>
      <w:r>
        <w:rPr/>
        <w:t>contestó.</w:t>
      </w:r>
    </w:p>
    <w:p>
      <w:pPr>
        <w:pStyle w:val="BodyText"/>
      </w:pPr>
    </w:p>
    <w:p>
      <w:pPr>
        <w:pStyle w:val="BodyText"/>
        <w:spacing w:line="360" w:lineRule="auto" w:before="142"/>
        <w:ind w:left="108" w:right="116"/>
        <w:jc w:val="both"/>
      </w:pPr>
      <w:r>
        <w:rPr/>
        <w:t>Es de reconocer que entre la ley de transparencia y la ley de protección de datos personales existen algunas contradicciones y que la percepción de 3.8% de los encuestados</w:t>
      </w:r>
      <w:r>
        <w:rPr>
          <w:spacing w:val="-14"/>
        </w:rPr>
        <w:t> </w:t>
      </w:r>
      <w:r>
        <w:rPr/>
        <w:t>señaló</w:t>
      </w:r>
      <w:r>
        <w:rPr>
          <w:spacing w:val="-13"/>
        </w:rPr>
        <w:t> </w:t>
      </w:r>
      <w:r>
        <w:rPr/>
        <w:t>que</w:t>
      </w:r>
      <w:r>
        <w:rPr>
          <w:spacing w:val="-13"/>
        </w:rPr>
        <w:t> </w:t>
      </w:r>
      <w:r>
        <w:rPr/>
        <w:t>siempre</w:t>
      </w:r>
      <w:r>
        <w:rPr>
          <w:spacing w:val="-13"/>
        </w:rPr>
        <w:t> </w:t>
      </w:r>
      <w:r>
        <w:rPr/>
        <w:t>son</w:t>
      </w:r>
      <w:r>
        <w:rPr>
          <w:spacing w:val="-13"/>
        </w:rPr>
        <w:t> </w:t>
      </w:r>
      <w:r>
        <w:rPr/>
        <w:t>contradictorias,</w:t>
      </w:r>
      <w:r>
        <w:rPr>
          <w:spacing w:val="-13"/>
        </w:rPr>
        <w:t> </w:t>
      </w:r>
      <w:r>
        <w:rPr/>
        <w:t>el</w:t>
      </w:r>
      <w:r>
        <w:rPr>
          <w:spacing w:val="-14"/>
        </w:rPr>
        <w:t> </w:t>
      </w:r>
      <w:r>
        <w:rPr/>
        <w:t>9%</w:t>
      </w:r>
      <w:r>
        <w:rPr>
          <w:spacing w:val="-14"/>
        </w:rPr>
        <w:t> </w:t>
      </w:r>
      <w:r>
        <w:rPr/>
        <w:t>casi</w:t>
      </w:r>
      <w:r>
        <w:rPr>
          <w:spacing w:val="-14"/>
        </w:rPr>
        <w:t> </w:t>
      </w:r>
      <w:r>
        <w:rPr/>
        <w:t>siempre,</w:t>
      </w:r>
      <w:r>
        <w:rPr>
          <w:spacing w:val="-16"/>
        </w:rPr>
        <w:t> </w:t>
      </w:r>
      <w:r>
        <w:rPr/>
        <w:t>32.1%</w:t>
      </w:r>
      <w:r>
        <w:rPr>
          <w:spacing w:val="-14"/>
        </w:rPr>
        <w:t> </w:t>
      </w:r>
      <w:r>
        <w:rPr/>
        <w:t>casi nunca, 53.8% nunca y el 1.3% no</w:t>
      </w:r>
      <w:r>
        <w:rPr>
          <w:spacing w:val="-13"/>
        </w:rPr>
        <w:t> </w:t>
      </w:r>
      <w:r>
        <w:rPr/>
        <w:t>contestó.</w:t>
      </w:r>
    </w:p>
    <w:p>
      <w:pPr>
        <w:pStyle w:val="BodyText"/>
      </w:pPr>
    </w:p>
    <w:p>
      <w:pPr>
        <w:pStyle w:val="BodyText"/>
        <w:spacing w:line="360" w:lineRule="auto" w:before="142"/>
        <w:ind w:left="108" w:right="118"/>
        <w:jc w:val="both"/>
      </w:pPr>
      <w:r>
        <w:rPr/>
        <w:t>Esta situación también es confirmada por la entrevistada, quien afirma que existen contradicciones entre dichas leyes:</w:t>
      </w:r>
    </w:p>
    <w:p>
      <w:pPr>
        <w:pStyle w:val="BodyText"/>
      </w:pPr>
    </w:p>
    <w:p>
      <w:pPr>
        <w:spacing w:line="276" w:lineRule="auto" w:before="143"/>
        <w:ind w:left="1101" w:right="1156" w:firstLine="0"/>
        <w:jc w:val="both"/>
        <w:rPr>
          <w:sz w:val="18"/>
        </w:rPr>
      </w:pPr>
      <w:r>
        <w:rPr>
          <w:sz w:val="18"/>
        </w:rPr>
        <w:t>“No,</w:t>
      </w:r>
      <w:r>
        <w:rPr>
          <w:spacing w:val="-10"/>
          <w:sz w:val="18"/>
        </w:rPr>
        <w:t> </w:t>
      </w:r>
      <w:r>
        <w:rPr>
          <w:sz w:val="18"/>
        </w:rPr>
        <w:t>la</w:t>
      </w:r>
      <w:r>
        <w:rPr>
          <w:spacing w:val="-10"/>
          <w:sz w:val="18"/>
        </w:rPr>
        <w:t> </w:t>
      </w:r>
      <w:r>
        <w:rPr>
          <w:sz w:val="18"/>
        </w:rPr>
        <w:t>verdad</w:t>
      </w:r>
      <w:r>
        <w:rPr>
          <w:spacing w:val="-12"/>
          <w:sz w:val="18"/>
        </w:rPr>
        <w:t> </w:t>
      </w:r>
      <w:r>
        <w:rPr>
          <w:sz w:val="18"/>
        </w:rPr>
        <w:t>es</w:t>
      </w:r>
      <w:r>
        <w:rPr>
          <w:spacing w:val="-12"/>
          <w:sz w:val="18"/>
        </w:rPr>
        <w:t> </w:t>
      </w:r>
      <w:r>
        <w:rPr>
          <w:sz w:val="18"/>
        </w:rPr>
        <w:t>que,</w:t>
      </w:r>
      <w:r>
        <w:rPr>
          <w:spacing w:val="-12"/>
          <w:sz w:val="18"/>
        </w:rPr>
        <w:t> </w:t>
      </w:r>
      <w:r>
        <w:rPr>
          <w:sz w:val="18"/>
        </w:rPr>
        <w:t>si</w:t>
      </w:r>
      <w:r>
        <w:rPr>
          <w:spacing w:val="-12"/>
          <w:sz w:val="18"/>
        </w:rPr>
        <w:t> </w:t>
      </w:r>
      <w:r>
        <w:rPr>
          <w:sz w:val="18"/>
        </w:rPr>
        <w:t>es</w:t>
      </w:r>
      <w:r>
        <w:rPr>
          <w:spacing w:val="-12"/>
          <w:sz w:val="18"/>
        </w:rPr>
        <w:t> </w:t>
      </w:r>
      <w:r>
        <w:rPr>
          <w:sz w:val="18"/>
        </w:rPr>
        <w:t>algo</w:t>
      </w:r>
      <w:r>
        <w:rPr>
          <w:spacing w:val="-10"/>
          <w:sz w:val="18"/>
        </w:rPr>
        <w:t> </w:t>
      </w:r>
      <w:r>
        <w:rPr>
          <w:sz w:val="18"/>
        </w:rPr>
        <w:t>contradictorio</w:t>
      </w:r>
      <w:r>
        <w:rPr>
          <w:spacing w:val="-12"/>
          <w:sz w:val="18"/>
        </w:rPr>
        <w:t> </w:t>
      </w:r>
      <w:r>
        <w:rPr>
          <w:sz w:val="18"/>
        </w:rPr>
        <w:t>porque</w:t>
      </w:r>
      <w:r>
        <w:rPr>
          <w:spacing w:val="-12"/>
          <w:sz w:val="18"/>
        </w:rPr>
        <w:t> </w:t>
      </w:r>
      <w:r>
        <w:rPr>
          <w:sz w:val="18"/>
        </w:rPr>
        <w:t>por</w:t>
      </w:r>
      <w:r>
        <w:rPr>
          <w:spacing w:val="-13"/>
          <w:sz w:val="18"/>
        </w:rPr>
        <w:t> </w:t>
      </w:r>
      <w:r>
        <w:rPr>
          <w:sz w:val="18"/>
        </w:rPr>
        <w:t>una</w:t>
      </w:r>
      <w:r>
        <w:rPr>
          <w:spacing w:val="-10"/>
          <w:sz w:val="18"/>
        </w:rPr>
        <w:t> </w:t>
      </w:r>
      <w:r>
        <w:rPr>
          <w:sz w:val="18"/>
        </w:rPr>
        <w:t>parte</w:t>
      </w:r>
      <w:r>
        <w:rPr>
          <w:spacing w:val="-12"/>
          <w:sz w:val="18"/>
        </w:rPr>
        <w:t> </w:t>
      </w:r>
      <w:r>
        <w:rPr>
          <w:sz w:val="18"/>
        </w:rPr>
        <w:t>damos</w:t>
      </w:r>
      <w:r>
        <w:rPr>
          <w:spacing w:val="-6"/>
          <w:sz w:val="18"/>
        </w:rPr>
        <w:t> </w:t>
      </w:r>
      <w:r>
        <w:rPr>
          <w:sz w:val="18"/>
        </w:rPr>
        <w:t>información y por otra parte se supone que hay información que debemos de proteger. Si guardamos</w:t>
      </w:r>
      <w:r>
        <w:rPr>
          <w:spacing w:val="-12"/>
          <w:sz w:val="18"/>
        </w:rPr>
        <w:t> </w:t>
      </w:r>
      <w:r>
        <w:rPr>
          <w:sz w:val="18"/>
        </w:rPr>
        <w:t>información</w:t>
      </w:r>
      <w:r>
        <w:rPr>
          <w:spacing w:val="-15"/>
          <w:sz w:val="18"/>
        </w:rPr>
        <w:t> </w:t>
      </w:r>
      <w:r>
        <w:rPr>
          <w:sz w:val="18"/>
        </w:rPr>
        <w:t>en</w:t>
      </w:r>
      <w:r>
        <w:rPr>
          <w:spacing w:val="-12"/>
          <w:sz w:val="18"/>
        </w:rPr>
        <w:t> </w:t>
      </w:r>
      <w:r>
        <w:rPr>
          <w:sz w:val="18"/>
        </w:rPr>
        <w:t>ocasiones</w:t>
      </w:r>
      <w:r>
        <w:rPr>
          <w:spacing w:val="-14"/>
          <w:sz w:val="18"/>
        </w:rPr>
        <w:t> </w:t>
      </w:r>
      <w:r>
        <w:rPr>
          <w:sz w:val="18"/>
        </w:rPr>
        <w:t>que</w:t>
      </w:r>
      <w:r>
        <w:rPr>
          <w:spacing w:val="-12"/>
          <w:sz w:val="18"/>
        </w:rPr>
        <w:t> </w:t>
      </w:r>
      <w:r>
        <w:rPr>
          <w:sz w:val="18"/>
        </w:rPr>
        <w:t>varios</w:t>
      </w:r>
      <w:r>
        <w:rPr>
          <w:spacing w:val="-14"/>
          <w:sz w:val="18"/>
        </w:rPr>
        <w:t> </w:t>
      </w:r>
      <w:r>
        <w:rPr>
          <w:sz w:val="18"/>
        </w:rPr>
        <w:t>compañeros</w:t>
      </w:r>
      <w:r>
        <w:rPr>
          <w:spacing w:val="-14"/>
          <w:sz w:val="18"/>
        </w:rPr>
        <w:t> </w:t>
      </w:r>
      <w:r>
        <w:rPr>
          <w:sz w:val="18"/>
        </w:rPr>
        <w:t>o</w:t>
      </w:r>
      <w:r>
        <w:rPr>
          <w:spacing w:val="-12"/>
          <w:sz w:val="18"/>
        </w:rPr>
        <w:t> </w:t>
      </w:r>
      <w:r>
        <w:rPr>
          <w:sz w:val="18"/>
        </w:rPr>
        <w:t>servidores</w:t>
      </w:r>
      <w:r>
        <w:rPr>
          <w:spacing w:val="-14"/>
          <w:sz w:val="18"/>
        </w:rPr>
        <w:t> </w:t>
      </w:r>
      <w:r>
        <w:rPr>
          <w:sz w:val="18"/>
        </w:rPr>
        <w:t>públicos</w:t>
      </w:r>
      <w:r>
        <w:rPr>
          <w:spacing w:val="-14"/>
          <w:sz w:val="18"/>
        </w:rPr>
        <w:t> </w:t>
      </w:r>
      <w:r>
        <w:rPr>
          <w:sz w:val="18"/>
        </w:rPr>
        <w:t>nos comentan</w:t>
      </w:r>
      <w:r>
        <w:rPr>
          <w:spacing w:val="-10"/>
          <w:sz w:val="18"/>
        </w:rPr>
        <w:t> </w:t>
      </w:r>
      <w:r>
        <w:rPr>
          <w:sz w:val="18"/>
        </w:rPr>
        <w:t>que</w:t>
      </w:r>
      <w:r>
        <w:rPr>
          <w:spacing w:val="-10"/>
          <w:sz w:val="18"/>
        </w:rPr>
        <w:t> </w:t>
      </w:r>
      <w:r>
        <w:rPr>
          <w:sz w:val="18"/>
        </w:rPr>
        <w:t>información</w:t>
      </w:r>
      <w:r>
        <w:rPr>
          <w:spacing w:val="-11"/>
          <w:sz w:val="18"/>
        </w:rPr>
        <w:t> </w:t>
      </w:r>
      <w:r>
        <w:rPr>
          <w:sz w:val="18"/>
        </w:rPr>
        <w:t>pueden</w:t>
      </w:r>
      <w:r>
        <w:rPr>
          <w:spacing w:val="-10"/>
          <w:sz w:val="18"/>
        </w:rPr>
        <w:t> </w:t>
      </w:r>
      <w:r>
        <w:rPr>
          <w:sz w:val="18"/>
        </w:rPr>
        <w:t>reservar</w:t>
      </w:r>
      <w:r>
        <w:rPr>
          <w:spacing w:val="-10"/>
          <w:sz w:val="18"/>
        </w:rPr>
        <w:t> </w:t>
      </w:r>
      <w:r>
        <w:rPr>
          <w:sz w:val="18"/>
        </w:rPr>
        <w:t>por</w:t>
      </w:r>
      <w:r>
        <w:rPr>
          <w:spacing w:val="-10"/>
          <w:sz w:val="18"/>
        </w:rPr>
        <w:t> </w:t>
      </w:r>
      <w:r>
        <w:rPr>
          <w:sz w:val="18"/>
        </w:rPr>
        <w:t>su</w:t>
      </w:r>
      <w:r>
        <w:rPr>
          <w:spacing w:val="-10"/>
          <w:sz w:val="18"/>
        </w:rPr>
        <w:t> </w:t>
      </w:r>
      <w:r>
        <w:rPr>
          <w:sz w:val="18"/>
        </w:rPr>
        <w:t>propia</w:t>
      </w:r>
      <w:r>
        <w:rPr>
          <w:spacing w:val="-10"/>
          <w:sz w:val="18"/>
        </w:rPr>
        <w:t> </w:t>
      </w:r>
      <w:r>
        <w:rPr>
          <w:sz w:val="18"/>
        </w:rPr>
        <w:t>seguridad</w:t>
      </w:r>
      <w:r>
        <w:rPr>
          <w:spacing w:val="-11"/>
          <w:sz w:val="18"/>
        </w:rPr>
        <w:t> </w:t>
      </w:r>
      <w:r>
        <w:rPr>
          <w:sz w:val="18"/>
        </w:rPr>
        <w:t>para</w:t>
      </w:r>
      <w:r>
        <w:rPr>
          <w:spacing w:val="-10"/>
          <w:sz w:val="18"/>
        </w:rPr>
        <w:t> </w:t>
      </w:r>
      <w:r>
        <w:rPr>
          <w:sz w:val="18"/>
        </w:rPr>
        <w:t>no</w:t>
      </w:r>
      <w:r>
        <w:rPr>
          <w:spacing w:val="-10"/>
          <w:sz w:val="18"/>
        </w:rPr>
        <w:t> </w:t>
      </w:r>
      <w:r>
        <w:rPr>
          <w:sz w:val="18"/>
        </w:rPr>
        <w:t>decir</w:t>
      </w:r>
      <w:r>
        <w:rPr>
          <w:spacing w:val="-10"/>
          <w:sz w:val="18"/>
        </w:rPr>
        <w:t> </w:t>
      </w:r>
      <w:r>
        <w:rPr>
          <w:sz w:val="18"/>
        </w:rPr>
        <w:t>nada en cuestión de los sueldos, que es uno de los problemas que se dieron al principio publicar cuanto se gana o cuánto gana un servidor público por las cuestiones de la inseguridad que estamos viviendo</w:t>
      </w:r>
      <w:r>
        <w:rPr>
          <w:spacing w:val="-18"/>
          <w:sz w:val="18"/>
        </w:rPr>
        <w:t> </w:t>
      </w:r>
      <w:r>
        <w:rPr>
          <w:sz w:val="18"/>
        </w:rPr>
        <w:t>actualmente”</w:t>
      </w:r>
    </w:p>
    <w:p>
      <w:pPr>
        <w:spacing w:after="0" w:line="276" w:lineRule="auto"/>
        <w:jc w:val="both"/>
        <w:rPr>
          <w:sz w:val="18"/>
        </w:rPr>
        <w:sectPr>
          <w:pgSz w:w="12240" w:h="15840"/>
          <w:pgMar w:header="0" w:footer="1035" w:top="1360" w:bottom="1220" w:left="1500" w:right="1580"/>
        </w:sectPr>
      </w:pPr>
    </w:p>
    <w:p>
      <w:pPr>
        <w:pStyle w:val="BodyText"/>
        <w:spacing w:line="360" w:lineRule="auto" w:before="54"/>
        <w:ind w:left="108" w:right="119"/>
        <w:jc w:val="both"/>
      </w:pPr>
      <w:r>
        <w:rPr/>
        <w:t>La</w:t>
      </w:r>
      <w:r>
        <w:rPr>
          <w:spacing w:val="-6"/>
        </w:rPr>
        <w:t> </w:t>
      </w:r>
      <w:r>
        <w:rPr/>
        <w:t>falta</w:t>
      </w:r>
      <w:r>
        <w:rPr>
          <w:spacing w:val="-4"/>
        </w:rPr>
        <w:t> </w:t>
      </w:r>
      <w:r>
        <w:rPr/>
        <w:t>de</w:t>
      </w:r>
      <w:r>
        <w:rPr>
          <w:spacing w:val="-4"/>
        </w:rPr>
        <w:t> </w:t>
      </w:r>
      <w:r>
        <w:rPr/>
        <w:t>precisión</w:t>
      </w:r>
      <w:r>
        <w:rPr>
          <w:spacing w:val="-4"/>
        </w:rPr>
        <w:t> </w:t>
      </w:r>
      <w:r>
        <w:rPr/>
        <w:t>de</w:t>
      </w:r>
      <w:r>
        <w:rPr>
          <w:spacing w:val="-4"/>
        </w:rPr>
        <w:t> </w:t>
      </w:r>
      <w:r>
        <w:rPr/>
        <w:t>la</w:t>
      </w:r>
      <w:r>
        <w:rPr>
          <w:spacing w:val="-4"/>
        </w:rPr>
        <w:t> </w:t>
      </w:r>
      <w:r>
        <w:rPr/>
        <w:t>ley</w:t>
      </w:r>
      <w:r>
        <w:rPr>
          <w:spacing w:val="-6"/>
        </w:rPr>
        <w:t> </w:t>
      </w:r>
      <w:r>
        <w:rPr/>
        <w:t>es</w:t>
      </w:r>
      <w:r>
        <w:rPr>
          <w:spacing w:val="-4"/>
        </w:rPr>
        <w:t> </w:t>
      </w:r>
      <w:r>
        <w:rPr/>
        <w:t>un</w:t>
      </w:r>
      <w:r>
        <w:rPr>
          <w:spacing w:val="-6"/>
        </w:rPr>
        <w:t> </w:t>
      </w:r>
      <w:r>
        <w:rPr/>
        <w:t>área</w:t>
      </w:r>
      <w:r>
        <w:rPr>
          <w:spacing w:val="-6"/>
        </w:rPr>
        <w:t> </w:t>
      </w:r>
      <w:r>
        <w:rPr/>
        <w:t>de</w:t>
      </w:r>
      <w:r>
        <w:rPr>
          <w:spacing w:val="-2"/>
        </w:rPr>
        <w:t> </w:t>
      </w:r>
      <w:r>
        <w:rPr/>
        <w:t>oportunidad</w:t>
      </w:r>
      <w:r>
        <w:rPr>
          <w:spacing w:val="-4"/>
        </w:rPr>
        <w:t> </w:t>
      </w:r>
      <w:r>
        <w:rPr/>
        <w:t>que</w:t>
      </w:r>
      <w:r>
        <w:rPr>
          <w:spacing w:val="-4"/>
        </w:rPr>
        <w:t> </w:t>
      </w:r>
      <w:r>
        <w:rPr/>
        <w:t>se</w:t>
      </w:r>
      <w:r>
        <w:rPr>
          <w:spacing w:val="-4"/>
        </w:rPr>
        <w:t> </w:t>
      </w:r>
      <w:r>
        <w:rPr/>
        <w:t>tiene</w:t>
      </w:r>
      <w:r>
        <w:rPr>
          <w:spacing w:val="-4"/>
        </w:rPr>
        <w:t> </w:t>
      </w:r>
      <w:r>
        <w:rPr/>
        <w:t>que</w:t>
      </w:r>
      <w:r>
        <w:rPr>
          <w:spacing w:val="-6"/>
        </w:rPr>
        <w:t> </w:t>
      </w:r>
      <w:r>
        <w:rPr/>
        <w:t>enmendar ya</w:t>
      </w:r>
      <w:r>
        <w:rPr>
          <w:spacing w:val="-4"/>
        </w:rPr>
        <w:t> </w:t>
      </w:r>
      <w:r>
        <w:rPr/>
        <w:t>que</w:t>
      </w:r>
      <w:r>
        <w:rPr>
          <w:spacing w:val="-4"/>
        </w:rPr>
        <w:t> </w:t>
      </w:r>
      <w:r>
        <w:rPr/>
        <w:t>puede</w:t>
      </w:r>
      <w:r>
        <w:rPr>
          <w:spacing w:val="-4"/>
        </w:rPr>
        <w:t> </w:t>
      </w:r>
      <w:r>
        <w:rPr/>
        <w:t>crear</w:t>
      </w:r>
      <w:r>
        <w:rPr>
          <w:spacing w:val="-5"/>
        </w:rPr>
        <w:t> </w:t>
      </w:r>
      <w:r>
        <w:rPr/>
        <w:t>confusión</w:t>
      </w:r>
      <w:r>
        <w:rPr>
          <w:spacing w:val="-4"/>
        </w:rPr>
        <w:t> </w:t>
      </w:r>
      <w:r>
        <w:rPr/>
        <w:t>en</w:t>
      </w:r>
      <w:r>
        <w:rPr>
          <w:spacing w:val="-6"/>
        </w:rPr>
        <w:t> </w:t>
      </w:r>
      <w:r>
        <w:rPr/>
        <w:t>cuanto</w:t>
      </w:r>
      <w:r>
        <w:rPr>
          <w:spacing w:val="-6"/>
        </w:rPr>
        <w:t> </w:t>
      </w:r>
      <w:r>
        <w:rPr/>
        <w:t>a</w:t>
      </w:r>
      <w:r>
        <w:rPr>
          <w:spacing w:val="-4"/>
        </w:rPr>
        <w:t> </w:t>
      </w:r>
      <w:r>
        <w:rPr/>
        <w:t>los</w:t>
      </w:r>
      <w:r>
        <w:rPr>
          <w:spacing w:val="-4"/>
        </w:rPr>
        <w:t> </w:t>
      </w:r>
      <w:r>
        <w:rPr/>
        <w:t>datos</w:t>
      </w:r>
      <w:r>
        <w:rPr>
          <w:spacing w:val="-7"/>
        </w:rPr>
        <w:t> </w:t>
      </w:r>
      <w:r>
        <w:rPr/>
        <w:t>que</w:t>
      </w:r>
      <w:r>
        <w:rPr>
          <w:spacing w:val="-4"/>
        </w:rPr>
        <w:t> </w:t>
      </w:r>
      <w:r>
        <w:rPr/>
        <w:t>se</w:t>
      </w:r>
      <w:r>
        <w:rPr>
          <w:spacing w:val="-6"/>
        </w:rPr>
        <w:t> </w:t>
      </w:r>
      <w:r>
        <w:rPr/>
        <w:t>deben</w:t>
      </w:r>
      <w:r>
        <w:rPr>
          <w:spacing w:val="-6"/>
        </w:rPr>
        <w:t> </w:t>
      </w:r>
      <w:r>
        <w:rPr/>
        <w:t>publicar</w:t>
      </w:r>
      <w:r>
        <w:rPr>
          <w:spacing w:val="-5"/>
        </w:rPr>
        <w:t> </w:t>
      </w:r>
      <w:r>
        <w:rPr/>
        <w:t>y</w:t>
      </w:r>
      <w:r>
        <w:rPr>
          <w:spacing w:val="-7"/>
        </w:rPr>
        <w:t> </w:t>
      </w:r>
      <w:r>
        <w:rPr/>
        <w:t>los</w:t>
      </w:r>
      <w:r>
        <w:rPr>
          <w:spacing w:val="-4"/>
        </w:rPr>
        <w:t> </w:t>
      </w:r>
      <w:r>
        <w:rPr/>
        <w:t>que no.</w:t>
      </w:r>
    </w:p>
    <w:p>
      <w:pPr>
        <w:pStyle w:val="BodyText"/>
      </w:pPr>
    </w:p>
    <w:p>
      <w:pPr>
        <w:pStyle w:val="BodyText"/>
        <w:spacing w:before="142"/>
        <w:ind w:left="108"/>
        <w:jc w:val="both"/>
      </w:pPr>
      <w:r>
        <w:rPr/>
        <w:t>Asimismo, señaló que la transparencia no solo es cuestión de leyes</w:t>
      </w:r>
    </w:p>
    <w:p>
      <w:pPr>
        <w:pStyle w:val="BodyText"/>
      </w:pPr>
    </w:p>
    <w:p>
      <w:pPr>
        <w:pStyle w:val="BodyText"/>
      </w:pPr>
    </w:p>
    <w:p>
      <w:pPr>
        <w:pStyle w:val="BodyText"/>
        <w:rPr>
          <w:sz w:val="28"/>
        </w:rPr>
      </w:pPr>
    </w:p>
    <w:p>
      <w:pPr>
        <w:spacing w:line="276" w:lineRule="auto" w:before="0"/>
        <w:ind w:left="1101" w:right="1044" w:firstLine="0"/>
        <w:jc w:val="left"/>
        <w:rPr>
          <w:sz w:val="18"/>
        </w:rPr>
      </w:pPr>
      <w:r>
        <w:rPr>
          <w:sz w:val="18"/>
        </w:rPr>
        <w:t>“más que una actualización de la norma nos hace falta infraestructura, personal y equipo adecuado”</w:t>
      </w:r>
    </w:p>
    <w:p>
      <w:pPr>
        <w:pStyle w:val="BodyText"/>
        <w:rPr>
          <w:sz w:val="18"/>
        </w:rPr>
      </w:pPr>
    </w:p>
    <w:p>
      <w:pPr>
        <w:pStyle w:val="BodyText"/>
        <w:rPr>
          <w:sz w:val="18"/>
        </w:rPr>
      </w:pPr>
    </w:p>
    <w:p>
      <w:pPr>
        <w:pStyle w:val="BodyText"/>
        <w:spacing w:line="360" w:lineRule="auto" w:before="159"/>
        <w:ind w:left="108" w:right="126"/>
        <w:jc w:val="both"/>
      </w:pPr>
      <w:r>
        <w:rPr/>
        <w:t>Destacó que dentro del marco normativo de la transparencia hay sanciones para quienes incumplen la ley</w:t>
      </w:r>
    </w:p>
    <w:p>
      <w:pPr>
        <w:pStyle w:val="BodyText"/>
      </w:pPr>
    </w:p>
    <w:p>
      <w:pPr>
        <w:pStyle w:val="BodyText"/>
      </w:pPr>
    </w:p>
    <w:p>
      <w:pPr>
        <w:spacing w:line="276" w:lineRule="auto" w:before="186"/>
        <w:ind w:left="1101" w:right="1044" w:firstLine="0"/>
        <w:jc w:val="left"/>
        <w:rPr>
          <w:sz w:val="18"/>
        </w:rPr>
      </w:pPr>
      <w:r>
        <w:rPr>
          <w:sz w:val="18"/>
        </w:rPr>
        <w:t>"las sanciones para quienes incumplen la ley son: multa económica y en el caso extremo la destitución del funcionario"</w:t>
      </w:r>
    </w:p>
    <w:p>
      <w:pPr>
        <w:pStyle w:val="BodyText"/>
        <w:rPr>
          <w:sz w:val="18"/>
        </w:rPr>
      </w:pPr>
    </w:p>
    <w:p>
      <w:pPr>
        <w:pStyle w:val="BodyText"/>
        <w:rPr>
          <w:sz w:val="18"/>
        </w:rPr>
      </w:pPr>
    </w:p>
    <w:p>
      <w:pPr>
        <w:pStyle w:val="BodyText"/>
        <w:spacing w:line="360" w:lineRule="auto" w:before="159"/>
        <w:ind w:left="108" w:right="115"/>
        <w:jc w:val="both"/>
      </w:pPr>
      <w:r>
        <w:rPr/>
        <w:t>Esta</w:t>
      </w:r>
      <w:r>
        <w:rPr>
          <w:spacing w:val="-17"/>
        </w:rPr>
        <w:t> </w:t>
      </w:r>
      <w:r>
        <w:rPr/>
        <w:t>afirmación</w:t>
      </w:r>
      <w:r>
        <w:rPr>
          <w:spacing w:val="-17"/>
        </w:rPr>
        <w:t> </w:t>
      </w:r>
      <w:r>
        <w:rPr/>
        <w:t>permite</w:t>
      </w:r>
      <w:r>
        <w:rPr>
          <w:spacing w:val="-16"/>
        </w:rPr>
        <w:t> </w:t>
      </w:r>
      <w:r>
        <w:rPr/>
        <w:t>ver</w:t>
      </w:r>
      <w:r>
        <w:rPr>
          <w:spacing w:val="-17"/>
        </w:rPr>
        <w:t> </w:t>
      </w:r>
      <w:r>
        <w:rPr/>
        <w:t>como</w:t>
      </w:r>
      <w:r>
        <w:rPr>
          <w:spacing w:val="-18"/>
        </w:rPr>
        <w:t> </w:t>
      </w:r>
      <w:r>
        <w:rPr/>
        <w:t>dentro</w:t>
      </w:r>
      <w:r>
        <w:rPr>
          <w:spacing w:val="-20"/>
        </w:rPr>
        <w:t> </w:t>
      </w:r>
      <w:r>
        <w:rPr/>
        <w:t>de</w:t>
      </w:r>
      <w:r>
        <w:rPr>
          <w:spacing w:val="-18"/>
        </w:rPr>
        <w:t> </w:t>
      </w:r>
      <w:r>
        <w:rPr/>
        <w:t>la</w:t>
      </w:r>
      <w:r>
        <w:rPr>
          <w:spacing w:val="-18"/>
        </w:rPr>
        <w:t> </w:t>
      </w:r>
      <w:r>
        <w:rPr/>
        <w:t>ley</w:t>
      </w:r>
      <w:r>
        <w:rPr>
          <w:spacing w:val="-18"/>
        </w:rPr>
        <w:t> </w:t>
      </w:r>
      <w:r>
        <w:rPr/>
        <w:t>se</w:t>
      </w:r>
      <w:r>
        <w:rPr>
          <w:spacing w:val="-18"/>
        </w:rPr>
        <w:t> </w:t>
      </w:r>
      <w:r>
        <w:rPr/>
        <w:t>da</w:t>
      </w:r>
      <w:r>
        <w:rPr>
          <w:spacing w:val="-18"/>
        </w:rPr>
        <w:t> </w:t>
      </w:r>
      <w:r>
        <w:rPr/>
        <w:t>el</w:t>
      </w:r>
      <w:r>
        <w:rPr>
          <w:spacing w:val="-19"/>
        </w:rPr>
        <w:t> </w:t>
      </w:r>
      <w:r>
        <w:rPr/>
        <w:t>espacio</w:t>
      </w:r>
      <w:r>
        <w:rPr>
          <w:spacing w:val="-18"/>
        </w:rPr>
        <w:t> </w:t>
      </w:r>
      <w:r>
        <w:rPr/>
        <w:t>para</w:t>
      </w:r>
      <w:r>
        <w:rPr>
          <w:spacing w:val="-16"/>
        </w:rPr>
        <w:t> </w:t>
      </w:r>
      <w:r>
        <w:rPr/>
        <w:t>cierto</w:t>
      </w:r>
      <w:r>
        <w:rPr>
          <w:spacing w:val="-20"/>
        </w:rPr>
        <w:t> </w:t>
      </w:r>
      <w:r>
        <w:rPr/>
        <w:t>margen de</w:t>
      </w:r>
      <w:r>
        <w:rPr>
          <w:spacing w:val="-7"/>
        </w:rPr>
        <w:t> </w:t>
      </w:r>
      <w:r>
        <w:rPr/>
        <w:t>corrupción</w:t>
      </w:r>
      <w:r>
        <w:rPr>
          <w:spacing w:val="-9"/>
        </w:rPr>
        <w:t> </w:t>
      </w:r>
      <w:r>
        <w:rPr/>
        <w:t>e</w:t>
      </w:r>
      <w:r>
        <w:rPr>
          <w:spacing w:val="-9"/>
        </w:rPr>
        <w:t> </w:t>
      </w:r>
      <w:r>
        <w:rPr/>
        <w:t>impunidad,</w:t>
      </w:r>
      <w:r>
        <w:rPr>
          <w:spacing w:val="-10"/>
        </w:rPr>
        <w:t> </w:t>
      </w:r>
      <w:r>
        <w:rPr/>
        <w:t>a</w:t>
      </w:r>
      <w:r>
        <w:rPr>
          <w:spacing w:val="-9"/>
        </w:rPr>
        <w:t> </w:t>
      </w:r>
      <w:r>
        <w:rPr/>
        <w:t>través</w:t>
      </w:r>
      <w:r>
        <w:rPr>
          <w:spacing w:val="-10"/>
        </w:rPr>
        <w:t> </w:t>
      </w:r>
      <w:r>
        <w:rPr/>
        <w:t>del</w:t>
      </w:r>
      <w:r>
        <w:rPr>
          <w:spacing w:val="-8"/>
        </w:rPr>
        <w:t> </w:t>
      </w:r>
      <w:r>
        <w:rPr/>
        <w:t>incumplimiento</w:t>
      </w:r>
      <w:r>
        <w:rPr>
          <w:spacing w:val="-9"/>
        </w:rPr>
        <w:t> </w:t>
      </w:r>
      <w:r>
        <w:rPr/>
        <w:t>de</w:t>
      </w:r>
      <w:r>
        <w:rPr>
          <w:spacing w:val="-7"/>
        </w:rPr>
        <w:t> </w:t>
      </w:r>
      <w:r>
        <w:rPr/>
        <w:t>la</w:t>
      </w:r>
      <w:r>
        <w:rPr>
          <w:spacing w:val="-7"/>
        </w:rPr>
        <w:t> </w:t>
      </w:r>
      <w:r>
        <w:rPr/>
        <w:t>ley.</w:t>
      </w:r>
      <w:r>
        <w:rPr>
          <w:spacing w:val="-7"/>
        </w:rPr>
        <w:t> </w:t>
      </w:r>
      <w:r>
        <w:rPr/>
        <w:t>Información</w:t>
      </w:r>
      <w:r>
        <w:rPr>
          <w:spacing w:val="-7"/>
        </w:rPr>
        <w:t> </w:t>
      </w:r>
      <w:r>
        <w:rPr/>
        <w:t>que</w:t>
      </w:r>
      <w:r>
        <w:rPr>
          <w:spacing w:val="-9"/>
        </w:rPr>
        <w:t> </w:t>
      </w:r>
      <w:r>
        <w:rPr/>
        <w:t>es congruente con al encuestad realizada ya que los datos reflejaron ciertos márgenes de no sanción a los funcionarios que incumplen la ley. Se puede reiterar aquí las afirmaciones reiteradas con anterioridad de que la normativa es una condición fundamental y básica para la transparencia, más no suficiente para</w:t>
      </w:r>
      <w:r>
        <w:rPr>
          <w:spacing w:val="-33"/>
        </w:rPr>
        <w:t> </w:t>
      </w:r>
      <w:r>
        <w:rPr/>
        <w:t>garantizarla.</w:t>
      </w:r>
    </w:p>
    <w:p>
      <w:pPr>
        <w:pStyle w:val="BodyText"/>
      </w:pPr>
    </w:p>
    <w:p>
      <w:pPr>
        <w:pStyle w:val="BodyText"/>
      </w:pPr>
    </w:p>
    <w:p>
      <w:pPr>
        <w:pStyle w:val="BodyText"/>
        <w:spacing w:before="7"/>
        <w:rPr>
          <w:sz w:val="19"/>
        </w:rPr>
      </w:pPr>
    </w:p>
    <w:p>
      <w:pPr>
        <w:pStyle w:val="Heading1"/>
        <w:numPr>
          <w:ilvl w:val="3"/>
          <w:numId w:val="44"/>
        </w:numPr>
        <w:tabs>
          <w:tab w:pos="961" w:val="left" w:leader="none"/>
        </w:tabs>
        <w:spacing w:line="240" w:lineRule="auto" w:before="0" w:after="0"/>
        <w:ind w:left="960" w:right="0" w:hanging="852"/>
        <w:jc w:val="both"/>
      </w:pPr>
      <w:r>
        <w:rPr/>
        <w:t>Afectación recíproca entre agente y</w:t>
      </w:r>
      <w:r>
        <w:rPr>
          <w:spacing w:val="-13"/>
        </w:rPr>
        <w:t> </w:t>
      </w:r>
      <w:r>
        <w:rPr/>
        <w:t>estructura</w:t>
      </w:r>
    </w:p>
    <w:p>
      <w:pPr>
        <w:pStyle w:val="BodyText"/>
        <w:rPr>
          <w:b/>
        </w:rPr>
      </w:pPr>
    </w:p>
    <w:p>
      <w:pPr>
        <w:pStyle w:val="BodyText"/>
        <w:rPr>
          <w:b/>
        </w:rPr>
      </w:pPr>
    </w:p>
    <w:p>
      <w:pPr>
        <w:pStyle w:val="BodyText"/>
        <w:spacing w:line="360" w:lineRule="auto"/>
        <w:ind w:left="108" w:right="116"/>
        <w:jc w:val="both"/>
      </w:pPr>
      <w:r>
        <w:rPr/>
        <w:t>Las</w:t>
      </w:r>
      <w:r>
        <w:rPr>
          <w:spacing w:val="-6"/>
        </w:rPr>
        <w:t> </w:t>
      </w:r>
      <w:r>
        <w:rPr/>
        <w:t>acciones</w:t>
      </w:r>
      <w:r>
        <w:rPr>
          <w:spacing w:val="-6"/>
        </w:rPr>
        <w:t> </w:t>
      </w:r>
      <w:r>
        <w:rPr/>
        <w:t>implementadas</w:t>
      </w:r>
      <w:r>
        <w:rPr>
          <w:spacing w:val="-6"/>
        </w:rPr>
        <w:t> </w:t>
      </w:r>
      <w:r>
        <w:rPr/>
        <w:t>dentro</w:t>
      </w:r>
      <w:r>
        <w:rPr>
          <w:spacing w:val="-8"/>
        </w:rPr>
        <w:t> </w:t>
      </w:r>
      <w:r>
        <w:rPr/>
        <w:t>de</w:t>
      </w:r>
      <w:r>
        <w:rPr>
          <w:spacing w:val="-6"/>
        </w:rPr>
        <w:t> </w:t>
      </w:r>
      <w:r>
        <w:rPr/>
        <w:t>las</w:t>
      </w:r>
      <w:r>
        <w:rPr>
          <w:spacing w:val="-6"/>
        </w:rPr>
        <w:t> </w:t>
      </w:r>
      <w:r>
        <w:rPr/>
        <w:t>organizaciones</w:t>
      </w:r>
      <w:r>
        <w:rPr>
          <w:spacing w:val="-6"/>
        </w:rPr>
        <w:t> </w:t>
      </w:r>
      <w:r>
        <w:rPr/>
        <w:t>generan</w:t>
      </w:r>
      <w:r>
        <w:rPr>
          <w:spacing w:val="-9"/>
        </w:rPr>
        <w:t> </w:t>
      </w:r>
      <w:r>
        <w:rPr/>
        <w:t>normas,</w:t>
      </w:r>
      <w:r>
        <w:rPr>
          <w:spacing w:val="-6"/>
        </w:rPr>
        <w:t> </w:t>
      </w:r>
      <w:r>
        <w:rPr/>
        <w:t>hábitos y</w:t>
      </w:r>
      <w:r>
        <w:rPr>
          <w:spacing w:val="-21"/>
        </w:rPr>
        <w:t> </w:t>
      </w:r>
      <w:r>
        <w:rPr/>
        <w:t>códigos</w:t>
      </w:r>
      <w:r>
        <w:rPr>
          <w:spacing w:val="-20"/>
        </w:rPr>
        <w:t> </w:t>
      </w:r>
      <w:r>
        <w:rPr/>
        <w:t>con</w:t>
      </w:r>
      <w:r>
        <w:rPr>
          <w:spacing w:val="-19"/>
        </w:rPr>
        <w:t> </w:t>
      </w:r>
      <w:r>
        <w:rPr/>
        <w:t>significado</w:t>
      </w:r>
      <w:r>
        <w:rPr>
          <w:spacing w:val="-19"/>
        </w:rPr>
        <w:t> </w:t>
      </w:r>
      <w:r>
        <w:rPr/>
        <w:t>que</w:t>
      </w:r>
      <w:r>
        <w:rPr>
          <w:spacing w:val="-19"/>
        </w:rPr>
        <w:t> </w:t>
      </w:r>
      <w:r>
        <w:rPr/>
        <w:t>los</w:t>
      </w:r>
      <w:r>
        <w:rPr>
          <w:spacing w:val="-19"/>
        </w:rPr>
        <w:t> </w:t>
      </w:r>
      <w:r>
        <w:rPr/>
        <w:t>integrantes</w:t>
      </w:r>
      <w:r>
        <w:rPr>
          <w:spacing w:val="-24"/>
        </w:rPr>
        <w:t> </w:t>
      </w:r>
      <w:r>
        <w:rPr/>
        <w:t>de</w:t>
      </w:r>
      <w:r>
        <w:rPr>
          <w:spacing w:val="-19"/>
        </w:rPr>
        <w:t> </w:t>
      </w:r>
      <w:r>
        <w:rPr/>
        <w:t>dicha</w:t>
      </w:r>
      <w:r>
        <w:rPr>
          <w:spacing w:val="-19"/>
        </w:rPr>
        <w:t> </w:t>
      </w:r>
      <w:r>
        <w:rPr/>
        <w:t>organización</w:t>
      </w:r>
      <w:r>
        <w:rPr>
          <w:spacing w:val="-19"/>
        </w:rPr>
        <w:t> </w:t>
      </w:r>
      <w:r>
        <w:rPr/>
        <w:t>internalizan</w:t>
      </w:r>
      <w:r>
        <w:rPr>
          <w:spacing w:val="-19"/>
        </w:rPr>
        <w:t> </w:t>
      </w:r>
      <w:r>
        <w:rPr/>
        <w:t>como propios. En dicho contexto, si la estructura es formal el comportamiento de los individuos será formal. Por el contrario, si la estructura permite el desarrollo de prácticas informales, el comportamiento de los individuos será fuera de la</w:t>
      </w:r>
      <w:r>
        <w:rPr>
          <w:spacing w:val="-25"/>
        </w:rPr>
        <w:t> </w:t>
      </w:r>
      <w:r>
        <w:rPr/>
        <w:t>norma.</w:t>
      </w:r>
    </w:p>
    <w:p>
      <w:pPr>
        <w:spacing w:after="0" w:line="360" w:lineRule="auto"/>
        <w:jc w:val="both"/>
        <w:sectPr>
          <w:pgSz w:w="12240" w:h="15840"/>
          <w:pgMar w:header="0" w:footer="1035" w:top="1360" w:bottom="1220" w:left="1500" w:right="1580"/>
        </w:sectPr>
      </w:pPr>
    </w:p>
    <w:p>
      <w:pPr>
        <w:pStyle w:val="BodyText"/>
        <w:spacing w:line="360" w:lineRule="auto" w:before="54"/>
        <w:ind w:left="108" w:right="115"/>
        <w:jc w:val="both"/>
      </w:pPr>
      <w:r>
        <w:rPr/>
        <w:t>Esta situación se refleja en la opinión de los encuestados quienes señalan que solamente 47.4% tiene completa libertad para dar cumplimiento a sus funciones, 39.7% lo suficiente, 11.5% lo necesario y 1.3% no contestaron.</w:t>
      </w:r>
    </w:p>
    <w:p>
      <w:pPr>
        <w:pStyle w:val="BodyText"/>
      </w:pPr>
    </w:p>
    <w:p>
      <w:pPr>
        <w:pStyle w:val="BodyText"/>
        <w:spacing w:line="360" w:lineRule="auto" w:before="142"/>
        <w:ind w:left="108" w:right="116"/>
        <w:jc w:val="both"/>
      </w:pPr>
      <w:r>
        <w:rPr/>
        <w:t>Fomentar</w:t>
      </w:r>
      <w:r>
        <w:rPr>
          <w:spacing w:val="-15"/>
        </w:rPr>
        <w:t> </w:t>
      </w:r>
      <w:r>
        <w:rPr/>
        <w:t>la</w:t>
      </w:r>
      <w:r>
        <w:rPr>
          <w:spacing w:val="-13"/>
        </w:rPr>
        <w:t> </w:t>
      </w:r>
      <w:r>
        <w:rPr/>
        <w:t>cultura</w:t>
      </w:r>
      <w:r>
        <w:rPr>
          <w:spacing w:val="-16"/>
        </w:rPr>
        <w:t> </w:t>
      </w:r>
      <w:r>
        <w:rPr/>
        <w:t>de</w:t>
      </w:r>
      <w:r>
        <w:rPr>
          <w:spacing w:val="-16"/>
        </w:rPr>
        <w:t> </w:t>
      </w:r>
      <w:r>
        <w:rPr/>
        <w:t>la</w:t>
      </w:r>
      <w:r>
        <w:rPr>
          <w:spacing w:val="-13"/>
        </w:rPr>
        <w:t> </w:t>
      </w:r>
      <w:r>
        <w:rPr/>
        <w:t>transparencia</w:t>
      </w:r>
      <w:r>
        <w:rPr>
          <w:spacing w:val="-16"/>
        </w:rPr>
        <w:t> </w:t>
      </w:r>
      <w:r>
        <w:rPr/>
        <w:t>permite</w:t>
      </w:r>
      <w:r>
        <w:rPr>
          <w:spacing w:val="-13"/>
        </w:rPr>
        <w:t> </w:t>
      </w:r>
      <w:r>
        <w:rPr/>
        <w:t>limitar</w:t>
      </w:r>
      <w:r>
        <w:rPr>
          <w:spacing w:val="-15"/>
        </w:rPr>
        <w:t> </w:t>
      </w:r>
      <w:r>
        <w:rPr/>
        <w:t>la</w:t>
      </w:r>
      <w:r>
        <w:rPr>
          <w:spacing w:val="-13"/>
        </w:rPr>
        <w:t> </w:t>
      </w:r>
      <w:r>
        <w:rPr/>
        <w:t>corrupción</w:t>
      </w:r>
      <w:r>
        <w:rPr>
          <w:spacing w:val="-15"/>
        </w:rPr>
        <w:t> </w:t>
      </w:r>
      <w:r>
        <w:rPr/>
        <w:t>de</w:t>
      </w:r>
      <w:r>
        <w:rPr>
          <w:spacing w:val="-13"/>
        </w:rPr>
        <w:t> </w:t>
      </w:r>
      <w:r>
        <w:rPr/>
        <w:t>los</w:t>
      </w:r>
      <w:r>
        <w:rPr>
          <w:spacing w:val="-13"/>
        </w:rPr>
        <w:t> </w:t>
      </w:r>
      <w:r>
        <w:rPr/>
        <w:t>servidores públicos.</w:t>
      </w:r>
      <w:r>
        <w:rPr>
          <w:spacing w:val="-19"/>
        </w:rPr>
        <w:t> </w:t>
      </w:r>
      <w:r>
        <w:rPr/>
        <w:t>Sobre</w:t>
      </w:r>
      <w:r>
        <w:rPr>
          <w:spacing w:val="-17"/>
        </w:rPr>
        <w:t> </w:t>
      </w:r>
      <w:r>
        <w:rPr/>
        <w:t>esta</w:t>
      </w:r>
      <w:r>
        <w:rPr>
          <w:spacing w:val="-17"/>
        </w:rPr>
        <w:t> </w:t>
      </w:r>
      <w:r>
        <w:rPr/>
        <w:t>afirmación</w:t>
      </w:r>
      <w:r>
        <w:rPr>
          <w:spacing w:val="-16"/>
        </w:rPr>
        <w:t> </w:t>
      </w:r>
      <w:r>
        <w:rPr/>
        <w:t>cabe</w:t>
      </w:r>
      <w:r>
        <w:rPr>
          <w:spacing w:val="-17"/>
        </w:rPr>
        <w:t> </w:t>
      </w:r>
      <w:r>
        <w:rPr/>
        <w:t>mencionar</w:t>
      </w:r>
      <w:r>
        <w:rPr>
          <w:spacing w:val="-18"/>
        </w:rPr>
        <w:t> </w:t>
      </w:r>
      <w:r>
        <w:rPr/>
        <w:t>que</w:t>
      </w:r>
      <w:r>
        <w:rPr>
          <w:spacing w:val="-17"/>
        </w:rPr>
        <w:t> </w:t>
      </w:r>
      <w:r>
        <w:rPr/>
        <w:t>el</w:t>
      </w:r>
      <w:r>
        <w:rPr>
          <w:spacing w:val="-18"/>
        </w:rPr>
        <w:t> </w:t>
      </w:r>
      <w:r>
        <w:rPr/>
        <w:t>43.6%</w:t>
      </w:r>
      <w:r>
        <w:rPr>
          <w:spacing w:val="-17"/>
        </w:rPr>
        <w:t> </w:t>
      </w:r>
      <w:r>
        <w:rPr/>
        <w:t>señaló</w:t>
      </w:r>
      <w:r>
        <w:rPr>
          <w:spacing w:val="-16"/>
        </w:rPr>
        <w:t> </w:t>
      </w:r>
      <w:r>
        <w:rPr/>
        <w:t>completamente permitiría limitarla, 41% lo suficiente, 10.3% lo necesario y el 5.1% nada. Es de destacar que ese 5.1% da cabida a pensar que no en todos los casos se podría limitar la corrupción ya que como se mencionó anteriormente, se podría ser corruptamente</w:t>
      </w:r>
      <w:r>
        <w:rPr>
          <w:spacing w:val="-9"/>
        </w:rPr>
        <w:t> </w:t>
      </w:r>
      <w:r>
        <w:rPr/>
        <w:t>legales.</w:t>
      </w:r>
    </w:p>
    <w:p>
      <w:pPr>
        <w:pStyle w:val="BodyText"/>
      </w:pPr>
    </w:p>
    <w:p>
      <w:pPr>
        <w:pStyle w:val="BodyText"/>
        <w:spacing w:line="360" w:lineRule="auto" w:before="142"/>
        <w:ind w:left="108" w:right="116"/>
        <w:jc w:val="both"/>
      </w:pPr>
      <w:r>
        <w:rPr/>
        <w:t>Es de destacar que la estructura limita la conducta individual, ya que solo el 24.4% señaló que puede cambiar completamente la forma en que se promueve la transparencia en su municipio, 33.3% lo suficiente, 29.5% lo necesario y el 12.8% nada. De manera muy similar, el 25.6% señaló que puede cambiar completamente la</w:t>
      </w:r>
      <w:r>
        <w:rPr>
          <w:spacing w:val="-13"/>
        </w:rPr>
        <w:t> </w:t>
      </w:r>
      <w:r>
        <w:rPr/>
        <w:t>forma</w:t>
      </w:r>
      <w:r>
        <w:rPr>
          <w:spacing w:val="-13"/>
        </w:rPr>
        <w:t> </w:t>
      </w:r>
      <w:r>
        <w:rPr/>
        <w:t>en</w:t>
      </w:r>
      <w:r>
        <w:rPr>
          <w:spacing w:val="-11"/>
        </w:rPr>
        <w:t> </w:t>
      </w:r>
      <w:r>
        <w:rPr/>
        <w:t>que</w:t>
      </w:r>
      <w:r>
        <w:rPr>
          <w:spacing w:val="-13"/>
        </w:rPr>
        <w:t> </w:t>
      </w:r>
      <w:r>
        <w:rPr/>
        <w:t>se</w:t>
      </w:r>
      <w:r>
        <w:rPr>
          <w:spacing w:val="-13"/>
        </w:rPr>
        <w:t> </w:t>
      </w:r>
      <w:r>
        <w:rPr/>
        <w:t>practica</w:t>
      </w:r>
      <w:r>
        <w:rPr>
          <w:spacing w:val="-11"/>
        </w:rPr>
        <w:t> </w:t>
      </w:r>
      <w:r>
        <w:rPr/>
        <w:t>la</w:t>
      </w:r>
      <w:r>
        <w:rPr>
          <w:spacing w:val="-11"/>
        </w:rPr>
        <w:t> </w:t>
      </w:r>
      <w:r>
        <w:rPr/>
        <w:t>transparencia,</w:t>
      </w:r>
      <w:r>
        <w:rPr>
          <w:spacing w:val="-15"/>
        </w:rPr>
        <w:t> </w:t>
      </w:r>
      <w:r>
        <w:rPr/>
        <w:t>34.6%</w:t>
      </w:r>
      <w:r>
        <w:rPr>
          <w:spacing w:val="-14"/>
        </w:rPr>
        <w:t> </w:t>
      </w:r>
      <w:r>
        <w:rPr/>
        <w:t>lo</w:t>
      </w:r>
      <w:r>
        <w:rPr>
          <w:spacing w:val="-11"/>
        </w:rPr>
        <w:t> </w:t>
      </w:r>
      <w:r>
        <w:rPr/>
        <w:t>suficiente,</w:t>
      </w:r>
      <w:r>
        <w:rPr>
          <w:spacing w:val="-13"/>
        </w:rPr>
        <w:t> </w:t>
      </w:r>
      <w:r>
        <w:rPr/>
        <w:t>25.6%</w:t>
      </w:r>
      <w:r>
        <w:rPr>
          <w:spacing w:val="-11"/>
        </w:rPr>
        <w:t> </w:t>
      </w:r>
      <w:r>
        <w:rPr/>
        <w:t>lo</w:t>
      </w:r>
      <w:r>
        <w:rPr>
          <w:spacing w:val="-13"/>
        </w:rPr>
        <w:t> </w:t>
      </w:r>
      <w:r>
        <w:rPr/>
        <w:t>necesario, 12.8% nada y el 1.3% no</w:t>
      </w:r>
      <w:r>
        <w:rPr>
          <w:spacing w:val="-7"/>
        </w:rPr>
        <w:t> </w:t>
      </w:r>
      <w:r>
        <w:rPr/>
        <w:t>contestó.</w:t>
      </w:r>
    </w:p>
    <w:p>
      <w:pPr>
        <w:pStyle w:val="BodyText"/>
      </w:pPr>
    </w:p>
    <w:p>
      <w:pPr>
        <w:pStyle w:val="BodyText"/>
        <w:spacing w:line="360" w:lineRule="auto" w:before="142"/>
        <w:ind w:left="108" w:right="117"/>
        <w:jc w:val="both"/>
      </w:pPr>
      <w:r>
        <w:rPr/>
        <w:t>En</w:t>
      </w:r>
      <w:r>
        <w:rPr>
          <w:spacing w:val="-19"/>
        </w:rPr>
        <w:t> </w:t>
      </w:r>
      <w:r>
        <w:rPr/>
        <w:t>un</w:t>
      </w:r>
      <w:r>
        <w:rPr>
          <w:spacing w:val="-17"/>
        </w:rPr>
        <w:t> </w:t>
      </w:r>
      <w:r>
        <w:rPr/>
        <w:t>sentido</w:t>
      </w:r>
      <w:r>
        <w:rPr>
          <w:spacing w:val="-19"/>
        </w:rPr>
        <w:t> </w:t>
      </w:r>
      <w:r>
        <w:rPr/>
        <w:t>más</w:t>
      </w:r>
      <w:r>
        <w:rPr>
          <w:spacing w:val="-20"/>
        </w:rPr>
        <w:t> </w:t>
      </w:r>
      <w:r>
        <w:rPr/>
        <w:t>positivo,</w:t>
      </w:r>
      <w:r>
        <w:rPr>
          <w:spacing w:val="-17"/>
        </w:rPr>
        <w:t> </w:t>
      </w:r>
      <w:r>
        <w:rPr/>
        <w:t>el</w:t>
      </w:r>
      <w:r>
        <w:rPr>
          <w:spacing w:val="-18"/>
        </w:rPr>
        <w:t> </w:t>
      </w:r>
      <w:r>
        <w:rPr/>
        <w:t>44.9%</w:t>
      </w:r>
      <w:r>
        <w:rPr>
          <w:spacing w:val="-20"/>
        </w:rPr>
        <w:t> </w:t>
      </w:r>
      <w:r>
        <w:rPr/>
        <w:t>señaló</w:t>
      </w:r>
      <w:r>
        <w:rPr>
          <w:spacing w:val="-17"/>
        </w:rPr>
        <w:t> </w:t>
      </w:r>
      <w:r>
        <w:rPr/>
        <w:t>que</w:t>
      </w:r>
      <w:r>
        <w:rPr>
          <w:spacing w:val="-17"/>
        </w:rPr>
        <w:t> </w:t>
      </w:r>
      <w:r>
        <w:rPr/>
        <w:t>tiene</w:t>
      </w:r>
      <w:r>
        <w:rPr>
          <w:spacing w:val="-19"/>
        </w:rPr>
        <w:t> </w:t>
      </w:r>
      <w:r>
        <w:rPr/>
        <w:t>completa</w:t>
      </w:r>
      <w:r>
        <w:rPr>
          <w:spacing w:val="-16"/>
        </w:rPr>
        <w:t> </w:t>
      </w:r>
      <w:r>
        <w:rPr/>
        <w:t>libertad</w:t>
      </w:r>
      <w:r>
        <w:rPr>
          <w:spacing w:val="-19"/>
        </w:rPr>
        <w:t> </w:t>
      </w:r>
      <w:r>
        <w:rPr/>
        <w:t>para</w:t>
      </w:r>
      <w:r>
        <w:rPr>
          <w:spacing w:val="-17"/>
        </w:rPr>
        <w:t> </w:t>
      </w:r>
      <w:r>
        <w:rPr/>
        <w:t>cambiar los procedimientos en torno a la práctica de la transparencia, 29.5% lo suficiente, 14.1% lo necesario, 10.3% nada y el 1.3% no contestó. De igual manera el 48.7% señaló que tiene completa libertad para modificar la página web que contiene información</w:t>
      </w:r>
      <w:r>
        <w:rPr>
          <w:spacing w:val="-3"/>
        </w:rPr>
        <w:t> </w:t>
      </w:r>
      <w:r>
        <w:rPr/>
        <w:t>pública</w:t>
      </w:r>
      <w:r>
        <w:rPr>
          <w:spacing w:val="-4"/>
        </w:rPr>
        <w:t> </w:t>
      </w:r>
      <w:r>
        <w:rPr/>
        <w:t>de</w:t>
      </w:r>
      <w:r>
        <w:rPr>
          <w:spacing w:val="-6"/>
        </w:rPr>
        <w:t> </w:t>
      </w:r>
      <w:r>
        <w:rPr/>
        <w:t>oficio</w:t>
      </w:r>
      <w:r>
        <w:rPr>
          <w:spacing w:val="-4"/>
        </w:rPr>
        <w:t> </w:t>
      </w:r>
      <w:r>
        <w:rPr/>
        <w:t>(IPOMEX),</w:t>
      </w:r>
      <w:r>
        <w:rPr>
          <w:spacing w:val="-5"/>
        </w:rPr>
        <w:t> </w:t>
      </w:r>
      <w:r>
        <w:rPr/>
        <w:t>23.1%</w:t>
      </w:r>
      <w:r>
        <w:rPr>
          <w:spacing w:val="-4"/>
        </w:rPr>
        <w:t> </w:t>
      </w:r>
      <w:r>
        <w:rPr/>
        <w:t>lo</w:t>
      </w:r>
      <w:r>
        <w:rPr>
          <w:spacing w:val="-4"/>
        </w:rPr>
        <w:t> </w:t>
      </w:r>
      <w:r>
        <w:rPr/>
        <w:t>suficiente,</w:t>
      </w:r>
      <w:r>
        <w:rPr>
          <w:spacing w:val="-4"/>
        </w:rPr>
        <w:t> </w:t>
      </w:r>
      <w:r>
        <w:rPr/>
        <w:t>16.7%</w:t>
      </w:r>
      <w:r>
        <w:rPr>
          <w:spacing w:val="-7"/>
        </w:rPr>
        <w:t> </w:t>
      </w:r>
      <w:r>
        <w:rPr/>
        <w:t>lo</w:t>
      </w:r>
      <w:r>
        <w:rPr>
          <w:spacing w:val="-4"/>
        </w:rPr>
        <w:t> </w:t>
      </w:r>
      <w:r>
        <w:rPr/>
        <w:t>necesario</w:t>
      </w:r>
      <w:r>
        <w:rPr>
          <w:spacing w:val="-4"/>
        </w:rPr>
        <w:t> </w:t>
      </w:r>
      <w:r>
        <w:rPr/>
        <w:t>y</w:t>
      </w:r>
      <w:r>
        <w:rPr>
          <w:spacing w:val="-7"/>
        </w:rPr>
        <w:t> </w:t>
      </w:r>
      <w:r>
        <w:rPr/>
        <w:t>el 11.5%</w:t>
      </w:r>
      <w:r>
        <w:rPr>
          <w:spacing w:val="-4"/>
        </w:rPr>
        <w:t> </w:t>
      </w:r>
      <w:r>
        <w:rPr/>
        <w:t>nada.</w:t>
      </w:r>
    </w:p>
    <w:p>
      <w:pPr>
        <w:pStyle w:val="BodyText"/>
      </w:pPr>
    </w:p>
    <w:p>
      <w:pPr>
        <w:pStyle w:val="BodyText"/>
        <w:spacing w:line="360" w:lineRule="auto" w:before="142"/>
        <w:ind w:left="108" w:right="117"/>
        <w:jc w:val="both"/>
      </w:pPr>
      <w:r>
        <w:rPr/>
        <w:t>Los responsables de transparencia mencionaron que necesitan más libertad para el desarrollo</w:t>
      </w:r>
      <w:r>
        <w:rPr>
          <w:spacing w:val="-7"/>
        </w:rPr>
        <w:t> </w:t>
      </w:r>
      <w:r>
        <w:rPr/>
        <w:t>de</w:t>
      </w:r>
      <w:r>
        <w:rPr>
          <w:spacing w:val="-5"/>
        </w:rPr>
        <w:t> </w:t>
      </w:r>
      <w:r>
        <w:rPr/>
        <w:t>sus</w:t>
      </w:r>
      <w:r>
        <w:rPr>
          <w:spacing w:val="-8"/>
        </w:rPr>
        <w:t> </w:t>
      </w:r>
      <w:r>
        <w:rPr/>
        <w:t>funciones,</w:t>
      </w:r>
      <w:r>
        <w:rPr>
          <w:spacing w:val="-7"/>
        </w:rPr>
        <w:t> </w:t>
      </w:r>
      <w:r>
        <w:rPr/>
        <w:t>esta</w:t>
      </w:r>
      <w:r>
        <w:rPr>
          <w:spacing w:val="-5"/>
        </w:rPr>
        <w:t> </w:t>
      </w:r>
      <w:r>
        <w:rPr/>
        <w:t>situación</w:t>
      </w:r>
      <w:r>
        <w:rPr>
          <w:spacing w:val="-4"/>
        </w:rPr>
        <w:t> </w:t>
      </w:r>
      <w:r>
        <w:rPr/>
        <w:t>refleja</w:t>
      </w:r>
      <w:r>
        <w:rPr>
          <w:spacing w:val="-5"/>
        </w:rPr>
        <w:t> </w:t>
      </w:r>
      <w:r>
        <w:rPr/>
        <w:t>cómo</w:t>
      </w:r>
      <w:r>
        <w:rPr>
          <w:spacing w:val="-7"/>
        </w:rPr>
        <w:t> </w:t>
      </w:r>
      <w:r>
        <w:rPr/>
        <w:t>la</w:t>
      </w:r>
      <w:r>
        <w:rPr>
          <w:spacing w:val="-5"/>
        </w:rPr>
        <w:t> </w:t>
      </w:r>
      <w:r>
        <w:rPr/>
        <w:t>estructura</w:t>
      </w:r>
      <w:r>
        <w:rPr>
          <w:spacing w:val="-5"/>
        </w:rPr>
        <w:t> </w:t>
      </w:r>
      <w:r>
        <w:rPr/>
        <w:t>sí</w:t>
      </w:r>
      <w:r>
        <w:rPr>
          <w:spacing w:val="-3"/>
        </w:rPr>
        <w:t> </w:t>
      </w:r>
      <w:r>
        <w:rPr/>
        <w:t>ha</w:t>
      </w:r>
      <w:r>
        <w:rPr>
          <w:spacing w:val="-5"/>
        </w:rPr>
        <w:t> </w:t>
      </w:r>
      <w:r>
        <w:rPr/>
        <w:t>limitado</w:t>
      </w:r>
      <w:r>
        <w:rPr>
          <w:spacing w:val="-5"/>
        </w:rPr>
        <w:t> </w:t>
      </w:r>
      <w:r>
        <w:rPr/>
        <w:t>a la</w:t>
      </w:r>
      <w:r>
        <w:rPr>
          <w:spacing w:val="-2"/>
        </w:rPr>
        <w:t> </w:t>
      </w:r>
      <w:r>
        <w:rPr/>
        <w:t>individual.</w:t>
      </w:r>
    </w:p>
    <w:p>
      <w:pPr>
        <w:pStyle w:val="BodyText"/>
      </w:pPr>
    </w:p>
    <w:p>
      <w:pPr>
        <w:pStyle w:val="BodyText"/>
        <w:spacing w:line="360" w:lineRule="auto" w:before="139"/>
        <w:ind w:left="175" w:right="116"/>
        <w:jc w:val="both"/>
      </w:pPr>
      <w:r>
        <w:rPr/>
        <w:t>En este escenario se puede observar cómo la parte de la estructura formal se ha visto afectada de manera positiva en torno a las prácticas de la transparencia. </w:t>
      </w:r>
      <w:r>
        <w:rPr>
          <w:spacing w:val="66"/>
        </w:rPr>
        <w:t> </w:t>
      </w:r>
      <w:r>
        <w:rPr/>
        <w:t>Sin</w:t>
      </w:r>
    </w:p>
    <w:p>
      <w:pPr>
        <w:spacing w:after="0" w:line="360" w:lineRule="auto"/>
        <w:jc w:val="both"/>
        <w:sectPr>
          <w:pgSz w:w="12240" w:h="15840"/>
          <w:pgMar w:header="0" w:footer="1035" w:top="1360" w:bottom="1220" w:left="1500" w:right="1580"/>
        </w:sectPr>
      </w:pPr>
    </w:p>
    <w:p>
      <w:pPr>
        <w:pStyle w:val="BodyText"/>
        <w:spacing w:line="360" w:lineRule="auto" w:before="54"/>
        <w:ind w:left="555" w:right="116"/>
        <w:jc w:val="both"/>
      </w:pPr>
      <w:r>
        <w:rPr/>
        <w:t>embargo,</w:t>
      </w:r>
      <w:r>
        <w:rPr>
          <w:spacing w:val="-4"/>
        </w:rPr>
        <w:t> </w:t>
      </w:r>
      <w:r>
        <w:rPr/>
        <w:t>pese</w:t>
      </w:r>
      <w:r>
        <w:rPr>
          <w:spacing w:val="-4"/>
        </w:rPr>
        <w:t> </w:t>
      </w:r>
      <w:r>
        <w:rPr/>
        <w:t>a</w:t>
      </w:r>
      <w:r>
        <w:rPr>
          <w:spacing w:val="-4"/>
        </w:rPr>
        <w:t> </w:t>
      </w:r>
      <w:r>
        <w:rPr/>
        <w:t>los</w:t>
      </w:r>
      <w:r>
        <w:rPr>
          <w:spacing w:val="-4"/>
        </w:rPr>
        <w:t> </w:t>
      </w:r>
      <w:r>
        <w:rPr/>
        <w:t>logros</w:t>
      </w:r>
      <w:r>
        <w:rPr>
          <w:spacing w:val="-4"/>
        </w:rPr>
        <w:t> </w:t>
      </w:r>
      <w:r>
        <w:rPr/>
        <w:t>obtenidos</w:t>
      </w:r>
      <w:r>
        <w:rPr>
          <w:spacing w:val="-4"/>
        </w:rPr>
        <w:t> </w:t>
      </w:r>
      <w:r>
        <w:rPr/>
        <w:t>por</w:t>
      </w:r>
      <w:r>
        <w:rPr>
          <w:spacing w:val="-5"/>
        </w:rPr>
        <w:t> </w:t>
      </w:r>
      <w:r>
        <w:rPr/>
        <w:t>las</w:t>
      </w:r>
      <w:r>
        <w:rPr>
          <w:spacing w:val="-6"/>
        </w:rPr>
        <w:t> </w:t>
      </w:r>
      <w:r>
        <w:rPr/>
        <w:t>administraciones</w:t>
      </w:r>
      <w:r>
        <w:rPr>
          <w:spacing w:val="-4"/>
        </w:rPr>
        <w:t> </w:t>
      </w:r>
      <w:r>
        <w:rPr/>
        <w:t>de</w:t>
      </w:r>
      <w:r>
        <w:rPr>
          <w:spacing w:val="-4"/>
        </w:rPr>
        <w:t> </w:t>
      </w:r>
      <w:r>
        <w:rPr/>
        <w:t>los</w:t>
      </w:r>
      <w:r>
        <w:rPr>
          <w:spacing w:val="-4"/>
        </w:rPr>
        <w:t> </w:t>
      </w:r>
      <w:r>
        <w:rPr/>
        <w:t>municipios</w:t>
      </w:r>
      <w:r>
        <w:rPr>
          <w:spacing w:val="-6"/>
        </w:rPr>
        <w:t> </w:t>
      </w:r>
      <w:r>
        <w:rPr/>
        <w:t>se tienen</w:t>
      </w:r>
      <w:r>
        <w:rPr>
          <w:spacing w:val="-7"/>
        </w:rPr>
        <w:t> </w:t>
      </w:r>
      <w:r>
        <w:rPr/>
        <w:t>muchas</w:t>
      </w:r>
      <w:r>
        <w:rPr>
          <w:spacing w:val="-8"/>
        </w:rPr>
        <w:t> </w:t>
      </w:r>
      <w:r>
        <w:rPr/>
        <w:t>limitaciones</w:t>
      </w:r>
      <w:r>
        <w:rPr>
          <w:spacing w:val="-10"/>
        </w:rPr>
        <w:t> </w:t>
      </w:r>
      <w:r>
        <w:rPr/>
        <w:t>para</w:t>
      </w:r>
      <w:r>
        <w:rPr>
          <w:spacing w:val="-8"/>
        </w:rPr>
        <w:t> </w:t>
      </w:r>
      <w:r>
        <w:rPr/>
        <w:t>los</w:t>
      </w:r>
      <w:r>
        <w:rPr>
          <w:spacing w:val="-7"/>
        </w:rPr>
        <w:t> </w:t>
      </w:r>
      <w:r>
        <w:rPr/>
        <w:t>responsables</w:t>
      </w:r>
      <w:r>
        <w:rPr>
          <w:spacing w:val="-7"/>
        </w:rPr>
        <w:t> </w:t>
      </w:r>
      <w:r>
        <w:rPr/>
        <w:t>de</w:t>
      </w:r>
      <w:r>
        <w:rPr>
          <w:spacing w:val="-7"/>
        </w:rPr>
        <w:t> </w:t>
      </w:r>
      <w:r>
        <w:rPr/>
        <w:t>trasparencia.</w:t>
      </w:r>
      <w:r>
        <w:rPr>
          <w:spacing w:val="-10"/>
        </w:rPr>
        <w:t> </w:t>
      </w:r>
      <w:r>
        <w:rPr/>
        <w:t>De</w:t>
      </w:r>
      <w:r>
        <w:rPr>
          <w:spacing w:val="-7"/>
        </w:rPr>
        <w:t> </w:t>
      </w:r>
      <w:r>
        <w:rPr/>
        <w:t>modo</w:t>
      </w:r>
      <w:r>
        <w:rPr>
          <w:spacing w:val="-7"/>
        </w:rPr>
        <w:t> </w:t>
      </w:r>
      <w:r>
        <w:rPr/>
        <w:t>tal</w:t>
      </w:r>
      <w:r>
        <w:rPr>
          <w:spacing w:val="-8"/>
        </w:rPr>
        <w:t> </w:t>
      </w:r>
      <w:r>
        <w:rPr/>
        <w:t>que se</w:t>
      </w:r>
      <w:r>
        <w:rPr>
          <w:spacing w:val="-15"/>
        </w:rPr>
        <w:t> </w:t>
      </w:r>
      <w:r>
        <w:rPr/>
        <w:t>ha</w:t>
      </w:r>
      <w:r>
        <w:rPr>
          <w:spacing w:val="-15"/>
        </w:rPr>
        <w:t> </w:t>
      </w:r>
      <w:r>
        <w:rPr/>
        <w:t>ganado</w:t>
      </w:r>
      <w:r>
        <w:rPr>
          <w:spacing w:val="-17"/>
        </w:rPr>
        <w:t> </w:t>
      </w:r>
      <w:r>
        <w:rPr/>
        <w:t>fortalecer</w:t>
      </w:r>
      <w:r>
        <w:rPr>
          <w:spacing w:val="-16"/>
        </w:rPr>
        <w:t> </w:t>
      </w:r>
      <w:r>
        <w:rPr/>
        <w:t>la</w:t>
      </w:r>
      <w:r>
        <w:rPr>
          <w:spacing w:val="-15"/>
        </w:rPr>
        <w:t> </w:t>
      </w:r>
      <w:r>
        <w:rPr/>
        <w:t>estructura,</w:t>
      </w:r>
      <w:r>
        <w:rPr>
          <w:spacing w:val="-17"/>
        </w:rPr>
        <w:t> </w:t>
      </w:r>
      <w:r>
        <w:rPr/>
        <w:t>pero</w:t>
      </w:r>
      <w:r>
        <w:rPr>
          <w:spacing w:val="-18"/>
        </w:rPr>
        <w:t> </w:t>
      </w:r>
      <w:r>
        <w:rPr/>
        <w:t>no</w:t>
      </w:r>
      <w:r>
        <w:rPr>
          <w:spacing w:val="-17"/>
        </w:rPr>
        <w:t> </w:t>
      </w:r>
      <w:r>
        <w:rPr/>
        <w:t>se</w:t>
      </w:r>
      <w:r>
        <w:rPr>
          <w:spacing w:val="-15"/>
        </w:rPr>
        <w:t> </w:t>
      </w:r>
      <w:r>
        <w:rPr/>
        <w:t>considera</w:t>
      </w:r>
      <w:r>
        <w:rPr>
          <w:spacing w:val="-15"/>
        </w:rPr>
        <w:t> </w:t>
      </w:r>
      <w:r>
        <w:rPr/>
        <w:t>que</w:t>
      </w:r>
      <w:r>
        <w:rPr>
          <w:spacing w:val="-15"/>
        </w:rPr>
        <w:t> </w:t>
      </w:r>
      <w:r>
        <w:rPr/>
        <w:t>los</w:t>
      </w:r>
      <w:r>
        <w:rPr>
          <w:spacing w:val="-17"/>
        </w:rPr>
        <w:t> </w:t>
      </w:r>
      <w:r>
        <w:rPr/>
        <w:t>municipios</w:t>
      </w:r>
      <w:r>
        <w:rPr>
          <w:spacing w:val="-15"/>
        </w:rPr>
        <w:t> </w:t>
      </w:r>
      <w:r>
        <w:rPr/>
        <w:t>tienen condiciones diferentes y al limitar la conducta individual, se limita también la posibilidad</w:t>
      </w:r>
      <w:r>
        <w:rPr>
          <w:spacing w:val="-19"/>
        </w:rPr>
        <w:t> </w:t>
      </w:r>
      <w:r>
        <w:rPr/>
        <w:t>de</w:t>
      </w:r>
      <w:r>
        <w:rPr>
          <w:spacing w:val="-19"/>
        </w:rPr>
        <w:t> </w:t>
      </w:r>
      <w:r>
        <w:rPr/>
        <w:t>adaptar</w:t>
      </w:r>
      <w:r>
        <w:rPr>
          <w:spacing w:val="-18"/>
        </w:rPr>
        <w:t> </w:t>
      </w:r>
      <w:r>
        <w:rPr/>
        <w:t>la</w:t>
      </w:r>
      <w:r>
        <w:rPr>
          <w:spacing w:val="-17"/>
        </w:rPr>
        <w:t> </w:t>
      </w:r>
      <w:r>
        <w:rPr/>
        <w:t>práctica</w:t>
      </w:r>
      <w:r>
        <w:rPr>
          <w:spacing w:val="-19"/>
        </w:rPr>
        <w:t> </w:t>
      </w:r>
      <w:r>
        <w:rPr/>
        <w:t>de</w:t>
      </w:r>
      <w:r>
        <w:rPr>
          <w:spacing w:val="-17"/>
        </w:rPr>
        <w:t> </w:t>
      </w:r>
      <w:r>
        <w:rPr/>
        <w:t>la</w:t>
      </w:r>
      <w:r>
        <w:rPr>
          <w:spacing w:val="-17"/>
        </w:rPr>
        <w:t> </w:t>
      </w:r>
      <w:r>
        <w:rPr/>
        <w:t>transparencia</w:t>
      </w:r>
      <w:r>
        <w:rPr>
          <w:spacing w:val="-17"/>
        </w:rPr>
        <w:t> </w:t>
      </w:r>
      <w:r>
        <w:rPr/>
        <w:t>según</w:t>
      </w:r>
      <w:r>
        <w:rPr>
          <w:spacing w:val="-17"/>
        </w:rPr>
        <w:t> </w:t>
      </w:r>
      <w:r>
        <w:rPr/>
        <w:t>las</w:t>
      </w:r>
      <w:r>
        <w:rPr>
          <w:spacing w:val="-19"/>
        </w:rPr>
        <w:t> </w:t>
      </w:r>
      <w:r>
        <w:rPr/>
        <w:t>necesidades</w:t>
      </w:r>
      <w:r>
        <w:rPr>
          <w:spacing w:val="-20"/>
        </w:rPr>
        <w:t> </w:t>
      </w:r>
      <w:r>
        <w:rPr/>
        <w:t>de</w:t>
      </w:r>
      <w:r>
        <w:rPr>
          <w:spacing w:val="-17"/>
        </w:rPr>
        <w:t> </w:t>
      </w:r>
      <w:r>
        <w:rPr/>
        <w:t>cada municipio.</w:t>
      </w:r>
    </w:p>
    <w:p>
      <w:pPr>
        <w:pStyle w:val="BodyText"/>
      </w:pPr>
    </w:p>
    <w:p>
      <w:pPr>
        <w:pStyle w:val="BodyText"/>
        <w:spacing w:line="360" w:lineRule="auto" w:before="142"/>
        <w:ind w:left="488" w:right="124"/>
        <w:jc w:val="both"/>
      </w:pPr>
      <w:r>
        <w:rPr/>
        <w:t>Pese a que se tiene una estructura homogénea del INFOEM para publicar información en los portales web, se requiere mayor libertad de los municipios para poder actualizarla de manera constante.</w:t>
      </w:r>
    </w:p>
    <w:p>
      <w:pPr>
        <w:pStyle w:val="BodyText"/>
      </w:pPr>
    </w:p>
    <w:p>
      <w:pPr>
        <w:pStyle w:val="BodyText"/>
        <w:spacing w:before="7"/>
        <w:rPr>
          <w:sz w:val="29"/>
        </w:rPr>
      </w:pPr>
    </w:p>
    <w:p>
      <w:pPr>
        <w:pStyle w:val="Heading1"/>
        <w:numPr>
          <w:ilvl w:val="3"/>
          <w:numId w:val="44"/>
        </w:numPr>
        <w:tabs>
          <w:tab w:pos="1196" w:val="left" w:leader="none"/>
          <w:tab w:pos="1197" w:val="left" w:leader="none"/>
        </w:tabs>
        <w:spacing w:line="240" w:lineRule="auto" w:before="0" w:after="0"/>
        <w:ind w:left="1196" w:right="0" w:hanging="1080"/>
        <w:jc w:val="left"/>
      </w:pPr>
      <w:r>
        <w:rPr/>
        <w:t>Estabilidad organizacional a través del</w:t>
      </w:r>
      <w:r>
        <w:rPr>
          <w:spacing w:val="-16"/>
        </w:rPr>
        <w:t> </w:t>
      </w:r>
      <w:r>
        <w:rPr/>
        <w:t>tiempo</w:t>
      </w:r>
    </w:p>
    <w:p>
      <w:pPr>
        <w:pStyle w:val="BodyText"/>
        <w:rPr>
          <w:b/>
        </w:rPr>
      </w:pPr>
    </w:p>
    <w:p>
      <w:pPr>
        <w:pStyle w:val="BodyText"/>
        <w:rPr>
          <w:b/>
        </w:rPr>
      </w:pPr>
    </w:p>
    <w:p>
      <w:pPr>
        <w:pStyle w:val="BodyText"/>
        <w:spacing w:line="360" w:lineRule="auto"/>
        <w:ind w:left="488" w:right="116"/>
        <w:jc w:val="both"/>
      </w:pPr>
      <w:r>
        <w:rPr/>
        <w:t>En la administración pública se tienen varios aspectos que limitan la institucionalización de las prácticas gubernamentales. La principal limitante es que los constantes cambios de administración que se dan cada tres años no permiten estabilizar las prácticas gubernamentales. Es aquí donde las normas y los organismos</w:t>
      </w:r>
      <w:r>
        <w:rPr>
          <w:spacing w:val="-4"/>
        </w:rPr>
        <w:t> </w:t>
      </w:r>
      <w:r>
        <w:rPr/>
        <w:t>externos</w:t>
      </w:r>
      <w:r>
        <w:rPr>
          <w:spacing w:val="-4"/>
        </w:rPr>
        <w:t> </w:t>
      </w:r>
      <w:r>
        <w:rPr/>
        <w:t>como</w:t>
      </w:r>
      <w:r>
        <w:rPr>
          <w:spacing w:val="-6"/>
        </w:rPr>
        <w:t> </w:t>
      </w:r>
      <w:r>
        <w:rPr/>
        <w:t>el</w:t>
      </w:r>
      <w:r>
        <w:rPr>
          <w:spacing w:val="-5"/>
        </w:rPr>
        <w:t> </w:t>
      </w:r>
      <w:r>
        <w:rPr/>
        <w:t>INFOEM</w:t>
      </w:r>
      <w:r>
        <w:rPr>
          <w:spacing w:val="-5"/>
        </w:rPr>
        <w:t> </w:t>
      </w:r>
      <w:r>
        <w:rPr/>
        <w:t>cumplen</w:t>
      </w:r>
      <w:r>
        <w:rPr>
          <w:spacing w:val="-4"/>
        </w:rPr>
        <w:t> </w:t>
      </w:r>
      <w:r>
        <w:rPr/>
        <w:t>un</w:t>
      </w:r>
      <w:r>
        <w:rPr>
          <w:spacing w:val="-4"/>
        </w:rPr>
        <w:t> </w:t>
      </w:r>
      <w:r>
        <w:rPr/>
        <w:t>rol</w:t>
      </w:r>
      <w:r>
        <w:rPr>
          <w:spacing w:val="-5"/>
        </w:rPr>
        <w:t> </w:t>
      </w:r>
      <w:r>
        <w:rPr/>
        <w:t>fundamental</w:t>
      </w:r>
      <w:r>
        <w:rPr>
          <w:spacing w:val="-7"/>
        </w:rPr>
        <w:t> </w:t>
      </w:r>
      <w:r>
        <w:rPr/>
        <w:t>ya</w:t>
      </w:r>
      <w:r>
        <w:rPr>
          <w:spacing w:val="-4"/>
        </w:rPr>
        <w:t> </w:t>
      </w:r>
      <w:r>
        <w:rPr/>
        <w:t>que</w:t>
      </w:r>
      <w:r>
        <w:rPr>
          <w:spacing w:val="-4"/>
        </w:rPr>
        <w:t> </w:t>
      </w:r>
      <w:r>
        <w:rPr/>
        <w:t>permiten dar continuidad a los trabajos realizados con</w:t>
      </w:r>
      <w:r>
        <w:rPr>
          <w:spacing w:val="-24"/>
        </w:rPr>
        <w:t> </w:t>
      </w:r>
      <w:r>
        <w:rPr/>
        <w:t>anterioridad.</w:t>
      </w:r>
    </w:p>
    <w:p>
      <w:pPr>
        <w:pStyle w:val="BodyText"/>
      </w:pPr>
    </w:p>
    <w:p>
      <w:pPr>
        <w:pStyle w:val="BodyText"/>
        <w:spacing w:line="360" w:lineRule="auto" w:before="142"/>
        <w:ind w:left="488" w:right="115"/>
        <w:jc w:val="both"/>
      </w:pPr>
      <w:r>
        <w:rPr/>
        <w:t>Un claro ejemplo de esto es que solamente el 14.1% señaló que las decisiones tomadas</w:t>
      </w:r>
      <w:r>
        <w:rPr>
          <w:spacing w:val="-15"/>
        </w:rPr>
        <w:t> </w:t>
      </w:r>
      <w:r>
        <w:rPr/>
        <w:t>en</w:t>
      </w:r>
      <w:r>
        <w:rPr>
          <w:spacing w:val="-12"/>
        </w:rPr>
        <w:t> </w:t>
      </w:r>
      <w:r>
        <w:rPr/>
        <w:t>administraciones</w:t>
      </w:r>
      <w:r>
        <w:rPr>
          <w:spacing w:val="-15"/>
        </w:rPr>
        <w:t> </w:t>
      </w:r>
      <w:r>
        <w:rPr/>
        <w:t>pasadas</w:t>
      </w:r>
      <w:r>
        <w:rPr>
          <w:spacing w:val="-15"/>
        </w:rPr>
        <w:t> </w:t>
      </w:r>
      <w:r>
        <w:rPr/>
        <w:t>han</w:t>
      </w:r>
      <w:r>
        <w:rPr>
          <w:spacing w:val="-12"/>
        </w:rPr>
        <w:t> </w:t>
      </w:r>
      <w:r>
        <w:rPr/>
        <w:t>limitado</w:t>
      </w:r>
      <w:r>
        <w:rPr>
          <w:spacing w:val="-12"/>
        </w:rPr>
        <w:t> </w:t>
      </w:r>
      <w:r>
        <w:rPr/>
        <w:t>la</w:t>
      </w:r>
      <w:r>
        <w:rPr>
          <w:spacing w:val="-14"/>
        </w:rPr>
        <w:t> </w:t>
      </w:r>
      <w:r>
        <w:rPr/>
        <w:t>transparencia</w:t>
      </w:r>
      <w:r>
        <w:rPr>
          <w:spacing w:val="-12"/>
        </w:rPr>
        <w:t> </w:t>
      </w:r>
      <w:r>
        <w:rPr/>
        <w:t>de</w:t>
      </w:r>
      <w:r>
        <w:rPr>
          <w:spacing w:val="-12"/>
        </w:rPr>
        <w:t> </w:t>
      </w:r>
      <w:r>
        <w:rPr/>
        <w:t>su</w:t>
      </w:r>
      <w:r>
        <w:rPr>
          <w:spacing w:val="-14"/>
        </w:rPr>
        <w:t> </w:t>
      </w:r>
      <w:r>
        <w:rPr/>
        <w:t>municipio, 24.4%</w:t>
      </w:r>
      <w:r>
        <w:rPr>
          <w:spacing w:val="-7"/>
        </w:rPr>
        <w:t> </w:t>
      </w:r>
      <w:r>
        <w:rPr/>
        <w:t>lo</w:t>
      </w:r>
      <w:r>
        <w:rPr>
          <w:spacing w:val="-6"/>
        </w:rPr>
        <w:t> </w:t>
      </w:r>
      <w:r>
        <w:rPr/>
        <w:t>suficiente,</w:t>
      </w:r>
      <w:r>
        <w:rPr>
          <w:spacing w:val="-6"/>
        </w:rPr>
        <w:t> </w:t>
      </w:r>
      <w:r>
        <w:rPr/>
        <w:t>23.1%</w:t>
      </w:r>
      <w:r>
        <w:rPr>
          <w:spacing w:val="-4"/>
        </w:rPr>
        <w:t> </w:t>
      </w:r>
      <w:r>
        <w:rPr/>
        <w:t>lo</w:t>
      </w:r>
      <w:r>
        <w:rPr>
          <w:spacing w:val="-9"/>
        </w:rPr>
        <w:t> </w:t>
      </w:r>
      <w:r>
        <w:rPr/>
        <w:t>necesario,</w:t>
      </w:r>
      <w:r>
        <w:rPr>
          <w:spacing w:val="-6"/>
        </w:rPr>
        <w:t> </w:t>
      </w:r>
      <w:r>
        <w:rPr/>
        <w:t>37.2%</w:t>
      </w:r>
      <w:r>
        <w:rPr>
          <w:spacing w:val="-4"/>
        </w:rPr>
        <w:t> </w:t>
      </w:r>
      <w:r>
        <w:rPr/>
        <w:t>nada</w:t>
      </w:r>
      <w:r>
        <w:rPr>
          <w:spacing w:val="-6"/>
        </w:rPr>
        <w:t> </w:t>
      </w:r>
      <w:r>
        <w:rPr/>
        <w:t>y</w:t>
      </w:r>
      <w:r>
        <w:rPr>
          <w:spacing w:val="-7"/>
        </w:rPr>
        <w:t> </w:t>
      </w:r>
      <w:r>
        <w:rPr/>
        <w:t>el</w:t>
      </w:r>
      <w:r>
        <w:rPr>
          <w:spacing w:val="-7"/>
        </w:rPr>
        <w:t> </w:t>
      </w:r>
      <w:r>
        <w:rPr/>
        <w:t>1.3%</w:t>
      </w:r>
      <w:r>
        <w:rPr>
          <w:spacing w:val="-7"/>
        </w:rPr>
        <w:t> </w:t>
      </w:r>
      <w:r>
        <w:rPr/>
        <w:t>no</w:t>
      </w:r>
      <w:r>
        <w:rPr>
          <w:spacing w:val="-4"/>
        </w:rPr>
        <w:t> </w:t>
      </w:r>
      <w:r>
        <w:rPr/>
        <w:t>contestó.</w:t>
      </w:r>
      <w:r>
        <w:rPr>
          <w:spacing w:val="-6"/>
        </w:rPr>
        <w:t> </w:t>
      </w:r>
      <w:r>
        <w:rPr/>
        <w:t>De</w:t>
      </w:r>
      <w:r>
        <w:rPr>
          <w:spacing w:val="-6"/>
        </w:rPr>
        <w:t> </w:t>
      </w:r>
      <w:r>
        <w:rPr/>
        <w:t>igual manera, para el 23.1% las decisiones tomadas en administraciones pasadas han influido completamente en la práctica de la transparencia del municipio, 33.3% lo suficiente, 24.4% lo necesario, 17.9% nada y el 1.3% no</w:t>
      </w:r>
      <w:r>
        <w:rPr>
          <w:spacing w:val="-19"/>
        </w:rPr>
        <w:t> </w:t>
      </w:r>
      <w:r>
        <w:rPr/>
        <w:t>contestó.</w:t>
      </w:r>
    </w:p>
    <w:p>
      <w:pPr>
        <w:pStyle w:val="BodyText"/>
      </w:pPr>
    </w:p>
    <w:p>
      <w:pPr>
        <w:pStyle w:val="BodyText"/>
        <w:spacing w:line="360" w:lineRule="auto" w:before="142"/>
        <w:ind w:left="488" w:right="126"/>
        <w:jc w:val="both"/>
      </w:pPr>
      <w:r>
        <w:rPr/>
        <w:t>Las afirmaciones siguientes son claro ejemplo de que cuando cambia una administración quiere comenzar de nuevo y pocas veces retoman o reconocen lo que hizo la administración anterior:</w:t>
      </w:r>
    </w:p>
    <w:p>
      <w:pPr>
        <w:spacing w:after="0" w:line="360" w:lineRule="auto"/>
        <w:jc w:val="both"/>
        <w:sectPr>
          <w:pgSz w:w="12240" w:h="15840"/>
          <w:pgMar w:header="0" w:footer="1035" w:top="1360" w:bottom="1220" w:left="1120" w:right="1580"/>
        </w:sectPr>
      </w:pPr>
    </w:p>
    <w:p>
      <w:pPr>
        <w:pStyle w:val="ListParagraph"/>
        <w:numPr>
          <w:ilvl w:val="4"/>
          <w:numId w:val="44"/>
        </w:numPr>
        <w:tabs>
          <w:tab w:pos="916" w:val="left" w:leader="none"/>
        </w:tabs>
        <w:spacing w:line="276" w:lineRule="auto" w:before="32" w:after="0"/>
        <w:ind w:left="915" w:right="122" w:hanging="360"/>
        <w:jc w:val="both"/>
        <w:rPr>
          <w:sz w:val="24"/>
        </w:rPr>
      </w:pPr>
      <w:r>
        <w:rPr>
          <w:sz w:val="24"/>
        </w:rPr>
        <w:t>En</w:t>
      </w:r>
      <w:r>
        <w:rPr>
          <w:spacing w:val="-6"/>
          <w:sz w:val="24"/>
        </w:rPr>
        <w:t> </w:t>
      </w:r>
      <w:r>
        <w:rPr>
          <w:sz w:val="24"/>
        </w:rPr>
        <w:t>qué</w:t>
      </w:r>
      <w:r>
        <w:rPr>
          <w:spacing w:val="-6"/>
          <w:sz w:val="24"/>
        </w:rPr>
        <w:t> </w:t>
      </w:r>
      <w:r>
        <w:rPr>
          <w:sz w:val="24"/>
        </w:rPr>
        <w:t>medida</w:t>
      </w:r>
      <w:r>
        <w:rPr>
          <w:spacing w:val="-6"/>
          <w:sz w:val="24"/>
        </w:rPr>
        <w:t> </w:t>
      </w:r>
      <w:r>
        <w:rPr>
          <w:sz w:val="24"/>
        </w:rPr>
        <w:t>las</w:t>
      </w:r>
      <w:r>
        <w:rPr>
          <w:spacing w:val="-9"/>
          <w:sz w:val="24"/>
        </w:rPr>
        <w:t> </w:t>
      </w:r>
      <w:r>
        <w:rPr>
          <w:sz w:val="24"/>
        </w:rPr>
        <w:t>acciones</w:t>
      </w:r>
      <w:r>
        <w:rPr>
          <w:spacing w:val="-7"/>
          <w:sz w:val="24"/>
        </w:rPr>
        <w:t> </w:t>
      </w:r>
      <w:r>
        <w:rPr>
          <w:sz w:val="24"/>
        </w:rPr>
        <w:t>que</w:t>
      </w:r>
      <w:r>
        <w:rPr>
          <w:spacing w:val="-6"/>
          <w:sz w:val="24"/>
        </w:rPr>
        <w:t> </w:t>
      </w:r>
      <w:r>
        <w:rPr>
          <w:sz w:val="24"/>
        </w:rPr>
        <w:t>realizó</w:t>
      </w:r>
      <w:r>
        <w:rPr>
          <w:spacing w:val="-6"/>
          <w:sz w:val="24"/>
        </w:rPr>
        <w:t> </w:t>
      </w:r>
      <w:r>
        <w:rPr>
          <w:sz w:val="24"/>
        </w:rPr>
        <w:t>la</w:t>
      </w:r>
      <w:r>
        <w:rPr>
          <w:spacing w:val="-6"/>
          <w:sz w:val="24"/>
        </w:rPr>
        <w:t> </w:t>
      </w:r>
      <w:r>
        <w:rPr>
          <w:sz w:val="24"/>
        </w:rPr>
        <w:t>administración</w:t>
      </w:r>
      <w:r>
        <w:rPr>
          <w:spacing w:val="-8"/>
          <w:sz w:val="24"/>
        </w:rPr>
        <w:t> </w:t>
      </w:r>
      <w:r>
        <w:rPr>
          <w:sz w:val="24"/>
        </w:rPr>
        <w:t>anterior</w:t>
      </w:r>
      <w:r>
        <w:rPr>
          <w:spacing w:val="-7"/>
          <w:sz w:val="24"/>
        </w:rPr>
        <w:t> </w:t>
      </w:r>
      <w:r>
        <w:rPr>
          <w:sz w:val="24"/>
        </w:rPr>
        <w:t>le</w:t>
      </w:r>
      <w:r>
        <w:rPr>
          <w:spacing w:val="-6"/>
          <w:sz w:val="24"/>
        </w:rPr>
        <w:t> </w:t>
      </w:r>
      <w:r>
        <w:rPr>
          <w:sz w:val="24"/>
        </w:rPr>
        <w:t>sirvieron</w:t>
      </w:r>
      <w:r>
        <w:rPr>
          <w:spacing w:val="-6"/>
          <w:sz w:val="24"/>
        </w:rPr>
        <w:t> </w:t>
      </w:r>
      <w:r>
        <w:rPr>
          <w:sz w:val="24"/>
        </w:rPr>
        <w:t>de base para el desarrollo de su trabajo el 16.7% completamente, 30.8% lo suficiente, 29.5% lo necesario y el 23.1%</w:t>
      </w:r>
      <w:r>
        <w:rPr>
          <w:spacing w:val="-19"/>
          <w:sz w:val="24"/>
        </w:rPr>
        <w:t> </w:t>
      </w:r>
      <w:r>
        <w:rPr>
          <w:sz w:val="24"/>
        </w:rPr>
        <w:t>nada.</w:t>
      </w:r>
    </w:p>
    <w:p>
      <w:pPr>
        <w:pStyle w:val="ListParagraph"/>
        <w:numPr>
          <w:ilvl w:val="4"/>
          <w:numId w:val="44"/>
        </w:numPr>
        <w:tabs>
          <w:tab w:pos="916" w:val="left" w:leader="none"/>
        </w:tabs>
        <w:spacing w:line="273" w:lineRule="auto" w:before="0" w:after="0"/>
        <w:ind w:left="915" w:right="116" w:hanging="360"/>
        <w:jc w:val="both"/>
        <w:rPr>
          <w:sz w:val="24"/>
        </w:rPr>
      </w:pPr>
      <w:r>
        <w:rPr>
          <w:sz w:val="24"/>
        </w:rPr>
        <w:t>En qué medida las decisiones tomadas en administraciones pasadas han favorecido la transparencia de su municipio el 14.1% completamente, 37.2% lo suficiente, 25.6% lo necesario y el 23.1%</w:t>
      </w:r>
      <w:r>
        <w:rPr>
          <w:spacing w:val="-19"/>
          <w:sz w:val="24"/>
        </w:rPr>
        <w:t> </w:t>
      </w:r>
      <w:r>
        <w:rPr>
          <w:sz w:val="24"/>
        </w:rPr>
        <w:t>nada.</w:t>
      </w:r>
    </w:p>
    <w:p>
      <w:pPr>
        <w:pStyle w:val="ListParagraph"/>
        <w:numPr>
          <w:ilvl w:val="4"/>
          <w:numId w:val="44"/>
        </w:numPr>
        <w:tabs>
          <w:tab w:pos="916" w:val="left" w:leader="none"/>
        </w:tabs>
        <w:spacing w:line="276" w:lineRule="auto" w:before="1" w:after="0"/>
        <w:ind w:left="915" w:right="119" w:hanging="360"/>
        <w:jc w:val="both"/>
        <w:rPr>
          <w:sz w:val="24"/>
        </w:rPr>
      </w:pPr>
      <w:r>
        <w:rPr>
          <w:sz w:val="24"/>
        </w:rPr>
        <w:t>En qué medida la administración siguiente podrá mejorar la transparencia en su municipio el 43.6% completamente, 33.3% lo suficiente, 17.9% lo necesario, 2.6% nada y el 2.6% no</w:t>
      </w:r>
      <w:r>
        <w:rPr>
          <w:spacing w:val="-6"/>
          <w:sz w:val="24"/>
        </w:rPr>
        <w:t> </w:t>
      </w:r>
      <w:r>
        <w:rPr>
          <w:sz w:val="24"/>
        </w:rPr>
        <w:t>contestó.</w:t>
      </w:r>
    </w:p>
    <w:p>
      <w:pPr>
        <w:pStyle w:val="BodyText"/>
        <w:spacing w:before="10"/>
        <w:rPr>
          <w:sz w:val="35"/>
        </w:rPr>
      </w:pPr>
    </w:p>
    <w:p>
      <w:pPr>
        <w:pStyle w:val="BodyText"/>
        <w:spacing w:line="360" w:lineRule="auto" w:before="1"/>
        <w:ind w:left="488" w:right="118"/>
        <w:jc w:val="both"/>
      </w:pPr>
      <w:r>
        <w:rPr/>
        <w:t>Estas tres respuestas permiten hacer dos inferencias relevantes: primera, que los responsables de transparencia consideran que lo realizado por las</w:t>
      </w:r>
      <w:r>
        <w:rPr>
          <w:spacing w:val="-41"/>
        </w:rPr>
        <w:t> </w:t>
      </w:r>
      <w:r>
        <w:rPr/>
        <w:t>administraciones anteriores</w:t>
      </w:r>
      <w:r>
        <w:rPr>
          <w:spacing w:val="-11"/>
        </w:rPr>
        <w:t> </w:t>
      </w:r>
      <w:r>
        <w:rPr/>
        <w:t>es</w:t>
      </w:r>
      <w:r>
        <w:rPr>
          <w:spacing w:val="-9"/>
        </w:rPr>
        <w:t> </w:t>
      </w:r>
      <w:r>
        <w:rPr/>
        <w:t>poco</w:t>
      </w:r>
      <w:r>
        <w:rPr>
          <w:spacing w:val="-8"/>
        </w:rPr>
        <w:t> </w:t>
      </w:r>
      <w:r>
        <w:rPr/>
        <w:t>útil</w:t>
      </w:r>
      <w:r>
        <w:rPr>
          <w:spacing w:val="-12"/>
        </w:rPr>
        <w:t> </w:t>
      </w:r>
      <w:r>
        <w:rPr/>
        <w:t>para</w:t>
      </w:r>
      <w:r>
        <w:rPr>
          <w:spacing w:val="-6"/>
        </w:rPr>
        <w:t> </w:t>
      </w:r>
      <w:r>
        <w:rPr/>
        <w:t>ellos</w:t>
      </w:r>
      <w:r>
        <w:rPr>
          <w:spacing w:val="-9"/>
        </w:rPr>
        <w:t> </w:t>
      </w:r>
      <w:r>
        <w:rPr/>
        <w:t>ya</w:t>
      </w:r>
      <w:r>
        <w:rPr>
          <w:spacing w:val="-8"/>
        </w:rPr>
        <w:t> </w:t>
      </w:r>
      <w:r>
        <w:rPr/>
        <w:t>que</w:t>
      </w:r>
      <w:r>
        <w:rPr>
          <w:spacing w:val="-8"/>
        </w:rPr>
        <w:t> </w:t>
      </w:r>
      <w:r>
        <w:rPr/>
        <w:t>los</w:t>
      </w:r>
      <w:r>
        <w:rPr>
          <w:spacing w:val="-9"/>
        </w:rPr>
        <w:t> </w:t>
      </w:r>
      <w:r>
        <w:rPr/>
        <w:t>porcentajes</w:t>
      </w:r>
      <w:r>
        <w:rPr>
          <w:spacing w:val="-9"/>
        </w:rPr>
        <w:t> </w:t>
      </w:r>
      <w:r>
        <w:rPr/>
        <w:t>oscilan</w:t>
      </w:r>
      <w:r>
        <w:rPr>
          <w:spacing w:val="-11"/>
        </w:rPr>
        <w:t> </w:t>
      </w:r>
      <w:r>
        <w:rPr/>
        <w:t>entre</w:t>
      </w:r>
      <w:r>
        <w:rPr>
          <w:spacing w:val="-8"/>
        </w:rPr>
        <w:t> </w:t>
      </w:r>
      <w:r>
        <w:rPr/>
        <w:t>14</w:t>
      </w:r>
      <w:r>
        <w:rPr>
          <w:spacing w:val="-8"/>
        </w:rPr>
        <w:t> </w:t>
      </w:r>
      <w:r>
        <w:rPr/>
        <w:t>y</w:t>
      </w:r>
      <w:r>
        <w:rPr>
          <w:spacing w:val="-12"/>
        </w:rPr>
        <w:t> </w:t>
      </w:r>
      <w:r>
        <w:rPr/>
        <w:t>16%,</w:t>
      </w:r>
      <w:r>
        <w:rPr>
          <w:spacing w:val="-11"/>
        </w:rPr>
        <w:t> </w:t>
      </w:r>
      <w:r>
        <w:rPr/>
        <w:t>pero lo que ellos pueden hacer en su administración llegará hasta el 43.6%, es decir su trabajo sí servirá en mayor medida a la práctica de la transparencia. Segunda, que de</w:t>
      </w:r>
      <w:r>
        <w:rPr>
          <w:spacing w:val="-5"/>
        </w:rPr>
        <w:t> </w:t>
      </w:r>
      <w:r>
        <w:rPr/>
        <w:t>llegar</w:t>
      </w:r>
      <w:r>
        <w:rPr>
          <w:spacing w:val="-6"/>
        </w:rPr>
        <w:t> </w:t>
      </w:r>
      <w:r>
        <w:rPr/>
        <w:t>a</w:t>
      </w:r>
      <w:r>
        <w:rPr>
          <w:spacing w:val="-5"/>
        </w:rPr>
        <w:t> </w:t>
      </w:r>
      <w:r>
        <w:rPr/>
        <w:t>un</w:t>
      </w:r>
      <w:r>
        <w:rPr>
          <w:spacing w:val="-5"/>
        </w:rPr>
        <w:t> </w:t>
      </w:r>
      <w:r>
        <w:rPr/>
        <w:t>40%</w:t>
      </w:r>
      <w:r>
        <w:rPr>
          <w:spacing w:val="-5"/>
        </w:rPr>
        <w:t> </w:t>
      </w:r>
      <w:r>
        <w:rPr/>
        <w:t>de</w:t>
      </w:r>
      <w:r>
        <w:rPr>
          <w:spacing w:val="-7"/>
        </w:rPr>
        <w:t> </w:t>
      </w:r>
      <w:r>
        <w:rPr/>
        <w:t>beneficio</w:t>
      </w:r>
      <w:r>
        <w:rPr>
          <w:spacing w:val="-1"/>
        </w:rPr>
        <w:t> </w:t>
      </w:r>
      <w:r>
        <w:rPr/>
        <w:t>para</w:t>
      </w:r>
      <w:r>
        <w:rPr>
          <w:spacing w:val="-5"/>
        </w:rPr>
        <w:t> </w:t>
      </w:r>
      <w:r>
        <w:rPr/>
        <w:t>la</w:t>
      </w:r>
      <w:r>
        <w:rPr>
          <w:spacing w:val="-5"/>
        </w:rPr>
        <w:t> </w:t>
      </w:r>
      <w:r>
        <w:rPr/>
        <w:t>práctica</w:t>
      </w:r>
      <w:r>
        <w:rPr>
          <w:spacing w:val="-5"/>
        </w:rPr>
        <w:t> </w:t>
      </w:r>
      <w:r>
        <w:rPr/>
        <w:t>de</w:t>
      </w:r>
      <w:r>
        <w:rPr>
          <w:spacing w:val="-5"/>
        </w:rPr>
        <w:t> </w:t>
      </w:r>
      <w:r>
        <w:rPr/>
        <w:t>la</w:t>
      </w:r>
      <w:r>
        <w:rPr>
          <w:spacing w:val="-5"/>
        </w:rPr>
        <w:t> </w:t>
      </w:r>
      <w:r>
        <w:rPr/>
        <w:t>transparencia</w:t>
      </w:r>
      <w:r>
        <w:rPr>
          <w:spacing w:val="-7"/>
        </w:rPr>
        <w:t> </w:t>
      </w:r>
      <w:r>
        <w:rPr/>
        <w:t>se</w:t>
      </w:r>
      <w:r>
        <w:rPr>
          <w:spacing w:val="-5"/>
        </w:rPr>
        <w:t> </w:t>
      </w:r>
      <w:r>
        <w:rPr/>
        <w:t>tiene</w:t>
      </w:r>
      <w:r>
        <w:rPr>
          <w:spacing w:val="-5"/>
        </w:rPr>
        <w:t> </w:t>
      </w:r>
      <w:r>
        <w:rPr/>
        <w:t>un</w:t>
      </w:r>
      <w:r>
        <w:rPr>
          <w:spacing w:val="-5"/>
        </w:rPr>
        <w:t> </w:t>
      </w:r>
      <w:r>
        <w:rPr/>
        <w:t>gran abismo entre el discurso de los gobernantes y una verdadera práctica de la transparencia.</w:t>
      </w:r>
    </w:p>
    <w:p>
      <w:pPr>
        <w:pStyle w:val="BodyText"/>
      </w:pPr>
    </w:p>
    <w:p>
      <w:pPr>
        <w:pStyle w:val="BodyText"/>
        <w:spacing w:before="8"/>
        <w:rPr>
          <w:sz w:val="29"/>
        </w:rPr>
      </w:pPr>
    </w:p>
    <w:p>
      <w:pPr>
        <w:pStyle w:val="Heading1"/>
        <w:numPr>
          <w:ilvl w:val="3"/>
          <w:numId w:val="44"/>
        </w:numPr>
        <w:tabs>
          <w:tab w:pos="1196" w:val="left" w:leader="none"/>
          <w:tab w:pos="1197" w:val="left" w:leader="none"/>
        </w:tabs>
        <w:spacing w:line="240" w:lineRule="auto" w:before="0" w:after="0"/>
        <w:ind w:left="1196" w:right="0" w:hanging="1080"/>
        <w:jc w:val="left"/>
      </w:pPr>
      <w:r>
        <w:rPr/>
        <w:t>Rol de las</w:t>
      </w:r>
      <w:r>
        <w:rPr>
          <w:spacing w:val="-7"/>
        </w:rPr>
        <w:t> </w:t>
      </w:r>
      <w:r>
        <w:rPr/>
        <w:t>instituciones</w:t>
      </w:r>
    </w:p>
    <w:p>
      <w:pPr>
        <w:pStyle w:val="BodyText"/>
        <w:rPr>
          <w:b/>
        </w:rPr>
      </w:pPr>
    </w:p>
    <w:p>
      <w:pPr>
        <w:pStyle w:val="BodyText"/>
        <w:rPr>
          <w:b/>
        </w:rPr>
      </w:pPr>
    </w:p>
    <w:p>
      <w:pPr>
        <w:pStyle w:val="BodyText"/>
        <w:spacing w:line="360" w:lineRule="auto"/>
        <w:ind w:left="488" w:right="122"/>
        <w:jc w:val="both"/>
      </w:pPr>
      <w:r>
        <w:rPr/>
        <w:t>Es importante destacar la percepción que tienen los encuestados sobre el rol de las instituciones ya que para el 75.6% éstas (como el INFOEM) contribuyen completamente a mejorar la transparencia, 20.5% lo suficiente, 3.8% lo necesario. Dicha</w:t>
      </w:r>
      <w:r>
        <w:rPr>
          <w:spacing w:val="-14"/>
        </w:rPr>
        <w:t> </w:t>
      </w:r>
      <w:r>
        <w:rPr/>
        <w:t>situación</w:t>
      </w:r>
      <w:r>
        <w:rPr>
          <w:spacing w:val="-18"/>
        </w:rPr>
        <w:t> </w:t>
      </w:r>
      <w:r>
        <w:rPr/>
        <w:t>fue</w:t>
      </w:r>
      <w:r>
        <w:rPr>
          <w:spacing w:val="-14"/>
        </w:rPr>
        <w:t> </w:t>
      </w:r>
      <w:r>
        <w:rPr/>
        <w:t>contrastada</w:t>
      </w:r>
      <w:r>
        <w:rPr>
          <w:spacing w:val="-14"/>
        </w:rPr>
        <w:t> </w:t>
      </w:r>
      <w:r>
        <w:rPr/>
        <w:t>con</w:t>
      </w:r>
      <w:r>
        <w:rPr>
          <w:spacing w:val="-16"/>
        </w:rPr>
        <w:t> </w:t>
      </w:r>
      <w:r>
        <w:rPr/>
        <w:t>la</w:t>
      </w:r>
      <w:r>
        <w:rPr>
          <w:spacing w:val="-17"/>
        </w:rPr>
        <w:t> </w:t>
      </w:r>
      <w:r>
        <w:rPr/>
        <w:t>pregunta</w:t>
      </w:r>
      <w:r>
        <w:rPr>
          <w:spacing w:val="-14"/>
        </w:rPr>
        <w:t> </w:t>
      </w:r>
      <w:r>
        <w:rPr/>
        <w:t>inversa.</w:t>
      </w:r>
      <w:r>
        <w:rPr>
          <w:spacing w:val="-17"/>
        </w:rPr>
        <w:t> </w:t>
      </w:r>
      <w:r>
        <w:rPr/>
        <w:t>En</w:t>
      </w:r>
      <w:r>
        <w:rPr>
          <w:spacing w:val="-16"/>
        </w:rPr>
        <w:t> </w:t>
      </w:r>
      <w:r>
        <w:rPr/>
        <w:t>la</w:t>
      </w:r>
      <w:r>
        <w:rPr>
          <w:spacing w:val="-14"/>
        </w:rPr>
        <w:t> </w:t>
      </w:r>
      <w:r>
        <w:rPr/>
        <w:t>que</w:t>
      </w:r>
      <w:r>
        <w:rPr>
          <w:spacing w:val="-14"/>
        </w:rPr>
        <w:t> </w:t>
      </w:r>
      <w:r>
        <w:rPr/>
        <w:t>solamente</w:t>
      </w:r>
      <w:r>
        <w:rPr>
          <w:spacing w:val="-16"/>
        </w:rPr>
        <w:t> </w:t>
      </w:r>
      <w:r>
        <w:rPr/>
        <w:t>el</w:t>
      </w:r>
      <w:r>
        <w:rPr>
          <w:spacing w:val="-18"/>
        </w:rPr>
        <w:t> </w:t>
      </w:r>
      <w:r>
        <w:rPr/>
        <w:t>2.6% señaló</w:t>
      </w:r>
      <w:r>
        <w:rPr>
          <w:spacing w:val="-4"/>
        </w:rPr>
        <w:t> </w:t>
      </w:r>
      <w:r>
        <w:rPr/>
        <w:t>que</w:t>
      </w:r>
      <w:r>
        <w:rPr>
          <w:spacing w:val="-4"/>
        </w:rPr>
        <w:t> </w:t>
      </w:r>
      <w:r>
        <w:rPr/>
        <w:t>las</w:t>
      </w:r>
      <w:r>
        <w:rPr>
          <w:spacing w:val="-4"/>
        </w:rPr>
        <w:t> </w:t>
      </w:r>
      <w:r>
        <w:rPr/>
        <w:t>instituciones</w:t>
      </w:r>
      <w:r>
        <w:rPr>
          <w:spacing w:val="-4"/>
        </w:rPr>
        <w:t> </w:t>
      </w:r>
      <w:r>
        <w:rPr/>
        <w:t>como</w:t>
      </w:r>
      <w:r>
        <w:rPr>
          <w:spacing w:val="-6"/>
        </w:rPr>
        <w:t> </w:t>
      </w:r>
      <w:r>
        <w:rPr/>
        <w:t>el</w:t>
      </w:r>
      <w:r>
        <w:rPr>
          <w:spacing w:val="-5"/>
        </w:rPr>
        <w:t> </w:t>
      </w:r>
      <w:r>
        <w:rPr/>
        <w:t>INFOEM</w:t>
      </w:r>
      <w:r>
        <w:rPr>
          <w:spacing w:val="-7"/>
        </w:rPr>
        <w:t> </w:t>
      </w:r>
      <w:r>
        <w:rPr/>
        <w:t>limita</w:t>
      </w:r>
      <w:r>
        <w:rPr>
          <w:spacing w:val="-4"/>
        </w:rPr>
        <w:t> </w:t>
      </w:r>
      <w:r>
        <w:rPr/>
        <w:t>el</w:t>
      </w:r>
      <w:r>
        <w:rPr>
          <w:spacing w:val="-5"/>
        </w:rPr>
        <w:t> </w:t>
      </w:r>
      <w:r>
        <w:rPr/>
        <w:t>desarrollo</w:t>
      </w:r>
      <w:r>
        <w:rPr>
          <w:spacing w:val="-4"/>
        </w:rPr>
        <w:t> </w:t>
      </w:r>
      <w:r>
        <w:rPr/>
        <w:t>de</w:t>
      </w:r>
      <w:r>
        <w:rPr>
          <w:spacing w:val="-4"/>
        </w:rPr>
        <w:t> </w:t>
      </w:r>
      <w:r>
        <w:rPr/>
        <w:t>la</w:t>
      </w:r>
      <w:r>
        <w:rPr>
          <w:spacing w:val="-4"/>
        </w:rPr>
        <w:t> </w:t>
      </w:r>
      <w:r>
        <w:rPr/>
        <w:t>transparencia completamente el desarrollo de la transparencia el 2.6% completamente, 2.6% lo suficiente, 6.4% lo necesario y el 88.5%</w:t>
      </w:r>
      <w:r>
        <w:rPr>
          <w:spacing w:val="-19"/>
        </w:rPr>
        <w:t> </w:t>
      </w:r>
      <w:r>
        <w:rPr/>
        <w:t>nada.</w:t>
      </w:r>
    </w:p>
    <w:p>
      <w:pPr>
        <w:pStyle w:val="BodyText"/>
      </w:pPr>
    </w:p>
    <w:p>
      <w:pPr>
        <w:pStyle w:val="BodyText"/>
        <w:spacing w:line="360" w:lineRule="auto" w:before="142"/>
        <w:ind w:left="488" w:right="117"/>
        <w:jc w:val="both"/>
      </w:pPr>
      <w:r>
        <w:rPr/>
        <w:t>Pese a esta percepción de los encuestados, resalta la visión que estos tienen sobre el cumplimiento de la ley ya que señalaron lo siguiente:</w:t>
      </w:r>
    </w:p>
    <w:p>
      <w:pPr>
        <w:spacing w:after="0" w:line="360" w:lineRule="auto"/>
        <w:jc w:val="both"/>
        <w:sectPr>
          <w:pgSz w:w="12240" w:h="15840"/>
          <w:pgMar w:header="0" w:footer="1035" w:top="1380" w:bottom="1220" w:left="1120" w:right="1580"/>
        </w:sectPr>
      </w:pPr>
    </w:p>
    <w:p>
      <w:pPr>
        <w:pStyle w:val="ListParagraph"/>
        <w:numPr>
          <w:ilvl w:val="0"/>
          <w:numId w:val="46"/>
        </w:numPr>
        <w:tabs>
          <w:tab w:pos="536" w:val="left" w:leader="none"/>
        </w:tabs>
        <w:spacing w:line="276" w:lineRule="auto" w:before="32" w:after="0"/>
        <w:ind w:left="535" w:right="123" w:hanging="360"/>
        <w:jc w:val="both"/>
        <w:rPr>
          <w:sz w:val="24"/>
        </w:rPr>
      </w:pPr>
      <w:r>
        <w:rPr>
          <w:sz w:val="24"/>
        </w:rPr>
        <w:t>En qué medida el presidente municipal procura el cumplimiento de la ley de transparencia</w:t>
      </w:r>
      <w:r>
        <w:rPr>
          <w:spacing w:val="-5"/>
          <w:sz w:val="24"/>
        </w:rPr>
        <w:t> </w:t>
      </w:r>
      <w:r>
        <w:rPr>
          <w:sz w:val="24"/>
        </w:rPr>
        <w:t>en</w:t>
      </w:r>
      <w:r>
        <w:rPr>
          <w:spacing w:val="-5"/>
          <w:sz w:val="24"/>
        </w:rPr>
        <w:t> </w:t>
      </w:r>
      <w:r>
        <w:rPr>
          <w:sz w:val="24"/>
        </w:rPr>
        <w:t>su</w:t>
      </w:r>
      <w:r>
        <w:rPr>
          <w:spacing w:val="-7"/>
          <w:sz w:val="24"/>
        </w:rPr>
        <w:t> </w:t>
      </w:r>
      <w:r>
        <w:rPr>
          <w:sz w:val="24"/>
        </w:rPr>
        <w:t>municipio</w:t>
      </w:r>
      <w:r>
        <w:rPr>
          <w:spacing w:val="-5"/>
          <w:sz w:val="24"/>
        </w:rPr>
        <w:t> </w:t>
      </w:r>
      <w:r>
        <w:rPr>
          <w:sz w:val="24"/>
        </w:rPr>
        <w:t>el</w:t>
      </w:r>
      <w:r>
        <w:rPr>
          <w:spacing w:val="-6"/>
          <w:sz w:val="24"/>
        </w:rPr>
        <w:t> </w:t>
      </w:r>
      <w:r>
        <w:rPr>
          <w:sz w:val="24"/>
        </w:rPr>
        <w:t>71.8%</w:t>
      </w:r>
      <w:r>
        <w:rPr>
          <w:spacing w:val="-5"/>
          <w:sz w:val="24"/>
        </w:rPr>
        <w:t> </w:t>
      </w:r>
      <w:r>
        <w:rPr>
          <w:sz w:val="24"/>
        </w:rPr>
        <w:t>completamente,</w:t>
      </w:r>
      <w:r>
        <w:rPr>
          <w:spacing w:val="-7"/>
          <w:sz w:val="24"/>
        </w:rPr>
        <w:t> </w:t>
      </w:r>
      <w:r>
        <w:rPr>
          <w:sz w:val="24"/>
        </w:rPr>
        <w:t>17.9%</w:t>
      </w:r>
      <w:r>
        <w:rPr>
          <w:spacing w:val="-5"/>
          <w:sz w:val="24"/>
        </w:rPr>
        <w:t> </w:t>
      </w:r>
      <w:r>
        <w:rPr>
          <w:sz w:val="24"/>
        </w:rPr>
        <w:t>lo</w:t>
      </w:r>
      <w:r>
        <w:rPr>
          <w:spacing w:val="-5"/>
          <w:sz w:val="24"/>
        </w:rPr>
        <w:t> </w:t>
      </w:r>
      <w:r>
        <w:rPr>
          <w:sz w:val="24"/>
        </w:rPr>
        <w:t>suficiente,</w:t>
      </w:r>
      <w:r>
        <w:rPr>
          <w:spacing w:val="-5"/>
          <w:sz w:val="24"/>
        </w:rPr>
        <w:t> </w:t>
      </w:r>
      <w:r>
        <w:rPr>
          <w:sz w:val="24"/>
        </w:rPr>
        <w:t>9% lo necesario y el 1.3%</w:t>
      </w:r>
      <w:r>
        <w:rPr>
          <w:spacing w:val="-10"/>
          <w:sz w:val="24"/>
        </w:rPr>
        <w:t> </w:t>
      </w:r>
      <w:r>
        <w:rPr>
          <w:sz w:val="24"/>
        </w:rPr>
        <w:t>nada.</w:t>
      </w:r>
    </w:p>
    <w:p>
      <w:pPr>
        <w:pStyle w:val="ListParagraph"/>
        <w:numPr>
          <w:ilvl w:val="0"/>
          <w:numId w:val="46"/>
        </w:numPr>
        <w:tabs>
          <w:tab w:pos="536" w:val="left" w:leader="none"/>
        </w:tabs>
        <w:spacing w:line="273" w:lineRule="auto" w:before="0" w:after="0"/>
        <w:ind w:left="535" w:right="125" w:hanging="360"/>
        <w:jc w:val="both"/>
        <w:rPr>
          <w:sz w:val="24"/>
        </w:rPr>
      </w:pPr>
      <w:r>
        <w:rPr>
          <w:sz w:val="24"/>
        </w:rPr>
        <w:t>Los integrantes del Gabinete (Directores) cumplen la Ley de Transparencia en su municipio: 26.9% completamente, 47.4% lo suficiente, 21.8% lo necesario y el 3.8% no</w:t>
      </w:r>
      <w:r>
        <w:rPr>
          <w:spacing w:val="-8"/>
          <w:sz w:val="24"/>
        </w:rPr>
        <w:t> </w:t>
      </w:r>
      <w:r>
        <w:rPr>
          <w:sz w:val="24"/>
        </w:rPr>
        <w:t>contestaron.</w:t>
      </w:r>
    </w:p>
    <w:p>
      <w:pPr>
        <w:pStyle w:val="ListParagraph"/>
        <w:numPr>
          <w:ilvl w:val="0"/>
          <w:numId w:val="46"/>
        </w:numPr>
        <w:tabs>
          <w:tab w:pos="536" w:val="left" w:leader="none"/>
        </w:tabs>
        <w:spacing w:line="276" w:lineRule="auto" w:before="1" w:after="0"/>
        <w:ind w:left="535" w:right="123" w:hanging="360"/>
        <w:jc w:val="both"/>
        <w:rPr>
          <w:sz w:val="24"/>
        </w:rPr>
      </w:pPr>
      <w:r>
        <w:rPr>
          <w:sz w:val="24"/>
        </w:rPr>
        <w:t>En qué medida los integrantes del cabildo (Regidores) cumplen la ley de transparencia</w:t>
      </w:r>
      <w:r>
        <w:rPr>
          <w:spacing w:val="-19"/>
          <w:sz w:val="24"/>
        </w:rPr>
        <w:t> </w:t>
      </w:r>
      <w:r>
        <w:rPr>
          <w:sz w:val="24"/>
        </w:rPr>
        <w:t>en</w:t>
      </w:r>
      <w:r>
        <w:rPr>
          <w:spacing w:val="-19"/>
          <w:sz w:val="24"/>
        </w:rPr>
        <w:t> </w:t>
      </w:r>
      <w:r>
        <w:rPr>
          <w:sz w:val="24"/>
        </w:rPr>
        <w:t>su</w:t>
      </w:r>
      <w:r>
        <w:rPr>
          <w:spacing w:val="-21"/>
          <w:sz w:val="24"/>
        </w:rPr>
        <w:t> </w:t>
      </w:r>
      <w:r>
        <w:rPr>
          <w:sz w:val="24"/>
        </w:rPr>
        <w:t>municipio</w:t>
      </w:r>
      <w:r>
        <w:rPr>
          <w:spacing w:val="-19"/>
          <w:sz w:val="24"/>
        </w:rPr>
        <w:t> </w:t>
      </w:r>
      <w:r>
        <w:rPr>
          <w:sz w:val="24"/>
        </w:rPr>
        <w:t>el</w:t>
      </w:r>
      <w:r>
        <w:rPr>
          <w:spacing w:val="-20"/>
          <w:sz w:val="24"/>
        </w:rPr>
        <w:t> </w:t>
      </w:r>
      <w:r>
        <w:rPr>
          <w:sz w:val="24"/>
        </w:rPr>
        <w:t>41%</w:t>
      </w:r>
      <w:r>
        <w:rPr>
          <w:spacing w:val="-20"/>
          <w:sz w:val="24"/>
        </w:rPr>
        <w:t> </w:t>
      </w:r>
      <w:r>
        <w:rPr>
          <w:sz w:val="24"/>
        </w:rPr>
        <w:t>completamente,</w:t>
      </w:r>
      <w:r>
        <w:rPr>
          <w:spacing w:val="-19"/>
          <w:sz w:val="24"/>
        </w:rPr>
        <w:t> </w:t>
      </w:r>
      <w:r>
        <w:rPr>
          <w:sz w:val="24"/>
        </w:rPr>
        <w:t>38.5%</w:t>
      </w:r>
      <w:r>
        <w:rPr>
          <w:spacing w:val="-17"/>
          <w:sz w:val="24"/>
        </w:rPr>
        <w:t> </w:t>
      </w:r>
      <w:r>
        <w:rPr>
          <w:sz w:val="24"/>
        </w:rPr>
        <w:t>lo</w:t>
      </w:r>
      <w:r>
        <w:rPr>
          <w:spacing w:val="-17"/>
          <w:sz w:val="24"/>
        </w:rPr>
        <w:t> </w:t>
      </w:r>
      <w:r>
        <w:rPr>
          <w:sz w:val="24"/>
        </w:rPr>
        <w:t>suficiente,</w:t>
      </w:r>
      <w:r>
        <w:rPr>
          <w:spacing w:val="-19"/>
          <w:sz w:val="24"/>
        </w:rPr>
        <w:t> </w:t>
      </w:r>
      <w:r>
        <w:rPr>
          <w:sz w:val="24"/>
        </w:rPr>
        <w:t>16.7% lo necesario y el 3.8%</w:t>
      </w:r>
      <w:r>
        <w:rPr>
          <w:spacing w:val="-13"/>
          <w:sz w:val="24"/>
        </w:rPr>
        <w:t> </w:t>
      </w:r>
      <w:r>
        <w:rPr>
          <w:sz w:val="24"/>
        </w:rPr>
        <w:t>nada.</w:t>
      </w:r>
    </w:p>
    <w:p>
      <w:pPr>
        <w:pStyle w:val="ListParagraph"/>
        <w:numPr>
          <w:ilvl w:val="0"/>
          <w:numId w:val="46"/>
        </w:numPr>
        <w:tabs>
          <w:tab w:pos="536" w:val="left" w:leader="none"/>
        </w:tabs>
        <w:spacing w:line="276" w:lineRule="auto" w:before="0" w:after="0"/>
        <w:ind w:left="535" w:right="126" w:hanging="360"/>
        <w:jc w:val="both"/>
        <w:rPr>
          <w:sz w:val="24"/>
        </w:rPr>
      </w:pPr>
      <w:r>
        <w:rPr>
          <w:sz w:val="24"/>
        </w:rPr>
        <w:t>En qué medida los mandos medios (Jefes de Departamento) cumplen la ley de transparencia en su municipio el 34.6% completamente, 51.3% lo suficiente, 10.3% lo necesario y el 3.8%</w:t>
      </w:r>
      <w:r>
        <w:rPr>
          <w:spacing w:val="-13"/>
          <w:sz w:val="24"/>
        </w:rPr>
        <w:t> </w:t>
      </w:r>
      <w:r>
        <w:rPr>
          <w:sz w:val="24"/>
        </w:rPr>
        <w:t>nada.</w:t>
      </w:r>
    </w:p>
    <w:p>
      <w:pPr>
        <w:pStyle w:val="ListParagraph"/>
        <w:numPr>
          <w:ilvl w:val="0"/>
          <w:numId w:val="46"/>
        </w:numPr>
        <w:tabs>
          <w:tab w:pos="536" w:val="left" w:leader="none"/>
        </w:tabs>
        <w:spacing w:line="273" w:lineRule="auto" w:before="0" w:after="0"/>
        <w:ind w:left="535" w:right="125" w:hanging="360"/>
        <w:jc w:val="both"/>
        <w:rPr>
          <w:sz w:val="24"/>
        </w:rPr>
      </w:pPr>
      <w:r>
        <w:rPr>
          <w:sz w:val="24"/>
        </w:rPr>
        <w:t>En qué medida los trabajadores operativos cumplen la ley de transparencia en su municipio el 30.8% completamente, 51.3% lo suficiente, 11.5% lo necesario, 5.1% nada y el 1.3% no</w:t>
      </w:r>
      <w:r>
        <w:rPr>
          <w:spacing w:val="-10"/>
          <w:sz w:val="24"/>
        </w:rPr>
        <w:t> </w:t>
      </w:r>
      <w:r>
        <w:rPr>
          <w:sz w:val="24"/>
        </w:rPr>
        <w:t>contestaron.</w:t>
      </w:r>
    </w:p>
    <w:p>
      <w:pPr>
        <w:pStyle w:val="BodyText"/>
      </w:pPr>
    </w:p>
    <w:p>
      <w:pPr>
        <w:pStyle w:val="BodyText"/>
        <w:spacing w:line="360" w:lineRule="auto" w:before="142"/>
        <w:ind w:left="108" w:right="115"/>
        <w:jc w:val="both"/>
      </w:pPr>
      <w:r>
        <w:rPr/>
        <w:t>En sentido adverso a la transparencia, cabe destacar que para los encuestados el 44.9%</w:t>
      </w:r>
      <w:r>
        <w:rPr>
          <w:spacing w:val="-15"/>
        </w:rPr>
        <w:t> </w:t>
      </w:r>
      <w:r>
        <w:rPr/>
        <w:t>que</w:t>
      </w:r>
      <w:r>
        <w:rPr>
          <w:spacing w:val="-14"/>
        </w:rPr>
        <w:t> </w:t>
      </w:r>
      <w:r>
        <w:rPr/>
        <w:t>incumple</w:t>
      </w:r>
      <w:r>
        <w:rPr>
          <w:spacing w:val="-14"/>
        </w:rPr>
        <w:t> </w:t>
      </w:r>
      <w:r>
        <w:rPr/>
        <w:t>la</w:t>
      </w:r>
      <w:r>
        <w:rPr>
          <w:spacing w:val="-17"/>
        </w:rPr>
        <w:t> </w:t>
      </w:r>
      <w:r>
        <w:rPr/>
        <w:t>ley</w:t>
      </w:r>
      <w:r>
        <w:rPr>
          <w:spacing w:val="-17"/>
        </w:rPr>
        <w:t> </w:t>
      </w:r>
      <w:r>
        <w:rPr/>
        <w:t>de</w:t>
      </w:r>
      <w:r>
        <w:rPr>
          <w:spacing w:val="-14"/>
        </w:rPr>
        <w:t> </w:t>
      </w:r>
      <w:r>
        <w:rPr/>
        <w:t>transparencia</w:t>
      </w:r>
      <w:r>
        <w:rPr>
          <w:spacing w:val="-14"/>
        </w:rPr>
        <w:t> </w:t>
      </w:r>
      <w:r>
        <w:rPr/>
        <w:t>son</w:t>
      </w:r>
      <w:r>
        <w:rPr>
          <w:spacing w:val="-14"/>
        </w:rPr>
        <w:t> </w:t>
      </w:r>
      <w:r>
        <w:rPr/>
        <w:t>sancionados</w:t>
      </w:r>
      <w:r>
        <w:rPr>
          <w:spacing w:val="-15"/>
        </w:rPr>
        <w:t> </w:t>
      </w:r>
      <w:r>
        <w:rPr/>
        <w:t>completamente,</w:t>
      </w:r>
      <w:r>
        <w:rPr>
          <w:spacing w:val="-14"/>
        </w:rPr>
        <w:t> </w:t>
      </w:r>
      <w:r>
        <w:rPr/>
        <w:t>21.8% lo suficiente, 10.3% lo necesario, 21.8% nada y el 1.3% no contestó. Estos porcentajes de cumplimiento de la ley son confirmados cuando 10.3% de los encuestados referenciaron que siempre reciben recursos de revisión sobre la información que entregan, 14.1% casi siempre, 66.7% casi nunca, 7.7% nunca y el 1.3% no</w:t>
      </w:r>
      <w:r>
        <w:rPr>
          <w:spacing w:val="-5"/>
        </w:rPr>
        <w:t> </w:t>
      </w:r>
      <w:r>
        <w:rPr/>
        <w:t>contestó.</w:t>
      </w:r>
    </w:p>
    <w:p>
      <w:pPr>
        <w:pStyle w:val="BodyText"/>
      </w:pPr>
    </w:p>
    <w:p>
      <w:pPr>
        <w:pStyle w:val="BodyText"/>
        <w:spacing w:line="360" w:lineRule="auto" w:before="142"/>
        <w:ind w:left="108" w:right="117"/>
        <w:jc w:val="both"/>
      </w:pPr>
      <w:r>
        <w:rPr/>
        <w:t>Este</w:t>
      </w:r>
      <w:r>
        <w:rPr>
          <w:spacing w:val="-10"/>
        </w:rPr>
        <w:t> </w:t>
      </w:r>
      <w:r>
        <w:rPr/>
        <w:t>escenario</w:t>
      </w:r>
      <w:r>
        <w:rPr>
          <w:spacing w:val="-11"/>
        </w:rPr>
        <w:t> </w:t>
      </w:r>
      <w:r>
        <w:rPr/>
        <w:t>de</w:t>
      </w:r>
      <w:r>
        <w:rPr>
          <w:spacing w:val="-11"/>
        </w:rPr>
        <w:t> </w:t>
      </w:r>
      <w:r>
        <w:rPr/>
        <w:t>cumplimiento</w:t>
      </w:r>
      <w:r>
        <w:rPr>
          <w:spacing w:val="-11"/>
        </w:rPr>
        <w:t> </w:t>
      </w:r>
      <w:r>
        <w:rPr/>
        <w:t>de</w:t>
      </w:r>
      <w:r>
        <w:rPr>
          <w:spacing w:val="-11"/>
        </w:rPr>
        <w:t> </w:t>
      </w:r>
      <w:r>
        <w:rPr/>
        <w:t>la</w:t>
      </w:r>
      <w:r>
        <w:rPr>
          <w:spacing w:val="-9"/>
        </w:rPr>
        <w:t> </w:t>
      </w:r>
      <w:r>
        <w:rPr/>
        <w:t>ley</w:t>
      </w:r>
      <w:r>
        <w:rPr>
          <w:spacing w:val="-12"/>
        </w:rPr>
        <w:t> </w:t>
      </w:r>
      <w:r>
        <w:rPr/>
        <w:t>permite</w:t>
      </w:r>
      <w:r>
        <w:rPr>
          <w:spacing w:val="-11"/>
        </w:rPr>
        <w:t> </w:t>
      </w:r>
      <w:r>
        <w:rPr/>
        <w:t>inferir</w:t>
      </w:r>
      <w:r>
        <w:rPr>
          <w:spacing w:val="-10"/>
        </w:rPr>
        <w:t> </w:t>
      </w:r>
      <w:r>
        <w:rPr/>
        <w:t>que</w:t>
      </w:r>
      <w:r>
        <w:rPr>
          <w:spacing w:val="-11"/>
        </w:rPr>
        <w:t> </w:t>
      </w:r>
      <w:r>
        <w:rPr/>
        <w:t>el</w:t>
      </w:r>
      <w:r>
        <w:rPr>
          <w:spacing w:val="-12"/>
        </w:rPr>
        <w:t> </w:t>
      </w:r>
      <w:r>
        <w:rPr/>
        <w:t>rol</w:t>
      </w:r>
      <w:r>
        <w:rPr>
          <w:spacing w:val="-12"/>
        </w:rPr>
        <w:t> </w:t>
      </w:r>
      <w:r>
        <w:rPr/>
        <w:t>de</w:t>
      </w:r>
      <w:r>
        <w:rPr>
          <w:spacing w:val="-8"/>
        </w:rPr>
        <w:t> </w:t>
      </w:r>
      <w:r>
        <w:rPr/>
        <w:t>las</w:t>
      </w:r>
      <w:r>
        <w:rPr>
          <w:spacing w:val="-11"/>
        </w:rPr>
        <w:t> </w:t>
      </w:r>
      <w:r>
        <w:rPr/>
        <w:t>instituciones ha cobrado terreno en el ámbito de la transparencia, pero aún existe la impunidad ante quienes incumplen la normativa, dando cabida a practicar la corrupción y creando escenarios discursivos que permitan evidenciar cumplimiento de la ley en algunos aspectos y ocultando información en otros. Situación que es por demás contradictoria</w:t>
      </w:r>
      <w:r>
        <w:rPr>
          <w:spacing w:val="-13"/>
        </w:rPr>
        <w:t> </w:t>
      </w:r>
      <w:r>
        <w:rPr/>
        <w:t>ya</w:t>
      </w:r>
      <w:r>
        <w:rPr>
          <w:spacing w:val="-13"/>
        </w:rPr>
        <w:t> </w:t>
      </w:r>
      <w:r>
        <w:rPr/>
        <w:t>que</w:t>
      </w:r>
      <w:r>
        <w:rPr>
          <w:spacing w:val="-13"/>
        </w:rPr>
        <w:t> </w:t>
      </w:r>
      <w:r>
        <w:rPr/>
        <w:t>se</w:t>
      </w:r>
      <w:r>
        <w:rPr>
          <w:spacing w:val="-13"/>
        </w:rPr>
        <w:t> </w:t>
      </w:r>
      <w:r>
        <w:rPr/>
        <w:t>viola</w:t>
      </w:r>
      <w:r>
        <w:rPr>
          <w:spacing w:val="-13"/>
        </w:rPr>
        <w:t> </w:t>
      </w:r>
      <w:r>
        <w:rPr/>
        <w:t>el</w:t>
      </w:r>
      <w:r>
        <w:rPr>
          <w:spacing w:val="-14"/>
        </w:rPr>
        <w:t> </w:t>
      </w:r>
      <w:r>
        <w:rPr/>
        <w:t>principio</w:t>
      </w:r>
      <w:r>
        <w:rPr>
          <w:spacing w:val="-13"/>
        </w:rPr>
        <w:t> </w:t>
      </w:r>
      <w:r>
        <w:rPr/>
        <w:t>de</w:t>
      </w:r>
      <w:r>
        <w:rPr>
          <w:spacing w:val="-13"/>
        </w:rPr>
        <w:t> </w:t>
      </w:r>
      <w:r>
        <w:rPr/>
        <w:t>máxima</w:t>
      </w:r>
      <w:r>
        <w:rPr>
          <w:spacing w:val="-13"/>
        </w:rPr>
        <w:t> </w:t>
      </w:r>
      <w:r>
        <w:rPr/>
        <w:t>publicidad</w:t>
      </w:r>
      <w:r>
        <w:rPr>
          <w:spacing w:val="-13"/>
        </w:rPr>
        <w:t> </w:t>
      </w:r>
      <w:r>
        <w:rPr/>
        <w:t>de</w:t>
      </w:r>
      <w:r>
        <w:rPr>
          <w:spacing w:val="-13"/>
        </w:rPr>
        <w:t> </w:t>
      </w:r>
      <w:r>
        <w:rPr/>
        <w:t>la</w:t>
      </w:r>
      <w:r>
        <w:rPr>
          <w:spacing w:val="-13"/>
        </w:rPr>
        <w:t> </w:t>
      </w:r>
      <w:r>
        <w:rPr/>
        <w:t>información</w:t>
      </w:r>
      <w:r>
        <w:rPr>
          <w:spacing w:val="-13"/>
        </w:rPr>
        <w:t> </w:t>
      </w:r>
      <w:r>
        <w:rPr>
          <w:spacing w:val="-2"/>
        </w:rPr>
        <w:t>que </w:t>
      </w:r>
      <w:r>
        <w:rPr/>
        <w:t>señala la Constitución Política de los Estados Unidos</w:t>
      </w:r>
      <w:r>
        <w:rPr>
          <w:spacing w:val="-18"/>
        </w:rPr>
        <w:t> </w:t>
      </w:r>
      <w:r>
        <w:rPr/>
        <w:t>Mexicanos.</w:t>
      </w:r>
    </w:p>
    <w:p>
      <w:pPr>
        <w:spacing w:after="0" w:line="360" w:lineRule="auto"/>
        <w:jc w:val="both"/>
        <w:sectPr>
          <w:pgSz w:w="12240" w:h="15840"/>
          <w:pgMar w:header="0" w:footer="1035" w:top="1380" w:bottom="1220" w:left="1500" w:right="1580"/>
        </w:sectPr>
      </w:pPr>
    </w:p>
    <w:p>
      <w:pPr>
        <w:pStyle w:val="Heading1"/>
        <w:numPr>
          <w:ilvl w:val="2"/>
          <w:numId w:val="44"/>
        </w:numPr>
        <w:tabs>
          <w:tab w:pos="837" w:val="left" w:leader="none"/>
        </w:tabs>
        <w:spacing w:line="240" w:lineRule="auto" w:before="54" w:after="0"/>
        <w:ind w:left="836" w:right="0" w:hanging="720"/>
        <w:jc w:val="both"/>
      </w:pPr>
      <w:r>
        <w:rPr/>
        <w:t>Resultados de la encuesta. Sociología</w:t>
      </w:r>
      <w:r>
        <w:rPr>
          <w:spacing w:val="-15"/>
        </w:rPr>
        <w:t> </w:t>
      </w:r>
      <w:r>
        <w:rPr/>
        <w:t>organizacional</w:t>
      </w:r>
    </w:p>
    <w:p>
      <w:pPr>
        <w:pStyle w:val="BodyText"/>
        <w:rPr>
          <w:b/>
        </w:rPr>
      </w:pPr>
    </w:p>
    <w:p>
      <w:pPr>
        <w:pStyle w:val="BodyText"/>
        <w:rPr>
          <w:b/>
        </w:rPr>
      </w:pPr>
    </w:p>
    <w:p>
      <w:pPr>
        <w:pStyle w:val="ListParagraph"/>
        <w:numPr>
          <w:ilvl w:val="3"/>
          <w:numId w:val="44"/>
        </w:numPr>
        <w:tabs>
          <w:tab w:pos="1545" w:val="left" w:leader="none"/>
        </w:tabs>
        <w:spacing w:line="240" w:lineRule="auto" w:before="199" w:after="0"/>
        <w:ind w:left="1544" w:right="0" w:hanging="1416"/>
        <w:jc w:val="both"/>
        <w:rPr>
          <w:b/>
          <w:sz w:val="24"/>
        </w:rPr>
      </w:pPr>
      <w:r>
        <w:rPr>
          <w:b/>
          <w:sz w:val="24"/>
        </w:rPr>
        <w:t>Racionalidad limitada (recursos</w:t>
      </w:r>
      <w:r>
        <w:rPr>
          <w:b/>
          <w:spacing w:val="-11"/>
          <w:sz w:val="24"/>
        </w:rPr>
        <w:t> </w:t>
      </w:r>
      <w:r>
        <w:rPr>
          <w:b/>
          <w:sz w:val="24"/>
        </w:rPr>
        <w:t>limitados)</w:t>
      </w:r>
    </w:p>
    <w:p>
      <w:pPr>
        <w:pStyle w:val="BodyText"/>
        <w:rPr>
          <w:b/>
        </w:rPr>
      </w:pPr>
    </w:p>
    <w:p>
      <w:pPr>
        <w:pStyle w:val="BodyText"/>
        <w:spacing w:before="2"/>
        <w:rPr>
          <w:b/>
        </w:rPr>
      </w:pPr>
    </w:p>
    <w:p>
      <w:pPr>
        <w:pStyle w:val="BodyText"/>
        <w:spacing w:line="360" w:lineRule="auto"/>
        <w:ind w:left="128" w:right="117"/>
        <w:jc w:val="both"/>
      </w:pPr>
      <w:r>
        <w:rPr/>
        <w:t>Tal como se referenció en el marco teórico, las capacidades de los individuos son limitadas, toda vez que no pueden saberlo ni tenerlo todo. Lo mismo, sucede a</w:t>
      </w:r>
      <w:r>
        <w:rPr>
          <w:spacing w:val="-40"/>
        </w:rPr>
        <w:t> </w:t>
      </w:r>
      <w:r>
        <w:rPr/>
        <w:t>nivel infraestructura donde se observó lo</w:t>
      </w:r>
      <w:r>
        <w:rPr>
          <w:spacing w:val="-15"/>
        </w:rPr>
        <w:t> </w:t>
      </w:r>
      <w:r>
        <w:rPr/>
        <w:t>siguiente:</w:t>
      </w:r>
    </w:p>
    <w:p>
      <w:pPr>
        <w:pStyle w:val="BodyText"/>
      </w:pPr>
    </w:p>
    <w:p>
      <w:pPr>
        <w:pStyle w:val="BodyText"/>
        <w:spacing w:line="360" w:lineRule="auto" w:before="142"/>
        <w:ind w:left="128" w:right="115"/>
        <w:jc w:val="both"/>
      </w:pPr>
      <w:r>
        <w:rPr/>
        <w:t>Sobre los recursos humanos el 51.3% referenció que siempre cuenta con los recursos humanos para realizar sus actividades laborales el 51.3%, 32.1% casi siempre, 9% casi nunca, 6.4% nunca y el 1.3% no contestó. Asimismo, del total de responsables encuestados el 53% referenció ser la única persona que trabaja en</w:t>
      </w:r>
      <w:r>
        <w:rPr>
          <w:spacing w:val="-44"/>
        </w:rPr>
        <w:t> </w:t>
      </w:r>
      <w:r>
        <w:rPr/>
        <w:t>su área,</w:t>
      </w:r>
      <w:r>
        <w:rPr>
          <w:spacing w:val="-16"/>
        </w:rPr>
        <w:t> </w:t>
      </w:r>
      <w:r>
        <w:rPr/>
        <w:t>19%</w:t>
      </w:r>
      <w:r>
        <w:rPr>
          <w:spacing w:val="-16"/>
        </w:rPr>
        <w:t> </w:t>
      </w:r>
      <w:r>
        <w:rPr/>
        <w:t>cuenta</w:t>
      </w:r>
      <w:r>
        <w:rPr>
          <w:spacing w:val="-16"/>
        </w:rPr>
        <w:t> </w:t>
      </w:r>
      <w:r>
        <w:rPr/>
        <w:t>con</w:t>
      </w:r>
      <w:r>
        <w:rPr>
          <w:spacing w:val="-19"/>
        </w:rPr>
        <w:t> </w:t>
      </w:r>
      <w:r>
        <w:rPr/>
        <w:t>dos</w:t>
      </w:r>
      <w:r>
        <w:rPr>
          <w:spacing w:val="-16"/>
        </w:rPr>
        <w:t> </w:t>
      </w:r>
      <w:r>
        <w:rPr/>
        <w:t>personas,</w:t>
      </w:r>
      <w:r>
        <w:rPr>
          <w:spacing w:val="-16"/>
        </w:rPr>
        <w:t> </w:t>
      </w:r>
      <w:r>
        <w:rPr/>
        <w:t>el</w:t>
      </w:r>
      <w:r>
        <w:rPr>
          <w:spacing w:val="-17"/>
        </w:rPr>
        <w:t> </w:t>
      </w:r>
      <w:r>
        <w:rPr/>
        <w:t>13%</w:t>
      </w:r>
      <w:r>
        <w:rPr>
          <w:spacing w:val="-16"/>
        </w:rPr>
        <w:t> </w:t>
      </w:r>
      <w:r>
        <w:rPr/>
        <w:t>tiene</w:t>
      </w:r>
      <w:r>
        <w:rPr>
          <w:spacing w:val="-18"/>
        </w:rPr>
        <w:t> </w:t>
      </w:r>
      <w:r>
        <w:rPr/>
        <w:t>3</w:t>
      </w:r>
      <w:r>
        <w:rPr>
          <w:spacing w:val="-12"/>
        </w:rPr>
        <w:t> </w:t>
      </w:r>
      <w:r>
        <w:rPr/>
        <w:t>integrantes,</w:t>
      </w:r>
      <w:r>
        <w:rPr>
          <w:spacing w:val="-16"/>
        </w:rPr>
        <w:t> </w:t>
      </w:r>
      <w:r>
        <w:rPr/>
        <w:t>10%</w:t>
      </w:r>
      <w:r>
        <w:rPr>
          <w:spacing w:val="-19"/>
        </w:rPr>
        <w:t> </w:t>
      </w:r>
      <w:r>
        <w:rPr/>
        <w:t>referencia</w:t>
      </w:r>
      <w:r>
        <w:rPr>
          <w:spacing w:val="-18"/>
        </w:rPr>
        <w:t> </w:t>
      </w:r>
      <w:r>
        <w:rPr/>
        <w:t>tener entre</w:t>
      </w:r>
      <w:r>
        <w:rPr>
          <w:spacing w:val="-12"/>
        </w:rPr>
        <w:t> </w:t>
      </w:r>
      <w:r>
        <w:rPr/>
        <w:t>4</w:t>
      </w:r>
      <w:r>
        <w:rPr>
          <w:spacing w:val="-12"/>
        </w:rPr>
        <w:t> </w:t>
      </w:r>
      <w:r>
        <w:rPr/>
        <w:t>y</w:t>
      </w:r>
      <w:r>
        <w:rPr>
          <w:spacing w:val="-15"/>
        </w:rPr>
        <w:t> </w:t>
      </w:r>
      <w:r>
        <w:rPr/>
        <w:t>5</w:t>
      </w:r>
      <w:r>
        <w:rPr>
          <w:spacing w:val="-12"/>
        </w:rPr>
        <w:t> </w:t>
      </w:r>
      <w:r>
        <w:rPr/>
        <w:t>integrantes,</w:t>
      </w:r>
      <w:r>
        <w:rPr>
          <w:spacing w:val="-15"/>
        </w:rPr>
        <w:t> </w:t>
      </w:r>
      <w:r>
        <w:rPr/>
        <w:t>3%</w:t>
      </w:r>
      <w:r>
        <w:rPr>
          <w:spacing w:val="-13"/>
        </w:rPr>
        <w:t> </w:t>
      </w:r>
      <w:r>
        <w:rPr/>
        <w:t>entre</w:t>
      </w:r>
      <w:r>
        <w:rPr>
          <w:spacing w:val="-12"/>
        </w:rPr>
        <w:t> </w:t>
      </w:r>
      <w:r>
        <w:rPr/>
        <w:t>7</w:t>
      </w:r>
      <w:r>
        <w:rPr>
          <w:spacing w:val="-12"/>
        </w:rPr>
        <w:t> </w:t>
      </w:r>
      <w:r>
        <w:rPr/>
        <w:t>y</w:t>
      </w:r>
      <w:r>
        <w:rPr>
          <w:spacing w:val="-15"/>
        </w:rPr>
        <w:t> </w:t>
      </w:r>
      <w:r>
        <w:rPr/>
        <w:t>10</w:t>
      </w:r>
      <w:r>
        <w:rPr>
          <w:spacing w:val="-8"/>
        </w:rPr>
        <w:t> </w:t>
      </w:r>
      <w:r>
        <w:rPr/>
        <w:t>y</w:t>
      </w:r>
      <w:r>
        <w:rPr>
          <w:spacing w:val="-15"/>
        </w:rPr>
        <w:t> </w:t>
      </w:r>
      <w:r>
        <w:rPr/>
        <w:t>el</w:t>
      </w:r>
      <w:r>
        <w:rPr>
          <w:spacing w:val="-13"/>
        </w:rPr>
        <w:t> </w:t>
      </w:r>
      <w:r>
        <w:rPr/>
        <w:t>2%</w:t>
      </w:r>
      <w:r>
        <w:rPr>
          <w:spacing w:val="-13"/>
        </w:rPr>
        <w:t> </w:t>
      </w:r>
      <w:r>
        <w:rPr/>
        <w:t>no</w:t>
      </w:r>
      <w:r>
        <w:rPr>
          <w:spacing w:val="-12"/>
        </w:rPr>
        <w:t> </w:t>
      </w:r>
      <w:r>
        <w:rPr/>
        <w:t>contestó.</w:t>
      </w:r>
      <w:r>
        <w:rPr>
          <w:spacing w:val="-10"/>
        </w:rPr>
        <w:t> </w:t>
      </w:r>
      <w:r>
        <w:rPr/>
        <w:t>Aunado</w:t>
      </w:r>
      <w:r>
        <w:rPr>
          <w:spacing w:val="-14"/>
        </w:rPr>
        <w:t> </w:t>
      </w:r>
      <w:r>
        <w:rPr/>
        <w:t>a</w:t>
      </w:r>
      <w:r>
        <w:rPr>
          <w:spacing w:val="-12"/>
        </w:rPr>
        <w:t> </w:t>
      </w:r>
      <w:r>
        <w:rPr/>
        <w:t>esta</w:t>
      </w:r>
      <w:r>
        <w:rPr>
          <w:spacing w:val="-12"/>
        </w:rPr>
        <w:t> </w:t>
      </w:r>
      <w:r>
        <w:rPr/>
        <w:t>condición el</w:t>
      </w:r>
      <w:r>
        <w:rPr>
          <w:spacing w:val="-7"/>
        </w:rPr>
        <w:t> </w:t>
      </w:r>
      <w:r>
        <w:rPr/>
        <w:t>71%</w:t>
      </w:r>
      <w:r>
        <w:rPr>
          <w:spacing w:val="-7"/>
        </w:rPr>
        <w:t> </w:t>
      </w:r>
      <w:r>
        <w:rPr/>
        <w:t>dijo</w:t>
      </w:r>
      <w:r>
        <w:rPr>
          <w:spacing w:val="-8"/>
        </w:rPr>
        <w:t> </w:t>
      </w:r>
      <w:r>
        <w:rPr/>
        <w:t>tener</w:t>
      </w:r>
      <w:r>
        <w:rPr>
          <w:spacing w:val="-7"/>
        </w:rPr>
        <w:t> </w:t>
      </w:r>
      <w:r>
        <w:rPr/>
        <w:t>otras</w:t>
      </w:r>
      <w:r>
        <w:rPr>
          <w:spacing w:val="-9"/>
        </w:rPr>
        <w:t> </w:t>
      </w:r>
      <w:r>
        <w:rPr/>
        <w:t>funciones</w:t>
      </w:r>
      <w:r>
        <w:rPr>
          <w:spacing w:val="-7"/>
        </w:rPr>
        <w:t> </w:t>
      </w:r>
      <w:r>
        <w:rPr/>
        <w:t>además</w:t>
      </w:r>
      <w:r>
        <w:rPr>
          <w:spacing w:val="-9"/>
        </w:rPr>
        <w:t> </w:t>
      </w:r>
      <w:r>
        <w:rPr/>
        <w:t>de</w:t>
      </w:r>
      <w:r>
        <w:rPr>
          <w:spacing w:val="-6"/>
        </w:rPr>
        <w:t> </w:t>
      </w:r>
      <w:r>
        <w:rPr/>
        <w:t>la</w:t>
      </w:r>
      <w:r>
        <w:rPr>
          <w:spacing w:val="-6"/>
        </w:rPr>
        <w:t> </w:t>
      </w:r>
      <w:r>
        <w:rPr/>
        <w:t>transparencia</w:t>
      </w:r>
      <w:r>
        <w:rPr>
          <w:spacing w:val="-6"/>
        </w:rPr>
        <w:t> </w:t>
      </w:r>
      <w:r>
        <w:rPr/>
        <w:t>y</w:t>
      </w:r>
      <w:r>
        <w:rPr>
          <w:spacing w:val="-9"/>
        </w:rPr>
        <w:t> </w:t>
      </w:r>
      <w:r>
        <w:rPr/>
        <w:t>el</w:t>
      </w:r>
      <w:r>
        <w:rPr>
          <w:spacing w:val="-7"/>
        </w:rPr>
        <w:t> </w:t>
      </w:r>
      <w:r>
        <w:rPr/>
        <w:t>29%</w:t>
      </w:r>
      <w:r>
        <w:rPr>
          <w:spacing w:val="-7"/>
        </w:rPr>
        <w:t> </w:t>
      </w:r>
      <w:r>
        <w:rPr/>
        <w:t>solamente</w:t>
      </w:r>
      <w:r>
        <w:rPr>
          <w:spacing w:val="-6"/>
        </w:rPr>
        <w:t> </w:t>
      </w:r>
      <w:r>
        <w:rPr/>
        <w:t>se dedica a ello. Esta situación es una limitante para la transparencia ya que dentro de las experiencias se realizadas por quien presenta esta investigación fu asistir a reuniones</w:t>
      </w:r>
      <w:r>
        <w:rPr>
          <w:spacing w:val="-19"/>
        </w:rPr>
        <w:t> </w:t>
      </w:r>
      <w:r>
        <w:rPr/>
        <w:t>de</w:t>
      </w:r>
      <w:r>
        <w:rPr>
          <w:spacing w:val="-18"/>
        </w:rPr>
        <w:t> </w:t>
      </w:r>
      <w:r>
        <w:rPr/>
        <w:t>los</w:t>
      </w:r>
      <w:r>
        <w:rPr>
          <w:spacing w:val="-17"/>
        </w:rPr>
        <w:t> </w:t>
      </w:r>
      <w:r>
        <w:rPr/>
        <w:t>responsables</w:t>
      </w:r>
      <w:r>
        <w:rPr>
          <w:spacing w:val="-18"/>
        </w:rPr>
        <w:t> </w:t>
      </w:r>
      <w:r>
        <w:rPr/>
        <w:t>de</w:t>
      </w:r>
      <w:r>
        <w:rPr>
          <w:spacing w:val="-17"/>
        </w:rPr>
        <w:t> </w:t>
      </w:r>
      <w:r>
        <w:rPr/>
        <w:t>transparencia</w:t>
      </w:r>
      <w:r>
        <w:rPr>
          <w:spacing w:val="-17"/>
        </w:rPr>
        <w:t> </w:t>
      </w:r>
      <w:r>
        <w:rPr/>
        <w:t>con</w:t>
      </w:r>
      <w:r>
        <w:rPr>
          <w:spacing w:val="-18"/>
        </w:rPr>
        <w:t> </w:t>
      </w:r>
      <w:r>
        <w:rPr/>
        <w:t>el</w:t>
      </w:r>
      <w:r>
        <w:rPr>
          <w:spacing w:val="-19"/>
        </w:rPr>
        <w:t> </w:t>
      </w:r>
      <w:r>
        <w:rPr/>
        <w:t>INFOEM,</w:t>
      </w:r>
      <w:r>
        <w:rPr>
          <w:spacing w:val="-18"/>
        </w:rPr>
        <w:t> </w:t>
      </w:r>
      <w:r>
        <w:rPr/>
        <w:t>en</w:t>
      </w:r>
      <w:r>
        <w:rPr>
          <w:spacing w:val="-20"/>
        </w:rPr>
        <w:t> </w:t>
      </w:r>
      <w:r>
        <w:rPr/>
        <w:t>dichas</w:t>
      </w:r>
      <w:r>
        <w:rPr>
          <w:spacing w:val="-17"/>
        </w:rPr>
        <w:t> </w:t>
      </w:r>
      <w:r>
        <w:rPr/>
        <w:t>reuniones la mayoría externaba su inconformidad porque también eran responsables de planeación</w:t>
      </w:r>
      <w:r>
        <w:rPr>
          <w:spacing w:val="-6"/>
        </w:rPr>
        <w:t> </w:t>
      </w:r>
      <w:r>
        <w:rPr/>
        <w:t>y</w:t>
      </w:r>
      <w:r>
        <w:rPr>
          <w:spacing w:val="-9"/>
        </w:rPr>
        <w:t> </w:t>
      </w:r>
      <w:r>
        <w:rPr/>
        <w:t>esa</w:t>
      </w:r>
      <w:r>
        <w:rPr>
          <w:spacing w:val="-6"/>
        </w:rPr>
        <w:t> </w:t>
      </w:r>
      <w:r>
        <w:rPr/>
        <w:t>actividad</w:t>
      </w:r>
      <w:r>
        <w:rPr>
          <w:spacing w:val="-8"/>
        </w:rPr>
        <w:t> </w:t>
      </w:r>
      <w:r>
        <w:rPr/>
        <w:t>era</w:t>
      </w:r>
      <w:r>
        <w:rPr>
          <w:spacing w:val="-7"/>
        </w:rPr>
        <w:t> </w:t>
      </w:r>
      <w:r>
        <w:rPr/>
        <w:t>una</w:t>
      </w:r>
      <w:r>
        <w:rPr>
          <w:spacing w:val="-6"/>
        </w:rPr>
        <w:t> </w:t>
      </w:r>
      <w:r>
        <w:rPr/>
        <w:t>prioridad</w:t>
      </w:r>
      <w:r>
        <w:rPr>
          <w:spacing w:val="-8"/>
        </w:rPr>
        <w:t> </w:t>
      </w:r>
      <w:r>
        <w:rPr/>
        <w:t>para</w:t>
      </w:r>
      <w:r>
        <w:rPr>
          <w:spacing w:val="-7"/>
        </w:rPr>
        <w:t> </w:t>
      </w:r>
      <w:r>
        <w:rPr/>
        <w:t>sus</w:t>
      </w:r>
      <w:r>
        <w:rPr>
          <w:spacing w:val="-9"/>
        </w:rPr>
        <w:t> </w:t>
      </w:r>
      <w:r>
        <w:rPr/>
        <w:t>presidentes</w:t>
      </w:r>
      <w:r>
        <w:rPr>
          <w:spacing w:val="-9"/>
        </w:rPr>
        <w:t> </w:t>
      </w:r>
      <w:r>
        <w:rPr/>
        <w:t>municipales</w:t>
      </w:r>
      <w:r>
        <w:rPr>
          <w:spacing w:val="-6"/>
        </w:rPr>
        <w:t> </w:t>
      </w:r>
      <w:r>
        <w:rPr/>
        <w:t>antes que la</w:t>
      </w:r>
      <w:r>
        <w:rPr>
          <w:spacing w:val="-9"/>
        </w:rPr>
        <w:t> </w:t>
      </w:r>
      <w:r>
        <w:rPr/>
        <w:t>transparencia.</w:t>
      </w:r>
    </w:p>
    <w:p>
      <w:pPr>
        <w:pStyle w:val="BodyText"/>
      </w:pPr>
    </w:p>
    <w:p>
      <w:pPr>
        <w:pStyle w:val="BodyText"/>
        <w:spacing w:line="360" w:lineRule="auto" w:before="142"/>
        <w:ind w:left="128" w:right="115"/>
        <w:jc w:val="both"/>
      </w:pPr>
      <w:r>
        <w:rPr/>
        <w:t>En lo que refiere a los recursos materiales (computadora, escritorio, archiveros, papelería, etc.) para realizar sus actividades laborales el 56.4% señaló que siempre cuenta con ellos, 34.6% casi siempre, 7.7% casi nunca y el 1.3% no contestó. Cuando se especificó esta información se logró identificar que el 4% de los municipios referenció no tener equipos de cómputo para realizar sus actividades, 58% mencionó tener uno, el 19% dos, 9% tiene tres y el 10% restante reportó tener entre cuatro y ocho equipos de cómputo para realizar sus actividades.</w:t>
      </w:r>
    </w:p>
    <w:p>
      <w:pPr>
        <w:spacing w:after="0" w:line="360" w:lineRule="auto"/>
        <w:jc w:val="both"/>
        <w:sectPr>
          <w:pgSz w:w="12240" w:h="15840"/>
          <w:pgMar w:header="0" w:footer="1035" w:top="1360" w:bottom="1220" w:left="1480" w:right="1580"/>
        </w:sectPr>
      </w:pPr>
    </w:p>
    <w:p>
      <w:pPr>
        <w:pStyle w:val="BodyText"/>
        <w:spacing w:line="360" w:lineRule="auto" w:before="54"/>
        <w:ind w:left="108" w:right="115"/>
        <w:jc w:val="both"/>
      </w:pPr>
      <w:r>
        <w:rPr/>
        <w:t>En lo que respecta a los recursos tecnológicos (Internet, programas para</w:t>
      </w:r>
      <w:r>
        <w:rPr>
          <w:spacing w:val="-27"/>
        </w:rPr>
        <w:t> </w:t>
      </w:r>
      <w:r>
        <w:rPr/>
        <w:t>almacenar la información) para realizar sus actividades laborales el 59% señaló que siempre cuenta con ellos, 33.3% casi siempre, 6.4% casi nunca, y el 1.3% no contestó. Asimismo, que el 96.2% cuenta con Internet para el desarrollo de sus funciones y solamente el 3.8% no tiene este servicio. Complementario a esta información los encuestados referenciaron que el 73.1% cuenta con bases de datos de información de su municipio, 25.6% señaló no contar con estas bases de datos de información</w:t>
      </w:r>
      <w:r>
        <w:rPr>
          <w:spacing w:val="-38"/>
        </w:rPr>
        <w:t> </w:t>
      </w:r>
      <w:r>
        <w:rPr/>
        <w:t>y el 1.3% no contestó. Además, el 64.1% referenció tener programas para el procesamiento de la información, 34.6% no tiene programas para procesar información y el 1.3% no contestó. Por último, el 73.1% mencionó que cuenta con información</w:t>
      </w:r>
      <w:r>
        <w:rPr>
          <w:spacing w:val="-8"/>
        </w:rPr>
        <w:t> </w:t>
      </w:r>
      <w:r>
        <w:rPr/>
        <w:t>histórica</w:t>
      </w:r>
      <w:r>
        <w:rPr>
          <w:spacing w:val="-8"/>
        </w:rPr>
        <w:t> </w:t>
      </w:r>
      <w:r>
        <w:rPr/>
        <w:t>de</w:t>
      </w:r>
      <w:r>
        <w:rPr>
          <w:spacing w:val="-6"/>
        </w:rPr>
        <w:t> </w:t>
      </w:r>
      <w:r>
        <w:rPr/>
        <w:t>su</w:t>
      </w:r>
      <w:r>
        <w:rPr>
          <w:spacing w:val="-11"/>
        </w:rPr>
        <w:t> </w:t>
      </w:r>
      <w:r>
        <w:rPr/>
        <w:t>municipio,</w:t>
      </w:r>
      <w:r>
        <w:rPr>
          <w:spacing w:val="-9"/>
        </w:rPr>
        <w:t> </w:t>
      </w:r>
      <w:r>
        <w:rPr/>
        <w:t>25.6%</w:t>
      </w:r>
      <w:r>
        <w:rPr>
          <w:spacing w:val="-9"/>
        </w:rPr>
        <w:t> </w:t>
      </w:r>
      <w:r>
        <w:rPr/>
        <w:t>no</w:t>
      </w:r>
      <w:r>
        <w:rPr>
          <w:spacing w:val="-8"/>
        </w:rPr>
        <w:t> </w:t>
      </w:r>
      <w:r>
        <w:rPr/>
        <w:t>tiene</w:t>
      </w:r>
      <w:r>
        <w:rPr>
          <w:spacing w:val="-3"/>
        </w:rPr>
        <w:t> </w:t>
      </w:r>
      <w:r>
        <w:rPr/>
        <w:t>dicha</w:t>
      </w:r>
      <w:r>
        <w:rPr>
          <w:spacing w:val="-8"/>
        </w:rPr>
        <w:t> </w:t>
      </w:r>
      <w:r>
        <w:rPr/>
        <w:t>información</w:t>
      </w:r>
      <w:r>
        <w:rPr>
          <w:spacing w:val="-6"/>
        </w:rPr>
        <w:t> </w:t>
      </w:r>
      <w:r>
        <w:rPr/>
        <w:t>y</w:t>
      </w:r>
      <w:r>
        <w:rPr>
          <w:spacing w:val="-9"/>
        </w:rPr>
        <w:t> </w:t>
      </w:r>
      <w:r>
        <w:rPr/>
        <w:t>el</w:t>
      </w:r>
      <w:r>
        <w:rPr>
          <w:spacing w:val="-10"/>
        </w:rPr>
        <w:t> </w:t>
      </w:r>
      <w:r>
        <w:rPr/>
        <w:t>1.3%</w:t>
      </w:r>
      <w:r>
        <w:rPr>
          <w:spacing w:val="-9"/>
        </w:rPr>
        <w:t> </w:t>
      </w:r>
      <w:r>
        <w:rPr/>
        <w:t>no contestó.</w:t>
      </w:r>
    </w:p>
    <w:p>
      <w:pPr>
        <w:pStyle w:val="BodyText"/>
      </w:pPr>
    </w:p>
    <w:p>
      <w:pPr>
        <w:pStyle w:val="BodyText"/>
        <w:spacing w:line="360" w:lineRule="auto" w:before="142"/>
        <w:ind w:left="108" w:right="117"/>
        <w:jc w:val="both"/>
      </w:pPr>
      <w:r>
        <w:rPr/>
        <w:t>Por su parte los recursos financieros con los que cuentan los responsables para realizar sus actividades laborales señalaron que el 28.2% siempre son suficientes, 43.6% casi siempre, 11.5% casi nunca, 15.4% nunca y el 1.3% no contestó.</w:t>
      </w:r>
    </w:p>
    <w:p>
      <w:pPr>
        <w:pStyle w:val="BodyText"/>
      </w:pPr>
    </w:p>
    <w:p>
      <w:pPr>
        <w:pStyle w:val="BodyText"/>
        <w:spacing w:line="360" w:lineRule="auto" w:before="142"/>
        <w:ind w:left="108" w:right="122"/>
        <w:jc w:val="both"/>
      </w:pPr>
      <w:r>
        <w:rPr/>
        <w:t>Un elemento clave a destacar es que para el 21.8% de los encuestados en su municipio</w:t>
      </w:r>
      <w:r>
        <w:rPr>
          <w:spacing w:val="-10"/>
        </w:rPr>
        <w:t> </w:t>
      </w:r>
      <w:r>
        <w:rPr/>
        <w:t>se</w:t>
      </w:r>
      <w:r>
        <w:rPr>
          <w:spacing w:val="-9"/>
        </w:rPr>
        <w:t> </w:t>
      </w:r>
      <w:r>
        <w:rPr/>
        <w:t>cuenta</w:t>
      </w:r>
      <w:r>
        <w:rPr>
          <w:spacing w:val="-12"/>
        </w:rPr>
        <w:t> </w:t>
      </w:r>
      <w:r>
        <w:rPr/>
        <w:t>con</w:t>
      </w:r>
      <w:r>
        <w:rPr>
          <w:spacing w:val="-10"/>
        </w:rPr>
        <w:t> </w:t>
      </w:r>
      <w:r>
        <w:rPr/>
        <w:t>políticas</w:t>
      </w:r>
      <w:r>
        <w:rPr>
          <w:spacing w:val="-11"/>
        </w:rPr>
        <w:t> </w:t>
      </w:r>
      <w:r>
        <w:rPr/>
        <w:t>para</w:t>
      </w:r>
      <w:r>
        <w:rPr>
          <w:spacing w:val="-13"/>
        </w:rPr>
        <w:t> </w:t>
      </w:r>
      <w:r>
        <w:rPr/>
        <w:t>el</w:t>
      </w:r>
      <w:r>
        <w:rPr>
          <w:spacing w:val="-12"/>
        </w:rPr>
        <w:t> </w:t>
      </w:r>
      <w:r>
        <w:rPr/>
        <w:t>control</w:t>
      </w:r>
      <w:r>
        <w:rPr>
          <w:spacing w:val="-12"/>
        </w:rPr>
        <w:t> </w:t>
      </w:r>
      <w:r>
        <w:rPr/>
        <w:t>de</w:t>
      </w:r>
      <w:r>
        <w:rPr>
          <w:spacing w:val="-13"/>
        </w:rPr>
        <w:t> </w:t>
      </w:r>
      <w:r>
        <w:rPr/>
        <w:t>archivos</w:t>
      </w:r>
      <w:r>
        <w:rPr>
          <w:spacing w:val="-11"/>
        </w:rPr>
        <w:t> </w:t>
      </w:r>
      <w:r>
        <w:rPr/>
        <w:t>que</w:t>
      </w:r>
      <w:r>
        <w:rPr>
          <w:spacing w:val="-13"/>
        </w:rPr>
        <w:t> </w:t>
      </w:r>
      <w:r>
        <w:rPr/>
        <w:t>son</w:t>
      </w:r>
      <w:r>
        <w:rPr>
          <w:spacing w:val="-15"/>
        </w:rPr>
        <w:t> </w:t>
      </w:r>
      <w:r>
        <w:rPr/>
        <w:t>completamente útiles, 39.7% lo suficiente, 25.6% lo necesario y el 12.8% nada. Sin embargo solamente</w:t>
      </w:r>
      <w:r>
        <w:rPr>
          <w:spacing w:val="-13"/>
        </w:rPr>
        <w:t> </w:t>
      </w:r>
      <w:r>
        <w:rPr/>
        <w:t>el</w:t>
      </w:r>
      <w:r>
        <w:rPr>
          <w:spacing w:val="-15"/>
        </w:rPr>
        <w:t> </w:t>
      </w:r>
      <w:r>
        <w:rPr/>
        <w:t>43.6%</w:t>
      </w:r>
      <w:r>
        <w:rPr>
          <w:spacing w:val="-13"/>
        </w:rPr>
        <w:t> </w:t>
      </w:r>
      <w:r>
        <w:rPr/>
        <w:t>referenció</w:t>
      </w:r>
      <w:r>
        <w:rPr>
          <w:spacing w:val="-13"/>
        </w:rPr>
        <w:t> </w:t>
      </w:r>
      <w:r>
        <w:rPr/>
        <w:t>que</w:t>
      </w:r>
      <w:r>
        <w:rPr>
          <w:spacing w:val="-15"/>
        </w:rPr>
        <w:t> </w:t>
      </w:r>
      <w:r>
        <w:rPr/>
        <w:t>mantiene</w:t>
      </w:r>
      <w:r>
        <w:rPr>
          <w:spacing w:val="-15"/>
        </w:rPr>
        <w:t> </w:t>
      </w:r>
      <w:r>
        <w:rPr/>
        <w:t>actualizada</w:t>
      </w:r>
      <w:r>
        <w:rPr>
          <w:spacing w:val="-13"/>
        </w:rPr>
        <w:t> </w:t>
      </w:r>
      <w:r>
        <w:rPr/>
        <w:t>la</w:t>
      </w:r>
      <w:r>
        <w:rPr>
          <w:spacing w:val="-13"/>
        </w:rPr>
        <w:t> </w:t>
      </w:r>
      <w:r>
        <w:rPr/>
        <w:t>información</w:t>
      </w:r>
      <w:r>
        <w:rPr>
          <w:spacing w:val="-12"/>
        </w:rPr>
        <w:t> </w:t>
      </w:r>
      <w:r>
        <w:rPr/>
        <w:t>publicada</w:t>
      </w:r>
      <w:r>
        <w:rPr>
          <w:spacing w:val="-15"/>
        </w:rPr>
        <w:t> </w:t>
      </w:r>
      <w:r>
        <w:rPr/>
        <w:t>en el sistema IPOMEX, 53.8% casi siempre, 1.3% nunca y el 1.3% no</w:t>
      </w:r>
      <w:r>
        <w:rPr>
          <w:spacing w:val="-15"/>
        </w:rPr>
        <w:t> </w:t>
      </w:r>
      <w:r>
        <w:rPr/>
        <w:t>contestó.</w:t>
      </w:r>
    </w:p>
    <w:p>
      <w:pPr>
        <w:pStyle w:val="BodyText"/>
      </w:pPr>
    </w:p>
    <w:p>
      <w:pPr>
        <w:pStyle w:val="BodyText"/>
        <w:spacing w:line="360" w:lineRule="auto" w:before="142"/>
        <w:ind w:left="108" w:right="173"/>
      </w:pPr>
      <w:r>
        <w:rPr/>
        <w:t>Por su parte la responsable de transparencia entrevistada señaló la forma de cómo organiza la información es “La información se organiza en una carpeta que guardo en ese archivero”. Esta situación evidencia la falta de TIC para la realización de su función. Asimismo, la falta de tecnología para cuando se pide la información en vía electrónica. De igual manera, la falta tiempo, interés o recursos para emigrar la información física a la parte digital.</w:t>
      </w:r>
    </w:p>
    <w:p>
      <w:pPr>
        <w:spacing w:after="0" w:line="360" w:lineRule="auto"/>
        <w:sectPr>
          <w:pgSz w:w="12240" w:h="15840"/>
          <w:pgMar w:header="0" w:footer="1035" w:top="1360" w:bottom="1220" w:left="1500" w:right="1580"/>
        </w:sectPr>
      </w:pPr>
    </w:p>
    <w:p>
      <w:pPr>
        <w:pStyle w:val="Heading1"/>
        <w:numPr>
          <w:ilvl w:val="3"/>
          <w:numId w:val="44"/>
        </w:numPr>
        <w:tabs>
          <w:tab w:pos="1525" w:val="left" w:leader="none"/>
        </w:tabs>
        <w:spacing w:line="240" w:lineRule="auto" w:before="54" w:after="0"/>
        <w:ind w:left="1524" w:right="0" w:hanging="1416"/>
        <w:jc w:val="both"/>
      </w:pPr>
      <w:r>
        <w:rPr/>
        <w:t>Poder, dominación y</w:t>
      </w:r>
      <w:r>
        <w:rPr>
          <w:spacing w:val="-6"/>
        </w:rPr>
        <w:t> </w:t>
      </w:r>
      <w:r>
        <w:rPr/>
        <w:t>legitimidad</w:t>
      </w:r>
    </w:p>
    <w:p>
      <w:pPr>
        <w:pStyle w:val="BodyText"/>
        <w:rPr>
          <w:b/>
        </w:rPr>
      </w:pPr>
    </w:p>
    <w:p>
      <w:pPr>
        <w:pStyle w:val="BodyText"/>
        <w:rPr>
          <w:b/>
        </w:rPr>
      </w:pPr>
    </w:p>
    <w:p>
      <w:pPr>
        <w:pStyle w:val="BodyText"/>
        <w:spacing w:line="360" w:lineRule="auto"/>
        <w:ind w:left="108" w:right="115"/>
        <w:jc w:val="both"/>
      </w:pPr>
      <w:r>
        <w:rPr/>
        <w:t>En lo relativo a esta variable cabe hacer mención que los encuestados no referenciaron ser presionados por sus superiores para realizar sus actividades ya que solamente el 2.6% es respondió haber sido presionado lo suficiente por sus superiores para no dar información lo suficiente, 9% lo necesario, 85.9% nada y el 2.6% no contestó.</w:t>
      </w:r>
    </w:p>
    <w:p>
      <w:pPr>
        <w:pStyle w:val="BodyText"/>
      </w:pPr>
    </w:p>
    <w:p>
      <w:pPr>
        <w:pStyle w:val="BodyText"/>
        <w:spacing w:line="360" w:lineRule="auto" w:before="142"/>
        <w:ind w:left="108" w:right="116"/>
        <w:jc w:val="both"/>
      </w:pPr>
      <w:r>
        <w:rPr/>
        <w:t>Esta misma referencia fue reforzada cuando los encuestados referenciaron que solamente</w:t>
      </w:r>
      <w:r>
        <w:rPr>
          <w:spacing w:val="-12"/>
        </w:rPr>
        <w:t> </w:t>
      </w:r>
      <w:r>
        <w:rPr/>
        <w:t>3.8%</w:t>
      </w:r>
      <w:r>
        <w:rPr>
          <w:spacing w:val="-12"/>
        </w:rPr>
        <w:t> </w:t>
      </w:r>
      <w:r>
        <w:rPr/>
        <w:t>siempre</w:t>
      </w:r>
      <w:r>
        <w:rPr>
          <w:spacing w:val="-12"/>
        </w:rPr>
        <w:t> </w:t>
      </w:r>
      <w:r>
        <w:rPr/>
        <w:t>es</w:t>
      </w:r>
      <w:r>
        <w:rPr>
          <w:spacing w:val="-12"/>
        </w:rPr>
        <w:t> </w:t>
      </w:r>
      <w:r>
        <w:rPr/>
        <w:t>presionado</w:t>
      </w:r>
      <w:r>
        <w:rPr>
          <w:spacing w:val="-13"/>
        </w:rPr>
        <w:t> </w:t>
      </w:r>
      <w:r>
        <w:rPr/>
        <w:t>por</w:t>
      </w:r>
      <w:r>
        <w:rPr>
          <w:spacing w:val="-12"/>
        </w:rPr>
        <w:t> </w:t>
      </w:r>
      <w:r>
        <w:rPr/>
        <w:t>su</w:t>
      </w:r>
      <w:r>
        <w:rPr>
          <w:spacing w:val="-12"/>
        </w:rPr>
        <w:t> </w:t>
      </w:r>
      <w:r>
        <w:rPr/>
        <w:t>jefe</w:t>
      </w:r>
      <w:r>
        <w:rPr>
          <w:spacing w:val="-12"/>
        </w:rPr>
        <w:t> </w:t>
      </w:r>
      <w:r>
        <w:rPr/>
        <w:t>inmediato</w:t>
      </w:r>
      <w:r>
        <w:rPr>
          <w:spacing w:val="-12"/>
        </w:rPr>
        <w:t> </w:t>
      </w:r>
      <w:r>
        <w:rPr/>
        <w:t>para</w:t>
      </w:r>
      <w:r>
        <w:rPr>
          <w:spacing w:val="-12"/>
        </w:rPr>
        <w:t> </w:t>
      </w:r>
      <w:r>
        <w:rPr/>
        <w:t>no</w:t>
      </w:r>
      <w:r>
        <w:rPr>
          <w:spacing w:val="-12"/>
        </w:rPr>
        <w:t> </w:t>
      </w:r>
      <w:r>
        <w:rPr/>
        <w:t>dar</w:t>
      </w:r>
      <w:r>
        <w:rPr>
          <w:spacing w:val="-12"/>
        </w:rPr>
        <w:t> </w:t>
      </w:r>
      <w:r>
        <w:rPr/>
        <w:t>respuestas a las solicitudes de información que llegan al municipio, 5.1% casi siempre, 9% casi nunca, 80.8% nunca y el 1.3% no</w:t>
      </w:r>
      <w:r>
        <w:rPr>
          <w:spacing w:val="-13"/>
        </w:rPr>
        <w:t> </w:t>
      </w:r>
      <w:r>
        <w:rPr/>
        <w:t>contestó.</w:t>
      </w:r>
    </w:p>
    <w:p>
      <w:pPr>
        <w:pStyle w:val="BodyText"/>
      </w:pPr>
    </w:p>
    <w:p>
      <w:pPr>
        <w:pStyle w:val="BodyText"/>
        <w:spacing w:line="360" w:lineRule="auto" w:before="142"/>
        <w:ind w:left="108" w:right="117"/>
        <w:jc w:val="both"/>
      </w:pPr>
      <w:r>
        <w:rPr/>
        <w:t>De</w:t>
      </w:r>
      <w:r>
        <w:rPr>
          <w:spacing w:val="-12"/>
        </w:rPr>
        <w:t> </w:t>
      </w:r>
      <w:r>
        <w:rPr/>
        <w:t>igual</w:t>
      </w:r>
      <w:r>
        <w:rPr>
          <w:spacing w:val="-13"/>
        </w:rPr>
        <w:t> </w:t>
      </w:r>
      <w:r>
        <w:rPr/>
        <w:t>manera</w:t>
      </w:r>
      <w:r>
        <w:rPr>
          <w:spacing w:val="-12"/>
        </w:rPr>
        <w:t> </w:t>
      </w:r>
      <w:r>
        <w:rPr/>
        <w:t>se</w:t>
      </w:r>
      <w:r>
        <w:rPr>
          <w:spacing w:val="-12"/>
        </w:rPr>
        <w:t> </w:t>
      </w:r>
      <w:r>
        <w:rPr/>
        <w:t>refuerza</w:t>
      </w:r>
      <w:r>
        <w:rPr>
          <w:spacing w:val="-12"/>
        </w:rPr>
        <w:t> </w:t>
      </w:r>
      <w:r>
        <w:rPr/>
        <w:t>esta</w:t>
      </w:r>
      <w:r>
        <w:rPr>
          <w:spacing w:val="-14"/>
        </w:rPr>
        <w:t> </w:t>
      </w:r>
      <w:r>
        <w:rPr/>
        <w:t>medida</w:t>
      </w:r>
      <w:r>
        <w:rPr>
          <w:spacing w:val="-11"/>
        </w:rPr>
        <w:t> </w:t>
      </w:r>
      <w:r>
        <w:rPr/>
        <w:t>cuando</w:t>
      </w:r>
      <w:r>
        <w:rPr>
          <w:spacing w:val="-14"/>
        </w:rPr>
        <w:t> </w:t>
      </w:r>
      <w:r>
        <w:rPr/>
        <w:t>el</w:t>
      </w:r>
      <w:r>
        <w:rPr>
          <w:spacing w:val="-13"/>
        </w:rPr>
        <w:t> </w:t>
      </w:r>
      <w:r>
        <w:rPr/>
        <w:t>2.6%</w:t>
      </w:r>
      <w:r>
        <w:rPr>
          <w:spacing w:val="-12"/>
        </w:rPr>
        <w:t> </w:t>
      </w:r>
      <w:r>
        <w:rPr/>
        <w:t>los</w:t>
      </w:r>
      <w:r>
        <w:rPr>
          <w:spacing w:val="-14"/>
        </w:rPr>
        <w:t> </w:t>
      </w:r>
      <w:r>
        <w:rPr/>
        <w:t>encuestados</w:t>
      </w:r>
      <w:r>
        <w:rPr>
          <w:spacing w:val="-15"/>
        </w:rPr>
        <w:t> </w:t>
      </w:r>
      <w:r>
        <w:rPr/>
        <w:t>respondió que casi siempre es presionado por otras instancias para no dar respuestas a las solicitudes de información que llegan al municipio, 6.4% casi nunca, 89.7% nunca y el 1.3% no</w:t>
      </w:r>
      <w:r>
        <w:rPr>
          <w:spacing w:val="-4"/>
        </w:rPr>
        <w:t> </w:t>
      </w:r>
      <w:r>
        <w:rPr/>
        <w:t>contestó.</w:t>
      </w:r>
    </w:p>
    <w:p>
      <w:pPr>
        <w:pStyle w:val="BodyText"/>
      </w:pPr>
    </w:p>
    <w:p>
      <w:pPr>
        <w:pStyle w:val="BodyText"/>
        <w:spacing w:line="360" w:lineRule="auto" w:before="142"/>
        <w:ind w:left="108" w:right="116"/>
        <w:jc w:val="both"/>
      </w:pPr>
      <w:r>
        <w:rPr/>
        <w:t>Es</w:t>
      </w:r>
      <w:r>
        <w:rPr>
          <w:spacing w:val="-18"/>
        </w:rPr>
        <w:t> </w:t>
      </w:r>
      <w:r>
        <w:rPr/>
        <w:t>importante</w:t>
      </w:r>
      <w:r>
        <w:rPr>
          <w:spacing w:val="-19"/>
        </w:rPr>
        <w:t> </w:t>
      </w:r>
      <w:r>
        <w:rPr/>
        <w:t>resaltar</w:t>
      </w:r>
      <w:r>
        <w:rPr>
          <w:spacing w:val="-20"/>
        </w:rPr>
        <w:t> </w:t>
      </w:r>
      <w:r>
        <w:rPr/>
        <w:t>que</w:t>
      </w:r>
      <w:r>
        <w:rPr>
          <w:spacing w:val="-18"/>
        </w:rPr>
        <w:t> </w:t>
      </w:r>
      <w:r>
        <w:rPr/>
        <w:t>complementario</w:t>
      </w:r>
      <w:r>
        <w:rPr>
          <w:spacing w:val="-20"/>
        </w:rPr>
        <w:t> </w:t>
      </w:r>
      <w:r>
        <w:rPr/>
        <w:t>a</w:t>
      </w:r>
      <w:r>
        <w:rPr>
          <w:spacing w:val="-21"/>
        </w:rPr>
        <w:t> </w:t>
      </w:r>
      <w:r>
        <w:rPr/>
        <w:t>esta</w:t>
      </w:r>
      <w:r>
        <w:rPr>
          <w:spacing w:val="-19"/>
        </w:rPr>
        <w:t> </w:t>
      </w:r>
      <w:r>
        <w:rPr/>
        <w:t>información,</w:t>
      </w:r>
      <w:r>
        <w:rPr>
          <w:spacing w:val="-18"/>
        </w:rPr>
        <w:t> </w:t>
      </w:r>
      <w:r>
        <w:rPr/>
        <w:t>la</w:t>
      </w:r>
      <w:r>
        <w:rPr>
          <w:spacing w:val="-14"/>
        </w:rPr>
        <w:t> </w:t>
      </w:r>
      <w:r>
        <w:rPr/>
        <w:t>entrevistada</w:t>
      </w:r>
      <w:r>
        <w:rPr>
          <w:spacing w:val="-16"/>
        </w:rPr>
        <w:t> </w:t>
      </w:r>
      <w:r>
        <w:rPr/>
        <w:t>señaló que se vive un escenario de temor por el uso que se le vaya a dar a la información. No solo de efectos partidistas sino de seguridad de los mismos funcionarios. Es por ello que la no participación de la sociedad favorece la opacidad del</w:t>
      </w:r>
      <w:r>
        <w:rPr>
          <w:spacing w:val="-26"/>
        </w:rPr>
        <w:t> </w:t>
      </w:r>
      <w:r>
        <w:rPr/>
        <w:t>gobierno.</w:t>
      </w:r>
    </w:p>
    <w:p>
      <w:pPr>
        <w:pStyle w:val="BodyText"/>
      </w:pPr>
    </w:p>
    <w:p>
      <w:pPr>
        <w:pStyle w:val="BodyText"/>
      </w:pPr>
    </w:p>
    <w:p>
      <w:pPr>
        <w:spacing w:line="240" w:lineRule="auto" w:before="186"/>
        <w:ind w:left="1241" w:right="1117" w:firstLine="0"/>
        <w:jc w:val="both"/>
        <w:rPr>
          <w:sz w:val="18"/>
        </w:rPr>
      </w:pPr>
      <w:r>
        <w:rPr>
          <w:sz w:val="18"/>
        </w:rPr>
        <w:t>“No yo creo que no debería de influir, no importaría si yo fuera del PAN o del PRD yo creo que seguiría siendo igual. En ese aspecto yo creo que no debería afectar el partido político a lo mejor ahí va publicar que no debiera o viceversa sobre qué información debería ser pública. De ahí va a depender del interés del Presidente o Presidenta municipal”</w:t>
      </w:r>
    </w:p>
    <w:p>
      <w:pPr>
        <w:pStyle w:val="BodyText"/>
        <w:rPr>
          <w:sz w:val="18"/>
        </w:rPr>
      </w:pPr>
    </w:p>
    <w:p>
      <w:pPr>
        <w:pStyle w:val="BodyText"/>
        <w:rPr>
          <w:sz w:val="18"/>
        </w:rPr>
      </w:pPr>
    </w:p>
    <w:p>
      <w:pPr>
        <w:pStyle w:val="BodyText"/>
        <w:rPr>
          <w:sz w:val="18"/>
        </w:rPr>
      </w:pPr>
    </w:p>
    <w:p>
      <w:pPr>
        <w:pStyle w:val="BodyText"/>
        <w:spacing w:line="360" w:lineRule="auto" w:before="114"/>
        <w:ind w:left="108" w:right="123"/>
        <w:jc w:val="both"/>
      </w:pPr>
      <w:r>
        <w:rPr/>
        <w:t>En este contexto tiene pertinencia la reflexión de Michels (1992) cuando señala que la</w:t>
      </w:r>
      <w:r>
        <w:rPr>
          <w:spacing w:val="-17"/>
        </w:rPr>
        <w:t> </w:t>
      </w:r>
      <w:r>
        <w:rPr/>
        <w:t>organización</w:t>
      </w:r>
      <w:r>
        <w:rPr>
          <w:spacing w:val="-19"/>
        </w:rPr>
        <w:t> </w:t>
      </w:r>
      <w:r>
        <w:rPr/>
        <w:t>es</w:t>
      </w:r>
      <w:r>
        <w:rPr>
          <w:spacing w:val="-17"/>
        </w:rPr>
        <w:t> </w:t>
      </w:r>
      <w:r>
        <w:rPr/>
        <w:t>reflejo</w:t>
      </w:r>
      <w:r>
        <w:rPr>
          <w:spacing w:val="-17"/>
        </w:rPr>
        <w:t> </w:t>
      </w:r>
      <w:r>
        <w:rPr/>
        <w:t>de</w:t>
      </w:r>
      <w:r>
        <w:rPr>
          <w:spacing w:val="-17"/>
        </w:rPr>
        <w:t> </w:t>
      </w:r>
      <w:r>
        <w:rPr/>
        <w:t>su</w:t>
      </w:r>
      <w:r>
        <w:rPr>
          <w:spacing w:val="-17"/>
        </w:rPr>
        <w:t> </w:t>
      </w:r>
      <w:r>
        <w:rPr/>
        <w:t>líder</w:t>
      </w:r>
      <w:r>
        <w:rPr>
          <w:spacing w:val="-18"/>
        </w:rPr>
        <w:t> </w:t>
      </w:r>
      <w:r>
        <w:rPr/>
        <w:t>ya</w:t>
      </w:r>
      <w:r>
        <w:rPr>
          <w:spacing w:val="-19"/>
        </w:rPr>
        <w:t> </w:t>
      </w:r>
      <w:r>
        <w:rPr/>
        <w:t>que</w:t>
      </w:r>
      <w:r>
        <w:rPr>
          <w:spacing w:val="-19"/>
        </w:rPr>
        <w:t> </w:t>
      </w:r>
      <w:r>
        <w:rPr/>
        <w:t>de</w:t>
      </w:r>
      <w:r>
        <w:rPr>
          <w:spacing w:val="-21"/>
        </w:rPr>
        <w:t> </w:t>
      </w:r>
      <w:r>
        <w:rPr/>
        <w:t>acuerdo</w:t>
      </w:r>
      <w:r>
        <w:rPr>
          <w:spacing w:val="-19"/>
        </w:rPr>
        <w:t> </w:t>
      </w:r>
      <w:r>
        <w:rPr/>
        <w:t>a</w:t>
      </w:r>
      <w:r>
        <w:rPr>
          <w:spacing w:val="-17"/>
        </w:rPr>
        <w:t> </w:t>
      </w:r>
      <w:r>
        <w:rPr/>
        <w:t>lo</w:t>
      </w:r>
      <w:r>
        <w:rPr>
          <w:spacing w:val="-19"/>
        </w:rPr>
        <w:t> </w:t>
      </w:r>
      <w:r>
        <w:rPr/>
        <w:t>que</w:t>
      </w:r>
      <w:r>
        <w:rPr>
          <w:spacing w:val="-19"/>
        </w:rPr>
        <w:t> </w:t>
      </w:r>
      <w:r>
        <w:rPr/>
        <w:t>afirma</w:t>
      </w:r>
      <w:r>
        <w:rPr>
          <w:spacing w:val="-17"/>
        </w:rPr>
        <w:t> </w:t>
      </w:r>
      <w:r>
        <w:rPr/>
        <w:t>la</w:t>
      </w:r>
      <w:r>
        <w:rPr>
          <w:spacing w:val="-19"/>
        </w:rPr>
        <w:t> </w:t>
      </w:r>
      <w:r>
        <w:rPr/>
        <w:t>responsable la</w:t>
      </w:r>
      <w:r>
        <w:rPr>
          <w:spacing w:val="20"/>
        </w:rPr>
        <w:t> </w:t>
      </w:r>
      <w:r>
        <w:rPr/>
        <w:t>transparencia</w:t>
      </w:r>
      <w:r>
        <w:rPr>
          <w:spacing w:val="20"/>
        </w:rPr>
        <w:t> </w:t>
      </w:r>
      <w:r>
        <w:rPr/>
        <w:t>no</w:t>
      </w:r>
      <w:r>
        <w:rPr>
          <w:spacing w:val="18"/>
        </w:rPr>
        <w:t> </w:t>
      </w:r>
      <w:r>
        <w:rPr/>
        <w:t>es</w:t>
      </w:r>
      <w:r>
        <w:rPr>
          <w:spacing w:val="17"/>
        </w:rPr>
        <w:t> </w:t>
      </w:r>
      <w:r>
        <w:rPr/>
        <w:t>cuestión</w:t>
      </w:r>
      <w:r>
        <w:rPr>
          <w:spacing w:val="20"/>
        </w:rPr>
        <w:t> </w:t>
      </w:r>
      <w:r>
        <w:rPr/>
        <w:t>del</w:t>
      </w:r>
      <w:r>
        <w:rPr>
          <w:spacing w:val="19"/>
        </w:rPr>
        <w:t> </w:t>
      </w:r>
      <w:r>
        <w:rPr/>
        <w:t>partido,</w:t>
      </w:r>
      <w:r>
        <w:rPr>
          <w:spacing w:val="17"/>
        </w:rPr>
        <w:t> </w:t>
      </w:r>
      <w:r>
        <w:rPr/>
        <w:t>sino</w:t>
      </w:r>
      <w:r>
        <w:rPr>
          <w:spacing w:val="21"/>
        </w:rPr>
        <w:t> </w:t>
      </w:r>
      <w:r>
        <w:rPr/>
        <w:t>voluntad</w:t>
      </w:r>
      <w:r>
        <w:rPr>
          <w:spacing w:val="20"/>
        </w:rPr>
        <w:t> </w:t>
      </w:r>
      <w:r>
        <w:rPr/>
        <w:t>política</w:t>
      </w:r>
      <w:r>
        <w:rPr>
          <w:spacing w:val="20"/>
        </w:rPr>
        <w:t> </w:t>
      </w:r>
      <w:r>
        <w:rPr/>
        <w:t>de</w:t>
      </w:r>
      <w:r>
        <w:rPr>
          <w:spacing w:val="20"/>
        </w:rPr>
        <w:t> </w:t>
      </w:r>
      <w:r>
        <w:rPr/>
        <w:t>la</w:t>
      </w:r>
      <w:r>
        <w:rPr>
          <w:spacing w:val="20"/>
        </w:rPr>
        <w:t> </w:t>
      </w:r>
      <w:r>
        <w:rPr/>
        <w:t>presidenta</w:t>
      </w:r>
    </w:p>
    <w:p>
      <w:pPr>
        <w:spacing w:after="0" w:line="360" w:lineRule="auto"/>
        <w:jc w:val="both"/>
        <w:sectPr>
          <w:pgSz w:w="12240" w:h="15840"/>
          <w:pgMar w:header="0" w:footer="1035" w:top="1360" w:bottom="1220" w:left="1500" w:right="1580"/>
        </w:sectPr>
      </w:pPr>
    </w:p>
    <w:p>
      <w:pPr>
        <w:pStyle w:val="BodyText"/>
        <w:spacing w:line="362" w:lineRule="auto" w:before="54"/>
        <w:ind w:left="108" w:right="123"/>
        <w:jc w:val="both"/>
      </w:pPr>
      <w:r>
        <w:rPr/>
        <w:t>municipal.</w:t>
      </w:r>
      <w:r>
        <w:rPr>
          <w:spacing w:val="-10"/>
        </w:rPr>
        <w:t> </w:t>
      </w:r>
      <w:r>
        <w:rPr/>
        <w:t>La</w:t>
      </w:r>
      <w:r>
        <w:rPr>
          <w:spacing w:val="-9"/>
        </w:rPr>
        <w:t> </w:t>
      </w:r>
      <w:r>
        <w:rPr/>
        <w:t>cual</w:t>
      </w:r>
      <w:r>
        <w:rPr>
          <w:spacing w:val="-10"/>
        </w:rPr>
        <w:t> </w:t>
      </w:r>
      <w:r>
        <w:rPr/>
        <w:t>se</w:t>
      </w:r>
      <w:r>
        <w:rPr>
          <w:spacing w:val="-9"/>
        </w:rPr>
        <w:t> </w:t>
      </w:r>
      <w:r>
        <w:rPr/>
        <w:t>debe</w:t>
      </w:r>
      <w:r>
        <w:rPr>
          <w:spacing w:val="-9"/>
        </w:rPr>
        <w:t> </w:t>
      </w:r>
      <w:r>
        <w:rPr/>
        <w:t>traducir</w:t>
      </w:r>
      <w:r>
        <w:rPr>
          <w:spacing w:val="-10"/>
        </w:rPr>
        <w:t> </w:t>
      </w:r>
      <w:r>
        <w:rPr/>
        <w:t>en</w:t>
      </w:r>
      <w:r>
        <w:rPr>
          <w:spacing w:val="-9"/>
        </w:rPr>
        <w:t> </w:t>
      </w:r>
      <w:r>
        <w:rPr/>
        <w:t>infraestructura,</w:t>
      </w:r>
      <w:r>
        <w:rPr>
          <w:spacing w:val="-9"/>
        </w:rPr>
        <w:t> </w:t>
      </w:r>
      <w:r>
        <w:rPr/>
        <w:t>recursos</w:t>
      </w:r>
      <w:r>
        <w:rPr>
          <w:spacing w:val="-10"/>
        </w:rPr>
        <w:t> </w:t>
      </w:r>
      <w:r>
        <w:rPr/>
        <w:t>humanos,</w:t>
      </w:r>
      <w:r>
        <w:rPr>
          <w:spacing w:val="-10"/>
        </w:rPr>
        <w:t> </w:t>
      </w:r>
      <w:r>
        <w:rPr/>
        <w:t>materiales y tecnológicos para el desarrollo de la</w:t>
      </w:r>
      <w:r>
        <w:rPr>
          <w:spacing w:val="-19"/>
        </w:rPr>
        <w:t> </w:t>
      </w:r>
      <w:r>
        <w:rPr/>
        <w:t>transparencia.</w:t>
      </w:r>
    </w:p>
    <w:p>
      <w:pPr>
        <w:pStyle w:val="BodyText"/>
      </w:pPr>
    </w:p>
    <w:p>
      <w:pPr>
        <w:pStyle w:val="BodyText"/>
      </w:pPr>
    </w:p>
    <w:p>
      <w:pPr>
        <w:pStyle w:val="BodyText"/>
        <w:spacing w:before="4"/>
        <w:rPr>
          <w:sz w:val="19"/>
        </w:rPr>
      </w:pPr>
    </w:p>
    <w:p>
      <w:pPr>
        <w:pStyle w:val="Heading1"/>
        <w:numPr>
          <w:ilvl w:val="3"/>
          <w:numId w:val="44"/>
        </w:numPr>
        <w:tabs>
          <w:tab w:pos="1524" w:val="left" w:leader="none"/>
          <w:tab w:pos="1525" w:val="left" w:leader="none"/>
        </w:tabs>
        <w:spacing w:line="240" w:lineRule="auto" w:before="1" w:after="0"/>
        <w:ind w:left="1524" w:right="0" w:hanging="1274"/>
        <w:jc w:val="left"/>
      </w:pPr>
      <w:r>
        <w:rPr/>
        <w:t>Interacción y</w:t>
      </w:r>
      <w:r>
        <w:rPr>
          <w:spacing w:val="-9"/>
        </w:rPr>
        <w:t> </w:t>
      </w:r>
      <w:r>
        <w:rPr/>
        <w:t>actuación</w:t>
      </w:r>
    </w:p>
    <w:p>
      <w:pPr>
        <w:pStyle w:val="BodyText"/>
        <w:rPr>
          <w:b/>
        </w:rPr>
      </w:pPr>
    </w:p>
    <w:p>
      <w:pPr>
        <w:pStyle w:val="BodyText"/>
        <w:rPr>
          <w:b/>
        </w:rPr>
      </w:pPr>
    </w:p>
    <w:p>
      <w:pPr>
        <w:pStyle w:val="BodyText"/>
        <w:spacing w:line="360" w:lineRule="auto"/>
        <w:ind w:left="108" w:right="118"/>
        <w:jc w:val="both"/>
      </w:pPr>
      <w:r>
        <w:rPr/>
        <w:t>De</w:t>
      </w:r>
      <w:r>
        <w:rPr>
          <w:spacing w:val="-14"/>
        </w:rPr>
        <w:t> </w:t>
      </w:r>
      <w:r>
        <w:rPr/>
        <w:t>acuerdo</w:t>
      </w:r>
      <w:r>
        <w:rPr>
          <w:spacing w:val="-15"/>
        </w:rPr>
        <w:t> </w:t>
      </w:r>
      <w:r>
        <w:rPr/>
        <w:t>a</w:t>
      </w:r>
      <w:r>
        <w:rPr>
          <w:spacing w:val="-15"/>
        </w:rPr>
        <w:t> </w:t>
      </w:r>
      <w:r>
        <w:rPr/>
        <w:t>la</w:t>
      </w:r>
      <w:r>
        <w:rPr>
          <w:spacing w:val="-16"/>
        </w:rPr>
        <w:t> </w:t>
      </w:r>
      <w:r>
        <w:rPr/>
        <w:t>percepción</w:t>
      </w:r>
      <w:r>
        <w:rPr>
          <w:spacing w:val="-15"/>
        </w:rPr>
        <w:t> </w:t>
      </w:r>
      <w:r>
        <w:rPr/>
        <w:t>de</w:t>
      </w:r>
      <w:r>
        <w:rPr>
          <w:spacing w:val="-14"/>
        </w:rPr>
        <w:t> </w:t>
      </w:r>
      <w:r>
        <w:rPr/>
        <w:t>los</w:t>
      </w:r>
      <w:r>
        <w:rPr>
          <w:spacing w:val="-16"/>
        </w:rPr>
        <w:t> </w:t>
      </w:r>
      <w:r>
        <w:rPr/>
        <w:t>encuestados,</w:t>
      </w:r>
      <w:r>
        <w:rPr>
          <w:spacing w:val="-14"/>
        </w:rPr>
        <w:t> </w:t>
      </w:r>
      <w:r>
        <w:rPr/>
        <w:t>los</w:t>
      </w:r>
      <w:r>
        <w:rPr>
          <w:spacing w:val="-18"/>
        </w:rPr>
        <w:t> </w:t>
      </w:r>
      <w:r>
        <w:rPr/>
        <w:t>funcionarios</w:t>
      </w:r>
      <w:r>
        <w:rPr>
          <w:spacing w:val="-16"/>
        </w:rPr>
        <w:t> </w:t>
      </w:r>
      <w:r>
        <w:rPr/>
        <w:t>de</w:t>
      </w:r>
      <w:r>
        <w:rPr>
          <w:spacing w:val="-14"/>
        </w:rPr>
        <w:t> </w:t>
      </w:r>
      <w:r>
        <w:rPr/>
        <w:t>su</w:t>
      </w:r>
      <w:r>
        <w:rPr>
          <w:spacing w:val="-16"/>
        </w:rPr>
        <w:t> </w:t>
      </w:r>
      <w:r>
        <w:rPr/>
        <w:t>municipio</w:t>
      </w:r>
      <w:r>
        <w:rPr>
          <w:spacing w:val="-14"/>
        </w:rPr>
        <w:t> </w:t>
      </w:r>
      <w:r>
        <w:rPr/>
        <w:t>casi no fingen el cumplimiento de la ley, tal como referenciaron, ya que sobre la percepción de los integrantes del Cabildo (Regidores), solamente el 12.8% finge el cumplimiento de la ley completamente, 12.8% lo suficiente, 12.8% lo necesario y el 61.5% nada. Asimismo, los integrantes del gabinete (Directores) fingen el cumplimiento de la ley de transparencia en su municipio el 9% completamente, 16.7% lo suficiente, 6.4% lo necesario y el 67.9% nada. De manera similar los encuestados señalaron que los trabajadores operativos fingen el cumplimiento de</w:t>
      </w:r>
      <w:r>
        <w:rPr>
          <w:spacing w:val="-41"/>
        </w:rPr>
        <w:t> </w:t>
      </w:r>
      <w:r>
        <w:rPr/>
        <w:t>la ley de transparencia en su municipio el 3.8% completamente, 14.1% lo suficiente, 12.8% lo necesario y el 69.2%</w:t>
      </w:r>
      <w:r>
        <w:rPr>
          <w:spacing w:val="-13"/>
        </w:rPr>
        <w:t> </w:t>
      </w:r>
      <w:r>
        <w:rPr/>
        <w:t>nada.</w:t>
      </w:r>
    </w:p>
    <w:p>
      <w:pPr>
        <w:pStyle w:val="BodyText"/>
      </w:pPr>
    </w:p>
    <w:p>
      <w:pPr>
        <w:pStyle w:val="ListParagraph"/>
        <w:numPr>
          <w:ilvl w:val="0"/>
          <w:numId w:val="46"/>
        </w:numPr>
        <w:tabs>
          <w:tab w:pos="536" w:val="left" w:leader="none"/>
        </w:tabs>
        <w:spacing w:line="273" w:lineRule="auto" w:before="140" w:after="0"/>
        <w:ind w:left="535" w:right="122" w:hanging="360"/>
        <w:jc w:val="both"/>
        <w:rPr>
          <w:sz w:val="24"/>
        </w:rPr>
      </w:pPr>
      <w:r>
        <w:rPr>
          <w:sz w:val="24"/>
        </w:rPr>
        <w:t>En qué medida los integrantes del gabinete (Directores) fingen la promoción de la transparencia en su municipio el 6.4% completamente, 12.8% lo suficiente, 7.7% lo necesario y el 73.1%</w:t>
      </w:r>
      <w:r>
        <w:rPr>
          <w:spacing w:val="-13"/>
          <w:sz w:val="24"/>
        </w:rPr>
        <w:t> </w:t>
      </w:r>
      <w:r>
        <w:rPr>
          <w:sz w:val="24"/>
        </w:rPr>
        <w:t>nada.</w:t>
      </w:r>
    </w:p>
    <w:p>
      <w:pPr>
        <w:pStyle w:val="ListParagraph"/>
        <w:numPr>
          <w:ilvl w:val="0"/>
          <w:numId w:val="46"/>
        </w:numPr>
        <w:tabs>
          <w:tab w:pos="536" w:val="left" w:leader="none"/>
        </w:tabs>
        <w:spacing w:line="273" w:lineRule="auto" w:before="4" w:after="0"/>
        <w:ind w:left="535" w:right="121" w:hanging="360"/>
        <w:jc w:val="both"/>
        <w:rPr>
          <w:sz w:val="24"/>
        </w:rPr>
      </w:pPr>
      <w:r>
        <w:rPr>
          <w:sz w:val="24"/>
        </w:rPr>
        <w:t>En qué medida los trabajadores operativos fingen la promoción de la transparencia en su muñ2nicipio el 5.1% completamente, 11.5% lo suficiente, 10.3% lo necesario y el 73.1%</w:t>
      </w:r>
      <w:r>
        <w:rPr>
          <w:spacing w:val="-13"/>
          <w:sz w:val="24"/>
        </w:rPr>
        <w:t> </w:t>
      </w:r>
      <w:r>
        <w:rPr>
          <w:sz w:val="24"/>
        </w:rPr>
        <w:t>nada.</w:t>
      </w:r>
    </w:p>
    <w:p>
      <w:pPr>
        <w:pStyle w:val="ListParagraph"/>
        <w:numPr>
          <w:ilvl w:val="0"/>
          <w:numId w:val="46"/>
        </w:numPr>
        <w:tabs>
          <w:tab w:pos="536" w:val="left" w:leader="none"/>
        </w:tabs>
        <w:spacing w:line="273" w:lineRule="auto" w:before="1" w:after="0"/>
        <w:ind w:left="535" w:right="123" w:hanging="360"/>
        <w:jc w:val="both"/>
        <w:rPr>
          <w:sz w:val="24"/>
        </w:rPr>
      </w:pPr>
      <w:r>
        <w:rPr>
          <w:sz w:val="24"/>
        </w:rPr>
        <w:t>En</w:t>
      </w:r>
      <w:r>
        <w:rPr>
          <w:spacing w:val="-4"/>
          <w:sz w:val="24"/>
        </w:rPr>
        <w:t> </w:t>
      </w:r>
      <w:r>
        <w:rPr>
          <w:sz w:val="24"/>
        </w:rPr>
        <w:t>qué</w:t>
      </w:r>
      <w:r>
        <w:rPr>
          <w:spacing w:val="-4"/>
          <w:sz w:val="24"/>
        </w:rPr>
        <w:t> </w:t>
      </w:r>
      <w:r>
        <w:rPr>
          <w:sz w:val="24"/>
        </w:rPr>
        <w:t>medida</w:t>
      </w:r>
      <w:r>
        <w:rPr>
          <w:spacing w:val="-4"/>
          <w:sz w:val="24"/>
        </w:rPr>
        <w:t> </w:t>
      </w:r>
      <w:r>
        <w:rPr>
          <w:sz w:val="24"/>
        </w:rPr>
        <w:t>los</w:t>
      </w:r>
      <w:r>
        <w:rPr>
          <w:spacing w:val="-4"/>
          <w:sz w:val="24"/>
        </w:rPr>
        <w:t> </w:t>
      </w:r>
      <w:r>
        <w:rPr>
          <w:sz w:val="24"/>
        </w:rPr>
        <w:t>integrantes</w:t>
      </w:r>
      <w:r>
        <w:rPr>
          <w:spacing w:val="-4"/>
          <w:sz w:val="24"/>
        </w:rPr>
        <w:t> </w:t>
      </w:r>
      <w:r>
        <w:rPr>
          <w:sz w:val="24"/>
        </w:rPr>
        <w:t>del</w:t>
      </w:r>
      <w:r>
        <w:rPr>
          <w:spacing w:val="-5"/>
          <w:sz w:val="24"/>
        </w:rPr>
        <w:t> </w:t>
      </w:r>
      <w:r>
        <w:rPr>
          <w:sz w:val="24"/>
        </w:rPr>
        <w:t>cabildo</w:t>
      </w:r>
      <w:r>
        <w:rPr>
          <w:spacing w:val="-4"/>
          <w:sz w:val="24"/>
        </w:rPr>
        <w:t> </w:t>
      </w:r>
      <w:r>
        <w:rPr>
          <w:sz w:val="24"/>
        </w:rPr>
        <w:t>(Regidores)</w:t>
      </w:r>
      <w:r>
        <w:rPr>
          <w:spacing w:val="-5"/>
          <w:sz w:val="24"/>
        </w:rPr>
        <w:t> </w:t>
      </w:r>
      <w:r>
        <w:rPr>
          <w:sz w:val="24"/>
        </w:rPr>
        <w:t>fingen</w:t>
      </w:r>
      <w:r>
        <w:rPr>
          <w:spacing w:val="-4"/>
          <w:sz w:val="24"/>
        </w:rPr>
        <w:t> </w:t>
      </w:r>
      <w:r>
        <w:rPr>
          <w:sz w:val="24"/>
        </w:rPr>
        <w:t>la</w:t>
      </w:r>
      <w:r>
        <w:rPr>
          <w:spacing w:val="-4"/>
          <w:sz w:val="24"/>
        </w:rPr>
        <w:t> </w:t>
      </w:r>
      <w:r>
        <w:rPr>
          <w:sz w:val="24"/>
        </w:rPr>
        <w:t>promoción</w:t>
      </w:r>
      <w:r>
        <w:rPr>
          <w:spacing w:val="-4"/>
          <w:sz w:val="24"/>
        </w:rPr>
        <w:t> </w:t>
      </w:r>
      <w:r>
        <w:rPr>
          <w:sz w:val="24"/>
        </w:rPr>
        <w:t>de</w:t>
      </w:r>
      <w:r>
        <w:rPr>
          <w:spacing w:val="-6"/>
          <w:sz w:val="24"/>
        </w:rPr>
        <w:t> </w:t>
      </w:r>
      <w:r>
        <w:rPr>
          <w:sz w:val="24"/>
        </w:rPr>
        <w:t>la transparencia en su municipio el 9% completamente, 7.7% lo suficiente, 11.5% lo necesario y el 71.8%</w:t>
      </w:r>
      <w:r>
        <w:rPr>
          <w:spacing w:val="-10"/>
          <w:sz w:val="24"/>
        </w:rPr>
        <w:t> </w:t>
      </w:r>
      <w:r>
        <w:rPr>
          <w:sz w:val="24"/>
        </w:rPr>
        <w:t>nada.</w:t>
      </w:r>
    </w:p>
    <w:p>
      <w:pPr>
        <w:pStyle w:val="BodyText"/>
      </w:pPr>
    </w:p>
    <w:p>
      <w:pPr>
        <w:pStyle w:val="BodyText"/>
        <w:spacing w:line="360" w:lineRule="auto" w:before="142"/>
        <w:ind w:left="108" w:right="115"/>
        <w:jc w:val="both"/>
      </w:pPr>
      <w:r>
        <w:rPr/>
        <w:t>Derivado de los roles que asumen los funcionarios se puede inferir que en ese pequeño</w:t>
      </w:r>
      <w:r>
        <w:rPr>
          <w:spacing w:val="-8"/>
        </w:rPr>
        <w:t> </w:t>
      </w:r>
      <w:r>
        <w:rPr/>
        <w:t>espacio</w:t>
      </w:r>
      <w:r>
        <w:rPr>
          <w:spacing w:val="-8"/>
        </w:rPr>
        <w:t> </w:t>
      </w:r>
      <w:r>
        <w:rPr/>
        <w:t>de</w:t>
      </w:r>
      <w:r>
        <w:rPr>
          <w:spacing w:val="-11"/>
        </w:rPr>
        <w:t> </w:t>
      </w:r>
      <w:r>
        <w:rPr/>
        <w:t>fingir</w:t>
      </w:r>
      <w:r>
        <w:rPr>
          <w:spacing w:val="-8"/>
        </w:rPr>
        <w:t> </w:t>
      </w:r>
      <w:r>
        <w:rPr/>
        <w:t>el</w:t>
      </w:r>
      <w:r>
        <w:rPr>
          <w:spacing w:val="-7"/>
        </w:rPr>
        <w:t> </w:t>
      </w:r>
      <w:r>
        <w:rPr/>
        <w:t>cumplimiento</w:t>
      </w:r>
      <w:r>
        <w:rPr>
          <w:spacing w:val="-8"/>
        </w:rPr>
        <w:t> </w:t>
      </w:r>
      <w:r>
        <w:rPr/>
        <w:t>de</w:t>
      </w:r>
      <w:r>
        <w:rPr>
          <w:spacing w:val="-8"/>
        </w:rPr>
        <w:t> </w:t>
      </w:r>
      <w:r>
        <w:rPr/>
        <w:t>la</w:t>
      </w:r>
      <w:r>
        <w:rPr>
          <w:spacing w:val="-6"/>
        </w:rPr>
        <w:t> </w:t>
      </w:r>
      <w:r>
        <w:rPr/>
        <w:t>ley</w:t>
      </w:r>
      <w:r>
        <w:rPr>
          <w:spacing w:val="-9"/>
        </w:rPr>
        <w:t> </w:t>
      </w:r>
      <w:r>
        <w:rPr/>
        <w:t>se</w:t>
      </w:r>
      <w:r>
        <w:rPr>
          <w:spacing w:val="-8"/>
        </w:rPr>
        <w:t> </w:t>
      </w:r>
      <w:r>
        <w:rPr/>
        <w:t>aprecia</w:t>
      </w:r>
      <w:r>
        <w:rPr>
          <w:spacing w:val="-8"/>
        </w:rPr>
        <w:t> </w:t>
      </w:r>
      <w:r>
        <w:rPr/>
        <w:t>cómo</w:t>
      </w:r>
      <w:r>
        <w:rPr>
          <w:spacing w:val="-8"/>
        </w:rPr>
        <w:t> </w:t>
      </w:r>
      <w:r>
        <w:rPr/>
        <w:t>para</w:t>
      </w:r>
      <w:r>
        <w:rPr>
          <w:spacing w:val="-11"/>
        </w:rPr>
        <w:t> </w:t>
      </w:r>
      <w:r>
        <w:rPr/>
        <w:t>el</w:t>
      </w:r>
      <w:r>
        <w:rPr>
          <w:spacing w:val="-7"/>
        </w:rPr>
        <w:t> </w:t>
      </w:r>
      <w:r>
        <w:rPr/>
        <w:t>1.3%</w:t>
      </w:r>
      <w:r>
        <w:rPr>
          <w:spacing w:val="-9"/>
        </w:rPr>
        <w:t> </w:t>
      </w:r>
      <w:r>
        <w:rPr/>
        <w:t>de los encuestados siempre se oculta u omite la información pública de oficio, 12.8% casi nunca, 84.6% nunca y el 1.3% no</w:t>
      </w:r>
      <w:r>
        <w:rPr>
          <w:spacing w:val="-13"/>
        </w:rPr>
        <w:t> </w:t>
      </w:r>
      <w:r>
        <w:rPr/>
        <w:t>contestó.</w:t>
      </w:r>
    </w:p>
    <w:p>
      <w:pPr>
        <w:spacing w:after="0" w:line="360" w:lineRule="auto"/>
        <w:jc w:val="both"/>
        <w:sectPr>
          <w:pgSz w:w="12240" w:h="15840"/>
          <w:pgMar w:header="0" w:footer="1035" w:top="1360" w:bottom="1220" w:left="1500" w:right="1580"/>
        </w:sectPr>
      </w:pPr>
    </w:p>
    <w:p>
      <w:pPr>
        <w:pStyle w:val="BodyText"/>
        <w:spacing w:line="360" w:lineRule="auto" w:before="54"/>
        <w:ind w:left="108" w:right="115"/>
        <w:jc w:val="both"/>
      </w:pPr>
      <w:r>
        <w:rPr/>
        <w:t>En</w:t>
      </w:r>
      <w:r>
        <w:rPr>
          <w:spacing w:val="-18"/>
        </w:rPr>
        <w:t> </w:t>
      </w:r>
      <w:r>
        <w:rPr/>
        <w:t>estos</w:t>
      </w:r>
      <w:r>
        <w:rPr>
          <w:spacing w:val="-19"/>
        </w:rPr>
        <w:t> </w:t>
      </w:r>
      <w:r>
        <w:rPr/>
        <w:t>espacios</w:t>
      </w:r>
      <w:r>
        <w:rPr>
          <w:spacing w:val="-18"/>
        </w:rPr>
        <w:t> </w:t>
      </w:r>
      <w:r>
        <w:rPr/>
        <w:t>en</w:t>
      </w:r>
      <w:r>
        <w:rPr>
          <w:spacing w:val="-18"/>
        </w:rPr>
        <w:t> </w:t>
      </w:r>
      <w:r>
        <w:rPr/>
        <w:t>que</w:t>
      </w:r>
      <w:r>
        <w:rPr>
          <w:spacing w:val="-16"/>
        </w:rPr>
        <w:t> </w:t>
      </w:r>
      <w:r>
        <w:rPr/>
        <w:t>se</w:t>
      </w:r>
      <w:r>
        <w:rPr>
          <w:spacing w:val="-16"/>
        </w:rPr>
        <w:t> </w:t>
      </w:r>
      <w:r>
        <w:rPr/>
        <w:t>omito</w:t>
      </w:r>
      <w:r>
        <w:rPr>
          <w:spacing w:val="-18"/>
        </w:rPr>
        <w:t> </w:t>
      </w:r>
      <w:r>
        <w:rPr/>
        <w:t>u</w:t>
      </w:r>
      <w:r>
        <w:rPr>
          <w:spacing w:val="-18"/>
        </w:rPr>
        <w:t> </w:t>
      </w:r>
      <w:r>
        <w:rPr/>
        <w:t>oculta</w:t>
      </w:r>
      <w:r>
        <w:rPr>
          <w:spacing w:val="-16"/>
        </w:rPr>
        <w:t> </w:t>
      </w:r>
      <w:r>
        <w:rPr/>
        <w:t>información</w:t>
      </w:r>
      <w:r>
        <w:rPr>
          <w:spacing w:val="-16"/>
        </w:rPr>
        <w:t> </w:t>
      </w:r>
      <w:r>
        <w:rPr/>
        <w:t>las</w:t>
      </w:r>
      <w:r>
        <w:rPr>
          <w:spacing w:val="-18"/>
        </w:rPr>
        <w:t> </w:t>
      </w:r>
      <w:r>
        <w:rPr/>
        <w:t>personas</w:t>
      </w:r>
      <w:r>
        <w:rPr>
          <w:spacing w:val="-21"/>
        </w:rPr>
        <w:t> </w:t>
      </w:r>
      <w:r>
        <w:rPr/>
        <w:t>pueden</w:t>
      </w:r>
      <w:r>
        <w:rPr>
          <w:spacing w:val="-18"/>
        </w:rPr>
        <w:t> </w:t>
      </w:r>
      <w:r>
        <w:rPr/>
        <w:t>generar cotos de poder para controlar la incertidumbre de los demás. De esta manera el 35.9%</w:t>
      </w:r>
      <w:r>
        <w:rPr>
          <w:spacing w:val="-7"/>
        </w:rPr>
        <w:t> </w:t>
      </w:r>
      <w:r>
        <w:rPr/>
        <w:t>opinó</w:t>
      </w:r>
      <w:r>
        <w:rPr>
          <w:spacing w:val="-5"/>
        </w:rPr>
        <w:t> </w:t>
      </w:r>
      <w:r>
        <w:rPr/>
        <w:t>que</w:t>
      </w:r>
      <w:r>
        <w:rPr>
          <w:spacing w:val="-6"/>
        </w:rPr>
        <w:t> </w:t>
      </w:r>
      <w:r>
        <w:rPr/>
        <w:t>la</w:t>
      </w:r>
      <w:r>
        <w:rPr>
          <w:spacing w:val="-6"/>
        </w:rPr>
        <w:t> </w:t>
      </w:r>
      <w:r>
        <w:rPr/>
        <w:t>no</w:t>
      </w:r>
      <w:r>
        <w:rPr>
          <w:spacing w:val="-8"/>
        </w:rPr>
        <w:t> </w:t>
      </w:r>
      <w:r>
        <w:rPr/>
        <w:t>transparencia</w:t>
      </w:r>
      <w:r>
        <w:rPr>
          <w:spacing w:val="-6"/>
        </w:rPr>
        <w:t> </w:t>
      </w:r>
      <w:r>
        <w:rPr/>
        <w:t>puede</w:t>
      </w:r>
      <w:r>
        <w:rPr>
          <w:spacing w:val="-6"/>
        </w:rPr>
        <w:t> </w:t>
      </w:r>
      <w:r>
        <w:rPr/>
        <w:t>generar</w:t>
      </w:r>
      <w:r>
        <w:rPr>
          <w:spacing w:val="-5"/>
        </w:rPr>
        <w:t> </w:t>
      </w:r>
      <w:r>
        <w:rPr/>
        <w:t>cotos</w:t>
      </w:r>
      <w:r>
        <w:rPr>
          <w:spacing w:val="-7"/>
        </w:rPr>
        <w:t> </w:t>
      </w:r>
      <w:r>
        <w:rPr/>
        <w:t>de</w:t>
      </w:r>
      <w:r>
        <w:rPr>
          <w:spacing w:val="-6"/>
        </w:rPr>
        <w:t> </w:t>
      </w:r>
      <w:r>
        <w:rPr/>
        <w:t>poder</w:t>
      </w:r>
      <w:r>
        <w:rPr>
          <w:spacing w:val="-7"/>
        </w:rPr>
        <w:t> </w:t>
      </w:r>
      <w:r>
        <w:rPr/>
        <w:t>completamente, 29.5% lo suficiente, 12.8% lo necesario, 17.9% nada y el 3.8% no contestó. De manera complementaria para el 28.8% de los encuestados la transparencia es completamente una medida para evitar los cotos de poder, 16.7% lo suficiente, 16.7% lo necesario, 33.3% nada y el 5.1% no</w:t>
      </w:r>
      <w:r>
        <w:rPr>
          <w:spacing w:val="-22"/>
        </w:rPr>
        <w:t> </w:t>
      </w:r>
      <w:r>
        <w:rPr/>
        <w:t>contestaron.</w:t>
      </w:r>
    </w:p>
    <w:p>
      <w:pPr>
        <w:pStyle w:val="BodyText"/>
      </w:pPr>
    </w:p>
    <w:p>
      <w:pPr>
        <w:pStyle w:val="BodyText"/>
        <w:spacing w:line="360" w:lineRule="auto" w:before="142"/>
        <w:ind w:left="108" w:right="116"/>
        <w:jc w:val="both"/>
      </w:pPr>
      <w:r>
        <w:rPr/>
        <w:t>Parte de esta incertidumbre se puede generar por la no interacción personal entre quienes solicitan y proporcionan la información, ya que con ello se generan relaciones impersonales ya que el 10.3% referenció que siempre recibe solicitudes de</w:t>
      </w:r>
      <w:r>
        <w:rPr>
          <w:spacing w:val="-4"/>
        </w:rPr>
        <w:t> </w:t>
      </w:r>
      <w:r>
        <w:rPr/>
        <w:t>información</w:t>
      </w:r>
      <w:r>
        <w:rPr>
          <w:spacing w:val="-5"/>
        </w:rPr>
        <w:t> </w:t>
      </w:r>
      <w:r>
        <w:rPr/>
        <w:t>de</w:t>
      </w:r>
      <w:r>
        <w:rPr>
          <w:spacing w:val="-6"/>
        </w:rPr>
        <w:t> </w:t>
      </w:r>
      <w:r>
        <w:rPr/>
        <w:t>manera</w:t>
      </w:r>
      <w:r>
        <w:rPr>
          <w:spacing w:val="-4"/>
        </w:rPr>
        <w:t> </w:t>
      </w:r>
      <w:r>
        <w:rPr/>
        <w:t>verbal,</w:t>
      </w:r>
      <w:r>
        <w:rPr>
          <w:spacing w:val="-2"/>
        </w:rPr>
        <w:t> </w:t>
      </w:r>
      <w:r>
        <w:rPr/>
        <w:t>9%</w:t>
      </w:r>
      <w:r>
        <w:rPr>
          <w:spacing w:val="-4"/>
        </w:rPr>
        <w:t> </w:t>
      </w:r>
      <w:r>
        <w:rPr/>
        <w:t>casi</w:t>
      </w:r>
      <w:r>
        <w:rPr>
          <w:spacing w:val="-5"/>
        </w:rPr>
        <w:t> </w:t>
      </w:r>
      <w:r>
        <w:rPr/>
        <w:t>siempre,</w:t>
      </w:r>
      <w:r>
        <w:rPr>
          <w:spacing w:val="-6"/>
        </w:rPr>
        <w:t> </w:t>
      </w:r>
      <w:r>
        <w:rPr/>
        <w:t>55.1%</w:t>
      </w:r>
      <w:r>
        <w:rPr>
          <w:spacing w:val="-7"/>
        </w:rPr>
        <w:t> </w:t>
      </w:r>
      <w:r>
        <w:rPr/>
        <w:t>casi</w:t>
      </w:r>
      <w:r>
        <w:rPr>
          <w:spacing w:val="-7"/>
        </w:rPr>
        <w:t> </w:t>
      </w:r>
      <w:r>
        <w:rPr/>
        <w:t>nunca,</w:t>
      </w:r>
      <w:r>
        <w:rPr>
          <w:spacing w:val="-4"/>
        </w:rPr>
        <w:t> </w:t>
      </w:r>
      <w:r>
        <w:rPr/>
        <w:t>14.1%</w:t>
      </w:r>
      <w:r>
        <w:rPr>
          <w:spacing w:val="-7"/>
        </w:rPr>
        <w:t> </w:t>
      </w:r>
      <w:r>
        <w:rPr/>
        <w:t>nunca y el 11.5% no</w:t>
      </w:r>
      <w:r>
        <w:rPr>
          <w:spacing w:val="-7"/>
        </w:rPr>
        <w:t> </w:t>
      </w:r>
      <w:r>
        <w:rPr/>
        <w:t>contestó.</w:t>
      </w:r>
    </w:p>
    <w:p>
      <w:pPr>
        <w:pStyle w:val="BodyText"/>
      </w:pPr>
    </w:p>
    <w:p>
      <w:pPr>
        <w:pStyle w:val="BodyText"/>
        <w:spacing w:line="360" w:lineRule="auto" w:before="142"/>
        <w:ind w:left="108" w:right="121"/>
        <w:jc w:val="both"/>
      </w:pPr>
      <w:r>
        <w:rPr/>
        <w:t>De manera complementaria, cabe destacar que el 15.4% siempre recibe solicitudes de información vía escrita, 12.8% casi siempre, 53.8% casi nunca, 16.7% nunca, 1.3%</w:t>
      </w:r>
      <w:r>
        <w:rPr>
          <w:spacing w:val="-9"/>
        </w:rPr>
        <w:t> </w:t>
      </w:r>
      <w:r>
        <w:rPr/>
        <w:t>no</w:t>
      </w:r>
      <w:r>
        <w:rPr>
          <w:spacing w:val="-8"/>
        </w:rPr>
        <w:t> </w:t>
      </w:r>
      <w:r>
        <w:rPr/>
        <w:t>contestó.</w:t>
      </w:r>
      <w:r>
        <w:rPr>
          <w:spacing w:val="-9"/>
        </w:rPr>
        <w:t> </w:t>
      </w:r>
      <w:r>
        <w:rPr/>
        <w:t>El</w:t>
      </w:r>
      <w:r>
        <w:rPr>
          <w:spacing w:val="-10"/>
        </w:rPr>
        <w:t> </w:t>
      </w:r>
      <w:r>
        <w:rPr/>
        <w:t>incremento</w:t>
      </w:r>
      <w:r>
        <w:rPr>
          <w:spacing w:val="-8"/>
        </w:rPr>
        <w:t> </w:t>
      </w:r>
      <w:r>
        <w:rPr/>
        <w:t>de</w:t>
      </w:r>
      <w:r>
        <w:rPr>
          <w:spacing w:val="-8"/>
        </w:rPr>
        <w:t> </w:t>
      </w:r>
      <w:r>
        <w:rPr/>
        <w:t>solicitudes</w:t>
      </w:r>
      <w:r>
        <w:rPr>
          <w:spacing w:val="-9"/>
        </w:rPr>
        <w:t> </w:t>
      </w:r>
      <w:r>
        <w:rPr/>
        <w:t>se</w:t>
      </w:r>
      <w:r>
        <w:rPr>
          <w:spacing w:val="-8"/>
        </w:rPr>
        <w:t> </w:t>
      </w:r>
      <w:r>
        <w:rPr/>
        <w:t>dado</w:t>
      </w:r>
      <w:r>
        <w:rPr>
          <w:spacing w:val="-8"/>
        </w:rPr>
        <w:t> </w:t>
      </w:r>
      <w:r>
        <w:rPr/>
        <w:t>a</w:t>
      </w:r>
      <w:r>
        <w:rPr>
          <w:spacing w:val="-8"/>
        </w:rPr>
        <w:t> </w:t>
      </w:r>
      <w:r>
        <w:rPr/>
        <w:t>través</w:t>
      </w:r>
      <w:r>
        <w:rPr>
          <w:spacing w:val="-9"/>
        </w:rPr>
        <w:t> </w:t>
      </w:r>
      <w:r>
        <w:rPr/>
        <w:t>de</w:t>
      </w:r>
      <w:r>
        <w:rPr>
          <w:spacing w:val="-8"/>
        </w:rPr>
        <w:t> </w:t>
      </w:r>
      <w:r>
        <w:rPr/>
        <w:t>la</w:t>
      </w:r>
      <w:r>
        <w:rPr>
          <w:spacing w:val="-9"/>
        </w:rPr>
        <w:t> </w:t>
      </w:r>
      <w:r>
        <w:rPr/>
        <w:t>vía</w:t>
      </w:r>
      <w:r>
        <w:rPr>
          <w:spacing w:val="-8"/>
        </w:rPr>
        <w:t> </w:t>
      </w:r>
      <w:r>
        <w:rPr/>
        <w:t>electrónica ya que el 47.4% de los encuestados referenció que siempre recibe solicitudes de información en la página IPOMEX, 19.2% casi siempre, 3.8% casi nunca, 26.9% nunca y el 2.6% no</w:t>
      </w:r>
      <w:r>
        <w:rPr>
          <w:spacing w:val="-7"/>
        </w:rPr>
        <w:t> </w:t>
      </w:r>
      <w:r>
        <w:rPr/>
        <w:t>contestó.</w:t>
      </w:r>
    </w:p>
    <w:p>
      <w:pPr>
        <w:pStyle w:val="BodyText"/>
      </w:pPr>
    </w:p>
    <w:p>
      <w:pPr>
        <w:pStyle w:val="BodyText"/>
        <w:spacing w:line="360" w:lineRule="auto" w:before="142"/>
        <w:ind w:left="108" w:right="123"/>
        <w:jc w:val="both"/>
      </w:pPr>
      <w:r>
        <w:rPr/>
        <w:t>Esta forma de interacción electrónica permite manejar la incertidumbre de los solicitantes</w:t>
      </w:r>
      <w:r>
        <w:rPr>
          <w:spacing w:val="-7"/>
        </w:rPr>
        <w:t> </w:t>
      </w:r>
      <w:r>
        <w:rPr/>
        <w:t>ya</w:t>
      </w:r>
      <w:r>
        <w:rPr>
          <w:spacing w:val="-6"/>
        </w:rPr>
        <w:t> </w:t>
      </w:r>
      <w:r>
        <w:rPr/>
        <w:t>que</w:t>
      </w:r>
      <w:r>
        <w:rPr>
          <w:spacing w:val="-8"/>
        </w:rPr>
        <w:t> </w:t>
      </w:r>
      <w:r>
        <w:rPr/>
        <w:t>al</w:t>
      </w:r>
      <w:r>
        <w:rPr>
          <w:spacing w:val="-7"/>
        </w:rPr>
        <w:t> </w:t>
      </w:r>
      <w:r>
        <w:rPr/>
        <w:t>no</w:t>
      </w:r>
      <w:r>
        <w:rPr>
          <w:spacing w:val="-6"/>
        </w:rPr>
        <w:t> </w:t>
      </w:r>
      <w:r>
        <w:rPr/>
        <w:t>tener</w:t>
      </w:r>
      <w:r>
        <w:rPr>
          <w:spacing w:val="-7"/>
        </w:rPr>
        <w:t> </w:t>
      </w:r>
      <w:r>
        <w:rPr/>
        <w:t>contacto</w:t>
      </w:r>
      <w:r>
        <w:rPr>
          <w:spacing w:val="-8"/>
        </w:rPr>
        <w:t> </w:t>
      </w:r>
      <w:r>
        <w:rPr/>
        <w:t>físico</w:t>
      </w:r>
      <w:r>
        <w:rPr>
          <w:spacing w:val="-9"/>
        </w:rPr>
        <w:t> </w:t>
      </w:r>
      <w:r>
        <w:rPr/>
        <w:t>se</w:t>
      </w:r>
      <w:r>
        <w:rPr>
          <w:spacing w:val="-6"/>
        </w:rPr>
        <w:t> </w:t>
      </w:r>
      <w:r>
        <w:rPr/>
        <w:t>limitan</w:t>
      </w:r>
      <w:r>
        <w:rPr>
          <w:spacing w:val="-6"/>
        </w:rPr>
        <w:t> </w:t>
      </w:r>
      <w:r>
        <w:rPr/>
        <w:t>las</w:t>
      </w:r>
      <w:r>
        <w:rPr>
          <w:spacing w:val="-6"/>
        </w:rPr>
        <w:t> </w:t>
      </w:r>
      <w:r>
        <w:rPr/>
        <w:t>expresiones</w:t>
      </w:r>
      <w:r>
        <w:rPr>
          <w:spacing w:val="-7"/>
        </w:rPr>
        <w:t> </w:t>
      </w:r>
      <w:r>
        <w:rPr/>
        <w:t>visuales</w:t>
      </w:r>
      <w:r>
        <w:rPr>
          <w:spacing w:val="-6"/>
        </w:rPr>
        <w:t> </w:t>
      </w:r>
      <w:r>
        <w:rPr/>
        <w:t>que pudieran ayudar a conocer el sentir del servidor público que presta el servicio. Así como la capacidad de respuesta de la institución para atender a las peticiones de información</w:t>
      </w:r>
      <w:r>
        <w:rPr>
          <w:spacing w:val="-8"/>
        </w:rPr>
        <w:t> </w:t>
      </w:r>
      <w:r>
        <w:rPr/>
        <w:t>realizadas.</w:t>
      </w:r>
    </w:p>
    <w:p>
      <w:pPr>
        <w:pStyle w:val="BodyText"/>
      </w:pPr>
    </w:p>
    <w:p>
      <w:pPr>
        <w:pStyle w:val="BodyText"/>
        <w:spacing w:line="360" w:lineRule="auto" w:before="142"/>
        <w:ind w:left="108" w:right="116"/>
        <w:jc w:val="both"/>
      </w:pPr>
      <w:r>
        <w:rPr/>
        <w:t>Contrario a lo que señala el INFOEM de que la ciudadanía se interesa más en la transparencia porque se ha registrado un incremento de solicitudes importante, pasando de 572 solicitudes recibidas en 2005 a 8,314 en el año 2014, teniendo incrementos considerables en los años 2009, 2011 y 2013. Se puede señalar    que</w:t>
      </w:r>
    </w:p>
    <w:p>
      <w:pPr>
        <w:spacing w:after="0" w:line="360" w:lineRule="auto"/>
        <w:jc w:val="both"/>
        <w:sectPr>
          <w:pgSz w:w="12240" w:h="15840"/>
          <w:pgMar w:header="0" w:footer="1035" w:top="1360" w:bottom="1220" w:left="1500" w:right="1580"/>
        </w:sectPr>
      </w:pPr>
    </w:p>
    <w:p>
      <w:pPr>
        <w:pStyle w:val="BodyText"/>
        <w:spacing w:line="360" w:lineRule="auto" w:before="54"/>
        <w:ind w:left="488" w:right="116"/>
        <w:jc w:val="both"/>
      </w:pPr>
      <w:r>
        <w:rPr/>
        <w:t>este incremento de solicitudes de información podría deberse a cuestiones electorales y no al interés de la ciudadanía, tal como afirma la entrevistada cuando señala lo siguiente:</w:t>
      </w:r>
    </w:p>
    <w:p>
      <w:pPr>
        <w:pStyle w:val="BodyText"/>
      </w:pPr>
    </w:p>
    <w:p>
      <w:pPr>
        <w:pStyle w:val="BodyText"/>
      </w:pPr>
    </w:p>
    <w:p>
      <w:pPr>
        <w:spacing w:line="237" w:lineRule="auto" w:before="188"/>
        <w:ind w:left="1621" w:right="1308" w:firstLine="0"/>
        <w:jc w:val="both"/>
        <w:rPr>
          <w:sz w:val="18"/>
        </w:rPr>
      </w:pPr>
      <w:r>
        <w:rPr>
          <w:sz w:val="18"/>
        </w:rPr>
        <w:t>“</w:t>
      </w:r>
      <w:r>
        <w:rPr>
          <w:i/>
          <w:sz w:val="18"/>
        </w:rPr>
        <w:t>el año pasado atendimos unas cuatro, pero ahora que estamos iniciando yo creo </w:t>
      </w:r>
      <w:r>
        <w:rPr>
          <w:i/>
          <w:sz w:val="18"/>
        </w:rPr>
        <w:t>que unas 2, ha bajado. Ahora en los procesos electorales a lo mejor aumenta esta cifra, eso refleja que la comunidad que no le interesa lo que estamos haciendo</w:t>
      </w:r>
      <w:r>
        <w:rPr>
          <w:sz w:val="18"/>
        </w:rPr>
        <w:t>”</w:t>
      </w:r>
    </w:p>
    <w:p>
      <w:pPr>
        <w:pStyle w:val="BodyText"/>
        <w:rPr>
          <w:sz w:val="18"/>
        </w:rPr>
      </w:pPr>
    </w:p>
    <w:p>
      <w:pPr>
        <w:pStyle w:val="BodyText"/>
        <w:rPr>
          <w:sz w:val="18"/>
        </w:rPr>
      </w:pPr>
    </w:p>
    <w:p>
      <w:pPr>
        <w:pStyle w:val="BodyText"/>
        <w:rPr>
          <w:sz w:val="18"/>
        </w:rPr>
      </w:pPr>
    </w:p>
    <w:p>
      <w:pPr>
        <w:pStyle w:val="BodyText"/>
        <w:spacing w:line="360" w:lineRule="auto" w:before="117"/>
        <w:ind w:left="488" w:right="118"/>
        <w:jc w:val="both"/>
      </w:pPr>
      <w:r>
        <w:rPr/>
        <w:t>Esta afirmación que hace la responsable de transparencia es importante debido a tres</w:t>
      </w:r>
      <w:r>
        <w:rPr>
          <w:spacing w:val="-9"/>
        </w:rPr>
        <w:t> </w:t>
      </w:r>
      <w:r>
        <w:rPr/>
        <w:t>elementos:</w:t>
      </w:r>
      <w:r>
        <w:rPr>
          <w:spacing w:val="-11"/>
        </w:rPr>
        <w:t> </w:t>
      </w:r>
      <w:r>
        <w:rPr/>
        <w:t>primero,</w:t>
      </w:r>
      <w:r>
        <w:rPr>
          <w:spacing w:val="-6"/>
        </w:rPr>
        <w:t> </w:t>
      </w:r>
      <w:r>
        <w:rPr/>
        <w:t>ella</w:t>
      </w:r>
      <w:r>
        <w:rPr>
          <w:spacing w:val="-8"/>
        </w:rPr>
        <w:t> </w:t>
      </w:r>
      <w:r>
        <w:rPr/>
        <w:t>tiene</w:t>
      </w:r>
      <w:r>
        <w:rPr>
          <w:spacing w:val="-11"/>
        </w:rPr>
        <w:t> </w:t>
      </w:r>
      <w:r>
        <w:rPr/>
        <w:t>formación</w:t>
      </w:r>
      <w:r>
        <w:rPr>
          <w:spacing w:val="-11"/>
        </w:rPr>
        <w:t> </w:t>
      </w:r>
      <w:r>
        <w:rPr/>
        <w:t>de</w:t>
      </w:r>
      <w:r>
        <w:rPr>
          <w:spacing w:val="-8"/>
        </w:rPr>
        <w:t> </w:t>
      </w:r>
      <w:r>
        <w:rPr/>
        <w:t>politóloga</w:t>
      </w:r>
      <w:r>
        <w:rPr>
          <w:spacing w:val="-8"/>
        </w:rPr>
        <w:t> </w:t>
      </w:r>
      <w:r>
        <w:rPr/>
        <w:t>y</w:t>
      </w:r>
      <w:r>
        <w:rPr>
          <w:spacing w:val="-12"/>
        </w:rPr>
        <w:t> </w:t>
      </w:r>
      <w:r>
        <w:rPr/>
        <w:t>es</w:t>
      </w:r>
      <w:r>
        <w:rPr>
          <w:spacing w:val="-9"/>
        </w:rPr>
        <w:t> </w:t>
      </w:r>
      <w:r>
        <w:rPr/>
        <w:t>consciente</w:t>
      </w:r>
      <w:r>
        <w:rPr>
          <w:spacing w:val="-10"/>
        </w:rPr>
        <w:t> </w:t>
      </w:r>
      <w:r>
        <w:rPr/>
        <w:t>de</w:t>
      </w:r>
      <w:r>
        <w:rPr>
          <w:spacing w:val="-8"/>
        </w:rPr>
        <w:t> </w:t>
      </w:r>
      <w:r>
        <w:rPr/>
        <w:t>que</w:t>
      </w:r>
      <w:r>
        <w:rPr>
          <w:spacing w:val="-8"/>
        </w:rPr>
        <w:t> </w:t>
      </w:r>
      <w:r>
        <w:rPr/>
        <w:t>en esos periodos en que se incrementaron las solicitudes se desarrollaron elecciones de Presidente de la República (2012), Gobernador del Estado de México (2011) y Presidentes Municipales (2009 y 2012) y la demanda de solicitudes de información baja cuando terminan los periodos electorales en el año 2012. En este escenario tiene pertinencia la afirmación de Goffman (1981), cuando señala que los</w:t>
      </w:r>
      <w:r>
        <w:rPr>
          <w:spacing w:val="-38"/>
        </w:rPr>
        <w:t> </w:t>
      </w:r>
      <w:r>
        <w:rPr/>
        <w:t>individuos constantemente estamos cambiando de máscara según la</w:t>
      </w:r>
      <w:r>
        <w:rPr>
          <w:spacing w:val="-17"/>
        </w:rPr>
        <w:t> </w:t>
      </w:r>
      <w:r>
        <w:rPr/>
        <w:t>situación.</w:t>
      </w:r>
    </w:p>
    <w:p>
      <w:pPr>
        <w:pStyle w:val="BodyText"/>
      </w:pPr>
    </w:p>
    <w:p>
      <w:pPr>
        <w:pStyle w:val="BodyText"/>
      </w:pPr>
    </w:p>
    <w:p>
      <w:pPr>
        <w:pStyle w:val="BodyText"/>
        <w:spacing w:line="360" w:lineRule="auto" w:before="185"/>
        <w:ind w:left="488" w:right="116"/>
        <w:jc w:val="both"/>
      </w:pPr>
      <w:r>
        <w:rPr/>
        <w:t>En este sentido, durante los periodos electorales se crea un escenario teatral </w:t>
      </w:r>
      <w:r>
        <w:rPr>
          <w:spacing w:val="-2"/>
        </w:rPr>
        <w:t>que </w:t>
      </w:r>
      <w:r>
        <w:rPr/>
        <w:t>presenta hechos ficticios (promesas de campaña) y el papel que desempeña un individuo (candidato) se ajusta a los papeles representados por los otros individuos presentes (grupos de interés), pero una vez que esos candidatos llegan al poder, utilizan la información para que ésta sólo evidencie los logros obtenidos durante su gestión y se ocultan los rezagos, problemas y corrupción que se generan en su periodo</w:t>
      </w:r>
      <w:r>
        <w:rPr>
          <w:spacing w:val="-15"/>
        </w:rPr>
        <w:t> </w:t>
      </w:r>
      <w:r>
        <w:rPr/>
        <w:t>de</w:t>
      </w:r>
      <w:r>
        <w:rPr>
          <w:spacing w:val="-13"/>
        </w:rPr>
        <w:t> </w:t>
      </w:r>
      <w:r>
        <w:rPr/>
        <w:t>gobierno.</w:t>
      </w:r>
      <w:r>
        <w:rPr>
          <w:spacing w:val="-15"/>
        </w:rPr>
        <w:t> </w:t>
      </w:r>
      <w:r>
        <w:rPr/>
        <w:t>La</w:t>
      </w:r>
      <w:r>
        <w:rPr>
          <w:spacing w:val="-13"/>
        </w:rPr>
        <w:t> </w:t>
      </w:r>
      <w:r>
        <w:rPr/>
        <w:t>transparencia</w:t>
      </w:r>
      <w:r>
        <w:rPr>
          <w:spacing w:val="-15"/>
        </w:rPr>
        <w:t> </w:t>
      </w:r>
      <w:r>
        <w:rPr/>
        <w:t>entonces,</w:t>
      </w:r>
      <w:r>
        <w:rPr>
          <w:spacing w:val="-13"/>
        </w:rPr>
        <w:t> </w:t>
      </w:r>
      <w:r>
        <w:rPr/>
        <w:t>cumple</w:t>
      </w:r>
      <w:r>
        <w:rPr>
          <w:spacing w:val="-13"/>
        </w:rPr>
        <w:t> </w:t>
      </w:r>
      <w:r>
        <w:rPr/>
        <w:t>la</w:t>
      </w:r>
      <w:r>
        <w:rPr>
          <w:spacing w:val="-15"/>
        </w:rPr>
        <w:t> </w:t>
      </w:r>
      <w:r>
        <w:rPr/>
        <w:t>función</w:t>
      </w:r>
      <w:r>
        <w:rPr>
          <w:spacing w:val="-15"/>
        </w:rPr>
        <w:t> </w:t>
      </w:r>
      <w:r>
        <w:rPr/>
        <w:t>de</w:t>
      </w:r>
      <w:r>
        <w:rPr>
          <w:spacing w:val="-13"/>
        </w:rPr>
        <w:t> </w:t>
      </w:r>
      <w:r>
        <w:rPr/>
        <w:t>hacer</w:t>
      </w:r>
      <w:r>
        <w:rPr>
          <w:spacing w:val="-16"/>
        </w:rPr>
        <w:t> </w:t>
      </w:r>
      <w:r>
        <w:rPr/>
        <w:t>públicos ambas cosas, lo bueno y lo malo de la gestión</w:t>
      </w:r>
      <w:r>
        <w:rPr>
          <w:spacing w:val="-19"/>
        </w:rPr>
        <w:t> </w:t>
      </w:r>
      <w:r>
        <w:rPr/>
        <w:t>pública.</w:t>
      </w:r>
    </w:p>
    <w:p>
      <w:pPr>
        <w:pStyle w:val="BodyText"/>
      </w:pPr>
    </w:p>
    <w:p>
      <w:pPr>
        <w:pStyle w:val="BodyText"/>
      </w:pPr>
    </w:p>
    <w:p>
      <w:pPr>
        <w:pStyle w:val="BodyText"/>
        <w:spacing w:before="8"/>
        <w:rPr>
          <w:sz w:val="19"/>
        </w:rPr>
      </w:pPr>
    </w:p>
    <w:p>
      <w:pPr>
        <w:pStyle w:val="Heading1"/>
        <w:numPr>
          <w:ilvl w:val="3"/>
          <w:numId w:val="44"/>
        </w:numPr>
        <w:tabs>
          <w:tab w:pos="1196" w:val="left" w:leader="none"/>
          <w:tab w:pos="1197" w:val="left" w:leader="none"/>
        </w:tabs>
        <w:spacing w:line="240" w:lineRule="auto" w:before="0" w:after="0"/>
        <w:ind w:left="1196" w:right="0" w:hanging="1080"/>
        <w:jc w:val="left"/>
      </w:pPr>
      <w:r>
        <w:rPr/>
        <w:t>Creación de</w:t>
      </w:r>
      <w:r>
        <w:rPr>
          <w:spacing w:val="-3"/>
        </w:rPr>
        <w:t> </w:t>
      </w:r>
      <w:r>
        <w:rPr/>
        <w:t>sentido</w:t>
      </w:r>
    </w:p>
    <w:p>
      <w:pPr>
        <w:pStyle w:val="BodyText"/>
        <w:rPr>
          <w:b/>
        </w:rPr>
      </w:pPr>
    </w:p>
    <w:p>
      <w:pPr>
        <w:pStyle w:val="BodyText"/>
        <w:spacing w:before="11"/>
        <w:rPr>
          <w:b/>
          <w:sz w:val="23"/>
        </w:rPr>
      </w:pPr>
    </w:p>
    <w:p>
      <w:pPr>
        <w:pStyle w:val="BodyText"/>
        <w:spacing w:line="360" w:lineRule="auto"/>
        <w:ind w:left="488" w:right="122"/>
        <w:jc w:val="both"/>
      </w:pPr>
      <w:r>
        <w:rPr/>
        <w:t>Como bien se sabe la repetición de conductas y prácticas organizacionales van generando</w:t>
      </w:r>
      <w:r>
        <w:rPr>
          <w:spacing w:val="-9"/>
        </w:rPr>
        <w:t> </w:t>
      </w:r>
      <w:r>
        <w:rPr/>
        <w:t>sentido</w:t>
      </w:r>
      <w:r>
        <w:rPr>
          <w:spacing w:val="-12"/>
        </w:rPr>
        <w:t> </w:t>
      </w:r>
      <w:r>
        <w:rPr/>
        <w:t>a</w:t>
      </w:r>
      <w:r>
        <w:rPr>
          <w:spacing w:val="-7"/>
        </w:rPr>
        <w:t> </w:t>
      </w:r>
      <w:r>
        <w:rPr/>
        <w:t>las</w:t>
      </w:r>
      <w:r>
        <w:rPr>
          <w:spacing w:val="-10"/>
        </w:rPr>
        <w:t> </w:t>
      </w:r>
      <w:r>
        <w:rPr/>
        <w:t>mismas.</w:t>
      </w:r>
      <w:r>
        <w:rPr>
          <w:spacing w:val="-12"/>
        </w:rPr>
        <w:t> </w:t>
      </w:r>
      <w:r>
        <w:rPr/>
        <w:t>De</w:t>
      </w:r>
      <w:r>
        <w:rPr>
          <w:spacing w:val="-12"/>
        </w:rPr>
        <w:t> </w:t>
      </w:r>
      <w:r>
        <w:rPr/>
        <w:t>modo</w:t>
      </w:r>
      <w:r>
        <w:rPr>
          <w:spacing w:val="-12"/>
        </w:rPr>
        <w:t> </w:t>
      </w:r>
      <w:r>
        <w:rPr/>
        <w:t>tal</w:t>
      </w:r>
      <w:r>
        <w:rPr>
          <w:spacing w:val="-13"/>
        </w:rPr>
        <w:t> </w:t>
      </w:r>
      <w:r>
        <w:rPr/>
        <w:t>que</w:t>
      </w:r>
      <w:r>
        <w:rPr>
          <w:spacing w:val="-9"/>
        </w:rPr>
        <w:t> </w:t>
      </w:r>
      <w:r>
        <w:rPr/>
        <w:t>una</w:t>
      </w:r>
      <w:r>
        <w:rPr>
          <w:spacing w:val="-12"/>
        </w:rPr>
        <w:t> </w:t>
      </w:r>
      <w:r>
        <w:rPr/>
        <w:t>actividad</w:t>
      </w:r>
      <w:r>
        <w:rPr>
          <w:spacing w:val="-12"/>
        </w:rPr>
        <w:t> </w:t>
      </w:r>
      <w:r>
        <w:rPr/>
        <w:t>pude</w:t>
      </w:r>
      <w:r>
        <w:rPr>
          <w:spacing w:val="-9"/>
        </w:rPr>
        <w:t> </w:t>
      </w:r>
      <w:r>
        <w:rPr/>
        <w:t>ser</w:t>
      </w:r>
      <w:r>
        <w:rPr>
          <w:spacing w:val="-11"/>
        </w:rPr>
        <w:t> </w:t>
      </w:r>
      <w:r>
        <w:rPr/>
        <w:t>importante</w:t>
      </w:r>
    </w:p>
    <w:p>
      <w:pPr>
        <w:spacing w:after="0" w:line="360" w:lineRule="auto"/>
        <w:jc w:val="both"/>
        <w:sectPr>
          <w:pgSz w:w="12240" w:h="15840"/>
          <w:pgMar w:header="0" w:footer="1035" w:top="1360" w:bottom="1220" w:left="1120" w:right="1580"/>
        </w:sectPr>
      </w:pPr>
    </w:p>
    <w:p>
      <w:pPr>
        <w:pStyle w:val="BodyText"/>
        <w:spacing w:line="360" w:lineRule="auto" w:before="54"/>
        <w:ind w:left="128" w:right="118"/>
        <w:jc w:val="both"/>
      </w:pPr>
      <w:r>
        <w:rPr/>
        <w:t>para</w:t>
      </w:r>
      <w:r>
        <w:rPr>
          <w:spacing w:val="-9"/>
        </w:rPr>
        <w:t> </w:t>
      </w:r>
      <w:r>
        <w:rPr/>
        <w:t>unos</w:t>
      </w:r>
      <w:r>
        <w:rPr>
          <w:spacing w:val="-7"/>
        </w:rPr>
        <w:t> </w:t>
      </w:r>
      <w:r>
        <w:rPr/>
        <w:t>y</w:t>
      </w:r>
      <w:r>
        <w:rPr>
          <w:spacing w:val="-9"/>
        </w:rPr>
        <w:t> </w:t>
      </w:r>
      <w:r>
        <w:rPr/>
        <w:t>no</w:t>
      </w:r>
      <w:r>
        <w:rPr>
          <w:spacing w:val="-6"/>
        </w:rPr>
        <w:t> </w:t>
      </w:r>
      <w:r>
        <w:rPr/>
        <w:t>serlo</w:t>
      </w:r>
      <w:r>
        <w:rPr>
          <w:spacing w:val="-8"/>
        </w:rPr>
        <w:t> </w:t>
      </w:r>
      <w:r>
        <w:rPr/>
        <w:t>para</w:t>
      </w:r>
      <w:r>
        <w:rPr>
          <w:spacing w:val="-7"/>
        </w:rPr>
        <w:t> </w:t>
      </w:r>
      <w:r>
        <w:rPr/>
        <w:t>otros.</w:t>
      </w:r>
      <w:r>
        <w:rPr>
          <w:spacing w:val="-9"/>
        </w:rPr>
        <w:t> </w:t>
      </w:r>
      <w:r>
        <w:rPr/>
        <w:t>En</w:t>
      </w:r>
      <w:r>
        <w:rPr>
          <w:spacing w:val="-8"/>
        </w:rPr>
        <w:t> </w:t>
      </w:r>
      <w:r>
        <w:rPr/>
        <w:t>este</w:t>
      </w:r>
      <w:r>
        <w:rPr>
          <w:spacing w:val="-8"/>
        </w:rPr>
        <w:t> </w:t>
      </w:r>
      <w:r>
        <w:rPr/>
        <w:t>tenor</w:t>
      </w:r>
      <w:r>
        <w:rPr>
          <w:spacing w:val="-7"/>
        </w:rPr>
        <w:t> </w:t>
      </w:r>
      <w:r>
        <w:rPr/>
        <w:t>cabe</w:t>
      </w:r>
      <w:r>
        <w:rPr>
          <w:spacing w:val="-11"/>
        </w:rPr>
        <w:t> </w:t>
      </w:r>
      <w:r>
        <w:rPr/>
        <w:t>destacar</w:t>
      </w:r>
      <w:r>
        <w:rPr>
          <w:spacing w:val="-7"/>
        </w:rPr>
        <w:t> </w:t>
      </w:r>
      <w:r>
        <w:rPr/>
        <w:t>que</w:t>
      </w:r>
      <w:r>
        <w:rPr>
          <w:spacing w:val="-8"/>
        </w:rPr>
        <w:t> </w:t>
      </w:r>
      <w:r>
        <w:rPr/>
        <w:t>la</w:t>
      </w:r>
      <w:r>
        <w:rPr>
          <w:spacing w:val="-11"/>
        </w:rPr>
        <w:t> </w:t>
      </w:r>
      <w:r>
        <w:rPr/>
        <w:t>transparencia</w:t>
      </w:r>
      <w:r>
        <w:rPr>
          <w:spacing w:val="-9"/>
        </w:rPr>
        <w:t> </w:t>
      </w:r>
      <w:r>
        <w:rPr/>
        <w:t>es para un 60.3% de los encuestados una siempre práctica cotidiana 33.3% casi siempre, 5.1% nunca y el 1.3% no</w:t>
      </w:r>
      <w:r>
        <w:rPr>
          <w:spacing w:val="-12"/>
        </w:rPr>
        <w:t> </w:t>
      </w:r>
      <w:r>
        <w:rPr/>
        <w:t>contestó.</w:t>
      </w:r>
    </w:p>
    <w:p>
      <w:pPr>
        <w:pStyle w:val="BodyText"/>
      </w:pPr>
    </w:p>
    <w:p>
      <w:pPr>
        <w:pStyle w:val="BodyText"/>
        <w:spacing w:line="360" w:lineRule="auto" w:before="142"/>
        <w:ind w:left="128" w:right="116"/>
        <w:jc w:val="both"/>
      </w:pPr>
      <w:r>
        <w:rPr/>
        <w:t>Podría inferirse que el sentido atribuido a la transparencia por parte de los encuestados, es solamente el de cumplir con la ley ya que solamente el 48.7% la promueve completamente como una práctica cotidiana en su municipio, 38.5% lo necesario, 10.3% lo suficiente, 1.3% nada y el 1.3% no contestó.</w:t>
      </w:r>
    </w:p>
    <w:p>
      <w:pPr>
        <w:pStyle w:val="BodyText"/>
        <w:spacing w:line="360" w:lineRule="auto" w:before="2"/>
        <w:ind w:left="128" w:right="120"/>
        <w:jc w:val="both"/>
      </w:pPr>
      <w:r>
        <w:rPr/>
        <w:t>Lo</w:t>
      </w:r>
      <w:r>
        <w:rPr>
          <w:spacing w:val="-9"/>
        </w:rPr>
        <w:t> </w:t>
      </w:r>
      <w:r>
        <w:rPr/>
        <w:t>que</w:t>
      </w:r>
      <w:r>
        <w:rPr>
          <w:spacing w:val="-9"/>
        </w:rPr>
        <w:t> </w:t>
      </w:r>
      <w:r>
        <w:rPr/>
        <w:t>se</w:t>
      </w:r>
      <w:r>
        <w:rPr>
          <w:spacing w:val="-9"/>
        </w:rPr>
        <w:t> </w:t>
      </w:r>
      <w:r>
        <w:rPr/>
        <w:t>ve</w:t>
      </w:r>
      <w:r>
        <w:rPr>
          <w:spacing w:val="-9"/>
        </w:rPr>
        <w:t> </w:t>
      </w:r>
      <w:r>
        <w:rPr/>
        <w:t>reflejada</w:t>
      </w:r>
      <w:r>
        <w:rPr>
          <w:spacing w:val="-12"/>
        </w:rPr>
        <w:t> </w:t>
      </w:r>
      <w:r>
        <w:rPr/>
        <w:t>en</w:t>
      </w:r>
      <w:r>
        <w:rPr>
          <w:spacing w:val="-12"/>
        </w:rPr>
        <w:t> </w:t>
      </w:r>
      <w:r>
        <w:rPr/>
        <w:t>el</w:t>
      </w:r>
      <w:r>
        <w:rPr>
          <w:spacing w:val="-11"/>
        </w:rPr>
        <w:t> </w:t>
      </w:r>
      <w:r>
        <w:rPr/>
        <w:t>cumplimiento</w:t>
      </w:r>
      <w:r>
        <w:rPr>
          <w:spacing w:val="-11"/>
        </w:rPr>
        <w:t> </w:t>
      </w:r>
      <w:r>
        <w:rPr/>
        <w:t>de</w:t>
      </w:r>
      <w:r>
        <w:rPr>
          <w:spacing w:val="-12"/>
        </w:rPr>
        <w:t> </w:t>
      </w:r>
      <w:r>
        <w:rPr/>
        <w:t>la</w:t>
      </w:r>
      <w:r>
        <w:rPr>
          <w:spacing w:val="-9"/>
        </w:rPr>
        <w:t> </w:t>
      </w:r>
      <w:r>
        <w:rPr/>
        <w:t>transparencia</w:t>
      </w:r>
      <w:r>
        <w:rPr>
          <w:spacing w:val="-12"/>
        </w:rPr>
        <w:t> </w:t>
      </w:r>
      <w:r>
        <w:rPr/>
        <w:t>ya</w:t>
      </w:r>
      <w:r>
        <w:rPr>
          <w:spacing w:val="-9"/>
        </w:rPr>
        <w:t> </w:t>
      </w:r>
      <w:r>
        <w:rPr/>
        <w:t>que</w:t>
      </w:r>
      <w:r>
        <w:rPr>
          <w:spacing w:val="-12"/>
        </w:rPr>
        <w:t> </w:t>
      </w:r>
      <w:r>
        <w:rPr/>
        <w:t>solamente</w:t>
      </w:r>
      <w:r>
        <w:rPr>
          <w:spacing w:val="-11"/>
        </w:rPr>
        <w:t> </w:t>
      </w:r>
      <w:r>
        <w:rPr/>
        <w:t>para el 60.3% se garantiza completamente, 28.2% lo suficiente, 6.4% lo necesario, 3.8% nada</w:t>
      </w:r>
      <w:r>
        <w:rPr>
          <w:spacing w:val="-13"/>
        </w:rPr>
        <w:t> </w:t>
      </w:r>
      <w:r>
        <w:rPr/>
        <w:t>y</w:t>
      </w:r>
      <w:r>
        <w:rPr>
          <w:spacing w:val="-16"/>
        </w:rPr>
        <w:t> </w:t>
      </w:r>
      <w:r>
        <w:rPr/>
        <w:t>el</w:t>
      </w:r>
      <w:r>
        <w:rPr>
          <w:spacing w:val="-14"/>
        </w:rPr>
        <w:t> </w:t>
      </w:r>
      <w:r>
        <w:rPr/>
        <w:t>1.3%</w:t>
      </w:r>
      <w:r>
        <w:rPr>
          <w:spacing w:val="-14"/>
        </w:rPr>
        <w:t> </w:t>
      </w:r>
      <w:r>
        <w:rPr/>
        <w:t>no</w:t>
      </w:r>
      <w:r>
        <w:rPr>
          <w:spacing w:val="-13"/>
        </w:rPr>
        <w:t> </w:t>
      </w:r>
      <w:r>
        <w:rPr/>
        <w:t>contestaron.</w:t>
      </w:r>
      <w:r>
        <w:rPr>
          <w:spacing w:val="-13"/>
        </w:rPr>
        <w:t> </w:t>
      </w:r>
      <w:r>
        <w:rPr/>
        <w:t>Cabe</w:t>
      </w:r>
      <w:r>
        <w:rPr>
          <w:spacing w:val="-12"/>
        </w:rPr>
        <w:t> </w:t>
      </w:r>
      <w:r>
        <w:rPr/>
        <w:t>destacar</w:t>
      </w:r>
      <w:r>
        <w:rPr>
          <w:spacing w:val="-15"/>
        </w:rPr>
        <w:t> </w:t>
      </w:r>
      <w:r>
        <w:rPr/>
        <w:t>que</w:t>
      </w:r>
      <w:r>
        <w:rPr>
          <w:spacing w:val="-13"/>
        </w:rPr>
        <w:t> </w:t>
      </w:r>
      <w:r>
        <w:rPr/>
        <w:t>para</w:t>
      </w:r>
      <w:r>
        <w:rPr>
          <w:spacing w:val="-14"/>
        </w:rPr>
        <w:t> </w:t>
      </w:r>
      <w:r>
        <w:rPr/>
        <w:t>el</w:t>
      </w:r>
      <w:r>
        <w:rPr>
          <w:spacing w:val="-14"/>
        </w:rPr>
        <w:t> </w:t>
      </w:r>
      <w:r>
        <w:rPr/>
        <w:t>85.9%</w:t>
      </w:r>
      <w:r>
        <w:rPr>
          <w:spacing w:val="-14"/>
        </w:rPr>
        <w:t> </w:t>
      </w:r>
      <w:r>
        <w:rPr/>
        <w:t>de</w:t>
      </w:r>
      <w:r>
        <w:rPr>
          <w:spacing w:val="-16"/>
        </w:rPr>
        <w:t> </w:t>
      </w:r>
      <w:r>
        <w:rPr/>
        <w:t>los</w:t>
      </w:r>
      <w:r>
        <w:rPr>
          <w:spacing w:val="-13"/>
        </w:rPr>
        <w:t> </w:t>
      </w:r>
      <w:r>
        <w:rPr/>
        <w:t>encuestados siempre se da cumplimiento a las solicitudes de información que recibe, 10.3% casi siempre, 2.6% nunca y el 1.3% no</w:t>
      </w:r>
      <w:r>
        <w:rPr>
          <w:spacing w:val="-10"/>
        </w:rPr>
        <w:t> </w:t>
      </w:r>
      <w:r>
        <w:rPr/>
        <w:t>contestó.</w:t>
      </w:r>
    </w:p>
    <w:p>
      <w:pPr>
        <w:pStyle w:val="BodyText"/>
      </w:pPr>
    </w:p>
    <w:p>
      <w:pPr>
        <w:pStyle w:val="BodyText"/>
        <w:spacing w:line="360" w:lineRule="auto" w:before="142"/>
        <w:ind w:left="128" w:right="116"/>
        <w:jc w:val="both"/>
      </w:pPr>
      <w:r>
        <w:rPr/>
        <w:t>Lo anterior es reafirmado cuando el 66.7% de los encuestados señaló que en su municipio se garantiza el acceso a la información completamente, 25.6% lo suficiente, 5.1% lo necesario y el 2.6% nada. Asimismo, cuando el 5.1% contestó que en su municipio existen prácticas de opacidad completamente, 2.6% lo suficiente, 14.1% lo necesario, 61.5% nada y el 16.7% no contestó.</w:t>
      </w:r>
    </w:p>
    <w:p>
      <w:pPr>
        <w:pStyle w:val="BodyText"/>
      </w:pPr>
    </w:p>
    <w:p>
      <w:pPr>
        <w:pStyle w:val="BodyText"/>
        <w:spacing w:line="360" w:lineRule="auto" w:before="142"/>
        <w:ind w:left="128" w:right="119"/>
        <w:jc w:val="both"/>
      </w:pPr>
      <w:r>
        <w:rPr/>
        <w:t>Esta</w:t>
      </w:r>
      <w:r>
        <w:rPr>
          <w:spacing w:val="-10"/>
        </w:rPr>
        <w:t> </w:t>
      </w:r>
      <w:r>
        <w:rPr/>
        <w:t>situación</w:t>
      </w:r>
      <w:r>
        <w:rPr>
          <w:spacing w:val="-11"/>
        </w:rPr>
        <w:t> </w:t>
      </w:r>
      <w:r>
        <w:rPr/>
        <w:t>de</w:t>
      </w:r>
      <w:r>
        <w:rPr>
          <w:spacing w:val="-11"/>
        </w:rPr>
        <w:t> </w:t>
      </w:r>
      <w:r>
        <w:rPr/>
        <w:t>aplicación</w:t>
      </w:r>
      <w:r>
        <w:rPr>
          <w:spacing w:val="-10"/>
        </w:rPr>
        <w:t> </w:t>
      </w:r>
      <w:r>
        <w:rPr/>
        <w:t>de</w:t>
      </w:r>
      <w:r>
        <w:rPr>
          <w:spacing w:val="-11"/>
        </w:rPr>
        <w:t> </w:t>
      </w:r>
      <w:r>
        <w:rPr/>
        <w:t>la</w:t>
      </w:r>
      <w:r>
        <w:rPr>
          <w:spacing w:val="-11"/>
        </w:rPr>
        <w:t> </w:t>
      </w:r>
      <w:r>
        <w:rPr/>
        <w:t>transparencia</w:t>
      </w:r>
      <w:r>
        <w:rPr>
          <w:spacing w:val="-11"/>
        </w:rPr>
        <w:t> </w:t>
      </w:r>
      <w:r>
        <w:rPr/>
        <w:t>permite</w:t>
      </w:r>
      <w:r>
        <w:rPr>
          <w:spacing w:val="-6"/>
        </w:rPr>
        <w:t> </w:t>
      </w:r>
      <w:r>
        <w:rPr/>
        <w:t>contribuir</w:t>
      </w:r>
      <w:r>
        <w:rPr>
          <w:spacing w:val="-13"/>
        </w:rPr>
        <w:t> </w:t>
      </w:r>
      <w:r>
        <w:rPr/>
        <w:t>a</w:t>
      </w:r>
      <w:r>
        <w:rPr>
          <w:spacing w:val="-13"/>
        </w:rPr>
        <w:t> </w:t>
      </w:r>
      <w:r>
        <w:rPr/>
        <w:t>una</w:t>
      </w:r>
      <w:r>
        <w:rPr>
          <w:spacing w:val="-11"/>
        </w:rPr>
        <w:t> </w:t>
      </w:r>
      <w:r>
        <w:rPr/>
        <w:t>rendición</w:t>
      </w:r>
      <w:r>
        <w:rPr>
          <w:spacing w:val="-11"/>
        </w:rPr>
        <w:t> </w:t>
      </w:r>
      <w:r>
        <w:rPr/>
        <w:t>de cuentas en su municipio el 69.2% completamente, 21.8% lo suficiente, 7.7% lo necesario y el 1.3%</w:t>
      </w:r>
      <w:r>
        <w:rPr>
          <w:spacing w:val="-10"/>
        </w:rPr>
        <w:t> </w:t>
      </w:r>
      <w:r>
        <w:rPr/>
        <w:t>nada.</w:t>
      </w:r>
    </w:p>
    <w:p>
      <w:pPr>
        <w:pStyle w:val="BodyText"/>
      </w:pPr>
    </w:p>
    <w:p>
      <w:pPr>
        <w:pStyle w:val="Heading1"/>
        <w:spacing w:line="360" w:lineRule="auto" w:before="182"/>
        <w:ind w:right="26"/>
        <w:jc w:val="left"/>
      </w:pPr>
      <w:r>
        <w:rPr/>
        <w:t>3.1.6 Resultados de la encuesta. Participación de los actores involucrados sobre la transparencia</w:t>
      </w:r>
    </w:p>
    <w:p>
      <w:pPr>
        <w:pStyle w:val="BodyText"/>
        <w:rPr>
          <w:b/>
        </w:rPr>
      </w:pPr>
    </w:p>
    <w:p>
      <w:pPr>
        <w:pStyle w:val="BodyText"/>
        <w:spacing w:line="360" w:lineRule="auto" w:before="142"/>
        <w:ind w:left="128" w:right="115"/>
        <w:jc w:val="both"/>
      </w:pPr>
      <w:r>
        <w:rPr/>
        <w:t>Uno</w:t>
      </w:r>
      <w:r>
        <w:rPr>
          <w:spacing w:val="-8"/>
        </w:rPr>
        <w:t> </w:t>
      </w:r>
      <w:r>
        <w:rPr/>
        <w:t>de</w:t>
      </w:r>
      <w:r>
        <w:rPr>
          <w:spacing w:val="-8"/>
        </w:rPr>
        <w:t> </w:t>
      </w:r>
      <w:r>
        <w:rPr/>
        <w:t>los</w:t>
      </w:r>
      <w:r>
        <w:rPr>
          <w:spacing w:val="-9"/>
        </w:rPr>
        <w:t> </w:t>
      </w:r>
      <w:r>
        <w:rPr/>
        <w:t>puntos</w:t>
      </w:r>
      <w:r>
        <w:rPr>
          <w:spacing w:val="-9"/>
        </w:rPr>
        <w:t> </w:t>
      </w:r>
      <w:r>
        <w:rPr/>
        <w:t>clave</w:t>
      </w:r>
      <w:r>
        <w:rPr>
          <w:spacing w:val="-6"/>
        </w:rPr>
        <w:t> </w:t>
      </w:r>
      <w:r>
        <w:rPr/>
        <w:t>de</w:t>
      </w:r>
      <w:r>
        <w:rPr>
          <w:spacing w:val="-6"/>
        </w:rPr>
        <w:t> </w:t>
      </w:r>
      <w:r>
        <w:rPr/>
        <w:t>la</w:t>
      </w:r>
      <w:r>
        <w:rPr>
          <w:spacing w:val="-6"/>
        </w:rPr>
        <w:t> </w:t>
      </w:r>
      <w:r>
        <w:rPr/>
        <w:t>transparencia</w:t>
      </w:r>
      <w:r>
        <w:rPr>
          <w:spacing w:val="-9"/>
        </w:rPr>
        <w:t> </w:t>
      </w:r>
      <w:r>
        <w:rPr/>
        <w:t>es</w:t>
      </w:r>
      <w:r>
        <w:rPr>
          <w:spacing w:val="-7"/>
        </w:rPr>
        <w:t> </w:t>
      </w:r>
      <w:r>
        <w:rPr/>
        <w:t>la</w:t>
      </w:r>
      <w:r>
        <w:rPr>
          <w:spacing w:val="-9"/>
        </w:rPr>
        <w:t> </w:t>
      </w:r>
      <w:r>
        <w:rPr/>
        <w:t>participación</w:t>
      </w:r>
      <w:r>
        <w:rPr>
          <w:spacing w:val="-8"/>
        </w:rPr>
        <w:t> </w:t>
      </w:r>
      <w:r>
        <w:rPr/>
        <w:t>de</w:t>
      </w:r>
      <w:r>
        <w:rPr>
          <w:spacing w:val="-8"/>
        </w:rPr>
        <w:t> </w:t>
      </w:r>
      <w:r>
        <w:rPr/>
        <w:t>quienes</w:t>
      </w:r>
      <w:r>
        <w:rPr>
          <w:spacing w:val="-9"/>
        </w:rPr>
        <w:t> </w:t>
      </w:r>
      <w:r>
        <w:rPr/>
        <w:t>participan en ella. Sin embargo, en los municipios no se promueve ya que solamente el 24.4% referenció que la participación se promueve completamente en su municipio, 44.9% lo suficiente, 21.8% lo necesario y 9% no</w:t>
      </w:r>
      <w:r>
        <w:rPr>
          <w:spacing w:val="-21"/>
        </w:rPr>
        <w:t> </w:t>
      </w:r>
      <w:r>
        <w:rPr/>
        <w:t>respondieron.</w:t>
      </w:r>
    </w:p>
    <w:p>
      <w:pPr>
        <w:spacing w:after="0" w:line="360" w:lineRule="auto"/>
        <w:jc w:val="both"/>
        <w:sectPr>
          <w:pgSz w:w="12240" w:h="15840"/>
          <w:pgMar w:header="0" w:footer="1035" w:top="1360" w:bottom="1220" w:left="1480" w:right="1580"/>
        </w:sectPr>
      </w:pPr>
    </w:p>
    <w:p>
      <w:pPr>
        <w:pStyle w:val="BodyText"/>
        <w:spacing w:before="7"/>
        <w:rPr>
          <w:sz w:val="22"/>
        </w:rPr>
      </w:pPr>
    </w:p>
    <w:p>
      <w:pPr>
        <w:pStyle w:val="BodyText"/>
        <w:spacing w:line="360" w:lineRule="auto" w:before="69"/>
        <w:ind w:left="108" w:right="115"/>
        <w:jc w:val="both"/>
      </w:pPr>
      <w:r>
        <w:rPr/>
        <w:t>Es importante destacar que para el 38.5% de los encuestados la participación ciudadana contribuye completamente a mejorar la transparencia en su municipio, 30.8% lo suficiente, 20.5% lo necesario y el 10.3% nada. Sin embargo, solo para el 32.1% en su municipio se realizan completamente comités, asociaciones, consejos, entre otros para fomentar la participación ciudadana 35.9% lo suficiente, 20.5% lo necesario, 10.3% nada y el 1.3% no contestó.</w:t>
      </w:r>
    </w:p>
    <w:p>
      <w:pPr>
        <w:pStyle w:val="BodyText"/>
      </w:pPr>
    </w:p>
    <w:p>
      <w:pPr>
        <w:pStyle w:val="BodyText"/>
        <w:spacing w:before="142"/>
        <w:ind w:left="108"/>
        <w:jc w:val="both"/>
      </w:pPr>
      <w:r>
        <w:rPr/>
        <w:t>En un orden jerárquico referenciaron lo siguiente:</w:t>
      </w:r>
    </w:p>
    <w:p>
      <w:pPr>
        <w:pStyle w:val="BodyText"/>
      </w:pPr>
    </w:p>
    <w:p>
      <w:pPr>
        <w:pStyle w:val="BodyText"/>
        <w:spacing w:before="10"/>
        <w:rPr>
          <w:sz w:val="23"/>
        </w:rPr>
      </w:pPr>
    </w:p>
    <w:p>
      <w:pPr>
        <w:pStyle w:val="ListParagraph"/>
        <w:numPr>
          <w:ilvl w:val="0"/>
          <w:numId w:val="46"/>
        </w:numPr>
        <w:tabs>
          <w:tab w:pos="536" w:val="left" w:leader="none"/>
        </w:tabs>
        <w:spacing w:line="273" w:lineRule="auto" w:before="0" w:after="0"/>
        <w:ind w:left="535" w:right="124" w:hanging="360"/>
        <w:jc w:val="both"/>
        <w:rPr>
          <w:sz w:val="24"/>
        </w:rPr>
      </w:pPr>
      <w:r>
        <w:rPr>
          <w:sz w:val="24"/>
        </w:rPr>
        <w:t>El presidente municipal promueve la transparencia en su municipio el 61.5% completamente, 23.1% lo suficiente, 9% lo necesario y el 6.4%</w:t>
      </w:r>
      <w:r>
        <w:rPr>
          <w:spacing w:val="-23"/>
          <w:sz w:val="24"/>
        </w:rPr>
        <w:t> </w:t>
      </w:r>
      <w:r>
        <w:rPr>
          <w:sz w:val="24"/>
        </w:rPr>
        <w:t>nada.</w:t>
      </w:r>
    </w:p>
    <w:p>
      <w:pPr>
        <w:pStyle w:val="ListParagraph"/>
        <w:numPr>
          <w:ilvl w:val="0"/>
          <w:numId w:val="46"/>
        </w:numPr>
        <w:tabs>
          <w:tab w:pos="536" w:val="left" w:leader="none"/>
        </w:tabs>
        <w:spacing w:line="276" w:lineRule="auto" w:before="1" w:after="0"/>
        <w:ind w:left="535" w:right="124" w:hanging="360"/>
        <w:jc w:val="both"/>
        <w:rPr>
          <w:sz w:val="24"/>
        </w:rPr>
      </w:pPr>
      <w:r>
        <w:rPr>
          <w:sz w:val="24"/>
        </w:rPr>
        <w:t>Los integrantes del Gabinete (Directores) promueven la transparencia en su municipio el 17.9% completamente, 52.6% lo suficiente, 20.5% lo necesario y el 9%</w:t>
      </w:r>
      <w:r>
        <w:rPr>
          <w:spacing w:val="-2"/>
          <w:sz w:val="24"/>
        </w:rPr>
        <w:t> </w:t>
      </w:r>
      <w:r>
        <w:rPr>
          <w:sz w:val="24"/>
        </w:rPr>
        <w:t>nada.</w:t>
      </w:r>
    </w:p>
    <w:p>
      <w:pPr>
        <w:pStyle w:val="ListParagraph"/>
        <w:numPr>
          <w:ilvl w:val="0"/>
          <w:numId w:val="46"/>
        </w:numPr>
        <w:tabs>
          <w:tab w:pos="536" w:val="left" w:leader="none"/>
        </w:tabs>
        <w:spacing w:line="273" w:lineRule="auto" w:before="0" w:after="0"/>
        <w:ind w:left="535" w:right="115" w:hanging="360"/>
        <w:jc w:val="both"/>
        <w:rPr>
          <w:sz w:val="24"/>
        </w:rPr>
      </w:pPr>
      <w:r>
        <w:rPr>
          <w:sz w:val="24"/>
        </w:rPr>
        <w:t>Los</w:t>
      </w:r>
      <w:r>
        <w:rPr>
          <w:spacing w:val="-13"/>
          <w:sz w:val="24"/>
        </w:rPr>
        <w:t> </w:t>
      </w:r>
      <w:r>
        <w:rPr>
          <w:sz w:val="24"/>
        </w:rPr>
        <w:t>mandos</w:t>
      </w:r>
      <w:r>
        <w:rPr>
          <w:spacing w:val="-13"/>
          <w:sz w:val="24"/>
        </w:rPr>
        <w:t> </w:t>
      </w:r>
      <w:r>
        <w:rPr>
          <w:sz w:val="24"/>
        </w:rPr>
        <w:t>medios</w:t>
      </w:r>
      <w:r>
        <w:rPr>
          <w:spacing w:val="-12"/>
          <w:sz w:val="24"/>
        </w:rPr>
        <w:t> </w:t>
      </w:r>
      <w:r>
        <w:rPr>
          <w:sz w:val="24"/>
        </w:rPr>
        <w:t>(Jefes</w:t>
      </w:r>
      <w:r>
        <w:rPr>
          <w:spacing w:val="-13"/>
          <w:sz w:val="24"/>
        </w:rPr>
        <w:t> </w:t>
      </w:r>
      <w:r>
        <w:rPr>
          <w:sz w:val="24"/>
        </w:rPr>
        <w:t>de</w:t>
      </w:r>
      <w:r>
        <w:rPr>
          <w:spacing w:val="-12"/>
          <w:sz w:val="24"/>
        </w:rPr>
        <w:t> </w:t>
      </w:r>
      <w:r>
        <w:rPr>
          <w:sz w:val="24"/>
        </w:rPr>
        <w:t>Departamento)</w:t>
      </w:r>
      <w:r>
        <w:rPr>
          <w:spacing w:val="-13"/>
          <w:sz w:val="24"/>
        </w:rPr>
        <w:t> </w:t>
      </w:r>
      <w:r>
        <w:rPr>
          <w:sz w:val="24"/>
        </w:rPr>
        <w:t>Promueven</w:t>
      </w:r>
      <w:r>
        <w:rPr>
          <w:spacing w:val="-12"/>
          <w:sz w:val="24"/>
        </w:rPr>
        <w:t> </w:t>
      </w:r>
      <w:r>
        <w:rPr>
          <w:sz w:val="24"/>
        </w:rPr>
        <w:t>la</w:t>
      </w:r>
      <w:r>
        <w:rPr>
          <w:spacing w:val="-12"/>
          <w:sz w:val="24"/>
        </w:rPr>
        <w:t> </w:t>
      </w:r>
      <w:r>
        <w:rPr>
          <w:sz w:val="24"/>
        </w:rPr>
        <w:t>transparencia</w:t>
      </w:r>
      <w:r>
        <w:rPr>
          <w:spacing w:val="-12"/>
          <w:sz w:val="24"/>
        </w:rPr>
        <w:t> </w:t>
      </w:r>
      <w:r>
        <w:rPr>
          <w:sz w:val="24"/>
        </w:rPr>
        <w:t>en</w:t>
      </w:r>
      <w:r>
        <w:rPr>
          <w:spacing w:val="-12"/>
          <w:sz w:val="24"/>
        </w:rPr>
        <w:t> </w:t>
      </w:r>
      <w:r>
        <w:rPr>
          <w:sz w:val="24"/>
        </w:rPr>
        <w:t>su municipio</w:t>
      </w:r>
      <w:r>
        <w:rPr>
          <w:spacing w:val="-19"/>
          <w:sz w:val="24"/>
        </w:rPr>
        <w:t> </w:t>
      </w:r>
      <w:r>
        <w:rPr>
          <w:sz w:val="24"/>
        </w:rPr>
        <w:t>el</w:t>
      </w:r>
      <w:r>
        <w:rPr>
          <w:spacing w:val="-18"/>
          <w:sz w:val="24"/>
        </w:rPr>
        <w:t> </w:t>
      </w:r>
      <w:r>
        <w:rPr>
          <w:sz w:val="24"/>
        </w:rPr>
        <w:t>20.5%</w:t>
      </w:r>
      <w:r>
        <w:rPr>
          <w:spacing w:val="-20"/>
          <w:sz w:val="24"/>
        </w:rPr>
        <w:t> </w:t>
      </w:r>
      <w:r>
        <w:rPr>
          <w:sz w:val="24"/>
        </w:rPr>
        <w:t>completamente,</w:t>
      </w:r>
      <w:r>
        <w:rPr>
          <w:spacing w:val="-19"/>
          <w:sz w:val="24"/>
        </w:rPr>
        <w:t> </w:t>
      </w:r>
      <w:r>
        <w:rPr>
          <w:sz w:val="24"/>
        </w:rPr>
        <w:t>41%</w:t>
      </w:r>
      <w:r>
        <w:rPr>
          <w:spacing w:val="-17"/>
          <w:sz w:val="24"/>
        </w:rPr>
        <w:t> </w:t>
      </w:r>
      <w:r>
        <w:rPr>
          <w:sz w:val="24"/>
        </w:rPr>
        <w:t>lo</w:t>
      </w:r>
      <w:r>
        <w:rPr>
          <w:spacing w:val="-19"/>
          <w:sz w:val="24"/>
        </w:rPr>
        <w:t> </w:t>
      </w:r>
      <w:r>
        <w:rPr>
          <w:sz w:val="24"/>
        </w:rPr>
        <w:t>suficiente,</w:t>
      </w:r>
      <w:r>
        <w:rPr>
          <w:spacing w:val="-19"/>
          <w:sz w:val="24"/>
        </w:rPr>
        <w:t> </w:t>
      </w:r>
      <w:r>
        <w:rPr>
          <w:sz w:val="24"/>
        </w:rPr>
        <w:t>17.9%</w:t>
      </w:r>
      <w:r>
        <w:rPr>
          <w:spacing w:val="-17"/>
          <w:sz w:val="24"/>
        </w:rPr>
        <w:t> </w:t>
      </w:r>
      <w:r>
        <w:rPr>
          <w:sz w:val="24"/>
        </w:rPr>
        <w:t>lo</w:t>
      </w:r>
      <w:r>
        <w:rPr>
          <w:spacing w:val="-19"/>
          <w:sz w:val="24"/>
        </w:rPr>
        <w:t> </w:t>
      </w:r>
      <w:r>
        <w:rPr>
          <w:sz w:val="24"/>
        </w:rPr>
        <w:t>necesario,</w:t>
      </w:r>
      <w:r>
        <w:rPr>
          <w:spacing w:val="-19"/>
          <w:sz w:val="24"/>
        </w:rPr>
        <w:t> </w:t>
      </w:r>
      <w:r>
        <w:rPr>
          <w:sz w:val="24"/>
        </w:rPr>
        <w:t>10.3% nada y el 10.3% no</w:t>
      </w:r>
      <w:r>
        <w:rPr>
          <w:spacing w:val="-6"/>
          <w:sz w:val="24"/>
        </w:rPr>
        <w:t> </w:t>
      </w:r>
      <w:r>
        <w:rPr>
          <w:sz w:val="24"/>
        </w:rPr>
        <w:t>contestó.</w:t>
      </w:r>
    </w:p>
    <w:p>
      <w:pPr>
        <w:pStyle w:val="ListParagraph"/>
        <w:numPr>
          <w:ilvl w:val="0"/>
          <w:numId w:val="46"/>
        </w:numPr>
        <w:tabs>
          <w:tab w:pos="536" w:val="left" w:leader="none"/>
        </w:tabs>
        <w:spacing w:line="276" w:lineRule="auto" w:before="1" w:after="0"/>
        <w:ind w:left="535" w:right="126" w:hanging="360"/>
        <w:jc w:val="both"/>
        <w:rPr>
          <w:sz w:val="24"/>
        </w:rPr>
      </w:pPr>
      <w:r>
        <w:rPr>
          <w:sz w:val="24"/>
        </w:rPr>
        <w:t>Los integrantes del cabildo (Regidores) promueven la transparencia en su municipio el 33.3% completamente, 44.9% lo suficiente, 10.3% lo necesario, 10.3% nada y el 1.3% no</w:t>
      </w:r>
      <w:r>
        <w:rPr>
          <w:spacing w:val="-7"/>
          <w:sz w:val="24"/>
        </w:rPr>
        <w:t> </w:t>
      </w:r>
      <w:r>
        <w:rPr>
          <w:sz w:val="24"/>
        </w:rPr>
        <w:t>contestó.</w:t>
      </w:r>
    </w:p>
    <w:p>
      <w:pPr>
        <w:pStyle w:val="ListParagraph"/>
        <w:numPr>
          <w:ilvl w:val="0"/>
          <w:numId w:val="46"/>
        </w:numPr>
        <w:tabs>
          <w:tab w:pos="536" w:val="left" w:leader="none"/>
        </w:tabs>
        <w:spacing w:line="273" w:lineRule="auto" w:before="0" w:after="0"/>
        <w:ind w:left="535" w:right="117" w:hanging="360"/>
        <w:jc w:val="both"/>
        <w:rPr>
          <w:sz w:val="24"/>
        </w:rPr>
      </w:pPr>
      <w:r>
        <w:rPr>
          <w:sz w:val="24"/>
        </w:rPr>
        <w:t>Los trabajadores operativos promueven la transparencia en su municipio el 15.4% completamente, 50% lo suficiente, 26.9% lo necesario, 6.4% nada y el 1.3% no</w:t>
      </w:r>
      <w:r>
        <w:rPr>
          <w:spacing w:val="-3"/>
          <w:sz w:val="24"/>
        </w:rPr>
        <w:t> </w:t>
      </w:r>
      <w:r>
        <w:rPr>
          <w:sz w:val="24"/>
        </w:rPr>
        <w:t>contestó.</w:t>
      </w:r>
    </w:p>
    <w:p>
      <w:pPr>
        <w:pStyle w:val="BodyText"/>
      </w:pPr>
    </w:p>
    <w:p>
      <w:pPr>
        <w:pStyle w:val="BodyText"/>
        <w:spacing w:line="360" w:lineRule="auto" w:before="142"/>
        <w:ind w:left="108" w:right="115"/>
        <w:jc w:val="both"/>
      </w:pPr>
      <w:r>
        <w:rPr/>
        <w:t>Estos</w:t>
      </w:r>
      <w:r>
        <w:rPr>
          <w:spacing w:val="-19"/>
        </w:rPr>
        <w:t> </w:t>
      </w:r>
      <w:r>
        <w:rPr/>
        <w:t>indicadores</w:t>
      </w:r>
      <w:r>
        <w:rPr>
          <w:spacing w:val="-21"/>
        </w:rPr>
        <w:t> </w:t>
      </w:r>
      <w:r>
        <w:rPr/>
        <w:t>permiten</w:t>
      </w:r>
      <w:r>
        <w:rPr>
          <w:spacing w:val="-18"/>
        </w:rPr>
        <w:t> </w:t>
      </w:r>
      <w:r>
        <w:rPr/>
        <w:t>inferir</w:t>
      </w:r>
      <w:r>
        <w:rPr>
          <w:spacing w:val="-19"/>
        </w:rPr>
        <w:t> </w:t>
      </w:r>
      <w:r>
        <w:rPr/>
        <w:t>que</w:t>
      </w:r>
      <w:r>
        <w:rPr>
          <w:spacing w:val="-18"/>
        </w:rPr>
        <w:t> </w:t>
      </w:r>
      <w:r>
        <w:rPr/>
        <w:t>para</w:t>
      </w:r>
      <w:r>
        <w:rPr>
          <w:spacing w:val="-21"/>
        </w:rPr>
        <w:t> </w:t>
      </w:r>
      <w:r>
        <w:rPr/>
        <w:t>la</w:t>
      </w:r>
      <w:r>
        <w:rPr>
          <w:spacing w:val="-21"/>
        </w:rPr>
        <w:t> </w:t>
      </w:r>
      <w:r>
        <w:rPr/>
        <w:t>mayoría</w:t>
      </w:r>
      <w:r>
        <w:rPr>
          <w:spacing w:val="-18"/>
        </w:rPr>
        <w:t> </w:t>
      </w:r>
      <w:r>
        <w:rPr/>
        <w:t>de</w:t>
      </w:r>
      <w:r>
        <w:rPr>
          <w:spacing w:val="-18"/>
        </w:rPr>
        <w:t> </w:t>
      </w:r>
      <w:r>
        <w:rPr/>
        <w:t>los</w:t>
      </w:r>
      <w:r>
        <w:rPr>
          <w:spacing w:val="-18"/>
        </w:rPr>
        <w:t> </w:t>
      </w:r>
      <w:r>
        <w:rPr/>
        <w:t>presidentes</w:t>
      </w:r>
      <w:r>
        <w:rPr>
          <w:spacing w:val="-21"/>
        </w:rPr>
        <w:t> </w:t>
      </w:r>
      <w:r>
        <w:rPr/>
        <w:t>municipales la transparencia es importante, sin embargo, no han logrado aterrizar su práctica a nivel operativo. Toda vez que conforme se baja el nivel jerárquico se disminuye también el porcentaje de gente que promueve la transparencia. Situación que se ve reflejada cuando solamente el 33.3% señaló que siempre se promueve la participación ciudadana en su municipio, 43.6% casi siempre, 15.4% casi nunca, 6.4% nunca y el 1.3% no</w:t>
      </w:r>
      <w:r>
        <w:rPr>
          <w:spacing w:val="-8"/>
        </w:rPr>
        <w:t> </w:t>
      </w:r>
      <w:r>
        <w:rPr/>
        <w:t>contestó.</w:t>
      </w:r>
    </w:p>
    <w:p>
      <w:pPr>
        <w:spacing w:after="0" w:line="360" w:lineRule="auto"/>
        <w:jc w:val="both"/>
        <w:sectPr>
          <w:pgSz w:w="12240" w:h="15840"/>
          <w:pgMar w:header="0" w:footer="1035" w:top="1500" w:bottom="1220" w:left="1500" w:right="1580"/>
        </w:sectPr>
      </w:pPr>
    </w:p>
    <w:p>
      <w:pPr>
        <w:pStyle w:val="Heading1"/>
        <w:numPr>
          <w:ilvl w:val="1"/>
          <w:numId w:val="47"/>
        </w:numPr>
        <w:tabs>
          <w:tab w:pos="636" w:val="left" w:leader="none"/>
        </w:tabs>
        <w:spacing w:line="240" w:lineRule="auto" w:before="56" w:after="0"/>
        <w:ind w:left="635" w:right="0" w:hanging="525"/>
        <w:jc w:val="both"/>
      </w:pPr>
      <w:bookmarkStart w:name="_bookmark15" w:id="27"/>
      <w:bookmarkEnd w:id="27"/>
      <w:r>
        <w:rPr>
          <w:b w:val="0"/>
        </w:rPr>
      </w:r>
      <w:bookmarkStart w:name="_bookmark15" w:id="28"/>
      <w:bookmarkEnd w:id="28"/>
      <w:r>
        <w:rPr/>
        <w:t>Re</w:t>
      </w:r>
      <w:r>
        <w:rPr/>
        <w:t>visión de portales web de los municipios del Estado de</w:t>
      </w:r>
      <w:r>
        <w:rPr>
          <w:spacing w:val="-13"/>
        </w:rPr>
        <w:t> </w:t>
      </w:r>
      <w:r>
        <w:rPr/>
        <w:t>México</w:t>
      </w:r>
    </w:p>
    <w:p>
      <w:pPr>
        <w:pStyle w:val="BodyText"/>
        <w:rPr>
          <w:b/>
        </w:rPr>
      </w:pPr>
    </w:p>
    <w:p>
      <w:pPr>
        <w:pStyle w:val="BodyText"/>
        <w:spacing w:before="9"/>
        <w:rPr>
          <w:b/>
          <w:sz w:val="23"/>
        </w:rPr>
      </w:pPr>
    </w:p>
    <w:p>
      <w:pPr>
        <w:pStyle w:val="BodyText"/>
        <w:spacing w:line="360" w:lineRule="auto"/>
        <w:ind w:left="208" w:right="118"/>
        <w:jc w:val="both"/>
      </w:pPr>
      <w:r>
        <w:rPr/>
        <w:t>La</w:t>
      </w:r>
      <w:r>
        <w:rPr>
          <w:spacing w:val="-5"/>
        </w:rPr>
        <w:t> </w:t>
      </w:r>
      <w:r>
        <w:rPr/>
        <w:t>segunda</w:t>
      </w:r>
      <w:r>
        <w:rPr>
          <w:spacing w:val="-8"/>
        </w:rPr>
        <w:t> </w:t>
      </w:r>
      <w:r>
        <w:rPr/>
        <w:t>fuente</w:t>
      </w:r>
      <w:r>
        <w:rPr>
          <w:spacing w:val="-5"/>
        </w:rPr>
        <w:t> </w:t>
      </w:r>
      <w:r>
        <w:rPr/>
        <w:t>de</w:t>
      </w:r>
      <w:r>
        <w:rPr>
          <w:spacing w:val="-5"/>
        </w:rPr>
        <w:t> </w:t>
      </w:r>
      <w:r>
        <w:rPr/>
        <w:t>información</w:t>
      </w:r>
      <w:r>
        <w:rPr>
          <w:spacing w:val="-6"/>
        </w:rPr>
        <w:t> </w:t>
      </w:r>
      <w:r>
        <w:rPr/>
        <w:t>para</w:t>
      </w:r>
      <w:r>
        <w:rPr>
          <w:spacing w:val="-8"/>
        </w:rPr>
        <w:t> </w:t>
      </w:r>
      <w:r>
        <w:rPr/>
        <w:t>conocer</w:t>
      </w:r>
      <w:r>
        <w:rPr>
          <w:spacing w:val="-6"/>
        </w:rPr>
        <w:t> </w:t>
      </w:r>
      <w:r>
        <w:rPr/>
        <w:t>la</w:t>
      </w:r>
      <w:r>
        <w:rPr>
          <w:spacing w:val="-5"/>
        </w:rPr>
        <w:t> </w:t>
      </w:r>
      <w:r>
        <w:rPr/>
        <w:t>práctica</w:t>
      </w:r>
      <w:r>
        <w:rPr>
          <w:spacing w:val="-5"/>
        </w:rPr>
        <w:t> </w:t>
      </w:r>
      <w:r>
        <w:rPr/>
        <w:t>del</w:t>
      </w:r>
      <w:r>
        <w:rPr>
          <w:spacing w:val="-6"/>
        </w:rPr>
        <w:t> </w:t>
      </w:r>
      <w:r>
        <w:rPr/>
        <w:t>GA</w:t>
      </w:r>
      <w:r>
        <w:rPr>
          <w:spacing w:val="-7"/>
        </w:rPr>
        <w:t> </w:t>
      </w:r>
      <w:r>
        <w:rPr/>
        <w:t>en</w:t>
      </w:r>
      <w:r>
        <w:rPr>
          <w:spacing w:val="-5"/>
        </w:rPr>
        <w:t> </w:t>
      </w:r>
      <w:r>
        <w:rPr/>
        <w:t>los</w:t>
      </w:r>
      <w:r>
        <w:rPr>
          <w:spacing w:val="-7"/>
        </w:rPr>
        <w:t> </w:t>
      </w:r>
      <w:r>
        <w:rPr/>
        <w:t>municipios del Estado de México consistió en revisar los portales web, con el propósito de revisar</w:t>
      </w:r>
      <w:r>
        <w:rPr>
          <w:spacing w:val="-5"/>
        </w:rPr>
        <w:t> </w:t>
      </w:r>
      <w:r>
        <w:rPr/>
        <w:t>el</w:t>
      </w:r>
      <w:r>
        <w:rPr>
          <w:spacing w:val="-5"/>
        </w:rPr>
        <w:t> </w:t>
      </w:r>
      <w:r>
        <w:rPr/>
        <w:t>tipo</w:t>
      </w:r>
      <w:r>
        <w:rPr>
          <w:spacing w:val="-6"/>
        </w:rPr>
        <w:t> </w:t>
      </w:r>
      <w:r>
        <w:rPr/>
        <w:t>de</w:t>
      </w:r>
      <w:r>
        <w:rPr>
          <w:spacing w:val="-6"/>
        </w:rPr>
        <w:t> </w:t>
      </w:r>
      <w:r>
        <w:rPr/>
        <w:t>información</w:t>
      </w:r>
      <w:r>
        <w:rPr>
          <w:spacing w:val="-4"/>
        </w:rPr>
        <w:t> </w:t>
      </w:r>
      <w:r>
        <w:rPr/>
        <w:t>que</w:t>
      </w:r>
      <w:r>
        <w:rPr>
          <w:spacing w:val="-6"/>
        </w:rPr>
        <w:t> </w:t>
      </w:r>
      <w:r>
        <w:rPr/>
        <w:t>publican</w:t>
      </w:r>
      <w:r>
        <w:rPr>
          <w:spacing w:val="-6"/>
        </w:rPr>
        <w:t> </w:t>
      </w:r>
      <w:r>
        <w:rPr/>
        <w:t>a</w:t>
      </w:r>
      <w:r>
        <w:rPr>
          <w:spacing w:val="-8"/>
        </w:rPr>
        <w:t> </w:t>
      </w:r>
      <w:r>
        <w:rPr/>
        <w:t>través</w:t>
      </w:r>
      <w:r>
        <w:rPr>
          <w:spacing w:val="-4"/>
        </w:rPr>
        <w:t> </w:t>
      </w:r>
      <w:r>
        <w:rPr/>
        <w:t>del</w:t>
      </w:r>
      <w:r>
        <w:rPr>
          <w:spacing w:val="-7"/>
        </w:rPr>
        <w:t> </w:t>
      </w:r>
      <w:r>
        <w:rPr/>
        <w:t>INFOEM</w:t>
      </w:r>
      <w:r>
        <w:rPr>
          <w:spacing w:val="-5"/>
        </w:rPr>
        <w:t> </w:t>
      </w:r>
      <w:r>
        <w:rPr/>
        <w:t>y</w:t>
      </w:r>
      <w:r>
        <w:rPr>
          <w:spacing w:val="-7"/>
        </w:rPr>
        <w:t> </w:t>
      </w:r>
      <w:r>
        <w:rPr/>
        <w:t>constatar</w:t>
      </w:r>
      <w:r>
        <w:rPr>
          <w:spacing w:val="-5"/>
        </w:rPr>
        <w:t> </w:t>
      </w:r>
      <w:r>
        <w:rPr/>
        <w:t>si</w:t>
      </w:r>
      <w:r>
        <w:rPr>
          <w:spacing w:val="-7"/>
        </w:rPr>
        <w:t> </w:t>
      </w:r>
      <w:r>
        <w:rPr/>
        <w:t>existe alguna estandarización de la información que se considera como pública de oficio que marca el art. 12 de la Ley de Transparencia y acceso a la información pública del Estado de México y Municipios. Esta revisión se realizó durante los meses de septiembre a noviembre de</w:t>
      </w:r>
      <w:r>
        <w:rPr>
          <w:spacing w:val="-9"/>
        </w:rPr>
        <w:t> </w:t>
      </w:r>
      <w:r>
        <w:rPr/>
        <w:t>2015.</w:t>
      </w:r>
    </w:p>
    <w:p>
      <w:pPr>
        <w:pStyle w:val="BodyText"/>
      </w:pPr>
    </w:p>
    <w:p>
      <w:pPr>
        <w:pStyle w:val="BodyText"/>
        <w:spacing w:line="360" w:lineRule="auto" w:before="142"/>
        <w:ind w:left="208" w:right="117"/>
        <w:jc w:val="both"/>
      </w:pPr>
      <w:r>
        <w:rPr/>
        <w:t>A diferencia del nivel estatal donde las 32 entidades federativas tienen una página web propia (ver anexo 8). De los 125 los municipios en el año 2013 solamente 106 contaban</w:t>
      </w:r>
      <w:r>
        <w:rPr>
          <w:spacing w:val="-8"/>
        </w:rPr>
        <w:t> </w:t>
      </w:r>
      <w:r>
        <w:rPr/>
        <w:t>con</w:t>
      </w:r>
      <w:r>
        <w:rPr>
          <w:spacing w:val="-8"/>
        </w:rPr>
        <w:t> </w:t>
      </w:r>
      <w:r>
        <w:rPr/>
        <w:t>una</w:t>
      </w:r>
      <w:r>
        <w:rPr>
          <w:spacing w:val="-8"/>
        </w:rPr>
        <w:t> </w:t>
      </w:r>
      <w:r>
        <w:rPr/>
        <w:t>al</w:t>
      </w:r>
      <w:r>
        <w:rPr>
          <w:spacing w:val="-10"/>
        </w:rPr>
        <w:t> </w:t>
      </w:r>
      <w:r>
        <w:rPr/>
        <w:t>momento</w:t>
      </w:r>
      <w:r>
        <w:rPr>
          <w:spacing w:val="-8"/>
        </w:rPr>
        <w:t> </w:t>
      </w:r>
      <w:r>
        <w:rPr/>
        <w:t>de</w:t>
      </w:r>
      <w:r>
        <w:rPr>
          <w:spacing w:val="-6"/>
        </w:rPr>
        <w:t> </w:t>
      </w:r>
      <w:r>
        <w:rPr/>
        <w:t>la</w:t>
      </w:r>
      <w:r>
        <w:rPr>
          <w:spacing w:val="-9"/>
        </w:rPr>
        <w:t> </w:t>
      </w:r>
      <w:r>
        <w:rPr/>
        <w:t>revisión,</w:t>
      </w:r>
      <w:r>
        <w:rPr>
          <w:spacing w:val="-9"/>
        </w:rPr>
        <w:t> </w:t>
      </w:r>
      <w:r>
        <w:rPr/>
        <w:t>es</w:t>
      </w:r>
      <w:r>
        <w:rPr>
          <w:spacing w:val="-7"/>
        </w:rPr>
        <w:t> </w:t>
      </w:r>
      <w:r>
        <w:rPr/>
        <w:t>decir</w:t>
      </w:r>
      <w:r>
        <w:rPr>
          <w:spacing w:val="-8"/>
        </w:rPr>
        <w:t> </w:t>
      </w:r>
      <w:r>
        <w:rPr/>
        <w:t>84.8%</w:t>
      </w:r>
      <w:r>
        <w:rPr>
          <w:spacing w:val="-3"/>
        </w:rPr>
        <w:t> </w:t>
      </w:r>
      <w:r>
        <w:rPr/>
        <w:t>tenían</w:t>
      </w:r>
      <w:r>
        <w:rPr>
          <w:spacing w:val="-10"/>
        </w:rPr>
        <w:t> </w:t>
      </w:r>
      <w:r>
        <w:rPr/>
        <w:t>su</w:t>
      </w:r>
      <w:r>
        <w:rPr>
          <w:spacing w:val="-6"/>
        </w:rPr>
        <w:t> </w:t>
      </w:r>
      <w:r>
        <w:rPr/>
        <w:t>propia</w:t>
      </w:r>
      <w:r>
        <w:rPr>
          <w:spacing w:val="-9"/>
        </w:rPr>
        <w:t> </w:t>
      </w:r>
      <w:r>
        <w:rPr/>
        <w:t>página web y 15.2% no tenían. En el año 2016, todos los municipios cuentan ya con una página web propia (ver anexo 9). Es de resaltar que, salvo el caso del municipio de Polotitlán, todos los demás tienen información disponible en su portal</w:t>
      </w:r>
      <w:r>
        <w:rPr>
          <w:spacing w:val="-31"/>
        </w:rPr>
        <w:t> </w:t>
      </w:r>
      <w:r>
        <w:rPr/>
        <w:t>web.</w:t>
      </w:r>
    </w:p>
    <w:p>
      <w:pPr>
        <w:pStyle w:val="BodyText"/>
      </w:pPr>
    </w:p>
    <w:p>
      <w:pPr>
        <w:pStyle w:val="BodyText"/>
        <w:spacing w:line="360" w:lineRule="auto" w:before="142"/>
        <w:ind w:left="208" w:right="115"/>
        <w:jc w:val="both"/>
      </w:pPr>
      <w:r>
        <w:rPr/>
        <w:t>Es</w:t>
      </w:r>
      <w:r>
        <w:rPr>
          <w:spacing w:val="-17"/>
        </w:rPr>
        <w:t> </w:t>
      </w:r>
      <w:r>
        <w:rPr/>
        <w:t>pertinente</w:t>
      </w:r>
      <w:r>
        <w:rPr>
          <w:spacing w:val="-19"/>
        </w:rPr>
        <w:t> </w:t>
      </w:r>
      <w:r>
        <w:rPr/>
        <w:t>hacer</w:t>
      </w:r>
      <w:r>
        <w:rPr>
          <w:spacing w:val="-16"/>
        </w:rPr>
        <w:t> </w:t>
      </w:r>
      <w:r>
        <w:rPr/>
        <w:t>mención</w:t>
      </w:r>
      <w:r>
        <w:rPr>
          <w:spacing w:val="-16"/>
        </w:rPr>
        <w:t> </w:t>
      </w:r>
      <w:r>
        <w:rPr/>
        <w:t>que</w:t>
      </w:r>
      <w:r>
        <w:rPr>
          <w:spacing w:val="-17"/>
        </w:rPr>
        <w:t> </w:t>
      </w:r>
      <w:r>
        <w:rPr/>
        <w:t>los</w:t>
      </w:r>
      <w:r>
        <w:rPr>
          <w:spacing w:val="-19"/>
        </w:rPr>
        <w:t> </w:t>
      </w:r>
      <w:r>
        <w:rPr/>
        <w:t>portales</w:t>
      </w:r>
      <w:r>
        <w:rPr>
          <w:spacing w:val="-19"/>
        </w:rPr>
        <w:t> </w:t>
      </w:r>
      <w:r>
        <w:rPr/>
        <w:t>web</w:t>
      </w:r>
      <w:r>
        <w:rPr>
          <w:spacing w:val="-17"/>
        </w:rPr>
        <w:t> </w:t>
      </w:r>
      <w:r>
        <w:rPr/>
        <w:t>de</w:t>
      </w:r>
      <w:r>
        <w:rPr>
          <w:spacing w:val="-17"/>
        </w:rPr>
        <w:t> </w:t>
      </w:r>
      <w:r>
        <w:rPr/>
        <w:t>los</w:t>
      </w:r>
      <w:r>
        <w:rPr>
          <w:spacing w:val="-19"/>
        </w:rPr>
        <w:t> </w:t>
      </w:r>
      <w:r>
        <w:rPr/>
        <w:t>municipios</w:t>
      </w:r>
      <w:r>
        <w:rPr>
          <w:spacing w:val="-22"/>
        </w:rPr>
        <w:t> </w:t>
      </w:r>
      <w:r>
        <w:rPr/>
        <w:t>varían</w:t>
      </w:r>
      <w:r>
        <w:rPr>
          <w:spacing w:val="-17"/>
        </w:rPr>
        <w:t> </w:t>
      </w:r>
      <w:r>
        <w:rPr/>
        <w:t>en</w:t>
      </w:r>
      <w:r>
        <w:rPr>
          <w:spacing w:val="-19"/>
        </w:rPr>
        <w:t> </w:t>
      </w:r>
      <w:r>
        <w:rPr/>
        <w:t>calidad de</w:t>
      </w:r>
      <w:r>
        <w:rPr>
          <w:spacing w:val="-8"/>
        </w:rPr>
        <w:t> </w:t>
      </w:r>
      <w:r>
        <w:rPr/>
        <w:t>diseño</w:t>
      </w:r>
      <w:r>
        <w:rPr>
          <w:spacing w:val="-8"/>
        </w:rPr>
        <w:t> </w:t>
      </w:r>
      <w:r>
        <w:rPr/>
        <w:t>sobre</w:t>
      </w:r>
      <w:r>
        <w:rPr>
          <w:spacing w:val="-8"/>
        </w:rPr>
        <w:t> </w:t>
      </w:r>
      <w:r>
        <w:rPr/>
        <w:t>su</w:t>
      </w:r>
      <w:r>
        <w:rPr>
          <w:spacing w:val="-11"/>
        </w:rPr>
        <w:t> </w:t>
      </w:r>
      <w:r>
        <w:rPr/>
        <w:t>funcionamiento,</w:t>
      </w:r>
      <w:r>
        <w:rPr>
          <w:spacing w:val="-9"/>
        </w:rPr>
        <w:t> </w:t>
      </w:r>
      <w:r>
        <w:rPr/>
        <w:t>pero</w:t>
      </w:r>
      <w:r>
        <w:rPr>
          <w:spacing w:val="-6"/>
        </w:rPr>
        <w:t> </w:t>
      </w:r>
      <w:r>
        <w:rPr/>
        <w:t>en</w:t>
      </w:r>
      <w:r>
        <w:rPr>
          <w:spacing w:val="-8"/>
        </w:rPr>
        <w:t> </w:t>
      </w:r>
      <w:r>
        <w:rPr/>
        <w:t>el</w:t>
      </w:r>
      <w:r>
        <w:rPr>
          <w:spacing w:val="-10"/>
        </w:rPr>
        <w:t> </w:t>
      </w:r>
      <w:r>
        <w:rPr/>
        <w:t>apartado</w:t>
      </w:r>
      <w:r>
        <w:rPr>
          <w:spacing w:val="-8"/>
        </w:rPr>
        <w:t> </w:t>
      </w:r>
      <w:r>
        <w:rPr/>
        <w:t>referente</w:t>
      </w:r>
      <w:r>
        <w:rPr>
          <w:spacing w:val="-10"/>
        </w:rPr>
        <w:t> </w:t>
      </w:r>
      <w:r>
        <w:rPr/>
        <w:t>a</w:t>
      </w:r>
      <w:r>
        <w:rPr>
          <w:spacing w:val="-8"/>
        </w:rPr>
        <w:t> </w:t>
      </w:r>
      <w:r>
        <w:rPr/>
        <w:t>transparencia</w:t>
      </w:r>
      <w:r>
        <w:rPr>
          <w:spacing w:val="-9"/>
        </w:rPr>
        <w:t> </w:t>
      </w:r>
      <w:r>
        <w:rPr/>
        <w:t>se encontró que todos direccionan a una estructura genérica que el INFOEM implementó para los municipios, en la que se encuentra toda la información que es considerada</w:t>
      </w:r>
      <w:r>
        <w:rPr>
          <w:spacing w:val="-18"/>
        </w:rPr>
        <w:t> </w:t>
      </w:r>
      <w:r>
        <w:rPr/>
        <w:t>pública</w:t>
      </w:r>
      <w:r>
        <w:rPr>
          <w:spacing w:val="-18"/>
        </w:rPr>
        <w:t> </w:t>
      </w:r>
      <w:r>
        <w:rPr/>
        <w:t>de</w:t>
      </w:r>
      <w:r>
        <w:rPr>
          <w:spacing w:val="-18"/>
        </w:rPr>
        <w:t> </w:t>
      </w:r>
      <w:r>
        <w:rPr/>
        <w:t>oficio.</w:t>
      </w:r>
      <w:r>
        <w:rPr>
          <w:spacing w:val="-16"/>
        </w:rPr>
        <w:t> </w:t>
      </w:r>
      <w:r>
        <w:rPr/>
        <w:t>El</w:t>
      </w:r>
      <w:r>
        <w:rPr>
          <w:spacing w:val="-17"/>
        </w:rPr>
        <w:t> </w:t>
      </w:r>
      <w:r>
        <w:rPr/>
        <w:t>acceso</w:t>
      </w:r>
      <w:r>
        <w:rPr>
          <w:spacing w:val="-16"/>
        </w:rPr>
        <w:t> </w:t>
      </w:r>
      <w:r>
        <w:rPr/>
        <w:t>a</w:t>
      </w:r>
      <w:r>
        <w:rPr>
          <w:spacing w:val="-18"/>
        </w:rPr>
        <w:t> </w:t>
      </w:r>
      <w:r>
        <w:rPr/>
        <w:t>dichos</w:t>
      </w:r>
      <w:r>
        <w:rPr>
          <w:spacing w:val="-15"/>
        </w:rPr>
        <w:t> </w:t>
      </w:r>
      <w:r>
        <w:rPr/>
        <w:t>portales</w:t>
      </w:r>
      <w:r>
        <w:rPr>
          <w:spacing w:val="-16"/>
        </w:rPr>
        <w:t> </w:t>
      </w:r>
      <w:r>
        <w:rPr/>
        <w:t>web</w:t>
      </w:r>
      <w:r>
        <w:rPr>
          <w:spacing w:val="-16"/>
        </w:rPr>
        <w:t> </w:t>
      </w:r>
      <w:r>
        <w:rPr/>
        <w:t>puede</w:t>
      </w:r>
      <w:r>
        <w:rPr>
          <w:spacing w:val="-18"/>
        </w:rPr>
        <w:t> </w:t>
      </w:r>
      <w:r>
        <w:rPr/>
        <w:t>ser</w:t>
      </w:r>
      <w:r>
        <w:rPr>
          <w:spacing w:val="-17"/>
        </w:rPr>
        <w:t> </w:t>
      </w:r>
      <w:r>
        <w:rPr/>
        <w:t>dos</w:t>
      </w:r>
      <w:r>
        <w:rPr>
          <w:spacing w:val="-19"/>
        </w:rPr>
        <w:t> </w:t>
      </w:r>
      <w:r>
        <w:rPr/>
        <w:t>formas: una a través de la página del INFOEM y otra a través de la página del municipio en el apartado de transparencia. Es pertinente destacar que el acceso a través de INFOEM es más rápido toda vez que se ahorran un click para tal efecto. A continuación, se muestra el procedimiento para acceder a los portales</w:t>
      </w:r>
      <w:r>
        <w:rPr>
          <w:spacing w:val="-22"/>
        </w:rPr>
        <w:t> </w:t>
      </w:r>
      <w:r>
        <w:rPr/>
        <w:t>web.</w:t>
      </w:r>
    </w:p>
    <w:p>
      <w:pPr>
        <w:spacing w:after="0" w:line="360" w:lineRule="auto"/>
        <w:jc w:val="both"/>
        <w:sectPr>
          <w:pgSz w:w="12240" w:h="15840"/>
          <w:pgMar w:header="0" w:footer="1035" w:top="1360" w:bottom="1220" w:left="1400" w:right="1580"/>
        </w:sectPr>
      </w:pPr>
    </w:p>
    <w:p>
      <w:pPr>
        <w:pStyle w:val="BodyText"/>
        <w:spacing w:before="54"/>
        <w:ind w:left="108" w:right="6"/>
      </w:pPr>
      <w:r>
        <w:rPr/>
        <w:t>El primer paso consiste en direccionar la página del INFOEM</w:t>
      </w:r>
    </w:p>
    <w:p>
      <w:pPr>
        <w:pStyle w:val="BodyText"/>
      </w:pPr>
    </w:p>
    <w:p>
      <w:pPr>
        <w:pStyle w:val="BodyText"/>
      </w:pPr>
    </w:p>
    <w:p>
      <w:pPr>
        <w:pStyle w:val="Heading1"/>
        <w:ind w:left="2450" w:right="2442" w:firstLine="0"/>
        <w:jc w:val="center"/>
      </w:pPr>
      <w:r>
        <w:rPr/>
        <w:t>Imagen 3.1. Portal del INFOEM</w:t>
      </w:r>
    </w:p>
    <w:p>
      <w:pPr>
        <w:pStyle w:val="BodyText"/>
        <w:spacing w:before="3"/>
        <w:rPr>
          <w:b/>
          <w:sz w:val="10"/>
        </w:rPr>
      </w:pPr>
      <w:r>
        <w:rPr/>
        <w:drawing>
          <wp:anchor distT="0" distB="0" distL="0" distR="0" allowOverlap="1" layoutInCell="1" locked="0" behindDoc="0" simplePos="0" relativeHeight="3976">
            <wp:simplePos x="0" y="0"/>
            <wp:positionH relativeFrom="page">
              <wp:posOffset>2171700</wp:posOffset>
            </wp:positionH>
            <wp:positionV relativeFrom="paragraph">
              <wp:posOffset>99911</wp:posOffset>
            </wp:positionV>
            <wp:extent cx="4015343" cy="2257425"/>
            <wp:effectExtent l="0" t="0" r="0" b="0"/>
            <wp:wrapTopAndBottom/>
            <wp:docPr id="19" name="image18.jpeg" descr=""/>
            <wp:cNvGraphicFramePr>
              <a:graphicFrameLocks noChangeAspect="1"/>
            </wp:cNvGraphicFramePr>
            <a:graphic>
              <a:graphicData uri="http://schemas.openxmlformats.org/drawingml/2006/picture">
                <pic:pic>
                  <pic:nvPicPr>
                    <pic:cNvPr id="20" name="image18.jpeg"/>
                    <pic:cNvPicPr/>
                  </pic:nvPicPr>
                  <pic:blipFill>
                    <a:blip r:embed="rId64" cstate="print"/>
                    <a:stretch>
                      <a:fillRect/>
                    </a:stretch>
                  </pic:blipFill>
                  <pic:spPr>
                    <a:xfrm>
                      <a:off x="0" y="0"/>
                      <a:ext cx="4015343" cy="2257425"/>
                    </a:xfrm>
                    <a:prstGeom prst="rect">
                      <a:avLst/>
                    </a:prstGeom>
                  </pic:spPr>
                </pic:pic>
              </a:graphicData>
            </a:graphic>
          </wp:anchor>
        </w:drawing>
      </w:r>
    </w:p>
    <w:p>
      <w:pPr>
        <w:spacing w:before="124"/>
        <w:ind w:left="1810" w:right="6" w:firstLine="0"/>
        <w:jc w:val="left"/>
        <w:rPr>
          <w:sz w:val="18"/>
        </w:rPr>
      </w:pPr>
      <w:r>
        <w:rPr>
          <w:sz w:val="18"/>
        </w:rPr>
        <w:t>Fuente: </w:t>
      </w:r>
      <w:hyperlink r:id="rId65">
        <w:r>
          <w:rPr>
            <w:sz w:val="18"/>
          </w:rPr>
          <w:t>www.infoem.org.mx</w:t>
        </w:r>
      </w:hyperlink>
    </w:p>
    <w:p>
      <w:pPr>
        <w:pStyle w:val="BodyText"/>
        <w:rPr>
          <w:sz w:val="18"/>
        </w:rPr>
      </w:pPr>
    </w:p>
    <w:p>
      <w:pPr>
        <w:pStyle w:val="BodyText"/>
        <w:spacing w:before="10"/>
        <w:rPr>
          <w:sz w:val="26"/>
        </w:rPr>
      </w:pPr>
    </w:p>
    <w:p>
      <w:pPr>
        <w:pStyle w:val="BodyText"/>
        <w:spacing w:line="360" w:lineRule="auto"/>
        <w:ind w:left="108" w:right="6"/>
      </w:pPr>
      <w:r>
        <w:rPr/>
        <w:t>El segundo paso consiste en ubicar en el apartado de los sujetos obligados a los municipios. Al dar click en este se despliegan los 125 municipios.</w:t>
      </w:r>
    </w:p>
    <w:p>
      <w:pPr>
        <w:pStyle w:val="BodyText"/>
      </w:pPr>
    </w:p>
    <w:p>
      <w:pPr>
        <w:pStyle w:val="Heading1"/>
        <w:spacing w:before="142"/>
        <w:ind w:left="2450" w:right="2447" w:firstLine="0"/>
        <w:jc w:val="center"/>
      </w:pPr>
      <w:r>
        <w:rPr/>
        <w:t>Imagen 3.2. Portal de Ayuntamientos</w:t>
      </w:r>
    </w:p>
    <w:p>
      <w:pPr>
        <w:pStyle w:val="BodyText"/>
        <w:spacing w:before="5"/>
        <w:rPr>
          <w:b/>
          <w:sz w:val="9"/>
        </w:rPr>
      </w:pPr>
      <w:r>
        <w:rPr/>
        <w:drawing>
          <wp:anchor distT="0" distB="0" distL="0" distR="0" allowOverlap="1" layoutInCell="1" locked="0" behindDoc="0" simplePos="0" relativeHeight="4000">
            <wp:simplePos x="0" y="0"/>
            <wp:positionH relativeFrom="page">
              <wp:posOffset>1809750</wp:posOffset>
            </wp:positionH>
            <wp:positionV relativeFrom="paragraph">
              <wp:posOffset>93815</wp:posOffset>
            </wp:positionV>
            <wp:extent cx="4354214" cy="2447925"/>
            <wp:effectExtent l="0" t="0" r="0" b="0"/>
            <wp:wrapTopAndBottom/>
            <wp:docPr id="21" name="image19.jpeg" descr=""/>
            <wp:cNvGraphicFramePr>
              <a:graphicFrameLocks noChangeAspect="1"/>
            </wp:cNvGraphicFramePr>
            <a:graphic>
              <a:graphicData uri="http://schemas.openxmlformats.org/drawingml/2006/picture">
                <pic:pic>
                  <pic:nvPicPr>
                    <pic:cNvPr id="22" name="image19.jpeg"/>
                    <pic:cNvPicPr/>
                  </pic:nvPicPr>
                  <pic:blipFill>
                    <a:blip r:embed="rId66" cstate="print"/>
                    <a:stretch>
                      <a:fillRect/>
                    </a:stretch>
                  </pic:blipFill>
                  <pic:spPr>
                    <a:xfrm>
                      <a:off x="0" y="0"/>
                      <a:ext cx="4354214" cy="2447925"/>
                    </a:xfrm>
                    <a:prstGeom prst="rect">
                      <a:avLst/>
                    </a:prstGeom>
                  </pic:spPr>
                </pic:pic>
              </a:graphicData>
            </a:graphic>
          </wp:anchor>
        </w:drawing>
      </w:r>
    </w:p>
    <w:p>
      <w:pPr>
        <w:pStyle w:val="BodyText"/>
        <w:spacing w:before="5"/>
        <w:rPr>
          <w:b/>
          <w:sz w:val="21"/>
        </w:rPr>
      </w:pPr>
    </w:p>
    <w:p>
      <w:pPr>
        <w:spacing w:before="0"/>
        <w:ind w:left="1241" w:right="6" w:firstLine="0"/>
        <w:jc w:val="left"/>
        <w:rPr>
          <w:sz w:val="18"/>
        </w:rPr>
      </w:pPr>
      <w:r>
        <w:rPr>
          <w:sz w:val="18"/>
        </w:rPr>
        <w:t>Fuente: </w:t>
      </w:r>
      <w:hyperlink r:id="rId67">
        <w:r>
          <w:rPr>
            <w:sz w:val="18"/>
          </w:rPr>
          <w:t>http://www.infoem.org.mx/src/htm/ayuntamientos.html</w:t>
        </w:r>
      </w:hyperlink>
    </w:p>
    <w:p>
      <w:pPr>
        <w:spacing w:after="0"/>
        <w:jc w:val="left"/>
        <w:rPr>
          <w:sz w:val="18"/>
        </w:rPr>
        <w:sectPr>
          <w:pgSz w:w="12240" w:h="15840"/>
          <w:pgMar w:header="0" w:footer="1035" w:top="1360" w:bottom="1220" w:left="1500" w:right="1600"/>
        </w:sectPr>
      </w:pPr>
    </w:p>
    <w:p>
      <w:pPr>
        <w:pStyle w:val="BodyText"/>
        <w:spacing w:line="360" w:lineRule="auto" w:before="54"/>
        <w:ind w:left="108" w:right="120"/>
        <w:jc w:val="both"/>
      </w:pPr>
      <w:r>
        <w:rPr/>
        <w:t>El tercer paso es dar click en el municipio del que se desea consultar la información y esto permitirá entrar al portal que contiene las fracciones consideradas en el artículo correspondiente.</w:t>
      </w:r>
    </w:p>
    <w:p>
      <w:pPr>
        <w:pStyle w:val="Heading1"/>
        <w:spacing w:before="5"/>
        <w:ind w:left="1999" w:right="6" w:firstLine="0"/>
        <w:jc w:val="left"/>
      </w:pPr>
      <w:r>
        <w:rPr/>
        <w:t>Imagen3. 3. Portal del municipio de Acambay</w:t>
      </w:r>
    </w:p>
    <w:p>
      <w:pPr>
        <w:pStyle w:val="BodyText"/>
        <w:rPr>
          <w:b/>
          <w:sz w:val="13"/>
        </w:rPr>
      </w:pPr>
      <w:r>
        <w:rPr/>
        <w:drawing>
          <wp:anchor distT="0" distB="0" distL="0" distR="0" allowOverlap="1" layoutInCell="1" locked="0" behindDoc="0" simplePos="0" relativeHeight="4024">
            <wp:simplePos x="0" y="0"/>
            <wp:positionH relativeFrom="page">
              <wp:posOffset>1922145</wp:posOffset>
            </wp:positionH>
            <wp:positionV relativeFrom="paragraph">
              <wp:posOffset>120104</wp:posOffset>
            </wp:positionV>
            <wp:extent cx="4371099" cy="2457450"/>
            <wp:effectExtent l="0" t="0" r="0" b="0"/>
            <wp:wrapTopAndBottom/>
            <wp:docPr id="23" name="image20.jpeg" descr=""/>
            <wp:cNvGraphicFramePr>
              <a:graphicFrameLocks noChangeAspect="1"/>
            </wp:cNvGraphicFramePr>
            <a:graphic>
              <a:graphicData uri="http://schemas.openxmlformats.org/drawingml/2006/picture">
                <pic:pic>
                  <pic:nvPicPr>
                    <pic:cNvPr id="24" name="image20.jpeg"/>
                    <pic:cNvPicPr/>
                  </pic:nvPicPr>
                  <pic:blipFill>
                    <a:blip r:embed="rId68" cstate="print"/>
                    <a:stretch>
                      <a:fillRect/>
                    </a:stretch>
                  </pic:blipFill>
                  <pic:spPr>
                    <a:xfrm>
                      <a:off x="0" y="0"/>
                      <a:ext cx="4371099" cy="2457450"/>
                    </a:xfrm>
                    <a:prstGeom prst="rect">
                      <a:avLst/>
                    </a:prstGeom>
                  </pic:spPr>
                </pic:pic>
              </a:graphicData>
            </a:graphic>
          </wp:anchor>
        </w:drawing>
      </w:r>
    </w:p>
    <w:p>
      <w:pPr>
        <w:spacing w:before="190"/>
        <w:ind w:left="1810" w:right="6" w:firstLine="0"/>
        <w:jc w:val="left"/>
        <w:rPr>
          <w:sz w:val="18"/>
        </w:rPr>
      </w:pPr>
      <w:r>
        <w:rPr>
          <w:sz w:val="18"/>
        </w:rPr>
        <w:t>Fuente: </w:t>
      </w:r>
      <w:hyperlink r:id="rId69">
        <w:r>
          <w:rPr>
            <w:sz w:val="18"/>
          </w:rPr>
          <w:t>http://www.ipomex.org.mx/ipo/portal/acambay.web</w:t>
        </w:r>
      </w:hyperlink>
    </w:p>
    <w:p>
      <w:pPr>
        <w:pStyle w:val="BodyText"/>
        <w:rPr>
          <w:sz w:val="18"/>
        </w:rPr>
      </w:pPr>
    </w:p>
    <w:p>
      <w:pPr>
        <w:pStyle w:val="BodyText"/>
        <w:rPr>
          <w:sz w:val="18"/>
        </w:rPr>
      </w:pPr>
    </w:p>
    <w:p>
      <w:pPr>
        <w:pStyle w:val="BodyText"/>
        <w:spacing w:before="10"/>
        <w:rPr>
          <w:sz w:val="22"/>
        </w:rPr>
      </w:pPr>
    </w:p>
    <w:p>
      <w:pPr>
        <w:pStyle w:val="BodyText"/>
        <w:spacing w:line="360" w:lineRule="auto"/>
        <w:ind w:left="108" w:right="114"/>
        <w:jc w:val="both"/>
      </w:pPr>
      <w:r>
        <w:rPr/>
        <w:t>En cuarto paso consiste en dar click en, la fracción que se desea consultar. Al hacerlos se despliega una pantalla con la información contenida en la fracción</w:t>
      </w:r>
    </w:p>
    <w:p>
      <w:pPr>
        <w:pStyle w:val="BodyText"/>
      </w:pPr>
    </w:p>
    <w:p>
      <w:pPr>
        <w:pStyle w:val="Heading1"/>
        <w:spacing w:before="142"/>
        <w:ind w:left="89" w:right="103" w:firstLine="0"/>
        <w:jc w:val="center"/>
      </w:pPr>
      <w:r>
        <w:rPr/>
        <w:drawing>
          <wp:anchor distT="0" distB="0" distL="0" distR="0" allowOverlap="1" layoutInCell="1" locked="0" behindDoc="0" simplePos="0" relativeHeight="4048">
            <wp:simplePos x="0" y="0"/>
            <wp:positionH relativeFrom="page">
              <wp:posOffset>2217420</wp:posOffset>
            </wp:positionH>
            <wp:positionV relativeFrom="paragraph">
              <wp:posOffset>297762</wp:posOffset>
            </wp:positionV>
            <wp:extent cx="4269434" cy="2400300"/>
            <wp:effectExtent l="0" t="0" r="0" b="0"/>
            <wp:wrapTopAndBottom/>
            <wp:docPr id="25" name="image21.jpeg" descr=""/>
            <wp:cNvGraphicFramePr>
              <a:graphicFrameLocks noChangeAspect="1"/>
            </wp:cNvGraphicFramePr>
            <a:graphic>
              <a:graphicData uri="http://schemas.openxmlformats.org/drawingml/2006/picture">
                <pic:pic>
                  <pic:nvPicPr>
                    <pic:cNvPr id="26" name="image21.jpeg"/>
                    <pic:cNvPicPr/>
                  </pic:nvPicPr>
                  <pic:blipFill>
                    <a:blip r:embed="rId70" cstate="print"/>
                    <a:stretch>
                      <a:fillRect/>
                    </a:stretch>
                  </pic:blipFill>
                  <pic:spPr>
                    <a:xfrm>
                      <a:off x="0" y="0"/>
                      <a:ext cx="4269434" cy="2400300"/>
                    </a:xfrm>
                    <a:prstGeom prst="rect">
                      <a:avLst/>
                    </a:prstGeom>
                  </pic:spPr>
                </pic:pic>
              </a:graphicData>
            </a:graphic>
          </wp:anchor>
        </w:drawing>
      </w:r>
      <w:r>
        <w:rPr/>
        <w:t>Imagen 3.4. Portal del municipio de Acambay, fracción I</w:t>
      </w:r>
    </w:p>
    <w:p>
      <w:pPr>
        <w:spacing w:before="5"/>
        <w:ind w:left="1951" w:right="6" w:firstLine="0"/>
        <w:jc w:val="left"/>
        <w:rPr>
          <w:sz w:val="18"/>
        </w:rPr>
      </w:pPr>
      <w:r>
        <w:rPr>
          <w:sz w:val="18"/>
        </w:rPr>
        <w:t>Fuente:</w:t>
      </w:r>
      <w:hyperlink r:id="rId71">
        <w:r>
          <w:rPr>
            <w:sz w:val="18"/>
          </w:rPr>
          <w:t>http://www.ipomex.org.mx/ipo/portal/acambay/marcoJuridico.web</w:t>
        </w:r>
      </w:hyperlink>
    </w:p>
    <w:p>
      <w:pPr>
        <w:spacing w:after="0"/>
        <w:jc w:val="left"/>
        <w:rPr>
          <w:sz w:val="18"/>
        </w:rPr>
        <w:sectPr>
          <w:pgSz w:w="12240" w:h="15840"/>
          <w:pgMar w:header="0" w:footer="1035" w:top="1360" w:bottom="1220" w:left="1500" w:right="1580"/>
        </w:sectPr>
      </w:pPr>
    </w:p>
    <w:p>
      <w:pPr>
        <w:pStyle w:val="BodyText"/>
        <w:spacing w:before="54"/>
        <w:ind w:left="108" w:right="6"/>
      </w:pPr>
      <w:r>
        <w:rPr/>
        <w:t>En el quinto click se direcciona al documento que se desea consultar.</w:t>
      </w:r>
    </w:p>
    <w:p>
      <w:pPr>
        <w:pStyle w:val="BodyText"/>
      </w:pPr>
    </w:p>
    <w:p>
      <w:pPr>
        <w:pStyle w:val="BodyText"/>
      </w:pPr>
    </w:p>
    <w:p>
      <w:pPr>
        <w:pStyle w:val="Heading1"/>
        <w:ind w:left="89" w:right="162" w:firstLine="0"/>
        <w:jc w:val="center"/>
      </w:pPr>
      <w:r>
        <w:rPr/>
        <w:t>Imagen 3.5. Portal del municipio de Acambay, fracción I. Constitución Federal</w:t>
      </w:r>
    </w:p>
    <w:p>
      <w:pPr>
        <w:pStyle w:val="BodyText"/>
        <w:spacing w:before="6"/>
        <w:rPr>
          <w:b/>
          <w:sz w:val="16"/>
        </w:rPr>
      </w:pPr>
      <w:r>
        <w:rPr/>
        <w:drawing>
          <wp:anchor distT="0" distB="0" distL="0" distR="0" allowOverlap="1" layoutInCell="1" locked="0" behindDoc="0" simplePos="0" relativeHeight="4072">
            <wp:simplePos x="0" y="0"/>
            <wp:positionH relativeFrom="page">
              <wp:posOffset>1800225</wp:posOffset>
            </wp:positionH>
            <wp:positionV relativeFrom="paragraph">
              <wp:posOffset>145631</wp:posOffset>
            </wp:positionV>
            <wp:extent cx="4535795" cy="2000250"/>
            <wp:effectExtent l="0" t="0" r="0" b="0"/>
            <wp:wrapTopAndBottom/>
            <wp:docPr id="27" name="image22.jpeg" descr=""/>
            <wp:cNvGraphicFramePr>
              <a:graphicFrameLocks noChangeAspect="1"/>
            </wp:cNvGraphicFramePr>
            <a:graphic>
              <a:graphicData uri="http://schemas.openxmlformats.org/drawingml/2006/picture">
                <pic:pic>
                  <pic:nvPicPr>
                    <pic:cNvPr id="28" name="image22.jpeg"/>
                    <pic:cNvPicPr/>
                  </pic:nvPicPr>
                  <pic:blipFill>
                    <a:blip r:embed="rId72" cstate="print"/>
                    <a:stretch>
                      <a:fillRect/>
                    </a:stretch>
                  </pic:blipFill>
                  <pic:spPr>
                    <a:xfrm>
                      <a:off x="0" y="0"/>
                      <a:ext cx="4535795" cy="2000250"/>
                    </a:xfrm>
                    <a:prstGeom prst="rect">
                      <a:avLst/>
                    </a:prstGeom>
                  </pic:spPr>
                </pic:pic>
              </a:graphicData>
            </a:graphic>
          </wp:anchor>
        </w:drawing>
      </w:r>
    </w:p>
    <w:p>
      <w:pPr>
        <w:spacing w:before="44"/>
        <w:ind w:left="52" w:right="162" w:firstLine="0"/>
        <w:jc w:val="center"/>
        <w:rPr>
          <w:sz w:val="18"/>
        </w:rPr>
      </w:pPr>
      <w:r>
        <w:rPr>
          <w:sz w:val="18"/>
        </w:rPr>
        <w:t>Fuente: </w:t>
      </w:r>
      <w:hyperlink r:id="rId73">
        <w:r>
          <w:rPr>
            <w:sz w:val="18"/>
          </w:rPr>
          <w:t>http://www.ipomex.org.mx/ipo/portal/acambay/marcoJuridico/1.web</w:t>
        </w:r>
      </w:hyperlink>
    </w:p>
    <w:p>
      <w:pPr>
        <w:pStyle w:val="BodyText"/>
        <w:rPr>
          <w:sz w:val="18"/>
        </w:rPr>
      </w:pPr>
    </w:p>
    <w:p>
      <w:pPr>
        <w:pStyle w:val="BodyText"/>
        <w:spacing w:before="10"/>
        <w:rPr>
          <w:sz w:val="26"/>
        </w:rPr>
      </w:pPr>
    </w:p>
    <w:p>
      <w:pPr>
        <w:pStyle w:val="BodyText"/>
        <w:ind w:left="89" w:right="293"/>
        <w:jc w:val="center"/>
      </w:pPr>
      <w:r>
        <w:rPr/>
        <w:t>Finalmente, el sexto click permite visualizar el documento que se desea consultar.</w:t>
      </w:r>
    </w:p>
    <w:p>
      <w:pPr>
        <w:pStyle w:val="BodyText"/>
      </w:pPr>
    </w:p>
    <w:p>
      <w:pPr>
        <w:pStyle w:val="BodyText"/>
      </w:pPr>
    </w:p>
    <w:p>
      <w:pPr>
        <w:spacing w:before="0"/>
        <w:ind w:left="89" w:right="99" w:firstLine="0"/>
        <w:jc w:val="center"/>
        <w:rPr>
          <w:b/>
          <w:sz w:val="24"/>
        </w:rPr>
      </w:pPr>
      <w:r>
        <w:rPr/>
        <w:pict>
          <v:shape style="position:absolute;margin-left:110.25pt;margin-top:20.845856pt;width:390.7pt;height:219.65pt;mso-position-horizontal-relative:page;mso-position-vertical-relative:paragraph;z-index:-2769304" type="#_x0000_t202" filled="false" stroked="false">
            <v:textbox inset="0,0,0,0">
              <w:txbxContent>
                <w:p>
                  <w:pPr>
                    <w:spacing w:line="272" w:lineRule="exact" w:before="0"/>
                    <w:ind w:left="2281" w:right="0" w:firstLine="0"/>
                    <w:jc w:val="left"/>
                    <w:rPr>
                      <w:b/>
                      <w:sz w:val="24"/>
                    </w:rPr>
                  </w:pPr>
                  <w:r>
                    <w:rPr>
                      <w:b/>
                      <w:sz w:val="24"/>
                    </w:rPr>
                    <w:t>Federal. Documento abierto</w:t>
                  </w:r>
                </w:p>
              </w:txbxContent>
            </v:textbox>
            <w10:wrap type="none"/>
          </v:shape>
        </w:pict>
      </w:r>
      <w:r>
        <w:rPr>
          <w:b/>
          <w:sz w:val="24"/>
        </w:rPr>
        <w:t>Imagen 3.6. Portal del municipio de Acambay, fracción I. Constitución</w:t>
      </w:r>
    </w:p>
    <w:p>
      <w:pPr>
        <w:pStyle w:val="BodyText"/>
        <w:spacing w:before="9"/>
        <w:rPr>
          <w:b/>
          <w:sz w:val="8"/>
        </w:rPr>
      </w:pPr>
      <w:r>
        <w:rPr/>
        <w:drawing>
          <wp:anchor distT="0" distB="0" distL="0" distR="0" allowOverlap="1" layoutInCell="1" locked="0" behindDoc="0" simplePos="0" relativeHeight="4096">
            <wp:simplePos x="0" y="0"/>
            <wp:positionH relativeFrom="page">
              <wp:posOffset>1400175</wp:posOffset>
            </wp:positionH>
            <wp:positionV relativeFrom="paragraph">
              <wp:posOffset>89497</wp:posOffset>
            </wp:positionV>
            <wp:extent cx="4947206" cy="2781300"/>
            <wp:effectExtent l="0" t="0" r="0" b="0"/>
            <wp:wrapTopAndBottom/>
            <wp:docPr id="29" name="image23.jpeg" descr=""/>
            <wp:cNvGraphicFramePr>
              <a:graphicFrameLocks noChangeAspect="1"/>
            </wp:cNvGraphicFramePr>
            <a:graphic>
              <a:graphicData uri="http://schemas.openxmlformats.org/drawingml/2006/picture">
                <pic:pic>
                  <pic:nvPicPr>
                    <pic:cNvPr id="30" name="image23.jpeg"/>
                    <pic:cNvPicPr/>
                  </pic:nvPicPr>
                  <pic:blipFill>
                    <a:blip r:embed="rId74" cstate="print"/>
                    <a:stretch>
                      <a:fillRect/>
                    </a:stretch>
                  </pic:blipFill>
                  <pic:spPr>
                    <a:xfrm>
                      <a:off x="0" y="0"/>
                      <a:ext cx="4947206" cy="2781300"/>
                    </a:xfrm>
                    <a:prstGeom prst="rect">
                      <a:avLst/>
                    </a:prstGeom>
                  </pic:spPr>
                </pic:pic>
              </a:graphicData>
            </a:graphic>
          </wp:anchor>
        </w:drawing>
      </w:r>
    </w:p>
    <w:p>
      <w:pPr>
        <w:spacing w:before="139"/>
        <w:ind w:left="535" w:right="6" w:firstLine="0"/>
        <w:jc w:val="left"/>
        <w:rPr>
          <w:sz w:val="16"/>
        </w:rPr>
      </w:pPr>
      <w:r>
        <w:rPr>
          <w:sz w:val="16"/>
        </w:rPr>
        <w:t>Fuente: </w:t>
      </w:r>
      <w:hyperlink r:id="rId75">
        <w:r>
          <w:rPr>
            <w:color w:val="0462C1"/>
            <w:sz w:val="16"/>
            <w:u w:val="single" w:color="0462C1"/>
          </w:rPr>
          <w:t>http://www.diputados.gob.mx/LeyesBiblio/htm/1.htm</w:t>
        </w:r>
      </w:hyperlink>
    </w:p>
    <w:p>
      <w:pPr>
        <w:pStyle w:val="BodyText"/>
        <w:rPr>
          <w:sz w:val="20"/>
        </w:rPr>
      </w:pPr>
    </w:p>
    <w:p>
      <w:pPr>
        <w:pStyle w:val="BodyText"/>
        <w:spacing w:before="2"/>
        <w:rPr>
          <w:sz w:val="18"/>
        </w:rPr>
      </w:pPr>
    </w:p>
    <w:p>
      <w:pPr>
        <w:pStyle w:val="BodyText"/>
        <w:spacing w:line="360" w:lineRule="auto" w:before="70"/>
        <w:ind w:left="108" w:right="116"/>
        <w:jc w:val="both"/>
      </w:pPr>
      <w:r>
        <w:rPr/>
        <w:t>Con la información existente en los portales web de cada municipio se revisó la información</w:t>
      </w:r>
      <w:r>
        <w:rPr>
          <w:spacing w:val="-3"/>
        </w:rPr>
        <w:t> </w:t>
      </w:r>
      <w:r>
        <w:rPr/>
        <w:t>contenida</w:t>
      </w:r>
      <w:r>
        <w:rPr>
          <w:spacing w:val="-6"/>
        </w:rPr>
        <w:t> </w:t>
      </w:r>
      <w:r>
        <w:rPr/>
        <w:t>en</w:t>
      </w:r>
      <w:r>
        <w:rPr>
          <w:spacing w:val="-6"/>
        </w:rPr>
        <w:t> </w:t>
      </w:r>
      <w:r>
        <w:rPr/>
        <w:t>algunas</w:t>
      </w:r>
      <w:r>
        <w:rPr>
          <w:spacing w:val="-7"/>
        </w:rPr>
        <w:t> </w:t>
      </w:r>
      <w:r>
        <w:rPr/>
        <w:t>fracciones</w:t>
      </w:r>
      <w:r>
        <w:rPr>
          <w:spacing w:val="-9"/>
        </w:rPr>
        <w:t> </w:t>
      </w:r>
      <w:r>
        <w:rPr/>
        <w:t>de Ley</w:t>
      </w:r>
      <w:r>
        <w:rPr>
          <w:spacing w:val="-7"/>
        </w:rPr>
        <w:t> </w:t>
      </w:r>
      <w:r>
        <w:rPr/>
        <w:t>de</w:t>
      </w:r>
      <w:r>
        <w:rPr>
          <w:spacing w:val="-6"/>
        </w:rPr>
        <w:t> </w:t>
      </w:r>
      <w:r>
        <w:rPr/>
        <w:t>Transparencia</w:t>
      </w:r>
      <w:r>
        <w:rPr>
          <w:spacing w:val="-4"/>
        </w:rPr>
        <w:t> </w:t>
      </w:r>
      <w:r>
        <w:rPr/>
        <w:t>y</w:t>
      </w:r>
      <w:r>
        <w:rPr>
          <w:spacing w:val="-7"/>
        </w:rPr>
        <w:t> </w:t>
      </w:r>
      <w:r>
        <w:rPr/>
        <w:t>Acceso</w:t>
      </w:r>
      <w:r>
        <w:rPr>
          <w:spacing w:val="-6"/>
        </w:rPr>
        <w:t> </w:t>
      </w:r>
      <w:r>
        <w:rPr/>
        <w:t>a</w:t>
      </w:r>
      <w:r>
        <w:rPr>
          <w:spacing w:val="-4"/>
        </w:rPr>
        <w:t> </w:t>
      </w:r>
      <w:r>
        <w:rPr/>
        <w:t>la Información</w:t>
      </w:r>
      <w:r>
        <w:rPr>
          <w:spacing w:val="18"/>
        </w:rPr>
        <w:t> </w:t>
      </w:r>
      <w:r>
        <w:rPr/>
        <w:t>Pública</w:t>
      </w:r>
      <w:r>
        <w:rPr>
          <w:spacing w:val="20"/>
        </w:rPr>
        <w:t> </w:t>
      </w:r>
      <w:r>
        <w:rPr/>
        <w:t>del</w:t>
      </w:r>
      <w:r>
        <w:rPr>
          <w:spacing w:val="22"/>
        </w:rPr>
        <w:t> </w:t>
      </w:r>
      <w:r>
        <w:rPr/>
        <w:t>Estado</w:t>
      </w:r>
      <w:r>
        <w:rPr>
          <w:spacing w:val="18"/>
        </w:rPr>
        <w:t> </w:t>
      </w:r>
      <w:r>
        <w:rPr/>
        <w:t>de</w:t>
      </w:r>
      <w:r>
        <w:rPr>
          <w:spacing w:val="20"/>
        </w:rPr>
        <w:t> </w:t>
      </w:r>
      <w:r>
        <w:rPr/>
        <w:t>México</w:t>
      </w:r>
      <w:r>
        <w:rPr>
          <w:spacing w:val="22"/>
        </w:rPr>
        <w:t> </w:t>
      </w:r>
      <w:r>
        <w:rPr/>
        <w:t>y</w:t>
      </w:r>
      <w:r>
        <w:rPr>
          <w:spacing w:val="17"/>
        </w:rPr>
        <w:t> </w:t>
      </w:r>
      <w:r>
        <w:rPr/>
        <w:t>Municipios,</w:t>
      </w:r>
      <w:r>
        <w:rPr>
          <w:spacing w:val="18"/>
        </w:rPr>
        <w:t> </w:t>
      </w:r>
      <w:r>
        <w:rPr/>
        <w:t>para</w:t>
      </w:r>
      <w:r>
        <w:rPr>
          <w:spacing w:val="17"/>
        </w:rPr>
        <w:t> </w:t>
      </w:r>
      <w:r>
        <w:rPr/>
        <w:t>explorar</w:t>
      </w:r>
      <w:r>
        <w:rPr>
          <w:spacing w:val="19"/>
        </w:rPr>
        <w:t> </w:t>
      </w:r>
      <w:r>
        <w:rPr/>
        <w:t>la</w:t>
      </w:r>
      <w:r>
        <w:rPr>
          <w:spacing w:val="17"/>
        </w:rPr>
        <w:t> </w:t>
      </w:r>
      <w:r>
        <w:rPr/>
        <w:t>forma</w:t>
      </w:r>
      <w:r>
        <w:rPr>
          <w:spacing w:val="18"/>
        </w:rPr>
        <w:t> </w:t>
      </w:r>
      <w:r>
        <w:rPr/>
        <w:t>en</w:t>
      </w:r>
    </w:p>
    <w:p>
      <w:pPr>
        <w:spacing w:after="0" w:line="360" w:lineRule="auto"/>
        <w:jc w:val="both"/>
        <w:sectPr>
          <w:pgSz w:w="12240" w:h="15840"/>
          <w:pgMar w:header="0" w:footer="1035" w:top="1360" w:bottom="1220" w:left="1500" w:right="1580"/>
        </w:sectPr>
      </w:pPr>
    </w:p>
    <w:p>
      <w:pPr>
        <w:pStyle w:val="BodyText"/>
        <w:spacing w:line="362" w:lineRule="auto" w:before="54"/>
        <w:ind w:left="108" w:right="117"/>
        <w:jc w:val="both"/>
      </w:pPr>
      <w:r>
        <w:rPr/>
        <w:t>que</w:t>
      </w:r>
      <w:r>
        <w:rPr>
          <w:spacing w:val="-4"/>
        </w:rPr>
        <w:t> </w:t>
      </w:r>
      <w:r>
        <w:rPr/>
        <w:t>se</w:t>
      </w:r>
      <w:r>
        <w:rPr>
          <w:spacing w:val="-4"/>
        </w:rPr>
        <w:t> </w:t>
      </w:r>
      <w:r>
        <w:rPr/>
        <w:t>integra,</w:t>
      </w:r>
      <w:r>
        <w:rPr>
          <w:spacing w:val="-4"/>
        </w:rPr>
        <w:t> </w:t>
      </w:r>
      <w:r>
        <w:rPr/>
        <w:t>organiza</w:t>
      </w:r>
      <w:r>
        <w:rPr>
          <w:spacing w:val="-4"/>
        </w:rPr>
        <w:t> </w:t>
      </w:r>
      <w:r>
        <w:rPr/>
        <w:t>y</w:t>
      </w:r>
      <w:r>
        <w:rPr>
          <w:spacing w:val="-7"/>
        </w:rPr>
        <w:t> </w:t>
      </w:r>
      <w:r>
        <w:rPr/>
        <w:t>publica</w:t>
      </w:r>
      <w:r>
        <w:rPr>
          <w:spacing w:val="-4"/>
        </w:rPr>
        <w:t> </w:t>
      </w:r>
      <w:r>
        <w:rPr/>
        <w:t>la</w:t>
      </w:r>
      <w:r>
        <w:rPr>
          <w:spacing w:val="-4"/>
        </w:rPr>
        <w:t> </w:t>
      </w:r>
      <w:r>
        <w:rPr/>
        <w:t>información</w:t>
      </w:r>
      <w:r>
        <w:rPr>
          <w:spacing w:val="-4"/>
        </w:rPr>
        <w:t> </w:t>
      </w:r>
      <w:r>
        <w:rPr/>
        <w:t>en</w:t>
      </w:r>
      <w:r>
        <w:rPr>
          <w:spacing w:val="-6"/>
        </w:rPr>
        <w:t> </w:t>
      </w:r>
      <w:r>
        <w:rPr/>
        <w:t>dichos</w:t>
      </w:r>
      <w:r>
        <w:rPr>
          <w:spacing w:val="-1"/>
        </w:rPr>
        <w:t> </w:t>
      </w:r>
      <w:r>
        <w:rPr/>
        <w:t>portales.</w:t>
      </w:r>
      <w:r>
        <w:rPr>
          <w:spacing w:val="-6"/>
        </w:rPr>
        <w:t> </w:t>
      </w:r>
      <w:r>
        <w:rPr/>
        <w:t>Asimismo,</w:t>
      </w:r>
      <w:r>
        <w:rPr>
          <w:spacing w:val="-4"/>
        </w:rPr>
        <w:t> </w:t>
      </w:r>
      <w:r>
        <w:rPr/>
        <w:t>para verificar la congruencia de la información que presentan los gobiernos</w:t>
      </w:r>
      <w:r>
        <w:rPr>
          <w:spacing w:val="-26"/>
        </w:rPr>
        <w:t> </w:t>
      </w:r>
      <w:r>
        <w:rPr/>
        <w:t>municipales.</w:t>
      </w:r>
    </w:p>
    <w:p>
      <w:pPr>
        <w:pStyle w:val="BodyText"/>
      </w:pPr>
    </w:p>
    <w:p>
      <w:pPr>
        <w:pStyle w:val="BodyText"/>
        <w:spacing w:line="360" w:lineRule="auto" w:before="139"/>
        <w:ind w:left="108" w:right="124"/>
        <w:jc w:val="both"/>
      </w:pPr>
      <w:r>
        <w:rPr/>
        <w:t>Por su parte la responsable de transparencia entrevistada señaló que el procedimiento para publicar información es el siguiente:</w:t>
      </w:r>
    </w:p>
    <w:p>
      <w:pPr>
        <w:pStyle w:val="BodyText"/>
        <w:spacing w:before="11"/>
        <w:rPr>
          <w:sz w:val="32"/>
        </w:rPr>
      </w:pPr>
    </w:p>
    <w:p>
      <w:pPr>
        <w:spacing w:line="204" w:lineRule="exact" w:before="0"/>
        <w:ind w:left="1256" w:right="1130" w:firstLine="0"/>
        <w:jc w:val="center"/>
        <w:rPr>
          <w:sz w:val="18"/>
        </w:rPr>
      </w:pPr>
      <w:r>
        <w:rPr>
          <w:sz w:val="18"/>
        </w:rPr>
        <w:t>“Se recibe una solicitud a través del portal del SAIMEX, luego elaboro oficio al área responsable para que me mande la información, se procesa y finalmente se publica”</w:t>
      </w:r>
    </w:p>
    <w:p>
      <w:pPr>
        <w:pStyle w:val="BodyText"/>
        <w:rPr>
          <w:sz w:val="18"/>
        </w:rPr>
      </w:pPr>
    </w:p>
    <w:p>
      <w:pPr>
        <w:pStyle w:val="BodyText"/>
        <w:rPr>
          <w:sz w:val="18"/>
        </w:rPr>
      </w:pPr>
    </w:p>
    <w:p>
      <w:pPr>
        <w:pStyle w:val="BodyText"/>
        <w:rPr>
          <w:sz w:val="18"/>
        </w:rPr>
      </w:pPr>
    </w:p>
    <w:p>
      <w:pPr>
        <w:pStyle w:val="BodyText"/>
        <w:spacing w:line="360" w:lineRule="auto" w:before="112"/>
        <w:ind w:left="108" w:right="117"/>
        <w:jc w:val="both"/>
      </w:pPr>
      <w:r>
        <w:rPr/>
        <w:t>Es de notar que cuando referenció “se procesa” su rostro reflejó expresiones de angustia.</w:t>
      </w:r>
      <w:r>
        <w:rPr>
          <w:spacing w:val="-7"/>
        </w:rPr>
        <w:t> </w:t>
      </w:r>
      <w:r>
        <w:rPr/>
        <w:t>Seguramente</w:t>
      </w:r>
      <w:r>
        <w:rPr>
          <w:spacing w:val="-6"/>
        </w:rPr>
        <w:t> </w:t>
      </w:r>
      <w:r>
        <w:rPr/>
        <w:t>porque</w:t>
      </w:r>
      <w:r>
        <w:rPr>
          <w:spacing w:val="-6"/>
        </w:rPr>
        <w:t> </w:t>
      </w:r>
      <w:r>
        <w:rPr/>
        <w:t>no</w:t>
      </w:r>
      <w:r>
        <w:rPr>
          <w:spacing w:val="-6"/>
        </w:rPr>
        <w:t> </w:t>
      </w:r>
      <w:r>
        <w:rPr/>
        <w:t>cuenta</w:t>
      </w:r>
      <w:r>
        <w:rPr>
          <w:spacing w:val="-6"/>
        </w:rPr>
        <w:t> </w:t>
      </w:r>
      <w:r>
        <w:rPr/>
        <w:t>con</w:t>
      </w:r>
      <w:r>
        <w:rPr>
          <w:spacing w:val="-6"/>
        </w:rPr>
        <w:t> </w:t>
      </w:r>
      <w:r>
        <w:rPr/>
        <w:t>la</w:t>
      </w:r>
      <w:r>
        <w:rPr>
          <w:spacing w:val="-3"/>
        </w:rPr>
        <w:t> </w:t>
      </w:r>
      <w:r>
        <w:rPr/>
        <w:t>tecnología</w:t>
      </w:r>
      <w:r>
        <w:rPr>
          <w:spacing w:val="-6"/>
        </w:rPr>
        <w:t> </w:t>
      </w:r>
      <w:r>
        <w:rPr/>
        <w:t>para</w:t>
      </w:r>
      <w:r>
        <w:rPr>
          <w:spacing w:val="-8"/>
        </w:rPr>
        <w:t> </w:t>
      </w:r>
      <w:r>
        <w:rPr/>
        <w:t>hacerlo</w:t>
      </w:r>
      <w:r>
        <w:rPr>
          <w:spacing w:val="-6"/>
        </w:rPr>
        <w:t> </w:t>
      </w:r>
      <w:r>
        <w:rPr/>
        <w:t>o</w:t>
      </w:r>
      <w:r>
        <w:rPr>
          <w:spacing w:val="-7"/>
        </w:rPr>
        <w:t> </w:t>
      </w:r>
      <w:r>
        <w:rPr/>
        <w:t>porque</w:t>
      </w:r>
      <w:r>
        <w:rPr>
          <w:spacing w:val="-7"/>
        </w:rPr>
        <w:t> </w:t>
      </w:r>
      <w:r>
        <w:rPr/>
        <w:t>la información</w:t>
      </w:r>
      <w:r>
        <w:rPr>
          <w:spacing w:val="-6"/>
        </w:rPr>
        <w:t> </w:t>
      </w:r>
      <w:r>
        <w:rPr/>
        <w:t>que</w:t>
      </w:r>
      <w:r>
        <w:rPr>
          <w:spacing w:val="-8"/>
        </w:rPr>
        <w:t> </w:t>
      </w:r>
      <w:r>
        <w:rPr/>
        <w:t>le</w:t>
      </w:r>
      <w:r>
        <w:rPr>
          <w:spacing w:val="-6"/>
        </w:rPr>
        <w:t> </w:t>
      </w:r>
      <w:r>
        <w:rPr/>
        <w:t>dan</w:t>
      </w:r>
      <w:r>
        <w:rPr>
          <w:spacing w:val="-8"/>
        </w:rPr>
        <w:t> </w:t>
      </w:r>
      <w:r>
        <w:rPr/>
        <w:t>las</w:t>
      </w:r>
      <w:r>
        <w:rPr>
          <w:spacing w:val="-6"/>
        </w:rPr>
        <w:t> </w:t>
      </w:r>
      <w:r>
        <w:rPr/>
        <w:t>áreas</w:t>
      </w:r>
      <w:r>
        <w:rPr>
          <w:spacing w:val="-9"/>
        </w:rPr>
        <w:t> </w:t>
      </w:r>
      <w:r>
        <w:rPr/>
        <w:t>correspondientes</w:t>
      </w:r>
      <w:r>
        <w:rPr>
          <w:spacing w:val="-9"/>
        </w:rPr>
        <w:t> </w:t>
      </w:r>
      <w:r>
        <w:rPr/>
        <w:t>no</w:t>
      </w:r>
      <w:r>
        <w:rPr>
          <w:spacing w:val="-8"/>
        </w:rPr>
        <w:t> </w:t>
      </w:r>
      <w:r>
        <w:rPr/>
        <w:t>está</w:t>
      </w:r>
      <w:r>
        <w:rPr>
          <w:spacing w:val="-8"/>
        </w:rPr>
        <w:t> </w:t>
      </w:r>
      <w:r>
        <w:rPr/>
        <w:t>ordenada</w:t>
      </w:r>
      <w:r>
        <w:rPr>
          <w:spacing w:val="-6"/>
        </w:rPr>
        <w:t> </w:t>
      </w:r>
      <w:r>
        <w:rPr/>
        <w:t>y</w:t>
      </w:r>
      <w:r>
        <w:rPr>
          <w:spacing w:val="-9"/>
        </w:rPr>
        <w:t> </w:t>
      </w:r>
      <w:r>
        <w:rPr/>
        <w:t>ella</w:t>
      </w:r>
      <w:r>
        <w:rPr>
          <w:spacing w:val="-6"/>
        </w:rPr>
        <w:t> </w:t>
      </w:r>
      <w:r>
        <w:rPr/>
        <w:t>tiene</w:t>
      </w:r>
      <w:r>
        <w:rPr>
          <w:spacing w:val="-8"/>
        </w:rPr>
        <w:t> </w:t>
      </w:r>
      <w:r>
        <w:rPr/>
        <w:t>que hacer</w:t>
      </w:r>
      <w:r>
        <w:rPr>
          <w:spacing w:val="-7"/>
        </w:rPr>
        <w:t> </w:t>
      </w:r>
      <w:r>
        <w:rPr/>
        <w:t>el</w:t>
      </w:r>
      <w:r>
        <w:rPr>
          <w:spacing w:val="-5"/>
        </w:rPr>
        <w:t> </w:t>
      </w:r>
      <w:r>
        <w:rPr/>
        <w:t>trabajo</w:t>
      </w:r>
      <w:r>
        <w:rPr>
          <w:spacing w:val="-6"/>
        </w:rPr>
        <w:t> </w:t>
      </w:r>
      <w:r>
        <w:rPr/>
        <w:t>de</w:t>
      </w:r>
      <w:r>
        <w:rPr>
          <w:spacing w:val="-4"/>
        </w:rPr>
        <w:t> </w:t>
      </w:r>
      <w:r>
        <w:rPr/>
        <w:t>los</w:t>
      </w:r>
      <w:r>
        <w:rPr>
          <w:spacing w:val="-9"/>
        </w:rPr>
        <w:t> </w:t>
      </w:r>
      <w:r>
        <w:rPr/>
        <w:t>responsables</w:t>
      </w:r>
      <w:r>
        <w:rPr>
          <w:spacing w:val="-6"/>
        </w:rPr>
        <w:t> </w:t>
      </w:r>
      <w:r>
        <w:rPr/>
        <w:t>de</w:t>
      </w:r>
      <w:r>
        <w:rPr>
          <w:spacing w:val="-6"/>
        </w:rPr>
        <w:t> </w:t>
      </w:r>
      <w:r>
        <w:rPr/>
        <w:t>brindar</w:t>
      </w:r>
      <w:r>
        <w:rPr>
          <w:spacing w:val="-5"/>
        </w:rPr>
        <w:t> </w:t>
      </w:r>
      <w:r>
        <w:rPr/>
        <w:t>la</w:t>
      </w:r>
      <w:r>
        <w:rPr>
          <w:spacing w:val="-4"/>
        </w:rPr>
        <w:t> </w:t>
      </w:r>
      <w:r>
        <w:rPr/>
        <w:t>información.</w:t>
      </w:r>
      <w:r>
        <w:rPr>
          <w:spacing w:val="-4"/>
        </w:rPr>
        <w:t> </w:t>
      </w:r>
      <w:r>
        <w:rPr/>
        <w:t>Ya</w:t>
      </w:r>
      <w:r>
        <w:rPr>
          <w:spacing w:val="-4"/>
        </w:rPr>
        <w:t> </w:t>
      </w:r>
      <w:r>
        <w:rPr/>
        <w:t>que</w:t>
      </w:r>
      <w:r>
        <w:rPr>
          <w:spacing w:val="-6"/>
        </w:rPr>
        <w:t> </w:t>
      </w:r>
      <w:r>
        <w:rPr/>
        <w:t>más</w:t>
      </w:r>
      <w:r>
        <w:rPr>
          <w:spacing w:val="-7"/>
        </w:rPr>
        <w:t> </w:t>
      </w:r>
      <w:r>
        <w:rPr/>
        <w:t>adelante referenció</w:t>
      </w:r>
      <w:r>
        <w:rPr>
          <w:spacing w:val="-13"/>
        </w:rPr>
        <w:t> </w:t>
      </w:r>
      <w:r>
        <w:rPr/>
        <w:t>que</w:t>
      </w:r>
      <w:r>
        <w:rPr>
          <w:spacing w:val="-11"/>
        </w:rPr>
        <w:t> </w:t>
      </w:r>
      <w:r>
        <w:rPr/>
        <w:t>“solamente</w:t>
      </w:r>
      <w:r>
        <w:rPr>
          <w:spacing w:val="-10"/>
        </w:rPr>
        <w:t> </w:t>
      </w:r>
      <w:r>
        <w:rPr/>
        <w:t>se</w:t>
      </w:r>
      <w:r>
        <w:rPr>
          <w:spacing w:val="-11"/>
        </w:rPr>
        <w:t> </w:t>
      </w:r>
      <w:r>
        <w:rPr/>
        <w:t>entrega</w:t>
      </w:r>
      <w:r>
        <w:rPr>
          <w:spacing w:val="-11"/>
        </w:rPr>
        <w:t> </w:t>
      </w:r>
      <w:r>
        <w:rPr/>
        <w:t>entre</w:t>
      </w:r>
      <w:r>
        <w:rPr>
          <w:spacing w:val="-13"/>
        </w:rPr>
        <w:t> </w:t>
      </w:r>
      <w:r>
        <w:rPr/>
        <w:t>un</w:t>
      </w:r>
      <w:r>
        <w:rPr>
          <w:spacing w:val="-13"/>
        </w:rPr>
        <w:t> </w:t>
      </w:r>
      <w:r>
        <w:rPr/>
        <w:t>70</w:t>
      </w:r>
      <w:r>
        <w:rPr>
          <w:spacing w:val="-13"/>
        </w:rPr>
        <w:t> </w:t>
      </w:r>
      <w:r>
        <w:rPr/>
        <w:t>u</w:t>
      </w:r>
      <w:r>
        <w:rPr>
          <w:spacing w:val="-7"/>
        </w:rPr>
        <w:t> </w:t>
      </w:r>
      <w:r>
        <w:rPr/>
        <w:t>80%</w:t>
      </w:r>
      <w:r>
        <w:rPr>
          <w:spacing w:val="-14"/>
        </w:rPr>
        <w:t> </w:t>
      </w:r>
      <w:r>
        <w:rPr/>
        <w:t>de</w:t>
      </w:r>
      <w:r>
        <w:rPr>
          <w:spacing w:val="-11"/>
        </w:rPr>
        <w:t> </w:t>
      </w:r>
      <w:r>
        <w:rPr/>
        <w:t>la</w:t>
      </w:r>
      <w:r>
        <w:rPr>
          <w:spacing w:val="-13"/>
        </w:rPr>
        <w:t> </w:t>
      </w:r>
      <w:r>
        <w:rPr/>
        <w:t>información</w:t>
      </w:r>
      <w:r>
        <w:rPr>
          <w:spacing w:val="-10"/>
        </w:rPr>
        <w:t> </w:t>
      </w:r>
      <w:r>
        <w:rPr/>
        <w:t>solicitada”</w:t>
      </w:r>
    </w:p>
    <w:p>
      <w:pPr>
        <w:pStyle w:val="BodyText"/>
      </w:pPr>
    </w:p>
    <w:p>
      <w:pPr>
        <w:pStyle w:val="BodyText"/>
      </w:pPr>
    </w:p>
    <w:p>
      <w:pPr>
        <w:pStyle w:val="BodyText"/>
        <w:spacing w:line="360" w:lineRule="auto" w:before="185"/>
        <w:ind w:left="108" w:right="124"/>
        <w:jc w:val="both"/>
      </w:pPr>
      <w:r>
        <w:rPr/>
        <w:t>En</w:t>
      </w:r>
      <w:r>
        <w:rPr>
          <w:spacing w:val="-9"/>
        </w:rPr>
        <w:t> </w:t>
      </w:r>
      <w:r>
        <w:rPr/>
        <w:t>el</w:t>
      </w:r>
      <w:r>
        <w:rPr>
          <w:spacing w:val="-12"/>
        </w:rPr>
        <w:t> </w:t>
      </w:r>
      <w:r>
        <w:rPr/>
        <w:t>municipio</w:t>
      </w:r>
      <w:r>
        <w:rPr>
          <w:spacing w:val="-11"/>
        </w:rPr>
        <w:t> </w:t>
      </w:r>
      <w:r>
        <w:rPr/>
        <w:t>se</w:t>
      </w:r>
      <w:r>
        <w:rPr>
          <w:spacing w:val="-9"/>
        </w:rPr>
        <w:t> </w:t>
      </w:r>
      <w:r>
        <w:rPr/>
        <w:t>refleja</w:t>
      </w:r>
      <w:r>
        <w:rPr>
          <w:spacing w:val="-9"/>
        </w:rPr>
        <w:t> </w:t>
      </w:r>
      <w:r>
        <w:rPr/>
        <w:t>también</w:t>
      </w:r>
      <w:r>
        <w:rPr>
          <w:spacing w:val="-11"/>
        </w:rPr>
        <w:t> </w:t>
      </w:r>
      <w:r>
        <w:rPr/>
        <w:t>poco</w:t>
      </w:r>
      <w:r>
        <w:rPr>
          <w:spacing w:val="-11"/>
        </w:rPr>
        <w:t> </w:t>
      </w:r>
      <w:r>
        <w:rPr/>
        <w:t>compromiso</w:t>
      </w:r>
      <w:r>
        <w:rPr>
          <w:spacing w:val="-11"/>
        </w:rPr>
        <w:t> </w:t>
      </w:r>
      <w:r>
        <w:rPr/>
        <w:t>por</w:t>
      </w:r>
      <w:r>
        <w:rPr>
          <w:spacing w:val="-12"/>
        </w:rPr>
        <w:t> </w:t>
      </w:r>
      <w:r>
        <w:rPr/>
        <w:t>parte</w:t>
      </w:r>
      <w:r>
        <w:rPr>
          <w:spacing w:val="-9"/>
        </w:rPr>
        <w:t> </w:t>
      </w:r>
      <w:r>
        <w:rPr/>
        <w:t>de</w:t>
      </w:r>
      <w:r>
        <w:rPr>
          <w:spacing w:val="-9"/>
        </w:rPr>
        <w:t> </w:t>
      </w:r>
      <w:r>
        <w:rPr/>
        <w:t>los</w:t>
      </w:r>
      <w:r>
        <w:rPr>
          <w:spacing w:val="-13"/>
        </w:rPr>
        <w:t> </w:t>
      </w:r>
      <w:r>
        <w:rPr/>
        <w:t>funcionarios,</w:t>
      </w:r>
      <w:r>
        <w:rPr>
          <w:spacing w:val="-9"/>
        </w:rPr>
        <w:t> </w:t>
      </w:r>
      <w:r>
        <w:rPr/>
        <w:t>ya que la responsable señaló que hay resistencia para entregar la información que les solicitan:</w:t>
      </w:r>
    </w:p>
    <w:p>
      <w:pPr>
        <w:pStyle w:val="BodyText"/>
      </w:pPr>
    </w:p>
    <w:p>
      <w:pPr>
        <w:pStyle w:val="BodyText"/>
      </w:pPr>
    </w:p>
    <w:p>
      <w:pPr>
        <w:spacing w:before="186"/>
        <w:ind w:left="674" w:right="732" w:firstLine="0"/>
        <w:jc w:val="both"/>
        <w:rPr>
          <w:i/>
          <w:sz w:val="18"/>
        </w:rPr>
      </w:pPr>
      <w:r>
        <w:rPr>
          <w:sz w:val="18"/>
        </w:rPr>
        <w:t>“</w:t>
      </w:r>
      <w:r>
        <w:rPr>
          <w:i/>
          <w:sz w:val="18"/>
        </w:rPr>
        <w:t>Si</w:t>
      </w:r>
      <w:r>
        <w:rPr>
          <w:i/>
          <w:spacing w:val="-5"/>
          <w:sz w:val="18"/>
        </w:rPr>
        <w:t> </w:t>
      </w:r>
      <w:r>
        <w:rPr>
          <w:i/>
          <w:sz w:val="18"/>
        </w:rPr>
        <w:t>coopera</w:t>
      </w:r>
      <w:r>
        <w:rPr>
          <w:i/>
          <w:spacing w:val="-5"/>
          <w:sz w:val="18"/>
        </w:rPr>
        <w:t> </w:t>
      </w:r>
      <w:r>
        <w:rPr>
          <w:i/>
          <w:sz w:val="18"/>
        </w:rPr>
        <w:t>pero</w:t>
      </w:r>
      <w:r>
        <w:rPr>
          <w:i/>
          <w:spacing w:val="-5"/>
          <w:sz w:val="18"/>
        </w:rPr>
        <w:t> </w:t>
      </w:r>
      <w:r>
        <w:rPr>
          <w:i/>
          <w:sz w:val="18"/>
        </w:rPr>
        <w:t>hay</w:t>
      </w:r>
      <w:r>
        <w:rPr>
          <w:i/>
          <w:spacing w:val="-4"/>
          <w:sz w:val="18"/>
        </w:rPr>
        <w:t> </w:t>
      </w:r>
      <w:r>
        <w:rPr>
          <w:i/>
          <w:sz w:val="18"/>
        </w:rPr>
        <w:t>que</w:t>
      </w:r>
      <w:r>
        <w:rPr>
          <w:i/>
          <w:spacing w:val="-5"/>
          <w:sz w:val="18"/>
        </w:rPr>
        <w:t> </w:t>
      </w:r>
      <w:r>
        <w:rPr>
          <w:i/>
          <w:sz w:val="18"/>
        </w:rPr>
        <w:t>está</w:t>
      </w:r>
      <w:r>
        <w:rPr>
          <w:i/>
          <w:spacing w:val="-5"/>
          <w:sz w:val="18"/>
        </w:rPr>
        <w:t> </w:t>
      </w:r>
      <w:r>
        <w:rPr>
          <w:i/>
          <w:sz w:val="18"/>
        </w:rPr>
        <w:t>detrás</w:t>
      </w:r>
      <w:r>
        <w:rPr>
          <w:i/>
          <w:spacing w:val="-4"/>
          <w:sz w:val="18"/>
        </w:rPr>
        <w:t> </w:t>
      </w:r>
      <w:r>
        <w:rPr>
          <w:i/>
          <w:sz w:val="18"/>
        </w:rPr>
        <w:t>de</w:t>
      </w:r>
      <w:r>
        <w:rPr>
          <w:i/>
          <w:spacing w:val="-1"/>
          <w:sz w:val="18"/>
        </w:rPr>
        <w:t> </w:t>
      </w:r>
      <w:r>
        <w:rPr>
          <w:i/>
          <w:sz w:val="18"/>
        </w:rPr>
        <w:t>ellos.</w:t>
      </w:r>
      <w:r>
        <w:rPr>
          <w:i/>
          <w:spacing w:val="-5"/>
          <w:sz w:val="18"/>
        </w:rPr>
        <w:t> </w:t>
      </w:r>
      <w:r>
        <w:rPr>
          <w:i/>
          <w:sz w:val="18"/>
        </w:rPr>
        <w:t>Desafortunadamente,</w:t>
      </w:r>
      <w:r>
        <w:rPr>
          <w:i/>
          <w:spacing w:val="-5"/>
          <w:sz w:val="18"/>
        </w:rPr>
        <w:t> </w:t>
      </w:r>
      <w:r>
        <w:rPr>
          <w:i/>
          <w:sz w:val="18"/>
        </w:rPr>
        <w:t>la</w:t>
      </w:r>
      <w:r>
        <w:rPr>
          <w:i/>
          <w:spacing w:val="-5"/>
          <w:sz w:val="18"/>
        </w:rPr>
        <w:t> </w:t>
      </w:r>
      <w:r>
        <w:rPr>
          <w:i/>
          <w:sz w:val="18"/>
        </w:rPr>
        <w:t>cuestión</w:t>
      </w:r>
      <w:r>
        <w:rPr>
          <w:i/>
          <w:spacing w:val="-5"/>
          <w:sz w:val="18"/>
        </w:rPr>
        <w:t> </w:t>
      </w:r>
      <w:r>
        <w:rPr>
          <w:i/>
          <w:sz w:val="18"/>
        </w:rPr>
        <w:t>de</w:t>
      </w:r>
      <w:r>
        <w:rPr>
          <w:i/>
          <w:spacing w:val="-5"/>
          <w:sz w:val="18"/>
        </w:rPr>
        <w:t> </w:t>
      </w:r>
      <w:r>
        <w:rPr>
          <w:i/>
          <w:sz w:val="18"/>
        </w:rPr>
        <w:t>transparencia </w:t>
      </w:r>
      <w:r>
        <w:rPr>
          <w:i/>
          <w:sz w:val="18"/>
        </w:rPr>
        <w:t>o de entregar información para ellos no es tan importante. Es como en segundo plano, pero que si lo entregan porque finalmente se solicita, es una actividad que tiene de alguna manera ellos que responder, pero si cuesta un poquito de trabajo que lo hagan en tiempo y que nosotros les podemos</w:t>
      </w:r>
      <w:r>
        <w:rPr>
          <w:i/>
          <w:spacing w:val="-12"/>
          <w:sz w:val="18"/>
        </w:rPr>
        <w:t> </w:t>
      </w:r>
      <w:r>
        <w:rPr>
          <w:i/>
          <w:sz w:val="18"/>
        </w:rPr>
        <w:t>solicitar.</w:t>
      </w:r>
      <w:r>
        <w:rPr>
          <w:i/>
          <w:spacing w:val="-10"/>
          <w:sz w:val="18"/>
        </w:rPr>
        <w:t> </w:t>
      </w:r>
      <w:r>
        <w:rPr>
          <w:i/>
          <w:sz w:val="18"/>
        </w:rPr>
        <w:t>No</w:t>
      </w:r>
      <w:r>
        <w:rPr>
          <w:i/>
          <w:spacing w:val="-10"/>
          <w:sz w:val="18"/>
        </w:rPr>
        <w:t> </w:t>
      </w:r>
      <w:r>
        <w:rPr>
          <w:i/>
          <w:sz w:val="18"/>
        </w:rPr>
        <w:t>obstante,</w:t>
      </w:r>
      <w:r>
        <w:rPr>
          <w:i/>
          <w:spacing w:val="-10"/>
          <w:sz w:val="18"/>
        </w:rPr>
        <w:t> </w:t>
      </w:r>
      <w:r>
        <w:rPr>
          <w:i/>
          <w:sz w:val="18"/>
        </w:rPr>
        <w:t>hay</w:t>
      </w:r>
      <w:r>
        <w:rPr>
          <w:i/>
          <w:spacing w:val="-12"/>
          <w:sz w:val="18"/>
        </w:rPr>
        <w:t> </w:t>
      </w:r>
      <w:r>
        <w:rPr>
          <w:i/>
          <w:sz w:val="18"/>
        </w:rPr>
        <w:t>directores</w:t>
      </w:r>
      <w:r>
        <w:rPr>
          <w:i/>
          <w:spacing w:val="-12"/>
          <w:sz w:val="18"/>
        </w:rPr>
        <w:t> </w:t>
      </w:r>
      <w:r>
        <w:rPr>
          <w:i/>
          <w:sz w:val="18"/>
        </w:rPr>
        <w:t>que</w:t>
      </w:r>
      <w:r>
        <w:rPr>
          <w:i/>
          <w:spacing w:val="-12"/>
          <w:sz w:val="18"/>
        </w:rPr>
        <w:t> </w:t>
      </w:r>
      <w:r>
        <w:rPr>
          <w:i/>
          <w:sz w:val="18"/>
        </w:rPr>
        <w:t>de</w:t>
      </w:r>
      <w:r>
        <w:rPr>
          <w:i/>
          <w:spacing w:val="-12"/>
          <w:sz w:val="18"/>
        </w:rPr>
        <w:t> </w:t>
      </w:r>
      <w:r>
        <w:rPr>
          <w:i/>
          <w:sz w:val="18"/>
        </w:rPr>
        <w:t>alguna</w:t>
      </w:r>
      <w:r>
        <w:rPr>
          <w:i/>
          <w:spacing w:val="-12"/>
          <w:sz w:val="18"/>
        </w:rPr>
        <w:t> </w:t>
      </w:r>
      <w:r>
        <w:rPr>
          <w:i/>
          <w:sz w:val="18"/>
        </w:rPr>
        <w:t>manera</w:t>
      </w:r>
      <w:r>
        <w:rPr>
          <w:i/>
          <w:spacing w:val="-10"/>
          <w:sz w:val="18"/>
        </w:rPr>
        <w:t> </w:t>
      </w:r>
      <w:r>
        <w:rPr>
          <w:i/>
          <w:sz w:val="18"/>
        </w:rPr>
        <w:t>independientemente</w:t>
      </w:r>
      <w:r>
        <w:rPr>
          <w:i/>
          <w:spacing w:val="-12"/>
          <w:sz w:val="18"/>
        </w:rPr>
        <w:t> </w:t>
      </w:r>
      <w:r>
        <w:rPr>
          <w:i/>
          <w:sz w:val="18"/>
        </w:rPr>
        <w:t>de</w:t>
      </w:r>
      <w:r>
        <w:rPr>
          <w:i/>
          <w:spacing w:val="-10"/>
          <w:sz w:val="18"/>
        </w:rPr>
        <w:t> </w:t>
      </w:r>
      <w:r>
        <w:rPr>
          <w:i/>
          <w:sz w:val="18"/>
        </w:rPr>
        <w:t>que les comentamos en donde se dice que tienen que entregar esa información. Si le preguntan a la presidenta, oye está buscando esto, ¿cómo es? Y la presidenta de alguna manera se le instruye que se entregue o que se tome por medida. En el caso que de que pudiera afectar a los líderes del</w:t>
      </w:r>
      <w:r>
        <w:rPr>
          <w:i/>
          <w:spacing w:val="-8"/>
          <w:sz w:val="18"/>
        </w:rPr>
        <w:t> </w:t>
      </w:r>
      <w:r>
        <w:rPr>
          <w:i/>
          <w:sz w:val="18"/>
        </w:rPr>
        <w:t>ayuntamiento.”</w:t>
      </w:r>
    </w:p>
    <w:p>
      <w:pPr>
        <w:pStyle w:val="BodyText"/>
        <w:rPr>
          <w:i/>
          <w:sz w:val="18"/>
        </w:rPr>
      </w:pPr>
    </w:p>
    <w:p>
      <w:pPr>
        <w:pStyle w:val="BodyText"/>
        <w:rPr>
          <w:i/>
          <w:sz w:val="18"/>
        </w:rPr>
      </w:pPr>
    </w:p>
    <w:p>
      <w:pPr>
        <w:pStyle w:val="BodyText"/>
        <w:rPr>
          <w:i/>
          <w:sz w:val="18"/>
        </w:rPr>
      </w:pPr>
    </w:p>
    <w:p>
      <w:pPr>
        <w:pStyle w:val="BodyText"/>
        <w:spacing w:line="360" w:lineRule="auto" w:before="117"/>
        <w:ind w:left="108" w:right="279"/>
      </w:pPr>
      <w:r>
        <w:rPr/>
        <w:t>En este párrafo se puede apreciar el gran poder que tiene la presidenta municipal, ya que incluso se puede omitir el cumplimiento de la ley si ella no autoriza la publicación de la información que pudiera generarle problemas.</w:t>
      </w:r>
    </w:p>
    <w:p>
      <w:pPr>
        <w:spacing w:after="0" w:line="360" w:lineRule="auto"/>
        <w:sectPr>
          <w:pgSz w:w="12240" w:h="15840"/>
          <w:pgMar w:header="0" w:footer="1035" w:top="1360" w:bottom="1220" w:left="1500" w:right="1580"/>
        </w:sectPr>
      </w:pPr>
    </w:p>
    <w:p>
      <w:pPr>
        <w:pStyle w:val="BodyText"/>
        <w:spacing w:line="362" w:lineRule="auto" w:before="54"/>
        <w:ind w:left="108" w:right="534"/>
      </w:pPr>
      <w:r>
        <w:rPr/>
        <w:t>Asimismo, señaló que dentro de la información más solicitada referenció que se encuentra la siguiente:</w:t>
      </w:r>
    </w:p>
    <w:p>
      <w:pPr>
        <w:pStyle w:val="BodyText"/>
      </w:pPr>
    </w:p>
    <w:p>
      <w:pPr>
        <w:pStyle w:val="BodyText"/>
      </w:pPr>
    </w:p>
    <w:p>
      <w:pPr>
        <w:spacing w:before="183"/>
        <w:ind w:left="1241" w:right="1117" w:firstLine="0"/>
        <w:jc w:val="both"/>
        <w:rPr>
          <w:sz w:val="18"/>
        </w:rPr>
      </w:pPr>
      <w:r>
        <w:rPr>
          <w:sz w:val="18"/>
        </w:rPr>
        <w:t>“la información más solicitada al municipio es: gasto público, trámites, recursos humanos, salarios, aspectos de la tesorería municipal, convenios, contratos, pagos, nombre de servidores públicos”</w:t>
      </w:r>
    </w:p>
    <w:p>
      <w:pPr>
        <w:pStyle w:val="BodyText"/>
        <w:rPr>
          <w:sz w:val="18"/>
        </w:rPr>
      </w:pPr>
    </w:p>
    <w:p>
      <w:pPr>
        <w:pStyle w:val="BodyText"/>
        <w:rPr>
          <w:sz w:val="18"/>
        </w:rPr>
      </w:pPr>
    </w:p>
    <w:p>
      <w:pPr>
        <w:pStyle w:val="BodyText"/>
        <w:rPr>
          <w:sz w:val="18"/>
        </w:rPr>
      </w:pPr>
    </w:p>
    <w:p>
      <w:pPr>
        <w:pStyle w:val="BodyText"/>
        <w:spacing w:line="360" w:lineRule="auto" w:before="114"/>
        <w:ind w:left="108" w:right="123"/>
        <w:jc w:val="both"/>
      </w:pPr>
      <w:r>
        <w:rPr/>
        <w:t>Es de destacar que cuando contestaba a esta pregunta su rostro reflejaba molestia, ya que toda esta información está en la página web del municipio, es considerada pública</w:t>
      </w:r>
      <w:r>
        <w:rPr>
          <w:spacing w:val="-11"/>
        </w:rPr>
        <w:t> </w:t>
      </w:r>
      <w:r>
        <w:rPr/>
        <w:t>de</w:t>
      </w:r>
      <w:r>
        <w:rPr>
          <w:spacing w:val="-11"/>
        </w:rPr>
        <w:t> </w:t>
      </w:r>
      <w:r>
        <w:rPr/>
        <w:t>oficio</w:t>
      </w:r>
      <w:r>
        <w:rPr>
          <w:spacing w:val="-11"/>
        </w:rPr>
        <w:t> </w:t>
      </w:r>
      <w:r>
        <w:rPr/>
        <w:t>y</w:t>
      </w:r>
      <w:r>
        <w:rPr>
          <w:spacing w:val="-14"/>
        </w:rPr>
        <w:t> </w:t>
      </w:r>
      <w:r>
        <w:rPr/>
        <w:t>se</w:t>
      </w:r>
      <w:r>
        <w:rPr>
          <w:spacing w:val="-11"/>
        </w:rPr>
        <w:t> </w:t>
      </w:r>
      <w:r>
        <w:rPr/>
        <w:t>encuentra</w:t>
      </w:r>
      <w:r>
        <w:rPr>
          <w:spacing w:val="-11"/>
        </w:rPr>
        <w:t> </w:t>
      </w:r>
      <w:r>
        <w:rPr/>
        <w:t>a</w:t>
      </w:r>
      <w:r>
        <w:rPr>
          <w:spacing w:val="-11"/>
        </w:rPr>
        <w:t> </w:t>
      </w:r>
      <w:r>
        <w:rPr/>
        <w:t>disposición</w:t>
      </w:r>
      <w:r>
        <w:rPr>
          <w:spacing w:val="-13"/>
        </w:rPr>
        <w:t> </w:t>
      </w:r>
      <w:r>
        <w:rPr/>
        <w:t>de</w:t>
      </w:r>
      <w:r>
        <w:rPr>
          <w:spacing w:val="-11"/>
        </w:rPr>
        <w:t> </w:t>
      </w:r>
      <w:r>
        <w:rPr/>
        <w:t>todo</w:t>
      </w:r>
      <w:r>
        <w:rPr>
          <w:spacing w:val="-11"/>
        </w:rPr>
        <w:t> </w:t>
      </w:r>
      <w:r>
        <w:rPr/>
        <w:t>el</w:t>
      </w:r>
      <w:r>
        <w:rPr>
          <w:spacing w:val="-12"/>
        </w:rPr>
        <w:t> </w:t>
      </w:r>
      <w:r>
        <w:rPr/>
        <w:t>público.</w:t>
      </w:r>
      <w:r>
        <w:rPr>
          <w:spacing w:val="-11"/>
        </w:rPr>
        <w:t> </w:t>
      </w:r>
      <w:r>
        <w:rPr/>
        <w:t>Por</w:t>
      </w:r>
      <w:r>
        <w:rPr>
          <w:spacing w:val="-12"/>
        </w:rPr>
        <w:t> </w:t>
      </w:r>
      <w:r>
        <w:rPr/>
        <w:t>lo</w:t>
      </w:r>
      <w:r>
        <w:rPr>
          <w:spacing w:val="-11"/>
        </w:rPr>
        <w:t> </w:t>
      </w:r>
      <w:r>
        <w:rPr/>
        <w:t>que</w:t>
      </w:r>
      <w:r>
        <w:rPr>
          <w:spacing w:val="-11"/>
        </w:rPr>
        <w:t> </w:t>
      </w:r>
      <w:r>
        <w:rPr/>
        <w:t>no</w:t>
      </w:r>
      <w:r>
        <w:rPr>
          <w:spacing w:val="-11"/>
        </w:rPr>
        <w:t> </w:t>
      </w:r>
      <w:r>
        <w:rPr/>
        <w:t>habría necesidad de solicitarla por la vía del</w:t>
      </w:r>
      <w:r>
        <w:rPr>
          <w:spacing w:val="-18"/>
        </w:rPr>
        <w:t> </w:t>
      </w:r>
      <w:r>
        <w:rPr/>
        <w:t>SAIMEX.</w:t>
      </w:r>
    </w:p>
    <w:p>
      <w:pPr>
        <w:pStyle w:val="BodyText"/>
      </w:pPr>
    </w:p>
    <w:p>
      <w:pPr>
        <w:pStyle w:val="BodyText"/>
        <w:spacing w:before="3"/>
        <w:rPr>
          <w:sz w:val="26"/>
        </w:rPr>
      </w:pPr>
    </w:p>
    <w:p>
      <w:pPr>
        <w:pStyle w:val="BodyText"/>
        <w:spacing w:line="360" w:lineRule="auto" w:before="1"/>
        <w:ind w:left="108" w:right="117"/>
        <w:jc w:val="both"/>
      </w:pPr>
      <w:r>
        <w:rPr/>
        <w:t>De igual manera, la entrevistada mencionó que el perfil de los solicitantes es en ocasiones incierto debido a que solamente se puede identificar cuando acuden personalmente al municipio ya que se ve si es hombre o mujer, adulto o joven. Cuando es vía electrónica señaló:</w:t>
      </w:r>
    </w:p>
    <w:p>
      <w:pPr>
        <w:pStyle w:val="BodyText"/>
      </w:pPr>
    </w:p>
    <w:p>
      <w:pPr>
        <w:pStyle w:val="BodyText"/>
        <w:spacing w:before="5"/>
        <w:rPr>
          <w:sz w:val="26"/>
        </w:rPr>
      </w:pPr>
    </w:p>
    <w:p>
      <w:pPr>
        <w:spacing w:before="0"/>
        <w:ind w:left="1241" w:right="1112" w:firstLine="0"/>
        <w:jc w:val="both"/>
        <w:rPr>
          <w:sz w:val="18"/>
        </w:rPr>
      </w:pPr>
      <w:r>
        <w:rPr>
          <w:sz w:val="18"/>
        </w:rPr>
        <w:t>“No</w:t>
      </w:r>
      <w:r>
        <w:rPr>
          <w:spacing w:val="-7"/>
          <w:sz w:val="18"/>
        </w:rPr>
        <w:t> </w:t>
      </w:r>
      <w:r>
        <w:rPr>
          <w:sz w:val="18"/>
        </w:rPr>
        <w:t>se</w:t>
      </w:r>
      <w:r>
        <w:rPr>
          <w:spacing w:val="-10"/>
          <w:sz w:val="18"/>
        </w:rPr>
        <w:t> </w:t>
      </w:r>
      <w:r>
        <w:rPr>
          <w:sz w:val="18"/>
        </w:rPr>
        <w:t>puede</w:t>
      </w:r>
      <w:r>
        <w:rPr>
          <w:spacing w:val="-10"/>
          <w:sz w:val="18"/>
        </w:rPr>
        <w:t> </w:t>
      </w:r>
      <w:r>
        <w:rPr>
          <w:sz w:val="18"/>
        </w:rPr>
        <w:t>saber</w:t>
      </w:r>
      <w:r>
        <w:rPr>
          <w:spacing w:val="-10"/>
          <w:sz w:val="18"/>
        </w:rPr>
        <w:t> </w:t>
      </w:r>
      <w:r>
        <w:rPr>
          <w:sz w:val="18"/>
        </w:rPr>
        <w:t>quién</w:t>
      </w:r>
      <w:r>
        <w:rPr>
          <w:spacing w:val="-10"/>
          <w:sz w:val="18"/>
        </w:rPr>
        <w:t> </w:t>
      </w:r>
      <w:r>
        <w:rPr>
          <w:sz w:val="18"/>
        </w:rPr>
        <w:t>es</w:t>
      </w:r>
      <w:r>
        <w:rPr>
          <w:spacing w:val="-9"/>
          <w:sz w:val="18"/>
        </w:rPr>
        <w:t> </w:t>
      </w:r>
      <w:r>
        <w:rPr>
          <w:sz w:val="18"/>
        </w:rPr>
        <w:t>el</w:t>
      </w:r>
      <w:r>
        <w:rPr>
          <w:spacing w:val="-7"/>
          <w:sz w:val="18"/>
        </w:rPr>
        <w:t> </w:t>
      </w:r>
      <w:r>
        <w:rPr>
          <w:sz w:val="18"/>
        </w:rPr>
        <w:t>solicitante</w:t>
      </w:r>
      <w:r>
        <w:rPr>
          <w:spacing w:val="-9"/>
          <w:sz w:val="18"/>
        </w:rPr>
        <w:t> </w:t>
      </w:r>
      <w:r>
        <w:rPr>
          <w:sz w:val="18"/>
        </w:rPr>
        <w:t>porque</w:t>
      </w:r>
      <w:r>
        <w:rPr>
          <w:spacing w:val="-10"/>
          <w:sz w:val="18"/>
        </w:rPr>
        <w:t> </w:t>
      </w:r>
      <w:r>
        <w:rPr>
          <w:sz w:val="18"/>
        </w:rPr>
        <w:t>es</w:t>
      </w:r>
      <w:r>
        <w:rPr>
          <w:spacing w:val="-9"/>
          <w:sz w:val="18"/>
        </w:rPr>
        <w:t> </w:t>
      </w:r>
      <w:r>
        <w:rPr>
          <w:sz w:val="18"/>
        </w:rPr>
        <w:t>anónimo,</w:t>
      </w:r>
      <w:r>
        <w:rPr>
          <w:spacing w:val="-8"/>
          <w:sz w:val="18"/>
        </w:rPr>
        <w:t> </w:t>
      </w:r>
      <w:r>
        <w:rPr>
          <w:sz w:val="18"/>
        </w:rPr>
        <w:t>tenemos</w:t>
      </w:r>
      <w:r>
        <w:rPr>
          <w:spacing w:val="-9"/>
          <w:sz w:val="18"/>
        </w:rPr>
        <w:t> </w:t>
      </w:r>
      <w:r>
        <w:rPr>
          <w:sz w:val="18"/>
        </w:rPr>
        <w:t>solicitudes</w:t>
      </w:r>
      <w:r>
        <w:rPr>
          <w:spacing w:val="-9"/>
          <w:sz w:val="18"/>
        </w:rPr>
        <w:t> </w:t>
      </w:r>
      <w:r>
        <w:rPr>
          <w:sz w:val="18"/>
        </w:rPr>
        <w:t>de Batman, Superman, Felipe Calderón, Enrique Peña Nieto o incluso de la misma presidenta</w:t>
      </w:r>
      <w:r>
        <w:rPr>
          <w:spacing w:val="-7"/>
          <w:sz w:val="18"/>
        </w:rPr>
        <w:t> </w:t>
      </w:r>
      <w:r>
        <w:rPr>
          <w:sz w:val="18"/>
        </w:rPr>
        <w:t>municipal…en</w:t>
      </w:r>
      <w:r>
        <w:rPr>
          <w:spacing w:val="-7"/>
          <w:sz w:val="18"/>
        </w:rPr>
        <w:t> </w:t>
      </w:r>
      <w:r>
        <w:rPr>
          <w:sz w:val="18"/>
        </w:rPr>
        <w:t>ocasiones</w:t>
      </w:r>
      <w:r>
        <w:rPr>
          <w:spacing w:val="-7"/>
          <w:sz w:val="18"/>
        </w:rPr>
        <w:t> </w:t>
      </w:r>
      <w:r>
        <w:rPr>
          <w:sz w:val="18"/>
        </w:rPr>
        <w:t>podemos</w:t>
      </w:r>
      <w:r>
        <w:rPr>
          <w:spacing w:val="-7"/>
          <w:sz w:val="18"/>
        </w:rPr>
        <w:t> </w:t>
      </w:r>
      <w:r>
        <w:rPr>
          <w:sz w:val="18"/>
        </w:rPr>
        <w:t>inferir</w:t>
      </w:r>
      <w:r>
        <w:rPr>
          <w:spacing w:val="-8"/>
          <w:sz w:val="18"/>
        </w:rPr>
        <w:t> </w:t>
      </w:r>
      <w:r>
        <w:rPr>
          <w:sz w:val="18"/>
        </w:rPr>
        <w:t>que</w:t>
      </w:r>
      <w:r>
        <w:rPr>
          <w:spacing w:val="-7"/>
          <w:sz w:val="18"/>
        </w:rPr>
        <w:t> </w:t>
      </w:r>
      <w:r>
        <w:rPr>
          <w:sz w:val="18"/>
        </w:rPr>
        <w:t>son</w:t>
      </w:r>
      <w:r>
        <w:rPr>
          <w:spacing w:val="-10"/>
          <w:sz w:val="18"/>
        </w:rPr>
        <w:t> </w:t>
      </w:r>
      <w:r>
        <w:rPr>
          <w:sz w:val="18"/>
        </w:rPr>
        <w:t>grupos</w:t>
      </w:r>
      <w:r>
        <w:rPr>
          <w:spacing w:val="-7"/>
          <w:sz w:val="18"/>
        </w:rPr>
        <w:t> </w:t>
      </w:r>
      <w:r>
        <w:rPr>
          <w:sz w:val="18"/>
        </w:rPr>
        <w:t>de</w:t>
      </w:r>
      <w:r>
        <w:rPr>
          <w:spacing w:val="-7"/>
          <w:sz w:val="18"/>
        </w:rPr>
        <w:t> </w:t>
      </w:r>
      <w:r>
        <w:rPr>
          <w:sz w:val="18"/>
        </w:rPr>
        <w:t>oposición</w:t>
      </w:r>
      <w:r>
        <w:rPr>
          <w:spacing w:val="-7"/>
          <w:sz w:val="18"/>
        </w:rPr>
        <w:t> </w:t>
      </w:r>
      <w:r>
        <w:rPr>
          <w:sz w:val="18"/>
        </w:rPr>
        <w:t>por la información tan particular que</w:t>
      </w:r>
      <w:r>
        <w:rPr>
          <w:spacing w:val="-19"/>
          <w:sz w:val="18"/>
        </w:rPr>
        <w:t> </w:t>
      </w:r>
      <w:r>
        <w:rPr>
          <w:sz w:val="18"/>
        </w:rPr>
        <w:t>solicitan”</w:t>
      </w:r>
    </w:p>
    <w:p>
      <w:pPr>
        <w:pStyle w:val="BodyText"/>
        <w:rPr>
          <w:sz w:val="18"/>
        </w:rPr>
      </w:pPr>
    </w:p>
    <w:p>
      <w:pPr>
        <w:pStyle w:val="BodyText"/>
        <w:rPr>
          <w:sz w:val="18"/>
        </w:rPr>
      </w:pPr>
    </w:p>
    <w:p>
      <w:pPr>
        <w:pStyle w:val="BodyText"/>
        <w:rPr>
          <w:sz w:val="18"/>
        </w:rPr>
      </w:pPr>
    </w:p>
    <w:p>
      <w:pPr>
        <w:pStyle w:val="BodyText"/>
        <w:spacing w:line="360" w:lineRule="auto" w:before="114"/>
        <w:ind w:left="108" w:right="123"/>
        <w:jc w:val="both"/>
      </w:pPr>
      <w:r>
        <w:rPr/>
        <w:t>Esta afirmación nos permite referenciar que de manera contraria a lo que establece al CPEUM sobre el anonimato de quienes solicitan información resultaría más ventajoso que se identificaran para poder respuesta a sus peticiones ya que más adelante la entrevistada referenció</w:t>
      </w:r>
    </w:p>
    <w:p>
      <w:pPr>
        <w:pStyle w:val="BodyText"/>
      </w:pPr>
    </w:p>
    <w:p>
      <w:pPr>
        <w:pStyle w:val="BodyText"/>
      </w:pPr>
    </w:p>
    <w:p>
      <w:pPr>
        <w:spacing w:before="187"/>
        <w:ind w:left="1241" w:right="1119" w:firstLine="0"/>
        <w:jc w:val="both"/>
        <w:rPr>
          <w:sz w:val="18"/>
        </w:rPr>
      </w:pPr>
      <w:r>
        <w:rPr>
          <w:sz w:val="18"/>
        </w:rPr>
        <w:t>“no siempre se puede dar respuesta, ya que no hay correos, teléfonos o nombre verdaderos para poder hacerlo”</w:t>
      </w:r>
    </w:p>
    <w:p>
      <w:pPr>
        <w:spacing w:after="0"/>
        <w:jc w:val="both"/>
        <w:rPr>
          <w:sz w:val="18"/>
        </w:rPr>
        <w:sectPr>
          <w:pgSz w:w="12240" w:h="15840"/>
          <w:pgMar w:header="0" w:footer="1035" w:top="1360" w:bottom="1220" w:left="1500" w:right="1580"/>
        </w:sectPr>
      </w:pPr>
    </w:p>
    <w:p>
      <w:pPr>
        <w:pStyle w:val="BodyText"/>
        <w:spacing w:line="360" w:lineRule="auto" w:before="54"/>
        <w:ind w:left="128" w:right="101"/>
        <w:jc w:val="both"/>
      </w:pPr>
      <w:r>
        <w:rPr/>
        <w:t>Esta situación puede generar bajo cumplimiento de la ley y en este sentido de manera injusta ya que es el usuario quien no permite la comunicación asertiva al proporcionar datos incorrectos.</w:t>
      </w:r>
    </w:p>
    <w:p>
      <w:pPr>
        <w:pStyle w:val="BodyText"/>
      </w:pPr>
    </w:p>
    <w:p>
      <w:pPr>
        <w:pStyle w:val="BodyText"/>
      </w:pPr>
    </w:p>
    <w:p>
      <w:pPr>
        <w:pStyle w:val="BodyText"/>
        <w:spacing w:line="360" w:lineRule="auto" w:before="187"/>
        <w:ind w:left="128" w:right="6"/>
      </w:pPr>
      <w:r>
        <w:rPr/>
        <w:t>Por otra parte, es importante destacar que si no se identifica bien al usuario, no se pueden identificar claramente sus intereses, perfiles y necesidades de información. Actividades básicas para mejorar la calidad del servicio que se ofrece.</w:t>
      </w:r>
    </w:p>
    <w:p>
      <w:pPr>
        <w:pStyle w:val="BodyText"/>
      </w:pPr>
    </w:p>
    <w:p>
      <w:pPr>
        <w:pStyle w:val="BodyText"/>
        <w:spacing w:before="8"/>
        <w:rPr>
          <w:sz w:val="29"/>
        </w:rPr>
      </w:pPr>
    </w:p>
    <w:p>
      <w:pPr>
        <w:pStyle w:val="Heading1"/>
        <w:numPr>
          <w:ilvl w:val="2"/>
          <w:numId w:val="47"/>
        </w:numPr>
        <w:tabs>
          <w:tab w:pos="837" w:val="left" w:leader="none"/>
        </w:tabs>
        <w:spacing w:line="240" w:lineRule="auto" w:before="0" w:after="0"/>
        <w:ind w:left="836" w:right="0" w:hanging="720"/>
        <w:jc w:val="both"/>
      </w:pPr>
      <w:r>
        <w:rPr/>
        <w:t>Marco</w:t>
      </w:r>
      <w:r>
        <w:rPr>
          <w:spacing w:val="-7"/>
        </w:rPr>
        <w:t> </w:t>
      </w:r>
      <w:r>
        <w:rPr/>
        <w:t>normativo</w:t>
      </w:r>
    </w:p>
    <w:p>
      <w:pPr>
        <w:pStyle w:val="BodyText"/>
        <w:rPr>
          <w:b/>
        </w:rPr>
      </w:pPr>
    </w:p>
    <w:p>
      <w:pPr>
        <w:pStyle w:val="BodyText"/>
        <w:rPr>
          <w:b/>
        </w:rPr>
      </w:pPr>
    </w:p>
    <w:p>
      <w:pPr>
        <w:pStyle w:val="BodyText"/>
        <w:spacing w:line="360" w:lineRule="auto"/>
        <w:ind w:left="128" w:right="100"/>
        <w:jc w:val="both"/>
      </w:pPr>
      <w:r>
        <w:rPr/>
        <w:t>En el marco normativo que publican los municipios en sus portales web existen diferencias considerables de un portal a otro. De manera resumida, en la siguiente tabla se muestra la información que publican los 125 municipios. De lado izquierdo se muestra el documento normativo publicado en el portal web y en el lado derecho el número de municipios que la consideran.</w:t>
      </w:r>
    </w:p>
    <w:p>
      <w:pPr>
        <w:pStyle w:val="BodyText"/>
        <w:rPr>
          <w:sz w:val="20"/>
        </w:rPr>
      </w:pPr>
    </w:p>
    <w:p>
      <w:pPr>
        <w:pStyle w:val="BodyText"/>
        <w:spacing w:before="5" w:after="1"/>
        <w:rPr>
          <w:sz w:val="16"/>
        </w:rPr>
      </w:pPr>
    </w:p>
    <w:tbl>
      <w:tblPr>
        <w:tblW w:w="0" w:type="auto"/>
        <w:jc w:val="left"/>
        <w:tblInd w:w="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497"/>
        <w:gridCol w:w="1906"/>
      </w:tblGrid>
      <w:tr>
        <w:trPr>
          <w:trHeight w:val="320" w:hRule="exact"/>
        </w:trPr>
        <w:tc>
          <w:tcPr>
            <w:tcW w:w="7403" w:type="dxa"/>
            <w:gridSpan w:val="2"/>
            <w:shd w:val="clear" w:color="auto" w:fill="92D050"/>
          </w:tcPr>
          <w:p>
            <w:pPr>
              <w:pStyle w:val="TableParagraph"/>
              <w:spacing w:line="202" w:lineRule="exact"/>
              <w:ind w:left="643"/>
              <w:jc w:val="left"/>
              <w:rPr>
                <w:b/>
                <w:sz w:val="18"/>
              </w:rPr>
            </w:pPr>
            <w:r>
              <w:rPr>
                <w:b/>
                <w:sz w:val="18"/>
              </w:rPr>
              <w:t>Tabla 3.2. Normativa que publican los municipios del Estado de México</w:t>
            </w:r>
          </w:p>
        </w:tc>
      </w:tr>
      <w:tr>
        <w:trPr>
          <w:trHeight w:val="631" w:hRule="exact"/>
        </w:trPr>
        <w:tc>
          <w:tcPr>
            <w:tcW w:w="5497" w:type="dxa"/>
            <w:shd w:val="clear" w:color="auto" w:fill="92D050"/>
          </w:tcPr>
          <w:p>
            <w:pPr>
              <w:pStyle w:val="TableParagraph"/>
              <w:spacing w:before="7"/>
              <w:jc w:val="left"/>
              <w:rPr>
                <w:sz w:val="26"/>
              </w:rPr>
            </w:pPr>
          </w:p>
          <w:p>
            <w:pPr>
              <w:pStyle w:val="TableParagraph"/>
              <w:ind w:left="1336"/>
              <w:jc w:val="left"/>
              <w:rPr>
                <w:b/>
                <w:sz w:val="18"/>
              </w:rPr>
            </w:pPr>
            <w:r>
              <w:rPr>
                <w:b/>
                <w:sz w:val="18"/>
              </w:rPr>
              <w:t>Documento normativo publicado</w:t>
            </w:r>
          </w:p>
        </w:tc>
        <w:tc>
          <w:tcPr>
            <w:tcW w:w="1906" w:type="dxa"/>
            <w:shd w:val="clear" w:color="auto" w:fill="92D050"/>
          </w:tcPr>
          <w:p>
            <w:pPr>
              <w:pStyle w:val="TableParagraph"/>
              <w:spacing w:line="360" w:lineRule="auto"/>
              <w:ind w:left="175" w:right="159" w:hanging="8"/>
              <w:jc w:val="left"/>
              <w:rPr>
                <w:b/>
                <w:sz w:val="18"/>
              </w:rPr>
            </w:pPr>
            <w:r>
              <w:rPr>
                <w:b/>
                <w:sz w:val="18"/>
              </w:rPr>
              <w:t>No. de municipios que lo consideran</w:t>
            </w:r>
          </w:p>
        </w:tc>
      </w:tr>
      <w:tr>
        <w:trPr>
          <w:trHeight w:val="322" w:hRule="exact"/>
        </w:trPr>
        <w:tc>
          <w:tcPr>
            <w:tcW w:w="5497" w:type="dxa"/>
          </w:tcPr>
          <w:p>
            <w:pPr>
              <w:pStyle w:val="TableParagraph"/>
              <w:spacing w:line="206" w:lineRule="exact"/>
              <w:ind w:left="103"/>
              <w:jc w:val="left"/>
              <w:rPr>
                <w:sz w:val="18"/>
              </w:rPr>
            </w:pPr>
            <w:r>
              <w:rPr>
                <w:sz w:val="18"/>
              </w:rPr>
              <w:t>Constitución Política de los Estados Unidos Mexicanos.</w:t>
            </w:r>
          </w:p>
        </w:tc>
        <w:tc>
          <w:tcPr>
            <w:tcW w:w="1906" w:type="dxa"/>
          </w:tcPr>
          <w:p>
            <w:pPr>
              <w:pStyle w:val="TableParagraph"/>
              <w:spacing w:line="206" w:lineRule="exact"/>
              <w:ind w:left="776" w:right="779"/>
              <w:rPr>
                <w:sz w:val="18"/>
              </w:rPr>
            </w:pPr>
            <w:r>
              <w:rPr>
                <w:sz w:val="18"/>
              </w:rPr>
              <w:t>125</w:t>
            </w:r>
          </w:p>
        </w:tc>
      </w:tr>
      <w:tr>
        <w:trPr>
          <w:trHeight w:val="319" w:hRule="exact"/>
        </w:trPr>
        <w:tc>
          <w:tcPr>
            <w:tcW w:w="5497" w:type="dxa"/>
          </w:tcPr>
          <w:p>
            <w:pPr>
              <w:pStyle w:val="TableParagraph"/>
              <w:spacing w:line="206" w:lineRule="exact"/>
              <w:ind w:left="103"/>
              <w:jc w:val="left"/>
              <w:rPr>
                <w:sz w:val="18"/>
              </w:rPr>
            </w:pPr>
            <w:r>
              <w:rPr>
                <w:sz w:val="18"/>
              </w:rPr>
              <w:t>Tratados Internacionales.</w:t>
            </w:r>
          </w:p>
        </w:tc>
        <w:tc>
          <w:tcPr>
            <w:tcW w:w="1906" w:type="dxa"/>
          </w:tcPr>
          <w:p>
            <w:pPr>
              <w:pStyle w:val="TableParagraph"/>
              <w:spacing w:line="206" w:lineRule="exact"/>
              <w:ind w:right="4"/>
              <w:rPr>
                <w:sz w:val="18"/>
              </w:rPr>
            </w:pPr>
            <w:r>
              <w:rPr>
                <w:w w:val="99"/>
                <w:sz w:val="18"/>
              </w:rPr>
              <w:t>5</w:t>
            </w:r>
          </w:p>
        </w:tc>
      </w:tr>
      <w:tr>
        <w:trPr>
          <w:trHeight w:val="322" w:hRule="exact"/>
        </w:trPr>
        <w:tc>
          <w:tcPr>
            <w:tcW w:w="5497" w:type="dxa"/>
          </w:tcPr>
          <w:p>
            <w:pPr>
              <w:pStyle w:val="TableParagraph"/>
              <w:spacing w:before="1"/>
              <w:ind w:left="103"/>
              <w:jc w:val="left"/>
              <w:rPr>
                <w:sz w:val="18"/>
              </w:rPr>
            </w:pPr>
            <w:r>
              <w:rPr>
                <w:sz w:val="18"/>
              </w:rPr>
              <w:t>Leyes Federales.</w:t>
            </w:r>
          </w:p>
        </w:tc>
        <w:tc>
          <w:tcPr>
            <w:tcW w:w="1906" w:type="dxa"/>
          </w:tcPr>
          <w:p>
            <w:pPr>
              <w:pStyle w:val="TableParagraph"/>
              <w:spacing w:before="1"/>
              <w:ind w:left="776" w:right="779"/>
              <w:rPr>
                <w:sz w:val="18"/>
              </w:rPr>
            </w:pPr>
            <w:r>
              <w:rPr>
                <w:sz w:val="18"/>
              </w:rPr>
              <w:t>125</w:t>
            </w:r>
          </w:p>
        </w:tc>
      </w:tr>
      <w:tr>
        <w:trPr>
          <w:trHeight w:val="319" w:hRule="exact"/>
        </w:trPr>
        <w:tc>
          <w:tcPr>
            <w:tcW w:w="5497" w:type="dxa"/>
          </w:tcPr>
          <w:p>
            <w:pPr>
              <w:pStyle w:val="TableParagraph"/>
              <w:spacing w:line="206" w:lineRule="exact"/>
              <w:ind w:left="103"/>
              <w:jc w:val="left"/>
              <w:rPr>
                <w:sz w:val="18"/>
              </w:rPr>
            </w:pPr>
            <w:r>
              <w:rPr>
                <w:sz w:val="18"/>
              </w:rPr>
              <w:t>Constitución Política del Estado Libre y Soberano de México.</w:t>
            </w:r>
          </w:p>
        </w:tc>
        <w:tc>
          <w:tcPr>
            <w:tcW w:w="1906" w:type="dxa"/>
          </w:tcPr>
          <w:p>
            <w:pPr>
              <w:pStyle w:val="TableParagraph"/>
              <w:spacing w:line="206" w:lineRule="exact"/>
              <w:ind w:left="776" w:right="779"/>
              <w:rPr>
                <w:sz w:val="18"/>
              </w:rPr>
            </w:pPr>
            <w:r>
              <w:rPr>
                <w:sz w:val="18"/>
              </w:rPr>
              <w:t>125</w:t>
            </w:r>
          </w:p>
        </w:tc>
      </w:tr>
      <w:tr>
        <w:trPr>
          <w:trHeight w:val="322" w:hRule="exact"/>
        </w:trPr>
        <w:tc>
          <w:tcPr>
            <w:tcW w:w="5497" w:type="dxa"/>
          </w:tcPr>
          <w:p>
            <w:pPr>
              <w:pStyle w:val="TableParagraph"/>
              <w:spacing w:before="1"/>
              <w:ind w:left="103"/>
              <w:jc w:val="left"/>
              <w:rPr>
                <w:sz w:val="18"/>
              </w:rPr>
            </w:pPr>
            <w:r>
              <w:rPr>
                <w:sz w:val="18"/>
              </w:rPr>
              <w:t>Leyes Locales</w:t>
            </w:r>
          </w:p>
        </w:tc>
        <w:tc>
          <w:tcPr>
            <w:tcW w:w="1906" w:type="dxa"/>
          </w:tcPr>
          <w:p>
            <w:pPr>
              <w:pStyle w:val="TableParagraph"/>
              <w:spacing w:before="1"/>
              <w:ind w:left="776" w:right="779"/>
              <w:rPr>
                <w:sz w:val="18"/>
              </w:rPr>
            </w:pPr>
            <w:r>
              <w:rPr>
                <w:sz w:val="18"/>
              </w:rPr>
              <w:t>99</w:t>
            </w:r>
          </w:p>
        </w:tc>
      </w:tr>
      <w:tr>
        <w:trPr>
          <w:trHeight w:val="319" w:hRule="exact"/>
        </w:trPr>
        <w:tc>
          <w:tcPr>
            <w:tcW w:w="5497" w:type="dxa"/>
          </w:tcPr>
          <w:p>
            <w:pPr>
              <w:pStyle w:val="TableParagraph"/>
              <w:spacing w:line="206" w:lineRule="exact"/>
              <w:ind w:left="103"/>
              <w:jc w:val="left"/>
              <w:rPr>
                <w:sz w:val="18"/>
              </w:rPr>
            </w:pPr>
            <w:r>
              <w:rPr>
                <w:sz w:val="18"/>
              </w:rPr>
              <w:t>Códigos.</w:t>
            </w:r>
          </w:p>
        </w:tc>
        <w:tc>
          <w:tcPr>
            <w:tcW w:w="1906" w:type="dxa"/>
          </w:tcPr>
          <w:p>
            <w:pPr>
              <w:pStyle w:val="TableParagraph"/>
              <w:spacing w:line="206" w:lineRule="exact"/>
              <w:ind w:left="776" w:right="779"/>
              <w:rPr>
                <w:sz w:val="18"/>
              </w:rPr>
            </w:pPr>
            <w:r>
              <w:rPr>
                <w:sz w:val="18"/>
              </w:rPr>
              <w:t>83</w:t>
            </w:r>
          </w:p>
        </w:tc>
      </w:tr>
      <w:tr>
        <w:trPr>
          <w:trHeight w:val="322" w:hRule="exact"/>
        </w:trPr>
        <w:tc>
          <w:tcPr>
            <w:tcW w:w="5497" w:type="dxa"/>
          </w:tcPr>
          <w:p>
            <w:pPr>
              <w:pStyle w:val="TableParagraph"/>
              <w:spacing w:before="1"/>
              <w:ind w:left="103"/>
              <w:jc w:val="left"/>
              <w:rPr>
                <w:sz w:val="18"/>
              </w:rPr>
            </w:pPr>
            <w:r>
              <w:rPr>
                <w:sz w:val="18"/>
              </w:rPr>
              <w:t>Reglamentos.</w:t>
            </w:r>
          </w:p>
        </w:tc>
        <w:tc>
          <w:tcPr>
            <w:tcW w:w="1906" w:type="dxa"/>
          </w:tcPr>
          <w:p>
            <w:pPr>
              <w:pStyle w:val="TableParagraph"/>
              <w:spacing w:before="1"/>
              <w:ind w:left="776" w:right="779"/>
              <w:rPr>
                <w:sz w:val="18"/>
              </w:rPr>
            </w:pPr>
            <w:r>
              <w:rPr>
                <w:sz w:val="18"/>
              </w:rPr>
              <w:t>92</w:t>
            </w:r>
          </w:p>
        </w:tc>
      </w:tr>
      <w:tr>
        <w:trPr>
          <w:trHeight w:val="322" w:hRule="exact"/>
        </w:trPr>
        <w:tc>
          <w:tcPr>
            <w:tcW w:w="5497" w:type="dxa"/>
          </w:tcPr>
          <w:p>
            <w:pPr>
              <w:pStyle w:val="TableParagraph"/>
              <w:spacing w:line="206" w:lineRule="exact"/>
              <w:ind w:left="103"/>
              <w:jc w:val="left"/>
              <w:rPr>
                <w:sz w:val="18"/>
              </w:rPr>
            </w:pPr>
            <w:r>
              <w:rPr>
                <w:sz w:val="18"/>
              </w:rPr>
              <w:t>Decretos.</w:t>
            </w:r>
          </w:p>
        </w:tc>
        <w:tc>
          <w:tcPr>
            <w:tcW w:w="1906" w:type="dxa"/>
          </w:tcPr>
          <w:p>
            <w:pPr>
              <w:pStyle w:val="TableParagraph"/>
              <w:spacing w:line="206" w:lineRule="exact"/>
              <w:ind w:left="776" w:right="779"/>
              <w:rPr>
                <w:sz w:val="18"/>
              </w:rPr>
            </w:pPr>
            <w:r>
              <w:rPr>
                <w:sz w:val="18"/>
              </w:rPr>
              <w:t>36</w:t>
            </w:r>
          </w:p>
        </w:tc>
      </w:tr>
      <w:tr>
        <w:trPr>
          <w:trHeight w:val="320" w:hRule="exact"/>
        </w:trPr>
        <w:tc>
          <w:tcPr>
            <w:tcW w:w="5497" w:type="dxa"/>
          </w:tcPr>
          <w:p>
            <w:pPr>
              <w:pStyle w:val="TableParagraph"/>
              <w:spacing w:line="207" w:lineRule="exact"/>
              <w:ind w:left="103"/>
              <w:jc w:val="left"/>
              <w:rPr>
                <w:sz w:val="18"/>
              </w:rPr>
            </w:pPr>
            <w:r>
              <w:rPr>
                <w:sz w:val="18"/>
              </w:rPr>
              <w:t>Acuerdos.</w:t>
            </w:r>
          </w:p>
        </w:tc>
        <w:tc>
          <w:tcPr>
            <w:tcW w:w="1906" w:type="dxa"/>
          </w:tcPr>
          <w:p>
            <w:pPr>
              <w:pStyle w:val="TableParagraph"/>
              <w:spacing w:line="207" w:lineRule="exact"/>
              <w:ind w:left="776" w:right="779"/>
              <w:rPr>
                <w:sz w:val="18"/>
              </w:rPr>
            </w:pPr>
            <w:r>
              <w:rPr>
                <w:sz w:val="18"/>
              </w:rPr>
              <w:t>27</w:t>
            </w:r>
          </w:p>
        </w:tc>
      </w:tr>
      <w:tr>
        <w:trPr>
          <w:trHeight w:val="322" w:hRule="exact"/>
        </w:trPr>
        <w:tc>
          <w:tcPr>
            <w:tcW w:w="5497" w:type="dxa"/>
          </w:tcPr>
          <w:p>
            <w:pPr>
              <w:pStyle w:val="TableParagraph"/>
              <w:spacing w:line="206" w:lineRule="exact"/>
              <w:ind w:left="103"/>
              <w:jc w:val="left"/>
              <w:rPr>
                <w:sz w:val="18"/>
              </w:rPr>
            </w:pPr>
            <w:r>
              <w:rPr>
                <w:sz w:val="18"/>
              </w:rPr>
              <w:t>Manuales de procedimientos.</w:t>
            </w:r>
          </w:p>
        </w:tc>
        <w:tc>
          <w:tcPr>
            <w:tcW w:w="1906" w:type="dxa"/>
          </w:tcPr>
          <w:p>
            <w:pPr>
              <w:pStyle w:val="TableParagraph"/>
              <w:spacing w:line="206" w:lineRule="exact"/>
              <w:ind w:left="776" w:right="779"/>
              <w:rPr>
                <w:sz w:val="18"/>
              </w:rPr>
            </w:pPr>
            <w:r>
              <w:rPr>
                <w:sz w:val="18"/>
              </w:rPr>
              <w:t>49</w:t>
            </w:r>
          </w:p>
        </w:tc>
      </w:tr>
      <w:tr>
        <w:trPr>
          <w:trHeight w:val="319" w:hRule="exact"/>
        </w:trPr>
        <w:tc>
          <w:tcPr>
            <w:tcW w:w="5497" w:type="dxa"/>
          </w:tcPr>
          <w:p>
            <w:pPr>
              <w:pStyle w:val="TableParagraph"/>
              <w:spacing w:line="206" w:lineRule="exact"/>
              <w:ind w:left="103"/>
              <w:jc w:val="left"/>
              <w:rPr>
                <w:sz w:val="18"/>
              </w:rPr>
            </w:pPr>
            <w:r>
              <w:rPr>
                <w:sz w:val="18"/>
              </w:rPr>
              <w:t>Manuales de organización.</w:t>
            </w:r>
          </w:p>
        </w:tc>
        <w:tc>
          <w:tcPr>
            <w:tcW w:w="1906" w:type="dxa"/>
          </w:tcPr>
          <w:p>
            <w:pPr>
              <w:pStyle w:val="TableParagraph"/>
              <w:spacing w:line="206" w:lineRule="exact"/>
              <w:ind w:left="776" w:right="779"/>
              <w:rPr>
                <w:sz w:val="18"/>
              </w:rPr>
            </w:pPr>
            <w:r>
              <w:rPr>
                <w:sz w:val="18"/>
              </w:rPr>
              <w:t>57</w:t>
            </w:r>
          </w:p>
        </w:tc>
      </w:tr>
      <w:tr>
        <w:trPr>
          <w:trHeight w:val="322" w:hRule="exact"/>
        </w:trPr>
        <w:tc>
          <w:tcPr>
            <w:tcW w:w="5497" w:type="dxa"/>
          </w:tcPr>
          <w:p>
            <w:pPr>
              <w:pStyle w:val="TableParagraph"/>
              <w:spacing w:line="206" w:lineRule="exact"/>
              <w:ind w:left="103"/>
              <w:jc w:val="left"/>
              <w:rPr>
                <w:sz w:val="18"/>
              </w:rPr>
            </w:pPr>
            <w:r>
              <w:rPr>
                <w:sz w:val="18"/>
              </w:rPr>
              <w:t>Otros manuales.</w:t>
            </w:r>
          </w:p>
        </w:tc>
        <w:tc>
          <w:tcPr>
            <w:tcW w:w="1906" w:type="dxa"/>
          </w:tcPr>
          <w:p>
            <w:pPr>
              <w:pStyle w:val="TableParagraph"/>
              <w:spacing w:line="206" w:lineRule="exact"/>
              <w:ind w:left="776" w:right="779"/>
              <w:rPr>
                <w:sz w:val="18"/>
              </w:rPr>
            </w:pPr>
            <w:r>
              <w:rPr>
                <w:sz w:val="18"/>
              </w:rPr>
              <w:t>23</w:t>
            </w:r>
          </w:p>
        </w:tc>
      </w:tr>
      <w:tr>
        <w:trPr>
          <w:trHeight w:val="319" w:hRule="exact"/>
        </w:trPr>
        <w:tc>
          <w:tcPr>
            <w:tcW w:w="5497" w:type="dxa"/>
          </w:tcPr>
          <w:p>
            <w:pPr>
              <w:pStyle w:val="TableParagraph"/>
              <w:spacing w:line="206" w:lineRule="exact"/>
              <w:ind w:left="103"/>
              <w:jc w:val="left"/>
              <w:rPr>
                <w:sz w:val="18"/>
              </w:rPr>
            </w:pPr>
            <w:r>
              <w:rPr>
                <w:sz w:val="18"/>
              </w:rPr>
              <w:t>Circulares.</w:t>
            </w:r>
          </w:p>
        </w:tc>
        <w:tc>
          <w:tcPr>
            <w:tcW w:w="1906" w:type="dxa"/>
          </w:tcPr>
          <w:p>
            <w:pPr>
              <w:pStyle w:val="TableParagraph"/>
              <w:spacing w:line="206" w:lineRule="exact"/>
              <w:ind w:left="776" w:right="779"/>
              <w:rPr>
                <w:sz w:val="18"/>
              </w:rPr>
            </w:pPr>
            <w:r>
              <w:rPr>
                <w:sz w:val="18"/>
              </w:rPr>
              <w:t>10</w:t>
            </w:r>
          </w:p>
        </w:tc>
      </w:tr>
      <w:tr>
        <w:trPr>
          <w:trHeight w:val="322" w:hRule="exact"/>
        </w:trPr>
        <w:tc>
          <w:tcPr>
            <w:tcW w:w="5497" w:type="dxa"/>
          </w:tcPr>
          <w:p>
            <w:pPr>
              <w:pStyle w:val="TableParagraph"/>
              <w:spacing w:line="206" w:lineRule="exact"/>
              <w:ind w:left="103"/>
              <w:jc w:val="left"/>
              <w:rPr>
                <w:sz w:val="18"/>
              </w:rPr>
            </w:pPr>
            <w:r>
              <w:rPr>
                <w:sz w:val="18"/>
              </w:rPr>
              <w:t>Otras disposiciones normativas.</w:t>
            </w:r>
          </w:p>
        </w:tc>
        <w:tc>
          <w:tcPr>
            <w:tcW w:w="1906" w:type="dxa"/>
          </w:tcPr>
          <w:p>
            <w:pPr>
              <w:pStyle w:val="TableParagraph"/>
              <w:spacing w:line="206" w:lineRule="exact"/>
              <w:ind w:left="776" w:right="779"/>
              <w:rPr>
                <w:sz w:val="18"/>
              </w:rPr>
            </w:pPr>
            <w:r>
              <w:rPr>
                <w:sz w:val="18"/>
              </w:rPr>
              <w:t>61</w:t>
            </w:r>
          </w:p>
        </w:tc>
      </w:tr>
    </w:tbl>
    <w:p>
      <w:pPr>
        <w:spacing w:line="180" w:lineRule="exact" w:before="0"/>
        <w:ind w:left="1001" w:right="6" w:firstLine="0"/>
        <w:jc w:val="left"/>
        <w:rPr>
          <w:sz w:val="16"/>
        </w:rPr>
      </w:pPr>
      <w:r>
        <w:rPr>
          <w:sz w:val="16"/>
        </w:rPr>
        <w:t>Fuente: Elaboración propia con datos del INFOEM.</w:t>
      </w:r>
    </w:p>
    <w:p>
      <w:pPr>
        <w:spacing w:after="0" w:line="180" w:lineRule="exact"/>
        <w:jc w:val="left"/>
        <w:rPr>
          <w:sz w:val="16"/>
        </w:rPr>
        <w:sectPr>
          <w:pgSz w:w="12240" w:h="15840"/>
          <w:pgMar w:header="0" w:footer="1035" w:top="1360" w:bottom="1220" w:left="1480" w:right="1600"/>
        </w:sectPr>
      </w:pPr>
    </w:p>
    <w:p>
      <w:pPr>
        <w:pStyle w:val="BodyText"/>
        <w:spacing w:line="362" w:lineRule="auto" w:before="54"/>
        <w:ind w:left="108" w:right="6"/>
      </w:pPr>
      <w:r>
        <w:rPr/>
        <w:t>Tal</w:t>
      </w:r>
      <w:r>
        <w:rPr>
          <w:spacing w:val="-11"/>
        </w:rPr>
        <w:t> </w:t>
      </w:r>
      <w:r>
        <w:rPr/>
        <w:t>como</w:t>
      </w:r>
      <w:r>
        <w:rPr>
          <w:spacing w:val="-9"/>
        </w:rPr>
        <w:t> </w:t>
      </w:r>
      <w:r>
        <w:rPr/>
        <w:t>se</w:t>
      </w:r>
      <w:r>
        <w:rPr>
          <w:spacing w:val="-9"/>
        </w:rPr>
        <w:t> </w:t>
      </w:r>
      <w:r>
        <w:rPr/>
        <w:t>puede</w:t>
      </w:r>
      <w:r>
        <w:rPr>
          <w:spacing w:val="-9"/>
        </w:rPr>
        <w:t> </w:t>
      </w:r>
      <w:r>
        <w:rPr/>
        <w:t>observar</w:t>
      </w:r>
      <w:r>
        <w:rPr>
          <w:spacing w:val="-8"/>
        </w:rPr>
        <w:t> </w:t>
      </w:r>
      <w:r>
        <w:rPr/>
        <w:t>en</w:t>
      </w:r>
      <w:r>
        <w:rPr>
          <w:spacing w:val="-7"/>
        </w:rPr>
        <w:t> </w:t>
      </w:r>
      <w:r>
        <w:rPr/>
        <w:t>la</w:t>
      </w:r>
      <w:r>
        <w:rPr>
          <w:spacing w:val="-10"/>
        </w:rPr>
        <w:t> </w:t>
      </w:r>
      <w:r>
        <w:rPr/>
        <w:t>tabla</w:t>
      </w:r>
      <w:r>
        <w:rPr>
          <w:spacing w:val="-10"/>
        </w:rPr>
        <w:t> </w:t>
      </w:r>
      <w:r>
        <w:rPr/>
        <w:t>anterior</w:t>
      </w:r>
      <w:r>
        <w:rPr>
          <w:spacing w:val="-8"/>
        </w:rPr>
        <w:t> </w:t>
      </w:r>
      <w:r>
        <w:rPr/>
        <w:t>no</w:t>
      </w:r>
      <w:r>
        <w:rPr>
          <w:spacing w:val="-9"/>
        </w:rPr>
        <w:t> </w:t>
      </w:r>
      <w:r>
        <w:rPr/>
        <w:t>existe</w:t>
      </w:r>
      <w:r>
        <w:rPr>
          <w:spacing w:val="-9"/>
        </w:rPr>
        <w:t> </w:t>
      </w:r>
      <w:r>
        <w:rPr/>
        <w:t>uniformidad</w:t>
      </w:r>
      <w:r>
        <w:rPr>
          <w:spacing w:val="-9"/>
        </w:rPr>
        <w:t> </w:t>
      </w:r>
      <w:r>
        <w:rPr/>
        <w:t>en</w:t>
      </w:r>
      <w:r>
        <w:rPr>
          <w:spacing w:val="-9"/>
        </w:rPr>
        <w:t> </w:t>
      </w:r>
      <w:r>
        <w:rPr/>
        <w:t>cuanto</w:t>
      </w:r>
      <w:r>
        <w:rPr>
          <w:spacing w:val="-9"/>
        </w:rPr>
        <w:t> </w:t>
      </w:r>
      <w:r>
        <w:rPr/>
        <w:t>a</w:t>
      </w:r>
      <w:r>
        <w:rPr>
          <w:spacing w:val="-7"/>
        </w:rPr>
        <w:t> </w:t>
      </w:r>
      <w:r>
        <w:rPr/>
        <w:t>la información que publican los municipios, de tal modo</w:t>
      </w:r>
      <w:r>
        <w:rPr>
          <w:spacing w:val="-16"/>
        </w:rPr>
        <w:t> </w:t>
      </w:r>
      <w:r>
        <w:rPr/>
        <w:t>que:</w:t>
      </w:r>
    </w:p>
    <w:p>
      <w:pPr>
        <w:pStyle w:val="BodyText"/>
      </w:pPr>
    </w:p>
    <w:p>
      <w:pPr>
        <w:pStyle w:val="ListParagraph"/>
        <w:numPr>
          <w:ilvl w:val="0"/>
          <w:numId w:val="48"/>
        </w:numPr>
        <w:tabs>
          <w:tab w:pos="535" w:val="left" w:leader="none"/>
          <w:tab w:pos="536" w:val="left" w:leader="none"/>
        </w:tabs>
        <w:spacing w:line="240" w:lineRule="auto" w:before="140" w:after="0"/>
        <w:ind w:left="535" w:right="0" w:hanging="360"/>
        <w:jc w:val="left"/>
        <w:rPr>
          <w:sz w:val="24"/>
        </w:rPr>
      </w:pPr>
      <w:r>
        <w:rPr>
          <w:sz w:val="24"/>
        </w:rPr>
        <w:t>100% publica la Constitución Política de los Estados Unidos</w:t>
      </w:r>
      <w:r>
        <w:rPr>
          <w:spacing w:val="-21"/>
          <w:sz w:val="24"/>
        </w:rPr>
        <w:t> </w:t>
      </w:r>
      <w:r>
        <w:rPr>
          <w:sz w:val="24"/>
        </w:rPr>
        <w:t>Mexicanos.</w:t>
      </w:r>
    </w:p>
    <w:p>
      <w:pPr>
        <w:pStyle w:val="ListParagraph"/>
        <w:numPr>
          <w:ilvl w:val="0"/>
          <w:numId w:val="48"/>
        </w:numPr>
        <w:tabs>
          <w:tab w:pos="535" w:val="left" w:leader="none"/>
          <w:tab w:pos="536" w:val="left" w:leader="none"/>
        </w:tabs>
        <w:spacing w:line="240" w:lineRule="auto" w:before="135" w:after="0"/>
        <w:ind w:left="535" w:right="0" w:hanging="360"/>
        <w:jc w:val="left"/>
        <w:rPr>
          <w:sz w:val="24"/>
        </w:rPr>
      </w:pPr>
      <w:r>
        <w:rPr>
          <w:sz w:val="24"/>
        </w:rPr>
        <w:t>100% publica la Constitución Política de los Estados Unidos</w:t>
      </w:r>
      <w:r>
        <w:rPr>
          <w:spacing w:val="-24"/>
          <w:sz w:val="24"/>
        </w:rPr>
        <w:t> </w:t>
      </w:r>
      <w:r>
        <w:rPr>
          <w:sz w:val="24"/>
        </w:rPr>
        <w:t>Mexicanos.</w:t>
      </w:r>
    </w:p>
    <w:p>
      <w:pPr>
        <w:pStyle w:val="ListParagraph"/>
        <w:numPr>
          <w:ilvl w:val="0"/>
          <w:numId w:val="48"/>
        </w:numPr>
        <w:tabs>
          <w:tab w:pos="536" w:val="left" w:leader="none"/>
        </w:tabs>
        <w:spacing w:line="355" w:lineRule="auto" w:before="135" w:after="0"/>
        <w:ind w:left="535" w:right="118" w:hanging="360"/>
        <w:jc w:val="both"/>
        <w:rPr>
          <w:sz w:val="24"/>
        </w:rPr>
      </w:pPr>
      <w:r>
        <w:rPr>
          <w:sz w:val="24"/>
        </w:rPr>
        <w:t>4% publica los tratados internaciones. Siendo estos Naucalpan de Juárez, Otumba, Ocoyoacac, Juchitepec y Capulhuac. En tanto que 119 municipios no publican ni un solo tratado internacional, es decir</w:t>
      </w:r>
      <w:r>
        <w:rPr>
          <w:spacing w:val="-15"/>
          <w:sz w:val="24"/>
        </w:rPr>
        <w:t> </w:t>
      </w:r>
      <w:r>
        <w:rPr>
          <w:sz w:val="24"/>
        </w:rPr>
        <w:t>96%.</w:t>
      </w:r>
    </w:p>
    <w:p>
      <w:pPr>
        <w:pStyle w:val="BodyText"/>
      </w:pPr>
    </w:p>
    <w:p>
      <w:pPr>
        <w:pStyle w:val="ListParagraph"/>
        <w:numPr>
          <w:ilvl w:val="0"/>
          <w:numId w:val="48"/>
        </w:numPr>
        <w:tabs>
          <w:tab w:pos="536" w:val="left" w:leader="none"/>
        </w:tabs>
        <w:spacing w:line="357" w:lineRule="auto" w:before="148" w:after="0"/>
        <w:ind w:left="535" w:right="116" w:hanging="360"/>
        <w:jc w:val="both"/>
        <w:rPr>
          <w:sz w:val="24"/>
        </w:rPr>
      </w:pPr>
      <w:r>
        <w:rPr>
          <w:sz w:val="24"/>
        </w:rPr>
        <w:t>100%</w:t>
      </w:r>
      <w:r>
        <w:rPr>
          <w:spacing w:val="-21"/>
          <w:sz w:val="24"/>
        </w:rPr>
        <w:t> </w:t>
      </w:r>
      <w:r>
        <w:rPr>
          <w:sz w:val="24"/>
        </w:rPr>
        <w:t>publica</w:t>
      </w:r>
      <w:r>
        <w:rPr>
          <w:spacing w:val="-20"/>
          <w:sz w:val="24"/>
        </w:rPr>
        <w:t> </w:t>
      </w:r>
      <w:r>
        <w:rPr>
          <w:sz w:val="24"/>
        </w:rPr>
        <w:t>algunas</w:t>
      </w:r>
      <w:r>
        <w:rPr>
          <w:spacing w:val="-21"/>
          <w:sz w:val="24"/>
        </w:rPr>
        <w:t> </w:t>
      </w:r>
      <w:r>
        <w:rPr>
          <w:sz w:val="24"/>
        </w:rPr>
        <w:t>leyes</w:t>
      </w:r>
      <w:r>
        <w:rPr>
          <w:spacing w:val="-21"/>
          <w:sz w:val="24"/>
        </w:rPr>
        <w:t> </w:t>
      </w:r>
      <w:r>
        <w:rPr>
          <w:sz w:val="24"/>
        </w:rPr>
        <w:t>federales,</w:t>
      </w:r>
      <w:r>
        <w:rPr>
          <w:spacing w:val="-20"/>
          <w:sz w:val="24"/>
        </w:rPr>
        <w:t> </w:t>
      </w:r>
      <w:r>
        <w:rPr>
          <w:sz w:val="24"/>
        </w:rPr>
        <w:t>destacando</w:t>
      </w:r>
      <w:r>
        <w:rPr>
          <w:spacing w:val="-20"/>
          <w:sz w:val="24"/>
        </w:rPr>
        <w:t> </w:t>
      </w:r>
      <w:r>
        <w:rPr>
          <w:sz w:val="24"/>
        </w:rPr>
        <w:t>el</w:t>
      </w:r>
      <w:r>
        <w:rPr>
          <w:spacing w:val="-21"/>
          <w:sz w:val="24"/>
        </w:rPr>
        <w:t> </w:t>
      </w:r>
      <w:r>
        <w:rPr>
          <w:sz w:val="24"/>
        </w:rPr>
        <w:t>municipio</w:t>
      </w:r>
      <w:r>
        <w:rPr>
          <w:spacing w:val="-20"/>
          <w:sz w:val="24"/>
        </w:rPr>
        <w:t> </w:t>
      </w:r>
      <w:r>
        <w:rPr>
          <w:sz w:val="24"/>
        </w:rPr>
        <w:t>de</w:t>
      </w:r>
      <w:r>
        <w:rPr>
          <w:spacing w:val="-20"/>
          <w:sz w:val="24"/>
        </w:rPr>
        <w:t> </w:t>
      </w:r>
      <w:r>
        <w:rPr>
          <w:sz w:val="24"/>
        </w:rPr>
        <w:t>Soyaniquilpan de</w:t>
      </w:r>
      <w:r>
        <w:rPr>
          <w:spacing w:val="-18"/>
          <w:sz w:val="24"/>
        </w:rPr>
        <w:t> </w:t>
      </w:r>
      <w:r>
        <w:rPr>
          <w:sz w:val="24"/>
        </w:rPr>
        <w:t>Juárez</w:t>
      </w:r>
      <w:r>
        <w:rPr>
          <w:spacing w:val="-21"/>
          <w:sz w:val="24"/>
        </w:rPr>
        <w:t> </w:t>
      </w:r>
      <w:r>
        <w:rPr>
          <w:sz w:val="24"/>
        </w:rPr>
        <w:t>como</w:t>
      </w:r>
      <w:r>
        <w:rPr>
          <w:spacing w:val="-20"/>
          <w:sz w:val="24"/>
        </w:rPr>
        <w:t> </w:t>
      </w:r>
      <w:r>
        <w:rPr>
          <w:sz w:val="24"/>
        </w:rPr>
        <w:t>el</w:t>
      </w:r>
      <w:r>
        <w:rPr>
          <w:spacing w:val="-19"/>
          <w:sz w:val="24"/>
        </w:rPr>
        <w:t> </w:t>
      </w:r>
      <w:r>
        <w:rPr>
          <w:sz w:val="24"/>
        </w:rPr>
        <w:t>que</w:t>
      </w:r>
      <w:r>
        <w:rPr>
          <w:spacing w:val="-20"/>
          <w:sz w:val="24"/>
        </w:rPr>
        <w:t> </w:t>
      </w:r>
      <w:r>
        <w:rPr>
          <w:sz w:val="24"/>
        </w:rPr>
        <w:t>más</w:t>
      </w:r>
      <w:r>
        <w:rPr>
          <w:spacing w:val="-21"/>
          <w:sz w:val="24"/>
        </w:rPr>
        <w:t> </w:t>
      </w:r>
      <w:r>
        <w:rPr>
          <w:sz w:val="24"/>
        </w:rPr>
        <w:t>publica</w:t>
      </w:r>
      <w:r>
        <w:rPr>
          <w:spacing w:val="-18"/>
          <w:sz w:val="24"/>
        </w:rPr>
        <w:t> </w:t>
      </w:r>
      <w:r>
        <w:rPr>
          <w:sz w:val="24"/>
        </w:rPr>
        <w:t>leyes</w:t>
      </w:r>
      <w:r>
        <w:rPr>
          <w:spacing w:val="-21"/>
          <w:sz w:val="24"/>
        </w:rPr>
        <w:t> </w:t>
      </w:r>
      <w:r>
        <w:rPr>
          <w:sz w:val="24"/>
        </w:rPr>
        <w:t>federales</w:t>
      </w:r>
      <w:r>
        <w:rPr>
          <w:spacing w:val="-19"/>
          <w:sz w:val="24"/>
        </w:rPr>
        <w:t> </w:t>
      </w:r>
      <w:r>
        <w:rPr>
          <w:sz w:val="24"/>
        </w:rPr>
        <w:t>con</w:t>
      </w:r>
      <w:r>
        <w:rPr>
          <w:spacing w:val="-20"/>
          <w:sz w:val="24"/>
        </w:rPr>
        <w:t> </w:t>
      </w:r>
      <w:r>
        <w:rPr>
          <w:sz w:val="24"/>
        </w:rPr>
        <w:t>un</w:t>
      </w:r>
      <w:r>
        <w:rPr>
          <w:spacing w:val="-18"/>
          <w:sz w:val="24"/>
        </w:rPr>
        <w:t> </w:t>
      </w:r>
      <w:r>
        <w:rPr>
          <w:sz w:val="24"/>
        </w:rPr>
        <w:t>total</w:t>
      </w:r>
      <w:r>
        <w:rPr>
          <w:spacing w:val="-19"/>
          <w:sz w:val="24"/>
        </w:rPr>
        <w:t> </w:t>
      </w:r>
      <w:r>
        <w:rPr>
          <w:sz w:val="24"/>
        </w:rPr>
        <w:t>de</w:t>
      </w:r>
      <w:r>
        <w:rPr>
          <w:spacing w:val="-18"/>
          <w:sz w:val="24"/>
        </w:rPr>
        <w:t> </w:t>
      </w:r>
      <w:r>
        <w:rPr>
          <w:sz w:val="24"/>
        </w:rPr>
        <w:t>88.</w:t>
      </w:r>
      <w:r>
        <w:rPr>
          <w:spacing w:val="-18"/>
          <w:sz w:val="24"/>
        </w:rPr>
        <w:t> </w:t>
      </w:r>
      <w:r>
        <w:rPr>
          <w:sz w:val="24"/>
        </w:rPr>
        <w:t>De</w:t>
      </w:r>
      <w:r>
        <w:rPr>
          <w:spacing w:val="-18"/>
          <w:sz w:val="24"/>
        </w:rPr>
        <w:t> </w:t>
      </w:r>
      <w:r>
        <w:rPr>
          <w:sz w:val="24"/>
        </w:rPr>
        <w:t>manera contrastante aparecen 43 municipios publican tan solo tres leyes federales y 26 más no publican ninguna ley</w:t>
      </w:r>
      <w:r>
        <w:rPr>
          <w:spacing w:val="-11"/>
          <w:sz w:val="24"/>
        </w:rPr>
        <w:t> </w:t>
      </w:r>
      <w:r>
        <w:rPr>
          <w:sz w:val="24"/>
        </w:rPr>
        <w:t>federal.</w:t>
      </w:r>
    </w:p>
    <w:p>
      <w:pPr>
        <w:pStyle w:val="BodyText"/>
      </w:pPr>
    </w:p>
    <w:p>
      <w:pPr>
        <w:pStyle w:val="ListParagraph"/>
        <w:numPr>
          <w:ilvl w:val="0"/>
          <w:numId w:val="48"/>
        </w:numPr>
        <w:tabs>
          <w:tab w:pos="535" w:val="left" w:leader="none"/>
          <w:tab w:pos="536" w:val="left" w:leader="none"/>
        </w:tabs>
        <w:spacing w:line="240" w:lineRule="auto" w:before="145" w:after="0"/>
        <w:ind w:left="535" w:right="0" w:hanging="360"/>
        <w:jc w:val="left"/>
        <w:rPr>
          <w:sz w:val="24"/>
        </w:rPr>
      </w:pPr>
      <w:r>
        <w:rPr>
          <w:sz w:val="24"/>
        </w:rPr>
        <w:t>100% publica la Constitución Política del Estado Libre y Soberano de</w:t>
      </w:r>
      <w:r>
        <w:rPr>
          <w:spacing w:val="-32"/>
          <w:sz w:val="24"/>
        </w:rPr>
        <w:t> </w:t>
      </w:r>
      <w:r>
        <w:rPr>
          <w:sz w:val="24"/>
        </w:rPr>
        <w:t>México.</w:t>
      </w:r>
    </w:p>
    <w:p>
      <w:pPr>
        <w:pStyle w:val="BodyText"/>
      </w:pPr>
    </w:p>
    <w:p>
      <w:pPr>
        <w:pStyle w:val="BodyText"/>
        <w:spacing w:before="10"/>
        <w:rPr>
          <w:sz w:val="23"/>
        </w:rPr>
      </w:pPr>
    </w:p>
    <w:p>
      <w:pPr>
        <w:pStyle w:val="ListParagraph"/>
        <w:numPr>
          <w:ilvl w:val="0"/>
          <w:numId w:val="48"/>
        </w:numPr>
        <w:tabs>
          <w:tab w:pos="536" w:val="left" w:leader="none"/>
        </w:tabs>
        <w:spacing w:line="357" w:lineRule="auto" w:before="0" w:after="0"/>
        <w:ind w:left="535" w:right="119" w:hanging="360"/>
        <w:jc w:val="both"/>
        <w:rPr>
          <w:sz w:val="24"/>
        </w:rPr>
      </w:pPr>
      <w:r>
        <w:rPr>
          <w:sz w:val="24"/>
        </w:rPr>
        <w:t>79.2%</w:t>
      </w:r>
      <w:r>
        <w:rPr>
          <w:spacing w:val="-9"/>
          <w:sz w:val="24"/>
        </w:rPr>
        <w:t> </w:t>
      </w:r>
      <w:r>
        <w:rPr>
          <w:sz w:val="24"/>
        </w:rPr>
        <w:t>publica</w:t>
      </w:r>
      <w:r>
        <w:rPr>
          <w:spacing w:val="-6"/>
          <w:sz w:val="24"/>
        </w:rPr>
        <w:t> </w:t>
      </w:r>
      <w:r>
        <w:rPr>
          <w:sz w:val="24"/>
        </w:rPr>
        <w:t>las</w:t>
      </w:r>
      <w:r>
        <w:rPr>
          <w:spacing w:val="-6"/>
          <w:sz w:val="24"/>
        </w:rPr>
        <w:t> </w:t>
      </w:r>
      <w:r>
        <w:rPr>
          <w:sz w:val="24"/>
        </w:rPr>
        <w:t>leyes</w:t>
      </w:r>
      <w:r>
        <w:rPr>
          <w:spacing w:val="-7"/>
          <w:sz w:val="24"/>
        </w:rPr>
        <w:t> </w:t>
      </w:r>
      <w:r>
        <w:rPr>
          <w:sz w:val="24"/>
        </w:rPr>
        <w:t>locales.</w:t>
      </w:r>
      <w:r>
        <w:rPr>
          <w:spacing w:val="-6"/>
          <w:sz w:val="24"/>
        </w:rPr>
        <w:t> </w:t>
      </w:r>
      <w:r>
        <w:rPr>
          <w:sz w:val="24"/>
        </w:rPr>
        <w:t>Siendo</w:t>
      </w:r>
      <w:r>
        <w:rPr>
          <w:spacing w:val="-6"/>
          <w:sz w:val="24"/>
        </w:rPr>
        <w:t> </w:t>
      </w:r>
      <w:r>
        <w:rPr>
          <w:sz w:val="24"/>
        </w:rPr>
        <w:t>Chicoloapan</w:t>
      </w:r>
      <w:r>
        <w:rPr>
          <w:spacing w:val="-6"/>
          <w:sz w:val="24"/>
        </w:rPr>
        <w:t> </w:t>
      </w:r>
      <w:r>
        <w:rPr>
          <w:sz w:val="24"/>
        </w:rPr>
        <w:t>el</w:t>
      </w:r>
      <w:r>
        <w:rPr>
          <w:spacing w:val="-10"/>
          <w:sz w:val="24"/>
        </w:rPr>
        <w:t> </w:t>
      </w:r>
      <w:r>
        <w:rPr>
          <w:sz w:val="24"/>
        </w:rPr>
        <w:t>municipio</w:t>
      </w:r>
      <w:r>
        <w:rPr>
          <w:spacing w:val="-6"/>
          <w:sz w:val="24"/>
        </w:rPr>
        <w:t> </w:t>
      </w:r>
      <w:r>
        <w:rPr>
          <w:sz w:val="24"/>
        </w:rPr>
        <w:t>que</w:t>
      </w:r>
      <w:r>
        <w:rPr>
          <w:spacing w:val="-6"/>
          <w:sz w:val="24"/>
        </w:rPr>
        <w:t> </w:t>
      </w:r>
      <w:r>
        <w:rPr>
          <w:sz w:val="24"/>
        </w:rPr>
        <w:t>más</w:t>
      </w:r>
      <w:r>
        <w:rPr>
          <w:spacing w:val="-7"/>
          <w:sz w:val="24"/>
        </w:rPr>
        <w:t> </w:t>
      </w:r>
      <w:r>
        <w:rPr>
          <w:sz w:val="24"/>
        </w:rPr>
        <w:t>leyes locales publica con un total de 131. Le sigue Teoloyucan con 44 leyes locales publicadas. En contraste, municipios como Atizapán, San Antonio la Isla, Tezoyuca, Tlalmanalco y Zumpanhuacan publican solo una de estas leyes. Un total de 33 municipios publica menos de diez leyes locales, destacando que 26 municipios no reportaron ninguna ley</w:t>
      </w:r>
      <w:r>
        <w:rPr>
          <w:spacing w:val="-18"/>
          <w:sz w:val="24"/>
        </w:rPr>
        <w:t> </w:t>
      </w:r>
      <w:r>
        <w:rPr>
          <w:sz w:val="24"/>
        </w:rPr>
        <w:t>local.</w:t>
      </w:r>
    </w:p>
    <w:p>
      <w:pPr>
        <w:pStyle w:val="BodyText"/>
        <w:spacing w:before="7"/>
        <w:rPr>
          <w:sz w:val="26"/>
        </w:rPr>
      </w:pPr>
    </w:p>
    <w:p>
      <w:pPr>
        <w:pStyle w:val="ListParagraph"/>
        <w:numPr>
          <w:ilvl w:val="0"/>
          <w:numId w:val="48"/>
        </w:numPr>
        <w:tabs>
          <w:tab w:pos="536" w:val="left" w:leader="none"/>
        </w:tabs>
        <w:spacing w:line="357" w:lineRule="auto" w:before="0" w:after="0"/>
        <w:ind w:left="535" w:right="117" w:hanging="360"/>
        <w:jc w:val="both"/>
        <w:rPr>
          <w:sz w:val="24"/>
        </w:rPr>
      </w:pPr>
      <w:r>
        <w:rPr>
          <w:sz w:val="24"/>
        </w:rPr>
        <w:t>66.4% publica códigos administrativos. Casi la mitad de ellos (41 municipios) publica cinco códigos o menos. Mientras que Tlalnepantla de Baz y Tecamac, son quienes más códigos publican, con 16 y 15 respectivamente. En contraste, 42 municipios no publicaron códigos</w:t>
      </w:r>
      <w:r>
        <w:rPr>
          <w:spacing w:val="-16"/>
          <w:sz w:val="24"/>
        </w:rPr>
        <w:t> </w:t>
      </w:r>
      <w:r>
        <w:rPr>
          <w:sz w:val="24"/>
        </w:rPr>
        <w:t>administrativos.</w:t>
      </w:r>
    </w:p>
    <w:p>
      <w:pPr>
        <w:pStyle w:val="BodyText"/>
        <w:spacing w:before="4"/>
        <w:rPr>
          <w:sz w:val="26"/>
        </w:rPr>
      </w:pPr>
    </w:p>
    <w:p>
      <w:pPr>
        <w:pStyle w:val="ListParagraph"/>
        <w:numPr>
          <w:ilvl w:val="0"/>
          <w:numId w:val="48"/>
        </w:numPr>
        <w:tabs>
          <w:tab w:pos="536" w:val="left" w:leader="none"/>
        </w:tabs>
        <w:spacing w:line="357" w:lineRule="auto" w:before="0" w:after="0"/>
        <w:ind w:left="535" w:right="121" w:hanging="360"/>
        <w:jc w:val="both"/>
        <w:rPr>
          <w:sz w:val="24"/>
        </w:rPr>
      </w:pPr>
      <w:r>
        <w:rPr>
          <w:sz w:val="24"/>
        </w:rPr>
        <w:t>73.6% publican reglamentos. Siendo Chalco el que más publica con 97 reglamentos. En contraste, Acolman, Cocotitlán, Donato Guerra, Ixtapaluca, Luvianos,</w:t>
      </w:r>
      <w:r>
        <w:rPr>
          <w:spacing w:val="-8"/>
          <w:sz w:val="24"/>
        </w:rPr>
        <w:t> </w:t>
      </w:r>
      <w:r>
        <w:rPr>
          <w:sz w:val="24"/>
        </w:rPr>
        <w:t>Melchor</w:t>
      </w:r>
      <w:r>
        <w:rPr>
          <w:spacing w:val="-10"/>
          <w:sz w:val="24"/>
        </w:rPr>
        <w:t> </w:t>
      </w:r>
      <w:r>
        <w:rPr>
          <w:sz w:val="24"/>
        </w:rPr>
        <w:t>Ocampo,</w:t>
      </w:r>
      <w:r>
        <w:rPr>
          <w:spacing w:val="-8"/>
          <w:sz w:val="24"/>
        </w:rPr>
        <w:t> </w:t>
      </w:r>
      <w:r>
        <w:rPr>
          <w:sz w:val="24"/>
        </w:rPr>
        <w:t>Mexicatlzingo,</w:t>
      </w:r>
      <w:r>
        <w:rPr>
          <w:spacing w:val="-8"/>
          <w:sz w:val="24"/>
        </w:rPr>
        <w:t> </w:t>
      </w:r>
      <w:r>
        <w:rPr>
          <w:sz w:val="24"/>
        </w:rPr>
        <w:t>Temoaya,</w:t>
      </w:r>
      <w:r>
        <w:rPr>
          <w:spacing w:val="-11"/>
          <w:sz w:val="24"/>
        </w:rPr>
        <w:t> </w:t>
      </w:r>
      <w:r>
        <w:rPr>
          <w:sz w:val="24"/>
        </w:rPr>
        <w:t>Tepotzotlán</w:t>
      </w:r>
      <w:r>
        <w:rPr>
          <w:spacing w:val="-10"/>
          <w:sz w:val="24"/>
        </w:rPr>
        <w:t> </w:t>
      </w:r>
      <w:r>
        <w:rPr>
          <w:sz w:val="24"/>
        </w:rPr>
        <w:t>y</w:t>
      </w:r>
      <w:r>
        <w:rPr>
          <w:spacing w:val="-11"/>
          <w:sz w:val="24"/>
        </w:rPr>
        <w:t> </w:t>
      </w:r>
      <w:r>
        <w:rPr>
          <w:sz w:val="24"/>
        </w:rPr>
        <w:t>el</w:t>
      </w:r>
      <w:r>
        <w:rPr>
          <w:spacing w:val="-12"/>
          <w:sz w:val="24"/>
        </w:rPr>
        <w:t> </w:t>
      </w:r>
      <w:r>
        <w:rPr>
          <w:sz w:val="24"/>
        </w:rPr>
        <w:t>municipio de Morelos publicaron solo uno y 33 municipios no publicaron</w:t>
      </w:r>
      <w:r>
        <w:rPr>
          <w:spacing w:val="-15"/>
          <w:sz w:val="24"/>
        </w:rPr>
        <w:t> </w:t>
      </w:r>
      <w:r>
        <w:rPr>
          <w:sz w:val="24"/>
        </w:rPr>
        <w:t>ninguno.</w:t>
      </w:r>
    </w:p>
    <w:p>
      <w:pPr>
        <w:spacing w:after="0" w:line="357" w:lineRule="auto"/>
        <w:jc w:val="both"/>
        <w:rPr>
          <w:sz w:val="24"/>
        </w:rPr>
        <w:sectPr>
          <w:pgSz w:w="12240" w:h="15840"/>
          <w:pgMar w:header="0" w:footer="1035" w:top="1360" w:bottom="1220" w:left="1500" w:right="1580"/>
        </w:sectPr>
      </w:pPr>
    </w:p>
    <w:p>
      <w:pPr>
        <w:pStyle w:val="BodyText"/>
        <w:spacing w:before="9"/>
        <w:rPr>
          <w:sz w:val="13"/>
        </w:rPr>
      </w:pPr>
    </w:p>
    <w:p>
      <w:pPr>
        <w:pStyle w:val="ListParagraph"/>
        <w:numPr>
          <w:ilvl w:val="0"/>
          <w:numId w:val="48"/>
        </w:numPr>
        <w:tabs>
          <w:tab w:pos="536" w:val="left" w:leader="none"/>
        </w:tabs>
        <w:spacing w:line="355" w:lineRule="auto" w:before="56" w:after="0"/>
        <w:ind w:left="535" w:right="117" w:hanging="360"/>
        <w:jc w:val="both"/>
        <w:rPr>
          <w:sz w:val="24"/>
        </w:rPr>
      </w:pPr>
      <w:r>
        <w:rPr>
          <w:sz w:val="24"/>
        </w:rPr>
        <w:t>28.8%</w:t>
      </w:r>
      <w:r>
        <w:rPr>
          <w:spacing w:val="-9"/>
          <w:sz w:val="24"/>
        </w:rPr>
        <w:t> </w:t>
      </w:r>
      <w:r>
        <w:rPr>
          <w:sz w:val="24"/>
        </w:rPr>
        <w:t>publica</w:t>
      </w:r>
      <w:r>
        <w:rPr>
          <w:spacing w:val="-9"/>
          <w:sz w:val="24"/>
        </w:rPr>
        <w:t> </w:t>
      </w:r>
      <w:r>
        <w:rPr>
          <w:sz w:val="24"/>
        </w:rPr>
        <w:t>decretos.</w:t>
      </w:r>
      <w:r>
        <w:rPr>
          <w:spacing w:val="-7"/>
          <w:sz w:val="24"/>
        </w:rPr>
        <w:t> </w:t>
      </w:r>
      <w:r>
        <w:rPr>
          <w:sz w:val="24"/>
        </w:rPr>
        <w:t>Mientras</w:t>
      </w:r>
      <w:r>
        <w:rPr>
          <w:spacing w:val="-9"/>
          <w:sz w:val="24"/>
        </w:rPr>
        <w:t> </w:t>
      </w:r>
      <w:r>
        <w:rPr>
          <w:sz w:val="24"/>
        </w:rPr>
        <w:t>que</w:t>
      </w:r>
      <w:r>
        <w:rPr>
          <w:spacing w:val="-9"/>
          <w:sz w:val="24"/>
        </w:rPr>
        <w:t> </w:t>
      </w:r>
      <w:r>
        <w:rPr>
          <w:sz w:val="24"/>
        </w:rPr>
        <w:t>el</w:t>
      </w:r>
      <w:r>
        <w:rPr>
          <w:spacing w:val="-8"/>
          <w:sz w:val="24"/>
        </w:rPr>
        <w:t> </w:t>
      </w:r>
      <w:r>
        <w:rPr>
          <w:sz w:val="24"/>
        </w:rPr>
        <w:t>80.5%</w:t>
      </w:r>
      <w:r>
        <w:rPr>
          <w:spacing w:val="-8"/>
          <w:sz w:val="24"/>
        </w:rPr>
        <w:t> </w:t>
      </w:r>
      <w:r>
        <w:rPr>
          <w:sz w:val="24"/>
        </w:rPr>
        <w:t>de</w:t>
      </w:r>
      <w:r>
        <w:rPr>
          <w:spacing w:val="-9"/>
          <w:sz w:val="24"/>
        </w:rPr>
        <w:t> </w:t>
      </w:r>
      <w:r>
        <w:rPr>
          <w:sz w:val="24"/>
        </w:rPr>
        <w:t>ellos</w:t>
      </w:r>
      <w:r>
        <w:rPr>
          <w:spacing w:val="-9"/>
          <w:sz w:val="24"/>
        </w:rPr>
        <w:t> </w:t>
      </w:r>
      <w:r>
        <w:rPr>
          <w:sz w:val="24"/>
        </w:rPr>
        <w:t>(29</w:t>
      </w:r>
      <w:r>
        <w:rPr>
          <w:spacing w:val="-4"/>
          <w:sz w:val="24"/>
        </w:rPr>
        <w:t> </w:t>
      </w:r>
      <w:r>
        <w:rPr>
          <w:sz w:val="24"/>
        </w:rPr>
        <w:t>municipios)</w:t>
      </w:r>
      <w:r>
        <w:rPr>
          <w:spacing w:val="-8"/>
          <w:sz w:val="24"/>
        </w:rPr>
        <w:t> </w:t>
      </w:r>
      <w:r>
        <w:rPr>
          <w:sz w:val="24"/>
        </w:rPr>
        <w:t>publican menos de tres decretos, San José del Rincón destaca con 19 decretos publicados y 33 municipios no publicaron ningún</w:t>
      </w:r>
      <w:r>
        <w:rPr>
          <w:spacing w:val="-20"/>
          <w:sz w:val="24"/>
        </w:rPr>
        <w:t> </w:t>
      </w:r>
      <w:r>
        <w:rPr>
          <w:sz w:val="24"/>
        </w:rPr>
        <w:t>decreto.</w:t>
      </w:r>
    </w:p>
    <w:p>
      <w:pPr>
        <w:pStyle w:val="ListParagraph"/>
        <w:numPr>
          <w:ilvl w:val="0"/>
          <w:numId w:val="48"/>
        </w:numPr>
        <w:tabs>
          <w:tab w:pos="536" w:val="left" w:leader="none"/>
        </w:tabs>
        <w:spacing w:line="355" w:lineRule="auto" w:before="11" w:after="0"/>
        <w:ind w:left="535" w:right="116" w:hanging="360"/>
        <w:jc w:val="both"/>
        <w:rPr>
          <w:sz w:val="24"/>
        </w:rPr>
      </w:pPr>
      <w:r>
        <w:rPr>
          <w:sz w:val="24"/>
        </w:rPr>
        <w:t>21.6% publica acuerdos. 18 de un total de 27 municipios publican tres o menos acuerdos y 97 municipios no publicaron ninguno. Por su parte, Tlalnepantla de Baz es quien más acuerdos publica con 41 de estos</w:t>
      </w:r>
      <w:r>
        <w:rPr>
          <w:spacing w:val="-20"/>
          <w:sz w:val="24"/>
        </w:rPr>
        <w:t> </w:t>
      </w:r>
      <w:r>
        <w:rPr>
          <w:sz w:val="24"/>
        </w:rPr>
        <w:t>documentos.</w:t>
      </w:r>
    </w:p>
    <w:p>
      <w:pPr>
        <w:pStyle w:val="BodyText"/>
      </w:pPr>
    </w:p>
    <w:p>
      <w:pPr>
        <w:pStyle w:val="ListParagraph"/>
        <w:numPr>
          <w:ilvl w:val="0"/>
          <w:numId w:val="48"/>
        </w:numPr>
        <w:tabs>
          <w:tab w:pos="536" w:val="left" w:leader="none"/>
        </w:tabs>
        <w:spacing w:line="357" w:lineRule="auto" w:before="148" w:after="0"/>
        <w:ind w:left="535" w:right="115" w:hanging="360"/>
        <w:jc w:val="both"/>
        <w:rPr>
          <w:sz w:val="24"/>
        </w:rPr>
      </w:pPr>
      <w:r>
        <w:rPr>
          <w:sz w:val="24"/>
        </w:rPr>
        <w:t>39.2% publica manuales de procedimientos. El 55% de ellos (27 municipios) publican menos de tres manuales y 75 municipios no publicaron ninguno; mientras que Tlalnepantla y Naucalpan son quienes más documentos de este tipo publican (con 50 y 47 manuales</w:t>
      </w:r>
      <w:r>
        <w:rPr>
          <w:spacing w:val="-20"/>
          <w:sz w:val="24"/>
        </w:rPr>
        <w:t> </w:t>
      </w:r>
      <w:r>
        <w:rPr>
          <w:sz w:val="24"/>
        </w:rPr>
        <w:t>respectivamente)</w:t>
      </w:r>
    </w:p>
    <w:p>
      <w:pPr>
        <w:pStyle w:val="BodyText"/>
      </w:pPr>
    </w:p>
    <w:p>
      <w:pPr>
        <w:pStyle w:val="ListParagraph"/>
        <w:numPr>
          <w:ilvl w:val="0"/>
          <w:numId w:val="48"/>
        </w:numPr>
        <w:tabs>
          <w:tab w:pos="536" w:val="left" w:leader="none"/>
        </w:tabs>
        <w:spacing w:line="357" w:lineRule="auto" w:before="145" w:after="0"/>
        <w:ind w:left="535" w:right="118" w:hanging="360"/>
        <w:jc w:val="both"/>
        <w:rPr>
          <w:sz w:val="24"/>
        </w:rPr>
      </w:pPr>
      <w:r>
        <w:rPr>
          <w:sz w:val="24"/>
        </w:rPr>
        <w:t>45.6% publican manuales de organización. En este rubro nuevamente destaca Tlalnepantla con 73 manuales publicados; mientras que el 42.1% de estos municipios publican solo uno o dos manuales de organización y 67 municipios que no publicaron ningún tipo de</w:t>
      </w:r>
      <w:r>
        <w:rPr>
          <w:spacing w:val="-18"/>
          <w:sz w:val="24"/>
        </w:rPr>
        <w:t> </w:t>
      </w:r>
      <w:r>
        <w:rPr>
          <w:sz w:val="24"/>
        </w:rPr>
        <w:t>manual.</w:t>
      </w:r>
    </w:p>
    <w:p>
      <w:pPr>
        <w:pStyle w:val="BodyText"/>
      </w:pPr>
    </w:p>
    <w:p>
      <w:pPr>
        <w:pStyle w:val="ListParagraph"/>
        <w:numPr>
          <w:ilvl w:val="0"/>
          <w:numId w:val="48"/>
        </w:numPr>
        <w:tabs>
          <w:tab w:pos="536" w:val="left" w:leader="none"/>
        </w:tabs>
        <w:spacing w:line="355" w:lineRule="auto" w:before="145" w:after="0"/>
        <w:ind w:left="535" w:right="117" w:hanging="360"/>
        <w:jc w:val="both"/>
        <w:rPr>
          <w:sz w:val="24"/>
        </w:rPr>
      </w:pPr>
      <w:r>
        <w:rPr>
          <w:sz w:val="24"/>
        </w:rPr>
        <w:t>18.4%</w:t>
      </w:r>
      <w:r>
        <w:rPr>
          <w:spacing w:val="-8"/>
          <w:sz w:val="24"/>
        </w:rPr>
        <w:t> </w:t>
      </w:r>
      <w:r>
        <w:rPr>
          <w:sz w:val="24"/>
        </w:rPr>
        <w:t>publican</w:t>
      </w:r>
      <w:r>
        <w:rPr>
          <w:spacing w:val="-6"/>
          <w:sz w:val="24"/>
        </w:rPr>
        <w:t> </w:t>
      </w:r>
      <w:r>
        <w:rPr>
          <w:sz w:val="24"/>
        </w:rPr>
        <w:t>otros</w:t>
      </w:r>
      <w:r>
        <w:rPr>
          <w:spacing w:val="-9"/>
          <w:sz w:val="24"/>
        </w:rPr>
        <w:t> </w:t>
      </w:r>
      <w:r>
        <w:rPr>
          <w:sz w:val="24"/>
        </w:rPr>
        <w:t>manuales.</w:t>
      </w:r>
      <w:r>
        <w:rPr>
          <w:spacing w:val="-6"/>
          <w:sz w:val="24"/>
        </w:rPr>
        <w:t> </w:t>
      </w:r>
      <w:r>
        <w:rPr>
          <w:sz w:val="24"/>
        </w:rPr>
        <w:t>Es</w:t>
      </w:r>
      <w:r>
        <w:rPr>
          <w:spacing w:val="-7"/>
          <w:sz w:val="24"/>
        </w:rPr>
        <w:t> </w:t>
      </w:r>
      <w:r>
        <w:rPr>
          <w:sz w:val="24"/>
        </w:rPr>
        <w:t>decir,</w:t>
      </w:r>
      <w:r>
        <w:rPr>
          <w:spacing w:val="-3"/>
          <w:sz w:val="24"/>
        </w:rPr>
        <w:t> </w:t>
      </w:r>
      <w:r>
        <w:rPr>
          <w:sz w:val="24"/>
        </w:rPr>
        <w:t>3</w:t>
      </w:r>
      <w:r>
        <w:rPr>
          <w:spacing w:val="-8"/>
          <w:sz w:val="24"/>
        </w:rPr>
        <w:t> </w:t>
      </w:r>
      <w:r>
        <w:rPr>
          <w:sz w:val="24"/>
        </w:rPr>
        <w:t>de</w:t>
      </w:r>
      <w:r>
        <w:rPr>
          <w:spacing w:val="-6"/>
          <w:sz w:val="24"/>
        </w:rPr>
        <w:t> </w:t>
      </w:r>
      <w:r>
        <w:rPr>
          <w:sz w:val="24"/>
        </w:rPr>
        <w:t>los</w:t>
      </w:r>
      <w:r>
        <w:rPr>
          <w:spacing w:val="-6"/>
          <w:sz w:val="24"/>
        </w:rPr>
        <w:t> </w:t>
      </w:r>
      <w:r>
        <w:rPr>
          <w:sz w:val="24"/>
        </w:rPr>
        <w:t>125</w:t>
      </w:r>
      <w:r>
        <w:rPr>
          <w:spacing w:val="-6"/>
          <w:sz w:val="24"/>
        </w:rPr>
        <w:t> </w:t>
      </w:r>
      <w:r>
        <w:rPr>
          <w:sz w:val="24"/>
        </w:rPr>
        <w:t>municipios</w:t>
      </w:r>
      <w:r>
        <w:rPr>
          <w:spacing w:val="-9"/>
          <w:sz w:val="24"/>
        </w:rPr>
        <w:t> </w:t>
      </w:r>
      <w:r>
        <w:rPr>
          <w:sz w:val="24"/>
        </w:rPr>
        <w:t>publican</w:t>
      </w:r>
      <w:r>
        <w:rPr>
          <w:spacing w:val="-8"/>
          <w:sz w:val="24"/>
        </w:rPr>
        <w:t> </w:t>
      </w:r>
      <w:r>
        <w:rPr>
          <w:sz w:val="24"/>
        </w:rPr>
        <w:t>otros manuales. Es de resaltar que 101 municipios no publicaron este tipo de información.</w:t>
      </w:r>
    </w:p>
    <w:p>
      <w:pPr>
        <w:pStyle w:val="BodyText"/>
      </w:pPr>
    </w:p>
    <w:p>
      <w:pPr>
        <w:pStyle w:val="ListParagraph"/>
        <w:numPr>
          <w:ilvl w:val="0"/>
          <w:numId w:val="48"/>
        </w:numPr>
        <w:tabs>
          <w:tab w:pos="536" w:val="left" w:leader="none"/>
        </w:tabs>
        <w:spacing w:line="355" w:lineRule="auto" w:before="148" w:after="0"/>
        <w:ind w:left="535" w:right="119" w:hanging="360"/>
        <w:jc w:val="both"/>
        <w:rPr>
          <w:sz w:val="24"/>
        </w:rPr>
      </w:pPr>
      <w:r>
        <w:rPr>
          <w:sz w:val="24"/>
        </w:rPr>
        <w:t>8% publican circulares. Únicamente 10 municipios publican circulares; destaca Nezahualcóyotl</w:t>
      </w:r>
      <w:r>
        <w:rPr>
          <w:spacing w:val="-10"/>
          <w:sz w:val="24"/>
        </w:rPr>
        <w:t> </w:t>
      </w:r>
      <w:r>
        <w:rPr>
          <w:sz w:val="24"/>
        </w:rPr>
        <w:t>con</w:t>
      </w:r>
      <w:r>
        <w:rPr>
          <w:spacing w:val="-12"/>
          <w:sz w:val="24"/>
        </w:rPr>
        <w:t> </w:t>
      </w:r>
      <w:r>
        <w:rPr>
          <w:sz w:val="24"/>
        </w:rPr>
        <w:t>47</w:t>
      </w:r>
      <w:r>
        <w:rPr>
          <w:spacing w:val="-12"/>
          <w:sz w:val="24"/>
        </w:rPr>
        <w:t> </w:t>
      </w:r>
      <w:r>
        <w:rPr>
          <w:sz w:val="24"/>
        </w:rPr>
        <w:t>circulares,</w:t>
      </w:r>
      <w:r>
        <w:rPr>
          <w:spacing w:val="-10"/>
          <w:sz w:val="24"/>
        </w:rPr>
        <w:t> </w:t>
      </w:r>
      <w:r>
        <w:rPr>
          <w:sz w:val="24"/>
        </w:rPr>
        <w:t>mientras</w:t>
      </w:r>
      <w:r>
        <w:rPr>
          <w:spacing w:val="-6"/>
          <w:sz w:val="24"/>
        </w:rPr>
        <w:t> </w:t>
      </w:r>
      <w:r>
        <w:rPr>
          <w:sz w:val="24"/>
        </w:rPr>
        <w:t>que</w:t>
      </w:r>
      <w:r>
        <w:rPr>
          <w:spacing w:val="-9"/>
          <w:sz w:val="24"/>
        </w:rPr>
        <w:t> </w:t>
      </w:r>
      <w:r>
        <w:rPr>
          <w:sz w:val="24"/>
        </w:rPr>
        <w:t>el</w:t>
      </w:r>
      <w:r>
        <w:rPr>
          <w:spacing w:val="-11"/>
          <w:sz w:val="24"/>
        </w:rPr>
        <w:t> </w:t>
      </w:r>
      <w:r>
        <w:rPr>
          <w:sz w:val="24"/>
        </w:rPr>
        <w:t>resto</w:t>
      </w:r>
      <w:r>
        <w:rPr>
          <w:spacing w:val="-9"/>
          <w:sz w:val="24"/>
        </w:rPr>
        <w:t> </w:t>
      </w:r>
      <w:r>
        <w:rPr>
          <w:sz w:val="24"/>
        </w:rPr>
        <w:t>cuenta</w:t>
      </w:r>
      <w:r>
        <w:rPr>
          <w:spacing w:val="-9"/>
          <w:sz w:val="24"/>
        </w:rPr>
        <w:t> </w:t>
      </w:r>
      <w:r>
        <w:rPr>
          <w:sz w:val="24"/>
        </w:rPr>
        <w:t>con</w:t>
      </w:r>
      <w:r>
        <w:rPr>
          <w:spacing w:val="-12"/>
          <w:sz w:val="24"/>
        </w:rPr>
        <w:t> </w:t>
      </w:r>
      <w:r>
        <w:rPr>
          <w:sz w:val="24"/>
        </w:rPr>
        <w:t>menos</w:t>
      </w:r>
      <w:r>
        <w:rPr>
          <w:spacing w:val="-10"/>
          <w:sz w:val="24"/>
        </w:rPr>
        <w:t> </w:t>
      </w:r>
      <w:r>
        <w:rPr>
          <w:sz w:val="24"/>
        </w:rPr>
        <w:t>de</w:t>
      </w:r>
      <w:r>
        <w:rPr>
          <w:spacing w:val="-12"/>
          <w:sz w:val="24"/>
        </w:rPr>
        <w:t> </w:t>
      </w:r>
      <w:r>
        <w:rPr>
          <w:sz w:val="24"/>
        </w:rPr>
        <w:t>10 circulares y 113 municipios no publicaron</w:t>
      </w:r>
      <w:r>
        <w:rPr>
          <w:spacing w:val="-14"/>
          <w:sz w:val="24"/>
        </w:rPr>
        <w:t> </w:t>
      </w:r>
      <w:r>
        <w:rPr>
          <w:sz w:val="24"/>
        </w:rPr>
        <w:t>ninguna.</w:t>
      </w:r>
    </w:p>
    <w:p>
      <w:pPr>
        <w:pStyle w:val="BodyText"/>
      </w:pPr>
    </w:p>
    <w:p>
      <w:pPr>
        <w:pStyle w:val="ListParagraph"/>
        <w:numPr>
          <w:ilvl w:val="0"/>
          <w:numId w:val="48"/>
        </w:numPr>
        <w:tabs>
          <w:tab w:pos="536" w:val="left" w:leader="none"/>
        </w:tabs>
        <w:spacing w:line="350" w:lineRule="auto" w:before="148" w:after="0"/>
        <w:ind w:left="535" w:right="119" w:hanging="360"/>
        <w:jc w:val="both"/>
        <w:rPr>
          <w:sz w:val="24"/>
        </w:rPr>
      </w:pPr>
      <w:r>
        <w:rPr>
          <w:sz w:val="24"/>
        </w:rPr>
        <w:t>48.8% publica otras disposiciones normativas y 64 no publicaron ninguna información.</w:t>
      </w:r>
    </w:p>
    <w:p>
      <w:pPr>
        <w:pStyle w:val="BodyText"/>
      </w:pPr>
    </w:p>
    <w:p>
      <w:pPr>
        <w:pStyle w:val="BodyText"/>
        <w:spacing w:line="360" w:lineRule="auto" w:before="152"/>
        <w:ind w:left="108" w:right="6"/>
      </w:pPr>
      <w:r>
        <w:rPr/>
        <w:t>Es importante destacar que los municipios ponen a disposición de la sociedad la información más básica como son las constituciones políticas del país y del estado,</w:t>
      </w:r>
    </w:p>
    <w:p>
      <w:pPr>
        <w:spacing w:after="0" w:line="360" w:lineRule="auto"/>
        <w:sectPr>
          <w:pgSz w:w="12240" w:h="15840"/>
          <w:pgMar w:header="0" w:footer="1035" w:top="1500" w:bottom="1220" w:left="1500" w:right="1580"/>
        </w:sectPr>
      </w:pPr>
    </w:p>
    <w:p>
      <w:pPr>
        <w:pStyle w:val="BodyText"/>
        <w:spacing w:line="362" w:lineRule="auto" w:before="54"/>
        <w:ind w:left="128" w:right="115"/>
        <w:jc w:val="both"/>
      </w:pPr>
      <w:r>
        <w:rPr/>
        <w:t>que</w:t>
      </w:r>
      <w:r>
        <w:rPr>
          <w:spacing w:val="-4"/>
        </w:rPr>
        <w:t> </w:t>
      </w:r>
      <w:r>
        <w:rPr/>
        <w:t>pueden</w:t>
      </w:r>
      <w:r>
        <w:rPr>
          <w:spacing w:val="-4"/>
        </w:rPr>
        <w:t> </w:t>
      </w:r>
      <w:r>
        <w:rPr/>
        <w:t>ser</w:t>
      </w:r>
      <w:r>
        <w:rPr>
          <w:spacing w:val="-5"/>
        </w:rPr>
        <w:t> </w:t>
      </w:r>
      <w:r>
        <w:rPr/>
        <w:t>consultadas</w:t>
      </w:r>
      <w:r>
        <w:rPr>
          <w:spacing w:val="-7"/>
        </w:rPr>
        <w:t> </w:t>
      </w:r>
      <w:r>
        <w:rPr/>
        <w:t>a</w:t>
      </w:r>
      <w:r>
        <w:rPr>
          <w:spacing w:val="-6"/>
        </w:rPr>
        <w:t> </w:t>
      </w:r>
      <w:r>
        <w:rPr/>
        <w:t>través</w:t>
      </w:r>
      <w:r>
        <w:rPr>
          <w:spacing w:val="-4"/>
        </w:rPr>
        <w:t> </w:t>
      </w:r>
      <w:r>
        <w:rPr/>
        <w:t>de</w:t>
      </w:r>
      <w:r>
        <w:rPr>
          <w:spacing w:val="-6"/>
        </w:rPr>
        <w:t> </w:t>
      </w:r>
      <w:r>
        <w:rPr/>
        <w:t>otros</w:t>
      </w:r>
      <w:r>
        <w:rPr>
          <w:spacing w:val="-7"/>
        </w:rPr>
        <w:t> </w:t>
      </w:r>
      <w:r>
        <w:rPr/>
        <w:t>medios.</w:t>
      </w:r>
      <w:r>
        <w:rPr>
          <w:spacing w:val="-6"/>
        </w:rPr>
        <w:t> </w:t>
      </w:r>
      <w:r>
        <w:rPr/>
        <w:t>Pero</w:t>
      </w:r>
      <w:r>
        <w:rPr>
          <w:spacing w:val="-7"/>
        </w:rPr>
        <w:t> </w:t>
      </w:r>
      <w:r>
        <w:rPr/>
        <w:t>toda</w:t>
      </w:r>
      <w:r>
        <w:rPr>
          <w:spacing w:val="-4"/>
        </w:rPr>
        <w:t> </w:t>
      </w:r>
      <w:r>
        <w:rPr/>
        <w:t>la</w:t>
      </w:r>
      <w:r>
        <w:rPr>
          <w:spacing w:val="-6"/>
        </w:rPr>
        <w:t> </w:t>
      </w:r>
      <w:r>
        <w:rPr/>
        <w:t>información</w:t>
      </w:r>
      <w:r>
        <w:rPr>
          <w:spacing w:val="3"/>
        </w:rPr>
        <w:t> </w:t>
      </w:r>
      <w:r>
        <w:rPr/>
        <w:t>más operativa y correspondiente a los municipios es la que menos se</w:t>
      </w:r>
      <w:r>
        <w:rPr>
          <w:spacing w:val="-28"/>
        </w:rPr>
        <w:t> </w:t>
      </w:r>
      <w:r>
        <w:rPr/>
        <w:t>publica.</w:t>
      </w:r>
    </w:p>
    <w:p>
      <w:pPr>
        <w:pStyle w:val="BodyText"/>
      </w:pPr>
    </w:p>
    <w:p>
      <w:pPr>
        <w:pStyle w:val="BodyText"/>
        <w:spacing w:line="360" w:lineRule="auto" w:before="139"/>
        <w:ind w:left="128" w:right="114"/>
        <w:jc w:val="both"/>
      </w:pPr>
      <w:r>
        <w:rPr/>
        <w:t>Para evitar este tipo de disparidad se considera pertinente especificar desde la ley de</w:t>
      </w:r>
      <w:r>
        <w:rPr>
          <w:spacing w:val="-7"/>
        </w:rPr>
        <w:t> </w:t>
      </w:r>
      <w:r>
        <w:rPr/>
        <w:t>transparencia</w:t>
      </w:r>
      <w:r>
        <w:rPr>
          <w:spacing w:val="-6"/>
        </w:rPr>
        <w:t> </w:t>
      </w:r>
      <w:r>
        <w:rPr/>
        <w:t>toda</w:t>
      </w:r>
      <w:r>
        <w:rPr>
          <w:spacing w:val="-7"/>
        </w:rPr>
        <w:t> </w:t>
      </w:r>
      <w:r>
        <w:rPr/>
        <w:t>la</w:t>
      </w:r>
      <w:r>
        <w:rPr>
          <w:spacing w:val="-7"/>
        </w:rPr>
        <w:t> </w:t>
      </w:r>
      <w:r>
        <w:rPr/>
        <w:t>normativa</w:t>
      </w:r>
      <w:r>
        <w:rPr>
          <w:spacing w:val="-7"/>
        </w:rPr>
        <w:t> </w:t>
      </w:r>
      <w:r>
        <w:rPr/>
        <w:t>que</w:t>
      </w:r>
      <w:r>
        <w:rPr>
          <w:spacing w:val="-7"/>
        </w:rPr>
        <w:t> </w:t>
      </w:r>
      <w:r>
        <w:rPr/>
        <w:t>deben</w:t>
      </w:r>
      <w:r>
        <w:rPr>
          <w:spacing w:val="-9"/>
        </w:rPr>
        <w:t> </w:t>
      </w:r>
      <w:r>
        <w:rPr/>
        <w:t>considerar</w:t>
      </w:r>
      <w:r>
        <w:rPr>
          <w:spacing w:val="-8"/>
        </w:rPr>
        <w:t> </w:t>
      </w:r>
      <w:r>
        <w:rPr/>
        <w:t>los</w:t>
      </w:r>
      <w:r>
        <w:rPr>
          <w:spacing w:val="-7"/>
        </w:rPr>
        <w:t> </w:t>
      </w:r>
      <w:r>
        <w:rPr/>
        <w:t>gobiernos</w:t>
      </w:r>
      <w:r>
        <w:rPr>
          <w:spacing w:val="-8"/>
        </w:rPr>
        <w:t> </w:t>
      </w:r>
      <w:r>
        <w:rPr/>
        <w:t>municipales, de este modo se puede homologar la información pública de oficio que debe estar a disposición de todos los ciudadanos. Ya que como referenciaron el 48% de los responsables de transparencia encuestados la Ley siempre es suficiente para garantizar</w:t>
      </w:r>
      <w:r>
        <w:rPr>
          <w:spacing w:val="-10"/>
        </w:rPr>
        <w:t> </w:t>
      </w:r>
      <w:r>
        <w:rPr/>
        <w:t>la</w:t>
      </w:r>
      <w:r>
        <w:rPr>
          <w:spacing w:val="-9"/>
        </w:rPr>
        <w:t> </w:t>
      </w:r>
      <w:r>
        <w:rPr/>
        <w:t>transparencia</w:t>
      </w:r>
      <w:r>
        <w:rPr>
          <w:spacing w:val="-9"/>
        </w:rPr>
        <w:t> </w:t>
      </w:r>
      <w:r>
        <w:rPr/>
        <w:t>en</w:t>
      </w:r>
      <w:r>
        <w:rPr>
          <w:spacing w:val="-8"/>
        </w:rPr>
        <w:t> </w:t>
      </w:r>
      <w:r>
        <w:rPr/>
        <w:t>su</w:t>
      </w:r>
      <w:r>
        <w:rPr>
          <w:spacing w:val="-11"/>
        </w:rPr>
        <w:t> </w:t>
      </w:r>
      <w:r>
        <w:rPr/>
        <w:t>municipio,</w:t>
      </w:r>
      <w:r>
        <w:rPr>
          <w:spacing w:val="-11"/>
        </w:rPr>
        <w:t> </w:t>
      </w:r>
      <w:r>
        <w:rPr/>
        <w:t>el</w:t>
      </w:r>
      <w:r>
        <w:rPr>
          <w:spacing w:val="-10"/>
        </w:rPr>
        <w:t> </w:t>
      </w:r>
      <w:r>
        <w:rPr/>
        <w:t>42.3%</w:t>
      </w:r>
      <w:r>
        <w:rPr>
          <w:spacing w:val="-11"/>
        </w:rPr>
        <w:t> </w:t>
      </w:r>
      <w:r>
        <w:rPr/>
        <w:t>casi</w:t>
      </w:r>
      <w:r>
        <w:rPr>
          <w:spacing w:val="-10"/>
        </w:rPr>
        <w:t> </w:t>
      </w:r>
      <w:r>
        <w:rPr/>
        <w:t>siempre,</w:t>
      </w:r>
      <w:r>
        <w:rPr>
          <w:spacing w:val="-9"/>
        </w:rPr>
        <w:t> </w:t>
      </w:r>
      <w:r>
        <w:rPr/>
        <w:t>5.1%</w:t>
      </w:r>
      <w:r>
        <w:rPr>
          <w:spacing w:val="-9"/>
        </w:rPr>
        <w:t> </w:t>
      </w:r>
      <w:r>
        <w:rPr/>
        <w:t>casi</w:t>
      </w:r>
      <w:r>
        <w:rPr>
          <w:spacing w:val="-12"/>
        </w:rPr>
        <w:t> </w:t>
      </w:r>
      <w:r>
        <w:rPr/>
        <w:t>nunca, 2.6% nunca y el 1.3% no</w:t>
      </w:r>
      <w:r>
        <w:rPr>
          <w:spacing w:val="-12"/>
        </w:rPr>
        <w:t> </w:t>
      </w:r>
      <w:r>
        <w:rPr/>
        <w:t>contestó.</w:t>
      </w:r>
    </w:p>
    <w:p>
      <w:pPr>
        <w:pStyle w:val="BodyText"/>
      </w:pPr>
    </w:p>
    <w:p>
      <w:pPr>
        <w:pStyle w:val="Heading1"/>
        <w:numPr>
          <w:ilvl w:val="2"/>
          <w:numId w:val="47"/>
        </w:numPr>
        <w:tabs>
          <w:tab w:pos="837" w:val="left" w:leader="none"/>
        </w:tabs>
        <w:spacing w:line="240" w:lineRule="auto" w:before="182" w:after="0"/>
        <w:ind w:left="836" w:right="0" w:hanging="720"/>
        <w:jc w:val="both"/>
      </w:pPr>
      <w:r>
        <w:rPr/>
        <w:t>Organigrama</w:t>
      </w:r>
    </w:p>
    <w:p>
      <w:pPr>
        <w:pStyle w:val="BodyText"/>
        <w:rPr>
          <w:b/>
        </w:rPr>
      </w:pPr>
    </w:p>
    <w:p>
      <w:pPr>
        <w:pStyle w:val="BodyText"/>
        <w:spacing w:before="9"/>
        <w:rPr>
          <w:b/>
          <w:sz w:val="23"/>
        </w:rPr>
      </w:pPr>
    </w:p>
    <w:p>
      <w:pPr>
        <w:pStyle w:val="BodyText"/>
        <w:spacing w:line="360" w:lineRule="auto"/>
        <w:ind w:left="128" w:right="115"/>
        <w:jc w:val="both"/>
      </w:pPr>
      <w:r>
        <w:rPr/>
        <w:t>Un organigrama es una representación gráfica de una organización en la que se representan sus canales de información, líneas de autoridad y tramos de control (Gómez,</w:t>
      </w:r>
      <w:r>
        <w:rPr>
          <w:spacing w:val="-11"/>
        </w:rPr>
        <w:t> </w:t>
      </w:r>
      <w:r>
        <w:rPr/>
        <w:t>2004).</w:t>
      </w:r>
      <w:r>
        <w:rPr>
          <w:spacing w:val="-9"/>
        </w:rPr>
        <w:t> </w:t>
      </w:r>
      <w:r>
        <w:rPr/>
        <w:t>De</w:t>
      </w:r>
      <w:r>
        <w:rPr>
          <w:spacing w:val="-11"/>
        </w:rPr>
        <w:t> </w:t>
      </w:r>
      <w:r>
        <w:rPr/>
        <w:t>la</w:t>
      </w:r>
      <w:r>
        <w:rPr>
          <w:spacing w:val="-11"/>
        </w:rPr>
        <w:t> </w:t>
      </w:r>
      <w:r>
        <w:rPr/>
        <w:t>revisión</w:t>
      </w:r>
      <w:r>
        <w:rPr>
          <w:spacing w:val="-8"/>
        </w:rPr>
        <w:t> </w:t>
      </w:r>
      <w:r>
        <w:rPr/>
        <w:t>que</w:t>
      </w:r>
      <w:r>
        <w:rPr>
          <w:spacing w:val="-9"/>
        </w:rPr>
        <w:t> </w:t>
      </w:r>
      <w:r>
        <w:rPr/>
        <w:t>se</w:t>
      </w:r>
      <w:r>
        <w:rPr>
          <w:spacing w:val="-11"/>
        </w:rPr>
        <w:t> </w:t>
      </w:r>
      <w:r>
        <w:rPr/>
        <w:t>realizó</w:t>
      </w:r>
      <w:r>
        <w:rPr>
          <w:spacing w:val="-10"/>
        </w:rPr>
        <w:t> </w:t>
      </w:r>
      <w:r>
        <w:rPr/>
        <w:t>a</w:t>
      </w:r>
      <w:r>
        <w:rPr>
          <w:spacing w:val="-9"/>
        </w:rPr>
        <w:t> </w:t>
      </w:r>
      <w:r>
        <w:rPr/>
        <w:t>los</w:t>
      </w:r>
      <w:r>
        <w:rPr>
          <w:spacing w:val="-10"/>
        </w:rPr>
        <w:t> </w:t>
      </w:r>
      <w:r>
        <w:rPr/>
        <w:t>125</w:t>
      </w:r>
      <w:r>
        <w:rPr>
          <w:spacing w:val="-11"/>
        </w:rPr>
        <w:t> </w:t>
      </w:r>
      <w:r>
        <w:rPr/>
        <w:t>municipios</w:t>
      </w:r>
      <w:r>
        <w:rPr>
          <w:spacing w:val="-10"/>
        </w:rPr>
        <w:t> </w:t>
      </w:r>
      <w:r>
        <w:rPr/>
        <w:t>se</w:t>
      </w:r>
      <w:r>
        <w:rPr>
          <w:spacing w:val="-9"/>
        </w:rPr>
        <w:t> </w:t>
      </w:r>
      <w:r>
        <w:rPr/>
        <w:t>identificaron</w:t>
      </w:r>
      <w:r>
        <w:rPr>
          <w:spacing w:val="-9"/>
        </w:rPr>
        <w:t> </w:t>
      </w:r>
      <w:r>
        <w:rPr/>
        <w:t>los siguientes</w:t>
      </w:r>
      <w:r>
        <w:rPr>
          <w:spacing w:val="-7"/>
        </w:rPr>
        <w:t> </w:t>
      </w:r>
      <w:r>
        <w:rPr/>
        <w:t>resultados:</w:t>
      </w:r>
    </w:p>
    <w:p>
      <w:pPr>
        <w:pStyle w:val="BodyText"/>
      </w:pPr>
    </w:p>
    <w:p>
      <w:pPr>
        <w:pStyle w:val="ListParagraph"/>
        <w:numPr>
          <w:ilvl w:val="0"/>
          <w:numId w:val="49"/>
        </w:numPr>
        <w:tabs>
          <w:tab w:pos="556" w:val="left" w:leader="none"/>
        </w:tabs>
        <w:spacing w:line="357" w:lineRule="auto" w:before="143" w:after="0"/>
        <w:ind w:left="555" w:right="115" w:hanging="360"/>
        <w:jc w:val="both"/>
        <w:rPr>
          <w:sz w:val="24"/>
        </w:rPr>
      </w:pPr>
      <w:r>
        <w:rPr>
          <w:sz w:val="24"/>
        </w:rPr>
        <w:t>110 tiene publicado su organigrama de las dependencias que integran la administración municipal, lo que representa un 88% del universo total. Destacando el municipio de Huehuetoca como el municipio que tiene mayor número de dependencias con 52 de manera contrastante aparece Zumpahucan con tan solo dos dependencias y 15 municipios aparecieron con</w:t>
      </w:r>
      <w:r>
        <w:rPr>
          <w:spacing w:val="-20"/>
          <w:sz w:val="24"/>
        </w:rPr>
        <w:t> </w:t>
      </w:r>
      <w:r>
        <w:rPr>
          <w:sz w:val="24"/>
        </w:rPr>
        <w:t>cero.</w:t>
      </w:r>
    </w:p>
    <w:p>
      <w:pPr>
        <w:pStyle w:val="BodyText"/>
      </w:pPr>
    </w:p>
    <w:p>
      <w:pPr>
        <w:pStyle w:val="ListParagraph"/>
        <w:numPr>
          <w:ilvl w:val="0"/>
          <w:numId w:val="49"/>
        </w:numPr>
        <w:tabs>
          <w:tab w:pos="556" w:val="left" w:leader="none"/>
        </w:tabs>
        <w:spacing w:line="357" w:lineRule="auto" w:before="143" w:after="0"/>
        <w:ind w:left="555" w:right="116" w:hanging="360"/>
        <w:jc w:val="both"/>
        <w:rPr>
          <w:sz w:val="24"/>
        </w:rPr>
      </w:pPr>
      <w:r>
        <w:rPr>
          <w:sz w:val="24"/>
        </w:rPr>
        <w:t>88 mencionan las regidurías que integran el H. Ayuntamiento, lo que</w:t>
      </w:r>
      <w:r>
        <w:rPr>
          <w:spacing w:val="-31"/>
          <w:sz w:val="24"/>
        </w:rPr>
        <w:t> </w:t>
      </w:r>
      <w:r>
        <w:rPr>
          <w:sz w:val="24"/>
        </w:rPr>
        <w:t>representa un total de 70.4%. Donde el municipio de Ecatepec de Morelos es quien más regidurías tiene con un total de 17 y el municipio de Tequixquiac el que menos tiene</w:t>
      </w:r>
      <w:r>
        <w:rPr>
          <w:spacing w:val="-5"/>
          <w:sz w:val="24"/>
        </w:rPr>
        <w:t> </w:t>
      </w:r>
      <w:r>
        <w:rPr>
          <w:sz w:val="24"/>
        </w:rPr>
        <w:t>con</w:t>
      </w:r>
      <w:r>
        <w:rPr>
          <w:spacing w:val="-5"/>
          <w:sz w:val="24"/>
        </w:rPr>
        <w:t> </w:t>
      </w:r>
      <w:r>
        <w:rPr>
          <w:sz w:val="24"/>
        </w:rPr>
        <w:t>siete.</w:t>
      </w:r>
      <w:r>
        <w:rPr>
          <w:spacing w:val="-7"/>
          <w:sz w:val="24"/>
        </w:rPr>
        <w:t> </w:t>
      </w:r>
      <w:r>
        <w:rPr>
          <w:sz w:val="24"/>
        </w:rPr>
        <w:t>Es</w:t>
      </w:r>
      <w:r>
        <w:rPr>
          <w:spacing w:val="-5"/>
          <w:sz w:val="24"/>
        </w:rPr>
        <w:t> </w:t>
      </w:r>
      <w:r>
        <w:rPr>
          <w:sz w:val="24"/>
        </w:rPr>
        <w:t>de</w:t>
      </w:r>
      <w:r>
        <w:rPr>
          <w:spacing w:val="-5"/>
          <w:sz w:val="24"/>
        </w:rPr>
        <w:t> </w:t>
      </w:r>
      <w:r>
        <w:rPr>
          <w:sz w:val="24"/>
        </w:rPr>
        <w:t>resaltar</w:t>
      </w:r>
      <w:r>
        <w:rPr>
          <w:spacing w:val="-6"/>
          <w:sz w:val="24"/>
        </w:rPr>
        <w:t> </w:t>
      </w:r>
      <w:r>
        <w:rPr>
          <w:sz w:val="24"/>
        </w:rPr>
        <w:t>que</w:t>
      </w:r>
      <w:r>
        <w:rPr>
          <w:spacing w:val="-5"/>
          <w:sz w:val="24"/>
        </w:rPr>
        <w:t> </w:t>
      </w:r>
      <w:r>
        <w:rPr>
          <w:sz w:val="24"/>
        </w:rPr>
        <w:t>la</w:t>
      </w:r>
      <w:r>
        <w:rPr>
          <w:spacing w:val="-5"/>
          <w:sz w:val="24"/>
        </w:rPr>
        <w:t> </w:t>
      </w:r>
      <w:r>
        <w:rPr>
          <w:sz w:val="24"/>
        </w:rPr>
        <w:t>moda</w:t>
      </w:r>
      <w:r>
        <w:rPr>
          <w:spacing w:val="-5"/>
          <w:sz w:val="24"/>
        </w:rPr>
        <w:t> </w:t>
      </w:r>
      <w:r>
        <w:rPr>
          <w:sz w:val="24"/>
        </w:rPr>
        <w:t>presentada</w:t>
      </w:r>
      <w:r>
        <w:rPr>
          <w:spacing w:val="-7"/>
          <w:sz w:val="24"/>
        </w:rPr>
        <w:t> </w:t>
      </w:r>
      <w:r>
        <w:rPr>
          <w:sz w:val="24"/>
        </w:rPr>
        <w:t>por</w:t>
      </w:r>
      <w:r>
        <w:rPr>
          <w:spacing w:val="-6"/>
          <w:sz w:val="24"/>
        </w:rPr>
        <w:t> </w:t>
      </w:r>
      <w:r>
        <w:rPr>
          <w:sz w:val="24"/>
        </w:rPr>
        <w:t>los municipios</w:t>
      </w:r>
      <w:r>
        <w:rPr>
          <w:spacing w:val="-8"/>
          <w:sz w:val="24"/>
        </w:rPr>
        <w:t> </w:t>
      </w:r>
      <w:r>
        <w:rPr>
          <w:sz w:val="24"/>
        </w:rPr>
        <w:t>fue</w:t>
      </w:r>
      <w:r>
        <w:rPr>
          <w:spacing w:val="-5"/>
          <w:sz w:val="24"/>
        </w:rPr>
        <w:t> </w:t>
      </w:r>
      <w:r>
        <w:rPr>
          <w:sz w:val="24"/>
        </w:rPr>
        <w:t>de diez</w:t>
      </w:r>
      <w:r>
        <w:rPr>
          <w:spacing w:val="-12"/>
          <w:sz w:val="24"/>
        </w:rPr>
        <w:t> </w:t>
      </w:r>
      <w:r>
        <w:rPr>
          <w:sz w:val="24"/>
        </w:rPr>
        <w:t>regidurías</w:t>
      </w:r>
      <w:r>
        <w:rPr>
          <w:spacing w:val="-10"/>
          <w:sz w:val="24"/>
        </w:rPr>
        <w:t> </w:t>
      </w:r>
      <w:r>
        <w:rPr>
          <w:sz w:val="24"/>
        </w:rPr>
        <w:t>en</w:t>
      </w:r>
      <w:r>
        <w:rPr>
          <w:spacing w:val="-9"/>
          <w:sz w:val="24"/>
        </w:rPr>
        <w:t> </w:t>
      </w:r>
      <w:r>
        <w:rPr>
          <w:sz w:val="24"/>
        </w:rPr>
        <w:t>62</w:t>
      </w:r>
      <w:r>
        <w:rPr>
          <w:spacing w:val="-10"/>
          <w:sz w:val="24"/>
        </w:rPr>
        <w:t> </w:t>
      </w:r>
      <w:r>
        <w:rPr>
          <w:sz w:val="24"/>
        </w:rPr>
        <w:t>municipios.</w:t>
      </w:r>
      <w:r>
        <w:rPr>
          <w:spacing w:val="-10"/>
          <w:sz w:val="24"/>
        </w:rPr>
        <w:t> </w:t>
      </w:r>
      <w:r>
        <w:rPr>
          <w:sz w:val="24"/>
        </w:rPr>
        <w:t>Asimismo</w:t>
      </w:r>
      <w:r>
        <w:rPr>
          <w:spacing w:val="-12"/>
          <w:sz w:val="24"/>
        </w:rPr>
        <w:t> </w:t>
      </w:r>
      <w:r>
        <w:rPr>
          <w:sz w:val="24"/>
        </w:rPr>
        <w:t>37</w:t>
      </w:r>
      <w:r>
        <w:rPr>
          <w:spacing w:val="-12"/>
          <w:sz w:val="24"/>
        </w:rPr>
        <w:t> </w:t>
      </w:r>
      <w:r>
        <w:rPr>
          <w:sz w:val="24"/>
        </w:rPr>
        <w:t>municipios</w:t>
      </w:r>
      <w:r>
        <w:rPr>
          <w:spacing w:val="-10"/>
          <w:sz w:val="24"/>
        </w:rPr>
        <w:t> </w:t>
      </w:r>
      <w:r>
        <w:rPr>
          <w:sz w:val="24"/>
        </w:rPr>
        <w:t>no</w:t>
      </w:r>
      <w:r>
        <w:rPr>
          <w:spacing w:val="-9"/>
          <w:sz w:val="24"/>
        </w:rPr>
        <w:t> </w:t>
      </w:r>
      <w:r>
        <w:rPr>
          <w:sz w:val="24"/>
        </w:rPr>
        <w:t>reportaron</w:t>
      </w:r>
      <w:r>
        <w:rPr>
          <w:spacing w:val="-12"/>
          <w:sz w:val="24"/>
        </w:rPr>
        <w:t> </w:t>
      </w:r>
      <w:r>
        <w:rPr>
          <w:sz w:val="24"/>
        </w:rPr>
        <w:t>ninguna regiduría.</w:t>
      </w:r>
    </w:p>
    <w:p>
      <w:pPr>
        <w:spacing w:after="0" w:line="357" w:lineRule="auto"/>
        <w:jc w:val="both"/>
        <w:rPr>
          <w:sz w:val="24"/>
        </w:rPr>
        <w:sectPr>
          <w:pgSz w:w="12240" w:h="15840"/>
          <w:pgMar w:header="0" w:footer="1035" w:top="1360" w:bottom="1220" w:left="1480" w:right="1580"/>
        </w:sectPr>
      </w:pPr>
    </w:p>
    <w:p>
      <w:pPr>
        <w:pStyle w:val="ListParagraph"/>
        <w:numPr>
          <w:ilvl w:val="0"/>
          <w:numId w:val="49"/>
        </w:numPr>
        <w:tabs>
          <w:tab w:pos="555" w:val="left" w:leader="none"/>
          <w:tab w:pos="556" w:val="left" w:leader="none"/>
        </w:tabs>
        <w:spacing w:line="352" w:lineRule="auto" w:before="34" w:after="0"/>
        <w:ind w:left="555" w:right="99" w:hanging="360"/>
        <w:jc w:val="left"/>
        <w:rPr>
          <w:sz w:val="24"/>
        </w:rPr>
      </w:pPr>
      <w:r>
        <w:rPr>
          <w:sz w:val="24"/>
        </w:rPr>
        <w:t>79 municipios han publicado las remuneraciones de los servidores públicos lo que representa el 63.2% y 46 municipios no reportaron</w:t>
      </w:r>
      <w:r>
        <w:rPr>
          <w:spacing w:val="-23"/>
          <w:sz w:val="24"/>
        </w:rPr>
        <w:t> </w:t>
      </w:r>
      <w:r>
        <w:rPr>
          <w:sz w:val="24"/>
        </w:rPr>
        <w:t>información.</w:t>
      </w:r>
    </w:p>
    <w:p>
      <w:pPr>
        <w:pStyle w:val="BodyText"/>
      </w:pPr>
    </w:p>
    <w:p>
      <w:pPr>
        <w:pStyle w:val="BodyText"/>
        <w:spacing w:line="360" w:lineRule="auto" w:before="150"/>
        <w:ind w:left="128" w:right="103"/>
        <w:jc w:val="both"/>
      </w:pPr>
      <w:r>
        <w:rPr/>
        <w:t>Al</w:t>
      </w:r>
      <w:r>
        <w:rPr>
          <w:spacing w:val="-6"/>
        </w:rPr>
        <w:t> </w:t>
      </w:r>
      <w:r>
        <w:rPr/>
        <w:t>igual</w:t>
      </w:r>
      <w:r>
        <w:rPr>
          <w:spacing w:val="-6"/>
        </w:rPr>
        <w:t> </w:t>
      </w:r>
      <w:r>
        <w:rPr/>
        <w:t>que</w:t>
      </w:r>
      <w:r>
        <w:rPr>
          <w:spacing w:val="-7"/>
        </w:rPr>
        <w:t> </w:t>
      </w:r>
      <w:r>
        <w:rPr/>
        <w:t>la</w:t>
      </w:r>
      <w:r>
        <w:rPr>
          <w:spacing w:val="-7"/>
        </w:rPr>
        <w:t> </w:t>
      </w:r>
      <w:r>
        <w:rPr/>
        <w:t>fracción</w:t>
      </w:r>
      <w:r>
        <w:rPr>
          <w:spacing w:val="-6"/>
        </w:rPr>
        <w:t> </w:t>
      </w:r>
      <w:r>
        <w:rPr/>
        <w:t>anterior,</w:t>
      </w:r>
      <w:r>
        <w:rPr>
          <w:spacing w:val="-8"/>
        </w:rPr>
        <w:t> </w:t>
      </w:r>
      <w:r>
        <w:rPr/>
        <w:t>en</w:t>
      </w:r>
      <w:r>
        <w:rPr>
          <w:spacing w:val="-7"/>
        </w:rPr>
        <w:t> </w:t>
      </w:r>
      <w:r>
        <w:rPr/>
        <w:t>esta</w:t>
      </w:r>
      <w:r>
        <w:rPr>
          <w:spacing w:val="-5"/>
        </w:rPr>
        <w:t> </w:t>
      </w:r>
      <w:r>
        <w:rPr/>
        <w:t>se</w:t>
      </w:r>
      <w:r>
        <w:rPr>
          <w:spacing w:val="-7"/>
        </w:rPr>
        <w:t> </w:t>
      </w:r>
      <w:r>
        <w:rPr/>
        <w:t>puede</w:t>
      </w:r>
      <w:r>
        <w:rPr>
          <w:spacing w:val="-7"/>
        </w:rPr>
        <w:t> </w:t>
      </w:r>
      <w:r>
        <w:rPr/>
        <w:t>apreciar</w:t>
      </w:r>
      <w:r>
        <w:rPr>
          <w:spacing w:val="-6"/>
        </w:rPr>
        <w:t> </w:t>
      </w:r>
      <w:r>
        <w:rPr/>
        <w:t>una</w:t>
      </w:r>
      <w:r>
        <w:rPr>
          <w:spacing w:val="-7"/>
        </w:rPr>
        <w:t> </w:t>
      </w:r>
      <w:r>
        <w:rPr/>
        <w:t>gran</w:t>
      </w:r>
      <w:r>
        <w:rPr>
          <w:spacing w:val="-7"/>
        </w:rPr>
        <w:t> </w:t>
      </w:r>
      <w:r>
        <w:rPr/>
        <w:t>disparidad</w:t>
      </w:r>
      <w:r>
        <w:rPr>
          <w:spacing w:val="-5"/>
        </w:rPr>
        <w:t> </w:t>
      </w:r>
      <w:r>
        <w:rPr/>
        <w:t>en</w:t>
      </w:r>
      <w:r>
        <w:rPr>
          <w:spacing w:val="-5"/>
        </w:rPr>
        <w:t> </w:t>
      </w:r>
      <w:r>
        <w:rPr/>
        <w:t>la información</w:t>
      </w:r>
      <w:r>
        <w:rPr>
          <w:spacing w:val="-9"/>
        </w:rPr>
        <w:t> </w:t>
      </w:r>
      <w:r>
        <w:rPr/>
        <w:t>que</w:t>
      </w:r>
      <w:r>
        <w:rPr>
          <w:spacing w:val="-7"/>
        </w:rPr>
        <w:t> </w:t>
      </w:r>
      <w:r>
        <w:rPr/>
        <w:t>se</w:t>
      </w:r>
      <w:r>
        <w:rPr>
          <w:spacing w:val="-9"/>
        </w:rPr>
        <w:t> </w:t>
      </w:r>
      <w:r>
        <w:rPr/>
        <w:t>publica,</w:t>
      </w:r>
      <w:r>
        <w:rPr>
          <w:spacing w:val="-7"/>
        </w:rPr>
        <w:t> </w:t>
      </w:r>
      <w:r>
        <w:rPr/>
        <w:t>incumpliendo</w:t>
      </w:r>
      <w:r>
        <w:rPr>
          <w:spacing w:val="-7"/>
        </w:rPr>
        <w:t> </w:t>
      </w:r>
      <w:r>
        <w:rPr/>
        <w:t>con</w:t>
      </w:r>
      <w:r>
        <w:rPr>
          <w:spacing w:val="-7"/>
        </w:rPr>
        <w:t> </w:t>
      </w:r>
      <w:r>
        <w:rPr/>
        <w:t>lo</w:t>
      </w:r>
      <w:r>
        <w:rPr>
          <w:spacing w:val="-10"/>
        </w:rPr>
        <w:t> </w:t>
      </w:r>
      <w:r>
        <w:rPr/>
        <w:t>que</w:t>
      </w:r>
      <w:r>
        <w:rPr>
          <w:spacing w:val="-9"/>
        </w:rPr>
        <w:t> </w:t>
      </w:r>
      <w:r>
        <w:rPr/>
        <w:t>marca</w:t>
      </w:r>
      <w:r>
        <w:rPr>
          <w:spacing w:val="-8"/>
        </w:rPr>
        <w:t> </w:t>
      </w:r>
      <w:r>
        <w:rPr/>
        <w:t>la</w:t>
      </w:r>
      <w:r>
        <w:rPr>
          <w:spacing w:val="-10"/>
        </w:rPr>
        <w:t> </w:t>
      </w:r>
      <w:r>
        <w:rPr/>
        <w:t>ley</w:t>
      </w:r>
      <w:r>
        <w:rPr>
          <w:spacing w:val="-10"/>
        </w:rPr>
        <w:t> </w:t>
      </w:r>
      <w:r>
        <w:rPr/>
        <w:t>sobre</w:t>
      </w:r>
      <w:r>
        <w:rPr>
          <w:spacing w:val="-8"/>
        </w:rPr>
        <w:t> </w:t>
      </w:r>
      <w:r>
        <w:rPr/>
        <w:t>la</w:t>
      </w:r>
      <w:r>
        <w:rPr>
          <w:spacing w:val="-9"/>
        </w:rPr>
        <w:t> </w:t>
      </w:r>
      <w:r>
        <w:rPr/>
        <w:t>obligación de publicar la información no confidencial, ni</w:t>
      </w:r>
      <w:r>
        <w:rPr>
          <w:spacing w:val="-25"/>
        </w:rPr>
        <w:t> </w:t>
      </w:r>
      <w:r>
        <w:rPr/>
        <w:t>reservada.</w:t>
      </w:r>
    </w:p>
    <w:p>
      <w:pPr>
        <w:pStyle w:val="BodyText"/>
      </w:pPr>
    </w:p>
    <w:p>
      <w:pPr>
        <w:pStyle w:val="Heading1"/>
        <w:numPr>
          <w:ilvl w:val="2"/>
          <w:numId w:val="47"/>
        </w:numPr>
        <w:tabs>
          <w:tab w:pos="837" w:val="left" w:leader="none"/>
        </w:tabs>
        <w:spacing w:line="240" w:lineRule="auto" w:before="182" w:after="0"/>
        <w:ind w:left="836" w:right="0" w:hanging="720"/>
        <w:jc w:val="both"/>
      </w:pPr>
      <w:r>
        <w:rPr/>
        <w:t>Obras y</w:t>
      </w:r>
      <w:r>
        <w:rPr>
          <w:spacing w:val="-5"/>
        </w:rPr>
        <w:t> </w:t>
      </w:r>
      <w:r>
        <w:rPr/>
        <w:t>licitaciones</w:t>
      </w:r>
    </w:p>
    <w:p>
      <w:pPr>
        <w:pStyle w:val="BodyText"/>
        <w:rPr>
          <w:b/>
        </w:rPr>
      </w:pPr>
    </w:p>
    <w:p>
      <w:pPr>
        <w:pStyle w:val="BodyText"/>
        <w:spacing w:before="9"/>
        <w:rPr>
          <w:b/>
          <w:sz w:val="23"/>
        </w:rPr>
      </w:pPr>
    </w:p>
    <w:p>
      <w:pPr>
        <w:pStyle w:val="BodyText"/>
        <w:spacing w:line="360" w:lineRule="auto"/>
        <w:ind w:left="128" w:right="99"/>
        <w:jc w:val="both"/>
      </w:pPr>
      <w:r>
        <w:rPr/>
        <w:t>Sobre el programa de obras y licitaciones es preciso destacar que se ha venido incrementando el número de municipios que lo hace público, tal como se puede apreciar en la siguiente tabla:</w:t>
      </w:r>
    </w:p>
    <w:p>
      <w:pPr>
        <w:pStyle w:val="BodyText"/>
        <w:rPr>
          <w:sz w:val="20"/>
        </w:rPr>
      </w:pPr>
    </w:p>
    <w:p>
      <w:pPr>
        <w:pStyle w:val="BodyText"/>
        <w:spacing w:before="5" w:after="1"/>
        <w:rPr>
          <w:sz w:val="16"/>
        </w:rPr>
      </w:pPr>
    </w:p>
    <w:tbl>
      <w:tblPr>
        <w:tblW w:w="0" w:type="auto"/>
        <w:jc w:val="left"/>
        <w:tblInd w:w="1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79"/>
        <w:gridCol w:w="908"/>
        <w:gridCol w:w="907"/>
        <w:gridCol w:w="907"/>
        <w:gridCol w:w="908"/>
        <w:gridCol w:w="907"/>
        <w:gridCol w:w="907"/>
        <w:gridCol w:w="905"/>
        <w:gridCol w:w="907"/>
      </w:tblGrid>
      <w:tr>
        <w:trPr>
          <w:trHeight w:val="322" w:hRule="exact"/>
        </w:trPr>
        <w:tc>
          <w:tcPr>
            <w:tcW w:w="8836" w:type="dxa"/>
            <w:gridSpan w:val="9"/>
            <w:shd w:val="clear" w:color="auto" w:fill="92D050"/>
          </w:tcPr>
          <w:p>
            <w:pPr>
              <w:pStyle w:val="TableParagraph"/>
              <w:spacing w:line="201" w:lineRule="exact"/>
              <w:ind w:left="1106"/>
              <w:jc w:val="left"/>
              <w:rPr>
                <w:b/>
                <w:sz w:val="18"/>
              </w:rPr>
            </w:pPr>
            <w:r>
              <w:rPr>
                <w:b/>
                <w:sz w:val="18"/>
              </w:rPr>
              <w:t>Tabla 3.3. Municipios que publican su plan anual de obra (periodo 2008-2015)</w:t>
            </w:r>
          </w:p>
        </w:tc>
      </w:tr>
      <w:tr>
        <w:trPr>
          <w:trHeight w:val="319" w:hRule="exact"/>
        </w:trPr>
        <w:tc>
          <w:tcPr>
            <w:tcW w:w="1579" w:type="dxa"/>
            <w:shd w:val="clear" w:color="auto" w:fill="92D050"/>
          </w:tcPr>
          <w:p>
            <w:pPr>
              <w:pStyle w:val="TableParagraph"/>
              <w:spacing w:line="201" w:lineRule="exact"/>
              <w:ind w:left="118" w:right="119"/>
              <w:rPr>
                <w:b/>
                <w:sz w:val="18"/>
              </w:rPr>
            </w:pPr>
            <w:r>
              <w:rPr>
                <w:b/>
                <w:sz w:val="18"/>
              </w:rPr>
              <w:t>Año</w:t>
            </w:r>
          </w:p>
        </w:tc>
        <w:tc>
          <w:tcPr>
            <w:tcW w:w="908" w:type="dxa"/>
            <w:shd w:val="clear" w:color="auto" w:fill="92D050"/>
          </w:tcPr>
          <w:p>
            <w:pPr>
              <w:pStyle w:val="TableParagraph"/>
              <w:spacing w:line="201" w:lineRule="exact"/>
              <w:ind w:left="228" w:right="228"/>
              <w:rPr>
                <w:b/>
                <w:sz w:val="18"/>
              </w:rPr>
            </w:pPr>
            <w:r>
              <w:rPr>
                <w:b/>
                <w:sz w:val="18"/>
              </w:rPr>
              <w:t>2008</w:t>
            </w:r>
          </w:p>
        </w:tc>
        <w:tc>
          <w:tcPr>
            <w:tcW w:w="907" w:type="dxa"/>
            <w:shd w:val="clear" w:color="auto" w:fill="92D050"/>
          </w:tcPr>
          <w:p>
            <w:pPr>
              <w:pStyle w:val="TableParagraph"/>
              <w:spacing w:line="201" w:lineRule="exact"/>
              <w:ind w:left="227" w:right="227"/>
              <w:rPr>
                <w:b/>
                <w:sz w:val="18"/>
              </w:rPr>
            </w:pPr>
            <w:r>
              <w:rPr>
                <w:b/>
                <w:sz w:val="18"/>
              </w:rPr>
              <w:t>2009</w:t>
            </w:r>
          </w:p>
        </w:tc>
        <w:tc>
          <w:tcPr>
            <w:tcW w:w="907" w:type="dxa"/>
            <w:shd w:val="clear" w:color="auto" w:fill="92D050"/>
          </w:tcPr>
          <w:p>
            <w:pPr>
              <w:pStyle w:val="TableParagraph"/>
              <w:spacing w:line="201" w:lineRule="exact"/>
              <w:ind w:left="227" w:right="227"/>
              <w:rPr>
                <w:b/>
                <w:sz w:val="18"/>
              </w:rPr>
            </w:pPr>
            <w:r>
              <w:rPr>
                <w:b/>
                <w:sz w:val="18"/>
              </w:rPr>
              <w:t>2010</w:t>
            </w:r>
          </w:p>
        </w:tc>
        <w:tc>
          <w:tcPr>
            <w:tcW w:w="908" w:type="dxa"/>
            <w:shd w:val="clear" w:color="auto" w:fill="92D050"/>
          </w:tcPr>
          <w:p>
            <w:pPr>
              <w:pStyle w:val="TableParagraph"/>
              <w:spacing w:line="201" w:lineRule="exact"/>
              <w:ind w:left="228" w:right="228"/>
              <w:rPr>
                <w:b/>
                <w:sz w:val="18"/>
              </w:rPr>
            </w:pPr>
            <w:r>
              <w:rPr>
                <w:b/>
                <w:sz w:val="18"/>
              </w:rPr>
              <w:t>2011</w:t>
            </w:r>
          </w:p>
        </w:tc>
        <w:tc>
          <w:tcPr>
            <w:tcW w:w="907" w:type="dxa"/>
            <w:shd w:val="clear" w:color="auto" w:fill="92D050"/>
          </w:tcPr>
          <w:p>
            <w:pPr>
              <w:pStyle w:val="TableParagraph"/>
              <w:spacing w:line="201" w:lineRule="exact"/>
              <w:ind w:left="227" w:right="227"/>
              <w:rPr>
                <w:b/>
                <w:sz w:val="18"/>
              </w:rPr>
            </w:pPr>
            <w:r>
              <w:rPr>
                <w:b/>
                <w:sz w:val="18"/>
              </w:rPr>
              <w:t>2012</w:t>
            </w:r>
          </w:p>
        </w:tc>
        <w:tc>
          <w:tcPr>
            <w:tcW w:w="907" w:type="dxa"/>
            <w:shd w:val="clear" w:color="auto" w:fill="92D050"/>
          </w:tcPr>
          <w:p>
            <w:pPr>
              <w:pStyle w:val="TableParagraph"/>
              <w:spacing w:line="201" w:lineRule="exact"/>
              <w:ind w:left="226" w:right="228"/>
              <w:rPr>
                <w:b/>
                <w:sz w:val="18"/>
              </w:rPr>
            </w:pPr>
            <w:r>
              <w:rPr>
                <w:b/>
                <w:sz w:val="18"/>
              </w:rPr>
              <w:t>2013</w:t>
            </w:r>
          </w:p>
        </w:tc>
        <w:tc>
          <w:tcPr>
            <w:tcW w:w="905" w:type="dxa"/>
            <w:shd w:val="clear" w:color="auto" w:fill="92D050"/>
          </w:tcPr>
          <w:p>
            <w:pPr>
              <w:pStyle w:val="TableParagraph"/>
              <w:spacing w:line="201" w:lineRule="exact"/>
              <w:ind w:left="111" w:right="113"/>
              <w:rPr>
                <w:b/>
                <w:sz w:val="18"/>
              </w:rPr>
            </w:pPr>
            <w:r>
              <w:rPr>
                <w:b/>
                <w:sz w:val="18"/>
              </w:rPr>
              <w:t>2014</w:t>
            </w:r>
          </w:p>
        </w:tc>
        <w:tc>
          <w:tcPr>
            <w:tcW w:w="907" w:type="dxa"/>
            <w:shd w:val="clear" w:color="auto" w:fill="92D050"/>
          </w:tcPr>
          <w:p>
            <w:pPr>
              <w:pStyle w:val="TableParagraph"/>
              <w:spacing w:line="201" w:lineRule="exact"/>
              <w:ind w:left="227" w:right="227"/>
              <w:rPr>
                <w:b/>
                <w:sz w:val="18"/>
              </w:rPr>
            </w:pPr>
            <w:r>
              <w:rPr>
                <w:b/>
                <w:sz w:val="18"/>
              </w:rPr>
              <w:t>2015</w:t>
            </w:r>
          </w:p>
        </w:tc>
      </w:tr>
      <w:tr>
        <w:trPr>
          <w:trHeight w:val="322" w:hRule="exact"/>
        </w:trPr>
        <w:tc>
          <w:tcPr>
            <w:tcW w:w="1579" w:type="dxa"/>
            <w:shd w:val="clear" w:color="auto" w:fill="92D050"/>
          </w:tcPr>
          <w:p>
            <w:pPr>
              <w:pStyle w:val="TableParagraph"/>
              <w:spacing w:line="201" w:lineRule="exact"/>
              <w:ind w:left="119" w:right="119"/>
              <w:rPr>
                <w:b/>
                <w:sz w:val="18"/>
              </w:rPr>
            </w:pPr>
            <w:r>
              <w:rPr>
                <w:b/>
                <w:sz w:val="18"/>
              </w:rPr>
              <w:t>No. municipios</w:t>
            </w:r>
          </w:p>
        </w:tc>
        <w:tc>
          <w:tcPr>
            <w:tcW w:w="908" w:type="dxa"/>
            <w:tcBorders>
              <w:left w:val="single" w:sz="41" w:space="0" w:color="92D050"/>
            </w:tcBorders>
          </w:tcPr>
          <w:p>
            <w:pPr>
              <w:pStyle w:val="TableParagraph"/>
              <w:spacing w:line="206" w:lineRule="exact"/>
              <w:ind w:right="46"/>
              <w:rPr>
                <w:sz w:val="18"/>
              </w:rPr>
            </w:pPr>
            <w:r>
              <w:rPr>
                <w:w w:val="99"/>
                <w:sz w:val="18"/>
              </w:rPr>
              <w:t>1</w:t>
            </w:r>
          </w:p>
        </w:tc>
        <w:tc>
          <w:tcPr>
            <w:tcW w:w="907" w:type="dxa"/>
          </w:tcPr>
          <w:p>
            <w:pPr>
              <w:pStyle w:val="TableParagraph"/>
              <w:spacing w:line="206" w:lineRule="exact"/>
              <w:rPr>
                <w:sz w:val="18"/>
              </w:rPr>
            </w:pPr>
            <w:r>
              <w:rPr>
                <w:w w:val="99"/>
                <w:sz w:val="18"/>
              </w:rPr>
              <w:t>7</w:t>
            </w:r>
          </w:p>
        </w:tc>
        <w:tc>
          <w:tcPr>
            <w:tcW w:w="907" w:type="dxa"/>
          </w:tcPr>
          <w:p>
            <w:pPr>
              <w:pStyle w:val="TableParagraph"/>
              <w:spacing w:line="206" w:lineRule="exact"/>
              <w:ind w:left="227" w:right="227"/>
              <w:rPr>
                <w:sz w:val="18"/>
              </w:rPr>
            </w:pPr>
            <w:r>
              <w:rPr>
                <w:sz w:val="18"/>
              </w:rPr>
              <w:t>16</w:t>
            </w:r>
          </w:p>
        </w:tc>
        <w:tc>
          <w:tcPr>
            <w:tcW w:w="908" w:type="dxa"/>
          </w:tcPr>
          <w:p>
            <w:pPr>
              <w:pStyle w:val="TableParagraph"/>
              <w:spacing w:line="206" w:lineRule="exact"/>
              <w:ind w:left="228" w:right="228"/>
              <w:rPr>
                <w:sz w:val="18"/>
              </w:rPr>
            </w:pPr>
            <w:r>
              <w:rPr>
                <w:sz w:val="18"/>
              </w:rPr>
              <w:t>35</w:t>
            </w:r>
          </w:p>
        </w:tc>
        <w:tc>
          <w:tcPr>
            <w:tcW w:w="907" w:type="dxa"/>
          </w:tcPr>
          <w:p>
            <w:pPr>
              <w:pStyle w:val="TableParagraph"/>
              <w:spacing w:line="206" w:lineRule="exact"/>
              <w:ind w:left="227" w:right="227"/>
              <w:rPr>
                <w:sz w:val="18"/>
              </w:rPr>
            </w:pPr>
            <w:r>
              <w:rPr>
                <w:sz w:val="18"/>
              </w:rPr>
              <w:t>40</w:t>
            </w:r>
          </w:p>
        </w:tc>
        <w:tc>
          <w:tcPr>
            <w:tcW w:w="907" w:type="dxa"/>
          </w:tcPr>
          <w:p>
            <w:pPr>
              <w:pStyle w:val="TableParagraph"/>
              <w:spacing w:line="206" w:lineRule="exact"/>
              <w:ind w:left="226" w:right="228"/>
              <w:rPr>
                <w:sz w:val="18"/>
              </w:rPr>
            </w:pPr>
            <w:r>
              <w:rPr>
                <w:sz w:val="18"/>
              </w:rPr>
              <w:t>75</w:t>
            </w:r>
          </w:p>
        </w:tc>
        <w:tc>
          <w:tcPr>
            <w:tcW w:w="905" w:type="dxa"/>
          </w:tcPr>
          <w:p>
            <w:pPr>
              <w:pStyle w:val="TableParagraph"/>
              <w:spacing w:line="206" w:lineRule="exact"/>
              <w:ind w:left="111" w:right="113"/>
              <w:rPr>
                <w:sz w:val="18"/>
              </w:rPr>
            </w:pPr>
            <w:r>
              <w:rPr>
                <w:sz w:val="18"/>
              </w:rPr>
              <w:t>68</w:t>
            </w:r>
          </w:p>
        </w:tc>
        <w:tc>
          <w:tcPr>
            <w:tcW w:w="907" w:type="dxa"/>
          </w:tcPr>
          <w:p>
            <w:pPr>
              <w:pStyle w:val="TableParagraph"/>
              <w:spacing w:line="206" w:lineRule="exact"/>
              <w:ind w:left="227" w:right="227"/>
              <w:rPr>
                <w:sz w:val="18"/>
              </w:rPr>
            </w:pPr>
            <w:r>
              <w:rPr>
                <w:sz w:val="18"/>
              </w:rPr>
              <w:t>49</w:t>
            </w:r>
          </w:p>
        </w:tc>
      </w:tr>
    </w:tbl>
    <w:p>
      <w:pPr>
        <w:spacing w:line="180" w:lineRule="exact" w:before="0"/>
        <w:ind w:left="284" w:right="6" w:firstLine="0"/>
        <w:jc w:val="left"/>
        <w:rPr>
          <w:sz w:val="16"/>
        </w:rPr>
      </w:pPr>
      <w:r>
        <w:rPr>
          <w:sz w:val="16"/>
        </w:rPr>
        <w:t>Fuente: Elaboración propia con datos del INFOEM.</w:t>
      </w:r>
    </w:p>
    <w:p>
      <w:pPr>
        <w:pStyle w:val="BodyText"/>
        <w:rPr>
          <w:sz w:val="20"/>
        </w:rPr>
      </w:pPr>
    </w:p>
    <w:p>
      <w:pPr>
        <w:pStyle w:val="BodyText"/>
        <w:spacing w:before="1"/>
        <w:rPr>
          <w:sz w:val="20"/>
        </w:rPr>
      </w:pPr>
    </w:p>
    <w:p>
      <w:pPr>
        <w:pStyle w:val="BodyText"/>
        <w:spacing w:line="360" w:lineRule="auto" w:before="70"/>
        <w:ind w:left="128" w:right="101"/>
        <w:jc w:val="both"/>
      </w:pPr>
      <w:r>
        <w:rPr/>
        <w:t>Un</w:t>
      </w:r>
      <w:r>
        <w:rPr>
          <w:spacing w:val="-6"/>
        </w:rPr>
        <w:t> </w:t>
      </w:r>
      <w:r>
        <w:rPr/>
        <w:t>aspecto</w:t>
      </w:r>
      <w:r>
        <w:rPr>
          <w:spacing w:val="-8"/>
        </w:rPr>
        <w:t> </w:t>
      </w:r>
      <w:r>
        <w:rPr/>
        <w:t>a</w:t>
      </w:r>
      <w:r>
        <w:rPr>
          <w:spacing w:val="-6"/>
        </w:rPr>
        <w:t> </w:t>
      </w:r>
      <w:r>
        <w:rPr/>
        <w:t>considerar</w:t>
      </w:r>
      <w:r>
        <w:rPr>
          <w:spacing w:val="-7"/>
        </w:rPr>
        <w:t> </w:t>
      </w:r>
      <w:r>
        <w:rPr/>
        <w:t>en</w:t>
      </w:r>
      <w:r>
        <w:rPr>
          <w:spacing w:val="-11"/>
        </w:rPr>
        <w:t> </w:t>
      </w:r>
      <w:r>
        <w:rPr/>
        <w:t>este</w:t>
      </w:r>
      <w:r>
        <w:rPr>
          <w:spacing w:val="-8"/>
        </w:rPr>
        <w:t> </w:t>
      </w:r>
      <w:r>
        <w:rPr/>
        <w:t>apartado</w:t>
      </w:r>
      <w:r>
        <w:rPr>
          <w:spacing w:val="-8"/>
        </w:rPr>
        <w:t> </w:t>
      </w:r>
      <w:r>
        <w:rPr/>
        <w:t>es</w:t>
      </w:r>
      <w:r>
        <w:rPr>
          <w:spacing w:val="-12"/>
        </w:rPr>
        <w:t> </w:t>
      </w:r>
      <w:r>
        <w:rPr/>
        <w:t>que</w:t>
      </w:r>
      <w:r>
        <w:rPr>
          <w:spacing w:val="-6"/>
        </w:rPr>
        <w:t> </w:t>
      </w:r>
      <w:r>
        <w:rPr/>
        <w:t>las</w:t>
      </w:r>
      <w:r>
        <w:rPr>
          <w:spacing w:val="-9"/>
        </w:rPr>
        <w:t> </w:t>
      </w:r>
      <w:r>
        <w:rPr/>
        <w:t>licitaciones</w:t>
      </w:r>
      <w:r>
        <w:rPr>
          <w:spacing w:val="-9"/>
        </w:rPr>
        <w:t> </w:t>
      </w:r>
      <w:r>
        <w:rPr/>
        <w:t>son</w:t>
      </w:r>
      <w:r>
        <w:rPr>
          <w:spacing w:val="-8"/>
        </w:rPr>
        <w:t> </w:t>
      </w:r>
      <w:r>
        <w:rPr/>
        <w:t>una</w:t>
      </w:r>
      <w:r>
        <w:rPr>
          <w:spacing w:val="-8"/>
        </w:rPr>
        <w:t> </w:t>
      </w:r>
      <w:r>
        <w:rPr/>
        <w:t>de</w:t>
      </w:r>
      <w:r>
        <w:rPr>
          <w:spacing w:val="-8"/>
        </w:rPr>
        <w:t> </w:t>
      </w:r>
      <w:r>
        <w:rPr/>
        <w:t>las</w:t>
      </w:r>
      <w:r>
        <w:rPr>
          <w:spacing w:val="-9"/>
        </w:rPr>
        <w:t> </w:t>
      </w:r>
      <w:r>
        <w:rPr/>
        <w:t>más solicitadas por los usuarios, ya que permiten evidenciar tráfico de influencias y algunas irregularidades que se presentas de enriquecimiento ilícito por parte de los gobernantes. Al respecto tienen lugar las siguientes</w:t>
      </w:r>
      <w:r>
        <w:rPr>
          <w:spacing w:val="-21"/>
        </w:rPr>
        <w:t> </w:t>
      </w:r>
      <w:r>
        <w:rPr/>
        <w:t>precisiones:</w:t>
      </w:r>
    </w:p>
    <w:p>
      <w:pPr>
        <w:pStyle w:val="BodyText"/>
      </w:pPr>
    </w:p>
    <w:p>
      <w:pPr>
        <w:pStyle w:val="ListParagraph"/>
        <w:numPr>
          <w:ilvl w:val="0"/>
          <w:numId w:val="50"/>
        </w:numPr>
        <w:tabs>
          <w:tab w:pos="556" w:val="left" w:leader="none"/>
        </w:tabs>
        <w:spacing w:line="355" w:lineRule="auto" w:before="142" w:after="0"/>
        <w:ind w:left="555" w:right="98" w:hanging="360"/>
        <w:jc w:val="both"/>
        <w:rPr>
          <w:sz w:val="24"/>
        </w:rPr>
      </w:pPr>
      <w:r>
        <w:rPr>
          <w:sz w:val="24"/>
        </w:rPr>
        <w:t>En 2008 el municipio de Tlalnepantla de Baz fue único municipio que publicó su programa anual de obra no referenció tener una licitación para el mismo y los 124 municipios restantes no publicaron ninguna</w:t>
      </w:r>
      <w:r>
        <w:rPr>
          <w:spacing w:val="-19"/>
          <w:sz w:val="24"/>
        </w:rPr>
        <w:t> </w:t>
      </w:r>
      <w:r>
        <w:rPr>
          <w:sz w:val="24"/>
        </w:rPr>
        <w:t>información.</w:t>
      </w:r>
    </w:p>
    <w:p>
      <w:pPr>
        <w:pStyle w:val="BodyText"/>
      </w:pPr>
    </w:p>
    <w:p>
      <w:pPr>
        <w:pStyle w:val="ListParagraph"/>
        <w:numPr>
          <w:ilvl w:val="0"/>
          <w:numId w:val="50"/>
        </w:numPr>
        <w:tabs>
          <w:tab w:pos="556" w:val="left" w:leader="none"/>
        </w:tabs>
        <w:spacing w:line="357" w:lineRule="auto" w:before="148" w:after="0"/>
        <w:ind w:left="555" w:right="99" w:hanging="360"/>
        <w:jc w:val="both"/>
        <w:rPr>
          <w:sz w:val="24"/>
        </w:rPr>
      </w:pPr>
      <w:r>
        <w:rPr>
          <w:sz w:val="24"/>
        </w:rPr>
        <w:t>En 2009 de los siete municipios que publicaron su programa anual de obra (Tlalnepantla</w:t>
      </w:r>
      <w:r>
        <w:rPr>
          <w:spacing w:val="-20"/>
          <w:sz w:val="24"/>
        </w:rPr>
        <w:t> </w:t>
      </w:r>
      <w:r>
        <w:rPr>
          <w:sz w:val="24"/>
        </w:rPr>
        <w:t>de</w:t>
      </w:r>
      <w:r>
        <w:rPr>
          <w:spacing w:val="-20"/>
          <w:sz w:val="24"/>
        </w:rPr>
        <w:t> </w:t>
      </w:r>
      <w:r>
        <w:rPr>
          <w:sz w:val="24"/>
        </w:rPr>
        <w:t>Baz,</w:t>
      </w:r>
      <w:r>
        <w:rPr>
          <w:spacing w:val="-20"/>
          <w:sz w:val="24"/>
        </w:rPr>
        <w:t> </w:t>
      </w:r>
      <w:r>
        <w:rPr>
          <w:sz w:val="24"/>
        </w:rPr>
        <w:t>Tezoyuca,</w:t>
      </w:r>
      <w:r>
        <w:rPr>
          <w:spacing w:val="-20"/>
          <w:sz w:val="24"/>
        </w:rPr>
        <w:t> </w:t>
      </w:r>
      <w:r>
        <w:rPr>
          <w:sz w:val="24"/>
        </w:rPr>
        <w:t>Teotihuacán,</w:t>
      </w:r>
      <w:r>
        <w:rPr>
          <w:spacing w:val="-23"/>
          <w:sz w:val="24"/>
        </w:rPr>
        <w:t> </w:t>
      </w:r>
      <w:r>
        <w:rPr>
          <w:sz w:val="24"/>
        </w:rPr>
        <w:t>Temascalapa,</w:t>
      </w:r>
      <w:r>
        <w:rPr>
          <w:spacing w:val="-20"/>
          <w:sz w:val="24"/>
        </w:rPr>
        <w:t> </w:t>
      </w:r>
      <w:r>
        <w:rPr>
          <w:sz w:val="24"/>
        </w:rPr>
        <w:t>Jilotepec,</w:t>
      </w:r>
      <w:r>
        <w:rPr>
          <w:spacing w:val="-20"/>
          <w:sz w:val="24"/>
        </w:rPr>
        <w:t> </w:t>
      </w:r>
      <w:r>
        <w:rPr>
          <w:sz w:val="24"/>
        </w:rPr>
        <w:t>Ecatepec de Morelos y Atlacomulco) solamente el municipio de Tezoyuca publicó una licitación y 118 municipios no publicaron</w:t>
      </w:r>
      <w:r>
        <w:rPr>
          <w:spacing w:val="-16"/>
          <w:sz w:val="24"/>
        </w:rPr>
        <w:t> </w:t>
      </w:r>
      <w:r>
        <w:rPr>
          <w:sz w:val="24"/>
        </w:rPr>
        <w:t>información.</w:t>
      </w:r>
    </w:p>
    <w:p>
      <w:pPr>
        <w:spacing w:after="0" w:line="357" w:lineRule="auto"/>
        <w:jc w:val="both"/>
        <w:rPr>
          <w:sz w:val="24"/>
        </w:rPr>
        <w:sectPr>
          <w:pgSz w:w="12240" w:h="15840"/>
          <w:pgMar w:header="0" w:footer="1035" w:top="1380" w:bottom="1220" w:left="1480" w:right="1600"/>
        </w:sectPr>
      </w:pPr>
    </w:p>
    <w:p>
      <w:pPr>
        <w:pStyle w:val="ListParagraph"/>
        <w:numPr>
          <w:ilvl w:val="0"/>
          <w:numId w:val="50"/>
        </w:numPr>
        <w:tabs>
          <w:tab w:pos="536" w:val="left" w:leader="none"/>
        </w:tabs>
        <w:spacing w:line="355" w:lineRule="auto" w:before="34" w:after="0"/>
        <w:ind w:left="535" w:right="115" w:hanging="360"/>
        <w:jc w:val="both"/>
        <w:rPr>
          <w:sz w:val="24"/>
        </w:rPr>
      </w:pPr>
      <w:r>
        <w:rPr>
          <w:sz w:val="24"/>
        </w:rPr>
        <w:t>En 2010 de los 16 municipios que publicaron su programa anual de obra, solamente uno (Tezoyuca) publicó 8 licitaciones. 109 municipios no publicaron información al</w:t>
      </w:r>
      <w:r>
        <w:rPr>
          <w:spacing w:val="-9"/>
          <w:sz w:val="24"/>
        </w:rPr>
        <w:t> </w:t>
      </w:r>
      <w:r>
        <w:rPr>
          <w:sz w:val="24"/>
        </w:rPr>
        <w:t>respecto.</w:t>
      </w:r>
    </w:p>
    <w:p>
      <w:pPr>
        <w:pStyle w:val="ListParagraph"/>
        <w:numPr>
          <w:ilvl w:val="0"/>
          <w:numId w:val="50"/>
        </w:numPr>
        <w:tabs>
          <w:tab w:pos="536" w:val="left" w:leader="none"/>
        </w:tabs>
        <w:spacing w:line="357" w:lineRule="auto" w:before="11" w:after="0"/>
        <w:ind w:left="535" w:right="124" w:hanging="360"/>
        <w:jc w:val="both"/>
        <w:rPr>
          <w:sz w:val="24"/>
        </w:rPr>
      </w:pPr>
      <w:r>
        <w:rPr>
          <w:sz w:val="24"/>
        </w:rPr>
        <w:t>En 2011 de los 35 municipios publicaron su programa anual de obra, de los cuales 22 hicieron públicas sus licitaciones. Es de resaltar los casos de Tlalnepantla de Baz que publicó 170 licitaciones y Huixquilucan con 121. Mientras que 90 municipios no publicaron ninguna</w:t>
      </w:r>
      <w:r>
        <w:rPr>
          <w:spacing w:val="-22"/>
          <w:sz w:val="24"/>
        </w:rPr>
        <w:t> </w:t>
      </w:r>
      <w:r>
        <w:rPr>
          <w:sz w:val="24"/>
        </w:rPr>
        <w:t>información.</w:t>
      </w:r>
    </w:p>
    <w:p>
      <w:pPr>
        <w:pStyle w:val="BodyText"/>
      </w:pPr>
    </w:p>
    <w:p>
      <w:pPr>
        <w:pStyle w:val="ListParagraph"/>
        <w:numPr>
          <w:ilvl w:val="0"/>
          <w:numId w:val="50"/>
        </w:numPr>
        <w:tabs>
          <w:tab w:pos="536" w:val="left" w:leader="none"/>
        </w:tabs>
        <w:spacing w:line="357" w:lineRule="auto" w:before="145" w:after="0"/>
        <w:ind w:left="535" w:right="117" w:hanging="360"/>
        <w:jc w:val="both"/>
        <w:rPr>
          <w:sz w:val="24"/>
        </w:rPr>
      </w:pPr>
      <w:r>
        <w:rPr>
          <w:sz w:val="24"/>
        </w:rPr>
        <w:t>En</w:t>
      </w:r>
      <w:r>
        <w:rPr>
          <w:spacing w:val="-13"/>
          <w:sz w:val="24"/>
        </w:rPr>
        <w:t> </w:t>
      </w:r>
      <w:r>
        <w:rPr>
          <w:sz w:val="24"/>
        </w:rPr>
        <w:t>2012</w:t>
      </w:r>
      <w:r>
        <w:rPr>
          <w:spacing w:val="-13"/>
          <w:sz w:val="24"/>
        </w:rPr>
        <w:t> </w:t>
      </w:r>
      <w:r>
        <w:rPr>
          <w:sz w:val="24"/>
        </w:rPr>
        <w:t>de</w:t>
      </w:r>
      <w:r>
        <w:rPr>
          <w:spacing w:val="-13"/>
          <w:sz w:val="24"/>
        </w:rPr>
        <w:t> </w:t>
      </w:r>
      <w:r>
        <w:rPr>
          <w:sz w:val="24"/>
        </w:rPr>
        <w:t>los</w:t>
      </w:r>
      <w:r>
        <w:rPr>
          <w:spacing w:val="-13"/>
          <w:sz w:val="24"/>
        </w:rPr>
        <w:t> </w:t>
      </w:r>
      <w:r>
        <w:rPr>
          <w:sz w:val="24"/>
        </w:rPr>
        <w:t>40</w:t>
      </w:r>
      <w:r>
        <w:rPr>
          <w:spacing w:val="-13"/>
          <w:sz w:val="24"/>
        </w:rPr>
        <w:t> </w:t>
      </w:r>
      <w:r>
        <w:rPr>
          <w:sz w:val="24"/>
        </w:rPr>
        <w:t>municipios</w:t>
      </w:r>
      <w:r>
        <w:rPr>
          <w:spacing w:val="-13"/>
          <w:sz w:val="24"/>
        </w:rPr>
        <w:t> </w:t>
      </w:r>
      <w:r>
        <w:rPr>
          <w:sz w:val="24"/>
        </w:rPr>
        <w:t>que</w:t>
      </w:r>
      <w:r>
        <w:rPr>
          <w:spacing w:val="-13"/>
          <w:sz w:val="24"/>
        </w:rPr>
        <w:t> </w:t>
      </w:r>
      <w:r>
        <w:rPr>
          <w:sz w:val="24"/>
        </w:rPr>
        <w:t>publicaron</w:t>
      </w:r>
      <w:r>
        <w:rPr>
          <w:spacing w:val="-15"/>
          <w:sz w:val="24"/>
        </w:rPr>
        <w:t> </w:t>
      </w:r>
      <w:r>
        <w:rPr>
          <w:sz w:val="24"/>
        </w:rPr>
        <w:t>su</w:t>
      </w:r>
      <w:r>
        <w:rPr>
          <w:spacing w:val="-13"/>
          <w:sz w:val="24"/>
        </w:rPr>
        <w:t> </w:t>
      </w:r>
      <w:r>
        <w:rPr>
          <w:sz w:val="24"/>
        </w:rPr>
        <w:t>programa</w:t>
      </w:r>
      <w:r>
        <w:rPr>
          <w:spacing w:val="-13"/>
          <w:sz w:val="24"/>
        </w:rPr>
        <w:t> </w:t>
      </w:r>
      <w:r>
        <w:rPr>
          <w:sz w:val="24"/>
        </w:rPr>
        <w:t>de</w:t>
      </w:r>
      <w:r>
        <w:rPr>
          <w:spacing w:val="-13"/>
          <w:sz w:val="24"/>
        </w:rPr>
        <w:t> </w:t>
      </w:r>
      <w:r>
        <w:rPr>
          <w:sz w:val="24"/>
        </w:rPr>
        <w:t>obra,</w:t>
      </w:r>
      <w:r>
        <w:rPr>
          <w:spacing w:val="-13"/>
          <w:sz w:val="24"/>
        </w:rPr>
        <w:t> </w:t>
      </w:r>
      <w:r>
        <w:rPr>
          <w:sz w:val="24"/>
        </w:rPr>
        <w:t>25</w:t>
      </w:r>
      <w:r>
        <w:rPr>
          <w:spacing w:val="-13"/>
          <w:sz w:val="24"/>
        </w:rPr>
        <w:t> </w:t>
      </w:r>
      <w:r>
        <w:rPr>
          <w:sz w:val="24"/>
        </w:rPr>
        <w:t>publicaron licitaciones. Es de resaltar el caso de Tlalnepantla de Baz que publicó 189 licitaciones y de Otzolotepec con 86. Mientras que 85 municipios no publicaron información.</w:t>
      </w:r>
    </w:p>
    <w:p>
      <w:pPr>
        <w:pStyle w:val="BodyText"/>
      </w:pPr>
    </w:p>
    <w:p>
      <w:pPr>
        <w:pStyle w:val="ListParagraph"/>
        <w:numPr>
          <w:ilvl w:val="0"/>
          <w:numId w:val="50"/>
        </w:numPr>
        <w:tabs>
          <w:tab w:pos="536" w:val="left" w:leader="none"/>
        </w:tabs>
        <w:spacing w:line="355" w:lineRule="auto" w:before="145" w:after="0"/>
        <w:ind w:left="535" w:right="118" w:hanging="360"/>
        <w:jc w:val="both"/>
        <w:rPr>
          <w:sz w:val="24"/>
        </w:rPr>
      </w:pPr>
      <w:r>
        <w:rPr>
          <w:sz w:val="24"/>
        </w:rPr>
        <w:t>En 2013 de los 75 municipios que publicaron su programa anual de obra, 62 publicaron licitaciones. Resalta el caso de Aculco con 282 licitaciones y de Tecámac con 139. Mientras que 50 municipios no publicaron</w:t>
      </w:r>
      <w:r>
        <w:rPr>
          <w:spacing w:val="-26"/>
          <w:sz w:val="24"/>
        </w:rPr>
        <w:t> </w:t>
      </w:r>
      <w:r>
        <w:rPr>
          <w:sz w:val="24"/>
        </w:rPr>
        <w:t>información.</w:t>
      </w:r>
    </w:p>
    <w:p>
      <w:pPr>
        <w:pStyle w:val="BodyText"/>
      </w:pPr>
    </w:p>
    <w:p>
      <w:pPr>
        <w:pStyle w:val="ListParagraph"/>
        <w:numPr>
          <w:ilvl w:val="0"/>
          <w:numId w:val="50"/>
        </w:numPr>
        <w:tabs>
          <w:tab w:pos="536" w:val="left" w:leader="none"/>
        </w:tabs>
        <w:spacing w:line="355" w:lineRule="auto" w:before="148" w:after="0"/>
        <w:ind w:left="535" w:right="124" w:hanging="360"/>
        <w:jc w:val="both"/>
        <w:rPr>
          <w:sz w:val="24"/>
        </w:rPr>
      </w:pPr>
      <w:r>
        <w:rPr>
          <w:sz w:val="24"/>
        </w:rPr>
        <w:t>En 2014 de los 68 municipios que publicaron su programa anual de obra, 50 publicaron licitaciones. Resalta el caso de Aculco con 446 licitaciones y de Tecámac con 217. Mientras que 57 municipios no publicaron</w:t>
      </w:r>
      <w:r>
        <w:rPr>
          <w:spacing w:val="-25"/>
          <w:sz w:val="24"/>
        </w:rPr>
        <w:t> </w:t>
      </w:r>
      <w:r>
        <w:rPr>
          <w:sz w:val="24"/>
        </w:rPr>
        <w:t>información.</w:t>
      </w:r>
    </w:p>
    <w:p>
      <w:pPr>
        <w:pStyle w:val="BodyText"/>
      </w:pPr>
    </w:p>
    <w:p>
      <w:pPr>
        <w:pStyle w:val="ListParagraph"/>
        <w:numPr>
          <w:ilvl w:val="0"/>
          <w:numId w:val="50"/>
        </w:numPr>
        <w:tabs>
          <w:tab w:pos="536" w:val="left" w:leader="none"/>
        </w:tabs>
        <w:spacing w:line="355" w:lineRule="auto" w:before="148" w:after="0"/>
        <w:ind w:left="535" w:right="123" w:hanging="360"/>
        <w:jc w:val="both"/>
        <w:rPr>
          <w:sz w:val="24"/>
        </w:rPr>
      </w:pPr>
      <w:r>
        <w:rPr>
          <w:sz w:val="24"/>
        </w:rPr>
        <w:t>En 2015 de los 49 municipios que publicaron su programa anual de obra, 27 publicaron</w:t>
      </w:r>
      <w:r>
        <w:rPr>
          <w:spacing w:val="-9"/>
          <w:sz w:val="24"/>
        </w:rPr>
        <w:t> </w:t>
      </w:r>
      <w:r>
        <w:rPr>
          <w:sz w:val="24"/>
        </w:rPr>
        <w:t>licitaciones.</w:t>
      </w:r>
      <w:r>
        <w:rPr>
          <w:spacing w:val="-12"/>
          <w:sz w:val="24"/>
        </w:rPr>
        <w:t> </w:t>
      </w:r>
      <w:r>
        <w:rPr>
          <w:sz w:val="24"/>
        </w:rPr>
        <w:t>Resalta</w:t>
      </w:r>
      <w:r>
        <w:rPr>
          <w:spacing w:val="-12"/>
          <w:sz w:val="24"/>
        </w:rPr>
        <w:t> </w:t>
      </w:r>
      <w:r>
        <w:rPr>
          <w:sz w:val="24"/>
        </w:rPr>
        <w:t>el</w:t>
      </w:r>
      <w:r>
        <w:rPr>
          <w:spacing w:val="-11"/>
          <w:sz w:val="24"/>
        </w:rPr>
        <w:t> </w:t>
      </w:r>
      <w:r>
        <w:rPr>
          <w:sz w:val="24"/>
        </w:rPr>
        <w:t>caso</w:t>
      </w:r>
      <w:r>
        <w:rPr>
          <w:spacing w:val="-12"/>
          <w:sz w:val="24"/>
        </w:rPr>
        <w:t> </w:t>
      </w:r>
      <w:r>
        <w:rPr>
          <w:sz w:val="24"/>
        </w:rPr>
        <w:t>de</w:t>
      </w:r>
      <w:r>
        <w:rPr>
          <w:spacing w:val="-14"/>
          <w:sz w:val="24"/>
        </w:rPr>
        <w:t> </w:t>
      </w:r>
      <w:r>
        <w:rPr>
          <w:sz w:val="24"/>
        </w:rPr>
        <w:t>Toluca</w:t>
      </w:r>
      <w:r>
        <w:rPr>
          <w:spacing w:val="-9"/>
          <w:sz w:val="24"/>
        </w:rPr>
        <w:t> </w:t>
      </w:r>
      <w:r>
        <w:rPr>
          <w:sz w:val="24"/>
        </w:rPr>
        <w:t>con</w:t>
      </w:r>
      <w:r>
        <w:rPr>
          <w:spacing w:val="-12"/>
          <w:sz w:val="24"/>
        </w:rPr>
        <w:t> </w:t>
      </w:r>
      <w:r>
        <w:rPr>
          <w:sz w:val="24"/>
        </w:rPr>
        <w:t>60</w:t>
      </w:r>
      <w:r>
        <w:rPr>
          <w:spacing w:val="-9"/>
          <w:sz w:val="24"/>
        </w:rPr>
        <w:t> </w:t>
      </w:r>
      <w:r>
        <w:rPr>
          <w:sz w:val="24"/>
        </w:rPr>
        <w:t>licitaciones</w:t>
      </w:r>
      <w:r>
        <w:rPr>
          <w:spacing w:val="-15"/>
          <w:sz w:val="24"/>
        </w:rPr>
        <w:t> </w:t>
      </w:r>
      <w:r>
        <w:rPr>
          <w:sz w:val="24"/>
        </w:rPr>
        <w:t>y</w:t>
      </w:r>
      <w:r>
        <w:rPr>
          <w:spacing w:val="-13"/>
          <w:sz w:val="24"/>
        </w:rPr>
        <w:t> </w:t>
      </w:r>
      <w:r>
        <w:rPr>
          <w:sz w:val="24"/>
        </w:rPr>
        <w:t>de</w:t>
      </w:r>
      <w:r>
        <w:rPr>
          <w:spacing w:val="-9"/>
          <w:sz w:val="24"/>
        </w:rPr>
        <w:t> </w:t>
      </w:r>
      <w:r>
        <w:rPr>
          <w:sz w:val="24"/>
        </w:rPr>
        <w:t>Chalco con 38. Mientras que 76 municipios no publicaron</w:t>
      </w:r>
      <w:r>
        <w:rPr>
          <w:spacing w:val="-15"/>
          <w:sz w:val="24"/>
        </w:rPr>
        <w:t> </w:t>
      </w:r>
      <w:r>
        <w:rPr>
          <w:sz w:val="24"/>
        </w:rPr>
        <w:t>información.</w:t>
      </w:r>
    </w:p>
    <w:p>
      <w:pPr>
        <w:pStyle w:val="BodyText"/>
      </w:pPr>
    </w:p>
    <w:p>
      <w:pPr>
        <w:pStyle w:val="BodyText"/>
        <w:spacing w:line="360" w:lineRule="auto" w:before="147"/>
        <w:ind w:left="108" w:right="116"/>
        <w:jc w:val="both"/>
      </w:pPr>
      <w:r>
        <w:rPr/>
        <w:t>En</w:t>
      </w:r>
      <w:r>
        <w:rPr>
          <w:spacing w:val="-12"/>
        </w:rPr>
        <w:t> </w:t>
      </w:r>
      <w:r>
        <w:rPr/>
        <w:t>este</w:t>
      </w:r>
      <w:r>
        <w:rPr>
          <w:spacing w:val="-11"/>
        </w:rPr>
        <w:t> </w:t>
      </w:r>
      <w:r>
        <w:rPr/>
        <w:t>apartado</w:t>
      </w:r>
      <w:r>
        <w:rPr>
          <w:spacing w:val="-11"/>
        </w:rPr>
        <w:t> </w:t>
      </w:r>
      <w:r>
        <w:rPr/>
        <w:t>se</w:t>
      </w:r>
      <w:r>
        <w:rPr>
          <w:spacing w:val="-14"/>
        </w:rPr>
        <w:t> </w:t>
      </w:r>
      <w:r>
        <w:rPr/>
        <w:t>aprecian</w:t>
      </w:r>
      <w:r>
        <w:rPr>
          <w:spacing w:val="-10"/>
        </w:rPr>
        <w:t> </w:t>
      </w:r>
      <w:r>
        <w:rPr/>
        <w:t>como</w:t>
      </w:r>
      <w:r>
        <w:rPr>
          <w:spacing w:val="-11"/>
        </w:rPr>
        <w:t> </w:t>
      </w:r>
      <w:r>
        <w:rPr/>
        <w:t>las</w:t>
      </w:r>
      <w:r>
        <w:rPr>
          <w:spacing w:val="-12"/>
        </w:rPr>
        <w:t> </w:t>
      </w:r>
      <w:r>
        <w:rPr/>
        <w:t>licitaciones</w:t>
      </w:r>
      <w:r>
        <w:rPr>
          <w:spacing w:val="-11"/>
        </w:rPr>
        <w:t> </w:t>
      </w:r>
      <w:r>
        <w:rPr/>
        <w:t>son</w:t>
      </w:r>
      <w:r>
        <w:rPr>
          <w:spacing w:val="-12"/>
        </w:rPr>
        <w:t> </w:t>
      </w:r>
      <w:r>
        <w:rPr/>
        <w:t>documentos</w:t>
      </w:r>
      <w:r>
        <w:rPr>
          <w:spacing w:val="-15"/>
        </w:rPr>
        <w:t> </w:t>
      </w:r>
      <w:r>
        <w:rPr/>
        <w:t>poco</w:t>
      </w:r>
      <w:r>
        <w:rPr>
          <w:spacing w:val="-14"/>
        </w:rPr>
        <w:t> </w:t>
      </w:r>
      <w:r>
        <w:rPr/>
        <w:t>publicados por los gobiernos municipales. Asimismo, que la mayoría de los municipios no publica</w:t>
      </w:r>
      <w:r>
        <w:rPr>
          <w:spacing w:val="-18"/>
        </w:rPr>
        <w:t> </w:t>
      </w:r>
      <w:r>
        <w:rPr/>
        <w:t>esta</w:t>
      </w:r>
      <w:r>
        <w:rPr>
          <w:spacing w:val="-17"/>
        </w:rPr>
        <w:t> </w:t>
      </w:r>
      <w:r>
        <w:rPr/>
        <w:t>información.</w:t>
      </w:r>
      <w:r>
        <w:rPr>
          <w:spacing w:val="-17"/>
        </w:rPr>
        <w:t> </w:t>
      </w:r>
      <w:r>
        <w:rPr/>
        <w:t>De</w:t>
      </w:r>
      <w:r>
        <w:rPr>
          <w:spacing w:val="-18"/>
        </w:rPr>
        <w:t> </w:t>
      </w:r>
      <w:r>
        <w:rPr/>
        <w:t>modo</w:t>
      </w:r>
      <w:r>
        <w:rPr>
          <w:spacing w:val="-14"/>
        </w:rPr>
        <w:t> </w:t>
      </w:r>
      <w:r>
        <w:rPr/>
        <w:t>que</w:t>
      </w:r>
      <w:r>
        <w:rPr>
          <w:spacing w:val="-18"/>
        </w:rPr>
        <w:t> </w:t>
      </w:r>
      <w:r>
        <w:rPr/>
        <w:t>la</w:t>
      </w:r>
      <w:r>
        <w:rPr>
          <w:spacing w:val="-18"/>
        </w:rPr>
        <w:t> </w:t>
      </w:r>
      <w:r>
        <w:rPr/>
        <w:t>transparencia</w:t>
      </w:r>
      <w:r>
        <w:rPr>
          <w:spacing w:val="-18"/>
        </w:rPr>
        <w:t> </w:t>
      </w:r>
      <w:r>
        <w:rPr/>
        <w:t>en</w:t>
      </w:r>
      <w:r>
        <w:rPr>
          <w:spacing w:val="-17"/>
        </w:rPr>
        <w:t> </w:t>
      </w:r>
      <w:r>
        <w:rPr/>
        <w:t>los</w:t>
      </w:r>
      <w:r>
        <w:rPr>
          <w:spacing w:val="-18"/>
        </w:rPr>
        <w:t> </w:t>
      </w:r>
      <w:r>
        <w:rPr/>
        <w:t>discursos</w:t>
      </w:r>
      <w:r>
        <w:rPr>
          <w:spacing w:val="-17"/>
        </w:rPr>
        <w:t> </w:t>
      </w:r>
      <w:r>
        <w:rPr/>
        <w:t>de</w:t>
      </w:r>
      <w:r>
        <w:rPr>
          <w:spacing w:val="-17"/>
        </w:rPr>
        <w:t> </w:t>
      </w:r>
      <w:r>
        <w:rPr/>
        <w:t>campaña sigue siendo poco aterrizada en la práctica cotidiana y más cuando se trata de recursos</w:t>
      </w:r>
      <w:r>
        <w:rPr>
          <w:spacing w:val="-2"/>
        </w:rPr>
        <w:t> </w:t>
      </w:r>
      <w:r>
        <w:rPr/>
        <w:t>financieros.</w:t>
      </w:r>
    </w:p>
    <w:p>
      <w:pPr>
        <w:spacing w:after="0" w:line="360" w:lineRule="auto"/>
        <w:jc w:val="both"/>
        <w:sectPr>
          <w:footerReference w:type="default" r:id="rId76"/>
          <w:pgSz w:w="12240" w:h="15840"/>
          <w:pgMar w:footer="1035" w:header="0" w:top="1380" w:bottom="1220" w:left="1500" w:right="1580"/>
        </w:sectPr>
      </w:pPr>
    </w:p>
    <w:p>
      <w:pPr>
        <w:pStyle w:val="Heading1"/>
        <w:numPr>
          <w:ilvl w:val="2"/>
          <w:numId w:val="47"/>
        </w:numPr>
        <w:tabs>
          <w:tab w:pos="837" w:val="left" w:leader="none"/>
        </w:tabs>
        <w:spacing w:line="240" w:lineRule="auto" w:before="56" w:after="0"/>
        <w:ind w:left="836" w:right="0" w:hanging="720"/>
        <w:jc w:val="both"/>
      </w:pPr>
      <w:r>
        <w:rPr/>
        <w:t>Solicitudes de</w:t>
      </w:r>
      <w:r>
        <w:rPr>
          <w:spacing w:val="-5"/>
        </w:rPr>
        <w:t> </w:t>
      </w:r>
      <w:r>
        <w:rPr/>
        <w:t>información</w:t>
      </w:r>
    </w:p>
    <w:p>
      <w:pPr>
        <w:pStyle w:val="BodyText"/>
        <w:rPr>
          <w:b/>
        </w:rPr>
      </w:pPr>
    </w:p>
    <w:p>
      <w:pPr>
        <w:pStyle w:val="BodyText"/>
        <w:spacing w:before="9"/>
        <w:rPr>
          <w:b/>
          <w:sz w:val="23"/>
        </w:rPr>
      </w:pPr>
    </w:p>
    <w:p>
      <w:pPr>
        <w:pStyle w:val="BodyText"/>
        <w:spacing w:line="360" w:lineRule="auto"/>
        <w:ind w:left="128" w:right="115"/>
        <w:jc w:val="both"/>
      </w:pPr>
      <w:r>
        <w:rPr/>
        <w:t>Las solicitudes de información son uno de los medios a través de los cuales la sociedad interactúa con el gobierno, ya que no está presente en la toma de decisiones tiene como alternativas revisar los informes de gobierno o solicitar la información que requiere. En este sentido, la siguiente tabla muestra cómo esa participación se ha venido incrementando a lo largo de esta primera década de implementación de la ley de transparencia en el Estado de México. Destaca la gran cantidad</w:t>
      </w:r>
      <w:r>
        <w:rPr>
          <w:spacing w:val="-13"/>
        </w:rPr>
        <w:t> </w:t>
      </w:r>
      <w:r>
        <w:rPr/>
        <w:t>de</w:t>
      </w:r>
      <w:r>
        <w:rPr>
          <w:spacing w:val="-12"/>
        </w:rPr>
        <w:t> </w:t>
      </w:r>
      <w:r>
        <w:rPr/>
        <w:t>solicitudes</w:t>
      </w:r>
      <w:r>
        <w:rPr>
          <w:spacing w:val="-14"/>
        </w:rPr>
        <w:t> </w:t>
      </w:r>
      <w:r>
        <w:rPr/>
        <w:t>de</w:t>
      </w:r>
      <w:r>
        <w:rPr>
          <w:spacing w:val="-12"/>
        </w:rPr>
        <w:t> </w:t>
      </w:r>
      <w:r>
        <w:rPr/>
        <w:t>información</w:t>
      </w:r>
      <w:r>
        <w:rPr>
          <w:spacing w:val="-13"/>
        </w:rPr>
        <w:t> </w:t>
      </w:r>
      <w:r>
        <w:rPr/>
        <w:t>hechas</w:t>
      </w:r>
      <w:r>
        <w:rPr>
          <w:spacing w:val="-14"/>
        </w:rPr>
        <w:t> </w:t>
      </w:r>
      <w:r>
        <w:rPr/>
        <w:t>a</w:t>
      </w:r>
      <w:r>
        <w:rPr>
          <w:spacing w:val="-12"/>
        </w:rPr>
        <w:t> </w:t>
      </w:r>
      <w:r>
        <w:rPr/>
        <w:t>los</w:t>
      </w:r>
      <w:r>
        <w:rPr>
          <w:spacing w:val="-13"/>
        </w:rPr>
        <w:t> </w:t>
      </w:r>
      <w:r>
        <w:rPr/>
        <w:t>municipios</w:t>
      </w:r>
      <w:r>
        <w:rPr>
          <w:spacing w:val="-12"/>
        </w:rPr>
        <w:t> </w:t>
      </w:r>
      <w:r>
        <w:rPr/>
        <w:t>con</w:t>
      </w:r>
      <w:r>
        <w:rPr>
          <w:spacing w:val="-7"/>
        </w:rPr>
        <w:t> </w:t>
      </w:r>
      <w:r>
        <w:rPr/>
        <w:t>92,794</w:t>
      </w:r>
      <w:r>
        <w:rPr>
          <w:spacing w:val="-11"/>
        </w:rPr>
        <w:t> </w:t>
      </w:r>
      <w:r>
        <w:rPr/>
        <w:t>y</w:t>
      </w:r>
      <w:r>
        <w:rPr>
          <w:spacing w:val="-14"/>
        </w:rPr>
        <w:t> </w:t>
      </w:r>
      <w:r>
        <w:rPr/>
        <w:t>al</w:t>
      </w:r>
      <w:r>
        <w:rPr>
          <w:spacing w:val="-13"/>
        </w:rPr>
        <w:t> </w:t>
      </w:r>
      <w:r>
        <w:rPr/>
        <w:t>poder ejecutivo con</w:t>
      </w:r>
      <w:r>
        <w:rPr>
          <w:spacing w:val="-5"/>
        </w:rPr>
        <w:t> </w:t>
      </w:r>
      <w:r>
        <w:rPr/>
        <w:t>51,033.</w:t>
      </w:r>
    </w:p>
    <w:p>
      <w:pPr>
        <w:pStyle w:val="BodyText"/>
        <w:rPr>
          <w:sz w:val="20"/>
        </w:rPr>
      </w:pPr>
    </w:p>
    <w:p>
      <w:pPr>
        <w:pStyle w:val="BodyText"/>
        <w:spacing w:before="5" w:after="1"/>
        <w:rPr>
          <w:sz w:val="16"/>
        </w:rPr>
      </w:pPr>
    </w:p>
    <w:tbl>
      <w:tblPr>
        <w:tblW w:w="0" w:type="auto"/>
        <w:jc w:val="left"/>
        <w:tblInd w:w="1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03"/>
        <w:gridCol w:w="1016"/>
        <w:gridCol w:w="1133"/>
        <w:gridCol w:w="1135"/>
        <w:gridCol w:w="1080"/>
        <w:gridCol w:w="1277"/>
        <w:gridCol w:w="620"/>
        <w:gridCol w:w="994"/>
      </w:tblGrid>
      <w:tr>
        <w:trPr>
          <w:trHeight w:val="485" w:hRule="exact"/>
        </w:trPr>
        <w:tc>
          <w:tcPr>
            <w:tcW w:w="8858" w:type="dxa"/>
            <w:gridSpan w:val="8"/>
            <w:shd w:val="clear" w:color="auto" w:fill="92D050"/>
          </w:tcPr>
          <w:p>
            <w:pPr>
              <w:pStyle w:val="TableParagraph"/>
              <w:spacing w:line="276" w:lineRule="auto"/>
              <w:ind w:left="4046" w:right="292" w:hanging="3743"/>
              <w:jc w:val="left"/>
              <w:rPr>
                <w:b/>
                <w:sz w:val="18"/>
              </w:rPr>
            </w:pPr>
            <w:r>
              <w:rPr>
                <w:b/>
                <w:sz w:val="18"/>
              </w:rPr>
              <w:t>Tabla 3.4. Solicitudes de información pública en el Estado de México 2005-2012 por año y sujeto obligado</w:t>
            </w:r>
          </w:p>
        </w:tc>
      </w:tr>
      <w:tr>
        <w:trPr>
          <w:trHeight w:val="487" w:hRule="exact"/>
        </w:trPr>
        <w:tc>
          <w:tcPr>
            <w:tcW w:w="1603" w:type="dxa"/>
            <w:shd w:val="clear" w:color="auto" w:fill="92D050"/>
          </w:tcPr>
          <w:p>
            <w:pPr>
              <w:pStyle w:val="TableParagraph"/>
              <w:spacing w:before="114"/>
              <w:ind w:left="621" w:right="104"/>
              <w:jc w:val="left"/>
              <w:rPr>
                <w:b/>
                <w:sz w:val="18"/>
              </w:rPr>
            </w:pPr>
            <w:r>
              <w:rPr>
                <w:b/>
                <w:sz w:val="18"/>
              </w:rPr>
              <w:t>Año</w:t>
            </w:r>
          </w:p>
        </w:tc>
        <w:tc>
          <w:tcPr>
            <w:tcW w:w="1016" w:type="dxa"/>
            <w:shd w:val="clear" w:color="auto" w:fill="92D050"/>
          </w:tcPr>
          <w:p>
            <w:pPr>
              <w:pStyle w:val="TableParagraph"/>
              <w:spacing w:line="278" w:lineRule="auto"/>
              <w:ind w:left="110" w:right="95" w:firstLine="134"/>
              <w:jc w:val="left"/>
              <w:rPr>
                <w:b/>
                <w:sz w:val="18"/>
              </w:rPr>
            </w:pPr>
            <w:r>
              <w:rPr>
                <w:b/>
                <w:sz w:val="18"/>
              </w:rPr>
              <w:t>Poder ejecutivo</w:t>
            </w:r>
          </w:p>
        </w:tc>
        <w:tc>
          <w:tcPr>
            <w:tcW w:w="1133" w:type="dxa"/>
            <w:shd w:val="clear" w:color="auto" w:fill="92D050"/>
          </w:tcPr>
          <w:p>
            <w:pPr>
              <w:pStyle w:val="TableParagraph"/>
              <w:spacing w:line="278" w:lineRule="auto"/>
              <w:ind w:left="119" w:right="103" w:firstLine="184"/>
              <w:jc w:val="left"/>
              <w:rPr>
                <w:b/>
                <w:sz w:val="18"/>
              </w:rPr>
            </w:pPr>
            <w:r>
              <w:rPr>
                <w:b/>
                <w:sz w:val="18"/>
              </w:rPr>
              <w:t>Poder legislativo</w:t>
            </w:r>
          </w:p>
        </w:tc>
        <w:tc>
          <w:tcPr>
            <w:tcW w:w="1135" w:type="dxa"/>
            <w:shd w:val="clear" w:color="auto" w:fill="92D050"/>
          </w:tcPr>
          <w:p>
            <w:pPr>
              <w:pStyle w:val="TableParagraph"/>
              <w:spacing w:line="278" w:lineRule="auto"/>
              <w:ind w:left="251" w:right="234" w:firstLine="52"/>
              <w:jc w:val="left"/>
              <w:rPr>
                <w:b/>
                <w:sz w:val="18"/>
              </w:rPr>
            </w:pPr>
            <w:r>
              <w:rPr>
                <w:b/>
                <w:sz w:val="18"/>
              </w:rPr>
              <w:t>Poder judicial</w:t>
            </w:r>
          </w:p>
        </w:tc>
        <w:tc>
          <w:tcPr>
            <w:tcW w:w="1080" w:type="dxa"/>
            <w:shd w:val="clear" w:color="auto" w:fill="92D050"/>
          </w:tcPr>
          <w:p>
            <w:pPr>
              <w:pStyle w:val="TableParagraph"/>
              <w:spacing w:before="114"/>
              <w:ind w:left="45" w:right="45"/>
              <w:rPr>
                <w:b/>
                <w:sz w:val="18"/>
              </w:rPr>
            </w:pPr>
            <w:r>
              <w:rPr>
                <w:b/>
                <w:sz w:val="18"/>
              </w:rPr>
              <w:t>Municipios</w:t>
            </w:r>
          </w:p>
        </w:tc>
        <w:tc>
          <w:tcPr>
            <w:tcW w:w="1277" w:type="dxa"/>
            <w:shd w:val="clear" w:color="auto" w:fill="92D050"/>
          </w:tcPr>
          <w:p>
            <w:pPr>
              <w:pStyle w:val="TableParagraph"/>
              <w:spacing w:line="278" w:lineRule="auto"/>
              <w:ind w:left="146" w:right="91" w:hanging="41"/>
              <w:jc w:val="left"/>
              <w:rPr>
                <w:b/>
                <w:sz w:val="18"/>
              </w:rPr>
            </w:pPr>
            <w:r>
              <w:rPr>
                <w:b/>
                <w:sz w:val="18"/>
              </w:rPr>
              <w:t>Organismos autónomos</w:t>
            </w:r>
          </w:p>
        </w:tc>
        <w:tc>
          <w:tcPr>
            <w:tcW w:w="620" w:type="dxa"/>
            <w:shd w:val="clear" w:color="auto" w:fill="92D050"/>
          </w:tcPr>
          <w:p>
            <w:pPr>
              <w:pStyle w:val="TableParagraph"/>
              <w:spacing w:line="201" w:lineRule="exact"/>
              <w:ind w:left="43" w:right="47"/>
              <w:rPr>
                <w:b/>
                <w:sz w:val="18"/>
              </w:rPr>
            </w:pPr>
            <w:r>
              <w:rPr>
                <w:b/>
                <w:sz w:val="18"/>
              </w:rPr>
              <w:t>Otros</w:t>
            </w:r>
          </w:p>
        </w:tc>
        <w:tc>
          <w:tcPr>
            <w:tcW w:w="994" w:type="dxa"/>
            <w:shd w:val="clear" w:color="auto" w:fill="92D050"/>
          </w:tcPr>
          <w:p>
            <w:pPr>
              <w:pStyle w:val="TableParagraph"/>
              <w:spacing w:line="278" w:lineRule="auto"/>
              <w:ind w:left="331" w:right="91" w:hanging="228"/>
              <w:jc w:val="left"/>
              <w:rPr>
                <w:b/>
                <w:sz w:val="18"/>
              </w:rPr>
            </w:pPr>
            <w:r>
              <w:rPr>
                <w:b/>
                <w:sz w:val="18"/>
              </w:rPr>
              <w:t>Total por año</w:t>
            </w:r>
          </w:p>
        </w:tc>
      </w:tr>
      <w:tr>
        <w:trPr>
          <w:trHeight w:val="324" w:hRule="exact"/>
        </w:trPr>
        <w:tc>
          <w:tcPr>
            <w:tcW w:w="1603" w:type="dxa"/>
            <w:shd w:val="clear" w:color="auto" w:fill="92D050"/>
          </w:tcPr>
          <w:p>
            <w:pPr>
              <w:pStyle w:val="TableParagraph"/>
              <w:spacing w:before="32"/>
              <w:ind w:left="595" w:right="104"/>
              <w:jc w:val="left"/>
              <w:rPr>
                <w:b/>
                <w:sz w:val="18"/>
              </w:rPr>
            </w:pPr>
            <w:r>
              <w:rPr>
                <w:b/>
                <w:sz w:val="18"/>
              </w:rPr>
              <w:t>2005</w:t>
            </w:r>
          </w:p>
        </w:tc>
        <w:tc>
          <w:tcPr>
            <w:tcW w:w="1016" w:type="dxa"/>
          </w:tcPr>
          <w:p>
            <w:pPr>
              <w:pStyle w:val="TableParagraph"/>
              <w:spacing w:before="37"/>
              <w:ind w:left="206" w:right="208"/>
              <w:rPr>
                <w:sz w:val="18"/>
              </w:rPr>
            </w:pPr>
            <w:r>
              <w:rPr>
                <w:color w:val="333333"/>
                <w:sz w:val="18"/>
              </w:rPr>
              <w:t>323</w:t>
            </w:r>
          </w:p>
        </w:tc>
        <w:tc>
          <w:tcPr>
            <w:tcW w:w="1133" w:type="dxa"/>
          </w:tcPr>
          <w:p>
            <w:pPr>
              <w:pStyle w:val="TableParagraph"/>
              <w:spacing w:before="37"/>
              <w:rPr>
                <w:sz w:val="18"/>
              </w:rPr>
            </w:pPr>
            <w:r>
              <w:rPr>
                <w:w w:val="99"/>
                <w:sz w:val="18"/>
              </w:rPr>
              <w:t>0</w:t>
            </w:r>
          </w:p>
        </w:tc>
        <w:tc>
          <w:tcPr>
            <w:tcW w:w="1135" w:type="dxa"/>
          </w:tcPr>
          <w:p>
            <w:pPr>
              <w:pStyle w:val="TableParagraph"/>
              <w:spacing w:before="37"/>
              <w:ind w:right="1"/>
              <w:rPr>
                <w:sz w:val="18"/>
              </w:rPr>
            </w:pPr>
            <w:r>
              <w:rPr>
                <w:w w:val="99"/>
                <w:sz w:val="18"/>
              </w:rPr>
              <w:t>0</w:t>
            </w:r>
          </w:p>
        </w:tc>
        <w:tc>
          <w:tcPr>
            <w:tcW w:w="1080" w:type="dxa"/>
          </w:tcPr>
          <w:p>
            <w:pPr>
              <w:pStyle w:val="TableParagraph"/>
              <w:spacing w:before="37"/>
              <w:ind w:left="45" w:right="45"/>
              <w:rPr>
                <w:sz w:val="18"/>
              </w:rPr>
            </w:pPr>
            <w:r>
              <w:rPr>
                <w:color w:val="333333"/>
                <w:sz w:val="18"/>
              </w:rPr>
              <w:t>245</w:t>
            </w:r>
          </w:p>
        </w:tc>
        <w:tc>
          <w:tcPr>
            <w:tcW w:w="1277" w:type="dxa"/>
          </w:tcPr>
          <w:p>
            <w:pPr>
              <w:pStyle w:val="TableParagraph"/>
              <w:spacing w:before="37"/>
              <w:ind w:right="3"/>
              <w:rPr>
                <w:sz w:val="18"/>
              </w:rPr>
            </w:pPr>
            <w:r>
              <w:rPr>
                <w:w w:val="99"/>
                <w:sz w:val="18"/>
              </w:rPr>
              <w:t>4</w:t>
            </w:r>
          </w:p>
        </w:tc>
        <w:tc>
          <w:tcPr>
            <w:tcW w:w="620" w:type="dxa"/>
          </w:tcPr>
          <w:p>
            <w:pPr>
              <w:pStyle w:val="TableParagraph"/>
              <w:spacing w:line="206" w:lineRule="exact"/>
              <w:ind w:left="42" w:right="47"/>
              <w:rPr>
                <w:sz w:val="18"/>
              </w:rPr>
            </w:pPr>
            <w:r>
              <w:rPr>
                <w:sz w:val="18"/>
              </w:rPr>
              <w:t>N/A</w:t>
            </w:r>
          </w:p>
        </w:tc>
        <w:tc>
          <w:tcPr>
            <w:tcW w:w="994" w:type="dxa"/>
            <w:shd w:val="clear" w:color="auto" w:fill="92D050"/>
          </w:tcPr>
          <w:p>
            <w:pPr>
              <w:pStyle w:val="TableParagraph"/>
              <w:spacing w:before="71"/>
              <w:ind w:left="146" w:right="146"/>
              <w:rPr>
                <w:b/>
                <w:sz w:val="18"/>
              </w:rPr>
            </w:pPr>
            <w:r>
              <w:rPr>
                <w:b/>
                <w:sz w:val="18"/>
              </w:rPr>
              <w:t>572</w:t>
            </w:r>
          </w:p>
        </w:tc>
      </w:tr>
      <w:tr>
        <w:trPr>
          <w:trHeight w:val="326" w:hRule="exact"/>
        </w:trPr>
        <w:tc>
          <w:tcPr>
            <w:tcW w:w="1603" w:type="dxa"/>
            <w:shd w:val="clear" w:color="auto" w:fill="92D050"/>
          </w:tcPr>
          <w:p>
            <w:pPr>
              <w:pStyle w:val="TableParagraph"/>
              <w:spacing w:before="32"/>
              <w:ind w:left="595" w:right="104"/>
              <w:jc w:val="left"/>
              <w:rPr>
                <w:b/>
                <w:sz w:val="18"/>
              </w:rPr>
            </w:pPr>
            <w:r>
              <w:rPr>
                <w:b/>
                <w:sz w:val="18"/>
              </w:rPr>
              <w:t>2006</w:t>
            </w:r>
          </w:p>
        </w:tc>
        <w:tc>
          <w:tcPr>
            <w:tcW w:w="1016" w:type="dxa"/>
          </w:tcPr>
          <w:p>
            <w:pPr>
              <w:pStyle w:val="TableParagraph"/>
              <w:spacing w:before="37"/>
              <w:ind w:left="206" w:right="208"/>
              <w:rPr>
                <w:sz w:val="18"/>
              </w:rPr>
            </w:pPr>
            <w:r>
              <w:rPr>
                <w:color w:val="333333"/>
                <w:sz w:val="18"/>
              </w:rPr>
              <w:t>368</w:t>
            </w:r>
          </w:p>
        </w:tc>
        <w:tc>
          <w:tcPr>
            <w:tcW w:w="1133" w:type="dxa"/>
          </w:tcPr>
          <w:p>
            <w:pPr>
              <w:pStyle w:val="TableParagraph"/>
              <w:spacing w:before="37"/>
              <w:rPr>
                <w:sz w:val="18"/>
              </w:rPr>
            </w:pPr>
            <w:r>
              <w:rPr>
                <w:w w:val="99"/>
                <w:sz w:val="18"/>
              </w:rPr>
              <w:t>0</w:t>
            </w:r>
          </w:p>
        </w:tc>
        <w:tc>
          <w:tcPr>
            <w:tcW w:w="1135" w:type="dxa"/>
          </w:tcPr>
          <w:p>
            <w:pPr>
              <w:pStyle w:val="TableParagraph"/>
              <w:spacing w:before="37"/>
              <w:ind w:right="1"/>
              <w:rPr>
                <w:sz w:val="18"/>
              </w:rPr>
            </w:pPr>
            <w:r>
              <w:rPr>
                <w:w w:val="99"/>
                <w:sz w:val="18"/>
              </w:rPr>
              <w:t>0</w:t>
            </w:r>
          </w:p>
        </w:tc>
        <w:tc>
          <w:tcPr>
            <w:tcW w:w="1080" w:type="dxa"/>
          </w:tcPr>
          <w:p>
            <w:pPr>
              <w:pStyle w:val="TableParagraph"/>
              <w:spacing w:before="37"/>
              <w:ind w:left="45" w:right="45"/>
              <w:rPr>
                <w:sz w:val="18"/>
              </w:rPr>
            </w:pPr>
            <w:r>
              <w:rPr>
                <w:color w:val="333333"/>
                <w:sz w:val="18"/>
              </w:rPr>
              <w:t>291</w:t>
            </w:r>
          </w:p>
        </w:tc>
        <w:tc>
          <w:tcPr>
            <w:tcW w:w="1277" w:type="dxa"/>
          </w:tcPr>
          <w:p>
            <w:pPr>
              <w:pStyle w:val="TableParagraph"/>
              <w:spacing w:before="37"/>
              <w:ind w:left="338" w:right="338"/>
              <w:rPr>
                <w:sz w:val="18"/>
              </w:rPr>
            </w:pPr>
            <w:r>
              <w:rPr>
                <w:sz w:val="18"/>
              </w:rPr>
              <w:t>14</w:t>
            </w:r>
          </w:p>
        </w:tc>
        <w:tc>
          <w:tcPr>
            <w:tcW w:w="620" w:type="dxa"/>
          </w:tcPr>
          <w:p>
            <w:pPr>
              <w:pStyle w:val="TableParagraph"/>
              <w:spacing w:line="206" w:lineRule="exact"/>
              <w:ind w:left="42" w:right="47"/>
              <w:rPr>
                <w:sz w:val="18"/>
              </w:rPr>
            </w:pPr>
            <w:r>
              <w:rPr>
                <w:sz w:val="18"/>
              </w:rPr>
              <w:t>N/A</w:t>
            </w:r>
          </w:p>
        </w:tc>
        <w:tc>
          <w:tcPr>
            <w:tcW w:w="994" w:type="dxa"/>
            <w:shd w:val="clear" w:color="auto" w:fill="92D050"/>
          </w:tcPr>
          <w:p>
            <w:pPr>
              <w:pStyle w:val="TableParagraph"/>
              <w:spacing w:before="71"/>
              <w:ind w:left="146" w:right="146"/>
              <w:rPr>
                <w:b/>
                <w:sz w:val="18"/>
              </w:rPr>
            </w:pPr>
            <w:r>
              <w:rPr>
                <w:b/>
                <w:sz w:val="18"/>
              </w:rPr>
              <w:t>673</w:t>
            </w:r>
          </w:p>
        </w:tc>
      </w:tr>
      <w:tr>
        <w:trPr>
          <w:trHeight w:val="324" w:hRule="exact"/>
        </w:trPr>
        <w:tc>
          <w:tcPr>
            <w:tcW w:w="1603" w:type="dxa"/>
            <w:shd w:val="clear" w:color="auto" w:fill="92D050"/>
          </w:tcPr>
          <w:p>
            <w:pPr>
              <w:pStyle w:val="TableParagraph"/>
              <w:spacing w:before="32"/>
              <w:ind w:left="595" w:right="104"/>
              <w:jc w:val="left"/>
              <w:rPr>
                <w:b/>
                <w:sz w:val="18"/>
              </w:rPr>
            </w:pPr>
            <w:r>
              <w:rPr>
                <w:b/>
                <w:sz w:val="18"/>
              </w:rPr>
              <w:t>2007</w:t>
            </w:r>
          </w:p>
        </w:tc>
        <w:tc>
          <w:tcPr>
            <w:tcW w:w="1016" w:type="dxa"/>
          </w:tcPr>
          <w:p>
            <w:pPr>
              <w:pStyle w:val="TableParagraph"/>
              <w:spacing w:before="37"/>
              <w:ind w:left="206" w:right="208"/>
              <w:rPr>
                <w:sz w:val="18"/>
              </w:rPr>
            </w:pPr>
            <w:r>
              <w:rPr>
                <w:color w:val="333333"/>
                <w:sz w:val="18"/>
              </w:rPr>
              <w:t>1665</w:t>
            </w:r>
          </w:p>
        </w:tc>
        <w:tc>
          <w:tcPr>
            <w:tcW w:w="1133" w:type="dxa"/>
          </w:tcPr>
          <w:p>
            <w:pPr>
              <w:pStyle w:val="TableParagraph"/>
              <w:spacing w:before="37"/>
              <w:rPr>
                <w:sz w:val="18"/>
              </w:rPr>
            </w:pPr>
            <w:r>
              <w:rPr>
                <w:w w:val="99"/>
                <w:sz w:val="18"/>
              </w:rPr>
              <w:t>0</w:t>
            </w:r>
          </w:p>
        </w:tc>
        <w:tc>
          <w:tcPr>
            <w:tcW w:w="1135" w:type="dxa"/>
          </w:tcPr>
          <w:p>
            <w:pPr>
              <w:pStyle w:val="TableParagraph"/>
              <w:spacing w:before="37"/>
              <w:ind w:right="1"/>
              <w:rPr>
                <w:sz w:val="18"/>
              </w:rPr>
            </w:pPr>
            <w:r>
              <w:rPr>
                <w:w w:val="99"/>
                <w:sz w:val="18"/>
              </w:rPr>
              <w:t>0</w:t>
            </w:r>
          </w:p>
        </w:tc>
        <w:tc>
          <w:tcPr>
            <w:tcW w:w="1080" w:type="dxa"/>
          </w:tcPr>
          <w:p>
            <w:pPr>
              <w:pStyle w:val="TableParagraph"/>
              <w:spacing w:before="37"/>
              <w:ind w:left="45" w:right="45"/>
              <w:rPr>
                <w:sz w:val="18"/>
              </w:rPr>
            </w:pPr>
            <w:r>
              <w:rPr>
                <w:color w:val="333333"/>
                <w:sz w:val="18"/>
              </w:rPr>
              <w:t>1313</w:t>
            </w:r>
          </w:p>
        </w:tc>
        <w:tc>
          <w:tcPr>
            <w:tcW w:w="1277" w:type="dxa"/>
          </w:tcPr>
          <w:p>
            <w:pPr>
              <w:pStyle w:val="TableParagraph"/>
              <w:spacing w:before="37"/>
              <w:ind w:left="338" w:right="338"/>
              <w:rPr>
                <w:sz w:val="18"/>
              </w:rPr>
            </w:pPr>
            <w:r>
              <w:rPr>
                <w:sz w:val="18"/>
              </w:rPr>
              <w:t>76</w:t>
            </w:r>
          </w:p>
        </w:tc>
        <w:tc>
          <w:tcPr>
            <w:tcW w:w="620" w:type="dxa"/>
          </w:tcPr>
          <w:p>
            <w:pPr>
              <w:pStyle w:val="TableParagraph"/>
              <w:spacing w:line="206" w:lineRule="exact"/>
              <w:ind w:left="42" w:right="47"/>
              <w:rPr>
                <w:sz w:val="18"/>
              </w:rPr>
            </w:pPr>
            <w:r>
              <w:rPr>
                <w:sz w:val="18"/>
              </w:rPr>
              <w:t>N/A</w:t>
            </w:r>
          </w:p>
        </w:tc>
        <w:tc>
          <w:tcPr>
            <w:tcW w:w="994" w:type="dxa"/>
            <w:shd w:val="clear" w:color="auto" w:fill="92D050"/>
          </w:tcPr>
          <w:p>
            <w:pPr>
              <w:pStyle w:val="TableParagraph"/>
              <w:spacing w:before="71"/>
              <w:ind w:left="146" w:right="146"/>
              <w:rPr>
                <w:b/>
                <w:sz w:val="18"/>
              </w:rPr>
            </w:pPr>
            <w:r>
              <w:rPr>
                <w:b/>
                <w:sz w:val="18"/>
              </w:rPr>
              <w:t>3054</w:t>
            </w:r>
          </w:p>
        </w:tc>
      </w:tr>
      <w:tr>
        <w:trPr>
          <w:trHeight w:val="324" w:hRule="exact"/>
        </w:trPr>
        <w:tc>
          <w:tcPr>
            <w:tcW w:w="1603" w:type="dxa"/>
            <w:shd w:val="clear" w:color="auto" w:fill="92D050"/>
          </w:tcPr>
          <w:p>
            <w:pPr>
              <w:pStyle w:val="TableParagraph"/>
              <w:spacing w:before="32"/>
              <w:ind w:left="595" w:right="104"/>
              <w:jc w:val="left"/>
              <w:rPr>
                <w:b/>
                <w:sz w:val="18"/>
              </w:rPr>
            </w:pPr>
            <w:r>
              <w:rPr>
                <w:b/>
                <w:sz w:val="18"/>
              </w:rPr>
              <w:t>2008</w:t>
            </w:r>
          </w:p>
        </w:tc>
        <w:tc>
          <w:tcPr>
            <w:tcW w:w="1016" w:type="dxa"/>
          </w:tcPr>
          <w:p>
            <w:pPr>
              <w:pStyle w:val="TableParagraph"/>
              <w:spacing w:before="37"/>
              <w:ind w:left="206" w:right="208"/>
              <w:rPr>
                <w:sz w:val="18"/>
              </w:rPr>
            </w:pPr>
            <w:r>
              <w:rPr>
                <w:color w:val="333333"/>
                <w:sz w:val="18"/>
              </w:rPr>
              <w:t>4339</w:t>
            </w:r>
          </w:p>
        </w:tc>
        <w:tc>
          <w:tcPr>
            <w:tcW w:w="1133" w:type="dxa"/>
          </w:tcPr>
          <w:p>
            <w:pPr>
              <w:pStyle w:val="TableParagraph"/>
              <w:spacing w:before="37"/>
              <w:ind w:left="95" w:right="95"/>
              <w:rPr>
                <w:sz w:val="18"/>
              </w:rPr>
            </w:pPr>
            <w:r>
              <w:rPr>
                <w:sz w:val="18"/>
              </w:rPr>
              <w:t>97</w:t>
            </w:r>
          </w:p>
        </w:tc>
        <w:tc>
          <w:tcPr>
            <w:tcW w:w="1135" w:type="dxa"/>
          </w:tcPr>
          <w:p>
            <w:pPr>
              <w:pStyle w:val="TableParagraph"/>
              <w:spacing w:before="37"/>
              <w:ind w:left="317" w:right="317"/>
              <w:rPr>
                <w:sz w:val="18"/>
              </w:rPr>
            </w:pPr>
            <w:r>
              <w:rPr>
                <w:sz w:val="18"/>
              </w:rPr>
              <w:t>48</w:t>
            </w:r>
          </w:p>
        </w:tc>
        <w:tc>
          <w:tcPr>
            <w:tcW w:w="1080" w:type="dxa"/>
          </w:tcPr>
          <w:p>
            <w:pPr>
              <w:pStyle w:val="TableParagraph"/>
              <w:spacing w:before="37"/>
              <w:ind w:left="45" w:right="45"/>
              <w:rPr>
                <w:sz w:val="18"/>
              </w:rPr>
            </w:pPr>
            <w:r>
              <w:rPr>
                <w:color w:val="333333"/>
                <w:sz w:val="18"/>
              </w:rPr>
              <w:t>4093</w:t>
            </w:r>
          </w:p>
        </w:tc>
        <w:tc>
          <w:tcPr>
            <w:tcW w:w="1277" w:type="dxa"/>
          </w:tcPr>
          <w:p>
            <w:pPr>
              <w:pStyle w:val="TableParagraph"/>
              <w:spacing w:before="37"/>
              <w:ind w:left="338" w:right="338"/>
              <w:rPr>
                <w:sz w:val="18"/>
              </w:rPr>
            </w:pPr>
            <w:r>
              <w:rPr>
                <w:sz w:val="18"/>
              </w:rPr>
              <w:t>191</w:t>
            </w:r>
          </w:p>
        </w:tc>
        <w:tc>
          <w:tcPr>
            <w:tcW w:w="620" w:type="dxa"/>
          </w:tcPr>
          <w:p>
            <w:pPr>
              <w:pStyle w:val="TableParagraph"/>
              <w:spacing w:line="206" w:lineRule="exact"/>
              <w:ind w:left="42" w:right="47"/>
              <w:rPr>
                <w:sz w:val="18"/>
              </w:rPr>
            </w:pPr>
            <w:r>
              <w:rPr>
                <w:sz w:val="18"/>
              </w:rPr>
              <w:t>N/A</w:t>
            </w:r>
          </w:p>
        </w:tc>
        <w:tc>
          <w:tcPr>
            <w:tcW w:w="994" w:type="dxa"/>
            <w:shd w:val="clear" w:color="auto" w:fill="92D050"/>
          </w:tcPr>
          <w:p>
            <w:pPr>
              <w:pStyle w:val="TableParagraph"/>
              <w:spacing w:before="71"/>
              <w:ind w:left="146" w:right="146"/>
              <w:rPr>
                <w:b/>
                <w:sz w:val="18"/>
              </w:rPr>
            </w:pPr>
            <w:r>
              <w:rPr>
                <w:b/>
                <w:sz w:val="18"/>
              </w:rPr>
              <w:t>8768</w:t>
            </w:r>
          </w:p>
        </w:tc>
      </w:tr>
      <w:tr>
        <w:trPr>
          <w:trHeight w:val="326" w:hRule="exact"/>
        </w:trPr>
        <w:tc>
          <w:tcPr>
            <w:tcW w:w="1603" w:type="dxa"/>
            <w:shd w:val="clear" w:color="auto" w:fill="92D050"/>
          </w:tcPr>
          <w:p>
            <w:pPr>
              <w:pStyle w:val="TableParagraph"/>
              <w:spacing w:before="35"/>
              <w:ind w:left="595" w:right="104"/>
              <w:jc w:val="left"/>
              <w:rPr>
                <w:b/>
                <w:sz w:val="18"/>
              </w:rPr>
            </w:pPr>
            <w:r>
              <w:rPr>
                <w:b/>
                <w:sz w:val="18"/>
              </w:rPr>
              <w:t>2009</w:t>
            </w:r>
          </w:p>
        </w:tc>
        <w:tc>
          <w:tcPr>
            <w:tcW w:w="1016" w:type="dxa"/>
          </w:tcPr>
          <w:p>
            <w:pPr>
              <w:pStyle w:val="TableParagraph"/>
              <w:spacing w:before="40"/>
              <w:ind w:left="206" w:right="208"/>
              <w:rPr>
                <w:sz w:val="18"/>
              </w:rPr>
            </w:pPr>
            <w:r>
              <w:rPr>
                <w:color w:val="333333"/>
                <w:sz w:val="18"/>
              </w:rPr>
              <w:t>3873</w:t>
            </w:r>
          </w:p>
        </w:tc>
        <w:tc>
          <w:tcPr>
            <w:tcW w:w="1133" w:type="dxa"/>
          </w:tcPr>
          <w:p>
            <w:pPr>
              <w:pStyle w:val="TableParagraph"/>
              <w:spacing w:before="40"/>
              <w:ind w:left="95" w:right="95"/>
              <w:rPr>
                <w:sz w:val="18"/>
              </w:rPr>
            </w:pPr>
            <w:r>
              <w:rPr>
                <w:sz w:val="18"/>
              </w:rPr>
              <w:t>355</w:t>
            </w:r>
          </w:p>
        </w:tc>
        <w:tc>
          <w:tcPr>
            <w:tcW w:w="1135" w:type="dxa"/>
          </w:tcPr>
          <w:p>
            <w:pPr>
              <w:pStyle w:val="TableParagraph"/>
              <w:spacing w:before="40"/>
              <w:ind w:left="317" w:right="317"/>
              <w:rPr>
                <w:sz w:val="18"/>
              </w:rPr>
            </w:pPr>
            <w:r>
              <w:rPr>
                <w:sz w:val="18"/>
              </w:rPr>
              <w:t>194</w:t>
            </w:r>
          </w:p>
        </w:tc>
        <w:tc>
          <w:tcPr>
            <w:tcW w:w="1080" w:type="dxa"/>
          </w:tcPr>
          <w:p>
            <w:pPr>
              <w:pStyle w:val="TableParagraph"/>
              <w:spacing w:before="40"/>
              <w:ind w:left="45" w:right="45"/>
              <w:rPr>
                <w:sz w:val="18"/>
              </w:rPr>
            </w:pPr>
            <w:r>
              <w:rPr>
                <w:color w:val="333333"/>
                <w:sz w:val="18"/>
              </w:rPr>
              <w:t>9062</w:t>
            </w:r>
          </w:p>
        </w:tc>
        <w:tc>
          <w:tcPr>
            <w:tcW w:w="1277" w:type="dxa"/>
          </w:tcPr>
          <w:p>
            <w:pPr>
              <w:pStyle w:val="TableParagraph"/>
              <w:spacing w:before="40"/>
              <w:ind w:left="338" w:right="338"/>
              <w:rPr>
                <w:sz w:val="18"/>
              </w:rPr>
            </w:pPr>
            <w:r>
              <w:rPr>
                <w:sz w:val="18"/>
              </w:rPr>
              <w:t>800</w:t>
            </w:r>
          </w:p>
        </w:tc>
        <w:tc>
          <w:tcPr>
            <w:tcW w:w="620" w:type="dxa"/>
          </w:tcPr>
          <w:p>
            <w:pPr>
              <w:pStyle w:val="TableParagraph"/>
              <w:spacing w:before="1"/>
              <w:ind w:left="42" w:right="47"/>
              <w:rPr>
                <w:sz w:val="18"/>
              </w:rPr>
            </w:pPr>
            <w:r>
              <w:rPr>
                <w:sz w:val="18"/>
              </w:rPr>
              <w:t>N/A</w:t>
            </w:r>
          </w:p>
        </w:tc>
        <w:tc>
          <w:tcPr>
            <w:tcW w:w="994" w:type="dxa"/>
            <w:shd w:val="clear" w:color="auto" w:fill="92D050"/>
          </w:tcPr>
          <w:p>
            <w:pPr>
              <w:pStyle w:val="TableParagraph"/>
              <w:spacing w:before="73"/>
              <w:ind w:left="146" w:right="146"/>
              <w:rPr>
                <w:b/>
                <w:sz w:val="18"/>
              </w:rPr>
            </w:pPr>
            <w:r>
              <w:rPr>
                <w:b/>
                <w:sz w:val="18"/>
              </w:rPr>
              <w:t>14284</w:t>
            </w:r>
          </w:p>
        </w:tc>
      </w:tr>
      <w:tr>
        <w:trPr>
          <w:trHeight w:val="324" w:hRule="exact"/>
        </w:trPr>
        <w:tc>
          <w:tcPr>
            <w:tcW w:w="1603" w:type="dxa"/>
            <w:shd w:val="clear" w:color="auto" w:fill="92D050"/>
          </w:tcPr>
          <w:p>
            <w:pPr>
              <w:pStyle w:val="TableParagraph"/>
              <w:spacing w:before="33"/>
              <w:ind w:left="595" w:right="104"/>
              <w:jc w:val="left"/>
              <w:rPr>
                <w:b/>
                <w:sz w:val="18"/>
              </w:rPr>
            </w:pPr>
            <w:r>
              <w:rPr>
                <w:b/>
                <w:sz w:val="18"/>
              </w:rPr>
              <w:t>2010</w:t>
            </w:r>
          </w:p>
        </w:tc>
        <w:tc>
          <w:tcPr>
            <w:tcW w:w="1016" w:type="dxa"/>
          </w:tcPr>
          <w:p>
            <w:pPr>
              <w:pStyle w:val="TableParagraph"/>
              <w:spacing w:before="38"/>
              <w:ind w:left="206" w:right="208"/>
              <w:rPr>
                <w:sz w:val="18"/>
              </w:rPr>
            </w:pPr>
            <w:r>
              <w:rPr>
                <w:color w:val="333333"/>
                <w:sz w:val="18"/>
              </w:rPr>
              <w:t>4614</w:t>
            </w:r>
          </w:p>
        </w:tc>
        <w:tc>
          <w:tcPr>
            <w:tcW w:w="1133" w:type="dxa"/>
          </w:tcPr>
          <w:p>
            <w:pPr>
              <w:pStyle w:val="TableParagraph"/>
              <w:spacing w:before="38"/>
              <w:ind w:left="95" w:right="95"/>
              <w:rPr>
                <w:sz w:val="18"/>
              </w:rPr>
            </w:pPr>
            <w:r>
              <w:rPr>
                <w:sz w:val="18"/>
              </w:rPr>
              <w:t>341</w:t>
            </w:r>
          </w:p>
        </w:tc>
        <w:tc>
          <w:tcPr>
            <w:tcW w:w="1135" w:type="dxa"/>
          </w:tcPr>
          <w:p>
            <w:pPr>
              <w:pStyle w:val="TableParagraph"/>
              <w:spacing w:before="38"/>
              <w:ind w:left="317" w:right="317"/>
              <w:rPr>
                <w:sz w:val="18"/>
              </w:rPr>
            </w:pPr>
            <w:r>
              <w:rPr>
                <w:sz w:val="18"/>
              </w:rPr>
              <w:t>310</w:t>
            </w:r>
          </w:p>
        </w:tc>
        <w:tc>
          <w:tcPr>
            <w:tcW w:w="1080" w:type="dxa"/>
          </w:tcPr>
          <w:p>
            <w:pPr>
              <w:pStyle w:val="TableParagraph"/>
              <w:spacing w:before="38"/>
              <w:ind w:left="45" w:right="45"/>
              <w:rPr>
                <w:sz w:val="18"/>
              </w:rPr>
            </w:pPr>
            <w:r>
              <w:rPr>
                <w:color w:val="333333"/>
                <w:sz w:val="18"/>
              </w:rPr>
              <w:t>11365</w:t>
            </w:r>
          </w:p>
        </w:tc>
        <w:tc>
          <w:tcPr>
            <w:tcW w:w="1277" w:type="dxa"/>
          </w:tcPr>
          <w:p>
            <w:pPr>
              <w:pStyle w:val="TableParagraph"/>
              <w:spacing w:before="38"/>
              <w:ind w:left="338" w:right="338"/>
              <w:rPr>
                <w:sz w:val="18"/>
              </w:rPr>
            </w:pPr>
            <w:r>
              <w:rPr>
                <w:sz w:val="18"/>
              </w:rPr>
              <w:t>1024</w:t>
            </w:r>
          </w:p>
        </w:tc>
        <w:tc>
          <w:tcPr>
            <w:tcW w:w="620" w:type="dxa"/>
          </w:tcPr>
          <w:p>
            <w:pPr>
              <w:pStyle w:val="TableParagraph"/>
              <w:spacing w:line="207" w:lineRule="exact"/>
              <w:ind w:left="42" w:right="47"/>
              <w:rPr>
                <w:sz w:val="18"/>
              </w:rPr>
            </w:pPr>
            <w:r>
              <w:rPr>
                <w:sz w:val="18"/>
              </w:rPr>
              <w:t>N/A</w:t>
            </w:r>
          </w:p>
        </w:tc>
        <w:tc>
          <w:tcPr>
            <w:tcW w:w="994" w:type="dxa"/>
            <w:shd w:val="clear" w:color="auto" w:fill="92D050"/>
          </w:tcPr>
          <w:p>
            <w:pPr>
              <w:pStyle w:val="TableParagraph"/>
              <w:spacing w:before="71"/>
              <w:ind w:left="146" w:right="146"/>
              <w:rPr>
                <w:b/>
                <w:sz w:val="18"/>
              </w:rPr>
            </w:pPr>
            <w:r>
              <w:rPr>
                <w:b/>
                <w:sz w:val="18"/>
              </w:rPr>
              <w:t>17654</w:t>
            </w:r>
          </w:p>
        </w:tc>
      </w:tr>
      <w:tr>
        <w:trPr>
          <w:trHeight w:val="326" w:hRule="exact"/>
        </w:trPr>
        <w:tc>
          <w:tcPr>
            <w:tcW w:w="1603" w:type="dxa"/>
            <w:shd w:val="clear" w:color="auto" w:fill="92D050"/>
          </w:tcPr>
          <w:p>
            <w:pPr>
              <w:pStyle w:val="TableParagraph"/>
              <w:spacing w:before="35"/>
              <w:ind w:left="595" w:right="104"/>
              <w:jc w:val="left"/>
              <w:rPr>
                <w:b/>
                <w:sz w:val="18"/>
              </w:rPr>
            </w:pPr>
            <w:r>
              <w:rPr>
                <w:b/>
                <w:sz w:val="18"/>
              </w:rPr>
              <w:t>2011</w:t>
            </w:r>
          </w:p>
        </w:tc>
        <w:tc>
          <w:tcPr>
            <w:tcW w:w="1016" w:type="dxa"/>
          </w:tcPr>
          <w:p>
            <w:pPr>
              <w:pStyle w:val="TableParagraph"/>
              <w:spacing w:before="40"/>
              <w:ind w:left="206" w:right="208"/>
              <w:rPr>
                <w:sz w:val="18"/>
              </w:rPr>
            </w:pPr>
            <w:r>
              <w:rPr>
                <w:color w:val="333333"/>
                <w:sz w:val="18"/>
              </w:rPr>
              <w:t>4962</w:t>
            </w:r>
          </w:p>
        </w:tc>
        <w:tc>
          <w:tcPr>
            <w:tcW w:w="1133" w:type="dxa"/>
          </w:tcPr>
          <w:p>
            <w:pPr>
              <w:pStyle w:val="TableParagraph"/>
              <w:spacing w:before="40"/>
              <w:ind w:left="95" w:right="95"/>
              <w:rPr>
                <w:sz w:val="18"/>
              </w:rPr>
            </w:pPr>
            <w:r>
              <w:rPr>
                <w:sz w:val="18"/>
              </w:rPr>
              <w:t>386</w:t>
            </w:r>
          </w:p>
        </w:tc>
        <w:tc>
          <w:tcPr>
            <w:tcW w:w="1135" w:type="dxa"/>
          </w:tcPr>
          <w:p>
            <w:pPr>
              <w:pStyle w:val="TableParagraph"/>
              <w:spacing w:before="40"/>
              <w:ind w:left="317" w:right="317"/>
              <w:rPr>
                <w:sz w:val="18"/>
              </w:rPr>
            </w:pPr>
            <w:r>
              <w:rPr>
                <w:sz w:val="18"/>
              </w:rPr>
              <w:t>903</w:t>
            </w:r>
          </w:p>
        </w:tc>
        <w:tc>
          <w:tcPr>
            <w:tcW w:w="1080" w:type="dxa"/>
          </w:tcPr>
          <w:p>
            <w:pPr>
              <w:pStyle w:val="TableParagraph"/>
              <w:spacing w:before="40"/>
              <w:ind w:left="45" w:right="45"/>
              <w:rPr>
                <w:sz w:val="18"/>
              </w:rPr>
            </w:pPr>
            <w:r>
              <w:rPr>
                <w:color w:val="333333"/>
                <w:sz w:val="18"/>
              </w:rPr>
              <w:t>11967</w:t>
            </w:r>
          </w:p>
        </w:tc>
        <w:tc>
          <w:tcPr>
            <w:tcW w:w="1277" w:type="dxa"/>
          </w:tcPr>
          <w:p>
            <w:pPr>
              <w:pStyle w:val="TableParagraph"/>
              <w:spacing w:before="40"/>
              <w:ind w:left="338" w:right="338"/>
              <w:rPr>
                <w:sz w:val="18"/>
              </w:rPr>
            </w:pPr>
            <w:r>
              <w:rPr>
                <w:sz w:val="18"/>
              </w:rPr>
              <w:t>1127</w:t>
            </w:r>
          </w:p>
        </w:tc>
        <w:tc>
          <w:tcPr>
            <w:tcW w:w="620" w:type="dxa"/>
          </w:tcPr>
          <w:p>
            <w:pPr>
              <w:pStyle w:val="TableParagraph"/>
              <w:spacing w:line="206" w:lineRule="exact"/>
              <w:ind w:left="42" w:right="47"/>
              <w:rPr>
                <w:sz w:val="18"/>
              </w:rPr>
            </w:pPr>
            <w:r>
              <w:rPr>
                <w:sz w:val="18"/>
              </w:rPr>
              <w:t>N/A</w:t>
            </w:r>
          </w:p>
        </w:tc>
        <w:tc>
          <w:tcPr>
            <w:tcW w:w="994" w:type="dxa"/>
            <w:shd w:val="clear" w:color="auto" w:fill="92D050"/>
          </w:tcPr>
          <w:p>
            <w:pPr>
              <w:pStyle w:val="TableParagraph"/>
              <w:spacing w:before="73"/>
              <w:ind w:left="146" w:right="146"/>
              <w:rPr>
                <w:b/>
                <w:sz w:val="18"/>
              </w:rPr>
            </w:pPr>
            <w:r>
              <w:rPr>
                <w:b/>
                <w:sz w:val="18"/>
              </w:rPr>
              <w:t>19345</w:t>
            </w:r>
          </w:p>
        </w:tc>
      </w:tr>
      <w:tr>
        <w:trPr>
          <w:trHeight w:val="324" w:hRule="exact"/>
        </w:trPr>
        <w:tc>
          <w:tcPr>
            <w:tcW w:w="1603" w:type="dxa"/>
            <w:shd w:val="clear" w:color="auto" w:fill="92D050"/>
          </w:tcPr>
          <w:p>
            <w:pPr>
              <w:pStyle w:val="TableParagraph"/>
              <w:spacing w:before="32"/>
              <w:ind w:left="595" w:right="104"/>
              <w:jc w:val="left"/>
              <w:rPr>
                <w:b/>
                <w:sz w:val="18"/>
              </w:rPr>
            </w:pPr>
            <w:r>
              <w:rPr>
                <w:b/>
                <w:sz w:val="18"/>
              </w:rPr>
              <w:t>2012</w:t>
            </w:r>
          </w:p>
        </w:tc>
        <w:tc>
          <w:tcPr>
            <w:tcW w:w="1016" w:type="dxa"/>
          </w:tcPr>
          <w:p>
            <w:pPr>
              <w:pStyle w:val="TableParagraph"/>
              <w:spacing w:before="37"/>
              <w:ind w:left="206" w:right="208"/>
              <w:rPr>
                <w:sz w:val="18"/>
              </w:rPr>
            </w:pPr>
            <w:r>
              <w:rPr>
                <w:color w:val="333333"/>
                <w:sz w:val="18"/>
              </w:rPr>
              <w:t>4819</w:t>
            </w:r>
          </w:p>
        </w:tc>
        <w:tc>
          <w:tcPr>
            <w:tcW w:w="1133" w:type="dxa"/>
          </w:tcPr>
          <w:p>
            <w:pPr>
              <w:pStyle w:val="TableParagraph"/>
              <w:spacing w:before="37"/>
              <w:ind w:left="95" w:right="95"/>
              <w:rPr>
                <w:sz w:val="18"/>
              </w:rPr>
            </w:pPr>
            <w:r>
              <w:rPr>
                <w:sz w:val="18"/>
              </w:rPr>
              <w:t>493</w:t>
            </w:r>
          </w:p>
        </w:tc>
        <w:tc>
          <w:tcPr>
            <w:tcW w:w="1135" w:type="dxa"/>
          </w:tcPr>
          <w:p>
            <w:pPr>
              <w:pStyle w:val="TableParagraph"/>
              <w:spacing w:before="37"/>
              <w:ind w:left="317" w:right="317"/>
              <w:rPr>
                <w:sz w:val="18"/>
              </w:rPr>
            </w:pPr>
            <w:r>
              <w:rPr>
                <w:sz w:val="18"/>
              </w:rPr>
              <w:t>312</w:t>
            </w:r>
          </w:p>
        </w:tc>
        <w:tc>
          <w:tcPr>
            <w:tcW w:w="1080" w:type="dxa"/>
          </w:tcPr>
          <w:p>
            <w:pPr>
              <w:pStyle w:val="TableParagraph"/>
              <w:spacing w:before="37"/>
              <w:ind w:left="45" w:right="45"/>
              <w:rPr>
                <w:sz w:val="18"/>
              </w:rPr>
            </w:pPr>
            <w:r>
              <w:rPr>
                <w:color w:val="333333"/>
                <w:sz w:val="18"/>
              </w:rPr>
              <w:t>7981</w:t>
            </w:r>
          </w:p>
        </w:tc>
        <w:tc>
          <w:tcPr>
            <w:tcW w:w="1277" w:type="dxa"/>
          </w:tcPr>
          <w:p>
            <w:pPr>
              <w:pStyle w:val="TableParagraph"/>
              <w:spacing w:before="37"/>
              <w:ind w:left="338" w:right="338"/>
              <w:rPr>
                <w:sz w:val="18"/>
              </w:rPr>
            </w:pPr>
            <w:r>
              <w:rPr>
                <w:sz w:val="18"/>
              </w:rPr>
              <w:t>1663</w:t>
            </w:r>
          </w:p>
        </w:tc>
        <w:tc>
          <w:tcPr>
            <w:tcW w:w="620" w:type="dxa"/>
          </w:tcPr>
          <w:p>
            <w:pPr>
              <w:pStyle w:val="TableParagraph"/>
              <w:spacing w:line="206" w:lineRule="exact"/>
              <w:ind w:left="42" w:right="47"/>
              <w:rPr>
                <w:sz w:val="18"/>
              </w:rPr>
            </w:pPr>
            <w:r>
              <w:rPr>
                <w:sz w:val="18"/>
              </w:rPr>
              <w:t>N/A</w:t>
            </w:r>
          </w:p>
        </w:tc>
        <w:tc>
          <w:tcPr>
            <w:tcW w:w="994" w:type="dxa"/>
            <w:shd w:val="clear" w:color="auto" w:fill="92D050"/>
          </w:tcPr>
          <w:p>
            <w:pPr>
              <w:pStyle w:val="TableParagraph"/>
              <w:spacing w:before="71"/>
              <w:ind w:left="146" w:right="146"/>
              <w:rPr>
                <w:b/>
                <w:sz w:val="18"/>
              </w:rPr>
            </w:pPr>
            <w:r>
              <w:rPr>
                <w:b/>
                <w:sz w:val="18"/>
              </w:rPr>
              <w:t>15268</w:t>
            </w:r>
          </w:p>
        </w:tc>
      </w:tr>
      <w:tr>
        <w:trPr>
          <w:trHeight w:val="326" w:hRule="exact"/>
        </w:trPr>
        <w:tc>
          <w:tcPr>
            <w:tcW w:w="1603" w:type="dxa"/>
            <w:shd w:val="clear" w:color="auto" w:fill="92D050"/>
          </w:tcPr>
          <w:p>
            <w:pPr>
              <w:pStyle w:val="TableParagraph"/>
              <w:spacing w:before="32"/>
              <w:ind w:left="595" w:right="104"/>
              <w:jc w:val="left"/>
              <w:rPr>
                <w:b/>
                <w:sz w:val="18"/>
              </w:rPr>
            </w:pPr>
            <w:r>
              <w:rPr>
                <w:b/>
                <w:sz w:val="18"/>
              </w:rPr>
              <w:t>2013</w:t>
            </w:r>
          </w:p>
        </w:tc>
        <w:tc>
          <w:tcPr>
            <w:tcW w:w="1016" w:type="dxa"/>
          </w:tcPr>
          <w:p>
            <w:pPr>
              <w:pStyle w:val="TableParagraph"/>
              <w:spacing w:before="37"/>
              <w:ind w:left="206" w:right="208"/>
              <w:rPr>
                <w:sz w:val="18"/>
              </w:rPr>
            </w:pPr>
            <w:r>
              <w:rPr>
                <w:color w:val="333333"/>
                <w:sz w:val="18"/>
              </w:rPr>
              <w:t>5378</w:t>
            </w:r>
          </w:p>
        </w:tc>
        <w:tc>
          <w:tcPr>
            <w:tcW w:w="1133" w:type="dxa"/>
          </w:tcPr>
          <w:p>
            <w:pPr>
              <w:pStyle w:val="TableParagraph"/>
              <w:spacing w:before="37"/>
              <w:ind w:left="95" w:right="95"/>
              <w:rPr>
                <w:sz w:val="18"/>
              </w:rPr>
            </w:pPr>
            <w:r>
              <w:rPr>
                <w:sz w:val="18"/>
              </w:rPr>
              <w:t>358</w:t>
            </w:r>
          </w:p>
        </w:tc>
        <w:tc>
          <w:tcPr>
            <w:tcW w:w="1135" w:type="dxa"/>
          </w:tcPr>
          <w:p>
            <w:pPr>
              <w:pStyle w:val="TableParagraph"/>
              <w:spacing w:before="37"/>
              <w:ind w:left="317" w:right="317"/>
              <w:rPr>
                <w:sz w:val="18"/>
              </w:rPr>
            </w:pPr>
            <w:r>
              <w:rPr>
                <w:sz w:val="18"/>
              </w:rPr>
              <w:t>272</w:t>
            </w:r>
          </w:p>
        </w:tc>
        <w:tc>
          <w:tcPr>
            <w:tcW w:w="1080" w:type="dxa"/>
          </w:tcPr>
          <w:p>
            <w:pPr>
              <w:pStyle w:val="TableParagraph"/>
              <w:spacing w:before="37"/>
              <w:ind w:left="45" w:right="45"/>
              <w:rPr>
                <w:sz w:val="18"/>
              </w:rPr>
            </w:pPr>
            <w:r>
              <w:rPr>
                <w:color w:val="333333"/>
                <w:sz w:val="18"/>
              </w:rPr>
              <w:t>11425</w:t>
            </w:r>
          </w:p>
        </w:tc>
        <w:tc>
          <w:tcPr>
            <w:tcW w:w="1277" w:type="dxa"/>
          </w:tcPr>
          <w:p>
            <w:pPr>
              <w:pStyle w:val="TableParagraph"/>
              <w:spacing w:before="37"/>
              <w:ind w:left="338" w:right="338"/>
              <w:rPr>
                <w:sz w:val="18"/>
              </w:rPr>
            </w:pPr>
            <w:r>
              <w:rPr>
                <w:sz w:val="18"/>
              </w:rPr>
              <w:t>1859</w:t>
            </w:r>
          </w:p>
        </w:tc>
        <w:tc>
          <w:tcPr>
            <w:tcW w:w="620" w:type="dxa"/>
          </w:tcPr>
          <w:p>
            <w:pPr>
              <w:pStyle w:val="TableParagraph"/>
              <w:spacing w:line="206" w:lineRule="exact"/>
              <w:ind w:left="42" w:right="47"/>
              <w:rPr>
                <w:sz w:val="18"/>
              </w:rPr>
            </w:pPr>
            <w:r>
              <w:rPr>
                <w:sz w:val="18"/>
              </w:rPr>
              <w:t>N/A</w:t>
            </w:r>
          </w:p>
        </w:tc>
        <w:tc>
          <w:tcPr>
            <w:tcW w:w="994" w:type="dxa"/>
            <w:shd w:val="clear" w:color="auto" w:fill="92D050"/>
          </w:tcPr>
          <w:p>
            <w:pPr>
              <w:pStyle w:val="TableParagraph"/>
              <w:spacing w:before="71"/>
              <w:ind w:left="146" w:right="146"/>
              <w:rPr>
                <w:b/>
                <w:sz w:val="18"/>
              </w:rPr>
            </w:pPr>
            <w:r>
              <w:rPr>
                <w:b/>
                <w:sz w:val="18"/>
              </w:rPr>
              <w:t>19292</w:t>
            </w:r>
          </w:p>
        </w:tc>
      </w:tr>
      <w:tr>
        <w:trPr>
          <w:trHeight w:val="324" w:hRule="exact"/>
        </w:trPr>
        <w:tc>
          <w:tcPr>
            <w:tcW w:w="1603" w:type="dxa"/>
            <w:shd w:val="clear" w:color="auto" w:fill="92D050"/>
          </w:tcPr>
          <w:p>
            <w:pPr>
              <w:pStyle w:val="TableParagraph"/>
              <w:spacing w:before="32"/>
              <w:ind w:left="595" w:right="104"/>
              <w:jc w:val="left"/>
              <w:rPr>
                <w:b/>
                <w:sz w:val="18"/>
              </w:rPr>
            </w:pPr>
            <w:r>
              <w:rPr>
                <w:b/>
                <w:sz w:val="18"/>
              </w:rPr>
              <w:t>2014</w:t>
            </w:r>
          </w:p>
        </w:tc>
        <w:tc>
          <w:tcPr>
            <w:tcW w:w="1016" w:type="dxa"/>
          </w:tcPr>
          <w:p>
            <w:pPr>
              <w:pStyle w:val="TableParagraph"/>
              <w:spacing w:before="37"/>
              <w:ind w:left="206" w:right="208"/>
              <w:rPr>
                <w:sz w:val="18"/>
              </w:rPr>
            </w:pPr>
            <w:r>
              <w:rPr>
                <w:color w:val="333333"/>
                <w:sz w:val="18"/>
              </w:rPr>
              <w:t>6768</w:t>
            </w:r>
          </w:p>
        </w:tc>
        <w:tc>
          <w:tcPr>
            <w:tcW w:w="1133" w:type="dxa"/>
          </w:tcPr>
          <w:p>
            <w:pPr>
              <w:pStyle w:val="TableParagraph"/>
              <w:spacing w:before="37"/>
              <w:ind w:left="95" w:right="95"/>
              <w:rPr>
                <w:sz w:val="18"/>
              </w:rPr>
            </w:pPr>
            <w:r>
              <w:rPr>
                <w:sz w:val="18"/>
              </w:rPr>
              <w:t>363</w:t>
            </w:r>
          </w:p>
        </w:tc>
        <w:tc>
          <w:tcPr>
            <w:tcW w:w="1135" w:type="dxa"/>
          </w:tcPr>
          <w:p>
            <w:pPr>
              <w:pStyle w:val="TableParagraph"/>
              <w:spacing w:before="37"/>
              <w:ind w:left="317" w:right="317"/>
              <w:rPr>
                <w:sz w:val="18"/>
              </w:rPr>
            </w:pPr>
            <w:r>
              <w:rPr>
                <w:sz w:val="18"/>
              </w:rPr>
              <w:t>443</w:t>
            </w:r>
          </w:p>
        </w:tc>
        <w:tc>
          <w:tcPr>
            <w:tcW w:w="1080" w:type="dxa"/>
          </w:tcPr>
          <w:p>
            <w:pPr>
              <w:pStyle w:val="TableParagraph"/>
              <w:spacing w:before="37"/>
              <w:ind w:left="45" w:right="45"/>
              <w:rPr>
                <w:sz w:val="18"/>
              </w:rPr>
            </w:pPr>
            <w:r>
              <w:rPr>
                <w:color w:val="333333"/>
                <w:sz w:val="18"/>
              </w:rPr>
              <w:t>8781</w:t>
            </w:r>
          </w:p>
        </w:tc>
        <w:tc>
          <w:tcPr>
            <w:tcW w:w="1277" w:type="dxa"/>
          </w:tcPr>
          <w:p>
            <w:pPr>
              <w:pStyle w:val="TableParagraph"/>
              <w:spacing w:before="37"/>
              <w:ind w:left="338" w:right="338"/>
              <w:rPr>
                <w:sz w:val="18"/>
              </w:rPr>
            </w:pPr>
            <w:r>
              <w:rPr>
                <w:sz w:val="18"/>
              </w:rPr>
              <w:t>1095</w:t>
            </w:r>
          </w:p>
        </w:tc>
        <w:tc>
          <w:tcPr>
            <w:tcW w:w="620" w:type="dxa"/>
          </w:tcPr>
          <w:p>
            <w:pPr>
              <w:pStyle w:val="TableParagraph"/>
              <w:spacing w:line="206" w:lineRule="exact"/>
              <w:ind w:left="42" w:right="47"/>
              <w:rPr>
                <w:sz w:val="18"/>
              </w:rPr>
            </w:pPr>
            <w:r>
              <w:rPr>
                <w:sz w:val="18"/>
              </w:rPr>
              <w:t>N/A</w:t>
            </w:r>
          </w:p>
        </w:tc>
        <w:tc>
          <w:tcPr>
            <w:tcW w:w="994" w:type="dxa"/>
            <w:shd w:val="clear" w:color="auto" w:fill="92D050"/>
          </w:tcPr>
          <w:p>
            <w:pPr>
              <w:pStyle w:val="TableParagraph"/>
              <w:spacing w:before="71"/>
              <w:ind w:left="146" w:right="146"/>
              <w:rPr>
                <w:b/>
                <w:sz w:val="18"/>
              </w:rPr>
            </w:pPr>
            <w:r>
              <w:rPr>
                <w:b/>
                <w:sz w:val="18"/>
              </w:rPr>
              <w:t>17450</w:t>
            </w:r>
          </w:p>
        </w:tc>
      </w:tr>
      <w:tr>
        <w:trPr>
          <w:trHeight w:val="324" w:hRule="exact"/>
        </w:trPr>
        <w:tc>
          <w:tcPr>
            <w:tcW w:w="1603" w:type="dxa"/>
            <w:shd w:val="clear" w:color="auto" w:fill="92D050"/>
          </w:tcPr>
          <w:p>
            <w:pPr>
              <w:pStyle w:val="TableParagraph"/>
              <w:spacing w:before="32"/>
              <w:ind w:left="595" w:right="104"/>
              <w:jc w:val="left"/>
              <w:rPr>
                <w:b/>
                <w:sz w:val="18"/>
              </w:rPr>
            </w:pPr>
            <w:r>
              <w:rPr>
                <w:b/>
                <w:sz w:val="18"/>
              </w:rPr>
              <w:t>2015</w:t>
            </w:r>
          </w:p>
        </w:tc>
        <w:tc>
          <w:tcPr>
            <w:tcW w:w="1016" w:type="dxa"/>
          </w:tcPr>
          <w:p>
            <w:pPr>
              <w:pStyle w:val="TableParagraph"/>
              <w:spacing w:before="37"/>
              <w:ind w:left="206" w:right="208"/>
              <w:rPr>
                <w:sz w:val="18"/>
              </w:rPr>
            </w:pPr>
            <w:r>
              <w:rPr>
                <w:color w:val="333333"/>
                <w:sz w:val="18"/>
              </w:rPr>
              <w:t>6270</w:t>
            </w:r>
          </w:p>
        </w:tc>
        <w:tc>
          <w:tcPr>
            <w:tcW w:w="1133" w:type="dxa"/>
          </w:tcPr>
          <w:p>
            <w:pPr>
              <w:pStyle w:val="TableParagraph"/>
              <w:spacing w:before="37"/>
              <w:ind w:left="95" w:right="95"/>
              <w:rPr>
                <w:sz w:val="18"/>
              </w:rPr>
            </w:pPr>
            <w:r>
              <w:rPr>
                <w:sz w:val="18"/>
              </w:rPr>
              <w:t>329</w:t>
            </w:r>
          </w:p>
        </w:tc>
        <w:tc>
          <w:tcPr>
            <w:tcW w:w="1135" w:type="dxa"/>
          </w:tcPr>
          <w:p>
            <w:pPr>
              <w:pStyle w:val="TableParagraph"/>
              <w:spacing w:before="37"/>
              <w:ind w:left="317" w:right="317"/>
              <w:rPr>
                <w:sz w:val="18"/>
              </w:rPr>
            </w:pPr>
            <w:r>
              <w:rPr>
                <w:sz w:val="18"/>
              </w:rPr>
              <w:t>342</w:t>
            </w:r>
          </w:p>
        </w:tc>
        <w:tc>
          <w:tcPr>
            <w:tcW w:w="1080" w:type="dxa"/>
          </w:tcPr>
          <w:p>
            <w:pPr>
              <w:pStyle w:val="TableParagraph"/>
              <w:spacing w:before="37"/>
              <w:ind w:left="45" w:right="45"/>
              <w:rPr>
                <w:sz w:val="18"/>
              </w:rPr>
            </w:pPr>
            <w:r>
              <w:rPr>
                <w:color w:val="333333"/>
                <w:sz w:val="18"/>
              </w:rPr>
              <w:t>8895</w:t>
            </w:r>
          </w:p>
        </w:tc>
        <w:tc>
          <w:tcPr>
            <w:tcW w:w="1277" w:type="dxa"/>
          </w:tcPr>
          <w:p>
            <w:pPr>
              <w:pStyle w:val="TableParagraph"/>
              <w:spacing w:before="37"/>
              <w:ind w:left="338" w:right="338"/>
              <w:rPr>
                <w:sz w:val="18"/>
              </w:rPr>
            </w:pPr>
            <w:r>
              <w:rPr>
                <w:sz w:val="18"/>
              </w:rPr>
              <w:t>1298</w:t>
            </w:r>
          </w:p>
        </w:tc>
        <w:tc>
          <w:tcPr>
            <w:tcW w:w="620" w:type="dxa"/>
          </w:tcPr>
          <w:p>
            <w:pPr>
              <w:pStyle w:val="TableParagraph"/>
              <w:spacing w:line="206" w:lineRule="exact"/>
              <w:ind w:left="42" w:right="47"/>
              <w:rPr>
                <w:sz w:val="18"/>
              </w:rPr>
            </w:pPr>
            <w:r>
              <w:rPr>
                <w:sz w:val="18"/>
              </w:rPr>
              <w:t>N/A</w:t>
            </w:r>
          </w:p>
        </w:tc>
        <w:tc>
          <w:tcPr>
            <w:tcW w:w="994" w:type="dxa"/>
            <w:shd w:val="clear" w:color="auto" w:fill="92D050"/>
          </w:tcPr>
          <w:p>
            <w:pPr>
              <w:pStyle w:val="TableParagraph"/>
              <w:spacing w:before="71"/>
              <w:ind w:left="146" w:right="146"/>
              <w:rPr>
                <w:b/>
                <w:sz w:val="18"/>
              </w:rPr>
            </w:pPr>
            <w:r>
              <w:rPr>
                <w:b/>
                <w:sz w:val="18"/>
              </w:rPr>
              <w:t>17134</w:t>
            </w:r>
          </w:p>
        </w:tc>
      </w:tr>
      <w:tr>
        <w:trPr>
          <w:trHeight w:val="382" w:hRule="exact"/>
        </w:trPr>
        <w:tc>
          <w:tcPr>
            <w:tcW w:w="1603" w:type="dxa"/>
            <w:shd w:val="clear" w:color="auto" w:fill="92D050"/>
          </w:tcPr>
          <w:p>
            <w:pPr>
              <w:pStyle w:val="TableParagraph"/>
              <w:spacing w:before="61"/>
              <w:ind w:left="595" w:right="104"/>
              <w:jc w:val="left"/>
              <w:rPr>
                <w:b/>
                <w:sz w:val="18"/>
              </w:rPr>
            </w:pPr>
            <w:r>
              <w:rPr>
                <w:b/>
                <w:sz w:val="18"/>
              </w:rPr>
              <w:t>2016</w:t>
            </w:r>
          </w:p>
        </w:tc>
        <w:tc>
          <w:tcPr>
            <w:tcW w:w="1016" w:type="dxa"/>
          </w:tcPr>
          <w:p>
            <w:pPr>
              <w:pStyle w:val="TableParagraph"/>
              <w:spacing w:before="66"/>
              <w:ind w:left="206" w:right="208"/>
              <w:rPr>
                <w:sz w:val="18"/>
              </w:rPr>
            </w:pPr>
            <w:r>
              <w:rPr>
                <w:color w:val="333333"/>
                <w:sz w:val="18"/>
              </w:rPr>
              <w:t>7654</w:t>
            </w:r>
          </w:p>
        </w:tc>
        <w:tc>
          <w:tcPr>
            <w:tcW w:w="1133" w:type="dxa"/>
          </w:tcPr>
          <w:p>
            <w:pPr>
              <w:pStyle w:val="TableParagraph"/>
              <w:spacing w:before="66"/>
              <w:ind w:left="95" w:right="95"/>
              <w:rPr>
                <w:sz w:val="18"/>
              </w:rPr>
            </w:pPr>
            <w:r>
              <w:rPr>
                <w:sz w:val="18"/>
              </w:rPr>
              <w:t>635</w:t>
            </w:r>
          </w:p>
        </w:tc>
        <w:tc>
          <w:tcPr>
            <w:tcW w:w="1135" w:type="dxa"/>
          </w:tcPr>
          <w:p>
            <w:pPr>
              <w:pStyle w:val="TableParagraph"/>
              <w:spacing w:before="66"/>
              <w:ind w:left="317" w:right="317"/>
              <w:rPr>
                <w:sz w:val="18"/>
              </w:rPr>
            </w:pPr>
            <w:r>
              <w:rPr>
                <w:sz w:val="18"/>
              </w:rPr>
              <w:t>613</w:t>
            </w:r>
          </w:p>
        </w:tc>
        <w:tc>
          <w:tcPr>
            <w:tcW w:w="1080" w:type="dxa"/>
          </w:tcPr>
          <w:p>
            <w:pPr>
              <w:pStyle w:val="TableParagraph"/>
              <w:spacing w:before="66"/>
              <w:ind w:left="45" w:right="45"/>
              <w:rPr>
                <w:sz w:val="18"/>
              </w:rPr>
            </w:pPr>
            <w:r>
              <w:rPr>
                <w:color w:val="333333"/>
                <w:sz w:val="18"/>
              </w:rPr>
              <w:t>17376</w:t>
            </w:r>
          </w:p>
        </w:tc>
        <w:tc>
          <w:tcPr>
            <w:tcW w:w="1277" w:type="dxa"/>
          </w:tcPr>
          <w:p>
            <w:pPr>
              <w:pStyle w:val="TableParagraph"/>
              <w:spacing w:before="66"/>
              <w:ind w:left="338" w:right="338"/>
              <w:rPr>
                <w:sz w:val="18"/>
              </w:rPr>
            </w:pPr>
            <w:r>
              <w:rPr>
                <w:sz w:val="18"/>
              </w:rPr>
              <w:t>1985</w:t>
            </w:r>
          </w:p>
        </w:tc>
        <w:tc>
          <w:tcPr>
            <w:tcW w:w="620" w:type="dxa"/>
          </w:tcPr>
          <w:p>
            <w:pPr>
              <w:pStyle w:val="TableParagraph"/>
              <w:spacing w:before="1"/>
              <w:ind w:left="43" w:right="46"/>
              <w:rPr>
                <w:sz w:val="18"/>
              </w:rPr>
            </w:pPr>
            <w:r>
              <w:rPr>
                <w:sz w:val="18"/>
              </w:rPr>
              <w:t>387</w:t>
            </w:r>
          </w:p>
        </w:tc>
        <w:tc>
          <w:tcPr>
            <w:tcW w:w="994" w:type="dxa"/>
            <w:shd w:val="clear" w:color="auto" w:fill="92D050"/>
          </w:tcPr>
          <w:p>
            <w:pPr>
              <w:pStyle w:val="TableParagraph"/>
              <w:spacing w:before="128"/>
              <w:ind w:left="146" w:right="146"/>
              <w:rPr>
                <w:b/>
                <w:sz w:val="18"/>
              </w:rPr>
            </w:pPr>
            <w:r>
              <w:rPr>
                <w:b/>
                <w:sz w:val="18"/>
              </w:rPr>
              <w:t>28650</w:t>
            </w:r>
          </w:p>
        </w:tc>
      </w:tr>
      <w:tr>
        <w:trPr>
          <w:trHeight w:val="487" w:hRule="exact"/>
        </w:trPr>
        <w:tc>
          <w:tcPr>
            <w:tcW w:w="1603" w:type="dxa"/>
            <w:shd w:val="clear" w:color="auto" w:fill="92D050"/>
          </w:tcPr>
          <w:p>
            <w:pPr>
              <w:pStyle w:val="TableParagraph"/>
              <w:spacing w:line="276" w:lineRule="auto"/>
              <w:ind w:left="422" w:right="104" w:hanging="303"/>
              <w:jc w:val="left"/>
              <w:rPr>
                <w:b/>
                <w:sz w:val="18"/>
              </w:rPr>
            </w:pPr>
            <w:r>
              <w:rPr>
                <w:b/>
                <w:sz w:val="18"/>
              </w:rPr>
              <w:t>Total por sujeto obligado</w:t>
            </w:r>
          </w:p>
        </w:tc>
        <w:tc>
          <w:tcPr>
            <w:tcW w:w="1016" w:type="dxa"/>
            <w:shd w:val="clear" w:color="auto" w:fill="92D050"/>
          </w:tcPr>
          <w:p>
            <w:pPr>
              <w:pStyle w:val="TableParagraph"/>
              <w:spacing w:before="2"/>
              <w:jc w:val="left"/>
              <w:rPr>
                <w:sz w:val="20"/>
              </w:rPr>
            </w:pPr>
          </w:p>
          <w:p>
            <w:pPr>
              <w:pStyle w:val="TableParagraph"/>
              <w:ind w:left="207" w:right="208"/>
              <w:rPr>
                <w:b/>
                <w:sz w:val="18"/>
              </w:rPr>
            </w:pPr>
            <w:r>
              <w:rPr>
                <w:b/>
                <w:sz w:val="18"/>
              </w:rPr>
              <w:t>51,033</w:t>
            </w:r>
          </w:p>
        </w:tc>
        <w:tc>
          <w:tcPr>
            <w:tcW w:w="1133" w:type="dxa"/>
            <w:shd w:val="clear" w:color="auto" w:fill="92D050"/>
          </w:tcPr>
          <w:p>
            <w:pPr>
              <w:pStyle w:val="TableParagraph"/>
              <w:spacing w:before="2"/>
              <w:jc w:val="left"/>
              <w:rPr>
                <w:sz w:val="20"/>
              </w:rPr>
            </w:pPr>
          </w:p>
          <w:p>
            <w:pPr>
              <w:pStyle w:val="TableParagraph"/>
              <w:ind w:left="95" w:right="93"/>
              <w:rPr>
                <w:b/>
                <w:sz w:val="18"/>
              </w:rPr>
            </w:pPr>
            <w:r>
              <w:rPr>
                <w:b/>
                <w:sz w:val="18"/>
              </w:rPr>
              <w:t>3,357</w:t>
            </w:r>
          </w:p>
        </w:tc>
        <w:tc>
          <w:tcPr>
            <w:tcW w:w="1135" w:type="dxa"/>
            <w:shd w:val="clear" w:color="auto" w:fill="92D050"/>
          </w:tcPr>
          <w:p>
            <w:pPr>
              <w:pStyle w:val="TableParagraph"/>
              <w:spacing w:before="2"/>
              <w:jc w:val="left"/>
              <w:rPr>
                <w:sz w:val="20"/>
              </w:rPr>
            </w:pPr>
          </w:p>
          <w:p>
            <w:pPr>
              <w:pStyle w:val="TableParagraph"/>
              <w:ind w:left="317" w:right="317"/>
              <w:rPr>
                <w:b/>
                <w:sz w:val="18"/>
              </w:rPr>
            </w:pPr>
            <w:r>
              <w:rPr>
                <w:b/>
                <w:sz w:val="18"/>
              </w:rPr>
              <w:t>3,437</w:t>
            </w:r>
          </w:p>
        </w:tc>
        <w:tc>
          <w:tcPr>
            <w:tcW w:w="1080" w:type="dxa"/>
            <w:shd w:val="clear" w:color="auto" w:fill="92D050"/>
          </w:tcPr>
          <w:p>
            <w:pPr>
              <w:pStyle w:val="TableParagraph"/>
              <w:spacing w:before="2"/>
              <w:jc w:val="left"/>
              <w:rPr>
                <w:sz w:val="20"/>
              </w:rPr>
            </w:pPr>
          </w:p>
          <w:p>
            <w:pPr>
              <w:pStyle w:val="TableParagraph"/>
              <w:ind w:left="45" w:right="45"/>
              <w:rPr>
                <w:b/>
                <w:sz w:val="18"/>
              </w:rPr>
            </w:pPr>
            <w:r>
              <w:rPr>
                <w:b/>
                <w:sz w:val="18"/>
              </w:rPr>
              <w:t>92,794</w:t>
            </w:r>
          </w:p>
        </w:tc>
        <w:tc>
          <w:tcPr>
            <w:tcW w:w="1277" w:type="dxa"/>
            <w:shd w:val="clear" w:color="auto" w:fill="92D050"/>
          </w:tcPr>
          <w:p>
            <w:pPr>
              <w:pStyle w:val="TableParagraph"/>
              <w:spacing w:before="2"/>
              <w:jc w:val="left"/>
              <w:rPr>
                <w:sz w:val="20"/>
              </w:rPr>
            </w:pPr>
          </w:p>
          <w:p>
            <w:pPr>
              <w:pStyle w:val="TableParagraph"/>
              <w:ind w:left="338" w:right="338"/>
              <w:rPr>
                <w:b/>
                <w:sz w:val="18"/>
              </w:rPr>
            </w:pPr>
            <w:r>
              <w:rPr>
                <w:b/>
                <w:sz w:val="18"/>
              </w:rPr>
              <w:t>11,136</w:t>
            </w:r>
          </w:p>
        </w:tc>
        <w:tc>
          <w:tcPr>
            <w:tcW w:w="620" w:type="dxa"/>
            <w:shd w:val="clear" w:color="auto" w:fill="92D050"/>
          </w:tcPr>
          <w:p>
            <w:pPr>
              <w:pStyle w:val="TableParagraph"/>
              <w:spacing w:before="2"/>
              <w:jc w:val="left"/>
              <w:rPr>
                <w:sz w:val="20"/>
              </w:rPr>
            </w:pPr>
          </w:p>
          <w:p>
            <w:pPr>
              <w:pStyle w:val="TableParagraph"/>
              <w:ind w:left="43" w:right="46"/>
              <w:rPr>
                <w:b/>
                <w:sz w:val="18"/>
              </w:rPr>
            </w:pPr>
            <w:r>
              <w:rPr>
                <w:b/>
                <w:sz w:val="18"/>
              </w:rPr>
              <w:t>387</w:t>
            </w:r>
          </w:p>
        </w:tc>
        <w:tc>
          <w:tcPr>
            <w:tcW w:w="994" w:type="dxa"/>
            <w:shd w:val="clear" w:color="auto" w:fill="92D050"/>
          </w:tcPr>
          <w:p>
            <w:pPr>
              <w:pStyle w:val="TableParagraph"/>
              <w:spacing w:before="2"/>
              <w:jc w:val="left"/>
              <w:rPr>
                <w:sz w:val="20"/>
              </w:rPr>
            </w:pPr>
          </w:p>
          <w:p>
            <w:pPr>
              <w:pStyle w:val="TableParagraph"/>
              <w:ind w:left="146" w:right="146"/>
              <w:rPr>
                <w:b/>
                <w:sz w:val="18"/>
              </w:rPr>
            </w:pPr>
            <w:r>
              <w:rPr>
                <w:b/>
                <w:sz w:val="18"/>
              </w:rPr>
              <w:t>161,757</w:t>
            </w:r>
          </w:p>
        </w:tc>
      </w:tr>
    </w:tbl>
    <w:p>
      <w:pPr>
        <w:spacing w:before="15"/>
        <w:ind w:left="236" w:right="26" w:firstLine="0"/>
        <w:jc w:val="left"/>
        <w:rPr>
          <w:sz w:val="16"/>
        </w:rPr>
      </w:pPr>
      <w:r>
        <w:rPr>
          <w:sz w:val="16"/>
        </w:rPr>
        <w:t>Fuente: Elaboración propia con datos del INFOEM</w:t>
      </w:r>
    </w:p>
    <w:p>
      <w:pPr>
        <w:pStyle w:val="BodyText"/>
        <w:rPr>
          <w:sz w:val="20"/>
        </w:rPr>
      </w:pPr>
    </w:p>
    <w:p>
      <w:pPr>
        <w:pStyle w:val="BodyText"/>
        <w:spacing w:before="10"/>
        <w:rPr>
          <w:sz w:val="19"/>
        </w:rPr>
      </w:pPr>
    </w:p>
    <w:p>
      <w:pPr>
        <w:pStyle w:val="BodyText"/>
        <w:spacing w:line="360" w:lineRule="auto" w:before="70"/>
        <w:ind w:left="128" w:right="119"/>
        <w:jc w:val="both"/>
      </w:pPr>
      <w:r>
        <w:rPr/>
        <w:t>Respecto a los gobiernos municipales, cabe mencionar que aproximadamente el 80% de solicitudes se concentra en 22 municipios: Acambay, Almoloya de Juárez, Amecameca,</w:t>
      </w:r>
      <w:r>
        <w:rPr>
          <w:spacing w:val="-11"/>
        </w:rPr>
        <w:t> </w:t>
      </w:r>
      <w:r>
        <w:rPr/>
        <w:t>Atizapan</w:t>
      </w:r>
      <w:r>
        <w:rPr>
          <w:spacing w:val="-13"/>
        </w:rPr>
        <w:t> </w:t>
      </w:r>
      <w:r>
        <w:rPr/>
        <w:t>de</w:t>
      </w:r>
      <w:r>
        <w:rPr>
          <w:spacing w:val="-8"/>
        </w:rPr>
        <w:t> </w:t>
      </w:r>
      <w:r>
        <w:rPr/>
        <w:t>Zaragoza,</w:t>
      </w:r>
      <w:r>
        <w:rPr>
          <w:spacing w:val="-8"/>
        </w:rPr>
        <w:t> </w:t>
      </w:r>
      <w:r>
        <w:rPr/>
        <w:t>Chalco,</w:t>
      </w:r>
      <w:r>
        <w:rPr>
          <w:spacing w:val="-11"/>
        </w:rPr>
        <w:t> </w:t>
      </w:r>
      <w:r>
        <w:rPr/>
        <w:t>Cuautiltlán,</w:t>
      </w:r>
      <w:r>
        <w:rPr>
          <w:spacing w:val="-8"/>
        </w:rPr>
        <w:t> </w:t>
      </w:r>
      <w:r>
        <w:rPr/>
        <w:t>Cuautitlán</w:t>
      </w:r>
      <w:r>
        <w:rPr>
          <w:spacing w:val="-13"/>
        </w:rPr>
        <w:t> </w:t>
      </w:r>
      <w:r>
        <w:rPr/>
        <w:t>Izcalli,</w:t>
      </w:r>
      <w:r>
        <w:rPr>
          <w:spacing w:val="-9"/>
        </w:rPr>
        <w:t> </w:t>
      </w:r>
      <w:r>
        <w:rPr/>
        <w:t>Ecatepec de Morelos, Huixquilucan, Ixtlahuaca, Juchitepec, Metepec, Naucalpan de  </w:t>
      </w:r>
      <w:r>
        <w:rPr>
          <w:spacing w:val="44"/>
        </w:rPr>
        <w:t> </w:t>
      </w:r>
      <w:r>
        <w:rPr/>
        <w:t>Juárez,</w:t>
      </w:r>
    </w:p>
    <w:p>
      <w:pPr>
        <w:spacing w:after="0" w:line="360" w:lineRule="auto"/>
        <w:jc w:val="both"/>
        <w:sectPr>
          <w:footerReference w:type="default" r:id="rId77"/>
          <w:pgSz w:w="12240" w:h="15840"/>
          <w:pgMar w:footer="975" w:header="0" w:top="1360" w:bottom="1160" w:left="1480" w:right="1580"/>
          <w:pgNumType w:start="201"/>
        </w:sectPr>
      </w:pPr>
    </w:p>
    <w:p>
      <w:pPr>
        <w:pStyle w:val="BodyText"/>
        <w:spacing w:line="362" w:lineRule="auto" w:before="54"/>
        <w:ind w:left="108" w:right="123"/>
        <w:jc w:val="both"/>
      </w:pPr>
      <w:r>
        <w:rPr/>
        <w:t>Nezahualcóyotl, Nicolás Romero, Polotitlán, Tenancingo, Teotihuacan,</w:t>
      </w:r>
      <w:r>
        <w:rPr>
          <w:spacing w:val="-35"/>
        </w:rPr>
        <w:t> </w:t>
      </w:r>
      <w:r>
        <w:rPr/>
        <w:t>Tlalmanalco, Tlalnepantla de Baz, Texcoco y</w:t>
      </w:r>
      <w:r>
        <w:rPr>
          <w:spacing w:val="-12"/>
        </w:rPr>
        <w:t> </w:t>
      </w:r>
      <w:r>
        <w:rPr/>
        <w:t>Toluca.</w:t>
      </w:r>
    </w:p>
    <w:p>
      <w:pPr>
        <w:pStyle w:val="BodyText"/>
      </w:pPr>
    </w:p>
    <w:p>
      <w:pPr>
        <w:pStyle w:val="BodyText"/>
        <w:spacing w:line="360" w:lineRule="auto" w:before="139"/>
        <w:ind w:left="108" w:right="120"/>
        <w:jc w:val="both"/>
      </w:pPr>
      <w:r>
        <w:rPr/>
        <w:t>Asimismo, se identificó a los municipios que concentran el mayor el número de solicitudes</w:t>
      </w:r>
      <w:r>
        <w:rPr>
          <w:spacing w:val="-20"/>
        </w:rPr>
        <w:t> </w:t>
      </w:r>
      <w:r>
        <w:rPr/>
        <w:t>de</w:t>
      </w:r>
      <w:r>
        <w:rPr>
          <w:spacing w:val="-19"/>
        </w:rPr>
        <w:t> </w:t>
      </w:r>
      <w:r>
        <w:rPr/>
        <w:t>información</w:t>
      </w:r>
      <w:r>
        <w:rPr>
          <w:spacing w:val="-19"/>
        </w:rPr>
        <w:t> </w:t>
      </w:r>
      <w:r>
        <w:rPr/>
        <w:t>recibidas,</w:t>
      </w:r>
      <w:r>
        <w:rPr>
          <w:spacing w:val="-19"/>
        </w:rPr>
        <w:t> </w:t>
      </w:r>
      <w:r>
        <w:rPr/>
        <w:t>contestadas</w:t>
      </w:r>
      <w:r>
        <w:rPr>
          <w:spacing w:val="-20"/>
        </w:rPr>
        <w:t> </w:t>
      </w:r>
      <w:r>
        <w:rPr/>
        <w:t>en</w:t>
      </w:r>
      <w:r>
        <w:rPr>
          <w:spacing w:val="-19"/>
        </w:rPr>
        <w:t> </w:t>
      </w:r>
      <w:r>
        <w:rPr/>
        <w:t>tiempo</w:t>
      </w:r>
      <w:r>
        <w:rPr>
          <w:spacing w:val="-19"/>
        </w:rPr>
        <w:t> </w:t>
      </w:r>
      <w:r>
        <w:rPr/>
        <w:t>y</w:t>
      </w:r>
      <w:r>
        <w:rPr>
          <w:spacing w:val="-21"/>
        </w:rPr>
        <w:t> </w:t>
      </w:r>
      <w:r>
        <w:rPr/>
        <w:t>los</w:t>
      </w:r>
      <w:r>
        <w:rPr>
          <w:spacing w:val="-19"/>
        </w:rPr>
        <w:t> </w:t>
      </w:r>
      <w:r>
        <w:rPr/>
        <w:t>recursos</w:t>
      </w:r>
      <w:r>
        <w:rPr>
          <w:spacing w:val="-20"/>
        </w:rPr>
        <w:t> </w:t>
      </w:r>
      <w:r>
        <w:rPr/>
        <w:t>de</w:t>
      </w:r>
      <w:r>
        <w:rPr>
          <w:spacing w:val="-19"/>
        </w:rPr>
        <w:t> </w:t>
      </w:r>
      <w:r>
        <w:rPr/>
        <w:t>revisión recibidos por</w:t>
      </w:r>
      <w:r>
        <w:rPr>
          <w:spacing w:val="-3"/>
        </w:rPr>
        <w:t> </w:t>
      </w:r>
      <w:r>
        <w:rPr/>
        <w:t>estos.</w:t>
      </w:r>
    </w:p>
    <w:p>
      <w:pPr>
        <w:pStyle w:val="BodyText"/>
        <w:rPr>
          <w:sz w:val="20"/>
        </w:rPr>
      </w:pPr>
    </w:p>
    <w:p>
      <w:pPr>
        <w:pStyle w:val="BodyText"/>
        <w:spacing w:before="4"/>
        <w:rPr>
          <w:sz w:val="12"/>
        </w:rPr>
      </w:pPr>
      <w:r>
        <w:rPr/>
        <w:pict>
          <v:group style="position:absolute;margin-left:80.025002pt;margin-top:9.079905pt;width:442.65pt;height:223.3pt;mso-position-horizontal-relative:page;mso-position-vertical-relative:paragraph;z-index:4888;mso-wrap-distance-left:0;mso-wrap-distance-right:0" coordorigin="1601,182" coordsize="8853,4466">
            <v:line style="position:absolute" from="2361,2844" to="10226,2844" stroked="true" strokeweight=".75pt" strokecolor="#d9d9d9"/>
            <v:line style="position:absolute" from="2361,3411" to="10226,3411" stroked="true" strokeweight=".75pt" strokecolor="#d9d9d9"/>
            <v:shape style="position:absolute;left:2689;top:2542;width:7210;height:832" coordorigin="2689,2542" coordsize="7210,832" path="m2689,3374l3343,3369,3998,3223,4656,2918,5311,2971,5966,2887,6622,2849,7277,2863,7932,2801,8587,2642,9242,2700,9898,2542e" filled="false" stroked="true" strokeweight="2.25pt" strokecolor="#5b9bd4">
              <v:path arrowok="t"/>
            </v:shape>
            <v:shape style="position:absolute;left:2630;top:3316;width:115;height:115" type="#_x0000_t75" stroked="false">
              <v:imagedata r:id="rId78" o:title=""/>
            </v:shape>
            <v:shape style="position:absolute;left:3286;top:3311;width:115;height:115" type="#_x0000_t75" stroked="false">
              <v:imagedata r:id="rId79" o:title=""/>
            </v:shape>
            <v:shape style="position:absolute;left:3941;top:3165;width:115;height:115" type="#_x0000_t75" stroked="false">
              <v:imagedata r:id="rId80" o:title=""/>
            </v:shape>
            <v:shape style="position:absolute;left:4598;top:2860;width:115;height:115" type="#_x0000_t75" stroked="false">
              <v:imagedata r:id="rId78" o:title=""/>
            </v:shape>
            <v:shape style="position:absolute;left:5254;top:2913;width:115;height:115" type="#_x0000_t75" stroked="false">
              <v:imagedata r:id="rId80" o:title=""/>
            </v:shape>
            <v:shape style="position:absolute;left:5909;top:2829;width:115;height:115" type="#_x0000_t75" stroked="false">
              <v:imagedata r:id="rId78" o:title=""/>
            </v:shape>
            <v:shape style="position:absolute;left:6564;top:2791;width:115;height:115" type="#_x0000_t75" stroked="false">
              <v:imagedata r:id="rId81" o:title=""/>
            </v:shape>
            <v:shape style="position:absolute;left:7219;top:2805;width:115;height:115" type="#_x0000_t75" stroked="false">
              <v:imagedata r:id="rId79" o:title=""/>
            </v:shape>
            <v:shape style="position:absolute;left:7874;top:2743;width:115;height:115" type="#_x0000_t75" stroked="false">
              <v:imagedata r:id="rId79" o:title=""/>
            </v:shape>
            <v:shape style="position:absolute;left:8530;top:2584;width:115;height:115" type="#_x0000_t75" stroked="false">
              <v:imagedata r:id="rId80" o:title=""/>
            </v:shape>
            <v:shape style="position:absolute;left:9185;top:2642;width:115;height:115" type="#_x0000_t75" stroked="false">
              <v:imagedata r:id="rId78" o:title=""/>
            </v:shape>
            <v:shape style="position:absolute;left:9840;top:2483;width:115;height:115" type="#_x0000_t75" stroked="false">
              <v:imagedata r:id="rId78" o:title=""/>
            </v:shape>
            <v:shape style="position:absolute;left:2689;top:3339;width:7210;height:72" coordorigin="2689,3339" coordsize="7210,72" path="m2689,3411l3343,3411,3998,3411,4656,3401,5311,3372,5966,3372,6622,3367,7277,3355,7932,3369,8587,3369,9242,3374,9898,3339e" filled="false" stroked="true" strokeweight="2.25pt" strokecolor="#ec7c30">
              <v:path arrowok="t"/>
            </v:shape>
            <v:shape style="position:absolute;left:2630;top:3352;width:115;height:115" type="#_x0000_t75" stroked="false">
              <v:imagedata r:id="rId82" o:title=""/>
            </v:shape>
            <v:shape style="position:absolute;left:3286;top:3352;width:115;height:115" type="#_x0000_t75" stroked="false">
              <v:imagedata r:id="rId82" o:title=""/>
            </v:shape>
            <v:shape style="position:absolute;left:3941;top:3352;width:115;height:115" type="#_x0000_t75" stroked="false">
              <v:imagedata r:id="rId83" o:title=""/>
            </v:shape>
            <v:shape style="position:absolute;left:4598;top:3343;width:115;height:115" type="#_x0000_t75" stroked="false">
              <v:imagedata r:id="rId82" o:title=""/>
            </v:shape>
            <v:shape style="position:absolute;left:5254;top:3314;width:115;height:115" type="#_x0000_t75" stroked="false">
              <v:imagedata r:id="rId83" o:title=""/>
            </v:shape>
            <v:shape style="position:absolute;left:5909;top:3314;width:115;height:115" type="#_x0000_t75" stroked="false">
              <v:imagedata r:id="rId82" o:title=""/>
            </v:shape>
            <v:shape style="position:absolute;left:6564;top:3309;width:115;height:115" type="#_x0000_t75" stroked="false">
              <v:imagedata r:id="rId84" o:title=""/>
            </v:shape>
            <v:shape style="position:absolute;left:7219;top:3297;width:115;height:115" type="#_x0000_t75" stroked="false">
              <v:imagedata r:id="rId82" o:title=""/>
            </v:shape>
            <v:shape style="position:absolute;left:7874;top:3311;width:115;height:115" type="#_x0000_t75" stroked="false">
              <v:imagedata r:id="rId82" o:title=""/>
            </v:shape>
            <v:shape style="position:absolute;left:8530;top:3311;width:115;height:115" type="#_x0000_t75" stroked="false">
              <v:imagedata r:id="rId83" o:title=""/>
            </v:shape>
            <v:shape style="position:absolute;left:9185;top:3316;width:115;height:115" type="#_x0000_t75" stroked="false">
              <v:imagedata r:id="rId85" o:title=""/>
            </v:shape>
            <v:shape style="position:absolute;left:9840;top:3280;width:115;height:115" type="#_x0000_t75" stroked="false">
              <v:imagedata r:id="rId85" o:title=""/>
            </v:shape>
            <v:shape style="position:absolute;left:2689;top:3309;width:7210;height:103" coordorigin="2689,3309" coordsize="7210,103" path="m2689,3411l3343,3411,3998,3411,4656,3405,5311,3389,5966,3377,6622,3309,7277,3377,7932,3379,8587,3360,9242,3372,9898,3341e" filled="false" stroked="true" strokeweight="2.25pt" strokecolor="#a4a4a4">
              <v:path arrowok="t"/>
            </v:shape>
            <v:shape style="position:absolute;left:2630;top:3352;width:115;height:115" type="#_x0000_t75" stroked="false">
              <v:imagedata r:id="rId86" o:title=""/>
            </v:shape>
            <v:shape style="position:absolute;left:3286;top:3352;width:115;height:115" type="#_x0000_t75" stroked="false">
              <v:imagedata r:id="rId86" o:title=""/>
            </v:shape>
            <v:shape style="position:absolute;left:3941;top:3352;width:115;height:115" type="#_x0000_t75" stroked="false">
              <v:imagedata r:id="rId87" o:title=""/>
            </v:shape>
            <v:shape style="position:absolute;left:4598;top:3347;width:115;height:115" type="#_x0000_t75" stroked="false">
              <v:imagedata r:id="rId88" o:title=""/>
            </v:shape>
            <v:shape style="position:absolute;left:5254;top:3331;width:115;height:115" type="#_x0000_t75" stroked="false">
              <v:imagedata r:id="rId89" o:title=""/>
            </v:shape>
            <v:shape style="position:absolute;left:5909;top:3319;width:115;height:115" type="#_x0000_t75" stroked="false">
              <v:imagedata r:id="rId86" o:title=""/>
            </v:shape>
            <v:shape style="position:absolute;left:6564;top:3251;width:115;height:115" type="#_x0000_t75" stroked="false">
              <v:imagedata r:id="rId87" o:title=""/>
            </v:shape>
            <v:shape style="position:absolute;left:7219;top:3319;width:115;height:115" type="#_x0000_t75" stroked="false">
              <v:imagedata r:id="rId86" o:title=""/>
            </v:shape>
            <v:shape style="position:absolute;left:7874;top:3321;width:115;height:115" type="#_x0000_t75" stroked="false">
              <v:imagedata r:id="rId86" o:title=""/>
            </v:shape>
            <v:shape style="position:absolute;left:8530;top:3302;width:115;height:115" type="#_x0000_t75" stroked="false">
              <v:imagedata r:id="rId89" o:title=""/>
            </v:shape>
            <v:shape style="position:absolute;left:9185;top:3314;width:115;height:115" type="#_x0000_t75" stroked="false">
              <v:imagedata r:id="rId86" o:title=""/>
            </v:shape>
            <v:shape style="position:absolute;left:9840;top:3283;width:115;height:115" type="#_x0000_t75" stroked="false">
              <v:imagedata r:id="rId86" o:title=""/>
            </v:shape>
            <v:line style="position:absolute" from="2361,2275" to="10226,2275" stroked="true" strokeweight=".75pt" strokecolor="#d9d9d9"/>
            <v:line style="position:absolute" from="2361,1709" to="10226,1709" stroked="true" strokeweight=".75pt" strokecolor="#d9d9d9"/>
            <v:shape style="position:absolute;left:2689;top:1439;width:7210;height:1945" coordorigin="2689,1439" coordsize="7210,1945" path="m2689,3383l3343,3379,3998,3261,4656,2947,5311,2383,5966,2121,6622,2052,7277,2505,7932,2114,8587,2414,9242,2402,9898,1439e" filled="false" stroked="true" strokeweight="2.25pt" strokecolor="#ffc000">
              <v:path arrowok="t"/>
            </v:shape>
            <v:shape style="position:absolute;left:2630;top:3326;width:115;height:115" type="#_x0000_t75" stroked="false">
              <v:imagedata r:id="rId90" o:title=""/>
            </v:shape>
            <v:shape style="position:absolute;left:3286;top:3321;width:115;height:115" type="#_x0000_t75" stroked="false">
              <v:imagedata r:id="rId90" o:title=""/>
            </v:shape>
            <v:shape style="position:absolute;left:3941;top:3203;width:115;height:115" type="#_x0000_t75" stroked="false">
              <v:imagedata r:id="rId91" o:title=""/>
            </v:shape>
            <v:shape style="position:absolute;left:4598;top:2889;width:115;height:115" type="#_x0000_t75" stroked="false">
              <v:imagedata r:id="rId92" o:title=""/>
            </v:shape>
            <v:shape style="position:absolute;left:5254;top:2325;width:115;height:115" type="#_x0000_t75" stroked="false">
              <v:imagedata r:id="rId93" o:title=""/>
            </v:shape>
            <v:shape style="position:absolute;left:5909;top:2063;width:115;height:115" type="#_x0000_t75" stroked="false">
              <v:imagedata r:id="rId92" o:title=""/>
            </v:shape>
            <v:shape style="position:absolute;left:6564;top:1994;width:115;height:115" type="#_x0000_t75" stroked="false">
              <v:imagedata r:id="rId93" o:title=""/>
            </v:shape>
            <v:shape style="position:absolute;left:7219;top:2447;width:115;height:115" type="#_x0000_t75" stroked="false">
              <v:imagedata r:id="rId92" o:title=""/>
            </v:shape>
            <v:shape style="position:absolute;left:7874;top:2056;width:115;height:115" type="#_x0000_t75" stroked="false">
              <v:imagedata r:id="rId92" o:title=""/>
            </v:shape>
            <v:shape style="position:absolute;left:8530;top:2356;width:115;height:115" type="#_x0000_t75" stroked="false">
              <v:imagedata r:id="rId91" o:title=""/>
            </v:shape>
            <v:shape style="position:absolute;left:9185;top:2344;width:115;height:115" type="#_x0000_t75" stroked="false">
              <v:imagedata r:id="rId90" o:title=""/>
            </v:shape>
            <v:shape style="position:absolute;left:9840;top:1382;width:115;height:115" type="#_x0000_t75" stroked="false">
              <v:imagedata r:id="rId92" o:title=""/>
            </v:shape>
            <v:shape style="position:absolute;left:2689;top:3186;width:7210;height:225" coordorigin="2689,3186" coordsize="7210,225" path="m2689,3411l3343,3410,3998,3403,4656,3389,5311,3319,5966,3295,6622,3283,7277,3223,7932,3199,8587,3288,9242,3264,9898,3186e" filled="false" stroked="true" strokeweight="2.25pt" strokecolor="#4471c4">
              <v:path arrowok="t"/>
            </v:shape>
            <v:shape style="position:absolute;left:2630;top:3352;width:115;height:115" type="#_x0000_t75" stroked="false">
              <v:imagedata r:id="rId94" o:title=""/>
            </v:shape>
            <v:shape style="position:absolute;left:3286;top:3352;width:115;height:115" type="#_x0000_t75" stroked="false">
              <v:imagedata r:id="rId94" o:title=""/>
            </v:shape>
            <v:shape style="position:absolute;left:3941;top:3345;width:115;height:115" type="#_x0000_t75" stroked="false">
              <v:imagedata r:id="rId95" o:title=""/>
            </v:shape>
            <v:shape style="position:absolute;left:4598;top:3331;width:115;height:115" type="#_x0000_t75" stroked="false">
              <v:imagedata r:id="rId96" o:title=""/>
            </v:shape>
            <v:shape style="position:absolute;left:5254;top:3261;width:115;height:115" type="#_x0000_t75" stroked="false">
              <v:imagedata r:id="rId95" o:title=""/>
            </v:shape>
            <v:shape style="position:absolute;left:5909;top:3237;width:115;height:115" type="#_x0000_t75" stroked="false">
              <v:imagedata r:id="rId94" o:title=""/>
            </v:shape>
            <v:shape style="position:absolute;left:6564;top:3225;width:115;height:115" type="#_x0000_t75" stroked="false">
              <v:imagedata r:id="rId95" o:title=""/>
            </v:shape>
            <v:shape style="position:absolute;left:7219;top:3165;width:115;height:115" type="#_x0000_t75" stroked="false">
              <v:imagedata r:id="rId94" o:title=""/>
            </v:shape>
            <v:shape style="position:absolute;left:7874;top:3141;width:115;height:115" type="#_x0000_t75" stroked="false">
              <v:imagedata r:id="rId94" o:title=""/>
            </v:shape>
            <v:shape style="position:absolute;left:8530;top:3230;width:115;height:115" type="#_x0000_t75" stroked="false">
              <v:imagedata r:id="rId95" o:title=""/>
            </v:shape>
            <v:shape style="position:absolute;left:9185;top:3206;width:115;height:115" type="#_x0000_t75" stroked="false">
              <v:imagedata r:id="rId94" o:title=""/>
            </v:shape>
            <v:shape style="position:absolute;left:9840;top:3127;width:115;height:115" type="#_x0000_t75" stroked="false">
              <v:imagedata r:id="rId94" o:title=""/>
            </v:shape>
            <v:line style="position:absolute" from="2361,1141" to="10226,1141" stroked="true" strokeweight=".75pt" strokecolor="#d9d9d9"/>
            <v:shape style="position:absolute;left:2732;top:3984;width:429;height:116" type="#_x0000_t75" stroked="false">
              <v:imagedata r:id="rId97" o:title=""/>
            </v:shape>
            <v:shape style="position:absolute;left:4956;top:3984;width:429;height:116" type="#_x0000_t75" stroked="false">
              <v:imagedata r:id="rId98" o:title=""/>
            </v:shape>
            <v:shape style="position:absolute;left:7179;top:3984;width:429;height:116" type="#_x0000_t75" stroked="false">
              <v:imagedata r:id="rId99" o:title=""/>
            </v:shape>
            <v:shape style="position:absolute;left:2732;top:4322;width:429;height:116" type="#_x0000_t75" stroked="false">
              <v:imagedata r:id="rId100" o:title=""/>
            </v:shape>
            <v:shape style="position:absolute;left:4956;top:4322;width:429;height:116" type="#_x0000_t75" stroked="false">
              <v:imagedata r:id="rId101" o:title=""/>
            </v:shape>
            <v:shape style="position:absolute;left:1608;top:189;width:8838;height:4451" coordorigin="1608,189" coordsize="8838,4451" path="m1608,389l1624,311,1667,248,1730,205,1808,189,10246,189,10324,205,10387,248,10430,311,10446,389,10446,4440,10430,4518,10387,4581,10324,4624,10246,4640,1808,4640,1730,4624,1667,4581,1624,4518,1608,4440,1608,389xe" filled="false" stroked="true" strokeweight=".75pt" strokecolor="#d9d9d9">
              <v:path arrowok="t"/>
            </v:shape>
            <v:shape style="position:absolute;left:2665;top:371;width:6720;height:516" type="#_x0000_t202" filled="false" stroked="false">
              <v:textbox inset="0,0,0,0">
                <w:txbxContent>
                  <w:p>
                    <w:pPr>
                      <w:spacing w:line="245" w:lineRule="exact" w:before="0"/>
                      <w:ind w:left="0" w:right="0" w:firstLine="0"/>
                      <w:jc w:val="center"/>
                      <w:rPr>
                        <w:b/>
                        <w:sz w:val="24"/>
                      </w:rPr>
                    </w:pPr>
                    <w:r>
                      <w:rPr>
                        <w:b/>
                        <w:sz w:val="24"/>
                      </w:rPr>
                      <w:t>Gráfica 3.1. Solicitudes de información por sujeto</w:t>
                    </w:r>
                    <w:r>
                      <w:rPr>
                        <w:b/>
                        <w:spacing w:val="-14"/>
                        <w:sz w:val="24"/>
                      </w:rPr>
                      <w:t> </w:t>
                    </w:r>
                    <w:r>
                      <w:rPr>
                        <w:b/>
                        <w:sz w:val="24"/>
                      </w:rPr>
                      <w:t>obligado</w:t>
                    </w:r>
                  </w:p>
                  <w:p>
                    <w:pPr>
                      <w:spacing w:line="271" w:lineRule="exact" w:before="0"/>
                      <w:ind w:left="4" w:right="0" w:firstLine="0"/>
                      <w:jc w:val="center"/>
                      <w:rPr>
                        <w:b/>
                        <w:sz w:val="24"/>
                      </w:rPr>
                    </w:pPr>
                    <w:r>
                      <w:rPr>
                        <w:b/>
                        <w:sz w:val="24"/>
                      </w:rPr>
                      <w:t>en el Estado de México 2005-2016</w:t>
                    </w:r>
                  </w:p>
                </w:txbxContent>
              </v:textbox>
              <w10:wrap type="none"/>
            </v:shape>
            <v:shape style="position:absolute;left:1739;top:1058;width:456;height:180" type="#_x0000_t202" filled="false" stroked="false">
              <v:textbox inset="0,0,0,0">
                <w:txbxContent>
                  <w:p>
                    <w:pPr>
                      <w:spacing w:line="180" w:lineRule="exact" w:before="0"/>
                      <w:ind w:left="0" w:right="-16" w:firstLine="0"/>
                      <w:jc w:val="left"/>
                      <w:rPr>
                        <w:rFonts w:ascii="Calibri"/>
                        <w:sz w:val="18"/>
                      </w:rPr>
                    </w:pPr>
                    <w:r>
                      <w:rPr>
                        <w:rFonts w:ascii="Calibri"/>
                        <w:color w:val="585858"/>
                        <w:spacing w:val="-1"/>
                        <w:sz w:val="18"/>
                      </w:rPr>
                      <w:t>20000</w:t>
                    </w:r>
                  </w:p>
                </w:txbxContent>
              </v:textbox>
              <w10:wrap type="none"/>
            </v:shape>
            <v:shape style="position:absolute;left:9672;top:1115;width:456;height:180" type="#_x0000_t202" filled="false" stroked="false">
              <v:textbox inset="0,0,0,0">
                <w:txbxContent>
                  <w:p>
                    <w:pPr>
                      <w:spacing w:line="180" w:lineRule="exact" w:before="0"/>
                      <w:ind w:left="0" w:right="-16" w:firstLine="0"/>
                      <w:jc w:val="left"/>
                      <w:rPr>
                        <w:rFonts w:ascii="Calibri"/>
                        <w:sz w:val="18"/>
                      </w:rPr>
                    </w:pPr>
                    <w:r>
                      <w:rPr>
                        <w:rFonts w:ascii="Calibri"/>
                        <w:color w:val="404040"/>
                        <w:spacing w:val="-1"/>
                        <w:sz w:val="18"/>
                      </w:rPr>
                      <w:t>17376</w:t>
                    </w:r>
                  </w:p>
                </w:txbxContent>
              </v:textbox>
              <w10:wrap type="none"/>
            </v:shape>
            <v:shape style="position:absolute;left:1739;top:1625;width:456;height:180" type="#_x0000_t202" filled="false" stroked="false">
              <v:textbox inset="0,0,0,0">
                <w:txbxContent>
                  <w:p>
                    <w:pPr>
                      <w:spacing w:line="180" w:lineRule="exact" w:before="0"/>
                      <w:ind w:left="0" w:right="-16" w:firstLine="0"/>
                      <w:jc w:val="left"/>
                      <w:rPr>
                        <w:rFonts w:ascii="Calibri"/>
                        <w:sz w:val="18"/>
                      </w:rPr>
                    </w:pPr>
                    <w:r>
                      <w:rPr>
                        <w:rFonts w:ascii="Calibri"/>
                        <w:color w:val="585858"/>
                        <w:spacing w:val="-1"/>
                        <w:sz w:val="18"/>
                      </w:rPr>
                      <w:t>15000</w:t>
                    </w:r>
                  </w:p>
                </w:txbxContent>
              </v:textbox>
              <w10:wrap type="none"/>
            </v:shape>
            <v:shape style="position:absolute;left:5738;top:1798;width:456;height:180" type="#_x0000_t202" filled="false" stroked="false">
              <v:textbox inset="0,0,0,0">
                <w:txbxContent>
                  <w:p>
                    <w:pPr>
                      <w:spacing w:line="180" w:lineRule="exact" w:before="0"/>
                      <w:ind w:left="0" w:right="-16" w:firstLine="0"/>
                      <w:jc w:val="left"/>
                      <w:rPr>
                        <w:rFonts w:ascii="Calibri"/>
                        <w:sz w:val="18"/>
                      </w:rPr>
                    </w:pPr>
                    <w:r>
                      <w:rPr>
                        <w:rFonts w:ascii="Calibri"/>
                        <w:color w:val="404040"/>
                        <w:spacing w:val="-1"/>
                        <w:sz w:val="18"/>
                      </w:rPr>
                      <w:t>11365</w:t>
                    </w:r>
                  </w:p>
                </w:txbxContent>
              </v:textbox>
              <w10:wrap type="none"/>
            </v:shape>
            <v:shape style="position:absolute;left:6394;top:1730;width:456;height:180" type="#_x0000_t202" filled="false" stroked="false">
              <v:textbox inset="0,0,0,0">
                <w:txbxContent>
                  <w:p>
                    <w:pPr>
                      <w:spacing w:line="180" w:lineRule="exact" w:before="0"/>
                      <w:ind w:left="0" w:right="-16" w:firstLine="0"/>
                      <w:jc w:val="left"/>
                      <w:rPr>
                        <w:rFonts w:ascii="Calibri"/>
                        <w:sz w:val="18"/>
                      </w:rPr>
                    </w:pPr>
                    <w:r>
                      <w:rPr>
                        <w:rFonts w:ascii="Calibri"/>
                        <w:color w:val="404040"/>
                        <w:spacing w:val="-1"/>
                        <w:sz w:val="18"/>
                      </w:rPr>
                      <w:t>11967</w:t>
                    </w:r>
                  </w:p>
                </w:txbxContent>
              </v:textbox>
              <w10:wrap type="none"/>
            </v:shape>
            <v:shape style="position:absolute;left:7705;top:1791;width:456;height:180" type="#_x0000_t202" filled="false" stroked="false">
              <v:textbox inset="0,0,0,0">
                <w:txbxContent>
                  <w:p>
                    <w:pPr>
                      <w:spacing w:line="180" w:lineRule="exact" w:before="0"/>
                      <w:ind w:left="0" w:right="-16" w:firstLine="0"/>
                      <w:jc w:val="left"/>
                      <w:rPr>
                        <w:rFonts w:ascii="Calibri"/>
                        <w:sz w:val="18"/>
                      </w:rPr>
                    </w:pPr>
                    <w:r>
                      <w:rPr>
                        <w:rFonts w:ascii="Calibri"/>
                        <w:color w:val="404040"/>
                        <w:spacing w:val="-1"/>
                        <w:sz w:val="18"/>
                      </w:rPr>
                      <w:t>11425</w:t>
                    </w:r>
                  </w:p>
                </w:txbxContent>
              </v:textbox>
              <w10:wrap type="none"/>
            </v:shape>
            <v:shape style="position:absolute;left:1739;top:2193;width:456;height:180" type="#_x0000_t202" filled="false" stroked="false">
              <v:textbox inset="0,0,0,0">
                <w:txbxContent>
                  <w:p>
                    <w:pPr>
                      <w:spacing w:line="180" w:lineRule="exact" w:before="0"/>
                      <w:ind w:left="0" w:right="-16" w:firstLine="0"/>
                      <w:jc w:val="left"/>
                      <w:rPr>
                        <w:rFonts w:ascii="Calibri"/>
                        <w:sz w:val="18"/>
                      </w:rPr>
                    </w:pPr>
                    <w:r>
                      <w:rPr>
                        <w:rFonts w:ascii="Calibri"/>
                        <w:color w:val="585858"/>
                        <w:spacing w:val="-1"/>
                        <w:sz w:val="18"/>
                      </w:rPr>
                      <w:t>10000</w:t>
                    </w:r>
                  </w:p>
                </w:txbxContent>
              </v:textbox>
              <w10:wrap type="none"/>
            </v:shape>
            <v:shape style="position:absolute;left:5128;top:2059;width:365;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9062</w:t>
                    </w:r>
                  </w:p>
                </w:txbxContent>
              </v:textbox>
              <w10:wrap type="none"/>
            </v:shape>
            <v:shape style="position:absolute;left:7095;top:2182;width:365;height:539" type="#_x0000_t202" filled="false" stroked="false">
              <v:textbox inset="0,0,0,0">
                <w:txbxContent>
                  <w:p>
                    <w:pPr>
                      <w:spacing w:line="183" w:lineRule="exact" w:before="0"/>
                      <w:ind w:left="0" w:right="-20" w:firstLine="0"/>
                      <w:jc w:val="left"/>
                      <w:rPr>
                        <w:rFonts w:ascii="Calibri"/>
                        <w:sz w:val="18"/>
                      </w:rPr>
                    </w:pPr>
                    <w:r>
                      <w:rPr>
                        <w:rFonts w:ascii="Calibri"/>
                        <w:color w:val="404040"/>
                        <w:sz w:val="18"/>
                      </w:rPr>
                      <w:t>7981</w:t>
                    </w:r>
                  </w:p>
                  <w:p>
                    <w:pPr>
                      <w:spacing w:line="216" w:lineRule="exact" w:before="139"/>
                      <w:ind w:left="0" w:right="-20" w:firstLine="0"/>
                      <w:jc w:val="left"/>
                      <w:rPr>
                        <w:rFonts w:ascii="Calibri"/>
                        <w:sz w:val="18"/>
                      </w:rPr>
                    </w:pPr>
                    <w:r>
                      <w:rPr>
                        <w:rFonts w:ascii="Calibri"/>
                        <w:color w:val="404040"/>
                        <w:sz w:val="18"/>
                      </w:rPr>
                      <w:t>4819</w:t>
                    </w:r>
                  </w:p>
                </w:txbxContent>
              </v:textbox>
              <w10:wrap type="none"/>
            </v:shape>
            <v:shape style="position:absolute;left:8406;top:2091;width:365;height:409" type="#_x0000_t202" filled="false" stroked="false">
              <v:textbox inset="0,0,0,0">
                <w:txbxContent>
                  <w:p>
                    <w:pPr>
                      <w:spacing w:line="183" w:lineRule="exact" w:before="0"/>
                      <w:ind w:left="0" w:right="-20" w:firstLine="0"/>
                      <w:jc w:val="left"/>
                      <w:rPr>
                        <w:rFonts w:ascii="Calibri"/>
                        <w:sz w:val="18"/>
                      </w:rPr>
                    </w:pPr>
                    <w:r>
                      <w:rPr>
                        <w:rFonts w:ascii="Calibri"/>
                        <w:color w:val="404040"/>
                        <w:sz w:val="18"/>
                      </w:rPr>
                      <w:t>8781</w:t>
                    </w:r>
                  </w:p>
                  <w:p>
                    <w:pPr>
                      <w:spacing w:line="216" w:lineRule="exact" w:before="9"/>
                      <w:ind w:left="0" w:right="-20" w:firstLine="0"/>
                      <w:jc w:val="left"/>
                      <w:rPr>
                        <w:rFonts w:ascii="Calibri"/>
                        <w:sz w:val="18"/>
                      </w:rPr>
                    </w:pPr>
                    <w:r>
                      <w:rPr>
                        <w:rFonts w:ascii="Calibri"/>
                        <w:color w:val="404040"/>
                        <w:sz w:val="18"/>
                      </w:rPr>
                      <w:t>6768</w:t>
                    </w:r>
                  </w:p>
                </w:txbxContent>
              </v:textbox>
              <w10:wrap type="none"/>
            </v:shape>
            <v:shape style="position:absolute;left:9061;top:2078;width:365;height:479" type="#_x0000_t202" filled="false" stroked="false">
              <v:textbox inset="0,0,0,0">
                <w:txbxContent>
                  <w:p>
                    <w:pPr>
                      <w:spacing w:line="183" w:lineRule="exact" w:before="0"/>
                      <w:ind w:left="0" w:right="-20" w:firstLine="0"/>
                      <w:jc w:val="left"/>
                      <w:rPr>
                        <w:rFonts w:ascii="Calibri"/>
                        <w:sz w:val="18"/>
                      </w:rPr>
                    </w:pPr>
                    <w:r>
                      <w:rPr>
                        <w:rFonts w:ascii="Calibri"/>
                        <w:color w:val="404040"/>
                        <w:sz w:val="18"/>
                      </w:rPr>
                      <w:t>8895</w:t>
                    </w:r>
                  </w:p>
                  <w:p>
                    <w:pPr>
                      <w:spacing w:line="216" w:lineRule="exact" w:before="78"/>
                      <w:ind w:left="0" w:right="-20" w:firstLine="0"/>
                      <w:jc w:val="left"/>
                      <w:rPr>
                        <w:rFonts w:ascii="Calibri"/>
                        <w:sz w:val="18"/>
                      </w:rPr>
                    </w:pPr>
                    <w:r>
                      <w:rPr>
                        <w:rFonts w:ascii="Calibri"/>
                        <w:color w:val="404040"/>
                        <w:sz w:val="18"/>
                      </w:rPr>
                      <w:t>6270</w:t>
                    </w:r>
                  </w:p>
                </w:txbxContent>
              </v:textbox>
              <w10:wrap type="none"/>
            </v:shape>
            <v:shape style="position:absolute;left:9717;top:2219;width:365;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7654</w:t>
                    </w:r>
                  </w:p>
                </w:txbxContent>
              </v:textbox>
              <w10:wrap type="none"/>
            </v:shape>
            <v:shape style="position:absolute;left:5784;top:2564;width:365;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4614</w:t>
                    </w:r>
                  </w:p>
                </w:txbxContent>
              </v:textbox>
              <w10:wrap type="none"/>
            </v:shape>
            <v:shape style="position:absolute;left:6439;top:2524;width:365;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4962</w:t>
                    </w:r>
                  </w:p>
                </w:txbxContent>
              </v:textbox>
              <w10:wrap type="none"/>
            </v:shape>
            <v:shape style="position:absolute;left:7751;top:2477;width:365;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5378</w:t>
                    </w:r>
                  </w:p>
                </w:txbxContent>
              </v:textbox>
              <w10:wrap type="none"/>
            </v:shape>
            <v:shape style="position:absolute;left:1830;top:2760;width:365;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5000</w:t>
                    </w:r>
                  </w:p>
                </w:txbxContent>
              </v:textbox>
              <w10:wrap type="none"/>
            </v:shape>
            <v:shape style="position:absolute;left:4473;top:2595;width:365;height:209" type="#_x0000_t202" filled="false" stroked="false">
              <v:textbox inset="0,0,0,0">
                <w:txbxContent>
                  <w:p>
                    <w:pPr>
                      <w:spacing w:line="208" w:lineRule="exact" w:before="0"/>
                      <w:ind w:left="0" w:right="-16" w:firstLine="0"/>
                      <w:jc w:val="left"/>
                      <w:rPr>
                        <w:rFonts w:ascii="Calibri"/>
                        <w:sz w:val="18"/>
                      </w:rPr>
                    </w:pPr>
                    <w:r>
                      <w:rPr>
                        <w:rFonts w:ascii="Calibri"/>
                        <w:color w:val="404040"/>
                        <w:spacing w:val="-92"/>
                        <w:sz w:val="18"/>
                      </w:rPr>
                      <w:t>4</w:t>
                    </w:r>
                    <w:r>
                      <w:rPr>
                        <w:rFonts w:ascii="Calibri"/>
                        <w:color w:val="404040"/>
                        <w:spacing w:val="-1"/>
                        <w:position w:val="-2"/>
                        <w:sz w:val="18"/>
                      </w:rPr>
                      <w:t>4</w:t>
                    </w:r>
                    <w:r>
                      <w:rPr>
                        <w:rFonts w:ascii="Calibri"/>
                        <w:color w:val="404040"/>
                        <w:spacing w:val="-92"/>
                        <w:sz w:val="18"/>
                      </w:rPr>
                      <w:t>3</w:t>
                    </w:r>
                    <w:r>
                      <w:rPr>
                        <w:rFonts w:ascii="Calibri"/>
                        <w:color w:val="404040"/>
                        <w:spacing w:val="-1"/>
                        <w:position w:val="-2"/>
                        <w:sz w:val="18"/>
                      </w:rPr>
                      <w:t>0</w:t>
                    </w:r>
                    <w:r>
                      <w:rPr>
                        <w:rFonts w:ascii="Calibri"/>
                        <w:color w:val="404040"/>
                        <w:spacing w:val="-92"/>
                        <w:sz w:val="18"/>
                      </w:rPr>
                      <w:t>3</w:t>
                    </w:r>
                    <w:r>
                      <w:rPr>
                        <w:rFonts w:ascii="Calibri"/>
                        <w:color w:val="404040"/>
                        <w:spacing w:val="-1"/>
                        <w:position w:val="-2"/>
                        <w:sz w:val="18"/>
                      </w:rPr>
                      <w:t>9</w:t>
                    </w:r>
                    <w:r>
                      <w:rPr>
                        <w:rFonts w:ascii="Calibri"/>
                        <w:color w:val="404040"/>
                        <w:spacing w:val="-92"/>
                        <w:sz w:val="18"/>
                      </w:rPr>
                      <w:t>9</w:t>
                    </w:r>
                    <w:r>
                      <w:rPr>
                        <w:rFonts w:ascii="Calibri"/>
                        <w:color w:val="404040"/>
                        <w:spacing w:val="-1"/>
                        <w:position w:val="-2"/>
                        <w:sz w:val="18"/>
                      </w:rPr>
                      <w:t>3</w:t>
                    </w:r>
                  </w:p>
                </w:txbxContent>
              </v:textbox>
              <w10:wrap type="none"/>
            </v:shape>
            <v:shape style="position:absolute;left:2552;top:2899;width:2241;height:369" type="#_x0000_t202" filled="false" stroked="false">
              <v:textbox inset="0,0,0,0">
                <w:txbxContent>
                  <w:p>
                    <w:pPr>
                      <w:spacing w:line="168" w:lineRule="exact" w:before="0"/>
                      <w:ind w:left="1265" w:right="0" w:firstLine="0"/>
                      <w:jc w:val="left"/>
                      <w:rPr>
                        <w:rFonts w:ascii="Calibri"/>
                        <w:sz w:val="18"/>
                      </w:rPr>
                    </w:pPr>
                    <w:r>
                      <w:rPr>
                        <w:rFonts w:ascii="Calibri"/>
                        <w:color w:val="404040"/>
                        <w:sz w:val="18"/>
                      </w:rPr>
                      <w:t>1</w:t>
                    </w:r>
                    <w:r>
                      <w:rPr>
                        <w:rFonts w:ascii="Calibri"/>
                        <w:color w:val="404040"/>
                        <w:spacing w:val="-1"/>
                        <w:sz w:val="18"/>
                      </w:rPr>
                      <w:t>3</w:t>
                    </w:r>
                    <w:r>
                      <w:rPr>
                        <w:rFonts w:ascii="Calibri"/>
                        <w:color w:val="404040"/>
                        <w:spacing w:val="-92"/>
                        <w:position w:val="4"/>
                        <w:sz w:val="18"/>
                      </w:rPr>
                      <w:t>6</w:t>
                    </w:r>
                    <w:r>
                      <w:rPr>
                        <w:rFonts w:ascii="Calibri"/>
                        <w:color w:val="404040"/>
                        <w:spacing w:val="-1"/>
                        <w:sz w:val="18"/>
                      </w:rPr>
                      <w:t>1</w:t>
                    </w:r>
                    <w:r>
                      <w:rPr>
                        <w:rFonts w:ascii="Calibri"/>
                        <w:color w:val="404040"/>
                        <w:spacing w:val="-92"/>
                        <w:position w:val="4"/>
                        <w:sz w:val="18"/>
                      </w:rPr>
                      <w:t>5</w:t>
                    </w:r>
                    <w:r>
                      <w:rPr>
                        <w:rFonts w:ascii="Calibri"/>
                        <w:color w:val="404040"/>
                        <w:spacing w:val="-1"/>
                        <w:sz w:val="18"/>
                      </w:rPr>
                      <w:t>3</w:t>
                    </w:r>
                  </w:p>
                  <w:p>
                    <w:pPr>
                      <w:tabs>
                        <w:tab w:pos="655" w:val="left" w:leader="none"/>
                        <w:tab w:pos="1356" w:val="left" w:leader="none"/>
                        <w:tab w:pos="1966" w:val="left" w:leader="none"/>
                      </w:tabs>
                      <w:spacing w:line="201" w:lineRule="exact" w:before="0"/>
                      <w:ind w:left="0" w:right="0" w:firstLine="0"/>
                      <w:jc w:val="left"/>
                      <w:rPr>
                        <w:rFonts w:ascii="Calibri"/>
                        <w:sz w:val="18"/>
                      </w:rPr>
                    </w:pPr>
                    <w:r>
                      <w:rPr>
                        <w:rFonts w:ascii="Calibri"/>
                        <w:color w:val="404040"/>
                        <w:spacing w:val="-92"/>
                        <w:position w:val="4"/>
                        <w:sz w:val="18"/>
                      </w:rPr>
                      <w:t>3</w:t>
                    </w:r>
                    <w:r>
                      <w:rPr>
                        <w:rFonts w:ascii="Calibri"/>
                        <w:color w:val="404040"/>
                        <w:spacing w:val="-1"/>
                        <w:position w:val="3"/>
                        <w:sz w:val="18"/>
                      </w:rPr>
                      <w:t>2</w:t>
                    </w:r>
                    <w:r>
                      <w:rPr>
                        <w:rFonts w:ascii="Calibri"/>
                        <w:color w:val="404040"/>
                        <w:spacing w:val="-92"/>
                        <w:sz w:val="18"/>
                      </w:rPr>
                      <w:t>040</w:t>
                    </w:r>
                    <w:r>
                      <w:rPr>
                        <w:rFonts w:ascii="Calibri"/>
                        <w:color w:val="404040"/>
                        <w:spacing w:val="-92"/>
                        <w:position w:val="4"/>
                        <w:sz w:val="18"/>
                      </w:rPr>
                      <w:t>2</w:t>
                    </w:r>
                    <w:r>
                      <w:rPr>
                        <w:rFonts w:ascii="Calibri"/>
                        <w:color w:val="404040"/>
                        <w:spacing w:val="-1"/>
                        <w:position w:val="3"/>
                        <w:sz w:val="18"/>
                      </w:rPr>
                      <w:t>4</w:t>
                    </w:r>
                    <w:r>
                      <w:rPr>
                        <w:rFonts w:ascii="Calibri"/>
                        <w:color w:val="404040"/>
                        <w:spacing w:val="-92"/>
                        <w:position w:val="4"/>
                        <w:sz w:val="18"/>
                      </w:rPr>
                      <w:t>3</w:t>
                    </w:r>
                    <w:r>
                      <w:rPr>
                        <w:rFonts w:ascii="Calibri"/>
                        <w:color w:val="404040"/>
                        <w:position w:val="3"/>
                        <w:sz w:val="18"/>
                      </w:rPr>
                      <w:t>5</w:t>
                      <w:tab/>
                    </w:r>
                    <w:r>
                      <w:rPr>
                        <w:rFonts w:ascii="Calibri"/>
                        <w:color w:val="404040"/>
                        <w:spacing w:val="-92"/>
                        <w:position w:val="4"/>
                        <w:sz w:val="18"/>
                      </w:rPr>
                      <w:t>3</w:t>
                    </w:r>
                    <w:r>
                      <w:rPr>
                        <w:rFonts w:ascii="Calibri"/>
                        <w:color w:val="404040"/>
                        <w:spacing w:val="-46"/>
                        <w:position w:val="3"/>
                        <w:sz w:val="18"/>
                      </w:rPr>
                      <w:t>2</w:t>
                    </w:r>
                    <w:r>
                      <w:rPr>
                        <w:rFonts w:ascii="Calibri"/>
                        <w:color w:val="404040"/>
                        <w:spacing w:val="-46"/>
                        <w:sz w:val="18"/>
                      </w:rPr>
                      <w:t>1</w:t>
                    </w:r>
                    <w:r>
                      <w:rPr>
                        <w:rFonts w:ascii="Calibri"/>
                        <w:color w:val="404040"/>
                        <w:spacing w:val="-92"/>
                        <w:sz w:val="18"/>
                      </w:rPr>
                      <w:t>0</w:t>
                    </w:r>
                    <w:r>
                      <w:rPr>
                        <w:rFonts w:ascii="Calibri"/>
                        <w:color w:val="404040"/>
                        <w:spacing w:val="-92"/>
                        <w:position w:val="4"/>
                        <w:sz w:val="18"/>
                      </w:rPr>
                      <w:t>6</w:t>
                    </w:r>
                    <w:r>
                      <w:rPr>
                        <w:rFonts w:ascii="Calibri"/>
                        <w:color w:val="404040"/>
                        <w:spacing w:val="-46"/>
                        <w:position w:val="3"/>
                        <w:sz w:val="18"/>
                      </w:rPr>
                      <w:t>9</w:t>
                    </w:r>
                    <w:r>
                      <w:rPr>
                        <w:rFonts w:ascii="Calibri"/>
                        <w:color w:val="404040"/>
                        <w:spacing w:val="-46"/>
                        <w:sz w:val="18"/>
                      </w:rPr>
                      <w:t>4</w:t>
                    </w:r>
                    <w:r>
                      <w:rPr>
                        <w:rFonts w:ascii="Calibri"/>
                        <w:color w:val="404040"/>
                        <w:spacing w:val="-92"/>
                        <w:position w:val="4"/>
                        <w:sz w:val="18"/>
                      </w:rPr>
                      <w:t>8</w:t>
                    </w:r>
                    <w:r>
                      <w:rPr>
                        <w:rFonts w:ascii="Calibri"/>
                        <w:color w:val="404040"/>
                        <w:position w:val="3"/>
                        <w:sz w:val="18"/>
                      </w:rPr>
                      <w:t>1</w:t>
                      <w:tab/>
                    </w:r>
                    <w:r>
                      <w:rPr>
                        <w:rFonts w:ascii="Calibri"/>
                        <w:color w:val="404040"/>
                        <w:spacing w:val="-46"/>
                        <w:position w:val="1"/>
                        <w:sz w:val="18"/>
                      </w:rPr>
                      <w:t>7</w:t>
                    </w:r>
                    <w:r>
                      <w:rPr>
                        <w:rFonts w:ascii="Calibri"/>
                        <w:color w:val="404040"/>
                        <w:spacing w:val="-46"/>
                        <w:sz w:val="18"/>
                      </w:rPr>
                      <w:t>0</w:t>
                    </w:r>
                    <w:r>
                      <w:rPr>
                        <w:rFonts w:ascii="Calibri"/>
                        <w:color w:val="404040"/>
                        <w:position w:val="1"/>
                        <w:sz w:val="18"/>
                      </w:rPr>
                      <w:t>6</w:t>
                      <w:tab/>
                    </w:r>
                    <w:r>
                      <w:rPr>
                        <w:rFonts w:ascii="Calibri"/>
                        <w:color w:val="404040"/>
                        <w:spacing w:val="-46"/>
                        <w:position w:val="2"/>
                        <w:sz w:val="18"/>
                      </w:rPr>
                      <w:t>1</w:t>
                    </w:r>
                    <w:r>
                      <w:rPr>
                        <w:rFonts w:ascii="Calibri"/>
                        <w:color w:val="404040"/>
                        <w:spacing w:val="-92"/>
                        <w:position w:val="1"/>
                        <w:sz w:val="18"/>
                      </w:rPr>
                      <w:t>9</w:t>
                    </w:r>
                    <w:r>
                      <w:rPr>
                        <w:rFonts w:ascii="Calibri"/>
                        <w:color w:val="404040"/>
                        <w:spacing w:val="-46"/>
                        <w:position w:val="1"/>
                        <w:sz w:val="18"/>
                      </w:rPr>
                      <w:t>4</w:t>
                    </w:r>
                    <w:r>
                      <w:rPr>
                        <w:rFonts w:ascii="Calibri"/>
                        <w:color w:val="404040"/>
                        <w:spacing w:val="-46"/>
                        <w:position w:val="2"/>
                        <w:sz w:val="18"/>
                      </w:rPr>
                      <w:t>9</w:t>
                    </w:r>
                    <w:r>
                      <w:rPr>
                        <w:rFonts w:ascii="Calibri"/>
                        <w:color w:val="404040"/>
                        <w:spacing w:val="-92"/>
                        <w:position w:val="1"/>
                        <w:sz w:val="18"/>
                      </w:rPr>
                      <w:t>8</w:t>
                    </w:r>
                    <w:r>
                      <w:rPr>
                        <w:rFonts w:ascii="Calibri"/>
                        <w:color w:val="404040"/>
                        <w:spacing w:val="-46"/>
                        <w:position w:val="1"/>
                        <w:sz w:val="18"/>
                      </w:rPr>
                      <w:t>7</w:t>
                    </w:r>
                    <w:r>
                      <w:rPr>
                        <w:rFonts w:ascii="Calibri"/>
                        <w:color w:val="404040"/>
                        <w:spacing w:val="-1"/>
                        <w:position w:val="2"/>
                        <w:sz w:val="18"/>
                      </w:rPr>
                      <w:t>1</w:t>
                    </w:r>
                  </w:p>
                </w:txbxContent>
              </v:textbox>
              <w10:wrap type="none"/>
            </v:shape>
            <v:shape style="position:absolute;left:5128;top:2648;width:1021;height:598" type="#_x0000_t202" filled="false" stroked="false">
              <v:textbox inset="0,0,0,0">
                <w:txbxContent>
                  <w:p>
                    <w:pPr>
                      <w:spacing w:line="183" w:lineRule="exact" w:before="0"/>
                      <w:ind w:left="0" w:right="0" w:firstLine="0"/>
                      <w:jc w:val="left"/>
                      <w:rPr>
                        <w:rFonts w:ascii="Calibri"/>
                        <w:sz w:val="18"/>
                      </w:rPr>
                    </w:pPr>
                    <w:r>
                      <w:rPr>
                        <w:rFonts w:ascii="Calibri"/>
                        <w:color w:val="404040"/>
                        <w:sz w:val="18"/>
                      </w:rPr>
                      <w:t>3873</w:t>
                    </w:r>
                  </w:p>
                  <w:p>
                    <w:pPr>
                      <w:tabs>
                        <w:tab w:pos="655" w:val="left" w:leader="none"/>
                      </w:tabs>
                      <w:spacing w:line="306" w:lineRule="exact" w:before="108"/>
                      <w:ind w:left="45" w:right="0" w:firstLine="0"/>
                      <w:jc w:val="left"/>
                      <w:rPr>
                        <w:rFonts w:ascii="Calibri"/>
                        <w:sz w:val="18"/>
                      </w:rPr>
                    </w:pPr>
                    <w:r>
                      <w:rPr>
                        <w:rFonts w:ascii="Calibri"/>
                        <w:color w:val="404040"/>
                        <w:spacing w:val="-92"/>
                        <w:position w:val="2"/>
                        <w:sz w:val="18"/>
                      </w:rPr>
                      <w:t>3</w:t>
                    </w:r>
                    <w:r>
                      <w:rPr>
                        <w:rFonts w:ascii="Calibri"/>
                        <w:color w:val="404040"/>
                        <w:spacing w:val="-92"/>
                        <w:position w:val="7"/>
                        <w:sz w:val="18"/>
                      </w:rPr>
                      <w:t>8</w:t>
                    </w:r>
                    <w:r>
                      <w:rPr>
                        <w:rFonts w:ascii="Calibri"/>
                        <w:color w:val="404040"/>
                        <w:spacing w:val="-1"/>
                        <w:sz w:val="18"/>
                      </w:rPr>
                      <w:t>1</w:t>
                    </w:r>
                    <w:r>
                      <w:rPr>
                        <w:rFonts w:ascii="Calibri"/>
                        <w:color w:val="404040"/>
                        <w:spacing w:val="-92"/>
                        <w:sz w:val="18"/>
                      </w:rPr>
                      <w:t>9</w:t>
                    </w:r>
                    <w:r>
                      <w:rPr>
                        <w:rFonts w:ascii="Calibri"/>
                        <w:color w:val="404040"/>
                        <w:spacing w:val="-1"/>
                        <w:position w:val="7"/>
                        <w:sz w:val="18"/>
                      </w:rPr>
                      <w:t>0</w:t>
                    </w:r>
                    <w:r>
                      <w:rPr>
                        <w:rFonts w:ascii="Calibri"/>
                        <w:color w:val="404040"/>
                        <w:spacing w:val="-92"/>
                        <w:position w:val="2"/>
                        <w:sz w:val="18"/>
                      </w:rPr>
                      <w:t>5</w:t>
                    </w:r>
                    <w:r>
                      <w:rPr>
                        <w:rFonts w:ascii="Calibri"/>
                        <w:color w:val="404040"/>
                        <w:spacing w:val="-92"/>
                        <w:sz w:val="18"/>
                      </w:rPr>
                      <w:t>4</w:t>
                    </w:r>
                    <w:r>
                      <w:rPr>
                        <w:rFonts w:ascii="Calibri"/>
                        <w:color w:val="404040"/>
                        <w:position w:val="7"/>
                        <w:sz w:val="18"/>
                      </w:rPr>
                      <w:t>0</w:t>
                      <w:tab/>
                    </w:r>
                    <w:r>
                      <w:rPr>
                        <w:rFonts w:ascii="Calibri"/>
                        <w:color w:val="404040"/>
                        <w:spacing w:val="-46"/>
                        <w:position w:val="9"/>
                        <w:sz w:val="18"/>
                      </w:rPr>
                      <w:t>1</w:t>
                    </w:r>
                    <w:r>
                      <w:rPr>
                        <w:rFonts w:ascii="Calibri"/>
                        <w:color w:val="404040"/>
                        <w:spacing w:val="-92"/>
                        <w:position w:val="2"/>
                        <w:sz w:val="18"/>
                      </w:rPr>
                      <w:t>3</w:t>
                    </w:r>
                    <w:r>
                      <w:rPr>
                        <w:rFonts w:ascii="Calibri"/>
                        <w:color w:val="404040"/>
                        <w:spacing w:val="-46"/>
                        <w:position w:val="1"/>
                        <w:sz w:val="18"/>
                      </w:rPr>
                      <w:t>3</w:t>
                    </w:r>
                    <w:r>
                      <w:rPr>
                        <w:rFonts w:ascii="Calibri"/>
                        <w:color w:val="404040"/>
                        <w:spacing w:val="-46"/>
                        <w:position w:val="9"/>
                        <w:sz w:val="18"/>
                      </w:rPr>
                      <w:t>0</w:t>
                    </w:r>
                    <w:r>
                      <w:rPr>
                        <w:rFonts w:ascii="Calibri"/>
                        <w:color w:val="404040"/>
                        <w:spacing w:val="-92"/>
                        <w:position w:val="1"/>
                        <w:sz w:val="18"/>
                      </w:rPr>
                      <w:t>1</w:t>
                    </w:r>
                    <w:r>
                      <w:rPr>
                        <w:rFonts w:ascii="Calibri"/>
                        <w:color w:val="404040"/>
                        <w:spacing w:val="-46"/>
                        <w:position w:val="2"/>
                        <w:sz w:val="18"/>
                      </w:rPr>
                      <w:t>4</w:t>
                    </w:r>
                    <w:r>
                      <w:rPr>
                        <w:rFonts w:ascii="Calibri"/>
                        <w:color w:val="404040"/>
                        <w:spacing w:val="-46"/>
                        <w:position w:val="9"/>
                        <w:sz w:val="18"/>
                      </w:rPr>
                      <w:t>2</w:t>
                    </w:r>
                    <w:r>
                      <w:rPr>
                        <w:rFonts w:ascii="Calibri"/>
                        <w:color w:val="404040"/>
                        <w:spacing w:val="-92"/>
                        <w:position w:val="1"/>
                        <w:sz w:val="18"/>
                      </w:rPr>
                      <w:t>0</w:t>
                    </w:r>
                    <w:r>
                      <w:rPr>
                        <w:rFonts w:ascii="Calibri"/>
                        <w:color w:val="404040"/>
                        <w:spacing w:val="-46"/>
                        <w:position w:val="2"/>
                        <w:sz w:val="18"/>
                      </w:rPr>
                      <w:t>1</w:t>
                    </w:r>
                    <w:r>
                      <w:rPr>
                        <w:rFonts w:ascii="Calibri"/>
                        <w:color w:val="404040"/>
                        <w:spacing w:val="-1"/>
                        <w:position w:val="9"/>
                        <w:sz w:val="18"/>
                      </w:rPr>
                      <w:t>4</w:t>
                    </w:r>
                  </w:p>
                </w:txbxContent>
              </v:textbox>
              <w10:wrap type="none"/>
            </v:shape>
            <v:shape style="position:absolute;left:6439;top:2960;width:365;height:264" type="#_x0000_t202" filled="false" stroked="false">
              <v:textbox inset="0,0,0,0">
                <w:txbxContent>
                  <w:p>
                    <w:pPr>
                      <w:spacing w:line="263" w:lineRule="exact" w:before="0"/>
                      <w:ind w:left="0" w:right="-17" w:firstLine="0"/>
                      <w:jc w:val="left"/>
                      <w:rPr>
                        <w:rFonts w:ascii="Calibri"/>
                        <w:sz w:val="18"/>
                      </w:rPr>
                    </w:pPr>
                    <w:r>
                      <w:rPr>
                        <w:rFonts w:ascii="Calibri"/>
                        <w:color w:val="404040"/>
                        <w:spacing w:val="-46"/>
                        <w:sz w:val="18"/>
                      </w:rPr>
                      <w:t>1</w:t>
                    </w:r>
                    <w:r>
                      <w:rPr>
                        <w:rFonts w:ascii="Calibri"/>
                        <w:color w:val="404040"/>
                        <w:spacing w:val="-92"/>
                        <w:position w:val="-2"/>
                        <w:sz w:val="18"/>
                      </w:rPr>
                      <w:t>9</w:t>
                    </w:r>
                    <w:r>
                      <w:rPr>
                        <w:rFonts w:ascii="Calibri"/>
                        <w:color w:val="404040"/>
                        <w:spacing w:val="-46"/>
                        <w:position w:val="-7"/>
                        <w:sz w:val="18"/>
                      </w:rPr>
                      <w:t>3</w:t>
                    </w:r>
                    <w:r>
                      <w:rPr>
                        <w:rFonts w:ascii="Calibri"/>
                        <w:color w:val="404040"/>
                        <w:spacing w:val="-46"/>
                        <w:sz w:val="18"/>
                      </w:rPr>
                      <w:t>1</w:t>
                    </w:r>
                    <w:r>
                      <w:rPr>
                        <w:rFonts w:ascii="Calibri"/>
                        <w:color w:val="404040"/>
                        <w:spacing w:val="-92"/>
                        <w:position w:val="-7"/>
                        <w:sz w:val="18"/>
                      </w:rPr>
                      <w:t>8</w:t>
                    </w:r>
                    <w:r>
                      <w:rPr>
                        <w:rFonts w:ascii="Calibri"/>
                        <w:color w:val="404040"/>
                        <w:spacing w:val="-46"/>
                        <w:position w:val="-2"/>
                        <w:sz w:val="18"/>
                      </w:rPr>
                      <w:t>0</w:t>
                    </w:r>
                    <w:r>
                      <w:rPr>
                        <w:rFonts w:ascii="Calibri"/>
                        <w:color w:val="404040"/>
                        <w:spacing w:val="-46"/>
                        <w:sz w:val="18"/>
                      </w:rPr>
                      <w:t>2</w:t>
                    </w:r>
                    <w:r>
                      <w:rPr>
                        <w:rFonts w:ascii="Calibri"/>
                        <w:color w:val="404040"/>
                        <w:spacing w:val="-92"/>
                        <w:position w:val="-7"/>
                        <w:sz w:val="18"/>
                      </w:rPr>
                      <w:t>6</w:t>
                    </w:r>
                    <w:r>
                      <w:rPr>
                        <w:rFonts w:ascii="Calibri"/>
                        <w:color w:val="404040"/>
                        <w:spacing w:val="-46"/>
                        <w:position w:val="-2"/>
                        <w:sz w:val="18"/>
                      </w:rPr>
                      <w:t>3</w:t>
                    </w:r>
                    <w:r>
                      <w:rPr>
                        <w:rFonts w:ascii="Calibri"/>
                        <w:color w:val="404040"/>
                        <w:spacing w:val="-1"/>
                        <w:sz w:val="18"/>
                      </w:rPr>
                      <w:t>7</w:t>
                    </w:r>
                  </w:p>
                </w:txbxContent>
              </v:textbox>
              <w10:wrap type="none"/>
            </v:shape>
            <v:shape style="position:absolute;left:7095;top:2877;width:1021;height:360" type="#_x0000_t202" filled="false" stroked="false">
              <v:textbox inset="0,0,0,0">
                <w:txbxContent>
                  <w:p>
                    <w:pPr>
                      <w:tabs>
                        <w:tab w:pos="655" w:val="left" w:leader="none"/>
                      </w:tabs>
                      <w:spacing w:line="163" w:lineRule="exact" w:before="0"/>
                      <w:ind w:left="0" w:right="0" w:firstLine="0"/>
                      <w:jc w:val="left"/>
                      <w:rPr>
                        <w:rFonts w:ascii="Calibri"/>
                        <w:sz w:val="18"/>
                      </w:rPr>
                    </w:pPr>
                    <w:r>
                      <w:rPr>
                        <w:rFonts w:ascii="Calibri"/>
                        <w:color w:val="404040"/>
                        <w:position w:val="-1"/>
                        <w:sz w:val="18"/>
                      </w:rPr>
                      <w:t>1663</w:t>
                      <w:tab/>
                    </w:r>
                    <w:r>
                      <w:rPr>
                        <w:rFonts w:ascii="Calibri"/>
                        <w:color w:val="404040"/>
                        <w:spacing w:val="-1"/>
                        <w:sz w:val="18"/>
                      </w:rPr>
                      <w:t>1859</w:t>
                    </w:r>
                  </w:p>
                  <w:p>
                    <w:pPr>
                      <w:tabs>
                        <w:tab w:pos="701" w:val="left" w:leader="none"/>
                      </w:tabs>
                      <w:spacing w:line="197" w:lineRule="exact" w:before="0"/>
                      <w:ind w:left="45" w:right="0" w:firstLine="0"/>
                      <w:jc w:val="left"/>
                      <w:rPr>
                        <w:rFonts w:ascii="Calibri"/>
                        <w:sz w:val="18"/>
                      </w:rPr>
                    </w:pPr>
                    <w:r>
                      <w:rPr>
                        <w:rFonts w:ascii="Calibri"/>
                        <w:color w:val="404040"/>
                        <w:spacing w:val="-92"/>
                        <w:sz w:val="18"/>
                      </w:rPr>
                      <w:t>3</w:t>
                    </w:r>
                    <w:r>
                      <w:rPr>
                        <w:rFonts w:ascii="Calibri"/>
                        <w:color w:val="404040"/>
                        <w:spacing w:val="-1"/>
                        <w:position w:val="2"/>
                        <w:sz w:val="18"/>
                      </w:rPr>
                      <w:t>4</w:t>
                    </w:r>
                    <w:r>
                      <w:rPr>
                        <w:rFonts w:ascii="Calibri"/>
                        <w:color w:val="404040"/>
                        <w:spacing w:val="-92"/>
                        <w:sz w:val="18"/>
                      </w:rPr>
                      <w:t>1</w:t>
                    </w:r>
                    <w:r>
                      <w:rPr>
                        <w:rFonts w:ascii="Calibri"/>
                        <w:color w:val="404040"/>
                        <w:spacing w:val="-1"/>
                        <w:position w:val="2"/>
                        <w:sz w:val="18"/>
                      </w:rPr>
                      <w:t>9</w:t>
                    </w:r>
                    <w:r>
                      <w:rPr>
                        <w:rFonts w:ascii="Calibri"/>
                        <w:color w:val="404040"/>
                        <w:spacing w:val="-92"/>
                        <w:sz w:val="18"/>
                      </w:rPr>
                      <w:t>2</w:t>
                    </w:r>
                    <w:r>
                      <w:rPr>
                        <w:rFonts w:ascii="Calibri"/>
                        <w:color w:val="404040"/>
                        <w:position w:val="2"/>
                        <w:sz w:val="18"/>
                      </w:rPr>
                      <w:t>3</w:t>
                      <w:tab/>
                    </w:r>
                    <w:r>
                      <w:rPr>
                        <w:rFonts w:ascii="Calibri"/>
                        <w:color w:val="404040"/>
                        <w:spacing w:val="-92"/>
                        <w:sz w:val="18"/>
                      </w:rPr>
                      <w:t>2</w:t>
                    </w:r>
                    <w:r>
                      <w:rPr>
                        <w:rFonts w:ascii="Calibri"/>
                        <w:color w:val="404040"/>
                        <w:spacing w:val="-1"/>
                        <w:position w:val="1"/>
                        <w:sz w:val="18"/>
                      </w:rPr>
                      <w:t>3</w:t>
                    </w:r>
                    <w:r>
                      <w:rPr>
                        <w:rFonts w:ascii="Calibri"/>
                        <w:color w:val="404040"/>
                        <w:spacing w:val="-92"/>
                        <w:sz w:val="18"/>
                      </w:rPr>
                      <w:t>7</w:t>
                    </w:r>
                    <w:r>
                      <w:rPr>
                        <w:rFonts w:ascii="Calibri"/>
                        <w:color w:val="404040"/>
                        <w:spacing w:val="-1"/>
                        <w:position w:val="1"/>
                        <w:sz w:val="18"/>
                      </w:rPr>
                      <w:t>5</w:t>
                    </w:r>
                    <w:r>
                      <w:rPr>
                        <w:rFonts w:ascii="Calibri"/>
                        <w:color w:val="404040"/>
                        <w:spacing w:val="-92"/>
                        <w:sz w:val="18"/>
                      </w:rPr>
                      <w:t>2</w:t>
                    </w:r>
                    <w:r>
                      <w:rPr>
                        <w:rFonts w:ascii="Calibri"/>
                        <w:color w:val="404040"/>
                        <w:spacing w:val="-1"/>
                        <w:position w:val="1"/>
                        <w:sz w:val="18"/>
                      </w:rPr>
                      <w:t>8</w:t>
                    </w:r>
                  </w:p>
                </w:txbxContent>
              </v:textbox>
              <w10:wrap type="none"/>
            </v:shape>
            <v:shape style="position:absolute;left:8406;top:2963;width:365;height:264" type="#_x0000_t202" filled="false" stroked="false">
              <v:textbox inset="0,0,0,0">
                <w:txbxContent>
                  <w:p>
                    <w:pPr>
                      <w:spacing w:line="264" w:lineRule="exact" w:before="0"/>
                      <w:ind w:left="0" w:right="-17" w:firstLine="0"/>
                      <w:jc w:val="left"/>
                      <w:rPr>
                        <w:rFonts w:ascii="Calibri"/>
                        <w:sz w:val="18"/>
                      </w:rPr>
                    </w:pPr>
                    <w:r>
                      <w:rPr>
                        <w:rFonts w:ascii="Calibri"/>
                        <w:color w:val="404040"/>
                        <w:spacing w:val="-46"/>
                        <w:position w:val="8"/>
                        <w:sz w:val="18"/>
                      </w:rPr>
                      <w:t>1</w:t>
                    </w:r>
                    <w:r>
                      <w:rPr>
                        <w:rFonts w:ascii="Calibri"/>
                        <w:color w:val="404040"/>
                        <w:spacing w:val="-92"/>
                        <w:position w:val="1"/>
                        <w:sz w:val="18"/>
                      </w:rPr>
                      <w:t>4</w:t>
                    </w:r>
                    <w:r>
                      <w:rPr>
                        <w:rFonts w:ascii="Calibri"/>
                        <w:color w:val="404040"/>
                        <w:spacing w:val="-46"/>
                        <w:sz w:val="18"/>
                      </w:rPr>
                      <w:t>3</w:t>
                    </w:r>
                    <w:r>
                      <w:rPr>
                        <w:rFonts w:ascii="Calibri"/>
                        <w:color w:val="404040"/>
                        <w:spacing w:val="-46"/>
                        <w:position w:val="8"/>
                        <w:sz w:val="18"/>
                      </w:rPr>
                      <w:t>0</w:t>
                    </w:r>
                    <w:r>
                      <w:rPr>
                        <w:rFonts w:ascii="Calibri"/>
                        <w:color w:val="404040"/>
                        <w:spacing w:val="-92"/>
                        <w:sz w:val="18"/>
                      </w:rPr>
                      <w:t>6</w:t>
                    </w:r>
                    <w:r>
                      <w:rPr>
                        <w:rFonts w:ascii="Calibri"/>
                        <w:color w:val="404040"/>
                        <w:spacing w:val="-46"/>
                        <w:position w:val="1"/>
                        <w:sz w:val="18"/>
                      </w:rPr>
                      <w:t>4</w:t>
                    </w:r>
                    <w:r>
                      <w:rPr>
                        <w:rFonts w:ascii="Calibri"/>
                        <w:color w:val="404040"/>
                        <w:spacing w:val="-46"/>
                        <w:position w:val="8"/>
                        <w:sz w:val="18"/>
                      </w:rPr>
                      <w:t>9</w:t>
                    </w:r>
                    <w:r>
                      <w:rPr>
                        <w:rFonts w:ascii="Calibri"/>
                        <w:color w:val="404040"/>
                        <w:spacing w:val="-92"/>
                        <w:sz w:val="18"/>
                      </w:rPr>
                      <w:t>3</w:t>
                    </w:r>
                    <w:r>
                      <w:rPr>
                        <w:rFonts w:ascii="Calibri"/>
                        <w:color w:val="404040"/>
                        <w:spacing w:val="-46"/>
                        <w:position w:val="1"/>
                        <w:sz w:val="18"/>
                      </w:rPr>
                      <w:t>3</w:t>
                    </w:r>
                    <w:r>
                      <w:rPr>
                        <w:rFonts w:ascii="Calibri"/>
                        <w:color w:val="404040"/>
                        <w:spacing w:val="-1"/>
                        <w:position w:val="8"/>
                        <w:sz w:val="18"/>
                      </w:rPr>
                      <w:t>5</w:t>
                    </w:r>
                  </w:p>
                </w:txbxContent>
              </v:textbox>
              <w10:wrap type="none"/>
            </v:shape>
            <v:shape style="position:absolute;left:9061;top:2940;width:365;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1298</w:t>
                    </w:r>
                  </w:p>
                </w:txbxContent>
              </v:textbox>
              <w10:wrap type="none"/>
            </v:shape>
            <v:shape style="position:absolute;left:9107;top:3049;width:274;height:182" type="#_x0000_t202" filled="false" stroked="false">
              <v:textbox inset="0,0,0,0">
                <w:txbxContent>
                  <w:p>
                    <w:pPr>
                      <w:spacing w:line="181" w:lineRule="exact" w:before="0"/>
                      <w:ind w:left="0" w:right="-17" w:firstLine="0"/>
                      <w:jc w:val="left"/>
                      <w:rPr>
                        <w:rFonts w:ascii="Calibri"/>
                        <w:sz w:val="18"/>
                      </w:rPr>
                    </w:pPr>
                    <w:r>
                      <w:rPr>
                        <w:rFonts w:ascii="Calibri"/>
                        <w:color w:val="404040"/>
                        <w:spacing w:val="-92"/>
                        <w:sz w:val="18"/>
                      </w:rPr>
                      <w:t>3</w:t>
                    </w:r>
                    <w:r>
                      <w:rPr>
                        <w:rFonts w:ascii="Calibri"/>
                        <w:color w:val="404040"/>
                        <w:spacing w:val="-1"/>
                        <w:sz w:val="18"/>
                      </w:rPr>
                      <w:t>3</w:t>
                    </w:r>
                    <w:r>
                      <w:rPr>
                        <w:rFonts w:ascii="Calibri"/>
                        <w:color w:val="404040"/>
                        <w:spacing w:val="-92"/>
                        <w:sz w:val="18"/>
                      </w:rPr>
                      <w:t>4</w:t>
                    </w:r>
                    <w:r>
                      <w:rPr>
                        <w:rFonts w:ascii="Calibri"/>
                        <w:color w:val="404040"/>
                        <w:spacing w:val="-1"/>
                        <w:sz w:val="18"/>
                      </w:rPr>
                      <w:t>2</w:t>
                    </w:r>
                    <w:r>
                      <w:rPr>
                        <w:rFonts w:ascii="Calibri"/>
                        <w:color w:val="404040"/>
                        <w:spacing w:val="-92"/>
                        <w:sz w:val="18"/>
                      </w:rPr>
                      <w:t>2</w:t>
                    </w:r>
                    <w:r>
                      <w:rPr>
                        <w:rFonts w:ascii="Calibri"/>
                        <w:color w:val="404040"/>
                        <w:spacing w:val="-1"/>
                        <w:sz w:val="18"/>
                      </w:rPr>
                      <w:t>9</w:t>
                    </w:r>
                  </w:p>
                </w:txbxContent>
              </v:textbox>
              <w10:wrap type="none"/>
            </v:shape>
            <v:shape style="position:absolute;left:9717;top:2862;width:365;height:336" type="#_x0000_t202" filled="false" stroked="false">
              <v:textbox inset="0,0,0,0">
                <w:txbxContent>
                  <w:p>
                    <w:pPr>
                      <w:spacing w:line="151" w:lineRule="exact" w:before="0"/>
                      <w:ind w:left="0" w:right="-20" w:firstLine="0"/>
                      <w:jc w:val="left"/>
                      <w:rPr>
                        <w:rFonts w:ascii="Calibri"/>
                        <w:sz w:val="18"/>
                      </w:rPr>
                    </w:pPr>
                    <w:r>
                      <w:rPr>
                        <w:rFonts w:ascii="Calibri"/>
                        <w:color w:val="404040"/>
                        <w:sz w:val="18"/>
                      </w:rPr>
                      <w:t>1985</w:t>
                    </w:r>
                  </w:p>
                  <w:p>
                    <w:pPr>
                      <w:spacing w:line="184" w:lineRule="exact" w:before="0"/>
                      <w:ind w:left="45" w:right="-20" w:firstLine="0"/>
                      <w:jc w:val="left"/>
                      <w:rPr>
                        <w:rFonts w:ascii="Calibri"/>
                        <w:sz w:val="18"/>
                      </w:rPr>
                    </w:pPr>
                    <w:r>
                      <w:rPr>
                        <w:rFonts w:ascii="Calibri"/>
                        <w:color w:val="404040"/>
                        <w:spacing w:val="-92"/>
                        <w:sz w:val="18"/>
                      </w:rPr>
                      <w:t>6</w:t>
                    </w:r>
                    <w:r>
                      <w:rPr>
                        <w:rFonts w:ascii="Calibri"/>
                        <w:color w:val="404040"/>
                        <w:spacing w:val="-1"/>
                        <w:sz w:val="18"/>
                      </w:rPr>
                      <w:t>6</w:t>
                    </w:r>
                    <w:r>
                      <w:rPr>
                        <w:rFonts w:ascii="Calibri"/>
                        <w:color w:val="404040"/>
                        <w:spacing w:val="-92"/>
                        <w:sz w:val="18"/>
                      </w:rPr>
                      <w:t>1</w:t>
                    </w:r>
                    <w:r>
                      <w:rPr>
                        <w:rFonts w:ascii="Calibri"/>
                        <w:color w:val="404040"/>
                        <w:spacing w:val="-1"/>
                        <w:sz w:val="18"/>
                      </w:rPr>
                      <w:t>3</w:t>
                    </w:r>
                    <w:r>
                      <w:rPr>
                        <w:rFonts w:ascii="Calibri"/>
                        <w:color w:val="404040"/>
                        <w:spacing w:val="-92"/>
                        <w:sz w:val="18"/>
                      </w:rPr>
                      <w:t>3</w:t>
                    </w:r>
                    <w:r>
                      <w:rPr>
                        <w:rFonts w:ascii="Calibri"/>
                        <w:color w:val="404040"/>
                        <w:spacing w:val="-1"/>
                        <w:sz w:val="18"/>
                      </w:rPr>
                      <w:t>5</w:t>
                    </w:r>
                  </w:p>
                </w:txbxContent>
              </v:textbox>
              <w10:wrap type="none"/>
            </v:shape>
            <v:shape style="position:absolute;left:2103;top:3328;width:92;height:180" type="#_x0000_t202" filled="false" stroked="false">
              <v:textbox inset="0,0,0,0">
                <w:txbxContent>
                  <w:p>
                    <w:pPr>
                      <w:spacing w:line="180" w:lineRule="exact" w:before="0"/>
                      <w:ind w:left="0" w:right="0" w:firstLine="0"/>
                      <w:jc w:val="left"/>
                      <w:rPr>
                        <w:rFonts w:ascii="Calibri"/>
                        <w:sz w:val="18"/>
                      </w:rPr>
                    </w:pPr>
                    <w:r>
                      <w:rPr>
                        <w:rFonts w:ascii="Calibri"/>
                        <w:color w:val="585858"/>
                        <w:sz w:val="18"/>
                      </w:rPr>
                      <w:t>0</w:t>
                    </w:r>
                  </w:p>
                </w:txbxContent>
              </v:textbox>
              <w10:wrap type="none"/>
            </v:shape>
            <v:shape style="position:absolute;left:2507;top:3562;width:7576;height:180" type="#_x0000_t202" filled="false" stroked="false">
              <v:textbox inset="0,0,0,0">
                <w:txbxContent>
                  <w:p>
                    <w:pPr>
                      <w:tabs>
                        <w:tab w:pos="655" w:val="left" w:leader="none"/>
                        <w:tab w:pos="1311" w:val="left" w:leader="none"/>
                        <w:tab w:pos="1966" w:val="left" w:leader="none"/>
                        <w:tab w:pos="2622" w:val="left" w:leader="none"/>
                        <w:tab w:pos="3277" w:val="left" w:leader="none"/>
                        <w:tab w:pos="3933" w:val="left" w:leader="none"/>
                        <w:tab w:pos="4588" w:val="left" w:leader="none"/>
                        <w:tab w:pos="5244" w:val="left" w:leader="none"/>
                        <w:tab w:pos="5900" w:val="left" w:leader="none"/>
                        <w:tab w:pos="6555" w:val="left" w:leader="none"/>
                        <w:tab w:pos="7210" w:val="left" w:leader="none"/>
                      </w:tabs>
                      <w:spacing w:line="180" w:lineRule="exact" w:before="0"/>
                      <w:ind w:left="0" w:right="0" w:firstLine="0"/>
                      <w:jc w:val="left"/>
                      <w:rPr>
                        <w:rFonts w:ascii="Calibri"/>
                        <w:sz w:val="18"/>
                      </w:rPr>
                    </w:pPr>
                    <w:r>
                      <w:rPr>
                        <w:rFonts w:ascii="Calibri"/>
                        <w:color w:val="585858"/>
                        <w:sz w:val="18"/>
                      </w:rPr>
                      <w:t>2005</w:t>
                      <w:tab/>
                      <w:t>2006</w:t>
                      <w:tab/>
                      <w:t>2007</w:t>
                      <w:tab/>
                      <w:t>2008</w:t>
                      <w:tab/>
                      <w:t>2009</w:t>
                      <w:tab/>
                      <w:t>2010</w:t>
                      <w:tab/>
                      <w:t>2011</w:t>
                      <w:tab/>
                      <w:t>2012</w:t>
                      <w:tab/>
                      <w:t>2013</w:t>
                      <w:tab/>
                      <w:t>2014</w:t>
                      <w:tab/>
                      <w:t>2015</w:t>
                      <w:tab/>
                    </w:r>
                    <w:r>
                      <w:rPr>
                        <w:rFonts w:ascii="Calibri"/>
                        <w:color w:val="585858"/>
                        <w:spacing w:val="-1"/>
                        <w:sz w:val="18"/>
                      </w:rPr>
                      <w:t>2016</w:t>
                    </w:r>
                  </w:p>
                </w:txbxContent>
              </v:textbox>
              <w10:wrap type="none"/>
            </v:shape>
            <v:shape style="position:absolute;left:3180;top:3961;width:1146;height:518" type="#_x0000_t202" filled="false" stroked="false">
              <v:textbox inset="0,0,0,0">
                <w:txbxContent>
                  <w:p>
                    <w:pPr>
                      <w:spacing w:line="183" w:lineRule="exact" w:before="0"/>
                      <w:ind w:left="0" w:right="-17" w:firstLine="0"/>
                      <w:jc w:val="left"/>
                      <w:rPr>
                        <w:rFonts w:ascii="Calibri"/>
                        <w:sz w:val="18"/>
                      </w:rPr>
                    </w:pPr>
                    <w:r>
                      <w:rPr>
                        <w:rFonts w:ascii="Calibri"/>
                        <w:color w:val="585858"/>
                        <w:sz w:val="18"/>
                      </w:rPr>
                      <w:t>Poder</w:t>
                    </w:r>
                    <w:r>
                      <w:rPr>
                        <w:rFonts w:ascii="Calibri"/>
                        <w:color w:val="585858"/>
                        <w:spacing w:val="-4"/>
                        <w:sz w:val="18"/>
                      </w:rPr>
                      <w:t> </w:t>
                    </w:r>
                    <w:r>
                      <w:rPr>
                        <w:rFonts w:ascii="Calibri"/>
                        <w:color w:val="585858"/>
                        <w:sz w:val="18"/>
                      </w:rPr>
                      <w:t>ejecutivo</w:t>
                    </w:r>
                  </w:p>
                  <w:p>
                    <w:pPr>
                      <w:spacing w:line="216" w:lineRule="exact" w:before="117"/>
                      <w:ind w:left="0" w:right="-17" w:firstLine="0"/>
                      <w:jc w:val="left"/>
                      <w:rPr>
                        <w:rFonts w:ascii="Calibri"/>
                        <w:sz w:val="18"/>
                      </w:rPr>
                    </w:pPr>
                    <w:r>
                      <w:rPr>
                        <w:rFonts w:ascii="Calibri"/>
                        <w:color w:val="585858"/>
                        <w:sz w:val="18"/>
                      </w:rPr>
                      <w:t>Municipios</w:t>
                    </w:r>
                  </w:p>
                </w:txbxContent>
              </v:textbox>
              <w10:wrap type="none"/>
            </v:shape>
            <v:shape style="position:absolute;left:5404;top:3961;width:1743;height:518" type="#_x0000_t202" filled="false" stroked="false">
              <v:textbox inset="0,0,0,0">
                <w:txbxContent>
                  <w:p>
                    <w:pPr>
                      <w:spacing w:line="183" w:lineRule="exact" w:before="0"/>
                      <w:ind w:left="0" w:right="-13" w:firstLine="0"/>
                      <w:jc w:val="left"/>
                      <w:rPr>
                        <w:rFonts w:ascii="Calibri"/>
                        <w:sz w:val="18"/>
                      </w:rPr>
                    </w:pPr>
                    <w:r>
                      <w:rPr>
                        <w:rFonts w:ascii="Calibri"/>
                        <w:color w:val="585858"/>
                        <w:sz w:val="18"/>
                      </w:rPr>
                      <w:t>Poder legislativo</w:t>
                    </w:r>
                  </w:p>
                  <w:p>
                    <w:pPr>
                      <w:spacing w:line="216" w:lineRule="exact" w:before="117"/>
                      <w:ind w:left="0" w:right="-13" w:firstLine="0"/>
                      <w:jc w:val="left"/>
                      <w:rPr>
                        <w:rFonts w:ascii="Calibri" w:hAnsi="Calibri"/>
                        <w:sz w:val="18"/>
                      </w:rPr>
                    </w:pPr>
                    <w:r>
                      <w:rPr>
                        <w:rFonts w:ascii="Calibri" w:hAnsi="Calibri"/>
                        <w:color w:val="585858"/>
                        <w:sz w:val="18"/>
                      </w:rPr>
                      <w:t>Organismos</w:t>
                    </w:r>
                    <w:r>
                      <w:rPr>
                        <w:rFonts w:ascii="Calibri" w:hAnsi="Calibri"/>
                        <w:color w:val="585858"/>
                        <w:spacing w:val="-8"/>
                        <w:sz w:val="18"/>
                      </w:rPr>
                      <w:t> </w:t>
                    </w:r>
                    <w:r>
                      <w:rPr>
                        <w:rFonts w:ascii="Calibri" w:hAnsi="Calibri"/>
                        <w:color w:val="585858"/>
                        <w:sz w:val="18"/>
                      </w:rPr>
                      <w:t>autónomos</w:t>
                    </w:r>
                  </w:p>
                </w:txbxContent>
              </v:textbox>
              <w10:wrap type="none"/>
            </v:shape>
            <v:shape style="position:absolute;left:7628;top:3961;width:994;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Poder judicial</w:t>
                    </w:r>
                  </w:p>
                </w:txbxContent>
              </v:textbox>
              <w10:wrap type="none"/>
            </v:shape>
            <w10:wrap type="topAndBottom"/>
          </v:group>
        </w:pict>
      </w:r>
    </w:p>
    <w:p>
      <w:pPr>
        <w:pStyle w:val="BodyText"/>
        <w:spacing w:before="120"/>
        <w:ind w:left="108"/>
        <w:jc w:val="both"/>
      </w:pPr>
      <w:r>
        <w:rPr/>
        <w:t>Fuente: Elaboración propia con datos del INFOEM.</w:t>
      </w:r>
    </w:p>
    <w:p>
      <w:pPr>
        <w:pStyle w:val="BodyText"/>
      </w:pPr>
    </w:p>
    <w:p>
      <w:pPr>
        <w:pStyle w:val="BodyText"/>
      </w:pPr>
    </w:p>
    <w:p>
      <w:pPr>
        <w:pStyle w:val="BodyText"/>
        <w:spacing w:line="360" w:lineRule="auto"/>
        <w:ind w:left="108" w:right="120"/>
        <w:jc w:val="both"/>
      </w:pPr>
      <w:r>
        <w:rPr/>
        <w:t>Es</w:t>
      </w:r>
      <w:r>
        <w:rPr>
          <w:spacing w:val="-10"/>
        </w:rPr>
        <w:t> </w:t>
      </w:r>
      <w:r>
        <w:rPr/>
        <w:t>pertinente</w:t>
      </w:r>
      <w:r>
        <w:rPr>
          <w:spacing w:val="-9"/>
        </w:rPr>
        <w:t> </w:t>
      </w:r>
      <w:r>
        <w:rPr/>
        <w:t>destacar</w:t>
      </w:r>
      <w:r>
        <w:rPr>
          <w:spacing w:val="-11"/>
        </w:rPr>
        <w:t> </w:t>
      </w:r>
      <w:r>
        <w:rPr/>
        <w:t>que</w:t>
      </w:r>
      <w:r>
        <w:rPr>
          <w:spacing w:val="-9"/>
        </w:rPr>
        <w:t> </w:t>
      </w:r>
      <w:r>
        <w:rPr/>
        <w:t>las</w:t>
      </w:r>
      <w:r>
        <w:rPr>
          <w:spacing w:val="-10"/>
        </w:rPr>
        <w:t> </w:t>
      </w:r>
      <w:r>
        <w:rPr/>
        <w:t>solicitudes</w:t>
      </w:r>
      <w:r>
        <w:rPr>
          <w:spacing w:val="-10"/>
        </w:rPr>
        <w:t> </w:t>
      </w:r>
      <w:r>
        <w:rPr/>
        <w:t>electrónicas</w:t>
      </w:r>
      <w:r>
        <w:rPr>
          <w:spacing w:val="-10"/>
        </w:rPr>
        <w:t> </w:t>
      </w:r>
      <w:r>
        <w:rPr/>
        <w:t>se</w:t>
      </w:r>
      <w:r>
        <w:rPr>
          <w:spacing w:val="-9"/>
        </w:rPr>
        <w:t> </w:t>
      </w:r>
      <w:r>
        <w:rPr/>
        <w:t>han</w:t>
      </w:r>
      <w:r>
        <w:rPr>
          <w:spacing w:val="-9"/>
        </w:rPr>
        <w:t> </w:t>
      </w:r>
      <w:r>
        <w:rPr/>
        <w:t>venido</w:t>
      </w:r>
      <w:r>
        <w:rPr>
          <w:spacing w:val="-11"/>
        </w:rPr>
        <w:t> </w:t>
      </w:r>
      <w:r>
        <w:rPr/>
        <w:t>incrementando de manera constante en el Estado de México en los últimos siete años (ver gráfica 1).</w:t>
      </w:r>
      <w:r>
        <w:rPr>
          <w:spacing w:val="-14"/>
        </w:rPr>
        <w:t> </w:t>
      </w:r>
      <w:r>
        <w:rPr/>
        <w:t>El</w:t>
      </w:r>
      <w:r>
        <w:rPr>
          <w:spacing w:val="-17"/>
        </w:rPr>
        <w:t> </w:t>
      </w:r>
      <w:r>
        <w:rPr/>
        <w:t>primer</w:t>
      </w:r>
      <w:r>
        <w:rPr>
          <w:spacing w:val="-17"/>
        </w:rPr>
        <w:t> </w:t>
      </w:r>
      <w:r>
        <w:rPr/>
        <w:t>lugar</w:t>
      </w:r>
      <w:r>
        <w:rPr>
          <w:spacing w:val="-15"/>
        </w:rPr>
        <w:t> </w:t>
      </w:r>
      <w:r>
        <w:rPr/>
        <w:t>lo</w:t>
      </w:r>
      <w:r>
        <w:rPr>
          <w:spacing w:val="-16"/>
        </w:rPr>
        <w:t> </w:t>
      </w:r>
      <w:r>
        <w:rPr/>
        <w:t>ocupa</w:t>
      </w:r>
      <w:r>
        <w:rPr>
          <w:spacing w:val="-15"/>
        </w:rPr>
        <w:t> </w:t>
      </w:r>
      <w:r>
        <w:rPr/>
        <w:t>el</w:t>
      </w:r>
      <w:r>
        <w:rPr>
          <w:spacing w:val="-17"/>
        </w:rPr>
        <w:t> </w:t>
      </w:r>
      <w:r>
        <w:rPr/>
        <w:t>Poder</w:t>
      </w:r>
      <w:r>
        <w:rPr>
          <w:spacing w:val="-15"/>
        </w:rPr>
        <w:t> </w:t>
      </w:r>
      <w:r>
        <w:rPr/>
        <w:t>Judicial,</w:t>
      </w:r>
      <w:r>
        <w:rPr>
          <w:spacing w:val="-14"/>
        </w:rPr>
        <w:t> </w:t>
      </w:r>
      <w:r>
        <w:rPr/>
        <w:t>seguido</w:t>
      </w:r>
      <w:r>
        <w:rPr>
          <w:spacing w:val="-15"/>
        </w:rPr>
        <w:t> </w:t>
      </w:r>
      <w:r>
        <w:rPr/>
        <w:t>de</w:t>
      </w:r>
      <w:r>
        <w:rPr>
          <w:spacing w:val="-15"/>
        </w:rPr>
        <w:t> </w:t>
      </w:r>
      <w:r>
        <w:rPr/>
        <w:t>los</w:t>
      </w:r>
      <w:r>
        <w:rPr>
          <w:spacing w:val="-16"/>
        </w:rPr>
        <w:t> </w:t>
      </w:r>
      <w:r>
        <w:rPr/>
        <w:t>Organismos</w:t>
      </w:r>
      <w:r>
        <w:rPr>
          <w:spacing w:val="-16"/>
        </w:rPr>
        <w:t> </w:t>
      </w:r>
      <w:r>
        <w:rPr/>
        <w:t>Autónomos, en tercer lugar, se encuentran los Municipios, en cuarto el Poder Ejecutivo y por último el Poder</w:t>
      </w:r>
      <w:r>
        <w:rPr>
          <w:spacing w:val="-14"/>
        </w:rPr>
        <w:t> </w:t>
      </w:r>
      <w:r>
        <w:rPr/>
        <w:t>Legislativo.</w:t>
      </w:r>
    </w:p>
    <w:p>
      <w:pPr>
        <w:pStyle w:val="BodyText"/>
      </w:pPr>
    </w:p>
    <w:p>
      <w:pPr>
        <w:pStyle w:val="BodyText"/>
        <w:spacing w:line="360" w:lineRule="auto" w:before="142"/>
        <w:ind w:left="108" w:right="115"/>
        <w:jc w:val="both"/>
      </w:pPr>
      <w:r>
        <w:rPr/>
        <w:t>En el periodo que comprende de 2005 a 2015 los municipios han venido incrementando el número de solicitudes recibidas, destacando los años 2008 con el mayor número ya que ascendió a 4,093 y el año 2005 con el menor, ya que solo recibió 245 solicitudes.</w:t>
      </w:r>
    </w:p>
    <w:p>
      <w:pPr>
        <w:spacing w:after="0" w:line="360" w:lineRule="auto"/>
        <w:jc w:val="both"/>
        <w:sectPr>
          <w:pgSz w:w="12240" w:h="15840"/>
          <w:pgMar w:header="0" w:footer="975" w:top="1360" w:bottom="1220" w:left="1500" w:right="1580"/>
        </w:sectPr>
      </w:pPr>
    </w:p>
    <w:p>
      <w:pPr>
        <w:pStyle w:val="BodyText"/>
        <w:ind w:left="1672"/>
        <w:rPr>
          <w:sz w:val="20"/>
        </w:rPr>
      </w:pPr>
      <w:r>
        <w:rPr>
          <w:sz w:val="20"/>
        </w:rPr>
        <w:pict>
          <v:group style="width:296.75pt;height:205.25pt;mso-position-horizontal-relative:char;mso-position-vertical-relative:line" coordorigin="0,0" coordsize="5935,4105">
            <v:line style="position:absolute" from="667,3127" to="5710,3127" stroked="true" strokeweight=".5pt" strokecolor="#d9d9d9"/>
            <v:line style="position:absolute" from="667,2839" to="5710,2839" stroked="true" strokeweight=".5pt" strokecolor="#d9d9d9"/>
            <v:line style="position:absolute" from="667,2551" to="5710,2551" stroked="true" strokeweight=".5pt" strokecolor="#d9d9d9"/>
            <v:line style="position:absolute" from="667,2261" to="5710,2261" stroked="true" strokeweight=".5pt" strokecolor="#d9d9d9"/>
            <v:line style="position:absolute" from="667,1973" to="5710,1973" stroked="true" strokeweight=".5pt" strokecolor="#d9d9d9"/>
            <v:line style="position:absolute" from="667,1685" to="5710,1685" stroked="true" strokeweight=".5pt" strokecolor="#d9d9d9"/>
            <v:line style="position:absolute" from="667,1397" to="5710,1397" stroked="true" strokeweight=".5pt" strokecolor="#d9d9d9"/>
            <v:line style="position:absolute" from="667,1106" to="5710,1106" stroked="true" strokeweight=".5pt" strokecolor="#d9d9d9"/>
            <v:shape style="position:absolute;left:896;top:1054;width:4585;height:2222" coordorigin="896,1054" coordsize="4585,2222" path="m896,3275l1354,3247,1813,2659,2271,1054,2730,2954,3188,2825,3646,2765,4105,2458,4563,2342,5022,2784,5481,2779e" filled="false" stroked="true" strokeweight="2pt" strokecolor="#4f81bc">
              <v:path arrowok="t"/>
            </v:shape>
            <v:line style="position:absolute" from="667,3416" to="5710,3416" stroked="true" strokeweight=".5pt" strokecolor="#888888"/>
            <v:line style="position:absolute" from="896,3374" to="896,3458" stroked="true" strokeweight=".5pt" strokecolor="#888888"/>
            <v:line style="position:absolute" from="1354,3374" to="1354,3458" stroked="true" strokeweight=".5pt" strokecolor="#888888"/>
            <v:line style="position:absolute" from="1813,3374" to="1813,3458" stroked="true" strokeweight=".5pt" strokecolor="#888888"/>
            <v:line style="position:absolute" from="2271,3374" to="2271,3458" stroked="true" strokeweight=".5pt" strokecolor="#888888"/>
            <v:line style="position:absolute" from="2730,3374" to="2730,3458" stroked="true" strokeweight=".5pt" strokecolor="#888888"/>
            <v:line style="position:absolute" from="3188,3374" to="3188,3458" stroked="true" strokeweight=".5pt" strokecolor="#888888"/>
            <v:line style="position:absolute" from="3646,3374" to="3646,3458" stroked="true" strokeweight=".5pt" strokecolor="#888888"/>
            <v:line style="position:absolute" from="4105,3374" to="4105,3458" stroked="true" strokeweight=".5pt" strokecolor="#888888"/>
            <v:line style="position:absolute" from="4563,3374" to="4563,3458" stroked="true" strokeweight=".5pt" strokecolor="#888888"/>
            <v:line style="position:absolute" from="5022,3374" to="5022,3458" stroked="true" strokeweight=".5pt" strokecolor="#888888"/>
            <v:line style="position:absolute" from="5480,3374" to="5480,3458" stroked="true" strokeweight=".5pt" strokecolor="#888888"/>
            <v:line style="position:absolute" from="5710,3374" to="5710,3458" stroked="true" strokeweight=".5pt" strokecolor="#888888"/>
            <v:line style="position:absolute" from="667,3359" to="667,3473" stroked="true" strokeweight=".5pt" strokecolor="#888888"/>
            <v:line style="position:absolute" from="1126,3359" to="1126,3473" stroked="true" strokeweight=".5pt" strokecolor="#888888"/>
            <v:line style="position:absolute" from="1585,3359" to="1585,3473" stroked="true" strokeweight=".5pt" strokecolor="#888888"/>
            <v:line style="position:absolute" from="2043,3359" to="2043,3473" stroked="true" strokeweight=".5pt" strokecolor="#888888"/>
            <v:line style="position:absolute" from="2502,3359" to="2502,3473" stroked="true" strokeweight=".5pt" strokecolor="#888888"/>
            <v:line style="position:absolute" from="2960,3359" to="2960,3473" stroked="true" strokeweight=".5pt" strokecolor="#888888"/>
            <v:line style="position:absolute" from="3418,3359" to="3418,3473" stroked="true" strokeweight=".5pt" strokecolor="#888888"/>
            <v:line style="position:absolute" from="3877,3359" to="3877,3473" stroked="true" strokeweight=".5pt" strokecolor="#888888"/>
            <v:line style="position:absolute" from="4335,3359" to="4335,3473" stroked="true" strokeweight=".5pt" strokecolor="#888888"/>
            <v:line style="position:absolute" from="4794,3359" to="4794,3473" stroked="true" strokeweight=".5pt" strokecolor="#888888"/>
            <v:line style="position:absolute" from="5252,3359" to="5252,3473" stroked="true" strokeweight=".5pt" strokecolor="#888888"/>
            <v:line style="position:absolute" from="5710,3359" to="5710,3473" stroked="true" strokeweight=".5pt" strokecolor="#888888"/>
            <v:shape style="position:absolute;left:840;top:3221;width:110;height:110" type="#_x0000_t75" stroked="false">
              <v:imagedata r:id="rId102" o:title=""/>
            </v:shape>
            <v:shape style="position:absolute;left:1299;top:3192;width:110;height:110" type="#_x0000_t75" stroked="false">
              <v:imagedata r:id="rId102" o:title=""/>
            </v:shape>
            <v:shape style="position:absolute;left:1757;top:2604;width:110;height:110" type="#_x0000_t75" stroked="false">
              <v:imagedata r:id="rId102" o:title=""/>
            </v:shape>
            <v:shape style="position:absolute;left:2215;top:999;width:110;height:110" type="#_x0000_t75" stroked="false">
              <v:imagedata r:id="rId102" o:title=""/>
            </v:shape>
            <v:shape style="position:absolute;left:2674;top:2899;width:110;height:110" type="#_x0000_t75" stroked="false">
              <v:imagedata r:id="rId102" o:title=""/>
            </v:shape>
            <v:shape style="position:absolute;left:3132;top:2770;width:110;height:110" type="#_x0000_t75" stroked="false">
              <v:imagedata r:id="rId103" o:title=""/>
            </v:shape>
            <v:shape style="position:absolute;left:3591;top:2710;width:110;height:110" type="#_x0000_t75" stroked="false">
              <v:imagedata r:id="rId103" o:title=""/>
            </v:shape>
            <v:shape style="position:absolute;left:4049;top:2403;width:110;height:110" type="#_x0000_t75" stroked="false">
              <v:imagedata r:id="rId102" o:title=""/>
            </v:shape>
            <v:shape style="position:absolute;left:4507;top:2287;width:110;height:110" type="#_x0000_t75" stroked="false">
              <v:imagedata r:id="rId102" o:title=""/>
            </v:shape>
            <v:shape style="position:absolute;left:4966;top:2729;width:110;height:110" type="#_x0000_t75" stroked="false">
              <v:imagedata r:id="rId104" o:title=""/>
            </v:shape>
            <v:shape style="position:absolute;left:5424;top:2724;width:110;height:110" type="#_x0000_t75" stroked="false">
              <v:imagedata r:id="rId102" o:title=""/>
            </v:shape>
            <v:line style="position:absolute" from="667,819" to="5710,819" stroked="true" strokeweight=".5pt" strokecolor="#d9d9d9"/>
            <v:shape style="position:absolute;left:5;top:5;width:5925;height:4095" coordorigin="5,5" coordsize="5925,4095" path="m5,205l21,127,64,64,127,21,205,5,5730,5,5808,21,5871,64,5914,127,5930,205,5930,3900,5914,3978,5871,4041,5808,4084,5730,4100,205,4100,127,4084,64,4041,21,3978,5,3900,5,205xe" filled="false" stroked="true" strokeweight=".5pt" strokecolor="#888888">
              <v:path arrowok="t"/>
            </v:shape>
            <v:shape style="position:absolute;left:742;top:177;width:4448;height:390" type="#_x0000_t202" filled="false" stroked="false">
              <v:textbox inset="0,0,0,0">
                <w:txbxContent>
                  <w:p>
                    <w:pPr>
                      <w:spacing w:line="184" w:lineRule="exact" w:before="0"/>
                      <w:ind w:left="-1" w:right="0" w:firstLine="0"/>
                      <w:jc w:val="center"/>
                      <w:rPr>
                        <w:b/>
                        <w:sz w:val="18"/>
                      </w:rPr>
                    </w:pPr>
                    <w:r>
                      <w:rPr>
                        <w:b/>
                        <w:color w:val="585858"/>
                        <w:sz w:val="18"/>
                      </w:rPr>
                      <w:t>Gráfica 3.2. Solicitudes de información hechas a</w:t>
                    </w:r>
                    <w:r>
                      <w:rPr>
                        <w:b/>
                        <w:color w:val="585858"/>
                        <w:spacing w:val="-19"/>
                        <w:sz w:val="18"/>
                      </w:rPr>
                      <w:t> </w:t>
                    </w:r>
                    <w:r>
                      <w:rPr>
                        <w:b/>
                        <w:color w:val="585858"/>
                        <w:sz w:val="18"/>
                      </w:rPr>
                      <w:t>los</w:t>
                    </w:r>
                  </w:p>
                  <w:p>
                    <w:pPr>
                      <w:spacing w:line="203" w:lineRule="exact" w:before="2"/>
                      <w:ind w:left="5" w:right="0" w:firstLine="0"/>
                      <w:jc w:val="center"/>
                      <w:rPr>
                        <w:b/>
                        <w:sz w:val="18"/>
                      </w:rPr>
                    </w:pPr>
                    <w:r>
                      <w:rPr>
                        <w:b/>
                        <w:color w:val="585858"/>
                        <w:sz w:val="18"/>
                      </w:rPr>
                      <w:t>municipios del EDOMEX (2005-2015)</w:t>
                    </w:r>
                  </w:p>
                </w:txbxContent>
              </v:textbox>
              <w10:wrap type="none"/>
            </v:shape>
            <v:shape style="position:absolute;left:136;top:735;width:365;height:2778"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4500</w:t>
                    </w:r>
                  </w:p>
                  <w:p>
                    <w:pPr>
                      <w:spacing w:before="68"/>
                      <w:ind w:left="0" w:right="-20" w:firstLine="0"/>
                      <w:jc w:val="left"/>
                      <w:rPr>
                        <w:rFonts w:ascii="Calibri"/>
                        <w:sz w:val="18"/>
                      </w:rPr>
                    </w:pPr>
                    <w:r>
                      <w:rPr>
                        <w:rFonts w:ascii="Calibri"/>
                        <w:color w:val="585858"/>
                        <w:sz w:val="18"/>
                      </w:rPr>
                      <w:t>4000</w:t>
                    </w:r>
                  </w:p>
                  <w:p>
                    <w:pPr>
                      <w:spacing w:before="69"/>
                      <w:ind w:left="0" w:right="-20" w:firstLine="0"/>
                      <w:jc w:val="left"/>
                      <w:rPr>
                        <w:rFonts w:ascii="Calibri"/>
                        <w:sz w:val="18"/>
                      </w:rPr>
                    </w:pPr>
                    <w:r>
                      <w:rPr>
                        <w:rFonts w:ascii="Calibri"/>
                        <w:color w:val="585858"/>
                        <w:sz w:val="18"/>
                      </w:rPr>
                      <w:t>3500</w:t>
                    </w:r>
                  </w:p>
                  <w:p>
                    <w:pPr>
                      <w:spacing w:before="68"/>
                      <w:ind w:left="0" w:right="-20" w:firstLine="0"/>
                      <w:jc w:val="left"/>
                      <w:rPr>
                        <w:rFonts w:ascii="Calibri"/>
                        <w:sz w:val="18"/>
                      </w:rPr>
                    </w:pPr>
                    <w:r>
                      <w:rPr>
                        <w:rFonts w:ascii="Calibri"/>
                        <w:color w:val="585858"/>
                        <w:sz w:val="18"/>
                      </w:rPr>
                      <w:t>3000</w:t>
                    </w:r>
                  </w:p>
                  <w:p>
                    <w:pPr>
                      <w:spacing w:before="69"/>
                      <w:ind w:left="0" w:right="-20" w:firstLine="0"/>
                      <w:jc w:val="left"/>
                      <w:rPr>
                        <w:rFonts w:ascii="Calibri"/>
                        <w:sz w:val="18"/>
                      </w:rPr>
                    </w:pPr>
                    <w:r>
                      <w:rPr>
                        <w:rFonts w:ascii="Calibri"/>
                        <w:color w:val="585858"/>
                        <w:sz w:val="18"/>
                      </w:rPr>
                      <w:t>2500</w:t>
                    </w:r>
                  </w:p>
                  <w:p>
                    <w:pPr>
                      <w:spacing w:before="69"/>
                      <w:ind w:left="0" w:right="-20" w:firstLine="0"/>
                      <w:jc w:val="left"/>
                      <w:rPr>
                        <w:rFonts w:ascii="Calibri"/>
                        <w:sz w:val="18"/>
                      </w:rPr>
                    </w:pPr>
                    <w:r>
                      <w:rPr>
                        <w:rFonts w:ascii="Calibri"/>
                        <w:color w:val="585858"/>
                        <w:sz w:val="18"/>
                      </w:rPr>
                      <w:t>2000</w:t>
                    </w:r>
                  </w:p>
                  <w:p>
                    <w:pPr>
                      <w:spacing w:before="68"/>
                      <w:ind w:left="0" w:right="-20" w:firstLine="0"/>
                      <w:jc w:val="left"/>
                      <w:rPr>
                        <w:rFonts w:ascii="Calibri"/>
                        <w:sz w:val="18"/>
                      </w:rPr>
                    </w:pPr>
                    <w:r>
                      <w:rPr>
                        <w:rFonts w:ascii="Calibri"/>
                        <w:color w:val="585858"/>
                        <w:sz w:val="18"/>
                      </w:rPr>
                      <w:t>1500</w:t>
                    </w:r>
                  </w:p>
                  <w:p>
                    <w:pPr>
                      <w:spacing w:before="69"/>
                      <w:ind w:left="0" w:right="-20" w:firstLine="0"/>
                      <w:jc w:val="left"/>
                      <w:rPr>
                        <w:rFonts w:ascii="Calibri"/>
                        <w:sz w:val="18"/>
                      </w:rPr>
                    </w:pPr>
                    <w:r>
                      <w:rPr>
                        <w:rFonts w:ascii="Calibri"/>
                        <w:color w:val="585858"/>
                        <w:sz w:val="18"/>
                      </w:rPr>
                      <w:t>1000</w:t>
                    </w:r>
                  </w:p>
                  <w:p>
                    <w:pPr>
                      <w:spacing w:before="68"/>
                      <w:ind w:left="91" w:right="0" w:firstLine="0"/>
                      <w:jc w:val="center"/>
                      <w:rPr>
                        <w:rFonts w:ascii="Calibri"/>
                        <w:sz w:val="18"/>
                      </w:rPr>
                    </w:pPr>
                    <w:r>
                      <w:rPr>
                        <w:rFonts w:ascii="Calibri"/>
                        <w:color w:val="585858"/>
                        <w:sz w:val="18"/>
                      </w:rPr>
                      <w:t>500</w:t>
                    </w:r>
                  </w:p>
                  <w:p>
                    <w:pPr>
                      <w:spacing w:line="216" w:lineRule="exact" w:before="69"/>
                      <w:ind w:left="0" w:right="0" w:firstLine="0"/>
                      <w:jc w:val="right"/>
                      <w:rPr>
                        <w:rFonts w:ascii="Calibri"/>
                        <w:sz w:val="18"/>
                      </w:rPr>
                    </w:pPr>
                    <w:r>
                      <w:rPr>
                        <w:rFonts w:ascii="Calibri"/>
                        <w:color w:val="585858"/>
                        <w:sz w:val="18"/>
                      </w:rPr>
                      <w:t>0</w:t>
                    </w:r>
                  </w:p>
                </w:txbxContent>
              </v:textbox>
              <w10:wrap type="none"/>
            </v:shape>
            <v:shape style="position:absolute;left:2123;top:828;width:365;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4093</w:t>
                    </w:r>
                  </w:p>
                </w:txbxContent>
              </v:textbox>
              <w10:wrap type="none"/>
            </v:shape>
            <v:shape style="position:absolute;left:4397;top:2099;width:365;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1859</w:t>
                    </w:r>
                  </w:p>
                </w:txbxContent>
              </v:textbox>
              <w10:wrap type="none"/>
            </v:shape>
            <v:shape style="position:absolute;left:1476;top:2338;width:365;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1313</w:t>
                    </w:r>
                  </w:p>
                </w:txbxContent>
              </v:textbox>
              <w10:wrap type="none"/>
            </v:shape>
            <v:shape style="position:absolute;left:3882;top:2212;width:365;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1663</w:t>
                    </w:r>
                  </w:p>
                </w:txbxContent>
              </v:textbox>
              <w10:wrap type="none"/>
            </v:shape>
            <v:shape style="position:absolute;left:2732;top:2540;width:274;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800</w:t>
                    </w:r>
                  </w:p>
                </w:txbxContent>
              </v:textbox>
              <w10:wrap type="none"/>
            </v:shape>
            <v:shape style="position:absolute;left:3134;top:2619;width:365;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1024</w:t>
                    </w:r>
                  </w:p>
                </w:txbxContent>
              </v:textbox>
              <w10:wrap type="none"/>
            </v:shape>
            <v:shape style="position:absolute;left:4968;top:2521;width:365;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1095</w:t>
                    </w:r>
                  </w:p>
                </w:txbxContent>
              </v:textbox>
              <w10:wrap type="none"/>
            </v:shape>
            <v:shape style="position:absolute;left:804;top:2993;width:274;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245</w:t>
                    </w:r>
                  </w:p>
                </w:txbxContent>
              </v:textbox>
              <w10:wrap type="none"/>
            </v:shape>
            <v:shape style="position:absolute;left:1225;top:2928;width:274;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291</w:t>
                    </w:r>
                  </w:p>
                </w:txbxContent>
              </v:textbox>
              <w10:wrap type="none"/>
            </v:shape>
            <v:shape style="position:absolute;left:3536;top:2901;width:365;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1127</w:t>
                    </w:r>
                  </w:p>
                </w:txbxContent>
              </v:textbox>
              <w10:wrap type="none"/>
            </v:shape>
            <v:shape style="position:absolute;left:5263;top:2819;width:365;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1103</w:t>
                    </w:r>
                  </w:p>
                </w:txbxContent>
              </v:textbox>
              <w10:wrap type="none"/>
            </v:shape>
            <v:shape style="position:absolute;left:715;top:3567;width:4951;height:400" type="#_x0000_t202" filled="false" stroked="false">
              <v:textbox inset="0,0,0,0">
                <w:txbxContent>
                  <w:p>
                    <w:pPr>
                      <w:spacing w:line="183" w:lineRule="exact" w:before="0"/>
                      <w:ind w:left="0" w:right="0" w:firstLine="35"/>
                      <w:jc w:val="left"/>
                      <w:rPr>
                        <w:rFonts w:ascii="Calibri" w:hAnsi="Calibri"/>
                        <w:sz w:val="18"/>
                      </w:rPr>
                    </w:pPr>
                    <w:r>
                      <w:rPr>
                        <w:rFonts w:ascii="Calibri" w:hAnsi="Calibri"/>
                        <w:color w:val="585858"/>
                        <w:sz w:val="18"/>
                      </w:rPr>
                      <w:t>Año    Año    Año    Año    Año    Año    Año    Año    Año    Año    Año</w:t>
                    </w:r>
                  </w:p>
                  <w:p>
                    <w:pPr>
                      <w:spacing w:line="216" w:lineRule="exact" w:before="0"/>
                      <w:ind w:left="0" w:right="0" w:firstLine="0"/>
                      <w:jc w:val="left"/>
                      <w:rPr>
                        <w:rFonts w:ascii="Calibri"/>
                        <w:sz w:val="18"/>
                      </w:rPr>
                    </w:pPr>
                    <w:r>
                      <w:rPr>
                        <w:rFonts w:ascii="Calibri"/>
                        <w:color w:val="585858"/>
                        <w:sz w:val="18"/>
                      </w:rPr>
                      <w:t>2005  2006  2007  2008  2009  2010  2011  2012  2013  2014    2015</w:t>
                    </w:r>
                  </w:p>
                </w:txbxContent>
              </v:textbox>
              <w10:wrap type="none"/>
            </v:shape>
          </v:group>
        </w:pict>
      </w:r>
      <w:r>
        <w:rPr>
          <w:sz w:val="20"/>
        </w:rPr>
      </w:r>
    </w:p>
    <w:p>
      <w:pPr>
        <w:pStyle w:val="BodyText"/>
        <w:spacing w:before="3"/>
        <w:rPr>
          <w:sz w:val="6"/>
        </w:rPr>
      </w:pPr>
    </w:p>
    <w:p>
      <w:pPr>
        <w:pStyle w:val="BodyText"/>
        <w:spacing w:before="70"/>
        <w:ind w:left="1668" w:right="6"/>
      </w:pPr>
      <w:r>
        <w:rPr/>
        <w:t>Fuente: Elaboración propia con datos del INFOEM.</w:t>
      </w:r>
    </w:p>
    <w:p>
      <w:pPr>
        <w:pStyle w:val="BodyText"/>
      </w:pPr>
    </w:p>
    <w:p>
      <w:pPr>
        <w:pStyle w:val="BodyText"/>
      </w:pPr>
    </w:p>
    <w:p>
      <w:pPr>
        <w:pStyle w:val="BodyText"/>
        <w:spacing w:line="360" w:lineRule="auto" w:before="161"/>
        <w:ind w:left="108" w:right="6"/>
      </w:pPr>
      <w:r>
        <w:rPr/>
        <w:t>Es importante mencionar que los municipios que más han recibido solicitudes de información en esta década de transparencia son los siguientes:</w:t>
      </w:r>
    </w:p>
    <w:p>
      <w:pPr>
        <w:pStyle w:val="BodyText"/>
        <w:rPr>
          <w:sz w:val="20"/>
        </w:rPr>
      </w:pPr>
    </w:p>
    <w:p>
      <w:pPr>
        <w:pStyle w:val="BodyText"/>
        <w:rPr>
          <w:sz w:val="20"/>
        </w:rPr>
      </w:pPr>
    </w:p>
    <w:p>
      <w:pPr>
        <w:pStyle w:val="BodyText"/>
        <w:spacing w:before="5"/>
      </w:pPr>
    </w:p>
    <w:tbl>
      <w:tblPr>
        <w:tblW w:w="0" w:type="auto"/>
        <w:jc w:val="left"/>
        <w:tblInd w:w="12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99"/>
        <w:gridCol w:w="1829"/>
      </w:tblGrid>
      <w:tr>
        <w:trPr>
          <w:trHeight w:val="319" w:hRule="exact"/>
        </w:trPr>
        <w:tc>
          <w:tcPr>
            <w:tcW w:w="6729" w:type="dxa"/>
            <w:gridSpan w:val="2"/>
            <w:shd w:val="clear" w:color="auto" w:fill="92D050"/>
          </w:tcPr>
          <w:p>
            <w:pPr>
              <w:pStyle w:val="TableParagraph"/>
              <w:spacing w:line="201" w:lineRule="exact"/>
              <w:ind w:left="107"/>
              <w:jc w:val="left"/>
              <w:rPr>
                <w:b/>
                <w:sz w:val="18"/>
              </w:rPr>
            </w:pPr>
            <w:r>
              <w:rPr>
                <w:b/>
                <w:sz w:val="18"/>
              </w:rPr>
              <w:t>Tabla 3.5. Municipios con más solicitudes recibidas en el periodo 2005-2015</w:t>
            </w:r>
          </w:p>
        </w:tc>
      </w:tr>
      <w:tr>
        <w:trPr>
          <w:trHeight w:val="322" w:hRule="exact"/>
        </w:trPr>
        <w:tc>
          <w:tcPr>
            <w:tcW w:w="4899" w:type="dxa"/>
            <w:shd w:val="clear" w:color="auto" w:fill="92D050"/>
          </w:tcPr>
          <w:p>
            <w:pPr>
              <w:pStyle w:val="TableParagraph"/>
              <w:spacing w:line="202" w:lineRule="exact"/>
              <w:ind w:left="2004" w:right="2004"/>
              <w:rPr>
                <w:b/>
                <w:sz w:val="18"/>
              </w:rPr>
            </w:pPr>
            <w:r>
              <w:rPr>
                <w:b/>
                <w:sz w:val="18"/>
              </w:rPr>
              <w:t>Municipio</w:t>
            </w:r>
          </w:p>
        </w:tc>
        <w:tc>
          <w:tcPr>
            <w:tcW w:w="1829" w:type="dxa"/>
            <w:shd w:val="clear" w:color="auto" w:fill="92D050"/>
          </w:tcPr>
          <w:p>
            <w:pPr>
              <w:pStyle w:val="TableParagraph"/>
              <w:spacing w:line="202" w:lineRule="exact"/>
              <w:ind w:left="118" w:right="118"/>
              <w:rPr>
                <w:b/>
                <w:sz w:val="18"/>
              </w:rPr>
            </w:pPr>
            <w:r>
              <w:rPr>
                <w:b/>
                <w:sz w:val="18"/>
              </w:rPr>
              <w:t>No. de solicitudes</w:t>
            </w:r>
          </w:p>
        </w:tc>
      </w:tr>
      <w:tr>
        <w:trPr>
          <w:trHeight w:val="319" w:hRule="exact"/>
        </w:trPr>
        <w:tc>
          <w:tcPr>
            <w:tcW w:w="4899" w:type="dxa"/>
          </w:tcPr>
          <w:p>
            <w:pPr>
              <w:pStyle w:val="TableParagraph"/>
              <w:tabs>
                <w:tab w:pos="499" w:val="left" w:leader="none"/>
              </w:tabs>
              <w:spacing w:line="206" w:lineRule="exact"/>
              <w:ind w:left="139"/>
              <w:jc w:val="left"/>
              <w:rPr>
                <w:sz w:val="18"/>
              </w:rPr>
            </w:pPr>
            <w:r>
              <w:rPr>
                <w:sz w:val="18"/>
              </w:rPr>
              <w:t>1.</w:t>
              <w:tab/>
              <w:t>Ecatepec de</w:t>
            </w:r>
            <w:r>
              <w:rPr>
                <w:spacing w:val="-8"/>
                <w:sz w:val="18"/>
              </w:rPr>
              <w:t> </w:t>
            </w:r>
            <w:r>
              <w:rPr>
                <w:sz w:val="18"/>
              </w:rPr>
              <w:t>Morelos</w:t>
            </w:r>
          </w:p>
        </w:tc>
        <w:tc>
          <w:tcPr>
            <w:tcW w:w="1829" w:type="dxa"/>
          </w:tcPr>
          <w:p>
            <w:pPr>
              <w:pStyle w:val="TableParagraph"/>
              <w:spacing w:line="206" w:lineRule="exact"/>
              <w:ind w:left="118" w:right="118"/>
              <w:rPr>
                <w:sz w:val="18"/>
              </w:rPr>
            </w:pPr>
            <w:r>
              <w:rPr>
                <w:sz w:val="18"/>
              </w:rPr>
              <w:t>5322</w:t>
            </w:r>
          </w:p>
        </w:tc>
      </w:tr>
      <w:tr>
        <w:trPr>
          <w:trHeight w:val="322" w:hRule="exact"/>
        </w:trPr>
        <w:tc>
          <w:tcPr>
            <w:tcW w:w="4899" w:type="dxa"/>
          </w:tcPr>
          <w:p>
            <w:pPr>
              <w:pStyle w:val="TableParagraph"/>
              <w:tabs>
                <w:tab w:pos="499" w:val="left" w:leader="none"/>
              </w:tabs>
              <w:spacing w:line="206" w:lineRule="exact"/>
              <w:ind w:left="139"/>
              <w:jc w:val="left"/>
              <w:rPr>
                <w:sz w:val="18"/>
              </w:rPr>
            </w:pPr>
            <w:r>
              <w:rPr>
                <w:sz w:val="18"/>
              </w:rPr>
              <w:t>2.</w:t>
              <w:tab/>
              <w:t>Toluca</w:t>
            </w:r>
          </w:p>
        </w:tc>
        <w:tc>
          <w:tcPr>
            <w:tcW w:w="1829" w:type="dxa"/>
          </w:tcPr>
          <w:p>
            <w:pPr>
              <w:pStyle w:val="TableParagraph"/>
              <w:spacing w:line="206" w:lineRule="exact"/>
              <w:ind w:left="118" w:right="118"/>
              <w:rPr>
                <w:sz w:val="18"/>
              </w:rPr>
            </w:pPr>
            <w:r>
              <w:rPr>
                <w:sz w:val="18"/>
              </w:rPr>
              <w:t>4734</w:t>
            </w:r>
          </w:p>
        </w:tc>
      </w:tr>
      <w:tr>
        <w:trPr>
          <w:trHeight w:val="319" w:hRule="exact"/>
        </w:trPr>
        <w:tc>
          <w:tcPr>
            <w:tcW w:w="4899" w:type="dxa"/>
          </w:tcPr>
          <w:p>
            <w:pPr>
              <w:pStyle w:val="TableParagraph"/>
              <w:tabs>
                <w:tab w:pos="499" w:val="left" w:leader="none"/>
              </w:tabs>
              <w:spacing w:line="206" w:lineRule="exact"/>
              <w:ind w:left="139"/>
              <w:jc w:val="left"/>
              <w:rPr>
                <w:sz w:val="18"/>
              </w:rPr>
            </w:pPr>
            <w:r>
              <w:rPr>
                <w:sz w:val="18"/>
              </w:rPr>
              <w:t>3.</w:t>
              <w:tab/>
              <w:t>Cuautitlán</w:t>
            </w:r>
            <w:r>
              <w:rPr>
                <w:spacing w:val="-6"/>
                <w:sz w:val="18"/>
              </w:rPr>
              <w:t> </w:t>
            </w:r>
            <w:r>
              <w:rPr>
                <w:sz w:val="18"/>
              </w:rPr>
              <w:t>Izcalli</w:t>
            </w:r>
          </w:p>
        </w:tc>
        <w:tc>
          <w:tcPr>
            <w:tcW w:w="1829" w:type="dxa"/>
          </w:tcPr>
          <w:p>
            <w:pPr>
              <w:pStyle w:val="TableParagraph"/>
              <w:spacing w:line="206" w:lineRule="exact"/>
              <w:ind w:left="118" w:right="118"/>
              <w:rPr>
                <w:sz w:val="18"/>
              </w:rPr>
            </w:pPr>
            <w:r>
              <w:rPr>
                <w:sz w:val="18"/>
              </w:rPr>
              <w:t>4488</w:t>
            </w:r>
          </w:p>
        </w:tc>
      </w:tr>
      <w:tr>
        <w:trPr>
          <w:trHeight w:val="322" w:hRule="exact"/>
        </w:trPr>
        <w:tc>
          <w:tcPr>
            <w:tcW w:w="4899" w:type="dxa"/>
          </w:tcPr>
          <w:p>
            <w:pPr>
              <w:pStyle w:val="TableParagraph"/>
              <w:tabs>
                <w:tab w:pos="499" w:val="left" w:leader="none"/>
              </w:tabs>
              <w:spacing w:before="1"/>
              <w:ind w:left="139"/>
              <w:jc w:val="left"/>
              <w:rPr>
                <w:sz w:val="18"/>
              </w:rPr>
            </w:pPr>
            <w:r>
              <w:rPr>
                <w:sz w:val="18"/>
              </w:rPr>
              <w:t>4.</w:t>
              <w:tab/>
              <w:t>Tlalnepantla de</w:t>
            </w:r>
            <w:r>
              <w:rPr>
                <w:spacing w:val="-6"/>
                <w:sz w:val="18"/>
              </w:rPr>
              <w:t> </w:t>
            </w:r>
            <w:r>
              <w:rPr>
                <w:sz w:val="18"/>
              </w:rPr>
              <w:t>Baz</w:t>
            </w:r>
          </w:p>
        </w:tc>
        <w:tc>
          <w:tcPr>
            <w:tcW w:w="1829" w:type="dxa"/>
          </w:tcPr>
          <w:p>
            <w:pPr>
              <w:pStyle w:val="TableParagraph"/>
              <w:spacing w:before="1"/>
              <w:ind w:left="118" w:right="118"/>
              <w:rPr>
                <w:sz w:val="18"/>
              </w:rPr>
            </w:pPr>
            <w:r>
              <w:rPr>
                <w:sz w:val="18"/>
              </w:rPr>
              <w:t>3899</w:t>
            </w:r>
          </w:p>
        </w:tc>
      </w:tr>
      <w:tr>
        <w:trPr>
          <w:trHeight w:val="319" w:hRule="exact"/>
        </w:trPr>
        <w:tc>
          <w:tcPr>
            <w:tcW w:w="4899" w:type="dxa"/>
          </w:tcPr>
          <w:p>
            <w:pPr>
              <w:pStyle w:val="TableParagraph"/>
              <w:tabs>
                <w:tab w:pos="499" w:val="left" w:leader="none"/>
              </w:tabs>
              <w:spacing w:line="206" w:lineRule="exact"/>
              <w:ind w:left="139"/>
              <w:jc w:val="left"/>
              <w:rPr>
                <w:sz w:val="18"/>
              </w:rPr>
            </w:pPr>
            <w:r>
              <w:rPr>
                <w:sz w:val="18"/>
              </w:rPr>
              <w:t>5.</w:t>
              <w:tab/>
              <w:t>Huixquilucan</w:t>
            </w:r>
          </w:p>
        </w:tc>
        <w:tc>
          <w:tcPr>
            <w:tcW w:w="1829" w:type="dxa"/>
          </w:tcPr>
          <w:p>
            <w:pPr>
              <w:pStyle w:val="TableParagraph"/>
              <w:spacing w:line="206" w:lineRule="exact"/>
              <w:ind w:left="118" w:right="118"/>
              <w:rPr>
                <w:sz w:val="18"/>
              </w:rPr>
            </w:pPr>
            <w:r>
              <w:rPr>
                <w:sz w:val="18"/>
              </w:rPr>
              <w:t>3825</w:t>
            </w:r>
          </w:p>
        </w:tc>
      </w:tr>
      <w:tr>
        <w:trPr>
          <w:trHeight w:val="322" w:hRule="exact"/>
        </w:trPr>
        <w:tc>
          <w:tcPr>
            <w:tcW w:w="4899" w:type="dxa"/>
          </w:tcPr>
          <w:p>
            <w:pPr>
              <w:pStyle w:val="TableParagraph"/>
              <w:tabs>
                <w:tab w:pos="499" w:val="left" w:leader="none"/>
              </w:tabs>
              <w:spacing w:before="1"/>
              <w:ind w:left="139"/>
              <w:jc w:val="left"/>
              <w:rPr>
                <w:sz w:val="18"/>
              </w:rPr>
            </w:pPr>
            <w:r>
              <w:rPr>
                <w:sz w:val="18"/>
              </w:rPr>
              <w:t>6.</w:t>
              <w:tab/>
              <w:t>Nezahualcóyotl</w:t>
            </w:r>
          </w:p>
        </w:tc>
        <w:tc>
          <w:tcPr>
            <w:tcW w:w="1829" w:type="dxa"/>
          </w:tcPr>
          <w:p>
            <w:pPr>
              <w:pStyle w:val="TableParagraph"/>
              <w:spacing w:before="1"/>
              <w:ind w:left="118" w:right="118"/>
              <w:rPr>
                <w:sz w:val="18"/>
              </w:rPr>
            </w:pPr>
            <w:r>
              <w:rPr>
                <w:sz w:val="18"/>
              </w:rPr>
              <w:t>3738</w:t>
            </w:r>
          </w:p>
        </w:tc>
      </w:tr>
      <w:tr>
        <w:trPr>
          <w:trHeight w:val="322" w:hRule="exact"/>
        </w:trPr>
        <w:tc>
          <w:tcPr>
            <w:tcW w:w="4899" w:type="dxa"/>
          </w:tcPr>
          <w:p>
            <w:pPr>
              <w:pStyle w:val="TableParagraph"/>
              <w:tabs>
                <w:tab w:pos="499" w:val="left" w:leader="none"/>
              </w:tabs>
              <w:spacing w:line="206" w:lineRule="exact"/>
              <w:ind w:left="139"/>
              <w:jc w:val="left"/>
              <w:rPr>
                <w:sz w:val="18"/>
              </w:rPr>
            </w:pPr>
            <w:r>
              <w:rPr>
                <w:sz w:val="18"/>
              </w:rPr>
              <w:t>7.</w:t>
              <w:tab/>
              <w:t>Naucalpan de</w:t>
            </w:r>
            <w:r>
              <w:rPr>
                <w:spacing w:val="-8"/>
                <w:sz w:val="18"/>
              </w:rPr>
              <w:t> </w:t>
            </w:r>
            <w:r>
              <w:rPr>
                <w:sz w:val="18"/>
              </w:rPr>
              <w:t>Juárez</w:t>
            </w:r>
          </w:p>
        </w:tc>
        <w:tc>
          <w:tcPr>
            <w:tcW w:w="1829" w:type="dxa"/>
          </w:tcPr>
          <w:p>
            <w:pPr>
              <w:pStyle w:val="TableParagraph"/>
              <w:spacing w:line="206" w:lineRule="exact"/>
              <w:ind w:left="118" w:right="118"/>
              <w:rPr>
                <w:sz w:val="18"/>
              </w:rPr>
            </w:pPr>
            <w:r>
              <w:rPr>
                <w:sz w:val="18"/>
              </w:rPr>
              <w:t>2671</w:t>
            </w:r>
          </w:p>
        </w:tc>
      </w:tr>
      <w:tr>
        <w:trPr>
          <w:trHeight w:val="319" w:hRule="exact"/>
        </w:trPr>
        <w:tc>
          <w:tcPr>
            <w:tcW w:w="4899" w:type="dxa"/>
          </w:tcPr>
          <w:p>
            <w:pPr>
              <w:pStyle w:val="TableParagraph"/>
              <w:tabs>
                <w:tab w:pos="499" w:val="left" w:leader="none"/>
              </w:tabs>
              <w:spacing w:line="206" w:lineRule="exact"/>
              <w:ind w:left="139"/>
              <w:jc w:val="left"/>
              <w:rPr>
                <w:sz w:val="18"/>
              </w:rPr>
            </w:pPr>
            <w:r>
              <w:rPr>
                <w:sz w:val="18"/>
              </w:rPr>
              <w:t>8.</w:t>
              <w:tab/>
              <w:t>Atizapán de</w:t>
            </w:r>
            <w:r>
              <w:rPr>
                <w:spacing w:val="-10"/>
                <w:sz w:val="18"/>
              </w:rPr>
              <w:t> </w:t>
            </w:r>
            <w:r>
              <w:rPr>
                <w:sz w:val="18"/>
              </w:rPr>
              <w:t>Zaragoza</w:t>
            </w:r>
          </w:p>
        </w:tc>
        <w:tc>
          <w:tcPr>
            <w:tcW w:w="1829" w:type="dxa"/>
          </w:tcPr>
          <w:p>
            <w:pPr>
              <w:pStyle w:val="TableParagraph"/>
              <w:spacing w:line="206" w:lineRule="exact"/>
              <w:ind w:left="118" w:right="118"/>
              <w:rPr>
                <w:sz w:val="18"/>
              </w:rPr>
            </w:pPr>
            <w:r>
              <w:rPr>
                <w:sz w:val="18"/>
              </w:rPr>
              <w:t>2080</w:t>
            </w:r>
          </w:p>
        </w:tc>
      </w:tr>
      <w:tr>
        <w:trPr>
          <w:trHeight w:val="322" w:hRule="exact"/>
        </w:trPr>
        <w:tc>
          <w:tcPr>
            <w:tcW w:w="4899" w:type="dxa"/>
          </w:tcPr>
          <w:p>
            <w:pPr>
              <w:pStyle w:val="TableParagraph"/>
              <w:tabs>
                <w:tab w:pos="499" w:val="left" w:leader="none"/>
              </w:tabs>
              <w:spacing w:line="206" w:lineRule="exact"/>
              <w:ind w:left="139"/>
              <w:jc w:val="left"/>
              <w:rPr>
                <w:sz w:val="18"/>
              </w:rPr>
            </w:pPr>
            <w:r>
              <w:rPr>
                <w:sz w:val="18"/>
              </w:rPr>
              <w:t>9.</w:t>
              <w:tab/>
              <w:t>Texcoco</w:t>
            </w:r>
          </w:p>
        </w:tc>
        <w:tc>
          <w:tcPr>
            <w:tcW w:w="1829" w:type="dxa"/>
          </w:tcPr>
          <w:p>
            <w:pPr>
              <w:pStyle w:val="TableParagraph"/>
              <w:spacing w:line="206" w:lineRule="exact"/>
              <w:ind w:left="118" w:right="118"/>
              <w:rPr>
                <w:sz w:val="18"/>
              </w:rPr>
            </w:pPr>
            <w:r>
              <w:rPr>
                <w:sz w:val="18"/>
              </w:rPr>
              <w:t>1953</w:t>
            </w:r>
          </w:p>
        </w:tc>
      </w:tr>
      <w:tr>
        <w:trPr>
          <w:trHeight w:val="319" w:hRule="exact"/>
        </w:trPr>
        <w:tc>
          <w:tcPr>
            <w:tcW w:w="4899" w:type="dxa"/>
          </w:tcPr>
          <w:p>
            <w:pPr>
              <w:pStyle w:val="TableParagraph"/>
              <w:spacing w:line="206" w:lineRule="exact"/>
              <w:ind w:left="139"/>
              <w:jc w:val="left"/>
              <w:rPr>
                <w:sz w:val="18"/>
              </w:rPr>
            </w:pPr>
            <w:r>
              <w:rPr>
                <w:sz w:val="18"/>
              </w:rPr>
              <w:t>10.  Metepec</w:t>
            </w:r>
          </w:p>
        </w:tc>
        <w:tc>
          <w:tcPr>
            <w:tcW w:w="1829" w:type="dxa"/>
          </w:tcPr>
          <w:p>
            <w:pPr>
              <w:pStyle w:val="TableParagraph"/>
              <w:spacing w:line="206" w:lineRule="exact"/>
              <w:ind w:left="118" w:right="118"/>
              <w:rPr>
                <w:sz w:val="18"/>
              </w:rPr>
            </w:pPr>
            <w:r>
              <w:rPr>
                <w:sz w:val="18"/>
              </w:rPr>
              <w:t>1486</w:t>
            </w:r>
          </w:p>
        </w:tc>
      </w:tr>
      <w:tr>
        <w:trPr>
          <w:trHeight w:val="322" w:hRule="exact"/>
        </w:trPr>
        <w:tc>
          <w:tcPr>
            <w:tcW w:w="4899" w:type="dxa"/>
          </w:tcPr>
          <w:p>
            <w:pPr>
              <w:pStyle w:val="TableParagraph"/>
              <w:spacing w:line="207" w:lineRule="exact"/>
              <w:ind w:left="139"/>
              <w:jc w:val="left"/>
              <w:rPr>
                <w:sz w:val="18"/>
              </w:rPr>
            </w:pPr>
            <w:r>
              <w:rPr>
                <w:sz w:val="18"/>
              </w:rPr>
              <w:t>11.  Nicolás Romero</w:t>
            </w:r>
          </w:p>
        </w:tc>
        <w:tc>
          <w:tcPr>
            <w:tcW w:w="1829" w:type="dxa"/>
          </w:tcPr>
          <w:p>
            <w:pPr>
              <w:pStyle w:val="TableParagraph"/>
              <w:spacing w:line="207" w:lineRule="exact"/>
              <w:ind w:left="118" w:right="118"/>
              <w:rPr>
                <w:sz w:val="18"/>
              </w:rPr>
            </w:pPr>
            <w:r>
              <w:rPr>
                <w:sz w:val="18"/>
              </w:rPr>
              <w:t>1467</w:t>
            </w:r>
          </w:p>
        </w:tc>
      </w:tr>
      <w:tr>
        <w:trPr>
          <w:trHeight w:val="319" w:hRule="exact"/>
        </w:trPr>
        <w:tc>
          <w:tcPr>
            <w:tcW w:w="4899" w:type="dxa"/>
          </w:tcPr>
          <w:p>
            <w:pPr>
              <w:pStyle w:val="TableParagraph"/>
              <w:spacing w:line="206" w:lineRule="exact"/>
              <w:ind w:left="139"/>
              <w:jc w:val="left"/>
              <w:rPr>
                <w:sz w:val="18"/>
              </w:rPr>
            </w:pPr>
            <w:r>
              <w:rPr>
                <w:sz w:val="18"/>
              </w:rPr>
              <w:t>12.  Chalco</w:t>
            </w:r>
          </w:p>
        </w:tc>
        <w:tc>
          <w:tcPr>
            <w:tcW w:w="1829" w:type="dxa"/>
          </w:tcPr>
          <w:p>
            <w:pPr>
              <w:pStyle w:val="TableParagraph"/>
              <w:spacing w:line="206" w:lineRule="exact"/>
              <w:ind w:left="118" w:right="118"/>
              <w:rPr>
                <w:sz w:val="18"/>
              </w:rPr>
            </w:pPr>
            <w:r>
              <w:rPr>
                <w:sz w:val="18"/>
              </w:rPr>
              <w:t>1408</w:t>
            </w:r>
          </w:p>
        </w:tc>
      </w:tr>
    </w:tbl>
    <w:p>
      <w:pPr>
        <w:spacing w:line="180" w:lineRule="exact" w:before="0"/>
        <w:ind w:left="1318" w:right="6" w:firstLine="0"/>
        <w:jc w:val="left"/>
        <w:rPr>
          <w:sz w:val="16"/>
        </w:rPr>
      </w:pPr>
      <w:r>
        <w:rPr>
          <w:sz w:val="16"/>
        </w:rPr>
        <w:t>Fuente: Elaboración propia con datos del INFOEM.</w:t>
      </w:r>
    </w:p>
    <w:p>
      <w:pPr>
        <w:spacing w:after="0" w:line="180" w:lineRule="exact"/>
        <w:jc w:val="left"/>
        <w:rPr>
          <w:sz w:val="16"/>
        </w:rPr>
        <w:sectPr>
          <w:pgSz w:w="12240" w:h="15840"/>
          <w:pgMar w:header="0" w:footer="975" w:top="1420" w:bottom="1220" w:left="1500" w:right="1600"/>
        </w:sectPr>
      </w:pPr>
    </w:p>
    <w:p>
      <w:pPr>
        <w:pStyle w:val="BodyText"/>
        <w:spacing w:line="360" w:lineRule="auto" w:before="54"/>
        <w:ind w:left="128" w:right="116"/>
        <w:jc w:val="both"/>
      </w:pPr>
      <w:r>
        <w:rPr/>
        <w:t>Entre</w:t>
      </w:r>
      <w:r>
        <w:rPr>
          <w:spacing w:val="-11"/>
        </w:rPr>
        <w:t> </w:t>
      </w:r>
      <w:r>
        <w:rPr/>
        <w:t>estos</w:t>
      </w:r>
      <w:r>
        <w:rPr>
          <w:spacing w:val="-12"/>
        </w:rPr>
        <w:t> </w:t>
      </w:r>
      <w:r>
        <w:rPr/>
        <w:t>12</w:t>
      </w:r>
      <w:r>
        <w:rPr>
          <w:spacing w:val="-13"/>
        </w:rPr>
        <w:t> </w:t>
      </w:r>
      <w:r>
        <w:rPr/>
        <w:t>municipios</w:t>
      </w:r>
      <w:r>
        <w:rPr>
          <w:spacing w:val="-11"/>
        </w:rPr>
        <w:t> </w:t>
      </w:r>
      <w:r>
        <w:rPr/>
        <w:t>suman</w:t>
      </w:r>
      <w:r>
        <w:rPr>
          <w:spacing w:val="-11"/>
        </w:rPr>
        <w:t> </w:t>
      </w:r>
      <w:r>
        <w:rPr/>
        <w:t>un</w:t>
      </w:r>
      <w:r>
        <w:rPr>
          <w:spacing w:val="-11"/>
        </w:rPr>
        <w:t> </w:t>
      </w:r>
      <w:r>
        <w:rPr/>
        <w:t>total</w:t>
      </w:r>
      <w:r>
        <w:rPr>
          <w:spacing w:val="-12"/>
        </w:rPr>
        <w:t> </w:t>
      </w:r>
      <w:r>
        <w:rPr/>
        <w:t>de</w:t>
      </w:r>
      <w:r>
        <w:rPr>
          <w:spacing w:val="-11"/>
        </w:rPr>
        <w:t> </w:t>
      </w:r>
      <w:r>
        <w:rPr/>
        <w:t>37,071</w:t>
      </w:r>
      <w:r>
        <w:rPr>
          <w:spacing w:val="-11"/>
        </w:rPr>
        <w:t> </w:t>
      </w:r>
      <w:r>
        <w:rPr/>
        <w:t>solicitudes,</w:t>
      </w:r>
      <w:r>
        <w:rPr>
          <w:spacing w:val="-11"/>
        </w:rPr>
        <w:t> </w:t>
      </w:r>
      <w:r>
        <w:rPr/>
        <w:t>lo</w:t>
      </w:r>
      <w:r>
        <w:rPr>
          <w:spacing w:val="-11"/>
        </w:rPr>
        <w:t> </w:t>
      </w:r>
      <w:r>
        <w:rPr/>
        <w:t>que</w:t>
      </w:r>
      <w:r>
        <w:rPr>
          <w:spacing w:val="-11"/>
        </w:rPr>
        <w:t> </w:t>
      </w:r>
      <w:r>
        <w:rPr/>
        <w:t>representa</w:t>
      </w:r>
      <w:r>
        <w:rPr>
          <w:spacing w:val="-10"/>
        </w:rPr>
        <w:t> </w:t>
      </w:r>
      <w:r>
        <w:rPr/>
        <w:t>un 50.42%</w:t>
      </w:r>
      <w:r>
        <w:rPr>
          <w:spacing w:val="-7"/>
        </w:rPr>
        <w:t> </w:t>
      </w:r>
      <w:r>
        <w:rPr/>
        <w:t>de</w:t>
      </w:r>
      <w:r>
        <w:rPr>
          <w:spacing w:val="-6"/>
        </w:rPr>
        <w:t> </w:t>
      </w:r>
      <w:r>
        <w:rPr/>
        <w:t>total</w:t>
      </w:r>
      <w:r>
        <w:rPr>
          <w:spacing w:val="-7"/>
        </w:rPr>
        <w:t> </w:t>
      </w:r>
      <w:r>
        <w:rPr/>
        <w:t>de</w:t>
      </w:r>
      <w:r>
        <w:rPr>
          <w:spacing w:val="-6"/>
        </w:rPr>
        <w:t> </w:t>
      </w:r>
      <w:r>
        <w:rPr/>
        <w:t>solicitudes</w:t>
      </w:r>
      <w:r>
        <w:rPr>
          <w:spacing w:val="-7"/>
        </w:rPr>
        <w:t> </w:t>
      </w:r>
      <w:r>
        <w:rPr/>
        <w:t>recibidas</w:t>
      </w:r>
      <w:r>
        <w:rPr>
          <w:spacing w:val="-9"/>
        </w:rPr>
        <w:t> </w:t>
      </w:r>
      <w:r>
        <w:rPr/>
        <w:t>por</w:t>
      </w:r>
      <w:r>
        <w:rPr>
          <w:spacing w:val="-7"/>
        </w:rPr>
        <w:t> </w:t>
      </w:r>
      <w:r>
        <w:rPr/>
        <w:t>los</w:t>
      </w:r>
      <w:r>
        <w:rPr>
          <w:spacing w:val="-7"/>
        </w:rPr>
        <w:t> </w:t>
      </w:r>
      <w:r>
        <w:rPr/>
        <w:t>125</w:t>
      </w:r>
      <w:r>
        <w:rPr>
          <w:spacing w:val="-8"/>
        </w:rPr>
        <w:t> </w:t>
      </w:r>
      <w:r>
        <w:rPr/>
        <w:t>municipios</w:t>
      </w:r>
      <w:r>
        <w:rPr>
          <w:spacing w:val="-9"/>
        </w:rPr>
        <w:t> </w:t>
      </w:r>
      <w:r>
        <w:rPr/>
        <w:t>en</w:t>
      </w:r>
      <w:r>
        <w:rPr>
          <w:spacing w:val="-6"/>
        </w:rPr>
        <w:t> </w:t>
      </w:r>
      <w:r>
        <w:rPr/>
        <w:t>la</w:t>
      </w:r>
      <w:r>
        <w:rPr>
          <w:spacing w:val="-9"/>
        </w:rPr>
        <w:t> </w:t>
      </w:r>
      <w:r>
        <w:rPr/>
        <w:t>primera</w:t>
      </w:r>
      <w:r>
        <w:rPr>
          <w:spacing w:val="-8"/>
        </w:rPr>
        <w:t> </w:t>
      </w:r>
      <w:r>
        <w:rPr/>
        <w:t>década de implementación de la transparencia. En situación contraria, los municipios que menos solicitudes de información recibieron fueron los</w:t>
      </w:r>
      <w:r>
        <w:rPr>
          <w:spacing w:val="-19"/>
        </w:rPr>
        <w:t> </w:t>
      </w:r>
      <w:r>
        <w:rPr/>
        <w:t>siguientes:</w:t>
      </w:r>
    </w:p>
    <w:p>
      <w:pPr>
        <w:pStyle w:val="BodyText"/>
        <w:rPr>
          <w:sz w:val="20"/>
        </w:rPr>
      </w:pPr>
    </w:p>
    <w:p>
      <w:pPr>
        <w:pStyle w:val="BodyText"/>
        <w:rPr>
          <w:sz w:val="20"/>
        </w:rPr>
      </w:pPr>
    </w:p>
    <w:p>
      <w:pPr>
        <w:pStyle w:val="BodyText"/>
        <w:spacing w:before="3"/>
      </w:pPr>
    </w:p>
    <w:tbl>
      <w:tblPr>
        <w:tblW w:w="0" w:type="auto"/>
        <w:jc w:val="left"/>
        <w:tblInd w:w="10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252"/>
        <w:gridCol w:w="1829"/>
      </w:tblGrid>
      <w:tr>
        <w:trPr>
          <w:trHeight w:val="322" w:hRule="exact"/>
        </w:trPr>
        <w:tc>
          <w:tcPr>
            <w:tcW w:w="7082" w:type="dxa"/>
            <w:gridSpan w:val="2"/>
            <w:shd w:val="clear" w:color="auto" w:fill="92D050"/>
          </w:tcPr>
          <w:p>
            <w:pPr>
              <w:pStyle w:val="TableParagraph"/>
              <w:spacing w:line="201" w:lineRule="exact"/>
              <w:ind w:left="172"/>
              <w:jc w:val="left"/>
              <w:rPr>
                <w:b/>
                <w:sz w:val="18"/>
              </w:rPr>
            </w:pPr>
            <w:r>
              <w:rPr>
                <w:b/>
                <w:sz w:val="18"/>
              </w:rPr>
              <w:t>Tabla 3.6. Municipios con menos solicitudes recibidas en el periodo 2005-2015</w:t>
            </w:r>
          </w:p>
        </w:tc>
      </w:tr>
      <w:tr>
        <w:trPr>
          <w:trHeight w:val="319" w:hRule="exact"/>
        </w:trPr>
        <w:tc>
          <w:tcPr>
            <w:tcW w:w="5252" w:type="dxa"/>
            <w:shd w:val="clear" w:color="auto" w:fill="92D050"/>
          </w:tcPr>
          <w:p>
            <w:pPr>
              <w:pStyle w:val="TableParagraph"/>
              <w:spacing w:line="201" w:lineRule="exact"/>
              <w:ind w:left="2180" w:right="2181"/>
              <w:rPr>
                <w:b/>
                <w:sz w:val="18"/>
              </w:rPr>
            </w:pPr>
            <w:r>
              <w:rPr>
                <w:b/>
                <w:sz w:val="18"/>
              </w:rPr>
              <w:t>Municipio</w:t>
            </w:r>
          </w:p>
        </w:tc>
        <w:tc>
          <w:tcPr>
            <w:tcW w:w="1829" w:type="dxa"/>
            <w:shd w:val="clear" w:color="auto" w:fill="92D050"/>
          </w:tcPr>
          <w:p>
            <w:pPr>
              <w:pStyle w:val="TableParagraph"/>
              <w:spacing w:line="201" w:lineRule="exact"/>
              <w:ind w:left="116" w:right="119"/>
              <w:rPr>
                <w:b/>
                <w:sz w:val="18"/>
              </w:rPr>
            </w:pPr>
            <w:r>
              <w:rPr>
                <w:b/>
                <w:sz w:val="18"/>
              </w:rPr>
              <w:t>No. de solicitudes</w:t>
            </w:r>
          </w:p>
        </w:tc>
      </w:tr>
      <w:tr>
        <w:trPr>
          <w:trHeight w:val="322" w:hRule="exact"/>
        </w:trPr>
        <w:tc>
          <w:tcPr>
            <w:tcW w:w="5252" w:type="dxa"/>
          </w:tcPr>
          <w:p>
            <w:pPr>
              <w:pStyle w:val="TableParagraph"/>
              <w:tabs>
                <w:tab w:pos="499" w:val="left" w:leader="none"/>
              </w:tabs>
              <w:spacing w:line="206" w:lineRule="exact"/>
              <w:ind w:left="139"/>
              <w:jc w:val="left"/>
              <w:rPr>
                <w:sz w:val="18"/>
              </w:rPr>
            </w:pPr>
            <w:r>
              <w:rPr>
                <w:sz w:val="18"/>
              </w:rPr>
              <w:t>1.</w:t>
              <w:tab/>
              <w:t>Tequixquiac</w:t>
            </w:r>
          </w:p>
        </w:tc>
        <w:tc>
          <w:tcPr>
            <w:tcW w:w="1829" w:type="dxa"/>
          </w:tcPr>
          <w:p>
            <w:pPr>
              <w:pStyle w:val="TableParagraph"/>
              <w:spacing w:line="206" w:lineRule="exact"/>
              <w:ind w:left="116" w:right="119"/>
              <w:rPr>
                <w:sz w:val="18"/>
              </w:rPr>
            </w:pPr>
            <w:r>
              <w:rPr>
                <w:sz w:val="18"/>
              </w:rPr>
              <w:t>110</w:t>
            </w:r>
          </w:p>
        </w:tc>
      </w:tr>
      <w:tr>
        <w:trPr>
          <w:trHeight w:val="319" w:hRule="exact"/>
        </w:trPr>
        <w:tc>
          <w:tcPr>
            <w:tcW w:w="5252" w:type="dxa"/>
          </w:tcPr>
          <w:p>
            <w:pPr>
              <w:pStyle w:val="TableParagraph"/>
              <w:tabs>
                <w:tab w:pos="499" w:val="left" w:leader="none"/>
              </w:tabs>
              <w:spacing w:line="206" w:lineRule="exact"/>
              <w:ind w:left="139"/>
              <w:jc w:val="left"/>
              <w:rPr>
                <w:sz w:val="18"/>
              </w:rPr>
            </w:pPr>
            <w:r>
              <w:rPr>
                <w:sz w:val="18"/>
              </w:rPr>
              <w:t>2.</w:t>
              <w:tab/>
              <w:t>Timilpan</w:t>
            </w:r>
          </w:p>
        </w:tc>
        <w:tc>
          <w:tcPr>
            <w:tcW w:w="1829" w:type="dxa"/>
          </w:tcPr>
          <w:p>
            <w:pPr>
              <w:pStyle w:val="TableParagraph"/>
              <w:spacing w:line="206" w:lineRule="exact"/>
              <w:ind w:left="116" w:right="119"/>
              <w:rPr>
                <w:sz w:val="18"/>
              </w:rPr>
            </w:pPr>
            <w:r>
              <w:rPr>
                <w:sz w:val="18"/>
              </w:rPr>
              <w:t>107</w:t>
            </w:r>
          </w:p>
        </w:tc>
      </w:tr>
      <w:tr>
        <w:trPr>
          <w:trHeight w:val="322" w:hRule="exact"/>
        </w:trPr>
        <w:tc>
          <w:tcPr>
            <w:tcW w:w="5252" w:type="dxa"/>
          </w:tcPr>
          <w:p>
            <w:pPr>
              <w:pStyle w:val="TableParagraph"/>
              <w:tabs>
                <w:tab w:pos="499" w:val="left" w:leader="none"/>
              </w:tabs>
              <w:spacing w:line="207" w:lineRule="exact"/>
              <w:ind w:left="139"/>
              <w:jc w:val="left"/>
              <w:rPr>
                <w:sz w:val="18"/>
              </w:rPr>
            </w:pPr>
            <w:r>
              <w:rPr>
                <w:sz w:val="18"/>
              </w:rPr>
              <w:t>3.</w:t>
              <w:tab/>
              <w:t>Joquicingo</w:t>
            </w:r>
          </w:p>
        </w:tc>
        <w:tc>
          <w:tcPr>
            <w:tcW w:w="1829" w:type="dxa"/>
          </w:tcPr>
          <w:p>
            <w:pPr>
              <w:pStyle w:val="TableParagraph"/>
              <w:spacing w:line="207" w:lineRule="exact"/>
              <w:ind w:left="116" w:right="119"/>
              <w:rPr>
                <w:sz w:val="18"/>
              </w:rPr>
            </w:pPr>
            <w:r>
              <w:rPr>
                <w:sz w:val="18"/>
              </w:rPr>
              <w:t>105</w:t>
            </w:r>
          </w:p>
        </w:tc>
      </w:tr>
      <w:tr>
        <w:trPr>
          <w:trHeight w:val="319" w:hRule="exact"/>
        </w:trPr>
        <w:tc>
          <w:tcPr>
            <w:tcW w:w="5252" w:type="dxa"/>
          </w:tcPr>
          <w:p>
            <w:pPr>
              <w:pStyle w:val="TableParagraph"/>
              <w:tabs>
                <w:tab w:pos="499" w:val="left" w:leader="none"/>
              </w:tabs>
              <w:spacing w:line="206" w:lineRule="exact"/>
              <w:ind w:left="139"/>
              <w:jc w:val="left"/>
              <w:rPr>
                <w:sz w:val="18"/>
              </w:rPr>
            </w:pPr>
            <w:r>
              <w:rPr>
                <w:sz w:val="18"/>
              </w:rPr>
              <w:t>4.</w:t>
              <w:tab/>
              <w:t>Texcaltitlán</w:t>
            </w:r>
          </w:p>
        </w:tc>
        <w:tc>
          <w:tcPr>
            <w:tcW w:w="1829" w:type="dxa"/>
          </w:tcPr>
          <w:p>
            <w:pPr>
              <w:pStyle w:val="TableParagraph"/>
              <w:spacing w:line="206" w:lineRule="exact"/>
              <w:ind w:left="116" w:right="119"/>
              <w:rPr>
                <w:sz w:val="18"/>
              </w:rPr>
            </w:pPr>
            <w:r>
              <w:rPr>
                <w:sz w:val="18"/>
              </w:rPr>
              <w:t>104</w:t>
            </w:r>
          </w:p>
        </w:tc>
      </w:tr>
      <w:tr>
        <w:trPr>
          <w:trHeight w:val="322" w:hRule="exact"/>
        </w:trPr>
        <w:tc>
          <w:tcPr>
            <w:tcW w:w="5252" w:type="dxa"/>
          </w:tcPr>
          <w:p>
            <w:pPr>
              <w:pStyle w:val="TableParagraph"/>
              <w:tabs>
                <w:tab w:pos="499" w:val="left" w:leader="none"/>
              </w:tabs>
              <w:spacing w:before="1"/>
              <w:ind w:left="139"/>
              <w:jc w:val="left"/>
              <w:rPr>
                <w:sz w:val="18"/>
              </w:rPr>
            </w:pPr>
            <w:r>
              <w:rPr>
                <w:sz w:val="18"/>
              </w:rPr>
              <w:t>5.</w:t>
              <w:tab/>
              <w:t>Polotitlán</w:t>
            </w:r>
          </w:p>
        </w:tc>
        <w:tc>
          <w:tcPr>
            <w:tcW w:w="1829" w:type="dxa"/>
          </w:tcPr>
          <w:p>
            <w:pPr>
              <w:pStyle w:val="TableParagraph"/>
              <w:spacing w:before="1"/>
              <w:ind w:left="116" w:right="119"/>
              <w:rPr>
                <w:sz w:val="18"/>
              </w:rPr>
            </w:pPr>
            <w:r>
              <w:rPr>
                <w:sz w:val="18"/>
              </w:rPr>
              <w:t>103</w:t>
            </w:r>
          </w:p>
        </w:tc>
      </w:tr>
      <w:tr>
        <w:trPr>
          <w:trHeight w:val="319" w:hRule="exact"/>
        </w:trPr>
        <w:tc>
          <w:tcPr>
            <w:tcW w:w="5252" w:type="dxa"/>
          </w:tcPr>
          <w:p>
            <w:pPr>
              <w:pStyle w:val="TableParagraph"/>
              <w:tabs>
                <w:tab w:pos="499" w:val="left" w:leader="none"/>
              </w:tabs>
              <w:spacing w:line="206" w:lineRule="exact"/>
              <w:ind w:left="139"/>
              <w:jc w:val="left"/>
              <w:rPr>
                <w:sz w:val="18"/>
              </w:rPr>
            </w:pPr>
            <w:r>
              <w:rPr>
                <w:sz w:val="18"/>
              </w:rPr>
              <w:t>6.</w:t>
              <w:tab/>
              <w:t>Zumpahuacan</w:t>
            </w:r>
          </w:p>
        </w:tc>
        <w:tc>
          <w:tcPr>
            <w:tcW w:w="1829" w:type="dxa"/>
          </w:tcPr>
          <w:p>
            <w:pPr>
              <w:pStyle w:val="TableParagraph"/>
              <w:spacing w:line="206" w:lineRule="exact"/>
              <w:ind w:left="116" w:right="119"/>
              <w:rPr>
                <w:sz w:val="18"/>
              </w:rPr>
            </w:pPr>
            <w:r>
              <w:rPr>
                <w:sz w:val="18"/>
              </w:rPr>
              <w:t>102</w:t>
            </w:r>
          </w:p>
        </w:tc>
      </w:tr>
      <w:tr>
        <w:trPr>
          <w:trHeight w:val="322" w:hRule="exact"/>
        </w:trPr>
        <w:tc>
          <w:tcPr>
            <w:tcW w:w="5252" w:type="dxa"/>
          </w:tcPr>
          <w:p>
            <w:pPr>
              <w:pStyle w:val="TableParagraph"/>
              <w:tabs>
                <w:tab w:pos="499" w:val="left" w:leader="none"/>
              </w:tabs>
              <w:spacing w:before="1"/>
              <w:ind w:left="139"/>
              <w:jc w:val="left"/>
              <w:rPr>
                <w:sz w:val="18"/>
              </w:rPr>
            </w:pPr>
            <w:r>
              <w:rPr>
                <w:sz w:val="18"/>
              </w:rPr>
              <w:t>7.</w:t>
              <w:tab/>
              <w:t>Otzoloapan</w:t>
            </w:r>
          </w:p>
        </w:tc>
        <w:tc>
          <w:tcPr>
            <w:tcW w:w="1829" w:type="dxa"/>
          </w:tcPr>
          <w:p>
            <w:pPr>
              <w:pStyle w:val="TableParagraph"/>
              <w:spacing w:before="1"/>
              <w:ind w:left="116" w:right="119"/>
              <w:rPr>
                <w:sz w:val="18"/>
              </w:rPr>
            </w:pPr>
            <w:r>
              <w:rPr>
                <w:sz w:val="18"/>
              </w:rPr>
              <w:t>102</w:t>
            </w:r>
          </w:p>
        </w:tc>
      </w:tr>
      <w:tr>
        <w:trPr>
          <w:trHeight w:val="319" w:hRule="exact"/>
        </w:trPr>
        <w:tc>
          <w:tcPr>
            <w:tcW w:w="5252" w:type="dxa"/>
          </w:tcPr>
          <w:p>
            <w:pPr>
              <w:pStyle w:val="TableParagraph"/>
              <w:tabs>
                <w:tab w:pos="499" w:val="left" w:leader="none"/>
              </w:tabs>
              <w:spacing w:line="206" w:lineRule="exact"/>
              <w:ind w:left="139"/>
              <w:jc w:val="left"/>
              <w:rPr>
                <w:sz w:val="18"/>
              </w:rPr>
            </w:pPr>
            <w:r>
              <w:rPr>
                <w:sz w:val="18"/>
              </w:rPr>
              <w:t>8.</w:t>
              <w:tab/>
              <w:t>Soyaniquilpan de</w:t>
            </w:r>
            <w:r>
              <w:rPr>
                <w:spacing w:val="-10"/>
                <w:sz w:val="18"/>
              </w:rPr>
              <w:t> </w:t>
            </w:r>
            <w:r>
              <w:rPr>
                <w:sz w:val="18"/>
              </w:rPr>
              <w:t>Juárez</w:t>
            </w:r>
          </w:p>
        </w:tc>
        <w:tc>
          <w:tcPr>
            <w:tcW w:w="1829" w:type="dxa"/>
          </w:tcPr>
          <w:p>
            <w:pPr>
              <w:pStyle w:val="TableParagraph"/>
              <w:spacing w:line="206" w:lineRule="exact"/>
              <w:ind w:left="116" w:right="119"/>
              <w:rPr>
                <w:sz w:val="18"/>
              </w:rPr>
            </w:pPr>
            <w:r>
              <w:rPr>
                <w:sz w:val="18"/>
              </w:rPr>
              <w:t>81</w:t>
            </w:r>
          </w:p>
        </w:tc>
      </w:tr>
      <w:tr>
        <w:trPr>
          <w:trHeight w:val="322" w:hRule="exact"/>
        </w:trPr>
        <w:tc>
          <w:tcPr>
            <w:tcW w:w="5252" w:type="dxa"/>
          </w:tcPr>
          <w:p>
            <w:pPr>
              <w:pStyle w:val="TableParagraph"/>
              <w:tabs>
                <w:tab w:pos="499" w:val="left" w:leader="none"/>
              </w:tabs>
              <w:spacing w:before="1"/>
              <w:ind w:left="139"/>
              <w:jc w:val="left"/>
              <w:rPr>
                <w:sz w:val="18"/>
              </w:rPr>
            </w:pPr>
            <w:r>
              <w:rPr>
                <w:sz w:val="18"/>
              </w:rPr>
              <w:t>9.</w:t>
              <w:tab/>
              <w:t>San Simón de</w:t>
            </w:r>
            <w:r>
              <w:rPr>
                <w:spacing w:val="-7"/>
                <w:sz w:val="18"/>
              </w:rPr>
              <w:t> </w:t>
            </w:r>
            <w:r>
              <w:rPr>
                <w:sz w:val="18"/>
              </w:rPr>
              <w:t>Guerrero</w:t>
            </w:r>
          </w:p>
        </w:tc>
        <w:tc>
          <w:tcPr>
            <w:tcW w:w="1829" w:type="dxa"/>
          </w:tcPr>
          <w:p>
            <w:pPr>
              <w:pStyle w:val="TableParagraph"/>
              <w:spacing w:before="1"/>
              <w:ind w:left="116" w:right="119"/>
              <w:rPr>
                <w:sz w:val="18"/>
              </w:rPr>
            </w:pPr>
            <w:r>
              <w:rPr>
                <w:sz w:val="18"/>
              </w:rPr>
              <w:t>97</w:t>
            </w:r>
          </w:p>
        </w:tc>
      </w:tr>
    </w:tbl>
    <w:p>
      <w:pPr>
        <w:spacing w:line="180" w:lineRule="exact" w:before="0"/>
        <w:ind w:left="1162" w:right="26" w:firstLine="0"/>
        <w:jc w:val="left"/>
        <w:rPr>
          <w:sz w:val="16"/>
        </w:rPr>
      </w:pPr>
      <w:r>
        <w:rPr>
          <w:sz w:val="16"/>
        </w:rPr>
        <w:t>Fuente: Elaboración propia con datos del INFOEM.</w:t>
      </w:r>
    </w:p>
    <w:p>
      <w:pPr>
        <w:pStyle w:val="BodyText"/>
        <w:rPr>
          <w:sz w:val="20"/>
        </w:rPr>
      </w:pPr>
    </w:p>
    <w:p>
      <w:pPr>
        <w:pStyle w:val="BodyText"/>
        <w:rPr>
          <w:sz w:val="20"/>
        </w:rPr>
      </w:pPr>
    </w:p>
    <w:p>
      <w:pPr>
        <w:pStyle w:val="BodyText"/>
        <w:spacing w:line="360" w:lineRule="auto" w:before="207"/>
        <w:ind w:left="128" w:right="119"/>
        <w:jc w:val="both"/>
      </w:pPr>
      <w:r>
        <w:rPr/>
        <w:t>Entre estos nueve municipios solo alcanza el 1.2% del total de solicitudes recibidas por los municipios. Asimismo, estos municipios no superan las 110 en los primeros 10</w:t>
      </w:r>
      <w:r>
        <w:rPr>
          <w:spacing w:val="-18"/>
        </w:rPr>
        <w:t> </w:t>
      </w:r>
      <w:r>
        <w:rPr/>
        <w:t>años</w:t>
      </w:r>
      <w:r>
        <w:rPr>
          <w:spacing w:val="-19"/>
        </w:rPr>
        <w:t> </w:t>
      </w:r>
      <w:r>
        <w:rPr/>
        <w:t>de</w:t>
      </w:r>
      <w:r>
        <w:rPr>
          <w:spacing w:val="-18"/>
        </w:rPr>
        <w:t> </w:t>
      </w:r>
      <w:r>
        <w:rPr/>
        <w:t>la</w:t>
      </w:r>
      <w:r>
        <w:rPr>
          <w:spacing w:val="-18"/>
        </w:rPr>
        <w:t> </w:t>
      </w:r>
      <w:r>
        <w:rPr/>
        <w:t>práctica</w:t>
      </w:r>
      <w:r>
        <w:rPr>
          <w:spacing w:val="-21"/>
        </w:rPr>
        <w:t> </w:t>
      </w:r>
      <w:r>
        <w:rPr/>
        <w:t>de</w:t>
      </w:r>
      <w:r>
        <w:rPr>
          <w:spacing w:val="-16"/>
        </w:rPr>
        <w:t> </w:t>
      </w:r>
      <w:r>
        <w:rPr/>
        <w:t>la</w:t>
      </w:r>
      <w:r>
        <w:rPr>
          <w:spacing w:val="-18"/>
        </w:rPr>
        <w:t> </w:t>
      </w:r>
      <w:r>
        <w:rPr/>
        <w:t>transparencia.</w:t>
      </w:r>
      <w:r>
        <w:rPr>
          <w:spacing w:val="-18"/>
        </w:rPr>
        <w:t> </w:t>
      </w:r>
      <w:r>
        <w:rPr/>
        <w:t>Llama</w:t>
      </w:r>
      <w:r>
        <w:rPr>
          <w:spacing w:val="-16"/>
        </w:rPr>
        <w:t> </w:t>
      </w:r>
      <w:r>
        <w:rPr/>
        <w:t>la</w:t>
      </w:r>
      <w:r>
        <w:rPr>
          <w:spacing w:val="-16"/>
        </w:rPr>
        <w:t> </w:t>
      </w:r>
      <w:r>
        <w:rPr/>
        <w:t>atención</w:t>
      </w:r>
      <w:r>
        <w:rPr>
          <w:spacing w:val="-18"/>
        </w:rPr>
        <w:t> </w:t>
      </w:r>
      <w:r>
        <w:rPr/>
        <w:t>San</w:t>
      </w:r>
      <w:r>
        <w:rPr>
          <w:spacing w:val="-18"/>
        </w:rPr>
        <w:t> </w:t>
      </w:r>
      <w:r>
        <w:rPr/>
        <w:t>Simón</w:t>
      </w:r>
      <w:r>
        <w:rPr>
          <w:spacing w:val="-18"/>
        </w:rPr>
        <w:t> </w:t>
      </w:r>
      <w:r>
        <w:rPr/>
        <w:t>de</w:t>
      </w:r>
      <w:r>
        <w:rPr>
          <w:spacing w:val="-16"/>
        </w:rPr>
        <w:t> </w:t>
      </w:r>
      <w:r>
        <w:rPr/>
        <w:t>Guerrero, ya que de los 125 municipios es el que menos solicitudes de transparencia recibió durante el periodo</w:t>
      </w:r>
      <w:r>
        <w:rPr>
          <w:spacing w:val="-12"/>
        </w:rPr>
        <w:t> </w:t>
      </w:r>
      <w:r>
        <w:rPr/>
        <w:t>2005-2015.</w:t>
      </w:r>
    </w:p>
    <w:p>
      <w:pPr>
        <w:pStyle w:val="BodyText"/>
      </w:pPr>
    </w:p>
    <w:p>
      <w:pPr>
        <w:pStyle w:val="BodyText"/>
      </w:pPr>
    </w:p>
    <w:p>
      <w:pPr>
        <w:pStyle w:val="Heading1"/>
        <w:numPr>
          <w:ilvl w:val="2"/>
          <w:numId w:val="47"/>
        </w:numPr>
        <w:tabs>
          <w:tab w:pos="837" w:val="left" w:leader="none"/>
        </w:tabs>
        <w:spacing w:line="240" w:lineRule="auto" w:before="187" w:after="0"/>
        <w:ind w:left="836" w:right="0" w:hanging="720"/>
        <w:jc w:val="both"/>
      </w:pPr>
      <w:r>
        <w:rPr/>
        <w:t>Fracción V. Responsables de la unidad de</w:t>
      </w:r>
      <w:r>
        <w:rPr>
          <w:spacing w:val="-17"/>
        </w:rPr>
        <w:t> </w:t>
      </w:r>
      <w:r>
        <w:rPr/>
        <w:t>información</w:t>
      </w:r>
    </w:p>
    <w:p>
      <w:pPr>
        <w:pStyle w:val="BodyText"/>
        <w:rPr>
          <w:b/>
        </w:rPr>
      </w:pPr>
    </w:p>
    <w:p>
      <w:pPr>
        <w:pStyle w:val="BodyText"/>
        <w:rPr>
          <w:b/>
        </w:rPr>
      </w:pPr>
    </w:p>
    <w:p>
      <w:pPr>
        <w:pStyle w:val="BodyText"/>
        <w:spacing w:line="360" w:lineRule="auto"/>
        <w:ind w:left="128" w:right="120"/>
        <w:jc w:val="both"/>
      </w:pPr>
      <w:r>
        <w:rPr/>
        <w:t>En el año 2015, se puede mencionar que de los 125 responsables de la unidad de transparencia de los municipios se identificaron las siguientes características biográficas:</w:t>
      </w:r>
    </w:p>
    <w:p>
      <w:pPr>
        <w:pStyle w:val="BodyText"/>
      </w:pPr>
    </w:p>
    <w:p>
      <w:pPr>
        <w:pStyle w:val="ListParagraph"/>
        <w:numPr>
          <w:ilvl w:val="0"/>
          <w:numId w:val="51"/>
        </w:numPr>
        <w:tabs>
          <w:tab w:pos="555" w:val="left" w:leader="none"/>
          <w:tab w:pos="556" w:val="left" w:leader="none"/>
        </w:tabs>
        <w:spacing w:line="352" w:lineRule="auto" w:before="140" w:after="0"/>
        <w:ind w:left="555" w:right="120" w:hanging="360"/>
        <w:jc w:val="left"/>
        <w:rPr>
          <w:sz w:val="24"/>
        </w:rPr>
      </w:pPr>
      <w:r>
        <w:rPr>
          <w:sz w:val="24"/>
        </w:rPr>
        <w:t>De los 125 responsable de transparencia 38 eran mujeres, 85 hombres y 2 municipios no tenían</w:t>
      </w:r>
      <w:r>
        <w:rPr>
          <w:spacing w:val="-12"/>
          <w:sz w:val="24"/>
        </w:rPr>
        <w:t> </w:t>
      </w:r>
      <w:r>
        <w:rPr>
          <w:sz w:val="24"/>
        </w:rPr>
        <w:t>titular.</w:t>
      </w:r>
    </w:p>
    <w:p>
      <w:pPr>
        <w:spacing w:after="0" w:line="352" w:lineRule="auto"/>
        <w:jc w:val="left"/>
        <w:rPr>
          <w:sz w:val="24"/>
        </w:rPr>
        <w:sectPr>
          <w:pgSz w:w="12240" w:h="15840"/>
          <w:pgMar w:header="0" w:footer="975" w:top="1360" w:bottom="1220" w:left="1480" w:right="1580"/>
        </w:sectPr>
      </w:pPr>
    </w:p>
    <w:p>
      <w:pPr>
        <w:pStyle w:val="ListParagraph"/>
        <w:numPr>
          <w:ilvl w:val="0"/>
          <w:numId w:val="51"/>
        </w:numPr>
        <w:tabs>
          <w:tab w:pos="555" w:val="left" w:leader="none"/>
          <w:tab w:pos="556" w:val="left" w:leader="none"/>
        </w:tabs>
        <w:spacing w:line="352" w:lineRule="auto" w:before="34" w:after="0"/>
        <w:ind w:left="555" w:right="126" w:hanging="360"/>
        <w:jc w:val="left"/>
        <w:rPr>
          <w:sz w:val="24"/>
        </w:rPr>
      </w:pPr>
      <w:r>
        <w:rPr>
          <w:sz w:val="24"/>
        </w:rPr>
        <w:t>50 tenían estudios de licenciatura, 6 de maestría, 20 eran pasantes, 5 con formación técnica y 44 no reportaron grados</w:t>
      </w:r>
      <w:r>
        <w:rPr>
          <w:spacing w:val="-16"/>
          <w:sz w:val="24"/>
        </w:rPr>
        <w:t> </w:t>
      </w:r>
      <w:r>
        <w:rPr>
          <w:sz w:val="24"/>
        </w:rPr>
        <w:t>académicos.</w:t>
      </w:r>
    </w:p>
    <w:p>
      <w:pPr>
        <w:pStyle w:val="ListParagraph"/>
        <w:numPr>
          <w:ilvl w:val="0"/>
          <w:numId w:val="51"/>
        </w:numPr>
        <w:tabs>
          <w:tab w:pos="555" w:val="left" w:leader="none"/>
          <w:tab w:pos="556" w:val="left" w:leader="none"/>
        </w:tabs>
        <w:spacing w:line="350" w:lineRule="auto" w:before="11" w:after="0"/>
        <w:ind w:left="555" w:right="122" w:hanging="360"/>
        <w:jc w:val="left"/>
        <w:rPr>
          <w:sz w:val="24"/>
        </w:rPr>
      </w:pPr>
      <w:r>
        <w:rPr>
          <w:sz w:val="24"/>
        </w:rPr>
        <w:t>81 se dedican solo a las tareas relacionadas con la transparencia y 44, además de la transparencia desempeñan otras</w:t>
      </w:r>
      <w:r>
        <w:rPr>
          <w:spacing w:val="-16"/>
          <w:sz w:val="24"/>
        </w:rPr>
        <w:t> </w:t>
      </w:r>
      <w:r>
        <w:rPr>
          <w:sz w:val="24"/>
        </w:rPr>
        <w:t>funciones.</w:t>
      </w:r>
    </w:p>
    <w:p>
      <w:pPr>
        <w:pStyle w:val="BodyText"/>
      </w:pPr>
    </w:p>
    <w:p>
      <w:pPr>
        <w:pStyle w:val="BodyText"/>
        <w:spacing w:before="3"/>
        <w:rPr>
          <w:sz w:val="27"/>
        </w:rPr>
      </w:pPr>
    </w:p>
    <w:p>
      <w:pPr>
        <w:pStyle w:val="BodyText"/>
        <w:spacing w:line="360" w:lineRule="auto"/>
        <w:ind w:left="128" w:right="116"/>
        <w:jc w:val="both"/>
      </w:pPr>
      <w:r>
        <w:rPr/>
        <w:t>Un dato a considerar es que, dado que los responsables de la transparencia son designados por los presidentes municipales, a discreción de estos, en la gran mayoría no se cuenta con perfiles adecuados tales como el de biblioteconomista o Lic. en ciencias de la información documental, que pudieran poner orden a los archivos con los que cuenta el municipio. Esta situación dificulta el cumplimiento de la ley, ya que sin información no hay transparencia.</w:t>
      </w:r>
    </w:p>
    <w:p>
      <w:pPr>
        <w:pStyle w:val="BodyText"/>
      </w:pPr>
    </w:p>
    <w:p>
      <w:pPr>
        <w:pStyle w:val="BodyText"/>
      </w:pPr>
    </w:p>
    <w:p>
      <w:pPr>
        <w:pStyle w:val="Heading1"/>
        <w:numPr>
          <w:ilvl w:val="2"/>
          <w:numId w:val="47"/>
        </w:numPr>
        <w:tabs>
          <w:tab w:pos="837" w:val="left" w:leader="none"/>
        </w:tabs>
        <w:spacing w:line="240" w:lineRule="auto" w:before="187" w:after="0"/>
        <w:ind w:left="836" w:right="0" w:hanging="720"/>
        <w:jc w:val="both"/>
      </w:pPr>
      <w:r>
        <w:rPr/>
        <w:t>Acuerdos y</w:t>
      </w:r>
      <w:r>
        <w:rPr>
          <w:spacing w:val="-7"/>
        </w:rPr>
        <w:t> </w:t>
      </w:r>
      <w:r>
        <w:rPr/>
        <w:t>actas</w:t>
      </w:r>
    </w:p>
    <w:p>
      <w:pPr>
        <w:pStyle w:val="BodyText"/>
        <w:rPr>
          <w:b/>
        </w:rPr>
      </w:pPr>
    </w:p>
    <w:p>
      <w:pPr>
        <w:pStyle w:val="BodyText"/>
        <w:rPr>
          <w:b/>
        </w:rPr>
      </w:pPr>
    </w:p>
    <w:p>
      <w:pPr>
        <w:pStyle w:val="BodyText"/>
        <w:spacing w:line="360" w:lineRule="auto"/>
        <w:ind w:left="128" w:right="116"/>
        <w:jc w:val="both"/>
      </w:pPr>
      <w:r>
        <w:rPr/>
        <w:t>Es importante mencionar que las actas y acuerdos publicadas por los municipios se han venido dando incrementos considerables en los que se evidencia cada vez menos resistencia a publicar información que antes se consideraba confidencial.</w:t>
      </w:r>
    </w:p>
    <w:p>
      <w:pPr>
        <w:pStyle w:val="BodyText"/>
        <w:rPr>
          <w:sz w:val="20"/>
        </w:rPr>
      </w:pPr>
    </w:p>
    <w:p>
      <w:pPr>
        <w:pStyle w:val="BodyText"/>
        <w:spacing w:before="5" w:after="1"/>
        <w:rPr>
          <w:sz w:val="16"/>
        </w:rPr>
      </w:pPr>
    </w:p>
    <w:tbl>
      <w:tblPr>
        <w:tblW w:w="0" w:type="auto"/>
        <w:jc w:val="left"/>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28"/>
        <w:gridCol w:w="766"/>
        <w:gridCol w:w="715"/>
        <w:gridCol w:w="715"/>
        <w:gridCol w:w="713"/>
        <w:gridCol w:w="716"/>
        <w:gridCol w:w="713"/>
        <w:gridCol w:w="715"/>
        <w:gridCol w:w="713"/>
        <w:gridCol w:w="716"/>
        <w:gridCol w:w="713"/>
      </w:tblGrid>
      <w:tr>
        <w:trPr>
          <w:trHeight w:val="319" w:hRule="exact"/>
        </w:trPr>
        <w:tc>
          <w:tcPr>
            <w:tcW w:w="8922" w:type="dxa"/>
            <w:gridSpan w:val="11"/>
            <w:shd w:val="clear" w:color="auto" w:fill="92D050"/>
          </w:tcPr>
          <w:p>
            <w:pPr>
              <w:pStyle w:val="TableParagraph"/>
              <w:spacing w:line="201" w:lineRule="exact"/>
              <w:ind w:left="1163" w:right="56"/>
              <w:jc w:val="left"/>
              <w:rPr>
                <w:b/>
                <w:sz w:val="18"/>
              </w:rPr>
            </w:pPr>
            <w:r>
              <w:rPr>
                <w:b/>
                <w:sz w:val="18"/>
              </w:rPr>
              <w:t>Tabla 3.7. Municipios que publican sus actas y acuerdos (periodo 2008-2015)</w:t>
            </w:r>
          </w:p>
        </w:tc>
      </w:tr>
      <w:tr>
        <w:trPr>
          <w:trHeight w:val="322" w:hRule="exact"/>
        </w:trPr>
        <w:tc>
          <w:tcPr>
            <w:tcW w:w="1728" w:type="dxa"/>
            <w:shd w:val="clear" w:color="auto" w:fill="92D050"/>
          </w:tcPr>
          <w:p>
            <w:pPr>
              <w:pStyle w:val="TableParagraph"/>
              <w:spacing w:line="206" w:lineRule="exact"/>
              <w:ind w:left="248" w:right="248"/>
              <w:rPr>
                <w:sz w:val="18"/>
              </w:rPr>
            </w:pPr>
            <w:r>
              <w:rPr>
                <w:sz w:val="18"/>
              </w:rPr>
              <w:t>Año</w:t>
            </w:r>
          </w:p>
        </w:tc>
        <w:tc>
          <w:tcPr>
            <w:tcW w:w="766" w:type="dxa"/>
            <w:shd w:val="clear" w:color="auto" w:fill="92D050"/>
          </w:tcPr>
          <w:p>
            <w:pPr>
              <w:pStyle w:val="TableParagraph"/>
              <w:spacing w:line="206" w:lineRule="exact"/>
              <w:ind w:left="157" w:right="156"/>
              <w:rPr>
                <w:sz w:val="18"/>
              </w:rPr>
            </w:pPr>
            <w:r>
              <w:rPr>
                <w:sz w:val="18"/>
              </w:rPr>
              <w:t>2006</w:t>
            </w:r>
          </w:p>
        </w:tc>
        <w:tc>
          <w:tcPr>
            <w:tcW w:w="715" w:type="dxa"/>
            <w:shd w:val="clear" w:color="auto" w:fill="92D050"/>
          </w:tcPr>
          <w:p>
            <w:pPr>
              <w:pStyle w:val="TableParagraph"/>
              <w:spacing w:line="206" w:lineRule="exact"/>
              <w:ind w:left="132" w:right="132"/>
              <w:rPr>
                <w:sz w:val="18"/>
              </w:rPr>
            </w:pPr>
            <w:r>
              <w:rPr>
                <w:sz w:val="18"/>
              </w:rPr>
              <w:t>2007</w:t>
            </w:r>
          </w:p>
        </w:tc>
        <w:tc>
          <w:tcPr>
            <w:tcW w:w="715" w:type="dxa"/>
            <w:shd w:val="clear" w:color="auto" w:fill="92D050"/>
          </w:tcPr>
          <w:p>
            <w:pPr>
              <w:pStyle w:val="TableParagraph"/>
              <w:spacing w:line="206" w:lineRule="exact"/>
              <w:ind w:left="132" w:right="132"/>
              <w:rPr>
                <w:sz w:val="18"/>
              </w:rPr>
            </w:pPr>
            <w:r>
              <w:rPr>
                <w:sz w:val="18"/>
              </w:rPr>
              <w:t>2008</w:t>
            </w:r>
          </w:p>
        </w:tc>
        <w:tc>
          <w:tcPr>
            <w:tcW w:w="713" w:type="dxa"/>
            <w:shd w:val="clear" w:color="auto" w:fill="92D050"/>
          </w:tcPr>
          <w:p>
            <w:pPr>
              <w:pStyle w:val="TableParagraph"/>
              <w:spacing w:line="206" w:lineRule="exact"/>
              <w:ind w:left="132" w:right="130"/>
              <w:rPr>
                <w:sz w:val="18"/>
              </w:rPr>
            </w:pPr>
            <w:r>
              <w:rPr>
                <w:sz w:val="18"/>
              </w:rPr>
              <w:t>2009</w:t>
            </w:r>
          </w:p>
        </w:tc>
        <w:tc>
          <w:tcPr>
            <w:tcW w:w="716" w:type="dxa"/>
            <w:shd w:val="clear" w:color="auto" w:fill="92D050"/>
          </w:tcPr>
          <w:p>
            <w:pPr>
              <w:pStyle w:val="TableParagraph"/>
              <w:spacing w:line="206" w:lineRule="exact"/>
              <w:ind w:left="132" w:right="132"/>
              <w:rPr>
                <w:sz w:val="18"/>
              </w:rPr>
            </w:pPr>
            <w:r>
              <w:rPr>
                <w:sz w:val="18"/>
              </w:rPr>
              <w:t>2010</w:t>
            </w:r>
          </w:p>
        </w:tc>
        <w:tc>
          <w:tcPr>
            <w:tcW w:w="713" w:type="dxa"/>
            <w:shd w:val="clear" w:color="auto" w:fill="92D050"/>
          </w:tcPr>
          <w:p>
            <w:pPr>
              <w:pStyle w:val="TableParagraph"/>
              <w:spacing w:line="206" w:lineRule="exact"/>
              <w:ind w:left="132" w:right="130"/>
              <w:rPr>
                <w:sz w:val="18"/>
              </w:rPr>
            </w:pPr>
            <w:r>
              <w:rPr>
                <w:sz w:val="18"/>
              </w:rPr>
              <w:t>2011</w:t>
            </w:r>
          </w:p>
        </w:tc>
        <w:tc>
          <w:tcPr>
            <w:tcW w:w="715" w:type="dxa"/>
            <w:shd w:val="clear" w:color="auto" w:fill="92D050"/>
          </w:tcPr>
          <w:p>
            <w:pPr>
              <w:pStyle w:val="TableParagraph"/>
              <w:spacing w:line="206" w:lineRule="exact"/>
              <w:ind w:left="132" w:right="132"/>
              <w:rPr>
                <w:sz w:val="18"/>
              </w:rPr>
            </w:pPr>
            <w:r>
              <w:rPr>
                <w:sz w:val="18"/>
              </w:rPr>
              <w:t>2012</w:t>
            </w:r>
          </w:p>
        </w:tc>
        <w:tc>
          <w:tcPr>
            <w:tcW w:w="713" w:type="dxa"/>
            <w:shd w:val="clear" w:color="auto" w:fill="92D050"/>
          </w:tcPr>
          <w:p>
            <w:pPr>
              <w:pStyle w:val="TableParagraph"/>
              <w:spacing w:line="206" w:lineRule="exact"/>
              <w:ind w:left="132" w:right="130"/>
              <w:rPr>
                <w:sz w:val="18"/>
              </w:rPr>
            </w:pPr>
            <w:r>
              <w:rPr>
                <w:sz w:val="18"/>
              </w:rPr>
              <w:t>2013</w:t>
            </w:r>
          </w:p>
        </w:tc>
        <w:tc>
          <w:tcPr>
            <w:tcW w:w="716" w:type="dxa"/>
            <w:shd w:val="clear" w:color="auto" w:fill="92D050"/>
          </w:tcPr>
          <w:p>
            <w:pPr>
              <w:pStyle w:val="TableParagraph"/>
              <w:spacing w:line="206" w:lineRule="exact"/>
              <w:ind w:left="132" w:right="132"/>
              <w:rPr>
                <w:sz w:val="18"/>
              </w:rPr>
            </w:pPr>
            <w:r>
              <w:rPr>
                <w:sz w:val="18"/>
              </w:rPr>
              <w:t>2014</w:t>
            </w:r>
          </w:p>
        </w:tc>
        <w:tc>
          <w:tcPr>
            <w:tcW w:w="713" w:type="dxa"/>
            <w:shd w:val="clear" w:color="auto" w:fill="92D050"/>
          </w:tcPr>
          <w:p>
            <w:pPr>
              <w:pStyle w:val="TableParagraph"/>
              <w:spacing w:line="206" w:lineRule="exact"/>
              <w:ind w:left="132" w:right="130"/>
              <w:rPr>
                <w:sz w:val="18"/>
              </w:rPr>
            </w:pPr>
            <w:r>
              <w:rPr>
                <w:sz w:val="18"/>
              </w:rPr>
              <w:t>2015</w:t>
            </w:r>
          </w:p>
        </w:tc>
      </w:tr>
      <w:tr>
        <w:trPr>
          <w:trHeight w:val="319" w:hRule="exact"/>
        </w:trPr>
        <w:tc>
          <w:tcPr>
            <w:tcW w:w="1728" w:type="dxa"/>
            <w:shd w:val="clear" w:color="auto" w:fill="92D050"/>
          </w:tcPr>
          <w:p>
            <w:pPr>
              <w:pStyle w:val="TableParagraph"/>
              <w:spacing w:line="206" w:lineRule="exact"/>
              <w:ind w:left="248" w:right="248"/>
              <w:rPr>
                <w:sz w:val="18"/>
              </w:rPr>
            </w:pPr>
            <w:r>
              <w:rPr>
                <w:sz w:val="18"/>
              </w:rPr>
              <w:t>No. municipios</w:t>
            </w:r>
          </w:p>
        </w:tc>
        <w:tc>
          <w:tcPr>
            <w:tcW w:w="766" w:type="dxa"/>
            <w:tcBorders>
              <w:left w:val="single" w:sz="41" w:space="0" w:color="92D050"/>
            </w:tcBorders>
          </w:tcPr>
          <w:p>
            <w:pPr>
              <w:pStyle w:val="TableParagraph"/>
              <w:spacing w:line="206" w:lineRule="exact"/>
              <w:ind w:right="48"/>
              <w:rPr>
                <w:sz w:val="18"/>
              </w:rPr>
            </w:pPr>
            <w:r>
              <w:rPr>
                <w:w w:val="99"/>
                <w:sz w:val="18"/>
              </w:rPr>
              <w:t>0</w:t>
            </w:r>
          </w:p>
        </w:tc>
        <w:tc>
          <w:tcPr>
            <w:tcW w:w="715" w:type="dxa"/>
          </w:tcPr>
          <w:p>
            <w:pPr>
              <w:pStyle w:val="TableParagraph"/>
              <w:spacing w:line="206" w:lineRule="exact"/>
              <w:rPr>
                <w:sz w:val="18"/>
              </w:rPr>
            </w:pPr>
            <w:r>
              <w:rPr>
                <w:w w:val="99"/>
                <w:sz w:val="18"/>
              </w:rPr>
              <w:t>0</w:t>
            </w:r>
          </w:p>
        </w:tc>
        <w:tc>
          <w:tcPr>
            <w:tcW w:w="715" w:type="dxa"/>
          </w:tcPr>
          <w:p>
            <w:pPr>
              <w:pStyle w:val="TableParagraph"/>
              <w:spacing w:line="206" w:lineRule="exact"/>
              <w:ind w:right="3"/>
              <w:rPr>
                <w:sz w:val="18"/>
              </w:rPr>
            </w:pPr>
            <w:r>
              <w:rPr>
                <w:w w:val="99"/>
                <w:sz w:val="18"/>
              </w:rPr>
              <w:t>0</w:t>
            </w:r>
          </w:p>
        </w:tc>
        <w:tc>
          <w:tcPr>
            <w:tcW w:w="713" w:type="dxa"/>
          </w:tcPr>
          <w:p>
            <w:pPr>
              <w:pStyle w:val="TableParagraph"/>
              <w:spacing w:line="206" w:lineRule="exact"/>
              <w:ind w:right="1"/>
              <w:rPr>
                <w:sz w:val="18"/>
              </w:rPr>
            </w:pPr>
            <w:r>
              <w:rPr>
                <w:w w:val="99"/>
                <w:sz w:val="18"/>
              </w:rPr>
              <w:t>4</w:t>
            </w:r>
          </w:p>
        </w:tc>
        <w:tc>
          <w:tcPr>
            <w:tcW w:w="716" w:type="dxa"/>
          </w:tcPr>
          <w:p>
            <w:pPr>
              <w:pStyle w:val="TableParagraph"/>
              <w:spacing w:line="206" w:lineRule="exact"/>
              <w:ind w:right="3"/>
              <w:rPr>
                <w:sz w:val="18"/>
              </w:rPr>
            </w:pPr>
            <w:r>
              <w:rPr>
                <w:w w:val="99"/>
                <w:sz w:val="18"/>
              </w:rPr>
              <w:t>6</w:t>
            </w:r>
          </w:p>
        </w:tc>
        <w:tc>
          <w:tcPr>
            <w:tcW w:w="713" w:type="dxa"/>
          </w:tcPr>
          <w:p>
            <w:pPr>
              <w:pStyle w:val="TableParagraph"/>
              <w:spacing w:line="206" w:lineRule="exact"/>
              <w:ind w:left="132" w:right="130"/>
              <w:rPr>
                <w:sz w:val="18"/>
              </w:rPr>
            </w:pPr>
            <w:r>
              <w:rPr>
                <w:sz w:val="18"/>
              </w:rPr>
              <w:t>24</w:t>
            </w:r>
          </w:p>
        </w:tc>
        <w:tc>
          <w:tcPr>
            <w:tcW w:w="715" w:type="dxa"/>
          </w:tcPr>
          <w:p>
            <w:pPr>
              <w:pStyle w:val="TableParagraph"/>
              <w:spacing w:line="206" w:lineRule="exact"/>
              <w:ind w:left="132" w:right="132"/>
              <w:rPr>
                <w:sz w:val="18"/>
              </w:rPr>
            </w:pPr>
            <w:r>
              <w:rPr>
                <w:sz w:val="18"/>
              </w:rPr>
              <w:t>28</w:t>
            </w:r>
          </w:p>
        </w:tc>
        <w:tc>
          <w:tcPr>
            <w:tcW w:w="713" w:type="dxa"/>
          </w:tcPr>
          <w:p>
            <w:pPr>
              <w:pStyle w:val="TableParagraph"/>
              <w:spacing w:line="206" w:lineRule="exact"/>
              <w:ind w:left="132" w:right="130"/>
              <w:rPr>
                <w:sz w:val="18"/>
              </w:rPr>
            </w:pPr>
            <w:r>
              <w:rPr>
                <w:sz w:val="18"/>
              </w:rPr>
              <w:t>86</w:t>
            </w:r>
          </w:p>
        </w:tc>
        <w:tc>
          <w:tcPr>
            <w:tcW w:w="716" w:type="dxa"/>
          </w:tcPr>
          <w:p>
            <w:pPr>
              <w:pStyle w:val="TableParagraph"/>
              <w:spacing w:line="206" w:lineRule="exact"/>
              <w:ind w:left="132" w:right="132"/>
              <w:rPr>
                <w:sz w:val="18"/>
              </w:rPr>
            </w:pPr>
            <w:r>
              <w:rPr>
                <w:sz w:val="18"/>
              </w:rPr>
              <w:t>70</w:t>
            </w:r>
          </w:p>
        </w:tc>
        <w:tc>
          <w:tcPr>
            <w:tcW w:w="713" w:type="dxa"/>
          </w:tcPr>
          <w:p>
            <w:pPr>
              <w:pStyle w:val="TableParagraph"/>
              <w:spacing w:line="206" w:lineRule="exact"/>
              <w:ind w:left="132" w:right="130"/>
              <w:rPr>
                <w:sz w:val="18"/>
              </w:rPr>
            </w:pPr>
            <w:r>
              <w:rPr>
                <w:sz w:val="18"/>
              </w:rPr>
              <w:t>58</w:t>
            </w:r>
          </w:p>
        </w:tc>
      </w:tr>
    </w:tbl>
    <w:p>
      <w:pPr>
        <w:spacing w:line="180" w:lineRule="exact" w:before="0"/>
        <w:ind w:left="241" w:right="26" w:firstLine="0"/>
        <w:jc w:val="left"/>
        <w:rPr>
          <w:sz w:val="16"/>
        </w:rPr>
      </w:pPr>
      <w:r>
        <w:rPr>
          <w:sz w:val="16"/>
        </w:rPr>
        <w:t>Fuente: Elaboración propia con datos del INFOEM.</w:t>
      </w:r>
    </w:p>
    <w:p>
      <w:pPr>
        <w:pStyle w:val="BodyText"/>
        <w:rPr>
          <w:sz w:val="20"/>
        </w:rPr>
      </w:pPr>
    </w:p>
    <w:p>
      <w:pPr>
        <w:pStyle w:val="BodyText"/>
        <w:rPr>
          <w:sz w:val="20"/>
        </w:rPr>
      </w:pPr>
    </w:p>
    <w:p>
      <w:pPr>
        <w:pStyle w:val="BodyText"/>
        <w:spacing w:before="11"/>
        <w:rPr>
          <w:sz w:val="25"/>
        </w:rPr>
      </w:pPr>
    </w:p>
    <w:p>
      <w:pPr>
        <w:pStyle w:val="BodyText"/>
        <w:spacing w:line="360" w:lineRule="auto" w:before="69"/>
        <w:ind w:left="128" w:right="118"/>
        <w:jc w:val="both"/>
      </w:pPr>
      <w:r>
        <w:rPr/>
        <w:t>Dentro de las actas y acuerdos que consideran los municipios en el portal de transparencia se encuentran las siguientes: Actas de cabildo (50%), comisión de honor y justicia del desarrollo (2%), comisión municipal de mejora regulatoria (2%), Comité Comunitario de Participación de Parques y Jardines (1%), Comité de Actualización y/o Reforma y Presentación del Bando Municipal (1%), Comité de Actualización y/o Reforma y Presentación del Reglamento de Sesiones de Cabildo (1%).</w:t>
      </w:r>
    </w:p>
    <w:p>
      <w:pPr>
        <w:spacing w:after="0" w:line="360" w:lineRule="auto"/>
        <w:jc w:val="both"/>
        <w:sectPr>
          <w:pgSz w:w="12240" w:h="15840"/>
          <w:pgMar w:header="0" w:footer="975" w:top="1380" w:bottom="1220" w:left="1480" w:right="1580"/>
        </w:sectPr>
      </w:pPr>
    </w:p>
    <w:p>
      <w:pPr>
        <w:pStyle w:val="BodyText"/>
        <w:spacing w:line="360" w:lineRule="auto" w:before="54"/>
        <w:ind w:left="108" w:right="116"/>
        <w:jc w:val="both"/>
      </w:pPr>
      <w:r>
        <w:rPr/>
        <w:t>Sobre los comités de adquisiciones los municipios que publican actas son: Comité de Adquisiciones de SAPASA (15%), Comité de operaciones OPERAGUA (30%), Comité de Adquisiciones y Servicios del SMDIF (25%), Comité de Adquisiciones, Arrendamientos y Servicios O.D.A.P.A.S. (10%), Comité de Arrendamientos, Adquisiciones de Inmuebles y Enajenaciones del SMDIF (10%), SAPASA (8%), IMCUFIDECHA (1%), Comité de Bienes Muebles e Inmuebles (1%).</w:t>
      </w:r>
    </w:p>
    <w:p>
      <w:pPr>
        <w:pStyle w:val="BodyText"/>
      </w:pPr>
    </w:p>
    <w:p>
      <w:pPr>
        <w:pStyle w:val="BodyText"/>
      </w:pPr>
    </w:p>
    <w:p>
      <w:pPr>
        <w:pStyle w:val="BodyText"/>
        <w:spacing w:line="360" w:lineRule="auto" w:before="185"/>
        <w:ind w:left="108" w:right="116"/>
        <w:jc w:val="both"/>
      </w:pPr>
      <w:r>
        <w:rPr/>
        <w:t>En tanto que los comités de las diferentes dependencias: SMDIF (1%), Comité de información</w:t>
      </w:r>
      <w:r>
        <w:rPr>
          <w:spacing w:val="-13"/>
        </w:rPr>
        <w:t> </w:t>
      </w:r>
      <w:r>
        <w:rPr/>
        <w:t>(15%),</w:t>
      </w:r>
      <w:r>
        <w:rPr>
          <w:spacing w:val="-14"/>
        </w:rPr>
        <w:t> </w:t>
      </w:r>
      <w:r>
        <w:rPr/>
        <w:t>Comité</w:t>
      </w:r>
      <w:r>
        <w:rPr>
          <w:spacing w:val="-13"/>
        </w:rPr>
        <w:t> </w:t>
      </w:r>
      <w:r>
        <w:rPr/>
        <w:t>de</w:t>
      </w:r>
      <w:r>
        <w:rPr>
          <w:spacing w:val="-13"/>
        </w:rPr>
        <w:t> </w:t>
      </w:r>
      <w:r>
        <w:rPr/>
        <w:t>Obra</w:t>
      </w:r>
      <w:r>
        <w:rPr>
          <w:spacing w:val="-11"/>
        </w:rPr>
        <w:t> </w:t>
      </w:r>
      <w:r>
        <w:rPr/>
        <w:t>Pública</w:t>
      </w:r>
      <w:r>
        <w:rPr>
          <w:spacing w:val="-13"/>
        </w:rPr>
        <w:t> </w:t>
      </w:r>
      <w:r>
        <w:rPr/>
        <w:t>de</w:t>
      </w:r>
      <w:r>
        <w:rPr>
          <w:spacing w:val="-11"/>
        </w:rPr>
        <w:t> </w:t>
      </w:r>
      <w:r>
        <w:rPr/>
        <w:t>SAPASA</w:t>
      </w:r>
      <w:r>
        <w:rPr>
          <w:spacing w:val="-11"/>
        </w:rPr>
        <w:t> </w:t>
      </w:r>
      <w:r>
        <w:rPr/>
        <w:t>(1%),</w:t>
      </w:r>
      <w:r>
        <w:rPr>
          <w:spacing w:val="-10"/>
        </w:rPr>
        <w:t> </w:t>
      </w:r>
      <w:r>
        <w:rPr/>
        <w:t>Comité</w:t>
      </w:r>
      <w:r>
        <w:rPr>
          <w:spacing w:val="-11"/>
        </w:rPr>
        <w:t> </w:t>
      </w:r>
      <w:r>
        <w:rPr/>
        <w:t>de</w:t>
      </w:r>
      <w:r>
        <w:rPr>
          <w:spacing w:val="-13"/>
        </w:rPr>
        <w:t> </w:t>
      </w:r>
      <w:r>
        <w:rPr/>
        <w:t>Planeación para el Desarrollo Municipal (COPLADEMUN) (2%), Comité para la prevención y control</w:t>
      </w:r>
      <w:r>
        <w:rPr>
          <w:spacing w:val="-14"/>
        </w:rPr>
        <w:t> </w:t>
      </w:r>
      <w:r>
        <w:rPr/>
        <w:t>del</w:t>
      </w:r>
      <w:r>
        <w:rPr>
          <w:spacing w:val="-12"/>
        </w:rPr>
        <w:t> </w:t>
      </w:r>
      <w:r>
        <w:rPr/>
        <w:t>crecimiento</w:t>
      </w:r>
      <w:r>
        <w:rPr>
          <w:spacing w:val="-13"/>
        </w:rPr>
        <w:t> </w:t>
      </w:r>
      <w:r>
        <w:rPr/>
        <w:t>urbano</w:t>
      </w:r>
      <w:r>
        <w:rPr>
          <w:spacing w:val="-11"/>
        </w:rPr>
        <w:t> </w:t>
      </w:r>
      <w:r>
        <w:rPr/>
        <w:t>(5%),</w:t>
      </w:r>
      <w:r>
        <w:rPr>
          <w:spacing w:val="-11"/>
        </w:rPr>
        <w:t> </w:t>
      </w:r>
      <w:r>
        <w:rPr/>
        <w:t>Comité</w:t>
      </w:r>
      <w:r>
        <w:rPr>
          <w:spacing w:val="-11"/>
        </w:rPr>
        <w:t> </w:t>
      </w:r>
      <w:r>
        <w:rPr/>
        <w:t>de</w:t>
      </w:r>
      <w:r>
        <w:rPr>
          <w:spacing w:val="-13"/>
        </w:rPr>
        <w:t> </w:t>
      </w:r>
      <w:r>
        <w:rPr/>
        <w:t>Transparencia</w:t>
      </w:r>
      <w:r>
        <w:rPr>
          <w:spacing w:val="-13"/>
        </w:rPr>
        <w:t> </w:t>
      </w:r>
      <w:r>
        <w:rPr/>
        <w:t>(30%),</w:t>
      </w:r>
      <w:r>
        <w:rPr>
          <w:spacing w:val="-11"/>
        </w:rPr>
        <w:t> </w:t>
      </w:r>
      <w:r>
        <w:rPr/>
        <w:t>Comité</w:t>
      </w:r>
      <w:r>
        <w:rPr>
          <w:spacing w:val="-11"/>
        </w:rPr>
        <w:t> </w:t>
      </w:r>
      <w:r>
        <w:rPr/>
        <w:t>Interno de Mejora Regulatoria del IMCUFIDE (1%), Comité Interno de Mejora Regulatoria O.P.D.A.P.A.S. (2%), Comité Interno de Obra Pública (4%), Comité Municipal de Salud (1%), Comité Municipal para la protección de riesgos sanitarios (1%), Comité Técnico</w:t>
      </w:r>
      <w:r>
        <w:rPr>
          <w:spacing w:val="-14"/>
        </w:rPr>
        <w:t> </w:t>
      </w:r>
      <w:r>
        <w:rPr/>
        <w:t>del</w:t>
      </w:r>
      <w:r>
        <w:rPr>
          <w:spacing w:val="-15"/>
        </w:rPr>
        <w:t> </w:t>
      </w:r>
      <w:r>
        <w:rPr/>
        <w:t>Sistema</w:t>
      </w:r>
      <w:r>
        <w:rPr>
          <w:spacing w:val="-14"/>
        </w:rPr>
        <w:t> </w:t>
      </w:r>
      <w:r>
        <w:rPr/>
        <w:t>Municipal</w:t>
      </w:r>
      <w:r>
        <w:rPr>
          <w:spacing w:val="-15"/>
        </w:rPr>
        <w:t> </w:t>
      </w:r>
      <w:r>
        <w:rPr/>
        <w:t>de</w:t>
      </w:r>
      <w:r>
        <w:rPr>
          <w:spacing w:val="-14"/>
        </w:rPr>
        <w:t> </w:t>
      </w:r>
      <w:r>
        <w:rPr/>
        <w:t>Microcréditos</w:t>
      </w:r>
      <w:r>
        <w:rPr>
          <w:spacing w:val="-15"/>
        </w:rPr>
        <w:t> </w:t>
      </w:r>
      <w:r>
        <w:rPr/>
        <w:t>(8%),</w:t>
      </w:r>
      <w:r>
        <w:rPr>
          <w:spacing w:val="-11"/>
        </w:rPr>
        <w:t> </w:t>
      </w:r>
      <w:r>
        <w:rPr/>
        <w:t>Consejo</w:t>
      </w:r>
      <w:r>
        <w:rPr>
          <w:spacing w:val="-16"/>
        </w:rPr>
        <w:t> </w:t>
      </w:r>
      <w:r>
        <w:rPr/>
        <w:t>de</w:t>
      </w:r>
      <w:r>
        <w:rPr>
          <w:spacing w:val="-14"/>
        </w:rPr>
        <w:t> </w:t>
      </w:r>
      <w:r>
        <w:rPr/>
        <w:t>Asuntos</w:t>
      </w:r>
      <w:r>
        <w:rPr>
          <w:spacing w:val="-16"/>
        </w:rPr>
        <w:t> </w:t>
      </w:r>
      <w:r>
        <w:rPr/>
        <w:t>Indígenas y</w:t>
      </w:r>
      <w:r>
        <w:rPr>
          <w:spacing w:val="-12"/>
        </w:rPr>
        <w:t> </w:t>
      </w:r>
      <w:r>
        <w:rPr/>
        <w:t>del</w:t>
      </w:r>
      <w:r>
        <w:rPr>
          <w:spacing w:val="-10"/>
        </w:rPr>
        <w:t> </w:t>
      </w:r>
      <w:r>
        <w:rPr/>
        <w:t>Migrante</w:t>
      </w:r>
      <w:r>
        <w:rPr>
          <w:spacing w:val="-9"/>
        </w:rPr>
        <w:t> </w:t>
      </w:r>
      <w:r>
        <w:rPr/>
        <w:t>(2%),</w:t>
      </w:r>
      <w:r>
        <w:rPr>
          <w:spacing w:val="-11"/>
        </w:rPr>
        <w:t> </w:t>
      </w:r>
      <w:r>
        <w:rPr/>
        <w:t>Consejo</w:t>
      </w:r>
      <w:r>
        <w:rPr>
          <w:spacing w:val="-11"/>
        </w:rPr>
        <w:t> </w:t>
      </w:r>
      <w:r>
        <w:rPr/>
        <w:t>de</w:t>
      </w:r>
      <w:r>
        <w:rPr>
          <w:spacing w:val="-9"/>
        </w:rPr>
        <w:t> </w:t>
      </w:r>
      <w:r>
        <w:rPr/>
        <w:t>Participación</w:t>
      </w:r>
      <w:r>
        <w:rPr>
          <w:spacing w:val="-9"/>
        </w:rPr>
        <w:t> </w:t>
      </w:r>
      <w:r>
        <w:rPr/>
        <w:t>Ciudadana</w:t>
      </w:r>
      <w:r>
        <w:rPr>
          <w:spacing w:val="-11"/>
        </w:rPr>
        <w:t> </w:t>
      </w:r>
      <w:r>
        <w:rPr/>
        <w:t>(2%),</w:t>
      </w:r>
      <w:r>
        <w:rPr>
          <w:spacing w:val="-6"/>
        </w:rPr>
        <w:t> </w:t>
      </w:r>
      <w:r>
        <w:rPr/>
        <w:t>Consejo</w:t>
      </w:r>
      <w:r>
        <w:rPr>
          <w:spacing w:val="-9"/>
        </w:rPr>
        <w:t> </w:t>
      </w:r>
      <w:r>
        <w:rPr/>
        <w:t>Directivo</w:t>
      </w:r>
      <w:r>
        <w:rPr>
          <w:spacing w:val="-11"/>
        </w:rPr>
        <w:t> </w:t>
      </w:r>
      <w:r>
        <w:rPr/>
        <w:t>de SAPASA</w:t>
      </w:r>
      <w:r>
        <w:rPr>
          <w:spacing w:val="-13"/>
        </w:rPr>
        <w:t> </w:t>
      </w:r>
      <w:r>
        <w:rPr/>
        <w:t>(7%),</w:t>
      </w:r>
      <w:r>
        <w:rPr>
          <w:spacing w:val="-14"/>
        </w:rPr>
        <w:t> </w:t>
      </w:r>
      <w:r>
        <w:rPr/>
        <w:t>Consejo</w:t>
      </w:r>
      <w:r>
        <w:rPr>
          <w:spacing w:val="-13"/>
        </w:rPr>
        <w:t> </w:t>
      </w:r>
      <w:r>
        <w:rPr/>
        <w:t>Directivo</w:t>
      </w:r>
      <w:r>
        <w:rPr>
          <w:spacing w:val="-13"/>
        </w:rPr>
        <w:t> </w:t>
      </w:r>
      <w:r>
        <w:rPr/>
        <w:t>del</w:t>
      </w:r>
      <w:r>
        <w:rPr>
          <w:spacing w:val="-14"/>
        </w:rPr>
        <w:t> </w:t>
      </w:r>
      <w:r>
        <w:rPr/>
        <w:t>OPDAPAS</w:t>
      </w:r>
      <w:r>
        <w:rPr>
          <w:spacing w:val="-13"/>
        </w:rPr>
        <w:t> </w:t>
      </w:r>
      <w:r>
        <w:rPr/>
        <w:t>(8%),</w:t>
      </w:r>
      <w:r>
        <w:rPr>
          <w:spacing w:val="-14"/>
        </w:rPr>
        <w:t> </w:t>
      </w:r>
      <w:r>
        <w:rPr/>
        <w:t>Consejo</w:t>
      </w:r>
      <w:r>
        <w:rPr>
          <w:spacing w:val="-13"/>
        </w:rPr>
        <w:t> </w:t>
      </w:r>
      <w:r>
        <w:rPr/>
        <w:t>Directivo</w:t>
      </w:r>
      <w:r>
        <w:rPr>
          <w:spacing w:val="-13"/>
        </w:rPr>
        <w:t> </w:t>
      </w:r>
      <w:r>
        <w:rPr/>
        <w:t>MAVI</w:t>
      </w:r>
      <w:r>
        <w:rPr>
          <w:spacing w:val="-13"/>
        </w:rPr>
        <w:t> </w:t>
      </w:r>
      <w:r>
        <w:rPr/>
        <w:t>(3%), Consejo</w:t>
      </w:r>
      <w:r>
        <w:rPr>
          <w:spacing w:val="-6"/>
        </w:rPr>
        <w:t> </w:t>
      </w:r>
      <w:r>
        <w:rPr/>
        <w:t>Directivo</w:t>
      </w:r>
      <w:r>
        <w:rPr>
          <w:spacing w:val="-3"/>
        </w:rPr>
        <w:t> </w:t>
      </w:r>
      <w:r>
        <w:rPr/>
        <w:t>OPERAGUA</w:t>
      </w:r>
      <w:r>
        <w:rPr>
          <w:spacing w:val="-4"/>
        </w:rPr>
        <w:t> </w:t>
      </w:r>
      <w:r>
        <w:rPr/>
        <w:t>(6%),</w:t>
      </w:r>
      <w:r>
        <w:rPr>
          <w:spacing w:val="-7"/>
        </w:rPr>
        <w:t> </w:t>
      </w:r>
      <w:r>
        <w:rPr/>
        <w:t>Consejo</w:t>
      </w:r>
      <w:r>
        <w:rPr>
          <w:spacing w:val="-6"/>
        </w:rPr>
        <w:t> </w:t>
      </w:r>
      <w:r>
        <w:rPr/>
        <w:t>Municipal</w:t>
      </w:r>
      <w:r>
        <w:rPr>
          <w:spacing w:val="-7"/>
        </w:rPr>
        <w:t> </w:t>
      </w:r>
      <w:r>
        <w:rPr/>
        <w:t>de</w:t>
      </w:r>
      <w:r>
        <w:rPr>
          <w:spacing w:val="-6"/>
        </w:rPr>
        <w:t> </w:t>
      </w:r>
      <w:r>
        <w:rPr/>
        <w:t>Cultura</w:t>
      </w:r>
      <w:r>
        <w:rPr>
          <w:spacing w:val="-4"/>
        </w:rPr>
        <w:t> </w:t>
      </w:r>
      <w:r>
        <w:rPr/>
        <w:t>Física</w:t>
      </w:r>
      <w:r>
        <w:rPr>
          <w:spacing w:val="-4"/>
        </w:rPr>
        <w:t> </w:t>
      </w:r>
      <w:r>
        <w:rPr/>
        <w:t>y</w:t>
      </w:r>
      <w:r>
        <w:rPr>
          <w:spacing w:val="-7"/>
        </w:rPr>
        <w:t> </w:t>
      </w:r>
      <w:r>
        <w:rPr/>
        <w:t>Deporte (7%).</w:t>
      </w:r>
    </w:p>
    <w:p>
      <w:pPr>
        <w:pStyle w:val="BodyText"/>
      </w:pPr>
    </w:p>
    <w:p>
      <w:pPr>
        <w:pStyle w:val="BodyText"/>
      </w:pPr>
    </w:p>
    <w:p>
      <w:pPr>
        <w:pStyle w:val="BodyText"/>
        <w:spacing w:line="360" w:lineRule="auto" w:before="187"/>
        <w:ind w:left="108" w:right="118"/>
        <w:jc w:val="both"/>
      </w:pPr>
      <w:r>
        <w:rPr/>
        <w:t>Sobre los consejos de participación ciudadana que publican sus actas están los siguientes: Consejo Municipal de la Juventud (4%), Consejo Municipal de Participación Social en la Educación (2%), Consejo Municipal de Población (1%), Consejo Municipal de Seguridad Pública (5%), Contraloría Municipal (18%), Desarrollo</w:t>
      </w:r>
      <w:r>
        <w:rPr>
          <w:spacing w:val="-17"/>
        </w:rPr>
        <w:t> </w:t>
      </w:r>
      <w:r>
        <w:rPr/>
        <w:t>económico</w:t>
      </w:r>
      <w:r>
        <w:rPr>
          <w:spacing w:val="-17"/>
        </w:rPr>
        <w:t> </w:t>
      </w:r>
      <w:r>
        <w:rPr/>
        <w:t>(2%),</w:t>
      </w:r>
      <w:r>
        <w:rPr>
          <w:spacing w:val="-17"/>
        </w:rPr>
        <w:t> </w:t>
      </w:r>
      <w:r>
        <w:rPr/>
        <w:t>Dirección</w:t>
      </w:r>
      <w:r>
        <w:rPr>
          <w:spacing w:val="-16"/>
        </w:rPr>
        <w:t> </w:t>
      </w:r>
      <w:r>
        <w:rPr/>
        <w:t>de</w:t>
      </w:r>
      <w:r>
        <w:rPr>
          <w:spacing w:val="-18"/>
        </w:rPr>
        <w:t> </w:t>
      </w:r>
      <w:r>
        <w:rPr/>
        <w:t>planeación,</w:t>
      </w:r>
      <w:r>
        <w:rPr>
          <w:spacing w:val="-17"/>
        </w:rPr>
        <w:t> </w:t>
      </w:r>
      <w:r>
        <w:rPr/>
        <w:t>evaluación</w:t>
      </w:r>
      <w:r>
        <w:rPr>
          <w:spacing w:val="-18"/>
        </w:rPr>
        <w:t> </w:t>
      </w:r>
      <w:r>
        <w:rPr/>
        <w:t>y</w:t>
      </w:r>
      <w:r>
        <w:rPr>
          <w:spacing w:val="-19"/>
        </w:rPr>
        <w:t> </w:t>
      </w:r>
      <w:r>
        <w:rPr/>
        <w:t>seguimiento</w:t>
      </w:r>
      <w:r>
        <w:rPr>
          <w:spacing w:val="-16"/>
        </w:rPr>
        <w:t> </w:t>
      </w:r>
      <w:r>
        <w:rPr/>
        <w:t>(1%), Junta de Directiva Municipal del IMCOFIDE (2%), INFOEM (1%), Junta de</w:t>
      </w:r>
      <w:r>
        <w:rPr>
          <w:spacing w:val="-40"/>
        </w:rPr>
        <w:t> </w:t>
      </w:r>
      <w:r>
        <w:rPr/>
        <w:t>Gobierno del IMDA (1%), Junta de Gobierno SMDIF (30%), Mejora Regulatoria (2%), y Obras públicas</w:t>
      </w:r>
      <w:r>
        <w:rPr>
          <w:spacing w:val="-4"/>
        </w:rPr>
        <w:t> </w:t>
      </w:r>
      <w:r>
        <w:rPr/>
        <w:t>(10%).</w:t>
      </w:r>
    </w:p>
    <w:p>
      <w:pPr>
        <w:spacing w:after="0" w:line="360" w:lineRule="auto"/>
        <w:jc w:val="both"/>
        <w:sectPr>
          <w:pgSz w:w="12240" w:h="15840"/>
          <w:pgMar w:header="0" w:footer="975" w:top="1360" w:bottom="1220" w:left="1500" w:right="1580"/>
        </w:sectPr>
      </w:pPr>
    </w:p>
    <w:p>
      <w:pPr>
        <w:pStyle w:val="BodyText"/>
        <w:spacing w:line="360" w:lineRule="auto" w:before="54"/>
        <w:ind w:left="128" w:right="119"/>
        <w:jc w:val="both"/>
      </w:pPr>
      <w:r>
        <w:rPr/>
        <w:t>Tal como se puede observar con estos resultados es notorio el poco interés de los gobiernos municipales por publicar sus actas y acuerdos en los portales web de transparencia. Ya que en promedio no pasan del 30% los municipios que publican dicha información.</w:t>
      </w:r>
    </w:p>
    <w:p>
      <w:pPr>
        <w:pStyle w:val="BodyText"/>
      </w:pPr>
    </w:p>
    <w:p>
      <w:pPr>
        <w:pStyle w:val="BodyText"/>
      </w:pPr>
    </w:p>
    <w:p>
      <w:pPr>
        <w:pStyle w:val="Heading1"/>
        <w:numPr>
          <w:ilvl w:val="2"/>
          <w:numId w:val="47"/>
        </w:numPr>
        <w:tabs>
          <w:tab w:pos="837" w:val="left" w:leader="none"/>
        </w:tabs>
        <w:spacing w:line="240" w:lineRule="auto" w:before="185" w:after="0"/>
        <w:ind w:left="836" w:right="0" w:hanging="720"/>
        <w:jc w:val="both"/>
      </w:pPr>
      <w:r>
        <w:rPr/>
        <w:t>Presupuesto</w:t>
      </w:r>
      <w:r>
        <w:rPr>
          <w:spacing w:val="-9"/>
        </w:rPr>
        <w:t> </w:t>
      </w:r>
      <w:r>
        <w:rPr/>
        <w:t>asignado</w:t>
      </w:r>
    </w:p>
    <w:p>
      <w:pPr>
        <w:pStyle w:val="BodyText"/>
        <w:rPr>
          <w:b/>
        </w:rPr>
      </w:pPr>
    </w:p>
    <w:p>
      <w:pPr>
        <w:pStyle w:val="BodyText"/>
        <w:rPr>
          <w:b/>
        </w:rPr>
      </w:pPr>
    </w:p>
    <w:p>
      <w:pPr>
        <w:pStyle w:val="BodyText"/>
        <w:spacing w:line="360" w:lineRule="auto"/>
        <w:ind w:left="128" w:right="116"/>
        <w:jc w:val="both"/>
      </w:pPr>
      <w:r>
        <w:rPr/>
        <w:t>Las</w:t>
      </w:r>
      <w:r>
        <w:rPr>
          <w:spacing w:val="-7"/>
        </w:rPr>
        <w:t> </w:t>
      </w:r>
      <w:r>
        <w:rPr/>
        <w:t>finanzas</w:t>
      </w:r>
      <w:r>
        <w:rPr>
          <w:spacing w:val="-4"/>
        </w:rPr>
        <w:t> </w:t>
      </w:r>
      <w:r>
        <w:rPr/>
        <w:t>públicas</w:t>
      </w:r>
      <w:r>
        <w:rPr>
          <w:spacing w:val="-7"/>
        </w:rPr>
        <w:t> </w:t>
      </w:r>
      <w:r>
        <w:rPr/>
        <w:t>son</w:t>
      </w:r>
      <w:r>
        <w:rPr>
          <w:spacing w:val="-4"/>
        </w:rPr>
        <w:t> </w:t>
      </w:r>
      <w:r>
        <w:rPr/>
        <w:t>otro</w:t>
      </w:r>
      <w:r>
        <w:rPr>
          <w:spacing w:val="-4"/>
        </w:rPr>
        <w:t> </w:t>
      </w:r>
      <w:r>
        <w:rPr/>
        <w:t>de</w:t>
      </w:r>
      <w:r>
        <w:rPr>
          <w:spacing w:val="-4"/>
        </w:rPr>
        <w:t> </w:t>
      </w:r>
      <w:r>
        <w:rPr/>
        <w:t>los</w:t>
      </w:r>
      <w:r>
        <w:rPr>
          <w:spacing w:val="-4"/>
        </w:rPr>
        <w:t> </w:t>
      </w:r>
      <w:r>
        <w:rPr/>
        <w:t>puntos</w:t>
      </w:r>
      <w:r>
        <w:rPr>
          <w:spacing w:val="-7"/>
        </w:rPr>
        <w:t> </w:t>
      </w:r>
      <w:r>
        <w:rPr/>
        <w:t>clave</w:t>
      </w:r>
      <w:r>
        <w:rPr>
          <w:spacing w:val="-4"/>
        </w:rPr>
        <w:t> </w:t>
      </w:r>
      <w:r>
        <w:rPr/>
        <w:t>en</w:t>
      </w:r>
      <w:r>
        <w:rPr>
          <w:spacing w:val="-4"/>
        </w:rPr>
        <w:t> </w:t>
      </w:r>
      <w:r>
        <w:rPr/>
        <w:t>los</w:t>
      </w:r>
      <w:r>
        <w:rPr>
          <w:spacing w:val="-6"/>
        </w:rPr>
        <w:t> </w:t>
      </w:r>
      <w:r>
        <w:rPr/>
        <w:t>municipios,</w:t>
      </w:r>
      <w:r>
        <w:rPr>
          <w:spacing w:val="-4"/>
        </w:rPr>
        <w:t> </w:t>
      </w:r>
      <w:r>
        <w:rPr/>
        <w:t>ya</w:t>
      </w:r>
      <w:r>
        <w:rPr>
          <w:spacing w:val="-4"/>
        </w:rPr>
        <w:t> </w:t>
      </w:r>
      <w:r>
        <w:rPr/>
        <w:t>que,</w:t>
      </w:r>
      <w:r>
        <w:rPr>
          <w:spacing w:val="-4"/>
        </w:rPr>
        <w:t> </w:t>
      </w:r>
      <w:r>
        <w:rPr/>
        <w:t>pese</w:t>
      </w:r>
      <w:r>
        <w:rPr>
          <w:spacing w:val="-4"/>
        </w:rPr>
        <w:t> </w:t>
      </w:r>
      <w:r>
        <w:rPr/>
        <w:t>a que</w:t>
      </w:r>
      <w:r>
        <w:rPr>
          <w:spacing w:val="-9"/>
        </w:rPr>
        <w:t> </w:t>
      </w:r>
      <w:r>
        <w:rPr/>
        <w:t>es</w:t>
      </w:r>
      <w:r>
        <w:rPr>
          <w:spacing w:val="-10"/>
        </w:rPr>
        <w:t> </w:t>
      </w:r>
      <w:r>
        <w:rPr/>
        <w:t>también</w:t>
      </w:r>
      <w:r>
        <w:rPr>
          <w:spacing w:val="-9"/>
        </w:rPr>
        <w:t> </w:t>
      </w:r>
      <w:r>
        <w:rPr/>
        <w:t>información</w:t>
      </w:r>
      <w:r>
        <w:rPr>
          <w:spacing w:val="-8"/>
        </w:rPr>
        <w:t> </w:t>
      </w:r>
      <w:r>
        <w:rPr/>
        <w:t>pública</w:t>
      </w:r>
      <w:r>
        <w:rPr>
          <w:spacing w:val="-12"/>
        </w:rPr>
        <w:t> </w:t>
      </w:r>
      <w:r>
        <w:rPr/>
        <w:t>de</w:t>
      </w:r>
      <w:r>
        <w:rPr>
          <w:spacing w:val="-12"/>
        </w:rPr>
        <w:t> </w:t>
      </w:r>
      <w:r>
        <w:rPr/>
        <w:t>oficio,</w:t>
      </w:r>
      <w:r>
        <w:rPr>
          <w:spacing w:val="-12"/>
        </w:rPr>
        <w:t> </w:t>
      </w:r>
      <w:r>
        <w:rPr/>
        <w:t>la</w:t>
      </w:r>
      <w:r>
        <w:rPr>
          <w:spacing w:val="-10"/>
        </w:rPr>
        <w:t> </w:t>
      </w:r>
      <w:r>
        <w:rPr/>
        <w:t>mayoría</w:t>
      </w:r>
      <w:r>
        <w:rPr>
          <w:spacing w:val="-9"/>
        </w:rPr>
        <w:t> </w:t>
      </w:r>
      <w:r>
        <w:rPr/>
        <w:t>no</w:t>
      </w:r>
      <w:r>
        <w:rPr>
          <w:spacing w:val="-9"/>
        </w:rPr>
        <w:t> </w:t>
      </w:r>
      <w:r>
        <w:rPr/>
        <w:t>se</w:t>
      </w:r>
      <w:r>
        <w:rPr>
          <w:spacing w:val="-12"/>
        </w:rPr>
        <w:t> </w:t>
      </w:r>
      <w:r>
        <w:rPr/>
        <w:t>publica,</w:t>
      </w:r>
      <w:r>
        <w:rPr>
          <w:spacing w:val="-10"/>
        </w:rPr>
        <w:t> </w:t>
      </w:r>
      <w:r>
        <w:rPr/>
        <w:t>incumpliendo con</w:t>
      </w:r>
      <w:r>
        <w:rPr>
          <w:spacing w:val="-8"/>
        </w:rPr>
        <w:t> </w:t>
      </w:r>
      <w:r>
        <w:rPr/>
        <w:t>ello</w:t>
      </w:r>
      <w:r>
        <w:rPr>
          <w:spacing w:val="-8"/>
        </w:rPr>
        <w:t> </w:t>
      </w:r>
      <w:r>
        <w:rPr/>
        <w:t>la</w:t>
      </w:r>
      <w:r>
        <w:rPr>
          <w:spacing w:val="-9"/>
        </w:rPr>
        <w:t> </w:t>
      </w:r>
      <w:r>
        <w:rPr/>
        <w:t>ley</w:t>
      </w:r>
      <w:r>
        <w:rPr>
          <w:spacing w:val="-11"/>
        </w:rPr>
        <w:t> </w:t>
      </w:r>
      <w:r>
        <w:rPr/>
        <w:t>correspondiente.</w:t>
      </w:r>
      <w:r>
        <w:rPr>
          <w:spacing w:val="-6"/>
        </w:rPr>
        <w:t> </w:t>
      </w:r>
      <w:r>
        <w:rPr/>
        <w:t>En</w:t>
      </w:r>
      <w:r>
        <w:rPr>
          <w:spacing w:val="-8"/>
        </w:rPr>
        <w:t> </w:t>
      </w:r>
      <w:r>
        <w:rPr/>
        <w:t>lo</w:t>
      </w:r>
      <w:r>
        <w:rPr>
          <w:spacing w:val="-9"/>
        </w:rPr>
        <w:t> </w:t>
      </w:r>
      <w:r>
        <w:rPr/>
        <w:t>que</w:t>
      </w:r>
      <w:r>
        <w:rPr>
          <w:spacing w:val="-8"/>
        </w:rPr>
        <w:t> </w:t>
      </w:r>
      <w:r>
        <w:rPr/>
        <w:t>respecta</w:t>
      </w:r>
      <w:r>
        <w:rPr>
          <w:spacing w:val="-8"/>
        </w:rPr>
        <w:t> </w:t>
      </w:r>
      <w:r>
        <w:rPr/>
        <w:t>al</w:t>
      </w:r>
      <w:r>
        <w:rPr>
          <w:spacing w:val="-12"/>
        </w:rPr>
        <w:t> </w:t>
      </w:r>
      <w:r>
        <w:rPr/>
        <w:t>presupuesto,</w:t>
      </w:r>
      <w:r>
        <w:rPr>
          <w:spacing w:val="-9"/>
        </w:rPr>
        <w:t> </w:t>
      </w:r>
      <w:r>
        <w:rPr/>
        <w:t>se</w:t>
      </w:r>
      <w:r>
        <w:rPr>
          <w:spacing w:val="-8"/>
        </w:rPr>
        <w:t> </w:t>
      </w:r>
      <w:r>
        <w:rPr/>
        <w:t>ve</w:t>
      </w:r>
      <w:r>
        <w:rPr>
          <w:spacing w:val="-8"/>
        </w:rPr>
        <w:t> </w:t>
      </w:r>
      <w:r>
        <w:rPr/>
        <w:t>cómo</w:t>
      </w:r>
      <w:r>
        <w:rPr>
          <w:spacing w:val="-8"/>
        </w:rPr>
        <w:t> </w:t>
      </w:r>
      <w:r>
        <w:rPr/>
        <w:t>se</w:t>
      </w:r>
      <w:r>
        <w:rPr>
          <w:spacing w:val="-8"/>
        </w:rPr>
        <w:t> </w:t>
      </w:r>
      <w:r>
        <w:rPr/>
        <w:t>ha dado un incremento de los municipios que cumplen con la función de hacer público su</w:t>
      </w:r>
      <w:r>
        <w:rPr>
          <w:spacing w:val="-3"/>
        </w:rPr>
        <w:t> </w:t>
      </w:r>
      <w:r>
        <w:rPr/>
        <w:t>presupuesto.</w:t>
      </w:r>
    </w:p>
    <w:p>
      <w:pPr>
        <w:pStyle w:val="BodyText"/>
        <w:rPr>
          <w:sz w:val="20"/>
        </w:rPr>
      </w:pPr>
    </w:p>
    <w:p>
      <w:pPr>
        <w:pStyle w:val="BodyText"/>
        <w:spacing w:before="5" w:after="1"/>
        <w:rPr>
          <w:sz w:val="16"/>
        </w:rPr>
      </w:pPr>
    </w:p>
    <w:tbl>
      <w:tblPr>
        <w:tblW w:w="0" w:type="auto"/>
        <w:jc w:val="left"/>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30"/>
        <w:gridCol w:w="766"/>
        <w:gridCol w:w="713"/>
        <w:gridCol w:w="715"/>
        <w:gridCol w:w="713"/>
        <w:gridCol w:w="716"/>
        <w:gridCol w:w="713"/>
        <w:gridCol w:w="715"/>
        <w:gridCol w:w="713"/>
        <w:gridCol w:w="716"/>
        <w:gridCol w:w="713"/>
      </w:tblGrid>
      <w:tr>
        <w:trPr>
          <w:trHeight w:val="322" w:hRule="exact"/>
        </w:trPr>
        <w:tc>
          <w:tcPr>
            <w:tcW w:w="8922" w:type="dxa"/>
            <w:gridSpan w:val="11"/>
            <w:shd w:val="clear" w:color="auto" w:fill="92D050"/>
          </w:tcPr>
          <w:p>
            <w:pPr>
              <w:pStyle w:val="TableParagraph"/>
              <w:spacing w:line="201" w:lineRule="exact"/>
              <w:ind w:left="1403" w:right="56"/>
              <w:jc w:val="left"/>
              <w:rPr>
                <w:b/>
                <w:sz w:val="18"/>
              </w:rPr>
            </w:pPr>
            <w:r>
              <w:rPr>
                <w:b/>
                <w:sz w:val="18"/>
              </w:rPr>
              <w:t>Tabla 3.7. Municipios que publican su presupuesto (periodo 2006-2015)</w:t>
            </w:r>
          </w:p>
        </w:tc>
      </w:tr>
      <w:tr>
        <w:trPr>
          <w:trHeight w:val="319" w:hRule="exact"/>
        </w:trPr>
        <w:tc>
          <w:tcPr>
            <w:tcW w:w="1730" w:type="dxa"/>
            <w:shd w:val="clear" w:color="auto" w:fill="92D050"/>
          </w:tcPr>
          <w:p>
            <w:pPr>
              <w:pStyle w:val="TableParagraph"/>
              <w:spacing w:line="201" w:lineRule="exact"/>
              <w:ind w:left="197" w:right="200"/>
              <w:rPr>
                <w:b/>
                <w:sz w:val="18"/>
              </w:rPr>
            </w:pPr>
            <w:r>
              <w:rPr>
                <w:b/>
                <w:sz w:val="18"/>
              </w:rPr>
              <w:t>Año</w:t>
            </w:r>
          </w:p>
        </w:tc>
        <w:tc>
          <w:tcPr>
            <w:tcW w:w="766" w:type="dxa"/>
            <w:shd w:val="clear" w:color="auto" w:fill="92D050"/>
          </w:tcPr>
          <w:p>
            <w:pPr>
              <w:pStyle w:val="TableParagraph"/>
              <w:spacing w:line="201" w:lineRule="exact"/>
              <w:ind w:left="155" w:right="157"/>
              <w:rPr>
                <w:b/>
                <w:sz w:val="18"/>
              </w:rPr>
            </w:pPr>
            <w:r>
              <w:rPr>
                <w:b/>
                <w:sz w:val="18"/>
              </w:rPr>
              <w:t>2006</w:t>
            </w:r>
          </w:p>
        </w:tc>
        <w:tc>
          <w:tcPr>
            <w:tcW w:w="713" w:type="dxa"/>
            <w:shd w:val="clear" w:color="auto" w:fill="92D050"/>
          </w:tcPr>
          <w:p>
            <w:pPr>
              <w:pStyle w:val="TableParagraph"/>
              <w:spacing w:line="201" w:lineRule="exact"/>
              <w:ind w:left="132" w:right="130"/>
              <w:rPr>
                <w:b/>
                <w:sz w:val="18"/>
              </w:rPr>
            </w:pPr>
            <w:r>
              <w:rPr>
                <w:b/>
                <w:sz w:val="18"/>
              </w:rPr>
              <w:t>2007</w:t>
            </w:r>
          </w:p>
        </w:tc>
        <w:tc>
          <w:tcPr>
            <w:tcW w:w="715" w:type="dxa"/>
            <w:shd w:val="clear" w:color="auto" w:fill="92D050"/>
          </w:tcPr>
          <w:p>
            <w:pPr>
              <w:pStyle w:val="TableParagraph"/>
              <w:spacing w:line="201" w:lineRule="exact"/>
              <w:ind w:left="132" w:right="132"/>
              <w:rPr>
                <w:b/>
                <w:sz w:val="18"/>
              </w:rPr>
            </w:pPr>
            <w:r>
              <w:rPr>
                <w:b/>
                <w:sz w:val="18"/>
              </w:rPr>
              <w:t>2008</w:t>
            </w:r>
          </w:p>
        </w:tc>
        <w:tc>
          <w:tcPr>
            <w:tcW w:w="713" w:type="dxa"/>
            <w:shd w:val="clear" w:color="auto" w:fill="92D050"/>
          </w:tcPr>
          <w:p>
            <w:pPr>
              <w:pStyle w:val="TableParagraph"/>
              <w:spacing w:line="201" w:lineRule="exact"/>
              <w:ind w:left="132" w:right="130"/>
              <w:rPr>
                <w:b/>
                <w:sz w:val="18"/>
              </w:rPr>
            </w:pPr>
            <w:r>
              <w:rPr>
                <w:b/>
                <w:sz w:val="18"/>
              </w:rPr>
              <w:t>2009</w:t>
            </w:r>
          </w:p>
        </w:tc>
        <w:tc>
          <w:tcPr>
            <w:tcW w:w="716" w:type="dxa"/>
            <w:shd w:val="clear" w:color="auto" w:fill="92D050"/>
          </w:tcPr>
          <w:p>
            <w:pPr>
              <w:pStyle w:val="TableParagraph"/>
              <w:spacing w:line="201" w:lineRule="exact"/>
              <w:ind w:left="132" w:right="132"/>
              <w:rPr>
                <w:b/>
                <w:sz w:val="18"/>
              </w:rPr>
            </w:pPr>
            <w:r>
              <w:rPr>
                <w:b/>
                <w:sz w:val="18"/>
              </w:rPr>
              <w:t>2010</w:t>
            </w:r>
          </w:p>
        </w:tc>
        <w:tc>
          <w:tcPr>
            <w:tcW w:w="713" w:type="dxa"/>
            <w:shd w:val="clear" w:color="auto" w:fill="92D050"/>
          </w:tcPr>
          <w:p>
            <w:pPr>
              <w:pStyle w:val="TableParagraph"/>
              <w:spacing w:line="201" w:lineRule="exact"/>
              <w:ind w:left="132" w:right="130"/>
              <w:rPr>
                <w:b/>
                <w:sz w:val="18"/>
              </w:rPr>
            </w:pPr>
            <w:r>
              <w:rPr>
                <w:b/>
                <w:sz w:val="18"/>
              </w:rPr>
              <w:t>2011</w:t>
            </w:r>
          </w:p>
        </w:tc>
        <w:tc>
          <w:tcPr>
            <w:tcW w:w="715" w:type="dxa"/>
            <w:shd w:val="clear" w:color="auto" w:fill="92D050"/>
          </w:tcPr>
          <w:p>
            <w:pPr>
              <w:pStyle w:val="TableParagraph"/>
              <w:spacing w:line="201" w:lineRule="exact"/>
              <w:ind w:left="132" w:right="132"/>
              <w:rPr>
                <w:b/>
                <w:sz w:val="18"/>
              </w:rPr>
            </w:pPr>
            <w:r>
              <w:rPr>
                <w:b/>
                <w:sz w:val="18"/>
              </w:rPr>
              <w:t>2012</w:t>
            </w:r>
          </w:p>
        </w:tc>
        <w:tc>
          <w:tcPr>
            <w:tcW w:w="713" w:type="dxa"/>
            <w:shd w:val="clear" w:color="auto" w:fill="92D050"/>
          </w:tcPr>
          <w:p>
            <w:pPr>
              <w:pStyle w:val="TableParagraph"/>
              <w:spacing w:line="201" w:lineRule="exact"/>
              <w:ind w:left="132" w:right="130"/>
              <w:rPr>
                <w:b/>
                <w:sz w:val="18"/>
              </w:rPr>
            </w:pPr>
            <w:r>
              <w:rPr>
                <w:b/>
                <w:sz w:val="18"/>
              </w:rPr>
              <w:t>2013</w:t>
            </w:r>
          </w:p>
        </w:tc>
        <w:tc>
          <w:tcPr>
            <w:tcW w:w="716" w:type="dxa"/>
            <w:shd w:val="clear" w:color="auto" w:fill="92D050"/>
          </w:tcPr>
          <w:p>
            <w:pPr>
              <w:pStyle w:val="TableParagraph"/>
              <w:spacing w:line="201" w:lineRule="exact"/>
              <w:ind w:left="132" w:right="132"/>
              <w:rPr>
                <w:b/>
                <w:sz w:val="18"/>
              </w:rPr>
            </w:pPr>
            <w:r>
              <w:rPr>
                <w:b/>
                <w:sz w:val="18"/>
              </w:rPr>
              <w:t>2014</w:t>
            </w:r>
          </w:p>
        </w:tc>
        <w:tc>
          <w:tcPr>
            <w:tcW w:w="713" w:type="dxa"/>
            <w:shd w:val="clear" w:color="auto" w:fill="92D050"/>
          </w:tcPr>
          <w:p>
            <w:pPr>
              <w:pStyle w:val="TableParagraph"/>
              <w:spacing w:line="201" w:lineRule="exact"/>
              <w:ind w:left="132" w:right="130"/>
              <w:rPr>
                <w:b/>
                <w:sz w:val="18"/>
              </w:rPr>
            </w:pPr>
            <w:r>
              <w:rPr>
                <w:b/>
                <w:sz w:val="18"/>
              </w:rPr>
              <w:t>2015</w:t>
            </w:r>
          </w:p>
        </w:tc>
      </w:tr>
      <w:tr>
        <w:trPr>
          <w:trHeight w:val="322" w:hRule="exact"/>
        </w:trPr>
        <w:tc>
          <w:tcPr>
            <w:tcW w:w="1730" w:type="dxa"/>
            <w:shd w:val="clear" w:color="auto" w:fill="92D050"/>
          </w:tcPr>
          <w:p>
            <w:pPr>
              <w:pStyle w:val="TableParagraph"/>
              <w:spacing w:line="201" w:lineRule="exact"/>
              <w:ind w:left="199" w:right="200"/>
              <w:rPr>
                <w:b/>
                <w:sz w:val="18"/>
              </w:rPr>
            </w:pPr>
            <w:r>
              <w:rPr>
                <w:b/>
                <w:sz w:val="18"/>
              </w:rPr>
              <w:t>No. Municipios</w:t>
            </w:r>
          </w:p>
        </w:tc>
        <w:tc>
          <w:tcPr>
            <w:tcW w:w="766" w:type="dxa"/>
            <w:tcBorders>
              <w:left w:val="thickThinMediumGap" w:sz="23" w:space="0" w:color="92D050"/>
            </w:tcBorders>
          </w:tcPr>
          <w:p>
            <w:pPr>
              <w:pStyle w:val="TableParagraph"/>
              <w:spacing w:line="206" w:lineRule="exact"/>
              <w:ind w:right="59"/>
              <w:rPr>
                <w:sz w:val="18"/>
              </w:rPr>
            </w:pPr>
            <w:r>
              <w:rPr>
                <w:w w:val="99"/>
                <w:sz w:val="18"/>
              </w:rPr>
              <w:t>4</w:t>
            </w:r>
          </w:p>
        </w:tc>
        <w:tc>
          <w:tcPr>
            <w:tcW w:w="713" w:type="dxa"/>
          </w:tcPr>
          <w:p>
            <w:pPr>
              <w:pStyle w:val="TableParagraph"/>
              <w:spacing w:line="206" w:lineRule="exact"/>
              <w:ind w:right="1"/>
              <w:rPr>
                <w:sz w:val="18"/>
              </w:rPr>
            </w:pPr>
            <w:r>
              <w:rPr>
                <w:w w:val="99"/>
                <w:sz w:val="18"/>
              </w:rPr>
              <w:t>4</w:t>
            </w:r>
          </w:p>
        </w:tc>
        <w:tc>
          <w:tcPr>
            <w:tcW w:w="715" w:type="dxa"/>
          </w:tcPr>
          <w:p>
            <w:pPr>
              <w:pStyle w:val="TableParagraph"/>
              <w:spacing w:line="206" w:lineRule="exact"/>
              <w:ind w:right="3"/>
              <w:rPr>
                <w:sz w:val="18"/>
              </w:rPr>
            </w:pPr>
            <w:r>
              <w:rPr>
                <w:w w:val="99"/>
                <w:sz w:val="18"/>
              </w:rPr>
              <w:t>4</w:t>
            </w:r>
          </w:p>
        </w:tc>
        <w:tc>
          <w:tcPr>
            <w:tcW w:w="713" w:type="dxa"/>
          </w:tcPr>
          <w:p>
            <w:pPr>
              <w:pStyle w:val="TableParagraph"/>
              <w:spacing w:line="206" w:lineRule="exact"/>
              <w:ind w:left="132" w:right="130"/>
              <w:rPr>
                <w:sz w:val="18"/>
              </w:rPr>
            </w:pPr>
            <w:r>
              <w:rPr>
                <w:sz w:val="18"/>
              </w:rPr>
              <w:t>10</w:t>
            </w:r>
          </w:p>
        </w:tc>
        <w:tc>
          <w:tcPr>
            <w:tcW w:w="716" w:type="dxa"/>
          </w:tcPr>
          <w:p>
            <w:pPr>
              <w:pStyle w:val="TableParagraph"/>
              <w:spacing w:line="206" w:lineRule="exact"/>
              <w:ind w:left="132" w:right="132"/>
              <w:rPr>
                <w:sz w:val="18"/>
              </w:rPr>
            </w:pPr>
            <w:r>
              <w:rPr>
                <w:sz w:val="18"/>
              </w:rPr>
              <w:t>17</w:t>
            </w:r>
          </w:p>
        </w:tc>
        <w:tc>
          <w:tcPr>
            <w:tcW w:w="713" w:type="dxa"/>
          </w:tcPr>
          <w:p>
            <w:pPr>
              <w:pStyle w:val="TableParagraph"/>
              <w:spacing w:line="206" w:lineRule="exact"/>
              <w:ind w:left="132" w:right="130"/>
              <w:rPr>
                <w:sz w:val="18"/>
              </w:rPr>
            </w:pPr>
            <w:r>
              <w:rPr>
                <w:sz w:val="18"/>
              </w:rPr>
              <w:t>49</w:t>
            </w:r>
          </w:p>
        </w:tc>
        <w:tc>
          <w:tcPr>
            <w:tcW w:w="715" w:type="dxa"/>
          </w:tcPr>
          <w:p>
            <w:pPr>
              <w:pStyle w:val="TableParagraph"/>
              <w:spacing w:line="206" w:lineRule="exact"/>
              <w:ind w:left="132" w:right="132"/>
              <w:rPr>
                <w:sz w:val="18"/>
              </w:rPr>
            </w:pPr>
            <w:r>
              <w:rPr>
                <w:sz w:val="18"/>
              </w:rPr>
              <w:t>57</w:t>
            </w:r>
          </w:p>
        </w:tc>
        <w:tc>
          <w:tcPr>
            <w:tcW w:w="713" w:type="dxa"/>
          </w:tcPr>
          <w:p>
            <w:pPr>
              <w:pStyle w:val="TableParagraph"/>
              <w:spacing w:line="206" w:lineRule="exact"/>
              <w:ind w:left="132" w:right="130"/>
              <w:rPr>
                <w:sz w:val="18"/>
              </w:rPr>
            </w:pPr>
            <w:r>
              <w:rPr>
                <w:sz w:val="18"/>
              </w:rPr>
              <w:t>86</w:t>
            </w:r>
          </w:p>
        </w:tc>
        <w:tc>
          <w:tcPr>
            <w:tcW w:w="716" w:type="dxa"/>
          </w:tcPr>
          <w:p>
            <w:pPr>
              <w:pStyle w:val="TableParagraph"/>
              <w:spacing w:line="206" w:lineRule="exact"/>
              <w:ind w:left="132" w:right="132"/>
              <w:rPr>
                <w:sz w:val="18"/>
              </w:rPr>
            </w:pPr>
            <w:r>
              <w:rPr>
                <w:sz w:val="18"/>
              </w:rPr>
              <w:t>81</w:t>
            </w:r>
          </w:p>
        </w:tc>
        <w:tc>
          <w:tcPr>
            <w:tcW w:w="713" w:type="dxa"/>
          </w:tcPr>
          <w:p>
            <w:pPr>
              <w:pStyle w:val="TableParagraph"/>
              <w:spacing w:line="206" w:lineRule="exact"/>
              <w:ind w:left="132" w:right="130"/>
              <w:rPr>
                <w:sz w:val="18"/>
              </w:rPr>
            </w:pPr>
            <w:r>
              <w:rPr>
                <w:sz w:val="18"/>
              </w:rPr>
              <w:t>71</w:t>
            </w:r>
          </w:p>
        </w:tc>
      </w:tr>
    </w:tbl>
    <w:p>
      <w:pPr>
        <w:spacing w:line="180" w:lineRule="exact" w:before="0"/>
        <w:ind w:left="241" w:right="26" w:firstLine="0"/>
        <w:jc w:val="left"/>
        <w:rPr>
          <w:sz w:val="16"/>
        </w:rPr>
      </w:pPr>
      <w:r>
        <w:rPr>
          <w:sz w:val="16"/>
        </w:rPr>
        <w:t>Fuente: Elaboración propia con datos del INFOEM.</w:t>
      </w:r>
    </w:p>
    <w:p>
      <w:pPr>
        <w:pStyle w:val="BodyText"/>
        <w:rPr>
          <w:sz w:val="20"/>
        </w:rPr>
      </w:pPr>
    </w:p>
    <w:p>
      <w:pPr>
        <w:pStyle w:val="BodyText"/>
        <w:rPr>
          <w:sz w:val="20"/>
        </w:rPr>
      </w:pPr>
    </w:p>
    <w:p>
      <w:pPr>
        <w:pStyle w:val="BodyText"/>
        <w:spacing w:line="360" w:lineRule="auto" w:before="208"/>
        <w:ind w:left="128" w:right="118"/>
        <w:jc w:val="both"/>
      </w:pPr>
      <w:r>
        <w:rPr/>
        <w:t>En</w:t>
      </w:r>
      <w:r>
        <w:rPr>
          <w:spacing w:val="-19"/>
        </w:rPr>
        <w:t> </w:t>
      </w:r>
      <w:r>
        <w:rPr/>
        <w:t>el</w:t>
      </w:r>
      <w:r>
        <w:rPr>
          <w:spacing w:val="-20"/>
        </w:rPr>
        <w:t> </w:t>
      </w:r>
      <w:r>
        <w:rPr/>
        <w:t>año</w:t>
      </w:r>
      <w:r>
        <w:rPr>
          <w:spacing w:val="-19"/>
        </w:rPr>
        <w:t> </w:t>
      </w:r>
      <w:r>
        <w:rPr/>
        <w:t>2006,</w:t>
      </w:r>
      <w:r>
        <w:rPr>
          <w:spacing w:val="-17"/>
        </w:rPr>
        <w:t> </w:t>
      </w:r>
      <w:r>
        <w:rPr/>
        <w:t>solamente</w:t>
      </w:r>
      <w:r>
        <w:rPr>
          <w:spacing w:val="-18"/>
        </w:rPr>
        <w:t> </w:t>
      </w:r>
      <w:r>
        <w:rPr/>
        <w:t>cuatro</w:t>
      </w:r>
      <w:r>
        <w:rPr>
          <w:spacing w:val="-19"/>
        </w:rPr>
        <w:t> </w:t>
      </w:r>
      <w:r>
        <w:rPr/>
        <w:t>municipios</w:t>
      </w:r>
      <w:r>
        <w:rPr>
          <w:spacing w:val="-22"/>
        </w:rPr>
        <w:t> </w:t>
      </w:r>
      <w:r>
        <w:rPr/>
        <w:t>publicaron</w:t>
      </w:r>
      <w:r>
        <w:rPr>
          <w:spacing w:val="-17"/>
        </w:rPr>
        <w:t> </w:t>
      </w:r>
      <w:r>
        <w:rPr/>
        <w:t>su</w:t>
      </w:r>
      <w:r>
        <w:rPr>
          <w:spacing w:val="-19"/>
        </w:rPr>
        <w:t> </w:t>
      </w:r>
      <w:r>
        <w:rPr/>
        <w:t>presupuesto</w:t>
      </w:r>
      <w:r>
        <w:rPr>
          <w:spacing w:val="-18"/>
        </w:rPr>
        <w:t> </w:t>
      </w:r>
      <w:r>
        <w:rPr/>
        <w:t>(Xonacatlán, Teoloyucan,</w:t>
      </w:r>
      <w:r>
        <w:rPr>
          <w:spacing w:val="-21"/>
        </w:rPr>
        <w:t> </w:t>
      </w:r>
      <w:r>
        <w:rPr/>
        <w:t>Luvianos</w:t>
      </w:r>
      <w:r>
        <w:rPr>
          <w:spacing w:val="-21"/>
        </w:rPr>
        <w:t> </w:t>
      </w:r>
      <w:r>
        <w:rPr/>
        <w:t>y</w:t>
      </w:r>
      <w:r>
        <w:rPr>
          <w:spacing w:val="-21"/>
        </w:rPr>
        <w:t> </w:t>
      </w:r>
      <w:r>
        <w:rPr/>
        <w:t>Atlacomulco)</w:t>
      </w:r>
      <w:r>
        <w:rPr>
          <w:spacing w:val="-15"/>
        </w:rPr>
        <w:t> </w:t>
      </w:r>
      <w:r>
        <w:rPr/>
        <w:t>resalta</w:t>
      </w:r>
      <w:r>
        <w:rPr>
          <w:spacing w:val="-20"/>
        </w:rPr>
        <w:t> </w:t>
      </w:r>
      <w:r>
        <w:rPr/>
        <w:t>el</w:t>
      </w:r>
      <w:r>
        <w:rPr>
          <w:spacing w:val="-19"/>
        </w:rPr>
        <w:t> </w:t>
      </w:r>
      <w:r>
        <w:rPr/>
        <w:t>municipio</w:t>
      </w:r>
      <w:r>
        <w:rPr>
          <w:spacing w:val="-18"/>
        </w:rPr>
        <w:t> </w:t>
      </w:r>
      <w:r>
        <w:rPr/>
        <w:t>de</w:t>
      </w:r>
      <w:r>
        <w:rPr>
          <w:spacing w:val="-18"/>
        </w:rPr>
        <w:t> </w:t>
      </w:r>
      <w:r>
        <w:rPr/>
        <w:t>Atlacomulco</w:t>
      </w:r>
      <w:r>
        <w:rPr>
          <w:spacing w:val="-18"/>
        </w:rPr>
        <w:t> </w:t>
      </w:r>
      <w:r>
        <w:rPr/>
        <w:t>con</w:t>
      </w:r>
      <w:r>
        <w:rPr>
          <w:spacing w:val="-18"/>
        </w:rPr>
        <w:t> </w:t>
      </w:r>
      <w:r>
        <w:rPr/>
        <w:t>un</w:t>
      </w:r>
      <w:r>
        <w:rPr>
          <w:spacing w:val="-18"/>
        </w:rPr>
        <w:t> </w:t>
      </w:r>
      <w:r>
        <w:rPr/>
        <w:t>total de 147,249,093.51 pesos como el municipio con mayor presupuesto y el de Xonacatlán con tan solo 3,292,691.18 pesos anuales. En tanto que 121 municipios no publicaron</w:t>
      </w:r>
      <w:r>
        <w:rPr>
          <w:spacing w:val="-7"/>
        </w:rPr>
        <w:t> </w:t>
      </w:r>
      <w:r>
        <w:rPr/>
        <w:t>nada.</w:t>
      </w:r>
    </w:p>
    <w:p>
      <w:pPr>
        <w:pStyle w:val="BodyText"/>
      </w:pPr>
    </w:p>
    <w:p>
      <w:pPr>
        <w:pStyle w:val="BodyText"/>
      </w:pPr>
    </w:p>
    <w:p>
      <w:pPr>
        <w:pStyle w:val="BodyText"/>
        <w:spacing w:line="360" w:lineRule="auto" w:before="185"/>
        <w:ind w:left="128" w:right="117"/>
        <w:jc w:val="both"/>
      </w:pPr>
      <w:r>
        <w:rPr/>
        <w:t>En el año 2007, cuatro municipios publicaron su presupuesto (Xonacatlán, Naucalpan,</w:t>
      </w:r>
      <w:r>
        <w:rPr>
          <w:spacing w:val="-11"/>
        </w:rPr>
        <w:t> </w:t>
      </w:r>
      <w:r>
        <w:rPr/>
        <w:t>Luvianos</w:t>
      </w:r>
      <w:r>
        <w:rPr>
          <w:spacing w:val="-12"/>
        </w:rPr>
        <w:t> </w:t>
      </w:r>
      <w:r>
        <w:rPr/>
        <w:t>y</w:t>
      </w:r>
      <w:r>
        <w:rPr>
          <w:spacing w:val="-12"/>
        </w:rPr>
        <w:t> </w:t>
      </w:r>
      <w:r>
        <w:rPr/>
        <w:t>Atlacomulco)</w:t>
      </w:r>
      <w:r>
        <w:rPr>
          <w:spacing w:val="-9"/>
        </w:rPr>
        <w:t> </w:t>
      </w:r>
      <w:r>
        <w:rPr/>
        <w:t>resalta</w:t>
      </w:r>
      <w:r>
        <w:rPr>
          <w:spacing w:val="-11"/>
        </w:rPr>
        <w:t> </w:t>
      </w:r>
      <w:r>
        <w:rPr/>
        <w:t>el</w:t>
      </w:r>
      <w:r>
        <w:rPr>
          <w:spacing w:val="-10"/>
        </w:rPr>
        <w:t> </w:t>
      </w:r>
      <w:r>
        <w:rPr/>
        <w:t>municipio</w:t>
      </w:r>
      <w:r>
        <w:rPr>
          <w:spacing w:val="-11"/>
        </w:rPr>
        <w:t> </w:t>
      </w:r>
      <w:r>
        <w:rPr/>
        <w:t>de</w:t>
      </w:r>
      <w:r>
        <w:rPr>
          <w:spacing w:val="-11"/>
        </w:rPr>
        <w:t> </w:t>
      </w:r>
      <w:r>
        <w:rPr/>
        <w:t>Atlacomulco</w:t>
      </w:r>
      <w:r>
        <w:rPr>
          <w:spacing w:val="-9"/>
        </w:rPr>
        <w:t> </w:t>
      </w:r>
      <w:r>
        <w:rPr/>
        <w:t>con</w:t>
      </w:r>
      <w:r>
        <w:rPr>
          <w:spacing w:val="-11"/>
        </w:rPr>
        <w:t> </w:t>
      </w:r>
      <w:r>
        <w:rPr/>
        <w:t>un</w:t>
      </w:r>
      <w:r>
        <w:rPr>
          <w:spacing w:val="-11"/>
        </w:rPr>
        <w:t> </w:t>
      </w:r>
      <w:r>
        <w:rPr/>
        <w:t>total de 174,746,295.79 de pesos como el municipio con mayor presupuesto y el de Xonacatlán con tan solo 3,282,416.09 pesos anuales. En tanto que 121 municipios no publicaron</w:t>
      </w:r>
      <w:r>
        <w:rPr>
          <w:spacing w:val="-7"/>
        </w:rPr>
        <w:t> </w:t>
      </w:r>
      <w:r>
        <w:rPr/>
        <w:t>nada.</w:t>
      </w:r>
    </w:p>
    <w:p>
      <w:pPr>
        <w:spacing w:after="0" w:line="360" w:lineRule="auto"/>
        <w:jc w:val="both"/>
        <w:sectPr>
          <w:pgSz w:w="12240" w:h="15840"/>
          <w:pgMar w:header="0" w:footer="975" w:top="1360" w:bottom="1220" w:left="1480" w:right="1580"/>
        </w:sectPr>
      </w:pPr>
    </w:p>
    <w:p>
      <w:pPr>
        <w:pStyle w:val="BodyText"/>
        <w:spacing w:line="360" w:lineRule="auto" w:before="54"/>
        <w:ind w:left="108" w:right="115"/>
        <w:jc w:val="both"/>
      </w:pPr>
      <w:r>
        <w:rPr/>
        <w:t>En el año 2008, cuatro municipios publicaron su presupuesto (Xonacatlán, Naucalpan,</w:t>
      </w:r>
      <w:r>
        <w:rPr>
          <w:spacing w:val="-11"/>
        </w:rPr>
        <w:t> </w:t>
      </w:r>
      <w:r>
        <w:rPr/>
        <w:t>Luvianos</w:t>
      </w:r>
      <w:r>
        <w:rPr>
          <w:spacing w:val="-12"/>
        </w:rPr>
        <w:t> </w:t>
      </w:r>
      <w:r>
        <w:rPr/>
        <w:t>y</w:t>
      </w:r>
      <w:r>
        <w:rPr>
          <w:spacing w:val="-12"/>
        </w:rPr>
        <w:t> </w:t>
      </w:r>
      <w:r>
        <w:rPr/>
        <w:t>Atlacomulco)</w:t>
      </w:r>
      <w:r>
        <w:rPr>
          <w:spacing w:val="-9"/>
        </w:rPr>
        <w:t> </w:t>
      </w:r>
      <w:r>
        <w:rPr/>
        <w:t>resalta</w:t>
      </w:r>
      <w:r>
        <w:rPr>
          <w:spacing w:val="-11"/>
        </w:rPr>
        <w:t> </w:t>
      </w:r>
      <w:r>
        <w:rPr/>
        <w:t>el</w:t>
      </w:r>
      <w:r>
        <w:rPr>
          <w:spacing w:val="-10"/>
        </w:rPr>
        <w:t> </w:t>
      </w:r>
      <w:r>
        <w:rPr/>
        <w:t>municipio</w:t>
      </w:r>
      <w:r>
        <w:rPr>
          <w:spacing w:val="-11"/>
        </w:rPr>
        <w:t> </w:t>
      </w:r>
      <w:r>
        <w:rPr/>
        <w:t>de</w:t>
      </w:r>
      <w:r>
        <w:rPr>
          <w:spacing w:val="-11"/>
        </w:rPr>
        <w:t> </w:t>
      </w:r>
      <w:r>
        <w:rPr/>
        <w:t>Atlacomulco</w:t>
      </w:r>
      <w:r>
        <w:rPr>
          <w:spacing w:val="-3"/>
        </w:rPr>
        <w:t> </w:t>
      </w:r>
      <w:r>
        <w:rPr/>
        <w:t>con</w:t>
      </w:r>
      <w:r>
        <w:rPr>
          <w:spacing w:val="-11"/>
        </w:rPr>
        <w:t> </w:t>
      </w:r>
      <w:r>
        <w:rPr/>
        <w:t>un</w:t>
      </w:r>
      <w:r>
        <w:rPr>
          <w:spacing w:val="-11"/>
        </w:rPr>
        <w:t> </w:t>
      </w:r>
      <w:r>
        <w:rPr/>
        <w:t>total de 162,480,163.56 de pesos como el municipio con mayor presupuesto y el de Xonacatlán con tan solo 4,909,958 pesos anuales. En tanto que 121 municipios no publicaron</w:t>
      </w:r>
      <w:r>
        <w:rPr>
          <w:spacing w:val="-6"/>
        </w:rPr>
        <w:t> </w:t>
      </w:r>
      <w:r>
        <w:rPr/>
        <w:t>nada.</w:t>
      </w:r>
    </w:p>
    <w:p>
      <w:pPr>
        <w:pStyle w:val="BodyText"/>
      </w:pPr>
    </w:p>
    <w:p>
      <w:pPr>
        <w:pStyle w:val="BodyText"/>
      </w:pPr>
    </w:p>
    <w:p>
      <w:pPr>
        <w:pStyle w:val="BodyText"/>
        <w:spacing w:line="360" w:lineRule="auto" w:before="187"/>
        <w:ind w:left="108" w:right="116"/>
        <w:jc w:val="both"/>
      </w:pPr>
      <w:r>
        <w:rPr/>
        <w:t>En el año 2009, se incrementó a 10 los municipios que publicaron su presupuesto. Resaltando el de Chimalhuacán con un total de 830,236,885 pesos como el municipio con mayor presupuesto y el de Xonacatlán con tan solo 4,840,405.71 pesos anuales. En tanto que 115 municipios no publicaron nada.</w:t>
      </w:r>
    </w:p>
    <w:p>
      <w:pPr>
        <w:pStyle w:val="BodyText"/>
      </w:pPr>
    </w:p>
    <w:p>
      <w:pPr>
        <w:pStyle w:val="BodyText"/>
      </w:pPr>
    </w:p>
    <w:p>
      <w:pPr>
        <w:pStyle w:val="BodyText"/>
        <w:spacing w:line="360" w:lineRule="auto" w:before="185"/>
        <w:ind w:left="108" w:right="120"/>
        <w:jc w:val="both"/>
      </w:pPr>
      <w:r>
        <w:rPr/>
        <w:t>En</w:t>
      </w:r>
      <w:r>
        <w:rPr>
          <w:spacing w:val="-16"/>
        </w:rPr>
        <w:t> </w:t>
      </w:r>
      <w:r>
        <w:rPr/>
        <w:t>el</w:t>
      </w:r>
      <w:r>
        <w:rPr>
          <w:spacing w:val="-19"/>
        </w:rPr>
        <w:t> </w:t>
      </w:r>
      <w:r>
        <w:rPr/>
        <w:t>año</w:t>
      </w:r>
      <w:r>
        <w:rPr>
          <w:spacing w:val="-18"/>
        </w:rPr>
        <w:t> </w:t>
      </w:r>
      <w:r>
        <w:rPr/>
        <w:t>2010,</w:t>
      </w:r>
      <w:r>
        <w:rPr>
          <w:spacing w:val="-18"/>
        </w:rPr>
        <w:t> </w:t>
      </w:r>
      <w:r>
        <w:rPr/>
        <w:t>de</w:t>
      </w:r>
      <w:r>
        <w:rPr>
          <w:spacing w:val="-18"/>
        </w:rPr>
        <w:t> </w:t>
      </w:r>
      <w:r>
        <w:rPr/>
        <w:t>los</w:t>
      </w:r>
      <w:r>
        <w:rPr>
          <w:spacing w:val="-18"/>
        </w:rPr>
        <w:t> </w:t>
      </w:r>
      <w:r>
        <w:rPr/>
        <w:t>17</w:t>
      </w:r>
      <w:r>
        <w:rPr>
          <w:spacing w:val="-18"/>
        </w:rPr>
        <w:t> </w:t>
      </w:r>
      <w:r>
        <w:rPr/>
        <w:t>municipios</w:t>
      </w:r>
      <w:r>
        <w:rPr>
          <w:spacing w:val="-16"/>
        </w:rPr>
        <w:t> </w:t>
      </w:r>
      <w:r>
        <w:rPr/>
        <w:t>que</w:t>
      </w:r>
      <w:r>
        <w:rPr>
          <w:spacing w:val="-18"/>
        </w:rPr>
        <w:t> </w:t>
      </w:r>
      <w:r>
        <w:rPr/>
        <w:t>publicaron</w:t>
      </w:r>
      <w:r>
        <w:rPr>
          <w:spacing w:val="-16"/>
        </w:rPr>
        <w:t> </w:t>
      </w:r>
      <w:r>
        <w:rPr/>
        <w:t>su</w:t>
      </w:r>
      <w:r>
        <w:rPr>
          <w:spacing w:val="-18"/>
        </w:rPr>
        <w:t> </w:t>
      </w:r>
      <w:r>
        <w:rPr/>
        <w:t>presupuesto</w:t>
      </w:r>
      <w:r>
        <w:rPr>
          <w:spacing w:val="-17"/>
        </w:rPr>
        <w:t> </w:t>
      </w:r>
      <w:r>
        <w:rPr/>
        <w:t>llama</w:t>
      </w:r>
      <w:r>
        <w:rPr>
          <w:spacing w:val="-18"/>
        </w:rPr>
        <w:t> </w:t>
      </w:r>
      <w:r>
        <w:rPr/>
        <w:t>la</w:t>
      </w:r>
      <w:r>
        <w:rPr>
          <w:spacing w:val="-18"/>
        </w:rPr>
        <w:t> </w:t>
      </w:r>
      <w:r>
        <w:rPr/>
        <w:t>atención el de Chimalhuacán con un total de 1,204,749,689 pesos como el municipio con mayor presupuesto y el de Xonacatlán con tan solo 4,587,200 pesos anuales. En tanto que 108 municipios no publicaron</w:t>
      </w:r>
      <w:r>
        <w:rPr>
          <w:spacing w:val="-18"/>
        </w:rPr>
        <w:t> </w:t>
      </w:r>
      <w:r>
        <w:rPr/>
        <w:t>nada.</w:t>
      </w:r>
    </w:p>
    <w:p>
      <w:pPr>
        <w:pStyle w:val="BodyText"/>
      </w:pPr>
    </w:p>
    <w:p>
      <w:pPr>
        <w:pStyle w:val="BodyText"/>
      </w:pPr>
    </w:p>
    <w:p>
      <w:pPr>
        <w:pStyle w:val="BodyText"/>
        <w:spacing w:line="360" w:lineRule="auto" w:before="185"/>
        <w:ind w:left="108" w:right="115"/>
        <w:jc w:val="both"/>
      </w:pPr>
      <w:r>
        <w:rPr/>
        <w:t>En el año 2011, de los 49 municipios que publicaron su presupuesto anual. Llaman la atención los de Toluca con 3,747,940,786.85 pesos, Ecatepec de Morelos con 3,490,027,824.54 pesos, Atizapán de Zaragoza con 2,944,368,620 pesos, Nezahualcóyotl con 2,833,963,749.2 pesos y Tlalnepantla de Baz con 2,665,378,055.19 pesos como los cinco municipios con mayor presupuesto en el Estado de México. De manera contrastante entre los cinco municipios con menor presupuesto se encuentran Tezoyuca con 67,091,667 pesos, Zinacantepec con 58,166,213.39 pesos, Jilotepec con 17,174,607.96 pesos, Teoloyucan con 16,333,776</w:t>
      </w:r>
      <w:r>
        <w:rPr>
          <w:spacing w:val="-12"/>
        </w:rPr>
        <w:t> </w:t>
      </w:r>
      <w:r>
        <w:rPr/>
        <w:t>pesos</w:t>
      </w:r>
      <w:r>
        <w:rPr>
          <w:spacing w:val="-11"/>
        </w:rPr>
        <w:t> </w:t>
      </w:r>
      <w:r>
        <w:rPr/>
        <w:t>y</w:t>
      </w:r>
      <w:r>
        <w:rPr>
          <w:spacing w:val="-13"/>
        </w:rPr>
        <w:t> </w:t>
      </w:r>
      <w:r>
        <w:rPr/>
        <w:t>Xonacatlán</w:t>
      </w:r>
      <w:r>
        <w:rPr>
          <w:spacing w:val="-10"/>
        </w:rPr>
        <w:t> </w:t>
      </w:r>
      <w:r>
        <w:rPr/>
        <w:t>con</w:t>
      </w:r>
      <w:r>
        <w:rPr>
          <w:spacing w:val="-10"/>
        </w:rPr>
        <w:t> </w:t>
      </w:r>
      <w:r>
        <w:rPr/>
        <w:t>6,989,933.78</w:t>
      </w:r>
      <w:r>
        <w:rPr>
          <w:spacing w:val="-10"/>
        </w:rPr>
        <w:t> </w:t>
      </w:r>
      <w:r>
        <w:rPr/>
        <w:t>pesos.</w:t>
      </w:r>
      <w:r>
        <w:rPr>
          <w:spacing w:val="-12"/>
        </w:rPr>
        <w:t> </w:t>
      </w:r>
      <w:r>
        <w:rPr/>
        <w:t>En</w:t>
      </w:r>
      <w:r>
        <w:rPr>
          <w:spacing w:val="-10"/>
        </w:rPr>
        <w:t> </w:t>
      </w:r>
      <w:r>
        <w:rPr/>
        <w:t>tanto</w:t>
      </w:r>
      <w:r>
        <w:rPr>
          <w:spacing w:val="-10"/>
        </w:rPr>
        <w:t> </w:t>
      </w:r>
      <w:r>
        <w:rPr/>
        <w:t>que</w:t>
      </w:r>
      <w:r>
        <w:rPr>
          <w:spacing w:val="-10"/>
        </w:rPr>
        <w:t> </w:t>
      </w:r>
      <w:r>
        <w:rPr/>
        <w:t>76</w:t>
      </w:r>
      <w:r>
        <w:rPr>
          <w:spacing w:val="-11"/>
        </w:rPr>
        <w:t> </w:t>
      </w:r>
      <w:r>
        <w:rPr/>
        <w:t>municipios no publicaron</w:t>
      </w:r>
      <w:r>
        <w:rPr>
          <w:spacing w:val="-7"/>
        </w:rPr>
        <w:t> </w:t>
      </w:r>
      <w:r>
        <w:rPr/>
        <w:t>nada.</w:t>
      </w:r>
    </w:p>
    <w:p>
      <w:pPr>
        <w:spacing w:after="0" w:line="360" w:lineRule="auto"/>
        <w:jc w:val="both"/>
        <w:sectPr>
          <w:pgSz w:w="12240" w:h="15840"/>
          <w:pgMar w:header="0" w:footer="975" w:top="1360" w:bottom="1220" w:left="1500" w:right="1580"/>
        </w:sectPr>
      </w:pPr>
    </w:p>
    <w:p>
      <w:pPr>
        <w:pStyle w:val="BodyText"/>
        <w:spacing w:line="360" w:lineRule="auto" w:before="54"/>
        <w:ind w:left="108" w:right="116"/>
        <w:jc w:val="both"/>
      </w:pPr>
      <w:r>
        <w:rPr/>
        <w:t>En el año 2012, de los 57 municipios que publicaron su presupuesto anual. Llaman la atención los de Ecatepec de Morelos con 4,105,131,365.34 pesos, Toluca con 3,539,248,284 pesos, Tlalnepantla de Baz 2,825,989,593.17 pesos, Nezahualcóyotl con 2,643,908,620.27 pesos y Cuautitlán Izcalli con 2,478,015,473.39 pesos como los cinco municipios con mayor presupuesto en el Estado de México. De manera contrastante entre los cinco municipios con menor presupuesto se encuentran Aculco</w:t>
      </w:r>
      <w:r>
        <w:rPr>
          <w:spacing w:val="-19"/>
        </w:rPr>
        <w:t> </w:t>
      </w:r>
      <w:r>
        <w:rPr/>
        <w:t>con</w:t>
      </w:r>
      <w:r>
        <w:rPr>
          <w:spacing w:val="-21"/>
        </w:rPr>
        <w:t> </w:t>
      </w:r>
      <w:r>
        <w:rPr/>
        <w:t>6,675,760.58</w:t>
      </w:r>
      <w:r>
        <w:rPr>
          <w:spacing w:val="-19"/>
        </w:rPr>
        <w:t> </w:t>
      </w:r>
      <w:r>
        <w:rPr/>
        <w:t>pesos,</w:t>
      </w:r>
      <w:r>
        <w:rPr>
          <w:spacing w:val="-15"/>
        </w:rPr>
        <w:t> </w:t>
      </w:r>
      <w:r>
        <w:rPr/>
        <w:t>Metepec</w:t>
      </w:r>
      <w:r>
        <w:rPr>
          <w:spacing w:val="-20"/>
        </w:rPr>
        <w:t> </w:t>
      </w:r>
      <w:r>
        <w:rPr/>
        <w:t>con</w:t>
      </w:r>
      <w:r>
        <w:rPr>
          <w:spacing w:val="-21"/>
        </w:rPr>
        <w:t> </w:t>
      </w:r>
      <w:r>
        <w:rPr/>
        <w:t>5,929,178.86</w:t>
      </w:r>
      <w:r>
        <w:rPr>
          <w:spacing w:val="-19"/>
        </w:rPr>
        <w:t> </w:t>
      </w:r>
      <w:r>
        <w:rPr/>
        <w:t>pesos,</w:t>
      </w:r>
      <w:r>
        <w:rPr>
          <w:spacing w:val="-22"/>
        </w:rPr>
        <w:t> </w:t>
      </w:r>
      <w:r>
        <w:rPr/>
        <w:t>Mexicaltzingo</w:t>
      </w:r>
      <w:r>
        <w:rPr>
          <w:spacing w:val="-19"/>
        </w:rPr>
        <w:t> </w:t>
      </w:r>
      <w:r>
        <w:rPr/>
        <w:t>con 3,685,334 pesos, Chapultepec con 2,280,000 pesos, Chapultepec con 2,280,000 pesos y Joquicingo con 63,606.3 pesos. En tanto que 48 municipios no publicaron nada.</w:t>
      </w:r>
    </w:p>
    <w:p>
      <w:pPr>
        <w:pStyle w:val="BodyText"/>
      </w:pPr>
    </w:p>
    <w:p>
      <w:pPr>
        <w:pStyle w:val="BodyText"/>
      </w:pPr>
    </w:p>
    <w:p>
      <w:pPr>
        <w:pStyle w:val="BodyText"/>
        <w:spacing w:line="360" w:lineRule="auto" w:before="185"/>
        <w:ind w:left="108" w:right="115"/>
        <w:jc w:val="both"/>
      </w:pPr>
      <w:r>
        <w:rPr/>
        <w:t>En el año 2013, de los 86 municipios que publicaron su presupuesto anual. Llaman la atención los de Ecatepec de Morelos con 4,403,803,262.88 pesos, Naucalpan de Juárez</w:t>
      </w:r>
      <w:r>
        <w:rPr>
          <w:spacing w:val="-16"/>
        </w:rPr>
        <w:t> </w:t>
      </w:r>
      <w:r>
        <w:rPr/>
        <w:t>con</w:t>
      </w:r>
      <w:r>
        <w:rPr>
          <w:spacing w:val="-13"/>
        </w:rPr>
        <w:t> </w:t>
      </w:r>
      <w:r>
        <w:rPr/>
        <w:t>4347275836.83</w:t>
      </w:r>
      <w:r>
        <w:rPr>
          <w:spacing w:val="-15"/>
        </w:rPr>
        <w:t> </w:t>
      </w:r>
      <w:r>
        <w:rPr/>
        <w:t>pesos,</w:t>
      </w:r>
      <w:r>
        <w:rPr>
          <w:spacing w:val="-12"/>
        </w:rPr>
        <w:t> </w:t>
      </w:r>
      <w:r>
        <w:rPr/>
        <w:t>Toluca</w:t>
      </w:r>
      <w:r>
        <w:rPr>
          <w:spacing w:val="-13"/>
        </w:rPr>
        <w:t> </w:t>
      </w:r>
      <w:r>
        <w:rPr/>
        <w:t>con</w:t>
      </w:r>
      <w:r>
        <w:rPr>
          <w:spacing w:val="-15"/>
        </w:rPr>
        <w:t> </w:t>
      </w:r>
      <w:r>
        <w:rPr/>
        <w:t>3,515,199,876.26</w:t>
      </w:r>
      <w:r>
        <w:rPr>
          <w:spacing w:val="-13"/>
        </w:rPr>
        <w:t> </w:t>
      </w:r>
      <w:r>
        <w:rPr/>
        <w:t>pesos,</w:t>
      </w:r>
      <w:r>
        <w:rPr>
          <w:spacing w:val="-15"/>
        </w:rPr>
        <w:t> </w:t>
      </w:r>
      <w:r>
        <w:rPr/>
        <w:t>Tlalnepantla de Baz con 3,487,539,139.89 pesos y Atizapán de Zaragoza con 2,862,442,032 pesos como los cinco municipios con mayor presupuesto en el Estado de México. De manera contrastante entre los cinco municipios con menor presupuesto se encuentran Almoloya del Río con 45,584,669.34 pesos, Chapultepec con 42,867,884.17 pesos, Texcalyacac con 36,125,371.35 pesos, Teoloyucan con 35,580,763.45</w:t>
      </w:r>
      <w:r>
        <w:rPr>
          <w:spacing w:val="-6"/>
        </w:rPr>
        <w:t> </w:t>
      </w:r>
      <w:r>
        <w:rPr/>
        <w:t>pesos</w:t>
      </w:r>
      <w:r>
        <w:rPr>
          <w:spacing w:val="-4"/>
        </w:rPr>
        <w:t> </w:t>
      </w:r>
      <w:r>
        <w:rPr/>
        <w:t>y</w:t>
      </w:r>
      <w:r>
        <w:rPr>
          <w:spacing w:val="-7"/>
        </w:rPr>
        <w:t> </w:t>
      </w:r>
      <w:r>
        <w:rPr/>
        <w:t>Papalotla</w:t>
      </w:r>
      <w:r>
        <w:rPr>
          <w:spacing w:val="-4"/>
        </w:rPr>
        <w:t> </w:t>
      </w:r>
      <w:r>
        <w:rPr/>
        <w:t>con</w:t>
      </w:r>
      <w:r>
        <w:rPr>
          <w:spacing w:val="-4"/>
        </w:rPr>
        <w:t> </w:t>
      </w:r>
      <w:r>
        <w:rPr/>
        <w:t>14,680,512</w:t>
      </w:r>
      <w:r>
        <w:rPr>
          <w:spacing w:val="-6"/>
        </w:rPr>
        <w:t> </w:t>
      </w:r>
      <w:r>
        <w:rPr/>
        <w:t>pesos.</w:t>
      </w:r>
      <w:r>
        <w:rPr>
          <w:spacing w:val="-4"/>
        </w:rPr>
        <w:t> </w:t>
      </w:r>
      <w:r>
        <w:rPr/>
        <w:t>En</w:t>
      </w:r>
      <w:r>
        <w:rPr>
          <w:spacing w:val="-6"/>
        </w:rPr>
        <w:t> </w:t>
      </w:r>
      <w:r>
        <w:rPr/>
        <w:t>tanto</w:t>
      </w:r>
      <w:r>
        <w:rPr>
          <w:spacing w:val="-3"/>
        </w:rPr>
        <w:t> </w:t>
      </w:r>
      <w:r>
        <w:rPr/>
        <w:t>que</w:t>
      </w:r>
      <w:r>
        <w:rPr>
          <w:spacing w:val="-4"/>
        </w:rPr>
        <w:t> </w:t>
      </w:r>
      <w:r>
        <w:rPr/>
        <w:t>39</w:t>
      </w:r>
      <w:r>
        <w:rPr>
          <w:spacing w:val="-4"/>
        </w:rPr>
        <w:t> </w:t>
      </w:r>
      <w:r>
        <w:rPr/>
        <w:t>municipios no publicaron</w:t>
      </w:r>
      <w:r>
        <w:rPr>
          <w:spacing w:val="-7"/>
        </w:rPr>
        <w:t> </w:t>
      </w:r>
      <w:r>
        <w:rPr/>
        <w:t>nada.</w:t>
      </w:r>
    </w:p>
    <w:p>
      <w:pPr>
        <w:pStyle w:val="BodyText"/>
      </w:pPr>
    </w:p>
    <w:p>
      <w:pPr>
        <w:pStyle w:val="BodyText"/>
      </w:pPr>
    </w:p>
    <w:p>
      <w:pPr>
        <w:pStyle w:val="BodyText"/>
        <w:spacing w:line="360" w:lineRule="auto" w:before="187"/>
        <w:ind w:left="108" w:right="115"/>
        <w:jc w:val="both"/>
      </w:pPr>
      <w:r>
        <w:rPr/>
        <w:t>En el año 2014, de los 81 municipios que publicaron su presupuesto anual. Llaman la atención los de Tlalnepantla de Baz con 4,944,262,771.79 pesos, Naucalpan de Juárez con 4,932,323,707.92 pesos, Ecatepec de Morelos con 4,360,926,623.31 pesos, Toluca con 4,153,532,839.03 pesos y Nezahualcóyotl 3,578,691,622.39 pesos como los cinco municipios con mayor presupuesto en el Estado de México. De manera contrastante entre los cinco municipios con menor presupuesto se encuentran Texcalyacac con 38,875,777.5 pesos, Xonacatlán con 20,814,964.8 pesos, Ixtapaluca  con 14,477,086 pesos,  Juchitepec  con 13,038,057.16 pesos   y</w:t>
      </w:r>
    </w:p>
    <w:p>
      <w:pPr>
        <w:spacing w:after="0" w:line="360" w:lineRule="auto"/>
        <w:jc w:val="both"/>
        <w:sectPr>
          <w:pgSz w:w="12240" w:h="15840"/>
          <w:pgMar w:header="0" w:footer="975" w:top="1360" w:bottom="1220" w:left="1500" w:right="1580"/>
        </w:sectPr>
      </w:pPr>
    </w:p>
    <w:p>
      <w:pPr>
        <w:pStyle w:val="BodyText"/>
        <w:spacing w:line="362" w:lineRule="auto" w:before="54"/>
        <w:ind w:left="108" w:right="116"/>
        <w:jc w:val="both"/>
      </w:pPr>
      <w:r>
        <w:rPr/>
        <w:t>Coatepec</w:t>
      </w:r>
      <w:r>
        <w:rPr>
          <w:spacing w:val="-16"/>
        </w:rPr>
        <w:t> </w:t>
      </w:r>
      <w:r>
        <w:rPr/>
        <w:t>de</w:t>
      </w:r>
      <w:r>
        <w:rPr>
          <w:spacing w:val="-15"/>
        </w:rPr>
        <w:t> </w:t>
      </w:r>
      <w:r>
        <w:rPr/>
        <w:t>Harinas</w:t>
      </w:r>
      <w:r>
        <w:rPr>
          <w:spacing w:val="-16"/>
        </w:rPr>
        <w:t> </w:t>
      </w:r>
      <w:r>
        <w:rPr/>
        <w:t>con</w:t>
      </w:r>
      <w:r>
        <w:rPr>
          <w:spacing w:val="-16"/>
        </w:rPr>
        <w:t> </w:t>
      </w:r>
      <w:r>
        <w:rPr/>
        <w:t>4,785,148</w:t>
      </w:r>
      <w:r>
        <w:rPr>
          <w:spacing w:val="-15"/>
        </w:rPr>
        <w:t> </w:t>
      </w:r>
      <w:r>
        <w:rPr/>
        <w:t>pesos.</w:t>
      </w:r>
      <w:r>
        <w:rPr>
          <w:spacing w:val="-16"/>
        </w:rPr>
        <w:t> </w:t>
      </w:r>
      <w:r>
        <w:rPr/>
        <w:t>En</w:t>
      </w:r>
      <w:r>
        <w:rPr>
          <w:spacing w:val="-13"/>
        </w:rPr>
        <w:t> </w:t>
      </w:r>
      <w:r>
        <w:rPr/>
        <w:t>tanto</w:t>
      </w:r>
      <w:r>
        <w:rPr>
          <w:spacing w:val="-13"/>
        </w:rPr>
        <w:t> </w:t>
      </w:r>
      <w:r>
        <w:rPr/>
        <w:t>que</w:t>
      </w:r>
      <w:r>
        <w:rPr>
          <w:spacing w:val="-15"/>
        </w:rPr>
        <w:t> </w:t>
      </w:r>
      <w:r>
        <w:rPr/>
        <w:t>44</w:t>
      </w:r>
      <w:r>
        <w:rPr>
          <w:spacing w:val="-16"/>
        </w:rPr>
        <w:t> </w:t>
      </w:r>
      <w:r>
        <w:rPr/>
        <w:t>municipios</w:t>
      </w:r>
      <w:r>
        <w:rPr>
          <w:spacing w:val="-13"/>
        </w:rPr>
        <w:t> </w:t>
      </w:r>
      <w:r>
        <w:rPr/>
        <w:t>no</w:t>
      </w:r>
      <w:r>
        <w:rPr>
          <w:spacing w:val="-16"/>
        </w:rPr>
        <w:t> </w:t>
      </w:r>
      <w:r>
        <w:rPr/>
        <w:t>publicaron nada.</w:t>
      </w:r>
    </w:p>
    <w:p>
      <w:pPr>
        <w:pStyle w:val="BodyText"/>
      </w:pPr>
    </w:p>
    <w:p>
      <w:pPr>
        <w:pStyle w:val="BodyText"/>
      </w:pPr>
    </w:p>
    <w:p>
      <w:pPr>
        <w:pStyle w:val="BodyText"/>
        <w:spacing w:line="360" w:lineRule="auto" w:before="182"/>
        <w:ind w:left="108" w:right="116"/>
        <w:jc w:val="both"/>
      </w:pPr>
      <w:r>
        <w:rPr/>
        <w:t>En el año 2015, de los 81 municipios que publicaron su presupuesto anual. Llaman la atención los de Tlalnepantla de Baz con 5,154,425,829.62 pesos, Toluca con 4,959,161,174 pesos, Naucalpan de Juárez con 4,883,304,393.97 pesos, Ecatepec de Morelos con 4,799,338,770 pesos y Nezahualcóyotl con 4,184,679,022.5 pesos como los cinco municipios con mayor presupuesto en el Estado de México. De manera contrastante entre los cinco municipios con menor presupuesto se encuentran Papalotla con 42,317,608.2 pesos, Texcalyacac con 34,662,362.42 pesos, Acolman con 22,651,407 pesos, Villa de Allende con 1,247,000 pesos y Cocotiltlán con 25,154 pesos. En tanto que 44 municipios no publicaron nada.</w:t>
      </w:r>
    </w:p>
    <w:p>
      <w:pPr>
        <w:pStyle w:val="BodyText"/>
      </w:pPr>
    </w:p>
    <w:p>
      <w:pPr>
        <w:pStyle w:val="BodyText"/>
      </w:pPr>
    </w:p>
    <w:p>
      <w:pPr>
        <w:pStyle w:val="BodyText"/>
        <w:spacing w:line="360" w:lineRule="auto" w:before="185"/>
        <w:ind w:left="108" w:right="116"/>
        <w:jc w:val="both"/>
      </w:pPr>
      <w:r>
        <w:rPr/>
        <w:t>Es relevante destacar la disparidad de presupuestos que le son asignados a los municipios, ya que mientras unos exceden los 5 mil millones de pesos hay quienes no llegan a un millón. Ante esta situación podría pensarse que quienes más presupuesto tienen, podrían ser los municipios más transparentes. En esta variable se vuelve a presentar la falta de cumplimiento de la ley, ya que el presupuesto es uno de los elementos que se considera como información pública de oficio. Esta condición también permite inferir la falta de sanciones a quienes incumplen la ley, o en caso de haberlas deben ser mínimas puesto que el costo beneficio podría indicarles que es mejor no publicarlo que hacerlo. Asimismo, esta situación permite inferir</w:t>
      </w:r>
      <w:r>
        <w:rPr>
          <w:spacing w:val="-10"/>
        </w:rPr>
        <w:t> </w:t>
      </w:r>
      <w:r>
        <w:rPr/>
        <w:t>que</w:t>
      </w:r>
      <w:r>
        <w:rPr>
          <w:spacing w:val="-8"/>
        </w:rPr>
        <w:t> </w:t>
      </w:r>
      <w:r>
        <w:rPr/>
        <w:t>también</w:t>
      </w:r>
      <w:r>
        <w:rPr>
          <w:spacing w:val="-8"/>
        </w:rPr>
        <w:t> </w:t>
      </w:r>
      <w:r>
        <w:rPr/>
        <w:t>hay</w:t>
      </w:r>
      <w:r>
        <w:rPr>
          <w:spacing w:val="-9"/>
        </w:rPr>
        <w:t> </w:t>
      </w:r>
      <w:r>
        <w:rPr/>
        <w:t>impunidad</w:t>
      </w:r>
      <w:r>
        <w:rPr>
          <w:spacing w:val="-11"/>
        </w:rPr>
        <w:t> </w:t>
      </w:r>
      <w:r>
        <w:rPr/>
        <w:t>para</w:t>
      </w:r>
      <w:r>
        <w:rPr>
          <w:spacing w:val="-9"/>
        </w:rPr>
        <w:t> </w:t>
      </w:r>
      <w:r>
        <w:rPr/>
        <w:t>quienes</w:t>
      </w:r>
      <w:r>
        <w:rPr>
          <w:spacing w:val="-9"/>
        </w:rPr>
        <w:t> </w:t>
      </w:r>
      <w:r>
        <w:rPr/>
        <w:t>incumplen</w:t>
      </w:r>
      <w:r>
        <w:rPr>
          <w:spacing w:val="-8"/>
        </w:rPr>
        <w:t> </w:t>
      </w:r>
      <w:r>
        <w:rPr/>
        <w:t>la</w:t>
      </w:r>
      <w:r>
        <w:rPr>
          <w:spacing w:val="-9"/>
        </w:rPr>
        <w:t> </w:t>
      </w:r>
      <w:r>
        <w:rPr/>
        <w:t>ley</w:t>
      </w:r>
      <w:r>
        <w:rPr>
          <w:spacing w:val="-11"/>
        </w:rPr>
        <w:t> </w:t>
      </w:r>
      <w:r>
        <w:rPr/>
        <w:t>o</w:t>
      </w:r>
      <w:r>
        <w:rPr>
          <w:spacing w:val="-8"/>
        </w:rPr>
        <w:t> </w:t>
      </w:r>
      <w:r>
        <w:rPr/>
        <w:t>es</w:t>
      </w:r>
      <w:r>
        <w:rPr>
          <w:spacing w:val="-9"/>
        </w:rPr>
        <w:t> </w:t>
      </w:r>
      <w:r>
        <w:rPr/>
        <w:t>menor</w:t>
      </w:r>
      <w:r>
        <w:rPr>
          <w:spacing w:val="-10"/>
        </w:rPr>
        <w:t> </w:t>
      </w:r>
      <w:r>
        <w:rPr/>
        <w:t>el</w:t>
      </w:r>
      <w:r>
        <w:rPr>
          <w:spacing w:val="-10"/>
        </w:rPr>
        <w:t> </w:t>
      </w:r>
      <w:r>
        <w:rPr/>
        <w:t>costo que tiene no publicar sus finanzas que las sanciones que las sanciones que recibe por</w:t>
      </w:r>
      <w:r>
        <w:rPr>
          <w:spacing w:val="-6"/>
        </w:rPr>
        <w:t> </w:t>
      </w:r>
      <w:r>
        <w:rPr/>
        <w:t>hacerlo.</w:t>
      </w:r>
    </w:p>
    <w:p>
      <w:pPr>
        <w:spacing w:after="0" w:line="360" w:lineRule="auto"/>
        <w:jc w:val="both"/>
        <w:sectPr>
          <w:pgSz w:w="12240" w:h="15840"/>
          <w:pgMar w:header="0" w:footer="975" w:top="1360" w:bottom="1220" w:left="1500" w:right="1580"/>
        </w:sectPr>
      </w:pPr>
    </w:p>
    <w:p>
      <w:pPr>
        <w:pStyle w:val="Heading1"/>
        <w:numPr>
          <w:ilvl w:val="1"/>
          <w:numId w:val="52"/>
        </w:numPr>
        <w:tabs>
          <w:tab w:pos="634" w:val="left" w:leader="none"/>
        </w:tabs>
        <w:spacing w:line="362" w:lineRule="auto" w:before="54" w:after="0"/>
        <w:ind w:left="634" w:right="116" w:hanging="526"/>
        <w:jc w:val="left"/>
      </w:pPr>
      <w:bookmarkStart w:name="_bookmark16" w:id="29"/>
      <w:bookmarkEnd w:id="29"/>
      <w:r>
        <w:rPr>
          <w:b w:val="0"/>
        </w:rPr>
      </w:r>
      <w:bookmarkStart w:name="_bookmark16" w:id="30"/>
      <w:bookmarkEnd w:id="30"/>
      <w:r>
        <w:rPr/>
        <w:t>C</w:t>
      </w:r>
      <w:r>
        <w:rPr/>
        <w:t>umplimiento de la ley de transparencia en los municipios del Estado de México</w:t>
      </w:r>
    </w:p>
    <w:p>
      <w:pPr>
        <w:pStyle w:val="BodyText"/>
        <w:rPr>
          <w:b/>
        </w:rPr>
      </w:pPr>
    </w:p>
    <w:p>
      <w:pPr>
        <w:pStyle w:val="BodyText"/>
        <w:spacing w:before="1"/>
        <w:rPr>
          <w:b/>
          <w:sz w:val="26"/>
        </w:rPr>
      </w:pPr>
    </w:p>
    <w:p>
      <w:pPr>
        <w:pStyle w:val="BodyText"/>
        <w:spacing w:line="360" w:lineRule="auto"/>
        <w:ind w:left="108" w:right="116"/>
        <w:jc w:val="both"/>
      </w:pPr>
      <w:r>
        <w:rPr/>
        <w:t>Las mediciones realizadas por el INFOEM comenzaron oficialmente a partir del año 2013,</w:t>
      </w:r>
      <w:r>
        <w:rPr>
          <w:spacing w:val="-6"/>
        </w:rPr>
        <w:t> </w:t>
      </w:r>
      <w:r>
        <w:rPr/>
        <w:t>cuando</w:t>
      </w:r>
      <w:r>
        <w:rPr>
          <w:spacing w:val="-8"/>
        </w:rPr>
        <w:t> </w:t>
      </w:r>
      <w:r>
        <w:rPr/>
        <w:t>se</w:t>
      </w:r>
      <w:r>
        <w:rPr>
          <w:spacing w:val="-11"/>
        </w:rPr>
        <w:t> </w:t>
      </w:r>
      <w:r>
        <w:rPr/>
        <w:t>modificó</w:t>
      </w:r>
      <w:r>
        <w:rPr>
          <w:spacing w:val="-6"/>
        </w:rPr>
        <w:t> </w:t>
      </w:r>
      <w:r>
        <w:rPr/>
        <w:t>la</w:t>
      </w:r>
      <w:r>
        <w:rPr>
          <w:spacing w:val="-9"/>
        </w:rPr>
        <w:t> </w:t>
      </w:r>
      <w:r>
        <w:rPr/>
        <w:t>ley</w:t>
      </w:r>
      <w:r>
        <w:rPr>
          <w:spacing w:val="-9"/>
        </w:rPr>
        <w:t> </w:t>
      </w:r>
      <w:r>
        <w:rPr/>
        <w:t>de</w:t>
      </w:r>
      <w:r>
        <w:rPr>
          <w:spacing w:val="-8"/>
        </w:rPr>
        <w:t> </w:t>
      </w:r>
      <w:r>
        <w:rPr/>
        <w:t>transparencia</w:t>
      </w:r>
      <w:r>
        <w:rPr>
          <w:spacing w:val="-9"/>
        </w:rPr>
        <w:t> </w:t>
      </w:r>
      <w:r>
        <w:rPr/>
        <w:t>del</w:t>
      </w:r>
      <w:r>
        <w:rPr>
          <w:spacing w:val="-8"/>
        </w:rPr>
        <w:t> </w:t>
      </w:r>
      <w:r>
        <w:rPr/>
        <w:t>Estado</w:t>
      </w:r>
      <w:r>
        <w:rPr>
          <w:spacing w:val="-8"/>
        </w:rPr>
        <w:t> </w:t>
      </w:r>
      <w:r>
        <w:rPr/>
        <w:t>de</w:t>
      </w:r>
      <w:r>
        <w:rPr>
          <w:spacing w:val="-8"/>
        </w:rPr>
        <w:t> </w:t>
      </w:r>
      <w:r>
        <w:rPr/>
        <w:t>México</w:t>
      </w:r>
      <w:r>
        <w:rPr>
          <w:spacing w:val="-6"/>
        </w:rPr>
        <w:t> </w:t>
      </w:r>
      <w:r>
        <w:rPr/>
        <w:t>y</w:t>
      </w:r>
      <w:r>
        <w:rPr>
          <w:spacing w:val="-9"/>
        </w:rPr>
        <w:t> </w:t>
      </w:r>
      <w:r>
        <w:rPr/>
        <w:t>le</w:t>
      </w:r>
      <w:r>
        <w:rPr>
          <w:spacing w:val="-6"/>
        </w:rPr>
        <w:t> </w:t>
      </w:r>
      <w:r>
        <w:rPr/>
        <w:t>otorgó</w:t>
      </w:r>
      <w:r>
        <w:rPr>
          <w:spacing w:val="-8"/>
        </w:rPr>
        <w:t> </w:t>
      </w:r>
      <w:r>
        <w:rPr/>
        <w:t>la facultad para evaluar a los sujetos obligados. No obstante, se presenta también el año 2012 en virtud de que el INFOEM realizó una estimación correspondiente </w:t>
      </w:r>
      <w:r>
        <w:rPr>
          <w:spacing w:val="-2"/>
        </w:rPr>
        <w:t>que </w:t>
      </w:r>
      <w:r>
        <w:rPr/>
        <w:t>sirvió</w:t>
      </w:r>
      <w:r>
        <w:rPr>
          <w:spacing w:val="-5"/>
        </w:rPr>
        <w:t> </w:t>
      </w:r>
      <w:r>
        <w:rPr/>
        <w:t>de</w:t>
      </w:r>
      <w:r>
        <w:rPr>
          <w:spacing w:val="-5"/>
        </w:rPr>
        <w:t> </w:t>
      </w:r>
      <w:r>
        <w:rPr/>
        <w:t>punto</w:t>
      </w:r>
      <w:r>
        <w:rPr>
          <w:spacing w:val="-5"/>
        </w:rPr>
        <w:t> </w:t>
      </w:r>
      <w:r>
        <w:rPr/>
        <w:t>de</w:t>
      </w:r>
      <w:r>
        <w:rPr>
          <w:spacing w:val="-5"/>
        </w:rPr>
        <w:t> </w:t>
      </w:r>
      <w:r>
        <w:rPr/>
        <w:t>partida</w:t>
      </w:r>
      <w:r>
        <w:rPr>
          <w:spacing w:val="-5"/>
        </w:rPr>
        <w:t> </w:t>
      </w:r>
      <w:r>
        <w:rPr/>
        <w:t>para</w:t>
      </w:r>
      <w:r>
        <w:rPr>
          <w:spacing w:val="-5"/>
        </w:rPr>
        <w:t> </w:t>
      </w:r>
      <w:r>
        <w:rPr/>
        <w:t>realizar</w:t>
      </w:r>
      <w:r>
        <w:rPr>
          <w:spacing w:val="-6"/>
        </w:rPr>
        <w:t> </w:t>
      </w:r>
      <w:r>
        <w:rPr/>
        <w:t>las</w:t>
      </w:r>
      <w:r>
        <w:rPr>
          <w:spacing w:val="-5"/>
        </w:rPr>
        <w:t> </w:t>
      </w:r>
      <w:r>
        <w:rPr/>
        <w:t>mediciones</w:t>
      </w:r>
      <w:r>
        <w:rPr>
          <w:spacing w:val="-8"/>
        </w:rPr>
        <w:t> </w:t>
      </w:r>
      <w:r>
        <w:rPr/>
        <w:t>oficiales.</w:t>
      </w:r>
      <w:r>
        <w:rPr>
          <w:spacing w:val="-7"/>
        </w:rPr>
        <w:t> </w:t>
      </w:r>
      <w:r>
        <w:rPr/>
        <w:t>En</w:t>
      </w:r>
      <w:r>
        <w:rPr>
          <w:spacing w:val="-7"/>
        </w:rPr>
        <w:t> </w:t>
      </w:r>
      <w:r>
        <w:rPr/>
        <w:t>este</w:t>
      </w:r>
      <w:r>
        <w:rPr>
          <w:spacing w:val="-4"/>
        </w:rPr>
        <w:t> </w:t>
      </w:r>
      <w:r>
        <w:rPr/>
        <w:t>apartado</w:t>
      </w:r>
      <w:r>
        <w:rPr>
          <w:spacing w:val="-5"/>
        </w:rPr>
        <w:t> </w:t>
      </w:r>
      <w:r>
        <w:rPr/>
        <w:t>se muestran</w:t>
      </w:r>
      <w:r>
        <w:rPr>
          <w:spacing w:val="-12"/>
        </w:rPr>
        <w:t> </w:t>
      </w:r>
      <w:r>
        <w:rPr/>
        <w:t>en</w:t>
      </w:r>
      <w:r>
        <w:rPr>
          <w:spacing w:val="-12"/>
        </w:rPr>
        <w:t> </w:t>
      </w:r>
      <w:r>
        <w:rPr/>
        <w:t>primer</w:t>
      </w:r>
      <w:r>
        <w:rPr>
          <w:spacing w:val="-11"/>
        </w:rPr>
        <w:t> </w:t>
      </w:r>
      <w:r>
        <w:rPr/>
        <w:t>lugar</w:t>
      </w:r>
      <w:r>
        <w:rPr>
          <w:spacing w:val="-11"/>
        </w:rPr>
        <w:t> </w:t>
      </w:r>
      <w:r>
        <w:rPr/>
        <w:t>algunas</w:t>
      </w:r>
      <w:r>
        <w:rPr>
          <w:spacing w:val="-10"/>
        </w:rPr>
        <w:t> </w:t>
      </w:r>
      <w:r>
        <w:rPr/>
        <w:t>características</w:t>
      </w:r>
      <w:r>
        <w:rPr>
          <w:spacing w:val="-10"/>
        </w:rPr>
        <w:t> </w:t>
      </w:r>
      <w:r>
        <w:rPr/>
        <w:t>que</w:t>
      </w:r>
      <w:r>
        <w:rPr>
          <w:spacing w:val="-9"/>
        </w:rPr>
        <w:t> </w:t>
      </w:r>
      <w:r>
        <w:rPr/>
        <w:t>presentan</w:t>
      </w:r>
      <w:r>
        <w:rPr>
          <w:spacing w:val="-12"/>
        </w:rPr>
        <w:t> </w:t>
      </w:r>
      <w:r>
        <w:rPr/>
        <w:t>los</w:t>
      </w:r>
      <w:r>
        <w:rPr>
          <w:spacing w:val="-12"/>
        </w:rPr>
        <w:t> </w:t>
      </w:r>
      <w:r>
        <w:rPr/>
        <w:t>responsables</w:t>
      </w:r>
      <w:r>
        <w:rPr>
          <w:spacing w:val="-13"/>
        </w:rPr>
        <w:t> </w:t>
      </w:r>
      <w:r>
        <w:rPr/>
        <w:t>de transparencia de los gobiernos municipales</w:t>
      </w:r>
      <w:r>
        <w:rPr>
          <w:position w:val="8"/>
          <w:sz w:val="16"/>
        </w:rPr>
        <w:t>32 </w:t>
      </w:r>
      <w:r>
        <w:rPr/>
        <w:t>y, posteriormente las mediciones de cumplimiento de la ley de transparencia realizadas por el instituto y finalmente, se las relaciones de algunas variables como el presupuesto, género de presidente municipal, partido político en el gobierno que permiten identificar si alguna de estas variables es más determinante para el cumplimiento de la</w:t>
      </w:r>
      <w:r>
        <w:rPr>
          <w:spacing w:val="-22"/>
        </w:rPr>
        <w:t> </w:t>
      </w:r>
      <w:r>
        <w:rPr/>
        <w:t>ley.</w:t>
      </w:r>
    </w:p>
    <w:p>
      <w:pPr>
        <w:pStyle w:val="BodyText"/>
      </w:pPr>
    </w:p>
    <w:p>
      <w:pPr>
        <w:pStyle w:val="BodyText"/>
      </w:pPr>
    </w:p>
    <w:p>
      <w:pPr>
        <w:pStyle w:val="BodyText"/>
        <w:spacing w:line="360" w:lineRule="auto" w:before="187"/>
        <w:ind w:left="108" w:right="115"/>
        <w:jc w:val="both"/>
      </w:pPr>
      <w:r>
        <w:rPr/>
        <w:t>Sobre la formación de los responsables de las Unidades de Información (UI) que existen en los municipios cabe destacar que 35% no tienen estudios profesionales, 16% son pasantes, el 4% son técnicos, el 40% tiene estudios profesionales y</w:t>
      </w:r>
      <w:r>
        <w:rPr>
          <w:spacing w:val="-47"/>
        </w:rPr>
        <w:t> </w:t>
      </w:r>
      <w:r>
        <w:rPr/>
        <w:t>un 5% cuenta con estudios de</w:t>
      </w:r>
      <w:r>
        <w:rPr>
          <w:spacing w:val="-11"/>
        </w:rPr>
        <w:t> </w:t>
      </w:r>
      <w:r>
        <w:rPr/>
        <w:t>posgrado.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r>
        <w:rPr/>
        <w:pict>
          <v:line style="position:absolute;mso-position-horizontal-relative:page;mso-position-vertical-relative:paragraph;z-index:5272;mso-wrap-distance-left:0;mso-wrap-distance-right:0" from="80.424004pt,13.936518pt" to="224.444004pt,13.936518pt" stroked="true" strokeweight=".71997pt" strokecolor="#000000">
            <w10:wrap type="topAndBottom"/>
          </v:line>
        </w:pict>
      </w:r>
    </w:p>
    <w:p>
      <w:pPr>
        <w:spacing w:before="66"/>
        <w:ind w:left="108" w:right="6" w:firstLine="0"/>
        <w:jc w:val="left"/>
        <w:rPr>
          <w:sz w:val="16"/>
        </w:rPr>
      </w:pPr>
      <w:r>
        <w:rPr>
          <w:position w:val="6"/>
          <w:sz w:val="10"/>
        </w:rPr>
        <w:t>32 </w:t>
      </w:r>
      <w:r>
        <w:rPr>
          <w:sz w:val="16"/>
        </w:rPr>
        <w:t>Es importante aclarar que esta revisión se realizó a inicios del año 2016 con base a la información disponible en el INFOEM. Por tal motivo difiere de los datos presentados en las características de los encuestados que se realizó a finales de 2015.</w:t>
      </w:r>
    </w:p>
    <w:p>
      <w:pPr>
        <w:spacing w:after="0"/>
        <w:jc w:val="left"/>
        <w:rPr>
          <w:sz w:val="16"/>
        </w:rPr>
        <w:sectPr>
          <w:pgSz w:w="12240" w:h="15840"/>
          <w:pgMar w:header="0" w:footer="975" w:top="1360" w:bottom="1220" w:left="1500" w:right="1580"/>
        </w:sectPr>
      </w:pPr>
    </w:p>
    <w:p>
      <w:pPr>
        <w:pStyle w:val="BodyText"/>
        <w:ind w:left="845"/>
        <w:rPr>
          <w:sz w:val="20"/>
        </w:rPr>
      </w:pPr>
      <w:r>
        <w:rPr>
          <w:sz w:val="20"/>
        </w:rPr>
        <w:pict>
          <v:group style="width:371.7pt;height:210.75pt;mso-position-horizontal-relative:char;mso-position-vertical-relative:line" coordorigin="0,0" coordsize="7434,4215">
            <v:shape style="position:absolute;left:707;top:1067;width:5508;height:2323" type="#_x0000_t75" stroked="false">
              <v:imagedata r:id="rId105" o:title=""/>
            </v:shape>
            <v:shape style="position:absolute;left:3734;top:577;width:848;height:531" coordorigin="3734,577" coordsize="848,531" path="m4099,1081l3893,1081,3734,1108,4099,1081xm4581,577l3755,577,3755,1081,4581,1081,4581,577xe" filled="true" fillcolor="#ffffff" stroked="false">
              <v:path arrowok="t"/>
              <v:fill type="solid"/>
            </v:shape>
            <v:shape style="position:absolute;left:3734;top:577;width:848;height:531" coordorigin="3734,577" coordsize="848,531" path="m3755,577l3893,577,4099,577,4581,577,4581,871,4581,997,4581,1081,4099,1081,3734,1108,3893,1081,3755,1081,3755,997,3755,871,3755,577xe" filled="false" stroked="true" strokeweight=".75pt" strokecolor="#bebebe">
              <v:path arrowok="t"/>
            </v:shape>
            <v:shape style="position:absolute;left:5291;top:1447;width:1001;height:505" coordorigin="5291,1447" coordsize="1001,505" path="m5291,1720l5393,1868,5393,1952,6292,1952,6292,1741,5393,1741,5291,1720xm6292,1447l5393,1447,5393,1741,6292,1741,6292,1447xe" filled="true" fillcolor="#ffffff" stroked="false">
              <v:path arrowok="t"/>
              <v:fill type="solid"/>
            </v:shape>
            <v:shape style="position:absolute;left:5291;top:1447;width:1001;height:505" coordorigin="5291,1447" coordsize="1001,505" path="m5393,1447l5543,1447,5768,1447,6292,1447,6292,1741,6292,1868,6292,1952,5768,1952,5543,1952,5393,1952,5393,1868,5291,1720,5393,1741,5393,1447xe" filled="false" stroked="true" strokeweight=".75pt" strokecolor="#bebebe">
              <v:path arrowok="t"/>
            </v:shape>
            <v:shape style="position:absolute;left:4480;top:2750;width:778;height:977" coordorigin="4480,2750" coordsize="778,977" path="m5258,3222l4512,3222,4512,3726,5258,3726,5258,3222xm4480,2750l4637,3222,4823,3222,4480,2750xe" filled="true" fillcolor="#ffffff" stroked="false">
              <v:path arrowok="t"/>
              <v:fill type="solid"/>
            </v:shape>
            <v:shape style="position:absolute;left:4480;top:2750;width:778;height:977" coordorigin="4480,2750" coordsize="778,977" path="m4512,3222l4637,3222,4480,2750,4823,3222,5258,3222,5258,3306,5258,3432,5258,3726,4823,3726,4637,3726,4512,3726,4512,3432,4512,3306,4512,3222xe" filled="false" stroked="true" strokeweight=".75pt" strokecolor="#bebebe">
              <v:path arrowok="t"/>
            </v:shape>
            <v:shape style="position:absolute;left:1458;top:2545;width:477;height:846" coordorigin="1458,2545" coordsize="477,846" path="m1893,2886l1458,2886,1458,3390,1893,3390,1893,2886xm1934,2545l1712,2886,1821,2886,1934,2545xe" filled="true" fillcolor="#ffffff" stroked="false">
              <v:path arrowok="t"/>
              <v:fill type="solid"/>
            </v:shape>
            <v:shape style="position:absolute;left:1458;top:2545;width:477;height:846" coordorigin="1458,2545" coordsize="477,846" path="m1458,2886l1712,2886,1934,2545,1821,2886,1893,2886,1893,2970,1893,3096,1893,3390,1821,3390,1712,3390,1458,3390,1458,3096,1458,2970,1458,2886xe" filled="false" stroked="true" strokeweight=".75pt" strokecolor="#bebebe">
              <v:path arrowok="t"/>
            </v:shape>
            <v:shape style="position:absolute;left:1558;top:881;width:769;height:505" coordorigin="1558,881" coordsize="769,505" path="m2265,881l1558,881,1558,1385,2265,1385,2265,1301,2326,1277,2265,1175,2265,881xe" filled="true" fillcolor="#ffffff" stroked="false">
              <v:path arrowok="t"/>
              <v:fill type="solid"/>
            </v:shape>
            <v:shape style="position:absolute;left:1558;top:881;width:769;height:505" coordorigin="1558,881" coordsize="769,505" path="m1558,881l1970,881,2147,881,2265,881,2265,1175,2326,1277,2265,1301,2265,1385,2147,1385,1970,1385,1558,1385,1558,1301,1558,1175,1558,881xe" filled="false" stroked="true" strokeweight=".75pt" strokecolor="#bebebe">
              <v:path arrowok="t"/>
            </v:shape>
            <v:shape style="position:absolute;left:2644;top:570;width:687;height:532" coordorigin="2644,570" coordsize="687,532" path="m3216,1074l3044,1074,3269,1101,3216,1074xm3331,570l2644,570,2644,1074,3331,1074,3331,570xe" filled="true" fillcolor="#ffffff" stroked="false">
              <v:path arrowok="t"/>
              <v:fill type="solid"/>
            </v:shape>
            <v:shape style="position:absolute;left:2644;top:570;width:687;height:532" coordorigin="2644,570" coordsize="687,532" path="m2644,570l3044,570,3216,570,3331,570,3331,864,3331,990,3331,1074,3216,1074,3269,1101,3044,1074,2644,1074,2644,990,2644,864,2644,570xe" filled="false" stroked="true" strokeweight=".75pt" strokecolor="#bebebe">
              <v:path arrowok="t"/>
            </v:shape>
            <v:line style="position:absolute" from="1189,3869" to="1189,3968" stroked="true" strokeweight="4.9433pt" strokecolor="#00af50"/>
            <v:line style="position:absolute" from="2216,3869" to="2216,3968" stroked="true" strokeweight="4.9433pt" strokecolor="#41ea34"/>
            <v:line style="position:absolute" from="3316,3869" to="3316,3968" stroked="true" strokeweight="4.9433pt" strokecolor="#51bc37"/>
            <v:line style="position:absolute" from="4264,3869" to="4264,3968" stroked="true" strokeweight="4.9433pt" strokecolor="#ff0000"/>
            <v:line style="position:absolute" from="4805,3869" to="4805,3968" stroked="true" strokeweight="4.9433pt" strokecolor="#ffc000"/>
            <v:line style="position:absolute" from="5715,3869" to="5715,3968" stroked="true" strokeweight="4.9433pt" strokecolor="#6fac46"/>
            <v:rect style="position:absolute;left:8;top:8;width:7419;height:4200" filled="false" stroked="true" strokeweight=".75pt" strokecolor="#d9d9d9"/>
            <v:shape style="position:absolute;left:1182;top:198;width:5072;height:200" type="#_x0000_t202" filled="false" stroked="false">
              <v:textbox inset="0,0,0,0">
                <w:txbxContent>
                  <w:p>
                    <w:pPr>
                      <w:spacing w:line="199" w:lineRule="exact" w:before="0"/>
                      <w:ind w:left="0" w:right="0" w:firstLine="0"/>
                      <w:jc w:val="left"/>
                      <w:rPr>
                        <w:rFonts w:ascii="Calibri" w:hAnsi="Calibri"/>
                        <w:b/>
                        <w:sz w:val="20"/>
                      </w:rPr>
                    </w:pPr>
                    <w:r>
                      <w:rPr>
                        <w:rFonts w:ascii="Calibri" w:hAnsi="Calibri"/>
                        <w:b/>
                        <w:color w:val="585858"/>
                        <w:sz w:val="20"/>
                      </w:rPr>
                      <w:t>Gráfica 3.3 Profesiones de los titulares de las UI (2012 -</w:t>
                    </w:r>
                    <w:r>
                      <w:rPr>
                        <w:rFonts w:ascii="Calibri" w:hAnsi="Calibri"/>
                        <w:b/>
                        <w:color w:val="585858"/>
                        <w:spacing w:val="-27"/>
                        <w:sz w:val="20"/>
                      </w:rPr>
                      <w:t> </w:t>
                    </w:r>
                    <w:r>
                      <w:rPr>
                        <w:rFonts w:ascii="Calibri" w:hAnsi="Calibri"/>
                        <w:b/>
                        <w:color w:val="585858"/>
                        <w:sz w:val="20"/>
                      </w:rPr>
                      <w:t>2015)</w:t>
                    </w:r>
                  </w:p>
                </w:txbxContent>
              </v:textbox>
              <w10:wrap type="none"/>
            </v:shape>
            <v:shape style="position:absolute;left:1623;top:949;width:580;height:401" type="#_x0000_t202" filled="false" stroked="false">
              <v:textbox inset="0,0,0,0">
                <w:txbxContent>
                  <w:p>
                    <w:pPr>
                      <w:spacing w:line="183" w:lineRule="exact" w:before="0"/>
                      <w:ind w:left="0" w:right="0" w:firstLine="0"/>
                      <w:jc w:val="center"/>
                      <w:rPr>
                        <w:rFonts w:ascii="Calibri"/>
                        <w:sz w:val="18"/>
                      </w:rPr>
                    </w:pPr>
                    <w:r>
                      <w:rPr>
                        <w:rFonts w:ascii="Calibri"/>
                        <w:color w:val="585858"/>
                        <w:spacing w:val="-1"/>
                        <w:sz w:val="18"/>
                      </w:rPr>
                      <w:t>Pasante</w:t>
                    </w:r>
                  </w:p>
                  <w:p>
                    <w:pPr>
                      <w:spacing w:line="216" w:lineRule="exact" w:before="1"/>
                      <w:ind w:left="0" w:right="2" w:firstLine="0"/>
                      <w:jc w:val="center"/>
                      <w:rPr>
                        <w:rFonts w:ascii="Calibri"/>
                        <w:sz w:val="18"/>
                      </w:rPr>
                    </w:pPr>
                    <w:r>
                      <w:rPr>
                        <w:rFonts w:ascii="Calibri"/>
                        <w:color w:val="585858"/>
                        <w:sz w:val="18"/>
                      </w:rPr>
                      <w:t>16%</w:t>
                    </w:r>
                  </w:p>
                </w:txbxContent>
              </v:textbox>
              <w10:wrap type="none"/>
            </v:shape>
            <v:shape style="position:absolute;left:2707;top:638;width:561;height:401" type="#_x0000_t202" filled="false" stroked="false">
              <v:textbox inset="0,0,0,0">
                <w:txbxContent>
                  <w:p>
                    <w:pPr>
                      <w:spacing w:line="183" w:lineRule="exact" w:before="0"/>
                      <w:ind w:left="-1" w:right="0" w:firstLine="0"/>
                      <w:jc w:val="center"/>
                      <w:rPr>
                        <w:rFonts w:ascii="Calibri" w:hAnsi="Calibri"/>
                        <w:sz w:val="18"/>
                      </w:rPr>
                    </w:pPr>
                    <w:r>
                      <w:rPr>
                        <w:rFonts w:ascii="Calibri" w:hAnsi="Calibri"/>
                        <w:color w:val="585858"/>
                        <w:spacing w:val="-1"/>
                        <w:sz w:val="18"/>
                      </w:rPr>
                      <w:t>Técnico</w:t>
                    </w:r>
                  </w:p>
                  <w:p>
                    <w:pPr>
                      <w:spacing w:line="216" w:lineRule="exact" w:before="1"/>
                      <w:ind w:left="0" w:right="0" w:firstLine="0"/>
                      <w:jc w:val="center"/>
                      <w:rPr>
                        <w:rFonts w:ascii="Calibri"/>
                        <w:sz w:val="18"/>
                      </w:rPr>
                    </w:pPr>
                    <w:r>
                      <w:rPr>
                        <w:rFonts w:ascii="Calibri"/>
                        <w:color w:val="585858"/>
                        <w:sz w:val="18"/>
                      </w:rPr>
                      <w:t>4%</w:t>
                    </w:r>
                  </w:p>
                </w:txbxContent>
              </v:textbox>
              <w10:wrap type="none"/>
            </v:shape>
            <v:shape style="position:absolute;left:3821;top:645;width:693;height:401" type="#_x0000_t202" filled="false" stroked="false">
              <v:textbox inset="0,0,0,0">
                <w:txbxContent>
                  <w:p>
                    <w:pPr>
                      <w:spacing w:line="183" w:lineRule="exact" w:before="0"/>
                      <w:ind w:left="0" w:right="0" w:firstLine="0"/>
                      <w:jc w:val="center"/>
                      <w:rPr>
                        <w:rFonts w:ascii="Calibri"/>
                        <w:sz w:val="18"/>
                      </w:rPr>
                    </w:pPr>
                    <w:r>
                      <w:rPr>
                        <w:rFonts w:ascii="Calibri"/>
                        <w:color w:val="585858"/>
                        <w:spacing w:val="-1"/>
                        <w:sz w:val="18"/>
                      </w:rPr>
                      <w:t>Ingeniero</w:t>
                    </w:r>
                  </w:p>
                  <w:p>
                    <w:pPr>
                      <w:spacing w:line="216" w:lineRule="exact" w:before="1"/>
                      <w:ind w:left="2" w:right="0" w:firstLine="0"/>
                      <w:jc w:val="center"/>
                      <w:rPr>
                        <w:rFonts w:ascii="Calibri"/>
                        <w:sz w:val="18"/>
                      </w:rPr>
                    </w:pPr>
                    <w:r>
                      <w:rPr>
                        <w:rFonts w:ascii="Calibri"/>
                        <w:color w:val="585858"/>
                        <w:sz w:val="18"/>
                      </w:rPr>
                      <w:t>6%</w:t>
                    </w:r>
                  </w:p>
                </w:txbxContent>
              </v:textbox>
              <w10:wrap type="none"/>
            </v:shape>
            <v:shape style="position:absolute;left:5459;top:1516;width:770;height:401" type="#_x0000_t202" filled="false" stroked="false">
              <v:textbox inset="0,0,0,0">
                <w:txbxContent>
                  <w:p>
                    <w:pPr>
                      <w:spacing w:line="183" w:lineRule="exact" w:before="0"/>
                      <w:ind w:left="-1" w:right="0" w:firstLine="0"/>
                      <w:jc w:val="center"/>
                      <w:rPr>
                        <w:rFonts w:ascii="Calibri"/>
                        <w:sz w:val="18"/>
                      </w:rPr>
                    </w:pPr>
                    <w:r>
                      <w:rPr>
                        <w:rFonts w:ascii="Calibri"/>
                        <w:color w:val="585858"/>
                        <w:spacing w:val="-1"/>
                        <w:sz w:val="18"/>
                      </w:rPr>
                      <w:t>Licenciado</w:t>
                    </w:r>
                  </w:p>
                  <w:p>
                    <w:pPr>
                      <w:spacing w:line="216" w:lineRule="exact" w:before="1"/>
                      <w:ind w:left="208" w:right="209" w:firstLine="0"/>
                      <w:jc w:val="center"/>
                      <w:rPr>
                        <w:rFonts w:ascii="Calibri"/>
                        <w:sz w:val="18"/>
                      </w:rPr>
                    </w:pPr>
                    <w:r>
                      <w:rPr>
                        <w:rFonts w:ascii="Calibri"/>
                        <w:color w:val="585858"/>
                        <w:sz w:val="18"/>
                      </w:rPr>
                      <w:t>34%</w:t>
                    </w:r>
                  </w:p>
                </w:txbxContent>
              </v:textbox>
              <w10:wrap type="none"/>
            </v:shape>
            <v:shape style="position:absolute;left:1281;top:2955;width:5088;height:1061" type="#_x0000_t202" filled="false" stroked="false">
              <v:textbox inset="0,0,0,0">
                <w:txbxContent>
                  <w:p>
                    <w:pPr>
                      <w:spacing w:line="181" w:lineRule="exact" w:before="0"/>
                      <w:ind w:left="288" w:right="0" w:firstLine="0"/>
                      <w:jc w:val="left"/>
                      <w:rPr>
                        <w:rFonts w:ascii="Calibri"/>
                        <w:sz w:val="18"/>
                      </w:rPr>
                    </w:pPr>
                    <w:r>
                      <w:rPr>
                        <w:rFonts w:ascii="Calibri"/>
                        <w:color w:val="585858"/>
                        <w:sz w:val="18"/>
                      </w:rPr>
                      <w:t>No</w:t>
                    </w:r>
                  </w:p>
                  <w:p>
                    <w:pPr>
                      <w:tabs>
                        <w:tab w:pos="3297" w:val="left" w:leader="none"/>
                      </w:tabs>
                      <w:spacing w:line="338" w:lineRule="exact" w:before="0"/>
                      <w:ind w:left="238" w:right="0" w:firstLine="0"/>
                      <w:jc w:val="left"/>
                      <w:rPr>
                        <w:rFonts w:ascii="Calibri"/>
                        <w:sz w:val="18"/>
                      </w:rPr>
                    </w:pPr>
                    <w:r>
                      <w:rPr>
                        <w:rFonts w:ascii="Calibri"/>
                        <w:color w:val="585858"/>
                        <w:position w:val="12"/>
                        <w:sz w:val="18"/>
                      </w:rPr>
                      <w:t>35%</w:t>
                      <w:tab/>
                    </w:r>
                    <w:r>
                      <w:rPr>
                        <w:rFonts w:ascii="Calibri"/>
                        <w:color w:val="585858"/>
                        <w:sz w:val="18"/>
                      </w:rPr>
                      <w:t>Maestro</w:t>
                    </w:r>
                  </w:p>
                  <w:p>
                    <w:pPr>
                      <w:spacing w:before="1"/>
                      <w:ind w:left="0" w:right="1371" w:firstLine="0"/>
                      <w:jc w:val="right"/>
                      <w:rPr>
                        <w:rFonts w:ascii="Calibri"/>
                        <w:sz w:val="18"/>
                      </w:rPr>
                    </w:pPr>
                    <w:r>
                      <w:rPr>
                        <w:rFonts w:ascii="Calibri"/>
                        <w:color w:val="585858"/>
                        <w:sz w:val="18"/>
                      </w:rPr>
                      <w:t>5%</w:t>
                    </w:r>
                  </w:p>
                  <w:p>
                    <w:pPr>
                      <w:tabs>
                        <w:tab w:pos="1027" w:val="left" w:leader="none"/>
                        <w:tab w:pos="2128" w:val="left" w:leader="none"/>
                        <w:tab w:pos="3076" w:val="left" w:leader="none"/>
                        <w:tab w:pos="3617" w:val="left" w:leader="none"/>
                        <w:tab w:pos="4527" w:val="left" w:leader="none"/>
                      </w:tabs>
                      <w:spacing w:line="216" w:lineRule="exact" w:before="104"/>
                      <w:ind w:left="0" w:right="0" w:firstLine="0"/>
                      <w:jc w:val="left"/>
                      <w:rPr>
                        <w:rFonts w:ascii="Calibri" w:hAnsi="Calibri"/>
                        <w:sz w:val="18"/>
                      </w:rPr>
                    </w:pPr>
                    <w:r>
                      <w:rPr>
                        <w:rFonts w:ascii="Calibri" w:hAnsi="Calibri"/>
                        <w:color w:val="585858"/>
                        <w:sz w:val="18"/>
                      </w:rPr>
                      <w:t>Ingeniero</w:t>
                      <w:tab/>
                      <w:t>Licenciado</w:t>
                      <w:tab/>
                      <w:t>Maestro</w:t>
                      <w:tab/>
                      <w:t>No</w:t>
                      <w:tab/>
                      <w:t>Pasante</w:t>
                      <w:tab/>
                    </w:r>
                    <w:r>
                      <w:rPr>
                        <w:rFonts w:ascii="Calibri" w:hAnsi="Calibri"/>
                        <w:color w:val="585858"/>
                        <w:spacing w:val="-1"/>
                        <w:sz w:val="18"/>
                      </w:rPr>
                      <w:t>Técnico</w:t>
                    </w:r>
                  </w:p>
                </w:txbxContent>
              </v:textbox>
              <w10:wrap type="none"/>
            </v:shape>
          </v:group>
        </w:pict>
      </w:r>
      <w:r>
        <w:rPr>
          <w:sz w:val="20"/>
        </w:rPr>
      </w:r>
    </w:p>
    <w:p>
      <w:pPr>
        <w:pStyle w:val="BodyText"/>
        <w:spacing w:before="1"/>
        <w:rPr>
          <w:sz w:val="20"/>
        </w:rPr>
      </w:pPr>
    </w:p>
    <w:p>
      <w:pPr>
        <w:spacing w:before="81"/>
        <w:ind w:left="535" w:right="6" w:firstLine="0"/>
        <w:jc w:val="left"/>
        <w:rPr>
          <w:sz w:val="16"/>
        </w:rPr>
      </w:pPr>
      <w:r>
        <w:rPr>
          <w:sz w:val="16"/>
        </w:rPr>
        <w:t>Fuente: Elaboración propia con base datos del INFOEM.</w:t>
      </w:r>
    </w:p>
    <w:p>
      <w:pPr>
        <w:pStyle w:val="BodyText"/>
        <w:rPr>
          <w:sz w:val="16"/>
        </w:rPr>
      </w:pPr>
    </w:p>
    <w:p>
      <w:pPr>
        <w:pStyle w:val="BodyText"/>
        <w:rPr>
          <w:sz w:val="16"/>
        </w:rPr>
      </w:pPr>
    </w:p>
    <w:p>
      <w:pPr>
        <w:pStyle w:val="BodyText"/>
        <w:rPr>
          <w:sz w:val="16"/>
        </w:rPr>
      </w:pPr>
    </w:p>
    <w:p>
      <w:pPr>
        <w:pStyle w:val="BodyText"/>
        <w:rPr>
          <w:sz w:val="16"/>
        </w:rPr>
      </w:pPr>
    </w:p>
    <w:p>
      <w:pPr>
        <w:pStyle w:val="BodyText"/>
        <w:spacing w:line="360" w:lineRule="auto" w:before="92"/>
        <w:ind w:left="108" w:right="114"/>
        <w:jc w:val="both"/>
      </w:pPr>
      <w:r>
        <w:rPr/>
        <w:t>Cabe destacar que del total de los 125 responsables de transparencia de los municipios el 74% solamente se dedican a las actividades propias de sus áreas y el 26% restante realiza además otras actividades.</w:t>
      </w:r>
    </w:p>
    <w:p>
      <w:pPr>
        <w:pStyle w:val="BodyText"/>
        <w:rPr>
          <w:sz w:val="20"/>
        </w:rPr>
      </w:pPr>
    </w:p>
    <w:p>
      <w:pPr>
        <w:pStyle w:val="BodyText"/>
        <w:rPr>
          <w:sz w:val="20"/>
        </w:rPr>
      </w:pPr>
    </w:p>
    <w:p>
      <w:pPr>
        <w:pStyle w:val="BodyText"/>
        <w:spacing w:before="2"/>
        <w:rPr>
          <w:sz w:val="20"/>
        </w:rPr>
      </w:pPr>
      <w:r>
        <w:rPr/>
        <w:pict>
          <v:group style="position:absolute;margin-left:124.044998pt;margin-top:13.550864pt;width:358.45pt;height:211.5pt;mso-position-horizontal-relative:page;mso-position-vertical-relative:paragraph;z-index:5560;mso-wrap-distance-left:0;mso-wrap-distance-right:0" coordorigin="2481,271" coordsize="7169,4230">
            <v:shape style="position:absolute;left:3154;top:1358;width:5822;height:2266" type="#_x0000_t75" stroked="false">
              <v:imagedata r:id="rId106" o:title=""/>
            </v:shape>
            <v:shape style="position:absolute;left:7605;top:2755;width:1448;height:816" coordorigin="7605,2755" coordsize="1448,816" path="m9052,3066l7657,3066,7657,3571,9052,3571,9052,3066xm7605,2755l7889,3066,8238,3066,7605,2755xe" filled="true" fillcolor="#ffffff" stroked="false">
              <v:path arrowok="t"/>
              <v:fill type="solid"/>
            </v:shape>
            <v:shape style="position:absolute;left:7605;top:2755;width:1448;height:816" coordorigin="7605,2755" coordsize="1448,816" path="m7657,3066l7889,3066,7605,2755,8238,3066,9052,3066,9052,3151,9052,3277,9052,3571,8238,3571,7889,3571,7657,3571,7657,3277,7657,3151,7657,3066xe" filled="false" stroked="true" strokeweight=".75pt" strokecolor="#bebebe">
              <v:path arrowok="t"/>
            </v:shape>
            <v:shape style="position:absolute;left:3741;top:1060;width:1127;height:727" coordorigin="3741,1060" coordsize="1127,727" path="m4798,1060l3741,1060,3741,1787,4798,1787,4798,1666,4867,1597,4798,1484,4798,1060xe" filled="true" fillcolor="#ffffff" stroked="false">
              <v:path arrowok="t"/>
              <v:fill type="solid"/>
            </v:shape>
            <v:shape style="position:absolute;left:3741;top:1060;width:1127;height:727" coordorigin="3741,1060" coordsize="1127,727" path="m3741,1060l4358,1060,4622,1060,4798,1060,4798,1484,4867,1597,4798,1666,4798,1787,4622,1787,4358,1787,3741,1787,3741,1666,3741,1484,3741,1060xe" filled="false" stroked="true" strokeweight=".75pt" strokecolor="#bebebe">
              <v:path arrowok="t"/>
            </v:shape>
            <v:line style="position:absolute" from="4567,4155" to="4567,4254" stroked="true" strokeweight="4.9433pt" strokecolor="#51bc37"/>
            <v:line style="position:absolute" from="6228,4155" to="6228,4254" stroked="true" strokeweight="4.9433pt" strokecolor="#ff0000"/>
            <v:rect style="position:absolute;left:2488;top:279;width:7154;height:4215" filled="false" stroked="true" strokeweight=".75pt" strokecolor="#d9d9d9"/>
            <v:shape style="position:absolute;left:3363;top:470;width:5410;height:1283" type="#_x0000_t202" filled="false" stroked="false">
              <v:textbox inset="0,0,0,0">
                <w:txbxContent>
                  <w:p>
                    <w:pPr>
                      <w:spacing w:line="203" w:lineRule="exact" w:before="0"/>
                      <w:ind w:left="0" w:right="0" w:firstLine="0"/>
                      <w:jc w:val="center"/>
                      <w:rPr>
                        <w:rFonts w:ascii="Calibri" w:hAnsi="Calibri"/>
                        <w:b/>
                        <w:sz w:val="20"/>
                      </w:rPr>
                    </w:pPr>
                    <w:r>
                      <w:rPr>
                        <w:rFonts w:ascii="Calibri" w:hAnsi="Calibri"/>
                        <w:b/>
                        <w:color w:val="585858"/>
                        <w:sz w:val="20"/>
                      </w:rPr>
                      <w:t>Gráfica 3.4. Actividades que realizan los titulares de las UI (2012 -</w:t>
                    </w:r>
                  </w:p>
                  <w:p>
                    <w:pPr>
                      <w:spacing w:before="0"/>
                      <w:ind w:left="0" w:right="1" w:firstLine="0"/>
                      <w:jc w:val="center"/>
                      <w:rPr>
                        <w:rFonts w:ascii="Calibri"/>
                        <w:b/>
                        <w:sz w:val="20"/>
                      </w:rPr>
                    </w:pPr>
                    <w:r>
                      <w:rPr>
                        <w:rFonts w:ascii="Calibri"/>
                        <w:b/>
                        <w:color w:val="585858"/>
                        <w:sz w:val="20"/>
                      </w:rPr>
                      <w:t>2015)</w:t>
                    </w:r>
                  </w:p>
                  <w:p>
                    <w:pPr>
                      <w:spacing w:before="176"/>
                      <w:ind w:left="707" w:right="4019" w:hanging="264"/>
                      <w:jc w:val="left"/>
                      <w:rPr>
                        <w:rFonts w:ascii="Calibri"/>
                        <w:sz w:val="18"/>
                      </w:rPr>
                    </w:pPr>
                    <w:r>
                      <w:rPr>
                        <w:rFonts w:ascii="Calibri"/>
                        <w:color w:val="585858"/>
                        <w:sz w:val="18"/>
                      </w:rPr>
                      <w:t>Hacen varias cosas 26%</w:t>
                    </w:r>
                  </w:p>
                </w:txbxContent>
              </v:textbox>
              <w10:wrap type="none"/>
            </v:shape>
            <v:shape style="position:absolute;left:7726;top:3136;width:1258;height:401" type="#_x0000_t202" filled="false" stroked="false">
              <v:textbox inset="0,0,0,0">
                <w:txbxContent>
                  <w:p>
                    <w:pPr>
                      <w:spacing w:line="183" w:lineRule="exact" w:before="0"/>
                      <w:ind w:left="0" w:right="0" w:firstLine="0"/>
                      <w:jc w:val="center"/>
                      <w:rPr>
                        <w:rFonts w:ascii="Calibri" w:hAnsi="Calibri"/>
                        <w:sz w:val="18"/>
                      </w:rPr>
                    </w:pPr>
                    <w:r>
                      <w:rPr>
                        <w:rFonts w:ascii="Calibri" w:hAnsi="Calibri"/>
                        <w:color w:val="585858"/>
                        <w:sz w:val="18"/>
                      </w:rPr>
                      <w:t>Sólo son</w:t>
                    </w:r>
                    <w:r>
                      <w:rPr>
                        <w:rFonts w:ascii="Calibri" w:hAnsi="Calibri"/>
                        <w:color w:val="585858"/>
                        <w:spacing w:val="-10"/>
                        <w:sz w:val="18"/>
                      </w:rPr>
                      <w:t> </w:t>
                    </w:r>
                    <w:r>
                      <w:rPr>
                        <w:rFonts w:ascii="Calibri" w:hAnsi="Calibri"/>
                        <w:color w:val="585858"/>
                        <w:sz w:val="18"/>
                      </w:rPr>
                      <w:t>titulares</w:t>
                    </w:r>
                  </w:p>
                  <w:p>
                    <w:pPr>
                      <w:spacing w:line="216" w:lineRule="exact" w:before="1"/>
                      <w:ind w:left="0" w:right="1" w:firstLine="0"/>
                      <w:jc w:val="center"/>
                      <w:rPr>
                        <w:rFonts w:ascii="Calibri"/>
                        <w:sz w:val="18"/>
                      </w:rPr>
                    </w:pPr>
                    <w:r>
                      <w:rPr>
                        <w:rFonts w:ascii="Calibri"/>
                        <w:color w:val="585858"/>
                        <w:sz w:val="18"/>
                      </w:rPr>
                      <w:t>74%</w:t>
                    </w:r>
                  </w:p>
                </w:txbxContent>
              </v:textbox>
              <w10:wrap type="none"/>
            </v:shape>
            <v:shape style="position:absolute;left:4659;top:4122;width:1261;height:180" type="#_x0000_t202" filled="false" stroked="false">
              <v:textbox inset="0,0,0,0">
                <w:txbxContent>
                  <w:p>
                    <w:pPr>
                      <w:spacing w:line="180" w:lineRule="exact" w:before="0"/>
                      <w:ind w:left="0" w:right="-14" w:firstLine="0"/>
                      <w:jc w:val="left"/>
                      <w:rPr>
                        <w:rFonts w:ascii="Calibri" w:hAnsi="Calibri"/>
                        <w:sz w:val="18"/>
                      </w:rPr>
                    </w:pPr>
                    <w:r>
                      <w:rPr>
                        <w:rFonts w:ascii="Calibri" w:hAnsi="Calibri"/>
                        <w:color w:val="585858"/>
                        <w:sz w:val="18"/>
                      </w:rPr>
                      <w:t>Sólo son</w:t>
                    </w:r>
                    <w:r>
                      <w:rPr>
                        <w:rFonts w:ascii="Calibri" w:hAnsi="Calibri"/>
                        <w:color w:val="585858"/>
                        <w:spacing w:val="-7"/>
                        <w:sz w:val="18"/>
                      </w:rPr>
                      <w:t> </w:t>
                    </w:r>
                    <w:r>
                      <w:rPr>
                        <w:rFonts w:ascii="Calibri" w:hAnsi="Calibri"/>
                        <w:color w:val="585858"/>
                        <w:sz w:val="18"/>
                      </w:rPr>
                      <w:t>titulares</w:t>
                    </w:r>
                  </w:p>
                </w:txbxContent>
              </v:textbox>
              <w10:wrap type="none"/>
            </v:shape>
            <v:shape style="position:absolute;left:6321;top:4122;width:1366;height:180" type="#_x0000_t202" filled="false" stroked="false">
              <v:textbox inset="0,0,0,0">
                <w:txbxContent>
                  <w:p>
                    <w:pPr>
                      <w:spacing w:line="180" w:lineRule="exact" w:before="0"/>
                      <w:ind w:left="0" w:right="-16" w:firstLine="0"/>
                      <w:jc w:val="left"/>
                      <w:rPr>
                        <w:rFonts w:ascii="Calibri"/>
                        <w:sz w:val="18"/>
                      </w:rPr>
                    </w:pPr>
                    <w:r>
                      <w:rPr>
                        <w:rFonts w:ascii="Calibri"/>
                        <w:color w:val="585858"/>
                        <w:sz w:val="18"/>
                      </w:rPr>
                      <w:t>Hacen varias</w:t>
                    </w:r>
                    <w:r>
                      <w:rPr>
                        <w:rFonts w:ascii="Calibri"/>
                        <w:color w:val="585858"/>
                        <w:spacing w:val="-5"/>
                        <w:sz w:val="18"/>
                      </w:rPr>
                      <w:t> </w:t>
                    </w:r>
                    <w:r>
                      <w:rPr>
                        <w:rFonts w:ascii="Calibri"/>
                        <w:color w:val="585858"/>
                        <w:sz w:val="18"/>
                      </w:rPr>
                      <w:t>cosas</w:t>
                    </w:r>
                  </w:p>
                </w:txbxContent>
              </v:textbox>
              <w10:wrap type="none"/>
            </v:shape>
            <w10:wrap type="topAndBottom"/>
          </v:group>
        </w:pict>
      </w:r>
    </w:p>
    <w:p>
      <w:pPr>
        <w:pStyle w:val="BodyText"/>
        <w:spacing w:before="10"/>
        <w:rPr>
          <w:sz w:val="23"/>
        </w:rPr>
      </w:pPr>
    </w:p>
    <w:p>
      <w:pPr>
        <w:spacing w:before="0"/>
        <w:ind w:left="535" w:right="6" w:firstLine="0"/>
        <w:jc w:val="left"/>
        <w:rPr>
          <w:sz w:val="16"/>
        </w:rPr>
      </w:pPr>
      <w:r>
        <w:rPr>
          <w:sz w:val="16"/>
        </w:rPr>
        <w:t>Fuente: Elaboración propia con datos del INFOEM.</w:t>
      </w:r>
    </w:p>
    <w:p>
      <w:pPr>
        <w:spacing w:after="0"/>
        <w:jc w:val="left"/>
        <w:rPr>
          <w:sz w:val="16"/>
        </w:rPr>
        <w:sectPr>
          <w:pgSz w:w="12240" w:h="15840"/>
          <w:pgMar w:header="0" w:footer="975" w:top="1400" w:bottom="1220" w:left="1500" w:right="1580"/>
        </w:sectPr>
      </w:pPr>
    </w:p>
    <w:p>
      <w:pPr>
        <w:pStyle w:val="BodyText"/>
        <w:spacing w:line="360" w:lineRule="auto" w:before="54"/>
        <w:ind w:left="108" w:right="116"/>
        <w:jc w:val="both"/>
      </w:pPr>
      <w:r>
        <w:rPr/>
        <w:t>En lo que respecta al cumplimiento de la ley de transparencia cabe destacar que el INFOEM</w:t>
      </w:r>
      <w:r>
        <w:rPr>
          <w:spacing w:val="-7"/>
        </w:rPr>
        <w:t> </w:t>
      </w:r>
      <w:r>
        <w:rPr/>
        <w:t>ha</w:t>
      </w:r>
      <w:r>
        <w:rPr>
          <w:spacing w:val="-8"/>
        </w:rPr>
        <w:t> </w:t>
      </w:r>
      <w:r>
        <w:rPr/>
        <w:t>venido</w:t>
      </w:r>
      <w:r>
        <w:rPr>
          <w:spacing w:val="-8"/>
        </w:rPr>
        <w:t> </w:t>
      </w:r>
      <w:r>
        <w:rPr/>
        <w:t>haciendo</w:t>
      </w:r>
      <w:r>
        <w:rPr>
          <w:spacing w:val="-8"/>
        </w:rPr>
        <w:t> </w:t>
      </w:r>
      <w:r>
        <w:rPr/>
        <w:t>evaluaciones</w:t>
      </w:r>
      <w:r>
        <w:rPr>
          <w:spacing w:val="-9"/>
        </w:rPr>
        <w:t> </w:t>
      </w:r>
      <w:r>
        <w:rPr/>
        <w:t>constantes</w:t>
      </w:r>
      <w:r>
        <w:rPr>
          <w:spacing w:val="-9"/>
        </w:rPr>
        <w:t> </w:t>
      </w:r>
      <w:r>
        <w:rPr/>
        <w:t>a</w:t>
      </w:r>
      <w:r>
        <w:rPr>
          <w:spacing w:val="-8"/>
        </w:rPr>
        <w:t> </w:t>
      </w:r>
      <w:r>
        <w:rPr/>
        <w:t>los</w:t>
      </w:r>
      <w:r>
        <w:rPr>
          <w:spacing w:val="-9"/>
        </w:rPr>
        <w:t> </w:t>
      </w:r>
      <w:r>
        <w:rPr/>
        <w:t>municipios</w:t>
      </w:r>
      <w:r>
        <w:rPr>
          <w:spacing w:val="-6"/>
        </w:rPr>
        <w:t> </w:t>
      </w:r>
      <w:r>
        <w:rPr/>
        <w:t>desde</w:t>
      </w:r>
      <w:r>
        <w:rPr>
          <w:spacing w:val="-6"/>
        </w:rPr>
        <w:t> </w:t>
      </w:r>
      <w:r>
        <w:rPr/>
        <w:t>el</w:t>
      </w:r>
      <w:r>
        <w:rPr>
          <w:spacing w:val="-10"/>
        </w:rPr>
        <w:t> </w:t>
      </w:r>
      <w:r>
        <w:rPr/>
        <w:t>año 2012.</w:t>
      </w:r>
      <w:r>
        <w:rPr>
          <w:spacing w:val="-17"/>
        </w:rPr>
        <w:t> </w:t>
      </w:r>
      <w:r>
        <w:rPr/>
        <w:t>Sin</w:t>
      </w:r>
      <w:r>
        <w:rPr>
          <w:spacing w:val="-17"/>
        </w:rPr>
        <w:t> </w:t>
      </w:r>
      <w:r>
        <w:rPr/>
        <w:t>embargo,</w:t>
      </w:r>
      <w:r>
        <w:rPr>
          <w:spacing w:val="-17"/>
        </w:rPr>
        <w:t> </w:t>
      </w:r>
      <w:r>
        <w:rPr/>
        <w:t>solamente</w:t>
      </w:r>
      <w:r>
        <w:rPr>
          <w:spacing w:val="-18"/>
        </w:rPr>
        <w:t> </w:t>
      </w:r>
      <w:r>
        <w:rPr/>
        <w:t>ha</w:t>
      </w:r>
      <w:r>
        <w:rPr>
          <w:spacing w:val="-17"/>
        </w:rPr>
        <w:t> </w:t>
      </w:r>
      <w:r>
        <w:rPr/>
        <w:t>evaluado</w:t>
      </w:r>
      <w:r>
        <w:rPr>
          <w:spacing w:val="-19"/>
        </w:rPr>
        <w:t> </w:t>
      </w:r>
      <w:r>
        <w:rPr/>
        <w:t>al</w:t>
      </w:r>
      <w:r>
        <w:rPr>
          <w:spacing w:val="-20"/>
        </w:rPr>
        <w:t> </w:t>
      </w:r>
      <w:r>
        <w:rPr/>
        <w:t>105</w:t>
      </w:r>
      <w:r>
        <w:rPr>
          <w:spacing w:val="-19"/>
        </w:rPr>
        <w:t> </w:t>
      </w:r>
      <w:r>
        <w:rPr/>
        <w:t>de</w:t>
      </w:r>
      <w:r>
        <w:rPr>
          <w:spacing w:val="-19"/>
        </w:rPr>
        <w:t> </w:t>
      </w:r>
      <w:r>
        <w:rPr/>
        <w:t>los</w:t>
      </w:r>
      <w:r>
        <w:rPr>
          <w:spacing w:val="-19"/>
        </w:rPr>
        <w:t> </w:t>
      </w:r>
      <w:r>
        <w:rPr/>
        <w:t>125</w:t>
      </w:r>
      <w:r>
        <w:rPr>
          <w:spacing w:val="-19"/>
        </w:rPr>
        <w:t> </w:t>
      </w:r>
      <w:r>
        <w:rPr/>
        <w:t>que</w:t>
      </w:r>
      <w:r>
        <w:rPr>
          <w:spacing w:val="-17"/>
        </w:rPr>
        <w:t> </w:t>
      </w:r>
      <w:r>
        <w:rPr/>
        <w:t>integran</w:t>
      </w:r>
      <w:r>
        <w:rPr>
          <w:spacing w:val="-16"/>
        </w:rPr>
        <w:t> </w:t>
      </w:r>
      <w:r>
        <w:rPr/>
        <w:t>el</w:t>
      </w:r>
      <w:r>
        <w:rPr>
          <w:spacing w:val="-18"/>
        </w:rPr>
        <w:t> </w:t>
      </w:r>
      <w:r>
        <w:rPr/>
        <w:t>territorio estatal. La siguiente tabla muestra todos los municipios que fueron evaluados al menos una vez durante la gestión</w:t>
      </w:r>
      <w:r>
        <w:rPr>
          <w:spacing w:val="-13"/>
        </w:rPr>
        <w:t> </w:t>
      </w:r>
      <w:r>
        <w:rPr/>
        <w:t>2012-2015.</w:t>
      </w:r>
    </w:p>
    <w:p>
      <w:pPr>
        <w:pStyle w:val="BodyText"/>
        <w:rPr>
          <w:sz w:val="20"/>
        </w:rPr>
      </w:pPr>
    </w:p>
    <w:p>
      <w:pPr>
        <w:pStyle w:val="BodyText"/>
        <w:rPr>
          <w:sz w:val="20"/>
        </w:rPr>
      </w:pPr>
    </w:p>
    <w:p>
      <w:pPr>
        <w:pStyle w:val="BodyText"/>
        <w:spacing w:before="5"/>
      </w:pPr>
    </w:p>
    <w:tbl>
      <w:tblPr>
        <w:tblW w:w="0" w:type="auto"/>
        <w:jc w:val="left"/>
        <w:tblInd w:w="6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75"/>
        <w:gridCol w:w="2425"/>
        <w:gridCol w:w="1212"/>
        <w:gridCol w:w="1212"/>
        <w:gridCol w:w="1212"/>
        <w:gridCol w:w="1213"/>
      </w:tblGrid>
      <w:tr>
        <w:trPr>
          <w:trHeight w:val="694" w:hRule="exact"/>
        </w:trPr>
        <w:tc>
          <w:tcPr>
            <w:tcW w:w="7749" w:type="dxa"/>
            <w:gridSpan w:val="6"/>
            <w:shd w:val="clear" w:color="auto" w:fill="92D050"/>
          </w:tcPr>
          <w:p>
            <w:pPr>
              <w:pStyle w:val="TableParagraph"/>
              <w:spacing w:line="360" w:lineRule="auto" w:before="49"/>
              <w:ind w:left="3516" w:right="238" w:hanging="3258"/>
              <w:jc w:val="left"/>
              <w:rPr>
                <w:b/>
                <w:sz w:val="18"/>
              </w:rPr>
            </w:pPr>
            <w:r>
              <w:rPr>
                <w:b/>
                <w:sz w:val="18"/>
              </w:rPr>
              <w:t>Tabla 3.8. Evaluaciones de cumplimiento de la ley de transparencia realizadas por el INFOEM</w:t>
            </w:r>
          </w:p>
        </w:tc>
      </w:tr>
      <w:tr>
        <w:trPr>
          <w:trHeight w:val="608" w:hRule="exact"/>
        </w:trPr>
        <w:tc>
          <w:tcPr>
            <w:tcW w:w="475" w:type="dxa"/>
            <w:tcBorders>
              <w:right w:val="single" w:sz="4" w:space="0" w:color="000000"/>
            </w:tcBorders>
            <w:shd w:val="clear" w:color="auto" w:fill="92D050"/>
          </w:tcPr>
          <w:p>
            <w:pPr>
              <w:pStyle w:val="TableParagraph"/>
              <w:spacing w:before="6"/>
              <w:jc w:val="left"/>
              <w:rPr>
                <w:sz w:val="23"/>
              </w:rPr>
            </w:pPr>
          </w:p>
          <w:p>
            <w:pPr>
              <w:pStyle w:val="TableParagraph"/>
              <w:ind w:left="16" w:right="60"/>
              <w:rPr>
                <w:b/>
                <w:sz w:val="18"/>
              </w:rPr>
            </w:pPr>
            <w:r>
              <w:rPr>
                <w:b/>
                <w:sz w:val="18"/>
              </w:rPr>
              <w:t>No.</w:t>
            </w:r>
          </w:p>
        </w:tc>
        <w:tc>
          <w:tcPr>
            <w:tcW w:w="2425" w:type="dxa"/>
            <w:tcBorders>
              <w:left w:val="single" w:sz="4" w:space="0" w:color="000000"/>
              <w:right w:val="single" w:sz="4" w:space="0" w:color="000000"/>
            </w:tcBorders>
            <w:shd w:val="clear" w:color="auto" w:fill="92D050"/>
          </w:tcPr>
          <w:p>
            <w:pPr>
              <w:pStyle w:val="TableParagraph"/>
              <w:spacing w:before="134"/>
              <w:ind w:left="789"/>
              <w:jc w:val="left"/>
              <w:rPr>
                <w:b/>
                <w:sz w:val="18"/>
              </w:rPr>
            </w:pPr>
            <w:r>
              <w:rPr>
                <w:b/>
                <w:sz w:val="18"/>
              </w:rPr>
              <w:t>Municipio</w:t>
            </w:r>
          </w:p>
        </w:tc>
        <w:tc>
          <w:tcPr>
            <w:tcW w:w="1212" w:type="dxa"/>
            <w:tcBorders>
              <w:left w:val="single" w:sz="4" w:space="0" w:color="000000"/>
              <w:right w:val="single" w:sz="4" w:space="0" w:color="000000"/>
            </w:tcBorders>
            <w:shd w:val="clear" w:color="auto" w:fill="92D050"/>
          </w:tcPr>
          <w:p>
            <w:pPr>
              <w:pStyle w:val="TableParagraph"/>
              <w:spacing w:before="134"/>
              <w:ind w:left="227" w:right="220"/>
              <w:rPr>
                <w:b/>
                <w:sz w:val="18"/>
              </w:rPr>
            </w:pPr>
            <w:r>
              <w:rPr>
                <w:b/>
                <w:sz w:val="18"/>
              </w:rPr>
              <w:t>2012</w:t>
            </w:r>
          </w:p>
        </w:tc>
        <w:tc>
          <w:tcPr>
            <w:tcW w:w="1212" w:type="dxa"/>
            <w:tcBorders>
              <w:left w:val="single" w:sz="4" w:space="0" w:color="000000"/>
              <w:right w:val="single" w:sz="4" w:space="0" w:color="000000"/>
            </w:tcBorders>
            <w:shd w:val="clear" w:color="auto" w:fill="92D050"/>
          </w:tcPr>
          <w:p>
            <w:pPr>
              <w:pStyle w:val="TableParagraph"/>
              <w:spacing w:before="134"/>
              <w:ind w:left="227" w:right="220"/>
              <w:rPr>
                <w:b/>
                <w:sz w:val="18"/>
              </w:rPr>
            </w:pPr>
            <w:r>
              <w:rPr>
                <w:b/>
                <w:sz w:val="18"/>
              </w:rPr>
              <w:t>2013</w:t>
            </w:r>
          </w:p>
        </w:tc>
        <w:tc>
          <w:tcPr>
            <w:tcW w:w="1212" w:type="dxa"/>
            <w:tcBorders>
              <w:left w:val="single" w:sz="4" w:space="0" w:color="000000"/>
              <w:right w:val="single" w:sz="4" w:space="0" w:color="000000"/>
            </w:tcBorders>
            <w:shd w:val="clear" w:color="auto" w:fill="92D050"/>
          </w:tcPr>
          <w:p>
            <w:pPr>
              <w:pStyle w:val="TableParagraph"/>
              <w:spacing w:before="134"/>
              <w:ind w:left="227" w:right="220"/>
              <w:rPr>
                <w:b/>
                <w:sz w:val="18"/>
              </w:rPr>
            </w:pPr>
            <w:r>
              <w:rPr>
                <w:b/>
                <w:sz w:val="18"/>
              </w:rPr>
              <w:t>2014</w:t>
            </w:r>
          </w:p>
        </w:tc>
        <w:tc>
          <w:tcPr>
            <w:tcW w:w="1213" w:type="dxa"/>
            <w:tcBorders>
              <w:left w:val="single" w:sz="4" w:space="0" w:color="000000"/>
            </w:tcBorders>
            <w:shd w:val="clear" w:color="auto" w:fill="92D050"/>
          </w:tcPr>
          <w:p>
            <w:pPr>
              <w:pStyle w:val="TableParagraph"/>
              <w:spacing w:before="134"/>
              <w:ind w:left="227" w:right="216"/>
              <w:rPr>
                <w:b/>
                <w:sz w:val="18"/>
              </w:rPr>
            </w:pPr>
            <w:r>
              <w:rPr>
                <w:b/>
                <w:sz w:val="18"/>
              </w:rPr>
              <w:t>2015</w:t>
            </w:r>
          </w:p>
        </w:tc>
      </w:tr>
      <w:tr>
        <w:trPr>
          <w:trHeight w:val="324" w:hRule="exact"/>
        </w:trPr>
        <w:tc>
          <w:tcPr>
            <w:tcW w:w="475" w:type="dxa"/>
            <w:tcBorders>
              <w:bottom w:val="single" w:sz="4" w:space="0" w:color="000000"/>
              <w:right w:val="single" w:sz="4" w:space="0" w:color="000000"/>
            </w:tcBorders>
          </w:tcPr>
          <w:p>
            <w:pPr>
              <w:pStyle w:val="TableParagraph"/>
              <w:spacing w:line="206" w:lineRule="exact"/>
              <w:rPr>
                <w:sz w:val="18"/>
              </w:rPr>
            </w:pPr>
            <w:r>
              <w:rPr>
                <w:w w:val="99"/>
                <w:sz w:val="18"/>
              </w:rPr>
              <w:t>1</w:t>
            </w:r>
          </w:p>
        </w:tc>
        <w:tc>
          <w:tcPr>
            <w:tcW w:w="2425" w:type="dxa"/>
            <w:tcBorders>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Acambay</w:t>
            </w:r>
          </w:p>
        </w:tc>
        <w:tc>
          <w:tcPr>
            <w:tcW w:w="1212" w:type="dxa"/>
            <w:tcBorders>
              <w:left w:val="single" w:sz="4" w:space="0" w:color="000000"/>
              <w:bottom w:val="single" w:sz="4" w:space="0" w:color="000000"/>
              <w:right w:val="single" w:sz="4" w:space="0" w:color="000000"/>
            </w:tcBorders>
          </w:tcPr>
          <w:p>
            <w:pPr>
              <w:pStyle w:val="TableParagraph"/>
              <w:spacing w:line="206" w:lineRule="exact"/>
              <w:ind w:left="227" w:right="222"/>
              <w:rPr>
                <w:sz w:val="18"/>
              </w:rPr>
            </w:pPr>
            <w:r>
              <w:rPr>
                <w:sz w:val="18"/>
              </w:rPr>
              <w:t>7.60%</w:t>
            </w:r>
          </w:p>
        </w:tc>
        <w:tc>
          <w:tcPr>
            <w:tcW w:w="1212" w:type="dxa"/>
            <w:tcBorders>
              <w:left w:val="single" w:sz="4" w:space="0" w:color="000000"/>
              <w:bottom w:val="single" w:sz="4" w:space="0" w:color="000000"/>
              <w:right w:val="single" w:sz="4" w:space="0" w:color="000000"/>
            </w:tcBorders>
          </w:tcPr>
          <w:p>
            <w:pPr>
              <w:pStyle w:val="TableParagraph"/>
              <w:spacing w:line="206" w:lineRule="exact"/>
              <w:ind w:left="227" w:right="224"/>
              <w:rPr>
                <w:sz w:val="18"/>
              </w:rPr>
            </w:pPr>
            <w:r>
              <w:rPr>
                <w:sz w:val="18"/>
              </w:rPr>
              <w:t>78.52%</w:t>
            </w:r>
          </w:p>
        </w:tc>
        <w:tc>
          <w:tcPr>
            <w:tcW w:w="1212" w:type="dxa"/>
            <w:tcBorders>
              <w:left w:val="single" w:sz="4" w:space="0" w:color="000000"/>
              <w:bottom w:val="single" w:sz="4" w:space="0" w:color="000000"/>
              <w:right w:val="single" w:sz="4" w:space="0" w:color="000000"/>
            </w:tcBorders>
          </w:tcPr>
          <w:p>
            <w:pPr>
              <w:pStyle w:val="TableParagraph"/>
              <w:spacing w:line="206" w:lineRule="exact"/>
              <w:ind w:left="227" w:right="224"/>
              <w:rPr>
                <w:sz w:val="18"/>
              </w:rPr>
            </w:pPr>
            <w:r>
              <w:rPr>
                <w:sz w:val="18"/>
              </w:rPr>
              <w:t>78.52%</w:t>
            </w:r>
          </w:p>
        </w:tc>
        <w:tc>
          <w:tcPr>
            <w:tcW w:w="1213" w:type="dxa"/>
            <w:tcBorders>
              <w:left w:val="single" w:sz="4" w:space="0" w:color="000000"/>
              <w:bottom w:val="single" w:sz="4" w:space="0" w:color="000000"/>
            </w:tcBorders>
          </w:tcPr>
          <w:p>
            <w:pPr>
              <w:pStyle w:val="TableParagraph"/>
              <w:spacing w:line="206" w:lineRule="exact"/>
              <w:ind w:left="227" w:right="220"/>
              <w:rPr>
                <w:sz w:val="18"/>
              </w:rPr>
            </w:pPr>
            <w:r>
              <w:rPr>
                <w:sz w:val="18"/>
              </w:rPr>
              <w:t>50.42%</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before="1"/>
              <w:rPr>
                <w:sz w:val="18"/>
              </w:rPr>
            </w:pPr>
            <w:r>
              <w:rPr>
                <w:w w:val="99"/>
                <w:sz w:val="18"/>
              </w:rPr>
              <w:t>2</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before="1"/>
              <w:ind w:left="67"/>
              <w:jc w:val="left"/>
              <w:rPr>
                <w:sz w:val="18"/>
              </w:rPr>
            </w:pPr>
            <w:r>
              <w:rPr>
                <w:color w:val="181818"/>
                <w:sz w:val="18"/>
              </w:rPr>
              <w:t>Aculco</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before="1"/>
              <w:ind w:left="227" w:right="224"/>
              <w:rPr>
                <w:sz w:val="18"/>
              </w:rPr>
            </w:pPr>
            <w:r>
              <w:rPr>
                <w:color w:val="333333"/>
                <w:sz w:val="18"/>
              </w:rPr>
              <w:t>19.20%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before="1"/>
              <w:ind w:left="227" w:right="224"/>
              <w:rPr>
                <w:sz w:val="18"/>
              </w:rPr>
            </w:pPr>
            <w:r>
              <w:rPr>
                <w:sz w:val="18"/>
              </w:rPr>
              <w:t>58.76%</w:t>
            </w:r>
          </w:p>
        </w:tc>
        <w:tc>
          <w:tcPr>
            <w:tcW w:w="1213" w:type="dxa"/>
            <w:tcBorders>
              <w:top w:val="single" w:sz="4" w:space="0" w:color="000000"/>
              <w:left w:val="single" w:sz="4" w:space="0" w:color="000000"/>
              <w:bottom w:val="single" w:sz="4" w:space="0" w:color="000000"/>
            </w:tcBorders>
          </w:tcPr>
          <w:p>
            <w:pP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6" w:lineRule="exact"/>
              <w:rPr>
                <w:sz w:val="18"/>
              </w:rPr>
            </w:pPr>
            <w:r>
              <w:rPr>
                <w:w w:val="99"/>
                <w:sz w:val="18"/>
              </w:rPr>
              <w:t>3</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Almoloya de Alquisiras</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6" w:lineRule="exact"/>
              <w:ind w:left="227" w:right="217"/>
              <w:rPr>
                <w:sz w:val="18"/>
              </w:rPr>
            </w:pPr>
            <w:r>
              <w:rPr>
                <w:sz w:val="18"/>
              </w:rPr>
              <w:t>0.00%</w:t>
            </w: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6" w:lineRule="exact"/>
              <w:rPr>
                <w:sz w:val="18"/>
              </w:rPr>
            </w:pPr>
            <w:r>
              <w:rPr>
                <w:w w:val="99"/>
                <w:sz w:val="18"/>
              </w:rPr>
              <w:t>4</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Almoloya de Juárez</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27" w:right="224"/>
              <w:rPr>
                <w:sz w:val="18"/>
              </w:rPr>
            </w:pPr>
            <w:r>
              <w:rPr>
                <w:color w:val="333333"/>
                <w:sz w:val="18"/>
              </w:rPr>
              <w:t>76.90%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27" w:right="224"/>
              <w:rPr>
                <w:sz w:val="18"/>
              </w:rPr>
            </w:pPr>
            <w:r>
              <w:rPr>
                <w:sz w:val="18"/>
              </w:rPr>
              <w:t>82.09%</w:t>
            </w:r>
          </w:p>
        </w:tc>
        <w:tc>
          <w:tcPr>
            <w:tcW w:w="1213" w:type="dxa"/>
            <w:tcBorders>
              <w:top w:val="single" w:sz="4" w:space="0" w:color="000000"/>
              <w:left w:val="single" w:sz="4" w:space="0" w:color="000000"/>
              <w:bottom w:val="single" w:sz="4" w:space="0" w:color="000000"/>
            </w:tcBorders>
          </w:tcPr>
          <w:p>
            <w:pPr>
              <w:pStyle w:val="TableParagraph"/>
              <w:spacing w:line="206" w:lineRule="exact"/>
              <w:ind w:left="227" w:right="220"/>
              <w:rPr>
                <w:sz w:val="18"/>
              </w:rPr>
            </w:pPr>
            <w:r>
              <w:rPr>
                <w:sz w:val="18"/>
              </w:rPr>
              <w:t>87.23%</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6" w:lineRule="exact"/>
              <w:rPr>
                <w:sz w:val="18"/>
              </w:rPr>
            </w:pPr>
            <w:r>
              <w:rPr>
                <w:w w:val="99"/>
                <w:sz w:val="18"/>
              </w:rPr>
              <w:t>5</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Almoloya del Río</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27" w:right="224"/>
              <w:rPr>
                <w:sz w:val="18"/>
              </w:rPr>
            </w:pPr>
            <w:r>
              <w:rPr>
                <w:color w:val="333333"/>
                <w:sz w:val="18"/>
              </w:rPr>
              <w:t>11.50%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6" w:lineRule="exact"/>
              <w:ind w:left="227" w:right="220"/>
              <w:rPr>
                <w:sz w:val="18"/>
              </w:rPr>
            </w:pPr>
            <w:r>
              <w:rPr>
                <w:sz w:val="18"/>
              </w:rPr>
              <w:t>17.33%</w:t>
            </w: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6" w:lineRule="exact"/>
              <w:rPr>
                <w:sz w:val="18"/>
              </w:rPr>
            </w:pPr>
            <w:r>
              <w:rPr>
                <w:w w:val="99"/>
                <w:sz w:val="18"/>
              </w:rPr>
              <w:t>6</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Amanalco</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27" w:right="224"/>
              <w:rPr>
                <w:sz w:val="18"/>
              </w:rPr>
            </w:pPr>
            <w:r>
              <w:rPr>
                <w:color w:val="333333"/>
                <w:sz w:val="18"/>
              </w:rPr>
              <w:t>19.23%</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27" w:right="224"/>
              <w:rPr>
                <w:sz w:val="18"/>
              </w:rPr>
            </w:pPr>
            <w:r>
              <w:rPr>
                <w:sz w:val="18"/>
              </w:rPr>
              <w:t>81.23%</w:t>
            </w:r>
          </w:p>
        </w:tc>
        <w:tc>
          <w:tcPr>
            <w:tcW w:w="1213" w:type="dxa"/>
            <w:tcBorders>
              <w:top w:val="single" w:sz="4" w:space="0" w:color="000000"/>
              <w:left w:val="single" w:sz="4" w:space="0" w:color="000000"/>
              <w:bottom w:val="single" w:sz="4" w:space="0" w:color="000000"/>
            </w:tcBorders>
          </w:tcPr>
          <w:p>
            <w:pPr>
              <w:pStyle w:val="TableParagraph"/>
              <w:spacing w:line="206" w:lineRule="exact"/>
              <w:ind w:left="227" w:right="220"/>
              <w:rPr>
                <w:sz w:val="18"/>
              </w:rPr>
            </w:pPr>
            <w:r>
              <w:rPr>
                <w:sz w:val="18"/>
              </w:rPr>
              <w:t>66.68%</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6" w:lineRule="exact"/>
              <w:rPr>
                <w:sz w:val="18"/>
              </w:rPr>
            </w:pPr>
            <w:r>
              <w:rPr>
                <w:w w:val="99"/>
                <w:sz w:val="18"/>
              </w:rPr>
              <w:t>7</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Apaxco</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27" w:right="224"/>
              <w:rPr>
                <w:sz w:val="18"/>
              </w:rPr>
            </w:pPr>
            <w:r>
              <w:rPr>
                <w:color w:val="333333"/>
                <w:sz w:val="18"/>
              </w:rPr>
              <w:t>11.50%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6" w:lineRule="exact"/>
              <w:rPr>
                <w:sz w:val="18"/>
              </w:rPr>
            </w:pPr>
            <w:r>
              <w:rPr>
                <w:w w:val="99"/>
                <w:sz w:val="18"/>
              </w:rPr>
              <w:t>8</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Atizapán</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27" w:right="222"/>
              <w:rPr>
                <w:sz w:val="18"/>
              </w:rPr>
            </w:pPr>
            <w:r>
              <w:rPr>
                <w:sz w:val="18"/>
              </w:rPr>
              <w:t>2.38%</w:t>
            </w:r>
          </w:p>
        </w:tc>
        <w:tc>
          <w:tcPr>
            <w:tcW w:w="1213" w:type="dxa"/>
            <w:tcBorders>
              <w:top w:val="single" w:sz="4" w:space="0" w:color="000000"/>
              <w:left w:val="single" w:sz="4" w:space="0" w:color="000000"/>
              <w:bottom w:val="single" w:sz="4" w:space="0" w:color="000000"/>
            </w:tcBorders>
          </w:tcPr>
          <w:p>
            <w:pP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6" w:lineRule="exact"/>
              <w:rPr>
                <w:sz w:val="18"/>
              </w:rPr>
            </w:pPr>
            <w:r>
              <w:rPr>
                <w:w w:val="99"/>
                <w:sz w:val="18"/>
              </w:rPr>
              <w:t>9</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Atizapán de Zaragoza</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27" w:right="224"/>
              <w:rPr>
                <w:sz w:val="18"/>
              </w:rPr>
            </w:pPr>
            <w:r>
              <w:rPr>
                <w:color w:val="333333"/>
                <w:sz w:val="18"/>
              </w:rPr>
              <w:t>25.00%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27" w:right="224"/>
              <w:rPr>
                <w:sz w:val="18"/>
              </w:rPr>
            </w:pPr>
            <w:r>
              <w:rPr>
                <w:sz w:val="18"/>
              </w:rPr>
              <w:t>90.42%</w:t>
            </w:r>
          </w:p>
        </w:tc>
        <w:tc>
          <w:tcPr>
            <w:tcW w:w="1213" w:type="dxa"/>
            <w:tcBorders>
              <w:top w:val="single" w:sz="4" w:space="0" w:color="000000"/>
              <w:left w:val="single" w:sz="4" w:space="0" w:color="000000"/>
              <w:bottom w:val="single" w:sz="4" w:space="0" w:color="000000"/>
            </w:tcBorders>
          </w:tcPr>
          <w:p>
            <w:pPr/>
          </w:p>
        </w:tc>
      </w:tr>
      <w:tr>
        <w:trPr>
          <w:trHeight w:val="320" w:hRule="exact"/>
        </w:trPr>
        <w:tc>
          <w:tcPr>
            <w:tcW w:w="475" w:type="dxa"/>
            <w:tcBorders>
              <w:top w:val="single" w:sz="4" w:space="0" w:color="000000"/>
              <w:bottom w:val="single" w:sz="4" w:space="0" w:color="000000"/>
              <w:right w:val="single" w:sz="4" w:space="0" w:color="000000"/>
            </w:tcBorders>
          </w:tcPr>
          <w:p>
            <w:pPr>
              <w:pStyle w:val="TableParagraph"/>
              <w:spacing w:line="206" w:lineRule="exact"/>
              <w:ind w:left="43" w:right="43"/>
              <w:rPr>
                <w:sz w:val="18"/>
              </w:rPr>
            </w:pPr>
            <w:r>
              <w:rPr>
                <w:sz w:val="18"/>
              </w:rPr>
              <w:t>10</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Atlacomulco</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27" w:right="224"/>
              <w:rPr>
                <w:sz w:val="18"/>
              </w:rPr>
            </w:pPr>
            <w:r>
              <w:rPr>
                <w:color w:val="333333"/>
                <w:sz w:val="18"/>
              </w:rPr>
              <w:t>38.40%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6" w:lineRule="exact"/>
              <w:ind w:left="227" w:right="220"/>
              <w:rPr>
                <w:sz w:val="18"/>
              </w:rPr>
            </w:pPr>
            <w:r>
              <w:rPr>
                <w:sz w:val="18"/>
              </w:rPr>
              <w:t>55.80%</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6" w:lineRule="exact"/>
              <w:ind w:left="43" w:right="43"/>
              <w:rPr>
                <w:sz w:val="18"/>
              </w:rPr>
            </w:pPr>
            <w:r>
              <w:rPr>
                <w:sz w:val="18"/>
              </w:rPr>
              <w:t>11</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Atlautla</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27" w:right="222"/>
              <w:rPr>
                <w:sz w:val="18"/>
              </w:rPr>
            </w:pPr>
            <w:r>
              <w:rPr>
                <w:color w:val="333333"/>
                <w:sz w:val="18"/>
              </w:rPr>
              <w:t>7.69%</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6" w:lineRule="exact"/>
              <w:ind w:left="43" w:right="43"/>
              <w:rPr>
                <w:sz w:val="18"/>
              </w:rPr>
            </w:pPr>
            <w:r>
              <w:rPr>
                <w:sz w:val="18"/>
              </w:rPr>
              <w:t>12</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Ayapango</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6" w:lineRule="exact"/>
              <w:ind w:left="227" w:right="217"/>
              <w:rPr>
                <w:sz w:val="18"/>
              </w:rPr>
            </w:pPr>
            <w:r>
              <w:rPr>
                <w:sz w:val="18"/>
              </w:rPr>
              <w:t>0.00%</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6" w:lineRule="exact"/>
              <w:ind w:left="43" w:right="43"/>
              <w:rPr>
                <w:sz w:val="18"/>
              </w:rPr>
            </w:pPr>
            <w:r>
              <w:rPr>
                <w:sz w:val="18"/>
              </w:rPr>
              <w:t>13</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Calimaya</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27" w:right="222"/>
              <w:rPr>
                <w:sz w:val="18"/>
              </w:rPr>
            </w:pPr>
            <w:r>
              <w:rPr>
                <w:color w:val="333333"/>
                <w:sz w:val="18"/>
              </w:rPr>
              <w:t>3.80%</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27" w:right="224"/>
              <w:rPr>
                <w:sz w:val="18"/>
              </w:rPr>
            </w:pPr>
            <w:r>
              <w:rPr>
                <w:sz w:val="18"/>
              </w:rPr>
              <w:t>93.20%</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27" w:right="224"/>
              <w:rPr>
                <w:sz w:val="18"/>
              </w:rPr>
            </w:pPr>
            <w:r>
              <w:rPr>
                <w:sz w:val="18"/>
              </w:rPr>
              <w:t>95.80%</w:t>
            </w:r>
          </w:p>
        </w:tc>
        <w:tc>
          <w:tcPr>
            <w:tcW w:w="1213" w:type="dxa"/>
            <w:tcBorders>
              <w:top w:val="single" w:sz="4" w:space="0" w:color="000000"/>
              <w:left w:val="single" w:sz="4" w:space="0" w:color="000000"/>
              <w:bottom w:val="single" w:sz="4" w:space="0" w:color="000000"/>
            </w:tcBorders>
          </w:tcPr>
          <w:p>
            <w:pPr>
              <w:pStyle w:val="TableParagraph"/>
              <w:spacing w:line="206" w:lineRule="exact"/>
              <w:ind w:left="227" w:right="220"/>
              <w:rPr>
                <w:sz w:val="18"/>
              </w:rPr>
            </w:pPr>
            <w:r>
              <w:rPr>
                <w:sz w:val="18"/>
              </w:rPr>
              <w:t>31.28%</w:t>
            </w: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6" w:lineRule="exact"/>
              <w:ind w:left="43" w:right="43"/>
              <w:rPr>
                <w:sz w:val="18"/>
              </w:rPr>
            </w:pPr>
            <w:r>
              <w:rPr>
                <w:sz w:val="18"/>
              </w:rPr>
              <w:t>14</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Capulhuac</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27" w:right="224"/>
              <w:rPr>
                <w:sz w:val="18"/>
              </w:rPr>
            </w:pPr>
            <w:r>
              <w:rPr>
                <w:sz w:val="18"/>
              </w:rPr>
              <w:t>48.50%</w:t>
            </w:r>
          </w:p>
        </w:tc>
        <w:tc>
          <w:tcPr>
            <w:tcW w:w="1213" w:type="dxa"/>
            <w:tcBorders>
              <w:top w:val="single" w:sz="4" w:space="0" w:color="000000"/>
              <w:left w:val="single" w:sz="4" w:space="0" w:color="000000"/>
              <w:bottom w:val="single" w:sz="4" w:space="0" w:color="000000"/>
            </w:tcBorders>
          </w:tcPr>
          <w:p>
            <w:pPr>
              <w:pStyle w:val="TableParagraph"/>
              <w:spacing w:line="206" w:lineRule="exact"/>
              <w:ind w:left="227" w:right="220"/>
              <w:rPr>
                <w:sz w:val="18"/>
              </w:rPr>
            </w:pPr>
            <w:r>
              <w:rPr>
                <w:sz w:val="18"/>
              </w:rPr>
              <w:t>39.46%</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before="1"/>
              <w:ind w:left="43" w:right="43"/>
              <w:rPr>
                <w:sz w:val="18"/>
              </w:rPr>
            </w:pPr>
            <w:r>
              <w:rPr>
                <w:sz w:val="18"/>
              </w:rPr>
              <w:t>15</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before="1"/>
              <w:ind w:left="67"/>
              <w:jc w:val="left"/>
              <w:rPr>
                <w:sz w:val="18"/>
              </w:rPr>
            </w:pPr>
            <w:r>
              <w:rPr>
                <w:color w:val="181818"/>
                <w:sz w:val="18"/>
              </w:rPr>
              <w:t>Coacalco de Berriozábal</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before="1"/>
              <w:ind w:left="227" w:right="217"/>
              <w:rPr>
                <w:sz w:val="18"/>
              </w:rPr>
            </w:pPr>
            <w:r>
              <w:rPr>
                <w:sz w:val="18"/>
              </w:rPr>
              <w:t>0.00%</w:t>
            </w: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6" w:lineRule="exact"/>
              <w:ind w:left="43" w:right="43"/>
              <w:rPr>
                <w:sz w:val="18"/>
              </w:rPr>
            </w:pPr>
            <w:r>
              <w:rPr>
                <w:sz w:val="18"/>
              </w:rPr>
              <w:t>16</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Coatepec Harinas</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27" w:right="222"/>
              <w:rPr>
                <w:sz w:val="18"/>
              </w:rPr>
            </w:pPr>
            <w:r>
              <w:rPr>
                <w:color w:val="333333"/>
                <w:sz w:val="18"/>
              </w:rPr>
              <w:t>3.80%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6" w:lineRule="exact"/>
              <w:ind w:left="227" w:right="220"/>
              <w:rPr>
                <w:sz w:val="18"/>
              </w:rPr>
            </w:pPr>
            <w:r>
              <w:rPr>
                <w:sz w:val="18"/>
              </w:rPr>
              <w:t>12.76%</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before="1"/>
              <w:ind w:left="43" w:right="43"/>
              <w:rPr>
                <w:sz w:val="18"/>
              </w:rPr>
            </w:pPr>
            <w:r>
              <w:rPr>
                <w:sz w:val="18"/>
              </w:rPr>
              <w:t>17</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before="1"/>
              <w:ind w:left="67"/>
              <w:jc w:val="left"/>
              <w:rPr>
                <w:sz w:val="18"/>
              </w:rPr>
            </w:pPr>
            <w:r>
              <w:rPr>
                <w:color w:val="181818"/>
                <w:sz w:val="18"/>
              </w:rPr>
              <w:t>Cocotitlán</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before="1"/>
              <w:ind w:left="227" w:right="217"/>
              <w:rPr>
                <w:sz w:val="18"/>
              </w:rPr>
            </w:pPr>
            <w:r>
              <w:rPr>
                <w:sz w:val="18"/>
              </w:rPr>
              <w:t>0.00%</w:t>
            </w: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6" w:lineRule="exact"/>
              <w:ind w:left="43" w:right="43"/>
              <w:rPr>
                <w:sz w:val="18"/>
              </w:rPr>
            </w:pPr>
            <w:r>
              <w:rPr>
                <w:sz w:val="18"/>
              </w:rPr>
              <w:t>18</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Coyotepec</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27" w:right="222"/>
              <w:rPr>
                <w:sz w:val="18"/>
              </w:rPr>
            </w:pPr>
            <w:r>
              <w:rPr>
                <w:color w:val="333333"/>
                <w:sz w:val="18"/>
              </w:rPr>
              <w:t>7.60%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before="1"/>
              <w:ind w:left="43" w:right="43"/>
              <w:rPr>
                <w:sz w:val="18"/>
              </w:rPr>
            </w:pPr>
            <w:r>
              <w:rPr>
                <w:sz w:val="18"/>
              </w:rPr>
              <w:t>19</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before="1"/>
              <w:ind w:left="67"/>
              <w:jc w:val="left"/>
              <w:rPr>
                <w:sz w:val="18"/>
              </w:rPr>
            </w:pPr>
            <w:r>
              <w:rPr>
                <w:color w:val="181818"/>
                <w:sz w:val="18"/>
              </w:rPr>
              <w:t>Cuautitlán</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before="1"/>
              <w:ind w:left="227" w:right="224"/>
              <w:rPr>
                <w:sz w:val="18"/>
              </w:rPr>
            </w:pPr>
            <w:r>
              <w:rPr>
                <w:sz w:val="18"/>
              </w:rPr>
              <w:t>46.47%</w:t>
            </w:r>
          </w:p>
        </w:tc>
        <w:tc>
          <w:tcPr>
            <w:tcW w:w="1213" w:type="dxa"/>
            <w:tcBorders>
              <w:top w:val="single" w:sz="4" w:space="0" w:color="000000"/>
              <w:left w:val="single" w:sz="4" w:space="0" w:color="000000"/>
              <w:bottom w:val="single" w:sz="4" w:space="0" w:color="000000"/>
            </w:tcBorders>
          </w:tcPr>
          <w:p>
            <w:pPr>
              <w:pStyle w:val="TableParagraph"/>
              <w:spacing w:before="1"/>
              <w:ind w:left="227" w:right="220"/>
              <w:rPr>
                <w:sz w:val="18"/>
              </w:rPr>
            </w:pPr>
            <w:r>
              <w:rPr>
                <w:sz w:val="18"/>
              </w:rPr>
              <w:t>57.14%</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6" w:lineRule="exact"/>
              <w:ind w:left="43" w:right="43"/>
              <w:rPr>
                <w:sz w:val="18"/>
              </w:rPr>
            </w:pPr>
            <w:r>
              <w:rPr>
                <w:sz w:val="18"/>
              </w:rPr>
              <w:t>20</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Chalco</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27" w:right="224"/>
              <w:rPr>
                <w:sz w:val="18"/>
              </w:rPr>
            </w:pPr>
            <w:r>
              <w:rPr>
                <w:color w:val="333333"/>
                <w:sz w:val="18"/>
              </w:rPr>
              <w:t>34.60%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27" w:right="224"/>
              <w:rPr>
                <w:sz w:val="18"/>
              </w:rPr>
            </w:pPr>
            <w:r>
              <w:rPr>
                <w:sz w:val="18"/>
              </w:rPr>
              <w:t>96.42%</w:t>
            </w:r>
          </w:p>
        </w:tc>
        <w:tc>
          <w:tcPr>
            <w:tcW w:w="1213" w:type="dxa"/>
            <w:tcBorders>
              <w:top w:val="single" w:sz="4" w:space="0" w:color="000000"/>
              <w:left w:val="single" w:sz="4" w:space="0" w:color="000000"/>
              <w:bottom w:val="single" w:sz="4" w:space="0" w:color="000000"/>
            </w:tcBorders>
          </w:tcPr>
          <w:p>
            <w:pPr/>
          </w:p>
        </w:tc>
      </w:tr>
      <w:tr>
        <w:trPr>
          <w:trHeight w:val="320" w:hRule="exact"/>
        </w:trPr>
        <w:tc>
          <w:tcPr>
            <w:tcW w:w="475" w:type="dxa"/>
            <w:tcBorders>
              <w:top w:val="single" w:sz="4" w:space="0" w:color="000000"/>
              <w:bottom w:val="single" w:sz="4" w:space="0" w:color="000000"/>
              <w:right w:val="single" w:sz="4" w:space="0" w:color="000000"/>
            </w:tcBorders>
          </w:tcPr>
          <w:p>
            <w:pPr>
              <w:pStyle w:val="TableParagraph"/>
              <w:spacing w:line="207" w:lineRule="exact"/>
              <w:ind w:left="43" w:right="43"/>
              <w:rPr>
                <w:sz w:val="18"/>
              </w:rPr>
            </w:pPr>
            <w:r>
              <w:rPr>
                <w:sz w:val="18"/>
              </w:rPr>
              <w:t>21</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67"/>
              <w:jc w:val="left"/>
              <w:rPr>
                <w:sz w:val="18"/>
              </w:rPr>
            </w:pPr>
            <w:r>
              <w:rPr>
                <w:color w:val="181818"/>
                <w:sz w:val="18"/>
              </w:rPr>
              <w:t>Chapa de Mota</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227" w:right="222"/>
              <w:rPr>
                <w:sz w:val="18"/>
              </w:rPr>
            </w:pPr>
            <w:r>
              <w:rPr>
                <w:color w:val="333333"/>
                <w:sz w:val="18"/>
              </w:rPr>
              <w:t>7.60%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7" w:lineRule="exact"/>
              <w:ind w:left="227" w:right="220"/>
              <w:rPr>
                <w:sz w:val="18"/>
              </w:rPr>
            </w:pPr>
            <w:r>
              <w:rPr>
                <w:sz w:val="18"/>
              </w:rPr>
              <w:t>34.51%</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6" w:lineRule="exact"/>
              <w:ind w:left="43" w:right="43"/>
              <w:rPr>
                <w:sz w:val="18"/>
              </w:rPr>
            </w:pPr>
            <w:r>
              <w:rPr>
                <w:sz w:val="18"/>
              </w:rPr>
              <w:t>22</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Chiautla</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27" w:right="222"/>
              <w:rPr>
                <w:sz w:val="18"/>
              </w:rPr>
            </w:pPr>
            <w:r>
              <w:rPr>
                <w:color w:val="333333"/>
                <w:sz w:val="18"/>
              </w:rPr>
              <w:t>7.60%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6" w:lineRule="exact"/>
              <w:ind w:left="227" w:right="217"/>
              <w:rPr>
                <w:sz w:val="18"/>
              </w:rPr>
            </w:pPr>
            <w:r>
              <w:rPr>
                <w:sz w:val="18"/>
              </w:rPr>
              <w:t>0.00%</w:t>
            </w: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6" w:lineRule="exact"/>
              <w:ind w:left="43" w:right="43"/>
              <w:rPr>
                <w:sz w:val="18"/>
              </w:rPr>
            </w:pPr>
            <w:r>
              <w:rPr>
                <w:sz w:val="18"/>
              </w:rPr>
              <w:t>23</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Chicoloapan</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27" w:right="222"/>
              <w:rPr>
                <w:sz w:val="18"/>
              </w:rPr>
            </w:pPr>
            <w:r>
              <w:rPr>
                <w:color w:val="333333"/>
                <w:sz w:val="18"/>
              </w:rPr>
              <w:t>3.80%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6" w:lineRule="exact"/>
              <w:ind w:left="227" w:right="220"/>
              <w:rPr>
                <w:sz w:val="18"/>
              </w:rPr>
            </w:pPr>
            <w:r>
              <w:rPr>
                <w:sz w:val="18"/>
              </w:rPr>
              <w:t>42.15%</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6" w:lineRule="exact"/>
              <w:ind w:left="43" w:right="43"/>
              <w:rPr>
                <w:sz w:val="18"/>
              </w:rPr>
            </w:pPr>
            <w:r>
              <w:rPr>
                <w:sz w:val="18"/>
              </w:rPr>
              <w:t>24</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Chiconcuac</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27" w:right="222"/>
              <w:rPr>
                <w:sz w:val="18"/>
              </w:rPr>
            </w:pPr>
            <w:r>
              <w:rPr>
                <w:color w:val="333333"/>
                <w:sz w:val="18"/>
              </w:rPr>
              <w:t>3.80%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6" w:lineRule="exact"/>
              <w:ind w:left="43" w:right="43"/>
              <w:rPr>
                <w:sz w:val="18"/>
              </w:rPr>
            </w:pPr>
            <w:r>
              <w:rPr>
                <w:sz w:val="18"/>
              </w:rPr>
              <w:t>25</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Chimalhuacán</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27" w:right="222"/>
              <w:rPr>
                <w:sz w:val="18"/>
              </w:rPr>
            </w:pPr>
            <w:r>
              <w:rPr>
                <w:color w:val="333333"/>
                <w:sz w:val="18"/>
              </w:rPr>
              <w:t>3.80%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6" w:lineRule="exact"/>
              <w:ind w:left="227" w:right="220"/>
              <w:rPr>
                <w:sz w:val="18"/>
              </w:rPr>
            </w:pPr>
            <w:r>
              <w:rPr>
                <w:sz w:val="18"/>
              </w:rPr>
              <w:t>49.04%</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6" w:lineRule="exact"/>
              <w:ind w:left="43" w:right="43"/>
              <w:rPr>
                <w:sz w:val="18"/>
              </w:rPr>
            </w:pPr>
            <w:r>
              <w:rPr>
                <w:sz w:val="18"/>
              </w:rPr>
              <w:t>26</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Donato Guerra</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6" w:lineRule="exact"/>
              <w:ind w:left="227" w:right="217"/>
              <w:rPr>
                <w:sz w:val="18"/>
              </w:rPr>
            </w:pPr>
            <w:r>
              <w:rPr>
                <w:sz w:val="18"/>
              </w:rPr>
              <w:t>6.83%</w:t>
            </w: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6" w:lineRule="exact"/>
              <w:ind w:left="43" w:right="43"/>
              <w:rPr>
                <w:sz w:val="18"/>
              </w:rPr>
            </w:pPr>
            <w:r>
              <w:rPr>
                <w:sz w:val="18"/>
              </w:rPr>
              <w:t>27</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Ecatepec de Morelos</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27" w:right="224"/>
              <w:rPr>
                <w:sz w:val="18"/>
              </w:rPr>
            </w:pPr>
            <w:r>
              <w:rPr>
                <w:color w:val="333333"/>
                <w:sz w:val="18"/>
              </w:rPr>
              <w:t>42.30%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
        </w:tc>
      </w:tr>
    </w:tbl>
    <w:p>
      <w:pPr>
        <w:spacing w:line="206" w:lineRule="exact" w:before="0"/>
        <w:ind w:left="710" w:right="6" w:firstLine="0"/>
        <w:jc w:val="left"/>
        <w:rPr>
          <w:sz w:val="18"/>
        </w:rPr>
      </w:pPr>
      <w:r>
        <w:rPr>
          <w:sz w:val="18"/>
        </w:rPr>
        <w:t>Fuente:</w:t>
      </w:r>
    </w:p>
    <w:p>
      <w:pPr>
        <w:spacing w:after="0" w:line="206" w:lineRule="exact"/>
        <w:jc w:val="left"/>
        <w:rPr>
          <w:sz w:val="18"/>
        </w:rPr>
        <w:sectPr>
          <w:pgSz w:w="12240" w:h="15840"/>
          <w:pgMar w:header="0" w:footer="975" w:top="1360" w:bottom="1220" w:left="1500" w:right="1580"/>
        </w:sectPr>
      </w:pPr>
    </w:p>
    <w:tbl>
      <w:tblPr>
        <w:tblW w:w="0" w:type="auto"/>
        <w:jc w:val="left"/>
        <w:tblInd w:w="46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75"/>
        <w:gridCol w:w="2425"/>
        <w:gridCol w:w="1212"/>
        <w:gridCol w:w="1212"/>
        <w:gridCol w:w="1212"/>
        <w:gridCol w:w="1213"/>
      </w:tblGrid>
      <w:tr>
        <w:trPr>
          <w:trHeight w:val="695" w:hRule="exact"/>
        </w:trPr>
        <w:tc>
          <w:tcPr>
            <w:tcW w:w="7749" w:type="dxa"/>
            <w:gridSpan w:val="6"/>
            <w:shd w:val="clear" w:color="auto" w:fill="92D050"/>
          </w:tcPr>
          <w:p>
            <w:pPr>
              <w:pStyle w:val="TableParagraph"/>
              <w:spacing w:line="362" w:lineRule="auto" w:before="45"/>
              <w:ind w:left="2871" w:right="237" w:hanging="2612"/>
              <w:jc w:val="left"/>
              <w:rPr>
                <w:b/>
                <w:sz w:val="18"/>
              </w:rPr>
            </w:pPr>
            <w:r>
              <w:rPr>
                <w:b/>
                <w:sz w:val="18"/>
              </w:rPr>
              <w:t>Tabla 3.9. Evaluaciones de cumplimiento de la ley de transparencia realizadas por el INFOEM (continuación)</w:t>
            </w:r>
          </w:p>
        </w:tc>
      </w:tr>
      <w:tr>
        <w:trPr>
          <w:trHeight w:val="335" w:hRule="exact"/>
        </w:trPr>
        <w:tc>
          <w:tcPr>
            <w:tcW w:w="475" w:type="dxa"/>
            <w:tcBorders>
              <w:right w:val="single" w:sz="4" w:space="0" w:color="000000"/>
            </w:tcBorders>
            <w:shd w:val="clear" w:color="auto" w:fill="92D050"/>
          </w:tcPr>
          <w:p>
            <w:pPr>
              <w:pStyle w:val="TableParagraph"/>
              <w:spacing w:line="203" w:lineRule="exact"/>
              <w:ind w:left="16" w:right="60"/>
              <w:rPr>
                <w:b/>
                <w:sz w:val="18"/>
              </w:rPr>
            </w:pPr>
            <w:r>
              <w:rPr>
                <w:b/>
                <w:sz w:val="18"/>
              </w:rPr>
              <w:t>No.</w:t>
            </w:r>
          </w:p>
        </w:tc>
        <w:tc>
          <w:tcPr>
            <w:tcW w:w="2425" w:type="dxa"/>
            <w:tcBorders>
              <w:left w:val="single" w:sz="4" w:space="0" w:color="000000"/>
              <w:right w:val="single" w:sz="4" w:space="0" w:color="000000"/>
            </w:tcBorders>
            <w:shd w:val="clear" w:color="auto" w:fill="92D050"/>
          </w:tcPr>
          <w:p>
            <w:pPr>
              <w:pStyle w:val="TableParagraph"/>
              <w:spacing w:line="201" w:lineRule="exact"/>
              <w:ind w:left="789"/>
              <w:jc w:val="left"/>
              <w:rPr>
                <w:b/>
                <w:sz w:val="18"/>
              </w:rPr>
            </w:pPr>
            <w:r>
              <w:rPr>
                <w:b/>
                <w:sz w:val="18"/>
              </w:rPr>
              <w:t>Municipio</w:t>
            </w:r>
          </w:p>
        </w:tc>
        <w:tc>
          <w:tcPr>
            <w:tcW w:w="1212" w:type="dxa"/>
            <w:tcBorders>
              <w:left w:val="single" w:sz="4" w:space="0" w:color="000000"/>
              <w:right w:val="single" w:sz="4" w:space="0" w:color="000000"/>
            </w:tcBorders>
            <w:shd w:val="clear" w:color="auto" w:fill="92D050"/>
          </w:tcPr>
          <w:p>
            <w:pPr>
              <w:pStyle w:val="TableParagraph"/>
              <w:spacing w:line="201" w:lineRule="exact"/>
              <w:ind w:left="227" w:right="220"/>
              <w:rPr>
                <w:b/>
                <w:sz w:val="18"/>
              </w:rPr>
            </w:pPr>
            <w:r>
              <w:rPr>
                <w:b/>
                <w:sz w:val="18"/>
              </w:rPr>
              <w:t>2012</w:t>
            </w:r>
          </w:p>
        </w:tc>
        <w:tc>
          <w:tcPr>
            <w:tcW w:w="1212" w:type="dxa"/>
            <w:tcBorders>
              <w:left w:val="single" w:sz="4" w:space="0" w:color="000000"/>
              <w:right w:val="single" w:sz="4" w:space="0" w:color="000000"/>
            </w:tcBorders>
            <w:shd w:val="clear" w:color="auto" w:fill="92D050"/>
          </w:tcPr>
          <w:p>
            <w:pPr>
              <w:pStyle w:val="TableParagraph"/>
              <w:spacing w:line="201" w:lineRule="exact"/>
              <w:ind w:left="227" w:right="220"/>
              <w:rPr>
                <w:b/>
                <w:sz w:val="18"/>
              </w:rPr>
            </w:pPr>
            <w:r>
              <w:rPr>
                <w:b/>
                <w:sz w:val="18"/>
              </w:rPr>
              <w:t>2013</w:t>
            </w:r>
          </w:p>
        </w:tc>
        <w:tc>
          <w:tcPr>
            <w:tcW w:w="1212" w:type="dxa"/>
            <w:tcBorders>
              <w:left w:val="single" w:sz="4" w:space="0" w:color="000000"/>
              <w:right w:val="single" w:sz="4" w:space="0" w:color="000000"/>
            </w:tcBorders>
            <w:shd w:val="clear" w:color="auto" w:fill="92D050"/>
          </w:tcPr>
          <w:p>
            <w:pPr>
              <w:pStyle w:val="TableParagraph"/>
              <w:spacing w:line="201" w:lineRule="exact"/>
              <w:ind w:left="227" w:right="220"/>
              <w:rPr>
                <w:b/>
                <w:sz w:val="18"/>
              </w:rPr>
            </w:pPr>
            <w:r>
              <w:rPr>
                <w:b/>
                <w:sz w:val="18"/>
              </w:rPr>
              <w:t>2014</w:t>
            </w:r>
          </w:p>
        </w:tc>
        <w:tc>
          <w:tcPr>
            <w:tcW w:w="1213" w:type="dxa"/>
            <w:tcBorders>
              <w:left w:val="single" w:sz="4" w:space="0" w:color="000000"/>
            </w:tcBorders>
            <w:shd w:val="clear" w:color="auto" w:fill="92D050"/>
          </w:tcPr>
          <w:p>
            <w:pPr>
              <w:pStyle w:val="TableParagraph"/>
              <w:spacing w:line="201" w:lineRule="exact"/>
              <w:ind w:left="227" w:right="216"/>
              <w:rPr>
                <w:b/>
                <w:sz w:val="18"/>
              </w:rPr>
            </w:pPr>
            <w:r>
              <w:rPr>
                <w:b/>
                <w:sz w:val="18"/>
              </w:rPr>
              <w:t>2015</w:t>
            </w:r>
          </w:p>
        </w:tc>
      </w:tr>
      <w:tr>
        <w:trPr>
          <w:trHeight w:val="335" w:hRule="exact"/>
        </w:trPr>
        <w:tc>
          <w:tcPr>
            <w:tcW w:w="475" w:type="dxa"/>
            <w:tcBorders>
              <w:right w:val="single" w:sz="4" w:space="0" w:color="000000"/>
            </w:tcBorders>
          </w:tcPr>
          <w:p>
            <w:pPr>
              <w:pStyle w:val="TableParagraph"/>
              <w:ind w:left="43" w:right="43"/>
              <w:rPr>
                <w:sz w:val="18"/>
              </w:rPr>
            </w:pPr>
            <w:r>
              <w:rPr>
                <w:sz w:val="18"/>
              </w:rPr>
              <w:t>28</w:t>
            </w:r>
          </w:p>
        </w:tc>
        <w:tc>
          <w:tcPr>
            <w:tcW w:w="2425" w:type="dxa"/>
            <w:tcBorders>
              <w:left w:val="single" w:sz="4" w:space="0" w:color="000000"/>
              <w:right w:val="single" w:sz="4" w:space="0" w:color="000000"/>
            </w:tcBorders>
          </w:tcPr>
          <w:p>
            <w:pPr>
              <w:pStyle w:val="TableParagraph"/>
              <w:spacing w:before="2"/>
              <w:ind w:left="67"/>
              <w:jc w:val="left"/>
              <w:rPr>
                <w:sz w:val="18"/>
              </w:rPr>
            </w:pPr>
            <w:r>
              <w:rPr>
                <w:color w:val="181818"/>
                <w:sz w:val="18"/>
              </w:rPr>
              <w:t>Ecatzingo</w:t>
            </w:r>
          </w:p>
        </w:tc>
        <w:tc>
          <w:tcPr>
            <w:tcW w:w="1212" w:type="dxa"/>
            <w:tcBorders>
              <w:left w:val="single" w:sz="4" w:space="0" w:color="000000"/>
              <w:right w:val="single" w:sz="4" w:space="0" w:color="000000"/>
            </w:tcBorders>
          </w:tcPr>
          <w:p>
            <w:pPr/>
          </w:p>
        </w:tc>
        <w:tc>
          <w:tcPr>
            <w:tcW w:w="1212" w:type="dxa"/>
            <w:tcBorders>
              <w:left w:val="single" w:sz="4" w:space="0" w:color="000000"/>
              <w:right w:val="single" w:sz="4" w:space="0" w:color="000000"/>
            </w:tcBorders>
          </w:tcPr>
          <w:p>
            <w:pPr/>
          </w:p>
        </w:tc>
        <w:tc>
          <w:tcPr>
            <w:tcW w:w="1212" w:type="dxa"/>
            <w:tcBorders>
              <w:left w:val="single" w:sz="4" w:space="0" w:color="000000"/>
              <w:right w:val="single" w:sz="4" w:space="0" w:color="000000"/>
            </w:tcBorders>
          </w:tcPr>
          <w:p>
            <w:pPr/>
          </w:p>
        </w:tc>
        <w:tc>
          <w:tcPr>
            <w:tcW w:w="1213" w:type="dxa"/>
            <w:tcBorders>
              <w:left w:val="single" w:sz="4" w:space="0" w:color="000000"/>
            </w:tcBorders>
          </w:tcPr>
          <w:p>
            <w:pPr>
              <w:pStyle w:val="TableParagraph"/>
              <w:ind w:left="227" w:right="217"/>
              <w:rPr>
                <w:sz w:val="18"/>
              </w:rPr>
            </w:pPr>
            <w:r>
              <w:rPr>
                <w:sz w:val="18"/>
              </w:rPr>
              <w:t>0.00%</w:t>
            </w:r>
          </w:p>
        </w:tc>
      </w:tr>
      <w:tr>
        <w:trPr>
          <w:trHeight w:val="336" w:hRule="exact"/>
        </w:trPr>
        <w:tc>
          <w:tcPr>
            <w:tcW w:w="475" w:type="dxa"/>
            <w:tcBorders>
              <w:right w:val="single" w:sz="4" w:space="0" w:color="000000"/>
            </w:tcBorders>
          </w:tcPr>
          <w:p>
            <w:pPr>
              <w:pStyle w:val="TableParagraph"/>
              <w:spacing w:line="206" w:lineRule="exact"/>
              <w:ind w:left="43" w:right="43"/>
              <w:rPr>
                <w:sz w:val="18"/>
              </w:rPr>
            </w:pPr>
            <w:r>
              <w:rPr>
                <w:sz w:val="18"/>
              </w:rPr>
              <w:t>29</w:t>
            </w:r>
          </w:p>
        </w:tc>
        <w:tc>
          <w:tcPr>
            <w:tcW w:w="2425" w:type="dxa"/>
            <w:tcBorders>
              <w:left w:val="single" w:sz="4" w:space="0" w:color="000000"/>
              <w:right w:val="single" w:sz="4" w:space="0" w:color="000000"/>
            </w:tcBorders>
          </w:tcPr>
          <w:p>
            <w:pPr>
              <w:pStyle w:val="TableParagraph"/>
              <w:spacing w:before="1"/>
              <w:ind w:left="67"/>
              <w:jc w:val="left"/>
              <w:rPr>
                <w:sz w:val="18"/>
              </w:rPr>
            </w:pPr>
            <w:r>
              <w:rPr>
                <w:color w:val="181818"/>
                <w:sz w:val="18"/>
              </w:rPr>
              <w:t>Huehuetoca</w:t>
            </w:r>
          </w:p>
        </w:tc>
        <w:tc>
          <w:tcPr>
            <w:tcW w:w="1212" w:type="dxa"/>
            <w:tcBorders>
              <w:left w:val="single" w:sz="4" w:space="0" w:color="000000"/>
              <w:right w:val="single" w:sz="4" w:space="0" w:color="000000"/>
            </w:tcBorders>
          </w:tcPr>
          <w:p>
            <w:pPr>
              <w:pStyle w:val="TableParagraph"/>
              <w:spacing w:before="1"/>
              <w:ind w:left="227" w:right="224"/>
              <w:rPr>
                <w:sz w:val="18"/>
              </w:rPr>
            </w:pPr>
            <w:r>
              <w:rPr>
                <w:color w:val="333333"/>
                <w:sz w:val="18"/>
              </w:rPr>
              <w:t>38.40%</w:t>
            </w:r>
          </w:p>
        </w:tc>
        <w:tc>
          <w:tcPr>
            <w:tcW w:w="1212" w:type="dxa"/>
            <w:tcBorders>
              <w:left w:val="single" w:sz="4" w:space="0" w:color="000000"/>
              <w:right w:val="single" w:sz="4" w:space="0" w:color="000000"/>
            </w:tcBorders>
          </w:tcPr>
          <w:p>
            <w:pPr/>
          </w:p>
        </w:tc>
        <w:tc>
          <w:tcPr>
            <w:tcW w:w="1212" w:type="dxa"/>
            <w:tcBorders>
              <w:left w:val="single" w:sz="4" w:space="0" w:color="000000"/>
              <w:right w:val="single" w:sz="4" w:space="0" w:color="000000"/>
            </w:tcBorders>
          </w:tcPr>
          <w:p>
            <w:pPr/>
          </w:p>
        </w:tc>
        <w:tc>
          <w:tcPr>
            <w:tcW w:w="1213" w:type="dxa"/>
            <w:tcBorders>
              <w:left w:val="single" w:sz="4" w:space="0" w:color="000000"/>
            </w:tcBorders>
          </w:tcPr>
          <w:p>
            <w:pPr>
              <w:pStyle w:val="TableParagraph"/>
              <w:spacing w:line="206" w:lineRule="exact"/>
              <w:ind w:left="227" w:right="220"/>
              <w:rPr>
                <w:sz w:val="18"/>
              </w:rPr>
            </w:pPr>
            <w:r>
              <w:rPr>
                <w:sz w:val="18"/>
              </w:rPr>
              <w:t>28.97%</w:t>
            </w:r>
          </w:p>
        </w:tc>
      </w:tr>
      <w:tr>
        <w:trPr>
          <w:trHeight w:val="334" w:hRule="exact"/>
        </w:trPr>
        <w:tc>
          <w:tcPr>
            <w:tcW w:w="475" w:type="dxa"/>
            <w:tcBorders>
              <w:right w:val="single" w:sz="4" w:space="0" w:color="000000"/>
            </w:tcBorders>
          </w:tcPr>
          <w:p>
            <w:pPr>
              <w:pStyle w:val="TableParagraph"/>
              <w:spacing w:line="206" w:lineRule="exact"/>
              <w:ind w:left="43" w:right="43"/>
              <w:rPr>
                <w:sz w:val="18"/>
              </w:rPr>
            </w:pPr>
            <w:r>
              <w:rPr>
                <w:sz w:val="18"/>
              </w:rPr>
              <w:t>30</w:t>
            </w:r>
          </w:p>
        </w:tc>
        <w:tc>
          <w:tcPr>
            <w:tcW w:w="2425" w:type="dxa"/>
            <w:tcBorders>
              <w:left w:val="single" w:sz="4" w:space="0" w:color="000000"/>
              <w:right w:val="single" w:sz="4" w:space="0" w:color="000000"/>
            </w:tcBorders>
          </w:tcPr>
          <w:p>
            <w:pPr>
              <w:pStyle w:val="TableParagraph"/>
              <w:spacing w:before="1"/>
              <w:ind w:left="67"/>
              <w:jc w:val="left"/>
              <w:rPr>
                <w:sz w:val="18"/>
              </w:rPr>
            </w:pPr>
            <w:r>
              <w:rPr>
                <w:color w:val="181818"/>
                <w:sz w:val="18"/>
              </w:rPr>
              <w:t>Hueypoxtla</w:t>
            </w:r>
          </w:p>
        </w:tc>
        <w:tc>
          <w:tcPr>
            <w:tcW w:w="1212" w:type="dxa"/>
            <w:tcBorders>
              <w:left w:val="single" w:sz="4" w:space="0" w:color="000000"/>
              <w:right w:val="single" w:sz="4" w:space="0" w:color="000000"/>
            </w:tcBorders>
          </w:tcPr>
          <w:p>
            <w:pPr>
              <w:pStyle w:val="TableParagraph"/>
              <w:spacing w:before="1"/>
              <w:ind w:left="227" w:right="222"/>
              <w:rPr>
                <w:sz w:val="18"/>
              </w:rPr>
            </w:pPr>
            <w:r>
              <w:rPr>
                <w:color w:val="333333"/>
                <w:sz w:val="18"/>
              </w:rPr>
              <w:t>3.80%</w:t>
            </w:r>
          </w:p>
        </w:tc>
        <w:tc>
          <w:tcPr>
            <w:tcW w:w="1212" w:type="dxa"/>
            <w:tcBorders>
              <w:left w:val="single" w:sz="4" w:space="0" w:color="000000"/>
              <w:right w:val="single" w:sz="4" w:space="0" w:color="000000"/>
            </w:tcBorders>
          </w:tcPr>
          <w:p>
            <w:pPr/>
          </w:p>
        </w:tc>
        <w:tc>
          <w:tcPr>
            <w:tcW w:w="1212" w:type="dxa"/>
            <w:tcBorders>
              <w:left w:val="single" w:sz="4" w:space="0" w:color="000000"/>
              <w:right w:val="single" w:sz="4" w:space="0" w:color="000000"/>
            </w:tcBorders>
          </w:tcPr>
          <w:p>
            <w:pPr/>
          </w:p>
        </w:tc>
        <w:tc>
          <w:tcPr>
            <w:tcW w:w="1213" w:type="dxa"/>
            <w:tcBorders>
              <w:left w:val="single" w:sz="4" w:space="0" w:color="000000"/>
            </w:tcBorders>
          </w:tcPr>
          <w:p>
            <w:pPr/>
          </w:p>
        </w:tc>
      </w:tr>
      <w:tr>
        <w:trPr>
          <w:trHeight w:val="336" w:hRule="exact"/>
        </w:trPr>
        <w:tc>
          <w:tcPr>
            <w:tcW w:w="475" w:type="dxa"/>
            <w:tcBorders>
              <w:right w:val="single" w:sz="4" w:space="0" w:color="000000"/>
            </w:tcBorders>
          </w:tcPr>
          <w:p>
            <w:pPr>
              <w:pStyle w:val="TableParagraph"/>
              <w:spacing w:before="1"/>
              <w:ind w:left="43" w:right="43"/>
              <w:rPr>
                <w:sz w:val="18"/>
              </w:rPr>
            </w:pPr>
            <w:r>
              <w:rPr>
                <w:sz w:val="18"/>
              </w:rPr>
              <w:t>31</w:t>
            </w:r>
          </w:p>
        </w:tc>
        <w:tc>
          <w:tcPr>
            <w:tcW w:w="2425" w:type="dxa"/>
            <w:tcBorders>
              <w:left w:val="single" w:sz="4" w:space="0" w:color="000000"/>
              <w:right w:val="single" w:sz="4" w:space="0" w:color="000000"/>
            </w:tcBorders>
          </w:tcPr>
          <w:p>
            <w:pPr>
              <w:pStyle w:val="TableParagraph"/>
              <w:spacing w:before="3"/>
              <w:ind w:left="67"/>
              <w:jc w:val="left"/>
              <w:rPr>
                <w:sz w:val="18"/>
              </w:rPr>
            </w:pPr>
            <w:r>
              <w:rPr>
                <w:color w:val="181818"/>
                <w:sz w:val="18"/>
              </w:rPr>
              <w:t>Huixquilucan</w:t>
            </w:r>
          </w:p>
        </w:tc>
        <w:tc>
          <w:tcPr>
            <w:tcW w:w="1212" w:type="dxa"/>
            <w:tcBorders>
              <w:left w:val="single" w:sz="4" w:space="0" w:color="000000"/>
              <w:right w:val="single" w:sz="4" w:space="0" w:color="000000"/>
            </w:tcBorders>
          </w:tcPr>
          <w:p>
            <w:pPr>
              <w:pStyle w:val="TableParagraph"/>
              <w:spacing w:before="3"/>
              <w:ind w:left="227" w:right="224"/>
              <w:rPr>
                <w:sz w:val="18"/>
              </w:rPr>
            </w:pPr>
            <w:r>
              <w:rPr>
                <w:color w:val="333333"/>
                <w:sz w:val="18"/>
              </w:rPr>
              <w:t>96.10%</w:t>
            </w:r>
          </w:p>
        </w:tc>
        <w:tc>
          <w:tcPr>
            <w:tcW w:w="1212" w:type="dxa"/>
            <w:tcBorders>
              <w:left w:val="single" w:sz="4" w:space="0" w:color="000000"/>
              <w:right w:val="single" w:sz="4" w:space="0" w:color="000000"/>
            </w:tcBorders>
          </w:tcPr>
          <w:p>
            <w:pPr>
              <w:pStyle w:val="TableParagraph"/>
              <w:spacing w:before="1"/>
              <w:ind w:left="227" w:right="225"/>
              <w:rPr>
                <w:sz w:val="18"/>
              </w:rPr>
            </w:pPr>
            <w:r>
              <w:rPr>
                <w:sz w:val="18"/>
              </w:rPr>
              <w:t>100.00%</w:t>
            </w:r>
          </w:p>
        </w:tc>
        <w:tc>
          <w:tcPr>
            <w:tcW w:w="1212" w:type="dxa"/>
            <w:tcBorders>
              <w:left w:val="single" w:sz="4" w:space="0" w:color="000000"/>
              <w:right w:val="single" w:sz="4" w:space="0" w:color="000000"/>
            </w:tcBorders>
          </w:tcPr>
          <w:p>
            <w:pPr/>
          </w:p>
        </w:tc>
        <w:tc>
          <w:tcPr>
            <w:tcW w:w="1213" w:type="dxa"/>
            <w:tcBorders>
              <w:left w:val="single" w:sz="4" w:space="0" w:color="000000"/>
            </w:tcBorders>
          </w:tcPr>
          <w:p>
            <w:pPr>
              <w:pStyle w:val="TableParagraph"/>
              <w:spacing w:before="1"/>
              <w:ind w:left="227" w:right="220"/>
              <w:rPr>
                <w:sz w:val="18"/>
              </w:rPr>
            </w:pPr>
            <w:r>
              <w:rPr>
                <w:sz w:val="18"/>
              </w:rPr>
              <w:t>100.00%</w:t>
            </w:r>
          </w:p>
        </w:tc>
      </w:tr>
      <w:tr>
        <w:trPr>
          <w:trHeight w:val="336" w:hRule="exact"/>
        </w:trPr>
        <w:tc>
          <w:tcPr>
            <w:tcW w:w="475" w:type="dxa"/>
            <w:tcBorders>
              <w:right w:val="single" w:sz="4" w:space="0" w:color="000000"/>
            </w:tcBorders>
          </w:tcPr>
          <w:p>
            <w:pPr>
              <w:pStyle w:val="TableParagraph"/>
              <w:spacing w:line="206" w:lineRule="exact"/>
              <w:ind w:left="43" w:right="43"/>
              <w:rPr>
                <w:sz w:val="18"/>
              </w:rPr>
            </w:pPr>
            <w:r>
              <w:rPr>
                <w:sz w:val="18"/>
              </w:rPr>
              <w:t>32</w:t>
            </w:r>
          </w:p>
        </w:tc>
        <w:tc>
          <w:tcPr>
            <w:tcW w:w="2425" w:type="dxa"/>
            <w:tcBorders>
              <w:left w:val="single" w:sz="4" w:space="0" w:color="000000"/>
              <w:right w:val="single" w:sz="4" w:space="0" w:color="000000"/>
            </w:tcBorders>
          </w:tcPr>
          <w:p>
            <w:pPr>
              <w:pStyle w:val="TableParagraph"/>
              <w:spacing w:before="1"/>
              <w:ind w:left="67"/>
              <w:jc w:val="left"/>
              <w:rPr>
                <w:sz w:val="18"/>
              </w:rPr>
            </w:pPr>
            <w:r>
              <w:rPr>
                <w:color w:val="181818"/>
                <w:sz w:val="18"/>
              </w:rPr>
              <w:t>Isidro Fabela</w:t>
            </w:r>
          </w:p>
        </w:tc>
        <w:tc>
          <w:tcPr>
            <w:tcW w:w="1212" w:type="dxa"/>
            <w:tcBorders>
              <w:left w:val="single" w:sz="4" w:space="0" w:color="000000"/>
              <w:right w:val="single" w:sz="4" w:space="0" w:color="000000"/>
            </w:tcBorders>
          </w:tcPr>
          <w:p>
            <w:pPr>
              <w:pStyle w:val="TableParagraph"/>
              <w:spacing w:before="1"/>
              <w:ind w:left="227" w:right="224"/>
              <w:rPr>
                <w:sz w:val="18"/>
              </w:rPr>
            </w:pPr>
            <w:r>
              <w:rPr>
                <w:color w:val="333333"/>
                <w:sz w:val="18"/>
              </w:rPr>
              <w:t>26.90%</w:t>
            </w:r>
          </w:p>
        </w:tc>
        <w:tc>
          <w:tcPr>
            <w:tcW w:w="1212" w:type="dxa"/>
            <w:tcBorders>
              <w:left w:val="single" w:sz="4" w:space="0" w:color="000000"/>
              <w:right w:val="single" w:sz="4" w:space="0" w:color="000000"/>
            </w:tcBorders>
          </w:tcPr>
          <w:p>
            <w:pPr/>
          </w:p>
        </w:tc>
        <w:tc>
          <w:tcPr>
            <w:tcW w:w="1212" w:type="dxa"/>
            <w:tcBorders>
              <w:left w:val="single" w:sz="4" w:space="0" w:color="000000"/>
              <w:right w:val="single" w:sz="4" w:space="0" w:color="000000"/>
            </w:tcBorders>
          </w:tcPr>
          <w:p>
            <w:pPr/>
          </w:p>
        </w:tc>
        <w:tc>
          <w:tcPr>
            <w:tcW w:w="1213" w:type="dxa"/>
            <w:tcBorders>
              <w:left w:val="single" w:sz="4" w:space="0" w:color="000000"/>
            </w:tcBorders>
          </w:tcPr>
          <w:p>
            <w:pPr>
              <w:pStyle w:val="TableParagraph"/>
              <w:spacing w:line="206" w:lineRule="exact"/>
              <w:ind w:left="227" w:right="217"/>
              <w:rPr>
                <w:sz w:val="18"/>
              </w:rPr>
            </w:pPr>
            <w:r>
              <w:rPr>
                <w:sz w:val="18"/>
              </w:rPr>
              <w:t>8.36%</w:t>
            </w:r>
          </w:p>
        </w:tc>
      </w:tr>
      <w:tr>
        <w:trPr>
          <w:trHeight w:val="334" w:hRule="exact"/>
        </w:trPr>
        <w:tc>
          <w:tcPr>
            <w:tcW w:w="475" w:type="dxa"/>
            <w:tcBorders>
              <w:right w:val="single" w:sz="4" w:space="0" w:color="000000"/>
            </w:tcBorders>
          </w:tcPr>
          <w:p>
            <w:pPr>
              <w:pStyle w:val="TableParagraph"/>
              <w:spacing w:line="206" w:lineRule="exact"/>
              <w:ind w:left="43" w:right="43"/>
              <w:rPr>
                <w:sz w:val="18"/>
              </w:rPr>
            </w:pPr>
            <w:r>
              <w:rPr>
                <w:sz w:val="18"/>
              </w:rPr>
              <w:t>33</w:t>
            </w:r>
          </w:p>
        </w:tc>
        <w:tc>
          <w:tcPr>
            <w:tcW w:w="2425" w:type="dxa"/>
            <w:tcBorders>
              <w:left w:val="single" w:sz="4" w:space="0" w:color="000000"/>
              <w:right w:val="single" w:sz="4" w:space="0" w:color="000000"/>
            </w:tcBorders>
          </w:tcPr>
          <w:p>
            <w:pPr>
              <w:pStyle w:val="TableParagraph"/>
              <w:spacing w:before="1"/>
              <w:ind w:left="67"/>
              <w:jc w:val="left"/>
              <w:rPr>
                <w:sz w:val="18"/>
              </w:rPr>
            </w:pPr>
            <w:r>
              <w:rPr>
                <w:color w:val="181818"/>
                <w:sz w:val="18"/>
              </w:rPr>
              <w:t>Ixtapaluca</w:t>
            </w:r>
          </w:p>
        </w:tc>
        <w:tc>
          <w:tcPr>
            <w:tcW w:w="1212" w:type="dxa"/>
            <w:tcBorders>
              <w:left w:val="single" w:sz="4" w:space="0" w:color="000000"/>
              <w:right w:val="single" w:sz="4" w:space="0" w:color="000000"/>
            </w:tcBorders>
          </w:tcPr>
          <w:p>
            <w:pPr>
              <w:pStyle w:val="TableParagraph"/>
              <w:spacing w:before="1"/>
              <w:ind w:left="227" w:right="224"/>
              <w:rPr>
                <w:sz w:val="18"/>
              </w:rPr>
            </w:pPr>
            <w:r>
              <w:rPr>
                <w:color w:val="333333"/>
                <w:sz w:val="18"/>
              </w:rPr>
              <w:t>26.90%</w:t>
            </w:r>
          </w:p>
        </w:tc>
        <w:tc>
          <w:tcPr>
            <w:tcW w:w="1212" w:type="dxa"/>
            <w:tcBorders>
              <w:left w:val="single" w:sz="4" w:space="0" w:color="000000"/>
              <w:right w:val="single" w:sz="4" w:space="0" w:color="000000"/>
            </w:tcBorders>
          </w:tcPr>
          <w:p>
            <w:pPr/>
          </w:p>
        </w:tc>
        <w:tc>
          <w:tcPr>
            <w:tcW w:w="1212" w:type="dxa"/>
            <w:tcBorders>
              <w:left w:val="single" w:sz="4" w:space="0" w:color="000000"/>
              <w:right w:val="single" w:sz="4" w:space="0" w:color="000000"/>
            </w:tcBorders>
          </w:tcPr>
          <w:p>
            <w:pPr/>
          </w:p>
        </w:tc>
        <w:tc>
          <w:tcPr>
            <w:tcW w:w="1213" w:type="dxa"/>
            <w:tcBorders>
              <w:left w:val="single" w:sz="4" w:space="0" w:color="000000"/>
            </w:tcBorders>
          </w:tcPr>
          <w:p>
            <w:pPr/>
          </w:p>
        </w:tc>
      </w:tr>
      <w:tr>
        <w:trPr>
          <w:trHeight w:val="326" w:hRule="exact"/>
        </w:trPr>
        <w:tc>
          <w:tcPr>
            <w:tcW w:w="475" w:type="dxa"/>
            <w:tcBorders>
              <w:bottom w:val="single" w:sz="4" w:space="0" w:color="000000"/>
              <w:right w:val="single" w:sz="4" w:space="0" w:color="000000"/>
            </w:tcBorders>
          </w:tcPr>
          <w:p>
            <w:pPr>
              <w:pStyle w:val="TableParagraph"/>
              <w:spacing w:line="203" w:lineRule="exact"/>
              <w:ind w:left="43" w:right="43"/>
              <w:rPr>
                <w:sz w:val="18"/>
              </w:rPr>
            </w:pPr>
            <w:r>
              <w:rPr>
                <w:sz w:val="18"/>
              </w:rPr>
              <w:t>34</w:t>
            </w:r>
          </w:p>
        </w:tc>
        <w:tc>
          <w:tcPr>
            <w:tcW w:w="2425" w:type="dxa"/>
            <w:tcBorders>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Ixtapan de la Sal</w:t>
            </w:r>
          </w:p>
        </w:tc>
        <w:tc>
          <w:tcPr>
            <w:tcW w:w="1212" w:type="dxa"/>
            <w:tcBorders>
              <w:left w:val="single" w:sz="4" w:space="0" w:color="000000"/>
              <w:bottom w:val="single" w:sz="4" w:space="0" w:color="000000"/>
              <w:right w:val="single" w:sz="4" w:space="0" w:color="000000"/>
            </w:tcBorders>
          </w:tcPr>
          <w:p>
            <w:pPr>
              <w:pStyle w:val="TableParagraph"/>
              <w:spacing w:line="203" w:lineRule="exact"/>
              <w:ind w:left="227" w:right="224"/>
              <w:rPr>
                <w:sz w:val="18"/>
              </w:rPr>
            </w:pPr>
            <w:r>
              <w:rPr>
                <w:color w:val="333333"/>
                <w:sz w:val="18"/>
              </w:rPr>
              <w:t>38.46%</w:t>
            </w:r>
          </w:p>
        </w:tc>
        <w:tc>
          <w:tcPr>
            <w:tcW w:w="1212" w:type="dxa"/>
            <w:tcBorders>
              <w:left w:val="single" w:sz="4" w:space="0" w:color="000000"/>
              <w:bottom w:val="single" w:sz="4" w:space="0" w:color="000000"/>
              <w:right w:val="single" w:sz="4" w:space="0" w:color="000000"/>
            </w:tcBorders>
          </w:tcPr>
          <w:p>
            <w:pPr/>
          </w:p>
        </w:tc>
        <w:tc>
          <w:tcPr>
            <w:tcW w:w="1212" w:type="dxa"/>
            <w:tcBorders>
              <w:left w:val="single" w:sz="4" w:space="0" w:color="000000"/>
              <w:bottom w:val="single" w:sz="4" w:space="0" w:color="000000"/>
              <w:right w:val="single" w:sz="4" w:space="0" w:color="000000"/>
            </w:tcBorders>
          </w:tcPr>
          <w:p>
            <w:pPr/>
          </w:p>
        </w:tc>
        <w:tc>
          <w:tcPr>
            <w:tcW w:w="1213" w:type="dxa"/>
            <w:tcBorders>
              <w:left w:val="single" w:sz="4" w:space="0" w:color="000000"/>
              <w:bottom w:val="single" w:sz="4" w:space="0" w:color="000000"/>
            </w:tcBorders>
          </w:tcPr>
          <w:p>
            <w:pPr>
              <w:pStyle w:val="TableParagraph"/>
              <w:spacing w:line="203" w:lineRule="exact"/>
              <w:ind w:left="227" w:right="220"/>
              <w:rPr>
                <w:sz w:val="18"/>
              </w:rPr>
            </w:pPr>
            <w:r>
              <w:rPr>
                <w:sz w:val="18"/>
              </w:rPr>
              <w:t>44.81%</w:t>
            </w: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35</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Ixtapan del Oro</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3" w:lineRule="exact"/>
              <w:ind w:left="227" w:right="217"/>
              <w:rPr>
                <w:sz w:val="18"/>
              </w:rPr>
            </w:pPr>
            <w:r>
              <w:rPr>
                <w:sz w:val="18"/>
              </w:rPr>
              <w:t>3.00%</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4" w:lineRule="exact"/>
              <w:ind w:left="43" w:right="43"/>
              <w:rPr>
                <w:sz w:val="18"/>
              </w:rPr>
            </w:pPr>
            <w:r>
              <w:rPr>
                <w:sz w:val="18"/>
              </w:rPr>
              <w:t>36</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7"/>
              <w:jc w:val="left"/>
              <w:rPr>
                <w:sz w:val="18"/>
              </w:rPr>
            </w:pPr>
            <w:r>
              <w:rPr>
                <w:color w:val="181818"/>
                <w:sz w:val="18"/>
              </w:rPr>
              <w:t>Ixtlahuaca</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227" w:right="224"/>
              <w:rPr>
                <w:sz w:val="18"/>
              </w:rPr>
            </w:pPr>
            <w:r>
              <w:rPr>
                <w:color w:val="333333"/>
                <w:sz w:val="18"/>
              </w:rPr>
              <w:t>23.60%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227" w:right="222"/>
              <w:rPr>
                <w:sz w:val="18"/>
              </w:rPr>
            </w:pPr>
            <w:r>
              <w:rPr>
                <w:sz w:val="18"/>
              </w:rPr>
              <w:t>7.52%</w:t>
            </w:r>
          </w:p>
        </w:tc>
        <w:tc>
          <w:tcPr>
            <w:tcW w:w="1213" w:type="dxa"/>
            <w:tcBorders>
              <w:top w:val="single" w:sz="4" w:space="0" w:color="000000"/>
              <w:left w:val="single" w:sz="4" w:space="0" w:color="000000"/>
              <w:bottom w:val="single" w:sz="4" w:space="0" w:color="000000"/>
            </w:tcBorders>
          </w:tcPr>
          <w:p>
            <w:pP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37</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Xalatlaco</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227" w:right="224"/>
              <w:rPr>
                <w:sz w:val="18"/>
              </w:rPr>
            </w:pPr>
            <w:r>
              <w:rPr>
                <w:sz w:val="18"/>
              </w:rPr>
              <w:t>58.85%</w:t>
            </w:r>
          </w:p>
        </w:tc>
        <w:tc>
          <w:tcPr>
            <w:tcW w:w="1213" w:type="dxa"/>
            <w:tcBorders>
              <w:top w:val="single" w:sz="4" w:space="0" w:color="000000"/>
              <w:left w:val="single" w:sz="4" w:space="0" w:color="000000"/>
              <w:bottom w:val="single" w:sz="4" w:space="0" w:color="000000"/>
            </w:tcBorders>
          </w:tcPr>
          <w:p>
            <w:pPr>
              <w:pStyle w:val="TableParagraph"/>
              <w:spacing w:line="203" w:lineRule="exact"/>
              <w:ind w:left="227" w:right="220"/>
              <w:rPr>
                <w:sz w:val="18"/>
              </w:rPr>
            </w:pPr>
            <w:r>
              <w:rPr>
                <w:sz w:val="18"/>
              </w:rPr>
              <w:t>26.83%</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6" w:lineRule="exact"/>
              <w:ind w:left="43" w:right="43"/>
              <w:rPr>
                <w:sz w:val="18"/>
              </w:rPr>
            </w:pPr>
            <w:r>
              <w:rPr>
                <w:sz w:val="18"/>
              </w:rPr>
              <w:t>38</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Jaltenco</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6" w:lineRule="exact"/>
              <w:ind w:left="227" w:right="217"/>
              <w:rPr>
                <w:sz w:val="18"/>
              </w:rPr>
            </w:pPr>
            <w:r>
              <w:rPr>
                <w:sz w:val="18"/>
              </w:rPr>
              <w:t>0.00%</w:t>
            </w: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39</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Jilotepec</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227" w:right="224"/>
              <w:rPr>
                <w:sz w:val="18"/>
              </w:rPr>
            </w:pPr>
            <w:r>
              <w:rPr>
                <w:color w:val="333333"/>
                <w:sz w:val="18"/>
              </w:rPr>
              <w:t>50.00%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3" w:lineRule="exact"/>
              <w:ind w:left="227" w:right="220"/>
              <w:rPr>
                <w:sz w:val="18"/>
              </w:rPr>
            </w:pPr>
            <w:r>
              <w:rPr>
                <w:sz w:val="18"/>
              </w:rPr>
              <w:t>68.58%</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6" w:lineRule="exact"/>
              <w:ind w:left="43" w:right="43"/>
              <w:rPr>
                <w:sz w:val="18"/>
              </w:rPr>
            </w:pPr>
            <w:r>
              <w:rPr>
                <w:sz w:val="18"/>
              </w:rPr>
              <w:t>40</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Jiquipilco</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27" w:right="224"/>
              <w:rPr>
                <w:sz w:val="18"/>
              </w:rPr>
            </w:pPr>
            <w:r>
              <w:rPr>
                <w:color w:val="333333"/>
                <w:sz w:val="18"/>
              </w:rPr>
              <w:t>11.50%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41</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Jocotitlán</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227" w:right="222"/>
              <w:rPr>
                <w:sz w:val="18"/>
              </w:rPr>
            </w:pPr>
            <w:r>
              <w:rPr>
                <w:color w:val="333333"/>
                <w:sz w:val="18"/>
              </w:rPr>
              <w:t>3.80%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227" w:right="224"/>
              <w:rPr>
                <w:sz w:val="18"/>
              </w:rPr>
            </w:pPr>
            <w:r>
              <w:rPr>
                <w:sz w:val="18"/>
              </w:rPr>
              <w:t>92.37%</w:t>
            </w:r>
          </w:p>
        </w:tc>
        <w:tc>
          <w:tcPr>
            <w:tcW w:w="1213" w:type="dxa"/>
            <w:tcBorders>
              <w:top w:val="single" w:sz="4" w:space="0" w:color="000000"/>
              <w:left w:val="single" w:sz="4" w:space="0" w:color="000000"/>
              <w:bottom w:val="single" w:sz="4" w:space="0" w:color="000000"/>
            </w:tcBorders>
          </w:tcPr>
          <w:p>
            <w:pPr>
              <w:pStyle w:val="TableParagraph"/>
              <w:spacing w:line="203" w:lineRule="exact"/>
              <w:ind w:left="227" w:right="220"/>
              <w:rPr>
                <w:sz w:val="18"/>
              </w:rPr>
            </w:pPr>
            <w:r>
              <w:rPr>
                <w:sz w:val="18"/>
              </w:rPr>
              <w:t>75.61%</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6" w:lineRule="exact"/>
              <w:ind w:left="43" w:right="43"/>
              <w:rPr>
                <w:sz w:val="18"/>
              </w:rPr>
            </w:pPr>
            <w:r>
              <w:rPr>
                <w:sz w:val="18"/>
              </w:rPr>
              <w:t>42</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Lerma</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27" w:right="224"/>
              <w:rPr>
                <w:sz w:val="18"/>
              </w:rPr>
            </w:pPr>
            <w:r>
              <w:rPr>
                <w:sz w:val="18"/>
              </w:rPr>
              <w:t>83.23%</w:t>
            </w:r>
          </w:p>
        </w:tc>
        <w:tc>
          <w:tcPr>
            <w:tcW w:w="1213" w:type="dxa"/>
            <w:tcBorders>
              <w:top w:val="single" w:sz="4" w:space="0" w:color="000000"/>
              <w:left w:val="single" w:sz="4" w:space="0" w:color="000000"/>
              <w:bottom w:val="single" w:sz="4" w:space="0" w:color="000000"/>
            </w:tcBorders>
          </w:tcPr>
          <w:p>
            <w:pPr>
              <w:pStyle w:val="TableParagraph"/>
              <w:spacing w:line="206" w:lineRule="exact"/>
              <w:ind w:left="227" w:right="220"/>
              <w:rPr>
                <w:sz w:val="18"/>
              </w:rPr>
            </w:pPr>
            <w:r>
              <w:rPr>
                <w:sz w:val="18"/>
              </w:rPr>
              <w:t>48.46%</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43</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Malinalco</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227" w:right="224"/>
              <w:rPr>
                <w:sz w:val="18"/>
              </w:rPr>
            </w:pPr>
            <w:r>
              <w:rPr>
                <w:color w:val="333333"/>
                <w:sz w:val="18"/>
              </w:rPr>
              <w:t>11.50%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227" w:right="224"/>
              <w:rPr>
                <w:sz w:val="18"/>
              </w:rPr>
            </w:pPr>
            <w:r>
              <w:rPr>
                <w:sz w:val="18"/>
              </w:rPr>
              <w:t>77.80%</w:t>
            </w:r>
          </w:p>
        </w:tc>
        <w:tc>
          <w:tcPr>
            <w:tcW w:w="1213" w:type="dxa"/>
            <w:tcBorders>
              <w:top w:val="single" w:sz="4" w:space="0" w:color="000000"/>
              <w:left w:val="single" w:sz="4" w:space="0" w:color="000000"/>
              <w:bottom w:val="single" w:sz="4" w:space="0" w:color="000000"/>
            </w:tcBorders>
          </w:tcPr>
          <w:p>
            <w:pPr>
              <w:pStyle w:val="TableParagraph"/>
              <w:spacing w:line="203" w:lineRule="exact"/>
              <w:ind w:left="227" w:right="220"/>
              <w:rPr>
                <w:sz w:val="18"/>
              </w:rPr>
            </w:pPr>
            <w:r>
              <w:rPr>
                <w:sz w:val="18"/>
              </w:rPr>
              <w:t>35.43%</w:t>
            </w: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44</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Melchor Ocampo</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45</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Metepec</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227" w:right="224"/>
              <w:rPr>
                <w:sz w:val="18"/>
              </w:rPr>
            </w:pPr>
            <w:r>
              <w:rPr>
                <w:color w:val="333333"/>
                <w:sz w:val="18"/>
              </w:rPr>
              <w:t>34.60%</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227" w:right="224"/>
              <w:rPr>
                <w:sz w:val="18"/>
              </w:rPr>
            </w:pPr>
            <w:r>
              <w:rPr>
                <w:sz w:val="18"/>
              </w:rPr>
              <w:t>91.60%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3" w:lineRule="exact"/>
              <w:ind w:left="227" w:right="220"/>
              <w:rPr>
                <w:sz w:val="18"/>
              </w:rPr>
            </w:pPr>
            <w:r>
              <w:rPr>
                <w:sz w:val="18"/>
              </w:rPr>
              <w:t>54.88%</w:t>
            </w: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46</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Mexicaltzingo</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227" w:right="222"/>
              <w:rPr>
                <w:sz w:val="18"/>
              </w:rPr>
            </w:pPr>
            <w:r>
              <w:rPr>
                <w:color w:val="333333"/>
                <w:sz w:val="18"/>
              </w:rPr>
              <w:t>3.80%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3" w:lineRule="exact"/>
              <w:ind w:left="227" w:right="220"/>
              <w:rPr>
                <w:sz w:val="18"/>
              </w:rPr>
            </w:pPr>
            <w:r>
              <w:rPr>
                <w:sz w:val="18"/>
              </w:rPr>
              <w:t>12.09%</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4" w:lineRule="exact"/>
              <w:ind w:left="43" w:right="43"/>
              <w:rPr>
                <w:sz w:val="18"/>
              </w:rPr>
            </w:pPr>
            <w:r>
              <w:rPr>
                <w:sz w:val="18"/>
              </w:rPr>
              <w:t>47</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7"/>
              <w:jc w:val="left"/>
              <w:rPr>
                <w:sz w:val="18"/>
              </w:rPr>
            </w:pPr>
            <w:r>
              <w:rPr>
                <w:color w:val="181818"/>
                <w:sz w:val="18"/>
              </w:rPr>
              <w:t>Naucalpan de Juárez</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227" w:right="222"/>
              <w:rPr>
                <w:sz w:val="18"/>
              </w:rPr>
            </w:pPr>
            <w:r>
              <w:rPr>
                <w:color w:val="333333"/>
                <w:sz w:val="18"/>
              </w:rPr>
              <w:t>7.60%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227" w:right="224"/>
              <w:rPr>
                <w:sz w:val="18"/>
              </w:rPr>
            </w:pPr>
            <w:r>
              <w:rPr>
                <w:sz w:val="18"/>
              </w:rPr>
              <w:t>63.23%</w:t>
            </w:r>
          </w:p>
        </w:tc>
        <w:tc>
          <w:tcPr>
            <w:tcW w:w="1213" w:type="dxa"/>
            <w:tcBorders>
              <w:top w:val="single" w:sz="4" w:space="0" w:color="000000"/>
              <w:left w:val="single" w:sz="4" w:space="0" w:color="000000"/>
              <w:bottom w:val="single" w:sz="4" w:space="0" w:color="000000"/>
            </w:tcBorders>
          </w:tcPr>
          <w:p>
            <w:pPr>
              <w:pStyle w:val="TableParagraph"/>
              <w:spacing w:line="204" w:lineRule="exact"/>
              <w:ind w:left="227" w:right="220"/>
              <w:rPr>
                <w:sz w:val="18"/>
              </w:rPr>
            </w:pPr>
            <w:r>
              <w:rPr>
                <w:sz w:val="18"/>
              </w:rPr>
              <w:t>49.64%</w:t>
            </w: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48</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Nezahualcóyotl</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227" w:right="224"/>
              <w:rPr>
                <w:sz w:val="18"/>
              </w:rPr>
            </w:pPr>
            <w:r>
              <w:rPr>
                <w:color w:val="333333"/>
                <w:sz w:val="18"/>
              </w:rPr>
              <w:t>38.46%</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227" w:right="224"/>
              <w:rPr>
                <w:sz w:val="18"/>
              </w:rPr>
            </w:pPr>
            <w:r>
              <w:rPr>
                <w:sz w:val="18"/>
              </w:rPr>
              <w:t>94.61%</w:t>
            </w:r>
          </w:p>
        </w:tc>
        <w:tc>
          <w:tcPr>
            <w:tcW w:w="1213" w:type="dxa"/>
            <w:tcBorders>
              <w:top w:val="single" w:sz="4" w:space="0" w:color="000000"/>
              <w:left w:val="single" w:sz="4" w:space="0" w:color="000000"/>
              <w:bottom w:val="single" w:sz="4" w:space="0" w:color="000000"/>
            </w:tcBorders>
          </w:tcPr>
          <w:p>
            <w:pP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49</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Nextlalpan</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3" w:lineRule="exact"/>
              <w:ind w:left="227" w:right="217"/>
              <w:rPr>
                <w:sz w:val="18"/>
              </w:rPr>
            </w:pPr>
            <w:r>
              <w:rPr>
                <w:sz w:val="18"/>
              </w:rPr>
              <w:t>5.95%</w:t>
            </w: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50</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Nicolás Romero</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3" w:lineRule="exact"/>
              <w:ind w:left="227" w:right="220"/>
              <w:rPr>
                <w:sz w:val="18"/>
              </w:rPr>
            </w:pPr>
            <w:r>
              <w:rPr>
                <w:sz w:val="18"/>
              </w:rPr>
              <w:t>38.76%</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51</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Nopaltepec</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227" w:right="224"/>
              <w:rPr>
                <w:sz w:val="18"/>
              </w:rPr>
            </w:pPr>
            <w:r>
              <w:rPr>
                <w:color w:val="333333"/>
                <w:sz w:val="18"/>
              </w:rPr>
              <w:t>15.30%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3" w:lineRule="exact"/>
              <w:ind w:left="227" w:right="220"/>
              <w:rPr>
                <w:sz w:val="18"/>
              </w:rPr>
            </w:pPr>
            <w:r>
              <w:rPr>
                <w:sz w:val="18"/>
              </w:rPr>
              <w:t>23.50%</w:t>
            </w: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52</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Ocoyoacac</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3" w:lineRule="exact"/>
              <w:ind w:left="227" w:right="220"/>
              <w:rPr>
                <w:sz w:val="18"/>
              </w:rPr>
            </w:pPr>
            <w:r>
              <w:rPr>
                <w:sz w:val="18"/>
              </w:rPr>
              <w:t>49.87%</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6" w:lineRule="exact"/>
              <w:ind w:left="43" w:right="43"/>
              <w:rPr>
                <w:sz w:val="18"/>
              </w:rPr>
            </w:pPr>
            <w:r>
              <w:rPr>
                <w:sz w:val="18"/>
              </w:rPr>
              <w:t>53</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El Oro</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27" w:right="224"/>
              <w:rPr>
                <w:sz w:val="18"/>
              </w:rPr>
            </w:pPr>
            <w:r>
              <w:rPr>
                <w:color w:val="333333"/>
                <w:sz w:val="18"/>
              </w:rPr>
              <w:t>50.00%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54</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Otumba</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3" w:lineRule="exact"/>
              <w:ind w:left="227" w:right="220"/>
              <w:rPr>
                <w:sz w:val="18"/>
              </w:rPr>
            </w:pPr>
            <w:r>
              <w:rPr>
                <w:sz w:val="18"/>
              </w:rPr>
              <w:t>40.30%</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6" w:lineRule="exact"/>
              <w:ind w:left="43" w:right="43"/>
              <w:rPr>
                <w:sz w:val="18"/>
              </w:rPr>
            </w:pPr>
            <w:r>
              <w:rPr>
                <w:sz w:val="18"/>
              </w:rPr>
              <w:t>55</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Otzoloapan</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6" w:lineRule="exact"/>
              <w:ind w:left="227" w:right="217"/>
              <w:rPr>
                <w:sz w:val="18"/>
              </w:rPr>
            </w:pPr>
            <w:r>
              <w:rPr>
                <w:sz w:val="18"/>
              </w:rPr>
              <w:t>0.00%</w:t>
            </w: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56</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Otzolotepec</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227" w:right="221"/>
              <w:rPr>
                <w:sz w:val="18"/>
              </w:rPr>
            </w:pPr>
            <w:r>
              <w:rPr>
                <w:color w:val="333333"/>
                <w:sz w:val="18"/>
              </w:rPr>
              <w:t>7.69%</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227" w:right="224"/>
              <w:rPr>
                <w:sz w:val="18"/>
              </w:rPr>
            </w:pPr>
            <w:r>
              <w:rPr>
                <w:sz w:val="18"/>
              </w:rPr>
              <w:t>87.23%</w:t>
            </w:r>
          </w:p>
        </w:tc>
        <w:tc>
          <w:tcPr>
            <w:tcW w:w="1213" w:type="dxa"/>
            <w:tcBorders>
              <w:top w:val="single" w:sz="4" w:space="0" w:color="000000"/>
              <w:left w:val="single" w:sz="4" w:space="0" w:color="000000"/>
              <w:bottom w:val="single" w:sz="4" w:space="0" w:color="000000"/>
            </w:tcBorders>
          </w:tcPr>
          <w:p>
            <w:pP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6" w:lineRule="exact"/>
              <w:ind w:left="43" w:right="43"/>
              <w:rPr>
                <w:sz w:val="18"/>
              </w:rPr>
            </w:pPr>
            <w:r>
              <w:rPr>
                <w:sz w:val="18"/>
              </w:rPr>
              <w:t>57</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Papalotla</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6" w:lineRule="exact"/>
              <w:ind w:left="227" w:right="220"/>
              <w:rPr>
                <w:sz w:val="18"/>
              </w:rPr>
            </w:pPr>
            <w:r>
              <w:rPr>
                <w:sz w:val="18"/>
              </w:rPr>
              <w:t>38.83%</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58</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La Paz</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3" w:lineRule="exact"/>
              <w:ind w:left="227" w:right="220"/>
              <w:rPr>
                <w:sz w:val="18"/>
              </w:rPr>
            </w:pPr>
            <w:r>
              <w:rPr>
                <w:sz w:val="18"/>
              </w:rPr>
              <w:t>22.35%</w:t>
            </w: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59</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Polotitlán</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227" w:right="224"/>
              <w:rPr>
                <w:sz w:val="18"/>
              </w:rPr>
            </w:pPr>
            <w:r>
              <w:rPr>
                <w:color w:val="333333"/>
                <w:sz w:val="18"/>
              </w:rPr>
              <w:t>61.53%</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3" w:lineRule="exact"/>
              <w:ind w:left="227" w:right="220"/>
              <w:rPr>
                <w:sz w:val="18"/>
              </w:rPr>
            </w:pPr>
            <w:r>
              <w:rPr>
                <w:sz w:val="18"/>
              </w:rPr>
              <w:t>73.04%</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60</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Rayón</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227" w:right="222"/>
              <w:rPr>
                <w:sz w:val="18"/>
              </w:rPr>
            </w:pPr>
            <w:r>
              <w:rPr>
                <w:sz w:val="18"/>
              </w:rPr>
              <w:t>3.57%</w:t>
            </w:r>
          </w:p>
        </w:tc>
        <w:tc>
          <w:tcPr>
            <w:tcW w:w="1213" w:type="dxa"/>
            <w:tcBorders>
              <w:top w:val="single" w:sz="4" w:space="0" w:color="000000"/>
              <w:left w:val="single" w:sz="4" w:space="0" w:color="000000"/>
              <w:bottom w:val="single" w:sz="4" w:space="0" w:color="000000"/>
            </w:tcBorders>
          </w:tcPr>
          <w:p>
            <w:pP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61</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San Antonio la Isla</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227" w:right="224"/>
              <w:rPr>
                <w:sz w:val="18"/>
              </w:rPr>
            </w:pPr>
            <w:r>
              <w:rPr>
                <w:color w:val="333333"/>
                <w:sz w:val="18"/>
              </w:rPr>
              <w:t>46.15%</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227" w:right="222"/>
              <w:rPr>
                <w:sz w:val="18"/>
              </w:rPr>
            </w:pPr>
            <w:r>
              <w:rPr>
                <w:sz w:val="18"/>
              </w:rPr>
              <w:t>0.00%</w:t>
            </w:r>
          </w:p>
        </w:tc>
        <w:tc>
          <w:tcPr>
            <w:tcW w:w="1213" w:type="dxa"/>
            <w:tcBorders>
              <w:top w:val="single" w:sz="4" w:space="0" w:color="000000"/>
              <w:left w:val="single" w:sz="4" w:space="0" w:color="000000"/>
              <w:bottom w:val="single" w:sz="4" w:space="0" w:color="000000"/>
            </w:tcBorders>
          </w:tcPr>
          <w:p>
            <w:pP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62</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San Felipe del Progreso</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3" w:lineRule="exact"/>
              <w:ind w:left="227" w:right="217"/>
              <w:rPr>
                <w:sz w:val="18"/>
              </w:rPr>
            </w:pPr>
            <w:r>
              <w:rPr>
                <w:sz w:val="18"/>
              </w:rPr>
              <w:t>7.66%</w:t>
            </w: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63</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San Martín de las Pirámides</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227" w:right="222"/>
              <w:rPr>
                <w:sz w:val="18"/>
              </w:rPr>
            </w:pPr>
            <w:r>
              <w:rPr>
                <w:color w:val="333333"/>
                <w:sz w:val="18"/>
              </w:rPr>
              <w:t>7.69%</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3" w:lineRule="exact"/>
              <w:ind w:left="227" w:right="217"/>
              <w:rPr>
                <w:sz w:val="18"/>
              </w:rPr>
            </w:pPr>
            <w:r>
              <w:rPr>
                <w:sz w:val="18"/>
              </w:rPr>
              <w:t>5.90%</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64</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San Mateo Atenco</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227" w:right="224"/>
              <w:rPr>
                <w:sz w:val="18"/>
              </w:rPr>
            </w:pPr>
            <w:r>
              <w:rPr>
                <w:color w:val="333333"/>
                <w:sz w:val="18"/>
              </w:rPr>
              <w:t>80.76%</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227" w:right="224"/>
              <w:rPr>
                <w:sz w:val="18"/>
              </w:rPr>
            </w:pPr>
            <w:r>
              <w:rPr>
                <w:sz w:val="18"/>
              </w:rPr>
              <w:t>67.66%</w:t>
            </w:r>
          </w:p>
        </w:tc>
        <w:tc>
          <w:tcPr>
            <w:tcW w:w="1213" w:type="dxa"/>
            <w:tcBorders>
              <w:top w:val="single" w:sz="4" w:space="0" w:color="000000"/>
              <w:left w:val="single" w:sz="4" w:space="0" w:color="000000"/>
              <w:bottom w:val="single" w:sz="4" w:space="0" w:color="000000"/>
            </w:tcBorders>
          </w:tcPr>
          <w:p>
            <w:pPr/>
          </w:p>
        </w:tc>
      </w:tr>
    </w:tbl>
    <w:p>
      <w:pPr>
        <w:spacing w:after="0"/>
        <w:sectPr>
          <w:pgSz w:w="12240" w:h="15840"/>
          <w:pgMar w:header="0" w:footer="975" w:top="1420" w:bottom="1160" w:left="1720" w:right="1720"/>
        </w:sectPr>
      </w:pPr>
    </w:p>
    <w:tbl>
      <w:tblPr>
        <w:tblW w:w="0" w:type="auto"/>
        <w:jc w:val="left"/>
        <w:tblInd w:w="46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75"/>
        <w:gridCol w:w="2425"/>
        <w:gridCol w:w="1212"/>
        <w:gridCol w:w="1212"/>
        <w:gridCol w:w="1212"/>
        <w:gridCol w:w="1213"/>
      </w:tblGrid>
      <w:tr>
        <w:trPr>
          <w:trHeight w:val="695" w:hRule="exact"/>
        </w:trPr>
        <w:tc>
          <w:tcPr>
            <w:tcW w:w="7749" w:type="dxa"/>
            <w:gridSpan w:val="6"/>
            <w:shd w:val="clear" w:color="auto" w:fill="92D050"/>
          </w:tcPr>
          <w:p>
            <w:pPr>
              <w:pStyle w:val="TableParagraph"/>
              <w:spacing w:line="362" w:lineRule="auto" w:before="45"/>
              <w:ind w:left="3125" w:hanging="2893"/>
              <w:jc w:val="left"/>
              <w:rPr>
                <w:b/>
                <w:sz w:val="18"/>
              </w:rPr>
            </w:pPr>
            <w:r>
              <w:rPr>
                <w:b/>
                <w:sz w:val="18"/>
              </w:rPr>
              <w:t>Tabla3.10. Evaluaciones de cumplimiento de la ley de transparencia realizadas por el INFOEM (finaliza)</w:t>
            </w:r>
          </w:p>
        </w:tc>
      </w:tr>
      <w:tr>
        <w:trPr>
          <w:trHeight w:val="335" w:hRule="exact"/>
        </w:trPr>
        <w:tc>
          <w:tcPr>
            <w:tcW w:w="475" w:type="dxa"/>
            <w:tcBorders>
              <w:right w:val="single" w:sz="4" w:space="0" w:color="000000"/>
            </w:tcBorders>
            <w:shd w:val="clear" w:color="auto" w:fill="92D050"/>
          </w:tcPr>
          <w:p>
            <w:pPr>
              <w:pStyle w:val="TableParagraph"/>
              <w:spacing w:line="203" w:lineRule="exact"/>
              <w:ind w:left="16" w:right="60"/>
              <w:rPr>
                <w:b/>
                <w:sz w:val="18"/>
              </w:rPr>
            </w:pPr>
            <w:r>
              <w:rPr>
                <w:b/>
                <w:sz w:val="18"/>
              </w:rPr>
              <w:t>No.</w:t>
            </w:r>
          </w:p>
        </w:tc>
        <w:tc>
          <w:tcPr>
            <w:tcW w:w="2425" w:type="dxa"/>
            <w:tcBorders>
              <w:left w:val="single" w:sz="4" w:space="0" w:color="000000"/>
              <w:right w:val="single" w:sz="4" w:space="0" w:color="000000"/>
            </w:tcBorders>
            <w:shd w:val="clear" w:color="auto" w:fill="92D050"/>
          </w:tcPr>
          <w:p>
            <w:pPr>
              <w:pStyle w:val="TableParagraph"/>
              <w:spacing w:line="201" w:lineRule="exact"/>
              <w:ind w:left="789"/>
              <w:jc w:val="left"/>
              <w:rPr>
                <w:b/>
                <w:sz w:val="18"/>
              </w:rPr>
            </w:pPr>
            <w:r>
              <w:rPr>
                <w:b/>
                <w:sz w:val="18"/>
              </w:rPr>
              <w:t>Municipio</w:t>
            </w:r>
          </w:p>
        </w:tc>
        <w:tc>
          <w:tcPr>
            <w:tcW w:w="1212" w:type="dxa"/>
            <w:tcBorders>
              <w:left w:val="single" w:sz="4" w:space="0" w:color="000000"/>
              <w:right w:val="single" w:sz="4" w:space="0" w:color="000000"/>
            </w:tcBorders>
            <w:shd w:val="clear" w:color="auto" w:fill="92D050"/>
          </w:tcPr>
          <w:p>
            <w:pPr>
              <w:pStyle w:val="TableParagraph"/>
              <w:spacing w:line="201" w:lineRule="exact"/>
              <w:ind w:left="403"/>
              <w:jc w:val="left"/>
              <w:rPr>
                <w:b/>
                <w:sz w:val="18"/>
              </w:rPr>
            </w:pPr>
            <w:r>
              <w:rPr>
                <w:b/>
                <w:sz w:val="18"/>
              </w:rPr>
              <w:t>2012</w:t>
            </w:r>
          </w:p>
        </w:tc>
        <w:tc>
          <w:tcPr>
            <w:tcW w:w="1212" w:type="dxa"/>
            <w:tcBorders>
              <w:left w:val="single" w:sz="4" w:space="0" w:color="000000"/>
              <w:right w:val="single" w:sz="4" w:space="0" w:color="000000"/>
            </w:tcBorders>
            <w:shd w:val="clear" w:color="auto" w:fill="92D050"/>
          </w:tcPr>
          <w:p>
            <w:pPr>
              <w:pStyle w:val="TableParagraph"/>
              <w:spacing w:line="201" w:lineRule="exact"/>
              <w:ind w:left="227" w:right="220"/>
              <w:rPr>
                <w:b/>
                <w:sz w:val="18"/>
              </w:rPr>
            </w:pPr>
            <w:r>
              <w:rPr>
                <w:b/>
                <w:sz w:val="18"/>
              </w:rPr>
              <w:t>2013</w:t>
            </w:r>
          </w:p>
        </w:tc>
        <w:tc>
          <w:tcPr>
            <w:tcW w:w="1212" w:type="dxa"/>
            <w:tcBorders>
              <w:left w:val="single" w:sz="4" w:space="0" w:color="000000"/>
              <w:right w:val="single" w:sz="4" w:space="0" w:color="000000"/>
            </w:tcBorders>
            <w:shd w:val="clear" w:color="auto" w:fill="92D050"/>
          </w:tcPr>
          <w:p>
            <w:pPr>
              <w:pStyle w:val="TableParagraph"/>
              <w:spacing w:line="201" w:lineRule="exact"/>
              <w:ind w:left="227" w:right="220"/>
              <w:rPr>
                <w:b/>
                <w:sz w:val="18"/>
              </w:rPr>
            </w:pPr>
            <w:r>
              <w:rPr>
                <w:b/>
                <w:sz w:val="18"/>
              </w:rPr>
              <w:t>2014</w:t>
            </w:r>
          </w:p>
        </w:tc>
        <w:tc>
          <w:tcPr>
            <w:tcW w:w="1213" w:type="dxa"/>
            <w:tcBorders>
              <w:left w:val="single" w:sz="4" w:space="0" w:color="000000"/>
            </w:tcBorders>
            <w:shd w:val="clear" w:color="auto" w:fill="92D050"/>
          </w:tcPr>
          <w:p>
            <w:pPr>
              <w:pStyle w:val="TableParagraph"/>
              <w:spacing w:line="201" w:lineRule="exact"/>
              <w:ind w:left="227" w:right="216"/>
              <w:rPr>
                <w:b/>
                <w:sz w:val="18"/>
              </w:rPr>
            </w:pPr>
            <w:r>
              <w:rPr>
                <w:b/>
                <w:sz w:val="18"/>
              </w:rPr>
              <w:t>2015</w:t>
            </w:r>
          </w:p>
        </w:tc>
      </w:tr>
      <w:tr>
        <w:trPr>
          <w:trHeight w:val="335" w:hRule="exact"/>
        </w:trPr>
        <w:tc>
          <w:tcPr>
            <w:tcW w:w="475" w:type="dxa"/>
            <w:tcBorders>
              <w:right w:val="single" w:sz="4" w:space="0" w:color="000000"/>
            </w:tcBorders>
          </w:tcPr>
          <w:p>
            <w:pPr>
              <w:pStyle w:val="TableParagraph"/>
              <w:ind w:left="43" w:right="43"/>
              <w:rPr>
                <w:sz w:val="18"/>
              </w:rPr>
            </w:pPr>
            <w:r>
              <w:rPr>
                <w:sz w:val="18"/>
              </w:rPr>
              <w:t>65</w:t>
            </w:r>
          </w:p>
        </w:tc>
        <w:tc>
          <w:tcPr>
            <w:tcW w:w="2425" w:type="dxa"/>
            <w:tcBorders>
              <w:left w:val="single" w:sz="4" w:space="0" w:color="000000"/>
              <w:right w:val="single" w:sz="4" w:space="0" w:color="000000"/>
            </w:tcBorders>
          </w:tcPr>
          <w:p>
            <w:pPr>
              <w:pStyle w:val="TableParagraph"/>
              <w:spacing w:before="2"/>
              <w:ind w:left="67"/>
              <w:jc w:val="left"/>
              <w:rPr>
                <w:sz w:val="18"/>
              </w:rPr>
            </w:pPr>
            <w:r>
              <w:rPr>
                <w:color w:val="181818"/>
                <w:sz w:val="18"/>
              </w:rPr>
              <w:t>San Simón de Guerrero</w:t>
            </w:r>
          </w:p>
        </w:tc>
        <w:tc>
          <w:tcPr>
            <w:tcW w:w="1212" w:type="dxa"/>
            <w:tcBorders>
              <w:left w:val="single" w:sz="4" w:space="0" w:color="000000"/>
              <w:right w:val="single" w:sz="4" w:space="0" w:color="000000"/>
            </w:tcBorders>
          </w:tcPr>
          <w:p>
            <w:pPr/>
          </w:p>
        </w:tc>
        <w:tc>
          <w:tcPr>
            <w:tcW w:w="1212" w:type="dxa"/>
            <w:tcBorders>
              <w:left w:val="single" w:sz="4" w:space="0" w:color="000000"/>
              <w:right w:val="single" w:sz="4" w:space="0" w:color="000000"/>
            </w:tcBorders>
          </w:tcPr>
          <w:p>
            <w:pPr/>
          </w:p>
        </w:tc>
        <w:tc>
          <w:tcPr>
            <w:tcW w:w="1212" w:type="dxa"/>
            <w:tcBorders>
              <w:left w:val="single" w:sz="4" w:space="0" w:color="000000"/>
              <w:right w:val="single" w:sz="4" w:space="0" w:color="000000"/>
            </w:tcBorders>
          </w:tcPr>
          <w:p>
            <w:pPr/>
          </w:p>
        </w:tc>
        <w:tc>
          <w:tcPr>
            <w:tcW w:w="1213" w:type="dxa"/>
            <w:tcBorders>
              <w:left w:val="single" w:sz="4" w:space="0" w:color="000000"/>
            </w:tcBorders>
          </w:tcPr>
          <w:p>
            <w:pPr>
              <w:pStyle w:val="TableParagraph"/>
              <w:ind w:left="227" w:right="217"/>
              <w:rPr>
                <w:sz w:val="18"/>
              </w:rPr>
            </w:pPr>
            <w:r>
              <w:rPr>
                <w:sz w:val="18"/>
              </w:rPr>
              <w:t>0.00%</w:t>
            </w:r>
          </w:p>
        </w:tc>
      </w:tr>
      <w:tr>
        <w:trPr>
          <w:trHeight w:val="336" w:hRule="exact"/>
        </w:trPr>
        <w:tc>
          <w:tcPr>
            <w:tcW w:w="475" w:type="dxa"/>
            <w:tcBorders>
              <w:right w:val="single" w:sz="4" w:space="0" w:color="000000"/>
            </w:tcBorders>
          </w:tcPr>
          <w:p>
            <w:pPr>
              <w:pStyle w:val="TableParagraph"/>
              <w:spacing w:line="206" w:lineRule="exact"/>
              <w:ind w:left="43" w:right="43"/>
              <w:rPr>
                <w:sz w:val="18"/>
              </w:rPr>
            </w:pPr>
            <w:r>
              <w:rPr>
                <w:sz w:val="18"/>
              </w:rPr>
              <w:t>66</w:t>
            </w:r>
          </w:p>
        </w:tc>
        <w:tc>
          <w:tcPr>
            <w:tcW w:w="2425" w:type="dxa"/>
            <w:tcBorders>
              <w:left w:val="single" w:sz="4" w:space="0" w:color="000000"/>
              <w:right w:val="single" w:sz="4" w:space="0" w:color="000000"/>
            </w:tcBorders>
          </w:tcPr>
          <w:p>
            <w:pPr>
              <w:pStyle w:val="TableParagraph"/>
              <w:spacing w:before="1"/>
              <w:ind w:left="67"/>
              <w:jc w:val="left"/>
              <w:rPr>
                <w:sz w:val="18"/>
              </w:rPr>
            </w:pPr>
            <w:r>
              <w:rPr>
                <w:color w:val="181818"/>
                <w:sz w:val="18"/>
              </w:rPr>
              <w:t>Sultepec</w:t>
            </w:r>
          </w:p>
        </w:tc>
        <w:tc>
          <w:tcPr>
            <w:tcW w:w="1212" w:type="dxa"/>
            <w:tcBorders>
              <w:left w:val="single" w:sz="4" w:space="0" w:color="000000"/>
              <w:right w:val="single" w:sz="4" w:space="0" w:color="000000"/>
            </w:tcBorders>
          </w:tcPr>
          <w:p>
            <w:pPr>
              <w:pStyle w:val="TableParagraph"/>
              <w:spacing w:before="1"/>
              <w:ind w:right="292"/>
              <w:jc w:val="right"/>
              <w:rPr>
                <w:sz w:val="18"/>
              </w:rPr>
            </w:pPr>
            <w:r>
              <w:rPr>
                <w:color w:val="333333"/>
                <w:sz w:val="18"/>
              </w:rPr>
              <w:t>19.20%</w:t>
            </w:r>
          </w:p>
        </w:tc>
        <w:tc>
          <w:tcPr>
            <w:tcW w:w="1212" w:type="dxa"/>
            <w:tcBorders>
              <w:left w:val="single" w:sz="4" w:space="0" w:color="000000"/>
              <w:right w:val="single" w:sz="4" w:space="0" w:color="000000"/>
            </w:tcBorders>
          </w:tcPr>
          <w:p>
            <w:pPr/>
          </w:p>
        </w:tc>
        <w:tc>
          <w:tcPr>
            <w:tcW w:w="1212" w:type="dxa"/>
            <w:tcBorders>
              <w:left w:val="single" w:sz="4" w:space="0" w:color="000000"/>
              <w:right w:val="single" w:sz="4" w:space="0" w:color="000000"/>
            </w:tcBorders>
          </w:tcPr>
          <w:p>
            <w:pPr/>
          </w:p>
        </w:tc>
        <w:tc>
          <w:tcPr>
            <w:tcW w:w="1213" w:type="dxa"/>
            <w:tcBorders>
              <w:left w:val="single" w:sz="4" w:space="0" w:color="000000"/>
            </w:tcBorders>
          </w:tcPr>
          <w:p>
            <w:pPr>
              <w:pStyle w:val="TableParagraph"/>
              <w:spacing w:line="206" w:lineRule="exact"/>
              <w:ind w:left="227" w:right="220"/>
              <w:rPr>
                <w:sz w:val="18"/>
              </w:rPr>
            </w:pPr>
            <w:r>
              <w:rPr>
                <w:sz w:val="18"/>
              </w:rPr>
              <w:t>36.07%</w:t>
            </w:r>
          </w:p>
        </w:tc>
      </w:tr>
      <w:tr>
        <w:trPr>
          <w:trHeight w:val="334" w:hRule="exact"/>
        </w:trPr>
        <w:tc>
          <w:tcPr>
            <w:tcW w:w="475" w:type="dxa"/>
            <w:tcBorders>
              <w:right w:val="single" w:sz="4" w:space="0" w:color="000000"/>
            </w:tcBorders>
          </w:tcPr>
          <w:p>
            <w:pPr>
              <w:pStyle w:val="TableParagraph"/>
              <w:spacing w:line="206" w:lineRule="exact"/>
              <w:ind w:left="43" w:right="43"/>
              <w:rPr>
                <w:sz w:val="18"/>
              </w:rPr>
            </w:pPr>
            <w:r>
              <w:rPr>
                <w:sz w:val="18"/>
              </w:rPr>
              <w:t>67</w:t>
            </w:r>
          </w:p>
        </w:tc>
        <w:tc>
          <w:tcPr>
            <w:tcW w:w="2425" w:type="dxa"/>
            <w:tcBorders>
              <w:left w:val="single" w:sz="4" w:space="0" w:color="000000"/>
              <w:right w:val="single" w:sz="4" w:space="0" w:color="000000"/>
            </w:tcBorders>
          </w:tcPr>
          <w:p>
            <w:pPr>
              <w:pStyle w:val="TableParagraph"/>
              <w:spacing w:before="1"/>
              <w:ind w:left="67"/>
              <w:jc w:val="left"/>
              <w:rPr>
                <w:sz w:val="18"/>
              </w:rPr>
            </w:pPr>
            <w:r>
              <w:rPr>
                <w:color w:val="181818"/>
                <w:sz w:val="18"/>
              </w:rPr>
              <w:t>Tecámac</w:t>
            </w:r>
          </w:p>
        </w:tc>
        <w:tc>
          <w:tcPr>
            <w:tcW w:w="1212" w:type="dxa"/>
            <w:tcBorders>
              <w:left w:val="single" w:sz="4" w:space="0" w:color="000000"/>
              <w:right w:val="single" w:sz="4" w:space="0" w:color="000000"/>
            </w:tcBorders>
          </w:tcPr>
          <w:p>
            <w:pPr>
              <w:pStyle w:val="TableParagraph"/>
              <w:spacing w:before="1"/>
              <w:ind w:right="338"/>
              <w:jc w:val="right"/>
              <w:rPr>
                <w:sz w:val="18"/>
              </w:rPr>
            </w:pPr>
            <w:r>
              <w:rPr>
                <w:color w:val="333333"/>
                <w:w w:val="95"/>
                <w:sz w:val="18"/>
              </w:rPr>
              <w:t>7.60%</w:t>
            </w:r>
          </w:p>
        </w:tc>
        <w:tc>
          <w:tcPr>
            <w:tcW w:w="1212" w:type="dxa"/>
            <w:tcBorders>
              <w:left w:val="single" w:sz="4" w:space="0" w:color="000000"/>
              <w:right w:val="single" w:sz="4" w:space="0" w:color="000000"/>
            </w:tcBorders>
          </w:tcPr>
          <w:p>
            <w:pPr/>
          </w:p>
        </w:tc>
        <w:tc>
          <w:tcPr>
            <w:tcW w:w="1212" w:type="dxa"/>
            <w:tcBorders>
              <w:left w:val="single" w:sz="4" w:space="0" w:color="000000"/>
              <w:right w:val="single" w:sz="4" w:space="0" w:color="000000"/>
            </w:tcBorders>
          </w:tcPr>
          <w:p>
            <w:pPr>
              <w:pStyle w:val="TableParagraph"/>
              <w:spacing w:line="206" w:lineRule="exact"/>
              <w:ind w:left="227" w:right="222"/>
              <w:rPr>
                <w:sz w:val="18"/>
              </w:rPr>
            </w:pPr>
            <w:r>
              <w:rPr>
                <w:sz w:val="18"/>
              </w:rPr>
              <w:t>5.85%</w:t>
            </w:r>
          </w:p>
        </w:tc>
        <w:tc>
          <w:tcPr>
            <w:tcW w:w="1213" w:type="dxa"/>
            <w:tcBorders>
              <w:left w:val="single" w:sz="4" w:space="0" w:color="000000"/>
            </w:tcBorders>
          </w:tcPr>
          <w:p>
            <w:pPr>
              <w:pStyle w:val="TableParagraph"/>
              <w:spacing w:line="206" w:lineRule="exact"/>
              <w:ind w:left="227" w:right="220"/>
              <w:rPr>
                <w:sz w:val="18"/>
              </w:rPr>
            </w:pPr>
            <w:r>
              <w:rPr>
                <w:sz w:val="18"/>
              </w:rPr>
              <w:t>34.00%</w:t>
            </w:r>
          </w:p>
        </w:tc>
      </w:tr>
      <w:tr>
        <w:trPr>
          <w:trHeight w:val="336" w:hRule="exact"/>
        </w:trPr>
        <w:tc>
          <w:tcPr>
            <w:tcW w:w="475" w:type="dxa"/>
            <w:tcBorders>
              <w:right w:val="single" w:sz="4" w:space="0" w:color="000000"/>
            </w:tcBorders>
          </w:tcPr>
          <w:p>
            <w:pPr>
              <w:pStyle w:val="TableParagraph"/>
              <w:spacing w:before="1"/>
              <w:ind w:left="43" w:right="43"/>
              <w:rPr>
                <w:sz w:val="18"/>
              </w:rPr>
            </w:pPr>
            <w:r>
              <w:rPr>
                <w:sz w:val="18"/>
              </w:rPr>
              <w:t>68</w:t>
            </w:r>
          </w:p>
        </w:tc>
        <w:tc>
          <w:tcPr>
            <w:tcW w:w="2425" w:type="dxa"/>
            <w:tcBorders>
              <w:left w:val="single" w:sz="4" w:space="0" w:color="000000"/>
              <w:right w:val="single" w:sz="4" w:space="0" w:color="000000"/>
            </w:tcBorders>
          </w:tcPr>
          <w:p>
            <w:pPr>
              <w:pStyle w:val="TableParagraph"/>
              <w:spacing w:before="3"/>
              <w:ind w:left="67"/>
              <w:jc w:val="left"/>
              <w:rPr>
                <w:sz w:val="18"/>
              </w:rPr>
            </w:pPr>
            <w:r>
              <w:rPr>
                <w:color w:val="181818"/>
                <w:sz w:val="18"/>
              </w:rPr>
              <w:t>Tejupilco</w:t>
            </w:r>
          </w:p>
        </w:tc>
        <w:tc>
          <w:tcPr>
            <w:tcW w:w="1212" w:type="dxa"/>
            <w:tcBorders>
              <w:left w:val="single" w:sz="4" w:space="0" w:color="000000"/>
              <w:right w:val="single" w:sz="4" w:space="0" w:color="000000"/>
            </w:tcBorders>
          </w:tcPr>
          <w:p>
            <w:pPr>
              <w:pStyle w:val="TableParagraph"/>
              <w:spacing w:before="3"/>
              <w:ind w:right="340"/>
              <w:jc w:val="right"/>
              <w:rPr>
                <w:sz w:val="18"/>
              </w:rPr>
            </w:pPr>
            <w:r>
              <w:rPr>
                <w:color w:val="333333"/>
                <w:w w:val="95"/>
                <w:sz w:val="18"/>
              </w:rPr>
              <w:t>6.10%</w:t>
            </w:r>
          </w:p>
        </w:tc>
        <w:tc>
          <w:tcPr>
            <w:tcW w:w="1212" w:type="dxa"/>
            <w:tcBorders>
              <w:left w:val="single" w:sz="4" w:space="0" w:color="000000"/>
              <w:right w:val="single" w:sz="4" w:space="0" w:color="000000"/>
            </w:tcBorders>
          </w:tcPr>
          <w:p>
            <w:pPr/>
          </w:p>
        </w:tc>
        <w:tc>
          <w:tcPr>
            <w:tcW w:w="1212" w:type="dxa"/>
            <w:tcBorders>
              <w:left w:val="single" w:sz="4" w:space="0" w:color="000000"/>
              <w:right w:val="single" w:sz="4" w:space="0" w:color="000000"/>
            </w:tcBorders>
          </w:tcPr>
          <w:p>
            <w:pPr/>
          </w:p>
        </w:tc>
        <w:tc>
          <w:tcPr>
            <w:tcW w:w="1213" w:type="dxa"/>
            <w:tcBorders>
              <w:left w:val="single" w:sz="4" w:space="0" w:color="000000"/>
            </w:tcBorders>
          </w:tcPr>
          <w:p>
            <w:pPr/>
          </w:p>
        </w:tc>
      </w:tr>
      <w:tr>
        <w:trPr>
          <w:trHeight w:val="336" w:hRule="exact"/>
        </w:trPr>
        <w:tc>
          <w:tcPr>
            <w:tcW w:w="475" w:type="dxa"/>
            <w:tcBorders>
              <w:right w:val="single" w:sz="4" w:space="0" w:color="000000"/>
            </w:tcBorders>
          </w:tcPr>
          <w:p>
            <w:pPr>
              <w:pStyle w:val="TableParagraph"/>
              <w:spacing w:line="206" w:lineRule="exact"/>
              <w:ind w:left="43" w:right="43"/>
              <w:rPr>
                <w:sz w:val="18"/>
              </w:rPr>
            </w:pPr>
            <w:r>
              <w:rPr>
                <w:sz w:val="18"/>
              </w:rPr>
              <w:t>69</w:t>
            </w:r>
          </w:p>
        </w:tc>
        <w:tc>
          <w:tcPr>
            <w:tcW w:w="2425" w:type="dxa"/>
            <w:tcBorders>
              <w:left w:val="single" w:sz="4" w:space="0" w:color="000000"/>
              <w:right w:val="single" w:sz="4" w:space="0" w:color="000000"/>
            </w:tcBorders>
          </w:tcPr>
          <w:p>
            <w:pPr>
              <w:pStyle w:val="TableParagraph"/>
              <w:spacing w:before="1"/>
              <w:ind w:left="67"/>
              <w:jc w:val="left"/>
              <w:rPr>
                <w:sz w:val="18"/>
              </w:rPr>
            </w:pPr>
            <w:r>
              <w:rPr>
                <w:color w:val="181818"/>
                <w:sz w:val="18"/>
              </w:rPr>
              <w:t>Temamatla</w:t>
            </w:r>
          </w:p>
        </w:tc>
        <w:tc>
          <w:tcPr>
            <w:tcW w:w="1212" w:type="dxa"/>
            <w:tcBorders>
              <w:left w:val="single" w:sz="4" w:space="0" w:color="000000"/>
              <w:right w:val="single" w:sz="4" w:space="0" w:color="000000"/>
            </w:tcBorders>
          </w:tcPr>
          <w:p>
            <w:pPr/>
          </w:p>
        </w:tc>
        <w:tc>
          <w:tcPr>
            <w:tcW w:w="1212" w:type="dxa"/>
            <w:tcBorders>
              <w:left w:val="single" w:sz="4" w:space="0" w:color="000000"/>
              <w:right w:val="single" w:sz="4" w:space="0" w:color="000000"/>
            </w:tcBorders>
          </w:tcPr>
          <w:p>
            <w:pPr/>
          </w:p>
        </w:tc>
        <w:tc>
          <w:tcPr>
            <w:tcW w:w="1212" w:type="dxa"/>
            <w:tcBorders>
              <w:left w:val="single" w:sz="4" w:space="0" w:color="000000"/>
              <w:right w:val="single" w:sz="4" w:space="0" w:color="000000"/>
            </w:tcBorders>
          </w:tcPr>
          <w:p>
            <w:pPr/>
          </w:p>
        </w:tc>
        <w:tc>
          <w:tcPr>
            <w:tcW w:w="1213" w:type="dxa"/>
            <w:tcBorders>
              <w:left w:val="single" w:sz="4" w:space="0" w:color="000000"/>
            </w:tcBorders>
          </w:tcPr>
          <w:p>
            <w:pPr>
              <w:pStyle w:val="TableParagraph"/>
              <w:spacing w:line="206" w:lineRule="exact"/>
              <w:ind w:left="227" w:right="220"/>
              <w:rPr>
                <w:sz w:val="18"/>
              </w:rPr>
            </w:pPr>
            <w:r>
              <w:rPr>
                <w:sz w:val="18"/>
              </w:rPr>
              <w:t>19.69%</w:t>
            </w:r>
          </w:p>
        </w:tc>
      </w:tr>
      <w:tr>
        <w:trPr>
          <w:trHeight w:val="334" w:hRule="exact"/>
        </w:trPr>
        <w:tc>
          <w:tcPr>
            <w:tcW w:w="475" w:type="dxa"/>
            <w:tcBorders>
              <w:right w:val="single" w:sz="4" w:space="0" w:color="000000"/>
            </w:tcBorders>
          </w:tcPr>
          <w:p>
            <w:pPr>
              <w:pStyle w:val="TableParagraph"/>
              <w:spacing w:line="206" w:lineRule="exact"/>
              <w:ind w:left="43" w:right="43"/>
              <w:rPr>
                <w:sz w:val="18"/>
              </w:rPr>
            </w:pPr>
            <w:r>
              <w:rPr>
                <w:sz w:val="18"/>
              </w:rPr>
              <w:t>70</w:t>
            </w:r>
          </w:p>
        </w:tc>
        <w:tc>
          <w:tcPr>
            <w:tcW w:w="2425" w:type="dxa"/>
            <w:tcBorders>
              <w:left w:val="single" w:sz="4" w:space="0" w:color="000000"/>
              <w:right w:val="single" w:sz="4" w:space="0" w:color="000000"/>
            </w:tcBorders>
          </w:tcPr>
          <w:p>
            <w:pPr>
              <w:pStyle w:val="TableParagraph"/>
              <w:spacing w:before="1"/>
              <w:ind w:left="67"/>
              <w:jc w:val="left"/>
              <w:rPr>
                <w:sz w:val="18"/>
              </w:rPr>
            </w:pPr>
            <w:r>
              <w:rPr>
                <w:color w:val="181818"/>
                <w:sz w:val="18"/>
              </w:rPr>
              <w:t>Temascalapa</w:t>
            </w:r>
          </w:p>
        </w:tc>
        <w:tc>
          <w:tcPr>
            <w:tcW w:w="1212" w:type="dxa"/>
            <w:tcBorders>
              <w:left w:val="single" w:sz="4" w:space="0" w:color="000000"/>
              <w:right w:val="single" w:sz="4" w:space="0" w:color="000000"/>
            </w:tcBorders>
          </w:tcPr>
          <w:p>
            <w:pPr>
              <w:pStyle w:val="TableParagraph"/>
              <w:spacing w:before="1"/>
              <w:ind w:right="292"/>
              <w:jc w:val="right"/>
              <w:rPr>
                <w:sz w:val="18"/>
              </w:rPr>
            </w:pPr>
            <w:r>
              <w:rPr>
                <w:color w:val="333333"/>
                <w:sz w:val="18"/>
              </w:rPr>
              <w:t>11.50%</w:t>
            </w:r>
          </w:p>
        </w:tc>
        <w:tc>
          <w:tcPr>
            <w:tcW w:w="1212" w:type="dxa"/>
            <w:tcBorders>
              <w:left w:val="single" w:sz="4" w:space="0" w:color="000000"/>
              <w:right w:val="single" w:sz="4" w:space="0" w:color="000000"/>
            </w:tcBorders>
          </w:tcPr>
          <w:p>
            <w:pPr/>
          </w:p>
        </w:tc>
        <w:tc>
          <w:tcPr>
            <w:tcW w:w="1212" w:type="dxa"/>
            <w:tcBorders>
              <w:left w:val="single" w:sz="4" w:space="0" w:color="000000"/>
              <w:right w:val="single" w:sz="4" w:space="0" w:color="000000"/>
            </w:tcBorders>
          </w:tcPr>
          <w:p>
            <w:pPr/>
          </w:p>
        </w:tc>
        <w:tc>
          <w:tcPr>
            <w:tcW w:w="1213" w:type="dxa"/>
            <w:tcBorders>
              <w:left w:val="single" w:sz="4" w:space="0" w:color="000000"/>
            </w:tcBorders>
          </w:tcPr>
          <w:p>
            <w:pPr/>
          </w:p>
        </w:tc>
      </w:tr>
      <w:tr>
        <w:trPr>
          <w:trHeight w:val="326" w:hRule="exact"/>
        </w:trPr>
        <w:tc>
          <w:tcPr>
            <w:tcW w:w="475" w:type="dxa"/>
            <w:tcBorders>
              <w:bottom w:val="single" w:sz="4" w:space="0" w:color="000000"/>
              <w:right w:val="single" w:sz="4" w:space="0" w:color="000000"/>
            </w:tcBorders>
          </w:tcPr>
          <w:p>
            <w:pPr>
              <w:pStyle w:val="TableParagraph"/>
              <w:spacing w:line="203" w:lineRule="exact"/>
              <w:ind w:left="43" w:right="43"/>
              <w:rPr>
                <w:sz w:val="18"/>
              </w:rPr>
            </w:pPr>
            <w:r>
              <w:rPr>
                <w:sz w:val="18"/>
              </w:rPr>
              <w:t>71</w:t>
            </w:r>
          </w:p>
        </w:tc>
        <w:tc>
          <w:tcPr>
            <w:tcW w:w="2425" w:type="dxa"/>
            <w:tcBorders>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Temascalcingo</w:t>
            </w:r>
          </w:p>
        </w:tc>
        <w:tc>
          <w:tcPr>
            <w:tcW w:w="1212" w:type="dxa"/>
            <w:tcBorders>
              <w:left w:val="single" w:sz="4" w:space="0" w:color="000000"/>
              <w:bottom w:val="single" w:sz="4" w:space="0" w:color="000000"/>
              <w:right w:val="single" w:sz="4" w:space="0" w:color="000000"/>
            </w:tcBorders>
          </w:tcPr>
          <w:p>
            <w:pPr>
              <w:pStyle w:val="TableParagraph"/>
              <w:spacing w:line="203" w:lineRule="exact"/>
              <w:ind w:right="292"/>
              <w:jc w:val="right"/>
              <w:rPr>
                <w:sz w:val="18"/>
              </w:rPr>
            </w:pPr>
            <w:r>
              <w:rPr>
                <w:color w:val="333333"/>
                <w:sz w:val="18"/>
              </w:rPr>
              <w:t>30.70%</w:t>
            </w:r>
          </w:p>
        </w:tc>
        <w:tc>
          <w:tcPr>
            <w:tcW w:w="1212" w:type="dxa"/>
            <w:tcBorders>
              <w:left w:val="single" w:sz="4" w:space="0" w:color="000000"/>
              <w:bottom w:val="single" w:sz="4" w:space="0" w:color="000000"/>
              <w:right w:val="single" w:sz="4" w:space="0" w:color="000000"/>
            </w:tcBorders>
          </w:tcPr>
          <w:p>
            <w:pPr/>
          </w:p>
        </w:tc>
        <w:tc>
          <w:tcPr>
            <w:tcW w:w="1212" w:type="dxa"/>
            <w:tcBorders>
              <w:left w:val="single" w:sz="4" w:space="0" w:color="000000"/>
              <w:bottom w:val="single" w:sz="4" w:space="0" w:color="000000"/>
              <w:right w:val="single" w:sz="4" w:space="0" w:color="000000"/>
            </w:tcBorders>
          </w:tcPr>
          <w:p>
            <w:pPr/>
          </w:p>
        </w:tc>
        <w:tc>
          <w:tcPr>
            <w:tcW w:w="1213" w:type="dxa"/>
            <w:tcBorders>
              <w:left w:val="single" w:sz="4" w:space="0" w:color="000000"/>
              <w:bottom w:val="single" w:sz="4" w:space="0" w:color="000000"/>
            </w:tcBorders>
          </w:tcPr>
          <w:p>
            <w:pPr>
              <w:pStyle w:val="TableParagraph"/>
              <w:spacing w:line="203" w:lineRule="exact"/>
              <w:ind w:left="227" w:right="220"/>
              <w:rPr>
                <w:sz w:val="18"/>
              </w:rPr>
            </w:pPr>
            <w:r>
              <w:rPr>
                <w:sz w:val="18"/>
              </w:rPr>
              <w:t>65.15%</w:t>
            </w: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72</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Temoaya</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3" w:lineRule="exact"/>
              <w:ind w:left="227" w:right="220"/>
              <w:rPr>
                <w:sz w:val="18"/>
              </w:rPr>
            </w:pPr>
            <w:r>
              <w:rPr>
                <w:sz w:val="18"/>
              </w:rPr>
              <w:t>45.42%</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4" w:lineRule="exact"/>
              <w:ind w:left="43" w:right="43"/>
              <w:rPr>
                <w:sz w:val="18"/>
              </w:rPr>
            </w:pPr>
            <w:r>
              <w:rPr>
                <w:sz w:val="18"/>
              </w:rPr>
              <w:t>73</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7"/>
              <w:jc w:val="left"/>
              <w:rPr>
                <w:sz w:val="18"/>
              </w:rPr>
            </w:pPr>
            <w:r>
              <w:rPr>
                <w:color w:val="181818"/>
                <w:sz w:val="18"/>
              </w:rPr>
              <w:t>Tenancingo</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right="292"/>
              <w:jc w:val="right"/>
              <w:rPr>
                <w:sz w:val="18"/>
              </w:rPr>
            </w:pPr>
            <w:r>
              <w:rPr>
                <w:color w:val="333333"/>
                <w:sz w:val="18"/>
              </w:rPr>
              <w:t>11.53%</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227" w:right="224"/>
              <w:rPr>
                <w:sz w:val="18"/>
              </w:rPr>
            </w:pPr>
            <w:r>
              <w:rPr>
                <w:sz w:val="18"/>
              </w:rPr>
              <w:t>97.61%</w:t>
            </w:r>
          </w:p>
        </w:tc>
        <w:tc>
          <w:tcPr>
            <w:tcW w:w="1213" w:type="dxa"/>
            <w:tcBorders>
              <w:top w:val="single" w:sz="4" w:space="0" w:color="000000"/>
              <w:left w:val="single" w:sz="4" w:space="0" w:color="000000"/>
              <w:bottom w:val="single" w:sz="4" w:space="0" w:color="000000"/>
            </w:tcBorders>
          </w:tcPr>
          <w:p>
            <w:pP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74</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Tenango del Valle</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227" w:right="224"/>
              <w:rPr>
                <w:sz w:val="18"/>
              </w:rPr>
            </w:pPr>
            <w:r>
              <w:rPr>
                <w:sz w:val="18"/>
              </w:rPr>
              <w:t>87.80%</w:t>
            </w:r>
          </w:p>
        </w:tc>
        <w:tc>
          <w:tcPr>
            <w:tcW w:w="1213" w:type="dxa"/>
            <w:tcBorders>
              <w:top w:val="single" w:sz="4" w:space="0" w:color="000000"/>
              <w:left w:val="single" w:sz="4" w:space="0" w:color="000000"/>
              <w:bottom w:val="single" w:sz="4" w:space="0" w:color="000000"/>
            </w:tcBorders>
          </w:tcPr>
          <w:p>
            <w:pPr>
              <w:pStyle w:val="TableParagraph"/>
              <w:spacing w:line="203" w:lineRule="exact"/>
              <w:ind w:left="227" w:right="220"/>
              <w:rPr>
                <w:sz w:val="18"/>
              </w:rPr>
            </w:pPr>
            <w:r>
              <w:rPr>
                <w:sz w:val="18"/>
              </w:rPr>
              <w:t>35.21%</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6" w:lineRule="exact"/>
              <w:ind w:left="43" w:right="43"/>
              <w:rPr>
                <w:sz w:val="18"/>
              </w:rPr>
            </w:pPr>
            <w:r>
              <w:rPr>
                <w:sz w:val="18"/>
              </w:rPr>
              <w:t>75</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Teoloyucán</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6" w:lineRule="exact"/>
              <w:ind w:left="227" w:right="220"/>
              <w:rPr>
                <w:sz w:val="18"/>
              </w:rPr>
            </w:pPr>
            <w:r>
              <w:rPr>
                <w:sz w:val="18"/>
              </w:rPr>
              <w:t>35.23%</w:t>
            </w: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76</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Teotihuacán</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292"/>
              <w:jc w:val="right"/>
              <w:rPr>
                <w:sz w:val="18"/>
              </w:rPr>
            </w:pPr>
            <w:r>
              <w:rPr>
                <w:sz w:val="18"/>
              </w:rPr>
              <w:t>34.60%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3" w:lineRule="exact"/>
              <w:ind w:left="227" w:right="220"/>
              <w:rPr>
                <w:sz w:val="18"/>
              </w:rPr>
            </w:pPr>
            <w:r>
              <w:rPr>
                <w:sz w:val="18"/>
              </w:rPr>
              <w:t>64.95%</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6" w:lineRule="exact"/>
              <w:ind w:left="43" w:right="43"/>
              <w:rPr>
                <w:sz w:val="18"/>
              </w:rPr>
            </w:pPr>
            <w:r>
              <w:rPr>
                <w:sz w:val="18"/>
              </w:rPr>
              <w:t>77</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Tepetlaoxtoc</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6" w:lineRule="exact"/>
              <w:ind w:left="227" w:right="217"/>
              <w:rPr>
                <w:sz w:val="18"/>
              </w:rPr>
            </w:pPr>
            <w:r>
              <w:rPr>
                <w:sz w:val="18"/>
              </w:rPr>
              <w:t>0.00%</w:t>
            </w: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78</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Tepetlixpa</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3" w:lineRule="exact"/>
              <w:ind w:left="227" w:right="217"/>
              <w:rPr>
                <w:sz w:val="18"/>
              </w:rPr>
            </w:pPr>
            <w:r>
              <w:rPr>
                <w:sz w:val="18"/>
              </w:rPr>
              <w:t>0.00%</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6" w:lineRule="exact"/>
              <w:ind w:left="43" w:right="43"/>
              <w:rPr>
                <w:sz w:val="18"/>
              </w:rPr>
            </w:pPr>
            <w:r>
              <w:rPr>
                <w:sz w:val="18"/>
              </w:rPr>
              <w:t>79</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Tepotzotlán</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27" w:right="224"/>
              <w:rPr>
                <w:sz w:val="18"/>
              </w:rPr>
            </w:pPr>
            <w:r>
              <w:rPr>
                <w:sz w:val="18"/>
              </w:rPr>
              <w:t>70.14%</w:t>
            </w:r>
          </w:p>
        </w:tc>
        <w:tc>
          <w:tcPr>
            <w:tcW w:w="1213" w:type="dxa"/>
            <w:tcBorders>
              <w:top w:val="single" w:sz="4" w:space="0" w:color="000000"/>
              <w:left w:val="single" w:sz="4" w:space="0" w:color="000000"/>
              <w:bottom w:val="single" w:sz="4" w:space="0" w:color="000000"/>
            </w:tcBorders>
          </w:tcPr>
          <w:p>
            <w:pP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80</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Tequixquiac</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3" w:lineRule="exact"/>
              <w:ind w:left="227" w:right="217"/>
              <w:rPr>
                <w:sz w:val="18"/>
              </w:rPr>
            </w:pPr>
            <w:r>
              <w:rPr>
                <w:sz w:val="18"/>
              </w:rPr>
              <w:t>0.00%</w:t>
            </w: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81</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Texcalyacac</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3" w:lineRule="exact"/>
              <w:ind w:left="227" w:right="220"/>
              <w:rPr>
                <w:sz w:val="18"/>
              </w:rPr>
            </w:pPr>
            <w:r>
              <w:rPr>
                <w:sz w:val="18"/>
              </w:rPr>
              <w:t>29.90%</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82</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Texcoco</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292"/>
              <w:jc w:val="right"/>
              <w:rPr>
                <w:sz w:val="18"/>
              </w:rPr>
            </w:pPr>
            <w:r>
              <w:rPr>
                <w:color w:val="333333"/>
                <w:sz w:val="18"/>
              </w:rPr>
              <w:t>11.50%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227" w:right="224"/>
              <w:rPr>
                <w:sz w:val="18"/>
              </w:rPr>
            </w:pPr>
            <w:r>
              <w:rPr>
                <w:sz w:val="18"/>
              </w:rPr>
              <w:t>76.71%</w:t>
            </w:r>
          </w:p>
        </w:tc>
        <w:tc>
          <w:tcPr>
            <w:tcW w:w="1213" w:type="dxa"/>
            <w:tcBorders>
              <w:top w:val="single" w:sz="4" w:space="0" w:color="000000"/>
              <w:left w:val="single" w:sz="4" w:space="0" w:color="000000"/>
              <w:bottom w:val="single" w:sz="4" w:space="0" w:color="000000"/>
            </w:tcBorders>
          </w:tcPr>
          <w:p>
            <w:pP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83</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Tezoyuca</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292"/>
              <w:jc w:val="right"/>
              <w:rPr>
                <w:sz w:val="18"/>
              </w:rPr>
            </w:pPr>
            <w:r>
              <w:rPr>
                <w:color w:val="333333"/>
                <w:sz w:val="18"/>
              </w:rPr>
              <w:t>11.50%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3" w:lineRule="exact"/>
              <w:ind w:left="227" w:right="220"/>
              <w:rPr>
                <w:sz w:val="18"/>
              </w:rPr>
            </w:pPr>
            <w:r>
              <w:rPr>
                <w:sz w:val="18"/>
              </w:rPr>
              <w:t>23.38%</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4" w:lineRule="exact"/>
              <w:ind w:left="43" w:right="43"/>
              <w:rPr>
                <w:sz w:val="18"/>
              </w:rPr>
            </w:pPr>
            <w:r>
              <w:rPr>
                <w:sz w:val="18"/>
              </w:rPr>
              <w:t>84</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7"/>
              <w:jc w:val="left"/>
              <w:rPr>
                <w:sz w:val="18"/>
              </w:rPr>
            </w:pPr>
            <w:r>
              <w:rPr>
                <w:color w:val="181818"/>
                <w:sz w:val="18"/>
              </w:rPr>
              <w:t>Tianguistenco</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4" w:lineRule="exact"/>
              <w:ind w:left="227" w:right="220"/>
              <w:rPr>
                <w:sz w:val="18"/>
              </w:rPr>
            </w:pPr>
            <w:r>
              <w:rPr>
                <w:sz w:val="18"/>
              </w:rPr>
              <w:t>60.23%</w:t>
            </w: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85</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Timilpan</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292"/>
              <w:jc w:val="right"/>
              <w:rPr>
                <w:sz w:val="18"/>
              </w:rPr>
            </w:pPr>
            <w:r>
              <w:rPr>
                <w:color w:val="333333"/>
                <w:sz w:val="18"/>
              </w:rPr>
              <w:t>34.61%</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227" w:right="224"/>
              <w:rPr>
                <w:sz w:val="18"/>
              </w:rPr>
            </w:pPr>
            <w:r>
              <w:rPr>
                <w:sz w:val="18"/>
              </w:rPr>
              <w:t>84.85%</w:t>
            </w:r>
          </w:p>
        </w:tc>
        <w:tc>
          <w:tcPr>
            <w:tcW w:w="1213" w:type="dxa"/>
            <w:tcBorders>
              <w:top w:val="single" w:sz="4" w:space="0" w:color="000000"/>
              <w:left w:val="single" w:sz="4" w:space="0" w:color="000000"/>
              <w:bottom w:val="single" w:sz="4" w:space="0" w:color="000000"/>
            </w:tcBorders>
          </w:tcPr>
          <w:p>
            <w:pPr>
              <w:pStyle w:val="TableParagraph"/>
              <w:spacing w:line="203" w:lineRule="exact"/>
              <w:ind w:left="227" w:right="220"/>
              <w:rPr>
                <w:sz w:val="18"/>
              </w:rPr>
            </w:pPr>
            <w:r>
              <w:rPr>
                <w:sz w:val="18"/>
              </w:rPr>
              <w:t>28.17%</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86</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Tlalmanalco</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340"/>
              <w:jc w:val="right"/>
              <w:rPr>
                <w:sz w:val="18"/>
              </w:rPr>
            </w:pPr>
            <w:r>
              <w:rPr>
                <w:color w:val="333333"/>
                <w:w w:val="95"/>
                <w:sz w:val="18"/>
              </w:rPr>
              <w:t>3.80%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87</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Tlalnepantla de Baz</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292"/>
              <w:jc w:val="right"/>
              <w:rPr>
                <w:sz w:val="18"/>
              </w:rPr>
            </w:pPr>
            <w:r>
              <w:rPr>
                <w:color w:val="333333"/>
                <w:sz w:val="18"/>
              </w:rPr>
              <w:t>88.46%</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227" w:right="224"/>
              <w:rPr>
                <w:sz w:val="18"/>
              </w:rPr>
            </w:pPr>
            <w:r>
              <w:rPr>
                <w:sz w:val="18"/>
              </w:rPr>
              <w:t>97.61%</w:t>
            </w:r>
          </w:p>
        </w:tc>
        <w:tc>
          <w:tcPr>
            <w:tcW w:w="1213" w:type="dxa"/>
            <w:tcBorders>
              <w:top w:val="single" w:sz="4" w:space="0" w:color="000000"/>
              <w:left w:val="single" w:sz="4" w:space="0" w:color="000000"/>
              <w:bottom w:val="single" w:sz="4" w:space="0" w:color="000000"/>
            </w:tcBorders>
          </w:tcPr>
          <w:p>
            <w:pP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88</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Toluca</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241"/>
              <w:jc w:val="right"/>
              <w:rPr>
                <w:sz w:val="18"/>
              </w:rPr>
            </w:pPr>
            <w:r>
              <w:rPr>
                <w:color w:val="333333"/>
                <w:sz w:val="18"/>
              </w:rPr>
              <w:t>100.00%</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227" w:right="224"/>
              <w:rPr>
                <w:sz w:val="18"/>
              </w:rPr>
            </w:pPr>
            <w:r>
              <w:rPr>
                <w:sz w:val="18"/>
              </w:rPr>
              <w:t>97.50%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89</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Tonatico</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340"/>
              <w:jc w:val="right"/>
              <w:rPr>
                <w:sz w:val="18"/>
              </w:rPr>
            </w:pPr>
            <w:r>
              <w:rPr>
                <w:color w:val="333333"/>
                <w:w w:val="95"/>
                <w:sz w:val="18"/>
              </w:rPr>
              <w:t>3.80%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3" w:lineRule="exact"/>
              <w:ind w:left="227" w:right="220"/>
              <w:rPr>
                <w:sz w:val="18"/>
              </w:rPr>
            </w:pPr>
            <w:r>
              <w:rPr>
                <w:sz w:val="18"/>
              </w:rPr>
              <w:t>33.78%</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6" w:lineRule="exact"/>
              <w:ind w:left="43" w:right="43"/>
              <w:rPr>
                <w:sz w:val="18"/>
              </w:rPr>
            </w:pPr>
            <w:r>
              <w:rPr>
                <w:sz w:val="18"/>
              </w:rPr>
              <w:t>90</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Tultepec</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27" w:right="222"/>
              <w:rPr>
                <w:sz w:val="18"/>
              </w:rPr>
            </w:pPr>
            <w:r>
              <w:rPr>
                <w:sz w:val="18"/>
              </w:rPr>
              <w:t>5.58%</w:t>
            </w:r>
          </w:p>
        </w:tc>
        <w:tc>
          <w:tcPr>
            <w:tcW w:w="1213" w:type="dxa"/>
            <w:tcBorders>
              <w:top w:val="single" w:sz="4" w:space="0" w:color="000000"/>
              <w:left w:val="single" w:sz="4" w:space="0" w:color="000000"/>
              <w:bottom w:val="single" w:sz="4" w:space="0" w:color="000000"/>
            </w:tcBorders>
          </w:tcPr>
          <w:p>
            <w:pP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91</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Tultitlán</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292"/>
              <w:jc w:val="right"/>
              <w:rPr>
                <w:sz w:val="18"/>
              </w:rPr>
            </w:pPr>
            <w:r>
              <w:rPr>
                <w:color w:val="333333"/>
                <w:sz w:val="18"/>
              </w:rPr>
              <w:t>69.23%</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227" w:right="224"/>
              <w:rPr>
                <w:sz w:val="18"/>
              </w:rPr>
            </w:pPr>
            <w:r>
              <w:rPr>
                <w:sz w:val="18"/>
              </w:rPr>
              <w:t>13.95%</w:t>
            </w:r>
          </w:p>
        </w:tc>
        <w:tc>
          <w:tcPr>
            <w:tcW w:w="1213" w:type="dxa"/>
            <w:tcBorders>
              <w:top w:val="single" w:sz="4" w:space="0" w:color="000000"/>
              <w:left w:val="single" w:sz="4" w:space="0" w:color="000000"/>
              <w:bottom w:val="single" w:sz="4" w:space="0" w:color="000000"/>
            </w:tcBorders>
          </w:tcPr>
          <w:p>
            <w:pPr>
              <w:pStyle w:val="TableParagraph"/>
              <w:spacing w:line="203" w:lineRule="exact"/>
              <w:ind w:left="227" w:right="220"/>
              <w:rPr>
                <w:sz w:val="18"/>
              </w:rPr>
            </w:pPr>
            <w:r>
              <w:rPr>
                <w:sz w:val="18"/>
              </w:rPr>
              <w:t>45.34%</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6" w:lineRule="exact"/>
              <w:ind w:left="43" w:right="43"/>
              <w:rPr>
                <w:sz w:val="18"/>
              </w:rPr>
            </w:pPr>
            <w:r>
              <w:rPr>
                <w:sz w:val="18"/>
              </w:rPr>
              <w:t>92</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Valle de Bravo</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292"/>
              <w:jc w:val="right"/>
              <w:rPr>
                <w:sz w:val="18"/>
              </w:rPr>
            </w:pPr>
            <w:r>
              <w:rPr>
                <w:color w:val="333333"/>
                <w:sz w:val="18"/>
              </w:rPr>
              <w:t>11.53%</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6" w:lineRule="exact"/>
              <w:ind w:left="227" w:right="220"/>
              <w:rPr>
                <w:sz w:val="18"/>
              </w:rPr>
            </w:pPr>
            <w:r>
              <w:rPr>
                <w:sz w:val="18"/>
              </w:rPr>
              <w:t>23.05%</w:t>
            </w: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93</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Villa de Allende</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227" w:right="224"/>
              <w:rPr>
                <w:sz w:val="18"/>
              </w:rPr>
            </w:pPr>
            <w:r>
              <w:rPr>
                <w:sz w:val="18"/>
              </w:rPr>
              <w:t>16.40%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3" w:lineRule="exact"/>
              <w:ind w:left="227" w:right="220"/>
              <w:rPr>
                <w:sz w:val="18"/>
              </w:rPr>
            </w:pPr>
            <w:r>
              <w:rPr>
                <w:sz w:val="18"/>
              </w:rPr>
              <w:t>16.60%</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6" w:lineRule="exact"/>
              <w:ind w:left="43" w:right="43"/>
              <w:rPr>
                <w:sz w:val="18"/>
              </w:rPr>
            </w:pPr>
            <w:r>
              <w:rPr>
                <w:sz w:val="18"/>
              </w:rPr>
              <w:t>94</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jc w:val="left"/>
              <w:rPr>
                <w:sz w:val="18"/>
              </w:rPr>
            </w:pPr>
            <w:r>
              <w:rPr>
                <w:color w:val="181818"/>
                <w:sz w:val="18"/>
              </w:rPr>
              <w:t>Villa Guerrero</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292"/>
              <w:jc w:val="right"/>
              <w:rPr>
                <w:sz w:val="18"/>
              </w:rPr>
            </w:pPr>
            <w:r>
              <w:rPr>
                <w:color w:val="333333"/>
                <w:sz w:val="18"/>
              </w:rPr>
              <w:t>11.50%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95</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Villa Victoria</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292"/>
              <w:jc w:val="right"/>
              <w:rPr>
                <w:sz w:val="18"/>
              </w:rPr>
            </w:pPr>
            <w:r>
              <w:rPr>
                <w:color w:val="333333"/>
                <w:sz w:val="18"/>
              </w:rPr>
              <w:t>26.90%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96</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Xonacatlán</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3" w:lineRule="exact"/>
              <w:ind w:left="227" w:right="220"/>
              <w:rPr>
                <w:sz w:val="18"/>
              </w:rPr>
            </w:pPr>
            <w:r>
              <w:rPr>
                <w:sz w:val="18"/>
              </w:rPr>
              <w:t>81.85%</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97</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Zacazonapan</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3" w:lineRule="exact"/>
              <w:ind w:left="227" w:right="217"/>
              <w:rPr>
                <w:sz w:val="18"/>
              </w:rPr>
            </w:pPr>
            <w:r>
              <w:rPr>
                <w:sz w:val="18"/>
              </w:rPr>
              <w:t>0.00%</w:t>
            </w: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98</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Zacualpan</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3" w:lineRule="exact"/>
              <w:ind w:left="227" w:right="220"/>
              <w:rPr>
                <w:sz w:val="18"/>
              </w:rPr>
            </w:pPr>
            <w:r>
              <w:rPr>
                <w:sz w:val="18"/>
              </w:rPr>
              <w:t>40.52%</w:t>
            </w:r>
          </w:p>
        </w:tc>
      </w:tr>
      <w:tr>
        <w:trPr>
          <w:trHeight w:val="322"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99</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Zinacantepec</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292"/>
              <w:jc w:val="right"/>
              <w:rPr>
                <w:sz w:val="18"/>
              </w:rPr>
            </w:pPr>
            <w:r>
              <w:rPr>
                <w:color w:val="333333"/>
                <w:sz w:val="18"/>
              </w:rPr>
              <w:t>42.30%</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3" w:lineRule="exact"/>
              <w:ind w:left="227" w:right="220"/>
              <w:rPr>
                <w:sz w:val="18"/>
              </w:rPr>
            </w:pPr>
            <w:r>
              <w:rPr>
                <w:sz w:val="18"/>
              </w:rPr>
              <w:t>93.08%</w:t>
            </w:r>
          </w:p>
        </w:tc>
      </w:tr>
      <w:tr>
        <w:trPr>
          <w:trHeight w:val="319" w:hRule="exact"/>
        </w:trPr>
        <w:tc>
          <w:tcPr>
            <w:tcW w:w="475" w:type="dxa"/>
            <w:tcBorders>
              <w:top w:val="single" w:sz="4" w:space="0" w:color="000000"/>
              <w:bottom w:val="single" w:sz="4" w:space="0" w:color="000000"/>
              <w:right w:val="single" w:sz="4" w:space="0" w:color="000000"/>
            </w:tcBorders>
          </w:tcPr>
          <w:p>
            <w:pPr>
              <w:pStyle w:val="TableParagraph"/>
              <w:spacing w:line="203" w:lineRule="exact"/>
              <w:ind w:left="43" w:right="43"/>
              <w:rPr>
                <w:sz w:val="18"/>
              </w:rPr>
            </w:pPr>
            <w:r>
              <w:rPr>
                <w:sz w:val="18"/>
              </w:rPr>
              <w:t>100</w:t>
            </w:r>
          </w:p>
        </w:tc>
        <w:tc>
          <w:tcPr>
            <w:tcW w:w="242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7"/>
              <w:jc w:val="left"/>
              <w:rPr>
                <w:sz w:val="18"/>
              </w:rPr>
            </w:pPr>
            <w:r>
              <w:rPr>
                <w:color w:val="181818"/>
                <w:sz w:val="18"/>
              </w:rPr>
              <w:t>Zumpango</w:t>
            </w:r>
          </w:p>
        </w:tc>
        <w:tc>
          <w:tcPr>
            <w:tcW w:w="121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292"/>
              <w:jc w:val="right"/>
              <w:rPr>
                <w:sz w:val="18"/>
              </w:rPr>
            </w:pPr>
            <w:r>
              <w:rPr>
                <w:color w:val="333333"/>
                <w:sz w:val="18"/>
              </w:rPr>
              <w:t>36.84%</w:t>
            </w:r>
          </w:p>
        </w:tc>
        <w:tc>
          <w:tcPr>
            <w:tcW w:w="1212" w:type="dxa"/>
            <w:tcBorders>
              <w:top w:val="single" w:sz="4" w:space="0" w:color="000000"/>
              <w:left w:val="single" w:sz="4" w:space="0" w:color="000000"/>
              <w:bottom w:val="single" w:sz="4" w:space="0" w:color="000000"/>
              <w:right w:val="single" w:sz="4" w:space="0" w:color="000000"/>
            </w:tcBorders>
          </w:tcPr>
          <w:p>
            <w:pPr/>
          </w:p>
        </w:tc>
        <w:tc>
          <w:tcPr>
            <w:tcW w:w="1212" w:type="dxa"/>
            <w:tcBorders>
              <w:top w:val="single" w:sz="4" w:space="0" w:color="000000"/>
              <w:left w:val="single" w:sz="4" w:space="0" w:color="000000"/>
              <w:bottom w:val="single" w:sz="4" w:space="0" w:color="000000"/>
              <w:right w:val="single" w:sz="4" w:space="0" w:color="000000"/>
            </w:tcBorders>
          </w:tcPr>
          <w:p>
            <w:pPr/>
          </w:p>
        </w:tc>
        <w:tc>
          <w:tcPr>
            <w:tcW w:w="1213" w:type="dxa"/>
            <w:tcBorders>
              <w:top w:val="single" w:sz="4" w:space="0" w:color="000000"/>
              <w:left w:val="single" w:sz="4" w:space="0" w:color="000000"/>
              <w:bottom w:val="single" w:sz="4" w:space="0" w:color="000000"/>
            </w:tcBorders>
          </w:tcPr>
          <w:p>
            <w:pPr>
              <w:pStyle w:val="TableParagraph"/>
              <w:spacing w:line="203" w:lineRule="exact"/>
              <w:ind w:left="227" w:right="220"/>
              <w:rPr>
                <w:sz w:val="18"/>
              </w:rPr>
            </w:pPr>
            <w:r>
              <w:rPr>
                <w:sz w:val="18"/>
              </w:rPr>
              <w:t>43.66%</w:t>
            </w:r>
          </w:p>
        </w:tc>
      </w:tr>
    </w:tbl>
    <w:p>
      <w:pPr>
        <w:spacing w:after="0" w:line="203" w:lineRule="exact"/>
        <w:rPr>
          <w:sz w:val="18"/>
        </w:rPr>
        <w:sectPr>
          <w:pgSz w:w="12240" w:h="15840"/>
          <w:pgMar w:header="0" w:footer="975" w:top="1420" w:bottom="1160" w:left="1720" w:right="1720"/>
        </w:sectPr>
      </w:pPr>
    </w:p>
    <w:tbl>
      <w:tblPr>
        <w:tblW w:w="0" w:type="auto"/>
        <w:jc w:val="left"/>
        <w:tblInd w:w="6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5"/>
        <w:gridCol w:w="2425"/>
        <w:gridCol w:w="1212"/>
        <w:gridCol w:w="1212"/>
        <w:gridCol w:w="1212"/>
        <w:gridCol w:w="1213"/>
      </w:tblGrid>
      <w:tr>
        <w:trPr>
          <w:trHeight w:val="630" w:hRule="exact"/>
        </w:trPr>
        <w:tc>
          <w:tcPr>
            <w:tcW w:w="7749" w:type="dxa"/>
            <w:gridSpan w:val="6"/>
            <w:tcBorders>
              <w:left w:val="single" w:sz="8" w:space="0" w:color="000000"/>
              <w:right w:val="single" w:sz="8" w:space="0" w:color="000000"/>
            </w:tcBorders>
            <w:shd w:val="clear" w:color="auto" w:fill="92D050"/>
          </w:tcPr>
          <w:p>
            <w:pPr>
              <w:pStyle w:val="TableParagraph"/>
              <w:spacing w:line="360" w:lineRule="auto"/>
              <w:ind w:left="3125" w:hanging="2893"/>
              <w:jc w:val="left"/>
              <w:rPr>
                <w:b/>
                <w:sz w:val="18"/>
              </w:rPr>
            </w:pPr>
            <w:r>
              <w:rPr>
                <w:b/>
                <w:sz w:val="18"/>
              </w:rPr>
              <w:t>Tabla3.10. Evaluaciones de cumplimiento de la ley de transparencia realizadas por el INFOEM (finaliza)</w:t>
            </w:r>
          </w:p>
        </w:tc>
      </w:tr>
      <w:tr>
        <w:trPr>
          <w:trHeight w:val="322" w:hRule="exact"/>
        </w:trPr>
        <w:tc>
          <w:tcPr>
            <w:tcW w:w="475" w:type="dxa"/>
            <w:tcBorders>
              <w:left w:val="single" w:sz="8" w:space="0" w:color="000000"/>
            </w:tcBorders>
            <w:shd w:val="clear" w:color="auto" w:fill="92D050"/>
          </w:tcPr>
          <w:p>
            <w:pPr>
              <w:pStyle w:val="TableParagraph"/>
              <w:spacing w:line="199" w:lineRule="exact"/>
              <w:ind w:right="84"/>
              <w:jc w:val="right"/>
              <w:rPr>
                <w:b/>
                <w:sz w:val="18"/>
              </w:rPr>
            </w:pPr>
            <w:r>
              <w:rPr>
                <w:b/>
                <w:sz w:val="18"/>
              </w:rPr>
              <w:t>No.</w:t>
            </w:r>
          </w:p>
        </w:tc>
        <w:tc>
          <w:tcPr>
            <w:tcW w:w="2425" w:type="dxa"/>
            <w:shd w:val="clear" w:color="auto" w:fill="92D050"/>
          </w:tcPr>
          <w:p>
            <w:pPr>
              <w:pStyle w:val="TableParagraph"/>
              <w:spacing w:line="199" w:lineRule="exact"/>
              <w:ind w:left="789"/>
              <w:jc w:val="left"/>
              <w:rPr>
                <w:b/>
                <w:sz w:val="18"/>
              </w:rPr>
            </w:pPr>
            <w:r>
              <w:rPr>
                <w:b/>
                <w:sz w:val="18"/>
              </w:rPr>
              <w:t>Municipio</w:t>
            </w:r>
          </w:p>
        </w:tc>
        <w:tc>
          <w:tcPr>
            <w:tcW w:w="1212" w:type="dxa"/>
            <w:shd w:val="clear" w:color="auto" w:fill="92D050"/>
          </w:tcPr>
          <w:p>
            <w:pPr>
              <w:pStyle w:val="TableParagraph"/>
              <w:spacing w:line="199" w:lineRule="exact"/>
              <w:ind w:left="227" w:right="220"/>
              <w:rPr>
                <w:b/>
                <w:sz w:val="18"/>
              </w:rPr>
            </w:pPr>
            <w:r>
              <w:rPr>
                <w:b/>
                <w:sz w:val="18"/>
              </w:rPr>
              <w:t>2012</w:t>
            </w:r>
          </w:p>
        </w:tc>
        <w:tc>
          <w:tcPr>
            <w:tcW w:w="1212" w:type="dxa"/>
            <w:shd w:val="clear" w:color="auto" w:fill="92D050"/>
          </w:tcPr>
          <w:p>
            <w:pPr>
              <w:pStyle w:val="TableParagraph"/>
              <w:spacing w:line="199" w:lineRule="exact"/>
              <w:ind w:left="227" w:right="220"/>
              <w:rPr>
                <w:b/>
                <w:sz w:val="18"/>
              </w:rPr>
            </w:pPr>
            <w:r>
              <w:rPr>
                <w:b/>
                <w:sz w:val="18"/>
              </w:rPr>
              <w:t>2013</w:t>
            </w:r>
          </w:p>
        </w:tc>
        <w:tc>
          <w:tcPr>
            <w:tcW w:w="1212" w:type="dxa"/>
            <w:shd w:val="clear" w:color="auto" w:fill="92D050"/>
          </w:tcPr>
          <w:p>
            <w:pPr>
              <w:pStyle w:val="TableParagraph"/>
              <w:spacing w:line="199" w:lineRule="exact"/>
              <w:ind w:left="227" w:right="220"/>
              <w:rPr>
                <w:b/>
                <w:sz w:val="18"/>
              </w:rPr>
            </w:pPr>
            <w:r>
              <w:rPr>
                <w:b/>
                <w:sz w:val="18"/>
              </w:rPr>
              <w:t>2014</w:t>
            </w:r>
          </w:p>
        </w:tc>
        <w:tc>
          <w:tcPr>
            <w:tcW w:w="1213" w:type="dxa"/>
            <w:tcBorders>
              <w:right w:val="single" w:sz="8" w:space="0" w:color="000000"/>
            </w:tcBorders>
            <w:shd w:val="clear" w:color="auto" w:fill="92D050"/>
          </w:tcPr>
          <w:p>
            <w:pPr>
              <w:pStyle w:val="TableParagraph"/>
              <w:spacing w:line="199" w:lineRule="exact"/>
              <w:ind w:left="227" w:right="216"/>
              <w:rPr>
                <w:b/>
                <w:sz w:val="18"/>
              </w:rPr>
            </w:pPr>
            <w:r>
              <w:rPr>
                <w:b/>
                <w:sz w:val="18"/>
              </w:rPr>
              <w:t>2015</w:t>
            </w:r>
          </w:p>
        </w:tc>
      </w:tr>
      <w:tr>
        <w:trPr>
          <w:trHeight w:val="319" w:hRule="exact"/>
        </w:trPr>
        <w:tc>
          <w:tcPr>
            <w:tcW w:w="475" w:type="dxa"/>
            <w:tcBorders>
              <w:left w:val="single" w:sz="8" w:space="0" w:color="000000"/>
            </w:tcBorders>
          </w:tcPr>
          <w:p>
            <w:pPr>
              <w:pStyle w:val="TableParagraph"/>
              <w:spacing w:line="203" w:lineRule="exact"/>
              <w:ind w:right="77"/>
              <w:jc w:val="right"/>
              <w:rPr>
                <w:sz w:val="18"/>
              </w:rPr>
            </w:pPr>
            <w:r>
              <w:rPr>
                <w:w w:val="95"/>
                <w:sz w:val="18"/>
              </w:rPr>
              <w:t>101</w:t>
            </w:r>
          </w:p>
        </w:tc>
        <w:tc>
          <w:tcPr>
            <w:tcW w:w="2425" w:type="dxa"/>
          </w:tcPr>
          <w:p>
            <w:pPr>
              <w:pStyle w:val="TableParagraph"/>
              <w:spacing w:line="203" w:lineRule="exact"/>
              <w:ind w:left="67"/>
              <w:jc w:val="left"/>
              <w:rPr>
                <w:sz w:val="18"/>
              </w:rPr>
            </w:pPr>
            <w:r>
              <w:rPr>
                <w:color w:val="181818"/>
                <w:sz w:val="18"/>
              </w:rPr>
              <w:t>Cuautitlán Izcalli</w:t>
            </w:r>
          </w:p>
        </w:tc>
        <w:tc>
          <w:tcPr>
            <w:tcW w:w="1212" w:type="dxa"/>
          </w:tcPr>
          <w:p>
            <w:pPr>
              <w:pStyle w:val="TableParagraph"/>
              <w:spacing w:line="203" w:lineRule="exact"/>
              <w:ind w:left="227" w:right="224"/>
              <w:rPr>
                <w:sz w:val="18"/>
              </w:rPr>
            </w:pPr>
            <w:r>
              <w:rPr>
                <w:color w:val="333333"/>
                <w:sz w:val="18"/>
              </w:rPr>
              <w:t>65.30%</w:t>
            </w:r>
          </w:p>
        </w:tc>
        <w:tc>
          <w:tcPr>
            <w:tcW w:w="1212" w:type="dxa"/>
          </w:tcPr>
          <w:p>
            <w:pPr/>
          </w:p>
        </w:tc>
        <w:tc>
          <w:tcPr>
            <w:tcW w:w="1212" w:type="dxa"/>
          </w:tcPr>
          <w:p>
            <w:pPr>
              <w:pStyle w:val="TableParagraph"/>
              <w:spacing w:line="203" w:lineRule="exact"/>
              <w:ind w:left="227" w:right="224"/>
              <w:rPr>
                <w:sz w:val="18"/>
              </w:rPr>
            </w:pPr>
            <w:r>
              <w:rPr>
                <w:sz w:val="18"/>
              </w:rPr>
              <w:t>100.00%</w:t>
            </w:r>
          </w:p>
        </w:tc>
        <w:tc>
          <w:tcPr>
            <w:tcW w:w="1213" w:type="dxa"/>
            <w:tcBorders>
              <w:right w:val="single" w:sz="8" w:space="0" w:color="000000"/>
            </w:tcBorders>
          </w:tcPr>
          <w:p>
            <w:pPr>
              <w:pStyle w:val="TableParagraph"/>
              <w:spacing w:line="203" w:lineRule="exact"/>
              <w:ind w:left="227" w:right="220"/>
              <w:rPr>
                <w:sz w:val="18"/>
              </w:rPr>
            </w:pPr>
            <w:r>
              <w:rPr>
                <w:sz w:val="18"/>
              </w:rPr>
              <w:t>97.61%</w:t>
            </w:r>
          </w:p>
        </w:tc>
      </w:tr>
      <w:tr>
        <w:trPr>
          <w:trHeight w:val="322" w:hRule="exact"/>
        </w:trPr>
        <w:tc>
          <w:tcPr>
            <w:tcW w:w="475" w:type="dxa"/>
            <w:tcBorders>
              <w:left w:val="single" w:sz="8" w:space="0" w:color="000000"/>
            </w:tcBorders>
          </w:tcPr>
          <w:p>
            <w:pPr>
              <w:pStyle w:val="TableParagraph"/>
              <w:spacing w:line="206" w:lineRule="exact"/>
              <w:ind w:right="77"/>
              <w:jc w:val="right"/>
              <w:rPr>
                <w:sz w:val="18"/>
              </w:rPr>
            </w:pPr>
            <w:r>
              <w:rPr>
                <w:w w:val="95"/>
                <w:sz w:val="18"/>
              </w:rPr>
              <w:t>102</w:t>
            </w:r>
          </w:p>
        </w:tc>
        <w:tc>
          <w:tcPr>
            <w:tcW w:w="2425" w:type="dxa"/>
          </w:tcPr>
          <w:p>
            <w:pPr>
              <w:pStyle w:val="TableParagraph"/>
              <w:spacing w:line="206" w:lineRule="exact"/>
              <w:ind w:left="67"/>
              <w:jc w:val="left"/>
              <w:rPr>
                <w:sz w:val="18"/>
              </w:rPr>
            </w:pPr>
            <w:r>
              <w:rPr>
                <w:color w:val="181818"/>
                <w:sz w:val="18"/>
              </w:rPr>
              <w:t>Valle de Chalco Solidaridad</w:t>
            </w:r>
          </w:p>
        </w:tc>
        <w:tc>
          <w:tcPr>
            <w:tcW w:w="1212" w:type="dxa"/>
          </w:tcPr>
          <w:p>
            <w:pPr>
              <w:pStyle w:val="TableParagraph"/>
              <w:spacing w:line="206" w:lineRule="exact"/>
              <w:ind w:left="227" w:right="222"/>
              <w:rPr>
                <w:sz w:val="18"/>
              </w:rPr>
            </w:pPr>
            <w:r>
              <w:rPr>
                <w:color w:val="333333"/>
                <w:sz w:val="18"/>
              </w:rPr>
              <w:t>7.60%</w:t>
            </w:r>
          </w:p>
        </w:tc>
        <w:tc>
          <w:tcPr>
            <w:tcW w:w="1212" w:type="dxa"/>
          </w:tcPr>
          <w:p>
            <w:pPr/>
          </w:p>
        </w:tc>
        <w:tc>
          <w:tcPr>
            <w:tcW w:w="1212" w:type="dxa"/>
          </w:tcPr>
          <w:p>
            <w:pPr/>
          </w:p>
        </w:tc>
        <w:tc>
          <w:tcPr>
            <w:tcW w:w="1213" w:type="dxa"/>
            <w:tcBorders>
              <w:right w:val="single" w:sz="8" w:space="0" w:color="000000"/>
            </w:tcBorders>
          </w:tcPr>
          <w:p>
            <w:pPr>
              <w:pStyle w:val="TableParagraph"/>
              <w:spacing w:line="206" w:lineRule="exact"/>
              <w:ind w:left="227" w:right="220"/>
              <w:rPr>
                <w:sz w:val="18"/>
              </w:rPr>
            </w:pPr>
            <w:r>
              <w:rPr>
                <w:sz w:val="18"/>
              </w:rPr>
              <w:t>35.42%</w:t>
            </w:r>
          </w:p>
        </w:tc>
      </w:tr>
      <w:tr>
        <w:trPr>
          <w:trHeight w:val="319" w:hRule="exact"/>
        </w:trPr>
        <w:tc>
          <w:tcPr>
            <w:tcW w:w="475" w:type="dxa"/>
            <w:tcBorders>
              <w:left w:val="single" w:sz="8" w:space="0" w:color="000000"/>
            </w:tcBorders>
          </w:tcPr>
          <w:p>
            <w:pPr>
              <w:pStyle w:val="TableParagraph"/>
              <w:spacing w:line="203" w:lineRule="exact"/>
              <w:ind w:right="77"/>
              <w:jc w:val="right"/>
              <w:rPr>
                <w:sz w:val="18"/>
              </w:rPr>
            </w:pPr>
            <w:r>
              <w:rPr>
                <w:w w:val="95"/>
                <w:sz w:val="18"/>
              </w:rPr>
              <w:t>103</w:t>
            </w:r>
          </w:p>
        </w:tc>
        <w:tc>
          <w:tcPr>
            <w:tcW w:w="2425" w:type="dxa"/>
          </w:tcPr>
          <w:p>
            <w:pPr>
              <w:pStyle w:val="TableParagraph"/>
              <w:spacing w:line="203" w:lineRule="exact"/>
              <w:ind w:left="67"/>
              <w:jc w:val="left"/>
              <w:rPr>
                <w:sz w:val="18"/>
              </w:rPr>
            </w:pPr>
            <w:r>
              <w:rPr>
                <w:color w:val="181818"/>
                <w:sz w:val="18"/>
              </w:rPr>
              <w:t>Luvianos</w:t>
            </w:r>
          </w:p>
        </w:tc>
        <w:tc>
          <w:tcPr>
            <w:tcW w:w="1212" w:type="dxa"/>
          </w:tcPr>
          <w:p>
            <w:pPr/>
          </w:p>
        </w:tc>
        <w:tc>
          <w:tcPr>
            <w:tcW w:w="1212" w:type="dxa"/>
          </w:tcPr>
          <w:p>
            <w:pPr/>
          </w:p>
        </w:tc>
        <w:tc>
          <w:tcPr>
            <w:tcW w:w="1212" w:type="dxa"/>
          </w:tcPr>
          <w:p>
            <w:pPr/>
          </w:p>
        </w:tc>
        <w:tc>
          <w:tcPr>
            <w:tcW w:w="1213" w:type="dxa"/>
            <w:tcBorders>
              <w:right w:val="single" w:sz="8" w:space="0" w:color="000000"/>
            </w:tcBorders>
          </w:tcPr>
          <w:p>
            <w:pPr>
              <w:pStyle w:val="TableParagraph"/>
              <w:spacing w:line="203" w:lineRule="exact"/>
              <w:ind w:left="227" w:right="217"/>
              <w:rPr>
                <w:sz w:val="18"/>
              </w:rPr>
            </w:pPr>
            <w:r>
              <w:rPr>
                <w:sz w:val="18"/>
              </w:rPr>
              <w:t>3.00%</w:t>
            </w:r>
          </w:p>
        </w:tc>
      </w:tr>
      <w:tr>
        <w:trPr>
          <w:trHeight w:val="322" w:hRule="exact"/>
        </w:trPr>
        <w:tc>
          <w:tcPr>
            <w:tcW w:w="475" w:type="dxa"/>
          </w:tcPr>
          <w:p>
            <w:pPr>
              <w:pStyle w:val="TableParagraph"/>
              <w:spacing w:line="206" w:lineRule="exact"/>
              <w:ind w:right="77"/>
              <w:jc w:val="right"/>
              <w:rPr>
                <w:sz w:val="18"/>
              </w:rPr>
            </w:pPr>
            <w:r>
              <w:rPr>
                <w:w w:val="95"/>
                <w:sz w:val="18"/>
              </w:rPr>
              <w:t>104</w:t>
            </w:r>
          </w:p>
        </w:tc>
        <w:tc>
          <w:tcPr>
            <w:tcW w:w="2425" w:type="dxa"/>
          </w:tcPr>
          <w:p>
            <w:pPr>
              <w:pStyle w:val="TableParagraph"/>
              <w:spacing w:line="206" w:lineRule="exact"/>
              <w:ind w:left="67"/>
              <w:jc w:val="left"/>
              <w:rPr>
                <w:sz w:val="18"/>
              </w:rPr>
            </w:pPr>
            <w:r>
              <w:rPr>
                <w:color w:val="181818"/>
                <w:sz w:val="18"/>
              </w:rPr>
              <w:t>San José del Rincón</w:t>
            </w:r>
          </w:p>
        </w:tc>
        <w:tc>
          <w:tcPr>
            <w:tcW w:w="1212" w:type="dxa"/>
          </w:tcPr>
          <w:p>
            <w:pPr>
              <w:pStyle w:val="TableParagraph"/>
              <w:spacing w:line="206" w:lineRule="exact"/>
              <w:ind w:left="227" w:right="224"/>
              <w:rPr>
                <w:sz w:val="18"/>
              </w:rPr>
            </w:pPr>
            <w:r>
              <w:rPr>
                <w:color w:val="333333"/>
                <w:sz w:val="18"/>
              </w:rPr>
              <w:t>61.53%</w:t>
            </w:r>
          </w:p>
        </w:tc>
        <w:tc>
          <w:tcPr>
            <w:tcW w:w="1212" w:type="dxa"/>
          </w:tcPr>
          <w:p>
            <w:pPr/>
          </w:p>
        </w:tc>
        <w:tc>
          <w:tcPr>
            <w:tcW w:w="1212" w:type="dxa"/>
          </w:tcPr>
          <w:p>
            <w:pPr/>
          </w:p>
        </w:tc>
        <w:tc>
          <w:tcPr>
            <w:tcW w:w="1213" w:type="dxa"/>
          </w:tcPr>
          <w:p>
            <w:pPr/>
          </w:p>
        </w:tc>
      </w:tr>
      <w:tr>
        <w:trPr>
          <w:trHeight w:val="325" w:hRule="exact"/>
        </w:trPr>
        <w:tc>
          <w:tcPr>
            <w:tcW w:w="475" w:type="dxa"/>
          </w:tcPr>
          <w:p>
            <w:pPr>
              <w:pStyle w:val="TableParagraph"/>
              <w:spacing w:line="206" w:lineRule="exact"/>
              <w:ind w:right="77"/>
              <w:jc w:val="right"/>
              <w:rPr>
                <w:sz w:val="18"/>
              </w:rPr>
            </w:pPr>
            <w:r>
              <w:rPr>
                <w:w w:val="95"/>
                <w:sz w:val="18"/>
              </w:rPr>
              <w:t>105</w:t>
            </w:r>
          </w:p>
        </w:tc>
        <w:tc>
          <w:tcPr>
            <w:tcW w:w="2425" w:type="dxa"/>
          </w:tcPr>
          <w:p>
            <w:pPr>
              <w:pStyle w:val="TableParagraph"/>
              <w:spacing w:line="206" w:lineRule="exact"/>
              <w:ind w:left="67"/>
              <w:jc w:val="left"/>
              <w:rPr>
                <w:sz w:val="18"/>
              </w:rPr>
            </w:pPr>
            <w:r>
              <w:rPr>
                <w:color w:val="181818"/>
                <w:sz w:val="18"/>
              </w:rPr>
              <w:t>Tonanitla</w:t>
            </w:r>
          </w:p>
        </w:tc>
        <w:tc>
          <w:tcPr>
            <w:tcW w:w="1212" w:type="dxa"/>
          </w:tcPr>
          <w:p>
            <w:pPr>
              <w:pStyle w:val="TableParagraph"/>
              <w:spacing w:before="1"/>
              <w:ind w:left="227" w:right="224"/>
              <w:rPr>
                <w:sz w:val="18"/>
              </w:rPr>
            </w:pPr>
            <w:r>
              <w:rPr>
                <w:color w:val="333333"/>
                <w:sz w:val="18"/>
              </w:rPr>
              <w:t>19.20%</w:t>
            </w:r>
          </w:p>
        </w:tc>
        <w:tc>
          <w:tcPr>
            <w:tcW w:w="1212" w:type="dxa"/>
          </w:tcPr>
          <w:p>
            <w:pPr/>
          </w:p>
        </w:tc>
        <w:tc>
          <w:tcPr>
            <w:tcW w:w="1212" w:type="dxa"/>
          </w:tcPr>
          <w:p>
            <w:pPr/>
          </w:p>
        </w:tc>
        <w:tc>
          <w:tcPr>
            <w:tcW w:w="1213" w:type="dxa"/>
          </w:tcPr>
          <w:p>
            <w:pPr/>
          </w:p>
        </w:tc>
      </w:tr>
      <w:tr>
        <w:trPr>
          <w:trHeight w:val="630" w:hRule="exact"/>
        </w:trPr>
        <w:tc>
          <w:tcPr>
            <w:tcW w:w="2900" w:type="dxa"/>
            <w:gridSpan w:val="2"/>
            <w:shd w:val="clear" w:color="auto" w:fill="92D050"/>
          </w:tcPr>
          <w:p>
            <w:pPr>
              <w:pStyle w:val="TableParagraph"/>
              <w:spacing w:line="360" w:lineRule="auto"/>
              <w:ind w:left="67"/>
              <w:jc w:val="left"/>
              <w:rPr>
                <w:b/>
                <w:sz w:val="18"/>
              </w:rPr>
            </w:pPr>
            <w:r>
              <w:rPr>
                <w:b/>
                <w:color w:val="181818"/>
                <w:sz w:val="18"/>
              </w:rPr>
              <w:t>% Promedio de cumplimiento de la ley de transparencia</w:t>
            </w:r>
          </w:p>
        </w:tc>
        <w:tc>
          <w:tcPr>
            <w:tcW w:w="1212" w:type="dxa"/>
            <w:shd w:val="clear" w:color="auto" w:fill="92D050"/>
          </w:tcPr>
          <w:p>
            <w:pPr>
              <w:pStyle w:val="TableParagraph"/>
              <w:spacing w:before="3"/>
              <w:jc w:val="left"/>
              <w:rPr>
                <w:sz w:val="26"/>
              </w:rPr>
            </w:pPr>
          </w:p>
          <w:p>
            <w:pPr>
              <w:pStyle w:val="TableParagraph"/>
              <w:ind w:left="227" w:right="222"/>
              <w:rPr>
                <w:b/>
                <w:sz w:val="18"/>
              </w:rPr>
            </w:pPr>
            <w:r>
              <w:rPr>
                <w:b/>
                <w:color w:val="333333"/>
                <w:sz w:val="18"/>
              </w:rPr>
              <w:t>26.88%</w:t>
            </w:r>
          </w:p>
        </w:tc>
        <w:tc>
          <w:tcPr>
            <w:tcW w:w="1212" w:type="dxa"/>
            <w:shd w:val="clear" w:color="auto" w:fill="92D050"/>
          </w:tcPr>
          <w:p>
            <w:pPr>
              <w:pStyle w:val="TableParagraph"/>
              <w:spacing w:before="146"/>
              <w:ind w:left="227" w:right="222"/>
              <w:rPr>
                <w:b/>
                <w:sz w:val="18"/>
              </w:rPr>
            </w:pPr>
            <w:r>
              <w:rPr>
                <w:b/>
                <w:sz w:val="18"/>
              </w:rPr>
              <w:t>79.74%</w:t>
            </w:r>
          </w:p>
        </w:tc>
        <w:tc>
          <w:tcPr>
            <w:tcW w:w="1212" w:type="dxa"/>
            <w:shd w:val="clear" w:color="auto" w:fill="92D050"/>
          </w:tcPr>
          <w:p>
            <w:pPr>
              <w:pStyle w:val="TableParagraph"/>
              <w:spacing w:before="146"/>
              <w:ind w:left="227" w:right="222"/>
              <w:rPr>
                <w:b/>
                <w:sz w:val="18"/>
              </w:rPr>
            </w:pPr>
            <w:r>
              <w:rPr>
                <w:b/>
                <w:sz w:val="18"/>
              </w:rPr>
              <w:t>63.12%</w:t>
            </w:r>
          </w:p>
        </w:tc>
        <w:tc>
          <w:tcPr>
            <w:tcW w:w="1213" w:type="dxa"/>
            <w:shd w:val="clear" w:color="auto" w:fill="92D050"/>
          </w:tcPr>
          <w:p>
            <w:pPr>
              <w:pStyle w:val="TableParagraph"/>
              <w:spacing w:before="146"/>
              <w:ind w:left="329" w:right="322"/>
              <w:rPr>
                <w:b/>
                <w:sz w:val="18"/>
              </w:rPr>
            </w:pPr>
            <w:r>
              <w:rPr>
                <w:b/>
                <w:sz w:val="18"/>
              </w:rPr>
              <w:t>33.4%</w:t>
            </w:r>
          </w:p>
        </w:tc>
      </w:tr>
    </w:tbl>
    <w:p>
      <w:pPr>
        <w:spacing w:before="15"/>
        <w:ind w:left="770" w:right="6" w:firstLine="0"/>
        <w:jc w:val="left"/>
        <w:rPr>
          <w:sz w:val="16"/>
        </w:rPr>
      </w:pPr>
      <w:r>
        <w:rPr>
          <w:sz w:val="16"/>
        </w:rPr>
        <w:t>Fuente: Elaboración propia con datos proporcionados por el INFOEM.</w:t>
      </w:r>
    </w:p>
    <w:p>
      <w:pPr>
        <w:pStyle w:val="BodyText"/>
        <w:rPr>
          <w:sz w:val="20"/>
        </w:rPr>
      </w:pPr>
    </w:p>
    <w:p>
      <w:pPr>
        <w:pStyle w:val="BodyText"/>
        <w:rPr>
          <w:sz w:val="20"/>
        </w:rPr>
      </w:pPr>
    </w:p>
    <w:p>
      <w:pPr>
        <w:pStyle w:val="BodyText"/>
        <w:spacing w:before="8"/>
        <w:rPr>
          <w:sz w:val="19"/>
        </w:rPr>
      </w:pPr>
    </w:p>
    <w:p>
      <w:pPr>
        <w:pStyle w:val="BodyText"/>
        <w:spacing w:line="360" w:lineRule="auto"/>
        <w:ind w:left="108" w:right="116"/>
        <w:jc w:val="both"/>
      </w:pPr>
      <w:r>
        <w:rPr/>
        <w:t>En la tabla anterior se puede apreciar que no hay consistencia en cuanto a las evaluaciones realizadas por el INFOEM, ya que no todos los municipios han sido evaluados de manera permanente. Esta situación dificulta dar seguimiento a la evolución de los municipios respecto al cumplimiento de la ley de transparencia.</w:t>
      </w:r>
    </w:p>
    <w:p>
      <w:pPr>
        <w:pStyle w:val="BodyText"/>
      </w:pPr>
    </w:p>
    <w:p>
      <w:pPr>
        <w:pStyle w:val="BodyText"/>
      </w:pPr>
    </w:p>
    <w:p>
      <w:pPr>
        <w:pStyle w:val="BodyText"/>
        <w:spacing w:line="360" w:lineRule="auto" w:before="187"/>
        <w:ind w:left="108" w:right="115"/>
        <w:jc w:val="both"/>
      </w:pPr>
      <w:r>
        <w:rPr/>
        <w:t>En el año 2012 se evaluaron 60 municipios, los cuales obtuvieron un promedio de 26.88% de cumplimiento de cumplimiento de la ley de transparencia. Destaca el municipio de Toluca con 100%, seguido de Huixquilucan con 96.1% y Tlalnepantla de</w:t>
      </w:r>
      <w:r>
        <w:rPr>
          <w:spacing w:val="-18"/>
        </w:rPr>
        <w:t> </w:t>
      </w:r>
      <w:r>
        <w:rPr/>
        <w:t>Baz</w:t>
      </w:r>
      <w:r>
        <w:rPr>
          <w:spacing w:val="-21"/>
        </w:rPr>
        <w:t> </w:t>
      </w:r>
      <w:r>
        <w:rPr/>
        <w:t>con</w:t>
      </w:r>
      <w:r>
        <w:rPr>
          <w:spacing w:val="-18"/>
        </w:rPr>
        <w:t> </w:t>
      </w:r>
      <w:r>
        <w:rPr/>
        <w:t>88.6%</w:t>
      </w:r>
      <w:r>
        <w:rPr>
          <w:spacing w:val="-19"/>
        </w:rPr>
        <w:t> </w:t>
      </w:r>
      <w:r>
        <w:rPr/>
        <w:t>como</w:t>
      </w:r>
      <w:r>
        <w:rPr>
          <w:spacing w:val="-18"/>
        </w:rPr>
        <w:t> </w:t>
      </w:r>
      <w:r>
        <w:rPr/>
        <w:t>los</w:t>
      </w:r>
      <w:r>
        <w:rPr>
          <w:spacing w:val="-18"/>
        </w:rPr>
        <w:t> </w:t>
      </w:r>
      <w:r>
        <w:rPr/>
        <w:t>tres</w:t>
      </w:r>
      <w:r>
        <w:rPr>
          <w:spacing w:val="-19"/>
        </w:rPr>
        <w:t> </w:t>
      </w:r>
      <w:r>
        <w:rPr/>
        <w:t>municipios</w:t>
      </w:r>
      <w:r>
        <w:rPr>
          <w:spacing w:val="-18"/>
        </w:rPr>
        <w:t> </w:t>
      </w:r>
      <w:r>
        <w:rPr/>
        <w:t>que</w:t>
      </w:r>
      <w:r>
        <w:rPr>
          <w:spacing w:val="-18"/>
        </w:rPr>
        <w:t> </w:t>
      </w:r>
      <w:r>
        <w:rPr/>
        <w:t>más</w:t>
      </w:r>
      <w:r>
        <w:rPr>
          <w:spacing w:val="-19"/>
        </w:rPr>
        <w:t> </w:t>
      </w:r>
      <w:r>
        <w:rPr/>
        <w:t>cumplen</w:t>
      </w:r>
      <w:r>
        <w:rPr>
          <w:spacing w:val="-18"/>
        </w:rPr>
        <w:t> </w:t>
      </w:r>
      <w:r>
        <w:rPr/>
        <w:t>la</w:t>
      </w:r>
      <w:r>
        <w:rPr>
          <w:spacing w:val="-18"/>
        </w:rPr>
        <w:t> </w:t>
      </w:r>
      <w:r>
        <w:rPr/>
        <w:t>ley</w:t>
      </w:r>
      <w:r>
        <w:rPr>
          <w:spacing w:val="-21"/>
        </w:rPr>
        <w:t> </w:t>
      </w:r>
      <w:r>
        <w:rPr/>
        <w:t>de</w:t>
      </w:r>
      <w:r>
        <w:rPr>
          <w:spacing w:val="-18"/>
        </w:rPr>
        <w:t> </w:t>
      </w:r>
      <w:r>
        <w:rPr/>
        <w:t>transparencia. De manera contrastante cabe hacer mención que 10 municipios reportaron 3.8% y 40 tenían</w:t>
      </w:r>
      <w:r>
        <w:rPr>
          <w:spacing w:val="-7"/>
        </w:rPr>
        <w:t> </w:t>
      </w:r>
      <w:r>
        <w:rPr/>
        <w:t>cero.</w:t>
      </w:r>
    </w:p>
    <w:p>
      <w:pPr>
        <w:pStyle w:val="BodyText"/>
      </w:pPr>
    </w:p>
    <w:p>
      <w:pPr>
        <w:pStyle w:val="BodyText"/>
      </w:pPr>
    </w:p>
    <w:p>
      <w:pPr>
        <w:pStyle w:val="BodyText"/>
        <w:spacing w:line="360" w:lineRule="auto" w:before="185"/>
        <w:ind w:left="108" w:right="120"/>
        <w:jc w:val="both"/>
      </w:pPr>
      <w:r>
        <w:rPr/>
        <w:t>En el año 2013 se evaluaron seis municipios y obtuvieron un promedio de 79.74% de cumplimiento de la ley de transparencia. Destacando Huixquilucan con 100% y Toluca con 97.5%. De manera contrastante se encuentran Acambay con 78.5% y Villa de Allende con 16.4%.</w:t>
      </w:r>
    </w:p>
    <w:p>
      <w:pPr>
        <w:pStyle w:val="BodyText"/>
      </w:pPr>
    </w:p>
    <w:p>
      <w:pPr>
        <w:pStyle w:val="BodyText"/>
      </w:pPr>
    </w:p>
    <w:p>
      <w:pPr>
        <w:pStyle w:val="BodyText"/>
        <w:spacing w:line="360" w:lineRule="auto" w:before="185"/>
        <w:ind w:left="108" w:right="121"/>
        <w:jc w:val="both"/>
      </w:pPr>
      <w:r>
        <w:rPr/>
        <w:t>En el año 2014 se evaluaron 31 municipios, los cuales obtuvieron un promedio de 63.12% de cumplimiento de la ley de transparencia. Destacando Cuautitlán    Izcalli</w:t>
      </w:r>
    </w:p>
    <w:p>
      <w:pPr>
        <w:spacing w:after="0" w:line="360" w:lineRule="auto"/>
        <w:jc w:val="both"/>
        <w:sectPr>
          <w:pgSz w:w="12240" w:h="15840"/>
          <w:pgMar w:header="0" w:footer="975" w:top="1420" w:bottom="1160" w:left="1500" w:right="1580"/>
        </w:sectPr>
      </w:pPr>
    </w:p>
    <w:p>
      <w:pPr>
        <w:pStyle w:val="BodyText"/>
        <w:spacing w:line="362" w:lineRule="auto" w:before="54"/>
        <w:ind w:left="108" w:right="107"/>
        <w:jc w:val="both"/>
      </w:pPr>
      <w:r>
        <w:rPr/>
        <w:t>con 100% seguido de Tlalnepantla y Tenancingo con 97.6%. En sentido opuesto se encuentran Atizapán con 2.3% y San Antonio la Isla con cero.</w:t>
      </w:r>
    </w:p>
    <w:p>
      <w:pPr>
        <w:pStyle w:val="BodyText"/>
      </w:pPr>
    </w:p>
    <w:p>
      <w:pPr>
        <w:pStyle w:val="BodyText"/>
      </w:pPr>
    </w:p>
    <w:p>
      <w:pPr>
        <w:pStyle w:val="BodyText"/>
        <w:spacing w:line="360" w:lineRule="auto" w:before="182"/>
        <w:ind w:left="108" w:right="99"/>
        <w:jc w:val="both"/>
      </w:pPr>
      <w:r>
        <w:rPr/>
        <w:t>En el año 2015 se evaluaron 72 municipios, los cuales obtuvieron un promedio de 33.4% de cumplimiento de la ley de transparencia. Destacando Huixquilucan con 100%, Cuautitlán Izcalli con 97.6% y Zinacantepec con 93. En sentido opuesto se encuentran Luvianos e Ixtapan del Oro con 3% y 13 municipios con cero.</w:t>
      </w:r>
    </w:p>
    <w:p>
      <w:pPr>
        <w:pStyle w:val="BodyText"/>
      </w:pPr>
    </w:p>
    <w:p>
      <w:pPr>
        <w:pStyle w:val="BodyText"/>
      </w:pPr>
    </w:p>
    <w:p>
      <w:pPr>
        <w:pStyle w:val="BodyText"/>
        <w:spacing w:line="360" w:lineRule="auto" w:before="186"/>
        <w:ind w:left="108" w:right="100"/>
        <w:jc w:val="both"/>
      </w:pPr>
      <w:r>
        <w:rPr/>
        <w:t>Ante esta situación se puede observar cómo algunos de los municipios han logrado obtener 100% sin embargo, ya que Salvo el caso de Huixquilucan ninguno volvió a repetir esa condición. De igual manera es importante destacar que en promedio los municipios reflejaron su porcentaje más alto en 2013 con 79.5% y la más baja con 26.8% tal como se puede ver en la siguiente gráfica:</w:t>
      </w:r>
    </w:p>
    <w:p>
      <w:pPr>
        <w:pStyle w:val="BodyText"/>
        <w:rPr>
          <w:sz w:val="20"/>
        </w:rPr>
      </w:pPr>
    </w:p>
    <w:p>
      <w:pPr>
        <w:pStyle w:val="BodyText"/>
        <w:rPr>
          <w:sz w:val="20"/>
        </w:rPr>
      </w:pPr>
    </w:p>
    <w:p>
      <w:pPr>
        <w:pStyle w:val="BodyText"/>
        <w:spacing w:before="1"/>
        <w:rPr>
          <w:sz w:val="13"/>
        </w:rPr>
      </w:pPr>
      <w:r>
        <w:rPr/>
        <w:pict>
          <v:group style="position:absolute;margin-left:115.275002pt;margin-top:9.510847pt;width:360.75pt;height:216.75pt;mso-position-horizontal-relative:page;mso-position-vertical-relative:paragraph;z-index:5752;mso-wrap-distance-left:0;mso-wrap-distance-right:0" coordorigin="2306,190" coordsize="7215,4335">
            <v:line style="position:absolute" from="3149,3734" to="9293,3734" stroked="true" strokeweight=".75pt" strokecolor="#d9d9d9"/>
            <v:line style="position:absolute" from="3149,3415" to="9293,3415" stroked="true" strokeweight=".75pt" strokecolor="#d9d9d9"/>
            <v:line style="position:absolute" from="3149,3098" to="9293,3098" stroked="true" strokeweight=".75pt" strokecolor="#d9d9d9"/>
            <v:line style="position:absolute" from="3149,2460" to="9293,2460" stroked="true" strokeweight=".75pt" strokecolor="#d9d9d9"/>
            <v:line style="position:absolute" from="3149,2141" to="9293,2141" stroked="true" strokeweight=".75pt" strokecolor="#d9d9d9"/>
            <v:line style="position:absolute" from="3149,1502" to="9293,1502" stroked="true" strokeweight=".75pt" strokecolor="#d9d9d9"/>
            <v:shape style="position:absolute;left:3917;top:1517;width:4609;height:1680" coordorigin="3917,1517" coordsize="4609,1680" path="m3917,3197l5453,1517,6989,2040,8525,2988e" filled="false" stroked="true" strokeweight="2.25pt" strokecolor="#5b9bd4">
              <v:path arrowok="t"/>
            </v:shape>
            <v:shape style="position:absolute;left:3859;top:3140;width:115;height:115" type="#_x0000_t75" stroked="false">
              <v:imagedata r:id="rId81" o:title=""/>
            </v:shape>
            <v:shape style="position:absolute;left:5395;top:1460;width:115;height:115" type="#_x0000_t75" stroked="false">
              <v:imagedata r:id="rId81" o:title=""/>
            </v:shape>
            <v:shape style="position:absolute;left:6931;top:1983;width:115;height:115" type="#_x0000_t75" stroked="false">
              <v:imagedata r:id="rId79" o:title=""/>
            </v:shape>
            <v:shape style="position:absolute;left:8467;top:2931;width:115;height:115" type="#_x0000_t75" stroked="false">
              <v:imagedata r:id="rId78" o:title=""/>
            </v:shape>
            <v:line style="position:absolute" from="3149,1184" to="9293,1184" stroked="true" strokeweight=".75pt" strokecolor="#d9d9d9"/>
            <v:line style="position:absolute" from="3149,4054" to="9293,4054" stroked="true" strokeweight=".75pt" strokecolor="#d9d9d9"/>
            <v:shape style="position:absolute;left:2313;top:198;width:7200;height:4320" coordorigin="2313,198" coordsize="7200,4320" path="m2313,398l2329,320,2372,256,2435,213,2513,198,9313,198,9391,213,9454,256,9497,320,9513,398,9513,4318,9497,4396,9454,4459,9391,4502,9313,4518,2513,4518,2435,4502,2372,4459,2329,4396,2313,4318,2313,398xe" filled="false" stroked="true" strokeweight=".75pt" strokecolor="#d9d9d9">
              <v:path arrowok="t"/>
            </v:shape>
            <v:shape style="position:absolute;left:3425;top:397;width:4972;height:533" type="#_x0000_t202" filled="false" stroked="false">
              <v:textbox inset="0,0,0,0">
                <w:txbxContent>
                  <w:p>
                    <w:pPr>
                      <w:spacing w:line="244" w:lineRule="exact" w:before="0"/>
                      <w:ind w:left="21" w:right="-3" w:hanging="22"/>
                      <w:jc w:val="left"/>
                      <w:rPr>
                        <w:rFonts w:ascii="Calibri" w:hAnsi="Calibri"/>
                        <w:sz w:val="24"/>
                      </w:rPr>
                    </w:pPr>
                    <w:r>
                      <w:rPr>
                        <w:rFonts w:ascii="Calibri" w:hAnsi="Calibri"/>
                        <w:color w:val="585858"/>
                        <w:sz w:val="24"/>
                      </w:rPr>
                      <w:t>Gráfica 3.5. Promedio de cumplimiento de la ley</w:t>
                    </w:r>
                    <w:r>
                      <w:rPr>
                        <w:rFonts w:ascii="Calibri" w:hAnsi="Calibri"/>
                        <w:color w:val="585858"/>
                        <w:spacing w:val="-35"/>
                        <w:sz w:val="24"/>
                      </w:rPr>
                      <w:t> </w:t>
                    </w:r>
                    <w:r>
                      <w:rPr>
                        <w:rFonts w:ascii="Calibri" w:hAnsi="Calibri"/>
                        <w:color w:val="585858"/>
                        <w:sz w:val="24"/>
                      </w:rPr>
                      <w:t>de</w:t>
                    </w:r>
                  </w:p>
                  <w:p>
                    <w:pPr>
                      <w:spacing w:line="289" w:lineRule="exact" w:before="0"/>
                      <w:ind w:left="21" w:right="-19" w:firstLine="0"/>
                      <w:jc w:val="left"/>
                      <w:rPr>
                        <w:rFonts w:ascii="Calibri"/>
                        <w:sz w:val="24"/>
                      </w:rPr>
                    </w:pPr>
                    <w:r>
                      <w:rPr>
                        <w:rFonts w:ascii="Calibri"/>
                        <w:color w:val="585858"/>
                        <w:sz w:val="24"/>
                      </w:rPr>
                      <w:t>transparencia 2012-2015 realizadas por el INFOEM</w:t>
                    </w:r>
                  </w:p>
                </w:txbxContent>
              </v:textbox>
              <w10:wrap type="none"/>
            </v:shape>
            <v:shape style="position:absolute;left:2444;top:1101;width:540;height:3051" type="#_x0000_t202" filled="false" stroked="false">
              <v:textbox inset="0,0,0,0">
                <w:txbxContent>
                  <w:p>
                    <w:pPr>
                      <w:spacing w:line="183" w:lineRule="exact" w:before="0"/>
                      <w:ind w:left="0" w:right="-20" w:firstLine="0"/>
                      <w:jc w:val="left"/>
                      <w:rPr>
                        <w:rFonts w:ascii="Calibri"/>
                        <w:sz w:val="18"/>
                      </w:rPr>
                    </w:pPr>
                    <w:r>
                      <w:rPr>
                        <w:rFonts w:ascii="Calibri"/>
                        <w:color w:val="585858"/>
                        <w:sz w:val="18"/>
                      </w:rPr>
                      <w:t>90.00%</w:t>
                    </w:r>
                  </w:p>
                  <w:p>
                    <w:pPr>
                      <w:spacing w:before="99"/>
                      <w:ind w:left="0" w:right="-20" w:firstLine="0"/>
                      <w:jc w:val="left"/>
                      <w:rPr>
                        <w:rFonts w:ascii="Calibri"/>
                        <w:sz w:val="18"/>
                      </w:rPr>
                    </w:pPr>
                    <w:r>
                      <w:rPr>
                        <w:rFonts w:ascii="Calibri"/>
                        <w:color w:val="585858"/>
                        <w:sz w:val="18"/>
                      </w:rPr>
                      <w:t>80.00%</w:t>
                    </w:r>
                  </w:p>
                  <w:p>
                    <w:pPr>
                      <w:spacing w:before="99"/>
                      <w:ind w:left="0" w:right="-20" w:firstLine="0"/>
                      <w:jc w:val="left"/>
                      <w:rPr>
                        <w:rFonts w:ascii="Calibri"/>
                        <w:sz w:val="18"/>
                      </w:rPr>
                    </w:pPr>
                    <w:r>
                      <w:rPr>
                        <w:rFonts w:ascii="Calibri"/>
                        <w:color w:val="585858"/>
                        <w:sz w:val="18"/>
                      </w:rPr>
                      <w:t>70.00%</w:t>
                    </w:r>
                  </w:p>
                  <w:p>
                    <w:pPr>
                      <w:spacing w:before="99"/>
                      <w:ind w:left="0" w:right="-20" w:firstLine="0"/>
                      <w:jc w:val="left"/>
                      <w:rPr>
                        <w:rFonts w:ascii="Calibri"/>
                        <w:sz w:val="18"/>
                      </w:rPr>
                    </w:pPr>
                    <w:r>
                      <w:rPr>
                        <w:rFonts w:ascii="Calibri"/>
                        <w:color w:val="585858"/>
                        <w:sz w:val="18"/>
                      </w:rPr>
                      <w:t>60.00%</w:t>
                    </w:r>
                  </w:p>
                  <w:p>
                    <w:pPr>
                      <w:spacing w:before="99"/>
                      <w:ind w:left="0" w:right="-20" w:firstLine="0"/>
                      <w:jc w:val="left"/>
                      <w:rPr>
                        <w:rFonts w:ascii="Calibri"/>
                        <w:sz w:val="18"/>
                      </w:rPr>
                    </w:pPr>
                    <w:r>
                      <w:rPr>
                        <w:rFonts w:ascii="Calibri"/>
                        <w:color w:val="585858"/>
                        <w:sz w:val="18"/>
                      </w:rPr>
                      <w:t>50.00%</w:t>
                    </w:r>
                  </w:p>
                  <w:p>
                    <w:pPr>
                      <w:spacing w:before="99"/>
                      <w:ind w:left="0" w:right="-20" w:firstLine="0"/>
                      <w:jc w:val="left"/>
                      <w:rPr>
                        <w:rFonts w:ascii="Calibri"/>
                        <w:sz w:val="18"/>
                      </w:rPr>
                    </w:pPr>
                    <w:r>
                      <w:rPr>
                        <w:rFonts w:ascii="Calibri"/>
                        <w:color w:val="585858"/>
                        <w:sz w:val="18"/>
                      </w:rPr>
                      <w:t>40.00%</w:t>
                    </w:r>
                  </w:p>
                  <w:p>
                    <w:pPr>
                      <w:spacing w:before="99"/>
                      <w:ind w:left="0" w:right="-20" w:firstLine="0"/>
                      <w:jc w:val="left"/>
                      <w:rPr>
                        <w:rFonts w:ascii="Calibri"/>
                        <w:sz w:val="18"/>
                      </w:rPr>
                    </w:pPr>
                    <w:r>
                      <w:rPr>
                        <w:rFonts w:ascii="Calibri"/>
                        <w:color w:val="585858"/>
                        <w:sz w:val="18"/>
                      </w:rPr>
                      <w:t>30.00%</w:t>
                    </w:r>
                  </w:p>
                  <w:p>
                    <w:pPr>
                      <w:spacing w:before="99"/>
                      <w:ind w:left="0" w:right="-20" w:firstLine="0"/>
                      <w:jc w:val="left"/>
                      <w:rPr>
                        <w:rFonts w:ascii="Calibri"/>
                        <w:sz w:val="18"/>
                      </w:rPr>
                    </w:pPr>
                    <w:r>
                      <w:rPr>
                        <w:rFonts w:ascii="Calibri"/>
                        <w:color w:val="585858"/>
                        <w:sz w:val="18"/>
                      </w:rPr>
                      <w:t>20.00%</w:t>
                    </w:r>
                  </w:p>
                  <w:p>
                    <w:pPr>
                      <w:spacing w:before="99"/>
                      <w:ind w:left="0" w:right="-20" w:firstLine="0"/>
                      <w:jc w:val="left"/>
                      <w:rPr>
                        <w:rFonts w:ascii="Calibri"/>
                        <w:sz w:val="18"/>
                      </w:rPr>
                    </w:pPr>
                    <w:r>
                      <w:rPr>
                        <w:rFonts w:ascii="Calibri"/>
                        <w:color w:val="585858"/>
                        <w:sz w:val="18"/>
                      </w:rPr>
                      <w:t>10.00%</w:t>
                    </w:r>
                  </w:p>
                  <w:p>
                    <w:pPr>
                      <w:spacing w:line="216" w:lineRule="exact" w:before="99"/>
                      <w:ind w:left="91" w:right="-19" w:firstLine="0"/>
                      <w:jc w:val="left"/>
                      <w:rPr>
                        <w:rFonts w:ascii="Calibri"/>
                        <w:sz w:val="18"/>
                      </w:rPr>
                    </w:pPr>
                    <w:r>
                      <w:rPr>
                        <w:rFonts w:ascii="Calibri"/>
                        <w:color w:val="585858"/>
                        <w:sz w:val="18"/>
                      </w:rPr>
                      <w:t>0.00%</w:t>
                    </w:r>
                  </w:p>
                </w:txbxContent>
              </v:textbox>
              <w10:wrap type="none"/>
            </v:shape>
            <v:shape style="position:absolute;left:5183;top:1194;width:54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79.54%</w:t>
                    </w:r>
                  </w:p>
                </w:txbxContent>
              </v:textbox>
              <w10:wrap type="none"/>
            </v:shape>
            <v:shape style="position:absolute;left:3149;top:1718;width:6145;height:2667" type="#_x0000_t202" filled="false" stroked="false">
              <v:textbox inset="0,0,0,0">
                <w:txbxContent>
                  <w:p>
                    <w:pPr>
                      <w:tabs>
                        <w:tab w:pos="3570" w:val="left" w:leader="none"/>
                        <w:tab w:pos="6144" w:val="left" w:leader="none"/>
                      </w:tabs>
                      <w:spacing w:line="183" w:lineRule="exact" w:before="0"/>
                      <w:ind w:left="0" w:right="0" w:firstLine="0"/>
                      <w:jc w:val="left"/>
                      <w:rPr>
                        <w:rFonts w:ascii="Calibri"/>
                        <w:sz w:val="18"/>
                      </w:rPr>
                    </w:pPr>
                    <w:r>
                      <w:rPr>
                        <w:rFonts w:ascii="Calibri"/>
                        <w:color w:val="404040"/>
                        <w:sz w:val="18"/>
                        <w:u w:val="single" w:color="D9D9D9"/>
                      </w:rPr>
                      <w:t> </w:t>
                      <w:tab/>
                      <w:t>63.12%</w:t>
                      <w:tab/>
                    </w:r>
                  </w:p>
                  <w:p>
                    <w:pPr>
                      <w:spacing w:line="240" w:lineRule="auto" w:before="0"/>
                      <w:rPr>
                        <w:sz w:val="18"/>
                      </w:rPr>
                    </w:pPr>
                  </w:p>
                  <w:p>
                    <w:pPr>
                      <w:spacing w:line="240" w:lineRule="auto" w:before="0"/>
                      <w:rPr>
                        <w:sz w:val="18"/>
                      </w:rPr>
                    </w:pPr>
                  </w:p>
                  <w:p>
                    <w:pPr>
                      <w:spacing w:line="240" w:lineRule="auto" w:before="0"/>
                      <w:rPr>
                        <w:sz w:val="18"/>
                      </w:rPr>
                    </w:pPr>
                  </w:p>
                  <w:p>
                    <w:pPr>
                      <w:tabs>
                        <w:tab w:pos="5106" w:val="left" w:leader="none"/>
                        <w:tab w:pos="6144" w:val="left" w:leader="none"/>
                      </w:tabs>
                      <w:spacing w:line="208" w:lineRule="exact" w:before="112"/>
                      <w:ind w:left="497" w:right="0" w:hanging="498"/>
                      <w:jc w:val="left"/>
                      <w:rPr>
                        <w:rFonts w:ascii="Calibri"/>
                        <w:sz w:val="18"/>
                      </w:rPr>
                    </w:pPr>
                    <w:r>
                      <w:rPr>
                        <w:rFonts w:ascii="Calibri"/>
                        <w:color w:val="404040"/>
                        <w:sz w:val="18"/>
                        <w:u w:val="single" w:color="D9D9D9"/>
                      </w:rPr>
                      <w:t> </w:t>
                      <w:tab/>
                      <w:tab/>
                      <w:t>33.40%</w:t>
                      <w:tab/>
                    </w:r>
                    <w:r>
                      <w:rPr>
                        <w:rFonts w:ascii="Calibri"/>
                        <w:color w:val="404040"/>
                        <w:sz w:val="18"/>
                      </w:rPr>
                      <w:t> 26.88%</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2"/>
                      <w:rPr>
                        <w:sz w:val="25"/>
                      </w:rPr>
                    </w:pPr>
                  </w:p>
                  <w:p>
                    <w:pPr>
                      <w:spacing w:line="216" w:lineRule="exact" w:before="0"/>
                      <w:ind w:left="418" w:right="0" w:firstLine="0"/>
                      <w:jc w:val="left"/>
                      <w:rPr>
                        <w:rFonts w:ascii="Calibri" w:hAnsi="Calibri"/>
                        <w:sz w:val="18"/>
                      </w:rPr>
                    </w:pPr>
                    <w:r>
                      <w:rPr>
                        <w:rFonts w:ascii="Calibri" w:hAnsi="Calibri"/>
                        <w:color w:val="585858"/>
                        <w:sz w:val="18"/>
                      </w:rPr>
                      <w:t>Año 2012</w:t>
                    </w:r>
                  </w:p>
                </w:txbxContent>
              </v:textbox>
              <w10:wrap type="none"/>
            </v:shape>
            <v:shape style="position:absolute;left:5104;top:4205;width:699;height:180" type="#_x0000_t202" filled="false" stroked="false">
              <v:textbox inset="0,0,0,0">
                <w:txbxContent>
                  <w:p>
                    <w:pPr>
                      <w:spacing w:line="180" w:lineRule="exact" w:before="0"/>
                      <w:ind w:left="0" w:right="-19" w:firstLine="0"/>
                      <w:jc w:val="left"/>
                      <w:rPr>
                        <w:rFonts w:ascii="Calibri" w:hAnsi="Calibri"/>
                        <w:sz w:val="18"/>
                      </w:rPr>
                    </w:pPr>
                    <w:r>
                      <w:rPr>
                        <w:rFonts w:ascii="Calibri" w:hAnsi="Calibri"/>
                        <w:color w:val="585858"/>
                        <w:sz w:val="18"/>
                      </w:rPr>
                      <w:t>Año</w:t>
                    </w:r>
                    <w:r>
                      <w:rPr>
                        <w:rFonts w:ascii="Calibri" w:hAnsi="Calibri"/>
                        <w:color w:val="585858"/>
                        <w:spacing w:val="-2"/>
                        <w:sz w:val="18"/>
                      </w:rPr>
                      <w:t> </w:t>
                    </w:r>
                    <w:r>
                      <w:rPr>
                        <w:rFonts w:ascii="Calibri" w:hAnsi="Calibri"/>
                        <w:color w:val="585858"/>
                        <w:sz w:val="18"/>
                      </w:rPr>
                      <w:t>2013</w:t>
                    </w:r>
                  </w:p>
                </w:txbxContent>
              </v:textbox>
              <w10:wrap type="none"/>
            </v:shape>
            <v:shape style="position:absolute;left:6641;top:4205;width:699;height:180" type="#_x0000_t202" filled="false" stroked="false">
              <v:textbox inset="0,0,0,0">
                <w:txbxContent>
                  <w:p>
                    <w:pPr>
                      <w:spacing w:line="180" w:lineRule="exact" w:before="0"/>
                      <w:ind w:left="0" w:right="-19" w:firstLine="0"/>
                      <w:jc w:val="left"/>
                      <w:rPr>
                        <w:rFonts w:ascii="Calibri" w:hAnsi="Calibri"/>
                        <w:sz w:val="18"/>
                      </w:rPr>
                    </w:pPr>
                    <w:r>
                      <w:rPr>
                        <w:rFonts w:ascii="Calibri" w:hAnsi="Calibri"/>
                        <w:color w:val="585858"/>
                        <w:sz w:val="18"/>
                      </w:rPr>
                      <w:t>Año</w:t>
                    </w:r>
                    <w:r>
                      <w:rPr>
                        <w:rFonts w:ascii="Calibri" w:hAnsi="Calibri"/>
                        <w:color w:val="585858"/>
                        <w:spacing w:val="-2"/>
                        <w:sz w:val="18"/>
                      </w:rPr>
                      <w:t> </w:t>
                    </w:r>
                    <w:r>
                      <w:rPr>
                        <w:rFonts w:ascii="Calibri" w:hAnsi="Calibri"/>
                        <w:color w:val="585858"/>
                        <w:sz w:val="18"/>
                      </w:rPr>
                      <w:t>2014</w:t>
                    </w:r>
                  </w:p>
                </w:txbxContent>
              </v:textbox>
              <w10:wrap type="none"/>
            </v:shape>
            <v:shape style="position:absolute;left:8177;top:4205;width:699;height:180" type="#_x0000_t202" filled="false" stroked="false">
              <v:textbox inset="0,0,0,0">
                <w:txbxContent>
                  <w:p>
                    <w:pPr>
                      <w:spacing w:line="180" w:lineRule="exact" w:before="0"/>
                      <w:ind w:left="0" w:right="-19" w:firstLine="0"/>
                      <w:jc w:val="left"/>
                      <w:rPr>
                        <w:rFonts w:ascii="Calibri" w:hAnsi="Calibri"/>
                        <w:sz w:val="18"/>
                      </w:rPr>
                    </w:pPr>
                    <w:r>
                      <w:rPr>
                        <w:rFonts w:ascii="Calibri" w:hAnsi="Calibri"/>
                        <w:color w:val="585858"/>
                        <w:sz w:val="18"/>
                      </w:rPr>
                      <w:t>Año</w:t>
                    </w:r>
                    <w:r>
                      <w:rPr>
                        <w:rFonts w:ascii="Calibri" w:hAnsi="Calibri"/>
                        <w:color w:val="585858"/>
                        <w:spacing w:val="-2"/>
                        <w:sz w:val="18"/>
                      </w:rPr>
                      <w:t> </w:t>
                    </w:r>
                    <w:r>
                      <w:rPr>
                        <w:rFonts w:ascii="Calibri" w:hAnsi="Calibri"/>
                        <w:color w:val="585858"/>
                        <w:sz w:val="18"/>
                      </w:rPr>
                      <w:t>2015</w:t>
                    </w:r>
                  </w:p>
                </w:txbxContent>
              </v:textbox>
              <w10:wrap type="none"/>
            </v:shape>
            <w10:wrap type="topAndBottom"/>
          </v:group>
        </w:pict>
      </w:r>
    </w:p>
    <w:p>
      <w:pPr>
        <w:spacing w:before="158"/>
        <w:ind w:left="816" w:right="6" w:firstLine="0"/>
        <w:jc w:val="left"/>
        <w:rPr>
          <w:sz w:val="18"/>
        </w:rPr>
      </w:pPr>
      <w:r>
        <w:rPr>
          <w:sz w:val="18"/>
        </w:rPr>
        <w:t>Fuente: Elaboración propia. Con datos del INFOEM</w:t>
      </w:r>
    </w:p>
    <w:p>
      <w:pPr>
        <w:pStyle w:val="BodyText"/>
        <w:rPr>
          <w:sz w:val="18"/>
        </w:rPr>
      </w:pPr>
    </w:p>
    <w:p>
      <w:pPr>
        <w:pStyle w:val="BodyText"/>
        <w:rPr>
          <w:sz w:val="18"/>
        </w:rPr>
      </w:pPr>
    </w:p>
    <w:p>
      <w:pPr>
        <w:pStyle w:val="BodyText"/>
        <w:rPr>
          <w:sz w:val="18"/>
        </w:rPr>
      </w:pPr>
    </w:p>
    <w:p>
      <w:pPr>
        <w:pStyle w:val="BodyText"/>
        <w:spacing w:before="7"/>
        <w:rPr>
          <w:sz w:val="18"/>
        </w:rPr>
      </w:pPr>
    </w:p>
    <w:p>
      <w:pPr>
        <w:pStyle w:val="BodyText"/>
        <w:spacing w:line="360" w:lineRule="auto" w:before="1"/>
        <w:ind w:left="108" w:right="105"/>
        <w:jc w:val="both"/>
      </w:pPr>
      <w:r>
        <w:rPr/>
        <w:t>Tal como se puede observar en la gráfica 4, los municipios reflejaron un promedio de cumplimiento de la ley de transparencia en 26.88% para el año 2012, 79.54% en</w:t>
      </w:r>
    </w:p>
    <w:p>
      <w:pPr>
        <w:spacing w:after="0" w:line="360" w:lineRule="auto"/>
        <w:jc w:val="both"/>
        <w:sectPr>
          <w:pgSz w:w="12240" w:h="15840"/>
          <w:pgMar w:header="0" w:footer="975" w:top="1360" w:bottom="1220" w:left="1500" w:right="1600"/>
        </w:sectPr>
      </w:pPr>
    </w:p>
    <w:p>
      <w:pPr>
        <w:pStyle w:val="BodyText"/>
        <w:spacing w:line="360" w:lineRule="auto" w:before="54"/>
        <w:ind w:left="108" w:right="124"/>
        <w:jc w:val="both"/>
      </w:pPr>
      <w:r>
        <w:rPr/>
        <w:t>el 2013, 63.12% en 2014 y 33.4% en el año 2105. Situación que puede resultar coincidente con el cambio de administración. Ya que en 2013 fue el primer año de administración de los gobiernos municipales. Asimismo, se aprecia cómo en la medida que avanzó su administración se dejó de dar cumplimiento a la ley de transparencia correspondiente.</w:t>
      </w:r>
    </w:p>
    <w:p>
      <w:pPr>
        <w:pStyle w:val="BodyText"/>
      </w:pPr>
    </w:p>
    <w:p>
      <w:pPr>
        <w:pStyle w:val="BodyText"/>
      </w:pPr>
    </w:p>
    <w:p>
      <w:pPr>
        <w:pStyle w:val="BodyText"/>
        <w:spacing w:line="360" w:lineRule="auto" w:before="187"/>
        <w:ind w:left="108" w:right="121"/>
        <w:jc w:val="both"/>
      </w:pPr>
      <w:r>
        <w:rPr/>
        <w:t>Derivado de estos resultados de cumplimiento de la ley de transparencia por parte de los municipios del Estado de México se desprende el TOP 10 de los municipios más transparentes durante el periodo 2012-2015:</w:t>
      </w:r>
    </w:p>
    <w:p>
      <w:pPr>
        <w:pStyle w:val="BodyText"/>
        <w:rPr>
          <w:sz w:val="20"/>
        </w:rPr>
      </w:pPr>
    </w:p>
    <w:p>
      <w:pPr>
        <w:pStyle w:val="BodyText"/>
        <w:rPr>
          <w:sz w:val="20"/>
        </w:rPr>
      </w:pPr>
    </w:p>
    <w:p>
      <w:pPr>
        <w:pStyle w:val="BodyText"/>
        <w:spacing w:before="3"/>
      </w:pPr>
    </w:p>
    <w:tbl>
      <w:tblPr>
        <w:tblW w:w="0" w:type="auto"/>
        <w:jc w:val="left"/>
        <w:tblInd w:w="1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99"/>
        <w:gridCol w:w="1915"/>
        <w:gridCol w:w="1644"/>
        <w:gridCol w:w="1642"/>
      </w:tblGrid>
      <w:tr>
        <w:trPr>
          <w:trHeight w:val="684" w:hRule="exact"/>
        </w:trPr>
        <w:tc>
          <w:tcPr>
            <w:tcW w:w="6501" w:type="dxa"/>
            <w:gridSpan w:val="4"/>
            <w:shd w:val="clear" w:color="auto" w:fill="92D050"/>
          </w:tcPr>
          <w:p>
            <w:pPr>
              <w:pStyle w:val="TableParagraph"/>
              <w:spacing w:line="362" w:lineRule="auto" w:before="20"/>
              <w:ind w:left="2460" w:right="305" w:hanging="2137"/>
              <w:jc w:val="left"/>
              <w:rPr>
                <w:b/>
                <w:sz w:val="18"/>
              </w:rPr>
            </w:pPr>
            <w:r>
              <w:rPr>
                <w:b/>
                <w:sz w:val="18"/>
              </w:rPr>
              <w:t>Tabla 3.11. Los 10 municipios mexiquenses más transparentes en el periodo 2012-2015</w:t>
            </w:r>
          </w:p>
        </w:tc>
      </w:tr>
      <w:tr>
        <w:trPr>
          <w:trHeight w:val="631" w:hRule="exact"/>
        </w:trPr>
        <w:tc>
          <w:tcPr>
            <w:tcW w:w="1299" w:type="dxa"/>
            <w:shd w:val="clear" w:color="auto" w:fill="92D050"/>
          </w:tcPr>
          <w:p>
            <w:pPr>
              <w:pStyle w:val="TableParagraph"/>
              <w:spacing w:before="150"/>
              <w:ind w:left="479" w:right="480"/>
              <w:rPr>
                <w:b/>
                <w:sz w:val="18"/>
              </w:rPr>
            </w:pPr>
            <w:r>
              <w:rPr>
                <w:b/>
                <w:sz w:val="18"/>
              </w:rPr>
              <w:t>No.</w:t>
            </w:r>
          </w:p>
        </w:tc>
        <w:tc>
          <w:tcPr>
            <w:tcW w:w="1915" w:type="dxa"/>
            <w:shd w:val="clear" w:color="auto" w:fill="92D050"/>
          </w:tcPr>
          <w:p>
            <w:pPr>
              <w:pStyle w:val="TableParagraph"/>
              <w:jc w:val="left"/>
              <w:rPr>
                <w:sz w:val="18"/>
              </w:rPr>
            </w:pPr>
          </w:p>
          <w:p>
            <w:pPr>
              <w:pStyle w:val="TableParagraph"/>
              <w:spacing w:before="104"/>
              <w:ind w:left="64"/>
              <w:jc w:val="left"/>
              <w:rPr>
                <w:sz w:val="18"/>
              </w:rPr>
            </w:pPr>
            <w:r>
              <w:rPr>
                <w:sz w:val="18"/>
              </w:rPr>
              <w:t>Municipio</w:t>
            </w:r>
          </w:p>
        </w:tc>
        <w:tc>
          <w:tcPr>
            <w:tcW w:w="1644" w:type="dxa"/>
            <w:shd w:val="clear" w:color="auto" w:fill="92D050"/>
          </w:tcPr>
          <w:p>
            <w:pPr>
              <w:pStyle w:val="TableParagraph"/>
              <w:spacing w:line="360" w:lineRule="auto"/>
              <w:ind w:left="376" w:right="358" w:firstLine="60"/>
              <w:jc w:val="left"/>
              <w:rPr>
                <w:b/>
                <w:sz w:val="18"/>
              </w:rPr>
            </w:pPr>
            <w:r>
              <w:rPr>
                <w:b/>
                <w:sz w:val="18"/>
              </w:rPr>
              <w:t>No. años evaluados</w:t>
            </w:r>
          </w:p>
        </w:tc>
        <w:tc>
          <w:tcPr>
            <w:tcW w:w="1642" w:type="dxa"/>
            <w:shd w:val="clear" w:color="auto" w:fill="92D050"/>
          </w:tcPr>
          <w:p>
            <w:pPr>
              <w:pStyle w:val="TableParagraph"/>
              <w:spacing w:before="150"/>
              <w:ind w:left="44" w:right="45"/>
              <w:rPr>
                <w:b/>
                <w:sz w:val="18"/>
              </w:rPr>
            </w:pPr>
            <w:r>
              <w:rPr>
                <w:b/>
                <w:sz w:val="18"/>
              </w:rPr>
              <w:t>% Promedio</w:t>
            </w:r>
          </w:p>
        </w:tc>
      </w:tr>
      <w:tr>
        <w:trPr>
          <w:trHeight w:val="322" w:hRule="exact"/>
        </w:trPr>
        <w:tc>
          <w:tcPr>
            <w:tcW w:w="1299" w:type="dxa"/>
          </w:tcPr>
          <w:p>
            <w:pPr>
              <w:pStyle w:val="TableParagraph"/>
              <w:spacing w:line="206" w:lineRule="exact"/>
              <w:ind w:left="1"/>
              <w:rPr>
                <w:sz w:val="18"/>
              </w:rPr>
            </w:pPr>
            <w:r>
              <w:rPr>
                <w:w w:val="99"/>
                <w:sz w:val="18"/>
              </w:rPr>
              <w:t>1</w:t>
            </w:r>
          </w:p>
        </w:tc>
        <w:tc>
          <w:tcPr>
            <w:tcW w:w="1915" w:type="dxa"/>
          </w:tcPr>
          <w:p>
            <w:pPr>
              <w:pStyle w:val="TableParagraph"/>
              <w:spacing w:line="206" w:lineRule="exact"/>
              <w:ind w:left="64"/>
              <w:jc w:val="left"/>
              <w:rPr>
                <w:sz w:val="18"/>
              </w:rPr>
            </w:pPr>
            <w:r>
              <w:rPr>
                <w:sz w:val="18"/>
              </w:rPr>
              <w:t>Toluca</w:t>
            </w:r>
          </w:p>
        </w:tc>
        <w:tc>
          <w:tcPr>
            <w:tcW w:w="1644" w:type="dxa"/>
          </w:tcPr>
          <w:p>
            <w:pPr>
              <w:pStyle w:val="TableParagraph"/>
              <w:spacing w:line="206" w:lineRule="exact"/>
              <w:ind w:left="2"/>
              <w:rPr>
                <w:sz w:val="18"/>
              </w:rPr>
            </w:pPr>
            <w:r>
              <w:rPr>
                <w:w w:val="99"/>
                <w:sz w:val="18"/>
              </w:rPr>
              <w:t>2</w:t>
            </w:r>
          </w:p>
        </w:tc>
        <w:tc>
          <w:tcPr>
            <w:tcW w:w="1642" w:type="dxa"/>
          </w:tcPr>
          <w:p>
            <w:pPr>
              <w:pStyle w:val="TableParagraph"/>
              <w:spacing w:line="206" w:lineRule="exact"/>
              <w:ind w:left="45" w:right="45"/>
              <w:rPr>
                <w:sz w:val="18"/>
              </w:rPr>
            </w:pPr>
            <w:r>
              <w:rPr>
                <w:sz w:val="18"/>
              </w:rPr>
              <w:t>98.75%</w:t>
            </w:r>
          </w:p>
        </w:tc>
      </w:tr>
      <w:tr>
        <w:trPr>
          <w:trHeight w:val="319" w:hRule="exact"/>
        </w:trPr>
        <w:tc>
          <w:tcPr>
            <w:tcW w:w="1299" w:type="dxa"/>
          </w:tcPr>
          <w:p>
            <w:pPr>
              <w:pStyle w:val="TableParagraph"/>
              <w:spacing w:line="206" w:lineRule="exact"/>
              <w:ind w:left="1"/>
              <w:rPr>
                <w:sz w:val="18"/>
              </w:rPr>
            </w:pPr>
            <w:r>
              <w:rPr>
                <w:w w:val="99"/>
                <w:sz w:val="18"/>
              </w:rPr>
              <w:t>2</w:t>
            </w:r>
          </w:p>
        </w:tc>
        <w:tc>
          <w:tcPr>
            <w:tcW w:w="1915" w:type="dxa"/>
          </w:tcPr>
          <w:p>
            <w:pPr>
              <w:pStyle w:val="TableParagraph"/>
              <w:spacing w:line="206" w:lineRule="exact"/>
              <w:ind w:left="64"/>
              <w:jc w:val="left"/>
              <w:rPr>
                <w:sz w:val="18"/>
              </w:rPr>
            </w:pPr>
            <w:r>
              <w:rPr>
                <w:sz w:val="18"/>
              </w:rPr>
              <w:t>Huixquilucan</w:t>
            </w:r>
          </w:p>
        </w:tc>
        <w:tc>
          <w:tcPr>
            <w:tcW w:w="1644" w:type="dxa"/>
          </w:tcPr>
          <w:p>
            <w:pPr>
              <w:pStyle w:val="TableParagraph"/>
              <w:spacing w:line="206" w:lineRule="exact"/>
              <w:ind w:left="2"/>
              <w:rPr>
                <w:sz w:val="18"/>
              </w:rPr>
            </w:pPr>
            <w:r>
              <w:rPr>
                <w:w w:val="99"/>
                <w:sz w:val="18"/>
              </w:rPr>
              <w:t>3</w:t>
            </w:r>
          </w:p>
        </w:tc>
        <w:tc>
          <w:tcPr>
            <w:tcW w:w="1642" w:type="dxa"/>
          </w:tcPr>
          <w:p>
            <w:pPr>
              <w:pStyle w:val="TableParagraph"/>
              <w:spacing w:line="206" w:lineRule="exact"/>
              <w:ind w:left="45" w:right="45"/>
              <w:rPr>
                <w:sz w:val="18"/>
              </w:rPr>
            </w:pPr>
            <w:r>
              <w:rPr>
                <w:sz w:val="18"/>
              </w:rPr>
              <w:t>98.70%</w:t>
            </w:r>
          </w:p>
        </w:tc>
      </w:tr>
      <w:tr>
        <w:trPr>
          <w:trHeight w:val="322" w:hRule="exact"/>
        </w:trPr>
        <w:tc>
          <w:tcPr>
            <w:tcW w:w="1299" w:type="dxa"/>
          </w:tcPr>
          <w:p>
            <w:pPr>
              <w:pStyle w:val="TableParagraph"/>
              <w:spacing w:line="206" w:lineRule="exact"/>
              <w:ind w:left="1"/>
              <w:rPr>
                <w:sz w:val="18"/>
              </w:rPr>
            </w:pPr>
            <w:r>
              <w:rPr>
                <w:w w:val="99"/>
                <w:sz w:val="18"/>
              </w:rPr>
              <w:t>3</w:t>
            </w:r>
          </w:p>
        </w:tc>
        <w:tc>
          <w:tcPr>
            <w:tcW w:w="1915" w:type="dxa"/>
          </w:tcPr>
          <w:p>
            <w:pPr>
              <w:pStyle w:val="TableParagraph"/>
              <w:spacing w:line="206" w:lineRule="exact"/>
              <w:ind w:left="64"/>
              <w:jc w:val="left"/>
              <w:rPr>
                <w:sz w:val="18"/>
              </w:rPr>
            </w:pPr>
            <w:r>
              <w:rPr>
                <w:sz w:val="18"/>
              </w:rPr>
              <w:t>Tlalnepantla de Baz</w:t>
            </w:r>
          </w:p>
        </w:tc>
        <w:tc>
          <w:tcPr>
            <w:tcW w:w="1644" w:type="dxa"/>
          </w:tcPr>
          <w:p>
            <w:pPr>
              <w:pStyle w:val="TableParagraph"/>
              <w:spacing w:line="206" w:lineRule="exact"/>
              <w:ind w:left="2"/>
              <w:rPr>
                <w:sz w:val="18"/>
              </w:rPr>
            </w:pPr>
            <w:r>
              <w:rPr>
                <w:w w:val="99"/>
                <w:sz w:val="18"/>
              </w:rPr>
              <w:t>2</w:t>
            </w:r>
          </w:p>
        </w:tc>
        <w:tc>
          <w:tcPr>
            <w:tcW w:w="1642" w:type="dxa"/>
          </w:tcPr>
          <w:p>
            <w:pPr>
              <w:pStyle w:val="TableParagraph"/>
              <w:spacing w:line="206" w:lineRule="exact"/>
              <w:ind w:left="45" w:right="45"/>
              <w:rPr>
                <w:sz w:val="18"/>
              </w:rPr>
            </w:pPr>
            <w:r>
              <w:rPr>
                <w:sz w:val="18"/>
              </w:rPr>
              <w:t>93.04%</w:t>
            </w:r>
          </w:p>
        </w:tc>
      </w:tr>
      <w:tr>
        <w:trPr>
          <w:trHeight w:val="320" w:hRule="exact"/>
        </w:trPr>
        <w:tc>
          <w:tcPr>
            <w:tcW w:w="1299" w:type="dxa"/>
          </w:tcPr>
          <w:p>
            <w:pPr>
              <w:pStyle w:val="TableParagraph"/>
              <w:spacing w:line="207" w:lineRule="exact"/>
              <w:ind w:left="1"/>
              <w:rPr>
                <w:sz w:val="18"/>
              </w:rPr>
            </w:pPr>
            <w:r>
              <w:rPr>
                <w:w w:val="99"/>
                <w:sz w:val="18"/>
              </w:rPr>
              <w:t>4</w:t>
            </w:r>
          </w:p>
        </w:tc>
        <w:tc>
          <w:tcPr>
            <w:tcW w:w="1915" w:type="dxa"/>
          </w:tcPr>
          <w:p>
            <w:pPr>
              <w:pStyle w:val="TableParagraph"/>
              <w:spacing w:line="207" w:lineRule="exact"/>
              <w:ind w:left="64"/>
              <w:jc w:val="left"/>
              <w:rPr>
                <w:sz w:val="18"/>
              </w:rPr>
            </w:pPr>
            <w:r>
              <w:rPr>
                <w:sz w:val="18"/>
              </w:rPr>
              <w:t>Cuautitlán Izcalli</w:t>
            </w:r>
          </w:p>
        </w:tc>
        <w:tc>
          <w:tcPr>
            <w:tcW w:w="1644" w:type="dxa"/>
          </w:tcPr>
          <w:p>
            <w:pPr>
              <w:pStyle w:val="TableParagraph"/>
              <w:spacing w:line="207" w:lineRule="exact"/>
              <w:ind w:left="2"/>
              <w:rPr>
                <w:sz w:val="18"/>
              </w:rPr>
            </w:pPr>
            <w:r>
              <w:rPr>
                <w:w w:val="99"/>
                <w:sz w:val="18"/>
              </w:rPr>
              <w:t>3</w:t>
            </w:r>
          </w:p>
        </w:tc>
        <w:tc>
          <w:tcPr>
            <w:tcW w:w="1642" w:type="dxa"/>
          </w:tcPr>
          <w:p>
            <w:pPr>
              <w:pStyle w:val="TableParagraph"/>
              <w:spacing w:line="207" w:lineRule="exact"/>
              <w:ind w:left="45" w:right="45"/>
              <w:rPr>
                <w:sz w:val="18"/>
              </w:rPr>
            </w:pPr>
            <w:r>
              <w:rPr>
                <w:sz w:val="18"/>
              </w:rPr>
              <w:t>87.64%</w:t>
            </w:r>
          </w:p>
        </w:tc>
      </w:tr>
      <w:tr>
        <w:trPr>
          <w:trHeight w:val="322" w:hRule="exact"/>
        </w:trPr>
        <w:tc>
          <w:tcPr>
            <w:tcW w:w="1299" w:type="dxa"/>
          </w:tcPr>
          <w:p>
            <w:pPr>
              <w:pStyle w:val="TableParagraph"/>
              <w:spacing w:before="1"/>
              <w:ind w:left="1"/>
              <w:rPr>
                <w:sz w:val="18"/>
              </w:rPr>
            </w:pPr>
            <w:r>
              <w:rPr>
                <w:w w:val="99"/>
                <w:sz w:val="18"/>
              </w:rPr>
              <w:t>5</w:t>
            </w:r>
          </w:p>
        </w:tc>
        <w:tc>
          <w:tcPr>
            <w:tcW w:w="1915" w:type="dxa"/>
          </w:tcPr>
          <w:p>
            <w:pPr>
              <w:pStyle w:val="TableParagraph"/>
              <w:spacing w:before="1"/>
              <w:ind w:left="64"/>
              <w:jc w:val="left"/>
              <w:rPr>
                <w:sz w:val="18"/>
              </w:rPr>
            </w:pPr>
            <w:r>
              <w:rPr>
                <w:sz w:val="18"/>
              </w:rPr>
              <w:t>Almoloya de Juárez</w:t>
            </w:r>
          </w:p>
        </w:tc>
        <w:tc>
          <w:tcPr>
            <w:tcW w:w="1644" w:type="dxa"/>
          </w:tcPr>
          <w:p>
            <w:pPr>
              <w:pStyle w:val="TableParagraph"/>
              <w:spacing w:before="1"/>
              <w:ind w:left="2"/>
              <w:rPr>
                <w:sz w:val="18"/>
              </w:rPr>
            </w:pPr>
            <w:r>
              <w:rPr>
                <w:w w:val="99"/>
                <w:sz w:val="18"/>
              </w:rPr>
              <w:t>2</w:t>
            </w:r>
          </w:p>
        </w:tc>
        <w:tc>
          <w:tcPr>
            <w:tcW w:w="1642" w:type="dxa"/>
          </w:tcPr>
          <w:p>
            <w:pPr>
              <w:pStyle w:val="TableParagraph"/>
              <w:spacing w:before="1"/>
              <w:ind w:left="45" w:right="45"/>
              <w:rPr>
                <w:sz w:val="18"/>
              </w:rPr>
            </w:pPr>
            <w:r>
              <w:rPr>
                <w:sz w:val="18"/>
              </w:rPr>
              <w:t>82.07%</w:t>
            </w:r>
          </w:p>
        </w:tc>
      </w:tr>
      <w:tr>
        <w:trPr>
          <w:trHeight w:val="319" w:hRule="exact"/>
        </w:trPr>
        <w:tc>
          <w:tcPr>
            <w:tcW w:w="1299" w:type="dxa"/>
          </w:tcPr>
          <w:p>
            <w:pPr>
              <w:pStyle w:val="TableParagraph"/>
              <w:spacing w:line="206" w:lineRule="exact"/>
              <w:ind w:left="1"/>
              <w:rPr>
                <w:sz w:val="18"/>
              </w:rPr>
            </w:pPr>
            <w:r>
              <w:rPr>
                <w:w w:val="99"/>
                <w:sz w:val="18"/>
              </w:rPr>
              <w:t>6</w:t>
            </w:r>
          </w:p>
        </w:tc>
        <w:tc>
          <w:tcPr>
            <w:tcW w:w="1915" w:type="dxa"/>
          </w:tcPr>
          <w:p>
            <w:pPr>
              <w:pStyle w:val="TableParagraph"/>
              <w:spacing w:line="206" w:lineRule="exact"/>
              <w:ind w:left="64"/>
              <w:jc w:val="left"/>
              <w:rPr>
                <w:sz w:val="18"/>
              </w:rPr>
            </w:pPr>
            <w:r>
              <w:rPr>
                <w:sz w:val="18"/>
              </w:rPr>
              <w:t>Xonacatlán</w:t>
            </w:r>
          </w:p>
        </w:tc>
        <w:tc>
          <w:tcPr>
            <w:tcW w:w="1644" w:type="dxa"/>
          </w:tcPr>
          <w:p>
            <w:pPr>
              <w:pStyle w:val="TableParagraph"/>
              <w:spacing w:line="206" w:lineRule="exact"/>
              <w:ind w:left="2"/>
              <w:rPr>
                <w:sz w:val="18"/>
              </w:rPr>
            </w:pPr>
            <w:r>
              <w:rPr>
                <w:w w:val="99"/>
                <w:sz w:val="18"/>
              </w:rPr>
              <w:t>1</w:t>
            </w:r>
          </w:p>
        </w:tc>
        <w:tc>
          <w:tcPr>
            <w:tcW w:w="1642" w:type="dxa"/>
          </w:tcPr>
          <w:p>
            <w:pPr>
              <w:pStyle w:val="TableParagraph"/>
              <w:spacing w:line="206" w:lineRule="exact"/>
              <w:ind w:left="45" w:right="45"/>
              <w:rPr>
                <w:sz w:val="18"/>
              </w:rPr>
            </w:pPr>
            <w:r>
              <w:rPr>
                <w:sz w:val="18"/>
              </w:rPr>
              <w:t>81.85%</w:t>
            </w:r>
          </w:p>
        </w:tc>
      </w:tr>
      <w:tr>
        <w:trPr>
          <w:trHeight w:val="322" w:hRule="exact"/>
        </w:trPr>
        <w:tc>
          <w:tcPr>
            <w:tcW w:w="1299" w:type="dxa"/>
          </w:tcPr>
          <w:p>
            <w:pPr>
              <w:pStyle w:val="TableParagraph"/>
              <w:spacing w:before="1"/>
              <w:ind w:left="1"/>
              <w:rPr>
                <w:sz w:val="18"/>
              </w:rPr>
            </w:pPr>
            <w:r>
              <w:rPr>
                <w:w w:val="99"/>
                <w:sz w:val="18"/>
              </w:rPr>
              <w:t>7</w:t>
            </w:r>
          </w:p>
        </w:tc>
        <w:tc>
          <w:tcPr>
            <w:tcW w:w="1915" w:type="dxa"/>
          </w:tcPr>
          <w:p>
            <w:pPr>
              <w:pStyle w:val="TableParagraph"/>
              <w:spacing w:before="1"/>
              <w:ind w:left="64"/>
              <w:jc w:val="left"/>
              <w:rPr>
                <w:sz w:val="18"/>
              </w:rPr>
            </w:pPr>
            <w:r>
              <w:rPr>
                <w:sz w:val="18"/>
              </w:rPr>
              <w:t>San Mateo Atenco</w:t>
            </w:r>
          </w:p>
        </w:tc>
        <w:tc>
          <w:tcPr>
            <w:tcW w:w="1644" w:type="dxa"/>
          </w:tcPr>
          <w:p>
            <w:pPr>
              <w:pStyle w:val="TableParagraph"/>
              <w:spacing w:before="1"/>
              <w:ind w:left="2"/>
              <w:rPr>
                <w:sz w:val="18"/>
              </w:rPr>
            </w:pPr>
            <w:r>
              <w:rPr>
                <w:w w:val="99"/>
                <w:sz w:val="18"/>
              </w:rPr>
              <w:t>2</w:t>
            </w:r>
          </w:p>
        </w:tc>
        <w:tc>
          <w:tcPr>
            <w:tcW w:w="1642" w:type="dxa"/>
          </w:tcPr>
          <w:p>
            <w:pPr>
              <w:pStyle w:val="TableParagraph"/>
              <w:spacing w:before="1"/>
              <w:ind w:left="45" w:right="45"/>
              <w:rPr>
                <w:sz w:val="18"/>
              </w:rPr>
            </w:pPr>
            <w:r>
              <w:rPr>
                <w:sz w:val="18"/>
              </w:rPr>
              <w:t>74.21%</w:t>
            </w:r>
          </w:p>
        </w:tc>
      </w:tr>
      <w:tr>
        <w:trPr>
          <w:trHeight w:val="319" w:hRule="exact"/>
        </w:trPr>
        <w:tc>
          <w:tcPr>
            <w:tcW w:w="1299" w:type="dxa"/>
          </w:tcPr>
          <w:p>
            <w:pPr>
              <w:pStyle w:val="TableParagraph"/>
              <w:spacing w:line="206" w:lineRule="exact"/>
              <w:ind w:left="1"/>
              <w:rPr>
                <w:sz w:val="18"/>
              </w:rPr>
            </w:pPr>
            <w:r>
              <w:rPr>
                <w:w w:val="99"/>
                <w:sz w:val="18"/>
              </w:rPr>
              <w:t>8</w:t>
            </w:r>
          </w:p>
        </w:tc>
        <w:tc>
          <w:tcPr>
            <w:tcW w:w="1915" w:type="dxa"/>
          </w:tcPr>
          <w:p>
            <w:pPr>
              <w:pStyle w:val="TableParagraph"/>
              <w:spacing w:line="206" w:lineRule="exact"/>
              <w:ind w:left="64"/>
              <w:jc w:val="left"/>
              <w:rPr>
                <w:sz w:val="18"/>
              </w:rPr>
            </w:pPr>
            <w:r>
              <w:rPr>
                <w:sz w:val="18"/>
              </w:rPr>
              <w:t>Tepotzotlán</w:t>
            </w:r>
          </w:p>
        </w:tc>
        <w:tc>
          <w:tcPr>
            <w:tcW w:w="1644" w:type="dxa"/>
          </w:tcPr>
          <w:p>
            <w:pPr>
              <w:pStyle w:val="TableParagraph"/>
              <w:spacing w:line="206" w:lineRule="exact"/>
              <w:ind w:left="2"/>
              <w:rPr>
                <w:sz w:val="18"/>
              </w:rPr>
            </w:pPr>
            <w:r>
              <w:rPr>
                <w:w w:val="99"/>
                <w:sz w:val="18"/>
              </w:rPr>
              <w:t>1</w:t>
            </w:r>
          </w:p>
        </w:tc>
        <w:tc>
          <w:tcPr>
            <w:tcW w:w="1642" w:type="dxa"/>
          </w:tcPr>
          <w:p>
            <w:pPr>
              <w:pStyle w:val="TableParagraph"/>
              <w:spacing w:line="206" w:lineRule="exact"/>
              <w:ind w:left="45" w:right="45"/>
              <w:rPr>
                <w:sz w:val="18"/>
              </w:rPr>
            </w:pPr>
            <w:r>
              <w:rPr>
                <w:sz w:val="18"/>
              </w:rPr>
              <w:t>70.14%</w:t>
            </w:r>
          </w:p>
        </w:tc>
      </w:tr>
      <w:tr>
        <w:trPr>
          <w:trHeight w:val="322" w:hRule="exact"/>
        </w:trPr>
        <w:tc>
          <w:tcPr>
            <w:tcW w:w="1299" w:type="dxa"/>
          </w:tcPr>
          <w:p>
            <w:pPr>
              <w:pStyle w:val="TableParagraph"/>
              <w:spacing w:before="1"/>
              <w:ind w:left="1"/>
              <w:rPr>
                <w:sz w:val="18"/>
              </w:rPr>
            </w:pPr>
            <w:r>
              <w:rPr>
                <w:w w:val="99"/>
                <w:sz w:val="18"/>
              </w:rPr>
              <w:t>9</w:t>
            </w:r>
          </w:p>
        </w:tc>
        <w:tc>
          <w:tcPr>
            <w:tcW w:w="1915" w:type="dxa"/>
          </w:tcPr>
          <w:p>
            <w:pPr>
              <w:pStyle w:val="TableParagraph"/>
              <w:spacing w:before="1"/>
              <w:ind w:left="64"/>
              <w:jc w:val="left"/>
              <w:rPr>
                <w:sz w:val="18"/>
              </w:rPr>
            </w:pPr>
            <w:r>
              <w:rPr>
                <w:sz w:val="18"/>
              </w:rPr>
              <w:t>Zinacantepec</w:t>
            </w:r>
          </w:p>
        </w:tc>
        <w:tc>
          <w:tcPr>
            <w:tcW w:w="1644" w:type="dxa"/>
          </w:tcPr>
          <w:p>
            <w:pPr>
              <w:pStyle w:val="TableParagraph"/>
              <w:spacing w:before="1"/>
              <w:ind w:left="2"/>
              <w:rPr>
                <w:sz w:val="18"/>
              </w:rPr>
            </w:pPr>
            <w:r>
              <w:rPr>
                <w:w w:val="99"/>
                <w:sz w:val="18"/>
              </w:rPr>
              <w:t>2</w:t>
            </w:r>
          </w:p>
        </w:tc>
        <w:tc>
          <w:tcPr>
            <w:tcW w:w="1642" w:type="dxa"/>
          </w:tcPr>
          <w:p>
            <w:pPr>
              <w:pStyle w:val="TableParagraph"/>
              <w:spacing w:before="1"/>
              <w:ind w:left="45" w:right="45"/>
              <w:rPr>
                <w:sz w:val="18"/>
              </w:rPr>
            </w:pPr>
            <w:r>
              <w:rPr>
                <w:sz w:val="18"/>
              </w:rPr>
              <w:t>67.69%</w:t>
            </w:r>
          </w:p>
        </w:tc>
      </w:tr>
      <w:tr>
        <w:trPr>
          <w:trHeight w:val="322" w:hRule="exact"/>
        </w:trPr>
        <w:tc>
          <w:tcPr>
            <w:tcW w:w="1299" w:type="dxa"/>
          </w:tcPr>
          <w:p>
            <w:pPr>
              <w:pStyle w:val="TableParagraph"/>
              <w:spacing w:line="206" w:lineRule="exact"/>
              <w:ind w:left="479" w:right="478"/>
              <w:rPr>
                <w:sz w:val="18"/>
              </w:rPr>
            </w:pPr>
            <w:r>
              <w:rPr>
                <w:sz w:val="18"/>
              </w:rPr>
              <w:t>10</w:t>
            </w:r>
          </w:p>
        </w:tc>
        <w:tc>
          <w:tcPr>
            <w:tcW w:w="1915" w:type="dxa"/>
          </w:tcPr>
          <w:p>
            <w:pPr>
              <w:pStyle w:val="TableParagraph"/>
              <w:spacing w:line="206" w:lineRule="exact"/>
              <w:ind w:left="64"/>
              <w:jc w:val="left"/>
              <w:rPr>
                <w:sz w:val="18"/>
              </w:rPr>
            </w:pPr>
            <w:r>
              <w:rPr>
                <w:sz w:val="18"/>
              </w:rPr>
              <w:t>Polotitlán</w:t>
            </w:r>
          </w:p>
        </w:tc>
        <w:tc>
          <w:tcPr>
            <w:tcW w:w="1644" w:type="dxa"/>
          </w:tcPr>
          <w:p>
            <w:pPr>
              <w:pStyle w:val="TableParagraph"/>
              <w:spacing w:line="206" w:lineRule="exact"/>
              <w:ind w:left="2"/>
              <w:rPr>
                <w:sz w:val="18"/>
              </w:rPr>
            </w:pPr>
            <w:r>
              <w:rPr>
                <w:w w:val="99"/>
                <w:sz w:val="18"/>
              </w:rPr>
              <w:t>2</w:t>
            </w:r>
          </w:p>
        </w:tc>
        <w:tc>
          <w:tcPr>
            <w:tcW w:w="1642" w:type="dxa"/>
          </w:tcPr>
          <w:p>
            <w:pPr>
              <w:pStyle w:val="TableParagraph"/>
              <w:spacing w:line="206" w:lineRule="exact"/>
              <w:ind w:left="45" w:right="45"/>
              <w:rPr>
                <w:sz w:val="18"/>
              </w:rPr>
            </w:pPr>
            <w:r>
              <w:rPr>
                <w:sz w:val="18"/>
              </w:rPr>
              <w:t>67.29%</w:t>
            </w:r>
          </w:p>
        </w:tc>
      </w:tr>
    </w:tbl>
    <w:p>
      <w:pPr>
        <w:spacing w:before="8"/>
        <w:ind w:left="1394" w:right="6" w:firstLine="0"/>
        <w:jc w:val="left"/>
        <w:rPr>
          <w:sz w:val="16"/>
        </w:rPr>
      </w:pPr>
      <w:r>
        <w:rPr>
          <w:sz w:val="16"/>
        </w:rPr>
        <w:t>Fuente: Elaboración propia con datos del INFOEM.</w:t>
      </w:r>
    </w:p>
    <w:p>
      <w:pPr>
        <w:pStyle w:val="BodyText"/>
        <w:rPr>
          <w:sz w:val="20"/>
        </w:rPr>
      </w:pPr>
    </w:p>
    <w:p>
      <w:pPr>
        <w:pStyle w:val="BodyText"/>
        <w:rPr>
          <w:sz w:val="20"/>
        </w:rPr>
      </w:pPr>
    </w:p>
    <w:p>
      <w:pPr>
        <w:pStyle w:val="BodyText"/>
        <w:rPr>
          <w:sz w:val="19"/>
        </w:rPr>
      </w:pPr>
    </w:p>
    <w:p>
      <w:pPr>
        <w:pStyle w:val="BodyText"/>
        <w:spacing w:line="360" w:lineRule="auto" w:before="1"/>
        <w:ind w:left="108" w:right="116"/>
        <w:jc w:val="both"/>
      </w:pPr>
      <w:r>
        <w:rPr/>
        <w:t>En la tabla 21 se puede apreciar cómo de acuerdo a las mediciones del INFOEM realizadas durante el periodo 2012-2015 el municipio de Toluca fue el más transparente con 98.75% seguido de Huixquilucan con 98.7%, en tercer lugar, aparece Tlalnepantla de Baz con 93.04%, en cuarto lugar se ubica Cuautitlán Izcalli con 87.64%, seguido de Almoloya de Juárez con 82.07% y Xonacatlán con</w:t>
      </w:r>
      <w:r>
        <w:rPr>
          <w:spacing w:val="-35"/>
        </w:rPr>
        <w:t> </w:t>
      </w:r>
      <w:r>
        <w:rPr/>
        <w:t>81.85%. Por su parte San Mateo Atenco ocupa el séptimo lugar con 74.21%, Tepotzotlán</w:t>
      </w:r>
      <w:r>
        <w:rPr>
          <w:spacing w:val="20"/>
        </w:rPr>
        <w:t> </w:t>
      </w:r>
      <w:r>
        <w:rPr/>
        <w:t>es</w:t>
      </w:r>
    </w:p>
    <w:p>
      <w:pPr>
        <w:spacing w:after="0" w:line="360" w:lineRule="auto"/>
        <w:jc w:val="both"/>
        <w:sectPr>
          <w:pgSz w:w="12240" w:h="15840"/>
          <w:pgMar w:header="0" w:footer="975" w:top="1360" w:bottom="1220" w:left="1500" w:right="1580"/>
        </w:sectPr>
      </w:pPr>
    </w:p>
    <w:p>
      <w:pPr>
        <w:pStyle w:val="BodyText"/>
        <w:spacing w:line="362" w:lineRule="auto" w:before="54"/>
        <w:ind w:left="128" w:right="127"/>
        <w:jc w:val="both"/>
      </w:pPr>
      <w:r>
        <w:rPr/>
        <w:t>el octavo lugar con 70.24%, en noveno lugar se ubica el municipio de Zinacantepec con 67.69% y en décimo lugar se encuentra Polotitlán con 67.29%.</w:t>
      </w:r>
    </w:p>
    <w:p>
      <w:pPr>
        <w:pStyle w:val="BodyText"/>
      </w:pPr>
    </w:p>
    <w:p>
      <w:pPr>
        <w:pStyle w:val="BodyText"/>
      </w:pPr>
    </w:p>
    <w:p>
      <w:pPr>
        <w:pStyle w:val="BodyText"/>
        <w:spacing w:line="360" w:lineRule="auto" w:before="182"/>
        <w:ind w:left="128" w:right="115"/>
        <w:jc w:val="both"/>
      </w:pPr>
      <w:r>
        <w:rPr/>
        <w:t>De igual forma que se ha elaborado la lista de los 10 municipios mexiquenses más transparentes,</w:t>
      </w:r>
      <w:r>
        <w:rPr>
          <w:spacing w:val="-7"/>
        </w:rPr>
        <w:t> </w:t>
      </w:r>
      <w:r>
        <w:rPr/>
        <w:t>se</w:t>
      </w:r>
      <w:r>
        <w:rPr>
          <w:spacing w:val="-9"/>
        </w:rPr>
        <w:t> </w:t>
      </w:r>
      <w:r>
        <w:rPr/>
        <w:t>encuentra</w:t>
      </w:r>
      <w:r>
        <w:rPr>
          <w:spacing w:val="-7"/>
        </w:rPr>
        <w:t> </w:t>
      </w:r>
      <w:r>
        <w:rPr/>
        <w:t>la</w:t>
      </w:r>
      <w:r>
        <w:rPr>
          <w:spacing w:val="-7"/>
        </w:rPr>
        <w:t> </w:t>
      </w:r>
      <w:r>
        <w:rPr/>
        <w:t>lista</w:t>
      </w:r>
      <w:r>
        <w:rPr>
          <w:spacing w:val="-9"/>
        </w:rPr>
        <w:t> </w:t>
      </w:r>
      <w:r>
        <w:rPr/>
        <w:t>de</w:t>
      </w:r>
      <w:r>
        <w:rPr>
          <w:spacing w:val="-7"/>
        </w:rPr>
        <w:t> </w:t>
      </w:r>
      <w:r>
        <w:rPr/>
        <w:t>los</w:t>
      </w:r>
      <w:r>
        <w:rPr>
          <w:spacing w:val="-3"/>
        </w:rPr>
        <w:t> </w:t>
      </w:r>
      <w:r>
        <w:rPr/>
        <w:t>11</w:t>
      </w:r>
      <w:r>
        <w:rPr>
          <w:spacing w:val="-9"/>
        </w:rPr>
        <w:t> </w:t>
      </w:r>
      <w:r>
        <w:rPr/>
        <w:t>menos</w:t>
      </w:r>
      <w:r>
        <w:rPr>
          <w:spacing w:val="-8"/>
        </w:rPr>
        <w:t> </w:t>
      </w:r>
      <w:r>
        <w:rPr/>
        <w:t>transparentes.</w:t>
      </w:r>
      <w:r>
        <w:rPr>
          <w:spacing w:val="-10"/>
        </w:rPr>
        <w:t> </w:t>
      </w:r>
      <w:r>
        <w:rPr/>
        <w:t>Siendo</w:t>
      </w:r>
      <w:r>
        <w:rPr>
          <w:spacing w:val="-7"/>
        </w:rPr>
        <w:t> </w:t>
      </w:r>
      <w:r>
        <w:rPr/>
        <w:t>estos</w:t>
      </w:r>
      <w:r>
        <w:rPr>
          <w:spacing w:val="-8"/>
        </w:rPr>
        <w:t> </w:t>
      </w:r>
      <w:r>
        <w:rPr/>
        <w:t>los siguientes: Almoloya de Alquisiras, Ayapango, Coacalco de Berriozabal, Cocotitlán, Ecatzingo, Jaltenco, Otzoloapan, San Simón de Guerrero, Tepetlaoxcoc, Tepetixpla y Zacanozapan quienes tuvieron cero en la evaluación realizada por el</w:t>
      </w:r>
      <w:r>
        <w:rPr>
          <w:spacing w:val="-29"/>
        </w:rPr>
        <w:t> </w:t>
      </w:r>
      <w:r>
        <w:rPr/>
        <w:t>INFOEM.</w:t>
      </w:r>
    </w:p>
    <w:p>
      <w:pPr>
        <w:pStyle w:val="BodyText"/>
      </w:pPr>
    </w:p>
    <w:p>
      <w:pPr>
        <w:pStyle w:val="BodyText"/>
      </w:pPr>
    </w:p>
    <w:p>
      <w:pPr>
        <w:pStyle w:val="Heading1"/>
        <w:numPr>
          <w:ilvl w:val="1"/>
          <w:numId w:val="52"/>
        </w:numPr>
        <w:tabs>
          <w:tab w:pos="654" w:val="left" w:leader="none"/>
        </w:tabs>
        <w:spacing w:line="360" w:lineRule="auto" w:before="186" w:after="0"/>
        <w:ind w:left="654" w:right="119" w:hanging="526"/>
        <w:jc w:val="left"/>
      </w:pPr>
      <w:bookmarkStart w:name="_bookmark17" w:id="31"/>
      <w:bookmarkEnd w:id="31"/>
      <w:r>
        <w:rPr>
          <w:b w:val="0"/>
        </w:rPr>
      </w:r>
      <w:bookmarkStart w:name="_bookmark17" w:id="32"/>
      <w:bookmarkEnd w:id="32"/>
      <w:r>
        <w:rPr/>
        <w:t>V</w:t>
      </w:r>
      <w:r>
        <w:rPr/>
        <w:t>ariables</w:t>
      </w:r>
      <w:r>
        <w:rPr>
          <w:spacing w:val="-7"/>
        </w:rPr>
        <w:t> </w:t>
      </w:r>
      <w:r>
        <w:rPr/>
        <w:t>que</w:t>
      </w:r>
      <w:r>
        <w:rPr>
          <w:spacing w:val="-9"/>
        </w:rPr>
        <w:t> </w:t>
      </w:r>
      <w:r>
        <w:rPr/>
        <w:t>influyen</w:t>
      </w:r>
      <w:r>
        <w:rPr>
          <w:spacing w:val="-6"/>
        </w:rPr>
        <w:t> </w:t>
      </w:r>
      <w:r>
        <w:rPr/>
        <w:t>en</w:t>
      </w:r>
      <w:r>
        <w:rPr>
          <w:spacing w:val="-7"/>
        </w:rPr>
        <w:t> </w:t>
      </w:r>
      <w:r>
        <w:rPr/>
        <w:t>torno</w:t>
      </w:r>
      <w:r>
        <w:rPr>
          <w:spacing w:val="-9"/>
        </w:rPr>
        <w:t> </w:t>
      </w:r>
      <w:r>
        <w:rPr/>
        <w:t>al</w:t>
      </w:r>
      <w:r>
        <w:rPr>
          <w:spacing w:val="-9"/>
        </w:rPr>
        <w:t> </w:t>
      </w:r>
      <w:r>
        <w:rPr/>
        <w:t>cumplimiento</w:t>
      </w:r>
      <w:r>
        <w:rPr>
          <w:spacing w:val="-7"/>
        </w:rPr>
        <w:t> </w:t>
      </w:r>
      <w:r>
        <w:rPr/>
        <w:t>de</w:t>
      </w:r>
      <w:r>
        <w:rPr>
          <w:spacing w:val="-8"/>
        </w:rPr>
        <w:t> </w:t>
      </w:r>
      <w:r>
        <w:rPr/>
        <w:t>la</w:t>
      </w:r>
      <w:r>
        <w:rPr>
          <w:spacing w:val="-8"/>
        </w:rPr>
        <w:t> </w:t>
      </w:r>
      <w:r>
        <w:rPr/>
        <w:t>ley</w:t>
      </w:r>
      <w:r>
        <w:rPr>
          <w:spacing w:val="-13"/>
        </w:rPr>
        <w:t> </w:t>
      </w:r>
      <w:r>
        <w:rPr/>
        <w:t>de</w:t>
      </w:r>
      <w:r>
        <w:rPr>
          <w:spacing w:val="-6"/>
        </w:rPr>
        <w:t> </w:t>
      </w:r>
      <w:r>
        <w:rPr/>
        <w:t>transparencia del Estado de</w:t>
      </w:r>
      <w:r>
        <w:rPr>
          <w:spacing w:val="-2"/>
        </w:rPr>
        <w:t> </w:t>
      </w:r>
      <w:r>
        <w:rPr/>
        <w:t>México</w:t>
      </w:r>
    </w:p>
    <w:p>
      <w:pPr>
        <w:pStyle w:val="BodyText"/>
        <w:rPr>
          <w:b/>
        </w:rPr>
      </w:pPr>
    </w:p>
    <w:p>
      <w:pPr>
        <w:pStyle w:val="BodyText"/>
        <w:spacing w:before="3"/>
        <w:rPr>
          <w:b/>
          <w:sz w:val="26"/>
        </w:rPr>
      </w:pPr>
    </w:p>
    <w:p>
      <w:pPr>
        <w:pStyle w:val="BodyText"/>
        <w:spacing w:line="360" w:lineRule="auto" w:before="1"/>
        <w:ind w:left="128" w:right="119"/>
        <w:jc w:val="both"/>
      </w:pPr>
      <w:r>
        <w:rPr/>
        <w:t>Es relevante para esta investigación conocer qué variables influyen más en el cumplimiento de la ley de transparencia, a efectos de dar respuesta a la hipótesis planteada al inicio de la misma. Por tal motivo se han seleccionado algunas.</w:t>
      </w:r>
    </w:p>
    <w:p>
      <w:pPr>
        <w:pStyle w:val="BodyText"/>
      </w:pPr>
    </w:p>
    <w:p>
      <w:pPr>
        <w:pStyle w:val="BodyText"/>
      </w:pPr>
    </w:p>
    <w:p>
      <w:pPr>
        <w:pStyle w:val="Heading1"/>
        <w:numPr>
          <w:ilvl w:val="2"/>
          <w:numId w:val="52"/>
        </w:numPr>
        <w:tabs>
          <w:tab w:pos="837" w:val="left" w:leader="none"/>
        </w:tabs>
        <w:spacing w:line="240" w:lineRule="auto" w:before="185" w:after="0"/>
        <w:ind w:left="836" w:right="0" w:hanging="720"/>
        <w:jc w:val="both"/>
      </w:pPr>
      <w:r>
        <w:rPr/>
        <w:t>Cumplimiento de la ley de transparencia según el municipio</w:t>
      </w:r>
      <w:r>
        <w:rPr>
          <w:spacing w:val="-15"/>
        </w:rPr>
        <w:t> </w:t>
      </w:r>
      <w:r>
        <w:rPr/>
        <w:t>evaluado</w:t>
      </w:r>
    </w:p>
    <w:p>
      <w:pPr>
        <w:pStyle w:val="BodyText"/>
        <w:rPr>
          <w:b/>
        </w:rPr>
      </w:pPr>
    </w:p>
    <w:p>
      <w:pPr>
        <w:pStyle w:val="BodyText"/>
        <w:rPr>
          <w:b/>
        </w:rPr>
      </w:pPr>
    </w:p>
    <w:p>
      <w:pPr>
        <w:pStyle w:val="BodyText"/>
        <w:spacing w:line="360" w:lineRule="auto" w:before="158"/>
        <w:ind w:left="128" w:right="117"/>
        <w:jc w:val="both"/>
      </w:pPr>
      <w:r>
        <w:rPr/>
        <w:t>La tabla 2.1a muestra cómo la coalición PRI-PVEM es la que más municipios ganó en el periodo 2003-2006 con 68, que representan un 54.4% del total; seguido del PAN con 24 municipios (19.2%); en tercer lugar, se encuentra el PRD con 23 municipios</w:t>
      </w:r>
      <w:r>
        <w:rPr>
          <w:spacing w:val="-17"/>
        </w:rPr>
        <w:t> </w:t>
      </w:r>
      <w:r>
        <w:rPr/>
        <w:t>ganados</w:t>
      </w:r>
      <w:r>
        <w:rPr>
          <w:spacing w:val="-17"/>
        </w:rPr>
        <w:t> </w:t>
      </w:r>
      <w:r>
        <w:rPr/>
        <w:t>(18.4%);</w:t>
      </w:r>
      <w:r>
        <w:rPr>
          <w:spacing w:val="-17"/>
        </w:rPr>
        <w:t> </w:t>
      </w:r>
      <w:r>
        <w:rPr/>
        <w:t>en</w:t>
      </w:r>
      <w:r>
        <w:rPr>
          <w:spacing w:val="-17"/>
        </w:rPr>
        <w:t> </w:t>
      </w:r>
      <w:r>
        <w:rPr/>
        <w:t>tanto</w:t>
      </w:r>
      <w:r>
        <w:rPr>
          <w:spacing w:val="-18"/>
        </w:rPr>
        <w:t> </w:t>
      </w:r>
      <w:r>
        <w:rPr/>
        <w:t>que</w:t>
      </w:r>
      <w:r>
        <w:rPr>
          <w:spacing w:val="-17"/>
        </w:rPr>
        <w:t> </w:t>
      </w:r>
      <w:r>
        <w:rPr/>
        <w:t>los</w:t>
      </w:r>
      <w:r>
        <w:rPr>
          <w:spacing w:val="-19"/>
        </w:rPr>
        <w:t> </w:t>
      </w:r>
      <w:r>
        <w:rPr/>
        <w:t>demás</w:t>
      </w:r>
      <w:r>
        <w:rPr>
          <w:spacing w:val="-17"/>
        </w:rPr>
        <w:t> </w:t>
      </w:r>
      <w:r>
        <w:rPr/>
        <w:t>tienen</w:t>
      </w:r>
      <w:r>
        <w:rPr>
          <w:spacing w:val="-19"/>
        </w:rPr>
        <w:t> </w:t>
      </w:r>
      <w:r>
        <w:rPr/>
        <w:t>una</w:t>
      </w:r>
      <w:r>
        <w:rPr>
          <w:spacing w:val="-17"/>
        </w:rPr>
        <w:t> </w:t>
      </w:r>
      <w:r>
        <w:rPr/>
        <w:t>escasa</w:t>
      </w:r>
      <w:r>
        <w:rPr>
          <w:spacing w:val="-17"/>
        </w:rPr>
        <w:t> </w:t>
      </w:r>
      <w:r>
        <w:rPr/>
        <w:t>participación ya</w:t>
      </w:r>
      <w:r>
        <w:rPr>
          <w:spacing w:val="-6"/>
        </w:rPr>
        <w:t> </w:t>
      </w:r>
      <w:r>
        <w:rPr/>
        <w:t>suman</w:t>
      </w:r>
      <w:r>
        <w:rPr>
          <w:spacing w:val="-8"/>
        </w:rPr>
        <w:t> </w:t>
      </w:r>
      <w:r>
        <w:rPr/>
        <w:t>10</w:t>
      </w:r>
      <w:r>
        <w:rPr>
          <w:spacing w:val="-8"/>
        </w:rPr>
        <w:t> </w:t>
      </w:r>
      <w:r>
        <w:rPr/>
        <w:t>municipios</w:t>
      </w:r>
      <w:r>
        <w:rPr>
          <w:spacing w:val="-7"/>
        </w:rPr>
        <w:t> </w:t>
      </w:r>
      <w:r>
        <w:rPr/>
        <w:t>entre</w:t>
      </w:r>
      <w:r>
        <w:rPr>
          <w:spacing w:val="-6"/>
        </w:rPr>
        <w:t> </w:t>
      </w:r>
      <w:r>
        <w:rPr/>
        <w:t>todos,</w:t>
      </w:r>
      <w:r>
        <w:rPr>
          <w:spacing w:val="-6"/>
        </w:rPr>
        <w:t> </w:t>
      </w:r>
      <w:r>
        <w:rPr/>
        <w:t>equivalentes</w:t>
      </w:r>
      <w:r>
        <w:rPr>
          <w:spacing w:val="-7"/>
        </w:rPr>
        <w:t> </w:t>
      </w:r>
      <w:r>
        <w:rPr/>
        <w:t>al</w:t>
      </w:r>
      <w:r>
        <w:rPr>
          <w:spacing w:val="-9"/>
        </w:rPr>
        <w:t> </w:t>
      </w:r>
      <w:r>
        <w:rPr/>
        <w:t>8%</w:t>
      </w:r>
      <w:r>
        <w:rPr>
          <w:spacing w:val="-7"/>
        </w:rPr>
        <w:t> </w:t>
      </w:r>
      <w:r>
        <w:rPr/>
        <w:t>del</w:t>
      </w:r>
      <w:r>
        <w:rPr>
          <w:spacing w:val="-7"/>
        </w:rPr>
        <w:t> </w:t>
      </w:r>
      <w:r>
        <w:rPr/>
        <w:t>total,</w:t>
      </w:r>
      <w:r>
        <w:rPr>
          <w:spacing w:val="-9"/>
        </w:rPr>
        <w:t> </w:t>
      </w:r>
      <w:r>
        <w:rPr/>
        <w:t>tal</w:t>
      </w:r>
      <w:r>
        <w:rPr>
          <w:spacing w:val="-9"/>
        </w:rPr>
        <w:t> </w:t>
      </w:r>
      <w:r>
        <w:rPr/>
        <w:t>como</w:t>
      </w:r>
      <w:r>
        <w:rPr>
          <w:spacing w:val="-6"/>
        </w:rPr>
        <w:t> </w:t>
      </w:r>
      <w:r>
        <w:rPr/>
        <w:t>se</w:t>
      </w:r>
      <w:r>
        <w:rPr>
          <w:spacing w:val="-6"/>
        </w:rPr>
        <w:t> </w:t>
      </w:r>
      <w:r>
        <w:rPr/>
        <w:t>puede observar en la siguiente</w:t>
      </w:r>
      <w:r>
        <w:rPr>
          <w:spacing w:val="-13"/>
        </w:rPr>
        <w:t> </w:t>
      </w:r>
      <w:r>
        <w:rPr/>
        <w:t>tabla:</w:t>
      </w:r>
    </w:p>
    <w:p>
      <w:pPr>
        <w:spacing w:after="0" w:line="360" w:lineRule="auto"/>
        <w:jc w:val="both"/>
        <w:sectPr>
          <w:pgSz w:w="12240" w:h="15840"/>
          <w:pgMar w:header="0" w:footer="975" w:top="1360" w:bottom="1220" w:left="1480" w:right="1580"/>
        </w:sectPr>
      </w:pPr>
    </w:p>
    <w:tbl>
      <w:tblPr>
        <w:tblW w:w="0" w:type="auto"/>
        <w:jc w:val="left"/>
        <w:tblInd w:w="5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26"/>
        <w:gridCol w:w="1359"/>
        <w:gridCol w:w="1133"/>
        <w:gridCol w:w="1102"/>
        <w:gridCol w:w="1635"/>
        <w:gridCol w:w="2055"/>
      </w:tblGrid>
      <w:tr>
        <w:trPr>
          <w:trHeight w:val="321" w:hRule="exact"/>
        </w:trPr>
        <w:tc>
          <w:tcPr>
            <w:tcW w:w="8109" w:type="dxa"/>
            <w:gridSpan w:val="6"/>
            <w:shd w:val="clear" w:color="auto" w:fill="92D050"/>
          </w:tcPr>
          <w:p>
            <w:pPr>
              <w:pStyle w:val="TableParagraph"/>
              <w:spacing w:line="200" w:lineRule="exact"/>
              <w:ind w:left="460"/>
              <w:jc w:val="left"/>
              <w:rPr>
                <w:b/>
                <w:sz w:val="18"/>
              </w:rPr>
            </w:pPr>
            <w:r>
              <w:rPr>
                <w:b/>
                <w:sz w:val="18"/>
              </w:rPr>
              <w:t>Tabla de frecuencias 3.12 Partido que gobernó el municipio en el periodo 2003-2006</w:t>
            </w:r>
          </w:p>
        </w:tc>
      </w:tr>
      <w:tr>
        <w:trPr>
          <w:trHeight w:val="319" w:hRule="exact"/>
        </w:trPr>
        <w:tc>
          <w:tcPr>
            <w:tcW w:w="2185" w:type="dxa"/>
            <w:gridSpan w:val="2"/>
            <w:shd w:val="clear" w:color="auto" w:fill="92D050"/>
          </w:tcPr>
          <w:p>
            <w:pPr>
              <w:pStyle w:val="TableParagraph"/>
              <w:spacing w:line="203" w:lineRule="exact"/>
              <w:ind w:left="782" w:right="782"/>
              <w:rPr>
                <w:sz w:val="18"/>
              </w:rPr>
            </w:pPr>
            <w:r>
              <w:rPr>
                <w:sz w:val="18"/>
              </w:rPr>
              <w:t>Partido</w:t>
            </w:r>
          </w:p>
        </w:tc>
        <w:tc>
          <w:tcPr>
            <w:tcW w:w="1133" w:type="dxa"/>
            <w:shd w:val="clear" w:color="auto" w:fill="92D050"/>
          </w:tcPr>
          <w:p>
            <w:pPr>
              <w:pStyle w:val="TableParagraph"/>
              <w:spacing w:line="203" w:lineRule="exact"/>
              <w:ind w:left="95" w:right="96"/>
              <w:rPr>
                <w:sz w:val="18"/>
              </w:rPr>
            </w:pPr>
            <w:r>
              <w:rPr>
                <w:sz w:val="18"/>
              </w:rPr>
              <w:t>Frecuencia</w:t>
            </w:r>
          </w:p>
        </w:tc>
        <w:tc>
          <w:tcPr>
            <w:tcW w:w="1102" w:type="dxa"/>
            <w:shd w:val="clear" w:color="auto" w:fill="92D050"/>
          </w:tcPr>
          <w:p>
            <w:pPr>
              <w:pStyle w:val="TableParagraph"/>
              <w:spacing w:line="203" w:lineRule="exact"/>
              <w:ind w:left="95" w:right="95"/>
              <w:rPr>
                <w:sz w:val="18"/>
              </w:rPr>
            </w:pPr>
            <w:r>
              <w:rPr>
                <w:sz w:val="18"/>
              </w:rPr>
              <w:t>Porcentaje</w:t>
            </w:r>
          </w:p>
        </w:tc>
        <w:tc>
          <w:tcPr>
            <w:tcW w:w="1635" w:type="dxa"/>
            <w:shd w:val="clear" w:color="auto" w:fill="92D050"/>
          </w:tcPr>
          <w:p>
            <w:pPr>
              <w:pStyle w:val="TableParagraph"/>
              <w:spacing w:line="203" w:lineRule="exact"/>
              <w:ind w:left="102" w:right="102"/>
              <w:rPr>
                <w:sz w:val="18"/>
              </w:rPr>
            </w:pPr>
            <w:r>
              <w:rPr>
                <w:sz w:val="18"/>
              </w:rPr>
              <w:t>Porcentaje válido</w:t>
            </w:r>
          </w:p>
        </w:tc>
        <w:tc>
          <w:tcPr>
            <w:tcW w:w="2055" w:type="dxa"/>
            <w:shd w:val="clear" w:color="auto" w:fill="92D050"/>
          </w:tcPr>
          <w:p>
            <w:pPr>
              <w:pStyle w:val="TableParagraph"/>
              <w:spacing w:line="203" w:lineRule="exact"/>
              <w:ind w:left="107" w:right="107"/>
              <w:rPr>
                <w:sz w:val="18"/>
              </w:rPr>
            </w:pPr>
            <w:r>
              <w:rPr>
                <w:sz w:val="18"/>
              </w:rPr>
              <w:t>Porcentaje acumulado</w:t>
            </w:r>
          </w:p>
        </w:tc>
      </w:tr>
      <w:tr>
        <w:trPr>
          <w:trHeight w:val="322" w:hRule="exact"/>
        </w:trPr>
        <w:tc>
          <w:tcPr>
            <w:tcW w:w="826" w:type="dxa"/>
            <w:vMerge w:val="restart"/>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9"/>
              <w:jc w:val="left"/>
              <w:rPr>
                <w:sz w:val="17"/>
              </w:rPr>
            </w:pPr>
          </w:p>
          <w:p>
            <w:pPr>
              <w:pStyle w:val="TableParagraph"/>
              <w:ind w:left="103"/>
              <w:jc w:val="left"/>
              <w:rPr>
                <w:sz w:val="18"/>
              </w:rPr>
            </w:pPr>
            <w:r>
              <w:rPr>
                <w:sz w:val="18"/>
              </w:rPr>
              <w:t>Válidos</w:t>
            </w:r>
          </w:p>
        </w:tc>
        <w:tc>
          <w:tcPr>
            <w:tcW w:w="1359" w:type="dxa"/>
          </w:tcPr>
          <w:p>
            <w:pPr>
              <w:pStyle w:val="TableParagraph"/>
              <w:spacing w:line="206" w:lineRule="exact"/>
              <w:ind w:left="103"/>
              <w:jc w:val="left"/>
              <w:rPr>
                <w:sz w:val="18"/>
              </w:rPr>
            </w:pPr>
            <w:r>
              <w:rPr>
                <w:sz w:val="18"/>
              </w:rPr>
              <w:t>PAN</w:t>
            </w:r>
          </w:p>
        </w:tc>
        <w:tc>
          <w:tcPr>
            <w:tcW w:w="1133" w:type="dxa"/>
          </w:tcPr>
          <w:p>
            <w:pPr>
              <w:pStyle w:val="TableParagraph"/>
              <w:spacing w:line="206" w:lineRule="exact"/>
              <w:ind w:left="95" w:right="95"/>
              <w:rPr>
                <w:sz w:val="18"/>
              </w:rPr>
            </w:pPr>
            <w:r>
              <w:rPr>
                <w:sz w:val="18"/>
              </w:rPr>
              <w:t>24</w:t>
            </w:r>
          </w:p>
        </w:tc>
        <w:tc>
          <w:tcPr>
            <w:tcW w:w="1102" w:type="dxa"/>
          </w:tcPr>
          <w:p>
            <w:pPr>
              <w:pStyle w:val="TableParagraph"/>
              <w:spacing w:line="206" w:lineRule="exact"/>
              <w:ind w:left="94" w:right="95"/>
              <w:rPr>
                <w:sz w:val="18"/>
              </w:rPr>
            </w:pPr>
            <w:r>
              <w:rPr>
                <w:sz w:val="18"/>
              </w:rPr>
              <w:t>19.2</w:t>
            </w:r>
          </w:p>
        </w:tc>
        <w:tc>
          <w:tcPr>
            <w:tcW w:w="1635" w:type="dxa"/>
          </w:tcPr>
          <w:p>
            <w:pPr>
              <w:pStyle w:val="TableParagraph"/>
              <w:spacing w:line="206" w:lineRule="exact"/>
              <w:ind w:left="101" w:right="102"/>
              <w:rPr>
                <w:sz w:val="18"/>
              </w:rPr>
            </w:pPr>
            <w:r>
              <w:rPr>
                <w:sz w:val="18"/>
              </w:rPr>
              <w:t>19.2</w:t>
            </w:r>
          </w:p>
        </w:tc>
        <w:tc>
          <w:tcPr>
            <w:tcW w:w="2055" w:type="dxa"/>
          </w:tcPr>
          <w:p>
            <w:pPr>
              <w:pStyle w:val="TableParagraph"/>
              <w:spacing w:line="206" w:lineRule="exact"/>
              <w:ind w:left="107" w:right="107"/>
              <w:rPr>
                <w:sz w:val="18"/>
              </w:rPr>
            </w:pPr>
            <w:r>
              <w:rPr>
                <w:sz w:val="18"/>
              </w:rPr>
              <w:t>19.2</w:t>
            </w:r>
          </w:p>
        </w:tc>
      </w:tr>
      <w:tr>
        <w:trPr>
          <w:trHeight w:val="322" w:hRule="exact"/>
        </w:trPr>
        <w:tc>
          <w:tcPr>
            <w:tcW w:w="826" w:type="dxa"/>
            <w:vMerge/>
          </w:tcPr>
          <w:p>
            <w:pPr/>
          </w:p>
        </w:tc>
        <w:tc>
          <w:tcPr>
            <w:tcW w:w="1359" w:type="dxa"/>
          </w:tcPr>
          <w:p>
            <w:pPr>
              <w:pStyle w:val="TableParagraph"/>
              <w:spacing w:line="203" w:lineRule="exact"/>
              <w:ind w:left="103"/>
              <w:jc w:val="left"/>
              <w:rPr>
                <w:sz w:val="18"/>
              </w:rPr>
            </w:pPr>
            <w:r>
              <w:rPr>
                <w:sz w:val="18"/>
              </w:rPr>
              <w:t>PRI-PVEM</w:t>
            </w:r>
          </w:p>
        </w:tc>
        <w:tc>
          <w:tcPr>
            <w:tcW w:w="1133" w:type="dxa"/>
          </w:tcPr>
          <w:p>
            <w:pPr>
              <w:pStyle w:val="TableParagraph"/>
              <w:spacing w:line="203" w:lineRule="exact"/>
              <w:ind w:left="95" w:right="95"/>
              <w:rPr>
                <w:sz w:val="18"/>
              </w:rPr>
            </w:pPr>
            <w:r>
              <w:rPr>
                <w:sz w:val="18"/>
              </w:rPr>
              <w:t>68</w:t>
            </w:r>
          </w:p>
        </w:tc>
        <w:tc>
          <w:tcPr>
            <w:tcW w:w="1102" w:type="dxa"/>
          </w:tcPr>
          <w:p>
            <w:pPr>
              <w:pStyle w:val="TableParagraph"/>
              <w:spacing w:line="203" w:lineRule="exact"/>
              <w:ind w:left="94" w:right="95"/>
              <w:rPr>
                <w:sz w:val="18"/>
              </w:rPr>
            </w:pPr>
            <w:r>
              <w:rPr>
                <w:sz w:val="18"/>
              </w:rPr>
              <w:t>54.4</w:t>
            </w:r>
          </w:p>
        </w:tc>
        <w:tc>
          <w:tcPr>
            <w:tcW w:w="1635" w:type="dxa"/>
          </w:tcPr>
          <w:p>
            <w:pPr>
              <w:pStyle w:val="TableParagraph"/>
              <w:spacing w:line="203" w:lineRule="exact"/>
              <w:ind w:left="101" w:right="102"/>
              <w:rPr>
                <w:sz w:val="18"/>
              </w:rPr>
            </w:pPr>
            <w:r>
              <w:rPr>
                <w:sz w:val="18"/>
              </w:rPr>
              <w:t>54.4</w:t>
            </w:r>
          </w:p>
        </w:tc>
        <w:tc>
          <w:tcPr>
            <w:tcW w:w="2055" w:type="dxa"/>
          </w:tcPr>
          <w:p>
            <w:pPr>
              <w:pStyle w:val="TableParagraph"/>
              <w:spacing w:line="203" w:lineRule="exact"/>
              <w:ind w:left="107" w:right="107"/>
              <w:rPr>
                <w:sz w:val="18"/>
              </w:rPr>
            </w:pPr>
            <w:r>
              <w:rPr>
                <w:sz w:val="18"/>
              </w:rPr>
              <w:t>73.6</w:t>
            </w:r>
          </w:p>
        </w:tc>
      </w:tr>
      <w:tr>
        <w:trPr>
          <w:trHeight w:val="319" w:hRule="exact"/>
        </w:trPr>
        <w:tc>
          <w:tcPr>
            <w:tcW w:w="826" w:type="dxa"/>
            <w:vMerge/>
          </w:tcPr>
          <w:p>
            <w:pPr/>
          </w:p>
        </w:tc>
        <w:tc>
          <w:tcPr>
            <w:tcW w:w="1359" w:type="dxa"/>
          </w:tcPr>
          <w:p>
            <w:pPr>
              <w:pStyle w:val="TableParagraph"/>
              <w:spacing w:line="203" w:lineRule="exact"/>
              <w:ind w:left="103"/>
              <w:jc w:val="left"/>
              <w:rPr>
                <w:sz w:val="18"/>
              </w:rPr>
            </w:pPr>
            <w:r>
              <w:rPr>
                <w:sz w:val="18"/>
              </w:rPr>
              <w:t>PRD</w:t>
            </w:r>
          </w:p>
        </w:tc>
        <w:tc>
          <w:tcPr>
            <w:tcW w:w="1133" w:type="dxa"/>
          </w:tcPr>
          <w:p>
            <w:pPr>
              <w:pStyle w:val="TableParagraph"/>
              <w:spacing w:line="203" w:lineRule="exact"/>
              <w:ind w:left="95" w:right="95"/>
              <w:rPr>
                <w:sz w:val="18"/>
              </w:rPr>
            </w:pPr>
            <w:r>
              <w:rPr>
                <w:sz w:val="18"/>
              </w:rPr>
              <w:t>23</w:t>
            </w:r>
          </w:p>
        </w:tc>
        <w:tc>
          <w:tcPr>
            <w:tcW w:w="1102" w:type="dxa"/>
          </w:tcPr>
          <w:p>
            <w:pPr>
              <w:pStyle w:val="TableParagraph"/>
              <w:spacing w:line="203" w:lineRule="exact"/>
              <w:ind w:left="94" w:right="95"/>
              <w:rPr>
                <w:sz w:val="18"/>
              </w:rPr>
            </w:pPr>
            <w:r>
              <w:rPr>
                <w:sz w:val="18"/>
              </w:rPr>
              <w:t>18.4</w:t>
            </w:r>
          </w:p>
        </w:tc>
        <w:tc>
          <w:tcPr>
            <w:tcW w:w="1635" w:type="dxa"/>
          </w:tcPr>
          <w:p>
            <w:pPr>
              <w:pStyle w:val="TableParagraph"/>
              <w:spacing w:line="203" w:lineRule="exact"/>
              <w:ind w:left="101" w:right="102"/>
              <w:rPr>
                <w:sz w:val="18"/>
              </w:rPr>
            </w:pPr>
            <w:r>
              <w:rPr>
                <w:sz w:val="18"/>
              </w:rPr>
              <w:t>18.4</w:t>
            </w:r>
          </w:p>
        </w:tc>
        <w:tc>
          <w:tcPr>
            <w:tcW w:w="2055" w:type="dxa"/>
          </w:tcPr>
          <w:p>
            <w:pPr>
              <w:pStyle w:val="TableParagraph"/>
              <w:spacing w:line="203" w:lineRule="exact"/>
              <w:ind w:left="107" w:right="107"/>
              <w:rPr>
                <w:sz w:val="18"/>
              </w:rPr>
            </w:pPr>
            <w:r>
              <w:rPr>
                <w:sz w:val="18"/>
              </w:rPr>
              <w:t>92.0</w:t>
            </w:r>
          </w:p>
        </w:tc>
      </w:tr>
      <w:tr>
        <w:trPr>
          <w:trHeight w:val="322" w:hRule="exact"/>
        </w:trPr>
        <w:tc>
          <w:tcPr>
            <w:tcW w:w="826" w:type="dxa"/>
            <w:vMerge/>
          </w:tcPr>
          <w:p>
            <w:pPr/>
          </w:p>
        </w:tc>
        <w:tc>
          <w:tcPr>
            <w:tcW w:w="1359" w:type="dxa"/>
          </w:tcPr>
          <w:p>
            <w:pPr>
              <w:pStyle w:val="TableParagraph"/>
              <w:spacing w:line="203" w:lineRule="exact"/>
              <w:ind w:left="103"/>
              <w:jc w:val="left"/>
              <w:rPr>
                <w:sz w:val="18"/>
              </w:rPr>
            </w:pPr>
            <w:r>
              <w:rPr>
                <w:sz w:val="18"/>
              </w:rPr>
              <w:t>PT</w:t>
            </w:r>
          </w:p>
        </w:tc>
        <w:tc>
          <w:tcPr>
            <w:tcW w:w="1133" w:type="dxa"/>
          </w:tcPr>
          <w:p>
            <w:pPr>
              <w:pStyle w:val="TableParagraph"/>
              <w:spacing w:line="203" w:lineRule="exact"/>
              <w:rPr>
                <w:sz w:val="18"/>
              </w:rPr>
            </w:pPr>
            <w:r>
              <w:rPr>
                <w:w w:val="99"/>
                <w:sz w:val="18"/>
              </w:rPr>
              <w:t>4</w:t>
            </w:r>
          </w:p>
        </w:tc>
        <w:tc>
          <w:tcPr>
            <w:tcW w:w="1102" w:type="dxa"/>
          </w:tcPr>
          <w:p>
            <w:pPr>
              <w:pStyle w:val="TableParagraph"/>
              <w:spacing w:line="203" w:lineRule="exact"/>
              <w:ind w:left="94" w:right="95"/>
              <w:rPr>
                <w:sz w:val="18"/>
              </w:rPr>
            </w:pPr>
            <w:r>
              <w:rPr>
                <w:sz w:val="18"/>
              </w:rPr>
              <w:t>3.2</w:t>
            </w:r>
          </w:p>
        </w:tc>
        <w:tc>
          <w:tcPr>
            <w:tcW w:w="1635" w:type="dxa"/>
          </w:tcPr>
          <w:p>
            <w:pPr>
              <w:pStyle w:val="TableParagraph"/>
              <w:spacing w:line="203" w:lineRule="exact"/>
              <w:ind w:left="102" w:right="102"/>
              <w:rPr>
                <w:sz w:val="18"/>
              </w:rPr>
            </w:pPr>
            <w:r>
              <w:rPr>
                <w:sz w:val="18"/>
              </w:rPr>
              <w:t>3.2</w:t>
            </w:r>
          </w:p>
        </w:tc>
        <w:tc>
          <w:tcPr>
            <w:tcW w:w="2055" w:type="dxa"/>
          </w:tcPr>
          <w:p>
            <w:pPr>
              <w:pStyle w:val="TableParagraph"/>
              <w:spacing w:line="203" w:lineRule="exact"/>
              <w:ind w:left="107" w:right="107"/>
              <w:rPr>
                <w:sz w:val="18"/>
              </w:rPr>
            </w:pPr>
            <w:r>
              <w:rPr>
                <w:sz w:val="18"/>
              </w:rPr>
              <w:t>95.2</w:t>
            </w:r>
          </w:p>
        </w:tc>
      </w:tr>
      <w:tr>
        <w:trPr>
          <w:trHeight w:val="319" w:hRule="exact"/>
        </w:trPr>
        <w:tc>
          <w:tcPr>
            <w:tcW w:w="826" w:type="dxa"/>
            <w:vMerge/>
          </w:tcPr>
          <w:p>
            <w:pPr/>
          </w:p>
        </w:tc>
        <w:tc>
          <w:tcPr>
            <w:tcW w:w="1359" w:type="dxa"/>
          </w:tcPr>
          <w:p>
            <w:pPr>
              <w:pStyle w:val="TableParagraph"/>
              <w:spacing w:line="203" w:lineRule="exact"/>
              <w:ind w:left="103"/>
              <w:jc w:val="left"/>
              <w:rPr>
                <w:sz w:val="18"/>
              </w:rPr>
            </w:pPr>
            <w:r>
              <w:rPr>
                <w:sz w:val="18"/>
              </w:rPr>
              <w:t>Convergencia</w:t>
            </w:r>
          </w:p>
        </w:tc>
        <w:tc>
          <w:tcPr>
            <w:tcW w:w="1133" w:type="dxa"/>
          </w:tcPr>
          <w:p>
            <w:pPr>
              <w:pStyle w:val="TableParagraph"/>
              <w:spacing w:line="203" w:lineRule="exact"/>
              <w:rPr>
                <w:sz w:val="18"/>
              </w:rPr>
            </w:pPr>
            <w:r>
              <w:rPr>
                <w:w w:val="99"/>
                <w:sz w:val="18"/>
              </w:rPr>
              <w:t>3</w:t>
            </w:r>
          </w:p>
        </w:tc>
        <w:tc>
          <w:tcPr>
            <w:tcW w:w="1102" w:type="dxa"/>
          </w:tcPr>
          <w:p>
            <w:pPr>
              <w:pStyle w:val="TableParagraph"/>
              <w:spacing w:line="203" w:lineRule="exact"/>
              <w:ind w:left="94" w:right="95"/>
              <w:rPr>
                <w:sz w:val="18"/>
              </w:rPr>
            </w:pPr>
            <w:r>
              <w:rPr>
                <w:sz w:val="18"/>
              </w:rPr>
              <w:t>2.4</w:t>
            </w:r>
          </w:p>
        </w:tc>
        <w:tc>
          <w:tcPr>
            <w:tcW w:w="1635" w:type="dxa"/>
          </w:tcPr>
          <w:p>
            <w:pPr>
              <w:pStyle w:val="TableParagraph"/>
              <w:spacing w:line="203" w:lineRule="exact"/>
              <w:ind w:left="102" w:right="102"/>
              <w:rPr>
                <w:sz w:val="18"/>
              </w:rPr>
            </w:pPr>
            <w:r>
              <w:rPr>
                <w:sz w:val="18"/>
              </w:rPr>
              <w:t>2.4</w:t>
            </w:r>
          </w:p>
        </w:tc>
        <w:tc>
          <w:tcPr>
            <w:tcW w:w="2055" w:type="dxa"/>
          </w:tcPr>
          <w:p>
            <w:pPr>
              <w:pStyle w:val="TableParagraph"/>
              <w:spacing w:line="203" w:lineRule="exact"/>
              <w:ind w:left="107" w:right="107"/>
              <w:rPr>
                <w:sz w:val="18"/>
              </w:rPr>
            </w:pPr>
            <w:r>
              <w:rPr>
                <w:sz w:val="18"/>
              </w:rPr>
              <w:t>97.6</w:t>
            </w:r>
          </w:p>
        </w:tc>
      </w:tr>
      <w:tr>
        <w:trPr>
          <w:trHeight w:val="322" w:hRule="exact"/>
        </w:trPr>
        <w:tc>
          <w:tcPr>
            <w:tcW w:w="826" w:type="dxa"/>
            <w:vMerge/>
          </w:tcPr>
          <w:p>
            <w:pPr/>
          </w:p>
        </w:tc>
        <w:tc>
          <w:tcPr>
            <w:tcW w:w="1359" w:type="dxa"/>
          </w:tcPr>
          <w:p>
            <w:pPr>
              <w:pStyle w:val="TableParagraph"/>
              <w:spacing w:line="203" w:lineRule="exact"/>
              <w:ind w:left="103"/>
              <w:jc w:val="left"/>
              <w:rPr>
                <w:sz w:val="18"/>
              </w:rPr>
            </w:pPr>
            <w:r>
              <w:rPr>
                <w:sz w:val="18"/>
              </w:rPr>
              <w:t>PSN</w:t>
            </w:r>
          </w:p>
        </w:tc>
        <w:tc>
          <w:tcPr>
            <w:tcW w:w="1133" w:type="dxa"/>
          </w:tcPr>
          <w:p>
            <w:pPr>
              <w:pStyle w:val="TableParagraph"/>
              <w:spacing w:line="203" w:lineRule="exact"/>
              <w:rPr>
                <w:sz w:val="18"/>
              </w:rPr>
            </w:pPr>
            <w:r>
              <w:rPr>
                <w:w w:val="99"/>
                <w:sz w:val="18"/>
              </w:rPr>
              <w:t>1</w:t>
            </w:r>
          </w:p>
        </w:tc>
        <w:tc>
          <w:tcPr>
            <w:tcW w:w="1102" w:type="dxa"/>
          </w:tcPr>
          <w:p>
            <w:pPr>
              <w:pStyle w:val="TableParagraph"/>
              <w:spacing w:line="203" w:lineRule="exact"/>
              <w:ind w:left="95" w:right="95"/>
              <w:rPr>
                <w:sz w:val="18"/>
              </w:rPr>
            </w:pPr>
            <w:r>
              <w:rPr>
                <w:sz w:val="18"/>
              </w:rPr>
              <w:t>.8</w:t>
            </w:r>
          </w:p>
        </w:tc>
        <w:tc>
          <w:tcPr>
            <w:tcW w:w="1635" w:type="dxa"/>
          </w:tcPr>
          <w:p>
            <w:pPr>
              <w:pStyle w:val="TableParagraph"/>
              <w:spacing w:line="203" w:lineRule="exact"/>
              <w:ind w:left="102" w:right="102"/>
              <w:rPr>
                <w:sz w:val="18"/>
              </w:rPr>
            </w:pPr>
            <w:r>
              <w:rPr>
                <w:sz w:val="18"/>
              </w:rPr>
              <w:t>.8</w:t>
            </w:r>
          </w:p>
        </w:tc>
        <w:tc>
          <w:tcPr>
            <w:tcW w:w="2055" w:type="dxa"/>
          </w:tcPr>
          <w:p>
            <w:pPr>
              <w:pStyle w:val="TableParagraph"/>
              <w:spacing w:line="203" w:lineRule="exact"/>
              <w:ind w:left="107" w:right="107"/>
              <w:rPr>
                <w:sz w:val="18"/>
              </w:rPr>
            </w:pPr>
            <w:r>
              <w:rPr>
                <w:sz w:val="18"/>
              </w:rPr>
              <w:t>98.4</w:t>
            </w:r>
          </w:p>
        </w:tc>
      </w:tr>
      <w:tr>
        <w:trPr>
          <w:trHeight w:val="319" w:hRule="exact"/>
        </w:trPr>
        <w:tc>
          <w:tcPr>
            <w:tcW w:w="826" w:type="dxa"/>
            <w:vMerge/>
          </w:tcPr>
          <w:p>
            <w:pPr/>
          </w:p>
        </w:tc>
        <w:tc>
          <w:tcPr>
            <w:tcW w:w="1359" w:type="dxa"/>
          </w:tcPr>
          <w:p>
            <w:pPr>
              <w:pStyle w:val="TableParagraph"/>
              <w:spacing w:line="203" w:lineRule="exact"/>
              <w:ind w:left="103"/>
              <w:jc w:val="left"/>
              <w:rPr>
                <w:sz w:val="18"/>
              </w:rPr>
            </w:pPr>
            <w:r>
              <w:rPr>
                <w:sz w:val="18"/>
              </w:rPr>
              <w:t>PAS</w:t>
            </w:r>
          </w:p>
        </w:tc>
        <w:tc>
          <w:tcPr>
            <w:tcW w:w="1133" w:type="dxa"/>
          </w:tcPr>
          <w:p>
            <w:pPr>
              <w:pStyle w:val="TableParagraph"/>
              <w:spacing w:line="203" w:lineRule="exact"/>
              <w:rPr>
                <w:sz w:val="18"/>
              </w:rPr>
            </w:pPr>
            <w:r>
              <w:rPr>
                <w:w w:val="99"/>
                <w:sz w:val="18"/>
              </w:rPr>
              <w:t>1</w:t>
            </w:r>
          </w:p>
        </w:tc>
        <w:tc>
          <w:tcPr>
            <w:tcW w:w="1102" w:type="dxa"/>
          </w:tcPr>
          <w:p>
            <w:pPr>
              <w:pStyle w:val="TableParagraph"/>
              <w:spacing w:line="203" w:lineRule="exact"/>
              <w:ind w:left="95" w:right="95"/>
              <w:rPr>
                <w:sz w:val="18"/>
              </w:rPr>
            </w:pPr>
            <w:r>
              <w:rPr>
                <w:sz w:val="18"/>
              </w:rPr>
              <w:t>.8</w:t>
            </w:r>
          </w:p>
        </w:tc>
        <w:tc>
          <w:tcPr>
            <w:tcW w:w="1635" w:type="dxa"/>
          </w:tcPr>
          <w:p>
            <w:pPr>
              <w:pStyle w:val="TableParagraph"/>
              <w:spacing w:line="203" w:lineRule="exact"/>
              <w:ind w:left="102" w:right="102"/>
              <w:rPr>
                <w:sz w:val="18"/>
              </w:rPr>
            </w:pPr>
            <w:r>
              <w:rPr>
                <w:sz w:val="18"/>
              </w:rPr>
              <w:t>.8</w:t>
            </w:r>
          </w:p>
        </w:tc>
        <w:tc>
          <w:tcPr>
            <w:tcW w:w="2055" w:type="dxa"/>
          </w:tcPr>
          <w:p>
            <w:pPr>
              <w:pStyle w:val="TableParagraph"/>
              <w:spacing w:line="203" w:lineRule="exact"/>
              <w:ind w:left="107" w:right="107"/>
              <w:rPr>
                <w:sz w:val="18"/>
              </w:rPr>
            </w:pPr>
            <w:r>
              <w:rPr>
                <w:sz w:val="18"/>
              </w:rPr>
              <w:t>99.2</w:t>
            </w:r>
          </w:p>
        </w:tc>
      </w:tr>
      <w:tr>
        <w:trPr>
          <w:trHeight w:val="322" w:hRule="exact"/>
        </w:trPr>
        <w:tc>
          <w:tcPr>
            <w:tcW w:w="826" w:type="dxa"/>
            <w:vMerge/>
          </w:tcPr>
          <w:p>
            <w:pPr/>
          </w:p>
        </w:tc>
        <w:tc>
          <w:tcPr>
            <w:tcW w:w="1359" w:type="dxa"/>
          </w:tcPr>
          <w:p>
            <w:pPr>
              <w:pStyle w:val="TableParagraph"/>
              <w:spacing w:line="203" w:lineRule="exact"/>
              <w:ind w:left="103"/>
              <w:jc w:val="left"/>
              <w:rPr>
                <w:sz w:val="18"/>
              </w:rPr>
            </w:pPr>
            <w:r>
              <w:rPr>
                <w:sz w:val="18"/>
              </w:rPr>
              <w:t>Sin datos</w:t>
            </w:r>
          </w:p>
        </w:tc>
        <w:tc>
          <w:tcPr>
            <w:tcW w:w="1133" w:type="dxa"/>
          </w:tcPr>
          <w:p>
            <w:pPr>
              <w:pStyle w:val="TableParagraph"/>
              <w:spacing w:line="203" w:lineRule="exact"/>
              <w:rPr>
                <w:sz w:val="18"/>
              </w:rPr>
            </w:pPr>
            <w:r>
              <w:rPr>
                <w:w w:val="99"/>
                <w:sz w:val="18"/>
              </w:rPr>
              <w:t>1</w:t>
            </w:r>
          </w:p>
        </w:tc>
        <w:tc>
          <w:tcPr>
            <w:tcW w:w="1102" w:type="dxa"/>
          </w:tcPr>
          <w:p>
            <w:pPr>
              <w:pStyle w:val="TableParagraph"/>
              <w:spacing w:line="203" w:lineRule="exact"/>
              <w:ind w:left="95" w:right="95"/>
              <w:rPr>
                <w:sz w:val="18"/>
              </w:rPr>
            </w:pPr>
            <w:r>
              <w:rPr>
                <w:sz w:val="18"/>
              </w:rPr>
              <w:t>.8</w:t>
            </w:r>
          </w:p>
        </w:tc>
        <w:tc>
          <w:tcPr>
            <w:tcW w:w="1635" w:type="dxa"/>
          </w:tcPr>
          <w:p>
            <w:pPr>
              <w:pStyle w:val="TableParagraph"/>
              <w:spacing w:line="203" w:lineRule="exact"/>
              <w:ind w:left="102" w:right="102"/>
              <w:rPr>
                <w:sz w:val="18"/>
              </w:rPr>
            </w:pPr>
            <w:r>
              <w:rPr>
                <w:sz w:val="18"/>
              </w:rPr>
              <w:t>.8</w:t>
            </w:r>
          </w:p>
        </w:tc>
        <w:tc>
          <w:tcPr>
            <w:tcW w:w="2055" w:type="dxa"/>
          </w:tcPr>
          <w:p>
            <w:pPr>
              <w:pStyle w:val="TableParagraph"/>
              <w:spacing w:line="203" w:lineRule="exact"/>
              <w:ind w:left="107" w:right="107"/>
              <w:rPr>
                <w:sz w:val="18"/>
              </w:rPr>
            </w:pPr>
            <w:r>
              <w:rPr>
                <w:sz w:val="18"/>
              </w:rPr>
              <w:t>100.0</w:t>
            </w:r>
          </w:p>
        </w:tc>
      </w:tr>
      <w:tr>
        <w:trPr>
          <w:trHeight w:val="319" w:hRule="exact"/>
        </w:trPr>
        <w:tc>
          <w:tcPr>
            <w:tcW w:w="826" w:type="dxa"/>
            <w:vMerge/>
          </w:tcPr>
          <w:p>
            <w:pPr/>
          </w:p>
        </w:tc>
        <w:tc>
          <w:tcPr>
            <w:tcW w:w="1359" w:type="dxa"/>
          </w:tcPr>
          <w:p>
            <w:pPr>
              <w:pStyle w:val="TableParagraph"/>
              <w:spacing w:line="203" w:lineRule="exact"/>
              <w:ind w:left="103"/>
              <w:jc w:val="left"/>
              <w:rPr>
                <w:sz w:val="18"/>
              </w:rPr>
            </w:pPr>
            <w:r>
              <w:rPr>
                <w:sz w:val="18"/>
              </w:rPr>
              <w:t>Total</w:t>
            </w:r>
          </w:p>
        </w:tc>
        <w:tc>
          <w:tcPr>
            <w:tcW w:w="1133" w:type="dxa"/>
          </w:tcPr>
          <w:p>
            <w:pPr>
              <w:pStyle w:val="TableParagraph"/>
              <w:spacing w:line="203" w:lineRule="exact"/>
              <w:ind w:left="95" w:right="95"/>
              <w:rPr>
                <w:sz w:val="18"/>
              </w:rPr>
            </w:pPr>
            <w:r>
              <w:rPr>
                <w:sz w:val="18"/>
              </w:rPr>
              <w:t>125</w:t>
            </w:r>
          </w:p>
        </w:tc>
        <w:tc>
          <w:tcPr>
            <w:tcW w:w="1102" w:type="dxa"/>
          </w:tcPr>
          <w:p>
            <w:pPr>
              <w:pStyle w:val="TableParagraph"/>
              <w:spacing w:line="203" w:lineRule="exact"/>
              <w:ind w:left="94" w:right="95"/>
              <w:rPr>
                <w:sz w:val="18"/>
              </w:rPr>
            </w:pPr>
            <w:r>
              <w:rPr>
                <w:sz w:val="18"/>
              </w:rPr>
              <w:t>100.0</w:t>
            </w:r>
          </w:p>
        </w:tc>
        <w:tc>
          <w:tcPr>
            <w:tcW w:w="1635" w:type="dxa"/>
          </w:tcPr>
          <w:p>
            <w:pPr>
              <w:pStyle w:val="TableParagraph"/>
              <w:spacing w:line="203" w:lineRule="exact"/>
              <w:ind w:left="101" w:right="102"/>
              <w:rPr>
                <w:sz w:val="18"/>
              </w:rPr>
            </w:pPr>
            <w:r>
              <w:rPr>
                <w:sz w:val="18"/>
              </w:rPr>
              <w:t>100.0</w:t>
            </w:r>
          </w:p>
        </w:tc>
        <w:tc>
          <w:tcPr>
            <w:tcW w:w="2055" w:type="dxa"/>
          </w:tcPr>
          <w:p>
            <w:pPr/>
          </w:p>
        </w:tc>
      </w:tr>
    </w:tbl>
    <w:p>
      <w:pPr>
        <w:spacing w:line="360" w:lineRule="auto" w:before="0"/>
        <w:ind w:left="629" w:right="6" w:firstLine="0"/>
        <w:jc w:val="left"/>
        <w:rPr>
          <w:sz w:val="16"/>
        </w:rPr>
      </w:pPr>
      <w:r>
        <w:rPr>
          <w:sz w:val="16"/>
        </w:rPr>
        <w:t>Fuente: Elaboración propia con datos de los resultados de elección de presidentes municipales 2003 del IEEM. </w:t>
      </w:r>
      <w:hyperlink r:id="rId107">
        <w:r>
          <w:rPr>
            <w:color w:val="0462C1"/>
            <w:sz w:val="16"/>
            <w:u w:val="single" w:color="0462C1"/>
          </w:rPr>
          <w:t>http://www.ieem.org.mx/numeralia/result_elect.htm</w:t>
        </w:r>
        <w:r>
          <w:rPr>
            <w:color w:val="0462C1"/>
            <w:sz w:val="16"/>
          </w:rPr>
          <w:t>l</w:t>
        </w:r>
      </w:hyperlink>
      <w:r>
        <w:rPr>
          <w:color w:val="0462C1"/>
          <w:sz w:val="16"/>
        </w:rPr>
        <w:t> </w:t>
      </w:r>
      <w:r>
        <w:rPr>
          <w:sz w:val="16"/>
        </w:rPr>
        <w:t>[04-12-2013]</w:t>
      </w:r>
    </w:p>
    <w:p>
      <w:pPr>
        <w:pStyle w:val="BodyText"/>
        <w:rPr>
          <w:sz w:val="20"/>
        </w:rPr>
      </w:pPr>
    </w:p>
    <w:p>
      <w:pPr>
        <w:pStyle w:val="BodyText"/>
        <w:spacing w:before="5"/>
      </w:pPr>
    </w:p>
    <w:p>
      <w:pPr>
        <w:pStyle w:val="BodyText"/>
        <w:spacing w:line="360" w:lineRule="auto" w:before="69"/>
        <w:ind w:left="108" w:right="117"/>
        <w:jc w:val="both"/>
      </w:pPr>
      <w:r>
        <w:rPr/>
        <w:t>Para el periodo 2006-2009 (ver tabla 3.13) la coalición PRI-PVEM es la que más municipios ganó con 55, que representan un 44.0% del total; seguido del PRD con 25 municipios (20.0%); en tercer lugar, se encuentra el PAN con 24 municipios ganados (19.2%); en tanto que los demás municipios ganados por las diferentes coaliciones suman 21 municipios equivalente al 16.8% del total.</w:t>
      </w:r>
    </w:p>
    <w:p>
      <w:pPr>
        <w:pStyle w:val="BodyText"/>
        <w:rPr>
          <w:sz w:val="20"/>
        </w:rPr>
      </w:pPr>
    </w:p>
    <w:p>
      <w:pPr>
        <w:pStyle w:val="BodyText"/>
        <w:rPr>
          <w:sz w:val="20"/>
        </w:rPr>
      </w:pPr>
    </w:p>
    <w:p>
      <w:pPr>
        <w:pStyle w:val="BodyText"/>
        <w:spacing w:before="5" w:after="1"/>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06"/>
        <w:gridCol w:w="2029"/>
        <w:gridCol w:w="1169"/>
        <w:gridCol w:w="1136"/>
        <w:gridCol w:w="1685"/>
        <w:gridCol w:w="2098"/>
      </w:tblGrid>
      <w:tr>
        <w:trPr>
          <w:trHeight w:val="216" w:hRule="exact"/>
        </w:trPr>
        <w:tc>
          <w:tcPr>
            <w:tcW w:w="8922" w:type="dxa"/>
            <w:gridSpan w:val="6"/>
            <w:shd w:val="clear" w:color="auto" w:fill="92D050"/>
          </w:tcPr>
          <w:p>
            <w:pPr>
              <w:pStyle w:val="TableParagraph"/>
              <w:spacing w:line="201" w:lineRule="exact"/>
              <w:ind w:left="844" w:right="56"/>
              <w:jc w:val="left"/>
              <w:rPr>
                <w:b/>
                <w:sz w:val="18"/>
              </w:rPr>
            </w:pPr>
            <w:r>
              <w:rPr>
                <w:b/>
                <w:sz w:val="18"/>
              </w:rPr>
              <w:t>Tabla de frecuencias 3.13. Partido que gobernó el municipio en el periodo 2006-2009</w:t>
            </w:r>
          </w:p>
        </w:tc>
      </w:tr>
      <w:tr>
        <w:trPr>
          <w:trHeight w:val="425" w:hRule="exact"/>
        </w:trPr>
        <w:tc>
          <w:tcPr>
            <w:tcW w:w="2835" w:type="dxa"/>
            <w:gridSpan w:val="2"/>
            <w:shd w:val="clear" w:color="auto" w:fill="92D050"/>
          </w:tcPr>
          <w:p>
            <w:pPr>
              <w:pStyle w:val="TableParagraph"/>
              <w:spacing w:line="201" w:lineRule="exact"/>
              <w:ind w:left="1082" w:right="1083"/>
              <w:rPr>
                <w:b/>
                <w:sz w:val="18"/>
              </w:rPr>
            </w:pPr>
            <w:r>
              <w:rPr>
                <w:b/>
                <w:sz w:val="18"/>
              </w:rPr>
              <w:t>Partido</w:t>
            </w:r>
          </w:p>
        </w:tc>
        <w:tc>
          <w:tcPr>
            <w:tcW w:w="1169" w:type="dxa"/>
            <w:shd w:val="clear" w:color="auto" w:fill="92D050"/>
          </w:tcPr>
          <w:p>
            <w:pPr>
              <w:pStyle w:val="TableParagraph"/>
              <w:spacing w:line="201" w:lineRule="exact"/>
              <w:ind w:left="83" w:right="84"/>
              <w:rPr>
                <w:b/>
                <w:sz w:val="18"/>
              </w:rPr>
            </w:pPr>
            <w:r>
              <w:rPr>
                <w:b/>
                <w:sz w:val="18"/>
              </w:rPr>
              <w:t>Frecuencia</w:t>
            </w:r>
          </w:p>
        </w:tc>
        <w:tc>
          <w:tcPr>
            <w:tcW w:w="1136" w:type="dxa"/>
            <w:shd w:val="clear" w:color="auto" w:fill="92D050"/>
          </w:tcPr>
          <w:p>
            <w:pPr>
              <w:pStyle w:val="TableParagraph"/>
              <w:spacing w:line="201" w:lineRule="exact"/>
              <w:ind w:left="83" w:right="81"/>
              <w:rPr>
                <w:b/>
                <w:sz w:val="18"/>
              </w:rPr>
            </w:pPr>
            <w:r>
              <w:rPr>
                <w:b/>
                <w:sz w:val="18"/>
              </w:rPr>
              <w:t>Porcentaje</w:t>
            </w:r>
          </w:p>
        </w:tc>
        <w:tc>
          <w:tcPr>
            <w:tcW w:w="1685" w:type="dxa"/>
            <w:shd w:val="clear" w:color="auto" w:fill="92D050"/>
          </w:tcPr>
          <w:p>
            <w:pPr>
              <w:pStyle w:val="TableParagraph"/>
              <w:spacing w:line="242" w:lineRule="auto"/>
              <w:ind w:left="575" w:right="359" w:hanging="200"/>
              <w:jc w:val="left"/>
              <w:rPr>
                <w:b/>
                <w:sz w:val="18"/>
              </w:rPr>
            </w:pPr>
            <w:r>
              <w:rPr>
                <w:b/>
                <w:sz w:val="18"/>
              </w:rPr>
              <w:t>Porcentaje válido</w:t>
            </w:r>
          </w:p>
        </w:tc>
        <w:tc>
          <w:tcPr>
            <w:tcW w:w="2098" w:type="dxa"/>
            <w:shd w:val="clear" w:color="auto" w:fill="92D050"/>
          </w:tcPr>
          <w:p>
            <w:pPr>
              <w:pStyle w:val="TableParagraph"/>
              <w:spacing w:line="242" w:lineRule="auto"/>
              <w:ind w:left="568" w:right="550" w:firstLine="14"/>
              <w:jc w:val="left"/>
              <w:rPr>
                <w:b/>
                <w:sz w:val="18"/>
              </w:rPr>
            </w:pPr>
            <w:r>
              <w:rPr>
                <w:b/>
                <w:sz w:val="18"/>
              </w:rPr>
              <w:t>Porcentaje acumulado</w:t>
            </w:r>
          </w:p>
        </w:tc>
      </w:tr>
      <w:tr>
        <w:trPr>
          <w:trHeight w:val="216" w:hRule="exact"/>
        </w:trPr>
        <w:tc>
          <w:tcPr>
            <w:tcW w:w="806" w:type="dxa"/>
            <w:vMerge w:val="restart"/>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11"/>
              <w:jc w:val="left"/>
              <w:rPr>
                <w:sz w:val="17"/>
              </w:rPr>
            </w:pPr>
          </w:p>
          <w:p>
            <w:pPr>
              <w:pStyle w:val="TableParagraph"/>
              <w:ind w:left="103"/>
              <w:jc w:val="left"/>
              <w:rPr>
                <w:sz w:val="18"/>
              </w:rPr>
            </w:pPr>
            <w:r>
              <w:rPr>
                <w:sz w:val="18"/>
              </w:rPr>
              <w:t>Válidos</w:t>
            </w:r>
          </w:p>
        </w:tc>
        <w:tc>
          <w:tcPr>
            <w:tcW w:w="2029" w:type="dxa"/>
          </w:tcPr>
          <w:p>
            <w:pPr>
              <w:pStyle w:val="TableParagraph"/>
              <w:spacing w:line="206" w:lineRule="exact"/>
              <w:ind w:left="103"/>
              <w:jc w:val="left"/>
              <w:rPr>
                <w:sz w:val="18"/>
              </w:rPr>
            </w:pPr>
            <w:r>
              <w:rPr>
                <w:sz w:val="18"/>
              </w:rPr>
              <w:t>PAN</w:t>
            </w:r>
          </w:p>
        </w:tc>
        <w:tc>
          <w:tcPr>
            <w:tcW w:w="1169" w:type="dxa"/>
          </w:tcPr>
          <w:p>
            <w:pPr>
              <w:pStyle w:val="TableParagraph"/>
              <w:spacing w:line="206" w:lineRule="exact"/>
              <w:ind w:left="83" w:right="83"/>
              <w:rPr>
                <w:sz w:val="18"/>
              </w:rPr>
            </w:pPr>
            <w:r>
              <w:rPr>
                <w:sz w:val="18"/>
              </w:rPr>
              <w:t>24</w:t>
            </w:r>
          </w:p>
        </w:tc>
        <w:tc>
          <w:tcPr>
            <w:tcW w:w="1136" w:type="dxa"/>
          </w:tcPr>
          <w:p>
            <w:pPr>
              <w:pStyle w:val="TableParagraph"/>
              <w:spacing w:line="206" w:lineRule="exact"/>
              <w:ind w:left="83" w:right="81"/>
              <w:rPr>
                <w:sz w:val="18"/>
              </w:rPr>
            </w:pPr>
            <w:r>
              <w:rPr>
                <w:sz w:val="18"/>
              </w:rPr>
              <w:t>19.2</w:t>
            </w:r>
          </w:p>
        </w:tc>
        <w:tc>
          <w:tcPr>
            <w:tcW w:w="1685" w:type="dxa"/>
          </w:tcPr>
          <w:p>
            <w:pPr>
              <w:pStyle w:val="TableParagraph"/>
              <w:spacing w:line="206" w:lineRule="exact"/>
              <w:ind w:left="592" w:right="592"/>
              <w:rPr>
                <w:sz w:val="18"/>
              </w:rPr>
            </w:pPr>
            <w:r>
              <w:rPr>
                <w:sz w:val="18"/>
              </w:rPr>
              <w:t>19.2</w:t>
            </w:r>
          </w:p>
        </w:tc>
        <w:tc>
          <w:tcPr>
            <w:tcW w:w="2098" w:type="dxa"/>
          </w:tcPr>
          <w:p>
            <w:pPr>
              <w:pStyle w:val="TableParagraph"/>
              <w:spacing w:line="206" w:lineRule="exact"/>
              <w:ind w:left="799" w:right="798"/>
              <w:rPr>
                <w:sz w:val="18"/>
              </w:rPr>
            </w:pPr>
            <w:r>
              <w:rPr>
                <w:sz w:val="18"/>
              </w:rPr>
              <w:t>19.2</w:t>
            </w:r>
          </w:p>
        </w:tc>
      </w:tr>
      <w:tr>
        <w:trPr>
          <w:trHeight w:val="218" w:hRule="exact"/>
        </w:trPr>
        <w:tc>
          <w:tcPr>
            <w:tcW w:w="806" w:type="dxa"/>
            <w:vMerge/>
          </w:tcPr>
          <w:p>
            <w:pPr/>
          </w:p>
        </w:tc>
        <w:tc>
          <w:tcPr>
            <w:tcW w:w="2029" w:type="dxa"/>
          </w:tcPr>
          <w:p>
            <w:pPr>
              <w:pStyle w:val="TableParagraph"/>
              <w:spacing w:line="206" w:lineRule="exact"/>
              <w:ind w:left="103"/>
              <w:jc w:val="left"/>
              <w:rPr>
                <w:sz w:val="18"/>
              </w:rPr>
            </w:pPr>
            <w:r>
              <w:rPr>
                <w:sz w:val="18"/>
              </w:rPr>
              <w:t>PRI-PVEM</w:t>
            </w:r>
          </w:p>
        </w:tc>
        <w:tc>
          <w:tcPr>
            <w:tcW w:w="1169" w:type="dxa"/>
          </w:tcPr>
          <w:p>
            <w:pPr>
              <w:pStyle w:val="TableParagraph"/>
              <w:spacing w:line="206" w:lineRule="exact"/>
              <w:ind w:left="83" w:right="83"/>
              <w:rPr>
                <w:sz w:val="18"/>
              </w:rPr>
            </w:pPr>
            <w:r>
              <w:rPr>
                <w:sz w:val="18"/>
              </w:rPr>
              <w:t>55</w:t>
            </w:r>
          </w:p>
        </w:tc>
        <w:tc>
          <w:tcPr>
            <w:tcW w:w="1136" w:type="dxa"/>
          </w:tcPr>
          <w:p>
            <w:pPr>
              <w:pStyle w:val="TableParagraph"/>
              <w:spacing w:line="206" w:lineRule="exact"/>
              <w:ind w:left="83" w:right="81"/>
              <w:rPr>
                <w:sz w:val="18"/>
              </w:rPr>
            </w:pPr>
            <w:r>
              <w:rPr>
                <w:sz w:val="18"/>
              </w:rPr>
              <w:t>44.0</w:t>
            </w:r>
          </w:p>
        </w:tc>
        <w:tc>
          <w:tcPr>
            <w:tcW w:w="1685" w:type="dxa"/>
          </w:tcPr>
          <w:p>
            <w:pPr>
              <w:pStyle w:val="TableParagraph"/>
              <w:spacing w:line="206" w:lineRule="exact"/>
              <w:ind w:left="592" w:right="592"/>
              <w:rPr>
                <w:sz w:val="18"/>
              </w:rPr>
            </w:pPr>
            <w:r>
              <w:rPr>
                <w:sz w:val="18"/>
              </w:rPr>
              <w:t>44.0</w:t>
            </w:r>
          </w:p>
        </w:tc>
        <w:tc>
          <w:tcPr>
            <w:tcW w:w="2098" w:type="dxa"/>
          </w:tcPr>
          <w:p>
            <w:pPr>
              <w:pStyle w:val="TableParagraph"/>
              <w:spacing w:line="206" w:lineRule="exact"/>
              <w:ind w:left="799" w:right="798"/>
              <w:rPr>
                <w:sz w:val="18"/>
              </w:rPr>
            </w:pPr>
            <w:r>
              <w:rPr>
                <w:sz w:val="18"/>
              </w:rPr>
              <w:t>63.2</w:t>
            </w:r>
          </w:p>
        </w:tc>
      </w:tr>
      <w:tr>
        <w:trPr>
          <w:trHeight w:val="216" w:hRule="exact"/>
        </w:trPr>
        <w:tc>
          <w:tcPr>
            <w:tcW w:w="806" w:type="dxa"/>
            <w:vMerge/>
          </w:tcPr>
          <w:p>
            <w:pPr/>
          </w:p>
        </w:tc>
        <w:tc>
          <w:tcPr>
            <w:tcW w:w="2029" w:type="dxa"/>
          </w:tcPr>
          <w:p>
            <w:pPr>
              <w:pStyle w:val="TableParagraph"/>
              <w:spacing w:line="206" w:lineRule="exact"/>
              <w:ind w:left="103"/>
              <w:jc w:val="left"/>
              <w:rPr>
                <w:sz w:val="18"/>
              </w:rPr>
            </w:pPr>
            <w:r>
              <w:rPr>
                <w:sz w:val="18"/>
              </w:rPr>
              <w:t>PRD</w:t>
            </w:r>
          </w:p>
        </w:tc>
        <w:tc>
          <w:tcPr>
            <w:tcW w:w="1169" w:type="dxa"/>
          </w:tcPr>
          <w:p>
            <w:pPr>
              <w:pStyle w:val="TableParagraph"/>
              <w:spacing w:line="206" w:lineRule="exact"/>
              <w:ind w:left="83" w:right="83"/>
              <w:rPr>
                <w:sz w:val="18"/>
              </w:rPr>
            </w:pPr>
            <w:r>
              <w:rPr>
                <w:sz w:val="18"/>
              </w:rPr>
              <w:t>25</w:t>
            </w:r>
          </w:p>
        </w:tc>
        <w:tc>
          <w:tcPr>
            <w:tcW w:w="1136" w:type="dxa"/>
          </w:tcPr>
          <w:p>
            <w:pPr>
              <w:pStyle w:val="TableParagraph"/>
              <w:spacing w:line="206" w:lineRule="exact"/>
              <w:ind w:left="83" w:right="81"/>
              <w:rPr>
                <w:sz w:val="18"/>
              </w:rPr>
            </w:pPr>
            <w:r>
              <w:rPr>
                <w:sz w:val="18"/>
              </w:rPr>
              <w:t>20.0</w:t>
            </w:r>
          </w:p>
        </w:tc>
        <w:tc>
          <w:tcPr>
            <w:tcW w:w="1685" w:type="dxa"/>
          </w:tcPr>
          <w:p>
            <w:pPr>
              <w:pStyle w:val="TableParagraph"/>
              <w:spacing w:line="206" w:lineRule="exact"/>
              <w:ind w:left="592" w:right="592"/>
              <w:rPr>
                <w:sz w:val="18"/>
              </w:rPr>
            </w:pPr>
            <w:r>
              <w:rPr>
                <w:sz w:val="18"/>
              </w:rPr>
              <w:t>20.0</w:t>
            </w:r>
          </w:p>
        </w:tc>
        <w:tc>
          <w:tcPr>
            <w:tcW w:w="2098" w:type="dxa"/>
          </w:tcPr>
          <w:p>
            <w:pPr>
              <w:pStyle w:val="TableParagraph"/>
              <w:spacing w:line="206" w:lineRule="exact"/>
              <w:ind w:left="799" w:right="798"/>
              <w:rPr>
                <w:sz w:val="18"/>
              </w:rPr>
            </w:pPr>
            <w:r>
              <w:rPr>
                <w:sz w:val="18"/>
              </w:rPr>
              <w:t>83.2</w:t>
            </w:r>
          </w:p>
        </w:tc>
      </w:tr>
      <w:tr>
        <w:trPr>
          <w:trHeight w:val="216" w:hRule="exact"/>
        </w:trPr>
        <w:tc>
          <w:tcPr>
            <w:tcW w:w="806" w:type="dxa"/>
            <w:vMerge/>
          </w:tcPr>
          <w:p>
            <w:pPr/>
          </w:p>
        </w:tc>
        <w:tc>
          <w:tcPr>
            <w:tcW w:w="2029" w:type="dxa"/>
          </w:tcPr>
          <w:p>
            <w:pPr>
              <w:pStyle w:val="TableParagraph"/>
              <w:spacing w:line="206" w:lineRule="exact"/>
              <w:ind w:left="103"/>
              <w:jc w:val="left"/>
              <w:rPr>
                <w:sz w:val="18"/>
              </w:rPr>
            </w:pPr>
            <w:r>
              <w:rPr>
                <w:sz w:val="18"/>
              </w:rPr>
              <w:t>PT</w:t>
            </w:r>
          </w:p>
        </w:tc>
        <w:tc>
          <w:tcPr>
            <w:tcW w:w="1169" w:type="dxa"/>
          </w:tcPr>
          <w:p>
            <w:pPr>
              <w:pStyle w:val="TableParagraph"/>
              <w:spacing w:line="206" w:lineRule="exact"/>
              <w:ind w:right="1"/>
              <w:rPr>
                <w:sz w:val="18"/>
              </w:rPr>
            </w:pPr>
            <w:r>
              <w:rPr>
                <w:w w:val="99"/>
                <w:sz w:val="18"/>
              </w:rPr>
              <w:t>2</w:t>
            </w:r>
          </w:p>
        </w:tc>
        <w:tc>
          <w:tcPr>
            <w:tcW w:w="1136" w:type="dxa"/>
          </w:tcPr>
          <w:p>
            <w:pPr>
              <w:pStyle w:val="TableParagraph"/>
              <w:spacing w:line="206" w:lineRule="exact"/>
              <w:ind w:left="83" w:right="80"/>
              <w:rPr>
                <w:sz w:val="18"/>
              </w:rPr>
            </w:pPr>
            <w:r>
              <w:rPr>
                <w:sz w:val="18"/>
              </w:rPr>
              <w:t>1.6</w:t>
            </w:r>
          </w:p>
        </w:tc>
        <w:tc>
          <w:tcPr>
            <w:tcW w:w="1685" w:type="dxa"/>
          </w:tcPr>
          <w:p>
            <w:pPr>
              <w:pStyle w:val="TableParagraph"/>
              <w:spacing w:line="206" w:lineRule="exact"/>
              <w:ind w:left="592" w:right="591"/>
              <w:rPr>
                <w:sz w:val="18"/>
              </w:rPr>
            </w:pPr>
            <w:r>
              <w:rPr>
                <w:sz w:val="18"/>
              </w:rPr>
              <w:t>1.6</w:t>
            </w:r>
          </w:p>
        </w:tc>
        <w:tc>
          <w:tcPr>
            <w:tcW w:w="2098" w:type="dxa"/>
          </w:tcPr>
          <w:p>
            <w:pPr>
              <w:pStyle w:val="TableParagraph"/>
              <w:spacing w:line="206" w:lineRule="exact"/>
              <w:ind w:left="799" w:right="798"/>
              <w:rPr>
                <w:sz w:val="18"/>
              </w:rPr>
            </w:pPr>
            <w:r>
              <w:rPr>
                <w:sz w:val="18"/>
              </w:rPr>
              <w:t>84.8</w:t>
            </w:r>
          </w:p>
        </w:tc>
      </w:tr>
      <w:tr>
        <w:trPr>
          <w:trHeight w:val="218" w:hRule="exact"/>
        </w:trPr>
        <w:tc>
          <w:tcPr>
            <w:tcW w:w="806" w:type="dxa"/>
            <w:vMerge/>
          </w:tcPr>
          <w:p>
            <w:pPr/>
          </w:p>
        </w:tc>
        <w:tc>
          <w:tcPr>
            <w:tcW w:w="2029" w:type="dxa"/>
          </w:tcPr>
          <w:p>
            <w:pPr>
              <w:pStyle w:val="TableParagraph"/>
              <w:spacing w:before="1"/>
              <w:ind w:left="103"/>
              <w:jc w:val="left"/>
              <w:rPr>
                <w:sz w:val="18"/>
              </w:rPr>
            </w:pPr>
            <w:r>
              <w:rPr>
                <w:sz w:val="18"/>
              </w:rPr>
              <w:t>Convergencia</w:t>
            </w:r>
          </w:p>
        </w:tc>
        <w:tc>
          <w:tcPr>
            <w:tcW w:w="1169" w:type="dxa"/>
          </w:tcPr>
          <w:p>
            <w:pPr>
              <w:pStyle w:val="TableParagraph"/>
              <w:spacing w:before="1"/>
              <w:ind w:right="1"/>
              <w:rPr>
                <w:sz w:val="18"/>
              </w:rPr>
            </w:pPr>
            <w:r>
              <w:rPr>
                <w:w w:val="99"/>
                <w:sz w:val="18"/>
              </w:rPr>
              <w:t>3</w:t>
            </w:r>
          </w:p>
        </w:tc>
        <w:tc>
          <w:tcPr>
            <w:tcW w:w="1136" w:type="dxa"/>
          </w:tcPr>
          <w:p>
            <w:pPr>
              <w:pStyle w:val="TableParagraph"/>
              <w:spacing w:before="1"/>
              <w:ind w:left="83" w:right="80"/>
              <w:rPr>
                <w:sz w:val="18"/>
              </w:rPr>
            </w:pPr>
            <w:r>
              <w:rPr>
                <w:sz w:val="18"/>
              </w:rPr>
              <w:t>2.4</w:t>
            </w:r>
          </w:p>
        </w:tc>
        <w:tc>
          <w:tcPr>
            <w:tcW w:w="1685" w:type="dxa"/>
          </w:tcPr>
          <w:p>
            <w:pPr>
              <w:pStyle w:val="TableParagraph"/>
              <w:spacing w:before="1"/>
              <w:ind w:left="592" w:right="591"/>
              <w:rPr>
                <w:sz w:val="18"/>
              </w:rPr>
            </w:pPr>
            <w:r>
              <w:rPr>
                <w:sz w:val="18"/>
              </w:rPr>
              <w:t>2.4</w:t>
            </w:r>
          </w:p>
        </w:tc>
        <w:tc>
          <w:tcPr>
            <w:tcW w:w="2098" w:type="dxa"/>
          </w:tcPr>
          <w:p>
            <w:pPr>
              <w:pStyle w:val="TableParagraph"/>
              <w:spacing w:before="1"/>
              <w:ind w:left="799" w:right="798"/>
              <w:rPr>
                <w:sz w:val="18"/>
              </w:rPr>
            </w:pPr>
            <w:r>
              <w:rPr>
                <w:sz w:val="18"/>
              </w:rPr>
              <w:t>87.2</w:t>
            </w:r>
          </w:p>
        </w:tc>
      </w:tr>
      <w:tr>
        <w:trPr>
          <w:trHeight w:val="425" w:hRule="exact"/>
        </w:trPr>
        <w:tc>
          <w:tcPr>
            <w:tcW w:w="806" w:type="dxa"/>
            <w:vMerge/>
          </w:tcPr>
          <w:p>
            <w:pPr/>
          </w:p>
        </w:tc>
        <w:tc>
          <w:tcPr>
            <w:tcW w:w="2029" w:type="dxa"/>
          </w:tcPr>
          <w:p>
            <w:pPr>
              <w:pStyle w:val="TableParagraph"/>
              <w:spacing w:line="206" w:lineRule="exact"/>
              <w:ind w:left="103"/>
              <w:jc w:val="left"/>
              <w:rPr>
                <w:sz w:val="18"/>
              </w:rPr>
            </w:pPr>
            <w:r>
              <w:rPr>
                <w:sz w:val="18"/>
              </w:rPr>
              <w:t>PRD-PT-</w:t>
            </w:r>
          </w:p>
          <w:p>
            <w:pPr>
              <w:pStyle w:val="TableParagraph"/>
              <w:spacing w:line="207" w:lineRule="exact"/>
              <w:ind w:left="103"/>
              <w:jc w:val="left"/>
              <w:rPr>
                <w:sz w:val="18"/>
              </w:rPr>
            </w:pPr>
            <w:r>
              <w:rPr>
                <w:sz w:val="18"/>
              </w:rPr>
              <w:t>Convergencia</w:t>
            </w:r>
          </w:p>
        </w:tc>
        <w:tc>
          <w:tcPr>
            <w:tcW w:w="1169" w:type="dxa"/>
          </w:tcPr>
          <w:p>
            <w:pPr>
              <w:pStyle w:val="TableParagraph"/>
              <w:spacing w:line="206" w:lineRule="exact"/>
              <w:ind w:right="1"/>
              <w:rPr>
                <w:sz w:val="18"/>
              </w:rPr>
            </w:pPr>
            <w:r>
              <w:rPr>
                <w:w w:val="99"/>
                <w:sz w:val="18"/>
              </w:rPr>
              <w:t>1</w:t>
            </w:r>
          </w:p>
        </w:tc>
        <w:tc>
          <w:tcPr>
            <w:tcW w:w="1136" w:type="dxa"/>
          </w:tcPr>
          <w:p>
            <w:pPr>
              <w:pStyle w:val="TableParagraph"/>
              <w:spacing w:line="206" w:lineRule="exact"/>
              <w:ind w:left="81" w:right="81"/>
              <w:rPr>
                <w:sz w:val="18"/>
              </w:rPr>
            </w:pPr>
            <w:r>
              <w:rPr>
                <w:sz w:val="18"/>
              </w:rPr>
              <w:t>.8</w:t>
            </w:r>
          </w:p>
        </w:tc>
        <w:tc>
          <w:tcPr>
            <w:tcW w:w="1685" w:type="dxa"/>
          </w:tcPr>
          <w:p>
            <w:pPr>
              <w:pStyle w:val="TableParagraph"/>
              <w:spacing w:line="206" w:lineRule="exact"/>
              <w:ind w:left="592" w:right="592"/>
              <w:rPr>
                <w:sz w:val="18"/>
              </w:rPr>
            </w:pPr>
            <w:r>
              <w:rPr>
                <w:sz w:val="18"/>
              </w:rPr>
              <w:t>.8</w:t>
            </w:r>
          </w:p>
        </w:tc>
        <w:tc>
          <w:tcPr>
            <w:tcW w:w="2098" w:type="dxa"/>
          </w:tcPr>
          <w:p>
            <w:pPr>
              <w:pStyle w:val="TableParagraph"/>
              <w:spacing w:line="206" w:lineRule="exact"/>
              <w:ind w:left="799" w:right="798"/>
              <w:rPr>
                <w:sz w:val="18"/>
              </w:rPr>
            </w:pPr>
            <w:r>
              <w:rPr>
                <w:sz w:val="18"/>
              </w:rPr>
              <w:t>88.0</w:t>
            </w:r>
          </w:p>
        </w:tc>
      </w:tr>
      <w:tr>
        <w:trPr>
          <w:trHeight w:val="252" w:hRule="exact"/>
        </w:trPr>
        <w:tc>
          <w:tcPr>
            <w:tcW w:w="806" w:type="dxa"/>
            <w:vMerge/>
          </w:tcPr>
          <w:p>
            <w:pPr/>
          </w:p>
        </w:tc>
        <w:tc>
          <w:tcPr>
            <w:tcW w:w="2029" w:type="dxa"/>
          </w:tcPr>
          <w:p>
            <w:pPr>
              <w:pStyle w:val="TableParagraph"/>
              <w:spacing w:line="206" w:lineRule="exact"/>
              <w:ind w:left="103"/>
              <w:jc w:val="left"/>
              <w:rPr>
                <w:sz w:val="18"/>
              </w:rPr>
            </w:pPr>
            <w:r>
              <w:rPr>
                <w:sz w:val="18"/>
              </w:rPr>
              <w:t>PRD-PT</w:t>
            </w:r>
          </w:p>
        </w:tc>
        <w:tc>
          <w:tcPr>
            <w:tcW w:w="1169" w:type="dxa"/>
          </w:tcPr>
          <w:p>
            <w:pPr>
              <w:pStyle w:val="TableParagraph"/>
              <w:spacing w:line="206" w:lineRule="exact"/>
              <w:ind w:right="1"/>
              <w:rPr>
                <w:sz w:val="18"/>
              </w:rPr>
            </w:pPr>
            <w:r>
              <w:rPr>
                <w:w w:val="99"/>
                <w:sz w:val="18"/>
              </w:rPr>
              <w:t>8</w:t>
            </w:r>
          </w:p>
        </w:tc>
        <w:tc>
          <w:tcPr>
            <w:tcW w:w="1136" w:type="dxa"/>
          </w:tcPr>
          <w:p>
            <w:pPr>
              <w:pStyle w:val="TableParagraph"/>
              <w:spacing w:line="206" w:lineRule="exact"/>
              <w:ind w:left="83" w:right="80"/>
              <w:rPr>
                <w:sz w:val="18"/>
              </w:rPr>
            </w:pPr>
            <w:r>
              <w:rPr>
                <w:sz w:val="18"/>
              </w:rPr>
              <w:t>6.4</w:t>
            </w:r>
          </w:p>
        </w:tc>
        <w:tc>
          <w:tcPr>
            <w:tcW w:w="1685" w:type="dxa"/>
          </w:tcPr>
          <w:p>
            <w:pPr>
              <w:pStyle w:val="TableParagraph"/>
              <w:spacing w:line="206" w:lineRule="exact"/>
              <w:ind w:left="592" w:right="591"/>
              <w:rPr>
                <w:sz w:val="18"/>
              </w:rPr>
            </w:pPr>
            <w:r>
              <w:rPr>
                <w:sz w:val="18"/>
              </w:rPr>
              <w:t>6.4</w:t>
            </w:r>
          </w:p>
        </w:tc>
        <w:tc>
          <w:tcPr>
            <w:tcW w:w="2098" w:type="dxa"/>
          </w:tcPr>
          <w:p>
            <w:pPr>
              <w:pStyle w:val="TableParagraph"/>
              <w:spacing w:line="206" w:lineRule="exact"/>
              <w:ind w:left="799" w:right="798"/>
              <w:rPr>
                <w:sz w:val="18"/>
              </w:rPr>
            </w:pPr>
            <w:r>
              <w:rPr>
                <w:sz w:val="18"/>
              </w:rPr>
              <w:t>94.4</w:t>
            </w:r>
          </w:p>
        </w:tc>
      </w:tr>
      <w:tr>
        <w:trPr>
          <w:trHeight w:val="218" w:hRule="exact"/>
        </w:trPr>
        <w:tc>
          <w:tcPr>
            <w:tcW w:w="806" w:type="dxa"/>
            <w:vMerge/>
          </w:tcPr>
          <w:p>
            <w:pPr/>
          </w:p>
        </w:tc>
        <w:tc>
          <w:tcPr>
            <w:tcW w:w="2029" w:type="dxa"/>
          </w:tcPr>
          <w:p>
            <w:pPr>
              <w:pStyle w:val="TableParagraph"/>
              <w:spacing w:before="1"/>
              <w:ind w:left="103"/>
              <w:jc w:val="left"/>
              <w:rPr>
                <w:sz w:val="18"/>
              </w:rPr>
            </w:pPr>
            <w:r>
              <w:rPr>
                <w:sz w:val="18"/>
              </w:rPr>
              <w:t>PRD-Convergencia</w:t>
            </w:r>
          </w:p>
        </w:tc>
        <w:tc>
          <w:tcPr>
            <w:tcW w:w="1169" w:type="dxa"/>
          </w:tcPr>
          <w:p>
            <w:pPr>
              <w:pStyle w:val="TableParagraph"/>
              <w:spacing w:before="1"/>
              <w:ind w:right="1"/>
              <w:rPr>
                <w:sz w:val="18"/>
              </w:rPr>
            </w:pPr>
            <w:r>
              <w:rPr>
                <w:w w:val="99"/>
                <w:sz w:val="18"/>
              </w:rPr>
              <w:t>1</w:t>
            </w:r>
          </w:p>
        </w:tc>
        <w:tc>
          <w:tcPr>
            <w:tcW w:w="1136" w:type="dxa"/>
          </w:tcPr>
          <w:p>
            <w:pPr>
              <w:pStyle w:val="TableParagraph"/>
              <w:spacing w:before="1"/>
              <w:ind w:left="81" w:right="81"/>
              <w:rPr>
                <w:sz w:val="18"/>
              </w:rPr>
            </w:pPr>
            <w:r>
              <w:rPr>
                <w:sz w:val="18"/>
              </w:rPr>
              <w:t>.8</w:t>
            </w:r>
          </w:p>
        </w:tc>
        <w:tc>
          <w:tcPr>
            <w:tcW w:w="1685" w:type="dxa"/>
          </w:tcPr>
          <w:p>
            <w:pPr>
              <w:pStyle w:val="TableParagraph"/>
              <w:spacing w:before="1"/>
              <w:ind w:left="592" w:right="592"/>
              <w:rPr>
                <w:sz w:val="18"/>
              </w:rPr>
            </w:pPr>
            <w:r>
              <w:rPr>
                <w:sz w:val="18"/>
              </w:rPr>
              <w:t>.8</w:t>
            </w:r>
          </w:p>
        </w:tc>
        <w:tc>
          <w:tcPr>
            <w:tcW w:w="2098" w:type="dxa"/>
          </w:tcPr>
          <w:p>
            <w:pPr>
              <w:pStyle w:val="TableParagraph"/>
              <w:spacing w:before="1"/>
              <w:ind w:left="799" w:right="798"/>
              <w:rPr>
                <w:sz w:val="18"/>
              </w:rPr>
            </w:pPr>
            <w:r>
              <w:rPr>
                <w:sz w:val="18"/>
              </w:rPr>
              <w:t>95.2</w:t>
            </w:r>
          </w:p>
        </w:tc>
      </w:tr>
      <w:tr>
        <w:trPr>
          <w:trHeight w:val="218" w:hRule="exact"/>
        </w:trPr>
        <w:tc>
          <w:tcPr>
            <w:tcW w:w="806" w:type="dxa"/>
            <w:vMerge/>
          </w:tcPr>
          <w:p>
            <w:pPr/>
          </w:p>
        </w:tc>
        <w:tc>
          <w:tcPr>
            <w:tcW w:w="2029" w:type="dxa"/>
          </w:tcPr>
          <w:p>
            <w:pPr>
              <w:pStyle w:val="TableParagraph"/>
              <w:spacing w:line="206" w:lineRule="exact"/>
              <w:ind w:left="103"/>
              <w:jc w:val="left"/>
              <w:rPr>
                <w:sz w:val="18"/>
              </w:rPr>
            </w:pPr>
            <w:r>
              <w:rPr>
                <w:sz w:val="18"/>
              </w:rPr>
              <w:t>PRI-Convergencia</w:t>
            </w:r>
          </w:p>
        </w:tc>
        <w:tc>
          <w:tcPr>
            <w:tcW w:w="1169" w:type="dxa"/>
          </w:tcPr>
          <w:p>
            <w:pPr>
              <w:pStyle w:val="TableParagraph"/>
              <w:spacing w:line="206" w:lineRule="exact"/>
              <w:ind w:right="1"/>
              <w:rPr>
                <w:sz w:val="18"/>
              </w:rPr>
            </w:pPr>
            <w:r>
              <w:rPr>
                <w:w w:val="99"/>
                <w:sz w:val="18"/>
              </w:rPr>
              <w:t>1</w:t>
            </w:r>
          </w:p>
        </w:tc>
        <w:tc>
          <w:tcPr>
            <w:tcW w:w="1136" w:type="dxa"/>
          </w:tcPr>
          <w:p>
            <w:pPr>
              <w:pStyle w:val="TableParagraph"/>
              <w:spacing w:line="206" w:lineRule="exact"/>
              <w:ind w:left="81" w:right="81"/>
              <w:rPr>
                <w:sz w:val="18"/>
              </w:rPr>
            </w:pPr>
            <w:r>
              <w:rPr>
                <w:sz w:val="18"/>
              </w:rPr>
              <w:t>.8</w:t>
            </w:r>
          </w:p>
        </w:tc>
        <w:tc>
          <w:tcPr>
            <w:tcW w:w="1685" w:type="dxa"/>
          </w:tcPr>
          <w:p>
            <w:pPr>
              <w:pStyle w:val="TableParagraph"/>
              <w:spacing w:line="206" w:lineRule="exact"/>
              <w:ind w:left="592" w:right="592"/>
              <w:rPr>
                <w:sz w:val="18"/>
              </w:rPr>
            </w:pPr>
            <w:r>
              <w:rPr>
                <w:sz w:val="18"/>
              </w:rPr>
              <w:t>.8</w:t>
            </w:r>
          </w:p>
        </w:tc>
        <w:tc>
          <w:tcPr>
            <w:tcW w:w="2098" w:type="dxa"/>
          </w:tcPr>
          <w:p>
            <w:pPr>
              <w:pStyle w:val="TableParagraph"/>
              <w:spacing w:line="206" w:lineRule="exact"/>
              <w:ind w:left="799" w:right="798"/>
              <w:rPr>
                <w:sz w:val="18"/>
              </w:rPr>
            </w:pPr>
            <w:r>
              <w:rPr>
                <w:sz w:val="18"/>
              </w:rPr>
              <w:t>96.0</w:t>
            </w:r>
          </w:p>
        </w:tc>
      </w:tr>
      <w:tr>
        <w:trPr>
          <w:trHeight w:val="218" w:hRule="exact"/>
        </w:trPr>
        <w:tc>
          <w:tcPr>
            <w:tcW w:w="806" w:type="dxa"/>
            <w:vMerge/>
          </w:tcPr>
          <w:p>
            <w:pPr/>
          </w:p>
        </w:tc>
        <w:tc>
          <w:tcPr>
            <w:tcW w:w="2029" w:type="dxa"/>
          </w:tcPr>
          <w:p>
            <w:pPr>
              <w:pStyle w:val="TableParagraph"/>
              <w:spacing w:line="206" w:lineRule="exact"/>
              <w:ind w:left="103"/>
              <w:jc w:val="left"/>
              <w:rPr>
                <w:sz w:val="18"/>
              </w:rPr>
            </w:pPr>
            <w:r>
              <w:rPr>
                <w:sz w:val="18"/>
              </w:rPr>
              <w:t>PAN-PRD</w:t>
            </w:r>
          </w:p>
        </w:tc>
        <w:tc>
          <w:tcPr>
            <w:tcW w:w="1169" w:type="dxa"/>
          </w:tcPr>
          <w:p>
            <w:pPr>
              <w:pStyle w:val="TableParagraph"/>
              <w:spacing w:line="206" w:lineRule="exact"/>
              <w:ind w:right="1"/>
              <w:rPr>
                <w:sz w:val="18"/>
              </w:rPr>
            </w:pPr>
            <w:r>
              <w:rPr>
                <w:w w:val="99"/>
                <w:sz w:val="18"/>
              </w:rPr>
              <w:t>1</w:t>
            </w:r>
          </w:p>
        </w:tc>
        <w:tc>
          <w:tcPr>
            <w:tcW w:w="1136" w:type="dxa"/>
          </w:tcPr>
          <w:p>
            <w:pPr>
              <w:pStyle w:val="TableParagraph"/>
              <w:spacing w:line="206" w:lineRule="exact"/>
              <w:ind w:left="81" w:right="81"/>
              <w:rPr>
                <w:sz w:val="18"/>
              </w:rPr>
            </w:pPr>
            <w:r>
              <w:rPr>
                <w:sz w:val="18"/>
              </w:rPr>
              <w:t>.8</w:t>
            </w:r>
          </w:p>
        </w:tc>
        <w:tc>
          <w:tcPr>
            <w:tcW w:w="1685" w:type="dxa"/>
          </w:tcPr>
          <w:p>
            <w:pPr>
              <w:pStyle w:val="TableParagraph"/>
              <w:spacing w:line="206" w:lineRule="exact"/>
              <w:ind w:left="592" w:right="592"/>
              <w:rPr>
                <w:sz w:val="18"/>
              </w:rPr>
            </w:pPr>
            <w:r>
              <w:rPr>
                <w:sz w:val="18"/>
              </w:rPr>
              <w:t>.8</w:t>
            </w:r>
          </w:p>
        </w:tc>
        <w:tc>
          <w:tcPr>
            <w:tcW w:w="2098" w:type="dxa"/>
          </w:tcPr>
          <w:p>
            <w:pPr>
              <w:pStyle w:val="TableParagraph"/>
              <w:spacing w:line="206" w:lineRule="exact"/>
              <w:ind w:left="799" w:right="798"/>
              <w:rPr>
                <w:sz w:val="18"/>
              </w:rPr>
            </w:pPr>
            <w:r>
              <w:rPr>
                <w:sz w:val="18"/>
              </w:rPr>
              <w:t>96.8</w:t>
            </w:r>
          </w:p>
        </w:tc>
      </w:tr>
      <w:tr>
        <w:trPr>
          <w:trHeight w:val="221" w:hRule="exact"/>
        </w:trPr>
        <w:tc>
          <w:tcPr>
            <w:tcW w:w="806" w:type="dxa"/>
            <w:vMerge/>
          </w:tcPr>
          <w:p>
            <w:pPr/>
          </w:p>
        </w:tc>
        <w:tc>
          <w:tcPr>
            <w:tcW w:w="2029" w:type="dxa"/>
          </w:tcPr>
          <w:p>
            <w:pPr>
              <w:pStyle w:val="TableParagraph"/>
              <w:spacing w:line="207" w:lineRule="exact"/>
              <w:ind w:left="103"/>
              <w:jc w:val="left"/>
              <w:rPr>
                <w:sz w:val="18"/>
              </w:rPr>
            </w:pPr>
            <w:r>
              <w:rPr>
                <w:sz w:val="18"/>
              </w:rPr>
              <w:t>PAN-PRD-PT</w:t>
            </w:r>
          </w:p>
        </w:tc>
        <w:tc>
          <w:tcPr>
            <w:tcW w:w="1169" w:type="dxa"/>
          </w:tcPr>
          <w:p>
            <w:pPr>
              <w:pStyle w:val="TableParagraph"/>
              <w:spacing w:line="207" w:lineRule="exact"/>
              <w:ind w:right="1"/>
              <w:rPr>
                <w:sz w:val="18"/>
              </w:rPr>
            </w:pPr>
            <w:r>
              <w:rPr>
                <w:w w:val="99"/>
                <w:sz w:val="18"/>
              </w:rPr>
              <w:t>1</w:t>
            </w:r>
          </w:p>
        </w:tc>
        <w:tc>
          <w:tcPr>
            <w:tcW w:w="1136" w:type="dxa"/>
          </w:tcPr>
          <w:p>
            <w:pPr>
              <w:pStyle w:val="TableParagraph"/>
              <w:spacing w:line="207" w:lineRule="exact"/>
              <w:ind w:left="81" w:right="81"/>
              <w:rPr>
                <w:sz w:val="18"/>
              </w:rPr>
            </w:pPr>
            <w:r>
              <w:rPr>
                <w:sz w:val="18"/>
              </w:rPr>
              <w:t>.8</w:t>
            </w:r>
          </w:p>
        </w:tc>
        <w:tc>
          <w:tcPr>
            <w:tcW w:w="1685" w:type="dxa"/>
          </w:tcPr>
          <w:p>
            <w:pPr>
              <w:pStyle w:val="TableParagraph"/>
              <w:spacing w:line="207" w:lineRule="exact"/>
              <w:ind w:left="592" w:right="592"/>
              <w:rPr>
                <w:sz w:val="18"/>
              </w:rPr>
            </w:pPr>
            <w:r>
              <w:rPr>
                <w:sz w:val="18"/>
              </w:rPr>
              <w:t>.8</w:t>
            </w:r>
          </w:p>
        </w:tc>
        <w:tc>
          <w:tcPr>
            <w:tcW w:w="2098" w:type="dxa"/>
          </w:tcPr>
          <w:p>
            <w:pPr>
              <w:pStyle w:val="TableParagraph"/>
              <w:spacing w:line="207" w:lineRule="exact"/>
              <w:ind w:left="799" w:right="798"/>
              <w:rPr>
                <w:sz w:val="18"/>
              </w:rPr>
            </w:pPr>
            <w:r>
              <w:rPr>
                <w:sz w:val="18"/>
              </w:rPr>
              <w:t>97.6</w:t>
            </w:r>
          </w:p>
        </w:tc>
      </w:tr>
      <w:tr>
        <w:trPr>
          <w:trHeight w:val="218" w:hRule="exact"/>
        </w:trPr>
        <w:tc>
          <w:tcPr>
            <w:tcW w:w="806" w:type="dxa"/>
            <w:vMerge/>
          </w:tcPr>
          <w:p>
            <w:pPr/>
          </w:p>
        </w:tc>
        <w:tc>
          <w:tcPr>
            <w:tcW w:w="2029" w:type="dxa"/>
          </w:tcPr>
          <w:p>
            <w:pPr>
              <w:pStyle w:val="TableParagraph"/>
              <w:spacing w:line="206" w:lineRule="exact"/>
              <w:ind w:left="103"/>
              <w:jc w:val="left"/>
              <w:rPr>
                <w:sz w:val="18"/>
              </w:rPr>
            </w:pPr>
            <w:r>
              <w:rPr>
                <w:sz w:val="18"/>
              </w:rPr>
              <w:t>PT-Convergencia</w:t>
            </w:r>
          </w:p>
        </w:tc>
        <w:tc>
          <w:tcPr>
            <w:tcW w:w="1169" w:type="dxa"/>
          </w:tcPr>
          <w:p>
            <w:pPr>
              <w:pStyle w:val="TableParagraph"/>
              <w:spacing w:line="206" w:lineRule="exact"/>
              <w:ind w:right="1"/>
              <w:rPr>
                <w:sz w:val="18"/>
              </w:rPr>
            </w:pPr>
            <w:r>
              <w:rPr>
                <w:w w:val="99"/>
                <w:sz w:val="18"/>
              </w:rPr>
              <w:t>2</w:t>
            </w:r>
          </w:p>
        </w:tc>
        <w:tc>
          <w:tcPr>
            <w:tcW w:w="1136" w:type="dxa"/>
          </w:tcPr>
          <w:p>
            <w:pPr>
              <w:pStyle w:val="TableParagraph"/>
              <w:spacing w:line="206" w:lineRule="exact"/>
              <w:ind w:left="83" w:right="80"/>
              <w:rPr>
                <w:sz w:val="18"/>
              </w:rPr>
            </w:pPr>
            <w:r>
              <w:rPr>
                <w:sz w:val="18"/>
              </w:rPr>
              <w:t>1.6</w:t>
            </w:r>
          </w:p>
        </w:tc>
        <w:tc>
          <w:tcPr>
            <w:tcW w:w="1685" w:type="dxa"/>
          </w:tcPr>
          <w:p>
            <w:pPr>
              <w:pStyle w:val="TableParagraph"/>
              <w:spacing w:line="206" w:lineRule="exact"/>
              <w:ind w:left="592" w:right="591"/>
              <w:rPr>
                <w:sz w:val="18"/>
              </w:rPr>
            </w:pPr>
            <w:r>
              <w:rPr>
                <w:sz w:val="18"/>
              </w:rPr>
              <w:t>1.6</w:t>
            </w:r>
          </w:p>
        </w:tc>
        <w:tc>
          <w:tcPr>
            <w:tcW w:w="2098" w:type="dxa"/>
          </w:tcPr>
          <w:p>
            <w:pPr>
              <w:pStyle w:val="TableParagraph"/>
              <w:spacing w:line="206" w:lineRule="exact"/>
              <w:ind w:left="799" w:right="798"/>
              <w:rPr>
                <w:sz w:val="18"/>
              </w:rPr>
            </w:pPr>
            <w:r>
              <w:rPr>
                <w:sz w:val="18"/>
              </w:rPr>
              <w:t>99.2</w:t>
            </w:r>
          </w:p>
        </w:tc>
      </w:tr>
      <w:tr>
        <w:trPr>
          <w:trHeight w:val="218" w:hRule="exact"/>
        </w:trPr>
        <w:tc>
          <w:tcPr>
            <w:tcW w:w="806" w:type="dxa"/>
            <w:vMerge/>
          </w:tcPr>
          <w:p>
            <w:pPr/>
          </w:p>
        </w:tc>
        <w:tc>
          <w:tcPr>
            <w:tcW w:w="2029" w:type="dxa"/>
          </w:tcPr>
          <w:p>
            <w:pPr>
              <w:pStyle w:val="TableParagraph"/>
              <w:spacing w:line="206" w:lineRule="exact"/>
              <w:ind w:left="103"/>
              <w:jc w:val="left"/>
              <w:rPr>
                <w:sz w:val="18"/>
              </w:rPr>
            </w:pPr>
            <w:r>
              <w:rPr>
                <w:sz w:val="18"/>
              </w:rPr>
              <w:t>PAN-PT</w:t>
            </w:r>
          </w:p>
        </w:tc>
        <w:tc>
          <w:tcPr>
            <w:tcW w:w="1169" w:type="dxa"/>
          </w:tcPr>
          <w:p>
            <w:pPr>
              <w:pStyle w:val="TableParagraph"/>
              <w:spacing w:line="206" w:lineRule="exact"/>
              <w:ind w:right="1"/>
              <w:rPr>
                <w:sz w:val="18"/>
              </w:rPr>
            </w:pPr>
            <w:r>
              <w:rPr>
                <w:w w:val="99"/>
                <w:sz w:val="18"/>
              </w:rPr>
              <w:t>1</w:t>
            </w:r>
          </w:p>
        </w:tc>
        <w:tc>
          <w:tcPr>
            <w:tcW w:w="1136" w:type="dxa"/>
          </w:tcPr>
          <w:p>
            <w:pPr>
              <w:pStyle w:val="TableParagraph"/>
              <w:spacing w:line="206" w:lineRule="exact"/>
              <w:ind w:left="81" w:right="81"/>
              <w:rPr>
                <w:sz w:val="18"/>
              </w:rPr>
            </w:pPr>
            <w:r>
              <w:rPr>
                <w:sz w:val="18"/>
              </w:rPr>
              <w:t>.8</w:t>
            </w:r>
          </w:p>
        </w:tc>
        <w:tc>
          <w:tcPr>
            <w:tcW w:w="1685" w:type="dxa"/>
          </w:tcPr>
          <w:p>
            <w:pPr>
              <w:pStyle w:val="TableParagraph"/>
              <w:spacing w:line="206" w:lineRule="exact"/>
              <w:ind w:left="592" w:right="592"/>
              <w:rPr>
                <w:sz w:val="18"/>
              </w:rPr>
            </w:pPr>
            <w:r>
              <w:rPr>
                <w:sz w:val="18"/>
              </w:rPr>
              <w:t>.8</w:t>
            </w:r>
          </w:p>
        </w:tc>
        <w:tc>
          <w:tcPr>
            <w:tcW w:w="2098" w:type="dxa"/>
          </w:tcPr>
          <w:p>
            <w:pPr>
              <w:pStyle w:val="TableParagraph"/>
              <w:spacing w:line="206" w:lineRule="exact"/>
              <w:ind w:left="799" w:right="799"/>
              <w:rPr>
                <w:sz w:val="18"/>
              </w:rPr>
            </w:pPr>
            <w:r>
              <w:rPr>
                <w:sz w:val="18"/>
              </w:rPr>
              <w:t>100.0</w:t>
            </w:r>
          </w:p>
        </w:tc>
      </w:tr>
      <w:tr>
        <w:trPr>
          <w:trHeight w:val="218" w:hRule="exact"/>
        </w:trPr>
        <w:tc>
          <w:tcPr>
            <w:tcW w:w="806" w:type="dxa"/>
            <w:vMerge/>
          </w:tcPr>
          <w:p>
            <w:pPr/>
          </w:p>
        </w:tc>
        <w:tc>
          <w:tcPr>
            <w:tcW w:w="2029" w:type="dxa"/>
          </w:tcPr>
          <w:p>
            <w:pPr>
              <w:pStyle w:val="TableParagraph"/>
              <w:spacing w:line="206" w:lineRule="exact"/>
              <w:ind w:left="103"/>
              <w:jc w:val="left"/>
              <w:rPr>
                <w:sz w:val="18"/>
              </w:rPr>
            </w:pPr>
            <w:r>
              <w:rPr>
                <w:sz w:val="18"/>
              </w:rPr>
              <w:t>Total</w:t>
            </w:r>
          </w:p>
        </w:tc>
        <w:tc>
          <w:tcPr>
            <w:tcW w:w="1169" w:type="dxa"/>
          </w:tcPr>
          <w:p>
            <w:pPr>
              <w:pStyle w:val="TableParagraph"/>
              <w:spacing w:line="206" w:lineRule="exact"/>
              <w:ind w:left="83" w:right="83"/>
              <w:rPr>
                <w:sz w:val="18"/>
              </w:rPr>
            </w:pPr>
            <w:r>
              <w:rPr>
                <w:sz w:val="18"/>
              </w:rPr>
              <w:t>125</w:t>
            </w:r>
          </w:p>
        </w:tc>
        <w:tc>
          <w:tcPr>
            <w:tcW w:w="1136" w:type="dxa"/>
          </w:tcPr>
          <w:p>
            <w:pPr>
              <w:pStyle w:val="TableParagraph"/>
              <w:spacing w:line="206" w:lineRule="exact"/>
              <w:ind w:left="83" w:right="81"/>
              <w:rPr>
                <w:sz w:val="18"/>
              </w:rPr>
            </w:pPr>
            <w:r>
              <w:rPr>
                <w:sz w:val="18"/>
              </w:rPr>
              <w:t>100.0</w:t>
            </w:r>
          </w:p>
        </w:tc>
        <w:tc>
          <w:tcPr>
            <w:tcW w:w="1685" w:type="dxa"/>
          </w:tcPr>
          <w:p>
            <w:pPr>
              <w:pStyle w:val="TableParagraph"/>
              <w:spacing w:line="206" w:lineRule="exact"/>
              <w:ind w:left="592" w:right="592"/>
              <w:rPr>
                <w:sz w:val="18"/>
              </w:rPr>
            </w:pPr>
            <w:r>
              <w:rPr>
                <w:sz w:val="18"/>
              </w:rPr>
              <w:t>100.0</w:t>
            </w:r>
          </w:p>
        </w:tc>
        <w:tc>
          <w:tcPr>
            <w:tcW w:w="2098" w:type="dxa"/>
          </w:tcPr>
          <w:p>
            <w:pPr/>
          </w:p>
        </w:tc>
      </w:tr>
    </w:tbl>
    <w:p>
      <w:pPr>
        <w:spacing w:line="240" w:lineRule="auto" w:before="0"/>
        <w:ind w:left="221" w:right="1029" w:firstLine="0"/>
        <w:jc w:val="left"/>
        <w:rPr>
          <w:sz w:val="16"/>
        </w:rPr>
      </w:pPr>
      <w:r>
        <w:rPr>
          <w:sz w:val="16"/>
        </w:rPr>
        <w:t>Fuente: Elaboración propia con datos de los resultados de elección de presidentes municipales 2006 del IEEM. </w:t>
      </w:r>
      <w:hyperlink r:id="rId107">
        <w:r>
          <w:rPr>
            <w:color w:val="0462C1"/>
            <w:sz w:val="16"/>
            <w:u w:val="single" w:color="0462C1"/>
          </w:rPr>
          <w:t>http://www.ieem.org.mx/numeralia/result_elect.htm</w:t>
        </w:r>
        <w:r>
          <w:rPr>
            <w:color w:val="0462C1"/>
            <w:sz w:val="16"/>
          </w:rPr>
          <w:t>l</w:t>
        </w:r>
      </w:hyperlink>
      <w:r>
        <w:rPr>
          <w:color w:val="0462C1"/>
          <w:sz w:val="16"/>
        </w:rPr>
        <w:t> </w:t>
      </w:r>
      <w:r>
        <w:rPr>
          <w:sz w:val="16"/>
        </w:rPr>
        <w:t>[04-12-2013]</w:t>
      </w:r>
    </w:p>
    <w:p>
      <w:pPr>
        <w:spacing w:after="0" w:line="240" w:lineRule="auto"/>
        <w:jc w:val="left"/>
        <w:rPr>
          <w:sz w:val="16"/>
        </w:rPr>
        <w:sectPr>
          <w:pgSz w:w="12240" w:h="15840"/>
          <w:pgMar w:header="0" w:footer="975" w:top="1420" w:bottom="1220" w:left="1500" w:right="1580"/>
        </w:sectPr>
      </w:pPr>
    </w:p>
    <w:tbl>
      <w:tblPr>
        <w:tblW w:w="0" w:type="auto"/>
        <w:jc w:val="left"/>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06"/>
        <w:gridCol w:w="2249"/>
        <w:gridCol w:w="1106"/>
        <w:gridCol w:w="1078"/>
        <w:gridCol w:w="1596"/>
        <w:gridCol w:w="2009"/>
      </w:tblGrid>
      <w:tr>
        <w:trPr>
          <w:trHeight w:val="217" w:hRule="exact"/>
        </w:trPr>
        <w:tc>
          <w:tcPr>
            <w:tcW w:w="8846" w:type="dxa"/>
            <w:gridSpan w:val="6"/>
            <w:shd w:val="clear" w:color="auto" w:fill="92D050"/>
          </w:tcPr>
          <w:p>
            <w:pPr>
              <w:pStyle w:val="TableParagraph"/>
              <w:spacing w:line="200" w:lineRule="exact"/>
              <w:ind w:left="806"/>
              <w:jc w:val="left"/>
              <w:rPr>
                <w:b/>
                <w:sz w:val="18"/>
              </w:rPr>
            </w:pPr>
            <w:r>
              <w:rPr>
                <w:b/>
                <w:sz w:val="18"/>
              </w:rPr>
              <w:t>Tabla de frecuencias 3.14. Partido que gobernó el municipio en el periodo 2009-2012</w:t>
            </w:r>
          </w:p>
        </w:tc>
      </w:tr>
      <w:tr>
        <w:trPr>
          <w:trHeight w:val="216" w:hRule="exact"/>
        </w:trPr>
        <w:tc>
          <w:tcPr>
            <w:tcW w:w="3056" w:type="dxa"/>
            <w:gridSpan w:val="2"/>
            <w:shd w:val="clear" w:color="auto" w:fill="92D050"/>
          </w:tcPr>
          <w:p>
            <w:pPr>
              <w:pStyle w:val="TableParagraph"/>
              <w:spacing w:line="204" w:lineRule="exact"/>
              <w:ind w:left="1217" w:right="1218"/>
              <w:rPr>
                <w:sz w:val="18"/>
              </w:rPr>
            </w:pPr>
            <w:r>
              <w:rPr>
                <w:sz w:val="18"/>
              </w:rPr>
              <w:t>Partido</w:t>
            </w:r>
          </w:p>
        </w:tc>
        <w:tc>
          <w:tcPr>
            <w:tcW w:w="1106" w:type="dxa"/>
            <w:shd w:val="clear" w:color="auto" w:fill="92D050"/>
          </w:tcPr>
          <w:p>
            <w:pPr>
              <w:pStyle w:val="TableParagraph"/>
              <w:spacing w:line="204" w:lineRule="exact"/>
              <w:ind w:left="83" w:right="83"/>
              <w:rPr>
                <w:sz w:val="18"/>
              </w:rPr>
            </w:pPr>
            <w:r>
              <w:rPr>
                <w:sz w:val="18"/>
              </w:rPr>
              <w:t>Frecuencia</w:t>
            </w:r>
          </w:p>
        </w:tc>
        <w:tc>
          <w:tcPr>
            <w:tcW w:w="1078" w:type="dxa"/>
            <w:shd w:val="clear" w:color="auto" w:fill="92D050"/>
          </w:tcPr>
          <w:p>
            <w:pPr>
              <w:pStyle w:val="TableParagraph"/>
              <w:spacing w:line="204" w:lineRule="exact"/>
              <w:ind w:left="83" w:right="83"/>
              <w:rPr>
                <w:sz w:val="18"/>
              </w:rPr>
            </w:pPr>
            <w:r>
              <w:rPr>
                <w:sz w:val="18"/>
              </w:rPr>
              <w:t>Porcentaje</w:t>
            </w:r>
          </w:p>
        </w:tc>
        <w:tc>
          <w:tcPr>
            <w:tcW w:w="1596" w:type="dxa"/>
            <w:shd w:val="clear" w:color="auto" w:fill="92D050"/>
          </w:tcPr>
          <w:p>
            <w:pPr>
              <w:pStyle w:val="TableParagraph"/>
              <w:spacing w:line="204" w:lineRule="exact"/>
              <w:ind w:left="82" w:right="82"/>
              <w:rPr>
                <w:sz w:val="18"/>
              </w:rPr>
            </w:pPr>
            <w:r>
              <w:rPr>
                <w:sz w:val="18"/>
              </w:rPr>
              <w:t>Porcentaje válido</w:t>
            </w:r>
          </w:p>
        </w:tc>
        <w:tc>
          <w:tcPr>
            <w:tcW w:w="2009" w:type="dxa"/>
            <w:shd w:val="clear" w:color="auto" w:fill="92D050"/>
          </w:tcPr>
          <w:p>
            <w:pPr>
              <w:pStyle w:val="TableParagraph"/>
              <w:spacing w:line="204" w:lineRule="exact"/>
              <w:ind w:left="84" w:right="84"/>
              <w:rPr>
                <w:sz w:val="18"/>
              </w:rPr>
            </w:pPr>
            <w:r>
              <w:rPr>
                <w:sz w:val="18"/>
              </w:rPr>
              <w:t>Porcentaje acumulado</w:t>
            </w:r>
          </w:p>
        </w:tc>
      </w:tr>
      <w:tr>
        <w:trPr>
          <w:trHeight w:val="218" w:hRule="exact"/>
        </w:trPr>
        <w:tc>
          <w:tcPr>
            <w:tcW w:w="806" w:type="dxa"/>
            <w:vMerge w:val="restart"/>
          </w:tcPr>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7"/>
              <w:jc w:val="left"/>
              <w:rPr>
                <w:sz w:val="17"/>
              </w:rPr>
            </w:pPr>
          </w:p>
          <w:p>
            <w:pPr>
              <w:pStyle w:val="TableParagraph"/>
              <w:spacing w:before="1"/>
              <w:ind w:left="103"/>
              <w:jc w:val="left"/>
              <w:rPr>
                <w:sz w:val="18"/>
              </w:rPr>
            </w:pPr>
            <w:r>
              <w:rPr>
                <w:sz w:val="18"/>
              </w:rPr>
              <w:t>Válidos</w:t>
            </w:r>
          </w:p>
        </w:tc>
        <w:tc>
          <w:tcPr>
            <w:tcW w:w="2249" w:type="dxa"/>
          </w:tcPr>
          <w:p>
            <w:pPr>
              <w:pStyle w:val="TableParagraph"/>
              <w:spacing w:line="203" w:lineRule="exact"/>
              <w:ind w:left="105"/>
              <w:jc w:val="left"/>
              <w:rPr>
                <w:sz w:val="18"/>
              </w:rPr>
            </w:pPr>
            <w:r>
              <w:rPr>
                <w:sz w:val="18"/>
              </w:rPr>
              <w:t>PAN</w:t>
            </w:r>
          </w:p>
        </w:tc>
        <w:tc>
          <w:tcPr>
            <w:tcW w:w="1106" w:type="dxa"/>
          </w:tcPr>
          <w:p>
            <w:pPr>
              <w:pStyle w:val="TableParagraph"/>
              <w:spacing w:line="203" w:lineRule="exact"/>
              <w:ind w:left="83" w:right="81"/>
              <w:rPr>
                <w:sz w:val="18"/>
              </w:rPr>
            </w:pPr>
            <w:r>
              <w:rPr>
                <w:sz w:val="18"/>
              </w:rPr>
              <w:t>12</w:t>
            </w:r>
          </w:p>
        </w:tc>
        <w:tc>
          <w:tcPr>
            <w:tcW w:w="1078" w:type="dxa"/>
          </w:tcPr>
          <w:p>
            <w:pPr>
              <w:pStyle w:val="TableParagraph"/>
              <w:spacing w:line="203" w:lineRule="exact"/>
              <w:ind w:left="82" w:right="83"/>
              <w:rPr>
                <w:sz w:val="18"/>
              </w:rPr>
            </w:pPr>
            <w:r>
              <w:rPr>
                <w:sz w:val="18"/>
              </w:rPr>
              <w:t>9.6</w:t>
            </w:r>
          </w:p>
        </w:tc>
        <w:tc>
          <w:tcPr>
            <w:tcW w:w="1596" w:type="dxa"/>
          </w:tcPr>
          <w:p>
            <w:pPr>
              <w:pStyle w:val="TableParagraph"/>
              <w:spacing w:line="203" w:lineRule="exact"/>
              <w:ind w:left="81" w:right="82"/>
              <w:rPr>
                <w:sz w:val="18"/>
              </w:rPr>
            </w:pPr>
            <w:r>
              <w:rPr>
                <w:sz w:val="18"/>
              </w:rPr>
              <w:t>9.6</w:t>
            </w:r>
          </w:p>
        </w:tc>
        <w:tc>
          <w:tcPr>
            <w:tcW w:w="2009" w:type="dxa"/>
          </w:tcPr>
          <w:p>
            <w:pPr>
              <w:pStyle w:val="TableParagraph"/>
              <w:spacing w:line="203" w:lineRule="exact"/>
              <w:ind w:left="84" w:right="84"/>
              <w:rPr>
                <w:sz w:val="18"/>
              </w:rPr>
            </w:pPr>
            <w:r>
              <w:rPr>
                <w:sz w:val="18"/>
              </w:rPr>
              <w:t>9.6</w:t>
            </w:r>
          </w:p>
        </w:tc>
      </w:tr>
      <w:tr>
        <w:trPr>
          <w:trHeight w:val="216" w:hRule="exact"/>
        </w:trPr>
        <w:tc>
          <w:tcPr>
            <w:tcW w:w="806" w:type="dxa"/>
            <w:vMerge/>
          </w:tcPr>
          <w:p>
            <w:pPr/>
          </w:p>
        </w:tc>
        <w:tc>
          <w:tcPr>
            <w:tcW w:w="2249" w:type="dxa"/>
          </w:tcPr>
          <w:p>
            <w:pPr>
              <w:pStyle w:val="TableParagraph"/>
              <w:spacing w:line="203" w:lineRule="exact"/>
              <w:ind w:left="105"/>
              <w:jc w:val="left"/>
              <w:rPr>
                <w:sz w:val="18"/>
              </w:rPr>
            </w:pPr>
            <w:r>
              <w:rPr>
                <w:sz w:val="18"/>
              </w:rPr>
              <w:t>PRI-PVEM-NA-PSD-PFD</w:t>
            </w:r>
          </w:p>
        </w:tc>
        <w:tc>
          <w:tcPr>
            <w:tcW w:w="1106" w:type="dxa"/>
          </w:tcPr>
          <w:p>
            <w:pPr>
              <w:pStyle w:val="TableParagraph"/>
              <w:spacing w:line="203" w:lineRule="exact"/>
              <w:ind w:left="83" w:right="81"/>
              <w:rPr>
                <w:sz w:val="18"/>
              </w:rPr>
            </w:pPr>
            <w:r>
              <w:rPr>
                <w:sz w:val="18"/>
              </w:rPr>
              <w:t>97</w:t>
            </w:r>
          </w:p>
        </w:tc>
        <w:tc>
          <w:tcPr>
            <w:tcW w:w="1078" w:type="dxa"/>
          </w:tcPr>
          <w:p>
            <w:pPr>
              <w:pStyle w:val="TableParagraph"/>
              <w:spacing w:line="203" w:lineRule="exact"/>
              <w:ind w:left="82" w:right="83"/>
              <w:rPr>
                <w:sz w:val="18"/>
              </w:rPr>
            </w:pPr>
            <w:r>
              <w:rPr>
                <w:sz w:val="18"/>
              </w:rPr>
              <w:t>77.6</w:t>
            </w:r>
          </w:p>
        </w:tc>
        <w:tc>
          <w:tcPr>
            <w:tcW w:w="1596" w:type="dxa"/>
          </w:tcPr>
          <w:p>
            <w:pPr>
              <w:pStyle w:val="TableParagraph"/>
              <w:spacing w:line="203" w:lineRule="exact"/>
              <w:ind w:left="81" w:right="82"/>
              <w:rPr>
                <w:sz w:val="18"/>
              </w:rPr>
            </w:pPr>
            <w:r>
              <w:rPr>
                <w:sz w:val="18"/>
              </w:rPr>
              <w:t>77.6</w:t>
            </w:r>
          </w:p>
        </w:tc>
        <w:tc>
          <w:tcPr>
            <w:tcW w:w="2009" w:type="dxa"/>
          </w:tcPr>
          <w:p>
            <w:pPr>
              <w:pStyle w:val="TableParagraph"/>
              <w:spacing w:line="203" w:lineRule="exact"/>
              <w:ind w:left="84" w:right="84"/>
              <w:rPr>
                <w:sz w:val="18"/>
              </w:rPr>
            </w:pPr>
            <w:r>
              <w:rPr>
                <w:sz w:val="18"/>
              </w:rPr>
              <w:t>87.2</w:t>
            </w:r>
          </w:p>
        </w:tc>
      </w:tr>
      <w:tr>
        <w:trPr>
          <w:trHeight w:val="216" w:hRule="exact"/>
        </w:trPr>
        <w:tc>
          <w:tcPr>
            <w:tcW w:w="806" w:type="dxa"/>
            <w:vMerge/>
          </w:tcPr>
          <w:p>
            <w:pPr/>
          </w:p>
        </w:tc>
        <w:tc>
          <w:tcPr>
            <w:tcW w:w="2249" w:type="dxa"/>
          </w:tcPr>
          <w:p>
            <w:pPr>
              <w:pStyle w:val="TableParagraph"/>
              <w:spacing w:line="203" w:lineRule="exact"/>
              <w:ind w:left="105"/>
              <w:jc w:val="left"/>
              <w:rPr>
                <w:sz w:val="18"/>
              </w:rPr>
            </w:pPr>
            <w:r>
              <w:rPr>
                <w:sz w:val="18"/>
              </w:rPr>
              <w:t>PRD</w:t>
            </w:r>
          </w:p>
        </w:tc>
        <w:tc>
          <w:tcPr>
            <w:tcW w:w="1106" w:type="dxa"/>
          </w:tcPr>
          <w:p>
            <w:pPr>
              <w:pStyle w:val="TableParagraph"/>
              <w:spacing w:line="203" w:lineRule="exact"/>
              <w:ind w:right="1"/>
              <w:rPr>
                <w:sz w:val="18"/>
              </w:rPr>
            </w:pPr>
            <w:r>
              <w:rPr>
                <w:w w:val="99"/>
                <w:sz w:val="18"/>
              </w:rPr>
              <w:t>6</w:t>
            </w:r>
          </w:p>
        </w:tc>
        <w:tc>
          <w:tcPr>
            <w:tcW w:w="1078" w:type="dxa"/>
          </w:tcPr>
          <w:p>
            <w:pPr>
              <w:pStyle w:val="TableParagraph"/>
              <w:spacing w:line="203" w:lineRule="exact"/>
              <w:ind w:left="82" w:right="83"/>
              <w:rPr>
                <w:sz w:val="18"/>
              </w:rPr>
            </w:pPr>
            <w:r>
              <w:rPr>
                <w:sz w:val="18"/>
              </w:rPr>
              <w:t>4.8</w:t>
            </w:r>
          </w:p>
        </w:tc>
        <w:tc>
          <w:tcPr>
            <w:tcW w:w="1596" w:type="dxa"/>
          </w:tcPr>
          <w:p>
            <w:pPr>
              <w:pStyle w:val="TableParagraph"/>
              <w:spacing w:line="203" w:lineRule="exact"/>
              <w:ind w:left="81" w:right="82"/>
              <w:rPr>
                <w:sz w:val="18"/>
              </w:rPr>
            </w:pPr>
            <w:r>
              <w:rPr>
                <w:sz w:val="18"/>
              </w:rPr>
              <w:t>4.8</w:t>
            </w:r>
          </w:p>
        </w:tc>
        <w:tc>
          <w:tcPr>
            <w:tcW w:w="2009" w:type="dxa"/>
          </w:tcPr>
          <w:p>
            <w:pPr>
              <w:pStyle w:val="TableParagraph"/>
              <w:spacing w:line="203" w:lineRule="exact"/>
              <w:ind w:left="84" w:right="84"/>
              <w:rPr>
                <w:sz w:val="18"/>
              </w:rPr>
            </w:pPr>
            <w:r>
              <w:rPr>
                <w:sz w:val="18"/>
              </w:rPr>
              <w:t>92.0</w:t>
            </w:r>
          </w:p>
        </w:tc>
      </w:tr>
      <w:tr>
        <w:trPr>
          <w:trHeight w:val="218" w:hRule="exact"/>
        </w:trPr>
        <w:tc>
          <w:tcPr>
            <w:tcW w:w="806" w:type="dxa"/>
            <w:vMerge/>
          </w:tcPr>
          <w:p>
            <w:pPr/>
          </w:p>
        </w:tc>
        <w:tc>
          <w:tcPr>
            <w:tcW w:w="2249" w:type="dxa"/>
          </w:tcPr>
          <w:p>
            <w:pPr>
              <w:pStyle w:val="TableParagraph"/>
              <w:spacing w:line="206" w:lineRule="exact"/>
              <w:ind w:left="105"/>
              <w:jc w:val="left"/>
              <w:rPr>
                <w:sz w:val="18"/>
              </w:rPr>
            </w:pPr>
            <w:r>
              <w:rPr>
                <w:sz w:val="18"/>
              </w:rPr>
              <w:t>PT</w:t>
            </w:r>
          </w:p>
        </w:tc>
        <w:tc>
          <w:tcPr>
            <w:tcW w:w="1106" w:type="dxa"/>
          </w:tcPr>
          <w:p>
            <w:pPr>
              <w:pStyle w:val="TableParagraph"/>
              <w:spacing w:line="206" w:lineRule="exact"/>
              <w:ind w:right="1"/>
              <w:rPr>
                <w:sz w:val="18"/>
              </w:rPr>
            </w:pPr>
            <w:r>
              <w:rPr>
                <w:w w:val="99"/>
                <w:sz w:val="18"/>
              </w:rPr>
              <w:t>2</w:t>
            </w:r>
          </w:p>
        </w:tc>
        <w:tc>
          <w:tcPr>
            <w:tcW w:w="1078" w:type="dxa"/>
          </w:tcPr>
          <w:p>
            <w:pPr>
              <w:pStyle w:val="TableParagraph"/>
              <w:spacing w:line="206" w:lineRule="exact"/>
              <w:ind w:left="82" w:right="83"/>
              <w:rPr>
                <w:sz w:val="18"/>
              </w:rPr>
            </w:pPr>
            <w:r>
              <w:rPr>
                <w:sz w:val="18"/>
              </w:rPr>
              <w:t>1.6</w:t>
            </w:r>
          </w:p>
        </w:tc>
        <w:tc>
          <w:tcPr>
            <w:tcW w:w="1596" w:type="dxa"/>
          </w:tcPr>
          <w:p>
            <w:pPr>
              <w:pStyle w:val="TableParagraph"/>
              <w:spacing w:line="206" w:lineRule="exact"/>
              <w:ind w:left="81" w:right="82"/>
              <w:rPr>
                <w:sz w:val="18"/>
              </w:rPr>
            </w:pPr>
            <w:r>
              <w:rPr>
                <w:sz w:val="18"/>
              </w:rPr>
              <w:t>1.6</w:t>
            </w:r>
          </w:p>
        </w:tc>
        <w:tc>
          <w:tcPr>
            <w:tcW w:w="2009" w:type="dxa"/>
          </w:tcPr>
          <w:p>
            <w:pPr>
              <w:pStyle w:val="TableParagraph"/>
              <w:spacing w:line="206" w:lineRule="exact"/>
              <w:ind w:left="84" w:right="84"/>
              <w:rPr>
                <w:sz w:val="18"/>
              </w:rPr>
            </w:pPr>
            <w:r>
              <w:rPr>
                <w:sz w:val="18"/>
              </w:rPr>
              <w:t>93.6</w:t>
            </w:r>
          </w:p>
        </w:tc>
      </w:tr>
      <w:tr>
        <w:trPr>
          <w:trHeight w:val="216" w:hRule="exact"/>
        </w:trPr>
        <w:tc>
          <w:tcPr>
            <w:tcW w:w="806" w:type="dxa"/>
            <w:vMerge/>
          </w:tcPr>
          <w:p>
            <w:pPr/>
          </w:p>
        </w:tc>
        <w:tc>
          <w:tcPr>
            <w:tcW w:w="2249" w:type="dxa"/>
          </w:tcPr>
          <w:p>
            <w:pPr>
              <w:pStyle w:val="TableParagraph"/>
              <w:spacing w:line="203" w:lineRule="exact"/>
              <w:ind w:left="105"/>
              <w:jc w:val="left"/>
              <w:rPr>
                <w:sz w:val="18"/>
              </w:rPr>
            </w:pPr>
            <w:r>
              <w:rPr>
                <w:sz w:val="18"/>
              </w:rPr>
              <w:t>Convergencia</w:t>
            </w:r>
          </w:p>
        </w:tc>
        <w:tc>
          <w:tcPr>
            <w:tcW w:w="1106" w:type="dxa"/>
          </w:tcPr>
          <w:p>
            <w:pPr>
              <w:pStyle w:val="TableParagraph"/>
              <w:spacing w:line="203" w:lineRule="exact"/>
              <w:ind w:right="1"/>
              <w:rPr>
                <w:sz w:val="18"/>
              </w:rPr>
            </w:pPr>
            <w:r>
              <w:rPr>
                <w:w w:val="99"/>
                <w:sz w:val="18"/>
              </w:rPr>
              <w:t>2</w:t>
            </w:r>
          </w:p>
        </w:tc>
        <w:tc>
          <w:tcPr>
            <w:tcW w:w="1078" w:type="dxa"/>
          </w:tcPr>
          <w:p>
            <w:pPr>
              <w:pStyle w:val="TableParagraph"/>
              <w:spacing w:line="203" w:lineRule="exact"/>
              <w:ind w:left="82" w:right="83"/>
              <w:rPr>
                <w:sz w:val="18"/>
              </w:rPr>
            </w:pPr>
            <w:r>
              <w:rPr>
                <w:sz w:val="18"/>
              </w:rPr>
              <w:t>1.6</w:t>
            </w:r>
          </w:p>
        </w:tc>
        <w:tc>
          <w:tcPr>
            <w:tcW w:w="1596" w:type="dxa"/>
          </w:tcPr>
          <w:p>
            <w:pPr>
              <w:pStyle w:val="TableParagraph"/>
              <w:spacing w:line="203" w:lineRule="exact"/>
              <w:ind w:left="81" w:right="82"/>
              <w:rPr>
                <w:sz w:val="18"/>
              </w:rPr>
            </w:pPr>
            <w:r>
              <w:rPr>
                <w:sz w:val="18"/>
              </w:rPr>
              <w:t>1.6</w:t>
            </w:r>
          </w:p>
        </w:tc>
        <w:tc>
          <w:tcPr>
            <w:tcW w:w="2009" w:type="dxa"/>
          </w:tcPr>
          <w:p>
            <w:pPr>
              <w:pStyle w:val="TableParagraph"/>
              <w:spacing w:line="203" w:lineRule="exact"/>
              <w:ind w:left="84" w:right="84"/>
              <w:rPr>
                <w:sz w:val="18"/>
              </w:rPr>
            </w:pPr>
            <w:r>
              <w:rPr>
                <w:sz w:val="18"/>
              </w:rPr>
              <w:t>95.2</w:t>
            </w:r>
          </w:p>
        </w:tc>
      </w:tr>
      <w:tr>
        <w:trPr>
          <w:trHeight w:val="218" w:hRule="exact"/>
        </w:trPr>
        <w:tc>
          <w:tcPr>
            <w:tcW w:w="806" w:type="dxa"/>
            <w:vMerge/>
          </w:tcPr>
          <w:p>
            <w:pPr/>
          </w:p>
        </w:tc>
        <w:tc>
          <w:tcPr>
            <w:tcW w:w="2249" w:type="dxa"/>
          </w:tcPr>
          <w:p>
            <w:pPr>
              <w:pStyle w:val="TableParagraph"/>
              <w:spacing w:line="203" w:lineRule="exact"/>
              <w:ind w:left="105"/>
              <w:jc w:val="left"/>
              <w:rPr>
                <w:sz w:val="18"/>
              </w:rPr>
            </w:pPr>
            <w:r>
              <w:rPr>
                <w:sz w:val="18"/>
              </w:rPr>
              <w:t>PRD-PT</w:t>
            </w:r>
          </w:p>
        </w:tc>
        <w:tc>
          <w:tcPr>
            <w:tcW w:w="1106" w:type="dxa"/>
          </w:tcPr>
          <w:p>
            <w:pPr>
              <w:pStyle w:val="TableParagraph"/>
              <w:spacing w:line="203" w:lineRule="exact"/>
              <w:ind w:right="1"/>
              <w:rPr>
                <w:sz w:val="18"/>
              </w:rPr>
            </w:pPr>
            <w:r>
              <w:rPr>
                <w:w w:val="99"/>
                <w:sz w:val="18"/>
              </w:rPr>
              <w:t>3</w:t>
            </w:r>
          </w:p>
        </w:tc>
        <w:tc>
          <w:tcPr>
            <w:tcW w:w="1078" w:type="dxa"/>
          </w:tcPr>
          <w:p>
            <w:pPr>
              <w:pStyle w:val="TableParagraph"/>
              <w:spacing w:line="203" w:lineRule="exact"/>
              <w:ind w:left="82" w:right="83"/>
              <w:rPr>
                <w:sz w:val="18"/>
              </w:rPr>
            </w:pPr>
            <w:r>
              <w:rPr>
                <w:sz w:val="18"/>
              </w:rPr>
              <w:t>2.4</w:t>
            </w:r>
          </w:p>
        </w:tc>
        <w:tc>
          <w:tcPr>
            <w:tcW w:w="1596" w:type="dxa"/>
          </w:tcPr>
          <w:p>
            <w:pPr>
              <w:pStyle w:val="TableParagraph"/>
              <w:spacing w:line="203" w:lineRule="exact"/>
              <w:ind w:left="81" w:right="82"/>
              <w:rPr>
                <w:sz w:val="18"/>
              </w:rPr>
            </w:pPr>
            <w:r>
              <w:rPr>
                <w:sz w:val="18"/>
              </w:rPr>
              <w:t>2.4</w:t>
            </w:r>
          </w:p>
        </w:tc>
        <w:tc>
          <w:tcPr>
            <w:tcW w:w="2009" w:type="dxa"/>
          </w:tcPr>
          <w:p>
            <w:pPr>
              <w:pStyle w:val="TableParagraph"/>
              <w:spacing w:line="203" w:lineRule="exact"/>
              <w:ind w:left="84" w:right="84"/>
              <w:rPr>
                <w:sz w:val="18"/>
              </w:rPr>
            </w:pPr>
            <w:r>
              <w:rPr>
                <w:sz w:val="18"/>
              </w:rPr>
              <w:t>97.6</w:t>
            </w:r>
          </w:p>
        </w:tc>
      </w:tr>
      <w:tr>
        <w:trPr>
          <w:trHeight w:val="254" w:hRule="exact"/>
        </w:trPr>
        <w:tc>
          <w:tcPr>
            <w:tcW w:w="806" w:type="dxa"/>
            <w:vMerge/>
          </w:tcPr>
          <w:p>
            <w:pPr/>
          </w:p>
        </w:tc>
        <w:tc>
          <w:tcPr>
            <w:tcW w:w="2249" w:type="dxa"/>
          </w:tcPr>
          <w:p>
            <w:pPr>
              <w:pStyle w:val="TableParagraph"/>
              <w:spacing w:line="203" w:lineRule="exact"/>
              <w:ind w:left="105"/>
              <w:jc w:val="left"/>
              <w:rPr>
                <w:sz w:val="18"/>
              </w:rPr>
            </w:pPr>
            <w:r>
              <w:rPr>
                <w:sz w:val="18"/>
              </w:rPr>
              <w:t>PT-Convergencia</w:t>
            </w:r>
          </w:p>
        </w:tc>
        <w:tc>
          <w:tcPr>
            <w:tcW w:w="1106" w:type="dxa"/>
          </w:tcPr>
          <w:p>
            <w:pPr>
              <w:pStyle w:val="TableParagraph"/>
              <w:spacing w:line="203" w:lineRule="exact"/>
              <w:ind w:right="1"/>
              <w:rPr>
                <w:sz w:val="18"/>
              </w:rPr>
            </w:pPr>
            <w:r>
              <w:rPr>
                <w:w w:val="99"/>
                <w:sz w:val="18"/>
              </w:rPr>
              <w:t>2</w:t>
            </w:r>
          </w:p>
        </w:tc>
        <w:tc>
          <w:tcPr>
            <w:tcW w:w="1078" w:type="dxa"/>
          </w:tcPr>
          <w:p>
            <w:pPr>
              <w:pStyle w:val="TableParagraph"/>
              <w:spacing w:line="203" w:lineRule="exact"/>
              <w:ind w:left="82" w:right="83"/>
              <w:rPr>
                <w:sz w:val="18"/>
              </w:rPr>
            </w:pPr>
            <w:r>
              <w:rPr>
                <w:sz w:val="18"/>
              </w:rPr>
              <w:t>1.6</w:t>
            </w:r>
          </w:p>
        </w:tc>
        <w:tc>
          <w:tcPr>
            <w:tcW w:w="1596" w:type="dxa"/>
          </w:tcPr>
          <w:p>
            <w:pPr>
              <w:pStyle w:val="TableParagraph"/>
              <w:spacing w:line="203" w:lineRule="exact"/>
              <w:ind w:left="81" w:right="82"/>
              <w:rPr>
                <w:sz w:val="18"/>
              </w:rPr>
            </w:pPr>
            <w:r>
              <w:rPr>
                <w:sz w:val="18"/>
              </w:rPr>
              <w:t>1.6</w:t>
            </w:r>
          </w:p>
        </w:tc>
        <w:tc>
          <w:tcPr>
            <w:tcW w:w="2009" w:type="dxa"/>
          </w:tcPr>
          <w:p>
            <w:pPr>
              <w:pStyle w:val="TableParagraph"/>
              <w:spacing w:line="203" w:lineRule="exact"/>
              <w:ind w:left="84" w:right="84"/>
              <w:rPr>
                <w:sz w:val="18"/>
              </w:rPr>
            </w:pPr>
            <w:r>
              <w:rPr>
                <w:sz w:val="18"/>
              </w:rPr>
              <w:t>99.2</w:t>
            </w:r>
          </w:p>
        </w:tc>
      </w:tr>
      <w:tr>
        <w:trPr>
          <w:trHeight w:val="216" w:hRule="exact"/>
        </w:trPr>
        <w:tc>
          <w:tcPr>
            <w:tcW w:w="806" w:type="dxa"/>
            <w:vMerge/>
          </w:tcPr>
          <w:p>
            <w:pPr/>
          </w:p>
        </w:tc>
        <w:tc>
          <w:tcPr>
            <w:tcW w:w="2249" w:type="dxa"/>
          </w:tcPr>
          <w:p>
            <w:pPr>
              <w:pStyle w:val="TableParagraph"/>
              <w:spacing w:line="203" w:lineRule="exact"/>
              <w:ind w:left="105"/>
              <w:jc w:val="left"/>
              <w:rPr>
                <w:sz w:val="18"/>
              </w:rPr>
            </w:pPr>
            <w:r>
              <w:rPr>
                <w:sz w:val="18"/>
              </w:rPr>
              <w:t>PAN-Convergencia</w:t>
            </w:r>
          </w:p>
        </w:tc>
        <w:tc>
          <w:tcPr>
            <w:tcW w:w="1106" w:type="dxa"/>
          </w:tcPr>
          <w:p>
            <w:pPr>
              <w:pStyle w:val="TableParagraph"/>
              <w:spacing w:line="203" w:lineRule="exact"/>
              <w:ind w:right="1"/>
              <w:rPr>
                <w:sz w:val="18"/>
              </w:rPr>
            </w:pPr>
            <w:r>
              <w:rPr>
                <w:w w:val="99"/>
                <w:sz w:val="18"/>
              </w:rPr>
              <w:t>1</w:t>
            </w:r>
          </w:p>
        </w:tc>
        <w:tc>
          <w:tcPr>
            <w:tcW w:w="1078" w:type="dxa"/>
          </w:tcPr>
          <w:p>
            <w:pPr>
              <w:pStyle w:val="TableParagraph"/>
              <w:spacing w:line="203" w:lineRule="exact"/>
              <w:ind w:left="83" w:right="83"/>
              <w:rPr>
                <w:sz w:val="18"/>
              </w:rPr>
            </w:pPr>
            <w:r>
              <w:rPr>
                <w:sz w:val="18"/>
              </w:rPr>
              <w:t>.8</w:t>
            </w:r>
          </w:p>
        </w:tc>
        <w:tc>
          <w:tcPr>
            <w:tcW w:w="1596" w:type="dxa"/>
          </w:tcPr>
          <w:p>
            <w:pPr>
              <w:pStyle w:val="TableParagraph"/>
              <w:spacing w:line="203" w:lineRule="exact"/>
              <w:ind w:left="82" w:right="82"/>
              <w:rPr>
                <w:sz w:val="18"/>
              </w:rPr>
            </w:pPr>
            <w:r>
              <w:rPr>
                <w:sz w:val="18"/>
              </w:rPr>
              <w:t>.8</w:t>
            </w:r>
          </w:p>
        </w:tc>
        <w:tc>
          <w:tcPr>
            <w:tcW w:w="2009" w:type="dxa"/>
          </w:tcPr>
          <w:p>
            <w:pPr>
              <w:pStyle w:val="TableParagraph"/>
              <w:spacing w:line="203" w:lineRule="exact"/>
              <w:ind w:left="84" w:right="84"/>
              <w:rPr>
                <w:sz w:val="18"/>
              </w:rPr>
            </w:pPr>
            <w:r>
              <w:rPr>
                <w:sz w:val="18"/>
              </w:rPr>
              <w:t>100.0</w:t>
            </w:r>
          </w:p>
        </w:tc>
      </w:tr>
      <w:tr>
        <w:trPr>
          <w:trHeight w:val="218" w:hRule="exact"/>
        </w:trPr>
        <w:tc>
          <w:tcPr>
            <w:tcW w:w="806" w:type="dxa"/>
            <w:vMerge/>
          </w:tcPr>
          <w:p>
            <w:pPr/>
          </w:p>
        </w:tc>
        <w:tc>
          <w:tcPr>
            <w:tcW w:w="2249" w:type="dxa"/>
          </w:tcPr>
          <w:p>
            <w:pPr>
              <w:pStyle w:val="TableParagraph"/>
              <w:spacing w:line="203" w:lineRule="exact"/>
              <w:ind w:left="105"/>
              <w:jc w:val="left"/>
              <w:rPr>
                <w:sz w:val="18"/>
              </w:rPr>
            </w:pPr>
            <w:r>
              <w:rPr>
                <w:sz w:val="18"/>
              </w:rPr>
              <w:t>Total</w:t>
            </w:r>
          </w:p>
        </w:tc>
        <w:tc>
          <w:tcPr>
            <w:tcW w:w="1106" w:type="dxa"/>
          </w:tcPr>
          <w:p>
            <w:pPr>
              <w:pStyle w:val="TableParagraph"/>
              <w:spacing w:line="203" w:lineRule="exact"/>
              <w:ind w:left="83" w:right="81"/>
              <w:rPr>
                <w:sz w:val="18"/>
              </w:rPr>
            </w:pPr>
            <w:r>
              <w:rPr>
                <w:sz w:val="18"/>
              </w:rPr>
              <w:t>125</w:t>
            </w:r>
          </w:p>
        </w:tc>
        <w:tc>
          <w:tcPr>
            <w:tcW w:w="1078" w:type="dxa"/>
          </w:tcPr>
          <w:p>
            <w:pPr>
              <w:pStyle w:val="TableParagraph"/>
              <w:spacing w:line="203" w:lineRule="exact"/>
              <w:ind w:left="83" w:right="83"/>
              <w:rPr>
                <w:sz w:val="18"/>
              </w:rPr>
            </w:pPr>
            <w:r>
              <w:rPr>
                <w:sz w:val="18"/>
              </w:rPr>
              <w:t>100.0</w:t>
            </w:r>
          </w:p>
        </w:tc>
        <w:tc>
          <w:tcPr>
            <w:tcW w:w="1596" w:type="dxa"/>
          </w:tcPr>
          <w:p>
            <w:pPr>
              <w:pStyle w:val="TableParagraph"/>
              <w:spacing w:line="203" w:lineRule="exact"/>
              <w:ind w:left="81" w:right="82"/>
              <w:rPr>
                <w:sz w:val="18"/>
              </w:rPr>
            </w:pPr>
            <w:r>
              <w:rPr>
                <w:sz w:val="18"/>
              </w:rPr>
              <w:t>100.0</w:t>
            </w:r>
          </w:p>
        </w:tc>
        <w:tc>
          <w:tcPr>
            <w:tcW w:w="2009" w:type="dxa"/>
          </w:tcPr>
          <w:p>
            <w:pPr/>
          </w:p>
        </w:tc>
      </w:tr>
      <w:tr>
        <w:trPr>
          <w:trHeight w:val="379" w:hRule="exact"/>
        </w:trPr>
        <w:tc>
          <w:tcPr>
            <w:tcW w:w="8846" w:type="dxa"/>
            <w:gridSpan w:val="6"/>
          </w:tcPr>
          <w:p>
            <w:pPr>
              <w:pStyle w:val="TableParagraph"/>
              <w:ind w:left="103"/>
              <w:jc w:val="left"/>
              <w:rPr>
                <w:sz w:val="16"/>
              </w:rPr>
            </w:pPr>
            <w:r>
              <w:rPr>
                <w:sz w:val="16"/>
              </w:rPr>
              <w:t>Fuente: Elaboración propia con datos de los resultados de elección de presidentes municipales 2009 del IEEM. </w:t>
            </w:r>
            <w:hyperlink r:id="rId107">
              <w:r>
                <w:rPr>
                  <w:color w:val="0462C1"/>
                  <w:sz w:val="16"/>
                  <w:u w:val="single" w:color="0462C1"/>
                </w:rPr>
                <w:t>http://www.ieem.org.mx/numeralia/result_elect.htm</w:t>
              </w:r>
              <w:r>
                <w:rPr>
                  <w:color w:val="0462C1"/>
                  <w:sz w:val="16"/>
                </w:rPr>
                <w:t>l</w:t>
              </w:r>
            </w:hyperlink>
            <w:r>
              <w:rPr>
                <w:color w:val="0462C1"/>
                <w:sz w:val="16"/>
              </w:rPr>
              <w:t> </w:t>
            </w:r>
            <w:r>
              <w:rPr>
                <w:sz w:val="16"/>
              </w:rPr>
              <w:t>[04-12-2013]</w:t>
            </w:r>
          </w:p>
        </w:tc>
      </w:tr>
    </w:tbl>
    <w:p>
      <w:pPr>
        <w:pStyle w:val="BodyText"/>
        <w:rPr>
          <w:sz w:val="20"/>
        </w:rPr>
      </w:pPr>
    </w:p>
    <w:p>
      <w:pPr>
        <w:pStyle w:val="BodyText"/>
        <w:spacing w:before="5"/>
        <w:rPr>
          <w:sz w:val="23"/>
        </w:rPr>
      </w:pPr>
    </w:p>
    <w:p>
      <w:pPr>
        <w:pStyle w:val="BodyText"/>
        <w:spacing w:line="360" w:lineRule="auto" w:before="69"/>
        <w:ind w:left="108" w:right="114"/>
        <w:jc w:val="both"/>
      </w:pPr>
      <w:r>
        <w:rPr/>
        <w:t>En</w:t>
      </w:r>
      <w:r>
        <w:rPr>
          <w:spacing w:val="-13"/>
        </w:rPr>
        <w:t> </w:t>
      </w:r>
      <w:r>
        <w:rPr/>
        <w:t>el</w:t>
      </w:r>
      <w:r>
        <w:rPr>
          <w:spacing w:val="-14"/>
        </w:rPr>
        <w:t> </w:t>
      </w:r>
      <w:r>
        <w:rPr/>
        <w:t>siguiente</w:t>
      </w:r>
      <w:r>
        <w:rPr>
          <w:spacing w:val="-13"/>
        </w:rPr>
        <w:t> </w:t>
      </w:r>
      <w:r>
        <w:rPr/>
        <w:t>periodo</w:t>
      </w:r>
      <w:r>
        <w:rPr>
          <w:spacing w:val="-15"/>
        </w:rPr>
        <w:t> </w:t>
      </w:r>
      <w:r>
        <w:rPr/>
        <w:t>que</w:t>
      </w:r>
      <w:r>
        <w:rPr>
          <w:spacing w:val="-13"/>
        </w:rPr>
        <w:t> </w:t>
      </w:r>
      <w:r>
        <w:rPr/>
        <w:t>comprende</w:t>
      </w:r>
      <w:r>
        <w:rPr>
          <w:spacing w:val="-16"/>
        </w:rPr>
        <w:t> </w:t>
      </w:r>
      <w:r>
        <w:rPr/>
        <w:t>2009-20012</w:t>
      </w:r>
      <w:r>
        <w:rPr>
          <w:spacing w:val="-13"/>
        </w:rPr>
        <w:t> </w:t>
      </w:r>
      <w:r>
        <w:rPr/>
        <w:t>(ver</w:t>
      </w:r>
      <w:r>
        <w:rPr>
          <w:spacing w:val="-15"/>
        </w:rPr>
        <w:t> </w:t>
      </w:r>
      <w:r>
        <w:rPr/>
        <w:t>tabla</w:t>
      </w:r>
      <w:r>
        <w:rPr>
          <w:spacing w:val="-14"/>
        </w:rPr>
        <w:t> </w:t>
      </w:r>
      <w:r>
        <w:rPr/>
        <w:t>3.14),</w:t>
      </w:r>
      <w:r>
        <w:rPr>
          <w:spacing w:val="-17"/>
        </w:rPr>
        <w:t> </w:t>
      </w:r>
      <w:r>
        <w:rPr/>
        <w:t>la</w:t>
      </w:r>
      <w:r>
        <w:rPr>
          <w:spacing w:val="-13"/>
        </w:rPr>
        <w:t> </w:t>
      </w:r>
      <w:r>
        <w:rPr/>
        <w:t>coalición</w:t>
      </w:r>
      <w:r>
        <w:rPr>
          <w:spacing w:val="-14"/>
        </w:rPr>
        <w:t> </w:t>
      </w:r>
      <w:r>
        <w:rPr/>
        <w:t>PRI- PVEM-NA-PSD-PFD</w:t>
      </w:r>
      <w:r>
        <w:rPr>
          <w:spacing w:val="-8"/>
        </w:rPr>
        <w:t> </w:t>
      </w:r>
      <w:r>
        <w:rPr/>
        <w:t>tuvo</w:t>
      </w:r>
      <w:r>
        <w:rPr>
          <w:spacing w:val="-7"/>
        </w:rPr>
        <w:t> </w:t>
      </w:r>
      <w:r>
        <w:rPr/>
        <w:t>una</w:t>
      </w:r>
      <w:r>
        <w:rPr>
          <w:spacing w:val="-7"/>
        </w:rPr>
        <w:t> </w:t>
      </w:r>
      <w:r>
        <w:rPr/>
        <w:t>gran</w:t>
      </w:r>
      <w:r>
        <w:rPr>
          <w:spacing w:val="-8"/>
        </w:rPr>
        <w:t> </w:t>
      </w:r>
      <w:r>
        <w:rPr/>
        <w:t>mayoría</w:t>
      </w:r>
      <w:r>
        <w:rPr>
          <w:spacing w:val="-7"/>
        </w:rPr>
        <w:t> </w:t>
      </w:r>
      <w:r>
        <w:rPr/>
        <w:t>al</w:t>
      </w:r>
      <w:r>
        <w:rPr>
          <w:spacing w:val="-8"/>
        </w:rPr>
        <w:t> </w:t>
      </w:r>
      <w:r>
        <w:rPr/>
        <w:t>ganar</w:t>
      </w:r>
      <w:r>
        <w:rPr>
          <w:spacing w:val="-8"/>
        </w:rPr>
        <w:t> </w:t>
      </w:r>
      <w:r>
        <w:rPr/>
        <w:t>97</w:t>
      </w:r>
      <w:r>
        <w:rPr>
          <w:spacing w:val="-8"/>
        </w:rPr>
        <w:t> </w:t>
      </w:r>
      <w:r>
        <w:rPr/>
        <w:t>municipios</w:t>
      </w:r>
      <w:r>
        <w:rPr>
          <w:spacing w:val="-9"/>
        </w:rPr>
        <w:t> </w:t>
      </w:r>
      <w:r>
        <w:rPr/>
        <w:t>que</w:t>
      </w:r>
      <w:r>
        <w:rPr>
          <w:spacing w:val="-7"/>
        </w:rPr>
        <w:t> </w:t>
      </w:r>
      <w:r>
        <w:rPr/>
        <w:t>representan un 77.6%; seguido del PAN con 12 municipios (9.6%); en tercer lugar, se encuentra el PRD con 6 municipios ganados (4.8%); en tanto que los demás municipios ganados por las diferentes coaliciones suman 10 municipios, equivalente al 8% del total.</w:t>
      </w:r>
    </w:p>
    <w:p>
      <w:pPr>
        <w:pStyle w:val="BodyText"/>
      </w:pPr>
    </w:p>
    <w:p>
      <w:pPr>
        <w:pStyle w:val="BodyText"/>
      </w:pPr>
    </w:p>
    <w:p>
      <w:pPr>
        <w:pStyle w:val="BodyText"/>
        <w:spacing w:line="360" w:lineRule="auto" w:before="187"/>
        <w:ind w:left="108" w:right="114"/>
        <w:jc w:val="both"/>
      </w:pPr>
      <w:r>
        <w:rPr/>
        <w:t>El siguiente periodo que comprende 2013-2015 (ver tabla 2.1d) la coalición PRI- PVEM-NA</w:t>
      </w:r>
      <w:r>
        <w:rPr>
          <w:spacing w:val="-8"/>
        </w:rPr>
        <w:t> </w:t>
      </w:r>
      <w:r>
        <w:rPr/>
        <w:t>tuvo</w:t>
      </w:r>
      <w:r>
        <w:rPr>
          <w:spacing w:val="-7"/>
        </w:rPr>
        <w:t> </w:t>
      </w:r>
      <w:r>
        <w:rPr/>
        <w:t>una</w:t>
      </w:r>
      <w:r>
        <w:rPr>
          <w:spacing w:val="-7"/>
        </w:rPr>
        <w:t> </w:t>
      </w:r>
      <w:r>
        <w:rPr/>
        <w:t>gran</w:t>
      </w:r>
      <w:r>
        <w:rPr>
          <w:spacing w:val="-9"/>
        </w:rPr>
        <w:t> </w:t>
      </w:r>
      <w:r>
        <w:rPr/>
        <w:t>mayoría</w:t>
      </w:r>
      <w:r>
        <w:rPr>
          <w:spacing w:val="-7"/>
        </w:rPr>
        <w:t> </w:t>
      </w:r>
      <w:r>
        <w:rPr/>
        <w:t>al</w:t>
      </w:r>
      <w:r>
        <w:rPr>
          <w:spacing w:val="-8"/>
        </w:rPr>
        <w:t> </w:t>
      </w:r>
      <w:r>
        <w:rPr/>
        <w:t>ganar</w:t>
      </w:r>
      <w:r>
        <w:rPr>
          <w:spacing w:val="-11"/>
        </w:rPr>
        <w:t> </w:t>
      </w:r>
      <w:r>
        <w:rPr/>
        <w:t>94</w:t>
      </w:r>
      <w:r>
        <w:rPr>
          <w:spacing w:val="-9"/>
        </w:rPr>
        <w:t> </w:t>
      </w:r>
      <w:r>
        <w:rPr/>
        <w:t>municipios</w:t>
      </w:r>
      <w:r>
        <w:rPr>
          <w:spacing w:val="-7"/>
        </w:rPr>
        <w:t> </w:t>
      </w:r>
      <w:r>
        <w:rPr/>
        <w:t>que</w:t>
      </w:r>
      <w:r>
        <w:rPr>
          <w:spacing w:val="-9"/>
        </w:rPr>
        <w:t> </w:t>
      </w:r>
      <w:r>
        <w:rPr/>
        <w:t>representan</w:t>
      </w:r>
      <w:r>
        <w:rPr>
          <w:spacing w:val="-7"/>
        </w:rPr>
        <w:t> </w:t>
      </w:r>
      <w:r>
        <w:rPr/>
        <w:t>un</w:t>
      </w:r>
      <w:r>
        <w:rPr>
          <w:spacing w:val="-9"/>
        </w:rPr>
        <w:t> </w:t>
      </w:r>
      <w:r>
        <w:rPr/>
        <w:t>75.2%; seguido del PAN con 16 municipios (12.8%); en tercer lugar, se encuentra el PRD con 3 municipios ganados (2.4%); en tanto que los demás municipios ganados por las diferentes coaliciones suman 12 municipios, equivalente al 9.6% del</w:t>
      </w:r>
      <w:r>
        <w:rPr>
          <w:spacing w:val="-23"/>
        </w:rPr>
        <w:t> </w:t>
      </w:r>
      <w:r>
        <w:rPr/>
        <w:t>total.</w:t>
      </w:r>
    </w:p>
    <w:p>
      <w:pPr>
        <w:pStyle w:val="BodyText"/>
        <w:rPr>
          <w:sz w:val="20"/>
        </w:rPr>
      </w:pPr>
    </w:p>
    <w:p>
      <w:pPr>
        <w:pStyle w:val="BodyText"/>
        <w:rPr>
          <w:sz w:val="20"/>
        </w:rPr>
      </w:pPr>
    </w:p>
    <w:p>
      <w:pPr>
        <w:pStyle w:val="BodyText"/>
        <w:spacing w:before="3"/>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84"/>
        <w:gridCol w:w="1346"/>
        <w:gridCol w:w="1421"/>
        <w:gridCol w:w="1385"/>
        <w:gridCol w:w="1747"/>
        <w:gridCol w:w="2038"/>
      </w:tblGrid>
      <w:tr>
        <w:trPr>
          <w:trHeight w:val="217" w:hRule="exact"/>
        </w:trPr>
        <w:tc>
          <w:tcPr>
            <w:tcW w:w="8922" w:type="dxa"/>
            <w:gridSpan w:val="6"/>
            <w:shd w:val="clear" w:color="auto" w:fill="92D050"/>
          </w:tcPr>
          <w:p>
            <w:pPr>
              <w:pStyle w:val="TableParagraph"/>
              <w:spacing w:line="201" w:lineRule="exact"/>
              <w:ind w:left="717" w:right="56"/>
              <w:jc w:val="left"/>
              <w:rPr>
                <w:b/>
                <w:sz w:val="18"/>
              </w:rPr>
            </w:pPr>
            <w:r>
              <w:rPr>
                <w:b/>
                <w:sz w:val="18"/>
              </w:rPr>
              <w:t>Tabla de frecuencias 3.15.1d Partido que gobierna el municipio en el periodo 2013-2015</w:t>
            </w:r>
          </w:p>
        </w:tc>
      </w:tr>
      <w:tr>
        <w:trPr>
          <w:trHeight w:val="424" w:hRule="exact"/>
        </w:trPr>
        <w:tc>
          <w:tcPr>
            <w:tcW w:w="2330" w:type="dxa"/>
            <w:gridSpan w:val="2"/>
            <w:shd w:val="clear" w:color="auto" w:fill="92D050"/>
          </w:tcPr>
          <w:p>
            <w:pPr>
              <w:pStyle w:val="TableParagraph"/>
              <w:spacing w:line="203" w:lineRule="exact"/>
              <w:ind w:left="828" w:right="831"/>
              <w:rPr>
                <w:b/>
                <w:sz w:val="18"/>
              </w:rPr>
            </w:pPr>
            <w:r>
              <w:rPr>
                <w:b/>
                <w:sz w:val="18"/>
              </w:rPr>
              <w:t>Partido</w:t>
            </w:r>
          </w:p>
        </w:tc>
        <w:tc>
          <w:tcPr>
            <w:tcW w:w="1421" w:type="dxa"/>
            <w:shd w:val="clear" w:color="auto" w:fill="92D050"/>
          </w:tcPr>
          <w:p>
            <w:pPr>
              <w:pStyle w:val="TableParagraph"/>
              <w:spacing w:line="203" w:lineRule="exact"/>
              <w:ind w:left="210" w:right="211"/>
              <w:rPr>
                <w:b/>
                <w:sz w:val="18"/>
              </w:rPr>
            </w:pPr>
            <w:r>
              <w:rPr>
                <w:b/>
                <w:sz w:val="18"/>
              </w:rPr>
              <w:t>Frecuencia</w:t>
            </w:r>
          </w:p>
        </w:tc>
        <w:tc>
          <w:tcPr>
            <w:tcW w:w="1385" w:type="dxa"/>
            <w:shd w:val="clear" w:color="auto" w:fill="92D050"/>
          </w:tcPr>
          <w:p>
            <w:pPr>
              <w:pStyle w:val="TableParagraph"/>
              <w:spacing w:line="203" w:lineRule="exact"/>
              <w:ind w:left="207" w:right="208"/>
              <w:rPr>
                <w:b/>
                <w:sz w:val="18"/>
              </w:rPr>
            </w:pPr>
            <w:r>
              <w:rPr>
                <w:b/>
                <w:sz w:val="18"/>
              </w:rPr>
              <w:t>Porcentaje</w:t>
            </w:r>
          </w:p>
        </w:tc>
        <w:tc>
          <w:tcPr>
            <w:tcW w:w="1747" w:type="dxa"/>
            <w:shd w:val="clear" w:color="auto" w:fill="92D050"/>
          </w:tcPr>
          <w:p>
            <w:pPr>
              <w:pStyle w:val="TableParagraph"/>
              <w:spacing w:line="203" w:lineRule="exact"/>
              <w:ind w:left="103" w:right="104"/>
              <w:rPr>
                <w:b/>
                <w:sz w:val="18"/>
              </w:rPr>
            </w:pPr>
            <w:r>
              <w:rPr>
                <w:b/>
                <w:sz w:val="18"/>
              </w:rPr>
              <w:t>Porcentaje válido</w:t>
            </w:r>
          </w:p>
        </w:tc>
        <w:tc>
          <w:tcPr>
            <w:tcW w:w="2038" w:type="dxa"/>
            <w:shd w:val="clear" w:color="auto" w:fill="92D050"/>
          </w:tcPr>
          <w:p>
            <w:pPr>
              <w:pStyle w:val="TableParagraph"/>
              <w:ind w:left="537" w:right="521" w:firstLine="14"/>
              <w:jc w:val="left"/>
              <w:rPr>
                <w:b/>
                <w:sz w:val="18"/>
              </w:rPr>
            </w:pPr>
            <w:r>
              <w:rPr>
                <w:b/>
                <w:sz w:val="18"/>
              </w:rPr>
              <w:t>Porcentaje acumulado</w:t>
            </w:r>
          </w:p>
        </w:tc>
      </w:tr>
      <w:tr>
        <w:trPr>
          <w:trHeight w:val="216" w:hRule="exact"/>
        </w:trPr>
        <w:tc>
          <w:tcPr>
            <w:tcW w:w="984" w:type="dxa"/>
            <w:vMerge w:val="restart"/>
          </w:tcPr>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11"/>
              <w:jc w:val="left"/>
              <w:rPr>
                <w:sz w:val="17"/>
              </w:rPr>
            </w:pPr>
          </w:p>
          <w:p>
            <w:pPr>
              <w:pStyle w:val="TableParagraph"/>
              <w:ind w:left="103"/>
              <w:jc w:val="left"/>
              <w:rPr>
                <w:sz w:val="18"/>
              </w:rPr>
            </w:pPr>
            <w:r>
              <w:rPr>
                <w:sz w:val="18"/>
              </w:rPr>
              <w:t>Válidos</w:t>
            </w:r>
          </w:p>
        </w:tc>
        <w:tc>
          <w:tcPr>
            <w:tcW w:w="1346" w:type="dxa"/>
          </w:tcPr>
          <w:p>
            <w:pPr>
              <w:pStyle w:val="TableParagraph"/>
              <w:spacing w:line="206" w:lineRule="exact"/>
              <w:ind w:left="103" w:right="283"/>
              <w:jc w:val="left"/>
              <w:rPr>
                <w:sz w:val="18"/>
              </w:rPr>
            </w:pPr>
            <w:r>
              <w:rPr>
                <w:sz w:val="18"/>
              </w:rPr>
              <w:t>PAN</w:t>
            </w:r>
          </w:p>
        </w:tc>
        <w:tc>
          <w:tcPr>
            <w:tcW w:w="1421" w:type="dxa"/>
          </w:tcPr>
          <w:p>
            <w:pPr>
              <w:pStyle w:val="TableParagraph"/>
              <w:spacing w:line="206" w:lineRule="exact"/>
              <w:ind w:left="210" w:right="210"/>
              <w:rPr>
                <w:sz w:val="18"/>
              </w:rPr>
            </w:pPr>
            <w:r>
              <w:rPr>
                <w:sz w:val="18"/>
              </w:rPr>
              <w:t>16</w:t>
            </w:r>
          </w:p>
        </w:tc>
        <w:tc>
          <w:tcPr>
            <w:tcW w:w="1385" w:type="dxa"/>
          </w:tcPr>
          <w:p>
            <w:pPr>
              <w:pStyle w:val="TableParagraph"/>
              <w:spacing w:line="206" w:lineRule="exact"/>
              <w:ind w:left="207" w:right="208"/>
              <w:rPr>
                <w:sz w:val="18"/>
              </w:rPr>
            </w:pPr>
            <w:r>
              <w:rPr>
                <w:sz w:val="18"/>
              </w:rPr>
              <w:t>12.8</w:t>
            </w:r>
          </w:p>
        </w:tc>
        <w:tc>
          <w:tcPr>
            <w:tcW w:w="1747" w:type="dxa"/>
          </w:tcPr>
          <w:p>
            <w:pPr>
              <w:pStyle w:val="TableParagraph"/>
              <w:spacing w:line="206" w:lineRule="exact"/>
              <w:ind w:left="103" w:right="103"/>
              <w:rPr>
                <w:sz w:val="18"/>
              </w:rPr>
            </w:pPr>
            <w:r>
              <w:rPr>
                <w:sz w:val="18"/>
              </w:rPr>
              <w:t>12.8</w:t>
            </w:r>
          </w:p>
        </w:tc>
        <w:tc>
          <w:tcPr>
            <w:tcW w:w="2038" w:type="dxa"/>
          </w:tcPr>
          <w:p>
            <w:pPr>
              <w:pStyle w:val="TableParagraph"/>
              <w:spacing w:line="206" w:lineRule="exact"/>
              <w:ind w:left="838" w:right="521"/>
              <w:jc w:val="left"/>
              <w:rPr>
                <w:sz w:val="18"/>
              </w:rPr>
            </w:pPr>
            <w:r>
              <w:rPr>
                <w:sz w:val="18"/>
              </w:rPr>
              <w:t>12.8</w:t>
            </w:r>
          </w:p>
        </w:tc>
      </w:tr>
      <w:tr>
        <w:trPr>
          <w:trHeight w:val="425" w:hRule="exact"/>
        </w:trPr>
        <w:tc>
          <w:tcPr>
            <w:tcW w:w="984" w:type="dxa"/>
            <w:vMerge/>
          </w:tcPr>
          <w:p>
            <w:pPr/>
          </w:p>
        </w:tc>
        <w:tc>
          <w:tcPr>
            <w:tcW w:w="1346" w:type="dxa"/>
            <w:tcBorders>
              <w:bottom w:val="single" w:sz="4" w:space="0" w:color="000000"/>
            </w:tcBorders>
          </w:tcPr>
          <w:p>
            <w:pPr>
              <w:pStyle w:val="TableParagraph"/>
              <w:spacing w:before="1"/>
              <w:ind w:left="103" w:right="283"/>
              <w:jc w:val="left"/>
              <w:rPr>
                <w:sz w:val="18"/>
              </w:rPr>
            </w:pPr>
            <w:r>
              <w:rPr>
                <w:sz w:val="18"/>
              </w:rPr>
              <w:t>PRI-PVEM- NA</w:t>
            </w:r>
          </w:p>
        </w:tc>
        <w:tc>
          <w:tcPr>
            <w:tcW w:w="1421" w:type="dxa"/>
            <w:tcBorders>
              <w:bottom w:val="single" w:sz="4" w:space="0" w:color="000000"/>
            </w:tcBorders>
          </w:tcPr>
          <w:p>
            <w:pPr>
              <w:pStyle w:val="TableParagraph"/>
              <w:spacing w:before="1"/>
              <w:ind w:left="210" w:right="210"/>
              <w:rPr>
                <w:sz w:val="18"/>
              </w:rPr>
            </w:pPr>
            <w:r>
              <w:rPr>
                <w:sz w:val="18"/>
              </w:rPr>
              <w:t>94</w:t>
            </w:r>
          </w:p>
        </w:tc>
        <w:tc>
          <w:tcPr>
            <w:tcW w:w="1385" w:type="dxa"/>
            <w:tcBorders>
              <w:bottom w:val="single" w:sz="4" w:space="0" w:color="000000"/>
            </w:tcBorders>
          </w:tcPr>
          <w:p>
            <w:pPr>
              <w:pStyle w:val="TableParagraph"/>
              <w:spacing w:before="1"/>
              <w:ind w:left="207" w:right="208"/>
              <w:rPr>
                <w:sz w:val="18"/>
              </w:rPr>
            </w:pPr>
            <w:r>
              <w:rPr>
                <w:sz w:val="18"/>
              </w:rPr>
              <w:t>75.2</w:t>
            </w:r>
          </w:p>
        </w:tc>
        <w:tc>
          <w:tcPr>
            <w:tcW w:w="1747" w:type="dxa"/>
            <w:tcBorders>
              <w:bottom w:val="single" w:sz="4" w:space="0" w:color="000000"/>
            </w:tcBorders>
          </w:tcPr>
          <w:p>
            <w:pPr>
              <w:pStyle w:val="TableParagraph"/>
              <w:spacing w:before="1"/>
              <w:ind w:left="103" w:right="103"/>
              <w:rPr>
                <w:sz w:val="18"/>
              </w:rPr>
            </w:pPr>
            <w:r>
              <w:rPr>
                <w:sz w:val="18"/>
              </w:rPr>
              <w:t>75.2</w:t>
            </w:r>
          </w:p>
        </w:tc>
        <w:tc>
          <w:tcPr>
            <w:tcW w:w="2038" w:type="dxa"/>
            <w:tcBorders>
              <w:bottom w:val="single" w:sz="4" w:space="0" w:color="000000"/>
            </w:tcBorders>
          </w:tcPr>
          <w:p>
            <w:pPr>
              <w:pStyle w:val="TableParagraph"/>
              <w:spacing w:before="1"/>
              <w:ind w:left="838" w:right="521"/>
              <w:jc w:val="left"/>
              <w:rPr>
                <w:sz w:val="18"/>
              </w:rPr>
            </w:pPr>
            <w:r>
              <w:rPr>
                <w:sz w:val="18"/>
              </w:rPr>
              <w:t>88.0</w:t>
            </w:r>
          </w:p>
        </w:tc>
      </w:tr>
      <w:tr>
        <w:trPr>
          <w:trHeight w:val="216" w:hRule="exact"/>
        </w:trPr>
        <w:tc>
          <w:tcPr>
            <w:tcW w:w="984" w:type="dxa"/>
            <w:vMerge/>
          </w:tcPr>
          <w:p>
            <w:pPr/>
          </w:p>
        </w:tc>
        <w:tc>
          <w:tcPr>
            <w:tcW w:w="1346" w:type="dxa"/>
            <w:tcBorders>
              <w:top w:val="single" w:sz="4" w:space="0" w:color="000000"/>
            </w:tcBorders>
          </w:tcPr>
          <w:p>
            <w:pPr>
              <w:pStyle w:val="TableParagraph"/>
              <w:spacing w:line="206" w:lineRule="exact"/>
              <w:ind w:left="103" w:right="283"/>
              <w:jc w:val="left"/>
              <w:rPr>
                <w:sz w:val="18"/>
              </w:rPr>
            </w:pPr>
            <w:r>
              <w:rPr>
                <w:sz w:val="18"/>
              </w:rPr>
              <w:t>PRD</w:t>
            </w:r>
          </w:p>
        </w:tc>
        <w:tc>
          <w:tcPr>
            <w:tcW w:w="1421" w:type="dxa"/>
            <w:tcBorders>
              <w:top w:val="single" w:sz="4" w:space="0" w:color="000000"/>
            </w:tcBorders>
          </w:tcPr>
          <w:p>
            <w:pPr>
              <w:pStyle w:val="TableParagraph"/>
              <w:spacing w:line="206" w:lineRule="exact"/>
              <w:ind w:right="2"/>
              <w:rPr>
                <w:sz w:val="18"/>
              </w:rPr>
            </w:pPr>
            <w:r>
              <w:rPr>
                <w:w w:val="99"/>
                <w:sz w:val="18"/>
              </w:rPr>
              <w:t>3</w:t>
            </w:r>
          </w:p>
        </w:tc>
        <w:tc>
          <w:tcPr>
            <w:tcW w:w="1385" w:type="dxa"/>
            <w:tcBorders>
              <w:top w:val="single" w:sz="4" w:space="0" w:color="000000"/>
            </w:tcBorders>
          </w:tcPr>
          <w:p>
            <w:pPr>
              <w:pStyle w:val="TableParagraph"/>
              <w:spacing w:line="206" w:lineRule="exact"/>
              <w:ind w:left="207" w:right="208"/>
              <w:rPr>
                <w:sz w:val="18"/>
              </w:rPr>
            </w:pPr>
            <w:r>
              <w:rPr>
                <w:sz w:val="18"/>
              </w:rPr>
              <w:t>2.4</w:t>
            </w:r>
          </w:p>
        </w:tc>
        <w:tc>
          <w:tcPr>
            <w:tcW w:w="1747" w:type="dxa"/>
            <w:tcBorders>
              <w:top w:val="single" w:sz="4" w:space="0" w:color="000000"/>
            </w:tcBorders>
          </w:tcPr>
          <w:p>
            <w:pPr>
              <w:pStyle w:val="TableParagraph"/>
              <w:spacing w:line="206" w:lineRule="exact"/>
              <w:ind w:left="103" w:right="102"/>
              <w:rPr>
                <w:sz w:val="18"/>
              </w:rPr>
            </w:pPr>
            <w:r>
              <w:rPr>
                <w:sz w:val="18"/>
              </w:rPr>
              <w:t>2.4</w:t>
            </w:r>
          </w:p>
        </w:tc>
        <w:tc>
          <w:tcPr>
            <w:tcW w:w="2038" w:type="dxa"/>
            <w:tcBorders>
              <w:top w:val="single" w:sz="4" w:space="0" w:color="000000"/>
            </w:tcBorders>
          </w:tcPr>
          <w:p>
            <w:pPr>
              <w:pStyle w:val="TableParagraph"/>
              <w:spacing w:line="206" w:lineRule="exact"/>
              <w:ind w:left="838" w:right="521"/>
              <w:jc w:val="left"/>
              <w:rPr>
                <w:sz w:val="18"/>
              </w:rPr>
            </w:pPr>
            <w:r>
              <w:rPr>
                <w:sz w:val="18"/>
              </w:rPr>
              <w:t>90.4</w:t>
            </w:r>
          </w:p>
        </w:tc>
      </w:tr>
      <w:tr>
        <w:trPr>
          <w:trHeight w:val="218" w:hRule="exact"/>
        </w:trPr>
        <w:tc>
          <w:tcPr>
            <w:tcW w:w="984" w:type="dxa"/>
            <w:vMerge/>
          </w:tcPr>
          <w:p>
            <w:pPr/>
          </w:p>
        </w:tc>
        <w:tc>
          <w:tcPr>
            <w:tcW w:w="1346" w:type="dxa"/>
          </w:tcPr>
          <w:p>
            <w:pPr>
              <w:pStyle w:val="TableParagraph"/>
              <w:spacing w:before="1"/>
              <w:ind w:left="103" w:right="283"/>
              <w:jc w:val="left"/>
              <w:rPr>
                <w:sz w:val="18"/>
              </w:rPr>
            </w:pPr>
            <w:r>
              <w:rPr>
                <w:sz w:val="18"/>
              </w:rPr>
              <w:t>PT</w:t>
            </w:r>
          </w:p>
        </w:tc>
        <w:tc>
          <w:tcPr>
            <w:tcW w:w="1421" w:type="dxa"/>
          </w:tcPr>
          <w:p>
            <w:pPr>
              <w:pStyle w:val="TableParagraph"/>
              <w:spacing w:before="1"/>
              <w:ind w:right="2"/>
              <w:rPr>
                <w:sz w:val="18"/>
              </w:rPr>
            </w:pPr>
            <w:r>
              <w:rPr>
                <w:w w:val="99"/>
                <w:sz w:val="18"/>
              </w:rPr>
              <w:t>2</w:t>
            </w:r>
          </w:p>
        </w:tc>
        <w:tc>
          <w:tcPr>
            <w:tcW w:w="1385" w:type="dxa"/>
          </w:tcPr>
          <w:p>
            <w:pPr>
              <w:pStyle w:val="TableParagraph"/>
              <w:spacing w:before="1"/>
              <w:ind w:left="207" w:right="208"/>
              <w:rPr>
                <w:sz w:val="18"/>
              </w:rPr>
            </w:pPr>
            <w:r>
              <w:rPr>
                <w:sz w:val="18"/>
              </w:rPr>
              <w:t>1.6</w:t>
            </w:r>
          </w:p>
        </w:tc>
        <w:tc>
          <w:tcPr>
            <w:tcW w:w="1747" w:type="dxa"/>
          </w:tcPr>
          <w:p>
            <w:pPr>
              <w:pStyle w:val="TableParagraph"/>
              <w:spacing w:before="1"/>
              <w:ind w:left="103" w:right="102"/>
              <w:rPr>
                <w:sz w:val="18"/>
              </w:rPr>
            </w:pPr>
            <w:r>
              <w:rPr>
                <w:sz w:val="18"/>
              </w:rPr>
              <w:t>1.6</w:t>
            </w:r>
          </w:p>
        </w:tc>
        <w:tc>
          <w:tcPr>
            <w:tcW w:w="2038" w:type="dxa"/>
          </w:tcPr>
          <w:p>
            <w:pPr>
              <w:pStyle w:val="TableParagraph"/>
              <w:spacing w:before="1"/>
              <w:ind w:left="838" w:right="521"/>
              <w:jc w:val="left"/>
              <w:rPr>
                <w:sz w:val="18"/>
              </w:rPr>
            </w:pPr>
            <w:r>
              <w:rPr>
                <w:sz w:val="18"/>
              </w:rPr>
              <w:t>92.0</w:t>
            </w:r>
          </w:p>
        </w:tc>
      </w:tr>
      <w:tr>
        <w:trPr>
          <w:trHeight w:val="216" w:hRule="exact"/>
        </w:trPr>
        <w:tc>
          <w:tcPr>
            <w:tcW w:w="984" w:type="dxa"/>
            <w:vMerge/>
          </w:tcPr>
          <w:p>
            <w:pPr/>
          </w:p>
        </w:tc>
        <w:tc>
          <w:tcPr>
            <w:tcW w:w="1346" w:type="dxa"/>
          </w:tcPr>
          <w:p>
            <w:pPr>
              <w:pStyle w:val="TableParagraph"/>
              <w:spacing w:line="206" w:lineRule="exact"/>
              <w:ind w:left="103" w:right="283"/>
              <w:jc w:val="left"/>
              <w:rPr>
                <w:sz w:val="18"/>
              </w:rPr>
            </w:pPr>
            <w:r>
              <w:rPr>
                <w:sz w:val="18"/>
              </w:rPr>
              <w:t>PRD-PT</w:t>
            </w:r>
          </w:p>
        </w:tc>
        <w:tc>
          <w:tcPr>
            <w:tcW w:w="1421" w:type="dxa"/>
          </w:tcPr>
          <w:p>
            <w:pPr>
              <w:pStyle w:val="TableParagraph"/>
              <w:spacing w:line="206" w:lineRule="exact"/>
              <w:ind w:right="2"/>
              <w:rPr>
                <w:sz w:val="18"/>
              </w:rPr>
            </w:pPr>
            <w:r>
              <w:rPr>
                <w:w w:val="99"/>
                <w:sz w:val="18"/>
              </w:rPr>
              <w:t>6</w:t>
            </w:r>
          </w:p>
        </w:tc>
        <w:tc>
          <w:tcPr>
            <w:tcW w:w="1385" w:type="dxa"/>
          </w:tcPr>
          <w:p>
            <w:pPr>
              <w:pStyle w:val="TableParagraph"/>
              <w:spacing w:line="206" w:lineRule="exact"/>
              <w:ind w:left="207" w:right="208"/>
              <w:rPr>
                <w:sz w:val="18"/>
              </w:rPr>
            </w:pPr>
            <w:r>
              <w:rPr>
                <w:sz w:val="18"/>
              </w:rPr>
              <w:t>4.8</w:t>
            </w:r>
          </w:p>
        </w:tc>
        <w:tc>
          <w:tcPr>
            <w:tcW w:w="1747" w:type="dxa"/>
          </w:tcPr>
          <w:p>
            <w:pPr>
              <w:pStyle w:val="TableParagraph"/>
              <w:spacing w:line="206" w:lineRule="exact"/>
              <w:ind w:left="103" w:right="102"/>
              <w:rPr>
                <w:sz w:val="18"/>
              </w:rPr>
            </w:pPr>
            <w:r>
              <w:rPr>
                <w:sz w:val="18"/>
              </w:rPr>
              <w:t>4.8</w:t>
            </w:r>
          </w:p>
        </w:tc>
        <w:tc>
          <w:tcPr>
            <w:tcW w:w="2038" w:type="dxa"/>
          </w:tcPr>
          <w:p>
            <w:pPr>
              <w:pStyle w:val="TableParagraph"/>
              <w:spacing w:line="206" w:lineRule="exact"/>
              <w:ind w:left="838" w:right="521"/>
              <w:jc w:val="left"/>
              <w:rPr>
                <w:sz w:val="18"/>
              </w:rPr>
            </w:pPr>
            <w:r>
              <w:rPr>
                <w:sz w:val="18"/>
              </w:rPr>
              <w:t>96.8</w:t>
            </w:r>
          </w:p>
        </w:tc>
      </w:tr>
      <w:tr>
        <w:trPr>
          <w:trHeight w:val="218" w:hRule="exact"/>
        </w:trPr>
        <w:tc>
          <w:tcPr>
            <w:tcW w:w="984" w:type="dxa"/>
            <w:vMerge/>
          </w:tcPr>
          <w:p>
            <w:pPr/>
          </w:p>
        </w:tc>
        <w:tc>
          <w:tcPr>
            <w:tcW w:w="1346" w:type="dxa"/>
          </w:tcPr>
          <w:p>
            <w:pPr>
              <w:pStyle w:val="TableParagraph"/>
              <w:spacing w:line="206" w:lineRule="exact"/>
              <w:ind w:left="103"/>
              <w:jc w:val="left"/>
              <w:rPr>
                <w:sz w:val="18"/>
              </w:rPr>
            </w:pPr>
            <w:r>
              <w:rPr>
                <w:sz w:val="18"/>
              </w:rPr>
              <w:t>PRD-PT-MC</w:t>
            </w:r>
          </w:p>
        </w:tc>
        <w:tc>
          <w:tcPr>
            <w:tcW w:w="1421" w:type="dxa"/>
          </w:tcPr>
          <w:p>
            <w:pPr>
              <w:pStyle w:val="TableParagraph"/>
              <w:spacing w:line="206" w:lineRule="exact"/>
              <w:ind w:right="2"/>
              <w:rPr>
                <w:sz w:val="18"/>
              </w:rPr>
            </w:pPr>
            <w:r>
              <w:rPr>
                <w:w w:val="99"/>
                <w:sz w:val="18"/>
              </w:rPr>
              <w:t>1</w:t>
            </w:r>
          </w:p>
        </w:tc>
        <w:tc>
          <w:tcPr>
            <w:tcW w:w="1385" w:type="dxa"/>
          </w:tcPr>
          <w:p>
            <w:pPr>
              <w:pStyle w:val="TableParagraph"/>
              <w:spacing w:line="206" w:lineRule="exact"/>
              <w:ind w:left="207" w:right="207"/>
              <w:rPr>
                <w:sz w:val="18"/>
              </w:rPr>
            </w:pPr>
            <w:r>
              <w:rPr>
                <w:sz w:val="18"/>
              </w:rPr>
              <w:t>.8</w:t>
            </w:r>
          </w:p>
        </w:tc>
        <w:tc>
          <w:tcPr>
            <w:tcW w:w="1747" w:type="dxa"/>
          </w:tcPr>
          <w:p>
            <w:pPr>
              <w:pStyle w:val="TableParagraph"/>
              <w:spacing w:line="206" w:lineRule="exact"/>
              <w:ind w:left="103" w:right="103"/>
              <w:rPr>
                <w:sz w:val="18"/>
              </w:rPr>
            </w:pPr>
            <w:r>
              <w:rPr>
                <w:sz w:val="18"/>
              </w:rPr>
              <w:t>.8</w:t>
            </w:r>
          </w:p>
        </w:tc>
        <w:tc>
          <w:tcPr>
            <w:tcW w:w="2038" w:type="dxa"/>
          </w:tcPr>
          <w:p>
            <w:pPr>
              <w:pStyle w:val="TableParagraph"/>
              <w:spacing w:line="206" w:lineRule="exact"/>
              <w:ind w:left="838" w:right="521"/>
              <w:jc w:val="left"/>
              <w:rPr>
                <w:sz w:val="18"/>
              </w:rPr>
            </w:pPr>
            <w:r>
              <w:rPr>
                <w:sz w:val="18"/>
              </w:rPr>
              <w:t>97.6</w:t>
            </w:r>
          </w:p>
        </w:tc>
      </w:tr>
      <w:tr>
        <w:trPr>
          <w:trHeight w:val="254" w:hRule="exact"/>
        </w:trPr>
        <w:tc>
          <w:tcPr>
            <w:tcW w:w="984" w:type="dxa"/>
            <w:vMerge/>
          </w:tcPr>
          <w:p>
            <w:pPr/>
          </w:p>
        </w:tc>
        <w:tc>
          <w:tcPr>
            <w:tcW w:w="1346" w:type="dxa"/>
          </w:tcPr>
          <w:p>
            <w:pPr>
              <w:pStyle w:val="TableParagraph"/>
              <w:spacing w:line="206" w:lineRule="exact"/>
              <w:ind w:left="103" w:right="283"/>
              <w:jc w:val="left"/>
              <w:rPr>
                <w:sz w:val="18"/>
              </w:rPr>
            </w:pPr>
            <w:r>
              <w:rPr>
                <w:sz w:val="18"/>
              </w:rPr>
              <w:t>PRD-MC</w:t>
            </w:r>
          </w:p>
        </w:tc>
        <w:tc>
          <w:tcPr>
            <w:tcW w:w="1421" w:type="dxa"/>
          </w:tcPr>
          <w:p>
            <w:pPr>
              <w:pStyle w:val="TableParagraph"/>
              <w:spacing w:line="206" w:lineRule="exact"/>
              <w:ind w:right="2"/>
              <w:rPr>
                <w:sz w:val="18"/>
              </w:rPr>
            </w:pPr>
            <w:r>
              <w:rPr>
                <w:w w:val="99"/>
                <w:sz w:val="18"/>
              </w:rPr>
              <w:t>1</w:t>
            </w:r>
          </w:p>
        </w:tc>
        <w:tc>
          <w:tcPr>
            <w:tcW w:w="1385" w:type="dxa"/>
          </w:tcPr>
          <w:p>
            <w:pPr>
              <w:pStyle w:val="TableParagraph"/>
              <w:spacing w:line="206" w:lineRule="exact"/>
              <w:ind w:left="207" w:right="207"/>
              <w:rPr>
                <w:sz w:val="18"/>
              </w:rPr>
            </w:pPr>
            <w:r>
              <w:rPr>
                <w:sz w:val="18"/>
              </w:rPr>
              <w:t>.8</w:t>
            </w:r>
          </w:p>
        </w:tc>
        <w:tc>
          <w:tcPr>
            <w:tcW w:w="1747" w:type="dxa"/>
          </w:tcPr>
          <w:p>
            <w:pPr>
              <w:pStyle w:val="TableParagraph"/>
              <w:spacing w:line="206" w:lineRule="exact"/>
              <w:ind w:left="103" w:right="103"/>
              <w:rPr>
                <w:sz w:val="18"/>
              </w:rPr>
            </w:pPr>
            <w:r>
              <w:rPr>
                <w:sz w:val="18"/>
              </w:rPr>
              <w:t>.8</w:t>
            </w:r>
          </w:p>
        </w:tc>
        <w:tc>
          <w:tcPr>
            <w:tcW w:w="2038" w:type="dxa"/>
          </w:tcPr>
          <w:p>
            <w:pPr>
              <w:pStyle w:val="TableParagraph"/>
              <w:spacing w:line="206" w:lineRule="exact"/>
              <w:ind w:left="838" w:right="521"/>
              <w:jc w:val="left"/>
              <w:rPr>
                <w:sz w:val="18"/>
              </w:rPr>
            </w:pPr>
            <w:r>
              <w:rPr>
                <w:sz w:val="18"/>
              </w:rPr>
              <w:t>98.4</w:t>
            </w:r>
          </w:p>
        </w:tc>
      </w:tr>
      <w:tr>
        <w:trPr>
          <w:trHeight w:val="216" w:hRule="exact"/>
        </w:trPr>
        <w:tc>
          <w:tcPr>
            <w:tcW w:w="984" w:type="dxa"/>
            <w:vMerge/>
          </w:tcPr>
          <w:p>
            <w:pPr/>
          </w:p>
        </w:tc>
        <w:tc>
          <w:tcPr>
            <w:tcW w:w="1346" w:type="dxa"/>
          </w:tcPr>
          <w:p>
            <w:pPr>
              <w:pStyle w:val="TableParagraph"/>
              <w:spacing w:line="206" w:lineRule="exact"/>
              <w:ind w:left="103" w:right="283"/>
              <w:jc w:val="left"/>
              <w:rPr>
                <w:sz w:val="18"/>
              </w:rPr>
            </w:pPr>
            <w:r>
              <w:rPr>
                <w:sz w:val="18"/>
              </w:rPr>
              <w:t>PT-MC</w:t>
            </w:r>
          </w:p>
        </w:tc>
        <w:tc>
          <w:tcPr>
            <w:tcW w:w="1421" w:type="dxa"/>
          </w:tcPr>
          <w:p>
            <w:pPr>
              <w:pStyle w:val="TableParagraph"/>
              <w:spacing w:line="206" w:lineRule="exact"/>
              <w:ind w:right="2"/>
              <w:rPr>
                <w:sz w:val="18"/>
              </w:rPr>
            </w:pPr>
            <w:r>
              <w:rPr>
                <w:w w:val="99"/>
                <w:sz w:val="18"/>
              </w:rPr>
              <w:t>2</w:t>
            </w:r>
          </w:p>
        </w:tc>
        <w:tc>
          <w:tcPr>
            <w:tcW w:w="1385" w:type="dxa"/>
          </w:tcPr>
          <w:p>
            <w:pPr>
              <w:pStyle w:val="TableParagraph"/>
              <w:spacing w:line="206" w:lineRule="exact"/>
              <w:ind w:left="207" w:right="208"/>
              <w:rPr>
                <w:sz w:val="18"/>
              </w:rPr>
            </w:pPr>
            <w:r>
              <w:rPr>
                <w:sz w:val="18"/>
              </w:rPr>
              <w:t>1.6</w:t>
            </w:r>
          </w:p>
        </w:tc>
        <w:tc>
          <w:tcPr>
            <w:tcW w:w="1747" w:type="dxa"/>
          </w:tcPr>
          <w:p>
            <w:pPr>
              <w:pStyle w:val="TableParagraph"/>
              <w:spacing w:line="206" w:lineRule="exact"/>
              <w:ind w:left="103" w:right="102"/>
              <w:rPr>
                <w:sz w:val="18"/>
              </w:rPr>
            </w:pPr>
            <w:r>
              <w:rPr>
                <w:sz w:val="18"/>
              </w:rPr>
              <w:t>1.6</w:t>
            </w:r>
          </w:p>
        </w:tc>
        <w:tc>
          <w:tcPr>
            <w:tcW w:w="2038" w:type="dxa"/>
          </w:tcPr>
          <w:p>
            <w:pPr>
              <w:pStyle w:val="TableParagraph"/>
              <w:spacing w:line="206" w:lineRule="exact"/>
              <w:ind w:left="787" w:right="521"/>
              <w:jc w:val="left"/>
              <w:rPr>
                <w:sz w:val="18"/>
              </w:rPr>
            </w:pPr>
            <w:r>
              <w:rPr>
                <w:sz w:val="18"/>
              </w:rPr>
              <w:t>100.0</w:t>
            </w:r>
          </w:p>
        </w:tc>
      </w:tr>
      <w:tr>
        <w:trPr>
          <w:trHeight w:val="218" w:hRule="exact"/>
        </w:trPr>
        <w:tc>
          <w:tcPr>
            <w:tcW w:w="984" w:type="dxa"/>
            <w:vMerge/>
          </w:tcPr>
          <w:p>
            <w:pPr/>
          </w:p>
        </w:tc>
        <w:tc>
          <w:tcPr>
            <w:tcW w:w="1346" w:type="dxa"/>
          </w:tcPr>
          <w:p>
            <w:pPr>
              <w:pStyle w:val="TableParagraph"/>
              <w:spacing w:line="206" w:lineRule="exact"/>
              <w:ind w:left="103" w:right="283"/>
              <w:jc w:val="left"/>
              <w:rPr>
                <w:sz w:val="18"/>
              </w:rPr>
            </w:pPr>
            <w:r>
              <w:rPr>
                <w:sz w:val="18"/>
              </w:rPr>
              <w:t>Total</w:t>
            </w:r>
          </w:p>
        </w:tc>
        <w:tc>
          <w:tcPr>
            <w:tcW w:w="1421" w:type="dxa"/>
          </w:tcPr>
          <w:p>
            <w:pPr>
              <w:pStyle w:val="TableParagraph"/>
              <w:spacing w:line="206" w:lineRule="exact"/>
              <w:ind w:left="210" w:right="210"/>
              <w:rPr>
                <w:sz w:val="18"/>
              </w:rPr>
            </w:pPr>
            <w:r>
              <w:rPr>
                <w:sz w:val="18"/>
              </w:rPr>
              <w:t>125</w:t>
            </w:r>
          </w:p>
        </w:tc>
        <w:tc>
          <w:tcPr>
            <w:tcW w:w="1385" w:type="dxa"/>
          </w:tcPr>
          <w:p>
            <w:pPr>
              <w:pStyle w:val="TableParagraph"/>
              <w:spacing w:line="206" w:lineRule="exact"/>
              <w:ind w:left="207" w:right="208"/>
              <w:rPr>
                <w:sz w:val="18"/>
              </w:rPr>
            </w:pPr>
            <w:r>
              <w:rPr>
                <w:sz w:val="18"/>
              </w:rPr>
              <w:t>100.0</w:t>
            </w:r>
          </w:p>
        </w:tc>
        <w:tc>
          <w:tcPr>
            <w:tcW w:w="1747" w:type="dxa"/>
          </w:tcPr>
          <w:p>
            <w:pPr>
              <w:pStyle w:val="TableParagraph"/>
              <w:spacing w:line="206" w:lineRule="exact"/>
              <w:ind w:left="103" w:right="103"/>
              <w:rPr>
                <w:sz w:val="18"/>
              </w:rPr>
            </w:pPr>
            <w:r>
              <w:rPr>
                <w:sz w:val="18"/>
              </w:rPr>
              <w:t>100.0</w:t>
            </w:r>
          </w:p>
        </w:tc>
        <w:tc>
          <w:tcPr>
            <w:tcW w:w="2038" w:type="dxa"/>
          </w:tcPr>
          <w:p>
            <w:pPr/>
          </w:p>
        </w:tc>
      </w:tr>
    </w:tbl>
    <w:p>
      <w:pPr>
        <w:spacing w:line="240" w:lineRule="auto" w:before="0"/>
        <w:ind w:left="221" w:right="6" w:firstLine="0"/>
        <w:jc w:val="left"/>
        <w:rPr>
          <w:sz w:val="16"/>
        </w:rPr>
      </w:pPr>
      <w:r>
        <w:rPr>
          <w:sz w:val="16"/>
        </w:rPr>
        <w:t>Fuente: Elaboración propia con datos de los resultados de elección de presidentes municipales 2012 del IEEM. </w:t>
      </w:r>
      <w:hyperlink r:id="rId107">
        <w:r>
          <w:rPr>
            <w:color w:val="0462C1"/>
            <w:sz w:val="16"/>
            <w:u w:val="single" w:color="0462C1"/>
          </w:rPr>
          <w:t>http://www.ieem.org.mx/numeralia/result_elect.htm</w:t>
        </w:r>
        <w:r>
          <w:rPr>
            <w:color w:val="0462C1"/>
            <w:sz w:val="16"/>
          </w:rPr>
          <w:t>l</w:t>
        </w:r>
      </w:hyperlink>
      <w:r>
        <w:rPr>
          <w:color w:val="0462C1"/>
          <w:sz w:val="16"/>
        </w:rPr>
        <w:t> </w:t>
      </w:r>
      <w:r>
        <w:rPr>
          <w:sz w:val="16"/>
        </w:rPr>
        <w:t>[04-12-2013]</w:t>
      </w:r>
    </w:p>
    <w:p>
      <w:pPr>
        <w:spacing w:after="0" w:line="240" w:lineRule="auto"/>
        <w:jc w:val="left"/>
        <w:rPr>
          <w:sz w:val="16"/>
        </w:rPr>
        <w:sectPr>
          <w:pgSz w:w="12240" w:h="15840"/>
          <w:pgMar w:header="0" w:footer="975" w:top="1420" w:bottom="1220" w:left="1500" w:right="1580"/>
        </w:sectPr>
      </w:pPr>
    </w:p>
    <w:p>
      <w:pPr>
        <w:pStyle w:val="BodyText"/>
        <w:spacing w:line="360" w:lineRule="auto" w:before="54"/>
        <w:ind w:left="108" w:right="116"/>
        <w:jc w:val="both"/>
      </w:pPr>
      <w:r>
        <w:rPr/>
        <w:t>En este sentido se revisaron los años 2012, 2013, 2014 y 2015 de los cuales se describe el partido gobernante y el porcentaje de cumplimiento de la ley de transparencia que estos tienen en el municipio que gobiernan. Asimismo, se ha promediado el cumplimiento de la ley en los municipios que son gobernados por el mismo partido para identificar el porcentaje promedio de los partidos políticos respecto a la ley de transparencia.</w:t>
      </w:r>
    </w:p>
    <w:p>
      <w:pPr>
        <w:pStyle w:val="BodyText"/>
      </w:pPr>
    </w:p>
    <w:p>
      <w:pPr>
        <w:pStyle w:val="BodyText"/>
      </w:pPr>
    </w:p>
    <w:p>
      <w:pPr>
        <w:pStyle w:val="BodyText"/>
        <w:spacing w:line="360" w:lineRule="auto" w:before="185"/>
        <w:ind w:left="108" w:right="114"/>
        <w:jc w:val="both"/>
      </w:pPr>
      <w:r>
        <w:rPr/>
        <w:t>En lo que respecta al año 2012, la siguiente tabla se muestra cómo de los 65 municipios que fueron evaluados, los gobernados por el PAN lideraron el cumplimiento de la ley con un 29.96%, seguido de la alianza PRI-PVEM-NA-PSD- PFD con 28.09% y el partido Convergencia con 24.55% como los tres más transparentes. En sentido opuesto se encuentran los municipios gobernados por</w:t>
      </w:r>
      <w:r>
        <w:rPr>
          <w:spacing w:val="-35"/>
        </w:rPr>
        <w:t> </w:t>
      </w:r>
      <w:r>
        <w:rPr/>
        <w:t>las alianzas PRD-PT y PAN-Convergencia con 3.8% en ambos</w:t>
      </w:r>
      <w:r>
        <w:rPr>
          <w:spacing w:val="-22"/>
        </w:rPr>
        <w:t> </w:t>
      </w:r>
      <w:r>
        <w:rPr/>
        <w:t>casos.</w:t>
      </w:r>
    </w:p>
    <w:p>
      <w:pPr>
        <w:pStyle w:val="BodyText"/>
        <w:rPr>
          <w:sz w:val="20"/>
        </w:rPr>
      </w:pPr>
    </w:p>
    <w:p>
      <w:pPr>
        <w:pStyle w:val="BodyText"/>
        <w:rPr>
          <w:sz w:val="20"/>
        </w:rPr>
      </w:pPr>
    </w:p>
    <w:p>
      <w:pPr>
        <w:pStyle w:val="BodyText"/>
        <w:spacing w:before="3"/>
      </w:pPr>
    </w:p>
    <w:tbl>
      <w:tblPr>
        <w:tblW w:w="0" w:type="auto"/>
        <w:jc w:val="left"/>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121"/>
        <w:gridCol w:w="2103"/>
        <w:gridCol w:w="2249"/>
        <w:gridCol w:w="1412"/>
      </w:tblGrid>
      <w:tr>
        <w:trPr>
          <w:trHeight w:val="226" w:hRule="exact"/>
        </w:trPr>
        <w:tc>
          <w:tcPr>
            <w:tcW w:w="8884" w:type="dxa"/>
            <w:gridSpan w:val="4"/>
            <w:shd w:val="clear" w:color="auto" w:fill="92D050"/>
          </w:tcPr>
          <w:p>
            <w:pPr>
              <w:pStyle w:val="TableParagraph"/>
              <w:spacing w:line="201" w:lineRule="exact"/>
              <w:ind w:left="609"/>
              <w:jc w:val="left"/>
              <w:rPr>
                <w:b/>
                <w:sz w:val="18"/>
              </w:rPr>
            </w:pPr>
            <w:r>
              <w:rPr>
                <w:b/>
                <w:sz w:val="18"/>
              </w:rPr>
              <w:t>Tabla 3.16. Cumplimiento de la ley de transparencia vs partido gobernante en el año 2012</w:t>
            </w:r>
          </w:p>
        </w:tc>
      </w:tr>
      <w:tr>
        <w:trPr>
          <w:trHeight w:val="434" w:hRule="exact"/>
        </w:trPr>
        <w:tc>
          <w:tcPr>
            <w:tcW w:w="3121" w:type="dxa"/>
            <w:shd w:val="clear" w:color="auto" w:fill="92D050"/>
          </w:tcPr>
          <w:p>
            <w:pPr>
              <w:pStyle w:val="TableParagraph"/>
              <w:spacing w:before="100"/>
              <w:ind w:left="1219" w:right="1221"/>
              <w:rPr>
                <w:b/>
                <w:sz w:val="18"/>
              </w:rPr>
            </w:pPr>
            <w:r>
              <w:rPr>
                <w:b/>
                <w:sz w:val="18"/>
              </w:rPr>
              <w:t>Partido</w:t>
            </w:r>
          </w:p>
        </w:tc>
        <w:tc>
          <w:tcPr>
            <w:tcW w:w="2103" w:type="dxa"/>
            <w:shd w:val="clear" w:color="auto" w:fill="92D050"/>
          </w:tcPr>
          <w:p>
            <w:pPr>
              <w:pStyle w:val="TableParagraph"/>
              <w:spacing w:line="206" w:lineRule="exact"/>
              <w:ind w:left="525" w:right="508" w:firstLine="43"/>
              <w:jc w:val="left"/>
              <w:rPr>
                <w:b/>
                <w:sz w:val="18"/>
              </w:rPr>
            </w:pPr>
            <w:r>
              <w:rPr>
                <w:b/>
                <w:sz w:val="18"/>
              </w:rPr>
              <w:t>Municipios gobernados</w:t>
            </w:r>
          </w:p>
        </w:tc>
        <w:tc>
          <w:tcPr>
            <w:tcW w:w="2249" w:type="dxa"/>
            <w:shd w:val="clear" w:color="auto" w:fill="92D050"/>
          </w:tcPr>
          <w:p>
            <w:pPr>
              <w:pStyle w:val="TableParagraph"/>
              <w:spacing w:before="100"/>
              <w:ind w:left="159" w:right="159"/>
              <w:rPr>
                <w:b/>
                <w:sz w:val="18"/>
              </w:rPr>
            </w:pPr>
            <w:r>
              <w:rPr>
                <w:b/>
                <w:sz w:val="18"/>
              </w:rPr>
              <w:t>Municipios evaluados</w:t>
            </w:r>
          </w:p>
        </w:tc>
        <w:tc>
          <w:tcPr>
            <w:tcW w:w="1412" w:type="dxa"/>
            <w:shd w:val="clear" w:color="auto" w:fill="92D050"/>
          </w:tcPr>
          <w:p>
            <w:pPr>
              <w:pStyle w:val="TableParagraph"/>
              <w:spacing w:before="100"/>
              <w:ind w:left="161" w:right="161"/>
              <w:rPr>
                <w:b/>
                <w:sz w:val="18"/>
              </w:rPr>
            </w:pPr>
            <w:r>
              <w:rPr>
                <w:b/>
                <w:sz w:val="18"/>
              </w:rPr>
              <w:t>% promedio</w:t>
            </w:r>
          </w:p>
        </w:tc>
      </w:tr>
      <w:tr>
        <w:trPr>
          <w:trHeight w:val="317" w:hRule="exact"/>
        </w:trPr>
        <w:tc>
          <w:tcPr>
            <w:tcW w:w="3121" w:type="dxa"/>
            <w:tcBorders>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CONVERGENCIA</w:t>
            </w:r>
          </w:p>
        </w:tc>
        <w:tc>
          <w:tcPr>
            <w:tcW w:w="2103" w:type="dxa"/>
            <w:tcBorders>
              <w:left w:val="single" w:sz="4" w:space="0" w:color="000000"/>
              <w:bottom w:val="single" w:sz="4" w:space="0" w:color="000000"/>
              <w:right w:val="single" w:sz="4" w:space="0" w:color="000000"/>
            </w:tcBorders>
          </w:tcPr>
          <w:p>
            <w:pPr>
              <w:pStyle w:val="TableParagraph"/>
              <w:spacing w:before="93"/>
              <w:ind w:right="1"/>
              <w:rPr>
                <w:sz w:val="18"/>
              </w:rPr>
            </w:pPr>
            <w:r>
              <w:rPr>
                <w:w w:val="99"/>
                <w:sz w:val="18"/>
              </w:rPr>
              <w:t>2</w:t>
            </w:r>
          </w:p>
        </w:tc>
        <w:tc>
          <w:tcPr>
            <w:tcW w:w="2249" w:type="dxa"/>
            <w:tcBorders>
              <w:left w:val="single" w:sz="4" w:space="0" w:color="000000"/>
              <w:bottom w:val="single" w:sz="4" w:space="0" w:color="000000"/>
              <w:right w:val="single" w:sz="4" w:space="0" w:color="000000"/>
            </w:tcBorders>
          </w:tcPr>
          <w:p>
            <w:pPr>
              <w:pStyle w:val="TableParagraph"/>
              <w:spacing w:before="93"/>
              <w:ind w:left="1"/>
              <w:rPr>
                <w:sz w:val="18"/>
              </w:rPr>
            </w:pPr>
            <w:r>
              <w:rPr>
                <w:w w:val="99"/>
                <w:sz w:val="18"/>
              </w:rPr>
              <w:t>2</w:t>
            </w:r>
          </w:p>
        </w:tc>
        <w:tc>
          <w:tcPr>
            <w:tcW w:w="1412" w:type="dxa"/>
            <w:tcBorders>
              <w:left w:val="single" w:sz="4" w:space="0" w:color="000000"/>
              <w:bottom w:val="single" w:sz="4" w:space="0" w:color="000000"/>
              <w:right w:val="single" w:sz="4" w:space="0" w:color="000000"/>
            </w:tcBorders>
          </w:tcPr>
          <w:p>
            <w:pPr>
              <w:pStyle w:val="TableParagraph"/>
              <w:spacing w:before="47"/>
              <w:ind w:left="376" w:right="375"/>
              <w:rPr>
                <w:sz w:val="18"/>
              </w:rPr>
            </w:pPr>
            <w:r>
              <w:rPr>
                <w:sz w:val="18"/>
              </w:rPr>
              <w:t>24.55%</w:t>
            </w:r>
          </w:p>
        </w:tc>
      </w:tr>
      <w:tr>
        <w:trPr>
          <w:trHeight w:val="310" w:hRule="exact"/>
        </w:trPr>
        <w:tc>
          <w:tcPr>
            <w:tcW w:w="3121" w:type="dxa"/>
            <w:tcBorders>
              <w:top w:val="single" w:sz="4" w:space="0" w:color="000000"/>
              <w:left w:val="single" w:sz="4" w:space="0" w:color="000000"/>
              <w:bottom w:val="single" w:sz="4" w:space="0" w:color="000000"/>
              <w:right w:val="single" w:sz="4" w:space="0" w:color="000000"/>
            </w:tcBorders>
          </w:tcPr>
          <w:p>
            <w:pPr>
              <w:pStyle w:val="TableParagraph"/>
              <w:spacing w:before="44"/>
              <w:ind w:left="64"/>
              <w:jc w:val="left"/>
              <w:rPr>
                <w:sz w:val="18"/>
              </w:rPr>
            </w:pPr>
            <w:r>
              <w:rPr>
                <w:sz w:val="18"/>
              </w:rPr>
              <w:t>PAN</w:t>
            </w:r>
          </w:p>
        </w:tc>
        <w:tc>
          <w:tcPr>
            <w:tcW w:w="2103" w:type="dxa"/>
            <w:tcBorders>
              <w:top w:val="single" w:sz="4" w:space="0" w:color="000000"/>
              <w:left w:val="single" w:sz="4" w:space="0" w:color="000000"/>
              <w:bottom w:val="single" w:sz="4" w:space="0" w:color="000000"/>
              <w:right w:val="single" w:sz="4" w:space="0" w:color="000000"/>
            </w:tcBorders>
          </w:tcPr>
          <w:p>
            <w:pPr>
              <w:pStyle w:val="TableParagraph"/>
              <w:spacing w:before="92"/>
              <w:ind w:left="876" w:right="876"/>
              <w:rPr>
                <w:sz w:val="18"/>
              </w:rPr>
            </w:pPr>
            <w:r>
              <w:rPr>
                <w:sz w:val="18"/>
              </w:rPr>
              <w:t>12</w:t>
            </w:r>
          </w:p>
        </w:tc>
        <w:tc>
          <w:tcPr>
            <w:tcW w:w="2249" w:type="dxa"/>
            <w:tcBorders>
              <w:top w:val="single" w:sz="4" w:space="0" w:color="000000"/>
              <w:left w:val="single" w:sz="4" w:space="0" w:color="000000"/>
              <w:bottom w:val="single" w:sz="4" w:space="0" w:color="000000"/>
              <w:right w:val="single" w:sz="4" w:space="0" w:color="000000"/>
            </w:tcBorders>
          </w:tcPr>
          <w:p>
            <w:pPr>
              <w:pStyle w:val="TableParagraph"/>
              <w:spacing w:before="92"/>
              <w:ind w:left="1"/>
              <w:rPr>
                <w:sz w:val="18"/>
              </w:rPr>
            </w:pPr>
            <w:r>
              <w:rPr>
                <w:w w:val="99"/>
                <w:sz w:val="18"/>
              </w:rPr>
              <w:t>7</w:t>
            </w:r>
          </w:p>
        </w:tc>
        <w:tc>
          <w:tcPr>
            <w:tcW w:w="1412" w:type="dxa"/>
            <w:tcBorders>
              <w:top w:val="single" w:sz="4" w:space="0" w:color="000000"/>
              <w:left w:val="single" w:sz="4" w:space="0" w:color="000000"/>
              <w:bottom w:val="single" w:sz="4" w:space="0" w:color="000000"/>
              <w:right w:val="single" w:sz="4" w:space="0" w:color="000000"/>
            </w:tcBorders>
          </w:tcPr>
          <w:p>
            <w:pPr>
              <w:pStyle w:val="TableParagraph"/>
              <w:spacing w:before="44"/>
              <w:ind w:left="376" w:right="375"/>
              <w:rPr>
                <w:sz w:val="18"/>
              </w:rPr>
            </w:pPr>
            <w:r>
              <w:rPr>
                <w:sz w:val="18"/>
              </w:rPr>
              <w:t>29.96%</w:t>
            </w:r>
          </w:p>
        </w:tc>
      </w:tr>
      <w:tr>
        <w:trPr>
          <w:trHeight w:val="310" w:hRule="exact"/>
        </w:trPr>
        <w:tc>
          <w:tcPr>
            <w:tcW w:w="3121" w:type="dxa"/>
            <w:tcBorders>
              <w:top w:val="single" w:sz="4" w:space="0" w:color="000000"/>
              <w:left w:val="single" w:sz="4" w:space="0" w:color="000000"/>
              <w:bottom w:val="single" w:sz="4" w:space="0" w:color="000000"/>
              <w:right w:val="single" w:sz="4" w:space="0" w:color="000000"/>
            </w:tcBorders>
          </w:tcPr>
          <w:p>
            <w:pPr>
              <w:pStyle w:val="TableParagraph"/>
              <w:spacing w:before="92"/>
              <w:ind w:left="64"/>
              <w:jc w:val="left"/>
              <w:rPr>
                <w:sz w:val="18"/>
              </w:rPr>
            </w:pPr>
            <w:r>
              <w:rPr>
                <w:sz w:val="18"/>
              </w:rPr>
              <w:t>PAN-CONVERGENCIA</w:t>
            </w:r>
          </w:p>
        </w:tc>
        <w:tc>
          <w:tcPr>
            <w:tcW w:w="2103" w:type="dxa"/>
            <w:tcBorders>
              <w:top w:val="single" w:sz="4" w:space="0" w:color="000000"/>
              <w:left w:val="single" w:sz="4" w:space="0" w:color="000000"/>
              <w:bottom w:val="single" w:sz="4" w:space="0" w:color="000000"/>
              <w:right w:val="single" w:sz="4" w:space="0" w:color="000000"/>
            </w:tcBorders>
          </w:tcPr>
          <w:p>
            <w:pPr>
              <w:pStyle w:val="TableParagraph"/>
              <w:spacing w:before="92"/>
              <w:ind w:right="1"/>
              <w:rPr>
                <w:sz w:val="18"/>
              </w:rPr>
            </w:pPr>
            <w:r>
              <w:rPr>
                <w:w w:val="99"/>
                <w:sz w:val="18"/>
              </w:rPr>
              <w:t>1</w:t>
            </w:r>
          </w:p>
        </w:tc>
        <w:tc>
          <w:tcPr>
            <w:tcW w:w="2249" w:type="dxa"/>
            <w:tcBorders>
              <w:top w:val="single" w:sz="4" w:space="0" w:color="000000"/>
              <w:left w:val="single" w:sz="4" w:space="0" w:color="000000"/>
              <w:bottom w:val="single" w:sz="4" w:space="0" w:color="000000"/>
              <w:right w:val="single" w:sz="4" w:space="0" w:color="000000"/>
            </w:tcBorders>
          </w:tcPr>
          <w:p>
            <w:pPr>
              <w:pStyle w:val="TableParagraph"/>
              <w:spacing w:before="92"/>
              <w:ind w:left="1"/>
              <w:rPr>
                <w:sz w:val="18"/>
              </w:rPr>
            </w:pPr>
            <w:r>
              <w:rPr>
                <w:w w:val="99"/>
                <w:sz w:val="18"/>
              </w:rPr>
              <w:t>1</w:t>
            </w:r>
          </w:p>
        </w:tc>
        <w:tc>
          <w:tcPr>
            <w:tcW w:w="1412" w:type="dxa"/>
            <w:tcBorders>
              <w:top w:val="single" w:sz="4" w:space="0" w:color="000000"/>
              <w:left w:val="single" w:sz="4" w:space="0" w:color="000000"/>
              <w:bottom w:val="single" w:sz="4" w:space="0" w:color="000000"/>
              <w:right w:val="single" w:sz="4" w:space="0" w:color="000000"/>
            </w:tcBorders>
          </w:tcPr>
          <w:p>
            <w:pPr>
              <w:pStyle w:val="TableParagraph"/>
              <w:spacing w:before="44"/>
              <w:ind w:left="375" w:right="375"/>
              <w:rPr>
                <w:sz w:val="18"/>
              </w:rPr>
            </w:pPr>
            <w:r>
              <w:rPr>
                <w:sz w:val="18"/>
              </w:rPr>
              <w:t>3.80%</w:t>
            </w:r>
          </w:p>
        </w:tc>
      </w:tr>
      <w:tr>
        <w:trPr>
          <w:trHeight w:val="310" w:hRule="exact"/>
        </w:trPr>
        <w:tc>
          <w:tcPr>
            <w:tcW w:w="3121" w:type="dxa"/>
            <w:tcBorders>
              <w:top w:val="single" w:sz="4" w:space="0" w:color="000000"/>
              <w:left w:val="single" w:sz="4" w:space="0" w:color="000000"/>
              <w:bottom w:val="single" w:sz="4" w:space="0" w:color="000000"/>
              <w:right w:val="single" w:sz="4" w:space="0" w:color="000000"/>
            </w:tcBorders>
          </w:tcPr>
          <w:p>
            <w:pPr>
              <w:pStyle w:val="TableParagraph"/>
              <w:spacing w:before="44"/>
              <w:ind w:left="64"/>
              <w:jc w:val="left"/>
              <w:rPr>
                <w:sz w:val="18"/>
              </w:rPr>
            </w:pPr>
            <w:r>
              <w:rPr>
                <w:sz w:val="18"/>
              </w:rPr>
              <w:t>PRD</w:t>
            </w:r>
          </w:p>
        </w:tc>
        <w:tc>
          <w:tcPr>
            <w:tcW w:w="2103" w:type="dxa"/>
            <w:tcBorders>
              <w:top w:val="single" w:sz="4" w:space="0" w:color="000000"/>
              <w:left w:val="single" w:sz="4" w:space="0" w:color="000000"/>
              <w:bottom w:val="single" w:sz="4" w:space="0" w:color="000000"/>
              <w:right w:val="single" w:sz="4" w:space="0" w:color="000000"/>
            </w:tcBorders>
          </w:tcPr>
          <w:p>
            <w:pPr>
              <w:pStyle w:val="TableParagraph"/>
              <w:spacing w:before="92"/>
              <w:ind w:right="1"/>
              <w:rPr>
                <w:sz w:val="18"/>
              </w:rPr>
            </w:pPr>
            <w:r>
              <w:rPr>
                <w:w w:val="99"/>
                <w:sz w:val="18"/>
              </w:rPr>
              <w:t>6</w:t>
            </w:r>
          </w:p>
        </w:tc>
        <w:tc>
          <w:tcPr>
            <w:tcW w:w="2249" w:type="dxa"/>
            <w:tcBorders>
              <w:top w:val="single" w:sz="4" w:space="0" w:color="000000"/>
              <w:left w:val="single" w:sz="4" w:space="0" w:color="000000"/>
              <w:bottom w:val="single" w:sz="4" w:space="0" w:color="000000"/>
              <w:right w:val="single" w:sz="4" w:space="0" w:color="000000"/>
            </w:tcBorders>
          </w:tcPr>
          <w:p>
            <w:pPr>
              <w:pStyle w:val="TableParagraph"/>
              <w:spacing w:before="92"/>
              <w:ind w:left="1"/>
              <w:rPr>
                <w:sz w:val="18"/>
              </w:rPr>
            </w:pPr>
            <w:r>
              <w:rPr>
                <w:w w:val="99"/>
                <w:sz w:val="18"/>
              </w:rPr>
              <w:t>1</w:t>
            </w:r>
          </w:p>
        </w:tc>
        <w:tc>
          <w:tcPr>
            <w:tcW w:w="1412" w:type="dxa"/>
            <w:tcBorders>
              <w:top w:val="single" w:sz="4" w:space="0" w:color="000000"/>
              <w:left w:val="single" w:sz="4" w:space="0" w:color="000000"/>
              <w:bottom w:val="single" w:sz="4" w:space="0" w:color="000000"/>
              <w:right w:val="single" w:sz="4" w:space="0" w:color="000000"/>
            </w:tcBorders>
          </w:tcPr>
          <w:p>
            <w:pPr>
              <w:pStyle w:val="TableParagraph"/>
              <w:spacing w:before="44"/>
              <w:ind w:left="376" w:right="375"/>
              <w:rPr>
                <w:sz w:val="18"/>
              </w:rPr>
            </w:pPr>
            <w:r>
              <w:rPr>
                <w:sz w:val="18"/>
              </w:rPr>
              <w:t>11.50%</w:t>
            </w:r>
          </w:p>
        </w:tc>
      </w:tr>
      <w:tr>
        <w:trPr>
          <w:trHeight w:val="310" w:hRule="exact"/>
        </w:trPr>
        <w:tc>
          <w:tcPr>
            <w:tcW w:w="3121"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PRD-PT</w:t>
            </w:r>
          </w:p>
        </w:tc>
        <w:tc>
          <w:tcPr>
            <w:tcW w:w="2103" w:type="dxa"/>
            <w:tcBorders>
              <w:top w:val="single" w:sz="4" w:space="0" w:color="000000"/>
              <w:left w:val="single" w:sz="4" w:space="0" w:color="000000"/>
              <w:bottom w:val="single" w:sz="4" w:space="0" w:color="000000"/>
              <w:right w:val="single" w:sz="4" w:space="0" w:color="000000"/>
            </w:tcBorders>
          </w:tcPr>
          <w:p>
            <w:pPr>
              <w:pStyle w:val="TableParagraph"/>
              <w:spacing w:before="92"/>
              <w:ind w:right="1"/>
              <w:rPr>
                <w:sz w:val="18"/>
              </w:rPr>
            </w:pPr>
            <w:r>
              <w:rPr>
                <w:w w:val="99"/>
                <w:sz w:val="18"/>
              </w:rPr>
              <w:t>3</w:t>
            </w:r>
          </w:p>
        </w:tc>
        <w:tc>
          <w:tcPr>
            <w:tcW w:w="2249" w:type="dxa"/>
            <w:tcBorders>
              <w:top w:val="single" w:sz="4" w:space="0" w:color="000000"/>
              <w:left w:val="single" w:sz="4" w:space="0" w:color="000000"/>
              <w:bottom w:val="single" w:sz="4" w:space="0" w:color="000000"/>
              <w:right w:val="single" w:sz="4" w:space="0" w:color="000000"/>
            </w:tcBorders>
          </w:tcPr>
          <w:p>
            <w:pPr>
              <w:pStyle w:val="TableParagraph"/>
              <w:spacing w:before="92"/>
              <w:ind w:left="1"/>
              <w:rPr>
                <w:sz w:val="18"/>
              </w:rPr>
            </w:pPr>
            <w:r>
              <w:rPr>
                <w:w w:val="99"/>
                <w:sz w:val="18"/>
              </w:rPr>
              <w:t>1</w:t>
            </w:r>
          </w:p>
        </w:tc>
        <w:tc>
          <w:tcPr>
            <w:tcW w:w="1412" w:type="dxa"/>
            <w:tcBorders>
              <w:top w:val="single" w:sz="4" w:space="0" w:color="000000"/>
              <w:left w:val="single" w:sz="4" w:space="0" w:color="000000"/>
              <w:bottom w:val="single" w:sz="4" w:space="0" w:color="000000"/>
              <w:right w:val="single" w:sz="4" w:space="0" w:color="000000"/>
            </w:tcBorders>
          </w:tcPr>
          <w:p>
            <w:pPr>
              <w:pStyle w:val="TableParagraph"/>
              <w:spacing w:before="47"/>
              <w:ind w:left="375" w:right="375"/>
              <w:rPr>
                <w:sz w:val="18"/>
              </w:rPr>
            </w:pPr>
            <w:r>
              <w:rPr>
                <w:sz w:val="18"/>
              </w:rPr>
              <w:t>3.80%</w:t>
            </w:r>
          </w:p>
        </w:tc>
      </w:tr>
      <w:tr>
        <w:trPr>
          <w:trHeight w:val="310" w:hRule="exact"/>
        </w:trPr>
        <w:tc>
          <w:tcPr>
            <w:tcW w:w="3121"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PRI-PVEM-NA-PSD-PFD</w:t>
            </w:r>
          </w:p>
        </w:tc>
        <w:tc>
          <w:tcPr>
            <w:tcW w:w="2103" w:type="dxa"/>
            <w:tcBorders>
              <w:top w:val="single" w:sz="4" w:space="0" w:color="000000"/>
              <w:left w:val="single" w:sz="4" w:space="0" w:color="000000"/>
              <w:bottom w:val="single" w:sz="4" w:space="0" w:color="000000"/>
              <w:right w:val="single" w:sz="4" w:space="0" w:color="000000"/>
            </w:tcBorders>
          </w:tcPr>
          <w:p>
            <w:pPr>
              <w:pStyle w:val="TableParagraph"/>
              <w:spacing w:before="92"/>
              <w:ind w:left="876" w:right="876"/>
              <w:rPr>
                <w:sz w:val="18"/>
              </w:rPr>
            </w:pPr>
            <w:r>
              <w:rPr>
                <w:sz w:val="18"/>
              </w:rPr>
              <w:t>97</w:t>
            </w:r>
          </w:p>
        </w:tc>
        <w:tc>
          <w:tcPr>
            <w:tcW w:w="2249" w:type="dxa"/>
            <w:tcBorders>
              <w:top w:val="single" w:sz="4" w:space="0" w:color="000000"/>
              <w:left w:val="single" w:sz="4" w:space="0" w:color="000000"/>
              <w:bottom w:val="single" w:sz="4" w:space="0" w:color="000000"/>
              <w:right w:val="single" w:sz="4" w:space="0" w:color="000000"/>
            </w:tcBorders>
          </w:tcPr>
          <w:p>
            <w:pPr>
              <w:pStyle w:val="TableParagraph"/>
              <w:spacing w:before="92"/>
              <w:ind w:left="1000" w:right="998"/>
              <w:rPr>
                <w:sz w:val="18"/>
              </w:rPr>
            </w:pPr>
            <w:r>
              <w:rPr>
                <w:sz w:val="18"/>
              </w:rPr>
              <w:t>52</w:t>
            </w:r>
          </w:p>
        </w:tc>
        <w:tc>
          <w:tcPr>
            <w:tcW w:w="1412" w:type="dxa"/>
            <w:tcBorders>
              <w:top w:val="single" w:sz="4" w:space="0" w:color="000000"/>
              <w:left w:val="single" w:sz="4" w:space="0" w:color="000000"/>
              <w:bottom w:val="single" w:sz="4" w:space="0" w:color="000000"/>
              <w:right w:val="single" w:sz="4" w:space="0" w:color="000000"/>
            </w:tcBorders>
          </w:tcPr>
          <w:p>
            <w:pPr>
              <w:pStyle w:val="TableParagraph"/>
              <w:spacing w:before="47"/>
              <w:ind w:left="376" w:right="375"/>
              <w:rPr>
                <w:sz w:val="18"/>
              </w:rPr>
            </w:pPr>
            <w:r>
              <w:rPr>
                <w:sz w:val="18"/>
              </w:rPr>
              <w:t>28.09%</w:t>
            </w:r>
          </w:p>
        </w:tc>
      </w:tr>
      <w:tr>
        <w:trPr>
          <w:trHeight w:val="312" w:hRule="exact"/>
        </w:trPr>
        <w:tc>
          <w:tcPr>
            <w:tcW w:w="3121"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PT</w:t>
            </w:r>
          </w:p>
        </w:tc>
        <w:tc>
          <w:tcPr>
            <w:tcW w:w="2103" w:type="dxa"/>
            <w:tcBorders>
              <w:top w:val="single" w:sz="4" w:space="0" w:color="000000"/>
              <w:left w:val="single" w:sz="4" w:space="0" w:color="000000"/>
              <w:bottom w:val="single" w:sz="4" w:space="0" w:color="000000"/>
              <w:right w:val="single" w:sz="4" w:space="0" w:color="000000"/>
            </w:tcBorders>
          </w:tcPr>
          <w:p>
            <w:pPr>
              <w:pStyle w:val="TableParagraph"/>
              <w:spacing w:before="92"/>
              <w:ind w:right="1"/>
              <w:rPr>
                <w:sz w:val="18"/>
              </w:rPr>
            </w:pPr>
            <w:r>
              <w:rPr>
                <w:w w:val="99"/>
                <w:sz w:val="18"/>
              </w:rPr>
              <w:t>2</w:t>
            </w:r>
          </w:p>
        </w:tc>
        <w:tc>
          <w:tcPr>
            <w:tcW w:w="2249" w:type="dxa"/>
            <w:tcBorders>
              <w:top w:val="single" w:sz="4" w:space="0" w:color="000000"/>
              <w:left w:val="single" w:sz="4" w:space="0" w:color="000000"/>
              <w:bottom w:val="single" w:sz="4" w:space="0" w:color="000000"/>
              <w:right w:val="single" w:sz="4" w:space="0" w:color="000000"/>
            </w:tcBorders>
          </w:tcPr>
          <w:p>
            <w:pPr>
              <w:pStyle w:val="TableParagraph"/>
              <w:spacing w:before="92"/>
              <w:ind w:left="1"/>
              <w:rPr>
                <w:sz w:val="18"/>
              </w:rPr>
            </w:pPr>
            <w:r>
              <w:rPr>
                <w:w w:val="99"/>
                <w:sz w:val="18"/>
              </w:rPr>
              <w:t>1</w:t>
            </w:r>
          </w:p>
        </w:tc>
        <w:tc>
          <w:tcPr>
            <w:tcW w:w="1412" w:type="dxa"/>
            <w:tcBorders>
              <w:top w:val="single" w:sz="4" w:space="0" w:color="000000"/>
              <w:left w:val="single" w:sz="4" w:space="0" w:color="000000"/>
              <w:bottom w:val="single" w:sz="4" w:space="0" w:color="000000"/>
              <w:right w:val="single" w:sz="4" w:space="0" w:color="000000"/>
            </w:tcBorders>
          </w:tcPr>
          <w:p>
            <w:pPr>
              <w:pStyle w:val="TableParagraph"/>
              <w:spacing w:before="47"/>
              <w:ind w:left="376" w:right="375"/>
              <w:rPr>
                <w:sz w:val="18"/>
              </w:rPr>
            </w:pPr>
            <w:r>
              <w:rPr>
                <w:sz w:val="18"/>
              </w:rPr>
              <w:t>11.50%</w:t>
            </w:r>
          </w:p>
        </w:tc>
      </w:tr>
      <w:tr>
        <w:trPr>
          <w:trHeight w:val="310" w:hRule="exact"/>
        </w:trPr>
        <w:tc>
          <w:tcPr>
            <w:tcW w:w="3121" w:type="dxa"/>
            <w:tcBorders>
              <w:top w:val="single" w:sz="4" w:space="0" w:color="000000"/>
              <w:left w:val="single" w:sz="4" w:space="0" w:color="000000"/>
              <w:bottom w:val="single" w:sz="4" w:space="0" w:color="000000"/>
              <w:right w:val="single" w:sz="4" w:space="0" w:color="000000"/>
            </w:tcBorders>
          </w:tcPr>
          <w:p>
            <w:pPr>
              <w:pStyle w:val="TableParagraph"/>
              <w:spacing w:before="44"/>
              <w:ind w:left="64"/>
              <w:jc w:val="left"/>
              <w:rPr>
                <w:sz w:val="18"/>
              </w:rPr>
            </w:pPr>
            <w:r>
              <w:rPr>
                <w:sz w:val="18"/>
              </w:rPr>
              <w:t>PT-CONVERGENCIA</w:t>
            </w:r>
          </w:p>
        </w:tc>
        <w:tc>
          <w:tcPr>
            <w:tcW w:w="2103" w:type="dxa"/>
            <w:tcBorders>
              <w:top w:val="single" w:sz="4" w:space="0" w:color="000000"/>
              <w:left w:val="single" w:sz="4" w:space="0" w:color="000000"/>
              <w:bottom w:val="single" w:sz="4" w:space="0" w:color="000000"/>
              <w:right w:val="single" w:sz="4" w:space="0" w:color="000000"/>
            </w:tcBorders>
          </w:tcPr>
          <w:p>
            <w:pPr>
              <w:pStyle w:val="TableParagraph"/>
              <w:spacing w:before="92"/>
              <w:ind w:right="1"/>
              <w:rPr>
                <w:sz w:val="18"/>
              </w:rPr>
            </w:pPr>
            <w:r>
              <w:rPr>
                <w:w w:val="99"/>
                <w:sz w:val="18"/>
              </w:rPr>
              <w:t>2</w:t>
            </w:r>
          </w:p>
        </w:tc>
        <w:tc>
          <w:tcPr>
            <w:tcW w:w="2249" w:type="dxa"/>
            <w:tcBorders>
              <w:top w:val="single" w:sz="4" w:space="0" w:color="000000"/>
              <w:left w:val="single" w:sz="4" w:space="0" w:color="000000"/>
              <w:bottom w:val="single" w:sz="4" w:space="0" w:color="000000"/>
              <w:right w:val="single" w:sz="4" w:space="0" w:color="000000"/>
            </w:tcBorders>
          </w:tcPr>
          <w:p>
            <w:pPr>
              <w:pStyle w:val="TableParagraph"/>
              <w:spacing w:before="92"/>
              <w:ind w:left="1"/>
              <w:rPr>
                <w:sz w:val="18"/>
              </w:rPr>
            </w:pPr>
            <w:r>
              <w:rPr>
                <w:w w:val="99"/>
                <w:sz w:val="18"/>
              </w:rPr>
              <w:t>0</w:t>
            </w:r>
          </w:p>
        </w:tc>
        <w:tc>
          <w:tcPr>
            <w:tcW w:w="1412" w:type="dxa"/>
            <w:tcBorders>
              <w:top w:val="single" w:sz="4" w:space="0" w:color="000000"/>
              <w:left w:val="single" w:sz="4" w:space="0" w:color="000000"/>
              <w:bottom w:val="single" w:sz="4" w:space="0" w:color="000000"/>
              <w:right w:val="single" w:sz="4" w:space="0" w:color="000000"/>
            </w:tcBorders>
          </w:tcPr>
          <w:p>
            <w:pPr>
              <w:pStyle w:val="TableParagraph"/>
              <w:spacing w:before="44"/>
              <w:ind w:left="374" w:right="375"/>
              <w:rPr>
                <w:sz w:val="18"/>
              </w:rPr>
            </w:pPr>
            <w:r>
              <w:rPr>
                <w:sz w:val="18"/>
              </w:rPr>
              <w:t>N/A</w:t>
            </w:r>
          </w:p>
        </w:tc>
      </w:tr>
      <w:tr>
        <w:trPr>
          <w:trHeight w:val="310" w:hRule="exact"/>
        </w:trPr>
        <w:tc>
          <w:tcPr>
            <w:tcW w:w="3121" w:type="dxa"/>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before="88"/>
              <w:ind w:left="1319" w:right="1320"/>
              <w:rPr>
                <w:b/>
                <w:sz w:val="18"/>
              </w:rPr>
            </w:pPr>
            <w:r>
              <w:rPr>
                <w:b/>
                <w:sz w:val="18"/>
              </w:rPr>
              <w:t>Total</w:t>
            </w:r>
          </w:p>
        </w:tc>
        <w:tc>
          <w:tcPr>
            <w:tcW w:w="2103" w:type="dxa"/>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before="88"/>
              <w:ind w:left="876" w:right="876"/>
              <w:rPr>
                <w:b/>
                <w:sz w:val="18"/>
              </w:rPr>
            </w:pPr>
            <w:r>
              <w:rPr>
                <w:b/>
                <w:sz w:val="18"/>
              </w:rPr>
              <w:t>125</w:t>
            </w:r>
          </w:p>
        </w:tc>
        <w:tc>
          <w:tcPr>
            <w:tcW w:w="2249" w:type="dxa"/>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before="88"/>
              <w:ind w:left="1000" w:right="998"/>
              <w:rPr>
                <w:b/>
                <w:sz w:val="18"/>
              </w:rPr>
            </w:pPr>
            <w:r>
              <w:rPr>
                <w:b/>
                <w:sz w:val="18"/>
              </w:rPr>
              <w:t>65</w:t>
            </w:r>
          </w:p>
        </w:tc>
        <w:tc>
          <w:tcPr>
            <w:tcW w:w="1412" w:type="dxa"/>
            <w:tcBorders>
              <w:top w:val="single" w:sz="4" w:space="0" w:color="000000"/>
              <w:left w:val="single" w:sz="4" w:space="0" w:color="000000"/>
              <w:bottom w:val="single" w:sz="4" w:space="0" w:color="000000"/>
              <w:right w:val="single" w:sz="4" w:space="0" w:color="000000"/>
            </w:tcBorders>
            <w:shd w:val="clear" w:color="auto" w:fill="92D050"/>
          </w:tcPr>
          <w:p>
            <w:pPr/>
          </w:p>
        </w:tc>
      </w:tr>
    </w:tbl>
    <w:p>
      <w:pPr>
        <w:spacing w:line="180" w:lineRule="exact" w:before="0"/>
        <w:ind w:left="108" w:right="0" w:firstLine="0"/>
        <w:jc w:val="both"/>
        <w:rPr>
          <w:sz w:val="16"/>
        </w:rPr>
      </w:pPr>
      <w:r>
        <w:rPr>
          <w:sz w:val="16"/>
        </w:rPr>
        <w:t>Fuente: Elaboración propia con datos del INFOEM y del IEEM</w:t>
      </w:r>
    </w:p>
    <w:p>
      <w:pPr>
        <w:pStyle w:val="BodyText"/>
        <w:rPr>
          <w:sz w:val="16"/>
        </w:rPr>
      </w:pPr>
    </w:p>
    <w:p>
      <w:pPr>
        <w:pStyle w:val="BodyText"/>
        <w:rPr>
          <w:sz w:val="16"/>
        </w:rPr>
      </w:pPr>
    </w:p>
    <w:p>
      <w:pPr>
        <w:pStyle w:val="BodyText"/>
        <w:rPr>
          <w:sz w:val="16"/>
        </w:rPr>
      </w:pPr>
    </w:p>
    <w:p>
      <w:pPr>
        <w:pStyle w:val="BodyText"/>
        <w:rPr>
          <w:sz w:val="16"/>
        </w:rPr>
      </w:pPr>
    </w:p>
    <w:p>
      <w:pPr>
        <w:pStyle w:val="BodyText"/>
        <w:spacing w:line="360" w:lineRule="auto" w:before="93"/>
        <w:ind w:left="108" w:right="116"/>
        <w:jc w:val="both"/>
      </w:pPr>
      <w:r>
        <w:rPr/>
        <w:t>En el año 2013, solamente se evaluaron 6 de los 125 municipios. Destacan los municipios</w:t>
      </w:r>
      <w:r>
        <w:rPr>
          <w:spacing w:val="-17"/>
        </w:rPr>
        <w:t> </w:t>
      </w:r>
      <w:r>
        <w:rPr/>
        <w:t>gobernados</w:t>
      </w:r>
      <w:r>
        <w:rPr>
          <w:spacing w:val="-20"/>
        </w:rPr>
        <w:t> </w:t>
      </w:r>
      <w:r>
        <w:rPr/>
        <w:t>por</w:t>
      </w:r>
      <w:r>
        <w:rPr>
          <w:spacing w:val="-18"/>
        </w:rPr>
        <w:t> </w:t>
      </w:r>
      <w:r>
        <w:rPr/>
        <w:t>el</w:t>
      </w:r>
      <w:r>
        <w:rPr>
          <w:spacing w:val="-18"/>
        </w:rPr>
        <w:t> </w:t>
      </w:r>
      <w:r>
        <w:rPr/>
        <w:t>PT</w:t>
      </w:r>
      <w:r>
        <w:rPr>
          <w:spacing w:val="-15"/>
        </w:rPr>
        <w:t> </w:t>
      </w:r>
      <w:r>
        <w:rPr/>
        <w:t>como</w:t>
      </w:r>
      <w:r>
        <w:rPr>
          <w:spacing w:val="-17"/>
        </w:rPr>
        <w:t> </w:t>
      </w:r>
      <w:r>
        <w:rPr/>
        <w:t>los</w:t>
      </w:r>
      <w:r>
        <w:rPr>
          <w:spacing w:val="-17"/>
        </w:rPr>
        <w:t> </w:t>
      </w:r>
      <w:r>
        <w:rPr/>
        <w:t>más</w:t>
      </w:r>
      <w:r>
        <w:rPr>
          <w:spacing w:val="-17"/>
        </w:rPr>
        <w:t> </w:t>
      </w:r>
      <w:r>
        <w:rPr/>
        <w:t>transparentes</w:t>
      </w:r>
      <w:r>
        <w:rPr>
          <w:spacing w:val="-17"/>
        </w:rPr>
        <w:t> </w:t>
      </w:r>
      <w:r>
        <w:rPr/>
        <w:t>con</w:t>
      </w:r>
      <w:r>
        <w:rPr>
          <w:spacing w:val="-19"/>
        </w:rPr>
        <w:t> </w:t>
      </w:r>
      <w:r>
        <w:rPr/>
        <w:t>un</w:t>
      </w:r>
      <w:r>
        <w:rPr>
          <w:spacing w:val="-19"/>
        </w:rPr>
        <w:t> </w:t>
      </w:r>
      <w:r>
        <w:rPr/>
        <w:t>93.2%,</w:t>
      </w:r>
      <w:r>
        <w:rPr>
          <w:spacing w:val="-17"/>
        </w:rPr>
        <w:t> </w:t>
      </w:r>
      <w:r>
        <w:rPr/>
        <w:t>seguido por la alianza PRI-PVEM-NA con 91.91%. En sentido opuesto se encuentran los municipios gobernados por las alianzas PRD-PT con 16.4% (ver tabla</w:t>
      </w:r>
      <w:r>
        <w:rPr>
          <w:spacing w:val="-21"/>
        </w:rPr>
        <w:t> </w:t>
      </w:r>
      <w:r>
        <w:rPr/>
        <w:t>3.17).</w:t>
      </w:r>
    </w:p>
    <w:p>
      <w:pPr>
        <w:spacing w:after="0" w:line="360" w:lineRule="auto"/>
        <w:jc w:val="both"/>
        <w:sectPr>
          <w:pgSz w:w="12240" w:h="15840"/>
          <w:pgMar w:header="0" w:footer="975" w:top="1360" w:bottom="1220" w:left="1500" w:right="1580"/>
        </w:sectPr>
      </w:pPr>
    </w:p>
    <w:tbl>
      <w:tblPr>
        <w:tblW w:w="0" w:type="auto"/>
        <w:jc w:val="left"/>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66"/>
        <w:gridCol w:w="2136"/>
        <w:gridCol w:w="2282"/>
        <w:gridCol w:w="1433"/>
      </w:tblGrid>
      <w:tr>
        <w:trPr>
          <w:trHeight w:val="306" w:hRule="exact"/>
        </w:trPr>
        <w:tc>
          <w:tcPr>
            <w:tcW w:w="9018" w:type="dxa"/>
            <w:gridSpan w:val="4"/>
            <w:tcBorders>
              <w:bottom w:val="single" w:sz="4" w:space="0" w:color="000000"/>
            </w:tcBorders>
            <w:shd w:val="clear" w:color="auto" w:fill="92D050"/>
          </w:tcPr>
          <w:p>
            <w:pPr>
              <w:pStyle w:val="TableParagraph"/>
              <w:spacing w:before="81"/>
              <w:ind w:left="681"/>
              <w:jc w:val="left"/>
              <w:rPr>
                <w:b/>
                <w:sz w:val="18"/>
              </w:rPr>
            </w:pPr>
            <w:r>
              <w:rPr>
                <w:b/>
                <w:sz w:val="18"/>
              </w:rPr>
              <w:t>Tabla 3.17. Cumplimiento de la ley de transparencia vs partido gobernante en el año 2013</w:t>
            </w:r>
          </w:p>
        </w:tc>
      </w:tr>
      <w:tr>
        <w:trPr>
          <w:trHeight w:val="497" w:hRule="exact"/>
        </w:trPr>
        <w:tc>
          <w:tcPr>
            <w:tcW w:w="3166" w:type="dxa"/>
            <w:tcBorders>
              <w:top w:val="single" w:sz="4" w:space="0" w:color="000000"/>
              <w:left w:val="single" w:sz="8" w:space="0" w:color="000000"/>
              <w:bottom w:val="single" w:sz="8" w:space="0" w:color="000000"/>
              <w:right w:val="single" w:sz="8" w:space="0" w:color="000000"/>
            </w:tcBorders>
            <w:shd w:val="clear" w:color="auto" w:fill="92D050"/>
          </w:tcPr>
          <w:p>
            <w:pPr>
              <w:pStyle w:val="TableParagraph"/>
              <w:spacing w:before="128"/>
              <w:ind w:left="1242" w:right="1243"/>
              <w:rPr>
                <w:b/>
                <w:sz w:val="18"/>
              </w:rPr>
            </w:pPr>
            <w:r>
              <w:rPr>
                <w:b/>
                <w:sz w:val="18"/>
              </w:rPr>
              <w:t>Partido</w:t>
            </w:r>
          </w:p>
        </w:tc>
        <w:tc>
          <w:tcPr>
            <w:tcW w:w="2136" w:type="dxa"/>
            <w:tcBorders>
              <w:top w:val="single" w:sz="4" w:space="0" w:color="000000"/>
              <w:left w:val="single" w:sz="8" w:space="0" w:color="000000"/>
              <w:bottom w:val="single" w:sz="8" w:space="0" w:color="000000"/>
              <w:right w:val="single" w:sz="8" w:space="0" w:color="000000"/>
            </w:tcBorders>
            <w:shd w:val="clear" w:color="auto" w:fill="92D050"/>
          </w:tcPr>
          <w:p>
            <w:pPr>
              <w:pStyle w:val="TableParagraph"/>
              <w:spacing w:before="25"/>
              <w:ind w:left="542" w:right="525" w:firstLine="43"/>
              <w:jc w:val="left"/>
              <w:rPr>
                <w:b/>
                <w:sz w:val="18"/>
              </w:rPr>
            </w:pPr>
            <w:r>
              <w:rPr>
                <w:b/>
                <w:sz w:val="18"/>
              </w:rPr>
              <w:t>Municipios gobernados</w:t>
            </w:r>
          </w:p>
        </w:tc>
        <w:tc>
          <w:tcPr>
            <w:tcW w:w="2282" w:type="dxa"/>
            <w:tcBorders>
              <w:top w:val="single" w:sz="4" w:space="0" w:color="000000"/>
              <w:left w:val="single" w:sz="8" w:space="0" w:color="000000"/>
              <w:bottom w:val="single" w:sz="8" w:space="0" w:color="000000"/>
              <w:right w:val="single" w:sz="8" w:space="0" w:color="000000"/>
            </w:tcBorders>
            <w:shd w:val="clear" w:color="auto" w:fill="92D050"/>
          </w:tcPr>
          <w:p>
            <w:pPr>
              <w:pStyle w:val="TableParagraph"/>
              <w:spacing w:before="128"/>
              <w:ind w:left="176" w:right="176"/>
              <w:rPr>
                <w:b/>
                <w:sz w:val="18"/>
              </w:rPr>
            </w:pPr>
            <w:r>
              <w:rPr>
                <w:b/>
                <w:sz w:val="18"/>
              </w:rPr>
              <w:t>Municipios evaluados</w:t>
            </w:r>
          </w:p>
        </w:tc>
        <w:tc>
          <w:tcPr>
            <w:tcW w:w="1433" w:type="dxa"/>
            <w:tcBorders>
              <w:top w:val="single" w:sz="4" w:space="0" w:color="000000"/>
              <w:left w:val="single" w:sz="8" w:space="0" w:color="000000"/>
              <w:bottom w:val="single" w:sz="8" w:space="0" w:color="000000"/>
              <w:right w:val="single" w:sz="8" w:space="0" w:color="000000"/>
            </w:tcBorders>
            <w:shd w:val="clear" w:color="auto" w:fill="92D050"/>
          </w:tcPr>
          <w:p>
            <w:pPr>
              <w:pStyle w:val="TableParagraph"/>
              <w:spacing w:before="128"/>
              <w:ind w:left="226" w:right="226"/>
              <w:rPr>
                <w:b/>
                <w:sz w:val="18"/>
              </w:rPr>
            </w:pPr>
            <w:r>
              <w:rPr>
                <w:b/>
                <w:sz w:val="18"/>
              </w:rPr>
              <w:t>Porcentaje</w:t>
            </w:r>
          </w:p>
        </w:tc>
      </w:tr>
      <w:tr>
        <w:trPr>
          <w:trHeight w:val="295" w:hRule="exact"/>
        </w:trPr>
        <w:tc>
          <w:tcPr>
            <w:tcW w:w="3166" w:type="dxa"/>
            <w:tcBorders>
              <w:top w:val="single" w:sz="8" w:space="0" w:color="000000"/>
            </w:tcBorders>
          </w:tcPr>
          <w:p>
            <w:pPr>
              <w:pStyle w:val="TableParagraph"/>
              <w:spacing w:before="32"/>
              <w:ind w:left="64"/>
              <w:jc w:val="left"/>
              <w:rPr>
                <w:sz w:val="18"/>
              </w:rPr>
            </w:pPr>
            <w:r>
              <w:rPr>
                <w:sz w:val="18"/>
              </w:rPr>
              <w:t>PAN</w:t>
            </w:r>
          </w:p>
        </w:tc>
        <w:tc>
          <w:tcPr>
            <w:tcW w:w="2136" w:type="dxa"/>
            <w:tcBorders>
              <w:top w:val="single" w:sz="8" w:space="0" w:color="000000"/>
            </w:tcBorders>
          </w:tcPr>
          <w:p>
            <w:pPr>
              <w:pStyle w:val="TableParagraph"/>
              <w:spacing w:before="70"/>
              <w:ind w:left="893" w:right="893"/>
              <w:rPr>
                <w:sz w:val="18"/>
              </w:rPr>
            </w:pPr>
            <w:r>
              <w:rPr>
                <w:sz w:val="18"/>
              </w:rPr>
              <w:t>16</w:t>
            </w:r>
          </w:p>
        </w:tc>
        <w:tc>
          <w:tcPr>
            <w:tcW w:w="2282" w:type="dxa"/>
            <w:tcBorders>
              <w:top w:val="single" w:sz="8" w:space="0" w:color="000000"/>
            </w:tcBorders>
          </w:tcPr>
          <w:p>
            <w:pPr>
              <w:pStyle w:val="TableParagraph"/>
              <w:spacing w:before="70"/>
              <w:ind w:right="1"/>
              <w:rPr>
                <w:sz w:val="18"/>
              </w:rPr>
            </w:pPr>
            <w:r>
              <w:rPr>
                <w:w w:val="99"/>
                <w:sz w:val="18"/>
              </w:rPr>
              <w:t>0</w:t>
            </w:r>
          </w:p>
        </w:tc>
        <w:tc>
          <w:tcPr>
            <w:tcW w:w="1433" w:type="dxa"/>
            <w:tcBorders>
              <w:top w:val="single" w:sz="8" w:space="0" w:color="000000"/>
            </w:tcBorders>
          </w:tcPr>
          <w:p>
            <w:pPr>
              <w:pStyle w:val="TableParagraph"/>
              <w:spacing w:before="70"/>
              <w:ind w:left="386" w:right="386"/>
              <w:rPr>
                <w:sz w:val="18"/>
              </w:rPr>
            </w:pPr>
            <w:r>
              <w:rPr>
                <w:sz w:val="18"/>
              </w:rPr>
              <w:t>N/A</w:t>
            </w:r>
          </w:p>
        </w:tc>
      </w:tr>
      <w:tr>
        <w:trPr>
          <w:trHeight w:val="290" w:hRule="exact"/>
        </w:trPr>
        <w:tc>
          <w:tcPr>
            <w:tcW w:w="3166" w:type="dxa"/>
          </w:tcPr>
          <w:p>
            <w:pPr>
              <w:pStyle w:val="TableParagraph"/>
              <w:spacing w:before="34"/>
              <w:ind w:left="64"/>
              <w:jc w:val="left"/>
              <w:rPr>
                <w:sz w:val="18"/>
              </w:rPr>
            </w:pPr>
            <w:r>
              <w:rPr>
                <w:sz w:val="18"/>
              </w:rPr>
              <w:t>PRD</w:t>
            </w:r>
          </w:p>
        </w:tc>
        <w:tc>
          <w:tcPr>
            <w:tcW w:w="2136" w:type="dxa"/>
          </w:tcPr>
          <w:p>
            <w:pPr>
              <w:pStyle w:val="TableParagraph"/>
              <w:spacing w:before="70"/>
              <w:ind w:right="3"/>
              <w:rPr>
                <w:sz w:val="18"/>
              </w:rPr>
            </w:pPr>
            <w:r>
              <w:rPr>
                <w:w w:val="99"/>
                <w:sz w:val="18"/>
              </w:rPr>
              <w:t>3</w:t>
            </w:r>
          </w:p>
        </w:tc>
        <w:tc>
          <w:tcPr>
            <w:tcW w:w="2282" w:type="dxa"/>
          </w:tcPr>
          <w:p>
            <w:pPr>
              <w:pStyle w:val="TableParagraph"/>
              <w:spacing w:before="70"/>
              <w:ind w:right="1"/>
              <w:rPr>
                <w:sz w:val="18"/>
              </w:rPr>
            </w:pPr>
            <w:r>
              <w:rPr>
                <w:w w:val="99"/>
                <w:sz w:val="18"/>
              </w:rPr>
              <w:t>0</w:t>
            </w:r>
          </w:p>
        </w:tc>
        <w:tc>
          <w:tcPr>
            <w:tcW w:w="1433" w:type="dxa"/>
          </w:tcPr>
          <w:p>
            <w:pPr>
              <w:pStyle w:val="TableParagraph"/>
              <w:spacing w:before="70"/>
              <w:ind w:left="386" w:right="386"/>
              <w:rPr>
                <w:sz w:val="18"/>
              </w:rPr>
            </w:pPr>
            <w:r>
              <w:rPr>
                <w:sz w:val="18"/>
              </w:rPr>
              <w:t>N/A</w:t>
            </w:r>
          </w:p>
        </w:tc>
      </w:tr>
      <w:tr>
        <w:trPr>
          <w:trHeight w:val="290" w:hRule="exact"/>
        </w:trPr>
        <w:tc>
          <w:tcPr>
            <w:tcW w:w="3166" w:type="dxa"/>
          </w:tcPr>
          <w:p>
            <w:pPr>
              <w:pStyle w:val="TableParagraph"/>
              <w:spacing w:before="34"/>
              <w:ind w:left="64"/>
              <w:jc w:val="left"/>
              <w:rPr>
                <w:sz w:val="18"/>
              </w:rPr>
            </w:pPr>
            <w:r>
              <w:rPr>
                <w:sz w:val="18"/>
              </w:rPr>
              <w:t>PRD-MC</w:t>
            </w:r>
          </w:p>
        </w:tc>
        <w:tc>
          <w:tcPr>
            <w:tcW w:w="2136" w:type="dxa"/>
          </w:tcPr>
          <w:p>
            <w:pPr>
              <w:pStyle w:val="TableParagraph"/>
              <w:spacing w:before="70"/>
              <w:ind w:right="3"/>
              <w:rPr>
                <w:sz w:val="18"/>
              </w:rPr>
            </w:pPr>
            <w:r>
              <w:rPr>
                <w:w w:val="99"/>
                <w:sz w:val="18"/>
              </w:rPr>
              <w:t>1</w:t>
            </w:r>
          </w:p>
        </w:tc>
        <w:tc>
          <w:tcPr>
            <w:tcW w:w="2282" w:type="dxa"/>
          </w:tcPr>
          <w:p>
            <w:pPr>
              <w:pStyle w:val="TableParagraph"/>
              <w:spacing w:before="70"/>
              <w:ind w:right="1"/>
              <w:rPr>
                <w:sz w:val="18"/>
              </w:rPr>
            </w:pPr>
            <w:r>
              <w:rPr>
                <w:w w:val="99"/>
                <w:sz w:val="18"/>
              </w:rPr>
              <w:t>0</w:t>
            </w:r>
          </w:p>
        </w:tc>
        <w:tc>
          <w:tcPr>
            <w:tcW w:w="1433" w:type="dxa"/>
          </w:tcPr>
          <w:p>
            <w:pPr>
              <w:pStyle w:val="TableParagraph"/>
              <w:spacing w:before="70"/>
              <w:ind w:left="386" w:right="386"/>
              <w:rPr>
                <w:sz w:val="18"/>
              </w:rPr>
            </w:pPr>
            <w:r>
              <w:rPr>
                <w:sz w:val="18"/>
              </w:rPr>
              <w:t>N/A</w:t>
            </w:r>
          </w:p>
        </w:tc>
      </w:tr>
      <w:tr>
        <w:trPr>
          <w:trHeight w:val="293" w:hRule="exact"/>
        </w:trPr>
        <w:tc>
          <w:tcPr>
            <w:tcW w:w="3166" w:type="dxa"/>
          </w:tcPr>
          <w:p>
            <w:pPr>
              <w:pStyle w:val="TableParagraph"/>
              <w:spacing w:before="34"/>
              <w:ind w:left="64"/>
              <w:jc w:val="left"/>
              <w:rPr>
                <w:sz w:val="18"/>
              </w:rPr>
            </w:pPr>
            <w:r>
              <w:rPr>
                <w:sz w:val="18"/>
              </w:rPr>
              <w:t>PRD-PT</w:t>
            </w:r>
          </w:p>
        </w:tc>
        <w:tc>
          <w:tcPr>
            <w:tcW w:w="2136" w:type="dxa"/>
          </w:tcPr>
          <w:p>
            <w:pPr>
              <w:pStyle w:val="TableParagraph"/>
              <w:spacing w:before="70"/>
              <w:ind w:right="3"/>
              <w:rPr>
                <w:sz w:val="18"/>
              </w:rPr>
            </w:pPr>
            <w:r>
              <w:rPr>
                <w:w w:val="99"/>
                <w:sz w:val="18"/>
              </w:rPr>
              <w:t>6</w:t>
            </w:r>
          </w:p>
        </w:tc>
        <w:tc>
          <w:tcPr>
            <w:tcW w:w="2282" w:type="dxa"/>
          </w:tcPr>
          <w:p>
            <w:pPr>
              <w:pStyle w:val="TableParagraph"/>
              <w:spacing w:before="70"/>
              <w:ind w:right="1"/>
              <w:rPr>
                <w:sz w:val="18"/>
              </w:rPr>
            </w:pPr>
            <w:r>
              <w:rPr>
                <w:w w:val="99"/>
                <w:sz w:val="18"/>
              </w:rPr>
              <w:t>1</w:t>
            </w:r>
          </w:p>
        </w:tc>
        <w:tc>
          <w:tcPr>
            <w:tcW w:w="1433" w:type="dxa"/>
          </w:tcPr>
          <w:p>
            <w:pPr>
              <w:pStyle w:val="TableParagraph"/>
              <w:spacing w:before="70"/>
              <w:ind w:left="386" w:right="386"/>
              <w:rPr>
                <w:sz w:val="18"/>
              </w:rPr>
            </w:pPr>
            <w:r>
              <w:rPr>
                <w:sz w:val="18"/>
              </w:rPr>
              <w:t>16.40%</w:t>
            </w:r>
          </w:p>
        </w:tc>
      </w:tr>
      <w:tr>
        <w:trPr>
          <w:trHeight w:val="290" w:hRule="exact"/>
        </w:trPr>
        <w:tc>
          <w:tcPr>
            <w:tcW w:w="3166" w:type="dxa"/>
          </w:tcPr>
          <w:p>
            <w:pPr>
              <w:pStyle w:val="TableParagraph"/>
              <w:spacing w:before="32"/>
              <w:ind w:left="64"/>
              <w:jc w:val="left"/>
              <w:rPr>
                <w:sz w:val="18"/>
              </w:rPr>
            </w:pPr>
            <w:r>
              <w:rPr>
                <w:sz w:val="18"/>
              </w:rPr>
              <w:t>PRD-PT-MC</w:t>
            </w:r>
          </w:p>
        </w:tc>
        <w:tc>
          <w:tcPr>
            <w:tcW w:w="2136" w:type="dxa"/>
          </w:tcPr>
          <w:p>
            <w:pPr>
              <w:pStyle w:val="TableParagraph"/>
              <w:spacing w:before="70"/>
              <w:ind w:right="3"/>
              <w:rPr>
                <w:sz w:val="18"/>
              </w:rPr>
            </w:pPr>
            <w:r>
              <w:rPr>
                <w:w w:val="99"/>
                <w:sz w:val="18"/>
              </w:rPr>
              <w:t>1</w:t>
            </w:r>
          </w:p>
        </w:tc>
        <w:tc>
          <w:tcPr>
            <w:tcW w:w="2282" w:type="dxa"/>
          </w:tcPr>
          <w:p>
            <w:pPr>
              <w:pStyle w:val="TableParagraph"/>
              <w:spacing w:before="70"/>
              <w:ind w:right="1"/>
              <w:rPr>
                <w:sz w:val="18"/>
              </w:rPr>
            </w:pPr>
            <w:r>
              <w:rPr>
                <w:w w:val="99"/>
                <w:sz w:val="18"/>
              </w:rPr>
              <w:t>0</w:t>
            </w:r>
          </w:p>
        </w:tc>
        <w:tc>
          <w:tcPr>
            <w:tcW w:w="1433" w:type="dxa"/>
          </w:tcPr>
          <w:p>
            <w:pPr>
              <w:pStyle w:val="TableParagraph"/>
              <w:spacing w:before="70"/>
              <w:ind w:left="386" w:right="386"/>
              <w:rPr>
                <w:sz w:val="18"/>
              </w:rPr>
            </w:pPr>
            <w:r>
              <w:rPr>
                <w:sz w:val="18"/>
              </w:rPr>
              <w:t>N/A</w:t>
            </w:r>
          </w:p>
        </w:tc>
      </w:tr>
      <w:tr>
        <w:trPr>
          <w:trHeight w:val="290" w:hRule="exact"/>
        </w:trPr>
        <w:tc>
          <w:tcPr>
            <w:tcW w:w="3166" w:type="dxa"/>
          </w:tcPr>
          <w:p>
            <w:pPr>
              <w:pStyle w:val="TableParagraph"/>
              <w:spacing w:before="34"/>
              <w:ind w:left="64"/>
              <w:jc w:val="left"/>
              <w:rPr>
                <w:sz w:val="18"/>
              </w:rPr>
            </w:pPr>
            <w:r>
              <w:rPr>
                <w:sz w:val="18"/>
              </w:rPr>
              <w:t>PRI-PVEM-NA</w:t>
            </w:r>
          </w:p>
        </w:tc>
        <w:tc>
          <w:tcPr>
            <w:tcW w:w="2136" w:type="dxa"/>
          </w:tcPr>
          <w:p>
            <w:pPr>
              <w:pStyle w:val="TableParagraph"/>
              <w:spacing w:before="70"/>
              <w:ind w:left="893" w:right="893"/>
              <w:rPr>
                <w:sz w:val="18"/>
              </w:rPr>
            </w:pPr>
            <w:r>
              <w:rPr>
                <w:sz w:val="18"/>
              </w:rPr>
              <w:t>94</w:t>
            </w:r>
          </w:p>
        </w:tc>
        <w:tc>
          <w:tcPr>
            <w:tcW w:w="2282" w:type="dxa"/>
          </w:tcPr>
          <w:p>
            <w:pPr>
              <w:pStyle w:val="TableParagraph"/>
              <w:spacing w:before="70"/>
              <w:ind w:right="1"/>
              <w:rPr>
                <w:sz w:val="18"/>
              </w:rPr>
            </w:pPr>
            <w:r>
              <w:rPr>
                <w:w w:val="99"/>
                <w:sz w:val="18"/>
              </w:rPr>
              <w:t>4</w:t>
            </w:r>
          </w:p>
        </w:tc>
        <w:tc>
          <w:tcPr>
            <w:tcW w:w="1433" w:type="dxa"/>
          </w:tcPr>
          <w:p>
            <w:pPr>
              <w:pStyle w:val="TableParagraph"/>
              <w:spacing w:before="70"/>
              <w:ind w:left="386" w:right="386"/>
              <w:rPr>
                <w:sz w:val="18"/>
              </w:rPr>
            </w:pPr>
            <w:r>
              <w:rPr>
                <w:sz w:val="18"/>
              </w:rPr>
              <w:t>91.91%</w:t>
            </w:r>
          </w:p>
        </w:tc>
      </w:tr>
      <w:tr>
        <w:trPr>
          <w:trHeight w:val="290" w:hRule="exact"/>
        </w:trPr>
        <w:tc>
          <w:tcPr>
            <w:tcW w:w="3166" w:type="dxa"/>
          </w:tcPr>
          <w:p>
            <w:pPr>
              <w:pStyle w:val="TableParagraph"/>
              <w:spacing w:before="34"/>
              <w:ind w:left="64"/>
              <w:jc w:val="left"/>
              <w:rPr>
                <w:sz w:val="18"/>
              </w:rPr>
            </w:pPr>
            <w:r>
              <w:rPr>
                <w:sz w:val="18"/>
              </w:rPr>
              <w:t>PT</w:t>
            </w:r>
          </w:p>
        </w:tc>
        <w:tc>
          <w:tcPr>
            <w:tcW w:w="2136" w:type="dxa"/>
          </w:tcPr>
          <w:p>
            <w:pPr>
              <w:pStyle w:val="TableParagraph"/>
              <w:spacing w:before="70"/>
              <w:ind w:right="3"/>
              <w:rPr>
                <w:sz w:val="18"/>
              </w:rPr>
            </w:pPr>
            <w:r>
              <w:rPr>
                <w:w w:val="99"/>
                <w:sz w:val="18"/>
              </w:rPr>
              <w:t>2</w:t>
            </w:r>
          </w:p>
        </w:tc>
        <w:tc>
          <w:tcPr>
            <w:tcW w:w="2282" w:type="dxa"/>
          </w:tcPr>
          <w:p>
            <w:pPr>
              <w:pStyle w:val="TableParagraph"/>
              <w:spacing w:before="70"/>
              <w:ind w:right="1"/>
              <w:rPr>
                <w:sz w:val="18"/>
              </w:rPr>
            </w:pPr>
            <w:r>
              <w:rPr>
                <w:w w:val="99"/>
                <w:sz w:val="18"/>
              </w:rPr>
              <w:t>1</w:t>
            </w:r>
          </w:p>
        </w:tc>
        <w:tc>
          <w:tcPr>
            <w:tcW w:w="1433" w:type="dxa"/>
          </w:tcPr>
          <w:p>
            <w:pPr>
              <w:pStyle w:val="TableParagraph"/>
              <w:spacing w:before="70"/>
              <w:ind w:left="386" w:right="386"/>
              <w:rPr>
                <w:sz w:val="18"/>
              </w:rPr>
            </w:pPr>
            <w:r>
              <w:rPr>
                <w:sz w:val="18"/>
              </w:rPr>
              <w:t>93.20%</w:t>
            </w:r>
          </w:p>
        </w:tc>
      </w:tr>
      <w:tr>
        <w:trPr>
          <w:trHeight w:val="293" w:hRule="exact"/>
        </w:trPr>
        <w:tc>
          <w:tcPr>
            <w:tcW w:w="3166" w:type="dxa"/>
          </w:tcPr>
          <w:p>
            <w:pPr>
              <w:pStyle w:val="TableParagraph"/>
              <w:spacing w:before="34"/>
              <w:ind w:left="64"/>
              <w:jc w:val="left"/>
              <w:rPr>
                <w:sz w:val="18"/>
              </w:rPr>
            </w:pPr>
            <w:r>
              <w:rPr>
                <w:sz w:val="18"/>
              </w:rPr>
              <w:t>PT-MC</w:t>
            </w:r>
          </w:p>
        </w:tc>
        <w:tc>
          <w:tcPr>
            <w:tcW w:w="2136" w:type="dxa"/>
          </w:tcPr>
          <w:p>
            <w:pPr>
              <w:pStyle w:val="TableParagraph"/>
              <w:spacing w:before="70"/>
              <w:ind w:right="3"/>
              <w:rPr>
                <w:sz w:val="18"/>
              </w:rPr>
            </w:pPr>
            <w:r>
              <w:rPr>
                <w:w w:val="99"/>
                <w:sz w:val="18"/>
              </w:rPr>
              <w:t>2</w:t>
            </w:r>
          </w:p>
        </w:tc>
        <w:tc>
          <w:tcPr>
            <w:tcW w:w="2282" w:type="dxa"/>
          </w:tcPr>
          <w:p>
            <w:pPr>
              <w:pStyle w:val="TableParagraph"/>
              <w:spacing w:before="70"/>
              <w:ind w:right="1"/>
              <w:rPr>
                <w:sz w:val="18"/>
              </w:rPr>
            </w:pPr>
            <w:r>
              <w:rPr>
                <w:w w:val="99"/>
                <w:sz w:val="18"/>
              </w:rPr>
              <w:t>0</w:t>
            </w:r>
          </w:p>
        </w:tc>
        <w:tc>
          <w:tcPr>
            <w:tcW w:w="1433" w:type="dxa"/>
          </w:tcPr>
          <w:p>
            <w:pPr>
              <w:pStyle w:val="TableParagraph"/>
              <w:spacing w:before="70"/>
              <w:ind w:left="386" w:right="386"/>
              <w:rPr>
                <w:sz w:val="18"/>
              </w:rPr>
            </w:pPr>
            <w:r>
              <w:rPr>
                <w:sz w:val="18"/>
              </w:rPr>
              <w:t>N/A</w:t>
            </w:r>
          </w:p>
        </w:tc>
      </w:tr>
      <w:tr>
        <w:trPr>
          <w:trHeight w:val="290" w:hRule="exact"/>
        </w:trPr>
        <w:tc>
          <w:tcPr>
            <w:tcW w:w="3166" w:type="dxa"/>
            <w:shd w:val="clear" w:color="auto" w:fill="92D050"/>
          </w:tcPr>
          <w:p>
            <w:pPr>
              <w:pStyle w:val="TableParagraph"/>
              <w:spacing w:before="66"/>
              <w:ind w:left="1343" w:right="1342"/>
              <w:rPr>
                <w:b/>
                <w:sz w:val="18"/>
              </w:rPr>
            </w:pPr>
            <w:r>
              <w:rPr>
                <w:b/>
                <w:sz w:val="18"/>
              </w:rPr>
              <w:t>Total</w:t>
            </w:r>
          </w:p>
        </w:tc>
        <w:tc>
          <w:tcPr>
            <w:tcW w:w="2136" w:type="dxa"/>
            <w:shd w:val="clear" w:color="auto" w:fill="92D050"/>
          </w:tcPr>
          <w:p>
            <w:pPr>
              <w:pStyle w:val="TableParagraph"/>
              <w:spacing w:before="66"/>
              <w:ind w:left="893" w:right="893"/>
              <w:rPr>
                <w:b/>
                <w:sz w:val="18"/>
              </w:rPr>
            </w:pPr>
            <w:r>
              <w:rPr>
                <w:b/>
                <w:sz w:val="18"/>
              </w:rPr>
              <w:t>125</w:t>
            </w:r>
          </w:p>
        </w:tc>
        <w:tc>
          <w:tcPr>
            <w:tcW w:w="2282" w:type="dxa"/>
            <w:shd w:val="clear" w:color="auto" w:fill="92D050"/>
          </w:tcPr>
          <w:p>
            <w:pPr>
              <w:pStyle w:val="TableParagraph"/>
              <w:spacing w:before="66"/>
              <w:ind w:right="1"/>
              <w:rPr>
                <w:b/>
                <w:sz w:val="18"/>
              </w:rPr>
            </w:pPr>
            <w:r>
              <w:rPr>
                <w:b/>
                <w:w w:val="99"/>
                <w:sz w:val="18"/>
              </w:rPr>
              <w:t>6</w:t>
            </w:r>
          </w:p>
        </w:tc>
        <w:tc>
          <w:tcPr>
            <w:tcW w:w="1433" w:type="dxa"/>
            <w:shd w:val="clear" w:color="auto" w:fill="92D050"/>
          </w:tcPr>
          <w:p>
            <w:pPr/>
          </w:p>
        </w:tc>
      </w:tr>
    </w:tbl>
    <w:p>
      <w:pPr>
        <w:spacing w:before="82"/>
        <w:ind w:left="194" w:right="0" w:firstLine="0"/>
        <w:jc w:val="left"/>
        <w:rPr>
          <w:sz w:val="16"/>
        </w:rPr>
      </w:pPr>
      <w:r>
        <w:rPr>
          <w:sz w:val="16"/>
        </w:rPr>
        <w:t>Fuente: Elaboración propia con datos del INFOEM y del IEEM</w:t>
      </w:r>
    </w:p>
    <w:p>
      <w:pPr>
        <w:pStyle w:val="BodyText"/>
        <w:rPr>
          <w:sz w:val="20"/>
        </w:rPr>
      </w:pPr>
    </w:p>
    <w:p>
      <w:pPr>
        <w:pStyle w:val="BodyText"/>
        <w:spacing w:before="1"/>
      </w:pPr>
    </w:p>
    <w:p>
      <w:pPr>
        <w:pStyle w:val="BodyText"/>
        <w:spacing w:line="360" w:lineRule="auto" w:before="70"/>
        <w:ind w:left="168" w:right="176"/>
        <w:jc w:val="both"/>
      </w:pPr>
      <w:r>
        <w:rPr/>
        <w:t>Sobre el año 2014 cabe mencionar que los municipios gobernados por el PT se presentan como los más transparentes al lograr un 95.8%, seguidos de los municipios gobernados por el PRD con 94.61% y el PAN con 90.42%. En sentido opuesto</w:t>
      </w:r>
      <w:r>
        <w:rPr>
          <w:spacing w:val="-10"/>
        </w:rPr>
        <w:t> </w:t>
      </w:r>
      <w:r>
        <w:rPr/>
        <w:t>se</w:t>
      </w:r>
      <w:r>
        <w:rPr>
          <w:spacing w:val="-13"/>
        </w:rPr>
        <w:t> </w:t>
      </w:r>
      <w:r>
        <w:rPr/>
        <w:t>encuentran</w:t>
      </w:r>
      <w:r>
        <w:rPr>
          <w:spacing w:val="-13"/>
        </w:rPr>
        <w:t> </w:t>
      </w:r>
      <w:r>
        <w:rPr/>
        <w:t>los</w:t>
      </w:r>
      <w:r>
        <w:rPr>
          <w:spacing w:val="-11"/>
        </w:rPr>
        <w:t> </w:t>
      </w:r>
      <w:r>
        <w:rPr/>
        <w:t>municipios</w:t>
      </w:r>
      <w:r>
        <w:rPr>
          <w:spacing w:val="-11"/>
        </w:rPr>
        <w:t> </w:t>
      </w:r>
      <w:r>
        <w:rPr/>
        <w:t>gobernados</w:t>
      </w:r>
      <w:r>
        <w:rPr>
          <w:spacing w:val="-12"/>
        </w:rPr>
        <w:t> </w:t>
      </w:r>
      <w:r>
        <w:rPr/>
        <w:t>por</w:t>
      </w:r>
      <w:r>
        <w:rPr>
          <w:spacing w:val="-12"/>
        </w:rPr>
        <w:t> </w:t>
      </w:r>
      <w:r>
        <w:rPr/>
        <w:t>las</w:t>
      </w:r>
      <w:r>
        <w:rPr>
          <w:spacing w:val="-11"/>
        </w:rPr>
        <w:t> </w:t>
      </w:r>
      <w:r>
        <w:rPr/>
        <w:t>alianzas</w:t>
      </w:r>
      <w:r>
        <w:rPr>
          <w:spacing w:val="-12"/>
        </w:rPr>
        <w:t> </w:t>
      </w:r>
      <w:r>
        <w:rPr/>
        <w:t>PRI-VEM-NA</w:t>
      </w:r>
      <w:r>
        <w:rPr>
          <w:spacing w:val="-11"/>
        </w:rPr>
        <w:t> </w:t>
      </w:r>
      <w:r>
        <w:rPr/>
        <w:t>con 59.84%, y PRD-MC con un 5.58% (ver tabla</w:t>
      </w:r>
      <w:r>
        <w:rPr>
          <w:spacing w:val="-14"/>
        </w:rPr>
        <w:t> </w:t>
      </w:r>
      <w:r>
        <w:rPr/>
        <w:t>18).</w:t>
      </w:r>
    </w:p>
    <w:p>
      <w:pPr>
        <w:pStyle w:val="BodyText"/>
        <w:rPr>
          <w:sz w:val="20"/>
        </w:rPr>
      </w:pPr>
    </w:p>
    <w:p>
      <w:pPr>
        <w:pStyle w:val="BodyText"/>
        <w:spacing w:before="4"/>
        <w:rPr>
          <w:sz w:val="18"/>
        </w:rPr>
      </w:pPr>
    </w:p>
    <w:tbl>
      <w:tblPr>
        <w:tblW w:w="0" w:type="auto"/>
        <w:jc w:val="left"/>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66"/>
        <w:gridCol w:w="2136"/>
        <w:gridCol w:w="2282"/>
        <w:gridCol w:w="1433"/>
      </w:tblGrid>
      <w:tr>
        <w:trPr>
          <w:trHeight w:val="305" w:hRule="exact"/>
        </w:trPr>
        <w:tc>
          <w:tcPr>
            <w:tcW w:w="9018" w:type="dxa"/>
            <w:gridSpan w:val="4"/>
            <w:shd w:val="clear" w:color="auto" w:fill="92D050"/>
          </w:tcPr>
          <w:p>
            <w:pPr>
              <w:pStyle w:val="TableParagraph"/>
              <w:spacing w:before="83"/>
              <w:ind w:left="681"/>
              <w:jc w:val="left"/>
              <w:rPr>
                <w:b/>
                <w:sz w:val="18"/>
              </w:rPr>
            </w:pPr>
            <w:r>
              <w:rPr>
                <w:b/>
                <w:sz w:val="18"/>
              </w:rPr>
              <w:t>Tabla 3.18. Cumplimiento de la ley de transparencia vs partido gobernante en el año 2014</w:t>
            </w:r>
          </w:p>
        </w:tc>
      </w:tr>
      <w:tr>
        <w:trPr>
          <w:trHeight w:val="497" w:hRule="exact"/>
        </w:trPr>
        <w:tc>
          <w:tcPr>
            <w:tcW w:w="3166" w:type="dxa"/>
            <w:tcBorders>
              <w:left w:val="single" w:sz="8" w:space="0" w:color="000000"/>
              <w:bottom w:val="single" w:sz="8" w:space="0" w:color="000000"/>
              <w:right w:val="single" w:sz="8" w:space="0" w:color="000000"/>
            </w:tcBorders>
            <w:shd w:val="clear" w:color="auto" w:fill="92D050"/>
          </w:tcPr>
          <w:p>
            <w:pPr>
              <w:pStyle w:val="TableParagraph"/>
              <w:spacing w:before="131"/>
              <w:ind w:left="1242" w:right="1243"/>
              <w:rPr>
                <w:b/>
                <w:sz w:val="18"/>
              </w:rPr>
            </w:pPr>
            <w:r>
              <w:rPr>
                <w:b/>
                <w:sz w:val="18"/>
              </w:rPr>
              <w:t>Partido</w:t>
            </w:r>
          </w:p>
        </w:tc>
        <w:tc>
          <w:tcPr>
            <w:tcW w:w="2136" w:type="dxa"/>
            <w:tcBorders>
              <w:left w:val="single" w:sz="8" w:space="0" w:color="000000"/>
              <w:bottom w:val="single" w:sz="8" w:space="0" w:color="000000"/>
              <w:right w:val="single" w:sz="8" w:space="0" w:color="000000"/>
            </w:tcBorders>
            <w:shd w:val="clear" w:color="auto" w:fill="92D050"/>
          </w:tcPr>
          <w:p>
            <w:pPr>
              <w:pStyle w:val="TableParagraph"/>
              <w:spacing w:before="28"/>
              <w:ind w:left="542" w:right="525" w:firstLine="43"/>
              <w:jc w:val="left"/>
              <w:rPr>
                <w:b/>
                <w:sz w:val="18"/>
              </w:rPr>
            </w:pPr>
            <w:r>
              <w:rPr>
                <w:b/>
                <w:sz w:val="18"/>
              </w:rPr>
              <w:t>Municipios gobernados</w:t>
            </w:r>
          </w:p>
        </w:tc>
        <w:tc>
          <w:tcPr>
            <w:tcW w:w="2282" w:type="dxa"/>
            <w:tcBorders>
              <w:left w:val="single" w:sz="8" w:space="0" w:color="000000"/>
              <w:bottom w:val="single" w:sz="8" w:space="0" w:color="000000"/>
              <w:right w:val="single" w:sz="8" w:space="0" w:color="000000"/>
            </w:tcBorders>
            <w:shd w:val="clear" w:color="auto" w:fill="92D050"/>
          </w:tcPr>
          <w:p>
            <w:pPr>
              <w:pStyle w:val="TableParagraph"/>
              <w:spacing w:before="131"/>
              <w:ind w:left="176" w:right="176"/>
              <w:rPr>
                <w:b/>
                <w:sz w:val="18"/>
              </w:rPr>
            </w:pPr>
            <w:r>
              <w:rPr>
                <w:b/>
                <w:sz w:val="18"/>
              </w:rPr>
              <w:t>Municipios evaluados</w:t>
            </w:r>
          </w:p>
        </w:tc>
        <w:tc>
          <w:tcPr>
            <w:tcW w:w="1433" w:type="dxa"/>
            <w:tcBorders>
              <w:left w:val="single" w:sz="8" w:space="0" w:color="000000"/>
              <w:bottom w:val="single" w:sz="8" w:space="0" w:color="000000"/>
              <w:right w:val="single" w:sz="8" w:space="0" w:color="000000"/>
            </w:tcBorders>
            <w:shd w:val="clear" w:color="auto" w:fill="92D050"/>
          </w:tcPr>
          <w:p>
            <w:pPr>
              <w:pStyle w:val="TableParagraph"/>
              <w:spacing w:before="131"/>
              <w:ind w:left="226" w:right="226"/>
              <w:rPr>
                <w:b/>
                <w:sz w:val="18"/>
              </w:rPr>
            </w:pPr>
            <w:r>
              <w:rPr>
                <w:b/>
                <w:sz w:val="18"/>
              </w:rPr>
              <w:t>Porcentaje</w:t>
            </w:r>
          </w:p>
        </w:tc>
      </w:tr>
      <w:tr>
        <w:trPr>
          <w:trHeight w:val="295" w:hRule="exact"/>
        </w:trPr>
        <w:tc>
          <w:tcPr>
            <w:tcW w:w="3166" w:type="dxa"/>
            <w:tcBorders>
              <w:top w:val="single" w:sz="8" w:space="0" w:color="000000"/>
            </w:tcBorders>
          </w:tcPr>
          <w:p>
            <w:pPr>
              <w:pStyle w:val="TableParagraph"/>
              <w:spacing w:before="35"/>
              <w:ind w:left="64"/>
              <w:jc w:val="left"/>
              <w:rPr>
                <w:sz w:val="18"/>
              </w:rPr>
            </w:pPr>
            <w:r>
              <w:rPr>
                <w:sz w:val="18"/>
              </w:rPr>
              <w:t>PAN</w:t>
            </w:r>
          </w:p>
        </w:tc>
        <w:tc>
          <w:tcPr>
            <w:tcW w:w="2136" w:type="dxa"/>
            <w:tcBorders>
              <w:top w:val="single" w:sz="8" w:space="0" w:color="000000"/>
            </w:tcBorders>
          </w:tcPr>
          <w:p>
            <w:pPr>
              <w:pStyle w:val="TableParagraph"/>
              <w:spacing w:before="73"/>
              <w:ind w:left="893" w:right="893"/>
              <w:rPr>
                <w:sz w:val="18"/>
              </w:rPr>
            </w:pPr>
            <w:r>
              <w:rPr>
                <w:sz w:val="18"/>
              </w:rPr>
              <w:t>16</w:t>
            </w:r>
          </w:p>
        </w:tc>
        <w:tc>
          <w:tcPr>
            <w:tcW w:w="2282" w:type="dxa"/>
            <w:tcBorders>
              <w:top w:val="single" w:sz="8" w:space="0" w:color="000000"/>
            </w:tcBorders>
          </w:tcPr>
          <w:p>
            <w:pPr>
              <w:pStyle w:val="TableParagraph"/>
              <w:spacing w:before="73"/>
              <w:ind w:right="1"/>
              <w:rPr>
                <w:sz w:val="18"/>
              </w:rPr>
            </w:pPr>
            <w:r>
              <w:rPr>
                <w:w w:val="99"/>
                <w:sz w:val="18"/>
              </w:rPr>
              <w:t>1</w:t>
            </w:r>
          </w:p>
        </w:tc>
        <w:tc>
          <w:tcPr>
            <w:tcW w:w="1433" w:type="dxa"/>
            <w:tcBorders>
              <w:top w:val="single" w:sz="8" w:space="0" w:color="000000"/>
            </w:tcBorders>
          </w:tcPr>
          <w:p>
            <w:pPr>
              <w:pStyle w:val="TableParagraph"/>
              <w:spacing w:before="73"/>
              <w:ind w:left="386" w:right="386"/>
              <w:rPr>
                <w:sz w:val="18"/>
              </w:rPr>
            </w:pPr>
            <w:r>
              <w:rPr>
                <w:sz w:val="18"/>
              </w:rPr>
              <w:t>90.42%</w:t>
            </w:r>
          </w:p>
        </w:tc>
      </w:tr>
      <w:tr>
        <w:trPr>
          <w:trHeight w:val="290" w:hRule="exact"/>
        </w:trPr>
        <w:tc>
          <w:tcPr>
            <w:tcW w:w="3166" w:type="dxa"/>
          </w:tcPr>
          <w:p>
            <w:pPr>
              <w:pStyle w:val="TableParagraph"/>
              <w:spacing w:before="37"/>
              <w:ind w:left="64"/>
              <w:jc w:val="left"/>
              <w:rPr>
                <w:sz w:val="18"/>
              </w:rPr>
            </w:pPr>
            <w:r>
              <w:rPr>
                <w:sz w:val="18"/>
              </w:rPr>
              <w:t>PRD</w:t>
            </w:r>
          </w:p>
        </w:tc>
        <w:tc>
          <w:tcPr>
            <w:tcW w:w="2136" w:type="dxa"/>
          </w:tcPr>
          <w:p>
            <w:pPr>
              <w:pStyle w:val="TableParagraph"/>
              <w:spacing w:before="73"/>
              <w:ind w:right="3"/>
              <w:rPr>
                <w:sz w:val="18"/>
              </w:rPr>
            </w:pPr>
            <w:r>
              <w:rPr>
                <w:w w:val="99"/>
                <w:sz w:val="18"/>
              </w:rPr>
              <w:t>3</w:t>
            </w:r>
          </w:p>
        </w:tc>
        <w:tc>
          <w:tcPr>
            <w:tcW w:w="2282" w:type="dxa"/>
          </w:tcPr>
          <w:p>
            <w:pPr>
              <w:pStyle w:val="TableParagraph"/>
              <w:spacing w:before="73"/>
              <w:ind w:right="1"/>
              <w:rPr>
                <w:sz w:val="18"/>
              </w:rPr>
            </w:pPr>
            <w:r>
              <w:rPr>
                <w:w w:val="99"/>
                <w:sz w:val="18"/>
              </w:rPr>
              <w:t>1</w:t>
            </w:r>
          </w:p>
        </w:tc>
        <w:tc>
          <w:tcPr>
            <w:tcW w:w="1433" w:type="dxa"/>
          </w:tcPr>
          <w:p>
            <w:pPr>
              <w:pStyle w:val="TableParagraph"/>
              <w:spacing w:before="73"/>
              <w:ind w:left="386" w:right="386"/>
              <w:rPr>
                <w:sz w:val="18"/>
              </w:rPr>
            </w:pPr>
            <w:r>
              <w:rPr>
                <w:sz w:val="18"/>
              </w:rPr>
              <w:t>94.61%</w:t>
            </w:r>
          </w:p>
        </w:tc>
      </w:tr>
      <w:tr>
        <w:trPr>
          <w:trHeight w:val="293" w:hRule="exact"/>
        </w:trPr>
        <w:tc>
          <w:tcPr>
            <w:tcW w:w="3166" w:type="dxa"/>
          </w:tcPr>
          <w:p>
            <w:pPr>
              <w:pStyle w:val="TableParagraph"/>
              <w:spacing w:before="37"/>
              <w:ind w:left="64"/>
              <w:jc w:val="left"/>
              <w:rPr>
                <w:sz w:val="18"/>
              </w:rPr>
            </w:pPr>
            <w:r>
              <w:rPr>
                <w:sz w:val="18"/>
              </w:rPr>
              <w:t>PRD-MC</w:t>
            </w:r>
          </w:p>
        </w:tc>
        <w:tc>
          <w:tcPr>
            <w:tcW w:w="2136" w:type="dxa"/>
          </w:tcPr>
          <w:p>
            <w:pPr>
              <w:pStyle w:val="TableParagraph"/>
              <w:spacing w:before="73"/>
              <w:ind w:right="3"/>
              <w:rPr>
                <w:sz w:val="18"/>
              </w:rPr>
            </w:pPr>
            <w:r>
              <w:rPr>
                <w:w w:val="99"/>
                <w:sz w:val="18"/>
              </w:rPr>
              <w:t>1</w:t>
            </w:r>
          </w:p>
        </w:tc>
        <w:tc>
          <w:tcPr>
            <w:tcW w:w="2282" w:type="dxa"/>
          </w:tcPr>
          <w:p>
            <w:pPr>
              <w:pStyle w:val="TableParagraph"/>
              <w:spacing w:before="73"/>
              <w:ind w:right="1"/>
              <w:rPr>
                <w:sz w:val="18"/>
              </w:rPr>
            </w:pPr>
            <w:r>
              <w:rPr>
                <w:w w:val="99"/>
                <w:sz w:val="18"/>
              </w:rPr>
              <w:t>1</w:t>
            </w:r>
          </w:p>
        </w:tc>
        <w:tc>
          <w:tcPr>
            <w:tcW w:w="1433" w:type="dxa"/>
          </w:tcPr>
          <w:p>
            <w:pPr>
              <w:pStyle w:val="TableParagraph"/>
              <w:spacing w:before="73"/>
              <w:ind w:left="386" w:right="385"/>
              <w:rPr>
                <w:sz w:val="18"/>
              </w:rPr>
            </w:pPr>
            <w:r>
              <w:rPr>
                <w:sz w:val="18"/>
              </w:rPr>
              <w:t>5.58%</w:t>
            </w:r>
          </w:p>
        </w:tc>
      </w:tr>
      <w:tr>
        <w:trPr>
          <w:trHeight w:val="290" w:hRule="exact"/>
        </w:trPr>
        <w:tc>
          <w:tcPr>
            <w:tcW w:w="3166" w:type="dxa"/>
          </w:tcPr>
          <w:p>
            <w:pPr>
              <w:pStyle w:val="TableParagraph"/>
              <w:spacing w:before="35"/>
              <w:ind w:left="64"/>
              <w:jc w:val="left"/>
              <w:rPr>
                <w:sz w:val="18"/>
              </w:rPr>
            </w:pPr>
            <w:r>
              <w:rPr>
                <w:sz w:val="18"/>
              </w:rPr>
              <w:t>PRD-PT</w:t>
            </w:r>
          </w:p>
        </w:tc>
        <w:tc>
          <w:tcPr>
            <w:tcW w:w="2136" w:type="dxa"/>
          </w:tcPr>
          <w:p>
            <w:pPr>
              <w:pStyle w:val="TableParagraph"/>
              <w:spacing w:before="73"/>
              <w:ind w:right="3"/>
              <w:rPr>
                <w:sz w:val="18"/>
              </w:rPr>
            </w:pPr>
            <w:r>
              <w:rPr>
                <w:w w:val="99"/>
                <w:sz w:val="18"/>
              </w:rPr>
              <w:t>6</w:t>
            </w:r>
          </w:p>
        </w:tc>
        <w:tc>
          <w:tcPr>
            <w:tcW w:w="2282" w:type="dxa"/>
          </w:tcPr>
          <w:p>
            <w:pPr>
              <w:pStyle w:val="TableParagraph"/>
              <w:spacing w:before="73"/>
              <w:ind w:right="1"/>
              <w:rPr>
                <w:sz w:val="18"/>
              </w:rPr>
            </w:pPr>
            <w:r>
              <w:rPr>
                <w:w w:val="99"/>
                <w:sz w:val="18"/>
              </w:rPr>
              <w:t>0</w:t>
            </w:r>
          </w:p>
        </w:tc>
        <w:tc>
          <w:tcPr>
            <w:tcW w:w="1433" w:type="dxa"/>
          </w:tcPr>
          <w:p>
            <w:pPr>
              <w:pStyle w:val="TableParagraph"/>
              <w:spacing w:before="73"/>
              <w:ind w:left="386" w:right="386"/>
              <w:rPr>
                <w:sz w:val="18"/>
              </w:rPr>
            </w:pPr>
            <w:r>
              <w:rPr>
                <w:sz w:val="18"/>
              </w:rPr>
              <w:t>N/A</w:t>
            </w:r>
          </w:p>
        </w:tc>
      </w:tr>
      <w:tr>
        <w:trPr>
          <w:trHeight w:val="290" w:hRule="exact"/>
        </w:trPr>
        <w:tc>
          <w:tcPr>
            <w:tcW w:w="3166" w:type="dxa"/>
          </w:tcPr>
          <w:p>
            <w:pPr>
              <w:pStyle w:val="TableParagraph"/>
              <w:spacing w:before="35"/>
              <w:ind w:left="64"/>
              <w:jc w:val="left"/>
              <w:rPr>
                <w:sz w:val="18"/>
              </w:rPr>
            </w:pPr>
            <w:r>
              <w:rPr>
                <w:sz w:val="18"/>
              </w:rPr>
              <w:t>PRD-PT-MC</w:t>
            </w:r>
          </w:p>
        </w:tc>
        <w:tc>
          <w:tcPr>
            <w:tcW w:w="2136" w:type="dxa"/>
          </w:tcPr>
          <w:p>
            <w:pPr>
              <w:pStyle w:val="TableParagraph"/>
              <w:spacing w:before="73"/>
              <w:ind w:right="3"/>
              <w:rPr>
                <w:sz w:val="18"/>
              </w:rPr>
            </w:pPr>
            <w:r>
              <w:rPr>
                <w:w w:val="99"/>
                <w:sz w:val="18"/>
              </w:rPr>
              <w:t>1</w:t>
            </w:r>
          </w:p>
        </w:tc>
        <w:tc>
          <w:tcPr>
            <w:tcW w:w="2282" w:type="dxa"/>
          </w:tcPr>
          <w:p>
            <w:pPr>
              <w:pStyle w:val="TableParagraph"/>
              <w:spacing w:before="73"/>
              <w:ind w:right="1"/>
              <w:rPr>
                <w:sz w:val="18"/>
              </w:rPr>
            </w:pPr>
            <w:r>
              <w:rPr>
                <w:w w:val="99"/>
                <w:sz w:val="18"/>
              </w:rPr>
              <w:t>1</w:t>
            </w:r>
          </w:p>
        </w:tc>
        <w:tc>
          <w:tcPr>
            <w:tcW w:w="1433" w:type="dxa"/>
          </w:tcPr>
          <w:p>
            <w:pPr>
              <w:pStyle w:val="TableParagraph"/>
              <w:spacing w:before="73"/>
              <w:ind w:left="386" w:right="386"/>
              <w:rPr>
                <w:sz w:val="18"/>
              </w:rPr>
            </w:pPr>
            <w:r>
              <w:rPr>
                <w:sz w:val="18"/>
              </w:rPr>
              <w:t>N/A</w:t>
            </w:r>
          </w:p>
        </w:tc>
      </w:tr>
      <w:tr>
        <w:trPr>
          <w:trHeight w:val="290" w:hRule="exact"/>
        </w:trPr>
        <w:tc>
          <w:tcPr>
            <w:tcW w:w="3166" w:type="dxa"/>
          </w:tcPr>
          <w:p>
            <w:pPr>
              <w:pStyle w:val="TableParagraph"/>
              <w:spacing w:before="37"/>
              <w:ind w:left="64"/>
              <w:jc w:val="left"/>
              <w:rPr>
                <w:sz w:val="18"/>
              </w:rPr>
            </w:pPr>
            <w:r>
              <w:rPr>
                <w:sz w:val="18"/>
              </w:rPr>
              <w:t>PRI-PVEM-NA</w:t>
            </w:r>
          </w:p>
        </w:tc>
        <w:tc>
          <w:tcPr>
            <w:tcW w:w="2136" w:type="dxa"/>
          </w:tcPr>
          <w:p>
            <w:pPr>
              <w:pStyle w:val="TableParagraph"/>
              <w:spacing w:before="73"/>
              <w:ind w:left="893" w:right="893"/>
              <w:rPr>
                <w:sz w:val="18"/>
              </w:rPr>
            </w:pPr>
            <w:r>
              <w:rPr>
                <w:sz w:val="18"/>
              </w:rPr>
              <w:t>94</w:t>
            </w:r>
          </w:p>
        </w:tc>
        <w:tc>
          <w:tcPr>
            <w:tcW w:w="2282" w:type="dxa"/>
          </w:tcPr>
          <w:p>
            <w:pPr>
              <w:pStyle w:val="TableParagraph"/>
              <w:spacing w:before="73"/>
              <w:ind w:left="1017" w:right="1015"/>
              <w:rPr>
                <w:sz w:val="18"/>
              </w:rPr>
            </w:pPr>
            <w:r>
              <w:rPr>
                <w:sz w:val="18"/>
              </w:rPr>
              <w:t>26</w:t>
            </w:r>
          </w:p>
        </w:tc>
        <w:tc>
          <w:tcPr>
            <w:tcW w:w="1433" w:type="dxa"/>
          </w:tcPr>
          <w:p>
            <w:pPr>
              <w:pStyle w:val="TableParagraph"/>
              <w:spacing w:before="73"/>
              <w:ind w:left="386" w:right="386"/>
              <w:rPr>
                <w:sz w:val="18"/>
              </w:rPr>
            </w:pPr>
            <w:r>
              <w:rPr>
                <w:sz w:val="18"/>
              </w:rPr>
              <w:t>59.84%</w:t>
            </w:r>
          </w:p>
        </w:tc>
      </w:tr>
      <w:tr>
        <w:trPr>
          <w:trHeight w:val="293" w:hRule="exact"/>
        </w:trPr>
        <w:tc>
          <w:tcPr>
            <w:tcW w:w="3166" w:type="dxa"/>
          </w:tcPr>
          <w:p>
            <w:pPr>
              <w:pStyle w:val="TableParagraph"/>
              <w:spacing w:before="37"/>
              <w:ind w:left="64"/>
              <w:jc w:val="left"/>
              <w:rPr>
                <w:sz w:val="18"/>
              </w:rPr>
            </w:pPr>
            <w:r>
              <w:rPr>
                <w:sz w:val="18"/>
              </w:rPr>
              <w:t>PT</w:t>
            </w:r>
          </w:p>
        </w:tc>
        <w:tc>
          <w:tcPr>
            <w:tcW w:w="2136" w:type="dxa"/>
          </w:tcPr>
          <w:p>
            <w:pPr>
              <w:pStyle w:val="TableParagraph"/>
              <w:spacing w:before="73"/>
              <w:ind w:right="3"/>
              <w:rPr>
                <w:sz w:val="18"/>
              </w:rPr>
            </w:pPr>
            <w:r>
              <w:rPr>
                <w:w w:val="99"/>
                <w:sz w:val="18"/>
              </w:rPr>
              <w:t>2</w:t>
            </w:r>
          </w:p>
        </w:tc>
        <w:tc>
          <w:tcPr>
            <w:tcW w:w="2282" w:type="dxa"/>
          </w:tcPr>
          <w:p>
            <w:pPr>
              <w:pStyle w:val="TableParagraph"/>
              <w:spacing w:before="73"/>
              <w:ind w:right="1"/>
              <w:rPr>
                <w:sz w:val="18"/>
              </w:rPr>
            </w:pPr>
            <w:r>
              <w:rPr>
                <w:w w:val="99"/>
                <w:sz w:val="18"/>
              </w:rPr>
              <w:t>1</w:t>
            </w:r>
          </w:p>
        </w:tc>
        <w:tc>
          <w:tcPr>
            <w:tcW w:w="1433" w:type="dxa"/>
          </w:tcPr>
          <w:p>
            <w:pPr>
              <w:pStyle w:val="TableParagraph"/>
              <w:spacing w:before="73"/>
              <w:ind w:left="386" w:right="386"/>
              <w:rPr>
                <w:sz w:val="18"/>
              </w:rPr>
            </w:pPr>
            <w:r>
              <w:rPr>
                <w:sz w:val="18"/>
              </w:rPr>
              <w:t>95.80%</w:t>
            </w:r>
          </w:p>
        </w:tc>
      </w:tr>
      <w:tr>
        <w:trPr>
          <w:trHeight w:val="290" w:hRule="exact"/>
        </w:trPr>
        <w:tc>
          <w:tcPr>
            <w:tcW w:w="3166" w:type="dxa"/>
          </w:tcPr>
          <w:p>
            <w:pPr>
              <w:pStyle w:val="TableParagraph"/>
              <w:spacing w:before="35"/>
              <w:ind w:left="64"/>
              <w:jc w:val="left"/>
              <w:rPr>
                <w:sz w:val="18"/>
              </w:rPr>
            </w:pPr>
            <w:r>
              <w:rPr>
                <w:sz w:val="18"/>
              </w:rPr>
              <w:t>PT-MC</w:t>
            </w:r>
          </w:p>
        </w:tc>
        <w:tc>
          <w:tcPr>
            <w:tcW w:w="2136" w:type="dxa"/>
          </w:tcPr>
          <w:p>
            <w:pPr>
              <w:pStyle w:val="TableParagraph"/>
              <w:spacing w:before="73"/>
              <w:ind w:right="3"/>
              <w:rPr>
                <w:sz w:val="18"/>
              </w:rPr>
            </w:pPr>
            <w:r>
              <w:rPr>
                <w:w w:val="99"/>
                <w:sz w:val="18"/>
              </w:rPr>
              <w:t>2</w:t>
            </w:r>
          </w:p>
        </w:tc>
        <w:tc>
          <w:tcPr>
            <w:tcW w:w="2282" w:type="dxa"/>
          </w:tcPr>
          <w:p>
            <w:pPr>
              <w:pStyle w:val="TableParagraph"/>
              <w:spacing w:before="73"/>
              <w:ind w:right="1"/>
              <w:rPr>
                <w:sz w:val="18"/>
              </w:rPr>
            </w:pPr>
            <w:r>
              <w:rPr>
                <w:w w:val="99"/>
                <w:sz w:val="18"/>
              </w:rPr>
              <w:t>1</w:t>
            </w:r>
          </w:p>
        </w:tc>
        <w:tc>
          <w:tcPr>
            <w:tcW w:w="1433" w:type="dxa"/>
          </w:tcPr>
          <w:p>
            <w:pPr>
              <w:pStyle w:val="TableParagraph"/>
              <w:spacing w:before="73"/>
              <w:ind w:left="386" w:right="386"/>
              <w:rPr>
                <w:sz w:val="18"/>
              </w:rPr>
            </w:pPr>
            <w:r>
              <w:rPr>
                <w:sz w:val="18"/>
              </w:rPr>
              <w:t>76.71%</w:t>
            </w:r>
          </w:p>
        </w:tc>
      </w:tr>
      <w:tr>
        <w:trPr>
          <w:trHeight w:val="290" w:hRule="exact"/>
        </w:trPr>
        <w:tc>
          <w:tcPr>
            <w:tcW w:w="3166" w:type="dxa"/>
            <w:shd w:val="clear" w:color="auto" w:fill="92D050"/>
          </w:tcPr>
          <w:p>
            <w:pPr>
              <w:pStyle w:val="TableParagraph"/>
              <w:spacing w:before="68"/>
              <w:ind w:left="1343" w:right="1342"/>
              <w:rPr>
                <w:b/>
                <w:sz w:val="18"/>
              </w:rPr>
            </w:pPr>
            <w:r>
              <w:rPr>
                <w:b/>
                <w:sz w:val="18"/>
              </w:rPr>
              <w:t>Total</w:t>
            </w:r>
          </w:p>
        </w:tc>
        <w:tc>
          <w:tcPr>
            <w:tcW w:w="2136" w:type="dxa"/>
            <w:shd w:val="clear" w:color="auto" w:fill="92D050"/>
          </w:tcPr>
          <w:p>
            <w:pPr>
              <w:pStyle w:val="TableParagraph"/>
              <w:spacing w:before="68"/>
              <w:ind w:left="893" w:right="893"/>
              <w:rPr>
                <w:b/>
                <w:sz w:val="18"/>
              </w:rPr>
            </w:pPr>
            <w:r>
              <w:rPr>
                <w:b/>
                <w:sz w:val="18"/>
              </w:rPr>
              <w:t>125</w:t>
            </w:r>
          </w:p>
        </w:tc>
        <w:tc>
          <w:tcPr>
            <w:tcW w:w="2282" w:type="dxa"/>
            <w:shd w:val="clear" w:color="auto" w:fill="92D050"/>
          </w:tcPr>
          <w:p>
            <w:pPr>
              <w:pStyle w:val="TableParagraph"/>
              <w:spacing w:before="68"/>
              <w:ind w:left="1017" w:right="1015"/>
              <w:rPr>
                <w:b/>
                <w:sz w:val="18"/>
              </w:rPr>
            </w:pPr>
            <w:r>
              <w:rPr>
                <w:b/>
                <w:sz w:val="18"/>
              </w:rPr>
              <w:t>32</w:t>
            </w:r>
          </w:p>
        </w:tc>
        <w:tc>
          <w:tcPr>
            <w:tcW w:w="1433" w:type="dxa"/>
            <w:shd w:val="clear" w:color="auto" w:fill="92D050"/>
          </w:tcPr>
          <w:p>
            <w:pPr/>
          </w:p>
        </w:tc>
      </w:tr>
    </w:tbl>
    <w:p>
      <w:pPr>
        <w:spacing w:before="85"/>
        <w:ind w:left="194" w:right="0" w:firstLine="0"/>
        <w:jc w:val="left"/>
        <w:rPr>
          <w:sz w:val="16"/>
        </w:rPr>
      </w:pPr>
      <w:r>
        <w:rPr>
          <w:sz w:val="16"/>
        </w:rPr>
        <w:t>Fuente: Elaboración propia con datos del INFOEM y del IEEM</w:t>
      </w:r>
    </w:p>
    <w:p>
      <w:pPr>
        <w:pStyle w:val="BodyText"/>
        <w:rPr>
          <w:sz w:val="20"/>
        </w:rPr>
      </w:pPr>
    </w:p>
    <w:p>
      <w:pPr>
        <w:pStyle w:val="BodyText"/>
        <w:spacing w:before="1"/>
      </w:pPr>
    </w:p>
    <w:p>
      <w:pPr>
        <w:pStyle w:val="BodyText"/>
        <w:spacing w:line="360" w:lineRule="auto" w:before="70"/>
        <w:ind w:left="168" w:right="174"/>
        <w:jc w:val="both"/>
      </w:pPr>
      <w:r>
        <w:rPr/>
        <w:t>En lo que respecta al año 2015, destacan los municipios gobernados por NA con</w:t>
      </w:r>
      <w:r>
        <w:rPr>
          <w:spacing w:val="-35"/>
        </w:rPr>
        <w:t> </w:t>
      </w:r>
      <w:r>
        <w:rPr/>
        <w:t>un 68.48%, seguido de los municipios gobernados por el PT con 53.49% y la alianza PAN-PT con 50.86%. En sentido opuesto se encuentran los municipios gobernados por</w:t>
      </w:r>
      <w:r>
        <w:rPr>
          <w:spacing w:val="-7"/>
        </w:rPr>
        <w:t> </w:t>
      </w:r>
      <w:r>
        <w:rPr/>
        <w:t>las</w:t>
      </w:r>
      <w:r>
        <w:rPr>
          <w:spacing w:val="-9"/>
        </w:rPr>
        <w:t> </w:t>
      </w:r>
      <w:r>
        <w:rPr/>
        <w:t>alianzas</w:t>
      </w:r>
      <w:r>
        <w:rPr>
          <w:spacing w:val="-7"/>
        </w:rPr>
        <w:t> </w:t>
      </w:r>
      <w:r>
        <w:rPr/>
        <w:t>PRI-VEM-NA</w:t>
      </w:r>
      <w:r>
        <w:rPr>
          <w:spacing w:val="-7"/>
        </w:rPr>
        <w:t> </w:t>
      </w:r>
      <w:r>
        <w:rPr/>
        <w:t>con</w:t>
      </w:r>
      <w:r>
        <w:rPr>
          <w:spacing w:val="-8"/>
        </w:rPr>
        <w:t> </w:t>
      </w:r>
      <w:r>
        <w:rPr/>
        <w:t>32.86%,</w:t>
      </w:r>
      <w:r>
        <w:rPr>
          <w:spacing w:val="-8"/>
        </w:rPr>
        <w:t> </w:t>
      </w:r>
      <w:r>
        <w:rPr/>
        <w:t>PES</w:t>
      </w:r>
      <w:r>
        <w:rPr>
          <w:spacing w:val="-5"/>
        </w:rPr>
        <w:t> </w:t>
      </w:r>
      <w:r>
        <w:rPr/>
        <w:t>con</w:t>
      </w:r>
      <w:r>
        <w:rPr>
          <w:spacing w:val="-8"/>
        </w:rPr>
        <w:t> </w:t>
      </w:r>
      <w:r>
        <w:rPr/>
        <w:t>un</w:t>
      </w:r>
      <w:r>
        <w:rPr>
          <w:spacing w:val="-8"/>
        </w:rPr>
        <w:t> </w:t>
      </w:r>
      <w:r>
        <w:rPr/>
        <w:t>29.9%</w:t>
      </w:r>
      <w:r>
        <w:rPr>
          <w:spacing w:val="-7"/>
        </w:rPr>
        <w:t> </w:t>
      </w:r>
      <w:r>
        <w:rPr/>
        <w:t>y</w:t>
      </w:r>
      <w:r>
        <w:rPr>
          <w:spacing w:val="-9"/>
        </w:rPr>
        <w:t> </w:t>
      </w:r>
      <w:r>
        <w:rPr/>
        <w:t>el</w:t>
      </w:r>
      <w:r>
        <w:rPr>
          <w:spacing w:val="-10"/>
        </w:rPr>
        <w:t> </w:t>
      </w:r>
      <w:r>
        <w:rPr/>
        <w:t>PRD</w:t>
      </w:r>
      <w:r>
        <w:rPr>
          <w:spacing w:val="-8"/>
        </w:rPr>
        <w:t> </w:t>
      </w:r>
      <w:r>
        <w:rPr/>
        <w:t>11.56%</w:t>
      </w:r>
      <w:r>
        <w:rPr>
          <w:spacing w:val="-4"/>
        </w:rPr>
        <w:t> </w:t>
      </w:r>
      <w:r>
        <w:rPr/>
        <w:t>(ver tabla</w:t>
      </w:r>
      <w:r>
        <w:rPr>
          <w:spacing w:val="-4"/>
        </w:rPr>
        <w:t> </w:t>
      </w:r>
      <w:r>
        <w:rPr/>
        <w:t>3.19).</w:t>
      </w:r>
    </w:p>
    <w:p>
      <w:pPr>
        <w:spacing w:after="0" w:line="360" w:lineRule="auto"/>
        <w:jc w:val="both"/>
        <w:sectPr>
          <w:pgSz w:w="12240" w:h="15840"/>
          <w:pgMar w:header="0" w:footer="975" w:top="1420" w:bottom="1220" w:left="1440" w:right="1520"/>
        </w:sectPr>
      </w:pPr>
    </w:p>
    <w:tbl>
      <w:tblPr>
        <w:tblW w:w="0" w:type="auto"/>
        <w:jc w:val="left"/>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66"/>
        <w:gridCol w:w="2136"/>
        <w:gridCol w:w="2282"/>
        <w:gridCol w:w="1433"/>
      </w:tblGrid>
      <w:tr>
        <w:trPr>
          <w:trHeight w:val="306" w:hRule="exact"/>
        </w:trPr>
        <w:tc>
          <w:tcPr>
            <w:tcW w:w="9018" w:type="dxa"/>
            <w:gridSpan w:val="4"/>
            <w:tcBorders>
              <w:bottom w:val="single" w:sz="4" w:space="0" w:color="000000"/>
            </w:tcBorders>
            <w:shd w:val="clear" w:color="auto" w:fill="92D050"/>
          </w:tcPr>
          <w:p>
            <w:pPr>
              <w:pStyle w:val="TableParagraph"/>
              <w:spacing w:before="81"/>
              <w:ind w:left="681"/>
              <w:jc w:val="left"/>
              <w:rPr>
                <w:b/>
                <w:sz w:val="18"/>
              </w:rPr>
            </w:pPr>
            <w:r>
              <w:rPr>
                <w:b/>
                <w:sz w:val="18"/>
              </w:rPr>
              <w:t>Tabla 3.19. Cumplimiento de la ley de transparencia vs partido gobernante en el año 2015</w:t>
            </w:r>
          </w:p>
        </w:tc>
      </w:tr>
      <w:tr>
        <w:trPr>
          <w:trHeight w:val="497" w:hRule="exact"/>
        </w:trPr>
        <w:tc>
          <w:tcPr>
            <w:tcW w:w="3166" w:type="dxa"/>
            <w:tcBorders>
              <w:top w:val="single" w:sz="4" w:space="0" w:color="000000"/>
              <w:left w:val="single" w:sz="8" w:space="0" w:color="000000"/>
              <w:bottom w:val="single" w:sz="8" w:space="0" w:color="000000"/>
              <w:right w:val="single" w:sz="8" w:space="0" w:color="000000"/>
            </w:tcBorders>
            <w:shd w:val="clear" w:color="auto" w:fill="92D050"/>
          </w:tcPr>
          <w:p>
            <w:pPr>
              <w:pStyle w:val="TableParagraph"/>
              <w:spacing w:before="128"/>
              <w:ind w:left="1242" w:right="1243"/>
              <w:rPr>
                <w:b/>
                <w:sz w:val="18"/>
              </w:rPr>
            </w:pPr>
            <w:r>
              <w:rPr>
                <w:b/>
                <w:sz w:val="18"/>
              </w:rPr>
              <w:t>Partido</w:t>
            </w:r>
          </w:p>
        </w:tc>
        <w:tc>
          <w:tcPr>
            <w:tcW w:w="2136" w:type="dxa"/>
            <w:tcBorders>
              <w:top w:val="single" w:sz="4" w:space="0" w:color="000000"/>
              <w:left w:val="single" w:sz="8" w:space="0" w:color="000000"/>
              <w:bottom w:val="single" w:sz="8" w:space="0" w:color="000000"/>
              <w:right w:val="single" w:sz="8" w:space="0" w:color="000000"/>
            </w:tcBorders>
            <w:shd w:val="clear" w:color="auto" w:fill="92D050"/>
          </w:tcPr>
          <w:p>
            <w:pPr>
              <w:pStyle w:val="TableParagraph"/>
              <w:spacing w:before="25"/>
              <w:ind w:left="542" w:right="525" w:firstLine="43"/>
              <w:jc w:val="left"/>
              <w:rPr>
                <w:b/>
                <w:sz w:val="18"/>
              </w:rPr>
            </w:pPr>
            <w:r>
              <w:rPr>
                <w:b/>
                <w:sz w:val="18"/>
              </w:rPr>
              <w:t>Municipios gobernados</w:t>
            </w:r>
          </w:p>
        </w:tc>
        <w:tc>
          <w:tcPr>
            <w:tcW w:w="2282" w:type="dxa"/>
            <w:tcBorders>
              <w:top w:val="single" w:sz="4" w:space="0" w:color="000000"/>
              <w:left w:val="single" w:sz="8" w:space="0" w:color="000000"/>
              <w:bottom w:val="single" w:sz="8" w:space="0" w:color="000000"/>
              <w:right w:val="single" w:sz="8" w:space="0" w:color="000000"/>
            </w:tcBorders>
            <w:shd w:val="clear" w:color="auto" w:fill="92D050"/>
          </w:tcPr>
          <w:p>
            <w:pPr>
              <w:pStyle w:val="TableParagraph"/>
              <w:spacing w:before="128"/>
              <w:ind w:left="176" w:right="176"/>
              <w:rPr>
                <w:b/>
                <w:sz w:val="18"/>
              </w:rPr>
            </w:pPr>
            <w:r>
              <w:rPr>
                <w:b/>
                <w:sz w:val="18"/>
              </w:rPr>
              <w:t>Municipios evaluados</w:t>
            </w:r>
          </w:p>
        </w:tc>
        <w:tc>
          <w:tcPr>
            <w:tcW w:w="1433" w:type="dxa"/>
            <w:tcBorders>
              <w:top w:val="single" w:sz="4" w:space="0" w:color="000000"/>
              <w:left w:val="single" w:sz="8" w:space="0" w:color="000000"/>
              <w:bottom w:val="single" w:sz="8" w:space="0" w:color="000000"/>
              <w:right w:val="single" w:sz="8" w:space="0" w:color="000000"/>
            </w:tcBorders>
            <w:shd w:val="clear" w:color="auto" w:fill="92D050"/>
          </w:tcPr>
          <w:p>
            <w:pPr>
              <w:pStyle w:val="TableParagraph"/>
              <w:spacing w:before="128"/>
              <w:ind w:left="226" w:right="226"/>
              <w:rPr>
                <w:b/>
                <w:sz w:val="18"/>
              </w:rPr>
            </w:pPr>
            <w:r>
              <w:rPr>
                <w:b/>
                <w:sz w:val="18"/>
              </w:rPr>
              <w:t>Porcentaje</w:t>
            </w:r>
          </w:p>
        </w:tc>
      </w:tr>
      <w:tr>
        <w:trPr>
          <w:trHeight w:val="295" w:hRule="exact"/>
        </w:trPr>
        <w:tc>
          <w:tcPr>
            <w:tcW w:w="3166" w:type="dxa"/>
            <w:tcBorders>
              <w:top w:val="single" w:sz="8" w:space="0" w:color="000000"/>
            </w:tcBorders>
          </w:tcPr>
          <w:p>
            <w:pPr>
              <w:pStyle w:val="TableParagraph"/>
              <w:spacing w:before="32"/>
              <w:ind w:left="64"/>
              <w:jc w:val="left"/>
              <w:rPr>
                <w:sz w:val="18"/>
              </w:rPr>
            </w:pPr>
            <w:r>
              <w:rPr>
                <w:sz w:val="18"/>
              </w:rPr>
              <w:t>ES</w:t>
            </w:r>
          </w:p>
        </w:tc>
        <w:tc>
          <w:tcPr>
            <w:tcW w:w="2136" w:type="dxa"/>
            <w:tcBorders>
              <w:top w:val="single" w:sz="8" w:space="0" w:color="000000"/>
            </w:tcBorders>
          </w:tcPr>
          <w:p>
            <w:pPr>
              <w:pStyle w:val="TableParagraph"/>
              <w:spacing w:before="70"/>
              <w:ind w:right="3"/>
              <w:rPr>
                <w:sz w:val="18"/>
              </w:rPr>
            </w:pPr>
            <w:r>
              <w:rPr>
                <w:w w:val="99"/>
                <w:sz w:val="18"/>
              </w:rPr>
              <w:t>1</w:t>
            </w:r>
          </w:p>
        </w:tc>
        <w:tc>
          <w:tcPr>
            <w:tcW w:w="2282" w:type="dxa"/>
            <w:tcBorders>
              <w:top w:val="single" w:sz="8" w:space="0" w:color="000000"/>
            </w:tcBorders>
          </w:tcPr>
          <w:p>
            <w:pPr>
              <w:pStyle w:val="TableParagraph"/>
              <w:spacing w:before="70"/>
              <w:ind w:right="1"/>
              <w:rPr>
                <w:sz w:val="18"/>
              </w:rPr>
            </w:pPr>
            <w:r>
              <w:rPr>
                <w:w w:val="99"/>
                <w:sz w:val="18"/>
              </w:rPr>
              <w:t>0</w:t>
            </w:r>
          </w:p>
        </w:tc>
        <w:tc>
          <w:tcPr>
            <w:tcW w:w="1433" w:type="dxa"/>
            <w:tcBorders>
              <w:top w:val="single" w:sz="8" w:space="0" w:color="000000"/>
            </w:tcBorders>
          </w:tcPr>
          <w:p>
            <w:pPr>
              <w:pStyle w:val="TableParagraph"/>
              <w:spacing w:before="70"/>
              <w:ind w:left="386" w:right="386"/>
              <w:rPr>
                <w:sz w:val="18"/>
              </w:rPr>
            </w:pPr>
            <w:r>
              <w:rPr>
                <w:sz w:val="18"/>
              </w:rPr>
              <w:t>N/A</w:t>
            </w:r>
          </w:p>
        </w:tc>
      </w:tr>
      <w:tr>
        <w:trPr>
          <w:trHeight w:val="290" w:hRule="exact"/>
        </w:trPr>
        <w:tc>
          <w:tcPr>
            <w:tcW w:w="3166" w:type="dxa"/>
          </w:tcPr>
          <w:p>
            <w:pPr>
              <w:pStyle w:val="TableParagraph"/>
              <w:spacing w:before="34"/>
              <w:ind w:left="64"/>
              <w:jc w:val="left"/>
              <w:rPr>
                <w:sz w:val="18"/>
              </w:rPr>
            </w:pPr>
            <w:r>
              <w:rPr>
                <w:sz w:val="18"/>
              </w:rPr>
              <w:t>MC</w:t>
            </w:r>
          </w:p>
        </w:tc>
        <w:tc>
          <w:tcPr>
            <w:tcW w:w="2136" w:type="dxa"/>
          </w:tcPr>
          <w:p>
            <w:pPr>
              <w:pStyle w:val="TableParagraph"/>
              <w:spacing w:before="70"/>
              <w:ind w:right="3"/>
              <w:rPr>
                <w:sz w:val="18"/>
              </w:rPr>
            </w:pPr>
            <w:r>
              <w:rPr>
                <w:w w:val="99"/>
                <w:sz w:val="18"/>
              </w:rPr>
              <w:t>1</w:t>
            </w:r>
          </w:p>
        </w:tc>
        <w:tc>
          <w:tcPr>
            <w:tcW w:w="2282" w:type="dxa"/>
          </w:tcPr>
          <w:p>
            <w:pPr>
              <w:pStyle w:val="TableParagraph"/>
              <w:spacing w:before="70"/>
              <w:ind w:right="1"/>
              <w:rPr>
                <w:sz w:val="18"/>
              </w:rPr>
            </w:pPr>
            <w:r>
              <w:rPr>
                <w:w w:val="99"/>
                <w:sz w:val="18"/>
              </w:rPr>
              <w:t>0</w:t>
            </w:r>
          </w:p>
        </w:tc>
        <w:tc>
          <w:tcPr>
            <w:tcW w:w="1433" w:type="dxa"/>
          </w:tcPr>
          <w:p>
            <w:pPr>
              <w:pStyle w:val="TableParagraph"/>
              <w:spacing w:before="70"/>
              <w:ind w:left="386" w:right="386"/>
              <w:rPr>
                <w:sz w:val="18"/>
              </w:rPr>
            </w:pPr>
            <w:r>
              <w:rPr>
                <w:sz w:val="18"/>
              </w:rPr>
              <w:t>N/A</w:t>
            </w:r>
          </w:p>
        </w:tc>
      </w:tr>
      <w:tr>
        <w:trPr>
          <w:trHeight w:val="290" w:hRule="exact"/>
        </w:trPr>
        <w:tc>
          <w:tcPr>
            <w:tcW w:w="3166" w:type="dxa"/>
          </w:tcPr>
          <w:p>
            <w:pPr>
              <w:pStyle w:val="TableParagraph"/>
              <w:spacing w:before="34"/>
              <w:ind w:left="64"/>
              <w:jc w:val="left"/>
              <w:rPr>
                <w:sz w:val="18"/>
              </w:rPr>
            </w:pPr>
            <w:r>
              <w:rPr>
                <w:sz w:val="18"/>
              </w:rPr>
              <w:t>MORENA</w:t>
            </w:r>
          </w:p>
        </w:tc>
        <w:tc>
          <w:tcPr>
            <w:tcW w:w="2136" w:type="dxa"/>
          </w:tcPr>
          <w:p>
            <w:pPr>
              <w:pStyle w:val="TableParagraph"/>
              <w:spacing w:before="70"/>
              <w:ind w:right="3"/>
              <w:rPr>
                <w:sz w:val="18"/>
              </w:rPr>
            </w:pPr>
            <w:r>
              <w:rPr>
                <w:w w:val="99"/>
                <w:sz w:val="18"/>
              </w:rPr>
              <w:t>1</w:t>
            </w:r>
          </w:p>
        </w:tc>
        <w:tc>
          <w:tcPr>
            <w:tcW w:w="2282" w:type="dxa"/>
          </w:tcPr>
          <w:p>
            <w:pPr>
              <w:pStyle w:val="TableParagraph"/>
              <w:spacing w:before="70"/>
              <w:ind w:right="1"/>
              <w:rPr>
                <w:sz w:val="18"/>
              </w:rPr>
            </w:pPr>
            <w:r>
              <w:rPr>
                <w:w w:val="99"/>
                <w:sz w:val="18"/>
              </w:rPr>
              <w:t>0</w:t>
            </w:r>
          </w:p>
        </w:tc>
        <w:tc>
          <w:tcPr>
            <w:tcW w:w="1433" w:type="dxa"/>
          </w:tcPr>
          <w:p>
            <w:pPr>
              <w:pStyle w:val="TableParagraph"/>
              <w:spacing w:before="70"/>
              <w:ind w:left="386" w:right="386"/>
              <w:rPr>
                <w:sz w:val="18"/>
              </w:rPr>
            </w:pPr>
            <w:r>
              <w:rPr>
                <w:sz w:val="18"/>
              </w:rPr>
              <w:t>N/A</w:t>
            </w:r>
          </w:p>
        </w:tc>
      </w:tr>
      <w:tr>
        <w:trPr>
          <w:trHeight w:val="293" w:hRule="exact"/>
        </w:trPr>
        <w:tc>
          <w:tcPr>
            <w:tcW w:w="3166" w:type="dxa"/>
          </w:tcPr>
          <w:p>
            <w:pPr>
              <w:pStyle w:val="TableParagraph"/>
              <w:spacing w:before="34"/>
              <w:ind w:left="64"/>
              <w:jc w:val="left"/>
              <w:rPr>
                <w:sz w:val="18"/>
              </w:rPr>
            </w:pPr>
            <w:r>
              <w:rPr>
                <w:sz w:val="18"/>
              </w:rPr>
              <w:t>NA</w:t>
            </w:r>
          </w:p>
        </w:tc>
        <w:tc>
          <w:tcPr>
            <w:tcW w:w="2136" w:type="dxa"/>
          </w:tcPr>
          <w:p>
            <w:pPr>
              <w:pStyle w:val="TableParagraph"/>
              <w:spacing w:before="70"/>
              <w:ind w:right="3"/>
              <w:rPr>
                <w:sz w:val="18"/>
              </w:rPr>
            </w:pPr>
            <w:r>
              <w:rPr>
                <w:w w:val="99"/>
                <w:sz w:val="18"/>
              </w:rPr>
              <w:t>1</w:t>
            </w:r>
          </w:p>
        </w:tc>
        <w:tc>
          <w:tcPr>
            <w:tcW w:w="2282" w:type="dxa"/>
          </w:tcPr>
          <w:p>
            <w:pPr>
              <w:pStyle w:val="TableParagraph"/>
              <w:spacing w:before="70"/>
              <w:ind w:right="1"/>
              <w:rPr>
                <w:sz w:val="18"/>
              </w:rPr>
            </w:pPr>
            <w:r>
              <w:rPr>
                <w:w w:val="99"/>
                <w:sz w:val="18"/>
              </w:rPr>
              <w:t>1</w:t>
            </w:r>
          </w:p>
        </w:tc>
        <w:tc>
          <w:tcPr>
            <w:tcW w:w="1433" w:type="dxa"/>
          </w:tcPr>
          <w:p>
            <w:pPr>
              <w:pStyle w:val="TableParagraph"/>
              <w:spacing w:before="70"/>
              <w:ind w:left="386" w:right="386"/>
              <w:rPr>
                <w:sz w:val="18"/>
              </w:rPr>
            </w:pPr>
            <w:r>
              <w:rPr>
                <w:sz w:val="18"/>
              </w:rPr>
              <w:t>68.58%</w:t>
            </w:r>
          </w:p>
        </w:tc>
      </w:tr>
      <w:tr>
        <w:trPr>
          <w:trHeight w:val="290" w:hRule="exact"/>
        </w:trPr>
        <w:tc>
          <w:tcPr>
            <w:tcW w:w="3166" w:type="dxa"/>
          </w:tcPr>
          <w:p>
            <w:pPr>
              <w:pStyle w:val="TableParagraph"/>
              <w:spacing w:before="32"/>
              <w:ind w:left="64"/>
              <w:jc w:val="left"/>
              <w:rPr>
                <w:sz w:val="18"/>
              </w:rPr>
            </w:pPr>
            <w:r>
              <w:rPr>
                <w:sz w:val="18"/>
              </w:rPr>
              <w:t>PAN</w:t>
            </w:r>
          </w:p>
        </w:tc>
        <w:tc>
          <w:tcPr>
            <w:tcW w:w="2136" w:type="dxa"/>
          </w:tcPr>
          <w:p>
            <w:pPr>
              <w:pStyle w:val="TableParagraph"/>
              <w:spacing w:before="70"/>
              <w:ind w:right="3"/>
              <w:rPr>
                <w:sz w:val="18"/>
              </w:rPr>
            </w:pPr>
            <w:r>
              <w:rPr>
                <w:w w:val="99"/>
                <w:sz w:val="18"/>
              </w:rPr>
              <w:t>9</w:t>
            </w:r>
          </w:p>
        </w:tc>
        <w:tc>
          <w:tcPr>
            <w:tcW w:w="2282" w:type="dxa"/>
          </w:tcPr>
          <w:p>
            <w:pPr>
              <w:pStyle w:val="TableParagraph"/>
              <w:spacing w:before="70"/>
              <w:ind w:right="1"/>
              <w:rPr>
                <w:sz w:val="18"/>
              </w:rPr>
            </w:pPr>
            <w:r>
              <w:rPr>
                <w:w w:val="99"/>
                <w:sz w:val="18"/>
              </w:rPr>
              <w:t>4</w:t>
            </w:r>
          </w:p>
        </w:tc>
        <w:tc>
          <w:tcPr>
            <w:tcW w:w="1433" w:type="dxa"/>
          </w:tcPr>
          <w:p>
            <w:pPr>
              <w:pStyle w:val="TableParagraph"/>
              <w:spacing w:before="70"/>
              <w:ind w:left="386" w:right="386"/>
              <w:rPr>
                <w:sz w:val="18"/>
              </w:rPr>
            </w:pPr>
            <w:r>
              <w:rPr>
                <w:sz w:val="18"/>
              </w:rPr>
              <w:t>45.40%</w:t>
            </w:r>
          </w:p>
        </w:tc>
      </w:tr>
      <w:tr>
        <w:trPr>
          <w:trHeight w:val="290" w:hRule="exact"/>
        </w:trPr>
        <w:tc>
          <w:tcPr>
            <w:tcW w:w="3166" w:type="dxa"/>
          </w:tcPr>
          <w:p>
            <w:pPr>
              <w:pStyle w:val="TableParagraph"/>
              <w:spacing w:before="34"/>
              <w:ind w:left="64"/>
              <w:jc w:val="left"/>
              <w:rPr>
                <w:sz w:val="18"/>
              </w:rPr>
            </w:pPr>
            <w:r>
              <w:rPr>
                <w:sz w:val="18"/>
              </w:rPr>
              <w:t>PAN-PT</w:t>
            </w:r>
          </w:p>
        </w:tc>
        <w:tc>
          <w:tcPr>
            <w:tcW w:w="2136" w:type="dxa"/>
          </w:tcPr>
          <w:p>
            <w:pPr>
              <w:pStyle w:val="TableParagraph"/>
              <w:spacing w:before="70"/>
              <w:ind w:right="3"/>
              <w:rPr>
                <w:sz w:val="18"/>
              </w:rPr>
            </w:pPr>
            <w:r>
              <w:rPr>
                <w:w w:val="99"/>
                <w:sz w:val="18"/>
              </w:rPr>
              <w:t>9</w:t>
            </w:r>
          </w:p>
        </w:tc>
        <w:tc>
          <w:tcPr>
            <w:tcW w:w="2282" w:type="dxa"/>
          </w:tcPr>
          <w:p>
            <w:pPr>
              <w:pStyle w:val="TableParagraph"/>
              <w:spacing w:before="70"/>
              <w:ind w:right="1"/>
              <w:rPr>
                <w:sz w:val="18"/>
              </w:rPr>
            </w:pPr>
            <w:r>
              <w:rPr>
                <w:w w:val="99"/>
                <w:sz w:val="18"/>
              </w:rPr>
              <w:t>4</w:t>
            </w:r>
          </w:p>
        </w:tc>
        <w:tc>
          <w:tcPr>
            <w:tcW w:w="1433" w:type="dxa"/>
          </w:tcPr>
          <w:p>
            <w:pPr>
              <w:pStyle w:val="TableParagraph"/>
              <w:spacing w:before="70"/>
              <w:ind w:left="386" w:right="386"/>
              <w:rPr>
                <w:sz w:val="18"/>
              </w:rPr>
            </w:pPr>
            <w:r>
              <w:rPr>
                <w:sz w:val="18"/>
              </w:rPr>
              <w:t>50.86%</w:t>
            </w:r>
          </w:p>
        </w:tc>
      </w:tr>
      <w:tr>
        <w:trPr>
          <w:trHeight w:val="290" w:hRule="exact"/>
        </w:trPr>
        <w:tc>
          <w:tcPr>
            <w:tcW w:w="3166" w:type="dxa"/>
          </w:tcPr>
          <w:p>
            <w:pPr>
              <w:pStyle w:val="TableParagraph"/>
              <w:spacing w:before="34"/>
              <w:ind w:left="64"/>
              <w:jc w:val="left"/>
              <w:rPr>
                <w:sz w:val="18"/>
              </w:rPr>
            </w:pPr>
            <w:r>
              <w:rPr>
                <w:sz w:val="18"/>
              </w:rPr>
              <w:t>PES</w:t>
            </w:r>
          </w:p>
        </w:tc>
        <w:tc>
          <w:tcPr>
            <w:tcW w:w="2136" w:type="dxa"/>
          </w:tcPr>
          <w:p>
            <w:pPr>
              <w:pStyle w:val="TableParagraph"/>
              <w:spacing w:before="70"/>
              <w:ind w:right="3"/>
              <w:rPr>
                <w:sz w:val="18"/>
              </w:rPr>
            </w:pPr>
            <w:r>
              <w:rPr>
                <w:w w:val="99"/>
                <w:sz w:val="18"/>
              </w:rPr>
              <w:t>1</w:t>
            </w:r>
          </w:p>
        </w:tc>
        <w:tc>
          <w:tcPr>
            <w:tcW w:w="2282" w:type="dxa"/>
          </w:tcPr>
          <w:p>
            <w:pPr>
              <w:pStyle w:val="TableParagraph"/>
              <w:spacing w:before="70"/>
              <w:ind w:right="1"/>
              <w:rPr>
                <w:sz w:val="18"/>
              </w:rPr>
            </w:pPr>
            <w:r>
              <w:rPr>
                <w:w w:val="99"/>
                <w:sz w:val="18"/>
              </w:rPr>
              <w:t>1</w:t>
            </w:r>
          </w:p>
        </w:tc>
        <w:tc>
          <w:tcPr>
            <w:tcW w:w="1433" w:type="dxa"/>
          </w:tcPr>
          <w:p>
            <w:pPr>
              <w:pStyle w:val="TableParagraph"/>
              <w:spacing w:before="70"/>
              <w:ind w:left="386" w:right="386"/>
              <w:rPr>
                <w:sz w:val="18"/>
              </w:rPr>
            </w:pPr>
            <w:r>
              <w:rPr>
                <w:sz w:val="18"/>
              </w:rPr>
              <w:t>29.90%</w:t>
            </w:r>
          </w:p>
        </w:tc>
      </w:tr>
      <w:tr>
        <w:trPr>
          <w:trHeight w:val="293" w:hRule="exact"/>
        </w:trPr>
        <w:tc>
          <w:tcPr>
            <w:tcW w:w="3166" w:type="dxa"/>
          </w:tcPr>
          <w:p>
            <w:pPr>
              <w:pStyle w:val="TableParagraph"/>
              <w:spacing w:before="34"/>
              <w:ind w:left="64"/>
              <w:jc w:val="left"/>
              <w:rPr>
                <w:sz w:val="18"/>
              </w:rPr>
            </w:pPr>
            <w:r>
              <w:rPr>
                <w:sz w:val="18"/>
              </w:rPr>
              <w:t>PRD</w:t>
            </w:r>
          </w:p>
        </w:tc>
        <w:tc>
          <w:tcPr>
            <w:tcW w:w="2136" w:type="dxa"/>
          </w:tcPr>
          <w:p>
            <w:pPr>
              <w:pStyle w:val="TableParagraph"/>
              <w:spacing w:before="70"/>
              <w:ind w:left="893" w:right="893"/>
              <w:rPr>
                <w:sz w:val="18"/>
              </w:rPr>
            </w:pPr>
            <w:r>
              <w:rPr>
                <w:sz w:val="18"/>
              </w:rPr>
              <w:t>16</w:t>
            </w:r>
          </w:p>
        </w:tc>
        <w:tc>
          <w:tcPr>
            <w:tcW w:w="2282" w:type="dxa"/>
          </w:tcPr>
          <w:p>
            <w:pPr>
              <w:pStyle w:val="TableParagraph"/>
              <w:spacing w:before="70"/>
              <w:ind w:left="1017" w:right="1015"/>
              <w:rPr>
                <w:sz w:val="18"/>
              </w:rPr>
            </w:pPr>
            <w:r>
              <w:rPr>
                <w:sz w:val="18"/>
              </w:rPr>
              <w:t>10</w:t>
            </w:r>
          </w:p>
        </w:tc>
        <w:tc>
          <w:tcPr>
            <w:tcW w:w="1433" w:type="dxa"/>
          </w:tcPr>
          <w:p>
            <w:pPr>
              <w:pStyle w:val="TableParagraph"/>
              <w:spacing w:before="70"/>
              <w:ind w:left="386" w:right="386"/>
              <w:rPr>
                <w:sz w:val="18"/>
              </w:rPr>
            </w:pPr>
            <w:r>
              <w:rPr>
                <w:sz w:val="18"/>
              </w:rPr>
              <w:t>11.56%</w:t>
            </w:r>
          </w:p>
        </w:tc>
      </w:tr>
      <w:tr>
        <w:trPr>
          <w:trHeight w:val="290" w:hRule="exact"/>
        </w:trPr>
        <w:tc>
          <w:tcPr>
            <w:tcW w:w="3166" w:type="dxa"/>
          </w:tcPr>
          <w:p>
            <w:pPr>
              <w:pStyle w:val="TableParagraph"/>
              <w:spacing w:before="32"/>
              <w:ind w:left="64"/>
              <w:jc w:val="left"/>
              <w:rPr>
                <w:sz w:val="18"/>
              </w:rPr>
            </w:pPr>
            <w:r>
              <w:rPr>
                <w:sz w:val="18"/>
              </w:rPr>
              <w:t>PRI</w:t>
            </w:r>
          </w:p>
        </w:tc>
        <w:tc>
          <w:tcPr>
            <w:tcW w:w="2136" w:type="dxa"/>
          </w:tcPr>
          <w:p>
            <w:pPr>
              <w:pStyle w:val="TableParagraph"/>
              <w:spacing w:before="70"/>
              <w:ind w:left="893" w:right="893"/>
              <w:rPr>
                <w:sz w:val="18"/>
              </w:rPr>
            </w:pPr>
            <w:r>
              <w:rPr>
                <w:sz w:val="18"/>
              </w:rPr>
              <w:t>25</w:t>
            </w:r>
          </w:p>
        </w:tc>
        <w:tc>
          <w:tcPr>
            <w:tcW w:w="2282" w:type="dxa"/>
          </w:tcPr>
          <w:p>
            <w:pPr>
              <w:pStyle w:val="TableParagraph"/>
              <w:spacing w:before="70"/>
              <w:ind w:left="1017" w:right="1015"/>
              <w:rPr>
                <w:sz w:val="18"/>
              </w:rPr>
            </w:pPr>
            <w:r>
              <w:rPr>
                <w:sz w:val="18"/>
              </w:rPr>
              <w:t>10</w:t>
            </w:r>
          </w:p>
        </w:tc>
        <w:tc>
          <w:tcPr>
            <w:tcW w:w="1433" w:type="dxa"/>
          </w:tcPr>
          <w:p>
            <w:pPr>
              <w:pStyle w:val="TableParagraph"/>
              <w:spacing w:before="70"/>
              <w:ind w:left="386" w:right="386"/>
              <w:rPr>
                <w:sz w:val="18"/>
              </w:rPr>
            </w:pPr>
            <w:r>
              <w:rPr>
                <w:sz w:val="18"/>
              </w:rPr>
              <w:t>41.69%</w:t>
            </w:r>
          </w:p>
        </w:tc>
      </w:tr>
      <w:tr>
        <w:trPr>
          <w:trHeight w:val="290" w:hRule="exact"/>
        </w:trPr>
        <w:tc>
          <w:tcPr>
            <w:tcW w:w="3166" w:type="dxa"/>
          </w:tcPr>
          <w:p>
            <w:pPr>
              <w:pStyle w:val="TableParagraph"/>
              <w:spacing w:before="34"/>
              <w:ind w:left="64"/>
              <w:jc w:val="left"/>
              <w:rPr>
                <w:sz w:val="18"/>
              </w:rPr>
            </w:pPr>
            <w:r>
              <w:rPr>
                <w:sz w:val="18"/>
              </w:rPr>
              <w:t>PRI-PVEM-NA</w:t>
            </w:r>
          </w:p>
        </w:tc>
        <w:tc>
          <w:tcPr>
            <w:tcW w:w="2136" w:type="dxa"/>
          </w:tcPr>
          <w:p>
            <w:pPr>
              <w:pStyle w:val="TableParagraph"/>
              <w:spacing w:before="70"/>
              <w:ind w:left="893" w:right="893"/>
              <w:rPr>
                <w:sz w:val="18"/>
              </w:rPr>
            </w:pPr>
            <w:r>
              <w:rPr>
                <w:sz w:val="18"/>
              </w:rPr>
              <w:t>58</w:t>
            </w:r>
          </w:p>
        </w:tc>
        <w:tc>
          <w:tcPr>
            <w:tcW w:w="2282" w:type="dxa"/>
          </w:tcPr>
          <w:p>
            <w:pPr>
              <w:pStyle w:val="TableParagraph"/>
              <w:spacing w:before="70"/>
              <w:ind w:left="1017" w:right="1015"/>
              <w:rPr>
                <w:sz w:val="18"/>
              </w:rPr>
            </w:pPr>
            <w:r>
              <w:rPr>
                <w:sz w:val="18"/>
              </w:rPr>
              <w:t>39</w:t>
            </w:r>
          </w:p>
        </w:tc>
        <w:tc>
          <w:tcPr>
            <w:tcW w:w="1433" w:type="dxa"/>
          </w:tcPr>
          <w:p>
            <w:pPr>
              <w:pStyle w:val="TableParagraph"/>
              <w:spacing w:before="70"/>
              <w:ind w:left="386" w:right="386"/>
              <w:rPr>
                <w:sz w:val="18"/>
              </w:rPr>
            </w:pPr>
            <w:r>
              <w:rPr>
                <w:sz w:val="18"/>
              </w:rPr>
              <w:t>32.86%</w:t>
            </w:r>
          </w:p>
        </w:tc>
      </w:tr>
      <w:tr>
        <w:trPr>
          <w:trHeight w:val="292" w:hRule="exact"/>
        </w:trPr>
        <w:tc>
          <w:tcPr>
            <w:tcW w:w="3166" w:type="dxa"/>
          </w:tcPr>
          <w:p>
            <w:pPr>
              <w:pStyle w:val="TableParagraph"/>
              <w:spacing w:before="35"/>
              <w:ind w:left="64"/>
              <w:jc w:val="left"/>
              <w:rPr>
                <w:sz w:val="18"/>
              </w:rPr>
            </w:pPr>
            <w:r>
              <w:rPr>
                <w:sz w:val="18"/>
              </w:rPr>
              <w:t>PT</w:t>
            </w:r>
          </w:p>
        </w:tc>
        <w:tc>
          <w:tcPr>
            <w:tcW w:w="2136" w:type="dxa"/>
          </w:tcPr>
          <w:p>
            <w:pPr>
              <w:pStyle w:val="TableParagraph"/>
              <w:spacing w:before="71"/>
              <w:ind w:right="3"/>
              <w:rPr>
                <w:sz w:val="18"/>
              </w:rPr>
            </w:pPr>
            <w:r>
              <w:rPr>
                <w:w w:val="99"/>
                <w:sz w:val="18"/>
              </w:rPr>
              <w:t>3</w:t>
            </w:r>
          </w:p>
        </w:tc>
        <w:tc>
          <w:tcPr>
            <w:tcW w:w="2282" w:type="dxa"/>
          </w:tcPr>
          <w:p>
            <w:pPr>
              <w:pStyle w:val="TableParagraph"/>
              <w:spacing w:before="71"/>
              <w:ind w:right="1"/>
              <w:rPr>
                <w:sz w:val="18"/>
              </w:rPr>
            </w:pPr>
            <w:r>
              <w:rPr>
                <w:w w:val="99"/>
                <w:sz w:val="18"/>
              </w:rPr>
              <w:t>2</w:t>
            </w:r>
          </w:p>
        </w:tc>
        <w:tc>
          <w:tcPr>
            <w:tcW w:w="1433" w:type="dxa"/>
          </w:tcPr>
          <w:p>
            <w:pPr>
              <w:pStyle w:val="TableParagraph"/>
              <w:spacing w:before="71"/>
              <w:ind w:left="386" w:right="386"/>
              <w:rPr>
                <w:sz w:val="18"/>
              </w:rPr>
            </w:pPr>
            <w:r>
              <w:rPr>
                <w:sz w:val="18"/>
              </w:rPr>
              <w:t>53.49%</w:t>
            </w:r>
          </w:p>
        </w:tc>
      </w:tr>
      <w:tr>
        <w:trPr>
          <w:trHeight w:val="292" w:hRule="exact"/>
        </w:trPr>
        <w:tc>
          <w:tcPr>
            <w:tcW w:w="3166" w:type="dxa"/>
            <w:shd w:val="clear" w:color="auto" w:fill="92D050"/>
          </w:tcPr>
          <w:p>
            <w:pPr>
              <w:pStyle w:val="TableParagraph"/>
              <w:spacing w:before="64"/>
              <w:ind w:left="1343" w:right="1342"/>
              <w:rPr>
                <w:b/>
                <w:sz w:val="18"/>
              </w:rPr>
            </w:pPr>
            <w:r>
              <w:rPr>
                <w:b/>
                <w:sz w:val="18"/>
              </w:rPr>
              <w:t>Total</w:t>
            </w:r>
          </w:p>
        </w:tc>
        <w:tc>
          <w:tcPr>
            <w:tcW w:w="2136" w:type="dxa"/>
            <w:shd w:val="clear" w:color="auto" w:fill="92D050"/>
          </w:tcPr>
          <w:p>
            <w:pPr>
              <w:pStyle w:val="TableParagraph"/>
              <w:spacing w:before="64"/>
              <w:ind w:left="893" w:right="893"/>
              <w:rPr>
                <w:b/>
                <w:sz w:val="18"/>
              </w:rPr>
            </w:pPr>
            <w:r>
              <w:rPr>
                <w:b/>
                <w:sz w:val="18"/>
              </w:rPr>
              <w:t>125</w:t>
            </w:r>
          </w:p>
        </w:tc>
        <w:tc>
          <w:tcPr>
            <w:tcW w:w="2282" w:type="dxa"/>
            <w:shd w:val="clear" w:color="auto" w:fill="92D050"/>
          </w:tcPr>
          <w:p>
            <w:pPr>
              <w:pStyle w:val="TableParagraph"/>
              <w:spacing w:before="64"/>
              <w:ind w:left="1017" w:right="1015"/>
              <w:rPr>
                <w:b/>
                <w:sz w:val="18"/>
              </w:rPr>
            </w:pPr>
            <w:r>
              <w:rPr>
                <w:b/>
                <w:sz w:val="18"/>
              </w:rPr>
              <w:t>71</w:t>
            </w:r>
          </w:p>
        </w:tc>
        <w:tc>
          <w:tcPr>
            <w:tcW w:w="1433" w:type="dxa"/>
            <w:shd w:val="clear" w:color="auto" w:fill="92D050"/>
          </w:tcPr>
          <w:p>
            <w:pPr>
              <w:pStyle w:val="TableParagraph"/>
              <w:spacing w:before="64"/>
              <w:ind w:left="386" w:right="385"/>
              <w:rPr>
                <w:b/>
                <w:sz w:val="18"/>
              </w:rPr>
            </w:pPr>
            <w:r>
              <w:rPr>
                <w:b/>
                <w:sz w:val="18"/>
              </w:rPr>
              <w:t>41.79%</w:t>
            </w:r>
          </w:p>
        </w:tc>
      </w:tr>
    </w:tbl>
    <w:p>
      <w:pPr>
        <w:spacing w:before="82"/>
        <w:ind w:left="194" w:right="0" w:firstLine="0"/>
        <w:jc w:val="left"/>
        <w:rPr>
          <w:sz w:val="16"/>
        </w:rPr>
      </w:pPr>
      <w:r>
        <w:rPr>
          <w:sz w:val="16"/>
        </w:rPr>
        <w:t>Fuente: Elaboración propia con datos del INFOEM y del IEEM</w:t>
      </w:r>
    </w:p>
    <w:p>
      <w:pPr>
        <w:pStyle w:val="BodyText"/>
        <w:rPr>
          <w:sz w:val="20"/>
        </w:rPr>
      </w:pPr>
    </w:p>
    <w:p>
      <w:pPr>
        <w:pStyle w:val="BodyText"/>
        <w:spacing w:before="9"/>
        <w:rPr>
          <w:sz w:val="23"/>
        </w:rPr>
      </w:pPr>
    </w:p>
    <w:p>
      <w:pPr>
        <w:pStyle w:val="BodyText"/>
        <w:spacing w:line="360" w:lineRule="auto" w:before="70"/>
        <w:ind w:left="168" w:right="178"/>
        <w:jc w:val="both"/>
      </w:pPr>
      <w:r>
        <w:rPr/>
        <w:t>Tal como se pudo apreciar en las tablas anteriores los municipios mexiquenses existe una ligera tendencia del PT como el partido que más cumple la ley de transparencia ya que en los años 2013 y 2014 fue el partido con los más altos porcentajes</w:t>
      </w:r>
      <w:r>
        <w:rPr>
          <w:spacing w:val="-11"/>
        </w:rPr>
        <w:t> </w:t>
      </w:r>
      <w:r>
        <w:rPr/>
        <w:t>de</w:t>
      </w:r>
      <w:r>
        <w:rPr>
          <w:spacing w:val="-11"/>
        </w:rPr>
        <w:t> </w:t>
      </w:r>
      <w:r>
        <w:rPr/>
        <w:t>cumplimiento.</w:t>
      </w:r>
      <w:r>
        <w:rPr>
          <w:spacing w:val="-11"/>
        </w:rPr>
        <w:t> </w:t>
      </w:r>
      <w:r>
        <w:rPr/>
        <w:t>En</w:t>
      </w:r>
      <w:r>
        <w:rPr>
          <w:spacing w:val="-11"/>
        </w:rPr>
        <w:t> </w:t>
      </w:r>
      <w:r>
        <w:rPr/>
        <w:t>tanto</w:t>
      </w:r>
      <w:r>
        <w:rPr>
          <w:spacing w:val="-10"/>
        </w:rPr>
        <w:t> </w:t>
      </w:r>
      <w:r>
        <w:rPr/>
        <w:t>que</w:t>
      </w:r>
      <w:r>
        <w:rPr>
          <w:spacing w:val="-11"/>
        </w:rPr>
        <w:t> </w:t>
      </w:r>
      <w:r>
        <w:rPr/>
        <w:t>el</w:t>
      </w:r>
      <w:r>
        <w:rPr>
          <w:spacing w:val="-10"/>
        </w:rPr>
        <w:t> </w:t>
      </w:r>
      <w:r>
        <w:rPr/>
        <w:t>PRD</w:t>
      </w:r>
      <w:r>
        <w:rPr>
          <w:spacing w:val="-10"/>
        </w:rPr>
        <w:t> </w:t>
      </w:r>
      <w:r>
        <w:rPr/>
        <w:t>se</w:t>
      </w:r>
      <w:r>
        <w:rPr>
          <w:spacing w:val="-11"/>
        </w:rPr>
        <w:t> </w:t>
      </w:r>
      <w:r>
        <w:rPr/>
        <w:t>mostró</w:t>
      </w:r>
      <w:r>
        <w:rPr>
          <w:spacing w:val="-9"/>
        </w:rPr>
        <w:t> </w:t>
      </w:r>
      <w:r>
        <w:rPr/>
        <w:t>como</w:t>
      </w:r>
      <w:r>
        <w:rPr>
          <w:spacing w:val="-11"/>
        </w:rPr>
        <w:t> </w:t>
      </w:r>
      <w:r>
        <w:rPr/>
        <w:t>el</w:t>
      </w:r>
      <w:r>
        <w:rPr>
          <w:spacing w:val="-10"/>
        </w:rPr>
        <w:t> </w:t>
      </w:r>
      <w:r>
        <w:rPr/>
        <w:t>partido</w:t>
      </w:r>
      <w:r>
        <w:rPr>
          <w:spacing w:val="-11"/>
        </w:rPr>
        <w:t> </w:t>
      </w:r>
      <w:r>
        <w:rPr/>
        <w:t>político menos</w:t>
      </w:r>
      <w:r>
        <w:rPr>
          <w:spacing w:val="-11"/>
        </w:rPr>
        <w:t> </w:t>
      </w:r>
      <w:r>
        <w:rPr/>
        <w:t>transparente.</w:t>
      </w:r>
    </w:p>
    <w:p>
      <w:pPr>
        <w:pStyle w:val="BodyText"/>
      </w:pPr>
    </w:p>
    <w:p>
      <w:pPr>
        <w:pStyle w:val="BodyText"/>
      </w:pPr>
    </w:p>
    <w:p>
      <w:pPr>
        <w:pStyle w:val="BodyText"/>
        <w:spacing w:line="360" w:lineRule="auto" w:before="188"/>
        <w:ind w:left="168" w:right="183"/>
        <w:jc w:val="both"/>
      </w:pPr>
      <w:r>
        <w:rPr/>
        <w:t>En la tabla 3.20 se describe de manera más precisa el cumplimiento de la ley de transparencia según los partidos políticos gobernantes de los municipios mexiquenses en el periodo 2012-2015.</w:t>
      </w:r>
    </w:p>
    <w:p>
      <w:pPr>
        <w:pStyle w:val="BodyText"/>
        <w:rPr>
          <w:sz w:val="20"/>
        </w:rPr>
      </w:pPr>
    </w:p>
    <w:p>
      <w:pPr>
        <w:pStyle w:val="BodyText"/>
        <w:rPr>
          <w:sz w:val="20"/>
        </w:rPr>
      </w:pPr>
    </w:p>
    <w:p>
      <w:pPr>
        <w:pStyle w:val="BodyText"/>
        <w:spacing w:before="3"/>
      </w:pPr>
    </w:p>
    <w:tbl>
      <w:tblPr>
        <w:tblW w:w="0" w:type="auto"/>
        <w:jc w:val="left"/>
        <w:tblInd w:w="6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67"/>
        <w:gridCol w:w="970"/>
        <w:gridCol w:w="1344"/>
        <w:gridCol w:w="970"/>
        <w:gridCol w:w="972"/>
        <w:gridCol w:w="1381"/>
      </w:tblGrid>
      <w:tr>
        <w:trPr>
          <w:trHeight w:val="424" w:hRule="exact"/>
        </w:trPr>
        <w:tc>
          <w:tcPr>
            <w:tcW w:w="8003" w:type="dxa"/>
            <w:gridSpan w:val="6"/>
            <w:shd w:val="clear" w:color="auto" w:fill="92D050"/>
          </w:tcPr>
          <w:p>
            <w:pPr>
              <w:pStyle w:val="TableParagraph"/>
              <w:ind w:left="2753" w:right="295" w:hanging="2447"/>
              <w:jc w:val="left"/>
              <w:rPr>
                <w:b/>
                <w:sz w:val="18"/>
              </w:rPr>
            </w:pPr>
            <w:r>
              <w:rPr>
                <w:b/>
                <w:sz w:val="18"/>
              </w:rPr>
              <w:t>Tabla 3.20. Cumplimiento de la ley de transparencia por parte de los partidos políticos durante el periodo 2012-2015</w:t>
            </w:r>
          </w:p>
        </w:tc>
      </w:tr>
      <w:tr>
        <w:trPr>
          <w:trHeight w:val="424" w:hRule="exact"/>
        </w:trPr>
        <w:tc>
          <w:tcPr>
            <w:tcW w:w="2367" w:type="dxa"/>
            <w:shd w:val="clear" w:color="auto" w:fill="92D050"/>
          </w:tcPr>
          <w:p>
            <w:pPr>
              <w:pStyle w:val="TableParagraph"/>
              <w:spacing w:before="98"/>
              <w:ind w:left="520"/>
              <w:jc w:val="left"/>
              <w:rPr>
                <w:b/>
                <w:sz w:val="18"/>
              </w:rPr>
            </w:pPr>
            <w:r>
              <w:rPr>
                <w:b/>
                <w:sz w:val="18"/>
              </w:rPr>
              <w:t>Partido político</w:t>
            </w:r>
          </w:p>
        </w:tc>
        <w:tc>
          <w:tcPr>
            <w:tcW w:w="970" w:type="dxa"/>
            <w:shd w:val="clear" w:color="auto" w:fill="92D050"/>
          </w:tcPr>
          <w:p>
            <w:pPr>
              <w:pStyle w:val="TableParagraph"/>
              <w:ind w:left="275" w:right="48" w:hanging="214"/>
              <w:jc w:val="left"/>
              <w:rPr>
                <w:b/>
                <w:sz w:val="18"/>
              </w:rPr>
            </w:pPr>
            <w:r>
              <w:rPr>
                <w:b/>
                <w:sz w:val="18"/>
              </w:rPr>
              <w:t>Promedio 2012</w:t>
            </w:r>
          </w:p>
        </w:tc>
        <w:tc>
          <w:tcPr>
            <w:tcW w:w="1344" w:type="dxa"/>
            <w:shd w:val="clear" w:color="auto" w:fill="92D050"/>
          </w:tcPr>
          <w:p>
            <w:pPr>
              <w:pStyle w:val="TableParagraph"/>
              <w:ind w:left="465" w:right="235" w:hanging="216"/>
              <w:jc w:val="left"/>
              <w:rPr>
                <w:b/>
                <w:sz w:val="18"/>
              </w:rPr>
            </w:pPr>
            <w:r>
              <w:rPr>
                <w:b/>
                <w:sz w:val="18"/>
              </w:rPr>
              <w:t>Promedio 2013</w:t>
            </w:r>
          </w:p>
        </w:tc>
        <w:tc>
          <w:tcPr>
            <w:tcW w:w="970" w:type="dxa"/>
            <w:shd w:val="clear" w:color="auto" w:fill="92D050"/>
          </w:tcPr>
          <w:p>
            <w:pPr>
              <w:pStyle w:val="TableParagraph"/>
              <w:ind w:left="275" w:right="48" w:hanging="214"/>
              <w:jc w:val="left"/>
              <w:rPr>
                <w:b/>
                <w:sz w:val="18"/>
              </w:rPr>
            </w:pPr>
            <w:r>
              <w:rPr>
                <w:b/>
                <w:sz w:val="18"/>
              </w:rPr>
              <w:t>Promedio 2014</w:t>
            </w:r>
          </w:p>
        </w:tc>
        <w:tc>
          <w:tcPr>
            <w:tcW w:w="972" w:type="dxa"/>
            <w:shd w:val="clear" w:color="auto" w:fill="92D050"/>
          </w:tcPr>
          <w:p>
            <w:pPr>
              <w:pStyle w:val="TableParagraph"/>
              <w:ind w:left="278" w:right="48" w:hanging="214"/>
              <w:jc w:val="left"/>
              <w:rPr>
                <w:b/>
                <w:sz w:val="18"/>
              </w:rPr>
            </w:pPr>
            <w:r>
              <w:rPr>
                <w:b/>
                <w:sz w:val="18"/>
              </w:rPr>
              <w:t>Promedio 2015</w:t>
            </w:r>
          </w:p>
        </w:tc>
        <w:tc>
          <w:tcPr>
            <w:tcW w:w="1381" w:type="dxa"/>
            <w:shd w:val="clear" w:color="auto" w:fill="92D050"/>
          </w:tcPr>
          <w:p>
            <w:pPr>
              <w:pStyle w:val="TableParagraph"/>
              <w:ind w:left="420" w:right="252" w:hanging="152"/>
              <w:jc w:val="left"/>
              <w:rPr>
                <w:b/>
                <w:sz w:val="18"/>
              </w:rPr>
            </w:pPr>
            <w:r>
              <w:rPr>
                <w:b/>
                <w:sz w:val="18"/>
              </w:rPr>
              <w:t>Promedio global</w:t>
            </w:r>
          </w:p>
        </w:tc>
      </w:tr>
      <w:tr>
        <w:trPr>
          <w:trHeight w:val="310" w:hRule="exact"/>
        </w:trPr>
        <w:tc>
          <w:tcPr>
            <w:tcW w:w="2367" w:type="dxa"/>
          </w:tcPr>
          <w:p>
            <w:pPr>
              <w:pStyle w:val="TableParagraph"/>
              <w:spacing w:before="42"/>
              <w:ind w:left="64"/>
              <w:jc w:val="left"/>
              <w:rPr>
                <w:b/>
                <w:sz w:val="18"/>
              </w:rPr>
            </w:pPr>
            <w:r>
              <w:rPr>
                <w:b/>
                <w:sz w:val="18"/>
              </w:rPr>
              <w:t>PT-MC</w:t>
            </w:r>
          </w:p>
        </w:tc>
        <w:tc>
          <w:tcPr>
            <w:tcW w:w="970" w:type="dxa"/>
          </w:tcPr>
          <w:p>
            <w:pPr>
              <w:pStyle w:val="TableParagraph"/>
              <w:spacing w:before="47"/>
              <w:ind w:left="15" w:right="20"/>
              <w:rPr>
                <w:sz w:val="18"/>
              </w:rPr>
            </w:pPr>
            <w:r>
              <w:rPr>
                <w:sz w:val="18"/>
              </w:rPr>
              <w:t>N/A</w:t>
            </w:r>
          </w:p>
        </w:tc>
        <w:tc>
          <w:tcPr>
            <w:tcW w:w="1344" w:type="dxa"/>
          </w:tcPr>
          <w:p>
            <w:pPr>
              <w:pStyle w:val="TableParagraph"/>
              <w:spacing w:before="47"/>
              <w:ind w:left="341" w:right="341"/>
              <w:rPr>
                <w:sz w:val="18"/>
              </w:rPr>
            </w:pPr>
            <w:r>
              <w:rPr>
                <w:sz w:val="18"/>
              </w:rPr>
              <w:t>N/A</w:t>
            </w:r>
          </w:p>
        </w:tc>
        <w:tc>
          <w:tcPr>
            <w:tcW w:w="970" w:type="dxa"/>
          </w:tcPr>
          <w:p>
            <w:pPr>
              <w:pStyle w:val="TableParagraph"/>
              <w:spacing w:before="47"/>
              <w:ind w:left="19" w:right="20"/>
              <w:rPr>
                <w:sz w:val="18"/>
              </w:rPr>
            </w:pPr>
            <w:r>
              <w:rPr>
                <w:sz w:val="18"/>
              </w:rPr>
              <w:t>76.71%</w:t>
            </w:r>
          </w:p>
        </w:tc>
        <w:tc>
          <w:tcPr>
            <w:tcW w:w="972" w:type="dxa"/>
          </w:tcPr>
          <w:p>
            <w:pPr>
              <w:pStyle w:val="TableParagraph"/>
              <w:spacing w:before="47"/>
              <w:rPr>
                <w:sz w:val="18"/>
              </w:rPr>
            </w:pPr>
            <w:r>
              <w:rPr>
                <w:w w:val="99"/>
                <w:sz w:val="18"/>
              </w:rPr>
              <w:t>N</w:t>
            </w:r>
          </w:p>
        </w:tc>
        <w:tc>
          <w:tcPr>
            <w:tcW w:w="1381" w:type="dxa"/>
          </w:tcPr>
          <w:p>
            <w:pPr>
              <w:pStyle w:val="TableParagraph"/>
              <w:spacing w:before="42"/>
              <w:ind w:left="360" w:right="360"/>
              <w:rPr>
                <w:b/>
                <w:sz w:val="18"/>
              </w:rPr>
            </w:pPr>
            <w:r>
              <w:rPr>
                <w:b/>
                <w:sz w:val="18"/>
              </w:rPr>
              <w:t>76.71%</w:t>
            </w:r>
          </w:p>
        </w:tc>
      </w:tr>
      <w:tr>
        <w:trPr>
          <w:trHeight w:val="276" w:hRule="exact"/>
        </w:trPr>
        <w:tc>
          <w:tcPr>
            <w:tcW w:w="2367" w:type="dxa"/>
          </w:tcPr>
          <w:p>
            <w:pPr>
              <w:pStyle w:val="TableParagraph"/>
              <w:spacing w:before="25"/>
              <w:ind w:left="64"/>
              <w:jc w:val="left"/>
              <w:rPr>
                <w:b/>
                <w:sz w:val="18"/>
              </w:rPr>
            </w:pPr>
            <w:r>
              <w:rPr>
                <w:b/>
                <w:sz w:val="18"/>
              </w:rPr>
              <w:t>PT</w:t>
            </w:r>
          </w:p>
        </w:tc>
        <w:tc>
          <w:tcPr>
            <w:tcW w:w="970" w:type="dxa"/>
          </w:tcPr>
          <w:p>
            <w:pPr>
              <w:pStyle w:val="TableParagraph"/>
              <w:spacing w:before="30"/>
              <w:ind w:left="19" w:right="20"/>
              <w:rPr>
                <w:sz w:val="18"/>
              </w:rPr>
            </w:pPr>
            <w:r>
              <w:rPr>
                <w:sz w:val="18"/>
              </w:rPr>
              <w:t>11.50%</w:t>
            </w:r>
          </w:p>
        </w:tc>
        <w:tc>
          <w:tcPr>
            <w:tcW w:w="1344" w:type="dxa"/>
          </w:tcPr>
          <w:p>
            <w:pPr>
              <w:pStyle w:val="TableParagraph"/>
              <w:spacing w:before="30"/>
              <w:ind w:left="341" w:right="343"/>
              <w:rPr>
                <w:sz w:val="18"/>
              </w:rPr>
            </w:pPr>
            <w:r>
              <w:rPr>
                <w:sz w:val="18"/>
              </w:rPr>
              <w:t>93.20%</w:t>
            </w:r>
          </w:p>
        </w:tc>
        <w:tc>
          <w:tcPr>
            <w:tcW w:w="970" w:type="dxa"/>
          </w:tcPr>
          <w:p>
            <w:pPr>
              <w:pStyle w:val="TableParagraph"/>
              <w:spacing w:before="30"/>
              <w:ind w:left="19" w:right="20"/>
              <w:rPr>
                <w:sz w:val="18"/>
              </w:rPr>
            </w:pPr>
            <w:r>
              <w:rPr>
                <w:sz w:val="18"/>
              </w:rPr>
              <w:t>95.80%</w:t>
            </w:r>
          </w:p>
        </w:tc>
        <w:tc>
          <w:tcPr>
            <w:tcW w:w="972" w:type="dxa"/>
          </w:tcPr>
          <w:p>
            <w:pPr>
              <w:pStyle w:val="TableParagraph"/>
              <w:spacing w:before="30"/>
              <w:ind w:left="155" w:right="156"/>
              <w:rPr>
                <w:sz w:val="18"/>
              </w:rPr>
            </w:pPr>
            <w:r>
              <w:rPr>
                <w:sz w:val="18"/>
              </w:rPr>
              <w:t>53.49%</w:t>
            </w:r>
          </w:p>
        </w:tc>
        <w:tc>
          <w:tcPr>
            <w:tcW w:w="1381" w:type="dxa"/>
          </w:tcPr>
          <w:p>
            <w:pPr>
              <w:pStyle w:val="TableParagraph"/>
              <w:spacing w:before="25"/>
              <w:ind w:left="360" w:right="360"/>
              <w:rPr>
                <w:b/>
                <w:sz w:val="18"/>
              </w:rPr>
            </w:pPr>
            <w:r>
              <w:rPr>
                <w:b/>
                <w:sz w:val="18"/>
              </w:rPr>
              <w:t>63.50%</w:t>
            </w:r>
          </w:p>
        </w:tc>
      </w:tr>
      <w:tr>
        <w:trPr>
          <w:trHeight w:val="310" w:hRule="exact"/>
        </w:trPr>
        <w:tc>
          <w:tcPr>
            <w:tcW w:w="2367" w:type="dxa"/>
          </w:tcPr>
          <w:p>
            <w:pPr>
              <w:pStyle w:val="TableParagraph"/>
              <w:spacing w:before="42"/>
              <w:ind w:left="64"/>
              <w:jc w:val="left"/>
              <w:rPr>
                <w:b/>
                <w:sz w:val="18"/>
              </w:rPr>
            </w:pPr>
            <w:r>
              <w:rPr>
                <w:b/>
                <w:sz w:val="18"/>
              </w:rPr>
              <w:t>PRI-PVEM-NA</w:t>
            </w:r>
          </w:p>
        </w:tc>
        <w:tc>
          <w:tcPr>
            <w:tcW w:w="970" w:type="dxa"/>
          </w:tcPr>
          <w:p>
            <w:pPr>
              <w:pStyle w:val="TableParagraph"/>
              <w:spacing w:before="47"/>
              <w:ind w:left="15" w:right="20"/>
              <w:rPr>
                <w:sz w:val="18"/>
              </w:rPr>
            </w:pPr>
            <w:r>
              <w:rPr>
                <w:sz w:val="18"/>
              </w:rPr>
              <w:t>N/A</w:t>
            </w:r>
          </w:p>
        </w:tc>
        <w:tc>
          <w:tcPr>
            <w:tcW w:w="1344" w:type="dxa"/>
          </w:tcPr>
          <w:p>
            <w:pPr>
              <w:pStyle w:val="TableParagraph"/>
              <w:spacing w:before="47"/>
              <w:ind w:left="341" w:right="343"/>
              <w:rPr>
                <w:sz w:val="18"/>
              </w:rPr>
            </w:pPr>
            <w:r>
              <w:rPr>
                <w:sz w:val="18"/>
              </w:rPr>
              <w:t>91.91%</w:t>
            </w:r>
          </w:p>
        </w:tc>
        <w:tc>
          <w:tcPr>
            <w:tcW w:w="970" w:type="dxa"/>
          </w:tcPr>
          <w:p>
            <w:pPr>
              <w:pStyle w:val="TableParagraph"/>
              <w:spacing w:before="47"/>
              <w:ind w:left="19" w:right="20"/>
              <w:rPr>
                <w:sz w:val="18"/>
              </w:rPr>
            </w:pPr>
            <w:r>
              <w:rPr>
                <w:sz w:val="18"/>
              </w:rPr>
              <w:t>59.84%</w:t>
            </w:r>
          </w:p>
        </w:tc>
        <w:tc>
          <w:tcPr>
            <w:tcW w:w="972" w:type="dxa"/>
          </w:tcPr>
          <w:p>
            <w:pPr>
              <w:pStyle w:val="TableParagraph"/>
              <w:spacing w:before="47"/>
              <w:ind w:left="155" w:right="156"/>
              <w:rPr>
                <w:sz w:val="18"/>
              </w:rPr>
            </w:pPr>
            <w:r>
              <w:rPr>
                <w:sz w:val="18"/>
              </w:rPr>
              <w:t>32.86%</w:t>
            </w:r>
          </w:p>
        </w:tc>
        <w:tc>
          <w:tcPr>
            <w:tcW w:w="1381" w:type="dxa"/>
          </w:tcPr>
          <w:p>
            <w:pPr>
              <w:pStyle w:val="TableParagraph"/>
              <w:spacing w:before="42"/>
              <w:ind w:left="360" w:right="360"/>
              <w:rPr>
                <w:b/>
                <w:sz w:val="18"/>
              </w:rPr>
            </w:pPr>
            <w:r>
              <w:rPr>
                <w:b/>
                <w:sz w:val="18"/>
              </w:rPr>
              <w:t>61.54%</w:t>
            </w:r>
          </w:p>
        </w:tc>
      </w:tr>
      <w:tr>
        <w:trPr>
          <w:trHeight w:val="312" w:hRule="exact"/>
        </w:trPr>
        <w:tc>
          <w:tcPr>
            <w:tcW w:w="2367" w:type="dxa"/>
          </w:tcPr>
          <w:p>
            <w:pPr>
              <w:pStyle w:val="TableParagraph"/>
              <w:spacing w:before="42"/>
              <w:ind w:left="64"/>
              <w:jc w:val="left"/>
              <w:rPr>
                <w:b/>
                <w:sz w:val="18"/>
              </w:rPr>
            </w:pPr>
            <w:r>
              <w:rPr>
                <w:b/>
                <w:sz w:val="18"/>
              </w:rPr>
              <w:t>PAN</w:t>
            </w:r>
          </w:p>
        </w:tc>
        <w:tc>
          <w:tcPr>
            <w:tcW w:w="970" w:type="dxa"/>
          </w:tcPr>
          <w:p>
            <w:pPr>
              <w:pStyle w:val="TableParagraph"/>
              <w:spacing w:before="47"/>
              <w:ind w:left="19" w:right="20"/>
              <w:rPr>
                <w:sz w:val="18"/>
              </w:rPr>
            </w:pPr>
            <w:r>
              <w:rPr>
                <w:sz w:val="18"/>
              </w:rPr>
              <w:t>29.96%</w:t>
            </w:r>
          </w:p>
        </w:tc>
        <w:tc>
          <w:tcPr>
            <w:tcW w:w="1344" w:type="dxa"/>
          </w:tcPr>
          <w:p>
            <w:pPr>
              <w:pStyle w:val="TableParagraph"/>
              <w:spacing w:before="47"/>
              <w:ind w:left="341" w:right="341"/>
              <w:rPr>
                <w:sz w:val="18"/>
              </w:rPr>
            </w:pPr>
            <w:r>
              <w:rPr>
                <w:sz w:val="18"/>
              </w:rPr>
              <w:t>N/A</w:t>
            </w:r>
          </w:p>
        </w:tc>
        <w:tc>
          <w:tcPr>
            <w:tcW w:w="970" w:type="dxa"/>
          </w:tcPr>
          <w:p>
            <w:pPr>
              <w:pStyle w:val="TableParagraph"/>
              <w:spacing w:before="47"/>
              <w:ind w:left="19" w:right="20"/>
              <w:rPr>
                <w:sz w:val="18"/>
              </w:rPr>
            </w:pPr>
            <w:r>
              <w:rPr>
                <w:sz w:val="18"/>
              </w:rPr>
              <w:t>90.42%</w:t>
            </w:r>
          </w:p>
        </w:tc>
        <w:tc>
          <w:tcPr>
            <w:tcW w:w="972" w:type="dxa"/>
          </w:tcPr>
          <w:p>
            <w:pPr>
              <w:pStyle w:val="TableParagraph"/>
              <w:spacing w:before="47"/>
              <w:ind w:left="155" w:right="156"/>
              <w:rPr>
                <w:sz w:val="18"/>
              </w:rPr>
            </w:pPr>
            <w:r>
              <w:rPr>
                <w:sz w:val="18"/>
              </w:rPr>
              <w:t>45.40%</w:t>
            </w:r>
          </w:p>
        </w:tc>
        <w:tc>
          <w:tcPr>
            <w:tcW w:w="1381" w:type="dxa"/>
          </w:tcPr>
          <w:p>
            <w:pPr>
              <w:pStyle w:val="TableParagraph"/>
              <w:spacing w:before="42"/>
              <w:ind w:left="360" w:right="360"/>
              <w:rPr>
                <w:b/>
                <w:sz w:val="18"/>
              </w:rPr>
            </w:pPr>
            <w:r>
              <w:rPr>
                <w:b/>
                <w:sz w:val="18"/>
              </w:rPr>
              <w:t>55.26%</w:t>
            </w:r>
          </w:p>
        </w:tc>
      </w:tr>
      <w:tr>
        <w:trPr>
          <w:trHeight w:val="310" w:hRule="exact"/>
        </w:trPr>
        <w:tc>
          <w:tcPr>
            <w:tcW w:w="2367" w:type="dxa"/>
          </w:tcPr>
          <w:p>
            <w:pPr>
              <w:pStyle w:val="TableParagraph"/>
              <w:spacing w:before="40"/>
              <w:ind w:left="64"/>
              <w:jc w:val="left"/>
              <w:rPr>
                <w:b/>
                <w:sz w:val="18"/>
              </w:rPr>
            </w:pPr>
            <w:r>
              <w:rPr>
                <w:b/>
                <w:sz w:val="18"/>
              </w:rPr>
              <w:t>PAN-PT</w:t>
            </w:r>
          </w:p>
        </w:tc>
        <w:tc>
          <w:tcPr>
            <w:tcW w:w="970" w:type="dxa"/>
          </w:tcPr>
          <w:p>
            <w:pPr>
              <w:pStyle w:val="TableParagraph"/>
              <w:spacing w:before="44"/>
              <w:ind w:left="15" w:right="20"/>
              <w:rPr>
                <w:sz w:val="18"/>
              </w:rPr>
            </w:pPr>
            <w:r>
              <w:rPr>
                <w:sz w:val="18"/>
              </w:rPr>
              <w:t>N/A</w:t>
            </w:r>
          </w:p>
        </w:tc>
        <w:tc>
          <w:tcPr>
            <w:tcW w:w="1344" w:type="dxa"/>
          </w:tcPr>
          <w:p>
            <w:pPr>
              <w:pStyle w:val="TableParagraph"/>
              <w:spacing w:before="44"/>
              <w:ind w:left="341" w:right="341"/>
              <w:rPr>
                <w:sz w:val="18"/>
              </w:rPr>
            </w:pPr>
            <w:r>
              <w:rPr>
                <w:sz w:val="18"/>
              </w:rPr>
              <w:t>N/A</w:t>
            </w:r>
          </w:p>
        </w:tc>
        <w:tc>
          <w:tcPr>
            <w:tcW w:w="970" w:type="dxa"/>
          </w:tcPr>
          <w:p>
            <w:pPr>
              <w:pStyle w:val="TableParagraph"/>
              <w:spacing w:before="44"/>
              <w:ind w:left="15" w:right="20"/>
              <w:rPr>
                <w:sz w:val="18"/>
              </w:rPr>
            </w:pPr>
            <w:r>
              <w:rPr>
                <w:sz w:val="18"/>
              </w:rPr>
              <w:t>N/A</w:t>
            </w:r>
          </w:p>
        </w:tc>
        <w:tc>
          <w:tcPr>
            <w:tcW w:w="972" w:type="dxa"/>
          </w:tcPr>
          <w:p>
            <w:pPr>
              <w:pStyle w:val="TableParagraph"/>
              <w:spacing w:before="44"/>
              <w:ind w:left="155" w:right="156"/>
              <w:rPr>
                <w:sz w:val="18"/>
              </w:rPr>
            </w:pPr>
            <w:r>
              <w:rPr>
                <w:sz w:val="18"/>
              </w:rPr>
              <w:t>50.86%</w:t>
            </w:r>
          </w:p>
        </w:tc>
        <w:tc>
          <w:tcPr>
            <w:tcW w:w="1381" w:type="dxa"/>
          </w:tcPr>
          <w:p>
            <w:pPr>
              <w:pStyle w:val="TableParagraph"/>
              <w:spacing w:before="40"/>
              <w:ind w:left="360" w:right="360"/>
              <w:rPr>
                <w:b/>
                <w:sz w:val="18"/>
              </w:rPr>
            </w:pPr>
            <w:r>
              <w:rPr>
                <w:b/>
                <w:sz w:val="18"/>
              </w:rPr>
              <w:t>50.86%</w:t>
            </w:r>
          </w:p>
        </w:tc>
      </w:tr>
      <w:tr>
        <w:trPr>
          <w:trHeight w:val="310" w:hRule="exact"/>
        </w:trPr>
        <w:tc>
          <w:tcPr>
            <w:tcW w:w="2367" w:type="dxa"/>
          </w:tcPr>
          <w:p>
            <w:pPr>
              <w:pStyle w:val="TableParagraph"/>
              <w:spacing w:before="40"/>
              <w:ind w:left="64"/>
              <w:jc w:val="left"/>
              <w:rPr>
                <w:b/>
                <w:sz w:val="18"/>
              </w:rPr>
            </w:pPr>
            <w:r>
              <w:rPr>
                <w:b/>
                <w:sz w:val="18"/>
              </w:rPr>
              <w:t>PRI</w:t>
            </w:r>
          </w:p>
        </w:tc>
        <w:tc>
          <w:tcPr>
            <w:tcW w:w="970" w:type="dxa"/>
          </w:tcPr>
          <w:p>
            <w:pPr>
              <w:pStyle w:val="TableParagraph"/>
              <w:spacing w:before="44"/>
              <w:ind w:left="15" w:right="20"/>
              <w:rPr>
                <w:sz w:val="18"/>
              </w:rPr>
            </w:pPr>
            <w:r>
              <w:rPr>
                <w:sz w:val="18"/>
              </w:rPr>
              <w:t>N/A</w:t>
            </w:r>
          </w:p>
        </w:tc>
        <w:tc>
          <w:tcPr>
            <w:tcW w:w="1344" w:type="dxa"/>
          </w:tcPr>
          <w:p>
            <w:pPr>
              <w:pStyle w:val="TableParagraph"/>
              <w:spacing w:before="44"/>
              <w:ind w:left="341" w:right="341"/>
              <w:rPr>
                <w:sz w:val="18"/>
              </w:rPr>
            </w:pPr>
            <w:r>
              <w:rPr>
                <w:sz w:val="18"/>
              </w:rPr>
              <w:t>N/A</w:t>
            </w:r>
          </w:p>
        </w:tc>
        <w:tc>
          <w:tcPr>
            <w:tcW w:w="970" w:type="dxa"/>
          </w:tcPr>
          <w:p>
            <w:pPr>
              <w:pStyle w:val="TableParagraph"/>
              <w:spacing w:before="44"/>
              <w:ind w:left="15" w:right="20"/>
              <w:rPr>
                <w:sz w:val="18"/>
              </w:rPr>
            </w:pPr>
            <w:r>
              <w:rPr>
                <w:sz w:val="18"/>
              </w:rPr>
              <w:t>N/A</w:t>
            </w:r>
          </w:p>
        </w:tc>
        <w:tc>
          <w:tcPr>
            <w:tcW w:w="972" w:type="dxa"/>
          </w:tcPr>
          <w:p>
            <w:pPr>
              <w:pStyle w:val="TableParagraph"/>
              <w:spacing w:before="44"/>
              <w:ind w:left="155" w:right="156"/>
              <w:rPr>
                <w:sz w:val="18"/>
              </w:rPr>
            </w:pPr>
            <w:r>
              <w:rPr>
                <w:sz w:val="18"/>
              </w:rPr>
              <w:t>41.69%</w:t>
            </w:r>
          </w:p>
        </w:tc>
        <w:tc>
          <w:tcPr>
            <w:tcW w:w="1381" w:type="dxa"/>
          </w:tcPr>
          <w:p>
            <w:pPr>
              <w:pStyle w:val="TableParagraph"/>
              <w:spacing w:before="40"/>
              <w:ind w:left="360" w:right="360"/>
              <w:rPr>
                <w:b/>
                <w:sz w:val="18"/>
              </w:rPr>
            </w:pPr>
            <w:r>
              <w:rPr>
                <w:b/>
                <w:sz w:val="18"/>
              </w:rPr>
              <w:t>41.69%</w:t>
            </w:r>
          </w:p>
        </w:tc>
      </w:tr>
    </w:tbl>
    <w:p>
      <w:pPr>
        <w:spacing w:after="0"/>
        <w:rPr>
          <w:sz w:val="18"/>
        </w:rPr>
        <w:sectPr>
          <w:pgSz w:w="12240" w:h="15840"/>
          <w:pgMar w:header="0" w:footer="975" w:top="1420" w:bottom="1220" w:left="1440" w:right="1520"/>
        </w:sectPr>
      </w:pPr>
    </w:p>
    <w:tbl>
      <w:tblPr>
        <w:tblW w:w="0" w:type="auto"/>
        <w:jc w:val="left"/>
        <w:tblInd w:w="5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67"/>
        <w:gridCol w:w="970"/>
        <w:gridCol w:w="1344"/>
        <w:gridCol w:w="970"/>
        <w:gridCol w:w="972"/>
        <w:gridCol w:w="1381"/>
      </w:tblGrid>
      <w:tr>
        <w:trPr>
          <w:trHeight w:val="424" w:hRule="exact"/>
        </w:trPr>
        <w:tc>
          <w:tcPr>
            <w:tcW w:w="8003" w:type="dxa"/>
            <w:gridSpan w:val="6"/>
            <w:shd w:val="clear" w:color="auto" w:fill="92D050"/>
          </w:tcPr>
          <w:p>
            <w:pPr>
              <w:pStyle w:val="TableParagraph"/>
              <w:ind w:left="2105" w:right="295" w:hanging="1799"/>
              <w:jc w:val="left"/>
              <w:rPr>
                <w:b/>
                <w:sz w:val="18"/>
              </w:rPr>
            </w:pPr>
            <w:r>
              <w:rPr>
                <w:b/>
                <w:sz w:val="18"/>
              </w:rPr>
              <w:t>Tabla 3.20. Cumplimiento de la ley de transparencia por parte de los partidos políticos durante el periodo 2012-2015 (Finaliza tabla)</w:t>
            </w:r>
          </w:p>
        </w:tc>
      </w:tr>
      <w:tr>
        <w:trPr>
          <w:trHeight w:val="425" w:hRule="exact"/>
        </w:trPr>
        <w:tc>
          <w:tcPr>
            <w:tcW w:w="2367" w:type="dxa"/>
            <w:shd w:val="clear" w:color="auto" w:fill="92D050"/>
          </w:tcPr>
          <w:p>
            <w:pPr>
              <w:pStyle w:val="TableParagraph"/>
              <w:spacing w:before="94"/>
              <w:ind w:left="520"/>
              <w:jc w:val="left"/>
              <w:rPr>
                <w:b/>
                <w:sz w:val="18"/>
              </w:rPr>
            </w:pPr>
            <w:r>
              <w:rPr>
                <w:b/>
                <w:sz w:val="18"/>
              </w:rPr>
              <w:t>Partido político</w:t>
            </w:r>
          </w:p>
        </w:tc>
        <w:tc>
          <w:tcPr>
            <w:tcW w:w="970" w:type="dxa"/>
            <w:shd w:val="clear" w:color="auto" w:fill="92D050"/>
          </w:tcPr>
          <w:p>
            <w:pPr>
              <w:pStyle w:val="TableParagraph"/>
              <w:ind w:left="275" w:right="48" w:hanging="214"/>
              <w:jc w:val="left"/>
              <w:rPr>
                <w:b/>
                <w:sz w:val="18"/>
              </w:rPr>
            </w:pPr>
            <w:r>
              <w:rPr>
                <w:b/>
                <w:sz w:val="18"/>
              </w:rPr>
              <w:t>Promedio 2012</w:t>
            </w:r>
          </w:p>
        </w:tc>
        <w:tc>
          <w:tcPr>
            <w:tcW w:w="1344" w:type="dxa"/>
            <w:shd w:val="clear" w:color="auto" w:fill="92D050"/>
          </w:tcPr>
          <w:p>
            <w:pPr>
              <w:pStyle w:val="TableParagraph"/>
              <w:ind w:left="465" w:right="235" w:hanging="216"/>
              <w:jc w:val="left"/>
              <w:rPr>
                <w:b/>
                <w:sz w:val="18"/>
              </w:rPr>
            </w:pPr>
            <w:r>
              <w:rPr>
                <w:b/>
                <w:sz w:val="18"/>
              </w:rPr>
              <w:t>Promedio 2013</w:t>
            </w:r>
          </w:p>
        </w:tc>
        <w:tc>
          <w:tcPr>
            <w:tcW w:w="970" w:type="dxa"/>
            <w:shd w:val="clear" w:color="auto" w:fill="92D050"/>
          </w:tcPr>
          <w:p>
            <w:pPr>
              <w:pStyle w:val="TableParagraph"/>
              <w:ind w:left="275" w:right="48" w:hanging="214"/>
              <w:jc w:val="left"/>
              <w:rPr>
                <w:b/>
                <w:sz w:val="18"/>
              </w:rPr>
            </w:pPr>
            <w:r>
              <w:rPr>
                <w:b/>
                <w:sz w:val="18"/>
              </w:rPr>
              <w:t>Promedio 2014</w:t>
            </w:r>
          </w:p>
        </w:tc>
        <w:tc>
          <w:tcPr>
            <w:tcW w:w="972" w:type="dxa"/>
            <w:shd w:val="clear" w:color="auto" w:fill="92D050"/>
          </w:tcPr>
          <w:p>
            <w:pPr>
              <w:pStyle w:val="TableParagraph"/>
              <w:ind w:left="278" w:right="48" w:hanging="214"/>
              <w:jc w:val="left"/>
              <w:rPr>
                <w:b/>
                <w:sz w:val="18"/>
              </w:rPr>
            </w:pPr>
            <w:r>
              <w:rPr>
                <w:b/>
                <w:sz w:val="18"/>
              </w:rPr>
              <w:t>Promedio 2015</w:t>
            </w:r>
          </w:p>
        </w:tc>
        <w:tc>
          <w:tcPr>
            <w:tcW w:w="1381" w:type="dxa"/>
            <w:shd w:val="clear" w:color="auto" w:fill="92D050"/>
          </w:tcPr>
          <w:p>
            <w:pPr>
              <w:pStyle w:val="TableParagraph"/>
              <w:ind w:left="420" w:right="252" w:hanging="152"/>
              <w:jc w:val="left"/>
              <w:rPr>
                <w:b/>
                <w:sz w:val="18"/>
              </w:rPr>
            </w:pPr>
            <w:r>
              <w:rPr>
                <w:b/>
                <w:sz w:val="18"/>
              </w:rPr>
              <w:t>Promedio global</w:t>
            </w:r>
          </w:p>
        </w:tc>
      </w:tr>
      <w:tr>
        <w:trPr>
          <w:trHeight w:val="310" w:hRule="exact"/>
        </w:trPr>
        <w:tc>
          <w:tcPr>
            <w:tcW w:w="2367" w:type="dxa"/>
          </w:tcPr>
          <w:p>
            <w:pPr>
              <w:pStyle w:val="TableParagraph"/>
              <w:spacing w:before="37"/>
              <w:ind w:left="64"/>
              <w:jc w:val="left"/>
              <w:rPr>
                <w:b/>
                <w:sz w:val="18"/>
              </w:rPr>
            </w:pPr>
            <w:r>
              <w:rPr>
                <w:b/>
                <w:sz w:val="18"/>
              </w:rPr>
              <w:t>PRD</w:t>
            </w:r>
          </w:p>
        </w:tc>
        <w:tc>
          <w:tcPr>
            <w:tcW w:w="970" w:type="dxa"/>
          </w:tcPr>
          <w:p>
            <w:pPr>
              <w:pStyle w:val="TableParagraph"/>
              <w:spacing w:before="42"/>
              <w:ind w:left="19" w:right="20"/>
              <w:rPr>
                <w:sz w:val="18"/>
              </w:rPr>
            </w:pPr>
            <w:r>
              <w:rPr>
                <w:sz w:val="18"/>
              </w:rPr>
              <w:t>11.50%</w:t>
            </w:r>
          </w:p>
        </w:tc>
        <w:tc>
          <w:tcPr>
            <w:tcW w:w="1344" w:type="dxa"/>
          </w:tcPr>
          <w:p>
            <w:pPr>
              <w:pStyle w:val="TableParagraph"/>
              <w:spacing w:before="42"/>
              <w:ind w:left="341" w:right="341"/>
              <w:rPr>
                <w:sz w:val="18"/>
              </w:rPr>
            </w:pPr>
            <w:r>
              <w:rPr>
                <w:sz w:val="18"/>
              </w:rPr>
              <w:t>N/A</w:t>
            </w:r>
          </w:p>
        </w:tc>
        <w:tc>
          <w:tcPr>
            <w:tcW w:w="970" w:type="dxa"/>
          </w:tcPr>
          <w:p>
            <w:pPr>
              <w:pStyle w:val="TableParagraph"/>
              <w:spacing w:before="42"/>
              <w:ind w:left="19" w:right="20"/>
              <w:rPr>
                <w:sz w:val="18"/>
              </w:rPr>
            </w:pPr>
            <w:r>
              <w:rPr>
                <w:sz w:val="18"/>
              </w:rPr>
              <w:t>94.61%</w:t>
            </w:r>
          </w:p>
        </w:tc>
        <w:tc>
          <w:tcPr>
            <w:tcW w:w="972" w:type="dxa"/>
          </w:tcPr>
          <w:p>
            <w:pPr>
              <w:pStyle w:val="TableParagraph"/>
              <w:spacing w:before="42"/>
              <w:ind w:left="155" w:right="156"/>
              <w:rPr>
                <w:sz w:val="18"/>
              </w:rPr>
            </w:pPr>
            <w:r>
              <w:rPr>
                <w:sz w:val="18"/>
              </w:rPr>
              <w:t>11.56%</w:t>
            </w:r>
          </w:p>
        </w:tc>
        <w:tc>
          <w:tcPr>
            <w:tcW w:w="1381" w:type="dxa"/>
          </w:tcPr>
          <w:p>
            <w:pPr>
              <w:pStyle w:val="TableParagraph"/>
              <w:spacing w:before="37"/>
              <w:ind w:left="360" w:right="360"/>
              <w:rPr>
                <w:b/>
                <w:sz w:val="18"/>
              </w:rPr>
            </w:pPr>
            <w:r>
              <w:rPr>
                <w:b/>
                <w:sz w:val="18"/>
              </w:rPr>
              <w:t>39.22%</w:t>
            </w:r>
          </w:p>
        </w:tc>
      </w:tr>
      <w:tr>
        <w:trPr>
          <w:trHeight w:val="310" w:hRule="exact"/>
        </w:trPr>
        <w:tc>
          <w:tcPr>
            <w:tcW w:w="2367" w:type="dxa"/>
          </w:tcPr>
          <w:p>
            <w:pPr>
              <w:pStyle w:val="TableParagraph"/>
              <w:spacing w:before="37"/>
              <w:ind w:left="64"/>
              <w:jc w:val="left"/>
              <w:rPr>
                <w:b/>
                <w:sz w:val="18"/>
              </w:rPr>
            </w:pPr>
            <w:r>
              <w:rPr>
                <w:b/>
                <w:sz w:val="18"/>
              </w:rPr>
              <w:t>PES</w:t>
            </w:r>
          </w:p>
        </w:tc>
        <w:tc>
          <w:tcPr>
            <w:tcW w:w="970" w:type="dxa"/>
          </w:tcPr>
          <w:p>
            <w:pPr>
              <w:pStyle w:val="TableParagraph"/>
              <w:spacing w:before="42"/>
              <w:ind w:left="15" w:right="20"/>
              <w:rPr>
                <w:sz w:val="18"/>
              </w:rPr>
            </w:pPr>
            <w:r>
              <w:rPr>
                <w:sz w:val="18"/>
              </w:rPr>
              <w:t>N/A</w:t>
            </w:r>
          </w:p>
        </w:tc>
        <w:tc>
          <w:tcPr>
            <w:tcW w:w="1344" w:type="dxa"/>
          </w:tcPr>
          <w:p>
            <w:pPr>
              <w:pStyle w:val="TableParagraph"/>
              <w:spacing w:before="42"/>
              <w:ind w:left="341" w:right="341"/>
              <w:rPr>
                <w:sz w:val="18"/>
              </w:rPr>
            </w:pPr>
            <w:r>
              <w:rPr>
                <w:sz w:val="18"/>
              </w:rPr>
              <w:t>N/A</w:t>
            </w:r>
          </w:p>
        </w:tc>
        <w:tc>
          <w:tcPr>
            <w:tcW w:w="970" w:type="dxa"/>
          </w:tcPr>
          <w:p>
            <w:pPr>
              <w:pStyle w:val="TableParagraph"/>
              <w:spacing w:before="42"/>
              <w:ind w:left="15" w:right="20"/>
              <w:rPr>
                <w:sz w:val="18"/>
              </w:rPr>
            </w:pPr>
            <w:r>
              <w:rPr>
                <w:sz w:val="18"/>
              </w:rPr>
              <w:t>N/A</w:t>
            </w:r>
          </w:p>
        </w:tc>
        <w:tc>
          <w:tcPr>
            <w:tcW w:w="972" w:type="dxa"/>
          </w:tcPr>
          <w:p>
            <w:pPr>
              <w:pStyle w:val="TableParagraph"/>
              <w:spacing w:before="42"/>
              <w:ind w:left="155" w:right="156"/>
              <w:rPr>
                <w:sz w:val="18"/>
              </w:rPr>
            </w:pPr>
            <w:r>
              <w:rPr>
                <w:sz w:val="18"/>
              </w:rPr>
              <w:t>29.90%</w:t>
            </w:r>
          </w:p>
        </w:tc>
        <w:tc>
          <w:tcPr>
            <w:tcW w:w="1381" w:type="dxa"/>
          </w:tcPr>
          <w:p>
            <w:pPr>
              <w:pStyle w:val="TableParagraph"/>
              <w:spacing w:before="37"/>
              <w:ind w:left="360" w:right="360"/>
              <w:rPr>
                <w:b/>
                <w:sz w:val="18"/>
              </w:rPr>
            </w:pPr>
            <w:r>
              <w:rPr>
                <w:b/>
                <w:sz w:val="18"/>
              </w:rPr>
              <w:t>29.90%</w:t>
            </w:r>
          </w:p>
        </w:tc>
      </w:tr>
      <w:tr>
        <w:trPr>
          <w:trHeight w:val="310" w:hRule="exact"/>
        </w:trPr>
        <w:tc>
          <w:tcPr>
            <w:tcW w:w="2367" w:type="dxa"/>
          </w:tcPr>
          <w:p>
            <w:pPr>
              <w:pStyle w:val="TableParagraph"/>
              <w:spacing w:before="39"/>
              <w:ind w:left="64"/>
              <w:jc w:val="left"/>
              <w:rPr>
                <w:b/>
                <w:sz w:val="18"/>
              </w:rPr>
            </w:pPr>
            <w:r>
              <w:rPr>
                <w:b/>
                <w:sz w:val="18"/>
              </w:rPr>
              <w:t>PRI-PVEM-NA-PSD-PFD</w:t>
            </w:r>
          </w:p>
        </w:tc>
        <w:tc>
          <w:tcPr>
            <w:tcW w:w="970" w:type="dxa"/>
          </w:tcPr>
          <w:p>
            <w:pPr>
              <w:pStyle w:val="TableParagraph"/>
              <w:spacing w:before="44"/>
              <w:ind w:left="19" w:right="20"/>
              <w:rPr>
                <w:sz w:val="18"/>
              </w:rPr>
            </w:pPr>
            <w:r>
              <w:rPr>
                <w:sz w:val="18"/>
              </w:rPr>
              <w:t>28.09%</w:t>
            </w:r>
          </w:p>
        </w:tc>
        <w:tc>
          <w:tcPr>
            <w:tcW w:w="1344" w:type="dxa"/>
          </w:tcPr>
          <w:p>
            <w:pPr>
              <w:pStyle w:val="TableParagraph"/>
              <w:spacing w:before="44"/>
              <w:ind w:left="341" w:right="341"/>
              <w:rPr>
                <w:sz w:val="18"/>
              </w:rPr>
            </w:pPr>
            <w:r>
              <w:rPr>
                <w:sz w:val="18"/>
              </w:rPr>
              <w:t>N/A</w:t>
            </w:r>
          </w:p>
        </w:tc>
        <w:tc>
          <w:tcPr>
            <w:tcW w:w="970" w:type="dxa"/>
          </w:tcPr>
          <w:p>
            <w:pPr>
              <w:pStyle w:val="TableParagraph"/>
              <w:spacing w:before="44"/>
              <w:ind w:left="15" w:right="20"/>
              <w:rPr>
                <w:sz w:val="18"/>
              </w:rPr>
            </w:pPr>
            <w:r>
              <w:rPr>
                <w:sz w:val="18"/>
              </w:rPr>
              <w:t>N/A</w:t>
            </w:r>
          </w:p>
        </w:tc>
        <w:tc>
          <w:tcPr>
            <w:tcW w:w="972" w:type="dxa"/>
          </w:tcPr>
          <w:p>
            <w:pPr>
              <w:pStyle w:val="TableParagraph"/>
              <w:spacing w:before="44"/>
              <w:ind w:left="154" w:right="156"/>
              <w:rPr>
                <w:sz w:val="18"/>
              </w:rPr>
            </w:pPr>
            <w:r>
              <w:rPr>
                <w:sz w:val="18"/>
              </w:rPr>
              <w:t>N/A</w:t>
            </w:r>
          </w:p>
        </w:tc>
        <w:tc>
          <w:tcPr>
            <w:tcW w:w="1381" w:type="dxa"/>
          </w:tcPr>
          <w:p>
            <w:pPr>
              <w:pStyle w:val="TableParagraph"/>
              <w:spacing w:before="39"/>
              <w:ind w:left="360" w:right="360"/>
              <w:rPr>
                <w:b/>
                <w:sz w:val="18"/>
              </w:rPr>
            </w:pPr>
            <w:r>
              <w:rPr>
                <w:b/>
                <w:sz w:val="18"/>
              </w:rPr>
              <w:t>28.09%</w:t>
            </w:r>
          </w:p>
        </w:tc>
      </w:tr>
      <w:tr>
        <w:trPr>
          <w:trHeight w:val="310" w:hRule="exact"/>
        </w:trPr>
        <w:tc>
          <w:tcPr>
            <w:tcW w:w="2367" w:type="dxa"/>
          </w:tcPr>
          <w:p>
            <w:pPr>
              <w:pStyle w:val="TableParagraph"/>
              <w:spacing w:before="39"/>
              <w:ind w:left="64"/>
              <w:jc w:val="left"/>
              <w:rPr>
                <w:b/>
                <w:sz w:val="18"/>
              </w:rPr>
            </w:pPr>
            <w:r>
              <w:rPr>
                <w:b/>
                <w:sz w:val="18"/>
              </w:rPr>
              <w:t>Convergencia</w:t>
            </w:r>
          </w:p>
        </w:tc>
        <w:tc>
          <w:tcPr>
            <w:tcW w:w="970" w:type="dxa"/>
          </w:tcPr>
          <w:p>
            <w:pPr>
              <w:pStyle w:val="TableParagraph"/>
              <w:spacing w:before="44"/>
              <w:ind w:left="19" w:right="20"/>
              <w:rPr>
                <w:sz w:val="18"/>
              </w:rPr>
            </w:pPr>
            <w:r>
              <w:rPr>
                <w:sz w:val="18"/>
              </w:rPr>
              <w:t>24.55%</w:t>
            </w:r>
          </w:p>
        </w:tc>
        <w:tc>
          <w:tcPr>
            <w:tcW w:w="1344" w:type="dxa"/>
          </w:tcPr>
          <w:p>
            <w:pPr>
              <w:pStyle w:val="TableParagraph"/>
              <w:spacing w:before="44"/>
              <w:ind w:left="341" w:right="341"/>
              <w:rPr>
                <w:sz w:val="18"/>
              </w:rPr>
            </w:pPr>
            <w:r>
              <w:rPr>
                <w:sz w:val="18"/>
              </w:rPr>
              <w:t>N/A</w:t>
            </w:r>
          </w:p>
        </w:tc>
        <w:tc>
          <w:tcPr>
            <w:tcW w:w="970" w:type="dxa"/>
          </w:tcPr>
          <w:p>
            <w:pPr>
              <w:pStyle w:val="TableParagraph"/>
              <w:spacing w:before="44"/>
              <w:ind w:left="15" w:right="20"/>
              <w:rPr>
                <w:sz w:val="18"/>
              </w:rPr>
            </w:pPr>
            <w:r>
              <w:rPr>
                <w:sz w:val="18"/>
              </w:rPr>
              <w:t>N/A</w:t>
            </w:r>
          </w:p>
        </w:tc>
        <w:tc>
          <w:tcPr>
            <w:tcW w:w="972" w:type="dxa"/>
          </w:tcPr>
          <w:p>
            <w:pPr>
              <w:pStyle w:val="TableParagraph"/>
              <w:spacing w:before="44"/>
              <w:rPr>
                <w:sz w:val="18"/>
              </w:rPr>
            </w:pPr>
            <w:r>
              <w:rPr>
                <w:w w:val="99"/>
                <w:sz w:val="18"/>
              </w:rPr>
              <w:t>N</w:t>
            </w:r>
          </w:p>
        </w:tc>
        <w:tc>
          <w:tcPr>
            <w:tcW w:w="1381" w:type="dxa"/>
          </w:tcPr>
          <w:p>
            <w:pPr>
              <w:pStyle w:val="TableParagraph"/>
              <w:spacing w:before="39"/>
              <w:ind w:left="360" w:right="360"/>
              <w:rPr>
                <w:b/>
                <w:sz w:val="18"/>
              </w:rPr>
            </w:pPr>
            <w:r>
              <w:rPr>
                <w:b/>
                <w:sz w:val="18"/>
              </w:rPr>
              <w:t>24.55%</w:t>
            </w:r>
          </w:p>
        </w:tc>
      </w:tr>
      <w:tr>
        <w:trPr>
          <w:trHeight w:val="312" w:hRule="exact"/>
        </w:trPr>
        <w:tc>
          <w:tcPr>
            <w:tcW w:w="2367" w:type="dxa"/>
          </w:tcPr>
          <w:p>
            <w:pPr>
              <w:pStyle w:val="TableParagraph"/>
              <w:spacing w:before="39"/>
              <w:ind w:left="64"/>
              <w:jc w:val="left"/>
              <w:rPr>
                <w:b/>
                <w:sz w:val="18"/>
              </w:rPr>
            </w:pPr>
            <w:r>
              <w:rPr>
                <w:b/>
                <w:sz w:val="18"/>
              </w:rPr>
              <w:t>PRD-PT</w:t>
            </w:r>
          </w:p>
        </w:tc>
        <w:tc>
          <w:tcPr>
            <w:tcW w:w="970" w:type="dxa"/>
          </w:tcPr>
          <w:p>
            <w:pPr>
              <w:pStyle w:val="TableParagraph"/>
              <w:spacing w:before="44"/>
              <w:ind w:left="16" w:right="20"/>
              <w:rPr>
                <w:sz w:val="18"/>
              </w:rPr>
            </w:pPr>
            <w:r>
              <w:rPr>
                <w:sz w:val="18"/>
              </w:rPr>
              <w:t>3.80%</w:t>
            </w:r>
          </w:p>
        </w:tc>
        <w:tc>
          <w:tcPr>
            <w:tcW w:w="1344" w:type="dxa"/>
          </w:tcPr>
          <w:p>
            <w:pPr>
              <w:pStyle w:val="TableParagraph"/>
              <w:spacing w:before="44"/>
              <w:ind w:left="341" w:right="343"/>
              <w:rPr>
                <w:sz w:val="18"/>
              </w:rPr>
            </w:pPr>
            <w:r>
              <w:rPr>
                <w:sz w:val="18"/>
              </w:rPr>
              <w:t>16.40%</w:t>
            </w:r>
          </w:p>
        </w:tc>
        <w:tc>
          <w:tcPr>
            <w:tcW w:w="970" w:type="dxa"/>
          </w:tcPr>
          <w:p>
            <w:pPr>
              <w:pStyle w:val="TableParagraph"/>
              <w:spacing w:before="44"/>
              <w:ind w:left="15" w:right="20"/>
              <w:rPr>
                <w:sz w:val="18"/>
              </w:rPr>
            </w:pPr>
            <w:r>
              <w:rPr>
                <w:sz w:val="18"/>
              </w:rPr>
              <w:t>N/A</w:t>
            </w:r>
          </w:p>
        </w:tc>
        <w:tc>
          <w:tcPr>
            <w:tcW w:w="972" w:type="dxa"/>
          </w:tcPr>
          <w:p>
            <w:pPr>
              <w:pStyle w:val="TableParagraph"/>
              <w:spacing w:before="44"/>
              <w:ind w:left="154" w:right="156"/>
              <w:rPr>
                <w:sz w:val="18"/>
              </w:rPr>
            </w:pPr>
            <w:r>
              <w:rPr>
                <w:sz w:val="18"/>
              </w:rPr>
              <w:t>N/A</w:t>
            </w:r>
          </w:p>
        </w:tc>
        <w:tc>
          <w:tcPr>
            <w:tcW w:w="1381" w:type="dxa"/>
          </w:tcPr>
          <w:p>
            <w:pPr>
              <w:pStyle w:val="TableParagraph"/>
              <w:spacing w:before="39"/>
              <w:ind w:left="360" w:right="360"/>
              <w:rPr>
                <w:b/>
                <w:sz w:val="18"/>
              </w:rPr>
            </w:pPr>
            <w:r>
              <w:rPr>
                <w:b/>
                <w:sz w:val="18"/>
              </w:rPr>
              <w:t>10.10%</w:t>
            </w:r>
          </w:p>
        </w:tc>
      </w:tr>
      <w:tr>
        <w:trPr>
          <w:trHeight w:val="310" w:hRule="exact"/>
        </w:trPr>
        <w:tc>
          <w:tcPr>
            <w:tcW w:w="2367" w:type="dxa"/>
          </w:tcPr>
          <w:p>
            <w:pPr>
              <w:pStyle w:val="TableParagraph"/>
              <w:spacing w:before="37"/>
              <w:ind w:left="64"/>
              <w:jc w:val="left"/>
              <w:rPr>
                <w:b/>
                <w:sz w:val="18"/>
              </w:rPr>
            </w:pPr>
            <w:r>
              <w:rPr>
                <w:b/>
                <w:sz w:val="18"/>
              </w:rPr>
              <w:t>PRD-MC</w:t>
            </w:r>
          </w:p>
        </w:tc>
        <w:tc>
          <w:tcPr>
            <w:tcW w:w="970" w:type="dxa"/>
          </w:tcPr>
          <w:p>
            <w:pPr>
              <w:pStyle w:val="TableParagraph"/>
              <w:spacing w:before="42"/>
              <w:ind w:left="15" w:right="20"/>
              <w:rPr>
                <w:sz w:val="18"/>
              </w:rPr>
            </w:pPr>
            <w:r>
              <w:rPr>
                <w:sz w:val="18"/>
              </w:rPr>
              <w:t>N/A</w:t>
            </w:r>
          </w:p>
        </w:tc>
        <w:tc>
          <w:tcPr>
            <w:tcW w:w="1344" w:type="dxa"/>
          </w:tcPr>
          <w:p>
            <w:pPr>
              <w:pStyle w:val="TableParagraph"/>
              <w:spacing w:before="42"/>
              <w:ind w:left="341" w:right="341"/>
              <w:rPr>
                <w:sz w:val="18"/>
              </w:rPr>
            </w:pPr>
            <w:r>
              <w:rPr>
                <w:sz w:val="18"/>
              </w:rPr>
              <w:t>N/A</w:t>
            </w:r>
          </w:p>
        </w:tc>
        <w:tc>
          <w:tcPr>
            <w:tcW w:w="970" w:type="dxa"/>
          </w:tcPr>
          <w:p>
            <w:pPr>
              <w:pStyle w:val="TableParagraph"/>
              <w:spacing w:before="42"/>
              <w:ind w:left="16" w:right="20"/>
              <w:rPr>
                <w:sz w:val="18"/>
              </w:rPr>
            </w:pPr>
            <w:r>
              <w:rPr>
                <w:sz w:val="18"/>
              </w:rPr>
              <w:t>5.58%</w:t>
            </w:r>
          </w:p>
        </w:tc>
        <w:tc>
          <w:tcPr>
            <w:tcW w:w="972" w:type="dxa"/>
          </w:tcPr>
          <w:p>
            <w:pPr>
              <w:pStyle w:val="TableParagraph"/>
              <w:spacing w:before="42"/>
              <w:ind w:left="154" w:right="156"/>
              <w:rPr>
                <w:sz w:val="18"/>
              </w:rPr>
            </w:pPr>
            <w:r>
              <w:rPr>
                <w:sz w:val="18"/>
              </w:rPr>
              <w:t>N/A</w:t>
            </w:r>
          </w:p>
        </w:tc>
        <w:tc>
          <w:tcPr>
            <w:tcW w:w="1381" w:type="dxa"/>
          </w:tcPr>
          <w:p>
            <w:pPr>
              <w:pStyle w:val="TableParagraph"/>
              <w:spacing w:before="37"/>
              <w:ind w:left="360" w:right="358"/>
              <w:rPr>
                <w:b/>
                <w:sz w:val="18"/>
              </w:rPr>
            </w:pPr>
            <w:r>
              <w:rPr>
                <w:b/>
                <w:sz w:val="18"/>
              </w:rPr>
              <w:t>5.58%</w:t>
            </w:r>
          </w:p>
        </w:tc>
      </w:tr>
      <w:tr>
        <w:trPr>
          <w:trHeight w:val="310" w:hRule="exact"/>
        </w:trPr>
        <w:tc>
          <w:tcPr>
            <w:tcW w:w="2367" w:type="dxa"/>
          </w:tcPr>
          <w:p>
            <w:pPr>
              <w:pStyle w:val="TableParagraph"/>
              <w:spacing w:before="37"/>
              <w:ind w:left="64"/>
              <w:jc w:val="left"/>
              <w:rPr>
                <w:b/>
                <w:sz w:val="18"/>
              </w:rPr>
            </w:pPr>
            <w:r>
              <w:rPr>
                <w:b/>
                <w:sz w:val="18"/>
              </w:rPr>
              <w:t>PAN-Convergencia</w:t>
            </w:r>
          </w:p>
        </w:tc>
        <w:tc>
          <w:tcPr>
            <w:tcW w:w="970" w:type="dxa"/>
          </w:tcPr>
          <w:p>
            <w:pPr>
              <w:pStyle w:val="TableParagraph"/>
              <w:spacing w:before="42"/>
              <w:ind w:left="16" w:right="20"/>
              <w:rPr>
                <w:sz w:val="18"/>
              </w:rPr>
            </w:pPr>
            <w:r>
              <w:rPr>
                <w:sz w:val="18"/>
              </w:rPr>
              <w:t>3.80%</w:t>
            </w:r>
          </w:p>
        </w:tc>
        <w:tc>
          <w:tcPr>
            <w:tcW w:w="1344" w:type="dxa"/>
          </w:tcPr>
          <w:p>
            <w:pPr>
              <w:pStyle w:val="TableParagraph"/>
              <w:spacing w:before="42"/>
              <w:ind w:left="341" w:right="341"/>
              <w:rPr>
                <w:sz w:val="18"/>
              </w:rPr>
            </w:pPr>
            <w:r>
              <w:rPr>
                <w:sz w:val="18"/>
              </w:rPr>
              <w:t>N/A</w:t>
            </w:r>
          </w:p>
        </w:tc>
        <w:tc>
          <w:tcPr>
            <w:tcW w:w="970" w:type="dxa"/>
          </w:tcPr>
          <w:p>
            <w:pPr>
              <w:pStyle w:val="TableParagraph"/>
              <w:spacing w:before="42"/>
              <w:ind w:left="15" w:right="20"/>
              <w:rPr>
                <w:sz w:val="18"/>
              </w:rPr>
            </w:pPr>
            <w:r>
              <w:rPr>
                <w:sz w:val="18"/>
              </w:rPr>
              <w:t>N/A</w:t>
            </w:r>
          </w:p>
        </w:tc>
        <w:tc>
          <w:tcPr>
            <w:tcW w:w="972" w:type="dxa"/>
          </w:tcPr>
          <w:p>
            <w:pPr>
              <w:pStyle w:val="TableParagraph"/>
              <w:spacing w:before="42"/>
              <w:ind w:left="154" w:right="156"/>
              <w:rPr>
                <w:sz w:val="18"/>
              </w:rPr>
            </w:pPr>
            <w:r>
              <w:rPr>
                <w:sz w:val="18"/>
              </w:rPr>
              <w:t>N/A</w:t>
            </w:r>
          </w:p>
        </w:tc>
        <w:tc>
          <w:tcPr>
            <w:tcW w:w="1381" w:type="dxa"/>
          </w:tcPr>
          <w:p>
            <w:pPr>
              <w:pStyle w:val="TableParagraph"/>
              <w:spacing w:before="37"/>
              <w:ind w:left="360" w:right="358"/>
              <w:rPr>
                <w:b/>
                <w:sz w:val="18"/>
              </w:rPr>
            </w:pPr>
            <w:r>
              <w:rPr>
                <w:b/>
                <w:sz w:val="18"/>
              </w:rPr>
              <w:t>3.80%</w:t>
            </w:r>
          </w:p>
        </w:tc>
      </w:tr>
      <w:tr>
        <w:trPr>
          <w:trHeight w:val="324" w:hRule="exact"/>
        </w:trPr>
        <w:tc>
          <w:tcPr>
            <w:tcW w:w="2367" w:type="dxa"/>
          </w:tcPr>
          <w:p>
            <w:pPr>
              <w:pStyle w:val="TableParagraph"/>
              <w:spacing w:before="46"/>
              <w:ind w:left="64"/>
              <w:jc w:val="left"/>
              <w:rPr>
                <w:b/>
                <w:sz w:val="18"/>
              </w:rPr>
            </w:pPr>
            <w:r>
              <w:rPr>
                <w:b/>
                <w:sz w:val="18"/>
              </w:rPr>
              <w:t>PRD-PT-MC</w:t>
            </w:r>
          </w:p>
        </w:tc>
        <w:tc>
          <w:tcPr>
            <w:tcW w:w="970" w:type="dxa"/>
          </w:tcPr>
          <w:p>
            <w:pPr>
              <w:pStyle w:val="TableParagraph"/>
              <w:spacing w:before="51"/>
              <w:ind w:left="15" w:right="20"/>
              <w:rPr>
                <w:sz w:val="18"/>
              </w:rPr>
            </w:pPr>
            <w:r>
              <w:rPr>
                <w:sz w:val="18"/>
              </w:rPr>
              <w:t>N/A</w:t>
            </w:r>
          </w:p>
        </w:tc>
        <w:tc>
          <w:tcPr>
            <w:tcW w:w="1344" w:type="dxa"/>
          </w:tcPr>
          <w:p>
            <w:pPr>
              <w:pStyle w:val="TableParagraph"/>
              <w:spacing w:before="51"/>
              <w:ind w:left="341" w:right="341"/>
              <w:rPr>
                <w:sz w:val="18"/>
              </w:rPr>
            </w:pPr>
            <w:r>
              <w:rPr>
                <w:sz w:val="18"/>
              </w:rPr>
              <w:t>N/A</w:t>
            </w:r>
          </w:p>
        </w:tc>
        <w:tc>
          <w:tcPr>
            <w:tcW w:w="970" w:type="dxa"/>
          </w:tcPr>
          <w:p>
            <w:pPr>
              <w:pStyle w:val="TableParagraph"/>
              <w:spacing w:before="51"/>
              <w:ind w:left="15" w:right="20"/>
              <w:rPr>
                <w:sz w:val="18"/>
              </w:rPr>
            </w:pPr>
            <w:r>
              <w:rPr>
                <w:sz w:val="18"/>
              </w:rPr>
              <w:t>N/A</w:t>
            </w:r>
          </w:p>
        </w:tc>
        <w:tc>
          <w:tcPr>
            <w:tcW w:w="972" w:type="dxa"/>
          </w:tcPr>
          <w:p>
            <w:pPr>
              <w:pStyle w:val="TableParagraph"/>
              <w:spacing w:before="51"/>
              <w:ind w:left="155" w:right="155"/>
              <w:rPr>
                <w:sz w:val="18"/>
              </w:rPr>
            </w:pPr>
            <w:r>
              <w:rPr>
                <w:sz w:val="18"/>
              </w:rPr>
              <w:t>NA</w:t>
            </w:r>
          </w:p>
        </w:tc>
        <w:tc>
          <w:tcPr>
            <w:tcW w:w="1381" w:type="dxa"/>
          </w:tcPr>
          <w:p>
            <w:pPr>
              <w:pStyle w:val="TableParagraph"/>
              <w:spacing w:before="46"/>
              <w:ind w:left="360" w:right="360"/>
              <w:rPr>
                <w:b/>
                <w:sz w:val="18"/>
              </w:rPr>
            </w:pPr>
            <w:r>
              <w:rPr>
                <w:b/>
                <w:sz w:val="18"/>
              </w:rPr>
              <w:t>N/A</w:t>
            </w:r>
          </w:p>
        </w:tc>
      </w:tr>
      <w:tr>
        <w:trPr>
          <w:trHeight w:val="310" w:hRule="exact"/>
        </w:trPr>
        <w:tc>
          <w:tcPr>
            <w:tcW w:w="2367" w:type="dxa"/>
          </w:tcPr>
          <w:p>
            <w:pPr>
              <w:pStyle w:val="TableParagraph"/>
              <w:spacing w:before="39"/>
              <w:ind w:left="64"/>
              <w:jc w:val="left"/>
              <w:rPr>
                <w:b/>
                <w:sz w:val="18"/>
              </w:rPr>
            </w:pPr>
            <w:r>
              <w:rPr>
                <w:b/>
                <w:sz w:val="18"/>
              </w:rPr>
              <w:t>PT-Convergencia</w:t>
            </w:r>
          </w:p>
        </w:tc>
        <w:tc>
          <w:tcPr>
            <w:tcW w:w="970" w:type="dxa"/>
          </w:tcPr>
          <w:p>
            <w:pPr>
              <w:pStyle w:val="TableParagraph"/>
              <w:spacing w:before="44"/>
              <w:ind w:left="15" w:right="20"/>
              <w:rPr>
                <w:sz w:val="18"/>
              </w:rPr>
            </w:pPr>
            <w:r>
              <w:rPr>
                <w:sz w:val="18"/>
              </w:rPr>
              <w:t>N/A</w:t>
            </w:r>
          </w:p>
        </w:tc>
        <w:tc>
          <w:tcPr>
            <w:tcW w:w="1344" w:type="dxa"/>
          </w:tcPr>
          <w:p>
            <w:pPr>
              <w:pStyle w:val="TableParagraph"/>
              <w:spacing w:before="44"/>
              <w:ind w:left="341" w:right="341"/>
              <w:rPr>
                <w:sz w:val="18"/>
              </w:rPr>
            </w:pPr>
            <w:r>
              <w:rPr>
                <w:sz w:val="18"/>
              </w:rPr>
              <w:t>N/A</w:t>
            </w:r>
          </w:p>
        </w:tc>
        <w:tc>
          <w:tcPr>
            <w:tcW w:w="970" w:type="dxa"/>
          </w:tcPr>
          <w:p>
            <w:pPr>
              <w:pStyle w:val="TableParagraph"/>
              <w:spacing w:before="44"/>
              <w:ind w:left="15" w:right="20"/>
              <w:rPr>
                <w:sz w:val="18"/>
              </w:rPr>
            </w:pPr>
            <w:r>
              <w:rPr>
                <w:sz w:val="18"/>
              </w:rPr>
              <w:t>N/A</w:t>
            </w:r>
          </w:p>
        </w:tc>
        <w:tc>
          <w:tcPr>
            <w:tcW w:w="972" w:type="dxa"/>
          </w:tcPr>
          <w:p>
            <w:pPr>
              <w:pStyle w:val="TableParagraph"/>
              <w:spacing w:before="44"/>
              <w:rPr>
                <w:sz w:val="18"/>
              </w:rPr>
            </w:pPr>
            <w:r>
              <w:rPr>
                <w:w w:val="99"/>
                <w:sz w:val="18"/>
              </w:rPr>
              <w:t>N</w:t>
            </w:r>
          </w:p>
        </w:tc>
        <w:tc>
          <w:tcPr>
            <w:tcW w:w="1381" w:type="dxa"/>
          </w:tcPr>
          <w:p>
            <w:pPr>
              <w:pStyle w:val="TableParagraph"/>
              <w:spacing w:before="39"/>
              <w:ind w:left="360" w:right="360"/>
              <w:rPr>
                <w:b/>
                <w:sz w:val="18"/>
              </w:rPr>
            </w:pPr>
            <w:r>
              <w:rPr>
                <w:b/>
                <w:sz w:val="18"/>
              </w:rPr>
              <w:t>N/A</w:t>
            </w:r>
          </w:p>
        </w:tc>
      </w:tr>
      <w:tr>
        <w:trPr>
          <w:trHeight w:val="313" w:hRule="exact"/>
        </w:trPr>
        <w:tc>
          <w:tcPr>
            <w:tcW w:w="2367" w:type="dxa"/>
          </w:tcPr>
          <w:p>
            <w:pPr>
              <w:pStyle w:val="TableParagraph"/>
              <w:spacing w:before="40"/>
              <w:ind w:left="64"/>
              <w:jc w:val="left"/>
              <w:rPr>
                <w:b/>
                <w:sz w:val="18"/>
              </w:rPr>
            </w:pPr>
            <w:r>
              <w:rPr>
                <w:b/>
                <w:sz w:val="18"/>
              </w:rPr>
              <w:t>ES</w:t>
            </w:r>
          </w:p>
        </w:tc>
        <w:tc>
          <w:tcPr>
            <w:tcW w:w="970" w:type="dxa"/>
          </w:tcPr>
          <w:p>
            <w:pPr>
              <w:pStyle w:val="TableParagraph"/>
              <w:spacing w:before="45"/>
              <w:ind w:left="15" w:right="20"/>
              <w:rPr>
                <w:sz w:val="18"/>
              </w:rPr>
            </w:pPr>
            <w:r>
              <w:rPr>
                <w:sz w:val="18"/>
              </w:rPr>
              <w:t>N/A</w:t>
            </w:r>
          </w:p>
        </w:tc>
        <w:tc>
          <w:tcPr>
            <w:tcW w:w="1344" w:type="dxa"/>
          </w:tcPr>
          <w:p>
            <w:pPr>
              <w:pStyle w:val="TableParagraph"/>
              <w:spacing w:before="45"/>
              <w:ind w:left="341" w:right="341"/>
              <w:rPr>
                <w:sz w:val="18"/>
              </w:rPr>
            </w:pPr>
            <w:r>
              <w:rPr>
                <w:sz w:val="18"/>
              </w:rPr>
              <w:t>N/A</w:t>
            </w:r>
          </w:p>
        </w:tc>
        <w:tc>
          <w:tcPr>
            <w:tcW w:w="970" w:type="dxa"/>
          </w:tcPr>
          <w:p>
            <w:pPr>
              <w:pStyle w:val="TableParagraph"/>
              <w:spacing w:before="45"/>
              <w:ind w:left="15" w:right="20"/>
              <w:rPr>
                <w:sz w:val="18"/>
              </w:rPr>
            </w:pPr>
            <w:r>
              <w:rPr>
                <w:sz w:val="18"/>
              </w:rPr>
              <w:t>N/A</w:t>
            </w:r>
          </w:p>
        </w:tc>
        <w:tc>
          <w:tcPr>
            <w:tcW w:w="972" w:type="dxa"/>
          </w:tcPr>
          <w:p>
            <w:pPr>
              <w:pStyle w:val="TableParagraph"/>
              <w:spacing w:before="45"/>
              <w:ind w:left="154" w:right="156"/>
              <w:rPr>
                <w:sz w:val="18"/>
              </w:rPr>
            </w:pPr>
            <w:r>
              <w:rPr>
                <w:sz w:val="18"/>
              </w:rPr>
              <w:t>N/A</w:t>
            </w:r>
          </w:p>
        </w:tc>
        <w:tc>
          <w:tcPr>
            <w:tcW w:w="1381" w:type="dxa"/>
          </w:tcPr>
          <w:p>
            <w:pPr>
              <w:pStyle w:val="TableParagraph"/>
              <w:spacing w:before="40"/>
              <w:ind w:left="360" w:right="360"/>
              <w:rPr>
                <w:b/>
                <w:sz w:val="18"/>
              </w:rPr>
            </w:pPr>
            <w:r>
              <w:rPr>
                <w:b/>
                <w:sz w:val="18"/>
              </w:rPr>
              <w:t>N/A</w:t>
            </w:r>
          </w:p>
        </w:tc>
      </w:tr>
      <w:tr>
        <w:trPr>
          <w:trHeight w:val="310" w:hRule="exact"/>
        </w:trPr>
        <w:tc>
          <w:tcPr>
            <w:tcW w:w="2367" w:type="dxa"/>
          </w:tcPr>
          <w:p>
            <w:pPr>
              <w:pStyle w:val="TableParagraph"/>
              <w:spacing w:before="37"/>
              <w:ind w:left="64"/>
              <w:jc w:val="left"/>
              <w:rPr>
                <w:b/>
                <w:sz w:val="18"/>
              </w:rPr>
            </w:pPr>
            <w:r>
              <w:rPr>
                <w:b/>
                <w:sz w:val="18"/>
              </w:rPr>
              <w:t>MC</w:t>
            </w:r>
          </w:p>
        </w:tc>
        <w:tc>
          <w:tcPr>
            <w:tcW w:w="970" w:type="dxa"/>
          </w:tcPr>
          <w:p>
            <w:pPr>
              <w:pStyle w:val="TableParagraph"/>
              <w:spacing w:before="42"/>
              <w:ind w:left="15" w:right="20"/>
              <w:rPr>
                <w:sz w:val="18"/>
              </w:rPr>
            </w:pPr>
            <w:r>
              <w:rPr>
                <w:sz w:val="18"/>
              </w:rPr>
              <w:t>N/A</w:t>
            </w:r>
          </w:p>
        </w:tc>
        <w:tc>
          <w:tcPr>
            <w:tcW w:w="1344" w:type="dxa"/>
          </w:tcPr>
          <w:p>
            <w:pPr>
              <w:pStyle w:val="TableParagraph"/>
              <w:spacing w:before="42"/>
              <w:ind w:left="341" w:right="341"/>
              <w:rPr>
                <w:sz w:val="18"/>
              </w:rPr>
            </w:pPr>
            <w:r>
              <w:rPr>
                <w:sz w:val="18"/>
              </w:rPr>
              <w:t>N/A</w:t>
            </w:r>
          </w:p>
        </w:tc>
        <w:tc>
          <w:tcPr>
            <w:tcW w:w="970" w:type="dxa"/>
          </w:tcPr>
          <w:p>
            <w:pPr>
              <w:pStyle w:val="TableParagraph"/>
              <w:spacing w:before="42"/>
              <w:ind w:left="15" w:right="20"/>
              <w:rPr>
                <w:sz w:val="18"/>
              </w:rPr>
            </w:pPr>
            <w:r>
              <w:rPr>
                <w:sz w:val="18"/>
              </w:rPr>
              <w:t>N/A</w:t>
            </w:r>
          </w:p>
        </w:tc>
        <w:tc>
          <w:tcPr>
            <w:tcW w:w="972" w:type="dxa"/>
          </w:tcPr>
          <w:p>
            <w:pPr>
              <w:pStyle w:val="TableParagraph"/>
              <w:spacing w:before="42"/>
              <w:ind w:left="154" w:right="156"/>
              <w:rPr>
                <w:sz w:val="18"/>
              </w:rPr>
            </w:pPr>
            <w:r>
              <w:rPr>
                <w:sz w:val="18"/>
              </w:rPr>
              <w:t>N/A</w:t>
            </w:r>
          </w:p>
        </w:tc>
        <w:tc>
          <w:tcPr>
            <w:tcW w:w="1381" w:type="dxa"/>
          </w:tcPr>
          <w:p>
            <w:pPr>
              <w:pStyle w:val="TableParagraph"/>
              <w:spacing w:before="37"/>
              <w:ind w:left="360" w:right="360"/>
              <w:rPr>
                <w:b/>
                <w:sz w:val="18"/>
              </w:rPr>
            </w:pPr>
            <w:r>
              <w:rPr>
                <w:b/>
                <w:sz w:val="18"/>
              </w:rPr>
              <w:t>N/A</w:t>
            </w:r>
          </w:p>
        </w:tc>
      </w:tr>
      <w:tr>
        <w:trPr>
          <w:trHeight w:val="310" w:hRule="exact"/>
        </w:trPr>
        <w:tc>
          <w:tcPr>
            <w:tcW w:w="2367" w:type="dxa"/>
          </w:tcPr>
          <w:p>
            <w:pPr>
              <w:pStyle w:val="TableParagraph"/>
              <w:spacing w:before="37"/>
              <w:ind w:left="64"/>
              <w:jc w:val="left"/>
              <w:rPr>
                <w:b/>
                <w:sz w:val="18"/>
              </w:rPr>
            </w:pPr>
            <w:r>
              <w:rPr>
                <w:b/>
                <w:sz w:val="18"/>
              </w:rPr>
              <w:t>Morena</w:t>
            </w:r>
          </w:p>
        </w:tc>
        <w:tc>
          <w:tcPr>
            <w:tcW w:w="970" w:type="dxa"/>
          </w:tcPr>
          <w:p>
            <w:pPr>
              <w:pStyle w:val="TableParagraph"/>
              <w:spacing w:before="42"/>
              <w:ind w:left="15" w:right="20"/>
              <w:rPr>
                <w:sz w:val="18"/>
              </w:rPr>
            </w:pPr>
            <w:r>
              <w:rPr>
                <w:sz w:val="18"/>
              </w:rPr>
              <w:t>N/A</w:t>
            </w:r>
          </w:p>
        </w:tc>
        <w:tc>
          <w:tcPr>
            <w:tcW w:w="1344" w:type="dxa"/>
          </w:tcPr>
          <w:p>
            <w:pPr>
              <w:pStyle w:val="TableParagraph"/>
              <w:spacing w:before="42"/>
              <w:ind w:left="341" w:right="341"/>
              <w:rPr>
                <w:sz w:val="18"/>
              </w:rPr>
            </w:pPr>
            <w:r>
              <w:rPr>
                <w:sz w:val="18"/>
              </w:rPr>
              <w:t>N/A</w:t>
            </w:r>
          </w:p>
        </w:tc>
        <w:tc>
          <w:tcPr>
            <w:tcW w:w="970" w:type="dxa"/>
          </w:tcPr>
          <w:p>
            <w:pPr>
              <w:pStyle w:val="TableParagraph"/>
              <w:spacing w:before="42"/>
              <w:ind w:left="15" w:right="20"/>
              <w:rPr>
                <w:sz w:val="18"/>
              </w:rPr>
            </w:pPr>
            <w:r>
              <w:rPr>
                <w:sz w:val="18"/>
              </w:rPr>
              <w:t>N/A</w:t>
            </w:r>
          </w:p>
        </w:tc>
        <w:tc>
          <w:tcPr>
            <w:tcW w:w="972" w:type="dxa"/>
          </w:tcPr>
          <w:p>
            <w:pPr>
              <w:pStyle w:val="TableParagraph"/>
              <w:spacing w:before="42"/>
              <w:ind w:left="154" w:right="156"/>
              <w:rPr>
                <w:sz w:val="18"/>
              </w:rPr>
            </w:pPr>
            <w:r>
              <w:rPr>
                <w:sz w:val="18"/>
              </w:rPr>
              <w:t>N/A</w:t>
            </w:r>
          </w:p>
        </w:tc>
        <w:tc>
          <w:tcPr>
            <w:tcW w:w="1381" w:type="dxa"/>
          </w:tcPr>
          <w:p>
            <w:pPr>
              <w:pStyle w:val="TableParagraph"/>
              <w:spacing w:before="37"/>
              <w:ind w:left="360" w:right="360"/>
              <w:rPr>
                <w:b/>
                <w:sz w:val="18"/>
              </w:rPr>
            </w:pPr>
            <w:r>
              <w:rPr>
                <w:b/>
                <w:sz w:val="18"/>
              </w:rPr>
              <w:t>N/A</w:t>
            </w:r>
          </w:p>
        </w:tc>
      </w:tr>
    </w:tbl>
    <w:p>
      <w:pPr>
        <w:spacing w:before="44"/>
        <w:ind w:left="643" w:right="6" w:firstLine="0"/>
        <w:jc w:val="left"/>
        <w:rPr>
          <w:sz w:val="18"/>
        </w:rPr>
      </w:pPr>
      <w:r>
        <w:rPr>
          <w:sz w:val="18"/>
        </w:rPr>
        <w:t>Fuente: Elaboración propia con datos del INFOEM y del IEEM.</w:t>
      </w:r>
    </w:p>
    <w:p>
      <w:pPr>
        <w:pStyle w:val="BodyText"/>
        <w:rPr>
          <w:sz w:val="20"/>
        </w:rPr>
      </w:pPr>
    </w:p>
    <w:p>
      <w:pPr>
        <w:pStyle w:val="BodyText"/>
        <w:spacing w:before="7"/>
        <w:rPr>
          <w:sz w:val="27"/>
        </w:rPr>
      </w:pPr>
    </w:p>
    <w:p>
      <w:pPr>
        <w:pStyle w:val="BodyText"/>
        <w:spacing w:line="360" w:lineRule="auto" w:before="70"/>
        <w:ind w:left="108" w:right="120"/>
        <w:jc w:val="both"/>
      </w:pPr>
      <w:r>
        <w:rPr/>
        <w:t>En la tabla anterior se pueden precisar varias situaciones relevantes sobre el cumplimiento de la ley de transparencia:</w:t>
      </w:r>
    </w:p>
    <w:p>
      <w:pPr>
        <w:pStyle w:val="BodyText"/>
      </w:pPr>
    </w:p>
    <w:p>
      <w:pPr>
        <w:pStyle w:val="BodyText"/>
      </w:pPr>
    </w:p>
    <w:p>
      <w:pPr>
        <w:pStyle w:val="BodyText"/>
        <w:spacing w:line="360" w:lineRule="auto" w:before="185"/>
        <w:ind w:left="108" w:right="118"/>
        <w:jc w:val="both"/>
      </w:pPr>
      <w:r>
        <w:rPr/>
        <w:t>El</w:t>
      </w:r>
      <w:r>
        <w:rPr>
          <w:spacing w:val="-7"/>
        </w:rPr>
        <w:t> </w:t>
      </w:r>
      <w:r>
        <w:rPr/>
        <w:t>único</w:t>
      </w:r>
      <w:r>
        <w:rPr>
          <w:spacing w:val="-6"/>
        </w:rPr>
        <w:t> </w:t>
      </w:r>
      <w:r>
        <w:rPr/>
        <w:t>partido</w:t>
      </w:r>
      <w:r>
        <w:rPr>
          <w:spacing w:val="-8"/>
        </w:rPr>
        <w:t> </w:t>
      </w:r>
      <w:r>
        <w:rPr/>
        <w:t>que</w:t>
      </w:r>
      <w:r>
        <w:rPr>
          <w:spacing w:val="-8"/>
        </w:rPr>
        <w:t> </w:t>
      </w:r>
      <w:r>
        <w:rPr/>
        <w:t>ha</w:t>
      </w:r>
      <w:r>
        <w:rPr>
          <w:spacing w:val="-8"/>
        </w:rPr>
        <w:t> </w:t>
      </w:r>
      <w:r>
        <w:rPr/>
        <w:t>sido</w:t>
      </w:r>
      <w:r>
        <w:rPr>
          <w:spacing w:val="-8"/>
        </w:rPr>
        <w:t> </w:t>
      </w:r>
      <w:r>
        <w:rPr/>
        <w:t>evaluado</w:t>
      </w:r>
      <w:r>
        <w:rPr>
          <w:spacing w:val="-8"/>
        </w:rPr>
        <w:t> </w:t>
      </w:r>
      <w:r>
        <w:rPr/>
        <w:t>durante</w:t>
      </w:r>
      <w:r>
        <w:rPr>
          <w:spacing w:val="-8"/>
        </w:rPr>
        <w:t> </w:t>
      </w:r>
      <w:r>
        <w:rPr/>
        <w:t>los</w:t>
      </w:r>
      <w:r>
        <w:rPr>
          <w:spacing w:val="-6"/>
        </w:rPr>
        <w:t> </w:t>
      </w:r>
      <w:r>
        <w:rPr/>
        <w:t>cuatro</w:t>
      </w:r>
      <w:r>
        <w:rPr>
          <w:spacing w:val="-8"/>
        </w:rPr>
        <w:t> </w:t>
      </w:r>
      <w:r>
        <w:rPr/>
        <w:t>años</w:t>
      </w:r>
      <w:r>
        <w:rPr>
          <w:spacing w:val="-4"/>
        </w:rPr>
        <w:t> </w:t>
      </w:r>
      <w:r>
        <w:rPr/>
        <w:t>es</w:t>
      </w:r>
      <w:r>
        <w:rPr>
          <w:spacing w:val="-9"/>
        </w:rPr>
        <w:t> </w:t>
      </w:r>
      <w:r>
        <w:rPr/>
        <w:t>el</w:t>
      </w:r>
      <w:r>
        <w:rPr>
          <w:spacing w:val="-10"/>
        </w:rPr>
        <w:t> </w:t>
      </w:r>
      <w:r>
        <w:rPr/>
        <w:t>PT.</w:t>
      </w:r>
      <w:r>
        <w:rPr>
          <w:spacing w:val="-9"/>
        </w:rPr>
        <w:t> </w:t>
      </w:r>
      <w:r>
        <w:rPr/>
        <w:t>En</w:t>
      </w:r>
      <w:r>
        <w:rPr>
          <w:spacing w:val="-6"/>
        </w:rPr>
        <w:t> </w:t>
      </w:r>
      <w:r>
        <w:rPr/>
        <w:t>tanto</w:t>
      </w:r>
      <w:r>
        <w:rPr>
          <w:spacing w:val="-6"/>
        </w:rPr>
        <w:t> </w:t>
      </w:r>
      <w:r>
        <w:rPr/>
        <w:t>que la coalición PRI-VEM-NA, el PAN y el PRD han sido evaluados en tres ocasiones como los partidos políticos más evaluados. En sentido opuesto se encuentran la coalición PRD-PT-MC, PT-Convergencia, ES, MC y MORENA ya que no fueron evaluados en el periodo</w:t>
      </w:r>
      <w:r>
        <w:rPr>
          <w:spacing w:val="-15"/>
        </w:rPr>
        <w:t> </w:t>
      </w:r>
      <w:r>
        <w:rPr/>
        <w:t>2012-2015.</w:t>
      </w:r>
    </w:p>
    <w:p>
      <w:pPr>
        <w:pStyle w:val="BodyText"/>
      </w:pPr>
    </w:p>
    <w:p>
      <w:pPr>
        <w:pStyle w:val="BodyText"/>
      </w:pPr>
    </w:p>
    <w:p>
      <w:pPr>
        <w:pStyle w:val="BodyText"/>
        <w:spacing w:line="360" w:lineRule="auto" w:before="185"/>
        <w:ind w:left="108" w:right="114"/>
        <w:jc w:val="both"/>
      </w:pPr>
      <w:r>
        <w:rPr/>
        <w:t>De acuerdo a lo establecido en esta tabla se puede señalar que la alianza PT-MC resultaron</w:t>
      </w:r>
      <w:r>
        <w:rPr>
          <w:spacing w:val="-9"/>
        </w:rPr>
        <w:t> </w:t>
      </w:r>
      <w:r>
        <w:rPr/>
        <w:t>ser</w:t>
      </w:r>
      <w:r>
        <w:rPr>
          <w:spacing w:val="-10"/>
        </w:rPr>
        <w:t> </w:t>
      </w:r>
      <w:r>
        <w:rPr/>
        <w:t>los</w:t>
      </w:r>
      <w:r>
        <w:rPr>
          <w:spacing w:val="-9"/>
        </w:rPr>
        <w:t> </w:t>
      </w:r>
      <w:r>
        <w:rPr/>
        <w:t>partidos</w:t>
      </w:r>
      <w:r>
        <w:rPr>
          <w:spacing w:val="-9"/>
        </w:rPr>
        <w:t> </w:t>
      </w:r>
      <w:r>
        <w:rPr/>
        <w:t>más</w:t>
      </w:r>
      <w:r>
        <w:rPr>
          <w:spacing w:val="-9"/>
        </w:rPr>
        <w:t> </w:t>
      </w:r>
      <w:r>
        <w:rPr/>
        <w:t>transparentes</w:t>
      </w:r>
      <w:r>
        <w:rPr>
          <w:spacing w:val="-12"/>
        </w:rPr>
        <w:t> </w:t>
      </w:r>
      <w:r>
        <w:rPr/>
        <w:t>ya</w:t>
      </w:r>
      <w:r>
        <w:rPr>
          <w:spacing w:val="-9"/>
        </w:rPr>
        <w:t> </w:t>
      </w:r>
      <w:r>
        <w:rPr/>
        <w:t>que</w:t>
      </w:r>
      <w:r>
        <w:rPr>
          <w:spacing w:val="-9"/>
        </w:rPr>
        <w:t> </w:t>
      </w:r>
      <w:r>
        <w:rPr/>
        <w:t>reportaron</w:t>
      </w:r>
      <w:r>
        <w:rPr>
          <w:spacing w:val="-11"/>
        </w:rPr>
        <w:t> </w:t>
      </w:r>
      <w:r>
        <w:rPr/>
        <w:t>el</w:t>
      </w:r>
      <w:r>
        <w:rPr>
          <w:spacing w:val="-5"/>
        </w:rPr>
        <w:t> </w:t>
      </w:r>
      <w:r>
        <w:rPr/>
        <w:t>76.71%,</w:t>
      </w:r>
      <w:r>
        <w:rPr>
          <w:spacing w:val="-9"/>
        </w:rPr>
        <w:t> </w:t>
      </w:r>
      <w:r>
        <w:rPr/>
        <w:t>seguidos del</w:t>
      </w:r>
      <w:r>
        <w:rPr>
          <w:spacing w:val="-10"/>
        </w:rPr>
        <w:t> </w:t>
      </w:r>
      <w:r>
        <w:rPr/>
        <w:t>PT</w:t>
      </w:r>
      <w:r>
        <w:rPr>
          <w:spacing w:val="-10"/>
        </w:rPr>
        <w:t> </w:t>
      </w:r>
      <w:r>
        <w:rPr/>
        <w:t>que</w:t>
      </w:r>
      <w:r>
        <w:rPr>
          <w:spacing w:val="-11"/>
        </w:rPr>
        <w:t> </w:t>
      </w:r>
      <w:r>
        <w:rPr/>
        <w:t>reportó</w:t>
      </w:r>
      <w:r>
        <w:rPr>
          <w:spacing w:val="-11"/>
        </w:rPr>
        <w:t> </w:t>
      </w:r>
      <w:r>
        <w:rPr/>
        <w:t>63.65%</w:t>
      </w:r>
      <w:r>
        <w:rPr>
          <w:spacing w:val="-10"/>
        </w:rPr>
        <w:t> </w:t>
      </w:r>
      <w:r>
        <w:rPr/>
        <w:t>y</w:t>
      </w:r>
      <w:r>
        <w:rPr>
          <w:spacing w:val="-12"/>
        </w:rPr>
        <w:t> </w:t>
      </w:r>
      <w:r>
        <w:rPr/>
        <w:t>de</w:t>
      </w:r>
      <w:r>
        <w:rPr>
          <w:spacing w:val="-9"/>
        </w:rPr>
        <w:t> </w:t>
      </w:r>
      <w:r>
        <w:rPr/>
        <w:t>la</w:t>
      </w:r>
      <w:r>
        <w:rPr>
          <w:spacing w:val="-11"/>
        </w:rPr>
        <w:t> </w:t>
      </w:r>
      <w:r>
        <w:rPr/>
        <w:t>alianza</w:t>
      </w:r>
      <w:r>
        <w:rPr>
          <w:spacing w:val="-9"/>
        </w:rPr>
        <w:t> </w:t>
      </w:r>
      <w:r>
        <w:rPr/>
        <w:t>PRI-VEM-NA</w:t>
      </w:r>
      <w:r>
        <w:rPr>
          <w:spacing w:val="-10"/>
        </w:rPr>
        <w:t> </w:t>
      </w:r>
      <w:r>
        <w:rPr/>
        <w:t>con</w:t>
      </w:r>
      <w:r>
        <w:rPr>
          <w:spacing w:val="-11"/>
        </w:rPr>
        <w:t> </w:t>
      </w:r>
      <w:r>
        <w:rPr/>
        <w:t>61.54%.</w:t>
      </w:r>
      <w:r>
        <w:rPr>
          <w:spacing w:val="-10"/>
        </w:rPr>
        <w:t> </w:t>
      </w:r>
      <w:r>
        <w:rPr/>
        <w:t>En</w:t>
      </w:r>
      <w:r>
        <w:rPr>
          <w:spacing w:val="-11"/>
        </w:rPr>
        <w:t> </w:t>
      </w:r>
      <w:r>
        <w:rPr/>
        <w:t>cuarto</w:t>
      </w:r>
      <w:r>
        <w:rPr>
          <w:spacing w:val="-11"/>
        </w:rPr>
        <w:t> </w:t>
      </w:r>
      <w:r>
        <w:rPr/>
        <w:t>lugar aparece el PAN con 55.6%, seguido de la alianza PAN-PT con 50.86%. En sexto lugar aparece el PRI con 41.69%, seguido de la alianza PRI-PVEM-NA-PSD-PFD con</w:t>
      </w:r>
      <w:r>
        <w:rPr>
          <w:spacing w:val="25"/>
        </w:rPr>
        <w:t> </w:t>
      </w:r>
      <w:r>
        <w:rPr/>
        <w:t>28.98%.</w:t>
      </w:r>
      <w:r>
        <w:rPr>
          <w:spacing w:val="23"/>
        </w:rPr>
        <w:t> </w:t>
      </w:r>
      <w:r>
        <w:rPr/>
        <w:t>En</w:t>
      </w:r>
      <w:r>
        <w:rPr>
          <w:spacing w:val="23"/>
        </w:rPr>
        <w:t> </w:t>
      </w:r>
      <w:r>
        <w:rPr/>
        <w:t>octavo</w:t>
      </w:r>
      <w:r>
        <w:rPr>
          <w:spacing w:val="25"/>
        </w:rPr>
        <w:t> </w:t>
      </w:r>
      <w:r>
        <w:rPr/>
        <w:t>lugar</w:t>
      </w:r>
      <w:r>
        <w:rPr>
          <w:spacing w:val="23"/>
        </w:rPr>
        <w:t> </w:t>
      </w:r>
      <w:r>
        <w:rPr/>
        <w:t>se</w:t>
      </w:r>
      <w:r>
        <w:rPr>
          <w:spacing w:val="23"/>
        </w:rPr>
        <w:t> </w:t>
      </w:r>
      <w:r>
        <w:rPr/>
        <w:t>ubica</w:t>
      </w:r>
      <w:r>
        <w:rPr>
          <w:spacing w:val="22"/>
        </w:rPr>
        <w:t> </w:t>
      </w:r>
      <w:r>
        <w:rPr/>
        <w:t>el</w:t>
      </w:r>
      <w:r>
        <w:rPr>
          <w:spacing w:val="24"/>
        </w:rPr>
        <w:t> </w:t>
      </w:r>
      <w:r>
        <w:rPr/>
        <w:t>PRD</w:t>
      </w:r>
      <w:r>
        <w:rPr>
          <w:spacing w:val="23"/>
        </w:rPr>
        <w:t> </w:t>
      </w:r>
      <w:r>
        <w:rPr/>
        <w:t>con</w:t>
      </w:r>
      <w:r>
        <w:rPr>
          <w:spacing w:val="25"/>
        </w:rPr>
        <w:t> </w:t>
      </w:r>
      <w:r>
        <w:rPr/>
        <w:t>39.22%,</w:t>
      </w:r>
      <w:r>
        <w:rPr>
          <w:spacing w:val="25"/>
        </w:rPr>
        <w:t> </w:t>
      </w:r>
      <w:r>
        <w:rPr/>
        <w:t>seguido</w:t>
      </w:r>
      <w:r>
        <w:rPr>
          <w:spacing w:val="25"/>
        </w:rPr>
        <w:t> </w:t>
      </w:r>
      <w:r>
        <w:rPr/>
        <w:t>de.</w:t>
      </w:r>
      <w:r>
        <w:rPr>
          <w:spacing w:val="25"/>
        </w:rPr>
        <w:t> </w:t>
      </w:r>
      <w:r>
        <w:rPr/>
        <w:t>PES</w:t>
      </w:r>
      <w:r>
        <w:rPr>
          <w:spacing w:val="22"/>
        </w:rPr>
        <w:t> </w:t>
      </w:r>
      <w:r>
        <w:rPr/>
        <w:t>con</w:t>
      </w:r>
    </w:p>
    <w:p>
      <w:pPr>
        <w:spacing w:after="0" w:line="360" w:lineRule="auto"/>
        <w:jc w:val="both"/>
        <w:sectPr>
          <w:pgSz w:w="12240" w:h="15840"/>
          <w:pgMar w:header="0" w:footer="975" w:top="1420" w:bottom="1220" w:left="1500" w:right="1580"/>
        </w:sectPr>
      </w:pPr>
    </w:p>
    <w:p>
      <w:pPr>
        <w:pStyle w:val="BodyText"/>
        <w:spacing w:line="362" w:lineRule="auto" w:before="54"/>
        <w:ind w:left="128" w:right="114"/>
        <w:jc w:val="both"/>
      </w:pPr>
      <w:r>
        <w:rPr/>
        <w:t>29.90% y de Convergencia con 24.55%. Finalmente se encuentran la alianza PRD- PT con 10.1% y la alianza PRD-MC con 55.58%.</w:t>
      </w:r>
    </w:p>
    <w:p>
      <w:pPr>
        <w:pStyle w:val="BodyText"/>
      </w:pPr>
    </w:p>
    <w:p>
      <w:pPr>
        <w:pStyle w:val="BodyText"/>
      </w:pPr>
    </w:p>
    <w:p>
      <w:pPr>
        <w:pStyle w:val="Heading1"/>
        <w:numPr>
          <w:ilvl w:val="2"/>
          <w:numId w:val="53"/>
        </w:numPr>
        <w:tabs>
          <w:tab w:pos="837" w:val="left" w:leader="none"/>
        </w:tabs>
        <w:spacing w:line="240" w:lineRule="auto" w:before="182" w:after="0"/>
        <w:ind w:left="836" w:right="0" w:hanging="720"/>
        <w:jc w:val="both"/>
      </w:pPr>
      <w:r>
        <w:rPr/>
        <w:t>Cumplimiento de la ley vs género del presidente</w:t>
      </w:r>
      <w:r>
        <w:rPr>
          <w:spacing w:val="-13"/>
        </w:rPr>
        <w:t> </w:t>
      </w:r>
      <w:r>
        <w:rPr/>
        <w:t>municipal</w:t>
      </w:r>
    </w:p>
    <w:p>
      <w:pPr>
        <w:pStyle w:val="BodyText"/>
        <w:rPr>
          <w:b/>
        </w:rPr>
      </w:pPr>
    </w:p>
    <w:p>
      <w:pPr>
        <w:pStyle w:val="BodyText"/>
        <w:rPr>
          <w:b/>
        </w:rPr>
      </w:pPr>
    </w:p>
    <w:p>
      <w:pPr>
        <w:pStyle w:val="BodyText"/>
        <w:spacing w:line="360" w:lineRule="auto" w:before="161"/>
        <w:ind w:left="128" w:right="118"/>
        <w:jc w:val="both"/>
      </w:pPr>
      <w:r>
        <w:rPr/>
        <w:t>Durante el periodo 2003-2015 se ha tenido poca participación de las mujeres en las presidencias municipales del Estado de México. Tal como se muestra en la gráfica siguiente:</w:t>
      </w:r>
    </w:p>
    <w:p>
      <w:pPr>
        <w:pStyle w:val="BodyText"/>
        <w:rPr>
          <w:sz w:val="10"/>
        </w:rPr>
      </w:pPr>
      <w:r>
        <w:rPr/>
        <w:pict>
          <v:group style="position:absolute;margin-left:131.475006pt;margin-top:7.728904pt;width:317.25pt;height:180pt;mso-position-horizontal-relative:page;mso-position-vertical-relative:paragraph;z-index:6064;mso-wrap-distance-left:0;mso-wrap-distance-right:0" coordorigin="2630,155" coordsize="6345,3600">
            <v:shape style="position:absolute;left:3593;top:1358;width:4419;height:120" coordorigin="3593,1358" coordsize="4419,120" path="m3593,1442l5066,1358,6538,1466,8011,1478e" filled="false" stroked="true" strokeweight="2.16pt" strokecolor="#5b9bd4">
              <v:path arrowok="t"/>
            </v:shape>
            <v:shape style="position:absolute;left:3535;top:1384;width:115;height:115" type="#_x0000_t75" stroked="false">
              <v:imagedata r:id="rId55" o:title=""/>
            </v:shape>
            <v:shape style="position:absolute;left:5008;top:1300;width:115;height:115" type="#_x0000_t75" stroked="false">
              <v:imagedata r:id="rId54" o:title=""/>
            </v:shape>
            <v:shape style="position:absolute;left:6479;top:1408;width:115;height:115" type="#_x0000_t75" stroked="false">
              <v:imagedata r:id="rId54" o:title=""/>
            </v:shape>
            <v:shape style="position:absolute;left:7953;top:1420;width:115;height:115" type="#_x0000_t75" stroked="false">
              <v:imagedata r:id="rId56" o:title=""/>
            </v:shape>
            <v:shape style="position:absolute;left:3593;top:2668;width:4419;height:120" coordorigin="3593,2668" coordsize="4419,120" path="m3593,2704l5066,2788,6538,2680,8011,2668e" filled="false" stroked="true" strokeweight="2.16pt" strokecolor="#ee1fd1">
              <v:path arrowok="t"/>
            </v:shape>
            <v:shape style="position:absolute;left:3535;top:2646;width:115;height:115" type="#_x0000_t75" stroked="false">
              <v:imagedata r:id="rId108" o:title=""/>
            </v:shape>
            <v:shape style="position:absolute;left:5008;top:2730;width:115;height:115" type="#_x0000_t75" stroked="false">
              <v:imagedata r:id="rId109" o:title=""/>
            </v:shape>
            <v:shape style="position:absolute;left:6479;top:2622;width:115;height:115" type="#_x0000_t75" stroked="false">
              <v:imagedata r:id="rId110" o:title=""/>
            </v:shape>
            <v:shape style="position:absolute;left:7953;top:2610;width:115;height:115" type="#_x0000_t75" stroked="false">
              <v:imagedata r:id="rId108" o:title=""/>
            </v:shape>
            <v:shape style="position:absolute;left:4541;top:3400;width:427;height:116" type="#_x0000_t75" stroked="false">
              <v:imagedata r:id="rId111" o:title=""/>
            </v:shape>
            <v:shape style="position:absolute;left:5935;top:3400;width:427;height:116" type="#_x0000_t75" stroked="false">
              <v:imagedata r:id="rId112" o:title=""/>
            </v:shape>
            <v:shape style="position:absolute;left:2637;top:162;width:6330;height:3585" coordorigin="2637,162" coordsize="6330,3585" path="m2637,362l2653,284,2696,221,2759,178,2837,162,8767,162,8845,178,8908,221,8951,284,8967,362,8967,3547,8951,3625,8908,3688,8845,3731,8767,3747,2837,3747,2759,3731,2696,3688,2653,3625,2637,3547,2637,362xe" filled="false" stroked="true" strokeweight=".75pt" strokecolor="#d9d9d9">
              <v:path arrowok="t"/>
            </v:shape>
            <v:shape style="position:absolute;left:3391;top:339;width:4821;height:430" type="#_x0000_t202" filled="false" stroked="false">
              <v:textbox inset="0,0,0,0">
                <w:txbxContent>
                  <w:p>
                    <w:pPr>
                      <w:spacing w:line="204" w:lineRule="exact" w:before="0"/>
                      <w:ind w:left="0" w:right="0" w:firstLine="0"/>
                      <w:jc w:val="center"/>
                      <w:rPr>
                        <w:sz w:val="20"/>
                      </w:rPr>
                    </w:pPr>
                    <w:r>
                      <w:rPr>
                        <w:color w:val="585858"/>
                        <w:sz w:val="20"/>
                      </w:rPr>
                      <w:t>Gráfica 3.6. Género de los presidentes municipales</w:t>
                    </w:r>
                    <w:r>
                      <w:rPr>
                        <w:color w:val="585858"/>
                        <w:spacing w:val="-11"/>
                        <w:sz w:val="20"/>
                      </w:rPr>
                      <w:t> </w:t>
                    </w:r>
                    <w:r>
                      <w:rPr>
                        <w:color w:val="585858"/>
                        <w:sz w:val="20"/>
                      </w:rPr>
                      <w:t>en</w:t>
                    </w:r>
                  </w:p>
                  <w:p>
                    <w:pPr>
                      <w:spacing w:line="225" w:lineRule="exact" w:before="0"/>
                      <w:ind w:left="3" w:right="0" w:firstLine="0"/>
                      <w:jc w:val="center"/>
                      <w:rPr>
                        <w:sz w:val="20"/>
                      </w:rPr>
                    </w:pPr>
                    <w:r>
                      <w:rPr>
                        <w:color w:val="585858"/>
                        <w:sz w:val="20"/>
                      </w:rPr>
                      <w:t>el Estado de México durante el periodo 2003-2015</w:t>
                    </w:r>
                  </w:p>
                </w:txbxContent>
              </v:textbox>
              <w10:wrap type="none"/>
            </v:shape>
            <v:shape style="position:absolute;left:3458;top:1119;width:274;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115</w:t>
                    </w:r>
                  </w:p>
                </w:txbxContent>
              </v:textbox>
              <w10:wrap type="none"/>
            </v:shape>
            <v:shape style="position:absolute;left:4931;top:1035;width:274;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122</w:t>
                    </w:r>
                  </w:p>
                </w:txbxContent>
              </v:textbox>
              <w10:wrap type="none"/>
            </v:shape>
            <v:shape style="position:absolute;left:6403;top:1144;width:274;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113</w:t>
                    </w:r>
                  </w:p>
                </w:txbxContent>
              </v:textbox>
              <w10:wrap type="none"/>
            </v:shape>
            <v:shape style="position:absolute;left:7876;top:1156;width:274;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112</w:t>
                    </w:r>
                  </w:p>
                </w:txbxContent>
              </v:textbox>
              <w10:wrap type="none"/>
            </v:shape>
            <v:shape style="position:absolute;left:3504;top:2382;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10</w:t>
                    </w:r>
                  </w:p>
                </w:txbxContent>
              </v:textbox>
              <w10:wrap type="none"/>
            </v:shape>
            <v:shape style="position:absolute;left:5022;top:2466;width:92;height:180" type="#_x0000_t202" filled="false" stroked="false">
              <v:textbox inset="0,0,0,0">
                <w:txbxContent>
                  <w:p>
                    <w:pPr>
                      <w:spacing w:line="180" w:lineRule="exact" w:before="0"/>
                      <w:ind w:left="0" w:right="0" w:firstLine="0"/>
                      <w:jc w:val="left"/>
                      <w:rPr>
                        <w:rFonts w:ascii="Calibri"/>
                        <w:sz w:val="18"/>
                      </w:rPr>
                    </w:pPr>
                    <w:r>
                      <w:rPr>
                        <w:rFonts w:ascii="Calibri"/>
                        <w:color w:val="404040"/>
                        <w:sz w:val="18"/>
                      </w:rPr>
                      <w:t>3</w:t>
                    </w:r>
                  </w:p>
                </w:txbxContent>
              </v:textbox>
              <w10:wrap type="none"/>
            </v:shape>
            <v:shape style="position:absolute;left:6449;top:2358;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12</w:t>
                    </w:r>
                  </w:p>
                </w:txbxContent>
              </v:textbox>
              <w10:wrap type="none"/>
            </v:shape>
            <v:shape style="position:absolute;left:7921;top:2346;width:183;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13</w:t>
                    </w:r>
                  </w:p>
                </w:txbxContent>
              </v:textbox>
              <w10:wrap type="none"/>
            </v:shape>
            <v:shape style="position:absolute;left:2895;top:2976;width:5816;height:180" type="#_x0000_t202" filled="false" stroked="false">
              <v:textbox inset="0,0,0,0">
                <w:txbxContent>
                  <w:p>
                    <w:pPr>
                      <w:spacing w:line="180" w:lineRule="exact" w:before="0"/>
                      <w:ind w:left="0" w:right="0" w:firstLine="0"/>
                      <w:jc w:val="left"/>
                      <w:rPr>
                        <w:rFonts w:ascii="Calibri"/>
                        <w:sz w:val="18"/>
                      </w:rPr>
                    </w:pPr>
                    <w:r>
                      <w:rPr>
                        <w:rFonts w:ascii="Calibri"/>
                        <w:color w:val="585858"/>
                        <w:sz w:val="18"/>
                      </w:rPr>
                      <w:t>Periodo 2003-2006  Periodo 2006-2009  Periodo 2009-2012 Periodo 2013-2015</w:t>
                    </w:r>
                  </w:p>
                </w:txbxContent>
              </v:textbox>
              <w10:wrap type="none"/>
            </v:shape>
            <v:shape style="position:absolute;left:4987;top:3375;width:753;height:180" type="#_x0000_t202" filled="false" stroked="false">
              <v:textbox inset="0,0,0,0">
                <w:txbxContent>
                  <w:p>
                    <w:pPr>
                      <w:spacing w:line="180" w:lineRule="exact" w:before="0"/>
                      <w:ind w:left="0" w:right="-12" w:firstLine="0"/>
                      <w:jc w:val="left"/>
                      <w:rPr>
                        <w:rFonts w:ascii="Calibri"/>
                        <w:sz w:val="18"/>
                      </w:rPr>
                    </w:pPr>
                    <w:r>
                      <w:rPr>
                        <w:rFonts w:ascii="Calibri"/>
                        <w:color w:val="585858"/>
                        <w:spacing w:val="-1"/>
                        <w:sz w:val="18"/>
                      </w:rPr>
                      <w:t>Masculino</w:t>
                    </w:r>
                  </w:p>
                </w:txbxContent>
              </v:textbox>
              <w10:wrap type="none"/>
            </v:shape>
            <v:shape style="position:absolute;left:6383;top:3375;width:731;height:180" type="#_x0000_t202" filled="false" stroked="false">
              <v:textbox inset="0,0,0,0">
                <w:txbxContent>
                  <w:p>
                    <w:pPr>
                      <w:spacing w:line="180" w:lineRule="exact" w:before="0"/>
                      <w:ind w:left="0" w:right="-20" w:firstLine="0"/>
                      <w:jc w:val="left"/>
                      <w:rPr>
                        <w:rFonts w:ascii="Calibri"/>
                        <w:sz w:val="18"/>
                      </w:rPr>
                    </w:pPr>
                    <w:r>
                      <w:rPr>
                        <w:rFonts w:ascii="Calibri"/>
                        <w:color w:val="585858"/>
                        <w:sz w:val="18"/>
                      </w:rPr>
                      <w:t>Femenino</w:t>
                    </w:r>
                  </w:p>
                </w:txbxContent>
              </v:textbox>
              <w10:wrap type="none"/>
            </v:shape>
            <w10:wrap type="topAndBottom"/>
          </v:group>
        </w:pict>
      </w:r>
    </w:p>
    <w:p>
      <w:pPr>
        <w:pStyle w:val="BodyText"/>
        <w:spacing w:before="8"/>
        <w:rPr>
          <w:sz w:val="20"/>
        </w:rPr>
      </w:pPr>
    </w:p>
    <w:p>
      <w:pPr>
        <w:spacing w:before="1"/>
        <w:ind w:left="1405" w:right="26" w:firstLine="0"/>
        <w:jc w:val="left"/>
        <w:rPr>
          <w:sz w:val="18"/>
        </w:rPr>
      </w:pPr>
      <w:r>
        <w:rPr>
          <w:sz w:val="18"/>
        </w:rPr>
        <w:t>Fuente: Elaboración propia con datos del INAFED.</w:t>
      </w:r>
    </w:p>
    <w:p>
      <w:pPr>
        <w:pStyle w:val="BodyText"/>
        <w:rPr>
          <w:sz w:val="18"/>
        </w:rPr>
      </w:pPr>
    </w:p>
    <w:p>
      <w:pPr>
        <w:pStyle w:val="BodyText"/>
        <w:rPr>
          <w:sz w:val="18"/>
        </w:rPr>
      </w:pPr>
    </w:p>
    <w:p>
      <w:pPr>
        <w:pStyle w:val="BodyText"/>
        <w:rPr>
          <w:sz w:val="18"/>
        </w:rPr>
      </w:pPr>
    </w:p>
    <w:p>
      <w:pPr>
        <w:pStyle w:val="BodyText"/>
        <w:spacing w:before="10"/>
        <w:rPr>
          <w:sz w:val="18"/>
        </w:rPr>
      </w:pPr>
    </w:p>
    <w:p>
      <w:pPr>
        <w:pStyle w:val="BodyText"/>
        <w:spacing w:line="360" w:lineRule="auto"/>
        <w:ind w:left="128" w:right="112"/>
        <w:jc w:val="both"/>
      </w:pPr>
      <w:r>
        <w:rPr/>
        <w:t>En esta gráfica se puede observar cómo de los 125 municipios mexiquenses en el periodo</w:t>
      </w:r>
      <w:r>
        <w:rPr>
          <w:spacing w:val="-21"/>
        </w:rPr>
        <w:t> </w:t>
      </w:r>
      <w:r>
        <w:rPr/>
        <w:t>2003-2006</w:t>
      </w:r>
      <w:r>
        <w:rPr>
          <w:spacing w:val="-21"/>
        </w:rPr>
        <w:t> </w:t>
      </w:r>
      <w:r>
        <w:rPr/>
        <w:t>hubo</w:t>
      </w:r>
      <w:r>
        <w:rPr>
          <w:spacing w:val="-19"/>
        </w:rPr>
        <w:t> </w:t>
      </w:r>
      <w:r>
        <w:rPr/>
        <w:t>diez</w:t>
      </w:r>
      <w:r>
        <w:rPr>
          <w:spacing w:val="-19"/>
        </w:rPr>
        <w:t> </w:t>
      </w:r>
      <w:r>
        <w:rPr/>
        <w:t>presidentas</w:t>
      </w:r>
      <w:r>
        <w:rPr>
          <w:spacing w:val="-22"/>
        </w:rPr>
        <w:t> </w:t>
      </w:r>
      <w:r>
        <w:rPr/>
        <w:t>municipales,</w:t>
      </w:r>
      <w:r>
        <w:rPr>
          <w:spacing w:val="-19"/>
        </w:rPr>
        <w:t> </w:t>
      </w:r>
      <w:r>
        <w:rPr/>
        <w:t>en</w:t>
      </w:r>
      <w:r>
        <w:rPr>
          <w:spacing w:val="-16"/>
        </w:rPr>
        <w:t> </w:t>
      </w:r>
      <w:r>
        <w:rPr/>
        <w:t>el</w:t>
      </w:r>
      <w:r>
        <w:rPr>
          <w:spacing w:val="-20"/>
        </w:rPr>
        <w:t> </w:t>
      </w:r>
      <w:r>
        <w:rPr/>
        <w:t>de</w:t>
      </w:r>
      <w:r>
        <w:rPr>
          <w:spacing w:val="-19"/>
        </w:rPr>
        <w:t> </w:t>
      </w:r>
      <w:r>
        <w:rPr/>
        <w:t>2006-2009</w:t>
      </w:r>
      <w:r>
        <w:rPr>
          <w:spacing w:val="-18"/>
        </w:rPr>
        <w:t> </w:t>
      </w:r>
      <w:r>
        <w:rPr/>
        <w:t>se</w:t>
      </w:r>
      <w:r>
        <w:rPr>
          <w:spacing w:val="-19"/>
        </w:rPr>
        <w:t> </w:t>
      </w:r>
      <w:r>
        <w:rPr/>
        <w:t>reportó el menor número con solo tres, durante 2009-2012 hubo 12 y en el periodo 2013- 2015 se reportó la mayor cantidad con 13 presidentas</w:t>
      </w:r>
      <w:r>
        <w:rPr>
          <w:spacing w:val="-21"/>
        </w:rPr>
        <w:t> </w:t>
      </w:r>
      <w:r>
        <w:rPr/>
        <w:t>municipales.</w:t>
      </w:r>
    </w:p>
    <w:p>
      <w:pPr>
        <w:pStyle w:val="BodyText"/>
      </w:pPr>
    </w:p>
    <w:p>
      <w:pPr>
        <w:pStyle w:val="BodyText"/>
      </w:pPr>
    </w:p>
    <w:p>
      <w:pPr>
        <w:pStyle w:val="BodyText"/>
        <w:spacing w:line="360" w:lineRule="auto" w:before="186"/>
        <w:ind w:left="128" w:right="116"/>
        <w:jc w:val="both"/>
      </w:pPr>
      <w:r>
        <w:rPr/>
        <w:t>La tabla 2.1e y la gráfica 1 muestran cómo la mayoría de los municipios del Estado de</w:t>
      </w:r>
      <w:r>
        <w:rPr>
          <w:spacing w:val="-5"/>
        </w:rPr>
        <w:t> </w:t>
      </w:r>
      <w:r>
        <w:rPr/>
        <w:t>México</w:t>
      </w:r>
      <w:r>
        <w:rPr>
          <w:spacing w:val="-4"/>
        </w:rPr>
        <w:t> </w:t>
      </w:r>
      <w:r>
        <w:rPr/>
        <w:t>en</w:t>
      </w:r>
      <w:r>
        <w:rPr>
          <w:spacing w:val="-5"/>
        </w:rPr>
        <w:t> </w:t>
      </w:r>
      <w:r>
        <w:rPr/>
        <w:t>el</w:t>
      </w:r>
      <w:r>
        <w:rPr>
          <w:spacing w:val="-6"/>
        </w:rPr>
        <w:t> </w:t>
      </w:r>
      <w:r>
        <w:rPr/>
        <w:t>periodo</w:t>
      </w:r>
      <w:r>
        <w:rPr>
          <w:spacing w:val="-5"/>
        </w:rPr>
        <w:t> </w:t>
      </w:r>
      <w:r>
        <w:rPr/>
        <w:t>2003-2006</w:t>
      </w:r>
      <w:r>
        <w:rPr>
          <w:spacing w:val="-7"/>
        </w:rPr>
        <w:t> </w:t>
      </w:r>
      <w:r>
        <w:rPr/>
        <w:t>fueron</w:t>
      </w:r>
      <w:r>
        <w:rPr>
          <w:spacing w:val="-4"/>
        </w:rPr>
        <w:t> </w:t>
      </w:r>
      <w:r>
        <w:rPr/>
        <w:t>gobernados</w:t>
      </w:r>
      <w:r>
        <w:rPr>
          <w:spacing w:val="-5"/>
        </w:rPr>
        <w:t> </w:t>
      </w:r>
      <w:r>
        <w:rPr/>
        <w:t>por</w:t>
      </w:r>
      <w:r>
        <w:rPr>
          <w:spacing w:val="-6"/>
        </w:rPr>
        <w:t> </w:t>
      </w:r>
      <w:r>
        <w:rPr/>
        <w:t>hombres,</w:t>
      </w:r>
      <w:r>
        <w:rPr>
          <w:spacing w:val="-5"/>
        </w:rPr>
        <w:t> </w:t>
      </w:r>
      <w:r>
        <w:rPr/>
        <w:t>siendo</w:t>
      </w:r>
      <w:r>
        <w:rPr>
          <w:spacing w:val="-7"/>
        </w:rPr>
        <w:t> </w:t>
      </w:r>
      <w:r>
        <w:rPr/>
        <w:t>un</w:t>
      </w:r>
      <w:r>
        <w:rPr>
          <w:spacing w:val="-5"/>
        </w:rPr>
        <w:t> </w:t>
      </w:r>
      <w:r>
        <w:rPr/>
        <w:t>total de 115, que representan un 92%; mientras que los municipios gobernados por mujeres fueron solamente 10, equivalentes al 8% del</w:t>
      </w:r>
      <w:r>
        <w:rPr>
          <w:spacing w:val="-21"/>
        </w:rPr>
        <w:t> </w:t>
      </w:r>
      <w:r>
        <w:rPr/>
        <w:t>total.</w:t>
      </w:r>
    </w:p>
    <w:p>
      <w:pPr>
        <w:spacing w:after="0" w:line="360" w:lineRule="auto"/>
        <w:jc w:val="both"/>
        <w:sectPr>
          <w:pgSz w:w="12240" w:h="15840"/>
          <w:pgMar w:header="0" w:footer="975" w:top="1360" w:bottom="1220" w:left="1480" w:right="1580"/>
        </w:sectPr>
      </w:pPr>
    </w:p>
    <w:p>
      <w:pPr>
        <w:pStyle w:val="BodyText"/>
        <w:rPr>
          <w:sz w:val="20"/>
        </w:rPr>
      </w:pPr>
    </w:p>
    <w:p>
      <w:pPr>
        <w:pStyle w:val="BodyText"/>
        <w:spacing w:before="3"/>
        <w:rPr>
          <w:sz w:val="22"/>
        </w:rPr>
      </w:pPr>
    </w:p>
    <w:p>
      <w:pPr>
        <w:pStyle w:val="BodyText"/>
        <w:ind w:left="1403"/>
        <w:rPr>
          <w:sz w:val="20"/>
        </w:rPr>
      </w:pPr>
      <w:r>
        <w:rPr>
          <w:sz w:val="20"/>
        </w:rPr>
        <w:pict>
          <v:group style="width:315.5pt;height:171.5pt;mso-position-horizontal-relative:char;mso-position-vertical-relative:line" coordorigin="0,0" coordsize="6310,3430">
            <v:shape style="position:absolute;left:5;top:5;width:6300;height:3420" type="#_x0000_t75" stroked="false">
              <v:imagedata r:id="rId113" o:title=""/>
            </v:shape>
            <v:shape style="position:absolute;left:1745;top:1348;width:1850;height:1850" coordorigin="1745,1348" coordsize="1850,1850" path="m2224,1463l2159,1502,2099,1545,2043,1593,1991,1645,1944,1700,1902,1758,1864,1819,1832,1882,1804,1948,1782,2015,1765,2084,1753,2154,1746,2225,1745,2296,1750,2368,1760,2440,1776,2511,1798,2581,1826,2650,1860,2718,1899,2783,1942,2844,1990,2900,2042,2952,2097,2999,2155,3041,2216,3079,2279,3111,2345,3139,2412,3161,2481,3178,2551,3190,2622,3197,2693,3198,2765,3193,2837,3183,2908,3167,2978,3145,3047,3117,3115,3083,3180,3044,3241,3000,3297,2953,3349,2901,3396,2846,3438,2788,3475,2727,3508,2664,3535,2598,3558,2531,3575,2462,3587,2392,3593,2321,3594,2273,2670,2273,2224,1463xm2670,1348l2670,2273,3594,2273,3594,2250,3590,2178,3580,2106,3564,2035,3542,1965,3514,1895,3480,1827,3440,1761,3395,1699,3346,1642,3292,1589,3234,1540,3172,1497,3108,1459,3040,1426,2970,1398,2898,1377,2823,1361,2747,1351,2670,1348xe" filled="true" fillcolor="#00afef" stroked="false">
              <v:path arrowok="t"/>
              <v:fill type="solid"/>
            </v:shape>
            <v:shape style="position:absolute;left:2109;top:900;width:446;height:925" coordorigin="2109,900" coordsize="446,925" path="m2555,900l2477,904,2400,913,2325,929,2251,952,2179,980,2109,1015,2555,1825,2555,900xe" filled="true" fillcolor="#ff6699" stroked="false">
              <v:path arrowok="t"/>
              <v:fill type="solid"/>
            </v:shape>
            <v:line style="position:absolute" from="5309,1892" to="5396,1892" stroked="true" strokeweight="4.32pt" strokecolor="#00afef"/>
            <v:line style="position:absolute" from="5309,2206" to="5396,2206" stroked="true" strokeweight="4.440pt" strokecolor="#ff6699"/>
            <v:shape style="position:absolute;left:5;top:5;width:6300;height:3420" coordorigin="5,5" coordsize="6300,3420" path="m5,205l21,127,64,64,127,21,205,5,6105,5,6183,21,6247,64,6289,127,6305,205,6305,3225,6289,3303,6247,3366,6183,3409,6105,3425,205,3425,127,3409,64,3366,21,3303,5,3225,5,205xe" filled="false" stroked="true" strokeweight=".5pt" strokecolor="#888888">
              <v:path arrowok="t"/>
            </v:shape>
            <v:shape style="position:absolute;left:832;top:195;width:4642;height:1037" type="#_x0000_t202" filled="false" stroked="false">
              <v:textbox inset="0,0,0,0">
                <w:txbxContent>
                  <w:p>
                    <w:pPr>
                      <w:spacing w:line="203" w:lineRule="exact" w:before="0"/>
                      <w:ind w:left="336" w:right="0" w:hanging="336"/>
                      <w:jc w:val="left"/>
                      <w:rPr>
                        <w:rFonts w:ascii="Calibri" w:hAnsi="Calibri"/>
                        <w:b/>
                        <w:sz w:val="20"/>
                      </w:rPr>
                    </w:pPr>
                    <w:r>
                      <w:rPr>
                        <w:rFonts w:ascii="Calibri" w:hAnsi="Calibri"/>
                        <w:b/>
                        <w:sz w:val="20"/>
                      </w:rPr>
                      <w:t>Gráfica 3.7. Género de los presidentes municipales en</w:t>
                    </w:r>
                    <w:r>
                      <w:rPr>
                        <w:rFonts w:ascii="Calibri" w:hAnsi="Calibri"/>
                        <w:b/>
                        <w:spacing w:val="-31"/>
                        <w:sz w:val="20"/>
                      </w:rPr>
                      <w:t> </w:t>
                    </w:r>
                    <w:r>
                      <w:rPr>
                        <w:rFonts w:ascii="Calibri" w:hAnsi="Calibri"/>
                        <w:b/>
                        <w:sz w:val="20"/>
                      </w:rPr>
                      <w:t>el</w:t>
                    </w:r>
                  </w:p>
                  <w:p>
                    <w:pPr>
                      <w:spacing w:before="0"/>
                      <w:ind w:left="336" w:right="0" w:firstLine="0"/>
                      <w:jc w:val="left"/>
                      <w:rPr>
                        <w:rFonts w:ascii="Calibri" w:hAnsi="Calibri"/>
                        <w:b/>
                        <w:sz w:val="20"/>
                      </w:rPr>
                    </w:pPr>
                    <w:r>
                      <w:rPr>
                        <w:rFonts w:ascii="Calibri" w:hAnsi="Calibri"/>
                        <w:b/>
                        <w:sz w:val="20"/>
                      </w:rPr>
                      <w:t>Estado de México durante el periodo 2003-2006</w:t>
                    </w:r>
                  </w:p>
                  <w:p>
                    <w:pPr>
                      <w:spacing w:line="240" w:lineRule="auto" w:before="0"/>
                      <w:rPr>
                        <w:sz w:val="20"/>
                      </w:rPr>
                    </w:pPr>
                  </w:p>
                  <w:p>
                    <w:pPr>
                      <w:spacing w:line="240" w:lineRule="exact" w:before="118"/>
                      <w:ind w:left="1439" w:right="0" w:firstLine="0"/>
                      <w:jc w:val="left"/>
                      <w:rPr>
                        <w:rFonts w:ascii="Calibri"/>
                        <w:sz w:val="20"/>
                      </w:rPr>
                    </w:pPr>
                    <w:r>
                      <w:rPr>
                        <w:rFonts w:ascii="Calibri"/>
                        <w:sz w:val="20"/>
                      </w:rPr>
                      <w:t>10</w:t>
                    </w:r>
                  </w:p>
                </w:txbxContent>
              </v:textbox>
              <w10:wrap type="none"/>
            </v:shape>
            <v:shape style="position:absolute;left:5434;top:1817;width:671;height:475" type="#_x0000_t202" filled="false" stroked="false">
              <v:textbox inset="0,0,0,0">
                <w:txbxContent>
                  <w:p>
                    <w:pPr>
                      <w:spacing w:line="164" w:lineRule="exact" w:before="0"/>
                      <w:ind w:left="0" w:right="-19" w:firstLine="0"/>
                      <w:jc w:val="left"/>
                      <w:rPr>
                        <w:rFonts w:ascii="Calibri"/>
                        <w:sz w:val="16"/>
                      </w:rPr>
                    </w:pPr>
                    <w:r>
                      <w:rPr>
                        <w:rFonts w:ascii="Calibri"/>
                        <w:sz w:val="16"/>
                      </w:rPr>
                      <w:t>Masculino</w:t>
                    </w:r>
                  </w:p>
                  <w:p>
                    <w:pPr>
                      <w:spacing w:line="193" w:lineRule="exact" w:before="118"/>
                      <w:ind w:left="0" w:right="-19" w:firstLine="0"/>
                      <w:jc w:val="left"/>
                      <w:rPr>
                        <w:rFonts w:ascii="Calibri"/>
                        <w:sz w:val="16"/>
                      </w:rPr>
                    </w:pPr>
                    <w:r>
                      <w:rPr>
                        <w:rFonts w:ascii="Calibri"/>
                        <w:sz w:val="16"/>
                      </w:rPr>
                      <w:t>Femenino</w:t>
                    </w:r>
                  </w:p>
                </w:txbxContent>
              </v:textbox>
              <w10:wrap type="none"/>
            </v:shape>
            <v:shape style="position:absolute;left:2701;top:2902;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115</w:t>
                    </w:r>
                  </w:p>
                </w:txbxContent>
              </v:textbox>
              <w10:wrap type="none"/>
            </v:shape>
          </v:group>
        </w:pict>
      </w:r>
      <w:r>
        <w:rPr>
          <w:sz w:val="20"/>
        </w:rPr>
      </w:r>
    </w:p>
    <w:p>
      <w:pPr>
        <w:pStyle w:val="BodyText"/>
        <w:spacing w:before="7"/>
        <w:rPr>
          <w:sz w:val="19"/>
        </w:rPr>
      </w:pPr>
    </w:p>
    <w:p>
      <w:pPr>
        <w:spacing w:before="77"/>
        <w:ind w:left="2302" w:right="6" w:firstLine="0"/>
        <w:jc w:val="left"/>
        <w:rPr>
          <w:sz w:val="18"/>
        </w:rPr>
      </w:pPr>
      <w:r>
        <w:rPr>
          <w:sz w:val="18"/>
        </w:rPr>
        <w:t>Fuente: Elaboración propia con datos del INAFED, 2015.</w:t>
      </w:r>
    </w:p>
    <w:p>
      <w:pPr>
        <w:pStyle w:val="BodyText"/>
        <w:rPr>
          <w:sz w:val="20"/>
        </w:rPr>
      </w:pPr>
    </w:p>
    <w:p>
      <w:pPr>
        <w:pStyle w:val="BodyText"/>
        <w:rPr>
          <w:sz w:val="20"/>
        </w:rPr>
      </w:pPr>
    </w:p>
    <w:p>
      <w:pPr>
        <w:pStyle w:val="BodyText"/>
        <w:rPr>
          <w:sz w:val="20"/>
        </w:rPr>
      </w:pPr>
    </w:p>
    <w:p>
      <w:pPr>
        <w:pStyle w:val="BodyText"/>
        <w:spacing w:before="11"/>
        <w:rPr>
          <w:sz w:val="12"/>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47"/>
        <w:gridCol w:w="1162"/>
        <w:gridCol w:w="1181"/>
        <w:gridCol w:w="1229"/>
        <w:gridCol w:w="1844"/>
        <w:gridCol w:w="2566"/>
      </w:tblGrid>
      <w:tr>
        <w:trPr>
          <w:trHeight w:val="320" w:hRule="exact"/>
        </w:trPr>
        <w:tc>
          <w:tcPr>
            <w:tcW w:w="8829" w:type="dxa"/>
            <w:gridSpan w:val="6"/>
            <w:shd w:val="clear" w:color="auto" w:fill="92D050"/>
          </w:tcPr>
          <w:p>
            <w:pPr>
              <w:pStyle w:val="TableParagraph"/>
              <w:spacing w:line="203" w:lineRule="exact"/>
              <w:ind w:left="1072" w:right="312"/>
              <w:jc w:val="left"/>
              <w:rPr>
                <w:b/>
                <w:sz w:val="18"/>
              </w:rPr>
            </w:pPr>
            <w:r>
              <w:rPr>
                <w:b/>
                <w:sz w:val="18"/>
              </w:rPr>
              <w:t>Tabla 3.21 Género del presidente municipal que gobernó el periodo 2003-2006</w:t>
            </w:r>
          </w:p>
        </w:tc>
      </w:tr>
      <w:tr>
        <w:trPr>
          <w:trHeight w:val="319" w:hRule="exact"/>
        </w:trPr>
        <w:tc>
          <w:tcPr>
            <w:tcW w:w="2009" w:type="dxa"/>
            <w:gridSpan w:val="2"/>
            <w:shd w:val="clear" w:color="auto" w:fill="92D050"/>
          </w:tcPr>
          <w:p>
            <w:pPr>
              <w:pStyle w:val="TableParagraph"/>
              <w:spacing w:line="206" w:lineRule="exact"/>
              <w:ind w:left="679" w:right="679"/>
              <w:rPr>
                <w:sz w:val="18"/>
              </w:rPr>
            </w:pPr>
            <w:r>
              <w:rPr>
                <w:sz w:val="18"/>
              </w:rPr>
              <w:t>Género</w:t>
            </w:r>
          </w:p>
        </w:tc>
        <w:tc>
          <w:tcPr>
            <w:tcW w:w="1181" w:type="dxa"/>
            <w:shd w:val="clear" w:color="auto" w:fill="92D050"/>
          </w:tcPr>
          <w:p>
            <w:pPr>
              <w:pStyle w:val="TableParagraph"/>
              <w:spacing w:line="206" w:lineRule="exact"/>
              <w:ind w:left="84" w:right="84"/>
              <w:rPr>
                <w:sz w:val="18"/>
              </w:rPr>
            </w:pPr>
            <w:r>
              <w:rPr>
                <w:sz w:val="18"/>
              </w:rPr>
              <w:t>Frecuencia</w:t>
            </w:r>
          </w:p>
        </w:tc>
        <w:tc>
          <w:tcPr>
            <w:tcW w:w="1229" w:type="dxa"/>
            <w:shd w:val="clear" w:color="auto" w:fill="92D050"/>
          </w:tcPr>
          <w:p>
            <w:pPr>
              <w:pStyle w:val="TableParagraph"/>
              <w:spacing w:line="206" w:lineRule="exact"/>
              <w:ind w:left="158" w:right="159"/>
              <w:rPr>
                <w:sz w:val="18"/>
              </w:rPr>
            </w:pPr>
            <w:r>
              <w:rPr>
                <w:sz w:val="18"/>
              </w:rPr>
              <w:t>Porcentaje</w:t>
            </w:r>
          </w:p>
        </w:tc>
        <w:tc>
          <w:tcPr>
            <w:tcW w:w="1844" w:type="dxa"/>
            <w:shd w:val="clear" w:color="auto" w:fill="92D050"/>
          </w:tcPr>
          <w:p>
            <w:pPr>
              <w:pStyle w:val="TableParagraph"/>
              <w:spacing w:line="206" w:lineRule="exact"/>
              <w:ind w:left="206" w:right="206"/>
              <w:rPr>
                <w:sz w:val="18"/>
              </w:rPr>
            </w:pPr>
            <w:r>
              <w:rPr>
                <w:sz w:val="18"/>
              </w:rPr>
              <w:t>Porcentaje válido</w:t>
            </w:r>
          </w:p>
        </w:tc>
        <w:tc>
          <w:tcPr>
            <w:tcW w:w="2566" w:type="dxa"/>
            <w:shd w:val="clear" w:color="auto" w:fill="92D050"/>
          </w:tcPr>
          <w:p>
            <w:pPr>
              <w:pStyle w:val="TableParagraph"/>
              <w:spacing w:line="206" w:lineRule="exact"/>
              <w:ind w:left="363" w:right="361"/>
              <w:rPr>
                <w:sz w:val="18"/>
              </w:rPr>
            </w:pPr>
            <w:r>
              <w:rPr>
                <w:sz w:val="18"/>
              </w:rPr>
              <w:t>Porcentaje acumulado</w:t>
            </w:r>
          </w:p>
        </w:tc>
      </w:tr>
      <w:tr>
        <w:trPr>
          <w:trHeight w:val="322" w:hRule="exact"/>
        </w:trPr>
        <w:tc>
          <w:tcPr>
            <w:tcW w:w="847" w:type="dxa"/>
            <w:vMerge w:val="restart"/>
          </w:tcPr>
          <w:p>
            <w:pPr>
              <w:pStyle w:val="TableParagraph"/>
              <w:jc w:val="left"/>
              <w:rPr>
                <w:sz w:val="18"/>
              </w:rPr>
            </w:pPr>
          </w:p>
          <w:p>
            <w:pPr>
              <w:pStyle w:val="TableParagraph"/>
              <w:spacing w:before="104"/>
              <w:ind w:left="122"/>
              <w:jc w:val="left"/>
              <w:rPr>
                <w:sz w:val="18"/>
              </w:rPr>
            </w:pPr>
            <w:r>
              <w:rPr>
                <w:sz w:val="18"/>
              </w:rPr>
              <w:t>Válidos</w:t>
            </w:r>
          </w:p>
        </w:tc>
        <w:tc>
          <w:tcPr>
            <w:tcW w:w="1162" w:type="dxa"/>
          </w:tcPr>
          <w:p>
            <w:pPr>
              <w:pStyle w:val="TableParagraph"/>
              <w:spacing w:before="1"/>
              <w:ind w:left="150" w:right="150"/>
              <w:rPr>
                <w:sz w:val="18"/>
              </w:rPr>
            </w:pPr>
            <w:r>
              <w:rPr>
                <w:sz w:val="18"/>
              </w:rPr>
              <w:t>Masculino</w:t>
            </w:r>
          </w:p>
        </w:tc>
        <w:tc>
          <w:tcPr>
            <w:tcW w:w="1181" w:type="dxa"/>
          </w:tcPr>
          <w:p>
            <w:pPr>
              <w:pStyle w:val="TableParagraph"/>
              <w:spacing w:before="1"/>
              <w:ind w:left="84" w:right="84"/>
              <w:rPr>
                <w:sz w:val="18"/>
              </w:rPr>
            </w:pPr>
            <w:r>
              <w:rPr>
                <w:sz w:val="18"/>
              </w:rPr>
              <w:t>115</w:t>
            </w:r>
          </w:p>
        </w:tc>
        <w:tc>
          <w:tcPr>
            <w:tcW w:w="1229" w:type="dxa"/>
          </w:tcPr>
          <w:p>
            <w:pPr>
              <w:pStyle w:val="TableParagraph"/>
              <w:spacing w:before="1"/>
              <w:ind w:left="158" w:right="158"/>
              <w:rPr>
                <w:sz w:val="18"/>
              </w:rPr>
            </w:pPr>
            <w:r>
              <w:rPr>
                <w:sz w:val="18"/>
              </w:rPr>
              <w:t>92.0</w:t>
            </w:r>
          </w:p>
        </w:tc>
        <w:tc>
          <w:tcPr>
            <w:tcW w:w="1844" w:type="dxa"/>
          </w:tcPr>
          <w:p>
            <w:pPr>
              <w:pStyle w:val="TableParagraph"/>
              <w:spacing w:before="1"/>
              <w:ind w:left="206" w:right="205"/>
              <w:rPr>
                <w:sz w:val="18"/>
              </w:rPr>
            </w:pPr>
            <w:r>
              <w:rPr>
                <w:sz w:val="18"/>
              </w:rPr>
              <w:t>92.0</w:t>
            </w:r>
          </w:p>
        </w:tc>
        <w:tc>
          <w:tcPr>
            <w:tcW w:w="2566" w:type="dxa"/>
          </w:tcPr>
          <w:p>
            <w:pPr>
              <w:pStyle w:val="TableParagraph"/>
              <w:spacing w:before="1"/>
              <w:ind w:left="363" w:right="361"/>
              <w:rPr>
                <w:sz w:val="18"/>
              </w:rPr>
            </w:pPr>
            <w:r>
              <w:rPr>
                <w:sz w:val="18"/>
              </w:rPr>
              <w:t>92.0</w:t>
            </w:r>
          </w:p>
        </w:tc>
      </w:tr>
      <w:tr>
        <w:trPr>
          <w:trHeight w:val="322" w:hRule="exact"/>
        </w:trPr>
        <w:tc>
          <w:tcPr>
            <w:tcW w:w="847" w:type="dxa"/>
            <w:vMerge/>
          </w:tcPr>
          <w:p>
            <w:pPr/>
          </w:p>
        </w:tc>
        <w:tc>
          <w:tcPr>
            <w:tcW w:w="1162" w:type="dxa"/>
          </w:tcPr>
          <w:p>
            <w:pPr>
              <w:pStyle w:val="TableParagraph"/>
              <w:spacing w:line="206" w:lineRule="exact"/>
              <w:ind w:left="150" w:right="150"/>
              <w:rPr>
                <w:sz w:val="18"/>
              </w:rPr>
            </w:pPr>
            <w:r>
              <w:rPr>
                <w:sz w:val="18"/>
              </w:rPr>
              <w:t>Femenino</w:t>
            </w:r>
          </w:p>
        </w:tc>
        <w:tc>
          <w:tcPr>
            <w:tcW w:w="1181" w:type="dxa"/>
          </w:tcPr>
          <w:p>
            <w:pPr>
              <w:pStyle w:val="TableParagraph"/>
              <w:spacing w:line="206" w:lineRule="exact"/>
              <w:ind w:left="84" w:right="84"/>
              <w:rPr>
                <w:sz w:val="18"/>
              </w:rPr>
            </w:pPr>
            <w:r>
              <w:rPr>
                <w:sz w:val="18"/>
              </w:rPr>
              <w:t>10</w:t>
            </w:r>
          </w:p>
        </w:tc>
        <w:tc>
          <w:tcPr>
            <w:tcW w:w="1229" w:type="dxa"/>
          </w:tcPr>
          <w:p>
            <w:pPr>
              <w:pStyle w:val="TableParagraph"/>
              <w:spacing w:line="206" w:lineRule="exact"/>
              <w:ind w:left="158" w:right="157"/>
              <w:rPr>
                <w:sz w:val="18"/>
              </w:rPr>
            </w:pPr>
            <w:r>
              <w:rPr>
                <w:sz w:val="18"/>
              </w:rPr>
              <w:t>8.0</w:t>
            </w:r>
          </w:p>
        </w:tc>
        <w:tc>
          <w:tcPr>
            <w:tcW w:w="1844" w:type="dxa"/>
          </w:tcPr>
          <w:p>
            <w:pPr>
              <w:pStyle w:val="TableParagraph"/>
              <w:spacing w:line="206" w:lineRule="exact"/>
              <w:ind w:left="206" w:right="205"/>
              <w:rPr>
                <w:sz w:val="18"/>
              </w:rPr>
            </w:pPr>
            <w:r>
              <w:rPr>
                <w:sz w:val="18"/>
              </w:rPr>
              <w:t>8.0</w:t>
            </w:r>
          </w:p>
        </w:tc>
        <w:tc>
          <w:tcPr>
            <w:tcW w:w="2566" w:type="dxa"/>
          </w:tcPr>
          <w:p>
            <w:pPr>
              <w:pStyle w:val="TableParagraph"/>
              <w:spacing w:line="206" w:lineRule="exact"/>
              <w:ind w:left="363" w:right="361"/>
              <w:rPr>
                <w:sz w:val="18"/>
              </w:rPr>
            </w:pPr>
            <w:r>
              <w:rPr>
                <w:sz w:val="18"/>
              </w:rPr>
              <w:t>100.0</w:t>
            </w:r>
          </w:p>
        </w:tc>
      </w:tr>
      <w:tr>
        <w:trPr>
          <w:trHeight w:val="319" w:hRule="exact"/>
        </w:trPr>
        <w:tc>
          <w:tcPr>
            <w:tcW w:w="847" w:type="dxa"/>
            <w:vMerge/>
          </w:tcPr>
          <w:p>
            <w:pPr/>
          </w:p>
        </w:tc>
        <w:tc>
          <w:tcPr>
            <w:tcW w:w="1162" w:type="dxa"/>
          </w:tcPr>
          <w:p>
            <w:pPr>
              <w:pStyle w:val="TableParagraph"/>
              <w:spacing w:line="206" w:lineRule="exact"/>
              <w:ind w:left="149" w:right="150"/>
              <w:rPr>
                <w:sz w:val="18"/>
              </w:rPr>
            </w:pPr>
            <w:r>
              <w:rPr>
                <w:sz w:val="18"/>
              </w:rPr>
              <w:t>Total</w:t>
            </w:r>
          </w:p>
        </w:tc>
        <w:tc>
          <w:tcPr>
            <w:tcW w:w="1181" w:type="dxa"/>
          </w:tcPr>
          <w:p>
            <w:pPr>
              <w:pStyle w:val="TableParagraph"/>
              <w:spacing w:line="206" w:lineRule="exact"/>
              <w:ind w:left="84" w:right="84"/>
              <w:rPr>
                <w:sz w:val="18"/>
              </w:rPr>
            </w:pPr>
            <w:r>
              <w:rPr>
                <w:sz w:val="18"/>
              </w:rPr>
              <w:t>125</w:t>
            </w:r>
          </w:p>
        </w:tc>
        <w:tc>
          <w:tcPr>
            <w:tcW w:w="1229" w:type="dxa"/>
          </w:tcPr>
          <w:p>
            <w:pPr>
              <w:pStyle w:val="TableParagraph"/>
              <w:spacing w:line="206" w:lineRule="exact"/>
              <w:ind w:left="158" w:right="158"/>
              <w:rPr>
                <w:sz w:val="18"/>
              </w:rPr>
            </w:pPr>
            <w:r>
              <w:rPr>
                <w:sz w:val="18"/>
              </w:rPr>
              <w:t>100.0</w:t>
            </w:r>
          </w:p>
        </w:tc>
        <w:tc>
          <w:tcPr>
            <w:tcW w:w="1844" w:type="dxa"/>
          </w:tcPr>
          <w:p>
            <w:pPr>
              <w:pStyle w:val="TableParagraph"/>
              <w:spacing w:line="206" w:lineRule="exact"/>
              <w:ind w:left="206" w:right="205"/>
              <w:rPr>
                <w:sz w:val="18"/>
              </w:rPr>
            </w:pPr>
            <w:r>
              <w:rPr>
                <w:sz w:val="18"/>
              </w:rPr>
              <w:t>100.0</w:t>
            </w:r>
          </w:p>
        </w:tc>
        <w:tc>
          <w:tcPr>
            <w:tcW w:w="2566" w:type="dxa"/>
          </w:tcPr>
          <w:p>
            <w:pPr/>
          </w:p>
        </w:tc>
      </w:tr>
    </w:tbl>
    <w:p>
      <w:pPr>
        <w:spacing w:line="180" w:lineRule="exact" w:before="0"/>
        <w:ind w:left="221" w:right="6" w:firstLine="0"/>
        <w:jc w:val="left"/>
        <w:rPr>
          <w:sz w:val="16"/>
        </w:rPr>
      </w:pPr>
      <w:r>
        <w:rPr>
          <w:sz w:val="16"/>
        </w:rPr>
        <w:t>Fuente: Elaboración con propia con datos del INFDEM 2003. </w:t>
      </w:r>
      <w:hyperlink r:id="rId114">
        <w:r>
          <w:rPr>
            <w:color w:val="0462C1"/>
            <w:sz w:val="16"/>
            <w:u w:val="single" w:color="0462C1"/>
          </w:rPr>
          <w:t>http://www.snim.rami.gob.mx/ </w:t>
        </w:r>
      </w:hyperlink>
      <w:r>
        <w:rPr>
          <w:sz w:val="16"/>
        </w:rPr>
        <w:t>[04-12-2013]</w:t>
      </w:r>
    </w:p>
    <w:p>
      <w:pPr>
        <w:pStyle w:val="BodyText"/>
        <w:rPr>
          <w:sz w:val="20"/>
        </w:rPr>
      </w:pPr>
    </w:p>
    <w:p>
      <w:pPr>
        <w:pStyle w:val="BodyText"/>
        <w:rPr>
          <w:sz w:val="20"/>
        </w:rPr>
      </w:pPr>
    </w:p>
    <w:p>
      <w:pPr>
        <w:pStyle w:val="BodyText"/>
        <w:spacing w:before="9"/>
        <w:rPr>
          <w:sz w:val="15"/>
        </w:rPr>
      </w:pPr>
    </w:p>
    <w:p>
      <w:pPr>
        <w:pStyle w:val="BodyText"/>
        <w:spacing w:line="360" w:lineRule="auto" w:before="69"/>
        <w:ind w:left="108" w:right="98"/>
        <w:jc w:val="both"/>
      </w:pPr>
      <w:r>
        <w:rPr/>
        <w:t>Por su parte en el periodo 2006-2009 se muestran cómo casi todos los municipios del Estado de México fueron gobernados por hombres, siendo un total de 122, que representan un 97.6%; mientras que los municipios gobernados por mujeres fueron solamente 3, equivalentes al 2.4% del total.</w:t>
      </w:r>
    </w:p>
    <w:p>
      <w:pPr>
        <w:spacing w:after="0" w:line="360" w:lineRule="auto"/>
        <w:jc w:val="both"/>
        <w:sectPr>
          <w:pgSz w:w="12240" w:h="15840"/>
          <w:pgMar w:header="0" w:footer="975" w:top="1500" w:bottom="1220" w:left="1500" w:right="1600"/>
        </w:sectPr>
      </w:pPr>
    </w:p>
    <w:p>
      <w:pPr>
        <w:pStyle w:val="BodyText"/>
        <w:rPr>
          <w:sz w:val="20"/>
        </w:rPr>
      </w:pPr>
    </w:p>
    <w:p>
      <w:pPr>
        <w:pStyle w:val="BodyText"/>
        <w:rPr>
          <w:sz w:val="20"/>
        </w:rPr>
      </w:pPr>
    </w:p>
    <w:p>
      <w:pPr>
        <w:pStyle w:val="BodyText"/>
        <w:rPr>
          <w:sz w:val="20"/>
        </w:rPr>
      </w:pPr>
    </w:p>
    <w:p>
      <w:pPr>
        <w:pStyle w:val="BodyText"/>
        <w:spacing w:before="7"/>
        <w:rPr>
          <w:sz w:val="16"/>
        </w:rPr>
      </w:pPr>
    </w:p>
    <w:tbl>
      <w:tblPr>
        <w:tblW w:w="0" w:type="auto"/>
        <w:jc w:val="left"/>
        <w:tblInd w:w="1423" w:type="dxa"/>
        <w:tblBorders>
          <w:top w:val="single" w:sz="4" w:space="0" w:color="888888"/>
          <w:left w:val="single" w:sz="4" w:space="0" w:color="888888"/>
          <w:bottom w:val="single" w:sz="4" w:space="0" w:color="888888"/>
          <w:right w:val="single" w:sz="4" w:space="0" w:color="888888"/>
          <w:insideH w:val="single" w:sz="4" w:space="0" w:color="888888"/>
          <w:insideV w:val="single" w:sz="4" w:space="0" w:color="888888"/>
        </w:tblBorders>
        <w:tblLayout w:type="fixed"/>
        <w:tblCellMar>
          <w:top w:w="0" w:type="dxa"/>
          <w:left w:w="0" w:type="dxa"/>
          <w:bottom w:w="0" w:type="dxa"/>
          <w:right w:w="0" w:type="dxa"/>
        </w:tblCellMar>
        <w:tblLook w:val="01E0"/>
      </w:tblPr>
      <w:tblGrid>
        <w:gridCol w:w="696"/>
        <w:gridCol w:w="1394"/>
        <w:gridCol w:w="3485"/>
      </w:tblGrid>
      <w:tr>
        <w:trPr>
          <w:trHeight w:val="410" w:hRule="exact"/>
        </w:trPr>
        <w:tc>
          <w:tcPr>
            <w:tcW w:w="5575" w:type="dxa"/>
            <w:gridSpan w:val="3"/>
            <w:tcBorders>
              <w:right w:val="nil"/>
            </w:tcBorders>
            <w:shd w:val="clear" w:color="auto" w:fill="FFFFFF"/>
          </w:tcPr>
          <w:p>
            <w:pPr/>
          </w:p>
        </w:tc>
      </w:tr>
      <w:tr>
        <w:trPr>
          <w:trHeight w:val="449" w:hRule="exact"/>
        </w:trPr>
        <w:tc>
          <w:tcPr>
            <w:tcW w:w="696" w:type="dxa"/>
            <w:tcBorders>
              <w:right w:val="nil"/>
            </w:tcBorders>
            <w:shd w:val="clear" w:color="auto" w:fill="FFFFFF"/>
          </w:tcPr>
          <w:p>
            <w:pPr/>
          </w:p>
        </w:tc>
        <w:tc>
          <w:tcPr>
            <w:tcW w:w="1394" w:type="dxa"/>
            <w:vMerge w:val="restart"/>
            <w:tcBorders>
              <w:top w:val="nil"/>
              <w:left w:val="nil"/>
              <w:right w:val="nil"/>
            </w:tcBorders>
            <w:shd w:val="clear" w:color="auto" w:fill="00AFEF"/>
          </w:tcPr>
          <w:p>
            <w:pPr>
              <w:pStyle w:val="TableParagraph"/>
              <w:spacing w:before="66"/>
              <w:ind w:left="525" w:right="525"/>
              <w:rPr>
                <w:rFonts w:ascii="Calibri"/>
                <w:sz w:val="20"/>
              </w:rPr>
            </w:pPr>
            <w:r>
              <w:rPr>
                <w:rFonts w:ascii="Calibri"/>
                <w:sz w:val="20"/>
              </w:rPr>
              <w:t>122</w:t>
            </w:r>
          </w:p>
        </w:tc>
        <w:tc>
          <w:tcPr>
            <w:tcW w:w="3485" w:type="dxa"/>
            <w:tcBorders>
              <w:left w:val="nil"/>
              <w:right w:val="nil"/>
            </w:tcBorders>
            <w:shd w:val="clear" w:color="auto" w:fill="FFFFFF"/>
          </w:tcPr>
          <w:p>
            <w:pPr/>
          </w:p>
        </w:tc>
      </w:tr>
      <w:tr>
        <w:trPr>
          <w:trHeight w:val="430" w:hRule="exact"/>
        </w:trPr>
        <w:tc>
          <w:tcPr>
            <w:tcW w:w="696" w:type="dxa"/>
            <w:tcBorders>
              <w:right w:val="nil"/>
            </w:tcBorders>
            <w:shd w:val="clear" w:color="auto" w:fill="FFFFFF"/>
          </w:tcPr>
          <w:p>
            <w:pPr/>
          </w:p>
        </w:tc>
        <w:tc>
          <w:tcPr>
            <w:tcW w:w="1394" w:type="dxa"/>
            <w:vMerge/>
            <w:tcBorders>
              <w:left w:val="nil"/>
              <w:right w:val="nil"/>
            </w:tcBorders>
            <w:shd w:val="clear" w:color="auto" w:fill="00AFEF"/>
          </w:tcPr>
          <w:p>
            <w:pPr/>
          </w:p>
        </w:tc>
        <w:tc>
          <w:tcPr>
            <w:tcW w:w="3485" w:type="dxa"/>
            <w:tcBorders>
              <w:left w:val="nil"/>
              <w:right w:val="nil"/>
            </w:tcBorders>
            <w:shd w:val="clear" w:color="auto" w:fill="FFFFFF"/>
          </w:tcPr>
          <w:p>
            <w:pPr/>
          </w:p>
        </w:tc>
      </w:tr>
      <w:tr>
        <w:trPr>
          <w:trHeight w:val="430" w:hRule="exact"/>
        </w:trPr>
        <w:tc>
          <w:tcPr>
            <w:tcW w:w="696" w:type="dxa"/>
            <w:tcBorders>
              <w:right w:val="nil"/>
            </w:tcBorders>
            <w:shd w:val="clear" w:color="auto" w:fill="FFFFFF"/>
          </w:tcPr>
          <w:p>
            <w:pPr/>
          </w:p>
        </w:tc>
        <w:tc>
          <w:tcPr>
            <w:tcW w:w="1394" w:type="dxa"/>
            <w:vMerge/>
            <w:tcBorders>
              <w:left w:val="nil"/>
              <w:right w:val="nil"/>
            </w:tcBorders>
            <w:shd w:val="clear" w:color="auto" w:fill="00AFEF"/>
          </w:tcPr>
          <w:p>
            <w:pPr/>
          </w:p>
        </w:tc>
        <w:tc>
          <w:tcPr>
            <w:tcW w:w="3485" w:type="dxa"/>
            <w:tcBorders>
              <w:left w:val="nil"/>
              <w:right w:val="nil"/>
            </w:tcBorders>
            <w:shd w:val="clear" w:color="auto" w:fill="FFFFFF"/>
          </w:tcPr>
          <w:p>
            <w:pPr/>
          </w:p>
        </w:tc>
      </w:tr>
      <w:tr>
        <w:trPr>
          <w:trHeight w:val="427" w:hRule="exact"/>
        </w:trPr>
        <w:tc>
          <w:tcPr>
            <w:tcW w:w="696" w:type="dxa"/>
            <w:tcBorders>
              <w:right w:val="nil"/>
            </w:tcBorders>
            <w:shd w:val="clear" w:color="auto" w:fill="FFFFFF"/>
          </w:tcPr>
          <w:p>
            <w:pPr/>
          </w:p>
        </w:tc>
        <w:tc>
          <w:tcPr>
            <w:tcW w:w="1394" w:type="dxa"/>
            <w:vMerge/>
            <w:tcBorders>
              <w:left w:val="nil"/>
              <w:right w:val="nil"/>
            </w:tcBorders>
            <w:shd w:val="clear" w:color="auto" w:fill="00AFEF"/>
          </w:tcPr>
          <w:p>
            <w:pPr/>
          </w:p>
        </w:tc>
        <w:tc>
          <w:tcPr>
            <w:tcW w:w="3485" w:type="dxa"/>
            <w:tcBorders>
              <w:left w:val="nil"/>
              <w:right w:val="nil"/>
            </w:tcBorders>
            <w:shd w:val="clear" w:color="auto" w:fill="FFFFFF"/>
          </w:tcPr>
          <w:p>
            <w:pPr/>
          </w:p>
        </w:tc>
      </w:tr>
      <w:tr>
        <w:trPr>
          <w:trHeight w:val="430" w:hRule="exact"/>
        </w:trPr>
        <w:tc>
          <w:tcPr>
            <w:tcW w:w="696" w:type="dxa"/>
            <w:tcBorders>
              <w:right w:val="nil"/>
            </w:tcBorders>
            <w:shd w:val="clear" w:color="auto" w:fill="FFFFFF"/>
          </w:tcPr>
          <w:p>
            <w:pPr/>
          </w:p>
        </w:tc>
        <w:tc>
          <w:tcPr>
            <w:tcW w:w="1394" w:type="dxa"/>
            <w:vMerge/>
            <w:tcBorders>
              <w:left w:val="nil"/>
              <w:right w:val="nil"/>
            </w:tcBorders>
            <w:shd w:val="clear" w:color="auto" w:fill="00AFEF"/>
          </w:tcPr>
          <w:p>
            <w:pPr/>
          </w:p>
        </w:tc>
        <w:tc>
          <w:tcPr>
            <w:tcW w:w="3485" w:type="dxa"/>
            <w:tcBorders>
              <w:left w:val="nil"/>
              <w:right w:val="nil"/>
            </w:tcBorders>
            <w:shd w:val="clear" w:color="auto" w:fill="FFFFFF"/>
          </w:tcPr>
          <w:p>
            <w:pPr/>
          </w:p>
        </w:tc>
      </w:tr>
      <w:tr>
        <w:trPr>
          <w:trHeight w:val="430" w:hRule="exact"/>
        </w:trPr>
        <w:tc>
          <w:tcPr>
            <w:tcW w:w="696" w:type="dxa"/>
            <w:tcBorders>
              <w:right w:val="nil"/>
            </w:tcBorders>
            <w:shd w:val="clear" w:color="auto" w:fill="FFFFFF"/>
          </w:tcPr>
          <w:p>
            <w:pPr/>
          </w:p>
        </w:tc>
        <w:tc>
          <w:tcPr>
            <w:tcW w:w="1394" w:type="dxa"/>
            <w:vMerge/>
            <w:tcBorders>
              <w:left w:val="nil"/>
              <w:right w:val="nil"/>
            </w:tcBorders>
            <w:shd w:val="clear" w:color="auto" w:fill="00AFEF"/>
          </w:tcPr>
          <w:p>
            <w:pPr/>
          </w:p>
        </w:tc>
        <w:tc>
          <w:tcPr>
            <w:tcW w:w="3485" w:type="dxa"/>
            <w:tcBorders>
              <w:left w:val="nil"/>
              <w:bottom w:val="single" w:sz="26" w:space="0" w:color="FF6699"/>
              <w:right w:val="nil"/>
            </w:tcBorders>
            <w:shd w:val="clear" w:color="auto" w:fill="FFFFFF"/>
          </w:tcPr>
          <w:p>
            <w:pPr>
              <w:pStyle w:val="TableParagraph"/>
              <w:spacing w:before="90"/>
              <w:ind w:left="696"/>
              <w:rPr>
                <w:rFonts w:ascii="Calibri"/>
                <w:sz w:val="20"/>
              </w:rPr>
            </w:pPr>
            <w:r>
              <w:rPr>
                <w:rFonts w:ascii="Calibri"/>
                <w:w w:val="99"/>
                <w:sz w:val="20"/>
              </w:rPr>
              <w:t>3</w:t>
            </w:r>
          </w:p>
        </w:tc>
      </w:tr>
    </w:tbl>
    <w:p>
      <w:pPr>
        <w:pStyle w:val="BodyText"/>
        <w:rPr>
          <w:sz w:val="20"/>
        </w:rPr>
      </w:pPr>
    </w:p>
    <w:p>
      <w:pPr>
        <w:pStyle w:val="BodyText"/>
        <w:rPr>
          <w:sz w:val="20"/>
        </w:rPr>
      </w:pPr>
    </w:p>
    <w:p>
      <w:pPr>
        <w:pStyle w:val="BodyText"/>
        <w:spacing w:before="2"/>
        <w:rPr>
          <w:sz w:val="21"/>
        </w:rPr>
      </w:pPr>
    </w:p>
    <w:p>
      <w:pPr>
        <w:spacing w:before="78"/>
        <w:ind w:left="2302" w:right="6" w:firstLine="0"/>
        <w:jc w:val="left"/>
        <w:rPr>
          <w:sz w:val="18"/>
        </w:rPr>
      </w:pPr>
      <w:r>
        <w:rPr/>
        <w:pict>
          <v:group style="position:absolute;margin-left:115.169998pt;margin-top:-231.748108pt;width:375.5pt;height:220.25pt;mso-position-horizontal-relative:page;mso-position-vertical-relative:paragraph;z-index:-2767096" coordorigin="2303,-4635" coordsize="7510,4405">
            <v:shape style="position:absolute;left:2308;top:-4630;width:7500;height:4395" type="#_x0000_t75" stroked="false">
              <v:imagedata r:id="rId115" o:title=""/>
            </v:shape>
            <v:rect style="position:absolute;left:2928;top:-3741;width:5575;height:3005" filled="true" fillcolor="#ffffff" stroked="false">
              <v:fill type="solid"/>
            </v:rect>
            <v:line style="position:absolute" from="8813,-2255" to="8899,-2255" stroked="true" strokeweight="4.32pt" strokecolor="#00afef"/>
            <v:line style="position:absolute" from="8813,-1942" to="8899,-1942" stroked="true" strokeweight="4.440pt" strokecolor="#ff6699"/>
            <v:shape style="position:absolute;left:2308;top:-4630;width:7500;height:4395" coordorigin="2308,-4630" coordsize="7500,4395" path="m2308,-4430l2324,-4508,2367,-4571,2431,-4614,2508,-4630,9609,-4630,9686,-4614,9750,-4571,9793,-4508,9808,-4430,9808,-435,9793,-357,9750,-294,9686,-251,9609,-235,2508,-235,2431,-251,2367,-294,2324,-357,2308,-435,2308,-4430xe" filled="false" stroked="true" strokeweight=".5pt" strokecolor="#888888">
              <v:path arrowok="t"/>
            </v:shape>
            <v:shape style="position:absolute;left:3304;top:-4440;width:5501;height:444" type="#_x0000_t202" filled="false" stroked="false">
              <v:textbox inset="0,0,0,0">
                <w:txbxContent>
                  <w:p>
                    <w:pPr>
                      <w:spacing w:line="203" w:lineRule="exact" w:before="0"/>
                      <w:ind w:left="0" w:right="0" w:firstLine="0"/>
                      <w:jc w:val="center"/>
                      <w:rPr>
                        <w:rFonts w:ascii="Calibri" w:hAnsi="Calibri"/>
                        <w:b/>
                        <w:sz w:val="20"/>
                      </w:rPr>
                    </w:pPr>
                    <w:r>
                      <w:rPr>
                        <w:rFonts w:ascii="Calibri" w:hAnsi="Calibri"/>
                        <w:b/>
                        <w:sz w:val="20"/>
                      </w:rPr>
                      <w:t>Gráfica</w:t>
                    </w:r>
                    <w:r>
                      <w:rPr>
                        <w:rFonts w:ascii="Calibri" w:hAnsi="Calibri"/>
                        <w:b/>
                        <w:spacing w:val="-4"/>
                        <w:sz w:val="20"/>
                      </w:rPr>
                      <w:t> </w:t>
                    </w:r>
                    <w:r>
                      <w:rPr>
                        <w:rFonts w:ascii="Calibri" w:hAnsi="Calibri"/>
                        <w:b/>
                        <w:sz w:val="20"/>
                      </w:rPr>
                      <w:t>3.8.</w:t>
                    </w:r>
                    <w:r>
                      <w:rPr>
                        <w:rFonts w:ascii="Calibri" w:hAnsi="Calibri"/>
                        <w:b/>
                        <w:spacing w:val="-2"/>
                        <w:sz w:val="20"/>
                      </w:rPr>
                      <w:t> </w:t>
                    </w:r>
                    <w:r>
                      <w:rPr>
                        <w:rFonts w:ascii="Calibri" w:hAnsi="Calibri"/>
                        <w:b/>
                        <w:sz w:val="20"/>
                      </w:rPr>
                      <w:t>Género</w:t>
                    </w:r>
                    <w:r>
                      <w:rPr>
                        <w:rFonts w:ascii="Calibri" w:hAnsi="Calibri"/>
                        <w:b/>
                        <w:spacing w:val="-5"/>
                        <w:sz w:val="20"/>
                      </w:rPr>
                      <w:t> </w:t>
                    </w:r>
                    <w:r>
                      <w:rPr>
                        <w:rFonts w:ascii="Calibri" w:hAnsi="Calibri"/>
                        <w:b/>
                        <w:sz w:val="20"/>
                      </w:rPr>
                      <w:t>de</w:t>
                    </w:r>
                    <w:r>
                      <w:rPr>
                        <w:rFonts w:ascii="Calibri" w:hAnsi="Calibri"/>
                        <w:b/>
                        <w:spacing w:val="-3"/>
                        <w:sz w:val="20"/>
                      </w:rPr>
                      <w:t> </w:t>
                    </w:r>
                    <w:r>
                      <w:rPr>
                        <w:rFonts w:ascii="Calibri" w:hAnsi="Calibri"/>
                        <w:b/>
                        <w:sz w:val="20"/>
                      </w:rPr>
                      <w:t>los</w:t>
                    </w:r>
                    <w:r>
                      <w:rPr>
                        <w:rFonts w:ascii="Calibri" w:hAnsi="Calibri"/>
                        <w:b/>
                        <w:spacing w:val="-3"/>
                        <w:sz w:val="20"/>
                      </w:rPr>
                      <w:t> </w:t>
                    </w:r>
                    <w:r>
                      <w:rPr>
                        <w:rFonts w:ascii="Calibri" w:hAnsi="Calibri"/>
                        <w:b/>
                        <w:sz w:val="20"/>
                      </w:rPr>
                      <w:t>presidentes</w:t>
                    </w:r>
                    <w:r>
                      <w:rPr>
                        <w:rFonts w:ascii="Calibri" w:hAnsi="Calibri"/>
                        <w:b/>
                        <w:spacing w:val="-6"/>
                        <w:sz w:val="20"/>
                      </w:rPr>
                      <w:t> </w:t>
                    </w:r>
                    <w:r>
                      <w:rPr>
                        <w:rFonts w:ascii="Calibri" w:hAnsi="Calibri"/>
                        <w:b/>
                        <w:sz w:val="20"/>
                      </w:rPr>
                      <w:t>municipales</w:t>
                    </w:r>
                    <w:r>
                      <w:rPr>
                        <w:rFonts w:ascii="Calibri" w:hAnsi="Calibri"/>
                        <w:b/>
                        <w:spacing w:val="-1"/>
                        <w:sz w:val="20"/>
                      </w:rPr>
                      <w:t> </w:t>
                    </w:r>
                    <w:r>
                      <w:rPr>
                        <w:rFonts w:ascii="Calibri" w:hAnsi="Calibri"/>
                        <w:b/>
                        <w:sz w:val="20"/>
                      </w:rPr>
                      <w:t>en</w:t>
                    </w:r>
                    <w:r>
                      <w:rPr>
                        <w:rFonts w:ascii="Calibri" w:hAnsi="Calibri"/>
                        <w:b/>
                        <w:spacing w:val="-5"/>
                        <w:sz w:val="20"/>
                      </w:rPr>
                      <w:t> </w:t>
                    </w:r>
                    <w:r>
                      <w:rPr>
                        <w:rFonts w:ascii="Calibri" w:hAnsi="Calibri"/>
                        <w:b/>
                        <w:sz w:val="20"/>
                      </w:rPr>
                      <w:t>el</w:t>
                    </w:r>
                    <w:r>
                      <w:rPr>
                        <w:rFonts w:ascii="Calibri" w:hAnsi="Calibri"/>
                        <w:b/>
                        <w:spacing w:val="-2"/>
                        <w:sz w:val="20"/>
                      </w:rPr>
                      <w:t> </w:t>
                    </w:r>
                    <w:r>
                      <w:rPr>
                        <w:rFonts w:ascii="Calibri" w:hAnsi="Calibri"/>
                        <w:b/>
                        <w:sz w:val="20"/>
                      </w:rPr>
                      <w:t>Estado</w:t>
                    </w:r>
                    <w:r>
                      <w:rPr>
                        <w:rFonts w:ascii="Calibri" w:hAnsi="Calibri"/>
                        <w:b/>
                        <w:spacing w:val="-3"/>
                        <w:sz w:val="20"/>
                      </w:rPr>
                      <w:t> </w:t>
                    </w:r>
                    <w:r>
                      <w:rPr>
                        <w:rFonts w:ascii="Calibri" w:hAnsi="Calibri"/>
                        <w:b/>
                        <w:sz w:val="20"/>
                      </w:rPr>
                      <w:t>de</w:t>
                    </w:r>
                  </w:p>
                  <w:p>
                    <w:pPr>
                      <w:spacing w:line="240" w:lineRule="exact" w:before="0"/>
                      <w:ind w:left="8" w:right="0" w:firstLine="0"/>
                      <w:jc w:val="center"/>
                      <w:rPr>
                        <w:rFonts w:ascii="Calibri" w:hAnsi="Calibri"/>
                        <w:b/>
                        <w:sz w:val="20"/>
                      </w:rPr>
                    </w:pPr>
                    <w:r>
                      <w:rPr>
                        <w:rFonts w:ascii="Calibri" w:hAnsi="Calibri"/>
                        <w:b/>
                        <w:sz w:val="20"/>
                      </w:rPr>
                      <w:t>México durante el periodo 2006-2009</w:t>
                    </w:r>
                  </w:p>
                </w:txbxContent>
              </v:textbox>
              <w10:wrap type="none"/>
            </v:shape>
            <v:shape style="position:absolute;left:2439;top:-3832;width:305;height:1917" type="#_x0000_t202" filled="false" stroked="false">
              <v:textbox inset="0,0,0,0">
                <w:txbxContent>
                  <w:p>
                    <w:pPr>
                      <w:spacing w:line="203" w:lineRule="exact" w:before="0"/>
                      <w:ind w:left="-1" w:right="0" w:firstLine="0"/>
                      <w:jc w:val="center"/>
                      <w:rPr>
                        <w:rFonts w:ascii="Calibri"/>
                        <w:sz w:val="20"/>
                      </w:rPr>
                    </w:pPr>
                    <w:r>
                      <w:rPr>
                        <w:rFonts w:ascii="Calibri"/>
                        <w:sz w:val="20"/>
                      </w:rPr>
                      <w:t>140</w:t>
                    </w:r>
                  </w:p>
                  <w:p>
                    <w:pPr>
                      <w:spacing w:line="240" w:lineRule="auto" w:before="1"/>
                      <w:rPr>
                        <w:sz w:val="16"/>
                      </w:rPr>
                    </w:pPr>
                  </w:p>
                  <w:p>
                    <w:pPr>
                      <w:spacing w:before="0"/>
                      <w:ind w:left="-1" w:right="0" w:firstLine="0"/>
                      <w:jc w:val="center"/>
                      <w:rPr>
                        <w:rFonts w:ascii="Calibri"/>
                        <w:sz w:val="20"/>
                      </w:rPr>
                    </w:pPr>
                    <w:r>
                      <w:rPr>
                        <w:rFonts w:ascii="Calibri"/>
                        <w:sz w:val="20"/>
                      </w:rPr>
                      <w:t>120</w:t>
                    </w:r>
                  </w:p>
                  <w:p>
                    <w:pPr>
                      <w:spacing w:line="240" w:lineRule="auto" w:before="0"/>
                      <w:rPr>
                        <w:sz w:val="16"/>
                      </w:rPr>
                    </w:pPr>
                  </w:p>
                  <w:p>
                    <w:pPr>
                      <w:spacing w:before="1"/>
                      <w:ind w:left="-1" w:right="0" w:firstLine="0"/>
                      <w:jc w:val="center"/>
                      <w:rPr>
                        <w:rFonts w:ascii="Calibri"/>
                        <w:sz w:val="20"/>
                      </w:rPr>
                    </w:pPr>
                    <w:r>
                      <w:rPr>
                        <w:rFonts w:ascii="Calibri"/>
                        <w:sz w:val="20"/>
                      </w:rPr>
                      <w:t>100</w:t>
                    </w:r>
                  </w:p>
                  <w:p>
                    <w:pPr>
                      <w:spacing w:line="240" w:lineRule="auto" w:before="1"/>
                      <w:rPr>
                        <w:sz w:val="16"/>
                      </w:rPr>
                    </w:pPr>
                  </w:p>
                  <w:p>
                    <w:pPr>
                      <w:spacing w:before="0"/>
                      <w:ind w:left="99" w:right="0" w:firstLine="0"/>
                      <w:jc w:val="center"/>
                      <w:rPr>
                        <w:rFonts w:ascii="Calibri"/>
                        <w:sz w:val="20"/>
                      </w:rPr>
                    </w:pPr>
                    <w:r>
                      <w:rPr>
                        <w:rFonts w:ascii="Calibri"/>
                        <w:w w:val="95"/>
                        <w:sz w:val="20"/>
                      </w:rPr>
                      <w:t>80</w:t>
                    </w:r>
                  </w:p>
                  <w:p>
                    <w:pPr>
                      <w:spacing w:line="240" w:lineRule="auto" w:before="1"/>
                      <w:rPr>
                        <w:sz w:val="16"/>
                      </w:rPr>
                    </w:pPr>
                  </w:p>
                  <w:p>
                    <w:pPr>
                      <w:spacing w:line="240" w:lineRule="exact" w:before="0"/>
                      <w:ind w:left="99" w:right="0" w:firstLine="0"/>
                      <w:jc w:val="center"/>
                      <w:rPr>
                        <w:rFonts w:ascii="Calibri"/>
                        <w:sz w:val="20"/>
                      </w:rPr>
                    </w:pPr>
                    <w:r>
                      <w:rPr>
                        <w:rFonts w:ascii="Calibri"/>
                        <w:w w:val="95"/>
                        <w:sz w:val="20"/>
                      </w:rPr>
                      <w:t>60</w:t>
                    </w:r>
                  </w:p>
                </w:txbxContent>
              </v:textbox>
              <w10:wrap type="none"/>
            </v:shape>
            <v:shape style="position:absolute;left:8938;top:-2330;width:671;height:475" type="#_x0000_t202" filled="false" stroked="false">
              <v:textbox inset="0,0,0,0">
                <w:txbxContent>
                  <w:p>
                    <w:pPr>
                      <w:spacing w:line="164" w:lineRule="exact" w:before="0"/>
                      <w:ind w:left="0" w:right="-19" w:firstLine="0"/>
                      <w:jc w:val="left"/>
                      <w:rPr>
                        <w:rFonts w:ascii="Calibri"/>
                        <w:sz w:val="16"/>
                      </w:rPr>
                    </w:pPr>
                    <w:r>
                      <w:rPr>
                        <w:rFonts w:ascii="Calibri"/>
                        <w:sz w:val="16"/>
                      </w:rPr>
                      <w:t>Masculino</w:t>
                    </w:r>
                  </w:p>
                  <w:p>
                    <w:pPr>
                      <w:spacing w:line="193" w:lineRule="exact" w:before="118"/>
                      <w:ind w:left="0" w:right="-19" w:firstLine="0"/>
                      <w:jc w:val="left"/>
                      <w:rPr>
                        <w:rFonts w:ascii="Calibri"/>
                        <w:sz w:val="16"/>
                      </w:rPr>
                    </w:pPr>
                    <w:r>
                      <w:rPr>
                        <w:rFonts w:ascii="Calibri"/>
                        <w:sz w:val="16"/>
                      </w:rPr>
                      <w:t>Femenino</w:t>
                    </w:r>
                  </w:p>
                </w:txbxContent>
              </v:textbox>
              <w10:wrap type="none"/>
            </v:shape>
            <v:shape style="position:absolute;left:2540;top:-1686;width:203;height:1058" type="#_x0000_t202" filled="false" stroked="false">
              <v:textbox inset="0,0,0,0">
                <w:txbxContent>
                  <w:p>
                    <w:pPr>
                      <w:spacing w:line="203" w:lineRule="exact" w:before="0"/>
                      <w:ind w:left="-1" w:right="1" w:firstLine="0"/>
                      <w:jc w:val="center"/>
                      <w:rPr>
                        <w:rFonts w:ascii="Calibri"/>
                        <w:sz w:val="20"/>
                      </w:rPr>
                    </w:pPr>
                    <w:r>
                      <w:rPr>
                        <w:rFonts w:ascii="Calibri"/>
                        <w:spacing w:val="-1"/>
                        <w:sz w:val="20"/>
                      </w:rPr>
                      <w:t>40</w:t>
                    </w:r>
                  </w:p>
                  <w:p>
                    <w:pPr>
                      <w:spacing w:line="240" w:lineRule="auto" w:before="1"/>
                      <w:rPr>
                        <w:sz w:val="16"/>
                      </w:rPr>
                    </w:pPr>
                  </w:p>
                  <w:p>
                    <w:pPr>
                      <w:spacing w:before="0"/>
                      <w:ind w:left="-1" w:right="1" w:firstLine="0"/>
                      <w:jc w:val="center"/>
                      <w:rPr>
                        <w:rFonts w:ascii="Calibri"/>
                        <w:sz w:val="20"/>
                      </w:rPr>
                    </w:pPr>
                    <w:r>
                      <w:rPr>
                        <w:rFonts w:ascii="Calibri"/>
                        <w:spacing w:val="-1"/>
                        <w:sz w:val="20"/>
                      </w:rPr>
                      <w:t>20</w:t>
                    </w:r>
                  </w:p>
                  <w:p>
                    <w:pPr>
                      <w:spacing w:line="240" w:lineRule="auto" w:before="1"/>
                      <w:rPr>
                        <w:sz w:val="16"/>
                      </w:rPr>
                    </w:pPr>
                  </w:p>
                  <w:p>
                    <w:pPr>
                      <w:spacing w:line="240" w:lineRule="exact" w:before="0"/>
                      <w:ind w:left="101" w:right="0" w:firstLine="0"/>
                      <w:jc w:val="center"/>
                      <w:rPr>
                        <w:rFonts w:ascii="Calibri"/>
                        <w:sz w:val="20"/>
                      </w:rPr>
                    </w:pPr>
                    <w:r>
                      <w:rPr>
                        <w:rFonts w:ascii="Calibri"/>
                        <w:w w:val="99"/>
                        <w:sz w:val="20"/>
                      </w:rPr>
                      <w:t>0</w:t>
                    </w:r>
                  </w:p>
                </w:txbxContent>
              </v:textbox>
              <w10:wrap type="none"/>
            </v:shape>
            <v:shape style="position:absolute;left:3904;top:-568;width:83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Masculino</w:t>
                    </w:r>
                  </w:p>
                </w:txbxContent>
              </v:textbox>
              <w10:wrap type="none"/>
            </v:shape>
            <v:shape style="position:absolute;left:6704;top:-568;width:813;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Femenino</w:t>
                    </w:r>
                  </w:p>
                </w:txbxContent>
              </v:textbox>
              <w10:wrap type="none"/>
            </v:shape>
            <w10:wrap type="none"/>
          </v:group>
        </w:pict>
      </w:r>
      <w:r>
        <w:rPr>
          <w:sz w:val="18"/>
        </w:rPr>
        <w:t>Fuente: Elaboración propia con datos del INAFED, 2005.</w:t>
      </w:r>
    </w:p>
    <w:p>
      <w:pPr>
        <w:pStyle w:val="BodyText"/>
        <w:rPr>
          <w:sz w:val="20"/>
        </w:rPr>
      </w:pPr>
    </w:p>
    <w:p>
      <w:pPr>
        <w:pStyle w:val="BodyText"/>
        <w:rPr>
          <w:sz w:val="20"/>
        </w:rPr>
      </w:pPr>
    </w:p>
    <w:p>
      <w:pPr>
        <w:pStyle w:val="BodyText"/>
        <w:rPr>
          <w:sz w:val="20"/>
        </w:rPr>
      </w:pPr>
    </w:p>
    <w:p>
      <w:pPr>
        <w:pStyle w:val="BodyText"/>
        <w:spacing w:before="9" w:after="1"/>
        <w:rPr>
          <w:sz w:val="12"/>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71"/>
        <w:gridCol w:w="1231"/>
        <w:gridCol w:w="1181"/>
        <w:gridCol w:w="1229"/>
        <w:gridCol w:w="1844"/>
        <w:gridCol w:w="2566"/>
      </w:tblGrid>
      <w:tr>
        <w:trPr>
          <w:trHeight w:val="331" w:hRule="exact"/>
        </w:trPr>
        <w:tc>
          <w:tcPr>
            <w:tcW w:w="8922" w:type="dxa"/>
            <w:gridSpan w:val="6"/>
            <w:shd w:val="clear" w:color="auto" w:fill="92D050"/>
          </w:tcPr>
          <w:p>
            <w:pPr>
              <w:pStyle w:val="TableParagraph"/>
              <w:spacing w:line="201" w:lineRule="exact"/>
              <w:ind w:left="1118" w:right="56"/>
              <w:jc w:val="left"/>
              <w:rPr>
                <w:b/>
                <w:sz w:val="18"/>
              </w:rPr>
            </w:pPr>
            <w:r>
              <w:rPr>
                <w:b/>
                <w:sz w:val="18"/>
              </w:rPr>
              <w:t>Tabla 3.22 Género del presidente municipal que gobernó el periodo 2006-2009</w:t>
            </w:r>
          </w:p>
        </w:tc>
      </w:tr>
      <w:tr>
        <w:trPr>
          <w:trHeight w:val="319" w:hRule="exact"/>
        </w:trPr>
        <w:tc>
          <w:tcPr>
            <w:tcW w:w="2102" w:type="dxa"/>
            <w:gridSpan w:val="2"/>
            <w:shd w:val="clear" w:color="auto" w:fill="92D050"/>
          </w:tcPr>
          <w:p>
            <w:pPr>
              <w:pStyle w:val="TableParagraph"/>
              <w:spacing w:line="206" w:lineRule="exact"/>
              <w:ind w:left="726" w:right="726"/>
              <w:rPr>
                <w:sz w:val="18"/>
              </w:rPr>
            </w:pPr>
            <w:r>
              <w:rPr>
                <w:sz w:val="18"/>
              </w:rPr>
              <w:t>Género</w:t>
            </w:r>
          </w:p>
        </w:tc>
        <w:tc>
          <w:tcPr>
            <w:tcW w:w="1181" w:type="dxa"/>
            <w:shd w:val="clear" w:color="auto" w:fill="92D050"/>
          </w:tcPr>
          <w:p>
            <w:pPr>
              <w:pStyle w:val="TableParagraph"/>
              <w:spacing w:line="206" w:lineRule="exact"/>
              <w:ind w:left="84" w:right="84"/>
              <w:rPr>
                <w:sz w:val="18"/>
              </w:rPr>
            </w:pPr>
            <w:r>
              <w:rPr>
                <w:sz w:val="18"/>
              </w:rPr>
              <w:t>Frecuencia</w:t>
            </w:r>
          </w:p>
        </w:tc>
        <w:tc>
          <w:tcPr>
            <w:tcW w:w="1229" w:type="dxa"/>
            <w:shd w:val="clear" w:color="auto" w:fill="92D050"/>
          </w:tcPr>
          <w:p>
            <w:pPr>
              <w:pStyle w:val="TableParagraph"/>
              <w:spacing w:line="206" w:lineRule="exact"/>
              <w:ind w:left="158" w:right="159"/>
              <w:rPr>
                <w:sz w:val="18"/>
              </w:rPr>
            </w:pPr>
            <w:r>
              <w:rPr>
                <w:sz w:val="18"/>
              </w:rPr>
              <w:t>Porcentaje</w:t>
            </w:r>
          </w:p>
        </w:tc>
        <w:tc>
          <w:tcPr>
            <w:tcW w:w="1844" w:type="dxa"/>
            <w:shd w:val="clear" w:color="auto" w:fill="92D050"/>
          </w:tcPr>
          <w:p>
            <w:pPr>
              <w:pStyle w:val="TableParagraph"/>
              <w:spacing w:line="206" w:lineRule="exact"/>
              <w:ind w:left="206" w:right="206"/>
              <w:rPr>
                <w:sz w:val="18"/>
              </w:rPr>
            </w:pPr>
            <w:r>
              <w:rPr>
                <w:sz w:val="18"/>
              </w:rPr>
              <w:t>Porcentaje válido</w:t>
            </w:r>
          </w:p>
        </w:tc>
        <w:tc>
          <w:tcPr>
            <w:tcW w:w="2566" w:type="dxa"/>
            <w:shd w:val="clear" w:color="auto" w:fill="92D050"/>
          </w:tcPr>
          <w:p>
            <w:pPr>
              <w:pStyle w:val="TableParagraph"/>
              <w:spacing w:line="206" w:lineRule="exact"/>
              <w:ind w:left="363" w:right="361"/>
              <w:rPr>
                <w:sz w:val="18"/>
              </w:rPr>
            </w:pPr>
            <w:r>
              <w:rPr>
                <w:sz w:val="18"/>
              </w:rPr>
              <w:t>Porcentaje acumulado</w:t>
            </w:r>
          </w:p>
        </w:tc>
      </w:tr>
      <w:tr>
        <w:trPr>
          <w:trHeight w:val="322" w:hRule="exact"/>
        </w:trPr>
        <w:tc>
          <w:tcPr>
            <w:tcW w:w="871" w:type="dxa"/>
            <w:vMerge w:val="restart"/>
          </w:tcPr>
          <w:p>
            <w:pPr>
              <w:pStyle w:val="TableParagraph"/>
              <w:spacing w:line="206" w:lineRule="exact"/>
              <w:ind w:left="134"/>
              <w:jc w:val="left"/>
              <w:rPr>
                <w:sz w:val="18"/>
              </w:rPr>
            </w:pPr>
            <w:r>
              <w:rPr>
                <w:sz w:val="18"/>
              </w:rPr>
              <w:t>Válidos</w:t>
            </w:r>
          </w:p>
        </w:tc>
        <w:tc>
          <w:tcPr>
            <w:tcW w:w="1231" w:type="dxa"/>
          </w:tcPr>
          <w:p>
            <w:pPr>
              <w:pStyle w:val="TableParagraph"/>
              <w:spacing w:line="206" w:lineRule="exact"/>
              <w:ind w:left="185" w:right="186"/>
              <w:rPr>
                <w:sz w:val="18"/>
              </w:rPr>
            </w:pPr>
            <w:r>
              <w:rPr>
                <w:sz w:val="18"/>
              </w:rPr>
              <w:t>Masculino</w:t>
            </w:r>
          </w:p>
        </w:tc>
        <w:tc>
          <w:tcPr>
            <w:tcW w:w="1181" w:type="dxa"/>
          </w:tcPr>
          <w:p>
            <w:pPr>
              <w:pStyle w:val="TableParagraph"/>
              <w:spacing w:line="206" w:lineRule="exact"/>
              <w:ind w:left="84" w:right="84"/>
              <w:rPr>
                <w:sz w:val="18"/>
              </w:rPr>
            </w:pPr>
            <w:r>
              <w:rPr>
                <w:sz w:val="18"/>
              </w:rPr>
              <w:t>122</w:t>
            </w:r>
          </w:p>
        </w:tc>
        <w:tc>
          <w:tcPr>
            <w:tcW w:w="1229" w:type="dxa"/>
          </w:tcPr>
          <w:p>
            <w:pPr>
              <w:pStyle w:val="TableParagraph"/>
              <w:spacing w:line="206" w:lineRule="exact"/>
              <w:ind w:left="158" w:right="158"/>
              <w:rPr>
                <w:sz w:val="18"/>
              </w:rPr>
            </w:pPr>
            <w:r>
              <w:rPr>
                <w:sz w:val="18"/>
              </w:rPr>
              <w:t>97.6</w:t>
            </w:r>
          </w:p>
        </w:tc>
        <w:tc>
          <w:tcPr>
            <w:tcW w:w="1844" w:type="dxa"/>
          </w:tcPr>
          <w:p>
            <w:pPr>
              <w:pStyle w:val="TableParagraph"/>
              <w:spacing w:line="206" w:lineRule="exact"/>
              <w:ind w:left="206" w:right="205"/>
              <w:rPr>
                <w:sz w:val="18"/>
              </w:rPr>
            </w:pPr>
            <w:r>
              <w:rPr>
                <w:sz w:val="18"/>
              </w:rPr>
              <w:t>97.6</w:t>
            </w:r>
          </w:p>
        </w:tc>
        <w:tc>
          <w:tcPr>
            <w:tcW w:w="2566" w:type="dxa"/>
          </w:tcPr>
          <w:p>
            <w:pPr>
              <w:pStyle w:val="TableParagraph"/>
              <w:spacing w:line="206" w:lineRule="exact"/>
              <w:ind w:left="363" w:right="361"/>
              <w:rPr>
                <w:sz w:val="18"/>
              </w:rPr>
            </w:pPr>
            <w:r>
              <w:rPr>
                <w:sz w:val="18"/>
              </w:rPr>
              <w:t>97.6</w:t>
            </w:r>
          </w:p>
        </w:tc>
      </w:tr>
      <w:tr>
        <w:trPr>
          <w:trHeight w:val="319" w:hRule="exact"/>
        </w:trPr>
        <w:tc>
          <w:tcPr>
            <w:tcW w:w="871" w:type="dxa"/>
            <w:vMerge/>
          </w:tcPr>
          <w:p>
            <w:pPr/>
          </w:p>
        </w:tc>
        <w:tc>
          <w:tcPr>
            <w:tcW w:w="1231" w:type="dxa"/>
          </w:tcPr>
          <w:p>
            <w:pPr>
              <w:pStyle w:val="TableParagraph"/>
              <w:spacing w:line="206" w:lineRule="exact"/>
              <w:ind w:left="185" w:right="186"/>
              <w:rPr>
                <w:sz w:val="18"/>
              </w:rPr>
            </w:pPr>
            <w:r>
              <w:rPr>
                <w:sz w:val="18"/>
              </w:rPr>
              <w:t>Femenino</w:t>
            </w:r>
          </w:p>
        </w:tc>
        <w:tc>
          <w:tcPr>
            <w:tcW w:w="1181" w:type="dxa"/>
          </w:tcPr>
          <w:p>
            <w:pPr>
              <w:pStyle w:val="TableParagraph"/>
              <w:spacing w:line="206" w:lineRule="exact"/>
              <w:rPr>
                <w:sz w:val="18"/>
              </w:rPr>
            </w:pPr>
            <w:r>
              <w:rPr>
                <w:w w:val="99"/>
                <w:sz w:val="18"/>
              </w:rPr>
              <w:t>3</w:t>
            </w:r>
          </w:p>
        </w:tc>
        <w:tc>
          <w:tcPr>
            <w:tcW w:w="1229" w:type="dxa"/>
          </w:tcPr>
          <w:p>
            <w:pPr>
              <w:pStyle w:val="TableParagraph"/>
              <w:spacing w:line="206" w:lineRule="exact"/>
              <w:ind w:left="158" w:right="157"/>
              <w:rPr>
                <w:sz w:val="18"/>
              </w:rPr>
            </w:pPr>
            <w:r>
              <w:rPr>
                <w:sz w:val="18"/>
              </w:rPr>
              <w:t>2.4</w:t>
            </w:r>
          </w:p>
        </w:tc>
        <w:tc>
          <w:tcPr>
            <w:tcW w:w="1844" w:type="dxa"/>
          </w:tcPr>
          <w:p>
            <w:pPr>
              <w:pStyle w:val="TableParagraph"/>
              <w:spacing w:line="206" w:lineRule="exact"/>
              <w:ind w:left="206" w:right="205"/>
              <w:rPr>
                <w:sz w:val="18"/>
              </w:rPr>
            </w:pPr>
            <w:r>
              <w:rPr>
                <w:sz w:val="18"/>
              </w:rPr>
              <w:t>2.4</w:t>
            </w:r>
          </w:p>
        </w:tc>
        <w:tc>
          <w:tcPr>
            <w:tcW w:w="2566" w:type="dxa"/>
          </w:tcPr>
          <w:p>
            <w:pPr>
              <w:pStyle w:val="TableParagraph"/>
              <w:spacing w:line="206" w:lineRule="exact"/>
              <w:ind w:left="363" w:right="361"/>
              <w:rPr>
                <w:sz w:val="18"/>
              </w:rPr>
            </w:pPr>
            <w:r>
              <w:rPr>
                <w:sz w:val="18"/>
              </w:rPr>
              <w:t>100.0</w:t>
            </w:r>
          </w:p>
        </w:tc>
      </w:tr>
      <w:tr>
        <w:trPr>
          <w:trHeight w:val="322" w:hRule="exact"/>
        </w:trPr>
        <w:tc>
          <w:tcPr>
            <w:tcW w:w="871" w:type="dxa"/>
            <w:vMerge/>
          </w:tcPr>
          <w:p>
            <w:pPr/>
          </w:p>
        </w:tc>
        <w:tc>
          <w:tcPr>
            <w:tcW w:w="1231" w:type="dxa"/>
          </w:tcPr>
          <w:p>
            <w:pPr>
              <w:pStyle w:val="TableParagraph"/>
              <w:spacing w:before="1"/>
              <w:ind w:left="185" w:right="186"/>
              <w:rPr>
                <w:sz w:val="18"/>
              </w:rPr>
            </w:pPr>
            <w:r>
              <w:rPr>
                <w:sz w:val="18"/>
              </w:rPr>
              <w:t>Total</w:t>
            </w:r>
          </w:p>
        </w:tc>
        <w:tc>
          <w:tcPr>
            <w:tcW w:w="1181" w:type="dxa"/>
          </w:tcPr>
          <w:p>
            <w:pPr>
              <w:pStyle w:val="TableParagraph"/>
              <w:spacing w:before="1"/>
              <w:ind w:left="84" w:right="84"/>
              <w:rPr>
                <w:sz w:val="18"/>
              </w:rPr>
            </w:pPr>
            <w:r>
              <w:rPr>
                <w:sz w:val="18"/>
              </w:rPr>
              <w:t>125</w:t>
            </w:r>
          </w:p>
        </w:tc>
        <w:tc>
          <w:tcPr>
            <w:tcW w:w="1229" w:type="dxa"/>
          </w:tcPr>
          <w:p>
            <w:pPr>
              <w:pStyle w:val="TableParagraph"/>
              <w:spacing w:before="1"/>
              <w:ind w:left="158" w:right="158"/>
              <w:rPr>
                <w:sz w:val="18"/>
              </w:rPr>
            </w:pPr>
            <w:r>
              <w:rPr>
                <w:sz w:val="18"/>
              </w:rPr>
              <w:t>100.0</w:t>
            </w:r>
          </w:p>
        </w:tc>
        <w:tc>
          <w:tcPr>
            <w:tcW w:w="1844" w:type="dxa"/>
          </w:tcPr>
          <w:p>
            <w:pPr>
              <w:pStyle w:val="TableParagraph"/>
              <w:spacing w:before="1"/>
              <w:ind w:left="206" w:right="205"/>
              <w:rPr>
                <w:sz w:val="18"/>
              </w:rPr>
            </w:pPr>
            <w:r>
              <w:rPr>
                <w:sz w:val="18"/>
              </w:rPr>
              <w:t>100.0</w:t>
            </w:r>
          </w:p>
        </w:tc>
        <w:tc>
          <w:tcPr>
            <w:tcW w:w="2566" w:type="dxa"/>
          </w:tcPr>
          <w:p>
            <w:pPr/>
          </w:p>
        </w:tc>
      </w:tr>
    </w:tbl>
    <w:p>
      <w:pPr>
        <w:spacing w:line="180" w:lineRule="exact" w:before="0"/>
        <w:ind w:left="221" w:right="6" w:firstLine="0"/>
        <w:jc w:val="left"/>
        <w:rPr>
          <w:sz w:val="16"/>
        </w:rPr>
      </w:pPr>
      <w:r>
        <w:rPr>
          <w:sz w:val="16"/>
        </w:rPr>
        <w:t>Fuente: Elaboración con propia con datos del INFDEM 2003. </w:t>
      </w:r>
      <w:hyperlink r:id="rId114">
        <w:r>
          <w:rPr>
            <w:color w:val="0462C1"/>
            <w:sz w:val="16"/>
            <w:u w:val="single" w:color="0462C1"/>
          </w:rPr>
          <w:t>http://www.snim.rami.gob.mx/ </w:t>
        </w:r>
      </w:hyperlink>
      <w:r>
        <w:rPr>
          <w:sz w:val="16"/>
        </w:rPr>
        <w:t>[04-12-2013]</w:t>
      </w:r>
    </w:p>
    <w:p>
      <w:pPr>
        <w:pStyle w:val="BodyText"/>
        <w:rPr>
          <w:sz w:val="20"/>
        </w:rPr>
      </w:pPr>
    </w:p>
    <w:p>
      <w:pPr>
        <w:pStyle w:val="BodyText"/>
        <w:spacing w:before="9"/>
        <w:rPr>
          <w:sz w:val="23"/>
        </w:rPr>
      </w:pPr>
    </w:p>
    <w:p>
      <w:pPr>
        <w:pStyle w:val="BodyText"/>
        <w:spacing w:line="360" w:lineRule="auto" w:before="70"/>
        <w:ind w:left="108" w:right="116"/>
        <w:jc w:val="both"/>
      </w:pPr>
      <w:r>
        <w:rPr/>
        <w:t>Para</w:t>
      </w:r>
      <w:r>
        <w:rPr>
          <w:spacing w:val="-9"/>
        </w:rPr>
        <w:t> </w:t>
      </w:r>
      <w:r>
        <w:rPr/>
        <w:t>el</w:t>
      </w:r>
      <w:r>
        <w:rPr>
          <w:spacing w:val="-9"/>
        </w:rPr>
        <w:t> </w:t>
      </w:r>
      <w:r>
        <w:rPr/>
        <w:t>periodo</w:t>
      </w:r>
      <w:r>
        <w:rPr>
          <w:spacing w:val="-11"/>
        </w:rPr>
        <w:t> </w:t>
      </w:r>
      <w:r>
        <w:rPr/>
        <w:t>2009-2012</w:t>
      </w:r>
      <w:r>
        <w:rPr>
          <w:spacing w:val="-7"/>
        </w:rPr>
        <w:t> </w:t>
      </w:r>
      <w:r>
        <w:rPr/>
        <w:t>gran</w:t>
      </w:r>
      <w:r>
        <w:rPr>
          <w:spacing w:val="-8"/>
        </w:rPr>
        <w:t> </w:t>
      </w:r>
      <w:r>
        <w:rPr/>
        <w:t>parte</w:t>
      </w:r>
      <w:r>
        <w:rPr>
          <w:spacing w:val="-11"/>
        </w:rPr>
        <w:t> </w:t>
      </w:r>
      <w:r>
        <w:rPr/>
        <w:t>de</w:t>
      </w:r>
      <w:r>
        <w:rPr>
          <w:spacing w:val="-8"/>
        </w:rPr>
        <w:t> </w:t>
      </w:r>
      <w:r>
        <w:rPr/>
        <w:t>los</w:t>
      </w:r>
      <w:r>
        <w:rPr>
          <w:spacing w:val="-11"/>
        </w:rPr>
        <w:t> </w:t>
      </w:r>
      <w:r>
        <w:rPr/>
        <w:t>municipios</w:t>
      </w:r>
      <w:r>
        <w:rPr>
          <w:spacing w:val="-9"/>
        </w:rPr>
        <w:t> </w:t>
      </w:r>
      <w:r>
        <w:rPr/>
        <w:t>del</w:t>
      </w:r>
      <w:r>
        <w:rPr>
          <w:spacing w:val="-6"/>
        </w:rPr>
        <w:t> </w:t>
      </w:r>
      <w:r>
        <w:rPr/>
        <w:t>Estado</w:t>
      </w:r>
      <w:r>
        <w:rPr>
          <w:spacing w:val="-11"/>
        </w:rPr>
        <w:t> </w:t>
      </w:r>
      <w:r>
        <w:rPr/>
        <w:t>de</w:t>
      </w:r>
      <w:r>
        <w:rPr>
          <w:spacing w:val="-8"/>
        </w:rPr>
        <w:t> </w:t>
      </w:r>
      <w:r>
        <w:rPr/>
        <w:t>México</w:t>
      </w:r>
      <w:r>
        <w:rPr>
          <w:spacing w:val="-7"/>
        </w:rPr>
        <w:t> </w:t>
      </w:r>
      <w:r>
        <w:rPr/>
        <w:t>fueron gobernados por hombres, siendo un total de 113, que representan un 90.4%; mientras que los municipios gobernados por mujeres fueron solamente 12, equivalentes al 9.6% del</w:t>
      </w:r>
      <w:r>
        <w:rPr>
          <w:spacing w:val="-8"/>
        </w:rPr>
        <w:t> </w:t>
      </w:r>
      <w:r>
        <w:rPr/>
        <w:t>total.</w:t>
      </w:r>
    </w:p>
    <w:p>
      <w:pPr>
        <w:spacing w:after="0" w:line="360" w:lineRule="auto"/>
        <w:jc w:val="both"/>
        <w:sectPr>
          <w:pgSz w:w="12240" w:h="15840"/>
          <w:pgMar w:header="0" w:footer="975" w:top="1420" w:bottom="1220" w:left="1500" w:right="1580"/>
        </w:sectPr>
      </w:pPr>
    </w:p>
    <w:p>
      <w:pPr>
        <w:pStyle w:val="BodyText"/>
        <w:ind w:left="803"/>
        <w:rPr>
          <w:sz w:val="20"/>
        </w:rPr>
      </w:pPr>
      <w:r>
        <w:rPr>
          <w:sz w:val="20"/>
        </w:rPr>
        <w:pict>
          <v:group style="width:375.5pt;height:224.75pt;mso-position-horizontal-relative:char;mso-position-vertical-relative:line" coordorigin="0,0" coordsize="7510,4495">
            <v:shape style="position:absolute;left:5;top:5;width:7500;height:4485" type="#_x0000_t75" stroked="false">
              <v:imagedata r:id="rId116" o:title=""/>
            </v:shape>
            <v:shape style="position:absolute;left:625;top:1130;width:5174;height:2904" type="#_x0000_t75" stroked="false">
              <v:imagedata r:id="rId117" o:title=""/>
            </v:shape>
            <v:line style="position:absolute" from="6509,2425" to="6596,2425" stroked="true" strokeweight="4.3943pt" strokecolor="#00afef"/>
            <v:line style="position:absolute" from="6509,2738" to="6596,2738" stroked="true" strokeweight="4.3943pt" strokecolor="#ff6699"/>
            <v:shape style="position:absolute;left:5;top:5;width:7500;height:4485" coordorigin="5,5" coordsize="7500,4485" path="m5,205l21,127,64,64,127,21,205,5,7305,5,7383,21,7447,64,7489,127,7505,205,7505,4290,7489,4368,7447,4431,7383,4474,7305,4490,205,4490,127,4474,64,4431,21,4368,5,4290,5,205xe" filled="false" stroked="true" strokeweight=".5pt" strokecolor="#888888">
              <v:path arrowok="t"/>
            </v:shape>
            <v:shape style="position:absolute;left:1000;top:195;width:5501;height:444" type="#_x0000_t202" filled="false" stroked="false">
              <v:textbox inset="0,0,0,0">
                <w:txbxContent>
                  <w:p>
                    <w:pPr>
                      <w:spacing w:line="203" w:lineRule="exact" w:before="0"/>
                      <w:ind w:left="0" w:right="0" w:firstLine="0"/>
                      <w:jc w:val="center"/>
                      <w:rPr>
                        <w:rFonts w:ascii="Calibri" w:hAnsi="Calibri"/>
                        <w:b/>
                        <w:sz w:val="20"/>
                      </w:rPr>
                    </w:pPr>
                    <w:r>
                      <w:rPr>
                        <w:rFonts w:ascii="Calibri" w:hAnsi="Calibri"/>
                        <w:b/>
                        <w:sz w:val="20"/>
                      </w:rPr>
                      <w:t>Gráfica</w:t>
                    </w:r>
                    <w:r>
                      <w:rPr>
                        <w:rFonts w:ascii="Calibri" w:hAnsi="Calibri"/>
                        <w:b/>
                        <w:spacing w:val="-4"/>
                        <w:sz w:val="20"/>
                      </w:rPr>
                      <w:t> </w:t>
                    </w:r>
                    <w:r>
                      <w:rPr>
                        <w:rFonts w:ascii="Calibri" w:hAnsi="Calibri"/>
                        <w:b/>
                        <w:sz w:val="20"/>
                      </w:rPr>
                      <w:t>3.9.</w:t>
                    </w:r>
                    <w:r>
                      <w:rPr>
                        <w:rFonts w:ascii="Calibri" w:hAnsi="Calibri"/>
                        <w:b/>
                        <w:spacing w:val="-2"/>
                        <w:sz w:val="20"/>
                      </w:rPr>
                      <w:t> </w:t>
                    </w:r>
                    <w:r>
                      <w:rPr>
                        <w:rFonts w:ascii="Calibri" w:hAnsi="Calibri"/>
                        <w:b/>
                        <w:sz w:val="20"/>
                      </w:rPr>
                      <w:t>Género</w:t>
                    </w:r>
                    <w:r>
                      <w:rPr>
                        <w:rFonts w:ascii="Calibri" w:hAnsi="Calibri"/>
                        <w:b/>
                        <w:spacing w:val="-5"/>
                        <w:sz w:val="20"/>
                      </w:rPr>
                      <w:t> </w:t>
                    </w:r>
                    <w:r>
                      <w:rPr>
                        <w:rFonts w:ascii="Calibri" w:hAnsi="Calibri"/>
                        <w:b/>
                        <w:sz w:val="20"/>
                      </w:rPr>
                      <w:t>de</w:t>
                    </w:r>
                    <w:r>
                      <w:rPr>
                        <w:rFonts w:ascii="Calibri" w:hAnsi="Calibri"/>
                        <w:b/>
                        <w:spacing w:val="-3"/>
                        <w:sz w:val="20"/>
                      </w:rPr>
                      <w:t> </w:t>
                    </w:r>
                    <w:r>
                      <w:rPr>
                        <w:rFonts w:ascii="Calibri" w:hAnsi="Calibri"/>
                        <w:b/>
                        <w:sz w:val="20"/>
                      </w:rPr>
                      <w:t>los</w:t>
                    </w:r>
                    <w:r>
                      <w:rPr>
                        <w:rFonts w:ascii="Calibri" w:hAnsi="Calibri"/>
                        <w:b/>
                        <w:spacing w:val="-3"/>
                        <w:sz w:val="20"/>
                      </w:rPr>
                      <w:t> </w:t>
                    </w:r>
                    <w:r>
                      <w:rPr>
                        <w:rFonts w:ascii="Calibri" w:hAnsi="Calibri"/>
                        <w:b/>
                        <w:sz w:val="20"/>
                      </w:rPr>
                      <w:t>presidentes</w:t>
                    </w:r>
                    <w:r>
                      <w:rPr>
                        <w:rFonts w:ascii="Calibri" w:hAnsi="Calibri"/>
                        <w:b/>
                        <w:spacing w:val="-6"/>
                        <w:sz w:val="20"/>
                      </w:rPr>
                      <w:t> </w:t>
                    </w:r>
                    <w:r>
                      <w:rPr>
                        <w:rFonts w:ascii="Calibri" w:hAnsi="Calibri"/>
                        <w:b/>
                        <w:sz w:val="20"/>
                      </w:rPr>
                      <w:t>municipales</w:t>
                    </w:r>
                    <w:r>
                      <w:rPr>
                        <w:rFonts w:ascii="Calibri" w:hAnsi="Calibri"/>
                        <w:b/>
                        <w:spacing w:val="-1"/>
                        <w:sz w:val="20"/>
                      </w:rPr>
                      <w:t> </w:t>
                    </w:r>
                    <w:r>
                      <w:rPr>
                        <w:rFonts w:ascii="Calibri" w:hAnsi="Calibri"/>
                        <w:b/>
                        <w:sz w:val="20"/>
                      </w:rPr>
                      <w:t>en</w:t>
                    </w:r>
                    <w:r>
                      <w:rPr>
                        <w:rFonts w:ascii="Calibri" w:hAnsi="Calibri"/>
                        <w:b/>
                        <w:spacing w:val="-5"/>
                        <w:sz w:val="20"/>
                      </w:rPr>
                      <w:t> </w:t>
                    </w:r>
                    <w:r>
                      <w:rPr>
                        <w:rFonts w:ascii="Calibri" w:hAnsi="Calibri"/>
                        <w:b/>
                        <w:sz w:val="20"/>
                      </w:rPr>
                      <w:t>el</w:t>
                    </w:r>
                    <w:r>
                      <w:rPr>
                        <w:rFonts w:ascii="Calibri" w:hAnsi="Calibri"/>
                        <w:b/>
                        <w:spacing w:val="-2"/>
                        <w:sz w:val="20"/>
                      </w:rPr>
                      <w:t> </w:t>
                    </w:r>
                    <w:r>
                      <w:rPr>
                        <w:rFonts w:ascii="Calibri" w:hAnsi="Calibri"/>
                        <w:b/>
                        <w:sz w:val="20"/>
                      </w:rPr>
                      <w:t>Estado</w:t>
                    </w:r>
                    <w:r>
                      <w:rPr>
                        <w:rFonts w:ascii="Calibri" w:hAnsi="Calibri"/>
                        <w:b/>
                        <w:spacing w:val="-3"/>
                        <w:sz w:val="20"/>
                      </w:rPr>
                      <w:t> </w:t>
                    </w:r>
                    <w:r>
                      <w:rPr>
                        <w:rFonts w:ascii="Calibri" w:hAnsi="Calibri"/>
                        <w:b/>
                        <w:sz w:val="20"/>
                      </w:rPr>
                      <w:t>de</w:t>
                    </w:r>
                  </w:p>
                  <w:p>
                    <w:pPr>
                      <w:spacing w:line="240" w:lineRule="exact" w:before="0"/>
                      <w:ind w:left="8" w:right="0" w:firstLine="0"/>
                      <w:jc w:val="center"/>
                      <w:rPr>
                        <w:rFonts w:ascii="Calibri" w:hAnsi="Calibri"/>
                        <w:b/>
                        <w:sz w:val="20"/>
                      </w:rPr>
                    </w:pPr>
                    <w:r>
                      <w:rPr>
                        <w:rFonts w:ascii="Calibri" w:hAnsi="Calibri"/>
                        <w:b/>
                        <w:sz w:val="20"/>
                      </w:rPr>
                      <w:t>México durante el periodo 2009-2012</w:t>
                    </w:r>
                  </w:p>
                </w:txbxContent>
              </v:textbox>
              <w10:wrap type="none"/>
            </v:shape>
            <v:shape style="position:absolute;left:2840;top:1681;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12</w:t>
                    </w:r>
                  </w:p>
                </w:txbxContent>
              </v:textbox>
              <w10:wrap type="none"/>
            </v:shape>
            <v:shape style="position:absolute;left:3651;top:2401;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113</w:t>
                    </w:r>
                  </w:p>
                </w:txbxContent>
              </v:textbox>
              <w10:wrap type="none"/>
            </v:shape>
            <v:shape style="position:absolute;left:6635;top:2350;width:671;height:475" type="#_x0000_t202" filled="false" stroked="false">
              <v:textbox inset="0,0,0,0">
                <w:txbxContent>
                  <w:p>
                    <w:pPr>
                      <w:spacing w:line="164" w:lineRule="exact" w:before="0"/>
                      <w:ind w:left="0" w:right="-19" w:firstLine="0"/>
                      <w:jc w:val="left"/>
                      <w:rPr>
                        <w:rFonts w:ascii="Calibri"/>
                        <w:sz w:val="16"/>
                      </w:rPr>
                    </w:pPr>
                    <w:r>
                      <w:rPr>
                        <w:rFonts w:ascii="Calibri"/>
                        <w:sz w:val="16"/>
                      </w:rPr>
                      <w:t>Masculino</w:t>
                    </w:r>
                  </w:p>
                  <w:p>
                    <w:pPr>
                      <w:spacing w:line="193" w:lineRule="exact" w:before="118"/>
                      <w:ind w:left="0" w:right="-19" w:firstLine="0"/>
                      <w:jc w:val="left"/>
                      <w:rPr>
                        <w:rFonts w:ascii="Calibri"/>
                        <w:sz w:val="16"/>
                      </w:rPr>
                    </w:pPr>
                    <w:r>
                      <w:rPr>
                        <w:rFonts w:ascii="Calibri"/>
                        <w:sz w:val="16"/>
                      </w:rPr>
                      <w:t>Femenino</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spacing w:before="4"/>
        <w:rPr>
          <w:sz w:val="14"/>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71"/>
        <w:gridCol w:w="1231"/>
        <w:gridCol w:w="1181"/>
        <w:gridCol w:w="1229"/>
        <w:gridCol w:w="1844"/>
        <w:gridCol w:w="2566"/>
      </w:tblGrid>
      <w:tr>
        <w:trPr>
          <w:trHeight w:val="319" w:hRule="exact"/>
        </w:trPr>
        <w:tc>
          <w:tcPr>
            <w:tcW w:w="8922" w:type="dxa"/>
            <w:gridSpan w:val="6"/>
            <w:shd w:val="clear" w:color="auto" w:fill="92D050"/>
          </w:tcPr>
          <w:p>
            <w:pPr>
              <w:pStyle w:val="TableParagraph"/>
              <w:spacing w:line="201" w:lineRule="exact"/>
              <w:ind w:left="1118" w:right="56"/>
              <w:jc w:val="left"/>
              <w:rPr>
                <w:b/>
                <w:sz w:val="18"/>
              </w:rPr>
            </w:pPr>
            <w:r>
              <w:rPr>
                <w:b/>
                <w:sz w:val="18"/>
              </w:rPr>
              <w:t>Tabla 3.23 Género del presidente municipal que gobernó el periodo 2009-2012</w:t>
            </w:r>
          </w:p>
        </w:tc>
      </w:tr>
      <w:tr>
        <w:trPr>
          <w:trHeight w:val="322" w:hRule="exact"/>
        </w:trPr>
        <w:tc>
          <w:tcPr>
            <w:tcW w:w="2102" w:type="dxa"/>
            <w:gridSpan w:val="2"/>
            <w:shd w:val="clear" w:color="auto" w:fill="92D050"/>
          </w:tcPr>
          <w:p>
            <w:pPr>
              <w:pStyle w:val="TableParagraph"/>
              <w:spacing w:line="206" w:lineRule="exact"/>
              <w:ind w:left="726" w:right="726"/>
              <w:rPr>
                <w:sz w:val="18"/>
              </w:rPr>
            </w:pPr>
            <w:r>
              <w:rPr>
                <w:sz w:val="18"/>
              </w:rPr>
              <w:t>Género</w:t>
            </w:r>
          </w:p>
        </w:tc>
        <w:tc>
          <w:tcPr>
            <w:tcW w:w="1181" w:type="dxa"/>
            <w:shd w:val="clear" w:color="auto" w:fill="92D050"/>
          </w:tcPr>
          <w:p>
            <w:pPr>
              <w:pStyle w:val="TableParagraph"/>
              <w:spacing w:line="206" w:lineRule="exact"/>
              <w:ind w:left="48" w:right="120"/>
              <w:rPr>
                <w:sz w:val="18"/>
              </w:rPr>
            </w:pPr>
            <w:r>
              <w:rPr>
                <w:sz w:val="18"/>
              </w:rPr>
              <w:t>Frecuencia</w:t>
            </w:r>
          </w:p>
        </w:tc>
        <w:tc>
          <w:tcPr>
            <w:tcW w:w="1229" w:type="dxa"/>
            <w:shd w:val="clear" w:color="auto" w:fill="92D050"/>
          </w:tcPr>
          <w:p>
            <w:pPr>
              <w:pStyle w:val="TableParagraph"/>
              <w:spacing w:line="206" w:lineRule="exact"/>
              <w:ind w:left="103"/>
              <w:jc w:val="left"/>
              <w:rPr>
                <w:sz w:val="18"/>
              </w:rPr>
            </w:pPr>
            <w:r>
              <w:rPr>
                <w:sz w:val="18"/>
              </w:rPr>
              <w:t>Porcentaje</w:t>
            </w:r>
          </w:p>
        </w:tc>
        <w:tc>
          <w:tcPr>
            <w:tcW w:w="1844" w:type="dxa"/>
            <w:shd w:val="clear" w:color="auto" w:fill="92D050"/>
          </w:tcPr>
          <w:p>
            <w:pPr>
              <w:pStyle w:val="TableParagraph"/>
              <w:spacing w:line="206" w:lineRule="exact"/>
              <w:ind w:left="103"/>
              <w:jc w:val="left"/>
              <w:rPr>
                <w:sz w:val="18"/>
              </w:rPr>
            </w:pPr>
            <w:r>
              <w:rPr>
                <w:sz w:val="18"/>
              </w:rPr>
              <w:t>Porcentaje válido</w:t>
            </w:r>
          </w:p>
        </w:tc>
        <w:tc>
          <w:tcPr>
            <w:tcW w:w="2566" w:type="dxa"/>
            <w:shd w:val="clear" w:color="auto" w:fill="92D050"/>
          </w:tcPr>
          <w:p>
            <w:pPr>
              <w:pStyle w:val="TableParagraph"/>
              <w:spacing w:line="206" w:lineRule="exact"/>
              <w:ind w:left="103"/>
              <w:jc w:val="left"/>
              <w:rPr>
                <w:sz w:val="18"/>
              </w:rPr>
            </w:pPr>
            <w:r>
              <w:rPr>
                <w:sz w:val="18"/>
              </w:rPr>
              <w:t>Porcentaje acumulado</w:t>
            </w:r>
          </w:p>
        </w:tc>
      </w:tr>
      <w:tr>
        <w:trPr>
          <w:trHeight w:val="319" w:hRule="exact"/>
        </w:trPr>
        <w:tc>
          <w:tcPr>
            <w:tcW w:w="871" w:type="dxa"/>
            <w:vMerge w:val="restart"/>
          </w:tcPr>
          <w:p>
            <w:pPr>
              <w:pStyle w:val="TableParagraph"/>
              <w:spacing w:line="206" w:lineRule="exact"/>
              <w:ind w:left="103"/>
              <w:jc w:val="left"/>
              <w:rPr>
                <w:sz w:val="18"/>
              </w:rPr>
            </w:pPr>
            <w:r>
              <w:rPr>
                <w:sz w:val="18"/>
              </w:rPr>
              <w:t>Válidos</w:t>
            </w:r>
          </w:p>
        </w:tc>
        <w:tc>
          <w:tcPr>
            <w:tcW w:w="1231" w:type="dxa"/>
          </w:tcPr>
          <w:p>
            <w:pPr>
              <w:pStyle w:val="TableParagraph"/>
              <w:spacing w:line="206" w:lineRule="exact"/>
              <w:ind w:left="103"/>
              <w:jc w:val="left"/>
              <w:rPr>
                <w:sz w:val="18"/>
              </w:rPr>
            </w:pPr>
            <w:r>
              <w:rPr>
                <w:sz w:val="18"/>
              </w:rPr>
              <w:t>Masculino</w:t>
            </w:r>
          </w:p>
        </w:tc>
        <w:tc>
          <w:tcPr>
            <w:tcW w:w="1181" w:type="dxa"/>
          </w:tcPr>
          <w:p>
            <w:pPr>
              <w:pStyle w:val="TableParagraph"/>
              <w:spacing w:line="206" w:lineRule="exact"/>
              <w:ind w:left="84" w:right="84"/>
              <w:rPr>
                <w:sz w:val="18"/>
              </w:rPr>
            </w:pPr>
            <w:r>
              <w:rPr>
                <w:sz w:val="18"/>
              </w:rPr>
              <w:t>113</w:t>
            </w:r>
          </w:p>
        </w:tc>
        <w:tc>
          <w:tcPr>
            <w:tcW w:w="1229" w:type="dxa"/>
          </w:tcPr>
          <w:p>
            <w:pPr>
              <w:pStyle w:val="TableParagraph"/>
              <w:spacing w:line="206" w:lineRule="exact"/>
              <w:ind w:left="158" w:right="158"/>
              <w:rPr>
                <w:sz w:val="18"/>
              </w:rPr>
            </w:pPr>
            <w:r>
              <w:rPr>
                <w:sz w:val="18"/>
              </w:rPr>
              <w:t>90.4</w:t>
            </w:r>
          </w:p>
        </w:tc>
        <w:tc>
          <w:tcPr>
            <w:tcW w:w="1844" w:type="dxa"/>
          </w:tcPr>
          <w:p>
            <w:pPr>
              <w:pStyle w:val="TableParagraph"/>
              <w:spacing w:line="206" w:lineRule="exact"/>
              <w:ind w:left="206" w:right="205"/>
              <w:rPr>
                <w:sz w:val="18"/>
              </w:rPr>
            </w:pPr>
            <w:r>
              <w:rPr>
                <w:sz w:val="18"/>
              </w:rPr>
              <w:t>90.4</w:t>
            </w:r>
          </w:p>
        </w:tc>
        <w:tc>
          <w:tcPr>
            <w:tcW w:w="2566" w:type="dxa"/>
          </w:tcPr>
          <w:p>
            <w:pPr>
              <w:pStyle w:val="TableParagraph"/>
              <w:spacing w:line="206" w:lineRule="exact"/>
              <w:ind w:left="363" w:right="361"/>
              <w:rPr>
                <w:sz w:val="18"/>
              </w:rPr>
            </w:pPr>
            <w:r>
              <w:rPr>
                <w:sz w:val="18"/>
              </w:rPr>
              <w:t>90.4</w:t>
            </w:r>
          </w:p>
        </w:tc>
      </w:tr>
      <w:tr>
        <w:trPr>
          <w:trHeight w:val="322" w:hRule="exact"/>
        </w:trPr>
        <w:tc>
          <w:tcPr>
            <w:tcW w:w="871" w:type="dxa"/>
            <w:vMerge/>
          </w:tcPr>
          <w:p>
            <w:pPr/>
          </w:p>
        </w:tc>
        <w:tc>
          <w:tcPr>
            <w:tcW w:w="1231" w:type="dxa"/>
          </w:tcPr>
          <w:p>
            <w:pPr>
              <w:pStyle w:val="TableParagraph"/>
              <w:spacing w:line="206" w:lineRule="exact"/>
              <w:ind w:left="103"/>
              <w:jc w:val="left"/>
              <w:rPr>
                <w:sz w:val="18"/>
              </w:rPr>
            </w:pPr>
            <w:r>
              <w:rPr>
                <w:sz w:val="18"/>
              </w:rPr>
              <w:t>Femenino</w:t>
            </w:r>
          </w:p>
        </w:tc>
        <w:tc>
          <w:tcPr>
            <w:tcW w:w="1181" w:type="dxa"/>
          </w:tcPr>
          <w:p>
            <w:pPr>
              <w:pStyle w:val="TableParagraph"/>
              <w:spacing w:line="206" w:lineRule="exact"/>
              <w:ind w:left="84" w:right="84"/>
              <w:rPr>
                <w:sz w:val="18"/>
              </w:rPr>
            </w:pPr>
            <w:r>
              <w:rPr>
                <w:sz w:val="18"/>
              </w:rPr>
              <w:t>12</w:t>
            </w:r>
          </w:p>
        </w:tc>
        <w:tc>
          <w:tcPr>
            <w:tcW w:w="1229" w:type="dxa"/>
          </w:tcPr>
          <w:p>
            <w:pPr>
              <w:pStyle w:val="TableParagraph"/>
              <w:spacing w:line="206" w:lineRule="exact"/>
              <w:ind w:left="158" w:right="157"/>
              <w:rPr>
                <w:sz w:val="18"/>
              </w:rPr>
            </w:pPr>
            <w:r>
              <w:rPr>
                <w:sz w:val="18"/>
              </w:rPr>
              <w:t>9.6</w:t>
            </w:r>
          </w:p>
        </w:tc>
        <w:tc>
          <w:tcPr>
            <w:tcW w:w="1844" w:type="dxa"/>
          </w:tcPr>
          <w:p>
            <w:pPr>
              <w:pStyle w:val="TableParagraph"/>
              <w:spacing w:line="206" w:lineRule="exact"/>
              <w:ind w:left="206" w:right="205"/>
              <w:rPr>
                <w:sz w:val="18"/>
              </w:rPr>
            </w:pPr>
            <w:r>
              <w:rPr>
                <w:sz w:val="18"/>
              </w:rPr>
              <w:t>9.6</w:t>
            </w:r>
          </w:p>
        </w:tc>
        <w:tc>
          <w:tcPr>
            <w:tcW w:w="2566" w:type="dxa"/>
          </w:tcPr>
          <w:p>
            <w:pPr>
              <w:pStyle w:val="TableParagraph"/>
              <w:spacing w:line="206" w:lineRule="exact"/>
              <w:ind w:left="363" w:right="361"/>
              <w:rPr>
                <w:sz w:val="18"/>
              </w:rPr>
            </w:pPr>
            <w:r>
              <w:rPr>
                <w:sz w:val="18"/>
              </w:rPr>
              <w:t>100.0</w:t>
            </w:r>
          </w:p>
        </w:tc>
      </w:tr>
      <w:tr>
        <w:trPr>
          <w:trHeight w:val="319" w:hRule="exact"/>
        </w:trPr>
        <w:tc>
          <w:tcPr>
            <w:tcW w:w="871" w:type="dxa"/>
            <w:vMerge/>
          </w:tcPr>
          <w:p>
            <w:pPr/>
          </w:p>
        </w:tc>
        <w:tc>
          <w:tcPr>
            <w:tcW w:w="1231" w:type="dxa"/>
          </w:tcPr>
          <w:p>
            <w:pPr>
              <w:pStyle w:val="TableParagraph"/>
              <w:spacing w:line="206" w:lineRule="exact"/>
              <w:ind w:left="103"/>
              <w:jc w:val="left"/>
              <w:rPr>
                <w:sz w:val="18"/>
              </w:rPr>
            </w:pPr>
            <w:r>
              <w:rPr>
                <w:sz w:val="18"/>
              </w:rPr>
              <w:t>Total</w:t>
            </w:r>
          </w:p>
        </w:tc>
        <w:tc>
          <w:tcPr>
            <w:tcW w:w="1181" w:type="dxa"/>
          </w:tcPr>
          <w:p>
            <w:pPr>
              <w:pStyle w:val="TableParagraph"/>
              <w:spacing w:line="206" w:lineRule="exact"/>
              <w:ind w:left="84" w:right="84"/>
              <w:rPr>
                <w:sz w:val="18"/>
              </w:rPr>
            </w:pPr>
            <w:r>
              <w:rPr>
                <w:sz w:val="18"/>
              </w:rPr>
              <w:t>125</w:t>
            </w:r>
          </w:p>
        </w:tc>
        <w:tc>
          <w:tcPr>
            <w:tcW w:w="1229" w:type="dxa"/>
          </w:tcPr>
          <w:p>
            <w:pPr>
              <w:pStyle w:val="TableParagraph"/>
              <w:spacing w:line="206" w:lineRule="exact"/>
              <w:ind w:left="383"/>
              <w:jc w:val="left"/>
              <w:rPr>
                <w:sz w:val="18"/>
              </w:rPr>
            </w:pPr>
            <w:r>
              <w:rPr>
                <w:sz w:val="18"/>
              </w:rPr>
              <w:t>100.0</w:t>
            </w:r>
          </w:p>
        </w:tc>
        <w:tc>
          <w:tcPr>
            <w:tcW w:w="1844" w:type="dxa"/>
          </w:tcPr>
          <w:p>
            <w:pPr>
              <w:pStyle w:val="TableParagraph"/>
              <w:spacing w:line="206" w:lineRule="exact"/>
              <w:ind w:left="206" w:right="205"/>
              <w:rPr>
                <w:sz w:val="18"/>
              </w:rPr>
            </w:pPr>
            <w:r>
              <w:rPr>
                <w:sz w:val="18"/>
              </w:rPr>
              <w:t>100.0</w:t>
            </w:r>
          </w:p>
        </w:tc>
        <w:tc>
          <w:tcPr>
            <w:tcW w:w="2566" w:type="dxa"/>
          </w:tcPr>
          <w:p>
            <w:pPr/>
          </w:p>
        </w:tc>
      </w:tr>
    </w:tbl>
    <w:p>
      <w:pPr>
        <w:spacing w:line="183" w:lineRule="exact" w:before="0"/>
        <w:ind w:left="221" w:right="6" w:firstLine="0"/>
        <w:jc w:val="left"/>
        <w:rPr>
          <w:sz w:val="16"/>
        </w:rPr>
      </w:pPr>
      <w:r>
        <w:rPr>
          <w:sz w:val="16"/>
        </w:rPr>
        <w:t>Fuente: Elaboración con propia con datos del INFDEM 2003. </w:t>
      </w:r>
      <w:hyperlink r:id="rId114">
        <w:r>
          <w:rPr>
            <w:color w:val="0462C1"/>
            <w:sz w:val="16"/>
            <w:u w:val="single" w:color="0462C1"/>
          </w:rPr>
          <w:t>http://www.snim.rami.gob.mx/ </w:t>
        </w:r>
      </w:hyperlink>
      <w:r>
        <w:rPr>
          <w:sz w:val="16"/>
        </w:rPr>
        <w:t>[04-12-2013]</w:t>
      </w:r>
    </w:p>
    <w:p>
      <w:pPr>
        <w:pStyle w:val="BodyText"/>
        <w:rPr>
          <w:sz w:val="20"/>
        </w:rPr>
      </w:pPr>
    </w:p>
    <w:p>
      <w:pPr>
        <w:pStyle w:val="BodyText"/>
        <w:rPr>
          <w:sz w:val="20"/>
        </w:rPr>
      </w:pPr>
    </w:p>
    <w:p>
      <w:pPr>
        <w:pStyle w:val="BodyText"/>
        <w:spacing w:before="9"/>
        <w:rPr>
          <w:sz w:val="15"/>
        </w:rPr>
      </w:pPr>
    </w:p>
    <w:p>
      <w:pPr>
        <w:pStyle w:val="BodyText"/>
        <w:spacing w:line="360" w:lineRule="auto" w:before="69"/>
        <w:ind w:left="108" w:right="117"/>
        <w:jc w:val="both"/>
      </w:pPr>
      <w:r>
        <w:rPr/>
        <w:t>Por su parte en el periodo 2013-2015 gran parte de los municipios del Estado de México son gobernados por hombres, siendo un total de 112, que representan un 89.6%; mientras que los municipios gobernados por mujeres fueron solamente 13, equivalentes al 10.4% del total.</w:t>
      </w:r>
    </w:p>
    <w:p>
      <w:pPr>
        <w:spacing w:after="0" w:line="360" w:lineRule="auto"/>
        <w:jc w:val="both"/>
        <w:sectPr>
          <w:pgSz w:w="12240" w:h="15840"/>
          <w:pgMar w:header="0" w:footer="975" w:top="1420" w:bottom="1220" w:left="1500" w:right="1580"/>
        </w:sectPr>
      </w:pPr>
    </w:p>
    <w:p>
      <w:pPr>
        <w:pStyle w:val="BodyText"/>
        <w:ind w:left="1568"/>
        <w:rPr>
          <w:sz w:val="20"/>
        </w:rPr>
      </w:pPr>
      <w:r>
        <w:rPr>
          <w:sz w:val="20"/>
        </w:rPr>
        <w:pict>
          <v:group style="width:299.75pt;height:192.5pt;mso-position-horizontal-relative:char;mso-position-vertical-relative:line" coordorigin="0,0" coordsize="5995,3850">
            <v:shape style="position:absolute;left:5;top:5;width:5985;height:3840" type="#_x0000_t75" stroked="false">
              <v:imagedata r:id="rId118" o:title=""/>
            </v:shape>
            <v:rect style="position:absolute;left:1158;top:893;width:3375;height:2451" filled="true" fillcolor="#ffffff" stroked="false">
              <v:fill type="solid"/>
            </v:rect>
            <v:line style="position:absolute" from="2284,893" to="2284,2425" stroked="true" strokeweight=".5pt" strokecolor="#888888"/>
            <v:line style="position:absolute" from="2284,3038" to="2284,3344" stroked="true" strokeweight=".5pt" strokecolor="#888888"/>
            <v:line style="position:absolute" from="3407,893" to="3407,2425" stroked="true" strokeweight=".5pt" strokecolor="#888888"/>
            <v:line style="position:absolute" from="3407,3038" to="3407,3344" stroked="true" strokeweight=".5pt" strokecolor="#888888"/>
            <v:line style="position:absolute" from="4533,893" to="4533,3344" stroked="true" strokeweight=".5pt" strokecolor="#888888"/>
            <v:rect style="position:absolute;left:1158;top:2425;width:2520;height:613" filled="true" fillcolor="#00afef" stroked="false">
              <v:fill type="solid"/>
            </v:rect>
            <v:rect style="position:absolute;left:1158;top:1199;width:292;height:613" filled="true" fillcolor="#ff6699" stroked="false">
              <v:fill type="solid"/>
            </v:rect>
            <v:line style="position:absolute" from="1158,3344" to="1158,893" stroked="true" strokeweight=".5pt" strokecolor="#888888"/>
            <v:line style="position:absolute" from="1094,3344" to="1158,3344" stroked="true" strokeweight=".5pt" strokecolor="#888888"/>
            <v:line style="position:absolute" from="1094,2118" to="1158,2118" stroked="true" strokeweight=".5pt" strokecolor="#888888"/>
            <v:line style="position:absolute" from="1094,893" to="1158,893" stroked="true" strokeweight=".5pt" strokecolor="#888888"/>
            <v:line style="position:absolute" from="1158,3344" to="4533,3344" stroked="true" strokeweight=".5pt" strokecolor="#888888"/>
            <v:line style="position:absolute" from="1158,3344" to="1158,3407" stroked="true" strokeweight=".5pt" strokecolor="#888888"/>
            <v:line style="position:absolute" from="2284,3344" to="2284,3407" stroked="true" strokeweight=".5pt" strokecolor="#888888"/>
            <v:line style="position:absolute" from="3407,3344" to="3407,3407" stroked="true" strokeweight=".5pt" strokecolor="#888888"/>
            <v:line style="position:absolute" from="4533,3344" to="4533,3407" stroked="true" strokeweight=".5pt" strokecolor="#888888"/>
            <v:line style="position:absolute" from="4994,2102" to="5081,2102" stroked="true" strokeweight="4.3943pt" strokecolor="#00afef"/>
            <v:line style="position:absolute" from="4994,2416" to="5081,2416" stroked="true" strokeweight="4.3943pt" strokecolor="#ff6699"/>
            <v:shape style="position:absolute;left:5;top:5;width:5985;height:3840" coordorigin="5,5" coordsize="5985,3840" path="m5,205l21,127,64,64,127,21,205,5,5790,5,5868,21,5932,64,5974,127,5990,205,5990,3645,5974,3723,5932,3786,5868,3829,5790,3845,205,3845,127,3829,64,3786,21,3723,5,3645,5,205xe" filled="false" stroked="true" strokeweight=".5pt" strokecolor="#888888">
              <v:path arrowok="t"/>
            </v:shape>
            <v:shape style="position:absolute;left:3255;top:2650;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112</w:t>
                    </w:r>
                  </w:p>
                </w:txbxContent>
              </v:textbox>
              <w10:wrap type="none"/>
            </v:shape>
            <v:shape style="position:absolute;left:719;top:195;width:4550;height:444" type="#_x0000_t202" filled="false" stroked="false">
              <v:textbox inset="0,0,0,0">
                <w:txbxContent>
                  <w:p>
                    <w:pPr>
                      <w:spacing w:line="203" w:lineRule="exact" w:before="0"/>
                      <w:ind w:left="-1" w:right="0" w:firstLine="0"/>
                      <w:jc w:val="center"/>
                      <w:rPr>
                        <w:rFonts w:ascii="Calibri" w:hAnsi="Calibri"/>
                        <w:b/>
                        <w:sz w:val="20"/>
                      </w:rPr>
                    </w:pPr>
                    <w:r>
                      <w:rPr>
                        <w:rFonts w:ascii="Calibri" w:hAnsi="Calibri"/>
                        <w:b/>
                        <w:sz w:val="20"/>
                      </w:rPr>
                      <w:t>Gráfica 3.10. Género de los presidentes municipales</w:t>
                    </w:r>
                    <w:r>
                      <w:rPr>
                        <w:rFonts w:ascii="Calibri" w:hAnsi="Calibri"/>
                        <w:b/>
                        <w:spacing w:val="-28"/>
                        <w:sz w:val="20"/>
                      </w:rPr>
                      <w:t> </w:t>
                    </w:r>
                    <w:r>
                      <w:rPr>
                        <w:rFonts w:ascii="Calibri" w:hAnsi="Calibri"/>
                        <w:b/>
                        <w:sz w:val="20"/>
                      </w:rPr>
                      <w:t>en</w:t>
                    </w:r>
                  </w:p>
                  <w:p>
                    <w:pPr>
                      <w:spacing w:line="240" w:lineRule="exact" w:before="0"/>
                      <w:ind w:left="7" w:right="0" w:firstLine="0"/>
                      <w:jc w:val="center"/>
                      <w:rPr>
                        <w:rFonts w:ascii="Calibri" w:hAnsi="Calibri"/>
                        <w:b/>
                        <w:sz w:val="20"/>
                      </w:rPr>
                    </w:pPr>
                    <w:r>
                      <w:rPr>
                        <w:rFonts w:ascii="Calibri" w:hAnsi="Calibri"/>
                        <w:b/>
                        <w:sz w:val="20"/>
                      </w:rPr>
                      <w:t>el Estado de México durante el periodo 2013-2015</w:t>
                    </w:r>
                  </w:p>
                </w:txbxContent>
              </v:textbox>
              <w10:wrap type="none"/>
            </v:shape>
            <v:shape style="position:absolute;left:161;top:1414;width:1319;height:211" type="#_x0000_t202" filled="false" stroked="false">
              <v:textbox inset="0,0,0,0">
                <w:txbxContent>
                  <w:p>
                    <w:pPr>
                      <w:tabs>
                        <w:tab w:pos="1117" w:val="left" w:leader="none"/>
                      </w:tabs>
                      <w:spacing w:line="210" w:lineRule="exact" w:before="0"/>
                      <w:ind w:left="0" w:right="0" w:firstLine="0"/>
                      <w:jc w:val="left"/>
                      <w:rPr>
                        <w:rFonts w:ascii="Calibri"/>
                        <w:sz w:val="20"/>
                      </w:rPr>
                    </w:pPr>
                    <w:r>
                      <w:rPr>
                        <w:rFonts w:ascii="Calibri"/>
                        <w:position w:val="1"/>
                        <w:sz w:val="20"/>
                      </w:rPr>
                      <w:t>Femenino</w:t>
                      <w:tab/>
                    </w:r>
                    <w:r>
                      <w:rPr>
                        <w:rFonts w:ascii="Calibri"/>
                        <w:spacing w:val="-1"/>
                        <w:sz w:val="20"/>
                      </w:rPr>
                      <w:t>13</w:t>
                    </w:r>
                  </w:p>
                </w:txbxContent>
              </v:textbox>
              <w10:wrap type="none"/>
            </v:shape>
            <v:shape style="position:absolute;left:5119;top:2027;width:671;height:475" type="#_x0000_t202" filled="false" stroked="false">
              <v:textbox inset="0,0,0,0">
                <w:txbxContent>
                  <w:p>
                    <w:pPr>
                      <w:spacing w:line="164" w:lineRule="exact" w:before="0"/>
                      <w:ind w:left="0" w:right="-19" w:firstLine="0"/>
                      <w:jc w:val="left"/>
                      <w:rPr>
                        <w:rFonts w:ascii="Calibri"/>
                        <w:sz w:val="16"/>
                      </w:rPr>
                    </w:pPr>
                    <w:r>
                      <w:rPr>
                        <w:rFonts w:ascii="Calibri"/>
                        <w:sz w:val="16"/>
                      </w:rPr>
                      <w:t>Masculino</w:t>
                    </w:r>
                  </w:p>
                  <w:p>
                    <w:pPr>
                      <w:spacing w:line="193" w:lineRule="exact" w:before="118"/>
                      <w:ind w:left="0" w:right="-19" w:firstLine="0"/>
                      <w:jc w:val="left"/>
                      <w:rPr>
                        <w:rFonts w:ascii="Calibri"/>
                        <w:sz w:val="16"/>
                      </w:rPr>
                    </w:pPr>
                    <w:r>
                      <w:rPr>
                        <w:rFonts w:ascii="Calibri"/>
                        <w:sz w:val="16"/>
                      </w:rPr>
                      <w:t>Femenino</w:t>
                    </w:r>
                  </w:p>
                </w:txbxContent>
              </v:textbox>
              <w10:wrap type="none"/>
            </v:shape>
            <v:shape style="position:absolute;left:136;top:2639;width:837;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Masculino</w:t>
                    </w:r>
                  </w:p>
                </w:txbxContent>
              </v:textbox>
              <w10:wrap type="none"/>
            </v:shape>
            <v:shape style="position:absolute;left:1108;top:3512;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2182;top:3512;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50</w:t>
                    </w:r>
                  </w:p>
                </w:txbxContent>
              </v:textbox>
              <w10:wrap type="none"/>
            </v:shape>
            <v:shape style="position:absolute;left:3257;top:3512;width:305;height:200" type="#_x0000_t202" filled="false" stroked="false">
              <v:textbox inset="0,0,0,0">
                <w:txbxContent>
                  <w:p>
                    <w:pPr>
                      <w:spacing w:line="199" w:lineRule="exact" w:before="0"/>
                      <w:ind w:left="0" w:right="-20" w:firstLine="0"/>
                      <w:jc w:val="left"/>
                      <w:rPr>
                        <w:rFonts w:ascii="Calibri"/>
                        <w:sz w:val="20"/>
                      </w:rPr>
                    </w:pPr>
                    <w:r>
                      <w:rPr>
                        <w:rFonts w:ascii="Calibri"/>
                        <w:sz w:val="20"/>
                      </w:rPr>
                      <w:t>100</w:t>
                    </w:r>
                  </w:p>
                </w:txbxContent>
              </v:textbox>
              <w10:wrap type="none"/>
            </v:shape>
            <v:shape style="position:absolute;left:4382;top:3512;width:305;height:200" type="#_x0000_t202" filled="false" stroked="false">
              <v:textbox inset="0,0,0,0">
                <w:txbxContent>
                  <w:p>
                    <w:pPr>
                      <w:spacing w:line="199" w:lineRule="exact" w:before="0"/>
                      <w:ind w:left="0" w:right="-20" w:firstLine="0"/>
                      <w:jc w:val="left"/>
                      <w:rPr>
                        <w:rFonts w:ascii="Calibri"/>
                        <w:sz w:val="20"/>
                      </w:rPr>
                    </w:pPr>
                    <w:r>
                      <w:rPr>
                        <w:rFonts w:ascii="Calibri"/>
                        <w:sz w:val="20"/>
                      </w:rPr>
                      <w:t>150</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spacing w:before="6" w:after="1"/>
        <w:rPr>
          <w:sz w:val="15"/>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71"/>
        <w:gridCol w:w="1231"/>
        <w:gridCol w:w="1181"/>
        <w:gridCol w:w="1229"/>
        <w:gridCol w:w="1844"/>
        <w:gridCol w:w="2566"/>
      </w:tblGrid>
      <w:tr>
        <w:trPr>
          <w:trHeight w:val="322" w:hRule="exact"/>
        </w:trPr>
        <w:tc>
          <w:tcPr>
            <w:tcW w:w="8922" w:type="dxa"/>
            <w:gridSpan w:val="6"/>
            <w:shd w:val="clear" w:color="auto" w:fill="92D050"/>
          </w:tcPr>
          <w:p>
            <w:pPr>
              <w:pStyle w:val="TableParagraph"/>
              <w:spacing w:line="201" w:lineRule="exact"/>
              <w:ind w:left="1099" w:right="56"/>
              <w:jc w:val="left"/>
              <w:rPr>
                <w:b/>
                <w:sz w:val="18"/>
              </w:rPr>
            </w:pPr>
            <w:r>
              <w:rPr>
                <w:b/>
                <w:sz w:val="18"/>
              </w:rPr>
              <w:t>Tabla 3.24 Género del presidente municipal que gobierna el periodo 2013-2015</w:t>
            </w:r>
          </w:p>
        </w:tc>
      </w:tr>
      <w:tr>
        <w:trPr>
          <w:trHeight w:val="319" w:hRule="exact"/>
        </w:trPr>
        <w:tc>
          <w:tcPr>
            <w:tcW w:w="2102" w:type="dxa"/>
            <w:gridSpan w:val="2"/>
          </w:tcPr>
          <w:p>
            <w:pPr>
              <w:pStyle w:val="TableParagraph"/>
              <w:spacing w:line="206" w:lineRule="exact"/>
              <w:ind w:left="726" w:right="726"/>
              <w:rPr>
                <w:sz w:val="18"/>
              </w:rPr>
            </w:pPr>
            <w:r>
              <w:rPr>
                <w:sz w:val="18"/>
              </w:rPr>
              <w:t>Género</w:t>
            </w:r>
          </w:p>
        </w:tc>
        <w:tc>
          <w:tcPr>
            <w:tcW w:w="1181" w:type="dxa"/>
          </w:tcPr>
          <w:p>
            <w:pPr>
              <w:pStyle w:val="TableParagraph"/>
              <w:spacing w:line="206" w:lineRule="exact"/>
              <w:ind w:left="48" w:right="120"/>
              <w:rPr>
                <w:sz w:val="18"/>
              </w:rPr>
            </w:pPr>
            <w:r>
              <w:rPr>
                <w:sz w:val="18"/>
              </w:rPr>
              <w:t>Frecuencia</w:t>
            </w:r>
          </w:p>
        </w:tc>
        <w:tc>
          <w:tcPr>
            <w:tcW w:w="1229" w:type="dxa"/>
          </w:tcPr>
          <w:p>
            <w:pPr>
              <w:pStyle w:val="TableParagraph"/>
              <w:spacing w:line="206" w:lineRule="exact"/>
              <w:ind w:left="103"/>
              <w:jc w:val="left"/>
              <w:rPr>
                <w:sz w:val="18"/>
              </w:rPr>
            </w:pPr>
            <w:r>
              <w:rPr>
                <w:sz w:val="18"/>
              </w:rPr>
              <w:t>Porcentaje</w:t>
            </w:r>
          </w:p>
        </w:tc>
        <w:tc>
          <w:tcPr>
            <w:tcW w:w="1844" w:type="dxa"/>
          </w:tcPr>
          <w:p>
            <w:pPr>
              <w:pStyle w:val="TableParagraph"/>
              <w:spacing w:line="206" w:lineRule="exact"/>
              <w:ind w:left="103"/>
              <w:jc w:val="left"/>
              <w:rPr>
                <w:sz w:val="18"/>
              </w:rPr>
            </w:pPr>
            <w:r>
              <w:rPr>
                <w:sz w:val="18"/>
              </w:rPr>
              <w:t>Porcentaje válido</w:t>
            </w:r>
          </w:p>
        </w:tc>
        <w:tc>
          <w:tcPr>
            <w:tcW w:w="2566" w:type="dxa"/>
          </w:tcPr>
          <w:p>
            <w:pPr>
              <w:pStyle w:val="TableParagraph"/>
              <w:spacing w:line="206" w:lineRule="exact"/>
              <w:ind w:left="103"/>
              <w:jc w:val="left"/>
              <w:rPr>
                <w:sz w:val="18"/>
              </w:rPr>
            </w:pPr>
            <w:r>
              <w:rPr>
                <w:sz w:val="18"/>
              </w:rPr>
              <w:t>Porcentaje acumulado</w:t>
            </w:r>
          </w:p>
        </w:tc>
      </w:tr>
      <w:tr>
        <w:trPr>
          <w:trHeight w:val="329" w:hRule="exact"/>
        </w:trPr>
        <w:tc>
          <w:tcPr>
            <w:tcW w:w="871" w:type="dxa"/>
            <w:vMerge w:val="restart"/>
          </w:tcPr>
          <w:p>
            <w:pPr>
              <w:pStyle w:val="TableParagraph"/>
              <w:spacing w:line="206" w:lineRule="exact"/>
              <w:ind w:left="103"/>
              <w:jc w:val="left"/>
              <w:rPr>
                <w:sz w:val="18"/>
              </w:rPr>
            </w:pPr>
            <w:r>
              <w:rPr>
                <w:sz w:val="18"/>
              </w:rPr>
              <w:t>Válidos</w:t>
            </w:r>
          </w:p>
        </w:tc>
        <w:tc>
          <w:tcPr>
            <w:tcW w:w="1231" w:type="dxa"/>
          </w:tcPr>
          <w:p>
            <w:pPr>
              <w:pStyle w:val="TableParagraph"/>
              <w:spacing w:line="206" w:lineRule="exact"/>
              <w:ind w:left="103"/>
              <w:jc w:val="left"/>
              <w:rPr>
                <w:sz w:val="18"/>
              </w:rPr>
            </w:pPr>
            <w:r>
              <w:rPr>
                <w:sz w:val="18"/>
              </w:rPr>
              <w:t>Masculino</w:t>
            </w:r>
          </w:p>
        </w:tc>
        <w:tc>
          <w:tcPr>
            <w:tcW w:w="1181" w:type="dxa"/>
          </w:tcPr>
          <w:p>
            <w:pPr>
              <w:pStyle w:val="TableParagraph"/>
              <w:spacing w:line="206" w:lineRule="exact"/>
              <w:ind w:left="84" w:right="84"/>
              <w:rPr>
                <w:sz w:val="18"/>
              </w:rPr>
            </w:pPr>
            <w:r>
              <w:rPr>
                <w:sz w:val="18"/>
              </w:rPr>
              <w:t>112</w:t>
            </w:r>
          </w:p>
        </w:tc>
        <w:tc>
          <w:tcPr>
            <w:tcW w:w="1229" w:type="dxa"/>
          </w:tcPr>
          <w:p>
            <w:pPr>
              <w:pStyle w:val="TableParagraph"/>
              <w:spacing w:line="206" w:lineRule="exact"/>
              <w:ind w:left="158" w:right="158"/>
              <w:rPr>
                <w:sz w:val="18"/>
              </w:rPr>
            </w:pPr>
            <w:r>
              <w:rPr>
                <w:sz w:val="18"/>
              </w:rPr>
              <w:t>89.6</w:t>
            </w:r>
          </w:p>
        </w:tc>
        <w:tc>
          <w:tcPr>
            <w:tcW w:w="1844" w:type="dxa"/>
          </w:tcPr>
          <w:p>
            <w:pPr>
              <w:pStyle w:val="TableParagraph"/>
              <w:spacing w:line="206" w:lineRule="exact"/>
              <w:ind w:left="206" w:right="205"/>
              <w:rPr>
                <w:sz w:val="18"/>
              </w:rPr>
            </w:pPr>
            <w:r>
              <w:rPr>
                <w:sz w:val="18"/>
              </w:rPr>
              <w:t>89.6</w:t>
            </w:r>
          </w:p>
        </w:tc>
        <w:tc>
          <w:tcPr>
            <w:tcW w:w="2566" w:type="dxa"/>
          </w:tcPr>
          <w:p>
            <w:pPr>
              <w:pStyle w:val="TableParagraph"/>
              <w:spacing w:line="206" w:lineRule="exact"/>
              <w:ind w:left="363" w:right="361"/>
              <w:rPr>
                <w:sz w:val="18"/>
              </w:rPr>
            </w:pPr>
            <w:r>
              <w:rPr>
                <w:sz w:val="18"/>
              </w:rPr>
              <w:t>89.6</w:t>
            </w:r>
          </w:p>
        </w:tc>
      </w:tr>
      <w:tr>
        <w:trPr>
          <w:trHeight w:val="329" w:hRule="exact"/>
        </w:trPr>
        <w:tc>
          <w:tcPr>
            <w:tcW w:w="871" w:type="dxa"/>
            <w:vMerge/>
          </w:tcPr>
          <w:p>
            <w:pPr/>
          </w:p>
        </w:tc>
        <w:tc>
          <w:tcPr>
            <w:tcW w:w="1231" w:type="dxa"/>
          </w:tcPr>
          <w:p>
            <w:pPr>
              <w:pStyle w:val="TableParagraph"/>
              <w:spacing w:before="1"/>
              <w:ind w:left="103"/>
              <w:jc w:val="left"/>
              <w:rPr>
                <w:sz w:val="18"/>
              </w:rPr>
            </w:pPr>
            <w:r>
              <w:rPr>
                <w:sz w:val="18"/>
              </w:rPr>
              <w:t>Femenino</w:t>
            </w:r>
          </w:p>
        </w:tc>
        <w:tc>
          <w:tcPr>
            <w:tcW w:w="1181" w:type="dxa"/>
          </w:tcPr>
          <w:p>
            <w:pPr>
              <w:pStyle w:val="TableParagraph"/>
              <w:spacing w:before="1"/>
              <w:ind w:left="84" w:right="84"/>
              <w:rPr>
                <w:sz w:val="18"/>
              </w:rPr>
            </w:pPr>
            <w:r>
              <w:rPr>
                <w:sz w:val="18"/>
              </w:rPr>
              <w:t>13</w:t>
            </w:r>
          </w:p>
        </w:tc>
        <w:tc>
          <w:tcPr>
            <w:tcW w:w="1229" w:type="dxa"/>
          </w:tcPr>
          <w:p>
            <w:pPr>
              <w:pStyle w:val="TableParagraph"/>
              <w:spacing w:before="1"/>
              <w:ind w:left="158" w:right="158"/>
              <w:rPr>
                <w:sz w:val="18"/>
              </w:rPr>
            </w:pPr>
            <w:r>
              <w:rPr>
                <w:sz w:val="18"/>
              </w:rPr>
              <w:t>10.4</w:t>
            </w:r>
          </w:p>
        </w:tc>
        <w:tc>
          <w:tcPr>
            <w:tcW w:w="1844" w:type="dxa"/>
          </w:tcPr>
          <w:p>
            <w:pPr>
              <w:pStyle w:val="TableParagraph"/>
              <w:spacing w:before="1"/>
              <w:ind w:left="206" w:right="205"/>
              <w:rPr>
                <w:sz w:val="18"/>
              </w:rPr>
            </w:pPr>
            <w:r>
              <w:rPr>
                <w:sz w:val="18"/>
              </w:rPr>
              <w:t>10.4</w:t>
            </w:r>
          </w:p>
        </w:tc>
        <w:tc>
          <w:tcPr>
            <w:tcW w:w="2566" w:type="dxa"/>
          </w:tcPr>
          <w:p>
            <w:pPr>
              <w:pStyle w:val="TableParagraph"/>
              <w:spacing w:before="1"/>
              <w:ind w:left="363" w:right="361"/>
              <w:rPr>
                <w:sz w:val="18"/>
              </w:rPr>
            </w:pPr>
            <w:r>
              <w:rPr>
                <w:sz w:val="18"/>
              </w:rPr>
              <w:t>100.0</w:t>
            </w:r>
          </w:p>
        </w:tc>
      </w:tr>
      <w:tr>
        <w:trPr>
          <w:trHeight w:val="331" w:hRule="exact"/>
        </w:trPr>
        <w:tc>
          <w:tcPr>
            <w:tcW w:w="871" w:type="dxa"/>
            <w:vMerge/>
          </w:tcPr>
          <w:p>
            <w:pPr/>
          </w:p>
        </w:tc>
        <w:tc>
          <w:tcPr>
            <w:tcW w:w="1231" w:type="dxa"/>
          </w:tcPr>
          <w:p>
            <w:pPr>
              <w:pStyle w:val="TableParagraph"/>
              <w:spacing w:before="1"/>
              <w:ind w:left="103"/>
              <w:jc w:val="left"/>
              <w:rPr>
                <w:sz w:val="18"/>
              </w:rPr>
            </w:pPr>
            <w:r>
              <w:rPr>
                <w:sz w:val="18"/>
              </w:rPr>
              <w:t>Total</w:t>
            </w:r>
          </w:p>
        </w:tc>
        <w:tc>
          <w:tcPr>
            <w:tcW w:w="1181" w:type="dxa"/>
          </w:tcPr>
          <w:p>
            <w:pPr>
              <w:pStyle w:val="TableParagraph"/>
              <w:spacing w:before="1"/>
              <w:ind w:left="84" w:right="84"/>
              <w:rPr>
                <w:sz w:val="18"/>
              </w:rPr>
            </w:pPr>
            <w:r>
              <w:rPr>
                <w:sz w:val="18"/>
              </w:rPr>
              <w:t>125</w:t>
            </w:r>
          </w:p>
        </w:tc>
        <w:tc>
          <w:tcPr>
            <w:tcW w:w="1229" w:type="dxa"/>
          </w:tcPr>
          <w:p>
            <w:pPr>
              <w:pStyle w:val="TableParagraph"/>
              <w:spacing w:before="1"/>
              <w:ind w:left="383"/>
              <w:jc w:val="left"/>
              <w:rPr>
                <w:sz w:val="18"/>
              </w:rPr>
            </w:pPr>
            <w:r>
              <w:rPr>
                <w:sz w:val="18"/>
              </w:rPr>
              <w:t>100.0</w:t>
            </w:r>
          </w:p>
        </w:tc>
        <w:tc>
          <w:tcPr>
            <w:tcW w:w="1844" w:type="dxa"/>
          </w:tcPr>
          <w:p>
            <w:pPr>
              <w:pStyle w:val="TableParagraph"/>
              <w:spacing w:before="1"/>
              <w:ind w:left="206" w:right="205"/>
              <w:rPr>
                <w:sz w:val="18"/>
              </w:rPr>
            </w:pPr>
            <w:r>
              <w:rPr>
                <w:sz w:val="18"/>
              </w:rPr>
              <w:t>100.0</w:t>
            </w:r>
          </w:p>
        </w:tc>
        <w:tc>
          <w:tcPr>
            <w:tcW w:w="2566" w:type="dxa"/>
          </w:tcPr>
          <w:p>
            <w:pPr/>
          </w:p>
        </w:tc>
      </w:tr>
    </w:tbl>
    <w:p>
      <w:pPr>
        <w:spacing w:line="180" w:lineRule="exact" w:before="0"/>
        <w:ind w:left="221" w:right="6" w:firstLine="0"/>
        <w:jc w:val="left"/>
        <w:rPr>
          <w:sz w:val="16"/>
        </w:rPr>
      </w:pPr>
      <w:r>
        <w:rPr>
          <w:sz w:val="16"/>
        </w:rPr>
        <w:t>Fuente: Elaboración con propia con datos del INFDEM 2003. </w:t>
      </w:r>
      <w:hyperlink r:id="rId114">
        <w:r>
          <w:rPr>
            <w:color w:val="0462C1"/>
            <w:sz w:val="16"/>
            <w:u w:val="single" w:color="0462C1"/>
          </w:rPr>
          <w:t>http://www.snim.rami.gob.mx/ </w:t>
        </w:r>
      </w:hyperlink>
      <w:r>
        <w:rPr>
          <w:sz w:val="16"/>
        </w:rPr>
        <w:t>[04-12-2013]</w:t>
      </w:r>
    </w:p>
    <w:p>
      <w:pPr>
        <w:pStyle w:val="BodyText"/>
        <w:rPr>
          <w:sz w:val="20"/>
        </w:rPr>
      </w:pPr>
    </w:p>
    <w:p>
      <w:pPr>
        <w:pStyle w:val="BodyText"/>
        <w:rPr>
          <w:sz w:val="20"/>
        </w:rPr>
      </w:pPr>
    </w:p>
    <w:p>
      <w:pPr>
        <w:pStyle w:val="BodyText"/>
        <w:spacing w:before="9"/>
        <w:rPr>
          <w:sz w:val="15"/>
        </w:rPr>
      </w:pPr>
    </w:p>
    <w:p>
      <w:pPr>
        <w:pStyle w:val="BodyText"/>
        <w:spacing w:line="360" w:lineRule="auto" w:before="69"/>
        <w:ind w:left="108" w:right="6"/>
      </w:pPr>
      <w:r>
        <w:rPr/>
        <w:t>Sobre el promedio de cumplimiento de la ley de transparencia en los municipios evaluados se registró la siguiente información:</w:t>
      </w:r>
    </w:p>
    <w:p>
      <w:pPr>
        <w:pStyle w:val="BodyText"/>
        <w:rPr>
          <w:sz w:val="20"/>
        </w:rPr>
      </w:pPr>
    </w:p>
    <w:p>
      <w:pPr>
        <w:pStyle w:val="BodyText"/>
        <w:rPr>
          <w:sz w:val="20"/>
        </w:rPr>
      </w:pPr>
    </w:p>
    <w:p>
      <w:pPr>
        <w:pStyle w:val="BodyText"/>
        <w:spacing w:before="5"/>
      </w:pPr>
    </w:p>
    <w:tbl>
      <w:tblPr>
        <w:tblW w:w="0" w:type="auto"/>
        <w:jc w:val="left"/>
        <w:tblInd w:w="5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1"/>
        <w:gridCol w:w="1356"/>
        <w:gridCol w:w="1195"/>
        <w:gridCol w:w="1119"/>
        <w:gridCol w:w="1150"/>
        <w:gridCol w:w="1203"/>
      </w:tblGrid>
      <w:tr>
        <w:trPr>
          <w:trHeight w:val="319" w:hRule="exact"/>
        </w:trPr>
        <w:tc>
          <w:tcPr>
            <w:tcW w:w="8003" w:type="dxa"/>
            <w:gridSpan w:val="6"/>
            <w:shd w:val="clear" w:color="auto" w:fill="92D050"/>
          </w:tcPr>
          <w:p>
            <w:pPr>
              <w:pStyle w:val="TableParagraph"/>
              <w:spacing w:line="201" w:lineRule="exact"/>
              <w:ind w:left="568" w:right="295"/>
              <w:jc w:val="left"/>
              <w:rPr>
                <w:b/>
                <w:sz w:val="18"/>
              </w:rPr>
            </w:pPr>
            <w:r>
              <w:rPr>
                <w:b/>
                <w:sz w:val="18"/>
              </w:rPr>
              <w:t>Tabla 3.25 Porcentaje promedio de cumplimiento de la ley por género 2012-2015</w:t>
            </w:r>
          </w:p>
        </w:tc>
      </w:tr>
      <w:tr>
        <w:trPr>
          <w:trHeight w:val="631" w:hRule="exact"/>
        </w:trPr>
        <w:tc>
          <w:tcPr>
            <w:tcW w:w="1981" w:type="dxa"/>
            <w:shd w:val="clear" w:color="auto" w:fill="92D050"/>
          </w:tcPr>
          <w:p>
            <w:pPr>
              <w:pStyle w:val="TableParagraph"/>
              <w:spacing w:before="150"/>
              <w:ind w:left="649" w:right="650"/>
              <w:rPr>
                <w:b/>
                <w:sz w:val="18"/>
              </w:rPr>
            </w:pPr>
            <w:r>
              <w:rPr>
                <w:b/>
                <w:sz w:val="18"/>
              </w:rPr>
              <w:t>Género</w:t>
            </w:r>
          </w:p>
        </w:tc>
        <w:tc>
          <w:tcPr>
            <w:tcW w:w="1356" w:type="dxa"/>
            <w:shd w:val="clear" w:color="auto" w:fill="92D050"/>
          </w:tcPr>
          <w:p>
            <w:pPr>
              <w:pStyle w:val="TableParagraph"/>
              <w:spacing w:line="362" w:lineRule="auto"/>
              <w:ind w:left="472" w:right="240" w:hanging="216"/>
              <w:jc w:val="left"/>
              <w:rPr>
                <w:b/>
                <w:sz w:val="18"/>
              </w:rPr>
            </w:pPr>
            <w:r>
              <w:rPr>
                <w:b/>
                <w:sz w:val="18"/>
              </w:rPr>
              <w:t>Promedio 2012</w:t>
            </w:r>
          </w:p>
        </w:tc>
        <w:tc>
          <w:tcPr>
            <w:tcW w:w="1195" w:type="dxa"/>
            <w:shd w:val="clear" w:color="auto" w:fill="92D050"/>
          </w:tcPr>
          <w:p>
            <w:pPr>
              <w:pStyle w:val="TableParagraph"/>
              <w:spacing w:line="362" w:lineRule="auto"/>
              <w:ind w:left="391" w:right="160" w:hanging="216"/>
              <w:jc w:val="left"/>
              <w:rPr>
                <w:b/>
                <w:sz w:val="18"/>
              </w:rPr>
            </w:pPr>
            <w:r>
              <w:rPr>
                <w:b/>
                <w:sz w:val="18"/>
              </w:rPr>
              <w:t>Promedio 2013</w:t>
            </w:r>
          </w:p>
        </w:tc>
        <w:tc>
          <w:tcPr>
            <w:tcW w:w="1119" w:type="dxa"/>
            <w:shd w:val="clear" w:color="auto" w:fill="92D050"/>
          </w:tcPr>
          <w:p>
            <w:pPr>
              <w:pStyle w:val="TableParagraph"/>
              <w:spacing w:line="362" w:lineRule="auto"/>
              <w:ind w:left="353" w:right="122" w:hanging="216"/>
              <w:jc w:val="left"/>
              <w:rPr>
                <w:b/>
                <w:sz w:val="18"/>
              </w:rPr>
            </w:pPr>
            <w:r>
              <w:rPr>
                <w:b/>
                <w:sz w:val="18"/>
              </w:rPr>
              <w:t>Promedio 2014</w:t>
            </w:r>
          </w:p>
        </w:tc>
        <w:tc>
          <w:tcPr>
            <w:tcW w:w="1150" w:type="dxa"/>
            <w:shd w:val="clear" w:color="auto" w:fill="92D050"/>
          </w:tcPr>
          <w:p>
            <w:pPr>
              <w:pStyle w:val="TableParagraph"/>
              <w:spacing w:line="362" w:lineRule="auto"/>
              <w:ind w:left="367" w:right="138" w:hanging="216"/>
              <w:jc w:val="left"/>
              <w:rPr>
                <w:b/>
                <w:sz w:val="18"/>
              </w:rPr>
            </w:pPr>
            <w:r>
              <w:rPr>
                <w:b/>
                <w:sz w:val="18"/>
              </w:rPr>
              <w:t>Promedio 2015</w:t>
            </w:r>
          </w:p>
        </w:tc>
        <w:tc>
          <w:tcPr>
            <w:tcW w:w="1203" w:type="dxa"/>
            <w:shd w:val="clear" w:color="auto" w:fill="92D050"/>
          </w:tcPr>
          <w:p>
            <w:pPr>
              <w:pStyle w:val="TableParagraph"/>
              <w:spacing w:line="362" w:lineRule="auto"/>
              <w:ind w:left="331" w:right="164" w:hanging="152"/>
              <w:jc w:val="left"/>
              <w:rPr>
                <w:b/>
                <w:sz w:val="18"/>
              </w:rPr>
            </w:pPr>
            <w:r>
              <w:rPr>
                <w:b/>
                <w:sz w:val="18"/>
              </w:rPr>
              <w:t>Promedio global</w:t>
            </w:r>
          </w:p>
        </w:tc>
      </w:tr>
      <w:tr>
        <w:trPr>
          <w:trHeight w:val="322" w:hRule="exact"/>
        </w:trPr>
        <w:tc>
          <w:tcPr>
            <w:tcW w:w="1981" w:type="dxa"/>
          </w:tcPr>
          <w:p>
            <w:pPr>
              <w:pStyle w:val="TableParagraph"/>
              <w:spacing w:line="201" w:lineRule="exact"/>
              <w:ind w:left="64"/>
              <w:jc w:val="left"/>
              <w:rPr>
                <w:b/>
                <w:sz w:val="18"/>
              </w:rPr>
            </w:pPr>
            <w:r>
              <w:rPr>
                <w:b/>
                <w:sz w:val="18"/>
              </w:rPr>
              <w:t>Femenino</w:t>
            </w:r>
          </w:p>
        </w:tc>
        <w:tc>
          <w:tcPr>
            <w:tcW w:w="1356" w:type="dxa"/>
          </w:tcPr>
          <w:p>
            <w:pPr>
              <w:pStyle w:val="TableParagraph"/>
              <w:spacing w:line="206" w:lineRule="exact"/>
              <w:ind w:left="367" w:right="240"/>
              <w:jc w:val="left"/>
              <w:rPr>
                <w:sz w:val="18"/>
              </w:rPr>
            </w:pPr>
            <w:r>
              <w:rPr>
                <w:sz w:val="18"/>
              </w:rPr>
              <w:t>37.72%</w:t>
            </w:r>
          </w:p>
        </w:tc>
        <w:tc>
          <w:tcPr>
            <w:tcW w:w="1195" w:type="dxa"/>
          </w:tcPr>
          <w:p>
            <w:pPr>
              <w:pStyle w:val="TableParagraph"/>
              <w:spacing w:line="206" w:lineRule="exact"/>
              <w:ind w:left="287" w:right="160"/>
              <w:jc w:val="left"/>
              <w:rPr>
                <w:sz w:val="18"/>
              </w:rPr>
            </w:pPr>
            <w:r>
              <w:rPr>
                <w:sz w:val="18"/>
              </w:rPr>
              <w:t>94.55%</w:t>
            </w:r>
          </w:p>
        </w:tc>
        <w:tc>
          <w:tcPr>
            <w:tcW w:w="1119" w:type="dxa"/>
          </w:tcPr>
          <w:p>
            <w:pPr>
              <w:pStyle w:val="TableParagraph"/>
              <w:spacing w:line="206" w:lineRule="exact"/>
              <w:ind w:left="249" w:right="122"/>
              <w:jc w:val="left"/>
              <w:rPr>
                <w:sz w:val="18"/>
              </w:rPr>
            </w:pPr>
            <w:r>
              <w:rPr>
                <w:sz w:val="18"/>
              </w:rPr>
              <w:t>42.53%</w:t>
            </w:r>
          </w:p>
        </w:tc>
        <w:tc>
          <w:tcPr>
            <w:tcW w:w="1150" w:type="dxa"/>
          </w:tcPr>
          <w:p>
            <w:pPr>
              <w:pStyle w:val="TableParagraph"/>
              <w:spacing w:line="206" w:lineRule="exact"/>
              <w:ind w:left="189" w:right="190"/>
              <w:rPr>
                <w:sz w:val="18"/>
              </w:rPr>
            </w:pPr>
            <w:r>
              <w:rPr>
                <w:sz w:val="18"/>
              </w:rPr>
              <w:t>36.46%</w:t>
            </w:r>
          </w:p>
        </w:tc>
        <w:tc>
          <w:tcPr>
            <w:tcW w:w="1203" w:type="dxa"/>
          </w:tcPr>
          <w:p>
            <w:pPr>
              <w:pStyle w:val="TableParagraph"/>
              <w:spacing w:line="201" w:lineRule="exact"/>
              <w:ind w:left="271" w:right="271"/>
              <w:rPr>
                <w:b/>
                <w:sz w:val="18"/>
              </w:rPr>
            </w:pPr>
            <w:r>
              <w:rPr>
                <w:b/>
                <w:sz w:val="18"/>
              </w:rPr>
              <w:t>52.82%</w:t>
            </w:r>
          </w:p>
        </w:tc>
      </w:tr>
      <w:tr>
        <w:trPr>
          <w:trHeight w:val="319" w:hRule="exact"/>
        </w:trPr>
        <w:tc>
          <w:tcPr>
            <w:tcW w:w="1981" w:type="dxa"/>
          </w:tcPr>
          <w:p>
            <w:pPr>
              <w:pStyle w:val="TableParagraph"/>
              <w:spacing w:line="201" w:lineRule="exact"/>
              <w:ind w:left="64"/>
              <w:jc w:val="left"/>
              <w:rPr>
                <w:b/>
                <w:sz w:val="18"/>
              </w:rPr>
            </w:pPr>
            <w:r>
              <w:rPr>
                <w:b/>
                <w:sz w:val="18"/>
              </w:rPr>
              <w:t>Masculino</w:t>
            </w:r>
          </w:p>
        </w:tc>
        <w:tc>
          <w:tcPr>
            <w:tcW w:w="1356" w:type="dxa"/>
          </w:tcPr>
          <w:p>
            <w:pPr>
              <w:pStyle w:val="TableParagraph"/>
              <w:spacing w:line="206" w:lineRule="exact"/>
              <w:ind w:left="367" w:right="240"/>
              <w:jc w:val="left"/>
              <w:rPr>
                <w:sz w:val="18"/>
              </w:rPr>
            </w:pPr>
            <w:r>
              <w:rPr>
                <w:sz w:val="18"/>
              </w:rPr>
              <w:t>24.91%</w:t>
            </w:r>
          </w:p>
        </w:tc>
        <w:tc>
          <w:tcPr>
            <w:tcW w:w="1195" w:type="dxa"/>
          </w:tcPr>
          <w:p>
            <w:pPr>
              <w:pStyle w:val="TableParagraph"/>
              <w:spacing w:line="206" w:lineRule="exact"/>
              <w:ind w:left="287" w:right="160"/>
              <w:jc w:val="left"/>
              <w:rPr>
                <w:sz w:val="18"/>
              </w:rPr>
            </w:pPr>
            <w:r>
              <w:rPr>
                <w:sz w:val="18"/>
              </w:rPr>
              <w:t>72.03%</w:t>
            </w:r>
          </w:p>
        </w:tc>
        <w:tc>
          <w:tcPr>
            <w:tcW w:w="1119" w:type="dxa"/>
          </w:tcPr>
          <w:p>
            <w:pPr>
              <w:pStyle w:val="TableParagraph"/>
              <w:spacing w:line="206" w:lineRule="exact"/>
              <w:ind w:left="249" w:right="122"/>
              <w:jc w:val="left"/>
              <w:rPr>
                <w:sz w:val="18"/>
              </w:rPr>
            </w:pPr>
            <w:r>
              <w:rPr>
                <w:sz w:val="18"/>
              </w:rPr>
              <w:t>67.08%</w:t>
            </w:r>
          </w:p>
        </w:tc>
        <w:tc>
          <w:tcPr>
            <w:tcW w:w="1150" w:type="dxa"/>
          </w:tcPr>
          <w:p>
            <w:pPr>
              <w:pStyle w:val="TableParagraph"/>
              <w:spacing w:line="206" w:lineRule="exact"/>
              <w:ind w:left="189" w:right="190"/>
              <w:rPr>
                <w:sz w:val="18"/>
              </w:rPr>
            </w:pPr>
            <w:r>
              <w:rPr>
                <w:sz w:val="18"/>
              </w:rPr>
              <w:t>32.85%</w:t>
            </w:r>
          </w:p>
        </w:tc>
        <w:tc>
          <w:tcPr>
            <w:tcW w:w="1203" w:type="dxa"/>
          </w:tcPr>
          <w:p>
            <w:pPr>
              <w:pStyle w:val="TableParagraph"/>
              <w:spacing w:line="201" w:lineRule="exact"/>
              <w:ind w:left="271" w:right="271"/>
              <w:rPr>
                <w:b/>
                <w:sz w:val="18"/>
              </w:rPr>
            </w:pPr>
            <w:r>
              <w:rPr>
                <w:b/>
                <w:sz w:val="18"/>
              </w:rPr>
              <w:t>49.22%</w:t>
            </w:r>
          </w:p>
        </w:tc>
      </w:tr>
    </w:tbl>
    <w:p>
      <w:pPr>
        <w:spacing w:before="8"/>
        <w:ind w:left="643" w:right="6" w:firstLine="0"/>
        <w:jc w:val="left"/>
        <w:rPr>
          <w:sz w:val="16"/>
        </w:rPr>
      </w:pPr>
      <w:r>
        <w:rPr>
          <w:sz w:val="16"/>
        </w:rPr>
        <w:t>Fuente: Elaboración propia con datos del INFOEM y del INAFED.</w:t>
      </w:r>
    </w:p>
    <w:p>
      <w:pPr>
        <w:pStyle w:val="BodyText"/>
        <w:rPr>
          <w:sz w:val="20"/>
        </w:rPr>
      </w:pPr>
    </w:p>
    <w:p>
      <w:pPr>
        <w:pStyle w:val="BodyText"/>
        <w:rPr>
          <w:sz w:val="20"/>
        </w:rPr>
      </w:pPr>
    </w:p>
    <w:p>
      <w:pPr>
        <w:pStyle w:val="BodyText"/>
        <w:spacing w:before="1"/>
        <w:rPr>
          <w:sz w:val="19"/>
        </w:rPr>
      </w:pPr>
    </w:p>
    <w:p>
      <w:pPr>
        <w:pStyle w:val="BodyText"/>
        <w:spacing w:line="360" w:lineRule="auto"/>
        <w:ind w:left="108" w:right="118"/>
        <w:jc w:val="both"/>
      </w:pPr>
      <w:r>
        <w:rPr/>
        <w:t>La tabla 3.25 muestra un ligero porcentaje de las mujeres sobre los hombres en relación al cumplimiento de la ley de transparencia ya que en el año 2012 las presidentas municipales reflejaron un 37.72% y los presidentes 24.91%, en el año 2013 se repitió el mismo escenario dando 94.55% para las mujeres y 72.03% </w:t>
      </w:r>
      <w:r>
        <w:rPr>
          <w:spacing w:val="59"/>
        </w:rPr>
        <w:t> </w:t>
      </w:r>
      <w:r>
        <w:rPr/>
        <w:t>para</w:t>
      </w:r>
    </w:p>
    <w:p>
      <w:pPr>
        <w:spacing w:after="0" w:line="360" w:lineRule="auto"/>
        <w:jc w:val="both"/>
        <w:sectPr>
          <w:pgSz w:w="12240" w:h="15840"/>
          <w:pgMar w:header="0" w:footer="975" w:top="1420" w:bottom="1220" w:left="1500" w:right="1580"/>
        </w:sectPr>
      </w:pPr>
    </w:p>
    <w:p>
      <w:pPr>
        <w:pStyle w:val="BodyText"/>
        <w:spacing w:line="360" w:lineRule="auto" w:before="54"/>
        <w:ind w:left="108" w:right="115"/>
        <w:jc w:val="both"/>
      </w:pPr>
      <w:r>
        <w:rPr/>
        <w:t>los hombres. En el año 2014 se reflejó un sentido inverso, en el que los hombres resultaron favorecidos al obtener 67.08% y las mujeres 42.53%. Finalmente, para el año 2015 las mujeres obtuvieron un promedio de 52.82% y los hombres de</w:t>
      </w:r>
      <w:r>
        <w:rPr>
          <w:spacing w:val="-35"/>
        </w:rPr>
        <w:t> </w:t>
      </w:r>
      <w:r>
        <w:rPr/>
        <w:t>49.22%.</w:t>
      </w:r>
    </w:p>
    <w:p>
      <w:pPr>
        <w:pStyle w:val="BodyText"/>
      </w:pPr>
    </w:p>
    <w:p>
      <w:pPr>
        <w:pStyle w:val="BodyText"/>
      </w:pPr>
    </w:p>
    <w:p>
      <w:pPr>
        <w:pStyle w:val="Heading1"/>
        <w:numPr>
          <w:ilvl w:val="0"/>
          <w:numId w:val="54"/>
        </w:numPr>
        <w:tabs>
          <w:tab w:pos="536" w:val="left" w:leader="none"/>
        </w:tabs>
        <w:spacing w:line="240" w:lineRule="auto" w:before="187" w:after="0"/>
        <w:ind w:left="535" w:right="0" w:hanging="360"/>
        <w:jc w:val="both"/>
      </w:pPr>
      <w:r>
        <w:rPr/>
        <w:t>Número de alternancias de gobiernos municipales durante 2003 a</w:t>
      </w:r>
      <w:r>
        <w:rPr>
          <w:spacing w:val="-20"/>
        </w:rPr>
        <w:t> </w:t>
      </w:r>
      <w:r>
        <w:rPr/>
        <w:t>2015.</w:t>
      </w:r>
    </w:p>
    <w:p>
      <w:pPr>
        <w:pStyle w:val="BodyText"/>
        <w:rPr>
          <w:b/>
          <w:sz w:val="20"/>
        </w:rPr>
      </w:pPr>
    </w:p>
    <w:p>
      <w:pPr>
        <w:pStyle w:val="BodyText"/>
        <w:rPr>
          <w:b/>
          <w:sz w:val="20"/>
        </w:rPr>
      </w:pPr>
    </w:p>
    <w:p>
      <w:pPr>
        <w:pStyle w:val="BodyText"/>
        <w:spacing w:before="10" w:after="1"/>
        <w:rPr>
          <w:b/>
          <w:sz w:val="21"/>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8"/>
        <w:gridCol w:w="1923"/>
        <w:gridCol w:w="2110"/>
        <w:gridCol w:w="1335"/>
        <w:gridCol w:w="1332"/>
        <w:gridCol w:w="1335"/>
      </w:tblGrid>
      <w:tr>
        <w:trPr>
          <w:trHeight w:val="322" w:hRule="exact"/>
        </w:trPr>
        <w:tc>
          <w:tcPr>
            <w:tcW w:w="8922" w:type="dxa"/>
            <w:gridSpan w:val="6"/>
            <w:shd w:val="clear" w:color="auto" w:fill="92D050"/>
          </w:tcPr>
          <w:p>
            <w:pPr>
              <w:pStyle w:val="TableParagraph"/>
              <w:spacing w:line="201" w:lineRule="exact"/>
              <w:ind w:left="170" w:right="56"/>
              <w:jc w:val="left"/>
              <w:rPr>
                <w:b/>
                <w:sz w:val="18"/>
              </w:rPr>
            </w:pPr>
            <w:r>
              <w:rPr>
                <w:b/>
                <w:sz w:val="18"/>
              </w:rPr>
              <w:t>Tabla 3.25 Número de alternancias que ha tenido el gobierno municipal durante el periodo 2003-2012</w:t>
            </w:r>
          </w:p>
        </w:tc>
      </w:tr>
      <w:tr>
        <w:trPr>
          <w:trHeight w:val="632" w:hRule="exact"/>
        </w:trPr>
        <w:tc>
          <w:tcPr>
            <w:tcW w:w="2811" w:type="dxa"/>
            <w:gridSpan w:val="2"/>
            <w:shd w:val="clear" w:color="auto" w:fill="92D050"/>
          </w:tcPr>
          <w:p>
            <w:pPr>
              <w:pStyle w:val="TableParagraph"/>
              <w:spacing w:line="206" w:lineRule="exact"/>
              <w:ind w:left="443"/>
              <w:jc w:val="left"/>
              <w:rPr>
                <w:sz w:val="18"/>
              </w:rPr>
            </w:pPr>
            <w:r>
              <w:rPr>
                <w:sz w:val="18"/>
              </w:rPr>
              <w:t>Número de alternancias</w:t>
            </w:r>
          </w:p>
        </w:tc>
        <w:tc>
          <w:tcPr>
            <w:tcW w:w="2110" w:type="dxa"/>
            <w:shd w:val="clear" w:color="auto" w:fill="92D050"/>
          </w:tcPr>
          <w:p>
            <w:pPr>
              <w:pStyle w:val="TableParagraph"/>
              <w:spacing w:line="206" w:lineRule="exact"/>
              <w:ind w:left="584" w:right="584"/>
              <w:rPr>
                <w:sz w:val="18"/>
              </w:rPr>
            </w:pPr>
            <w:r>
              <w:rPr>
                <w:sz w:val="18"/>
              </w:rPr>
              <w:t>Frecuencia</w:t>
            </w:r>
          </w:p>
        </w:tc>
        <w:tc>
          <w:tcPr>
            <w:tcW w:w="1335" w:type="dxa"/>
            <w:shd w:val="clear" w:color="auto" w:fill="92D050"/>
          </w:tcPr>
          <w:p>
            <w:pPr>
              <w:pStyle w:val="TableParagraph"/>
              <w:spacing w:line="206" w:lineRule="exact"/>
              <w:ind w:left="211" w:right="212"/>
              <w:rPr>
                <w:sz w:val="18"/>
              </w:rPr>
            </w:pPr>
            <w:r>
              <w:rPr>
                <w:sz w:val="18"/>
              </w:rPr>
              <w:t>Porcentaje</w:t>
            </w:r>
          </w:p>
        </w:tc>
        <w:tc>
          <w:tcPr>
            <w:tcW w:w="1332" w:type="dxa"/>
            <w:shd w:val="clear" w:color="auto" w:fill="92D050"/>
          </w:tcPr>
          <w:p>
            <w:pPr>
              <w:pStyle w:val="TableParagraph"/>
              <w:spacing w:line="360" w:lineRule="auto"/>
              <w:ind w:left="424" w:right="214" w:hanging="197"/>
              <w:jc w:val="left"/>
              <w:rPr>
                <w:sz w:val="18"/>
              </w:rPr>
            </w:pPr>
            <w:r>
              <w:rPr>
                <w:sz w:val="18"/>
              </w:rPr>
              <w:t>Porcentaje válido</w:t>
            </w:r>
          </w:p>
        </w:tc>
        <w:tc>
          <w:tcPr>
            <w:tcW w:w="1335" w:type="dxa"/>
            <w:shd w:val="clear" w:color="auto" w:fill="92D050"/>
          </w:tcPr>
          <w:p>
            <w:pPr>
              <w:pStyle w:val="TableParagraph"/>
              <w:spacing w:line="360" w:lineRule="auto"/>
              <w:ind w:left="221" w:right="203" w:firstLine="9"/>
              <w:jc w:val="left"/>
              <w:rPr>
                <w:sz w:val="18"/>
              </w:rPr>
            </w:pPr>
            <w:r>
              <w:rPr>
                <w:sz w:val="18"/>
              </w:rPr>
              <w:t>Porcentaje acumulado</w:t>
            </w:r>
          </w:p>
        </w:tc>
      </w:tr>
      <w:tr>
        <w:trPr>
          <w:trHeight w:val="329" w:hRule="exact"/>
        </w:trPr>
        <w:tc>
          <w:tcPr>
            <w:tcW w:w="888" w:type="dxa"/>
            <w:vMerge w:val="restart"/>
          </w:tcPr>
          <w:p>
            <w:pPr>
              <w:pStyle w:val="TableParagraph"/>
              <w:spacing w:line="206" w:lineRule="exact"/>
              <w:ind w:left="103"/>
              <w:jc w:val="left"/>
              <w:rPr>
                <w:sz w:val="18"/>
              </w:rPr>
            </w:pPr>
            <w:r>
              <w:rPr>
                <w:sz w:val="18"/>
              </w:rPr>
              <w:t>Válidos</w:t>
            </w:r>
          </w:p>
        </w:tc>
        <w:tc>
          <w:tcPr>
            <w:tcW w:w="1923" w:type="dxa"/>
          </w:tcPr>
          <w:p>
            <w:pPr>
              <w:pStyle w:val="TableParagraph"/>
              <w:spacing w:line="206" w:lineRule="exact"/>
              <w:ind w:left="103"/>
              <w:jc w:val="left"/>
              <w:rPr>
                <w:sz w:val="18"/>
              </w:rPr>
            </w:pPr>
            <w:r>
              <w:rPr>
                <w:sz w:val="18"/>
              </w:rPr>
              <w:t>Cero alternancias</w:t>
            </w:r>
          </w:p>
        </w:tc>
        <w:tc>
          <w:tcPr>
            <w:tcW w:w="2110" w:type="dxa"/>
          </w:tcPr>
          <w:p>
            <w:pPr>
              <w:pStyle w:val="TableParagraph"/>
              <w:spacing w:line="206" w:lineRule="exact"/>
              <w:ind w:left="584" w:right="582"/>
              <w:rPr>
                <w:sz w:val="18"/>
              </w:rPr>
            </w:pPr>
            <w:r>
              <w:rPr>
                <w:sz w:val="18"/>
              </w:rPr>
              <w:t>27</w:t>
            </w:r>
          </w:p>
        </w:tc>
        <w:tc>
          <w:tcPr>
            <w:tcW w:w="1335" w:type="dxa"/>
          </w:tcPr>
          <w:p>
            <w:pPr>
              <w:pStyle w:val="TableParagraph"/>
              <w:spacing w:line="206" w:lineRule="exact"/>
              <w:ind w:left="211" w:right="210"/>
              <w:rPr>
                <w:sz w:val="18"/>
              </w:rPr>
            </w:pPr>
            <w:r>
              <w:rPr>
                <w:sz w:val="18"/>
              </w:rPr>
              <w:t>21.6</w:t>
            </w:r>
          </w:p>
        </w:tc>
        <w:tc>
          <w:tcPr>
            <w:tcW w:w="1332" w:type="dxa"/>
          </w:tcPr>
          <w:p>
            <w:pPr>
              <w:pStyle w:val="TableParagraph"/>
              <w:spacing w:line="206" w:lineRule="exact"/>
              <w:ind w:left="415" w:right="416"/>
              <w:rPr>
                <w:sz w:val="18"/>
              </w:rPr>
            </w:pPr>
            <w:r>
              <w:rPr>
                <w:sz w:val="18"/>
              </w:rPr>
              <w:t>21.6</w:t>
            </w:r>
          </w:p>
        </w:tc>
        <w:tc>
          <w:tcPr>
            <w:tcW w:w="1335" w:type="dxa"/>
          </w:tcPr>
          <w:p>
            <w:pPr>
              <w:pStyle w:val="TableParagraph"/>
              <w:spacing w:line="206" w:lineRule="exact"/>
              <w:ind w:left="418" w:right="417"/>
              <w:rPr>
                <w:sz w:val="18"/>
              </w:rPr>
            </w:pPr>
            <w:r>
              <w:rPr>
                <w:sz w:val="18"/>
              </w:rPr>
              <w:t>21.6</w:t>
            </w:r>
          </w:p>
        </w:tc>
      </w:tr>
      <w:tr>
        <w:trPr>
          <w:trHeight w:val="329" w:hRule="exact"/>
        </w:trPr>
        <w:tc>
          <w:tcPr>
            <w:tcW w:w="888" w:type="dxa"/>
            <w:vMerge/>
          </w:tcPr>
          <w:p>
            <w:pPr/>
          </w:p>
        </w:tc>
        <w:tc>
          <w:tcPr>
            <w:tcW w:w="1923" w:type="dxa"/>
          </w:tcPr>
          <w:p>
            <w:pPr>
              <w:pStyle w:val="TableParagraph"/>
              <w:spacing w:line="206" w:lineRule="exact"/>
              <w:ind w:left="103"/>
              <w:jc w:val="left"/>
              <w:rPr>
                <w:sz w:val="18"/>
              </w:rPr>
            </w:pPr>
            <w:r>
              <w:rPr>
                <w:sz w:val="18"/>
              </w:rPr>
              <w:t>Una alternancia</w:t>
            </w:r>
          </w:p>
        </w:tc>
        <w:tc>
          <w:tcPr>
            <w:tcW w:w="2110" w:type="dxa"/>
          </w:tcPr>
          <w:p>
            <w:pPr>
              <w:pStyle w:val="TableParagraph"/>
              <w:spacing w:line="206" w:lineRule="exact"/>
              <w:ind w:left="584" w:right="582"/>
              <w:rPr>
                <w:sz w:val="18"/>
              </w:rPr>
            </w:pPr>
            <w:r>
              <w:rPr>
                <w:sz w:val="18"/>
              </w:rPr>
              <w:t>69</w:t>
            </w:r>
          </w:p>
        </w:tc>
        <w:tc>
          <w:tcPr>
            <w:tcW w:w="1335" w:type="dxa"/>
          </w:tcPr>
          <w:p>
            <w:pPr>
              <w:pStyle w:val="TableParagraph"/>
              <w:spacing w:line="206" w:lineRule="exact"/>
              <w:ind w:left="211" w:right="210"/>
              <w:rPr>
                <w:sz w:val="18"/>
              </w:rPr>
            </w:pPr>
            <w:r>
              <w:rPr>
                <w:sz w:val="18"/>
              </w:rPr>
              <w:t>55.2</w:t>
            </w:r>
          </w:p>
        </w:tc>
        <w:tc>
          <w:tcPr>
            <w:tcW w:w="1332" w:type="dxa"/>
          </w:tcPr>
          <w:p>
            <w:pPr>
              <w:pStyle w:val="TableParagraph"/>
              <w:spacing w:line="206" w:lineRule="exact"/>
              <w:ind w:left="415" w:right="416"/>
              <w:rPr>
                <w:sz w:val="18"/>
              </w:rPr>
            </w:pPr>
            <w:r>
              <w:rPr>
                <w:sz w:val="18"/>
              </w:rPr>
              <w:t>55.2</w:t>
            </w:r>
          </w:p>
        </w:tc>
        <w:tc>
          <w:tcPr>
            <w:tcW w:w="1335" w:type="dxa"/>
          </w:tcPr>
          <w:p>
            <w:pPr>
              <w:pStyle w:val="TableParagraph"/>
              <w:spacing w:line="206" w:lineRule="exact"/>
              <w:ind w:left="418" w:right="417"/>
              <w:rPr>
                <w:sz w:val="18"/>
              </w:rPr>
            </w:pPr>
            <w:r>
              <w:rPr>
                <w:sz w:val="18"/>
              </w:rPr>
              <w:t>76.8</w:t>
            </w:r>
          </w:p>
        </w:tc>
      </w:tr>
      <w:tr>
        <w:trPr>
          <w:trHeight w:val="329" w:hRule="exact"/>
        </w:trPr>
        <w:tc>
          <w:tcPr>
            <w:tcW w:w="888" w:type="dxa"/>
            <w:vMerge/>
          </w:tcPr>
          <w:p>
            <w:pPr/>
          </w:p>
        </w:tc>
        <w:tc>
          <w:tcPr>
            <w:tcW w:w="1923" w:type="dxa"/>
          </w:tcPr>
          <w:p>
            <w:pPr>
              <w:pStyle w:val="TableParagraph"/>
              <w:spacing w:line="206" w:lineRule="exact"/>
              <w:ind w:left="103"/>
              <w:jc w:val="left"/>
              <w:rPr>
                <w:sz w:val="18"/>
              </w:rPr>
            </w:pPr>
            <w:r>
              <w:rPr>
                <w:sz w:val="18"/>
              </w:rPr>
              <w:t>Dos alternancias</w:t>
            </w:r>
          </w:p>
        </w:tc>
        <w:tc>
          <w:tcPr>
            <w:tcW w:w="2110" w:type="dxa"/>
          </w:tcPr>
          <w:p>
            <w:pPr>
              <w:pStyle w:val="TableParagraph"/>
              <w:spacing w:line="206" w:lineRule="exact"/>
              <w:ind w:left="584" w:right="582"/>
              <w:rPr>
                <w:sz w:val="18"/>
              </w:rPr>
            </w:pPr>
            <w:r>
              <w:rPr>
                <w:sz w:val="18"/>
              </w:rPr>
              <w:t>29</w:t>
            </w:r>
          </w:p>
        </w:tc>
        <w:tc>
          <w:tcPr>
            <w:tcW w:w="1335" w:type="dxa"/>
          </w:tcPr>
          <w:p>
            <w:pPr>
              <w:pStyle w:val="TableParagraph"/>
              <w:spacing w:line="206" w:lineRule="exact"/>
              <w:ind w:left="211" w:right="210"/>
              <w:rPr>
                <w:sz w:val="18"/>
              </w:rPr>
            </w:pPr>
            <w:r>
              <w:rPr>
                <w:sz w:val="18"/>
              </w:rPr>
              <w:t>23.2</w:t>
            </w:r>
          </w:p>
        </w:tc>
        <w:tc>
          <w:tcPr>
            <w:tcW w:w="1332" w:type="dxa"/>
          </w:tcPr>
          <w:p>
            <w:pPr>
              <w:pStyle w:val="TableParagraph"/>
              <w:spacing w:line="206" w:lineRule="exact"/>
              <w:ind w:left="415" w:right="416"/>
              <w:rPr>
                <w:sz w:val="18"/>
              </w:rPr>
            </w:pPr>
            <w:r>
              <w:rPr>
                <w:sz w:val="18"/>
              </w:rPr>
              <w:t>23.2</w:t>
            </w:r>
          </w:p>
        </w:tc>
        <w:tc>
          <w:tcPr>
            <w:tcW w:w="1335" w:type="dxa"/>
          </w:tcPr>
          <w:p>
            <w:pPr>
              <w:pStyle w:val="TableParagraph"/>
              <w:spacing w:line="206" w:lineRule="exact"/>
              <w:ind w:left="418" w:right="417"/>
              <w:rPr>
                <w:sz w:val="18"/>
              </w:rPr>
            </w:pPr>
            <w:r>
              <w:rPr>
                <w:sz w:val="18"/>
              </w:rPr>
              <w:t>100.0</w:t>
            </w:r>
          </w:p>
        </w:tc>
      </w:tr>
      <w:tr>
        <w:trPr>
          <w:trHeight w:val="329" w:hRule="exact"/>
        </w:trPr>
        <w:tc>
          <w:tcPr>
            <w:tcW w:w="888" w:type="dxa"/>
            <w:vMerge/>
          </w:tcPr>
          <w:p>
            <w:pPr/>
          </w:p>
        </w:tc>
        <w:tc>
          <w:tcPr>
            <w:tcW w:w="1923" w:type="dxa"/>
          </w:tcPr>
          <w:p>
            <w:pPr>
              <w:pStyle w:val="TableParagraph"/>
              <w:spacing w:line="206" w:lineRule="exact"/>
              <w:ind w:left="103"/>
              <w:jc w:val="left"/>
              <w:rPr>
                <w:sz w:val="18"/>
              </w:rPr>
            </w:pPr>
            <w:r>
              <w:rPr>
                <w:sz w:val="18"/>
              </w:rPr>
              <w:t>Total</w:t>
            </w:r>
          </w:p>
        </w:tc>
        <w:tc>
          <w:tcPr>
            <w:tcW w:w="2110" w:type="dxa"/>
          </w:tcPr>
          <w:p>
            <w:pPr>
              <w:pStyle w:val="TableParagraph"/>
              <w:spacing w:line="206" w:lineRule="exact"/>
              <w:ind w:left="584" w:right="582"/>
              <w:rPr>
                <w:sz w:val="18"/>
              </w:rPr>
            </w:pPr>
            <w:r>
              <w:rPr>
                <w:sz w:val="18"/>
              </w:rPr>
              <w:t>125</w:t>
            </w:r>
          </w:p>
        </w:tc>
        <w:tc>
          <w:tcPr>
            <w:tcW w:w="1335" w:type="dxa"/>
          </w:tcPr>
          <w:p>
            <w:pPr>
              <w:pStyle w:val="TableParagraph"/>
              <w:spacing w:line="206" w:lineRule="exact"/>
              <w:ind w:left="211" w:right="210"/>
              <w:rPr>
                <w:sz w:val="18"/>
              </w:rPr>
            </w:pPr>
            <w:r>
              <w:rPr>
                <w:sz w:val="18"/>
              </w:rPr>
              <w:t>100.0</w:t>
            </w:r>
          </w:p>
        </w:tc>
        <w:tc>
          <w:tcPr>
            <w:tcW w:w="1332" w:type="dxa"/>
          </w:tcPr>
          <w:p>
            <w:pPr>
              <w:pStyle w:val="TableParagraph"/>
              <w:spacing w:line="206" w:lineRule="exact"/>
              <w:ind w:left="415" w:right="416"/>
              <w:rPr>
                <w:sz w:val="18"/>
              </w:rPr>
            </w:pPr>
            <w:r>
              <w:rPr>
                <w:sz w:val="18"/>
              </w:rPr>
              <w:t>100.0</w:t>
            </w:r>
          </w:p>
        </w:tc>
        <w:tc>
          <w:tcPr>
            <w:tcW w:w="1335" w:type="dxa"/>
          </w:tcPr>
          <w:p>
            <w:pPr/>
          </w:p>
        </w:tc>
      </w:tr>
    </w:tbl>
    <w:p>
      <w:pPr>
        <w:spacing w:line="180" w:lineRule="exact" w:before="0"/>
        <w:ind w:left="221" w:right="6" w:firstLine="0"/>
        <w:jc w:val="left"/>
        <w:rPr>
          <w:sz w:val="16"/>
        </w:rPr>
      </w:pPr>
      <w:r>
        <w:rPr>
          <w:sz w:val="16"/>
        </w:rPr>
        <w:t>Fuente: Elaboración propia con datos del IEEM. </w:t>
      </w:r>
      <w:hyperlink r:id="rId107">
        <w:r>
          <w:rPr>
            <w:color w:val="0462C1"/>
            <w:sz w:val="16"/>
            <w:u w:val="single" w:color="0462C1"/>
          </w:rPr>
          <w:t>http://www.ieem.org.mx/numeralia/result_elect.htm</w:t>
        </w:r>
        <w:r>
          <w:rPr>
            <w:color w:val="0462C1"/>
            <w:sz w:val="16"/>
          </w:rPr>
          <w:t>l</w:t>
        </w:r>
      </w:hyperlink>
      <w:r>
        <w:rPr>
          <w:color w:val="0462C1"/>
          <w:sz w:val="16"/>
        </w:rPr>
        <w:t> </w:t>
      </w:r>
      <w:r>
        <w:rPr>
          <w:sz w:val="16"/>
        </w:rPr>
        <w:t>[04-12-2013]</w:t>
      </w:r>
    </w:p>
    <w:p>
      <w:pPr>
        <w:pStyle w:val="BodyText"/>
        <w:rPr>
          <w:sz w:val="20"/>
        </w:rPr>
      </w:pPr>
    </w:p>
    <w:p>
      <w:pPr>
        <w:pStyle w:val="BodyText"/>
        <w:rPr>
          <w:sz w:val="20"/>
        </w:rPr>
      </w:pPr>
    </w:p>
    <w:p>
      <w:pPr>
        <w:pStyle w:val="BodyText"/>
        <w:spacing w:before="1"/>
        <w:rPr>
          <w:sz w:val="18"/>
        </w:rPr>
      </w:pPr>
      <w:r>
        <w:rPr/>
        <w:pict>
          <v:group style="position:absolute;margin-left:115.169998pt;margin-top:12.366641pt;width:375.5pt;height:224.75pt;mso-position-horizontal-relative:page;mso-position-vertical-relative:paragraph;z-index:6880;mso-wrap-distance-left:0;mso-wrap-distance-right:0" coordorigin="2303,247" coordsize="7510,4495">
            <v:shape style="position:absolute;left:2308;top:252;width:7500;height:4485" type="#_x0000_t75" stroked="false">
              <v:imagedata r:id="rId119" o:title=""/>
            </v:shape>
            <v:rect style="position:absolute;left:2827;top:1143;width:5214;height:3094" filled="true" fillcolor="#ffffff" stroked="false">
              <v:fill type="solid"/>
            </v:rect>
            <v:line style="position:absolute" from="7606,3849" to="8041,3849" stroked="true" strokeweight=".5pt" strokecolor="#888888"/>
            <v:line style="position:absolute" from="5868,3849" to="6737,3849" stroked="true" strokeweight=".5pt" strokecolor="#888888"/>
            <v:line style="position:absolute" from="4130,3849" to="4999,3849" stroked="true" strokeweight=".5pt" strokecolor="#888888"/>
            <v:line style="position:absolute" from="2827,3849" to="3261,3849" stroked="true" strokeweight=".5pt" strokecolor="#888888"/>
            <v:line style="position:absolute" from="7606,3463" to="8041,3463" stroked="true" strokeweight=".5pt" strokecolor="#888888"/>
            <v:line style="position:absolute" from="5868,3463" to="6737,3463" stroked="true" strokeweight=".5pt" strokecolor="#888888"/>
            <v:line style="position:absolute" from="4130,3463" to="4999,3463" stroked="true" strokeweight=".5pt" strokecolor="#888888"/>
            <v:line style="position:absolute" from="2827,3463" to="3261,3463" stroked="true" strokeweight=".5pt" strokecolor="#888888"/>
            <v:line style="position:absolute" from="5868,3076" to="8041,3076" stroked="true" strokeweight=".5pt" strokecolor="#888888"/>
            <v:line style="position:absolute" from="2827,3076" to="4999,3076" stroked="true" strokeweight=".5pt" strokecolor="#888888"/>
            <v:line style="position:absolute" from="5868,2690" to="8041,2690" stroked="true" strokeweight=".5pt" strokecolor="#888888"/>
            <v:line style="position:absolute" from="2827,2690" to="4999,2690" stroked="true" strokeweight=".5pt" strokecolor="#888888"/>
            <v:line style="position:absolute" from="5868,2304" to="8041,2304" stroked="true" strokeweight=".5pt" strokecolor="#888888"/>
            <v:line style="position:absolute" from="2827,2304" to="4999,2304" stroked="true" strokeweight=".5pt" strokecolor="#888888"/>
            <v:line style="position:absolute" from="5868,1917" to="8041,1917" stroked="true" strokeweight=".5pt" strokecolor="#888888"/>
            <v:line style="position:absolute" from="2827,1917" to="4999,1917" stroked="true" strokeweight=".5pt" strokecolor="#888888"/>
            <v:line style="position:absolute" from="2827,1528" to="8041,1528" stroked="true" strokeweight=".5pt" strokecolor="#888888"/>
            <v:line style="position:absolute" from="2827,1143" to="8041,1143" stroked="true" strokeweight=".5pt" strokecolor="#888888"/>
            <v:rect style="position:absolute;left:4999;top:1568;width:869;height:2668" filled="true" fillcolor="#ffff00" stroked="false">
              <v:fill type="solid"/>
            </v:rect>
            <v:rect style="position:absolute;left:6737;top:3115;width:869;height:1121" filled="true" fillcolor="#00af50" stroked="false">
              <v:fill type="solid"/>
            </v:rect>
            <v:line style="position:absolute" from="2827,4236" to="2827,1143" stroked="true" strokeweight=".5pt" strokecolor="#888888"/>
            <v:line style="position:absolute" from="2763,4236" to="2827,4236" stroked="true" strokeweight=".5pt" strokecolor="#888888"/>
            <v:line style="position:absolute" from="2763,3849" to="2827,3849" stroked="true" strokeweight=".5pt" strokecolor="#888888"/>
            <v:line style="position:absolute" from="2763,3463" to="2827,3463" stroked="true" strokeweight=".5pt" strokecolor="#888888"/>
            <v:line style="position:absolute" from="2763,3076" to="2827,3076" stroked="true" strokeweight=".5pt" strokecolor="#888888"/>
            <v:line style="position:absolute" from="2763,2690" to="2827,2690" stroked="true" strokeweight=".5pt" strokecolor="#888888"/>
            <v:line style="position:absolute" from="2763,2304" to="2827,2304" stroked="true" strokeweight=".5pt" strokecolor="#888888"/>
            <v:line style="position:absolute" from="2763,1917" to="2827,1917" stroked="true" strokeweight=".5pt" strokecolor="#888888"/>
            <v:line style="position:absolute" from="2763,1528" to="2827,1528" stroked="true" strokeweight=".5pt" strokecolor="#888888"/>
            <v:line style="position:absolute" from="2763,1143" to="2827,1143" stroked="true" strokeweight=".5pt" strokecolor="#888888"/>
            <v:line style="position:absolute" from="2827,4236" to="8041,4236" stroked="true" strokeweight=".5pt" strokecolor="#888888"/>
            <v:line style="position:absolute" from="2827,4236" to="2827,4300" stroked="true" strokeweight=".5pt" strokecolor="#888888"/>
            <v:line style="position:absolute" from="4565,4236" to="4565,4300" stroked="true" strokeweight=".5pt" strokecolor="#888888"/>
            <v:line style="position:absolute" from="6302,4236" to="6302,4300" stroked="true" strokeweight=".5pt" strokecolor="#888888"/>
            <v:line style="position:absolute" from="8041,4236" to="8041,4300" stroked="true" strokeweight=".5pt" strokecolor="#888888"/>
            <v:line style="position:absolute" from="8350,2516" to="8437,2516" stroked="true" strokeweight="4.3943pt" strokecolor="#ff0000"/>
            <v:line style="position:absolute" from="8350,2829" to="8437,2829" stroked="true" strokeweight="4.3943pt" strokecolor="#ffff00"/>
            <v:line style="position:absolute" from="8350,3142" to="8437,3142" stroked="true" strokeweight="4.3942pt" strokecolor="#00af50"/>
            <v:shape style="position:absolute;left:2308;top:252;width:7500;height:4485" coordorigin="2308,252" coordsize="7500,4485" path="m2308,452l2324,375,2367,311,2431,268,2508,252,9609,252,9686,268,9750,311,9793,375,9808,452,9808,4537,9793,4615,9750,4679,9686,4722,9609,4737,2508,4737,2431,4722,2367,4679,2324,4615,2308,4537,2308,452xe" filled="false" stroked="true" strokeweight=".5pt" strokecolor="#888888">
              <v:path arrowok="t"/>
            </v:shape>
            <v:shape style="position:absolute;left:3193;top:443;width:5725;height:444" type="#_x0000_t202" filled="false" stroked="false">
              <v:textbox inset="0,0,0,0">
                <w:txbxContent>
                  <w:p>
                    <w:pPr>
                      <w:spacing w:line="203" w:lineRule="exact" w:before="0"/>
                      <w:ind w:left="0" w:right="0" w:firstLine="0"/>
                      <w:jc w:val="center"/>
                      <w:rPr>
                        <w:rFonts w:ascii="Calibri" w:hAnsi="Calibri"/>
                        <w:b/>
                        <w:sz w:val="20"/>
                      </w:rPr>
                    </w:pPr>
                    <w:r>
                      <w:rPr>
                        <w:rFonts w:ascii="Calibri" w:hAnsi="Calibri"/>
                        <w:b/>
                        <w:sz w:val="20"/>
                      </w:rPr>
                      <w:t>Gráfica 3.11. Número de alternancias de los municipios del Estado</w:t>
                    </w:r>
                    <w:r>
                      <w:rPr>
                        <w:rFonts w:ascii="Calibri" w:hAnsi="Calibri"/>
                        <w:b/>
                        <w:spacing w:val="-31"/>
                        <w:sz w:val="20"/>
                      </w:rPr>
                      <w:t> </w:t>
                    </w:r>
                    <w:r>
                      <w:rPr>
                        <w:rFonts w:ascii="Calibri" w:hAnsi="Calibri"/>
                        <w:b/>
                        <w:sz w:val="20"/>
                      </w:rPr>
                      <w:t>de</w:t>
                    </w:r>
                  </w:p>
                  <w:p>
                    <w:pPr>
                      <w:spacing w:line="240" w:lineRule="exact" w:before="0"/>
                      <w:ind w:left="5" w:right="0" w:firstLine="0"/>
                      <w:jc w:val="center"/>
                      <w:rPr>
                        <w:rFonts w:ascii="Calibri" w:hAnsi="Calibri"/>
                        <w:b/>
                        <w:sz w:val="20"/>
                      </w:rPr>
                    </w:pPr>
                    <w:r>
                      <w:rPr>
                        <w:rFonts w:ascii="Calibri" w:hAnsi="Calibri"/>
                        <w:b/>
                        <w:sz w:val="20"/>
                      </w:rPr>
                      <w:t>México 2003-2013</w:t>
                    </w:r>
                  </w:p>
                </w:txbxContent>
              </v:textbox>
              <w10:wrap type="none"/>
            </v:shape>
            <v:shape style="position:absolute;left:2439;top:1051;width:203;height:3294" type="#_x0000_t202" filled="false" stroked="false">
              <v:textbox inset="0,0,0,0">
                <w:txbxContent>
                  <w:p>
                    <w:pPr>
                      <w:spacing w:line="203" w:lineRule="exact" w:before="0"/>
                      <w:ind w:left="0" w:right="0" w:firstLine="0"/>
                      <w:jc w:val="center"/>
                      <w:rPr>
                        <w:rFonts w:ascii="Calibri"/>
                        <w:sz w:val="20"/>
                      </w:rPr>
                    </w:pPr>
                    <w:r>
                      <w:rPr>
                        <w:rFonts w:ascii="Calibri"/>
                        <w:sz w:val="20"/>
                      </w:rPr>
                      <w:t>80</w:t>
                    </w:r>
                  </w:p>
                  <w:p>
                    <w:pPr>
                      <w:spacing w:before="142"/>
                      <w:ind w:left="0" w:right="0" w:firstLine="0"/>
                      <w:jc w:val="center"/>
                      <w:rPr>
                        <w:rFonts w:ascii="Calibri"/>
                        <w:sz w:val="20"/>
                      </w:rPr>
                    </w:pPr>
                    <w:r>
                      <w:rPr>
                        <w:rFonts w:ascii="Calibri"/>
                        <w:sz w:val="20"/>
                      </w:rPr>
                      <w:t>70</w:t>
                    </w:r>
                  </w:p>
                  <w:p>
                    <w:pPr>
                      <w:spacing w:before="142"/>
                      <w:ind w:left="0" w:right="0" w:firstLine="0"/>
                      <w:jc w:val="center"/>
                      <w:rPr>
                        <w:rFonts w:ascii="Calibri"/>
                        <w:sz w:val="20"/>
                      </w:rPr>
                    </w:pPr>
                    <w:r>
                      <w:rPr>
                        <w:rFonts w:ascii="Calibri"/>
                        <w:sz w:val="20"/>
                      </w:rPr>
                      <w:t>60</w:t>
                    </w:r>
                  </w:p>
                  <w:p>
                    <w:pPr>
                      <w:spacing w:before="143"/>
                      <w:ind w:left="0" w:right="0" w:firstLine="0"/>
                      <w:jc w:val="center"/>
                      <w:rPr>
                        <w:rFonts w:ascii="Calibri"/>
                        <w:sz w:val="20"/>
                      </w:rPr>
                    </w:pPr>
                    <w:r>
                      <w:rPr>
                        <w:rFonts w:ascii="Calibri"/>
                        <w:sz w:val="20"/>
                      </w:rPr>
                      <w:t>50</w:t>
                    </w:r>
                  </w:p>
                  <w:p>
                    <w:pPr>
                      <w:spacing w:before="142"/>
                      <w:ind w:left="0" w:right="0" w:firstLine="0"/>
                      <w:jc w:val="center"/>
                      <w:rPr>
                        <w:rFonts w:ascii="Calibri"/>
                        <w:sz w:val="20"/>
                      </w:rPr>
                    </w:pPr>
                    <w:r>
                      <w:rPr>
                        <w:rFonts w:ascii="Calibri"/>
                        <w:sz w:val="20"/>
                      </w:rPr>
                      <w:t>40</w:t>
                    </w:r>
                  </w:p>
                  <w:p>
                    <w:pPr>
                      <w:spacing w:before="142"/>
                      <w:ind w:left="0" w:right="0" w:firstLine="0"/>
                      <w:jc w:val="center"/>
                      <w:rPr>
                        <w:rFonts w:ascii="Calibri"/>
                        <w:sz w:val="20"/>
                      </w:rPr>
                    </w:pPr>
                    <w:r>
                      <w:rPr>
                        <w:rFonts w:ascii="Calibri"/>
                        <w:sz w:val="20"/>
                      </w:rPr>
                      <w:t>30</w:t>
                    </w:r>
                  </w:p>
                  <w:p>
                    <w:pPr>
                      <w:spacing w:before="142"/>
                      <w:ind w:left="0" w:right="0" w:firstLine="0"/>
                      <w:jc w:val="center"/>
                      <w:rPr>
                        <w:rFonts w:ascii="Calibri"/>
                        <w:sz w:val="20"/>
                      </w:rPr>
                    </w:pPr>
                    <w:r>
                      <w:rPr>
                        <w:rFonts w:ascii="Calibri"/>
                        <w:sz w:val="20"/>
                      </w:rPr>
                      <w:t>20</w:t>
                    </w:r>
                  </w:p>
                  <w:p>
                    <w:pPr>
                      <w:spacing w:before="143"/>
                      <w:ind w:left="0" w:right="0" w:firstLine="0"/>
                      <w:jc w:val="center"/>
                      <w:rPr>
                        <w:rFonts w:ascii="Calibri"/>
                        <w:sz w:val="20"/>
                      </w:rPr>
                    </w:pPr>
                    <w:r>
                      <w:rPr>
                        <w:rFonts w:ascii="Calibri"/>
                        <w:sz w:val="20"/>
                      </w:rPr>
                      <w:t>10</w:t>
                    </w:r>
                  </w:p>
                  <w:p>
                    <w:pPr>
                      <w:spacing w:line="240" w:lineRule="exact" w:before="142"/>
                      <w:ind w:left="101" w:right="0" w:firstLine="0"/>
                      <w:jc w:val="center"/>
                      <w:rPr>
                        <w:rFonts w:ascii="Calibri"/>
                        <w:sz w:val="20"/>
                      </w:rPr>
                    </w:pPr>
                    <w:r>
                      <w:rPr>
                        <w:rFonts w:ascii="Calibri"/>
                        <w:w w:val="99"/>
                        <w:sz w:val="20"/>
                      </w:rPr>
                      <w:t>0</w:t>
                    </w:r>
                  </w:p>
                </w:txbxContent>
              </v:textbox>
              <w10:wrap type="none"/>
            </v:shape>
            <v:shape style="position:absolute;left:5333;top:1700;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69</w:t>
                    </w:r>
                  </w:p>
                </w:txbxContent>
              </v:textbox>
              <w10:wrap type="none"/>
            </v:shape>
            <v:shape style="position:absolute;left:8475;top:2441;width:1133;height:788" type="#_x0000_t202" filled="false" stroked="false">
              <v:textbox inset="0,0,0,0">
                <w:txbxContent>
                  <w:p>
                    <w:pPr>
                      <w:spacing w:line="164" w:lineRule="exact" w:before="0"/>
                      <w:ind w:left="0" w:right="-19" w:firstLine="0"/>
                      <w:jc w:val="left"/>
                      <w:rPr>
                        <w:rFonts w:ascii="Calibri"/>
                        <w:sz w:val="16"/>
                      </w:rPr>
                    </w:pPr>
                    <w:r>
                      <w:rPr>
                        <w:rFonts w:ascii="Calibri"/>
                        <w:sz w:val="16"/>
                      </w:rPr>
                      <w:t>Cero alternancias</w:t>
                    </w:r>
                  </w:p>
                  <w:p>
                    <w:pPr>
                      <w:spacing w:line="310" w:lineRule="atLeast" w:before="3"/>
                      <w:ind w:left="0" w:right="40" w:firstLine="0"/>
                      <w:jc w:val="left"/>
                      <w:rPr>
                        <w:rFonts w:ascii="Calibri"/>
                        <w:sz w:val="16"/>
                      </w:rPr>
                    </w:pPr>
                    <w:r>
                      <w:rPr>
                        <w:rFonts w:ascii="Calibri"/>
                        <w:sz w:val="16"/>
                      </w:rPr>
                      <w:t>Una alternancia Dos alternancias</w:t>
                    </w:r>
                  </w:p>
                </w:txbxContent>
              </v:textbox>
              <w10:wrap type="none"/>
            </v:shape>
            <v:shape style="position:absolute;left:7071;top:3247;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29</w:t>
                    </w:r>
                  </w:p>
                </w:txbxContent>
              </v:textbox>
              <w10:wrap type="none"/>
            </v:shape>
            <v:shape style="position:absolute;left:2989;top:4405;width:4854;height:200" type="#_x0000_t202" filled="false" stroked="false">
              <v:textbox inset="0,0,0,0">
                <w:txbxContent>
                  <w:p>
                    <w:pPr>
                      <w:tabs>
                        <w:tab w:pos="1803" w:val="left" w:leader="none"/>
                        <w:tab w:pos="3513" w:val="left" w:leader="none"/>
                      </w:tabs>
                      <w:spacing w:line="199" w:lineRule="exact" w:before="0"/>
                      <w:ind w:left="0" w:right="0" w:firstLine="0"/>
                      <w:jc w:val="left"/>
                      <w:rPr>
                        <w:rFonts w:ascii="Calibri"/>
                        <w:sz w:val="20"/>
                      </w:rPr>
                    </w:pPr>
                    <w:r>
                      <w:rPr>
                        <w:rFonts w:ascii="Calibri"/>
                        <w:sz w:val="20"/>
                      </w:rPr>
                      <w:t>Cero</w:t>
                    </w:r>
                    <w:r>
                      <w:rPr>
                        <w:rFonts w:ascii="Calibri"/>
                        <w:spacing w:val="-2"/>
                        <w:sz w:val="20"/>
                      </w:rPr>
                      <w:t> </w:t>
                    </w:r>
                    <w:r>
                      <w:rPr>
                        <w:rFonts w:ascii="Calibri"/>
                        <w:sz w:val="20"/>
                      </w:rPr>
                      <w:t>alternancias</w:t>
                      <w:tab/>
                      <w:t>Una</w:t>
                    </w:r>
                    <w:r>
                      <w:rPr>
                        <w:rFonts w:ascii="Calibri"/>
                        <w:spacing w:val="-2"/>
                        <w:sz w:val="20"/>
                      </w:rPr>
                      <w:t> </w:t>
                    </w:r>
                    <w:r>
                      <w:rPr>
                        <w:rFonts w:ascii="Calibri"/>
                        <w:sz w:val="20"/>
                      </w:rPr>
                      <w:t>alternancia</w:t>
                      <w:tab/>
                      <w:t>Dos</w:t>
                    </w:r>
                    <w:r>
                      <w:rPr>
                        <w:rFonts w:ascii="Calibri"/>
                        <w:spacing w:val="-6"/>
                        <w:sz w:val="20"/>
                      </w:rPr>
                      <w:t> </w:t>
                    </w:r>
                    <w:r>
                      <w:rPr>
                        <w:rFonts w:ascii="Calibri"/>
                        <w:sz w:val="20"/>
                      </w:rPr>
                      <w:t>alternancias</w:t>
                    </w:r>
                  </w:p>
                </w:txbxContent>
              </v:textbox>
              <w10:wrap type="none"/>
            </v:shape>
            <v:shape style="position:absolute;left:3261;top:3192;width:869;height:1045" type="#_x0000_t202" filled="true" fillcolor="#ff0000" stroked="false">
              <v:textbox inset="0,0,0,0">
                <w:txbxContent>
                  <w:p>
                    <w:pPr>
                      <w:spacing w:before="90"/>
                      <w:ind w:left="312" w:right="313" w:firstLine="0"/>
                      <w:jc w:val="center"/>
                      <w:rPr>
                        <w:rFonts w:ascii="Calibri"/>
                        <w:sz w:val="20"/>
                      </w:rPr>
                    </w:pPr>
                    <w:r>
                      <w:rPr>
                        <w:rFonts w:ascii="Calibri"/>
                        <w:sz w:val="20"/>
                      </w:rPr>
                      <w:t>27</w:t>
                    </w:r>
                  </w:p>
                </w:txbxContent>
              </v:textbox>
              <v:fill type="solid"/>
              <w10:wrap type="none"/>
            </v:shape>
            <w10:wrap type="topAndBottom"/>
          </v:group>
        </w:pict>
      </w:r>
    </w:p>
    <w:p>
      <w:pPr>
        <w:pStyle w:val="BodyText"/>
        <w:rPr>
          <w:sz w:val="20"/>
        </w:rPr>
      </w:pPr>
    </w:p>
    <w:p>
      <w:pPr>
        <w:pStyle w:val="BodyText"/>
        <w:rPr>
          <w:sz w:val="20"/>
        </w:rPr>
      </w:pPr>
    </w:p>
    <w:p>
      <w:pPr>
        <w:pStyle w:val="BodyText"/>
        <w:spacing w:before="2"/>
        <w:rPr>
          <w:sz w:val="28"/>
        </w:rPr>
      </w:pPr>
    </w:p>
    <w:p>
      <w:pPr>
        <w:pStyle w:val="BodyText"/>
        <w:spacing w:line="360" w:lineRule="auto" w:before="70"/>
        <w:ind w:left="108" w:right="124"/>
        <w:jc w:val="both"/>
      </w:pPr>
      <w:r>
        <w:rPr/>
        <w:t>Respecto al número de alternancias podemos señalar que solamente 27 municipios (21.6%) no han tenido alternancia desde las elecciones de 2003 a las elecciones</w:t>
      </w:r>
      <w:r>
        <w:rPr>
          <w:spacing w:val="-43"/>
        </w:rPr>
        <w:t> </w:t>
      </w:r>
      <w:r>
        <w:rPr/>
        <w:t>de 2012;</w:t>
      </w:r>
      <w:r>
        <w:rPr>
          <w:spacing w:val="58"/>
        </w:rPr>
        <w:t> </w:t>
      </w:r>
      <w:r>
        <w:rPr/>
        <w:t>la</w:t>
      </w:r>
      <w:r>
        <w:rPr>
          <w:spacing w:val="57"/>
        </w:rPr>
        <w:t> </w:t>
      </w:r>
      <w:r>
        <w:rPr/>
        <w:t>mayoría</w:t>
      </w:r>
      <w:r>
        <w:rPr>
          <w:spacing w:val="58"/>
        </w:rPr>
        <w:t> </w:t>
      </w:r>
      <w:r>
        <w:rPr/>
        <w:t>ha</w:t>
      </w:r>
      <w:r>
        <w:rPr>
          <w:spacing w:val="53"/>
        </w:rPr>
        <w:t> </w:t>
      </w:r>
      <w:r>
        <w:rPr/>
        <w:t>tenido</w:t>
      </w:r>
      <w:r>
        <w:rPr>
          <w:spacing w:val="55"/>
        </w:rPr>
        <w:t> </w:t>
      </w:r>
      <w:r>
        <w:rPr/>
        <w:t>al</w:t>
      </w:r>
      <w:r>
        <w:rPr>
          <w:spacing w:val="54"/>
        </w:rPr>
        <w:t> </w:t>
      </w:r>
      <w:r>
        <w:rPr/>
        <w:t>menos</w:t>
      </w:r>
      <w:r>
        <w:rPr>
          <w:spacing w:val="55"/>
        </w:rPr>
        <w:t> </w:t>
      </w:r>
      <w:r>
        <w:rPr/>
        <w:t>una</w:t>
      </w:r>
      <w:r>
        <w:rPr>
          <w:spacing w:val="56"/>
        </w:rPr>
        <w:t> </w:t>
      </w:r>
      <w:r>
        <w:rPr/>
        <w:t>alternancia</w:t>
      </w:r>
      <w:r>
        <w:rPr>
          <w:spacing w:val="55"/>
        </w:rPr>
        <w:t> </w:t>
      </w:r>
      <w:r>
        <w:rPr/>
        <w:t>sumando</w:t>
      </w:r>
      <w:r>
        <w:rPr>
          <w:spacing w:val="56"/>
        </w:rPr>
        <w:t> </w:t>
      </w:r>
      <w:r>
        <w:rPr/>
        <w:t>un</w:t>
      </w:r>
      <w:r>
        <w:rPr>
          <w:spacing w:val="56"/>
        </w:rPr>
        <w:t> </w:t>
      </w:r>
      <w:r>
        <w:rPr/>
        <w:t>total</w:t>
      </w:r>
      <w:r>
        <w:rPr>
          <w:spacing w:val="54"/>
        </w:rPr>
        <w:t> </w:t>
      </w:r>
      <w:r>
        <w:rPr/>
        <w:t>de</w:t>
      </w:r>
      <w:r>
        <w:rPr>
          <w:spacing w:val="55"/>
        </w:rPr>
        <w:t> </w:t>
      </w:r>
      <w:r>
        <w:rPr/>
        <w:t>69</w:t>
      </w:r>
    </w:p>
    <w:p>
      <w:pPr>
        <w:spacing w:after="0" w:line="360" w:lineRule="auto"/>
        <w:jc w:val="both"/>
        <w:sectPr>
          <w:pgSz w:w="12240" w:h="15840"/>
          <w:pgMar w:header="0" w:footer="975" w:top="1360" w:bottom="1220" w:left="1500" w:right="1580"/>
        </w:sectPr>
      </w:pPr>
    </w:p>
    <w:p>
      <w:pPr>
        <w:pStyle w:val="BodyText"/>
        <w:spacing w:line="362" w:lineRule="auto" w:before="54"/>
        <w:ind w:left="108"/>
      </w:pPr>
      <w:r>
        <w:rPr/>
        <w:t>municipios, que representan un total de 55.2%; los 29 municipios restantes, equivalentes al 23.2% han tenido 3 alternancias.</w:t>
      </w:r>
    </w:p>
    <w:p>
      <w:pPr>
        <w:pStyle w:val="BodyText"/>
        <w:rPr>
          <w:sz w:val="20"/>
        </w:rPr>
      </w:pPr>
    </w:p>
    <w:p>
      <w:pPr>
        <w:pStyle w:val="BodyText"/>
        <w:rPr>
          <w:sz w:val="20"/>
        </w:rPr>
      </w:pPr>
    </w:p>
    <w:p>
      <w:pPr>
        <w:pStyle w:val="BodyText"/>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3"/>
        <w:gridCol w:w="1561"/>
        <w:gridCol w:w="1699"/>
        <w:gridCol w:w="994"/>
        <w:gridCol w:w="1699"/>
        <w:gridCol w:w="1861"/>
      </w:tblGrid>
      <w:tr>
        <w:trPr>
          <w:trHeight w:val="322" w:hRule="exact"/>
        </w:trPr>
        <w:tc>
          <w:tcPr>
            <w:tcW w:w="9057" w:type="dxa"/>
            <w:gridSpan w:val="6"/>
            <w:shd w:val="clear" w:color="auto" w:fill="92D050"/>
          </w:tcPr>
          <w:p>
            <w:pPr>
              <w:pStyle w:val="TableParagraph"/>
              <w:spacing w:line="201" w:lineRule="exact"/>
              <w:ind w:left="707"/>
              <w:jc w:val="left"/>
              <w:rPr>
                <w:b/>
                <w:sz w:val="18"/>
              </w:rPr>
            </w:pPr>
            <w:r>
              <w:rPr>
                <w:b/>
                <w:sz w:val="18"/>
              </w:rPr>
              <w:t>Tabla 3.26 Número de partidos que han gobernado el municipios en el periodo 2003-2015</w:t>
            </w:r>
          </w:p>
        </w:tc>
      </w:tr>
      <w:tr>
        <w:trPr>
          <w:trHeight w:val="631" w:hRule="exact"/>
        </w:trPr>
        <w:tc>
          <w:tcPr>
            <w:tcW w:w="2804" w:type="dxa"/>
            <w:gridSpan w:val="2"/>
            <w:shd w:val="clear" w:color="auto" w:fill="92D050"/>
          </w:tcPr>
          <w:p>
            <w:pPr>
              <w:pStyle w:val="TableParagraph"/>
              <w:spacing w:line="360" w:lineRule="auto"/>
              <w:ind w:left="964" w:right="419" w:hanging="531"/>
              <w:jc w:val="left"/>
              <w:rPr>
                <w:sz w:val="18"/>
              </w:rPr>
            </w:pPr>
            <w:r>
              <w:rPr>
                <w:sz w:val="18"/>
              </w:rPr>
              <w:t>No. de partidos que han gobernado</w:t>
            </w:r>
          </w:p>
        </w:tc>
        <w:tc>
          <w:tcPr>
            <w:tcW w:w="1699" w:type="dxa"/>
            <w:shd w:val="clear" w:color="auto" w:fill="92D050"/>
          </w:tcPr>
          <w:p>
            <w:pPr>
              <w:pStyle w:val="TableParagraph"/>
              <w:spacing w:line="206" w:lineRule="exact"/>
              <w:ind w:left="74" w:right="71"/>
              <w:rPr>
                <w:sz w:val="18"/>
              </w:rPr>
            </w:pPr>
            <w:r>
              <w:rPr>
                <w:sz w:val="18"/>
              </w:rPr>
              <w:t>Frecuencia</w:t>
            </w:r>
          </w:p>
        </w:tc>
        <w:tc>
          <w:tcPr>
            <w:tcW w:w="994" w:type="dxa"/>
            <w:shd w:val="clear" w:color="auto" w:fill="92D050"/>
          </w:tcPr>
          <w:p>
            <w:pPr>
              <w:pStyle w:val="TableParagraph"/>
              <w:spacing w:line="360" w:lineRule="auto"/>
              <w:ind w:left="439" w:right="93" w:hanging="329"/>
              <w:jc w:val="left"/>
              <w:rPr>
                <w:sz w:val="18"/>
              </w:rPr>
            </w:pPr>
            <w:r>
              <w:rPr>
                <w:sz w:val="18"/>
              </w:rPr>
              <w:t>Porcentaj e</w:t>
            </w:r>
          </w:p>
        </w:tc>
        <w:tc>
          <w:tcPr>
            <w:tcW w:w="1699" w:type="dxa"/>
            <w:shd w:val="clear" w:color="auto" w:fill="92D050"/>
          </w:tcPr>
          <w:p>
            <w:pPr>
              <w:pStyle w:val="TableParagraph"/>
              <w:spacing w:line="206" w:lineRule="exact"/>
              <w:ind w:left="74" w:right="72"/>
              <w:rPr>
                <w:sz w:val="18"/>
              </w:rPr>
            </w:pPr>
            <w:r>
              <w:rPr>
                <w:sz w:val="18"/>
              </w:rPr>
              <w:t>Porcentaje válido</w:t>
            </w:r>
          </w:p>
        </w:tc>
        <w:tc>
          <w:tcPr>
            <w:tcW w:w="1861" w:type="dxa"/>
            <w:shd w:val="clear" w:color="auto" w:fill="92D050"/>
          </w:tcPr>
          <w:p>
            <w:pPr>
              <w:pStyle w:val="TableParagraph"/>
              <w:spacing w:line="360" w:lineRule="auto"/>
              <w:ind w:left="482" w:right="468" w:firstLine="9"/>
              <w:jc w:val="left"/>
              <w:rPr>
                <w:sz w:val="18"/>
              </w:rPr>
            </w:pPr>
            <w:r>
              <w:rPr>
                <w:sz w:val="18"/>
              </w:rPr>
              <w:t>Porcentaje acumulado</w:t>
            </w:r>
          </w:p>
        </w:tc>
      </w:tr>
      <w:tr>
        <w:trPr>
          <w:trHeight w:val="319" w:hRule="exact"/>
        </w:trPr>
        <w:tc>
          <w:tcPr>
            <w:tcW w:w="1243" w:type="dxa"/>
            <w:vMerge w:val="restart"/>
          </w:tcPr>
          <w:p>
            <w:pPr>
              <w:pStyle w:val="TableParagraph"/>
              <w:spacing w:before="9"/>
              <w:jc w:val="left"/>
              <w:rPr>
                <w:sz w:val="26"/>
              </w:rPr>
            </w:pPr>
          </w:p>
          <w:p>
            <w:pPr>
              <w:pStyle w:val="TableParagraph"/>
              <w:ind w:left="103"/>
              <w:jc w:val="left"/>
              <w:rPr>
                <w:sz w:val="18"/>
              </w:rPr>
            </w:pPr>
            <w:r>
              <w:rPr>
                <w:sz w:val="18"/>
              </w:rPr>
              <w:t>Válidos</w:t>
            </w:r>
          </w:p>
        </w:tc>
        <w:tc>
          <w:tcPr>
            <w:tcW w:w="1561" w:type="dxa"/>
          </w:tcPr>
          <w:p>
            <w:pPr>
              <w:pStyle w:val="TableParagraph"/>
              <w:spacing w:line="206" w:lineRule="exact"/>
              <w:ind w:right="1"/>
              <w:rPr>
                <w:sz w:val="18"/>
              </w:rPr>
            </w:pPr>
            <w:r>
              <w:rPr>
                <w:w w:val="99"/>
                <w:sz w:val="18"/>
              </w:rPr>
              <w:t>1</w:t>
            </w:r>
          </w:p>
        </w:tc>
        <w:tc>
          <w:tcPr>
            <w:tcW w:w="1699" w:type="dxa"/>
          </w:tcPr>
          <w:p>
            <w:pPr>
              <w:pStyle w:val="TableParagraph"/>
              <w:spacing w:line="206" w:lineRule="exact"/>
              <w:ind w:left="74" w:right="70"/>
              <w:rPr>
                <w:sz w:val="18"/>
              </w:rPr>
            </w:pPr>
            <w:r>
              <w:rPr>
                <w:sz w:val="18"/>
              </w:rPr>
              <w:t>31</w:t>
            </w:r>
          </w:p>
        </w:tc>
        <w:tc>
          <w:tcPr>
            <w:tcW w:w="994" w:type="dxa"/>
          </w:tcPr>
          <w:p>
            <w:pPr>
              <w:pStyle w:val="TableParagraph"/>
              <w:spacing w:line="206" w:lineRule="exact"/>
              <w:ind w:left="246" w:right="248"/>
              <w:rPr>
                <w:sz w:val="18"/>
              </w:rPr>
            </w:pPr>
            <w:r>
              <w:rPr>
                <w:sz w:val="18"/>
              </w:rPr>
              <w:t>24.8</w:t>
            </w:r>
          </w:p>
        </w:tc>
        <w:tc>
          <w:tcPr>
            <w:tcW w:w="1699" w:type="dxa"/>
          </w:tcPr>
          <w:p>
            <w:pPr>
              <w:pStyle w:val="TableParagraph"/>
              <w:spacing w:line="206" w:lineRule="exact"/>
              <w:ind w:left="74" w:right="74"/>
              <w:rPr>
                <w:sz w:val="18"/>
              </w:rPr>
            </w:pPr>
            <w:r>
              <w:rPr>
                <w:sz w:val="18"/>
              </w:rPr>
              <w:t>24.8</w:t>
            </w:r>
          </w:p>
        </w:tc>
        <w:tc>
          <w:tcPr>
            <w:tcW w:w="1861" w:type="dxa"/>
          </w:tcPr>
          <w:p>
            <w:pPr>
              <w:pStyle w:val="TableParagraph"/>
              <w:spacing w:line="206" w:lineRule="exact"/>
              <w:ind w:left="679" w:right="679"/>
              <w:rPr>
                <w:sz w:val="18"/>
              </w:rPr>
            </w:pPr>
            <w:r>
              <w:rPr>
                <w:sz w:val="18"/>
              </w:rPr>
              <w:t>24.8</w:t>
            </w:r>
          </w:p>
        </w:tc>
      </w:tr>
      <w:tr>
        <w:trPr>
          <w:trHeight w:val="322" w:hRule="exact"/>
        </w:trPr>
        <w:tc>
          <w:tcPr>
            <w:tcW w:w="1243" w:type="dxa"/>
            <w:vMerge/>
          </w:tcPr>
          <w:p>
            <w:pPr/>
          </w:p>
        </w:tc>
        <w:tc>
          <w:tcPr>
            <w:tcW w:w="1561" w:type="dxa"/>
          </w:tcPr>
          <w:p>
            <w:pPr>
              <w:pStyle w:val="TableParagraph"/>
              <w:spacing w:line="206" w:lineRule="exact"/>
              <w:ind w:right="1"/>
              <w:rPr>
                <w:sz w:val="18"/>
              </w:rPr>
            </w:pPr>
            <w:r>
              <w:rPr>
                <w:w w:val="99"/>
                <w:sz w:val="18"/>
              </w:rPr>
              <w:t>2</w:t>
            </w:r>
          </w:p>
        </w:tc>
        <w:tc>
          <w:tcPr>
            <w:tcW w:w="1699" w:type="dxa"/>
          </w:tcPr>
          <w:p>
            <w:pPr>
              <w:pStyle w:val="TableParagraph"/>
              <w:spacing w:line="206" w:lineRule="exact"/>
              <w:ind w:left="74" w:right="70"/>
              <w:rPr>
                <w:sz w:val="18"/>
              </w:rPr>
            </w:pPr>
            <w:r>
              <w:rPr>
                <w:sz w:val="18"/>
              </w:rPr>
              <w:t>85</w:t>
            </w:r>
          </w:p>
        </w:tc>
        <w:tc>
          <w:tcPr>
            <w:tcW w:w="994" w:type="dxa"/>
          </w:tcPr>
          <w:p>
            <w:pPr>
              <w:pStyle w:val="TableParagraph"/>
              <w:spacing w:line="206" w:lineRule="exact"/>
              <w:ind w:left="246" w:right="248"/>
              <w:rPr>
                <w:sz w:val="18"/>
              </w:rPr>
            </w:pPr>
            <w:r>
              <w:rPr>
                <w:sz w:val="18"/>
              </w:rPr>
              <w:t>68.0</w:t>
            </w:r>
          </w:p>
        </w:tc>
        <w:tc>
          <w:tcPr>
            <w:tcW w:w="1699" w:type="dxa"/>
          </w:tcPr>
          <w:p>
            <w:pPr>
              <w:pStyle w:val="TableParagraph"/>
              <w:spacing w:line="206" w:lineRule="exact"/>
              <w:ind w:left="74" w:right="74"/>
              <w:rPr>
                <w:sz w:val="18"/>
              </w:rPr>
            </w:pPr>
            <w:r>
              <w:rPr>
                <w:sz w:val="18"/>
              </w:rPr>
              <w:t>68.0</w:t>
            </w:r>
          </w:p>
        </w:tc>
        <w:tc>
          <w:tcPr>
            <w:tcW w:w="1861" w:type="dxa"/>
          </w:tcPr>
          <w:p>
            <w:pPr>
              <w:pStyle w:val="TableParagraph"/>
              <w:spacing w:line="206" w:lineRule="exact"/>
              <w:ind w:left="679" w:right="679"/>
              <w:rPr>
                <w:sz w:val="18"/>
              </w:rPr>
            </w:pPr>
            <w:r>
              <w:rPr>
                <w:sz w:val="18"/>
              </w:rPr>
              <w:t>92.8</w:t>
            </w:r>
          </w:p>
        </w:tc>
      </w:tr>
      <w:tr>
        <w:trPr>
          <w:trHeight w:val="319" w:hRule="exact"/>
        </w:trPr>
        <w:tc>
          <w:tcPr>
            <w:tcW w:w="1243" w:type="dxa"/>
            <w:vMerge/>
          </w:tcPr>
          <w:p>
            <w:pPr/>
          </w:p>
        </w:tc>
        <w:tc>
          <w:tcPr>
            <w:tcW w:w="1561" w:type="dxa"/>
          </w:tcPr>
          <w:p>
            <w:pPr>
              <w:pStyle w:val="TableParagraph"/>
              <w:spacing w:line="206" w:lineRule="exact"/>
              <w:ind w:right="1"/>
              <w:rPr>
                <w:sz w:val="18"/>
              </w:rPr>
            </w:pPr>
            <w:r>
              <w:rPr>
                <w:w w:val="99"/>
                <w:sz w:val="18"/>
              </w:rPr>
              <w:t>3</w:t>
            </w:r>
          </w:p>
        </w:tc>
        <w:tc>
          <w:tcPr>
            <w:tcW w:w="1699" w:type="dxa"/>
          </w:tcPr>
          <w:p>
            <w:pPr>
              <w:pStyle w:val="TableParagraph"/>
              <w:spacing w:line="206" w:lineRule="exact"/>
              <w:rPr>
                <w:sz w:val="18"/>
              </w:rPr>
            </w:pPr>
            <w:r>
              <w:rPr>
                <w:w w:val="99"/>
                <w:sz w:val="18"/>
              </w:rPr>
              <w:t>9</w:t>
            </w:r>
          </w:p>
        </w:tc>
        <w:tc>
          <w:tcPr>
            <w:tcW w:w="994" w:type="dxa"/>
          </w:tcPr>
          <w:p>
            <w:pPr>
              <w:pStyle w:val="TableParagraph"/>
              <w:spacing w:line="206" w:lineRule="exact"/>
              <w:ind w:left="246" w:right="248"/>
              <w:rPr>
                <w:sz w:val="18"/>
              </w:rPr>
            </w:pPr>
            <w:r>
              <w:rPr>
                <w:sz w:val="18"/>
              </w:rPr>
              <w:t>7.2</w:t>
            </w:r>
          </w:p>
        </w:tc>
        <w:tc>
          <w:tcPr>
            <w:tcW w:w="1699" w:type="dxa"/>
          </w:tcPr>
          <w:p>
            <w:pPr>
              <w:pStyle w:val="TableParagraph"/>
              <w:spacing w:line="206" w:lineRule="exact"/>
              <w:ind w:left="74" w:right="73"/>
              <w:rPr>
                <w:sz w:val="18"/>
              </w:rPr>
            </w:pPr>
            <w:r>
              <w:rPr>
                <w:sz w:val="18"/>
              </w:rPr>
              <w:t>7.2</w:t>
            </w:r>
          </w:p>
        </w:tc>
        <w:tc>
          <w:tcPr>
            <w:tcW w:w="1861" w:type="dxa"/>
          </w:tcPr>
          <w:p>
            <w:pPr>
              <w:pStyle w:val="TableParagraph"/>
              <w:spacing w:line="206" w:lineRule="exact"/>
              <w:ind w:left="679" w:right="680"/>
              <w:rPr>
                <w:sz w:val="18"/>
              </w:rPr>
            </w:pPr>
            <w:r>
              <w:rPr>
                <w:sz w:val="18"/>
              </w:rPr>
              <w:t>100.0</w:t>
            </w:r>
          </w:p>
        </w:tc>
      </w:tr>
      <w:tr>
        <w:trPr>
          <w:trHeight w:val="322" w:hRule="exact"/>
        </w:trPr>
        <w:tc>
          <w:tcPr>
            <w:tcW w:w="1243" w:type="dxa"/>
            <w:vMerge/>
          </w:tcPr>
          <w:p>
            <w:pPr/>
          </w:p>
        </w:tc>
        <w:tc>
          <w:tcPr>
            <w:tcW w:w="1561" w:type="dxa"/>
          </w:tcPr>
          <w:p>
            <w:pPr>
              <w:pStyle w:val="TableParagraph"/>
              <w:spacing w:line="206" w:lineRule="exact"/>
              <w:ind w:left="554" w:right="556"/>
              <w:rPr>
                <w:sz w:val="18"/>
              </w:rPr>
            </w:pPr>
            <w:r>
              <w:rPr>
                <w:sz w:val="18"/>
              </w:rPr>
              <w:t>Total</w:t>
            </w:r>
          </w:p>
        </w:tc>
        <w:tc>
          <w:tcPr>
            <w:tcW w:w="1699" w:type="dxa"/>
          </w:tcPr>
          <w:p>
            <w:pPr>
              <w:pStyle w:val="TableParagraph"/>
              <w:spacing w:line="206" w:lineRule="exact"/>
              <w:ind w:left="74" w:right="70"/>
              <w:rPr>
                <w:sz w:val="18"/>
              </w:rPr>
            </w:pPr>
            <w:r>
              <w:rPr>
                <w:sz w:val="18"/>
              </w:rPr>
              <w:t>125</w:t>
            </w:r>
          </w:p>
        </w:tc>
        <w:tc>
          <w:tcPr>
            <w:tcW w:w="994" w:type="dxa"/>
          </w:tcPr>
          <w:p>
            <w:pPr>
              <w:pStyle w:val="TableParagraph"/>
              <w:spacing w:line="206" w:lineRule="exact"/>
              <w:ind w:left="246" w:right="248"/>
              <w:rPr>
                <w:sz w:val="18"/>
              </w:rPr>
            </w:pPr>
            <w:r>
              <w:rPr>
                <w:sz w:val="18"/>
              </w:rPr>
              <w:t>100.0</w:t>
            </w:r>
          </w:p>
        </w:tc>
        <w:tc>
          <w:tcPr>
            <w:tcW w:w="1699" w:type="dxa"/>
          </w:tcPr>
          <w:p>
            <w:pPr>
              <w:pStyle w:val="TableParagraph"/>
              <w:spacing w:line="206" w:lineRule="exact"/>
              <w:ind w:left="74" w:right="74"/>
              <w:rPr>
                <w:sz w:val="18"/>
              </w:rPr>
            </w:pPr>
            <w:r>
              <w:rPr>
                <w:sz w:val="18"/>
              </w:rPr>
              <w:t>100.0</w:t>
            </w:r>
          </w:p>
        </w:tc>
        <w:tc>
          <w:tcPr>
            <w:tcW w:w="1861" w:type="dxa"/>
          </w:tcPr>
          <w:p>
            <w:pPr/>
          </w:p>
        </w:tc>
      </w:tr>
    </w:tbl>
    <w:p>
      <w:pPr>
        <w:spacing w:line="180" w:lineRule="exact" w:before="0"/>
        <w:ind w:left="629" w:right="0" w:firstLine="0"/>
        <w:jc w:val="left"/>
        <w:rPr>
          <w:sz w:val="16"/>
        </w:rPr>
      </w:pPr>
      <w:r>
        <w:rPr>
          <w:sz w:val="16"/>
        </w:rPr>
        <w:t>Fuente: Elaboración propia con datos del IEEM. </w:t>
      </w:r>
      <w:hyperlink r:id="rId107">
        <w:r>
          <w:rPr>
            <w:color w:val="0462C1"/>
            <w:sz w:val="16"/>
            <w:u w:val="single" w:color="0462C1"/>
          </w:rPr>
          <w:t>http://www.ieem.org.mx/numeralia/result_elect.htm</w:t>
        </w:r>
        <w:r>
          <w:rPr>
            <w:color w:val="0462C1"/>
            <w:sz w:val="16"/>
          </w:rPr>
          <w:t>l</w:t>
        </w:r>
      </w:hyperlink>
      <w:r>
        <w:rPr>
          <w:color w:val="0462C1"/>
          <w:sz w:val="16"/>
        </w:rPr>
        <w:t> </w:t>
      </w:r>
      <w:r>
        <w:rPr>
          <w:sz w:val="16"/>
        </w:rPr>
        <w:t>[04-12-2013]</w:t>
      </w:r>
    </w:p>
    <w:p>
      <w:pPr>
        <w:pStyle w:val="BodyText"/>
        <w:rPr>
          <w:sz w:val="20"/>
        </w:rPr>
      </w:pPr>
    </w:p>
    <w:p>
      <w:pPr>
        <w:pStyle w:val="BodyText"/>
        <w:rPr>
          <w:sz w:val="20"/>
        </w:rPr>
      </w:pPr>
    </w:p>
    <w:p>
      <w:pPr>
        <w:pStyle w:val="BodyText"/>
        <w:rPr>
          <w:sz w:val="18"/>
        </w:rPr>
      </w:pPr>
      <w:r>
        <w:rPr/>
        <w:pict>
          <v:group style="position:absolute;margin-left:115.169998pt;margin-top:12.326651pt;width:375.5pt;height:227.75pt;mso-position-horizontal-relative:page;mso-position-vertical-relative:paragraph;z-index:7072;mso-wrap-distance-left:0;mso-wrap-distance-right:0" coordorigin="2303,247" coordsize="7510,4555">
            <v:shape style="position:absolute;left:2308;top:252;width:7500;height:4545" type="#_x0000_t75" stroked="false">
              <v:imagedata r:id="rId120" o:title=""/>
            </v:shape>
            <v:rect style="position:absolute;left:2827;top:1142;width:6070;height:3154" filled="true" fillcolor="#ffffff" stroked="false">
              <v:fill type="solid"/>
            </v:rect>
            <v:line style="position:absolute" from="6368,3945" to="8897,3945" stroked="true" strokeweight=".5pt" strokecolor="#888888"/>
            <v:line style="position:absolute" from="4344,3945" to="5356,3945" stroked="true" strokeweight=".5pt" strokecolor="#888888"/>
            <v:line style="position:absolute" from="2827,3945" to="3333,3945" stroked="true" strokeweight=".5pt" strokecolor="#888888"/>
            <v:line style="position:absolute" from="6368,3595" to="8897,3595" stroked="true" strokeweight=".5pt" strokecolor="#888888"/>
            <v:line style="position:absolute" from="4344,3595" to="5356,3595" stroked="true" strokeweight=".5pt" strokecolor="#888888"/>
            <v:line style="position:absolute" from="2827,3595" to="3333,3595" stroked="true" strokeweight=".5pt" strokecolor="#888888"/>
            <v:line style="position:absolute" from="6368,3244" to="8897,3244" stroked="true" strokeweight=".5pt" strokecolor="#888888"/>
            <v:line style="position:absolute" from="4344,3244" to="5356,3244" stroked="true" strokeweight=".5pt" strokecolor="#888888"/>
            <v:line style="position:absolute" from="2827,3244" to="3333,3244" stroked="true" strokeweight=".5pt" strokecolor="#888888"/>
            <v:line style="position:absolute" from="6368,2894" to="8897,2894" stroked="true" strokeweight=".5pt" strokecolor="#888888"/>
            <v:line style="position:absolute" from="2827,2894" to="5356,2894" stroked="true" strokeweight=".5pt" strokecolor="#888888"/>
            <v:line style="position:absolute" from="6368,2544" to="8897,2544" stroked="true" strokeweight=".5pt" strokecolor="#888888"/>
            <v:line style="position:absolute" from="2827,2544" to="5356,2544" stroked="true" strokeweight=".5pt" strokecolor="#888888"/>
            <v:line style="position:absolute" from="6368,2193" to="8897,2193" stroked="true" strokeweight=".5pt" strokecolor="#888888"/>
            <v:line style="position:absolute" from="2827,2193" to="5356,2193" stroked="true" strokeweight=".5pt" strokecolor="#888888"/>
            <v:line style="position:absolute" from="6368,1843" to="8897,1843" stroked="true" strokeweight=".5pt" strokecolor="#888888"/>
            <v:line style="position:absolute" from="2827,1843" to="5356,1843" stroked="true" strokeweight=".5pt" strokecolor="#888888"/>
            <v:line style="position:absolute" from="6368,1492" to="8897,1492" stroked="true" strokeweight=".5pt" strokecolor="#888888"/>
            <v:line style="position:absolute" from="2827,1492" to="5356,1492" stroked="true" strokeweight=".5pt" strokecolor="#888888"/>
            <v:line style="position:absolute" from="2827,1142" to="8897,1142" stroked="true" strokeweight=".5pt" strokecolor="#888888"/>
            <v:rect style="position:absolute;left:3333;top:3209;width:1012;height:1086" filled="true" fillcolor="#ff0000" stroked="false">
              <v:fill type="solid"/>
            </v:rect>
            <v:rect style="position:absolute;left:5356;top:1317;width:1012;height:2979" filled="true" fillcolor="#ffff00" stroked="false">
              <v:fill type="solid"/>
            </v:rect>
            <v:rect style="position:absolute;left:7379;top:3980;width:1012;height:315" filled="true" fillcolor="#00af50" stroked="false">
              <v:fill type="solid"/>
            </v:rect>
            <v:line style="position:absolute" from="2827,4296" to="2827,1142" stroked="true" strokeweight=".5pt" strokecolor="#888888"/>
            <v:line style="position:absolute" from="2763,4296" to="2827,4296" stroked="true" strokeweight=".5pt" strokecolor="#888888"/>
            <v:line style="position:absolute" from="2763,3945" to="2827,3945" stroked="true" strokeweight=".5pt" strokecolor="#888888"/>
            <v:line style="position:absolute" from="2763,3595" to="2827,3595" stroked="true" strokeweight=".5pt" strokecolor="#888888"/>
            <v:line style="position:absolute" from="2763,3244" to="2827,3244" stroked="true" strokeweight=".5pt" strokecolor="#888888"/>
            <v:line style="position:absolute" from="2763,2894" to="2827,2894" stroked="true" strokeweight=".5pt" strokecolor="#888888"/>
            <v:line style="position:absolute" from="2763,2544" to="2827,2544" stroked="true" strokeweight=".5pt" strokecolor="#888888"/>
            <v:line style="position:absolute" from="2763,2193" to="2827,2193" stroked="true" strokeweight=".5pt" strokecolor="#888888"/>
            <v:line style="position:absolute" from="2763,1843" to="2827,1843" stroked="true" strokeweight=".5pt" strokecolor="#888888"/>
            <v:line style="position:absolute" from="2763,1492" to="2827,1492" stroked="true" strokeweight=".5pt" strokecolor="#888888"/>
            <v:line style="position:absolute" from="2763,1142" to="2827,1142" stroked="true" strokeweight=".5pt" strokecolor="#888888"/>
            <v:line style="position:absolute" from="2827,4296" to="8897,4296" stroked="true" strokeweight=".5pt" strokecolor="#888888"/>
            <v:line style="position:absolute" from="2827,4296" to="2827,4359" stroked="true" strokeweight=".5pt" strokecolor="#888888"/>
            <v:line style="position:absolute" from="4850,4296" to="4850,4359" stroked="true" strokeweight=".5pt" strokecolor="#888888"/>
            <v:line style="position:absolute" from="6874,4296" to="6874,4359" stroked="true" strokeweight=".5pt" strokecolor="#888888"/>
            <v:line style="position:absolute" from="8897,4296" to="8897,4359" stroked="true" strokeweight=".5pt" strokecolor="#888888"/>
            <v:line style="position:absolute" from="9206,2545" to="9293,2545" stroked="true" strokeweight="4.3943pt" strokecolor="#ff0000"/>
            <v:line style="position:absolute" from="9206,2858" to="9293,2858" stroked="true" strokeweight="4.3943pt" strokecolor="#ffff00"/>
            <v:line style="position:absolute" from="9206,3171" to="9293,3171" stroked="true" strokeweight="4.3943pt" strokecolor="#00af50"/>
            <v:shape style="position:absolute;left:2308;top:252;width:7500;height:4545" coordorigin="2308,252" coordsize="7500,4545" path="m2308,452l2324,374,2367,310,2431,267,2508,252,9609,252,9686,267,9750,310,9793,374,9808,452,9808,4597,9793,4674,9750,4738,9686,4781,9609,4797,2508,4797,2431,4781,2367,4738,2324,4674,2308,4597,2308,452xe" filled="false" stroked="true" strokeweight=".5pt" strokecolor="#888888">
              <v:path arrowok="t"/>
            </v:shape>
            <v:shape style="position:absolute;left:3256;top:443;width:5598;height:444" type="#_x0000_t202" filled="false" stroked="false">
              <v:textbox inset="0,0,0,0">
                <w:txbxContent>
                  <w:p>
                    <w:pPr>
                      <w:spacing w:line="203" w:lineRule="exact" w:before="0"/>
                      <w:ind w:left="-1" w:right="0" w:firstLine="0"/>
                      <w:jc w:val="center"/>
                      <w:rPr>
                        <w:rFonts w:ascii="Calibri" w:hAnsi="Calibri"/>
                        <w:b/>
                        <w:sz w:val="20"/>
                      </w:rPr>
                    </w:pPr>
                    <w:r>
                      <w:rPr>
                        <w:rFonts w:ascii="Calibri" w:hAnsi="Calibri"/>
                        <w:b/>
                        <w:sz w:val="20"/>
                      </w:rPr>
                      <w:t>Gráfica</w:t>
                    </w:r>
                    <w:r>
                      <w:rPr>
                        <w:rFonts w:ascii="Calibri" w:hAnsi="Calibri"/>
                        <w:b/>
                        <w:spacing w:val="-4"/>
                        <w:sz w:val="20"/>
                      </w:rPr>
                      <w:t> </w:t>
                    </w:r>
                    <w:r>
                      <w:rPr>
                        <w:rFonts w:ascii="Calibri" w:hAnsi="Calibri"/>
                        <w:b/>
                        <w:sz w:val="20"/>
                      </w:rPr>
                      <w:t>3.12</w:t>
                    </w:r>
                    <w:r>
                      <w:rPr>
                        <w:rFonts w:ascii="Calibri" w:hAnsi="Calibri"/>
                        <w:b/>
                        <w:spacing w:val="-1"/>
                        <w:sz w:val="20"/>
                      </w:rPr>
                      <w:t> </w:t>
                    </w:r>
                    <w:r>
                      <w:rPr>
                        <w:rFonts w:ascii="Calibri" w:hAnsi="Calibri"/>
                        <w:b/>
                        <w:sz w:val="20"/>
                      </w:rPr>
                      <w:t>Número</w:t>
                    </w:r>
                    <w:r>
                      <w:rPr>
                        <w:rFonts w:ascii="Calibri" w:hAnsi="Calibri"/>
                        <w:b/>
                        <w:spacing w:val="-5"/>
                        <w:sz w:val="20"/>
                      </w:rPr>
                      <w:t> </w:t>
                    </w:r>
                    <w:r>
                      <w:rPr>
                        <w:rFonts w:ascii="Calibri" w:hAnsi="Calibri"/>
                        <w:b/>
                        <w:sz w:val="20"/>
                      </w:rPr>
                      <w:t>partidos</w:t>
                    </w:r>
                    <w:r>
                      <w:rPr>
                        <w:rFonts w:ascii="Calibri" w:hAnsi="Calibri"/>
                        <w:b/>
                        <w:spacing w:val="-6"/>
                        <w:sz w:val="20"/>
                      </w:rPr>
                      <w:t> </w:t>
                    </w:r>
                    <w:r>
                      <w:rPr>
                        <w:rFonts w:ascii="Calibri" w:hAnsi="Calibri"/>
                        <w:b/>
                        <w:sz w:val="20"/>
                      </w:rPr>
                      <w:t>que</w:t>
                    </w:r>
                    <w:r>
                      <w:rPr>
                        <w:rFonts w:ascii="Calibri" w:hAnsi="Calibri"/>
                        <w:b/>
                        <w:spacing w:val="-3"/>
                        <w:sz w:val="20"/>
                      </w:rPr>
                      <w:t> </w:t>
                    </w:r>
                    <w:r>
                      <w:rPr>
                        <w:rFonts w:ascii="Calibri" w:hAnsi="Calibri"/>
                        <w:b/>
                        <w:sz w:val="20"/>
                      </w:rPr>
                      <w:t>han</w:t>
                    </w:r>
                    <w:r>
                      <w:rPr>
                        <w:rFonts w:ascii="Calibri" w:hAnsi="Calibri"/>
                        <w:b/>
                        <w:spacing w:val="-5"/>
                        <w:sz w:val="20"/>
                      </w:rPr>
                      <w:t> </w:t>
                    </w:r>
                    <w:r>
                      <w:rPr>
                        <w:rFonts w:ascii="Calibri" w:hAnsi="Calibri"/>
                        <w:b/>
                        <w:sz w:val="20"/>
                      </w:rPr>
                      <w:t>gobernado</w:t>
                    </w:r>
                    <w:r>
                      <w:rPr>
                        <w:rFonts w:ascii="Calibri" w:hAnsi="Calibri"/>
                        <w:b/>
                        <w:spacing w:val="-5"/>
                        <w:sz w:val="20"/>
                      </w:rPr>
                      <w:t> </w:t>
                    </w:r>
                    <w:r>
                      <w:rPr>
                        <w:rFonts w:ascii="Calibri" w:hAnsi="Calibri"/>
                        <w:b/>
                        <w:sz w:val="20"/>
                      </w:rPr>
                      <w:t>en</w:t>
                    </w:r>
                    <w:r>
                      <w:rPr>
                        <w:rFonts w:ascii="Calibri" w:hAnsi="Calibri"/>
                        <w:b/>
                        <w:spacing w:val="-5"/>
                        <w:sz w:val="20"/>
                      </w:rPr>
                      <w:t> </w:t>
                    </w:r>
                    <w:r>
                      <w:rPr>
                        <w:rFonts w:ascii="Calibri" w:hAnsi="Calibri"/>
                        <w:b/>
                        <w:sz w:val="20"/>
                      </w:rPr>
                      <w:t>los</w:t>
                    </w:r>
                    <w:r>
                      <w:rPr>
                        <w:rFonts w:ascii="Calibri" w:hAnsi="Calibri"/>
                        <w:b/>
                        <w:spacing w:val="-4"/>
                        <w:sz w:val="20"/>
                      </w:rPr>
                      <w:t> </w:t>
                    </w:r>
                    <w:r>
                      <w:rPr>
                        <w:rFonts w:ascii="Calibri" w:hAnsi="Calibri"/>
                        <w:b/>
                        <w:sz w:val="20"/>
                      </w:rPr>
                      <w:t>municipios</w:t>
                    </w:r>
                  </w:p>
                  <w:p>
                    <w:pPr>
                      <w:spacing w:line="240" w:lineRule="exact" w:before="0"/>
                      <w:ind w:left="8" w:right="0" w:firstLine="0"/>
                      <w:jc w:val="center"/>
                      <w:rPr>
                        <w:rFonts w:ascii="Calibri" w:hAnsi="Calibri"/>
                        <w:b/>
                        <w:sz w:val="20"/>
                      </w:rPr>
                    </w:pPr>
                    <w:r>
                      <w:rPr>
                        <w:rFonts w:ascii="Calibri" w:hAnsi="Calibri"/>
                        <w:b/>
                        <w:sz w:val="20"/>
                      </w:rPr>
                      <w:t>del Estado de México 2003-2013</w:t>
                    </w:r>
                  </w:p>
                </w:txbxContent>
              </v:textbox>
              <w10:wrap type="none"/>
            </v:shape>
            <v:shape style="position:absolute;left:2439;top:1050;width:203;height:3354" type="#_x0000_t202" filled="false" stroked="false">
              <v:textbox inset="0,0,0,0">
                <w:txbxContent>
                  <w:p>
                    <w:pPr>
                      <w:spacing w:line="203" w:lineRule="exact" w:before="0"/>
                      <w:ind w:left="0" w:right="0" w:firstLine="0"/>
                      <w:jc w:val="center"/>
                      <w:rPr>
                        <w:rFonts w:ascii="Calibri"/>
                        <w:sz w:val="20"/>
                      </w:rPr>
                    </w:pPr>
                    <w:r>
                      <w:rPr>
                        <w:rFonts w:ascii="Calibri"/>
                        <w:sz w:val="20"/>
                      </w:rPr>
                      <w:t>90</w:t>
                    </w:r>
                  </w:p>
                  <w:p>
                    <w:pPr>
                      <w:spacing w:before="106"/>
                      <w:ind w:left="0" w:right="0" w:firstLine="0"/>
                      <w:jc w:val="center"/>
                      <w:rPr>
                        <w:rFonts w:ascii="Calibri"/>
                        <w:sz w:val="20"/>
                      </w:rPr>
                    </w:pPr>
                    <w:r>
                      <w:rPr>
                        <w:rFonts w:ascii="Calibri"/>
                        <w:sz w:val="20"/>
                      </w:rPr>
                      <w:t>80</w:t>
                    </w:r>
                  </w:p>
                  <w:p>
                    <w:pPr>
                      <w:spacing w:before="106"/>
                      <w:ind w:left="0" w:right="0" w:firstLine="0"/>
                      <w:jc w:val="center"/>
                      <w:rPr>
                        <w:rFonts w:ascii="Calibri"/>
                        <w:sz w:val="20"/>
                      </w:rPr>
                    </w:pPr>
                    <w:r>
                      <w:rPr>
                        <w:rFonts w:ascii="Calibri"/>
                        <w:sz w:val="20"/>
                      </w:rPr>
                      <w:t>70</w:t>
                    </w:r>
                  </w:p>
                  <w:p>
                    <w:pPr>
                      <w:spacing w:before="106"/>
                      <w:ind w:left="0" w:right="0" w:firstLine="0"/>
                      <w:jc w:val="center"/>
                      <w:rPr>
                        <w:rFonts w:ascii="Calibri"/>
                        <w:sz w:val="20"/>
                      </w:rPr>
                    </w:pPr>
                    <w:r>
                      <w:rPr>
                        <w:rFonts w:ascii="Calibri"/>
                        <w:sz w:val="20"/>
                      </w:rPr>
                      <w:t>60</w:t>
                    </w:r>
                  </w:p>
                  <w:p>
                    <w:pPr>
                      <w:spacing w:before="106"/>
                      <w:ind w:left="0" w:right="0" w:firstLine="0"/>
                      <w:jc w:val="center"/>
                      <w:rPr>
                        <w:rFonts w:ascii="Calibri"/>
                        <w:sz w:val="20"/>
                      </w:rPr>
                    </w:pPr>
                    <w:r>
                      <w:rPr>
                        <w:rFonts w:ascii="Calibri"/>
                        <w:sz w:val="20"/>
                      </w:rPr>
                      <w:t>50</w:t>
                    </w:r>
                  </w:p>
                  <w:p>
                    <w:pPr>
                      <w:spacing w:before="106"/>
                      <w:ind w:left="0" w:right="0" w:firstLine="0"/>
                      <w:jc w:val="center"/>
                      <w:rPr>
                        <w:rFonts w:ascii="Calibri"/>
                        <w:sz w:val="20"/>
                      </w:rPr>
                    </w:pPr>
                    <w:r>
                      <w:rPr>
                        <w:rFonts w:ascii="Calibri"/>
                        <w:sz w:val="20"/>
                      </w:rPr>
                      <w:t>40</w:t>
                    </w:r>
                  </w:p>
                  <w:p>
                    <w:pPr>
                      <w:spacing w:before="106"/>
                      <w:ind w:left="0" w:right="0" w:firstLine="0"/>
                      <w:jc w:val="center"/>
                      <w:rPr>
                        <w:rFonts w:ascii="Calibri"/>
                        <w:sz w:val="20"/>
                      </w:rPr>
                    </w:pPr>
                    <w:r>
                      <w:rPr>
                        <w:rFonts w:ascii="Calibri"/>
                        <w:sz w:val="20"/>
                      </w:rPr>
                      <w:t>30</w:t>
                    </w:r>
                  </w:p>
                  <w:p>
                    <w:pPr>
                      <w:spacing w:before="106"/>
                      <w:ind w:left="0" w:right="0" w:firstLine="0"/>
                      <w:jc w:val="center"/>
                      <w:rPr>
                        <w:rFonts w:ascii="Calibri"/>
                        <w:sz w:val="20"/>
                      </w:rPr>
                    </w:pPr>
                    <w:r>
                      <w:rPr>
                        <w:rFonts w:ascii="Calibri"/>
                        <w:sz w:val="20"/>
                      </w:rPr>
                      <w:t>20</w:t>
                    </w:r>
                  </w:p>
                  <w:p>
                    <w:pPr>
                      <w:spacing w:before="106"/>
                      <w:ind w:left="0" w:right="0" w:firstLine="0"/>
                      <w:jc w:val="center"/>
                      <w:rPr>
                        <w:rFonts w:ascii="Calibri"/>
                        <w:sz w:val="20"/>
                      </w:rPr>
                    </w:pPr>
                    <w:r>
                      <w:rPr>
                        <w:rFonts w:ascii="Calibri"/>
                        <w:sz w:val="20"/>
                      </w:rPr>
                      <w:t>10</w:t>
                    </w:r>
                  </w:p>
                  <w:p>
                    <w:pPr>
                      <w:spacing w:line="240" w:lineRule="exact" w:before="106"/>
                      <w:ind w:left="101" w:right="0" w:firstLine="0"/>
                      <w:jc w:val="center"/>
                      <w:rPr>
                        <w:rFonts w:ascii="Calibri"/>
                        <w:sz w:val="20"/>
                      </w:rPr>
                    </w:pPr>
                    <w:r>
                      <w:rPr>
                        <w:rFonts w:ascii="Calibri"/>
                        <w:w w:val="99"/>
                        <w:sz w:val="20"/>
                      </w:rPr>
                      <w:t>0</w:t>
                    </w:r>
                  </w:p>
                </w:txbxContent>
              </v:textbox>
              <w10:wrap type="none"/>
            </v:shape>
            <v:shape style="position:absolute;left:5761;top:1448;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85</w:t>
                    </w:r>
                  </w:p>
                </w:txbxContent>
              </v:textbox>
              <w10:wrap type="none"/>
            </v:shape>
            <v:shape style="position:absolute;left:9332;top:2470;width:277;height:788" type="#_x0000_t202" filled="false" stroked="false">
              <v:textbox inset="0,0,0,0">
                <w:txbxContent>
                  <w:p>
                    <w:pPr>
                      <w:spacing w:line="164" w:lineRule="exact" w:before="0"/>
                      <w:ind w:left="0" w:right="-15" w:firstLine="0"/>
                      <w:jc w:val="left"/>
                      <w:rPr>
                        <w:rFonts w:ascii="Calibri"/>
                        <w:sz w:val="16"/>
                      </w:rPr>
                    </w:pPr>
                    <w:r>
                      <w:rPr>
                        <w:rFonts w:ascii="Calibri"/>
                        <w:sz w:val="16"/>
                      </w:rPr>
                      <w:t>Uno</w:t>
                    </w:r>
                  </w:p>
                  <w:p>
                    <w:pPr>
                      <w:spacing w:line="310" w:lineRule="atLeast" w:before="3"/>
                      <w:ind w:left="0" w:right="-19" w:firstLine="0"/>
                      <w:jc w:val="left"/>
                      <w:rPr>
                        <w:rFonts w:ascii="Calibri"/>
                        <w:sz w:val="16"/>
                      </w:rPr>
                    </w:pPr>
                    <w:r>
                      <w:rPr>
                        <w:rFonts w:ascii="Calibri"/>
                        <w:sz w:val="16"/>
                      </w:rPr>
                      <w:t>Dos Tres</w:t>
                    </w:r>
                  </w:p>
                </w:txbxContent>
              </v:textbox>
              <w10:wrap type="none"/>
            </v:shape>
            <v:shape style="position:absolute;left:3737;top:3341;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31</w:t>
                    </w:r>
                  </w:p>
                </w:txbxContent>
              </v:textbox>
              <w10:wrap type="none"/>
            </v:shape>
            <v:shape style="position:absolute;left:7835;top:4003;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9</w:t>
                    </w:r>
                  </w:p>
                </w:txbxContent>
              </v:textbox>
              <w10:wrap type="none"/>
            </v:shape>
            <v:shape style="position:absolute;left:3670;top:4464;width:4389;height:200" type="#_x0000_t202" filled="false" stroked="false">
              <v:textbox inset="0,0,0,0">
                <w:txbxContent>
                  <w:p>
                    <w:pPr>
                      <w:tabs>
                        <w:tab w:pos="2039" w:val="left" w:leader="none"/>
                        <w:tab w:pos="4044" w:val="left" w:leader="none"/>
                      </w:tabs>
                      <w:spacing w:line="199" w:lineRule="exact" w:before="0"/>
                      <w:ind w:left="0" w:right="0" w:firstLine="0"/>
                      <w:jc w:val="left"/>
                      <w:rPr>
                        <w:rFonts w:ascii="Calibri"/>
                        <w:sz w:val="20"/>
                      </w:rPr>
                    </w:pPr>
                    <w:r>
                      <w:rPr>
                        <w:rFonts w:ascii="Calibri"/>
                        <w:sz w:val="20"/>
                      </w:rPr>
                      <w:t>Uno</w:t>
                      <w:tab/>
                      <w:t>Dos</w:t>
                      <w:tab/>
                    </w:r>
                    <w:r>
                      <w:rPr>
                        <w:rFonts w:ascii="Calibri"/>
                        <w:w w:val="95"/>
                        <w:sz w:val="20"/>
                      </w:rPr>
                      <w:t>Tres</w:t>
                    </w:r>
                  </w:p>
                </w:txbxContent>
              </v:textbox>
              <w10:wrap type="none"/>
            </v:shape>
            <w10:wrap type="topAndBottom"/>
          </v:group>
        </w:pict>
      </w:r>
    </w:p>
    <w:p>
      <w:pPr>
        <w:pStyle w:val="BodyText"/>
        <w:rPr>
          <w:sz w:val="17"/>
        </w:rPr>
      </w:pPr>
    </w:p>
    <w:p>
      <w:pPr>
        <w:spacing w:before="81"/>
        <w:ind w:left="816" w:right="0" w:firstLine="0"/>
        <w:jc w:val="left"/>
        <w:rPr>
          <w:sz w:val="16"/>
        </w:rPr>
      </w:pPr>
      <w:r>
        <w:rPr>
          <w:sz w:val="16"/>
        </w:rPr>
        <w:t>Fuente: Elaboración propia con datos del IEEM.</w:t>
      </w:r>
    </w:p>
    <w:p>
      <w:pPr>
        <w:pStyle w:val="BodyText"/>
        <w:rPr>
          <w:sz w:val="16"/>
        </w:rPr>
      </w:pPr>
    </w:p>
    <w:p>
      <w:pPr>
        <w:pStyle w:val="BodyText"/>
        <w:rPr>
          <w:sz w:val="16"/>
        </w:rPr>
      </w:pPr>
    </w:p>
    <w:p>
      <w:pPr>
        <w:pStyle w:val="BodyText"/>
        <w:spacing w:before="1"/>
        <w:rPr>
          <w:sz w:val="18"/>
        </w:rPr>
      </w:pPr>
    </w:p>
    <w:p>
      <w:pPr>
        <w:pStyle w:val="BodyText"/>
        <w:spacing w:line="360" w:lineRule="auto"/>
        <w:ind w:left="108" w:right="237"/>
        <w:jc w:val="both"/>
      </w:pPr>
      <w:r>
        <w:rPr/>
        <w:t>Respecto</w:t>
      </w:r>
      <w:r>
        <w:rPr>
          <w:spacing w:val="-8"/>
        </w:rPr>
        <w:t> </w:t>
      </w:r>
      <w:r>
        <w:rPr/>
        <w:t>al</w:t>
      </w:r>
      <w:r>
        <w:rPr>
          <w:spacing w:val="-10"/>
        </w:rPr>
        <w:t> </w:t>
      </w:r>
      <w:r>
        <w:rPr/>
        <w:t>número</w:t>
      </w:r>
      <w:r>
        <w:rPr>
          <w:spacing w:val="-9"/>
        </w:rPr>
        <w:t> </w:t>
      </w:r>
      <w:r>
        <w:rPr/>
        <w:t>de</w:t>
      </w:r>
      <w:r>
        <w:rPr>
          <w:spacing w:val="-8"/>
        </w:rPr>
        <w:t> </w:t>
      </w:r>
      <w:r>
        <w:rPr/>
        <w:t>partidos</w:t>
      </w:r>
      <w:r>
        <w:rPr>
          <w:spacing w:val="-9"/>
        </w:rPr>
        <w:t> </w:t>
      </w:r>
      <w:r>
        <w:rPr/>
        <w:t>que</w:t>
      </w:r>
      <w:r>
        <w:rPr>
          <w:spacing w:val="-11"/>
        </w:rPr>
        <w:t> </w:t>
      </w:r>
      <w:r>
        <w:rPr/>
        <w:t>han</w:t>
      </w:r>
      <w:r>
        <w:rPr>
          <w:spacing w:val="-8"/>
        </w:rPr>
        <w:t> </w:t>
      </w:r>
      <w:r>
        <w:rPr/>
        <w:t>gobernado,</w:t>
      </w:r>
      <w:r>
        <w:rPr>
          <w:spacing w:val="-9"/>
        </w:rPr>
        <w:t> </w:t>
      </w:r>
      <w:r>
        <w:rPr/>
        <w:t>tal</w:t>
      </w:r>
      <w:r>
        <w:rPr>
          <w:spacing w:val="-10"/>
        </w:rPr>
        <w:t> </w:t>
      </w:r>
      <w:r>
        <w:rPr/>
        <w:t>como</w:t>
      </w:r>
      <w:r>
        <w:rPr>
          <w:spacing w:val="-8"/>
        </w:rPr>
        <w:t> </w:t>
      </w:r>
      <w:r>
        <w:rPr/>
        <w:t>se</w:t>
      </w:r>
      <w:r>
        <w:rPr>
          <w:spacing w:val="-8"/>
        </w:rPr>
        <w:t> </w:t>
      </w:r>
      <w:r>
        <w:rPr/>
        <w:t>muestra</w:t>
      </w:r>
      <w:r>
        <w:rPr>
          <w:spacing w:val="-9"/>
        </w:rPr>
        <w:t> </w:t>
      </w:r>
      <w:r>
        <w:rPr/>
        <w:t>en</w:t>
      </w:r>
      <w:r>
        <w:rPr>
          <w:spacing w:val="-8"/>
        </w:rPr>
        <w:t> </w:t>
      </w:r>
      <w:r>
        <w:rPr/>
        <w:t>la</w:t>
      </w:r>
      <w:r>
        <w:rPr>
          <w:spacing w:val="-9"/>
        </w:rPr>
        <w:t> </w:t>
      </w:r>
      <w:r>
        <w:rPr/>
        <w:t>tabla 2.1j se puede apreciar que 85 municipios al sido gobernados por 2 partidos en el periodo 2003-2006 lo que representa un total de 68%; en segundo lugar se encuentran los 31 municipios que han sido por un solo partido (PRI), equivalente al 24.8%,</w:t>
      </w:r>
      <w:r>
        <w:rPr>
          <w:spacing w:val="-9"/>
        </w:rPr>
        <w:t> </w:t>
      </w:r>
      <w:r>
        <w:rPr/>
        <w:t>en</w:t>
      </w:r>
      <w:r>
        <w:rPr>
          <w:spacing w:val="-8"/>
        </w:rPr>
        <w:t> </w:t>
      </w:r>
      <w:r>
        <w:rPr/>
        <w:t>tanto</w:t>
      </w:r>
      <w:r>
        <w:rPr>
          <w:spacing w:val="-8"/>
        </w:rPr>
        <w:t> </w:t>
      </w:r>
      <w:r>
        <w:rPr/>
        <w:t>que</w:t>
      </w:r>
      <w:r>
        <w:rPr>
          <w:spacing w:val="-8"/>
        </w:rPr>
        <w:t> </w:t>
      </w:r>
      <w:r>
        <w:rPr/>
        <w:t>los</w:t>
      </w:r>
      <w:r>
        <w:rPr>
          <w:spacing w:val="-9"/>
        </w:rPr>
        <w:t> </w:t>
      </w:r>
      <w:r>
        <w:rPr/>
        <w:t>9</w:t>
      </w:r>
      <w:r>
        <w:rPr>
          <w:spacing w:val="-8"/>
        </w:rPr>
        <w:t> </w:t>
      </w:r>
      <w:r>
        <w:rPr/>
        <w:t>municipios</w:t>
      </w:r>
      <w:r>
        <w:rPr>
          <w:spacing w:val="-9"/>
        </w:rPr>
        <w:t> </w:t>
      </w:r>
      <w:r>
        <w:rPr/>
        <w:t>que</w:t>
      </w:r>
      <w:r>
        <w:rPr>
          <w:spacing w:val="-8"/>
        </w:rPr>
        <w:t> </w:t>
      </w:r>
      <w:r>
        <w:rPr/>
        <w:t>han</w:t>
      </w:r>
      <w:r>
        <w:rPr>
          <w:spacing w:val="-11"/>
        </w:rPr>
        <w:t> </w:t>
      </w:r>
      <w:r>
        <w:rPr/>
        <w:t>sido</w:t>
      </w:r>
      <w:r>
        <w:rPr>
          <w:spacing w:val="-8"/>
        </w:rPr>
        <w:t> </w:t>
      </w:r>
      <w:r>
        <w:rPr/>
        <w:t>gobernados</w:t>
      </w:r>
      <w:r>
        <w:rPr>
          <w:spacing w:val="-9"/>
        </w:rPr>
        <w:t> </w:t>
      </w:r>
      <w:r>
        <w:rPr/>
        <w:t>por</w:t>
      </w:r>
      <w:r>
        <w:rPr>
          <w:spacing w:val="-10"/>
        </w:rPr>
        <w:t> </w:t>
      </w:r>
      <w:r>
        <w:rPr/>
        <w:t>3</w:t>
      </w:r>
      <w:r>
        <w:rPr>
          <w:spacing w:val="-8"/>
        </w:rPr>
        <w:t> </w:t>
      </w:r>
      <w:r>
        <w:rPr/>
        <w:t>partidos</w:t>
      </w:r>
      <w:r>
        <w:rPr>
          <w:spacing w:val="-9"/>
        </w:rPr>
        <w:t> </w:t>
      </w:r>
      <w:r>
        <w:rPr/>
        <w:t>suman un 7.2% del</w:t>
      </w:r>
      <w:r>
        <w:rPr>
          <w:spacing w:val="-4"/>
        </w:rPr>
        <w:t> </w:t>
      </w:r>
      <w:r>
        <w:rPr/>
        <w:t>total.</w:t>
      </w:r>
    </w:p>
    <w:p>
      <w:pPr>
        <w:spacing w:after="0" w:line="360" w:lineRule="auto"/>
        <w:jc w:val="both"/>
        <w:sectPr>
          <w:pgSz w:w="12240" w:h="15840"/>
          <w:pgMar w:header="0" w:footer="975" w:top="1360" w:bottom="1220" w:left="1500" w:right="1460"/>
        </w:sectPr>
      </w:pPr>
    </w:p>
    <w:p>
      <w:pPr>
        <w:pStyle w:val="Heading1"/>
        <w:numPr>
          <w:ilvl w:val="0"/>
          <w:numId w:val="54"/>
        </w:numPr>
        <w:tabs>
          <w:tab w:pos="536" w:val="left" w:leader="none"/>
        </w:tabs>
        <w:spacing w:line="240" w:lineRule="auto" w:before="54" w:after="0"/>
        <w:ind w:left="535" w:right="0" w:hanging="360"/>
        <w:jc w:val="left"/>
      </w:pPr>
      <w:r>
        <w:rPr/>
        <w:pict>
          <v:shape style="position:absolute;margin-left:135.98999pt;margin-top:437.960205pt;width:10.050pt;height:77.45pt;mso-position-horizontal-relative:page;mso-position-vertical-relative:page;z-index:7312" type="#_x0000_t202" filled="false" stroked="false">
            <v:textbox inset="0,0,0,0" style="layout-flow:vertical;mso-layout-flow-alt:bottom-to-top">
              <w:txbxContent>
                <w:p>
                  <w:pPr>
                    <w:spacing w:line="184" w:lineRule="exact" w:before="0"/>
                    <w:ind w:left="20" w:right="0" w:firstLine="0"/>
                    <w:jc w:val="left"/>
                    <w:rPr>
                      <w:rFonts w:ascii="Calibri" w:hAnsi="Calibri"/>
                      <w:b/>
                      <w:sz w:val="16"/>
                    </w:rPr>
                  </w:pPr>
                  <w:r>
                    <w:rPr>
                      <w:rFonts w:ascii="Calibri" w:hAnsi="Calibri"/>
                      <w:b/>
                      <w:w w:val="100"/>
                      <w:sz w:val="16"/>
                    </w:rPr>
                    <w:t>Número</w:t>
                  </w:r>
                  <w:r>
                    <w:rPr>
                      <w:rFonts w:ascii="Calibri" w:hAnsi="Calibri"/>
                      <w:b/>
                      <w:spacing w:val="-6"/>
                      <w:sz w:val="16"/>
                    </w:rPr>
                    <w:t> </w:t>
                  </w:r>
                  <w:r>
                    <w:rPr>
                      <w:rFonts w:ascii="Calibri" w:hAnsi="Calibri"/>
                      <w:b/>
                      <w:w w:val="100"/>
                      <w:sz w:val="16"/>
                    </w:rPr>
                    <w:t>de</w:t>
                  </w:r>
                  <w:r>
                    <w:rPr>
                      <w:rFonts w:ascii="Calibri" w:hAnsi="Calibri"/>
                      <w:b/>
                      <w:sz w:val="16"/>
                    </w:rPr>
                    <w:t> </w:t>
                  </w:r>
                  <w:r>
                    <w:rPr>
                      <w:rFonts w:ascii="Calibri" w:hAnsi="Calibri"/>
                      <w:b/>
                      <w:w w:val="100"/>
                      <w:sz w:val="16"/>
                    </w:rPr>
                    <w:t>mun</w:t>
                  </w:r>
                  <w:r>
                    <w:rPr>
                      <w:rFonts w:ascii="Calibri" w:hAnsi="Calibri"/>
                      <w:b/>
                      <w:spacing w:val="-2"/>
                      <w:w w:val="100"/>
                      <w:sz w:val="16"/>
                    </w:rPr>
                    <w:t>i</w:t>
                  </w:r>
                  <w:r>
                    <w:rPr>
                      <w:rFonts w:ascii="Calibri" w:hAnsi="Calibri"/>
                      <w:b/>
                      <w:spacing w:val="-1"/>
                      <w:w w:val="100"/>
                      <w:sz w:val="16"/>
                    </w:rPr>
                    <w:t>c</w:t>
                  </w:r>
                  <w:r>
                    <w:rPr>
                      <w:rFonts w:ascii="Calibri" w:hAnsi="Calibri"/>
                      <w:b/>
                      <w:spacing w:val="-2"/>
                      <w:w w:val="100"/>
                      <w:sz w:val="16"/>
                    </w:rPr>
                    <w:t>i</w:t>
                  </w:r>
                  <w:r>
                    <w:rPr>
                      <w:rFonts w:ascii="Calibri" w:hAnsi="Calibri"/>
                      <w:b/>
                      <w:w w:val="100"/>
                      <w:sz w:val="16"/>
                    </w:rPr>
                    <w:t>p</w:t>
                  </w:r>
                  <w:r>
                    <w:rPr>
                      <w:rFonts w:ascii="Calibri" w:hAnsi="Calibri"/>
                      <w:b/>
                      <w:spacing w:val="-2"/>
                      <w:w w:val="100"/>
                      <w:sz w:val="16"/>
                    </w:rPr>
                    <w:t>i</w:t>
                  </w:r>
                  <w:r>
                    <w:rPr>
                      <w:rFonts w:ascii="Calibri" w:hAnsi="Calibri"/>
                      <w:b/>
                      <w:w w:val="100"/>
                      <w:sz w:val="16"/>
                    </w:rPr>
                    <w:t>os</w:t>
                  </w:r>
                </w:p>
              </w:txbxContent>
            </v:textbox>
            <w10:wrap type="none"/>
          </v:shape>
        </w:pict>
      </w:r>
      <w:r>
        <w:rPr/>
        <w:t>Grado de marginación de los municipios del Estado de</w:t>
      </w:r>
      <w:r>
        <w:rPr>
          <w:spacing w:val="-12"/>
        </w:rPr>
        <w:t> </w:t>
      </w:r>
      <w:r>
        <w:rPr/>
        <w:t>México.</w:t>
      </w:r>
    </w:p>
    <w:p>
      <w:pPr>
        <w:pStyle w:val="BodyText"/>
        <w:rPr>
          <w:b/>
          <w:sz w:val="20"/>
        </w:rPr>
      </w:pPr>
    </w:p>
    <w:p>
      <w:pPr>
        <w:pStyle w:val="BodyText"/>
        <w:rPr>
          <w:b/>
          <w:sz w:val="20"/>
        </w:rPr>
      </w:pPr>
    </w:p>
    <w:p>
      <w:pPr>
        <w:pStyle w:val="BodyText"/>
        <w:spacing w:before="2"/>
        <w:rPr>
          <w:b/>
          <w:sz w:val="22"/>
        </w:rPr>
      </w:pPr>
    </w:p>
    <w:tbl>
      <w:tblPr>
        <w:tblW w:w="0" w:type="auto"/>
        <w:jc w:val="left"/>
        <w:tblInd w:w="6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2"/>
        <w:gridCol w:w="1083"/>
        <w:gridCol w:w="1195"/>
        <w:gridCol w:w="1402"/>
        <w:gridCol w:w="1402"/>
        <w:gridCol w:w="1796"/>
      </w:tblGrid>
      <w:tr>
        <w:trPr>
          <w:trHeight w:val="322" w:hRule="exact"/>
        </w:trPr>
        <w:tc>
          <w:tcPr>
            <w:tcW w:w="7780" w:type="dxa"/>
            <w:gridSpan w:val="6"/>
            <w:shd w:val="clear" w:color="auto" w:fill="92D050"/>
          </w:tcPr>
          <w:p>
            <w:pPr>
              <w:pStyle w:val="TableParagraph"/>
              <w:spacing w:line="201" w:lineRule="exact"/>
              <w:ind w:left="1507"/>
              <w:jc w:val="left"/>
              <w:rPr>
                <w:b/>
                <w:sz w:val="18"/>
              </w:rPr>
            </w:pPr>
            <w:r>
              <w:rPr>
                <w:b/>
                <w:sz w:val="18"/>
              </w:rPr>
              <w:t>Tabla 3.27 Grado de marginación del municipio en 2005</w:t>
            </w:r>
          </w:p>
        </w:tc>
      </w:tr>
      <w:tr>
        <w:trPr>
          <w:trHeight w:val="629" w:hRule="exact"/>
        </w:trPr>
        <w:tc>
          <w:tcPr>
            <w:tcW w:w="1985" w:type="dxa"/>
            <w:gridSpan w:val="2"/>
            <w:shd w:val="clear" w:color="auto" w:fill="92D050"/>
          </w:tcPr>
          <w:p>
            <w:pPr>
              <w:pStyle w:val="TableParagraph"/>
              <w:spacing w:line="360" w:lineRule="auto"/>
              <w:ind w:left="496" w:right="479" w:firstLine="112"/>
              <w:jc w:val="left"/>
              <w:rPr>
                <w:sz w:val="18"/>
              </w:rPr>
            </w:pPr>
            <w:r>
              <w:rPr>
                <w:sz w:val="18"/>
              </w:rPr>
              <w:t>Grado de marginación</w:t>
            </w:r>
          </w:p>
        </w:tc>
        <w:tc>
          <w:tcPr>
            <w:tcW w:w="1195" w:type="dxa"/>
            <w:shd w:val="clear" w:color="auto" w:fill="92D050"/>
          </w:tcPr>
          <w:p>
            <w:pPr>
              <w:pStyle w:val="TableParagraph"/>
              <w:spacing w:line="206" w:lineRule="exact"/>
              <w:ind w:left="127" w:right="128"/>
              <w:rPr>
                <w:sz w:val="18"/>
              </w:rPr>
            </w:pPr>
            <w:r>
              <w:rPr>
                <w:sz w:val="18"/>
              </w:rPr>
              <w:t>Frecuencia</w:t>
            </w:r>
          </w:p>
        </w:tc>
        <w:tc>
          <w:tcPr>
            <w:tcW w:w="1402" w:type="dxa"/>
            <w:shd w:val="clear" w:color="auto" w:fill="92D050"/>
          </w:tcPr>
          <w:p>
            <w:pPr>
              <w:pStyle w:val="TableParagraph"/>
              <w:spacing w:line="206" w:lineRule="exact"/>
              <w:ind w:left="245" w:right="245"/>
              <w:rPr>
                <w:sz w:val="18"/>
              </w:rPr>
            </w:pPr>
            <w:r>
              <w:rPr>
                <w:sz w:val="18"/>
              </w:rPr>
              <w:t>Porcentaje</w:t>
            </w:r>
          </w:p>
        </w:tc>
        <w:tc>
          <w:tcPr>
            <w:tcW w:w="1402" w:type="dxa"/>
            <w:shd w:val="clear" w:color="auto" w:fill="92D050"/>
          </w:tcPr>
          <w:p>
            <w:pPr>
              <w:pStyle w:val="TableParagraph"/>
              <w:spacing w:line="360" w:lineRule="auto"/>
              <w:ind w:left="460" w:right="248" w:hanging="197"/>
              <w:jc w:val="left"/>
              <w:rPr>
                <w:sz w:val="18"/>
              </w:rPr>
            </w:pPr>
            <w:r>
              <w:rPr>
                <w:sz w:val="18"/>
              </w:rPr>
              <w:t>Porcentaje válido</w:t>
            </w:r>
          </w:p>
        </w:tc>
        <w:tc>
          <w:tcPr>
            <w:tcW w:w="1796" w:type="dxa"/>
            <w:shd w:val="clear" w:color="auto" w:fill="92D050"/>
          </w:tcPr>
          <w:p>
            <w:pPr>
              <w:pStyle w:val="TableParagraph"/>
              <w:spacing w:line="360" w:lineRule="auto"/>
              <w:ind w:left="451" w:right="434" w:firstLine="9"/>
              <w:jc w:val="left"/>
              <w:rPr>
                <w:sz w:val="18"/>
              </w:rPr>
            </w:pPr>
            <w:r>
              <w:rPr>
                <w:sz w:val="18"/>
              </w:rPr>
              <w:t>Porcentaje acumulado</w:t>
            </w:r>
          </w:p>
        </w:tc>
      </w:tr>
      <w:tr>
        <w:trPr>
          <w:trHeight w:val="331" w:hRule="exact"/>
        </w:trPr>
        <w:tc>
          <w:tcPr>
            <w:tcW w:w="902" w:type="dxa"/>
            <w:vMerge w:val="restart"/>
          </w:tcPr>
          <w:p>
            <w:pPr>
              <w:pStyle w:val="TableParagraph"/>
              <w:jc w:val="left"/>
              <w:rPr>
                <w:b/>
                <w:sz w:val="18"/>
              </w:rPr>
            </w:pPr>
          </w:p>
          <w:p>
            <w:pPr>
              <w:pStyle w:val="TableParagraph"/>
              <w:jc w:val="left"/>
              <w:rPr>
                <w:b/>
                <w:sz w:val="18"/>
              </w:rPr>
            </w:pPr>
          </w:p>
          <w:p>
            <w:pPr>
              <w:pStyle w:val="TableParagraph"/>
              <w:jc w:val="left"/>
              <w:rPr>
                <w:b/>
                <w:sz w:val="18"/>
              </w:rPr>
            </w:pPr>
          </w:p>
          <w:p>
            <w:pPr>
              <w:pStyle w:val="TableParagraph"/>
              <w:jc w:val="left"/>
              <w:rPr>
                <w:b/>
                <w:sz w:val="18"/>
              </w:rPr>
            </w:pPr>
          </w:p>
          <w:p>
            <w:pPr>
              <w:pStyle w:val="TableParagraph"/>
              <w:jc w:val="left"/>
              <w:rPr>
                <w:b/>
                <w:sz w:val="18"/>
              </w:rPr>
            </w:pPr>
          </w:p>
          <w:p>
            <w:pPr>
              <w:pStyle w:val="TableParagraph"/>
              <w:jc w:val="left"/>
              <w:rPr>
                <w:b/>
                <w:sz w:val="18"/>
              </w:rPr>
            </w:pPr>
          </w:p>
          <w:p>
            <w:pPr>
              <w:pStyle w:val="TableParagraph"/>
              <w:ind w:left="148"/>
              <w:jc w:val="left"/>
              <w:rPr>
                <w:sz w:val="18"/>
              </w:rPr>
            </w:pPr>
            <w:r>
              <w:rPr>
                <w:sz w:val="18"/>
              </w:rPr>
              <w:t>Válidos</w:t>
            </w:r>
          </w:p>
        </w:tc>
        <w:tc>
          <w:tcPr>
            <w:tcW w:w="1083" w:type="dxa"/>
          </w:tcPr>
          <w:p>
            <w:pPr>
              <w:pStyle w:val="TableParagraph"/>
              <w:spacing w:before="1"/>
              <w:ind w:left="139" w:right="142"/>
              <w:rPr>
                <w:sz w:val="18"/>
              </w:rPr>
            </w:pPr>
            <w:r>
              <w:rPr>
                <w:sz w:val="18"/>
              </w:rPr>
              <w:t>Sin datos</w:t>
            </w:r>
          </w:p>
        </w:tc>
        <w:tc>
          <w:tcPr>
            <w:tcW w:w="1195" w:type="dxa"/>
          </w:tcPr>
          <w:p>
            <w:pPr>
              <w:pStyle w:val="TableParagraph"/>
              <w:spacing w:before="1"/>
              <w:rPr>
                <w:sz w:val="18"/>
              </w:rPr>
            </w:pPr>
            <w:r>
              <w:rPr>
                <w:w w:val="99"/>
                <w:sz w:val="18"/>
              </w:rPr>
              <w:t>1</w:t>
            </w:r>
          </w:p>
        </w:tc>
        <w:tc>
          <w:tcPr>
            <w:tcW w:w="1402" w:type="dxa"/>
          </w:tcPr>
          <w:p>
            <w:pPr>
              <w:pStyle w:val="TableParagraph"/>
              <w:spacing w:before="1"/>
              <w:ind w:left="244" w:right="245"/>
              <w:rPr>
                <w:sz w:val="18"/>
              </w:rPr>
            </w:pPr>
            <w:r>
              <w:rPr>
                <w:sz w:val="18"/>
              </w:rPr>
              <w:t>.8</w:t>
            </w:r>
          </w:p>
        </w:tc>
        <w:tc>
          <w:tcPr>
            <w:tcW w:w="1402" w:type="dxa"/>
          </w:tcPr>
          <w:p>
            <w:pPr>
              <w:pStyle w:val="TableParagraph"/>
              <w:spacing w:before="1"/>
              <w:ind w:left="245" w:right="245"/>
              <w:rPr>
                <w:sz w:val="18"/>
              </w:rPr>
            </w:pPr>
            <w:r>
              <w:rPr>
                <w:sz w:val="18"/>
              </w:rPr>
              <w:t>.8</w:t>
            </w:r>
          </w:p>
        </w:tc>
        <w:tc>
          <w:tcPr>
            <w:tcW w:w="1796" w:type="dxa"/>
          </w:tcPr>
          <w:p>
            <w:pPr>
              <w:pStyle w:val="TableParagraph"/>
              <w:spacing w:before="1"/>
              <w:ind w:left="646" w:right="647"/>
              <w:rPr>
                <w:sz w:val="18"/>
              </w:rPr>
            </w:pPr>
            <w:r>
              <w:rPr>
                <w:sz w:val="18"/>
              </w:rPr>
              <w:t>.8</w:t>
            </w:r>
          </w:p>
        </w:tc>
      </w:tr>
      <w:tr>
        <w:trPr>
          <w:trHeight w:val="329" w:hRule="exact"/>
        </w:trPr>
        <w:tc>
          <w:tcPr>
            <w:tcW w:w="902" w:type="dxa"/>
            <w:vMerge/>
          </w:tcPr>
          <w:p>
            <w:pPr/>
          </w:p>
        </w:tc>
        <w:tc>
          <w:tcPr>
            <w:tcW w:w="1083" w:type="dxa"/>
          </w:tcPr>
          <w:p>
            <w:pPr>
              <w:pStyle w:val="TableParagraph"/>
              <w:spacing w:line="206" w:lineRule="exact"/>
              <w:ind w:left="139" w:right="141"/>
              <w:rPr>
                <w:sz w:val="18"/>
              </w:rPr>
            </w:pPr>
            <w:r>
              <w:rPr>
                <w:sz w:val="18"/>
              </w:rPr>
              <w:t>Muy alto</w:t>
            </w:r>
          </w:p>
        </w:tc>
        <w:tc>
          <w:tcPr>
            <w:tcW w:w="1195" w:type="dxa"/>
          </w:tcPr>
          <w:p>
            <w:pPr>
              <w:pStyle w:val="TableParagraph"/>
              <w:spacing w:line="206" w:lineRule="exact"/>
              <w:ind w:left="127" w:right="127"/>
              <w:rPr>
                <w:sz w:val="18"/>
              </w:rPr>
            </w:pPr>
            <w:r>
              <w:rPr>
                <w:sz w:val="18"/>
              </w:rPr>
              <w:t>17</w:t>
            </w:r>
          </w:p>
        </w:tc>
        <w:tc>
          <w:tcPr>
            <w:tcW w:w="1402" w:type="dxa"/>
          </w:tcPr>
          <w:p>
            <w:pPr>
              <w:pStyle w:val="TableParagraph"/>
              <w:spacing w:line="206" w:lineRule="exact"/>
              <w:ind w:left="245" w:right="245"/>
              <w:rPr>
                <w:sz w:val="18"/>
              </w:rPr>
            </w:pPr>
            <w:r>
              <w:rPr>
                <w:sz w:val="18"/>
              </w:rPr>
              <w:t>13.6</w:t>
            </w:r>
          </w:p>
        </w:tc>
        <w:tc>
          <w:tcPr>
            <w:tcW w:w="1402" w:type="dxa"/>
          </w:tcPr>
          <w:p>
            <w:pPr>
              <w:pStyle w:val="TableParagraph"/>
              <w:spacing w:line="206" w:lineRule="exact"/>
              <w:ind w:left="245" w:right="245"/>
              <w:rPr>
                <w:sz w:val="18"/>
              </w:rPr>
            </w:pPr>
            <w:r>
              <w:rPr>
                <w:sz w:val="18"/>
              </w:rPr>
              <w:t>13.6</w:t>
            </w:r>
          </w:p>
        </w:tc>
        <w:tc>
          <w:tcPr>
            <w:tcW w:w="1796" w:type="dxa"/>
          </w:tcPr>
          <w:p>
            <w:pPr>
              <w:pStyle w:val="TableParagraph"/>
              <w:spacing w:line="206" w:lineRule="exact"/>
              <w:ind w:left="647" w:right="647"/>
              <w:rPr>
                <w:sz w:val="18"/>
              </w:rPr>
            </w:pPr>
            <w:r>
              <w:rPr>
                <w:sz w:val="18"/>
              </w:rPr>
              <w:t>14.4</w:t>
            </w:r>
          </w:p>
        </w:tc>
      </w:tr>
      <w:tr>
        <w:trPr>
          <w:trHeight w:val="329" w:hRule="exact"/>
        </w:trPr>
        <w:tc>
          <w:tcPr>
            <w:tcW w:w="902" w:type="dxa"/>
            <w:vMerge/>
          </w:tcPr>
          <w:p>
            <w:pPr/>
          </w:p>
        </w:tc>
        <w:tc>
          <w:tcPr>
            <w:tcW w:w="1083" w:type="dxa"/>
          </w:tcPr>
          <w:p>
            <w:pPr>
              <w:pStyle w:val="TableParagraph"/>
              <w:spacing w:line="206" w:lineRule="exact"/>
              <w:ind w:left="139" w:right="141"/>
              <w:rPr>
                <w:sz w:val="18"/>
              </w:rPr>
            </w:pPr>
            <w:r>
              <w:rPr>
                <w:sz w:val="18"/>
              </w:rPr>
              <w:t>Alto</w:t>
            </w:r>
          </w:p>
        </w:tc>
        <w:tc>
          <w:tcPr>
            <w:tcW w:w="1195" w:type="dxa"/>
          </w:tcPr>
          <w:p>
            <w:pPr>
              <w:pStyle w:val="TableParagraph"/>
              <w:spacing w:line="206" w:lineRule="exact"/>
              <w:ind w:left="127" w:right="127"/>
              <w:rPr>
                <w:sz w:val="18"/>
              </w:rPr>
            </w:pPr>
            <w:r>
              <w:rPr>
                <w:sz w:val="18"/>
              </w:rPr>
              <w:t>31</w:t>
            </w:r>
          </w:p>
        </w:tc>
        <w:tc>
          <w:tcPr>
            <w:tcW w:w="1402" w:type="dxa"/>
          </w:tcPr>
          <w:p>
            <w:pPr>
              <w:pStyle w:val="TableParagraph"/>
              <w:spacing w:line="206" w:lineRule="exact"/>
              <w:ind w:left="245" w:right="245"/>
              <w:rPr>
                <w:sz w:val="18"/>
              </w:rPr>
            </w:pPr>
            <w:r>
              <w:rPr>
                <w:sz w:val="18"/>
              </w:rPr>
              <w:t>24.8</w:t>
            </w:r>
          </w:p>
        </w:tc>
        <w:tc>
          <w:tcPr>
            <w:tcW w:w="1402" w:type="dxa"/>
          </w:tcPr>
          <w:p>
            <w:pPr>
              <w:pStyle w:val="TableParagraph"/>
              <w:spacing w:line="206" w:lineRule="exact"/>
              <w:ind w:left="245" w:right="245"/>
              <w:rPr>
                <w:sz w:val="18"/>
              </w:rPr>
            </w:pPr>
            <w:r>
              <w:rPr>
                <w:sz w:val="18"/>
              </w:rPr>
              <w:t>24.8</w:t>
            </w:r>
          </w:p>
        </w:tc>
        <w:tc>
          <w:tcPr>
            <w:tcW w:w="1796" w:type="dxa"/>
          </w:tcPr>
          <w:p>
            <w:pPr>
              <w:pStyle w:val="TableParagraph"/>
              <w:spacing w:line="206" w:lineRule="exact"/>
              <w:ind w:left="647" w:right="647"/>
              <w:rPr>
                <w:sz w:val="18"/>
              </w:rPr>
            </w:pPr>
            <w:r>
              <w:rPr>
                <w:sz w:val="18"/>
              </w:rPr>
              <w:t>39.2</w:t>
            </w:r>
          </w:p>
        </w:tc>
      </w:tr>
      <w:tr>
        <w:trPr>
          <w:trHeight w:val="329" w:hRule="exact"/>
        </w:trPr>
        <w:tc>
          <w:tcPr>
            <w:tcW w:w="902" w:type="dxa"/>
            <w:vMerge/>
          </w:tcPr>
          <w:p>
            <w:pPr/>
          </w:p>
        </w:tc>
        <w:tc>
          <w:tcPr>
            <w:tcW w:w="1083" w:type="dxa"/>
          </w:tcPr>
          <w:p>
            <w:pPr>
              <w:pStyle w:val="TableParagraph"/>
              <w:spacing w:line="206" w:lineRule="exact"/>
              <w:ind w:left="135" w:right="142"/>
              <w:rPr>
                <w:sz w:val="18"/>
              </w:rPr>
            </w:pPr>
            <w:r>
              <w:rPr>
                <w:sz w:val="18"/>
              </w:rPr>
              <w:t>Medio</w:t>
            </w:r>
          </w:p>
        </w:tc>
        <w:tc>
          <w:tcPr>
            <w:tcW w:w="1195" w:type="dxa"/>
          </w:tcPr>
          <w:p>
            <w:pPr>
              <w:pStyle w:val="TableParagraph"/>
              <w:spacing w:line="206" w:lineRule="exact"/>
              <w:ind w:left="127" w:right="127"/>
              <w:rPr>
                <w:sz w:val="18"/>
              </w:rPr>
            </w:pPr>
            <w:r>
              <w:rPr>
                <w:sz w:val="18"/>
              </w:rPr>
              <w:t>23</w:t>
            </w:r>
          </w:p>
        </w:tc>
        <w:tc>
          <w:tcPr>
            <w:tcW w:w="1402" w:type="dxa"/>
          </w:tcPr>
          <w:p>
            <w:pPr>
              <w:pStyle w:val="TableParagraph"/>
              <w:spacing w:line="206" w:lineRule="exact"/>
              <w:ind w:left="245" w:right="245"/>
              <w:rPr>
                <w:sz w:val="18"/>
              </w:rPr>
            </w:pPr>
            <w:r>
              <w:rPr>
                <w:sz w:val="18"/>
              </w:rPr>
              <w:t>18.4</w:t>
            </w:r>
          </w:p>
        </w:tc>
        <w:tc>
          <w:tcPr>
            <w:tcW w:w="1402" w:type="dxa"/>
          </w:tcPr>
          <w:p>
            <w:pPr>
              <w:pStyle w:val="TableParagraph"/>
              <w:spacing w:line="206" w:lineRule="exact"/>
              <w:ind w:left="245" w:right="245"/>
              <w:rPr>
                <w:sz w:val="18"/>
              </w:rPr>
            </w:pPr>
            <w:r>
              <w:rPr>
                <w:sz w:val="18"/>
              </w:rPr>
              <w:t>18.4</w:t>
            </w:r>
          </w:p>
        </w:tc>
        <w:tc>
          <w:tcPr>
            <w:tcW w:w="1796" w:type="dxa"/>
          </w:tcPr>
          <w:p>
            <w:pPr>
              <w:pStyle w:val="TableParagraph"/>
              <w:spacing w:line="206" w:lineRule="exact"/>
              <w:ind w:left="647" w:right="647"/>
              <w:rPr>
                <w:sz w:val="18"/>
              </w:rPr>
            </w:pPr>
            <w:r>
              <w:rPr>
                <w:sz w:val="18"/>
              </w:rPr>
              <w:t>57.6</w:t>
            </w:r>
          </w:p>
        </w:tc>
      </w:tr>
      <w:tr>
        <w:trPr>
          <w:trHeight w:val="329" w:hRule="exact"/>
        </w:trPr>
        <w:tc>
          <w:tcPr>
            <w:tcW w:w="902" w:type="dxa"/>
            <w:vMerge/>
          </w:tcPr>
          <w:p>
            <w:pPr/>
          </w:p>
        </w:tc>
        <w:tc>
          <w:tcPr>
            <w:tcW w:w="1083" w:type="dxa"/>
          </w:tcPr>
          <w:p>
            <w:pPr>
              <w:pStyle w:val="TableParagraph"/>
              <w:spacing w:line="206" w:lineRule="exact"/>
              <w:ind w:left="138" w:right="142"/>
              <w:rPr>
                <w:sz w:val="18"/>
              </w:rPr>
            </w:pPr>
            <w:r>
              <w:rPr>
                <w:sz w:val="18"/>
              </w:rPr>
              <w:t>Bajo</w:t>
            </w:r>
          </w:p>
        </w:tc>
        <w:tc>
          <w:tcPr>
            <w:tcW w:w="1195" w:type="dxa"/>
          </w:tcPr>
          <w:p>
            <w:pPr>
              <w:pStyle w:val="TableParagraph"/>
              <w:spacing w:line="206" w:lineRule="exact"/>
              <w:ind w:left="127" w:right="127"/>
              <w:rPr>
                <w:sz w:val="18"/>
              </w:rPr>
            </w:pPr>
            <w:r>
              <w:rPr>
                <w:sz w:val="18"/>
              </w:rPr>
              <w:t>46</w:t>
            </w:r>
          </w:p>
        </w:tc>
        <w:tc>
          <w:tcPr>
            <w:tcW w:w="1402" w:type="dxa"/>
          </w:tcPr>
          <w:p>
            <w:pPr>
              <w:pStyle w:val="TableParagraph"/>
              <w:spacing w:line="206" w:lineRule="exact"/>
              <w:ind w:left="245" w:right="245"/>
              <w:rPr>
                <w:sz w:val="18"/>
              </w:rPr>
            </w:pPr>
            <w:r>
              <w:rPr>
                <w:sz w:val="18"/>
              </w:rPr>
              <w:t>36.8</w:t>
            </w:r>
          </w:p>
        </w:tc>
        <w:tc>
          <w:tcPr>
            <w:tcW w:w="1402" w:type="dxa"/>
          </w:tcPr>
          <w:p>
            <w:pPr>
              <w:pStyle w:val="TableParagraph"/>
              <w:spacing w:line="206" w:lineRule="exact"/>
              <w:ind w:left="245" w:right="245"/>
              <w:rPr>
                <w:sz w:val="18"/>
              </w:rPr>
            </w:pPr>
            <w:r>
              <w:rPr>
                <w:sz w:val="18"/>
              </w:rPr>
              <w:t>36.8</w:t>
            </w:r>
          </w:p>
        </w:tc>
        <w:tc>
          <w:tcPr>
            <w:tcW w:w="1796" w:type="dxa"/>
          </w:tcPr>
          <w:p>
            <w:pPr>
              <w:pStyle w:val="TableParagraph"/>
              <w:spacing w:line="206" w:lineRule="exact"/>
              <w:ind w:left="647" w:right="647"/>
              <w:rPr>
                <w:sz w:val="18"/>
              </w:rPr>
            </w:pPr>
            <w:r>
              <w:rPr>
                <w:sz w:val="18"/>
              </w:rPr>
              <w:t>94.4</w:t>
            </w:r>
          </w:p>
        </w:tc>
      </w:tr>
      <w:tr>
        <w:trPr>
          <w:trHeight w:val="329" w:hRule="exact"/>
        </w:trPr>
        <w:tc>
          <w:tcPr>
            <w:tcW w:w="902" w:type="dxa"/>
            <w:vMerge/>
          </w:tcPr>
          <w:p>
            <w:pPr/>
          </w:p>
        </w:tc>
        <w:tc>
          <w:tcPr>
            <w:tcW w:w="1083" w:type="dxa"/>
          </w:tcPr>
          <w:p>
            <w:pPr>
              <w:pStyle w:val="TableParagraph"/>
              <w:spacing w:line="206" w:lineRule="exact"/>
              <w:ind w:left="138" w:right="142"/>
              <w:rPr>
                <w:sz w:val="18"/>
              </w:rPr>
            </w:pPr>
            <w:r>
              <w:rPr>
                <w:sz w:val="18"/>
              </w:rPr>
              <w:t>Muy bajo</w:t>
            </w:r>
          </w:p>
        </w:tc>
        <w:tc>
          <w:tcPr>
            <w:tcW w:w="1195" w:type="dxa"/>
          </w:tcPr>
          <w:p>
            <w:pPr>
              <w:pStyle w:val="TableParagraph"/>
              <w:spacing w:line="206" w:lineRule="exact"/>
              <w:rPr>
                <w:sz w:val="18"/>
              </w:rPr>
            </w:pPr>
            <w:r>
              <w:rPr>
                <w:w w:val="99"/>
                <w:sz w:val="18"/>
              </w:rPr>
              <w:t>7</w:t>
            </w:r>
          </w:p>
        </w:tc>
        <w:tc>
          <w:tcPr>
            <w:tcW w:w="1402" w:type="dxa"/>
          </w:tcPr>
          <w:p>
            <w:pPr>
              <w:pStyle w:val="TableParagraph"/>
              <w:spacing w:line="206" w:lineRule="exact"/>
              <w:ind w:left="245" w:right="245"/>
              <w:rPr>
                <w:sz w:val="18"/>
              </w:rPr>
            </w:pPr>
            <w:r>
              <w:rPr>
                <w:sz w:val="18"/>
              </w:rPr>
              <w:t>5.6</w:t>
            </w:r>
          </w:p>
        </w:tc>
        <w:tc>
          <w:tcPr>
            <w:tcW w:w="1402" w:type="dxa"/>
          </w:tcPr>
          <w:p>
            <w:pPr>
              <w:pStyle w:val="TableParagraph"/>
              <w:spacing w:line="206" w:lineRule="exact"/>
              <w:ind w:left="245" w:right="244"/>
              <w:rPr>
                <w:sz w:val="18"/>
              </w:rPr>
            </w:pPr>
            <w:r>
              <w:rPr>
                <w:sz w:val="18"/>
              </w:rPr>
              <w:t>5.6</w:t>
            </w:r>
          </w:p>
        </w:tc>
        <w:tc>
          <w:tcPr>
            <w:tcW w:w="1796" w:type="dxa"/>
          </w:tcPr>
          <w:p>
            <w:pPr>
              <w:pStyle w:val="TableParagraph"/>
              <w:spacing w:line="206" w:lineRule="exact"/>
              <w:ind w:left="647" w:right="647"/>
              <w:rPr>
                <w:sz w:val="18"/>
              </w:rPr>
            </w:pPr>
            <w:r>
              <w:rPr>
                <w:sz w:val="18"/>
              </w:rPr>
              <w:t>100.0</w:t>
            </w:r>
          </w:p>
        </w:tc>
      </w:tr>
      <w:tr>
        <w:trPr>
          <w:trHeight w:val="329" w:hRule="exact"/>
        </w:trPr>
        <w:tc>
          <w:tcPr>
            <w:tcW w:w="902" w:type="dxa"/>
            <w:vMerge/>
          </w:tcPr>
          <w:p>
            <w:pPr/>
          </w:p>
        </w:tc>
        <w:tc>
          <w:tcPr>
            <w:tcW w:w="1083" w:type="dxa"/>
          </w:tcPr>
          <w:p>
            <w:pPr>
              <w:pStyle w:val="TableParagraph"/>
              <w:spacing w:line="206" w:lineRule="exact"/>
              <w:ind w:left="138" w:right="142"/>
              <w:rPr>
                <w:sz w:val="18"/>
              </w:rPr>
            </w:pPr>
            <w:r>
              <w:rPr>
                <w:sz w:val="18"/>
              </w:rPr>
              <w:t>Total</w:t>
            </w:r>
          </w:p>
        </w:tc>
        <w:tc>
          <w:tcPr>
            <w:tcW w:w="1195" w:type="dxa"/>
          </w:tcPr>
          <w:p>
            <w:pPr>
              <w:pStyle w:val="TableParagraph"/>
              <w:spacing w:line="206" w:lineRule="exact"/>
              <w:ind w:left="127" w:right="127"/>
              <w:rPr>
                <w:sz w:val="18"/>
              </w:rPr>
            </w:pPr>
            <w:r>
              <w:rPr>
                <w:sz w:val="18"/>
              </w:rPr>
              <w:t>125</w:t>
            </w:r>
          </w:p>
        </w:tc>
        <w:tc>
          <w:tcPr>
            <w:tcW w:w="1402" w:type="dxa"/>
          </w:tcPr>
          <w:p>
            <w:pPr>
              <w:pStyle w:val="TableParagraph"/>
              <w:spacing w:line="206" w:lineRule="exact"/>
              <w:ind w:left="245" w:right="245"/>
              <w:rPr>
                <w:sz w:val="18"/>
              </w:rPr>
            </w:pPr>
            <w:r>
              <w:rPr>
                <w:sz w:val="18"/>
              </w:rPr>
              <w:t>100.0</w:t>
            </w:r>
          </w:p>
        </w:tc>
        <w:tc>
          <w:tcPr>
            <w:tcW w:w="1402" w:type="dxa"/>
          </w:tcPr>
          <w:p>
            <w:pPr>
              <w:pStyle w:val="TableParagraph"/>
              <w:spacing w:line="206" w:lineRule="exact"/>
              <w:ind w:left="245" w:right="245"/>
              <w:rPr>
                <w:sz w:val="18"/>
              </w:rPr>
            </w:pPr>
            <w:r>
              <w:rPr>
                <w:sz w:val="18"/>
              </w:rPr>
              <w:t>100.0</w:t>
            </w:r>
          </w:p>
        </w:tc>
        <w:tc>
          <w:tcPr>
            <w:tcW w:w="1796" w:type="dxa"/>
          </w:tcPr>
          <w:p>
            <w:pPr/>
          </w:p>
        </w:tc>
      </w:tr>
    </w:tbl>
    <w:p>
      <w:pPr>
        <w:tabs>
          <w:tab w:pos="1643" w:val="left" w:leader="none"/>
          <w:tab w:pos="2778" w:val="left" w:leader="none"/>
          <w:tab w:pos="3533" w:val="left" w:leader="none"/>
          <w:tab w:pos="4099" w:val="left" w:leader="none"/>
          <w:tab w:pos="4799" w:val="left" w:leader="none"/>
          <w:tab w:pos="5283" w:val="left" w:leader="none"/>
          <w:tab w:pos="5991" w:val="left" w:leader="none"/>
          <w:tab w:pos="6514" w:val="left" w:leader="none"/>
          <w:tab w:pos="7320" w:val="left" w:leader="none"/>
          <w:tab w:pos="7807" w:val="left" w:leader="none"/>
          <w:tab w:pos="8082" w:val="left" w:leader="none"/>
        </w:tabs>
        <w:spacing w:line="360" w:lineRule="auto" w:before="0"/>
        <w:ind w:left="792" w:right="780" w:firstLine="0"/>
        <w:jc w:val="left"/>
        <w:rPr>
          <w:sz w:val="16"/>
        </w:rPr>
      </w:pPr>
      <w:r>
        <w:rPr>
          <w:sz w:val="16"/>
        </w:rPr>
        <w:t>Fuente:</w:t>
        <w:tab/>
        <w:t>elaboración</w:t>
        <w:tab/>
        <w:t>propia</w:t>
        <w:tab/>
        <w:t>con</w:t>
        <w:tab/>
        <w:t>datos</w:t>
        <w:tab/>
        <w:t>de</w:t>
        <w:tab/>
        <w:t>portal</w:t>
        <w:tab/>
        <w:t>del</w:t>
        <w:tab/>
        <w:t>Estado</w:t>
        <w:tab/>
        <w:t>de</w:t>
        <w:tab/>
      </w:r>
      <w:r>
        <w:rPr>
          <w:spacing w:val="-1"/>
          <w:sz w:val="16"/>
        </w:rPr>
        <w:t>México. </w:t>
      </w:r>
      <w:hyperlink r:id="rId121">
        <w:r>
          <w:rPr>
            <w:color w:val="0462C1"/>
            <w:spacing w:val="-1"/>
            <w:sz w:val="16"/>
            <w:u w:val="single" w:color="0462C1"/>
          </w:rPr>
          <w:t>http://portal2.edomex.gob.mx/coespo/indicadoressociodemograficos/indicedemarginacion/index.htm</w:t>
        </w:r>
      </w:hyperlink>
      <w:r>
        <w:rPr>
          <w:color w:val="0462C1"/>
          <w:spacing w:val="-1"/>
          <w:sz w:val="16"/>
        </w:rPr>
        <w:tab/>
        <w:tab/>
      </w:r>
      <w:r>
        <w:rPr>
          <w:spacing w:val="-1"/>
          <w:sz w:val="16"/>
        </w:rPr>
        <w:t>[28-</w:t>
      </w:r>
    </w:p>
    <w:p>
      <w:pPr>
        <w:spacing w:before="2"/>
        <w:ind w:left="792" w:right="6" w:firstLine="0"/>
        <w:jc w:val="left"/>
        <w:rPr>
          <w:sz w:val="16"/>
        </w:rPr>
      </w:pPr>
      <w:r>
        <w:rPr/>
        <w:pict>
          <v:group style="position:absolute;margin-left:111.599998pt;margin-top:42.713902pt;width:382.7pt;height:240.15pt;mso-position-horizontal-relative:page;mso-position-vertical-relative:paragraph;z-index:7288" coordorigin="2232,854" coordsize="7654,4803">
            <v:shape style="position:absolute;left:2232;top:854;width:7654;height:4802" type="#_x0000_t75" stroked="false">
              <v:imagedata r:id="rId122" o:title=""/>
            </v:shape>
            <v:rect style="position:absolute;left:3274;top:2002;width:6164;height:2626" filled="true" fillcolor="#ffffff" stroked="false">
              <v:fill type="solid"/>
            </v:rect>
            <v:shape style="position:absolute;left:3274;top:2002;width:6164;height:2364" coordorigin="3274,2002" coordsize="6164,2364" path="m9130,4365l9438,4365m8103,4365l8719,4365m7076,4365l7692,4365m6048,4365l6665,4365m5021,4365l5637,4365m3274,4365l4610,4365m8103,4104l9438,4104m7076,4104l7692,4104m6048,4104l6665,4104m5021,4104l5637,4104m3274,4104l4610,4104m8103,3840l9438,3840m7076,3840l7692,3840m6048,3840l6665,3840m5021,3840l5637,3840m3274,3840l4610,3840m8103,3578l9438,3578m7076,3578l7692,3578m6048,3578l6665,3578m3274,3578l5637,3578m8103,3314l9438,3314m6048,3314l7692,3314m3274,3314l5637,3314m8103,3053l9438,3053m6048,3053l7692,3053m3274,3053l5637,3053m8103,2791l9438,2791m3274,2791l7692,2791m8103,2527l9438,2527m3274,2527l7692,2527m8103,2265l9438,2265m3274,2265l7692,2265m3274,2002l9438,2002e" filled="false" stroked="true" strokeweight=".5pt" strokecolor="#888888">
              <v:path arrowok="t"/>
            </v:shape>
            <v:line style="position:absolute" from="3583,4602" to="3994,4602" stroked="true" strokeweight="2.6257pt" strokecolor="#000000"/>
            <v:rect style="position:absolute;left:4610;top:3735;width:411;height:893" filled="true" fillcolor="#ff0000" stroked="false">
              <v:fill type="solid"/>
            </v:rect>
            <v:rect style="position:absolute;left:5637;top:3000;width:411;height:1628" filled="true" fillcolor="#538235" stroked="false">
              <v:fill type="solid"/>
            </v:rect>
            <v:rect style="position:absolute;left:6665;top:3420;width:411;height:1208" filled="true" fillcolor="#ffc000" stroked="false">
              <v:fill type="solid"/>
            </v:rect>
            <v:rect style="position:absolute;left:7692;top:2212;width:411;height:2416" filled="true" fillcolor="#92d050" stroked="false">
              <v:fill type="solid"/>
            </v:rect>
            <v:rect style="position:absolute;left:8719;top:4260;width:411;height:368" filled="true" fillcolor="#00af50" stroked="false">
              <v:fill type="solid"/>
            </v:rect>
            <v:shape style="position:absolute;left:2458;top:1065;width:7200;height:4365" coordorigin="2458,1065" coordsize="7200,4365" path="m3274,4628l3274,2002m3224,4628l3274,4628m3224,4365l3274,4365m3224,4104l3274,4104m3224,3840l3274,3840m3224,3578l3274,3578m3224,3314l3274,3314m3224,3053l3274,3053m3224,2791l3274,2791m3224,2527l3274,2527m3224,2265l3274,2265m3224,2002l3274,2002m3274,4628l9438,4628m3274,4628l3274,4679m4301,4628l4301,4679m5328,4628l5328,4679m6358,4628l6358,4679m7385,4628l7385,4679m8412,4628l8412,4679m9438,4628l9438,4679m2458,1265l2474,1187,2517,1124,2581,1081,2658,1065,9459,1065,9536,1081,9600,1124,9643,1187,9658,1265,9658,5230,9643,5308,9600,5372,9536,5414,9459,5430,2658,5430,2581,5414,2517,5372,2474,5308,2458,5230,2458,1265xe" filled="false" stroked="true" strokeweight=".5pt" strokecolor="#888888">
              <v:path arrowok="t"/>
            </v:shape>
            <v:shape style="position:absolute;left:5762;top:2747;width:164;height:161" type="#_x0000_t202" filled="false" stroked="false">
              <v:textbox inset="0,0,0,0">
                <w:txbxContent>
                  <w:p>
                    <w:pPr>
                      <w:spacing w:line="161" w:lineRule="exact" w:before="0"/>
                      <w:ind w:left="0" w:right="-19" w:firstLine="0"/>
                      <w:jc w:val="left"/>
                      <w:rPr>
                        <w:rFonts w:ascii="Calibri"/>
                        <w:sz w:val="16"/>
                      </w:rPr>
                    </w:pPr>
                    <w:r>
                      <w:rPr>
                        <w:rFonts w:ascii="Calibri"/>
                        <w:sz w:val="16"/>
                      </w:rPr>
                      <w:t>31</w:t>
                    </w:r>
                  </w:p>
                </w:txbxContent>
              </v:textbox>
              <w10:wrap type="none"/>
            </v:shape>
            <v:shape style="position:absolute;left:6048;top:3053;width:1644;height:262" type="#_x0000_t202" filled="false" stroked="false">
              <v:textbox inset="0,0,0,0">
                <w:txbxContent>
                  <w:p>
                    <w:pPr>
                      <w:spacing w:line="179" w:lineRule="exact" w:before="82"/>
                      <w:ind w:left="721" w:right="719" w:firstLine="0"/>
                      <w:jc w:val="center"/>
                      <w:rPr>
                        <w:rFonts w:ascii="Calibri"/>
                        <w:sz w:val="16"/>
                      </w:rPr>
                    </w:pPr>
                    <w:r>
                      <w:rPr>
                        <w:rFonts w:ascii="Calibri"/>
                        <w:sz w:val="16"/>
                      </w:rPr>
                      <w:t>23</w:t>
                    </w:r>
                  </w:p>
                </w:txbxContent>
              </v:textbox>
              <w10:wrap type="none"/>
            </v:shape>
            <v:shape style="position:absolute;left:4735;top:3482;width:164;height:161" type="#_x0000_t202" filled="false" stroked="false">
              <v:textbox inset="0,0,0,0">
                <w:txbxContent>
                  <w:p>
                    <w:pPr>
                      <w:spacing w:line="161" w:lineRule="exact" w:before="0"/>
                      <w:ind w:left="0" w:right="-19" w:firstLine="0"/>
                      <w:jc w:val="left"/>
                      <w:rPr>
                        <w:rFonts w:ascii="Calibri"/>
                        <w:sz w:val="16"/>
                      </w:rPr>
                    </w:pPr>
                    <w:r>
                      <w:rPr>
                        <w:rFonts w:ascii="Calibri"/>
                        <w:sz w:val="16"/>
                      </w:rPr>
                      <w:t>17</w:t>
                    </w:r>
                  </w:p>
                </w:txbxContent>
              </v:textbox>
              <w10:wrap type="none"/>
            </v:shape>
            <v:shape style="position:absolute;left:2964;top:1927;width:164;height:2787" type="#_x0000_t202" filled="false" stroked="false">
              <v:textbox inset="0,0,0,0">
                <w:txbxContent>
                  <w:p>
                    <w:pPr>
                      <w:spacing w:line="164" w:lineRule="exact" w:before="0"/>
                      <w:ind w:left="0" w:right="-19" w:firstLine="0"/>
                      <w:jc w:val="left"/>
                      <w:rPr>
                        <w:rFonts w:ascii="Calibri"/>
                        <w:sz w:val="16"/>
                      </w:rPr>
                    </w:pPr>
                    <w:r>
                      <w:rPr>
                        <w:rFonts w:ascii="Calibri"/>
                        <w:sz w:val="16"/>
                      </w:rPr>
                      <w:t>50</w:t>
                    </w:r>
                  </w:p>
                  <w:p>
                    <w:pPr>
                      <w:spacing w:before="67"/>
                      <w:ind w:left="0" w:right="-19" w:firstLine="0"/>
                      <w:jc w:val="left"/>
                      <w:rPr>
                        <w:rFonts w:ascii="Calibri"/>
                        <w:sz w:val="16"/>
                      </w:rPr>
                    </w:pPr>
                    <w:r>
                      <w:rPr>
                        <w:rFonts w:ascii="Calibri"/>
                        <w:sz w:val="16"/>
                      </w:rPr>
                      <w:t>45</w:t>
                    </w:r>
                  </w:p>
                  <w:p>
                    <w:pPr>
                      <w:spacing w:before="67"/>
                      <w:ind w:left="0" w:right="-19" w:firstLine="0"/>
                      <w:jc w:val="left"/>
                      <w:rPr>
                        <w:rFonts w:ascii="Calibri"/>
                        <w:sz w:val="16"/>
                      </w:rPr>
                    </w:pPr>
                    <w:r>
                      <w:rPr>
                        <w:rFonts w:ascii="Calibri"/>
                        <w:sz w:val="16"/>
                      </w:rPr>
                      <w:t>40</w:t>
                    </w:r>
                  </w:p>
                  <w:p>
                    <w:pPr>
                      <w:spacing w:before="67"/>
                      <w:ind w:left="0" w:right="-19" w:firstLine="0"/>
                      <w:jc w:val="left"/>
                      <w:rPr>
                        <w:rFonts w:ascii="Calibri"/>
                        <w:sz w:val="16"/>
                      </w:rPr>
                    </w:pPr>
                    <w:r>
                      <w:rPr>
                        <w:rFonts w:ascii="Calibri"/>
                        <w:sz w:val="16"/>
                      </w:rPr>
                      <w:t>35</w:t>
                    </w:r>
                  </w:p>
                  <w:p>
                    <w:pPr>
                      <w:spacing w:before="67"/>
                      <w:ind w:left="0" w:right="-19" w:firstLine="0"/>
                      <w:jc w:val="left"/>
                      <w:rPr>
                        <w:rFonts w:ascii="Calibri"/>
                        <w:sz w:val="16"/>
                      </w:rPr>
                    </w:pPr>
                    <w:r>
                      <w:rPr>
                        <w:rFonts w:ascii="Calibri"/>
                        <w:sz w:val="16"/>
                      </w:rPr>
                      <w:t>30</w:t>
                    </w:r>
                  </w:p>
                  <w:p>
                    <w:pPr>
                      <w:spacing w:before="67"/>
                      <w:ind w:left="0" w:right="-19" w:firstLine="0"/>
                      <w:jc w:val="left"/>
                      <w:rPr>
                        <w:rFonts w:ascii="Calibri"/>
                        <w:sz w:val="16"/>
                      </w:rPr>
                    </w:pPr>
                    <w:r>
                      <w:rPr>
                        <w:rFonts w:ascii="Calibri"/>
                        <w:sz w:val="16"/>
                      </w:rPr>
                      <w:t>25</w:t>
                    </w:r>
                  </w:p>
                  <w:p>
                    <w:pPr>
                      <w:spacing w:before="67"/>
                      <w:ind w:left="0" w:right="-19" w:firstLine="0"/>
                      <w:jc w:val="left"/>
                      <w:rPr>
                        <w:rFonts w:ascii="Calibri"/>
                        <w:sz w:val="16"/>
                      </w:rPr>
                    </w:pPr>
                    <w:r>
                      <w:rPr>
                        <w:rFonts w:ascii="Calibri"/>
                        <w:sz w:val="16"/>
                      </w:rPr>
                      <w:t>20</w:t>
                    </w:r>
                  </w:p>
                  <w:p>
                    <w:pPr>
                      <w:spacing w:before="67"/>
                      <w:ind w:left="0" w:right="-19" w:firstLine="0"/>
                      <w:jc w:val="left"/>
                      <w:rPr>
                        <w:rFonts w:ascii="Calibri"/>
                        <w:sz w:val="16"/>
                      </w:rPr>
                    </w:pPr>
                    <w:r>
                      <w:rPr>
                        <w:rFonts w:ascii="Calibri"/>
                        <w:sz w:val="16"/>
                      </w:rPr>
                      <w:t>15</w:t>
                    </w:r>
                  </w:p>
                  <w:p>
                    <w:pPr>
                      <w:spacing w:before="67"/>
                      <w:ind w:left="0" w:right="-19" w:firstLine="0"/>
                      <w:jc w:val="left"/>
                      <w:rPr>
                        <w:rFonts w:ascii="Calibri"/>
                        <w:sz w:val="16"/>
                      </w:rPr>
                    </w:pPr>
                    <w:r>
                      <w:rPr>
                        <w:rFonts w:ascii="Calibri"/>
                        <w:sz w:val="16"/>
                      </w:rPr>
                      <w:t>10</w:t>
                    </w:r>
                  </w:p>
                  <w:p>
                    <w:pPr>
                      <w:spacing w:before="67"/>
                      <w:ind w:left="81" w:right="0" w:firstLine="0"/>
                      <w:jc w:val="left"/>
                      <w:rPr>
                        <w:rFonts w:ascii="Calibri"/>
                        <w:sz w:val="16"/>
                      </w:rPr>
                    </w:pPr>
                    <w:r>
                      <w:rPr>
                        <w:rFonts w:ascii="Calibri"/>
                        <w:w w:val="100"/>
                        <w:sz w:val="16"/>
                      </w:rPr>
                      <w:t>5</w:t>
                    </w:r>
                  </w:p>
                  <w:p>
                    <w:pPr>
                      <w:spacing w:line="193" w:lineRule="exact" w:before="67"/>
                      <w:ind w:left="81" w:right="0" w:firstLine="0"/>
                      <w:jc w:val="left"/>
                      <w:rPr>
                        <w:rFonts w:ascii="Calibri"/>
                        <w:sz w:val="16"/>
                      </w:rPr>
                    </w:pPr>
                    <w:r>
                      <w:rPr>
                        <w:rFonts w:ascii="Calibri"/>
                        <w:w w:val="100"/>
                        <w:sz w:val="16"/>
                      </w:rPr>
                      <w:t>0</w:t>
                    </w:r>
                  </w:p>
                </w:txbxContent>
              </v:textbox>
              <w10:wrap type="none"/>
            </v:shape>
            <v:shape style="position:absolute;left:3462;top:1259;width:5186;height:860" type="#_x0000_t202" filled="false" stroked="false">
              <v:textbox inset="0,0,0,0">
                <w:txbxContent>
                  <w:p>
                    <w:pPr>
                      <w:spacing w:line="225" w:lineRule="exact" w:before="0"/>
                      <w:ind w:left="0" w:right="0" w:firstLine="0"/>
                      <w:jc w:val="center"/>
                      <w:rPr>
                        <w:rFonts w:ascii="Calibri" w:hAnsi="Calibri"/>
                        <w:b/>
                        <w:sz w:val="22"/>
                      </w:rPr>
                    </w:pPr>
                    <w:r>
                      <w:rPr>
                        <w:rFonts w:ascii="Calibri" w:hAnsi="Calibri"/>
                        <w:b/>
                        <w:sz w:val="22"/>
                      </w:rPr>
                      <w:t>Gráfica 3.13. Grado de marginación de los municipios</w:t>
                    </w:r>
                    <w:r>
                      <w:rPr>
                        <w:rFonts w:ascii="Calibri" w:hAnsi="Calibri"/>
                        <w:b/>
                        <w:spacing w:val="-30"/>
                        <w:sz w:val="22"/>
                      </w:rPr>
                      <w:t> </w:t>
                    </w:r>
                    <w:r>
                      <w:rPr>
                        <w:rFonts w:ascii="Calibri" w:hAnsi="Calibri"/>
                        <w:b/>
                        <w:sz w:val="22"/>
                      </w:rPr>
                      <w:t>del</w:t>
                    </w:r>
                  </w:p>
                  <w:p>
                    <w:pPr>
                      <w:spacing w:before="0"/>
                      <w:ind w:left="4" w:right="0" w:firstLine="0"/>
                      <w:jc w:val="center"/>
                      <w:rPr>
                        <w:rFonts w:ascii="Calibri" w:hAnsi="Calibri"/>
                        <w:b/>
                        <w:sz w:val="22"/>
                      </w:rPr>
                    </w:pPr>
                    <w:r>
                      <w:rPr>
                        <w:rFonts w:ascii="Calibri" w:hAnsi="Calibri"/>
                        <w:b/>
                        <w:sz w:val="22"/>
                      </w:rPr>
                      <w:t>Estado de México en 2005</w:t>
                    </w:r>
                  </w:p>
                  <w:p>
                    <w:pPr>
                      <w:spacing w:line="193" w:lineRule="exact" w:before="174"/>
                      <w:ind w:left="0" w:right="665" w:firstLine="0"/>
                      <w:jc w:val="right"/>
                      <w:rPr>
                        <w:rFonts w:ascii="Calibri"/>
                        <w:sz w:val="16"/>
                      </w:rPr>
                    </w:pPr>
                    <w:r>
                      <w:rPr>
                        <w:rFonts w:ascii="Calibri"/>
                        <w:sz w:val="16"/>
                      </w:rPr>
                      <w:t>46</w:t>
                    </w:r>
                  </w:p>
                </w:txbxContent>
              </v:textbox>
              <w10:wrap type="none"/>
            </v:shape>
            <v:shape style="position:absolute;left:8886;top:4007;width:82;height:161" type="#_x0000_t202" filled="false" stroked="false">
              <v:textbox inset="0,0,0,0">
                <w:txbxContent>
                  <w:p>
                    <w:pPr>
                      <w:spacing w:line="161" w:lineRule="exact" w:before="0"/>
                      <w:ind w:left="0" w:right="0" w:firstLine="0"/>
                      <w:jc w:val="left"/>
                      <w:rPr>
                        <w:rFonts w:ascii="Calibri"/>
                        <w:sz w:val="16"/>
                      </w:rPr>
                    </w:pPr>
                    <w:r>
                      <w:rPr>
                        <w:rFonts w:ascii="Calibri"/>
                        <w:w w:val="100"/>
                        <w:sz w:val="16"/>
                      </w:rPr>
                      <w:t>7</w:t>
                    </w:r>
                  </w:p>
                </w:txbxContent>
              </v:textbox>
              <w10:wrap type="none"/>
            </v:shape>
            <v:shape style="position:absolute;left:3748;top:4322;width:82;height:161" type="#_x0000_t202" filled="false" stroked="false">
              <v:textbox inset="0,0,0,0">
                <w:txbxContent>
                  <w:p>
                    <w:pPr>
                      <w:spacing w:line="161" w:lineRule="exact" w:before="0"/>
                      <w:ind w:left="0" w:right="0" w:firstLine="0"/>
                      <w:jc w:val="left"/>
                      <w:rPr>
                        <w:rFonts w:ascii="Calibri"/>
                        <w:sz w:val="16"/>
                      </w:rPr>
                    </w:pPr>
                    <w:r>
                      <w:rPr>
                        <w:rFonts w:ascii="Calibri"/>
                        <w:w w:val="100"/>
                        <w:sz w:val="16"/>
                      </w:rPr>
                      <w:t>1</w:t>
                    </w:r>
                  </w:p>
                </w:txbxContent>
              </v:textbox>
              <w10:wrap type="none"/>
            </v:shape>
            <v:shape style="position:absolute;left:3493;top:4762;width:5740;height:417" type="#_x0000_t202" filled="false" stroked="false">
              <v:textbox inset="0,0,0,0">
                <w:txbxContent>
                  <w:p>
                    <w:pPr>
                      <w:tabs>
                        <w:tab w:pos="1032" w:val="left" w:leader="none"/>
                        <w:tab w:pos="2216" w:val="left" w:leader="none"/>
                        <w:tab w:pos="3167" w:val="left" w:leader="none"/>
                        <w:tab w:pos="4262" w:val="left" w:leader="none"/>
                        <w:tab w:pos="5126" w:val="left" w:leader="none"/>
                      </w:tabs>
                      <w:spacing w:line="164" w:lineRule="exact" w:before="0"/>
                      <w:ind w:left="0" w:right="0" w:firstLine="0"/>
                      <w:jc w:val="center"/>
                      <w:rPr>
                        <w:rFonts w:ascii="Calibri"/>
                        <w:sz w:val="16"/>
                      </w:rPr>
                    </w:pPr>
                    <w:r>
                      <w:rPr>
                        <w:rFonts w:ascii="Calibri"/>
                        <w:sz w:val="16"/>
                      </w:rPr>
                      <w:t>Sin</w:t>
                    </w:r>
                    <w:r>
                      <w:rPr>
                        <w:rFonts w:ascii="Calibri"/>
                        <w:spacing w:val="-2"/>
                        <w:sz w:val="16"/>
                      </w:rPr>
                      <w:t> </w:t>
                    </w:r>
                    <w:r>
                      <w:rPr>
                        <w:rFonts w:ascii="Calibri"/>
                        <w:sz w:val="16"/>
                      </w:rPr>
                      <w:t>datos</w:t>
                      <w:tab/>
                      <w:t>Muy</w:t>
                    </w:r>
                    <w:r>
                      <w:rPr>
                        <w:rFonts w:ascii="Calibri"/>
                        <w:spacing w:val="-3"/>
                        <w:sz w:val="16"/>
                      </w:rPr>
                      <w:t> </w:t>
                    </w:r>
                    <w:r>
                      <w:rPr>
                        <w:rFonts w:ascii="Calibri"/>
                        <w:sz w:val="16"/>
                      </w:rPr>
                      <w:t>alto</w:t>
                      <w:tab/>
                      <w:t>Alto</w:t>
                      <w:tab/>
                      <w:t>Medio</w:t>
                      <w:tab/>
                      <w:t>Bajo</w:t>
                      <w:tab/>
                      <w:t>Muy</w:t>
                    </w:r>
                    <w:r>
                      <w:rPr>
                        <w:rFonts w:ascii="Calibri"/>
                        <w:spacing w:val="-3"/>
                        <w:sz w:val="16"/>
                      </w:rPr>
                      <w:t> </w:t>
                    </w:r>
                    <w:r>
                      <w:rPr>
                        <w:rFonts w:ascii="Calibri"/>
                        <w:sz w:val="16"/>
                      </w:rPr>
                      <w:t>bajo</w:t>
                    </w:r>
                  </w:p>
                  <w:p>
                    <w:pPr>
                      <w:spacing w:line="193" w:lineRule="exact" w:before="60"/>
                      <w:ind w:left="0" w:right="11" w:firstLine="0"/>
                      <w:jc w:val="center"/>
                      <w:rPr>
                        <w:rFonts w:ascii="Calibri" w:hAnsi="Calibri"/>
                        <w:b/>
                        <w:sz w:val="16"/>
                      </w:rPr>
                    </w:pPr>
                    <w:r>
                      <w:rPr>
                        <w:rFonts w:ascii="Calibri" w:hAnsi="Calibri"/>
                        <w:b/>
                        <w:sz w:val="16"/>
                      </w:rPr>
                      <w:t>Grado de marginación</w:t>
                    </w:r>
                  </w:p>
                </w:txbxContent>
              </v:textbox>
              <w10:wrap type="none"/>
            </v:shape>
            <w10:wrap type="none"/>
          </v:group>
        </w:pict>
      </w:r>
      <w:r>
        <w:rPr>
          <w:sz w:val="16"/>
        </w:rPr>
        <w:t>11-2013]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5"/>
        </w:rPr>
      </w:pPr>
    </w:p>
    <w:p>
      <w:pPr>
        <w:pStyle w:val="BodyText"/>
        <w:spacing w:line="360" w:lineRule="auto" w:before="70"/>
        <w:ind w:left="108" w:right="101"/>
        <w:jc w:val="both"/>
      </w:pPr>
      <w:r>
        <w:rPr/>
        <w:t>En la tabla 3.27 y la gráfica 3.13 se indica cómo 46 de los 125 municipios tienen un grado de marginación bajo, que representan un 36.8%; seguidos de 31 que tienen un alto grado de marginación (31%); por su parte, 23 que tienen un grado de marginación</w:t>
      </w:r>
      <w:r>
        <w:rPr>
          <w:spacing w:val="-9"/>
        </w:rPr>
        <w:t> </w:t>
      </w:r>
      <w:r>
        <w:rPr/>
        <w:t>medio</w:t>
      </w:r>
      <w:r>
        <w:rPr>
          <w:spacing w:val="-7"/>
        </w:rPr>
        <w:t> </w:t>
      </w:r>
      <w:r>
        <w:rPr/>
        <w:t>y</w:t>
      </w:r>
      <w:r>
        <w:rPr>
          <w:spacing w:val="-10"/>
        </w:rPr>
        <w:t> </w:t>
      </w:r>
      <w:r>
        <w:rPr/>
        <w:t>equivalen</w:t>
      </w:r>
      <w:r>
        <w:rPr>
          <w:spacing w:val="-7"/>
        </w:rPr>
        <w:t> </w:t>
      </w:r>
      <w:r>
        <w:rPr/>
        <w:t>al</w:t>
      </w:r>
      <w:r>
        <w:rPr>
          <w:spacing w:val="-8"/>
        </w:rPr>
        <w:t> </w:t>
      </w:r>
      <w:r>
        <w:rPr/>
        <w:t>18.4%;</w:t>
      </w:r>
      <w:r>
        <w:rPr>
          <w:spacing w:val="-7"/>
        </w:rPr>
        <w:t> </w:t>
      </w:r>
      <w:r>
        <w:rPr/>
        <w:t>después</w:t>
      </w:r>
      <w:r>
        <w:rPr>
          <w:spacing w:val="-8"/>
        </w:rPr>
        <w:t> </w:t>
      </w:r>
      <w:r>
        <w:rPr/>
        <w:t>siguen</w:t>
      </w:r>
      <w:r>
        <w:rPr>
          <w:spacing w:val="-7"/>
        </w:rPr>
        <w:t> </w:t>
      </w:r>
      <w:r>
        <w:rPr/>
        <w:t>17</w:t>
      </w:r>
      <w:r>
        <w:rPr>
          <w:spacing w:val="-7"/>
        </w:rPr>
        <w:t> </w:t>
      </w:r>
      <w:r>
        <w:rPr/>
        <w:t>que</w:t>
      </w:r>
      <w:r>
        <w:rPr>
          <w:spacing w:val="-7"/>
        </w:rPr>
        <w:t> </w:t>
      </w:r>
      <w:r>
        <w:rPr/>
        <w:t>tienen</w:t>
      </w:r>
      <w:r>
        <w:rPr>
          <w:spacing w:val="-9"/>
        </w:rPr>
        <w:t> </w:t>
      </w:r>
      <w:r>
        <w:rPr/>
        <w:t>un</w:t>
      </w:r>
      <w:r>
        <w:rPr>
          <w:spacing w:val="-7"/>
        </w:rPr>
        <w:t> </w:t>
      </w:r>
      <w:r>
        <w:rPr/>
        <w:t>grado</w:t>
      </w:r>
      <w:r>
        <w:rPr>
          <w:spacing w:val="-7"/>
        </w:rPr>
        <w:t> </w:t>
      </w:r>
      <w:r>
        <w:rPr/>
        <w:t>de</w:t>
      </w:r>
    </w:p>
    <w:p>
      <w:pPr>
        <w:spacing w:after="0" w:line="360" w:lineRule="auto"/>
        <w:jc w:val="both"/>
        <w:sectPr>
          <w:pgSz w:w="12240" w:h="15840"/>
          <w:pgMar w:header="0" w:footer="975" w:top="1360" w:bottom="1220" w:left="1500" w:right="1600"/>
        </w:sectPr>
      </w:pPr>
    </w:p>
    <w:p>
      <w:pPr>
        <w:pStyle w:val="BodyText"/>
        <w:spacing w:line="360" w:lineRule="auto" w:before="54"/>
        <w:ind w:left="108" w:right="124"/>
        <w:jc w:val="both"/>
      </w:pPr>
      <w:r>
        <w:rPr/>
        <w:t>marginación</w:t>
      </w:r>
      <w:r>
        <w:rPr>
          <w:spacing w:val="-8"/>
        </w:rPr>
        <w:t> </w:t>
      </w:r>
      <w:r>
        <w:rPr/>
        <w:t>muy</w:t>
      </w:r>
      <w:r>
        <w:rPr>
          <w:spacing w:val="-9"/>
        </w:rPr>
        <w:t> </w:t>
      </w:r>
      <w:r>
        <w:rPr/>
        <w:t>alto</w:t>
      </w:r>
      <w:r>
        <w:rPr>
          <w:spacing w:val="-6"/>
        </w:rPr>
        <w:t> </w:t>
      </w:r>
      <w:r>
        <w:rPr/>
        <w:t>y</w:t>
      </w:r>
      <w:r>
        <w:rPr>
          <w:spacing w:val="-9"/>
        </w:rPr>
        <w:t> </w:t>
      </w:r>
      <w:r>
        <w:rPr/>
        <w:t>suman</w:t>
      </w:r>
      <w:r>
        <w:rPr>
          <w:spacing w:val="-6"/>
        </w:rPr>
        <w:t> </w:t>
      </w:r>
      <w:r>
        <w:rPr/>
        <w:t>13.6%;</w:t>
      </w:r>
      <w:r>
        <w:rPr>
          <w:spacing w:val="-6"/>
        </w:rPr>
        <w:t> </w:t>
      </w:r>
      <w:r>
        <w:rPr/>
        <w:t>asimismo,</w:t>
      </w:r>
      <w:r>
        <w:rPr>
          <w:spacing w:val="-9"/>
        </w:rPr>
        <w:t> </w:t>
      </w:r>
      <w:r>
        <w:rPr/>
        <w:t>7</w:t>
      </w:r>
      <w:r>
        <w:rPr>
          <w:spacing w:val="-6"/>
        </w:rPr>
        <w:t> </w:t>
      </w:r>
      <w:r>
        <w:rPr/>
        <w:t>municipios</w:t>
      </w:r>
      <w:r>
        <w:rPr>
          <w:spacing w:val="-6"/>
        </w:rPr>
        <w:t> </w:t>
      </w:r>
      <w:r>
        <w:rPr/>
        <w:t>cuentan</w:t>
      </w:r>
      <w:r>
        <w:rPr>
          <w:spacing w:val="-6"/>
        </w:rPr>
        <w:t> </w:t>
      </w:r>
      <w:r>
        <w:rPr/>
        <w:t>con</w:t>
      </w:r>
      <w:r>
        <w:rPr>
          <w:spacing w:val="-8"/>
        </w:rPr>
        <w:t> </w:t>
      </w:r>
      <w:r>
        <w:rPr/>
        <w:t>una</w:t>
      </w:r>
      <w:r>
        <w:rPr>
          <w:spacing w:val="-8"/>
        </w:rPr>
        <w:t> </w:t>
      </w:r>
      <w:r>
        <w:rPr/>
        <w:t>muy bajo índice de marginación que representa un 5.6%; finalmente es preciso que el municipio que presenta 0 grado de marginación es Luvianos, del cual no se tenían datos</w:t>
      </w:r>
      <w:r>
        <w:rPr>
          <w:spacing w:val="-5"/>
        </w:rPr>
        <w:t> </w:t>
      </w:r>
      <w:r>
        <w:rPr/>
        <w:t>registrados.</w:t>
      </w:r>
    </w:p>
    <w:p>
      <w:pPr>
        <w:pStyle w:val="BodyText"/>
        <w:rPr>
          <w:sz w:val="20"/>
        </w:rPr>
      </w:pPr>
    </w:p>
    <w:p>
      <w:pPr>
        <w:pStyle w:val="BodyText"/>
        <w:rPr>
          <w:sz w:val="20"/>
        </w:rPr>
      </w:pPr>
    </w:p>
    <w:p>
      <w:pPr>
        <w:pStyle w:val="BodyText"/>
        <w:spacing w:before="3"/>
      </w:pPr>
    </w:p>
    <w:tbl>
      <w:tblPr>
        <w:tblW w:w="0" w:type="auto"/>
        <w:jc w:val="left"/>
        <w:tblInd w:w="2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2"/>
        <w:gridCol w:w="1082"/>
        <w:gridCol w:w="1196"/>
        <w:gridCol w:w="1402"/>
        <w:gridCol w:w="1973"/>
        <w:gridCol w:w="2067"/>
      </w:tblGrid>
      <w:tr>
        <w:trPr>
          <w:trHeight w:val="322" w:hRule="exact"/>
        </w:trPr>
        <w:tc>
          <w:tcPr>
            <w:tcW w:w="8622" w:type="dxa"/>
            <w:gridSpan w:val="6"/>
            <w:shd w:val="clear" w:color="auto" w:fill="92D050"/>
          </w:tcPr>
          <w:p>
            <w:pPr>
              <w:pStyle w:val="TableParagraph"/>
              <w:spacing w:line="201" w:lineRule="exact"/>
              <w:ind w:left="1929"/>
              <w:jc w:val="left"/>
              <w:rPr>
                <w:b/>
                <w:sz w:val="18"/>
              </w:rPr>
            </w:pPr>
            <w:r>
              <w:rPr>
                <w:b/>
                <w:sz w:val="18"/>
              </w:rPr>
              <w:t>Tabla 3.28 Grado de marginación del municipio en 2010</w:t>
            </w:r>
          </w:p>
        </w:tc>
      </w:tr>
      <w:tr>
        <w:trPr>
          <w:trHeight w:val="631" w:hRule="exact"/>
        </w:trPr>
        <w:tc>
          <w:tcPr>
            <w:tcW w:w="1985" w:type="dxa"/>
            <w:gridSpan w:val="2"/>
            <w:shd w:val="clear" w:color="auto" w:fill="92D050"/>
          </w:tcPr>
          <w:p>
            <w:pPr>
              <w:pStyle w:val="TableParagraph"/>
              <w:spacing w:line="360" w:lineRule="auto"/>
              <w:ind w:left="496" w:right="478" w:firstLine="112"/>
              <w:jc w:val="left"/>
              <w:rPr>
                <w:sz w:val="18"/>
              </w:rPr>
            </w:pPr>
            <w:r>
              <w:rPr>
                <w:sz w:val="18"/>
              </w:rPr>
              <w:t>Grado de marginación</w:t>
            </w:r>
          </w:p>
        </w:tc>
        <w:tc>
          <w:tcPr>
            <w:tcW w:w="1196" w:type="dxa"/>
            <w:shd w:val="clear" w:color="auto" w:fill="92D050"/>
          </w:tcPr>
          <w:p>
            <w:pPr>
              <w:pStyle w:val="TableParagraph"/>
              <w:spacing w:line="206" w:lineRule="exact"/>
              <w:ind w:left="125" w:right="129"/>
              <w:rPr>
                <w:sz w:val="18"/>
              </w:rPr>
            </w:pPr>
            <w:r>
              <w:rPr>
                <w:sz w:val="18"/>
              </w:rPr>
              <w:t>Frecuencia</w:t>
            </w:r>
          </w:p>
        </w:tc>
        <w:tc>
          <w:tcPr>
            <w:tcW w:w="1402" w:type="dxa"/>
            <w:shd w:val="clear" w:color="auto" w:fill="92D050"/>
          </w:tcPr>
          <w:p>
            <w:pPr>
              <w:pStyle w:val="TableParagraph"/>
              <w:spacing w:line="206" w:lineRule="exact"/>
              <w:ind w:left="245" w:right="246"/>
              <w:rPr>
                <w:sz w:val="18"/>
              </w:rPr>
            </w:pPr>
            <w:r>
              <w:rPr>
                <w:sz w:val="18"/>
              </w:rPr>
              <w:t>Porcentaje</w:t>
            </w:r>
          </w:p>
        </w:tc>
        <w:tc>
          <w:tcPr>
            <w:tcW w:w="1973" w:type="dxa"/>
            <w:shd w:val="clear" w:color="auto" w:fill="92D050"/>
          </w:tcPr>
          <w:p>
            <w:pPr>
              <w:pStyle w:val="TableParagraph"/>
              <w:spacing w:line="206" w:lineRule="exact"/>
              <w:ind w:left="270" w:right="271"/>
              <w:rPr>
                <w:sz w:val="18"/>
              </w:rPr>
            </w:pPr>
            <w:r>
              <w:rPr>
                <w:sz w:val="18"/>
              </w:rPr>
              <w:t>Porcentaje válido</w:t>
            </w:r>
          </w:p>
        </w:tc>
        <w:tc>
          <w:tcPr>
            <w:tcW w:w="2067" w:type="dxa"/>
            <w:shd w:val="clear" w:color="auto" w:fill="92D050"/>
          </w:tcPr>
          <w:p>
            <w:pPr>
              <w:pStyle w:val="TableParagraph"/>
              <w:spacing w:line="206" w:lineRule="exact"/>
              <w:ind w:left="113" w:right="113"/>
              <w:rPr>
                <w:sz w:val="18"/>
              </w:rPr>
            </w:pPr>
            <w:r>
              <w:rPr>
                <w:sz w:val="18"/>
              </w:rPr>
              <w:t>Porcentaje acumulado</w:t>
            </w:r>
          </w:p>
        </w:tc>
      </w:tr>
      <w:tr>
        <w:trPr>
          <w:trHeight w:val="329" w:hRule="exact"/>
        </w:trPr>
        <w:tc>
          <w:tcPr>
            <w:tcW w:w="902" w:type="dxa"/>
            <w:vMerge w:val="restart"/>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10"/>
              <w:jc w:val="left"/>
              <w:rPr>
                <w:sz w:val="17"/>
              </w:rPr>
            </w:pPr>
          </w:p>
          <w:p>
            <w:pPr>
              <w:pStyle w:val="TableParagraph"/>
              <w:ind w:left="148"/>
              <w:jc w:val="left"/>
              <w:rPr>
                <w:sz w:val="18"/>
              </w:rPr>
            </w:pPr>
            <w:r>
              <w:rPr>
                <w:sz w:val="18"/>
              </w:rPr>
              <w:t>Válidos</w:t>
            </w:r>
          </w:p>
        </w:tc>
        <w:tc>
          <w:tcPr>
            <w:tcW w:w="1082" w:type="dxa"/>
          </w:tcPr>
          <w:p>
            <w:pPr>
              <w:pStyle w:val="TableParagraph"/>
              <w:spacing w:line="206" w:lineRule="exact"/>
              <w:ind w:left="149" w:right="151"/>
              <w:rPr>
                <w:sz w:val="18"/>
              </w:rPr>
            </w:pPr>
            <w:r>
              <w:rPr>
                <w:sz w:val="18"/>
              </w:rPr>
              <w:t>Muy alto</w:t>
            </w:r>
          </w:p>
        </w:tc>
        <w:tc>
          <w:tcPr>
            <w:tcW w:w="1196" w:type="dxa"/>
          </w:tcPr>
          <w:p>
            <w:pPr>
              <w:pStyle w:val="TableParagraph"/>
              <w:spacing w:line="206" w:lineRule="exact"/>
              <w:ind w:right="2"/>
              <w:rPr>
                <w:sz w:val="18"/>
              </w:rPr>
            </w:pPr>
            <w:r>
              <w:rPr>
                <w:w w:val="99"/>
                <w:sz w:val="18"/>
              </w:rPr>
              <w:t>2</w:t>
            </w:r>
          </w:p>
        </w:tc>
        <w:tc>
          <w:tcPr>
            <w:tcW w:w="1402" w:type="dxa"/>
          </w:tcPr>
          <w:p>
            <w:pPr>
              <w:pStyle w:val="TableParagraph"/>
              <w:spacing w:line="206" w:lineRule="exact"/>
              <w:ind w:left="245" w:right="244"/>
              <w:rPr>
                <w:sz w:val="18"/>
              </w:rPr>
            </w:pPr>
            <w:r>
              <w:rPr>
                <w:sz w:val="18"/>
              </w:rPr>
              <w:t>1.6</w:t>
            </w:r>
          </w:p>
        </w:tc>
        <w:tc>
          <w:tcPr>
            <w:tcW w:w="1973" w:type="dxa"/>
          </w:tcPr>
          <w:p>
            <w:pPr>
              <w:pStyle w:val="TableParagraph"/>
              <w:spacing w:line="206" w:lineRule="exact"/>
              <w:ind w:left="270" w:right="269"/>
              <w:rPr>
                <w:sz w:val="18"/>
              </w:rPr>
            </w:pPr>
            <w:r>
              <w:rPr>
                <w:sz w:val="18"/>
              </w:rPr>
              <w:t>1.6</w:t>
            </w:r>
          </w:p>
        </w:tc>
        <w:tc>
          <w:tcPr>
            <w:tcW w:w="2067" w:type="dxa"/>
          </w:tcPr>
          <w:p>
            <w:pPr>
              <w:pStyle w:val="TableParagraph"/>
              <w:spacing w:line="206" w:lineRule="exact"/>
              <w:ind w:left="112" w:right="113"/>
              <w:rPr>
                <w:sz w:val="18"/>
              </w:rPr>
            </w:pPr>
            <w:r>
              <w:rPr>
                <w:sz w:val="18"/>
              </w:rPr>
              <w:t>1.6</w:t>
            </w:r>
          </w:p>
        </w:tc>
      </w:tr>
      <w:tr>
        <w:trPr>
          <w:trHeight w:val="329" w:hRule="exact"/>
        </w:trPr>
        <w:tc>
          <w:tcPr>
            <w:tcW w:w="902" w:type="dxa"/>
            <w:vMerge/>
          </w:tcPr>
          <w:p>
            <w:pPr/>
          </w:p>
        </w:tc>
        <w:tc>
          <w:tcPr>
            <w:tcW w:w="1082" w:type="dxa"/>
          </w:tcPr>
          <w:p>
            <w:pPr>
              <w:pStyle w:val="TableParagraph"/>
              <w:spacing w:line="207" w:lineRule="exact"/>
              <w:ind w:left="149" w:right="150"/>
              <w:rPr>
                <w:sz w:val="18"/>
              </w:rPr>
            </w:pPr>
            <w:r>
              <w:rPr>
                <w:sz w:val="18"/>
              </w:rPr>
              <w:t>Alto</w:t>
            </w:r>
          </w:p>
        </w:tc>
        <w:tc>
          <w:tcPr>
            <w:tcW w:w="1196" w:type="dxa"/>
          </w:tcPr>
          <w:p>
            <w:pPr>
              <w:pStyle w:val="TableParagraph"/>
              <w:spacing w:line="207" w:lineRule="exact"/>
              <w:ind w:left="125" w:right="127"/>
              <w:rPr>
                <w:sz w:val="18"/>
              </w:rPr>
            </w:pPr>
            <w:r>
              <w:rPr>
                <w:sz w:val="18"/>
              </w:rPr>
              <w:t>11</w:t>
            </w:r>
          </w:p>
        </w:tc>
        <w:tc>
          <w:tcPr>
            <w:tcW w:w="1402" w:type="dxa"/>
          </w:tcPr>
          <w:p>
            <w:pPr>
              <w:pStyle w:val="TableParagraph"/>
              <w:spacing w:line="207" w:lineRule="exact"/>
              <w:ind w:left="245" w:right="244"/>
              <w:rPr>
                <w:sz w:val="18"/>
              </w:rPr>
            </w:pPr>
            <w:r>
              <w:rPr>
                <w:sz w:val="18"/>
              </w:rPr>
              <w:t>8.8</w:t>
            </w:r>
          </w:p>
        </w:tc>
        <w:tc>
          <w:tcPr>
            <w:tcW w:w="1973" w:type="dxa"/>
          </w:tcPr>
          <w:p>
            <w:pPr>
              <w:pStyle w:val="TableParagraph"/>
              <w:spacing w:line="207" w:lineRule="exact"/>
              <w:ind w:left="270" w:right="269"/>
              <w:rPr>
                <w:sz w:val="18"/>
              </w:rPr>
            </w:pPr>
            <w:r>
              <w:rPr>
                <w:sz w:val="18"/>
              </w:rPr>
              <w:t>8.8</w:t>
            </w:r>
          </w:p>
        </w:tc>
        <w:tc>
          <w:tcPr>
            <w:tcW w:w="2067" w:type="dxa"/>
          </w:tcPr>
          <w:p>
            <w:pPr>
              <w:pStyle w:val="TableParagraph"/>
              <w:spacing w:line="207" w:lineRule="exact"/>
              <w:ind w:left="113" w:right="113"/>
              <w:rPr>
                <w:sz w:val="18"/>
              </w:rPr>
            </w:pPr>
            <w:r>
              <w:rPr>
                <w:sz w:val="18"/>
              </w:rPr>
              <w:t>10.4</w:t>
            </w:r>
          </w:p>
        </w:tc>
      </w:tr>
      <w:tr>
        <w:trPr>
          <w:trHeight w:val="329" w:hRule="exact"/>
        </w:trPr>
        <w:tc>
          <w:tcPr>
            <w:tcW w:w="902" w:type="dxa"/>
            <w:vMerge/>
          </w:tcPr>
          <w:p>
            <w:pPr/>
          </w:p>
        </w:tc>
        <w:tc>
          <w:tcPr>
            <w:tcW w:w="1082" w:type="dxa"/>
          </w:tcPr>
          <w:p>
            <w:pPr>
              <w:pStyle w:val="TableParagraph"/>
              <w:spacing w:line="206" w:lineRule="exact"/>
              <w:ind w:left="147" w:right="153"/>
              <w:rPr>
                <w:sz w:val="18"/>
              </w:rPr>
            </w:pPr>
            <w:r>
              <w:rPr>
                <w:sz w:val="18"/>
              </w:rPr>
              <w:t>Medio</w:t>
            </w:r>
          </w:p>
        </w:tc>
        <w:tc>
          <w:tcPr>
            <w:tcW w:w="1196" w:type="dxa"/>
          </w:tcPr>
          <w:p>
            <w:pPr>
              <w:pStyle w:val="TableParagraph"/>
              <w:spacing w:line="206" w:lineRule="exact"/>
              <w:ind w:left="125" w:right="127"/>
              <w:rPr>
                <w:sz w:val="18"/>
              </w:rPr>
            </w:pPr>
            <w:r>
              <w:rPr>
                <w:sz w:val="18"/>
              </w:rPr>
              <w:t>39</w:t>
            </w:r>
          </w:p>
        </w:tc>
        <w:tc>
          <w:tcPr>
            <w:tcW w:w="1402" w:type="dxa"/>
          </w:tcPr>
          <w:p>
            <w:pPr>
              <w:pStyle w:val="TableParagraph"/>
              <w:spacing w:line="206" w:lineRule="exact"/>
              <w:ind w:left="245" w:right="245"/>
              <w:rPr>
                <w:sz w:val="18"/>
              </w:rPr>
            </w:pPr>
            <w:r>
              <w:rPr>
                <w:sz w:val="18"/>
              </w:rPr>
              <w:t>31.2</w:t>
            </w:r>
          </w:p>
        </w:tc>
        <w:tc>
          <w:tcPr>
            <w:tcW w:w="1973" w:type="dxa"/>
          </w:tcPr>
          <w:p>
            <w:pPr>
              <w:pStyle w:val="TableParagraph"/>
              <w:spacing w:line="206" w:lineRule="exact"/>
              <w:ind w:left="270" w:right="269"/>
              <w:rPr>
                <w:sz w:val="18"/>
              </w:rPr>
            </w:pPr>
            <w:r>
              <w:rPr>
                <w:sz w:val="18"/>
              </w:rPr>
              <w:t>31.2</w:t>
            </w:r>
          </w:p>
        </w:tc>
        <w:tc>
          <w:tcPr>
            <w:tcW w:w="2067" w:type="dxa"/>
          </w:tcPr>
          <w:p>
            <w:pPr>
              <w:pStyle w:val="TableParagraph"/>
              <w:spacing w:line="206" w:lineRule="exact"/>
              <w:ind w:left="113" w:right="113"/>
              <w:rPr>
                <w:sz w:val="18"/>
              </w:rPr>
            </w:pPr>
            <w:r>
              <w:rPr>
                <w:sz w:val="18"/>
              </w:rPr>
              <w:t>41.6</w:t>
            </w:r>
          </w:p>
        </w:tc>
      </w:tr>
      <w:tr>
        <w:trPr>
          <w:trHeight w:val="329" w:hRule="exact"/>
        </w:trPr>
        <w:tc>
          <w:tcPr>
            <w:tcW w:w="902" w:type="dxa"/>
            <w:vMerge/>
          </w:tcPr>
          <w:p>
            <w:pPr/>
          </w:p>
        </w:tc>
        <w:tc>
          <w:tcPr>
            <w:tcW w:w="1082" w:type="dxa"/>
          </w:tcPr>
          <w:p>
            <w:pPr>
              <w:pStyle w:val="TableParagraph"/>
              <w:spacing w:line="206" w:lineRule="exact"/>
              <w:ind w:left="149" w:right="152"/>
              <w:rPr>
                <w:sz w:val="18"/>
              </w:rPr>
            </w:pPr>
            <w:r>
              <w:rPr>
                <w:sz w:val="18"/>
              </w:rPr>
              <w:t>Bajo</w:t>
            </w:r>
          </w:p>
        </w:tc>
        <w:tc>
          <w:tcPr>
            <w:tcW w:w="1196" w:type="dxa"/>
          </w:tcPr>
          <w:p>
            <w:pPr>
              <w:pStyle w:val="TableParagraph"/>
              <w:spacing w:line="206" w:lineRule="exact"/>
              <w:ind w:left="125" w:right="127"/>
              <w:rPr>
                <w:sz w:val="18"/>
              </w:rPr>
            </w:pPr>
            <w:r>
              <w:rPr>
                <w:sz w:val="18"/>
              </w:rPr>
              <w:t>36</w:t>
            </w:r>
          </w:p>
        </w:tc>
        <w:tc>
          <w:tcPr>
            <w:tcW w:w="1402" w:type="dxa"/>
          </w:tcPr>
          <w:p>
            <w:pPr>
              <w:pStyle w:val="TableParagraph"/>
              <w:spacing w:line="206" w:lineRule="exact"/>
              <w:ind w:left="245" w:right="245"/>
              <w:rPr>
                <w:sz w:val="18"/>
              </w:rPr>
            </w:pPr>
            <w:r>
              <w:rPr>
                <w:sz w:val="18"/>
              </w:rPr>
              <w:t>28.8</w:t>
            </w:r>
          </w:p>
        </w:tc>
        <w:tc>
          <w:tcPr>
            <w:tcW w:w="1973" w:type="dxa"/>
          </w:tcPr>
          <w:p>
            <w:pPr>
              <w:pStyle w:val="TableParagraph"/>
              <w:spacing w:line="206" w:lineRule="exact"/>
              <w:ind w:left="270" w:right="269"/>
              <w:rPr>
                <w:sz w:val="18"/>
              </w:rPr>
            </w:pPr>
            <w:r>
              <w:rPr>
                <w:sz w:val="18"/>
              </w:rPr>
              <w:t>28.8</w:t>
            </w:r>
          </w:p>
        </w:tc>
        <w:tc>
          <w:tcPr>
            <w:tcW w:w="2067" w:type="dxa"/>
          </w:tcPr>
          <w:p>
            <w:pPr>
              <w:pStyle w:val="TableParagraph"/>
              <w:spacing w:line="206" w:lineRule="exact"/>
              <w:ind w:left="113" w:right="113"/>
              <w:rPr>
                <w:sz w:val="18"/>
              </w:rPr>
            </w:pPr>
            <w:r>
              <w:rPr>
                <w:sz w:val="18"/>
              </w:rPr>
              <w:t>70.4</w:t>
            </w:r>
          </w:p>
        </w:tc>
      </w:tr>
      <w:tr>
        <w:trPr>
          <w:trHeight w:val="329" w:hRule="exact"/>
        </w:trPr>
        <w:tc>
          <w:tcPr>
            <w:tcW w:w="902" w:type="dxa"/>
            <w:vMerge/>
          </w:tcPr>
          <w:p>
            <w:pPr/>
          </w:p>
        </w:tc>
        <w:tc>
          <w:tcPr>
            <w:tcW w:w="1082" w:type="dxa"/>
          </w:tcPr>
          <w:p>
            <w:pPr>
              <w:pStyle w:val="TableParagraph"/>
              <w:spacing w:line="206" w:lineRule="exact"/>
              <w:ind w:left="149" w:right="153"/>
              <w:rPr>
                <w:sz w:val="18"/>
              </w:rPr>
            </w:pPr>
            <w:r>
              <w:rPr>
                <w:sz w:val="18"/>
              </w:rPr>
              <w:t>Muy bajo</w:t>
            </w:r>
          </w:p>
        </w:tc>
        <w:tc>
          <w:tcPr>
            <w:tcW w:w="1196" w:type="dxa"/>
          </w:tcPr>
          <w:p>
            <w:pPr>
              <w:pStyle w:val="TableParagraph"/>
              <w:spacing w:line="206" w:lineRule="exact"/>
              <w:ind w:left="125" w:right="127"/>
              <w:rPr>
                <w:sz w:val="18"/>
              </w:rPr>
            </w:pPr>
            <w:r>
              <w:rPr>
                <w:sz w:val="18"/>
              </w:rPr>
              <w:t>37</w:t>
            </w:r>
          </w:p>
        </w:tc>
        <w:tc>
          <w:tcPr>
            <w:tcW w:w="1402" w:type="dxa"/>
          </w:tcPr>
          <w:p>
            <w:pPr>
              <w:pStyle w:val="TableParagraph"/>
              <w:spacing w:line="206" w:lineRule="exact"/>
              <w:ind w:left="245" w:right="245"/>
              <w:rPr>
                <w:sz w:val="18"/>
              </w:rPr>
            </w:pPr>
            <w:r>
              <w:rPr>
                <w:sz w:val="18"/>
              </w:rPr>
              <w:t>29.6</w:t>
            </w:r>
          </w:p>
        </w:tc>
        <w:tc>
          <w:tcPr>
            <w:tcW w:w="1973" w:type="dxa"/>
          </w:tcPr>
          <w:p>
            <w:pPr>
              <w:pStyle w:val="TableParagraph"/>
              <w:spacing w:line="206" w:lineRule="exact"/>
              <w:ind w:left="270" w:right="269"/>
              <w:rPr>
                <w:sz w:val="18"/>
              </w:rPr>
            </w:pPr>
            <w:r>
              <w:rPr>
                <w:sz w:val="18"/>
              </w:rPr>
              <w:t>29.6</w:t>
            </w:r>
          </w:p>
        </w:tc>
        <w:tc>
          <w:tcPr>
            <w:tcW w:w="2067" w:type="dxa"/>
          </w:tcPr>
          <w:p>
            <w:pPr>
              <w:pStyle w:val="TableParagraph"/>
              <w:spacing w:line="206" w:lineRule="exact"/>
              <w:ind w:left="113" w:right="113"/>
              <w:rPr>
                <w:sz w:val="18"/>
              </w:rPr>
            </w:pPr>
            <w:r>
              <w:rPr>
                <w:sz w:val="18"/>
              </w:rPr>
              <w:t>100.0</w:t>
            </w:r>
          </w:p>
        </w:tc>
      </w:tr>
      <w:tr>
        <w:trPr>
          <w:trHeight w:val="329" w:hRule="exact"/>
        </w:trPr>
        <w:tc>
          <w:tcPr>
            <w:tcW w:w="902" w:type="dxa"/>
            <w:vMerge/>
          </w:tcPr>
          <w:p>
            <w:pPr/>
          </w:p>
        </w:tc>
        <w:tc>
          <w:tcPr>
            <w:tcW w:w="1082" w:type="dxa"/>
          </w:tcPr>
          <w:p>
            <w:pPr>
              <w:pStyle w:val="TableParagraph"/>
              <w:spacing w:line="206" w:lineRule="exact"/>
              <w:ind w:left="148" w:right="153"/>
              <w:rPr>
                <w:sz w:val="18"/>
              </w:rPr>
            </w:pPr>
            <w:r>
              <w:rPr>
                <w:sz w:val="18"/>
              </w:rPr>
              <w:t>Total</w:t>
            </w:r>
          </w:p>
        </w:tc>
        <w:tc>
          <w:tcPr>
            <w:tcW w:w="1196" w:type="dxa"/>
          </w:tcPr>
          <w:p>
            <w:pPr>
              <w:pStyle w:val="TableParagraph"/>
              <w:spacing w:line="206" w:lineRule="exact"/>
              <w:ind w:left="125" w:right="127"/>
              <w:rPr>
                <w:sz w:val="18"/>
              </w:rPr>
            </w:pPr>
            <w:r>
              <w:rPr>
                <w:sz w:val="18"/>
              </w:rPr>
              <w:t>125</w:t>
            </w:r>
          </w:p>
        </w:tc>
        <w:tc>
          <w:tcPr>
            <w:tcW w:w="1402" w:type="dxa"/>
          </w:tcPr>
          <w:p>
            <w:pPr>
              <w:pStyle w:val="TableParagraph"/>
              <w:spacing w:line="206" w:lineRule="exact"/>
              <w:ind w:left="245" w:right="245"/>
              <w:rPr>
                <w:sz w:val="18"/>
              </w:rPr>
            </w:pPr>
            <w:r>
              <w:rPr>
                <w:sz w:val="18"/>
              </w:rPr>
              <w:t>100.0</w:t>
            </w:r>
          </w:p>
        </w:tc>
        <w:tc>
          <w:tcPr>
            <w:tcW w:w="1973" w:type="dxa"/>
          </w:tcPr>
          <w:p>
            <w:pPr>
              <w:pStyle w:val="TableParagraph"/>
              <w:spacing w:line="206" w:lineRule="exact"/>
              <w:ind w:left="270" w:right="269"/>
              <w:rPr>
                <w:sz w:val="18"/>
              </w:rPr>
            </w:pPr>
            <w:r>
              <w:rPr>
                <w:sz w:val="18"/>
              </w:rPr>
              <w:t>100.0</w:t>
            </w:r>
          </w:p>
        </w:tc>
        <w:tc>
          <w:tcPr>
            <w:tcW w:w="2067" w:type="dxa"/>
          </w:tcPr>
          <w:p>
            <w:pPr/>
          </w:p>
        </w:tc>
      </w:tr>
    </w:tbl>
    <w:p>
      <w:pPr>
        <w:tabs>
          <w:tab w:pos="1583" w:val="left" w:leader="none"/>
          <w:tab w:pos="3075" w:val="left" w:leader="none"/>
          <w:tab w:pos="4186" w:val="left" w:leader="none"/>
          <w:tab w:pos="5112" w:val="left" w:leader="none"/>
          <w:tab w:pos="6172" w:val="left" w:leader="none"/>
          <w:tab w:pos="7014" w:val="left" w:leader="none"/>
          <w:tab w:pos="8272" w:val="left" w:leader="none"/>
          <w:tab w:pos="8377" w:val="left" w:leader="none"/>
        </w:tabs>
        <w:spacing w:line="360" w:lineRule="auto" w:before="0"/>
        <w:ind w:left="372" w:right="378" w:firstLine="0"/>
        <w:jc w:val="left"/>
        <w:rPr>
          <w:sz w:val="16"/>
        </w:rPr>
      </w:pPr>
      <w:r>
        <w:rPr>
          <w:sz w:val="16"/>
        </w:rPr>
        <w:t>Fuente:</w:t>
        <w:tab/>
        <w:t>elaboración</w:t>
        <w:tab/>
        <w:t>propia</w:t>
        <w:tab/>
        <w:t>con</w:t>
        <w:tab/>
        <w:t>datos</w:t>
        <w:tab/>
        <w:t>de</w:t>
        <w:tab/>
        <w:t>CONAPO</w:t>
        <w:tab/>
        <w:tab/>
      </w:r>
      <w:r>
        <w:rPr>
          <w:spacing w:val="-1"/>
          <w:sz w:val="16"/>
        </w:rPr>
        <w:t>2010. </w:t>
      </w:r>
      <w:hyperlink r:id="rId123">
        <w:r>
          <w:rPr>
            <w:color w:val="0462C1"/>
            <w:spacing w:val="-1"/>
            <w:sz w:val="16"/>
            <w:u w:val="single" w:color="0462C1"/>
          </w:rPr>
          <w:t>http://www.conapo.gob.mx/work/models/CONAPO/indices_margina/mf2010/CapitulosPDF/Anexo%20B2.pdf</w:t>
        </w:r>
      </w:hyperlink>
      <w:r>
        <w:rPr>
          <w:color w:val="0462C1"/>
          <w:spacing w:val="-1"/>
          <w:sz w:val="16"/>
        </w:rPr>
        <w:tab/>
      </w:r>
      <w:r>
        <w:rPr>
          <w:spacing w:val="-1"/>
          <w:sz w:val="16"/>
        </w:rPr>
        <w:t>[28-11-</w:t>
      </w:r>
    </w:p>
    <w:p>
      <w:pPr>
        <w:spacing w:before="2"/>
        <w:ind w:left="372" w:right="6" w:firstLine="0"/>
        <w:jc w:val="left"/>
        <w:rPr>
          <w:sz w:val="16"/>
        </w:rPr>
      </w:pPr>
      <w:r>
        <w:rPr>
          <w:sz w:val="16"/>
        </w:rPr>
        <w:t>2013]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pPr>
    </w:p>
    <w:p>
      <w:pPr>
        <w:spacing w:before="80"/>
        <w:ind w:left="816" w:right="6" w:firstLine="0"/>
        <w:jc w:val="left"/>
        <w:rPr>
          <w:sz w:val="16"/>
        </w:rPr>
      </w:pPr>
      <w:r>
        <w:rPr/>
        <w:pict>
          <v:group style="position:absolute;margin-left:123.360001pt;margin-top:-221.156097pt;width:360.6pt;height:206.9pt;mso-position-horizontal-relative:page;mso-position-vertical-relative:paragraph;z-index:7600" coordorigin="2467,-4423" coordsize="7212,4138">
            <v:shape style="position:absolute;left:2467;top:-4423;width:7212;height:4138" type="#_x0000_t75" stroked="false">
              <v:imagedata r:id="rId124" o:title=""/>
            </v:shape>
            <v:rect style="position:absolute;left:3290;top:-3480;width:6163;height:2386" filled="true" fillcolor="#ffffff" stroked="false">
              <v:fill type="solid"/>
            </v:rect>
            <v:shape style="position:absolute;left:3290;top:-3480;width:6164;height:2122" coordorigin="3290,-3480" coordsize="6164,2122" path="m9084,-1358l9454,-1358m7850,-1358l8590,-1358m6619,-1358l7358,-1358m5386,-1358l6125,-1358m3290,-1358l4891,-1358m9084,-1625l9454,-1625m7850,-1625l8590,-1625m6619,-1625l7358,-1625m5386,-1625l6125,-1625m3290,-1625l4891,-1625m9084,-1889l9454,-1889m7850,-1889l8590,-1889m6619,-1889l7358,-1889m3290,-1889l6125,-1889m9084,-2155l9454,-2155m7850,-2155l8590,-2155m6619,-2155l7358,-2155m3290,-2155l6125,-2155m9084,-2419l9454,-2419m7850,-2419l8590,-2419m6619,-2419l7358,-2419m3290,-2419l6125,-2419m9084,-2683l9454,-2683m7850,-2683l8590,-2683m6619,-2683l7358,-2683m3290,-2683l6125,-2683m9084,-2950l9454,-2950m7850,-2950l8590,-2950m6619,-2950l7358,-2950m3290,-2950l6125,-2950m3290,-3214l9454,-3214m3290,-3480l9454,-3480e" filled="false" stroked="true" strokeweight=".48pt" strokecolor="#888888">
              <v:path arrowok="t"/>
            </v:shape>
            <v:rect style="position:absolute;left:3660;top:-1200;width:492;height:106" filled="true" fillcolor="#ff0000" stroked="false">
              <v:fill type="solid"/>
            </v:rect>
            <v:rect style="position:absolute;left:4891;top:-1678;width:494;height:583" filled="true" fillcolor="#538235" stroked="false">
              <v:fill type="solid"/>
            </v:rect>
            <v:rect style="position:absolute;left:6125;top:-3161;width:494;height:2066" filled="true" fillcolor="#ffc000" stroked="false">
              <v:fill type="solid"/>
            </v:rect>
            <v:rect style="position:absolute;left:7358;top:-3002;width:492;height:1908" filled="true" fillcolor="#92d050" stroked="false">
              <v:fill type="solid"/>
            </v:rect>
            <v:rect style="position:absolute;left:8590;top:-3055;width:494;height:1961" filled="true" fillcolor="#00af50" stroked="false">
              <v:fill type="solid"/>
            </v:rect>
            <v:shape style="position:absolute;left:3238;top:-3480;width:6216;height:2436" coordorigin="3238,-3480" coordsize="6216,2436" path="m3290,-1094l3290,-3480m3238,-1094l3290,-1094m3238,-1358l3290,-1358m3238,-1625l3290,-1625m3238,-1889l3290,-1889m3238,-2155l3290,-2155m3238,-2419l3290,-2419m3238,-2683l3290,-2683m3238,-2950l3290,-2950m3238,-3214l3290,-3214m3238,-3480l3290,-3480m3290,-1094l9454,-1094m3290,-1094l3290,-1044m4522,-1094l4522,-1044m5755,-1094l5755,-1044m6989,-1094l6989,-1044m8220,-1094l8220,-1044m9454,-1094l9454,-1044e" filled="false" stroked="true" strokeweight=".48pt" strokecolor="#888888">
              <v:path arrowok="t"/>
            </v:shape>
            <v:shape style="position:absolute;left:2473;top:-4417;width:7200;height:4125" coordorigin="2473,-4417" coordsize="7200,4125" path="m2473,-4217l2489,-4294,2532,-4358,2596,-4401,2673,-4417,9474,-4417,9551,-4401,9615,-4358,9658,-4294,9673,-4217,9673,-492,9658,-414,9615,-350,9551,-307,9474,-292,2673,-292,2596,-307,2532,-350,2489,-414,2473,-492,2473,-4217xe" filled="false" stroked="true" strokeweight=".5pt" strokecolor="#888888">
              <v:path arrowok="t"/>
            </v:shape>
            <v:shape style="position:absolute;left:5058;top:-1930;width:164;height:161" type="#_x0000_t202" filled="false" stroked="false">
              <v:textbox inset="0,0,0,0">
                <w:txbxContent>
                  <w:p>
                    <w:pPr>
                      <w:spacing w:line="161" w:lineRule="exact" w:before="0"/>
                      <w:ind w:left="0" w:right="-19" w:firstLine="0"/>
                      <w:jc w:val="left"/>
                      <w:rPr>
                        <w:rFonts w:ascii="Calibri"/>
                        <w:sz w:val="16"/>
                      </w:rPr>
                    </w:pPr>
                    <w:r>
                      <w:rPr>
                        <w:rFonts w:ascii="Calibri"/>
                        <w:sz w:val="16"/>
                      </w:rPr>
                      <w:t>11</w:t>
                    </w:r>
                  </w:p>
                </w:txbxContent>
              </v:textbox>
              <w10:wrap type="none"/>
            </v:shape>
            <v:shape style="position:absolute;left:3866;top:-1453;width:82;height:161" type="#_x0000_t202" filled="false" stroked="false">
              <v:textbox inset="0,0,0,0">
                <w:txbxContent>
                  <w:p>
                    <w:pPr>
                      <w:spacing w:line="161" w:lineRule="exact" w:before="0"/>
                      <w:ind w:left="0" w:right="0" w:firstLine="0"/>
                      <w:jc w:val="left"/>
                      <w:rPr>
                        <w:rFonts w:ascii="Calibri"/>
                        <w:sz w:val="16"/>
                      </w:rPr>
                    </w:pPr>
                    <w:r>
                      <w:rPr>
                        <w:rFonts w:ascii="Calibri"/>
                        <w:w w:val="100"/>
                        <w:sz w:val="16"/>
                      </w:rPr>
                      <w:t>2</w:t>
                    </w:r>
                  </w:p>
                </w:txbxContent>
              </v:textbox>
              <w10:wrap type="none"/>
            </v:shape>
            <v:shape style="position:absolute;left:3477;top:-4222;width:5187;height:490" type="#_x0000_t202" filled="false" stroked="false">
              <v:textbox inset="0,0,0,0">
                <w:txbxContent>
                  <w:p>
                    <w:pPr>
                      <w:spacing w:line="225" w:lineRule="exact" w:before="0"/>
                      <w:ind w:left="0" w:right="0" w:firstLine="0"/>
                      <w:jc w:val="center"/>
                      <w:rPr>
                        <w:rFonts w:ascii="Calibri" w:hAnsi="Calibri"/>
                        <w:b/>
                        <w:sz w:val="22"/>
                      </w:rPr>
                    </w:pPr>
                    <w:r>
                      <w:rPr>
                        <w:rFonts w:ascii="Calibri" w:hAnsi="Calibri"/>
                        <w:b/>
                        <w:sz w:val="22"/>
                      </w:rPr>
                      <w:t>Gráfica 3.13. Grado de marginación de los municipios</w:t>
                    </w:r>
                    <w:r>
                      <w:rPr>
                        <w:rFonts w:ascii="Calibri" w:hAnsi="Calibri"/>
                        <w:b/>
                        <w:spacing w:val="-27"/>
                        <w:sz w:val="22"/>
                      </w:rPr>
                      <w:t> </w:t>
                    </w:r>
                    <w:r>
                      <w:rPr>
                        <w:rFonts w:ascii="Calibri" w:hAnsi="Calibri"/>
                        <w:b/>
                        <w:sz w:val="22"/>
                      </w:rPr>
                      <w:t>del</w:t>
                    </w:r>
                  </w:p>
                  <w:p>
                    <w:pPr>
                      <w:spacing w:line="265" w:lineRule="exact" w:before="0"/>
                      <w:ind w:left="3" w:right="0" w:firstLine="0"/>
                      <w:jc w:val="center"/>
                      <w:rPr>
                        <w:rFonts w:ascii="Calibri" w:hAnsi="Calibri"/>
                        <w:b/>
                        <w:sz w:val="22"/>
                      </w:rPr>
                    </w:pPr>
                    <w:r>
                      <w:rPr>
                        <w:rFonts w:ascii="Calibri" w:hAnsi="Calibri"/>
                        <w:b/>
                        <w:sz w:val="22"/>
                      </w:rPr>
                      <w:t>Estado de México en 2010</w:t>
                    </w:r>
                  </w:p>
                </w:txbxContent>
              </v:textbox>
              <w10:wrap type="none"/>
            </v:shape>
            <v:shape style="position:absolute;left:2979;top:-3554;width:164;height:2547" type="#_x0000_t202" filled="false" stroked="false">
              <v:textbox inset="0,0,0,0">
                <w:txbxContent>
                  <w:p>
                    <w:pPr>
                      <w:spacing w:line="164" w:lineRule="exact" w:before="0"/>
                      <w:ind w:left="0" w:right="-19" w:firstLine="0"/>
                      <w:jc w:val="left"/>
                      <w:rPr>
                        <w:rFonts w:ascii="Calibri"/>
                        <w:sz w:val="16"/>
                      </w:rPr>
                    </w:pPr>
                    <w:r>
                      <w:rPr>
                        <w:rFonts w:ascii="Calibri"/>
                        <w:sz w:val="16"/>
                      </w:rPr>
                      <w:t>45</w:t>
                    </w:r>
                  </w:p>
                  <w:p>
                    <w:pPr>
                      <w:spacing w:before="69"/>
                      <w:ind w:left="0" w:right="-19" w:firstLine="0"/>
                      <w:jc w:val="left"/>
                      <w:rPr>
                        <w:rFonts w:ascii="Calibri"/>
                        <w:sz w:val="16"/>
                      </w:rPr>
                    </w:pPr>
                    <w:r>
                      <w:rPr>
                        <w:rFonts w:ascii="Calibri"/>
                        <w:sz w:val="16"/>
                      </w:rPr>
                      <w:t>40</w:t>
                    </w:r>
                  </w:p>
                  <w:p>
                    <w:pPr>
                      <w:spacing w:before="70"/>
                      <w:ind w:left="0" w:right="-19" w:firstLine="0"/>
                      <w:jc w:val="left"/>
                      <w:rPr>
                        <w:rFonts w:ascii="Calibri"/>
                        <w:sz w:val="16"/>
                      </w:rPr>
                    </w:pPr>
                    <w:r>
                      <w:rPr>
                        <w:rFonts w:ascii="Calibri"/>
                        <w:sz w:val="16"/>
                      </w:rPr>
                      <w:t>35</w:t>
                    </w:r>
                  </w:p>
                  <w:p>
                    <w:pPr>
                      <w:spacing w:before="69"/>
                      <w:ind w:left="0" w:right="-19" w:firstLine="0"/>
                      <w:jc w:val="left"/>
                      <w:rPr>
                        <w:rFonts w:ascii="Calibri"/>
                        <w:sz w:val="16"/>
                      </w:rPr>
                    </w:pPr>
                    <w:r>
                      <w:rPr>
                        <w:rFonts w:ascii="Calibri"/>
                        <w:sz w:val="16"/>
                      </w:rPr>
                      <w:t>30</w:t>
                    </w:r>
                  </w:p>
                  <w:p>
                    <w:pPr>
                      <w:spacing w:before="69"/>
                      <w:ind w:left="0" w:right="-19" w:firstLine="0"/>
                      <w:jc w:val="left"/>
                      <w:rPr>
                        <w:rFonts w:ascii="Calibri"/>
                        <w:sz w:val="16"/>
                      </w:rPr>
                    </w:pPr>
                    <w:r>
                      <w:rPr>
                        <w:rFonts w:ascii="Calibri"/>
                        <w:sz w:val="16"/>
                      </w:rPr>
                      <w:t>25</w:t>
                    </w:r>
                  </w:p>
                  <w:p>
                    <w:pPr>
                      <w:spacing w:before="69"/>
                      <w:ind w:left="0" w:right="-19" w:firstLine="0"/>
                      <w:jc w:val="left"/>
                      <w:rPr>
                        <w:rFonts w:ascii="Calibri"/>
                        <w:sz w:val="16"/>
                      </w:rPr>
                    </w:pPr>
                    <w:r>
                      <w:rPr>
                        <w:rFonts w:ascii="Calibri"/>
                        <w:sz w:val="16"/>
                      </w:rPr>
                      <w:t>20</w:t>
                    </w:r>
                  </w:p>
                  <w:p>
                    <w:pPr>
                      <w:spacing w:before="70"/>
                      <w:ind w:left="0" w:right="-19" w:firstLine="0"/>
                      <w:jc w:val="left"/>
                      <w:rPr>
                        <w:rFonts w:ascii="Calibri"/>
                        <w:sz w:val="16"/>
                      </w:rPr>
                    </w:pPr>
                    <w:r>
                      <w:rPr>
                        <w:rFonts w:ascii="Calibri"/>
                        <w:sz w:val="16"/>
                      </w:rPr>
                      <w:t>15</w:t>
                    </w:r>
                  </w:p>
                  <w:p>
                    <w:pPr>
                      <w:spacing w:before="69"/>
                      <w:ind w:left="0" w:right="-19" w:firstLine="0"/>
                      <w:jc w:val="left"/>
                      <w:rPr>
                        <w:rFonts w:ascii="Calibri"/>
                        <w:sz w:val="16"/>
                      </w:rPr>
                    </w:pPr>
                    <w:r>
                      <w:rPr>
                        <w:rFonts w:ascii="Calibri"/>
                        <w:sz w:val="16"/>
                      </w:rPr>
                      <w:t>10</w:t>
                    </w:r>
                  </w:p>
                  <w:p>
                    <w:pPr>
                      <w:spacing w:before="69"/>
                      <w:ind w:left="81" w:right="0" w:firstLine="0"/>
                      <w:jc w:val="left"/>
                      <w:rPr>
                        <w:rFonts w:ascii="Calibri"/>
                        <w:sz w:val="16"/>
                      </w:rPr>
                    </w:pPr>
                    <w:r>
                      <w:rPr>
                        <w:rFonts w:ascii="Calibri"/>
                        <w:w w:val="100"/>
                        <w:sz w:val="16"/>
                      </w:rPr>
                      <w:t>5</w:t>
                    </w:r>
                  </w:p>
                  <w:p>
                    <w:pPr>
                      <w:spacing w:line="193" w:lineRule="exact" w:before="70"/>
                      <w:ind w:left="81" w:right="0" w:firstLine="0"/>
                      <w:jc w:val="left"/>
                      <w:rPr>
                        <w:rFonts w:ascii="Calibri"/>
                        <w:sz w:val="16"/>
                      </w:rPr>
                    </w:pPr>
                    <w:r>
                      <w:rPr>
                        <w:rFonts w:ascii="Calibri"/>
                        <w:w w:val="100"/>
                        <w:sz w:val="16"/>
                      </w:rPr>
                      <w:t>0</w:t>
                    </w:r>
                  </w:p>
                </w:txbxContent>
              </v:textbox>
              <w10:wrap type="none"/>
            </v:shape>
            <v:shape style="position:absolute;left:6291;top:-3415;width:164;height:161" type="#_x0000_t202" filled="false" stroked="false">
              <v:textbox inset="0,0,0,0">
                <w:txbxContent>
                  <w:p>
                    <w:pPr>
                      <w:spacing w:line="161" w:lineRule="exact" w:before="0"/>
                      <w:ind w:left="0" w:right="-19" w:firstLine="0"/>
                      <w:jc w:val="left"/>
                      <w:rPr>
                        <w:rFonts w:ascii="Calibri"/>
                        <w:sz w:val="16"/>
                      </w:rPr>
                    </w:pPr>
                    <w:r>
                      <w:rPr>
                        <w:rFonts w:ascii="Calibri"/>
                        <w:sz w:val="16"/>
                      </w:rPr>
                      <w:t>39</w:t>
                    </w:r>
                  </w:p>
                </w:txbxContent>
              </v:textbox>
              <w10:wrap type="none"/>
            </v:shape>
            <v:shape style="position:absolute;left:7524;top:-3256;width:164;height:161" type="#_x0000_t202" filled="false" stroked="false">
              <v:textbox inset="0,0,0,0">
                <w:txbxContent>
                  <w:p>
                    <w:pPr>
                      <w:spacing w:line="161" w:lineRule="exact" w:before="0"/>
                      <w:ind w:left="0" w:right="-19" w:firstLine="0"/>
                      <w:jc w:val="left"/>
                      <w:rPr>
                        <w:rFonts w:ascii="Calibri"/>
                        <w:sz w:val="16"/>
                      </w:rPr>
                    </w:pPr>
                    <w:r>
                      <w:rPr>
                        <w:rFonts w:ascii="Calibri"/>
                        <w:sz w:val="16"/>
                      </w:rPr>
                      <w:t>36</w:t>
                    </w:r>
                  </w:p>
                </w:txbxContent>
              </v:textbox>
              <w10:wrap type="none"/>
            </v:shape>
            <v:shape style="position:absolute;left:8757;top:-3309;width:164;height:161" type="#_x0000_t202" filled="false" stroked="false">
              <v:textbox inset="0,0,0,0">
                <w:txbxContent>
                  <w:p>
                    <w:pPr>
                      <w:spacing w:line="161" w:lineRule="exact" w:before="0"/>
                      <w:ind w:left="0" w:right="-19" w:firstLine="0"/>
                      <w:jc w:val="left"/>
                      <w:rPr>
                        <w:rFonts w:ascii="Calibri"/>
                        <w:sz w:val="16"/>
                      </w:rPr>
                    </w:pPr>
                    <w:r>
                      <w:rPr>
                        <w:rFonts w:ascii="Calibri"/>
                        <w:sz w:val="16"/>
                      </w:rPr>
                      <w:t>37</w:t>
                    </w:r>
                  </w:p>
                </w:txbxContent>
              </v:textbox>
              <w10:wrap type="none"/>
            </v:shape>
            <v:shape style="position:absolute;left:3616;top:-960;width:1657;height:161" type="#_x0000_t202" filled="false" stroked="false">
              <v:textbox inset="0,0,0,0">
                <w:txbxContent>
                  <w:p>
                    <w:pPr>
                      <w:tabs>
                        <w:tab w:pos="1389" w:val="left" w:leader="none"/>
                      </w:tabs>
                      <w:spacing w:line="161" w:lineRule="exact" w:before="0"/>
                      <w:ind w:left="0" w:right="0" w:firstLine="0"/>
                      <w:jc w:val="left"/>
                      <w:rPr>
                        <w:rFonts w:ascii="Calibri"/>
                        <w:sz w:val="16"/>
                      </w:rPr>
                    </w:pPr>
                    <w:r>
                      <w:rPr>
                        <w:rFonts w:ascii="Calibri"/>
                        <w:sz w:val="16"/>
                      </w:rPr>
                      <w:t>Muy</w:t>
                    </w:r>
                    <w:r>
                      <w:rPr>
                        <w:rFonts w:ascii="Calibri"/>
                        <w:spacing w:val="-3"/>
                        <w:sz w:val="16"/>
                      </w:rPr>
                      <w:t> </w:t>
                    </w:r>
                    <w:r>
                      <w:rPr>
                        <w:rFonts w:ascii="Calibri"/>
                        <w:sz w:val="16"/>
                      </w:rPr>
                      <w:t>alto</w:t>
                      <w:tab/>
                    </w:r>
                    <w:r>
                      <w:rPr>
                        <w:rFonts w:ascii="Calibri"/>
                        <w:spacing w:val="-1"/>
                        <w:sz w:val="16"/>
                      </w:rPr>
                      <w:t>Alto</w:t>
                    </w:r>
                  </w:p>
                </w:txbxContent>
              </v:textbox>
              <w10:wrap type="none"/>
            </v:shape>
            <v:shape style="position:absolute;left:5633;top:-960;width:1476;height:417" type="#_x0000_t202" filled="false" stroked="false">
              <v:textbox inset="0,0,0,0">
                <w:txbxContent>
                  <w:p>
                    <w:pPr>
                      <w:spacing w:line="164" w:lineRule="exact" w:before="0"/>
                      <w:ind w:left="4" w:right="0" w:firstLine="0"/>
                      <w:jc w:val="center"/>
                      <w:rPr>
                        <w:rFonts w:ascii="Calibri"/>
                        <w:sz w:val="16"/>
                      </w:rPr>
                    </w:pPr>
                    <w:r>
                      <w:rPr>
                        <w:rFonts w:ascii="Calibri"/>
                        <w:sz w:val="16"/>
                      </w:rPr>
                      <w:t>Medio</w:t>
                    </w:r>
                  </w:p>
                  <w:p>
                    <w:pPr>
                      <w:spacing w:line="193" w:lineRule="exact" w:before="60"/>
                      <w:ind w:left="0" w:right="0" w:firstLine="0"/>
                      <w:jc w:val="center"/>
                      <w:rPr>
                        <w:rFonts w:ascii="Calibri" w:hAnsi="Calibri"/>
                        <w:b/>
                        <w:sz w:val="16"/>
                      </w:rPr>
                    </w:pPr>
                    <w:r>
                      <w:rPr>
                        <w:rFonts w:ascii="Calibri" w:hAnsi="Calibri"/>
                        <w:b/>
                        <w:sz w:val="16"/>
                      </w:rPr>
                      <w:t>Grado de marginación</w:t>
                    </w:r>
                  </w:p>
                </w:txbxContent>
              </v:textbox>
              <w10:wrap type="none"/>
            </v:shape>
            <v:shape style="position:absolute;left:7463;top:-960;width:287;height:161" type="#_x0000_t202" filled="false" stroked="false">
              <v:textbox inset="0,0,0,0">
                <w:txbxContent>
                  <w:p>
                    <w:pPr>
                      <w:spacing w:line="161" w:lineRule="exact" w:before="0"/>
                      <w:ind w:left="0" w:right="-20" w:firstLine="0"/>
                      <w:jc w:val="left"/>
                      <w:rPr>
                        <w:rFonts w:ascii="Calibri"/>
                        <w:sz w:val="16"/>
                      </w:rPr>
                    </w:pPr>
                    <w:r>
                      <w:rPr>
                        <w:rFonts w:ascii="Calibri"/>
                        <w:sz w:val="16"/>
                      </w:rPr>
                      <w:t>Bajo</w:t>
                    </w:r>
                  </w:p>
                </w:txbxContent>
              </v:textbox>
              <w10:wrap type="none"/>
            </v:shape>
            <v:shape style="position:absolute;left:8532;top:-960;width:614;height:161" type="#_x0000_t202" filled="false" stroked="false">
              <v:textbox inset="0,0,0,0">
                <w:txbxContent>
                  <w:p>
                    <w:pPr>
                      <w:spacing w:line="161" w:lineRule="exact" w:before="0"/>
                      <w:ind w:left="0" w:right="-19" w:firstLine="0"/>
                      <w:jc w:val="left"/>
                      <w:rPr>
                        <w:rFonts w:ascii="Calibri"/>
                        <w:sz w:val="16"/>
                      </w:rPr>
                    </w:pPr>
                    <w:r>
                      <w:rPr>
                        <w:rFonts w:ascii="Calibri"/>
                        <w:sz w:val="16"/>
                      </w:rPr>
                      <w:t>Muy bajo</w:t>
                    </w:r>
                  </w:p>
                </w:txbxContent>
              </v:textbox>
              <w10:wrap type="none"/>
            </v:shape>
            <w10:wrap type="none"/>
          </v:group>
        </w:pict>
      </w:r>
      <w:r>
        <w:rPr/>
        <w:pict>
          <v:shape style="position:absolute;margin-left:136.729996pt;margin-top:-152.915894pt;width:10.050pt;height:77.45pt;mso-position-horizontal-relative:page;mso-position-vertical-relative:paragraph;z-index:7624" type="#_x0000_t202" filled="false" stroked="false">
            <v:textbox inset="0,0,0,0" style="layout-flow:vertical;mso-layout-flow-alt:bottom-to-top">
              <w:txbxContent>
                <w:p>
                  <w:pPr>
                    <w:spacing w:line="184" w:lineRule="exact" w:before="0"/>
                    <w:ind w:left="20" w:right="0" w:firstLine="0"/>
                    <w:jc w:val="left"/>
                    <w:rPr>
                      <w:rFonts w:ascii="Calibri" w:hAnsi="Calibri"/>
                      <w:b/>
                      <w:sz w:val="16"/>
                    </w:rPr>
                  </w:pPr>
                  <w:r>
                    <w:rPr>
                      <w:rFonts w:ascii="Calibri" w:hAnsi="Calibri"/>
                      <w:b/>
                      <w:w w:val="100"/>
                      <w:sz w:val="16"/>
                    </w:rPr>
                    <w:t>Número</w:t>
                  </w:r>
                  <w:r>
                    <w:rPr>
                      <w:rFonts w:ascii="Calibri" w:hAnsi="Calibri"/>
                      <w:b/>
                      <w:spacing w:val="-6"/>
                      <w:sz w:val="16"/>
                    </w:rPr>
                    <w:t> </w:t>
                  </w:r>
                  <w:r>
                    <w:rPr>
                      <w:rFonts w:ascii="Calibri" w:hAnsi="Calibri"/>
                      <w:b/>
                      <w:w w:val="100"/>
                      <w:sz w:val="16"/>
                    </w:rPr>
                    <w:t>de</w:t>
                  </w:r>
                  <w:r>
                    <w:rPr>
                      <w:rFonts w:ascii="Calibri" w:hAnsi="Calibri"/>
                      <w:b/>
                      <w:sz w:val="16"/>
                    </w:rPr>
                    <w:t> </w:t>
                  </w:r>
                  <w:r>
                    <w:rPr>
                      <w:rFonts w:ascii="Calibri" w:hAnsi="Calibri"/>
                      <w:b/>
                      <w:w w:val="100"/>
                      <w:sz w:val="16"/>
                    </w:rPr>
                    <w:t>mun</w:t>
                  </w:r>
                  <w:r>
                    <w:rPr>
                      <w:rFonts w:ascii="Calibri" w:hAnsi="Calibri"/>
                      <w:b/>
                      <w:spacing w:val="-2"/>
                      <w:w w:val="100"/>
                      <w:sz w:val="16"/>
                    </w:rPr>
                    <w:t>i</w:t>
                  </w:r>
                  <w:r>
                    <w:rPr>
                      <w:rFonts w:ascii="Calibri" w:hAnsi="Calibri"/>
                      <w:b/>
                      <w:spacing w:val="-1"/>
                      <w:w w:val="100"/>
                      <w:sz w:val="16"/>
                    </w:rPr>
                    <w:t>c</w:t>
                  </w:r>
                  <w:r>
                    <w:rPr>
                      <w:rFonts w:ascii="Calibri" w:hAnsi="Calibri"/>
                      <w:b/>
                      <w:spacing w:val="-2"/>
                      <w:w w:val="100"/>
                      <w:sz w:val="16"/>
                    </w:rPr>
                    <w:t>i</w:t>
                  </w:r>
                  <w:r>
                    <w:rPr>
                      <w:rFonts w:ascii="Calibri" w:hAnsi="Calibri"/>
                      <w:b/>
                      <w:w w:val="100"/>
                      <w:sz w:val="16"/>
                    </w:rPr>
                    <w:t>p</w:t>
                  </w:r>
                  <w:r>
                    <w:rPr>
                      <w:rFonts w:ascii="Calibri" w:hAnsi="Calibri"/>
                      <w:b/>
                      <w:spacing w:val="-2"/>
                      <w:w w:val="100"/>
                      <w:sz w:val="16"/>
                    </w:rPr>
                    <w:t>i</w:t>
                  </w:r>
                  <w:r>
                    <w:rPr>
                      <w:rFonts w:ascii="Calibri" w:hAnsi="Calibri"/>
                      <w:b/>
                      <w:w w:val="100"/>
                      <w:sz w:val="16"/>
                    </w:rPr>
                    <w:t>os</w:t>
                  </w:r>
                </w:p>
              </w:txbxContent>
            </v:textbox>
            <w10:wrap type="none"/>
          </v:shape>
        </w:pict>
      </w:r>
      <w:r>
        <w:rPr>
          <w:sz w:val="16"/>
        </w:rPr>
        <w:t>Fuente: Elaboración propia con datos de COESPO</w:t>
      </w:r>
    </w:p>
    <w:p>
      <w:pPr>
        <w:pStyle w:val="BodyText"/>
        <w:spacing w:before="1"/>
        <w:rPr>
          <w:sz w:val="22"/>
        </w:rPr>
      </w:pPr>
    </w:p>
    <w:p>
      <w:pPr>
        <w:pStyle w:val="BodyText"/>
        <w:spacing w:line="360" w:lineRule="auto"/>
        <w:ind w:left="108" w:right="116"/>
        <w:jc w:val="both"/>
      </w:pPr>
      <w:r>
        <w:rPr/>
        <w:t>Para</w:t>
      </w:r>
      <w:r>
        <w:rPr>
          <w:spacing w:val="-9"/>
        </w:rPr>
        <w:t> </w:t>
      </w:r>
      <w:r>
        <w:rPr/>
        <w:t>2010,</w:t>
      </w:r>
      <w:r>
        <w:rPr>
          <w:spacing w:val="-9"/>
        </w:rPr>
        <w:t> </w:t>
      </w:r>
      <w:r>
        <w:rPr/>
        <w:t>el</w:t>
      </w:r>
      <w:r>
        <w:rPr>
          <w:spacing w:val="-10"/>
        </w:rPr>
        <w:t> </w:t>
      </w:r>
      <w:r>
        <w:rPr/>
        <w:t>grado</w:t>
      </w:r>
      <w:r>
        <w:rPr>
          <w:spacing w:val="-8"/>
        </w:rPr>
        <w:t> </w:t>
      </w:r>
      <w:r>
        <w:rPr/>
        <w:t>de</w:t>
      </w:r>
      <w:r>
        <w:rPr>
          <w:spacing w:val="-11"/>
        </w:rPr>
        <w:t> </w:t>
      </w:r>
      <w:r>
        <w:rPr/>
        <w:t>marginación</w:t>
      </w:r>
      <w:r>
        <w:rPr>
          <w:spacing w:val="-10"/>
        </w:rPr>
        <w:t> </w:t>
      </w:r>
      <w:r>
        <w:rPr/>
        <w:t>de</w:t>
      </w:r>
      <w:r>
        <w:rPr>
          <w:spacing w:val="-11"/>
        </w:rPr>
        <w:t> </w:t>
      </w:r>
      <w:r>
        <w:rPr/>
        <w:t>los</w:t>
      </w:r>
      <w:r>
        <w:rPr>
          <w:spacing w:val="-11"/>
        </w:rPr>
        <w:t> </w:t>
      </w:r>
      <w:r>
        <w:rPr/>
        <w:t>municipios</w:t>
      </w:r>
      <w:r>
        <w:rPr>
          <w:spacing w:val="-9"/>
        </w:rPr>
        <w:t> </w:t>
      </w:r>
      <w:r>
        <w:rPr/>
        <w:t>era</w:t>
      </w:r>
      <w:r>
        <w:rPr>
          <w:spacing w:val="-11"/>
        </w:rPr>
        <w:t> </w:t>
      </w:r>
      <w:r>
        <w:rPr/>
        <w:t>de</w:t>
      </w:r>
      <w:r>
        <w:rPr>
          <w:spacing w:val="-8"/>
        </w:rPr>
        <w:t> </w:t>
      </w:r>
      <w:r>
        <w:rPr/>
        <w:t>la</w:t>
      </w:r>
      <w:r>
        <w:rPr>
          <w:spacing w:val="-8"/>
        </w:rPr>
        <w:t> </w:t>
      </w:r>
      <w:r>
        <w:rPr/>
        <w:t>siguiente</w:t>
      </w:r>
      <w:r>
        <w:rPr>
          <w:spacing w:val="-10"/>
        </w:rPr>
        <w:t> </w:t>
      </w:r>
      <w:r>
        <w:rPr/>
        <w:t>manera:</w:t>
      </w:r>
      <w:r>
        <w:rPr>
          <w:spacing w:val="-6"/>
        </w:rPr>
        <w:t> </w:t>
      </w:r>
      <w:r>
        <w:rPr/>
        <w:t>39 de los 125 tenían un grado de marginación medio, que representan un 31.2%; seguidos</w:t>
      </w:r>
      <w:r>
        <w:rPr>
          <w:spacing w:val="-4"/>
        </w:rPr>
        <w:t> </w:t>
      </w:r>
      <w:r>
        <w:rPr/>
        <w:t>de</w:t>
      </w:r>
      <w:r>
        <w:rPr>
          <w:spacing w:val="-4"/>
        </w:rPr>
        <w:t> </w:t>
      </w:r>
      <w:r>
        <w:rPr/>
        <w:t>37</w:t>
      </w:r>
      <w:r>
        <w:rPr>
          <w:spacing w:val="-4"/>
        </w:rPr>
        <w:t> </w:t>
      </w:r>
      <w:r>
        <w:rPr/>
        <w:t>que</w:t>
      </w:r>
      <w:r>
        <w:rPr>
          <w:spacing w:val="-6"/>
        </w:rPr>
        <w:t> </w:t>
      </w:r>
      <w:r>
        <w:rPr/>
        <w:t>tienen</w:t>
      </w:r>
      <w:r>
        <w:rPr>
          <w:spacing w:val="-6"/>
        </w:rPr>
        <w:t> </w:t>
      </w:r>
      <w:r>
        <w:rPr/>
        <w:t>un</w:t>
      </w:r>
      <w:r>
        <w:rPr>
          <w:spacing w:val="-4"/>
        </w:rPr>
        <w:t> </w:t>
      </w:r>
      <w:r>
        <w:rPr/>
        <w:t>grado</w:t>
      </w:r>
      <w:r>
        <w:rPr>
          <w:spacing w:val="-4"/>
        </w:rPr>
        <w:t> </w:t>
      </w:r>
      <w:r>
        <w:rPr/>
        <w:t>de</w:t>
      </w:r>
      <w:r>
        <w:rPr>
          <w:spacing w:val="-6"/>
        </w:rPr>
        <w:t> </w:t>
      </w:r>
      <w:r>
        <w:rPr/>
        <w:t>marginación</w:t>
      </w:r>
      <w:r>
        <w:rPr>
          <w:spacing w:val="-5"/>
        </w:rPr>
        <w:t> </w:t>
      </w:r>
      <w:r>
        <w:rPr/>
        <w:t>muy</w:t>
      </w:r>
      <w:r>
        <w:rPr>
          <w:spacing w:val="-7"/>
        </w:rPr>
        <w:t> </w:t>
      </w:r>
      <w:r>
        <w:rPr/>
        <w:t>bajo</w:t>
      </w:r>
      <w:r>
        <w:rPr>
          <w:spacing w:val="-4"/>
        </w:rPr>
        <w:t> </w:t>
      </w:r>
      <w:r>
        <w:rPr/>
        <w:t>(29.6%);</w:t>
      </w:r>
      <w:r>
        <w:rPr>
          <w:spacing w:val="-4"/>
        </w:rPr>
        <w:t> </w:t>
      </w:r>
      <w:r>
        <w:rPr/>
        <w:t>por</w:t>
      </w:r>
      <w:r>
        <w:rPr>
          <w:spacing w:val="-5"/>
        </w:rPr>
        <w:t> </w:t>
      </w:r>
      <w:r>
        <w:rPr/>
        <w:t>su</w:t>
      </w:r>
      <w:r>
        <w:rPr>
          <w:spacing w:val="-6"/>
        </w:rPr>
        <w:t> </w:t>
      </w:r>
      <w:r>
        <w:rPr/>
        <w:t>parte, 36 que tienen un grado de marginación bajo y equivalen al 28.8%; después </w:t>
      </w:r>
      <w:r>
        <w:rPr>
          <w:spacing w:val="47"/>
        </w:rPr>
        <w:t> </w:t>
      </w:r>
      <w:r>
        <w:rPr/>
        <w:t>siguen</w:t>
      </w:r>
    </w:p>
    <w:p>
      <w:pPr>
        <w:spacing w:after="0" w:line="360" w:lineRule="auto"/>
        <w:jc w:val="both"/>
        <w:sectPr>
          <w:pgSz w:w="12240" w:h="15840"/>
          <w:pgMar w:header="0" w:footer="975" w:top="1360" w:bottom="1220" w:left="1500" w:right="1580"/>
        </w:sectPr>
      </w:pPr>
    </w:p>
    <w:p>
      <w:pPr>
        <w:pStyle w:val="BodyText"/>
        <w:spacing w:line="362" w:lineRule="auto" w:before="54"/>
        <w:ind w:left="108" w:right="106"/>
      </w:pPr>
      <w:r>
        <w:rPr/>
        <w:t>11 municipios que tienen un grado de marginación alto y suman 11%; finalmente, 2 municipios cuentan con un muy alto índice de marginación que representa un 1.6%.</w:t>
      </w:r>
    </w:p>
    <w:p>
      <w:pPr>
        <w:pStyle w:val="BodyText"/>
      </w:pPr>
    </w:p>
    <w:p>
      <w:pPr>
        <w:pStyle w:val="BodyText"/>
      </w:pPr>
    </w:p>
    <w:p>
      <w:pPr>
        <w:pStyle w:val="Heading1"/>
        <w:spacing w:before="182"/>
        <w:ind w:left="175" w:right="6" w:firstLine="0"/>
        <w:jc w:val="left"/>
      </w:pPr>
      <w:r>
        <w:rPr/>
        <w:t>a)  Grado escolar por municipio.</w:t>
      </w:r>
    </w:p>
    <w:p>
      <w:pPr>
        <w:pStyle w:val="BodyText"/>
        <w:rPr>
          <w:b/>
          <w:sz w:val="20"/>
        </w:rPr>
      </w:pPr>
    </w:p>
    <w:p>
      <w:pPr>
        <w:pStyle w:val="BodyText"/>
        <w:rPr>
          <w:b/>
          <w:sz w:val="20"/>
        </w:rPr>
      </w:pPr>
    </w:p>
    <w:p>
      <w:pPr>
        <w:pStyle w:val="BodyText"/>
        <w:spacing w:before="1" w:after="1"/>
        <w:rPr>
          <w:b/>
          <w:sz w:val="22"/>
        </w:rPr>
      </w:pPr>
    </w:p>
    <w:tbl>
      <w:tblPr>
        <w:tblW w:w="0" w:type="auto"/>
        <w:jc w:val="left"/>
        <w:tblInd w:w="12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01"/>
        <w:gridCol w:w="2201"/>
        <w:gridCol w:w="2201"/>
      </w:tblGrid>
      <w:tr>
        <w:trPr>
          <w:trHeight w:val="319" w:hRule="exact"/>
        </w:trPr>
        <w:tc>
          <w:tcPr>
            <w:tcW w:w="6604" w:type="dxa"/>
            <w:gridSpan w:val="3"/>
            <w:shd w:val="clear" w:color="auto" w:fill="92D050"/>
          </w:tcPr>
          <w:p>
            <w:pPr>
              <w:pStyle w:val="TableParagraph"/>
              <w:spacing w:line="201" w:lineRule="exact"/>
              <w:ind w:left="345"/>
              <w:jc w:val="left"/>
              <w:rPr>
                <w:b/>
                <w:sz w:val="18"/>
              </w:rPr>
            </w:pPr>
            <w:r>
              <w:rPr>
                <w:b/>
                <w:sz w:val="18"/>
              </w:rPr>
              <w:t>Tabla 3.29 Grado promedio de escolaridad en el municipio 2005-2010</w:t>
            </w:r>
          </w:p>
        </w:tc>
      </w:tr>
      <w:tr>
        <w:trPr>
          <w:trHeight w:val="631" w:hRule="exact"/>
        </w:trPr>
        <w:tc>
          <w:tcPr>
            <w:tcW w:w="2201" w:type="dxa"/>
            <w:shd w:val="clear" w:color="auto" w:fill="92D050"/>
          </w:tcPr>
          <w:p>
            <w:pPr>
              <w:pStyle w:val="TableParagraph"/>
              <w:jc w:val="left"/>
              <w:rPr>
                <w:b/>
                <w:sz w:val="18"/>
              </w:rPr>
            </w:pPr>
          </w:p>
          <w:p>
            <w:pPr>
              <w:pStyle w:val="TableParagraph"/>
              <w:spacing w:before="104"/>
              <w:ind w:left="2"/>
              <w:rPr>
                <w:sz w:val="18"/>
              </w:rPr>
            </w:pPr>
            <w:r>
              <w:rPr>
                <w:w w:val="99"/>
                <w:sz w:val="18"/>
              </w:rPr>
              <w:t>N</w:t>
            </w:r>
          </w:p>
        </w:tc>
        <w:tc>
          <w:tcPr>
            <w:tcW w:w="2201" w:type="dxa"/>
            <w:shd w:val="clear" w:color="auto" w:fill="92D050"/>
          </w:tcPr>
          <w:p>
            <w:pPr>
              <w:pStyle w:val="TableParagraph"/>
              <w:spacing w:line="360" w:lineRule="auto" w:before="1"/>
              <w:ind w:left="220" w:right="187" w:hanging="17"/>
              <w:jc w:val="left"/>
              <w:rPr>
                <w:sz w:val="18"/>
              </w:rPr>
            </w:pPr>
            <w:r>
              <w:rPr>
                <w:sz w:val="18"/>
              </w:rPr>
              <w:t>Grado de marginación del municipio en 2005</w:t>
            </w:r>
          </w:p>
        </w:tc>
        <w:tc>
          <w:tcPr>
            <w:tcW w:w="2201" w:type="dxa"/>
            <w:shd w:val="clear" w:color="auto" w:fill="92D050"/>
          </w:tcPr>
          <w:p>
            <w:pPr>
              <w:pStyle w:val="TableParagraph"/>
              <w:spacing w:line="360" w:lineRule="auto" w:before="1"/>
              <w:ind w:left="218" w:right="189" w:hanging="17"/>
              <w:jc w:val="left"/>
              <w:rPr>
                <w:sz w:val="18"/>
              </w:rPr>
            </w:pPr>
            <w:r>
              <w:rPr>
                <w:sz w:val="18"/>
              </w:rPr>
              <w:t>Grado de marginación del municipio en 2010</w:t>
            </w:r>
          </w:p>
        </w:tc>
      </w:tr>
      <w:tr>
        <w:trPr>
          <w:trHeight w:val="322" w:hRule="exact"/>
        </w:trPr>
        <w:tc>
          <w:tcPr>
            <w:tcW w:w="2201" w:type="dxa"/>
          </w:tcPr>
          <w:p>
            <w:pPr>
              <w:pStyle w:val="TableParagraph"/>
              <w:spacing w:line="206" w:lineRule="exact"/>
              <w:ind w:left="67" w:right="189"/>
              <w:jc w:val="left"/>
              <w:rPr>
                <w:sz w:val="18"/>
              </w:rPr>
            </w:pPr>
            <w:r>
              <w:rPr>
                <w:sz w:val="18"/>
              </w:rPr>
              <w:t>Válidos</w:t>
            </w:r>
          </w:p>
        </w:tc>
        <w:tc>
          <w:tcPr>
            <w:tcW w:w="2201" w:type="dxa"/>
          </w:tcPr>
          <w:p>
            <w:pPr>
              <w:pStyle w:val="TableParagraph"/>
              <w:spacing w:line="206" w:lineRule="exact"/>
              <w:ind w:left="820" w:right="819"/>
              <w:rPr>
                <w:sz w:val="18"/>
              </w:rPr>
            </w:pPr>
            <w:r>
              <w:rPr>
                <w:sz w:val="18"/>
              </w:rPr>
              <w:t>125</w:t>
            </w:r>
          </w:p>
        </w:tc>
        <w:tc>
          <w:tcPr>
            <w:tcW w:w="2201" w:type="dxa"/>
          </w:tcPr>
          <w:p>
            <w:pPr>
              <w:pStyle w:val="TableParagraph"/>
              <w:spacing w:line="206" w:lineRule="exact"/>
              <w:ind w:left="850" w:right="851"/>
              <w:rPr>
                <w:sz w:val="18"/>
              </w:rPr>
            </w:pPr>
            <w:r>
              <w:rPr>
                <w:sz w:val="18"/>
              </w:rPr>
              <w:t>125</w:t>
            </w:r>
          </w:p>
        </w:tc>
      </w:tr>
      <w:tr>
        <w:trPr>
          <w:trHeight w:val="370" w:hRule="exact"/>
        </w:trPr>
        <w:tc>
          <w:tcPr>
            <w:tcW w:w="2201" w:type="dxa"/>
          </w:tcPr>
          <w:p>
            <w:pPr>
              <w:pStyle w:val="TableParagraph"/>
              <w:spacing w:line="206" w:lineRule="exact"/>
              <w:ind w:left="67" w:right="189"/>
              <w:jc w:val="left"/>
              <w:rPr>
                <w:sz w:val="18"/>
              </w:rPr>
            </w:pPr>
            <w:r>
              <w:rPr>
                <w:sz w:val="18"/>
              </w:rPr>
              <w:t>Perdidos</w:t>
            </w:r>
          </w:p>
        </w:tc>
        <w:tc>
          <w:tcPr>
            <w:tcW w:w="2201" w:type="dxa"/>
          </w:tcPr>
          <w:p>
            <w:pPr>
              <w:pStyle w:val="TableParagraph"/>
              <w:spacing w:line="206" w:lineRule="exact"/>
              <w:ind w:left="1"/>
              <w:rPr>
                <w:sz w:val="18"/>
              </w:rPr>
            </w:pPr>
            <w:r>
              <w:rPr>
                <w:w w:val="99"/>
                <w:sz w:val="18"/>
              </w:rPr>
              <w:t>0</w:t>
            </w:r>
          </w:p>
        </w:tc>
        <w:tc>
          <w:tcPr>
            <w:tcW w:w="2201" w:type="dxa"/>
          </w:tcPr>
          <w:p>
            <w:pPr>
              <w:pStyle w:val="TableParagraph"/>
              <w:spacing w:line="206" w:lineRule="exact"/>
              <w:ind w:right="1"/>
              <w:rPr>
                <w:sz w:val="18"/>
              </w:rPr>
            </w:pPr>
            <w:r>
              <w:rPr>
                <w:w w:val="99"/>
                <w:sz w:val="18"/>
              </w:rPr>
              <w:t>0</w:t>
            </w:r>
          </w:p>
        </w:tc>
      </w:tr>
      <w:tr>
        <w:trPr>
          <w:trHeight w:val="550" w:hRule="exact"/>
        </w:trPr>
        <w:tc>
          <w:tcPr>
            <w:tcW w:w="2201" w:type="dxa"/>
          </w:tcPr>
          <w:p>
            <w:pPr>
              <w:pStyle w:val="TableParagraph"/>
              <w:spacing w:line="206" w:lineRule="exact"/>
              <w:ind w:left="67" w:right="189"/>
              <w:jc w:val="left"/>
              <w:rPr>
                <w:sz w:val="18"/>
              </w:rPr>
            </w:pPr>
            <w:r>
              <w:rPr>
                <w:sz w:val="18"/>
              </w:rPr>
              <w:t>Media</w:t>
            </w:r>
          </w:p>
        </w:tc>
        <w:tc>
          <w:tcPr>
            <w:tcW w:w="2201" w:type="dxa"/>
          </w:tcPr>
          <w:p>
            <w:pPr>
              <w:pStyle w:val="TableParagraph"/>
              <w:spacing w:line="206" w:lineRule="exact"/>
              <w:ind w:left="820" w:right="817"/>
              <w:rPr>
                <w:sz w:val="18"/>
              </w:rPr>
            </w:pPr>
            <w:r>
              <w:rPr>
                <w:sz w:val="18"/>
              </w:rPr>
              <w:t>2.94</w:t>
            </w:r>
          </w:p>
        </w:tc>
        <w:tc>
          <w:tcPr>
            <w:tcW w:w="2201" w:type="dxa"/>
          </w:tcPr>
          <w:p>
            <w:pPr>
              <w:pStyle w:val="TableParagraph"/>
              <w:spacing w:line="206" w:lineRule="exact"/>
              <w:ind w:left="850" w:right="851"/>
              <w:rPr>
                <w:sz w:val="18"/>
              </w:rPr>
            </w:pPr>
            <w:r>
              <w:rPr>
                <w:sz w:val="18"/>
              </w:rPr>
              <w:t>3.76</w:t>
            </w:r>
          </w:p>
        </w:tc>
      </w:tr>
      <w:tr>
        <w:trPr>
          <w:trHeight w:val="329" w:hRule="exact"/>
        </w:trPr>
        <w:tc>
          <w:tcPr>
            <w:tcW w:w="2201" w:type="dxa"/>
          </w:tcPr>
          <w:p>
            <w:pPr>
              <w:pStyle w:val="TableParagraph"/>
              <w:spacing w:line="206" w:lineRule="exact"/>
              <w:ind w:left="67" w:right="189"/>
              <w:jc w:val="left"/>
              <w:rPr>
                <w:sz w:val="18"/>
              </w:rPr>
            </w:pPr>
            <w:r>
              <w:rPr>
                <w:sz w:val="18"/>
              </w:rPr>
              <w:t>Mediana</w:t>
            </w:r>
          </w:p>
        </w:tc>
        <w:tc>
          <w:tcPr>
            <w:tcW w:w="2201" w:type="dxa"/>
          </w:tcPr>
          <w:p>
            <w:pPr>
              <w:pStyle w:val="TableParagraph"/>
              <w:spacing w:line="206" w:lineRule="exact"/>
              <w:ind w:left="820" w:right="817"/>
              <w:rPr>
                <w:sz w:val="18"/>
              </w:rPr>
            </w:pPr>
            <w:r>
              <w:rPr>
                <w:sz w:val="18"/>
              </w:rPr>
              <w:t>3.00</w:t>
            </w:r>
          </w:p>
        </w:tc>
        <w:tc>
          <w:tcPr>
            <w:tcW w:w="2201" w:type="dxa"/>
          </w:tcPr>
          <w:p>
            <w:pPr>
              <w:pStyle w:val="TableParagraph"/>
              <w:spacing w:line="206" w:lineRule="exact"/>
              <w:ind w:left="850" w:right="851"/>
              <w:rPr>
                <w:sz w:val="18"/>
              </w:rPr>
            </w:pPr>
            <w:r>
              <w:rPr>
                <w:sz w:val="18"/>
              </w:rPr>
              <w:t>4.00</w:t>
            </w:r>
          </w:p>
        </w:tc>
      </w:tr>
      <w:tr>
        <w:trPr>
          <w:trHeight w:val="329" w:hRule="exact"/>
        </w:trPr>
        <w:tc>
          <w:tcPr>
            <w:tcW w:w="2201" w:type="dxa"/>
          </w:tcPr>
          <w:p>
            <w:pPr>
              <w:pStyle w:val="TableParagraph"/>
              <w:spacing w:line="206" w:lineRule="exact"/>
              <w:ind w:left="67" w:right="189"/>
              <w:jc w:val="left"/>
              <w:rPr>
                <w:sz w:val="18"/>
              </w:rPr>
            </w:pPr>
            <w:r>
              <w:rPr>
                <w:sz w:val="18"/>
              </w:rPr>
              <w:t>Moda</w:t>
            </w:r>
          </w:p>
        </w:tc>
        <w:tc>
          <w:tcPr>
            <w:tcW w:w="2201" w:type="dxa"/>
          </w:tcPr>
          <w:p>
            <w:pPr>
              <w:pStyle w:val="TableParagraph"/>
              <w:spacing w:line="206" w:lineRule="exact"/>
              <w:ind w:left="1"/>
              <w:rPr>
                <w:sz w:val="18"/>
              </w:rPr>
            </w:pPr>
            <w:r>
              <w:rPr>
                <w:w w:val="99"/>
                <w:sz w:val="18"/>
              </w:rPr>
              <w:t>4</w:t>
            </w:r>
          </w:p>
        </w:tc>
        <w:tc>
          <w:tcPr>
            <w:tcW w:w="2201" w:type="dxa"/>
          </w:tcPr>
          <w:p>
            <w:pPr>
              <w:pStyle w:val="TableParagraph"/>
              <w:spacing w:line="206" w:lineRule="exact"/>
              <w:ind w:right="1"/>
              <w:rPr>
                <w:sz w:val="18"/>
              </w:rPr>
            </w:pPr>
            <w:r>
              <w:rPr>
                <w:w w:val="99"/>
                <w:sz w:val="18"/>
              </w:rPr>
              <w:t>3</w:t>
            </w:r>
          </w:p>
        </w:tc>
      </w:tr>
      <w:tr>
        <w:trPr>
          <w:trHeight w:val="329" w:hRule="exact"/>
        </w:trPr>
        <w:tc>
          <w:tcPr>
            <w:tcW w:w="2201" w:type="dxa"/>
          </w:tcPr>
          <w:p>
            <w:pPr>
              <w:pStyle w:val="TableParagraph"/>
              <w:spacing w:line="206" w:lineRule="exact"/>
              <w:ind w:left="67" w:right="189"/>
              <w:jc w:val="left"/>
              <w:rPr>
                <w:sz w:val="18"/>
              </w:rPr>
            </w:pPr>
            <w:r>
              <w:rPr>
                <w:sz w:val="18"/>
              </w:rPr>
              <w:t>Desv. típ.</w:t>
            </w:r>
          </w:p>
        </w:tc>
        <w:tc>
          <w:tcPr>
            <w:tcW w:w="2201" w:type="dxa"/>
          </w:tcPr>
          <w:p>
            <w:pPr>
              <w:pStyle w:val="TableParagraph"/>
              <w:spacing w:line="206" w:lineRule="exact"/>
              <w:ind w:left="820" w:right="817"/>
              <w:rPr>
                <w:sz w:val="18"/>
              </w:rPr>
            </w:pPr>
            <w:r>
              <w:rPr>
                <w:sz w:val="18"/>
              </w:rPr>
              <w:t>1.210</w:t>
            </w:r>
          </w:p>
        </w:tc>
        <w:tc>
          <w:tcPr>
            <w:tcW w:w="2201" w:type="dxa"/>
          </w:tcPr>
          <w:p>
            <w:pPr>
              <w:pStyle w:val="TableParagraph"/>
              <w:spacing w:line="206" w:lineRule="exact"/>
              <w:ind w:left="850" w:right="851"/>
              <w:rPr>
                <w:sz w:val="18"/>
              </w:rPr>
            </w:pPr>
            <w:r>
              <w:rPr>
                <w:sz w:val="18"/>
              </w:rPr>
              <w:t>1.027</w:t>
            </w:r>
          </w:p>
        </w:tc>
      </w:tr>
      <w:tr>
        <w:trPr>
          <w:trHeight w:val="329" w:hRule="exact"/>
        </w:trPr>
        <w:tc>
          <w:tcPr>
            <w:tcW w:w="2201" w:type="dxa"/>
          </w:tcPr>
          <w:p>
            <w:pPr>
              <w:pStyle w:val="TableParagraph"/>
              <w:spacing w:before="1"/>
              <w:ind w:left="67" w:right="189"/>
              <w:jc w:val="left"/>
              <w:rPr>
                <w:sz w:val="18"/>
              </w:rPr>
            </w:pPr>
            <w:r>
              <w:rPr>
                <w:sz w:val="18"/>
              </w:rPr>
              <w:t>Varianza</w:t>
            </w:r>
          </w:p>
        </w:tc>
        <w:tc>
          <w:tcPr>
            <w:tcW w:w="2201" w:type="dxa"/>
          </w:tcPr>
          <w:p>
            <w:pPr>
              <w:pStyle w:val="TableParagraph"/>
              <w:spacing w:before="1"/>
              <w:ind w:left="820" w:right="817"/>
              <w:rPr>
                <w:sz w:val="18"/>
              </w:rPr>
            </w:pPr>
            <w:r>
              <w:rPr>
                <w:sz w:val="18"/>
              </w:rPr>
              <w:t>1.464</w:t>
            </w:r>
          </w:p>
        </w:tc>
        <w:tc>
          <w:tcPr>
            <w:tcW w:w="2201" w:type="dxa"/>
          </w:tcPr>
          <w:p>
            <w:pPr>
              <w:pStyle w:val="TableParagraph"/>
              <w:spacing w:before="1"/>
              <w:ind w:left="850" w:right="851"/>
              <w:rPr>
                <w:sz w:val="18"/>
              </w:rPr>
            </w:pPr>
            <w:r>
              <w:rPr>
                <w:sz w:val="18"/>
              </w:rPr>
              <w:t>1.055</w:t>
            </w:r>
          </w:p>
        </w:tc>
      </w:tr>
      <w:tr>
        <w:trPr>
          <w:trHeight w:val="331" w:hRule="exact"/>
        </w:trPr>
        <w:tc>
          <w:tcPr>
            <w:tcW w:w="2201" w:type="dxa"/>
          </w:tcPr>
          <w:p>
            <w:pPr>
              <w:pStyle w:val="TableParagraph"/>
              <w:spacing w:before="1"/>
              <w:ind w:left="67" w:right="189"/>
              <w:jc w:val="left"/>
              <w:rPr>
                <w:sz w:val="18"/>
              </w:rPr>
            </w:pPr>
            <w:r>
              <w:rPr>
                <w:sz w:val="18"/>
              </w:rPr>
              <w:t>Curtosis</w:t>
            </w:r>
          </w:p>
        </w:tc>
        <w:tc>
          <w:tcPr>
            <w:tcW w:w="2201" w:type="dxa"/>
          </w:tcPr>
          <w:p>
            <w:pPr>
              <w:pStyle w:val="TableParagraph"/>
              <w:spacing w:before="1"/>
              <w:ind w:left="820" w:right="820"/>
              <w:rPr>
                <w:sz w:val="18"/>
              </w:rPr>
            </w:pPr>
            <w:r>
              <w:rPr>
                <w:sz w:val="18"/>
              </w:rPr>
              <w:t>-1.008</w:t>
            </w:r>
          </w:p>
        </w:tc>
        <w:tc>
          <w:tcPr>
            <w:tcW w:w="2201" w:type="dxa"/>
          </w:tcPr>
          <w:p>
            <w:pPr>
              <w:pStyle w:val="TableParagraph"/>
              <w:spacing w:before="1"/>
              <w:ind w:left="849" w:right="851"/>
              <w:rPr>
                <w:sz w:val="18"/>
              </w:rPr>
            </w:pPr>
            <w:r>
              <w:rPr>
                <w:sz w:val="18"/>
              </w:rPr>
              <w:t>-.623</w:t>
            </w:r>
          </w:p>
        </w:tc>
      </w:tr>
      <w:tr>
        <w:trPr>
          <w:trHeight w:val="329" w:hRule="exact"/>
        </w:trPr>
        <w:tc>
          <w:tcPr>
            <w:tcW w:w="2201" w:type="dxa"/>
          </w:tcPr>
          <w:p>
            <w:pPr>
              <w:pStyle w:val="TableParagraph"/>
              <w:spacing w:line="206" w:lineRule="exact"/>
              <w:ind w:left="67" w:right="189"/>
              <w:jc w:val="left"/>
              <w:rPr>
                <w:sz w:val="18"/>
              </w:rPr>
            </w:pPr>
            <w:r>
              <w:rPr>
                <w:sz w:val="18"/>
              </w:rPr>
              <w:t>Error típ. de curtosis</w:t>
            </w:r>
          </w:p>
        </w:tc>
        <w:tc>
          <w:tcPr>
            <w:tcW w:w="2201" w:type="dxa"/>
          </w:tcPr>
          <w:p>
            <w:pPr>
              <w:pStyle w:val="TableParagraph"/>
              <w:spacing w:line="206" w:lineRule="exact"/>
              <w:ind w:left="820" w:right="817"/>
              <w:rPr>
                <w:sz w:val="18"/>
              </w:rPr>
            </w:pPr>
            <w:r>
              <w:rPr>
                <w:sz w:val="18"/>
              </w:rPr>
              <w:t>.430</w:t>
            </w:r>
          </w:p>
        </w:tc>
        <w:tc>
          <w:tcPr>
            <w:tcW w:w="2201" w:type="dxa"/>
          </w:tcPr>
          <w:p>
            <w:pPr>
              <w:pStyle w:val="TableParagraph"/>
              <w:spacing w:line="206" w:lineRule="exact"/>
              <w:ind w:left="850" w:right="851"/>
              <w:rPr>
                <w:sz w:val="18"/>
              </w:rPr>
            </w:pPr>
            <w:r>
              <w:rPr>
                <w:sz w:val="18"/>
              </w:rPr>
              <w:t>.430</w:t>
            </w:r>
          </w:p>
        </w:tc>
      </w:tr>
      <w:tr>
        <w:trPr>
          <w:trHeight w:val="329" w:hRule="exact"/>
        </w:trPr>
        <w:tc>
          <w:tcPr>
            <w:tcW w:w="2201" w:type="dxa"/>
          </w:tcPr>
          <w:p>
            <w:pPr>
              <w:pStyle w:val="TableParagraph"/>
              <w:spacing w:line="206" w:lineRule="exact"/>
              <w:ind w:left="67" w:right="189"/>
              <w:jc w:val="left"/>
              <w:rPr>
                <w:sz w:val="18"/>
              </w:rPr>
            </w:pPr>
            <w:r>
              <w:rPr>
                <w:sz w:val="18"/>
              </w:rPr>
              <w:t>Mínimo</w:t>
            </w:r>
          </w:p>
        </w:tc>
        <w:tc>
          <w:tcPr>
            <w:tcW w:w="2201" w:type="dxa"/>
          </w:tcPr>
          <w:p>
            <w:pPr>
              <w:pStyle w:val="TableParagraph"/>
              <w:spacing w:line="206" w:lineRule="exact"/>
              <w:ind w:left="1"/>
              <w:rPr>
                <w:sz w:val="18"/>
              </w:rPr>
            </w:pPr>
            <w:r>
              <w:rPr>
                <w:w w:val="99"/>
                <w:sz w:val="18"/>
              </w:rPr>
              <w:t>0</w:t>
            </w:r>
          </w:p>
        </w:tc>
        <w:tc>
          <w:tcPr>
            <w:tcW w:w="2201" w:type="dxa"/>
          </w:tcPr>
          <w:p>
            <w:pPr>
              <w:pStyle w:val="TableParagraph"/>
              <w:spacing w:line="206" w:lineRule="exact"/>
              <w:ind w:right="1"/>
              <w:rPr>
                <w:sz w:val="18"/>
              </w:rPr>
            </w:pPr>
            <w:r>
              <w:rPr>
                <w:w w:val="99"/>
                <w:sz w:val="18"/>
              </w:rPr>
              <w:t>1</w:t>
            </w:r>
          </w:p>
        </w:tc>
      </w:tr>
      <w:tr>
        <w:trPr>
          <w:trHeight w:val="329" w:hRule="exact"/>
        </w:trPr>
        <w:tc>
          <w:tcPr>
            <w:tcW w:w="2201" w:type="dxa"/>
          </w:tcPr>
          <w:p>
            <w:pPr>
              <w:pStyle w:val="TableParagraph"/>
              <w:spacing w:line="206" w:lineRule="exact"/>
              <w:ind w:left="67" w:right="189"/>
              <w:jc w:val="left"/>
              <w:rPr>
                <w:sz w:val="18"/>
              </w:rPr>
            </w:pPr>
            <w:r>
              <w:rPr>
                <w:sz w:val="18"/>
              </w:rPr>
              <w:t>Máximo</w:t>
            </w:r>
          </w:p>
        </w:tc>
        <w:tc>
          <w:tcPr>
            <w:tcW w:w="2201" w:type="dxa"/>
          </w:tcPr>
          <w:p>
            <w:pPr>
              <w:pStyle w:val="TableParagraph"/>
              <w:spacing w:line="206" w:lineRule="exact"/>
              <w:ind w:left="1"/>
              <w:rPr>
                <w:sz w:val="18"/>
              </w:rPr>
            </w:pPr>
            <w:r>
              <w:rPr>
                <w:w w:val="99"/>
                <w:sz w:val="18"/>
              </w:rPr>
              <w:t>5</w:t>
            </w:r>
          </w:p>
        </w:tc>
        <w:tc>
          <w:tcPr>
            <w:tcW w:w="2201" w:type="dxa"/>
          </w:tcPr>
          <w:p>
            <w:pPr>
              <w:pStyle w:val="TableParagraph"/>
              <w:spacing w:line="206" w:lineRule="exact"/>
              <w:ind w:right="1"/>
              <w:rPr>
                <w:sz w:val="18"/>
              </w:rPr>
            </w:pPr>
            <w:r>
              <w:rPr>
                <w:w w:val="99"/>
                <w:sz w:val="18"/>
              </w:rPr>
              <w:t>5</w:t>
            </w:r>
          </w:p>
        </w:tc>
      </w:tr>
    </w:tbl>
    <w:p>
      <w:pPr>
        <w:spacing w:line="180" w:lineRule="exact" w:before="0"/>
        <w:ind w:left="1344" w:right="6" w:firstLine="0"/>
        <w:jc w:val="left"/>
        <w:rPr>
          <w:sz w:val="16"/>
        </w:rPr>
      </w:pPr>
      <w:r>
        <w:rPr>
          <w:sz w:val="16"/>
        </w:rPr>
        <w:t>Fuente: elaboración propia con datos Conteo de Población y Vivienda, 2005 y 2010</w:t>
      </w:r>
    </w:p>
    <w:p>
      <w:pPr>
        <w:pStyle w:val="BodyText"/>
        <w:rPr>
          <w:sz w:val="20"/>
        </w:rPr>
      </w:pPr>
    </w:p>
    <w:p>
      <w:pPr>
        <w:pStyle w:val="BodyText"/>
        <w:rPr>
          <w:sz w:val="20"/>
        </w:rPr>
      </w:pPr>
    </w:p>
    <w:p>
      <w:pPr>
        <w:pStyle w:val="BodyText"/>
        <w:spacing w:before="8"/>
        <w:rPr>
          <w:sz w:val="15"/>
        </w:rPr>
      </w:pPr>
    </w:p>
    <w:p>
      <w:pPr>
        <w:pStyle w:val="BodyText"/>
        <w:spacing w:line="360" w:lineRule="auto" w:before="70"/>
        <w:ind w:left="108" w:right="116"/>
        <w:jc w:val="both"/>
      </w:pPr>
      <w:r>
        <w:rPr/>
        <w:t>De</w:t>
      </w:r>
      <w:r>
        <w:rPr>
          <w:spacing w:val="-4"/>
        </w:rPr>
        <w:t> </w:t>
      </w:r>
      <w:r>
        <w:rPr/>
        <w:t>acuerdo</w:t>
      </w:r>
      <w:r>
        <w:rPr>
          <w:spacing w:val="-4"/>
        </w:rPr>
        <w:t> </w:t>
      </w:r>
      <w:r>
        <w:rPr/>
        <w:t>con</w:t>
      </w:r>
      <w:r>
        <w:rPr>
          <w:spacing w:val="-4"/>
        </w:rPr>
        <w:t> </w:t>
      </w:r>
      <w:r>
        <w:rPr/>
        <w:t>la</w:t>
      </w:r>
      <w:r>
        <w:rPr>
          <w:spacing w:val="-3"/>
        </w:rPr>
        <w:t> </w:t>
      </w:r>
      <w:r>
        <w:rPr/>
        <w:t>tabla</w:t>
      </w:r>
      <w:r>
        <w:rPr>
          <w:spacing w:val="-2"/>
        </w:rPr>
        <w:t> </w:t>
      </w:r>
      <w:r>
        <w:rPr/>
        <w:t>3.29,</w:t>
      </w:r>
      <w:r>
        <w:rPr>
          <w:spacing w:val="-4"/>
        </w:rPr>
        <w:t> </w:t>
      </w:r>
      <w:r>
        <w:rPr/>
        <w:t>la</w:t>
      </w:r>
      <w:r>
        <w:rPr>
          <w:spacing w:val="-4"/>
        </w:rPr>
        <w:t> </w:t>
      </w:r>
      <w:r>
        <w:rPr/>
        <w:t>media</w:t>
      </w:r>
      <w:r>
        <w:rPr>
          <w:spacing w:val="-6"/>
        </w:rPr>
        <w:t> </w:t>
      </w:r>
      <w:r>
        <w:rPr/>
        <w:t>municipal</w:t>
      </w:r>
      <w:r>
        <w:rPr>
          <w:spacing w:val="-5"/>
        </w:rPr>
        <w:t> </w:t>
      </w:r>
      <w:r>
        <w:rPr/>
        <w:t>del</w:t>
      </w:r>
      <w:r>
        <w:rPr>
          <w:spacing w:val="-5"/>
        </w:rPr>
        <w:t> </w:t>
      </w:r>
      <w:r>
        <w:rPr/>
        <w:t>grado</w:t>
      </w:r>
      <w:r>
        <w:rPr>
          <w:spacing w:val="-4"/>
        </w:rPr>
        <w:t> </w:t>
      </w:r>
      <w:r>
        <w:rPr/>
        <w:t>de</w:t>
      </w:r>
      <w:r>
        <w:rPr>
          <w:spacing w:val="-4"/>
        </w:rPr>
        <w:t> </w:t>
      </w:r>
      <w:r>
        <w:rPr/>
        <w:t>escolaridad</w:t>
      </w:r>
      <w:r>
        <w:rPr>
          <w:spacing w:val="-4"/>
        </w:rPr>
        <w:t> </w:t>
      </w:r>
      <w:r>
        <w:rPr/>
        <w:t>promedio para el año 2005 tenía 2.94 y en el año 2010 ascendió a 3.76; en tanto que la mediana fue de 3 en el 2005 y 4 en el año 2010; la moda por el contrario tuvo un decremento al pasar de 4 en el año 2005 a 3 en el año 2010; la desviación típica pasó de 1.210 en el año 2005 a 1.027 en el año</w:t>
      </w:r>
      <w:r>
        <w:rPr>
          <w:spacing w:val="-26"/>
        </w:rPr>
        <w:t> </w:t>
      </w:r>
      <w:r>
        <w:rPr/>
        <w:t>2010.</w:t>
      </w:r>
    </w:p>
    <w:p>
      <w:pPr>
        <w:spacing w:after="0" w:line="360" w:lineRule="auto"/>
        <w:jc w:val="both"/>
        <w:sectPr>
          <w:pgSz w:w="12240" w:h="15840"/>
          <w:pgMar w:header="0" w:footer="975" w:top="1360" w:bottom="1220" w:left="1500" w:right="1580"/>
        </w:sectPr>
      </w:pPr>
    </w:p>
    <w:p>
      <w:pPr>
        <w:pStyle w:val="Heading1"/>
        <w:numPr>
          <w:ilvl w:val="2"/>
          <w:numId w:val="53"/>
        </w:numPr>
        <w:tabs>
          <w:tab w:pos="837" w:val="left" w:leader="none"/>
        </w:tabs>
        <w:spacing w:line="362" w:lineRule="auto" w:before="54" w:after="0"/>
        <w:ind w:left="836" w:right="120" w:hanging="720"/>
        <w:jc w:val="left"/>
      </w:pPr>
      <w:r>
        <w:rPr/>
        <w:t>Edad del responsable de transparencia vs cumplimiento de la ley de transparencia en el</w:t>
      </w:r>
      <w:r>
        <w:rPr>
          <w:spacing w:val="-7"/>
        </w:rPr>
        <w:t> </w:t>
      </w:r>
      <w:r>
        <w:rPr/>
        <w:t>2015</w:t>
      </w:r>
    </w:p>
    <w:p>
      <w:pPr>
        <w:pStyle w:val="BodyText"/>
        <w:rPr>
          <w:b/>
          <w:sz w:val="20"/>
        </w:rPr>
      </w:pPr>
    </w:p>
    <w:p>
      <w:pPr>
        <w:pStyle w:val="BodyText"/>
        <w:spacing w:before="4"/>
        <w:rPr>
          <w:b/>
          <w:sz w:val="19"/>
        </w:rPr>
      </w:pPr>
    </w:p>
    <w:tbl>
      <w:tblPr>
        <w:tblW w:w="0" w:type="auto"/>
        <w:jc w:val="left"/>
        <w:tblInd w:w="27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00"/>
        <w:gridCol w:w="1200"/>
        <w:gridCol w:w="1200"/>
      </w:tblGrid>
      <w:tr>
        <w:trPr>
          <w:trHeight w:val="290" w:hRule="exact"/>
        </w:trPr>
        <w:tc>
          <w:tcPr>
            <w:tcW w:w="3600" w:type="dxa"/>
            <w:gridSpan w:val="3"/>
            <w:shd w:val="clear" w:color="auto" w:fill="92D050"/>
          </w:tcPr>
          <w:p>
            <w:pPr>
              <w:pStyle w:val="TableParagraph"/>
              <w:spacing w:before="25"/>
              <w:ind w:left="400"/>
              <w:jc w:val="left"/>
              <w:rPr>
                <w:b/>
                <w:sz w:val="18"/>
              </w:rPr>
            </w:pPr>
            <w:r>
              <w:rPr>
                <w:b/>
                <w:sz w:val="18"/>
              </w:rPr>
              <w:t>Tabla 3.30 Edad del responsable</w:t>
            </w:r>
          </w:p>
        </w:tc>
      </w:tr>
      <w:tr>
        <w:trPr>
          <w:trHeight w:val="289" w:hRule="exact"/>
        </w:trPr>
        <w:tc>
          <w:tcPr>
            <w:tcW w:w="1200" w:type="dxa"/>
            <w:vMerge w:val="restart"/>
            <w:shd w:val="clear" w:color="auto" w:fill="92D050"/>
          </w:tcPr>
          <w:p>
            <w:pPr>
              <w:pStyle w:val="TableParagraph"/>
              <w:spacing w:before="10"/>
              <w:jc w:val="left"/>
              <w:rPr>
                <w:b/>
                <w:sz w:val="14"/>
              </w:rPr>
            </w:pPr>
          </w:p>
          <w:p>
            <w:pPr>
              <w:pStyle w:val="TableParagraph"/>
              <w:spacing w:before="1"/>
              <w:ind w:left="352" w:right="155"/>
              <w:jc w:val="left"/>
              <w:rPr>
                <w:b/>
                <w:sz w:val="18"/>
              </w:rPr>
            </w:pPr>
            <w:r>
              <w:rPr>
                <w:b/>
                <w:sz w:val="18"/>
              </w:rPr>
              <w:t>Clase</w:t>
            </w:r>
          </w:p>
        </w:tc>
        <w:tc>
          <w:tcPr>
            <w:tcW w:w="2400" w:type="dxa"/>
            <w:gridSpan w:val="2"/>
            <w:shd w:val="clear" w:color="auto" w:fill="92D050"/>
          </w:tcPr>
          <w:p>
            <w:pPr>
              <w:pStyle w:val="TableParagraph"/>
              <w:spacing w:before="56"/>
              <w:ind w:left="970" w:right="966"/>
              <w:rPr>
                <w:b/>
                <w:sz w:val="18"/>
              </w:rPr>
            </w:pPr>
            <w:r>
              <w:rPr>
                <w:b/>
                <w:sz w:val="18"/>
              </w:rPr>
              <w:t>2015</w:t>
            </w:r>
          </w:p>
        </w:tc>
      </w:tr>
      <w:tr>
        <w:trPr>
          <w:trHeight w:val="289" w:hRule="exact"/>
        </w:trPr>
        <w:tc>
          <w:tcPr>
            <w:tcW w:w="1200" w:type="dxa"/>
            <w:vMerge/>
            <w:shd w:val="clear" w:color="auto" w:fill="92D050"/>
          </w:tcPr>
          <w:p>
            <w:pPr/>
          </w:p>
        </w:tc>
        <w:tc>
          <w:tcPr>
            <w:tcW w:w="1200" w:type="dxa"/>
            <w:shd w:val="clear" w:color="auto" w:fill="92D050"/>
          </w:tcPr>
          <w:p>
            <w:pPr>
              <w:pStyle w:val="TableParagraph"/>
              <w:spacing w:before="26"/>
              <w:ind w:left="97" w:right="93"/>
              <w:rPr>
                <w:b/>
                <w:sz w:val="18"/>
              </w:rPr>
            </w:pPr>
            <w:r>
              <w:rPr>
                <w:b/>
                <w:sz w:val="18"/>
              </w:rPr>
              <w:t>Frecuencia</w:t>
            </w:r>
          </w:p>
        </w:tc>
        <w:tc>
          <w:tcPr>
            <w:tcW w:w="1200" w:type="dxa"/>
            <w:shd w:val="clear" w:color="auto" w:fill="92D050"/>
          </w:tcPr>
          <w:p>
            <w:pPr>
              <w:pStyle w:val="TableParagraph"/>
              <w:spacing w:before="26"/>
              <w:ind w:left="511"/>
              <w:jc w:val="left"/>
              <w:rPr>
                <w:b/>
                <w:sz w:val="18"/>
              </w:rPr>
            </w:pPr>
            <w:r>
              <w:rPr>
                <w:b/>
                <w:w w:val="99"/>
                <w:sz w:val="18"/>
              </w:rPr>
              <w:t>%</w:t>
            </w:r>
          </w:p>
        </w:tc>
      </w:tr>
      <w:tr>
        <w:trPr>
          <w:trHeight w:val="271" w:hRule="exact"/>
        </w:trPr>
        <w:tc>
          <w:tcPr>
            <w:tcW w:w="1200" w:type="dxa"/>
            <w:tcBorders>
              <w:left w:val="single" w:sz="4" w:space="0" w:color="000000"/>
              <w:bottom w:val="single" w:sz="4" w:space="0" w:color="000000"/>
              <w:right w:val="single" w:sz="4" w:space="0" w:color="000000"/>
            </w:tcBorders>
          </w:tcPr>
          <w:p>
            <w:pPr>
              <w:pStyle w:val="TableParagraph"/>
              <w:spacing w:before="25"/>
              <w:ind w:right="359"/>
              <w:jc w:val="right"/>
              <w:rPr>
                <w:sz w:val="18"/>
              </w:rPr>
            </w:pPr>
            <w:r>
              <w:rPr>
                <w:w w:val="95"/>
                <w:sz w:val="18"/>
              </w:rPr>
              <w:t>23-28</w:t>
            </w:r>
          </w:p>
        </w:tc>
        <w:tc>
          <w:tcPr>
            <w:tcW w:w="1200" w:type="dxa"/>
            <w:tcBorders>
              <w:left w:val="single" w:sz="4" w:space="0" w:color="000000"/>
              <w:bottom w:val="single" w:sz="4" w:space="0" w:color="000000"/>
              <w:right w:val="single" w:sz="4" w:space="0" w:color="000000"/>
            </w:tcBorders>
          </w:tcPr>
          <w:p>
            <w:pPr>
              <w:pStyle w:val="TableParagraph"/>
              <w:spacing w:before="49"/>
              <w:ind w:left="270" w:right="266"/>
              <w:rPr>
                <w:sz w:val="18"/>
              </w:rPr>
            </w:pPr>
            <w:r>
              <w:rPr>
                <w:sz w:val="18"/>
              </w:rPr>
              <w:t>21</w:t>
            </w:r>
          </w:p>
        </w:tc>
        <w:tc>
          <w:tcPr>
            <w:tcW w:w="1200" w:type="dxa"/>
            <w:tcBorders>
              <w:left w:val="single" w:sz="4" w:space="0" w:color="000000"/>
              <w:bottom w:val="single" w:sz="4" w:space="0" w:color="000000"/>
              <w:right w:val="single" w:sz="4" w:space="0" w:color="000000"/>
            </w:tcBorders>
          </w:tcPr>
          <w:p>
            <w:pPr>
              <w:pStyle w:val="TableParagraph"/>
              <w:spacing w:before="49"/>
              <w:ind w:left="518"/>
              <w:jc w:val="left"/>
              <w:rPr>
                <w:sz w:val="18"/>
              </w:rPr>
            </w:pPr>
            <w:r>
              <w:rPr>
                <w:sz w:val="18"/>
              </w:rPr>
              <w:t>21.44%</w:t>
            </w:r>
          </w:p>
        </w:tc>
      </w:tr>
      <w:tr>
        <w:trPr>
          <w:trHeight w:val="264" w:hRule="exact"/>
        </w:trPr>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23"/>
              <w:ind w:right="359"/>
              <w:jc w:val="right"/>
              <w:rPr>
                <w:sz w:val="18"/>
              </w:rPr>
            </w:pPr>
            <w:r>
              <w:rPr>
                <w:w w:val="95"/>
                <w:sz w:val="18"/>
              </w:rPr>
              <w:t>29-34</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270" w:right="266"/>
              <w:rPr>
                <w:sz w:val="18"/>
              </w:rPr>
            </w:pPr>
            <w:r>
              <w:rPr>
                <w:sz w:val="18"/>
              </w:rPr>
              <w:t>13</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518"/>
              <w:jc w:val="left"/>
              <w:rPr>
                <w:sz w:val="18"/>
              </w:rPr>
            </w:pPr>
            <w:r>
              <w:rPr>
                <w:sz w:val="18"/>
              </w:rPr>
              <w:t>44.95%</w:t>
            </w:r>
          </w:p>
        </w:tc>
      </w:tr>
      <w:tr>
        <w:trPr>
          <w:trHeight w:val="266" w:hRule="exact"/>
        </w:trPr>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23"/>
              <w:ind w:right="359"/>
              <w:jc w:val="right"/>
              <w:rPr>
                <w:sz w:val="18"/>
              </w:rPr>
            </w:pPr>
            <w:r>
              <w:rPr>
                <w:w w:val="95"/>
                <w:sz w:val="18"/>
              </w:rPr>
              <w:t>35-40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270" w:right="266"/>
              <w:rPr>
                <w:sz w:val="18"/>
              </w:rPr>
            </w:pPr>
            <w:r>
              <w:rPr>
                <w:sz w:val="18"/>
              </w:rPr>
              <w:t>10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518"/>
              <w:jc w:val="left"/>
              <w:rPr>
                <w:sz w:val="18"/>
              </w:rPr>
            </w:pPr>
            <w:r>
              <w:rPr>
                <w:sz w:val="18"/>
              </w:rPr>
              <w:t>35.05%</w:t>
            </w:r>
          </w:p>
        </w:tc>
      </w:tr>
      <w:tr>
        <w:trPr>
          <w:trHeight w:val="264" w:hRule="exact"/>
        </w:trPr>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23"/>
              <w:ind w:right="359"/>
              <w:jc w:val="right"/>
              <w:rPr>
                <w:sz w:val="18"/>
              </w:rPr>
            </w:pPr>
            <w:r>
              <w:rPr>
                <w:w w:val="95"/>
                <w:sz w:val="18"/>
              </w:rPr>
              <w:t>41-46</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3"/>
              <w:rPr>
                <w:sz w:val="18"/>
              </w:rPr>
            </w:pPr>
            <w:r>
              <w:rPr>
                <w:w w:val="99"/>
                <w:sz w:val="18"/>
              </w:rPr>
              <w:t>3</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518"/>
              <w:jc w:val="left"/>
              <w:rPr>
                <w:sz w:val="18"/>
              </w:rPr>
            </w:pPr>
            <w:r>
              <w:rPr>
                <w:sz w:val="18"/>
              </w:rPr>
              <w:t>40.01%</w:t>
            </w:r>
          </w:p>
        </w:tc>
      </w:tr>
      <w:tr>
        <w:trPr>
          <w:trHeight w:val="266" w:hRule="exact"/>
        </w:trPr>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23"/>
              <w:ind w:right="359"/>
              <w:jc w:val="right"/>
              <w:rPr>
                <w:sz w:val="18"/>
              </w:rPr>
            </w:pPr>
            <w:r>
              <w:rPr>
                <w:w w:val="95"/>
                <w:sz w:val="18"/>
              </w:rPr>
              <w:t>47-52</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3"/>
              <w:rPr>
                <w:sz w:val="18"/>
              </w:rPr>
            </w:pPr>
            <w:r>
              <w:rPr>
                <w:w w:val="99"/>
                <w:sz w:val="18"/>
              </w:rPr>
              <w:t>2</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518"/>
              <w:jc w:val="left"/>
              <w:rPr>
                <w:sz w:val="18"/>
              </w:rPr>
            </w:pPr>
            <w:r>
              <w:rPr>
                <w:sz w:val="18"/>
              </w:rPr>
              <w:t>21.01%</w:t>
            </w:r>
          </w:p>
        </w:tc>
      </w:tr>
      <w:tr>
        <w:trPr>
          <w:trHeight w:val="264" w:hRule="exact"/>
        </w:trPr>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23"/>
              <w:ind w:right="359"/>
              <w:jc w:val="right"/>
              <w:rPr>
                <w:sz w:val="18"/>
              </w:rPr>
            </w:pPr>
            <w:r>
              <w:rPr>
                <w:w w:val="95"/>
                <w:sz w:val="18"/>
              </w:rPr>
              <w:t>53-58</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3"/>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87"/>
              <w:jc w:val="left"/>
              <w:rPr>
                <w:sz w:val="18"/>
              </w:rPr>
            </w:pPr>
            <w:r>
              <w:rPr>
                <w:sz w:val="18"/>
              </w:rPr>
              <w:t>S/I</w:t>
            </w:r>
          </w:p>
        </w:tc>
      </w:tr>
      <w:tr>
        <w:trPr>
          <w:trHeight w:val="281" w:hRule="exact"/>
        </w:trPr>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31"/>
              <w:ind w:right="359"/>
              <w:jc w:val="right"/>
              <w:rPr>
                <w:sz w:val="18"/>
              </w:rPr>
            </w:pPr>
            <w:r>
              <w:rPr>
                <w:w w:val="95"/>
                <w:sz w:val="18"/>
              </w:rPr>
              <w:t>59-64</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62"/>
              <w:ind w:left="3"/>
              <w:rPr>
                <w:sz w:val="18"/>
              </w:rPr>
            </w:pPr>
            <w:r>
              <w:rPr>
                <w:w w:val="99"/>
                <w:sz w:val="18"/>
              </w:rPr>
              <w:t>3</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62"/>
              <w:ind w:left="518"/>
              <w:jc w:val="left"/>
              <w:rPr>
                <w:sz w:val="18"/>
              </w:rPr>
            </w:pPr>
            <w:r>
              <w:rPr>
                <w:sz w:val="18"/>
              </w:rPr>
              <w:t>42.83%</w:t>
            </w:r>
          </w:p>
        </w:tc>
      </w:tr>
    </w:tbl>
    <w:p>
      <w:pPr>
        <w:spacing w:line="206" w:lineRule="exact" w:before="0"/>
        <w:ind w:left="2865" w:right="26" w:firstLine="0"/>
        <w:jc w:val="left"/>
        <w:rPr>
          <w:sz w:val="18"/>
        </w:rPr>
      </w:pPr>
      <w:r>
        <w:rPr>
          <w:sz w:val="18"/>
        </w:rPr>
        <w:t>Fuente: Elaboración propia.</w:t>
      </w:r>
    </w:p>
    <w:p>
      <w:pPr>
        <w:pStyle w:val="BodyText"/>
        <w:rPr>
          <w:sz w:val="20"/>
        </w:rPr>
      </w:pPr>
    </w:p>
    <w:p>
      <w:pPr>
        <w:pStyle w:val="BodyText"/>
        <w:spacing w:before="9"/>
        <w:rPr>
          <w:sz w:val="20"/>
        </w:rPr>
      </w:pPr>
    </w:p>
    <w:p>
      <w:pPr>
        <w:pStyle w:val="BodyText"/>
        <w:spacing w:line="360" w:lineRule="auto" w:before="69"/>
        <w:ind w:left="128" w:right="118"/>
        <w:jc w:val="both"/>
      </w:pPr>
      <w:r>
        <w:rPr/>
        <w:t>En la tabla anterior se muestran los resultados obtenidos de hacer el cruce de las variables</w:t>
      </w:r>
      <w:r>
        <w:rPr>
          <w:spacing w:val="-16"/>
        </w:rPr>
        <w:t> </w:t>
      </w:r>
      <w:r>
        <w:rPr/>
        <w:t>del</w:t>
      </w:r>
      <w:r>
        <w:rPr>
          <w:spacing w:val="-17"/>
        </w:rPr>
        <w:t> </w:t>
      </w:r>
      <w:r>
        <w:rPr/>
        <w:t>cumplimiento</w:t>
      </w:r>
      <w:r>
        <w:rPr>
          <w:spacing w:val="-18"/>
        </w:rPr>
        <w:t> </w:t>
      </w:r>
      <w:r>
        <w:rPr/>
        <w:t>de</w:t>
      </w:r>
      <w:r>
        <w:rPr>
          <w:spacing w:val="-16"/>
        </w:rPr>
        <w:t> </w:t>
      </w:r>
      <w:r>
        <w:rPr/>
        <w:t>la</w:t>
      </w:r>
      <w:r>
        <w:rPr>
          <w:spacing w:val="-16"/>
        </w:rPr>
        <w:t> </w:t>
      </w:r>
      <w:r>
        <w:rPr/>
        <w:t>ley</w:t>
      </w:r>
      <w:r>
        <w:rPr>
          <w:spacing w:val="-18"/>
        </w:rPr>
        <w:t> </w:t>
      </w:r>
      <w:r>
        <w:rPr/>
        <w:t>de</w:t>
      </w:r>
      <w:r>
        <w:rPr>
          <w:spacing w:val="-16"/>
        </w:rPr>
        <w:t> </w:t>
      </w:r>
      <w:r>
        <w:rPr/>
        <w:t>transparencia</w:t>
      </w:r>
      <w:r>
        <w:rPr>
          <w:spacing w:val="-16"/>
        </w:rPr>
        <w:t> </w:t>
      </w:r>
      <w:r>
        <w:rPr/>
        <w:t>en</w:t>
      </w:r>
      <w:r>
        <w:rPr>
          <w:spacing w:val="-16"/>
        </w:rPr>
        <w:t> </w:t>
      </w:r>
      <w:r>
        <w:rPr/>
        <w:t>relación</w:t>
      </w:r>
      <w:r>
        <w:rPr>
          <w:spacing w:val="-16"/>
        </w:rPr>
        <w:t> </w:t>
      </w:r>
      <w:r>
        <w:rPr/>
        <w:t>a</w:t>
      </w:r>
      <w:r>
        <w:rPr>
          <w:spacing w:val="-16"/>
        </w:rPr>
        <w:t> </w:t>
      </w:r>
      <w:r>
        <w:rPr/>
        <w:t>la</w:t>
      </w:r>
      <w:r>
        <w:rPr>
          <w:spacing w:val="-18"/>
        </w:rPr>
        <w:t> </w:t>
      </w:r>
      <w:r>
        <w:rPr/>
        <w:t>edad</w:t>
      </w:r>
      <w:r>
        <w:rPr>
          <w:spacing w:val="-16"/>
        </w:rPr>
        <w:t> </w:t>
      </w:r>
      <w:r>
        <w:rPr/>
        <w:t>que</w:t>
      </w:r>
      <w:r>
        <w:rPr>
          <w:spacing w:val="-16"/>
        </w:rPr>
        <w:t> </w:t>
      </w:r>
      <w:r>
        <w:rPr/>
        <w:t>tienen los responsables de la transparencia en los gobiernos municipales. Los resultados obtenidos muestran cómo los jóvenes que oscilan entre los 29 y 34 años obtuvieron el</w:t>
      </w:r>
      <w:r>
        <w:rPr>
          <w:spacing w:val="-12"/>
        </w:rPr>
        <w:t> </w:t>
      </w:r>
      <w:r>
        <w:rPr/>
        <w:t>porcentaje</w:t>
      </w:r>
      <w:r>
        <w:rPr>
          <w:spacing w:val="-13"/>
        </w:rPr>
        <w:t> </w:t>
      </w:r>
      <w:r>
        <w:rPr/>
        <w:t>más</w:t>
      </w:r>
      <w:r>
        <w:rPr>
          <w:spacing w:val="-14"/>
        </w:rPr>
        <w:t> </w:t>
      </w:r>
      <w:r>
        <w:rPr/>
        <w:t>alto</w:t>
      </w:r>
      <w:r>
        <w:rPr>
          <w:spacing w:val="-13"/>
        </w:rPr>
        <w:t> </w:t>
      </w:r>
      <w:r>
        <w:rPr/>
        <w:t>de</w:t>
      </w:r>
      <w:r>
        <w:rPr>
          <w:spacing w:val="-11"/>
        </w:rPr>
        <w:t> </w:t>
      </w:r>
      <w:r>
        <w:rPr/>
        <w:t>cumplimiento</w:t>
      </w:r>
      <w:r>
        <w:rPr>
          <w:spacing w:val="-13"/>
        </w:rPr>
        <w:t> </w:t>
      </w:r>
      <w:r>
        <w:rPr/>
        <w:t>de</w:t>
      </w:r>
      <w:r>
        <w:rPr>
          <w:spacing w:val="-11"/>
        </w:rPr>
        <w:t> </w:t>
      </w:r>
      <w:r>
        <w:rPr/>
        <w:t>la</w:t>
      </w:r>
      <w:r>
        <w:rPr>
          <w:spacing w:val="-13"/>
        </w:rPr>
        <w:t> </w:t>
      </w:r>
      <w:r>
        <w:rPr/>
        <w:t>ley</w:t>
      </w:r>
      <w:r>
        <w:rPr>
          <w:spacing w:val="-14"/>
        </w:rPr>
        <w:t> </w:t>
      </w:r>
      <w:r>
        <w:rPr/>
        <w:t>de</w:t>
      </w:r>
      <w:r>
        <w:rPr>
          <w:spacing w:val="-11"/>
        </w:rPr>
        <w:t> </w:t>
      </w:r>
      <w:r>
        <w:rPr/>
        <w:t>transparencia</w:t>
      </w:r>
      <w:r>
        <w:rPr>
          <w:spacing w:val="-11"/>
        </w:rPr>
        <w:t> </w:t>
      </w:r>
      <w:r>
        <w:rPr/>
        <w:t>al</w:t>
      </w:r>
      <w:r>
        <w:rPr>
          <w:spacing w:val="-17"/>
        </w:rPr>
        <w:t> </w:t>
      </w:r>
      <w:r>
        <w:rPr/>
        <w:t>obtener</w:t>
      </w:r>
      <w:r>
        <w:rPr>
          <w:spacing w:val="-15"/>
        </w:rPr>
        <w:t> </w:t>
      </w:r>
      <w:r>
        <w:rPr/>
        <w:t>44.95%, seguido de las personas mayores que tienen entre los </w:t>
      </w:r>
      <w:r>
        <w:rPr>
          <w:spacing w:val="3"/>
        </w:rPr>
        <w:t>59 </w:t>
      </w:r>
      <w:r>
        <w:rPr/>
        <w:t>y 64 años que obtuvieron 42.83%;</w:t>
      </w:r>
      <w:r>
        <w:rPr>
          <w:spacing w:val="-13"/>
        </w:rPr>
        <w:t> </w:t>
      </w:r>
      <w:r>
        <w:rPr/>
        <w:t>el</w:t>
      </w:r>
      <w:r>
        <w:rPr>
          <w:spacing w:val="-12"/>
        </w:rPr>
        <w:t> </w:t>
      </w:r>
      <w:r>
        <w:rPr/>
        <w:t>tercer</w:t>
      </w:r>
      <w:r>
        <w:rPr>
          <w:spacing w:val="-12"/>
        </w:rPr>
        <w:t> </w:t>
      </w:r>
      <w:r>
        <w:rPr/>
        <w:t>lugar</w:t>
      </w:r>
      <w:r>
        <w:rPr>
          <w:spacing w:val="-15"/>
        </w:rPr>
        <w:t> </w:t>
      </w:r>
      <w:r>
        <w:rPr/>
        <w:t>lo</w:t>
      </w:r>
      <w:r>
        <w:rPr>
          <w:spacing w:val="-11"/>
        </w:rPr>
        <w:t> </w:t>
      </w:r>
      <w:r>
        <w:rPr/>
        <w:t>ocupan</w:t>
      </w:r>
      <w:r>
        <w:rPr>
          <w:spacing w:val="-11"/>
        </w:rPr>
        <w:t> </w:t>
      </w:r>
      <w:r>
        <w:rPr/>
        <w:t>quienes</w:t>
      </w:r>
      <w:r>
        <w:rPr>
          <w:spacing w:val="-14"/>
        </w:rPr>
        <w:t> </w:t>
      </w:r>
      <w:r>
        <w:rPr/>
        <w:t>tienen</w:t>
      </w:r>
      <w:r>
        <w:rPr>
          <w:spacing w:val="-13"/>
        </w:rPr>
        <w:t> </w:t>
      </w:r>
      <w:r>
        <w:rPr/>
        <w:t>entre</w:t>
      </w:r>
      <w:r>
        <w:rPr>
          <w:spacing w:val="-13"/>
        </w:rPr>
        <w:t> </w:t>
      </w:r>
      <w:r>
        <w:rPr/>
        <w:t>41</w:t>
      </w:r>
      <w:r>
        <w:rPr>
          <w:spacing w:val="-11"/>
        </w:rPr>
        <w:t> </w:t>
      </w:r>
      <w:r>
        <w:rPr/>
        <w:t>y</w:t>
      </w:r>
      <w:r>
        <w:rPr>
          <w:spacing w:val="-14"/>
        </w:rPr>
        <w:t> </w:t>
      </w:r>
      <w:r>
        <w:rPr/>
        <w:t>46</w:t>
      </w:r>
      <w:r>
        <w:rPr>
          <w:spacing w:val="-13"/>
        </w:rPr>
        <w:t> </w:t>
      </w:r>
      <w:r>
        <w:rPr/>
        <w:t>años</w:t>
      </w:r>
      <w:r>
        <w:rPr>
          <w:spacing w:val="-16"/>
        </w:rPr>
        <w:t> </w:t>
      </w:r>
      <w:r>
        <w:rPr/>
        <w:t>de</w:t>
      </w:r>
      <w:r>
        <w:rPr>
          <w:spacing w:val="-13"/>
        </w:rPr>
        <w:t> </w:t>
      </w:r>
      <w:r>
        <w:rPr/>
        <w:t>edad</w:t>
      </w:r>
      <w:r>
        <w:rPr>
          <w:spacing w:val="-13"/>
        </w:rPr>
        <w:t> </w:t>
      </w:r>
      <w:r>
        <w:rPr/>
        <w:t>40.01%, posteriormente se encuentran los de 35 a 40 años con</w:t>
      </w:r>
      <w:r>
        <w:rPr>
          <w:spacing w:val="-30"/>
        </w:rPr>
        <w:t> </w:t>
      </w:r>
      <w:r>
        <w:rPr/>
        <w:t>35.05%.</w:t>
      </w:r>
    </w:p>
    <w:p>
      <w:pPr>
        <w:pStyle w:val="BodyText"/>
      </w:pPr>
    </w:p>
    <w:p>
      <w:pPr>
        <w:pStyle w:val="BodyText"/>
      </w:pPr>
    </w:p>
    <w:p>
      <w:pPr>
        <w:pStyle w:val="BodyText"/>
        <w:spacing w:line="360" w:lineRule="auto" w:before="187"/>
        <w:ind w:left="128" w:right="116"/>
        <w:jc w:val="both"/>
      </w:pPr>
      <w:r>
        <w:rPr/>
        <w:t>El quinto lugar corresponde a los que tienen entre 23 y 28 años de edad al obtener un 21.44%; finalmente se encuentran los responsables de transparencia que tienen entre 47 y 52 años ya que solo obtuvieron un 21.01%. Por su parte los que se encuentran entre 53 y 58 años se encuentran en municipios que no fueron evaluados.</w:t>
      </w:r>
    </w:p>
    <w:p>
      <w:pPr>
        <w:pStyle w:val="BodyText"/>
      </w:pPr>
    </w:p>
    <w:p>
      <w:pPr>
        <w:pStyle w:val="BodyText"/>
      </w:pPr>
    </w:p>
    <w:p>
      <w:pPr>
        <w:pStyle w:val="BodyText"/>
        <w:spacing w:line="360" w:lineRule="auto" w:before="187"/>
        <w:ind w:left="128" w:right="118"/>
        <w:jc w:val="both"/>
      </w:pPr>
      <w:r>
        <w:rPr/>
        <w:t>En</w:t>
      </w:r>
      <w:r>
        <w:rPr>
          <w:spacing w:val="-9"/>
        </w:rPr>
        <w:t> </w:t>
      </w:r>
      <w:r>
        <w:rPr/>
        <w:t>un</w:t>
      </w:r>
      <w:r>
        <w:rPr>
          <w:spacing w:val="-9"/>
        </w:rPr>
        <w:t> </w:t>
      </w:r>
      <w:r>
        <w:rPr/>
        <w:t>sentido</w:t>
      </w:r>
      <w:r>
        <w:rPr>
          <w:spacing w:val="-8"/>
        </w:rPr>
        <w:t> </w:t>
      </w:r>
      <w:r>
        <w:rPr/>
        <w:t>retroactivo</w:t>
      </w:r>
      <w:r>
        <w:rPr>
          <w:spacing w:val="-9"/>
        </w:rPr>
        <w:t> </w:t>
      </w:r>
      <w:r>
        <w:rPr/>
        <w:t>del</w:t>
      </w:r>
      <w:r>
        <w:rPr>
          <w:spacing w:val="-11"/>
        </w:rPr>
        <w:t> </w:t>
      </w:r>
      <w:r>
        <w:rPr/>
        <w:t>periodo</w:t>
      </w:r>
      <w:r>
        <w:rPr>
          <w:spacing w:val="-9"/>
        </w:rPr>
        <w:t> </w:t>
      </w:r>
      <w:r>
        <w:rPr/>
        <w:t>de</w:t>
      </w:r>
      <w:r>
        <w:rPr>
          <w:spacing w:val="-9"/>
        </w:rPr>
        <w:t> </w:t>
      </w:r>
      <w:r>
        <w:rPr/>
        <w:t>administración</w:t>
      </w:r>
      <w:r>
        <w:rPr>
          <w:spacing w:val="-9"/>
        </w:rPr>
        <w:t> </w:t>
      </w:r>
      <w:r>
        <w:rPr/>
        <w:t>2013</w:t>
      </w:r>
      <w:r>
        <w:rPr>
          <w:spacing w:val="-4"/>
        </w:rPr>
        <w:t> </w:t>
      </w:r>
      <w:r>
        <w:rPr/>
        <w:t>-2015</w:t>
      </w:r>
      <w:r>
        <w:rPr>
          <w:spacing w:val="-9"/>
        </w:rPr>
        <w:t> </w:t>
      </w:r>
      <w:r>
        <w:rPr/>
        <w:t>la</w:t>
      </w:r>
      <w:r>
        <w:rPr>
          <w:spacing w:val="-9"/>
        </w:rPr>
        <w:t> </w:t>
      </w:r>
      <w:r>
        <w:rPr/>
        <w:t>siguiente</w:t>
      </w:r>
      <w:r>
        <w:rPr>
          <w:spacing w:val="-9"/>
        </w:rPr>
        <w:t> </w:t>
      </w:r>
      <w:r>
        <w:rPr/>
        <w:t>tabla muestra el promedio de cumplimiento de la ley de</w:t>
      </w:r>
      <w:r>
        <w:rPr>
          <w:spacing w:val="-14"/>
        </w:rPr>
        <w:t> </w:t>
      </w:r>
      <w:r>
        <w:rPr/>
        <w:t>transparencia:</w:t>
      </w:r>
    </w:p>
    <w:p>
      <w:pPr>
        <w:spacing w:after="0" w:line="360" w:lineRule="auto"/>
        <w:jc w:val="both"/>
        <w:sectPr>
          <w:pgSz w:w="12240" w:h="15840"/>
          <w:pgMar w:header="0" w:footer="975" w:top="1360" w:bottom="1220" w:left="1480" w:right="1580"/>
        </w:sectPr>
      </w:pPr>
    </w:p>
    <w:tbl>
      <w:tblPr>
        <w:tblW w:w="0" w:type="auto"/>
        <w:jc w:val="left"/>
        <w:tblInd w:w="15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01"/>
        <w:gridCol w:w="1200"/>
        <w:gridCol w:w="1200"/>
        <w:gridCol w:w="1200"/>
        <w:gridCol w:w="1200"/>
      </w:tblGrid>
      <w:tr>
        <w:trPr>
          <w:trHeight w:val="227" w:hRule="exact"/>
        </w:trPr>
        <w:tc>
          <w:tcPr>
            <w:tcW w:w="6001" w:type="dxa"/>
            <w:gridSpan w:val="5"/>
            <w:shd w:val="clear" w:color="auto" w:fill="92D050"/>
          </w:tcPr>
          <w:p>
            <w:pPr>
              <w:pStyle w:val="TableParagraph"/>
              <w:spacing w:line="200" w:lineRule="exact"/>
              <w:ind w:left="1570"/>
              <w:jc w:val="left"/>
              <w:rPr>
                <w:b/>
                <w:sz w:val="18"/>
              </w:rPr>
            </w:pPr>
            <w:r>
              <w:rPr>
                <w:b/>
                <w:sz w:val="18"/>
              </w:rPr>
              <w:t>Tabla 3.31: Edad del responsable</w:t>
            </w:r>
          </w:p>
        </w:tc>
      </w:tr>
      <w:tr>
        <w:trPr>
          <w:trHeight w:val="512" w:hRule="exact"/>
        </w:trPr>
        <w:tc>
          <w:tcPr>
            <w:tcW w:w="1201" w:type="dxa"/>
            <w:tcBorders>
              <w:bottom w:val="single" w:sz="4" w:space="0" w:color="000000"/>
            </w:tcBorders>
            <w:shd w:val="clear" w:color="auto" w:fill="92D050"/>
          </w:tcPr>
          <w:p>
            <w:pPr>
              <w:pStyle w:val="TableParagraph"/>
              <w:spacing w:before="136"/>
              <w:ind w:right="345"/>
              <w:jc w:val="right"/>
              <w:rPr>
                <w:b/>
                <w:sz w:val="18"/>
              </w:rPr>
            </w:pPr>
            <w:r>
              <w:rPr>
                <w:b/>
                <w:w w:val="95"/>
                <w:sz w:val="18"/>
              </w:rPr>
              <w:t>Clase</w:t>
            </w:r>
          </w:p>
        </w:tc>
        <w:tc>
          <w:tcPr>
            <w:tcW w:w="1200" w:type="dxa"/>
            <w:tcBorders>
              <w:bottom w:val="single" w:sz="4" w:space="0" w:color="000000"/>
            </w:tcBorders>
            <w:shd w:val="clear" w:color="auto" w:fill="92D050"/>
          </w:tcPr>
          <w:p>
            <w:pPr>
              <w:pStyle w:val="TableParagraph"/>
              <w:spacing w:before="136"/>
              <w:ind w:left="370" w:right="366"/>
              <w:rPr>
                <w:b/>
                <w:sz w:val="18"/>
              </w:rPr>
            </w:pPr>
            <w:r>
              <w:rPr>
                <w:b/>
                <w:sz w:val="18"/>
              </w:rPr>
              <w:t>2013</w:t>
            </w:r>
          </w:p>
        </w:tc>
        <w:tc>
          <w:tcPr>
            <w:tcW w:w="1200" w:type="dxa"/>
            <w:tcBorders>
              <w:bottom w:val="single" w:sz="4" w:space="0" w:color="000000"/>
            </w:tcBorders>
            <w:shd w:val="clear" w:color="auto" w:fill="92D050"/>
          </w:tcPr>
          <w:p>
            <w:pPr>
              <w:pStyle w:val="TableParagraph"/>
              <w:spacing w:before="136"/>
              <w:ind w:left="97" w:right="93"/>
              <w:rPr>
                <w:b/>
                <w:sz w:val="18"/>
              </w:rPr>
            </w:pPr>
            <w:r>
              <w:rPr>
                <w:b/>
                <w:sz w:val="18"/>
              </w:rPr>
              <w:t>2014</w:t>
            </w:r>
          </w:p>
        </w:tc>
        <w:tc>
          <w:tcPr>
            <w:tcW w:w="1200" w:type="dxa"/>
            <w:tcBorders>
              <w:bottom w:val="single" w:sz="4" w:space="0" w:color="000000"/>
            </w:tcBorders>
            <w:shd w:val="clear" w:color="auto" w:fill="92D050"/>
          </w:tcPr>
          <w:p>
            <w:pPr>
              <w:pStyle w:val="TableParagraph"/>
              <w:spacing w:before="136"/>
              <w:ind w:left="370" w:right="366"/>
              <w:rPr>
                <w:b/>
                <w:sz w:val="18"/>
              </w:rPr>
            </w:pPr>
            <w:r>
              <w:rPr>
                <w:b/>
                <w:sz w:val="18"/>
              </w:rPr>
              <w:t>2015</w:t>
            </w:r>
          </w:p>
        </w:tc>
        <w:tc>
          <w:tcPr>
            <w:tcW w:w="1200" w:type="dxa"/>
            <w:tcBorders>
              <w:bottom w:val="single" w:sz="4" w:space="0" w:color="000000"/>
            </w:tcBorders>
            <w:shd w:val="clear" w:color="auto" w:fill="92D050"/>
          </w:tcPr>
          <w:p>
            <w:pPr>
              <w:pStyle w:val="TableParagraph"/>
              <w:spacing w:before="32"/>
              <w:ind w:left="271" w:right="155" w:hanging="96"/>
              <w:jc w:val="left"/>
              <w:rPr>
                <w:b/>
                <w:sz w:val="18"/>
              </w:rPr>
            </w:pPr>
            <w:r>
              <w:rPr>
                <w:b/>
                <w:sz w:val="18"/>
              </w:rPr>
              <w:t>Promedio general</w:t>
            </w:r>
          </w:p>
        </w:tc>
      </w:tr>
      <w:tr>
        <w:trPr>
          <w:trHeight w:val="264" w:hRule="exact"/>
        </w:trPr>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20"/>
              <w:ind w:right="358"/>
              <w:jc w:val="right"/>
              <w:rPr>
                <w:sz w:val="18"/>
              </w:rPr>
            </w:pPr>
            <w:r>
              <w:rPr>
                <w:w w:val="95"/>
                <w:sz w:val="18"/>
              </w:rPr>
              <w:t>23-28</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270" w:right="265"/>
              <w:rPr>
                <w:sz w:val="18"/>
              </w:rPr>
            </w:pPr>
            <w:r>
              <w:rPr>
                <w:sz w:val="18"/>
              </w:rPr>
              <w:t>46.60%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270" w:right="265"/>
              <w:rPr>
                <w:sz w:val="18"/>
              </w:rPr>
            </w:pPr>
            <w:r>
              <w:rPr>
                <w:sz w:val="18"/>
              </w:rPr>
              <w:t>68.02%</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270" w:right="265"/>
              <w:rPr>
                <w:sz w:val="18"/>
              </w:rPr>
            </w:pPr>
            <w:r>
              <w:rPr>
                <w:sz w:val="18"/>
              </w:rPr>
              <w:t>21.44%</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270" w:right="265"/>
              <w:rPr>
                <w:sz w:val="18"/>
              </w:rPr>
            </w:pPr>
            <w:r>
              <w:rPr>
                <w:sz w:val="18"/>
              </w:rPr>
              <w:t>45.35%</w:t>
            </w:r>
          </w:p>
        </w:tc>
      </w:tr>
      <w:tr>
        <w:trPr>
          <w:trHeight w:val="264" w:hRule="exact"/>
        </w:trPr>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20"/>
              <w:ind w:right="358"/>
              <w:jc w:val="right"/>
              <w:rPr>
                <w:sz w:val="18"/>
              </w:rPr>
            </w:pPr>
            <w:r>
              <w:rPr>
                <w:w w:val="95"/>
                <w:sz w:val="18"/>
              </w:rPr>
              <w:t>29-34</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270" w:right="266"/>
              <w:rPr>
                <w:sz w:val="18"/>
              </w:rPr>
            </w:pPr>
            <w:r>
              <w:rPr>
                <w:sz w:val="18"/>
              </w:rPr>
              <w:t>S/I</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270" w:right="265"/>
              <w:rPr>
                <w:sz w:val="18"/>
              </w:rPr>
            </w:pPr>
            <w:r>
              <w:rPr>
                <w:sz w:val="18"/>
              </w:rPr>
              <w:t>66.09%</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270" w:right="265"/>
              <w:rPr>
                <w:sz w:val="18"/>
              </w:rPr>
            </w:pPr>
            <w:r>
              <w:rPr>
                <w:sz w:val="18"/>
              </w:rPr>
              <w:t>44.95%</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270" w:right="265"/>
              <w:rPr>
                <w:sz w:val="18"/>
              </w:rPr>
            </w:pPr>
            <w:r>
              <w:rPr>
                <w:sz w:val="18"/>
              </w:rPr>
              <w:t>55.52%</w:t>
            </w:r>
          </w:p>
        </w:tc>
      </w:tr>
      <w:tr>
        <w:trPr>
          <w:trHeight w:val="266" w:hRule="exact"/>
        </w:trPr>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22"/>
              <w:ind w:right="358"/>
              <w:jc w:val="right"/>
              <w:rPr>
                <w:sz w:val="18"/>
              </w:rPr>
            </w:pPr>
            <w:r>
              <w:rPr>
                <w:w w:val="95"/>
                <w:sz w:val="18"/>
              </w:rPr>
              <w:t>35-40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6"/>
              <w:ind w:left="270" w:right="266"/>
              <w:rPr>
                <w:sz w:val="18"/>
              </w:rPr>
            </w:pPr>
            <w:r>
              <w:rPr>
                <w:sz w:val="18"/>
              </w:rPr>
              <w:t>S/I</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6"/>
              <w:ind w:left="270" w:right="265"/>
              <w:rPr>
                <w:sz w:val="18"/>
              </w:rPr>
            </w:pPr>
            <w:r>
              <w:rPr>
                <w:sz w:val="18"/>
              </w:rPr>
              <w:t>67.90%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6"/>
              <w:ind w:left="270" w:right="265"/>
              <w:rPr>
                <w:sz w:val="18"/>
              </w:rPr>
            </w:pPr>
            <w:r>
              <w:rPr>
                <w:sz w:val="18"/>
              </w:rPr>
              <w:t>35.05%</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6"/>
              <w:ind w:left="270" w:right="265"/>
              <w:rPr>
                <w:sz w:val="18"/>
              </w:rPr>
            </w:pPr>
            <w:r>
              <w:rPr>
                <w:sz w:val="18"/>
              </w:rPr>
              <w:t>51.48%</w:t>
            </w:r>
          </w:p>
        </w:tc>
      </w:tr>
      <w:tr>
        <w:trPr>
          <w:trHeight w:val="264" w:hRule="exact"/>
        </w:trPr>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20"/>
              <w:ind w:right="358"/>
              <w:jc w:val="right"/>
              <w:rPr>
                <w:sz w:val="18"/>
              </w:rPr>
            </w:pPr>
            <w:r>
              <w:rPr>
                <w:w w:val="95"/>
                <w:sz w:val="18"/>
              </w:rPr>
              <w:t>41-46</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270" w:right="265"/>
              <w:rPr>
                <w:sz w:val="18"/>
              </w:rPr>
            </w:pPr>
            <w:r>
              <w:rPr>
                <w:sz w:val="18"/>
              </w:rPr>
              <w:t>91.60%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270" w:right="267"/>
              <w:rPr>
                <w:sz w:val="18"/>
              </w:rPr>
            </w:pPr>
            <w:r>
              <w:rPr>
                <w:sz w:val="18"/>
              </w:rPr>
              <w:t>S/I</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270" w:right="265"/>
              <w:rPr>
                <w:sz w:val="18"/>
              </w:rPr>
            </w:pPr>
            <w:r>
              <w:rPr>
                <w:sz w:val="18"/>
              </w:rPr>
              <w:t>40.01%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270" w:right="265"/>
              <w:rPr>
                <w:sz w:val="18"/>
              </w:rPr>
            </w:pPr>
            <w:r>
              <w:rPr>
                <w:sz w:val="18"/>
              </w:rPr>
              <w:t>65.81%</w:t>
            </w:r>
          </w:p>
        </w:tc>
      </w:tr>
      <w:tr>
        <w:trPr>
          <w:trHeight w:val="266" w:hRule="exact"/>
        </w:trPr>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20"/>
              <w:ind w:right="358"/>
              <w:jc w:val="right"/>
              <w:rPr>
                <w:sz w:val="18"/>
              </w:rPr>
            </w:pPr>
            <w:r>
              <w:rPr>
                <w:w w:val="95"/>
                <w:sz w:val="18"/>
              </w:rPr>
              <w:t>47-52</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270" w:right="266"/>
              <w:rPr>
                <w:sz w:val="18"/>
              </w:rPr>
            </w:pPr>
            <w:r>
              <w:rPr>
                <w:sz w:val="18"/>
              </w:rPr>
              <w:t>S/I</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270" w:right="267"/>
              <w:rPr>
                <w:sz w:val="18"/>
              </w:rPr>
            </w:pPr>
            <w:r>
              <w:rPr>
                <w:sz w:val="18"/>
              </w:rPr>
              <w:t>S/I</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270" w:right="265"/>
              <w:rPr>
                <w:sz w:val="18"/>
              </w:rPr>
            </w:pPr>
            <w:r>
              <w:rPr>
                <w:sz w:val="18"/>
              </w:rPr>
              <w:t>21.01%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270" w:right="265"/>
              <w:rPr>
                <w:sz w:val="18"/>
              </w:rPr>
            </w:pPr>
            <w:r>
              <w:rPr>
                <w:sz w:val="18"/>
              </w:rPr>
              <w:t>21.01%</w:t>
            </w:r>
          </w:p>
        </w:tc>
      </w:tr>
      <w:tr>
        <w:trPr>
          <w:trHeight w:val="264" w:hRule="exact"/>
        </w:trPr>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20"/>
              <w:ind w:right="358"/>
              <w:jc w:val="right"/>
              <w:rPr>
                <w:sz w:val="18"/>
              </w:rPr>
            </w:pPr>
            <w:r>
              <w:rPr>
                <w:w w:val="95"/>
                <w:sz w:val="18"/>
              </w:rPr>
              <w:t>53-58</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270" w:right="266"/>
              <w:rPr>
                <w:sz w:val="18"/>
              </w:rPr>
            </w:pPr>
            <w:r>
              <w:rPr>
                <w:sz w:val="18"/>
              </w:rPr>
              <w:t>S/I</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270" w:right="267"/>
              <w:rPr>
                <w:sz w:val="18"/>
              </w:rPr>
            </w:pPr>
            <w:r>
              <w:rPr>
                <w:sz w:val="18"/>
              </w:rPr>
              <w:t>S/I</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270" w:right="266"/>
              <w:rPr>
                <w:sz w:val="18"/>
              </w:rPr>
            </w:pPr>
            <w:r>
              <w:rPr>
                <w:sz w:val="18"/>
              </w:rPr>
              <w:t>S/I</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269" w:right="267"/>
              <w:rPr>
                <w:sz w:val="18"/>
              </w:rPr>
            </w:pPr>
            <w:r>
              <w:rPr>
                <w:sz w:val="18"/>
              </w:rPr>
              <w:t>N/A</w:t>
            </w:r>
          </w:p>
        </w:tc>
      </w:tr>
      <w:tr>
        <w:trPr>
          <w:trHeight w:val="264" w:hRule="exact"/>
        </w:trPr>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20"/>
              <w:ind w:right="358"/>
              <w:jc w:val="right"/>
              <w:rPr>
                <w:sz w:val="18"/>
              </w:rPr>
            </w:pPr>
            <w:r>
              <w:rPr>
                <w:w w:val="95"/>
                <w:sz w:val="18"/>
              </w:rPr>
              <w:t>59-64</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270" w:right="265"/>
              <w:rPr>
                <w:sz w:val="18"/>
              </w:rPr>
            </w:pPr>
            <w:r>
              <w:rPr>
                <w:sz w:val="18"/>
              </w:rPr>
              <w:t>78.52%</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270" w:right="265"/>
              <w:rPr>
                <w:sz w:val="18"/>
              </w:rPr>
            </w:pPr>
            <w:r>
              <w:rPr>
                <w:sz w:val="18"/>
              </w:rPr>
              <w:t>74.33%</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270" w:right="265"/>
              <w:rPr>
                <w:sz w:val="18"/>
              </w:rPr>
            </w:pPr>
            <w:r>
              <w:rPr>
                <w:sz w:val="18"/>
              </w:rPr>
              <w:t>42.83%</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270" w:right="265"/>
              <w:rPr>
                <w:sz w:val="18"/>
              </w:rPr>
            </w:pPr>
            <w:r>
              <w:rPr>
                <w:sz w:val="18"/>
              </w:rPr>
              <w:t>65.23%</w:t>
            </w:r>
          </w:p>
        </w:tc>
      </w:tr>
    </w:tbl>
    <w:p>
      <w:pPr>
        <w:spacing w:before="29"/>
        <w:ind w:left="1664" w:right="26" w:firstLine="0"/>
        <w:jc w:val="left"/>
        <w:rPr>
          <w:sz w:val="16"/>
        </w:rPr>
      </w:pPr>
      <w:r>
        <w:rPr>
          <w:sz w:val="16"/>
        </w:rPr>
        <w:t>Fuente: Elaboración propia</w:t>
      </w:r>
    </w:p>
    <w:p>
      <w:pPr>
        <w:pStyle w:val="BodyText"/>
        <w:rPr>
          <w:sz w:val="20"/>
        </w:rPr>
      </w:pPr>
    </w:p>
    <w:p>
      <w:pPr>
        <w:pStyle w:val="BodyText"/>
        <w:spacing w:before="2"/>
        <w:rPr>
          <w:sz w:val="27"/>
        </w:rPr>
      </w:pPr>
    </w:p>
    <w:p>
      <w:pPr>
        <w:pStyle w:val="BodyText"/>
        <w:spacing w:line="360" w:lineRule="auto" w:before="69"/>
        <w:ind w:left="128" w:right="115"/>
        <w:jc w:val="both"/>
      </w:pPr>
      <w:r>
        <w:rPr/>
        <w:t>Durante el periodo que comprende el 2013-2015 se tuvo un promedio de cumplimiento de la ley tal como se describe a continuación: en primer lugar de las personas</w:t>
      </w:r>
      <w:r>
        <w:rPr>
          <w:spacing w:val="-4"/>
        </w:rPr>
        <w:t> </w:t>
      </w:r>
      <w:r>
        <w:rPr/>
        <w:t>que</w:t>
      </w:r>
      <w:r>
        <w:rPr>
          <w:spacing w:val="-4"/>
        </w:rPr>
        <w:t> </w:t>
      </w:r>
      <w:r>
        <w:rPr/>
        <w:t>tienen</w:t>
      </w:r>
      <w:r>
        <w:rPr>
          <w:spacing w:val="-4"/>
        </w:rPr>
        <w:t> </w:t>
      </w:r>
      <w:r>
        <w:rPr/>
        <w:t>entre</w:t>
      </w:r>
      <w:r>
        <w:rPr>
          <w:spacing w:val="-4"/>
        </w:rPr>
        <w:t> </w:t>
      </w:r>
      <w:r>
        <w:rPr/>
        <w:t>41</w:t>
      </w:r>
      <w:r>
        <w:rPr>
          <w:spacing w:val="-4"/>
        </w:rPr>
        <w:t> </w:t>
      </w:r>
      <w:r>
        <w:rPr/>
        <w:t>y</w:t>
      </w:r>
      <w:r>
        <w:rPr>
          <w:spacing w:val="-7"/>
        </w:rPr>
        <w:t> </w:t>
      </w:r>
      <w:r>
        <w:rPr/>
        <w:t>46</w:t>
      </w:r>
      <w:r>
        <w:rPr>
          <w:spacing w:val="-4"/>
        </w:rPr>
        <w:t> </w:t>
      </w:r>
      <w:r>
        <w:rPr/>
        <w:t>años</w:t>
      </w:r>
      <w:r>
        <w:rPr>
          <w:spacing w:val="-4"/>
        </w:rPr>
        <w:t> </w:t>
      </w:r>
      <w:r>
        <w:rPr/>
        <w:t>ya</w:t>
      </w:r>
      <w:r>
        <w:rPr>
          <w:spacing w:val="-4"/>
        </w:rPr>
        <w:t> </w:t>
      </w:r>
      <w:r>
        <w:rPr/>
        <w:t>que</w:t>
      </w:r>
      <w:r>
        <w:rPr>
          <w:spacing w:val="-4"/>
        </w:rPr>
        <w:t> </w:t>
      </w:r>
      <w:r>
        <w:rPr/>
        <w:t>reportaron</w:t>
      </w:r>
      <w:r>
        <w:rPr>
          <w:spacing w:val="-4"/>
        </w:rPr>
        <w:t> </w:t>
      </w:r>
      <w:r>
        <w:rPr/>
        <w:t>un</w:t>
      </w:r>
      <w:r>
        <w:rPr>
          <w:spacing w:val="-6"/>
        </w:rPr>
        <w:t> </w:t>
      </w:r>
      <w:r>
        <w:rPr/>
        <w:t>cumplimiento</w:t>
      </w:r>
      <w:r>
        <w:rPr>
          <w:spacing w:val="-5"/>
        </w:rPr>
        <w:t> </w:t>
      </w:r>
      <w:r>
        <w:rPr/>
        <w:t>de</w:t>
      </w:r>
      <w:r>
        <w:rPr>
          <w:spacing w:val="-6"/>
        </w:rPr>
        <w:t> </w:t>
      </w:r>
      <w:r>
        <w:rPr/>
        <w:t>la</w:t>
      </w:r>
      <w:r>
        <w:rPr>
          <w:spacing w:val="-4"/>
        </w:rPr>
        <w:t> </w:t>
      </w:r>
      <w:r>
        <w:rPr/>
        <w:t>ley en</w:t>
      </w:r>
      <w:r>
        <w:rPr>
          <w:spacing w:val="-19"/>
        </w:rPr>
        <w:t> </w:t>
      </w:r>
      <w:r>
        <w:rPr/>
        <w:t>65.81%,</w:t>
      </w:r>
      <w:r>
        <w:rPr>
          <w:spacing w:val="-19"/>
        </w:rPr>
        <w:t> </w:t>
      </w:r>
      <w:r>
        <w:rPr/>
        <w:t>seguidos</w:t>
      </w:r>
      <w:r>
        <w:rPr>
          <w:spacing w:val="-19"/>
        </w:rPr>
        <w:t> </w:t>
      </w:r>
      <w:r>
        <w:rPr/>
        <w:t>de</w:t>
      </w:r>
      <w:r>
        <w:rPr>
          <w:spacing w:val="-17"/>
        </w:rPr>
        <w:t> </w:t>
      </w:r>
      <w:r>
        <w:rPr/>
        <w:t>los</w:t>
      </w:r>
      <w:r>
        <w:rPr>
          <w:spacing w:val="-19"/>
        </w:rPr>
        <w:t> </w:t>
      </w:r>
      <w:r>
        <w:rPr/>
        <w:t>que</w:t>
      </w:r>
      <w:r>
        <w:rPr>
          <w:spacing w:val="-19"/>
        </w:rPr>
        <w:t> </w:t>
      </w:r>
      <w:r>
        <w:rPr/>
        <w:t>tienen</w:t>
      </w:r>
      <w:r>
        <w:rPr>
          <w:spacing w:val="-19"/>
        </w:rPr>
        <w:t> </w:t>
      </w:r>
      <w:r>
        <w:rPr/>
        <w:t>entre</w:t>
      </w:r>
      <w:r>
        <w:rPr>
          <w:spacing w:val="-19"/>
        </w:rPr>
        <w:t> </w:t>
      </w:r>
      <w:r>
        <w:rPr/>
        <w:t>59</w:t>
      </w:r>
      <w:r>
        <w:rPr>
          <w:spacing w:val="-17"/>
        </w:rPr>
        <w:t> </w:t>
      </w:r>
      <w:r>
        <w:rPr/>
        <w:t>y</w:t>
      </w:r>
      <w:r>
        <w:rPr>
          <w:spacing w:val="-19"/>
        </w:rPr>
        <w:t> </w:t>
      </w:r>
      <w:r>
        <w:rPr/>
        <w:t>64</w:t>
      </w:r>
      <w:r>
        <w:rPr>
          <w:spacing w:val="-19"/>
        </w:rPr>
        <w:t> </w:t>
      </w:r>
      <w:r>
        <w:rPr/>
        <w:t>años</w:t>
      </w:r>
      <w:r>
        <w:rPr>
          <w:spacing w:val="-19"/>
        </w:rPr>
        <w:t> </w:t>
      </w:r>
      <w:r>
        <w:rPr/>
        <w:t>ya</w:t>
      </w:r>
      <w:r>
        <w:rPr>
          <w:spacing w:val="-17"/>
        </w:rPr>
        <w:t> </w:t>
      </w:r>
      <w:r>
        <w:rPr/>
        <w:t>que</w:t>
      </w:r>
      <w:r>
        <w:rPr>
          <w:spacing w:val="-19"/>
        </w:rPr>
        <w:t> </w:t>
      </w:r>
      <w:r>
        <w:rPr/>
        <w:t>tuvieron</w:t>
      </w:r>
      <w:r>
        <w:rPr>
          <w:spacing w:val="-19"/>
        </w:rPr>
        <w:t> </w:t>
      </w:r>
      <w:r>
        <w:rPr>
          <w:spacing w:val="4"/>
        </w:rPr>
        <w:t>un</w:t>
      </w:r>
      <w:r>
        <w:rPr>
          <w:spacing w:val="-19"/>
        </w:rPr>
        <w:t> </w:t>
      </w:r>
      <w:r>
        <w:rPr/>
        <w:t>65.23%, en</w:t>
      </w:r>
      <w:r>
        <w:rPr>
          <w:spacing w:val="-3"/>
        </w:rPr>
        <w:t> </w:t>
      </w:r>
      <w:r>
        <w:rPr/>
        <w:t>tercer</w:t>
      </w:r>
      <w:r>
        <w:rPr>
          <w:spacing w:val="-4"/>
        </w:rPr>
        <w:t> </w:t>
      </w:r>
      <w:r>
        <w:rPr/>
        <w:t>lugar</w:t>
      </w:r>
      <w:r>
        <w:rPr>
          <w:spacing w:val="-4"/>
        </w:rPr>
        <w:t> </w:t>
      </w:r>
      <w:r>
        <w:rPr/>
        <w:t>aparecen</w:t>
      </w:r>
      <w:r>
        <w:rPr>
          <w:spacing w:val="-3"/>
        </w:rPr>
        <w:t> </w:t>
      </w:r>
      <w:r>
        <w:rPr/>
        <w:t>los</w:t>
      </w:r>
      <w:r>
        <w:rPr>
          <w:spacing w:val="-3"/>
        </w:rPr>
        <w:t> </w:t>
      </w:r>
      <w:r>
        <w:rPr/>
        <w:t>que</w:t>
      </w:r>
      <w:r>
        <w:rPr>
          <w:spacing w:val="-3"/>
        </w:rPr>
        <w:t> </w:t>
      </w:r>
      <w:r>
        <w:rPr/>
        <w:t>tienen</w:t>
      </w:r>
      <w:r>
        <w:rPr>
          <w:spacing w:val="-3"/>
        </w:rPr>
        <w:t> </w:t>
      </w:r>
      <w:r>
        <w:rPr/>
        <w:t>entre</w:t>
      </w:r>
      <w:r>
        <w:rPr>
          <w:spacing w:val="-5"/>
        </w:rPr>
        <w:t> </w:t>
      </w:r>
      <w:r>
        <w:rPr/>
        <w:t>29</w:t>
      </w:r>
      <w:r>
        <w:rPr>
          <w:spacing w:val="-3"/>
        </w:rPr>
        <w:t> </w:t>
      </w:r>
      <w:r>
        <w:rPr/>
        <w:t>y</w:t>
      </w:r>
      <w:r>
        <w:rPr>
          <w:spacing w:val="-6"/>
        </w:rPr>
        <w:t> </w:t>
      </w:r>
      <w:r>
        <w:rPr/>
        <w:t>34</w:t>
      </w:r>
      <w:r>
        <w:rPr>
          <w:spacing w:val="-3"/>
        </w:rPr>
        <w:t> </w:t>
      </w:r>
      <w:r>
        <w:rPr/>
        <w:t>años</w:t>
      </w:r>
      <w:r>
        <w:rPr>
          <w:spacing w:val="-3"/>
        </w:rPr>
        <w:t> </w:t>
      </w:r>
      <w:r>
        <w:rPr/>
        <w:t>de</w:t>
      </w:r>
      <w:r>
        <w:rPr>
          <w:spacing w:val="-3"/>
        </w:rPr>
        <w:t> </w:t>
      </w:r>
      <w:r>
        <w:rPr/>
        <w:t>edad;</w:t>
      </w:r>
      <w:r>
        <w:rPr>
          <w:spacing w:val="-5"/>
        </w:rPr>
        <w:t> </w:t>
      </w:r>
      <w:r>
        <w:rPr/>
        <w:t>por</w:t>
      </w:r>
      <w:r>
        <w:rPr>
          <w:spacing w:val="-4"/>
        </w:rPr>
        <w:t> </w:t>
      </w:r>
      <w:r>
        <w:rPr/>
        <w:t>su</w:t>
      </w:r>
      <w:r>
        <w:rPr>
          <w:spacing w:val="-3"/>
        </w:rPr>
        <w:t> </w:t>
      </w:r>
      <w:r>
        <w:rPr/>
        <w:t>parte</w:t>
      </w:r>
      <w:r>
        <w:rPr>
          <w:spacing w:val="-3"/>
        </w:rPr>
        <w:t> </w:t>
      </w:r>
      <w:r>
        <w:rPr/>
        <w:t>los que tienen entre 35 y 40 años ocupan el cuarto lugar al haber obtenido el 51.48%, seguidos de los que tienen entre 23 y 28 años con 45,35%; en tanto que quienes tienen entre 47 y 52 años reportaron 21.01% de cumplimiento de la</w:t>
      </w:r>
      <w:r>
        <w:rPr>
          <w:spacing w:val="-30"/>
        </w:rPr>
        <w:t> </w:t>
      </w:r>
      <w:r>
        <w:rPr/>
        <w:t>ley.</w:t>
      </w:r>
    </w:p>
    <w:p>
      <w:pPr>
        <w:pStyle w:val="BodyText"/>
      </w:pPr>
    </w:p>
    <w:p>
      <w:pPr>
        <w:pStyle w:val="BodyText"/>
      </w:pPr>
    </w:p>
    <w:p>
      <w:pPr>
        <w:pStyle w:val="BodyText"/>
        <w:spacing w:line="360" w:lineRule="auto" w:before="188"/>
        <w:ind w:left="128" w:right="119"/>
        <w:jc w:val="both"/>
      </w:pPr>
      <w:r>
        <w:rPr/>
        <w:t>Un dato relevante que merece destacarse es que, de manera global, en todos los casos los municipios tienen porcentajes de cumplimiento de la ley de transparencia que son mayores a los presentados en el último año de la administración municipal.</w:t>
      </w:r>
    </w:p>
    <w:p>
      <w:pPr>
        <w:pStyle w:val="BodyText"/>
      </w:pPr>
    </w:p>
    <w:p>
      <w:pPr>
        <w:pStyle w:val="BodyText"/>
      </w:pPr>
    </w:p>
    <w:p>
      <w:pPr>
        <w:pStyle w:val="Heading1"/>
        <w:numPr>
          <w:ilvl w:val="2"/>
          <w:numId w:val="53"/>
        </w:numPr>
        <w:tabs>
          <w:tab w:pos="837" w:val="left" w:leader="none"/>
        </w:tabs>
        <w:spacing w:line="240" w:lineRule="auto" w:before="185" w:after="0"/>
        <w:ind w:left="836" w:right="0" w:hanging="720"/>
        <w:jc w:val="both"/>
      </w:pPr>
      <w:r>
        <w:rPr/>
        <w:t>Género del responsable vs porcentaje de transparencia</w:t>
      </w:r>
      <w:r>
        <w:rPr>
          <w:spacing w:val="-17"/>
        </w:rPr>
        <w:t> </w:t>
      </w:r>
      <w:r>
        <w:rPr/>
        <w:t>2015</w:t>
      </w:r>
    </w:p>
    <w:p>
      <w:pPr>
        <w:pStyle w:val="BodyText"/>
        <w:rPr>
          <w:b/>
          <w:sz w:val="20"/>
        </w:rPr>
      </w:pPr>
    </w:p>
    <w:p>
      <w:pPr>
        <w:pStyle w:val="BodyText"/>
        <w:rPr>
          <w:b/>
          <w:sz w:val="20"/>
        </w:rPr>
      </w:pPr>
    </w:p>
    <w:p>
      <w:pPr>
        <w:pStyle w:val="BodyText"/>
        <w:spacing w:before="3"/>
        <w:rPr>
          <w:b/>
          <w:sz w:val="11"/>
        </w:rPr>
      </w:pPr>
    </w:p>
    <w:tbl>
      <w:tblPr>
        <w:tblW w:w="0" w:type="auto"/>
        <w:jc w:val="left"/>
        <w:tblInd w:w="27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00"/>
        <w:gridCol w:w="1200"/>
        <w:gridCol w:w="1200"/>
      </w:tblGrid>
      <w:tr>
        <w:trPr>
          <w:trHeight w:val="290" w:hRule="exact"/>
        </w:trPr>
        <w:tc>
          <w:tcPr>
            <w:tcW w:w="3600" w:type="dxa"/>
            <w:gridSpan w:val="3"/>
            <w:shd w:val="clear" w:color="auto" w:fill="92D050"/>
          </w:tcPr>
          <w:p>
            <w:pPr>
              <w:pStyle w:val="TableParagraph"/>
              <w:spacing w:before="25"/>
              <w:ind w:left="275"/>
              <w:jc w:val="left"/>
              <w:rPr>
                <w:b/>
                <w:sz w:val="18"/>
              </w:rPr>
            </w:pPr>
            <w:r>
              <w:rPr>
                <w:b/>
                <w:sz w:val="18"/>
              </w:rPr>
              <w:t>Tabla 3.32: Genero del responsable</w:t>
            </w:r>
          </w:p>
        </w:tc>
      </w:tr>
      <w:tr>
        <w:trPr>
          <w:trHeight w:val="291" w:hRule="exact"/>
        </w:trPr>
        <w:tc>
          <w:tcPr>
            <w:tcW w:w="1200" w:type="dxa"/>
            <w:vMerge w:val="restart"/>
            <w:shd w:val="clear" w:color="auto" w:fill="92D050"/>
          </w:tcPr>
          <w:p>
            <w:pPr>
              <w:pStyle w:val="TableParagraph"/>
              <w:spacing w:before="141"/>
              <w:ind w:left="352" w:right="155"/>
              <w:jc w:val="left"/>
              <w:rPr>
                <w:b/>
                <w:sz w:val="18"/>
              </w:rPr>
            </w:pPr>
            <w:r>
              <w:rPr>
                <w:b/>
                <w:sz w:val="18"/>
              </w:rPr>
              <w:t>Clase</w:t>
            </w:r>
          </w:p>
        </w:tc>
        <w:tc>
          <w:tcPr>
            <w:tcW w:w="2400" w:type="dxa"/>
            <w:gridSpan w:val="2"/>
            <w:shd w:val="clear" w:color="auto" w:fill="92D050"/>
          </w:tcPr>
          <w:p>
            <w:pPr>
              <w:pStyle w:val="TableParagraph"/>
              <w:spacing w:before="26"/>
              <w:ind w:left="970" w:right="966"/>
              <w:rPr>
                <w:b/>
                <w:sz w:val="18"/>
              </w:rPr>
            </w:pPr>
            <w:r>
              <w:rPr>
                <w:b/>
                <w:sz w:val="18"/>
              </w:rPr>
              <w:t>2015</w:t>
            </w:r>
          </w:p>
        </w:tc>
      </w:tr>
      <w:tr>
        <w:trPr>
          <w:trHeight w:val="226" w:hRule="exact"/>
        </w:trPr>
        <w:tc>
          <w:tcPr>
            <w:tcW w:w="1200" w:type="dxa"/>
            <w:vMerge/>
            <w:shd w:val="clear" w:color="auto" w:fill="92D050"/>
          </w:tcPr>
          <w:p>
            <w:pPr/>
          </w:p>
        </w:tc>
        <w:tc>
          <w:tcPr>
            <w:tcW w:w="1200" w:type="dxa"/>
            <w:shd w:val="clear" w:color="auto" w:fill="92D050"/>
          </w:tcPr>
          <w:p>
            <w:pPr>
              <w:pStyle w:val="TableParagraph"/>
              <w:spacing w:line="201" w:lineRule="exact"/>
              <w:ind w:left="97" w:right="93"/>
              <w:rPr>
                <w:b/>
                <w:sz w:val="18"/>
              </w:rPr>
            </w:pPr>
            <w:r>
              <w:rPr>
                <w:b/>
                <w:sz w:val="18"/>
              </w:rPr>
              <w:t>Frecuencia</w:t>
            </w:r>
          </w:p>
        </w:tc>
        <w:tc>
          <w:tcPr>
            <w:tcW w:w="1200" w:type="dxa"/>
            <w:shd w:val="clear" w:color="auto" w:fill="92D050"/>
          </w:tcPr>
          <w:p>
            <w:pPr>
              <w:pStyle w:val="TableParagraph"/>
              <w:spacing w:line="201" w:lineRule="exact"/>
              <w:ind w:left="1"/>
              <w:rPr>
                <w:b/>
                <w:sz w:val="18"/>
              </w:rPr>
            </w:pPr>
            <w:r>
              <w:rPr>
                <w:b/>
                <w:w w:val="99"/>
                <w:sz w:val="18"/>
              </w:rPr>
              <w:t>%</w:t>
            </w:r>
          </w:p>
        </w:tc>
      </w:tr>
      <w:tr>
        <w:trPr>
          <w:trHeight w:val="271" w:hRule="exact"/>
        </w:trPr>
        <w:tc>
          <w:tcPr>
            <w:tcW w:w="1200" w:type="dxa"/>
            <w:tcBorders>
              <w:left w:val="single" w:sz="4" w:space="0" w:color="000000"/>
              <w:bottom w:val="single" w:sz="4" w:space="0" w:color="000000"/>
              <w:right w:val="single" w:sz="4" w:space="0" w:color="000000"/>
            </w:tcBorders>
          </w:tcPr>
          <w:p>
            <w:pPr>
              <w:pStyle w:val="TableParagraph"/>
              <w:spacing w:before="49"/>
              <w:ind w:left="67"/>
              <w:jc w:val="left"/>
              <w:rPr>
                <w:sz w:val="18"/>
              </w:rPr>
            </w:pPr>
            <w:r>
              <w:rPr>
                <w:sz w:val="18"/>
              </w:rPr>
              <w:t>Femenino</w:t>
            </w:r>
          </w:p>
        </w:tc>
        <w:tc>
          <w:tcPr>
            <w:tcW w:w="1200" w:type="dxa"/>
            <w:tcBorders>
              <w:left w:val="single" w:sz="4" w:space="0" w:color="000000"/>
              <w:bottom w:val="single" w:sz="4" w:space="0" w:color="000000"/>
              <w:right w:val="single" w:sz="4" w:space="0" w:color="000000"/>
            </w:tcBorders>
          </w:tcPr>
          <w:p>
            <w:pPr>
              <w:pStyle w:val="TableParagraph"/>
              <w:spacing w:before="49"/>
              <w:ind w:left="270" w:right="266"/>
              <w:rPr>
                <w:sz w:val="18"/>
              </w:rPr>
            </w:pPr>
            <w:r>
              <w:rPr>
                <w:sz w:val="18"/>
              </w:rPr>
              <w:t>19</w:t>
            </w:r>
          </w:p>
        </w:tc>
        <w:tc>
          <w:tcPr>
            <w:tcW w:w="1200" w:type="dxa"/>
            <w:tcBorders>
              <w:left w:val="single" w:sz="4" w:space="0" w:color="000000"/>
              <w:bottom w:val="single" w:sz="4" w:space="0" w:color="000000"/>
              <w:right w:val="single" w:sz="4" w:space="0" w:color="000000"/>
            </w:tcBorders>
          </w:tcPr>
          <w:p>
            <w:pPr>
              <w:pStyle w:val="TableParagraph"/>
              <w:spacing w:before="49"/>
              <w:ind w:left="270" w:right="265"/>
              <w:rPr>
                <w:sz w:val="18"/>
              </w:rPr>
            </w:pPr>
            <w:r>
              <w:rPr>
                <w:sz w:val="18"/>
              </w:rPr>
              <w:t>26.57%</w:t>
            </w:r>
          </w:p>
        </w:tc>
      </w:tr>
      <w:tr>
        <w:trPr>
          <w:trHeight w:val="264" w:hRule="exact"/>
        </w:trPr>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Masculino</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270" w:right="266"/>
              <w:rPr>
                <w:sz w:val="18"/>
              </w:rPr>
            </w:pPr>
            <w:r>
              <w:rPr>
                <w:sz w:val="18"/>
              </w:rPr>
              <w:t>27</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270" w:right="265"/>
              <w:rPr>
                <w:sz w:val="18"/>
              </w:rPr>
            </w:pPr>
            <w:r>
              <w:rPr>
                <w:sz w:val="18"/>
              </w:rPr>
              <w:t>36.97%</w:t>
            </w:r>
          </w:p>
        </w:tc>
      </w:tr>
    </w:tbl>
    <w:p>
      <w:pPr>
        <w:spacing w:before="68"/>
        <w:ind w:left="2865" w:right="26" w:firstLine="0"/>
        <w:jc w:val="left"/>
        <w:rPr>
          <w:sz w:val="16"/>
        </w:rPr>
      </w:pPr>
      <w:r>
        <w:rPr>
          <w:sz w:val="16"/>
        </w:rPr>
        <w:t>Fuente: Elaboración propia</w:t>
      </w:r>
    </w:p>
    <w:p>
      <w:pPr>
        <w:spacing w:after="0"/>
        <w:jc w:val="left"/>
        <w:rPr>
          <w:sz w:val="16"/>
        </w:rPr>
        <w:sectPr>
          <w:pgSz w:w="12240" w:h="15840"/>
          <w:pgMar w:header="0" w:footer="975" w:top="1420" w:bottom="1220" w:left="1480" w:right="1580"/>
        </w:sectPr>
      </w:pPr>
    </w:p>
    <w:p>
      <w:pPr>
        <w:pStyle w:val="BodyText"/>
        <w:spacing w:line="360" w:lineRule="auto" w:before="54"/>
        <w:ind w:left="108" w:right="117"/>
        <w:jc w:val="both"/>
      </w:pPr>
      <w:r>
        <w:rPr/>
        <w:t>En la tabla anterior se muestran los resultados obtenidos de hacer el cruce de las variables</w:t>
      </w:r>
      <w:r>
        <w:rPr>
          <w:spacing w:val="-18"/>
        </w:rPr>
        <w:t> </w:t>
      </w:r>
      <w:r>
        <w:rPr/>
        <w:t>del</w:t>
      </w:r>
      <w:r>
        <w:rPr>
          <w:spacing w:val="-19"/>
        </w:rPr>
        <w:t> </w:t>
      </w:r>
      <w:r>
        <w:rPr/>
        <w:t>cumplimiento</w:t>
      </w:r>
      <w:r>
        <w:rPr>
          <w:spacing w:val="-20"/>
        </w:rPr>
        <w:t> </w:t>
      </w:r>
      <w:r>
        <w:rPr/>
        <w:t>de</w:t>
      </w:r>
      <w:r>
        <w:rPr>
          <w:spacing w:val="-18"/>
        </w:rPr>
        <w:t> </w:t>
      </w:r>
      <w:r>
        <w:rPr/>
        <w:t>la</w:t>
      </w:r>
      <w:r>
        <w:rPr>
          <w:spacing w:val="-18"/>
        </w:rPr>
        <w:t> </w:t>
      </w:r>
      <w:r>
        <w:rPr/>
        <w:t>ley</w:t>
      </w:r>
      <w:r>
        <w:rPr>
          <w:spacing w:val="-21"/>
        </w:rPr>
        <w:t> </w:t>
      </w:r>
      <w:r>
        <w:rPr/>
        <w:t>de</w:t>
      </w:r>
      <w:r>
        <w:rPr>
          <w:spacing w:val="-18"/>
        </w:rPr>
        <w:t> </w:t>
      </w:r>
      <w:r>
        <w:rPr/>
        <w:t>transparencia</w:t>
      </w:r>
      <w:r>
        <w:rPr>
          <w:spacing w:val="-18"/>
        </w:rPr>
        <w:t> </w:t>
      </w:r>
      <w:r>
        <w:rPr/>
        <w:t>en</w:t>
      </w:r>
      <w:r>
        <w:rPr>
          <w:spacing w:val="-18"/>
        </w:rPr>
        <w:t> </w:t>
      </w:r>
      <w:r>
        <w:rPr/>
        <w:t>relación</w:t>
      </w:r>
      <w:r>
        <w:rPr>
          <w:spacing w:val="-20"/>
        </w:rPr>
        <w:t> </w:t>
      </w:r>
      <w:r>
        <w:rPr/>
        <w:t>al</w:t>
      </w:r>
      <w:r>
        <w:rPr>
          <w:spacing w:val="-19"/>
        </w:rPr>
        <w:t> </w:t>
      </w:r>
      <w:r>
        <w:rPr/>
        <w:t>género</w:t>
      </w:r>
      <w:r>
        <w:rPr>
          <w:spacing w:val="-19"/>
        </w:rPr>
        <w:t> </w:t>
      </w:r>
      <w:r>
        <w:rPr/>
        <w:t>que</w:t>
      </w:r>
      <w:r>
        <w:rPr>
          <w:spacing w:val="-18"/>
        </w:rPr>
        <w:t> </w:t>
      </w:r>
      <w:r>
        <w:rPr/>
        <w:t>tienen los responsables de la transparencia en los gobiernos municipales. Los resultados obtenidos durante el año 2015 muestran cómo los responsables de la</w:t>
      </w:r>
      <w:r>
        <w:rPr>
          <w:spacing w:val="-38"/>
        </w:rPr>
        <w:t> </w:t>
      </w:r>
      <w:r>
        <w:rPr/>
        <w:t>transparencia del género masculino cuentan con el porcentaje de cumplimiento de la ley de transparencia más alto al obtener 36.97%, seguido de las responsables del de transparencia que obtuvieron</w:t>
      </w:r>
      <w:r>
        <w:rPr>
          <w:spacing w:val="-11"/>
        </w:rPr>
        <w:t> </w:t>
      </w:r>
      <w:r>
        <w:rPr/>
        <w:t>26.57%.</w:t>
      </w:r>
    </w:p>
    <w:p>
      <w:pPr>
        <w:pStyle w:val="BodyText"/>
      </w:pPr>
    </w:p>
    <w:p>
      <w:pPr>
        <w:pStyle w:val="BodyText"/>
      </w:pPr>
    </w:p>
    <w:p>
      <w:pPr>
        <w:pStyle w:val="BodyText"/>
        <w:spacing w:line="360" w:lineRule="auto" w:before="188"/>
        <w:ind w:left="108" w:right="115"/>
        <w:jc w:val="both"/>
      </w:pPr>
      <w:r>
        <w:rPr/>
        <w:t>No obstante, esta información resulta hasta cierto punto engañosa, ya que en un sentido retroactivo del periodo de administración 2013 - 2015 se obtienen los resultados contrarios. Tal como se muestra en la siguiente tabla que muestra el promedio de cumplimiento de la ley de transparencia:</w:t>
      </w:r>
    </w:p>
    <w:p>
      <w:pPr>
        <w:pStyle w:val="BodyText"/>
        <w:rPr>
          <w:sz w:val="20"/>
        </w:rPr>
      </w:pPr>
    </w:p>
    <w:p>
      <w:pPr>
        <w:pStyle w:val="BodyText"/>
        <w:rPr>
          <w:sz w:val="20"/>
        </w:rPr>
      </w:pPr>
    </w:p>
    <w:p>
      <w:pPr>
        <w:pStyle w:val="BodyText"/>
        <w:spacing w:before="4"/>
      </w:pPr>
    </w:p>
    <w:tbl>
      <w:tblPr>
        <w:tblW w:w="0" w:type="auto"/>
        <w:jc w:val="left"/>
        <w:tblInd w:w="15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01"/>
        <w:gridCol w:w="1301"/>
        <w:gridCol w:w="1200"/>
        <w:gridCol w:w="1200"/>
        <w:gridCol w:w="1199"/>
      </w:tblGrid>
      <w:tr>
        <w:trPr>
          <w:trHeight w:val="433" w:hRule="exact"/>
        </w:trPr>
        <w:tc>
          <w:tcPr>
            <w:tcW w:w="6101" w:type="dxa"/>
            <w:gridSpan w:val="5"/>
            <w:shd w:val="clear" w:color="auto" w:fill="92D050"/>
          </w:tcPr>
          <w:p>
            <w:pPr>
              <w:pStyle w:val="TableParagraph"/>
              <w:ind w:left="1083" w:right="188" w:hanging="882"/>
              <w:jc w:val="left"/>
              <w:rPr>
                <w:b/>
                <w:sz w:val="18"/>
              </w:rPr>
            </w:pPr>
            <w:r>
              <w:rPr>
                <w:b/>
                <w:sz w:val="18"/>
              </w:rPr>
              <w:t>Tabla 3.33: Cumplimiento de la ley de transparencia vs Género del responsable de transparencia en el municipio</w:t>
            </w:r>
          </w:p>
        </w:tc>
      </w:tr>
      <w:tr>
        <w:trPr>
          <w:trHeight w:val="545" w:hRule="exact"/>
        </w:trPr>
        <w:tc>
          <w:tcPr>
            <w:tcW w:w="1201" w:type="dxa"/>
            <w:shd w:val="clear" w:color="auto" w:fill="92D050"/>
          </w:tcPr>
          <w:p>
            <w:pPr>
              <w:pStyle w:val="TableParagraph"/>
              <w:spacing w:before="155"/>
              <w:ind w:right="347"/>
              <w:jc w:val="right"/>
              <w:rPr>
                <w:b/>
                <w:sz w:val="18"/>
              </w:rPr>
            </w:pPr>
            <w:r>
              <w:rPr>
                <w:b/>
                <w:w w:val="95"/>
                <w:sz w:val="18"/>
              </w:rPr>
              <w:t>Clase</w:t>
            </w:r>
          </w:p>
        </w:tc>
        <w:tc>
          <w:tcPr>
            <w:tcW w:w="1301" w:type="dxa"/>
            <w:shd w:val="clear" w:color="auto" w:fill="92D050"/>
          </w:tcPr>
          <w:p>
            <w:pPr>
              <w:pStyle w:val="TableParagraph"/>
              <w:spacing w:before="155"/>
              <w:ind w:left="395" w:right="395"/>
              <w:rPr>
                <w:b/>
                <w:sz w:val="18"/>
              </w:rPr>
            </w:pPr>
            <w:r>
              <w:rPr>
                <w:b/>
                <w:sz w:val="18"/>
              </w:rPr>
              <w:t>2013</w:t>
            </w:r>
          </w:p>
        </w:tc>
        <w:tc>
          <w:tcPr>
            <w:tcW w:w="1200" w:type="dxa"/>
            <w:shd w:val="clear" w:color="auto" w:fill="92D050"/>
          </w:tcPr>
          <w:p>
            <w:pPr>
              <w:pStyle w:val="TableParagraph"/>
              <w:spacing w:before="155"/>
              <w:ind w:left="93" w:right="93"/>
              <w:rPr>
                <w:b/>
                <w:sz w:val="18"/>
              </w:rPr>
            </w:pPr>
            <w:r>
              <w:rPr>
                <w:b/>
                <w:sz w:val="18"/>
              </w:rPr>
              <w:t>2014</w:t>
            </w:r>
          </w:p>
        </w:tc>
        <w:tc>
          <w:tcPr>
            <w:tcW w:w="1200" w:type="dxa"/>
            <w:shd w:val="clear" w:color="auto" w:fill="92D050"/>
          </w:tcPr>
          <w:p>
            <w:pPr>
              <w:pStyle w:val="TableParagraph"/>
              <w:spacing w:before="155"/>
              <w:ind w:left="368" w:right="368"/>
              <w:rPr>
                <w:b/>
                <w:sz w:val="18"/>
              </w:rPr>
            </w:pPr>
            <w:r>
              <w:rPr>
                <w:b/>
                <w:sz w:val="18"/>
              </w:rPr>
              <w:t>2015</w:t>
            </w:r>
          </w:p>
        </w:tc>
        <w:tc>
          <w:tcPr>
            <w:tcW w:w="1199" w:type="dxa"/>
            <w:shd w:val="clear" w:color="auto" w:fill="92D050"/>
          </w:tcPr>
          <w:p>
            <w:pPr>
              <w:pStyle w:val="TableParagraph"/>
              <w:spacing w:before="52"/>
              <w:ind w:left="254" w:right="157" w:hanging="82"/>
              <w:jc w:val="left"/>
              <w:rPr>
                <w:b/>
                <w:sz w:val="18"/>
              </w:rPr>
            </w:pPr>
            <w:r>
              <w:rPr>
                <w:b/>
                <w:sz w:val="18"/>
              </w:rPr>
              <w:t>Promedio General</w:t>
            </w:r>
          </w:p>
        </w:tc>
      </w:tr>
      <w:tr>
        <w:trPr>
          <w:trHeight w:val="272" w:hRule="exact"/>
        </w:trPr>
        <w:tc>
          <w:tcPr>
            <w:tcW w:w="1201" w:type="dxa"/>
            <w:tcBorders>
              <w:left w:val="single" w:sz="4" w:space="0" w:color="000000"/>
              <w:bottom w:val="single" w:sz="4" w:space="0" w:color="000000"/>
              <w:right w:val="single" w:sz="4" w:space="0" w:color="000000"/>
            </w:tcBorders>
          </w:tcPr>
          <w:p>
            <w:pPr>
              <w:pStyle w:val="TableParagraph"/>
              <w:spacing w:before="50"/>
              <w:ind w:right="321"/>
              <w:jc w:val="right"/>
              <w:rPr>
                <w:sz w:val="18"/>
              </w:rPr>
            </w:pPr>
            <w:r>
              <w:rPr>
                <w:sz w:val="18"/>
              </w:rPr>
              <w:t>Femenino</w:t>
            </w:r>
          </w:p>
        </w:tc>
        <w:tc>
          <w:tcPr>
            <w:tcW w:w="1301" w:type="dxa"/>
            <w:tcBorders>
              <w:left w:val="single" w:sz="4" w:space="0" w:color="000000"/>
              <w:bottom w:val="single" w:sz="4" w:space="0" w:color="000000"/>
              <w:right w:val="single" w:sz="4" w:space="0" w:color="000000"/>
            </w:tcBorders>
          </w:tcPr>
          <w:p>
            <w:pPr>
              <w:pStyle w:val="TableParagraph"/>
              <w:spacing w:before="50"/>
              <w:ind w:left="319" w:right="320"/>
              <w:rPr>
                <w:sz w:val="18"/>
              </w:rPr>
            </w:pPr>
            <w:r>
              <w:rPr>
                <w:sz w:val="18"/>
              </w:rPr>
              <w:t>92.40%</w:t>
            </w:r>
          </w:p>
        </w:tc>
        <w:tc>
          <w:tcPr>
            <w:tcW w:w="1200" w:type="dxa"/>
            <w:tcBorders>
              <w:left w:val="single" w:sz="4" w:space="0" w:color="000000"/>
              <w:bottom w:val="single" w:sz="4" w:space="0" w:color="000000"/>
              <w:right w:val="single" w:sz="4" w:space="0" w:color="000000"/>
            </w:tcBorders>
          </w:tcPr>
          <w:p>
            <w:pPr>
              <w:pStyle w:val="TableParagraph"/>
              <w:spacing w:before="50"/>
              <w:ind w:left="267" w:right="267"/>
              <w:rPr>
                <w:sz w:val="18"/>
              </w:rPr>
            </w:pPr>
            <w:r>
              <w:rPr>
                <w:sz w:val="18"/>
              </w:rPr>
              <w:t>86.20%</w:t>
            </w:r>
          </w:p>
        </w:tc>
        <w:tc>
          <w:tcPr>
            <w:tcW w:w="1200" w:type="dxa"/>
            <w:tcBorders>
              <w:left w:val="single" w:sz="4" w:space="0" w:color="000000"/>
              <w:bottom w:val="single" w:sz="4" w:space="0" w:color="000000"/>
              <w:right w:val="single" w:sz="4" w:space="0" w:color="000000"/>
            </w:tcBorders>
          </w:tcPr>
          <w:p>
            <w:pPr>
              <w:pStyle w:val="TableParagraph"/>
              <w:spacing w:before="50"/>
              <w:ind w:left="268" w:right="267"/>
              <w:rPr>
                <w:sz w:val="18"/>
              </w:rPr>
            </w:pPr>
            <w:r>
              <w:rPr>
                <w:sz w:val="18"/>
              </w:rPr>
              <w:t>26.57%</w:t>
            </w:r>
          </w:p>
        </w:tc>
        <w:tc>
          <w:tcPr>
            <w:tcW w:w="1199" w:type="dxa"/>
            <w:tcBorders>
              <w:left w:val="single" w:sz="4" w:space="0" w:color="000000"/>
              <w:bottom w:val="single" w:sz="4" w:space="0" w:color="000000"/>
              <w:right w:val="single" w:sz="4" w:space="0" w:color="000000"/>
            </w:tcBorders>
          </w:tcPr>
          <w:p>
            <w:pPr>
              <w:pStyle w:val="TableParagraph"/>
              <w:spacing w:before="50"/>
              <w:ind w:left="270" w:right="268"/>
              <w:rPr>
                <w:sz w:val="18"/>
              </w:rPr>
            </w:pPr>
            <w:r>
              <w:rPr>
                <w:sz w:val="18"/>
              </w:rPr>
              <w:t>68.39%</w:t>
            </w:r>
          </w:p>
        </w:tc>
      </w:tr>
      <w:tr>
        <w:trPr>
          <w:trHeight w:val="264" w:hRule="exact"/>
        </w:trPr>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right="312"/>
              <w:jc w:val="right"/>
              <w:rPr>
                <w:sz w:val="18"/>
              </w:rPr>
            </w:pPr>
            <w:r>
              <w:rPr>
                <w:sz w:val="18"/>
              </w:rPr>
              <w:t>Masculino</w:t>
            </w:r>
          </w:p>
        </w:tc>
        <w:tc>
          <w:tcPr>
            <w:tcW w:w="1301" w:type="dxa"/>
            <w:tcBorders>
              <w:top w:val="single" w:sz="4" w:space="0" w:color="000000"/>
              <w:left w:val="single" w:sz="4" w:space="0" w:color="000000"/>
              <w:bottom w:val="single" w:sz="4" w:space="0" w:color="000000"/>
              <w:right w:val="single" w:sz="4" w:space="0" w:color="000000"/>
            </w:tcBorders>
          </w:tcPr>
          <w:p>
            <w:pPr>
              <w:pStyle w:val="TableParagraph"/>
              <w:spacing w:before="47"/>
              <w:ind w:left="319" w:right="320"/>
              <w:rPr>
                <w:sz w:val="18"/>
              </w:rPr>
            </w:pPr>
            <w:r>
              <w:rPr>
                <w:sz w:val="18"/>
              </w:rPr>
              <w:t>78.52%</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268" w:right="267"/>
              <w:rPr>
                <w:sz w:val="18"/>
              </w:rPr>
            </w:pPr>
            <w:r>
              <w:rPr>
                <w:sz w:val="18"/>
              </w:rPr>
              <w:t>59.62%</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268" w:right="267"/>
              <w:rPr>
                <w:sz w:val="18"/>
              </w:rPr>
            </w:pPr>
            <w:r>
              <w:rPr>
                <w:sz w:val="18"/>
              </w:rPr>
              <w:t>36.97%</w:t>
            </w:r>
          </w:p>
        </w:tc>
        <w:tc>
          <w:tcPr>
            <w:tcW w:w="1199" w:type="dxa"/>
            <w:tcBorders>
              <w:top w:val="single" w:sz="4" w:space="0" w:color="000000"/>
              <w:left w:val="single" w:sz="4" w:space="0" w:color="000000"/>
              <w:bottom w:val="single" w:sz="4" w:space="0" w:color="000000"/>
              <w:right w:val="single" w:sz="4" w:space="0" w:color="000000"/>
            </w:tcBorders>
          </w:tcPr>
          <w:p>
            <w:pPr>
              <w:pStyle w:val="TableParagraph"/>
              <w:spacing w:before="47"/>
              <w:ind w:left="270" w:right="268"/>
              <w:rPr>
                <w:sz w:val="18"/>
              </w:rPr>
            </w:pPr>
            <w:r>
              <w:rPr>
                <w:sz w:val="18"/>
              </w:rPr>
              <w:t>58.37%</w:t>
            </w:r>
          </w:p>
        </w:tc>
      </w:tr>
    </w:tbl>
    <w:p>
      <w:pPr>
        <w:spacing w:before="68"/>
        <w:ind w:left="1593" w:right="6" w:firstLine="0"/>
        <w:jc w:val="left"/>
        <w:rPr>
          <w:sz w:val="16"/>
        </w:rPr>
      </w:pPr>
      <w:r>
        <w:rPr>
          <w:sz w:val="16"/>
        </w:rPr>
        <w:t>Fuente: Elaboración propia</w:t>
      </w:r>
    </w:p>
    <w:p>
      <w:pPr>
        <w:pStyle w:val="BodyText"/>
        <w:rPr>
          <w:sz w:val="20"/>
        </w:rPr>
      </w:pPr>
    </w:p>
    <w:p>
      <w:pPr>
        <w:pStyle w:val="BodyText"/>
      </w:pPr>
    </w:p>
    <w:p>
      <w:pPr>
        <w:pStyle w:val="BodyText"/>
        <w:spacing w:line="360" w:lineRule="auto" w:before="70"/>
        <w:ind w:left="108" w:right="118"/>
        <w:jc w:val="both"/>
      </w:pPr>
      <w:r>
        <w:rPr/>
        <w:t>La</w:t>
      </w:r>
      <w:r>
        <w:rPr>
          <w:spacing w:val="-6"/>
        </w:rPr>
        <w:t> </w:t>
      </w:r>
      <w:r>
        <w:rPr/>
        <w:t>tabla</w:t>
      </w:r>
      <w:r>
        <w:rPr>
          <w:spacing w:val="-6"/>
        </w:rPr>
        <w:t> </w:t>
      </w:r>
      <w:r>
        <w:rPr/>
        <w:t>anterior</w:t>
      </w:r>
      <w:r>
        <w:rPr>
          <w:spacing w:val="-7"/>
        </w:rPr>
        <w:t> </w:t>
      </w:r>
      <w:r>
        <w:rPr/>
        <w:t>muestra</w:t>
      </w:r>
      <w:r>
        <w:rPr>
          <w:spacing w:val="-4"/>
        </w:rPr>
        <w:t> </w:t>
      </w:r>
      <w:r>
        <w:rPr/>
        <w:t>cómo</w:t>
      </w:r>
      <w:r>
        <w:rPr>
          <w:spacing w:val="-6"/>
        </w:rPr>
        <w:t> </w:t>
      </w:r>
      <w:r>
        <w:rPr/>
        <w:t>durante</w:t>
      </w:r>
      <w:r>
        <w:rPr>
          <w:spacing w:val="-5"/>
        </w:rPr>
        <w:t> </w:t>
      </w:r>
      <w:r>
        <w:rPr/>
        <w:t>el</w:t>
      </w:r>
      <w:r>
        <w:rPr>
          <w:spacing w:val="-7"/>
        </w:rPr>
        <w:t> </w:t>
      </w:r>
      <w:r>
        <w:rPr/>
        <w:t>periodo</w:t>
      </w:r>
      <w:r>
        <w:rPr>
          <w:spacing w:val="-6"/>
        </w:rPr>
        <w:t> </w:t>
      </w:r>
      <w:r>
        <w:rPr/>
        <w:t>2013-2015</w:t>
      </w:r>
      <w:r>
        <w:rPr>
          <w:spacing w:val="-6"/>
        </w:rPr>
        <w:t> </w:t>
      </w:r>
      <w:r>
        <w:rPr/>
        <w:t>los</w:t>
      </w:r>
      <w:r>
        <w:rPr>
          <w:spacing w:val="-6"/>
        </w:rPr>
        <w:t> </w:t>
      </w:r>
      <w:r>
        <w:rPr/>
        <w:t>representantes</w:t>
      </w:r>
      <w:r>
        <w:rPr>
          <w:spacing w:val="-7"/>
        </w:rPr>
        <w:t> </w:t>
      </w:r>
      <w:r>
        <w:rPr/>
        <w:t>del género femenino obtuvieron un 68.39% de cumplimiento de la ley de transparencia y los representantes del género masculino un 58.37%. Con esta información se puede afirmar que en dicho periodo las mujeres fueron más transparentes que los hombres.</w:t>
      </w:r>
    </w:p>
    <w:p>
      <w:pPr>
        <w:spacing w:after="0" w:line="360" w:lineRule="auto"/>
        <w:jc w:val="both"/>
        <w:sectPr>
          <w:pgSz w:w="12240" w:h="15840"/>
          <w:pgMar w:header="0" w:footer="975" w:top="1360" w:bottom="1220" w:left="1500" w:right="1580"/>
        </w:sectPr>
      </w:pPr>
    </w:p>
    <w:p>
      <w:pPr>
        <w:pStyle w:val="Heading1"/>
        <w:numPr>
          <w:ilvl w:val="2"/>
          <w:numId w:val="53"/>
        </w:numPr>
        <w:tabs>
          <w:tab w:pos="837" w:val="left" w:leader="none"/>
        </w:tabs>
        <w:spacing w:line="240" w:lineRule="auto" w:before="54" w:after="0"/>
        <w:ind w:left="836" w:right="0" w:hanging="720"/>
        <w:jc w:val="left"/>
      </w:pPr>
      <w:r>
        <w:rPr/>
        <w:t>Grado escolar del responsable vs porcentaje de transparencia</w:t>
      </w:r>
      <w:r>
        <w:rPr>
          <w:spacing w:val="-23"/>
        </w:rPr>
        <w:t> </w:t>
      </w:r>
      <w:r>
        <w:rPr/>
        <w:t>2015</w:t>
      </w:r>
    </w:p>
    <w:p>
      <w:pPr>
        <w:pStyle w:val="BodyText"/>
        <w:rPr>
          <w:b/>
          <w:sz w:val="20"/>
        </w:rPr>
      </w:pPr>
    </w:p>
    <w:p>
      <w:pPr>
        <w:pStyle w:val="BodyText"/>
        <w:rPr>
          <w:b/>
          <w:sz w:val="20"/>
        </w:rPr>
      </w:pPr>
    </w:p>
    <w:p>
      <w:pPr>
        <w:pStyle w:val="BodyText"/>
        <w:spacing w:before="5"/>
        <w:rPr>
          <w:b/>
          <w:sz w:val="11"/>
        </w:rPr>
      </w:pPr>
    </w:p>
    <w:tbl>
      <w:tblPr>
        <w:tblW w:w="0" w:type="auto"/>
        <w:jc w:val="left"/>
        <w:tblInd w:w="26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110"/>
        <w:gridCol w:w="1092"/>
        <w:gridCol w:w="751"/>
      </w:tblGrid>
      <w:tr>
        <w:trPr>
          <w:trHeight w:val="289" w:hRule="exact"/>
        </w:trPr>
        <w:tc>
          <w:tcPr>
            <w:tcW w:w="3953" w:type="dxa"/>
            <w:gridSpan w:val="3"/>
            <w:shd w:val="clear" w:color="auto" w:fill="92D050"/>
          </w:tcPr>
          <w:p>
            <w:pPr>
              <w:pStyle w:val="TableParagraph"/>
              <w:spacing w:before="26"/>
              <w:ind w:left="158"/>
              <w:jc w:val="left"/>
              <w:rPr>
                <w:b/>
                <w:sz w:val="18"/>
              </w:rPr>
            </w:pPr>
            <w:r>
              <w:rPr>
                <w:b/>
                <w:sz w:val="18"/>
              </w:rPr>
              <w:t>Tabla 3.34: Grado escolar del responsable</w:t>
            </w:r>
          </w:p>
        </w:tc>
      </w:tr>
      <w:tr>
        <w:trPr>
          <w:trHeight w:val="290" w:hRule="exact"/>
        </w:trPr>
        <w:tc>
          <w:tcPr>
            <w:tcW w:w="2110" w:type="dxa"/>
            <w:vMerge w:val="restart"/>
            <w:shd w:val="clear" w:color="auto" w:fill="92D050"/>
          </w:tcPr>
          <w:p>
            <w:pPr>
              <w:pStyle w:val="TableParagraph"/>
              <w:spacing w:before="10"/>
              <w:jc w:val="left"/>
              <w:rPr>
                <w:b/>
                <w:sz w:val="14"/>
              </w:rPr>
            </w:pPr>
          </w:p>
          <w:p>
            <w:pPr>
              <w:pStyle w:val="TableParagraph"/>
              <w:spacing w:before="1"/>
              <w:ind w:left="784" w:right="785"/>
              <w:rPr>
                <w:b/>
                <w:sz w:val="18"/>
              </w:rPr>
            </w:pPr>
            <w:r>
              <w:rPr>
                <w:b/>
                <w:sz w:val="18"/>
              </w:rPr>
              <w:t>Clase</w:t>
            </w:r>
          </w:p>
        </w:tc>
        <w:tc>
          <w:tcPr>
            <w:tcW w:w="1844" w:type="dxa"/>
            <w:gridSpan w:val="2"/>
            <w:shd w:val="clear" w:color="auto" w:fill="92D050"/>
          </w:tcPr>
          <w:p>
            <w:pPr>
              <w:pStyle w:val="TableParagraph"/>
              <w:spacing w:before="28"/>
              <w:ind w:left="694" w:right="689"/>
              <w:rPr>
                <w:b/>
                <w:sz w:val="18"/>
              </w:rPr>
            </w:pPr>
            <w:r>
              <w:rPr>
                <w:b/>
                <w:sz w:val="18"/>
              </w:rPr>
              <w:t>2015</w:t>
            </w:r>
          </w:p>
        </w:tc>
      </w:tr>
      <w:tr>
        <w:trPr>
          <w:trHeight w:val="290" w:hRule="exact"/>
        </w:trPr>
        <w:tc>
          <w:tcPr>
            <w:tcW w:w="2110" w:type="dxa"/>
            <w:vMerge/>
            <w:shd w:val="clear" w:color="auto" w:fill="92D050"/>
          </w:tcPr>
          <w:p>
            <w:pPr/>
          </w:p>
        </w:tc>
        <w:tc>
          <w:tcPr>
            <w:tcW w:w="1092" w:type="dxa"/>
            <w:shd w:val="clear" w:color="auto" w:fill="92D050"/>
          </w:tcPr>
          <w:p>
            <w:pPr>
              <w:pStyle w:val="TableParagraph"/>
              <w:spacing w:before="25"/>
              <w:ind w:left="43" w:right="39"/>
              <w:rPr>
                <w:b/>
                <w:sz w:val="18"/>
              </w:rPr>
            </w:pPr>
            <w:r>
              <w:rPr>
                <w:b/>
                <w:sz w:val="18"/>
              </w:rPr>
              <w:t>Frecuencia</w:t>
            </w:r>
          </w:p>
        </w:tc>
        <w:tc>
          <w:tcPr>
            <w:tcW w:w="751" w:type="dxa"/>
            <w:shd w:val="clear" w:color="auto" w:fill="92D050"/>
          </w:tcPr>
          <w:p>
            <w:pPr>
              <w:pStyle w:val="TableParagraph"/>
              <w:spacing w:before="25"/>
              <w:rPr>
                <w:b/>
                <w:sz w:val="18"/>
              </w:rPr>
            </w:pPr>
            <w:r>
              <w:rPr>
                <w:b/>
                <w:w w:val="99"/>
                <w:sz w:val="18"/>
              </w:rPr>
              <w:t>%</w:t>
            </w:r>
          </w:p>
        </w:tc>
      </w:tr>
      <w:tr>
        <w:trPr>
          <w:trHeight w:val="250" w:hRule="exact"/>
        </w:trPr>
        <w:tc>
          <w:tcPr>
            <w:tcW w:w="2110" w:type="dxa"/>
            <w:tcBorders>
              <w:left w:val="single" w:sz="4" w:space="0" w:color="000000"/>
              <w:bottom w:val="single" w:sz="4" w:space="0" w:color="000000"/>
              <w:right w:val="single" w:sz="4" w:space="0" w:color="000000"/>
            </w:tcBorders>
          </w:tcPr>
          <w:p>
            <w:pPr>
              <w:pStyle w:val="TableParagraph"/>
              <w:spacing w:before="28"/>
              <w:ind w:left="64"/>
              <w:jc w:val="left"/>
              <w:rPr>
                <w:sz w:val="18"/>
              </w:rPr>
            </w:pPr>
            <w:r>
              <w:rPr>
                <w:sz w:val="18"/>
              </w:rPr>
              <w:t>Preparatoria</w:t>
            </w:r>
          </w:p>
        </w:tc>
        <w:tc>
          <w:tcPr>
            <w:tcW w:w="1092" w:type="dxa"/>
            <w:tcBorders>
              <w:left w:val="single" w:sz="4" w:space="0" w:color="000000"/>
              <w:bottom w:val="single" w:sz="4" w:space="0" w:color="000000"/>
              <w:right w:val="single" w:sz="4" w:space="0" w:color="000000"/>
            </w:tcBorders>
          </w:tcPr>
          <w:p>
            <w:pPr>
              <w:pStyle w:val="TableParagraph"/>
              <w:spacing w:before="28"/>
              <w:ind w:left="2"/>
              <w:rPr>
                <w:sz w:val="18"/>
              </w:rPr>
            </w:pPr>
            <w:r>
              <w:rPr>
                <w:w w:val="99"/>
                <w:sz w:val="18"/>
              </w:rPr>
              <w:t>2</w:t>
            </w:r>
          </w:p>
        </w:tc>
        <w:tc>
          <w:tcPr>
            <w:tcW w:w="751" w:type="dxa"/>
            <w:tcBorders>
              <w:left w:val="single" w:sz="4" w:space="0" w:color="000000"/>
              <w:bottom w:val="single" w:sz="4" w:space="0" w:color="000000"/>
              <w:right w:val="single" w:sz="4" w:space="0" w:color="000000"/>
            </w:tcBorders>
          </w:tcPr>
          <w:p>
            <w:pPr>
              <w:pStyle w:val="TableParagraph"/>
              <w:spacing w:before="28"/>
              <w:ind w:right="61"/>
              <w:jc w:val="right"/>
              <w:rPr>
                <w:sz w:val="18"/>
              </w:rPr>
            </w:pPr>
            <w:r>
              <w:rPr>
                <w:w w:val="95"/>
                <w:sz w:val="18"/>
              </w:rPr>
              <w:t>2.95%</w:t>
            </w:r>
          </w:p>
        </w:tc>
      </w:tr>
      <w:tr>
        <w:trPr>
          <w:trHeight w:val="266" w:hRule="exact"/>
        </w:trPr>
        <w:tc>
          <w:tcPr>
            <w:tcW w:w="2110" w:type="dxa"/>
            <w:tcBorders>
              <w:top w:val="single" w:sz="4" w:space="0" w:color="000000"/>
              <w:left w:val="single" w:sz="4" w:space="0" w:color="000000"/>
              <w:bottom w:val="single" w:sz="4" w:space="0" w:color="000000"/>
              <w:right w:val="single" w:sz="4" w:space="0" w:color="000000"/>
            </w:tcBorders>
          </w:tcPr>
          <w:p>
            <w:pPr>
              <w:pStyle w:val="TableParagraph"/>
              <w:spacing w:before="49"/>
              <w:ind w:left="64"/>
              <w:jc w:val="left"/>
              <w:rPr>
                <w:sz w:val="18"/>
              </w:rPr>
            </w:pPr>
            <w:r>
              <w:rPr>
                <w:sz w:val="18"/>
              </w:rPr>
              <w:t>Licenciatura Trunca</w:t>
            </w:r>
          </w:p>
        </w:tc>
        <w:tc>
          <w:tcPr>
            <w:tcW w:w="1092" w:type="dxa"/>
            <w:tcBorders>
              <w:top w:val="single" w:sz="4" w:space="0" w:color="000000"/>
              <w:left w:val="single" w:sz="4" w:space="0" w:color="000000"/>
              <w:bottom w:val="single" w:sz="4" w:space="0" w:color="000000"/>
              <w:right w:val="single" w:sz="4" w:space="0" w:color="000000"/>
            </w:tcBorders>
          </w:tcPr>
          <w:p>
            <w:pPr>
              <w:pStyle w:val="TableParagraph"/>
              <w:spacing w:before="49"/>
              <w:ind w:left="2"/>
              <w:rPr>
                <w:sz w:val="18"/>
              </w:rPr>
            </w:pPr>
            <w:r>
              <w:rPr>
                <w:w w:val="99"/>
                <w:sz w:val="18"/>
              </w:rPr>
              <w:t>3</w:t>
            </w:r>
          </w:p>
        </w:tc>
        <w:tc>
          <w:tcPr>
            <w:tcW w:w="751" w:type="dxa"/>
            <w:tcBorders>
              <w:top w:val="single" w:sz="4" w:space="0" w:color="000000"/>
              <w:left w:val="single" w:sz="4" w:space="0" w:color="000000"/>
              <w:bottom w:val="single" w:sz="4" w:space="0" w:color="000000"/>
              <w:right w:val="single" w:sz="4" w:space="0" w:color="000000"/>
            </w:tcBorders>
          </w:tcPr>
          <w:p>
            <w:pPr>
              <w:pStyle w:val="TableParagraph"/>
              <w:spacing w:before="49"/>
              <w:ind w:right="61"/>
              <w:jc w:val="right"/>
              <w:rPr>
                <w:sz w:val="18"/>
              </w:rPr>
            </w:pPr>
            <w:r>
              <w:rPr>
                <w:sz w:val="18"/>
              </w:rPr>
              <w:t>55.36%</w:t>
            </w:r>
          </w:p>
        </w:tc>
      </w:tr>
      <w:tr>
        <w:trPr>
          <w:trHeight w:val="264" w:hRule="exact"/>
        </w:trPr>
        <w:tc>
          <w:tcPr>
            <w:tcW w:w="2110"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Pasante de licenciatura</w:t>
            </w:r>
          </w:p>
        </w:tc>
        <w:tc>
          <w:tcPr>
            <w:tcW w:w="1092" w:type="dxa"/>
            <w:tcBorders>
              <w:top w:val="single" w:sz="4" w:space="0" w:color="000000"/>
              <w:left w:val="single" w:sz="4" w:space="0" w:color="000000"/>
              <w:bottom w:val="single" w:sz="4" w:space="0" w:color="000000"/>
              <w:right w:val="single" w:sz="4" w:space="0" w:color="000000"/>
            </w:tcBorders>
          </w:tcPr>
          <w:p>
            <w:pPr>
              <w:pStyle w:val="TableParagraph"/>
              <w:spacing w:before="47"/>
              <w:ind w:left="2"/>
              <w:rPr>
                <w:sz w:val="18"/>
              </w:rPr>
            </w:pPr>
            <w:r>
              <w:rPr>
                <w:w w:val="99"/>
                <w:sz w:val="18"/>
              </w:rPr>
              <w:t>5</w:t>
            </w:r>
          </w:p>
        </w:tc>
        <w:tc>
          <w:tcPr>
            <w:tcW w:w="751"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w w:val="95"/>
                <w:sz w:val="18"/>
              </w:rPr>
              <w:t>7.17%</w:t>
            </w:r>
          </w:p>
        </w:tc>
      </w:tr>
      <w:tr>
        <w:trPr>
          <w:trHeight w:val="266" w:hRule="exact"/>
        </w:trPr>
        <w:tc>
          <w:tcPr>
            <w:tcW w:w="2110"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Licenciatura</w:t>
            </w:r>
          </w:p>
        </w:tc>
        <w:tc>
          <w:tcPr>
            <w:tcW w:w="1092" w:type="dxa"/>
            <w:tcBorders>
              <w:top w:val="single" w:sz="4" w:space="0" w:color="000000"/>
              <w:left w:val="single" w:sz="4" w:space="0" w:color="000000"/>
              <w:bottom w:val="single" w:sz="4" w:space="0" w:color="000000"/>
              <w:right w:val="single" w:sz="4" w:space="0" w:color="000000"/>
            </w:tcBorders>
          </w:tcPr>
          <w:p>
            <w:pPr>
              <w:pStyle w:val="TableParagraph"/>
              <w:spacing w:before="47"/>
              <w:ind w:left="422" w:right="420"/>
              <w:rPr>
                <w:sz w:val="18"/>
              </w:rPr>
            </w:pPr>
            <w:r>
              <w:rPr>
                <w:sz w:val="18"/>
              </w:rPr>
              <w:t>26</w:t>
            </w:r>
          </w:p>
        </w:tc>
        <w:tc>
          <w:tcPr>
            <w:tcW w:w="751"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37.50%</w:t>
            </w:r>
          </w:p>
        </w:tc>
      </w:tr>
      <w:tr>
        <w:trPr>
          <w:trHeight w:val="264" w:hRule="exact"/>
        </w:trPr>
        <w:tc>
          <w:tcPr>
            <w:tcW w:w="2110"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Maestría</w:t>
            </w:r>
          </w:p>
        </w:tc>
        <w:tc>
          <w:tcPr>
            <w:tcW w:w="1092" w:type="dxa"/>
            <w:tcBorders>
              <w:top w:val="single" w:sz="4" w:space="0" w:color="000000"/>
              <w:left w:val="single" w:sz="4" w:space="0" w:color="000000"/>
              <w:bottom w:val="single" w:sz="4" w:space="0" w:color="000000"/>
              <w:right w:val="single" w:sz="4" w:space="0" w:color="000000"/>
            </w:tcBorders>
          </w:tcPr>
          <w:p>
            <w:pPr>
              <w:pStyle w:val="TableParagraph"/>
              <w:spacing w:before="47"/>
              <w:ind w:left="2"/>
              <w:rPr>
                <w:sz w:val="18"/>
              </w:rPr>
            </w:pPr>
            <w:r>
              <w:rPr>
                <w:w w:val="99"/>
                <w:sz w:val="18"/>
              </w:rPr>
              <w:t>3</w:t>
            </w:r>
          </w:p>
        </w:tc>
        <w:tc>
          <w:tcPr>
            <w:tcW w:w="751"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35.25%</w:t>
            </w:r>
          </w:p>
        </w:tc>
      </w:tr>
      <w:tr>
        <w:trPr>
          <w:trHeight w:val="266" w:hRule="exact"/>
        </w:trPr>
        <w:tc>
          <w:tcPr>
            <w:tcW w:w="2110"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Otros</w:t>
            </w:r>
          </w:p>
        </w:tc>
        <w:tc>
          <w:tcPr>
            <w:tcW w:w="1092" w:type="dxa"/>
            <w:tcBorders>
              <w:top w:val="single" w:sz="4" w:space="0" w:color="000000"/>
              <w:left w:val="single" w:sz="4" w:space="0" w:color="000000"/>
              <w:bottom w:val="single" w:sz="4" w:space="0" w:color="000000"/>
              <w:right w:val="single" w:sz="4" w:space="0" w:color="000000"/>
            </w:tcBorders>
          </w:tcPr>
          <w:p>
            <w:pPr>
              <w:pStyle w:val="TableParagraph"/>
              <w:spacing w:before="47"/>
              <w:ind w:left="2"/>
              <w:rPr>
                <w:sz w:val="18"/>
              </w:rPr>
            </w:pPr>
            <w:r>
              <w:rPr>
                <w:w w:val="99"/>
                <w:sz w:val="18"/>
              </w:rPr>
              <w:t>7</w:t>
            </w:r>
          </w:p>
        </w:tc>
        <w:tc>
          <w:tcPr>
            <w:tcW w:w="751"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30.65%</w:t>
            </w:r>
          </w:p>
        </w:tc>
      </w:tr>
    </w:tbl>
    <w:p>
      <w:pPr>
        <w:spacing w:before="66"/>
        <w:ind w:left="2687" w:right="26" w:firstLine="0"/>
        <w:jc w:val="left"/>
        <w:rPr>
          <w:sz w:val="16"/>
        </w:rPr>
      </w:pPr>
      <w:r>
        <w:rPr>
          <w:sz w:val="16"/>
        </w:rPr>
        <w:t>Fuente: Elaboración propia</w:t>
      </w:r>
    </w:p>
    <w:p>
      <w:pPr>
        <w:pStyle w:val="BodyText"/>
        <w:rPr>
          <w:sz w:val="20"/>
        </w:rPr>
      </w:pPr>
    </w:p>
    <w:p>
      <w:pPr>
        <w:pStyle w:val="BodyText"/>
        <w:spacing w:before="1"/>
      </w:pPr>
    </w:p>
    <w:p>
      <w:pPr>
        <w:pStyle w:val="BodyText"/>
        <w:spacing w:line="360" w:lineRule="auto" w:before="70"/>
        <w:ind w:left="128" w:right="116"/>
        <w:jc w:val="both"/>
      </w:pPr>
      <w:r>
        <w:rPr/>
        <w:t>Los resultados obtenidos en esta tabla muestran cómo los responsables de la transparencia que tienen la licenciatura trunca obtuvieron el primer lugar con el porcentaje más alto de cumplimiento de la ley de transparencia al obtener 55.36%, en</w:t>
      </w:r>
      <w:r>
        <w:rPr>
          <w:spacing w:val="-7"/>
        </w:rPr>
        <w:t> </w:t>
      </w:r>
      <w:r>
        <w:rPr/>
        <w:t>segundo</w:t>
      </w:r>
      <w:r>
        <w:rPr>
          <w:spacing w:val="-7"/>
        </w:rPr>
        <w:t> </w:t>
      </w:r>
      <w:r>
        <w:rPr/>
        <w:t>lugar</w:t>
      </w:r>
      <w:r>
        <w:rPr>
          <w:spacing w:val="-7"/>
        </w:rPr>
        <w:t> </w:t>
      </w:r>
      <w:r>
        <w:rPr/>
        <w:t>se</w:t>
      </w:r>
      <w:r>
        <w:rPr>
          <w:spacing w:val="-7"/>
        </w:rPr>
        <w:t> </w:t>
      </w:r>
      <w:r>
        <w:rPr/>
        <w:t>encuentran</w:t>
      </w:r>
      <w:r>
        <w:rPr>
          <w:spacing w:val="-7"/>
        </w:rPr>
        <w:t> </w:t>
      </w:r>
      <w:r>
        <w:rPr/>
        <w:t>los</w:t>
      </w:r>
      <w:r>
        <w:rPr>
          <w:spacing w:val="-5"/>
        </w:rPr>
        <w:t> </w:t>
      </w:r>
      <w:r>
        <w:rPr/>
        <w:t>que</w:t>
      </w:r>
      <w:r>
        <w:rPr>
          <w:spacing w:val="-7"/>
        </w:rPr>
        <w:t> </w:t>
      </w:r>
      <w:r>
        <w:rPr/>
        <w:t>cuentan</w:t>
      </w:r>
      <w:r>
        <w:rPr>
          <w:spacing w:val="-6"/>
        </w:rPr>
        <w:t> </w:t>
      </w:r>
      <w:r>
        <w:rPr/>
        <w:t>con</w:t>
      </w:r>
      <w:r>
        <w:rPr>
          <w:spacing w:val="-7"/>
        </w:rPr>
        <w:t> </w:t>
      </w:r>
      <w:r>
        <w:rPr/>
        <w:t>licenciatura,</w:t>
      </w:r>
      <w:r>
        <w:rPr>
          <w:spacing w:val="-7"/>
        </w:rPr>
        <w:t> </w:t>
      </w:r>
      <w:r>
        <w:rPr/>
        <w:t>ya</w:t>
      </w:r>
      <w:r>
        <w:rPr>
          <w:spacing w:val="-7"/>
        </w:rPr>
        <w:t> </w:t>
      </w:r>
      <w:r>
        <w:rPr/>
        <w:t>que</w:t>
      </w:r>
      <w:r>
        <w:rPr>
          <w:spacing w:val="-6"/>
        </w:rPr>
        <w:t> </w:t>
      </w:r>
      <w:r>
        <w:rPr/>
        <w:t>obtuvieron 37.50%;</w:t>
      </w:r>
      <w:r>
        <w:rPr>
          <w:spacing w:val="-11"/>
        </w:rPr>
        <w:t> </w:t>
      </w:r>
      <w:r>
        <w:rPr/>
        <w:t>seguidos</w:t>
      </w:r>
      <w:r>
        <w:rPr>
          <w:spacing w:val="-12"/>
        </w:rPr>
        <w:t> </w:t>
      </w:r>
      <w:r>
        <w:rPr/>
        <w:t>de</w:t>
      </w:r>
      <w:r>
        <w:rPr>
          <w:spacing w:val="-10"/>
        </w:rPr>
        <w:t> </w:t>
      </w:r>
      <w:r>
        <w:rPr/>
        <w:t>los</w:t>
      </w:r>
      <w:r>
        <w:rPr>
          <w:spacing w:val="-12"/>
        </w:rPr>
        <w:t> </w:t>
      </w:r>
      <w:r>
        <w:rPr/>
        <w:t>que</w:t>
      </w:r>
      <w:r>
        <w:rPr>
          <w:spacing w:val="-11"/>
        </w:rPr>
        <w:t> </w:t>
      </w:r>
      <w:r>
        <w:rPr/>
        <w:t>tienen</w:t>
      </w:r>
      <w:r>
        <w:rPr>
          <w:spacing w:val="-11"/>
        </w:rPr>
        <w:t> </w:t>
      </w:r>
      <w:r>
        <w:rPr/>
        <w:t>el</w:t>
      </w:r>
      <w:r>
        <w:rPr>
          <w:spacing w:val="-12"/>
        </w:rPr>
        <w:t> </w:t>
      </w:r>
      <w:r>
        <w:rPr/>
        <w:t>grado</w:t>
      </w:r>
      <w:r>
        <w:rPr>
          <w:spacing w:val="-13"/>
        </w:rPr>
        <w:t> </w:t>
      </w:r>
      <w:r>
        <w:rPr/>
        <w:t>académico</w:t>
      </w:r>
      <w:r>
        <w:rPr>
          <w:spacing w:val="-13"/>
        </w:rPr>
        <w:t> </w:t>
      </w:r>
      <w:r>
        <w:rPr/>
        <w:t>en</w:t>
      </w:r>
      <w:r>
        <w:rPr>
          <w:spacing w:val="-13"/>
        </w:rPr>
        <w:t> </w:t>
      </w:r>
      <w:r>
        <w:rPr/>
        <w:t>maestría</w:t>
      </w:r>
      <w:r>
        <w:rPr>
          <w:spacing w:val="-5"/>
        </w:rPr>
        <w:t> </w:t>
      </w:r>
      <w:r>
        <w:rPr/>
        <w:t>que</w:t>
      </w:r>
      <w:r>
        <w:rPr>
          <w:spacing w:val="-11"/>
        </w:rPr>
        <w:t> </w:t>
      </w:r>
      <w:r>
        <w:rPr/>
        <w:t>lograron</w:t>
      </w:r>
      <w:r>
        <w:rPr>
          <w:spacing w:val="-9"/>
        </w:rPr>
        <w:t> </w:t>
      </w:r>
      <w:r>
        <w:rPr/>
        <w:t>un 35.25%, en cuarto lugar se encuentran los que no especifican su grado académico (otros) al obtener un 30.65%, en quinto lugar aparecen los que son pasantes de licenciatura que obtuvieron un 7.17% y el sexto y último lugar lo obtuvieron los que solo cuentan con la preparatoria al obtener un</w:t>
      </w:r>
      <w:r>
        <w:rPr>
          <w:spacing w:val="-24"/>
        </w:rPr>
        <w:t> </w:t>
      </w:r>
      <w:r>
        <w:rPr/>
        <w:t>2.95%.</w:t>
      </w:r>
    </w:p>
    <w:p>
      <w:pPr>
        <w:pStyle w:val="BodyText"/>
      </w:pPr>
    </w:p>
    <w:p>
      <w:pPr>
        <w:pStyle w:val="BodyText"/>
      </w:pPr>
    </w:p>
    <w:p>
      <w:pPr>
        <w:pStyle w:val="BodyText"/>
        <w:spacing w:line="360" w:lineRule="auto" w:before="185"/>
        <w:ind w:left="128" w:right="118"/>
        <w:jc w:val="both"/>
      </w:pPr>
      <w:r>
        <w:rPr/>
        <w:t>En</w:t>
      </w:r>
      <w:r>
        <w:rPr>
          <w:spacing w:val="-9"/>
        </w:rPr>
        <w:t> </w:t>
      </w:r>
      <w:r>
        <w:rPr/>
        <w:t>un</w:t>
      </w:r>
      <w:r>
        <w:rPr>
          <w:spacing w:val="-9"/>
        </w:rPr>
        <w:t> </w:t>
      </w:r>
      <w:r>
        <w:rPr/>
        <w:t>sentido</w:t>
      </w:r>
      <w:r>
        <w:rPr>
          <w:spacing w:val="-9"/>
        </w:rPr>
        <w:t> </w:t>
      </w:r>
      <w:r>
        <w:rPr/>
        <w:t>retroactivo</w:t>
      </w:r>
      <w:r>
        <w:rPr>
          <w:spacing w:val="-9"/>
        </w:rPr>
        <w:t> </w:t>
      </w:r>
      <w:r>
        <w:rPr/>
        <w:t>del</w:t>
      </w:r>
      <w:r>
        <w:rPr>
          <w:spacing w:val="-11"/>
        </w:rPr>
        <w:t> </w:t>
      </w:r>
      <w:r>
        <w:rPr/>
        <w:t>periodo</w:t>
      </w:r>
      <w:r>
        <w:rPr>
          <w:spacing w:val="-9"/>
        </w:rPr>
        <w:t> </w:t>
      </w:r>
      <w:r>
        <w:rPr/>
        <w:t>de</w:t>
      </w:r>
      <w:r>
        <w:rPr>
          <w:spacing w:val="-9"/>
        </w:rPr>
        <w:t> </w:t>
      </w:r>
      <w:r>
        <w:rPr/>
        <w:t>administración</w:t>
      </w:r>
      <w:r>
        <w:rPr>
          <w:spacing w:val="-9"/>
        </w:rPr>
        <w:t> </w:t>
      </w:r>
      <w:r>
        <w:rPr/>
        <w:t>2013</w:t>
      </w:r>
      <w:r>
        <w:rPr>
          <w:spacing w:val="-3"/>
        </w:rPr>
        <w:t> </w:t>
      </w:r>
      <w:r>
        <w:rPr/>
        <w:t>-2015</w:t>
      </w:r>
      <w:r>
        <w:rPr>
          <w:spacing w:val="-9"/>
        </w:rPr>
        <w:t> </w:t>
      </w:r>
      <w:r>
        <w:rPr/>
        <w:t>la</w:t>
      </w:r>
      <w:r>
        <w:rPr>
          <w:spacing w:val="-9"/>
        </w:rPr>
        <w:t> </w:t>
      </w:r>
      <w:r>
        <w:rPr/>
        <w:t>siguiente</w:t>
      </w:r>
      <w:r>
        <w:rPr>
          <w:spacing w:val="-9"/>
        </w:rPr>
        <w:t> </w:t>
      </w:r>
      <w:r>
        <w:rPr/>
        <w:t>tabla muestra el promedio de cumplimiento de la ley de</w:t>
      </w:r>
      <w:r>
        <w:rPr>
          <w:spacing w:val="-13"/>
        </w:rPr>
        <w:t> </w:t>
      </w:r>
      <w:r>
        <w:rPr/>
        <w:t>transparencia:</w:t>
      </w:r>
    </w:p>
    <w:p>
      <w:pPr>
        <w:pStyle w:val="BodyText"/>
        <w:rPr>
          <w:sz w:val="20"/>
        </w:rPr>
      </w:pPr>
    </w:p>
    <w:p>
      <w:pPr>
        <w:pStyle w:val="BodyText"/>
        <w:rPr>
          <w:sz w:val="20"/>
        </w:rPr>
      </w:pPr>
    </w:p>
    <w:p>
      <w:pPr>
        <w:pStyle w:val="BodyText"/>
        <w:spacing w:before="3"/>
      </w:pPr>
    </w:p>
    <w:tbl>
      <w:tblPr>
        <w:tblW w:w="0" w:type="auto"/>
        <w:jc w:val="left"/>
        <w:tblInd w:w="15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110"/>
        <w:gridCol w:w="972"/>
        <w:gridCol w:w="922"/>
        <w:gridCol w:w="886"/>
        <w:gridCol w:w="1114"/>
      </w:tblGrid>
      <w:tr>
        <w:trPr>
          <w:trHeight w:val="290" w:hRule="exact"/>
        </w:trPr>
        <w:tc>
          <w:tcPr>
            <w:tcW w:w="6003" w:type="dxa"/>
            <w:gridSpan w:val="5"/>
            <w:shd w:val="clear" w:color="auto" w:fill="92D050"/>
          </w:tcPr>
          <w:p>
            <w:pPr>
              <w:pStyle w:val="TableParagraph"/>
              <w:spacing w:before="28"/>
              <w:ind w:left="1214"/>
              <w:jc w:val="left"/>
              <w:rPr>
                <w:b/>
                <w:sz w:val="18"/>
              </w:rPr>
            </w:pPr>
            <w:r>
              <w:rPr>
                <w:b/>
                <w:sz w:val="18"/>
              </w:rPr>
              <w:t>Tabla 3.35.Grado escolar del responsable</w:t>
            </w:r>
          </w:p>
        </w:tc>
      </w:tr>
      <w:tr>
        <w:trPr>
          <w:trHeight w:val="545" w:hRule="exact"/>
        </w:trPr>
        <w:tc>
          <w:tcPr>
            <w:tcW w:w="2110" w:type="dxa"/>
            <w:shd w:val="clear" w:color="auto" w:fill="92D050"/>
          </w:tcPr>
          <w:p>
            <w:pPr>
              <w:pStyle w:val="TableParagraph"/>
              <w:spacing w:before="155"/>
              <w:ind w:left="784" w:right="785"/>
              <w:rPr>
                <w:b/>
                <w:sz w:val="18"/>
              </w:rPr>
            </w:pPr>
            <w:r>
              <w:rPr>
                <w:b/>
                <w:sz w:val="18"/>
              </w:rPr>
              <w:t>Clase</w:t>
            </w:r>
          </w:p>
        </w:tc>
        <w:tc>
          <w:tcPr>
            <w:tcW w:w="972" w:type="dxa"/>
            <w:shd w:val="clear" w:color="auto" w:fill="92D050"/>
          </w:tcPr>
          <w:p>
            <w:pPr>
              <w:pStyle w:val="TableParagraph"/>
              <w:spacing w:before="155"/>
              <w:ind w:left="276"/>
              <w:jc w:val="left"/>
              <w:rPr>
                <w:b/>
                <w:sz w:val="18"/>
              </w:rPr>
            </w:pPr>
            <w:r>
              <w:rPr>
                <w:b/>
                <w:sz w:val="18"/>
              </w:rPr>
              <w:t>2013</w:t>
            </w:r>
          </w:p>
        </w:tc>
        <w:tc>
          <w:tcPr>
            <w:tcW w:w="922" w:type="dxa"/>
            <w:shd w:val="clear" w:color="auto" w:fill="92D050"/>
          </w:tcPr>
          <w:p>
            <w:pPr>
              <w:pStyle w:val="TableParagraph"/>
              <w:spacing w:before="155"/>
              <w:ind w:left="249"/>
              <w:jc w:val="left"/>
              <w:rPr>
                <w:b/>
                <w:sz w:val="18"/>
              </w:rPr>
            </w:pPr>
            <w:r>
              <w:rPr>
                <w:b/>
                <w:sz w:val="18"/>
              </w:rPr>
              <w:t>2014</w:t>
            </w:r>
          </w:p>
        </w:tc>
        <w:tc>
          <w:tcPr>
            <w:tcW w:w="886" w:type="dxa"/>
            <w:shd w:val="clear" w:color="auto" w:fill="92D050"/>
          </w:tcPr>
          <w:p>
            <w:pPr>
              <w:pStyle w:val="TableParagraph"/>
              <w:spacing w:before="155"/>
              <w:ind w:left="232"/>
              <w:jc w:val="left"/>
              <w:rPr>
                <w:b/>
                <w:sz w:val="18"/>
              </w:rPr>
            </w:pPr>
            <w:r>
              <w:rPr>
                <w:b/>
                <w:sz w:val="18"/>
              </w:rPr>
              <w:t>2015</w:t>
            </w:r>
          </w:p>
        </w:tc>
        <w:tc>
          <w:tcPr>
            <w:tcW w:w="1114" w:type="dxa"/>
            <w:shd w:val="clear" w:color="auto" w:fill="92D050"/>
          </w:tcPr>
          <w:p>
            <w:pPr>
              <w:pStyle w:val="TableParagraph"/>
              <w:spacing w:before="50"/>
              <w:ind w:left="225" w:right="115" w:hanging="96"/>
              <w:jc w:val="left"/>
              <w:rPr>
                <w:b/>
                <w:sz w:val="18"/>
              </w:rPr>
            </w:pPr>
            <w:r>
              <w:rPr>
                <w:b/>
                <w:sz w:val="18"/>
              </w:rPr>
              <w:t>Promedio general</w:t>
            </w:r>
          </w:p>
        </w:tc>
      </w:tr>
      <w:tr>
        <w:trPr>
          <w:trHeight w:val="271" w:hRule="exact"/>
        </w:trPr>
        <w:tc>
          <w:tcPr>
            <w:tcW w:w="2110" w:type="dxa"/>
            <w:tcBorders>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Licenciatura</w:t>
            </w:r>
          </w:p>
        </w:tc>
        <w:tc>
          <w:tcPr>
            <w:tcW w:w="972" w:type="dxa"/>
            <w:tcBorders>
              <w:left w:val="single" w:sz="4" w:space="0" w:color="000000"/>
              <w:bottom w:val="single" w:sz="4" w:space="0" w:color="000000"/>
              <w:right w:val="single" w:sz="4" w:space="0" w:color="000000"/>
            </w:tcBorders>
          </w:tcPr>
          <w:p>
            <w:pPr>
              <w:pStyle w:val="TableParagraph"/>
              <w:spacing w:before="47"/>
              <w:ind w:left="67" w:right="48"/>
              <w:jc w:val="left"/>
              <w:rPr>
                <w:sz w:val="18"/>
              </w:rPr>
            </w:pPr>
            <w:r>
              <w:rPr>
                <w:sz w:val="18"/>
              </w:rPr>
              <w:t>89.21%</w:t>
            </w:r>
          </w:p>
        </w:tc>
        <w:tc>
          <w:tcPr>
            <w:tcW w:w="922" w:type="dxa"/>
            <w:tcBorders>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66.32%</w:t>
            </w:r>
          </w:p>
        </w:tc>
        <w:tc>
          <w:tcPr>
            <w:tcW w:w="886" w:type="dxa"/>
            <w:tcBorders>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37.50%</w:t>
            </w:r>
          </w:p>
        </w:tc>
        <w:tc>
          <w:tcPr>
            <w:tcW w:w="1114" w:type="dxa"/>
            <w:tcBorders>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64.34%</w:t>
            </w:r>
          </w:p>
        </w:tc>
      </w:tr>
      <w:tr>
        <w:trPr>
          <w:trHeight w:val="264" w:hRule="exact"/>
        </w:trPr>
        <w:tc>
          <w:tcPr>
            <w:tcW w:w="2110"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Maestría</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right="48"/>
              <w:jc w:val="left"/>
              <w:rPr>
                <w:sz w:val="18"/>
              </w:rPr>
            </w:pPr>
            <w:r>
              <w:rPr>
                <w:sz w:val="18"/>
              </w:rPr>
              <w:t>S/I</w:t>
            </w:r>
          </w:p>
        </w:tc>
        <w:tc>
          <w:tcPr>
            <w:tcW w:w="922"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80.20%</w:t>
            </w:r>
          </w:p>
        </w:tc>
        <w:tc>
          <w:tcPr>
            <w:tcW w:w="886"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35.25%</w:t>
            </w:r>
          </w:p>
        </w:tc>
        <w:tc>
          <w:tcPr>
            <w:tcW w:w="1114"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57.73%</w:t>
            </w:r>
          </w:p>
        </w:tc>
      </w:tr>
      <w:tr>
        <w:trPr>
          <w:trHeight w:val="264" w:hRule="exact"/>
        </w:trPr>
        <w:tc>
          <w:tcPr>
            <w:tcW w:w="2110"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Licenciatura Trunca</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right="48"/>
              <w:jc w:val="left"/>
              <w:rPr>
                <w:sz w:val="18"/>
              </w:rPr>
            </w:pPr>
            <w:r>
              <w:rPr>
                <w:sz w:val="18"/>
              </w:rPr>
              <w:t>S/I</w:t>
            </w:r>
          </w:p>
        </w:tc>
        <w:tc>
          <w:tcPr>
            <w:tcW w:w="922"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S/I</w:t>
            </w:r>
          </w:p>
        </w:tc>
        <w:tc>
          <w:tcPr>
            <w:tcW w:w="886"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55.36%</w:t>
            </w:r>
          </w:p>
        </w:tc>
        <w:tc>
          <w:tcPr>
            <w:tcW w:w="1114"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55.36%</w:t>
            </w:r>
          </w:p>
        </w:tc>
      </w:tr>
      <w:tr>
        <w:trPr>
          <w:trHeight w:val="266" w:hRule="exact"/>
        </w:trPr>
        <w:tc>
          <w:tcPr>
            <w:tcW w:w="2110" w:type="dxa"/>
            <w:tcBorders>
              <w:top w:val="single" w:sz="4" w:space="0" w:color="000000"/>
              <w:left w:val="single" w:sz="4" w:space="0" w:color="000000"/>
              <w:bottom w:val="single" w:sz="4" w:space="0" w:color="000000"/>
              <w:right w:val="single" w:sz="4" w:space="0" w:color="000000"/>
            </w:tcBorders>
          </w:tcPr>
          <w:p>
            <w:pPr>
              <w:pStyle w:val="TableParagraph"/>
              <w:spacing w:before="49"/>
              <w:ind w:left="64"/>
              <w:jc w:val="left"/>
              <w:rPr>
                <w:sz w:val="18"/>
              </w:rPr>
            </w:pPr>
            <w:r>
              <w:rPr>
                <w:sz w:val="18"/>
              </w:rPr>
              <w:t>Pasante de licenciatura</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before="49"/>
              <w:ind w:left="67" w:right="48"/>
              <w:jc w:val="left"/>
              <w:rPr>
                <w:sz w:val="18"/>
              </w:rPr>
            </w:pPr>
            <w:r>
              <w:rPr>
                <w:sz w:val="18"/>
              </w:rPr>
              <w:t>S/I</w:t>
            </w:r>
          </w:p>
        </w:tc>
        <w:tc>
          <w:tcPr>
            <w:tcW w:w="922" w:type="dxa"/>
            <w:tcBorders>
              <w:top w:val="single" w:sz="4" w:space="0" w:color="000000"/>
              <w:left w:val="single" w:sz="4" w:space="0" w:color="000000"/>
              <w:bottom w:val="single" w:sz="4" w:space="0" w:color="000000"/>
              <w:right w:val="single" w:sz="4" w:space="0" w:color="000000"/>
            </w:tcBorders>
          </w:tcPr>
          <w:p>
            <w:pPr>
              <w:pStyle w:val="TableParagraph"/>
              <w:spacing w:before="49"/>
              <w:ind w:left="64"/>
              <w:jc w:val="left"/>
              <w:rPr>
                <w:sz w:val="18"/>
              </w:rPr>
            </w:pPr>
            <w:r>
              <w:rPr>
                <w:sz w:val="18"/>
              </w:rPr>
              <w:t>S/I</w:t>
            </w:r>
          </w:p>
        </w:tc>
        <w:tc>
          <w:tcPr>
            <w:tcW w:w="886" w:type="dxa"/>
            <w:tcBorders>
              <w:top w:val="single" w:sz="4" w:space="0" w:color="000000"/>
              <w:left w:val="single" w:sz="4" w:space="0" w:color="000000"/>
              <w:bottom w:val="single" w:sz="4" w:space="0" w:color="000000"/>
              <w:right w:val="single" w:sz="4" w:space="0" w:color="000000"/>
            </w:tcBorders>
          </w:tcPr>
          <w:p>
            <w:pPr>
              <w:pStyle w:val="TableParagraph"/>
              <w:spacing w:before="49"/>
              <w:ind w:right="61"/>
              <w:jc w:val="right"/>
              <w:rPr>
                <w:sz w:val="18"/>
              </w:rPr>
            </w:pPr>
            <w:r>
              <w:rPr>
                <w:w w:val="95"/>
                <w:sz w:val="18"/>
              </w:rPr>
              <w:t>7.17%</w:t>
            </w:r>
          </w:p>
        </w:tc>
        <w:tc>
          <w:tcPr>
            <w:tcW w:w="1114" w:type="dxa"/>
            <w:tcBorders>
              <w:top w:val="single" w:sz="4" w:space="0" w:color="000000"/>
              <w:left w:val="single" w:sz="4" w:space="0" w:color="000000"/>
              <w:bottom w:val="single" w:sz="4" w:space="0" w:color="000000"/>
              <w:right w:val="single" w:sz="4" w:space="0" w:color="000000"/>
            </w:tcBorders>
          </w:tcPr>
          <w:p>
            <w:pPr>
              <w:pStyle w:val="TableParagraph"/>
              <w:spacing w:before="49"/>
              <w:ind w:right="61"/>
              <w:jc w:val="right"/>
              <w:rPr>
                <w:sz w:val="18"/>
              </w:rPr>
            </w:pPr>
            <w:r>
              <w:rPr>
                <w:w w:val="95"/>
                <w:sz w:val="18"/>
              </w:rPr>
              <w:t>7.17%</w:t>
            </w:r>
          </w:p>
        </w:tc>
      </w:tr>
      <w:tr>
        <w:trPr>
          <w:trHeight w:val="264" w:hRule="exact"/>
        </w:trPr>
        <w:tc>
          <w:tcPr>
            <w:tcW w:w="2110"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Preparatoria</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right="48"/>
              <w:jc w:val="left"/>
              <w:rPr>
                <w:sz w:val="18"/>
              </w:rPr>
            </w:pPr>
            <w:r>
              <w:rPr>
                <w:sz w:val="18"/>
              </w:rPr>
              <w:t>S/I</w:t>
            </w:r>
          </w:p>
        </w:tc>
        <w:tc>
          <w:tcPr>
            <w:tcW w:w="922"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S/I</w:t>
            </w:r>
          </w:p>
        </w:tc>
        <w:tc>
          <w:tcPr>
            <w:tcW w:w="886"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w w:val="95"/>
                <w:sz w:val="18"/>
              </w:rPr>
              <w:t>2.95%</w:t>
            </w:r>
          </w:p>
        </w:tc>
        <w:tc>
          <w:tcPr>
            <w:tcW w:w="1114"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w w:val="95"/>
                <w:sz w:val="18"/>
              </w:rPr>
              <w:t>2.95%</w:t>
            </w:r>
          </w:p>
        </w:tc>
      </w:tr>
    </w:tbl>
    <w:p>
      <w:pPr>
        <w:spacing w:before="47"/>
        <w:ind w:left="1662" w:right="26" w:firstLine="0"/>
        <w:jc w:val="left"/>
        <w:rPr>
          <w:sz w:val="18"/>
        </w:rPr>
      </w:pPr>
      <w:r>
        <w:rPr>
          <w:sz w:val="18"/>
        </w:rPr>
        <w:t>Fuente: Elaboración propia</w:t>
      </w:r>
    </w:p>
    <w:p>
      <w:pPr>
        <w:spacing w:after="0"/>
        <w:jc w:val="left"/>
        <w:rPr>
          <w:sz w:val="18"/>
        </w:rPr>
        <w:sectPr>
          <w:pgSz w:w="12240" w:h="15840"/>
          <w:pgMar w:header="0" w:footer="975" w:top="1360" w:bottom="1220" w:left="1480" w:right="1580"/>
        </w:sectPr>
      </w:pPr>
    </w:p>
    <w:p>
      <w:pPr>
        <w:pStyle w:val="BodyText"/>
        <w:spacing w:line="360" w:lineRule="auto" w:before="54"/>
        <w:ind w:left="128" w:right="115"/>
        <w:jc w:val="both"/>
      </w:pPr>
      <w:r>
        <w:rPr/>
        <w:t>Durante el periodo que comprende el 2013-2015 se tuvo un promedio de cumplimiento de la ley tal como se describe a continuación: en primer lugar se encuentran los representantes que tienen el grado de licenciatura al obtener un 64.34%,</w:t>
      </w:r>
      <w:r>
        <w:rPr>
          <w:spacing w:val="-9"/>
        </w:rPr>
        <w:t> </w:t>
      </w:r>
      <w:r>
        <w:rPr/>
        <w:t>en</w:t>
      </w:r>
      <w:r>
        <w:rPr>
          <w:spacing w:val="-6"/>
        </w:rPr>
        <w:t> </w:t>
      </w:r>
      <w:r>
        <w:rPr/>
        <w:t>segundo</w:t>
      </w:r>
      <w:r>
        <w:rPr>
          <w:spacing w:val="-8"/>
        </w:rPr>
        <w:t> </w:t>
      </w:r>
      <w:r>
        <w:rPr/>
        <w:t>lugar</w:t>
      </w:r>
      <w:r>
        <w:rPr>
          <w:spacing w:val="-8"/>
        </w:rPr>
        <w:t> </w:t>
      </w:r>
      <w:r>
        <w:rPr/>
        <w:t>los</w:t>
      </w:r>
      <w:r>
        <w:rPr>
          <w:spacing w:val="-7"/>
        </w:rPr>
        <w:t> </w:t>
      </w:r>
      <w:r>
        <w:rPr/>
        <w:t>que</w:t>
      </w:r>
      <w:r>
        <w:rPr>
          <w:spacing w:val="-7"/>
        </w:rPr>
        <w:t> </w:t>
      </w:r>
      <w:r>
        <w:rPr/>
        <w:t>tienen</w:t>
      </w:r>
      <w:r>
        <w:rPr>
          <w:spacing w:val="-7"/>
        </w:rPr>
        <w:t> </w:t>
      </w:r>
      <w:r>
        <w:rPr/>
        <w:t>como</w:t>
      </w:r>
      <w:r>
        <w:rPr>
          <w:spacing w:val="-7"/>
        </w:rPr>
        <w:t> </w:t>
      </w:r>
      <w:r>
        <w:rPr/>
        <w:t>grado</w:t>
      </w:r>
      <w:r>
        <w:rPr>
          <w:spacing w:val="-9"/>
        </w:rPr>
        <w:t> </w:t>
      </w:r>
      <w:r>
        <w:rPr/>
        <w:t>máximo</w:t>
      </w:r>
      <w:r>
        <w:rPr>
          <w:spacing w:val="-7"/>
        </w:rPr>
        <w:t> </w:t>
      </w:r>
      <w:r>
        <w:rPr/>
        <w:t>la</w:t>
      </w:r>
      <w:r>
        <w:rPr>
          <w:spacing w:val="-10"/>
        </w:rPr>
        <w:t> </w:t>
      </w:r>
      <w:r>
        <w:rPr/>
        <w:t>maestría</w:t>
      </w:r>
      <w:r>
        <w:rPr>
          <w:spacing w:val="-7"/>
        </w:rPr>
        <w:t> </w:t>
      </w:r>
      <w:r>
        <w:rPr/>
        <w:t>al</w:t>
      </w:r>
      <w:r>
        <w:rPr>
          <w:spacing w:val="-8"/>
        </w:rPr>
        <w:t> </w:t>
      </w:r>
      <w:r>
        <w:rPr/>
        <w:t>obtener un 57.73%, en tercer lugar se encuentran los que tienen la licenciatura trunca al obtener un 55.36%, cuarto lugar aparecen los que son pasantes de licenciatura con un promedio de 7.17% y en último lugar se encuentran los que solo cuentan con preparatoria que obtuvieron solo el</w:t>
      </w:r>
      <w:r>
        <w:rPr>
          <w:spacing w:val="-15"/>
        </w:rPr>
        <w:t> </w:t>
      </w:r>
      <w:r>
        <w:rPr/>
        <w:t>2.95%.</w:t>
      </w:r>
    </w:p>
    <w:p>
      <w:pPr>
        <w:pStyle w:val="BodyText"/>
      </w:pPr>
    </w:p>
    <w:p>
      <w:pPr>
        <w:pStyle w:val="BodyText"/>
      </w:pPr>
    </w:p>
    <w:p>
      <w:pPr>
        <w:pStyle w:val="BodyText"/>
        <w:spacing w:line="360" w:lineRule="auto" w:before="186"/>
        <w:ind w:left="128" w:right="121"/>
        <w:jc w:val="both"/>
      </w:pPr>
      <w:r>
        <w:rPr/>
        <w:t>De acuerdo a la información presentada los responsables de transparencia que cuentan con un grado de licenciatura son más transparentes que el resto de los responsables.</w:t>
      </w:r>
    </w:p>
    <w:p>
      <w:pPr>
        <w:pStyle w:val="BodyText"/>
      </w:pPr>
    </w:p>
    <w:p>
      <w:pPr>
        <w:pStyle w:val="BodyText"/>
      </w:pPr>
    </w:p>
    <w:p>
      <w:pPr>
        <w:pStyle w:val="Heading1"/>
        <w:numPr>
          <w:ilvl w:val="2"/>
          <w:numId w:val="53"/>
        </w:numPr>
        <w:tabs>
          <w:tab w:pos="837" w:val="left" w:leader="none"/>
        </w:tabs>
        <w:spacing w:line="360" w:lineRule="auto" w:before="185" w:after="0"/>
        <w:ind w:left="836" w:right="123" w:hanging="720"/>
        <w:jc w:val="left"/>
      </w:pPr>
      <w:r>
        <w:rPr/>
        <w:t>Número</w:t>
      </w:r>
      <w:r>
        <w:rPr>
          <w:spacing w:val="-7"/>
        </w:rPr>
        <w:t> </w:t>
      </w:r>
      <w:r>
        <w:rPr/>
        <w:t>de</w:t>
      </w:r>
      <w:r>
        <w:rPr>
          <w:spacing w:val="-6"/>
        </w:rPr>
        <w:t> </w:t>
      </w:r>
      <w:r>
        <w:rPr/>
        <w:t>personas</w:t>
      </w:r>
      <w:r>
        <w:rPr>
          <w:spacing w:val="-8"/>
        </w:rPr>
        <w:t> </w:t>
      </w:r>
      <w:r>
        <w:rPr/>
        <w:t>que</w:t>
      </w:r>
      <w:r>
        <w:rPr>
          <w:spacing w:val="-6"/>
        </w:rPr>
        <w:t> </w:t>
      </w:r>
      <w:r>
        <w:rPr/>
        <w:t>integran</w:t>
      </w:r>
      <w:r>
        <w:rPr>
          <w:spacing w:val="-7"/>
        </w:rPr>
        <w:t> </w:t>
      </w:r>
      <w:r>
        <w:rPr/>
        <w:t>su</w:t>
      </w:r>
      <w:r>
        <w:rPr>
          <w:spacing w:val="-7"/>
        </w:rPr>
        <w:t> </w:t>
      </w:r>
      <w:r>
        <w:rPr/>
        <w:t>equipo</w:t>
      </w:r>
      <w:r>
        <w:rPr>
          <w:spacing w:val="-7"/>
        </w:rPr>
        <w:t> </w:t>
      </w:r>
      <w:r>
        <w:rPr/>
        <w:t>de</w:t>
      </w:r>
      <w:r>
        <w:rPr>
          <w:spacing w:val="-6"/>
        </w:rPr>
        <w:t> </w:t>
      </w:r>
      <w:r>
        <w:rPr/>
        <w:t>trabajo</w:t>
      </w:r>
      <w:r>
        <w:rPr>
          <w:spacing w:val="-5"/>
        </w:rPr>
        <w:t> </w:t>
      </w:r>
      <w:r>
        <w:rPr/>
        <w:t>vs</w:t>
      </w:r>
      <w:r>
        <w:rPr>
          <w:spacing w:val="-6"/>
        </w:rPr>
        <w:t> </w:t>
      </w:r>
      <w:r>
        <w:rPr/>
        <w:t>porcentaje</w:t>
      </w:r>
      <w:r>
        <w:rPr>
          <w:spacing w:val="-6"/>
        </w:rPr>
        <w:t> </w:t>
      </w:r>
      <w:r>
        <w:rPr/>
        <w:t>de transparencia</w:t>
      </w:r>
      <w:r>
        <w:rPr>
          <w:spacing w:val="-6"/>
        </w:rPr>
        <w:t> </w:t>
      </w:r>
      <w:r>
        <w:rPr/>
        <w:t>2015</w:t>
      </w:r>
    </w:p>
    <w:p>
      <w:pPr>
        <w:pStyle w:val="BodyText"/>
        <w:rPr>
          <w:b/>
          <w:sz w:val="20"/>
        </w:rPr>
      </w:pPr>
    </w:p>
    <w:p>
      <w:pPr>
        <w:pStyle w:val="BodyText"/>
        <w:spacing w:before="7" w:after="1"/>
        <w:rPr>
          <w:b/>
          <w:sz w:val="19"/>
        </w:rPr>
      </w:pPr>
    </w:p>
    <w:tbl>
      <w:tblPr>
        <w:tblW w:w="0" w:type="auto"/>
        <w:jc w:val="left"/>
        <w:tblInd w:w="27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99"/>
        <w:gridCol w:w="1200"/>
        <w:gridCol w:w="1200"/>
      </w:tblGrid>
      <w:tr>
        <w:trPr>
          <w:trHeight w:val="605" w:hRule="exact"/>
        </w:trPr>
        <w:tc>
          <w:tcPr>
            <w:tcW w:w="3599" w:type="dxa"/>
            <w:gridSpan w:val="3"/>
            <w:shd w:val="clear" w:color="auto" w:fill="92D050"/>
          </w:tcPr>
          <w:p>
            <w:pPr>
              <w:pStyle w:val="TableParagraph"/>
              <w:spacing w:before="80"/>
              <w:ind w:left="639" w:right="200" w:hanging="420"/>
              <w:jc w:val="left"/>
              <w:rPr>
                <w:b/>
                <w:sz w:val="18"/>
              </w:rPr>
            </w:pPr>
            <w:r>
              <w:rPr>
                <w:b/>
                <w:sz w:val="18"/>
              </w:rPr>
              <w:t>Tabla 3.36: Número de personas que integran su área de trabajo</w:t>
            </w:r>
          </w:p>
        </w:tc>
      </w:tr>
      <w:tr>
        <w:trPr>
          <w:trHeight w:val="290" w:hRule="exact"/>
        </w:trPr>
        <w:tc>
          <w:tcPr>
            <w:tcW w:w="1199" w:type="dxa"/>
            <w:vMerge w:val="restart"/>
            <w:shd w:val="clear" w:color="auto" w:fill="92D050"/>
          </w:tcPr>
          <w:p>
            <w:pPr>
              <w:pStyle w:val="TableParagraph"/>
              <w:spacing w:before="6"/>
              <w:jc w:val="left"/>
              <w:rPr>
                <w:b/>
                <w:sz w:val="14"/>
              </w:rPr>
            </w:pPr>
          </w:p>
          <w:p>
            <w:pPr>
              <w:pStyle w:val="TableParagraph"/>
              <w:ind w:left="351" w:right="157"/>
              <w:jc w:val="left"/>
              <w:rPr>
                <w:b/>
                <w:sz w:val="18"/>
              </w:rPr>
            </w:pPr>
            <w:r>
              <w:rPr>
                <w:b/>
                <w:sz w:val="18"/>
              </w:rPr>
              <w:t>Clase</w:t>
            </w:r>
          </w:p>
        </w:tc>
        <w:tc>
          <w:tcPr>
            <w:tcW w:w="2400" w:type="dxa"/>
            <w:gridSpan w:val="2"/>
            <w:shd w:val="clear" w:color="auto" w:fill="92D050"/>
          </w:tcPr>
          <w:p>
            <w:pPr>
              <w:pStyle w:val="TableParagraph"/>
              <w:spacing w:before="25"/>
              <w:ind w:left="970" w:right="966"/>
              <w:rPr>
                <w:b/>
                <w:sz w:val="18"/>
              </w:rPr>
            </w:pPr>
            <w:r>
              <w:rPr>
                <w:b/>
                <w:sz w:val="18"/>
              </w:rPr>
              <w:t>2015</w:t>
            </w:r>
          </w:p>
        </w:tc>
      </w:tr>
      <w:tr>
        <w:trPr>
          <w:trHeight w:val="283" w:hRule="exact"/>
        </w:trPr>
        <w:tc>
          <w:tcPr>
            <w:tcW w:w="1199" w:type="dxa"/>
            <w:vMerge/>
            <w:shd w:val="clear" w:color="auto" w:fill="92D050"/>
          </w:tcPr>
          <w:p>
            <w:pPr/>
          </w:p>
        </w:tc>
        <w:tc>
          <w:tcPr>
            <w:tcW w:w="1200" w:type="dxa"/>
            <w:shd w:val="clear" w:color="auto" w:fill="92D050"/>
          </w:tcPr>
          <w:p>
            <w:pPr>
              <w:pStyle w:val="TableParagraph"/>
              <w:spacing w:before="23"/>
              <w:ind w:left="97" w:right="93"/>
              <w:rPr>
                <w:b/>
                <w:sz w:val="18"/>
              </w:rPr>
            </w:pPr>
            <w:r>
              <w:rPr>
                <w:b/>
                <w:sz w:val="18"/>
              </w:rPr>
              <w:t>Frecuencia</w:t>
            </w:r>
          </w:p>
        </w:tc>
        <w:tc>
          <w:tcPr>
            <w:tcW w:w="1200" w:type="dxa"/>
            <w:shd w:val="clear" w:color="auto" w:fill="92D050"/>
          </w:tcPr>
          <w:p>
            <w:pPr>
              <w:pStyle w:val="TableParagraph"/>
              <w:spacing w:before="23"/>
              <w:ind w:left="511"/>
              <w:jc w:val="left"/>
              <w:rPr>
                <w:b/>
                <w:sz w:val="18"/>
              </w:rPr>
            </w:pPr>
            <w:r>
              <w:rPr>
                <w:b/>
                <w:w w:val="99"/>
                <w:sz w:val="18"/>
              </w:rPr>
              <w:t>%</w:t>
            </w:r>
          </w:p>
        </w:tc>
      </w:tr>
      <w:tr>
        <w:trPr>
          <w:trHeight w:val="271" w:hRule="exact"/>
        </w:trPr>
        <w:tc>
          <w:tcPr>
            <w:tcW w:w="1199" w:type="dxa"/>
            <w:tcBorders>
              <w:left w:val="single" w:sz="4" w:space="0" w:color="000000"/>
              <w:bottom w:val="single" w:sz="4" w:space="0" w:color="000000"/>
              <w:right w:val="single" w:sz="4" w:space="0" w:color="000000"/>
            </w:tcBorders>
          </w:tcPr>
          <w:p>
            <w:pPr>
              <w:pStyle w:val="TableParagraph"/>
              <w:spacing w:before="23"/>
              <w:ind w:left="394"/>
              <w:jc w:val="left"/>
              <w:rPr>
                <w:sz w:val="18"/>
              </w:rPr>
            </w:pPr>
            <w:r>
              <w:rPr>
                <w:sz w:val="18"/>
              </w:rPr>
              <w:t>0 a 5</w:t>
            </w:r>
          </w:p>
        </w:tc>
        <w:tc>
          <w:tcPr>
            <w:tcW w:w="1200" w:type="dxa"/>
            <w:tcBorders>
              <w:left w:val="single" w:sz="4" w:space="0" w:color="000000"/>
              <w:bottom w:val="single" w:sz="4" w:space="0" w:color="000000"/>
              <w:right w:val="single" w:sz="4" w:space="0" w:color="000000"/>
            </w:tcBorders>
          </w:tcPr>
          <w:p>
            <w:pPr>
              <w:pStyle w:val="TableParagraph"/>
              <w:spacing w:before="47"/>
              <w:ind w:left="270" w:right="267"/>
              <w:rPr>
                <w:sz w:val="18"/>
              </w:rPr>
            </w:pPr>
            <w:r>
              <w:rPr>
                <w:sz w:val="18"/>
              </w:rPr>
              <w:t>45</w:t>
            </w:r>
          </w:p>
        </w:tc>
        <w:tc>
          <w:tcPr>
            <w:tcW w:w="1200" w:type="dxa"/>
            <w:tcBorders>
              <w:left w:val="single" w:sz="4" w:space="0" w:color="000000"/>
              <w:bottom w:val="single" w:sz="4" w:space="0" w:color="000000"/>
              <w:right w:val="single" w:sz="4" w:space="0" w:color="000000"/>
            </w:tcBorders>
          </w:tcPr>
          <w:p>
            <w:pPr>
              <w:pStyle w:val="TableParagraph"/>
              <w:spacing w:before="47"/>
              <w:ind w:left="518"/>
              <w:jc w:val="left"/>
              <w:rPr>
                <w:sz w:val="18"/>
              </w:rPr>
            </w:pPr>
            <w:r>
              <w:rPr>
                <w:sz w:val="18"/>
              </w:rPr>
              <w:t>32.20%</w:t>
            </w:r>
          </w:p>
        </w:tc>
      </w:tr>
      <w:tr>
        <w:trPr>
          <w:trHeight w:val="264" w:hRule="exact"/>
        </w:trPr>
        <w:tc>
          <w:tcPr>
            <w:tcW w:w="1199" w:type="dxa"/>
            <w:tcBorders>
              <w:top w:val="single" w:sz="4" w:space="0" w:color="000000"/>
              <w:left w:val="single" w:sz="4" w:space="0" w:color="000000"/>
              <w:bottom w:val="single" w:sz="4" w:space="0" w:color="000000"/>
              <w:right w:val="single" w:sz="4" w:space="0" w:color="000000"/>
            </w:tcBorders>
          </w:tcPr>
          <w:p>
            <w:pPr>
              <w:pStyle w:val="TableParagraph"/>
              <w:spacing w:before="23"/>
              <w:ind w:left="344"/>
              <w:jc w:val="left"/>
              <w:rPr>
                <w:sz w:val="18"/>
              </w:rPr>
            </w:pPr>
            <w:r>
              <w:rPr>
                <w:sz w:val="18"/>
              </w:rPr>
              <w:t>6 a 10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3"/>
              <w:rPr>
                <w:sz w:val="18"/>
              </w:rPr>
            </w:pPr>
            <w:r>
              <w:rPr>
                <w:w w:val="99"/>
                <w:sz w:val="18"/>
              </w:rPr>
              <w:t>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518"/>
              <w:jc w:val="left"/>
              <w:rPr>
                <w:sz w:val="18"/>
              </w:rPr>
            </w:pPr>
            <w:r>
              <w:rPr>
                <w:sz w:val="18"/>
              </w:rPr>
              <w:t>49.64%</w:t>
            </w:r>
          </w:p>
        </w:tc>
      </w:tr>
    </w:tbl>
    <w:p>
      <w:pPr>
        <w:spacing w:before="32"/>
        <w:ind w:left="2865" w:right="26" w:firstLine="0"/>
        <w:jc w:val="left"/>
        <w:rPr>
          <w:sz w:val="16"/>
        </w:rPr>
      </w:pPr>
      <w:r>
        <w:rPr>
          <w:sz w:val="16"/>
        </w:rPr>
        <w:t>Fuente: Elaboración propia</w:t>
      </w:r>
    </w:p>
    <w:p>
      <w:pPr>
        <w:pStyle w:val="BodyText"/>
        <w:rPr>
          <w:sz w:val="20"/>
        </w:rPr>
      </w:pPr>
    </w:p>
    <w:p>
      <w:pPr>
        <w:pStyle w:val="BodyText"/>
        <w:spacing w:before="2"/>
        <w:rPr>
          <w:sz w:val="27"/>
        </w:rPr>
      </w:pPr>
    </w:p>
    <w:p>
      <w:pPr>
        <w:pStyle w:val="BodyText"/>
        <w:spacing w:line="360" w:lineRule="auto" w:before="69"/>
        <w:ind w:left="128" w:right="117"/>
        <w:jc w:val="both"/>
      </w:pPr>
      <w:r>
        <w:rPr/>
        <w:t>En la tabla anterior se muestran los resultados obtenidos de hacer el cruce de las variables del cumplimiento de la ley de transparencia en relación al número de personas que integran su equipo de trabajo que tienen los responsables de la transparencia en los gobiernos municipales. Los resultados obtenidos muestran cómo los responsables de la transparencia que cuentan de 6 a 10 personas que integran</w:t>
      </w:r>
      <w:r>
        <w:rPr>
          <w:spacing w:val="-11"/>
        </w:rPr>
        <w:t> </w:t>
      </w:r>
      <w:r>
        <w:rPr/>
        <w:t>su</w:t>
      </w:r>
      <w:r>
        <w:rPr>
          <w:spacing w:val="-13"/>
        </w:rPr>
        <w:t> </w:t>
      </w:r>
      <w:r>
        <w:rPr/>
        <w:t>equipo</w:t>
      </w:r>
      <w:r>
        <w:rPr>
          <w:spacing w:val="-11"/>
        </w:rPr>
        <w:t> </w:t>
      </w:r>
      <w:r>
        <w:rPr/>
        <w:t>de</w:t>
      </w:r>
      <w:r>
        <w:rPr>
          <w:spacing w:val="-11"/>
        </w:rPr>
        <w:t> </w:t>
      </w:r>
      <w:r>
        <w:rPr/>
        <w:t>trabajo</w:t>
      </w:r>
      <w:r>
        <w:rPr>
          <w:spacing w:val="-13"/>
        </w:rPr>
        <w:t> </w:t>
      </w:r>
      <w:r>
        <w:rPr/>
        <w:t>obtuvieron</w:t>
      </w:r>
      <w:r>
        <w:rPr>
          <w:spacing w:val="-11"/>
        </w:rPr>
        <w:t> </w:t>
      </w:r>
      <w:r>
        <w:rPr/>
        <w:t>el</w:t>
      </w:r>
      <w:r>
        <w:rPr>
          <w:spacing w:val="-14"/>
        </w:rPr>
        <w:t> </w:t>
      </w:r>
      <w:r>
        <w:rPr/>
        <w:t>primer</w:t>
      </w:r>
      <w:r>
        <w:rPr>
          <w:spacing w:val="-12"/>
        </w:rPr>
        <w:t> </w:t>
      </w:r>
      <w:r>
        <w:rPr/>
        <w:t>lugar</w:t>
      </w:r>
      <w:r>
        <w:rPr>
          <w:spacing w:val="-12"/>
        </w:rPr>
        <w:t> </w:t>
      </w:r>
      <w:r>
        <w:rPr/>
        <w:t>con</w:t>
      </w:r>
      <w:r>
        <w:rPr>
          <w:spacing w:val="-13"/>
        </w:rPr>
        <w:t> </w:t>
      </w:r>
      <w:r>
        <w:rPr/>
        <w:t>un</w:t>
      </w:r>
      <w:r>
        <w:rPr>
          <w:spacing w:val="-13"/>
        </w:rPr>
        <w:t> </w:t>
      </w:r>
      <w:r>
        <w:rPr/>
        <w:t>49.64%</w:t>
      </w:r>
      <w:r>
        <w:rPr>
          <w:spacing w:val="-11"/>
        </w:rPr>
        <w:t> </w:t>
      </w:r>
      <w:r>
        <w:rPr/>
        <w:t>y</w:t>
      </w:r>
      <w:r>
        <w:rPr>
          <w:spacing w:val="-14"/>
        </w:rPr>
        <w:t> </w:t>
      </w:r>
      <w:r>
        <w:rPr/>
        <w:t>en</w:t>
      </w:r>
      <w:r>
        <w:rPr>
          <w:spacing w:val="-11"/>
        </w:rPr>
        <w:t> </w:t>
      </w:r>
      <w:r>
        <w:rPr/>
        <w:t>segundo</w:t>
      </w:r>
    </w:p>
    <w:p>
      <w:pPr>
        <w:spacing w:after="0" w:line="360" w:lineRule="auto"/>
        <w:jc w:val="both"/>
        <w:sectPr>
          <w:pgSz w:w="12240" w:h="15840"/>
          <w:pgMar w:header="0" w:footer="975" w:top="1360" w:bottom="1220" w:left="1480" w:right="1580"/>
        </w:sectPr>
      </w:pPr>
    </w:p>
    <w:p>
      <w:pPr>
        <w:pStyle w:val="BodyText"/>
        <w:spacing w:line="362" w:lineRule="auto" w:before="54"/>
        <w:ind w:left="128" w:right="26"/>
      </w:pPr>
      <w:r>
        <w:rPr/>
        <w:t>lugar se encuentran los que tienen a su disposición de 0 a 5 personas con un porcentaje del 32.20%.</w:t>
      </w:r>
    </w:p>
    <w:p>
      <w:pPr>
        <w:pStyle w:val="BodyText"/>
      </w:pPr>
    </w:p>
    <w:p>
      <w:pPr>
        <w:pStyle w:val="BodyText"/>
      </w:pPr>
    </w:p>
    <w:p>
      <w:pPr>
        <w:pStyle w:val="BodyText"/>
        <w:spacing w:line="360" w:lineRule="auto" w:before="182"/>
        <w:ind w:left="128" w:right="26"/>
      </w:pPr>
      <w:r>
        <w:rPr/>
        <w:t>En</w:t>
      </w:r>
      <w:r>
        <w:rPr>
          <w:spacing w:val="-14"/>
        </w:rPr>
        <w:t> </w:t>
      </w:r>
      <w:r>
        <w:rPr/>
        <w:t>un</w:t>
      </w:r>
      <w:r>
        <w:rPr>
          <w:spacing w:val="-14"/>
        </w:rPr>
        <w:t> </w:t>
      </w:r>
      <w:r>
        <w:rPr/>
        <w:t>sentido</w:t>
      </w:r>
      <w:r>
        <w:rPr>
          <w:spacing w:val="-14"/>
        </w:rPr>
        <w:t> </w:t>
      </w:r>
      <w:r>
        <w:rPr/>
        <w:t>retroactivo</w:t>
      </w:r>
      <w:r>
        <w:rPr>
          <w:spacing w:val="-14"/>
        </w:rPr>
        <w:t> </w:t>
      </w:r>
      <w:r>
        <w:rPr/>
        <w:t>del</w:t>
      </w:r>
      <w:r>
        <w:rPr>
          <w:spacing w:val="-15"/>
        </w:rPr>
        <w:t> </w:t>
      </w:r>
      <w:r>
        <w:rPr/>
        <w:t>periodo</w:t>
      </w:r>
      <w:r>
        <w:rPr>
          <w:spacing w:val="-14"/>
        </w:rPr>
        <w:t> </w:t>
      </w:r>
      <w:r>
        <w:rPr/>
        <w:t>de</w:t>
      </w:r>
      <w:r>
        <w:rPr>
          <w:spacing w:val="-16"/>
        </w:rPr>
        <w:t> </w:t>
      </w:r>
      <w:r>
        <w:rPr/>
        <w:t>administración</w:t>
      </w:r>
      <w:r>
        <w:rPr>
          <w:spacing w:val="-14"/>
        </w:rPr>
        <w:t> </w:t>
      </w:r>
      <w:r>
        <w:rPr/>
        <w:t>2013</w:t>
      </w:r>
      <w:r>
        <w:rPr>
          <w:spacing w:val="-9"/>
        </w:rPr>
        <w:t> </w:t>
      </w:r>
      <w:r>
        <w:rPr/>
        <w:t>-2015,</w:t>
      </w:r>
      <w:r>
        <w:rPr>
          <w:spacing w:val="-17"/>
        </w:rPr>
        <w:t> </w:t>
      </w:r>
      <w:r>
        <w:rPr/>
        <w:t>la</w:t>
      </w:r>
      <w:r>
        <w:rPr>
          <w:spacing w:val="-14"/>
        </w:rPr>
        <w:t> </w:t>
      </w:r>
      <w:r>
        <w:rPr/>
        <w:t>siguiente</w:t>
      </w:r>
      <w:r>
        <w:rPr>
          <w:spacing w:val="-14"/>
        </w:rPr>
        <w:t> </w:t>
      </w:r>
      <w:r>
        <w:rPr/>
        <w:t>tabla muestra el promedio de cumplimiento de la ley de</w:t>
      </w:r>
      <w:r>
        <w:rPr>
          <w:spacing w:val="-13"/>
        </w:rPr>
        <w:t> </w:t>
      </w:r>
      <w:r>
        <w:rPr/>
        <w:t>transparencia:</w:t>
      </w:r>
    </w:p>
    <w:p>
      <w:pPr>
        <w:pStyle w:val="BodyText"/>
        <w:rPr>
          <w:sz w:val="20"/>
        </w:rPr>
      </w:pPr>
    </w:p>
    <w:p>
      <w:pPr>
        <w:pStyle w:val="BodyText"/>
        <w:rPr>
          <w:sz w:val="20"/>
        </w:rPr>
      </w:pPr>
    </w:p>
    <w:p>
      <w:pPr>
        <w:pStyle w:val="BodyText"/>
        <w:spacing w:before="3"/>
      </w:pPr>
    </w:p>
    <w:tbl>
      <w:tblPr>
        <w:tblW w:w="0" w:type="auto"/>
        <w:jc w:val="left"/>
        <w:tblInd w:w="15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01"/>
        <w:gridCol w:w="1200"/>
        <w:gridCol w:w="1200"/>
        <w:gridCol w:w="1200"/>
        <w:gridCol w:w="1200"/>
      </w:tblGrid>
      <w:tr>
        <w:trPr>
          <w:trHeight w:val="290" w:hRule="exact"/>
        </w:trPr>
        <w:tc>
          <w:tcPr>
            <w:tcW w:w="6001" w:type="dxa"/>
            <w:gridSpan w:val="5"/>
            <w:shd w:val="clear" w:color="auto" w:fill="92D050"/>
          </w:tcPr>
          <w:p>
            <w:pPr>
              <w:pStyle w:val="TableParagraph"/>
              <w:spacing w:before="25"/>
              <w:ind w:left="244"/>
              <w:jc w:val="left"/>
              <w:rPr>
                <w:b/>
                <w:sz w:val="18"/>
              </w:rPr>
            </w:pPr>
            <w:r>
              <w:rPr>
                <w:b/>
                <w:sz w:val="18"/>
              </w:rPr>
              <w:t>Tabla 3.37: Número de personas que integran su área de trabajo</w:t>
            </w:r>
          </w:p>
        </w:tc>
      </w:tr>
      <w:tr>
        <w:trPr>
          <w:trHeight w:val="514" w:hRule="exact"/>
        </w:trPr>
        <w:tc>
          <w:tcPr>
            <w:tcW w:w="1201" w:type="dxa"/>
            <w:shd w:val="clear" w:color="auto" w:fill="92D050"/>
          </w:tcPr>
          <w:p>
            <w:pPr>
              <w:pStyle w:val="TableParagraph"/>
              <w:spacing w:before="138"/>
              <w:ind w:left="352"/>
              <w:jc w:val="left"/>
              <w:rPr>
                <w:b/>
                <w:sz w:val="18"/>
              </w:rPr>
            </w:pPr>
            <w:r>
              <w:rPr>
                <w:b/>
                <w:sz w:val="18"/>
              </w:rPr>
              <w:t>Clase</w:t>
            </w:r>
          </w:p>
        </w:tc>
        <w:tc>
          <w:tcPr>
            <w:tcW w:w="1200" w:type="dxa"/>
            <w:shd w:val="clear" w:color="auto" w:fill="92D050"/>
          </w:tcPr>
          <w:p>
            <w:pPr>
              <w:pStyle w:val="TableParagraph"/>
              <w:spacing w:before="138"/>
              <w:ind w:left="391" w:right="155"/>
              <w:jc w:val="left"/>
              <w:rPr>
                <w:b/>
                <w:sz w:val="18"/>
              </w:rPr>
            </w:pPr>
            <w:r>
              <w:rPr>
                <w:b/>
                <w:sz w:val="18"/>
              </w:rPr>
              <w:t>2013</w:t>
            </w:r>
          </w:p>
        </w:tc>
        <w:tc>
          <w:tcPr>
            <w:tcW w:w="1200" w:type="dxa"/>
            <w:shd w:val="clear" w:color="auto" w:fill="92D050"/>
          </w:tcPr>
          <w:p>
            <w:pPr>
              <w:pStyle w:val="TableParagraph"/>
              <w:spacing w:before="138"/>
              <w:ind w:left="391"/>
              <w:jc w:val="left"/>
              <w:rPr>
                <w:b/>
                <w:sz w:val="18"/>
              </w:rPr>
            </w:pPr>
            <w:r>
              <w:rPr>
                <w:b/>
                <w:sz w:val="18"/>
              </w:rPr>
              <w:t>2014</w:t>
            </w:r>
          </w:p>
        </w:tc>
        <w:tc>
          <w:tcPr>
            <w:tcW w:w="1200" w:type="dxa"/>
            <w:shd w:val="clear" w:color="auto" w:fill="92D050"/>
          </w:tcPr>
          <w:p>
            <w:pPr>
              <w:pStyle w:val="TableParagraph"/>
              <w:spacing w:before="138"/>
              <w:ind w:left="391" w:right="155"/>
              <w:jc w:val="left"/>
              <w:rPr>
                <w:b/>
                <w:sz w:val="18"/>
              </w:rPr>
            </w:pPr>
            <w:r>
              <w:rPr>
                <w:b/>
                <w:sz w:val="18"/>
              </w:rPr>
              <w:t>2015</w:t>
            </w:r>
          </w:p>
        </w:tc>
        <w:tc>
          <w:tcPr>
            <w:tcW w:w="1200" w:type="dxa"/>
            <w:shd w:val="clear" w:color="auto" w:fill="92D050"/>
          </w:tcPr>
          <w:p>
            <w:pPr>
              <w:pStyle w:val="TableParagraph"/>
              <w:spacing w:before="35"/>
              <w:ind w:left="256" w:right="156" w:hanging="82"/>
              <w:jc w:val="left"/>
              <w:rPr>
                <w:b/>
                <w:sz w:val="18"/>
              </w:rPr>
            </w:pPr>
            <w:r>
              <w:rPr>
                <w:b/>
                <w:sz w:val="18"/>
              </w:rPr>
              <w:t>Promedio General</w:t>
            </w:r>
          </w:p>
        </w:tc>
      </w:tr>
      <w:tr>
        <w:trPr>
          <w:trHeight w:val="271" w:hRule="exact"/>
        </w:trPr>
        <w:tc>
          <w:tcPr>
            <w:tcW w:w="1201" w:type="dxa"/>
            <w:tcBorders>
              <w:left w:val="single" w:sz="4" w:space="0" w:color="000000"/>
              <w:bottom w:val="single" w:sz="4" w:space="0" w:color="000000"/>
              <w:right w:val="single" w:sz="4" w:space="0" w:color="000000"/>
            </w:tcBorders>
          </w:tcPr>
          <w:p>
            <w:pPr>
              <w:pStyle w:val="TableParagraph"/>
              <w:spacing w:before="25"/>
              <w:ind w:left="395"/>
              <w:jc w:val="left"/>
              <w:rPr>
                <w:sz w:val="18"/>
              </w:rPr>
            </w:pPr>
            <w:r>
              <w:rPr>
                <w:sz w:val="18"/>
              </w:rPr>
              <w:t>0 a 5</w:t>
            </w:r>
          </w:p>
        </w:tc>
        <w:tc>
          <w:tcPr>
            <w:tcW w:w="1200" w:type="dxa"/>
            <w:tcBorders>
              <w:left w:val="single" w:sz="4" w:space="0" w:color="000000"/>
              <w:bottom w:val="single" w:sz="4" w:space="0" w:color="000000"/>
              <w:right w:val="single" w:sz="4" w:space="0" w:color="000000"/>
            </w:tcBorders>
          </w:tcPr>
          <w:p>
            <w:pPr>
              <w:pStyle w:val="TableParagraph"/>
              <w:spacing w:before="49"/>
              <w:ind w:left="518"/>
              <w:jc w:val="left"/>
              <w:rPr>
                <w:sz w:val="18"/>
              </w:rPr>
            </w:pPr>
            <w:r>
              <w:rPr>
                <w:sz w:val="18"/>
              </w:rPr>
              <w:t>90.21%</w:t>
            </w:r>
          </w:p>
        </w:tc>
        <w:tc>
          <w:tcPr>
            <w:tcW w:w="1200" w:type="dxa"/>
            <w:tcBorders>
              <w:left w:val="single" w:sz="4" w:space="0" w:color="000000"/>
              <w:bottom w:val="single" w:sz="4" w:space="0" w:color="000000"/>
              <w:right w:val="single" w:sz="4" w:space="0" w:color="000000"/>
            </w:tcBorders>
          </w:tcPr>
          <w:p>
            <w:pPr>
              <w:pStyle w:val="TableParagraph"/>
              <w:spacing w:before="49"/>
              <w:ind w:right="59"/>
              <w:jc w:val="right"/>
              <w:rPr>
                <w:sz w:val="18"/>
              </w:rPr>
            </w:pPr>
            <w:r>
              <w:rPr>
                <w:sz w:val="18"/>
              </w:rPr>
              <w:t>70.23%</w:t>
            </w:r>
          </w:p>
        </w:tc>
        <w:tc>
          <w:tcPr>
            <w:tcW w:w="1200" w:type="dxa"/>
            <w:tcBorders>
              <w:left w:val="single" w:sz="4" w:space="0" w:color="000000"/>
              <w:bottom w:val="single" w:sz="4" w:space="0" w:color="000000"/>
              <w:right w:val="single" w:sz="4" w:space="0" w:color="000000"/>
            </w:tcBorders>
          </w:tcPr>
          <w:p>
            <w:pPr>
              <w:pStyle w:val="TableParagraph"/>
              <w:spacing w:before="49"/>
              <w:ind w:right="59"/>
              <w:jc w:val="right"/>
              <w:rPr>
                <w:sz w:val="18"/>
              </w:rPr>
            </w:pPr>
            <w:r>
              <w:rPr>
                <w:sz w:val="18"/>
              </w:rPr>
              <w:t>32.20%</w:t>
            </w:r>
          </w:p>
        </w:tc>
        <w:tc>
          <w:tcPr>
            <w:tcW w:w="1200" w:type="dxa"/>
            <w:tcBorders>
              <w:left w:val="single" w:sz="4" w:space="0" w:color="000000"/>
              <w:bottom w:val="single" w:sz="4" w:space="0" w:color="000000"/>
              <w:right w:val="single" w:sz="4" w:space="0" w:color="000000"/>
            </w:tcBorders>
          </w:tcPr>
          <w:p>
            <w:pPr>
              <w:pStyle w:val="TableParagraph"/>
              <w:spacing w:before="49"/>
              <w:ind w:right="59"/>
              <w:jc w:val="right"/>
              <w:rPr>
                <w:sz w:val="18"/>
              </w:rPr>
            </w:pPr>
            <w:r>
              <w:rPr>
                <w:sz w:val="18"/>
              </w:rPr>
              <w:t>64.21%</w:t>
            </w:r>
          </w:p>
        </w:tc>
      </w:tr>
      <w:tr>
        <w:trPr>
          <w:trHeight w:val="264" w:hRule="exact"/>
        </w:trPr>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23"/>
              <w:ind w:left="345"/>
              <w:jc w:val="left"/>
              <w:rPr>
                <w:sz w:val="18"/>
              </w:rPr>
            </w:pPr>
            <w:r>
              <w:rPr>
                <w:sz w:val="18"/>
              </w:rPr>
              <w:t>6 a 10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S/I</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63.23%</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49.64%</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56.44%</w:t>
            </w:r>
          </w:p>
        </w:tc>
      </w:tr>
    </w:tbl>
    <w:p>
      <w:pPr>
        <w:spacing w:before="32"/>
        <w:ind w:left="1664" w:right="26" w:firstLine="0"/>
        <w:jc w:val="left"/>
        <w:rPr>
          <w:sz w:val="16"/>
        </w:rPr>
      </w:pPr>
      <w:r>
        <w:rPr>
          <w:sz w:val="16"/>
        </w:rPr>
        <w:t>Fuente: Elaboración propia</w:t>
      </w:r>
    </w:p>
    <w:p>
      <w:pPr>
        <w:pStyle w:val="BodyText"/>
        <w:rPr>
          <w:sz w:val="20"/>
        </w:rPr>
      </w:pPr>
    </w:p>
    <w:p>
      <w:pPr>
        <w:pStyle w:val="BodyText"/>
        <w:spacing w:before="2"/>
        <w:rPr>
          <w:sz w:val="27"/>
        </w:rPr>
      </w:pPr>
    </w:p>
    <w:p>
      <w:pPr>
        <w:pStyle w:val="BodyText"/>
        <w:spacing w:line="360" w:lineRule="auto" w:before="69"/>
        <w:ind w:left="128" w:right="115"/>
        <w:jc w:val="both"/>
      </w:pPr>
      <w:r>
        <w:rPr/>
        <w:t>Durante el periodo que comprende el 2013-2015 se tuvo un promedio de cumplimiento de la ley tal como se describe a continuación: en primer lugar, se encuentran</w:t>
      </w:r>
      <w:r>
        <w:rPr>
          <w:spacing w:val="-5"/>
        </w:rPr>
        <w:t> </w:t>
      </w:r>
      <w:r>
        <w:rPr/>
        <w:t>los</w:t>
      </w:r>
      <w:r>
        <w:rPr>
          <w:spacing w:val="-7"/>
        </w:rPr>
        <w:t> </w:t>
      </w:r>
      <w:r>
        <w:rPr/>
        <w:t>representantes</w:t>
      </w:r>
      <w:r>
        <w:rPr>
          <w:spacing w:val="-8"/>
        </w:rPr>
        <w:t> </w:t>
      </w:r>
      <w:r>
        <w:rPr/>
        <w:t>que</w:t>
      </w:r>
      <w:r>
        <w:rPr>
          <w:spacing w:val="-7"/>
        </w:rPr>
        <w:t> </w:t>
      </w:r>
      <w:r>
        <w:rPr/>
        <w:t>tienen</w:t>
      </w:r>
      <w:r>
        <w:rPr>
          <w:spacing w:val="-7"/>
        </w:rPr>
        <w:t> </w:t>
      </w:r>
      <w:r>
        <w:rPr/>
        <w:t>a</w:t>
      </w:r>
      <w:r>
        <w:rPr>
          <w:spacing w:val="-7"/>
        </w:rPr>
        <w:t> </w:t>
      </w:r>
      <w:r>
        <w:rPr/>
        <w:t>su</w:t>
      </w:r>
      <w:r>
        <w:rPr>
          <w:spacing w:val="-5"/>
        </w:rPr>
        <w:t> </w:t>
      </w:r>
      <w:r>
        <w:rPr/>
        <w:t>disposición</w:t>
      </w:r>
      <w:r>
        <w:rPr>
          <w:spacing w:val="-7"/>
        </w:rPr>
        <w:t> </w:t>
      </w:r>
      <w:r>
        <w:rPr/>
        <w:t>de</w:t>
      </w:r>
      <w:r>
        <w:rPr>
          <w:spacing w:val="-7"/>
        </w:rPr>
        <w:t> </w:t>
      </w:r>
      <w:r>
        <w:rPr/>
        <w:t>0</w:t>
      </w:r>
      <w:r>
        <w:rPr>
          <w:spacing w:val="-7"/>
        </w:rPr>
        <w:t> </w:t>
      </w:r>
      <w:r>
        <w:rPr/>
        <w:t>a</w:t>
      </w:r>
      <w:r>
        <w:rPr>
          <w:spacing w:val="-7"/>
        </w:rPr>
        <w:t> </w:t>
      </w:r>
      <w:r>
        <w:rPr/>
        <w:t>5</w:t>
      </w:r>
      <w:r>
        <w:rPr>
          <w:spacing w:val="-7"/>
        </w:rPr>
        <w:t> </w:t>
      </w:r>
      <w:r>
        <w:rPr/>
        <w:t>personas</w:t>
      </w:r>
      <w:r>
        <w:rPr>
          <w:spacing w:val="-5"/>
        </w:rPr>
        <w:t> </w:t>
      </w:r>
      <w:r>
        <w:rPr/>
        <w:t>con</w:t>
      </w:r>
      <w:r>
        <w:rPr>
          <w:spacing w:val="-7"/>
        </w:rPr>
        <w:t> </w:t>
      </w:r>
      <w:r>
        <w:rPr/>
        <w:t>un porcentaje</w:t>
      </w:r>
      <w:r>
        <w:rPr>
          <w:spacing w:val="-9"/>
        </w:rPr>
        <w:t> </w:t>
      </w:r>
      <w:r>
        <w:rPr/>
        <w:t>general</w:t>
      </w:r>
      <w:r>
        <w:rPr>
          <w:spacing w:val="-12"/>
        </w:rPr>
        <w:t> </w:t>
      </w:r>
      <w:r>
        <w:rPr/>
        <w:t>del</w:t>
      </w:r>
      <w:r>
        <w:rPr>
          <w:spacing w:val="-12"/>
        </w:rPr>
        <w:t> </w:t>
      </w:r>
      <w:r>
        <w:rPr/>
        <w:t>64.21%</w:t>
      </w:r>
      <w:r>
        <w:rPr>
          <w:spacing w:val="-9"/>
        </w:rPr>
        <w:t> </w:t>
      </w:r>
      <w:r>
        <w:rPr/>
        <w:t>y</w:t>
      </w:r>
      <w:r>
        <w:rPr>
          <w:spacing w:val="-12"/>
        </w:rPr>
        <w:t> </w:t>
      </w:r>
      <w:r>
        <w:rPr/>
        <w:t>en</w:t>
      </w:r>
      <w:r>
        <w:rPr>
          <w:spacing w:val="-11"/>
        </w:rPr>
        <w:t> </w:t>
      </w:r>
      <w:r>
        <w:rPr/>
        <w:t>segundo</w:t>
      </w:r>
      <w:r>
        <w:rPr>
          <w:spacing w:val="-11"/>
        </w:rPr>
        <w:t> </w:t>
      </w:r>
      <w:r>
        <w:rPr/>
        <w:t>lugar</w:t>
      </w:r>
      <w:r>
        <w:rPr>
          <w:spacing w:val="-10"/>
        </w:rPr>
        <w:t> </w:t>
      </w:r>
      <w:r>
        <w:rPr/>
        <w:t>los</w:t>
      </w:r>
      <w:r>
        <w:rPr>
          <w:spacing w:val="-9"/>
        </w:rPr>
        <w:t> </w:t>
      </w:r>
      <w:r>
        <w:rPr/>
        <w:t>que</w:t>
      </w:r>
      <w:r>
        <w:rPr>
          <w:spacing w:val="-11"/>
        </w:rPr>
        <w:t> </w:t>
      </w:r>
      <w:r>
        <w:rPr/>
        <w:t>tienen</w:t>
      </w:r>
      <w:r>
        <w:rPr>
          <w:spacing w:val="-11"/>
        </w:rPr>
        <w:t> </w:t>
      </w:r>
      <w:r>
        <w:rPr/>
        <w:t>de</w:t>
      </w:r>
      <w:r>
        <w:rPr>
          <w:spacing w:val="-7"/>
        </w:rPr>
        <w:t> </w:t>
      </w:r>
      <w:r>
        <w:rPr/>
        <w:t>6</w:t>
      </w:r>
      <w:r>
        <w:rPr>
          <w:spacing w:val="-8"/>
        </w:rPr>
        <w:t> </w:t>
      </w:r>
      <w:r>
        <w:rPr/>
        <w:t>a</w:t>
      </w:r>
      <w:r>
        <w:rPr>
          <w:spacing w:val="-11"/>
        </w:rPr>
        <w:t> </w:t>
      </w:r>
      <w:r>
        <w:rPr/>
        <w:t>10</w:t>
      </w:r>
      <w:r>
        <w:rPr>
          <w:spacing w:val="-10"/>
        </w:rPr>
        <w:t> </w:t>
      </w:r>
      <w:r>
        <w:rPr/>
        <w:t>personas obtuvieron un</w:t>
      </w:r>
      <w:r>
        <w:rPr>
          <w:spacing w:val="-9"/>
        </w:rPr>
        <w:t> </w:t>
      </w:r>
      <w:r>
        <w:rPr/>
        <w:t>56.44%.</w:t>
      </w:r>
    </w:p>
    <w:p>
      <w:pPr>
        <w:pStyle w:val="BodyText"/>
      </w:pPr>
    </w:p>
    <w:p>
      <w:pPr>
        <w:pStyle w:val="BodyText"/>
      </w:pPr>
    </w:p>
    <w:p>
      <w:pPr>
        <w:pStyle w:val="Heading1"/>
        <w:numPr>
          <w:ilvl w:val="2"/>
          <w:numId w:val="53"/>
        </w:numPr>
        <w:tabs>
          <w:tab w:pos="837" w:val="left" w:leader="none"/>
        </w:tabs>
        <w:spacing w:line="360" w:lineRule="auto" w:before="185" w:after="0"/>
        <w:ind w:left="836" w:right="120" w:hanging="720"/>
        <w:jc w:val="left"/>
      </w:pPr>
      <w:r>
        <w:rPr/>
        <w:t>Número</w:t>
      </w:r>
      <w:r>
        <w:rPr>
          <w:spacing w:val="-14"/>
        </w:rPr>
        <w:t> </w:t>
      </w:r>
      <w:r>
        <w:rPr/>
        <w:t>de</w:t>
      </w:r>
      <w:r>
        <w:rPr>
          <w:spacing w:val="-13"/>
        </w:rPr>
        <w:t> </w:t>
      </w:r>
      <w:r>
        <w:rPr/>
        <w:t>equipos</w:t>
      </w:r>
      <w:r>
        <w:rPr>
          <w:spacing w:val="-13"/>
        </w:rPr>
        <w:t> </w:t>
      </w:r>
      <w:r>
        <w:rPr/>
        <w:t>de</w:t>
      </w:r>
      <w:r>
        <w:rPr>
          <w:spacing w:val="-13"/>
        </w:rPr>
        <w:t> </w:t>
      </w:r>
      <w:r>
        <w:rPr/>
        <w:t>cómputo</w:t>
      </w:r>
      <w:r>
        <w:rPr>
          <w:spacing w:val="-14"/>
        </w:rPr>
        <w:t> </w:t>
      </w:r>
      <w:r>
        <w:rPr/>
        <w:t>con</w:t>
      </w:r>
      <w:r>
        <w:rPr>
          <w:spacing w:val="-14"/>
        </w:rPr>
        <w:t> </w:t>
      </w:r>
      <w:r>
        <w:rPr/>
        <w:t>los</w:t>
      </w:r>
      <w:r>
        <w:rPr>
          <w:spacing w:val="-13"/>
        </w:rPr>
        <w:t> </w:t>
      </w:r>
      <w:r>
        <w:rPr/>
        <w:t>que</w:t>
      </w:r>
      <w:r>
        <w:rPr>
          <w:spacing w:val="-13"/>
        </w:rPr>
        <w:t> </w:t>
      </w:r>
      <w:r>
        <w:rPr/>
        <w:t>cuenta</w:t>
      </w:r>
      <w:r>
        <w:rPr>
          <w:spacing w:val="-16"/>
        </w:rPr>
        <w:t> </w:t>
      </w:r>
      <w:r>
        <w:rPr/>
        <w:t>en</w:t>
      </w:r>
      <w:r>
        <w:rPr>
          <w:spacing w:val="-14"/>
        </w:rPr>
        <w:t> </w:t>
      </w:r>
      <w:r>
        <w:rPr/>
        <w:t>su</w:t>
      </w:r>
      <w:r>
        <w:rPr>
          <w:spacing w:val="-14"/>
        </w:rPr>
        <w:t> </w:t>
      </w:r>
      <w:r>
        <w:rPr/>
        <w:t>área</w:t>
      </w:r>
      <w:r>
        <w:rPr>
          <w:spacing w:val="-13"/>
        </w:rPr>
        <w:t> </w:t>
      </w:r>
      <w:r>
        <w:rPr/>
        <w:t>de</w:t>
      </w:r>
      <w:r>
        <w:rPr>
          <w:spacing w:val="-13"/>
        </w:rPr>
        <w:t> </w:t>
      </w:r>
      <w:r>
        <w:rPr/>
        <w:t>trabajo vs porcentaje de transparencia</w:t>
      </w:r>
      <w:r>
        <w:rPr>
          <w:spacing w:val="-12"/>
        </w:rPr>
        <w:t> </w:t>
      </w:r>
      <w:r>
        <w:rPr/>
        <w:t>2015</w:t>
      </w:r>
    </w:p>
    <w:p>
      <w:pPr>
        <w:pStyle w:val="BodyText"/>
        <w:rPr>
          <w:b/>
          <w:sz w:val="20"/>
        </w:rPr>
      </w:pPr>
    </w:p>
    <w:p>
      <w:pPr>
        <w:pStyle w:val="BodyText"/>
        <w:spacing w:before="7"/>
        <w:rPr>
          <w:b/>
          <w:sz w:val="19"/>
        </w:rPr>
      </w:pPr>
    </w:p>
    <w:tbl>
      <w:tblPr>
        <w:tblW w:w="0" w:type="auto"/>
        <w:jc w:val="left"/>
        <w:tblInd w:w="27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99"/>
        <w:gridCol w:w="1200"/>
        <w:gridCol w:w="1200"/>
      </w:tblGrid>
      <w:tr>
        <w:trPr>
          <w:trHeight w:val="641" w:hRule="exact"/>
        </w:trPr>
        <w:tc>
          <w:tcPr>
            <w:tcW w:w="3599" w:type="dxa"/>
            <w:gridSpan w:val="3"/>
            <w:shd w:val="clear" w:color="auto" w:fill="92D050"/>
          </w:tcPr>
          <w:p>
            <w:pPr>
              <w:pStyle w:val="TableParagraph"/>
              <w:ind w:left="99" w:right="99" w:firstLine="1"/>
              <w:rPr>
                <w:b/>
                <w:sz w:val="18"/>
              </w:rPr>
            </w:pPr>
            <w:r>
              <w:rPr>
                <w:b/>
                <w:sz w:val="18"/>
              </w:rPr>
              <w:t>Tabla 3.38: Número de equipos de cómputo con los que cuenta en su área de trabajo</w:t>
            </w:r>
          </w:p>
        </w:tc>
      </w:tr>
      <w:tr>
        <w:trPr>
          <w:trHeight w:val="283" w:hRule="exact"/>
        </w:trPr>
        <w:tc>
          <w:tcPr>
            <w:tcW w:w="1199" w:type="dxa"/>
            <w:vMerge w:val="restart"/>
            <w:shd w:val="clear" w:color="auto" w:fill="92D050"/>
          </w:tcPr>
          <w:p>
            <w:pPr>
              <w:pStyle w:val="TableParagraph"/>
              <w:spacing w:before="157"/>
              <w:ind w:left="351" w:right="157"/>
              <w:jc w:val="left"/>
              <w:rPr>
                <w:b/>
                <w:sz w:val="18"/>
              </w:rPr>
            </w:pPr>
            <w:r>
              <w:rPr>
                <w:b/>
                <w:sz w:val="18"/>
              </w:rPr>
              <w:t>Clase</w:t>
            </w:r>
          </w:p>
        </w:tc>
        <w:tc>
          <w:tcPr>
            <w:tcW w:w="2400" w:type="dxa"/>
            <w:gridSpan w:val="2"/>
            <w:shd w:val="clear" w:color="auto" w:fill="92D050"/>
          </w:tcPr>
          <w:p>
            <w:pPr>
              <w:pStyle w:val="TableParagraph"/>
              <w:spacing w:before="23"/>
              <w:ind w:left="970" w:right="966"/>
              <w:rPr>
                <w:b/>
                <w:sz w:val="18"/>
              </w:rPr>
            </w:pPr>
            <w:r>
              <w:rPr>
                <w:b/>
                <w:sz w:val="18"/>
              </w:rPr>
              <w:t>2015</w:t>
            </w:r>
          </w:p>
        </w:tc>
      </w:tr>
      <w:tr>
        <w:trPr>
          <w:trHeight w:val="271" w:hRule="exact"/>
        </w:trPr>
        <w:tc>
          <w:tcPr>
            <w:tcW w:w="1199" w:type="dxa"/>
            <w:vMerge/>
            <w:shd w:val="clear" w:color="auto" w:fill="92D050"/>
          </w:tcPr>
          <w:p>
            <w:pPr/>
          </w:p>
        </w:tc>
        <w:tc>
          <w:tcPr>
            <w:tcW w:w="1200" w:type="dxa"/>
            <w:shd w:val="clear" w:color="auto" w:fill="92D050"/>
          </w:tcPr>
          <w:p>
            <w:pPr>
              <w:pStyle w:val="TableParagraph"/>
              <w:spacing w:before="16"/>
              <w:ind w:left="97" w:right="93"/>
              <w:rPr>
                <w:b/>
                <w:sz w:val="18"/>
              </w:rPr>
            </w:pPr>
            <w:r>
              <w:rPr>
                <w:b/>
                <w:sz w:val="18"/>
              </w:rPr>
              <w:t>Frecuencia</w:t>
            </w:r>
          </w:p>
        </w:tc>
        <w:tc>
          <w:tcPr>
            <w:tcW w:w="1200" w:type="dxa"/>
            <w:shd w:val="clear" w:color="auto" w:fill="92D050"/>
          </w:tcPr>
          <w:p>
            <w:pPr>
              <w:pStyle w:val="TableParagraph"/>
              <w:spacing w:before="16"/>
              <w:ind w:left="511"/>
              <w:jc w:val="left"/>
              <w:rPr>
                <w:b/>
                <w:sz w:val="18"/>
              </w:rPr>
            </w:pPr>
            <w:r>
              <w:rPr>
                <w:b/>
                <w:w w:val="99"/>
                <w:sz w:val="18"/>
              </w:rPr>
              <w:t>%</w:t>
            </w:r>
          </w:p>
        </w:tc>
      </w:tr>
      <w:tr>
        <w:trPr>
          <w:trHeight w:val="272" w:hRule="exact"/>
        </w:trPr>
        <w:tc>
          <w:tcPr>
            <w:tcW w:w="1199" w:type="dxa"/>
            <w:tcBorders>
              <w:left w:val="single" w:sz="4" w:space="0" w:color="000000"/>
              <w:bottom w:val="single" w:sz="4" w:space="0" w:color="000000"/>
              <w:right w:val="single" w:sz="4" w:space="0" w:color="000000"/>
            </w:tcBorders>
          </w:tcPr>
          <w:p>
            <w:pPr>
              <w:pStyle w:val="TableParagraph"/>
              <w:spacing w:before="23"/>
              <w:ind w:left="394"/>
              <w:jc w:val="left"/>
              <w:rPr>
                <w:sz w:val="18"/>
              </w:rPr>
            </w:pPr>
            <w:r>
              <w:rPr>
                <w:sz w:val="18"/>
              </w:rPr>
              <w:t>0 a 5</w:t>
            </w:r>
          </w:p>
        </w:tc>
        <w:tc>
          <w:tcPr>
            <w:tcW w:w="1200" w:type="dxa"/>
            <w:tcBorders>
              <w:left w:val="single" w:sz="4" w:space="0" w:color="000000"/>
              <w:bottom w:val="single" w:sz="4" w:space="0" w:color="000000"/>
              <w:right w:val="single" w:sz="4" w:space="0" w:color="000000"/>
            </w:tcBorders>
          </w:tcPr>
          <w:p>
            <w:pPr>
              <w:pStyle w:val="TableParagraph"/>
              <w:spacing w:before="47"/>
              <w:ind w:left="270" w:right="266"/>
              <w:rPr>
                <w:sz w:val="18"/>
              </w:rPr>
            </w:pPr>
            <w:r>
              <w:rPr>
                <w:sz w:val="18"/>
              </w:rPr>
              <w:t>44</w:t>
            </w:r>
          </w:p>
        </w:tc>
        <w:tc>
          <w:tcPr>
            <w:tcW w:w="1200" w:type="dxa"/>
            <w:tcBorders>
              <w:left w:val="single" w:sz="4" w:space="0" w:color="000000"/>
              <w:bottom w:val="single" w:sz="4" w:space="0" w:color="000000"/>
              <w:right w:val="single" w:sz="4" w:space="0" w:color="000000"/>
            </w:tcBorders>
          </w:tcPr>
          <w:p>
            <w:pPr>
              <w:pStyle w:val="TableParagraph"/>
              <w:spacing w:before="47"/>
              <w:ind w:left="518"/>
              <w:jc w:val="left"/>
              <w:rPr>
                <w:sz w:val="18"/>
              </w:rPr>
            </w:pPr>
            <w:r>
              <w:rPr>
                <w:sz w:val="18"/>
              </w:rPr>
              <w:t>32.00%</w:t>
            </w:r>
          </w:p>
        </w:tc>
      </w:tr>
      <w:tr>
        <w:trPr>
          <w:trHeight w:val="264" w:hRule="exact"/>
        </w:trPr>
        <w:tc>
          <w:tcPr>
            <w:tcW w:w="1199" w:type="dxa"/>
            <w:tcBorders>
              <w:top w:val="single" w:sz="4" w:space="0" w:color="000000"/>
              <w:left w:val="single" w:sz="4" w:space="0" w:color="000000"/>
              <w:bottom w:val="single" w:sz="4" w:space="0" w:color="000000"/>
              <w:right w:val="single" w:sz="4" w:space="0" w:color="000000"/>
            </w:tcBorders>
          </w:tcPr>
          <w:p>
            <w:pPr>
              <w:pStyle w:val="TableParagraph"/>
              <w:spacing w:before="23"/>
              <w:ind w:left="344"/>
              <w:jc w:val="left"/>
              <w:rPr>
                <w:sz w:val="18"/>
              </w:rPr>
            </w:pPr>
            <w:r>
              <w:rPr>
                <w:sz w:val="18"/>
              </w:rPr>
              <w:t>6 a 10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3"/>
              <w:rPr>
                <w:sz w:val="18"/>
              </w:rPr>
            </w:pPr>
            <w:r>
              <w:rPr>
                <w:w w:val="99"/>
                <w:sz w:val="18"/>
              </w:rPr>
              <w:t>2</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518"/>
              <w:jc w:val="left"/>
              <w:rPr>
                <w:sz w:val="18"/>
              </w:rPr>
            </w:pPr>
            <w:r>
              <w:rPr>
                <w:sz w:val="18"/>
              </w:rPr>
              <w:t>47.53%</w:t>
            </w:r>
          </w:p>
        </w:tc>
      </w:tr>
    </w:tbl>
    <w:p>
      <w:pPr>
        <w:spacing w:before="23"/>
        <w:ind w:left="2865" w:right="26" w:firstLine="0"/>
        <w:jc w:val="left"/>
        <w:rPr>
          <w:sz w:val="18"/>
        </w:rPr>
      </w:pPr>
      <w:r>
        <w:rPr>
          <w:sz w:val="16"/>
        </w:rPr>
        <w:t>Fuente: Elaboración propia</w:t>
      </w:r>
      <w:r>
        <w:rPr>
          <w:sz w:val="18"/>
        </w:rPr>
        <w:t>.</w:t>
      </w:r>
    </w:p>
    <w:p>
      <w:pPr>
        <w:pStyle w:val="BodyText"/>
        <w:rPr>
          <w:sz w:val="20"/>
        </w:rPr>
      </w:pPr>
    </w:p>
    <w:p>
      <w:pPr>
        <w:pStyle w:val="BodyText"/>
        <w:rPr>
          <w:sz w:val="26"/>
        </w:rPr>
      </w:pPr>
    </w:p>
    <w:p>
      <w:pPr>
        <w:pStyle w:val="BodyText"/>
        <w:spacing w:line="360" w:lineRule="auto" w:before="69"/>
        <w:ind w:left="128" w:right="26"/>
      </w:pPr>
      <w:r>
        <w:rPr/>
        <w:t>En la tabla anterior se muestran los resultados obtenidos de hacer el cruce de las variables  del cumplimiento de  la  ley de transparencia  en  relación  al número   de</w:t>
      </w:r>
    </w:p>
    <w:p>
      <w:pPr>
        <w:spacing w:after="0" w:line="360" w:lineRule="auto"/>
        <w:sectPr>
          <w:pgSz w:w="12240" w:h="15840"/>
          <w:pgMar w:header="0" w:footer="975" w:top="1360" w:bottom="1220" w:left="1480" w:right="1580"/>
        </w:sectPr>
      </w:pPr>
    </w:p>
    <w:p>
      <w:pPr>
        <w:pStyle w:val="BodyText"/>
        <w:spacing w:line="360" w:lineRule="auto" w:before="54"/>
        <w:ind w:left="128" w:right="115"/>
        <w:jc w:val="both"/>
      </w:pPr>
      <w:r>
        <w:rPr/>
        <w:t>equipos de cómputo con los que cuenta en su área de trabajo que tienen los responsables de la transparencia en los gobiernos municipales. Los resultados obtenidos muestran cómo los responsables de la transparencia que cuentan de 6 a 10</w:t>
      </w:r>
      <w:r>
        <w:rPr>
          <w:spacing w:val="-4"/>
        </w:rPr>
        <w:t> </w:t>
      </w:r>
      <w:r>
        <w:rPr/>
        <w:t>equipos</w:t>
      </w:r>
      <w:r>
        <w:rPr>
          <w:spacing w:val="-7"/>
        </w:rPr>
        <w:t> </w:t>
      </w:r>
      <w:r>
        <w:rPr/>
        <w:t>de</w:t>
      </w:r>
      <w:r>
        <w:rPr>
          <w:spacing w:val="-4"/>
        </w:rPr>
        <w:t> </w:t>
      </w:r>
      <w:r>
        <w:rPr/>
        <w:t>cómputo</w:t>
      </w:r>
      <w:r>
        <w:rPr>
          <w:spacing w:val="-4"/>
        </w:rPr>
        <w:t> </w:t>
      </w:r>
      <w:r>
        <w:rPr/>
        <w:t>que</w:t>
      </w:r>
      <w:r>
        <w:rPr>
          <w:spacing w:val="-4"/>
        </w:rPr>
        <w:t> </w:t>
      </w:r>
      <w:r>
        <w:rPr/>
        <w:t>conforman</w:t>
      </w:r>
      <w:r>
        <w:rPr>
          <w:spacing w:val="-4"/>
        </w:rPr>
        <w:t> </w:t>
      </w:r>
      <w:r>
        <w:rPr/>
        <w:t>su</w:t>
      </w:r>
      <w:r>
        <w:rPr>
          <w:spacing w:val="-4"/>
        </w:rPr>
        <w:t> </w:t>
      </w:r>
      <w:r>
        <w:rPr/>
        <w:t>área</w:t>
      </w:r>
      <w:r>
        <w:rPr>
          <w:spacing w:val="-4"/>
        </w:rPr>
        <w:t> </w:t>
      </w:r>
      <w:r>
        <w:rPr/>
        <w:t>de</w:t>
      </w:r>
      <w:r>
        <w:rPr>
          <w:spacing w:val="-6"/>
        </w:rPr>
        <w:t> </w:t>
      </w:r>
      <w:r>
        <w:rPr/>
        <w:t>trabajo</w:t>
      </w:r>
      <w:r>
        <w:rPr>
          <w:spacing w:val="-4"/>
        </w:rPr>
        <w:t> </w:t>
      </w:r>
      <w:r>
        <w:rPr/>
        <w:t>obtuvieron</w:t>
      </w:r>
      <w:r>
        <w:rPr>
          <w:spacing w:val="-4"/>
        </w:rPr>
        <w:t> </w:t>
      </w:r>
      <w:r>
        <w:rPr/>
        <w:t>el</w:t>
      </w:r>
      <w:r>
        <w:rPr>
          <w:spacing w:val="-5"/>
        </w:rPr>
        <w:t> </w:t>
      </w:r>
      <w:r>
        <w:rPr/>
        <w:t>primer</w:t>
      </w:r>
      <w:r>
        <w:rPr>
          <w:spacing w:val="-5"/>
        </w:rPr>
        <w:t> </w:t>
      </w:r>
      <w:r>
        <w:rPr/>
        <w:t>lugar con</w:t>
      </w:r>
      <w:r>
        <w:rPr>
          <w:spacing w:val="-4"/>
        </w:rPr>
        <w:t> </w:t>
      </w:r>
      <w:r>
        <w:rPr/>
        <w:t>un</w:t>
      </w:r>
      <w:r>
        <w:rPr>
          <w:spacing w:val="-4"/>
        </w:rPr>
        <w:t> </w:t>
      </w:r>
      <w:r>
        <w:rPr/>
        <w:t>47.53%</w:t>
      </w:r>
      <w:r>
        <w:rPr>
          <w:spacing w:val="-4"/>
        </w:rPr>
        <w:t> </w:t>
      </w:r>
      <w:r>
        <w:rPr/>
        <w:t>y</w:t>
      </w:r>
      <w:r>
        <w:rPr>
          <w:spacing w:val="-7"/>
        </w:rPr>
        <w:t> </w:t>
      </w:r>
      <w:r>
        <w:rPr/>
        <w:t>en</w:t>
      </w:r>
      <w:r>
        <w:rPr>
          <w:spacing w:val="-4"/>
        </w:rPr>
        <w:t> </w:t>
      </w:r>
      <w:r>
        <w:rPr/>
        <w:t>segundo</w:t>
      </w:r>
      <w:r>
        <w:rPr>
          <w:spacing w:val="-4"/>
        </w:rPr>
        <w:t> </w:t>
      </w:r>
      <w:r>
        <w:rPr/>
        <w:t>lugar</w:t>
      </w:r>
      <w:r>
        <w:rPr>
          <w:spacing w:val="-5"/>
        </w:rPr>
        <w:t> </w:t>
      </w:r>
      <w:r>
        <w:rPr/>
        <w:t>se</w:t>
      </w:r>
      <w:r>
        <w:rPr>
          <w:spacing w:val="-6"/>
        </w:rPr>
        <w:t> </w:t>
      </w:r>
      <w:r>
        <w:rPr/>
        <w:t>encuentran</w:t>
      </w:r>
      <w:r>
        <w:rPr>
          <w:spacing w:val="-4"/>
        </w:rPr>
        <w:t> </w:t>
      </w:r>
      <w:r>
        <w:rPr/>
        <w:t>los</w:t>
      </w:r>
      <w:r>
        <w:rPr>
          <w:spacing w:val="-4"/>
        </w:rPr>
        <w:t> </w:t>
      </w:r>
      <w:r>
        <w:rPr/>
        <w:t>que</w:t>
      </w:r>
      <w:r>
        <w:rPr>
          <w:spacing w:val="-6"/>
        </w:rPr>
        <w:t> </w:t>
      </w:r>
      <w:r>
        <w:rPr/>
        <w:t>tienen</w:t>
      </w:r>
      <w:r>
        <w:rPr>
          <w:spacing w:val="-6"/>
        </w:rPr>
        <w:t> </w:t>
      </w:r>
      <w:r>
        <w:rPr/>
        <w:t>a</w:t>
      </w:r>
      <w:r>
        <w:rPr>
          <w:spacing w:val="-4"/>
        </w:rPr>
        <w:t> </w:t>
      </w:r>
      <w:r>
        <w:rPr/>
        <w:t>su</w:t>
      </w:r>
      <w:r>
        <w:rPr>
          <w:spacing w:val="-4"/>
        </w:rPr>
        <w:t> </w:t>
      </w:r>
      <w:r>
        <w:rPr/>
        <w:t>disposición</w:t>
      </w:r>
      <w:r>
        <w:rPr>
          <w:spacing w:val="-6"/>
        </w:rPr>
        <w:t> </w:t>
      </w:r>
      <w:r>
        <w:rPr/>
        <w:t>de 0 a 5 equipos de cómputo con un porcentaje del</w:t>
      </w:r>
      <w:r>
        <w:rPr>
          <w:spacing w:val="-20"/>
        </w:rPr>
        <w:t> </w:t>
      </w:r>
      <w:r>
        <w:rPr/>
        <w:t>32.00%.</w:t>
      </w:r>
    </w:p>
    <w:p>
      <w:pPr>
        <w:pStyle w:val="BodyText"/>
      </w:pPr>
    </w:p>
    <w:p>
      <w:pPr>
        <w:pStyle w:val="BodyText"/>
      </w:pPr>
    </w:p>
    <w:p>
      <w:pPr>
        <w:pStyle w:val="BodyText"/>
        <w:spacing w:line="362" w:lineRule="auto" w:before="185"/>
        <w:ind w:left="128" w:right="118"/>
        <w:jc w:val="both"/>
      </w:pPr>
      <w:r>
        <w:rPr/>
        <w:t>En</w:t>
      </w:r>
      <w:r>
        <w:rPr>
          <w:spacing w:val="-9"/>
        </w:rPr>
        <w:t> </w:t>
      </w:r>
      <w:r>
        <w:rPr/>
        <w:t>un</w:t>
      </w:r>
      <w:r>
        <w:rPr>
          <w:spacing w:val="-9"/>
        </w:rPr>
        <w:t> </w:t>
      </w:r>
      <w:r>
        <w:rPr/>
        <w:t>sentido</w:t>
      </w:r>
      <w:r>
        <w:rPr>
          <w:spacing w:val="-9"/>
        </w:rPr>
        <w:t> </w:t>
      </w:r>
      <w:r>
        <w:rPr/>
        <w:t>retroactivo</w:t>
      </w:r>
      <w:r>
        <w:rPr>
          <w:spacing w:val="-9"/>
        </w:rPr>
        <w:t> </w:t>
      </w:r>
      <w:r>
        <w:rPr/>
        <w:t>del</w:t>
      </w:r>
      <w:r>
        <w:rPr>
          <w:spacing w:val="-11"/>
        </w:rPr>
        <w:t> </w:t>
      </w:r>
      <w:r>
        <w:rPr/>
        <w:t>periodo</w:t>
      </w:r>
      <w:r>
        <w:rPr>
          <w:spacing w:val="-9"/>
        </w:rPr>
        <w:t> </w:t>
      </w:r>
      <w:r>
        <w:rPr/>
        <w:t>de</w:t>
      </w:r>
      <w:r>
        <w:rPr>
          <w:spacing w:val="-9"/>
        </w:rPr>
        <w:t> </w:t>
      </w:r>
      <w:r>
        <w:rPr/>
        <w:t>administración</w:t>
      </w:r>
      <w:r>
        <w:rPr>
          <w:spacing w:val="-9"/>
        </w:rPr>
        <w:t> </w:t>
      </w:r>
      <w:r>
        <w:rPr/>
        <w:t>2013</w:t>
      </w:r>
      <w:r>
        <w:rPr>
          <w:spacing w:val="-3"/>
        </w:rPr>
        <w:t> </w:t>
      </w:r>
      <w:r>
        <w:rPr/>
        <w:t>-2015</w:t>
      </w:r>
      <w:r>
        <w:rPr>
          <w:spacing w:val="-9"/>
        </w:rPr>
        <w:t> </w:t>
      </w:r>
      <w:r>
        <w:rPr/>
        <w:t>la</w:t>
      </w:r>
      <w:r>
        <w:rPr>
          <w:spacing w:val="-9"/>
        </w:rPr>
        <w:t> </w:t>
      </w:r>
      <w:r>
        <w:rPr/>
        <w:t>siguiente</w:t>
      </w:r>
      <w:r>
        <w:rPr>
          <w:spacing w:val="-9"/>
        </w:rPr>
        <w:t> </w:t>
      </w:r>
      <w:r>
        <w:rPr/>
        <w:t>tabla muestra el promedio de cumplimiento de la ley de</w:t>
      </w:r>
      <w:r>
        <w:rPr>
          <w:spacing w:val="-17"/>
        </w:rPr>
        <w:t> </w:t>
      </w:r>
      <w:r>
        <w:rPr/>
        <w:t>transparencia:</w:t>
      </w:r>
    </w:p>
    <w:p>
      <w:pPr>
        <w:pStyle w:val="BodyText"/>
        <w:rPr>
          <w:sz w:val="20"/>
        </w:rPr>
      </w:pPr>
    </w:p>
    <w:p>
      <w:pPr>
        <w:pStyle w:val="BodyText"/>
        <w:rPr>
          <w:sz w:val="20"/>
        </w:rPr>
      </w:pPr>
    </w:p>
    <w:p>
      <w:pPr>
        <w:pStyle w:val="BodyText"/>
      </w:pPr>
    </w:p>
    <w:tbl>
      <w:tblPr>
        <w:tblW w:w="0" w:type="auto"/>
        <w:jc w:val="left"/>
        <w:tblInd w:w="15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99"/>
        <w:gridCol w:w="1200"/>
        <w:gridCol w:w="1200"/>
        <w:gridCol w:w="1200"/>
        <w:gridCol w:w="1200"/>
      </w:tblGrid>
      <w:tr>
        <w:trPr>
          <w:trHeight w:val="434" w:hRule="exact"/>
        </w:trPr>
        <w:tc>
          <w:tcPr>
            <w:tcW w:w="6000" w:type="dxa"/>
            <w:gridSpan w:val="5"/>
            <w:shd w:val="clear" w:color="auto" w:fill="92D050"/>
          </w:tcPr>
          <w:p>
            <w:pPr>
              <w:pStyle w:val="TableParagraph"/>
              <w:spacing w:line="242" w:lineRule="auto"/>
              <w:ind w:left="2221" w:right="135" w:hanging="2067"/>
              <w:jc w:val="left"/>
              <w:rPr>
                <w:b/>
                <w:sz w:val="18"/>
              </w:rPr>
            </w:pPr>
            <w:r>
              <w:rPr>
                <w:b/>
                <w:sz w:val="18"/>
              </w:rPr>
              <w:t>Tabla 3.39: Número de equipos de cómputo con los que cuenta en su área de trabajo</w:t>
            </w:r>
          </w:p>
        </w:tc>
      </w:tr>
      <w:tr>
        <w:trPr>
          <w:trHeight w:val="514" w:hRule="exact"/>
        </w:trPr>
        <w:tc>
          <w:tcPr>
            <w:tcW w:w="1199" w:type="dxa"/>
            <w:shd w:val="clear" w:color="auto" w:fill="92D050"/>
          </w:tcPr>
          <w:p>
            <w:pPr>
              <w:pStyle w:val="TableParagraph"/>
              <w:spacing w:before="138"/>
              <w:ind w:left="351"/>
              <w:jc w:val="left"/>
              <w:rPr>
                <w:b/>
                <w:sz w:val="18"/>
              </w:rPr>
            </w:pPr>
            <w:r>
              <w:rPr>
                <w:b/>
                <w:sz w:val="18"/>
              </w:rPr>
              <w:t>Clase</w:t>
            </w:r>
          </w:p>
        </w:tc>
        <w:tc>
          <w:tcPr>
            <w:tcW w:w="1200" w:type="dxa"/>
            <w:tcBorders>
              <w:bottom w:val="single" w:sz="4" w:space="0" w:color="000000"/>
            </w:tcBorders>
            <w:shd w:val="clear" w:color="auto" w:fill="92D050"/>
          </w:tcPr>
          <w:p>
            <w:pPr>
              <w:pStyle w:val="TableParagraph"/>
              <w:spacing w:before="138"/>
              <w:ind w:left="391" w:right="155"/>
              <w:jc w:val="left"/>
              <w:rPr>
                <w:b/>
                <w:sz w:val="18"/>
              </w:rPr>
            </w:pPr>
            <w:r>
              <w:rPr>
                <w:b/>
                <w:sz w:val="18"/>
              </w:rPr>
              <w:t>2013</w:t>
            </w:r>
          </w:p>
        </w:tc>
        <w:tc>
          <w:tcPr>
            <w:tcW w:w="1200" w:type="dxa"/>
            <w:tcBorders>
              <w:bottom w:val="single" w:sz="4" w:space="0" w:color="000000"/>
            </w:tcBorders>
            <w:shd w:val="clear" w:color="auto" w:fill="92D050"/>
          </w:tcPr>
          <w:p>
            <w:pPr>
              <w:pStyle w:val="TableParagraph"/>
              <w:spacing w:before="138"/>
              <w:ind w:left="391"/>
              <w:jc w:val="left"/>
              <w:rPr>
                <w:b/>
                <w:sz w:val="18"/>
              </w:rPr>
            </w:pPr>
            <w:r>
              <w:rPr>
                <w:b/>
                <w:sz w:val="18"/>
              </w:rPr>
              <w:t>2014</w:t>
            </w:r>
          </w:p>
        </w:tc>
        <w:tc>
          <w:tcPr>
            <w:tcW w:w="1200" w:type="dxa"/>
            <w:tcBorders>
              <w:bottom w:val="single" w:sz="4" w:space="0" w:color="000000"/>
            </w:tcBorders>
            <w:shd w:val="clear" w:color="auto" w:fill="92D050"/>
          </w:tcPr>
          <w:p>
            <w:pPr>
              <w:pStyle w:val="TableParagraph"/>
              <w:spacing w:before="138"/>
              <w:ind w:left="391" w:right="155"/>
              <w:jc w:val="left"/>
              <w:rPr>
                <w:b/>
                <w:sz w:val="18"/>
              </w:rPr>
            </w:pPr>
            <w:r>
              <w:rPr>
                <w:b/>
                <w:sz w:val="18"/>
              </w:rPr>
              <w:t>2015</w:t>
            </w:r>
          </w:p>
        </w:tc>
        <w:tc>
          <w:tcPr>
            <w:tcW w:w="1200" w:type="dxa"/>
            <w:tcBorders>
              <w:bottom w:val="single" w:sz="4" w:space="0" w:color="000000"/>
            </w:tcBorders>
            <w:shd w:val="clear" w:color="auto" w:fill="92D050"/>
          </w:tcPr>
          <w:p>
            <w:pPr>
              <w:pStyle w:val="TableParagraph"/>
              <w:spacing w:before="35"/>
              <w:ind w:left="271" w:right="155" w:hanging="96"/>
              <w:jc w:val="left"/>
              <w:rPr>
                <w:b/>
                <w:sz w:val="18"/>
              </w:rPr>
            </w:pPr>
            <w:r>
              <w:rPr>
                <w:b/>
                <w:sz w:val="18"/>
              </w:rPr>
              <w:t>Promedio general</w:t>
            </w:r>
          </w:p>
        </w:tc>
      </w:tr>
      <w:tr>
        <w:trPr>
          <w:trHeight w:val="271" w:hRule="exact"/>
        </w:trPr>
        <w:tc>
          <w:tcPr>
            <w:tcW w:w="1199" w:type="dxa"/>
            <w:tcBorders>
              <w:left w:val="single" w:sz="4" w:space="0" w:color="000000"/>
              <w:bottom w:val="single" w:sz="4" w:space="0" w:color="000000"/>
              <w:right w:val="single" w:sz="4" w:space="0" w:color="000000"/>
            </w:tcBorders>
          </w:tcPr>
          <w:p>
            <w:pPr>
              <w:pStyle w:val="TableParagraph"/>
              <w:spacing w:before="25"/>
              <w:ind w:left="394"/>
              <w:jc w:val="left"/>
              <w:rPr>
                <w:sz w:val="18"/>
              </w:rPr>
            </w:pPr>
            <w:r>
              <w:rPr>
                <w:sz w:val="18"/>
              </w:rPr>
              <w:t>0 a 5</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54"/>
              <w:ind w:left="518"/>
              <w:jc w:val="left"/>
              <w:rPr>
                <w:sz w:val="18"/>
              </w:rPr>
            </w:pPr>
            <w:r>
              <w:rPr>
                <w:sz w:val="18"/>
              </w:rPr>
              <w:t>90.21%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54"/>
              <w:ind w:right="59"/>
              <w:jc w:val="right"/>
              <w:rPr>
                <w:sz w:val="18"/>
              </w:rPr>
            </w:pPr>
            <w:r>
              <w:rPr>
                <w:sz w:val="18"/>
              </w:rPr>
              <w:t>70.23%</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54"/>
              <w:ind w:right="59"/>
              <w:jc w:val="right"/>
              <w:rPr>
                <w:sz w:val="18"/>
              </w:rPr>
            </w:pPr>
            <w:r>
              <w:rPr>
                <w:sz w:val="18"/>
              </w:rPr>
              <w:t>32.00%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54"/>
              <w:ind w:right="59"/>
              <w:jc w:val="right"/>
              <w:rPr>
                <w:sz w:val="18"/>
              </w:rPr>
            </w:pPr>
            <w:r>
              <w:rPr>
                <w:sz w:val="18"/>
              </w:rPr>
              <w:t>64.15%</w:t>
            </w:r>
          </w:p>
        </w:tc>
      </w:tr>
      <w:tr>
        <w:trPr>
          <w:trHeight w:val="264" w:hRule="exact"/>
        </w:trPr>
        <w:tc>
          <w:tcPr>
            <w:tcW w:w="1199" w:type="dxa"/>
            <w:tcBorders>
              <w:top w:val="single" w:sz="4" w:space="0" w:color="000000"/>
              <w:left w:val="single" w:sz="4" w:space="0" w:color="000000"/>
              <w:bottom w:val="single" w:sz="4" w:space="0" w:color="000000"/>
              <w:right w:val="single" w:sz="4" w:space="0" w:color="000000"/>
            </w:tcBorders>
          </w:tcPr>
          <w:p>
            <w:pPr>
              <w:pStyle w:val="TableParagraph"/>
              <w:spacing w:before="23"/>
              <w:ind w:left="344"/>
              <w:jc w:val="left"/>
              <w:rPr>
                <w:sz w:val="18"/>
              </w:rPr>
            </w:pPr>
            <w:r>
              <w:rPr>
                <w:sz w:val="18"/>
              </w:rPr>
              <w:t>6 a 10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S/I</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63.23%</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47.53%</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55.38%</w:t>
            </w:r>
          </w:p>
        </w:tc>
      </w:tr>
    </w:tbl>
    <w:p>
      <w:pPr>
        <w:spacing w:before="32"/>
        <w:ind w:left="1664" w:right="26" w:firstLine="0"/>
        <w:jc w:val="left"/>
        <w:rPr>
          <w:sz w:val="16"/>
        </w:rPr>
      </w:pPr>
      <w:r>
        <w:rPr>
          <w:sz w:val="16"/>
        </w:rPr>
        <w:t>Fuente: Elaboración propia</w:t>
      </w:r>
    </w:p>
    <w:p>
      <w:pPr>
        <w:pStyle w:val="BodyText"/>
        <w:rPr>
          <w:sz w:val="20"/>
        </w:rPr>
      </w:pPr>
    </w:p>
    <w:p>
      <w:pPr>
        <w:pStyle w:val="BodyText"/>
        <w:spacing w:before="2"/>
        <w:rPr>
          <w:sz w:val="27"/>
        </w:rPr>
      </w:pPr>
    </w:p>
    <w:p>
      <w:pPr>
        <w:pStyle w:val="BodyText"/>
        <w:spacing w:line="360" w:lineRule="auto" w:before="70"/>
        <w:ind w:left="128" w:right="116"/>
        <w:jc w:val="both"/>
      </w:pPr>
      <w:r>
        <w:rPr/>
        <w:t>Durante el periodo que comprende el 2013-2015 se tuvo un promedio de cumplimiento de la ley tal como se describe a continuación: en primer lugar, se encuentran los representantes que tienen a su disposición de 0 a 5 equipos de cómputo</w:t>
      </w:r>
      <w:r>
        <w:rPr>
          <w:spacing w:val="-11"/>
        </w:rPr>
        <w:t> </w:t>
      </w:r>
      <w:r>
        <w:rPr/>
        <w:t>con</w:t>
      </w:r>
      <w:r>
        <w:rPr>
          <w:spacing w:val="-12"/>
        </w:rPr>
        <w:t> </w:t>
      </w:r>
      <w:r>
        <w:rPr/>
        <w:t>un</w:t>
      </w:r>
      <w:r>
        <w:rPr>
          <w:spacing w:val="-12"/>
        </w:rPr>
        <w:t> </w:t>
      </w:r>
      <w:r>
        <w:rPr/>
        <w:t>porcentaje</w:t>
      </w:r>
      <w:r>
        <w:rPr>
          <w:spacing w:val="-10"/>
        </w:rPr>
        <w:t> </w:t>
      </w:r>
      <w:r>
        <w:rPr/>
        <w:t>general</w:t>
      </w:r>
      <w:r>
        <w:rPr>
          <w:spacing w:val="-10"/>
        </w:rPr>
        <w:t> </w:t>
      </w:r>
      <w:r>
        <w:rPr/>
        <w:t>del</w:t>
      </w:r>
      <w:r>
        <w:rPr>
          <w:spacing w:val="-11"/>
        </w:rPr>
        <w:t> </w:t>
      </w:r>
      <w:r>
        <w:rPr/>
        <w:t>64.15%</w:t>
      </w:r>
      <w:r>
        <w:rPr>
          <w:spacing w:val="-10"/>
        </w:rPr>
        <w:t> </w:t>
      </w:r>
      <w:r>
        <w:rPr/>
        <w:t>y</w:t>
      </w:r>
      <w:r>
        <w:rPr>
          <w:spacing w:val="-13"/>
        </w:rPr>
        <w:t> </w:t>
      </w:r>
      <w:r>
        <w:rPr/>
        <w:t>en</w:t>
      </w:r>
      <w:r>
        <w:rPr>
          <w:spacing w:val="-9"/>
        </w:rPr>
        <w:t> </w:t>
      </w:r>
      <w:r>
        <w:rPr/>
        <w:t>segundo</w:t>
      </w:r>
      <w:r>
        <w:rPr>
          <w:spacing w:val="-9"/>
        </w:rPr>
        <w:t> </w:t>
      </w:r>
      <w:r>
        <w:rPr/>
        <w:t>lugar</w:t>
      </w:r>
      <w:r>
        <w:rPr>
          <w:spacing w:val="-11"/>
        </w:rPr>
        <w:t> </w:t>
      </w:r>
      <w:r>
        <w:rPr/>
        <w:t>los</w:t>
      </w:r>
      <w:r>
        <w:rPr>
          <w:spacing w:val="-10"/>
        </w:rPr>
        <w:t> </w:t>
      </w:r>
      <w:r>
        <w:rPr/>
        <w:t>que</w:t>
      </w:r>
      <w:r>
        <w:rPr>
          <w:spacing w:val="-9"/>
        </w:rPr>
        <w:t> </w:t>
      </w:r>
      <w:r>
        <w:rPr/>
        <w:t>tienen</w:t>
      </w:r>
      <w:r>
        <w:rPr>
          <w:spacing w:val="-9"/>
        </w:rPr>
        <w:t> </w:t>
      </w:r>
      <w:r>
        <w:rPr/>
        <w:t>de 6 a 10 equipos de cómputo obtuvieron un</w:t>
      </w:r>
      <w:r>
        <w:rPr>
          <w:spacing w:val="-16"/>
        </w:rPr>
        <w:t> </w:t>
      </w:r>
      <w:r>
        <w:rPr/>
        <w:t>55.38%.</w:t>
      </w:r>
    </w:p>
    <w:p>
      <w:pPr>
        <w:pStyle w:val="BodyText"/>
      </w:pPr>
    </w:p>
    <w:p>
      <w:pPr>
        <w:pStyle w:val="Heading1"/>
        <w:numPr>
          <w:ilvl w:val="2"/>
          <w:numId w:val="53"/>
        </w:numPr>
        <w:tabs>
          <w:tab w:pos="837" w:val="left" w:leader="none"/>
        </w:tabs>
        <w:spacing w:line="360" w:lineRule="auto" w:before="204" w:after="0"/>
        <w:ind w:left="836" w:right="122" w:hanging="720"/>
        <w:jc w:val="left"/>
      </w:pPr>
      <w:r>
        <w:rPr/>
        <w:t>Además</w:t>
      </w:r>
      <w:r>
        <w:rPr>
          <w:spacing w:val="-7"/>
        </w:rPr>
        <w:t> </w:t>
      </w:r>
      <w:r>
        <w:rPr/>
        <w:t>de</w:t>
      </w:r>
      <w:r>
        <w:rPr>
          <w:spacing w:val="-9"/>
        </w:rPr>
        <w:t> </w:t>
      </w:r>
      <w:r>
        <w:rPr/>
        <w:t>la</w:t>
      </w:r>
      <w:r>
        <w:rPr>
          <w:spacing w:val="-9"/>
        </w:rPr>
        <w:t> </w:t>
      </w:r>
      <w:r>
        <w:rPr/>
        <w:t>transparencia,</w:t>
      </w:r>
      <w:r>
        <w:rPr>
          <w:spacing w:val="-10"/>
        </w:rPr>
        <w:t> </w:t>
      </w:r>
      <w:r>
        <w:rPr/>
        <w:t>¿Tiene</w:t>
      </w:r>
      <w:r>
        <w:rPr>
          <w:spacing w:val="-9"/>
        </w:rPr>
        <w:t> </w:t>
      </w:r>
      <w:r>
        <w:rPr/>
        <w:t>otras</w:t>
      </w:r>
      <w:r>
        <w:rPr>
          <w:spacing w:val="-11"/>
        </w:rPr>
        <w:t> </w:t>
      </w:r>
      <w:r>
        <w:rPr/>
        <w:t>funciones</w:t>
      </w:r>
      <w:r>
        <w:rPr>
          <w:spacing w:val="-9"/>
        </w:rPr>
        <w:t> </w:t>
      </w:r>
      <w:r>
        <w:rPr/>
        <w:t>encomendadas?</w:t>
      </w:r>
      <w:r>
        <w:rPr>
          <w:spacing w:val="-10"/>
        </w:rPr>
        <w:t> </w:t>
      </w:r>
      <w:r>
        <w:rPr/>
        <w:t>Vs porcentaje de transparencia</w:t>
      </w:r>
      <w:r>
        <w:rPr>
          <w:spacing w:val="-9"/>
        </w:rPr>
        <w:t> </w:t>
      </w:r>
      <w:r>
        <w:rPr/>
        <w:t>2015</w:t>
      </w:r>
    </w:p>
    <w:p>
      <w:pPr>
        <w:pStyle w:val="BodyText"/>
        <w:rPr>
          <w:b/>
          <w:sz w:val="20"/>
        </w:rPr>
      </w:pPr>
    </w:p>
    <w:p>
      <w:pPr>
        <w:pStyle w:val="BodyText"/>
        <w:spacing w:before="8"/>
        <w:rPr>
          <w:b/>
          <w:sz w:val="19"/>
        </w:rPr>
      </w:pPr>
    </w:p>
    <w:tbl>
      <w:tblPr>
        <w:tblW w:w="0" w:type="auto"/>
        <w:jc w:val="left"/>
        <w:tblInd w:w="27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99"/>
        <w:gridCol w:w="1200"/>
        <w:gridCol w:w="1200"/>
      </w:tblGrid>
      <w:tr>
        <w:trPr>
          <w:trHeight w:val="590" w:hRule="exact"/>
        </w:trPr>
        <w:tc>
          <w:tcPr>
            <w:tcW w:w="3599" w:type="dxa"/>
            <w:gridSpan w:val="3"/>
            <w:shd w:val="clear" w:color="auto" w:fill="92D050"/>
          </w:tcPr>
          <w:p>
            <w:pPr>
              <w:pStyle w:val="TableParagraph"/>
              <w:spacing w:line="207" w:lineRule="exact" w:before="73"/>
              <w:ind w:left="104"/>
              <w:jc w:val="left"/>
              <w:rPr>
                <w:b/>
                <w:sz w:val="18"/>
              </w:rPr>
            </w:pPr>
            <w:r>
              <w:rPr>
                <w:b/>
                <w:sz w:val="18"/>
              </w:rPr>
              <w:t>Tabla3.40: Además de la transparencia,</w:t>
            </w:r>
          </w:p>
          <w:p>
            <w:pPr>
              <w:pStyle w:val="TableParagraph"/>
              <w:spacing w:line="207" w:lineRule="exact"/>
              <w:ind w:left="70"/>
              <w:jc w:val="left"/>
              <w:rPr>
                <w:b/>
                <w:sz w:val="18"/>
              </w:rPr>
            </w:pPr>
            <w:r>
              <w:rPr>
                <w:b/>
                <w:sz w:val="18"/>
              </w:rPr>
              <w:t>¿Tiene otras funciones encomendadas?</w:t>
            </w:r>
          </w:p>
        </w:tc>
      </w:tr>
      <w:tr>
        <w:trPr>
          <w:trHeight w:val="227" w:hRule="exact"/>
        </w:trPr>
        <w:tc>
          <w:tcPr>
            <w:tcW w:w="1199" w:type="dxa"/>
            <w:vMerge w:val="restart"/>
            <w:shd w:val="clear" w:color="auto" w:fill="92D050"/>
          </w:tcPr>
          <w:p>
            <w:pPr>
              <w:pStyle w:val="TableParagraph"/>
              <w:spacing w:before="109"/>
              <w:ind w:left="351" w:right="157"/>
              <w:jc w:val="left"/>
              <w:rPr>
                <w:b/>
                <w:sz w:val="18"/>
              </w:rPr>
            </w:pPr>
            <w:r>
              <w:rPr>
                <w:b/>
                <w:sz w:val="18"/>
              </w:rPr>
              <w:t>Clase</w:t>
            </w:r>
          </w:p>
        </w:tc>
        <w:tc>
          <w:tcPr>
            <w:tcW w:w="2400" w:type="dxa"/>
            <w:gridSpan w:val="2"/>
            <w:shd w:val="clear" w:color="auto" w:fill="92D050"/>
          </w:tcPr>
          <w:p>
            <w:pPr>
              <w:pStyle w:val="TableParagraph"/>
              <w:spacing w:line="201" w:lineRule="exact"/>
              <w:ind w:left="970" w:right="966"/>
              <w:rPr>
                <w:b/>
                <w:sz w:val="18"/>
              </w:rPr>
            </w:pPr>
            <w:r>
              <w:rPr>
                <w:b/>
                <w:sz w:val="18"/>
              </w:rPr>
              <w:t>2015</w:t>
            </w:r>
          </w:p>
        </w:tc>
      </w:tr>
      <w:tr>
        <w:trPr>
          <w:trHeight w:val="227" w:hRule="exact"/>
        </w:trPr>
        <w:tc>
          <w:tcPr>
            <w:tcW w:w="1199" w:type="dxa"/>
            <w:vMerge/>
            <w:shd w:val="clear" w:color="auto" w:fill="92D050"/>
          </w:tcPr>
          <w:p>
            <w:pPr/>
          </w:p>
        </w:tc>
        <w:tc>
          <w:tcPr>
            <w:tcW w:w="1200" w:type="dxa"/>
            <w:shd w:val="clear" w:color="auto" w:fill="92D050"/>
          </w:tcPr>
          <w:p>
            <w:pPr>
              <w:pStyle w:val="TableParagraph"/>
              <w:spacing w:line="203" w:lineRule="exact"/>
              <w:ind w:left="117"/>
              <w:jc w:val="left"/>
              <w:rPr>
                <w:b/>
                <w:sz w:val="18"/>
              </w:rPr>
            </w:pPr>
            <w:r>
              <w:rPr>
                <w:b/>
                <w:sz w:val="18"/>
              </w:rPr>
              <w:t>Frecuencia</w:t>
            </w:r>
          </w:p>
        </w:tc>
        <w:tc>
          <w:tcPr>
            <w:tcW w:w="1200" w:type="dxa"/>
            <w:shd w:val="clear" w:color="auto" w:fill="92D050"/>
          </w:tcPr>
          <w:p>
            <w:pPr>
              <w:pStyle w:val="TableParagraph"/>
              <w:spacing w:line="203" w:lineRule="exact"/>
              <w:ind w:left="511"/>
              <w:jc w:val="left"/>
              <w:rPr>
                <w:b/>
                <w:sz w:val="18"/>
              </w:rPr>
            </w:pPr>
            <w:r>
              <w:rPr>
                <w:b/>
                <w:w w:val="99"/>
                <w:sz w:val="18"/>
              </w:rPr>
              <w:t>%</w:t>
            </w:r>
          </w:p>
        </w:tc>
      </w:tr>
      <w:tr>
        <w:trPr>
          <w:trHeight w:val="271" w:hRule="exact"/>
        </w:trPr>
        <w:tc>
          <w:tcPr>
            <w:tcW w:w="1199" w:type="dxa"/>
            <w:tcBorders>
              <w:left w:val="single" w:sz="4" w:space="0" w:color="000000"/>
              <w:bottom w:val="single" w:sz="4" w:space="0" w:color="000000"/>
              <w:right w:val="single" w:sz="4" w:space="0" w:color="000000"/>
            </w:tcBorders>
          </w:tcPr>
          <w:p>
            <w:pPr>
              <w:pStyle w:val="TableParagraph"/>
              <w:spacing w:before="47"/>
              <w:ind w:left="66"/>
              <w:jc w:val="left"/>
              <w:rPr>
                <w:sz w:val="18"/>
              </w:rPr>
            </w:pPr>
            <w:r>
              <w:rPr>
                <w:sz w:val="18"/>
              </w:rPr>
              <w:t>Si</w:t>
            </w:r>
          </w:p>
        </w:tc>
        <w:tc>
          <w:tcPr>
            <w:tcW w:w="1200" w:type="dxa"/>
            <w:tcBorders>
              <w:left w:val="single" w:sz="4" w:space="0" w:color="000000"/>
              <w:bottom w:val="single" w:sz="4" w:space="0" w:color="000000"/>
              <w:right w:val="single" w:sz="4" w:space="0" w:color="000000"/>
            </w:tcBorders>
          </w:tcPr>
          <w:p>
            <w:pPr>
              <w:pStyle w:val="TableParagraph"/>
              <w:spacing w:before="47"/>
              <w:ind w:right="58"/>
              <w:jc w:val="right"/>
              <w:rPr>
                <w:sz w:val="18"/>
              </w:rPr>
            </w:pPr>
            <w:r>
              <w:rPr>
                <w:sz w:val="18"/>
              </w:rPr>
              <w:t>32</w:t>
            </w:r>
          </w:p>
        </w:tc>
        <w:tc>
          <w:tcPr>
            <w:tcW w:w="1200" w:type="dxa"/>
            <w:tcBorders>
              <w:left w:val="single" w:sz="4" w:space="0" w:color="000000"/>
              <w:bottom w:val="single" w:sz="4" w:space="0" w:color="000000"/>
              <w:right w:val="single" w:sz="4" w:space="0" w:color="000000"/>
            </w:tcBorders>
          </w:tcPr>
          <w:p>
            <w:pPr>
              <w:pStyle w:val="TableParagraph"/>
              <w:spacing w:before="47"/>
              <w:ind w:left="518"/>
              <w:jc w:val="left"/>
              <w:rPr>
                <w:sz w:val="18"/>
              </w:rPr>
            </w:pPr>
            <w:r>
              <w:rPr>
                <w:sz w:val="18"/>
              </w:rPr>
              <w:t>31.71%</w:t>
            </w:r>
          </w:p>
        </w:tc>
      </w:tr>
      <w:tr>
        <w:trPr>
          <w:trHeight w:val="264" w:hRule="exact"/>
        </w:trPr>
        <w:tc>
          <w:tcPr>
            <w:tcW w:w="1199" w:type="dxa"/>
            <w:tcBorders>
              <w:top w:val="single" w:sz="4" w:space="0" w:color="000000"/>
              <w:left w:val="single" w:sz="4" w:space="0" w:color="000000"/>
              <w:bottom w:val="single" w:sz="4" w:space="0" w:color="000000"/>
              <w:right w:val="single" w:sz="4" w:space="0" w:color="000000"/>
            </w:tcBorders>
          </w:tcPr>
          <w:p>
            <w:pPr>
              <w:pStyle w:val="TableParagraph"/>
              <w:spacing w:before="47"/>
              <w:ind w:left="66"/>
              <w:jc w:val="left"/>
              <w:rPr>
                <w:sz w:val="18"/>
              </w:rPr>
            </w:pPr>
            <w:r>
              <w:rPr>
                <w:sz w:val="18"/>
              </w:rPr>
              <w:t>No</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8"/>
              <w:jc w:val="right"/>
              <w:rPr>
                <w:sz w:val="18"/>
              </w:rPr>
            </w:pPr>
            <w:r>
              <w:rPr>
                <w:sz w:val="18"/>
              </w:rPr>
              <w:t>14</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518"/>
              <w:jc w:val="left"/>
              <w:rPr>
                <w:sz w:val="18"/>
              </w:rPr>
            </w:pPr>
            <w:r>
              <w:rPr>
                <w:sz w:val="18"/>
              </w:rPr>
              <w:t>34.88%</w:t>
            </w:r>
          </w:p>
        </w:tc>
      </w:tr>
    </w:tbl>
    <w:p>
      <w:pPr>
        <w:spacing w:before="68"/>
        <w:ind w:left="2865" w:right="26" w:firstLine="0"/>
        <w:jc w:val="left"/>
        <w:rPr>
          <w:sz w:val="16"/>
        </w:rPr>
      </w:pPr>
      <w:r>
        <w:rPr>
          <w:sz w:val="16"/>
        </w:rPr>
        <w:t>Fuente: Elaboración propia</w:t>
      </w:r>
    </w:p>
    <w:p>
      <w:pPr>
        <w:spacing w:after="0"/>
        <w:jc w:val="left"/>
        <w:rPr>
          <w:sz w:val="16"/>
        </w:rPr>
        <w:sectPr>
          <w:pgSz w:w="12240" w:h="15840"/>
          <w:pgMar w:header="0" w:footer="975" w:top="1360" w:bottom="1220" w:left="1480" w:right="1580"/>
        </w:sectPr>
      </w:pPr>
    </w:p>
    <w:p>
      <w:pPr>
        <w:pStyle w:val="BodyText"/>
        <w:spacing w:line="360" w:lineRule="auto" w:before="54"/>
        <w:ind w:left="128" w:right="117"/>
        <w:jc w:val="both"/>
      </w:pPr>
      <w:r>
        <w:rPr/>
        <w:t>En la tabla anterior se muestran los resultados obtenidos de hacer el cruce de las variables del cumplimiento de la ley de transparencia en relación a si tienen otras funciones encomendadas que tienen los responsables de la transparencia en los gobiernos municipales. Los resultados obtenidos muestran cómo los responsables de la transparencia que no tienen otras actividades encomendadas obtuvieron el primer lugar con un 34.88% y en segundo lugar se encuentran los que tienen más actividades a realizar con un porcentaje del 31.71%.</w:t>
      </w:r>
    </w:p>
    <w:p>
      <w:pPr>
        <w:pStyle w:val="BodyText"/>
      </w:pPr>
    </w:p>
    <w:p>
      <w:pPr>
        <w:pStyle w:val="BodyText"/>
      </w:pPr>
    </w:p>
    <w:p>
      <w:pPr>
        <w:pStyle w:val="BodyText"/>
        <w:spacing w:line="360" w:lineRule="auto" w:before="188"/>
        <w:ind w:left="128" w:right="118"/>
        <w:jc w:val="both"/>
      </w:pPr>
      <w:r>
        <w:rPr/>
        <w:t>En</w:t>
      </w:r>
      <w:r>
        <w:rPr>
          <w:spacing w:val="-9"/>
        </w:rPr>
        <w:t> </w:t>
      </w:r>
      <w:r>
        <w:rPr/>
        <w:t>un</w:t>
      </w:r>
      <w:r>
        <w:rPr>
          <w:spacing w:val="-9"/>
        </w:rPr>
        <w:t> </w:t>
      </w:r>
      <w:r>
        <w:rPr/>
        <w:t>sentido</w:t>
      </w:r>
      <w:r>
        <w:rPr>
          <w:spacing w:val="-9"/>
        </w:rPr>
        <w:t> </w:t>
      </w:r>
      <w:r>
        <w:rPr/>
        <w:t>retroactivo</w:t>
      </w:r>
      <w:r>
        <w:rPr>
          <w:spacing w:val="-9"/>
        </w:rPr>
        <w:t> </w:t>
      </w:r>
      <w:r>
        <w:rPr/>
        <w:t>del</w:t>
      </w:r>
      <w:r>
        <w:rPr>
          <w:spacing w:val="-11"/>
        </w:rPr>
        <w:t> </w:t>
      </w:r>
      <w:r>
        <w:rPr/>
        <w:t>periodo</w:t>
      </w:r>
      <w:r>
        <w:rPr>
          <w:spacing w:val="-9"/>
        </w:rPr>
        <w:t> </w:t>
      </w:r>
      <w:r>
        <w:rPr/>
        <w:t>de</w:t>
      </w:r>
      <w:r>
        <w:rPr>
          <w:spacing w:val="-9"/>
        </w:rPr>
        <w:t> </w:t>
      </w:r>
      <w:r>
        <w:rPr/>
        <w:t>administración</w:t>
      </w:r>
      <w:r>
        <w:rPr>
          <w:spacing w:val="-9"/>
        </w:rPr>
        <w:t> </w:t>
      </w:r>
      <w:r>
        <w:rPr/>
        <w:t>2013</w:t>
      </w:r>
      <w:r>
        <w:rPr>
          <w:spacing w:val="-3"/>
        </w:rPr>
        <w:t> </w:t>
      </w:r>
      <w:r>
        <w:rPr/>
        <w:t>-2015</w:t>
      </w:r>
      <w:r>
        <w:rPr>
          <w:spacing w:val="-9"/>
        </w:rPr>
        <w:t> </w:t>
      </w:r>
      <w:r>
        <w:rPr/>
        <w:t>la</w:t>
      </w:r>
      <w:r>
        <w:rPr>
          <w:spacing w:val="-9"/>
        </w:rPr>
        <w:t> </w:t>
      </w:r>
      <w:r>
        <w:rPr/>
        <w:t>siguiente</w:t>
      </w:r>
      <w:r>
        <w:rPr>
          <w:spacing w:val="-9"/>
        </w:rPr>
        <w:t> </w:t>
      </w:r>
      <w:r>
        <w:rPr/>
        <w:t>tabla muestra el promedio de cumplimiento de la ley de</w:t>
      </w:r>
      <w:r>
        <w:rPr>
          <w:spacing w:val="-20"/>
        </w:rPr>
        <w:t> </w:t>
      </w:r>
      <w:r>
        <w:rPr/>
        <w:t>transparencia:</w:t>
      </w:r>
    </w:p>
    <w:p>
      <w:pPr>
        <w:pStyle w:val="BodyText"/>
        <w:rPr>
          <w:sz w:val="20"/>
        </w:rPr>
      </w:pPr>
    </w:p>
    <w:p>
      <w:pPr>
        <w:pStyle w:val="BodyText"/>
        <w:spacing w:before="5"/>
        <w:rPr>
          <w:sz w:val="18"/>
        </w:rPr>
      </w:pPr>
    </w:p>
    <w:tbl>
      <w:tblPr>
        <w:tblW w:w="0" w:type="auto"/>
        <w:jc w:val="left"/>
        <w:tblInd w:w="15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99"/>
        <w:gridCol w:w="1200"/>
        <w:gridCol w:w="1200"/>
        <w:gridCol w:w="1200"/>
        <w:gridCol w:w="1200"/>
      </w:tblGrid>
      <w:tr>
        <w:trPr>
          <w:trHeight w:val="433" w:hRule="exact"/>
        </w:trPr>
        <w:tc>
          <w:tcPr>
            <w:tcW w:w="6000" w:type="dxa"/>
            <w:gridSpan w:val="5"/>
            <w:shd w:val="clear" w:color="auto" w:fill="92D050"/>
          </w:tcPr>
          <w:p>
            <w:pPr>
              <w:pStyle w:val="TableParagraph"/>
              <w:ind w:left="2281" w:right="249" w:hanging="2012"/>
              <w:jc w:val="left"/>
              <w:rPr>
                <w:b/>
                <w:sz w:val="18"/>
              </w:rPr>
            </w:pPr>
            <w:r>
              <w:rPr>
                <w:b/>
                <w:sz w:val="18"/>
              </w:rPr>
              <w:t>Tabla 3.41: Además de la transparencia, ¿Tiene otras funciones encomendadas?</w:t>
            </w:r>
          </w:p>
        </w:tc>
      </w:tr>
      <w:tr>
        <w:trPr>
          <w:trHeight w:val="545" w:hRule="exact"/>
        </w:trPr>
        <w:tc>
          <w:tcPr>
            <w:tcW w:w="1199" w:type="dxa"/>
            <w:shd w:val="clear" w:color="auto" w:fill="92D050"/>
          </w:tcPr>
          <w:p>
            <w:pPr>
              <w:pStyle w:val="TableParagraph"/>
              <w:spacing w:before="155"/>
              <w:ind w:left="351"/>
              <w:jc w:val="left"/>
              <w:rPr>
                <w:b/>
                <w:sz w:val="18"/>
              </w:rPr>
            </w:pPr>
            <w:r>
              <w:rPr>
                <w:b/>
                <w:sz w:val="18"/>
              </w:rPr>
              <w:t>Clase</w:t>
            </w:r>
          </w:p>
        </w:tc>
        <w:tc>
          <w:tcPr>
            <w:tcW w:w="1200" w:type="dxa"/>
            <w:shd w:val="clear" w:color="auto" w:fill="92D050"/>
          </w:tcPr>
          <w:p>
            <w:pPr>
              <w:pStyle w:val="TableParagraph"/>
              <w:spacing w:before="155"/>
              <w:ind w:left="391" w:right="155"/>
              <w:jc w:val="left"/>
              <w:rPr>
                <w:b/>
                <w:sz w:val="18"/>
              </w:rPr>
            </w:pPr>
            <w:r>
              <w:rPr>
                <w:b/>
                <w:sz w:val="18"/>
              </w:rPr>
              <w:t>2013</w:t>
            </w:r>
          </w:p>
        </w:tc>
        <w:tc>
          <w:tcPr>
            <w:tcW w:w="1200" w:type="dxa"/>
            <w:shd w:val="clear" w:color="auto" w:fill="92D050"/>
          </w:tcPr>
          <w:p>
            <w:pPr>
              <w:pStyle w:val="TableParagraph"/>
              <w:spacing w:before="155"/>
              <w:ind w:left="391"/>
              <w:jc w:val="left"/>
              <w:rPr>
                <w:b/>
                <w:sz w:val="18"/>
              </w:rPr>
            </w:pPr>
            <w:r>
              <w:rPr>
                <w:b/>
                <w:sz w:val="18"/>
              </w:rPr>
              <w:t>2014</w:t>
            </w:r>
          </w:p>
        </w:tc>
        <w:tc>
          <w:tcPr>
            <w:tcW w:w="1200" w:type="dxa"/>
            <w:shd w:val="clear" w:color="auto" w:fill="92D050"/>
          </w:tcPr>
          <w:p>
            <w:pPr>
              <w:pStyle w:val="TableParagraph"/>
              <w:spacing w:before="155"/>
              <w:ind w:left="391" w:right="155"/>
              <w:jc w:val="left"/>
              <w:rPr>
                <w:b/>
                <w:sz w:val="18"/>
              </w:rPr>
            </w:pPr>
            <w:r>
              <w:rPr>
                <w:b/>
                <w:sz w:val="18"/>
              </w:rPr>
              <w:t>2015</w:t>
            </w:r>
          </w:p>
        </w:tc>
        <w:tc>
          <w:tcPr>
            <w:tcW w:w="1200" w:type="dxa"/>
            <w:shd w:val="clear" w:color="auto" w:fill="92D050"/>
          </w:tcPr>
          <w:p>
            <w:pPr>
              <w:pStyle w:val="TableParagraph"/>
              <w:spacing w:before="52"/>
              <w:ind w:left="271" w:right="155" w:hanging="96"/>
              <w:jc w:val="left"/>
              <w:rPr>
                <w:b/>
                <w:sz w:val="18"/>
              </w:rPr>
            </w:pPr>
            <w:r>
              <w:rPr>
                <w:b/>
                <w:sz w:val="18"/>
              </w:rPr>
              <w:t>Promedio general</w:t>
            </w:r>
          </w:p>
        </w:tc>
      </w:tr>
      <w:tr>
        <w:trPr>
          <w:trHeight w:val="271" w:hRule="exact"/>
        </w:trPr>
        <w:tc>
          <w:tcPr>
            <w:tcW w:w="1199" w:type="dxa"/>
            <w:tcBorders>
              <w:left w:val="single" w:sz="4" w:space="0" w:color="000000"/>
              <w:bottom w:val="single" w:sz="4" w:space="0" w:color="000000"/>
              <w:right w:val="single" w:sz="4" w:space="0" w:color="000000"/>
            </w:tcBorders>
          </w:tcPr>
          <w:p>
            <w:pPr>
              <w:pStyle w:val="TableParagraph"/>
              <w:spacing w:before="49"/>
              <w:ind w:left="65"/>
              <w:jc w:val="left"/>
              <w:rPr>
                <w:sz w:val="18"/>
              </w:rPr>
            </w:pPr>
            <w:r>
              <w:rPr>
                <w:sz w:val="18"/>
              </w:rPr>
              <w:t>Si</w:t>
            </w:r>
          </w:p>
        </w:tc>
        <w:tc>
          <w:tcPr>
            <w:tcW w:w="1200" w:type="dxa"/>
            <w:tcBorders>
              <w:left w:val="single" w:sz="4" w:space="0" w:color="000000"/>
              <w:bottom w:val="single" w:sz="4" w:space="0" w:color="000000"/>
              <w:right w:val="single" w:sz="4" w:space="0" w:color="000000"/>
            </w:tcBorders>
          </w:tcPr>
          <w:p>
            <w:pPr>
              <w:pStyle w:val="TableParagraph"/>
              <w:spacing w:before="49"/>
              <w:ind w:right="59"/>
              <w:jc w:val="right"/>
              <w:rPr>
                <w:sz w:val="18"/>
              </w:rPr>
            </w:pPr>
            <w:r>
              <w:rPr>
                <w:sz w:val="18"/>
              </w:rPr>
              <w:t>94.10%</w:t>
            </w:r>
          </w:p>
        </w:tc>
        <w:tc>
          <w:tcPr>
            <w:tcW w:w="1200" w:type="dxa"/>
            <w:tcBorders>
              <w:left w:val="single" w:sz="4" w:space="0" w:color="000000"/>
              <w:bottom w:val="single" w:sz="4" w:space="0" w:color="000000"/>
              <w:right w:val="single" w:sz="4" w:space="0" w:color="000000"/>
            </w:tcBorders>
          </w:tcPr>
          <w:p>
            <w:pPr>
              <w:pStyle w:val="TableParagraph"/>
              <w:spacing w:before="49"/>
              <w:ind w:right="59"/>
              <w:jc w:val="right"/>
              <w:rPr>
                <w:sz w:val="18"/>
              </w:rPr>
            </w:pPr>
            <w:r>
              <w:rPr>
                <w:sz w:val="18"/>
              </w:rPr>
              <w:t>74.28%</w:t>
            </w:r>
          </w:p>
        </w:tc>
        <w:tc>
          <w:tcPr>
            <w:tcW w:w="1200" w:type="dxa"/>
            <w:tcBorders>
              <w:left w:val="single" w:sz="4" w:space="0" w:color="000000"/>
              <w:bottom w:val="single" w:sz="4" w:space="0" w:color="000000"/>
              <w:right w:val="single" w:sz="4" w:space="0" w:color="000000"/>
            </w:tcBorders>
          </w:tcPr>
          <w:p>
            <w:pPr>
              <w:pStyle w:val="TableParagraph"/>
              <w:spacing w:before="49"/>
              <w:ind w:right="59"/>
              <w:jc w:val="right"/>
              <w:rPr>
                <w:sz w:val="18"/>
              </w:rPr>
            </w:pPr>
            <w:r>
              <w:rPr>
                <w:sz w:val="18"/>
              </w:rPr>
              <w:t>31.71%</w:t>
            </w:r>
          </w:p>
        </w:tc>
        <w:tc>
          <w:tcPr>
            <w:tcW w:w="1200" w:type="dxa"/>
            <w:tcBorders>
              <w:left w:val="single" w:sz="4" w:space="0" w:color="000000"/>
              <w:bottom w:val="single" w:sz="4" w:space="0" w:color="000000"/>
              <w:right w:val="single" w:sz="4" w:space="0" w:color="000000"/>
            </w:tcBorders>
          </w:tcPr>
          <w:p>
            <w:pPr>
              <w:pStyle w:val="TableParagraph"/>
              <w:spacing w:before="49"/>
              <w:ind w:right="59"/>
              <w:jc w:val="right"/>
              <w:rPr>
                <w:sz w:val="18"/>
              </w:rPr>
            </w:pPr>
            <w:r>
              <w:rPr>
                <w:sz w:val="18"/>
              </w:rPr>
              <w:t>66.70%</w:t>
            </w:r>
          </w:p>
        </w:tc>
      </w:tr>
      <w:tr>
        <w:trPr>
          <w:trHeight w:val="264" w:hRule="exact"/>
        </w:trPr>
        <w:tc>
          <w:tcPr>
            <w:tcW w:w="1199" w:type="dxa"/>
            <w:tcBorders>
              <w:top w:val="single" w:sz="4" w:space="0" w:color="000000"/>
              <w:left w:val="single" w:sz="4" w:space="0" w:color="000000"/>
              <w:bottom w:val="single" w:sz="4" w:space="0" w:color="000000"/>
              <w:right w:val="single" w:sz="4" w:space="0" w:color="000000"/>
            </w:tcBorders>
          </w:tcPr>
          <w:p>
            <w:pPr>
              <w:pStyle w:val="TableParagraph"/>
              <w:spacing w:before="47"/>
              <w:ind w:left="65"/>
              <w:jc w:val="left"/>
              <w:rPr>
                <w:sz w:val="18"/>
              </w:rPr>
            </w:pPr>
            <w:r>
              <w:rPr>
                <w:sz w:val="18"/>
              </w:rPr>
              <w:t>No</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78.52%</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63.78%</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34.88%</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59.06%</w:t>
            </w:r>
          </w:p>
        </w:tc>
      </w:tr>
    </w:tbl>
    <w:p>
      <w:pPr>
        <w:spacing w:before="68"/>
        <w:ind w:left="1664" w:right="26" w:firstLine="0"/>
        <w:jc w:val="left"/>
        <w:rPr>
          <w:sz w:val="16"/>
        </w:rPr>
      </w:pPr>
      <w:r>
        <w:rPr>
          <w:sz w:val="16"/>
        </w:rPr>
        <w:t>Fuente: Elaboración propia</w:t>
      </w:r>
    </w:p>
    <w:p>
      <w:pPr>
        <w:pStyle w:val="BodyText"/>
        <w:rPr>
          <w:sz w:val="20"/>
        </w:rPr>
      </w:pPr>
    </w:p>
    <w:p>
      <w:pPr>
        <w:pStyle w:val="BodyText"/>
        <w:spacing w:before="1"/>
      </w:pPr>
    </w:p>
    <w:p>
      <w:pPr>
        <w:pStyle w:val="BodyText"/>
        <w:spacing w:line="360" w:lineRule="auto" w:before="69"/>
        <w:ind w:left="128" w:right="116"/>
        <w:jc w:val="both"/>
      </w:pPr>
      <w:r>
        <w:rPr/>
        <w:t>Durante el periodo que comprende el 2013-2015 se tuvo un promedio de cumplimiento de la ley tal como se describe a continuación: en primer lugar, se encuentran los representantes que tienen más actividades que desempeñar obtuvieron</w:t>
      </w:r>
      <w:r>
        <w:rPr>
          <w:spacing w:val="-16"/>
        </w:rPr>
        <w:t> </w:t>
      </w:r>
      <w:r>
        <w:rPr/>
        <w:t>el</w:t>
      </w:r>
      <w:r>
        <w:rPr>
          <w:spacing w:val="-19"/>
        </w:rPr>
        <w:t> </w:t>
      </w:r>
      <w:r>
        <w:rPr/>
        <w:t>66.70%</w:t>
      </w:r>
      <w:r>
        <w:rPr>
          <w:spacing w:val="-16"/>
        </w:rPr>
        <w:t> </w:t>
      </w:r>
      <w:r>
        <w:rPr/>
        <w:t>y</w:t>
      </w:r>
      <w:r>
        <w:rPr>
          <w:spacing w:val="-19"/>
        </w:rPr>
        <w:t> </w:t>
      </w:r>
      <w:r>
        <w:rPr/>
        <w:t>en</w:t>
      </w:r>
      <w:r>
        <w:rPr>
          <w:spacing w:val="-16"/>
        </w:rPr>
        <w:t> </w:t>
      </w:r>
      <w:r>
        <w:rPr/>
        <w:t>segundo</w:t>
      </w:r>
      <w:r>
        <w:rPr>
          <w:spacing w:val="-16"/>
        </w:rPr>
        <w:t> </w:t>
      </w:r>
      <w:r>
        <w:rPr/>
        <w:t>lugar</w:t>
      </w:r>
      <w:r>
        <w:rPr>
          <w:spacing w:val="-17"/>
        </w:rPr>
        <w:t> </w:t>
      </w:r>
      <w:r>
        <w:rPr/>
        <w:t>aparecen</w:t>
      </w:r>
      <w:r>
        <w:rPr>
          <w:spacing w:val="-16"/>
        </w:rPr>
        <w:t> </w:t>
      </w:r>
      <w:r>
        <w:rPr/>
        <w:t>los</w:t>
      </w:r>
      <w:r>
        <w:rPr>
          <w:spacing w:val="-16"/>
        </w:rPr>
        <w:t> </w:t>
      </w:r>
      <w:r>
        <w:rPr/>
        <w:t>que</w:t>
      </w:r>
      <w:r>
        <w:rPr>
          <w:spacing w:val="-16"/>
        </w:rPr>
        <w:t> </w:t>
      </w:r>
      <w:r>
        <w:rPr/>
        <w:t>no</w:t>
      </w:r>
      <w:r>
        <w:rPr>
          <w:spacing w:val="-18"/>
        </w:rPr>
        <w:t> </w:t>
      </w:r>
      <w:r>
        <w:rPr/>
        <w:t>tienen</w:t>
      </w:r>
      <w:r>
        <w:rPr>
          <w:spacing w:val="-18"/>
        </w:rPr>
        <w:t> </w:t>
      </w:r>
      <w:r>
        <w:rPr/>
        <w:t>más</w:t>
      </w:r>
      <w:r>
        <w:rPr>
          <w:spacing w:val="-16"/>
        </w:rPr>
        <w:t> </w:t>
      </w:r>
      <w:r>
        <w:rPr/>
        <w:t>actividades que realizar con un porcentaje del</w:t>
      </w:r>
      <w:r>
        <w:rPr>
          <w:spacing w:val="-19"/>
        </w:rPr>
        <w:t> </w:t>
      </w:r>
      <w:r>
        <w:rPr/>
        <w:t>59.06%.</w:t>
      </w:r>
    </w:p>
    <w:p>
      <w:pPr>
        <w:pStyle w:val="BodyText"/>
      </w:pPr>
    </w:p>
    <w:p>
      <w:pPr>
        <w:pStyle w:val="Heading1"/>
        <w:numPr>
          <w:ilvl w:val="2"/>
          <w:numId w:val="53"/>
        </w:numPr>
        <w:tabs>
          <w:tab w:pos="837" w:val="left" w:leader="none"/>
        </w:tabs>
        <w:spacing w:line="278" w:lineRule="auto" w:before="202" w:after="0"/>
        <w:ind w:left="836" w:right="122" w:hanging="720"/>
        <w:jc w:val="left"/>
      </w:pPr>
      <w:r>
        <w:rPr/>
        <w:t>Antes</w:t>
      </w:r>
      <w:r>
        <w:rPr>
          <w:spacing w:val="-12"/>
        </w:rPr>
        <w:t> </w:t>
      </w:r>
      <w:r>
        <w:rPr/>
        <w:t>de</w:t>
      </w:r>
      <w:r>
        <w:rPr>
          <w:spacing w:val="-12"/>
        </w:rPr>
        <w:t> </w:t>
      </w:r>
      <w:r>
        <w:rPr/>
        <w:t>Ocupar</w:t>
      </w:r>
      <w:r>
        <w:rPr>
          <w:spacing w:val="-13"/>
        </w:rPr>
        <w:t> </w:t>
      </w:r>
      <w:r>
        <w:rPr/>
        <w:t>su</w:t>
      </w:r>
      <w:r>
        <w:rPr>
          <w:spacing w:val="-12"/>
        </w:rPr>
        <w:t> </w:t>
      </w:r>
      <w:r>
        <w:rPr/>
        <w:t>puesto</w:t>
      </w:r>
      <w:r>
        <w:rPr>
          <w:spacing w:val="-13"/>
        </w:rPr>
        <w:t> </w:t>
      </w:r>
      <w:r>
        <w:rPr/>
        <w:t>¿Trabajaba</w:t>
      </w:r>
      <w:r>
        <w:rPr>
          <w:spacing w:val="-13"/>
        </w:rPr>
        <w:t> </w:t>
      </w:r>
      <w:r>
        <w:rPr/>
        <w:t>en</w:t>
      </w:r>
      <w:r>
        <w:rPr>
          <w:spacing w:val="-12"/>
        </w:rPr>
        <w:t> </w:t>
      </w:r>
      <w:r>
        <w:rPr/>
        <w:t>la</w:t>
      </w:r>
      <w:r>
        <w:rPr>
          <w:spacing w:val="-9"/>
        </w:rPr>
        <w:t> </w:t>
      </w:r>
      <w:r>
        <w:rPr/>
        <w:t>Administración</w:t>
      </w:r>
      <w:r>
        <w:rPr>
          <w:spacing w:val="-12"/>
        </w:rPr>
        <w:t> </w:t>
      </w:r>
      <w:r>
        <w:rPr/>
        <w:t>Pública?</w:t>
      </w:r>
      <w:r>
        <w:rPr>
          <w:spacing w:val="-14"/>
        </w:rPr>
        <w:t> </w:t>
      </w:r>
      <w:r>
        <w:rPr/>
        <w:t>Vs porcentaje de transparencia en</w:t>
      </w:r>
      <w:r>
        <w:rPr>
          <w:spacing w:val="-12"/>
        </w:rPr>
        <w:t> </w:t>
      </w:r>
      <w:r>
        <w:rPr/>
        <w:t>2015</w:t>
      </w:r>
    </w:p>
    <w:p>
      <w:pPr>
        <w:pStyle w:val="BodyText"/>
        <w:rPr>
          <w:b/>
          <w:sz w:val="20"/>
        </w:rPr>
      </w:pPr>
    </w:p>
    <w:p>
      <w:pPr>
        <w:pStyle w:val="BodyText"/>
        <w:spacing w:before="10"/>
        <w:rPr>
          <w:b/>
          <w:sz w:val="29"/>
        </w:rPr>
      </w:pPr>
    </w:p>
    <w:tbl>
      <w:tblPr>
        <w:tblW w:w="0" w:type="auto"/>
        <w:jc w:val="left"/>
        <w:tblInd w:w="22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203"/>
        <w:gridCol w:w="1200"/>
        <w:gridCol w:w="1200"/>
      </w:tblGrid>
      <w:tr>
        <w:trPr>
          <w:trHeight w:val="434" w:hRule="exact"/>
        </w:trPr>
        <w:tc>
          <w:tcPr>
            <w:tcW w:w="4603" w:type="dxa"/>
            <w:gridSpan w:val="3"/>
            <w:shd w:val="clear" w:color="auto" w:fill="92D050"/>
          </w:tcPr>
          <w:p>
            <w:pPr>
              <w:pStyle w:val="TableParagraph"/>
              <w:spacing w:line="242" w:lineRule="auto"/>
              <w:ind w:left="1007" w:right="107" w:hanging="882"/>
              <w:jc w:val="left"/>
              <w:rPr>
                <w:b/>
                <w:sz w:val="18"/>
              </w:rPr>
            </w:pPr>
            <w:r>
              <w:rPr>
                <w:b/>
                <w:sz w:val="18"/>
              </w:rPr>
              <w:t>Tabla 3.42: Antes de Ocupar su puesto ¿Trabajaba en la Administración Pública?</w:t>
            </w:r>
          </w:p>
        </w:tc>
      </w:tr>
      <w:tr>
        <w:trPr>
          <w:trHeight w:val="290" w:hRule="exact"/>
        </w:trPr>
        <w:tc>
          <w:tcPr>
            <w:tcW w:w="2203" w:type="dxa"/>
            <w:vMerge w:val="restart"/>
            <w:shd w:val="clear" w:color="auto" w:fill="92D050"/>
          </w:tcPr>
          <w:p>
            <w:pPr>
              <w:pStyle w:val="TableParagraph"/>
              <w:spacing w:before="140"/>
              <w:ind w:left="834" w:right="829"/>
              <w:rPr>
                <w:b/>
                <w:sz w:val="18"/>
              </w:rPr>
            </w:pPr>
            <w:r>
              <w:rPr>
                <w:b/>
                <w:sz w:val="18"/>
              </w:rPr>
              <w:t>Clase</w:t>
            </w:r>
          </w:p>
        </w:tc>
        <w:tc>
          <w:tcPr>
            <w:tcW w:w="2400" w:type="dxa"/>
            <w:gridSpan w:val="2"/>
            <w:shd w:val="clear" w:color="auto" w:fill="92D050"/>
          </w:tcPr>
          <w:p>
            <w:pPr>
              <w:pStyle w:val="TableParagraph"/>
              <w:spacing w:before="25"/>
              <w:ind w:left="970" w:right="965"/>
              <w:rPr>
                <w:b/>
                <w:sz w:val="18"/>
              </w:rPr>
            </w:pPr>
            <w:r>
              <w:rPr>
                <w:b/>
                <w:sz w:val="18"/>
              </w:rPr>
              <w:t>2015</w:t>
            </w:r>
          </w:p>
        </w:tc>
      </w:tr>
      <w:tr>
        <w:trPr>
          <w:trHeight w:val="226" w:hRule="exact"/>
        </w:trPr>
        <w:tc>
          <w:tcPr>
            <w:tcW w:w="2203" w:type="dxa"/>
            <w:vMerge/>
            <w:shd w:val="clear" w:color="auto" w:fill="92D050"/>
          </w:tcPr>
          <w:p>
            <w:pPr/>
          </w:p>
        </w:tc>
        <w:tc>
          <w:tcPr>
            <w:tcW w:w="1200" w:type="dxa"/>
            <w:shd w:val="clear" w:color="auto" w:fill="92D050"/>
          </w:tcPr>
          <w:p>
            <w:pPr>
              <w:pStyle w:val="TableParagraph"/>
              <w:spacing w:line="201" w:lineRule="exact"/>
              <w:ind w:left="97" w:right="93"/>
              <w:rPr>
                <w:b/>
                <w:sz w:val="18"/>
              </w:rPr>
            </w:pPr>
            <w:r>
              <w:rPr>
                <w:b/>
                <w:sz w:val="18"/>
              </w:rPr>
              <w:t>Frecuencia</w:t>
            </w:r>
          </w:p>
        </w:tc>
        <w:tc>
          <w:tcPr>
            <w:tcW w:w="1200" w:type="dxa"/>
            <w:shd w:val="clear" w:color="auto" w:fill="92D050"/>
          </w:tcPr>
          <w:p>
            <w:pPr>
              <w:pStyle w:val="TableParagraph"/>
              <w:spacing w:line="201" w:lineRule="exact"/>
              <w:ind w:left="1"/>
              <w:rPr>
                <w:b/>
                <w:sz w:val="18"/>
              </w:rPr>
            </w:pPr>
            <w:r>
              <w:rPr>
                <w:b/>
                <w:w w:val="99"/>
                <w:sz w:val="18"/>
              </w:rPr>
              <w:t>%</w:t>
            </w:r>
          </w:p>
        </w:tc>
      </w:tr>
      <w:tr>
        <w:trPr>
          <w:trHeight w:val="271" w:hRule="exact"/>
        </w:trPr>
        <w:tc>
          <w:tcPr>
            <w:tcW w:w="2203" w:type="dxa"/>
            <w:tcBorders>
              <w:left w:val="single" w:sz="4" w:space="0" w:color="000000"/>
              <w:bottom w:val="single" w:sz="4" w:space="0" w:color="000000"/>
              <w:right w:val="single" w:sz="4" w:space="0" w:color="000000"/>
            </w:tcBorders>
          </w:tcPr>
          <w:p>
            <w:pPr>
              <w:pStyle w:val="TableParagraph"/>
              <w:spacing w:before="49"/>
              <w:ind w:left="65"/>
              <w:jc w:val="left"/>
              <w:rPr>
                <w:sz w:val="18"/>
              </w:rPr>
            </w:pPr>
            <w:r>
              <w:rPr>
                <w:sz w:val="18"/>
              </w:rPr>
              <w:t>Si</w:t>
            </w:r>
          </w:p>
        </w:tc>
        <w:tc>
          <w:tcPr>
            <w:tcW w:w="1200" w:type="dxa"/>
            <w:tcBorders>
              <w:left w:val="single" w:sz="4" w:space="0" w:color="000000"/>
              <w:bottom w:val="single" w:sz="4" w:space="0" w:color="000000"/>
              <w:right w:val="single" w:sz="4" w:space="0" w:color="000000"/>
            </w:tcBorders>
          </w:tcPr>
          <w:p>
            <w:pPr>
              <w:pStyle w:val="TableParagraph"/>
              <w:spacing w:before="49"/>
              <w:ind w:left="270" w:right="266"/>
              <w:rPr>
                <w:sz w:val="18"/>
              </w:rPr>
            </w:pPr>
            <w:r>
              <w:rPr>
                <w:sz w:val="18"/>
              </w:rPr>
              <w:t>22</w:t>
            </w:r>
          </w:p>
        </w:tc>
        <w:tc>
          <w:tcPr>
            <w:tcW w:w="1200" w:type="dxa"/>
            <w:tcBorders>
              <w:left w:val="single" w:sz="4" w:space="0" w:color="000000"/>
              <w:bottom w:val="single" w:sz="4" w:space="0" w:color="000000"/>
              <w:right w:val="single" w:sz="4" w:space="0" w:color="000000"/>
            </w:tcBorders>
          </w:tcPr>
          <w:p>
            <w:pPr>
              <w:pStyle w:val="TableParagraph"/>
              <w:spacing w:before="49"/>
              <w:ind w:left="270" w:right="265"/>
              <w:rPr>
                <w:sz w:val="18"/>
              </w:rPr>
            </w:pPr>
            <w:r>
              <w:rPr>
                <w:sz w:val="18"/>
              </w:rPr>
              <w:t>35.23%</w:t>
            </w:r>
          </w:p>
        </w:tc>
      </w:tr>
      <w:tr>
        <w:trPr>
          <w:trHeight w:val="264" w:hRule="exact"/>
        </w:trPr>
        <w:tc>
          <w:tcPr>
            <w:tcW w:w="2203" w:type="dxa"/>
            <w:tcBorders>
              <w:top w:val="single" w:sz="4" w:space="0" w:color="000000"/>
              <w:left w:val="single" w:sz="4" w:space="0" w:color="000000"/>
              <w:bottom w:val="single" w:sz="4" w:space="0" w:color="000000"/>
              <w:right w:val="single" w:sz="4" w:space="0" w:color="000000"/>
            </w:tcBorders>
          </w:tcPr>
          <w:p>
            <w:pPr>
              <w:pStyle w:val="TableParagraph"/>
              <w:spacing w:before="47"/>
              <w:ind w:left="65"/>
              <w:jc w:val="left"/>
              <w:rPr>
                <w:sz w:val="18"/>
              </w:rPr>
            </w:pPr>
            <w:r>
              <w:rPr>
                <w:sz w:val="18"/>
              </w:rPr>
              <w:t>No</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270" w:right="266"/>
              <w:rPr>
                <w:sz w:val="18"/>
              </w:rPr>
            </w:pPr>
            <w:r>
              <w:rPr>
                <w:sz w:val="18"/>
              </w:rPr>
              <w:t>24</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270" w:right="265"/>
              <w:rPr>
                <w:sz w:val="18"/>
              </w:rPr>
            </w:pPr>
            <w:r>
              <w:rPr>
                <w:sz w:val="18"/>
              </w:rPr>
              <w:t>30.33%</w:t>
            </w:r>
          </w:p>
        </w:tc>
      </w:tr>
    </w:tbl>
    <w:p>
      <w:pPr>
        <w:spacing w:before="68"/>
        <w:ind w:left="2362" w:right="26" w:firstLine="0"/>
        <w:jc w:val="left"/>
        <w:rPr>
          <w:sz w:val="16"/>
        </w:rPr>
      </w:pPr>
      <w:r>
        <w:rPr>
          <w:sz w:val="16"/>
        </w:rPr>
        <w:t>Fuente: Elaboración propia</w:t>
      </w:r>
    </w:p>
    <w:p>
      <w:pPr>
        <w:spacing w:after="0"/>
        <w:jc w:val="left"/>
        <w:rPr>
          <w:sz w:val="16"/>
        </w:rPr>
        <w:sectPr>
          <w:pgSz w:w="12240" w:h="15840"/>
          <w:pgMar w:header="0" w:footer="975" w:top="1360" w:bottom="1220" w:left="1480" w:right="1580"/>
        </w:sectPr>
      </w:pPr>
    </w:p>
    <w:p>
      <w:pPr>
        <w:pStyle w:val="BodyText"/>
        <w:spacing w:line="360" w:lineRule="auto" w:before="54"/>
        <w:ind w:left="128" w:right="116"/>
        <w:jc w:val="both"/>
      </w:pPr>
      <w:r>
        <w:rPr/>
        <w:t>En la tabla anterior se muestran los resultados obtenidos de hacer el cruce de las variables del cumplimiento de la ley de transparencia en relación a que si trabajaba en la administración pública de los tienen los responsables de la transparencia en los gobiernos municipales. Los resultados obtenidos muestran cómo los responsables</w:t>
      </w:r>
      <w:r>
        <w:rPr>
          <w:spacing w:val="-18"/>
        </w:rPr>
        <w:t> </w:t>
      </w:r>
      <w:r>
        <w:rPr/>
        <w:t>de</w:t>
      </w:r>
      <w:r>
        <w:rPr>
          <w:spacing w:val="-18"/>
        </w:rPr>
        <w:t> </w:t>
      </w:r>
      <w:r>
        <w:rPr/>
        <w:t>la</w:t>
      </w:r>
      <w:r>
        <w:rPr>
          <w:spacing w:val="-18"/>
        </w:rPr>
        <w:t> </w:t>
      </w:r>
      <w:r>
        <w:rPr/>
        <w:t>transparencia</w:t>
      </w:r>
      <w:r>
        <w:rPr>
          <w:spacing w:val="-18"/>
        </w:rPr>
        <w:t> </w:t>
      </w:r>
      <w:r>
        <w:rPr/>
        <w:t>que</w:t>
      </w:r>
      <w:r>
        <w:rPr>
          <w:spacing w:val="-18"/>
        </w:rPr>
        <w:t> </w:t>
      </w:r>
      <w:r>
        <w:rPr/>
        <w:t>si</w:t>
      </w:r>
      <w:r>
        <w:rPr>
          <w:spacing w:val="-19"/>
        </w:rPr>
        <w:t> </w:t>
      </w:r>
      <w:r>
        <w:rPr/>
        <w:t>tenían</w:t>
      </w:r>
      <w:r>
        <w:rPr>
          <w:spacing w:val="-20"/>
        </w:rPr>
        <w:t> </w:t>
      </w:r>
      <w:r>
        <w:rPr/>
        <w:t>un</w:t>
      </w:r>
      <w:r>
        <w:rPr>
          <w:spacing w:val="-18"/>
        </w:rPr>
        <w:t> </w:t>
      </w:r>
      <w:r>
        <w:rPr/>
        <w:t>puesto</w:t>
      </w:r>
      <w:r>
        <w:rPr>
          <w:spacing w:val="-20"/>
        </w:rPr>
        <w:t> </w:t>
      </w:r>
      <w:r>
        <w:rPr/>
        <w:t>en</w:t>
      </w:r>
      <w:r>
        <w:rPr>
          <w:spacing w:val="-18"/>
        </w:rPr>
        <w:t> </w:t>
      </w:r>
      <w:r>
        <w:rPr/>
        <w:t>la</w:t>
      </w:r>
      <w:r>
        <w:rPr>
          <w:spacing w:val="-21"/>
        </w:rPr>
        <w:t> </w:t>
      </w:r>
      <w:r>
        <w:rPr/>
        <w:t>administración</w:t>
      </w:r>
      <w:r>
        <w:rPr>
          <w:spacing w:val="-18"/>
        </w:rPr>
        <w:t> </w:t>
      </w:r>
      <w:r>
        <w:rPr/>
        <w:t>pública antes de ocupar su cargo obtuvieron el primer lugar con un 35.23% y en segundo lugar</w:t>
      </w:r>
      <w:r>
        <w:rPr>
          <w:spacing w:val="-11"/>
        </w:rPr>
        <w:t> </w:t>
      </w:r>
      <w:r>
        <w:rPr/>
        <w:t>se</w:t>
      </w:r>
      <w:r>
        <w:rPr>
          <w:spacing w:val="-9"/>
        </w:rPr>
        <w:t> </w:t>
      </w:r>
      <w:r>
        <w:rPr/>
        <w:t>encuentran</w:t>
      </w:r>
      <w:r>
        <w:rPr>
          <w:spacing w:val="-9"/>
        </w:rPr>
        <w:t> </w:t>
      </w:r>
      <w:r>
        <w:rPr/>
        <w:t>los</w:t>
      </w:r>
      <w:r>
        <w:rPr>
          <w:spacing w:val="-10"/>
        </w:rPr>
        <w:t> </w:t>
      </w:r>
      <w:r>
        <w:rPr/>
        <w:t>que</w:t>
      </w:r>
      <w:r>
        <w:rPr>
          <w:spacing w:val="-9"/>
        </w:rPr>
        <w:t> </w:t>
      </w:r>
      <w:r>
        <w:rPr/>
        <w:t>no</w:t>
      </w:r>
      <w:r>
        <w:rPr>
          <w:spacing w:val="-9"/>
        </w:rPr>
        <w:t> </w:t>
      </w:r>
      <w:r>
        <w:rPr/>
        <w:t>ocupaban</w:t>
      </w:r>
      <w:r>
        <w:rPr>
          <w:spacing w:val="-9"/>
        </w:rPr>
        <w:t> </w:t>
      </w:r>
      <w:r>
        <w:rPr/>
        <w:t>un</w:t>
      </w:r>
      <w:r>
        <w:rPr>
          <w:spacing w:val="-12"/>
        </w:rPr>
        <w:t> </w:t>
      </w:r>
      <w:r>
        <w:rPr/>
        <w:t>puesto</w:t>
      </w:r>
      <w:r>
        <w:rPr>
          <w:spacing w:val="-9"/>
        </w:rPr>
        <w:t> </w:t>
      </w:r>
      <w:r>
        <w:rPr/>
        <w:t>en</w:t>
      </w:r>
      <w:r>
        <w:rPr>
          <w:spacing w:val="-9"/>
        </w:rPr>
        <w:t> </w:t>
      </w:r>
      <w:r>
        <w:rPr/>
        <w:t>la</w:t>
      </w:r>
      <w:r>
        <w:rPr>
          <w:spacing w:val="-10"/>
        </w:rPr>
        <w:t> </w:t>
      </w:r>
      <w:r>
        <w:rPr/>
        <w:t>administración</w:t>
      </w:r>
      <w:r>
        <w:rPr>
          <w:spacing w:val="-9"/>
        </w:rPr>
        <w:t> </w:t>
      </w:r>
      <w:r>
        <w:rPr/>
        <w:t>pública</w:t>
      </w:r>
      <w:r>
        <w:rPr>
          <w:spacing w:val="-9"/>
        </w:rPr>
        <w:t> </w:t>
      </w:r>
      <w:r>
        <w:rPr/>
        <w:t>con un promedio del</w:t>
      </w:r>
      <w:r>
        <w:rPr>
          <w:spacing w:val="-11"/>
        </w:rPr>
        <w:t> </w:t>
      </w:r>
      <w:r>
        <w:rPr/>
        <w:t>30.33%.</w:t>
      </w:r>
    </w:p>
    <w:p>
      <w:pPr>
        <w:pStyle w:val="BodyText"/>
      </w:pPr>
    </w:p>
    <w:p>
      <w:pPr>
        <w:pStyle w:val="BodyText"/>
        <w:spacing w:before="3"/>
        <w:rPr>
          <w:sz w:val="28"/>
        </w:rPr>
      </w:pPr>
    </w:p>
    <w:p>
      <w:pPr>
        <w:pStyle w:val="BodyText"/>
        <w:spacing w:line="360" w:lineRule="auto"/>
        <w:ind w:left="128" w:right="118"/>
        <w:jc w:val="both"/>
      </w:pPr>
      <w:r>
        <w:rPr/>
        <w:t>En</w:t>
      </w:r>
      <w:r>
        <w:rPr>
          <w:spacing w:val="-9"/>
        </w:rPr>
        <w:t> </w:t>
      </w:r>
      <w:r>
        <w:rPr/>
        <w:t>un</w:t>
      </w:r>
      <w:r>
        <w:rPr>
          <w:spacing w:val="-9"/>
        </w:rPr>
        <w:t> </w:t>
      </w:r>
      <w:r>
        <w:rPr/>
        <w:t>sentido</w:t>
      </w:r>
      <w:r>
        <w:rPr>
          <w:spacing w:val="-9"/>
        </w:rPr>
        <w:t> </w:t>
      </w:r>
      <w:r>
        <w:rPr/>
        <w:t>retroactivo</w:t>
      </w:r>
      <w:r>
        <w:rPr>
          <w:spacing w:val="-9"/>
        </w:rPr>
        <w:t> </w:t>
      </w:r>
      <w:r>
        <w:rPr/>
        <w:t>del</w:t>
      </w:r>
      <w:r>
        <w:rPr>
          <w:spacing w:val="-11"/>
        </w:rPr>
        <w:t> </w:t>
      </w:r>
      <w:r>
        <w:rPr/>
        <w:t>periodo</w:t>
      </w:r>
      <w:r>
        <w:rPr>
          <w:spacing w:val="-9"/>
        </w:rPr>
        <w:t> </w:t>
      </w:r>
      <w:r>
        <w:rPr/>
        <w:t>de</w:t>
      </w:r>
      <w:r>
        <w:rPr>
          <w:spacing w:val="-9"/>
        </w:rPr>
        <w:t> </w:t>
      </w:r>
      <w:r>
        <w:rPr/>
        <w:t>administración</w:t>
      </w:r>
      <w:r>
        <w:rPr>
          <w:spacing w:val="-9"/>
        </w:rPr>
        <w:t> </w:t>
      </w:r>
      <w:r>
        <w:rPr/>
        <w:t>2013</w:t>
      </w:r>
      <w:r>
        <w:rPr>
          <w:spacing w:val="-3"/>
        </w:rPr>
        <w:t> </w:t>
      </w:r>
      <w:r>
        <w:rPr/>
        <w:t>-2015</w:t>
      </w:r>
      <w:r>
        <w:rPr>
          <w:spacing w:val="-9"/>
        </w:rPr>
        <w:t> </w:t>
      </w:r>
      <w:r>
        <w:rPr/>
        <w:t>la</w:t>
      </w:r>
      <w:r>
        <w:rPr>
          <w:spacing w:val="-9"/>
        </w:rPr>
        <w:t> </w:t>
      </w:r>
      <w:r>
        <w:rPr/>
        <w:t>siguiente</w:t>
      </w:r>
      <w:r>
        <w:rPr>
          <w:spacing w:val="-9"/>
        </w:rPr>
        <w:t> </w:t>
      </w:r>
      <w:r>
        <w:rPr/>
        <w:t>tabla muestra el promedio de cumplimiento de la ley de</w:t>
      </w:r>
      <w:r>
        <w:rPr>
          <w:spacing w:val="-18"/>
        </w:rPr>
        <w:t> </w:t>
      </w:r>
      <w:r>
        <w:rPr/>
        <w:t>transparencia:</w:t>
      </w:r>
    </w:p>
    <w:p>
      <w:pPr>
        <w:pStyle w:val="BodyText"/>
        <w:rPr>
          <w:sz w:val="20"/>
        </w:rPr>
      </w:pPr>
    </w:p>
    <w:p>
      <w:pPr>
        <w:pStyle w:val="BodyText"/>
        <w:spacing w:before="5"/>
        <w:rPr>
          <w:sz w:val="18"/>
        </w:rPr>
      </w:pPr>
    </w:p>
    <w:tbl>
      <w:tblPr>
        <w:tblW w:w="0" w:type="auto"/>
        <w:jc w:val="left"/>
        <w:tblInd w:w="15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99"/>
        <w:gridCol w:w="1200"/>
        <w:gridCol w:w="1200"/>
        <w:gridCol w:w="1200"/>
        <w:gridCol w:w="1200"/>
      </w:tblGrid>
      <w:tr>
        <w:trPr>
          <w:trHeight w:val="433" w:hRule="exact"/>
        </w:trPr>
        <w:tc>
          <w:tcPr>
            <w:tcW w:w="6000" w:type="dxa"/>
            <w:gridSpan w:val="5"/>
            <w:shd w:val="clear" w:color="auto" w:fill="92D050"/>
          </w:tcPr>
          <w:p>
            <w:pPr>
              <w:pStyle w:val="TableParagraph"/>
              <w:ind w:left="1936" w:right="576" w:hanging="1343"/>
              <w:jc w:val="left"/>
              <w:rPr>
                <w:b/>
                <w:sz w:val="18"/>
              </w:rPr>
            </w:pPr>
            <w:r>
              <w:rPr>
                <w:b/>
                <w:sz w:val="18"/>
              </w:rPr>
              <w:t>Tabla 3.43: Antes de Ocupar su puesto ¿Trabajaba en la Administración Pública?</w:t>
            </w:r>
          </w:p>
        </w:tc>
      </w:tr>
      <w:tr>
        <w:trPr>
          <w:trHeight w:val="545" w:hRule="exact"/>
        </w:trPr>
        <w:tc>
          <w:tcPr>
            <w:tcW w:w="1199" w:type="dxa"/>
            <w:shd w:val="clear" w:color="auto" w:fill="92D050"/>
          </w:tcPr>
          <w:p>
            <w:pPr>
              <w:pStyle w:val="TableParagraph"/>
              <w:spacing w:before="155"/>
              <w:ind w:left="351"/>
              <w:jc w:val="left"/>
              <w:rPr>
                <w:b/>
                <w:sz w:val="18"/>
              </w:rPr>
            </w:pPr>
            <w:r>
              <w:rPr>
                <w:b/>
                <w:sz w:val="18"/>
              </w:rPr>
              <w:t>Clase</w:t>
            </w:r>
          </w:p>
        </w:tc>
        <w:tc>
          <w:tcPr>
            <w:tcW w:w="1200" w:type="dxa"/>
            <w:shd w:val="clear" w:color="auto" w:fill="92D050"/>
          </w:tcPr>
          <w:p>
            <w:pPr>
              <w:pStyle w:val="TableParagraph"/>
              <w:spacing w:before="155"/>
              <w:ind w:left="391" w:right="155"/>
              <w:jc w:val="left"/>
              <w:rPr>
                <w:b/>
                <w:sz w:val="18"/>
              </w:rPr>
            </w:pPr>
            <w:r>
              <w:rPr>
                <w:b/>
                <w:sz w:val="18"/>
              </w:rPr>
              <w:t>2013</w:t>
            </w:r>
          </w:p>
        </w:tc>
        <w:tc>
          <w:tcPr>
            <w:tcW w:w="1200" w:type="dxa"/>
            <w:shd w:val="clear" w:color="auto" w:fill="92D050"/>
          </w:tcPr>
          <w:p>
            <w:pPr>
              <w:pStyle w:val="TableParagraph"/>
              <w:spacing w:before="155"/>
              <w:ind w:left="391"/>
              <w:jc w:val="left"/>
              <w:rPr>
                <w:b/>
                <w:sz w:val="18"/>
              </w:rPr>
            </w:pPr>
            <w:r>
              <w:rPr>
                <w:b/>
                <w:sz w:val="18"/>
              </w:rPr>
              <w:t>2014</w:t>
            </w:r>
          </w:p>
        </w:tc>
        <w:tc>
          <w:tcPr>
            <w:tcW w:w="1200" w:type="dxa"/>
            <w:shd w:val="clear" w:color="auto" w:fill="92D050"/>
          </w:tcPr>
          <w:p>
            <w:pPr>
              <w:pStyle w:val="TableParagraph"/>
              <w:spacing w:before="155"/>
              <w:ind w:left="391" w:right="155"/>
              <w:jc w:val="left"/>
              <w:rPr>
                <w:b/>
                <w:sz w:val="18"/>
              </w:rPr>
            </w:pPr>
            <w:r>
              <w:rPr>
                <w:b/>
                <w:sz w:val="18"/>
              </w:rPr>
              <w:t>2015</w:t>
            </w:r>
          </w:p>
        </w:tc>
        <w:tc>
          <w:tcPr>
            <w:tcW w:w="1200" w:type="dxa"/>
            <w:shd w:val="clear" w:color="auto" w:fill="92D050"/>
          </w:tcPr>
          <w:p>
            <w:pPr>
              <w:pStyle w:val="TableParagraph"/>
              <w:spacing w:before="52"/>
              <w:ind w:left="271" w:right="155" w:hanging="96"/>
              <w:jc w:val="left"/>
              <w:rPr>
                <w:b/>
                <w:sz w:val="18"/>
              </w:rPr>
            </w:pPr>
            <w:r>
              <w:rPr>
                <w:b/>
                <w:sz w:val="18"/>
              </w:rPr>
              <w:t>Promedio general</w:t>
            </w:r>
          </w:p>
        </w:tc>
      </w:tr>
      <w:tr>
        <w:trPr>
          <w:trHeight w:val="271" w:hRule="exact"/>
        </w:trPr>
        <w:tc>
          <w:tcPr>
            <w:tcW w:w="1199" w:type="dxa"/>
            <w:tcBorders>
              <w:left w:val="single" w:sz="4" w:space="0" w:color="000000"/>
              <w:bottom w:val="single" w:sz="4" w:space="0" w:color="000000"/>
              <w:right w:val="single" w:sz="4" w:space="0" w:color="000000"/>
            </w:tcBorders>
          </w:tcPr>
          <w:p>
            <w:pPr>
              <w:pStyle w:val="TableParagraph"/>
              <w:spacing w:before="47"/>
              <w:ind w:left="65"/>
              <w:jc w:val="left"/>
              <w:rPr>
                <w:sz w:val="18"/>
              </w:rPr>
            </w:pPr>
            <w:r>
              <w:rPr>
                <w:sz w:val="18"/>
              </w:rPr>
              <w:t>Si</w:t>
            </w:r>
          </w:p>
        </w:tc>
        <w:tc>
          <w:tcPr>
            <w:tcW w:w="1200" w:type="dxa"/>
            <w:tcBorders>
              <w:left w:val="single" w:sz="4" w:space="0" w:color="000000"/>
              <w:bottom w:val="single" w:sz="4" w:space="0" w:color="000000"/>
              <w:right w:val="single" w:sz="4" w:space="0" w:color="000000"/>
            </w:tcBorders>
          </w:tcPr>
          <w:p>
            <w:pPr>
              <w:pStyle w:val="TableParagraph"/>
              <w:spacing w:before="47"/>
              <w:ind w:left="518"/>
              <w:jc w:val="left"/>
              <w:rPr>
                <w:sz w:val="18"/>
              </w:rPr>
            </w:pPr>
            <w:r>
              <w:rPr>
                <w:sz w:val="18"/>
              </w:rPr>
              <w:t>90.21%</w:t>
            </w:r>
          </w:p>
        </w:tc>
        <w:tc>
          <w:tcPr>
            <w:tcW w:w="1200" w:type="dxa"/>
            <w:tcBorders>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80.90%</w:t>
            </w:r>
          </w:p>
        </w:tc>
        <w:tc>
          <w:tcPr>
            <w:tcW w:w="1200" w:type="dxa"/>
            <w:tcBorders>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35.23%</w:t>
            </w:r>
          </w:p>
        </w:tc>
        <w:tc>
          <w:tcPr>
            <w:tcW w:w="1200" w:type="dxa"/>
            <w:tcBorders>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68.78%</w:t>
            </w:r>
          </w:p>
        </w:tc>
      </w:tr>
      <w:tr>
        <w:trPr>
          <w:trHeight w:val="264" w:hRule="exact"/>
        </w:trPr>
        <w:tc>
          <w:tcPr>
            <w:tcW w:w="1199" w:type="dxa"/>
            <w:tcBorders>
              <w:top w:val="single" w:sz="4" w:space="0" w:color="000000"/>
              <w:left w:val="single" w:sz="4" w:space="0" w:color="000000"/>
              <w:bottom w:val="single" w:sz="4" w:space="0" w:color="000000"/>
              <w:right w:val="single" w:sz="4" w:space="0" w:color="000000"/>
            </w:tcBorders>
          </w:tcPr>
          <w:p>
            <w:pPr>
              <w:pStyle w:val="TableParagraph"/>
              <w:spacing w:before="47"/>
              <w:ind w:left="65"/>
              <w:jc w:val="left"/>
              <w:rPr>
                <w:sz w:val="18"/>
              </w:rPr>
            </w:pPr>
            <w:r>
              <w:rPr>
                <w:sz w:val="18"/>
              </w:rPr>
              <w:t>No</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S/I</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54.68%</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8"/>
              <w:jc w:val="right"/>
              <w:rPr>
                <w:sz w:val="18"/>
              </w:rPr>
            </w:pPr>
            <w:r>
              <w:rPr>
                <w:sz w:val="18"/>
              </w:rPr>
              <w:t>30.33%</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42.51%</w:t>
            </w:r>
          </w:p>
        </w:tc>
      </w:tr>
    </w:tbl>
    <w:p>
      <w:pPr>
        <w:spacing w:before="68"/>
        <w:ind w:left="1664" w:right="26" w:firstLine="0"/>
        <w:jc w:val="left"/>
        <w:rPr>
          <w:sz w:val="16"/>
        </w:rPr>
      </w:pPr>
      <w:r>
        <w:rPr>
          <w:sz w:val="16"/>
        </w:rPr>
        <w:t>Fuente: Elaboración propia</w:t>
      </w:r>
    </w:p>
    <w:p>
      <w:pPr>
        <w:pStyle w:val="BodyText"/>
        <w:rPr>
          <w:sz w:val="20"/>
        </w:rPr>
      </w:pPr>
    </w:p>
    <w:p>
      <w:pPr>
        <w:pStyle w:val="BodyText"/>
        <w:spacing w:before="1"/>
      </w:pPr>
    </w:p>
    <w:p>
      <w:pPr>
        <w:pStyle w:val="BodyText"/>
        <w:spacing w:line="360" w:lineRule="auto" w:before="69"/>
        <w:ind w:left="128" w:right="116"/>
        <w:jc w:val="both"/>
      </w:pPr>
      <w:r>
        <w:rPr/>
        <w:t>Durante el periodo que comprende el 2013-2015 se tuvo un promedio de cumplimiento de la ley tal como se describe a continuación: en primer lugar, se encuentran los representantes que si ocuparon un trabajaban en la administración pública con un 68.78% y en segundo lugar se encuentran los que no trabajaban en la administración pública con un porcentaje del 42.51%</w:t>
      </w:r>
    </w:p>
    <w:p>
      <w:pPr>
        <w:pStyle w:val="BodyText"/>
      </w:pPr>
    </w:p>
    <w:p>
      <w:pPr>
        <w:pStyle w:val="Heading1"/>
        <w:numPr>
          <w:ilvl w:val="2"/>
          <w:numId w:val="53"/>
        </w:numPr>
        <w:tabs>
          <w:tab w:pos="837" w:val="left" w:leader="none"/>
        </w:tabs>
        <w:spacing w:line="278" w:lineRule="auto" w:before="202" w:after="0"/>
        <w:ind w:left="836" w:right="127" w:hanging="720"/>
        <w:jc w:val="left"/>
      </w:pPr>
      <w:r>
        <w:rPr/>
        <w:t>Cuenta con scanner para desarrollar sus actividades vs porcentaje de transparencia</w:t>
      </w:r>
      <w:r>
        <w:rPr>
          <w:spacing w:val="-6"/>
        </w:rPr>
        <w:t> </w:t>
      </w:r>
      <w:r>
        <w:rPr/>
        <w:t>2015</w:t>
      </w:r>
    </w:p>
    <w:p>
      <w:pPr>
        <w:pStyle w:val="BodyText"/>
        <w:rPr>
          <w:b/>
          <w:sz w:val="20"/>
        </w:rPr>
      </w:pPr>
    </w:p>
    <w:p>
      <w:pPr>
        <w:pStyle w:val="BodyText"/>
        <w:spacing w:before="1" w:after="1"/>
        <w:rPr>
          <w:b/>
          <w:sz w:val="19"/>
        </w:rPr>
      </w:pPr>
    </w:p>
    <w:tbl>
      <w:tblPr>
        <w:tblW w:w="0" w:type="auto"/>
        <w:jc w:val="left"/>
        <w:tblInd w:w="27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99"/>
        <w:gridCol w:w="1200"/>
        <w:gridCol w:w="1200"/>
      </w:tblGrid>
      <w:tr>
        <w:trPr>
          <w:trHeight w:val="434" w:hRule="exact"/>
        </w:trPr>
        <w:tc>
          <w:tcPr>
            <w:tcW w:w="3599" w:type="dxa"/>
            <w:gridSpan w:val="3"/>
            <w:shd w:val="clear" w:color="auto" w:fill="92D050"/>
          </w:tcPr>
          <w:p>
            <w:pPr>
              <w:pStyle w:val="TableParagraph"/>
              <w:ind w:left="629" w:right="205" w:hanging="406"/>
              <w:jc w:val="left"/>
              <w:rPr>
                <w:b/>
                <w:sz w:val="18"/>
              </w:rPr>
            </w:pPr>
            <w:r>
              <w:rPr>
                <w:b/>
                <w:sz w:val="18"/>
              </w:rPr>
              <w:t>Tabla 3.44: Cuenta con scanner para desarrollar sus actividades</w:t>
            </w:r>
          </w:p>
        </w:tc>
      </w:tr>
      <w:tr>
        <w:trPr>
          <w:trHeight w:val="289" w:hRule="exact"/>
        </w:trPr>
        <w:tc>
          <w:tcPr>
            <w:tcW w:w="1199" w:type="dxa"/>
            <w:vMerge w:val="restart"/>
            <w:shd w:val="clear" w:color="auto" w:fill="92D050"/>
          </w:tcPr>
          <w:p>
            <w:pPr>
              <w:pStyle w:val="TableParagraph"/>
              <w:spacing w:before="139"/>
              <w:ind w:left="351" w:right="157"/>
              <w:jc w:val="left"/>
              <w:rPr>
                <w:b/>
                <w:sz w:val="18"/>
              </w:rPr>
            </w:pPr>
            <w:r>
              <w:rPr>
                <w:b/>
                <w:sz w:val="18"/>
              </w:rPr>
              <w:t>Clase</w:t>
            </w:r>
          </w:p>
        </w:tc>
        <w:tc>
          <w:tcPr>
            <w:tcW w:w="2400" w:type="dxa"/>
            <w:gridSpan w:val="2"/>
            <w:shd w:val="clear" w:color="auto" w:fill="92D050"/>
          </w:tcPr>
          <w:p>
            <w:pPr>
              <w:pStyle w:val="TableParagraph"/>
              <w:spacing w:before="26"/>
              <w:ind w:left="970" w:right="966"/>
              <w:rPr>
                <w:b/>
                <w:sz w:val="18"/>
              </w:rPr>
            </w:pPr>
            <w:r>
              <w:rPr>
                <w:b/>
                <w:sz w:val="18"/>
              </w:rPr>
              <w:t>2015</w:t>
            </w:r>
          </w:p>
        </w:tc>
      </w:tr>
      <w:tr>
        <w:trPr>
          <w:trHeight w:val="228" w:hRule="exact"/>
        </w:trPr>
        <w:tc>
          <w:tcPr>
            <w:tcW w:w="1199" w:type="dxa"/>
            <w:vMerge/>
            <w:shd w:val="clear" w:color="auto" w:fill="92D050"/>
          </w:tcPr>
          <w:p>
            <w:pPr/>
          </w:p>
        </w:tc>
        <w:tc>
          <w:tcPr>
            <w:tcW w:w="1200" w:type="dxa"/>
            <w:shd w:val="clear" w:color="auto" w:fill="92D050"/>
          </w:tcPr>
          <w:p>
            <w:pPr>
              <w:pStyle w:val="TableParagraph"/>
              <w:spacing w:line="201" w:lineRule="exact"/>
              <w:ind w:left="117"/>
              <w:jc w:val="left"/>
              <w:rPr>
                <w:b/>
                <w:sz w:val="18"/>
              </w:rPr>
            </w:pPr>
            <w:r>
              <w:rPr>
                <w:b/>
                <w:sz w:val="18"/>
              </w:rPr>
              <w:t>Frecuencia</w:t>
            </w:r>
          </w:p>
        </w:tc>
        <w:tc>
          <w:tcPr>
            <w:tcW w:w="1200" w:type="dxa"/>
            <w:shd w:val="clear" w:color="auto" w:fill="92D050"/>
          </w:tcPr>
          <w:p>
            <w:pPr>
              <w:pStyle w:val="TableParagraph"/>
              <w:spacing w:line="201" w:lineRule="exact"/>
              <w:ind w:left="511"/>
              <w:jc w:val="left"/>
              <w:rPr>
                <w:b/>
                <w:sz w:val="18"/>
              </w:rPr>
            </w:pPr>
            <w:r>
              <w:rPr>
                <w:b/>
                <w:w w:val="99"/>
                <w:sz w:val="18"/>
              </w:rPr>
              <w:t>%</w:t>
            </w:r>
          </w:p>
        </w:tc>
      </w:tr>
      <w:tr>
        <w:trPr>
          <w:trHeight w:val="269" w:hRule="exact"/>
        </w:trPr>
        <w:tc>
          <w:tcPr>
            <w:tcW w:w="1199" w:type="dxa"/>
            <w:tcBorders>
              <w:left w:val="single" w:sz="4" w:space="0" w:color="000000"/>
              <w:bottom w:val="single" w:sz="4" w:space="0" w:color="000000"/>
              <w:right w:val="single" w:sz="4" w:space="0" w:color="000000"/>
            </w:tcBorders>
          </w:tcPr>
          <w:p>
            <w:pPr>
              <w:pStyle w:val="TableParagraph"/>
              <w:spacing w:before="47"/>
              <w:ind w:left="66"/>
              <w:jc w:val="left"/>
              <w:rPr>
                <w:sz w:val="18"/>
              </w:rPr>
            </w:pPr>
            <w:r>
              <w:rPr>
                <w:sz w:val="18"/>
              </w:rPr>
              <w:t>Si</w:t>
            </w:r>
          </w:p>
        </w:tc>
        <w:tc>
          <w:tcPr>
            <w:tcW w:w="1200" w:type="dxa"/>
            <w:tcBorders>
              <w:left w:val="single" w:sz="4" w:space="0" w:color="000000"/>
              <w:bottom w:val="single" w:sz="4" w:space="0" w:color="000000"/>
              <w:right w:val="single" w:sz="4" w:space="0" w:color="000000"/>
            </w:tcBorders>
          </w:tcPr>
          <w:p>
            <w:pPr>
              <w:pStyle w:val="TableParagraph"/>
              <w:spacing w:before="47"/>
              <w:ind w:right="58"/>
              <w:jc w:val="right"/>
              <w:rPr>
                <w:sz w:val="18"/>
              </w:rPr>
            </w:pPr>
            <w:r>
              <w:rPr>
                <w:sz w:val="18"/>
              </w:rPr>
              <w:t>30</w:t>
            </w:r>
          </w:p>
        </w:tc>
        <w:tc>
          <w:tcPr>
            <w:tcW w:w="1200" w:type="dxa"/>
            <w:tcBorders>
              <w:left w:val="single" w:sz="4" w:space="0" w:color="000000"/>
              <w:bottom w:val="single" w:sz="4" w:space="0" w:color="000000"/>
              <w:right w:val="single" w:sz="4" w:space="0" w:color="000000"/>
            </w:tcBorders>
          </w:tcPr>
          <w:p>
            <w:pPr>
              <w:pStyle w:val="TableParagraph"/>
              <w:spacing w:before="47"/>
              <w:ind w:left="518"/>
              <w:jc w:val="left"/>
              <w:rPr>
                <w:sz w:val="18"/>
              </w:rPr>
            </w:pPr>
            <w:r>
              <w:rPr>
                <w:sz w:val="18"/>
              </w:rPr>
              <w:t>32.42%</w:t>
            </w:r>
          </w:p>
        </w:tc>
      </w:tr>
      <w:tr>
        <w:trPr>
          <w:trHeight w:val="266" w:hRule="exact"/>
        </w:trPr>
        <w:tc>
          <w:tcPr>
            <w:tcW w:w="1199" w:type="dxa"/>
            <w:tcBorders>
              <w:top w:val="single" w:sz="4" w:space="0" w:color="000000"/>
              <w:left w:val="single" w:sz="4" w:space="0" w:color="000000"/>
              <w:bottom w:val="single" w:sz="4" w:space="0" w:color="000000"/>
              <w:right w:val="single" w:sz="4" w:space="0" w:color="000000"/>
            </w:tcBorders>
          </w:tcPr>
          <w:p>
            <w:pPr>
              <w:pStyle w:val="TableParagraph"/>
              <w:spacing w:before="47"/>
              <w:ind w:left="66"/>
              <w:jc w:val="left"/>
              <w:rPr>
                <w:sz w:val="18"/>
              </w:rPr>
            </w:pPr>
            <w:r>
              <w:rPr>
                <w:sz w:val="18"/>
              </w:rPr>
              <w:t>No</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8"/>
              <w:jc w:val="right"/>
              <w:rPr>
                <w:sz w:val="18"/>
              </w:rPr>
            </w:pPr>
            <w:r>
              <w:rPr>
                <w:sz w:val="18"/>
              </w:rPr>
              <w:t>16</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518"/>
              <w:jc w:val="left"/>
              <w:rPr>
                <w:sz w:val="18"/>
              </w:rPr>
            </w:pPr>
            <w:r>
              <w:rPr>
                <w:sz w:val="18"/>
              </w:rPr>
              <w:t>33.16%</w:t>
            </w:r>
          </w:p>
        </w:tc>
      </w:tr>
    </w:tbl>
    <w:p>
      <w:pPr>
        <w:spacing w:after="0"/>
        <w:jc w:val="left"/>
        <w:rPr>
          <w:sz w:val="18"/>
        </w:rPr>
        <w:sectPr>
          <w:footerReference w:type="default" r:id="rId125"/>
          <w:pgSz w:w="12240" w:h="15840"/>
          <w:pgMar w:footer="1474" w:header="0" w:top="1360" w:bottom="1660" w:left="1480" w:right="1580"/>
          <w:pgNumType w:start="244"/>
        </w:sectPr>
      </w:pPr>
    </w:p>
    <w:p>
      <w:pPr>
        <w:pStyle w:val="BodyText"/>
        <w:spacing w:line="360" w:lineRule="auto" w:before="54"/>
        <w:ind w:left="128" w:right="116"/>
        <w:jc w:val="both"/>
      </w:pPr>
      <w:r>
        <w:rPr/>
        <w:t>En la tabla anterior se muestran los resultados obtenidos de hacer el cruce de las variables del cumplimiento de la ley de transparencia en relación a si cuentan con scanner para el desempeño de las actividades de los responsables de la transparencia en los gobiernos municipales. Los resultados obtenidos muestran cómo los responsables de la transparencia que no cuentan con scanner para el desarrollo de sus actividades ocupan el primer lugar con un 33.16% y en segundo lugar aparecen los que sí cuentan con scanner para el desempeño de sus actividades al obtener un 32.42%.</w:t>
      </w:r>
    </w:p>
    <w:p>
      <w:pPr>
        <w:pStyle w:val="BodyText"/>
      </w:pPr>
    </w:p>
    <w:p>
      <w:pPr>
        <w:pStyle w:val="BodyText"/>
        <w:spacing w:line="360" w:lineRule="auto" w:before="164"/>
        <w:ind w:left="128" w:right="118"/>
        <w:jc w:val="both"/>
      </w:pPr>
      <w:r>
        <w:rPr/>
        <w:t>En</w:t>
      </w:r>
      <w:r>
        <w:rPr>
          <w:spacing w:val="-8"/>
        </w:rPr>
        <w:t> </w:t>
      </w:r>
      <w:r>
        <w:rPr/>
        <w:t>un</w:t>
      </w:r>
      <w:r>
        <w:rPr>
          <w:spacing w:val="-8"/>
        </w:rPr>
        <w:t> </w:t>
      </w:r>
      <w:r>
        <w:rPr/>
        <w:t>sentido</w:t>
      </w:r>
      <w:r>
        <w:rPr>
          <w:spacing w:val="-8"/>
        </w:rPr>
        <w:t> </w:t>
      </w:r>
      <w:r>
        <w:rPr/>
        <w:t>retroactivo</w:t>
      </w:r>
      <w:r>
        <w:rPr>
          <w:spacing w:val="-8"/>
        </w:rPr>
        <w:t> </w:t>
      </w:r>
      <w:r>
        <w:rPr/>
        <w:t>del</w:t>
      </w:r>
      <w:r>
        <w:rPr>
          <w:spacing w:val="-10"/>
        </w:rPr>
        <w:t> </w:t>
      </w:r>
      <w:r>
        <w:rPr/>
        <w:t>periodo</w:t>
      </w:r>
      <w:r>
        <w:rPr>
          <w:spacing w:val="-8"/>
        </w:rPr>
        <w:t> </w:t>
      </w:r>
      <w:r>
        <w:rPr/>
        <w:t>de</w:t>
      </w:r>
      <w:r>
        <w:rPr>
          <w:spacing w:val="-8"/>
        </w:rPr>
        <w:t> </w:t>
      </w:r>
      <w:r>
        <w:rPr/>
        <w:t>administración</w:t>
      </w:r>
      <w:r>
        <w:rPr>
          <w:spacing w:val="-8"/>
        </w:rPr>
        <w:t> </w:t>
      </w:r>
      <w:r>
        <w:rPr/>
        <w:t>2013</w:t>
      </w:r>
      <w:r>
        <w:rPr>
          <w:spacing w:val="-8"/>
        </w:rPr>
        <w:t> </w:t>
      </w:r>
      <w:r>
        <w:rPr/>
        <w:t>-2015</w:t>
      </w:r>
      <w:r>
        <w:rPr>
          <w:spacing w:val="-8"/>
        </w:rPr>
        <w:t> </w:t>
      </w:r>
      <w:r>
        <w:rPr/>
        <w:t>la</w:t>
      </w:r>
      <w:r>
        <w:rPr>
          <w:spacing w:val="-8"/>
        </w:rPr>
        <w:t> </w:t>
      </w:r>
      <w:r>
        <w:rPr/>
        <w:t>siguiente</w:t>
      </w:r>
      <w:r>
        <w:rPr>
          <w:spacing w:val="-8"/>
        </w:rPr>
        <w:t> </w:t>
      </w:r>
      <w:r>
        <w:rPr/>
        <w:t>tabla muestra el promedio de cumplimiento de la ley de</w:t>
      </w:r>
      <w:r>
        <w:rPr>
          <w:spacing w:val="-18"/>
        </w:rPr>
        <w:t> </w:t>
      </w:r>
      <w:r>
        <w:rPr/>
        <w:t>transparencia:</w:t>
      </w:r>
    </w:p>
    <w:p>
      <w:pPr>
        <w:pStyle w:val="BodyText"/>
        <w:rPr>
          <w:sz w:val="20"/>
        </w:rPr>
      </w:pPr>
    </w:p>
    <w:p>
      <w:pPr>
        <w:pStyle w:val="BodyText"/>
        <w:spacing w:before="6" w:after="1"/>
        <w:rPr>
          <w:sz w:val="18"/>
        </w:rPr>
      </w:pPr>
    </w:p>
    <w:tbl>
      <w:tblPr>
        <w:tblW w:w="0" w:type="auto"/>
        <w:jc w:val="left"/>
        <w:tblInd w:w="15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01"/>
        <w:gridCol w:w="1200"/>
        <w:gridCol w:w="1200"/>
        <w:gridCol w:w="1200"/>
        <w:gridCol w:w="1200"/>
      </w:tblGrid>
      <w:tr>
        <w:trPr>
          <w:trHeight w:val="289" w:hRule="exact"/>
        </w:trPr>
        <w:tc>
          <w:tcPr>
            <w:tcW w:w="6001" w:type="dxa"/>
            <w:gridSpan w:val="5"/>
            <w:shd w:val="clear" w:color="auto" w:fill="92D050"/>
          </w:tcPr>
          <w:p>
            <w:pPr>
              <w:pStyle w:val="TableParagraph"/>
              <w:spacing w:before="25"/>
              <w:ind w:left="239"/>
              <w:jc w:val="left"/>
              <w:rPr>
                <w:b/>
                <w:sz w:val="18"/>
              </w:rPr>
            </w:pPr>
            <w:r>
              <w:rPr>
                <w:b/>
                <w:sz w:val="18"/>
              </w:rPr>
              <w:t>Tabla 3.45: Cuenta con scanner para desarrollar sus actividades</w:t>
            </w:r>
          </w:p>
        </w:tc>
      </w:tr>
      <w:tr>
        <w:trPr>
          <w:trHeight w:val="546" w:hRule="exact"/>
        </w:trPr>
        <w:tc>
          <w:tcPr>
            <w:tcW w:w="1201" w:type="dxa"/>
            <w:shd w:val="clear" w:color="auto" w:fill="92D050"/>
          </w:tcPr>
          <w:p>
            <w:pPr>
              <w:pStyle w:val="TableParagraph"/>
              <w:spacing w:before="154"/>
              <w:ind w:left="352"/>
              <w:jc w:val="left"/>
              <w:rPr>
                <w:b/>
                <w:sz w:val="18"/>
              </w:rPr>
            </w:pPr>
            <w:r>
              <w:rPr>
                <w:b/>
                <w:sz w:val="18"/>
              </w:rPr>
              <w:t>Clase</w:t>
            </w:r>
          </w:p>
        </w:tc>
        <w:tc>
          <w:tcPr>
            <w:tcW w:w="1200" w:type="dxa"/>
            <w:shd w:val="clear" w:color="auto" w:fill="92D050"/>
          </w:tcPr>
          <w:p>
            <w:pPr>
              <w:pStyle w:val="TableParagraph"/>
              <w:spacing w:before="154"/>
              <w:ind w:left="391" w:right="155"/>
              <w:jc w:val="left"/>
              <w:rPr>
                <w:b/>
                <w:sz w:val="18"/>
              </w:rPr>
            </w:pPr>
            <w:r>
              <w:rPr>
                <w:b/>
                <w:sz w:val="18"/>
              </w:rPr>
              <w:t>2013</w:t>
            </w:r>
          </w:p>
        </w:tc>
        <w:tc>
          <w:tcPr>
            <w:tcW w:w="1200" w:type="dxa"/>
            <w:shd w:val="clear" w:color="auto" w:fill="92D050"/>
          </w:tcPr>
          <w:p>
            <w:pPr>
              <w:pStyle w:val="TableParagraph"/>
              <w:spacing w:before="154"/>
              <w:ind w:left="391"/>
              <w:jc w:val="left"/>
              <w:rPr>
                <w:b/>
                <w:sz w:val="18"/>
              </w:rPr>
            </w:pPr>
            <w:r>
              <w:rPr>
                <w:b/>
                <w:sz w:val="18"/>
              </w:rPr>
              <w:t>2014</w:t>
            </w:r>
          </w:p>
        </w:tc>
        <w:tc>
          <w:tcPr>
            <w:tcW w:w="1200" w:type="dxa"/>
            <w:shd w:val="clear" w:color="auto" w:fill="92D050"/>
          </w:tcPr>
          <w:p>
            <w:pPr>
              <w:pStyle w:val="TableParagraph"/>
              <w:spacing w:before="154"/>
              <w:ind w:left="391" w:right="155"/>
              <w:jc w:val="left"/>
              <w:rPr>
                <w:b/>
                <w:sz w:val="18"/>
              </w:rPr>
            </w:pPr>
            <w:r>
              <w:rPr>
                <w:b/>
                <w:sz w:val="18"/>
              </w:rPr>
              <w:t>2015</w:t>
            </w:r>
          </w:p>
        </w:tc>
        <w:tc>
          <w:tcPr>
            <w:tcW w:w="1200" w:type="dxa"/>
            <w:shd w:val="clear" w:color="auto" w:fill="92D050"/>
          </w:tcPr>
          <w:p>
            <w:pPr>
              <w:pStyle w:val="TableParagraph"/>
              <w:spacing w:before="50"/>
              <w:ind w:left="271" w:right="155" w:hanging="96"/>
              <w:jc w:val="left"/>
              <w:rPr>
                <w:b/>
                <w:sz w:val="18"/>
              </w:rPr>
            </w:pPr>
            <w:r>
              <w:rPr>
                <w:b/>
                <w:sz w:val="18"/>
              </w:rPr>
              <w:t>Promedio general</w:t>
            </w:r>
          </w:p>
        </w:tc>
      </w:tr>
      <w:tr>
        <w:trPr>
          <w:trHeight w:val="269" w:hRule="exact"/>
        </w:trPr>
        <w:tc>
          <w:tcPr>
            <w:tcW w:w="1201" w:type="dxa"/>
            <w:tcBorders>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Si</w:t>
            </w:r>
          </w:p>
        </w:tc>
        <w:tc>
          <w:tcPr>
            <w:tcW w:w="1200" w:type="dxa"/>
            <w:tcBorders>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89.21%</w:t>
            </w:r>
          </w:p>
        </w:tc>
        <w:tc>
          <w:tcPr>
            <w:tcW w:w="1200" w:type="dxa"/>
            <w:tcBorders>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63.38%</w:t>
            </w:r>
          </w:p>
        </w:tc>
        <w:tc>
          <w:tcPr>
            <w:tcW w:w="1200" w:type="dxa"/>
            <w:tcBorders>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32.42%</w:t>
            </w:r>
          </w:p>
        </w:tc>
        <w:tc>
          <w:tcPr>
            <w:tcW w:w="1200" w:type="dxa"/>
            <w:tcBorders>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61.67%</w:t>
            </w:r>
          </w:p>
        </w:tc>
      </w:tr>
      <w:tr>
        <w:trPr>
          <w:trHeight w:val="266" w:hRule="exact"/>
        </w:trPr>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No</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93.20%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83.88%</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33.16%</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8"/>
              <w:jc w:val="right"/>
              <w:rPr>
                <w:sz w:val="18"/>
              </w:rPr>
            </w:pPr>
            <w:r>
              <w:rPr>
                <w:sz w:val="18"/>
              </w:rPr>
              <w:t>70.08%</w:t>
            </w:r>
          </w:p>
        </w:tc>
      </w:tr>
    </w:tbl>
    <w:p>
      <w:pPr>
        <w:spacing w:before="66"/>
        <w:ind w:left="1664" w:right="26" w:firstLine="0"/>
        <w:jc w:val="left"/>
        <w:rPr>
          <w:sz w:val="16"/>
        </w:rPr>
      </w:pPr>
      <w:r>
        <w:rPr>
          <w:sz w:val="16"/>
        </w:rPr>
        <w:t>Fuente: Elaboración propia</w:t>
      </w:r>
    </w:p>
    <w:p>
      <w:pPr>
        <w:pStyle w:val="BodyText"/>
        <w:spacing w:before="2"/>
        <w:rPr>
          <w:sz w:val="18"/>
        </w:rPr>
      </w:pPr>
    </w:p>
    <w:p>
      <w:pPr>
        <w:pStyle w:val="BodyText"/>
        <w:spacing w:line="360" w:lineRule="auto" w:before="69"/>
        <w:ind w:left="128" w:right="116"/>
        <w:jc w:val="both"/>
      </w:pPr>
      <w:r>
        <w:rPr/>
        <w:t>Durante el periodo que comprende el 2013-2015 se tuvo un promedio de cumplimiento de la ley tal como se describe a continuación: en primer lugar, se encuentran los representantes que no cuentan con scanner para el desempeño de sus</w:t>
      </w:r>
      <w:r>
        <w:rPr>
          <w:spacing w:val="-8"/>
        </w:rPr>
        <w:t> </w:t>
      </w:r>
      <w:r>
        <w:rPr/>
        <w:t>actividades</w:t>
      </w:r>
      <w:r>
        <w:rPr>
          <w:spacing w:val="-8"/>
        </w:rPr>
        <w:t> </w:t>
      </w:r>
      <w:r>
        <w:rPr/>
        <w:t>con</w:t>
      </w:r>
      <w:r>
        <w:rPr>
          <w:spacing w:val="-10"/>
        </w:rPr>
        <w:t> </w:t>
      </w:r>
      <w:r>
        <w:rPr/>
        <w:t>un</w:t>
      </w:r>
      <w:r>
        <w:rPr>
          <w:spacing w:val="-10"/>
        </w:rPr>
        <w:t> </w:t>
      </w:r>
      <w:r>
        <w:rPr/>
        <w:t>70.08%</w:t>
      </w:r>
      <w:r>
        <w:rPr>
          <w:spacing w:val="-8"/>
        </w:rPr>
        <w:t> </w:t>
      </w:r>
      <w:r>
        <w:rPr/>
        <w:t>y</w:t>
      </w:r>
      <w:r>
        <w:rPr>
          <w:spacing w:val="-11"/>
        </w:rPr>
        <w:t> </w:t>
      </w:r>
      <w:r>
        <w:rPr/>
        <w:t>en</w:t>
      </w:r>
      <w:r>
        <w:rPr>
          <w:spacing w:val="-7"/>
        </w:rPr>
        <w:t> </w:t>
      </w:r>
      <w:r>
        <w:rPr/>
        <w:t>segundo</w:t>
      </w:r>
      <w:r>
        <w:rPr>
          <w:spacing w:val="-10"/>
        </w:rPr>
        <w:t> </w:t>
      </w:r>
      <w:r>
        <w:rPr/>
        <w:t>lugar</w:t>
      </w:r>
      <w:r>
        <w:rPr>
          <w:spacing w:val="-9"/>
        </w:rPr>
        <w:t> </w:t>
      </w:r>
      <w:r>
        <w:rPr/>
        <w:t>se</w:t>
      </w:r>
      <w:r>
        <w:rPr>
          <w:spacing w:val="-7"/>
        </w:rPr>
        <w:t> </w:t>
      </w:r>
      <w:r>
        <w:rPr/>
        <w:t>encuentran</w:t>
      </w:r>
      <w:r>
        <w:rPr>
          <w:spacing w:val="-7"/>
        </w:rPr>
        <w:t> </w:t>
      </w:r>
      <w:r>
        <w:rPr/>
        <w:t>los</w:t>
      </w:r>
      <w:r>
        <w:rPr>
          <w:spacing w:val="-8"/>
        </w:rPr>
        <w:t> </w:t>
      </w:r>
      <w:r>
        <w:rPr/>
        <w:t>que</w:t>
      </w:r>
      <w:r>
        <w:rPr>
          <w:spacing w:val="-7"/>
        </w:rPr>
        <w:t> </w:t>
      </w:r>
      <w:r>
        <w:rPr/>
        <w:t>sí</w:t>
      </w:r>
      <w:r>
        <w:rPr>
          <w:spacing w:val="-10"/>
        </w:rPr>
        <w:t> </w:t>
      </w:r>
      <w:r>
        <w:rPr/>
        <w:t>cuentan con esta herramienta para desarrollar sus actividades obteniendo un</w:t>
      </w:r>
      <w:r>
        <w:rPr>
          <w:spacing w:val="-30"/>
        </w:rPr>
        <w:t> </w:t>
      </w:r>
      <w:r>
        <w:rPr/>
        <w:t>61.67%.</w:t>
      </w:r>
    </w:p>
    <w:p>
      <w:pPr>
        <w:pStyle w:val="BodyText"/>
      </w:pPr>
    </w:p>
    <w:p>
      <w:pPr>
        <w:pStyle w:val="Heading1"/>
        <w:numPr>
          <w:ilvl w:val="2"/>
          <w:numId w:val="53"/>
        </w:numPr>
        <w:tabs>
          <w:tab w:pos="837" w:val="left" w:leader="none"/>
        </w:tabs>
        <w:spacing w:line="360" w:lineRule="auto" w:before="204" w:after="0"/>
        <w:ind w:left="836" w:right="124" w:hanging="720"/>
        <w:jc w:val="left"/>
      </w:pPr>
      <w:r>
        <w:rPr/>
        <w:t>Tiene acceso a Internet para desarrollar sus actividades vs porcentaje de transparencia</w:t>
      </w:r>
      <w:r>
        <w:rPr>
          <w:spacing w:val="-6"/>
        </w:rPr>
        <w:t> </w:t>
      </w:r>
      <w:r>
        <w:rPr/>
        <w:t>2015</w:t>
      </w:r>
    </w:p>
    <w:p>
      <w:pPr>
        <w:pStyle w:val="BodyText"/>
        <w:rPr>
          <w:b/>
          <w:sz w:val="20"/>
        </w:rPr>
      </w:pPr>
    </w:p>
    <w:p>
      <w:pPr>
        <w:pStyle w:val="BodyText"/>
        <w:spacing w:before="8"/>
        <w:rPr>
          <w:b/>
          <w:sz w:val="19"/>
        </w:rPr>
      </w:pPr>
    </w:p>
    <w:tbl>
      <w:tblPr>
        <w:tblW w:w="0" w:type="auto"/>
        <w:jc w:val="left"/>
        <w:tblInd w:w="27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99"/>
        <w:gridCol w:w="1200"/>
        <w:gridCol w:w="1200"/>
      </w:tblGrid>
      <w:tr>
        <w:trPr>
          <w:trHeight w:val="485" w:hRule="exact"/>
        </w:trPr>
        <w:tc>
          <w:tcPr>
            <w:tcW w:w="3599" w:type="dxa"/>
            <w:gridSpan w:val="3"/>
            <w:shd w:val="clear" w:color="auto" w:fill="92D050"/>
          </w:tcPr>
          <w:p>
            <w:pPr>
              <w:pStyle w:val="TableParagraph"/>
              <w:spacing w:before="20"/>
              <w:ind w:left="629" w:right="69" w:hanging="540"/>
              <w:jc w:val="left"/>
              <w:rPr>
                <w:b/>
                <w:sz w:val="18"/>
              </w:rPr>
            </w:pPr>
            <w:r>
              <w:rPr>
                <w:b/>
                <w:sz w:val="18"/>
              </w:rPr>
              <w:t>Tabla 3.46: Tiene acceso a Internet para desarrollar sus actividades</w:t>
            </w:r>
          </w:p>
        </w:tc>
      </w:tr>
      <w:tr>
        <w:trPr>
          <w:trHeight w:val="290" w:hRule="exact"/>
        </w:trPr>
        <w:tc>
          <w:tcPr>
            <w:tcW w:w="1199" w:type="dxa"/>
            <w:vMerge w:val="restart"/>
            <w:shd w:val="clear" w:color="auto" w:fill="92D050"/>
          </w:tcPr>
          <w:p>
            <w:pPr>
              <w:pStyle w:val="TableParagraph"/>
              <w:jc w:val="left"/>
              <w:rPr>
                <w:b/>
                <w:sz w:val="26"/>
              </w:rPr>
            </w:pPr>
          </w:p>
          <w:p>
            <w:pPr>
              <w:pStyle w:val="TableParagraph"/>
              <w:ind w:left="351" w:right="157"/>
              <w:jc w:val="left"/>
              <w:rPr>
                <w:b/>
                <w:sz w:val="18"/>
              </w:rPr>
            </w:pPr>
            <w:r>
              <w:rPr>
                <w:b/>
                <w:sz w:val="18"/>
              </w:rPr>
              <w:t>Clase</w:t>
            </w:r>
          </w:p>
        </w:tc>
        <w:tc>
          <w:tcPr>
            <w:tcW w:w="2400" w:type="dxa"/>
            <w:gridSpan w:val="2"/>
            <w:shd w:val="clear" w:color="auto" w:fill="92D050"/>
          </w:tcPr>
          <w:p>
            <w:pPr>
              <w:pStyle w:val="TableParagraph"/>
              <w:spacing w:before="59"/>
              <w:ind w:left="970" w:right="966"/>
              <w:rPr>
                <w:b/>
                <w:sz w:val="18"/>
              </w:rPr>
            </w:pPr>
            <w:r>
              <w:rPr>
                <w:b/>
                <w:sz w:val="18"/>
              </w:rPr>
              <w:t>2015</w:t>
            </w:r>
          </w:p>
        </w:tc>
      </w:tr>
      <w:tr>
        <w:trPr>
          <w:trHeight w:val="545" w:hRule="exact"/>
        </w:trPr>
        <w:tc>
          <w:tcPr>
            <w:tcW w:w="1199" w:type="dxa"/>
            <w:vMerge/>
            <w:shd w:val="clear" w:color="auto" w:fill="92D050"/>
          </w:tcPr>
          <w:p>
            <w:pPr/>
          </w:p>
        </w:tc>
        <w:tc>
          <w:tcPr>
            <w:tcW w:w="1200" w:type="dxa"/>
            <w:shd w:val="clear" w:color="auto" w:fill="92D050"/>
          </w:tcPr>
          <w:p>
            <w:pPr>
              <w:pStyle w:val="TableParagraph"/>
              <w:spacing w:before="155"/>
              <w:ind w:left="117"/>
              <w:jc w:val="left"/>
              <w:rPr>
                <w:b/>
                <w:sz w:val="18"/>
              </w:rPr>
            </w:pPr>
            <w:r>
              <w:rPr>
                <w:b/>
                <w:sz w:val="18"/>
              </w:rPr>
              <w:t>Frecuencia</w:t>
            </w:r>
          </w:p>
        </w:tc>
        <w:tc>
          <w:tcPr>
            <w:tcW w:w="1200" w:type="dxa"/>
            <w:shd w:val="clear" w:color="auto" w:fill="92D050"/>
          </w:tcPr>
          <w:p>
            <w:pPr>
              <w:pStyle w:val="TableParagraph"/>
              <w:spacing w:before="155"/>
              <w:ind w:left="1"/>
              <w:rPr>
                <w:b/>
                <w:sz w:val="18"/>
              </w:rPr>
            </w:pPr>
            <w:r>
              <w:rPr>
                <w:b/>
                <w:w w:val="99"/>
                <w:sz w:val="18"/>
              </w:rPr>
              <w:t>%</w:t>
            </w:r>
          </w:p>
        </w:tc>
      </w:tr>
      <w:tr>
        <w:trPr>
          <w:trHeight w:val="286" w:hRule="exact"/>
        </w:trPr>
        <w:tc>
          <w:tcPr>
            <w:tcW w:w="1199" w:type="dxa"/>
            <w:tcBorders>
              <w:left w:val="single" w:sz="4" w:space="0" w:color="000000"/>
              <w:bottom w:val="single" w:sz="4" w:space="0" w:color="000000"/>
              <w:right w:val="single" w:sz="4" w:space="0" w:color="000000"/>
            </w:tcBorders>
          </w:tcPr>
          <w:p>
            <w:pPr>
              <w:pStyle w:val="TableParagraph"/>
              <w:spacing w:before="64"/>
              <w:ind w:left="66"/>
              <w:jc w:val="left"/>
              <w:rPr>
                <w:sz w:val="18"/>
              </w:rPr>
            </w:pPr>
            <w:r>
              <w:rPr>
                <w:sz w:val="18"/>
              </w:rPr>
              <w:t>Si</w:t>
            </w:r>
          </w:p>
        </w:tc>
        <w:tc>
          <w:tcPr>
            <w:tcW w:w="1200" w:type="dxa"/>
            <w:tcBorders>
              <w:left w:val="single" w:sz="4" w:space="0" w:color="000000"/>
              <w:bottom w:val="single" w:sz="4" w:space="0" w:color="000000"/>
              <w:right w:val="single" w:sz="4" w:space="0" w:color="000000"/>
            </w:tcBorders>
          </w:tcPr>
          <w:p>
            <w:pPr>
              <w:pStyle w:val="TableParagraph"/>
              <w:spacing w:before="64"/>
              <w:ind w:right="58"/>
              <w:jc w:val="right"/>
              <w:rPr>
                <w:sz w:val="18"/>
              </w:rPr>
            </w:pPr>
            <w:r>
              <w:rPr>
                <w:sz w:val="18"/>
              </w:rPr>
              <w:t>43</w:t>
            </w:r>
          </w:p>
        </w:tc>
        <w:tc>
          <w:tcPr>
            <w:tcW w:w="1200" w:type="dxa"/>
            <w:tcBorders>
              <w:left w:val="single" w:sz="4" w:space="0" w:color="000000"/>
              <w:bottom w:val="single" w:sz="4" w:space="0" w:color="000000"/>
              <w:right w:val="single" w:sz="4" w:space="0" w:color="000000"/>
            </w:tcBorders>
          </w:tcPr>
          <w:p>
            <w:pPr>
              <w:pStyle w:val="TableParagraph"/>
              <w:spacing w:before="64"/>
              <w:ind w:right="59"/>
              <w:jc w:val="right"/>
              <w:rPr>
                <w:sz w:val="18"/>
              </w:rPr>
            </w:pPr>
            <w:r>
              <w:rPr>
                <w:sz w:val="18"/>
              </w:rPr>
              <w:t>34.41%</w:t>
            </w:r>
          </w:p>
        </w:tc>
      </w:tr>
      <w:tr>
        <w:trPr>
          <w:trHeight w:val="264" w:hRule="exact"/>
        </w:trPr>
        <w:tc>
          <w:tcPr>
            <w:tcW w:w="1199" w:type="dxa"/>
            <w:tcBorders>
              <w:top w:val="single" w:sz="4" w:space="0" w:color="000000"/>
              <w:left w:val="single" w:sz="4" w:space="0" w:color="000000"/>
              <w:bottom w:val="single" w:sz="4" w:space="0" w:color="000000"/>
              <w:right w:val="single" w:sz="4" w:space="0" w:color="000000"/>
            </w:tcBorders>
          </w:tcPr>
          <w:p>
            <w:pPr>
              <w:pStyle w:val="TableParagraph"/>
              <w:spacing w:before="47"/>
              <w:ind w:left="66"/>
              <w:jc w:val="left"/>
              <w:rPr>
                <w:sz w:val="18"/>
              </w:rPr>
            </w:pPr>
            <w:r>
              <w:rPr>
                <w:sz w:val="18"/>
              </w:rPr>
              <w:t>No</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w w:val="99"/>
                <w:sz w:val="18"/>
              </w:rPr>
              <w:t>3</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w w:val="95"/>
                <w:sz w:val="18"/>
              </w:rPr>
              <w:t>7.79%</w:t>
            </w:r>
          </w:p>
        </w:tc>
      </w:tr>
    </w:tbl>
    <w:p>
      <w:pPr>
        <w:spacing w:after="0"/>
        <w:jc w:val="right"/>
        <w:rPr>
          <w:sz w:val="18"/>
        </w:rPr>
        <w:sectPr>
          <w:pgSz w:w="12240" w:h="15840"/>
          <w:pgMar w:header="0" w:footer="1474" w:top="1360" w:bottom="1680" w:left="1480" w:right="1580"/>
        </w:sectPr>
      </w:pPr>
    </w:p>
    <w:p>
      <w:pPr>
        <w:pStyle w:val="BodyText"/>
        <w:spacing w:line="360" w:lineRule="auto" w:before="54"/>
        <w:ind w:left="108" w:right="115"/>
        <w:jc w:val="both"/>
      </w:pPr>
      <w:r>
        <w:rPr/>
        <w:t>En la tabla anterior se muestran los resultados obtenidos de hacer el cruce de las variables del cumplimiento de la ley de transparencia en relación a si cuentan con Internet para el desarrollo de sus actividades que tienen los responsables de la transparencia en los gobiernos municipales. Los resultados obtenidos muestran cómo los responsables de la transparencia que si cuentan con Internet para el desarrollo de sus actividades ocupan el primer lugar con un 34.41% y en segundo lugar aparecen los que no cuentan con Internet para el desempeño de sus actividades al obtener un 7.79%.</w:t>
      </w:r>
    </w:p>
    <w:p>
      <w:pPr>
        <w:pStyle w:val="BodyText"/>
      </w:pPr>
    </w:p>
    <w:p>
      <w:pPr>
        <w:pStyle w:val="BodyText"/>
      </w:pPr>
    </w:p>
    <w:p>
      <w:pPr>
        <w:pStyle w:val="BodyText"/>
        <w:spacing w:line="360" w:lineRule="auto" w:before="186"/>
        <w:ind w:left="108" w:right="118"/>
        <w:jc w:val="both"/>
      </w:pPr>
      <w:r>
        <w:rPr/>
        <w:t>En</w:t>
      </w:r>
      <w:r>
        <w:rPr>
          <w:spacing w:val="-9"/>
        </w:rPr>
        <w:t> </w:t>
      </w:r>
      <w:r>
        <w:rPr/>
        <w:t>un</w:t>
      </w:r>
      <w:r>
        <w:rPr>
          <w:spacing w:val="-9"/>
        </w:rPr>
        <w:t> </w:t>
      </w:r>
      <w:r>
        <w:rPr/>
        <w:t>sentido</w:t>
      </w:r>
      <w:r>
        <w:rPr>
          <w:spacing w:val="-9"/>
        </w:rPr>
        <w:t> </w:t>
      </w:r>
      <w:r>
        <w:rPr/>
        <w:t>retroactivo</w:t>
      </w:r>
      <w:r>
        <w:rPr>
          <w:spacing w:val="-7"/>
        </w:rPr>
        <w:t> </w:t>
      </w:r>
      <w:r>
        <w:rPr/>
        <w:t>del</w:t>
      </w:r>
      <w:r>
        <w:rPr>
          <w:spacing w:val="-11"/>
        </w:rPr>
        <w:t> </w:t>
      </w:r>
      <w:r>
        <w:rPr/>
        <w:t>periodo</w:t>
      </w:r>
      <w:r>
        <w:rPr>
          <w:spacing w:val="-9"/>
        </w:rPr>
        <w:t> </w:t>
      </w:r>
      <w:r>
        <w:rPr/>
        <w:t>de</w:t>
      </w:r>
      <w:r>
        <w:rPr>
          <w:spacing w:val="-9"/>
        </w:rPr>
        <w:t> </w:t>
      </w:r>
      <w:r>
        <w:rPr/>
        <w:t>administración</w:t>
      </w:r>
      <w:r>
        <w:rPr>
          <w:spacing w:val="-9"/>
        </w:rPr>
        <w:t> </w:t>
      </w:r>
      <w:r>
        <w:rPr/>
        <w:t>2013</w:t>
      </w:r>
      <w:r>
        <w:rPr>
          <w:spacing w:val="-5"/>
        </w:rPr>
        <w:t> </w:t>
      </w:r>
      <w:r>
        <w:rPr/>
        <w:t>-2015</w:t>
      </w:r>
      <w:r>
        <w:rPr>
          <w:spacing w:val="-9"/>
        </w:rPr>
        <w:t> </w:t>
      </w:r>
      <w:r>
        <w:rPr/>
        <w:t>la</w:t>
      </w:r>
      <w:r>
        <w:rPr>
          <w:spacing w:val="-9"/>
        </w:rPr>
        <w:t> </w:t>
      </w:r>
      <w:r>
        <w:rPr/>
        <w:t>siguiente</w:t>
      </w:r>
      <w:r>
        <w:rPr>
          <w:spacing w:val="-9"/>
        </w:rPr>
        <w:t> </w:t>
      </w:r>
      <w:r>
        <w:rPr/>
        <w:t>tabla muestra el promedio de cumplimiento de la ley de</w:t>
      </w:r>
      <w:r>
        <w:rPr>
          <w:spacing w:val="-18"/>
        </w:rPr>
        <w:t> </w:t>
      </w:r>
      <w:r>
        <w:rPr/>
        <w:t>transparencia:</w:t>
      </w:r>
    </w:p>
    <w:p>
      <w:pPr>
        <w:pStyle w:val="BodyText"/>
        <w:rPr>
          <w:sz w:val="20"/>
        </w:rPr>
      </w:pPr>
    </w:p>
    <w:p>
      <w:pPr>
        <w:pStyle w:val="BodyText"/>
        <w:rPr>
          <w:sz w:val="20"/>
        </w:rPr>
      </w:pPr>
    </w:p>
    <w:p>
      <w:pPr>
        <w:pStyle w:val="BodyText"/>
        <w:spacing w:before="3"/>
      </w:pPr>
    </w:p>
    <w:tbl>
      <w:tblPr>
        <w:tblW w:w="0" w:type="auto"/>
        <w:jc w:val="left"/>
        <w:tblInd w:w="15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01"/>
        <w:gridCol w:w="1200"/>
        <w:gridCol w:w="1200"/>
        <w:gridCol w:w="1200"/>
        <w:gridCol w:w="1200"/>
      </w:tblGrid>
      <w:tr>
        <w:trPr>
          <w:trHeight w:val="290" w:hRule="exact"/>
        </w:trPr>
        <w:tc>
          <w:tcPr>
            <w:tcW w:w="6001" w:type="dxa"/>
            <w:gridSpan w:val="5"/>
            <w:shd w:val="clear" w:color="auto" w:fill="92D050"/>
          </w:tcPr>
          <w:p>
            <w:pPr>
              <w:pStyle w:val="TableParagraph"/>
              <w:spacing w:before="25"/>
              <w:ind w:left="105"/>
              <w:jc w:val="left"/>
              <w:rPr>
                <w:b/>
                <w:sz w:val="18"/>
              </w:rPr>
            </w:pPr>
            <w:r>
              <w:rPr>
                <w:b/>
                <w:sz w:val="18"/>
              </w:rPr>
              <w:t>Tabla 3.47: Tiene acceso a Internet para desarrollar sus actividades</w:t>
            </w:r>
          </w:p>
        </w:tc>
      </w:tr>
      <w:tr>
        <w:trPr>
          <w:trHeight w:val="545" w:hRule="exact"/>
        </w:trPr>
        <w:tc>
          <w:tcPr>
            <w:tcW w:w="1201" w:type="dxa"/>
            <w:shd w:val="clear" w:color="auto" w:fill="92D050"/>
          </w:tcPr>
          <w:p>
            <w:pPr>
              <w:pStyle w:val="TableParagraph"/>
              <w:spacing w:before="152"/>
              <w:ind w:left="352"/>
              <w:jc w:val="left"/>
              <w:rPr>
                <w:b/>
                <w:sz w:val="18"/>
              </w:rPr>
            </w:pPr>
            <w:r>
              <w:rPr>
                <w:b/>
                <w:sz w:val="18"/>
              </w:rPr>
              <w:t>Clase</w:t>
            </w:r>
          </w:p>
        </w:tc>
        <w:tc>
          <w:tcPr>
            <w:tcW w:w="1200" w:type="dxa"/>
            <w:shd w:val="clear" w:color="auto" w:fill="92D050"/>
          </w:tcPr>
          <w:p>
            <w:pPr>
              <w:pStyle w:val="TableParagraph"/>
              <w:spacing w:before="152"/>
              <w:ind w:left="370" w:right="366"/>
              <w:rPr>
                <w:b/>
                <w:sz w:val="18"/>
              </w:rPr>
            </w:pPr>
            <w:r>
              <w:rPr>
                <w:b/>
                <w:sz w:val="18"/>
              </w:rPr>
              <w:t>2013</w:t>
            </w:r>
          </w:p>
        </w:tc>
        <w:tc>
          <w:tcPr>
            <w:tcW w:w="1200" w:type="dxa"/>
            <w:shd w:val="clear" w:color="auto" w:fill="92D050"/>
          </w:tcPr>
          <w:p>
            <w:pPr>
              <w:pStyle w:val="TableParagraph"/>
              <w:spacing w:before="152"/>
              <w:ind w:left="97" w:right="93"/>
              <w:rPr>
                <w:b/>
                <w:sz w:val="18"/>
              </w:rPr>
            </w:pPr>
            <w:r>
              <w:rPr>
                <w:b/>
                <w:sz w:val="18"/>
              </w:rPr>
              <w:t>2014</w:t>
            </w:r>
          </w:p>
        </w:tc>
        <w:tc>
          <w:tcPr>
            <w:tcW w:w="1200" w:type="dxa"/>
            <w:shd w:val="clear" w:color="auto" w:fill="92D050"/>
          </w:tcPr>
          <w:p>
            <w:pPr>
              <w:pStyle w:val="TableParagraph"/>
              <w:spacing w:before="152"/>
              <w:ind w:left="370" w:right="366"/>
              <w:rPr>
                <w:b/>
                <w:sz w:val="18"/>
              </w:rPr>
            </w:pPr>
            <w:r>
              <w:rPr>
                <w:b/>
                <w:sz w:val="18"/>
              </w:rPr>
              <w:t>2015</w:t>
            </w:r>
          </w:p>
        </w:tc>
        <w:tc>
          <w:tcPr>
            <w:tcW w:w="1200" w:type="dxa"/>
            <w:shd w:val="clear" w:color="auto" w:fill="92D050"/>
          </w:tcPr>
          <w:p>
            <w:pPr>
              <w:pStyle w:val="TableParagraph"/>
              <w:spacing w:before="49"/>
              <w:ind w:left="271" w:right="155" w:hanging="96"/>
              <w:jc w:val="left"/>
              <w:rPr>
                <w:b/>
                <w:sz w:val="18"/>
              </w:rPr>
            </w:pPr>
            <w:r>
              <w:rPr>
                <w:b/>
                <w:sz w:val="18"/>
              </w:rPr>
              <w:t>Promedio general</w:t>
            </w:r>
          </w:p>
        </w:tc>
      </w:tr>
      <w:tr>
        <w:trPr>
          <w:trHeight w:val="286" w:hRule="exact"/>
        </w:trPr>
        <w:tc>
          <w:tcPr>
            <w:tcW w:w="1201" w:type="dxa"/>
            <w:tcBorders>
              <w:left w:val="single" w:sz="4" w:space="0" w:color="000000"/>
              <w:bottom w:val="single" w:sz="4" w:space="0" w:color="000000"/>
              <w:right w:val="single" w:sz="4" w:space="0" w:color="000000"/>
            </w:tcBorders>
          </w:tcPr>
          <w:p>
            <w:pPr>
              <w:pStyle w:val="TableParagraph"/>
              <w:spacing w:before="61"/>
              <w:ind w:left="67"/>
              <w:jc w:val="left"/>
              <w:rPr>
                <w:sz w:val="18"/>
              </w:rPr>
            </w:pPr>
            <w:r>
              <w:rPr>
                <w:sz w:val="18"/>
              </w:rPr>
              <w:t>Si</w:t>
            </w:r>
          </w:p>
        </w:tc>
        <w:tc>
          <w:tcPr>
            <w:tcW w:w="1200" w:type="dxa"/>
            <w:tcBorders>
              <w:left w:val="single" w:sz="4" w:space="0" w:color="000000"/>
              <w:bottom w:val="single" w:sz="4" w:space="0" w:color="000000"/>
              <w:right w:val="single" w:sz="4" w:space="0" w:color="000000"/>
            </w:tcBorders>
          </w:tcPr>
          <w:p>
            <w:pPr>
              <w:pStyle w:val="TableParagraph"/>
              <w:spacing w:before="61"/>
              <w:ind w:left="270" w:right="265"/>
              <w:rPr>
                <w:sz w:val="18"/>
              </w:rPr>
            </w:pPr>
            <w:r>
              <w:rPr>
                <w:sz w:val="18"/>
              </w:rPr>
              <w:t>90.21%</w:t>
            </w:r>
          </w:p>
        </w:tc>
        <w:tc>
          <w:tcPr>
            <w:tcW w:w="1200" w:type="dxa"/>
            <w:tcBorders>
              <w:left w:val="single" w:sz="4" w:space="0" w:color="000000"/>
              <w:bottom w:val="single" w:sz="4" w:space="0" w:color="000000"/>
              <w:right w:val="single" w:sz="4" w:space="0" w:color="000000"/>
            </w:tcBorders>
          </w:tcPr>
          <w:p>
            <w:pPr>
              <w:pStyle w:val="TableParagraph"/>
              <w:spacing w:before="61"/>
              <w:ind w:left="270" w:right="265"/>
              <w:rPr>
                <w:sz w:val="18"/>
              </w:rPr>
            </w:pPr>
            <w:r>
              <w:rPr>
                <w:sz w:val="18"/>
              </w:rPr>
              <w:t>69.86%</w:t>
            </w:r>
          </w:p>
        </w:tc>
        <w:tc>
          <w:tcPr>
            <w:tcW w:w="1200" w:type="dxa"/>
            <w:tcBorders>
              <w:left w:val="single" w:sz="4" w:space="0" w:color="000000"/>
              <w:bottom w:val="single" w:sz="4" w:space="0" w:color="000000"/>
              <w:right w:val="single" w:sz="4" w:space="0" w:color="000000"/>
            </w:tcBorders>
          </w:tcPr>
          <w:p>
            <w:pPr>
              <w:pStyle w:val="TableParagraph"/>
              <w:spacing w:before="61"/>
              <w:ind w:left="270" w:right="266"/>
              <w:rPr>
                <w:sz w:val="18"/>
              </w:rPr>
            </w:pPr>
            <w:r>
              <w:rPr>
                <w:sz w:val="18"/>
              </w:rPr>
              <w:t>34.41%</w:t>
            </w:r>
          </w:p>
        </w:tc>
        <w:tc>
          <w:tcPr>
            <w:tcW w:w="1200" w:type="dxa"/>
            <w:tcBorders>
              <w:left w:val="single" w:sz="4" w:space="0" w:color="000000"/>
              <w:bottom w:val="single" w:sz="4" w:space="0" w:color="000000"/>
              <w:right w:val="single" w:sz="4" w:space="0" w:color="000000"/>
            </w:tcBorders>
          </w:tcPr>
          <w:p>
            <w:pPr>
              <w:pStyle w:val="TableParagraph"/>
              <w:spacing w:before="61"/>
              <w:ind w:left="270" w:right="265"/>
              <w:rPr>
                <w:sz w:val="18"/>
              </w:rPr>
            </w:pPr>
            <w:r>
              <w:rPr>
                <w:sz w:val="18"/>
              </w:rPr>
              <w:t>64.83%</w:t>
            </w:r>
          </w:p>
        </w:tc>
      </w:tr>
      <w:tr>
        <w:trPr>
          <w:trHeight w:val="264" w:hRule="exact"/>
        </w:trPr>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No</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270" w:right="266"/>
              <w:rPr>
                <w:sz w:val="18"/>
              </w:rPr>
            </w:pPr>
            <w:r>
              <w:rPr>
                <w:sz w:val="18"/>
              </w:rPr>
              <w:t>S/I</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270" w:right="267"/>
              <w:rPr>
                <w:sz w:val="18"/>
              </w:rPr>
            </w:pPr>
            <w:r>
              <w:rPr>
                <w:sz w:val="18"/>
              </w:rPr>
              <w:t>S/I</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270" w:right="267"/>
              <w:rPr>
                <w:sz w:val="18"/>
              </w:rPr>
            </w:pPr>
            <w:r>
              <w:rPr>
                <w:sz w:val="18"/>
              </w:rPr>
              <w:t>7.79%</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270" w:right="267"/>
              <w:rPr>
                <w:sz w:val="18"/>
              </w:rPr>
            </w:pPr>
            <w:r>
              <w:rPr>
                <w:sz w:val="18"/>
              </w:rPr>
              <w:t>7.79%</w:t>
            </w:r>
          </w:p>
        </w:tc>
      </w:tr>
    </w:tbl>
    <w:p>
      <w:pPr>
        <w:spacing w:before="68"/>
        <w:ind w:left="1644" w:right="6" w:firstLine="0"/>
        <w:jc w:val="left"/>
        <w:rPr>
          <w:sz w:val="16"/>
        </w:rPr>
      </w:pPr>
      <w:r>
        <w:rPr>
          <w:sz w:val="16"/>
        </w:rPr>
        <w:t>Fuente: Elaboración prpia</w:t>
      </w:r>
    </w:p>
    <w:p>
      <w:pPr>
        <w:pStyle w:val="BodyText"/>
        <w:rPr>
          <w:sz w:val="20"/>
        </w:rPr>
      </w:pPr>
    </w:p>
    <w:p>
      <w:pPr>
        <w:pStyle w:val="BodyText"/>
        <w:spacing w:before="1"/>
      </w:pPr>
    </w:p>
    <w:p>
      <w:pPr>
        <w:pStyle w:val="BodyText"/>
        <w:spacing w:line="360" w:lineRule="auto" w:before="69"/>
        <w:ind w:left="108" w:right="116"/>
        <w:jc w:val="both"/>
      </w:pPr>
      <w:r>
        <w:rPr/>
        <w:t>Durante el periodo que comprende el 2013-2015 se tuvo un promedio de cumplimiento de la ley tal como se describe a continuación: en primer lugar, se encuentran los representantes que si cuentan con Internet para el desempeño de sus actividades con un 64.838% y en segundo lugar se encuentran los que no cuentan</w:t>
      </w:r>
      <w:r>
        <w:rPr>
          <w:spacing w:val="-14"/>
        </w:rPr>
        <w:t> </w:t>
      </w:r>
      <w:r>
        <w:rPr/>
        <w:t>con</w:t>
      </w:r>
      <w:r>
        <w:rPr>
          <w:spacing w:val="-14"/>
        </w:rPr>
        <w:t> </w:t>
      </w:r>
      <w:r>
        <w:rPr/>
        <w:t>esta</w:t>
      </w:r>
      <w:r>
        <w:rPr>
          <w:spacing w:val="-14"/>
        </w:rPr>
        <w:t> </w:t>
      </w:r>
      <w:r>
        <w:rPr/>
        <w:t>herramienta</w:t>
      </w:r>
      <w:r>
        <w:rPr>
          <w:spacing w:val="-14"/>
        </w:rPr>
        <w:t> </w:t>
      </w:r>
      <w:r>
        <w:rPr/>
        <w:t>para</w:t>
      </w:r>
      <w:r>
        <w:rPr>
          <w:spacing w:val="-15"/>
        </w:rPr>
        <w:t> </w:t>
      </w:r>
      <w:r>
        <w:rPr/>
        <w:t>desarrollar</w:t>
      </w:r>
      <w:r>
        <w:rPr>
          <w:spacing w:val="-13"/>
        </w:rPr>
        <w:t> </w:t>
      </w:r>
      <w:r>
        <w:rPr/>
        <w:t>sus</w:t>
      </w:r>
      <w:r>
        <w:rPr>
          <w:spacing w:val="-15"/>
        </w:rPr>
        <w:t> </w:t>
      </w:r>
      <w:r>
        <w:rPr/>
        <w:t>actividades</w:t>
      </w:r>
      <w:r>
        <w:rPr>
          <w:spacing w:val="-15"/>
        </w:rPr>
        <w:t> </w:t>
      </w:r>
      <w:r>
        <w:rPr/>
        <w:t>obteniendo</w:t>
      </w:r>
      <w:r>
        <w:rPr>
          <w:spacing w:val="-12"/>
        </w:rPr>
        <w:t> </w:t>
      </w:r>
      <w:r>
        <w:rPr/>
        <w:t>un</w:t>
      </w:r>
      <w:r>
        <w:rPr>
          <w:spacing w:val="-14"/>
        </w:rPr>
        <w:t> </w:t>
      </w:r>
      <w:r>
        <w:rPr/>
        <w:t>7.79%.</w:t>
      </w:r>
    </w:p>
    <w:p>
      <w:pPr>
        <w:spacing w:after="0" w:line="360" w:lineRule="auto"/>
        <w:jc w:val="both"/>
        <w:sectPr>
          <w:footerReference w:type="default" r:id="rId126"/>
          <w:pgSz w:w="12240" w:h="15840"/>
          <w:pgMar w:footer="1035" w:header="0" w:top="1360" w:bottom="1220" w:left="1500" w:right="1580"/>
          <w:pgNumType w:start="246"/>
        </w:sectPr>
      </w:pPr>
    </w:p>
    <w:p>
      <w:pPr>
        <w:pStyle w:val="Heading1"/>
        <w:numPr>
          <w:ilvl w:val="2"/>
          <w:numId w:val="53"/>
        </w:numPr>
        <w:tabs>
          <w:tab w:pos="837" w:val="left" w:leader="none"/>
        </w:tabs>
        <w:spacing w:line="362" w:lineRule="auto" w:before="54" w:after="0"/>
        <w:ind w:left="836" w:right="116" w:hanging="720"/>
        <w:jc w:val="left"/>
      </w:pPr>
      <w:r>
        <w:rPr/>
        <w:t>Cuenta</w:t>
      </w:r>
      <w:r>
        <w:rPr>
          <w:spacing w:val="-5"/>
        </w:rPr>
        <w:t> </w:t>
      </w:r>
      <w:r>
        <w:rPr/>
        <w:t>con</w:t>
      </w:r>
      <w:r>
        <w:rPr>
          <w:spacing w:val="-6"/>
        </w:rPr>
        <w:t> </w:t>
      </w:r>
      <w:r>
        <w:rPr/>
        <w:t>base</w:t>
      </w:r>
      <w:r>
        <w:rPr>
          <w:spacing w:val="-5"/>
        </w:rPr>
        <w:t> </w:t>
      </w:r>
      <w:r>
        <w:rPr/>
        <w:t>de</w:t>
      </w:r>
      <w:r>
        <w:rPr>
          <w:spacing w:val="-5"/>
        </w:rPr>
        <w:t> </w:t>
      </w:r>
      <w:r>
        <w:rPr/>
        <w:t>datos</w:t>
      </w:r>
      <w:r>
        <w:rPr>
          <w:spacing w:val="-5"/>
        </w:rPr>
        <w:t> </w:t>
      </w:r>
      <w:r>
        <w:rPr/>
        <w:t>de</w:t>
      </w:r>
      <w:r>
        <w:rPr>
          <w:spacing w:val="-5"/>
        </w:rPr>
        <w:t> </w:t>
      </w:r>
      <w:r>
        <w:rPr/>
        <w:t>información</w:t>
      </w:r>
      <w:r>
        <w:rPr>
          <w:spacing w:val="-8"/>
        </w:rPr>
        <w:t> </w:t>
      </w:r>
      <w:r>
        <w:rPr/>
        <w:t>de</w:t>
      </w:r>
      <w:r>
        <w:rPr>
          <w:spacing w:val="-5"/>
        </w:rPr>
        <w:t> </w:t>
      </w:r>
      <w:r>
        <w:rPr/>
        <w:t>su</w:t>
      </w:r>
      <w:r>
        <w:rPr>
          <w:spacing w:val="-6"/>
        </w:rPr>
        <w:t> </w:t>
      </w:r>
      <w:r>
        <w:rPr/>
        <w:t>municipio</w:t>
      </w:r>
      <w:r>
        <w:rPr>
          <w:spacing w:val="-5"/>
        </w:rPr>
        <w:t> </w:t>
      </w:r>
      <w:r>
        <w:rPr/>
        <w:t>vs</w:t>
      </w:r>
      <w:r>
        <w:rPr>
          <w:spacing w:val="-5"/>
        </w:rPr>
        <w:t> </w:t>
      </w:r>
      <w:r>
        <w:rPr/>
        <w:t>porcentaje de transparencia</w:t>
      </w:r>
      <w:r>
        <w:rPr>
          <w:spacing w:val="-9"/>
        </w:rPr>
        <w:t> </w:t>
      </w:r>
      <w:r>
        <w:rPr/>
        <w:t>2015</w:t>
      </w:r>
    </w:p>
    <w:p>
      <w:pPr>
        <w:pStyle w:val="BodyText"/>
        <w:rPr>
          <w:b/>
          <w:sz w:val="20"/>
        </w:rPr>
      </w:pPr>
    </w:p>
    <w:p>
      <w:pPr>
        <w:pStyle w:val="BodyText"/>
        <w:spacing w:before="4"/>
        <w:rPr>
          <w:b/>
          <w:sz w:val="19"/>
        </w:rPr>
      </w:pPr>
    </w:p>
    <w:tbl>
      <w:tblPr>
        <w:tblW w:w="0" w:type="auto"/>
        <w:jc w:val="left"/>
        <w:tblInd w:w="27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66"/>
        <w:gridCol w:w="1275"/>
        <w:gridCol w:w="1058"/>
      </w:tblGrid>
      <w:tr>
        <w:trPr>
          <w:trHeight w:val="545" w:hRule="exact"/>
        </w:trPr>
        <w:tc>
          <w:tcPr>
            <w:tcW w:w="3599" w:type="dxa"/>
            <w:gridSpan w:val="3"/>
            <w:shd w:val="clear" w:color="auto" w:fill="92D050"/>
          </w:tcPr>
          <w:p>
            <w:pPr>
              <w:pStyle w:val="TableParagraph"/>
              <w:spacing w:before="104"/>
              <w:ind w:left="565" w:right="66" w:hanging="483"/>
              <w:jc w:val="left"/>
              <w:rPr>
                <w:b/>
                <w:sz w:val="18"/>
              </w:rPr>
            </w:pPr>
            <w:r>
              <w:rPr>
                <w:b/>
                <w:sz w:val="18"/>
              </w:rPr>
              <w:t>Tabla 3.48.Cuenta con base de datos de información de su municipio</w:t>
            </w:r>
          </w:p>
        </w:tc>
      </w:tr>
      <w:tr>
        <w:trPr>
          <w:trHeight w:val="290" w:hRule="exact"/>
        </w:trPr>
        <w:tc>
          <w:tcPr>
            <w:tcW w:w="1266" w:type="dxa"/>
            <w:vMerge w:val="restart"/>
            <w:shd w:val="clear" w:color="auto" w:fill="92D050"/>
          </w:tcPr>
          <w:p>
            <w:pPr>
              <w:pStyle w:val="TableParagraph"/>
              <w:jc w:val="left"/>
              <w:rPr>
                <w:b/>
                <w:sz w:val="26"/>
              </w:rPr>
            </w:pPr>
          </w:p>
          <w:p>
            <w:pPr>
              <w:pStyle w:val="TableParagraph"/>
              <w:ind w:left="382"/>
              <w:jc w:val="left"/>
              <w:rPr>
                <w:b/>
                <w:sz w:val="18"/>
              </w:rPr>
            </w:pPr>
            <w:r>
              <w:rPr>
                <w:b/>
                <w:sz w:val="18"/>
              </w:rPr>
              <w:t>Clase</w:t>
            </w:r>
          </w:p>
        </w:tc>
        <w:tc>
          <w:tcPr>
            <w:tcW w:w="2333" w:type="dxa"/>
            <w:gridSpan w:val="2"/>
            <w:shd w:val="clear" w:color="auto" w:fill="92D050"/>
          </w:tcPr>
          <w:p>
            <w:pPr>
              <w:pStyle w:val="TableParagraph"/>
              <w:spacing w:before="56"/>
              <w:ind w:left="936" w:right="936"/>
              <w:rPr>
                <w:b/>
                <w:sz w:val="18"/>
              </w:rPr>
            </w:pPr>
            <w:r>
              <w:rPr>
                <w:b/>
                <w:sz w:val="18"/>
              </w:rPr>
              <w:t>2015</w:t>
            </w:r>
          </w:p>
        </w:tc>
      </w:tr>
      <w:tr>
        <w:trPr>
          <w:trHeight w:val="545" w:hRule="exact"/>
        </w:trPr>
        <w:tc>
          <w:tcPr>
            <w:tcW w:w="1266" w:type="dxa"/>
            <w:vMerge/>
            <w:shd w:val="clear" w:color="auto" w:fill="92D050"/>
          </w:tcPr>
          <w:p>
            <w:pPr/>
          </w:p>
        </w:tc>
        <w:tc>
          <w:tcPr>
            <w:tcW w:w="1275" w:type="dxa"/>
            <w:shd w:val="clear" w:color="auto" w:fill="92D050"/>
          </w:tcPr>
          <w:p>
            <w:pPr>
              <w:pStyle w:val="TableParagraph"/>
              <w:spacing w:before="152"/>
              <w:ind w:left="151"/>
              <w:jc w:val="left"/>
              <w:rPr>
                <w:b/>
                <w:sz w:val="18"/>
              </w:rPr>
            </w:pPr>
            <w:r>
              <w:rPr>
                <w:b/>
                <w:sz w:val="18"/>
              </w:rPr>
              <w:t>Frecuencia</w:t>
            </w:r>
          </w:p>
        </w:tc>
        <w:tc>
          <w:tcPr>
            <w:tcW w:w="1058" w:type="dxa"/>
            <w:shd w:val="clear" w:color="auto" w:fill="92D050"/>
          </w:tcPr>
          <w:p>
            <w:pPr>
              <w:pStyle w:val="TableParagraph"/>
              <w:spacing w:before="152"/>
              <w:rPr>
                <w:b/>
                <w:sz w:val="18"/>
              </w:rPr>
            </w:pPr>
            <w:r>
              <w:rPr>
                <w:b/>
                <w:w w:val="99"/>
                <w:sz w:val="18"/>
              </w:rPr>
              <w:t>%</w:t>
            </w:r>
          </w:p>
        </w:tc>
      </w:tr>
      <w:tr>
        <w:trPr>
          <w:trHeight w:val="269" w:hRule="exact"/>
        </w:trPr>
        <w:tc>
          <w:tcPr>
            <w:tcW w:w="1266" w:type="dxa"/>
            <w:tcBorders>
              <w:left w:val="single" w:sz="4" w:space="0" w:color="000000"/>
              <w:bottom w:val="single" w:sz="4" w:space="0" w:color="000000"/>
              <w:right w:val="single" w:sz="4" w:space="0" w:color="000000"/>
            </w:tcBorders>
          </w:tcPr>
          <w:p>
            <w:pPr>
              <w:pStyle w:val="TableParagraph"/>
              <w:spacing w:before="47"/>
              <w:ind w:left="66"/>
              <w:jc w:val="left"/>
              <w:rPr>
                <w:sz w:val="18"/>
              </w:rPr>
            </w:pPr>
            <w:r>
              <w:rPr>
                <w:sz w:val="18"/>
              </w:rPr>
              <w:t>Si</w:t>
            </w:r>
          </w:p>
        </w:tc>
        <w:tc>
          <w:tcPr>
            <w:tcW w:w="1275" w:type="dxa"/>
            <w:tcBorders>
              <w:left w:val="single" w:sz="4" w:space="0" w:color="000000"/>
              <w:bottom w:val="single" w:sz="4" w:space="0" w:color="000000"/>
              <w:right w:val="single" w:sz="4" w:space="0" w:color="000000"/>
            </w:tcBorders>
          </w:tcPr>
          <w:p>
            <w:pPr>
              <w:pStyle w:val="TableParagraph"/>
              <w:spacing w:before="47"/>
              <w:ind w:right="60"/>
              <w:jc w:val="right"/>
              <w:rPr>
                <w:sz w:val="18"/>
              </w:rPr>
            </w:pPr>
            <w:r>
              <w:rPr>
                <w:sz w:val="18"/>
              </w:rPr>
              <w:t>31</w:t>
            </w:r>
          </w:p>
        </w:tc>
        <w:tc>
          <w:tcPr>
            <w:tcW w:w="1058" w:type="dxa"/>
            <w:tcBorders>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33.37%</w:t>
            </w:r>
          </w:p>
        </w:tc>
      </w:tr>
      <w:tr>
        <w:trPr>
          <w:trHeight w:val="266" w:hRule="exact"/>
        </w:trPr>
        <w:tc>
          <w:tcPr>
            <w:tcW w:w="1266" w:type="dxa"/>
            <w:tcBorders>
              <w:top w:val="single" w:sz="4" w:space="0" w:color="000000"/>
              <w:left w:val="single" w:sz="4" w:space="0" w:color="000000"/>
              <w:bottom w:val="single" w:sz="4" w:space="0" w:color="000000"/>
              <w:right w:val="single" w:sz="4" w:space="0" w:color="000000"/>
            </w:tcBorders>
          </w:tcPr>
          <w:p>
            <w:pPr>
              <w:pStyle w:val="TableParagraph"/>
              <w:spacing w:before="49"/>
              <w:ind w:left="66"/>
              <w:jc w:val="left"/>
              <w:rPr>
                <w:sz w:val="18"/>
              </w:rPr>
            </w:pPr>
            <w:r>
              <w:rPr>
                <w:sz w:val="18"/>
              </w:rPr>
              <w:t>No</w:t>
            </w:r>
          </w:p>
        </w:tc>
        <w:tc>
          <w:tcPr>
            <w:tcW w:w="1275" w:type="dxa"/>
            <w:tcBorders>
              <w:top w:val="single" w:sz="4" w:space="0" w:color="000000"/>
              <w:left w:val="single" w:sz="4" w:space="0" w:color="000000"/>
              <w:bottom w:val="single" w:sz="4" w:space="0" w:color="000000"/>
              <w:right w:val="single" w:sz="4" w:space="0" w:color="000000"/>
            </w:tcBorders>
          </w:tcPr>
          <w:p>
            <w:pPr>
              <w:pStyle w:val="TableParagraph"/>
              <w:spacing w:before="49"/>
              <w:ind w:right="60"/>
              <w:jc w:val="right"/>
              <w:rPr>
                <w:sz w:val="18"/>
              </w:rPr>
            </w:pPr>
            <w:r>
              <w:rPr>
                <w:sz w:val="18"/>
              </w:rPr>
              <w:t>14</w:t>
            </w:r>
          </w:p>
        </w:tc>
        <w:tc>
          <w:tcPr>
            <w:tcW w:w="1058" w:type="dxa"/>
            <w:tcBorders>
              <w:top w:val="single" w:sz="4" w:space="0" w:color="000000"/>
              <w:left w:val="single" w:sz="4" w:space="0" w:color="000000"/>
              <w:bottom w:val="single" w:sz="4" w:space="0" w:color="000000"/>
              <w:right w:val="single" w:sz="4" w:space="0" w:color="000000"/>
            </w:tcBorders>
          </w:tcPr>
          <w:p>
            <w:pPr>
              <w:pStyle w:val="TableParagraph"/>
              <w:spacing w:before="49"/>
              <w:ind w:right="61"/>
              <w:jc w:val="right"/>
              <w:rPr>
                <w:sz w:val="18"/>
              </w:rPr>
            </w:pPr>
            <w:r>
              <w:rPr>
                <w:sz w:val="18"/>
              </w:rPr>
              <w:t>30.01%</w:t>
            </w:r>
          </w:p>
        </w:tc>
      </w:tr>
      <w:tr>
        <w:trPr>
          <w:trHeight w:val="264" w:hRule="exact"/>
        </w:trPr>
        <w:tc>
          <w:tcPr>
            <w:tcW w:w="1266" w:type="dxa"/>
            <w:tcBorders>
              <w:top w:val="single" w:sz="4" w:space="0" w:color="000000"/>
              <w:left w:val="single" w:sz="4" w:space="0" w:color="000000"/>
              <w:bottom w:val="single" w:sz="4" w:space="0" w:color="000000"/>
              <w:right w:val="single" w:sz="4" w:space="0" w:color="000000"/>
            </w:tcBorders>
          </w:tcPr>
          <w:p>
            <w:pPr>
              <w:pStyle w:val="TableParagraph"/>
              <w:spacing w:before="47"/>
              <w:ind w:left="66"/>
              <w:jc w:val="left"/>
              <w:rPr>
                <w:sz w:val="18"/>
              </w:rPr>
            </w:pPr>
            <w:r>
              <w:rPr>
                <w:sz w:val="18"/>
              </w:rPr>
              <w:t>No contestó</w:t>
            </w:r>
          </w:p>
        </w:tc>
        <w:tc>
          <w:tcPr>
            <w:tcW w:w="1275" w:type="dxa"/>
            <w:tcBorders>
              <w:top w:val="single" w:sz="4" w:space="0" w:color="000000"/>
              <w:left w:val="single" w:sz="4" w:space="0" w:color="000000"/>
              <w:bottom w:val="single" w:sz="4" w:space="0" w:color="000000"/>
              <w:right w:val="single" w:sz="4" w:space="0" w:color="000000"/>
            </w:tcBorders>
          </w:tcPr>
          <w:p>
            <w:pPr>
              <w:pStyle w:val="TableParagraph"/>
              <w:spacing w:before="47"/>
              <w:ind w:right="63"/>
              <w:jc w:val="right"/>
              <w:rPr>
                <w:sz w:val="18"/>
              </w:rPr>
            </w:pPr>
            <w:r>
              <w:rPr>
                <w:w w:val="99"/>
                <w:sz w:val="18"/>
              </w:rPr>
              <w:t>1</w:t>
            </w:r>
          </w:p>
        </w:tc>
        <w:tc>
          <w:tcPr>
            <w:tcW w:w="1058"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48.46%</w:t>
            </w:r>
          </w:p>
        </w:tc>
      </w:tr>
    </w:tbl>
    <w:p>
      <w:pPr>
        <w:spacing w:before="68"/>
        <w:ind w:left="2865" w:right="26" w:firstLine="0"/>
        <w:jc w:val="left"/>
        <w:rPr>
          <w:sz w:val="16"/>
        </w:rPr>
      </w:pPr>
      <w:r>
        <w:rPr>
          <w:sz w:val="16"/>
        </w:rPr>
        <w:t>Fuente: Elaboración propia</w:t>
      </w:r>
    </w:p>
    <w:p>
      <w:pPr>
        <w:pStyle w:val="BodyText"/>
        <w:rPr>
          <w:sz w:val="20"/>
        </w:rPr>
      </w:pPr>
    </w:p>
    <w:p>
      <w:pPr>
        <w:pStyle w:val="BodyText"/>
        <w:spacing w:before="1"/>
      </w:pPr>
    </w:p>
    <w:p>
      <w:pPr>
        <w:pStyle w:val="BodyText"/>
        <w:spacing w:line="360" w:lineRule="auto" w:before="70"/>
        <w:ind w:left="128" w:right="116"/>
        <w:jc w:val="both"/>
      </w:pPr>
      <w:r>
        <w:rPr/>
        <w:t>En la tabla anterior se muestran los resultados obtenidos de hacer el cruce de las variables del cumplimiento de la ley de transparencia en relación a si cuenta con base de datos de información de su municipio de los responsables de la transparencia en los gobiernos municipales. Los resultados obtenidos muestran cómo los responsables de la transparencia que no contestaron si cuentan o no cuentan</w:t>
      </w:r>
      <w:r>
        <w:rPr>
          <w:spacing w:val="-11"/>
        </w:rPr>
        <w:t> </w:t>
      </w:r>
      <w:r>
        <w:rPr/>
        <w:t>con</w:t>
      </w:r>
      <w:r>
        <w:rPr>
          <w:spacing w:val="-11"/>
        </w:rPr>
        <w:t> </w:t>
      </w:r>
      <w:r>
        <w:rPr/>
        <w:t>base</w:t>
      </w:r>
      <w:r>
        <w:rPr>
          <w:spacing w:val="-11"/>
        </w:rPr>
        <w:t> </w:t>
      </w:r>
      <w:r>
        <w:rPr/>
        <w:t>de</w:t>
      </w:r>
      <w:r>
        <w:rPr>
          <w:spacing w:val="-13"/>
        </w:rPr>
        <w:t> </w:t>
      </w:r>
      <w:r>
        <w:rPr/>
        <w:t>datos</w:t>
      </w:r>
      <w:r>
        <w:rPr>
          <w:spacing w:val="-12"/>
        </w:rPr>
        <w:t> </w:t>
      </w:r>
      <w:r>
        <w:rPr/>
        <w:t>de</w:t>
      </w:r>
      <w:r>
        <w:rPr>
          <w:spacing w:val="-11"/>
        </w:rPr>
        <w:t> </w:t>
      </w:r>
      <w:r>
        <w:rPr/>
        <w:t>información</w:t>
      </w:r>
      <w:r>
        <w:rPr>
          <w:spacing w:val="-11"/>
        </w:rPr>
        <w:t> </w:t>
      </w:r>
      <w:r>
        <w:rPr/>
        <w:t>obtuvieron</w:t>
      </w:r>
      <w:r>
        <w:rPr>
          <w:spacing w:val="-11"/>
        </w:rPr>
        <w:t> </w:t>
      </w:r>
      <w:r>
        <w:rPr/>
        <w:t>el</w:t>
      </w:r>
      <w:r>
        <w:rPr>
          <w:spacing w:val="-12"/>
        </w:rPr>
        <w:t> </w:t>
      </w:r>
      <w:r>
        <w:rPr/>
        <w:t>primer</w:t>
      </w:r>
      <w:r>
        <w:rPr>
          <w:spacing w:val="-12"/>
        </w:rPr>
        <w:t> </w:t>
      </w:r>
      <w:r>
        <w:rPr/>
        <w:t>lugar</w:t>
      </w:r>
      <w:r>
        <w:rPr>
          <w:spacing w:val="-12"/>
        </w:rPr>
        <w:t> </w:t>
      </w:r>
      <w:r>
        <w:rPr/>
        <w:t>con</w:t>
      </w:r>
      <w:r>
        <w:rPr>
          <w:spacing w:val="-11"/>
        </w:rPr>
        <w:t> </w:t>
      </w:r>
      <w:r>
        <w:rPr/>
        <w:t>un</w:t>
      </w:r>
      <w:r>
        <w:rPr>
          <w:spacing w:val="-13"/>
        </w:rPr>
        <w:t> </w:t>
      </w:r>
      <w:r>
        <w:rPr/>
        <w:t>48.46%, en segundo lugar, aparecen los que sí cuentan con base de datos de información con</w:t>
      </w:r>
      <w:r>
        <w:rPr>
          <w:spacing w:val="-11"/>
        </w:rPr>
        <w:t> </w:t>
      </w:r>
      <w:r>
        <w:rPr/>
        <w:t>un</w:t>
      </w:r>
      <w:r>
        <w:rPr>
          <w:spacing w:val="-11"/>
        </w:rPr>
        <w:t> </w:t>
      </w:r>
      <w:r>
        <w:rPr/>
        <w:t>33.37%</w:t>
      </w:r>
      <w:r>
        <w:rPr>
          <w:spacing w:val="-9"/>
        </w:rPr>
        <w:t> </w:t>
      </w:r>
      <w:r>
        <w:rPr/>
        <w:t>y</w:t>
      </w:r>
      <w:r>
        <w:rPr>
          <w:spacing w:val="-12"/>
        </w:rPr>
        <w:t> </w:t>
      </w:r>
      <w:r>
        <w:rPr/>
        <w:t>en</w:t>
      </w:r>
      <w:r>
        <w:rPr>
          <w:spacing w:val="-11"/>
        </w:rPr>
        <w:t> </w:t>
      </w:r>
      <w:r>
        <w:rPr/>
        <w:t>tercer</w:t>
      </w:r>
      <w:r>
        <w:rPr>
          <w:spacing w:val="-10"/>
        </w:rPr>
        <w:t> </w:t>
      </w:r>
      <w:r>
        <w:rPr/>
        <w:t>y</w:t>
      </w:r>
      <w:r>
        <w:rPr>
          <w:spacing w:val="-12"/>
        </w:rPr>
        <w:t> </w:t>
      </w:r>
      <w:r>
        <w:rPr/>
        <w:t>último</w:t>
      </w:r>
      <w:r>
        <w:rPr>
          <w:spacing w:val="-8"/>
        </w:rPr>
        <w:t> </w:t>
      </w:r>
      <w:r>
        <w:rPr/>
        <w:t>lugar</w:t>
      </w:r>
      <w:r>
        <w:rPr>
          <w:spacing w:val="-10"/>
        </w:rPr>
        <w:t> </w:t>
      </w:r>
      <w:r>
        <w:rPr/>
        <w:t>están</w:t>
      </w:r>
      <w:r>
        <w:rPr>
          <w:spacing w:val="-11"/>
        </w:rPr>
        <w:t> </w:t>
      </w:r>
      <w:r>
        <w:rPr/>
        <w:t>los</w:t>
      </w:r>
      <w:r>
        <w:rPr>
          <w:spacing w:val="-11"/>
        </w:rPr>
        <w:t> </w:t>
      </w:r>
      <w:r>
        <w:rPr/>
        <w:t>que</w:t>
      </w:r>
      <w:r>
        <w:rPr>
          <w:spacing w:val="-11"/>
        </w:rPr>
        <w:t> </w:t>
      </w:r>
      <w:r>
        <w:rPr/>
        <w:t>no</w:t>
      </w:r>
      <w:r>
        <w:rPr>
          <w:spacing w:val="-11"/>
        </w:rPr>
        <w:t> </w:t>
      </w:r>
      <w:r>
        <w:rPr/>
        <w:t>cuentan</w:t>
      </w:r>
      <w:r>
        <w:rPr>
          <w:spacing w:val="-11"/>
        </w:rPr>
        <w:t> </w:t>
      </w:r>
      <w:r>
        <w:rPr/>
        <w:t>con</w:t>
      </w:r>
      <w:r>
        <w:rPr>
          <w:spacing w:val="-8"/>
        </w:rPr>
        <w:t> </w:t>
      </w:r>
      <w:r>
        <w:rPr/>
        <w:t>base</w:t>
      </w:r>
      <w:r>
        <w:rPr>
          <w:spacing w:val="-11"/>
        </w:rPr>
        <w:t> </w:t>
      </w:r>
      <w:r>
        <w:rPr/>
        <w:t>de</w:t>
      </w:r>
      <w:r>
        <w:rPr>
          <w:spacing w:val="-11"/>
        </w:rPr>
        <w:t> </w:t>
      </w:r>
      <w:r>
        <w:rPr/>
        <w:t>datos con un</w:t>
      </w:r>
      <w:r>
        <w:rPr>
          <w:spacing w:val="-4"/>
        </w:rPr>
        <w:t> </w:t>
      </w:r>
      <w:r>
        <w:rPr/>
        <w:t>30.01%.</w:t>
      </w:r>
    </w:p>
    <w:p>
      <w:pPr>
        <w:pStyle w:val="BodyText"/>
      </w:pPr>
    </w:p>
    <w:p>
      <w:pPr>
        <w:pStyle w:val="BodyText"/>
      </w:pPr>
    </w:p>
    <w:p>
      <w:pPr>
        <w:pStyle w:val="BodyText"/>
        <w:spacing w:line="360" w:lineRule="auto" w:before="185"/>
        <w:ind w:left="128" w:right="118"/>
        <w:jc w:val="both"/>
      </w:pPr>
      <w:r>
        <w:rPr/>
        <w:t>En</w:t>
      </w:r>
      <w:r>
        <w:rPr>
          <w:spacing w:val="-9"/>
        </w:rPr>
        <w:t> </w:t>
      </w:r>
      <w:r>
        <w:rPr/>
        <w:t>un</w:t>
      </w:r>
      <w:r>
        <w:rPr>
          <w:spacing w:val="-9"/>
        </w:rPr>
        <w:t> </w:t>
      </w:r>
      <w:r>
        <w:rPr/>
        <w:t>sentido</w:t>
      </w:r>
      <w:r>
        <w:rPr>
          <w:spacing w:val="-9"/>
        </w:rPr>
        <w:t> </w:t>
      </w:r>
      <w:r>
        <w:rPr/>
        <w:t>retroactivo</w:t>
      </w:r>
      <w:r>
        <w:rPr>
          <w:spacing w:val="-9"/>
        </w:rPr>
        <w:t> </w:t>
      </w:r>
      <w:r>
        <w:rPr/>
        <w:t>del</w:t>
      </w:r>
      <w:r>
        <w:rPr>
          <w:spacing w:val="-11"/>
        </w:rPr>
        <w:t> </w:t>
      </w:r>
      <w:r>
        <w:rPr/>
        <w:t>periodo</w:t>
      </w:r>
      <w:r>
        <w:rPr>
          <w:spacing w:val="-9"/>
        </w:rPr>
        <w:t> </w:t>
      </w:r>
      <w:r>
        <w:rPr/>
        <w:t>de</w:t>
      </w:r>
      <w:r>
        <w:rPr>
          <w:spacing w:val="-9"/>
        </w:rPr>
        <w:t> </w:t>
      </w:r>
      <w:r>
        <w:rPr/>
        <w:t>administración</w:t>
      </w:r>
      <w:r>
        <w:rPr>
          <w:spacing w:val="-9"/>
        </w:rPr>
        <w:t> </w:t>
      </w:r>
      <w:r>
        <w:rPr/>
        <w:t>2013</w:t>
      </w:r>
      <w:r>
        <w:rPr>
          <w:spacing w:val="-3"/>
        </w:rPr>
        <w:t> </w:t>
      </w:r>
      <w:r>
        <w:rPr/>
        <w:t>-2015</w:t>
      </w:r>
      <w:r>
        <w:rPr>
          <w:spacing w:val="-9"/>
        </w:rPr>
        <w:t> </w:t>
      </w:r>
      <w:r>
        <w:rPr/>
        <w:t>la</w:t>
      </w:r>
      <w:r>
        <w:rPr>
          <w:spacing w:val="-9"/>
        </w:rPr>
        <w:t> </w:t>
      </w:r>
      <w:r>
        <w:rPr/>
        <w:t>siguiente</w:t>
      </w:r>
      <w:r>
        <w:rPr>
          <w:spacing w:val="-9"/>
        </w:rPr>
        <w:t> </w:t>
      </w:r>
      <w:r>
        <w:rPr/>
        <w:t>tabla muestra el promedio de cumplimiento de la ley de</w:t>
      </w:r>
      <w:r>
        <w:rPr>
          <w:spacing w:val="-18"/>
        </w:rPr>
        <w:t> </w:t>
      </w:r>
      <w:r>
        <w:rPr/>
        <w:t>transparencia:</w:t>
      </w:r>
    </w:p>
    <w:p>
      <w:pPr>
        <w:pStyle w:val="BodyText"/>
        <w:rPr>
          <w:sz w:val="20"/>
        </w:rPr>
      </w:pPr>
    </w:p>
    <w:p>
      <w:pPr>
        <w:pStyle w:val="BodyText"/>
        <w:rPr>
          <w:sz w:val="20"/>
        </w:rPr>
      </w:pPr>
    </w:p>
    <w:p>
      <w:pPr>
        <w:pStyle w:val="BodyText"/>
        <w:spacing w:before="5"/>
      </w:pPr>
    </w:p>
    <w:tbl>
      <w:tblPr>
        <w:tblW w:w="0" w:type="auto"/>
        <w:jc w:val="left"/>
        <w:tblInd w:w="15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68"/>
        <w:gridCol w:w="1133"/>
        <w:gridCol w:w="1200"/>
        <w:gridCol w:w="1200"/>
        <w:gridCol w:w="1200"/>
      </w:tblGrid>
      <w:tr>
        <w:trPr>
          <w:trHeight w:val="435" w:hRule="exact"/>
        </w:trPr>
        <w:tc>
          <w:tcPr>
            <w:tcW w:w="6001" w:type="dxa"/>
            <w:gridSpan w:val="5"/>
            <w:shd w:val="clear" w:color="auto" w:fill="92D050"/>
          </w:tcPr>
          <w:p>
            <w:pPr>
              <w:pStyle w:val="TableParagraph"/>
              <w:ind w:left="2568" w:right="435" w:hanging="2113"/>
              <w:jc w:val="left"/>
              <w:rPr>
                <w:b/>
                <w:sz w:val="18"/>
              </w:rPr>
            </w:pPr>
            <w:r>
              <w:rPr>
                <w:b/>
                <w:sz w:val="18"/>
              </w:rPr>
              <w:t>Tabla 3.49: Cuenta con base de datos de información de su municipio</w:t>
            </w:r>
          </w:p>
        </w:tc>
      </w:tr>
      <w:tr>
        <w:trPr>
          <w:trHeight w:val="545" w:hRule="exact"/>
        </w:trPr>
        <w:tc>
          <w:tcPr>
            <w:tcW w:w="1268" w:type="dxa"/>
            <w:shd w:val="clear" w:color="auto" w:fill="92D050"/>
          </w:tcPr>
          <w:p>
            <w:pPr>
              <w:pStyle w:val="TableParagraph"/>
              <w:spacing w:before="152"/>
              <w:ind w:left="383"/>
              <w:jc w:val="left"/>
              <w:rPr>
                <w:b/>
                <w:sz w:val="18"/>
              </w:rPr>
            </w:pPr>
            <w:r>
              <w:rPr>
                <w:b/>
                <w:sz w:val="18"/>
              </w:rPr>
              <w:t>Clase</w:t>
            </w:r>
          </w:p>
        </w:tc>
        <w:tc>
          <w:tcPr>
            <w:tcW w:w="1133" w:type="dxa"/>
            <w:shd w:val="clear" w:color="auto" w:fill="92D050"/>
          </w:tcPr>
          <w:p>
            <w:pPr>
              <w:pStyle w:val="TableParagraph"/>
              <w:spacing w:before="152"/>
              <w:ind w:left="355"/>
              <w:jc w:val="left"/>
              <w:rPr>
                <w:b/>
                <w:sz w:val="18"/>
              </w:rPr>
            </w:pPr>
            <w:r>
              <w:rPr>
                <w:b/>
                <w:sz w:val="18"/>
              </w:rPr>
              <w:t>2013</w:t>
            </w:r>
          </w:p>
        </w:tc>
        <w:tc>
          <w:tcPr>
            <w:tcW w:w="1200" w:type="dxa"/>
            <w:shd w:val="clear" w:color="auto" w:fill="92D050"/>
          </w:tcPr>
          <w:p>
            <w:pPr>
              <w:pStyle w:val="TableParagraph"/>
              <w:spacing w:before="152"/>
              <w:ind w:left="391"/>
              <w:jc w:val="left"/>
              <w:rPr>
                <w:b/>
                <w:sz w:val="18"/>
              </w:rPr>
            </w:pPr>
            <w:r>
              <w:rPr>
                <w:b/>
                <w:sz w:val="18"/>
              </w:rPr>
              <w:t>2014</w:t>
            </w:r>
          </w:p>
        </w:tc>
        <w:tc>
          <w:tcPr>
            <w:tcW w:w="1200" w:type="dxa"/>
            <w:shd w:val="clear" w:color="auto" w:fill="92D050"/>
          </w:tcPr>
          <w:p>
            <w:pPr>
              <w:pStyle w:val="TableParagraph"/>
              <w:spacing w:before="152"/>
              <w:ind w:left="391" w:right="155"/>
              <w:jc w:val="left"/>
              <w:rPr>
                <w:b/>
                <w:sz w:val="18"/>
              </w:rPr>
            </w:pPr>
            <w:r>
              <w:rPr>
                <w:b/>
                <w:sz w:val="18"/>
              </w:rPr>
              <w:t>2015</w:t>
            </w:r>
          </w:p>
        </w:tc>
        <w:tc>
          <w:tcPr>
            <w:tcW w:w="1200" w:type="dxa"/>
            <w:shd w:val="clear" w:color="auto" w:fill="92D050"/>
          </w:tcPr>
          <w:p>
            <w:pPr>
              <w:pStyle w:val="TableParagraph"/>
              <w:spacing w:before="49"/>
              <w:ind w:left="271" w:right="155" w:hanging="96"/>
              <w:jc w:val="left"/>
              <w:rPr>
                <w:b/>
                <w:sz w:val="18"/>
              </w:rPr>
            </w:pPr>
            <w:r>
              <w:rPr>
                <w:b/>
                <w:sz w:val="18"/>
              </w:rPr>
              <w:t>Promedio general</w:t>
            </w:r>
          </w:p>
        </w:tc>
      </w:tr>
      <w:tr>
        <w:trPr>
          <w:trHeight w:val="269" w:hRule="exact"/>
        </w:trPr>
        <w:tc>
          <w:tcPr>
            <w:tcW w:w="1268" w:type="dxa"/>
            <w:tcBorders>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Si</w:t>
            </w:r>
          </w:p>
        </w:tc>
        <w:tc>
          <w:tcPr>
            <w:tcW w:w="1133" w:type="dxa"/>
            <w:tcBorders>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89.21%</w:t>
            </w:r>
          </w:p>
        </w:tc>
        <w:tc>
          <w:tcPr>
            <w:tcW w:w="1200" w:type="dxa"/>
            <w:tcBorders>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64.21%</w:t>
            </w:r>
          </w:p>
        </w:tc>
        <w:tc>
          <w:tcPr>
            <w:tcW w:w="1200" w:type="dxa"/>
            <w:tcBorders>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33.37%</w:t>
            </w:r>
          </w:p>
        </w:tc>
        <w:tc>
          <w:tcPr>
            <w:tcW w:w="1200" w:type="dxa"/>
            <w:tcBorders>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62.26%</w:t>
            </w:r>
          </w:p>
        </w:tc>
      </w:tr>
      <w:tr>
        <w:trPr>
          <w:trHeight w:val="266" w:hRule="exact"/>
        </w:trPr>
        <w:tc>
          <w:tcPr>
            <w:tcW w:w="1268"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No</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93.20%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93.61%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30.01%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72.27%</w:t>
            </w:r>
          </w:p>
        </w:tc>
      </w:tr>
      <w:tr>
        <w:trPr>
          <w:trHeight w:val="264" w:hRule="exact"/>
        </w:trPr>
        <w:tc>
          <w:tcPr>
            <w:tcW w:w="1268"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No contestó</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right="103"/>
              <w:jc w:val="left"/>
              <w:rPr>
                <w:sz w:val="18"/>
              </w:rPr>
            </w:pPr>
            <w:r>
              <w:rPr>
                <w:sz w:val="18"/>
              </w:rPr>
              <w:t>S/I</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83.23%</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48.46%</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65.85%</w:t>
            </w:r>
          </w:p>
        </w:tc>
      </w:tr>
    </w:tbl>
    <w:p>
      <w:pPr>
        <w:spacing w:before="68"/>
        <w:ind w:left="1664" w:right="26" w:firstLine="0"/>
        <w:jc w:val="left"/>
        <w:rPr>
          <w:sz w:val="16"/>
        </w:rPr>
      </w:pPr>
      <w:r>
        <w:rPr>
          <w:sz w:val="16"/>
        </w:rPr>
        <w:t>Fuente: Elaboración propia.</w:t>
      </w:r>
    </w:p>
    <w:p>
      <w:pPr>
        <w:spacing w:after="0"/>
        <w:jc w:val="left"/>
        <w:rPr>
          <w:sz w:val="16"/>
        </w:rPr>
        <w:sectPr>
          <w:pgSz w:w="12240" w:h="15840"/>
          <w:pgMar w:header="0" w:footer="1035" w:top="1360" w:bottom="1220" w:left="1480" w:right="1580"/>
        </w:sectPr>
      </w:pPr>
    </w:p>
    <w:p>
      <w:pPr>
        <w:pStyle w:val="BodyText"/>
        <w:spacing w:line="360" w:lineRule="auto" w:before="54"/>
        <w:ind w:left="128" w:right="116"/>
        <w:jc w:val="both"/>
      </w:pPr>
      <w:r>
        <w:rPr/>
        <w:t>Durante el periodo que comprende el 2013-2015 se tuvo un promedio de cumplimiento de la ley tal como se describe a continuación: en primer lugar, se encuentran</w:t>
      </w:r>
      <w:r>
        <w:rPr>
          <w:spacing w:val="-5"/>
        </w:rPr>
        <w:t> </w:t>
      </w:r>
      <w:r>
        <w:rPr/>
        <w:t>los</w:t>
      </w:r>
      <w:r>
        <w:rPr>
          <w:spacing w:val="-7"/>
        </w:rPr>
        <w:t> </w:t>
      </w:r>
      <w:r>
        <w:rPr/>
        <w:t>representantes</w:t>
      </w:r>
      <w:r>
        <w:rPr>
          <w:spacing w:val="-5"/>
        </w:rPr>
        <w:t> </w:t>
      </w:r>
      <w:r>
        <w:rPr/>
        <w:t>que</w:t>
      </w:r>
      <w:r>
        <w:rPr>
          <w:spacing w:val="-5"/>
        </w:rPr>
        <w:t> </w:t>
      </w:r>
      <w:r>
        <w:rPr/>
        <w:t>no</w:t>
      </w:r>
      <w:r>
        <w:rPr>
          <w:spacing w:val="-5"/>
        </w:rPr>
        <w:t> </w:t>
      </w:r>
      <w:r>
        <w:rPr/>
        <w:t>cuentan</w:t>
      </w:r>
      <w:r>
        <w:rPr>
          <w:spacing w:val="-5"/>
        </w:rPr>
        <w:t> </w:t>
      </w:r>
      <w:r>
        <w:rPr/>
        <w:t>con</w:t>
      </w:r>
      <w:r>
        <w:rPr>
          <w:spacing w:val="-5"/>
        </w:rPr>
        <w:t> </w:t>
      </w:r>
      <w:r>
        <w:rPr/>
        <w:t>base</w:t>
      </w:r>
      <w:r>
        <w:rPr>
          <w:spacing w:val="-7"/>
        </w:rPr>
        <w:t> </w:t>
      </w:r>
      <w:r>
        <w:rPr/>
        <w:t>de</w:t>
      </w:r>
      <w:r>
        <w:rPr>
          <w:spacing w:val="-7"/>
        </w:rPr>
        <w:t> </w:t>
      </w:r>
      <w:r>
        <w:rPr/>
        <w:t>datos</w:t>
      </w:r>
      <w:r>
        <w:rPr>
          <w:spacing w:val="-8"/>
        </w:rPr>
        <w:t> </w:t>
      </w:r>
      <w:r>
        <w:rPr/>
        <w:t>de</w:t>
      </w:r>
      <w:r>
        <w:rPr>
          <w:spacing w:val="-5"/>
        </w:rPr>
        <w:t> </w:t>
      </w:r>
      <w:r>
        <w:rPr/>
        <w:t>información</w:t>
      </w:r>
      <w:r>
        <w:rPr>
          <w:spacing w:val="-7"/>
        </w:rPr>
        <w:t> </w:t>
      </w:r>
      <w:r>
        <w:rPr/>
        <w:t>de su</w:t>
      </w:r>
      <w:r>
        <w:rPr>
          <w:spacing w:val="-13"/>
        </w:rPr>
        <w:t> </w:t>
      </w:r>
      <w:r>
        <w:rPr/>
        <w:t>municipio</w:t>
      </w:r>
      <w:r>
        <w:rPr>
          <w:spacing w:val="-13"/>
        </w:rPr>
        <w:t> </w:t>
      </w:r>
      <w:r>
        <w:rPr/>
        <w:t>con</w:t>
      </w:r>
      <w:r>
        <w:rPr>
          <w:spacing w:val="-13"/>
        </w:rPr>
        <w:t> </w:t>
      </w:r>
      <w:r>
        <w:rPr/>
        <w:t>un</w:t>
      </w:r>
      <w:r>
        <w:rPr>
          <w:spacing w:val="-13"/>
        </w:rPr>
        <w:t> </w:t>
      </w:r>
      <w:r>
        <w:rPr/>
        <w:t>72.27%,</w:t>
      </w:r>
      <w:r>
        <w:rPr>
          <w:spacing w:val="-13"/>
        </w:rPr>
        <w:t> </w:t>
      </w:r>
      <w:r>
        <w:rPr/>
        <w:t>en</w:t>
      </w:r>
      <w:r>
        <w:rPr>
          <w:spacing w:val="-13"/>
        </w:rPr>
        <w:t> </w:t>
      </w:r>
      <w:r>
        <w:rPr/>
        <w:t>segundo</w:t>
      </w:r>
      <w:r>
        <w:rPr>
          <w:spacing w:val="-13"/>
        </w:rPr>
        <w:t> </w:t>
      </w:r>
      <w:r>
        <w:rPr/>
        <w:t>lugar</w:t>
      </w:r>
      <w:r>
        <w:rPr>
          <w:spacing w:val="-15"/>
        </w:rPr>
        <w:t> </w:t>
      </w:r>
      <w:r>
        <w:rPr/>
        <w:t>se</w:t>
      </w:r>
      <w:r>
        <w:rPr>
          <w:spacing w:val="-13"/>
        </w:rPr>
        <w:t> </w:t>
      </w:r>
      <w:r>
        <w:rPr/>
        <w:t>encuentran</w:t>
      </w:r>
      <w:r>
        <w:rPr>
          <w:spacing w:val="-13"/>
        </w:rPr>
        <w:t> </w:t>
      </w:r>
      <w:r>
        <w:rPr/>
        <w:t>los</w:t>
      </w:r>
      <w:r>
        <w:rPr>
          <w:spacing w:val="-13"/>
        </w:rPr>
        <w:t> </w:t>
      </w:r>
      <w:r>
        <w:rPr/>
        <w:t>que</w:t>
      </w:r>
      <w:r>
        <w:rPr>
          <w:spacing w:val="-13"/>
        </w:rPr>
        <w:t> </w:t>
      </w:r>
      <w:r>
        <w:rPr/>
        <w:t>no</w:t>
      </w:r>
      <w:r>
        <w:rPr>
          <w:spacing w:val="-13"/>
        </w:rPr>
        <w:t> </w:t>
      </w:r>
      <w:r>
        <w:rPr/>
        <w:t>contestaron con un 65.85% y en tercer lugar y último se encuentran los que sí cuentan con</w:t>
      </w:r>
      <w:r>
        <w:rPr>
          <w:spacing w:val="-38"/>
        </w:rPr>
        <w:t> </w:t>
      </w:r>
      <w:r>
        <w:rPr/>
        <w:t>base de datos de información de su municipio que obtuvieron un</w:t>
      </w:r>
      <w:r>
        <w:rPr>
          <w:spacing w:val="-27"/>
        </w:rPr>
        <w:t> </w:t>
      </w:r>
      <w:r>
        <w:rPr/>
        <w:t>62.26%.</w:t>
      </w:r>
    </w:p>
    <w:p>
      <w:pPr>
        <w:pStyle w:val="BodyText"/>
      </w:pPr>
    </w:p>
    <w:p>
      <w:pPr>
        <w:pStyle w:val="Heading1"/>
        <w:numPr>
          <w:ilvl w:val="2"/>
          <w:numId w:val="53"/>
        </w:numPr>
        <w:tabs>
          <w:tab w:pos="837" w:val="left" w:leader="none"/>
        </w:tabs>
        <w:spacing w:line="360" w:lineRule="auto" w:before="204" w:after="0"/>
        <w:ind w:left="836" w:right="124" w:hanging="720"/>
        <w:jc w:val="left"/>
      </w:pPr>
      <w:r>
        <w:rPr/>
        <w:t>Hay</w:t>
      </w:r>
      <w:r>
        <w:rPr>
          <w:spacing w:val="-23"/>
        </w:rPr>
        <w:t> </w:t>
      </w:r>
      <w:r>
        <w:rPr/>
        <w:t>programas</w:t>
      </w:r>
      <w:r>
        <w:rPr>
          <w:spacing w:val="-16"/>
        </w:rPr>
        <w:t> </w:t>
      </w:r>
      <w:r>
        <w:rPr/>
        <w:t>para</w:t>
      </w:r>
      <w:r>
        <w:rPr>
          <w:spacing w:val="-18"/>
        </w:rPr>
        <w:t> </w:t>
      </w:r>
      <w:r>
        <w:rPr/>
        <w:t>procesar</w:t>
      </w:r>
      <w:r>
        <w:rPr>
          <w:spacing w:val="-16"/>
        </w:rPr>
        <w:t> </w:t>
      </w:r>
      <w:r>
        <w:rPr/>
        <w:t>información</w:t>
      </w:r>
      <w:r>
        <w:rPr>
          <w:spacing w:val="-19"/>
        </w:rPr>
        <w:t> </w:t>
      </w:r>
      <w:r>
        <w:rPr/>
        <w:t>en</w:t>
      </w:r>
      <w:r>
        <w:rPr>
          <w:spacing w:val="-17"/>
        </w:rPr>
        <w:t> </w:t>
      </w:r>
      <w:r>
        <w:rPr/>
        <w:t>su</w:t>
      </w:r>
      <w:r>
        <w:rPr>
          <w:spacing w:val="-17"/>
        </w:rPr>
        <w:t> </w:t>
      </w:r>
      <w:r>
        <w:rPr/>
        <w:t>municipio</w:t>
      </w:r>
      <w:r>
        <w:rPr>
          <w:spacing w:val="-16"/>
        </w:rPr>
        <w:t> </w:t>
      </w:r>
      <w:r>
        <w:rPr/>
        <w:t>vs</w:t>
      </w:r>
      <w:r>
        <w:rPr>
          <w:spacing w:val="-16"/>
        </w:rPr>
        <w:t> </w:t>
      </w:r>
      <w:r>
        <w:rPr/>
        <w:t>porcentaje de transparencia</w:t>
      </w:r>
      <w:r>
        <w:rPr>
          <w:spacing w:val="-8"/>
        </w:rPr>
        <w:t> </w:t>
      </w:r>
      <w:r>
        <w:rPr/>
        <w:t>2015</w:t>
      </w:r>
    </w:p>
    <w:p>
      <w:pPr>
        <w:pStyle w:val="BodyText"/>
        <w:rPr>
          <w:b/>
          <w:sz w:val="20"/>
        </w:rPr>
      </w:pPr>
    </w:p>
    <w:p>
      <w:pPr>
        <w:pStyle w:val="BodyText"/>
        <w:spacing w:before="8"/>
        <w:rPr>
          <w:b/>
          <w:sz w:val="19"/>
        </w:rPr>
      </w:pPr>
    </w:p>
    <w:tbl>
      <w:tblPr>
        <w:tblW w:w="0" w:type="auto"/>
        <w:jc w:val="left"/>
        <w:tblInd w:w="27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99"/>
        <w:gridCol w:w="1200"/>
        <w:gridCol w:w="1200"/>
      </w:tblGrid>
      <w:tr>
        <w:trPr>
          <w:trHeight w:val="545" w:hRule="exact"/>
        </w:trPr>
        <w:tc>
          <w:tcPr>
            <w:tcW w:w="3599" w:type="dxa"/>
            <w:gridSpan w:val="3"/>
            <w:shd w:val="clear" w:color="auto" w:fill="92D050"/>
          </w:tcPr>
          <w:p>
            <w:pPr>
              <w:pStyle w:val="TableParagraph"/>
              <w:spacing w:before="52"/>
              <w:ind w:left="159" w:right="140" w:firstLine="271"/>
              <w:jc w:val="left"/>
              <w:rPr>
                <w:b/>
                <w:sz w:val="18"/>
              </w:rPr>
            </w:pPr>
            <w:r>
              <w:rPr>
                <w:b/>
                <w:sz w:val="18"/>
              </w:rPr>
              <w:t>Tabla 3.50: Hay programas para procesar información en su municipio</w:t>
            </w:r>
          </w:p>
        </w:tc>
      </w:tr>
      <w:tr>
        <w:trPr>
          <w:trHeight w:val="290" w:hRule="exact"/>
        </w:trPr>
        <w:tc>
          <w:tcPr>
            <w:tcW w:w="1199" w:type="dxa"/>
            <w:vMerge w:val="restart"/>
            <w:shd w:val="clear" w:color="auto" w:fill="92D050"/>
          </w:tcPr>
          <w:p>
            <w:pPr>
              <w:pStyle w:val="TableParagraph"/>
              <w:jc w:val="left"/>
              <w:rPr>
                <w:b/>
                <w:sz w:val="26"/>
              </w:rPr>
            </w:pPr>
          </w:p>
          <w:p>
            <w:pPr>
              <w:pStyle w:val="TableParagraph"/>
              <w:ind w:left="351" w:right="157"/>
              <w:jc w:val="left"/>
              <w:rPr>
                <w:b/>
                <w:sz w:val="18"/>
              </w:rPr>
            </w:pPr>
            <w:r>
              <w:rPr>
                <w:b/>
                <w:sz w:val="18"/>
              </w:rPr>
              <w:t>Clase</w:t>
            </w:r>
          </w:p>
        </w:tc>
        <w:tc>
          <w:tcPr>
            <w:tcW w:w="2400" w:type="dxa"/>
            <w:gridSpan w:val="2"/>
            <w:shd w:val="clear" w:color="auto" w:fill="92D050"/>
          </w:tcPr>
          <w:p>
            <w:pPr>
              <w:pStyle w:val="TableParagraph"/>
              <w:spacing w:before="28"/>
              <w:ind w:left="970" w:right="966"/>
              <w:rPr>
                <w:b/>
                <w:sz w:val="18"/>
              </w:rPr>
            </w:pPr>
            <w:r>
              <w:rPr>
                <w:b/>
                <w:sz w:val="18"/>
              </w:rPr>
              <w:t>2015</w:t>
            </w:r>
          </w:p>
        </w:tc>
      </w:tr>
      <w:tr>
        <w:trPr>
          <w:trHeight w:val="545" w:hRule="exact"/>
        </w:trPr>
        <w:tc>
          <w:tcPr>
            <w:tcW w:w="1199" w:type="dxa"/>
            <w:vMerge/>
            <w:shd w:val="clear" w:color="auto" w:fill="92D050"/>
          </w:tcPr>
          <w:p>
            <w:pPr/>
          </w:p>
        </w:tc>
        <w:tc>
          <w:tcPr>
            <w:tcW w:w="1200" w:type="dxa"/>
            <w:shd w:val="clear" w:color="auto" w:fill="92D050"/>
          </w:tcPr>
          <w:p>
            <w:pPr>
              <w:pStyle w:val="TableParagraph"/>
              <w:spacing w:before="155"/>
              <w:ind w:left="117"/>
              <w:jc w:val="left"/>
              <w:rPr>
                <w:b/>
                <w:sz w:val="18"/>
              </w:rPr>
            </w:pPr>
            <w:r>
              <w:rPr>
                <w:b/>
                <w:sz w:val="18"/>
              </w:rPr>
              <w:t>Frecuencia</w:t>
            </w:r>
          </w:p>
        </w:tc>
        <w:tc>
          <w:tcPr>
            <w:tcW w:w="1200" w:type="dxa"/>
            <w:shd w:val="clear" w:color="auto" w:fill="92D050"/>
          </w:tcPr>
          <w:p>
            <w:pPr>
              <w:pStyle w:val="TableParagraph"/>
              <w:spacing w:before="155"/>
              <w:ind w:left="511"/>
              <w:jc w:val="left"/>
              <w:rPr>
                <w:b/>
                <w:sz w:val="18"/>
              </w:rPr>
            </w:pPr>
            <w:r>
              <w:rPr>
                <w:b/>
                <w:w w:val="99"/>
                <w:sz w:val="18"/>
              </w:rPr>
              <w:t>%</w:t>
            </w:r>
          </w:p>
        </w:tc>
      </w:tr>
      <w:tr>
        <w:trPr>
          <w:trHeight w:val="271" w:hRule="exact"/>
        </w:trPr>
        <w:tc>
          <w:tcPr>
            <w:tcW w:w="1199" w:type="dxa"/>
            <w:tcBorders>
              <w:left w:val="single" w:sz="4" w:space="0" w:color="000000"/>
              <w:bottom w:val="single" w:sz="4" w:space="0" w:color="000000"/>
              <w:right w:val="single" w:sz="4" w:space="0" w:color="000000"/>
            </w:tcBorders>
          </w:tcPr>
          <w:p>
            <w:pPr>
              <w:pStyle w:val="TableParagraph"/>
              <w:spacing w:before="47"/>
              <w:ind w:left="66"/>
              <w:jc w:val="left"/>
              <w:rPr>
                <w:sz w:val="18"/>
              </w:rPr>
            </w:pPr>
            <w:r>
              <w:rPr>
                <w:sz w:val="18"/>
              </w:rPr>
              <w:t>Si</w:t>
            </w:r>
          </w:p>
        </w:tc>
        <w:tc>
          <w:tcPr>
            <w:tcW w:w="1200" w:type="dxa"/>
            <w:tcBorders>
              <w:left w:val="single" w:sz="4" w:space="0" w:color="000000"/>
              <w:bottom w:val="single" w:sz="4" w:space="0" w:color="000000"/>
              <w:right w:val="single" w:sz="4" w:space="0" w:color="000000"/>
            </w:tcBorders>
          </w:tcPr>
          <w:p>
            <w:pPr>
              <w:pStyle w:val="TableParagraph"/>
              <w:spacing w:before="47"/>
              <w:ind w:right="58"/>
              <w:jc w:val="right"/>
              <w:rPr>
                <w:sz w:val="18"/>
              </w:rPr>
            </w:pPr>
            <w:r>
              <w:rPr>
                <w:sz w:val="18"/>
              </w:rPr>
              <w:t>29</w:t>
            </w:r>
          </w:p>
        </w:tc>
        <w:tc>
          <w:tcPr>
            <w:tcW w:w="1200" w:type="dxa"/>
            <w:tcBorders>
              <w:left w:val="single" w:sz="4" w:space="0" w:color="000000"/>
              <w:bottom w:val="single" w:sz="4" w:space="0" w:color="000000"/>
              <w:right w:val="single" w:sz="4" w:space="0" w:color="000000"/>
            </w:tcBorders>
          </w:tcPr>
          <w:p>
            <w:pPr>
              <w:pStyle w:val="TableParagraph"/>
              <w:spacing w:before="47"/>
              <w:ind w:left="518"/>
              <w:jc w:val="left"/>
              <w:rPr>
                <w:sz w:val="18"/>
              </w:rPr>
            </w:pPr>
            <w:r>
              <w:rPr>
                <w:sz w:val="18"/>
              </w:rPr>
              <w:t>31.60%</w:t>
            </w:r>
          </w:p>
        </w:tc>
      </w:tr>
      <w:tr>
        <w:trPr>
          <w:trHeight w:val="264" w:hRule="exact"/>
        </w:trPr>
        <w:tc>
          <w:tcPr>
            <w:tcW w:w="1199" w:type="dxa"/>
            <w:tcBorders>
              <w:top w:val="single" w:sz="4" w:space="0" w:color="000000"/>
              <w:left w:val="single" w:sz="4" w:space="0" w:color="000000"/>
              <w:bottom w:val="single" w:sz="4" w:space="0" w:color="000000"/>
              <w:right w:val="single" w:sz="4" w:space="0" w:color="000000"/>
            </w:tcBorders>
          </w:tcPr>
          <w:p>
            <w:pPr>
              <w:pStyle w:val="TableParagraph"/>
              <w:spacing w:before="47"/>
              <w:ind w:left="66"/>
              <w:jc w:val="left"/>
              <w:rPr>
                <w:sz w:val="18"/>
              </w:rPr>
            </w:pPr>
            <w:r>
              <w:rPr>
                <w:sz w:val="18"/>
              </w:rPr>
              <w:t>No</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8"/>
              <w:jc w:val="right"/>
              <w:rPr>
                <w:sz w:val="18"/>
              </w:rPr>
            </w:pPr>
            <w:r>
              <w:rPr>
                <w:sz w:val="18"/>
              </w:rPr>
              <w:t>16</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518"/>
              <w:jc w:val="left"/>
              <w:rPr>
                <w:sz w:val="18"/>
              </w:rPr>
            </w:pPr>
            <w:r>
              <w:rPr>
                <w:sz w:val="18"/>
              </w:rPr>
              <w:t>33.63%</w:t>
            </w:r>
          </w:p>
        </w:tc>
      </w:tr>
      <w:tr>
        <w:trPr>
          <w:trHeight w:val="264" w:hRule="exact"/>
        </w:trPr>
        <w:tc>
          <w:tcPr>
            <w:tcW w:w="1199" w:type="dxa"/>
            <w:tcBorders>
              <w:top w:val="single" w:sz="4" w:space="0" w:color="000000"/>
              <w:left w:val="single" w:sz="4" w:space="0" w:color="000000"/>
              <w:bottom w:val="single" w:sz="4" w:space="0" w:color="000000"/>
              <w:right w:val="single" w:sz="4" w:space="0" w:color="000000"/>
            </w:tcBorders>
          </w:tcPr>
          <w:p>
            <w:pPr>
              <w:pStyle w:val="TableParagraph"/>
              <w:spacing w:before="47"/>
              <w:ind w:left="66"/>
              <w:jc w:val="left"/>
              <w:rPr>
                <w:sz w:val="18"/>
              </w:rPr>
            </w:pPr>
            <w:r>
              <w:rPr>
                <w:sz w:val="18"/>
              </w:rPr>
              <w:t>No contestó</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w w:val="99"/>
                <w:sz w:val="18"/>
              </w:rPr>
              <w:t>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518"/>
              <w:jc w:val="left"/>
              <w:rPr>
                <w:sz w:val="18"/>
              </w:rPr>
            </w:pPr>
            <w:r>
              <w:rPr>
                <w:sz w:val="18"/>
              </w:rPr>
              <w:t>48.46%</w:t>
            </w:r>
          </w:p>
        </w:tc>
      </w:tr>
    </w:tbl>
    <w:p>
      <w:pPr>
        <w:spacing w:before="49"/>
        <w:ind w:left="2865" w:right="26" w:firstLine="0"/>
        <w:jc w:val="left"/>
        <w:rPr>
          <w:sz w:val="18"/>
        </w:rPr>
      </w:pPr>
      <w:r>
        <w:rPr>
          <w:sz w:val="16"/>
        </w:rPr>
        <w:t>Fuente: Elaboración propia</w:t>
      </w:r>
      <w:r>
        <w:rPr>
          <w:sz w:val="18"/>
        </w:rPr>
        <w:t>.</w:t>
      </w:r>
    </w:p>
    <w:p>
      <w:pPr>
        <w:pStyle w:val="BodyText"/>
        <w:rPr>
          <w:sz w:val="20"/>
        </w:rPr>
      </w:pPr>
    </w:p>
    <w:p>
      <w:pPr>
        <w:pStyle w:val="BodyText"/>
        <w:spacing w:before="8"/>
        <w:rPr>
          <w:sz w:val="23"/>
        </w:rPr>
      </w:pPr>
    </w:p>
    <w:p>
      <w:pPr>
        <w:pStyle w:val="BodyText"/>
        <w:spacing w:line="360" w:lineRule="auto" w:before="70"/>
        <w:ind w:left="128" w:right="115"/>
        <w:jc w:val="both"/>
      </w:pPr>
      <w:r>
        <w:rPr/>
        <w:t>En la tabla anterior se muestran los resultados obtenidos de hacer el cruce de las variables</w:t>
      </w:r>
      <w:r>
        <w:rPr>
          <w:spacing w:val="-6"/>
        </w:rPr>
        <w:t> </w:t>
      </w:r>
      <w:r>
        <w:rPr/>
        <w:t>del</w:t>
      </w:r>
      <w:r>
        <w:rPr>
          <w:spacing w:val="-7"/>
        </w:rPr>
        <w:t> </w:t>
      </w:r>
      <w:r>
        <w:rPr/>
        <w:t>cumplimiento</w:t>
      </w:r>
      <w:r>
        <w:rPr>
          <w:spacing w:val="-8"/>
        </w:rPr>
        <w:t> </w:t>
      </w:r>
      <w:r>
        <w:rPr/>
        <w:t>de</w:t>
      </w:r>
      <w:r>
        <w:rPr>
          <w:spacing w:val="-6"/>
        </w:rPr>
        <w:t> </w:t>
      </w:r>
      <w:r>
        <w:rPr/>
        <w:t>la</w:t>
      </w:r>
      <w:r>
        <w:rPr>
          <w:spacing w:val="-6"/>
        </w:rPr>
        <w:t> </w:t>
      </w:r>
      <w:r>
        <w:rPr/>
        <w:t>ley</w:t>
      </w:r>
      <w:r>
        <w:rPr>
          <w:spacing w:val="-9"/>
        </w:rPr>
        <w:t> </w:t>
      </w:r>
      <w:r>
        <w:rPr/>
        <w:t>de</w:t>
      </w:r>
      <w:r>
        <w:rPr>
          <w:spacing w:val="-6"/>
        </w:rPr>
        <w:t> </w:t>
      </w:r>
      <w:r>
        <w:rPr/>
        <w:t>transparencia</w:t>
      </w:r>
      <w:r>
        <w:rPr>
          <w:spacing w:val="-9"/>
        </w:rPr>
        <w:t> </w:t>
      </w:r>
      <w:r>
        <w:rPr/>
        <w:t>en</w:t>
      </w:r>
      <w:r>
        <w:rPr>
          <w:spacing w:val="-6"/>
        </w:rPr>
        <w:t> </w:t>
      </w:r>
      <w:r>
        <w:rPr/>
        <w:t>relación</w:t>
      </w:r>
      <w:r>
        <w:rPr>
          <w:spacing w:val="-8"/>
        </w:rPr>
        <w:t> </w:t>
      </w:r>
      <w:r>
        <w:rPr/>
        <w:t>a</w:t>
      </w:r>
      <w:r>
        <w:rPr>
          <w:spacing w:val="-8"/>
        </w:rPr>
        <w:t> </w:t>
      </w:r>
      <w:r>
        <w:rPr/>
        <w:t>si</w:t>
      </w:r>
      <w:r>
        <w:rPr>
          <w:spacing w:val="-7"/>
        </w:rPr>
        <w:t> </w:t>
      </w:r>
      <w:r>
        <w:rPr/>
        <w:t>hay</w:t>
      </w:r>
      <w:r>
        <w:rPr>
          <w:spacing w:val="-9"/>
        </w:rPr>
        <w:t> </w:t>
      </w:r>
      <w:r>
        <w:rPr/>
        <w:t>programas para</w:t>
      </w:r>
      <w:r>
        <w:rPr>
          <w:spacing w:val="-16"/>
        </w:rPr>
        <w:t> </w:t>
      </w:r>
      <w:r>
        <w:rPr/>
        <w:t>procesar</w:t>
      </w:r>
      <w:r>
        <w:rPr>
          <w:spacing w:val="-15"/>
        </w:rPr>
        <w:t> </w:t>
      </w:r>
      <w:r>
        <w:rPr/>
        <w:t>la</w:t>
      </w:r>
      <w:r>
        <w:rPr>
          <w:spacing w:val="-16"/>
        </w:rPr>
        <w:t> </w:t>
      </w:r>
      <w:r>
        <w:rPr/>
        <w:t>información</w:t>
      </w:r>
      <w:r>
        <w:rPr>
          <w:spacing w:val="-15"/>
        </w:rPr>
        <w:t> </w:t>
      </w:r>
      <w:r>
        <w:rPr/>
        <w:t>en</w:t>
      </w:r>
      <w:r>
        <w:rPr>
          <w:spacing w:val="-15"/>
        </w:rPr>
        <w:t> </w:t>
      </w:r>
      <w:r>
        <w:rPr/>
        <w:t>su</w:t>
      </w:r>
      <w:r>
        <w:rPr>
          <w:spacing w:val="-15"/>
        </w:rPr>
        <w:t> </w:t>
      </w:r>
      <w:r>
        <w:rPr/>
        <w:t>municipio</w:t>
      </w:r>
      <w:r>
        <w:rPr>
          <w:spacing w:val="-18"/>
        </w:rPr>
        <w:t> </w:t>
      </w:r>
      <w:r>
        <w:rPr/>
        <w:t>de</w:t>
      </w:r>
      <w:r>
        <w:rPr>
          <w:spacing w:val="-13"/>
        </w:rPr>
        <w:t> </w:t>
      </w:r>
      <w:r>
        <w:rPr/>
        <w:t>los</w:t>
      </w:r>
      <w:r>
        <w:rPr>
          <w:spacing w:val="-16"/>
        </w:rPr>
        <w:t> </w:t>
      </w:r>
      <w:r>
        <w:rPr/>
        <w:t>responsables</w:t>
      </w:r>
      <w:r>
        <w:rPr>
          <w:spacing w:val="-16"/>
        </w:rPr>
        <w:t> </w:t>
      </w:r>
      <w:r>
        <w:rPr/>
        <w:t>de</w:t>
      </w:r>
      <w:r>
        <w:rPr>
          <w:spacing w:val="-15"/>
        </w:rPr>
        <w:t> </w:t>
      </w:r>
      <w:r>
        <w:rPr/>
        <w:t>la</w:t>
      </w:r>
      <w:r>
        <w:rPr>
          <w:spacing w:val="-16"/>
        </w:rPr>
        <w:t> </w:t>
      </w:r>
      <w:r>
        <w:rPr/>
        <w:t>transparencia en los gobiernos municipales. Los resultados obtenidos muestran cómo los responsables de la transparencia que no contestaron si cuentan o no cuentan con programas para procesar información en su municipio al obtener un 48.46%, en segundo lugar, aparecen los que no cuentan con programas para el proceso de información con un 33.63% y en tercer lugar se encuentran los que sí cuentan con estos programas con un</w:t>
      </w:r>
      <w:r>
        <w:rPr>
          <w:spacing w:val="-12"/>
        </w:rPr>
        <w:t> </w:t>
      </w:r>
      <w:r>
        <w:rPr/>
        <w:t>31.60%.</w:t>
      </w:r>
    </w:p>
    <w:p>
      <w:pPr>
        <w:pStyle w:val="BodyText"/>
      </w:pPr>
    </w:p>
    <w:p>
      <w:pPr>
        <w:pStyle w:val="BodyText"/>
      </w:pPr>
    </w:p>
    <w:p>
      <w:pPr>
        <w:pStyle w:val="BodyText"/>
        <w:spacing w:line="360" w:lineRule="auto" w:before="185"/>
        <w:ind w:left="128" w:right="118"/>
        <w:jc w:val="both"/>
      </w:pPr>
      <w:r>
        <w:rPr/>
        <w:t>En</w:t>
      </w:r>
      <w:r>
        <w:rPr>
          <w:spacing w:val="-9"/>
        </w:rPr>
        <w:t> </w:t>
      </w:r>
      <w:r>
        <w:rPr/>
        <w:t>un</w:t>
      </w:r>
      <w:r>
        <w:rPr>
          <w:spacing w:val="-9"/>
        </w:rPr>
        <w:t> </w:t>
      </w:r>
      <w:r>
        <w:rPr/>
        <w:t>sentido</w:t>
      </w:r>
      <w:r>
        <w:rPr>
          <w:spacing w:val="-9"/>
        </w:rPr>
        <w:t> </w:t>
      </w:r>
      <w:r>
        <w:rPr/>
        <w:t>retroactivo</w:t>
      </w:r>
      <w:r>
        <w:rPr>
          <w:spacing w:val="-9"/>
        </w:rPr>
        <w:t> </w:t>
      </w:r>
      <w:r>
        <w:rPr/>
        <w:t>del</w:t>
      </w:r>
      <w:r>
        <w:rPr>
          <w:spacing w:val="-11"/>
        </w:rPr>
        <w:t> </w:t>
      </w:r>
      <w:r>
        <w:rPr/>
        <w:t>periodo</w:t>
      </w:r>
      <w:r>
        <w:rPr>
          <w:spacing w:val="-9"/>
        </w:rPr>
        <w:t> </w:t>
      </w:r>
      <w:r>
        <w:rPr/>
        <w:t>de</w:t>
      </w:r>
      <w:r>
        <w:rPr>
          <w:spacing w:val="-9"/>
        </w:rPr>
        <w:t> </w:t>
      </w:r>
      <w:r>
        <w:rPr/>
        <w:t>administración</w:t>
      </w:r>
      <w:r>
        <w:rPr>
          <w:spacing w:val="-9"/>
        </w:rPr>
        <w:t> </w:t>
      </w:r>
      <w:r>
        <w:rPr/>
        <w:t>2013</w:t>
      </w:r>
      <w:r>
        <w:rPr>
          <w:spacing w:val="-3"/>
        </w:rPr>
        <w:t> </w:t>
      </w:r>
      <w:r>
        <w:rPr/>
        <w:t>-2015</w:t>
      </w:r>
      <w:r>
        <w:rPr>
          <w:spacing w:val="-9"/>
        </w:rPr>
        <w:t> </w:t>
      </w:r>
      <w:r>
        <w:rPr/>
        <w:t>la</w:t>
      </w:r>
      <w:r>
        <w:rPr>
          <w:spacing w:val="-9"/>
        </w:rPr>
        <w:t> </w:t>
      </w:r>
      <w:r>
        <w:rPr/>
        <w:t>siguiente</w:t>
      </w:r>
      <w:r>
        <w:rPr>
          <w:spacing w:val="-9"/>
        </w:rPr>
        <w:t> </w:t>
      </w:r>
      <w:r>
        <w:rPr/>
        <w:t>tabla muestra el promedio de cumplimiento de la ley de</w:t>
      </w:r>
      <w:r>
        <w:rPr>
          <w:spacing w:val="-18"/>
        </w:rPr>
        <w:t> </w:t>
      </w:r>
      <w:r>
        <w:rPr/>
        <w:t>transparencia:</w:t>
      </w:r>
    </w:p>
    <w:p>
      <w:pPr>
        <w:spacing w:after="0" w:line="360" w:lineRule="auto"/>
        <w:jc w:val="both"/>
        <w:sectPr>
          <w:pgSz w:w="12240" w:h="15840"/>
          <w:pgMar w:header="0" w:footer="1035" w:top="1360" w:bottom="1220" w:left="1480" w:right="1580"/>
        </w:sectPr>
      </w:pPr>
    </w:p>
    <w:tbl>
      <w:tblPr>
        <w:tblW w:w="0" w:type="auto"/>
        <w:jc w:val="left"/>
        <w:tblInd w:w="15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01"/>
        <w:gridCol w:w="1200"/>
        <w:gridCol w:w="1200"/>
        <w:gridCol w:w="1200"/>
        <w:gridCol w:w="1200"/>
      </w:tblGrid>
      <w:tr>
        <w:trPr>
          <w:trHeight w:val="435" w:hRule="exact"/>
        </w:trPr>
        <w:tc>
          <w:tcPr>
            <w:tcW w:w="6001" w:type="dxa"/>
            <w:gridSpan w:val="5"/>
            <w:shd w:val="clear" w:color="auto" w:fill="92D050"/>
          </w:tcPr>
          <w:p>
            <w:pPr>
              <w:pStyle w:val="TableParagraph"/>
              <w:ind w:left="2568" w:right="405" w:hanging="2144"/>
              <w:jc w:val="left"/>
              <w:rPr>
                <w:b/>
                <w:sz w:val="18"/>
              </w:rPr>
            </w:pPr>
            <w:r>
              <w:rPr>
                <w:b/>
                <w:sz w:val="18"/>
              </w:rPr>
              <w:t>Tabla 3.51: Hay programas para procesar información en su municipio</w:t>
            </w:r>
          </w:p>
        </w:tc>
      </w:tr>
      <w:tr>
        <w:trPr>
          <w:trHeight w:val="544" w:hRule="exact"/>
        </w:trPr>
        <w:tc>
          <w:tcPr>
            <w:tcW w:w="1201" w:type="dxa"/>
            <w:shd w:val="clear" w:color="auto" w:fill="92D050"/>
          </w:tcPr>
          <w:p>
            <w:pPr>
              <w:pStyle w:val="TableParagraph"/>
              <w:spacing w:before="151"/>
              <w:ind w:left="352"/>
              <w:jc w:val="left"/>
              <w:rPr>
                <w:b/>
                <w:sz w:val="18"/>
              </w:rPr>
            </w:pPr>
            <w:r>
              <w:rPr>
                <w:b/>
                <w:sz w:val="18"/>
              </w:rPr>
              <w:t>Clase</w:t>
            </w:r>
          </w:p>
        </w:tc>
        <w:tc>
          <w:tcPr>
            <w:tcW w:w="1200" w:type="dxa"/>
            <w:shd w:val="clear" w:color="auto" w:fill="92D050"/>
          </w:tcPr>
          <w:p>
            <w:pPr>
              <w:pStyle w:val="TableParagraph"/>
              <w:spacing w:before="151"/>
              <w:ind w:left="391" w:right="155"/>
              <w:jc w:val="left"/>
              <w:rPr>
                <w:b/>
                <w:sz w:val="18"/>
              </w:rPr>
            </w:pPr>
            <w:r>
              <w:rPr>
                <w:b/>
                <w:sz w:val="18"/>
              </w:rPr>
              <w:t>2013</w:t>
            </w:r>
          </w:p>
        </w:tc>
        <w:tc>
          <w:tcPr>
            <w:tcW w:w="1200" w:type="dxa"/>
            <w:shd w:val="clear" w:color="auto" w:fill="92D050"/>
          </w:tcPr>
          <w:p>
            <w:pPr>
              <w:pStyle w:val="TableParagraph"/>
              <w:spacing w:before="151"/>
              <w:ind w:left="391"/>
              <w:jc w:val="left"/>
              <w:rPr>
                <w:b/>
                <w:sz w:val="18"/>
              </w:rPr>
            </w:pPr>
            <w:r>
              <w:rPr>
                <w:b/>
                <w:sz w:val="18"/>
              </w:rPr>
              <w:t>2014</w:t>
            </w:r>
          </w:p>
        </w:tc>
        <w:tc>
          <w:tcPr>
            <w:tcW w:w="1200" w:type="dxa"/>
            <w:shd w:val="clear" w:color="auto" w:fill="92D050"/>
          </w:tcPr>
          <w:p>
            <w:pPr>
              <w:pStyle w:val="TableParagraph"/>
              <w:spacing w:before="151"/>
              <w:ind w:left="391" w:right="155"/>
              <w:jc w:val="left"/>
              <w:rPr>
                <w:b/>
                <w:sz w:val="18"/>
              </w:rPr>
            </w:pPr>
            <w:r>
              <w:rPr>
                <w:b/>
                <w:sz w:val="18"/>
              </w:rPr>
              <w:t>2015</w:t>
            </w:r>
          </w:p>
        </w:tc>
        <w:tc>
          <w:tcPr>
            <w:tcW w:w="1200" w:type="dxa"/>
            <w:shd w:val="clear" w:color="auto" w:fill="92D050"/>
          </w:tcPr>
          <w:p>
            <w:pPr>
              <w:pStyle w:val="TableParagraph"/>
              <w:spacing w:before="48"/>
              <w:ind w:left="271" w:right="155" w:hanging="96"/>
              <w:jc w:val="left"/>
              <w:rPr>
                <w:b/>
                <w:sz w:val="18"/>
              </w:rPr>
            </w:pPr>
            <w:r>
              <w:rPr>
                <w:b/>
                <w:sz w:val="18"/>
              </w:rPr>
              <w:t>Promedio general</w:t>
            </w:r>
          </w:p>
        </w:tc>
      </w:tr>
      <w:tr>
        <w:trPr>
          <w:trHeight w:val="271" w:hRule="exact"/>
        </w:trPr>
        <w:tc>
          <w:tcPr>
            <w:tcW w:w="1201" w:type="dxa"/>
            <w:tcBorders>
              <w:left w:val="single" w:sz="4" w:space="0" w:color="000000"/>
              <w:bottom w:val="single" w:sz="4" w:space="0" w:color="000000"/>
              <w:right w:val="single" w:sz="4" w:space="0" w:color="000000"/>
            </w:tcBorders>
          </w:tcPr>
          <w:p>
            <w:pPr>
              <w:pStyle w:val="TableParagraph"/>
              <w:spacing w:before="46"/>
              <w:ind w:left="67"/>
              <w:jc w:val="left"/>
              <w:rPr>
                <w:sz w:val="18"/>
              </w:rPr>
            </w:pPr>
            <w:r>
              <w:rPr>
                <w:sz w:val="18"/>
              </w:rPr>
              <w:t>Si</w:t>
            </w:r>
          </w:p>
        </w:tc>
        <w:tc>
          <w:tcPr>
            <w:tcW w:w="1200" w:type="dxa"/>
            <w:tcBorders>
              <w:left w:val="single" w:sz="4" w:space="0" w:color="000000"/>
              <w:bottom w:val="single" w:sz="4" w:space="0" w:color="000000"/>
              <w:right w:val="single" w:sz="4" w:space="0" w:color="000000"/>
            </w:tcBorders>
          </w:tcPr>
          <w:p>
            <w:pPr>
              <w:pStyle w:val="TableParagraph"/>
              <w:spacing w:before="46"/>
              <w:ind w:right="59"/>
              <w:jc w:val="right"/>
              <w:rPr>
                <w:sz w:val="18"/>
              </w:rPr>
            </w:pPr>
            <w:r>
              <w:rPr>
                <w:sz w:val="18"/>
              </w:rPr>
              <w:t>89.21%</w:t>
            </w:r>
          </w:p>
        </w:tc>
        <w:tc>
          <w:tcPr>
            <w:tcW w:w="1200" w:type="dxa"/>
            <w:tcBorders>
              <w:left w:val="single" w:sz="4" w:space="0" w:color="000000"/>
              <w:bottom w:val="single" w:sz="4" w:space="0" w:color="000000"/>
              <w:right w:val="single" w:sz="4" w:space="0" w:color="000000"/>
            </w:tcBorders>
          </w:tcPr>
          <w:p>
            <w:pPr>
              <w:pStyle w:val="TableParagraph"/>
              <w:spacing w:before="46"/>
              <w:ind w:right="59"/>
              <w:jc w:val="right"/>
              <w:rPr>
                <w:sz w:val="18"/>
              </w:rPr>
            </w:pPr>
            <w:r>
              <w:rPr>
                <w:sz w:val="18"/>
              </w:rPr>
              <w:t>67.80%</w:t>
            </w:r>
          </w:p>
        </w:tc>
        <w:tc>
          <w:tcPr>
            <w:tcW w:w="1200" w:type="dxa"/>
            <w:tcBorders>
              <w:left w:val="single" w:sz="4" w:space="0" w:color="000000"/>
              <w:bottom w:val="single" w:sz="4" w:space="0" w:color="000000"/>
              <w:right w:val="single" w:sz="4" w:space="0" w:color="000000"/>
            </w:tcBorders>
          </w:tcPr>
          <w:p>
            <w:pPr>
              <w:pStyle w:val="TableParagraph"/>
              <w:spacing w:before="46"/>
              <w:ind w:right="59"/>
              <w:jc w:val="right"/>
              <w:rPr>
                <w:sz w:val="18"/>
              </w:rPr>
            </w:pPr>
            <w:r>
              <w:rPr>
                <w:sz w:val="18"/>
              </w:rPr>
              <w:t>31.60%</w:t>
            </w:r>
          </w:p>
        </w:tc>
        <w:tc>
          <w:tcPr>
            <w:tcW w:w="1200" w:type="dxa"/>
            <w:tcBorders>
              <w:left w:val="single" w:sz="4" w:space="0" w:color="000000"/>
              <w:bottom w:val="single" w:sz="4" w:space="0" w:color="000000"/>
              <w:right w:val="single" w:sz="4" w:space="0" w:color="000000"/>
            </w:tcBorders>
          </w:tcPr>
          <w:p>
            <w:pPr>
              <w:pStyle w:val="TableParagraph"/>
              <w:spacing w:before="46"/>
              <w:ind w:right="59"/>
              <w:jc w:val="right"/>
              <w:rPr>
                <w:sz w:val="18"/>
              </w:rPr>
            </w:pPr>
            <w:r>
              <w:rPr>
                <w:sz w:val="18"/>
              </w:rPr>
              <w:t>62.87%</w:t>
            </w:r>
          </w:p>
        </w:tc>
      </w:tr>
      <w:tr>
        <w:trPr>
          <w:trHeight w:val="264" w:hRule="exact"/>
        </w:trPr>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67"/>
              <w:jc w:val="left"/>
              <w:rPr>
                <w:sz w:val="18"/>
              </w:rPr>
            </w:pPr>
            <w:r>
              <w:rPr>
                <w:sz w:val="18"/>
              </w:rPr>
              <w:t>No</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right="59"/>
              <w:jc w:val="right"/>
              <w:rPr>
                <w:sz w:val="18"/>
              </w:rPr>
            </w:pPr>
            <w:r>
              <w:rPr>
                <w:sz w:val="18"/>
              </w:rPr>
              <w:t>93.20%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right="59"/>
              <w:jc w:val="right"/>
              <w:rPr>
                <w:sz w:val="18"/>
              </w:rPr>
            </w:pPr>
            <w:r>
              <w:rPr>
                <w:sz w:val="18"/>
              </w:rPr>
              <w:t>71.75%</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right="59"/>
              <w:jc w:val="right"/>
              <w:rPr>
                <w:sz w:val="18"/>
              </w:rPr>
            </w:pPr>
            <w:r>
              <w:rPr>
                <w:sz w:val="18"/>
              </w:rPr>
              <w:t>33.63%</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right="59"/>
              <w:jc w:val="right"/>
              <w:rPr>
                <w:sz w:val="18"/>
              </w:rPr>
            </w:pPr>
            <w:r>
              <w:rPr>
                <w:sz w:val="18"/>
              </w:rPr>
              <w:t>66.19%</w:t>
            </w:r>
          </w:p>
        </w:tc>
      </w:tr>
      <w:tr>
        <w:trPr>
          <w:trHeight w:val="266" w:hRule="exact"/>
        </w:trPr>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67"/>
              <w:jc w:val="left"/>
              <w:rPr>
                <w:sz w:val="18"/>
              </w:rPr>
            </w:pPr>
            <w:r>
              <w:rPr>
                <w:sz w:val="18"/>
              </w:rPr>
              <w:t>No contestó</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67"/>
              <w:jc w:val="left"/>
              <w:rPr>
                <w:sz w:val="18"/>
              </w:rPr>
            </w:pPr>
            <w:r>
              <w:rPr>
                <w:sz w:val="18"/>
              </w:rPr>
              <w:t>S/I</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right="59"/>
              <w:jc w:val="right"/>
              <w:rPr>
                <w:sz w:val="18"/>
              </w:rPr>
            </w:pPr>
            <w:r>
              <w:rPr>
                <w:sz w:val="18"/>
              </w:rPr>
              <w:t>83.26%</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right="59"/>
              <w:jc w:val="right"/>
              <w:rPr>
                <w:sz w:val="18"/>
              </w:rPr>
            </w:pPr>
            <w:r>
              <w:rPr>
                <w:sz w:val="18"/>
              </w:rPr>
              <w:t>48.46%</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right="59"/>
              <w:jc w:val="right"/>
              <w:rPr>
                <w:sz w:val="18"/>
              </w:rPr>
            </w:pPr>
            <w:r>
              <w:rPr>
                <w:sz w:val="18"/>
              </w:rPr>
              <w:t>65.86%</w:t>
            </w:r>
          </w:p>
        </w:tc>
      </w:tr>
    </w:tbl>
    <w:p>
      <w:pPr>
        <w:spacing w:before="63"/>
        <w:ind w:left="1664" w:right="26" w:firstLine="0"/>
        <w:jc w:val="left"/>
        <w:rPr>
          <w:sz w:val="16"/>
        </w:rPr>
      </w:pPr>
      <w:r>
        <w:rPr>
          <w:sz w:val="16"/>
        </w:rPr>
        <w:t>Fuente: Elaboración propia</w:t>
      </w:r>
    </w:p>
    <w:p>
      <w:pPr>
        <w:pStyle w:val="BodyText"/>
        <w:rPr>
          <w:sz w:val="20"/>
        </w:rPr>
      </w:pPr>
    </w:p>
    <w:p>
      <w:pPr>
        <w:pStyle w:val="BodyText"/>
      </w:pPr>
    </w:p>
    <w:p>
      <w:pPr>
        <w:pStyle w:val="BodyText"/>
        <w:spacing w:line="360" w:lineRule="auto" w:before="70"/>
        <w:ind w:left="128" w:right="116"/>
        <w:jc w:val="both"/>
      </w:pPr>
      <w:r>
        <w:rPr/>
        <w:t>Durante el periodo que comprende el 2013-2015 se tuvo un promedio de cumplimiento de la ley tal como se describe a continuación: en primer lugar se encuentran los representantes que no cuentan con programas procesadores de información con un 66.19%, en segundo lugar aparecen los que no contestaron si tienen o no tienen programas procesadores de información con un 65.86% y por ultimo</w:t>
      </w:r>
      <w:r>
        <w:rPr>
          <w:spacing w:val="-8"/>
        </w:rPr>
        <w:t> </w:t>
      </w:r>
      <w:r>
        <w:rPr/>
        <w:t>tenemos</w:t>
      </w:r>
      <w:r>
        <w:rPr>
          <w:spacing w:val="-9"/>
        </w:rPr>
        <w:t> </w:t>
      </w:r>
      <w:r>
        <w:rPr/>
        <w:t>a</w:t>
      </w:r>
      <w:r>
        <w:rPr>
          <w:spacing w:val="-8"/>
        </w:rPr>
        <w:t> </w:t>
      </w:r>
      <w:r>
        <w:rPr/>
        <w:t>los</w:t>
      </w:r>
      <w:r>
        <w:rPr>
          <w:spacing w:val="-9"/>
        </w:rPr>
        <w:t> </w:t>
      </w:r>
      <w:r>
        <w:rPr/>
        <w:t>que</w:t>
      </w:r>
      <w:r>
        <w:rPr>
          <w:spacing w:val="-8"/>
        </w:rPr>
        <w:t> </w:t>
      </w:r>
      <w:r>
        <w:rPr/>
        <w:t>sí</w:t>
      </w:r>
      <w:r>
        <w:rPr>
          <w:spacing w:val="-11"/>
        </w:rPr>
        <w:t> </w:t>
      </w:r>
      <w:r>
        <w:rPr/>
        <w:t>cuentan</w:t>
      </w:r>
      <w:r>
        <w:rPr>
          <w:spacing w:val="-8"/>
        </w:rPr>
        <w:t> </w:t>
      </w:r>
      <w:r>
        <w:rPr/>
        <w:t>con</w:t>
      </w:r>
      <w:r>
        <w:rPr>
          <w:spacing w:val="-8"/>
        </w:rPr>
        <w:t> </w:t>
      </w:r>
      <w:r>
        <w:rPr/>
        <w:t>programas</w:t>
      </w:r>
      <w:r>
        <w:rPr>
          <w:spacing w:val="-12"/>
        </w:rPr>
        <w:t> </w:t>
      </w:r>
      <w:r>
        <w:rPr/>
        <w:t>para</w:t>
      </w:r>
      <w:r>
        <w:rPr>
          <w:spacing w:val="-9"/>
        </w:rPr>
        <w:t> </w:t>
      </w:r>
      <w:r>
        <w:rPr/>
        <w:t>procesar</w:t>
      </w:r>
      <w:r>
        <w:rPr>
          <w:spacing w:val="-10"/>
        </w:rPr>
        <w:t> </w:t>
      </w:r>
      <w:r>
        <w:rPr/>
        <w:t>su</w:t>
      </w:r>
      <w:r>
        <w:rPr>
          <w:spacing w:val="-8"/>
        </w:rPr>
        <w:t> </w:t>
      </w:r>
      <w:r>
        <w:rPr/>
        <w:t>información</w:t>
      </w:r>
      <w:r>
        <w:rPr>
          <w:spacing w:val="-10"/>
        </w:rPr>
        <w:t> </w:t>
      </w:r>
      <w:r>
        <w:rPr/>
        <w:t>en su municipio que obtuvieron un</w:t>
      </w:r>
      <w:r>
        <w:rPr>
          <w:spacing w:val="-12"/>
        </w:rPr>
        <w:t> </w:t>
      </w:r>
      <w:r>
        <w:rPr/>
        <w:t>62.87%.</w:t>
      </w:r>
    </w:p>
    <w:p>
      <w:pPr>
        <w:pStyle w:val="BodyText"/>
      </w:pPr>
    </w:p>
    <w:p>
      <w:pPr>
        <w:pStyle w:val="BodyText"/>
        <w:spacing w:before="1"/>
        <w:rPr>
          <w:sz w:val="30"/>
        </w:rPr>
      </w:pPr>
    </w:p>
    <w:p>
      <w:pPr>
        <w:pStyle w:val="Heading1"/>
        <w:numPr>
          <w:ilvl w:val="2"/>
          <w:numId w:val="53"/>
        </w:numPr>
        <w:tabs>
          <w:tab w:pos="837" w:val="left" w:leader="none"/>
        </w:tabs>
        <w:spacing w:line="360" w:lineRule="auto" w:before="0" w:after="0"/>
        <w:ind w:left="836" w:right="122" w:hanging="720"/>
        <w:jc w:val="left"/>
      </w:pPr>
      <w:r>
        <w:rPr/>
        <w:t>Tiene información histórica que solicita la Ley de Transparencia vs porcentaje de transparencia</w:t>
      </w:r>
      <w:r>
        <w:rPr>
          <w:spacing w:val="-11"/>
        </w:rPr>
        <w:t> </w:t>
      </w:r>
      <w:r>
        <w:rPr/>
        <w:t>2015.</w:t>
      </w:r>
    </w:p>
    <w:p>
      <w:pPr>
        <w:pStyle w:val="BodyText"/>
        <w:rPr>
          <w:b/>
          <w:sz w:val="20"/>
        </w:rPr>
      </w:pPr>
    </w:p>
    <w:p>
      <w:pPr>
        <w:pStyle w:val="BodyText"/>
        <w:spacing w:before="3"/>
        <w:rPr>
          <w:b/>
          <w:sz w:val="20"/>
        </w:rPr>
      </w:pPr>
    </w:p>
    <w:tbl>
      <w:tblPr>
        <w:tblW w:w="0" w:type="auto"/>
        <w:jc w:val="left"/>
        <w:tblInd w:w="27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99"/>
        <w:gridCol w:w="1200"/>
        <w:gridCol w:w="1200"/>
      </w:tblGrid>
      <w:tr>
        <w:trPr>
          <w:trHeight w:val="434" w:hRule="exact"/>
        </w:trPr>
        <w:tc>
          <w:tcPr>
            <w:tcW w:w="3599" w:type="dxa"/>
            <w:gridSpan w:val="3"/>
            <w:shd w:val="clear" w:color="auto" w:fill="92D050"/>
          </w:tcPr>
          <w:p>
            <w:pPr>
              <w:pStyle w:val="TableParagraph"/>
              <w:ind w:left="243" w:right="106" w:hanging="120"/>
              <w:jc w:val="left"/>
              <w:rPr>
                <w:b/>
                <w:sz w:val="18"/>
              </w:rPr>
            </w:pPr>
            <w:r>
              <w:rPr>
                <w:b/>
                <w:sz w:val="18"/>
              </w:rPr>
              <w:t>Tabla 3.52: Tiene información histórica que solicita la Ley de Transparencia</w:t>
            </w:r>
          </w:p>
        </w:tc>
      </w:tr>
      <w:tr>
        <w:trPr>
          <w:trHeight w:val="290" w:hRule="exact"/>
        </w:trPr>
        <w:tc>
          <w:tcPr>
            <w:tcW w:w="1199" w:type="dxa"/>
            <w:vMerge w:val="restart"/>
            <w:shd w:val="clear" w:color="auto" w:fill="92D050"/>
          </w:tcPr>
          <w:p>
            <w:pPr>
              <w:pStyle w:val="TableParagraph"/>
              <w:jc w:val="left"/>
              <w:rPr>
                <w:b/>
                <w:sz w:val="26"/>
              </w:rPr>
            </w:pPr>
          </w:p>
          <w:p>
            <w:pPr>
              <w:pStyle w:val="TableParagraph"/>
              <w:ind w:left="351" w:right="157"/>
              <w:jc w:val="left"/>
              <w:rPr>
                <w:b/>
                <w:sz w:val="18"/>
              </w:rPr>
            </w:pPr>
            <w:r>
              <w:rPr>
                <w:b/>
                <w:sz w:val="18"/>
              </w:rPr>
              <w:t>Clase</w:t>
            </w:r>
          </w:p>
        </w:tc>
        <w:tc>
          <w:tcPr>
            <w:tcW w:w="2400" w:type="dxa"/>
            <w:gridSpan w:val="2"/>
            <w:shd w:val="clear" w:color="auto" w:fill="92D050"/>
          </w:tcPr>
          <w:p>
            <w:pPr>
              <w:pStyle w:val="TableParagraph"/>
              <w:spacing w:before="25"/>
              <w:ind w:left="970" w:right="966"/>
              <w:rPr>
                <w:b/>
                <w:sz w:val="18"/>
              </w:rPr>
            </w:pPr>
            <w:r>
              <w:rPr>
                <w:b/>
                <w:sz w:val="18"/>
              </w:rPr>
              <w:t>2015</w:t>
            </w:r>
          </w:p>
        </w:tc>
      </w:tr>
      <w:tr>
        <w:trPr>
          <w:trHeight w:val="545" w:hRule="exact"/>
        </w:trPr>
        <w:tc>
          <w:tcPr>
            <w:tcW w:w="1199" w:type="dxa"/>
            <w:vMerge/>
            <w:shd w:val="clear" w:color="auto" w:fill="92D050"/>
          </w:tcPr>
          <w:p>
            <w:pPr/>
          </w:p>
        </w:tc>
        <w:tc>
          <w:tcPr>
            <w:tcW w:w="1200" w:type="dxa"/>
            <w:shd w:val="clear" w:color="auto" w:fill="92D050"/>
          </w:tcPr>
          <w:p>
            <w:pPr>
              <w:pStyle w:val="TableParagraph"/>
              <w:spacing w:before="152"/>
              <w:ind w:left="117"/>
              <w:jc w:val="left"/>
              <w:rPr>
                <w:b/>
                <w:sz w:val="18"/>
              </w:rPr>
            </w:pPr>
            <w:r>
              <w:rPr>
                <w:b/>
                <w:sz w:val="18"/>
              </w:rPr>
              <w:t>Frecuencia</w:t>
            </w:r>
          </w:p>
        </w:tc>
        <w:tc>
          <w:tcPr>
            <w:tcW w:w="1200" w:type="dxa"/>
            <w:shd w:val="clear" w:color="auto" w:fill="92D050"/>
          </w:tcPr>
          <w:p>
            <w:pPr>
              <w:pStyle w:val="TableParagraph"/>
              <w:spacing w:before="152"/>
              <w:ind w:left="511"/>
              <w:jc w:val="left"/>
              <w:rPr>
                <w:b/>
                <w:sz w:val="18"/>
              </w:rPr>
            </w:pPr>
            <w:r>
              <w:rPr>
                <w:b/>
                <w:w w:val="99"/>
                <w:sz w:val="18"/>
              </w:rPr>
              <w:t>%</w:t>
            </w:r>
          </w:p>
        </w:tc>
      </w:tr>
      <w:tr>
        <w:trPr>
          <w:trHeight w:val="269" w:hRule="exact"/>
        </w:trPr>
        <w:tc>
          <w:tcPr>
            <w:tcW w:w="1199" w:type="dxa"/>
            <w:tcBorders>
              <w:left w:val="single" w:sz="4" w:space="0" w:color="000000"/>
              <w:bottom w:val="single" w:sz="4" w:space="0" w:color="000000"/>
              <w:right w:val="single" w:sz="4" w:space="0" w:color="000000"/>
            </w:tcBorders>
          </w:tcPr>
          <w:p>
            <w:pPr>
              <w:pStyle w:val="TableParagraph"/>
              <w:spacing w:before="47"/>
              <w:ind w:left="66"/>
              <w:jc w:val="left"/>
              <w:rPr>
                <w:sz w:val="18"/>
              </w:rPr>
            </w:pPr>
            <w:r>
              <w:rPr>
                <w:sz w:val="18"/>
              </w:rPr>
              <w:t>Si</w:t>
            </w:r>
          </w:p>
        </w:tc>
        <w:tc>
          <w:tcPr>
            <w:tcW w:w="1200" w:type="dxa"/>
            <w:tcBorders>
              <w:left w:val="single" w:sz="4" w:space="0" w:color="000000"/>
              <w:bottom w:val="single" w:sz="4" w:space="0" w:color="000000"/>
              <w:right w:val="single" w:sz="4" w:space="0" w:color="000000"/>
            </w:tcBorders>
          </w:tcPr>
          <w:p>
            <w:pPr>
              <w:pStyle w:val="TableParagraph"/>
              <w:spacing w:before="47"/>
              <w:ind w:right="58"/>
              <w:jc w:val="right"/>
              <w:rPr>
                <w:sz w:val="18"/>
              </w:rPr>
            </w:pPr>
            <w:r>
              <w:rPr>
                <w:sz w:val="18"/>
              </w:rPr>
              <w:t>32</w:t>
            </w:r>
          </w:p>
        </w:tc>
        <w:tc>
          <w:tcPr>
            <w:tcW w:w="1200" w:type="dxa"/>
            <w:tcBorders>
              <w:left w:val="single" w:sz="4" w:space="0" w:color="000000"/>
              <w:bottom w:val="single" w:sz="4" w:space="0" w:color="000000"/>
              <w:right w:val="single" w:sz="4" w:space="0" w:color="000000"/>
            </w:tcBorders>
          </w:tcPr>
          <w:p>
            <w:pPr>
              <w:pStyle w:val="TableParagraph"/>
              <w:spacing w:before="47"/>
              <w:ind w:left="518"/>
              <w:jc w:val="left"/>
              <w:rPr>
                <w:sz w:val="18"/>
              </w:rPr>
            </w:pPr>
            <w:r>
              <w:rPr>
                <w:sz w:val="18"/>
              </w:rPr>
              <w:t>31.07%</w:t>
            </w:r>
          </w:p>
        </w:tc>
      </w:tr>
      <w:tr>
        <w:trPr>
          <w:trHeight w:val="266" w:hRule="exact"/>
        </w:trPr>
        <w:tc>
          <w:tcPr>
            <w:tcW w:w="1199" w:type="dxa"/>
            <w:tcBorders>
              <w:top w:val="single" w:sz="4" w:space="0" w:color="000000"/>
              <w:left w:val="single" w:sz="4" w:space="0" w:color="000000"/>
              <w:bottom w:val="single" w:sz="4" w:space="0" w:color="000000"/>
              <w:right w:val="single" w:sz="4" w:space="0" w:color="000000"/>
            </w:tcBorders>
          </w:tcPr>
          <w:p>
            <w:pPr>
              <w:pStyle w:val="TableParagraph"/>
              <w:spacing w:before="47"/>
              <w:ind w:left="66"/>
              <w:jc w:val="left"/>
              <w:rPr>
                <w:sz w:val="18"/>
              </w:rPr>
            </w:pPr>
            <w:r>
              <w:rPr>
                <w:sz w:val="18"/>
              </w:rPr>
              <w:t>No</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8"/>
              <w:jc w:val="right"/>
              <w:rPr>
                <w:sz w:val="18"/>
              </w:rPr>
            </w:pPr>
            <w:r>
              <w:rPr>
                <w:sz w:val="18"/>
              </w:rPr>
              <w:t>13</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518"/>
              <w:jc w:val="left"/>
              <w:rPr>
                <w:sz w:val="18"/>
              </w:rPr>
            </w:pPr>
            <w:r>
              <w:rPr>
                <w:sz w:val="18"/>
              </w:rPr>
              <w:t>35.40%</w:t>
            </w:r>
          </w:p>
        </w:tc>
      </w:tr>
      <w:tr>
        <w:trPr>
          <w:trHeight w:val="264" w:hRule="exact"/>
        </w:trPr>
        <w:tc>
          <w:tcPr>
            <w:tcW w:w="1199" w:type="dxa"/>
            <w:tcBorders>
              <w:top w:val="single" w:sz="4" w:space="0" w:color="000000"/>
              <w:left w:val="single" w:sz="4" w:space="0" w:color="000000"/>
              <w:bottom w:val="single" w:sz="4" w:space="0" w:color="000000"/>
              <w:right w:val="single" w:sz="4" w:space="0" w:color="000000"/>
            </w:tcBorders>
          </w:tcPr>
          <w:p>
            <w:pPr>
              <w:pStyle w:val="TableParagraph"/>
              <w:spacing w:before="47"/>
              <w:ind w:left="66"/>
              <w:jc w:val="left"/>
              <w:rPr>
                <w:sz w:val="18"/>
              </w:rPr>
            </w:pPr>
            <w:r>
              <w:rPr>
                <w:sz w:val="18"/>
              </w:rPr>
              <w:t>No contestó</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w w:val="99"/>
                <w:sz w:val="18"/>
              </w:rPr>
              <w:t>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518"/>
              <w:jc w:val="left"/>
              <w:rPr>
                <w:sz w:val="18"/>
              </w:rPr>
            </w:pPr>
            <w:r>
              <w:rPr>
                <w:sz w:val="18"/>
              </w:rPr>
              <w:t>48.46%</w:t>
            </w:r>
          </w:p>
        </w:tc>
      </w:tr>
    </w:tbl>
    <w:p>
      <w:pPr>
        <w:spacing w:before="68"/>
        <w:ind w:left="2865" w:right="26" w:firstLine="0"/>
        <w:jc w:val="left"/>
        <w:rPr>
          <w:sz w:val="16"/>
        </w:rPr>
      </w:pPr>
      <w:r>
        <w:rPr>
          <w:sz w:val="16"/>
        </w:rPr>
        <w:t>Fuente: Elaboración propia.</w:t>
      </w:r>
    </w:p>
    <w:p>
      <w:pPr>
        <w:pStyle w:val="BodyText"/>
        <w:rPr>
          <w:sz w:val="20"/>
        </w:rPr>
      </w:pPr>
    </w:p>
    <w:p>
      <w:pPr>
        <w:pStyle w:val="BodyText"/>
        <w:spacing w:before="10"/>
        <w:rPr>
          <w:sz w:val="19"/>
        </w:rPr>
      </w:pPr>
    </w:p>
    <w:p>
      <w:pPr>
        <w:pStyle w:val="BodyText"/>
        <w:spacing w:line="360" w:lineRule="auto"/>
        <w:ind w:left="128" w:right="115"/>
        <w:jc w:val="both"/>
      </w:pPr>
      <w:r>
        <w:rPr/>
        <w:t>En la tabla anterior se muestran los resultados obtenidos de hacer el cruce de las variables del cumplimiento de la ley de transparencia en relación a si tienen información histórica que solicita la Ley de transparencia de los responsables de la transparencia en los gobiernos municipales. Los resultados obtenidos muestran cómo los responsables de la transparencia que no contestaron si cuentan o no cuentan con información histórica con un porcentaje de 48.46%, en segundo  lugar,</w:t>
      </w:r>
    </w:p>
    <w:p>
      <w:pPr>
        <w:spacing w:after="0" w:line="360" w:lineRule="auto"/>
        <w:jc w:val="both"/>
        <w:sectPr>
          <w:pgSz w:w="12240" w:h="15840"/>
          <w:pgMar w:header="0" w:footer="1035" w:top="1420" w:bottom="1220" w:left="1480" w:right="1580"/>
        </w:sectPr>
      </w:pPr>
    </w:p>
    <w:p>
      <w:pPr>
        <w:pStyle w:val="BodyText"/>
        <w:spacing w:line="362" w:lineRule="auto" w:before="54"/>
        <w:ind w:left="128" w:right="26"/>
      </w:pPr>
      <w:r>
        <w:rPr/>
        <w:t>aparecen los que no cuentan con información histórica obteniendo un 35.40% y el tercer lugar es para los que sí cuentan con información histórica con un 31.07%.</w:t>
      </w:r>
    </w:p>
    <w:p>
      <w:pPr>
        <w:pStyle w:val="BodyText"/>
      </w:pPr>
    </w:p>
    <w:p>
      <w:pPr>
        <w:pStyle w:val="BodyText"/>
      </w:pPr>
    </w:p>
    <w:p>
      <w:pPr>
        <w:pStyle w:val="BodyText"/>
        <w:spacing w:line="360" w:lineRule="auto" w:before="182"/>
        <w:ind w:left="128" w:right="26"/>
      </w:pPr>
      <w:r>
        <w:rPr/>
        <w:t>En un sentido retroactivo del periodo de administración 2013 -2015 la siguiente tabla muestra el promedio de cumplimiento de la ley de transparencia:</w:t>
      </w:r>
    </w:p>
    <w:p>
      <w:pPr>
        <w:pStyle w:val="BodyText"/>
        <w:rPr>
          <w:sz w:val="20"/>
        </w:rPr>
      </w:pPr>
    </w:p>
    <w:p>
      <w:pPr>
        <w:pStyle w:val="BodyText"/>
        <w:rPr>
          <w:sz w:val="20"/>
        </w:rPr>
      </w:pPr>
    </w:p>
    <w:p>
      <w:pPr>
        <w:pStyle w:val="BodyText"/>
        <w:spacing w:before="2" w:after="1"/>
        <w:rPr>
          <w:sz w:val="14"/>
        </w:rPr>
      </w:pPr>
    </w:p>
    <w:tbl>
      <w:tblPr>
        <w:tblW w:w="0" w:type="auto"/>
        <w:jc w:val="left"/>
        <w:tblInd w:w="15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01"/>
        <w:gridCol w:w="1200"/>
        <w:gridCol w:w="1200"/>
        <w:gridCol w:w="1200"/>
        <w:gridCol w:w="1200"/>
      </w:tblGrid>
      <w:tr>
        <w:trPr>
          <w:trHeight w:val="433" w:hRule="exact"/>
        </w:trPr>
        <w:tc>
          <w:tcPr>
            <w:tcW w:w="6001" w:type="dxa"/>
            <w:gridSpan w:val="5"/>
            <w:shd w:val="clear" w:color="auto" w:fill="92D050"/>
          </w:tcPr>
          <w:p>
            <w:pPr>
              <w:pStyle w:val="TableParagraph"/>
              <w:ind w:left="2376" w:hanging="1981"/>
              <w:jc w:val="left"/>
              <w:rPr>
                <w:b/>
                <w:sz w:val="18"/>
              </w:rPr>
            </w:pPr>
            <w:r>
              <w:rPr>
                <w:b/>
                <w:sz w:val="18"/>
              </w:rPr>
              <w:t>Tabla 3.53: Tiene información histórica que solicita la Ley de Transparencia</w:t>
            </w:r>
          </w:p>
        </w:tc>
      </w:tr>
      <w:tr>
        <w:trPr>
          <w:trHeight w:val="547" w:hRule="exact"/>
        </w:trPr>
        <w:tc>
          <w:tcPr>
            <w:tcW w:w="1201" w:type="dxa"/>
            <w:shd w:val="clear" w:color="auto" w:fill="92D050"/>
          </w:tcPr>
          <w:p>
            <w:pPr>
              <w:pStyle w:val="TableParagraph"/>
              <w:spacing w:before="154"/>
              <w:ind w:left="352"/>
              <w:jc w:val="left"/>
              <w:rPr>
                <w:b/>
                <w:sz w:val="18"/>
              </w:rPr>
            </w:pPr>
            <w:r>
              <w:rPr>
                <w:b/>
                <w:sz w:val="18"/>
              </w:rPr>
              <w:t>Clase</w:t>
            </w:r>
          </w:p>
        </w:tc>
        <w:tc>
          <w:tcPr>
            <w:tcW w:w="1200" w:type="dxa"/>
            <w:shd w:val="clear" w:color="auto" w:fill="92D050"/>
          </w:tcPr>
          <w:p>
            <w:pPr>
              <w:pStyle w:val="TableParagraph"/>
              <w:spacing w:before="154"/>
              <w:ind w:left="391" w:right="155"/>
              <w:jc w:val="left"/>
              <w:rPr>
                <w:b/>
                <w:sz w:val="18"/>
              </w:rPr>
            </w:pPr>
            <w:r>
              <w:rPr>
                <w:b/>
                <w:sz w:val="18"/>
              </w:rPr>
              <w:t>2013</w:t>
            </w:r>
          </w:p>
        </w:tc>
        <w:tc>
          <w:tcPr>
            <w:tcW w:w="1200" w:type="dxa"/>
            <w:shd w:val="clear" w:color="auto" w:fill="92D050"/>
          </w:tcPr>
          <w:p>
            <w:pPr>
              <w:pStyle w:val="TableParagraph"/>
              <w:spacing w:before="154"/>
              <w:ind w:left="391"/>
              <w:jc w:val="left"/>
              <w:rPr>
                <w:b/>
                <w:sz w:val="18"/>
              </w:rPr>
            </w:pPr>
            <w:r>
              <w:rPr>
                <w:b/>
                <w:sz w:val="18"/>
              </w:rPr>
              <w:t>2014</w:t>
            </w:r>
          </w:p>
        </w:tc>
        <w:tc>
          <w:tcPr>
            <w:tcW w:w="1200" w:type="dxa"/>
            <w:shd w:val="clear" w:color="auto" w:fill="92D050"/>
          </w:tcPr>
          <w:p>
            <w:pPr>
              <w:pStyle w:val="TableParagraph"/>
              <w:spacing w:before="154"/>
              <w:ind w:left="391" w:right="155"/>
              <w:jc w:val="left"/>
              <w:rPr>
                <w:b/>
                <w:sz w:val="18"/>
              </w:rPr>
            </w:pPr>
            <w:r>
              <w:rPr>
                <w:b/>
                <w:sz w:val="18"/>
              </w:rPr>
              <w:t>2015</w:t>
            </w:r>
          </w:p>
        </w:tc>
        <w:tc>
          <w:tcPr>
            <w:tcW w:w="1200" w:type="dxa"/>
            <w:shd w:val="clear" w:color="auto" w:fill="92D050"/>
          </w:tcPr>
          <w:p>
            <w:pPr>
              <w:pStyle w:val="TableParagraph"/>
              <w:spacing w:before="50"/>
              <w:ind w:left="271" w:right="155" w:hanging="96"/>
              <w:jc w:val="left"/>
              <w:rPr>
                <w:b/>
                <w:sz w:val="18"/>
              </w:rPr>
            </w:pPr>
            <w:r>
              <w:rPr>
                <w:b/>
                <w:sz w:val="18"/>
              </w:rPr>
              <w:t>Promedio general</w:t>
            </w:r>
          </w:p>
        </w:tc>
      </w:tr>
      <w:tr>
        <w:trPr>
          <w:trHeight w:val="269" w:hRule="exact"/>
        </w:trPr>
        <w:tc>
          <w:tcPr>
            <w:tcW w:w="1201" w:type="dxa"/>
            <w:tcBorders>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Si</w:t>
            </w:r>
          </w:p>
        </w:tc>
        <w:tc>
          <w:tcPr>
            <w:tcW w:w="1200" w:type="dxa"/>
            <w:tcBorders>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89.21%</w:t>
            </w:r>
          </w:p>
        </w:tc>
        <w:tc>
          <w:tcPr>
            <w:tcW w:w="1200" w:type="dxa"/>
            <w:tcBorders>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65.57%</w:t>
            </w:r>
          </w:p>
        </w:tc>
        <w:tc>
          <w:tcPr>
            <w:tcW w:w="1200" w:type="dxa"/>
            <w:tcBorders>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31.07%</w:t>
            </w:r>
          </w:p>
        </w:tc>
        <w:tc>
          <w:tcPr>
            <w:tcW w:w="1200" w:type="dxa"/>
            <w:tcBorders>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61.95%</w:t>
            </w:r>
          </w:p>
        </w:tc>
      </w:tr>
      <w:tr>
        <w:trPr>
          <w:trHeight w:val="266" w:hRule="exact"/>
        </w:trPr>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No</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93.20%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86.85%</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35.40%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71.82%</w:t>
            </w:r>
          </w:p>
        </w:tc>
      </w:tr>
      <w:tr>
        <w:trPr>
          <w:trHeight w:val="264" w:hRule="exact"/>
        </w:trPr>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No contestó</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S/I</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83.23%</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48.46%</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65.85%</w:t>
            </w:r>
          </w:p>
        </w:tc>
      </w:tr>
    </w:tbl>
    <w:p>
      <w:pPr>
        <w:spacing w:before="68"/>
        <w:ind w:left="1664" w:right="26" w:firstLine="0"/>
        <w:jc w:val="left"/>
        <w:rPr>
          <w:sz w:val="16"/>
        </w:rPr>
      </w:pPr>
      <w:r>
        <w:rPr>
          <w:sz w:val="16"/>
        </w:rPr>
        <w:t>Fuente: Elaboración propia</w:t>
      </w:r>
    </w:p>
    <w:p>
      <w:pPr>
        <w:pStyle w:val="BodyText"/>
        <w:rPr>
          <w:sz w:val="20"/>
        </w:rPr>
      </w:pPr>
    </w:p>
    <w:p>
      <w:pPr>
        <w:pStyle w:val="BodyText"/>
        <w:spacing w:before="10"/>
        <w:rPr>
          <w:sz w:val="19"/>
        </w:rPr>
      </w:pPr>
    </w:p>
    <w:p>
      <w:pPr>
        <w:pStyle w:val="BodyText"/>
        <w:spacing w:line="360" w:lineRule="auto"/>
        <w:ind w:left="128" w:right="116"/>
        <w:jc w:val="both"/>
      </w:pPr>
      <w:r>
        <w:rPr/>
        <w:t>Durante el periodo que comprende el 2013-2015 se tuvo un promedio de cumplimiento de la ley tal como se describe a continuación: en primer lugar, se encuentran los representantes que no cuentan con información histórica con un 71.82%, en segundo lugar aparecen los que no contestaron si tienen o no tienen la información</w:t>
      </w:r>
      <w:r>
        <w:rPr>
          <w:spacing w:val="-13"/>
        </w:rPr>
        <w:t> </w:t>
      </w:r>
      <w:r>
        <w:rPr/>
        <w:t>histórica</w:t>
      </w:r>
      <w:r>
        <w:rPr>
          <w:spacing w:val="-11"/>
        </w:rPr>
        <w:t> </w:t>
      </w:r>
      <w:r>
        <w:rPr/>
        <w:t>con</w:t>
      </w:r>
      <w:r>
        <w:rPr>
          <w:spacing w:val="-13"/>
        </w:rPr>
        <w:t> </w:t>
      </w:r>
      <w:r>
        <w:rPr/>
        <w:t>un</w:t>
      </w:r>
      <w:r>
        <w:rPr>
          <w:spacing w:val="-13"/>
        </w:rPr>
        <w:t> </w:t>
      </w:r>
      <w:r>
        <w:rPr/>
        <w:t>65.85%</w:t>
      </w:r>
      <w:r>
        <w:rPr>
          <w:spacing w:val="-14"/>
        </w:rPr>
        <w:t> </w:t>
      </w:r>
      <w:r>
        <w:rPr/>
        <w:t>y</w:t>
      </w:r>
      <w:r>
        <w:rPr>
          <w:spacing w:val="-14"/>
        </w:rPr>
        <w:t> </w:t>
      </w:r>
      <w:r>
        <w:rPr/>
        <w:t>en</w:t>
      </w:r>
      <w:r>
        <w:rPr>
          <w:spacing w:val="-11"/>
        </w:rPr>
        <w:t> </w:t>
      </w:r>
      <w:r>
        <w:rPr/>
        <w:t>tercer</w:t>
      </w:r>
      <w:r>
        <w:rPr>
          <w:spacing w:val="-12"/>
        </w:rPr>
        <w:t> </w:t>
      </w:r>
      <w:r>
        <w:rPr/>
        <w:t>lugar</w:t>
      </w:r>
      <w:r>
        <w:rPr>
          <w:spacing w:val="-12"/>
        </w:rPr>
        <w:t> </w:t>
      </w:r>
      <w:r>
        <w:rPr/>
        <w:t>aparece</w:t>
      </w:r>
      <w:r>
        <w:rPr>
          <w:spacing w:val="-13"/>
        </w:rPr>
        <w:t> </w:t>
      </w:r>
      <w:r>
        <w:rPr/>
        <w:t>los</w:t>
      </w:r>
      <w:r>
        <w:rPr>
          <w:spacing w:val="-11"/>
        </w:rPr>
        <w:t> </w:t>
      </w:r>
      <w:r>
        <w:rPr/>
        <w:t>que</w:t>
      </w:r>
      <w:r>
        <w:rPr>
          <w:spacing w:val="-11"/>
        </w:rPr>
        <w:t> </w:t>
      </w:r>
      <w:r>
        <w:rPr/>
        <w:t>sí</w:t>
      </w:r>
      <w:r>
        <w:rPr>
          <w:spacing w:val="-13"/>
        </w:rPr>
        <w:t> </w:t>
      </w:r>
      <w:r>
        <w:rPr/>
        <w:t>cuentan</w:t>
      </w:r>
      <w:r>
        <w:rPr>
          <w:spacing w:val="-11"/>
        </w:rPr>
        <w:t> </w:t>
      </w:r>
      <w:r>
        <w:rPr/>
        <w:t>con información histórica obteniendo un</w:t>
      </w:r>
      <w:r>
        <w:rPr>
          <w:spacing w:val="-14"/>
        </w:rPr>
        <w:t> </w:t>
      </w:r>
      <w:r>
        <w:rPr/>
        <w:t>61.95%.</w:t>
      </w:r>
    </w:p>
    <w:p>
      <w:pPr>
        <w:pStyle w:val="BodyText"/>
      </w:pPr>
    </w:p>
    <w:p>
      <w:pPr>
        <w:pStyle w:val="BodyText"/>
      </w:pPr>
    </w:p>
    <w:p>
      <w:pPr>
        <w:pStyle w:val="Heading1"/>
        <w:numPr>
          <w:ilvl w:val="2"/>
          <w:numId w:val="53"/>
        </w:numPr>
        <w:tabs>
          <w:tab w:pos="837" w:val="left" w:leader="none"/>
        </w:tabs>
        <w:spacing w:line="360" w:lineRule="auto" w:before="185" w:after="0"/>
        <w:ind w:left="836" w:right="116" w:hanging="720"/>
        <w:jc w:val="left"/>
      </w:pPr>
      <w:r>
        <w:rPr/>
        <w:t>Usted</w:t>
      </w:r>
      <w:r>
        <w:rPr>
          <w:spacing w:val="-18"/>
        </w:rPr>
        <w:t> </w:t>
      </w:r>
      <w:r>
        <w:rPr/>
        <w:t>conoce</w:t>
      </w:r>
      <w:r>
        <w:rPr>
          <w:spacing w:val="-17"/>
        </w:rPr>
        <w:t> </w:t>
      </w:r>
      <w:r>
        <w:rPr/>
        <w:t>la</w:t>
      </w:r>
      <w:r>
        <w:rPr>
          <w:spacing w:val="-17"/>
        </w:rPr>
        <w:t> </w:t>
      </w:r>
      <w:r>
        <w:rPr/>
        <w:t>Ley</w:t>
      </w:r>
      <w:r>
        <w:rPr>
          <w:spacing w:val="-22"/>
        </w:rPr>
        <w:t> </w:t>
      </w:r>
      <w:r>
        <w:rPr/>
        <w:t>de</w:t>
      </w:r>
      <w:r>
        <w:rPr>
          <w:spacing w:val="-17"/>
        </w:rPr>
        <w:t> </w:t>
      </w:r>
      <w:r>
        <w:rPr/>
        <w:t>Transparencia</w:t>
      </w:r>
      <w:r>
        <w:rPr>
          <w:spacing w:val="-17"/>
        </w:rPr>
        <w:t> </w:t>
      </w:r>
      <w:r>
        <w:rPr/>
        <w:t>del</w:t>
      </w:r>
      <w:r>
        <w:rPr>
          <w:spacing w:val="-16"/>
        </w:rPr>
        <w:t> </w:t>
      </w:r>
      <w:r>
        <w:rPr/>
        <w:t>Estado</w:t>
      </w:r>
      <w:r>
        <w:rPr>
          <w:spacing w:val="-18"/>
        </w:rPr>
        <w:t> </w:t>
      </w:r>
      <w:r>
        <w:rPr/>
        <w:t>de</w:t>
      </w:r>
      <w:r>
        <w:rPr>
          <w:spacing w:val="-17"/>
        </w:rPr>
        <w:t> </w:t>
      </w:r>
      <w:r>
        <w:rPr/>
        <w:t>México</w:t>
      </w:r>
      <w:r>
        <w:rPr>
          <w:spacing w:val="-14"/>
        </w:rPr>
        <w:t> </w:t>
      </w:r>
      <w:r>
        <w:rPr/>
        <w:t>y</w:t>
      </w:r>
      <w:r>
        <w:rPr>
          <w:spacing w:val="-24"/>
        </w:rPr>
        <w:t> </w:t>
      </w:r>
      <w:r>
        <w:rPr/>
        <w:t>Municipios vs porcentaje de transparencia</w:t>
      </w:r>
      <w:r>
        <w:rPr>
          <w:spacing w:val="-12"/>
        </w:rPr>
        <w:t> </w:t>
      </w:r>
      <w:r>
        <w:rPr/>
        <w:t>2015</w:t>
      </w:r>
    </w:p>
    <w:p>
      <w:pPr>
        <w:pStyle w:val="BodyText"/>
        <w:rPr>
          <w:b/>
          <w:sz w:val="20"/>
        </w:rPr>
      </w:pPr>
    </w:p>
    <w:p>
      <w:pPr>
        <w:pStyle w:val="BodyText"/>
        <w:spacing w:before="5"/>
        <w:rPr>
          <w:b/>
          <w:sz w:val="20"/>
        </w:rPr>
      </w:pPr>
    </w:p>
    <w:tbl>
      <w:tblPr>
        <w:tblW w:w="0" w:type="auto"/>
        <w:jc w:val="left"/>
        <w:tblInd w:w="26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81"/>
        <w:gridCol w:w="1200"/>
        <w:gridCol w:w="1200"/>
      </w:tblGrid>
      <w:tr>
        <w:trPr>
          <w:trHeight w:val="641" w:hRule="exact"/>
        </w:trPr>
        <w:tc>
          <w:tcPr>
            <w:tcW w:w="3881" w:type="dxa"/>
            <w:gridSpan w:val="3"/>
            <w:shd w:val="clear" w:color="auto" w:fill="92D050"/>
          </w:tcPr>
          <w:p>
            <w:pPr>
              <w:pStyle w:val="TableParagraph"/>
              <w:ind w:left="300" w:right="293" w:hanging="9"/>
              <w:rPr>
                <w:b/>
                <w:sz w:val="18"/>
              </w:rPr>
            </w:pPr>
            <w:r>
              <w:rPr>
                <w:b/>
                <w:sz w:val="18"/>
              </w:rPr>
              <w:t>Tabla 3.54: Usted conoce la Ley de Transparencia del Estado de México y Municipios</w:t>
            </w:r>
          </w:p>
        </w:tc>
      </w:tr>
      <w:tr>
        <w:trPr>
          <w:trHeight w:val="290" w:hRule="exact"/>
        </w:trPr>
        <w:tc>
          <w:tcPr>
            <w:tcW w:w="1481" w:type="dxa"/>
            <w:vMerge w:val="restart"/>
            <w:shd w:val="clear" w:color="auto" w:fill="92D050"/>
          </w:tcPr>
          <w:p>
            <w:pPr>
              <w:pStyle w:val="TableParagraph"/>
              <w:jc w:val="left"/>
              <w:rPr>
                <w:b/>
                <w:sz w:val="26"/>
              </w:rPr>
            </w:pPr>
          </w:p>
          <w:p>
            <w:pPr>
              <w:pStyle w:val="TableParagraph"/>
              <w:ind w:left="470" w:right="471"/>
              <w:rPr>
                <w:b/>
                <w:sz w:val="18"/>
              </w:rPr>
            </w:pPr>
            <w:r>
              <w:rPr>
                <w:b/>
                <w:sz w:val="18"/>
              </w:rPr>
              <w:t>Clase</w:t>
            </w:r>
          </w:p>
        </w:tc>
        <w:tc>
          <w:tcPr>
            <w:tcW w:w="2400" w:type="dxa"/>
            <w:gridSpan w:val="2"/>
            <w:shd w:val="clear" w:color="auto" w:fill="92D050"/>
          </w:tcPr>
          <w:p>
            <w:pPr>
              <w:pStyle w:val="TableParagraph"/>
              <w:spacing w:before="26"/>
              <w:ind w:left="967" w:right="967"/>
              <w:rPr>
                <w:b/>
                <w:sz w:val="18"/>
              </w:rPr>
            </w:pPr>
            <w:r>
              <w:rPr>
                <w:b/>
                <w:sz w:val="18"/>
              </w:rPr>
              <w:t>2015</w:t>
            </w:r>
          </w:p>
        </w:tc>
      </w:tr>
      <w:tr>
        <w:trPr>
          <w:trHeight w:val="546" w:hRule="exact"/>
        </w:trPr>
        <w:tc>
          <w:tcPr>
            <w:tcW w:w="1481" w:type="dxa"/>
            <w:vMerge/>
            <w:shd w:val="clear" w:color="auto" w:fill="92D050"/>
          </w:tcPr>
          <w:p>
            <w:pPr/>
          </w:p>
        </w:tc>
        <w:tc>
          <w:tcPr>
            <w:tcW w:w="1200" w:type="dxa"/>
            <w:shd w:val="clear" w:color="auto" w:fill="92D050"/>
          </w:tcPr>
          <w:p>
            <w:pPr>
              <w:pStyle w:val="TableParagraph"/>
              <w:spacing w:before="154"/>
              <w:ind w:right="113"/>
              <w:jc w:val="right"/>
              <w:rPr>
                <w:b/>
                <w:sz w:val="18"/>
              </w:rPr>
            </w:pPr>
            <w:r>
              <w:rPr>
                <w:b/>
                <w:sz w:val="18"/>
              </w:rPr>
              <w:t>Frecuencia</w:t>
            </w:r>
          </w:p>
        </w:tc>
        <w:tc>
          <w:tcPr>
            <w:tcW w:w="1200" w:type="dxa"/>
            <w:shd w:val="clear" w:color="auto" w:fill="92D050"/>
          </w:tcPr>
          <w:p>
            <w:pPr>
              <w:pStyle w:val="TableParagraph"/>
              <w:spacing w:before="154"/>
              <w:ind w:right="1"/>
              <w:rPr>
                <w:b/>
                <w:sz w:val="18"/>
              </w:rPr>
            </w:pPr>
            <w:r>
              <w:rPr>
                <w:b/>
                <w:w w:val="99"/>
                <w:sz w:val="18"/>
              </w:rPr>
              <w:t>%</w:t>
            </w:r>
          </w:p>
        </w:tc>
      </w:tr>
      <w:tr>
        <w:trPr>
          <w:trHeight w:val="269" w:hRule="exact"/>
        </w:trPr>
        <w:tc>
          <w:tcPr>
            <w:tcW w:w="1481" w:type="dxa"/>
            <w:tcBorders>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Nada</w:t>
            </w:r>
          </w:p>
        </w:tc>
        <w:tc>
          <w:tcPr>
            <w:tcW w:w="1200" w:type="dxa"/>
            <w:tcBorders>
              <w:left w:val="single" w:sz="4" w:space="0" w:color="000000"/>
              <w:bottom w:val="single" w:sz="4" w:space="0" w:color="000000"/>
              <w:right w:val="single" w:sz="4" w:space="0" w:color="000000"/>
            </w:tcBorders>
          </w:tcPr>
          <w:p>
            <w:pPr>
              <w:pStyle w:val="TableParagraph"/>
              <w:spacing w:before="47"/>
              <w:ind w:right="63"/>
              <w:jc w:val="right"/>
              <w:rPr>
                <w:sz w:val="18"/>
              </w:rPr>
            </w:pPr>
            <w:r>
              <w:rPr>
                <w:w w:val="99"/>
                <w:sz w:val="18"/>
              </w:rPr>
              <w:t>1</w:t>
            </w:r>
          </w:p>
        </w:tc>
        <w:tc>
          <w:tcPr>
            <w:tcW w:w="1200" w:type="dxa"/>
            <w:tcBorders>
              <w:left w:val="single" w:sz="4" w:space="0" w:color="000000"/>
              <w:bottom w:val="single" w:sz="4" w:space="0" w:color="000000"/>
              <w:right w:val="single" w:sz="4" w:space="0" w:color="000000"/>
            </w:tcBorders>
          </w:tcPr>
          <w:p>
            <w:pPr>
              <w:pStyle w:val="TableParagraph"/>
              <w:spacing w:before="47"/>
              <w:ind w:right="61"/>
              <w:jc w:val="right"/>
              <w:rPr>
                <w:sz w:val="18"/>
              </w:rPr>
            </w:pPr>
            <w:r>
              <w:rPr>
                <w:w w:val="95"/>
                <w:sz w:val="18"/>
              </w:rPr>
              <w:t>3.00%</w:t>
            </w:r>
          </w:p>
        </w:tc>
      </w:tr>
      <w:tr>
        <w:trPr>
          <w:trHeight w:val="266" w:hRule="exact"/>
        </w:trPr>
        <w:tc>
          <w:tcPr>
            <w:tcW w:w="1481"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Lo necesario</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63"/>
              <w:jc w:val="right"/>
              <w:rPr>
                <w:sz w:val="18"/>
              </w:rPr>
            </w:pPr>
            <w:r>
              <w:rPr>
                <w:w w:val="99"/>
                <w:sz w:val="18"/>
              </w:rPr>
              <w:t>7</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43.75%</w:t>
            </w:r>
          </w:p>
        </w:tc>
      </w:tr>
      <w:tr>
        <w:trPr>
          <w:trHeight w:val="264" w:hRule="exact"/>
        </w:trPr>
        <w:tc>
          <w:tcPr>
            <w:tcW w:w="1481"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Lo suficiente</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60"/>
              <w:jc w:val="right"/>
              <w:rPr>
                <w:sz w:val="18"/>
              </w:rPr>
            </w:pPr>
            <w:r>
              <w:rPr>
                <w:sz w:val="18"/>
              </w:rPr>
              <w:t>19</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21.82%</w:t>
            </w:r>
          </w:p>
        </w:tc>
      </w:tr>
      <w:tr>
        <w:trPr>
          <w:trHeight w:val="264" w:hRule="exact"/>
        </w:trPr>
        <w:tc>
          <w:tcPr>
            <w:tcW w:w="1481"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Completamente</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60"/>
              <w:jc w:val="right"/>
              <w:rPr>
                <w:sz w:val="18"/>
              </w:rPr>
            </w:pPr>
            <w:r>
              <w:rPr>
                <w:sz w:val="18"/>
              </w:rPr>
              <w:t>19</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41.01%</w:t>
            </w:r>
          </w:p>
        </w:tc>
      </w:tr>
    </w:tbl>
    <w:p>
      <w:pPr>
        <w:spacing w:before="68"/>
        <w:ind w:left="2723" w:right="26" w:firstLine="0"/>
        <w:jc w:val="left"/>
        <w:rPr>
          <w:sz w:val="16"/>
        </w:rPr>
      </w:pPr>
      <w:r>
        <w:rPr>
          <w:sz w:val="16"/>
        </w:rPr>
        <w:t>Fuente: Elaboración propia</w:t>
      </w:r>
    </w:p>
    <w:p>
      <w:pPr>
        <w:spacing w:after="0"/>
        <w:jc w:val="left"/>
        <w:rPr>
          <w:sz w:val="16"/>
        </w:rPr>
        <w:sectPr>
          <w:pgSz w:w="12240" w:h="15840"/>
          <w:pgMar w:header="0" w:footer="1035" w:top="1360" w:bottom="1220" w:left="1480" w:right="1580"/>
        </w:sectPr>
      </w:pPr>
    </w:p>
    <w:p>
      <w:pPr>
        <w:pStyle w:val="BodyText"/>
        <w:spacing w:line="360" w:lineRule="auto" w:before="54"/>
        <w:ind w:left="108" w:right="115"/>
        <w:jc w:val="both"/>
      </w:pPr>
      <w:r>
        <w:rPr/>
        <w:t>En la tabla anterior se muestran los resultados obtenidos de hacer el cruce de las variables</w:t>
      </w:r>
      <w:r>
        <w:rPr>
          <w:spacing w:val="-6"/>
        </w:rPr>
        <w:t> </w:t>
      </w:r>
      <w:r>
        <w:rPr/>
        <w:t>del</w:t>
      </w:r>
      <w:r>
        <w:rPr>
          <w:spacing w:val="-7"/>
        </w:rPr>
        <w:t> </w:t>
      </w:r>
      <w:r>
        <w:rPr/>
        <w:t>cumplimiento</w:t>
      </w:r>
      <w:r>
        <w:rPr>
          <w:spacing w:val="-8"/>
        </w:rPr>
        <w:t> </w:t>
      </w:r>
      <w:r>
        <w:rPr/>
        <w:t>de</w:t>
      </w:r>
      <w:r>
        <w:rPr>
          <w:spacing w:val="-6"/>
        </w:rPr>
        <w:t> </w:t>
      </w:r>
      <w:r>
        <w:rPr/>
        <w:t>la</w:t>
      </w:r>
      <w:r>
        <w:rPr>
          <w:spacing w:val="-9"/>
        </w:rPr>
        <w:t> </w:t>
      </w:r>
      <w:r>
        <w:rPr/>
        <w:t>ley</w:t>
      </w:r>
      <w:r>
        <w:rPr>
          <w:spacing w:val="-9"/>
        </w:rPr>
        <w:t> </w:t>
      </w:r>
      <w:r>
        <w:rPr/>
        <w:t>de</w:t>
      </w:r>
      <w:r>
        <w:rPr>
          <w:spacing w:val="-8"/>
        </w:rPr>
        <w:t> </w:t>
      </w:r>
      <w:r>
        <w:rPr/>
        <w:t>transparencia</w:t>
      </w:r>
      <w:r>
        <w:rPr>
          <w:spacing w:val="-9"/>
        </w:rPr>
        <w:t> </w:t>
      </w:r>
      <w:r>
        <w:rPr/>
        <w:t>en</w:t>
      </w:r>
      <w:r>
        <w:rPr>
          <w:spacing w:val="-6"/>
        </w:rPr>
        <w:t> </w:t>
      </w:r>
      <w:r>
        <w:rPr/>
        <w:t>relación</w:t>
      </w:r>
      <w:r>
        <w:rPr>
          <w:spacing w:val="-8"/>
        </w:rPr>
        <w:t> </w:t>
      </w:r>
      <w:r>
        <w:rPr/>
        <w:t>a</w:t>
      </w:r>
      <w:r>
        <w:rPr>
          <w:spacing w:val="-8"/>
        </w:rPr>
        <w:t> </w:t>
      </w:r>
      <w:r>
        <w:rPr/>
        <w:t>si</w:t>
      </w:r>
      <w:r>
        <w:rPr>
          <w:spacing w:val="-7"/>
        </w:rPr>
        <w:t> </w:t>
      </w:r>
      <w:r>
        <w:rPr/>
        <w:t>conocen</w:t>
      </w:r>
      <w:r>
        <w:rPr>
          <w:spacing w:val="-8"/>
        </w:rPr>
        <w:t> </w:t>
      </w:r>
      <w:r>
        <w:rPr/>
        <w:t>la</w:t>
      </w:r>
      <w:r>
        <w:rPr>
          <w:spacing w:val="-6"/>
        </w:rPr>
        <w:t> </w:t>
      </w:r>
      <w:r>
        <w:rPr/>
        <w:t>Ley de transparencia del Estado de México y municipios de los responsables de la transparencia en los gobiernos municipales. Los resultados obtenidos muestran cómo los responsables de la transparencia que conocen solo lo necesario de la Ley de Transparencia obtuvieron el primer lugar con un 43.75%, en segundo lugar, tenemos a los que conocen completamente la Ley al obtener un 41.01%, en tercer lugar</w:t>
      </w:r>
      <w:r>
        <w:rPr>
          <w:spacing w:val="-18"/>
        </w:rPr>
        <w:t> </w:t>
      </w:r>
      <w:r>
        <w:rPr/>
        <w:t>aparecen</w:t>
      </w:r>
      <w:r>
        <w:rPr>
          <w:spacing w:val="-17"/>
        </w:rPr>
        <w:t> </w:t>
      </w:r>
      <w:r>
        <w:rPr/>
        <w:t>los</w:t>
      </w:r>
      <w:r>
        <w:rPr>
          <w:spacing w:val="-17"/>
        </w:rPr>
        <w:t> </w:t>
      </w:r>
      <w:r>
        <w:rPr/>
        <w:t>que</w:t>
      </w:r>
      <w:r>
        <w:rPr>
          <w:spacing w:val="-19"/>
        </w:rPr>
        <w:t> </w:t>
      </w:r>
      <w:r>
        <w:rPr/>
        <w:t>conocen</w:t>
      </w:r>
      <w:r>
        <w:rPr>
          <w:spacing w:val="-13"/>
        </w:rPr>
        <w:t> </w:t>
      </w:r>
      <w:r>
        <w:rPr/>
        <w:t>solo</w:t>
      </w:r>
      <w:r>
        <w:rPr>
          <w:spacing w:val="-17"/>
        </w:rPr>
        <w:t> </w:t>
      </w:r>
      <w:r>
        <w:rPr/>
        <w:t>lo</w:t>
      </w:r>
      <w:r>
        <w:rPr>
          <w:spacing w:val="-19"/>
        </w:rPr>
        <w:t> </w:t>
      </w:r>
      <w:r>
        <w:rPr/>
        <w:t>suficiente</w:t>
      </w:r>
      <w:r>
        <w:rPr>
          <w:spacing w:val="-19"/>
        </w:rPr>
        <w:t> </w:t>
      </w:r>
      <w:r>
        <w:rPr/>
        <w:t>esta</w:t>
      </w:r>
      <w:r>
        <w:rPr>
          <w:spacing w:val="-18"/>
        </w:rPr>
        <w:t> </w:t>
      </w:r>
      <w:r>
        <w:rPr/>
        <w:t>Ley</w:t>
      </w:r>
      <w:r>
        <w:rPr>
          <w:spacing w:val="-20"/>
        </w:rPr>
        <w:t> </w:t>
      </w:r>
      <w:r>
        <w:rPr/>
        <w:t>con</w:t>
      </w:r>
      <w:r>
        <w:rPr>
          <w:spacing w:val="-17"/>
        </w:rPr>
        <w:t> </w:t>
      </w:r>
      <w:r>
        <w:rPr/>
        <w:t>un</w:t>
      </w:r>
      <w:r>
        <w:rPr>
          <w:spacing w:val="-17"/>
        </w:rPr>
        <w:t> </w:t>
      </w:r>
      <w:r>
        <w:rPr/>
        <w:t>21.82%</w:t>
      </w:r>
      <w:r>
        <w:rPr>
          <w:spacing w:val="-17"/>
        </w:rPr>
        <w:t> </w:t>
      </w:r>
      <w:r>
        <w:rPr/>
        <w:t>y</w:t>
      </w:r>
      <w:r>
        <w:rPr>
          <w:spacing w:val="-20"/>
        </w:rPr>
        <w:t> </w:t>
      </w:r>
      <w:r>
        <w:rPr/>
        <w:t>en</w:t>
      </w:r>
      <w:r>
        <w:rPr>
          <w:spacing w:val="-19"/>
        </w:rPr>
        <w:t> </w:t>
      </w:r>
      <w:r>
        <w:rPr/>
        <w:t>cuarto y</w:t>
      </w:r>
      <w:r>
        <w:rPr>
          <w:spacing w:val="-9"/>
        </w:rPr>
        <w:t> </w:t>
      </w:r>
      <w:r>
        <w:rPr/>
        <w:t>último</w:t>
      </w:r>
      <w:r>
        <w:rPr>
          <w:spacing w:val="-8"/>
        </w:rPr>
        <w:t> </w:t>
      </w:r>
      <w:r>
        <w:rPr/>
        <w:t>lugar</w:t>
      </w:r>
      <w:r>
        <w:rPr>
          <w:spacing w:val="-7"/>
        </w:rPr>
        <w:t> </w:t>
      </w:r>
      <w:r>
        <w:rPr/>
        <w:t>se</w:t>
      </w:r>
      <w:r>
        <w:rPr>
          <w:spacing w:val="-8"/>
        </w:rPr>
        <w:t> </w:t>
      </w:r>
      <w:r>
        <w:rPr/>
        <w:t>encuentran</w:t>
      </w:r>
      <w:r>
        <w:rPr>
          <w:spacing w:val="-8"/>
        </w:rPr>
        <w:t> </w:t>
      </w:r>
      <w:r>
        <w:rPr/>
        <w:t>los</w:t>
      </w:r>
      <w:r>
        <w:rPr>
          <w:spacing w:val="-9"/>
        </w:rPr>
        <w:t> </w:t>
      </w:r>
      <w:r>
        <w:rPr/>
        <w:t>que</w:t>
      </w:r>
      <w:r>
        <w:rPr>
          <w:spacing w:val="-8"/>
        </w:rPr>
        <w:t> </w:t>
      </w:r>
      <w:r>
        <w:rPr/>
        <w:t>no</w:t>
      </w:r>
      <w:r>
        <w:rPr>
          <w:spacing w:val="-8"/>
        </w:rPr>
        <w:t> </w:t>
      </w:r>
      <w:r>
        <w:rPr/>
        <w:t>conocen</w:t>
      </w:r>
      <w:r>
        <w:rPr>
          <w:spacing w:val="-8"/>
        </w:rPr>
        <w:t> </w:t>
      </w:r>
      <w:r>
        <w:rPr/>
        <w:t>nada</w:t>
      </w:r>
      <w:r>
        <w:rPr>
          <w:spacing w:val="-8"/>
        </w:rPr>
        <w:t> </w:t>
      </w:r>
      <w:r>
        <w:rPr/>
        <w:t>esta</w:t>
      </w:r>
      <w:r>
        <w:rPr>
          <w:spacing w:val="-8"/>
        </w:rPr>
        <w:t> </w:t>
      </w:r>
      <w:r>
        <w:rPr/>
        <w:t>Ley</w:t>
      </w:r>
      <w:r>
        <w:rPr>
          <w:spacing w:val="-9"/>
        </w:rPr>
        <w:t> </w:t>
      </w:r>
      <w:r>
        <w:rPr/>
        <w:t>al</w:t>
      </w:r>
      <w:r>
        <w:rPr>
          <w:spacing w:val="-10"/>
        </w:rPr>
        <w:t> </w:t>
      </w:r>
      <w:r>
        <w:rPr/>
        <w:t>obtener</w:t>
      </w:r>
      <w:r>
        <w:rPr>
          <w:spacing w:val="-10"/>
        </w:rPr>
        <w:t> </w:t>
      </w:r>
      <w:r>
        <w:rPr/>
        <w:t>un</w:t>
      </w:r>
      <w:r>
        <w:rPr>
          <w:spacing w:val="-11"/>
        </w:rPr>
        <w:t> </w:t>
      </w:r>
      <w:r>
        <w:rPr/>
        <w:t>3.00%.</w:t>
      </w:r>
    </w:p>
    <w:p>
      <w:pPr>
        <w:pStyle w:val="BodyText"/>
      </w:pPr>
    </w:p>
    <w:p>
      <w:pPr>
        <w:pStyle w:val="BodyText"/>
      </w:pPr>
    </w:p>
    <w:p>
      <w:pPr>
        <w:pStyle w:val="BodyText"/>
        <w:spacing w:line="360" w:lineRule="auto" w:before="188"/>
        <w:ind w:left="108" w:right="118"/>
        <w:jc w:val="both"/>
      </w:pPr>
      <w:r>
        <w:rPr/>
        <w:t>En</w:t>
      </w:r>
      <w:r>
        <w:rPr>
          <w:spacing w:val="-9"/>
        </w:rPr>
        <w:t> </w:t>
      </w:r>
      <w:r>
        <w:rPr/>
        <w:t>un</w:t>
      </w:r>
      <w:r>
        <w:rPr>
          <w:spacing w:val="-9"/>
        </w:rPr>
        <w:t> </w:t>
      </w:r>
      <w:r>
        <w:rPr/>
        <w:t>sentido</w:t>
      </w:r>
      <w:r>
        <w:rPr>
          <w:spacing w:val="-9"/>
        </w:rPr>
        <w:t> </w:t>
      </w:r>
      <w:r>
        <w:rPr/>
        <w:t>retroactivo</w:t>
      </w:r>
      <w:r>
        <w:rPr>
          <w:spacing w:val="-9"/>
        </w:rPr>
        <w:t> </w:t>
      </w:r>
      <w:r>
        <w:rPr/>
        <w:t>del</w:t>
      </w:r>
      <w:r>
        <w:rPr>
          <w:spacing w:val="-11"/>
        </w:rPr>
        <w:t> </w:t>
      </w:r>
      <w:r>
        <w:rPr/>
        <w:t>periodo</w:t>
      </w:r>
      <w:r>
        <w:rPr>
          <w:spacing w:val="-9"/>
        </w:rPr>
        <w:t> </w:t>
      </w:r>
      <w:r>
        <w:rPr/>
        <w:t>de</w:t>
      </w:r>
      <w:r>
        <w:rPr>
          <w:spacing w:val="-9"/>
        </w:rPr>
        <w:t> </w:t>
      </w:r>
      <w:r>
        <w:rPr/>
        <w:t>administración</w:t>
      </w:r>
      <w:r>
        <w:rPr>
          <w:spacing w:val="-9"/>
        </w:rPr>
        <w:t> </w:t>
      </w:r>
      <w:r>
        <w:rPr/>
        <w:t>2013</w:t>
      </w:r>
      <w:r>
        <w:rPr>
          <w:spacing w:val="-4"/>
        </w:rPr>
        <w:t> </w:t>
      </w:r>
      <w:r>
        <w:rPr/>
        <w:t>-2015</w:t>
      </w:r>
      <w:r>
        <w:rPr>
          <w:spacing w:val="-9"/>
        </w:rPr>
        <w:t> </w:t>
      </w:r>
      <w:r>
        <w:rPr/>
        <w:t>la</w:t>
      </w:r>
      <w:r>
        <w:rPr>
          <w:spacing w:val="-9"/>
        </w:rPr>
        <w:t> </w:t>
      </w:r>
      <w:r>
        <w:rPr/>
        <w:t>siguiente</w:t>
      </w:r>
      <w:r>
        <w:rPr>
          <w:spacing w:val="-9"/>
        </w:rPr>
        <w:t> </w:t>
      </w:r>
      <w:r>
        <w:rPr/>
        <w:t>tabla muestra el promedio de cumplimiento de la ley de</w:t>
      </w:r>
      <w:r>
        <w:rPr>
          <w:spacing w:val="-15"/>
        </w:rPr>
        <w:t> </w:t>
      </w:r>
      <w:r>
        <w:rPr/>
        <w:t>transparencia:</w:t>
      </w:r>
    </w:p>
    <w:p>
      <w:pPr>
        <w:pStyle w:val="BodyText"/>
        <w:rPr>
          <w:sz w:val="20"/>
        </w:rPr>
      </w:pPr>
    </w:p>
    <w:p>
      <w:pPr>
        <w:pStyle w:val="BodyText"/>
        <w:rPr>
          <w:sz w:val="20"/>
        </w:rPr>
      </w:pPr>
    </w:p>
    <w:p>
      <w:pPr>
        <w:pStyle w:val="BodyText"/>
        <w:spacing w:before="2" w:after="1"/>
        <w:rPr>
          <w:sz w:val="14"/>
        </w:rPr>
      </w:pPr>
    </w:p>
    <w:tbl>
      <w:tblPr>
        <w:tblW w:w="0" w:type="auto"/>
        <w:jc w:val="left"/>
        <w:tblInd w:w="15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43"/>
        <w:gridCol w:w="1130"/>
        <w:gridCol w:w="1133"/>
        <w:gridCol w:w="1130"/>
        <w:gridCol w:w="1164"/>
      </w:tblGrid>
      <w:tr>
        <w:trPr>
          <w:trHeight w:val="434" w:hRule="exact"/>
        </w:trPr>
        <w:tc>
          <w:tcPr>
            <w:tcW w:w="6001" w:type="dxa"/>
            <w:gridSpan w:val="5"/>
            <w:shd w:val="clear" w:color="auto" w:fill="92D050"/>
          </w:tcPr>
          <w:p>
            <w:pPr>
              <w:pStyle w:val="TableParagraph"/>
              <w:spacing w:line="242" w:lineRule="auto"/>
              <w:ind w:left="2117" w:right="230" w:hanging="1868"/>
              <w:jc w:val="left"/>
              <w:rPr>
                <w:b/>
                <w:sz w:val="18"/>
              </w:rPr>
            </w:pPr>
            <w:r>
              <w:rPr>
                <w:b/>
                <w:sz w:val="18"/>
              </w:rPr>
              <w:t>Tabla 3.55: Usted conoce la Ley de Transparencia del Estado de México y Municipios</w:t>
            </w:r>
          </w:p>
        </w:tc>
      </w:tr>
      <w:tr>
        <w:trPr>
          <w:trHeight w:val="545" w:hRule="exact"/>
        </w:trPr>
        <w:tc>
          <w:tcPr>
            <w:tcW w:w="1443" w:type="dxa"/>
            <w:shd w:val="clear" w:color="auto" w:fill="92D050"/>
          </w:tcPr>
          <w:p>
            <w:pPr>
              <w:pStyle w:val="TableParagraph"/>
              <w:spacing w:before="152"/>
              <w:ind w:left="472"/>
              <w:jc w:val="left"/>
              <w:rPr>
                <w:b/>
                <w:sz w:val="18"/>
              </w:rPr>
            </w:pPr>
            <w:r>
              <w:rPr>
                <w:b/>
                <w:sz w:val="18"/>
              </w:rPr>
              <w:t>Clase</w:t>
            </w:r>
          </w:p>
        </w:tc>
        <w:tc>
          <w:tcPr>
            <w:tcW w:w="1130" w:type="dxa"/>
            <w:shd w:val="clear" w:color="auto" w:fill="92D050"/>
          </w:tcPr>
          <w:p>
            <w:pPr>
              <w:pStyle w:val="TableParagraph"/>
              <w:spacing w:before="152"/>
              <w:ind w:left="357"/>
              <w:jc w:val="left"/>
              <w:rPr>
                <w:b/>
                <w:sz w:val="18"/>
              </w:rPr>
            </w:pPr>
            <w:r>
              <w:rPr>
                <w:b/>
                <w:sz w:val="18"/>
              </w:rPr>
              <w:t>2013</w:t>
            </w:r>
          </w:p>
        </w:tc>
        <w:tc>
          <w:tcPr>
            <w:tcW w:w="1133" w:type="dxa"/>
            <w:shd w:val="clear" w:color="auto" w:fill="92D050"/>
          </w:tcPr>
          <w:p>
            <w:pPr>
              <w:pStyle w:val="TableParagraph"/>
              <w:spacing w:before="152"/>
              <w:ind w:left="357"/>
              <w:jc w:val="left"/>
              <w:rPr>
                <w:b/>
                <w:sz w:val="18"/>
              </w:rPr>
            </w:pPr>
            <w:r>
              <w:rPr>
                <w:b/>
                <w:sz w:val="18"/>
              </w:rPr>
              <w:t>2014</w:t>
            </w:r>
          </w:p>
        </w:tc>
        <w:tc>
          <w:tcPr>
            <w:tcW w:w="1130" w:type="dxa"/>
            <w:shd w:val="clear" w:color="auto" w:fill="92D050"/>
          </w:tcPr>
          <w:p>
            <w:pPr>
              <w:pStyle w:val="TableParagraph"/>
              <w:spacing w:before="152"/>
              <w:ind w:left="355"/>
              <w:jc w:val="left"/>
              <w:rPr>
                <w:b/>
                <w:sz w:val="18"/>
              </w:rPr>
            </w:pPr>
            <w:r>
              <w:rPr>
                <w:b/>
                <w:sz w:val="18"/>
              </w:rPr>
              <w:t>2015</w:t>
            </w:r>
          </w:p>
        </w:tc>
        <w:tc>
          <w:tcPr>
            <w:tcW w:w="1164" w:type="dxa"/>
            <w:shd w:val="clear" w:color="auto" w:fill="92D050"/>
          </w:tcPr>
          <w:p>
            <w:pPr>
              <w:pStyle w:val="TableParagraph"/>
              <w:spacing w:before="49"/>
              <w:ind w:left="251" w:right="139" w:hanging="96"/>
              <w:jc w:val="left"/>
              <w:rPr>
                <w:b/>
                <w:sz w:val="18"/>
              </w:rPr>
            </w:pPr>
            <w:r>
              <w:rPr>
                <w:b/>
                <w:sz w:val="18"/>
              </w:rPr>
              <w:t>Promedio general</w:t>
            </w:r>
          </w:p>
        </w:tc>
      </w:tr>
      <w:tr>
        <w:trPr>
          <w:trHeight w:val="269" w:hRule="exact"/>
        </w:trPr>
        <w:tc>
          <w:tcPr>
            <w:tcW w:w="1443" w:type="dxa"/>
            <w:tcBorders>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Nada</w:t>
            </w:r>
          </w:p>
        </w:tc>
        <w:tc>
          <w:tcPr>
            <w:tcW w:w="1130" w:type="dxa"/>
            <w:tcBorders>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S/I</w:t>
            </w:r>
          </w:p>
        </w:tc>
        <w:tc>
          <w:tcPr>
            <w:tcW w:w="1133" w:type="dxa"/>
            <w:tcBorders>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S/I</w:t>
            </w:r>
          </w:p>
        </w:tc>
        <w:tc>
          <w:tcPr>
            <w:tcW w:w="1130" w:type="dxa"/>
            <w:tcBorders>
              <w:left w:val="single" w:sz="4" w:space="0" w:color="000000"/>
              <w:bottom w:val="single" w:sz="4" w:space="0" w:color="000000"/>
              <w:right w:val="single" w:sz="4" w:space="0" w:color="000000"/>
            </w:tcBorders>
          </w:tcPr>
          <w:p>
            <w:pPr>
              <w:pStyle w:val="TableParagraph"/>
              <w:spacing w:before="47"/>
              <w:ind w:right="61"/>
              <w:jc w:val="right"/>
              <w:rPr>
                <w:sz w:val="18"/>
              </w:rPr>
            </w:pPr>
            <w:r>
              <w:rPr>
                <w:w w:val="95"/>
                <w:sz w:val="18"/>
              </w:rPr>
              <w:t>3.00%</w:t>
            </w:r>
          </w:p>
        </w:tc>
        <w:tc>
          <w:tcPr>
            <w:tcW w:w="1164" w:type="dxa"/>
            <w:tcBorders>
              <w:left w:val="single" w:sz="4" w:space="0" w:color="000000"/>
              <w:bottom w:val="single" w:sz="4" w:space="0" w:color="000000"/>
              <w:right w:val="single" w:sz="4" w:space="0" w:color="000000"/>
            </w:tcBorders>
          </w:tcPr>
          <w:p>
            <w:pPr>
              <w:pStyle w:val="TableParagraph"/>
              <w:spacing w:before="47"/>
              <w:ind w:right="61"/>
              <w:jc w:val="right"/>
              <w:rPr>
                <w:sz w:val="18"/>
              </w:rPr>
            </w:pPr>
            <w:r>
              <w:rPr>
                <w:w w:val="95"/>
                <w:sz w:val="18"/>
              </w:rPr>
              <w:t>3.00%</w:t>
            </w:r>
          </w:p>
        </w:tc>
      </w:tr>
      <w:tr>
        <w:trPr>
          <w:trHeight w:val="267" w:hRule="exact"/>
        </w:trPr>
        <w:tc>
          <w:tcPr>
            <w:tcW w:w="1443" w:type="dxa"/>
            <w:tcBorders>
              <w:top w:val="single" w:sz="4" w:space="0" w:color="000000"/>
              <w:left w:val="single" w:sz="4" w:space="0" w:color="000000"/>
              <w:bottom w:val="single" w:sz="4" w:space="0" w:color="000000"/>
              <w:right w:val="single" w:sz="4" w:space="0" w:color="000000"/>
            </w:tcBorders>
          </w:tcPr>
          <w:p>
            <w:pPr>
              <w:pStyle w:val="TableParagraph"/>
              <w:spacing w:before="50"/>
              <w:ind w:left="67"/>
              <w:jc w:val="left"/>
              <w:rPr>
                <w:sz w:val="18"/>
              </w:rPr>
            </w:pPr>
            <w:r>
              <w:rPr>
                <w:sz w:val="18"/>
              </w:rPr>
              <w:t>Lo necesario</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50"/>
              <w:ind w:left="67"/>
              <w:jc w:val="left"/>
              <w:rPr>
                <w:sz w:val="18"/>
              </w:rPr>
            </w:pPr>
            <w:r>
              <w:rPr>
                <w:sz w:val="18"/>
              </w:rPr>
              <w:t>S/I</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50"/>
              <w:ind w:right="62"/>
              <w:jc w:val="right"/>
              <w:rPr>
                <w:sz w:val="18"/>
              </w:rPr>
            </w:pPr>
            <w:r>
              <w:rPr>
                <w:sz w:val="18"/>
              </w:rPr>
              <w:t>77.80%</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50"/>
              <w:ind w:right="61"/>
              <w:jc w:val="right"/>
              <w:rPr>
                <w:sz w:val="18"/>
              </w:rPr>
            </w:pPr>
            <w:r>
              <w:rPr>
                <w:sz w:val="18"/>
              </w:rPr>
              <w:t>43.75%</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50"/>
              <w:ind w:right="61"/>
              <w:jc w:val="right"/>
              <w:rPr>
                <w:sz w:val="18"/>
              </w:rPr>
            </w:pPr>
            <w:r>
              <w:rPr>
                <w:sz w:val="18"/>
              </w:rPr>
              <w:t>60.78%</w:t>
            </w:r>
          </w:p>
        </w:tc>
      </w:tr>
      <w:tr>
        <w:trPr>
          <w:trHeight w:val="264" w:hRule="exact"/>
        </w:trPr>
        <w:tc>
          <w:tcPr>
            <w:tcW w:w="1443"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Lo suficiente</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93.20%</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47"/>
              <w:ind w:right="62"/>
              <w:jc w:val="right"/>
              <w:rPr>
                <w:sz w:val="18"/>
              </w:rPr>
            </w:pPr>
            <w:r>
              <w:rPr>
                <w:sz w:val="18"/>
              </w:rPr>
              <w:t>78.97%</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21.82%</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64.66%</w:t>
            </w:r>
          </w:p>
        </w:tc>
      </w:tr>
      <w:tr>
        <w:trPr>
          <w:trHeight w:val="266" w:hRule="exact"/>
        </w:trPr>
        <w:tc>
          <w:tcPr>
            <w:tcW w:w="1443"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Completamente</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89.21%</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47"/>
              <w:ind w:right="62"/>
              <w:jc w:val="right"/>
              <w:rPr>
                <w:sz w:val="18"/>
              </w:rPr>
            </w:pPr>
            <w:r>
              <w:rPr>
                <w:sz w:val="18"/>
              </w:rPr>
              <w:t>59.86%</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41.01%</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63.36%</w:t>
            </w:r>
          </w:p>
        </w:tc>
      </w:tr>
    </w:tbl>
    <w:p>
      <w:pPr>
        <w:spacing w:before="66"/>
        <w:ind w:left="1644" w:right="6" w:firstLine="0"/>
        <w:jc w:val="left"/>
        <w:rPr>
          <w:sz w:val="16"/>
        </w:rPr>
      </w:pPr>
      <w:r>
        <w:rPr>
          <w:sz w:val="16"/>
        </w:rPr>
        <w:t>Fuente: Elaboración propia</w:t>
      </w:r>
    </w:p>
    <w:p>
      <w:pPr>
        <w:pStyle w:val="BodyText"/>
        <w:rPr>
          <w:sz w:val="20"/>
        </w:rPr>
      </w:pPr>
    </w:p>
    <w:p>
      <w:pPr>
        <w:pStyle w:val="BodyText"/>
        <w:spacing w:before="1"/>
        <w:rPr>
          <w:sz w:val="20"/>
        </w:rPr>
      </w:pPr>
    </w:p>
    <w:p>
      <w:pPr>
        <w:pStyle w:val="BodyText"/>
        <w:spacing w:line="360" w:lineRule="auto"/>
        <w:ind w:left="108" w:right="116"/>
        <w:jc w:val="both"/>
      </w:pPr>
      <w:r>
        <w:rPr/>
        <w:t>Durante el periodo que comprende el 2013-2015 se tuvo un promedio de cumplimiento de la ley tal como se describe a continuación: en primer lugar, se encuentran los representantes que conocen lo suficiente la Ley de Transparencia con un 64.66%, en segundo lugar aparecen los que conocen completamente esta Ley al obtener un 63.36%, en tercer lugar se encuentran los que conocen lo necesario esta Ley con un 60.78% y en cuarto lugar están los que no conocen</w:t>
      </w:r>
      <w:r>
        <w:rPr>
          <w:spacing w:val="-42"/>
        </w:rPr>
        <w:t> </w:t>
      </w:r>
      <w:r>
        <w:rPr/>
        <w:t>nada esta Ley con un</w:t>
      </w:r>
      <w:r>
        <w:rPr>
          <w:spacing w:val="-11"/>
        </w:rPr>
        <w:t> </w:t>
      </w:r>
      <w:r>
        <w:rPr/>
        <w:t>3.00%.</w:t>
      </w:r>
    </w:p>
    <w:p>
      <w:pPr>
        <w:spacing w:after="0" w:line="360" w:lineRule="auto"/>
        <w:jc w:val="both"/>
        <w:sectPr>
          <w:pgSz w:w="12240" w:h="15840"/>
          <w:pgMar w:header="0" w:footer="1035" w:top="1360" w:bottom="1220" w:left="1500" w:right="1580"/>
        </w:sectPr>
      </w:pPr>
    </w:p>
    <w:p>
      <w:pPr>
        <w:pStyle w:val="Heading1"/>
        <w:numPr>
          <w:ilvl w:val="2"/>
          <w:numId w:val="53"/>
        </w:numPr>
        <w:tabs>
          <w:tab w:pos="837" w:val="left" w:leader="none"/>
        </w:tabs>
        <w:spacing w:line="362" w:lineRule="auto" w:before="54" w:after="0"/>
        <w:ind w:left="836" w:right="126" w:hanging="720"/>
        <w:jc w:val="left"/>
      </w:pPr>
      <w:r>
        <w:rPr/>
        <w:t>Conoce la Ley de responsabilidades de los Servicios Públicos vs porcentaje de transparencia</w:t>
      </w:r>
      <w:r>
        <w:rPr>
          <w:spacing w:val="-9"/>
        </w:rPr>
        <w:t> </w:t>
      </w:r>
      <w:r>
        <w:rPr/>
        <w:t>2015</w:t>
      </w:r>
    </w:p>
    <w:p>
      <w:pPr>
        <w:pStyle w:val="BodyText"/>
        <w:spacing w:before="3"/>
        <w:rPr>
          <w:b/>
        </w:rPr>
      </w:pPr>
    </w:p>
    <w:tbl>
      <w:tblPr>
        <w:tblW w:w="0" w:type="auto"/>
        <w:jc w:val="left"/>
        <w:tblInd w:w="26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42"/>
        <w:gridCol w:w="1169"/>
        <w:gridCol w:w="1270"/>
      </w:tblGrid>
      <w:tr>
        <w:trPr>
          <w:trHeight w:val="641" w:hRule="exact"/>
        </w:trPr>
        <w:tc>
          <w:tcPr>
            <w:tcW w:w="3881" w:type="dxa"/>
            <w:gridSpan w:val="3"/>
            <w:shd w:val="clear" w:color="auto" w:fill="92D050"/>
          </w:tcPr>
          <w:p>
            <w:pPr>
              <w:pStyle w:val="TableParagraph"/>
              <w:ind w:left="427" w:right="433" w:firstLine="3"/>
              <w:rPr>
                <w:b/>
                <w:sz w:val="18"/>
              </w:rPr>
            </w:pPr>
            <w:r>
              <w:rPr>
                <w:b/>
                <w:sz w:val="18"/>
              </w:rPr>
              <w:t>Tabla 3.56: Conoce la Ley de responsabilidades de los Servicios Públicos</w:t>
            </w:r>
          </w:p>
        </w:tc>
      </w:tr>
      <w:tr>
        <w:trPr>
          <w:trHeight w:val="290" w:hRule="exact"/>
        </w:trPr>
        <w:tc>
          <w:tcPr>
            <w:tcW w:w="1442" w:type="dxa"/>
            <w:vMerge w:val="restart"/>
            <w:shd w:val="clear" w:color="auto" w:fill="92D050"/>
          </w:tcPr>
          <w:p>
            <w:pPr>
              <w:pStyle w:val="TableParagraph"/>
              <w:spacing w:before="10"/>
              <w:jc w:val="left"/>
              <w:rPr>
                <w:b/>
                <w:sz w:val="25"/>
              </w:rPr>
            </w:pPr>
          </w:p>
          <w:p>
            <w:pPr>
              <w:pStyle w:val="TableParagraph"/>
              <w:ind w:left="470"/>
              <w:jc w:val="left"/>
              <w:rPr>
                <w:b/>
                <w:sz w:val="18"/>
              </w:rPr>
            </w:pPr>
            <w:r>
              <w:rPr>
                <w:b/>
                <w:sz w:val="18"/>
              </w:rPr>
              <w:t>Clase</w:t>
            </w:r>
          </w:p>
        </w:tc>
        <w:tc>
          <w:tcPr>
            <w:tcW w:w="2439" w:type="dxa"/>
            <w:gridSpan w:val="2"/>
            <w:shd w:val="clear" w:color="auto" w:fill="92D050"/>
          </w:tcPr>
          <w:p>
            <w:pPr>
              <w:pStyle w:val="TableParagraph"/>
              <w:spacing w:before="26"/>
              <w:ind w:left="989" w:right="989"/>
              <w:rPr>
                <w:b/>
                <w:sz w:val="18"/>
              </w:rPr>
            </w:pPr>
            <w:r>
              <w:rPr>
                <w:b/>
                <w:sz w:val="18"/>
              </w:rPr>
              <w:t>2015</w:t>
            </w:r>
          </w:p>
        </w:tc>
      </w:tr>
      <w:tr>
        <w:trPr>
          <w:trHeight w:val="544" w:hRule="exact"/>
        </w:trPr>
        <w:tc>
          <w:tcPr>
            <w:tcW w:w="1442" w:type="dxa"/>
            <w:vMerge/>
            <w:shd w:val="clear" w:color="auto" w:fill="92D050"/>
          </w:tcPr>
          <w:p>
            <w:pPr/>
          </w:p>
        </w:tc>
        <w:tc>
          <w:tcPr>
            <w:tcW w:w="1169" w:type="dxa"/>
            <w:shd w:val="clear" w:color="auto" w:fill="92D050"/>
          </w:tcPr>
          <w:p>
            <w:pPr>
              <w:pStyle w:val="TableParagraph"/>
              <w:spacing w:before="154"/>
              <w:ind w:right="98"/>
              <w:jc w:val="right"/>
              <w:rPr>
                <w:b/>
                <w:sz w:val="18"/>
              </w:rPr>
            </w:pPr>
            <w:r>
              <w:rPr>
                <w:b/>
                <w:sz w:val="18"/>
              </w:rPr>
              <w:t>Frecuencia</w:t>
            </w:r>
          </w:p>
        </w:tc>
        <w:tc>
          <w:tcPr>
            <w:tcW w:w="1270" w:type="dxa"/>
            <w:shd w:val="clear" w:color="auto" w:fill="92D050"/>
          </w:tcPr>
          <w:p>
            <w:pPr>
              <w:pStyle w:val="TableParagraph"/>
              <w:spacing w:before="154"/>
              <w:ind w:right="3"/>
              <w:rPr>
                <w:b/>
                <w:sz w:val="18"/>
              </w:rPr>
            </w:pPr>
            <w:r>
              <w:rPr>
                <w:b/>
                <w:w w:val="99"/>
                <w:sz w:val="18"/>
              </w:rPr>
              <w:t>%</w:t>
            </w:r>
          </w:p>
        </w:tc>
      </w:tr>
      <w:tr>
        <w:trPr>
          <w:trHeight w:val="271" w:hRule="exact"/>
        </w:trPr>
        <w:tc>
          <w:tcPr>
            <w:tcW w:w="1442" w:type="dxa"/>
            <w:tcBorders>
              <w:left w:val="single" w:sz="4" w:space="0" w:color="000000"/>
              <w:bottom w:val="single" w:sz="4" w:space="0" w:color="000000"/>
              <w:right w:val="single" w:sz="4" w:space="0" w:color="000000"/>
            </w:tcBorders>
          </w:tcPr>
          <w:p>
            <w:pPr>
              <w:pStyle w:val="TableParagraph"/>
              <w:spacing w:before="49"/>
              <w:ind w:left="64"/>
              <w:jc w:val="left"/>
              <w:rPr>
                <w:sz w:val="18"/>
              </w:rPr>
            </w:pPr>
            <w:r>
              <w:rPr>
                <w:sz w:val="18"/>
              </w:rPr>
              <w:t>Nada</w:t>
            </w:r>
          </w:p>
        </w:tc>
        <w:tc>
          <w:tcPr>
            <w:tcW w:w="1169" w:type="dxa"/>
            <w:tcBorders>
              <w:left w:val="single" w:sz="4" w:space="0" w:color="000000"/>
              <w:bottom w:val="single" w:sz="4" w:space="0" w:color="000000"/>
              <w:right w:val="single" w:sz="4" w:space="0" w:color="000000"/>
            </w:tcBorders>
          </w:tcPr>
          <w:p>
            <w:pPr>
              <w:pStyle w:val="TableParagraph"/>
              <w:spacing w:before="49"/>
              <w:ind w:right="63"/>
              <w:jc w:val="right"/>
              <w:rPr>
                <w:sz w:val="18"/>
              </w:rPr>
            </w:pPr>
            <w:r>
              <w:rPr>
                <w:w w:val="99"/>
                <w:sz w:val="18"/>
              </w:rPr>
              <w:t>1</w:t>
            </w:r>
          </w:p>
        </w:tc>
        <w:tc>
          <w:tcPr>
            <w:tcW w:w="1270" w:type="dxa"/>
            <w:tcBorders>
              <w:left w:val="single" w:sz="4" w:space="0" w:color="000000"/>
              <w:bottom w:val="single" w:sz="4" w:space="0" w:color="000000"/>
              <w:right w:val="single" w:sz="4" w:space="0" w:color="000000"/>
            </w:tcBorders>
          </w:tcPr>
          <w:p>
            <w:pPr>
              <w:pStyle w:val="TableParagraph"/>
              <w:spacing w:before="49"/>
              <w:ind w:right="64"/>
              <w:jc w:val="right"/>
              <w:rPr>
                <w:sz w:val="18"/>
              </w:rPr>
            </w:pPr>
            <w:r>
              <w:rPr>
                <w:w w:val="95"/>
                <w:sz w:val="18"/>
              </w:rPr>
              <w:t>3.00%</w:t>
            </w:r>
          </w:p>
        </w:tc>
      </w:tr>
      <w:tr>
        <w:trPr>
          <w:trHeight w:val="264" w:hRule="exact"/>
        </w:trPr>
        <w:tc>
          <w:tcPr>
            <w:tcW w:w="1442"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Lo necesario</w:t>
            </w:r>
          </w:p>
        </w:tc>
        <w:tc>
          <w:tcPr>
            <w:tcW w:w="1169" w:type="dxa"/>
            <w:tcBorders>
              <w:top w:val="single" w:sz="4" w:space="0" w:color="000000"/>
              <w:left w:val="single" w:sz="4" w:space="0" w:color="000000"/>
              <w:bottom w:val="single" w:sz="4" w:space="0" w:color="000000"/>
              <w:right w:val="single" w:sz="4" w:space="0" w:color="000000"/>
            </w:tcBorders>
          </w:tcPr>
          <w:p>
            <w:pPr>
              <w:pStyle w:val="TableParagraph"/>
              <w:spacing w:before="47"/>
              <w:ind w:right="63"/>
              <w:jc w:val="right"/>
              <w:rPr>
                <w:sz w:val="18"/>
              </w:rPr>
            </w:pPr>
            <w:r>
              <w:rPr>
                <w:w w:val="99"/>
                <w:sz w:val="18"/>
              </w:rPr>
              <w:t>6</w:t>
            </w:r>
          </w:p>
        </w:tc>
        <w:tc>
          <w:tcPr>
            <w:tcW w:w="1270" w:type="dxa"/>
            <w:tcBorders>
              <w:top w:val="single" w:sz="4" w:space="0" w:color="000000"/>
              <w:left w:val="single" w:sz="4" w:space="0" w:color="000000"/>
              <w:bottom w:val="single" w:sz="4" w:space="0" w:color="000000"/>
              <w:right w:val="single" w:sz="4" w:space="0" w:color="000000"/>
            </w:tcBorders>
          </w:tcPr>
          <w:p>
            <w:pPr>
              <w:pStyle w:val="TableParagraph"/>
              <w:spacing w:before="47"/>
              <w:ind w:right="64"/>
              <w:jc w:val="right"/>
              <w:rPr>
                <w:sz w:val="18"/>
              </w:rPr>
            </w:pPr>
            <w:r>
              <w:rPr>
                <w:sz w:val="18"/>
              </w:rPr>
              <w:t>45.03%</w:t>
            </w:r>
          </w:p>
        </w:tc>
      </w:tr>
      <w:tr>
        <w:trPr>
          <w:trHeight w:val="266" w:hRule="exact"/>
        </w:trPr>
        <w:tc>
          <w:tcPr>
            <w:tcW w:w="1442" w:type="dxa"/>
            <w:tcBorders>
              <w:top w:val="single" w:sz="4" w:space="0" w:color="000000"/>
              <w:left w:val="single" w:sz="4" w:space="0" w:color="000000"/>
              <w:bottom w:val="single" w:sz="4" w:space="0" w:color="000000"/>
              <w:right w:val="single" w:sz="4" w:space="0" w:color="000000"/>
            </w:tcBorders>
          </w:tcPr>
          <w:p>
            <w:pPr>
              <w:pStyle w:val="TableParagraph"/>
              <w:spacing w:before="49"/>
              <w:ind w:left="64"/>
              <w:jc w:val="left"/>
              <w:rPr>
                <w:sz w:val="18"/>
              </w:rPr>
            </w:pPr>
            <w:r>
              <w:rPr>
                <w:sz w:val="18"/>
              </w:rPr>
              <w:t>Lo suficiente</w:t>
            </w:r>
          </w:p>
        </w:tc>
        <w:tc>
          <w:tcPr>
            <w:tcW w:w="1169" w:type="dxa"/>
            <w:tcBorders>
              <w:top w:val="single" w:sz="4" w:space="0" w:color="000000"/>
              <w:left w:val="single" w:sz="4" w:space="0" w:color="000000"/>
              <w:bottom w:val="single" w:sz="4" w:space="0" w:color="000000"/>
              <w:right w:val="single" w:sz="4" w:space="0" w:color="000000"/>
            </w:tcBorders>
          </w:tcPr>
          <w:p>
            <w:pPr>
              <w:pStyle w:val="TableParagraph"/>
              <w:spacing w:before="49"/>
              <w:ind w:right="60"/>
              <w:jc w:val="right"/>
              <w:rPr>
                <w:sz w:val="18"/>
              </w:rPr>
            </w:pPr>
            <w:r>
              <w:rPr>
                <w:sz w:val="18"/>
              </w:rPr>
              <w:t>24</w:t>
            </w:r>
          </w:p>
        </w:tc>
        <w:tc>
          <w:tcPr>
            <w:tcW w:w="1270" w:type="dxa"/>
            <w:tcBorders>
              <w:top w:val="single" w:sz="4" w:space="0" w:color="000000"/>
              <w:left w:val="single" w:sz="4" w:space="0" w:color="000000"/>
              <w:bottom w:val="single" w:sz="4" w:space="0" w:color="000000"/>
              <w:right w:val="single" w:sz="4" w:space="0" w:color="000000"/>
            </w:tcBorders>
          </w:tcPr>
          <w:p>
            <w:pPr>
              <w:pStyle w:val="TableParagraph"/>
              <w:spacing w:before="49"/>
              <w:ind w:right="64"/>
              <w:jc w:val="right"/>
              <w:rPr>
                <w:sz w:val="18"/>
              </w:rPr>
            </w:pPr>
            <w:r>
              <w:rPr>
                <w:sz w:val="18"/>
              </w:rPr>
              <w:t>25.70%</w:t>
            </w:r>
          </w:p>
        </w:tc>
      </w:tr>
      <w:tr>
        <w:trPr>
          <w:trHeight w:val="264" w:hRule="exact"/>
        </w:trPr>
        <w:tc>
          <w:tcPr>
            <w:tcW w:w="1442"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Completamente</w:t>
            </w:r>
          </w:p>
        </w:tc>
        <w:tc>
          <w:tcPr>
            <w:tcW w:w="1169" w:type="dxa"/>
            <w:tcBorders>
              <w:top w:val="single" w:sz="4" w:space="0" w:color="000000"/>
              <w:left w:val="single" w:sz="4" w:space="0" w:color="000000"/>
              <w:bottom w:val="single" w:sz="4" w:space="0" w:color="000000"/>
              <w:right w:val="single" w:sz="4" w:space="0" w:color="000000"/>
            </w:tcBorders>
          </w:tcPr>
          <w:p>
            <w:pPr>
              <w:pStyle w:val="TableParagraph"/>
              <w:spacing w:before="47"/>
              <w:ind w:right="60"/>
              <w:jc w:val="right"/>
              <w:rPr>
                <w:sz w:val="18"/>
              </w:rPr>
            </w:pPr>
            <w:r>
              <w:rPr>
                <w:sz w:val="18"/>
              </w:rPr>
              <w:t>14</w:t>
            </w:r>
          </w:p>
        </w:tc>
        <w:tc>
          <w:tcPr>
            <w:tcW w:w="1270" w:type="dxa"/>
            <w:tcBorders>
              <w:top w:val="single" w:sz="4" w:space="0" w:color="000000"/>
              <w:left w:val="single" w:sz="4" w:space="0" w:color="000000"/>
              <w:bottom w:val="single" w:sz="4" w:space="0" w:color="000000"/>
              <w:right w:val="single" w:sz="4" w:space="0" w:color="000000"/>
            </w:tcBorders>
          </w:tcPr>
          <w:p>
            <w:pPr>
              <w:pStyle w:val="TableParagraph"/>
              <w:spacing w:before="47"/>
              <w:ind w:right="64"/>
              <w:jc w:val="right"/>
              <w:rPr>
                <w:sz w:val="18"/>
              </w:rPr>
            </w:pPr>
            <w:r>
              <w:rPr>
                <w:sz w:val="18"/>
              </w:rPr>
              <w:t>40.90%</w:t>
            </w:r>
          </w:p>
        </w:tc>
      </w:tr>
      <w:tr>
        <w:trPr>
          <w:trHeight w:val="267" w:hRule="exact"/>
        </w:trPr>
        <w:tc>
          <w:tcPr>
            <w:tcW w:w="1442"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No contestó</w:t>
            </w:r>
          </w:p>
        </w:tc>
        <w:tc>
          <w:tcPr>
            <w:tcW w:w="1169" w:type="dxa"/>
            <w:tcBorders>
              <w:top w:val="single" w:sz="4" w:space="0" w:color="000000"/>
              <w:left w:val="single" w:sz="4" w:space="0" w:color="000000"/>
              <w:bottom w:val="single" w:sz="4" w:space="0" w:color="000000"/>
              <w:right w:val="single" w:sz="4" w:space="0" w:color="000000"/>
            </w:tcBorders>
          </w:tcPr>
          <w:p>
            <w:pPr>
              <w:pStyle w:val="TableParagraph"/>
              <w:spacing w:before="47"/>
              <w:ind w:right="63"/>
              <w:jc w:val="right"/>
              <w:rPr>
                <w:sz w:val="18"/>
              </w:rPr>
            </w:pPr>
            <w:r>
              <w:rPr>
                <w:w w:val="99"/>
                <w:sz w:val="18"/>
              </w:rPr>
              <w:t>1</w:t>
            </w:r>
          </w:p>
        </w:tc>
        <w:tc>
          <w:tcPr>
            <w:tcW w:w="1270" w:type="dxa"/>
            <w:tcBorders>
              <w:top w:val="single" w:sz="4" w:space="0" w:color="000000"/>
              <w:left w:val="single" w:sz="4" w:space="0" w:color="000000"/>
              <w:bottom w:val="single" w:sz="4" w:space="0" w:color="000000"/>
              <w:right w:val="single" w:sz="4" w:space="0" w:color="000000"/>
            </w:tcBorders>
          </w:tcPr>
          <w:p>
            <w:pPr>
              <w:pStyle w:val="TableParagraph"/>
              <w:spacing w:before="47"/>
              <w:ind w:right="64"/>
              <w:jc w:val="right"/>
              <w:rPr>
                <w:sz w:val="18"/>
              </w:rPr>
            </w:pPr>
            <w:r>
              <w:rPr>
                <w:sz w:val="18"/>
              </w:rPr>
              <w:t>40.52%</w:t>
            </w:r>
          </w:p>
        </w:tc>
      </w:tr>
    </w:tbl>
    <w:p>
      <w:pPr>
        <w:spacing w:before="66"/>
        <w:ind w:left="2723" w:right="26" w:firstLine="0"/>
        <w:jc w:val="left"/>
        <w:rPr>
          <w:sz w:val="16"/>
        </w:rPr>
      </w:pPr>
      <w:r>
        <w:rPr>
          <w:sz w:val="16"/>
        </w:rPr>
        <w:t>Fuente: Elaboración propia</w:t>
      </w:r>
    </w:p>
    <w:p>
      <w:pPr>
        <w:pStyle w:val="BodyText"/>
        <w:spacing w:before="2"/>
        <w:rPr>
          <w:sz w:val="18"/>
        </w:rPr>
      </w:pPr>
    </w:p>
    <w:p>
      <w:pPr>
        <w:pStyle w:val="BodyText"/>
        <w:spacing w:line="360" w:lineRule="auto" w:before="69"/>
        <w:ind w:left="128" w:right="116"/>
        <w:jc w:val="both"/>
      </w:pPr>
      <w:r>
        <w:rPr/>
        <w:t>En la tabla anterior se muestran los resultados obtenidos de hacer el cruce de las variables</w:t>
      </w:r>
      <w:r>
        <w:rPr>
          <w:spacing w:val="-6"/>
        </w:rPr>
        <w:t> </w:t>
      </w:r>
      <w:r>
        <w:rPr/>
        <w:t>del</w:t>
      </w:r>
      <w:r>
        <w:rPr>
          <w:spacing w:val="-7"/>
        </w:rPr>
        <w:t> </w:t>
      </w:r>
      <w:r>
        <w:rPr/>
        <w:t>cumplimiento</w:t>
      </w:r>
      <w:r>
        <w:rPr>
          <w:spacing w:val="-8"/>
        </w:rPr>
        <w:t> </w:t>
      </w:r>
      <w:r>
        <w:rPr/>
        <w:t>de</w:t>
      </w:r>
      <w:r>
        <w:rPr>
          <w:spacing w:val="-6"/>
        </w:rPr>
        <w:t> </w:t>
      </w:r>
      <w:r>
        <w:rPr/>
        <w:t>la</w:t>
      </w:r>
      <w:r>
        <w:rPr>
          <w:spacing w:val="-9"/>
        </w:rPr>
        <w:t> </w:t>
      </w:r>
      <w:r>
        <w:rPr/>
        <w:t>ley</w:t>
      </w:r>
      <w:r>
        <w:rPr>
          <w:spacing w:val="-9"/>
        </w:rPr>
        <w:t> </w:t>
      </w:r>
      <w:r>
        <w:rPr/>
        <w:t>de</w:t>
      </w:r>
      <w:r>
        <w:rPr>
          <w:spacing w:val="-8"/>
        </w:rPr>
        <w:t> </w:t>
      </w:r>
      <w:r>
        <w:rPr/>
        <w:t>transparencia</w:t>
      </w:r>
      <w:r>
        <w:rPr>
          <w:spacing w:val="-9"/>
        </w:rPr>
        <w:t> </w:t>
      </w:r>
      <w:r>
        <w:rPr/>
        <w:t>en</w:t>
      </w:r>
      <w:r>
        <w:rPr>
          <w:spacing w:val="-6"/>
        </w:rPr>
        <w:t> </w:t>
      </w:r>
      <w:r>
        <w:rPr/>
        <w:t>relación</w:t>
      </w:r>
      <w:r>
        <w:rPr>
          <w:spacing w:val="-8"/>
        </w:rPr>
        <w:t> </w:t>
      </w:r>
      <w:r>
        <w:rPr/>
        <w:t>a</w:t>
      </w:r>
      <w:r>
        <w:rPr>
          <w:spacing w:val="-8"/>
        </w:rPr>
        <w:t> </w:t>
      </w:r>
      <w:r>
        <w:rPr/>
        <w:t>si</w:t>
      </w:r>
      <w:r>
        <w:rPr>
          <w:spacing w:val="-7"/>
        </w:rPr>
        <w:t> </w:t>
      </w:r>
      <w:r>
        <w:rPr/>
        <w:t>conocen</w:t>
      </w:r>
      <w:r>
        <w:rPr>
          <w:spacing w:val="-8"/>
        </w:rPr>
        <w:t> </w:t>
      </w:r>
      <w:r>
        <w:rPr/>
        <w:t>la</w:t>
      </w:r>
      <w:r>
        <w:rPr>
          <w:spacing w:val="-6"/>
        </w:rPr>
        <w:t> </w:t>
      </w:r>
      <w:r>
        <w:rPr/>
        <w:t>Ley de responsabilidades de los servicios públicos de los responsables de la transparencia en los gobiernos municipales. Los resultados obtenidos muestran cómo los responsables de la transparencia que conocen solo lo necesario de la Ley de responsabilidades obtuvieron el primer lugar con un 45.03%, en segundo lugar tenemos a los que conocen completamente la Ley al obtener un 40.90%, en tercer lugar se encuentran los que no contestaron si conocen esta Ley con un 40.52%, en cuarto lugar aparecen los que conocen solo lo suficiente esta Ley con un 25.70% y en quinto y último lugar se encuentran los que no conocen nada esta Ley al obtener un 3.00%. En un sentido retroactivo del periodo de administración 2013 -2015 la siguiente tabla muestra el promedio de cumplimiento de la ley de</w:t>
      </w:r>
      <w:r>
        <w:rPr>
          <w:spacing w:val="-27"/>
        </w:rPr>
        <w:t> </w:t>
      </w:r>
      <w:r>
        <w:rPr/>
        <w:t>transparencia:</w:t>
      </w:r>
    </w:p>
    <w:p>
      <w:pPr>
        <w:pStyle w:val="BodyText"/>
        <w:rPr>
          <w:sz w:val="20"/>
        </w:rPr>
      </w:pPr>
    </w:p>
    <w:p>
      <w:pPr>
        <w:pStyle w:val="BodyText"/>
        <w:spacing w:before="5"/>
        <w:rPr>
          <w:sz w:val="18"/>
        </w:rPr>
      </w:pPr>
    </w:p>
    <w:tbl>
      <w:tblPr>
        <w:tblW w:w="0" w:type="auto"/>
        <w:jc w:val="left"/>
        <w:tblInd w:w="15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43"/>
        <w:gridCol w:w="1130"/>
        <w:gridCol w:w="1133"/>
        <w:gridCol w:w="1130"/>
        <w:gridCol w:w="1164"/>
      </w:tblGrid>
      <w:tr>
        <w:trPr>
          <w:trHeight w:val="434" w:hRule="exact"/>
        </w:trPr>
        <w:tc>
          <w:tcPr>
            <w:tcW w:w="6001" w:type="dxa"/>
            <w:gridSpan w:val="5"/>
            <w:shd w:val="clear" w:color="auto" w:fill="92D050"/>
          </w:tcPr>
          <w:p>
            <w:pPr>
              <w:pStyle w:val="TableParagraph"/>
              <w:ind w:left="2616" w:right="215" w:hanging="2382"/>
              <w:jc w:val="left"/>
              <w:rPr>
                <w:b/>
                <w:sz w:val="18"/>
              </w:rPr>
            </w:pPr>
            <w:r>
              <w:rPr>
                <w:b/>
                <w:sz w:val="18"/>
              </w:rPr>
              <w:t>Tabla 3.57: Conoce la Ley de responsabilidades de los Servicios Públicos</w:t>
            </w:r>
          </w:p>
        </w:tc>
      </w:tr>
      <w:tr>
        <w:trPr>
          <w:trHeight w:val="544" w:hRule="exact"/>
        </w:trPr>
        <w:tc>
          <w:tcPr>
            <w:tcW w:w="1443" w:type="dxa"/>
            <w:shd w:val="clear" w:color="auto" w:fill="92D050"/>
          </w:tcPr>
          <w:p>
            <w:pPr>
              <w:pStyle w:val="TableParagraph"/>
              <w:spacing w:before="154"/>
              <w:ind w:left="472"/>
              <w:jc w:val="left"/>
              <w:rPr>
                <w:b/>
                <w:sz w:val="18"/>
              </w:rPr>
            </w:pPr>
            <w:r>
              <w:rPr>
                <w:b/>
                <w:sz w:val="18"/>
              </w:rPr>
              <w:t>Clase</w:t>
            </w:r>
          </w:p>
        </w:tc>
        <w:tc>
          <w:tcPr>
            <w:tcW w:w="1130" w:type="dxa"/>
            <w:tcBorders>
              <w:bottom w:val="single" w:sz="4" w:space="0" w:color="000000"/>
            </w:tcBorders>
            <w:shd w:val="clear" w:color="auto" w:fill="92D050"/>
          </w:tcPr>
          <w:p>
            <w:pPr>
              <w:pStyle w:val="TableParagraph"/>
              <w:spacing w:before="154"/>
              <w:ind w:left="357"/>
              <w:jc w:val="left"/>
              <w:rPr>
                <w:b/>
                <w:sz w:val="18"/>
              </w:rPr>
            </w:pPr>
            <w:r>
              <w:rPr>
                <w:b/>
                <w:sz w:val="18"/>
              </w:rPr>
              <w:t>2013</w:t>
            </w:r>
          </w:p>
        </w:tc>
        <w:tc>
          <w:tcPr>
            <w:tcW w:w="1133" w:type="dxa"/>
            <w:tcBorders>
              <w:bottom w:val="single" w:sz="4" w:space="0" w:color="000000"/>
            </w:tcBorders>
            <w:shd w:val="clear" w:color="auto" w:fill="92D050"/>
          </w:tcPr>
          <w:p>
            <w:pPr>
              <w:pStyle w:val="TableParagraph"/>
              <w:spacing w:before="154"/>
              <w:ind w:left="357"/>
              <w:jc w:val="left"/>
              <w:rPr>
                <w:b/>
                <w:sz w:val="18"/>
              </w:rPr>
            </w:pPr>
            <w:r>
              <w:rPr>
                <w:b/>
                <w:sz w:val="18"/>
              </w:rPr>
              <w:t>2014</w:t>
            </w:r>
          </w:p>
        </w:tc>
        <w:tc>
          <w:tcPr>
            <w:tcW w:w="1130" w:type="dxa"/>
            <w:tcBorders>
              <w:bottom w:val="single" w:sz="4" w:space="0" w:color="000000"/>
            </w:tcBorders>
            <w:shd w:val="clear" w:color="auto" w:fill="92D050"/>
          </w:tcPr>
          <w:p>
            <w:pPr>
              <w:pStyle w:val="TableParagraph"/>
              <w:spacing w:before="154"/>
              <w:ind w:left="355"/>
              <w:jc w:val="left"/>
              <w:rPr>
                <w:b/>
                <w:sz w:val="18"/>
              </w:rPr>
            </w:pPr>
            <w:r>
              <w:rPr>
                <w:b/>
                <w:sz w:val="18"/>
              </w:rPr>
              <w:t>2015</w:t>
            </w:r>
          </w:p>
        </w:tc>
        <w:tc>
          <w:tcPr>
            <w:tcW w:w="1164" w:type="dxa"/>
            <w:tcBorders>
              <w:bottom w:val="single" w:sz="4" w:space="0" w:color="000000"/>
            </w:tcBorders>
            <w:shd w:val="clear" w:color="auto" w:fill="92D050"/>
          </w:tcPr>
          <w:p>
            <w:pPr>
              <w:pStyle w:val="TableParagraph"/>
              <w:spacing w:before="50"/>
              <w:ind w:left="251" w:right="139" w:hanging="96"/>
              <w:jc w:val="left"/>
              <w:rPr>
                <w:b/>
                <w:sz w:val="18"/>
              </w:rPr>
            </w:pPr>
            <w:r>
              <w:rPr>
                <w:b/>
                <w:sz w:val="18"/>
              </w:rPr>
              <w:t>Promedio general</w:t>
            </w:r>
          </w:p>
        </w:tc>
      </w:tr>
      <w:tr>
        <w:trPr>
          <w:trHeight w:val="271" w:hRule="exact"/>
        </w:trPr>
        <w:tc>
          <w:tcPr>
            <w:tcW w:w="1443" w:type="dxa"/>
            <w:tcBorders>
              <w:left w:val="single" w:sz="4" w:space="0" w:color="000000"/>
              <w:bottom w:val="single" w:sz="4" w:space="0" w:color="000000"/>
              <w:right w:val="single" w:sz="4" w:space="0" w:color="000000"/>
            </w:tcBorders>
          </w:tcPr>
          <w:p>
            <w:pPr>
              <w:pStyle w:val="TableParagraph"/>
              <w:spacing w:before="49"/>
              <w:ind w:left="67"/>
              <w:jc w:val="left"/>
              <w:rPr>
                <w:sz w:val="18"/>
              </w:rPr>
            </w:pPr>
            <w:r>
              <w:rPr>
                <w:sz w:val="18"/>
              </w:rPr>
              <w:t>Nada</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54"/>
              <w:ind w:left="67"/>
              <w:jc w:val="left"/>
              <w:rPr>
                <w:sz w:val="18"/>
              </w:rPr>
            </w:pPr>
            <w:r>
              <w:rPr>
                <w:sz w:val="18"/>
              </w:rPr>
              <w:t>S/I</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54"/>
              <w:ind w:left="67"/>
              <w:jc w:val="left"/>
              <w:rPr>
                <w:sz w:val="18"/>
              </w:rPr>
            </w:pPr>
            <w:r>
              <w:rPr>
                <w:sz w:val="18"/>
              </w:rPr>
              <w:t>S/I</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54"/>
              <w:ind w:right="61"/>
              <w:jc w:val="right"/>
              <w:rPr>
                <w:sz w:val="18"/>
              </w:rPr>
            </w:pPr>
            <w:r>
              <w:rPr>
                <w:w w:val="95"/>
                <w:sz w:val="18"/>
              </w:rPr>
              <w:t>3.00%</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54"/>
              <w:ind w:right="61"/>
              <w:jc w:val="right"/>
              <w:rPr>
                <w:sz w:val="18"/>
              </w:rPr>
            </w:pPr>
            <w:r>
              <w:rPr>
                <w:w w:val="95"/>
                <w:sz w:val="18"/>
              </w:rPr>
              <w:t>3.00%</w:t>
            </w:r>
          </w:p>
        </w:tc>
      </w:tr>
      <w:tr>
        <w:trPr>
          <w:trHeight w:val="264" w:hRule="exact"/>
        </w:trPr>
        <w:tc>
          <w:tcPr>
            <w:tcW w:w="1443"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Lo necesario</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S/I</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47"/>
              <w:ind w:right="62"/>
              <w:jc w:val="right"/>
              <w:rPr>
                <w:sz w:val="18"/>
              </w:rPr>
            </w:pPr>
            <w:r>
              <w:rPr>
                <w:sz w:val="18"/>
              </w:rPr>
              <w:t>77.80%</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45.03%</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61.42%</w:t>
            </w:r>
          </w:p>
        </w:tc>
      </w:tr>
      <w:tr>
        <w:trPr>
          <w:trHeight w:val="266" w:hRule="exact"/>
        </w:trPr>
        <w:tc>
          <w:tcPr>
            <w:tcW w:w="1443" w:type="dxa"/>
            <w:tcBorders>
              <w:top w:val="single" w:sz="4" w:space="0" w:color="000000"/>
              <w:left w:val="single" w:sz="4" w:space="0" w:color="000000"/>
              <w:bottom w:val="single" w:sz="4" w:space="0" w:color="000000"/>
              <w:right w:val="single" w:sz="4" w:space="0" w:color="000000"/>
            </w:tcBorders>
          </w:tcPr>
          <w:p>
            <w:pPr>
              <w:pStyle w:val="TableParagraph"/>
              <w:spacing w:before="49"/>
              <w:ind w:left="67"/>
              <w:jc w:val="left"/>
              <w:rPr>
                <w:sz w:val="18"/>
              </w:rPr>
            </w:pPr>
            <w:r>
              <w:rPr>
                <w:sz w:val="18"/>
              </w:rPr>
              <w:t>Lo suficiente</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9"/>
              <w:ind w:right="59"/>
              <w:jc w:val="right"/>
              <w:rPr>
                <w:sz w:val="18"/>
              </w:rPr>
            </w:pPr>
            <w:r>
              <w:rPr>
                <w:sz w:val="18"/>
              </w:rPr>
              <w:t>95.35%</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49"/>
              <w:ind w:right="62"/>
              <w:jc w:val="right"/>
              <w:rPr>
                <w:sz w:val="18"/>
              </w:rPr>
            </w:pPr>
            <w:r>
              <w:rPr>
                <w:sz w:val="18"/>
              </w:rPr>
              <w:t>70.29%</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9"/>
              <w:ind w:right="61"/>
              <w:jc w:val="right"/>
              <w:rPr>
                <w:sz w:val="18"/>
              </w:rPr>
            </w:pPr>
            <w:r>
              <w:rPr>
                <w:sz w:val="18"/>
              </w:rPr>
              <w:t>25.70%</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49"/>
              <w:ind w:right="61"/>
              <w:jc w:val="right"/>
              <w:rPr>
                <w:sz w:val="18"/>
              </w:rPr>
            </w:pPr>
            <w:r>
              <w:rPr>
                <w:sz w:val="18"/>
              </w:rPr>
              <w:t>63.78%</w:t>
            </w:r>
          </w:p>
        </w:tc>
      </w:tr>
      <w:tr>
        <w:trPr>
          <w:trHeight w:val="264" w:hRule="exact"/>
        </w:trPr>
        <w:tc>
          <w:tcPr>
            <w:tcW w:w="1443"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Completamente</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85.06%</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47"/>
              <w:ind w:right="62"/>
              <w:jc w:val="right"/>
              <w:rPr>
                <w:sz w:val="18"/>
              </w:rPr>
            </w:pPr>
            <w:r>
              <w:rPr>
                <w:sz w:val="18"/>
              </w:rPr>
              <w:t>68.04%</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40.90%</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64.67%</w:t>
            </w:r>
          </w:p>
        </w:tc>
      </w:tr>
      <w:tr>
        <w:trPr>
          <w:trHeight w:val="266" w:hRule="exact"/>
        </w:trPr>
        <w:tc>
          <w:tcPr>
            <w:tcW w:w="1443"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No contestó</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S/I</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S/I</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40.52%</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40.52%</w:t>
            </w:r>
          </w:p>
        </w:tc>
      </w:tr>
    </w:tbl>
    <w:p>
      <w:pPr>
        <w:spacing w:before="66"/>
        <w:ind w:left="1664" w:right="26" w:firstLine="0"/>
        <w:jc w:val="left"/>
        <w:rPr>
          <w:sz w:val="16"/>
        </w:rPr>
      </w:pPr>
      <w:r>
        <w:rPr>
          <w:sz w:val="16"/>
        </w:rPr>
        <w:t>Fuente: Elaboración propia</w:t>
      </w:r>
    </w:p>
    <w:p>
      <w:pPr>
        <w:spacing w:after="0"/>
        <w:jc w:val="left"/>
        <w:rPr>
          <w:sz w:val="16"/>
        </w:rPr>
        <w:sectPr>
          <w:pgSz w:w="12240" w:h="15840"/>
          <w:pgMar w:header="0" w:footer="1035" w:top="1360" w:bottom="1220" w:left="1480" w:right="1580"/>
        </w:sectPr>
      </w:pPr>
    </w:p>
    <w:p>
      <w:pPr>
        <w:pStyle w:val="BodyText"/>
        <w:spacing w:line="360" w:lineRule="auto" w:before="54"/>
        <w:ind w:left="128" w:right="117"/>
        <w:jc w:val="both"/>
      </w:pPr>
      <w:r>
        <w:rPr/>
        <w:t>Durante el periodo que comprende el 2013-2015 se tuvo un promedio de cumplimiento de la ley tal como se describe a continuación: en primer lugar se encuentran los representantes que conocen completamente la Ley de responsabilidades con un 64.67%, en segundo lugar aparecen los que conocen lo suficiente esta Ley al obtener un 63.78%, en tercer lugar se encuentran los </w:t>
      </w:r>
      <w:r>
        <w:rPr>
          <w:spacing w:val="-2"/>
        </w:rPr>
        <w:t>que </w:t>
      </w:r>
      <w:r>
        <w:rPr/>
        <w:t>conocen lo necesario esta Ley con un 61.42%, en cuarto lugar están los que no contestaron</w:t>
      </w:r>
      <w:r>
        <w:rPr>
          <w:spacing w:val="-2"/>
        </w:rPr>
        <w:t> </w:t>
      </w:r>
      <w:r>
        <w:rPr/>
        <w:t>si</w:t>
      </w:r>
      <w:r>
        <w:rPr>
          <w:spacing w:val="-4"/>
        </w:rPr>
        <w:t> </w:t>
      </w:r>
      <w:r>
        <w:rPr/>
        <w:t>conocen</w:t>
      </w:r>
      <w:r>
        <w:rPr>
          <w:spacing w:val="-3"/>
        </w:rPr>
        <w:t> </w:t>
      </w:r>
      <w:r>
        <w:rPr/>
        <w:t>o</w:t>
      </w:r>
      <w:r>
        <w:rPr>
          <w:spacing w:val="-3"/>
        </w:rPr>
        <w:t> </w:t>
      </w:r>
      <w:r>
        <w:rPr/>
        <w:t>no</w:t>
      </w:r>
      <w:r>
        <w:rPr>
          <w:spacing w:val="-3"/>
        </w:rPr>
        <w:t> </w:t>
      </w:r>
      <w:r>
        <w:rPr/>
        <w:t>la</w:t>
      </w:r>
      <w:r>
        <w:rPr>
          <w:spacing w:val="-5"/>
        </w:rPr>
        <w:t> </w:t>
      </w:r>
      <w:r>
        <w:rPr/>
        <w:t>Ley</w:t>
      </w:r>
      <w:r>
        <w:rPr>
          <w:spacing w:val="-6"/>
        </w:rPr>
        <w:t> </w:t>
      </w:r>
      <w:r>
        <w:rPr/>
        <w:t>de</w:t>
      </w:r>
      <w:r>
        <w:rPr>
          <w:spacing w:val="-3"/>
        </w:rPr>
        <w:t> </w:t>
      </w:r>
      <w:r>
        <w:rPr/>
        <w:t>responsabilidades</w:t>
      </w:r>
      <w:r>
        <w:rPr>
          <w:spacing w:val="-3"/>
        </w:rPr>
        <w:t> </w:t>
      </w:r>
      <w:r>
        <w:rPr/>
        <w:t>con</w:t>
      </w:r>
      <w:r>
        <w:rPr>
          <w:spacing w:val="-3"/>
        </w:rPr>
        <w:t> </w:t>
      </w:r>
      <w:r>
        <w:rPr/>
        <w:t>un</w:t>
      </w:r>
      <w:r>
        <w:rPr>
          <w:spacing w:val="-3"/>
        </w:rPr>
        <w:t> </w:t>
      </w:r>
      <w:r>
        <w:rPr/>
        <w:t>40.52%</w:t>
      </w:r>
      <w:r>
        <w:rPr>
          <w:spacing w:val="-3"/>
        </w:rPr>
        <w:t> </w:t>
      </w:r>
      <w:r>
        <w:rPr/>
        <w:t>y</w:t>
      </w:r>
      <w:r>
        <w:rPr>
          <w:spacing w:val="-6"/>
        </w:rPr>
        <w:t> </w:t>
      </w:r>
      <w:r>
        <w:rPr/>
        <w:t>en</w:t>
      </w:r>
      <w:r>
        <w:rPr>
          <w:spacing w:val="-3"/>
        </w:rPr>
        <w:t> </w:t>
      </w:r>
      <w:r>
        <w:rPr/>
        <w:t>quinto lugar se encuentran los que no conocen nada de esta Ley al obtener un</w:t>
      </w:r>
      <w:r>
        <w:rPr>
          <w:spacing w:val="-28"/>
        </w:rPr>
        <w:t> </w:t>
      </w:r>
      <w:r>
        <w:rPr/>
        <w:t>3.00%.</w:t>
      </w:r>
    </w:p>
    <w:p>
      <w:pPr>
        <w:pStyle w:val="BodyText"/>
      </w:pPr>
    </w:p>
    <w:p>
      <w:pPr>
        <w:pStyle w:val="BodyText"/>
      </w:pPr>
    </w:p>
    <w:p>
      <w:pPr>
        <w:pStyle w:val="Heading1"/>
        <w:numPr>
          <w:ilvl w:val="2"/>
          <w:numId w:val="53"/>
        </w:numPr>
        <w:tabs>
          <w:tab w:pos="837" w:val="left" w:leader="none"/>
        </w:tabs>
        <w:spacing w:line="360" w:lineRule="auto" w:before="186" w:after="0"/>
        <w:ind w:left="836" w:right="118" w:hanging="720"/>
        <w:jc w:val="left"/>
      </w:pPr>
      <w:r>
        <w:rPr/>
        <w:t>El presidente municipal promueve la transparencia en su municipio vs porcentaje de transparencia</w:t>
      </w:r>
      <w:r>
        <w:rPr>
          <w:spacing w:val="-9"/>
        </w:rPr>
        <w:t> </w:t>
      </w:r>
      <w:r>
        <w:rPr/>
        <w:t>2015</w:t>
      </w:r>
    </w:p>
    <w:p>
      <w:pPr>
        <w:pStyle w:val="BodyText"/>
        <w:rPr>
          <w:b/>
          <w:sz w:val="20"/>
        </w:rPr>
      </w:pPr>
    </w:p>
    <w:p>
      <w:pPr>
        <w:pStyle w:val="BodyText"/>
        <w:spacing w:before="7"/>
        <w:rPr>
          <w:b/>
          <w:sz w:val="19"/>
        </w:rPr>
      </w:pPr>
    </w:p>
    <w:tbl>
      <w:tblPr>
        <w:tblW w:w="0" w:type="auto"/>
        <w:jc w:val="left"/>
        <w:tblInd w:w="26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81"/>
        <w:gridCol w:w="1200"/>
        <w:gridCol w:w="1200"/>
      </w:tblGrid>
      <w:tr>
        <w:trPr>
          <w:trHeight w:val="433" w:hRule="exact"/>
        </w:trPr>
        <w:tc>
          <w:tcPr>
            <w:tcW w:w="3881" w:type="dxa"/>
            <w:gridSpan w:val="3"/>
            <w:shd w:val="clear" w:color="auto" w:fill="92D050"/>
          </w:tcPr>
          <w:p>
            <w:pPr>
              <w:pStyle w:val="TableParagraph"/>
              <w:ind w:left="74" w:right="56" w:firstLine="352"/>
              <w:jc w:val="left"/>
              <w:rPr>
                <w:b/>
                <w:sz w:val="18"/>
              </w:rPr>
            </w:pPr>
            <w:r>
              <w:rPr>
                <w:b/>
                <w:sz w:val="18"/>
              </w:rPr>
              <w:t>Tabla 3.58: El presidente municipal promueve la transparencia en su municipio</w:t>
            </w:r>
          </w:p>
        </w:tc>
      </w:tr>
      <w:tr>
        <w:trPr>
          <w:trHeight w:val="289" w:hRule="exact"/>
        </w:trPr>
        <w:tc>
          <w:tcPr>
            <w:tcW w:w="1481" w:type="dxa"/>
            <w:vMerge w:val="restart"/>
            <w:shd w:val="clear" w:color="auto" w:fill="92D050"/>
          </w:tcPr>
          <w:p>
            <w:pPr>
              <w:pStyle w:val="TableParagraph"/>
              <w:spacing w:before="10"/>
              <w:jc w:val="left"/>
              <w:rPr>
                <w:b/>
                <w:sz w:val="25"/>
              </w:rPr>
            </w:pPr>
          </w:p>
          <w:p>
            <w:pPr>
              <w:pStyle w:val="TableParagraph"/>
              <w:ind w:left="470" w:right="471"/>
              <w:rPr>
                <w:b/>
                <w:sz w:val="18"/>
              </w:rPr>
            </w:pPr>
            <w:r>
              <w:rPr>
                <w:b/>
                <w:sz w:val="18"/>
              </w:rPr>
              <w:t>Clase</w:t>
            </w:r>
          </w:p>
        </w:tc>
        <w:tc>
          <w:tcPr>
            <w:tcW w:w="2400" w:type="dxa"/>
            <w:gridSpan w:val="2"/>
            <w:shd w:val="clear" w:color="auto" w:fill="92D050"/>
          </w:tcPr>
          <w:p>
            <w:pPr>
              <w:pStyle w:val="TableParagraph"/>
              <w:spacing w:before="58"/>
              <w:ind w:left="967" w:right="967"/>
              <w:rPr>
                <w:b/>
                <w:sz w:val="18"/>
              </w:rPr>
            </w:pPr>
            <w:r>
              <w:rPr>
                <w:b/>
                <w:sz w:val="18"/>
              </w:rPr>
              <w:t>2015</w:t>
            </w:r>
          </w:p>
        </w:tc>
      </w:tr>
      <w:tr>
        <w:trPr>
          <w:trHeight w:val="545" w:hRule="exact"/>
        </w:trPr>
        <w:tc>
          <w:tcPr>
            <w:tcW w:w="1481" w:type="dxa"/>
            <w:vMerge/>
            <w:shd w:val="clear" w:color="auto" w:fill="92D050"/>
          </w:tcPr>
          <w:p>
            <w:pPr/>
          </w:p>
        </w:tc>
        <w:tc>
          <w:tcPr>
            <w:tcW w:w="1200" w:type="dxa"/>
            <w:shd w:val="clear" w:color="auto" w:fill="92D050"/>
          </w:tcPr>
          <w:p>
            <w:pPr>
              <w:pStyle w:val="TableParagraph"/>
              <w:spacing w:before="155"/>
              <w:ind w:right="113"/>
              <w:jc w:val="right"/>
              <w:rPr>
                <w:b/>
                <w:sz w:val="18"/>
              </w:rPr>
            </w:pPr>
            <w:r>
              <w:rPr>
                <w:b/>
                <w:sz w:val="18"/>
              </w:rPr>
              <w:t>Frecuencia</w:t>
            </w:r>
          </w:p>
        </w:tc>
        <w:tc>
          <w:tcPr>
            <w:tcW w:w="1200" w:type="dxa"/>
            <w:shd w:val="clear" w:color="auto" w:fill="92D050"/>
          </w:tcPr>
          <w:p>
            <w:pPr>
              <w:pStyle w:val="TableParagraph"/>
              <w:spacing w:before="155"/>
              <w:ind w:left="508"/>
              <w:jc w:val="left"/>
              <w:rPr>
                <w:b/>
                <w:sz w:val="18"/>
              </w:rPr>
            </w:pPr>
            <w:r>
              <w:rPr>
                <w:b/>
                <w:w w:val="99"/>
                <w:sz w:val="18"/>
              </w:rPr>
              <w:t>%</w:t>
            </w:r>
          </w:p>
        </w:tc>
      </w:tr>
      <w:tr>
        <w:trPr>
          <w:trHeight w:val="271" w:hRule="exact"/>
        </w:trPr>
        <w:tc>
          <w:tcPr>
            <w:tcW w:w="1481" w:type="dxa"/>
            <w:tcBorders>
              <w:left w:val="single" w:sz="4" w:space="0" w:color="000000"/>
              <w:bottom w:val="single" w:sz="4" w:space="0" w:color="000000"/>
              <w:right w:val="single" w:sz="4" w:space="0" w:color="000000"/>
            </w:tcBorders>
          </w:tcPr>
          <w:p>
            <w:pPr>
              <w:pStyle w:val="TableParagraph"/>
              <w:spacing w:before="49"/>
              <w:ind w:left="64"/>
              <w:jc w:val="left"/>
              <w:rPr>
                <w:sz w:val="18"/>
              </w:rPr>
            </w:pPr>
            <w:r>
              <w:rPr>
                <w:sz w:val="18"/>
              </w:rPr>
              <w:t>Nada</w:t>
            </w:r>
          </w:p>
        </w:tc>
        <w:tc>
          <w:tcPr>
            <w:tcW w:w="1200" w:type="dxa"/>
            <w:tcBorders>
              <w:left w:val="single" w:sz="4" w:space="0" w:color="000000"/>
              <w:bottom w:val="single" w:sz="4" w:space="0" w:color="000000"/>
              <w:right w:val="single" w:sz="4" w:space="0" w:color="000000"/>
            </w:tcBorders>
          </w:tcPr>
          <w:p>
            <w:pPr>
              <w:pStyle w:val="TableParagraph"/>
              <w:spacing w:before="49"/>
              <w:ind w:right="63"/>
              <w:jc w:val="right"/>
              <w:rPr>
                <w:sz w:val="18"/>
              </w:rPr>
            </w:pPr>
            <w:r>
              <w:rPr>
                <w:w w:val="99"/>
                <w:sz w:val="18"/>
              </w:rPr>
              <w:t>4</w:t>
            </w:r>
          </w:p>
        </w:tc>
        <w:tc>
          <w:tcPr>
            <w:tcW w:w="1200" w:type="dxa"/>
            <w:tcBorders>
              <w:left w:val="single" w:sz="4" w:space="0" w:color="000000"/>
              <w:bottom w:val="single" w:sz="4" w:space="0" w:color="000000"/>
              <w:right w:val="single" w:sz="4" w:space="0" w:color="000000"/>
            </w:tcBorders>
          </w:tcPr>
          <w:p>
            <w:pPr>
              <w:pStyle w:val="TableParagraph"/>
              <w:spacing w:before="49"/>
              <w:ind w:left="515"/>
              <w:jc w:val="left"/>
              <w:rPr>
                <w:sz w:val="18"/>
              </w:rPr>
            </w:pPr>
            <w:r>
              <w:rPr>
                <w:sz w:val="18"/>
              </w:rPr>
              <w:t>30.82%</w:t>
            </w:r>
          </w:p>
        </w:tc>
      </w:tr>
      <w:tr>
        <w:trPr>
          <w:trHeight w:val="264" w:hRule="exact"/>
        </w:trPr>
        <w:tc>
          <w:tcPr>
            <w:tcW w:w="1481"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Lo necesario</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63"/>
              <w:jc w:val="right"/>
              <w:rPr>
                <w:sz w:val="18"/>
              </w:rPr>
            </w:pPr>
            <w:r>
              <w:rPr>
                <w:w w:val="99"/>
                <w:sz w:val="18"/>
              </w:rPr>
              <w:t>6</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515"/>
              <w:jc w:val="left"/>
              <w:rPr>
                <w:sz w:val="18"/>
              </w:rPr>
            </w:pPr>
            <w:r>
              <w:rPr>
                <w:sz w:val="18"/>
              </w:rPr>
              <w:t>35.10%</w:t>
            </w:r>
          </w:p>
        </w:tc>
      </w:tr>
      <w:tr>
        <w:trPr>
          <w:trHeight w:val="267" w:hRule="exact"/>
        </w:trPr>
        <w:tc>
          <w:tcPr>
            <w:tcW w:w="1481"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Lo suficiente</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63"/>
              <w:jc w:val="right"/>
              <w:rPr>
                <w:sz w:val="18"/>
              </w:rPr>
            </w:pPr>
            <w:r>
              <w:rPr>
                <w:w w:val="99"/>
                <w:sz w:val="18"/>
              </w:rPr>
              <w:t>8</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515"/>
              <w:jc w:val="left"/>
              <w:rPr>
                <w:sz w:val="18"/>
              </w:rPr>
            </w:pPr>
            <w:r>
              <w:rPr>
                <w:sz w:val="18"/>
              </w:rPr>
              <w:t>29.71%</w:t>
            </w:r>
          </w:p>
        </w:tc>
      </w:tr>
      <w:tr>
        <w:trPr>
          <w:trHeight w:val="264" w:hRule="exact"/>
        </w:trPr>
        <w:tc>
          <w:tcPr>
            <w:tcW w:w="1481"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Completamente</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60"/>
              <w:jc w:val="right"/>
              <w:rPr>
                <w:sz w:val="18"/>
              </w:rPr>
            </w:pPr>
            <w:r>
              <w:rPr>
                <w:sz w:val="18"/>
              </w:rPr>
              <w:t>28</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515"/>
              <w:jc w:val="left"/>
              <w:rPr>
                <w:sz w:val="18"/>
              </w:rPr>
            </w:pPr>
            <w:r>
              <w:rPr>
                <w:sz w:val="18"/>
              </w:rPr>
              <w:t>33.27%</w:t>
            </w:r>
          </w:p>
        </w:tc>
      </w:tr>
    </w:tbl>
    <w:p>
      <w:pPr>
        <w:spacing w:before="47"/>
        <w:ind w:left="2723" w:right="26" w:firstLine="0"/>
        <w:jc w:val="left"/>
        <w:rPr>
          <w:sz w:val="18"/>
        </w:rPr>
      </w:pPr>
      <w:r>
        <w:rPr>
          <w:sz w:val="16"/>
        </w:rPr>
        <w:t>Fuente: Elaboración propia</w:t>
      </w:r>
      <w:r>
        <w:rPr>
          <w:sz w:val="18"/>
        </w:rPr>
        <w:t>.</w:t>
      </w:r>
    </w:p>
    <w:p>
      <w:pPr>
        <w:pStyle w:val="BodyText"/>
        <w:rPr>
          <w:sz w:val="20"/>
        </w:rPr>
      </w:pPr>
    </w:p>
    <w:p>
      <w:pPr>
        <w:pStyle w:val="BodyText"/>
        <w:spacing w:before="10"/>
        <w:rPr>
          <w:sz w:val="23"/>
        </w:rPr>
      </w:pPr>
    </w:p>
    <w:p>
      <w:pPr>
        <w:pStyle w:val="BodyText"/>
        <w:spacing w:line="360" w:lineRule="auto" w:before="70"/>
        <w:ind w:left="128" w:right="116"/>
        <w:jc w:val="both"/>
      </w:pPr>
      <w:r>
        <w:rPr/>
        <w:t>En la tabla anterior se muestran los resultados obtenidos de hacer el cruce de las variables del cumplimiento de la ley de transparencia en relación a si promueve la transparencia en su municipio de los responsables de la transparencia en los gobiernos municipales. Los resultados obtenidos muestran cómo los responsables de la transparencia que obtuvieron el primer lugar en que se promueve la transparencia solamente lo necesario con un 35.10%, en segundo lugar, están los que promueven completamente la transparencia en su municipio obteniendo un 33.27%, en tercer lugar se encuentran los que no promueven la transparencia con un 30.82% y en curto lugar se encuentran los que promueven lo suficiente la transparencia con un 29.71%.</w:t>
      </w:r>
    </w:p>
    <w:p>
      <w:pPr>
        <w:spacing w:after="0" w:line="360" w:lineRule="auto"/>
        <w:jc w:val="both"/>
        <w:sectPr>
          <w:pgSz w:w="12240" w:h="15840"/>
          <w:pgMar w:header="0" w:footer="1035" w:top="1360" w:bottom="1220" w:left="1480" w:right="1580"/>
        </w:sectPr>
      </w:pPr>
    </w:p>
    <w:p>
      <w:pPr>
        <w:pStyle w:val="BodyText"/>
        <w:spacing w:line="362" w:lineRule="auto" w:before="54"/>
        <w:ind w:left="128" w:right="26"/>
      </w:pPr>
      <w:r>
        <w:rPr/>
        <w:t>En un sentido retroactivo del periodo de administración 2013 -2015 la siguiente tabla muestra el promedio de cumplimiento de la ley de transparencia:</w:t>
      </w:r>
    </w:p>
    <w:p>
      <w:pPr>
        <w:pStyle w:val="BodyText"/>
        <w:rPr>
          <w:sz w:val="20"/>
        </w:rPr>
      </w:pPr>
    </w:p>
    <w:p>
      <w:pPr>
        <w:pStyle w:val="BodyText"/>
        <w:spacing w:before="1" w:after="1"/>
        <w:rPr>
          <w:sz w:val="18"/>
        </w:rPr>
      </w:pPr>
    </w:p>
    <w:tbl>
      <w:tblPr>
        <w:tblW w:w="0" w:type="auto"/>
        <w:jc w:val="left"/>
        <w:tblInd w:w="15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43"/>
        <w:gridCol w:w="1130"/>
        <w:gridCol w:w="1133"/>
        <w:gridCol w:w="1130"/>
        <w:gridCol w:w="1164"/>
      </w:tblGrid>
      <w:tr>
        <w:trPr>
          <w:trHeight w:val="434" w:hRule="exact"/>
        </w:trPr>
        <w:tc>
          <w:tcPr>
            <w:tcW w:w="6001" w:type="dxa"/>
            <w:gridSpan w:val="5"/>
            <w:shd w:val="clear" w:color="auto" w:fill="92D050"/>
          </w:tcPr>
          <w:p>
            <w:pPr>
              <w:pStyle w:val="TableParagraph"/>
              <w:spacing w:line="242" w:lineRule="auto"/>
              <w:ind w:left="2436" w:right="170" w:hanging="2247"/>
              <w:jc w:val="left"/>
              <w:rPr>
                <w:b/>
                <w:sz w:val="18"/>
              </w:rPr>
            </w:pPr>
            <w:r>
              <w:rPr>
                <w:b/>
                <w:sz w:val="18"/>
              </w:rPr>
              <w:t>Tabla 3.59: El presidente municipal promueve la transparencia en su municipio</w:t>
            </w:r>
          </w:p>
        </w:tc>
      </w:tr>
      <w:tr>
        <w:trPr>
          <w:trHeight w:val="545" w:hRule="exact"/>
        </w:trPr>
        <w:tc>
          <w:tcPr>
            <w:tcW w:w="1443" w:type="dxa"/>
            <w:shd w:val="clear" w:color="auto" w:fill="92D050"/>
          </w:tcPr>
          <w:p>
            <w:pPr>
              <w:pStyle w:val="TableParagraph"/>
              <w:spacing w:before="152"/>
              <w:ind w:left="472"/>
              <w:jc w:val="left"/>
              <w:rPr>
                <w:b/>
                <w:sz w:val="18"/>
              </w:rPr>
            </w:pPr>
            <w:r>
              <w:rPr>
                <w:b/>
                <w:sz w:val="18"/>
              </w:rPr>
              <w:t>Clase</w:t>
            </w:r>
          </w:p>
        </w:tc>
        <w:tc>
          <w:tcPr>
            <w:tcW w:w="1130" w:type="dxa"/>
            <w:tcBorders>
              <w:bottom w:val="single" w:sz="4" w:space="0" w:color="000000"/>
            </w:tcBorders>
            <w:shd w:val="clear" w:color="auto" w:fill="92D050"/>
          </w:tcPr>
          <w:p>
            <w:pPr>
              <w:pStyle w:val="TableParagraph"/>
              <w:spacing w:before="152"/>
              <w:ind w:left="357"/>
              <w:jc w:val="left"/>
              <w:rPr>
                <w:b/>
                <w:sz w:val="18"/>
              </w:rPr>
            </w:pPr>
            <w:r>
              <w:rPr>
                <w:b/>
                <w:sz w:val="18"/>
              </w:rPr>
              <w:t>2013</w:t>
            </w:r>
          </w:p>
        </w:tc>
        <w:tc>
          <w:tcPr>
            <w:tcW w:w="1133" w:type="dxa"/>
            <w:tcBorders>
              <w:bottom w:val="single" w:sz="4" w:space="0" w:color="000000"/>
            </w:tcBorders>
            <w:shd w:val="clear" w:color="auto" w:fill="92D050"/>
          </w:tcPr>
          <w:p>
            <w:pPr>
              <w:pStyle w:val="TableParagraph"/>
              <w:spacing w:before="152"/>
              <w:ind w:left="357"/>
              <w:jc w:val="left"/>
              <w:rPr>
                <w:b/>
                <w:sz w:val="18"/>
              </w:rPr>
            </w:pPr>
            <w:r>
              <w:rPr>
                <w:b/>
                <w:sz w:val="18"/>
              </w:rPr>
              <w:t>2014</w:t>
            </w:r>
          </w:p>
        </w:tc>
        <w:tc>
          <w:tcPr>
            <w:tcW w:w="1130" w:type="dxa"/>
            <w:tcBorders>
              <w:bottom w:val="single" w:sz="4" w:space="0" w:color="000000"/>
            </w:tcBorders>
            <w:shd w:val="clear" w:color="auto" w:fill="92D050"/>
          </w:tcPr>
          <w:p>
            <w:pPr>
              <w:pStyle w:val="TableParagraph"/>
              <w:spacing w:before="152"/>
              <w:ind w:left="355"/>
              <w:jc w:val="left"/>
              <w:rPr>
                <w:b/>
                <w:sz w:val="18"/>
              </w:rPr>
            </w:pPr>
            <w:r>
              <w:rPr>
                <w:b/>
                <w:sz w:val="18"/>
              </w:rPr>
              <w:t>2015</w:t>
            </w:r>
          </w:p>
        </w:tc>
        <w:tc>
          <w:tcPr>
            <w:tcW w:w="1164" w:type="dxa"/>
            <w:tcBorders>
              <w:bottom w:val="single" w:sz="4" w:space="0" w:color="000000"/>
            </w:tcBorders>
            <w:shd w:val="clear" w:color="auto" w:fill="92D050"/>
          </w:tcPr>
          <w:p>
            <w:pPr>
              <w:pStyle w:val="TableParagraph"/>
              <w:spacing w:before="49"/>
              <w:ind w:left="251" w:right="139" w:hanging="96"/>
              <w:jc w:val="left"/>
              <w:rPr>
                <w:b/>
                <w:sz w:val="18"/>
              </w:rPr>
            </w:pPr>
            <w:r>
              <w:rPr>
                <w:b/>
                <w:sz w:val="18"/>
              </w:rPr>
              <w:t>Promedio general</w:t>
            </w:r>
          </w:p>
        </w:tc>
      </w:tr>
      <w:tr>
        <w:trPr>
          <w:trHeight w:val="271" w:hRule="exact"/>
        </w:trPr>
        <w:tc>
          <w:tcPr>
            <w:tcW w:w="1443" w:type="dxa"/>
            <w:tcBorders>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Nada</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52"/>
              <w:ind w:left="67"/>
              <w:jc w:val="left"/>
              <w:rPr>
                <w:sz w:val="18"/>
              </w:rPr>
            </w:pPr>
            <w:r>
              <w:rPr>
                <w:sz w:val="18"/>
              </w:rPr>
              <w:t>S/I</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52"/>
              <w:ind w:right="62"/>
              <w:jc w:val="right"/>
              <w:rPr>
                <w:sz w:val="18"/>
              </w:rPr>
            </w:pPr>
            <w:r>
              <w:rPr>
                <w:sz w:val="18"/>
              </w:rPr>
              <w:t>96.42%</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52"/>
              <w:ind w:right="61"/>
              <w:jc w:val="right"/>
              <w:rPr>
                <w:sz w:val="18"/>
              </w:rPr>
            </w:pPr>
            <w:r>
              <w:rPr>
                <w:sz w:val="18"/>
              </w:rPr>
              <w:t>30.82%</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52"/>
              <w:ind w:right="61"/>
              <w:jc w:val="right"/>
              <w:rPr>
                <w:sz w:val="18"/>
              </w:rPr>
            </w:pPr>
            <w:r>
              <w:rPr>
                <w:sz w:val="18"/>
              </w:rPr>
              <w:t>63.62%</w:t>
            </w:r>
          </w:p>
        </w:tc>
      </w:tr>
      <w:tr>
        <w:trPr>
          <w:trHeight w:val="264" w:hRule="exact"/>
        </w:trPr>
        <w:tc>
          <w:tcPr>
            <w:tcW w:w="1443"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Lo necesario</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78.52%</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47"/>
              <w:ind w:right="62"/>
              <w:jc w:val="right"/>
              <w:rPr>
                <w:sz w:val="18"/>
              </w:rPr>
            </w:pPr>
            <w:r>
              <w:rPr>
                <w:sz w:val="18"/>
              </w:rPr>
              <w:t>78.52%</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35.10%</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64.05%</w:t>
            </w:r>
          </w:p>
        </w:tc>
      </w:tr>
      <w:tr>
        <w:trPr>
          <w:trHeight w:val="264" w:hRule="exact"/>
        </w:trPr>
        <w:tc>
          <w:tcPr>
            <w:tcW w:w="1443"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Lo suficiente</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93.20%</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47"/>
              <w:ind w:right="62"/>
              <w:jc w:val="right"/>
              <w:rPr>
                <w:sz w:val="18"/>
              </w:rPr>
            </w:pPr>
            <w:r>
              <w:rPr>
                <w:sz w:val="18"/>
              </w:rPr>
              <w:t>60.78%</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29.71%</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47"/>
              <w:ind w:right="62"/>
              <w:jc w:val="right"/>
              <w:rPr>
                <w:sz w:val="18"/>
              </w:rPr>
            </w:pPr>
            <w:r>
              <w:rPr>
                <w:sz w:val="18"/>
              </w:rPr>
              <w:t>61.23%</w:t>
            </w:r>
          </w:p>
        </w:tc>
      </w:tr>
      <w:tr>
        <w:trPr>
          <w:trHeight w:val="266" w:hRule="exact"/>
        </w:trPr>
        <w:tc>
          <w:tcPr>
            <w:tcW w:w="1443" w:type="dxa"/>
            <w:tcBorders>
              <w:top w:val="single" w:sz="4" w:space="0" w:color="000000"/>
              <w:left w:val="single" w:sz="4" w:space="0" w:color="000000"/>
              <w:bottom w:val="single" w:sz="4" w:space="0" w:color="000000"/>
              <w:right w:val="single" w:sz="4" w:space="0" w:color="000000"/>
            </w:tcBorders>
          </w:tcPr>
          <w:p>
            <w:pPr>
              <w:pStyle w:val="TableParagraph"/>
              <w:spacing w:before="49"/>
              <w:ind w:left="67"/>
              <w:jc w:val="left"/>
              <w:rPr>
                <w:sz w:val="18"/>
              </w:rPr>
            </w:pPr>
            <w:r>
              <w:rPr>
                <w:sz w:val="18"/>
              </w:rPr>
              <w:t>Completamente</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9"/>
              <w:ind w:right="59"/>
              <w:jc w:val="right"/>
              <w:rPr>
                <w:sz w:val="18"/>
              </w:rPr>
            </w:pPr>
            <w:r>
              <w:rPr>
                <w:sz w:val="18"/>
              </w:rPr>
              <w:t>94.55%</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49"/>
              <w:ind w:right="62"/>
              <w:jc w:val="right"/>
              <w:rPr>
                <w:sz w:val="18"/>
              </w:rPr>
            </w:pPr>
            <w:r>
              <w:rPr>
                <w:sz w:val="18"/>
              </w:rPr>
              <w:t>69.94%</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9"/>
              <w:ind w:right="61"/>
              <w:jc w:val="right"/>
              <w:rPr>
                <w:sz w:val="18"/>
              </w:rPr>
            </w:pPr>
            <w:r>
              <w:rPr>
                <w:sz w:val="18"/>
              </w:rPr>
              <w:t>33.27%</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49"/>
              <w:ind w:right="61"/>
              <w:jc w:val="right"/>
              <w:rPr>
                <w:sz w:val="18"/>
              </w:rPr>
            </w:pPr>
            <w:r>
              <w:rPr>
                <w:sz w:val="18"/>
              </w:rPr>
              <w:t>65.92%</w:t>
            </w:r>
          </w:p>
        </w:tc>
      </w:tr>
    </w:tbl>
    <w:p>
      <w:pPr>
        <w:spacing w:before="47"/>
        <w:ind w:left="1664" w:right="26" w:firstLine="0"/>
        <w:jc w:val="left"/>
        <w:rPr>
          <w:sz w:val="18"/>
        </w:rPr>
      </w:pPr>
      <w:r>
        <w:rPr>
          <w:sz w:val="16"/>
        </w:rPr>
        <w:t>Fuente: Elaboración propia</w:t>
      </w:r>
      <w:r>
        <w:rPr>
          <w:sz w:val="18"/>
        </w:rPr>
        <w:t>.</w:t>
      </w:r>
    </w:p>
    <w:p>
      <w:pPr>
        <w:pStyle w:val="BodyText"/>
        <w:rPr>
          <w:sz w:val="20"/>
        </w:rPr>
      </w:pPr>
    </w:p>
    <w:p>
      <w:pPr>
        <w:pStyle w:val="BodyText"/>
        <w:spacing w:before="8"/>
        <w:rPr>
          <w:sz w:val="23"/>
        </w:rPr>
      </w:pPr>
    </w:p>
    <w:p>
      <w:pPr>
        <w:pStyle w:val="BodyText"/>
        <w:spacing w:line="360" w:lineRule="auto" w:before="70"/>
        <w:ind w:left="128" w:right="115"/>
        <w:jc w:val="both"/>
      </w:pPr>
      <w:r>
        <w:rPr/>
        <w:t>Durante el periodo que comprende el 2013-2015 se tuvo un promedio de cumplimiento de la ley tal como se describe a continuación: en primer lugar se encuentran los representantes que promueven completamente la transparencia en su municipio con un 65.92%, en segundo lugar tenemos a los que promueven solo lo necesario con un 64.05%, en tercer lugar tenemos a los que no promueven la transparencia en su municipio obteniendo un 63.62% y en cuarto lugar tenemos a los que promueven solo lo suficiente la transparencia con un 61.23%.</w:t>
      </w:r>
    </w:p>
    <w:p>
      <w:pPr>
        <w:pStyle w:val="BodyText"/>
      </w:pPr>
    </w:p>
    <w:p>
      <w:pPr>
        <w:pStyle w:val="BodyText"/>
      </w:pPr>
    </w:p>
    <w:p>
      <w:pPr>
        <w:pStyle w:val="Heading1"/>
        <w:numPr>
          <w:ilvl w:val="2"/>
          <w:numId w:val="53"/>
        </w:numPr>
        <w:tabs>
          <w:tab w:pos="837" w:val="left" w:leader="none"/>
        </w:tabs>
        <w:spacing w:line="360" w:lineRule="auto" w:before="188" w:after="0"/>
        <w:ind w:left="836" w:right="122" w:hanging="720"/>
        <w:jc w:val="left"/>
      </w:pPr>
      <w:r>
        <w:rPr/>
        <w:t>Tiene libertad para modificar la página web que contiene la información Pública de oficio (IPOMEX) </w:t>
      </w:r>
      <w:r>
        <w:rPr>
          <w:spacing w:val="-3"/>
        </w:rPr>
        <w:t>vs </w:t>
      </w:r>
      <w:r>
        <w:rPr/>
        <w:t>porcentaje de transparencia</w:t>
      </w:r>
      <w:r>
        <w:rPr>
          <w:spacing w:val="-11"/>
        </w:rPr>
        <w:t> </w:t>
      </w:r>
      <w:r>
        <w:rPr/>
        <w:t>2015</w:t>
      </w:r>
    </w:p>
    <w:p>
      <w:pPr>
        <w:pStyle w:val="BodyText"/>
        <w:rPr>
          <w:b/>
          <w:sz w:val="20"/>
        </w:rPr>
      </w:pPr>
    </w:p>
    <w:p>
      <w:pPr>
        <w:pStyle w:val="BodyText"/>
        <w:spacing w:before="7"/>
        <w:rPr>
          <w:b/>
          <w:sz w:val="19"/>
        </w:rPr>
      </w:pPr>
    </w:p>
    <w:tbl>
      <w:tblPr>
        <w:tblW w:w="0" w:type="auto"/>
        <w:jc w:val="left"/>
        <w:tblInd w:w="26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42"/>
        <w:gridCol w:w="1373"/>
        <w:gridCol w:w="1066"/>
      </w:tblGrid>
      <w:tr>
        <w:trPr>
          <w:trHeight w:val="641" w:hRule="exact"/>
        </w:trPr>
        <w:tc>
          <w:tcPr>
            <w:tcW w:w="3881" w:type="dxa"/>
            <w:gridSpan w:val="3"/>
            <w:shd w:val="clear" w:color="auto" w:fill="92D050"/>
          </w:tcPr>
          <w:p>
            <w:pPr>
              <w:pStyle w:val="TableParagraph"/>
              <w:ind w:left="105" w:right="111"/>
              <w:rPr>
                <w:b/>
                <w:sz w:val="18"/>
              </w:rPr>
            </w:pPr>
            <w:r>
              <w:rPr>
                <w:b/>
                <w:sz w:val="18"/>
              </w:rPr>
              <w:t>Tabla 3.60: Tiene libertad para modificar la página web que contiene la información Pública de oficio (IPOMEX)</w:t>
            </w:r>
          </w:p>
        </w:tc>
      </w:tr>
      <w:tr>
        <w:trPr>
          <w:trHeight w:val="290" w:hRule="exact"/>
        </w:trPr>
        <w:tc>
          <w:tcPr>
            <w:tcW w:w="1442" w:type="dxa"/>
            <w:vMerge w:val="restart"/>
            <w:shd w:val="clear" w:color="auto" w:fill="92D050"/>
          </w:tcPr>
          <w:p>
            <w:pPr>
              <w:pStyle w:val="TableParagraph"/>
              <w:jc w:val="left"/>
              <w:rPr>
                <w:b/>
                <w:sz w:val="26"/>
              </w:rPr>
            </w:pPr>
          </w:p>
          <w:p>
            <w:pPr>
              <w:pStyle w:val="TableParagraph"/>
              <w:ind w:left="470"/>
              <w:jc w:val="left"/>
              <w:rPr>
                <w:b/>
                <w:sz w:val="18"/>
              </w:rPr>
            </w:pPr>
            <w:r>
              <w:rPr>
                <w:b/>
                <w:sz w:val="18"/>
              </w:rPr>
              <w:t>Clase</w:t>
            </w:r>
          </w:p>
        </w:tc>
        <w:tc>
          <w:tcPr>
            <w:tcW w:w="2439" w:type="dxa"/>
            <w:gridSpan w:val="2"/>
            <w:shd w:val="clear" w:color="auto" w:fill="92D050"/>
          </w:tcPr>
          <w:p>
            <w:pPr>
              <w:pStyle w:val="TableParagraph"/>
              <w:spacing w:before="25"/>
              <w:ind w:left="989" w:right="989"/>
              <w:rPr>
                <w:b/>
                <w:sz w:val="18"/>
              </w:rPr>
            </w:pPr>
            <w:r>
              <w:rPr>
                <w:b/>
                <w:sz w:val="18"/>
              </w:rPr>
              <w:t>2015</w:t>
            </w:r>
          </w:p>
        </w:tc>
      </w:tr>
      <w:tr>
        <w:trPr>
          <w:trHeight w:val="545" w:hRule="exact"/>
        </w:trPr>
        <w:tc>
          <w:tcPr>
            <w:tcW w:w="1442" w:type="dxa"/>
            <w:vMerge/>
            <w:shd w:val="clear" w:color="auto" w:fill="92D050"/>
          </w:tcPr>
          <w:p>
            <w:pPr/>
          </w:p>
        </w:tc>
        <w:tc>
          <w:tcPr>
            <w:tcW w:w="1373" w:type="dxa"/>
            <w:shd w:val="clear" w:color="auto" w:fill="92D050"/>
          </w:tcPr>
          <w:p>
            <w:pPr>
              <w:pStyle w:val="TableParagraph"/>
              <w:spacing w:before="152"/>
              <w:ind w:left="199"/>
              <w:jc w:val="left"/>
              <w:rPr>
                <w:b/>
                <w:sz w:val="18"/>
              </w:rPr>
            </w:pPr>
            <w:r>
              <w:rPr>
                <w:b/>
                <w:sz w:val="18"/>
              </w:rPr>
              <w:t>Frecuencia</w:t>
            </w:r>
          </w:p>
        </w:tc>
        <w:tc>
          <w:tcPr>
            <w:tcW w:w="1066" w:type="dxa"/>
            <w:shd w:val="clear" w:color="auto" w:fill="92D050"/>
          </w:tcPr>
          <w:p>
            <w:pPr>
              <w:pStyle w:val="TableParagraph"/>
              <w:spacing w:before="152"/>
              <w:ind w:right="1"/>
              <w:rPr>
                <w:b/>
                <w:sz w:val="18"/>
              </w:rPr>
            </w:pPr>
            <w:r>
              <w:rPr>
                <w:b/>
                <w:w w:val="99"/>
                <w:sz w:val="18"/>
              </w:rPr>
              <w:t>%</w:t>
            </w:r>
          </w:p>
        </w:tc>
      </w:tr>
      <w:tr>
        <w:trPr>
          <w:trHeight w:val="272" w:hRule="exact"/>
        </w:trPr>
        <w:tc>
          <w:tcPr>
            <w:tcW w:w="1442" w:type="dxa"/>
            <w:tcBorders>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Nada</w:t>
            </w:r>
          </w:p>
        </w:tc>
        <w:tc>
          <w:tcPr>
            <w:tcW w:w="1373" w:type="dxa"/>
            <w:tcBorders>
              <w:left w:val="single" w:sz="4" w:space="0" w:color="000000"/>
              <w:bottom w:val="single" w:sz="4" w:space="0" w:color="000000"/>
              <w:right w:val="single" w:sz="4" w:space="0" w:color="000000"/>
            </w:tcBorders>
          </w:tcPr>
          <w:p>
            <w:pPr>
              <w:pStyle w:val="TableParagraph"/>
              <w:spacing w:before="47"/>
              <w:ind w:right="65"/>
              <w:jc w:val="right"/>
              <w:rPr>
                <w:sz w:val="18"/>
              </w:rPr>
            </w:pPr>
            <w:r>
              <w:rPr>
                <w:w w:val="99"/>
                <w:sz w:val="18"/>
              </w:rPr>
              <w:t>6</w:t>
            </w:r>
          </w:p>
        </w:tc>
        <w:tc>
          <w:tcPr>
            <w:tcW w:w="1066" w:type="dxa"/>
            <w:tcBorders>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30.31%</w:t>
            </w:r>
          </w:p>
        </w:tc>
      </w:tr>
      <w:tr>
        <w:trPr>
          <w:trHeight w:val="264" w:hRule="exact"/>
        </w:trPr>
        <w:tc>
          <w:tcPr>
            <w:tcW w:w="1442"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Lo necesario</w:t>
            </w:r>
          </w:p>
        </w:tc>
        <w:tc>
          <w:tcPr>
            <w:tcW w:w="1373" w:type="dxa"/>
            <w:tcBorders>
              <w:top w:val="single" w:sz="4" w:space="0" w:color="000000"/>
              <w:left w:val="single" w:sz="4" w:space="0" w:color="000000"/>
              <w:bottom w:val="single" w:sz="4" w:space="0" w:color="000000"/>
              <w:right w:val="single" w:sz="4" w:space="0" w:color="000000"/>
            </w:tcBorders>
          </w:tcPr>
          <w:p>
            <w:pPr>
              <w:pStyle w:val="TableParagraph"/>
              <w:spacing w:before="47"/>
              <w:ind w:right="62"/>
              <w:jc w:val="right"/>
              <w:rPr>
                <w:sz w:val="18"/>
              </w:rPr>
            </w:pPr>
            <w:r>
              <w:rPr>
                <w:sz w:val="18"/>
              </w:rPr>
              <w:t>10</w:t>
            </w:r>
          </w:p>
        </w:tc>
        <w:tc>
          <w:tcPr>
            <w:tcW w:w="1066"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31.80%</w:t>
            </w:r>
          </w:p>
        </w:tc>
      </w:tr>
      <w:tr>
        <w:trPr>
          <w:trHeight w:val="264" w:hRule="exact"/>
        </w:trPr>
        <w:tc>
          <w:tcPr>
            <w:tcW w:w="1442"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Lo suficiente</w:t>
            </w:r>
          </w:p>
        </w:tc>
        <w:tc>
          <w:tcPr>
            <w:tcW w:w="1373" w:type="dxa"/>
            <w:tcBorders>
              <w:top w:val="single" w:sz="4" w:space="0" w:color="000000"/>
              <w:left w:val="single" w:sz="4" w:space="0" w:color="000000"/>
              <w:bottom w:val="single" w:sz="4" w:space="0" w:color="000000"/>
              <w:right w:val="single" w:sz="4" w:space="0" w:color="000000"/>
            </w:tcBorders>
          </w:tcPr>
          <w:p>
            <w:pPr>
              <w:pStyle w:val="TableParagraph"/>
              <w:spacing w:before="47"/>
              <w:ind w:right="62"/>
              <w:jc w:val="right"/>
              <w:rPr>
                <w:sz w:val="18"/>
              </w:rPr>
            </w:pPr>
            <w:r>
              <w:rPr>
                <w:sz w:val="18"/>
              </w:rPr>
              <w:t>11</w:t>
            </w:r>
          </w:p>
        </w:tc>
        <w:tc>
          <w:tcPr>
            <w:tcW w:w="1066"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35.43%</w:t>
            </w:r>
          </w:p>
        </w:tc>
      </w:tr>
      <w:tr>
        <w:trPr>
          <w:trHeight w:val="266" w:hRule="exact"/>
        </w:trPr>
        <w:tc>
          <w:tcPr>
            <w:tcW w:w="1442" w:type="dxa"/>
            <w:tcBorders>
              <w:top w:val="single" w:sz="4" w:space="0" w:color="000000"/>
              <w:left w:val="single" w:sz="4" w:space="0" w:color="000000"/>
              <w:bottom w:val="single" w:sz="4" w:space="0" w:color="000000"/>
              <w:right w:val="single" w:sz="4" w:space="0" w:color="000000"/>
            </w:tcBorders>
          </w:tcPr>
          <w:p>
            <w:pPr>
              <w:pStyle w:val="TableParagraph"/>
              <w:spacing w:before="49"/>
              <w:ind w:left="64"/>
              <w:jc w:val="left"/>
              <w:rPr>
                <w:sz w:val="18"/>
              </w:rPr>
            </w:pPr>
            <w:r>
              <w:rPr>
                <w:sz w:val="18"/>
              </w:rPr>
              <w:t>Completamente</w:t>
            </w:r>
          </w:p>
        </w:tc>
        <w:tc>
          <w:tcPr>
            <w:tcW w:w="1373" w:type="dxa"/>
            <w:tcBorders>
              <w:top w:val="single" w:sz="4" w:space="0" w:color="000000"/>
              <w:left w:val="single" w:sz="4" w:space="0" w:color="000000"/>
              <w:bottom w:val="single" w:sz="4" w:space="0" w:color="000000"/>
              <w:right w:val="single" w:sz="4" w:space="0" w:color="000000"/>
            </w:tcBorders>
          </w:tcPr>
          <w:p>
            <w:pPr>
              <w:pStyle w:val="TableParagraph"/>
              <w:spacing w:before="49"/>
              <w:ind w:right="62"/>
              <w:jc w:val="right"/>
              <w:rPr>
                <w:sz w:val="18"/>
              </w:rPr>
            </w:pPr>
            <w:r>
              <w:rPr>
                <w:sz w:val="18"/>
              </w:rPr>
              <w:t>19</w:t>
            </w:r>
          </w:p>
        </w:tc>
        <w:tc>
          <w:tcPr>
            <w:tcW w:w="1066" w:type="dxa"/>
            <w:tcBorders>
              <w:top w:val="single" w:sz="4" w:space="0" w:color="000000"/>
              <w:left w:val="single" w:sz="4" w:space="0" w:color="000000"/>
              <w:bottom w:val="single" w:sz="4" w:space="0" w:color="000000"/>
              <w:right w:val="single" w:sz="4" w:space="0" w:color="000000"/>
            </w:tcBorders>
          </w:tcPr>
          <w:p>
            <w:pPr>
              <w:pStyle w:val="TableParagraph"/>
              <w:spacing w:before="49"/>
              <w:ind w:right="61"/>
              <w:jc w:val="right"/>
              <w:rPr>
                <w:sz w:val="18"/>
              </w:rPr>
            </w:pPr>
            <w:r>
              <w:rPr>
                <w:sz w:val="18"/>
              </w:rPr>
              <w:t>32.29%</w:t>
            </w:r>
          </w:p>
        </w:tc>
      </w:tr>
    </w:tbl>
    <w:p>
      <w:pPr>
        <w:spacing w:before="68"/>
        <w:ind w:left="2723" w:right="26" w:firstLine="0"/>
        <w:jc w:val="left"/>
        <w:rPr>
          <w:sz w:val="16"/>
        </w:rPr>
      </w:pPr>
      <w:r>
        <w:rPr>
          <w:sz w:val="16"/>
        </w:rPr>
        <w:t>Fuente: Elaboración propia</w:t>
      </w:r>
    </w:p>
    <w:p>
      <w:pPr>
        <w:spacing w:after="0"/>
        <w:jc w:val="left"/>
        <w:rPr>
          <w:sz w:val="16"/>
        </w:rPr>
        <w:sectPr>
          <w:pgSz w:w="12240" w:h="15840"/>
          <w:pgMar w:header="0" w:footer="1035" w:top="1360" w:bottom="1220" w:left="1480" w:right="1580"/>
        </w:sectPr>
      </w:pPr>
    </w:p>
    <w:p>
      <w:pPr>
        <w:pStyle w:val="BodyText"/>
        <w:spacing w:line="360" w:lineRule="auto" w:before="54"/>
        <w:ind w:left="108" w:right="115"/>
        <w:jc w:val="both"/>
      </w:pPr>
      <w:r>
        <w:rPr/>
        <w:t>En la tabla anterior se muestran los resultados obtenidos de hacer el cruce de las variables</w:t>
      </w:r>
      <w:r>
        <w:rPr>
          <w:spacing w:val="-18"/>
        </w:rPr>
        <w:t> </w:t>
      </w:r>
      <w:r>
        <w:rPr/>
        <w:t>del</w:t>
      </w:r>
      <w:r>
        <w:rPr>
          <w:spacing w:val="-19"/>
        </w:rPr>
        <w:t> </w:t>
      </w:r>
      <w:r>
        <w:rPr/>
        <w:t>cumplimiento</w:t>
      </w:r>
      <w:r>
        <w:rPr>
          <w:spacing w:val="-20"/>
        </w:rPr>
        <w:t> </w:t>
      </w:r>
      <w:r>
        <w:rPr/>
        <w:t>de</w:t>
      </w:r>
      <w:r>
        <w:rPr>
          <w:spacing w:val="-18"/>
        </w:rPr>
        <w:t> </w:t>
      </w:r>
      <w:r>
        <w:rPr/>
        <w:t>la</w:t>
      </w:r>
      <w:r>
        <w:rPr>
          <w:spacing w:val="-18"/>
        </w:rPr>
        <w:t> </w:t>
      </w:r>
      <w:r>
        <w:rPr/>
        <w:t>ley</w:t>
      </w:r>
      <w:r>
        <w:rPr>
          <w:spacing w:val="-21"/>
        </w:rPr>
        <w:t> </w:t>
      </w:r>
      <w:r>
        <w:rPr/>
        <w:t>de</w:t>
      </w:r>
      <w:r>
        <w:rPr>
          <w:spacing w:val="-18"/>
        </w:rPr>
        <w:t> </w:t>
      </w:r>
      <w:r>
        <w:rPr/>
        <w:t>transparencia</w:t>
      </w:r>
      <w:r>
        <w:rPr>
          <w:spacing w:val="-18"/>
        </w:rPr>
        <w:t> </w:t>
      </w:r>
      <w:r>
        <w:rPr/>
        <w:t>en</w:t>
      </w:r>
      <w:r>
        <w:rPr>
          <w:spacing w:val="-18"/>
        </w:rPr>
        <w:t> </w:t>
      </w:r>
      <w:r>
        <w:rPr/>
        <w:t>relación</w:t>
      </w:r>
      <w:r>
        <w:rPr>
          <w:spacing w:val="-18"/>
        </w:rPr>
        <w:t> </w:t>
      </w:r>
      <w:r>
        <w:rPr/>
        <w:t>a</w:t>
      </w:r>
      <w:r>
        <w:rPr>
          <w:spacing w:val="-18"/>
        </w:rPr>
        <w:t> </w:t>
      </w:r>
      <w:r>
        <w:rPr/>
        <w:t>si</w:t>
      </w:r>
      <w:r>
        <w:rPr>
          <w:spacing w:val="-22"/>
        </w:rPr>
        <w:t> </w:t>
      </w:r>
      <w:r>
        <w:rPr/>
        <w:t>tienen</w:t>
      </w:r>
      <w:r>
        <w:rPr>
          <w:spacing w:val="-10"/>
        </w:rPr>
        <w:t> </w:t>
      </w:r>
      <w:r>
        <w:rPr/>
        <w:t>la</w:t>
      </w:r>
      <w:r>
        <w:rPr>
          <w:spacing w:val="-18"/>
        </w:rPr>
        <w:t> </w:t>
      </w:r>
      <w:r>
        <w:rPr/>
        <w:t>libertad para modificar la página web que contiene la información pública de oficio de los responsables de la transparencia en los gobiernos municipales. Los resultados obtenidos muestran cómo los responsables de la transparencia que obtuvieron el primer lugar en que tienen libertad para modificar la página web que contiene la información pública de oficio pueden modificar lo suficiente con un 35.43%, en segundo</w:t>
      </w:r>
      <w:r>
        <w:rPr>
          <w:spacing w:val="-7"/>
        </w:rPr>
        <w:t> </w:t>
      </w:r>
      <w:r>
        <w:rPr/>
        <w:t>lugar</w:t>
      </w:r>
      <w:r>
        <w:rPr>
          <w:spacing w:val="-8"/>
        </w:rPr>
        <w:t> </w:t>
      </w:r>
      <w:r>
        <w:rPr/>
        <w:t>tenemos</w:t>
      </w:r>
      <w:r>
        <w:rPr>
          <w:spacing w:val="-8"/>
        </w:rPr>
        <w:t> </w:t>
      </w:r>
      <w:r>
        <w:rPr/>
        <w:t>a</w:t>
      </w:r>
      <w:r>
        <w:rPr>
          <w:spacing w:val="-7"/>
        </w:rPr>
        <w:t> </w:t>
      </w:r>
      <w:r>
        <w:rPr/>
        <w:t>los</w:t>
      </w:r>
      <w:r>
        <w:rPr>
          <w:spacing w:val="-7"/>
        </w:rPr>
        <w:t> </w:t>
      </w:r>
      <w:r>
        <w:rPr/>
        <w:t>que</w:t>
      </w:r>
      <w:r>
        <w:rPr>
          <w:spacing w:val="-7"/>
        </w:rPr>
        <w:t> </w:t>
      </w:r>
      <w:r>
        <w:rPr/>
        <w:t>pueden</w:t>
      </w:r>
      <w:r>
        <w:rPr>
          <w:spacing w:val="-9"/>
        </w:rPr>
        <w:t> </w:t>
      </w:r>
      <w:r>
        <w:rPr/>
        <w:t>modificar</w:t>
      </w:r>
      <w:r>
        <w:rPr>
          <w:spacing w:val="-8"/>
        </w:rPr>
        <w:t> </w:t>
      </w:r>
      <w:r>
        <w:rPr/>
        <w:t>la</w:t>
      </w:r>
      <w:r>
        <w:rPr>
          <w:spacing w:val="-7"/>
        </w:rPr>
        <w:t> </w:t>
      </w:r>
      <w:r>
        <w:rPr/>
        <w:t>información</w:t>
      </w:r>
      <w:r>
        <w:rPr>
          <w:spacing w:val="-9"/>
        </w:rPr>
        <w:t> </w:t>
      </w:r>
      <w:r>
        <w:rPr/>
        <w:t>completamente</w:t>
      </w:r>
      <w:r>
        <w:rPr>
          <w:spacing w:val="-7"/>
        </w:rPr>
        <w:t> </w:t>
      </w:r>
      <w:r>
        <w:rPr/>
        <w:t>la información</w:t>
      </w:r>
      <w:r>
        <w:rPr>
          <w:spacing w:val="-10"/>
        </w:rPr>
        <w:t> </w:t>
      </w:r>
      <w:r>
        <w:rPr/>
        <w:t>con</w:t>
      </w:r>
      <w:r>
        <w:rPr>
          <w:spacing w:val="-11"/>
        </w:rPr>
        <w:t> </w:t>
      </w:r>
      <w:r>
        <w:rPr/>
        <w:t>un</w:t>
      </w:r>
      <w:r>
        <w:rPr>
          <w:spacing w:val="-11"/>
        </w:rPr>
        <w:t> </w:t>
      </w:r>
      <w:r>
        <w:rPr/>
        <w:t>32.29%,</w:t>
      </w:r>
      <w:r>
        <w:rPr>
          <w:spacing w:val="-11"/>
        </w:rPr>
        <w:t> </w:t>
      </w:r>
      <w:r>
        <w:rPr/>
        <w:t>en</w:t>
      </w:r>
      <w:r>
        <w:rPr>
          <w:spacing w:val="-11"/>
        </w:rPr>
        <w:t> </w:t>
      </w:r>
      <w:r>
        <w:rPr/>
        <w:t>tercer</w:t>
      </w:r>
      <w:r>
        <w:rPr>
          <w:spacing w:val="-12"/>
        </w:rPr>
        <w:t> </w:t>
      </w:r>
      <w:r>
        <w:rPr/>
        <w:t>lugar</w:t>
      </w:r>
      <w:r>
        <w:rPr>
          <w:spacing w:val="-10"/>
        </w:rPr>
        <w:t> </w:t>
      </w:r>
      <w:r>
        <w:rPr/>
        <w:t>tenemos</w:t>
      </w:r>
      <w:r>
        <w:rPr>
          <w:spacing w:val="-12"/>
        </w:rPr>
        <w:t> </w:t>
      </w:r>
      <w:r>
        <w:rPr/>
        <w:t>a</w:t>
      </w:r>
      <w:r>
        <w:rPr>
          <w:spacing w:val="-8"/>
        </w:rPr>
        <w:t> </w:t>
      </w:r>
      <w:r>
        <w:rPr/>
        <w:t>los</w:t>
      </w:r>
      <w:r>
        <w:rPr>
          <w:spacing w:val="-11"/>
        </w:rPr>
        <w:t> </w:t>
      </w:r>
      <w:r>
        <w:rPr/>
        <w:t>que</w:t>
      </w:r>
      <w:r>
        <w:rPr>
          <w:spacing w:val="-3"/>
        </w:rPr>
        <w:t> </w:t>
      </w:r>
      <w:r>
        <w:rPr/>
        <w:t>solo</w:t>
      </w:r>
      <w:r>
        <w:rPr>
          <w:spacing w:val="-11"/>
        </w:rPr>
        <w:t> </w:t>
      </w:r>
      <w:r>
        <w:rPr/>
        <w:t>pueden</w:t>
      </w:r>
      <w:r>
        <w:rPr>
          <w:spacing w:val="-11"/>
        </w:rPr>
        <w:t> </w:t>
      </w:r>
      <w:r>
        <w:rPr/>
        <w:t>modificar lo suficiente la información con un 31.80% y en cuarto lugar tenemos a los que no pueden modificar absolutamente nada de la información con un</w:t>
      </w:r>
      <w:r>
        <w:rPr>
          <w:spacing w:val="-31"/>
        </w:rPr>
        <w:t> </w:t>
      </w:r>
      <w:r>
        <w:rPr/>
        <w:t>30.31%.</w:t>
      </w:r>
    </w:p>
    <w:p>
      <w:pPr>
        <w:pStyle w:val="BodyText"/>
      </w:pPr>
    </w:p>
    <w:p>
      <w:pPr>
        <w:pStyle w:val="BodyText"/>
      </w:pPr>
    </w:p>
    <w:p>
      <w:pPr>
        <w:pStyle w:val="BodyText"/>
        <w:spacing w:line="360" w:lineRule="auto" w:before="187"/>
        <w:ind w:left="108" w:right="118"/>
        <w:jc w:val="both"/>
      </w:pPr>
      <w:r>
        <w:rPr/>
        <w:t>En</w:t>
      </w:r>
      <w:r>
        <w:rPr>
          <w:spacing w:val="-9"/>
        </w:rPr>
        <w:t> </w:t>
      </w:r>
      <w:r>
        <w:rPr/>
        <w:t>un</w:t>
      </w:r>
      <w:r>
        <w:rPr>
          <w:spacing w:val="-9"/>
        </w:rPr>
        <w:t> </w:t>
      </w:r>
      <w:r>
        <w:rPr/>
        <w:t>sentido</w:t>
      </w:r>
      <w:r>
        <w:rPr>
          <w:spacing w:val="-9"/>
        </w:rPr>
        <w:t> </w:t>
      </w:r>
      <w:r>
        <w:rPr/>
        <w:t>retroactivo</w:t>
      </w:r>
      <w:r>
        <w:rPr>
          <w:spacing w:val="-9"/>
        </w:rPr>
        <w:t> </w:t>
      </w:r>
      <w:r>
        <w:rPr/>
        <w:t>del</w:t>
      </w:r>
      <w:r>
        <w:rPr>
          <w:spacing w:val="-11"/>
        </w:rPr>
        <w:t> </w:t>
      </w:r>
      <w:r>
        <w:rPr/>
        <w:t>periodo</w:t>
      </w:r>
      <w:r>
        <w:rPr>
          <w:spacing w:val="-9"/>
        </w:rPr>
        <w:t> </w:t>
      </w:r>
      <w:r>
        <w:rPr/>
        <w:t>de</w:t>
      </w:r>
      <w:r>
        <w:rPr>
          <w:spacing w:val="-9"/>
        </w:rPr>
        <w:t> </w:t>
      </w:r>
      <w:r>
        <w:rPr/>
        <w:t>administración</w:t>
      </w:r>
      <w:r>
        <w:rPr>
          <w:spacing w:val="-9"/>
        </w:rPr>
        <w:t> </w:t>
      </w:r>
      <w:r>
        <w:rPr/>
        <w:t>2013</w:t>
      </w:r>
      <w:r>
        <w:rPr>
          <w:spacing w:val="-3"/>
        </w:rPr>
        <w:t> </w:t>
      </w:r>
      <w:r>
        <w:rPr/>
        <w:t>-2015</w:t>
      </w:r>
      <w:r>
        <w:rPr>
          <w:spacing w:val="-9"/>
        </w:rPr>
        <w:t> </w:t>
      </w:r>
      <w:r>
        <w:rPr/>
        <w:t>la</w:t>
      </w:r>
      <w:r>
        <w:rPr>
          <w:spacing w:val="-9"/>
        </w:rPr>
        <w:t> </w:t>
      </w:r>
      <w:r>
        <w:rPr/>
        <w:t>siguiente</w:t>
      </w:r>
      <w:r>
        <w:rPr>
          <w:spacing w:val="-9"/>
        </w:rPr>
        <w:t> </w:t>
      </w:r>
      <w:r>
        <w:rPr/>
        <w:t>tabla muestra el promedio de cumplimiento de la ley de</w:t>
      </w:r>
      <w:r>
        <w:rPr>
          <w:spacing w:val="-18"/>
        </w:rPr>
        <w:t> </w:t>
      </w:r>
      <w:r>
        <w:rPr/>
        <w:t>transparencia:</w:t>
      </w:r>
    </w:p>
    <w:p>
      <w:pPr>
        <w:pStyle w:val="BodyText"/>
        <w:rPr>
          <w:sz w:val="20"/>
        </w:rPr>
      </w:pPr>
    </w:p>
    <w:p>
      <w:pPr>
        <w:pStyle w:val="BodyText"/>
        <w:rPr>
          <w:sz w:val="20"/>
        </w:rPr>
      </w:pPr>
    </w:p>
    <w:p>
      <w:pPr>
        <w:pStyle w:val="BodyText"/>
        <w:spacing w:before="4"/>
      </w:pPr>
    </w:p>
    <w:tbl>
      <w:tblPr>
        <w:tblW w:w="0" w:type="auto"/>
        <w:jc w:val="left"/>
        <w:tblInd w:w="15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53"/>
        <w:gridCol w:w="1130"/>
        <w:gridCol w:w="1131"/>
        <w:gridCol w:w="1133"/>
        <w:gridCol w:w="1164"/>
      </w:tblGrid>
      <w:tr>
        <w:trPr>
          <w:trHeight w:val="434" w:hRule="exact"/>
        </w:trPr>
        <w:tc>
          <w:tcPr>
            <w:tcW w:w="6111" w:type="dxa"/>
            <w:gridSpan w:val="5"/>
            <w:shd w:val="clear" w:color="auto" w:fill="92D050"/>
          </w:tcPr>
          <w:p>
            <w:pPr>
              <w:pStyle w:val="TableParagraph"/>
              <w:ind w:left="1255" w:right="114" w:hanging="1129"/>
              <w:jc w:val="left"/>
              <w:rPr>
                <w:b/>
                <w:sz w:val="18"/>
              </w:rPr>
            </w:pPr>
            <w:r>
              <w:rPr>
                <w:b/>
                <w:sz w:val="18"/>
              </w:rPr>
              <w:t>Tabla 3.61: Tiene libertad para modificar la página web que contiene la información Pública de oficio (IPOMEX)</w:t>
            </w:r>
          </w:p>
        </w:tc>
      </w:tr>
      <w:tr>
        <w:trPr>
          <w:trHeight w:val="545" w:hRule="exact"/>
        </w:trPr>
        <w:tc>
          <w:tcPr>
            <w:tcW w:w="1553" w:type="dxa"/>
            <w:shd w:val="clear" w:color="auto" w:fill="92D050"/>
          </w:tcPr>
          <w:p>
            <w:pPr>
              <w:pStyle w:val="TableParagraph"/>
              <w:spacing w:before="155"/>
              <w:ind w:left="506" w:right="507"/>
              <w:rPr>
                <w:b/>
                <w:sz w:val="18"/>
              </w:rPr>
            </w:pPr>
            <w:r>
              <w:rPr>
                <w:b/>
                <w:sz w:val="18"/>
              </w:rPr>
              <w:t>Clase</w:t>
            </w:r>
          </w:p>
        </w:tc>
        <w:tc>
          <w:tcPr>
            <w:tcW w:w="1130" w:type="dxa"/>
            <w:tcBorders>
              <w:bottom w:val="single" w:sz="4" w:space="0" w:color="000000"/>
            </w:tcBorders>
            <w:shd w:val="clear" w:color="auto" w:fill="92D050"/>
          </w:tcPr>
          <w:p>
            <w:pPr>
              <w:pStyle w:val="TableParagraph"/>
              <w:spacing w:before="155"/>
              <w:ind w:left="355"/>
              <w:jc w:val="left"/>
              <w:rPr>
                <w:b/>
                <w:sz w:val="18"/>
              </w:rPr>
            </w:pPr>
            <w:r>
              <w:rPr>
                <w:b/>
                <w:sz w:val="18"/>
              </w:rPr>
              <w:t>2013</w:t>
            </w:r>
          </w:p>
        </w:tc>
        <w:tc>
          <w:tcPr>
            <w:tcW w:w="1131" w:type="dxa"/>
            <w:tcBorders>
              <w:bottom w:val="single" w:sz="4" w:space="0" w:color="000000"/>
            </w:tcBorders>
            <w:shd w:val="clear" w:color="auto" w:fill="92D050"/>
          </w:tcPr>
          <w:p>
            <w:pPr>
              <w:pStyle w:val="TableParagraph"/>
              <w:spacing w:before="155"/>
              <w:ind w:left="355"/>
              <w:jc w:val="left"/>
              <w:rPr>
                <w:b/>
                <w:sz w:val="18"/>
              </w:rPr>
            </w:pPr>
            <w:r>
              <w:rPr>
                <w:b/>
                <w:sz w:val="18"/>
              </w:rPr>
              <w:t>2014</w:t>
            </w:r>
          </w:p>
        </w:tc>
        <w:tc>
          <w:tcPr>
            <w:tcW w:w="1133" w:type="dxa"/>
            <w:tcBorders>
              <w:bottom w:val="single" w:sz="4" w:space="0" w:color="000000"/>
            </w:tcBorders>
            <w:shd w:val="clear" w:color="auto" w:fill="92D050"/>
          </w:tcPr>
          <w:p>
            <w:pPr>
              <w:pStyle w:val="TableParagraph"/>
              <w:spacing w:before="155"/>
              <w:ind w:left="355"/>
              <w:jc w:val="left"/>
              <w:rPr>
                <w:b/>
                <w:sz w:val="18"/>
              </w:rPr>
            </w:pPr>
            <w:r>
              <w:rPr>
                <w:b/>
                <w:sz w:val="18"/>
              </w:rPr>
              <w:t>2015</w:t>
            </w:r>
          </w:p>
        </w:tc>
        <w:tc>
          <w:tcPr>
            <w:tcW w:w="1164" w:type="dxa"/>
            <w:tcBorders>
              <w:bottom w:val="single" w:sz="4" w:space="0" w:color="000000"/>
            </w:tcBorders>
            <w:shd w:val="clear" w:color="auto" w:fill="92D050"/>
          </w:tcPr>
          <w:p>
            <w:pPr>
              <w:pStyle w:val="TableParagraph"/>
              <w:spacing w:before="52"/>
              <w:ind w:left="249" w:right="141" w:hanging="96"/>
              <w:jc w:val="left"/>
              <w:rPr>
                <w:b/>
                <w:sz w:val="18"/>
              </w:rPr>
            </w:pPr>
            <w:r>
              <w:rPr>
                <w:b/>
                <w:sz w:val="18"/>
              </w:rPr>
              <w:t>Promedio general</w:t>
            </w:r>
          </w:p>
        </w:tc>
      </w:tr>
      <w:tr>
        <w:trPr>
          <w:trHeight w:val="271" w:hRule="exact"/>
        </w:trPr>
        <w:tc>
          <w:tcPr>
            <w:tcW w:w="1553" w:type="dxa"/>
            <w:tcBorders>
              <w:left w:val="single" w:sz="4" w:space="0" w:color="000000"/>
              <w:bottom w:val="single" w:sz="4" w:space="0" w:color="000000"/>
              <w:right w:val="single" w:sz="4" w:space="0" w:color="000000"/>
            </w:tcBorders>
          </w:tcPr>
          <w:p>
            <w:pPr>
              <w:pStyle w:val="TableParagraph"/>
              <w:spacing w:before="49"/>
              <w:ind w:left="64" w:right="273"/>
              <w:jc w:val="left"/>
              <w:rPr>
                <w:sz w:val="18"/>
              </w:rPr>
            </w:pPr>
            <w:r>
              <w:rPr>
                <w:sz w:val="18"/>
              </w:rPr>
              <w:t>Nada</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54"/>
              <w:ind w:right="61"/>
              <w:jc w:val="right"/>
              <w:rPr>
                <w:sz w:val="18"/>
              </w:rPr>
            </w:pPr>
            <w:r>
              <w:rPr>
                <w:sz w:val="18"/>
              </w:rPr>
              <w:t>93.20%</w:t>
            </w:r>
          </w:p>
        </w:tc>
        <w:tc>
          <w:tcPr>
            <w:tcW w:w="1131" w:type="dxa"/>
            <w:tcBorders>
              <w:top w:val="single" w:sz="4" w:space="0" w:color="000000"/>
              <w:left w:val="single" w:sz="4" w:space="0" w:color="000000"/>
              <w:bottom w:val="single" w:sz="4" w:space="0" w:color="000000"/>
              <w:right w:val="single" w:sz="4" w:space="0" w:color="000000"/>
            </w:tcBorders>
          </w:tcPr>
          <w:p>
            <w:pPr>
              <w:pStyle w:val="TableParagraph"/>
              <w:spacing w:before="54"/>
              <w:ind w:right="62"/>
              <w:jc w:val="right"/>
              <w:rPr>
                <w:sz w:val="18"/>
              </w:rPr>
            </w:pPr>
            <w:r>
              <w:rPr>
                <w:sz w:val="18"/>
              </w:rPr>
              <w:t>96.11%</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54"/>
              <w:ind w:right="64"/>
              <w:jc w:val="right"/>
              <w:rPr>
                <w:sz w:val="18"/>
              </w:rPr>
            </w:pPr>
            <w:r>
              <w:rPr>
                <w:sz w:val="18"/>
              </w:rPr>
              <w:t>30.31%</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54"/>
              <w:ind w:right="64"/>
              <w:jc w:val="right"/>
              <w:rPr>
                <w:sz w:val="18"/>
              </w:rPr>
            </w:pPr>
            <w:r>
              <w:rPr>
                <w:sz w:val="18"/>
              </w:rPr>
              <w:t>73.21%</w:t>
            </w:r>
          </w:p>
        </w:tc>
      </w:tr>
      <w:tr>
        <w:trPr>
          <w:trHeight w:val="264" w:hRule="exact"/>
        </w:trPr>
        <w:tc>
          <w:tcPr>
            <w:tcW w:w="1553"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right="273"/>
              <w:jc w:val="left"/>
              <w:rPr>
                <w:sz w:val="18"/>
              </w:rPr>
            </w:pPr>
            <w:r>
              <w:rPr>
                <w:sz w:val="18"/>
              </w:rPr>
              <w:t>Lo necesario</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S/I</w:t>
            </w:r>
          </w:p>
        </w:tc>
        <w:tc>
          <w:tcPr>
            <w:tcW w:w="1131" w:type="dxa"/>
            <w:tcBorders>
              <w:top w:val="single" w:sz="4" w:space="0" w:color="000000"/>
              <w:left w:val="single" w:sz="4" w:space="0" w:color="000000"/>
              <w:bottom w:val="single" w:sz="4" w:space="0" w:color="000000"/>
              <w:right w:val="single" w:sz="4" w:space="0" w:color="000000"/>
            </w:tcBorders>
          </w:tcPr>
          <w:p>
            <w:pPr>
              <w:pStyle w:val="TableParagraph"/>
              <w:spacing w:before="47"/>
              <w:ind w:right="62"/>
              <w:jc w:val="right"/>
              <w:rPr>
                <w:sz w:val="18"/>
              </w:rPr>
            </w:pPr>
            <w:r>
              <w:rPr>
                <w:sz w:val="18"/>
              </w:rPr>
              <w:t>80.02%</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47"/>
              <w:ind w:right="64"/>
              <w:jc w:val="right"/>
              <w:rPr>
                <w:sz w:val="18"/>
              </w:rPr>
            </w:pPr>
            <w:r>
              <w:rPr>
                <w:sz w:val="18"/>
              </w:rPr>
              <w:t>31.80%</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47"/>
              <w:ind w:right="64"/>
              <w:jc w:val="right"/>
              <w:rPr>
                <w:sz w:val="18"/>
              </w:rPr>
            </w:pPr>
            <w:r>
              <w:rPr>
                <w:sz w:val="18"/>
              </w:rPr>
              <w:t>55.91%</w:t>
            </w:r>
          </w:p>
        </w:tc>
      </w:tr>
      <w:tr>
        <w:trPr>
          <w:trHeight w:val="266" w:hRule="exact"/>
        </w:trPr>
        <w:tc>
          <w:tcPr>
            <w:tcW w:w="1553"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right="273"/>
              <w:jc w:val="left"/>
              <w:rPr>
                <w:sz w:val="18"/>
              </w:rPr>
            </w:pPr>
            <w:r>
              <w:rPr>
                <w:sz w:val="18"/>
              </w:rPr>
              <w:t>Lo suficiente</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97.50%</w:t>
            </w:r>
          </w:p>
        </w:tc>
        <w:tc>
          <w:tcPr>
            <w:tcW w:w="1131" w:type="dxa"/>
            <w:tcBorders>
              <w:top w:val="single" w:sz="4" w:space="0" w:color="000000"/>
              <w:left w:val="single" w:sz="4" w:space="0" w:color="000000"/>
              <w:bottom w:val="single" w:sz="4" w:space="0" w:color="000000"/>
              <w:right w:val="single" w:sz="4" w:space="0" w:color="000000"/>
            </w:tcBorders>
          </w:tcPr>
          <w:p>
            <w:pPr>
              <w:pStyle w:val="TableParagraph"/>
              <w:spacing w:before="47"/>
              <w:ind w:right="62"/>
              <w:jc w:val="right"/>
              <w:rPr>
                <w:sz w:val="18"/>
              </w:rPr>
            </w:pPr>
            <w:r>
              <w:rPr>
                <w:sz w:val="18"/>
              </w:rPr>
              <w:t>78.96%</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47"/>
              <w:ind w:right="64"/>
              <w:jc w:val="right"/>
              <w:rPr>
                <w:sz w:val="18"/>
              </w:rPr>
            </w:pPr>
            <w:r>
              <w:rPr>
                <w:sz w:val="18"/>
              </w:rPr>
              <w:t>35.43%</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47"/>
              <w:ind w:right="63"/>
              <w:jc w:val="right"/>
              <w:rPr>
                <w:sz w:val="18"/>
              </w:rPr>
            </w:pPr>
            <w:r>
              <w:rPr>
                <w:sz w:val="18"/>
              </w:rPr>
              <w:t>70.63%</w:t>
            </w:r>
          </w:p>
        </w:tc>
      </w:tr>
      <w:tr>
        <w:trPr>
          <w:trHeight w:val="264" w:hRule="exact"/>
        </w:trPr>
        <w:tc>
          <w:tcPr>
            <w:tcW w:w="1553"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Completamente</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85.06%</w:t>
            </w:r>
          </w:p>
        </w:tc>
        <w:tc>
          <w:tcPr>
            <w:tcW w:w="1131" w:type="dxa"/>
            <w:tcBorders>
              <w:top w:val="single" w:sz="4" w:space="0" w:color="000000"/>
              <w:left w:val="single" w:sz="4" w:space="0" w:color="000000"/>
              <w:bottom w:val="single" w:sz="4" w:space="0" w:color="000000"/>
              <w:right w:val="single" w:sz="4" w:space="0" w:color="000000"/>
            </w:tcBorders>
          </w:tcPr>
          <w:p>
            <w:pPr>
              <w:pStyle w:val="TableParagraph"/>
              <w:spacing w:before="47"/>
              <w:ind w:right="62"/>
              <w:jc w:val="right"/>
              <w:rPr>
                <w:sz w:val="18"/>
              </w:rPr>
            </w:pPr>
            <w:r>
              <w:rPr>
                <w:sz w:val="18"/>
              </w:rPr>
              <w:t>61.51%</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47"/>
              <w:ind w:right="64"/>
              <w:jc w:val="right"/>
              <w:rPr>
                <w:sz w:val="18"/>
              </w:rPr>
            </w:pPr>
            <w:r>
              <w:rPr>
                <w:sz w:val="18"/>
              </w:rPr>
              <w:t>32.29%</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47"/>
              <w:ind w:right="64"/>
              <w:jc w:val="right"/>
              <w:rPr>
                <w:sz w:val="18"/>
              </w:rPr>
            </w:pPr>
            <w:r>
              <w:rPr>
                <w:sz w:val="18"/>
              </w:rPr>
              <w:t>59.62%</w:t>
            </w:r>
          </w:p>
        </w:tc>
      </w:tr>
    </w:tbl>
    <w:p>
      <w:pPr>
        <w:spacing w:before="68"/>
        <w:ind w:left="1589" w:right="6" w:firstLine="0"/>
        <w:jc w:val="left"/>
        <w:rPr>
          <w:sz w:val="16"/>
        </w:rPr>
      </w:pPr>
      <w:r>
        <w:rPr>
          <w:sz w:val="16"/>
        </w:rPr>
        <w:t>Fuente: Elaboración propia</w:t>
      </w:r>
    </w:p>
    <w:p>
      <w:pPr>
        <w:pStyle w:val="BodyText"/>
        <w:rPr>
          <w:sz w:val="20"/>
        </w:rPr>
      </w:pPr>
    </w:p>
    <w:p>
      <w:pPr>
        <w:pStyle w:val="BodyText"/>
      </w:pPr>
    </w:p>
    <w:p>
      <w:pPr>
        <w:pStyle w:val="BodyText"/>
        <w:spacing w:line="360" w:lineRule="auto" w:before="70"/>
        <w:ind w:left="108" w:right="116"/>
        <w:jc w:val="both"/>
      </w:pPr>
      <w:r>
        <w:rPr/>
        <w:t>Durante el periodo que comprende el 2013-2015 se tuvo un promedio de cumplimiento de la ley tal como se describe a continuación: en primer lugar se encuentran los representantes que no tienen libertad para modificar la información pública de su municipio con un 73.21%, en segundo lugar aparecen los pueden modificar solo lo suficiente de su información obteniendo un 70.63%, en tercer lugar se encuentran los que pueden modificar la información completamente con un 59.62%</w:t>
      </w:r>
      <w:r>
        <w:rPr>
          <w:spacing w:val="-14"/>
        </w:rPr>
        <w:t> </w:t>
      </w:r>
      <w:r>
        <w:rPr/>
        <w:t>y</w:t>
      </w:r>
      <w:r>
        <w:rPr>
          <w:spacing w:val="-16"/>
        </w:rPr>
        <w:t> </w:t>
      </w:r>
      <w:r>
        <w:rPr/>
        <w:t>en</w:t>
      </w:r>
      <w:r>
        <w:rPr>
          <w:spacing w:val="-13"/>
        </w:rPr>
        <w:t> </w:t>
      </w:r>
      <w:r>
        <w:rPr/>
        <w:t>cuarto</w:t>
      </w:r>
      <w:r>
        <w:rPr>
          <w:spacing w:val="-13"/>
        </w:rPr>
        <w:t> </w:t>
      </w:r>
      <w:r>
        <w:rPr/>
        <w:t>lugar</w:t>
      </w:r>
      <w:r>
        <w:rPr>
          <w:spacing w:val="-15"/>
        </w:rPr>
        <w:t> </w:t>
      </w:r>
      <w:r>
        <w:rPr/>
        <w:t>se</w:t>
      </w:r>
      <w:r>
        <w:rPr>
          <w:spacing w:val="-13"/>
        </w:rPr>
        <w:t> </w:t>
      </w:r>
      <w:r>
        <w:rPr/>
        <w:t>encuentran</w:t>
      </w:r>
      <w:r>
        <w:rPr>
          <w:spacing w:val="-13"/>
        </w:rPr>
        <w:t> </w:t>
      </w:r>
      <w:r>
        <w:rPr/>
        <w:t>los</w:t>
      </w:r>
      <w:r>
        <w:rPr>
          <w:spacing w:val="-13"/>
        </w:rPr>
        <w:t> </w:t>
      </w:r>
      <w:r>
        <w:rPr/>
        <w:t>que</w:t>
      </w:r>
      <w:r>
        <w:rPr>
          <w:spacing w:val="-13"/>
        </w:rPr>
        <w:t> </w:t>
      </w:r>
      <w:r>
        <w:rPr/>
        <w:t>pueden</w:t>
      </w:r>
      <w:r>
        <w:rPr>
          <w:spacing w:val="-13"/>
        </w:rPr>
        <w:t> </w:t>
      </w:r>
      <w:r>
        <w:rPr/>
        <w:t>modificar</w:t>
      </w:r>
      <w:r>
        <w:rPr>
          <w:spacing w:val="-14"/>
        </w:rPr>
        <w:t> </w:t>
      </w:r>
      <w:r>
        <w:rPr/>
        <w:t>la</w:t>
      </w:r>
      <w:r>
        <w:rPr>
          <w:spacing w:val="-13"/>
        </w:rPr>
        <w:t> </w:t>
      </w:r>
      <w:r>
        <w:rPr/>
        <w:t>información</w:t>
      </w:r>
      <w:r>
        <w:rPr>
          <w:spacing w:val="-5"/>
        </w:rPr>
        <w:t> </w:t>
      </w:r>
      <w:r>
        <w:rPr/>
        <w:t>solo lo suficiente con un</w:t>
      </w:r>
      <w:r>
        <w:rPr>
          <w:spacing w:val="-8"/>
        </w:rPr>
        <w:t> </w:t>
      </w:r>
      <w:r>
        <w:rPr/>
        <w:t>55.91%.</w:t>
      </w:r>
    </w:p>
    <w:p>
      <w:pPr>
        <w:spacing w:after="0" w:line="360" w:lineRule="auto"/>
        <w:jc w:val="both"/>
        <w:sectPr>
          <w:pgSz w:w="12240" w:h="15840"/>
          <w:pgMar w:header="0" w:footer="1035" w:top="1360" w:bottom="1220" w:left="1500" w:right="1580"/>
        </w:sectPr>
      </w:pPr>
    </w:p>
    <w:p>
      <w:pPr>
        <w:pStyle w:val="Heading1"/>
        <w:numPr>
          <w:ilvl w:val="2"/>
          <w:numId w:val="53"/>
        </w:numPr>
        <w:tabs>
          <w:tab w:pos="837" w:val="left" w:leader="none"/>
        </w:tabs>
        <w:spacing w:line="362" w:lineRule="auto" w:before="54" w:after="0"/>
        <w:ind w:left="836" w:right="126" w:hanging="720"/>
        <w:jc w:val="left"/>
      </w:pPr>
      <w:r>
        <w:rPr/>
        <w:t>Se realizan comités, asociaciones, consejos, entre otros para fomentar la participación ciudadana vs porcentaje de transparencia</w:t>
      </w:r>
      <w:r>
        <w:rPr>
          <w:spacing w:val="-16"/>
        </w:rPr>
        <w:t> </w:t>
      </w:r>
      <w:r>
        <w:rPr/>
        <w:t>2015.</w:t>
      </w:r>
    </w:p>
    <w:p>
      <w:pPr>
        <w:pStyle w:val="BodyText"/>
        <w:rPr>
          <w:b/>
          <w:sz w:val="20"/>
        </w:rPr>
      </w:pPr>
    </w:p>
    <w:p>
      <w:pPr>
        <w:pStyle w:val="BodyText"/>
        <w:spacing w:before="4"/>
        <w:rPr>
          <w:b/>
          <w:sz w:val="19"/>
        </w:rPr>
      </w:pPr>
    </w:p>
    <w:tbl>
      <w:tblPr>
        <w:tblW w:w="0" w:type="auto"/>
        <w:jc w:val="left"/>
        <w:tblInd w:w="26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53"/>
        <w:gridCol w:w="1200"/>
        <w:gridCol w:w="1200"/>
      </w:tblGrid>
      <w:tr>
        <w:trPr>
          <w:trHeight w:val="641" w:hRule="exact"/>
        </w:trPr>
        <w:tc>
          <w:tcPr>
            <w:tcW w:w="3953" w:type="dxa"/>
            <w:gridSpan w:val="3"/>
            <w:shd w:val="clear" w:color="auto" w:fill="92D050"/>
          </w:tcPr>
          <w:p>
            <w:pPr>
              <w:pStyle w:val="TableParagraph"/>
              <w:ind w:left="223" w:right="229" w:firstLine="4"/>
              <w:rPr>
                <w:b/>
                <w:sz w:val="18"/>
              </w:rPr>
            </w:pPr>
            <w:r>
              <w:rPr>
                <w:b/>
                <w:sz w:val="18"/>
              </w:rPr>
              <w:t>Tabla 3.62: Se realizan comités, asociaciones, consejos, entre otros para fomentar la participación ciudadana</w:t>
            </w:r>
          </w:p>
        </w:tc>
      </w:tr>
      <w:tr>
        <w:trPr>
          <w:trHeight w:val="290" w:hRule="exact"/>
        </w:trPr>
        <w:tc>
          <w:tcPr>
            <w:tcW w:w="1553" w:type="dxa"/>
            <w:vMerge w:val="restart"/>
            <w:shd w:val="clear" w:color="auto" w:fill="92D050"/>
          </w:tcPr>
          <w:p>
            <w:pPr>
              <w:pStyle w:val="TableParagraph"/>
              <w:jc w:val="left"/>
              <w:rPr>
                <w:b/>
                <w:sz w:val="26"/>
              </w:rPr>
            </w:pPr>
          </w:p>
          <w:p>
            <w:pPr>
              <w:pStyle w:val="TableParagraph"/>
              <w:ind w:left="506" w:right="507"/>
              <w:rPr>
                <w:b/>
                <w:sz w:val="18"/>
              </w:rPr>
            </w:pPr>
            <w:r>
              <w:rPr>
                <w:b/>
                <w:sz w:val="18"/>
              </w:rPr>
              <w:t>Clase</w:t>
            </w:r>
          </w:p>
        </w:tc>
        <w:tc>
          <w:tcPr>
            <w:tcW w:w="2400" w:type="dxa"/>
            <w:gridSpan w:val="2"/>
            <w:shd w:val="clear" w:color="auto" w:fill="92D050"/>
          </w:tcPr>
          <w:p>
            <w:pPr>
              <w:pStyle w:val="TableParagraph"/>
              <w:spacing w:before="25"/>
              <w:ind w:left="967" w:right="967"/>
              <w:rPr>
                <w:b/>
                <w:sz w:val="18"/>
              </w:rPr>
            </w:pPr>
            <w:r>
              <w:rPr>
                <w:b/>
                <w:sz w:val="18"/>
              </w:rPr>
              <w:t>2015</w:t>
            </w:r>
          </w:p>
        </w:tc>
      </w:tr>
      <w:tr>
        <w:trPr>
          <w:trHeight w:val="545" w:hRule="exact"/>
        </w:trPr>
        <w:tc>
          <w:tcPr>
            <w:tcW w:w="1553" w:type="dxa"/>
            <w:vMerge/>
            <w:shd w:val="clear" w:color="auto" w:fill="92D050"/>
          </w:tcPr>
          <w:p>
            <w:pPr/>
          </w:p>
        </w:tc>
        <w:tc>
          <w:tcPr>
            <w:tcW w:w="1200" w:type="dxa"/>
            <w:shd w:val="clear" w:color="auto" w:fill="92D050"/>
          </w:tcPr>
          <w:p>
            <w:pPr>
              <w:pStyle w:val="TableParagraph"/>
              <w:spacing w:before="152"/>
              <w:ind w:right="113"/>
              <w:jc w:val="right"/>
              <w:rPr>
                <w:b/>
                <w:sz w:val="18"/>
              </w:rPr>
            </w:pPr>
            <w:r>
              <w:rPr>
                <w:b/>
                <w:sz w:val="18"/>
              </w:rPr>
              <w:t>Frecuencia</w:t>
            </w:r>
          </w:p>
        </w:tc>
        <w:tc>
          <w:tcPr>
            <w:tcW w:w="1200" w:type="dxa"/>
            <w:shd w:val="clear" w:color="auto" w:fill="92D050"/>
          </w:tcPr>
          <w:p>
            <w:pPr>
              <w:pStyle w:val="TableParagraph"/>
              <w:spacing w:before="152"/>
              <w:ind w:left="508"/>
              <w:jc w:val="left"/>
              <w:rPr>
                <w:b/>
                <w:sz w:val="18"/>
              </w:rPr>
            </w:pPr>
            <w:r>
              <w:rPr>
                <w:b/>
                <w:w w:val="99"/>
                <w:sz w:val="18"/>
              </w:rPr>
              <w:t>%</w:t>
            </w:r>
          </w:p>
        </w:tc>
      </w:tr>
      <w:tr>
        <w:trPr>
          <w:trHeight w:val="269" w:hRule="exact"/>
        </w:trPr>
        <w:tc>
          <w:tcPr>
            <w:tcW w:w="1553" w:type="dxa"/>
            <w:tcBorders>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Nada</w:t>
            </w:r>
          </w:p>
        </w:tc>
        <w:tc>
          <w:tcPr>
            <w:tcW w:w="1200" w:type="dxa"/>
            <w:tcBorders>
              <w:left w:val="single" w:sz="4" w:space="0" w:color="000000"/>
              <w:bottom w:val="single" w:sz="4" w:space="0" w:color="000000"/>
              <w:right w:val="single" w:sz="4" w:space="0" w:color="000000"/>
            </w:tcBorders>
          </w:tcPr>
          <w:p>
            <w:pPr>
              <w:pStyle w:val="TableParagraph"/>
              <w:spacing w:before="47"/>
              <w:ind w:right="63"/>
              <w:jc w:val="right"/>
              <w:rPr>
                <w:sz w:val="18"/>
              </w:rPr>
            </w:pPr>
            <w:r>
              <w:rPr>
                <w:w w:val="99"/>
                <w:sz w:val="18"/>
              </w:rPr>
              <w:t>6</w:t>
            </w:r>
          </w:p>
        </w:tc>
        <w:tc>
          <w:tcPr>
            <w:tcW w:w="1200" w:type="dxa"/>
            <w:tcBorders>
              <w:left w:val="single" w:sz="4" w:space="0" w:color="000000"/>
              <w:bottom w:val="single" w:sz="4" w:space="0" w:color="000000"/>
              <w:right w:val="single" w:sz="4" w:space="0" w:color="000000"/>
            </w:tcBorders>
          </w:tcPr>
          <w:p>
            <w:pPr>
              <w:pStyle w:val="TableParagraph"/>
              <w:spacing w:before="47"/>
              <w:ind w:left="516"/>
              <w:jc w:val="left"/>
              <w:rPr>
                <w:sz w:val="18"/>
              </w:rPr>
            </w:pPr>
            <w:r>
              <w:rPr>
                <w:sz w:val="18"/>
              </w:rPr>
              <w:t>24.93%</w:t>
            </w:r>
          </w:p>
        </w:tc>
      </w:tr>
      <w:tr>
        <w:trPr>
          <w:trHeight w:val="266" w:hRule="exact"/>
        </w:trPr>
        <w:tc>
          <w:tcPr>
            <w:tcW w:w="1553" w:type="dxa"/>
            <w:tcBorders>
              <w:top w:val="single" w:sz="4" w:space="0" w:color="000000"/>
              <w:left w:val="single" w:sz="4" w:space="0" w:color="000000"/>
              <w:bottom w:val="single" w:sz="4" w:space="0" w:color="000000"/>
              <w:right w:val="single" w:sz="4" w:space="0" w:color="000000"/>
            </w:tcBorders>
          </w:tcPr>
          <w:p>
            <w:pPr>
              <w:pStyle w:val="TableParagraph"/>
              <w:spacing w:before="49"/>
              <w:ind w:left="64"/>
              <w:jc w:val="left"/>
              <w:rPr>
                <w:sz w:val="18"/>
              </w:rPr>
            </w:pPr>
            <w:r>
              <w:rPr>
                <w:sz w:val="18"/>
              </w:rPr>
              <w:t>Lo necesario</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9"/>
              <w:ind w:right="60"/>
              <w:jc w:val="right"/>
              <w:rPr>
                <w:sz w:val="18"/>
              </w:rPr>
            </w:pPr>
            <w:r>
              <w:rPr>
                <w:sz w:val="18"/>
              </w:rPr>
              <w:t>10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9"/>
              <w:ind w:left="516"/>
              <w:jc w:val="left"/>
              <w:rPr>
                <w:sz w:val="18"/>
              </w:rPr>
            </w:pPr>
            <w:r>
              <w:rPr>
                <w:sz w:val="18"/>
              </w:rPr>
              <w:t>27.90%</w:t>
            </w:r>
          </w:p>
        </w:tc>
      </w:tr>
      <w:tr>
        <w:trPr>
          <w:trHeight w:val="264" w:hRule="exact"/>
        </w:trPr>
        <w:tc>
          <w:tcPr>
            <w:tcW w:w="1553"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Lo suficiente</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60"/>
              <w:jc w:val="right"/>
              <w:rPr>
                <w:sz w:val="18"/>
              </w:rPr>
            </w:pPr>
            <w:r>
              <w:rPr>
                <w:sz w:val="18"/>
              </w:rPr>
              <w:t>16</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516"/>
              <w:jc w:val="left"/>
              <w:rPr>
                <w:sz w:val="18"/>
              </w:rPr>
            </w:pPr>
            <w:r>
              <w:rPr>
                <w:sz w:val="18"/>
              </w:rPr>
              <w:t>31.22%</w:t>
            </w:r>
          </w:p>
        </w:tc>
      </w:tr>
      <w:tr>
        <w:trPr>
          <w:trHeight w:val="267" w:hRule="exact"/>
        </w:trPr>
        <w:tc>
          <w:tcPr>
            <w:tcW w:w="1553"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Completamente</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60"/>
              <w:jc w:val="right"/>
              <w:rPr>
                <w:sz w:val="18"/>
              </w:rPr>
            </w:pPr>
            <w:r>
              <w:rPr>
                <w:sz w:val="18"/>
              </w:rPr>
              <w:t>14</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516"/>
              <w:jc w:val="left"/>
              <w:rPr>
                <w:sz w:val="18"/>
              </w:rPr>
            </w:pPr>
            <w:r>
              <w:rPr>
                <w:sz w:val="18"/>
              </w:rPr>
              <w:t>41.06%</w:t>
            </w:r>
          </w:p>
        </w:tc>
      </w:tr>
    </w:tbl>
    <w:p>
      <w:pPr>
        <w:spacing w:before="66"/>
        <w:ind w:left="2687" w:right="26" w:firstLine="0"/>
        <w:jc w:val="left"/>
        <w:rPr>
          <w:sz w:val="16"/>
        </w:rPr>
      </w:pPr>
      <w:r>
        <w:rPr>
          <w:sz w:val="16"/>
        </w:rPr>
        <w:t>Fuente: Elaboración propia</w:t>
      </w:r>
    </w:p>
    <w:p>
      <w:pPr>
        <w:pStyle w:val="BodyText"/>
        <w:rPr>
          <w:sz w:val="20"/>
        </w:rPr>
      </w:pPr>
    </w:p>
    <w:p>
      <w:pPr>
        <w:pStyle w:val="BodyText"/>
      </w:pPr>
    </w:p>
    <w:p>
      <w:pPr>
        <w:pStyle w:val="BodyText"/>
        <w:spacing w:line="360" w:lineRule="auto" w:before="70"/>
        <w:ind w:left="128" w:right="115"/>
        <w:jc w:val="both"/>
      </w:pPr>
      <w:r>
        <w:rPr/>
        <w:t>En la tabla anterior se muestran los resultados obtenidos de hacer el cruce de las variables del cumplimiento de la ley de transparencia en relación a si se realizan comités,</w:t>
      </w:r>
      <w:r>
        <w:rPr>
          <w:spacing w:val="-16"/>
        </w:rPr>
        <w:t> </w:t>
      </w:r>
      <w:r>
        <w:rPr/>
        <w:t>asociaciones,</w:t>
      </w:r>
      <w:r>
        <w:rPr>
          <w:spacing w:val="-18"/>
        </w:rPr>
        <w:t> </w:t>
      </w:r>
      <w:r>
        <w:rPr/>
        <w:t>consejos</w:t>
      </w:r>
      <w:r>
        <w:rPr>
          <w:spacing w:val="-16"/>
        </w:rPr>
        <w:t> </w:t>
      </w:r>
      <w:r>
        <w:rPr/>
        <w:t>entre</w:t>
      </w:r>
      <w:r>
        <w:rPr>
          <w:spacing w:val="-16"/>
        </w:rPr>
        <w:t> </w:t>
      </w:r>
      <w:r>
        <w:rPr/>
        <w:t>otros</w:t>
      </w:r>
      <w:r>
        <w:rPr>
          <w:spacing w:val="-16"/>
        </w:rPr>
        <w:t> </w:t>
      </w:r>
      <w:r>
        <w:rPr/>
        <w:t>para</w:t>
      </w:r>
      <w:r>
        <w:rPr>
          <w:spacing w:val="-16"/>
        </w:rPr>
        <w:t> </w:t>
      </w:r>
      <w:r>
        <w:rPr/>
        <w:t>fomentar</w:t>
      </w:r>
      <w:r>
        <w:rPr>
          <w:spacing w:val="-15"/>
        </w:rPr>
        <w:t> </w:t>
      </w:r>
      <w:r>
        <w:rPr/>
        <w:t>la</w:t>
      </w:r>
      <w:r>
        <w:rPr>
          <w:spacing w:val="-16"/>
        </w:rPr>
        <w:t> </w:t>
      </w:r>
      <w:r>
        <w:rPr/>
        <w:t>participación</w:t>
      </w:r>
      <w:r>
        <w:rPr>
          <w:spacing w:val="-13"/>
        </w:rPr>
        <w:t> </w:t>
      </w:r>
      <w:r>
        <w:rPr/>
        <w:t>ciudadana de</w:t>
      </w:r>
      <w:r>
        <w:rPr>
          <w:spacing w:val="-17"/>
        </w:rPr>
        <w:t> </w:t>
      </w:r>
      <w:r>
        <w:rPr/>
        <w:t>los</w:t>
      </w:r>
      <w:r>
        <w:rPr>
          <w:spacing w:val="-19"/>
        </w:rPr>
        <w:t> </w:t>
      </w:r>
      <w:r>
        <w:rPr/>
        <w:t>responsables</w:t>
      </w:r>
      <w:r>
        <w:rPr>
          <w:spacing w:val="-19"/>
        </w:rPr>
        <w:t> </w:t>
      </w:r>
      <w:r>
        <w:rPr/>
        <w:t>de</w:t>
      </w:r>
      <w:r>
        <w:rPr>
          <w:spacing w:val="-19"/>
        </w:rPr>
        <w:t> </w:t>
      </w:r>
      <w:r>
        <w:rPr/>
        <w:t>la</w:t>
      </w:r>
      <w:r>
        <w:rPr>
          <w:spacing w:val="-19"/>
        </w:rPr>
        <w:t> </w:t>
      </w:r>
      <w:r>
        <w:rPr/>
        <w:t>transparencia</w:t>
      </w:r>
      <w:r>
        <w:rPr>
          <w:spacing w:val="-19"/>
        </w:rPr>
        <w:t> </w:t>
      </w:r>
      <w:r>
        <w:rPr/>
        <w:t>en</w:t>
      </w:r>
      <w:r>
        <w:rPr>
          <w:spacing w:val="-17"/>
        </w:rPr>
        <w:t> </w:t>
      </w:r>
      <w:r>
        <w:rPr/>
        <w:t>los</w:t>
      </w:r>
      <w:r>
        <w:rPr>
          <w:spacing w:val="-19"/>
        </w:rPr>
        <w:t> </w:t>
      </w:r>
      <w:r>
        <w:rPr/>
        <w:t>gobiernos</w:t>
      </w:r>
      <w:r>
        <w:rPr>
          <w:spacing w:val="-22"/>
        </w:rPr>
        <w:t> </w:t>
      </w:r>
      <w:r>
        <w:rPr/>
        <w:t>municipales.</w:t>
      </w:r>
      <w:r>
        <w:rPr>
          <w:spacing w:val="-17"/>
        </w:rPr>
        <w:t> </w:t>
      </w:r>
      <w:r>
        <w:rPr/>
        <w:t>Los</w:t>
      </w:r>
      <w:r>
        <w:rPr>
          <w:spacing w:val="-11"/>
        </w:rPr>
        <w:t> </w:t>
      </w:r>
      <w:r>
        <w:rPr/>
        <w:t>resultados obtenidos muestran cómo los responsables de la transparencia que obtuvieron el primer lugar al decir que se realizan completamente comités para la participación ciudadana con un 41.06%, en segundo lugar, se encuentran los que solo realizan comités lo suficiente para la participación con un 31.22%, en tercer lugar se encuentran los que solo lo necesario realizan comités con un 27.90% y en cuarto lugar se encuentran los que no forman los comités al obtener un</w:t>
      </w:r>
      <w:r>
        <w:rPr>
          <w:spacing w:val="-25"/>
        </w:rPr>
        <w:t> </w:t>
      </w:r>
      <w:r>
        <w:rPr/>
        <w:t>24.93%.</w:t>
      </w:r>
    </w:p>
    <w:p>
      <w:pPr>
        <w:pStyle w:val="BodyText"/>
      </w:pPr>
    </w:p>
    <w:p>
      <w:pPr>
        <w:pStyle w:val="BodyText"/>
        <w:spacing w:line="360" w:lineRule="auto" w:before="163"/>
        <w:ind w:left="128" w:right="118"/>
        <w:jc w:val="both"/>
      </w:pPr>
      <w:r>
        <w:rPr/>
        <w:t>En</w:t>
      </w:r>
      <w:r>
        <w:rPr>
          <w:spacing w:val="-9"/>
        </w:rPr>
        <w:t> </w:t>
      </w:r>
      <w:r>
        <w:rPr/>
        <w:t>un</w:t>
      </w:r>
      <w:r>
        <w:rPr>
          <w:spacing w:val="-9"/>
        </w:rPr>
        <w:t> </w:t>
      </w:r>
      <w:r>
        <w:rPr/>
        <w:t>sentido</w:t>
      </w:r>
      <w:r>
        <w:rPr>
          <w:spacing w:val="-9"/>
        </w:rPr>
        <w:t> </w:t>
      </w:r>
      <w:r>
        <w:rPr/>
        <w:t>retroactivo</w:t>
      </w:r>
      <w:r>
        <w:rPr>
          <w:spacing w:val="-9"/>
        </w:rPr>
        <w:t> </w:t>
      </w:r>
      <w:r>
        <w:rPr/>
        <w:t>del</w:t>
      </w:r>
      <w:r>
        <w:rPr>
          <w:spacing w:val="-11"/>
        </w:rPr>
        <w:t> </w:t>
      </w:r>
      <w:r>
        <w:rPr/>
        <w:t>periodo</w:t>
      </w:r>
      <w:r>
        <w:rPr>
          <w:spacing w:val="-9"/>
        </w:rPr>
        <w:t> </w:t>
      </w:r>
      <w:r>
        <w:rPr/>
        <w:t>de</w:t>
      </w:r>
      <w:r>
        <w:rPr>
          <w:spacing w:val="-9"/>
        </w:rPr>
        <w:t> </w:t>
      </w:r>
      <w:r>
        <w:rPr/>
        <w:t>administración</w:t>
      </w:r>
      <w:r>
        <w:rPr>
          <w:spacing w:val="-9"/>
        </w:rPr>
        <w:t> </w:t>
      </w:r>
      <w:r>
        <w:rPr/>
        <w:t>2013</w:t>
      </w:r>
      <w:r>
        <w:rPr>
          <w:spacing w:val="-3"/>
        </w:rPr>
        <w:t> </w:t>
      </w:r>
      <w:r>
        <w:rPr/>
        <w:t>-2015</w:t>
      </w:r>
      <w:r>
        <w:rPr>
          <w:spacing w:val="-9"/>
        </w:rPr>
        <w:t> </w:t>
      </w:r>
      <w:r>
        <w:rPr/>
        <w:t>la</w:t>
      </w:r>
      <w:r>
        <w:rPr>
          <w:spacing w:val="-9"/>
        </w:rPr>
        <w:t> </w:t>
      </w:r>
      <w:r>
        <w:rPr/>
        <w:t>siguiente</w:t>
      </w:r>
      <w:r>
        <w:rPr>
          <w:spacing w:val="-9"/>
        </w:rPr>
        <w:t> </w:t>
      </w:r>
      <w:r>
        <w:rPr/>
        <w:t>tabla muestra el promedio de cumplimiento de la ley de</w:t>
      </w:r>
      <w:r>
        <w:rPr>
          <w:spacing w:val="-18"/>
        </w:rPr>
        <w:t> </w:t>
      </w:r>
      <w:r>
        <w:rPr/>
        <w:t>transparencia:</w:t>
      </w:r>
    </w:p>
    <w:p>
      <w:pPr>
        <w:pStyle w:val="BodyText"/>
        <w:rPr>
          <w:sz w:val="20"/>
        </w:rPr>
      </w:pPr>
    </w:p>
    <w:p>
      <w:pPr>
        <w:pStyle w:val="BodyText"/>
        <w:spacing w:before="5"/>
        <w:rPr>
          <w:sz w:val="18"/>
        </w:rPr>
      </w:pPr>
    </w:p>
    <w:tbl>
      <w:tblPr>
        <w:tblW w:w="0" w:type="auto"/>
        <w:jc w:val="left"/>
        <w:tblInd w:w="15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43"/>
        <w:gridCol w:w="1130"/>
        <w:gridCol w:w="1133"/>
        <w:gridCol w:w="1130"/>
        <w:gridCol w:w="1164"/>
      </w:tblGrid>
      <w:tr>
        <w:trPr>
          <w:trHeight w:val="434" w:hRule="exact"/>
        </w:trPr>
        <w:tc>
          <w:tcPr>
            <w:tcW w:w="6001" w:type="dxa"/>
            <w:gridSpan w:val="5"/>
            <w:shd w:val="clear" w:color="auto" w:fill="92D050"/>
          </w:tcPr>
          <w:p>
            <w:pPr>
              <w:pStyle w:val="TableParagraph"/>
              <w:ind w:left="1236" w:right="71" w:hanging="1148"/>
              <w:jc w:val="left"/>
              <w:rPr>
                <w:b/>
                <w:sz w:val="18"/>
              </w:rPr>
            </w:pPr>
            <w:r>
              <w:rPr>
                <w:b/>
                <w:sz w:val="18"/>
              </w:rPr>
              <w:t>Tabla 3.63: Se realizan comités, asociaciones, consejos, entre otros para fomentar la participación ciudadana</w:t>
            </w:r>
          </w:p>
        </w:tc>
      </w:tr>
      <w:tr>
        <w:trPr>
          <w:trHeight w:val="545" w:hRule="exact"/>
        </w:trPr>
        <w:tc>
          <w:tcPr>
            <w:tcW w:w="1443" w:type="dxa"/>
            <w:shd w:val="clear" w:color="auto" w:fill="92D050"/>
          </w:tcPr>
          <w:p>
            <w:pPr>
              <w:pStyle w:val="TableParagraph"/>
              <w:spacing w:before="155"/>
              <w:ind w:left="472"/>
              <w:jc w:val="left"/>
              <w:rPr>
                <w:b/>
                <w:sz w:val="18"/>
              </w:rPr>
            </w:pPr>
            <w:r>
              <w:rPr>
                <w:b/>
                <w:sz w:val="18"/>
              </w:rPr>
              <w:t>Clase</w:t>
            </w:r>
          </w:p>
        </w:tc>
        <w:tc>
          <w:tcPr>
            <w:tcW w:w="1130" w:type="dxa"/>
            <w:tcBorders>
              <w:bottom w:val="single" w:sz="4" w:space="0" w:color="000000"/>
            </w:tcBorders>
            <w:shd w:val="clear" w:color="auto" w:fill="92D050"/>
          </w:tcPr>
          <w:p>
            <w:pPr>
              <w:pStyle w:val="TableParagraph"/>
              <w:spacing w:before="155"/>
              <w:ind w:left="357"/>
              <w:jc w:val="left"/>
              <w:rPr>
                <w:b/>
                <w:sz w:val="18"/>
              </w:rPr>
            </w:pPr>
            <w:r>
              <w:rPr>
                <w:b/>
                <w:sz w:val="18"/>
              </w:rPr>
              <w:t>2013</w:t>
            </w:r>
          </w:p>
        </w:tc>
        <w:tc>
          <w:tcPr>
            <w:tcW w:w="1133" w:type="dxa"/>
            <w:tcBorders>
              <w:bottom w:val="single" w:sz="4" w:space="0" w:color="000000"/>
            </w:tcBorders>
            <w:shd w:val="clear" w:color="auto" w:fill="92D050"/>
          </w:tcPr>
          <w:p>
            <w:pPr>
              <w:pStyle w:val="TableParagraph"/>
              <w:spacing w:before="155"/>
              <w:ind w:left="357"/>
              <w:jc w:val="left"/>
              <w:rPr>
                <w:b/>
                <w:sz w:val="18"/>
              </w:rPr>
            </w:pPr>
            <w:r>
              <w:rPr>
                <w:b/>
                <w:sz w:val="18"/>
              </w:rPr>
              <w:t>2014</w:t>
            </w:r>
          </w:p>
        </w:tc>
        <w:tc>
          <w:tcPr>
            <w:tcW w:w="1130" w:type="dxa"/>
            <w:tcBorders>
              <w:bottom w:val="single" w:sz="4" w:space="0" w:color="000000"/>
            </w:tcBorders>
            <w:shd w:val="clear" w:color="auto" w:fill="92D050"/>
          </w:tcPr>
          <w:p>
            <w:pPr>
              <w:pStyle w:val="TableParagraph"/>
              <w:spacing w:before="155"/>
              <w:ind w:left="355"/>
              <w:jc w:val="left"/>
              <w:rPr>
                <w:b/>
                <w:sz w:val="18"/>
              </w:rPr>
            </w:pPr>
            <w:r>
              <w:rPr>
                <w:b/>
                <w:sz w:val="18"/>
              </w:rPr>
              <w:t>2015</w:t>
            </w:r>
          </w:p>
        </w:tc>
        <w:tc>
          <w:tcPr>
            <w:tcW w:w="1164" w:type="dxa"/>
            <w:tcBorders>
              <w:bottom w:val="single" w:sz="4" w:space="0" w:color="000000"/>
            </w:tcBorders>
            <w:shd w:val="clear" w:color="auto" w:fill="92D050"/>
          </w:tcPr>
          <w:p>
            <w:pPr>
              <w:pStyle w:val="TableParagraph"/>
              <w:spacing w:before="52"/>
              <w:ind w:left="251" w:right="139" w:hanging="96"/>
              <w:jc w:val="left"/>
              <w:rPr>
                <w:b/>
                <w:sz w:val="18"/>
              </w:rPr>
            </w:pPr>
            <w:r>
              <w:rPr>
                <w:b/>
                <w:sz w:val="18"/>
              </w:rPr>
              <w:t>Promedio general</w:t>
            </w:r>
          </w:p>
        </w:tc>
      </w:tr>
      <w:tr>
        <w:trPr>
          <w:trHeight w:val="271" w:hRule="exact"/>
        </w:trPr>
        <w:tc>
          <w:tcPr>
            <w:tcW w:w="1443" w:type="dxa"/>
            <w:tcBorders>
              <w:left w:val="single" w:sz="4" w:space="0" w:color="000000"/>
              <w:bottom w:val="single" w:sz="4" w:space="0" w:color="000000"/>
              <w:right w:val="single" w:sz="4" w:space="0" w:color="000000"/>
            </w:tcBorders>
          </w:tcPr>
          <w:p>
            <w:pPr>
              <w:pStyle w:val="TableParagraph"/>
              <w:spacing w:before="49"/>
              <w:ind w:left="67"/>
              <w:jc w:val="left"/>
              <w:rPr>
                <w:sz w:val="18"/>
              </w:rPr>
            </w:pPr>
            <w:r>
              <w:rPr>
                <w:sz w:val="18"/>
              </w:rPr>
              <w:t>Nada</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54"/>
              <w:ind w:left="67"/>
              <w:jc w:val="left"/>
              <w:rPr>
                <w:sz w:val="18"/>
              </w:rPr>
            </w:pPr>
            <w:r>
              <w:rPr>
                <w:sz w:val="18"/>
              </w:rPr>
              <w:t>S/I</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54"/>
              <w:ind w:right="62"/>
              <w:jc w:val="right"/>
              <w:rPr>
                <w:sz w:val="18"/>
              </w:rPr>
            </w:pPr>
            <w:r>
              <w:rPr>
                <w:sz w:val="18"/>
              </w:rPr>
              <w:t>96.42%</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54"/>
              <w:ind w:right="61"/>
              <w:jc w:val="right"/>
              <w:rPr>
                <w:sz w:val="18"/>
              </w:rPr>
            </w:pPr>
            <w:r>
              <w:rPr>
                <w:sz w:val="18"/>
              </w:rPr>
              <w:t>24.93%</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54"/>
              <w:ind w:right="61"/>
              <w:jc w:val="right"/>
              <w:rPr>
                <w:sz w:val="18"/>
              </w:rPr>
            </w:pPr>
            <w:r>
              <w:rPr>
                <w:sz w:val="18"/>
              </w:rPr>
              <w:t>60.68%</w:t>
            </w:r>
          </w:p>
        </w:tc>
      </w:tr>
      <w:tr>
        <w:trPr>
          <w:trHeight w:val="264" w:hRule="exact"/>
        </w:trPr>
        <w:tc>
          <w:tcPr>
            <w:tcW w:w="1443"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Lo necesario</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97.50%</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47"/>
              <w:ind w:right="62"/>
              <w:jc w:val="right"/>
              <w:rPr>
                <w:sz w:val="18"/>
              </w:rPr>
            </w:pPr>
            <w:r>
              <w:rPr>
                <w:sz w:val="18"/>
              </w:rPr>
              <w:t>77.80%</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27.90%</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67.73%</w:t>
            </w:r>
          </w:p>
        </w:tc>
      </w:tr>
      <w:tr>
        <w:trPr>
          <w:trHeight w:val="266" w:hRule="exact"/>
        </w:trPr>
        <w:tc>
          <w:tcPr>
            <w:tcW w:w="1443"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Lo suficiente</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78.52%</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47"/>
              <w:ind w:right="62"/>
              <w:jc w:val="right"/>
              <w:rPr>
                <w:sz w:val="18"/>
              </w:rPr>
            </w:pPr>
            <w:r>
              <w:rPr>
                <w:sz w:val="18"/>
              </w:rPr>
              <w:t>64.71%</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31.22%</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58.15%</w:t>
            </w:r>
          </w:p>
        </w:tc>
      </w:tr>
      <w:tr>
        <w:trPr>
          <w:trHeight w:val="264" w:hRule="exact"/>
        </w:trPr>
        <w:tc>
          <w:tcPr>
            <w:tcW w:w="1443"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Completamente</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92.40%</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47"/>
              <w:ind w:right="62"/>
              <w:jc w:val="right"/>
              <w:rPr>
                <w:sz w:val="18"/>
              </w:rPr>
            </w:pPr>
            <w:r>
              <w:rPr>
                <w:sz w:val="18"/>
              </w:rPr>
              <w:t>70.60%</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41.06%</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68.02%</w:t>
            </w:r>
          </w:p>
        </w:tc>
      </w:tr>
    </w:tbl>
    <w:p>
      <w:pPr>
        <w:spacing w:before="68"/>
        <w:ind w:left="1664" w:right="26" w:firstLine="0"/>
        <w:jc w:val="left"/>
        <w:rPr>
          <w:sz w:val="16"/>
        </w:rPr>
      </w:pPr>
      <w:r>
        <w:rPr>
          <w:sz w:val="16"/>
        </w:rPr>
        <w:t>Fuente: Elaboración propia</w:t>
      </w:r>
    </w:p>
    <w:p>
      <w:pPr>
        <w:spacing w:after="0"/>
        <w:jc w:val="left"/>
        <w:rPr>
          <w:sz w:val="16"/>
        </w:rPr>
        <w:sectPr>
          <w:pgSz w:w="12240" w:h="15840"/>
          <w:pgMar w:header="0" w:footer="1035" w:top="1360" w:bottom="1220" w:left="1480" w:right="1580"/>
        </w:sectPr>
      </w:pPr>
    </w:p>
    <w:p>
      <w:pPr>
        <w:pStyle w:val="BodyText"/>
        <w:spacing w:line="360" w:lineRule="auto" w:before="54"/>
        <w:ind w:left="128" w:right="116"/>
        <w:jc w:val="both"/>
      </w:pPr>
      <w:r>
        <w:rPr/>
        <w:t>Durante el periodo que comprende el 2013-2015 se tuvo un promedio de cumplimiento de la ley tal como se describe a continuación: en primer lugar se encuentran los representantes que completamente forman comités para fomentar</w:t>
      </w:r>
      <w:r>
        <w:rPr>
          <w:spacing w:val="-32"/>
        </w:rPr>
        <w:t> </w:t>
      </w:r>
      <w:r>
        <w:rPr/>
        <w:t>la participación ciudadana con un 68.02%, en segundo lugar aparecen los que solo lo necesario conforman los comités con un 67.73% en tercer lugar están los que no conforman en lo absoluto comités para la participación ciudadana con un 60.68% y en cuarto lugar aparecen los que solo conforman comités solo lo suficiente con un porcentaje de</w:t>
      </w:r>
      <w:r>
        <w:rPr>
          <w:spacing w:val="-9"/>
        </w:rPr>
        <w:t> </w:t>
      </w:r>
      <w:r>
        <w:rPr/>
        <w:t>58.15%.</w:t>
      </w:r>
    </w:p>
    <w:p>
      <w:pPr>
        <w:pStyle w:val="BodyText"/>
      </w:pPr>
    </w:p>
    <w:p>
      <w:pPr>
        <w:pStyle w:val="BodyText"/>
      </w:pPr>
    </w:p>
    <w:p>
      <w:pPr>
        <w:pStyle w:val="Heading1"/>
        <w:numPr>
          <w:ilvl w:val="2"/>
          <w:numId w:val="53"/>
        </w:numPr>
        <w:tabs>
          <w:tab w:pos="837" w:val="left" w:leader="none"/>
        </w:tabs>
        <w:spacing w:line="360" w:lineRule="auto" w:before="186" w:after="0"/>
        <w:ind w:left="836" w:right="122" w:hanging="720"/>
        <w:jc w:val="left"/>
      </w:pPr>
      <w:r>
        <w:rPr/>
        <w:t>Usted puede cambiar la forma en que se promueve la transparencia en su municipio vs porcentaje de transparencia</w:t>
      </w:r>
      <w:r>
        <w:rPr>
          <w:spacing w:val="-16"/>
        </w:rPr>
        <w:t> </w:t>
      </w:r>
      <w:r>
        <w:rPr/>
        <w:t>2015.</w:t>
      </w:r>
    </w:p>
    <w:p>
      <w:pPr>
        <w:pStyle w:val="BodyText"/>
        <w:rPr>
          <w:b/>
          <w:sz w:val="20"/>
        </w:rPr>
      </w:pPr>
    </w:p>
    <w:p>
      <w:pPr>
        <w:pStyle w:val="BodyText"/>
        <w:spacing w:before="7"/>
        <w:rPr>
          <w:b/>
          <w:sz w:val="19"/>
        </w:rPr>
      </w:pPr>
    </w:p>
    <w:tbl>
      <w:tblPr>
        <w:tblW w:w="0" w:type="auto"/>
        <w:jc w:val="left"/>
        <w:tblInd w:w="26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81"/>
        <w:gridCol w:w="1200"/>
        <w:gridCol w:w="1200"/>
      </w:tblGrid>
      <w:tr>
        <w:trPr>
          <w:trHeight w:val="641" w:hRule="exact"/>
        </w:trPr>
        <w:tc>
          <w:tcPr>
            <w:tcW w:w="3881" w:type="dxa"/>
            <w:gridSpan w:val="3"/>
            <w:shd w:val="clear" w:color="auto" w:fill="92D050"/>
          </w:tcPr>
          <w:p>
            <w:pPr>
              <w:pStyle w:val="TableParagraph"/>
              <w:ind w:left="81" w:right="88" w:firstLine="3"/>
              <w:rPr>
                <w:b/>
                <w:sz w:val="18"/>
              </w:rPr>
            </w:pPr>
            <w:r>
              <w:rPr>
                <w:b/>
                <w:sz w:val="18"/>
              </w:rPr>
              <w:t>Tabla 3.64: Usted puede cambiar la forma en que se promueve la transparencia en su municipio</w:t>
            </w:r>
          </w:p>
        </w:tc>
      </w:tr>
      <w:tr>
        <w:trPr>
          <w:trHeight w:val="289" w:hRule="exact"/>
        </w:trPr>
        <w:tc>
          <w:tcPr>
            <w:tcW w:w="1481" w:type="dxa"/>
            <w:vMerge w:val="restart"/>
            <w:shd w:val="clear" w:color="auto" w:fill="92D050"/>
          </w:tcPr>
          <w:p>
            <w:pPr>
              <w:pStyle w:val="TableParagraph"/>
              <w:jc w:val="left"/>
              <w:rPr>
                <w:b/>
                <w:sz w:val="26"/>
              </w:rPr>
            </w:pPr>
          </w:p>
          <w:p>
            <w:pPr>
              <w:pStyle w:val="TableParagraph"/>
              <w:ind w:left="470" w:right="471"/>
              <w:rPr>
                <w:b/>
                <w:sz w:val="18"/>
              </w:rPr>
            </w:pPr>
            <w:r>
              <w:rPr>
                <w:b/>
                <w:sz w:val="18"/>
              </w:rPr>
              <w:t>Clase</w:t>
            </w:r>
          </w:p>
        </w:tc>
        <w:tc>
          <w:tcPr>
            <w:tcW w:w="2400" w:type="dxa"/>
            <w:gridSpan w:val="2"/>
            <w:shd w:val="clear" w:color="auto" w:fill="92D050"/>
          </w:tcPr>
          <w:p>
            <w:pPr>
              <w:pStyle w:val="TableParagraph"/>
              <w:spacing w:before="25"/>
              <w:ind w:left="967" w:right="967"/>
              <w:rPr>
                <w:b/>
                <w:sz w:val="18"/>
              </w:rPr>
            </w:pPr>
            <w:r>
              <w:rPr>
                <w:b/>
                <w:sz w:val="18"/>
              </w:rPr>
              <w:t>2015</w:t>
            </w:r>
          </w:p>
        </w:tc>
      </w:tr>
      <w:tr>
        <w:trPr>
          <w:trHeight w:val="544" w:hRule="exact"/>
        </w:trPr>
        <w:tc>
          <w:tcPr>
            <w:tcW w:w="1481" w:type="dxa"/>
            <w:vMerge/>
            <w:shd w:val="clear" w:color="auto" w:fill="92D050"/>
          </w:tcPr>
          <w:p>
            <w:pPr/>
          </w:p>
        </w:tc>
        <w:tc>
          <w:tcPr>
            <w:tcW w:w="1200" w:type="dxa"/>
            <w:shd w:val="clear" w:color="auto" w:fill="92D050"/>
          </w:tcPr>
          <w:p>
            <w:pPr>
              <w:pStyle w:val="TableParagraph"/>
              <w:spacing w:before="154"/>
              <w:ind w:right="113"/>
              <w:jc w:val="right"/>
              <w:rPr>
                <w:b/>
                <w:sz w:val="18"/>
              </w:rPr>
            </w:pPr>
            <w:r>
              <w:rPr>
                <w:b/>
                <w:sz w:val="18"/>
              </w:rPr>
              <w:t>Frecuencia</w:t>
            </w:r>
          </w:p>
        </w:tc>
        <w:tc>
          <w:tcPr>
            <w:tcW w:w="1200" w:type="dxa"/>
            <w:shd w:val="clear" w:color="auto" w:fill="92D050"/>
          </w:tcPr>
          <w:p>
            <w:pPr>
              <w:pStyle w:val="TableParagraph"/>
              <w:spacing w:before="154"/>
              <w:ind w:left="508"/>
              <w:jc w:val="left"/>
              <w:rPr>
                <w:b/>
                <w:sz w:val="18"/>
              </w:rPr>
            </w:pPr>
            <w:r>
              <w:rPr>
                <w:b/>
                <w:w w:val="99"/>
                <w:sz w:val="18"/>
              </w:rPr>
              <w:t>%</w:t>
            </w:r>
          </w:p>
        </w:tc>
      </w:tr>
      <w:tr>
        <w:trPr>
          <w:trHeight w:val="271" w:hRule="exact"/>
        </w:trPr>
        <w:tc>
          <w:tcPr>
            <w:tcW w:w="1481" w:type="dxa"/>
            <w:tcBorders>
              <w:left w:val="single" w:sz="4" w:space="0" w:color="000000"/>
              <w:bottom w:val="single" w:sz="4" w:space="0" w:color="000000"/>
              <w:right w:val="single" w:sz="4" w:space="0" w:color="000000"/>
            </w:tcBorders>
          </w:tcPr>
          <w:p>
            <w:pPr>
              <w:pStyle w:val="TableParagraph"/>
              <w:spacing w:before="49"/>
              <w:ind w:left="64"/>
              <w:jc w:val="left"/>
              <w:rPr>
                <w:sz w:val="18"/>
              </w:rPr>
            </w:pPr>
            <w:r>
              <w:rPr>
                <w:sz w:val="18"/>
              </w:rPr>
              <w:t>Nada</w:t>
            </w:r>
          </w:p>
        </w:tc>
        <w:tc>
          <w:tcPr>
            <w:tcW w:w="1200" w:type="dxa"/>
            <w:tcBorders>
              <w:left w:val="single" w:sz="4" w:space="0" w:color="000000"/>
              <w:bottom w:val="single" w:sz="4" w:space="0" w:color="000000"/>
              <w:right w:val="single" w:sz="4" w:space="0" w:color="000000"/>
            </w:tcBorders>
          </w:tcPr>
          <w:p>
            <w:pPr>
              <w:pStyle w:val="TableParagraph"/>
              <w:spacing w:before="49"/>
              <w:ind w:right="63"/>
              <w:jc w:val="right"/>
              <w:rPr>
                <w:sz w:val="18"/>
              </w:rPr>
            </w:pPr>
            <w:r>
              <w:rPr>
                <w:w w:val="99"/>
                <w:sz w:val="18"/>
              </w:rPr>
              <w:t>6</w:t>
            </w:r>
          </w:p>
        </w:tc>
        <w:tc>
          <w:tcPr>
            <w:tcW w:w="1200" w:type="dxa"/>
            <w:tcBorders>
              <w:left w:val="single" w:sz="4" w:space="0" w:color="000000"/>
              <w:bottom w:val="single" w:sz="4" w:space="0" w:color="000000"/>
              <w:right w:val="single" w:sz="4" w:space="0" w:color="000000"/>
            </w:tcBorders>
          </w:tcPr>
          <w:p>
            <w:pPr>
              <w:pStyle w:val="TableParagraph"/>
              <w:spacing w:before="49"/>
              <w:ind w:left="515"/>
              <w:jc w:val="left"/>
              <w:rPr>
                <w:sz w:val="18"/>
              </w:rPr>
            </w:pPr>
            <w:r>
              <w:rPr>
                <w:sz w:val="18"/>
              </w:rPr>
              <w:t>37.38%</w:t>
            </w:r>
          </w:p>
        </w:tc>
      </w:tr>
      <w:tr>
        <w:trPr>
          <w:trHeight w:val="264" w:hRule="exact"/>
        </w:trPr>
        <w:tc>
          <w:tcPr>
            <w:tcW w:w="1481"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Lo necesario</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60"/>
              <w:jc w:val="right"/>
              <w:rPr>
                <w:sz w:val="18"/>
              </w:rPr>
            </w:pPr>
            <w:r>
              <w:rPr>
                <w:sz w:val="18"/>
              </w:rPr>
              <w:t>12</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515"/>
              <w:jc w:val="left"/>
              <w:rPr>
                <w:sz w:val="18"/>
              </w:rPr>
            </w:pPr>
            <w:r>
              <w:rPr>
                <w:sz w:val="18"/>
              </w:rPr>
              <w:t>37.14%</w:t>
            </w:r>
          </w:p>
        </w:tc>
      </w:tr>
      <w:tr>
        <w:trPr>
          <w:trHeight w:val="266" w:hRule="exact"/>
        </w:trPr>
        <w:tc>
          <w:tcPr>
            <w:tcW w:w="1481" w:type="dxa"/>
            <w:tcBorders>
              <w:top w:val="single" w:sz="4" w:space="0" w:color="000000"/>
              <w:left w:val="single" w:sz="4" w:space="0" w:color="000000"/>
              <w:bottom w:val="single" w:sz="4" w:space="0" w:color="000000"/>
              <w:right w:val="single" w:sz="4" w:space="0" w:color="000000"/>
            </w:tcBorders>
          </w:tcPr>
          <w:p>
            <w:pPr>
              <w:pStyle w:val="TableParagraph"/>
              <w:spacing w:before="49"/>
              <w:ind w:left="64"/>
              <w:jc w:val="left"/>
              <w:rPr>
                <w:sz w:val="18"/>
              </w:rPr>
            </w:pPr>
            <w:r>
              <w:rPr>
                <w:sz w:val="18"/>
              </w:rPr>
              <w:t>Lo suficiente</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9"/>
              <w:ind w:right="60"/>
              <w:jc w:val="right"/>
              <w:rPr>
                <w:sz w:val="18"/>
              </w:rPr>
            </w:pPr>
            <w:r>
              <w:rPr>
                <w:sz w:val="18"/>
              </w:rPr>
              <w:t>14</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9"/>
              <w:ind w:left="515"/>
              <w:jc w:val="left"/>
              <w:rPr>
                <w:sz w:val="18"/>
              </w:rPr>
            </w:pPr>
            <w:r>
              <w:rPr>
                <w:sz w:val="18"/>
              </w:rPr>
              <w:t>27.94%</w:t>
            </w:r>
          </w:p>
        </w:tc>
      </w:tr>
      <w:tr>
        <w:trPr>
          <w:trHeight w:val="264" w:hRule="exact"/>
        </w:trPr>
        <w:tc>
          <w:tcPr>
            <w:tcW w:w="1481"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Completamente</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60"/>
              <w:jc w:val="right"/>
              <w:rPr>
                <w:sz w:val="18"/>
              </w:rPr>
            </w:pPr>
            <w:r>
              <w:rPr>
                <w:sz w:val="18"/>
              </w:rPr>
              <w:t>14</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515"/>
              <w:jc w:val="left"/>
              <w:rPr>
                <w:sz w:val="18"/>
              </w:rPr>
            </w:pPr>
            <w:r>
              <w:rPr>
                <w:sz w:val="18"/>
              </w:rPr>
              <w:t>31.56%</w:t>
            </w:r>
          </w:p>
        </w:tc>
      </w:tr>
    </w:tbl>
    <w:p>
      <w:pPr>
        <w:spacing w:before="68"/>
        <w:ind w:left="2723" w:right="26" w:firstLine="0"/>
        <w:jc w:val="left"/>
        <w:rPr>
          <w:sz w:val="16"/>
        </w:rPr>
      </w:pPr>
      <w:r>
        <w:rPr>
          <w:sz w:val="16"/>
        </w:rPr>
        <w:t>Fuente: Elaboración propia</w:t>
      </w:r>
    </w:p>
    <w:p>
      <w:pPr>
        <w:pStyle w:val="BodyText"/>
        <w:rPr>
          <w:sz w:val="20"/>
        </w:rPr>
      </w:pPr>
    </w:p>
    <w:p>
      <w:pPr>
        <w:pStyle w:val="BodyText"/>
      </w:pPr>
    </w:p>
    <w:p>
      <w:pPr>
        <w:pStyle w:val="BodyText"/>
        <w:spacing w:line="360" w:lineRule="auto" w:before="70"/>
        <w:ind w:left="128" w:right="116"/>
        <w:jc w:val="both"/>
      </w:pPr>
      <w:r>
        <w:rPr/>
        <w:t>En la tabla anterior se muestran los resultados obtenidos de hacer el cruce de las variables</w:t>
      </w:r>
      <w:r>
        <w:rPr>
          <w:spacing w:val="-10"/>
        </w:rPr>
        <w:t> </w:t>
      </w:r>
      <w:r>
        <w:rPr/>
        <w:t>del</w:t>
      </w:r>
      <w:r>
        <w:rPr>
          <w:spacing w:val="-13"/>
        </w:rPr>
        <w:t> </w:t>
      </w:r>
      <w:r>
        <w:rPr/>
        <w:t>cumplimiento</w:t>
      </w:r>
      <w:r>
        <w:rPr>
          <w:spacing w:val="-11"/>
        </w:rPr>
        <w:t> </w:t>
      </w:r>
      <w:r>
        <w:rPr/>
        <w:t>de</w:t>
      </w:r>
      <w:r>
        <w:rPr>
          <w:spacing w:val="-9"/>
        </w:rPr>
        <w:t> </w:t>
      </w:r>
      <w:r>
        <w:rPr/>
        <w:t>la</w:t>
      </w:r>
      <w:r>
        <w:rPr>
          <w:spacing w:val="-12"/>
        </w:rPr>
        <w:t> </w:t>
      </w:r>
      <w:r>
        <w:rPr/>
        <w:t>ley</w:t>
      </w:r>
      <w:r>
        <w:rPr>
          <w:spacing w:val="-12"/>
        </w:rPr>
        <w:t> </w:t>
      </w:r>
      <w:r>
        <w:rPr/>
        <w:t>de</w:t>
      </w:r>
      <w:r>
        <w:rPr>
          <w:spacing w:val="-9"/>
        </w:rPr>
        <w:t> </w:t>
      </w:r>
      <w:r>
        <w:rPr/>
        <w:t>transparencia</w:t>
      </w:r>
      <w:r>
        <w:rPr>
          <w:spacing w:val="-12"/>
        </w:rPr>
        <w:t> </w:t>
      </w:r>
      <w:r>
        <w:rPr/>
        <w:t>en</w:t>
      </w:r>
      <w:r>
        <w:rPr>
          <w:spacing w:val="-12"/>
        </w:rPr>
        <w:t> </w:t>
      </w:r>
      <w:r>
        <w:rPr/>
        <w:t>relación</w:t>
      </w:r>
      <w:r>
        <w:rPr>
          <w:spacing w:val="-12"/>
        </w:rPr>
        <w:t> </w:t>
      </w:r>
      <w:r>
        <w:rPr/>
        <w:t>a</w:t>
      </w:r>
      <w:r>
        <w:rPr>
          <w:spacing w:val="46"/>
        </w:rPr>
        <w:t> </w:t>
      </w:r>
      <w:r>
        <w:rPr/>
        <w:t>si</w:t>
      </w:r>
      <w:r>
        <w:rPr>
          <w:spacing w:val="-11"/>
        </w:rPr>
        <w:t> </w:t>
      </w:r>
      <w:r>
        <w:rPr/>
        <w:t>puede</w:t>
      </w:r>
      <w:r>
        <w:rPr>
          <w:spacing w:val="-12"/>
        </w:rPr>
        <w:t> </w:t>
      </w:r>
      <w:r>
        <w:rPr/>
        <w:t>cambiar la forma en que se promueve la transparencia de los responsables de la transparencia en los gobiernos municipales. Los resultados obtenidos muestran cómo los responsables de la transparencia que obtuvieron el primer lugar al decir que se realizan completamente comités para la participación ciudadana con un 41.06%, en segundo lugar, se encuentran los que solo realizan comités lo</w:t>
      </w:r>
      <w:r>
        <w:rPr>
          <w:spacing w:val="-34"/>
        </w:rPr>
        <w:t> </w:t>
      </w:r>
      <w:r>
        <w:rPr/>
        <w:t>suficiente para la participación con un 31.22%, en tercer lugar se encuentran los que solo lo necesario realizan comités con un 27.90% y en cuarto lugar se encuentran los que no forman los comités al obtener un</w:t>
      </w:r>
      <w:r>
        <w:rPr>
          <w:spacing w:val="-19"/>
        </w:rPr>
        <w:t> </w:t>
      </w:r>
      <w:r>
        <w:rPr/>
        <w:t>24.93%.</w:t>
      </w:r>
    </w:p>
    <w:p>
      <w:pPr>
        <w:spacing w:after="0" w:line="360" w:lineRule="auto"/>
        <w:jc w:val="both"/>
        <w:sectPr>
          <w:pgSz w:w="12240" w:h="15840"/>
          <w:pgMar w:header="0" w:footer="1035" w:top="1360" w:bottom="1220" w:left="1480" w:right="1580"/>
        </w:sectPr>
      </w:pPr>
    </w:p>
    <w:p>
      <w:pPr>
        <w:pStyle w:val="BodyText"/>
        <w:spacing w:line="362" w:lineRule="auto" w:before="54"/>
        <w:ind w:left="128" w:right="6"/>
      </w:pPr>
      <w:r>
        <w:rPr/>
        <w:t>En un sentido retroactivo del periodo de administración 2013 -2015 la siguiente tabla muestra el promedio de cumplimiento de la ley de transparencia:</w:t>
      </w:r>
    </w:p>
    <w:p>
      <w:pPr>
        <w:pStyle w:val="BodyText"/>
        <w:rPr>
          <w:sz w:val="20"/>
        </w:rPr>
      </w:pPr>
    </w:p>
    <w:p>
      <w:pPr>
        <w:pStyle w:val="BodyText"/>
        <w:rPr>
          <w:sz w:val="20"/>
        </w:rPr>
      </w:pPr>
    </w:p>
    <w:p>
      <w:pPr>
        <w:pStyle w:val="BodyText"/>
        <w:spacing w:before="1"/>
      </w:pPr>
    </w:p>
    <w:tbl>
      <w:tblPr>
        <w:tblW w:w="0" w:type="auto"/>
        <w:jc w:val="left"/>
        <w:tblInd w:w="15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43"/>
        <w:gridCol w:w="1130"/>
        <w:gridCol w:w="1133"/>
        <w:gridCol w:w="1130"/>
        <w:gridCol w:w="1164"/>
      </w:tblGrid>
      <w:tr>
        <w:trPr>
          <w:trHeight w:val="433" w:hRule="exact"/>
        </w:trPr>
        <w:tc>
          <w:tcPr>
            <w:tcW w:w="6001" w:type="dxa"/>
            <w:gridSpan w:val="5"/>
            <w:shd w:val="clear" w:color="auto" w:fill="92D050"/>
          </w:tcPr>
          <w:p>
            <w:pPr>
              <w:pStyle w:val="TableParagraph"/>
              <w:ind w:left="1692" w:right="202" w:hanging="1475"/>
              <w:jc w:val="left"/>
              <w:rPr>
                <w:b/>
                <w:sz w:val="18"/>
              </w:rPr>
            </w:pPr>
            <w:r>
              <w:rPr>
                <w:b/>
                <w:sz w:val="18"/>
              </w:rPr>
              <w:t>Tabla 3.65: Usted puede cambiar la forma en que se promueve la transparencia en su municipio</w:t>
            </w:r>
          </w:p>
        </w:tc>
      </w:tr>
      <w:tr>
        <w:trPr>
          <w:trHeight w:val="545" w:hRule="exact"/>
        </w:trPr>
        <w:tc>
          <w:tcPr>
            <w:tcW w:w="1443" w:type="dxa"/>
            <w:shd w:val="clear" w:color="auto" w:fill="92D050"/>
          </w:tcPr>
          <w:p>
            <w:pPr>
              <w:pStyle w:val="TableParagraph"/>
              <w:spacing w:before="155"/>
              <w:ind w:left="472"/>
              <w:jc w:val="left"/>
              <w:rPr>
                <w:b/>
                <w:sz w:val="18"/>
              </w:rPr>
            </w:pPr>
            <w:r>
              <w:rPr>
                <w:b/>
                <w:sz w:val="18"/>
              </w:rPr>
              <w:t>Clase</w:t>
            </w:r>
          </w:p>
        </w:tc>
        <w:tc>
          <w:tcPr>
            <w:tcW w:w="1130" w:type="dxa"/>
            <w:tcBorders>
              <w:bottom w:val="single" w:sz="4" w:space="0" w:color="000000"/>
            </w:tcBorders>
            <w:shd w:val="clear" w:color="auto" w:fill="92D050"/>
          </w:tcPr>
          <w:p>
            <w:pPr>
              <w:pStyle w:val="TableParagraph"/>
              <w:spacing w:before="155"/>
              <w:ind w:left="357"/>
              <w:jc w:val="left"/>
              <w:rPr>
                <w:b/>
                <w:sz w:val="18"/>
              </w:rPr>
            </w:pPr>
            <w:r>
              <w:rPr>
                <w:b/>
                <w:sz w:val="18"/>
              </w:rPr>
              <w:t>2013</w:t>
            </w:r>
          </w:p>
        </w:tc>
        <w:tc>
          <w:tcPr>
            <w:tcW w:w="1133" w:type="dxa"/>
            <w:tcBorders>
              <w:bottom w:val="single" w:sz="4" w:space="0" w:color="000000"/>
            </w:tcBorders>
            <w:shd w:val="clear" w:color="auto" w:fill="92D050"/>
          </w:tcPr>
          <w:p>
            <w:pPr>
              <w:pStyle w:val="TableParagraph"/>
              <w:spacing w:before="155"/>
              <w:ind w:left="357"/>
              <w:jc w:val="left"/>
              <w:rPr>
                <w:b/>
                <w:sz w:val="18"/>
              </w:rPr>
            </w:pPr>
            <w:r>
              <w:rPr>
                <w:b/>
                <w:sz w:val="18"/>
              </w:rPr>
              <w:t>2014</w:t>
            </w:r>
          </w:p>
        </w:tc>
        <w:tc>
          <w:tcPr>
            <w:tcW w:w="1130" w:type="dxa"/>
            <w:tcBorders>
              <w:bottom w:val="single" w:sz="4" w:space="0" w:color="000000"/>
            </w:tcBorders>
            <w:shd w:val="clear" w:color="auto" w:fill="92D050"/>
          </w:tcPr>
          <w:p>
            <w:pPr>
              <w:pStyle w:val="TableParagraph"/>
              <w:spacing w:before="155"/>
              <w:ind w:left="355"/>
              <w:jc w:val="left"/>
              <w:rPr>
                <w:b/>
                <w:sz w:val="18"/>
              </w:rPr>
            </w:pPr>
            <w:r>
              <w:rPr>
                <w:b/>
                <w:sz w:val="18"/>
              </w:rPr>
              <w:t>2015</w:t>
            </w:r>
          </w:p>
        </w:tc>
        <w:tc>
          <w:tcPr>
            <w:tcW w:w="1164" w:type="dxa"/>
            <w:tcBorders>
              <w:bottom w:val="single" w:sz="4" w:space="0" w:color="000000"/>
            </w:tcBorders>
            <w:shd w:val="clear" w:color="auto" w:fill="92D050"/>
          </w:tcPr>
          <w:p>
            <w:pPr>
              <w:pStyle w:val="TableParagraph"/>
              <w:spacing w:before="49"/>
              <w:ind w:left="251" w:right="139" w:hanging="96"/>
              <w:jc w:val="left"/>
              <w:rPr>
                <w:b/>
                <w:sz w:val="18"/>
              </w:rPr>
            </w:pPr>
            <w:r>
              <w:rPr>
                <w:b/>
                <w:sz w:val="18"/>
              </w:rPr>
              <w:t>Promedio general</w:t>
            </w:r>
          </w:p>
        </w:tc>
      </w:tr>
      <w:tr>
        <w:trPr>
          <w:trHeight w:val="271" w:hRule="exact"/>
        </w:trPr>
        <w:tc>
          <w:tcPr>
            <w:tcW w:w="1443" w:type="dxa"/>
            <w:tcBorders>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Nada</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52"/>
              <w:ind w:left="67"/>
              <w:jc w:val="left"/>
              <w:rPr>
                <w:sz w:val="18"/>
              </w:rPr>
            </w:pPr>
            <w:r>
              <w:rPr>
                <w:sz w:val="18"/>
              </w:rPr>
              <w:t>S/I</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52"/>
              <w:ind w:right="62"/>
              <w:jc w:val="right"/>
              <w:rPr>
                <w:sz w:val="18"/>
              </w:rPr>
            </w:pPr>
            <w:r>
              <w:rPr>
                <w:w w:val="95"/>
                <w:sz w:val="18"/>
              </w:rPr>
              <w:t>2.38%</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52"/>
              <w:ind w:right="61"/>
              <w:jc w:val="right"/>
              <w:rPr>
                <w:sz w:val="18"/>
              </w:rPr>
            </w:pPr>
            <w:r>
              <w:rPr>
                <w:sz w:val="18"/>
              </w:rPr>
              <w:t>37.38%</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52"/>
              <w:ind w:right="61"/>
              <w:jc w:val="right"/>
              <w:rPr>
                <w:sz w:val="18"/>
              </w:rPr>
            </w:pPr>
            <w:r>
              <w:rPr>
                <w:sz w:val="18"/>
              </w:rPr>
              <w:t>19.88%</w:t>
            </w:r>
          </w:p>
        </w:tc>
      </w:tr>
      <w:tr>
        <w:trPr>
          <w:trHeight w:val="264" w:hRule="exact"/>
        </w:trPr>
        <w:tc>
          <w:tcPr>
            <w:tcW w:w="1443"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Lo necesario</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89.21%</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47"/>
              <w:ind w:right="62"/>
              <w:jc w:val="right"/>
              <w:rPr>
                <w:sz w:val="18"/>
              </w:rPr>
            </w:pPr>
            <w:r>
              <w:rPr>
                <w:sz w:val="18"/>
              </w:rPr>
              <w:t>87.95%</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37.14%</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71.43%</w:t>
            </w:r>
          </w:p>
        </w:tc>
      </w:tr>
      <w:tr>
        <w:trPr>
          <w:trHeight w:val="266" w:hRule="exact"/>
        </w:trPr>
        <w:tc>
          <w:tcPr>
            <w:tcW w:w="1443"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Lo suficiente</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93.20%</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47"/>
              <w:ind w:right="62"/>
              <w:jc w:val="right"/>
              <w:rPr>
                <w:sz w:val="18"/>
              </w:rPr>
            </w:pPr>
            <w:r>
              <w:rPr>
                <w:sz w:val="18"/>
              </w:rPr>
              <w:t>61.40%</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27.94%</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60.85%</w:t>
            </w:r>
          </w:p>
        </w:tc>
      </w:tr>
      <w:tr>
        <w:trPr>
          <w:trHeight w:val="264" w:hRule="exact"/>
        </w:trPr>
        <w:tc>
          <w:tcPr>
            <w:tcW w:w="1443"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Completamente</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S/I</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47"/>
              <w:ind w:right="62"/>
              <w:jc w:val="right"/>
              <w:rPr>
                <w:sz w:val="18"/>
              </w:rPr>
            </w:pPr>
            <w:r>
              <w:rPr>
                <w:sz w:val="18"/>
              </w:rPr>
              <w:t>63.23%</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31.56%</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47.40%</w:t>
            </w:r>
          </w:p>
        </w:tc>
      </w:tr>
    </w:tbl>
    <w:p>
      <w:pPr>
        <w:spacing w:before="69"/>
        <w:ind w:left="1664" w:right="6" w:firstLine="0"/>
        <w:jc w:val="left"/>
        <w:rPr>
          <w:sz w:val="16"/>
        </w:rPr>
      </w:pPr>
      <w:r>
        <w:rPr>
          <w:sz w:val="16"/>
        </w:rPr>
        <w:t>Fuente: Elaboración propia</w:t>
      </w:r>
    </w:p>
    <w:p>
      <w:pPr>
        <w:pStyle w:val="BodyText"/>
        <w:rPr>
          <w:sz w:val="20"/>
        </w:rPr>
      </w:pPr>
    </w:p>
    <w:p>
      <w:pPr>
        <w:pStyle w:val="BodyText"/>
      </w:pPr>
    </w:p>
    <w:p>
      <w:pPr>
        <w:pStyle w:val="BodyText"/>
        <w:spacing w:line="360" w:lineRule="auto" w:before="70"/>
        <w:ind w:left="128" w:right="99"/>
        <w:jc w:val="both"/>
      </w:pPr>
      <w:r>
        <w:rPr/>
        <w:t>Durante el periodo que comprende el 2013-2015 se tuvo un promedio de cumplimiento de la ley tal como se describe a continuación: en primer lugar se encuentran los representantes que solo pueden cambiar lo necesario la forma en que se promueve la transparencia con un 71.43%, en segundo lugar tenemos a los que</w:t>
      </w:r>
      <w:r>
        <w:rPr>
          <w:spacing w:val="-10"/>
        </w:rPr>
        <w:t> </w:t>
      </w:r>
      <w:r>
        <w:rPr/>
        <w:t>solo</w:t>
      </w:r>
      <w:r>
        <w:rPr>
          <w:spacing w:val="-11"/>
        </w:rPr>
        <w:t> </w:t>
      </w:r>
      <w:r>
        <w:rPr/>
        <w:t>lo</w:t>
      </w:r>
      <w:r>
        <w:rPr>
          <w:spacing w:val="-11"/>
        </w:rPr>
        <w:t> </w:t>
      </w:r>
      <w:r>
        <w:rPr/>
        <w:t>suficiente</w:t>
      </w:r>
      <w:r>
        <w:rPr>
          <w:spacing w:val="-13"/>
        </w:rPr>
        <w:t> </w:t>
      </w:r>
      <w:r>
        <w:rPr/>
        <w:t>pueden</w:t>
      </w:r>
      <w:r>
        <w:rPr>
          <w:spacing w:val="-13"/>
        </w:rPr>
        <w:t> </w:t>
      </w:r>
      <w:r>
        <w:rPr/>
        <w:t>modificar</w:t>
      </w:r>
      <w:r>
        <w:rPr>
          <w:spacing w:val="-12"/>
        </w:rPr>
        <w:t> </w:t>
      </w:r>
      <w:r>
        <w:rPr/>
        <w:t>con</w:t>
      </w:r>
      <w:r>
        <w:rPr>
          <w:spacing w:val="-7"/>
        </w:rPr>
        <w:t> </w:t>
      </w:r>
      <w:r>
        <w:rPr/>
        <w:t>un</w:t>
      </w:r>
      <w:r>
        <w:rPr>
          <w:spacing w:val="-11"/>
        </w:rPr>
        <w:t> </w:t>
      </w:r>
      <w:r>
        <w:rPr/>
        <w:t>60.85%,</w:t>
      </w:r>
      <w:r>
        <w:rPr>
          <w:spacing w:val="-13"/>
        </w:rPr>
        <w:t> </w:t>
      </w:r>
      <w:r>
        <w:rPr/>
        <w:t>en</w:t>
      </w:r>
      <w:r>
        <w:rPr>
          <w:spacing w:val="-11"/>
        </w:rPr>
        <w:t> </w:t>
      </w:r>
      <w:r>
        <w:rPr/>
        <w:t>tercer</w:t>
      </w:r>
      <w:r>
        <w:rPr>
          <w:spacing w:val="-12"/>
        </w:rPr>
        <w:t> </w:t>
      </w:r>
      <w:r>
        <w:rPr/>
        <w:t>lugar</w:t>
      </w:r>
      <w:r>
        <w:rPr>
          <w:spacing w:val="-12"/>
        </w:rPr>
        <w:t> </w:t>
      </w:r>
      <w:r>
        <w:rPr/>
        <w:t>tenemos</w:t>
      </w:r>
      <w:r>
        <w:rPr>
          <w:spacing w:val="-12"/>
        </w:rPr>
        <w:t> </w:t>
      </w:r>
      <w:r>
        <w:rPr/>
        <w:t>a</w:t>
      </w:r>
      <w:r>
        <w:rPr>
          <w:spacing w:val="-11"/>
        </w:rPr>
        <w:t> </w:t>
      </w:r>
      <w:r>
        <w:rPr/>
        <w:t>los que pueden cambiar completamente la forma en que se promueve la transparencia en su municipio con un 47.40% y en cuarto lugar tenemos a los que no pueden cambiar nada la forma de promover la transparencia con un</w:t>
      </w:r>
      <w:r>
        <w:rPr>
          <w:spacing w:val="-27"/>
        </w:rPr>
        <w:t> </w:t>
      </w:r>
      <w:r>
        <w:rPr/>
        <w:t>19.88%.</w:t>
      </w:r>
    </w:p>
    <w:p>
      <w:pPr>
        <w:pStyle w:val="BodyText"/>
      </w:pPr>
    </w:p>
    <w:p>
      <w:pPr>
        <w:pStyle w:val="BodyText"/>
      </w:pPr>
    </w:p>
    <w:p>
      <w:pPr>
        <w:pStyle w:val="Heading1"/>
        <w:numPr>
          <w:ilvl w:val="2"/>
          <w:numId w:val="53"/>
        </w:numPr>
        <w:tabs>
          <w:tab w:pos="837" w:val="left" w:leader="none"/>
        </w:tabs>
        <w:spacing w:line="360" w:lineRule="auto" w:before="185" w:after="0"/>
        <w:ind w:left="836" w:right="100" w:hanging="720"/>
        <w:jc w:val="left"/>
      </w:pPr>
      <w:r>
        <w:rPr/>
        <w:t>Usted ha promovido la transparencia como una práctica cotidiana en</w:t>
      </w:r>
      <w:r>
        <w:rPr>
          <w:spacing w:val="-22"/>
        </w:rPr>
        <w:t> </w:t>
      </w:r>
      <w:r>
        <w:rPr/>
        <w:t>su municipio vs porcentaje de transparencia</w:t>
      </w:r>
      <w:r>
        <w:rPr>
          <w:spacing w:val="-15"/>
        </w:rPr>
        <w:t> </w:t>
      </w:r>
      <w:r>
        <w:rPr/>
        <w:t>2015.</w:t>
      </w:r>
    </w:p>
    <w:p>
      <w:pPr>
        <w:pStyle w:val="BodyText"/>
        <w:rPr>
          <w:b/>
          <w:sz w:val="20"/>
        </w:rPr>
      </w:pPr>
    </w:p>
    <w:p>
      <w:pPr>
        <w:pStyle w:val="BodyText"/>
        <w:spacing w:before="7"/>
        <w:rPr>
          <w:b/>
          <w:sz w:val="19"/>
        </w:rPr>
      </w:pPr>
    </w:p>
    <w:tbl>
      <w:tblPr>
        <w:tblW w:w="0" w:type="auto"/>
        <w:jc w:val="left"/>
        <w:tblInd w:w="26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81"/>
        <w:gridCol w:w="1200"/>
        <w:gridCol w:w="1200"/>
      </w:tblGrid>
      <w:tr>
        <w:trPr>
          <w:trHeight w:val="641" w:hRule="exact"/>
        </w:trPr>
        <w:tc>
          <w:tcPr>
            <w:tcW w:w="3881" w:type="dxa"/>
            <w:gridSpan w:val="3"/>
            <w:shd w:val="clear" w:color="auto" w:fill="92D050"/>
          </w:tcPr>
          <w:p>
            <w:pPr>
              <w:pStyle w:val="TableParagraph"/>
              <w:ind w:left="96" w:right="102" w:firstLine="3"/>
              <w:rPr>
                <w:b/>
                <w:sz w:val="18"/>
              </w:rPr>
            </w:pPr>
            <w:r>
              <w:rPr>
                <w:b/>
                <w:sz w:val="18"/>
              </w:rPr>
              <w:t>Tabla 3.66: Usted ha promovido la transparencia como una práctica cotidiana en su municipio</w:t>
            </w:r>
          </w:p>
        </w:tc>
      </w:tr>
      <w:tr>
        <w:trPr>
          <w:trHeight w:val="291" w:hRule="exact"/>
        </w:trPr>
        <w:tc>
          <w:tcPr>
            <w:tcW w:w="1481" w:type="dxa"/>
            <w:vMerge w:val="restart"/>
            <w:shd w:val="clear" w:color="auto" w:fill="92D050"/>
          </w:tcPr>
          <w:p>
            <w:pPr>
              <w:pStyle w:val="TableParagraph"/>
              <w:jc w:val="left"/>
              <w:rPr>
                <w:b/>
                <w:sz w:val="26"/>
              </w:rPr>
            </w:pPr>
          </w:p>
          <w:p>
            <w:pPr>
              <w:pStyle w:val="TableParagraph"/>
              <w:ind w:left="470" w:right="471"/>
              <w:rPr>
                <w:b/>
                <w:sz w:val="18"/>
              </w:rPr>
            </w:pPr>
            <w:r>
              <w:rPr>
                <w:b/>
                <w:sz w:val="18"/>
              </w:rPr>
              <w:t>Clase</w:t>
            </w:r>
          </w:p>
        </w:tc>
        <w:tc>
          <w:tcPr>
            <w:tcW w:w="2400" w:type="dxa"/>
            <w:gridSpan w:val="2"/>
            <w:shd w:val="clear" w:color="auto" w:fill="92D050"/>
          </w:tcPr>
          <w:p>
            <w:pPr>
              <w:pStyle w:val="TableParagraph"/>
              <w:spacing w:before="25"/>
              <w:ind w:left="967" w:right="967"/>
              <w:rPr>
                <w:b/>
                <w:sz w:val="18"/>
              </w:rPr>
            </w:pPr>
            <w:r>
              <w:rPr>
                <w:b/>
                <w:sz w:val="18"/>
              </w:rPr>
              <w:t>2015</w:t>
            </w:r>
          </w:p>
        </w:tc>
      </w:tr>
      <w:tr>
        <w:trPr>
          <w:trHeight w:val="545" w:hRule="exact"/>
        </w:trPr>
        <w:tc>
          <w:tcPr>
            <w:tcW w:w="1481" w:type="dxa"/>
            <w:vMerge/>
            <w:shd w:val="clear" w:color="auto" w:fill="92D050"/>
          </w:tcPr>
          <w:p>
            <w:pPr/>
          </w:p>
        </w:tc>
        <w:tc>
          <w:tcPr>
            <w:tcW w:w="1200" w:type="dxa"/>
            <w:shd w:val="clear" w:color="auto" w:fill="92D050"/>
          </w:tcPr>
          <w:p>
            <w:pPr>
              <w:pStyle w:val="TableParagraph"/>
              <w:spacing w:before="152"/>
              <w:ind w:right="113"/>
              <w:jc w:val="right"/>
              <w:rPr>
                <w:b/>
                <w:sz w:val="18"/>
              </w:rPr>
            </w:pPr>
            <w:r>
              <w:rPr>
                <w:b/>
                <w:sz w:val="18"/>
              </w:rPr>
              <w:t>Frecuencia</w:t>
            </w:r>
          </w:p>
        </w:tc>
        <w:tc>
          <w:tcPr>
            <w:tcW w:w="1200" w:type="dxa"/>
            <w:shd w:val="clear" w:color="auto" w:fill="92D050"/>
          </w:tcPr>
          <w:p>
            <w:pPr>
              <w:pStyle w:val="TableParagraph"/>
              <w:spacing w:before="152"/>
              <w:ind w:right="1"/>
              <w:rPr>
                <w:b/>
                <w:sz w:val="18"/>
              </w:rPr>
            </w:pPr>
            <w:r>
              <w:rPr>
                <w:b/>
                <w:w w:val="99"/>
                <w:sz w:val="18"/>
              </w:rPr>
              <w:t>%</w:t>
            </w:r>
          </w:p>
        </w:tc>
      </w:tr>
      <w:tr>
        <w:trPr>
          <w:trHeight w:val="269" w:hRule="exact"/>
        </w:trPr>
        <w:tc>
          <w:tcPr>
            <w:tcW w:w="1481" w:type="dxa"/>
            <w:tcBorders>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Nada</w:t>
            </w:r>
          </w:p>
        </w:tc>
        <w:tc>
          <w:tcPr>
            <w:tcW w:w="1200" w:type="dxa"/>
            <w:tcBorders>
              <w:left w:val="single" w:sz="4" w:space="0" w:color="000000"/>
              <w:bottom w:val="single" w:sz="4" w:space="0" w:color="000000"/>
              <w:right w:val="single" w:sz="4" w:space="0" w:color="000000"/>
            </w:tcBorders>
          </w:tcPr>
          <w:p>
            <w:pPr>
              <w:pStyle w:val="TableParagraph"/>
              <w:spacing w:before="47"/>
              <w:ind w:right="63"/>
              <w:jc w:val="right"/>
              <w:rPr>
                <w:sz w:val="18"/>
              </w:rPr>
            </w:pPr>
            <w:r>
              <w:rPr>
                <w:w w:val="99"/>
                <w:sz w:val="18"/>
              </w:rPr>
              <w:t>1</w:t>
            </w:r>
          </w:p>
        </w:tc>
        <w:tc>
          <w:tcPr>
            <w:tcW w:w="1200" w:type="dxa"/>
            <w:tcBorders>
              <w:left w:val="single" w:sz="4" w:space="0" w:color="000000"/>
              <w:bottom w:val="single" w:sz="4" w:space="0" w:color="000000"/>
              <w:right w:val="single" w:sz="4" w:space="0" w:color="000000"/>
            </w:tcBorders>
          </w:tcPr>
          <w:p>
            <w:pPr>
              <w:pStyle w:val="TableParagraph"/>
              <w:spacing w:before="47"/>
              <w:ind w:right="60"/>
              <w:jc w:val="right"/>
              <w:rPr>
                <w:sz w:val="18"/>
              </w:rPr>
            </w:pPr>
            <w:r>
              <w:rPr>
                <w:sz w:val="18"/>
              </w:rPr>
              <w:t>3.00%</w:t>
            </w:r>
          </w:p>
        </w:tc>
      </w:tr>
      <w:tr>
        <w:trPr>
          <w:trHeight w:val="266" w:hRule="exact"/>
        </w:trPr>
        <w:tc>
          <w:tcPr>
            <w:tcW w:w="1481"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Lo necesario</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63"/>
              <w:jc w:val="right"/>
              <w:rPr>
                <w:sz w:val="18"/>
              </w:rPr>
            </w:pPr>
            <w:r>
              <w:rPr>
                <w:w w:val="99"/>
                <w:sz w:val="18"/>
              </w:rPr>
              <w:t>6</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31.70%</w:t>
            </w:r>
          </w:p>
        </w:tc>
      </w:tr>
      <w:tr>
        <w:trPr>
          <w:trHeight w:val="264" w:hRule="exact"/>
        </w:trPr>
        <w:tc>
          <w:tcPr>
            <w:tcW w:w="1481"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Lo suficiente</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60"/>
              <w:jc w:val="right"/>
              <w:rPr>
                <w:sz w:val="18"/>
              </w:rPr>
            </w:pPr>
            <w:r>
              <w:rPr>
                <w:sz w:val="18"/>
              </w:rPr>
              <w:t>17</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27.18%</w:t>
            </w:r>
          </w:p>
        </w:tc>
      </w:tr>
      <w:tr>
        <w:trPr>
          <w:trHeight w:val="264" w:hRule="exact"/>
        </w:trPr>
        <w:tc>
          <w:tcPr>
            <w:tcW w:w="1481"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Completamente</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60"/>
              <w:jc w:val="right"/>
              <w:rPr>
                <w:sz w:val="18"/>
              </w:rPr>
            </w:pPr>
            <w:r>
              <w:rPr>
                <w:sz w:val="18"/>
              </w:rPr>
              <w:t>21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38.44%</w:t>
            </w:r>
          </w:p>
        </w:tc>
      </w:tr>
      <w:tr>
        <w:trPr>
          <w:trHeight w:val="266" w:hRule="exact"/>
        </w:trPr>
        <w:tc>
          <w:tcPr>
            <w:tcW w:w="1481" w:type="dxa"/>
            <w:tcBorders>
              <w:top w:val="single" w:sz="4" w:space="0" w:color="000000"/>
              <w:left w:val="single" w:sz="4" w:space="0" w:color="000000"/>
              <w:bottom w:val="single" w:sz="4" w:space="0" w:color="000000"/>
              <w:right w:val="single" w:sz="4" w:space="0" w:color="000000"/>
            </w:tcBorders>
          </w:tcPr>
          <w:p>
            <w:pPr>
              <w:pStyle w:val="TableParagraph"/>
              <w:spacing w:before="49"/>
              <w:ind w:left="64"/>
              <w:jc w:val="left"/>
              <w:rPr>
                <w:sz w:val="18"/>
              </w:rPr>
            </w:pPr>
            <w:r>
              <w:rPr>
                <w:sz w:val="18"/>
              </w:rPr>
              <w:t>No contestó</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9"/>
              <w:ind w:right="63"/>
              <w:jc w:val="right"/>
              <w:rPr>
                <w:sz w:val="18"/>
              </w:rPr>
            </w:pPr>
            <w:r>
              <w:rPr>
                <w:w w:val="99"/>
                <w:sz w:val="18"/>
              </w:rPr>
              <w:t>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9"/>
              <w:ind w:right="61"/>
              <w:jc w:val="right"/>
              <w:rPr>
                <w:sz w:val="18"/>
              </w:rPr>
            </w:pPr>
            <w:r>
              <w:rPr>
                <w:sz w:val="18"/>
              </w:rPr>
              <w:t>40.52%</w:t>
            </w:r>
          </w:p>
        </w:tc>
      </w:tr>
    </w:tbl>
    <w:p>
      <w:pPr>
        <w:spacing w:before="68"/>
        <w:ind w:left="2723" w:right="6" w:firstLine="0"/>
        <w:jc w:val="left"/>
        <w:rPr>
          <w:sz w:val="16"/>
        </w:rPr>
      </w:pPr>
      <w:r>
        <w:rPr>
          <w:sz w:val="16"/>
        </w:rPr>
        <w:t>Fuente: Elaboración propia</w:t>
      </w:r>
    </w:p>
    <w:p>
      <w:pPr>
        <w:spacing w:after="0"/>
        <w:jc w:val="left"/>
        <w:rPr>
          <w:sz w:val="16"/>
        </w:rPr>
        <w:sectPr>
          <w:pgSz w:w="12240" w:h="15840"/>
          <w:pgMar w:header="0" w:footer="1035" w:top="1360" w:bottom="1220" w:left="1480" w:right="1600"/>
        </w:sectPr>
      </w:pPr>
    </w:p>
    <w:p>
      <w:pPr>
        <w:pStyle w:val="BodyText"/>
        <w:spacing w:line="360" w:lineRule="auto" w:before="54"/>
        <w:ind w:left="108" w:right="117"/>
        <w:jc w:val="both"/>
      </w:pPr>
      <w:r>
        <w:rPr/>
        <w:t>En la tabla anterior se muestran los resultados obtenidos de hacer el cruce de las variables del cumplimiento de la ley de transparencia en relación a si promueve la transparencia como una práctica cotidiana en su municipio de los responsables de la transparencia en los gobiernos municipales. Los resultados obtenidos muestran cómo los responsables de la transparencia que obtuvieron el primer lugar al no contestar si ha promovido la transparencia como práctica cotidiana con un 40.52%, en</w:t>
      </w:r>
      <w:r>
        <w:rPr>
          <w:spacing w:val="-13"/>
        </w:rPr>
        <w:t> </w:t>
      </w:r>
      <w:r>
        <w:rPr/>
        <w:t>segundo</w:t>
      </w:r>
      <w:r>
        <w:rPr>
          <w:spacing w:val="-14"/>
        </w:rPr>
        <w:t> </w:t>
      </w:r>
      <w:r>
        <w:rPr/>
        <w:t>lugar</w:t>
      </w:r>
      <w:r>
        <w:rPr>
          <w:spacing w:val="-13"/>
        </w:rPr>
        <w:t> </w:t>
      </w:r>
      <w:r>
        <w:rPr/>
        <w:t>se</w:t>
      </w:r>
      <w:r>
        <w:rPr>
          <w:spacing w:val="-14"/>
        </w:rPr>
        <w:t> </w:t>
      </w:r>
      <w:r>
        <w:rPr/>
        <w:t>encuentran</w:t>
      </w:r>
      <w:r>
        <w:rPr>
          <w:spacing w:val="-14"/>
        </w:rPr>
        <w:t> </w:t>
      </w:r>
      <w:r>
        <w:rPr/>
        <w:t>los</w:t>
      </w:r>
      <w:r>
        <w:rPr>
          <w:spacing w:val="-13"/>
        </w:rPr>
        <w:t> </w:t>
      </w:r>
      <w:r>
        <w:rPr/>
        <w:t>que</w:t>
      </w:r>
      <w:r>
        <w:rPr>
          <w:spacing w:val="-14"/>
        </w:rPr>
        <w:t> </w:t>
      </w:r>
      <w:r>
        <w:rPr/>
        <w:t>promueven</w:t>
      </w:r>
      <w:r>
        <w:rPr>
          <w:spacing w:val="-14"/>
        </w:rPr>
        <w:t> </w:t>
      </w:r>
      <w:r>
        <w:rPr/>
        <w:t>completamente</w:t>
      </w:r>
      <w:r>
        <w:rPr>
          <w:spacing w:val="-13"/>
        </w:rPr>
        <w:t> </w:t>
      </w:r>
      <w:r>
        <w:rPr/>
        <w:t>la</w:t>
      </w:r>
      <w:r>
        <w:rPr>
          <w:spacing w:val="-14"/>
        </w:rPr>
        <w:t> </w:t>
      </w:r>
      <w:r>
        <w:rPr/>
        <w:t>transparencia con</w:t>
      </w:r>
      <w:r>
        <w:rPr>
          <w:spacing w:val="-4"/>
        </w:rPr>
        <w:t> </w:t>
      </w:r>
      <w:r>
        <w:rPr/>
        <w:t>un</w:t>
      </w:r>
      <w:r>
        <w:rPr>
          <w:spacing w:val="-6"/>
        </w:rPr>
        <w:t> </w:t>
      </w:r>
      <w:r>
        <w:rPr/>
        <w:t>38.44%,</w:t>
      </w:r>
      <w:r>
        <w:rPr>
          <w:spacing w:val="-4"/>
        </w:rPr>
        <w:t> </w:t>
      </w:r>
      <w:r>
        <w:rPr/>
        <w:t>en</w:t>
      </w:r>
      <w:r>
        <w:rPr>
          <w:spacing w:val="-4"/>
        </w:rPr>
        <w:t> </w:t>
      </w:r>
      <w:r>
        <w:rPr/>
        <w:t>tercer</w:t>
      </w:r>
      <w:r>
        <w:rPr>
          <w:spacing w:val="-5"/>
        </w:rPr>
        <w:t> </w:t>
      </w:r>
      <w:r>
        <w:rPr/>
        <w:t>lugar</w:t>
      </w:r>
      <w:r>
        <w:rPr>
          <w:spacing w:val="-5"/>
        </w:rPr>
        <w:t> </w:t>
      </w:r>
      <w:r>
        <w:rPr/>
        <w:t>están</w:t>
      </w:r>
      <w:r>
        <w:rPr>
          <w:spacing w:val="-4"/>
        </w:rPr>
        <w:t> </w:t>
      </w:r>
      <w:r>
        <w:rPr/>
        <w:t>los</w:t>
      </w:r>
      <w:r>
        <w:rPr>
          <w:spacing w:val="-4"/>
        </w:rPr>
        <w:t> </w:t>
      </w:r>
      <w:r>
        <w:rPr/>
        <w:t>que</w:t>
      </w:r>
      <w:r>
        <w:rPr>
          <w:spacing w:val="-2"/>
        </w:rPr>
        <w:t> </w:t>
      </w:r>
      <w:r>
        <w:rPr/>
        <w:t>solo</w:t>
      </w:r>
      <w:r>
        <w:rPr>
          <w:spacing w:val="-3"/>
        </w:rPr>
        <w:t> </w:t>
      </w:r>
      <w:r>
        <w:rPr/>
        <w:t>lo</w:t>
      </w:r>
      <w:r>
        <w:rPr>
          <w:spacing w:val="-4"/>
        </w:rPr>
        <w:t> </w:t>
      </w:r>
      <w:r>
        <w:rPr/>
        <w:t>necesario</w:t>
      </w:r>
      <w:r>
        <w:rPr>
          <w:spacing w:val="-4"/>
        </w:rPr>
        <w:t> </w:t>
      </w:r>
      <w:r>
        <w:rPr/>
        <w:t>la</w:t>
      </w:r>
      <w:r>
        <w:rPr>
          <w:spacing w:val="-4"/>
        </w:rPr>
        <w:t> </w:t>
      </w:r>
      <w:r>
        <w:rPr/>
        <w:t>promueven</w:t>
      </w:r>
      <w:r>
        <w:rPr>
          <w:spacing w:val="-4"/>
        </w:rPr>
        <w:t> </w:t>
      </w:r>
      <w:r>
        <w:rPr/>
        <w:t>con</w:t>
      </w:r>
      <w:r>
        <w:rPr>
          <w:spacing w:val="-4"/>
        </w:rPr>
        <w:t> </w:t>
      </w:r>
      <w:r>
        <w:rPr/>
        <w:t>un 31.70%, en cuarto lugar están los que solo lo suficiente promueven como práctica cotidiana la transparencia con un 27.18% y en quinto lugar están los que no promueven nada la transparencia con un</w:t>
      </w:r>
      <w:r>
        <w:rPr>
          <w:spacing w:val="-17"/>
        </w:rPr>
        <w:t> </w:t>
      </w:r>
      <w:r>
        <w:rPr/>
        <w:t>3.00%.</w:t>
      </w:r>
    </w:p>
    <w:p>
      <w:pPr>
        <w:pStyle w:val="BodyText"/>
      </w:pPr>
    </w:p>
    <w:p>
      <w:pPr>
        <w:pStyle w:val="BodyText"/>
        <w:spacing w:line="360" w:lineRule="auto" w:before="163"/>
        <w:ind w:left="108" w:right="118"/>
        <w:jc w:val="both"/>
      </w:pPr>
      <w:r>
        <w:rPr/>
        <w:t>En</w:t>
      </w:r>
      <w:r>
        <w:rPr>
          <w:spacing w:val="-9"/>
        </w:rPr>
        <w:t> </w:t>
      </w:r>
      <w:r>
        <w:rPr/>
        <w:t>un</w:t>
      </w:r>
      <w:r>
        <w:rPr>
          <w:spacing w:val="-9"/>
        </w:rPr>
        <w:t> </w:t>
      </w:r>
      <w:r>
        <w:rPr/>
        <w:t>sentido</w:t>
      </w:r>
      <w:r>
        <w:rPr>
          <w:spacing w:val="-9"/>
        </w:rPr>
        <w:t> </w:t>
      </w:r>
      <w:r>
        <w:rPr/>
        <w:t>retroactivo</w:t>
      </w:r>
      <w:r>
        <w:rPr>
          <w:spacing w:val="-9"/>
        </w:rPr>
        <w:t> </w:t>
      </w:r>
      <w:r>
        <w:rPr/>
        <w:t>del</w:t>
      </w:r>
      <w:r>
        <w:rPr>
          <w:spacing w:val="-10"/>
        </w:rPr>
        <w:t> </w:t>
      </w:r>
      <w:r>
        <w:rPr/>
        <w:t>periodo</w:t>
      </w:r>
      <w:r>
        <w:rPr>
          <w:spacing w:val="-9"/>
        </w:rPr>
        <w:t> </w:t>
      </w:r>
      <w:r>
        <w:rPr/>
        <w:t>de</w:t>
      </w:r>
      <w:r>
        <w:rPr>
          <w:spacing w:val="-9"/>
        </w:rPr>
        <w:t> </w:t>
      </w:r>
      <w:r>
        <w:rPr/>
        <w:t>administración</w:t>
      </w:r>
      <w:r>
        <w:rPr>
          <w:spacing w:val="-9"/>
        </w:rPr>
        <w:t> </w:t>
      </w:r>
      <w:r>
        <w:rPr/>
        <w:t>2013</w:t>
      </w:r>
      <w:r>
        <w:rPr>
          <w:spacing w:val="-7"/>
        </w:rPr>
        <w:t> </w:t>
      </w:r>
      <w:r>
        <w:rPr/>
        <w:t>-2015</w:t>
      </w:r>
      <w:r>
        <w:rPr>
          <w:spacing w:val="-9"/>
        </w:rPr>
        <w:t> </w:t>
      </w:r>
      <w:r>
        <w:rPr/>
        <w:t>la</w:t>
      </w:r>
      <w:r>
        <w:rPr>
          <w:spacing w:val="-9"/>
        </w:rPr>
        <w:t> </w:t>
      </w:r>
      <w:r>
        <w:rPr/>
        <w:t>siguiente</w:t>
      </w:r>
      <w:r>
        <w:rPr>
          <w:spacing w:val="-9"/>
        </w:rPr>
        <w:t> </w:t>
      </w:r>
      <w:r>
        <w:rPr/>
        <w:t>tabla muestra el promedio de cumplimiento de la ley de</w:t>
      </w:r>
      <w:r>
        <w:rPr>
          <w:spacing w:val="-18"/>
        </w:rPr>
        <w:t> </w:t>
      </w:r>
      <w:r>
        <w:rPr/>
        <w:t>transparencia:</w:t>
      </w:r>
    </w:p>
    <w:p>
      <w:pPr>
        <w:pStyle w:val="BodyText"/>
        <w:rPr>
          <w:sz w:val="20"/>
        </w:rPr>
      </w:pPr>
    </w:p>
    <w:p>
      <w:pPr>
        <w:pStyle w:val="BodyText"/>
        <w:spacing w:before="4"/>
        <w:rPr>
          <w:sz w:val="18"/>
        </w:rPr>
      </w:pPr>
    </w:p>
    <w:tbl>
      <w:tblPr>
        <w:tblW w:w="0" w:type="auto"/>
        <w:jc w:val="left"/>
        <w:tblInd w:w="15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43"/>
        <w:gridCol w:w="1130"/>
        <w:gridCol w:w="1133"/>
        <w:gridCol w:w="1130"/>
        <w:gridCol w:w="1164"/>
      </w:tblGrid>
      <w:tr>
        <w:trPr>
          <w:trHeight w:val="434" w:hRule="exact"/>
        </w:trPr>
        <w:tc>
          <w:tcPr>
            <w:tcW w:w="6001" w:type="dxa"/>
            <w:gridSpan w:val="5"/>
            <w:shd w:val="clear" w:color="auto" w:fill="92D050"/>
          </w:tcPr>
          <w:p>
            <w:pPr>
              <w:pStyle w:val="TableParagraph"/>
              <w:spacing w:line="242" w:lineRule="auto"/>
              <w:ind w:left="1886" w:right="75" w:hanging="1791"/>
              <w:jc w:val="left"/>
              <w:rPr>
                <w:b/>
                <w:sz w:val="18"/>
              </w:rPr>
            </w:pPr>
            <w:r>
              <w:rPr>
                <w:b/>
                <w:sz w:val="18"/>
              </w:rPr>
              <w:t>Tabla 3.67: Usted ha promovido la transparencia como una práctica cotidiana en su municipio</w:t>
            </w:r>
          </w:p>
        </w:tc>
      </w:tr>
      <w:tr>
        <w:trPr>
          <w:trHeight w:val="545" w:hRule="exact"/>
        </w:trPr>
        <w:tc>
          <w:tcPr>
            <w:tcW w:w="1443" w:type="dxa"/>
            <w:tcBorders>
              <w:bottom w:val="single" w:sz="8" w:space="0" w:color="000000"/>
            </w:tcBorders>
            <w:shd w:val="clear" w:color="auto" w:fill="92D050"/>
          </w:tcPr>
          <w:p>
            <w:pPr>
              <w:pStyle w:val="TableParagraph"/>
              <w:spacing w:before="152"/>
              <w:ind w:left="472"/>
              <w:jc w:val="left"/>
              <w:rPr>
                <w:b/>
                <w:sz w:val="18"/>
              </w:rPr>
            </w:pPr>
            <w:r>
              <w:rPr>
                <w:b/>
                <w:sz w:val="18"/>
              </w:rPr>
              <w:t>Clase</w:t>
            </w:r>
          </w:p>
        </w:tc>
        <w:tc>
          <w:tcPr>
            <w:tcW w:w="1130" w:type="dxa"/>
            <w:tcBorders>
              <w:bottom w:val="single" w:sz="4" w:space="0" w:color="000000"/>
            </w:tcBorders>
            <w:shd w:val="clear" w:color="auto" w:fill="92D050"/>
          </w:tcPr>
          <w:p>
            <w:pPr>
              <w:pStyle w:val="TableParagraph"/>
              <w:spacing w:before="152"/>
              <w:ind w:left="357"/>
              <w:jc w:val="left"/>
              <w:rPr>
                <w:b/>
                <w:sz w:val="18"/>
              </w:rPr>
            </w:pPr>
            <w:r>
              <w:rPr>
                <w:b/>
                <w:sz w:val="18"/>
              </w:rPr>
              <w:t>2013</w:t>
            </w:r>
          </w:p>
        </w:tc>
        <w:tc>
          <w:tcPr>
            <w:tcW w:w="1133" w:type="dxa"/>
            <w:tcBorders>
              <w:bottom w:val="single" w:sz="4" w:space="0" w:color="000000"/>
            </w:tcBorders>
            <w:shd w:val="clear" w:color="auto" w:fill="92D050"/>
          </w:tcPr>
          <w:p>
            <w:pPr>
              <w:pStyle w:val="TableParagraph"/>
              <w:spacing w:before="152"/>
              <w:ind w:left="357"/>
              <w:jc w:val="left"/>
              <w:rPr>
                <w:b/>
                <w:sz w:val="18"/>
              </w:rPr>
            </w:pPr>
            <w:r>
              <w:rPr>
                <w:b/>
                <w:sz w:val="18"/>
              </w:rPr>
              <w:t>2014</w:t>
            </w:r>
          </w:p>
        </w:tc>
        <w:tc>
          <w:tcPr>
            <w:tcW w:w="1130" w:type="dxa"/>
            <w:tcBorders>
              <w:bottom w:val="single" w:sz="4" w:space="0" w:color="000000"/>
            </w:tcBorders>
            <w:shd w:val="clear" w:color="auto" w:fill="92D050"/>
          </w:tcPr>
          <w:p>
            <w:pPr>
              <w:pStyle w:val="TableParagraph"/>
              <w:spacing w:before="152"/>
              <w:ind w:left="355"/>
              <w:jc w:val="left"/>
              <w:rPr>
                <w:b/>
                <w:sz w:val="18"/>
              </w:rPr>
            </w:pPr>
            <w:r>
              <w:rPr>
                <w:b/>
                <w:sz w:val="18"/>
              </w:rPr>
              <w:t>2015</w:t>
            </w:r>
          </w:p>
        </w:tc>
        <w:tc>
          <w:tcPr>
            <w:tcW w:w="1164" w:type="dxa"/>
            <w:tcBorders>
              <w:bottom w:val="single" w:sz="4" w:space="0" w:color="000000"/>
            </w:tcBorders>
            <w:shd w:val="clear" w:color="auto" w:fill="92D050"/>
          </w:tcPr>
          <w:p>
            <w:pPr>
              <w:pStyle w:val="TableParagraph"/>
              <w:spacing w:before="49"/>
              <w:ind w:left="251" w:right="139" w:hanging="96"/>
              <w:jc w:val="left"/>
              <w:rPr>
                <w:b/>
                <w:sz w:val="18"/>
              </w:rPr>
            </w:pPr>
            <w:r>
              <w:rPr>
                <w:b/>
                <w:sz w:val="18"/>
              </w:rPr>
              <w:t>Promedio general</w:t>
            </w:r>
          </w:p>
        </w:tc>
      </w:tr>
      <w:tr>
        <w:trPr>
          <w:trHeight w:val="271" w:hRule="exact"/>
        </w:trPr>
        <w:tc>
          <w:tcPr>
            <w:tcW w:w="1443" w:type="dxa"/>
            <w:tcBorders>
              <w:top w:val="single" w:sz="8"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Nada</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52"/>
              <w:ind w:left="67"/>
              <w:jc w:val="left"/>
              <w:rPr>
                <w:sz w:val="18"/>
              </w:rPr>
            </w:pPr>
            <w:r>
              <w:rPr>
                <w:sz w:val="18"/>
              </w:rPr>
              <w:t>S/I</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52"/>
              <w:ind w:left="67"/>
              <w:jc w:val="left"/>
              <w:rPr>
                <w:sz w:val="18"/>
              </w:rPr>
            </w:pPr>
            <w:r>
              <w:rPr>
                <w:sz w:val="18"/>
              </w:rPr>
              <w:t>S/I</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52"/>
              <w:ind w:right="61"/>
              <w:jc w:val="right"/>
              <w:rPr>
                <w:sz w:val="18"/>
              </w:rPr>
            </w:pPr>
            <w:r>
              <w:rPr>
                <w:w w:val="95"/>
                <w:sz w:val="18"/>
              </w:rPr>
              <w:t>3.00%</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52"/>
              <w:ind w:right="61"/>
              <w:jc w:val="right"/>
              <w:rPr>
                <w:sz w:val="18"/>
              </w:rPr>
            </w:pPr>
            <w:r>
              <w:rPr>
                <w:w w:val="95"/>
                <w:sz w:val="18"/>
              </w:rPr>
              <w:t>3.00%</w:t>
            </w:r>
          </w:p>
        </w:tc>
      </w:tr>
      <w:tr>
        <w:trPr>
          <w:trHeight w:val="264" w:hRule="exact"/>
        </w:trPr>
        <w:tc>
          <w:tcPr>
            <w:tcW w:w="1443"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Lo necesario</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S/I</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47"/>
              <w:ind w:right="62"/>
              <w:jc w:val="right"/>
              <w:rPr>
                <w:sz w:val="18"/>
              </w:rPr>
            </w:pPr>
            <w:r>
              <w:rPr>
                <w:sz w:val="18"/>
              </w:rPr>
              <w:t>87.11%</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31.70%</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59.41%</w:t>
            </w:r>
          </w:p>
        </w:tc>
      </w:tr>
      <w:tr>
        <w:trPr>
          <w:trHeight w:val="264" w:hRule="exact"/>
        </w:trPr>
        <w:tc>
          <w:tcPr>
            <w:tcW w:w="1443"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Lo suficiente</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85.86%</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47"/>
              <w:ind w:right="62"/>
              <w:jc w:val="right"/>
              <w:rPr>
                <w:sz w:val="18"/>
              </w:rPr>
            </w:pPr>
            <w:r>
              <w:rPr>
                <w:sz w:val="18"/>
              </w:rPr>
              <w:t>79.75%</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27.18%</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64.26%</w:t>
            </w:r>
          </w:p>
        </w:tc>
      </w:tr>
      <w:tr>
        <w:trPr>
          <w:trHeight w:val="266" w:hRule="exact"/>
        </w:trPr>
        <w:tc>
          <w:tcPr>
            <w:tcW w:w="1443" w:type="dxa"/>
            <w:tcBorders>
              <w:top w:val="single" w:sz="4" w:space="0" w:color="000000"/>
              <w:left w:val="single" w:sz="4" w:space="0" w:color="000000"/>
              <w:bottom w:val="single" w:sz="4" w:space="0" w:color="000000"/>
              <w:right w:val="single" w:sz="4" w:space="0" w:color="000000"/>
            </w:tcBorders>
          </w:tcPr>
          <w:p>
            <w:pPr>
              <w:pStyle w:val="TableParagraph"/>
              <w:spacing w:before="49"/>
              <w:ind w:left="67"/>
              <w:jc w:val="left"/>
              <w:rPr>
                <w:sz w:val="18"/>
              </w:rPr>
            </w:pPr>
            <w:r>
              <w:rPr>
                <w:sz w:val="18"/>
              </w:rPr>
              <w:t>Completamente</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9"/>
              <w:ind w:right="59"/>
              <w:jc w:val="right"/>
              <w:rPr>
                <w:sz w:val="18"/>
              </w:rPr>
            </w:pPr>
            <w:r>
              <w:rPr>
                <w:sz w:val="18"/>
              </w:rPr>
              <w:t>94.55%</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49"/>
              <w:ind w:right="62"/>
              <w:jc w:val="right"/>
              <w:rPr>
                <w:sz w:val="18"/>
              </w:rPr>
            </w:pPr>
            <w:r>
              <w:rPr>
                <w:sz w:val="18"/>
              </w:rPr>
              <w:t>61.32%</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9"/>
              <w:ind w:right="61"/>
              <w:jc w:val="right"/>
              <w:rPr>
                <w:sz w:val="18"/>
              </w:rPr>
            </w:pPr>
            <w:r>
              <w:rPr>
                <w:sz w:val="18"/>
              </w:rPr>
              <w:t>38.44%</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49"/>
              <w:ind w:right="61"/>
              <w:jc w:val="right"/>
              <w:rPr>
                <w:sz w:val="18"/>
              </w:rPr>
            </w:pPr>
            <w:r>
              <w:rPr>
                <w:sz w:val="18"/>
              </w:rPr>
              <w:t>64.77%</w:t>
            </w:r>
          </w:p>
        </w:tc>
      </w:tr>
      <w:tr>
        <w:trPr>
          <w:trHeight w:val="264" w:hRule="exact"/>
        </w:trPr>
        <w:tc>
          <w:tcPr>
            <w:tcW w:w="1443"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No contestó</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S/I</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S/I</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40.52%</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40.52%</w:t>
            </w:r>
          </w:p>
        </w:tc>
      </w:tr>
    </w:tbl>
    <w:p>
      <w:pPr>
        <w:spacing w:before="68"/>
        <w:ind w:left="1644" w:right="6" w:firstLine="0"/>
        <w:jc w:val="left"/>
        <w:rPr>
          <w:sz w:val="16"/>
        </w:rPr>
      </w:pPr>
      <w:r>
        <w:rPr>
          <w:sz w:val="16"/>
        </w:rPr>
        <w:t>Fuente: Elaboración propia</w:t>
      </w:r>
    </w:p>
    <w:p>
      <w:pPr>
        <w:pStyle w:val="BodyText"/>
        <w:rPr>
          <w:sz w:val="20"/>
        </w:rPr>
      </w:pPr>
    </w:p>
    <w:p>
      <w:pPr>
        <w:pStyle w:val="BodyText"/>
      </w:pPr>
    </w:p>
    <w:p>
      <w:pPr>
        <w:pStyle w:val="BodyText"/>
        <w:spacing w:line="360" w:lineRule="auto" w:before="70"/>
        <w:ind w:left="108" w:right="118"/>
        <w:jc w:val="both"/>
      </w:pPr>
      <w:r>
        <w:rPr/>
        <w:t>Durante el periodo que comprende el 2013-2015 se tuvo un promedio de cumplimiento de la ley tal como se describe a continuación: en primer lugar se encuentran los representantes que promueven completamente la transparencia como práctica cotidiana en su municipio con un 64.77%, en segundo lugar se encuentra los que solo promueven lo suficiente la transparencia con un 64.26%, en tercer</w:t>
      </w:r>
      <w:r>
        <w:rPr>
          <w:spacing w:val="-10"/>
        </w:rPr>
        <w:t> </w:t>
      </w:r>
      <w:r>
        <w:rPr/>
        <w:t>lugar</w:t>
      </w:r>
      <w:r>
        <w:rPr>
          <w:spacing w:val="-10"/>
        </w:rPr>
        <w:t> </w:t>
      </w:r>
      <w:r>
        <w:rPr/>
        <w:t>se</w:t>
      </w:r>
      <w:r>
        <w:rPr>
          <w:spacing w:val="-8"/>
        </w:rPr>
        <w:t> </w:t>
      </w:r>
      <w:r>
        <w:rPr/>
        <w:t>encuentran</w:t>
      </w:r>
      <w:r>
        <w:rPr>
          <w:spacing w:val="-8"/>
        </w:rPr>
        <w:t> </w:t>
      </w:r>
      <w:r>
        <w:rPr/>
        <w:t>los</w:t>
      </w:r>
      <w:r>
        <w:rPr>
          <w:spacing w:val="-9"/>
        </w:rPr>
        <w:t> </w:t>
      </w:r>
      <w:r>
        <w:rPr/>
        <w:t>que</w:t>
      </w:r>
      <w:r>
        <w:rPr>
          <w:spacing w:val="-6"/>
        </w:rPr>
        <w:t> </w:t>
      </w:r>
      <w:r>
        <w:rPr/>
        <w:t>solo</w:t>
      </w:r>
      <w:r>
        <w:rPr>
          <w:spacing w:val="-8"/>
        </w:rPr>
        <w:t> </w:t>
      </w:r>
      <w:r>
        <w:rPr/>
        <w:t>promueven</w:t>
      </w:r>
      <w:r>
        <w:rPr>
          <w:spacing w:val="-8"/>
        </w:rPr>
        <w:t> </w:t>
      </w:r>
      <w:r>
        <w:rPr/>
        <w:t>lo</w:t>
      </w:r>
      <w:r>
        <w:rPr>
          <w:spacing w:val="-9"/>
        </w:rPr>
        <w:t> </w:t>
      </w:r>
      <w:r>
        <w:rPr/>
        <w:t>necesario</w:t>
      </w:r>
      <w:r>
        <w:rPr>
          <w:spacing w:val="-8"/>
        </w:rPr>
        <w:t> </w:t>
      </w:r>
      <w:r>
        <w:rPr/>
        <w:t>la</w:t>
      </w:r>
      <w:r>
        <w:rPr>
          <w:spacing w:val="-9"/>
        </w:rPr>
        <w:t> </w:t>
      </w:r>
      <w:r>
        <w:rPr/>
        <w:t>transparencia</w:t>
      </w:r>
      <w:r>
        <w:rPr>
          <w:spacing w:val="-9"/>
        </w:rPr>
        <w:t> </w:t>
      </w:r>
      <w:r>
        <w:rPr/>
        <w:t>con un 59.41%, encuarto lugar tenemos a los que no contestaron si promueven o no la transparencia con un 40.52% y en quinto lugar tenemos a los que no promueven para nada la transparencia como práctica cotidiana en su municipio con un</w:t>
      </w:r>
      <w:r>
        <w:rPr>
          <w:spacing w:val="-34"/>
        </w:rPr>
        <w:t> </w:t>
      </w:r>
      <w:r>
        <w:rPr/>
        <w:t>3.00%.</w:t>
      </w:r>
    </w:p>
    <w:p>
      <w:pPr>
        <w:spacing w:after="0" w:line="360" w:lineRule="auto"/>
        <w:jc w:val="both"/>
        <w:sectPr>
          <w:pgSz w:w="12240" w:h="15840"/>
          <w:pgMar w:header="0" w:footer="1035" w:top="1360" w:bottom="1220" w:left="1500" w:right="1580"/>
        </w:sectPr>
      </w:pPr>
    </w:p>
    <w:p>
      <w:pPr>
        <w:pStyle w:val="Heading1"/>
        <w:numPr>
          <w:ilvl w:val="2"/>
          <w:numId w:val="53"/>
        </w:numPr>
        <w:tabs>
          <w:tab w:pos="837" w:val="left" w:leader="none"/>
        </w:tabs>
        <w:spacing w:line="362" w:lineRule="auto" w:before="54" w:after="0"/>
        <w:ind w:left="836" w:right="123" w:hanging="720"/>
        <w:jc w:val="left"/>
      </w:pPr>
      <w:r>
        <w:rPr/>
        <w:t>Usted puede cambiar la forma en que se práctica la transparencia en su municipio vs porcentaje de transparencia</w:t>
      </w:r>
      <w:r>
        <w:rPr>
          <w:spacing w:val="-15"/>
        </w:rPr>
        <w:t> </w:t>
      </w:r>
      <w:r>
        <w:rPr/>
        <w:t>2015.</w:t>
      </w:r>
    </w:p>
    <w:p>
      <w:pPr>
        <w:pStyle w:val="BodyText"/>
        <w:rPr>
          <w:b/>
          <w:sz w:val="20"/>
        </w:rPr>
      </w:pPr>
    </w:p>
    <w:p>
      <w:pPr>
        <w:pStyle w:val="BodyText"/>
        <w:spacing w:before="4"/>
        <w:rPr>
          <w:b/>
          <w:sz w:val="19"/>
        </w:rPr>
      </w:pPr>
    </w:p>
    <w:tbl>
      <w:tblPr>
        <w:tblW w:w="0" w:type="auto"/>
        <w:jc w:val="left"/>
        <w:tblInd w:w="26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53"/>
        <w:gridCol w:w="1200"/>
        <w:gridCol w:w="1200"/>
      </w:tblGrid>
      <w:tr>
        <w:trPr>
          <w:trHeight w:val="641" w:hRule="exact"/>
        </w:trPr>
        <w:tc>
          <w:tcPr>
            <w:tcW w:w="3953" w:type="dxa"/>
            <w:gridSpan w:val="3"/>
            <w:shd w:val="clear" w:color="auto" w:fill="92D050"/>
          </w:tcPr>
          <w:p>
            <w:pPr>
              <w:pStyle w:val="TableParagraph"/>
              <w:ind w:left="60" w:right="60"/>
              <w:rPr>
                <w:b/>
                <w:sz w:val="18"/>
              </w:rPr>
            </w:pPr>
            <w:r>
              <w:rPr>
                <w:b/>
                <w:sz w:val="18"/>
              </w:rPr>
              <w:t>Tabla 3.68: Usted puede cambiar la forma en que se práctica la transparencia en su municipio</w:t>
            </w:r>
          </w:p>
        </w:tc>
      </w:tr>
      <w:tr>
        <w:trPr>
          <w:trHeight w:val="290" w:hRule="exact"/>
        </w:trPr>
        <w:tc>
          <w:tcPr>
            <w:tcW w:w="1553" w:type="dxa"/>
            <w:vMerge w:val="restart"/>
            <w:shd w:val="clear" w:color="auto" w:fill="92D050"/>
          </w:tcPr>
          <w:p>
            <w:pPr>
              <w:pStyle w:val="TableParagraph"/>
              <w:jc w:val="left"/>
              <w:rPr>
                <w:b/>
                <w:sz w:val="26"/>
              </w:rPr>
            </w:pPr>
          </w:p>
          <w:p>
            <w:pPr>
              <w:pStyle w:val="TableParagraph"/>
              <w:ind w:left="506" w:right="507"/>
              <w:rPr>
                <w:b/>
                <w:sz w:val="18"/>
              </w:rPr>
            </w:pPr>
            <w:r>
              <w:rPr>
                <w:b/>
                <w:sz w:val="18"/>
              </w:rPr>
              <w:t>Clase</w:t>
            </w:r>
          </w:p>
        </w:tc>
        <w:tc>
          <w:tcPr>
            <w:tcW w:w="2400" w:type="dxa"/>
            <w:gridSpan w:val="2"/>
            <w:shd w:val="clear" w:color="auto" w:fill="92D050"/>
          </w:tcPr>
          <w:p>
            <w:pPr>
              <w:pStyle w:val="TableParagraph"/>
              <w:spacing w:before="25"/>
              <w:ind w:left="967" w:right="967"/>
              <w:rPr>
                <w:b/>
                <w:sz w:val="18"/>
              </w:rPr>
            </w:pPr>
            <w:r>
              <w:rPr>
                <w:b/>
                <w:sz w:val="18"/>
              </w:rPr>
              <w:t>2015</w:t>
            </w:r>
          </w:p>
        </w:tc>
      </w:tr>
      <w:tr>
        <w:trPr>
          <w:trHeight w:val="545" w:hRule="exact"/>
        </w:trPr>
        <w:tc>
          <w:tcPr>
            <w:tcW w:w="1553" w:type="dxa"/>
            <w:vMerge/>
            <w:shd w:val="clear" w:color="auto" w:fill="92D050"/>
          </w:tcPr>
          <w:p>
            <w:pPr/>
          </w:p>
        </w:tc>
        <w:tc>
          <w:tcPr>
            <w:tcW w:w="1200" w:type="dxa"/>
            <w:shd w:val="clear" w:color="auto" w:fill="92D050"/>
          </w:tcPr>
          <w:p>
            <w:pPr>
              <w:pStyle w:val="TableParagraph"/>
              <w:spacing w:before="152"/>
              <w:ind w:right="113"/>
              <w:jc w:val="right"/>
              <w:rPr>
                <w:b/>
                <w:sz w:val="18"/>
              </w:rPr>
            </w:pPr>
            <w:r>
              <w:rPr>
                <w:b/>
                <w:sz w:val="18"/>
              </w:rPr>
              <w:t>Frecuencia</w:t>
            </w:r>
          </w:p>
        </w:tc>
        <w:tc>
          <w:tcPr>
            <w:tcW w:w="1200" w:type="dxa"/>
            <w:shd w:val="clear" w:color="auto" w:fill="92D050"/>
          </w:tcPr>
          <w:p>
            <w:pPr>
              <w:pStyle w:val="TableParagraph"/>
              <w:spacing w:before="152"/>
              <w:ind w:left="508"/>
              <w:jc w:val="left"/>
              <w:rPr>
                <w:b/>
                <w:sz w:val="18"/>
              </w:rPr>
            </w:pPr>
            <w:r>
              <w:rPr>
                <w:b/>
                <w:w w:val="99"/>
                <w:sz w:val="18"/>
              </w:rPr>
              <w:t>%</w:t>
            </w:r>
          </w:p>
        </w:tc>
      </w:tr>
      <w:tr>
        <w:trPr>
          <w:trHeight w:val="269" w:hRule="exact"/>
        </w:trPr>
        <w:tc>
          <w:tcPr>
            <w:tcW w:w="1553" w:type="dxa"/>
            <w:tcBorders>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Nada</w:t>
            </w:r>
          </w:p>
        </w:tc>
        <w:tc>
          <w:tcPr>
            <w:tcW w:w="1200" w:type="dxa"/>
            <w:tcBorders>
              <w:left w:val="single" w:sz="4" w:space="0" w:color="000000"/>
              <w:bottom w:val="single" w:sz="4" w:space="0" w:color="000000"/>
              <w:right w:val="single" w:sz="4" w:space="0" w:color="000000"/>
            </w:tcBorders>
          </w:tcPr>
          <w:p>
            <w:pPr>
              <w:pStyle w:val="TableParagraph"/>
              <w:spacing w:before="47"/>
              <w:ind w:right="63"/>
              <w:jc w:val="right"/>
              <w:rPr>
                <w:sz w:val="18"/>
              </w:rPr>
            </w:pPr>
            <w:r>
              <w:rPr>
                <w:w w:val="99"/>
                <w:sz w:val="18"/>
              </w:rPr>
              <w:t>6</w:t>
            </w:r>
          </w:p>
        </w:tc>
        <w:tc>
          <w:tcPr>
            <w:tcW w:w="1200" w:type="dxa"/>
            <w:tcBorders>
              <w:left w:val="single" w:sz="4" w:space="0" w:color="000000"/>
              <w:bottom w:val="single" w:sz="4" w:space="0" w:color="000000"/>
              <w:right w:val="single" w:sz="4" w:space="0" w:color="000000"/>
            </w:tcBorders>
          </w:tcPr>
          <w:p>
            <w:pPr>
              <w:pStyle w:val="TableParagraph"/>
              <w:spacing w:before="47"/>
              <w:ind w:left="516"/>
              <w:jc w:val="left"/>
              <w:rPr>
                <w:sz w:val="18"/>
              </w:rPr>
            </w:pPr>
            <w:r>
              <w:rPr>
                <w:sz w:val="18"/>
              </w:rPr>
              <w:t>36.34%</w:t>
            </w:r>
          </w:p>
        </w:tc>
      </w:tr>
      <w:tr>
        <w:trPr>
          <w:trHeight w:val="266" w:hRule="exact"/>
        </w:trPr>
        <w:tc>
          <w:tcPr>
            <w:tcW w:w="1553" w:type="dxa"/>
            <w:tcBorders>
              <w:top w:val="single" w:sz="4" w:space="0" w:color="000000"/>
              <w:left w:val="single" w:sz="4" w:space="0" w:color="000000"/>
              <w:bottom w:val="single" w:sz="4" w:space="0" w:color="000000"/>
              <w:right w:val="single" w:sz="4" w:space="0" w:color="000000"/>
            </w:tcBorders>
          </w:tcPr>
          <w:p>
            <w:pPr>
              <w:pStyle w:val="TableParagraph"/>
              <w:spacing w:before="49"/>
              <w:ind w:left="64"/>
              <w:jc w:val="left"/>
              <w:rPr>
                <w:sz w:val="18"/>
              </w:rPr>
            </w:pPr>
            <w:r>
              <w:rPr>
                <w:sz w:val="18"/>
              </w:rPr>
              <w:t>Lo necesario</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9"/>
              <w:ind w:right="60"/>
              <w:jc w:val="right"/>
              <w:rPr>
                <w:sz w:val="18"/>
              </w:rPr>
            </w:pPr>
            <w:r>
              <w:rPr>
                <w:sz w:val="18"/>
              </w:rPr>
              <w:t>12</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9"/>
              <w:ind w:left="516"/>
              <w:jc w:val="left"/>
              <w:rPr>
                <w:sz w:val="18"/>
              </w:rPr>
            </w:pPr>
            <w:r>
              <w:rPr>
                <w:sz w:val="18"/>
              </w:rPr>
              <w:t>39.14%</w:t>
            </w:r>
          </w:p>
        </w:tc>
      </w:tr>
      <w:tr>
        <w:trPr>
          <w:trHeight w:val="264" w:hRule="exact"/>
        </w:trPr>
        <w:tc>
          <w:tcPr>
            <w:tcW w:w="1553"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Lo suficiente</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60"/>
              <w:jc w:val="right"/>
              <w:rPr>
                <w:sz w:val="18"/>
              </w:rPr>
            </w:pPr>
            <w:r>
              <w:rPr>
                <w:sz w:val="18"/>
              </w:rPr>
              <w:t>12</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516"/>
              <w:jc w:val="left"/>
              <w:rPr>
                <w:sz w:val="18"/>
              </w:rPr>
            </w:pPr>
            <w:r>
              <w:rPr>
                <w:sz w:val="18"/>
              </w:rPr>
              <w:t>29.08%</w:t>
            </w:r>
          </w:p>
        </w:tc>
      </w:tr>
      <w:tr>
        <w:trPr>
          <w:trHeight w:val="267" w:hRule="exact"/>
        </w:trPr>
        <w:tc>
          <w:tcPr>
            <w:tcW w:w="1553"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Completamente</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60"/>
              <w:jc w:val="right"/>
              <w:rPr>
                <w:sz w:val="18"/>
              </w:rPr>
            </w:pPr>
            <w:r>
              <w:rPr>
                <w:sz w:val="18"/>
              </w:rPr>
              <w:t>15</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516"/>
              <w:jc w:val="left"/>
              <w:rPr>
                <w:sz w:val="18"/>
              </w:rPr>
            </w:pPr>
            <w:r>
              <w:rPr>
                <w:sz w:val="18"/>
              </w:rPr>
              <w:t>29.53%</w:t>
            </w:r>
          </w:p>
        </w:tc>
      </w:tr>
      <w:tr>
        <w:trPr>
          <w:trHeight w:val="264" w:hRule="exact"/>
        </w:trPr>
        <w:tc>
          <w:tcPr>
            <w:tcW w:w="1553"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No contestó</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63"/>
              <w:jc w:val="right"/>
              <w:rPr>
                <w:sz w:val="18"/>
              </w:rPr>
            </w:pPr>
            <w:r>
              <w:rPr>
                <w:w w:val="99"/>
                <w:sz w:val="18"/>
              </w:rPr>
              <w:t>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516"/>
              <w:jc w:val="left"/>
              <w:rPr>
                <w:sz w:val="18"/>
              </w:rPr>
            </w:pPr>
            <w:r>
              <w:rPr>
                <w:sz w:val="18"/>
              </w:rPr>
              <w:t>23.38%</w:t>
            </w:r>
          </w:p>
        </w:tc>
      </w:tr>
    </w:tbl>
    <w:p>
      <w:pPr>
        <w:spacing w:before="68"/>
        <w:ind w:left="2687" w:right="26" w:firstLine="0"/>
        <w:jc w:val="left"/>
        <w:rPr>
          <w:sz w:val="16"/>
        </w:rPr>
      </w:pPr>
      <w:r>
        <w:rPr>
          <w:sz w:val="16"/>
        </w:rPr>
        <w:t>Fuente: Elaboración propia</w:t>
      </w:r>
    </w:p>
    <w:p>
      <w:pPr>
        <w:pStyle w:val="BodyText"/>
        <w:rPr>
          <w:sz w:val="20"/>
        </w:rPr>
      </w:pPr>
    </w:p>
    <w:p>
      <w:pPr>
        <w:pStyle w:val="BodyText"/>
      </w:pPr>
    </w:p>
    <w:p>
      <w:pPr>
        <w:pStyle w:val="BodyText"/>
        <w:spacing w:line="360" w:lineRule="auto" w:before="70"/>
        <w:ind w:left="128" w:right="116"/>
        <w:jc w:val="both"/>
      </w:pPr>
      <w:r>
        <w:rPr/>
        <w:t>En la tabla anterior se muestran los resultados obtenidos de hacer el cruce de las variables</w:t>
      </w:r>
      <w:r>
        <w:rPr>
          <w:spacing w:val="-13"/>
        </w:rPr>
        <w:t> </w:t>
      </w:r>
      <w:r>
        <w:rPr/>
        <w:t>del</w:t>
      </w:r>
      <w:r>
        <w:rPr>
          <w:spacing w:val="-14"/>
        </w:rPr>
        <w:t> </w:t>
      </w:r>
      <w:r>
        <w:rPr/>
        <w:t>cumplimiento</w:t>
      </w:r>
      <w:r>
        <w:rPr>
          <w:spacing w:val="-15"/>
        </w:rPr>
        <w:t> </w:t>
      </w:r>
      <w:r>
        <w:rPr/>
        <w:t>de</w:t>
      </w:r>
      <w:r>
        <w:rPr>
          <w:spacing w:val="-15"/>
        </w:rPr>
        <w:t> </w:t>
      </w:r>
      <w:r>
        <w:rPr/>
        <w:t>la</w:t>
      </w:r>
      <w:r>
        <w:rPr>
          <w:spacing w:val="-13"/>
        </w:rPr>
        <w:t> </w:t>
      </w:r>
      <w:r>
        <w:rPr/>
        <w:t>ley</w:t>
      </w:r>
      <w:r>
        <w:rPr>
          <w:spacing w:val="-16"/>
        </w:rPr>
        <w:t> </w:t>
      </w:r>
      <w:r>
        <w:rPr/>
        <w:t>de</w:t>
      </w:r>
      <w:r>
        <w:rPr>
          <w:spacing w:val="-16"/>
        </w:rPr>
        <w:t> </w:t>
      </w:r>
      <w:r>
        <w:rPr/>
        <w:t>transparencia</w:t>
      </w:r>
      <w:r>
        <w:rPr>
          <w:spacing w:val="-16"/>
        </w:rPr>
        <w:t> </w:t>
      </w:r>
      <w:r>
        <w:rPr/>
        <w:t>en</w:t>
      </w:r>
      <w:r>
        <w:rPr>
          <w:spacing w:val="-13"/>
        </w:rPr>
        <w:t> </w:t>
      </w:r>
      <w:r>
        <w:rPr/>
        <w:t>relación</w:t>
      </w:r>
      <w:r>
        <w:rPr>
          <w:spacing w:val="-16"/>
        </w:rPr>
        <w:t> </w:t>
      </w:r>
      <w:r>
        <w:rPr/>
        <w:t>a</w:t>
      </w:r>
      <w:r>
        <w:rPr>
          <w:spacing w:val="40"/>
        </w:rPr>
        <w:t> </w:t>
      </w:r>
      <w:r>
        <w:rPr/>
        <w:t>si</w:t>
      </w:r>
      <w:r>
        <w:rPr>
          <w:spacing w:val="39"/>
        </w:rPr>
        <w:t> </w:t>
      </w:r>
      <w:r>
        <w:rPr/>
        <w:t>puede</w:t>
      </w:r>
      <w:r>
        <w:rPr>
          <w:spacing w:val="-13"/>
        </w:rPr>
        <w:t> </w:t>
      </w:r>
      <w:r>
        <w:rPr/>
        <w:t>cambiar la forma en que se practica la transparencia en su municipio de los responsables</w:t>
      </w:r>
      <w:r>
        <w:rPr>
          <w:spacing w:val="-34"/>
        </w:rPr>
        <w:t> </w:t>
      </w:r>
      <w:r>
        <w:rPr/>
        <w:t>de la transparencia en los gobiernos municipales. Los resultados obtenidos muestran cómo</w:t>
      </w:r>
      <w:r>
        <w:rPr>
          <w:spacing w:val="-16"/>
        </w:rPr>
        <w:t> </w:t>
      </w:r>
      <w:r>
        <w:rPr/>
        <w:t>los</w:t>
      </w:r>
      <w:r>
        <w:rPr>
          <w:spacing w:val="-14"/>
        </w:rPr>
        <w:t> </w:t>
      </w:r>
      <w:r>
        <w:rPr/>
        <w:t>responsables</w:t>
      </w:r>
      <w:r>
        <w:rPr>
          <w:spacing w:val="-17"/>
        </w:rPr>
        <w:t> </w:t>
      </w:r>
      <w:r>
        <w:rPr/>
        <w:t>de</w:t>
      </w:r>
      <w:r>
        <w:rPr>
          <w:spacing w:val="-14"/>
        </w:rPr>
        <w:t> </w:t>
      </w:r>
      <w:r>
        <w:rPr/>
        <w:t>la</w:t>
      </w:r>
      <w:r>
        <w:rPr>
          <w:spacing w:val="-14"/>
        </w:rPr>
        <w:t> </w:t>
      </w:r>
      <w:r>
        <w:rPr/>
        <w:t>transparencia</w:t>
      </w:r>
      <w:r>
        <w:rPr>
          <w:spacing w:val="-14"/>
        </w:rPr>
        <w:t> </w:t>
      </w:r>
      <w:r>
        <w:rPr/>
        <w:t>que</w:t>
      </w:r>
      <w:r>
        <w:rPr>
          <w:spacing w:val="-14"/>
        </w:rPr>
        <w:t> </w:t>
      </w:r>
      <w:r>
        <w:rPr/>
        <w:t>obtuvieron</w:t>
      </w:r>
      <w:r>
        <w:rPr>
          <w:spacing w:val="-14"/>
        </w:rPr>
        <w:t> </w:t>
      </w:r>
      <w:r>
        <w:rPr/>
        <w:t>el</w:t>
      </w:r>
      <w:r>
        <w:rPr>
          <w:spacing w:val="-15"/>
        </w:rPr>
        <w:t> </w:t>
      </w:r>
      <w:r>
        <w:rPr/>
        <w:t>primer</w:t>
      </w:r>
      <w:r>
        <w:rPr>
          <w:spacing w:val="-16"/>
        </w:rPr>
        <w:t> </w:t>
      </w:r>
      <w:r>
        <w:rPr/>
        <w:t>lugar</w:t>
      </w:r>
      <w:r>
        <w:rPr>
          <w:spacing w:val="-16"/>
        </w:rPr>
        <w:t> </w:t>
      </w:r>
      <w:r>
        <w:rPr/>
        <w:t>dijeron</w:t>
      </w:r>
      <w:r>
        <w:rPr>
          <w:spacing w:val="-14"/>
        </w:rPr>
        <w:t> </w:t>
      </w:r>
      <w:r>
        <w:rPr/>
        <w:t>que solo lo suficiente se puede cambiar la forma en que se practica la transparencia</w:t>
      </w:r>
      <w:r>
        <w:rPr>
          <w:spacing w:val="-35"/>
        </w:rPr>
        <w:t> </w:t>
      </w:r>
      <w:r>
        <w:rPr/>
        <w:t>con un 39.14%, en segundo lugar se encuentra los que no pueden cambiar nada en la forma en que se practica la transparencia con un 36.34%, en tercer lugar se encuentran los que pueden cambiar completamente la forma de práctica de la transparencia, en cuarto lugar se encuentran los que solo pueden cambiar lo suficiente al obtener un 29.08%, en quinto lugar se encuentran los que no contestaron con un</w:t>
      </w:r>
      <w:r>
        <w:rPr>
          <w:spacing w:val="-9"/>
        </w:rPr>
        <w:t> </w:t>
      </w:r>
      <w:r>
        <w:rPr/>
        <w:t>23.38%.</w:t>
      </w:r>
    </w:p>
    <w:p>
      <w:pPr>
        <w:pStyle w:val="BodyText"/>
      </w:pPr>
    </w:p>
    <w:p>
      <w:pPr>
        <w:pStyle w:val="BodyText"/>
      </w:pPr>
    </w:p>
    <w:p>
      <w:pPr>
        <w:pStyle w:val="BodyText"/>
        <w:spacing w:line="360" w:lineRule="auto" w:before="186"/>
        <w:ind w:left="128" w:right="118"/>
        <w:jc w:val="both"/>
      </w:pPr>
      <w:r>
        <w:rPr/>
        <w:t>En</w:t>
      </w:r>
      <w:r>
        <w:rPr>
          <w:spacing w:val="-9"/>
        </w:rPr>
        <w:t> </w:t>
      </w:r>
      <w:r>
        <w:rPr/>
        <w:t>un</w:t>
      </w:r>
      <w:r>
        <w:rPr>
          <w:spacing w:val="-9"/>
        </w:rPr>
        <w:t> </w:t>
      </w:r>
      <w:r>
        <w:rPr/>
        <w:t>sentido</w:t>
      </w:r>
      <w:r>
        <w:rPr>
          <w:spacing w:val="-9"/>
        </w:rPr>
        <w:t> </w:t>
      </w:r>
      <w:r>
        <w:rPr/>
        <w:t>retroactivo</w:t>
      </w:r>
      <w:r>
        <w:rPr>
          <w:spacing w:val="-9"/>
        </w:rPr>
        <w:t> </w:t>
      </w:r>
      <w:r>
        <w:rPr/>
        <w:t>del</w:t>
      </w:r>
      <w:r>
        <w:rPr>
          <w:spacing w:val="-11"/>
        </w:rPr>
        <w:t> </w:t>
      </w:r>
      <w:r>
        <w:rPr/>
        <w:t>periodo</w:t>
      </w:r>
      <w:r>
        <w:rPr>
          <w:spacing w:val="-9"/>
        </w:rPr>
        <w:t> </w:t>
      </w:r>
      <w:r>
        <w:rPr/>
        <w:t>de</w:t>
      </w:r>
      <w:r>
        <w:rPr>
          <w:spacing w:val="-9"/>
        </w:rPr>
        <w:t> </w:t>
      </w:r>
      <w:r>
        <w:rPr/>
        <w:t>administración</w:t>
      </w:r>
      <w:r>
        <w:rPr>
          <w:spacing w:val="-9"/>
        </w:rPr>
        <w:t> </w:t>
      </w:r>
      <w:r>
        <w:rPr/>
        <w:t>2013</w:t>
      </w:r>
      <w:r>
        <w:rPr>
          <w:spacing w:val="-3"/>
        </w:rPr>
        <w:t> </w:t>
      </w:r>
      <w:r>
        <w:rPr/>
        <w:t>-2015</w:t>
      </w:r>
      <w:r>
        <w:rPr>
          <w:spacing w:val="-9"/>
        </w:rPr>
        <w:t> </w:t>
      </w:r>
      <w:r>
        <w:rPr/>
        <w:t>la</w:t>
      </w:r>
      <w:r>
        <w:rPr>
          <w:spacing w:val="-9"/>
        </w:rPr>
        <w:t> </w:t>
      </w:r>
      <w:r>
        <w:rPr/>
        <w:t>siguiente</w:t>
      </w:r>
      <w:r>
        <w:rPr>
          <w:spacing w:val="-9"/>
        </w:rPr>
        <w:t> </w:t>
      </w:r>
      <w:r>
        <w:rPr/>
        <w:t>tabla muestra el promedio de cumplimiento de la ley de</w:t>
      </w:r>
      <w:r>
        <w:rPr>
          <w:spacing w:val="-17"/>
        </w:rPr>
        <w:t> </w:t>
      </w:r>
      <w:r>
        <w:rPr/>
        <w:t>transparencia:</w:t>
      </w:r>
    </w:p>
    <w:p>
      <w:pPr>
        <w:spacing w:after="0" w:line="360" w:lineRule="auto"/>
        <w:jc w:val="both"/>
        <w:sectPr>
          <w:pgSz w:w="12240" w:h="15840"/>
          <w:pgMar w:header="0" w:footer="1035" w:top="1360" w:bottom="1220" w:left="1480" w:right="1580"/>
        </w:sectPr>
      </w:pPr>
    </w:p>
    <w:tbl>
      <w:tblPr>
        <w:tblW w:w="0" w:type="auto"/>
        <w:jc w:val="left"/>
        <w:tblInd w:w="15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43"/>
        <w:gridCol w:w="1130"/>
        <w:gridCol w:w="1133"/>
        <w:gridCol w:w="1130"/>
        <w:gridCol w:w="1164"/>
      </w:tblGrid>
      <w:tr>
        <w:trPr>
          <w:trHeight w:val="435" w:hRule="exact"/>
        </w:trPr>
        <w:tc>
          <w:tcPr>
            <w:tcW w:w="6001" w:type="dxa"/>
            <w:gridSpan w:val="5"/>
            <w:shd w:val="clear" w:color="auto" w:fill="92D050"/>
          </w:tcPr>
          <w:p>
            <w:pPr>
              <w:pStyle w:val="TableParagraph"/>
              <w:ind w:left="1692" w:right="285" w:hanging="1388"/>
              <w:jc w:val="left"/>
              <w:rPr>
                <w:b/>
                <w:sz w:val="18"/>
              </w:rPr>
            </w:pPr>
            <w:r>
              <w:rPr>
                <w:b/>
                <w:sz w:val="18"/>
              </w:rPr>
              <w:t>Tabla 3.69: Usted puede cambiar la forma en que se práctica la transparencia en su municipio</w:t>
            </w:r>
          </w:p>
        </w:tc>
      </w:tr>
      <w:tr>
        <w:trPr>
          <w:trHeight w:val="544" w:hRule="exact"/>
        </w:trPr>
        <w:tc>
          <w:tcPr>
            <w:tcW w:w="1443" w:type="dxa"/>
            <w:shd w:val="clear" w:color="auto" w:fill="92D050"/>
          </w:tcPr>
          <w:p>
            <w:pPr>
              <w:pStyle w:val="TableParagraph"/>
              <w:spacing w:before="151"/>
              <w:ind w:left="472"/>
              <w:jc w:val="left"/>
              <w:rPr>
                <w:b/>
                <w:sz w:val="18"/>
              </w:rPr>
            </w:pPr>
            <w:r>
              <w:rPr>
                <w:b/>
                <w:sz w:val="18"/>
              </w:rPr>
              <w:t>Clase</w:t>
            </w:r>
          </w:p>
        </w:tc>
        <w:tc>
          <w:tcPr>
            <w:tcW w:w="1130" w:type="dxa"/>
            <w:tcBorders>
              <w:bottom w:val="single" w:sz="4" w:space="0" w:color="000000"/>
            </w:tcBorders>
            <w:shd w:val="clear" w:color="auto" w:fill="92D050"/>
          </w:tcPr>
          <w:p>
            <w:pPr>
              <w:pStyle w:val="TableParagraph"/>
              <w:spacing w:before="151"/>
              <w:ind w:left="357"/>
              <w:jc w:val="left"/>
              <w:rPr>
                <w:b/>
                <w:sz w:val="18"/>
              </w:rPr>
            </w:pPr>
            <w:r>
              <w:rPr>
                <w:b/>
                <w:sz w:val="18"/>
              </w:rPr>
              <w:t>2013</w:t>
            </w:r>
          </w:p>
        </w:tc>
        <w:tc>
          <w:tcPr>
            <w:tcW w:w="1133" w:type="dxa"/>
            <w:tcBorders>
              <w:bottom w:val="single" w:sz="4" w:space="0" w:color="000000"/>
            </w:tcBorders>
            <w:shd w:val="clear" w:color="auto" w:fill="92D050"/>
          </w:tcPr>
          <w:p>
            <w:pPr>
              <w:pStyle w:val="TableParagraph"/>
              <w:spacing w:before="151"/>
              <w:ind w:left="357"/>
              <w:jc w:val="left"/>
              <w:rPr>
                <w:b/>
                <w:sz w:val="18"/>
              </w:rPr>
            </w:pPr>
            <w:r>
              <w:rPr>
                <w:b/>
                <w:sz w:val="18"/>
              </w:rPr>
              <w:t>2014</w:t>
            </w:r>
          </w:p>
        </w:tc>
        <w:tc>
          <w:tcPr>
            <w:tcW w:w="1130" w:type="dxa"/>
            <w:tcBorders>
              <w:bottom w:val="single" w:sz="4" w:space="0" w:color="000000"/>
            </w:tcBorders>
            <w:shd w:val="clear" w:color="auto" w:fill="92D050"/>
          </w:tcPr>
          <w:p>
            <w:pPr>
              <w:pStyle w:val="TableParagraph"/>
              <w:spacing w:before="151"/>
              <w:ind w:left="355"/>
              <w:jc w:val="left"/>
              <w:rPr>
                <w:b/>
                <w:sz w:val="18"/>
              </w:rPr>
            </w:pPr>
            <w:r>
              <w:rPr>
                <w:b/>
                <w:sz w:val="18"/>
              </w:rPr>
              <w:t>2015</w:t>
            </w:r>
          </w:p>
        </w:tc>
        <w:tc>
          <w:tcPr>
            <w:tcW w:w="1164" w:type="dxa"/>
            <w:tcBorders>
              <w:bottom w:val="single" w:sz="4" w:space="0" w:color="000000"/>
            </w:tcBorders>
            <w:shd w:val="clear" w:color="auto" w:fill="92D050"/>
          </w:tcPr>
          <w:p>
            <w:pPr>
              <w:pStyle w:val="TableParagraph"/>
              <w:spacing w:before="48"/>
              <w:ind w:left="251" w:right="139" w:hanging="96"/>
              <w:jc w:val="left"/>
              <w:rPr>
                <w:b/>
                <w:sz w:val="18"/>
              </w:rPr>
            </w:pPr>
            <w:r>
              <w:rPr>
                <w:b/>
                <w:sz w:val="18"/>
              </w:rPr>
              <w:t>Promedio general</w:t>
            </w:r>
          </w:p>
        </w:tc>
      </w:tr>
      <w:tr>
        <w:trPr>
          <w:trHeight w:val="271" w:hRule="exact"/>
        </w:trPr>
        <w:tc>
          <w:tcPr>
            <w:tcW w:w="1443" w:type="dxa"/>
            <w:tcBorders>
              <w:left w:val="single" w:sz="4" w:space="0" w:color="000000"/>
              <w:bottom w:val="single" w:sz="4" w:space="0" w:color="000000"/>
              <w:right w:val="single" w:sz="4" w:space="0" w:color="000000"/>
            </w:tcBorders>
          </w:tcPr>
          <w:p>
            <w:pPr>
              <w:pStyle w:val="TableParagraph"/>
              <w:spacing w:before="46"/>
              <w:ind w:left="67"/>
              <w:jc w:val="left"/>
              <w:rPr>
                <w:sz w:val="18"/>
              </w:rPr>
            </w:pPr>
            <w:r>
              <w:rPr>
                <w:sz w:val="18"/>
              </w:rPr>
              <w:t>Nada</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51"/>
              <w:ind w:left="67"/>
              <w:jc w:val="left"/>
              <w:rPr>
                <w:sz w:val="18"/>
              </w:rPr>
            </w:pPr>
            <w:r>
              <w:rPr>
                <w:sz w:val="18"/>
              </w:rPr>
              <w:t>S/I</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51"/>
              <w:ind w:right="62"/>
              <w:jc w:val="right"/>
              <w:rPr>
                <w:sz w:val="18"/>
              </w:rPr>
            </w:pPr>
            <w:r>
              <w:rPr>
                <w:sz w:val="18"/>
              </w:rPr>
              <w:t>47.38%</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51"/>
              <w:ind w:right="61"/>
              <w:jc w:val="right"/>
              <w:rPr>
                <w:sz w:val="18"/>
              </w:rPr>
            </w:pPr>
            <w:r>
              <w:rPr>
                <w:sz w:val="18"/>
              </w:rPr>
              <w:t>36.34%</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51"/>
              <w:ind w:right="61"/>
              <w:jc w:val="right"/>
              <w:rPr>
                <w:sz w:val="18"/>
              </w:rPr>
            </w:pPr>
            <w:r>
              <w:rPr>
                <w:sz w:val="18"/>
              </w:rPr>
              <w:t>41.86%</w:t>
            </w:r>
          </w:p>
        </w:tc>
      </w:tr>
      <w:tr>
        <w:trPr>
          <w:trHeight w:val="264" w:hRule="exact"/>
        </w:trPr>
        <w:tc>
          <w:tcPr>
            <w:tcW w:w="1443" w:type="dxa"/>
            <w:tcBorders>
              <w:top w:val="single" w:sz="4" w:space="0" w:color="000000"/>
              <w:left w:val="single" w:sz="4" w:space="0" w:color="000000"/>
              <w:bottom w:val="single" w:sz="4" w:space="0" w:color="000000"/>
              <w:right w:val="single" w:sz="4" w:space="0" w:color="000000"/>
            </w:tcBorders>
          </w:tcPr>
          <w:p>
            <w:pPr>
              <w:pStyle w:val="TableParagraph"/>
              <w:spacing w:before="44"/>
              <w:ind w:left="67"/>
              <w:jc w:val="left"/>
              <w:rPr>
                <w:sz w:val="18"/>
              </w:rPr>
            </w:pPr>
            <w:r>
              <w:rPr>
                <w:sz w:val="18"/>
              </w:rPr>
              <w:t>Lo necesario</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4"/>
              <w:ind w:right="59"/>
              <w:jc w:val="right"/>
              <w:rPr>
                <w:sz w:val="18"/>
              </w:rPr>
            </w:pPr>
            <w:r>
              <w:rPr>
                <w:sz w:val="18"/>
              </w:rPr>
              <w:t>89.21%</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44"/>
              <w:ind w:right="62"/>
              <w:jc w:val="right"/>
              <w:rPr>
                <w:sz w:val="18"/>
              </w:rPr>
            </w:pPr>
            <w:r>
              <w:rPr>
                <w:sz w:val="18"/>
              </w:rPr>
              <w:t>88.95%</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4"/>
              <w:ind w:right="61"/>
              <w:jc w:val="right"/>
              <w:rPr>
                <w:sz w:val="18"/>
              </w:rPr>
            </w:pPr>
            <w:r>
              <w:rPr>
                <w:sz w:val="18"/>
              </w:rPr>
              <w:t>39.14%</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44"/>
              <w:ind w:right="61"/>
              <w:jc w:val="right"/>
              <w:rPr>
                <w:sz w:val="18"/>
              </w:rPr>
            </w:pPr>
            <w:r>
              <w:rPr>
                <w:sz w:val="18"/>
              </w:rPr>
              <w:t>72.43%</w:t>
            </w:r>
          </w:p>
        </w:tc>
      </w:tr>
      <w:tr>
        <w:trPr>
          <w:trHeight w:val="266" w:hRule="exact"/>
        </w:trPr>
        <w:tc>
          <w:tcPr>
            <w:tcW w:w="1443" w:type="dxa"/>
            <w:tcBorders>
              <w:top w:val="single" w:sz="4" w:space="0" w:color="000000"/>
              <w:left w:val="single" w:sz="4" w:space="0" w:color="000000"/>
              <w:bottom w:val="single" w:sz="4" w:space="0" w:color="000000"/>
              <w:right w:val="single" w:sz="4" w:space="0" w:color="000000"/>
            </w:tcBorders>
          </w:tcPr>
          <w:p>
            <w:pPr>
              <w:pStyle w:val="TableParagraph"/>
              <w:spacing w:before="44"/>
              <w:ind w:left="67"/>
              <w:jc w:val="left"/>
              <w:rPr>
                <w:sz w:val="18"/>
              </w:rPr>
            </w:pPr>
            <w:r>
              <w:rPr>
                <w:sz w:val="18"/>
              </w:rPr>
              <w:t>Lo suficiente</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4"/>
              <w:ind w:right="59"/>
              <w:jc w:val="right"/>
              <w:rPr>
                <w:sz w:val="18"/>
              </w:rPr>
            </w:pPr>
            <w:r>
              <w:rPr>
                <w:sz w:val="18"/>
              </w:rPr>
              <w:t>93.20%</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44"/>
              <w:ind w:right="62"/>
              <w:jc w:val="right"/>
              <w:rPr>
                <w:sz w:val="18"/>
              </w:rPr>
            </w:pPr>
            <w:r>
              <w:rPr>
                <w:sz w:val="18"/>
              </w:rPr>
              <w:t>77.25%</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4"/>
              <w:ind w:right="61"/>
              <w:jc w:val="right"/>
              <w:rPr>
                <w:sz w:val="18"/>
              </w:rPr>
            </w:pPr>
            <w:r>
              <w:rPr>
                <w:sz w:val="18"/>
              </w:rPr>
              <w:t>29.08%</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44"/>
              <w:ind w:right="61"/>
              <w:jc w:val="right"/>
              <w:rPr>
                <w:sz w:val="18"/>
              </w:rPr>
            </w:pPr>
            <w:r>
              <w:rPr>
                <w:sz w:val="18"/>
              </w:rPr>
              <w:t>66.51%</w:t>
            </w:r>
          </w:p>
        </w:tc>
      </w:tr>
      <w:tr>
        <w:trPr>
          <w:trHeight w:val="264" w:hRule="exact"/>
        </w:trPr>
        <w:tc>
          <w:tcPr>
            <w:tcW w:w="1443" w:type="dxa"/>
            <w:tcBorders>
              <w:top w:val="single" w:sz="4" w:space="0" w:color="000000"/>
              <w:left w:val="single" w:sz="4" w:space="0" w:color="000000"/>
              <w:bottom w:val="single" w:sz="4" w:space="0" w:color="000000"/>
              <w:right w:val="single" w:sz="4" w:space="0" w:color="000000"/>
            </w:tcBorders>
          </w:tcPr>
          <w:p>
            <w:pPr>
              <w:pStyle w:val="TableParagraph"/>
              <w:spacing w:before="44"/>
              <w:ind w:left="67"/>
              <w:jc w:val="left"/>
              <w:rPr>
                <w:sz w:val="18"/>
              </w:rPr>
            </w:pPr>
            <w:r>
              <w:rPr>
                <w:sz w:val="18"/>
              </w:rPr>
              <w:t>Completamente</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4"/>
              <w:ind w:left="67"/>
              <w:jc w:val="left"/>
              <w:rPr>
                <w:sz w:val="18"/>
              </w:rPr>
            </w:pPr>
            <w:r>
              <w:rPr>
                <w:sz w:val="18"/>
              </w:rPr>
              <w:t>S/I</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44"/>
              <w:ind w:right="62"/>
              <w:jc w:val="right"/>
              <w:rPr>
                <w:sz w:val="18"/>
              </w:rPr>
            </w:pPr>
            <w:r>
              <w:rPr>
                <w:sz w:val="18"/>
              </w:rPr>
              <w:t>51.76%</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4"/>
              <w:ind w:right="61"/>
              <w:jc w:val="right"/>
              <w:rPr>
                <w:sz w:val="18"/>
              </w:rPr>
            </w:pPr>
            <w:r>
              <w:rPr>
                <w:sz w:val="18"/>
              </w:rPr>
              <w:t>29.53%</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44"/>
              <w:ind w:right="61"/>
              <w:jc w:val="right"/>
              <w:rPr>
                <w:sz w:val="18"/>
              </w:rPr>
            </w:pPr>
            <w:r>
              <w:rPr>
                <w:sz w:val="18"/>
              </w:rPr>
              <w:t>40.65%</w:t>
            </w:r>
          </w:p>
        </w:tc>
      </w:tr>
      <w:tr>
        <w:trPr>
          <w:trHeight w:val="266" w:hRule="exact"/>
        </w:trPr>
        <w:tc>
          <w:tcPr>
            <w:tcW w:w="1443" w:type="dxa"/>
            <w:tcBorders>
              <w:top w:val="single" w:sz="4" w:space="0" w:color="000000"/>
              <w:left w:val="single" w:sz="4" w:space="0" w:color="000000"/>
              <w:bottom w:val="single" w:sz="4" w:space="0" w:color="000000"/>
              <w:right w:val="single" w:sz="4" w:space="0" w:color="000000"/>
            </w:tcBorders>
          </w:tcPr>
          <w:p>
            <w:pPr>
              <w:pStyle w:val="TableParagraph"/>
              <w:spacing w:before="44"/>
              <w:ind w:left="67"/>
              <w:jc w:val="left"/>
              <w:rPr>
                <w:sz w:val="18"/>
              </w:rPr>
            </w:pPr>
            <w:r>
              <w:rPr>
                <w:sz w:val="18"/>
              </w:rPr>
              <w:t>No contestó</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4"/>
              <w:ind w:left="67"/>
              <w:jc w:val="left"/>
              <w:rPr>
                <w:sz w:val="18"/>
              </w:rPr>
            </w:pPr>
            <w:r>
              <w:rPr>
                <w:sz w:val="18"/>
              </w:rPr>
              <w:t>S/I</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44"/>
              <w:ind w:left="67"/>
              <w:jc w:val="left"/>
              <w:rPr>
                <w:sz w:val="18"/>
              </w:rPr>
            </w:pPr>
            <w:r>
              <w:rPr>
                <w:sz w:val="18"/>
              </w:rPr>
              <w:t>S/I</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4"/>
              <w:ind w:right="61"/>
              <w:jc w:val="right"/>
              <w:rPr>
                <w:sz w:val="18"/>
              </w:rPr>
            </w:pPr>
            <w:r>
              <w:rPr>
                <w:sz w:val="18"/>
              </w:rPr>
              <w:t>23.38%</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44"/>
              <w:ind w:right="61"/>
              <w:jc w:val="right"/>
              <w:rPr>
                <w:sz w:val="18"/>
              </w:rPr>
            </w:pPr>
            <w:r>
              <w:rPr>
                <w:sz w:val="18"/>
              </w:rPr>
              <w:t>23.38%</w:t>
            </w:r>
          </w:p>
        </w:tc>
      </w:tr>
    </w:tbl>
    <w:p>
      <w:pPr>
        <w:spacing w:before="63"/>
        <w:ind w:left="1664" w:right="26" w:firstLine="0"/>
        <w:jc w:val="left"/>
        <w:rPr>
          <w:sz w:val="16"/>
        </w:rPr>
      </w:pPr>
      <w:r>
        <w:rPr>
          <w:sz w:val="16"/>
        </w:rPr>
        <w:t>Fuente: Elaboración propia</w:t>
      </w:r>
    </w:p>
    <w:p>
      <w:pPr>
        <w:pStyle w:val="BodyText"/>
        <w:rPr>
          <w:sz w:val="20"/>
        </w:rPr>
      </w:pPr>
    </w:p>
    <w:p>
      <w:pPr>
        <w:pStyle w:val="BodyText"/>
      </w:pPr>
    </w:p>
    <w:p>
      <w:pPr>
        <w:pStyle w:val="BodyText"/>
        <w:spacing w:line="360" w:lineRule="auto" w:before="70"/>
        <w:ind w:left="128" w:right="118"/>
        <w:jc w:val="both"/>
      </w:pPr>
      <w:r>
        <w:rPr/>
        <w:t>Durante el periodo que comprende el 2013-2015 se tuvo un promedio de cumplimiento de la ley tal como se describe a continuación: en primer lugar se encuentran los representantes que solo pueden modificar o cambiar lo necesario su forma en la que se practica la transparencia con un 72.43%, en segundo lugar se encuentran</w:t>
      </w:r>
      <w:r>
        <w:rPr>
          <w:spacing w:val="-9"/>
        </w:rPr>
        <w:t> </w:t>
      </w:r>
      <w:r>
        <w:rPr/>
        <w:t>los</w:t>
      </w:r>
      <w:r>
        <w:rPr>
          <w:spacing w:val="-10"/>
        </w:rPr>
        <w:t> </w:t>
      </w:r>
      <w:r>
        <w:rPr/>
        <w:t>que</w:t>
      </w:r>
      <w:r>
        <w:rPr>
          <w:spacing w:val="-8"/>
        </w:rPr>
        <w:t> </w:t>
      </w:r>
      <w:r>
        <w:rPr/>
        <w:t>solo</w:t>
      </w:r>
      <w:r>
        <w:rPr>
          <w:spacing w:val="-8"/>
        </w:rPr>
        <w:t> </w:t>
      </w:r>
      <w:r>
        <w:rPr/>
        <w:t>pueden</w:t>
      </w:r>
      <w:r>
        <w:rPr>
          <w:spacing w:val="-9"/>
        </w:rPr>
        <w:t> </w:t>
      </w:r>
      <w:r>
        <w:rPr/>
        <w:t>cambiar</w:t>
      </w:r>
      <w:r>
        <w:rPr>
          <w:spacing w:val="-10"/>
        </w:rPr>
        <w:t> </w:t>
      </w:r>
      <w:r>
        <w:rPr/>
        <w:t>lo</w:t>
      </w:r>
      <w:r>
        <w:rPr>
          <w:spacing w:val="-10"/>
        </w:rPr>
        <w:t> </w:t>
      </w:r>
      <w:r>
        <w:rPr/>
        <w:t>suficiente</w:t>
      </w:r>
      <w:r>
        <w:rPr>
          <w:spacing w:val="-9"/>
        </w:rPr>
        <w:t> </w:t>
      </w:r>
      <w:r>
        <w:rPr/>
        <w:t>con</w:t>
      </w:r>
      <w:r>
        <w:rPr>
          <w:spacing w:val="-9"/>
        </w:rPr>
        <w:t> </w:t>
      </w:r>
      <w:r>
        <w:rPr/>
        <w:t>un</w:t>
      </w:r>
      <w:r>
        <w:rPr>
          <w:spacing w:val="-11"/>
        </w:rPr>
        <w:t> </w:t>
      </w:r>
      <w:r>
        <w:rPr/>
        <w:t>66.51%,</w:t>
      </w:r>
      <w:r>
        <w:rPr>
          <w:spacing w:val="-9"/>
        </w:rPr>
        <w:t> </w:t>
      </w:r>
      <w:r>
        <w:rPr/>
        <w:t>en</w:t>
      </w:r>
      <w:r>
        <w:rPr>
          <w:spacing w:val="-9"/>
        </w:rPr>
        <w:t> </w:t>
      </w:r>
      <w:r>
        <w:rPr/>
        <w:t>tercer</w:t>
      </w:r>
      <w:r>
        <w:rPr>
          <w:spacing w:val="-10"/>
        </w:rPr>
        <w:t> </w:t>
      </w:r>
      <w:r>
        <w:rPr/>
        <w:t>lugar se encuentran los que no pueden modificar nada en su forma en que se practica la transparencia con un 41.86%, en cuarto lugar aparecen los que completamente pueden cambiar esta forma de transparencia con un 40.65% y en quinto lugar se encuentran los que no respondieron a esta pregunta con un</w:t>
      </w:r>
      <w:r>
        <w:rPr>
          <w:spacing w:val="-29"/>
        </w:rPr>
        <w:t> </w:t>
      </w:r>
      <w:r>
        <w:rPr/>
        <w:t>23.38%.</w:t>
      </w:r>
    </w:p>
    <w:p>
      <w:pPr>
        <w:pStyle w:val="BodyText"/>
      </w:pPr>
    </w:p>
    <w:p>
      <w:pPr>
        <w:pStyle w:val="BodyText"/>
      </w:pPr>
    </w:p>
    <w:p>
      <w:pPr>
        <w:pStyle w:val="Heading1"/>
        <w:numPr>
          <w:ilvl w:val="2"/>
          <w:numId w:val="53"/>
        </w:numPr>
        <w:tabs>
          <w:tab w:pos="837" w:val="left" w:leader="none"/>
        </w:tabs>
        <w:spacing w:line="360" w:lineRule="auto" w:before="185" w:after="0"/>
        <w:ind w:left="836" w:right="127" w:hanging="720"/>
        <w:jc w:val="left"/>
      </w:pPr>
      <w:r>
        <w:rPr/>
        <w:t>Se obliga a los servidores públicos de su municipio a cumplir la ley de transparencia vs porcentaje de transparencia</w:t>
      </w:r>
      <w:r>
        <w:rPr>
          <w:spacing w:val="-15"/>
        </w:rPr>
        <w:t> </w:t>
      </w:r>
      <w:r>
        <w:rPr/>
        <w:t>2015.</w:t>
      </w:r>
    </w:p>
    <w:p>
      <w:pPr>
        <w:pStyle w:val="BodyText"/>
        <w:rPr>
          <w:b/>
          <w:sz w:val="20"/>
        </w:rPr>
      </w:pPr>
    </w:p>
    <w:p>
      <w:pPr>
        <w:pStyle w:val="BodyText"/>
        <w:spacing w:before="7"/>
        <w:rPr>
          <w:b/>
          <w:sz w:val="19"/>
        </w:rPr>
      </w:pPr>
    </w:p>
    <w:tbl>
      <w:tblPr>
        <w:tblW w:w="0" w:type="auto"/>
        <w:jc w:val="left"/>
        <w:tblInd w:w="26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81"/>
        <w:gridCol w:w="1200"/>
        <w:gridCol w:w="1200"/>
      </w:tblGrid>
      <w:tr>
        <w:trPr>
          <w:trHeight w:val="641" w:hRule="exact"/>
        </w:trPr>
        <w:tc>
          <w:tcPr>
            <w:tcW w:w="3881" w:type="dxa"/>
            <w:gridSpan w:val="3"/>
            <w:shd w:val="clear" w:color="auto" w:fill="92D050"/>
          </w:tcPr>
          <w:p>
            <w:pPr>
              <w:pStyle w:val="TableParagraph"/>
              <w:ind w:left="175" w:right="169" w:hanging="10"/>
              <w:rPr>
                <w:b/>
                <w:sz w:val="18"/>
              </w:rPr>
            </w:pPr>
            <w:r>
              <w:rPr>
                <w:b/>
                <w:sz w:val="18"/>
              </w:rPr>
              <w:t>Tabla 3.70: Se obliga a los servidores públicos de su municipio a cumplir la ley de transparencia</w:t>
            </w:r>
          </w:p>
        </w:tc>
      </w:tr>
      <w:tr>
        <w:trPr>
          <w:trHeight w:val="290" w:hRule="exact"/>
        </w:trPr>
        <w:tc>
          <w:tcPr>
            <w:tcW w:w="1481" w:type="dxa"/>
            <w:vMerge w:val="restart"/>
            <w:shd w:val="clear" w:color="auto" w:fill="92D050"/>
          </w:tcPr>
          <w:p>
            <w:pPr>
              <w:pStyle w:val="TableParagraph"/>
              <w:jc w:val="left"/>
              <w:rPr>
                <w:b/>
                <w:sz w:val="26"/>
              </w:rPr>
            </w:pPr>
          </w:p>
          <w:p>
            <w:pPr>
              <w:pStyle w:val="TableParagraph"/>
              <w:ind w:left="470" w:right="471"/>
              <w:rPr>
                <w:b/>
                <w:sz w:val="18"/>
              </w:rPr>
            </w:pPr>
            <w:r>
              <w:rPr>
                <w:b/>
                <w:sz w:val="18"/>
              </w:rPr>
              <w:t>Clase</w:t>
            </w:r>
          </w:p>
        </w:tc>
        <w:tc>
          <w:tcPr>
            <w:tcW w:w="2400" w:type="dxa"/>
            <w:gridSpan w:val="2"/>
            <w:shd w:val="clear" w:color="auto" w:fill="92D050"/>
          </w:tcPr>
          <w:p>
            <w:pPr>
              <w:pStyle w:val="TableParagraph"/>
              <w:spacing w:before="25"/>
              <w:ind w:left="967" w:right="967"/>
              <w:rPr>
                <w:b/>
                <w:sz w:val="18"/>
              </w:rPr>
            </w:pPr>
            <w:r>
              <w:rPr>
                <w:b/>
                <w:sz w:val="18"/>
              </w:rPr>
              <w:t>2015</w:t>
            </w:r>
          </w:p>
        </w:tc>
      </w:tr>
      <w:tr>
        <w:trPr>
          <w:trHeight w:val="545" w:hRule="exact"/>
        </w:trPr>
        <w:tc>
          <w:tcPr>
            <w:tcW w:w="1481" w:type="dxa"/>
            <w:vMerge/>
            <w:shd w:val="clear" w:color="auto" w:fill="92D050"/>
          </w:tcPr>
          <w:p>
            <w:pPr/>
          </w:p>
        </w:tc>
        <w:tc>
          <w:tcPr>
            <w:tcW w:w="1200" w:type="dxa"/>
            <w:shd w:val="clear" w:color="auto" w:fill="92D050"/>
          </w:tcPr>
          <w:p>
            <w:pPr>
              <w:pStyle w:val="TableParagraph"/>
              <w:spacing w:before="152"/>
              <w:ind w:right="113"/>
              <w:jc w:val="right"/>
              <w:rPr>
                <w:b/>
                <w:sz w:val="18"/>
              </w:rPr>
            </w:pPr>
            <w:r>
              <w:rPr>
                <w:b/>
                <w:sz w:val="18"/>
              </w:rPr>
              <w:t>Frecuencia</w:t>
            </w:r>
          </w:p>
        </w:tc>
        <w:tc>
          <w:tcPr>
            <w:tcW w:w="1200" w:type="dxa"/>
            <w:shd w:val="clear" w:color="auto" w:fill="92D050"/>
          </w:tcPr>
          <w:p>
            <w:pPr>
              <w:pStyle w:val="TableParagraph"/>
              <w:spacing w:before="152"/>
              <w:ind w:left="508"/>
              <w:jc w:val="left"/>
              <w:rPr>
                <w:b/>
                <w:sz w:val="18"/>
              </w:rPr>
            </w:pPr>
            <w:r>
              <w:rPr>
                <w:b/>
                <w:w w:val="99"/>
                <w:sz w:val="18"/>
              </w:rPr>
              <w:t>%</w:t>
            </w:r>
          </w:p>
        </w:tc>
      </w:tr>
      <w:tr>
        <w:trPr>
          <w:trHeight w:val="269" w:hRule="exact"/>
        </w:trPr>
        <w:tc>
          <w:tcPr>
            <w:tcW w:w="1481" w:type="dxa"/>
            <w:tcBorders>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Nada</w:t>
            </w:r>
          </w:p>
        </w:tc>
        <w:tc>
          <w:tcPr>
            <w:tcW w:w="1200" w:type="dxa"/>
            <w:tcBorders>
              <w:left w:val="single" w:sz="4" w:space="0" w:color="000000"/>
              <w:bottom w:val="single" w:sz="4" w:space="0" w:color="000000"/>
              <w:right w:val="single" w:sz="4" w:space="0" w:color="000000"/>
            </w:tcBorders>
          </w:tcPr>
          <w:p>
            <w:pPr>
              <w:pStyle w:val="TableParagraph"/>
              <w:spacing w:before="47"/>
              <w:ind w:right="63"/>
              <w:jc w:val="right"/>
              <w:rPr>
                <w:sz w:val="18"/>
              </w:rPr>
            </w:pPr>
            <w:r>
              <w:rPr>
                <w:w w:val="99"/>
                <w:sz w:val="18"/>
              </w:rPr>
              <w:t>3</w:t>
            </w:r>
          </w:p>
        </w:tc>
        <w:tc>
          <w:tcPr>
            <w:tcW w:w="1200" w:type="dxa"/>
            <w:tcBorders>
              <w:left w:val="single" w:sz="4" w:space="0" w:color="000000"/>
              <w:bottom w:val="single" w:sz="4" w:space="0" w:color="000000"/>
              <w:right w:val="single" w:sz="4" w:space="0" w:color="000000"/>
            </w:tcBorders>
          </w:tcPr>
          <w:p>
            <w:pPr>
              <w:pStyle w:val="TableParagraph"/>
              <w:spacing w:before="47"/>
              <w:ind w:left="515"/>
              <w:jc w:val="left"/>
              <w:rPr>
                <w:sz w:val="18"/>
              </w:rPr>
            </w:pPr>
            <w:r>
              <w:rPr>
                <w:sz w:val="18"/>
              </w:rPr>
              <w:t>41.01%</w:t>
            </w:r>
          </w:p>
        </w:tc>
      </w:tr>
      <w:tr>
        <w:trPr>
          <w:trHeight w:val="267" w:hRule="exact"/>
        </w:trPr>
        <w:tc>
          <w:tcPr>
            <w:tcW w:w="1481"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Lo necesario</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63"/>
              <w:jc w:val="right"/>
              <w:rPr>
                <w:sz w:val="18"/>
              </w:rPr>
            </w:pPr>
            <w:r>
              <w:rPr>
                <w:w w:val="99"/>
                <w:sz w:val="18"/>
              </w:rPr>
              <w:t>7</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515"/>
              <w:jc w:val="left"/>
              <w:rPr>
                <w:sz w:val="18"/>
              </w:rPr>
            </w:pPr>
            <w:r>
              <w:rPr>
                <w:sz w:val="18"/>
              </w:rPr>
              <w:t>37.58%</w:t>
            </w:r>
          </w:p>
        </w:tc>
      </w:tr>
      <w:tr>
        <w:trPr>
          <w:trHeight w:val="264" w:hRule="exact"/>
        </w:trPr>
        <w:tc>
          <w:tcPr>
            <w:tcW w:w="1481"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Lo suficiente</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60"/>
              <w:jc w:val="right"/>
              <w:rPr>
                <w:sz w:val="18"/>
              </w:rPr>
            </w:pPr>
            <w:r>
              <w:rPr>
                <w:sz w:val="18"/>
              </w:rPr>
              <w:t>13</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515"/>
              <w:jc w:val="left"/>
              <w:rPr>
                <w:sz w:val="18"/>
              </w:rPr>
            </w:pPr>
            <w:r>
              <w:rPr>
                <w:sz w:val="18"/>
              </w:rPr>
              <w:t>23.68%</w:t>
            </w:r>
          </w:p>
        </w:tc>
      </w:tr>
      <w:tr>
        <w:trPr>
          <w:trHeight w:val="266" w:hRule="exact"/>
        </w:trPr>
        <w:tc>
          <w:tcPr>
            <w:tcW w:w="1481"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Completamente</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60"/>
              <w:jc w:val="right"/>
              <w:rPr>
                <w:sz w:val="18"/>
              </w:rPr>
            </w:pPr>
            <w:r>
              <w:rPr>
                <w:sz w:val="18"/>
              </w:rPr>
              <w:t>23</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515"/>
              <w:jc w:val="left"/>
              <w:rPr>
                <w:sz w:val="18"/>
              </w:rPr>
            </w:pPr>
            <w:r>
              <w:rPr>
                <w:sz w:val="18"/>
              </w:rPr>
              <w:t>35.18%</w:t>
            </w:r>
          </w:p>
        </w:tc>
      </w:tr>
    </w:tbl>
    <w:p>
      <w:pPr>
        <w:spacing w:before="66"/>
        <w:ind w:left="2723" w:right="26" w:firstLine="0"/>
        <w:jc w:val="left"/>
        <w:rPr>
          <w:sz w:val="16"/>
        </w:rPr>
      </w:pPr>
      <w:r>
        <w:rPr>
          <w:sz w:val="16"/>
        </w:rPr>
        <w:t>Fuente: Elaboración propia</w:t>
      </w:r>
    </w:p>
    <w:p>
      <w:pPr>
        <w:pStyle w:val="BodyText"/>
        <w:rPr>
          <w:sz w:val="20"/>
        </w:rPr>
      </w:pPr>
    </w:p>
    <w:p>
      <w:pPr>
        <w:pStyle w:val="BodyText"/>
      </w:pPr>
    </w:p>
    <w:p>
      <w:pPr>
        <w:pStyle w:val="BodyText"/>
        <w:spacing w:line="360" w:lineRule="auto" w:before="70"/>
        <w:ind w:left="128" w:right="107"/>
      </w:pPr>
      <w:r>
        <w:rPr/>
        <w:t>En la tabla anterior se muestran los resultados obtenidos de hacer el cruce de las variables del cumplimiento de la ley de transparencia en relación a si se obliga a los</w:t>
      </w:r>
    </w:p>
    <w:p>
      <w:pPr>
        <w:spacing w:after="0" w:line="360" w:lineRule="auto"/>
        <w:sectPr>
          <w:pgSz w:w="12240" w:h="15840"/>
          <w:pgMar w:header="0" w:footer="1035" w:top="1420" w:bottom="1220" w:left="1480" w:right="1580"/>
        </w:sectPr>
      </w:pPr>
    </w:p>
    <w:p>
      <w:pPr>
        <w:pStyle w:val="BodyText"/>
        <w:spacing w:line="360" w:lineRule="auto" w:before="54"/>
        <w:ind w:left="108" w:right="115"/>
        <w:jc w:val="both"/>
      </w:pPr>
      <w:r>
        <w:rPr/>
        <w:t>servidores públicos de su municipio a cumplir con la ley de transparencia de los responsables de la transparencia en los gobiernos municipales. Los resultados obtenidos muestran cómo los responsables de la transparencia que obtuvieron el primer</w:t>
      </w:r>
      <w:r>
        <w:rPr>
          <w:spacing w:val="-15"/>
        </w:rPr>
        <w:t> </w:t>
      </w:r>
      <w:r>
        <w:rPr/>
        <w:t>lugar</w:t>
      </w:r>
      <w:r>
        <w:rPr>
          <w:spacing w:val="-15"/>
        </w:rPr>
        <w:t> </w:t>
      </w:r>
      <w:r>
        <w:rPr/>
        <w:t>dijeron</w:t>
      </w:r>
      <w:r>
        <w:rPr>
          <w:spacing w:val="-11"/>
        </w:rPr>
        <w:t> </w:t>
      </w:r>
      <w:r>
        <w:rPr/>
        <w:t>que</w:t>
      </w:r>
      <w:r>
        <w:rPr>
          <w:spacing w:val="-12"/>
        </w:rPr>
        <w:t> </w:t>
      </w:r>
      <w:r>
        <w:rPr/>
        <w:t>no</w:t>
      </w:r>
      <w:r>
        <w:rPr>
          <w:spacing w:val="-13"/>
        </w:rPr>
        <w:t> </w:t>
      </w:r>
      <w:r>
        <w:rPr/>
        <w:t>los</w:t>
      </w:r>
      <w:r>
        <w:rPr>
          <w:spacing w:val="-13"/>
        </w:rPr>
        <w:t> </w:t>
      </w:r>
      <w:r>
        <w:rPr/>
        <w:t>obligaban</w:t>
      </w:r>
      <w:r>
        <w:rPr>
          <w:spacing w:val="-13"/>
        </w:rPr>
        <w:t> </w:t>
      </w:r>
      <w:r>
        <w:rPr/>
        <w:t>al</w:t>
      </w:r>
      <w:r>
        <w:rPr>
          <w:spacing w:val="-14"/>
        </w:rPr>
        <w:t> </w:t>
      </w:r>
      <w:r>
        <w:rPr/>
        <w:t>cumplimiento</w:t>
      </w:r>
      <w:r>
        <w:rPr>
          <w:spacing w:val="-13"/>
        </w:rPr>
        <w:t> </w:t>
      </w:r>
      <w:r>
        <w:rPr/>
        <w:t>de</w:t>
      </w:r>
      <w:r>
        <w:rPr>
          <w:spacing w:val="-13"/>
        </w:rPr>
        <w:t> </w:t>
      </w:r>
      <w:r>
        <w:rPr/>
        <w:t>la</w:t>
      </w:r>
      <w:r>
        <w:rPr>
          <w:spacing w:val="-13"/>
        </w:rPr>
        <w:t> </w:t>
      </w:r>
      <w:r>
        <w:rPr/>
        <w:t>ley,</w:t>
      </w:r>
      <w:r>
        <w:rPr>
          <w:spacing w:val="-13"/>
        </w:rPr>
        <w:t> </w:t>
      </w:r>
      <w:r>
        <w:rPr/>
        <w:t>con</w:t>
      </w:r>
      <w:r>
        <w:rPr>
          <w:spacing w:val="-13"/>
        </w:rPr>
        <w:t> </w:t>
      </w:r>
      <w:r>
        <w:rPr/>
        <w:t>un</w:t>
      </w:r>
      <w:r>
        <w:rPr>
          <w:spacing w:val="-16"/>
        </w:rPr>
        <w:t> </w:t>
      </w:r>
      <w:r>
        <w:rPr/>
        <w:t>porcentaje de</w:t>
      </w:r>
      <w:r>
        <w:rPr>
          <w:spacing w:val="-16"/>
        </w:rPr>
        <w:t> </w:t>
      </w:r>
      <w:r>
        <w:rPr/>
        <w:t>41.01%,</w:t>
      </w:r>
      <w:r>
        <w:rPr>
          <w:spacing w:val="-18"/>
        </w:rPr>
        <w:t> </w:t>
      </w:r>
      <w:r>
        <w:rPr/>
        <w:t>en</w:t>
      </w:r>
      <w:r>
        <w:rPr>
          <w:spacing w:val="-18"/>
        </w:rPr>
        <w:t> </w:t>
      </w:r>
      <w:r>
        <w:rPr/>
        <w:t>segundo</w:t>
      </w:r>
      <w:r>
        <w:rPr>
          <w:spacing w:val="-16"/>
        </w:rPr>
        <w:t> </w:t>
      </w:r>
      <w:r>
        <w:rPr/>
        <w:t>lugar,</w:t>
      </w:r>
      <w:r>
        <w:rPr>
          <w:spacing w:val="-16"/>
        </w:rPr>
        <w:t> </w:t>
      </w:r>
      <w:r>
        <w:rPr/>
        <w:t>se</w:t>
      </w:r>
      <w:r>
        <w:rPr>
          <w:spacing w:val="-18"/>
        </w:rPr>
        <w:t> </w:t>
      </w:r>
      <w:r>
        <w:rPr/>
        <w:t>encuentran</w:t>
      </w:r>
      <w:r>
        <w:rPr>
          <w:spacing w:val="-20"/>
        </w:rPr>
        <w:t> </w:t>
      </w:r>
      <w:r>
        <w:rPr/>
        <w:t>a</w:t>
      </w:r>
      <w:r>
        <w:rPr>
          <w:spacing w:val="-16"/>
        </w:rPr>
        <w:t> </w:t>
      </w:r>
      <w:r>
        <w:rPr/>
        <w:t>los</w:t>
      </w:r>
      <w:r>
        <w:rPr>
          <w:spacing w:val="-16"/>
        </w:rPr>
        <w:t> </w:t>
      </w:r>
      <w:r>
        <w:rPr/>
        <w:t>que</w:t>
      </w:r>
      <w:r>
        <w:rPr>
          <w:spacing w:val="-18"/>
        </w:rPr>
        <w:t> </w:t>
      </w:r>
      <w:r>
        <w:rPr/>
        <w:t>se</w:t>
      </w:r>
      <w:r>
        <w:rPr>
          <w:spacing w:val="-16"/>
        </w:rPr>
        <w:t> </w:t>
      </w:r>
      <w:r>
        <w:rPr/>
        <w:t>le</w:t>
      </w:r>
      <w:r>
        <w:rPr>
          <w:spacing w:val="-16"/>
        </w:rPr>
        <w:t> </w:t>
      </w:r>
      <w:r>
        <w:rPr/>
        <w:t>s</w:t>
      </w:r>
      <w:r>
        <w:rPr>
          <w:spacing w:val="-19"/>
        </w:rPr>
        <w:t> </w:t>
      </w:r>
      <w:r>
        <w:rPr/>
        <w:t>obliga</w:t>
      </w:r>
      <w:r>
        <w:rPr>
          <w:spacing w:val="-15"/>
        </w:rPr>
        <w:t> </w:t>
      </w:r>
      <w:r>
        <w:rPr/>
        <w:t>solo</w:t>
      </w:r>
      <w:r>
        <w:rPr>
          <w:spacing w:val="-16"/>
        </w:rPr>
        <w:t> </w:t>
      </w:r>
      <w:r>
        <w:rPr/>
        <w:t>lo</w:t>
      </w:r>
      <w:r>
        <w:rPr>
          <w:spacing w:val="-18"/>
        </w:rPr>
        <w:t> </w:t>
      </w:r>
      <w:r>
        <w:rPr/>
        <w:t>necesario con un 37.58%, en tercer lugar se encuentran a los que obligan completamente a cumplimiento</w:t>
      </w:r>
      <w:r>
        <w:rPr>
          <w:spacing w:val="-5"/>
        </w:rPr>
        <w:t> </w:t>
      </w:r>
      <w:r>
        <w:rPr/>
        <w:t>de</w:t>
      </w:r>
      <w:r>
        <w:rPr>
          <w:spacing w:val="-5"/>
        </w:rPr>
        <w:t> </w:t>
      </w:r>
      <w:r>
        <w:rPr/>
        <w:t>la</w:t>
      </w:r>
      <w:r>
        <w:rPr>
          <w:spacing w:val="-5"/>
        </w:rPr>
        <w:t> </w:t>
      </w:r>
      <w:r>
        <w:rPr/>
        <w:t>ley</w:t>
      </w:r>
      <w:r>
        <w:rPr>
          <w:spacing w:val="-8"/>
        </w:rPr>
        <w:t> </w:t>
      </w:r>
      <w:r>
        <w:rPr/>
        <w:t>con</w:t>
      </w:r>
      <w:r>
        <w:rPr>
          <w:spacing w:val="-5"/>
        </w:rPr>
        <w:t> </w:t>
      </w:r>
      <w:r>
        <w:rPr/>
        <w:t>un</w:t>
      </w:r>
      <w:r>
        <w:rPr>
          <w:spacing w:val="-4"/>
        </w:rPr>
        <w:t> </w:t>
      </w:r>
      <w:r>
        <w:rPr/>
        <w:t>35.18%</w:t>
      </w:r>
      <w:r>
        <w:rPr>
          <w:spacing w:val="-6"/>
        </w:rPr>
        <w:t> </w:t>
      </w:r>
      <w:r>
        <w:rPr/>
        <w:t>y</w:t>
      </w:r>
      <w:r>
        <w:rPr>
          <w:spacing w:val="-8"/>
        </w:rPr>
        <w:t> </w:t>
      </w:r>
      <w:r>
        <w:rPr/>
        <w:t>en</w:t>
      </w:r>
      <w:r>
        <w:rPr>
          <w:spacing w:val="-5"/>
        </w:rPr>
        <w:t> </w:t>
      </w:r>
      <w:r>
        <w:rPr/>
        <w:t>cuarto</w:t>
      </w:r>
      <w:r>
        <w:rPr>
          <w:spacing w:val="-5"/>
        </w:rPr>
        <w:t> </w:t>
      </w:r>
      <w:r>
        <w:rPr/>
        <w:t>lugar</w:t>
      </w:r>
      <w:r>
        <w:rPr>
          <w:spacing w:val="-6"/>
        </w:rPr>
        <w:t> </w:t>
      </w:r>
      <w:r>
        <w:rPr/>
        <w:t>están</w:t>
      </w:r>
      <w:r>
        <w:rPr>
          <w:spacing w:val="-2"/>
        </w:rPr>
        <w:t> </w:t>
      </w:r>
      <w:r>
        <w:rPr/>
        <w:t>los</w:t>
      </w:r>
      <w:r>
        <w:rPr>
          <w:spacing w:val="-5"/>
        </w:rPr>
        <w:t> </w:t>
      </w:r>
      <w:r>
        <w:rPr/>
        <w:t>que</w:t>
      </w:r>
      <w:r>
        <w:rPr>
          <w:spacing w:val="-5"/>
        </w:rPr>
        <w:t> </w:t>
      </w:r>
      <w:r>
        <w:rPr/>
        <w:t>obligan</w:t>
      </w:r>
      <w:r>
        <w:rPr>
          <w:spacing w:val="-3"/>
        </w:rPr>
        <w:t> </w:t>
      </w:r>
      <w:r>
        <w:rPr/>
        <w:t>solo</w:t>
      </w:r>
      <w:r>
        <w:rPr>
          <w:spacing w:val="-5"/>
        </w:rPr>
        <w:t> </w:t>
      </w:r>
      <w:r>
        <w:rPr/>
        <w:t>lo suficiente con un</w:t>
      </w:r>
      <w:r>
        <w:rPr>
          <w:spacing w:val="-8"/>
        </w:rPr>
        <w:t> </w:t>
      </w:r>
      <w:r>
        <w:rPr/>
        <w:t>23.68%.</w:t>
      </w:r>
    </w:p>
    <w:p>
      <w:pPr>
        <w:pStyle w:val="BodyText"/>
      </w:pPr>
    </w:p>
    <w:p>
      <w:pPr>
        <w:pStyle w:val="BodyText"/>
      </w:pPr>
    </w:p>
    <w:p>
      <w:pPr>
        <w:pStyle w:val="BodyText"/>
        <w:spacing w:line="360" w:lineRule="auto" w:before="186"/>
        <w:ind w:left="108" w:right="117"/>
        <w:jc w:val="both"/>
      </w:pPr>
      <w:r>
        <w:rPr/>
        <w:t>En</w:t>
      </w:r>
      <w:r>
        <w:rPr>
          <w:spacing w:val="-9"/>
        </w:rPr>
        <w:t> </w:t>
      </w:r>
      <w:r>
        <w:rPr/>
        <w:t>un</w:t>
      </w:r>
      <w:r>
        <w:rPr>
          <w:spacing w:val="-9"/>
        </w:rPr>
        <w:t> </w:t>
      </w:r>
      <w:r>
        <w:rPr/>
        <w:t>sentido</w:t>
      </w:r>
      <w:r>
        <w:rPr>
          <w:spacing w:val="-9"/>
        </w:rPr>
        <w:t> </w:t>
      </w:r>
      <w:r>
        <w:rPr/>
        <w:t>retroactivo</w:t>
      </w:r>
      <w:r>
        <w:rPr>
          <w:spacing w:val="-9"/>
        </w:rPr>
        <w:t> </w:t>
      </w:r>
      <w:r>
        <w:rPr/>
        <w:t>del</w:t>
      </w:r>
      <w:r>
        <w:rPr>
          <w:spacing w:val="-11"/>
        </w:rPr>
        <w:t> </w:t>
      </w:r>
      <w:r>
        <w:rPr/>
        <w:t>periodo</w:t>
      </w:r>
      <w:r>
        <w:rPr>
          <w:spacing w:val="-9"/>
        </w:rPr>
        <w:t> </w:t>
      </w:r>
      <w:r>
        <w:rPr/>
        <w:t>de</w:t>
      </w:r>
      <w:r>
        <w:rPr>
          <w:spacing w:val="-9"/>
        </w:rPr>
        <w:t> </w:t>
      </w:r>
      <w:r>
        <w:rPr/>
        <w:t>administración</w:t>
      </w:r>
      <w:r>
        <w:rPr>
          <w:spacing w:val="-9"/>
        </w:rPr>
        <w:t> </w:t>
      </w:r>
      <w:r>
        <w:rPr/>
        <w:t>2013</w:t>
      </w:r>
      <w:r>
        <w:rPr>
          <w:spacing w:val="-3"/>
        </w:rPr>
        <w:t> </w:t>
      </w:r>
      <w:r>
        <w:rPr/>
        <w:t>-2015</w:t>
      </w:r>
      <w:r>
        <w:rPr>
          <w:spacing w:val="-9"/>
        </w:rPr>
        <w:t> </w:t>
      </w:r>
      <w:r>
        <w:rPr/>
        <w:t>la</w:t>
      </w:r>
      <w:r>
        <w:rPr>
          <w:spacing w:val="-9"/>
        </w:rPr>
        <w:t> </w:t>
      </w:r>
      <w:r>
        <w:rPr/>
        <w:t>siguiente</w:t>
      </w:r>
      <w:r>
        <w:rPr>
          <w:spacing w:val="-9"/>
        </w:rPr>
        <w:t> </w:t>
      </w:r>
      <w:r>
        <w:rPr/>
        <w:t>tabla muestra el promedio de cumplimiento de la ley de</w:t>
      </w:r>
      <w:r>
        <w:rPr>
          <w:spacing w:val="-18"/>
        </w:rPr>
        <w:t> </w:t>
      </w:r>
      <w:r>
        <w:rPr/>
        <w:t>transparencia:</w:t>
      </w:r>
    </w:p>
    <w:p>
      <w:pPr>
        <w:pStyle w:val="BodyText"/>
        <w:rPr>
          <w:sz w:val="20"/>
        </w:rPr>
      </w:pPr>
    </w:p>
    <w:p>
      <w:pPr>
        <w:pStyle w:val="BodyText"/>
        <w:rPr>
          <w:sz w:val="20"/>
        </w:rPr>
      </w:pPr>
    </w:p>
    <w:p>
      <w:pPr>
        <w:pStyle w:val="BodyText"/>
        <w:spacing w:before="3"/>
      </w:pPr>
    </w:p>
    <w:tbl>
      <w:tblPr>
        <w:tblW w:w="0" w:type="auto"/>
        <w:jc w:val="left"/>
        <w:tblInd w:w="15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43"/>
        <w:gridCol w:w="1130"/>
        <w:gridCol w:w="1133"/>
        <w:gridCol w:w="1130"/>
        <w:gridCol w:w="1164"/>
      </w:tblGrid>
      <w:tr>
        <w:trPr>
          <w:trHeight w:val="434" w:hRule="exact"/>
        </w:trPr>
        <w:tc>
          <w:tcPr>
            <w:tcW w:w="6001" w:type="dxa"/>
            <w:gridSpan w:val="5"/>
            <w:shd w:val="clear" w:color="auto" w:fill="92D050"/>
          </w:tcPr>
          <w:p>
            <w:pPr>
              <w:pStyle w:val="TableParagraph"/>
              <w:ind w:left="1673" w:right="190" w:hanging="1463"/>
              <w:jc w:val="left"/>
              <w:rPr>
                <w:b/>
                <w:sz w:val="18"/>
              </w:rPr>
            </w:pPr>
            <w:r>
              <w:rPr>
                <w:b/>
                <w:sz w:val="18"/>
              </w:rPr>
              <w:t>Tabla 3.71: Se obliga a los servidores públicos de su municipio a cumplir la ley de transparencia</w:t>
            </w:r>
          </w:p>
        </w:tc>
      </w:tr>
      <w:tr>
        <w:trPr>
          <w:trHeight w:val="545" w:hRule="exact"/>
        </w:trPr>
        <w:tc>
          <w:tcPr>
            <w:tcW w:w="1443" w:type="dxa"/>
            <w:shd w:val="clear" w:color="auto" w:fill="92D050"/>
          </w:tcPr>
          <w:p>
            <w:pPr>
              <w:pStyle w:val="TableParagraph"/>
              <w:spacing w:before="152"/>
              <w:ind w:left="472"/>
              <w:jc w:val="left"/>
              <w:rPr>
                <w:b/>
                <w:sz w:val="18"/>
              </w:rPr>
            </w:pPr>
            <w:r>
              <w:rPr>
                <w:b/>
                <w:sz w:val="18"/>
              </w:rPr>
              <w:t>Clase</w:t>
            </w:r>
          </w:p>
        </w:tc>
        <w:tc>
          <w:tcPr>
            <w:tcW w:w="1130" w:type="dxa"/>
            <w:tcBorders>
              <w:bottom w:val="single" w:sz="4" w:space="0" w:color="000000"/>
            </w:tcBorders>
            <w:shd w:val="clear" w:color="auto" w:fill="92D050"/>
          </w:tcPr>
          <w:p>
            <w:pPr>
              <w:pStyle w:val="TableParagraph"/>
              <w:spacing w:before="152"/>
              <w:ind w:left="357"/>
              <w:jc w:val="left"/>
              <w:rPr>
                <w:b/>
                <w:sz w:val="18"/>
              </w:rPr>
            </w:pPr>
            <w:r>
              <w:rPr>
                <w:b/>
                <w:sz w:val="18"/>
              </w:rPr>
              <w:t>2013</w:t>
            </w:r>
          </w:p>
        </w:tc>
        <w:tc>
          <w:tcPr>
            <w:tcW w:w="1133" w:type="dxa"/>
            <w:tcBorders>
              <w:bottom w:val="single" w:sz="4" w:space="0" w:color="000000"/>
            </w:tcBorders>
            <w:shd w:val="clear" w:color="auto" w:fill="92D050"/>
          </w:tcPr>
          <w:p>
            <w:pPr>
              <w:pStyle w:val="TableParagraph"/>
              <w:spacing w:before="152"/>
              <w:ind w:left="357"/>
              <w:jc w:val="left"/>
              <w:rPr>
                <w:b/>
                <w:sz w:val="18"/>
              </w:rPr>
            </w:pPr>
            <w:r>
              <w:rPr>
                <w:b/>
                <w:sz w:val="18"/>
              </w:rPr>
              <w:t>2014</w:t>
            </w:r>
          </w:p>
        </w:tc>
        <w:tc>
          <w:tcPr>
            <w:tcW w:w="1130" w:type="dxa"/>
            <w:tcBorders>
              <w:bottom w:val="single" w:sz="4" w:space="0" w:color="000000"/>
            </w:tcBorders>
            <w:shd w:val="clear" w:color="auto" w:fill="92D050"/>
          </w:tcPr>
          <w:p>
            <w:pPr>
              <w:pStyle w:val="TableParagraph"/>
              <w:spacing w:before="152"/>
              <w:ind w:left="355"/>
              <w:jc w:val="left"/>
              <w:rPr>
                <w:b/>
                <w:sz w:val="18"/>
              </w:rPr>
            </w:pPr>
            <w:r>
              <w:rPr>
                <w:b/>
                <w:sz w:val="18"/>
              </w:rPr>
              <w:t>2015</w:t>
            </w:r>
          </w:p>
        </w:tc>
        <w:tc>
          <w:tcPr>
            <w:tcW w:w="1164" w:type="dxa"/>
            <w:tcBorders>
              <w:bottom w:val="single" w:sz="4" w:space="0" w:color="000000"/>
            </w:tcBorders>
            <w:shd w:val="clear" w:color="auto" w:fill="92D050"/>
          </w:tcPr>
          <w:p>
            <w:pPr>
              <w:pStyle w:val="TableParagraph"/>
              <w:spacing w:before="49"/>
              <w:ind w:left="251" w:right="139" w:hanging="96"/>
              <w:jc w:val="left"/>
              <w:rPr>
                <w:b/>
                <w:sz w:val="18"/>
              </w:rPr>
            </w:pPr>
            <w:r>
              <w:rPr>
                <w:b/>
                <w:sz w:val="18"/>
              </w:rPr>
              <w:t>Promedio general</w:t>
            </w:r>
          </w:p>
        </w:tc>
      </w:tr>
      <w:tr>
        <w:trPr>
          <w:trHeight w:val="269" w:hRule="exact"/>
        </w:trPr>
        <w:tc>
          <w:tcPr>
            <w:tcW w:w="1443" w:type="dxa"/>
            <w:tcBorders>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Nada</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52"/>
              <w:ind w:left="67"/>
              <w:jc w:val="left"/>
              <w:rPr>
                <w:sz w:val="18"/>
              </w:rPr>
            </w:pPr>
            <w:r>
              <w:rPr>
                <w:sz w:val="18"/>
              </w:rPr>
              <w:t>S/I</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52"/>
              <w:ind w:left="67"/>
              <w:jc w:val="left"/>
              <w:rPr>
                <w:sz w:val="18"/>
              </w:rPr>
            </w:pPr>
            <w:r>
              <w:rPr>
                <w:sz w:val="18"/>
              </w:rPr>
              <w:t>S/I</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52"/>
              <w:ind w:right="61"/>
              <w:jc w:val="right"/>
              <w:rPr>
                <w:sz w:val="18"/>
              </w:rPr>
            </w:pPr>
            <w:r>
              <w:rPr>
                <w:sz w:val="18"/>
              </w:rPr>
              <w:t>41.01%</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52"/>
              <w:ind w:right="61"/>
              <w:jc w:val="right"/>
              <w:rPr>
                <w:sz w:val="18"/>
              </w:rPr>
            </w:pPr>
            <w:r>
              <w:rPr>
                <w:sz w:val="18"/>
              </w:rPr>
              <w:t>41.01%</w:t>
            </w:r>
          </w:p>
        </w:tc>
      </w:tr>
      <w:tr>
        <w:trPr>
          <w:trHeight w:val="266" w:hRule="exact"/>
        </w:trPr>
        <w:tc>
          <w:tcPr>
            <w:tcW w:w="1443" w:type="dxa"/>
            <w:tcBorders>
              <w:top w:val="single" w:sz="4" w:space="0" w:color="000000"/>
              <w:left w:val="single" w:sz="4" w:space="0" w:color="000000"/>
              <w:bottom w:val="single" w:sz="4" w:space="0" w:color="000000"/>
              <w:right w:val="single" w:sz="4" w:space="0" w:color="000000"/>
            </w:tcBorders>
          </w:tcPr>
          <w:p>
            <w:pPr>
              <w:pStyle w:val="TableParagraph"/>
              <w:spacing w:before="49"/>
              <w:ind w:left="67"/>
              <w:jc w:val="left"/>
              <w:rPr>
                <w:sz w:val="18"/>
              </w:rPr>
            </w:pPr>
            <w:r>
              <w:rPr>
                <w:sz w:val="18"/>
              </w:rPr>
              <w:t>Lo necesario</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9"/>
              <w:ind w:right="59"/>
              <w:jc w:val="right"/>
              <w:rPr>
                <w:sz w:val="18"/>
              </w:rPr>
            </w:pPr>
            <w:r>
              <w:rPr>
                <w:sz w:val="18"/>
              </w:rPr>
              <w:t>85.06%</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49"/>
              <w:ind w:right="62"/>
              <w:jc w:val="right"/>
              <w:rPr>
                <w:sz w:val="18"/>
              </w:rPr>
            </w:pPr>
            <w:r>
              <w:rPr>
                <w:sz w:val="18"/>
              </w:rPr>
              <w:t>87.47%</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9"/>
              <w:ind w:right="61"/>
              <w:jc w:val="right"/>
              <w:rPr>
                <w:sz w:val="18"/>
              </w:rPr>
            </w:pPr>
            <w:r>
              <w:rPr>
                <w:sz w:val="18"/>
              </w:rPr>
              <w:t>37.58%</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49"/>
              <w:ind w:right="61"/>
              <w:jc w:val="right"/>
              <w:rPr>
                <w:sz w:val="18"/>
              </w:rPr>
            </w:pPr>
            <w:r>
              <w:rPr>
                <w:sz w:val="18"/>
              </w:rPr>
              <w:t>70.04%</w:t>
            </w:r>
          </w:p>
        </w:tc>
      </w:tr>
      <w:tr>
        <w:trPr>
          <w:trHeight w:val="264" w:hRule="exact"/>
        </w:trPr>
        <w:tc>
          <w:tcPr>
            <w:tcW w:w="1443"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Lo suficiente</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S/I</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47"/>
              <w:ind w:right="62"/>
              <w:jc w:val="right"/>
              <w:rPr>
                <w:sz w:val="18"/>
              </w:rPr>
            </w:pPr>
            <w:r>
              <w:rPr>
                <w:sz w:val="18"/>
              </w:rPr>
              <w:t>33.99%</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23.68%</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28.84%</w:t>
            </w:r>
          </w:p>
        </w:tc>
      </w:tr>
      <w:tr>
        <w:trPr>
          <w:trHeight w:val="266" w:hRule="exact"/>
        </w:trPr>
        <w:tc>
          <w:tcPr>
            <w:tcW w:w="1443"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Completamente</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95.35%</w:t>
            </w:r>
          </w:p>
        </w:tc>
        <w:tc>
          <w:tcPr>
            <w:tcW w:w="1133" w:type="dxa"/>
            <w:tcBorders>
              <w:top w:val="single" w:sz="4" w:space="0" w:color="000000"/>
              <w:left w:val="single" w:sz="4" w:space="0" w:color="000000"/>
              <w:bottom w:val="single" w:sz="4" w:space="0" w:color="000000"/>
              <w:right w:val="single" w:sz="4" w:space="0" w:color="000000"/>
            </w:tcBorders>
          </w:tcPr>
          <w:p>
            <w:pPr>
              <w:pStyle w:val="TableParagraph"/>
              <w:spacing w:before="47"/>
              <w:ind w:right="62"/>
              <w:jc w:val="right"/>
              <w:rPr>
                <w:sz w:val="18"/>
              </w:rPr>
            </w:pPr>
            <w:r>
              <w:rPr>
                <w:sz w:val="18"/>
              </w:rPr>
              <w:t>78.18%</w:t>
            </w:r>
          </w:p>
        </w:tc>
        <w:tc>
          <w:tcPr>
            <w:tcW w:w="1130"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35.18%</w:t>
            </w:r>
          </w:p>
        </w:tc>
        <w:tc>
          <w:tcPr>
            <w:tcW w:w="1164"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69.57%</w:t>
            </w:r>
          </w:p>
        </w:tc>
      </w:tr>
    </w:tbl>
    <w:p>
      <w:pPr>
        <w:spacing w:before="66"/>
        <w:ind w:left="1644" w:right="6" w:firstLine="0"/>
        <w:jc w:val="left"/>
        <w:rPr>
          <w:sz w:val="16"/>
        </w:rPr>
      </w:pPr>
      <w:r>
        <w:rPr>
          <w:sz w:val="16"/>
        </w:rPr>
        <w:t>Fuente: Elaboración propia</w:t>
      </w:r>
    </w:p>
    <w:p>
      <w:pPr>
        <w:pStyle w:val="BodyText"/>
        <w:rPr>
          <w:sz w:val="20"/>
        </w:rPr>
      </w:pPr>
    </w:p>
    <w:p>
      <w:pPr>
        <w:pStyle w:val="BodyText"/>
      </w:pPr>
    </w:p>
    <w:p>
      <w:pPr>
        <w:pStyle w:val="BodyText"/>
        <w:spacing w:line="360" w:lineRule="auto" w:before="70"/>
        <w:ind w:left="108" w:right="117"/>
        <w:jc w:val="both"/>
      </w:pPr>
      <w:r>
        <w:rPr/>
        <w:t>Durante el periodo que comprende el 2013-2015 se tuvo un promedio de cumplimiento de la ley tal como se describe a continuación: en primer lugar se encuentran</w:t>
      </w:r>
      <w:r>
        <w:rPr>
          <w:spacing w:val="-15"/>
        </w:rPr>
        <w:t> </w:t>
      </w:r>
      <w:r>
        <w:rPr/>
        <w:t>los</w:t>
      </w:r>
      <w:r>
        <w:rPr>
          <w:spacing w:val="-18"/>
        </w:rPr>
        <w:t> </w:t>
      </w:r>
      <w:r>
        <w:rPr/>
        <w:t>representantes</w:t>
      </w:r>
      <w:r>
        <w:rPr>
          <w:spacing w:val="-18"/>
        </w:rPr>
        <w:t> </w:t>
      </w:r>
      <w:r>
        <w:rPr/>
        <w:t>que</w:t>
      </w:r>
      <w:r>
        <w:rPr>
          <w:spacing w:val="-12"/>
        </w:rPr>
        <w:t> </w:t>
      </w:r>
      <w:r>
        <w:rPr/>
        <w:t>solo</w:t>
      </w:r>
      <w:r>
        <w:rPr>
          <w:spacing w:val="-15"/>
        </w:rPr>
        <w:t> </w:t>
      </w:r>
      <w:r>
        <w:rPr/>
        <w:t>los</w:t>
      </w:r>
      <w:r>
        <w:rPr>
          <w:spacing w:val="-18"/>
        </w:rPr>
        <w:t> </w:t>
      </w:r>
      <w:r>
        <w:rPr/>
        <w:t>obligan</w:t>
      </w:r>
      <w:r>
        <w:rPr>
          <w:spacing w:val="-15"/>
        </w:rPr>
        <w:t> </w:t>
      </w:r>
      <w:r>
        <w:rPr/>
        <w:t>lo</w:t>
      </w:r>
      <w:r>
        <w:rPr>
          <w:spacing w:val="-15"/>
        </w:rPr>
        <w:t> </w:t>
      </w:r>
      <w:r>
        <w:rPr/>
        <w:t>necesario</w:t>
      </w:r>
      <w:r>
        <w:rPr>
          <w:spacing w:val="-15"/>
        </w:rPr>
        <w:t> </w:t>
      </w:r>
      <w:r>
        <w:rPr/>
        <w:t>para</w:t>
      </w:r>
      <w:r>
        <w:rPr>
          <w:spacing w:val="-18"/>
        </w:rPr>
        <w:t> </w:t>
      </w:r>
      <w:r>
        <w:rPr/>
        <w:t>el</w:t>
      </w:r>
      <w:r>
        <w:rPr>
          <w:spacing w:val="-16"/>
        </w:rPr>
        <w:t> </w:t>
      </w:r>
      <w:r>
        <w:rPr/>
        <w:t>cumplimiento de la ley obtuvieron el 70.04%, en segundo lugar se encuentran a los que obligan completamente al cumplimiento de la ley con un 69.57%, en tercer lugar se encuentran a los que no obligan a los representantes al cumplimiento de la ley con un 41.01% y en cuarto lugar se encuentran los que solo los obligan lo suficiente</w:t>
      </w:r>
      <w:r>
        <w:rPr>
          <w:spacing w:val="-31"/>
        </w:rPr>
        <w:t> </w:t>
      </w:r>
      <w:r>
        <w:rPr/>
        <w:t>con un</w:t>
      </w:r>
      <w:r>
        <w:rPr>
          <w:spacing w:val="-3"/>
        </w:rPr>
        <w:t> </w:t>
      </w:r>
      <w:r>
        <w:rPr/>
        <w:t>28.84%.</w:t>
      </w:r>
    </w:p>
    <w:p>
      <w:pPr>
        <w:spacing w:after="0" w:line="360" w:lineRule="auto"/>
        <w:jc w:val="both"/>
        <w:sectPr>
          <w:pgSz w:w="12240" w:h="15840"/>
          <w:pgMar w:header="0" w:footer="1035" w:top="1360" w:bottom="1220" w:left="1500" w:right="1580"/>
        </w:sectPr>
      </w:pPr>
    </w:p>
    <w:p>
      <w:pPr>
        <w:pStyle w:val="Heading1"/>
        <w:numPr>
          <w:ilvl w:val="2"/>
          <w:numId w:val="53"/>
        </w:numPr>
        <w:tabs>
          <w:tab w:pos="837" w:val="left" w:leader="none"/>
        </w:tabs>
        <w:spacing w:line="362" w:lineRule="auto" w:before="54" w:after="0"/>
        <w:ind w:left="836" w:right="119" w:hanging="720"/>
        <w:jc w:val="left"/>
      </w:pPr>
      <w:r>
        <w:rPr/>
        <w:t>Cuenta con los recursos humanos para realizar sus actividades laborales vs porcentaje de la transparencia</w:t>
      </w:r>
      <w:r>
        <w:rPr>
          <w:spacing w:val="-9"/>
        </w:rPr>
        <w:t> </w:t>
      </w:r>
      <w:r>
        <w:rPr/>
        <w:t>2015.</w:t>
      </w:r>
    </w:p>
    <w:p>
      <w:pPr>
        <w:pStyle w:val="BodyText"/>
        <w:spacing w:before="3"/>
        <w:rPr>
          <w:b/>
        </w:rPr>
      </w:pPr>
    </w:p>
    <w:tbl>
      <w:tblPr>
        <w:tblW w:w="0" w:type="auto"/>
        <w:jc w:val="left"/>
        <w:tblInd w:w="26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09"/>
        <w:gridCol w:w="1198"/>
        <w:gridCol w:w="1258"/>
      </w:tblGrid>
      <w:tr>
        <w:trPr>
          <w:trHeight w:val="641" w:hRule="exact"/>
        </w:trPr>
        <w:tc>
          <w:tcPr>
            <w:tcW w:w="3864" w:type="dxa"/>
            <w:gridSpan w:val="3"/>
            <w:shd w:val="clear" w:color="auto" w:fill="92D050"/>
          </w:tcPr>
          <w:p>
            <w:pPr>
              <w:pStyle w:val="TableParagraph"/>
              <w:ind w:left="271" w:right="270" w:firstLine="1"/>
              <w:rPr>
                <w:b/>
                <w:sz w:val="18"/>
              </w:rPr>
            </w:pPr>
            <w:r>
              <w:rPr>
                <w:b/>
                <w:sz w:val="18"/>
              </w:rPr>
              <w:t>Tabla 3.72: Cuenta con los recursos humanos para realizar sus actividades laborales</w:t>
            </w:r>
          </w:p>
        </w:tc>
      </w:tr>
      <w:tr>
        <w:trPr>
          <w:trHeight w:val="290" w:hRule="exact"/>
        </w:trPr>
        <w:tc>
          <w:tcPr>
            <w:tcW w:w="1409" w:type="dxa"/>
            <w:vMerge w:val="restart"/>
            <w:shd w:val="clear" w:color="auto" w:fill="92D050"/>
          </w:tcPr>
          <w:p>
            <w:pPr>
              <w:pStyle w:val="TableParagraph"/>
              <w:spacing w:before="10"/>
              <w:jc w:val="left"/>
              <w:rPr>
                <w:b/>
                <w:sz w:val="25"/>
              </w:rPr>
            </w:pPr>
          </w:p>
          <w:p>
            <w:pPr>
              <w:pStyle w:val="TableParagraph"/>
              <w:ind w:left="453"/>
              <w:jc w:val="left"/>
              <w:rPr>
                <w:b/>
                <w:sz w:val="18"/>
              </w:rPr>
            </w:pPr>
            <w:r>
              <w:rPr>
                <w:b/>
                <w:sz w:val="18"/>
              </w:rPr>
              <w:t>Clase</w:t>
            </w:r>
          </w:p>
        </w:tc>
        <w:tc>
          <w:tcPr>
            <w:tcW w:w="2456" w:type="dxa"/>
            <w:gridSpan w:val="2"/>
            <w:shd w:val="clear" w:color="auto" w:fill="92D050"/>
          </w:tcPr>
          <w:p>
            <w:pPr>
              <w:pStyle w:val="TableParagraph"/>
              <w:spacing w:before="26"/>
              <w:ind w:left="998" w:right="997"/>
              <w:rPr>
                <w:b/>
                <w:sz w:val="18"/>
              </w:rPr>
            </w:pPr>
            <w:r>
              <w:rPr>
                <w:b/>
                <w:sz w:val="18"/>
              </w:rPr>
              <w:t>2015</w:t>
            </w:r>
          </w:p>
        </w:tc>
      </w:tr>
      <w:tr>
        <w:trPr>
          <w:trHeight w:val="544" w:hRule="exact"/>
        </w:trPr>
        <w:tc>
          <w:tcPr>
            <w:tcW w:w="1409" w:type="dxa"/>
            <w:vMerge/>
            <w:shd w:val="clear" w:color="auto" w:fill="92D050"/>
          </w:tcPr>
          <w:p>
            <w:pPr/>
          </w:p>
        </w:tc>
        <w:tc>
          <w:tcPr>
            <w:tcW w:w="1198" w:type="dxa"/>
            <w:shd w:val="clear" w:color="auto" w:fill="92D050"/>
          </w:tcPr>
          <w:p>
            <w:pPr>
              <w:pStyle w:val="TableParagraph"/>
              <w:spacing w:before="154"/>
              <w:ind w:right="113"/>
              <w:jc w:val="right"/>
              <w:rPr>
                <w:b/>
                <w:sz w:val="18"/>
              </w:rPr>
            </w:pPr>
            <w:r>
              <w:rPr>
                <w:b/>
                <w:sz w:val="18"/>
              </w:rPr>
              <w:t>Frecuencia</w:t>
            </w:r>
          </w:p>
        </w:tc>
        <w:tc>
          <w:tcPr>
            <w:tcW w:w="1258" w:type="dxa"/>
            <w:shd w:val="clear" w:color="auto" w:fill="92D050"/>
          </w:tcPr>
          <w:p>
            <w:pPr>
              <w:pStyle w:val="TableParagraph"/>
              <w:spacing w:before="154"/>
              <w:ind w:left="537"/>
              <w:jc w:val="left"/>
              <w:rPr>
                <w:b/>
                <w:sz w:val="18"/>
              </w:rPr>
            </w:pPr>
            <w:r>
              <w:rPr>
                <w:b/>
                <w:w w:val="99"/>
                <w:sz w:val="18"/>
              </w:rPr>
              <w:t>%</w:t>
            </w:r>
          </w:p>
        </w:tc>
      </w:tr>
      <w:tr>
        <w:trPr>
          <w:trHeight w:val="271" w:hRule="exact"/>
        </w:trPr>
        <w:tc>
          <w:tcPr>
            <w:tcW w:w="1409" w:type="dxa"/>
            <w:tcBorders>
              <w:left w:val="single" w:sz="4" w:space="0" w:color="000000"/>
              <w:bottom w:val="single" w:sz="4" w:space="0" w:color="000000"/>
              <w:right w:val="single" w:sz="4" w:space="0" w:color="000000"/>
            </w:tcBorders>
          </w:tcPr>
          <w:p>
            <w:pPr>
              <w:pStyle w:val="TableParagraph"/>
              <w:spacing w:before="49"/>
              <w:ind w:left="67" w:right="97"/>
              <w:jc w:val="left"/>
              <w:rPr>
                <w:sz w:val="18"/>
              </w:rPr>
            </w:pPr>
            <w:r>
              <w:rPr>
                <w:sz w:val="18"/>
              </w:rPr>
              <w:t>Nunca</w:t>
            </w:r>
          </w:p>
        </w:tc>
        <w:tc>
          <w:tcPr>
            <w:tcW w:w="1198" w:type="dxa"/>
            <w:tcBorders>
              <w:left w:val="single" w:sz="4" w:space="0" w:color="000000"/>
              <w:bottom w:val="single" w:sz="4" w:space="0" w:color="000000"/>
              <w:right w:val="single" w:sz="4" w:space="0" w:color="000000"/>
            </w:tcBorders>
          </w:tcPr>
          <w:p>
            <w:pPr>
              <w:pStyle w:val="TableParagraph"/>
              <w:spacing w:before="49"/>
              <w:ind w:right="66"/>
              <w:jc w:val="right"/>
              <w:rPr>
                <w:sz w:val="18"/>
              </w:rPr>
            </w:pPr>
            <w:r>
              <w:rPr>
                <w:w w:val="99"/>
                <w:sz w:val="18"/>
              </w:rPr>
              <w:t>3</w:t>
            </w:r>
          </w:p>
        </w:tc>
        <w:tc>
          <w:tcPr>
            <w:tcW w:w="1258" w:type="dxa"/>
            <w:tcBorders>
              <w:left w:val="single" w:sz="4" w:space="0" w:color="000000"/>
              <w:bottom w:val="single" w:sz="4" w:space="0" w:color="000000"/>
              <w:right w:val="single" w:sz="4" w:space="0" w:color="000000"/>
            </w:tcBorders>
          </w:tcPr>
          <w:p>
            <w:pPr>
              <w:pStyle w:val="TableParagraph"/>
              <w:spacing w:before="49"/>
              <w:ind w:left="573"/>
              <w:jc w:val="left"/>
              <w:rPr>
                <w:sz w:val="18"/>
              </w:rPr>
            </w:pPr>
            <w:r>
              <w:rPr>
                <w:sz w:val="18"/>
              </w:rPr>
              <w:t>48.66%</w:t>
            </w:r>
          </w:p>
        </w:tc>
      </w:tr>
      <w:tr>
        <w:trPr>
          <w:trHeight w:val="264" w:hRule="exact"/>
        </w:trPr>
        <w:tc>
          <w:tcPr>
            <w:tcW w:w="1409"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right="97"/>
              <w:jc w:val="left"/>
              <w:rPr>
                <w:sz w:val="18"/>
              </w:rPr>
            </w:pPr>
            <w:r>
              <w:rPr>
                <w:sz w:val="18"/>
              </w:rPr>
              <w:t>Casi nunca</w:t>
            </w:r>
          </w:p>
        </w:tc>
        <w:tc>
          <w:tcPr>
            <w:tcW w:w="1198" w:type="dxa"/>
            <w:tcBorders>
              <w:top w:val="single" w:sz="4" w:space="0" w:color="000000"/>
              <w:left w:val="single" w:sz="4" w:space="0" w:color="000000"/>
              <w:bottom w:val="single" w:sz="4" w:space="0" w:color="000000"/>
              <w:right w:val="single" w:sz="4" w:space="0" w:color="000000"/>
            </w:tcBorders>
          </w:tcPr>
          <w:p>
            <w:pPr>
              <w:pStyle w:val="TableParagraph"/>
              <w:spacing w:before="47"/>
              <w:ind w:right="66"/>
              <w:jc w:val="right"/>
              <w:rPr>
                <w:sz w:val="18"/>
              </w:rPr>
            </w:pPr>
            <w:r>
              <w:rPr>
                <w:w w:val="99"/>
                <w:sz w:val="18"/>
              </w:rPr>
              <w:t>6</w:t>
            </w:r>
          </w:p>
        </w:tc>
        <w:tc>
          <w:tcPr>
            <w:tcW w:w="1258" w:type="dxa"/>
            <w:tcBorders>
              <w:top w:val="single" w:sz="4" w:space="0" w:color="000000"/>
              <w:left w:val="single" w:sz="4" w:space="0" w:color="000000"/>
              <w:bottom w:val="single" w:sz="4" w:space="0" w:color="000000"/>
              <w:right w:val="single" w:sz="4" w:space="0" w:color="000000"/>
            </w:tcBorders>
          </w:tcPr>
          <w:p>
            <w:pPr>
              <w:pStyle w:val="TableParagraph"/>
              <w:spacing w:before="47"/>
              <w:ind w:left="573"/>
              <w:jc w:val="left"/>
              <w:rPr>
                <w:sz w:val="18"/>
              </w:rPr>
            </w:pPr>
            <w:r>
              <w:rPr>
                <w:sz w:val="18"/>
              </w:rPr>
              <w:t>38.32%</w:t>
            </w:r>
          </w:p>
        </w:tc>
      </w:tr>
      <w:tr>
        <w:trPr>
          <w:trHeight w:val="266" w:hRule="exact"/>
        </w:trPr>
        <w:tc>
          <w:tcPr>
            <w:tcW w:w="1409" w:type="dxa"/>
            <w:tcBorders>
              <w:top w:val="single" w:sz="4" w:space="0" w:color="000000"/>
              <w:left w:val="single" w:sz="4" w:space="0" w:color="000000"/>
              <w:bottom w:val="single" w:sz="4" w:space="0" w:color="000000"/>
              <w:right w:val="single" w:sz="4" w:space="0" w:color="000000"/>
            </w:tcBorders>
          </w:tcPr>
          <w:p>
            <w:pPr>
              <w:pStyle w:val="TableParagraph"/>
              <w:spacing w:before="49"/>
              <w:ind w:left="67" w:right="97"/>
              <w:jc w:val="left"/>
              <w:rPr>
                <w:sz w:val="18"/>
              </w:rPr>
            </w:pPr>
            <w:r>
              <w:rPr>
                <w:sz w:val="18"/>
              </w:rPr>
              <w:t>Casi siempre</w:t>
            </w:r>
          </w:p>
        </w:tc>
        <w:tc>
          <w:tcPr>
            <w:tcW w:w="1198" w:type="dxa"/>
            <w:tcBorders>
              <w:top w:val="single" w:sz="4" w:space="0" w:color="000000"/>
              <w:left w:val="single" w:sz="4" w:space="0" w:color="000000"/>
              <w:bottom w:val="single" w:sz="4" w:space="0" w:color="000000"/>
              <w:right w:val="single" w:sz="4" w:space="0" w:color="000000"/>
            </w:tcBorders>
          </w:tcPr>
          <w:p>
            <w:pPr>
              <w:pStyle w:val="TableParagraph"/>
              <w:spacing w:before="49"/>
              <w:ind w:right="63"/>
              <w:jc w:val="right"/>
              <w:rPr>
                <w:sz w:val="18"/>
              </w:rPr>
            </w:pPr>
            <w:r>
              <w:rPr>
                <w:sz w:val="18"/>
              </w:rPr>
              <w:t>14</w:t>
            </w:r>
          </w:p>
        </w:tc>
        <w:tc>
          <w:tcPr>
            <w:tcW w:w="1258" w:type="dxa"/>
            <w:tcBorders>
              <w:top w:val="single" w:sz="4" w:space="0" w:color="000000"/>
              <w:left w:val="single" w:sz="4" w:space="0" w:color="000000"/>
              <w:bottom w:val="single" w:sz="4" w:space="0" w:color="000000"/>
              <w:right w:val="single" w:sz="4" w:space="0" w:color="000000"/>
            </w:tcBorders>
          </w:tcPr>
          <w:p>
            <w:pPr>
              <w:pStyle w:val="TableParagraph"/>
              <w:spacing w:before="49"/>
              <w:ind w:left="573"/>
              <w:jc w:val="left"/>
              <w:rPr>
                <w:sz w:val="18"/>
              </w:rPr>
            </w:pPr>
            <w:r>
              <w:rPr>
                <w:sz w:val="18"/>
              </w:rPr>
              <w:t>22.84%</w:t>
            </w:r>
          </w:p>
        </w:tc>
      </w:tr>
      <w:tr>
        <w:trPr>
          <w:trHeight w:val="264" w:hRule="exact"/>
        </w:trPr>
        <w:tc>
          <w:tcPr>
            <w:tcW w:w="1409"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right="97"/>
              <w:jc w:val="left"/>
              <w:rPr>
                <w:sz w:val="18"/>
              </w:rPr>
            </w:pPr>
            <w:r>
              <w:rPr>
                <w:sz w:val="18"/>
              </w:rPr>
              <w:t>Siempre</w:t>
            </w:r>
          </w:p>
        </w:tc>
        <w:tc>
          <w:tcPr>
            <w:tcW w:w="1198" w:type="dxa"/>
            <w:tcBorders>
              <w:top w:val="single" w:sz="4" w:space="0" w:color="000000"/>
              <w:left w:val="single" w:sz="4" w:space="0" w:color="000000"/>
              <w:bottom w:val="single" w:sz="4" w:space="0" w:color="000000"/>
              <w:right w:val="single" w:sz="4" w:space="0" w:color="000000"/>
            </w:tcBorders>
          </w:tcPr>
          <w:p>
            <w:pPr>
              <w:pStyle w:val="TableParagraph"/>
              <w:spacing w:before="47"/>
              <w:ind w:right="63"/>
              <w:jc w:val="right"/>
              <w:rPr>
                <w:sz w:val="18"/>
              </w:rPr>
            </w:pPr>
            <w:r>
              <w:rPr>
                <w:sz w:val="18"/>
              </w:rPr>
              <w:t>23</w:t>
            </w:r>
          </w:p>
        </w:tc>
        <w:tc>
          <w:tcPr>
            <w:tcW w:w="1258" w:type="dxa"/>
            <w:tcBorders>
              <w:top w:val="single" w:sz="4" w:space="0" w:color="000000"/>
              <w:left w:val="single" w:sz="4" w:space="0" w:color="000000"/>
              <w:bottom w:val="single" w:sz="4" w:space="0" w:color="000000"/>
              <w:right w:val="single" w:sz="4" w:space="0" w:color="000000"/>
            </w:tcBorders>
          </w:tcPr>
          <w:p>
            <w:pPr>
              <w:pStyle w:val="TableParagraph"/>
              <w:spacing w:before="47"/>
              <w:ind w:left="573"/>
              <w:jc w:val="left"/>
              <w:rPr>
                <w:sz w:val="18"/>
              </w:rPr>
            </w:pPr>
            <w:r>
              <w:rPr>
                <w:sz w:val="18"/>
              </w:rPr>
              <w:t>35.11%</w:t>
            </w:r>
          </w:p>
        </w:tc>
      </w:tr>
    </w:tbl>
    <w:p>
      <w:pPr>
        <w:spacing w:before="69"/>
        <w:ind w:left="2733" w:right="26" w:firstLine="0"/>
        <w:jc w:val="left"/>
        <w:rPr>
          <w:sz w:val="16"/>
        </w:rPr>
      </w:pPr>
      <w:r>
        <w:rPr>
          <w:sz w:val="16"/>
        </w:rPr>
        <w:t>Fuente: Elaboración propia</w:t>
      </w:r>
    </w:p>
    <w:p>
      <w:pPr>
        <w:pStyle w:val="BodyText"/>
        <w:spacing w:before="2"/>
        <w:rPr>
          <w:sz w:val="18"/>
        </w:rPr>
      </w:pPr>
    </w:p>
    <w:p>
      <w:pPr>
        <w:pStyle w:val="BodyText"/>
        <w:spacing w:line="360" w:lineRule="auto" w:before="69"/>
        <w:ind w:left="128" w:right="114"/>
        <w:jc w:val="both"/>
      </w:pPr>
      <w:r>
        <w:rPr/>
        <w:t>En la tabla anterior se muestran los resultados obtenidos de hacer el cruce de las variables del cumplimiento de la ley de transparencia en relación a si cuenta con</w:t>
      </w:r>
      <w:r>
        <w:rPr>
          <w:spacing w:val="-32"/>
        </w:rPr>
        <w:t> </w:t>
      </w:r>
      <w:r>
        <w:rPr/>
        <w:t>los recursos humanos para realizar sus actividades laborales de los responsables de la transparencia en los gobiernos municipales. Los resultados obtenidos muestran cómo</w:t>
      </w:r>
      <w:r>
        <w:rPr>
          <w:spacing w:val="-16"/>
        </w:rPr>
        <w:t> </w:t>
      </w:r>
      <w:r>
        <w:rPr/>
        <w:t>los</w:t>
      </w:r>
      <w:r>
        <w:rPr>
          <w:spacing w:val="-14"/>
        </w:rPr>
        <w:t> </w:t>
      </w:r>
      <w:r>
        <w:rPr/>
        <w:t>responsables</w:t>
      </w:r>
      <w:r>
        <w:rPr>
          <w:spacing w:val="-17"/>
        </w:rPr>
        <w:t> </w:t>
      </w:r>
      <w:r>
        <w:rPr/>
        <w:t>de</w:t>
      </w:r>
      <w:r>
        <w:rPr>
          <w:spacing w:val="-14"/>
        </w:rPr>
        <w:t> </w:t>
      </w:r>
      <w:r>
        <w:rPr/>
        <w:t>la</w:t>
      </w:r>
      <w:r>
        <w:rPr>
          <w:spacing w:val="-14"/>
        </w:rPr>
        <w:t> </w:t>
      </w:r>
      <w:r>
        <w:rPr/>
        <w:t>transparencia</w:t>
      </w:r>
      <w:r>
        <w:rPr>
          <w:spacing w:val="-14"/>
        </w:rPr>
        <w:t> </w:t>
      </w:r>
      <w:r>
        <w:rPr/>
        <w:t>que</w:t>
      </w:r>
      <w:r>
        <w:rPr>
          <w:spacing w:val="-14"/>
        </w:rPr>
        <w:t> </w:t>
      </w:r>
      <w:r>
        <w:rPr/>
        <w:t>obtuvieron</w:t>
      </w:r>
      <w:r>
        <w:rPr>
          <w:spacing w:val="-14"/>
        </w:rPr>
        <w:t> </w:t>
      </w:r>
      <w:r>
        <w:rPr/>
        <w:t>el</w:t>
      </w:r>
      <w:r>
        <w:rPr>
          <w:spacing w:val="-15"/>
        </w:rPr>
        <w:t> </w:t>
      </w:r>
      <w:r>
        <w:rPr/>
        <w:t>primer</w:t>
      </w:r>
      <w:r>
        <w:rPr>
          <w:spacing w:val="-10"/>
        </w:rPr>
        <w:t> </w:t>
      </w:r>
      <w:r>
        <w:rPr/>
        <w:t>lugar</w:t>
      </w:r>
      <w:r>
        <w:rPr>
          <w:spacing w:val="-16"/>
        </w:rPr>
        <w:t> </w:t>
      </w:r>
      <w:r>
        <w:rPr/>
        <w:t>dijeron</w:t>
      </w:r>
      <w:r>
        <w:rPr>
          <w:spacing w:val="-14"/>
        </w:rPr>
        <w:t> </w:t>
      </w:r>
      <w:r>
        <w:rPr/>
        <w:t>que nunca han contado con los recursos humanos con un 48.66%, en segundo lugar, están los que casi nunca cuentan con los recursos humanos para el desempeño de sus actividades con un 38.32%, en tercer lugar, están los que siempre cuentan con este tipo de recursos al obtener un 35.11%, en cuarto lugar se encuentran los que casi siempre cuentan con los recursos humanos con un</w:t>
      </w:r>
      <w:r>
        <w:rPr>
          <w:spacing w:val="-20"/>
        </w:rPr>
        <w:t> </w:t>
      </w:r>
      <w:r>
        <w:rPr/>
        <w:t>22.84%.</w:t>
      </w:r>
    </w:p>
    <w:p>
      <w:pPr>
        <w:pStyle w:val="BodyText"/>
      </w:pPr>
    </w:p>
    <w:p>
      <w:pPr>
        <w:pStyle w:val="BodyText"/>
        <w:spacing w:line="360" w:lineRule="auto" w:before="163"/>
        <w:ind w:left="128" w:right="118"/>
        <w:jc w:val="both"/>
      </w:pPr>
      <w:r>
        <w:rPr/>
        <w:t>En</w:t>
      </w:r>
      <w:r>
        <w:rPr>
          <w:spacing w:val="-9"/>
        </w:rPr>
        <w:t> </w:t>
      </w:r>
      <w:r>
        <w:rPr/>
        <w:t>un</w:t>
      </w:r>
      <w:r>
        <w:rPr>
          <w:spacing w:val="-9"/>
        </w:rPr>
        <w:t> </w:t>
      </w:r>
      <w:r>
        <w:rPr/>
        <w:t>sentido</w:t>
      </w:r>
      <w:r>
        <w:rPr>
          <w:spacing w:val="-9"/>
        </w:rPr>
        <w:t> </w:t>
      </w:r>
      <w:r>
        <w:rPr/>
        <w:t>retroactivo</w:t>
      </w:r>
      <w:r>
        <w:rPr>
          <w:spacing w:val="-9"/>
        </w:rPr>
        <w:t> </w:t>
      </w:r>
      <w:r>
        <w:rPr/>
        <w:t>del</w:t>
      </w:r>
      <w:r>
        <w:rPr>
          <w:spacing w:val="-11"/>
        </w:rPr>
        <w:t> </w:t>
      </w:r>
      <w:r>
        <w:rPr/>
        <w:t>periodo</w:t>
      </w:r>
      <w:r>
        <w:rPr>
          <w:spacing w:val="-9"/>
        </w:rPr>
        <w:t> </w:t>
      </w:r>
      <w:r>
        <w:rPr/>
        <w:t>de</w:t>
      </w:r>
      <w:r>
        <w:rPr>
          <w:spacing w:val="-9"/>
        </w:rPr>
        <w:t> </w:t>
      </w:r>
      <w:r>
        <w:rPr/>
        <w:t>administración</w:t>
      </w:r>
      <w:r>
        <w:rPr>
          <w:spacing w:val="-9"/>
        </w:rPr>
        <w:t> </w:t>
      </w:r>
      <w:r>
        <w:rPr/>
        <w:t>2013</w:t>
      </w:r>
      <w:r>
        <w:rPr>
          <w:spacing w:val="-3"/>
        </w:rPr>
        <w:t> </w:t>
      </w:r>
      <w:r>
        <w:rPr/>
        <w:t>-2015</w:t>
      </w:r>
      <w:r>
        <w:rPr>
          <w:spacing w:val="-9"/>
        </w:rPr>
        <w:t> </w:t>
      </w:r>
      <w:r>
        <w:rPr/>
        <w:t>la</w:t>
      </w:r>
      <w:r>
        <w:rPr>
          <w:spacing w:val="-9"/>
        </w:rPr>
        <w:t> </w:t>
      </w:r>
      <w:r>
        <w:rPr/>
        <w:t>siguiente</w:t>
      </w:r>
      <w:r>
        <w:rPr>
          <w:spacing w:val="-9"/>
        </w:rPr>
        <w:t> </w:t>
      </w:r>
      <w:r>
        <w:rPr/>
        <w:t>tabla muestra el promedio de cumplimiento de la ley de</w:t>
      </w:r>
      <w:r>
        <w:rPr>
          <w:spacing w:val="-18"/>
        </w:rPr>
        <w:t> </w:t>
      </w:r>
      <w:r>
        <w:rPr/>
        <w:t>transparencia:</w:t>
      </w:r>
    </w:p>
    <w:p>
      <w:pPr>
        <w:pStyle w:val="BodyText"/>
        <w:rPr>
          <w:sz w:val="20"/>
        </w:rPr>
      </w:pPr>
    </w:p>
    <w:p>
      <w:pPr>
        <w:pStyle w:val="BodyText"/>
        <w:rPr>
          <w:sz w:val="20"/>
        </w:rPr>
      </w:pPr>
    </w:p>
    <w:p>
      <w:pPr>
        <w:pStyle w:val="BodyText"/>
        <w:spacing w:before="3"/>
      </w:pPr>
    </w:p>
    <w:tbl>
      <w:tblPr>
        <w:tblW w:w="0" w:type="auto"/>
        <w:jc w:val="left"/>
        <w:tblInd w:w="15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01"/>
        <w:gridCol w:w="1200"/>
        <w:gridCol w:w="1200"/>
        <w:gridCol w:w="1200"/>
        <w:gridCol w:w="1200"/>
      </w:tblGrid>
      <w:tr>
        <w:trPr>
          <w:trHeight w:val="435" w:hRule="exact"/>
        </w:trPr>
        <w:tc>
          <w:tcPr>
            <w:tcW w:w="6001" w:type="dxa"/>
            <w:gridSpan w:val="5"/>
            <w:shd w:val="clear" w:color="auto" w:fill="92D050"/>
          </w:tcPr>
          <w:p>
            <w:pPr>
              <w:pStyle w:val="TableParagraph"/>
              <w:ind w:left="2081" w:right="269" w:hanging="1791"/>
              <w:jc w:val="left"/>
              <w:rPr>
                <w:b/>
                <w:sz w:val="18"/>
              </w:rPr>
            </w:pPr>
            <w:r>
              <w:rPr>
                <w:b/>
                <w:sz w:val="18"/>
              </w:rPr>
              <w:t>Tabla 3.77: Cuenta con los recursos humanos para realizar sus actividades laborales</w:t>
            </w:r>
          </w:p>
        </w:tc>
      </w:tr>
      <w:tr>
        <w:trPr>
          <w:trHeight w:val="545" w:hRule="exact"/>
        </w:trPr>
        <w:tc>
          <w:tcPr>
            <w:tcW w:w="1201" w:type="dxa"/>
            <w:shd w:val="clear" w:color="auto" w:fill="92D050"/>
          </w:tcPr>
          <w:p>
            <w:pPr>
              <w:pStyle w:val="TableParagraph"/>
              <w:spacing w:before="152"/>
              <w:ind w:left="350"/>
              <w:jc w:val="left"/>
              <w:rPr>
                <w:b/>
                <w:sz w:val="18"/>
              </w:rPr>
            </w:pPr>
            <w:r>
              <w:rPr>
                <w:b/>
                <w:sz w:val="18"/>
              </w:rPr>
              <w:t>Clase</w:t>
            </w:r>
          </w:p>
        </w:tc>
        <w:tc>
          <w:tcPr>
            <w:tcW w:w="1200" w:type="dxa"/>
            <w:tcBorders>
              <w:bottom w:val="single" w:sz="4" w:space="0" w:color="000000"/>
            </w:tcBorders>
            <w:shd w:val="clear" w:color="auto" w:fill="92D050"/>
          </w:tcPr>
          <w:p>
            <w:pPr>
              <w:pStyle w:val="TableParagraph"/>
              <w:spacing w:before="152"/>
              <w:ind w:left="391" w:right="155"/>
              <w:jc w:val="left"/>
              <w:rPr>
                <w:b/>
                <w:sz w:val="18"/>
              </w:rPr>
            </w:pPr>
            <w:r>
              <w:rPr>
                <w:b/>
                <w:sz w:val="18"/>
              </w:rPr>
              <w:t>2013</w:t>
            </w:r>
          </w:p>
        </w:tc>
        <w:tc>
          <w:tcPr>
            <w:tcW w:w="1200" w:type="dxa"/>
            <w:tcBorders>
              <w:bottom w:val="single" w:sz="4" w:space="0" w:color="000000"/>
            </w:tcBorders>
            <w:shd w:val="clear" w:color="auto" w:fill="92D050"/>
          </w:tcPr>
          <w:p>
            <w:pPr>
              <w:pStyle w:val="TableParagraph"/>
              <w:spacing w:before="152"/>
              <w:ind w:left="391"/>
              <w:jc w:val="left"/>
              <w:rPr>
                <w:b/>
                <w:sz w:val="18"/>
              </w:rPr>
            </w:pPr>
            <w:r>
              <w:rPr>
                <w:b/>
                <w:sz w:val="18"/>
              </w:rPr>
              <w:t>2014</w:t>
            </w:r>
          </w:p>
        </w:tc>
        <w:tc>
          <w:tcPr>
            <w:tcW w:w="1200" w:type="dxa"/>
            <w:tcBorders>
              <w:bottom w:val="single" w:sz="4" w:space="0" w:color="000000"/>
            </w:tcBorders>
            <w:shd w:val="clear" w:color="auto" w:fill="92D050"/>
          </w:tcPr>
          <w:p>
            <w:pPr>
              <w:pStyle w:val="TableParagraph"/>
              <w:spacing w:before="152"/>
              <w:ind w:left="391" w:right="155"/>
              <w:jc w:val="left"/>
              <w:rPr>
                <w:b/>
                <w:sz w:val="18"/>
              </w:rPr>
            </w:pPr>
            <w:r>
              <w:rPr>
                <w:b/>
                <w:sz w:val="18"/>
              </w:rPr>
              <w:t>2015</w:t>
            </w:r>
          </w:p>
        </w:tc>
        <w:tc>
          <w:tcPr>
            <w:tcW w:w="1200" w:type="dxa"/>
            <w:tcBorders>
              <w:bottom w:val="single" w:sz="4" w:space="0" w:color="000000"/>
            </w:tcBorders>
            <w:shd w:val="clear" w:color="auto" w:fill="92D050"/>
          </w:tcPr>
          <w:p>
            <w:pPr>
              <w:pStyle w:val="TableParagraph"/>
              <w:spacing w:before="49"/>
              <w:ind w:left="271" w:right="155" w:hanging="96"/>
              <w:jc w:val="left"/>
              <w:rPr>
                <w:b/>
                <w:sz w:val="18"/>
              </w:rPr>
            </w:pPr>
            <w:r>
              <w:rPr>
                <w:b/>
                <w:sz w:val="18"/>
              </w:rPr>
              <w:t>Promedio general</w:t>
            </w:r>
          </w:p>
        </w:tc>
      </w:tr>
      <w:tr>
        <w:trPr>
          <w:trHeight w:val="269" w:hRule="exact"/>
        </w:trPr>
        <w:tc>
          <w:tcPr>
            <w:tcW w:w="1201" w:type="dxa"/>
            <w:tcBorders>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Nunca</w:t>
            </w:r>
          </w:p>
        </w:tc>
        <w:tc>
          <w:tcPr>
            <w:tcW w:w="1200" w:type="dxa"/>
            <w:tcBorders>
              <w:top w:val="single" w:sz="4" w:space="0" w:color="000000"/>
              <w:left w:val="single" w:sz="4" w:space="0" w:color="000000"/>
              <w:bottom w:val="single" w:sz="4" w:space="0" w:color="000000"/>
              <w:right w:val="single" w:sz="4" w:space="0" w:color="000000"/>
            </w:tcBorders>
          </w:tcPr>
          <w:p>
            <w:pP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52"/>
              <w:ind w:right="59"/>
              <w:jc w:val="right"/>
              <w:rPr>
                <w:sz w:val="18"/>
              </w:rPr>
            </w:pPr>
            <w:r>
              <w:rPr>
                <w:sz w:val="18"/>
              </w:rPr>
              <w:t>96.42%</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52"/>
              <w:ind w:right="59"/>
              <w:jc w:val="right"/>
              <w:rPr>
                <w:sz w:val="18"/>
              </w:rPr>
            </w:pPr>
            <w:r>
              <w:rPr>
                <w:sz w:val="18"/>
              </w:rPr>
              <w:t>48.66%</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52"/>
              <w:ind w:right="59"/>
              <w:jc w:val="right"/>
              <w:rPr>
                <w:sz w:val="18"/>
              </w:rPr>
            </w:pPr>
            <w:r>
              <w:rPr>
                <w:sz w:val="18"/>
              </w:rPr>
              <w:t>72.54%</w:t>
            </w:r>
          </w:p>
        </w:tc>
      </w:tr>
      <w:tr>
        <w:trPr>
          <w:trHeight w:val="266" w:hRule="exact"/>
        </w:trPr>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9"/>
              <w:ind w:left="67"/>
              <w:jc w:val="left"/>
              <w:rPr>
                <w:sz w:val="18"/>
              </w:rPr>
            </w:pPr>
            <w:r>
              <w:rPr>
                <w:sz w:val="18"/>
              </w:rPr>
              <w:t>Casi nunca</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9"/>
              <w:ind w:right="59"/>
              <w:jc w:val="right"/>
              <w:rPr>
                <w:sz w:val="18"/>
              </w:rPr>
            </w:pPr>
            <w:r>
              <w:rPr>
                <w:sz w:val="18"/>
              </w:rPr>
              <w:t>78.52%</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9"/>
              <w:ind w:right="59"/>
              <w:jc w:val="right"/>
              <w:rPr>
                <w:sz w:val="18"/>
              </w:rPr>
            </w:pPr>
            <w:r>
              <w:rPr>
                <w:sz w:val="18"/>
              </w:rPr>
              <w:t>85.99%</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9"/>
              <w:ind w:right="59"/>
              <w:jc w:val="right"/>
              <w:rPr>
                <w:sz w:val="18"/>
              </w:rPr>
            </w:pPr>
            <w:r>
              <w:rPr>
                <w:sz w:val="18"/>
              </w:rPr>
              <w:t>38.32%</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9"/>
              <w:ind w:right="59"/>
              <w:jc w:val="right"/>
              <w:rPr>
                <w:sz w:val="18"/>
              </w:rPr>
            </w:pPr>
            <w:r>
              <w:rPr>
                <w:sz w:val="18"/>
              </w:rPr>
              <w:t>67.61%</w:t>
            </w:r>
          </w:p>
        </w:tc>
      </w:tr>
      <w:tr>
        <w:trPr>
          <w:trHeight w:val="264" w:hRule="exact"/>
        </w:trPr>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Casi siempre</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97.50%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72.99%</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22.84%</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64.44%</w:t>
            </w:r>
          </w:p>
        </w:tc>
      </w:tr>
      <w:tr>
        <w:trPr>
          <w:trHeight w:val="266" w:hRule="exact"/>
        </w:trPr>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Siempre</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92.40%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62.83%</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35.11%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63.45%</w:t>
            </w:r>
          </w:p>
        </w:tc>
      </w:tr>
    </w:tbl>
    <w:p>
      <w:pPr>
        <w:spacing w:line="180" w:lineRule="exact" w:before="0"/>
        <w:ind w:left="1664" w:right="26" w:firstLine="0"/>
        <w:jc w:val="left"/>
        <w:rPr>
          <w:sz w:val="16"/>
        </w:rPr>
      </w:pPr>
      <w:r>
        <w:rPr>
          <w:sz w:val="16"/>
        </w:rPr>
        <w:t>Fuente: Elaboración propia</w:t>
      </w:r>
    </w:p>
    <w:p>
      <w:pPr>
        <w:spacing w:after="0" w:line="180" w:lineRule="exact"/>
        <w:jc w:val="left"/>
        <w:rPr>
          <w:sz w:val="16"/>
        </w:rPr>
        <w:sectPr>
          <w:pgSz w:w="12240" w:h="15840"/>
          <w:pgMar w:header="0" w:footer="1035" w:top="1360" w:bottom="1220" w:left="1480" w:right="1580"/>
        </w:sectPr>
      </w:pPr>
    </w:p>
    <w:p>
      <w:pPr>
        <w:pStyle w:val="BodyText"/>
        <w:spacing w:line="360" w:lineRule="auto" w:before="54"/>
        <w:ind w:left="128" w:right="119"/>
        <w:jc w:val="both"/>
      </w:pPr>
      <w:r>
        <w:rPr/>
        <w:t>Durante el periodo que comprende el 2013-2015 se tuvo un promedio de cumplimiento de la ley tal como se describe a continuación: en primer lugar se encuentran</w:t>
      </w:r>
      <w:r>
        <w:rPr>
          <w:spacing w:val="-9"/>
        </w:rPr>
        <w:t> </w:t>
      </w:r>
      <w:r>
        <w:rPr/>
        <w:t>los</w:t>
      </w:r>
      <w:r>
        <w:rPr>
          <w:spacing w:val="-12"/>
        </w:rPr>
        <w:t> </w:t>
      </w:r>
      <w:r>
        <w:rPr/>
        <w:t>representantes</w:t>
      </w:r>
      <w:r>
        <w:rPr>
          <w:spacing w:val="-10"/>
        </w:rPr>
        <w:t> </w:t>
      </w:r>
      <w:r>
        <w:rPr/>
        <w:t>que</w:t>
      </w:r>
      <w:r>
        <w:rPr>
          <w:spacing w:val="-12"/>
        </w:rPr>
        <w:t> </w:t>
      </w:r>
      <w:r>
        <w:rPr/>
        <w:t>nunca</w:t>
      </w:r>
      <w:r>
        <w:rPr>
          <w:spacing w:val="-9"/>
        </w:rPr>
        <w:t> </w:t>
      </w:r>
      <w:r>
        <w:rPr/>
        <w:t>cuentan</w:t>
      </w:r>
      <w:r>
        <w:rPr>
          <w:spacing w:val="-12"/>
        </w:rPr>
        <w:t> </w:t>
      </w:r>
      <w:r>
        <w:rPr/>
        <w:t>con</w:t>
      </w:r>
      <w:r>
        <w:rPr>
          <w:spacing w:val="-9"/>
        </w:rPr>
        <w:t> </w:t>
      </w:r>
      <w:r>
        <w:rPr/>
        <w:t>los</w:t>
      </w:r>
      <w:r>
        <w:rPr>
          <w:spacing w:val="-12"/>
        </w:rPr>
        <w:t> </w:t>
      </w:r>
      <w:r>
        <w:rPr/>
        <w:t>recursos</w:t>
      </w:r>
      <w:r>
        <w:rPr>
          <w:spacing w:val="-12"/>
        </w:rPr>
        <w:t> </w:t>
      </w:r>
      <w:r>
        <w:rPr/>
        <w:t>humanos</w:t>
      </w:r>
      <w:r>
        <w:rPr>
          <w:spacing w:val="-13"/>
        </w:rPr>
        <w:t> </w:t>
      </w:r>
      <w:r>
        <w:rPr/>
        <w:t>para</w:t>
      </w:r>
      <w:r>
        <w:rPr>
          <w:spacing w:val="-12"/>
        </w:rPr>
        <w:t> </w:t>
      </w:r>
      <w:r>
        <w:rPr/>
        <w:t>el desempeño de sus actividades obteniendo un 72.54%, en segundo lugar se encuentran los que casi nunca cuentan con los recursos obteniendo un 67.61%, en tercer lugar se encuentran los que casi siempre cuentan con los recursos para el desempeño de sus actividades con un 64.44%, y en cuarto lugar se encuentran los que siempre cuentan con estos recursos con un</w:t>
      </w:r>
      <w:r>
        <w:rPr>
          <w:spacing w:val="-19"/>
        </w:rPr>
        <w:t> </w:t>
      </w:r>
      <w:r>
        <w:rPr/>
        <w:t>63.45%.</w:t>
      </w:r>
    </w:p>
    <w:p>
      <w:pPr>
        <w:pStyle w:val="BodyText"/>
      </w:pPr>
    </w:p>
    <w:p>
      <w:pPr>
        <w:pStyle w:val="BodyText"/>
      </w:pPr>
    </w:p>
    <w:p>
      <w:pPr>
        <w:pStyle w:val="Heading1"/>
        <w:numPr>
          <w:ilvl w:val="2"/>
          <w:numId w:val="53"/>
        </w:numPr>
        <w:tabs>
          <w:tab w:pos="837" w:val="left" w:leader="none"/>
        </w:tabs>
        <w:spacing w:line="360" w:lineRule="auto" w:before="186" w:after="0"/>
        <w:ind w:left="836" w:right="122" w:hanging="720"/>
        <w:jc w:val="both"/>
      </w:pPr>
      <w:r>
        <w:rPr/>
        <w:t>Cuenta con los recursos materiales (computadora, escritorio, archiveros, papelería, etc.) para realizar sus actividades laborales vs porcentaje de transparencia</w:t>
      </w:r>
      <w:r>
        <w:rPr>
          <w:spacing w:val="-7"/>
        </w:rPr>
        <w:t> </w:t>
      </w:r>
      <w:r>
        <w:rPr/>
        <w:t>2015.</w:t>
      </w:r>
    </w:p>
    <w:p>
      <w:pPr>
        <w:pStyle w:val="BodyText"/>
        <w:rPr>
          <w:b/>
          <w:sz w:val="20"/>
        </w:rPr>
      </w:pPr>
    </w:p>
    <w:p>
      <w:pPr>
        <w:pStyle w:val="BodyText"/>
        <w:spacing w:before="7"/>
        <w:rPr>
          <w:b/>
          <w:sz w:val="19"/>
        </w:rPr>
      </w:pPr>
    </w:p>
    <w:tbl>
      <w:tblPr>
        <w:tblW w:w="0" w:type="auto"/>
        <w:jc w:val="left"/>
        <w:tblInd w:w="27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08"/>
        <w:gridCol w:w="1277"/>
        <w:gridCol w:w="914"/>
      </w:tblGrid>
      <w:tr>
        <w:trPr>
          <w:trHeight w:val="848" w:hRule="exact"/>
        </w:trPr>
        <w:tc>
          <w:tcPr>
            <w:tcW w:w="3599" w:type="dxa"/>
            <w:gridSpan w:val="3"/>
            <w:shd w:val="clear" w:color="auto" w:fill="92D050"/>
          </w:tcPr>
          <w:p>
            <w:pPr>
              <w:pStyle w:val="TableParagraph"/>
              <w:ind w:left="99" w:right="96" w:hanging="3"/>
              <w:rPr>
                <w:b/>
                <w:sz w:val="18"/>
              </w:rPr>
            </w:pPr>
            <w:r>
              <w:rPr>
                <w:b/>
                <w:sz w:val="18"/>
              </w:rPr>
              <w:t>Tabla 3.78: Cuenta con los recursos materiales (computadora, escritorio, archiveros, papelería, etc.) para realizar sus actividades laborales</w:t>
            </w:r>
          </w:p>
        </w:tc>
      </w:tr>
      <w:tr>
        <w:trPr>
          <w:trHeight w:val="289" w:hRule="exact"/>
        </w:trPr>
        <w:tc>
          <w:tcPr>
            <w:tcW w:w="1408" w:type="dxa"/>
            <w:vMerge w:val="restart"/>
            <w:shd w:val="clear" w:color="auto" w:fill="92D050"/>
          </w:tcPr>
          <w:p>
            <w:pPr>
              <w:pStyle w:val="TableParagraph"/>
              <w:spacing w:before="10"/>
              <w:jc w:val="left"/>
              <w:rPr>
                <w:b/>
                <w:sz w:val="25"/>
              </w:rPr>
            </w:pPr>
          </w:p>
          <w:p>
            <w:pPr>
              <w:pStyle w:val="TableParagraph"/>
              <w:ind w:left="452"/>
              <w:jc w:val="left"/>
              <w:rPr>
                <w:b/>
                <w:sz w:val="18"/>
              </w:rPr>
            </w:pPr>
            <w:r>
              <w:rPr>
                <w:b/>
                <w:sz w:val="18"/>
              </w:rPr>
              <w:t>Clase</w:t>
            </w:r>
          </w:p>
        </w:tc>
        <w:tc>
          <w:tcPr>
            <w:tcW w:w="2192" w:type="dxa"/>
            <w:gridSpan w:val="2"/>
            <w:shd w:val="clear" w:color="auto" w:fill="92D050"/>
          </w:tcPr>
          <w:p>
            <w:pPr>
              <w:pStyle w:val="TableParagraph"/>
              <w:spacing w:before="26"/>
              <w:ind w:left="867" w:right="865"/>
              <w:rPr>
                <w:b/>
                <w:sz w:val="18"/>
              </w:rPr>
            </w:pPr>
            <w:r>
              <w:rPr>
                <w:b/>
                <w:sz w:val="18"/>
              </w:rPr>
              <w:t>2015</w:t>
            </w:r>
          </w:p>
        </w:tc>
      </w:tr>
      <w:tr>
        <w:trPr>
          <w:trHeight w:val="545" w:hRule="exact"/>
        </w:trPr>
        <w:tc>
          <w:tcPr>
            <w:tcW w:w="1408" w:type="dxa"/>
            <w:vMerge/>
            <w:shd w:val="clear" w:color="auto" w:fill="92D050"/>
          </w:tcPr>
          <w:p>
            <w:pPr/>
          </w:p>
        </w:tc>
        <w:tc>
          <w:tcPr>
            <w:tcW w:w="1277" w:type="dxa"/>
            <w:shd w:val="clear" w:color="auto" w:fill="92D050"/>
          </w:tcPr>
          <w:p>
            <w:pPr>
              <w:pStyle w:val="TableParagraph"/>
              <w:spacing w:before="155"/>
              <w:ind w:left="151"/>
              <w:jc w:val="left"/>
              <w:rPr>
                <w:b/>
                <w:sz w:val="18"/>
              </w:rPr>
            </w:pPr>
            <w:r>
              <w:rPr>
                <w:b/>
                <w:sz w:val="18"/>
              </w:rPr>
              <w:t>Frecuencia</w:t>
            </w:r>
          </w:p>
        </w:tc>
        <w:tc>
          <w:tcPr>
            <w:tcW w:w="914" w:type="dxa"/>
            <w:shd w:val="clear" w:color="auto" w:fill="92D050"/>
          </w:tcPr>
          <w:p>
            <w:pPr>
              <w:pStyle w:val="TableParagraph"/>
              <w:spacing w:before="155"/>
              <w:rPr>
                <w:b/>
                <w:sz w:val="18"/>
              </w:rPr>
            </w:pPr>
            <w:r>
              <w:rPr>
                <w:b/>
                <w:w w:val="99"/>
                <w:sz w:val="18"/>
              </w:rPr>
              <w:t>%</w:t>
            </w:r>
          </w:p>
        </w:tc>
      </w:tr>
      <w:tr>
        <w:trPr>
          <w:trHeight w:val="271" w:hRule="exact"/>
        </w:trPr>
        <w:tc>
          <w:tcPr>
            <w:tcW w:w="1408" w:type="dxa"/>
            <w:tcBorders>
              <w:left w:val="single" w:sz="4" w:space="0" w:color="000000"/>
              <w:bottom w:val="single" w:sz="4" w:space="0" w:color="000000"/>
              <w:right w:val="single" w:sz="4" w:space="0" w:color="000000"/>
            </w:tcBorders>
          </w:tcPr>
          <w:p>
            <w:pPr>
              <w:pStyle w:val="TableParagraph"/>
              <w:spacing w:before="49"/>
              <w:ind w:left="66"/>
              <w:jc w:val="left"/>
              <w:rPr>
                <w:sz w:val="18"/>
              </w:rPr>
            </w:pPr>
            <w:r>
              <w:rPr>
                <w:sz w:val="18"/>
              </w:rPr>
              <w:t>Nunca</w:t>
            </w:r>
          </w:p>
        </w:tc>
        <w:tc>
          <w:tcPr>
            <w:tcW w:w="1277" w:type="dxa"/>
            <w:tcBorders>
              <w:left w:val="single" w:sz="4" w:space="0" w:color="000000"/>
              <w:bottom w:val="single" w:sz="4" w:space="0" w:color="000000"/>
              <w:right w:val="single" w:sz="4" w:space="0" w:color="000000"/>
            </w:tcBorders>
          </w:tcPr>
          <w:p>
            <w:pPr>
              <w:pStyle w:val="TableParagraph"/>
              <w:spacing w:before="49"/>
              <w:ind w:right="65"/>
              <w:jc w:val="right"/>
              <w:rPr>
                <w:sz w:val="18"/>
              </w:rPr>
            </w:pPr>
            <w:r>
              <w:rPr>
                <w:w w:val="99"/>
                <w:sz w:val="18"/>
              </w:rPr>
              <w:t>0</w:t>
            </w:r>
          </w:p>
        </w:tc>
        <w:tc>
          <w:tcPr>
            <w:tcW w:w="914" w:type="dxa"/>
            <w:tcBorders>
              <w:left w:val="single" w:sz="4" w:space="0" w:color="000000"/>
              <w:bottom w:val="single" w:sz="4" w:space="0" w:color="000000"/>
              <w:right w:val="single" w:sz="4" w:space="0" w:color="000000"/>
            </w:tcBorders>
          </w:tcPr>
          <w:p>
            <w:pPr>
              <w:pStyle w:val="TableParagraph"/>
              <w:spacing w:before="49"/>
              <w:ind w:right="60"/>
              <w:jc w:val="right"/>
              <w:rPr>
                <w:sz w:val="18"/>
              </w:rPr>
            </w:pPr>
            <w:r>
              <w:rPr>
                <w:w w:val="95"/>
                <w:sz w:val="18"/>
              </w:rPr>
              <w:t>0%</w:t>
            </w:r>
          </w:p>
        </w:tc>
      </w:tr>
      <w:tr>
        <w:trPr>
          <w:trHeight w:val="264" w:hRule="exact"/>
        </w:trPr>
        <w:tc>
          <w:tcPr>
            <w:tcW w:w="1408" w:type="dxa"/>
            <w:tcBorders>
              <w:top w:val="single" w:sz="4" w:space="0" w:color="000000"/>
              <w:left w:val="single" w:sz="4" w:space="0" w:color="000000"/>
              <w:bottom w:val="single" w:sz="4" w:space="0" w:color="000000"/>
              <w:right w:val="single" w:sz="4" w:space="0" w:color="000000"/>
            </w:tcBorders>
          </w:tcPr>
          <w:p>
            <w:pPr>
              <w:pStyle w:val="TableParagraph"/>
              <w:spacing w:before="47"/>
              <w:ind w:left="66"/>
              <w:jc w:val="left"/>
              <w:rPr>
                <w:sz w:val="18"/>
              </w:rPr>
            </w:pPr>
            <w:r>
              <w:rPr>
                <w:sz w:val="18"/>
              </w:rPr>
              <w:t>Casi nunca</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47"/>
              <w:ind w:right="65"/>
              <w:jc w:val="right"/>
              <w:rPr>
                <w:sz w:val="18"/>
              </w:rPr>
            </w:pPr>
            <w:r>
              <w:rPr>
                <w:w w:val="99"/>
                <w:sz w:val="18"/>
              </w:rPr>
              <w:t>3</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47.03%</w:t>
            </w:r>
          </w:p>
        </w:tc>
      </w:tr>
      <w:tr>
        <w:trPr>
          <w:trHeight w:val="266" w:hRule="exact"/>
        </w:trPr>
        <w:tc>
          <w:tcPr>
            <w:tcW w:w="1408" w:type="dxa"/>
            <w:tcBorders>
              <w:top w:val="single" w:sz="4" w:space="0" w:color="000000"/>
              <w:left w:val="single" w:sz="4" w:space="0" w:color="000000"/>
              <w:bottom w:val="single" w:sz="4" w:space="0" w:color="000000"/>
              <w:right w:val="single" w:sz="4" w:space="0" w:color="000000"/>
            </w:tcBorders>
          </w:tcPr>
          <w:p>
            <w:pPr>
              <w:pStyle w:val="TableParagraph"/>
              <w:spacing w:before="47"/>
              <w:ind w:left="66"/>
              <w:jc w:val="left"/>
              <w:rPr>
                <w:sz w:val="18"/>
              </w:rPr>
            </w:pPr>
            <w:r>
              <w:rPr>
                <w:sz w:val="18"/>
              </w:rPr>
              <w:t>Casi siempre</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47"/>
              <w:ind w:right="62"/>
              <w:jc w:val="right"/>
              <w:rPr>
                <w:sz w:val="18"/>
              </w:rPr>
            </w:pPr>
            <w:r>
              <w:rPr>
                <w:sz w:val="18"/>
              </w:rPr>
              <w:t>16</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27.51%</w:t>
            </w:r>
          </w:p>
        </w:tc>
      </w:tr>
      <w:tr>
        <w:trPr>
          <w:trHeight w:val="264" w:hRule="exact"/>
        </w:trPr>
        <w:tc>
          <w:tcPr>
            <w:tcW w:w="1408" w:type="dxa"/>
            <w:tcBorders>
              <w:top w:val="single" w:sz="4" w:space="0" w:color="000000"/>
              <w:left w:val="single" w:sz="4" w:space="0" w:color="000000"/>
              <w:bottom w:val="single" w:sz="4" w:space="0" w:color="000000"/>
              <w:right w:val="single" w:sz="4" w:space="0" w:color="000000"/>
            </w:tcBorders>
          </w:tcPr>
          <w:p>
            <w:pPr>
              <w:pStyle w:val="TableParagraph"/>
              <w:spacing w:before="47"/>
              <w:ind w:left="66"/>
              <w:jc w:val="left"/>
              <w:rPr>
                <w:sz w:val="18"/>
              </w:rPr>
            </w:pPr>
            <w:r>
              <w:rPr>
                <w:sz w:val="18"/>
              </w:rPr>
              <w:t>Siempre</w:t>
            </w:r>
          </w:p>
        </w:tc>
        <w:tc>
          <w:tcPr>
            <w:tcW w:w="1277" w:type="dxa"/>
            <w:tcBorders>
              <w:top w:val="single" w:sz="4" w:space="0" w:color="000000"/>
              <w:left w:val="single" w:sz="4" w:space="0" w:color="000000"/>
              <w:bottom w:val="single" w:sz="4" w:space="0" w:color="000000"/>
              <w:right w:val="single" w:sz="4" w:space="0" w:color="000000"/>
            </w:tcBorders>
          </w:tcPr>
          <w:p>
            <w:pPr>
              <w:pStyle w:val="TableParagraph"/>
              <w:spacing w:before="47"/>
              <w:ind w:right="62"/>
              <w:jc w:val="right"/>
              <w:rPr>
                <w:sz w:val="18"/>
              </w:rPr>
            </w:pPr>
            <w:r>
              <w:rPr>
                <w:sz w:val="18"/>
              </w:rPr>
              <w:t>27</w:t>
            </w:r>
          </w:p>
        </w:tc>
        <w:tc>
          <w:tcPr>
            <w:tcW w:w="914"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34.14%</w:t>
            </w:r>
          </w:p>
        </w:tc>
      </w:tr>
    </w:tbl>
    <w:p>
      <w:pPr>
        <w:spacing w:before="68"/>
        <w:ind w:left="2865" w:right="26" w:firstLine="0"/>
        <w:jc w:val="left"/>
        <w:rPr>
          <w:sz w:val="16"/>
        </w:rPr>
      </w:pPr>
      <w:r>
        <w:rPr>
          <w:sz w:val="16"/>
        </w:rPr>
        <w:t>Fuente: Elaboración propia</w:t>
      </w:r>
    </w:p>
    <w:p>
      <w:pPr>
        <w:pStyle w:val="BodyText"/>
        <w:rPr>
          <w:sz w:val="20"/>
        </w:rPr>
      </w:pPr>
    </w:p>
    <w:p>
      <w:pPr>
        <w:pStyle w:val="BodyText"/>
      </w:pPr>
    </w:p>
    <w:p>
      <w:pPr>
        <w:pStyle w:val="BodyText"/>
        <w:spacing w:line="360" w:lineRule="auto" w:before="70"/>
        <w:ind w:left="128" w:right="115"/>
        <w:jc w:val="both"/>
      </w:pPr>
      <w:r>
        <w:rPr/>
        <w:t>En la tabla anterior se muestran los resultados obtenidos de hacer el cruce de las variables del cumplimiento de la ley de transparencia en relación a si cuenta con</w:t>
      </w:r>
      <w:r>
        <w:rPr>
          <w:spacing w:val="-32"/>
        </w:rPr>
        <w:t> </w:t>
      </w:r>
      <w:r>
        <w:rPr/>
        <w:t>los recursos materiales para realizar sus actividades laborales de los responsables de la transparencia en los gobiernos municipales. Los resultados obtenidos muestran cómo</w:t>
      </w:r>
      <w:r>
        <w:rPr>
          <w:spacing w:val="-16"/>
        </w:rPr>
        <w:t> </w:t>
      </w:r>
      <w:r>
        <w:rPr/>
        <w:t>los</w:t>
      </w:r>
      <w:r>
        <w:rPr>
          <w:spacing w:val="-14"/>
        </w:rPr>
        <w:t> </w:t>
      </w:r>
      <w:r>
        <w:rPr/>
        <w:t>responsables</w:t>
      </w:r>
      <w:r>
        <w:rPr>
          <w:spacing w:val="-17"/>
        </w:rPr>
        <w:t> </w:t>
      </w:r>
      <w:r>
        <w:rPr/>
        <w:t>de</w:t>
      </w:r>
      <w:r>
        <w:rPr>
          <w:spacing w:val="-14"/>
        </w:rPr>
        <w:t> </w:t>
      </w:r>
      <w:r>
        <w:rPr/>
        <w:t>la</w:t>
      </w:r>
      <w:r>
        <w:rPr>
          <w:spacing w:val="-14"/>
        </w:rPr>
        <w:t> </w:t>
      </w:r>
      <w:r>
        <w:rPr/>
        <w:t>transparencia</w:t>
      </w:r>
      <w:r>
        <w:rPr>
          <w:spacing w:val="-14"/>
        </w:rPr>
        <w:t> </w:t>
      </w:r>
      <w:r>
        <w:rPr/>
        <w:t>que</w:t>
      </w:r>
      <w:r>
        <w:rPr>
          <w:spacing w:val="-14"/>
        </w:rPr>
        <w:t> </w:t>
      </w:r>
      <w:r>
        <w:rPr/>
        <w:t>obtuvieron</w:t>
      </w:r>
      <w:r>
        <w:rPr>
          <w:spacing w:val="-14"/>
        </w:rPr>
        <w:t> </w:t>
      </w:r>
      <w:r>
        <w:rPr/>
        <w:t>el</w:t>
      </w:r>
      <w:r>
        <w:rPr>
          <w:spacing w:val="-15"/>
        </w:rPr>
        <w:t> </w:t>
      </w:r>
      <w:r>
        <w:rPr/>
        <w:t>primer</w:t>
      </w:r>
      <w:r>
        <w:rPr>
          <w:spacing w:val="-16"/>
        </w:rPr>
        <w:t> </w:t>
      </w:r>
      <w:r>
        <w:rPr/>
        <w:t>lugar</w:t>
      </w:r>
      <w:r>
        <w:rPr>
          <w:spacing w:val="-16"/>
        </w:rPr>
        <w:t> </w:t>
      </w:r>
      <w:r>
        <w:rPr/>
        <w:t>dijeron</w:t>
      </w:r>
      <w:r>
        <w:rPr>
          <w:spacing w:val="-14"/>
        </w:rPr>
        <w:t> </w:t>
      </w:r>
      <w:r>
        <w:rPr/>
        <w:t>que casi nunca cuentan con los recursos materiales con un 47.03%, en segundo lugar, están los que siempre cuentan con los recursos materiales para el desempeños de sus</w:t>
      </w:r>
      <w:r>
        <w:rPr>
          <w:spacing w:val="-3"/>
        </w:rPr>
        <w:t> </w:t>
      </w:r>
      <w:r>
        <w:rPr/>
        <w:t>actividades</w:t>
      </w:r>
      <w:r>
        <w:rPr>
          <w:spacing w:val="-3"/>
        </w:rPr>
        <w:t> </w:t>
      </w:r>
      <w:r>
        <w:rPr/>
        <w:t>con</w:t>
      </w:r>
      <w:r>
        <w:rPr>
          <w:spacing w:val="-5"/>
        </w:rPr>
        <w:t> </w:t>
      </w:r>
      <w:r>
        <w:rPr/>
        <w:t>un</w:t>
      </w:r>
      <w:r>
        <w:rPr>
          <w:spacing w:val="-5"/>
        </w:rPr>
        <w:t> </w:t>
      </w:r>
      <w:r>
        <w:rPr/>
        <w:t>34.14%</w:t>
      </w:r>
      <w:r>
        <w:rPr>
          <w:spacing w:val="-3"/>
        </w:rPr>
        <w:t> </w:t>
      </w:r>
      <w:r>
        <w:rPr/>
        <w:t>y</w:t>
      </w:r>
      <w:r>
        <w:rPr>
          <w:spacing w:val="-6"/>
        </w:rPr>
        <w:t> </w:t>
      </w:r>
      <w:r>
        <w:rPr/>
        <w:t>en</w:t>
      </w:r>
      <w:r>
        <w:rPr>
          <w:spacing w:val="-3"/>
        </w:rPr>
        <w:t> </w:t>
      </w:r>
      <w:r>
        <w:rPr/>
        <w:t>tercer</w:t>
      </w:r>
      <w:r>
        <w:rPr>
          <w:spacing w:val="-4"/>
        </w:rPr>
        <w:t> </w:t>
      </w:r>
      <w:r>
        <w:rPr/>
        <w:t>lugar</w:t>
      </w:r>
      <w:r>
        <w:rPr>
          <w:spacing w:val="-4"/>
        </w:rPr>
        <w:t> </w:t>
      </w:r>
      <w:r>
        <w:rPr/>
        <w:t>se</w:t>
      </w:r>
      <w:r>
        <w:rPr>
          <w:spacing w:val="-3"/>
        </w:rPr>
        <w:t> </w:t>
      </w:r>
      <w:r>
        <w:rPr/>
        <w:t>encuentran</w:t>
      </w:r>
      <w:r>
        <w:rPr>
          <w:spacing w:val="-3"/>
        </w:rPr>
        <w:t> </w:t>
      </w:r>
      <w:r>
        <w:rPr/>
        <w:t>los</w:t>
      </w:r>
      <w:r>
        <w:rPr>
          <w:spacing w:val="-5"/>
        </w:rPr>
        <w:t> </w:t>
      </w:r>
      <w:r>
        <w:rPr/>
        <w:t>que</w:t>
      </w:r>
      <w:r>
        <w:rPr>
          <w:spacing w:val="-3"/>
        </w:rPr>
        <w:t> </w:t>
      </w:r>
      <w:r>
        <w:rPr/>
        <w:t>casi</w:t>
      </w:r>
      <w:r>
        <w:rPr>
          <w:spacing w:val="-4"/>
        </w:rPr>
        <w:t> </w:t>
      </w:r>
      <w:r>
        <w:rPr/>
        <w:t>siempre cuentan con este tipo de recursos con un</w:t>
      </w:r>
      <w:r>
        <w:rPr>
          <w:spacing w:val="-19"/>
        </w:rPr>
        <w:t> </w:t>
      </w:r>
      <w:r>
        <w:rPr/>
        <w:t>27.51%.</w:t>
      </w:r>
    </w:p>
    <w:p>
      <w:pPr>
        <w:spacing w:after="0" w:line="360" w:lineRule="auto"/>
        <w:jc w:val="both"/>
        <w:sectPr>
          <w:pgSz w:w="12240" w:h="15840"/>
          <w:pgMar w:header="0" w:footer="1035" w:top="1360" w:bottom="1220" w:left="1480" w:right="1580"/>
        </w:sectPr>
      </w:pPr>
    </w:p>
    <w:p>
      <w:pPr>
        <w:pStyle w:val="BodyText"/>
        <w:spacing w:line="362" w:lineRule="auto" w:before="54"/>
        <w:ind w:left="128" w:right="26"/>
      </w:pPr>
      <w:r>
        <w:rPr/>
        <w:t>En un sentido retroactivo del periodo de administración 2013 -2015 la siguiente tabla muestra el promedio de cumplimiento de la ley de transparencia:</w:t>
      </w:r>
    </w:p>
    <w:p>
      <w:pPr>
        <w:pStyle w:val="BodyText"/>
        <w:rPr>
          <w:sz w:val="20"/>
        </w:rPr>
      </w:pPr>
    </w:p>
    <w:p>
      <w:pPr>
        <w:pStyle w:val="BodyText"/>
        <w:rPr>
          <w:sz w:val="20"/>
        </w:rPr>
      </w:pPr>
    </w:p>
    <w:p>
      <w:pPr>
        <w:pStyle w:val="BodyText"/>
        <w:spacing w:before="1"/>
      </w:pPr>
    </w:p>
    <w:tbl>
      <w:tblPr>
        <w:tblW w:w="0" w:type="auto"/>
        <w:jc w:val="left"/>
        <w:tblInd w:w="15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01"/>
        <w:gridCol w:w="1200"/>
        <w:gridCol w:w="1200"/>
        <w:gridCol w:w="1200"/>
        <w:gridCol w:w="1200"/>
      </w:tblGrid>
      <w:tr>
        <w:trPr>
          <w:trHeight w:val="641" w:hRule="exact"/>
        </w:trPr>
        <w:tc>
          <w:tcPr>
            <w:tcW w:w="6001" w:type="dxa"/>
            <w:gridSpan w:val="5"/>
            <w:shd w:val="clear" w:color="auto" w:fill="92D050"/>
          </w:tcPr>
          <w:p>
            <w:pPr>
              <w:pStyle w:val="TableParagraph"/>
              <w:ind w:left="143" w:right="145" w:firstLine="4"/>
              <w:rPr>
                <w:b/>
                <w:sz w:val="18"/>
              </w:rPr>
            </w:pPr>
            <w:r>
              <w:rPr>
                <w:b/>
                <w:sz w:val="18"/>
              </w:rPr>
              <w:t>Tabla 3.79: Cuenta con los recursos materiales (computadora, escritorio, archiveros, papelería, etc.) para realizar sus actividades laborales</w:t>
            </w:r>
          </w:p>
        </w:tc>
      </w:tr>
      <w:tr>
        <w:trPr>
          <w:trHeight w:val="544" w:hRule="exact"/>
        </w:trPr>
        <w:tc>
          <w:tcPr>
            <w:tcW w:w="1201" w:type="dxa"/>
            <w:shd w:val="clear" w:color="auto" w:fill="92D050"/>
          </w:tcPr>
          <w:p>
            <w:pPr>
              <w:pStyle w:val="TableParagraph"/>
              <w:spacing w:before="154"/>
              <w:ind w:left="350"/>
              <w:jc w:val="left"/>
              <w:rPr>
                <w:b/>
                <w:sz w:val="18"/>
              </w:rPr>
            </w:pPr>
            <w:r>
              <w:rPr>
                <w:b/>
                <w:sz w:val="18"/>
              </w:rPr>
              <w:t>Clase</w:t>
            </w:r>
          </w:p>
        </w:tc>
        <w:tc>
          <w:tcPr>
            <w:tcW w:w="1200" w:type="dxa"/>
            <w:tcBorders>
              <w:bottom w:val="single" w:sz="4" w:space="0" w:color="000000"/>
            </w:tcBorders>
            <w:shd w:val="clear" w:color="auto" w:fill="92D050"/>
          </w:tcPr>
          <w:p>
            <w:pPr>
              <w:pStyle w:val="TableParagraph"/>
              <w:spacing w:before="154"/>
              <w:ind w:left="391" w:right="155"/>
              <w:jc w:val="left"/>
              <w:rPr>
                <w:b/>
                <w:sz w:val="18"/>
              </w:rPr>
            </w:pPr>
            <w:r>
              <w:rPr>
                <w:b/>
                <w:sz w:val="18"/>
              </w:rPr>
              <w:t>2013</w:t>
            </w:r>
          </w:p>
        </w:tc>
        <w:tc>
          <w:tcPr>
            <w:tcW w:w="1200" w:type="dxa"/>
            <w:tcBorders>
              <w:bottom w:val="single" w:sz="4" w:space="0" w:color="000000"/>
            </w:tcBorders>
            <w:shd w:val="clear" w:color="auto" w:fill="92D050"/>
          </w:tcPr>
          <w:p>
            <w:pPr>
              <w:pStyle w:val="TableParagraph"/>
              <w:spacing w:before="154"/>
              <w:ind w:left="391"/>
              <w:jc w:val="left"/>
              <w:rPr>
                <w:b/>
                <w:sz w:val="18"/>
              </w:rPr>
            </w:pPr>
            <w:r>
              <w:rPr>
                <w:b/>
                <w:sz w:val="18"/>
              </w:rPr>
              <w:t>2014</w:t>
            </w:r>
          </w:p>
        </w:tc>
        <w:tc>
          <w:tcPr>
            <w:tcW w:w="1200" w:type="dxa"/>
            <w:tcBorders>
              <w:bottom w:val="single" w:sz="4" w:space="0" w:color="000000"/>
            </w:tcBorders>
            <w:shd w:val="clear" w:color="auto" w:fill="92D050"/>
          </w:tcPr>
          <w:p>
            <w:pPr>
              <w:pStyle w:val="TableParagraph"/>
              <w:spacing w:before="154"/>
              <w:ind w:left="391" w:right="155"/>
              <w:jc w:val="left"/>
              <w:rPr>
                <w:b/>
                <w:sz w:val="18"/>
              </w:rPr>
            </w:pPr>
            <w:r>
              <w:rPr>
                <w:b/>
                <w:sz w:val="18"/>
              </w:rPr>
              <w:t>2015</w:t>
            </w:r>
          </w:p>
        </w:tc>
        <w:tc>
          <w:tcPr>
            <w:tcW w:w="1200" w:type="dxa"/>
            <w:tcBorders>
              <w:bottom w:val="single" w:sz="4" w:space="0" w:color="000000"/>
            </w:tcBorders>
            <w:shd w:val="clear" w:color="auto" w:fill="92D050"/>
          </w:tcPr>
          <w:p>
            <w:pPr>
              <w:pStyle w:val="TableParagraph"/>
              <w:spacing w:before="50"/>
              <w:ind w:left="271" w:right="155" w:hanging="96"/>
              <w:jc w:val="left"/>
              <w:rPr>
                <w:b/>
                <w:sz w:val="18"/>
              </w:rPr>
            </w:pPr>
            <w:r>
              <w:rPr>
                <w:b/>
                <w:sz w:val="18"/>
              </w:rPr>
              <w:t>Promedio general</w:t>
            </w:r>
          </w:p>
        </w:tc>
      </w:tr>
      <w:tr>
        <w:trPr>
          <w:trHeight w:val="271" w:hRule="exact"/>
        </w:trPr>
        <w:tc>
          <w:tcPr>
            <w:tcW w:w="1201" w:type="dxa"/>
            <w:tcBorders>
              <w:left w:val="single" w:sz="4" w:space="0" w:color="000000"/>
              <w:bottom w:val="single" w:sz="4" w:space="0" w:color="000000"/>
              <w:right w:val="single" w:sz="4" w:space="0" w:color="000000"/>
            </w:tcBorders>
          </w:tcPr>
          <w:p>
            <w:pPr>
              <w:pStyle w:val="TableParagraph"/>
              <w:spacing w:before="49"/>
              <w:ind w:left="67"/>
              <w:jc w:val="left"/>
              <w:rPr>
                <w:sz w:val="18"/>
              </w:rPr>
            </w:pPr>
            <w:r>
              <w:rPr>
                <w:sz w:val="18"/>
              </w:rPr>
              <w:t>Nunca</w:t>
            </w:r>
          </w:p>
        </w:tc>
        <w:tc>
          <w:tcPr>
            <w:tcW w:w="1200" w:type="dxa"/>
            <w:tcBorders>
              <w:top w:val="single" w:sz="4" w:space="0" w:color="000000"/>
              <w:left w:val="single" w:sz="4" w:space="0" w:color="000000"/>
              <w:bottom w:val="single" w:sz="4" w:space="0" w:color="000000"/>
              <w:right w:val="single" w:sz="4" w:space="0" w:color="000000"/>
            </w:tcBorders>
          </w:tcPr>
          <w:p>
            <w:pPr/>
          </w:p>
        </w:tc>
        <w:tc>
          <w:tcPr>
            <w:tcW w:w="1200" w:type="dxa"/>
            <w:tcBorders>
              <w:top w:val="single" w:sz="4" w:space="0" w:color="000000"/>
              <w:left w:val="single" w:sz="4" w:space="0" w:color="000000"/>
              <w:bottom w:val="single" w:sz="4" w:space="0" w:color="000000"/>
              <w:right w:val="single" w:sz="4" w:space="0" w:color="000000"/>
            </w:tcBorders>
          </w:tcPr>
          <w:p>
            <w:pPr/>
          </w:p>
        </w:tc>
        <w:tc>
          <w:tcPr>
            <w:tcW w:w="1200" w:type="dxa"/>
            <w:tcBorders>
              <w:top w:val="single" w:sz="4" w:space="0" w:color="000000"/>
              <w:left w:val="single" w:sz="4" w:space="0" w:color="000000"/>
              <w:bottom w:val="single" w:sz="4" w:space="0" w:color="000000"/>
              <w:right w:val="single" w:sz="4" w:space="0" w:color="000000"/>
            </w:tcBorders>
          </w:tcPr>
          <w:p>
            <w:pPr/>
          </w:p>
        </w:tc>
        <w:tc>
          <w:tcPr>
            <w:tcW w:w="1200" w:type="dxa"/>
            <w:tcBorders>
              <w:top w:val="single" w:sz="4" w:space="0" w:color="000000"/>
              <w:left w:val="single" w:sz="4" w:space="0" w:color="000000"/>
              <w:bottom w:val="single" w:sz="4" w:space="0" w:color="000000"/>
              <w:right w:val="single" w:sz="4" w:space="0" w:color="000000"/>
            </w:tcBorders>
          </w:tcPr>
          <w:p>
            <w:pPr/>
          </w:p>
        </w:tc>
      </w:tr>
      <w:tr>
        <w:trPr>
          <w:trHeight w:val="264" w:hRule="exact"/>
        </w:trPr>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Casi nunca</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S/I</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95.52%</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47.03%</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71.28%</w:t>
            </w:r>
          </w:p>
        </w:tc>
      </w:tr>
      <w:tr>
        <w:trPr>
          <w:trHeight w:val="266" w:hRule="exact"/>
        </w:trPr>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9"/>
              <w:ind w:left="67"/>
              <w:jc w:val="left"/>
              <w:rPr>
                <w:sz w:val="18"/>
              </w:rPr>
            </w:pPr>
            <w:r>
              <w:rPr>
                <w:sz w:val="18"/>
              </w:rPr>
              <w:t>Casi siempre</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9"/>
              <w:ind w:left="67"/>
              <w:jc w:val="left"/>
              <w:rPr>
                <w:sz w:val="18"/>
              </w:rPr>
            </w:pPr>
            <w:r>
              <w:rPr>
                <w:sz w:val="18"/>
              </w:rPr>
              <w:t>S/I</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9"/>
              <w:ind w:right="59"/>
              <w:jc w:val="right"/>
              <w:rPr>
                <w:sz w:val="18"/>
              </w:rPr>
            </w:pPr>
            <w:r>
              <w:rPr>
                <w:sz w:val="18"/>
              </w:rPr>
              <w:t>76.99%</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9"/>
              <w:ind w:right="59"/>
              <w:jc w:val="right"/>
              <w:rPr>
                <w:sz w:val="18"/>
              </w:rPr>
            </w:pPr>
            <w:r>
              <w:rPr>
                <w:sz w:val="18"/>
              </w:rPr>
              <w:t>27.51%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9"/>
              <w:ind w:right="59"/>
              <w:jc w:val="right"/>
              <w:rPr>
                <w:sz w:val="18"/>
              </w:rPr>
            </w:pPr>
            <w:r>
              <w:rPr>
                <w:sz w:val="18"/>
              </w:rPr>
              <w:t>52.25%</w:t>
            </w:r>
          </w:p>
        </w:tc>
      </w:tr>
      <w:tr>
        <w:trPr>
          <w:trHeight w:val="265" w:hRule="exact"/>
        </w:trPr>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Siempre</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518"/>
              <w:jc w:val="left"/>
              <w:rPr>
                <w:sz w:val="18"/>
              </w:rPr>
            </w:pPr>
            <w:r>
              <w:rPr>
                <w:sz w:val="18"/>
              </w:rPr>
              <w:t>90.21%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64.66%</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34.14%</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63.00%</w:t>
            </w:r>
          </w:p>
        </w:tc>
      </w:tr>
    </w:tbl>
    <w:p>
      <w:pPr>
        <w:spacing w:before="47"/>
        <w:ind w:left="1664" w:right="26" w:firstLine="0"/>
        <w:jc w:val="left"/>
        <w:rPr>
          <w:sz w:val="18"/>
        </w:rPr>
      </w:pPr>
      <w:r>
        <w:rPr>
          <w:sz w:val="18"/>
        </w:rPr>
        <w:t>Fuente: Elaboración propia</w:t>
      </w:r>
    </w:p>
    <w:p>
      <w:pPr>
        <w:pStyle w:val="BodyText"/>
        <w:rPr>
          <w:sz w:val="20"/>
        </w:rPr>
      </w:pPr>
    </w:p>
    <w:p>
      <w:pPr>
        <w:pStyle w:val="BodyText"/>
        <w:spacing w:before="10"/>
        <w:rPr>
          <w:sz w:val="23"/>
        </w:rPr>
      </w:pPr>
    </w:p>
    <w:p>
      <w:pPr>
        <w:pStyle w:val="BodyText"/>
        <w:spacing w:line="360" w:lineRule="auto" w:before="70"/>
        <w:ind w:left="128" w:right="117"/>
        <w:jc w:val="both"/>
      </w:pPr>
      <w:r>
        <w:rPr/>
        <w:t>Durante el periodo que comprende el 2013-2015 se tuvo un promedio de cumplimiento de la ley tal como se describe a continuación: en primer lugar se encuentran los representantes que casi nunca cuentan con los recursos materiales para el desempeño de sus actividades obteniendo un 71.28%, en segundo lugar se encuentran los que siempre cuentan con los recursos obteniendo un 63.00%, en tercer lugar se encuentran los que casi siempre cuentan con los recursos para el desempeño de sus actividades con un 52.25%.</w:t>
      </w:r>
    </w:p>
    <w:p>
      <w:pPr>
        <w:pStyle w:val="BodyText"/>
      </w:pPr>
    </w:p>
    <w:p>
      <w:pPr>
        <w:pStyle w:val="BodyText"/>
      </w:pPr>
    </w:p>
    <w:p>
      <w:pPr>
        <w:pStyle w:val="Heading1"/>
        <w:numPr>
          <w:ilvl w:val="2"/>
          <w:numId w:val="53"/>
        </w:numPr>
        <w:tabs>
          <w:tab w:pos="837" w:val="left" w:leader="none"/>
        </w:tabs>
        <w:spacing w:line="360" w:lineRule="auto" w:before="185" w:after="0"/>
        <w:ind w:left="836" w:right="116" w:hanging="720"/>
        <w:jc w:val="both"/>
      </w:pPr>
      <w:r>
        <w:rPr/>
        <w:t>Cuenta con los recursos tecnológicos (Internet, programas para almacenar la información) para realizar sus actividades laborales vs porcentaje de transparencia</w:t>
      </w:r>
      <w:r>
        <w:rPr>
          <w:spacing w:val="-11"/>
        </w:rPr>
        <w:t> </w:t>
      </w:r>
      <w:r>
        <w:rPr/>
        <w:t>2015.</w:t>
      </w:r>
    </w:p>
    <w:p>
      <w:pPr>
        <w:pStyle w:val="BodyText"/>
        <w:rPr>
          <w:b/>
          <w:sz w:val="20"/>
        </w:rPr>
      </w:pPr>
    </w:p>
    <w:p>
      <w:pPr>
        <w:pStyle w:val="BodyText"/>
        <w:spacing w:before="7"/>
        <w:rPr>
          <w:b/>
          <w:sz w:val="19"/>
        </w:rPr>
      </w:pPr>
    </w:p>
    <w:tbl>
      <w:tblPr>
        <w:tblW w:w="0" w:type="auto"/>
        <w:jc w:val="left"/>
        <w:tblInd w:w="27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99"/>
        <w:gridCol w:w="1200"/>
        <w:gridCol w:w="1200"/>
      </w:tblGrid>
      <w:tr>
        <w:trPr>
          <w:trHeight w:val="848" w:hRule="exact"/>
        </w:trPr>
        <w:tc>
          <w:tcPr>
            <w:tcW w:w="3599" w:type="dxa"/>
            <w:gridSpan w:val="3"/>
            <w:shd w:val="clear" w:color="auto" w:fill="92D050"/>
          </w:tcPr>
          <w:p>
            <w:pPr>
              <w:pStyle w:val="TableParagraph"/>
              <w:ind w:left="118" w:right="117" w:hanging="1"/>
              <w:rPr>
                <w:b/>
                <w:sz w:val="18"/>
              </w:rPr>
            </w:pPr>
            <w:r>
              <w:rPr>
                <w:b/>
                <w:sz w:val="18"/>
              </w:rPr>
              <w:t>Tabla 3.80: Cuenta con los recursos tecnológicos (Internet, programas para almacenar la información) para realizar sus actividades laborales</w:t>
            </w:r>
          </w:p>
        </w:tc>
      </w:tr>
      <w:tr>
        <w:trPr>
          <w:trHeight w:val="290" w:hRule="exact"/>
        </w:trPr>
        <w:tc>
          <w:tcPr>
            <w:tcW w:w="1199" w:type="dxa"/>
            <w:vMerge w:val="restart"/>
            <w:shd w:val="clear" w:color="auto" w:fill="92D050"/>
          </w:tcPr>
          <w:p>
            <w:pPr>
              <w:pStyle w:val="TableParagraph"/>
              <w:jc w:val="left"/>
              <w:rPr>
                <w:b/>
                <w:sz w:val="26"/>
              </w:rPr>
            </w:pPr>
          </w:p>
          <w:p>
            <w:pPr>
              <w:pStyle w:val="TableParagraph"/>
              <w:ind w:left="349" w:right="157"/>
              <w:jc w:val="left"/>
              <w:rPr>
                <w:b/>
                <w:sz w:val="18"/>
              </w:rPr>
            </w:pPr>
            <w:r>
              <w:rPr>
                <w:b/>
                <w:sz w:val="18"/>
              </w:rPr>
              <w:t>Clase</w:t>
            </w:r>
          </w:p>
        </w:tc>
        <w:tc>
          <w:tcPr>
            <w:tcW w:w="2400" w:type="dxa"/>
            <w:gridSpan w:val="2"/>
            <w:shd w:val="clear" w:color="auto" w:fill="92D050"/>
          </w:tcPr>
          <w:p>
            <w:pPr>
              <w:pStyle w:val="TableParagraph"/>
              <w:spacing w:before="28"/>
              <w:ind w:left="970" w:right="966"/>
              <w:rPr>
                <w:b/>
                <w:sz w:val="18"/>
              </w:rPr>
            </w:pPr>
            <w:r>
              <w:rPr>
                <w:b/>
                <w:sz w:val="18"/>
              </w:rPr>
              <w:t>2015</w:t>
            </w:r>
          </w:p>
        </w:tc>
      </w:tr>
      <w:tr>
        <w:trPr>
          <w:trHeight w:val="545" w:hRule="exact"/>
        </w:trPr>
        <w:tc>
          <w:tcPr>
            <w:tcW w:w="1199" w:type="dxa"/>
            <w:vMerge/>
            <w:shd w:val="clear" w:color="auto" w:fill="92D050"/>
          </w:tcPr>
          <w:p>
            <w:pPr/>
          </w:p>
        </w:tc>
        <w:tc>
          <w:tcPr>
            <w:tcW w:w="1200" w:type="dxa"/>
            <w:shd w:val="clear" w:color="auto" w:fill="92D050"/>
          </w:tcPr>
          <w:p>
            <w:pPr>
              <w:pStyle w:val="TableParagraph"/>
              <w:spacing w:before="155"/>
              <w:ind w:left="117"/>
              <w:jc w:val="left"/>
              <w:rPr>
                <w:b/>
                <w:sz w:val="18"/>
              </w:rPr>
            </w:pPr>
            <w:r>
              <w:rPr>
                <w:b/>
                <w:sz w:val="18"/>
              </w:rPr>
              <w:t>Frecuencia</w:t>
            </w:r>
          </w:p>
        </w:tc>
        <w:tc>
          <w:tcPr>
            <w:tcW w:w="1200" w:type="dxa"/>
            <w:shd w:val="clear" w:color="auto" w:fill="92D050"/>
          </w:tcPr>
          <w:p>
            <w:pPr>
              <w:pStyle w:val="TableParagraph"/>
              <w:spacing w:before="155"/>
              <w:ind w:left="511"/>
              <w:jc w:val="left"/>
              <w:rPr>
                <w:b/>
                <w:sz w:val="18"/>
              </w:rPr>
            </w:pPr>
            <w:r>
              <w:rPr>
                <w:b/>
                <w:w w:val="99"/>
                <w:sz w:val="18"/>
              </w:rPr>
              <w:t>%</w:t>
            </w:r>
          </w:p>
        </w:tc>
      </w:tr>
      <w:tr>
        <w:trPr>
          <w:trHeight w:val="271" w:hRule="exact"/>
        </w:trPr>
        <w:tc>
          <w:tcPr>
            <w:tcW w:w="1199" w:type="dxa"/>
            <w:tcBorders>
              <w:left w:val="single" w:sz="4" w:space="0" w:color="000000"/>
              <w:bottom w:val="single" w:sz="4" w:space="0" w:color="000000"/>
              <w:right w:val="single" w:sz="4" w:space="0" w:color="000000"/>
            </w:tcBorders>
          </w:tcPr>
          <w:p>
            <w:pPr>
              <w:pStyle w:val="TableParagraph"/>
              <w:spacing w:before="47"/>
              <w:ind w:left="66"/>
              <w:jc w:val="left"/>
              <w:rPr>
                <w:sz w:val="18"/>
              </w:rPr>
            </w:pPr>
            <w:r>
              <w:rPr>
                <w:sz w:val="18"/>
              </w:rPr>
              <w:t>Nunca</w:t>
            </w:r>
          </w:p>
        </w:tc>
        <w:tc>
          <w:tcPr>
            <w:tcW w:w="1200" w:type="dxa"/>
            <w:tcBorders>
              <w:left w:val="single" w:sz="4" w:space="0" w:color="000000"/>
              <w:bottom w:val="single" w:sz="4" w:space="0" w:color="000000"/>
              <w:right w:val="single" w:sz="4" w:space="0" w:color="000000"/>
            </w:tcBorders>
          </w:tcPr>
          <w:p>
            <w:pPr>
              <w:pStyle w:val="TableParagraph"/>
              <w:spacing w:before="47"/>
              <w:ind w:right="61"/>
              <w:jc w:val="right"/>
              <w:rPr>
                <w:sz w:val="18"/>
              </w:rPr>
            </w:pPr>
            <w:r>
              <w:rPr>
                <w:w w:val="99"/>
                <w:sz w:val="18"/>
              </w:rPr>
              <w:t>0</w:t>
            </w:r>
          </w:p>
        </w:tc>
        <w:tc>
          <w:tcPr>
            <w:tcW w:w="1200" w:type="dxa"/>
            <w:tcBorders>
              <w:left w:val="single" w:sz="4" w:space="0" w:color="000000"/>
              <w:bottom w:val="single" w:sz="4" w:space="0" w:color="000000"/>
              <w:right w:val="single" w:sz="4" w:space="0" w:color="000000"/>
            </w:tcBorders>
          </w:tcPr>
          <w:p>
            <w:pPr/>
          </w:p>
        </w:tc>
      </w:tr>
      <w:tr>
        <w:trPr>
          <w:trHeight w:val="264" w:hRule="exact"/>
        </w:trPr>
        <w:tc>
          <w:tcPr>
            <w:tcW w:w="1199" w:type="dxa"/>
            <w:tcBorders>
              <w:top w:val="single" w:sz="4" w:space="0" w:color="000000"/>
              <w:left w:val="single" w:sz="4" w:space="0" w:color="000000"/>
              <w:bottom w:val="single" w:sz="4" w:space="0" w:color="000000"/>
              <w:right w:val="single" w:sz="4" w:space="0" w:color="000000"/>
            </w:tcBorders>
          </w:tcPr>
          <w:p>
            <w:pPr>
              <w:pStyle w:val="TableParagraph"/>
              <w:spacing w:before="47"/>
              <w:ind w:left="66"/>
              <w:jc w:val="left"/>
              <w:rPr>
                <w:sz w:val="18"/>
              </w:rPr>
            </w:pPr>
            <w:r>
              <w:rPr>
                <w:sz w:val="18"/>
              </w:rPr>
              <w:t>Casi nunca</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w w:val="99"/>
                <w:sz w:val="18"/>
              </w:rPr>
              <w:t>3</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518"/>
              <w:jc w:val="left"/>
              <w:rPr>
                <w:sz w:val="18"/>
              </w:rPr>
            </w:pPr>
            <w:r>
              <w:rPr>
                <w:sz w:val="18"/>
              </w:rPr>
              <w:t>33.11%</w:t>
            </w:r>
          </w:p>
        </w:tc>
      </w:tr>
      <w:tr>
        <w:trPr>
          <w:trHeight w:val="264" w:hRule="exact"/>
        </w:trPr>
        <w:tc>
          <w:tcPr>
            <w:tcW w:w="1199" w:type="dxa"/>
            <w:tcBorders>
              <w:top w:val="single" w:sz="4" w:space="0" w:color="000000"/>
              <w:left w:val="single" w:sz="4" w:space="0" w:color="000000"/>
              <w:bottom w:val="single" w:sz="4" w:space="0" w:color="000000"/>
              <w:right w:val="single" w:sz="4" w:space="0" w:color="000000"/>
            </w:tcBorders>
          </w:tcPr>
          <w:p>
            <w:pPr>
              <w:pStyle w:val="TableParagraph"/>
              <w:spacing w:before="47"/>
              <w:ind w:left="66"/>
              <w:jc w:val="left"/>
              <w:rPr>
                <w:sz w:val="18"/>
              </w:rPr>
            </w:pPr>
            <w:r>
              <w:rPr>
                <w:sz w:val="18"/>
              </w:rPr>
              <w:t>Casi siempre</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8"/>
              <w:jc w:val="right"/>
              <w:rPr>
                <w:sz w:val="18"/>
              </w:rPr>
            </w:pPr>
            <w:r>
              <w:rPr>
                <w:sz w:val="18"/>
              </w:rPr>
              <w:t>14</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518"/>
              <w:jc w:val="left"/>
              <w:rPr>
                <w:sz w:val="18"/>
              </w:rPr>
            </w:pPr>
            <w:r>
              <w:rPr>
                <w:sz w:val="18"/>
              </w:rPr>
              <w:t>30.39%</w:t>
            </w:r>
          </w:p>
        </w:tc>
      </w:tr>
      <w:tr>
        <w:trPr>
          <w:trHeight w:val="266" w:hRule="exact"/>
        </w:trPr>
        <w:tc>
          <w:tcPr>
            <w:tcW w:w="1199" w:type="dxa"/>
            <w:tcBorders>
              <w:top w:val="single" w:sz="4" w:space="0" w:color="000000"/>
              <w:left w:val="single" w:sz="4" w:space="0" w:color="000000"/>
              <w:bottom w:val="single" w:sz="4" w:space="0" w:color="000000"/>
              <w:right w:val="single" w:sz="4" w:space="0" w:color="000000"/>
            </w:tcBorders>
          </w:tcPr>
          <w:p>
            <w:pPr>
              <w:pStyle w:val="TableParagraph"/>
              <w:spacing w:before="49"/>
              <w:ind w:left="66"/>
              <w:jc w:val="left"/>
              <w:rPr>
                <w:sz w:val="18"/>
              </w:rPr>
            </w:pPr>
            <w:r>
              <w:rPr>
                <w:sz w:val="18"/>
              </w:rPr>
              <w:t>Siempre</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9"/>
              <w:ind w:right="58"/>
              <w:jc w:val="right"/>
              <w:rPr>
                <w:sz w:val="18"/>
              </w:rPr>
            </w:pPr>
            <w:r>
              <w:rPr>
                <w:sz w:val="18"/>
              </w:rPr>
              <w:t>29</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9"/>
              <w:ind w:left="518"/>
              <w:jc w:val="left"/>
              <w:rPr>
                <w:sz w:val="18"/>
              </w:rPr>
            </w:pPr>
            <w:r>
              <w:rPr>
                <w:sz w:val="18"/>
              </w:rPr>
              <w:t>33.73%</w:t>
            </w:r>
          </w:p>
        </w:tc>
      </w:tr>
    </w:tbl>
    <w:p>
      <w:pPr>
        <w:spacing w:before="68"/>
        <w:ind w:left="2865" w:right="26" w:firstLine="0"/>
        <w:jc w:val="left"/>
        <w:rPr>
          <w:sz w:val="16"/>
        </w:rPr>
      </w:pPr>
      <w:r>
        <w:rPr>
          <w:sz w:val="16"/>
        </w:rPr>
        <w:t>Fuente: Elaboración propia</w:t>
      </w:r>
    </w:p>
    <w:p>
      <w:pPr>
        <w:spacing w:after="0"/>
        <w:jc w:val="left"/>
        <w:rPr>
          <w:sz w:val="16"/>
        </w:rPr>
        <w:sectPr>
          <w:pgSz w:w="12240" w:h="15840"/>
          <w:pgMar w:header="0" w:footer="1035" w:top="1360" w:bottom="1220" w:left="1480" w:right="1580"/>
        </w:sectPr>
      </w:pPr>
    </w:p>
    <w:p>
      <w:pPr>
        <w:pStyle w:val="BodyText"/>
        <w:spacing w:line="360" w:lineRule="auto" w:before="54"/>
        <w:ind w:left="108" w:right="117"/>
        <w:jc w:val="both"/>
      </w:pPr>
      <w:r>
        <w:rPr/>
        <w:t>En la tabla anterior se muestran los resultados obtenidos de hacer el cruce de las variables del cumplimiento de la ley de transparencia en relación a si cuenta con</w:t>
      </w:r>
      <w:r>
        <w:rPr>
          <w:spacing w:val="-33"/>
        </w:rPr>
        <w:t> </w:t>
      </w:r>
      <w:r>
        <w:rPr/>
        <w:t>los recursos tecnológicos (Internet, programas para almacenar la información) para realizar sus actividades laborales de los responsables de la transparencia en los gobiernos municipales. Los resultados obtenidos muestran cómo los responsables de la transparencia que obtuvieron el primer lugar dijeron que siempre cuentan con los</w:t>
      </w:r>
      <w:r>
        <w:rPr>
          <w:spacing w:val="-16"/>
        </w:rPr>
        <w:t> </w:t>
      </w:r>
      <w:r>
        <w:rPr/>
        <w:t>recursos</w:t>
      </w:r>
      <w:r>
        <w:rPr>
          <w:spacing w:val="-19"/>
        </w:rPr>
        <w:t> </w:t>
      </w:r>
      <w:r>
        <w:rPr/>
        <w:t>tecnológicos</w:t>
      </w:r>
      <w:r>
        <w:rPr>
          <w:spacing w:val="-16"/>
        </w:rPr>
        <w:t> </w:t>
      </w:r>
      <w:r>
        <w:rPr/>
        <w:t>con</w:t>
      </w:r>
      <w:r>
        <w:rPr>
          <w:spacing w:val="-16"/>
        </w:rPr>
        <w:t> </w:t>
      </w:r>
      <w:r>
        <w:rPr/>
        <w:t>un</w:t>
      </w:r>
      <w:r>
        <w:rPr>
          <w:spacing w:val="-18"/>
        </w:rPr>
        <w:t> </w:t>
      </w:r>
      <w:r>
        <w:rPr/>
        <w:t>33.73%,</w:t>
      </w:r>
      <w:r>
        <w:rPr>
          <w:spacing w:val="-18"/>
        </w:rPr>
        <w:t> </w:t>
      </w:r>
      <w:r>
        <w:rPr/>
        <w:t>en</w:t>
      </w:r>
      <w:r>
        <w:rPr>
          <w:spacing w:val="-16"/>
        </w:rPr>
        <w:t> </w:t>
      </w:r>
      <w:r>
        <w:rPr/>
        <w:t>segundo</w:t>
      </w:r>
      <w:r>
        <w:rPr>
          <w:spacing w:val="-18"/>
        </w:rPr>
        <w:t> </w:t>
      </w:r>
      <w:r>
        <w:rPr/>
        <w:t>lugar,</w:t>
      </w:r>
      <w:r>
        <w:rPr>
          <w:spacing w:val="-16"/>
        </w:rPr>
        <w:t> </w:t>
      </w:r>
      <w:r>
        <w:rPr/>
        <w:t>están</w:t>
      </w:r>
      <w:r>
        <w:rPr>
          <w:spacing w:val="-18"/>
        </w:rPr>
        <w:t> </w:t>
      </w:r>
      <w:r>
        <w:rPr/>
        <w:t>los</w:t>
      </w:r>
      <w:r>
        <w:rPr>
          <w:spacing w:val="-18"/>
        </w:rPr>
        <w:t> </w:t>
      </w:r>
      <w:r>
        <w:rPr/>
        <w:t>que</w:t>
      </w:r>
      <w:r>
        <w:rPr>
          <w:spacing w:val="-16"/>
        </w:rPr>
        <w:t> </w:t>
      </w:r>
      <w:r>
        <w:rPr/>
        <w:t>casi</w:t>
      </w:r>
      <w:r>
        <w:rPr>
          <w:spacing w:val="-19"/>
        </w:rPr>
        <w:t> </w:t>
      </w:r>
      <w:r>
        <w:rPr/>
        <w:t>nunca cuentan con los recursos tecnológicos para el desempeños de sus actividades con un 33.11%, y en tercer lugar se encuentran los que casi siempre cuentan con este tipo de recursos con un</w:t>
      </w:r>
      <w:r>
        <w:rPr>
          <w:spacing w:val="-10"/>
        </w:rPr>
        <w:t> </w:t>
      </w:r>
      <w:r>
        <w:rPr/>
        <w:t>30.39%.</w:t>
      </w:r>
    </w:p>
    <w:p>
      <w:pPr>
        <w:pStyle w:val="BodyText"/>
      </w:pPr>
    </w:p>
    <w:p>
      <w:pPr>
        <w:pStyle w:val="BodyText"/>
      </w:pPr>
    </w:p>
    <w:p>
      <w:pPr>
        <w:pStyle w:val="BodyText"/>
        <w:spacing w:line="360" w:lineRule="auto" w:before="185"/>
        <w:ind w:left="108" w:right="118"/>
        <w:jc w:val="both"/>
      </w:pPr>
      <w:r>
        <w:rPr/>
        <w:t>En</w:t>
      </w:r>
      <w:r>
        <w:rPr>
          <w:spacing w:val="-9"/>
        </w:rPr>
        <w:t> </w:t>
      </w:r>
      <w:r>
        <w:rPr/>
        <w:t>un</w:t>
      </w:r>
      <w:r>
        <w:rPr>
          <w:spacing w:val="-9"/>
        </w:rPr>
        <w:t> </w:t>
      </w:r>
      <w:r>
        <w:rPr/>
        <w:t>sentido</w:t>
      </w:r>
      <w:r>
        <w:rPr>
          <w:spacing w:val="-9"/>
        </w:rPr>
        <w:t> </w:t>
      </w:r>
      <w:r>
        <w:rPr/>
        <w:t>retroactivo</w:t>
      </w:r>
      <w:r>
        <w:rPr>
          <w:spacing w:val="-9"/>
        </w:rPr>
        <w:t> </w:t>
      </w:r>
      <w:r>
        <w:rPr/>
        <w:t>del</w:t>
      </w:r>
      <w:r>
        <w:rPr>
          <w:spacing w:val="-11"/>
        </w:rPr>
        <w:t> </w:t>
      </w:r>
      <w:r>
        <w:rPr/>
        <w:t>periodo</w:t>
      </w:r>
      <w:r>
        <w:rPr>
          <w:spacing w:val="-9"/>
        </w:rPr>
        <w:t> </w:t>
      </w:r>
      <w:r>
        <w:rPr/>
        <w:t>de</w:t>
      </w:r>
      <w:r>
        <w:rPr>
          <w:spacing w:val="-9"/>
        </w:rPr>
        <w:t> </w:t>
      </w:r>
      <w:r>
        <w:rPr/>
        <w:t>administración</w:t>
      </w:r>
      <w:r>
        <w:rPr>
          <w:spacing w:val="-9"/>
        </w:rPr>
        <w:t> </w:t>
      </w:r>
      <w:r>
        <w:rPr/>
        <w:t>2013</w:t>
      </w:r>
      <w:r>
        <w:rPr>
          <w:spacing w:val="-3"/>
        </w:rPr>
        <w:t> </w:t>
      </w:r>
      <w:r>
        <w:rPr/>
        <w:t>-2015</w:t>
      </w:r>
      <w:r>
        <w:rPr>
          <w:spacing w:val="-9"/>
        </w:rPr>
        <w:t> </w:t>
      </w:r>
      <w:r>
        <w:rPr/>
        <w:t>la</w:t>
      </w:r>
      <w:r>
        <w:rPr>
          <w:spacing w:val="-9"/>
        </w:rPr>
        <w:t> </w:t>
      </w:r>
      <w:r>
        <w:rPr/>
        <w:t>siguiente</w:t>
      </w:r>
      <w:r>
        <w:rPr>
          <w:spacing w:val="-9"/>
        </w:rPr>
        <w:t> </w:t>
      </w:r>
      <w:r>
        <w:rPr/>
        <w:t>tabla muestra el promedio de cumplimiento de la ley de</w:t>
      </w:r>
      <w:r>
        <w:rPr>
          <w:spacing w:val="-15"/>
        </w:rPr>
        <w:t> </w:t>
      </w:r>
      <w:r>
        <w:rPr/>
        <w:t>transparencia:</w:t>
      </w:r>
    </w:p>
    <w:p>
      <w:pPr>
        <w:pStyle w:val="BodyText"/>
        <w:rPr>
          <w:sz w:val="20"/>
        </w:rPr>
      </w:pPr>
    </w:p>
    <w:p>
      <w:pPr>
        <w:pStyle w:val="BodyText"/>
        <w:rPr>
          <w:sz w:val="20"/>
        </w:rPr>
      </w:pPr>
    </w:p>
    <w:p>
      <w:pPr>
        <w:pStyle w:val="BodyText"/>
        <w:spacing w:before="3"/>
      </w:pPr>
    </w:p>
    <w:tbl>
      <w:tblPr>
        <w:tblW w:w="0" w:type="auto"/>
        <w:jc w:val="left"/>
        <w:tblInd w:w="15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01"/>
        <w:gridCol w:w="1200"/>
        <w:gridCol w:w="1200"/>
        <w:gridCol w:w="1200"/>
        <w:gridCol w:w="1200"/>
      </w:tblGrid>
      <w:tr>
        <w:trPr>
          <w:trHeight w:val="641" w:hRule="exact"/>
        </w:trPr>
        <w:tc>
          <w:tcPr>
            <w:tcW w:w="6001" w:type="dxa"/>
            <w:gridSpan w:val="5"/>
            <w:shd w:val="clear" w:color="auto" w:fill="92D050"/>
          </w:tcPr>
          <w:p>
            <w:pPr>
              <w:pStyle w:val="TableParagraph"/>
              <w:ind w:left="434" w:right="436" w:firstLine="5"/>
              <w:rPr>
                <w:b/>
                <w:sz w:val="18"/>
              </w:rPr>
            </w:pPr>
            <w:r>
              <w:rPr>
                <w:b/>
                <w:sz w:val="18"/>
              </w:rPr>
              <w:t>Tabla 3.81: Cuenta con los recursos tecnológicos (Internet, programas para almacenar la información) para realizar</w:t>
            </w:r>
            <w:r>
              <w:rPr>
                <w:b/>
                <w:spacing w:val="-21"/>
                <w:sz w:val="18"/>
              </w:rPr>
              <w:t> </w:t>
            </w:r>
            <w:r>
              <w:rPr>
                <w:b/>
                <w:sz w:val="18"/>
              </w:rPr>
              <w:t>sus actividades</w:t>
            </w:r>
            <w:r>
              <w:rPr>
                <w:b/>
                <w:spacing w:val="-8"/>
                <w:sz w:val="18"/>
              </w:rPr>
              <w:t> </w:t>
            </w:r>
            <w:r>
              <w:rPr>
                <w:b/>
                <w:sz w:val="18"/>
              </w:rPr>
              <w:t>laborales</w:t>
            </w:r>
          </w:p>
        </w:tc>
      </w:tr>
      <w:tr>
        <w:trPr>
          <w:trHeight w:val="545" w:hRule="exact"/>
        </w:trPr>
        <w:tc>
          <w:tcPr>
            <w:tcW w:w="1201" w:type="dxa"/>
            <w:shd w:val="clear" w:color="auto" w:fill="92D050"/>
          </w:tcPr>
          <w:p>
            <w:pPr>
              <w:pStyle w:val="TableParagraph"/>
              <w:spacing w:before="155"/>
              <w:ind w:left="350"/>
              <w:jc w:val="left"/>
              <w:rPr>
                <w:b/>
                <w:sz w:val="18"/>
              </w:rPr>
            </w:pPr>
            <w:r>
              <w:rPr>
                <w:b/>
                <w:sz w:val="18"/>
              </w:rPr>
              <w:t>Clase</w:t>
            </w:r>
          </w:p>
        </w:tc>
        <w:tc>
          <w:tcPr>
            <w:tcW w:w="1200" w:type="dxa"/>
            <w:tcBorders>
              <w:bottom w:val="single" w:sz="4" w:space="0" w:color="000000"/>
            </w:tcBorders>
            <w:shd w:val="clear" w:color="auto" w:fill="92D050"/>
          </w:tcPr>
          <w:p>
            <w:pPr>
              <w:pStyle w:val="TableParagraph"/>
              <w:spacing w:before="155"/>
              <w:ind w:left="391" w:right="155"/>
              <w:jc w:val="left"/>
              <w:rPr>
                <w:b/>
                <w:sz w:val="18"/>
              </w:rPr>
            </w:pPr>
            <w:r>
              <w:rPr>
                <w:b/>
                <w:sz w:val="18"/>
              </w:rPr>
              <w:t>2013</w:t>
            </w:r>
          </w:p>
        </w:tc>
        <w:tc>
          <w:tcPr>
            <w:tcW w:w="1200" w:type="dxa"/>
            <w:tcBorders>
              <w:bottom w:val="single" w:sz="4" w:space="0" w:color="000000"/>
            </w:tcBorders>
            <w:shd w:val="clear" w:color="auto" w:fill="92D050"/>
          </w:tcPr>
          <w:p>
            <w:pPr>
              <w:pStyle w:val="TableParagraph"/>
              <w:spacing w:before="155"/>
              <w:ind w:left="391"/>
              <w:jc w:val="left"/>
              <w:rPr>
                <w:b/>
                <w:sz w:val="18"/>
              </w:rPr>
            </w:pPr>
            <w:r>
              <w:rPr>
                <w:b/>
                <w:sz w:val="18"/>
              </w:rPr>
              <w:t>2014</w:t>
            </w:r>
          </w:p>
        </w:tc>
        <w:tc>
          <w:tcPr>
            <w:tcW w:w="1200" w:type="dxa"/>
            <w:tcBorders>
              <w:bottom w:val="single" w:sz="4" w:space="0" w:color="000000"/>
            </w:tcBorders>
            <w:shd w:val="clear" w:color="auto" w:fill="92D050"/>
          </w:tcPr>
          <w:p>
            <w:pPr>
              <w:pStyle w:val="TableParagraph"/>
              <w:spacing w:before="155"/>
              <w:ind w:left="391" w:right="155"/>
              <w:jc w:val="left"/>
              <w:rPr>
                <w:b/>
                <w:sz w:val="18"/>
              </w:rPr>
            </w:pPr>
            <w:r>
              <w:rPr>
                <w:b/>
                <w:sz w:val="18"/>
              </w:rPr>
              <w:t>2015</w:t>
            </w:r>
          </w:p>
        </w:tc>
        <w:tc>
          <w:tcPr>
            <w:tcW w:w="1200" w:type="dxa"/>
            <w:tcBorders>
              <w:bottom w:val="single" w:sz="4" w:space="0" w:color="000000"/>
            </w:tcBorders>
            <w:shd w:val="clear" w:color="auto" w:fill="92D050"/>
          </w:tcPr>
          <w:p>
            <w:pPr>
              <w:pStyle w:val="TableParagraph"/>
              <w:spacing w:before="50"/>
              <w:ind w:left="271" w:right="155" w:hanging="96"/>
              <w:jc w:val="left"/>
              <w:rPr>
                <w:b/>
                <w:sz w:val="18"/>
              </w:rPr>
            </w:pPr>
            <w:r>
              <w:rPr>
                <w:b/>
                <w:sz w:val="18"/>
              </w:rPr>
              <w:t>Promedio general</w:t>
            </w:r>
          </w:p>
        </w:tc>
      </w:tr>
      <w:tr>
        <w:trPr>
          <w:trHeight w:val="271" w:hRule="exact"/>
        </w:trPr>
        <w:tc>
          <w:tcPr>
            <w:tcW w:w="1201" w:type="dxa"/>
            <w:tcBorders>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Nunca</w:t>
            </w:r>
          </w:p>
        </w:tc>
        <w:tc>
          <w:tcPr>
            <w:tcW w:w="1200" w:type="dxa"/>
            <w:tcBorders>
              <w:top w:val="single" w:sz="4" w:space="0" w:color="000000"/>
              <w:left w:val="single" w:sz="4" w:space="0" w:color="000000"/>
              <w:bottom w:val="single" w:sz="4" w:space="0" w:color="000000"/>
              <w:right w:val="single" w:sz="4" w:space="0" w:color="000000"/>
            </w:tcBorders>
          </w:tcPr>
          <w:p>
            <w:pPr/>
          </w:p>
        </w:tc>
        <w:tc>
          <w:tcPr>
            <w:tcW w:w="1200" w:type="dxa"/>
            <w:tcBorders>
              <w:top w:val="single" w:sz="4" w:space="0" w:color="000000"/>
              <w:left w:val="single" w:sz="4" w:space="0" w:color="000000"/>
              <w:bottom w:val="single" w:sz="4" w:space="0" w:color="000000"/>
              <w:right w:val="single" w:sz="4" w:space="0" w:color="000000"/>
            </w:tcBorders>
          </w:tcPr>
          <w:p>
            <w:pPr/>
          </w:p>
        </w:tc>
        <w:tc>
          <w:tcPr>
            <w:tcW w:w="1200" w:type="dxa"/>
            <w:tcBorders>
              <w:top w:val="single" w:sz="4" w:space="0" w:color="000000"/>
              <w:left w:val="single" w:sz="4" w:space="0" w:color="000000"/>
              <w:bottom w:val="single" w:sz="4" w:space="0" w:color="000000"/>
              <w:right w:val="single" w:sz="4" w:space="0" w:color="000000"/>
            </w:tcBorders>
          </w:tcPr>
          <w:p>
            <w:pPr/>
          </w:p>
        </w:tc>
        <w:tc>
          <w:tcPr>
            <w:tcW w:w="1200" w:type="dxa"/>
            <w:tcBorders>
              <w:top w:val="single" w:sz="4" w:space="0" w:color="000000"/>
              <w:left w:val="single" w:sz="4" w:space="0" w:color="000000"/>
              <w:bottom w:val="single" w:sz="4" w:space="0" w:color="000000"/>
              <w:right w:val="single" w:sz="4" w:space="0" w:color="000000"/>
            </w:tcBorders>
          </w:tcPr>
          <w:p>
            <w:pPr/>
          </w:p>
        </w:tc>
      </w:tr>
      <w:tr>
        <w:trPr>
          <w:trHeight w:val="264" w:hRule="exact"/>
        </w:trPr>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Casi nunca</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S/I</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95.52%</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33.11%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8"/>
              <w:jc w:val="right"/>
              <w:rPr>
                <w:sz w:val="18"/>
              </w:rPr>
            </w:pPr>
            <w:r>
              <w:rPr>
                <w:sz w:val="18"/>
              </w:rPr>
              <w:t>64.32%</w:t>
            </w:r>
          </w:p>
        </w:tc>
      </w:tr>
      <w:tr>
        <w:trPr>
          <w:trHeight w:val="264" w:hRule="exact"/>
        </w:trPr>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Casi siempre</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97.50%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79.94%</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30.39%</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69.28%</w:t>
            </w:r>
          </w:p>
        </w:tc>
      </w:tr>
      <w:tr>
        <w:trPr>
          <w:trHeight w:val="266" w:hRule="exact"/>
        </w:trPr>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9"/>
              <w:ind w:left="67"/>
              <w:jc w:val="left"/>
              <w:rPr>
                <w:sz w:val="18"/>
              </w:rPr>
            </w:pPr>
            <w:r>
              <w:rPr>
                <w:sz w:val="18"/>
              </w:rPr>
              <w:t>Siempre</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9"/>
              <w:ind w:right="59"/>
              <w:jc w:val="right"/>
              <w:rPr>
                <w:sz w:val="18"/>
              </w:rPr>
            </w:pPr>
            <w:r>
              <w:rPr>
                <w:sz w:val="18"/>
              </w:rPr>
              <w:t>87.77%</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9"/>
              <w:ind w:right="59"/>
              <w:jc w:val="right"/>
              <w:rPr>
                <w:sz w:val="18"/>
              </w:rPr>
            </w:pPr>
            <w:r>
              <w:rPr>
                <w:sz w:val="18"/>
              </w:rPr>
              <w:t>62.81%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9"/>
              <w:ind w:right="59"/>
              <w:jc w:val="right"/>
              <w:rPr>
                <w:sz w:val="18"/>
              </w:rPr>
            </w:pPr>
            <w:r>
              <w:rPr>
                <w:sz w:val="18"/>
              </w:rPr>
              <w:t>33.73%</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9"/>
              <w:ind w:right="59"/>
              <w:jc w:val="right"/>
              <w:rPr>
                <w:sz w:val="18"/>
              </w:rPr>
            </w:pPr>
            <w:r>
              <w:rPr>
                <w:sz w:val="18"/>
              </w:rPr>
              <w:t>61.44%</w:t>
            </w:r>
          </w:p>
        </w:tc>
      </w:tr>
    </w:tbl>
    <w:p>
      <w:pPr>
        <w:spacing w:before="68"/>
        <w:ind w:left="1644" w:right="6" w:firstLine="0"/>
        <w:jc w:val="left"/>
        <w:rPr>
          <w:sz w:val="16"/>
        </w:rPr>
      </w:pPr>
      <w:r>
        <w:rPr>
          <w:sz w:val="16"/>
        </w:rPr>
        <w:t>Fuente: Elaboración propia</w:t>
      </w:r>
    </w:p>
    <w:p>
      <w:pPr>
        <w:pStyle w:val="BodyText"/>
        <w:rPr>
          <w:sz w:val="20"/>
        </w:rPr>
      </w:pPr>
    </w:p>
    <w:p>
      <w:pPr>
        <w:pStyle w:val="BodyText"/>
        <w:spacing w:before="9"/>
        <w:rPr>
          <w:sz w:val="23"/>
        </w:rPr>
      </w:pPr>
    </w:p>
    <w:p>
      <w:pPr>
        <w:pStyle w:val="BodyText"/>
        <w:spacing w:line="360" w:lineRule="auto" w:before="70"/>
        <w:ind w:left="108" w:right="116"/>
        <w:jc w:val="both"/>
      </w:pPr>
      <w:r>
        <w:rPr/>
        <w:t>Durante el periodo que comprende el 2013-2015 se tuvo un promedio de cumplimiento de la ley tal como se describe a continuación: en primer lugar se encuentran los representantes que casi siempre cuentan con los recursos tecnológicos para el desempeño de sus actividades obteniendo un 69.28%, en segundo lugar se encuentran los que casi nunca cuentan con los recursos obteniendo un 64.32%, en tercer lugar se encuentran los que siempre cuentan con los recursos para el desempeño de sus actividades con un 61.44%.</w:t>
      </w:r>
    </w:p>
    <w:p>
      <w:pPr>
        <w:spacing w:after="0" w:line="360" w:lineRule="auto"/>
        <w:jc w:val="both"/>
        <w:sectPr>
          <w:pgSz w:w="12240" w:h="15840"/>
          <w:pgMar w:header="0" w:footer="1035" w:top="1360" w:bottom="1220" w:left="1500" w:right="1580"/>
        </w:sectPr>
      </w:pPr>
    </w:p>
    <w:p>
      <w:pPr>
        <w:pStyle w:val="Heading1"/>
        <w:numPr>
          <w:ilvl w:val="2"/>
          <w:numId w:val="53"/>
        </w:numPr>
        <w:tabs>
          <w:tab w:pos="837" w:val="left" w:leader="none"/>
        </w:tabs>
        <w:spacing w:line="362" w:lineRule="auto" w:before="54" w:after="0"/>
        <w:ind w:left="836" w:right="126" w:hanging="720"/>
        <w:jc w:val="left"/>
      </w:pPr>
      <w:r>
        <w:rPr/>
        <w:t>Cuenta con los recursos financieros para realizar sus actividades laborales vs porcentaje de transparencia</w:t>
      </w:r>
      <w:r>
        <w:rPr>
          <w:spacing w:val="-9"/>
        </w:rPr>
        <w:t> </w:t>
      </w:r>
      <w:r>
        <w:rPr/>
        <w:t>2015.</w:t>
      </w:r>
    </w:p>
    <w:p>
      <w:pPr>
        <w:pStyle w:val="BodyText"/>
        <w:rPr>
          <w:b/>
          <w:sz w:val="20"/>
        </w:rPr>
      </w:pPr>
    </w:p>
    <w:p>
      <w:pPr>
        <w:pStyle w:val="BodyText"/>
        <w:spacing w:before="4"/>
        <w:rPr>
          <w:b/>
          <w:sz w:val="19"/>
        </w:rPr>
      </w:pPr>
    </w:p>
    <w:tbl>
      <w:tblPr>
        <w:tblW w:w="0" w:type="auto"/>
        <w:jc w:val="left"/>
        <w:tblInd w:w="27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00"/>
        <w:gridCol w:w="1200"/>
        <w:gridCol w:w="1200"/>
      </w:tblGrid>
      <w:tr>
        <w:trPr>
          <w:trHeight w:val="641" w:hRule="exact"/>
        </w:trPr>
        <w:tc>
          <w:tcPr>
            <w:tcW w:w="3600" w:type="dxa"/>
            <w:gridSpan w:val="3"/>
            <w:shd w:val="clear" w:color="auto" w:fill="92D050"/>
          </w:tcPr>
          <w:p>
            <w:pPr>
              <w:pStyle w:val="TableParagraph"/>
              <w:ind w:left="249" w:right="246"/>
              <w:rPr>
                <w:b/>
                <w:sz w:val="18"/>
              </w:rPr>
            </w:pPr>
            <w:r>
              <w:rPr>
                <w:b/>
                <w:sz w:val="18"/>
              </w:rPr>
              <w:t>Tabla 3.82: Cuenta con los recursos financieros para realizar sus actividades laborales</w:t>
            </w:r>
          </w:p>
        </w:tc>
      </w:tr>
      <w:tr>
        <w:trPr>
          <w:trHeight w:val="290" w:hRule="exact"/>
        </w:trPr>
        <w:tc>
          <w:tcPr>
            <w:tcW w:w="1200" w:type="dxa"/>
            <w:vMerge w:val="restart"/>
            <w:shd w:val="clear" w:color="auto" w:fill="92D050"/>
          </w:tcPr>
          <w:p>
            <w:pPr>
              <w:pStyle w:val="TableParagraph"/>
              <w:jc w:val="left"/>
              <w:rPr>
                <w:b/>
                <w:sz w:val="26"/>
              </w:rPr>
            </w:pPr>
          </w:p>
          <w:p>
            <w:pPr>
              <w:pStyle w:val="TableParagraph"/>
              <w:ind w:left="350" w:right="155"/>
              <w:jc w:val="left"/>
              <w:rPr>
                <w:b/>
                <w:sz w:val="18"/>
              </w:rPr>
            </w:pPr>
            <w:r>
              <w:rPr>
                <w:b/>
                <w:sz w:val="18"/>
              </w:rPr>
              <w:t>Clase</w:t>
            </w:r>
          </w:p>
        </w:tc>
        <w:tc>
          <w:tcPr>
            <w:tcW w:w="2400" w:type="dxa"/>
            <w:gridSpan w:val="2"/>
            <w:shd w:val="clear" w:color="auto" w:fill="92D050"/>
          </w:tcPr>
          <w:p>
            <w:pPr>
              <w:pStyle w:val="TableParagraph"/>
              <w:spacing w:before="25"/>
              <w:ind w:left="970" w:right="966"/>
              <w:rPr>
                <w:b/>
                <w:sz w:val="18"/>
              </w:rPr>
            </w:pPr>
            <w:r>
              <w:rPr>
                <w:b/>
                <w:sz w:val="18"/>
              </w:rPr>
              <w:t>2015</w:t>
            </w:r>
          </w:p>
        </w:tc>
      </w:tr>
      <w:tr>
        <w:trPr>
          <w:trHeight w:val="545" w:hRule="exact"/>
        </w:trPr>
        <w:tc>
          <w:tcPr>
            <w:tcW w:w="1200" w:type="dxa"/>
            <w:vMerge/>
            <w:shd w:val="clear" w:color="auto" w:fill="92D050"/>
          </w:tcPr>
          <w:p>
            <w:pPr/>
          </w:p>
        </w:tc>
        <w:tc>
          <w:tcPr>
            <w:tcW w:w="1200" w:type="dxa"/>
            <w:shd w:val="clear" w:color="auto" w:fill="92D050"/>
          </w:tcPr>
          <w:p>
            <w:pPr>
              <w:pStyle w:val="TableParagraph"/>
              <w:spacing w:before="152"/>
              <w:ind w:left="117"/>
              <w:jc w:val="left"/>
              <w:rPr>
                <w:b/>
                <w:sz w:val="18"/>
              </w:rPr>
            </w:pPr>
            <w:r>
              <w:rPr>
                <w:b/>
                <w:sz w:val="18"/>
              </w:rPr>
              <w:t>Frecuencia</w:t>
            </w:r>
          </w:p>
        </w:tc>
        <w:tc>
          <w:tcPr>
            <w:tcW w:w="1200" w:type="dxa"/>
            <w:shd w:val="clear" w:color="auto" w:fill="92D050"/>
          </w:tcPr>
          <w:p>
            <w:pPr>
              <w:pStyle w:val="TableParagraph"/>
              <w:spacing w:before="152"/>
              <w:ind w:left="511"/>
              <w:jc w:val="left"/>
              <w:rPr>
                <w:b/>
                <w:sz w:val="18"/>
              </w:rPr>
            </w:pPr>
            <w:r>
              <w:rPr>
                <w:b/>
                <w:w w:val="99"/>
                <w:sz w:val="18"/>
              </w:rPr>
              <w:t>%</w:t>
            </w:r>
          </w:p>
        </w:tc>
      </w:tr>
      <w:tr>
        <w:trPr>
          <w:trHeight w:val="269" w:hRule="exact"/>
        </w:trPr>
        <w:tc>
          <w:tcPr>
            <w:tcW w:w="1200" w:type="dxa"/>
            <w:tcBorders>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Nunca</w:t>
            </w:r>
          </w:p>
        </w:tc>
        <w:tc>
          <w:tcPr>
            <w:tcW w:w="1200" w:type="dxa"/>
            <w:tcBorders>
              <w:left w:val="single" w:sz="4" w:space="0" w:color="000000"/>
              <w:bottom w:val="single" w:sz="4" w:space="0" w:color="000000"/>
              <w:right w:val="single" w:sz="4" w:space="0" w:color="000000"/>
            </w:tcBorders>
          </w:tcPr>
          <w:p>
            <w:pPr>
              <w:pStyle w:val="TableParagraph"/>
              <w:spacing w:before="47"/>
              <w:ind w:right="61"/>
              <w:jc w:val="right"/>
              <w:rPr>
                <w:sz w:val="18"/>
              </w:rPr>
            </w:pPr>
            <w:r>
              <w:rPr>
                <w:w w:val="99"/>
                <w:sz w:val="18"/>
              </w:rPr>
              <w:t>6</w:t>
            </w:r>
          </w:p>
        </w:tc>
        <w:tc>
          <w:tcPr>
            <w:tcW w:w="1200" w:type="dxa"/>
            <w:tcBorders>
              <w:left w:val="single" w:sz="4" w:space="0" w:color="000000"/>
              <w:bottom w:val="single" w:sz="4" w:space="0" w:color="000000"/>
              <w:right w:val="single" w:sz="4" w:space="0" w:color="000000"/>
            </w:tcBorders>
          </w:tcPr>
          <w:p>
            <w:pPr>
              <w:pStyle w:val="TableParagraph"/>
              <w:spacing w:before="47"/>
              <w:ind w:left="518"/>
              <w:jc w:val="left"/>
              <w:rPr>
                <w:sz w:val="18"/>
              </w:rPr>
            </w:pPr>
            <w:r>
              <w:rPr>
                <w:sz w:val="18"/>
              </w:rPr>
              <w:t>38.47%</w:t>
            </w:r>
          </w:p>
        </w:tc>
      </w:tr>
      <w:tr>
        <w:trPr>
          <w:trHeight w:val="266" w:hRule="exact"/>
        </w:trPr>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9"/>
              <w:ind w:left="67"/>
              <w:jc w:val="left"/>
              <w:rPr>
                <w:sz w:val="18"/>
              </w:rPr>
            </w:pPr>
            <w:r>
              <w:rPr>
                <w:sz w:val="18"/>
              </w:rPr>
              <w:t>Casi nunca</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9"/>
              <w:ind w:right="61"/>
              <w:jc w:val="right"/>
              <w:rPr>
                <w:sz w:val="18"/>
              </w:rPr>
            </w:pPr>
            <w:r>
              <w:rPr>
                <w:w w:val="99"/>
                <w:sz w:val="18"/>
              </w:rPr>
              <w:t>4</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9"/>
              <w:ind w:left="518"/>
              <w:jc w:val="left"/>
              <w:rPr>
                <w:sz w:val="18"/>
              </w:rPr>
            </w:pPr>
            <w:r>
              <w:rPr>
                <w:sz w:val="18"/>
              </w:rPr>
              <w:t>52.35%</w:t>
            </w:r>
          </w:p>
        </w:tc>
      </w:tr>
      <w:tr>
        <w:trPr>
          <w:trHeight w:val="264" w:hRule="exact"/>
        </w:trPr>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Casi siempre</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8"/>
              <w:jc w:val="right"/>
              <w:rPr>
                <w:sz w:val="18"/>
              </w:rPr>
            </w:pPr>
            <w:r>
              <w:rPr>
                <w:sz w:val="18"/>
              </w:rPr>
              <w:t>22</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518"/>
              <w:jc w:val="left"/>
              <w:rPr>
                <w:sz w:val="18"/>
              </w:rPr>
            </w:pPr>
            <w:r>
              <w:rPr>
                <w:sz w:val="18"/>
              </w:rPr>
              <w:t>26.47%</w:t>
            </w:r>
          </w:p>
        </w:tc>
      </w:tr>
      <w:tr>
        <w:trPr>
          <w:trHeight w:val="267" w:hRule="exact"/>
        </w:trPr>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Siempre</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8"/>
              <w:jc w:val="right"/>
              <w:rPr>
                <w:sz w:val="18"/>
              </w:rPr>
            </w:pPr>
            <w:r>
              <w:rPr>
                <w:sz w:val="18"/>
              </w:rPr>
              <w:t>14</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518"/>
              <w:jc w:val="left"/>
              <w:rPr>
                <w:sz w:val="18"/>
              </w:rPr>
            </w:pPr>
            <w:r>
              <w:rPr>
                <w:sz w:val="18"/>
              </w:rPr>
              <w:t>34.33%</w:t>
            </w:r>
          </w:p>
        </w:tc>
      </w:tr>
    </w:tbl>
    <w:p>
      <w:pPr>
        <w:spacing w:before="66"/>
        <w:ind w:left="2865" w:right="26" w:firstLine="0"/>
        <w:jc w:val="left"/>
        <w:rPr>
          <w:sz w:val="16"/>
        </w:rPr>
      </w:pPr>
      <w:r>
        <w:rPr>
          <w:sz w:val="16"/>
        </w:rPr>
        <w:t>Fuente: Elaboración propia</w:t>
      </w:r>
    </w:p>
    <w:p>
      <w:pPr>
        <w:pStyle w:val="BodyText"/>
        <w:rPr>
          <w:sz w:val="20"/>
        </w:rPr>
      </w:pPr>
    </w:p>
    <w:p>
      <w:pPr>
        <w:pStyle w:val="BodyText"/>
      </w:pPr>
    </w:p>
    <w:p>
      <w:pPr>
        <w:pStyle w:val="BodyText"/>
        <w:spacing w:line="360" w:lineRule="auto" w:before="70"/>
        <w:ind w:left="128" w:right="116"/>
        <w:jc w:val="both"/>
      </w:pPr>
      <w:r>
        <w:rPr/>
        <w:t>En la tabla anterior se muestran los resultados obtenidos de hacer el cruce de las variables del cumplimiento de la ley de transparencia en relación a si cuenta con</w:t>
      </w:r>
      <w:r>
        <w:rPr>
          <w:spacing w:val="-32"/>
        </w:rPr>
        <w:t> </w:t>
      </w:r>
      <w:r>
        <w:rPr/>
        <w:t>los recursos financieros para realizar sus actividades laborales de los responsables de la transparencia en los gobiernos municipales. Los resultados obtenidos muestran cómo</w:t>
      </w:r>
      <w:r>
        <w:rPr>
          <w:spacing w:val="-16"/>
        </w:rPr>
        <w:t> </w:t>
      </w:r>
      <w:r>
        <w:rPr/>
        <w:t>los</w:t>
      </w:r>
      <w:r>
        <w:rPr>
          <w:spacing w:val="-14"/>
        </w:rPr>
        <w:t> </w:t>
      </w:r>
      <w:r>
        <w:rPr/>
        <w:t>responsables</w:t>
      </w:r>
      <w:r>
        <w:rPr>
          <w:spacing w:val="-17"/>
        </w:rPr>
        <w:t> </w:t>
      </w:r>
      <w:r>
        <w:rPr/>
        <w:t>de</w:t>
      </w:r>
      <w:r>
        <w:rPr>
          <w:spacing w:val="-14"/>
        </w:rPr>
        <w:t> </w:t>
      </w:r>
      <w:r>
        <w:rPr/>
        <w:t>la</w:t>
      </w:r>
      <w:r>
        <w:rPr>
          <w:spacing w:val="-14"/>
        </w:rPr>
        <w:t> </w:t>
      </w:r>
      <w:r>
        <w:rPr/>
        <w:t>transparencia</w:t>
      </w:r>
      <w:r>
        <w:rPr>
          <w:spacing w:val="-14"/>
        </w:rPr>
        <w:t> </w:t>
      </w:r>
      <w:r>
        <w:rPr/>
        <w:t>que</w:t>
      </w:r>
      <w:r>
        <w:rPr>
          <w:spacing w:val="-14"/>
        </w:rPr>
        <w:t> </w:t>
      </w:r>
      <w:r>
        <w:rPr/>
        <w:t>obtuvieron</w:t>
      </w:r>
      <w:r>
        <w:rPr>
          <w:spacing w:val="-14"/>
        </w:rPr>
        <w:t> </w:t>
      </w:r>
      <w:r>
        <w:rPr/>
        <w:t>el</w:t>
      </w:r>
      <w:r>
        <w:rPr>
          <w:spacing w:val="-15"/>
        </w:rPr>
        <w:t> </w:t>
      </w:r>
      <w:r>
        <w:rPr/>
        <w:t>primer</w:t>
      </w:r>
      <w:r>
        <w:rPr>
          <w:spacing w:val="-16"/>
        </w:rPr>
        <w:t> </w:t>
      </w:r>
      <w:r>
        <w:rPr/>
        <w:t>lugar</w:t>
      </w:r>
      <w:r>
        <w:rPr>
          <w:spacing w:val="-16"/>
        </w:rPr>
        <w:t> </w:t>
      </w:r>
      <w:r>
        <w:rPr/>
        <w:t>dijeron</w:t>
      </w:r>
      <w:r>
        <w:rPr>
          <w:spacing w:val="-14"/>
        </w:rPr>
        <w:t> </w:t>
      </w:r>
      <w:r>
        <w:rPr/>
        <w:t>que casi nunca cuentan con los recursos financieros con un 52.35%, en segundo lugar están los que nunca cuentan con los recursos financieros para el desempeños de sus actividades con un 38.47%, en tercer lugar se encuentran los que siempre cuentan</w:t>
      </w:r>
      <w:r>
        <w:rPr>
          <w:spacing w:val="-4"/>
        </w:rPr>
        <w:t> </w:t>
      </w:r>
      <w:r>
        <w:rPr/>
        <w:t>con</w:t>
      </w:r>
      <w:r>
        <w:rPr>
          <w:spacing w:val="-4"/>
        </w:rPr>
        <w:t> </w:t>
      </w:r>
      <w:r>
        <w:rPr/>
        <w:t>este</w:t>
      </w:r>
      <w:r>
        <w:rPr>
          <w:spacing w:val="-3"/>
        </w:rPr>
        <w:t> </w:t>
      </w:r>
      <w:r>
        <w:rPr/>
        <w:t>tipo</w:t>
      </w:r>
      <w:r>
        <w:rPr>
          <w:spacing w:val="-6"/>
        </w:rPr>
        <w:t> </w:t>
      </w:r>
      <w:r>
        <w:rPr/>
        <w:t>de</w:t>
      </w:r>
      <w:r>
        <w:rPr>
          <w:spacing w:val="-4"/>
        </w:rPr>
        <w:t> </w:t>
      </w:r>
      <w:r>
        <w:rPr/>
        <w:t>recursos</w:t>
      </w:r>
      <w:r>
        <w:rPr>
          <w:spacing w:val="-4"/>
        </w:rPr>
        <w:t> </w:t>
      </w:r>
      <w:r>
        <w:rPr/>
        <w:t>con</w:t>
      </w:r>
      <w:r>
        <w:rPr>
          <w:spacing w:val="-4"/>
        </w:rPr>
        <w:t> </w:t>
      </w:r>
      <w:r>
        <w:rPr/>
        <w:t>un</w:t>
      </w:r>
      <w:r>
        <w:rPr>
          <w:spacing w:val="-4"/>
        </w:rPr>
        <w:t> </w:t>
      </w:r>
      <w:r>
        <w:rPr/>
        <w:t>34.33%</w:t>
      </w:r>
      <w:r>
        <w:rPr>
          <w:spacing w:val="-4"/>
        </w:rPr>
        <w:t> </w:t>
      </w:r>
      <w:r>
        <w:rPr/>
        <w:t>y</w:t>
      </w:r>
      <w:r>
        <w:rPr>
          <w:spacing w:val="-7"/>
        </w:rPr>
        <w:t> </w:t>
      </w:r>
      <w:r>
        <w:rPr/>
        <w:t>en</w:t>
      </w:r>
      <w:r>
        <w:rPr>
          <w:spacing w:val="-4"/>
        </w:rPr>
        <w:t> </w:t>
      </w:r>
      <w:r>
        <w:rPr/>
        <w:t>cuarto</w:t>
      </w:r>
      <w:r>
        <w:rPr>
          <w:spacing w:val="-4"/>
        </w:rPr>
        <w:t> </w:t>
      </w:r>
      <w:r>
        <w:rPr/>
        <w:t>lugar</w:t>
      </w:r>
      <w:r>
        <w:rPr>
          <w:spacing w:val="-5"/>
        </w:rPr>
        <w:t> </w:t>
      </w:r>
      <w:r>
        <w:rPr/>
        <w:t>se</w:t>
      </w:r>
      <w:r>
        <w:rPr>
          <w:spacing w:val="-4"/>
        </w:rPr>
        <w:t> </w:t>
      </w:r>
      <w:r>
        <w:rPr/>
        <w:t>encuentra</w:t>
      </w:r>
      <w:r>
        <w:rPr>
          <w:spacing w:val="-4"/>
        </w:rPr>
        <w:t> </w:t>
      </w:r>
      <w:r>
        <w:rPr/>
        <w:t>los que casi siempre cuentan con este tipo de recursos con un</w:t>
      </w:r>
      <w:r>
        <w:rPr>
          <w:spacing w:val="-22"/>
        </w:rPr>
        <w:t> </w:t>
      </w:r>
      <w:r>
        <w:rPr/>
        <w:t>26.47%.</w:t>
      </w:r>
    </w:p>
    <w:p>
      <w:pPr>
        <w:pStyle w:val="BodyText"/>
      </w:pPr>
    </w:p>
    <w:p>
      <w:pPr>
        <w:pStyle w:val="BodyText"/>
        <w:spacing w:line="360" w:lineRule="auto" w:before="163"/>
        <w:ind w:left="128" w:right="118"/>
        <w:jc w:val="both"/>
      </w:pPr>
      <w:r>
        <w:rPr/>
        <w:t>En</w:t>
      </w:r>
      <w:r>
        <w:rPr>
          <w:spacing w:val="-9"/>
        </w:rPr>
        <w:t> </w:t>
      </w:r>
      <w:r>
        <w:rPr/>
        <w:t>un</w:t>
      </w:r>
      <w:r>
        <w:rPr>
          <w:spacing w:val="-9"/>
        </w:rPr>
        <w:t> </w:t>
      </w:r>
      <w:r>
        <w:rPr/>
        <w:t>sentido</w:t>
      </w:r>
      <w:r>
        <w:rPr>
          <w:spacing w:val="-9"/>
        </w:rPr>
        <w:t> </w:t>
      </w:r>
      <w:r>
        <w:rPr/>
        <w:t>retroactivo</w:t>
      </w:r>
      <w:r>
        <w:rPr>
          <w:spacing w:val="-9"/>
        </w:rPr>
        <w:t> </w:t>
      </w:r>
      <w:r>
        <w:rPr/>
        <w:t>del</w:t>
      </w:r>
      <w:r>
        <w:rPr>
          <w:spacing w:val="-11"/>
        </w:rPr>
        <w:t> </w:t>
      </w:r>
      <w:r>
        <w:rPr/>
        <w:t>periodo</w:t>
      </w:r>
      <w:r>
        <w:rPr>
          <w:spacing w:val="-9"/>
        </w:rPr>
        <w:t> </w:t>
      </w:r>
      <w:r>
        <w:rPr/>
        <w:t>de</w:t>
      </w:r>
      <w:r>
        <w:rPr>
          <w:spacing w:val="-9"/>
        </w:rPr>
        <w:t> </w:t>
      </w:r>
      <w:r>
        <w:rPr/>
        <w:t>administración</w:t>
      </w:r>
      <w:r>
        <w:rPr>
          <w:spacing w:val="-9"/>
        </w:rPr>
        <w:t> </w:t>
      </w:r>
      <w:r>
        <w:rPr/>
        <w:t>2013</w:t>
      </w:r>
      <w:r>
        <w:rPr>
          <w:spacing w:val="-4"/>
        </w:rPr>
        <w:t> </w:t>
      </w:r>
      <w:r>
        <w:rPr/>
        <w:t>-2015</w:t>
      </w:r>
      <w:r>
        <w:rPr>
          <w:spacing w:val="-9"/>
        </w:rPr>
        <w:t> </w:t>
      </w:r>
      <w:r>
        <w:rPr/>
        <w:t>la</w:t>
      </w:r>
      <w:r>
        <w:rPr>
          <w:spacing w:val="-9"/>
        </w:rPr>
        <w:t> </w:t>
      </w:r>
      <w:r>
        <w:rPr/>
        <w:t>siguiente</w:t>
      </w:r>
      <w:r>
        <w:rPr>
          <w:spacing w:val="-9"/>
        </w:rPr>
        <w:t> </w:t>
      </w:r>
      <w:r>
        <w:rPr/>
        <w:t>tabla muestra el promedio de cumplimiento de la ley de</w:t>
      </w:r>
      <w:r>
        <w:rPr>
          <w:spacing w:val="-18"/>
        </w:rPr>
        <w:t> </w:t>
      </w:r>
      <w:r>
        <w:rPr/>
        <w:t>transparencia:</w:t>
      </w:r>
    </w:p>
    <w:p>
      <w:pPr>
        <w:pStyle w:val="BodyText"/>
        <w:rPr>
          <w:sz w:val="20"/>
        </w:rPr>
      </w:pPr>
    </w:p>
    <w:p>
      <w:pPr>
        <w:pStyle w:val="BodyText"/>
        <w:spacing w:before="5"/>
        <w:rPr>
          <w:sz w:val="18"/>
        </w:rPr>
      </w:pPr>
    </w:p>
    <w:tbl>
      <w:tblPr>
        <w:tblW w:w="0" w:type="auto"/>
        <w:jc w:val="left"/>
        <w:tblInd w:w="15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09"/>
        <w:gridCol w:w="991"/>
        <w:gridCol w:w="1200"/>
        <w:gridCol w:w="1200"/>
        <w:gridCol w:w="1200"/>
      </w:tblGrid>
      <w:tr>
        <w:trPr>
          <w:trHeight w:val="434" w:hRule="exact"/>
        </w:trPr>
        <w:tc>
          <w:tcPr>
            <w:tcW w:w="6001" w:type="dxa"/>
            <w:gridSpan w:val="5"/>
            <w:shd w:val="clear" w:color="auto" w:fill="92D050"/>
          </w:tcPr>
          <w:p>
            <w:pPr>
              <w:pStyle w:val="TableParagraph"/>
              <w:ind w:left="2081" w:right="189" w:hanging="1871"/>
              <w:jc w:val="left"/>
              <w:rPr>
                <w:b/>
                <w:sz w:val="18"/>
              </w:rPr>
            </w:pPr>
            <w:r>
              <w:rPr>
                <w:b/>
                <w:sz w:val="18"/>
              </w:rPr>
              <w:t>Tabla 3.83: Cuenta con los recursos financieros para realizar sus actividades laborales</w:t>
            </w:r>
          </w:p>
        </w:tc>
      </w:tr>
      <w:tr>
        <w:trPr>
          <w:trHeight w:val="545" w:hRule="exact"/>
        </w:trPr>
        <w:tc>
          <w:tcPr>
            <w:tcW w:w="1409" w:type="dxa"/>
            <w:shd w:val="clear" w:color="auto" w:fill="92D050"/>
          </w:tcPr>
          <w:p>
            <w:pPr>
              <w:pStyle w:val="TableParagraph"/>
              <w:spacing w:before="155"/>
              <w:ind w:left="453"/>
              <w:jc w:val="left"/>
              <w:rPr>
                <w:b/>
                <w:sz w:val="18"/>
              </w:rPr>
            </w:pPr>
            <w:r>
              <w:rPr>
                <w:b/>
                <w:sz w:val="18"/>
              </w:rPr>
              <w:t>Clase</w:t>
            </w:r>
          </w:p>
        </w:tc>
        <w:tc>
          <w:tcPr>
            <w:tcW w:w="991" w:type="dxa"/>
            <w:tcBorders>
              <w:bottom w:val="single" w:sz="4" w:space="0" w:color="000000"/>
            </w:tcBorders>
            <w:shd w:val="clear" w:color="auto" w:fill="92D050"/>
          </w:tcPr>
          <w:p>
            <w:pPr>
              <w:pStyle w:val="TableParagraph"/>
              <w:spacing w:before="155"/>
              <w:ind w:left="285" w:right="-2"/>
              <w:jc w:val="left"/>
              <w:rPr>
                <w:b/>
                <w:sz w:val="18"/>
              </w:rPr>
            </w:pPr>
            <w:r>
              <w:rPr>
                <w:b/>
                <w:sz w:val="18"/>
              </w:rPr>
              <w:t>2013</w:t>
            </w:r>
          </w:p>
        </w:tc>
        <w:tc>
          <w:tcPr>
            <w:tcW w:w="1200" w:type="dxa"/>
            <w:tcBorders>
              <w:bottom w:val="single" w:sz="4" w:space="0" w:color="000000"/>
            </w:tcBorders>
            <w:shd w:val="clear" w:color="auto" w:fill="92D050"/>
          </w:tcPr>
          <w:p>
            <w:pPr>
              <w:pStyle w:val="TableParagraph"/>
              <w:spacing w:before="155"/>
              <w:ind w:left="391"/>
              <w:jc w:val="left"/>
              <w:rPr>
                <w:b/>
                <w:sz w:val="18"/>
              </w:rPr>
            </w:pPr>
            <w:r>
              <w:rPr>
                <w:b/>
                <w:sz w:val="18"/>
              </w:rPr>
              <w:t>2014</w:t>
            </w:r>
          </w:p>
        </w:tc>
        <w:tc>
          <w:tcPr>
            <w:tcW w:w="1200" w:type="dxa"/>
            <w:tcBorders>
              <w:bottom w:val="single" w:sz="4" w:space="0" w:color="000000"/>
            </w:tcBorders>
            <w:shd w:val="clear" w:color="auto" w:fill="92D050"/>
          </w:tcPr>
          <w:p>
            <w:pPr>
              <w:pStyle w:val="TableParagraph"/>
              <w:spacing w:before="155"/>
              <w:ind w:left="391" w:right="155"/>
              <w:jc w:val="left"/>
              <w:rPr>
                <w:b/>
                <w:sz w:val="18"/>
              </w:rPr>
            </w:pPr>
            <w:r>
              <w:rPr>
                <w:b/>
                <w:sz w:val="18"/>
              </w:rPr>
              <w:t>2015</w:t>
            </w:r>
          </w:p>
        </w:tc>
        <w:tc>
          <w:tcPr>
            <w:tcW w:w="1200" w:type="dxa"/>
            <w:tcBorders>
              <w:bottom w:val="single" w:sz="4" w:space="0" w:color="000000"/>
            </w:tcBorders>
            <w:shd w:val="clear" w:color="auto" w:fill="92D050"/>
          </w:tcPr>
          <w:p>
            <w:pPr>
              <w:pStyle w:val="TableParagraph"/>
              <w:spacing w:before="52"/>
              <w:ind w:left="271" w:right="155" w:hanging="96"/>
              <w:jc w:val="left"/>
              <w:rPr>
                <w:b/>
                <w:sz w:val="18"/>
              </w:rPr>
            </w:pPr>
            <w:r>
              <w:rPr>
                <w:b/>
                <w:sz w:val="18"/>
              </w:rPr>
              <w:t>Promedio general</w:t>
            </w:r>
          </w:p>
        </w:tc>
      </w:tr>
      <w:tr>
        <w:trPr>
          <w:trHeight w:val="271" w:hRule="exact"/>
        </w:trPr>
        <w:tc>
          <w:tcPr>
            <w:tcW w:w="1409" w:type="dxa"/>
            <w:tcBorders>
              <w:left w:val="single" w:sz="4" w:space="0" w:color="000000"/>
              <w:bottom w:val="single" w:sz="4" w:space="0" w:color="000000"/>
              <w:right w:val="single" w:sz="4" w:space="0" w:color="000000"/>
            </w:tcBorders>
          </w:tcPr>
          <w:p>
            <w:pPr>
              <w:pStyle w:val="TableParagraph"/>
              <w:spacing w:before="49"/>
              <w:ind w:left="67"/>
              <w:jc w:val="left"/>
              <w:rPr>
                <w:sz w:val="18"/>
              </w:rPr>
            </w:pPr>
            <w:r>
              <w:rPr>
                <w:sz w:val="18"/>
              </w:rPr>
              <w:t>Nunca</w:t>
            </w:r>
          </w:p>
        </w:tc>
        <w:tc>
          <w:tcPr>
            <w:tcW w:w="991" w:type="dxa"/>
            <w:tcBorders>
              <w:top w:val="single" w:sz="4" w:space="0" w:color="000000"/>
              <w:left w:val="single" w:sz="4" w:space="0" w:color="000000"/>
              <w:bottom w:val="single" w:sz="4" w:space="0" w:color="000000"/>
              <w:right w:val="single" w:sz="4" w:space="0" w:color="000000"/>
            </w:tcBorders>
          </w:tcPr>
          <w:p>
            <w:pP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54"/>
              <w:ind w:right="59"/>
              <w:jc w:val="right"/>
              <w:rPr>
                <w:sz w:val="18"/>
              </w:rPr>
            </w:pPr>
            <w:r>
              <w:rPr>
                <w:sz w:val="18"/>
              </w:rPr>
              <w:t>67.53%</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54"/>
              <w:ind w:right="59"/>
              <w:jc w:val="right"/>
              <w:rPr>
                <w:sz w:val="18"/>
              </w:rPr>
            </w:pPr>
            <w:r>
              <w:rPr>
                <w:sz w:val="18"/>
              </w:rPr>
              <w:t>38.47%</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54"/>
              <w:ind w:right="59"/>
              <w:jc w:val="right"/>
              <w:rPr>
                <w:sz w:val="18"/>
              </w:rPr>
            </w:pPr>
            <w:r>
              <w:rPr>
                <w:sz w:val="18"/>
              </w:rPr>
              <w:t>53.00%</w:t>
            </w:r>
          </w:p>
        </w:tc>
      </w:tr>
      <w:tr>
        <w:trPr>
          <w:trHeight w:val="264" w:hRule="exact"/>
        </w:trPr>
        <w:tc>
          <w:tcPr>
            <w:tcW w:w="1409"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Casi nunca</w:t>
            </w:r>
          </w:p>
        </w:tc>
        <w:tc>
          <w:tcPr>
            <w:tcW w:w="991" w:type="dxa"/>
            <w:tcBorders>
              <w:top w:val="single" w:sz="4" w:space="0" w:color="000000"/>
              <w:left w:val="single" w:sz="4" w:space="0" w:color="000000"/>
              <w:bottom w:val="single" w:sz="4" w:space="0" w:color="000000"/>
              <w:right w:val="single" w:sz="4" w:space="0" w:color="000000"/>
            </w:tcBorders>
          </w:tcPr>
          <w:p>
            <w:pPr>
              <w:pStyle w:val="TableParagraph"/>
              <w:spacing w:before="47"/>
              <w:ind w:left="307"/>
              <w:jc w:val="left"/>
              <w:rPr>
                <w:sz w:val="18"/>
              </w:rPr>
            </w:pPr>
            <w:r>
              <w:rPr>
                <w:sz w:val="18"/>
              </w:rPr>
              <w:t>78.52%</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88.07%</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52.35%</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72.98%</w:t>
            </w:r>
          </w:p>
        </w:tc>
      </w:tr>
      <w:tr>
        <w:trPr>
          <w:trHeight w:val="266" w:hRule="exact"/>
        </w:trPr>
        <w:tc>
          <w:tcPr>
            <w:tcW w:w="1409"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Casi siempre</w:t>
            </w:r>
          </w:p>
        </w:tc>
        <w:tc>
          <w:tcPr>
            <w:tcW w:w="991" w:type="dxa"/>
            <w:tcBorders>
              <w:top w:val="single" w:sz="4" w:space="0" w:color="000000"/>
              <w:left w:val="single" w:sz="4" w:space="0" w:color="000000"/>
              <w:bottom w:val="single" w:sz="4" w:space="0" w:color="000000"/>
              <w:right w:val="single" w:sz="4" w:space="0" w:color="000000"/>
            </w:tcBorders>
          </w:tcPr>
          <w:p>
            <w:pPr>
              <w:pStyle w:val="TableParagraph"/>
              <w:spacing w:before="47"/>
              <w:ind w:left="307"/>
              <w:jc w:val="left"/>
              <w:rPr>
                <w:sz w:val="18"/>
              </w:rPr>
            </w:pPr>
            <w:r>
              <w:rPr>
                <w:sz w:val="18"/>
              </w:rPr>
              <w:t>95.35%</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72.28%</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26.47%</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64.70%</w:t>
            </w:r>
          </w:p>
        </w:tc>
      </w:tr>
      <w:tr>
        <w:trPr>
          <w:trHeight w:val="264" w:hRule="exact"/>
        </w:trPr>
        <w:tc>
          <w:tcPr>
            <w:tcW w:w="1409" w:type="dxa"/>
            <w:tcBorders>
              <w:top w:val="single" w:sz="4" w:space="0" w:color="000000"/>
              <w:left w:val="single" w:sz="4" w:space="0" w:color="000000"/>
              <w:bottom w:val="single" w:sz="4" w:space="0" w:color="000000"/>
              <w:right w:val="single" w:sz="4" w:space="0" w:color="000000"/>
            </w:tcBorders>
          </w:tcPr>
          <w:p>
            <w:pPr>
              <w:pStyle w:val="TableParagraph"/>
              <w:spacing w:before="66"/>
              <w:ind w:left="67"/>
              <w:jc w:val="left"/>
              <w:rPr>
                <w:sz w:val="16"/>
              </w:rPr>
            </w:pPr>
            <w:r>
              <w:rPr>
                <w:sz w:val="16"/>
              </w:rPr>
              <w:t>Siempre</w:t>
            </w:r>
          </w:p>
        </w:tc>
        <w:tc>
          <w:tcPr>
            <w:tcW w:w="991" w:type="dxa"/>
            <w:tcBorders>
              <w:top w:val="single" w:sz="4" w:space="0" w:color="000000"/>
              <w:left w:val="single" w:sz="4" w:space="0" w:color="000000"/>
              <w:bottom w:val="single" w:sz="4" w:space="0" w:color="000000"/>
              <w:right w:val="single" w:sz="4" w:space="0" w:color="000000"/>
            </w:tcBorders>
          </w:tcPr>
          <w:p>
            <w:pPr>
              <w:pStyle w:val="TableParagraph"/>
              <w:spacing w:before="47"/>
              <w:ind w:left="307"/>
              <w:jc w:val="left"/>
              <w:rPr>
                <w:sz w:val="18"/>
              </w:rPr>
            </w:pPr>
            <w:r>
              <w:rPr>
                <w:sz w:val="18"/>
              </w:rPr>
              <w:t>91.60%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62.52%</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34.33%</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62.82%</w:t>
            </w:r>
          </w:p>
        </w:tc>
      </w:tr>
    </w:tbl>
    <w:p>
      <w:pPr>
        <w:spacing w:before="68"/>
        <w:ind w:left="1664" w:right="26" w:firstLine="0"/>
        <w:jc w:val="left"/>
        <w:rPr>
          <w:sz w:val="16"/>
        </w:rPr>
      </w:pPr>
      <w:r>
        <w:rPr>
          <w:sz w:val="16"/>
        </w:rPr>
        <w:t>Fuente: Elaboración propia</w:t>
      </w:r>
    </w:p>
    <w:p>
      <w:pPr>
        <w:spacing w:after="0"/>
        <w:jc w:val="left"/>
        <w:rPr>
          <w:sz w:val="16"/>
        </w:rPr>
        <w:sectPr>
          <w:pgSz w:w="12240" w:h="15840"/>
          <w:pgMar w:header="0" w:footer="1035" w:top="1360" w:bottom="1220" w:left="1480" w:right="1580"/>
        </w:sectPr>
      </w:pPr>
    </w:p>
    <w:p>
      <w:pPr>
        <w:pStyle w:val="BodyText"/>
        <w:spacing w:line="360" w:lineRule="auto" w:before="54"/>
        <w:ind w:left="128" w:right="119"/>
        <w:jc w:val="both"/>
      </w:pPr>
      <w:r>
        <w:rPr/>
        <w:t>Durante el periodo que comprende el 2013-2015 se tuvo un promedio de cumplimiento de la ley tal como se describe a continuación: en primer lugar se encuentran los representantes que casi nunca cuentan con los recursos financieros para el desempeño de sus actividades obteniendo un 72.98%, en segundo lugar se encuentran los que casi siempre cuentan con los recursos obteniendo un 64.70%, en tercer lugar se encuentran los que siempre cuentan con los recursos para el desempeño</w:t>
      </w:r>
      <w:r>
        <w:rPr>
          <w:spacing w:val="-15"/>
        </w:rPr>
        <w:t> </w:t>
      </w:r>
      <w:r>
        <w:rPr/>
        <w:t>de</w:t>
      </w:r>
      <w:r>
        <w:rPr>
          <w:spacing w:val="-15"/>
        </w:rPr>
        <w:t> </w:t>
      </w:r>
      <w:r>
        <w:rPr/>
        <w:t>sus</w:t>
      </w:r>
      <w:r>
        <w:rPr>
          <w:spacing w:val="-16"/>
        </w:rPr>
        <w:t> </w:t>
      </w:r>
      <w:r>
        <w:rPr/>
        <w:t>actividades</w:t>
      </w:r>
      <w:r>
        <w:rPr>
          <w:spacing w:val="-14"/>
        </w:rPr>
        <w:t> </w:t>
      </w:r>
      <w:r>
        <w:rPr/>
        <w:t>con</w:t>
      </w:r>
      <w:r>
        <w:rPr>
          <w:spacing w:val="-15"/>
        </w:rPr>
        <w:t> </w:t>
      </w:r>
      <w:r>
        <w:rPr/>
        <w:t>un</w:t>
      </w:r>
      <w:r>
        <w:rPr>
          <w:spacing w:val="-16"/>
        </w:rPr>
        <w:t> </w:t>
      </w:r>
      <w:r>
        <w:rPr/>
        <w:t>62.82%,</w:t>
      </w:r>
      <w:r>
        <w:rPr>
          <w:spacing w:val="-13"/>
        </w:rPr>
        <w:t> </w:t>
      </w:r>
      <w:r>
        <w:rPr/>
        <w:t>y</w:t>
      </w:r>
      <w:r>
        <w:rPr>
          <w:spacing w:val="-16"/>
        </w:rPr>
        <w:t> </w:t>
      </w:r>
      <w:r>
        <w:rPr/>
        <w:t>en</w:t>
      </w:r>
      <w:r>
        <w:rPr>
          <w:spacing w:val="-13"/>
        </w:rPr>
        <w:t> </w:t>
      </w:r>
      <w:r>
        <w:rPr/>
        <w:t>cuarto</w:t>
      </w:r>
      <w:r>
        <w:rPr>
          <w:spacing w:val="-13"/>
        </w:rPr>
        <w:t> </w:t>
      </w:r>
      <w:r>
        <w:rPr/>
        <w:t>lugar</w:t>
      </w:r>
      <w:r>
        <w:rPr>
          <w:spacing w:val="-15"/>
        </w:rPr>
        <w:t> </w:t>
      </w:r>
      <w:r>
        <w:rPr/>
        <w:t>están</w:t>
      </w:r>
      <w:r>
        <w:rPr>
          <w:spacing w:val="-13"/>
        </w:rPr>
        <w:t> </w:t>
      </w:r>
      <w:r>
        <w:rPr/>
        <w:t>los</w:t>
      </w:r>
      <w:r>
        <w:rPr>
          <w:spacing w:val="-16"/>
        </w:rPr>
        <w:t> </w:t>
      </w:r>
      <w:r>
        <w:rPr/>
        <w:t>que</w:t>
      </w:r>
      <w:r>
        <w:rPr>
          <w:spacing w:val="-13"/>
        </w:rPr>
        <w:t> </w:t>
      </w:r>
      <w:r>
        <w:rPr/>
        <w:t>nunca cuentan con los recursos financieros obteniendo un</w:t>
      </w:r>
      <w:r>
        <w:rPr>
          <w:spacing w:val="-22"/>
        </w:rPr>
        <w:t> </w:t>
      </w:r>
      <w:r>
        <w:rPr/>
        <w:t>53.00%.</w:t>
      </w:r>
    </w:p>
    <w:p>
      <w:pPr>
        <w:pStyle w:val="BodyText"/>
      </w:pPr>
    </w:p>
    <w:p>
      <w:pPr>
        <w:pStyle w:val="BodyText"/>
      </w:pPr>
    </w:p>
    <w:p>
      <w:pPr>
        <w:pStyle w:val="Heading1"/>
        <w:numPr>
          <w:ilvl w:val="2"/>
          <w:numId w:val="53"/>
        </w:numPr>
        <w:tabs>
          <w:tab w:pos="837" w:val="left" w:leader="none"/>
        </w:tabs>
        <w:spacing w:line="360" w:lineRule="auto" w:before="186" w:after="0"/>
        <w:ind w:left="836" w:right="125" w:hanging="720"/>
        <w:jc w:val="left"/>
      </w:pPr>
      <w:r>
        <w:rPr/>
        <w:t>Se sanciona a quienes incumplen la ley de transparencia vs porcentaje de transparencia</w:t>
      </w:r>
      <w:r>
        <w:rPr>
          <w:spacing w:val="-9"/>
        </w:rPr>
        <w:t> </w:t>
      </w:r>
      <w:r>
        <w:rPr/>
        <w:t>2015.</w:t>
      </w:r>
    </w:p>
    <w:p>
      <w:pPr>
        <w:pStyle w:val="BodyText"/>
        <w:rPr>
          <w:b/>
          <w:sz w:val="20"/>
        </w:rPr>
      </w:pPr>
    </w:p>
    <w:p>
      <w:pPr>
        <w:pStyle w:val="BodyText"/>
        <w:spacing w:before="7"/>
        <w:rPr>
          <w:b/>
          <w:sz w:val="19"/>
        </w:rPr>
      </w:pPr>
    </w:p>
    <w:tbl>
      <w:tblPr>
        <w:tblW w:w="0" w:type="auto"/>
        <w:jc w:val="left"/>
        <w:tblInd w:w="27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70"/>
        <w:gridCol w:w="1352"/>
        <w:gridCol w:w="878"/>
      </w:tblGrid>
      <w:tr>
        <w:trPr>
          <w:trHeight w:val="679" w:hRule="exact"/>
        </w:trPr>
        <w:tc>
          <w:tcPr>
            <w:tcW w:w="3600" w:type="dxa"/>
            <w:gridSpan w:val="3"/>
            <w:shd w:val="clear" w:color="auto" w:fill="92D050"/>
          </w:tcPr>
          <w:p>
            <w:pPr>
              <w:pStyle w:val="TableParagraph"/>
              <w:spacing w:before="116"/>
              <w:ind w:left="345" w:right="315" w:hanging="10"/>
              <w:jc w:val="left"/>
              <w:rPr>
                <w:b/>
                <w:sz w:val="18"/>
              </w:rPr>
            </w:pPr>
            <w:r>
              <w:rPr>
                <w:b/>
                <w:sz w:val="18"/>
              </w:rPr>
              <w:t>Tabla 3.84: Se sanciona a quienes incumplen la ley de transparencia</w:t>
            </w:r>
          </w:p>
        </w:tc>
      </w:tr>
      <w:tr>
        <w:trPr>
          <w:trHeight w:val="305" w:hRule="exact"/>
        </w:trPr>
        <w:tc>
          <w:tcPr>
            <w:tcW w:w="1370" w:type="dxa"/>
            <w:vMerge w:val="restart"/>
            <w:shd w:val="clear" w:color="auto" w:fill="92D050"/>
          </w:tcPr>
          <w:p>
            <w:pPr>
              <w:pStyle w:val="TableParagraph"/>
              <w:spacing w:before="7"/>
              <w:jc w:val="left"/>
              <w:rPr>
                <w:b/>
                <w:sz w:val="26"/>
              </w:rPr>
            </w:pPr>
          </w:p>
          <w:p>
            <w:pPr>
              <w:pStyle w:val="TableParagraph"/>
              <w:ind w:left="436"/>
              <w:jc w:val="left"/>
              <w:rPr>
                <w:b/>
                <w:sz w:val="18"/>
              </w:rPr>
            </w:pPr>
            <w:r>
              <w:rPr>
                <w:b/>
                <w:sz w:val="18"/>
              </w:rPr>
              <w:t>Clase</w:t>
            </w:r>
          </w:p>
        </w:tc>
        <w:tc>
          <w:tcPr>
            <w:tcW w:w="2230" w:type="dxa"/>
            <w:gridSpan w:val="2"/>
            <w:shd w:val="clear" w:color="auto" w:fill="92D050"/>
          </w:tcPr>
          <w:p>
            <w:pPr>
              <w:pStyle w:val="TableParagraph"/>
              <w:spacing w:before="32"/>
              <w:ind w:left="885" w:right="884"/>
              <w:rPr>
                <w:b/>
                <w:sz w:val="18"/>
              </w:rPr>
            </w:pPr>
            <w:r>
              <w:rPr>
                <w:b/>
                <w:sz w:val="18"/>
              </w:rPr>
              <w:t>2015</w:t>
            </w:r>
          </w:p>
        </w:tc>
      </w:tr>
      <w:tr>
        <w:trPr>
          <w:trHeight w:val="545" w:hRule="exact"/>
        </w:trPr>
        <w:tc>
          <w:tcPr>
            <w:tcW w:w="1370" w:type="dxa"/>
            <w:vMerge/>
            <w:shd w:val="clear" w:color="auto" w:fill="92D050"/>
          </w:tcPr>
          <w:p>
            <w:pPr/>
          </w:p>
        </w:tc>
        <w:tc>
          <w:tcPr>
            <w:tcW w:w="1352" w:type="dxa"/>
            <w:shd w:val="clear" w:color="auto" w:fill="92D050"/>
          </w:tcPr>
          <w:p>
            <w:pPr>
              <w:pStyle w:val="TableParagraph"/>
              <w:spacing w:before="155"/>
              <w:ind w:left="191"/>
              <w:jc w:val="left"/>
              <w:rPr>
                <w:b/>
                <w:sz w:val="18"/>
              </w:rPr>
            </w:pPr>
            <w:r>
              <w:rPr>
                <w:b/>
                <w:sz w:val="18"/>
              </w:rPr>
              <w:t>Frecuencia</w:t>
            </w:r>
          </w:p>
        </w:tc>
        <w:tc>
          <w:tcPr>
            <w:tcW w:w="878" w:type="dxa"/>
            <w:shd w:val="clear" w:color="auto" w:fill="92D050"/>
          </w:tcPr>
          <w:p>
            <w:pPr>
              <w:pStyle w:val="TableParagraph"/>
              <w:spacing w:before="155"/>
              <w:ind w:right="1"/>
              <w:rPr>
                <w:b/>
                <w:sz w:val="18"/>
              </w:rPr>
            </w:pPr>
            <w:r>
              <w:rPr>
                <w:b/>
                <w:w w:val="99"/>
                <w:sz w:val="18"/>
              </w:rPr>
              <w:t>%</w:t>
            </w:r>
          </w:p>
        </w:tc>
      </w:tr>
      <w:tr>
        <w:trPr>
          <w:trHeight w:val="286" w:hRule="exact"/>
        </w:trPr>
        <w:tc>
          <w:tcPr>
            <w:tcW w:w="1370" w:type="dxa"/>
            <w:tcBorders>
              <w:left w:val="single" w:sz="4" w:space="0" w:color="000000"/>
              <w:bottom w:val="single" w:sz="4" w:space="0" w:color="000000"/>
              <w:right w:val="single" w:sz="4" w:space="0" w:color="000000"/>
            </w:tcBorders>
          </w:tcPr>
          <w:p>
            <w:pPr>
              <w:pStyle w:val="TableParagraph"/>
              <w:spacing w:before="64"/>
              <w:ind w:left="67"/>
              <w:jc w:val="left"/>
              <w:rPr>
                <w:sz w:val="18"/>
              </w:rPr>
            </w:pPr>
            <w:r>
              <w:rPr>
                <w:sz w:val="18"/>
              </w:rPr>
              <w:t>Nunca</w:t>
            </w:r>
          </w:p>
        </w:tc>
        <w:tc>
          <w:tcPr>
            <w:tcW w:w="1352" w:type="dxa"/>
            <w:tcBorders>
              <w:left w:val="single" w:sz="4" w:space="0" w:color="000000"/>
              <w:bottom w:val="single" w:sz="4" w:space="0" w:color="000000"/>
              <w:right w:val="single" w:sz="4" w:space="0" w:color="000000"/>
            </w:tcBorders>
          </w:tcPr>
          <w:p>
            <w:pPr>
              <w:pStyle w:val="TableParagraph"/>
              <w:spacing w:before="64"/>
              <w:ind w:right="63"/>
              <w:jc w:val="right"/>
              <w:rPr>
                <w:sz w:val="18"/>
              </w:rPr>
            </w:pPr>
            <w:r>
              <w:rPr>
                <w:w w:val="99"/>
                <w:sz w:val="18"/>
              </w:rPr>
              <w:t>6</w:t>
            </w:r>
          </w:p>
        </w:tc>
        <w:tc>
          <w:tcPr>
            <w:tcW w:w="878" w:type="dxa"/>
            <w:tcBorders>
              <w:left w:val="single" w:sz="4" w:space="0" w:color="000000"/>
              <w:bottom w:val="single" w:sz="4" w:space="0" w:color="000000"/>
              <w:right w:val="single" w:sz="4" w:space="0" w:color="000000"/>
            </w:tcBorders>
          </w:tcPr>
          <w:p>
            <w:pPr>
              <w:pStyle w:val="TableParagraph"/>
              <w:spacing w:before="64"/>
              <w:ind w:right="61"/>
              <w:jc w:val="right"/>
              <w:rPr>
                <w:sz w:val="18"/>
              </w:rPr>
            </w:pPr>
            <w:r>
              <w:rPr>
                <w:sz w:val="18"/>
              </w:rPr>
              <w:t>46.28%</w:t>
            </w:r>
          </w:p>
        </w:tc>
      </w:tr>
      <w:tr>
        <w:trPr>
          <w:trHeight w:val="264" w:hRule="exact"/>
        </w:trPr>
        <w:tc>
          <w:tcPr>
            <w:tcW w:w="1370"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Casi nunca</w:t>
            </w:r>
          </w:p>
        </w:tc>
        <w:tc>
          <w:tcPr>
            <w:tcW w:w="1352" w:type="dxa"/>
            <w:tcBorders>
              <w:top w:val="single" w:sz="4" w:space="0" w:color="000000"/>
              <w:left w:val="single" w:sz="4" w:space="0" w:color="000000"/>
              <w:bottom w:val="single" w:sz="4" w:space="0" w:color="000000"/>
              <w:right w:val="single" w:sz="4" w:space="0" w:color="000000"/>
            </w:tcBorders>
          </w:tcPr>
          <w:p>
            <w:pPr>
              <w:pStyle w:val="TableParagraph"/>
              <w:spacing w:before="47"/>
              <w:ind w:right="63"/>
              <w:jc w:val="right"/>
              <w:rPr>
                <w:sz w:val="18"/>
              </w:rPr>
            </w:pPr>
            <w:r>
              <w:rPr>
                <w:w w:val="99"/>
                <w:sz w:val="18"/>
              </w:rPr>
              <w:t>4</w:t>
            </w:r>
          </w:p>
        </w:tc>
        <w:tc>
          <w:tcPr>
            <w:tcW w:w="878"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23.21%</w:t>
            </w:r>
          </w:p>
        </w:tc>
      </w:tr>
      <w:tr>
        <w:trPr>
          <w:trHeight w:val="266" w:hRule="exact"/>
        </w:trPr>
        <w:tc>
          <w:tcPr>
            <w:tcW w:w="1370"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Casi siempre</w:t>
            </w:r>
          </w:p>
        </w:tc>
        <w:tc>
          <w:tcPr>
            <w:tcW w:w="1352" w:type="dxa"/>
            <w:tcBorders>
              <w:top w:val="single" w:sz="4" w:space="0" w:color="000000"/>
              <w:left w:val="single" w:sz="4" w:space="0" w:color="000000"/>
              <w:bottom w:val="single" w:sz="4" w:space="0" w:color="000000"/>
              <w:right w:val="single" w:sz="4" w:space="0" w:color="000000"/>
            </w:tcBorders>
          </w:tcPr>
          <w:p>
            <w:pPr>
              <w:pStyle w:val="TableParagraph"/>
              <w:spacing w:before="47"/>
              <w:ind w:right="60"/>
              <w:jc w:val="right"/>
              <w:rPr>
                <w:sz w:val="18"/>
              </w:rPr>
            </w:pPr>
            <w:r>
              <w:rPr>
                <w:sz w:val="18"/>
              </w:rPr>
              <w:t>10</w:t>
            </w:r>
          </w:p>
        </w:tc>
        <w:tc>
          <w:tcPr>
            <w:tcW w:w="878"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31.80%</w:t>
            </w:r>
          </w:p>
        </w:tc>
      </w:tr>
      <w:tr>
        <w:trPr>
          <w:trHeight w:val="264" w:hRule="exact"/>
        </w:trPr>
        <w:tc>
          <w:tcPr>
            <w:tcW w:w="1370"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Siempre</w:t>
            </w:r>
          </w:p>
        </w:tc>
        <w:tc>
          <w:tcPr>
            <w:tcW w:w="1352" w:type="dxa"/>
            <w:tcBorders>
              <w:top w:val="single" w:sz="4" w:space="0" w:color="000000"/>
              <w:left w:val="single" w:sz="4" w:space="0" w:color="000000"/>
              <w:bottom w:val="single" w:sz="4" w:space="0" w:color="000000"/>
              <w:right w:val="single" w:sz="4" w:space="0" w:color="000000"/>
            </w:tcBorders>
          </w:tcPr>
          <w:p>
            <w:pPr>
              <w:pStyle w:val="TableParagraph"/>
              <w:spacing w:before="47"/>
              <w:ind w:right="60"/>
              <w:jc w:val="right"/>
              <w:rPr>
                <w:sz w:val="18"/>
              </w:rPr>
            </w:pPr>
            <w:r>
              <w:rPr>
                <w:sz w:val="18"/>
              </w:rPr>
              <w:t>26</w:t>
            </w:r>
          </w:p>
        </w:tc>
        <w:tc>
          <w:tcPr>
            <w:tcW w:w="878"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31.33%</w:t>
            </w:r>
          </w:p>
        </w:tc>
      </w:tr>
      <w:tr>
        <w:trPr>
          <w:trHeight w:val="266" w:hRule="exact"/>
        </w:trPr>
        <w:tc>
          <w:tcPr>
            <w:tcW w:w="1370"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No contestó</w:t>
            </w:r>
          </w:p>
        </w:tc>
        <w:tc>
          <w:tcPr>
            <w:tcW w:w="1352" w:type="dxa"/>
            <w:tcBorders>
              <w:top w:val="single" w:sz="4" w:space="0" w:color="000000"/>
              <w:left w:val="single" w:sz="4" w:space="0" w:color="000000"/>
              <w:bottom w:val="single" w:sz="4" w:space="0" w:color="000000"/>
              <w:right w:val="single" w:sz="4" w:space="0" w:color="000000"/>
            </w:tcBorders>
          </w:tcPr>
          <w:p>
            <w:pPr>
              <w:pStyle w:val="TableParagraph"/>
              <w:spacing w:before="47"/>
              <w:ind w:right="63"/>
              <w:jc w:val="right"/>
              <w:rPr>
                <w:sz w:val="18"/>
              </w:rPr>
            </w:pPr>
            <w:r>
              <w:rPr>
                <w:w w:val="99"/>
                <w:sz w:val="18"/>
              </w:rPr>
              <w:t>0</w:t>
            </w:r>
          </w:p>
        </w:tc>
        <w:tc>
          <w:tcPr>
            <w:tcW w:w="878"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S/I</w:t>
            </w:r>
          </w:p>
        </w:tc>
      </w:tr>
    </w:tbl>
    <w:p>
      <w:pPr>
        <w:spacing w:before="66"/>
        <w:ind w:left="2865" w:right="26" w:firstLine="0"/>
        <w:jc w:val="left"/>
        <w:rPr>
          <w:sz w:val="16"/>
        </w:rPr>
      </w:pPr>
      <w:r>
        <w:rPr>
          <w:sz w:val="16"/>
        </w:rPr>
        <w:t>Fuente: Elaboración propia.</w:t>
      </w:r>
    </w:p>
    <w:p>
      <w:pPr>
        <w:pStyle w:val="BodyText"/>
        <w:rPr>
          <w:sz w:val="20"/>
        </w:rPr>
      </w:pPr>
    </w:p>
    <w:p>
      <w:pPr>
        <w:pStyle w:val="BodyText"/>
      </w:pPr>
    </w:p>
    <w:p>
      <w:pPr>
        <w:pStyle w:val="BodyText"/>
        <w:spacing w:line="360" w:lineRule="auto" w:before="70"/>
        <w:ind w:left="128" w:right="115"/>
        <w:jc w:val="both"/>
      </w:pPr>
      <w:r>
        <w:rPr/>
        <w:t>En la tabla anterior se muestran los resultados obtenidos de hacer el cruce de las variables del cumplimiento de la ley de transparencia en relación a si se sanciona a los que incumplen la ley de transparencia de los responsables de la transparencia en los gobiernos municipales. Los resultados obtenidos muestran cómo los responsables de la transparencia que obtuvieron el primer lugar dijeron que nunca sancionan</w:t>
      </w:r>
      <w:r>
        <w:rPr>
          <w:spacing w:val="-11"/>
        </w:rPr>
        <w:t> </w:t>
      </w:r>
      <w:r>
        <w:rPr/>
        <w:t>a</w:t>
      </w:r>
      <w:r>
        <w:rPr>
          <w:spacing w:val="-8"/>
        </w:rPr>
        <w:t> </w:t>
      </w:r>
      <w:r>
        <w:rPr/>
        <w:t>los</w:t>
      </w:r>
      <w:r>
        <w:rPr>
          <w:spacing w:val="-8"/>
        </w:rPr>
        <w:t> </w:t>
      </w:r>
      <w:r>
        <w:rPr/>
        <w:t>que</w:t>
      </w:r>
      <w:r>
        <w:rPr>
          <w:spacing w:val="-11"/>
        </w:rPr>
        <w:t> </w:t>
      </w:r>
      <w:r>
        <w:rPr/>
        <w:t>incumplen</w:t>
      </w:r>
      <w:r>
        <w:rPr>
          <w:spacing w:val="-8"/>
        </w:rPr>
        <w:t> </w:t>
      </w:r>
      <w:r>
        <w:rPr/>
        <w:t>con</w:t>
      </w:r>
      <w:r>
        <w:rPr>
          <w:spacing w:val="-8"/>
        </w:rPr>
        <w:t> </w:t>
      </w:r>
      <w:r>
        <w:rPr/>
        <w:t>la</w:t>
      </w:r>
      <w:r>
        <w:rPr>
          <w:spacing w:val="-11"/>
        </w:rPr>
        <w:t> </w:t>
      </w:r>
      <w:r>
        <w:rPr/>
        <w:t>ley</w:t>
      </w:r>
      <w:r>
        <w:rPr>
          <w:spacing w:val="-11"/>
        </w:rPr>
        <w:t> </w:t>
      </w:r>
      <w:r>
        <w:rPr/>
        <w:t>con</w:t>
      </w:r>
      <w:r>
        <w:rPr>
          <w:spacing w:val="-11"/>
        </w:rPr>
        <w:t> </w:t>
      </w:r>
      <w:r>
        <w:rPr/>
        <w:t>un</w:t>
      </w:r>
      <w:r>
        <w:rPr>
          <w:spacing w:val="-11"/>
        </w:rPr>
        <w:t> </w:t>
      </w:r>
      <w:r>
        <w:rPr/>
        <w:t>46.28%,</w:t>
      </w:r>
      <w:r>
        <w:rPr>
          <w:spacing w:val="-11"/>
        </w:rPr>
        <w:t> </w:t>
      </w:r>
      <w:r>
        <w:rPr/>
        <w:t>en</w:t>
      </w:r>
      <w:r>
        <w:rPr>
          <w:spacing w:val="-11"/>
        </w:rPr>
        <w:t> </w:t>
      </w:r>
      <w:r>
        <w:rPr/>
        <w:t>segundo</w:t>
      </w:r>
      <w:r>
        <w:rPr>
          <w:spacing w:val="-8"/>
        </w:rPr>
        <w:t> </w:t>
      </w:r>
      <w:r>
        <w:rPr/>
        <w:t>lugar,</w:t>
      </w:r>
      <w:r>
        <w:rPr>
          <w:spacing w:val="-9"/>
        </w:rPr>
        <w:t> </w:t>
      </w:r>
      <w:r>
        <w:rPr/>
        <w:t>aparece a los que casi siempre incumplen con un 31.80%, en tercer lugar están los que siempre castigan a los que incumplen la ley con un 31.33% y en cuarto lugar están los que casi nunca castigan el incumplimiento de la ley con un</w:t>
      </w:r>
      <w:r>
        <w:rPr>
          <w:spacing w:val="-22"/>
        </w:rPr>
        <w:t> </w:t>
      </w:r>
      <w:r>
        <w:rPr/>
        <w:t>23.21%.</w:t>
      </w:r>
    </w:p>
    <w:p>
      <w:pPr>
        <w:spacing w:after="0" w:line="360" w:lineRule="auto"/>
        <w:jc w:val="both"/>
        <w:sectPr>
          <w:pgSz w:w="12240" w:h="15840"/>
          <w:pgMar w:header="0" w:footer="1035" w:top="1360" w:bottom="1220" w:left="1480" w:right="1580"/>
        </w:sectPr>
      </w:pPr>
    </w:p>
    <w:p>
      <w:pPr>
        <w:pStyle w:val="BodyText"/>
        <w:spacing w:line="362" w:lineRule="auto" w:before="54"/>
        <w:ind w:left="108" w:right="6"/>
      </w:pPr>
      <w:r>
        <w:rPr/>
        <w:t>En un sentido retroactivo del periodo de administración 2013 -2015 la siguiente tabla muestra el promedio de cumplimiento de la ley de transparencia:</w:t>
      </w:r>
    </w:p>
    <w:p>
      <w:pPr>
        <w:pStyle w:val="BodyText"/>
        <w:rPr>
          <w:sz w:val="20"/>
        </w:rPr>
      </w:pPr>
    </w:p>
    <w:p>
      <w:pPr>
        <w:pStyle w:val="BodyText"/>
        <w:rPr>
          <w:sz w:val="20"/>
        </w:rPr>
      </w:pPr>
    </w:p>
    <w:p>
      <w:pPr>
        <w:pStyle w:val="BodyText"/>
        <w:spacing w:before="1"/>
      </w:pPr>
    </w:p>
    <w:tbl>
      <w:tblPr>
        <w:tblW w:w="0" w:type="auto"/>
        <w:jc w:val="left"/>
        <w:tblInd w:w="15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09"/>
        <w:gridCol w:w="991"/>
        <w:gridCol w:w="1200"/>
        <w:gridCol w:w="1200"/>
        <w:gridCol w:w="1200"/>
      </w:tblGrid>
      <w:tr>
        <w:trPr>
          <w:trHeight w:val="304" w:hRule="exact"/>
        </w:trPr>
        <w:tc>
          <w:tcPr>
            <w:tcW w:w="6001" w:type="dxa"/>
            <w:gridSpan w:val="5"/>
            <w:shd w:val="clear" w:color="auto" w:fill="92D050"/>
          </w:tcPr>
          <w:p>
            <w:pPr>
              <w:pStyle w:val="TableParagraph"/>
              <w:spacing w:before="34"/>
              <w:ind w:left="67"/>
              <w:jc w:val="left"/>
              <w:rPr>
                <w:b/>
                <w:sz w:val="18"/>
              </w:rPr>
            </w:pPr>
            <w:r>
              <w:rPr>
                <w:b/>
                <w:sz w:val="18"/>
              </w:rPr>
              <w:t>Tabla 3.85: Se sanciona a quienes incumplen la ley de transparencia</w:t>
            </w:r>
          </w:p>
        </w:tc>
      </w:tr>
      <w:tr>
        <w:trPr>
          <w:trHeight w:val="545" w:hRule="exact"/>
        </w:trPr>
        <w:tc>
          <w:tcPr>
            <w:tcW w:w="1409" w:type="dxa"/>
            <w:shd w:val="clear" w:color="auto" w:fill="92D050"/>
          </w:tcPr>
          <w:p>
            <w:pPr>
              <w:pStyle w:val="TableParagraph"/>
              <w:spacing w:before="155"/>
              <w:ind w:left="453"/>
              <w:jc w:val="left"/>
              <w:rPr>
                <w:b/>
                <w:sz w:val="18"/>
              </w:rPr>
            </w:pPr>
            <w:r>
              <w:rPr>
                <w:b/>
                <w:sz w:val="18"/>
              </w:rPr>
              <w:t>Clase</w:t>
            </w:r>
          </w:p>
        </w:tc>
        <w:tc>
          <w:tcPr>
            <w:tcW w:w="991" w:type="dxa"/>
            <w:tcBorders>
              <w:bottom w:val="single" w:sz="4" w:space="0" w:color="000000"/>
            </w:tcBorders>
            <w:shd w:val="clear" w:color="auto" w:fill="92D050"/>
          </w:tcPr>
          <w:p>
            <w:pPr>
              <w:pStyle w:val="TableParagraph"/>
              <w:spacing w:before="155"/>
              <w:ind w:left="285" w:right="-2"/>
              <w:jc w:val="left"/>
              <w:rPr>
                <w:b/>
                <w:sz w:val="18"/>
              </w:rPr>
            </w:pPr>
            <w:r>
              <w:rPr>
                <w:b/>
                <w:sz w:val="18"/>
              </w:rPr>
              <w:t>2013</w:t>
            </w:r>
          </w:p>
        </w:tc>
        <w:tc>
          <w:tcPr>
            <w:tcW w:w="1200" w:type="dxa"/>
            <w:tcBorders>
              <w:bottom w:val="single" w:sz="4" w:space="0" w:color="000000"/>
            </w:tcBorders>
            <w:shd w:val="clear" w:color="auto" w:fill="92D050"/>
          </w:tcPr>
          <w:p>
            <w:pPr>
              <w:pStyle w:val="TableParagraph"/>
              <w:spacing w:before="155"/>
              <w:ind w:left="391"/>
              <w:jc w:val="left"/>
              <w:rPr>
                <w:b/>
                <w:sz w:val="18"/>
              </w:rPr>
            </w:pPr>
            <w:r>
              <w:rPr>
                <w:b/>
                <w:sz w:val="18"/>
              </w:rPr>
              <w:t>2014</w:t>
            </w:r>
          </w:p>
        </w:tc>
        <w:tc>
          <w:tcPr>
            <w:tcW w:w="1200" w:type="dxa"/>
            <w:tcBorders>
              <w:bottom w:val="single" w:sz="4" w:space="0" w:color="000000"/>
            </w:tcBorders>
            <w:shd w:val="clear" w:color="auto" w:fill="92D050"/>
          </w:tcPr>
          <w:p>
            <w:pPr>
              <w:pStyle w:val="TableParagraph"/>
              <w:spacing w:before="155"/>
              <w:ind w:left="391" w:right="155"/>
              <w:jc w:val="left"/>
              <w:rPr>
                <w:b/>
                <w:sz w:val="18"/>
              </w:rPr>
            </w:pPr>
            <w:r>
              <w:rPr>
                <w:b/>
                <w:sz w:val="18"/>
              </w:rPr>
              <w:t>2015</w:t>
            </w:r>
          </w:p>
        </w:tc>
        <w:tc>
          <w:tcPr>
            <w:tcW w:w="1200" w:type="dxa"/>
            <w:tcBorders>
              <w:bottom w:val="single" w:sz="4" w:space="0" w:color="000000"/>
            </w:tcBorders>
            <w:shd w:val="clear" w:color="auto" w:fill="92D050"/>
          </w:tcPr>
          <w:p>
            <w:pPr>
              <w:pStyle w:val="TableParagraph"/>
              <w:spacing w:before="52"/>
              <w:ind w:left="271" w:right="155" w:hanging="96"/>
              <w:jc w:val="left"/>
              <w:rPr>
                <w:b/>
                <w:sz w:val="18"/>
              </w:rPr>
            </w:pPr>
            <w:r>
              <w:rPr>
                <w:b/>
                <w:sz w:val="18"/>
              </w:rPr>
              <w:t>Promedio general</w:t>
            </w:r>
          </w:p>
        </w:tc>
      </w:tr>
      <w:tr>
        <w:trPr>
          <w:trHeight w:val="286" w:hRule="exact"/>
        </w:trPr>
        <w:tc>
          <w:tcPr>
            <w:tcW w:w="1409" w:type="dxa"/>
            <w:tcBorders>
              <w:left w:val="single" w:sz="4" w:space="0" w:color="000000"/>
              <w:bottom w:val="single" w:sz="4" w:space="0" w:color="000000"/>
              <w:right w:val="single" w:sz="4" w:space="0" w:color="000000"/>
            </w:tcBorders>
          </w:tcPr>
          <w:p>
            <w:pPr>
              <w:pStyle w:val="TableParagraph"/>
              <w:spacing w:before="64"/>
              <w:ind w:left="67"/>
              <w:jc w:val="left"/>
              <w:rPr>
                <w:sz w:val="18"/>
              </w:rPr>
            </w:pPr>
            <w:r>
              <w:rPr>
                <w:sz w:val="18"/>
              </w:rPr>
              <w:t>Nunca</w:t>
            </w:r>
          </w:p>
        </w:tc>
        <w:tc>
          <w:tcPr>
            <w:tcW w:w="991" w:type="dxa"/>
            <w:tcBorders>
              <w:top w:val="single" w:sz="4" w:space="0" w:color="000000"/>
              <w:left w:val="single" w:sz="4" w:space="0" w:color="000000"/>
              <w:bottom w:val="single" w:sz="4" w:space="0" w:color="000000"/>
              <w:right w:val="single" w:sz="4" w:space="0" w:color="000000"/>
            </w:tcBorders>
          </w:tcPr>
          <w:p>
            <w:pPr>
              <w:pStyle w:val="TableParagraph"/>
              <w:spacing w:before="68"/>
              <w:ind w:right="61"/>
              <w:jc w:val="right"/>
              <w:rPr>
                <w:sz w:val="18"/>
              </w:rPr>
            </w:pPr>
            <w:r>
              <w:rPr>
                <w:sz w:val="18"/>
              </w:rPr>
              <w:t>78.52%</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68"/>
              <w:ind w:right="59"/>
              <w:jc w:val="right"/>
              <w:rPr>
                <w:sz w:val="18"/>
              </w:rPr>
            </w:pPr>
            <w:r>
              <w:rPr>
                <w:sz w:val="18"/>
              </w:rPr>
              <w:t>87.47%</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68"/>
              <w:ind w:right="59"/>
              <w:jc w:val="right"/>
              <w:rPr>
                <w:sz w:val="18"/>
              </w:rPr>
            </w:pPr>
            <w:r>
              <w:rPr>
                <w:sz w:val="18"/>
              </w:rPr>
              <w:t>46.28%</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68"/>
              <w:ind w:right="59"/>
              <w:jc w:val="right"/>
              <w:rPr>
                <w:sz w:val="18"/>
              </w:rPr>
            </w:pPr>
            <w:r>
              <w:rPr>
                <w:sz w:val="18"/>
              </w:rPr>
              <w:t>70.76%</w:t>
            </w:r>
          </w:p>
        </w:tc>
      </w:tr>
      <w:tr>
        <w:trPr>
          <w:trHeight w:val="266" w:hRule="exact"/>
        </w:trPr>
        <w:tc>
          <w:tcPr>
            <w:tcW w:w="1409"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Casi nunca</w:t>
            </w:r>
          </w:p>
        </w:tc>
        <w:tc>
          <w:tcPr>
            <w:tcW w:w="991"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S/I</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80.52%</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23.21%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51.87%</w:t>
            </w:r>
          </w:p>
        </w:tc>
      </w:tr>
      <w:tr>
        <w:trPr>
          <w:trHeight w:val="264" w:hRule="exact"/>
        </w:trPr>
        <w:tc>
          <w:tcPr>
            <w:tcW w:w="1409"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Casi siempre</w:t>
            </w:r>
          </w:p>
        </w:tc>
        <w:tc>
          <w:tcPr>
            <w:tcW w:w="991" w:type="dxa"/>
            <w:tcBorders>
              <w:top w:val="single" w:sz="4" w:space="0" w:color="000000"/>
              <w:left w:val="single" w:sz="4" w:space="0" w:color="000000"/>
              <w:bottom w:val="single" w:sz="4" w:space="0" w:color="000000"/>
              <w:right w:val="single" w:sz="4" w:space="0" w:color="000000"/>
            </w:tcBorders>
          </w:tcPr>
          <w:p>
            <w:pPr>
              <w:pStyle w:val="TableParagraph"/>
              <w:spacing w:before="47"/>
              <w:ind w:left="64"/>
              <w:jc w:val="left"/>
              <w:rPr>
                <w:sz w:val="18"/>
              </w:rPr>
            </w:pPr>
            <w:r>
              <w:rPr>
                <w:sz w:val="18"/>
              </w:rPr>
              <w:t>S/I</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54.57%</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31.80%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43.19%</w:t>
            </w:r>
          </w:p>
        </w:tc>
      </w:tr>
      <w:tr>
        <w:trPr>
          <w:trHeight w:val="264" w:hRule="exact"/>
        </w:trPr>
        <w:tc>
          <w:tcPr>
            <w:tcW w:w="1409" w:type="dxa"/>
            <w:tcBorders>
              <w:top w:val="single" w:sz="4" w:space="0" w:color="000000"/>
              <w:left w:val="single" w:sz="4" w:space="0" w:color="000000"/>
              <w:bottom w:val="single" w:sz="4" w:space="0" w:color="000000"/>
              <w:right w:val="single" w:sz="4" w:space="0" w:color="000000"/>
            </w:tcBorders>
          </w:tcPr>
          <w:p>
            <w:pPr>
              <w:pStyle w:val="TableParagraph"/>
              <w:spacing w:before="47"/>
              <w:ind w:left="67"/>
              <w:jc w:val="left"/>
              <w:rPr>
                <w:sz w:val="18"/>
              </w:rPr>
            </w:pPr>
            <w:r>
              <w:rPr>
                <w:sz w:val="18"/>
              </w:rPr>
              <w:t>Siempre</w:t>
            </w:r>
          </w:p>
        </w:tc>
        <w:tc>
          <w:tcPr>
            <w:tcW w:w="991" w:type="dxa"/>
            <w:tcBorders>
              <w:top w:val="single" w:sz="4" w:space="0" w:color="000000"/>
              <w:left w:val="single" w:sz="4" w:space="0" w:color="000000"/>
              <w:bottom w:val="single" w:sz="4" w:space="0" w:color="000000"/>
              <w:right w:val="single" w:sz="4" w:space="0" w:color="000000"/>
            </w:tcBorders>
          </w:tcPr>
          <w:p>
            <w:pPr>
              <w:pStyle w:val="TableParagraph"/>
              <w:spacing w:before="47"/>
              <w:ind w:right="61"/>
              <w:jc w:val="right"/>
              <w:rPr>
                <w:sz w:val="18"/>
              </w:rPr>
            </w:pPr>
            <w:r>
              <w:rPr>
                <w:sz w:val="18"/>
              </w:rPr>
              <w:t>92.40%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70.27%</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31.33%</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right="59"/>
              <w:jc w:val="right"/>
              <w:rPr>
                <w:sz w:val="18"/>
              </w:rPr>
            </w:pPr>
            <w:r>
              <w:rPr>
                <w:sz w:val="18"/>
              </w:rPr>
              <w:t>64.67%</w:t>
            </w:r>
          </w:p>
        </w:tc>
      </w:tr>
      <w:tr>
        <w:trPr>
          <w:trHeight w:val="266" w:hRule="exact"/>
        </w:trPr>
        <w:tc>
          <w:tcPr>
            <w:tcW w:w="1409" w:type="dxa"/>
            <w:tcBorders>
              <w:top w:val="single" w:sz="4" w:space="0" w:color="000000"/>
              <w:left w:val="single" w:sz="4" w:space="0" w:color="000000"/>
              <w:bottom w:val="single" w:sz="4" w:space="0" w:color="000000"/>
              <w:right w:val="single" w:sz="4" w:space="0" w:color="000000"/>
            </w:tcBorders>
          </w:tcPr>
          <w:p>
            <w:pPr>
              <w:pStyle w:val="TableParagraph"/>
              <w:spacing w:before="49"/>
              <w:ind w:left="67"/>
              <w:jc w:val="left"/>
              <w:rPr>
                <w:sz w:val="18"/>
              </w:rPr>
            </w:pPr>
            <w:r>
              <w:rPr>
                <w:sz w:val="18"/>
              </w:rPr>
              <w:t>No contestó</w:t>
            </w:r>
          </w:p>
        </w:tc>
        <w:tc>
          <w:tcPr>
            <w:tcW w:w="991" w:type="dxa"/>
            <w:tcBorders>
              <w:top w:val="single" w:sz="4" w:space="0" w:color="000000"/>
              <w:left w:val="single" w:sz="4" w:space="0" w:color="000000"/>
              <w:bottom w:val="single" w:sz="4" w:space="0" w:color="000000"/>
              <w:right w:val="single" w:sz="4" w:space="0" w:color="000000"/>
            </w:tcBorders>
          </w:tcPr>
          <w:p>
            <w:pPr>
              <w:pStyle w:val="TableParagraph"/>
              <w:spacing w:before="49"/>
              <w:ind w:right="61"/>
              <w:jc w:val="right"/>
              <w:rPr>
                <w:sz w:val="18"/>
              </w:rPr>
            </w:pPr>
            <w:r>
              <w:rPr>
                <w:sz w:val="18"/>
              </w:rPr>
              <w:t>97.50%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9"/>
              <w:ind w:left="67"/>
              <w:jc w:val="left"/>
              <w:rPr>
                <w:sz w:val="18"/>
              </w:rPr>
            </w:pPr>
            <w:r>
              <w:rPr>
                <w:sz w:val="18"/>
              </w:rPr>
              <w:t>S/I</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9"/>
              <w:ind w:left="67"/>
              <w:jc w:val="left"/>
              <w:rPr>
                <w:sz w:val="18"/>
              </w:rPr>
            </w:pPr>
            <w:r>
              <w:rPr>
                <w:sz w:val="18"/>
              </w:rPr>
              <w:t>S/I</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9"/>
              <w:ind w:right="59"/>
              <w:jc w:val="right"/>
              <w:rPr>
                <w:sz w:val="18"/>
              </w:rPr>
            </w:pPr>
            <w:r>
              <w:rPr>
                <w:sz w:val="18"/>
              </w:rPr>
              <w:t>97.50%</w:t>
            </w:r>
          </w:p>
        </w:tc>
      </w:tr>
    </w:tbl>
    <w:p>
      <w:pPr>
        <w:spacing w:before="69"/>
        <w:ind w:left="1644" w:right="6" w:firstLine="0"/>
        <w:jc w:val="left"/>
        <w:rPr>
          <w:sz w:val="16"/>
        </w:rPr>
      </w:pPr>
      <w:r>
        <w:rPr>
          <w:sz w:val="16"/>
        </w:rPr>
        <w:t>Fuente: Elaboración propia</w:t>
      </w:r>
    </w:p>
    <w:p>
      <w:pPr>
        <w:pStyle w:val="BodyText"/>
        <w:rPr>
          <w:sz w:val="20"/>
        </w:rPr>
      </w:pPr>
    </w:p>
    <w:p>
      <w:pPr>
        <w:pStyle w:val="BodyText"/>
        <w:spacing w:before="9"/>
        <w:rPr>
          <w:sz w:val="23"/>
        </w:rPr>
      </w:pPr>
    </w:p>
    <w:p>
      <w:pPr>
        <w:pStyle w:val="BodyText"/>
        <w:spacing w:line="360" w:lineRule="auto" w:before="70"/>
        <w:ind w:left="108" w:right="98"/>
        <w:jc w:val="both"/>
      </w:pPr>
      <w:r>
        <w:rPr/>
        <w:t>Durante el periodo que comprende el 2013-2015 se tuvo un promedio de cumplimiento de la ley tal como se describe a continuación: en primer lugar se encuentran los representantes que no contestaron si se castiga el incumplimiento con un 97.50% ,en segundo lugar están los que nunca sancionan el incumplimiento de la ley con un 70.76%, en tercer lugar están los que siempre sancionan el incumplimiento de la ley con un 64.67%, en cuarto lugar están los que casi nunca sancionan con un 51.87% y en quinto lugar están los que casi siempre sancionan el incumplimiento de la ley con un 43.19%.</w:t>
      </w:r>
    </w:p>
    <w:p>
      <w:pPr>
        <w:spacing w:after="0" w:line="360" w:lineRule="auto"/>
        <w:jc w:val="both"/>
        <w:sectPr>
          <w:pgSz w:w="12240" w:h="15840"/>
          <w:pgMar w:header="0" w:footer="1035" w:top="1360" w:bottom="1220" w:left="1500" w:right="1600"/>
        </w:sectPr>
      </w:pPr>
    </w:p>
    <w:p>
      <w:pPr>
        <w:pStyle w:val="Heading1"/>
        <w:numPr>
          <w:ilvl w:val="0"/>
          <w:numId w:val="43"/>
        </w:numPr>
        <w:tabs>
          <w:tab w:pos="538" w:val="left" w:leader="none"/>
          <w:tab w:pos="539" w:val="left" w:leader="none"/>
          <w:tab w:pos="1303" w:val="left" w:leader="none"/>
          <w:tab w:pos="2865" w:val="left" w:leader="none"/>
          <w:tab w:pos="3470" w:val="left" w:leader="none"/>
          <w:tab w:pos="4057" w:val="left" w:leader="none"/>
          <w:tab w:pos="6473" w:val="left" w:leader="none"/>
          <w:tab w:pos="7056" w:val="left" w:leader="none"/>
          <w:tab w:pos="8353" w:val="left" w:leader="none"/>
          <w:tab w:pos="8790" w:val="left" w:leader="none"/>
        </w:tabs>
        <w:spacing w:line="362" w:lineRule="auto" w:before="54" w:after="0"/>
        <w:ind w:left="471" w:right="121" w:hanging="360"/>
        <w:jc w:val="left"/>
      </w:pPr>
      <w:bookmarkStart w:name="_bookmark18" w:id="33"/>
      <w:bookmarkEnd w:id="33"/>
      <w:r>
        <w:rPr/>
        <w:t>LOS</w:t>
      </w:r>
      <w:r>
        <w:rPr/>
        <w:tab/>
        <w:t>ENEMIGOS</w:t>
        <w:tab/>
        <w:t>DE</w:t>
        <w:tab/>
        <w:t>LA</w:t>
        <w:tab/>
        <w:t>TRANSPARENCIA,</w:t>
        <w:tab/>
        <w:t>EL</w:t>
        <w:tab/>
        <w:t>ACCESO</w:t>
        <w:tab/>
        <w:t>A</w:t>
        <w:tab/>
      </w:r>
      <w:r>
        <w:rPr>
          <w:spacing w:val="3"/>
        </w:rPr>
        <w:t>LA </w:t>
      </w:r>
      <w:r>
        <w:rPr/>
        <w:t>INFORMACIÓN Y EL GOBIERNO</w:t>
      </w:r>
      <w:r>
        <w:rPr>
          <w:spacing w:val="-8"/>
        </w:rPr>
        <w:t> </w:t>
      </w:r>
      <w:r>
        <w:rPr/>
        <w:t>ABIERTO</w:t>
      </w:r>
    </w:p>
    <w:p>
      <w:pPr>
        <w:pStyle w:val="BodyText"/>
        <w:rPr>
          <w:b/>
        </w:rPr>
      </w:pPr>
    </w:p>
    <w:p>
      <w:pPr>
        <w:pStyle w:val="BodyText"/>
        <w:spacing w:before="1"/>
        <w:rPr>
          <w:b/>
          <w:sz w:val="26"/>
        </w:rPr>
      </w:pPr>
    </w:p>
    <w:p>
      <w:pPr>
        <w:pStyle w:val="BodyText"/>
        <w:spacing w:line="360" w:lineRule="auto"/>
        <w:ind w:left="188" w:right="115"/>
        <w:jc w:val="both"/>
      </w:pPr>
      <w:r>
        <w:rPr/>
        <w:t>Siguiendo la analogía de Popper se han considerado enemigos del GA todos aquellos entes, prácticas o condiciones que obstaculizan la institucionalización y transparencia</w:t>
      </w:r>
      <w:r>
        <w:rPr>
          <w:spacing w:val="-7"/>
        </w:rPr>
        <w:t> </w:t>
      </w:r>
      <w:r>
        <w:rPr/>
        <w:t>en</w:t>
      </w:r>
      <w:r>
        <w:rPr>
          <w:spacing w:val="-6"/>
        </w:rPr>
        <w:t> </w:t>
      </w:r>
      <w:r>
        <w:rPr/>
        <w:t>los</w:t>
      </w:r>
      <w:r>
        <w:rPr>
          <w:spacing w:val="-9"/>
        </w:rPr>
        <w:t> </w:t>
      </w:r>
      <w:r>
        <w:rPr/>
        <w:t>municipios</w:t>
      </w:r>
      <w:r>
        <w:rPr>
          <w:spacing w:val="-6"/>
        </w:rPr>
        <w:t> </w:t>
      </w:r>
      <w:r>
        <w:rPr/>
        <w:t>del</w:t>
      </w:r>
      <w:r>
        <w:rPr>
          <w:spacing w:val="-5"/>
        </w:rPr>
        <w:t> </w:t>
      </w:r>
      <w:r>
        <w:rPr/>
        <w:t>Estado</w:t>
      </w:r>
      <w:r>
        <w:rPr>
          <w:spacing w:val="-8"/>
        </w:rPr>
        <w:t> </w:t>
      </w:r>
      <w:r>
        <w:rPr/>
        <w:t>de</w:t>
      </w:r>
      <w:r>
        <w:rPr>
          <w:spacing w:val="-8"/>
        </w:rPr>
        <w:t> </w:t>
      </w:r>
      <w:r>
        <w:rPr/>
        <w:t>México.</w:t>
      </w:r>
      <w:r>
        <w:rPr>
          <w:spacing w:val="-6"/>
        </w:rPr>
        <w:t> </w:t>
      </w:r>
      <w:r>
        <w:rPr/>
        <w:t>Ya</w:t>
      </w:r>
      <w:r>
        <w:rPr>
          <w:spacing w:val="-6"/>
        </w:rPr>
        <w:t> </w:t>
      </w:r>
      <w:r>
        <w:rPr/>
        <w:t>sea</w:t>
      </w:r>
      <w:r>
        <w:rPr>
          <w:spacing w:val="-6"/>
        </w:rPr>
        <w:t> </w:t>
      </w:r>
      <w:r>
        <w:rPr/>
        <w:t>porque</w:t>
      </w:r>
      <w:r>
        <w:rPr>
          <w:spacing w:val="-6"/>
        </w:rPr>
        <w:t> </w:t>
      </w:r>
      <w:r>
        <w:rPr/>
        <w:t>no</w:t>
      </w:r>
      <w:r>
        <w:rPr>
          <w:spacing w:val="-8"/>
        </w:rPr>
        <w:t> </w:t>
      </w:r>
      <w:r>
        <w:rPr/>
        <w:t>brindan</w:t>
      </w:r>
      <w:r>
        <w:rPr>
          <w:spacing w:val="-6"/>
        </w:rPr>
        <w:t> </w:t>
      </w:r>
      <w:r>
        <w:rPr/>
        <w:t>las condiciones necesarias para lograrlo o porque la situación actual en la que se encuentran no es suficiente para tener mejores resultados que los actuales, en los que</w:t>
      </w:r>
      <w:r>
        <w:rPr>
          <w:spacing w:val="-8"/>
        </w:rPr>
        <w:t> </w:t>
      </w:r>
      <w:r>
        <w:rPr/>
        <w:t>se</w:t>
      </w:r>
      <w:r>
        <w:rPr>
          <w:spacing w:val="-8"/>
        </w:rPr>
        <w:t> </w:t>
      </w:r>
      <w:r>
        <w:rPr/>
        <w:t>puede</w:t>
      </w:r>
      <w:r>
        <w:rPr>
          <w:spacing w:val="-11"/>
        </w:rPr>
        <w:t> </w:t>
      </w:r>
      <w:r>
        <w:rPr/>
        <w:t>dar</w:t>
      </w:r>
      <w:r>
        <w:rPr>
          <w:spacing w:val="-10"/>
        </w:rPr>
        <w:t> </w:t>
      </w:r>
      <w:r>
        <w:rPr/>
        <w:t>cumplimiento</w:t>
      </w:r>
      <w:r>
        <w:rPr>
          <w:spacing w:val="-8"/>
        </w:rPr>
        <w:t> </w:t>
      </w:r>
      <w:r>
        <w:rPr/>
        <w:t>parcial</w:t>
      </w:r>
      <w:r>
        <w:rPr>
          <w:spacing w:val="-7"/>
        </w:rPr>
        <w:t> </w:t>
      </w:r>
      <w:r>
        <w:rPr/>
        <w:t>de</w:t>
      </w:r>
      <w:r>
        <w:rPr>
          <w:spacing w:val="-8"/>
        </w:rPr>
        <w:t> </w:t>
      </w:r>
      <w:r>
        <w:rPr/>
        <w:t>la</w:t>
      </w:r>
      <w:r>
        <w:rPr>
          <w:spacing w:val="-9"/>
        </w:rPr>
        <w:t> </w:t>
      </w:r>
      <w:r>
        <w:rPr/>
        <w:t>ley</w:t>
      </w:r>
      <w:r>
        <w:rPr>
          <w:spacing w:val="-10"/>
        </w:rPr>
        <w:t> </w:t>
      </w:r>
      <w:r>
        <w:rPr/>
        <w:t>de</w:t>
      </w:r>
      <w:r>
        <w:rPr>
          <w:spacing w:val="-8"/>
        </w:rPr>
        <w:t> </w:t>
      </w:r>
      <w:r>
        <w:rPr/>
        <w:t>transparencia,</w:t>
      </w:r>
      <w:r>
        <w:rPr>
          <w:spacing w:val="-11"/>
        </w:rPr>
        <w:t> </w:t>
      </w:r>
      <w:r>
        <w:rPr/>
        <w:t>pero</w:t>
      </w:r>
      <w:r>
        <w:rPr>
          <w:spacing w:val="-9"/>
        </w:rPr>
        <w:t> </w:t>
      </w:r>
      <w:r>
        <w:rPr/>
        <w:t>no</w:t>
      </w:r>
      <w:r>
        <w:rPr>
          <w:spacing w:val="-8"/>
        </w:rPr>
        <w:t> </w:t>
      </w:r>
      <w:r>
        <w:rPr/>
        <w:t>garantizar la</w:t>
      </w:r>
      <w:r>
        <w:rPr>
          <w:spacing w:val="-8"/>
        </w:rPr>
        <w:t> </w:t>
      </w:r>
      <w:r>
        <w:rPr/>
        <w:t>apertura</w:t>
      </w:r>
      <w:r>
        <w:rPr>
          <w:spacing w:val="-11"/>
        </w:rPr>
        <w:t> </w:t>
      </w:r>
      <w:r>
        <w:rPr/>
        <w:t>de</w:t>
      </w:r>
      <w:r>
        <w:rPr>
          <w:spacing w:val="-11"/>
        </w:rPr>
        <w:t> </w:t>
      </w:r>
      <w:r>
        <w:rPr/>
        <w:t>los</w:t>
      </w:r>
      <w:r>
        <w:rPr>
          <w:spacing w:val="-11"/>
        </w:rPr>
        <w:t> </w:t>
      </w:r>
      <w:r>
        <w:rPr/>
        <w:t>asuntos</w:t>
      </w:r>
      <w:r>
        <w:rPr>
          <w:spacing w:val="-9"/>
        </w:rPr>
        <w:t> </w:t>
      </w:r>
      <w:r>
        <w:rPr/>
        <w:t>públicos</w:t>
      </w:r>
      <w:r>
        <w:rPr>
          <w:spacing w:val="-12"/>
        </w:rPr>
        <w:t> </w:t>
      </w:r>
      <w:r>
        <w:rPr/>
        <w:t>bajo</w:t>
      </w:r>
      <w:r>
        <w:rPr>
          <w:spacing w:val="-11"/>
        </w:rPr>
        <w:t> </w:t>
      </w:r>
      <w:r>
        <w:rPr/>
        <w:t>el</w:t>
      </w:r>
      <w:r>
        <w:rPr>
          <w:spacing w:val="-12"/>
        </w:rPr>
        <w:t> </w:t>
      </w:r>
      <w:r>
        <w:rPr/>
        <w:t>principio</w:t>
      </w:r>
      <w:r>
        <w:rPr>
          <w:spacing w:val="-11"/>
        </w:rPr>
        <w:t> </w:t>
      </w:r>
      <w:r>
        <w:rPr/>
        <w:t>de</w:t>
      </w:r>
      <w:r>
        <w:rPr>
          <w:spacing w:val="-11"/>
        </w:rPr>
        <w:t> </w:t>
      </w:r>
      <w:r>
        <w:rPr/>
        <w:t>máxima</w:t>
      </w:r>
      <w:r>
        <w:rPr>
          <w:spacing w:val="-11"/>
        </w:rPr>
        <w:t> </w:t>
      </w:r>
      <w:r>
        <w:rPr/>
        <w:t>publicidad</w:t>
      </w:r>
      <w:r>
        <w:rPr>
          <w:spacing w:val="-8"/>
        </w:rPr>
        <w:t> </w:t>
      </w:r>
      <w:r>
        <w:rPr/>
        <w:t>que</w:t>
      </w:r>
      <w:r>
        <w:rPr>
          <w:spacing w:val="-11"/>
        </w:rPr>
        <w:t> </w:t>
      </w:r>
      <w:r>
        <w:rPr/>
        <w:t>marca el art. 6 de la</w:t>
      </w:r>
      <w:r>
        <w:rPr>
          <w:spacing w:val="-5"/>
        </w:rPr>
        <w:t> </w:t>
      </w:r>
      <w:r>
        <w:rPr/>
        <w:t>CPEUM.</w:t>
      </w:r>
    </w:p>
    <w:p>
      <w:pPr>
        <w:pStyle w:val="BodyText"/>
      </w:pPr>
    </w:p>
    <w:p>
      <w:pPr>
        <w:pStyle w:val="BodyText"/>
      </w:pPr>
    </w:p>
    <w:p>
      <w:pPr>
        <w:pStyle w:val="BodyText"/>
        <w:spacing w:line="360" w:lineRule="auto" w:before="185"/>
        <w:ind w:left="188" w:right="115"/>
        <w:jc w:val="both"/>
      </w:pPr>
      <w:r>
        <w:rPr/>
        <w:t>En este capítulo se hace referencia a los enemigos del GA, describiendo los argumentos</w:t>
      </w:r>
      <w:r>
        <w:rPr>
          <w:spacing w:val="-14"/>
        </w:rPr>
        <w:t> </w:t>
      </w:r>
      <w:r>
        <w:rPr/>
        <w:t>por</w:t>
      </w:r>
      <w:r>
        <w:rPr>
          <w:spacing w:val="-15"/>
        </w:rPr>
        <w:t> </w:t>
      </w:r>
      <w:r>
        <w:rPr/>
        <w:t>los</w:t>
      </w:r>
      <w:r>
        <w:rPr>
          <w:spacing w:val="-14"/>
        </w:rPr>
        <w:t> </w:t>
      </w:r>
      <w:r>
        <w:rPr/>
        <w:t>cuales</w:t>
      </w:r>
      <w:r>
        <w:rPr>
          <w:spacing w:val="-12"/>
        </w:rPr>
        <w:t> </w:t>
      </w:r>
      <w:r>
        <w:rPr/>
        <w:t>se</w:t>
      </w:r>
      <w:r>
        <w:rPr>
          <w:spacing w:val="-16"/>
        </w:rPr>
        <w:t> </w:t>
      </w:r>
      <w:r>
        <w:rPr/>
        <w:t>han</w:t>
      </w:r>
      <w:r>
        <w:rPr>
          <w:spacing w:val="-14"/>
        </w:rPr>
        <w:t> </w:t>
      </w:r>
      <w:r>
        <w:rPr/>
        <w:t>considerado</w:t>
      </w:r>
      <w:r>
        <w:rPr>
          <w:spacing w:val="-14"/>
        </w:rPr>
        <w:t> </w:t>
      </w:r>
      <w:r>
        <w:rPr/>
        <w:t>como</w:t>
      </w:r>
      <w:r>
        <w:rPr>
          <w:spacing w:val="-14"/>
        </w:rPr>
        <w:t> </w:t>
      </w:r>
      <w:r>
        <w:rPr/>
        <w:t>tal.</w:t>
      </w:r>
      <w:r>
        <w:rPr>
          <w:spacing w:val="-14"/>
        </w:rPr>
        <w:t> </w:t>
      </w:r>
      <w:r>
        <w:rPr/>
        <w:t>En</w:t>
      </w:r>
      <w:r>
        <w:rPr>
          <w:spacing w:val="-14"/>
        </w:rPr>
        <w:t> </w:t>
      </w:r>
      <w:r>
        <w:rPr/>
        <w:t>primer</w:t>
      </w:r>
      <w:r>
        <w:rPr>
          <w:spacing w:val="-15"/>
        </w:rPr>
        <w:t> </w:t>
      </w:r>
      <w:r>
        <w:rPr/>
        <w:t>lugar,</w:t>
      </w:r>
      <w:r>
        <w:rPr>
          <w:spacing w:val="-14"/>
        </w:rPr>
        <w:t> </w:t>
      </w:r>
      <w:r>
        <w:rPr/>
        <w:t>se</w:t>
      </w:r>
      <w:r>
        <w:rPr>
          <w:spacing w:val="-14"/>
        </w:rPr>
        <w:t> </w:t>
      </w:r>
      <w:r>
        <w:rPr/>
        <w:t>describe la</w:t>
      </w:r>
      <w:r>
        <w:rPr>
          <w:spacing w:val="-11"/>
        </w:rPr>
        <w:t> </w:t>
      </w:r>
      <w:r>
        <w:rPr/>
        <w:t>situación</w:t>
      </w:r>
      <w:r>
        <w:rPr>
          <w:spacing w:val="-13"/>
        </w:rPr>
        <w:t> </w:t>
      </w:r>
      <w:r>
        <w:rPr/>
        <w:t>de</w:t>
      </w:r>
      <w:r>
        <w:rPr>
          <w:spacing w:val="-11"/>
        </w:rPr>
        <w:t> </w:t>
      </w:r>
      <w:r>
        <w:rPr/>
        <w:t>la</w:t>
      </w:r>
      <w:r>
        <w:rPr>
          <w:spacing w:val="-11"/>
        </w:rPr>
        <w:t> </w:t>
      </w:r>
      <w:r>
        <w:rPr/>
        <w:t>transparencia</w:t>
      </w:r>
      <w:r>
        <w:rPr>
          <w:spacing w:val="-13"/>
        </w:rPr>
        <w:t> </w:t>
      </w:r>
      <w:r>
        <w:rPr/>
        <w:t>en</w:t>
      </w:r>
      <w:r>
        <w:rPr>
          <w:spacing w:val="-11"/>
        </w:rPr>
        <w:t> </w:t>
      </w:r>
      <w:r>
        <w:rPr/>
        <w:t>México</w:t>
      </w:r>
      <w:r>
        <w:rPr>
          <w:spacing w:val="-8"/>
        </w:rPr>
        <w:t> </w:t>
      </w:r>
      <w:r>
        <w:rPr/>
        <w:t>como</w:t>
      </w:r>
      <w:r>
        <w:rPr>
          <w:spacing w:val="-11"/>
        </w:rPr>
        <w:t> </w:t>
      </w:r>
      <w:r>
        <w:rPr/>
        <w:t>un</w:t>
      </w:r>
      <w:r>
        <w:rPr>
          <w:spacing w:val="-11"/>
        </w:rPr>
        <w:t> </w:t>
      </w:r>
      <w:r>
        <w:rPr/>
        <w:t>árbol,</w:t>
      </w:r>
      <w:r>
        <w:rPr>
          <w:spacing w:val="-12"/>
        </w:rPr>
        <w:t> </w:t>
      </w:r>
      <w:r>
        <w:rPr/>
        <w:t>cuyas</w:t>
      </w:r>
      <w:r>
        <w:rPr>
          <w:spacing w:val="-12"/>
        </w:rPr>
        <w:t> </w:t>
      </w:r>
      <w:r>
        <w:rPr/>
        <w:t>partes</w:t>
      </w:r>
      <w:r>
        <w:rPr>
          <w:spacing w:val="-12"/>
        </w:rPr>
        <w:t> </w:t>
      </w:r>
      <w:r>
        <w:rPr/>
        <w:t>se</w:t>
      </w:r>
      <w:r>
        <w:rPr>
          <w:spacing w:val="-11"/>
        </w:rPr>
        <w:t> </w:t>
      </w:r>
      <w:r>
        <w:rPr/>
        <w:t>relacionan con los principales actores involucrados en la institucionalización del</w:t>
      </w:r>
      <w:r>
        <w:rPr>
          <w:spacing w:val="-22"/>
        </w:rPr>
        <w:t> </w:t>
      </w:r>
      <w:r>
        <w:rPr/>
        <w:t>mismo.</w:t>
      </w:r>
    </w:p>
    <w:p>
      <w:pPr>
        <w:pStyle w:val="BodyText"/>
      </w:pPr>
    </w:p>
    <w:p>
      <w:pPr>
        <w:pStyle w:val="BodyText"/>
      </w:pPr>
    </w:p>
    <w:p>
      <w:pPr>
        <w:pStyle w:val="BodyText"/>
        <w:spacing w:line="360" w:lineRule="auto" w:before="185"/>
        <w:ind w:left="188" w:right="122"/>
        <w:jc w:val="both"/>
      </w:pPr>
      <w:r>
        <w:rPr/>
        <w:t>En segundo lugar, se enlistas los enemigos del GA que limitan o restringen el pensamiento</w:t>
      </w:r>
      <w:r>
        <w:rPr>
          <w:spacing w:val="-10"/>
        </w:rPr>
        <w:t> </w:t>
      </w:r>
      <w:r>
        <w:rPr/>
        <w:t>crítico</w:t>
      </w:r>
      <w:r>
        <w:rPr>
          <w:spacing w:val="-11"/>
        </w:rPr>
        <w:t> </w:t>
      </w:r>
      <w:r>
        <w:rPr/>
        <w:t>y</w:t>
      </w:r>
      <w:r>
        <w:rPr>
          <w:spacing w:val="-14"/>
        </w:rPr>
        <w:t> </w:t>
      </w:r>
      <w:r>
        <w:rPr/>
        <w:t>la</w:t>
      </w:r>
      <w:r>
        <w:rPr>
          <w:spacing w:val="-11"/>
        </w:rPr>
        <w:t> </w:t>
      </w:r>
      <w:r>
        <w:rPr/>
        <w:t>razón</w:t>
      </w:r>
      <w:r>
        <w:rPr>
          <w:spacing w:val="-11"/>
        </w:rPr>
        <w:t> </w:t>
      </w:r>
      <w:r>
        <w:rPr/>
        <w:t>del</w:t>
      </w:r>
      <w:r>
        <w:rPr>
          <w:spacing w:val="-12"/>
        </w:rPr>
        <w:t> </w:t>
      </w:r>
      <w:r>
        <w:rPr/>
        <w:t>individuo,</w:t>
      </w:r>
      <w:r>
        <w:rPr>
          <w:spacing w:val="-11"/>
        </w:rPr>
        <w:t> </w:t>
      </w:r>
      <w:r>
        <w:rPr/>
        <w:t>favoreciendo</w:t>
      </w:r>
      <w:r>
        <w:rPr>
          <w:spacing w:val="-11"/>
        </w:rPr>
        <w:t> </w:t>
      </w:r>
      <w:r>
        <w:rPr/>
        <w:t>con</w:t>
      </w:r>
      <w:r>
        <w:rPr>
          <w:spacing w:val="-11"/>
        </w:rPr>
        <w:t> </w:t>
      </w:r>
      <w:r>
        <w:rPr/>
        <w:t>ello</w:t>
      </w:r>
      <w:r>
        <w:rPr>
          <w:spacing w:val="-11"/>
        </w:rPr>
        <w:t> </w:t>
      </w:r>
      <w:r>
        <w:rPr/>
        <w:t>la</w:t>
      </w:r>
      <w:r>
        <w:rPr>
          <w:spacing w:val="-13"/>
        </w:rPr>
        <w:t> </w:t>
      </w:r>
      <w:r>
        <w:rPr/>
        <w:t>permanencia</w:t>
      </w:r>
      <w:r>
        <w:rPr>
          <w:spacing w:val="-11"/>
        </w:rPr>
        <w:t> </w:t>
      </w:r>
      <w:r>
        <w:rPr/>
        <w:t>de una sociedad tribal, marcada por la corrupción, la impunidad y la falta de voluntad política de los gobernantes para cambiar el</w:t>
      </w:r>
      <w:r>
        <w:rPr>
          <w:spacing w:val="-19"/>
        </w:rPr>
        <w:t> </w:t>
      </w:r>
      <w:r>
        <w:rPr/>
        <w:t>sistema.</w:t>
      </w:r>
    </w:p>
    <w:p>
      <w:pPr>
        <w:pStyle w:val="BodyText"/>
      </w:pPr>
    </w:p>
    <w:p>
      <w:pPr>
        <w:pStyle w:val="BodyText"/>
      </w:pPr>
    </w:p>
    <w:p>
      <w:pPr>
        <w:pStyle w:val="BodyText"/>
        <w:spacing w:line="360" w:lineRule="auto" w:before="187"/>
        <w:ind w:left="188" w:right="117"/>
        <w:jc w:val="both"/>
      </w:pPr>
      <w:r>
        <w:rPr/>
        <w:t>Un problema es aquel obstáculo que impide el logro de un objetivo. En este caso,</w:t>
      </w:r>
      <w:r>
        <w:rPr>
          <w:spacing w:val="-36"/>
        </w:rPr>
        <w:t> </w:t>
      </w:r>
      <w:r>
        <w:rPr/>
        <w:t>el de institucionalizar el GA en los municipios mexiquenses. De manera esquemática se propone lo</w:t>
      </w:r>
      <w:r>
        <w:rPr>
          <w:spacing w:val="-7"/>
        </w:rPr>
        <w:t> </w:t>
      </w:r>
      <w:r>
        <w:rPr/>
        <w:t>siguiente:</w:t>
      </w:r>
    </w:p>
    <w:p>
      <w:pPr>
        <w:spacing w:after="0" w:line="360" w:lineRule="auto"/>
        <w:jc w:val="both"/>
        <w:sectPr>
          <w:pgSz w:w="12240" w:h="15840"/>
          <w:pgMar w:header="0" w:footer="1035" w:top="1360" w:bottom="1220" w:left="1420" w:right="1580"/>
        </w:sectPr>
      </w:pPr>
    </w:p>
    <w:p>
      <w:pPr>
        <w:pStyle w:val="BodyText"/>
        <w:rPr>
          <w:sz w:val="20"/>
        </w:rPr>
      </w:pPr>
    </w:p>
    <w:p>
      <w:pPr>
        <w:pStyle w:val="BodyText"/>
        <w:spacing w:before="3"/>
        <w:rPr>
          <w:sz w:val="22"/>
        </w:rPr>
      </w:pPr>
    </w:p>
    <w:p>
      <w:pPr>
        <w:spacing w:before="1"/>
        <w:ind w:left="2487" w:right="0" w:firstLine="0"/>
        <w:jc w:val="left"/>
        <w:rPr>
          <w:b/>
          <w:sz w:val="18"/>
        </w:rPr>
      </w:pPr>
      <w:r>
        <w:rPr/>
        <w:pict>
          <v:shape style="position:absolute;margin-left:151.199997pt;margin-top:142.470856pt;width:311.75pt;height:18.55pt;mso-position-horizontal-relative:page;mso-position-vertical-relative:paragraph;z-index:-2765776" type="#_x0000_t202" filled="false" stroked="false">
            <v:textbox inset="0,0,0,0">
              <w:txbxContent>
                <w:p>
                  <w:pPr>
                    <w:spacing w:line="219" w:lineRule="exact" w:before="0"/>
                    <w:ind w:left="2131" w:right="2112" w:firstLine="0"/>
                    <w:jc w:val="center"/>
                    <w:rPr>
                      <w:rFonts w:ascii="Calibri" w:hAnsi="Calibri"/>
                      <w:b/>
                      <w:sz w:val="21"/>
                    </w:rPr>
                  </w:pPr>
                  <w:r>
                    <w:rPr>
                      <w:rFonts w:ascii="Calibri" w:hAnsi="Calibri"/>
                      <w:b/>
                      <w:w w:val="105"/>
                      <w:sz w:val="21"/>
                    </w:rPr>
                    <w:t>Rendición de cuentas</w:t>
                  </w:r>
                </w:p>
              </w:txbxContent>
            </v:textbox>
            <w10:wrap type="none"/>
          </v:shape>
        </w:pict>
      </w:r>
      <w:r>
        <w:rPr/>
        <w:pict>
          <v:shape style="position:absolute;margin-left:252.25pt;margin-top:162.421860pt;width:31.6pt;height:74.45pt;mso-position-horizontal-relative:page;mso-position-vertical-relative:paragraph;z-index:-2765728" type="#_x0000_t202" filled="false" stroked="false">
            <v:textbox inset="0,0,0,0">
              <w:txbxContent>
                <w:p>
                  <w:pPr>
                    <w:pStyle w:val="BodyText"/>
                    <w:spacing w:before="6"/>
                    <w:rPr>
                      <w:sz w:val="13"/>
                    </w:rPr>
                  </w:pPr>
                </w:p>
                <w:p>
                  <w:pPr>
                    <w:spacing w:line="110" w:lineRule="auto" w:before="1"/>
                    <w:ind w:left="349" w:right="63" w:firstLine="0"/>
                    <w:jc w:val="both"/>
                    <w:rPr>
                      <w:rFonts w:ascii="Calibri" w:hAnsi="Calibri"/>
                      <w:b/>
                      <w:sz w:val="21"/>
                    </w:rPr>
                  </w:pPr>
                  <w:r>
                    <w:rPr>
                      <w:rFonts w:ascii="Calibri" w:hAnsi="Calibri"/>
                      <w:b/>
                      <w:color w:val="C00000"/>
                      <w:w w:val="105"/>
                      <w:sz w:val="21"/>
                    </w:rPr>
                    <w:t>lic b ú p</w:t>
                  </w:r>
                </w:p>
                <w:p>
                  <w:pPr>
                    <w:spacing w:line="163" w:lineRule="exact" w:before="0"/>
                    <w:ind w:left="349" w:right="0" w:firstLine="0"/>
                    <w:jc w:val="both"/>
                    <w:rPr>
                      <w:rFonts w:ascii="Calibri"/>
                      <w:b/>
                      <w:sz w:val="21"/>
                    </w:rPr>
                  </w:pPr>
                  <w:r>
                    <w:rPr>
                      <w:rFonts w:ascii="Calibri"/>
                      <w:b/>
                      <w:color w:val="C00000"/>
                      <w:w w:val="103"/>
                      <w:sz w:val="21"/>
                    </w:rPr>
                    <w:t>a</w:t>
                  </w:r>
                </w:p>
                <w:p>
                  <w:pPr>
                    <w:spacing w:line="221" w:lineRule="exact" w:before="0"/>
                    <w:ind w:left="349" w:right="0" w:firstLine="0"/>
                    <w:jc w:val="both"/>
                    <w:rPr>
                      <w:rFonts w:ascii="Calibri"/>
                      <w:b/>
                      <w:sz w:val="21"/>
                    </w:rPr>
                  </w:pPr>
                  <w:r>
                    <w:rPr>
                      <w:rFonts w:ascii="Calibri"/>
                      <w:b/>
                      <w:color w:val="C00000"/>
                      <w:w w:val="105"/>
                      <w:sz w:val="21"/>
                    </w:rPr>
                    <w:t>tic</w:t>
                  </w:r>
                </w:p>
                <w:p>
                  <w:pPr>
                    <w:spacing w:line="105" w:lineRule="auto" w:before="95"/>
                    <w:ind w:left="349" w:right="63" w:firstLine="0"/>
                    <w:jc w:val="both"/>
                    <w:rPr>
                      <w:rFonts w:ascii="Calibri" w:hAnsi="Calibri"/>
                      <w:b/>
                      <w:sz w:val="21"/>
                    </w:rPr>
                  </w:pPr>
                  <w:r>
                    <w:rPr>
                      <w:rFonts w:ascii="Calibri" w:hAnsi="Calibri"/>
                      <w:b/>
                      <w:color w:val="C00000"/>
                      <w:w w:val="103"/>
                      <w:sz w:val="21"/>
                    </w:rPr>
                    <w:t>olí P</w:t>
                  </w:r>
                </w:p>
              </w:txbxContent>
            </v:textbox>
            <w10:wrap type="none"/>
          </v:shape>
        </w:pict>
      </w:r>
      <w:r>
        <w:rPr/>
        <w:pict>
          <v:shape style="position:absolute;margin-left:284.600006pt;margin-top:162.621872pt;width:24.35pt;height:74.45pt;mso-position-horizontal-relative:page;mso-position-vertical-relative:paragraph;z-index:-2765704" type="#_x0000_t202" filled="false" stroked="false">
            <v:textbox inset="0,0,0,0">
              <w:txbxContent>
                <w:p>
                  <w:pPr>
                    <w:pStyle w:val="BodyText"/>
                    <w:rPr>
                      <w:sz w:val="22"/>
                    </w:rPr>
                  </w:pPr>
                </w:p>
                <w:p>
                  <w:pPr>
                    <w:pStyle w:val="BodyText"/>
                    <w:spacing w:before="4"/>
                    <w:rPr>
                      <w:sz w:val="22"/>
                    </w:rPr>
                  </w:pPr>
                </w:p>
                <w:p>
                  <w:pPr>
                    <w:spacing w:before="0"/>
                    <w:ind w:left="223" w:right="0" w:firstLine="0"/>
                    <w:jc w:val="left"/>
                    <w:rPr>
                      <w:rFonts w:ascii="Calibri"/>
                      <w:b/>
                      <w:sz w:val="21"/>
                    </w:rPr>
                  </w:pPr>
                  <w:r>
                    <w:rPr>
                      <w:rFonts w:ascii="Calibri"/>
                      <w:b/>
                      <w:color w:val="C00000"/>
                      <w:w w:val="105"/>
                      <w:sz w:val="21"/>
                    </w:rPr>
                    <w:t>de</w:t>
                  </w:r>
                </w:p>
              </w:txbxContent>
            </v:textbox>
            <w10:wrap type="none"/>
          </v:shape>
        </w:pict>
      </w:r>
      <w:r>
        <w:rPr/>
        <w:pict>
          <v:shape style="position:absolute;margin-left:308.799988pt;margin-top:161.706528pt;width:24.35pt;height:75.4pt;mso-position-horizontal-relative:page;mso-position-vertical-relative:paragraph;z-index:-2765680" type="#_x0000_t202" filled="false" stroked="false">
            <v:textbox inset="0,0,0,0">
              <w:txbxContent>
                <w:p>
                  <w:pPr>
                    <w:spacing w:line="98" w:lineRule="auto" w:before="78"/>
                    <w:ind w:left="259" w:right="8" w:firstLine="0"/>
                    <w:jc w:val="both"/>
                    <w:rPr>
                      <w:rFonts w:ascii="Calibri"/>
                      <w:b/>
                      <w:sz w:val="21"/>
                    </w:rPr>
                  </w:pPr>
                  <w:r>
                    <w:rPr>
                      <w:rFonts w:ascii="Calibri"/>
                      <w:b/>
                      <w:color w:val="C00000"/>
                      <w:w w:val="105"/>
                      <w:sz w:val="21"/>
                    </w:rPr>
                    <w:t>ia c n e</w:t>
                  </w:r>
                </w:p>
                <w:p>
                  <w:pPr>
                    <w:spacing w:line="110" w:lineRule="auto" w:before="65"/>
                    <w:ind w:left="259" w:right="8" w:firstLine="0"/>
                    <w:jc w:val="both"/>
                    <w:rPr>
                      <w:rFonts w:ascii="Calibri"/>
                      <w:b/>
                      <w:sz w:val="21"/>
                    </w:rPr>
                  </w:pPr>
                  <w:r>
                    <w:rPr>
                      <w:rFonts w:ascii="Calibri"/>
                      <w:b/>
                      <w:color w:val="C00000"/>
                      <w:w w:val="105"/>
                      <w:sz w:val="21"/>
                    </w:rPr>
                    <w:t>ar p</w:t>
                  </w:r>
                </w:p>
                <w:p>
                  <w:pPr>
                    <w:pStyle w:val="BodyText"/>
                    <w:spacing w:before="9"/>
                    <w:rPr>
                      <w:sz w:val="14"/>
                    </w:rPr>
                  </w:pPr>
                </w:p>
                <w:p>
                  <w:pPr>
                    <w:spacing w:line="136" w:lineRule="auto" w:before="0"/>
                    <w:ind w:left="259" w:right="8" w:firstLine="0"/>
                    <w:jc w:val="both"/>
                    <w:rPr>
                      <w:rFonts w:ascii="Calibri"/>
                      <w:b/>
                      <w:sz w:val="21"/>
                    </w:rPr>
                  </w:pPr>
                  <w:r>
                    <w:rPr>
                      <w:rFonts w:ascii="Calibri"/>
                      <w:b/>
                      <w:color w:val="C00000"/>
                      <w:w w:val="103"/>
                      <w:sz w:val="21"/>
                    </w:rPr>
                    <w:t>ans tr</w:t>
                  </w:r>
                </w:p>
              </w:txbxContent>
            </v:textbox>
            <w10:wrap type="none"/>
          </v:shape>
        </w:pict>
      </w:r>
      <w:r>
        <w:rPr/>
        <w:pict>
          <v:group style="position:absolute;margin-left:99.143997pt;margin-top:24.763315pt;width:399.8pt;height:312.6pt;mso-position-horizontal-relative:page;mso-position-vertical-relative:paragraph;z-index:8104" coordorigin="1983,495" coordsize="7996,6252">
            <v:shape style="position:absolute;left:2034;top:495;width:7924;height:5745" type="#_x0000_t75" stroked="false">
              <v:imagedata r:id="rId127" o:title=""/>
            </v:shape>
            <v:line style="position:absolute" from="5900,5047" to="5900,6120" stroked="true" strokeweight="2.384111pt" strokecolor="#bd5f01"/>
            <v:shape style="position:absolute;left:4342;top:4128;width:751;height:348" type="#_x0000_t75" stroked="false">
              <v:imagedata r:id="rId128" o:title=""/>
            </v:shape>
            <v:shape style="position:absolute;left:7179;top:4178;width:892;height:413" type="#_x0000_t75" stroked="false">
              <v:imagedata r:id="rId128" o:title=""/>
            </v:shape>
            <v:line style="position:absolute" from="5789,4917" to="4349,6229" stroked="true" strokeweight="2.38359pt" strokecolor="#bd5f01"/>
            <v:shape style="position:absolute;left:313;top:10779;width:12828;height:2969" coordorigin="313,10779" coordsize="12828,2969" path="m2224,5068l2230,5037,2247,5011,2273,4994,2304,4988,4219,4988,4250,4994,4276,5011,4293,5037,4299,5068,4299,5386,4293,5417,4276,5443,4250,5460,4219,5466,2304,5466,2273,5460,2247,5443,2230,5417,2224,5386,2224,5068xm2223,5681l2229,5650,2246,5625,2271,5608,2302,5602,4219,5602,4250,5608,4276,5625,4293,5650,4299,5681,4299,6000,4293,6031,4276,6056,4250,6074,4219,6080,2302,6080,2271,6074,2246,6056,2229,6031,2223,6000,2223,5681xm7158,6336l7165,6305,7182,6279,7207,6262,7238,6256,9174,6256,9205,6262,9230,6279,9247,6305,9254,6336,9254,6654,9247,6685,9230,6711,9205,6728,9174,6734,7238,6734,7207,6728,7182,6711,7165,6685,7158,6654,7158,6336xm3130,6295l3136,6264,3153,6239,3179,6222,3210,6216,4521,6216,4552,6222,4578,6239,4595,6264,4601,6295,4601,6614,4595,6645,4578,6670,4552,6687,4521,6694,3210,6694,3179,6687,3153,6670,3136,6645,3130,6614,3130,6295xm7693,5654l7700,5618,7720,5589,7750,5569,7786,5561,9852,5561,9889,5569,9918,5589,9938,5618,9946,5654,9946,6027,9938,6063,9918,6093,9889,6113,9852,6120,7786,6120,7750,6113,7720,6093,7700,6063,7693,6027,7693,5654xm7758,5027l7764,4996,7781,4971,7807,4954,7838,4947,9388,4947,9419,4954,9444,4971,9461,4996,9467,5027,9467,5346,9461,5377,9444,5402,9419,5419,9388,5426,7838,5426,7807,5419,7781,5402,7764,5377,7758,5346,7758,5027xm4787,6198l4793,6168,4810,6143,4835,6126,4865,6120,6936,6120,6967,6126,6991,6143,7008,6168,7014,6198,7014,6508,7008,6538,6991,6563,6967,6579,6936,6585,4865,6585,4835,6579,4810,6563,4793,6538,4787,6508,4787,6198xe" filled="false" stroked="true" strokeweight="1.227933pt" strokecolor="#c00000">
              <v:path arrowok="t"/>
            </v:shape>
            <v:shape style="position:absolute;left:6226;top:799;width:1893;height:464" coordorigin="6226,799" coordsize="1893,464" path="m7173,799l7105,800,7039,802,6974,804,6911,808,6849,813,6732,826,6624,842,6526,862,6440,884,6367,910,6307,937,6247,982,6226,1031,6229,1048,6283,1110,6367,1153,6440,1178,6526,1200,6624,1220,6732,1236,6849,1249,6911,1254,6974,1258,7039,1261,7105,1262,7173,1263,7240,1262,7307,1261,7372,1258,7435,1254,7496,1249,7613,1236,7722,1220,7819,1200,7906,1178,7979,1153,8039,1125,8098,1080,8119,1031,8117,1015,8063,952,7979,910,7906,884,7819,862,7722,842,7613,826,7496,813,7435,808,7372,804,7307,802,7240,800,7173,799xe" filled="true" fillcolor="#ff0000" stroked="false">
              <v:path arrowok="t"/>
              <v:fill type="solid"/>
            </v:shape>
            <v:shape style="position:absolute;left:6226;top:799;width:1893;height:464" coordorigin="6226,799" coordsize="1893,464" path="m6226,1031l6263,967,6335,923,6402,897,6482,873,6574,852,6677,834,6790,819,6911,808,6974,804,7039,802,7105,800,7173,799,7240,800,7307,802,7372,804,7435,808,7496,813,7613,826,7722,842,7819,862,7906,884,7979,910,8039,937,8098,982,8119,1031,8117,1048,8063,1110,7979,1153,7906,1178,7819,1200,7722,1220,7613,1236,7496,1249,7435,1254,7372,1258,7307,1261,7240,1262,7173,1263,7105,1262,7039,1261,6974,1258,6911,1254,6849,1249,6732,1236,6624,1220,6526,1200,6440,1178,6367,1153,6307,1125,6247,1080,6226,1031xe" filled="false" stroked="true" strokeweight="1.227715pt" strokecolor="#ff0000">
              <v:path arrowok="t"/>
            </v:shape>
            <v:rect style="position:absolute;left:3024;top:2856;width:6235;height:363" filled="true" fillcolor="#ffffff" stroked="false">
              <v:fill type="solid"/>
            </v:rect>
            <v:rect style="position:absolute;left:1983;top:4759;width:7996;height:288" filled="true" fillcolor="#be8f00" stroked="false">
              <v:fill type="solid"/>
            </v:rect>
            <v:shape style="position:absolute;left:5038;top:3241;width:647;height:1504" type="#_x0000_t75" stroked="false">
              <v:imagedata r:id="rId129" o:title=""/>
            </v:shape>
            <v:shape style="position:absolute;left:5684;top:3245;width:502;height:1504" type="#_x0000_t75" stroked="false">
              <v:imagedata r:id="rId130" o:title=""/>
            </v:shape>
            <v:shape style="position:absolute;left:6169;top:3245;width:502;height:1504" type="#_x0000_t75" stroked="false">
              <v:imagedata r:id="rId130" o:title=""/>
            </v:shape>
            <v:shape style="position:absolute;left:6656;top:3245;width:502;height:1504" type="#_x0000_t75" stroked="false">
              <v:imagedata r:id="rId131" o:title=""/>
            </v:shape>
            <v:shape style="position:absolute;left:4569;top:986;width:778;height:169" type="#_x0000_t202" filled="false" stroked="false">
              <v:textbox inset="0,0,0,0">
                <w:txbxContent>
                  <w:p>
                    <w:pPr>
                      <w:spacing w:line="169" w:lineRule="exact" w:before="0"/>
                      <w:ind w:left="0" w:right="0" w:firstLine="0"/>
                      <w:jc w:val="left"/>
                      <w:rPr>
                        <w:rFonts w:ascii="Calibri" w:hAnsi="Calibri"/>
                        <w:b/>
                        <w:sz w:val="17"/>
                      </w:rPr>
                    </w:pPr>
                    <w:r>
                      <w:rPr>
                        <w:rFonts w:ascii="Calibri" w:hAnsi="Calibri"/>
                        <w:b/>
                        <w:color w:val="FFFFFF"/>
                        <w:w w:val="95"/>
                        <w:sz w:val="17"/>
                      </w:rPr>
                      <w:t>Corrupción</w:t>
                    </w:r>
                  </w:p>
                </w:txbxContent>
              </v:textbox>
              <w10:wrap type="none"/>
            </v:shape>
            <v:shape style="position:absolute;left:6616;top:859;width:1113;height:372" type="#_x0000_t202" filled="false" stroked="false">
              <v:textbox inset="0,0,0,0">
                <w:txbxContent>
                  <w:p>
                    <w:pPr>
                      <w:spacing w:line="170" w:lineRule="exact" w:before="0"/>
                      <w:ind w:left="0" w:right="0" w:firstLine="0"/>
                      <w:jc w:val="center"/>
                      <w:rPr>
                        <w:rFonts w:ascii="Calibri"/>
                        <w:b/>
                        <w:sz w:val="17"/>
                      </w:rPr>
                    </w:pPr>
                    <w:r>
                      <w:rPr>
                        <w:rFonts w:ascii="Calibri"/>
                        <w:b/>
                        <w:color w:val="FFFFFF"/>
                        <w:spacing w:val="-1"/>
                        <w:sz w:val="17"/>
                      </w:rPr>
                      <w:t>Incumplimiento</w:t>
                    </w:r>
                  </w:p>
                  <w:p>
                    <w:pPr>
                      <w:spacing w:line="201" w:lineRule="exact" w:before="0"/>
                      <w:ind w:left="0" w:right="0" w:firstLine="0"/>
                      <w:jc w:val="center"/>
                      <w:rPr>
                        <w:rFonts w:ascii="Calibri"/>
                        <w:b/>
                        <w:sz w:val="17"/>
                      </w:rPr>
                    </w:pPr>
                    <w:r>
                      <w:rPr>
                        <w:rFonts w:ascii="Calibri"/>
                        <w:b/>
                        <w:color w:val="FFFFFF"/>
                        <w:sz w:val="17"/>
                      </w:rPr>
                      <w:t>de la ley</w:t>
                    </w:r>
                  </w:p>
                </w:txbxContent>
              </v:textbox>
              <w10:wrap type="none"/>
            </v:shape>
            <v:shape style="position:absolute;left:5558;top:1543;width:919;height:372" type="#_x0000_t202" filled="false" stroked="false">
              <v:textbox inset="0,0,0,0">
                <w:txbxContent>
                  <w:p>
                    <w:pPr>
                      <w:spacing w:line="170" w:lineRule="exact" w:before="0"/>
                      <w:ind w:left="0" w:right="3" w:firstLine="0"/>
                      <w:jc w:val="center"/>
                      <w:rPr>
                        <w:rFonts w:ascii="Calibri"/>
                        <w:b/>
                        <w:sz w:val="17"/>
                      </w:rPr>
                    </w:pPr>
                    <w:r>
                      <w:rPr>
                        <w:rFonts w:ascii="Calibri"/>
                        <w:b/>
                        <w:color w:val="FFFFFF"/>
                        <w:sz w:val="17"/>
                      </w:rPr>
                      <w:t>Baja</w:t>
                    </w:r>
                  </w:p>
                  <w:p>
                    <w:pPr>
                      <w:spacing w:line="202" w:lineRule="exact" w:before="0"/>
                      <w:ind w:left="0" w:right="0" w:firstLine="0"/>
                      <w:jc w:val="center"/>
                      <w:rPr>
                        <w:rFonts w:ascii="Calibri" w:hAnsi="Calibri"/>
                        <w:b/>
                        <w:sz w:val="17"/>
                      </w:rPr>
                    </w:pPr>
                    <w:r>
                      <w:rPr>
                        <w:rFonts w:ascii="Calibri" w:hAnsi="Calibri"/>
                        <w:b/>
                        <w:color w:val="FFFFFF"/>
                        <w:spacing w:val="-1"/>
                        <w:sz w:val="17"/>
                      </w:rPr>
                      <w:t>participación</w:t>
                    </w:r>
                  </w:p>
                </w:txbxContent>
              </v:textbox>
              <w10:wrap type="none"/>
            </v:shape>
            <v:shape style="position:absolute;left:8136;top:1655;width:794;height:372" type="#_x0000_t202" filled="false" stroked="false">
              <v:textbox inset="0,0,0,0">
                <w:txbxContent>
                  <w:p>
                    <w:pPr>
                      <w:spacing w:line="170" w:lineRule="exact" w:before="0"/>
                      <w:ind w:left="208" w:right="209" w:firstLine="0"/>
                      <w:jc w:val="center"/>
                      <w:rPr>
                        <w:rFonts w:ascii="Calibri"/>
                        <w:b/>
                        <w:sz w:val="17"/>
                      </w:rPr>
                    </w:pPr>
                    <w:r>
                      <w:rPr>
                        <w:rFonts w:ascii="Calibri"/>
                        <w:b/>
                        <w:color w:val="FFFFFF"/>
                        <w:sz w:val="17"/>
                      </w:rPr>
                      <w:t>Poca</w:t>
                    </w:r>
                  </w:p>
                  <w:p>
                    <w:pPr>
                      <w:spacing w:line="201" w:lineRule="exact" w:before="0"/>
                      <w:ind w:left="-1" w:right="0" w:firstLine="0"/>
                      <w:jc w:val="center"/>
                      <w:rPr>
                        <w:rFonts w:ascii="Calibri"/>
                        <w:b/>
                        <w:sz w:val="17"/>
                      </w:rPr>
                    </w:pPr>
                    <w:r>
                      <w:rPr>
                        <w:rFonts w:ascii="Calibri"/>
                        <w:b/>
                        <w:color w:val="FFFFFF"/>
                        <w:w w:val="95"/>
                        <w:sz w:val="17"/>
                      </w:rPr>
                      <w:t>legitimidad</w:t>
                    </w:r>
                  </w:p>
                </w:txbxContent>
              </v:textbox>
              <w10:wrap type="none"/>
            </v:shape>
            <v:shape style="position:absolute;left:3434;top:2191;width:800;height:169" type="#_x0000_t202" filled="false" stroked="false">
              <v:textbox inset="0,0,0,0">
                <w:txbxContent>
                  <w:p>
                    <w:pPr>
                      <w:spacing w:line="169" w:lineRule="exact" w:before="0"/>
                      <w:ind w:left="0" w:right="-13" w:firstLine="0"/>
                      <w:jc w:val="left"/>
                      <w:rPr>
                        <w:rFonts w:ascii="Calibri"/>
                        <w:b/>
                        <w:sz w:val="17"/>
                      </w:rPr>
                    </w:pPr>
                    <w:r>
                      <w:rPr>
                        <w:rFonts w:ascii="Calibri"/>
                        <w:b/>
                        <w:color w:val="FFFFFF"/>
                        <w:spacing w:val="-1"/>
                        <w:sz w:val="17"/>
                      </w:rPr>
                      <w:t>Ineficiencia</w:t>
                    </w:r>
                  </w:p>
                </w:txbxContent>
              </v:textbox>
              <w10:wrap type="none"/>
            </v:shape>
            <v:shape style="position:absolute;left:3784;top:4213;width:1190;height:169" type="#_x0000_t202" filled="false" stroked="false">
              <v:textbox inset="0,0,0,0">
                <w:txbxContent>
                  <w:p>
                    <w:pPr>
                      <w:spacing w:line="169" w:lineRule="exact" w:before="0"/>
                      <w:ind w:left="0" w:right="-15" w:firstLine="0"/>
                      <w:jc w:val="left"/>
                      <w:rPr>
                        <w:rFonts w:ascii="Calibri" w:hAnsi="Calibri"/>
                        <w:b/>
                        <w:sz w:val="17"/>
                      </w:rPr>
                    </w:pPr>
                    <w:r>
                      <w:rPr>
                        <w:rFonts w:ascii="Calibri" w:hAnsi="Calibri"/>
                        <w:b/>
                        <w:sz w:val="17"/>
                      </w:rPr>
                      <w:t>Voluntad</w:t>
                    </w:r>
                    <w:r>
                      <w:rPr>
                        <w:rFonts w:ascii="Calibri" w:hAnsi="Calibri"/>
                        <w:b/>
                        <w:spacing w:val="-26"/>
                        <w:sz w:val="17"/>
                      </w:rPr>
                      <w:t> </w:t>
                    </w:r>
                    <w:r>
                      <w:rPr>
                        <w:rFonts w:ascii="Calibri" w:hAnsi="Calibri"/>
                        <w:b/>
                        <w:sz w:val="17"/>
                      </w:rPr>
                      <w:t>política</w:t>
                    </w:r>
                  </w:p>
                </w:txbxContent>
              </v:textbox>
              <w10:wrap type="none"/>
            </v:shape>
            <v:shape style="position:absolute;left:7194;top:4295;width:1080;height:169" type="#_x0000_t202" filled="false" stroked="false">
              <v:textbox inset="0,0,0,0">
                <w:txbxContent>
                  <w:p>
                    <w:pPr>
                      <w:spacing w:line="169" w:lineRule="exact" w:before="0"/>
                      <w:ind w:left="0" w:right="-14" w:firstLine="0"/>
                      <w:jc w:val="left"/>
                      <w:rPr>
                        <w:rFonts w:ascii="Calibri"/>
                        <w:b/>
                        <w:sz w:val="17"/>
                      </w:rPr>
                    </w:pPr>
                    <w:r>
                      <w:rPr>
                        <w:rFonts w:ascii="Calibri"/>
                        <w:b/>
                        <w:sz w:val="17"/>
                      </w:rPr>
                      <w:t>Falta de</w:t>
                    </w:r>
                    <w:r>
                      <w:rPr>
                        <w:rFonts w:ascii="Calibri"/>
                        <w:b/>
                        <w:spacing w:val="-25"/>
                        <w:sz w:val="17"/>
                      </w:rPr>
                      <w:t> </w:t>
                    </w:r>
                    <w:r>
                      <w:rPr>
                        <w:rFonts w:ascii="Calibri"/>
                        <w:b/>
                        <w:sz w:val="17"/>
                      </w:rPr>
                      <w:t>cultura</w:t>
                    </w:r>
                  </w:p>
                </w:txbxContent>
              </v:textbox>
              <w10:wrap type="none"/>
            </v:shape>
            <v:shape style="position:absolute;left:2435;top:5055;width:1651;height:372" type="#_x0000_t202" filled="false" stroked="false">
              <v:textbox inset="0,0,0,0">
                <w:txbxContent>
                  <w:p>
                    <w:pPr>
                      <w:spacing w:line="170" w:lineRule="exact" w:before="0"/>
                      <w:ind w:left="0" w:right="0" w:firstLine="0"/>
                      <w:jc w:val="center"/>
                      <w:rPr>
                        <w:rFonts w:ascii="Calibri" w:hAnsi="Calibri"/>
                        <w:sz w:val="17"/>
                      </w:rPr>
                    </w:pPr>
                    <w:r>
                      <w:rPr>
                        <w:rFonts w:ascii="Calibri" w:hAnsi="Calibri"/>
                        <w:color w:val="BD5F01"/>
                        <w:sz w:val="17"/>
                      </w:rPr>
                      <w:t>Falta</w:t>
                    </w:r>
                    <w:r>
                      <w:rPr>
                        <w:rFonts w:ascii="Calibri" w:hAnsi="Calibri"/>
                        <w:color w:val="BD5F01"/>
                        <w:spacing w:val="-12"/>
                        <w:sz w:val="17"/>
                      </w:rPr>
                      <w:t> </w:t>
                    </w:r>
                    <w:r>
                      <w:rPr>
                        <w:rFonts w:ascii="Calibri" w:hAnsi="Calibri"/>
                        <w:color w:val="BD5F01"/>
                        <w:sz w:val="17"/>
                      </w:rPr>
                      <w:t>de</w:t>
                    </w:r>
                    <w:r>
                      <w:rPr>
                        <w:rFonts w:ascii="Calibri" w:hAnsi="Calibri"/>
                        <w:color w:val="BD5F01"/>
                        <w:spacing w:val="-12"/>
                        <w:sz w:val="17"/>
                      </w:rPr>
                      <w:t> </w:t>
                    </w:r>
                    <w:r>
                      <w:rPr>
                        <w:rFonts w:ascii="Calibri" w:hAnsi="Calibri"/>
                        <w:color w:val="BD5F01"/>
                        <w:sz w:val="17"/>
                      </w:rPr>
                      <w:t>organización</w:t>
                    </w:r>
                    <w:r>
                      <w:rPr>
                        <w:rFonts w:ascii="Calibri" w:hAnsi="Calibri"/>
                        <w:color w:val="BD5F01"/>
                        <w:spacing w:val="-12"/>
                        <w:sz w:val="17"/>
                      </w:rPr>
                      <w:t> </w:t>
                    </w:r>
                    <w:r>
                      <w:rPr>
                        <w:rFonts w:ascii="Calibri" w:hAnsi="Calibri"/>
                        <w:color w:val="BD5F01"/>
                        <w:sz w:val="17"/>
                      </w:rPr>
                      <w:t>de</w:t>
                    </w:r>
                  </w:p>
                  <w:p>
                    <w:pPr>
                      <w:spacing w:line="202" w:lineRule="exact" w:before="0"/>
                      <w:ind w:left="0" w:right="1" w:firstLine="0"/>
                      <w:jc w:val="center"/>
                      <w:rPr>
                        <w:rFonts w:ascii="Calibri"/>
                        <w:sz w:val="17"/>
                      </w:rPr>
                    </w:pPr>
                    <w:r>
                      <w:rPr>
                        <w:rFonts w:ascii="Calibri"/>
                        <w:color w:val="BD5F01"/>
                        <w:sz w:val="17"/>
                      </w:rPr>
                      <w:t>archivos</w:t>
                    </w:r>
                  </w:p>
                </w:txbxContent>
              </v:textbox>
              <w10:wrap type="none"/>
            </v:shape>
            <v:shape style="position:absolute;left:7962;top:5015;width:1304;height:372" type="#_x0000_t202" filled="false" stroked="false">
              <v:textbox inset="0,0,0,0">
                <w:txbxContent>
                  <w:p>
                    <w:pPr>
                      <w:spacing w:line="170" w:lineRule="exact" w:before="0"/>
                      <w:ind w:left="0" w:right="0" w:firstLine="0"/>
                      <w:jc w:val="center"/>
                      <w:rPr>
                        <w:rFonts w:ascii="Calibri"/>
                        <w:sz w:val="17"/>
                      </w:rPr>
                    </w:pPr>
                    <w:r>
                      <w:rPr>
                        <w:rFonts w:ascii="Calibri"/>
                        <w:color w:val="BD5F01"/>
                        <w:sz w:val="17"/>
                      </w:rPr>
                      <w:t>Sin mecanismos</w:t>
                    </w:r>
                    <w:r>
                      <w:rPr>
                        <w:rFonts w:ascii="Calibri"/>
                        <w:color w:val="BD5F01"/>
                        <w:spacing w:val="-19"/>
                        <w:sz w:val="17"/>
                      </w:rPr>
                      <w:t> </w:t>
                    </w:r>
                    <w:r>
                      <w:rPr>
                        <w:rFonts w:ascii="Calibri"/>
                        <w:color w:val="BD5F01"/>
                        <w:sz w:val="17"/>
                      </w:rPr>
                      <w:t>de</w:t>
                    </w:r>
                  </w:p>
                  <w:p>
                    <w:pPr>
                      <w:spacing w:line="201" w:lineRule="exact" w:before="0"/>
                      <w:ind w:left="0" w:right="0" w:firstLine="0"/>
                      <w:jc w:val="center"/>
                      <w:rPr>
                        <w:rFonts w:ascii="Calibri" w:hAnsi="Calibri"/>
                        <w:sz w:val="17"/>
                      </w:rPr>
                    </w:pPr>
                    <w:r>
                      <w:rPr>
                        <w:rFonts w:ascii="Calibri" w:hAnsi="Calibri"/>
                        <w:color w:val="BD5F01"/>
                        <w:sz w:val="17"/>
                      </w:rPr>
                      <w:t>participación</w:t>
                    </w:r>
                  </w:p>
                </w:txbxContent>
              </v:textbox>
              <w10:wrap type="none"/>
            </v:shape>
            <v:shape style="position:absolute;left:2470;top:5670;width:1578;height:372" type="#_x0000_t202" filled="false" stroked="false">
              <v:textbox inset="0,0,0,0">
                <w:txbxContent>
                  <w:p>
                    <w:pPr>
                      <w:spacing w:line="170" w:lineRule="exact" w:before="0"/>
                      <w:ind w:left="-1" w:right="0" w:firstLine="0"/>
                      <w:jc w:val="center"/>
                      <w:rPr>
                        <w:rFonts w:ascii="Calibri"/>
                        <w:sz w:val="17"/>
                      </w:rPr>
                    </w:pPr>
                    <w:r>
                      <w:rPr>
                        <w:rFonts w:ascii="Calibri"/>
                        <w:color w:val="BD5F01"/>
                        <w:sz w:val="17"/>
                      </w:rPr>
                      <w:t>Falta de indicadores</w:t>
                    </w:r>
                    <w:r>
                      <w:rPr>
                        <w:rFonts w:ascii="Calibri"/>
                        <w:color w:val="BD5F01"/>
                        <w:spacing w:val="-28"/>
                        <w:sz w:val="17"/>
                      </w:rPr>
                      <w:t> </w:t>
                    </w:r>
                    <w:r>
                      <w:rPr>
                        <w:rFonts w:ascii="Calibri"/>
                        <w:color w:val="BD5F01"/>
                        <w:sz w:val="17"/>
                      </w:rPr>
                      <w:t>de</w:t>
                    </w:r>
                  </w:p>
                  <w:p>
                    <w:pPr>
                      <w:spacing w:line="201" w:lineRule="exact" w:before="0"/>
                      <w:ind w:left="0" w:right="0" w:firstLine="0"/>
                      <w:jc w:val="center"/>
                      <w:rPr>
                        <w:rFonts w:ascii="Calibri" w:hAnsi="Calibri"/>
                        <w:sz w:val="17"/>
                      </w:rPr>
                    </w:pPr>
                    <w:r>
                      <w:rPr>
                        <w:rFonts w:ascii="Calibri" w:hAnsi="Calibri"/>
                        <w:color w:val="BD5F01"/>
                        <w:sz w:val="17"/>
                      </w:rPr>
                      <w:t>medición</w:t>
                    </w:r>
                  </w:p>
                </w:txbxContent>
              </v:textbox>
              <w10:wrap type="none"/>
            </v:shape>
            <v:shape style="position:absolute;left:7891;top:5670;width:1855;height:372" type="#_x0000_t202" filled="false" stroked="false">
              <v:textbox inset="0,0,0,0">
                <w:txbxContent>
                  <w:p>
                    <w:pPr>
                      <w:spacing w:line="170" w:lineRule="exact" w:before="0"/>
                      <w:ind w:left="0" w:right="0" w:firstLine="0"/>
                      <w:jc w:val="center"/>
                      <w:rPr>
                        <w:rFonts w:ascii="Calibri" w:hAnsi="Calibri"/>
                        <w:sz w:val="17"/>
                      </w:rPr>
                    </w:pPr>
                    <w:r>
                      <w:rPr>
                        <w:rFonts w:ascii="Calibri" w:hAnsi="Calibri"/>
                        <w:color w:val="BD5F01"/>
                        <w:sz w:val="17"/>
                      </w:rPr>
                      <w:t>No definición de alcances</w:t>
                    </w:r>
                    <w:r>
                      <w:rPr>
                        <w:rFonts w:ascii="Calibri" w:hAnsi="Calibri"/>
                        <w:color w:val="BD5F01"/>
                        <w:spacing w:val="-27"/>
                        <w:sz w:val="17"/>
                      </w:rPr>
                      <w:t> </w:t>
                    </w:r>
                    <w:r>
                      <w:rPr>
                        <w:rFonts w:ascii="Calibri" w:hAnsi="Calibri"/>
                        <w:color w:val="BD5F01"/>
                        <w:sz w:val="17"/>
                      </w:rPr>
                      <w:t>y</w:t>
                    </w:r>
                  </w:p>
                  <w:p>
                    <w:pPr>
                      <w:spacing w:line="201" w:lineRule="exact" w:before="0"/>
                      <w:ind w:left="2" w:right="0" w:firstLine="0"/>
                      <w:jc w:val="center"/>
                      <w:rPr>
                        <w:rFonts w:ascii="Calibri"/>
                        <w:sz w:val="17"/>
                      </w:rPr>
                    </w:pPr>
                    <w:r>
                      <w:rPr>
                        <w:rFonts w:ascii="Calibri"/>
                        <w:color w:val="BD5F01"/>
                        <w:sz w:val="17"/>
                      </w:rPr>
                      <w:t>limitaciones</w:t>
                    </w:r>
                  </w:p>
                </w:txbxContent>
              </v:textbox>
              <w10:wrap type="none"/>
            </v:shape>
            <v:shape style="position:absolute;left:3409;top:6182;width:3318;height:474" type="#_x0000_t202" filled="false" stroked="false">
              <v:textbox inset="0,0,0,0">
                <w:txbxContent>
                  <w:p>
                    <w:pPr>
                      <w:tabs>
                        <w:tab w:pos="1663" w:val="left" w:leader="none"/>
                      </w:tabs>
                      <w:spacing w:line="220" w:lineRule="exact" w:before="0"/>
                      <w:ind w:left="40" w:right="0" w:firstLine="0"/>
                      <w:jc w:val="left"/>
                      <w:rPr>
                        <w:rFonts w:ascii="Calibri" w:hAnsi="Calibri"/>
                        <w:sz w:val="17"/>
                      </w:rPr>
                    </w:pPr>
                    <w:r>
                      <w:rPr>
                        <w:rFonts w:ascii="Calibri" w:hAnsi="Calibri"/>
                        <w:color w:val="BD5F01"/>
                        <w:position w:val="-9"/>
                        <w:sz w:val="17"/>
                      </w:rPr>
                      <w:t>Información</w:t>
                      <w:tab/>
                    </w:r>
                    <w:r>
                      <w:rPr>
                        <w:rFonts w:ascii="Calibri" w:hAnsi="Calibri"/>
                        <w:color w:val="BD5F01"/>
                        <w:sz w:val="17"/>
                      </w:rPr>
                      <w:t>Normatividad limitada</w:t>
                    </w:r>
                    <w:r>
                      <w:rPr>
                        <w:rFonts w:ascii="Calibri" w:hAnsi="Calibri"/>
                        <w:color w:val="BD5F01"/>
                        <w:spacing w:val="-20"/>
                        <w:sz w:val="17"/>
                      </w:rPr>
                      <w:t> </w:t>
                    </w:r>
                    <w:r>
                      <w:rPr>
                        <w:rFonts w:ascii="Calibri" w:hAnsi="Calibri"/>
                        <w:color w:val="BD5F01"/>
                        <w:sz w:val="17"/>
                      </w:rPr>
                      <w:t>a</w:t>
                    </w:r>
                  </w:p>
                  <w:p>
                    <w:pPr>
                      <w:tabs>
                        <w:tab w:pos="1781" w:val="left" w:leader="none"/>
                      </w:tabs>
                      <w:spacing w:line="254" w:lineRule="exact" w:before="0"/>
                      <w:ind w:left="0" w:right="0" w:firstLine="0"/>
                      <w:jc w:val="left"/>
                      <w:rPr>
                        <w:rFonts w:ascii="Calibri" w:hAnsi="Calibri"/>
                        <w:sz w:val="17"/>
                      </w:rPr>
                    </w:pPr>
                    <w:r>
                      <w:rPr>
                        <w:rFonts w:ascii="Calibri" w:hAnsi="Calibri"/>
                        <w:color w:val="BD5F01"/>
                        <w:position w:val="-9"/>
                        <w:sz w:val="17"/>
                      </w:rPr>
                      <w:t>incongruente</w:t>
                      <w:tab/>
                    </w:r>
                    <w:r>
                      <w:rPr>
                        <w:rFonts w:ascii="Calibri" w:hAnsi="Calibri"/>
                        <w:color w:val="BD5F01"/>
                        <w:sz w:val="17"/>
                      </w:rPr>
                      <w:t>publicar</w:t>
                    </w:r>
                    <w:r>
                      <w:rPr>
                        <w:rFonts w:ascii="Calibri" w:hAnsi="Calibri"/>
                        <w:color w:val="BD5F01"/>
                        <w:spacing w:val="-21"/>
                        <w:sz w:val="17"/>
                      </w:rPr>
                      <w:t> </w:t>
                    </w:r>
                    <w:r>
                      <w:rPr>
                        <w:rFonts w:ascii="Calibri" w:hAnsi="Calibri"/>
                        <w:color w:val="BD5F01"/>
                        <w:sz w:val="17"/>
                      </w:rPr>
                      <w:t>información</w:t>
                    </w:r>
                  </w:p>
                </w:txbxContent>
              </v:textbox>
              <w10:wrap type="none"/>
            </v:shape>
            <v:shape style="position:absolute;left:7593;top:6324;width:1226;height:372" type="#_x0000_t202" filled="false" stroked="false">
              <v:textbox inset="0,0,0,0">
                <w:txbxContent>
                  <w:p>
                    <w:pPr>
                      <w:spacing w:line="170" w:lineRule="exact" w:before="0"/>
                      <w:ind w:left="3" w:right="3" w:firstLine="0"/>
                      <w:jc w:val="center"/>
                      <w:rPr>
                        <w:rFonts w:ascii="Calibri"/>
                        <w:sz w:val="17"/>
                      </w:rPr>
                    </w:pPr>
                    <w:r>
                      <w:rPr>
                        <w:rFonts w:ascii="Calibri"/>
                        <w:color w:val="BD5F01"/>
                        <w:sz w:val="17"/>
                      </w:rPr>
                      <w:t>Problemas de</w:t>
                    </w:r>
                  </w:p>
                  <w:p>
                    <w:pPr>
                      <w:spacing w:line="201" w:lineRule="exact" w:before="0"/>
                      <w:ind w:left="3" w:right="3" w:firstLine="0"/>
                      <w:jc w:val="center"/>
                      <w:rPr>
                        <w:rFonts w:ascii="Calibri" w:hAnsi="Calibri"/>
                        <w:sz w:val="17"/>
                      </w:rPr>
                    </w:pPr>
                    <w:r>
                      <w:rPr>
                        <w:rFonts w:ascii="Calibri" w:hAnsi="Calibri"/>
                        <w:color w:val="BD5F01"/>
                        <w:w w:val="95"/>
                        <w:sz w:val="17"/>
                      </w:rPr>
                      <w:t>conceptualización</w:t>
                    </w:r>
                  </w:p>
                </w:txbxContent>
              </v:textbox>
              <w10:wrap type="none"/>
            </v:shape>
            <v:shape style="position:absolute;left:3024;top:2856;width:6235;height:363" type="#_x0000_t202" filled="false" stroked="true" strokeweight=".75pt" strokecolor="#000000">
              <v:textbox inset="0,0,0,0">
                <w:txbxContent>
                  <w:p>
                    <w:pPr>
                      <w:spacing w:before="67"/>
                      <w:ind w:left="2115" w:right="2112" w:firstLine="0"/>
                      <w:jc w:val="center"/>
                      <w:rPr>
                        <w:rFonts w:ascii="Calibri"/>
                        <w:sz w:val="22"/>
                      </w:rPr>
                    </w:pPr>
                    <w:r>
                      <w:rPr>
                        <w:rFonts w:ascii="Calibri"/>
                        <w:sz w:val="22"/>
                      </w:rPr>
                      <w:t>Gobierno abierto</w:t>
                    </w:r>
                  </w:p>
                </w:txbxContent>
              </v:textbox>
              <w10:wrap type="none"/>
            </v:shape>
            <w10:wrap type="none"/>
          </v:group>
        </w:pict>
      </w:r>
      <w:r>
        <w:rPr/>
        <w:pict>
          <v:shape style="position:absolute;margin-left:256.09021pt;margin-top:173.672028pt;width:25.05pt;height:52.15pt;mso-position-horizontal-relative:page;mso-position-vertical-relative:paragraph;z-index:8128" type="#_x0000_t202" filled="false" stroked="false">
            <v:textbox inset="0,0,0,0" style="layout-flow:vertical;mso-layout-flow-alt:bottom-to-top">
              <w:txbxContent>
                <w:p>
                  <w:pPr>
                    <w:spacing w:before="1"/>
                    <w:ind w:left="156" w:right="-544" w:hanging="137"/>
                    <w:jc w:val="left"/>
                    <w:rPr>
                      <w:sz w:val="14"/>
                    </w:rPr>
                  </w:pPr>
                  <w:r>
                    <w:rPr>
                      <w:spacing w:val="1"/>
                      <w:w w:val="99"/>
                      <w:sz w:val="14"/>
                    </w:rPr>
                    <w:t>T</w:t>
                  </w:r>
                  <w:r>
                    <w:rPr>
                      <w:spacing w:val="-1"/>
                      <w:w w:val="99"/>
                      <w:sz w:val="14"/>
                    </w:rPr>
                    <w:t>r</w:t>
                  </w:r>
                  <w:r>
                    <w:rPr>
                      <w:spacing w:val="-1"/>
                      <w:w w:val="99"/>
                      <w:sz w:val="14"/>
                    </w:rPr>
                    <w:t>an</w:t>
                  </w:r>
                  <w:r>
                    <w:rPr>
                      <w:spacing w:val="2"/>
                      <w:w w:val="99"/>
                      <w:sz w:val="14"/>
                    </w:rPr>
                    <w:t>s</w:t>
                  </w:r>
                  <w:r>
                    <w:rPr>
                      <w:spacing w:val="-1"/>
                      <w:w w:val="99"/>
                      <w:sz w:val="14"/>
                    </w:rPr>
                    <w:t>pa</w:t>
                  </w:r>
                  <w:r>
                    <w:rPr>
                      <w:spacing w:val="1"/>
                      <w:w w:val="99"/>
                      <w:sz w:val="14"/>
                    </w:rPr>
                    <w:t>r</w:t>
                  </w:r>
                  <w:r>
                    <w:rPr>
                      <w:spacing w:val="-1"/>
                      <w:w w:val="99"/>
                      <w:sz w:val="14"/>
                    </w:rPr>
                    <w:t>en</w:t>
                  </w:r>
                  <w:r>
                    <w:rPr>
                      <w:w w:val="99"/>
                      <w:sz w:val="14"/>
                    </w:rPr>
                    <w:t>c</w:t>
                  </w:r>
                  <w:r>
                    <w:rPr>
                      <w:spacing w:val="2"/>
                      <w:w w:val="99"/>
                      <w:sz w:val="14"/>
                    </w:rPr>
                    <w:t>i</w:t>
                  </w:r>
                  <w:r>
                    <w:rPr>
                      <w:w w:val="99"/>
                      <w:sz w:val="14"/>
                    </w:rPr>
                    <w:t>a</w:t>
                  </w:r>
                  <w:r>
                    <w:rPr>
                      <w:spacing w:val="1"/>
                      <w:sz w:val="14"/>
                    </w:rPr>
                    <w:t> </w:t>
                  </w:r>
                  <w:r>
                    <w:rPr>
                      <w:w w:val="99"/>
                      <w:sz w:val="14"/>
                    </w:rPr>
                    <w:t>y </w:t>
                  </w:r>
                  <w:r>
                    <w:rPr>
                      <w:spacing w:val="-1"/>
                      <w:w w:val="99"/>
                      <w:sz w:val="14"/>
                    </w:rPr>
                    <w:t>a</w:t>
                  </w:r>
                  <w:r>
                    <w:rPr>
                      <w:w w:val="99"/>
                      <w:sz w:val="14"/>
                    </w:rPr>
                    <w:t>cc</w:t>
                  </w:r>
                  <w:r>
                    <w:rPr>
                      <w:spacing w:val="-1"/>
                      <w:w w:val="99"/>
                      <w:sz w:val="14"/>
                    </w:rPr>
                    <w:t>e</w:t>
                  </w:r>
                  <w:r>
                    <w:rPr>
                      <w:spacing w:val="2"/>
                      <w:w w:val="99"/>
                      <w:sz w:val="14"/>
                    </w:rPr>
                    <w:t>s</w:t>
                  </w:r>
                  <w:r>
                    <w:rPr>
                      <w:w w:val="99"/>
                      <w:sz w:val="14"/>
                    </w:rPr>
                    <w:t>o</w:t>
                  </w:r>
                  <w:r>
                    <w:rPr>
                      <w:spacing w:val="-1"/>
                      <w:sz w:val="14"/>
                    </w:rPr>
                    <w:t> </w:t>
                  </w:r>
                  <w:r>
                    <w:rPr>
                      <w:w w:val="99"/>
                      <w:sz w:val="14"/>
                    </w:rPr>
                    <w:t>a</w:t>
                  </w:r>
                  <w:r>
                    <w:rPr>
                      <w:spacing w:val="1"/>
                      <w:sz w:val="14"/>
                    </w:rPr>
                    <w:t> </w:t>
                  </w:r>
                  <w:r>
                    <w:rPr>
                      <w:w w:val="99"/>
                      <w:sz w:val="14"/>
                    </w:rPr>
                    <w:t>la </w:t>
                  </w:r>
                  <w:r>
                    <w:rPr>
                      <w:w w:val="99"/>
                      <w:sz w:val="14"/>
                    </w:rPr>
                    <w:t>in</w:t>
                  </w:r>
                  <w:r>
                    <w:rPr>
                      <w:spacing w:val="-1"/>
                      <w:w w:val="99"/>
                      <w:sz w:val="14"/>
                    </w:rPr>
                    <w:t>f</w:t>
                  </w:r>
                  <w:r>
                    <w:rPr>
                      <w:spacing w:val="-1"/>
                      <w:w w:val="99"/>
                      <w:sz w:val="14"/>
                    </w:rPr>
                    <w:t>o</w:t>
                  </w:r>
                  <w:r>
                    <w:rPr>
                      <w:spacing w:val="-1"/>
                      <w:w w:val="99"/>
                      <w:sz w:val="14"/>
                    </w:rPr>
                    <w:t>r</w:t>
                  </w:r>
                  <w:r>
                    <w:rPr>
                      <w:spacing w:val="3"/>
                      <w:w w:val="99"/>
                      <w:sz w:val="14"/>
                    </w:rPr>
                    <w:t>m</w:t>
                  </w:r>
                  <w:r>
                    <w:rPr>
                      <w:spacing w:val="-1"/>
                      <w:w w:val="99"/>
                      <w:sz w:val="14"/>
                    </w:rPr>
                    <w:t>a</w:t>
                  </w:r>
                  <w:r>
                    <w:rPr>
                      <w:w w:val="99"/>
                      <w:sz w:val="14"/>
                    </w:rPr>
                    <w:t>ci</w:t>
                  </w:r>
                  <w:r>
                    <w:rPr>
                      <w:spacing w:val="1"/>
                      <w:w w:val="99"/>
                      <w:sz w:val="14"/>
                    </w:rPr>
                    <w:t>ó</w:t>
                  </w:r>
                  <w:r>
                    <w:rPr>
                      <w:w w:val="99"/>
                      <w:sz w:val="14"/>
                    </w:rPr>
                    <w:t>n</w:t>
                  </w:r>
                </w:p>
              </w:txbxContent>
            </v:textbox>
            <w10:wrap type="none"/>
          </v:shape>
        </w:pict>
      </w:r>
      <w:r>
        <w:rPr/>
        <w:pict>
          <v:shape style="position:absolute;margin-left:268.749695pt;margin-top:158.67067pt;width:12.85pt;height:7.35pt;mso-position-horizontal-relative:page;mso-position-vertical-relative:paragraph;z-index:8152" type="#_x0000_t202" filled="false" stroked="false">
            <v:textbox inset="0,0,0,0" style="layout-flow:vertical;mso-layout-flow-alt:bottom-to-top">
              <w:txbxContent>
                <w:p>
                  <w:pPr>
                    <w:spacing w:line="239" w:lineRule="exact" w:before="0"/>
                    <w:ind w:left="20" w:right="0" w:firstLine="0"/>
                    <w:jc w:val="left"/>
                    <w:rPr>
                      <w:rFonts w:ascii="Calibri"/>
                      <w:b/>
                      <w:sz w:val="21"/>
                    </w:rPr>
                  </w:pPr>
                  <w:r>
                    <w:rPr>
                      <w:rFonts w:ascii="Calibri"/>
                      <w:b/>
                      <w:color w:val="C00000"/>
                      <w:w w:val="103"/>
                      <w:sz w:val="21"/>
                    </w:rPr>
                    <w:t>a</w:t>
                  </w:r>
                </w:p>
              </w:txbxContent>
            </v:textbox>
            <w10:wrap type="none"/>
          </v:shape>
        </w:pict>
      </w:r>
      <w:r>
        <w:rPr/>
        <w:pict>
          <v:shape style="position:absolute;margin-left:288.460205pt;margin-top:178.45842pt;width:17.150pt;height:42.85pt;mso-position-horizontal-relative:page;mso-position-vertical-relative:paragraph;z-index:8176" type="#_x0000_t202" filled="false" stroked="false">
            <v:textbox inset="0,0,0,0" style="layout-flow:vertical;mso-layout-flow-alt:bottom-to-top">
              <w:txbxContent>
                <w:p>
                  <w:pPr>
                    <w:spacing w:line="242" w:lineRule="auto" w:before="1"/>
                    <w:ind w:left="183" w:right="-479" w:hanging="164"/>
                    <w:jc w:val="left"/>
                    <w:rPr>
                      <w:sz w:val="14"/>
                    </w:rPr>
                  </w:pPr>
                  <w:r>
                    <w:rPr>
                      <w:w w:val="99"/>
                      <w:sz w:val="14"/>
                    </w:rPr>
                    <w:t>Re</w:t>
                  </w:r>
                  <w:r>
                    <w:rPr>
                      <w:spacing w:val="-1"/>
                      <w:w w:val="99"/>
                      <w:sz w:val="14"/>
                    </w:rPr>
                    <w:t>nd</w:t>
                  </w:r>
                  <w:r>
                    <w:rPr>
                      <w:spacing w:val="2"/>
                      <w:w w:val="99"/>
                      <w:sz w:val="14"/>
                    </w:rPr>
                    <w:t>i</w:t>
                  </w:r>
                  <w:r>
                    <w:rPr>
                      <w:w w:val="99"/>
                      <w:sz w:val="14"/>
                    </w:rPr>
                    <w:t>ción</w:t>
                  </w:r>
                  <w:r>
                    <w:rPr>
                      <w:spacing w:val="1"/>
                      <w:sz w:val="14"/>
                    </w:rPr>
                    <w:t> </w:t>
                  </w:r>
                  <w:r>
                    <w:rPr>
                      <w:spacing w:val="1"/>
                      <w:w w:val="99"/>
                      <w:sz w:val="14"/>
                    </w:rPr>
                    <w:t>d</w:t>
                  </w:r>
                  <w:r>
                    <w:rPr>
                      <w:w w:val="99"/>
                      <w:sz w:val="14"/>
                    </w:rPr>
                    <w:t>e </w:t>
                  </w:r>
                  <w:r>
                    <w:rPr>
                      <w:w w:val="99"/>
                      <w:sz w:val="14"/>
                    </w:rPr>
                    <w:t>c</w:t>
                  </w:r>
                  <w:r>
                    <w:rPr>
                      <w:spacing w:val="-1"/>
                      <w:w w:val="99"/>
                      <w:sz w:val="14"/>
                    </w:rPr>
                    <w:t>u</w:t>
                  </w:r>
                  <w:r>
                    <w:rPr>
                      <w:spacing w:val="1"/>
                      <w:w w:val="99"/>
                      <w:sz w:val="14"/>
                    </w:rPr>
                    <w:t>e</w:t>
                  </w:r>
                  <w:r>
                    <w:rPr>
                      <w:spacing w:val="-1"/>
                      <w:w w:val="99"/>
                      <w:sz w:val="14"/>
                    </w:rPr>
                    <w:t>n</w:t>
                  </w:r>
                  <w:r>
                    <w:rPr>
                      <w:w w:val="99"/>
                      <w:sz w:val="14"/>
                    </w:rPr>
                    <w:t>t</w:t>
                  </w:r>
                  <w:r>
                    <w:rPr>
                      <w:spacing w:val="-1"/>
                      <w:w w:val="99"/>
                      <w:sz w:val="14"/>
                    </w:rPr>
                    <w:t>a</w:t>
                  </w:r>
                  <w:r>
                    <w:rPr>
                      <w:w w:val="99"/>
                      <w:sz w:val="14"/>
                    </w:rPr>
                    <w:t>s</w:t>
                  </w:r>
                </w:p>
              </w:txbxContent>
            </v:textbox>
            <w10:wrap type="none"/>
          </v:shape>
        </w:pict>
      </w:r>
      <w:r>
        <w:rPr/>
        <w:pict>
          <v:shape style="position:absolute;margin-left:312.5802pt;margin-top:178.557785pt;width:17.150pt;height:42.4pt;mso-position-horizontal-relative:page;mso-position-vertical-relative:paragraph;z-index:8200" type="#_x0000_t202" filled="false" stroked="false">
            <v:textbox inset="0,0,0,0" style="layout-flow:vertical;mso-layout-flow-alt:bottom-to-top">
              <w:txbxContent>
                <w:p>
                  <w:pPr>
                    <w:spacing w:line="242" w:lineRule="auto" w:before="1"/>
                    <w:ind w:left="89" w:right="-455" w:hanging="70"/>
                    <w:jc w:val="left"/>
                    <w:rPr>
                      <w:sz w:val="14"/>
                    </w:rPr>
                  </w:pPr>
                  <w:r>
                    <w:rPr>
                      <w:spacing w:val="1"/>
                      <w:w w:val="99"/>
                      <w:sz w:val="14"/>
                    </w:rPr>
                    <w:t>T</w:t>
                  </w:r>
                  <w:r>
                    <w:rPr>
                      <w:spacing w:val="-1"/>
                      <w:w w:val="99"/>
                      <w:sz w:val="14"/>
                    </w:rPr>
                    <w:t>e</w:t>
                  </w:r>
                  <w:r>
                    <w:rPr>
                      <w:w w:val="99"/>
                      <w:sz w:val="14"/>
                    </w:rPr>
                    <w:t>c</w:t>
                  </w:r>
                  <w:r>
                    <w:rPr>
                      <w:spacing w:val="-1"/>
                      <w:w w:val="99"/>
                      <w:sz w:val="14"/>
                    </w:rPr>
                    <w:t>n</w:t>
                  </w:r>
                  <w:r>
                    <w:rPr>
                      <w:spacing w:val="-1"/>
                      <w:w w:val="99"/>
                      <w:sz w:val="14"/>
                    </w:rPr>
                    <w:t>o</w:t>
                  </w:r>
                  <w:r>
                    <w:rPr>
                      <w:spacing w:val="2"/>
                      <w:w w:val="99"/>
                      <w:sz w:val="14"/>
                    </w:rPr>
                    <w:t>l</w:t>
                  </w:r>
                  <w:r>
                    <w:rPr>
                      <w:spacing w:val="-1"/>
                      <w:w w:val="99"/>
                      <w:sz w:val="14"/>
                    </w:rPr>
                    <w:t>o</w:t>
                  </w:r>
                  <w:r>
                    <w:rPr>
                      <w:spacing w:val="1"/>
                      <w:w w:val="99"/>
                      <w:sz w:val="14"/>
                    </w:rPr>
                    <w:t>g</w:t>
                  </w:r>
                  <w:r>
                    <w:rPr>
                      <w:w w:val="99"/>
                      <w:sz w:val="14"/>
                    </w:rPr>
                    <w:t>ía</w:t>
                  </w:r>
                  <w:r>
                    <w:rPr>
                      <w:spacing w:val="-2"/>
                      <w:sz w:val="14"/>
                    </w:rPr>
                    <w:t> </w:t>
                  </w:r>
                  <w:r>
                    <w:rPr>
                      <w:w w:val="99"/>
                      <w:sz w:val="14"/>
                    </w:rPr>
                    <w:t>e in</w:t>
                  </w:r>
                  <w:r>
                    <w:rPr>
                      <w:spacing w:val="-1"/>
                      <w:w w:val="99"/>
                      <w:sz w:val="14"/>
                    </w:rPr>
                    <w:t>no</w:t>
                  </w:r>
                  <w:r>
                    <w:rPr>
                      <w:spacing w:val="2"/>
                      <w:w w:val="99"/>
                      <w:sz w:val="14"/>
                    </w:rPr>
                    <w:t>v</w:t>
                  </w:r>
                  <w:r>
                    <w:rPr>
                      <w:spacing w:val="-1"/>
                      <w:w w:val="99"/>
                      <w:sz w:val="14"/>
                    </w:rPr>
                    <w:t>a</w:t>
                  </w:r>
                  <w:r>
                    <w:rPr>
                      <w:w w:val="99"/>
                      <w:sz w:val="14"/>
                    </w:rPr>
                    <w:t>ci</w:t>
                  </w:r>
                  <w:r>
                    <w:rPr>
                      <w:spacing w:val="1"/>
                      <w:w w:val="99"/>
                      <w:sz w:val="14"/>
                    </w:rPr>
                    <w:t>ó</w:t>
                  </w:r>
                  <w:r>
                    <w:rPr>
                      <w:w w:val="99"/>
                      <w:sz w:val="14"/>
                    </w:rPr>
                    <w:t>n</w:t>
                  </w:r>
                </w:p>
              </w:txbxContent>
            </v:textbox>
            <w10:wrap type="none"/>
          </v:shape>
        </w:pict>
      </w:r>
      <w:r>
        <w:rPr/>
        <w:pict>
          <v:shape style="position:absolute;margin-left:337.060211pt;margin-top:178.820587pt;width:17.150pt;height:42pt;mso-position-horizontal-relative:page;mso-position-vertical-relative:paragraph;z-index:8224" type="#_x0000_t202" filled="false" stroked="false">
            <v:textbox inset="0,0,0,0" style="layout-flow:vertical;mso-layout-flow-alt:bottom-to-top">
              <w:txbxContent>
                <w:p>
                  <w:pPr>
                    <w:spacing w:line="242" w:lineRule="auto" w:before="1"/>
                    <w:ind w:left="96" w:right="-569" w:hanging="77"/>
                    <w:jc w:val="left"/>
                    <w:rPr>
                      <w:sz w:val="14"/>
                    </w:rPr>
                  </w:pPr>
                  <w:r>
                    <w:rPr>
                      <w:w w:val="99"/>
                      <w:sz w:val="14"/>
                    </w:rPr>
                    <w:t>P</w:t>
                  </w:r>
                  <w:r>
                    <w:rPr>
                      <w:spacing w:val="-1"/>
                      <w:w w:val="99"/>
                      <w:sz w:val="14"/>
                    </w:rPr>
                    <w:t>a</w:t>
                  </w:r>
                  <w:r>
                    <w:rPr>
                      <w:spacing w:val="-1"/>
                      <w:w w:val="99"/>
                      <w:sz w:val="14"/>
                    </w:rPr>
                    <w:t>r</w:t>
                  </w:r>
                  <w:r>
                    <w:rPr>
                      <w:w w:val="99"/>
                      <w:sz w:val="14"/>
                    </w:rPr>
                    <w:t>tic</w:t>
                  </w:r>
                  <w:r>
                    <w:rPr>
                      <w:spacing w:val="2"/>
                      <w:w w:val="99"/>
                      <w:sz w:val="14"/>
                    </w:rPr>
                    <w:t>i</w:t>
                  </w:r>
                  <w:r>
                    <w:rPr>
                      <w:spacing w:val="-1"/>
                      <w:w w:val="99"/>
                      <w:sz w:val="14"/>
                    </w:rPr>
                    <w:t>pa</w:t>
                  </w:r>
                  <w:r>
                    <w:rPr>
                      <w:w w:val="99"/>
                      <w:sz w:val="14"/>
                    </w:rPr>
                    <w:t>c</w:t>
                  </w:r>
                  <w:r>
                    <w:rPr>
                      <w:spacing w:val="2"/>
                      <w:w w:val="99"/>
                      <w:sz w:val="14"/>
                    </w:rPr>
                    <w:t>i</w:t>
                  </w:r>
                  <w:r>
                    <w:rPr>
                      <w:spacing w:val="-1"/>
                      <w:w w:val="99"/>
                      <w:sz w:val="14"/>
                    </w:rPr>
                    <w:t>ó</w:t>
                  </w:r>
                  <w:r>
                    <w:rPr>
                      <w:w w:val="99"/>
                      <w:sz w:val="14"/>
                    </w:rPr>
                    <w:t>n ciu</w:t>
                  </w:r>
                  <w:r>
                    <w:rPr>
                      <w:spacing w:val="-1"/>
                      <w:w w:val="99"/>
                      <w:sz w:val="14"/>
                    </w:rPr>
                    <w:t>d</w:t>
                  </w:r>
                  <w:r>
                    <w:rPr>
                      <w:spacing w:val="1"/>
                      <w:w w:val="99"/>
                      <w:sz w:val="14"/>
                    </w:rPr>
                    <w:t>a</w:t>
                  </w:r>
                  <w:r>
                    <w:rPr>
                      <w:spacing w:val="-1"/>
                      <w:w w:val="99"/>
                      <w:sz w:val="14"/>
                    </w:rPr>
                    <w:t>d</w:t>
                  </w:r>
                  <w:r>
                    <w:rPr>
                      <w:spacing w:val="1"/>
                      <w:w w:val="99"/>
                      <w:sz w:val="14"/>
                    </w:rPr>
                    <w:t>a</w:t>
                  </w:r>
                  <w:r>
                    <w:rPr>
                      <w:spacing w:val="-1"/>
                      <w:w w:val="99"/>
                      <w:sz w:val="14"/>
                    </w:rPr>
                    <w:t>n</w:t>
                  </w:r>
                  <w:r>
                    <w:rPr>
                      <w:w w:val="99"/>
                      <w:sz w:val="14"/>
                    </w:rPr>
                    <w:t>a</w:t>
                  </w:r>
                </w:p>
              </w:txbxContent>
            </v:textbox>
            <w10:wrap type="none"/>
          </v:shape>
        </w:pict>
      </w:r>
      <w:r>
        <w:rPr>
          <w:b/>
          <w:sz w:val="18"/>
        </w:rPr>
        <w:t>Figura 4.1 El arbol de la transparencia en México</w:t>
      </w: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spacing w:before="149"/>
        <w:ind w:left="816" w:right="0" w:firstLine="0"/>
        <w:jc w:val="left"/>
        <w:rPr>
          <w:sz w:val="16"/>
        </w:rPr>
      </w:pPr>
      <w:r>
        <w:rPr/>
        <w:pict>
          <v:shape style="position:absolute;margin-left:99.143997pt;margin-top:-106.739632pt;width:399.8pt;height:17.55pt;mso-position-horizontal-relative:page;mso-position-vertical-relative:paragraph;z-index:-2765752" type="#_x0000_t202" filled="false" stroked="false">
            <v:textbox inset="0,0,0,0">
              <w:txbxContent>
                <w:p>
                  <w:pPr>
                    <w:tabs>
                      <w:tab w:pos="5298" w:val="left" w:leader="none"/>
                    </w:tabs>
                    <w:spacing w:line="172" w:lineRule="exact" w:before="0"/>
                    <w:ind w:left="340" w:right="0" w:firstLine="0"/>
                    <w:jc w:val="left"/>
                    <w:rPr>
                      <w:rFonts w:ascii="Calibri" w:hAnsi="Calibri"/>
                      <w:b/>
                      <w:sz w:val="17"/>
                    </w:rPr>
                  </w:pPr>
                  <w:r>
                    <w:rPr>
                      <w:rFonts w:ascii="Calibri" w:hAnsi="Calibri"/>
                      <w:b/>
                      <w:sz w:val="17"/>
                    </w:rPr>
                    <w:t>Acceso a</w:t>
                  </w:r>
                  <w:r>
                    <w:rPr>
                      <w:rFonts w:ascii="Calibri" w:hAnsi="Calibri"/>
                      <w:b/>
                      <w:spacing w:val="-11"/>
                      <w:sz w:val="17"/>
                    </w:rPr>
                    <w:t> </w:t>
                  </w:r>
                  <w:r>
                    <w:rPr>
                      <w:rFonts w:ascii="Calibri" w:hAnsi="Calibri"/>
                      <w:b/>
                      <w:sz w:val="17"/>
                    </w:rPr>
                    <w:t>la</w:t>
                  </w:r>
                  <w:r>
                    <w:rPr>
                      <w:rFonts w:ascii="Calibri" w:hAnsi="Calibri"/>
                      <w:b/>
                      <w:spacing w:val="-6"/>
                      <w:sz w:val="17"/>
                    </w:rPr>
                    <w:t> </w:t>
                  </w:r>
                  <w:r>
                    <w:rPr>
                      <w:rFonts w:ascii="Calibri" w:hAnsi="Calibri"/>
                      <w:b/>
                      <w:sz w:val="17"/>
                    </w:rPr>
                    <w:t>información</w:t>
                    <w:tab/>
                    <w:t>Generalidades</w:t>
                  </w:r>
                  <w:r>
                    <w:rPr>
                      <w:rFonts w:ascii="Calibri" w:hAnsi="Calibri"/>
                      <w:b/>
                      <w:spacing w:val="-9"/>
                      <w:sz w:val="17"/>
                    </w:rPr>
                    <w:t> </w:t>
                  </w:r>
                  <w:r>
                    <w:rPr>
                      <w:rFonts w:ascii="Calibri" w:hAnsi="Calibri"/>
                      <w:b/>
                      <w:sz w:val="17"/>
                    </w:rPr>
                    <w:t>de</w:t>
                  </w:r>
                  <w:r>
                    <w:rPr>
                      <w:rFonts w:ascii="Calibri" w:hAnsi="Calibri"/>
                      <w:b/>
                      <w:spacing w:val="-17"/>
                      <w:sz w:val="17"/>
                    </w:rPr>
                    <w:t> </w:t>
                  </w:r>
                  <w:r>
                    <w:rPr>
                      <w:rFonts w:ascii="Calibri" w:hAnsi="Calibri"/>
                      <w:b/>
                      <w:sz w:val="17"/>
                    </w:rPr>
                    <w:t>la</w:t>
                  </w:r>
                  <w:r>
                    <w:rPr>
                      <w:rFonts w:ascii="Calibri" w:hAnsi="Calibri"/>
                      <w:b/>
                      <w:spacing w:val="-12"/>
                      <w:sz w:val="17"/>
                    </w:rPr>
                    <w:t> </w:t>
                  </w:r>
                  <w:r>
                    <w:rPr>
                      <w:rFonts w:ascii="Calibri" w:hAnsi="Calibri"/>
                      <w:b/>
                      <w:sz w:val="17"/>
                    </w:rPr>
                    <w:t>transparencia</w:t>
                  </w:r>
                </w:p>
              </w:txbxContent>
            </v:textbox>
            <w10:wrap type="none"/>
          </v:shape>
        </w:pict>
      </w:r>
      <w:r>
        <w:rPr>
          <w:b/>
          <w:sz w:val="16"/>
        </w:rPr>
        <w:t>Fuente. </w:t>
      </w:r>
      <w:r>
        <w:rPr>
          <w:sz w:val="16"/>
        </w:rPr>
        <w:t>Elaboración propia.</w:t>
      </w:r>
    </w:p>
    <w:p>
      <w:pPr>
        <w:pStyle w:val="BodyText"/>
        <w:rPr>
          <w:sz w:val="16"/>
        </w:rPr>
      </w:pPr>
    </w:p>
    <w:p>
      <w:pPr>
        <w:pStyle w:val="BodyText"/>
        <w:rPr>
          <w:sz w:val="16"/>
        </w:rPr>
      </w:pPr>
    </w:p>
    <w:p>
      <w:pPr>
        <w:pStyle w:val="BodyText"/>
        <w:spacing w:before="4"/>
        <w:rPr>
          <w:sz w:val="14"/>
        </w:rPr>
      </w:pPr>
    </w:p>
    <w:p>
      <w:pPr>
        <w:pStyle w:val="BodyText"/>
        <w:spacing w:line="360" w:lineRule="auto"/>
        <w:ind w:left="108" w:right="257"/>
        <w:jc w:val="both"/>
      </w:pPr>
      <w:r>
        <w:rPr/>
        <w:t>En el esquema anterior, el GA se presenta como un árbol cuyos principios son el tronco del mismo, las raíces del árbol se han asociado con las principales problemáticas que presentan los gobiernos municipales para poder institucionalizar el GA, tales como la falta un control de archivos, que dificulta tener información actualizada, ordenada e histórica. Asimismo, debido a la ausencia de mecanismos que regulen la organización y conservación de archivos (IFAI, 2014) que ha sido un reclamo constante por parte del INAI. Todo ello repercute en la disminución del porcentaje</w:t>
      </w:r>
      <w:r>
        <w:rPr>
          <w:spacing w:val="-7"/>
        </w:rPr>
        <w:t> </w:t>
      </w:r>
      <w:r>
        <w:rPr/>
        <w:t>de</w:t>
      </w:r>
      <w:r>
        <w:rPr>
          <w:spacing w:val="-7"/>
        </w:rPr>
        <w:t> </w:t>
      </w:r>
      <w:r>
        <w:rPr/>
        <w:t>efectividad</w:t>
      </w:r>
      <w:r>
        <w:rPr>
          <w:spacing w:val="-7"/>
        </w:rPr>
        <w:t> </w:t>
      </w:r>
      <w:r>
        <w:rPr/>
        <w:t>de</w:t>
      </w:r>
      <w:r>
        <w:rPr>
          <w:spacing w:val="-7"/>
        </w:rPr>
        <w:t> </w:t>
      </w:r>
      <w:r>
        <w:rPr/>
        <w:t>los</w:t>
      </w:r>
      <w:r>
        <w:rPr>
          <w:spacing w:val="-7"/>
        </w:rPr>
        <w:t> </w:t>
      </w:r>
      <w:r>
        <w:rPr/>
        <w:t>municipios</w:t>
      </w:r>
      <w:r>
        <w:rPr>
          <w:spacing w:val="-7"/>
        </w:rPr>
        <w:t> </w:t>
      </w:r>
      <w:r>
        <w:rPr/>
        <w:t>sobre</w:t>
      </w:r>
      <w:r>
        <w:rPr>
          <w:spacing w:val="-8"/>
        </w:rPr>
        <w:t> </w:t>
      </w:r>
      <w:r>
        <w:rPr/>
        <w:t>la</w:t>
      </w:r>
      <w:r>
        <w:rPr>
          <w:spacing w:val="-7"/>
        </w:rPr>
        <w:t> </w:t>
      </w:r>
      <w:r>
        <w:rPr/>
        <w:t>información</w:t>
      </w:r>
      <w:r>
        <w:rPr>
          <w:spacing w:val="-2"/>
        </w:rPr>
        <w:t> </w:t>
      </w:r>
      <w:r>
        <w:rPr/>
        <w:t>proporcionada</w:t>
      </w:r>
      <w:r>
        <w:rPr>
          <w:spacing w:val="-9"/>
        </w:rPr>
        <w:t> </w:t>
      </w:r>
      <w:r>
        <w:rPr/>
        <w:t>a</w:t>
      </w:r>
      <w:r>
        <w:rPr>
          <w:spacing w:val="-7"/>
        </w:rPr>
        <w:t> </w:t>
      </w:r>
      <w:r>
        <w:rPr/>
        <w:t>los solicitantes, pasando de 96% en 2008 a 87% en 2012; de igual manera, la falta de control</w:t>
      </w:r>
      <w:r>
        <w:rPr>
          <w:spacing w:val="-14"/>
        </w:rPr>
        <w:t> </w:t>
      </w:r>
      <w:r>
        <w:rPr/>
        <w:t>de</w:t>
      </w:r>
      <w:r>
        <w:rPr>
          <w:spacing w:val="-13"/>
        </w:rPr>
        <w:t> </w:t>
      </w:r>
      <w:r>
        <w:rPr/>
        <w:t>archivos</w:t>
      </w:r>
      <w:r>
        <w:rPr>
          <w:spacing w:val="-12"/>
        </w:rPr>
        <w:t> </w:t>
      </w:r>
      <w:r>
        <w:rPr/>
        <w:t>retrasa</w:t>
      </w:r>
      <w:r>
        <w:rPr>
          <w:spacing w:val="-11"/>
        </w:rPr>
        <w:t> </w:t>
      </w:r>
      <w:r>
        <w:rPr/>
        <w:t>el</w:t>
      </w:r>
      <w:r>
        <w:rPr>
          <w:spacing w:val="-14"/>
        </w:rPr>
        <w:t> </w:t>
      </w:r>
      <w:r>
        <w:rPr/>
        <w:t>tiempo</w:t>
      </w:r>
      <w:r>
        <w:rPr>
          <w:spacing w:val="-13"/>
        </w:rPr>
        <w:t> </w:t>
      </w:r>
      <w:r>
        <w:rPr/>
        <w:t>de</w:t>
      </w:r>
      <w:r>
        <w:rPr>
          <w:spacing w:val="-13"/>
        </w:rPr>
        <w:t> </w:t>
      </w:r>
      <w:r>
        <w:rPr/>
        <w:t>respuesta</w:t>
      </w:r>
      <w:r>
        <w:rPr>
          <w:spacing w:val="-13"/>
        </w:rPr>
        <w:t> </w:t>
      </w:r>
      <w:r>
        <w:rPr/>
        <w:t>en</w:t>
      </w:r>
      <w:r>
        <w:rPr>
          <w:spacing w:val="-11"/>
        </w:rPr>
        <w:t> </w:t>
      </w:r>
      <w:r>
        <w:rPr/>
        <w:t>que</w:t>
      </w:r>
      <w:r>
        <w:rPr>
          <w:spacing w:val="-13"/>
        </w:rPr>
        <w:t> </w:t>
      </w:r>
      <w:r>
        <w:rPr/>
        <w:t>los</w:t>
      </w:r>
      <w:r>
        <w:rPr>
          <w:spacing w:val="-13"/>
        </w:rPr>
        <w:t> </w:t>
      </w:r>
      <w:r>
        <w:rPr/>
        <w:t>municipios</w:t>
      </w:r>
      <w:r>
        <w:rPr>
          <w:spacing w:val="-11"/>
        </w:rPr>
        <w:t> </w:t>
      </w:r>
      <w:r>
        <w:rPr/>
        <w:t>atienden</w:t>
      </w:r>
      <w:r>
        <w:rPr>
          <w:spacing w:val="-11"/>
        </w:rPr>
        <w:t> </w:t>
      </w:r>
      <w:r>
        <w:rPr/>
        <w:t>las</w:t>
      </w:r>
    </w:p>
    <w:p>
      <w:pPr>
        <w:spacing w:after="0" w:line="360" w:lineRule="auto"/>
        <w:jc w:val="both"/>
        <w:sectPr>
          <w:pgSz w:w="12240" w:h="15840"/>
          <w:pgMar w:header="0" w:footer="1035" w:top="1500" w:bottom="1220" w:left="1500" w:right="1440"/>
        </w:sectPr>
      </w:pPr>
    </w:p>
    <w:p>
      <w:pPr>
        <w:pStyle w:val="BodyText"/>
        <w:spacing w:line="362" w:lineRule="auto" w:before="54"/>
        <w:ind w:left="108" w:right="116"/>
        <w:jc w:val="both"/>
      </w:pPr>
      <w:r>
        <w:rPr/>
        <w:t>solicitudes, siendo el sujeto obligado con menor porcentaje de solicitudes de información atendidas de manera satisfactoria con 65% (INFOEM 2013:42).</w:t>
      </w:r>
    </w:p>
    <w:p>
      <w:pPr>
        <w:pStyle w:val="BodyText"/>
      </w:pPr>
    </w:p>
    <w:p>
      <w:pPr>
        <w:pStyle w:val="BodyText"/>
      </w:pPr>
    </w:p>
    <w:p>
      <w:pPr>
        <w:pStyle w:val="BodyText"/>
        <w:spacing w:line="360" w:lineRule="auto" w:before="177"/>
        <w:ind w:left="108" w:right="116"/>
        <w:jc w:val="both"/>
      </w:pPr>
      <w:r>
        <w:rPr/>
        <w:t>Sobre la copa del árbol resalta el hecho de que los frutos</w:t>
      </w:r>
      <w:r>
        <w:rPr>
          <w:position w:val="8"/>
          <w:sz w:val="16"/>
        </w:rPr>
        <w:t>33 </w:t>
      </w:r>
      <w:r>
        <w:rPr/>
        <w:t>que se reciben del GA son la corrupción en la que México empeoró su situación al pasar del lugar 65 en el año 2005 al lugar 106 en el año 2013, de acuerdo con el Índice de Percepción de la Corrupción 2005 a 2013 de Transparency International. Así como la impunidad ya que de acuerdo con el 53% de los encuestados, siempre se sanciona por incumplimiento de la ley. Se tienen pocos mecanismos de participación social como el SAIMEX.</w:t>
      </w:r>
    </w:p>
    <w:p>
      <w:pPr>
        <w:pStyle w:val="BodyText"/>
      </w:pPr>
    </w:p>
    <w:p>
      <w:pPr>
        <w:pStyle w:val="BodyText"/>
      </w:pPr>
    </w:p>
    <w:p>
      <w:pPr>
        <w:pStyle w:val="BodyText"/>
        <w:spacing w:line="360" w:lineRule="auto" w:before="185"/>
        <w:ind w:left="108" w:right="117"/>
        <w:jc w:val="both"/>
      </w:pPr>
      <w:r>
        <w:rPr/>
        <w:t>Los rayos se equiparan a las amenazas naturales propias de las administración pública que son un talón de Aquiles para los procesos de institucionalización, tales como los cambios de administración en los que se rompen esquemas de lo que se hizo en administraciones anteriores y al cambiar dichos esquemas se generan indicadores diferentes, tal como sucede con las solicitudes de información recibidas por el INFOEM, que presentan diferencias en la versión impresa y en la electrónica (ver tabla 3.86).</w:t>
      </w:r>
    </w:p>
    <w:p>
      <w:pPr>
        <w:pStyle w:val="BodyText"/>
        <w:rPr>
          <w:sz w:val="20"/>
        </w:rPr>
      </w:pPr>
    </w:p>
    <w:p>
      <w:pPr>
        <w:pStyle w:val="BodyText"/>
        <w:rPr>
          <w:sz w:val="20"/>
        </w:rPr>
      </w:pPr>
    </w:p>
    <w:p>
      <w:pPr>
        <w:pStyle w:val="BodyText"/>
        <w:spacing w:before="5"/>
        <w:rPr>
          <w:sz w:val="10"/>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78"/>
        <w:gridCol w:w="617"/>
        <w:gridCol w:w="667"/>
        <w:gridCol w:w="682"/>
        <w:gridCol w:w="768"/>
        <w:gridCol w:w="780"/>
        <w:gridCol w:w="768"/>
        <w:gridCol w:w="1042"/>
        <w:gridCol w:w="809"/>
        <w:gridCol w:w="809"/>
        <w:gridCol w:w="809"/>
      </w:tblGrid>
      <w:tr>
        <w:trPr>
          <w:trHeight w:val="631" w:hRule="exact"/>
        </w:trPr>
        <w:tc>
          <w:tcPr>
            <w:tcW w:w="8829" w:type="dxa"/>
            <w:gridSpan w:val="11"/>
            <w:shd w:val="clear" w:color="auto" w:fill="92D050"/>
          </w:tcPr>
          <w:p>
            <w:pPr>
              <w:pStyle w:val="TableParagraph"/>
              <w:spacing w:line="362" w:lineRule="auto"/>
              <w:ind w:left="3247" w:right="312" w:hanging="2922"/>
              <w:jc w:val="left"/>
              <w:rPr>
                <w:b/>
                <w:sz w:val="18"/>
              </w:rPr>
            </w:pPr>
            <w:r>
              <w:rPr>
                <w:b/>
                <w:sz w:val="18"/>
              </w:rPr>
              <w:t>Tabla 4.1.Solicitudes de información reportadas por el INFOEM en su página web vs su Informe Anual de Actividades 2012.</w:t>
            </w:r>
          </w:p>
        </w:tc>
      </w:tr>
      <w:tr>
        <w:trPr>
          <w:trHeight w:val="319" w:hRule="exact"/>
        </w:trPr>
        <w:tc>
          <w:tcPr>
            <w:tcW w:w="1078" w:type="dxa"/>
            <w:shd w:val="clear" w:color="auto" w:fill="92D050"/>
          </w:tcPr>
          <w:p>
            <w:pPr>
              <w:pStyle w:val="TableParagraph"/>
              <w:spacing w:line="201" w:lineRule="exact"/>
              <w:ind w:left="237"/>
              <w:jc w:val="left"/>
              <w:rPr>
                <w:b/>
                <w:sz w:val="18"/>
              </w:rPr>
            </w:pPr>
            <w:r>
              <w:rPr>
                <w:b/>
                <w:sz w:val="18"/>
              </w:rPr>
              <w:t>Fuente</w:t>
            </w:r>
          </w:p>
        </w:tc>
        <w:tc>
          <w:tcPr>
            <w:tcW w:w="617" w:type="dxa"/>
            <w:shd w:val="clear" w:color="auto" w:fill="92D050"/>
          </w:tcPr>
          <w:p>
            <w:pPr>
              <w:pStyle w:val="TableParagraph"/>
              <w:spacing w:line="201" w:lineRule="exact"/>
              <w:ind w:left="84" w:right="82"/>
              <w:rPr>
                <w:b/>
                <w:sz w:val="18"/>
              </w:rPr>
            </w:pPr>
            <w:r>
              <w:rPr>
                <w:b/>
                <w:sz w:val="18"/>
              </w:rPr>
              <w:t>2006</w:t>
            </w:r>
          </w:p>
        </w:tc>
        <w:tc>
          <w:tcPr>
            <w:tcW w:w="667" w:type="dxa"/>
            <w:tcBorders>
              <w:right w:val="single" w:sz="4" w:space="0" w:color="000000"/>
            </w:tcBorders>
            <w:shd w:val="clear" w:color="auto" w:fill="92D050"/>
          </w:tcPr>
          <w:p>
            <w:pPr>
              <w:pStyle w:val="TableParagraph"/>
              <w:spacing w:line="201" w:lineRule="exact"/>
              <w:ind w:left="83" w:right="83"/>
              <w:rPr>
                <w:b/>
                <w:sz w:val="18"/>
              </w:rPr>
            </w:pPr>
            <w:r>
              <w:rPr>
                <w:b/>
                <w:sz w:val="18"/>
              </w:rPr>
              <w:t>2007</w:t>
            </w:r>
          </w:p>
        </w:tc>
        <w:tc>
          <w:tcPr>
            <w:tcW w:w="682" w:type="dxa"/>
            <w:tcBorders>
              <w:left w:val="single" w:sz="4" w:space="0" w:color="000000"/>
            </w:tcBorders>
            <w:shd w:val="clear" w:color="auto" w:fill="92D050"/>
          </w:tcPr>
          <w:p>
            <w:pPr>
              <w:pStyle w:val="TableParagraph"/>
              <w:spacing w:line="201" w:lineRule="exact"/>
              <w:ind w:left="134"/>
              <w:jc w:val="left"/>
              <w:rPr>
                <w:b/>
                <w:sz w:val="18"/>
              </w:rPr>
            </w:pPr>
            <w:r>
              <w:rPr>
                <w:b/>
                <w:sz w:val="18"/>
              </w:rPr>
              <w:t>2008</w:t>
            </w:r>
          </w:p>
        </w:tc>
        <w:tc>
          <w:tcPr>
            <w:tcW w:w="768" w:type="dxa"/>
            <w:shd w:val="clear" w:color="auto" w:fill="92D050"/>
          </w:tcPr>
          <w:p>
            <w:pPr>
              <w:pStyle w:val="TableParagraph"/>
              <w:spacing w:line="201" w:lineRule="exact"/>
              <w:ind w:left="83" w:right="83"/>
              <w:rPr>
                <w:b/>
                <w:sz w:val="18"/>
              </w:rPr>
            </w:pPr>
            <w:r>
              <w:rPr>
                <w:b/>
                <w:sz w:val="18"/>
              </w:rPr>
              <w:t>2009</w:t>
            </w:r>
          </w:p>
        </w:tc>
        <w:tc>
          <w:tcPr>
            <w:tcW w:w="780" w:type="dxa"/>
            <w:shd w:val="clear" w:color="auto" w:fill="92D050"/>
          </w:tcPr>
          <w:p>
            <w:pPr>
              <w:pStyle w:val="TableParagraph"/>
              <w:spacing w:line="201" w:lineRule="exact"/>
              <w:ind w:left="90" w:right="88"/>
              <w:rPr>
                <w:b/>
                <w:sz w:val="18"/>
              </w:rPr>
            </w:pPr>
            <w:r>
              <w:rPr>
                <w:b/>
                <w:sz w:val="18"/>
              </w:rPr>
              <w:t>2010</w:t>
            </w:r>
          </w:p>
        </w:tc>
        <w:tc>
          <w:tcPr>
            <w:tcW w:w="768" w:type="dxa"/>
            <w:shd w:val="clear" w:color="auto" w:fill="92D050"/>
          </w:tcPr>
          <w:p>
            <w:pPr>
              <w:pStyle w:val="TableParagraph"/>
              <w:spacing w:line="201" w:lineRule="exact"/>
              <w:ind w:left="83" w:right="83"/>
              <w:rPr>
                <w:b/>
                <w:sz w:val="18"/>
              </w:rPr>
            </w:pPr>
            <w:r>
              <w:rPr>
                <w:b/>
                <w:sz w:val="18"/>
              </w:rPr>
              <w:t>2011</w:t>
            </w:r>
          </w:p>
        </w:tc>
        <w:tc>
          <w:tcPr>
            <w:tcW w:w="1042" w:type="dxa"/>
            <w:shd w:val="clear" w:color="auto" w:fill="92D050"/>
          </w:tcPr>
          <w:p>
            <w:pPr>
              <w:pStyle w:val="TableParagraph"/>
              <w:spacing w:line="201" w:lineRule="exact"/>
              <w:ind w:left="220" w:right="220"/>
              <w:rPr>
                <w:b/>
                <w:sz w:val="18"/>
              </w:rPr>
            </w:pPr>
            <w:r>
              <w:rPr>
                <w:b/>
                <w:sz w:val="18"/>
              </w:rPr>
              <w:t>2012</w:t>
            </w:r>
          </w:p>
        </w:tc>
        <w:tc>
          <w:tcPr>
            <w:tcW w:w="809" w:type="dxa"/>
            <w:shd w:val="clear" w:color="auto" w:fill="92D050"/>
          </w:tcPr>
          <w:p>
            <w:pPr>
              <w:pStyle w:val="TableParagraph"/>
              <w:spacing w:line="201" w:lineRule="exact"/>
              <w:ind w:left="64" w:right="62"/>
              <w:rPr>
                <w:b/>
                <w:sz w:val="18"/>
              </w:rPr>
            </w:pPr>
            <w:r>
              <w:rPr>
                <w:b/>
                <w:sz w:val="18"/>
              </w:rPr>
              <w:t>2013</w:t>
            </w:r>
          </w:p>
        </w:tc>
        <w:tc>
          <w:tcPr>
            <w:tcW w:w="809" w:type="dxa"/>
            <w:shd w:val="clear" w:color="auto" w:fill="92D050"/>
          </w:tcPr>
          <w:p>
            <w:pPr>
              <w:pStyle w:val="TableParagraph"/>
              <w:spacing w:line="201" w:lineRule="exact"/>
              <w:ind w:left="104" w:right="103"/>
              <w:rPr>
                <w:b/>
                <w:sz w:val="18"/>
              </w:rPr>
            </w:pPr>
            <w:r>
              <w:rPr>
                <w:b/>
                <w:sz w:val="18"/>
              </w:rPr>
              <w:t>2014</w:t>
            </w:r>
          </w:p>
        </w:tc>
        <w:tc>
          <w:tcPr>
            <w:tcW w:w="809" w:type="dxa"/>
            <w:shd w:val="clear" w:color="auto" w:fill="92D050"/>
          </w:tcPr>
          <w:p>
            <w:pPr>
              <w:pStyle w:val="TableParagraph"/>
              <w:spacing w:line="201" w:lineRule="exact"/>
              <w:ind w:left="199"/>
              <w:jc w:val="left"/>
              <w:rPr>
                <w:b/>
                <w:sz w:val="18"/>
              </w:rPr>
            </w:pPr>
            <w:r>
              <w:rPr>
                <w:b/>
                <w:sz w:val="18"/>
              </w:rPr>
              <w:t>2015</w:t>
            </w:r>
          </w:p>
        </w:tc>
      </w:tr>
      <w:tr>
        <w:trPr>
          <w:trHeight w:val="322" w:hRule="exact"/>
        </w:trPr>
        <w:tc>
          <w:tcPr>
            <w:tcW w:w="1078" w:type="dxa"/>
          </w:tcPr>
          <w:p>
            <w:pPr>
              <w:pStyle w:val="TableParagraph"/>
              <w:spacing w:before="1"/>
              <w:ind w:left="103"/>
              <w:jc w:val="left"/>
              <w:rPr>
                <w:sz w:val="18"/>
              </w:rPr>
            </w:pPr>
            <w:r>
              <w:rPr>
                <w:sz w:val="18"/>
              </w:rPr>
              <w:t>Web</w:t>
            </w:r>
          </w:p>
        </w:tc>
        <w:tc>
          <w:tcPr>
            <w:tcW w:w="617" w:type="dxa"/>
          </w:tcPr>
          <w:p>
            <w:pPr>
              <w:pStyle w:val="TableParagraph"/>
              <w:spacing w:before="1"/>
              <w:ind w:left="84" w:right="82"/>
              <w:rPr>
                <w:sz w:val="18"/>
              </w:rPr>
            </w:pPr>
            <w:r>
              <w:rPr>
                <w:sz w:val="18"/>
              </w:rPr>
              <w:t>673</w:t>
            </w:r>
          </w:p>
        </w:tc>
        <w:tc>
          <w:tcPr>
            <w:tcW w:w="667" w:type="dxa"/>
            <w:tcBorders>
              <w:right w:val="single" w:sz="4" w:space="0" w:color="000000"/>
            </w:tcBorders>
          </w:tcPr>
          <w:p>
            <w:pPr>
              <w:pStyle w:val="TableParagraph"/>
              <w:spacing w:before="1"/>
              <w:ind w:left="84" w:right="83"/>
              <w:rPr>
                <w:sz w:val="18"/>
              </w:rPr>
            </w:pPr>
            <w:r>
              <w:rPr>
                <w:sz w:val="18"/>
              </w:rPr>
              <w:t>3,054</w:t>
            </w:r>
          </w:p>
        </w:tc>
        <w:tc>
          <w:tcPr>
            <w:tcW w:w="682" w:type="dxa"/>
            <w:tcBorders>
              <w:left w:val="single" w:sz="4" w:space="0" w:color="000000"/>
            </w:tcBorders>
          </w:tcPr>
          <w:p>
            <w:pPr>
              <w:pStyle w:val="TableParagraph"/>
              <w:spacing w:before="1"/>
              <w:ind w:left="110"/>
              <w:jc w:val="left"/>
              <w:rPr>
                <w:sz w:val="18"/>
              </w:rPr>
            </w:pPr>
            <w:r>
              <w:rPr>
                <w:sz w:val="18"/>
              </w:rPr>
              <w:t>8,768</w:t>
            </w:r>
          </w:p>
        </w:tc>
        <w:tc>
          <w:tcPr>
            <w:tcW w:w="768" w:type="dxa"/>
          </w:tcPr>
          <w:p>
            <w:pPr>
              <w:pStyle w:val="TableParagraph"/>
              <w:spacing w:before="1"/>
              <w:ind w:left="83" w:right="84"/>
              <w:rPr>
                <w:sz w:val="18"/>
              </w:rPr>
            </w:pPr>
            <w:r>
              <w:rPr>
                <w:sz w:val="18"/>
              </w:rPr>
              <w:t>14,284</w:t>
            </w:r>
          </w:p>
        </w:tc>
        <w:tc>
          <w:tcPr>
            <w:tcW w:w="780" w:type="dxa"/>
          </w:tcPr>
          <w:p>
            <w:pPr>
              <w:pStyle w:val="TableParagraph"/>
              <w:spacing w:before="1"/>
              <w:ind w:left="90" w:right="89"/>
              <w:rPr>
                <w:sz w:val="18"/>
              </w:rPr>
            </w:pPr>
            <w:r>
              <w:rPr>
                <w:sz w:val="18"/>
              </w:rPr>
              <w:t>17,654</w:t>
            </w:r>
          </w:p>
        </w:tc>
        <w:tc>
          <w:tcPr>
            <w:tcW w:w="768" w:type="dxa"/>
          </w:tcPr>
          <w:p>
            <w:pPr>
              <w:pStyle w:val="TableParagraph"/>
              <w:spacing w:before="1"/>
              <w:ind w:left="83" w:right="84"/>
              <w:rPr>
                <w:sz w:val="18"/>
              </w:rPr>
            </w:pPr>
            <w:r>
              <w:rPr>
                <w:sz w:val="18"/>
              </w:rPr>
              <w:t>19,345</w:t>
            </w:r>
          </w:p>
        </w:tc>
        <w:tc>
          <w:tcPr>
            <w:tcW w:w="1042" w:type="dxa"/>
          </w:tcPr>
          <w:p>
            <w:pPr>
              <w:pStyle w:val="TableParagraph"/>
              <w:spacing w:before="1"/>
              <w:ind w:left="220" w:right="221"/>
              <w:rPr>
                <w:sz w:val="18"/>
              </w:rPr>
            </w:pPr>
            <w:r>
              <w:rPr>
                <w:sz w:val="18"/>
              </w:rPr>
              <w:t>15,269</w:t>
            </w:r>
          </w:p>
        </w:tc>
        <w:tc>
          <w:tcPr>
            <w:tcW w:w="809" w:type="dxa"/>
          </w:tcPr>
          <w:p>
            <w:pPr>
              <w:pStyle w:val="TableParagraph"/>
              <w:spacing w:before="1"/>
              <w:ind w:left="64" w:right="63"/>
              <w:rPr>
                <w:sz w:val="18"/>
              </w:rPr>
            </w:pPr>
            <w:r>
              <w:rPr>
                <w:sz w:val="18"/>
              </w:rPr>
              <w:t>19,294</w:t>
            </w:r>
          </w:p>
        </w:tc>
        <w:tc>
          <w:tcPr>
            <w:tcW w:w="809" w:type="dxa"/>
          </w:tcPr>
          <w:p>
            <w:pPr>
              <w:pStyle w:val="TableParagraph"/>
              <w:spacing w:before="1"/>
              <w:ind w:left="104" w:right="104"/>
              <w:rPr>
                <w:sz w:val="18"/>
              </w:rPr>
            </w:pPr>
            <w:r>
              <w:rPr>
                <w:sz w:val="18"/>
              </w:rPr>
              <w:t>17,447</w:t>
            </w:r>
          </w:p>
        </w:tc>
        <w:tc>
          <w:tcPr>
            <w:tcW w:w="809" w:type="dxa"/>
          </w:tcPr>
          <w:p>
            <w:pPr>
              <w:pStyle w:val="TableParagraph"/>
              <w:spacing w:before="1"/>
              <w:ind w:left="124"/>
              <w:jc w:val="left"/>
              <w:rPr>
                <w:sz w:val="18"/>
              </w:rPr>
            </w:pPr>
            <w:r>
              <w:rPr>
                <w:sz w:val="18"/>
              </w:rPr>
              <w:t>17,131</w:t>
            </w:r>
          </w:p>
        </w:tc>
      </w:tr>
      <w:tr>
        <w:trPr>
          <w:trHeight w:val="319" w:hRule="exact"/>
        </w:trPr>
        <w:tc>
          <w:tcPr>
            <w:tcW w:w="1078" w:type="dxa"/>
          </w:tcPr>
          <w:p>
            <w:pPr>
              <w:pStyle w:val="TableParagraph"/>
              <w:spacing w:line="206" w:lineRule="exact"/>
              <w:ind w:left="103"/>
              <w:jc w:val="left"/>
              <w:rPr>
                <w:sz w:val="18"/>
              </w:rPr>
            </w:pPr>
            <w:r>
              <w:rPr>
                <w:sz w:val="18"/>
              </w:rPr>
              <w:t>IAA</w:t>
            </w:r>
          </w:p>
        </w:tc>
        <w:tc>
          <w:tcPr>
            <w:tcW w:w="617" w:type="dxa"/>
          </w:tcPr>
          <w:p>
            <w:pPr>
              <w:pStyle w:val="TableParagraph"/>
              <w:spacing w:line="206" w:lineRule="exact"/>
              <w:ind w:left="84" w:right="82"/>
              <w:rPr>
                <w:sz w:val="18"/>
              </w:rPr>
            </w:pPr>
            <w:r>
              <w:rPr>
                <w:sz w:val="18"/>
              </w:rPr>
              <w:t>856</w:t>
            </w:r>
          </w:p>
        </w:tc>
        <w:tc>
          <w:tcPr>
            <w:tcW w:w="667" w:type="dxa"/>
            <w:tcBorders>
              <w:right w:val="single" w:sz="4" w:space="0" w:color="000000"/>
            </w:tcBorders>
          </w:tcPr>
          <w:p>
            <w:pPr>
              <w:pStyle w:val="TableParagraph"/>
              <w:spacing w:line="206" w:lineRule="exact"/>
              <w:ind w:left="84" w:right="83"/>
              <w:rPr>
                <w:sz w:val="18"/>
              </w:rPr>
            </w:pPr>
            <w:r>
              <w:rPr>
                <w:sz w:val="18"/>
              </w:rPr>
              <w:t>1,541</w:t>
            </w:r>
          </w:p>
        </w:tc>
        <w:tc>
          <w:tcPr>
            <w:tcW w:w="682" w:type="dxa"/>
            <w:tcBorders>
              <w:left w:val="single" w:sz="4" w:space="0" w:color="000000"/>
            </w:tcBorders>
          </w:tcPr>
          <w:p>
            <w:pPr>
              <w:pStyle w:val="TableParagraph"/>
              <w:spacing w:line="206" w:lineRule="exact"/>
              <w:ind w:left="110"/>
              <w:jc w:val="left"/>
              <w:rPr>
                <w:sz w:val="18"/>
              </w:rPr>
            </w:pPr>
            <w:r>
              <w:rPr>
                <w:sz w:val="18"/>
              </w:rPr>
              <w:t>5,515</w:t>
            </w:r>
          </w:p>
        </w:tc>
        <w:tc>
          <w:tcPr>
            <w:tcW w:w="768" w:type="dxa"/>
          </w:tcPr>
          <w:p>
            <w:pPr>
              <w:pStyle w:val="TableParagraph"/>
              <w:spacing w:line="206" w:lineRule="exact"/>
              <w:ind w:left="83" w:right="84"/>
              <w:rPr>
                <w:sz w:val="18"/>
              </w:rPr>
            </w:pPr>
            <w:r>
              <w:rPr>
                <w:sz w:val="18"/>
              </w:rPr>
              <w:t>14,344</w:t>
            </w:r>
          </w:p>
        </w:tc>
        <w:tc>
          <w:tcPr>
            <w:tcW w:w="780" w:type="dxa"/>
          </w:tcPr>
          <w:p>
            <w:pPr>
              <w:pStyle w:val="TableParagraph"/>
              <w:spacing w:line="206" w:lineRule="exact"/>
              <w:ind w:left="90" w:right="89"/>
              <w:rPr>
                <w:sz w:val="18"/>
              </w:rPr>
            </w:pPr>
            <w:r>
              <w:rPr>
                <w:sz w:val="18"/>
              </w:rPr>
              <w:t>16,290</w:t>
            </w:r>
          </w:p>
        </w:tc>
        <w:tc>
          <w:tcPr>
            <w:tcW w:w="768" w:type="dxa"/>
          </w:tcPr>
          <w:p>
            <w:pPr>
              <w:pStyle w:val="TableParagraph"/>
              <w:spacing w:line="206" w:lineRule="exact"/>
              <w:ind w:left="83" w:right="84"/>
              <w:rPr>
                <w:sz w:val="18"/>
              </w:rPr>
            </w:pPr>
            <w:r>
              <w:rPr>
                <w:sz w:val="18"/>
              </w:rPr>
              <w:t>23,073</w:t>
            </w:r>
          </w:p>
        </w:tc>
        <w:tc>
          <w:tcPr>
            <w:tcW w:w="1042" w:type="dxa"/>
          </w:tcPr>
          <w:p>
            <w:pPr>
              <w:pStyle w:val="TableParagraph"/>
              <w:spacing w:line="206" w:lineRule="exact"/>
              <w:ind w:left="220" w:right="221"/>
              <w:rPr>
                <w:sz w:val="18"/>
              </w:rPr>
            </w:pPr>
            <w:r>
              <w:rPr>
                <w:sz w:val="18"/>
              </w:rPr>
              <w:t>14,841</w:t>
            </w:r>
          </w:p>
        </w:tc>
        <w:tc>
          <w:tcPr>
            <w:tcW w:w="809" w:type="dxa"/>
          </w:tcPr>
          <w:p>
            <w:pPr>
              <w:pStyle w:val="TableParagraph"/>
              <w:spacing w:line="206" w:lineRule="exact"/>
              <w:ind w:left="64" w:right="63"/>
              <w:rPr>
                <w:sz w:val="18"/>
              </w:rPr>
            </w:pPr>
            <w:r>
              <w:rPr>
                <w:sz w:val="18"/>
              </w:rPr>
              <w:t>17,047</w:t>
            </w:r>
          </w:p>
        </w:tc>
        <w:tc>
          <w:tcPr>
            <w:tcW w:w="809" w:type="dxa"/>
          </w:tcPr>
          <w:p>
            <w:pPr>
              <w:pStyle w:val="TableParagraph"/>
              <w:spacing w:line="206" w:lineRule="exact"/>
              <w:ind w:left="104" w:right="104"/>
              <w:rPr>
                <w:sz w:val="18"/>
              </w:rPr>
            </w:pPr>
            <w:r>
              <w:rPr>
                <w:sz w:val="18"/>
              </w:rPr>
              <w:t>16,165</w:t>
            </w:r>
          </w:p>
        </w:tc>
        <w:tc>
          <w:tcPr>
            <w:tcW w:w="809" w:type="dxa"/>
          </w:tcPr>
          <w:p>
            <w:pPr>
              <w:pStyle w:val="TableParagraph"/>
              <w:spacing w:line="206" w:lineRule="exact"/>
              <w:ind w:left="124"/>
              <w:jc w:val="left"/>
              <w:rPr>
                <w:sz w:val="18"/>
              </w:rPr>
            </w:pPr>
            <w:r>
              <w:rPr>
                <w:sz w:val="18"/>
              </w:rPr>
              <w:t>14,984</w:t>
            </w:r>
          </w:p>
        </w:tc>
      </w:tr>
    </w:tbl>
    <w:p>
      <w:pPr>
        <w:spacing w:line="183" w:lineRule="exact" w:before="0"/>
        <w:ind w:left="221" w:right="6" w:firstLine="0"/>
        <w:jc w:val="left"/>
        <w:rPr>
          <w:sz w:val="16"/>
        </w:rPr>
      </w:pPr>
      <w:r>
        <w:rPr>
          <w:sz w:val="16"/>
        </w:rPr>
        <w:t>Fuente: Elaboración propia con datos del Informe Anual de Actividades 2016</w:t>
      </w:r>
      <w:r>
        <w:rPr>
          <w:position w:val="6"/>
          <w:sz w:val="10"/>
        </w:rPr>
        <w:t>34 </w:t>
      </w:r>
      <w:r>
        <w:rPr>
          <w:sz w:val="16"/>
        </w:rPr>
        <w:t>y la página web del INFOEM</w:t>
      </w:r>
      <w:r>
        <w:rPr>
          <w:position w:val="6"/>
          <w:sz w:val="10"/>
        </w:rPr>
        <w:t>35</w:t>
      </w:r>
      <w:r>
        <w:rPr>
          <w:sz w:val="16"/>
        </w:rPr>
        <w:t>.</w:t>
      </w:r>
    </w:p>
    <w:p>
      <w:pPr>
        <w:pStyle w:val="BodyText"/>
        <w:rPr>
          <w:sz w:val="20"/>
        </w:rPr>
      </w:pPr>
    </w:p>
    <w:p>
      <w:pPr>
        <w:pStyle w:val="BodyText"/>
        <w:rPr>
          <w:sz w:val="20"/>
        </w:rPr>
      </w:pPr>
    </w:p>
    <w:p>
      <w:pPr>
        <w:pStyle w:val="BodyText"/>
        <w:spacing w:line="360" w:lineRule="auto" w:before="208"/>
        <w:ind w:left="108" w:right="6"/>
      </w:pPr>
      <w:r>
        <w:rPr/>
        <w:t>La tabla anterior muestra cómo hay inconsistencias de información que presenta el INFOEM ya que la versión electrónica es diferente a la presentada en la impresa.</w:t>
      </w:r>
    </w:p>
    <w:p>
      <w:pPr>
        <w:pStyle w:val="BodyText"/>
        <w:rPr>
          <w:sz w:val="23"/>
        </w:rPr>
      </w:pPr>
      <w:r>
        <w:rPr/>
        <w:pict>
          <v:line style="position:absolute;mso-position-horizontal-relative:page;mso-position-vertical-relative:paragraph;z-index:8248;mso-wrap-distance-left:0;mso-wrap-distance-right:0" from="80.424004pt,15.593887pt" to="224.444004pt,15.593887pt" stroked="true" strokeweight=".72003pt" strokecolor="#000000">
            <w10:wrap type="topAndBottom"/>
          </v:line>
        </w:pict>
      </w:r>
    </w:p>
    <w:p>
      <w:pPr>
        <w:spacing w:line="162" w:lineRule="exact" w:before="69"/>
        <w:ind w:left="108" w:right="6" w:firstLine="0"/>
        <w:jc w:val="left"/>
        <w:rPr>
          <w:sz w:val="14"/>
        </w:rPr>
      </w:pPr>
      <w:r>
        <w:rPr>
          <w:position w:val="5"/>
          <w:sz w:val="9"/>
        </w:rPr>
        <w:t>33 </w:t>
      </w:r>
      <w:r>
        <w:rPr>
          <w:sz w:val="14"/>
        </w:rPr>
        <w:t>Si se les puede llamar como tal, dado que son situaciones perjudiciales para la sociedad.</w:t>
      </w:r>
    </w:p>
    <w:p>
      <w:pPr>
        <w:tabs>
          <w:tab w:pos="549" w:val="left" w:leader="none"/>
          <w:tab w:pos="1588" w:val="left" w:leader="none"/>
          <w:tab w:pos="2042" w:val="left" w:leader="none"/>
          <w:tab w:pos="2802" w:val="left" w:leader="none"/>
          <w:tab w:pos="3299" w:val="left" w:leader="none"/>
          <w:tab w:pos="3829" w:val="left" w:leader="none"/>
          <w:tab w:pos="4642" w:val="left" w:leader="none"/>
          <w:tab w:pos="5342" w:val="left" w:leader="none"/>
          <w:tab w:pos="5839" w:val="left" w:leader="none"/>
          <w:tab w:pos="6896" w:val="left" w:leader="none"/>
          <w:tab w:pos="7911" w:val="left" w:leader="none"/>
          <w:tab w:pos="8882" w:val="left" w:leader="none"/>
        </w:tabs>
        <w:spacing w:before="0"/>
        <w:ind w:left="108" w:right="118" w:firstLine="0"/>
        <w:jc w:val="left"/>
        <w:rPr>
          <w:sz w:val="14"/>
        </w:rPr>
      </w:pPr>
      <w:r>
        <w:rPr>
          <w:position w:val="5"/>
          <w:sz w:val="9"/>
        </w:rPr>
        <w:t>34</w:t>
        <w:tab/>
      </w:r>
      <w:r>
        <w:rPr>
          <w:sz w:val="14"/>
        </w:rPr>
        <w:t>Consúltese</w:t>
        <w:tab/>
        <w:t>la</w:t>
        <w:tab/>
        <w:t>página</w:t>
        <w:tab/>
        <w:t>28</w:t>
        <w:tab/>
        <w:t>del</w:t>
        <w:tab/>
        <w:t>Informe</w:t>
        <w:tab/>
        <w:t>Anual</w:t>
        <w:tab/>
        <w:t>de</w:t>
        <w:tab/>
        <w:t>Actividades</w:t>
        <w:tab/>
        <w:t>2014-2015</w:t>
        <w:tab/>
        <w:t>disponible</w:t>
        <w:tab/>
        <w:t>en </w:t>
      </w:r>
      <w:r>
        <w:rPr>
          <w:color w:val="0462C1"/>
          <w:sz w:val="14"/>
          <w:u w:val="single" w:color="0462C1"/>
        </w:rPr>
        <w:t>file:///C:/Users/Usuario/Downloads/Informe%20de%20Actividades%2014-15%20(2).pdf</w:t>
      </w:r>
      <w:r>
        <w:rPr>
          <w:color w:val="0462C1"/>
          <w:spacing w:val="2"/>
          <w:sz w:val="14"/>
          <w:u w:val="single" w:color="0462C1"/>
        </w:rPr>
        <w:t> </w:t>
      </w:r>
      <w:r>
        <w:rPr>
          <w:sz w:val="14"/>
        </w:rPr>
        <w:t>[24-10-2016]</w:t>
      </w:r>
    </w:p>
    <w:p>
      <w:pPr>
        <w:spacing w:line="161" w:lineRule="exact" w:before="0"/>
        <w:ind w:left="108" w:right="6" w:firstLine="0"/>
        <w:jc w:val="left"/>
        <w:rPr>
          <w:rFonts w:ascii="Times New Roman" w:hAnsi="Times New Roman"/>
          <w:sz w:val="14"/>
        </w:rPr>
      </w:pPr>
      <w:r>
        <w:rPr>
          <w:rFonts w:ascii="Times New Roman" w:hAnsi="Times New Roman"/>
          <w:position w:val="5"/>
          <w:sz w:val="9"/>
        </w:rPr>
        <w:t>35 </w:t>
      </w:r>
      <w:r>
        <w:rPr>
          <w:rFonts w:ascii="Times New Roman" w:hAnsi="Times New Roman"/>
          <w:sz w:val="14"/>
        </w:rPr>
        <w:t>Solicitudes de información por tipo. Disponibles en </w:t>
      </w:r>
      <w:hyperlink r:id="rId132">
        <w:r>
          <w:rPr>
            <w:rFonts w:ascii="Times New Roman" w:hAnsi="Times New Roman"/>
            <w:color w:val="0462C1"/>
            <w:sz w:val="14"/>
            <w:u w:val="single" w:color="0462C1"/>
          </w:rPr>
          <w:t>http://www.infoem.org.mx/src/php/solicitudesTipoYear.php </w:t>
        </w:r>
      </w:hyperlink>
      <w:r>
        <w:rPr>
          <w:rFonts w:ascii="Times New Roman" w:hAnsi="Times New Roman"/>
          <w:sz w:val="14"/>
        </w:rPr>
        <w:t>[Consultado el 24-10-2013]</w:t>
      </w:r>
    </w:p>
    <w:p>
      <w:pPr>
        <w:spacing w:after="0" w:line="161" w:lineRule="exact"/>
        <w:jc w:val="left"/>
        <w:rPr>
          <w:rFonts w:ascii="Times New Roman" w:hAnsi="Times New Roman"/>
          <w:sz w:val="14"/>
        </w:rPr>
        <w:sectPr>
          <w:pgSz w:w="12240" w:h="15840"/>
          <w:pgMar w:header="0" w:footer="1035" w:top="1360" w:bottom="1220" w:left="1500" w:right="1580"/>
        </w:sectPr>
      </w:pPr>
    </w:p>
    <w:p>
      <w:pPr>
        <w:pStyle w:val="BodyText"/>
        <w:spacing w:line="360" w:lineRule="auto" w:before="54"/>
        <w:ind w:left="108" w:right="115"/>
        <w:jc w:val="both"/>
      </w:pPr>
      <w:r>
        <w:rPr/>
        <w:t>Esta incongruencia de información puede deberse a las fechas de corte con las que se integra la información. Sin embargo, presenta un problema dado que la transparencia debería ayudar a establecer marcos específicos de medición y comparación</w:t>
      </w:r>
      <w:r>
        <w:rPr>
          <w:spacing w:val="-14"/>
        </w:rPr>
        <w:t> </w:t>
      </w:r>
      <w:r>
        <w:rPr/>
        <w:t>para</w:t>
      </w:r>
      <w:r>
        <w:rPr>
          <w:spacing w:val="-12"/>
        </w:rPr>
        <w:t> </w:t>
      </w:r>
      <w:r>
        <w:rPr/>
        <w:t>establecer</w:t>
      </w:r>
      <w:r>
        <w:rPr>
          <w:spacing w:val="-13"/>
        </w:rPr>
        <w:t> </w:t>
      </w:r>
      <w:r>
        <w:rPr/>
        <w:t>estándares</w:t>
      </w:r>
      <w:r>
        <w:rPr>
          <w:spacing w:val="-12"/>
        </w:rPr>
        <w:t> </w:t>
      </w:r>
      <w:r>
        <w:rPr/>
        <w:t>de</w:t>
      </w:r>
      <w:r>
        <w:rPr>
          <w:spacing w:val="-12"/>
        </w:rPr>
        <w:t> </w:t>
      </w:r>
      <w:r>
        <w:rPr/>
        <w:t>comparación</w:t>
      </w:r>
      <w:r>
        <w:rPr>
          <w:spacing w:val="-12"/>
        </w:rPr>
        <w:t> </w:t>
      </w:r>
      <w:r>
        <w:rPr/>
        <w:t>que</w:t>
      </w:r>
      <w:r>
        <w:rPr>
          <w:spacing w:val="-14"/>
        </w:rPr>
        <w:t> </w:t>
      </w:r>
      <w:r>
        <w:rPr/>
        <w:t>permitan</w:t>
      </w:r>
      <w:r>
        <w:rPr>
          <w:spacing w:val="-12"/>
        </w:rPr>
        <w:t> </w:t>
      </w:r>
      <w:r>
        <w:rPr/>
        <w:t>a</w:t>
      </w:r>
      <w:r>
        <w:rPr>
          <w:spacing w:val="-12"/>
        </w:rPr>
        <w:t> </w:t>
      </w:r>
      <w:r>
        <w:rPr/>
        <w:t>los</w:t>
      </w:r>
      <w:r>
        <w:rPr>
          <w:spacing w:val="-12"/>
        </w:rPr>
        <w:t> </w:t>
      </w:r>
      <w:r>
        <w:rPr/>
        <w:t>actores organizacionales</w:t>
      </w:r>
      <w:r>
        <w:rPr>
          <w:spacing w:val="-7"/>
        </w:rPr>
        <w:t> </w:t>
      </w:r>
      <w:r>
        <w:rPr/>
        <w:t>involucrados</w:t>
      </w:r>
      <w:r>
        <w:rPr>
          <w:spacing w:val="-10"/>
        </w:rPr>
        <w:t> </w:t>
      </w:r>
      <w:r>
        <w:rPr/>
        <w:t>medir</w:t>
      </w:r>
      <w:r>
        <w:rPr>
          <w:spacing w:val="-9"/>
        </w:rPr>
        <w:t> </w:t>
      </w:r>
      <w:r>
        <w:rPr/>
        <w:t>el</w:t>
      </w:r>
      <w:r>
        <w:rPr>
          <w:spacing w:val="-8"/>
        </w:rPr>
        <w:t> </w:t>
      </w:r>
      <w:r>
        <w:rPr/>
        <w:t>desempeño</w:t>
      </w:r>
      <w:r>
        <w:rPr>
          <w:spacing w:val="-7"/>
        </w:rPr>
        <w:t> </w:t>
      </w:r>
      <w:r>
        <w:rPr/>
        <w:t>gubernamental</w:t>
      </w:r>
      <w:r>
        <w:rPr>
          <w:spacing w:val="-11"/>
        </w:rPr>
        <w:t> </w:t>
      </w:r>
      <w:r>
        <w:rPr/>
        <w:t>(Arellano,</w:t>
      </w:r>
      <w:r>
        <w:rPr>
          <w:spacing w:val="-10"/>
        </w:rPr>
        <w:t> </w:t>
      </w:r>
      <w:r>
        <w:rPr/>
        <w:t>2007).</w:t>
      </w:r>
    </w:p>
    <w:p>
      <w:pPr>
        <w:pStyle w:val="BodyText"/>
      </w:pPr>
    </w:p>
    <w:p>
      <w:pPr>
        <w:pStyle w:val="BodyText"/>
      </w:pPr>
    </w:p>
    <w:p>
      <w:pPr>
        <w:pStyle w:val="BodyText"/>
        <w:spacing w:line="360" w:lineRule="auto" w:before="187"/>
        <w:ind w:left="108" w:right="115"/>
        <w:jc w:val="both"/>
      </w:pPr>
      <w:r>
        <w:rPr/>
        <w:t>Finalmente, las termitas que se presentan en el esquema como parte del problema hacen referencia a los vicios que pueden corregirse, pero por falta de tiempo se busca solamente resultados a corto plazo, lo cual pude denotarse en las constantes reformas que se llevan a cabo en la ley de transparencia del Estado de México que inicia con su publicación el 30 de abril de 2004 y ha sido reformada siete veces: 28 de</w:t>
      </w:r>
      <w:r>
        <w:rPr>
          <w:spacing w:val="-6"/>
        </w:rPr>
        <w:t> </w:t>
      </w:r>
      <w:r>
        <w:rPr/>
        <w:t>diciembre</w:t>
      </w:r>
      <w:r>
        <w:rPr>
          <w:spacing w:val="-9"/>
        </w:rPr>
        <w:t> </w:t>
      </w:r>
      <w:r>
        <w:rPr/>
        <w:t>de</w:t>
      </w:r>
      <w:r>
        <w:rPr>
          <w:spacing w:val="-8"/>
        </w:rPr>
        <w:t> </w:t>
      </w:r>
      <w:r>
        <w:rPr/>
        <w:t>2004,</w:t>
      </w:r>
      <w:r>
        <w:rPr>
          <w:spacing w:val="-9"/>
        </w:rPr>
        <w:t> </w:t>
      </w:r>
      <w:r>
        <w:rPr/>
        <w:t>29</w:t>
      </w:r>
      <w:r>
        <w:rPr>
          <w:spacing w:val="-6"/>
        </w:rPr>
        <w:t> </w:t>
      </w:r>
      <w:r>
        <w:rPr/>
        <w:t>de</w:t>
      </w:r>
      <w:r>
        <w:rPr>
          <w:spacing w:val="-6"/>
        </w:rPr>
        <w:t> </w:t>
      </w:r>
      <w:r>
        <w:rPr/>
        <w:t>diciembre</w:t>
      </w:r>
      <w:r>
        <w:rPr>
          <w:spacing w:val="-9"/>
        </w:rPr>
        <w:t> </w:t>
      </w:r>
      <w:r>
        <w:rPr/>
        <w:t>de</w:t>
      </w:r>
      <w:r>
        <w:rPr>
          <w:spacing w:val="-6"/>
        </w:rPr>
        <w:t> </w:t>
      </w:r>
      <w:r>
        <w:rPr/>
        <w:t>2006,</w:t>
      </w:r>
      <w:r>
        <w:rPr>
          <w:spacing w:val="-6"/>
        </w:rPr>
        <w:t> </w:t>
      </w:r>
      <w:r>
        <w:rPr/>
        <w:t>1</w:t>
      </w:r>
      <w:r>
        <w:rPr>
          <w:spacing w:val="-8"/>
        </w:rPr>
        <w:t> </w:t>
      </w:r>
      <w:r>
        <w:rPr/>
        <w:t>de</w:t>
      </w:r>
      <w:r>
        <w:rPr>
          <w:spacing w:val="-8"/>
        </w:rPr>
        <w:t> </w:t>
      </w:r>
      <w:r>
        <w:rPr/>
        <w:t>febrero</w:t>
      </w:r>
      <w:r>
        <w:rPr>
          <w:spacing w:val="-9"/>
        </w:rPr>
        <w:t> </w:t>
      </w:r>
      <w:r>
        <w:rPr/>
        <w:t>de</w:t>
      </w:r>
      <w:r>
        <w:rPr>
          <w:spacing w:val="-8"/>
        </w:rPr>
        <w:t> </w:t>
      </w:r>
      <w:r>
        <w:rPr/>
        <w:t>2007,</w:t>
      </w:r>
      <w:r>
        <w:rPr>
          <w:spacing w:val="-6"/>
        </w:rPr>
        <w:t> </w:t>
      </w:r>
      <w:r>
        <w:rPr/>
        <w:t>24</w:t>
      </w:r>
      <w:r>
        <w:rPr>
          <w:spacing w:val="-6"/>
        </w:rPr>
        <w:t> </w:t>
      </w:r>
      <w:r>
        <w:rPr/>
        <w:t>de</w:t>
      </w:r>
      <w:r>
        <w:rPr>
          <w:spacing w:val="-6"/>
        </w:rPr>
        <w:t> </w:t>
      </w:r>
      <w:r>
        <w:rPr/>
        <w:t>julio</w:t>
      </w:r>
      <w:r>
        <w:rPr>
          <w:spacing w:val="-6"/>
        </w:rPr>
        <w:t> </w:t>
      </w:r>
      <w:r>
        <w:rPr/>
        <w:t>de</w:t>
      </w:r>
    </w:p>
    <w:p>
      <w:pPr>
        <w:pStyle w:val="BodyText"/>
        <w:spacing w:line="360" w:lineRule="auto" w:before="5"/>
        <w:ind w:left="108" w:right="122"/>
        <w:jc w:val="both"/>
      </w:pPr>
      <w:r>
        <w:rPr/>
        <w:t>2008,</w:t>
      </w:r>
      <w:r>
        <w:rPr>
          <w:spacing w:val="-6"/>
        </w:rPr>
        <w:t> </w:t>
      </w:r>
      <w:r>
        <w:rPr/>
        <w:t>2</w:t>
      </w:r>
      <w:r>
        <w:rPr>
          <w:spacing w:val="-6"/>
        </w:rPr>
        <w:t> </w:t>
      </w:r>
      <w:r>
        <w:rPr/>
        <w:t>de</w:t>
      </w:r>
      <w:r>
        <w:rPr>
          <w:spacing w:val="-6"/>
        </w:rPr>
        <w:t> </w:t>
      </w:r>
      <w:r>
        <w:rPr/>
        <w:t>agosto</w:t>
      </w:r>
      <w:r>
        <w:rPr>
          <w:spacing w:val="-6"/>
        </w:rPr>
        <w:t> </w:t>
      </w:r>
      <w:r>
        <w:rPr/>
        <w:t>de</w:t>
      </w:r>
      <w:r>
        <w:rPr>
          <w:spacing w:val="-8"/>
        </w:rPr>
        <w:t> </w:t>
      </w:r>
      <w:r>
        <w:rPr/>
        <w:t>2011,</w:t>
      </w:r>
      <w:r>
        <w:rPr>
          <w:spacing w:val="-9"/>
        </w:rPr>
        <w:t> </w:t>
      </w:r>
      <w:r>
        <w:rPr/>
        <w:t>31</w:t>
      </w:r>
      <w:r>
        <w:rPr>
          <w:spacing w:val="-6"/>
        </w:rPr>
        <w:t> </w:t>
      </w:r>
      <w:r>
        <w:rPr/>
        <w:t>de</w:t>
      </w:r>
      <w:r>
        <w:rPr>
          <w:spacing w:val="-6"/>
        </w:rPr>
        <w:t> </w:t>
      </w:r>
      <w:r>
        <w:rPr/>
        <w:t>agosto</w:t>
      </w:r>
      <w:r>
        <w:rPr>
          <w:spacing w:val="-6"/>
        </w:rPr>
        <w:t> </w:t>
      </w:r>
      <w:r>
        <w:rPr/>
        <w:t>de</w:t>
      </w:r>
      <w:r>
        <w:rPr>
          <w:spacing w:val="-8"/>
        </w:rPr>
        <w:t> </w:t>
      </w:r>
      <w:r>
        <w:rPr/>
        <w:t>2012</w:t>
      </w:r>
      <w:r>
        <w:rPr>
          <w:spacing w:val="-6"/>
        </w:rPr>
        <w:t> </w:t>
      </w:r>
      <w:r>
        <w:rPr/>
        <w:t>y</w:t>
      </w:r>
      <w:r>
        <w:rPr>
          <w:spacing w:val="-9"/>
        </w:rPr>
        <w:t> </w:t>
      </w:r>
      <w:r>
        <w:rPr/>
        <w:t>29</w:t>
      </w:r>
      <w:r>
        <w:rPr>
          <w:spacing w:val="-6"/>
        </w:rPr>
        <w:t> </w:t>
      </w:r>
      <w:r>
        <w:rPr/>
        <w:t>de</w:t>
      </w:r>
      <w:r>
        <w:rPr>
          <w:spacing w:val="-6"/>
        </w:rPr>
        <w:t> </w:t>
      </w:r>
      <w:r>
        <w:rPr/>
        <w:t>julio</w:t>
      </w:r>
      <w:r>
        <w:rPr>
          <w:spacing w:val="-6"/>
        </w:rPr>
        <w:t> </w:t>
      </w:r>
      <w:r>
        <w:rPr/>
        <w:t>de</w:t>
      </w:r>
      <w:r>
        <w:rPr>
          <w:spacing w:val="-8"/>
        </w:rPr>
        <w:t> </w:t>
      </w:r>
      <w:r>
        <w:rPr/>
        <w:t>2013.</w:t>
      </w:r>
      <w:r>
        <w:rPr>
          <w:spacing w:val="-6"/>
        </w:rPr>
        <w:t> </w:t>
      </w:r>
      <w:r>
        <w:rPr/>
        <w:t>Pasando</w:t>
      </w:r>
      <w:r>
        <w:rPr>
          <w:spacing w:val="-8"/>
        </w:rPr>
        <w:t> </w:t>
      </w:r>
      <w:r>
        <w:rPr/>
        <w:t>de establecer</w:t>
      </w:r>
      <w:r>
        <w:rPr>
          <w:spacing w:val="-6"/>
        </w:rPr>
        <w:t> </w:t>
      </w:r>
      <w:r>
        <w:rPr/>
        <w:t>la</w:t>
      </w:r>
      <w:r>
        <w:rPr>
          <w:spacing w:val="-5"/>
        </w:rPr>
        <w:t> </w:t>
      </w:r>
      <w:r>
        <w:rPr/>
        <w:t>información</w:t>
      </w:r>
      <w:r>
        <w:rPr>
          <w:spacing w:val="-5"/>
        </w:rPr>
        <w:t> </w:t>
      </w:r>
      <w:r>
        <w:rPr/>
        <w:t>que</w:t>
      </w:r>
      <w:r>
        <w:rPr>
          <w:spacing w:val="-5"/>
        </w:rPr>
        <w:t> </w:t>
      </w:r>
      <w:r>
        <w:rPr/>
        <w:t>se</w:t>
      </w:r>
      <w:r>
        <w:rPr>
          <w:spacing w:val="-5"/>
        </w:rPr>
        <w:t> </w:t>
      </w:r>
      <w:r>
        <w:rPr/>
        <w:t>considera</w:t>
      </w:r>
      <w:r>
        <w:rPr>
          <w:spacing w:val="-5"/>
        </w:rPr>
        <w:t> </w:t>
      </w:r>
      <w:r>
        <w:rPr/>
        <w:t>pública,</w:t>
      </w:r>
      <w:r>
        <w:rPr>
          <w:spacing w:val="-5"/>
        </w:rPr>
        <w:t> </w:t>
      </w:r>
      <w:r>
        <w:rPr/>
        <w:t>definir</w:t>
      </w:r>
      <w:r>
        <w:rPr>
          <w:spacing w:val="-6"/>
        </w:rPr>
        <w:t> </w:t>
      </w:r>
      <w:r>
        <w:rPr/>
        <w:t>los</w:t>
      </w:r>
      <w:r>
        <w:rPr>
          <w:spacing w:val="-5"/>
        </w:rPr>
        <w:t> </w:t>
      </w:r>
      <w:r>
        <w:rPr/>
        <w:t>sujetos</w:t>
      </w:r>
      <w:r>
        <w:rPr>
          <w:spacing w:val="-5"/>
        </w:rPr>
        <w:t> </w:t>
      </w:r>
      <w:r>
        <w:rPr/>
        <w:t>obligados,</w:t>
      </w:r>
      <w:r>
        <w:rPr>
          <w:spacing w:val="-7"/>
        </w:rPr>
        <w:t> </w:t>
      </w:r>
      <w:r>
        <w:rPr/>
        <w:t>dar autonomía al INFOEM, dar facultades al INFOEM para medir la transparencia y promover la protección de datos personales. Esta situación representa un problema ya que los constantes cambio de la ley dificultan la institucionalización de la transparencia.</w:t>
      </w:r>
    </w:p>
    <w:p>
      <w:pPr>
        <w:pStyle w:val="BodyText"/>
      </w:pPr>
    </w:p>
    <w:p>
      <w:pPr>
        <w:pStyle w:val="BodyText"/>
      </w:pPr>
    </w:p>
    <w:p>
      <w:pPr>
        <w:pStyle w:val="BodyText"/>
        <w:spacing w:line="360" w:lineRule="auto" w:before="185"/>
        <w:ind w:left="108" w:right="117"/>
        <w:jc w:val="both"/>
      </w:pPr>
      <w:r>
        <w:rPr/>
        <w:t>Asimismo, porque hacen falta más cambios en la misma ya que en la ley aún no se han considerado cómo se medirán los avances de la institucionalización de la transparencia en los cambios de administración, no define una metodología clara para tal efecto; ni señala los mecanismos para fomentar la participación de los ciudadanos respecto al tema; la obligatoriedad de tener información histórica generada por el gobierno durante su gestión y las anteriores pese a los cambios de administración, la cual puede apoyar la eficiencia administrativa al no duplicar funciones y contar con procedimientos que permitan a los funcionarios entrantes la posibilidad de saber cómo hacer las cosas; de igual manera, no especifica las sanciones que se impondrán por su incumplimiento, hechos que podrían apoyar sustancialmente la práctica institucionalizada de la transparencia.</w:t>
      </w:r>
    </w:p>
    <w:p>
      <w:pPr>
        <w:spacing w:after="0" w:line="360" w:lineRule="auto"/>
        <w:jc w:val="both"/>
        <w:sectPr>
          <w:pgSz w:w="12240" w:h="15840"/>
          <w:pgMar w:header="0" w:footer="1035" w:top="1360" w:bottom="1220" w:left="1500" w:right="1580"/>
        </w:sectPr>
      </w:pPr>
    </w:p>
    <w:p>
      <w:pPr>
        <w:pStyle w:val="BodyText"/>
        <w:spacing w:line="360" w:lineRule="auto" w:before="54"/>
        <w:ind w:left="108" w:right="115"/>
        <w:jc w:val="both"/>
      </w:pPr>
      <w:r>
        <w:rPr/>
        <w:t>Todas estas problemáticas denotan la limitada institucionalización de la transparencia que se da en México, principalmente en el ámbito municipal, lo cual resulta un problema dado que los frutos de una administración pública no transparente</w:t>
      </w:r>
      <w:r>
        <w:rPr>
          <w:spacing w:val="-7"/>
        </w:rPr>
        <w:t> </w:t>
      </w:r>
      <w:r>
        <w:rPr/>
        <w:t>se</w:t>
      </w:r>
      <w:r>
        <w:rPr>
          <w:spacing w:val="-8"/>
        </w:rPr>
        <w:t> </w:t>
      </w:r>
      <w:r>
        <w:rPr/>
        <w:t>encuentra</w:t>
      </w:r>
      <w:r>
        <w:rPr>
          <w:spacing w:val="-8"/>
        </w:rPr>
        <w:t> </w:t>
      </w:r>
      <w:r>
        <w:rPr/>
        <w:t>asociada</w:t>
      </w:r>
      <w:r>
        <w:rPr>
          <w:spacing w:val="-6"/>
        </w:rPr>
        <w:t> </w:t>
      </w:r>
      <w:r>
        <w:rPr/>
        <w:t>con</w:t>
      </w:r>
      <w:r>
        <w:rPr>
          <w:spacing w:val="-6"/>
        </w:rPr>
        <w:t> </w:t>
      </w:r>
      <w:r>
        <w:rPr/>
        <w:t>la</w:t>
      </w:r>
      <w:r>
        <w:rPr>
          <w:spacing w:val="-6"/>
        </w:rPr>
        <w:t> </w:t>
      </w:r>
      <w:r>
        <w:rPr/>
        <w:t>corrupción</w:t>
      </w:r>
      <w:r>
        <w:rPr>
          <w:position w:val="8"/>
          <w:sz w:val="16"/>
        </w:rPr>
        <w:t>36</w:t>
      </w:r>
      <w:r>
        <w:rPr/>
        <w:t>,</w:t>
      </w:r>
      <w:r>
        <w:rPr>
          <w:spacing w:val="-6"/>
        </w:rPr>
        <w:t> </w:t>
      </w:r>
      <w:r>
        <w:rPr/>
        <w:t>ineficiencia</w:t>
      </w:r>
      <w:r>
        <w:rPr>
          <w:spacing w:val="-6"/>
        </w:rPr>
        <w:t> </w:t>
      </w:r>
      <w:r>
        <w:rPr/>
        <w:t>gubernamental, la desconfianza mutua entre gobierno y ciudadanos, limitada evaluación gubernamental y rendición de cuentas, informalidad y discrecionalidad sobre el uso de la información, abuso de poder y desvío de recursos públicos. Problemas que, como se señaló anteriormente se presentan típicamente en un sistema autoritario que</w:t>
      </w:r>
      <w:r>
        <w:rPr>
          <w:spacing w:val="-17"/>
        </w:rPr>
        <w:t> </w:t>
      </w:r>
      <w:r>
        <w:rPr/>
        <w:t>no</w:t>
      </w:r>
      <w:r>
        <w:rPr>
          <w:spacing w:val="-19"/>
        </w:rPr>
        <w:t> </w:t>
      </w:r>
      <w:r>
        <w:rPr/>
        <w:t>hace</w:t>
      </w:r>
      <w:r>
        <w:rPr>
          <w:spacing w:val="-19"/>
        </w:rPr>
        <w:t> </w:t>
      </w:r>
      <w:r>
        <w:rPr/>
        <w:t>públicos</w:t>
      </w:r>
      <w:r>
        <w:rPr>
          <w:spacing w:val="-19"/>
        </w:rPr>
        <w:t> </w:t>
      </w:r>
      <w:r>
        <w:rPr/>
        <w:t>los</w:t>
      </w:r>
      <w:r>
        <w:rPr>
          <w:spacing w:val="-17"/>
        </w:rPr>
        <w:t> </w:t>
      </w:r>
      <w:r>
        <w:rPr/>
        <w:t>asuntos</w:t>
      </w:r>
      <w:r>
        <w:rPr>
          <w:spacing w:val="-17"/>
        </w:rPr>
        <w:t> </w:t>
      </w:r>
      <w:r>
        <w:rPr/>
        <w:t>de</w:t>
      </w:r>
      <w:r>
        <w:rPr>
          <w:spacing w:val="-17"/>
        </w:rPr>
        <w:t> </w:t>
      </w:r>
      <w:r>
        <w:rPr/>
        <w:t>gobierno</w:t>
      </w:r>
      <w:r>
        <w:rPr>
          <w:spacing w:val="-19"/>
        </w:rPr>
        <w:t> </w:t>
      </w:r>
      <w:r>
        <w:rPr/>
        <w:t>debido</w:t>
      </w:r>
      <w:r>
        <w:rPr>
          <w:spacing w:val="-18"/>
        </w:rPr>
        <w:t> </w:t>
      </w:r>
      <w:r>
        <w:rPr/>
        <w:t>a</w:t>
      </w:r>
      <w:r>
        <w:rPr>
          <w:spacing w:val="-17"/>
        </w:rPr>
        <w:t> </w:t>
      </w:r>
      <w:r>
        <w:rPr/>
        <w:t>que</w:t>
      </w:r>
      <w:r>
        <w:rPr>
          <w:spacing w:val="-19"/>
        </w:rPr>
        <w:t> </w:t>
      </w:r>
      <w:r>
        <w:rPr/>
        <w:t>estas</w:t>
      </w:r>
      <w:r>
        <w:rPr>
          <w:spacing w:val="-19"/>
        </w:rPr>
        <w:t> </w:t>
      </w:r>
      <w:r>
        <w:rPr/>
        <w:t>acciones</w:t>
      </w:r>
      <w:r>
        <w:rPr>
          <w:spacing w:val="-19"/>
        </w:rPr>
        <w:t> </w:t>
      </w:r>
      <w:r>
        <w:rPr/>
        <w:t>no</w:t>
      </w:r>
      <w:r>
        <w:rPr>
          <w:spacing w:val="-20"/>
        </w:rPr>
        <w:t> </w:t>
      </w:r>
      <w:r>
        <w:rPr/>
        <w:t>forman parte</w:t>
      </w:r>
      <w:r>
        <w:rPr>
          <w:spacing w:val="-11"/>
        </w:rPr>
        <w:t> </w:t>
      </w:r>
      <w:r>
        <w:rPr/>
        <w:t>de</w:t>
      </w:r>
      <w:r>
        <w:rPr>
          <w:spacing w:val="-11"/>
        </w:rPr>
        <w:t> </w:t>
      </w:r>
      <w:r>
        <w:rPr/>
        <w:t>su</w:t>
      </w:r>
      <w:r>
        <w:rPr>
          <w:spacing w:val="-11"/>
        </w:rPr>
        <w:t> </w:t>
      </w:r>
      <w:r>
        <w:rPr/>
        <w:t>legitimidad</w:t>
      </w:r>
      <w:r>
        <w:rPr>
          <w:spacing w:val="-11"/>
        </w:rPr>
        <w:t> </w:t>
      </w:r>
      <w:r>
        <w:rPr/>
        <w:t>política,</w:t>
      </w:r>
      <w:r>
        <w:rPr>
          <w:spacing w:val="-9"/>
        </w:rPr>
        <w:t> </w:t>
      </w:r>
      <w:r>
        <w:rPr/>
        <w:t>ya</w:t>
      </w:r>
      <w:r>
        <w:rPr>
          <w:spacing w:val="-8"/>
        </w:rPr>
        <w:t> </w:t>
      </w:r>
      <w:r>
        <w:rPr/>
        <w:t>que</w:t>
      </w:r>
      <w:r>
        <w:rPr>
          <w:spacing w:val="-11"/>
        </w:rPr>
        <w:t> </w:t>
      </w:r>
      <w:r>
        <w:rPr/>
        <w:t>éste</w:t>
      </w:r>
      <w:r>
        <w:rPr>
          <w:spacing w:val="-10"/>
        </w:rPr>
        <w:t> </w:t>
      </w:r>
      <w:r>
        <w:rPr/>
        <w:t>se</w:t>
      </w:r>
      <w:r>
        <w:rPr>
          <w:spacing w:val="-11"/>
        </w:rPr>
        <w:t> </w:t>
      </w:r>
      <w:r>
        <w:rPr/>
        <w:t>basa</w:t>
      </w:r>
      <w:r>
        <w:rPr>
          <w:spacing w:val="-6"/>
        </w:rPr>
        <w:t> </w:t>
      </w:r>
      <w:r>
        <w:rPr/>
        <w:t>en</w:t>
      </w:r>
      <w:r>
        <w:rPr>
          <w:spacing w:val="-11"/>
        </w:rPr>
        <w:t> </w:t>
      </w:r>
      <w:r>
        <w:rPr/>
        <w:t>la</w:t>
      </w:r>
      <w:r>
        <w:rPr>
          <w:spacing w:val="-9"/>
        </w:rPr>
        <w:t> </w:t>
      </w:r>
      <w:r>
        <w:rPr/>
        <w:t>coacción</w:t>
      </w:r>
      <w:r>
        <w:rPr>
          <w:spacing w:val="-13"/>
        </w:rPr>
        <w:t> </w:t>
      </w:r>
      <w:r>
        <w:rPr/>
        <w:t>física.</w:t>
      </w:r>
      <w:r>
        <w:rPr>
          <w:spacing w:val="-7"/>
        </w:rPr>
        <w:t> </w:t>
      </w:r>
      <w:r>
        <w:rPr/>
        <w:t>Más</w:t>
      </w:r>
      <w:r>
        <w:rPr>
          <w:spacing w:val="-12"/>
        </w:rPr>
        <w:t> </w:t>
      </w:r>
      <w:r>
        <w:rPr/>
        <w:t>no</w:t>
      </w:r>
      <w:r>
        <w:rPr>
          <w:spacing w:val="-11"/>
        </w:rPr>
        <w:t> </w:t>
      </w:r>
      <w:r>
        <w:rPr/>
        <w:t>así en los gobiernos democráticos que necesitan de la participación social, la transparencia,</w:t>
      </w:r>
      <w:r>
        <w:rPr>
          <w:spacing w:val="-19"/>
        </w:rPr>
        <w:t> </w:t>
      </w:r>
      <w:r>
        <w:rPr/>
        <w:t>la</w:t>
      </w:r>
      <w:r>
        <w:rPr>
          <w:spacing w:val="-19"/>
        </w:rPr>
        <w:t> </w:t>
      </w:r>
      <w:r>
        <w:rPr/>
        <w:t>eficiencia</w:t>
      </w:r>
      <w:r>
        <w:rPr>
          <w:spacing w:val="-17"/>
        </w:rPr>
        <w:t> </w:t>
      </w:r>
      <w:r>
        <w:rPr/>
        <w:t>gubernamental,</w:t>
      </w:r>
      <w:r>
        <w:rPr>
          <w:spacing w:val="-20"/>
        </w:rPr>
        <w:t> </w:t>
      </w:r>
      <w:r>
        <w:rPr/>
        <w:t>la</w:t>
      </w:r>
      <w:r>
        <w:rPr>
          <w:spacing w:val="-19"/>
        </w:rPr>
        <w:t> </w:t>
      </w:r>
      <w:r>
        <w:rPr/>
        <w:t>rendición</w:t>
      </w:r>
      <w:r>
        <w:rPr>
          <w:spacing w:val="-19"/>
        </w:rPr>
        <w:t> </w:t>
      </w:r>
      <w:r>
        <w:rPr/>
        <w:t>de</w:t>
      </w:r>
      <w:r>
        <w:rPr>
          <w:spacing w:val="-19"/>
        </w:rPr>
        <w:t> </w:t>
      </w:r>
      <w:r>
        <w:rPr/>
        <w:t>cuentas</w:t>
      </w:r>
      <w:r>
        <w:rPr>
          <w:spacing w:val="-17"/>
        </w:rPr>
        <w:t> </w:t>
      </w:r>
      <w:r>
        <w:rPr/>
        <w:t>y</w:t>
      </w:r>
      <w:r>
        <w:rPr>
          <w:spacing w:val="-21"/>
        </w:rPr>
        <w:t> </w:t>
      </w:r>
      <w:r>
        <w:rPr/>
        <w:t>de</w:t>
      </w:r>
      <w:r>
        <w:rPr>
          <w:spacing w:val="-17"/>
        </w:rPr>
        <w:t> </w:t>
      </w:r>
      <w:r>
        <w:rPr/>
        <w:t>la</w:t>
      </w:r>
      <w:r>
        <w:rPr>
          <w:spacing w:val="-19"/>
        </w:rPr>
        <w:t> </w:t>
      </w:r>
      <w:r>
        <w:rPr/>
        <w:t>legitimidad para poder mantenerse en el</w:t>
      </w:r>
      <w:r>
        <w:rPr>
          <w:spacing w:val="-13"/>
        </w:rPr>
        <w:t> </w:t>
      </w:r>
      <w:r>
        <w:rPr/>
        <w:t>poder.</w:t>
      </w:r>
    </w:p>
    <w:p>
      <w:pPr>
        <w:pStyle w:val="BodyText"/>
      </w:pPr>
    </w:p>
    <w:p>
      <w:pPr>
        <w:pStyle w:val="BodyText"/>
      </w:pPr>
    </w:p>
    <w:p>
      <w:pPr>
        <w:pStyle w:val="BodyText"/>
        <w:spacing w:line="360" w:lineRule="auto" w:before="187"/>
        <w:ind w:left="108" w:right="118"/>
        <w:jc w:val="both"/>
      </w:pPr>
      <w:r>
        <w:rPr/>
        <w:t>En concordancia con este planteamiento cobra relevancia la propuesta que realiza Artículo</w:t>
      </w:r>
      <w:r>
        <w:rPr>
          <w:spacing w:val="-14"/>
        </w:rPr>
        <w:t> </w:t>
      </w:r>
      <w:r>
        <w:rPr/>
        <w:t>19</w:t>
      </w:r>
      <w:r>
        <w:rPr>
          <w:spacing w:val="-14"/>
        </w:rPr>
        <w:t> </w:t>
      </w:r>
      <w:r>
        <w:rPr/>
        <w:t>(2014),</w:t>
      </w:r>
      <w:r>
        <w:rPr>
          <w:spacing w:val="-18"/>
        </w:rPr>
        <w:t> </w:t>
      </w:r>
      <w:r>
        <w:rPr/>
        <w:t>en</w:t>
      </w:r>
      <w:r>
        <w:rPr>
          <w:spacing w:val="-17"/>
        </w:rPr>
        <w:t> </w:t>
      </w:r>
      <w:r>
        <w:rPr/>
        <w:t>el</w:t>
      </w:r>
      <w:r>
        <w:rPr>
          <w:spacing w:val="-15"/>
        </w:rPr>
        <w:t> </w:t>
      </w:r>
      <w:r>
        <w:rPr/>
        <w:t>que</w:t>
      </w:r>
      <w:r>
        <w:rPr>
          <w:spacing w:val="-14"/>
        </w:rPr>
        <w:t> </w:t>
      </w:r>
      <w:r>
        <w:rPr/>
        <w:t>se</w:t>
      </w:r>
      <w:r>
        <w:rPr>
          <w:spacing w:val="-14"/>
        </w:rPr>
        <w:t> </w:t>
      </w:r>
      <w:r>
        <w:rPr/>
        <w:t>considera</w:t>
      </w:r>
      <w:r>
        <w:rPr>
          <w:spacing w:val="-15"/>
        </w:rPr>
        <w:t> </w:t>
      </w:r>
      <w:r>
        <w:rPr/>
        <w:t>a</w:t>
      </w:r>
      <w:r>
        <w:rPr>
          <w:spacing w:val="-12"/>
        </w:rPr>
        <w:t> </w:t>
      </w:r>
      <w:r>
        <w:rPr/>
        <w:t>una</w:t>
      </w:r>
      <w:r>
        <w:rPr>
          <w:spacing w:val="-14"/>
        </w:rPr>
        <w:t> </w:t>
      </w:r>
      <w:r>
        <w:rPr/>
        <w:t>política</w:t>
      </w:r>
      <w:r>
        <w:rPr>
          <w:spacing w:val="-14"/>
        </w:rPr>
        <w:t> </w:t>
      </w:r>
      <w:r>
        <w:rPr/>
        <w:t>pública</w:t>
      </w:r>
      <w:r>
        <w:rPr>
          <w:spacing w:val="-14"/>
        </w:rPr>
        <w:t> </w:t>
      </w:r>
      <w:r>
        <w:rPr/>
        <w:t>como</w:t>
      </w:r>
      <w:r>
        <w:rPr>
          <w:spacing w:val="-14"/>
        </w:rPr>
        <w:t> </w:t>
      </w:r>
      <w:r>
        <w:rPr/>
        <w:t>estrategia</w:t>
      </w:r>
      <w:r>
        <w:rPr>
          <w:spacing w:val="-14"/>
        </w:rPr>
        <w:t> </w:t>
      </w:r>
      <w:r>
        <w:rPr/>
        <w:t>para resolver los problemas</w:t>
      </w:r>
      <w:r>
        <w:rPr>
          <w:spacing w:val="-7"/>
        </w:rPr>
        <w:t> </w:t>
      </w:r>
      <w:r>
        <w:rPr/>
        <w:t>sociales.</w:t>
      </w:r>
    </w:p>
    <w:p>
      <w:pPr>
        <w:pStyle w:val="BodyText"/>
      </w:pPr>
    </w:p>
    <w:p>
      <w:pPr>
        <w:pStyle w:val="BodyText"/>
      </w:pPr>
    </w:p>
    <w:p>
      <w:pPr>
        <w:pStyle w:val="BodyText"/>
        <w:spacing w:line="360" w:lineRule="auto" w:before="185"/>
        <w:ind w:left="108" w:right="116"/>
        <w:jc w:val="both"/>
      </w:pPr>
      <w:r>
        <w:rPr/>
        <w:t>De</w:t>
      </w:r>
      <w:r>
        <w:rPr>
          <w:spacing w:val="-16"/>
        </w:rPr>
        <w:t> </w:t>
      </w:r>
      <w:r>
        <w:rPr/>
        <w:t>modo</w:t>
      </w:r>
      <w:r>
        <w:rPr>
          <w:spacing w:val="-18"/>
        </w:rPr>
        <w:t> </w:t>
      </w:r>
      <w:r>
        <w:rPr/>
        <w:t>tal</w:t>
      </w:r>
      <w:r>
        <w:rPr>
          <w:spacing w:val="-19"/>
        </w:rPr>
        <w:t> </w:t>
      </w:r>
      <w:r>
        <w:rPr/>
        <w:t>que,</w:t>
      </w:r>
      <w:r>
        <w:rPr>
          <w:spacing w:val="-18"/>
        </w:rPr>
        <w:t> </w:t>
      </w:r>
      <w:r>
        <w:rPr/>
        <w:t>se</w:t>
      </w:r>
      <w:r>
        <w:rPr>
          <w:spacing w:val="-16"/>
        </w:rPr>
        <w:t> </w:t>
      </w:r>
      <w:r>
        <w:rPr/>
        <w:t>identifica</w:t>
      </w:r>
      <w:r>
        <w:rPr>
          <w:spacing w:val="-18"/>
        </w:rPr>
        <w:t> </w:t>
      </w:r>
      <w:r>
        <w:rPr/>
        <w:t>claramente</w:t>
      </w:r>
      <w:r>
        <w:rPr>
          <w:spacing w:val="-18"/>
        </w:rPr>
        <w:t> </w:t>
      </w:r>
      <w:r>
        <w:rPr/>
        <w:t>el</w:t>
      </w:r>
      <w:r>
        <w:rPr>
          <w:spacing w:val="-17"/>
        </w:rPr>
        <w:t> </w:t>
      </w:r>
      <w:r>
        <w:rPr/>
        <w:t>problema,</w:t>
      </w:r>
      <w:r>
        <w:rPr>
          <w:spacing w:val="-15"/>
        </w:rPr>
        <w:t> </w:t>
      </w:r>
      <w:r>
        <w:rPr/>
        <w:t>los</w:t>
      </w:r>
      <w:r>
        <w:rPr>
          <w:spacing w:val="-16"/>
        </w:rPr>
        <w:t> </w:t>
      </w:r>
      <w:r>
        <w:rPr/>
        <w:t>objetivos</w:t>
      </w:r>
      <w:r>
        <w:rPr>
          <w:spacing w:val="-19"/>
        </w:rPr>
        <w:t> </w:t>
      </w:r>
      <w:r>
        <w:rPr/>
        <w:t>que</w:t>
      </w:r>
      <w:r>
        <w:rPr>
          <w:spacing w:val="-16"/>
        </w:rPr>
        <w:t> </w:t>
      </w:r>
      <w:r>
        <w:rPr/>
        <w:t>se</w:t>
      </w:r>
      <w:r>
        <w:rPr>
          <w:spacing w:val="-13"/>
        </w:rPr>
        <w:t> </w:t>
      </w:r>
      <w:r>
        <w:rPr/>
        <w:t>pretenden lograr para resolverlo y la forma precisa de medir los avances logrados respecto al logro de objetivos, tal como se muestra en la siguiente</w:t>
      </w:r>
      <w:r>
        <w:rPr>
          <w:spacing w:val="-18"/>
        </w:rPr>
        <w:t> </w:t>
      </w:r>
      <w:r>
        <w:rPr/>
        <w:t>tabla: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5"/>
        </w:rPr>
      </w:pPr>
      <w:r>
        <w:rPr/>
        <w:pict>
          <v:line style="position:absolute;mso-position-horizontal-relative:page;mso-position-vertical-relative:paragraph;z-index:8272;mso-wrap-distance-left:0;mso-wrap-distance-right:0" from="80.424004pt,16.732609pt" to="224.444004pt,16.732609pt" stroked="true" strokeweight=".71997pt" strokecolor="#000000">
            <w10:wrap type="topAndBottom"/>
          </v:line>
        </w:pict>
      </w:r>
    </w:p>
    <w:p>
      <w:pPr>
        <w:spacing w:before="69"/>
        <w:ind w:left="108" w:right="6" w:firstLine="0"/>
        <w:jc w:val="left"/>
        <w:rPr>
          <w:sz w:val="14"/>
        </w:rPr>
      </w:pPr>
      <w:r>
        <w:rPr>
          <w:rFonts w:ascii="Calibri" w:hAnsi="Calibri"/>
          <w:position w:val="7"/>
          <w:sz w:val="13"/>
        </w:rPr>
        <w:t>36 </w:t>
      </w:r>
      <w:r>
        <w:rPr>
          <w:sz w:val="14"/>
        </w:rPr>
        <w:t>Consúltese el caso de fraude financiero de oceanografía </w:t>
      </w:r>
      <w:hyperlink r:id="rId133">
        <w:r>
          <w:rPr>
            <w:color w:val="0462C1"/>
            <w:sz w:val="14"/>
            <w:u w:val="single" w:color="0462C1"/>
          </w:rPr>
          <w:t>http://www.excelsior.com.mx/nacional/2014/03/25/950414#cxrecs_s</w:t>
        </w:r>
      </w:hyperlink>
    </w:p>
    <w:p>
      <w:pPr>
        <w:spacing w:after="0"/>
        <w:jc w:val="left"/>
        <w:rPr>
          <w:sz w:val="14"/>
        </w:rPr>
        <w:sectPr>
          <w:pgSz w:w="12240" w:h="15840"/>
          <w:pgMar w:header="0" w:footer="1035" w:top="1360" w:bottom="1220" w:left="1500" w:right="1580"/>
        </w:sect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7"/>
        <w:gridCol w:w="2412"/>
        <w:gridCol w:w="3870"/>
      </w:tblGrid>
      <w:tr>
        <w:trPr>
          <w:trHeight w:val="459" w:hRule="exact"/>
        </w:trPr>
        <w:tc>
          <w:tcPr>
            <w:tcW w:w="8829" w:type="dxa"/>
            <w:gridSpan w:val="3"/>
            <w:shd w:val="clear" w:color="auto" w:fill="92D050"/>
          </w:tcPr>
          <w:p>
            <w:pPr>
              <w:pStyle w:val="TableParagraph"/>
              <w:spacing w:before="112"/>
              <w:ind w:left="427" w:right="312"/>
              <w:jc w:val="left"/>
              <w:rPr>
                <w:b/>
                <w:sz w:val="18"/>
              </w:rPr>
            </w:pPr>
            <w:r>
              <w:rPr>
                <w:b/>
                <w:sz w:val="18"/>
              </w:rPr>
              <w:t>Tabla 4.2. Propuesta de política pública sobre la transparencia planteada por Artículo 19 A.C.</w:t>
            </w:r>
          </w:p>
        </w:tc>
      </w:tr>
      <w:tr>
        <w:trPr>
          <w:trHeight w:val="662" w:hRule="exact"/>
        </w:trPr>
        <w:tc>
          <w:tcPr>
            <w:tcW w:w="2547" w:type="dxa"/>
            <w:shd w:val="clear" w:color="auto" w:fill="92D050"/>
          </w:tcPr>
          <w:p>
            <w:pPr>
              <w:pStyle w:val="TableParagraph"/>
              <w:spacing w:before="110"/>
              <w:ind w:left="227" w:right="210" w:firstLine="21"/>
              <w:jc w:val="left"/>
              <w:rPr>
                <w:b/>
                <w:sz w:val="18"/>
              </w:rPr>
            </w:pPr>
            <w:r>
              <w:rPr>
                <w:b/>
                <w:color w:val="1E1E1E"/>
                <w:sz w:val="18"/>
              </w:rPr>
              <w:t>RECOMENDACIÓN DEL GRUPO DE ALTO NIVEL</w:t>
            </w:r>
          </w:p>
        </w:tc>
        <w:tc>
          <w:tcPr>
            <w:tcW w:w="2412" w:type="dxa"/>
            <w:shd w:val="clear" w:color="auto" w:fill="92D050"/>
          </w:tcPr>
          <w:p>
            <w:pPr>
              <w:pStyle w:val="TableParagraph"/>
              <w:spacing w:before="110"/>
              <w:ind w:left="683"/>
              <w:jc w:val="left"/>
              <w:rPr>
                <w:b/>
                <w:sz w:val="18"/>
              </w:rPr>
            </w:pPr>
            <w:r>
              <w:rPr>
                <w:b/>
                <w:color w:val="1E1E1E"/>
                <w:sz w:val="18"/>
              </w:rPr>
              <w:t>OBJETIVOS</w:t>
            </w:r>
          </w:p>
        </w:tc>
        <w:tc>
          <w:tcPr>
            <w:tcW w:w="3870" w:type="dxa"/>
            <w:shd w:val="clear" w:color="auto" w:fill="92D050"/>
          </w:tcPr>
          <w:p>
            <w:pPr>
              <w:pStyle w:val="TableParagraph"/>
              <w:spacing w:before="110"/>
              <w:ind w:left="821"/>
              <w:jc w:val="left"/>
              <w:rPr>
                <w:b/>
                <w:sz w:val="18"/>
              </w:rPr>
            </w:pPr>
            <w:r>
              <w:rPr>
                <w:b/>
                <w:color w:val="1E1E1E"/>
                <w:sz w:val="18"/>
              </w:rPr>
              <w:t>POSIBLES INDICADORES</w:t>
            </w:r>
          </w:p>
        </w:tc>
      </w:tr>
      <w:tr>
        <w:trPr>
          <w:trHeight w:val="3565" w:hRule="exact"/>
        </w:trPr>
        <w:tc>
          <w:tcPr>
            <w:tcW w:w="2547" w:type="dxa"/>
          </w:tcPr>
          <w:p>
            <w:pPr>
              <w:pStyle w:val="TableParagraph"/>
              <w:spacing w:before="112"/>
              <w:ind w:left="115" w:right="113"/>
              <w:jc w:val="both"/>
              <w:rPr>
                <w:b/>
                <w:sz w:val="18"/>
              </w:rPr>
            </w:pPr>
            <w:r>
              <w:rPr>
                <w:b/>
                <w:color w:val="1E1E1E"/>
                <w:sz w:val="18"/>
              </w:rPr>
              <w:t>“Garantizar el derecho a la información y el acceso a datos gubernamentales por parte del público”.</w:t>
            </w:r>
          </w:p>
        </w:tc>
        <w:tc>
          <w:tcPr>
            <w:tcW w:w="2412" w:type="dxa"/>
          </w:tcPr>
          <w:p>
            <w:pPr>
              <w:pStyle w:val="TableParagraph"/>
              <w:spacing w:before="117"/>
              <w:ind w:left="115" w:right="116"/>
              <w:jc w:val="both"/>
              <w:rPr>
                <w:sz w:val="18"/>
              </w:rPr>
            </w:pPr>
            <w:r>
              <w:rPr>
                <w:sz w:val="18"/>
              </w:rPr>
              <w:t>Marco jurídico exhaustivo, que garantice el acceso público a la información gubernamental</w:t>
            </w:r>
          </w:p>
          <w:p>
            <w:pPr>
              <w:pStyle w:val="TableParagraph"/>
              <w:spacing w:before="2"/>
              <w:ind w:left="115" w:right="116"/>
              <w:jc w:val="both"/>
              <w:rPr>
                <w:sz w:val="18"/>
              </w:rPr>
            </w:pPr>
            <w:r>
              <w:rPr>
                <w:sz w:val="18"/>
              </w:rPr>
              <w:t>Legislación sectorial que garantice el acceso público a áreas específicas de importancia  específica para el desarrollo sostenible.</w:t>
            </w:r>
          </w:p>
        </w:tc>
        <w:tc>
          <w:tcPr>
            <w:tcW w:w="3870" w:type="dxa"/>
          </w:tcPr>
          <w:p>
            <w:pPr>
              <w:pStyle w:val="TableParagraph"/>
              <w:spacing w:before="117"/>
              <w:ind w:left="115" w:right="113"/>
              <w:jc w:val="both"/>
              <w:rPr>
                <w:sz w:val="18"/>
              </w:rPr>
            </w:pPr>
            <w:r>
              <w:rPr>
                <w:sz w:val="18"/>
              </w:rPr>
              <w:t>Se aprueba y aplica legislación sobre el derecho a la información que cumple las normas internacionales.</w:t>
            </w:r>
          </w:p>
          <w:p>
            <w:pPr>
              <w:pStyle w:val="TableParagraph"/>
              <w:spacing w:line="206" w:lineRule="exact"/>
              <w:ind w:left="115"/>
              <w:jc w:val="both"/>
              <w:rPr>
                <w:sz w:val="18"/>
              </w:rPr>
            </w:pPr>
            <w:r>
              <w:rPr>
                <w:sz w:val="18"/>
              </w:rPr>
              <w:t>Sectorial</w:t>
            </w:r>
          </w:p>
          <w:p>
            <w:pPr>
              <w:pStyle w:val="TableParagraph"/>
              <w:numPr>
                <w:ilvl w:val="0"/>
                <w:numId w:val="55"/>
              </w:numPr>
              <w:tabs>
                <w:tab w:pos="260" w:val="left" w:leader="none"/>
              </w:tabs>
              <w:spacing w:line="240" w:lineRule="auto" w:before="2" w:after="0"/>
              <w:ind w:left="115" w:right="113" w:firstLine="0"/>
              <w:jc w:val="both"/>
              <w:rPr>
                <w:sz w:val="18"/>
              </w:rPr>
            </w:pPr>
            <w:r>
              <w:rPr>
                <w:sz w:val="18"/>
              </w:rPr>
              <w:t>Directrices de Bali para la elaboración de legislación nacional sobre el acceso a la información, la participación del público y el acceso a la justicia en asuntos ambientales, del</w:t>
            </w:r>
            <w:r>
              <w:rPr>
                <w:spacing w:val="-5"/>
                <w:sz w:val="18"/>
              </w:rPr>
              <w:t> </w:t>
            </w:r>
            <w:r>
              <w:rPr>
                <w:sz w:val="18"/>
              </w:rPr>
              <w:t>PNUMA.</w:t>
            </w:r>
          </w:p>
          <w:p>
            <w:pPr>
              <w:pStyle w:val="TableParagraph"/>
              <w:numPr>
                <w:ilvl w:val="0"/>
                <w:numId w:val="55"/>
              </w:numPr>
              <w:tabs>
                <w:tab w:pos="344" w:val="left" w:leader="none"/>
              </w:tabs>
              <w:spacing w:line="240" w:lineRule="auto" w:before="0" w:after="0"/>
              <w:ind w:left="115" w:right="110" w:firstLine="0"/>
              <w:jc w:val="both"/>
              <w:rPr>
                <w:sz w:val="18"/>
              </w:rPr>
            </w:pPr>
            <w:r>
              <w:rPr>
                <w:sz w:val="18"/>
              </w:rPr>
              <w:t>Participación en la Iniciativa para la Transparencia en las Industrias Extractivas (EITI).</w:t>
            </w:r>
          </w:p>
          <w:p>
            <w:pPr>
              <w:pStyle w:val="TableParagraph"/>
              <w:numPr>
                <w:ilvl w:val="0"/>
                <w:numId w:val="55"/>
              </w:numPr>
              <w:tabs>
                <w:tab w:pos="269" w:val="left" w:leader="none"/>
              </w:tabs>
              <w:spacing w:line="240" w:lineRule="auto" w:before="2" w:after="0"/>
              <w:ind w:left="115" w:right="114" w:firstLine="0"/>
              <w:jc w:val="both"/>
              <w:rPr>
                <w:sz w:val="18"/>
              </w:rPr>
            </w:pPr>
            <w:r>
              <w:rPr>
                <w:sz w:val="18"/>
              </w:rPr>
              <w:t>Participación en la Iniciativa Internacional para la Transparencia de la Ayuda</w:t>
            </w:r>
            <w:r>
              <w:rPr>
                <w:spacing w:val="-13"/>
                <w:sz w:val="18"/>
              </w:rPr>
              <w:t> </w:t>
            </w:r>
            <w:r>
              <w:rPr>
                <w:sz w:val="18"/>
              </w:rPr>
              <w:t>(IATI).</w:t>
            </w:r>
          </w:p>
          <w:p>
            <w:pPr>
              <w:pStyle w:val="TableParagraph"/>
              <w:numPr>
                <w:ilvl w:val="0"/>
                <w:numId w:val="55"/>
              </w:numPr>
              <w:tabs>
                <w:tab w:pos="226" w:val="left" w:leader="none"/>
              </w:tabs>
              <w:spacing w:line="206" w:lineRule="exact" w:before="0" w:after="0"/>
              <w:ind w:left="225" w:right="0" w:hanging="110"/>
              <w:jc w:val="both"/>
              <w:rPr>
                <w:sz w:val="18"/>
              </w:rPr>
            </w:pPr>
            <w:r>
              <w:rPr>
                <w:sz w:val="18"/>
              </w:rPr>
              <w:t>Transparencia presupuestaria y</w:t>
            </w:r>
            <w:r>
              <w:rPr>
                <w:spacing w:val="-13"/>
                <w:sz w:val="18"/>
              </w:rPr>
              <w:t> </w:t>
            </w:r>
            <w:r>
              <w:rPr>
                <w:sz w:val="18"/>
              </w:rPr>
              <w:t>fiscal</w:t>
            </w:r>
          </w:p>
          <w:p>
            <w:pPr>
              <w:pStyle w:val="TableParagraph"/>
              <w:numPr>
                <w:ilvl w:val="0"/>
                <w:numId w:val="55"/>
              </w:numPr>
              <w:tabs>
                <w:tab w:pos="226" w:val="left" w:leader="none"/>
              </w:tabs>
              <w:spacing w:line="207" w:lineRule="exact" w:before="0" w:after="0"/>
              <w:ind w:left="225" w:right="0" w:hanging="110"/>
              <w:jc w:val="both"/>
              <w:rPr>
                <w:sz w:val="18"/>
              </w:rPr>
            </w:pPr>
            <w:r>
              <w:rPr>
                <w:sz w:val="18"/>
              </w:rPr>
              <w:t>Política de datos</w:t>
            </w:r>
            <w:r>
              <w:rPr>
                <w:spacing w:val="-9"/>
                <w:sz w:val="18"/>
              </w:rPr>
              <w:t> </w:t>
            </w:r>
            <w:r>
              <w:rPr>
                <w:sz w:val="18"/>
              </w:rPr>
              <w:t>abiertos.</w:t>
            </w:r>
          </w:p>
        </w:tc>
      </w:tr>
      <w:tr>
        <w:trPr>
          <w:trHeight w:val="1906" w:hRule="exact"/>
        </w:trPr>
        <w:tc>
          <w:tcPr>
            <w:tcW w:w="2547" w:type="dxa"/>
          </w:tcPr>
          <w:p>
            <w:pPr>
              <w:pStyle w:val="TableParagraph"/>
              <w:tabs>
                <w:tab w:pos="719" w:val="left" w:leader="none"/>
                <w:tab w:pos="1040" w:val="left" w:leader="none"/>
                <w:tab w:pos="1180" w:val="left" w:leader="none"/>
                <w:tab w:pos="1475" w:val="left" w:leader="none"/>
                <w:tab w:pos="1522" w:val="left" w:leader="none"/>
                <w:tab w:pos="1713" w:val="left" w:leader="none"/>
                <w:tab w:pos="2173" w:val="left" w:leader="none"/>
                <w:tab w:pos="2213" w:val="left" w:leader="none"/>
                <w:tab w:pos="2321" w:val="left" w:leader="none"/>
              </w:tabs>
              <w:spacing w:before="110"/>
              <w:ind w:left="115" w:right="112"/>
              <w:jc w:val="left"/>
              <w:rPr>
                <w:b/>
                <w:sz w:val="18"/>
              </w:rPr>
            </w:pPr>
            <w:r>
              <w:rPr>
                <w:b/>
                <w:color w:val="1E1E1E"/>
                <w:sz w:val="18"/>
              </w:rPr>
              <w:t>“Garantizar</w:t>
              <w:tab/>
              <w:tab/>
              <w:t>que</w:t>
              <w:tab/>
              <w:t>las personas</w:t>
              <w:tab/>
              <w:tab/>
              <w:t>disfruten</w:t>
              <w:tab/>
              <w:tab/>
              <w:t>de libertad</w:t>
              <w:tab/>
              <w:t>de</w:t>
              <w:tab/>
              <w:tab/>
              <w:t>expresión, asociación,</w:t>
              <w:tab/>
              <w:tab/>
              <w:tab/>
              <w:tab/>
              <w:t>protesta pacífica y acceso a</w:t>
            </w:r>
            <w:r>
              <w:rPr>
                <w:b/>
                <w:color w:val="1E1E1E"/>
                <w:spacing w:val="-14"/>
                <w:sz w:val="18"/>
              </w:rPr>
              <w:t> </w:t>
            </w:r>
            <w:r>
              <w:rPr>
                <w:b/>
                <w:color w:val="1E1E1E"/>
                <w:sz w:val="18"/>
              </w:rPr>
              <w:t>medios de</w:t>
              <w:tab/>
              <w:t>comunicación</w:t>
              <w:tab/>
              <w:tab/>
              <w:tab/>
              <w:t>e información independientes”.</w:t>
            </w:r>
          </w:p>
        </w:tc>
        <w:tc>
          <w:tcPr>
            <w:tcW w:w="2412" w:type="dxa"/>
          </w:tcPr>
          <w:p>
            <w:pPr>
              <w:pStyle w:val="TableParagraph"/>
              <w:spacing w:before="115"/>
              <w:ind w:left="115" w:right="115"/>
              <w:jc w:val="both"/>
              <w:rPr>
                <w:sz w:val="18"/>
              </w:rPr>
            </w:pPr>
            <w:r>
              <w:rPr>
                <w:sz w:val="18"/>
              </w:rPr>
              <w:t>Un marco legal que garantice la independencia de los medios de comunicación.</w:t>
            </w:r>
          </w:p>
        </w:tc>
        <w:tc>
          <w:tcPr>
            <w:tcW w:w="3870" w:type="dxa"/>
          </w:tcPr>
          <w:p>
            <w:pPr>
              <w:pStyle w:val="TableParagraph"/>
              <w:numPr>
                <w:ilvl w:val="0"/>
                <w:numId w:val="56"/>
              </w:numPr>
              <w:tabs>
                <w:tab w:pos="262" w:val="left" w:leader="none"/>
              </w:tabs>
              <w:spacing w:line="240" w:lineRule="auto" w:before="115" w:after="0"/>
              <w:ind w:left="115" w:right="113" w:firstLine="0"/>
              <w:jc w:val="left"/>
              <w:rPr>
                <w:sz w:val="18"/>
              </w:rPr>
            </w:pPr>
            <w:r>
              <w:rPr>
                <w:sz w:val="18"/>
              </w:rPr>
              <w:t>Indicadores de Desarrollo Mediático de la UNESCO.</w:t>
            </w:r>
          </w:p>
          <w:p>
            <w:pPr>
              <w:pStyle w:val="TableParagraph"/>
              <w:numPr>
                <w:ilvl w:val="0"/>
                <w:numId w:val="56"/>
              </w:numPr>
              <w:tabs>
                <w:tab w:pos="260" w:val="left" w:leader="none"/>
              </w:tabs>
              <w:spacing w:line="240" w:lineRule="auto" w:before="0" w:after="0"/>
              <w:ind w:left="115" w:right="113" w:firstLine="0"/>
              <w:jc w:val="left"/>
              <w:rPr>
                <w:sz w:val="18"/>
              </w:rPr>
            </w:pPr>
            <w:r>
              <w:rPr>
                <w:sz w:val="18"/>
              </w:rPr>
              <w:t>Eliminación de la impunidad y los abusos contra</w:t>
            </w:r>
            <w:r>
              <w:rPr>
                <w:spacing w:val="-6"/>
                <w:sz w:val="18"/>
              </w:rPr>
              <w:t> </w:t>
            </w:r>
            <w:r>
              <w:rPr>
                <w:sz w:val="18"/>
              </w:rPr>
              <w:t>periodistas.</w:t>
            </w:r>
          </w:p>
        </w:tc>
      </w:tr>
      <w:tr>
        <w:trPr>
          <w:trHeight w:val="3562" w:hRule="exact"/>
        </w:trPr>
        <w:tc>
          <w:tcPr>
            <w:tcW w:w="2547" w:type="dxa"/>
          </w:tcPr>
          <w:p>
            <w:pPr>
              <w:pStyle w:val="TableParagraph"/>
              <w:spacing w:before="110"/>
              <w:ind w:left="115" w:right="113"/>
              <w:jc w:val="both"/>
              <w:rPr>
                <w:b/>
                <w:sz w:val="18"/>
              </w:rPr>
            </w:pPr>
            <w:r>
              <w:rPr>
                <w:b/>
                <w:color w:val="1E1E1E"/>
                <w:sz w:val="18"/>
              </w:rPr>
              <w:t>“Aumentar la participación pública en los procesos políticos y la implicación ciudadana a todos los niveles”.</w:t>
            </w:r>
          </w:p>
        </w:tc>
        <w:tc>
          <w:tcPr>
            <w:tcW w:w="2412" w:type="dxa"/>
          </w:tcPr>
          <w:p>
            <w:pPr>
              <w:pStyle w:val="TableParagraph"/>
              <w:tabs>
                <w:tab w:pos="1115" w:val="left" w:leader="none"/>
              </w:tabs>
              <w:spacing w:before="115"/>
              <w:ind w:left="115" w:right="113"/>
              <w:jc w:val="both"/>
              <w:rPr>
                <w:sz w:val="18"/>
              </w:rPr>
            </w:pPr>
            <w:r>
              <w:rPr>
                <w:sz w:val="18"/>
              </w:rPr>
              <w:t>Entorno jurídico y regulador para la sociedad civil, que reconozca su independencia y su derecho a realizar su trabajo pacífico sin temor a sufrir</w:t>
              <w:tab/>
              <w:t>hostigamiento, represalias, intimidación ni discriminación</w:t>
            </w:r>
          </w:p>
          <w:p>
            <w:pPr>
              <w:pStyle w:val="TableParagraph"/>
              <w:tabs>
                <w:tab w:pos="1275" w:val="left" w:leader="none"/>
              </w:tabs>
              <w:ind w:left="115" w:right="115"/>
              <w:jc w:val="both"/>
              <w:rPr>
                <w:sz w:val="18"/>
              </w:rPr>
            </w:pPr>
            <w:r>
              <w:rPr>
                <w:sz w:val="18"/>
              </w:rPr>
              <w:t>Adoptar</w:t>
              <w:tab/>
            </w:r>
            <w:r>
              <w:rPr>
                <w:spacing w:val="-1"/>
                <w:sz w:val="18"/>
              </w:rPr>
              <w:t>mecanismos </w:t>
            </w:r>
            <w:r>
              <w:rPr>
                <w:sz w:val="18"/>
              </w:rPr>
              <w:t>inclusivos con que garantizar la participación pública plena y efectiva en los planes y políticas de desarrollo y medio ambiente.</w:t>
            </w:r>
          </w:p>
        </w:tc>
        <w:tc>
          <w:tcPr>
            <w:tcW w:w="3870" w:type="dxa"/>
          </w:tcPr>
          <w:p>
            <w:pPr>
              <w:pStyle w:val="TableParagraph"/>
              <w:numPr>
                <w:ilvl w:val="0"/>
                <w:numId w:val="57"/>
              </w:numPr>
              <w:tabs>
                <w:tab w:pos="260" w:val="left" w:leader="none"/>
              </w:tabs>
              <w:spacing w:line="240" w:lineRule="auto" w:before="115" w:after="0"/>
              <w:ind w:left="115" w:right="111" w:firstLine="0"/>
              <w:jc w:val="both"/>
              <w:rPr>
                <w:sz w:val="18"/>
              </w:rPr>
            </w:pPr>
            <w:r>
              <w:rPr>
                <w:sz w:val="18"/>
              </w:rPr>
              <w:t>Índice CIVICUS de entorno propicio de la sociedad</w:t>
            </w:r>
            <w:r>
              <w:rPr>
                <w:spacing w:val="-5"/>
                <w:sz w:val="18"/>
              </w:rPr>
              <w:t> </w:t>
            </w:r>
            <w:r>
              <w:rPr>
                <w:sz w:val="18"/>
              </w:rPr>
              <w:t>civil.</w:t>
            </w:r>
          </w:p>
          <w:p>
            <w:pPr>
              <w:pStyle w:val="TableParagraph"/>
              <w:numPr>
                <w:ilvl w:val="0"/>
                <w:numId w:val="57"/>
              </w:numPr>
              <w:tabs>
                <w:tab w:pos="217" w:val="left" w:leader="none"/>
              </w:tabs>
              <w:spacing w:line="240" w:lineRule="auto" w:before="0" w:after="0"/>
              <w:ind w:left="115" w:right="112" w:firstLine="0"/>
              <w:jc w:val="both"/>
              <w:rPr>
                <w:sz w:val="18"/>
              </w:rPr>
            </w:pPr>
            <w:r>
              <w:rPr>
                <w:sz w:val="18"/>
              </w:rPr>
              <w:t>Estrategia</w:t>
            </w:r>
            <w:r>
              <w:rPr>
                <w:spacing w:val="-14"/>
                <w:sz w:val="18"/>
              </w:rPr>
              <w:t> </w:t>
            </w:r>
            <w:r>
              <w:rPr>
                <w:sz w:val="18"/>
              </w:rPr>
              <w:t>Interamericana</w:t>
            </w:r>
            <w:r>
              <w:rPr>
                <w:spacing w:val="-14"/>
                <w:sz w:val="18"/>
              </w:rPr>
              <w:t> </w:t>
            </w:r>
            <w:r>
              <w:rPr>
                <w:sz w:val="18"/>
              </w:rPr>
              <w:t>para</w:t>
            </w:r>
            <w:r>
              <w:rPr>
                <w:spacing w:val="-14"/>
                <w:sz w:val="18"/>
              </w:rPr>
              <w:t> </w:t>
            </w:r>
            <w:r>
              <w:rPr>
                <w:sz w:val="18"/>
              </w:rPr>
              <w:t>la</w:t>
            </w:r>
            <w:r>
              <w:rPr>
                <w:spacing w:val="-16"/>
                <w:sz w:val="18"/>
              </w:rPr>
              <w:t> </w:t>
            </w:r>
            <w:r>
              <w:rPr>
                <w:sz w:val="18"/>
              </w:rPr>
              <w:t>Promoción de la Participación Pública en la Toma de Decisiones sobre Desarrollo</w:t>
            </w:r>
            <w:r>
              <w:rPr>
                <w:spacing w:val="-13"/>
                <w:sz w:val="18"/>
              </w:rPr>
              <w:t> </w:t>
            </w:r>
            <w:r>
              <w:rPr>
                <w:sz w:val="18"/>
              </w:rPr>
              <w:t>Sostenible.</w:t>
            </w:r>
          </w:p>
          <w:p>
            <w:pPr>
              <w:pStyle w:val="TableParagraph"/>
              <w:numPr>
                <w:ilvl w:val="0"/>
                <w:numId w:val="57"/>
              </w:numPr>
              <w:tabs>
                <w:tab w:pos="243" w:val="left" w:leader="none"/>
              </w:tabs>
              <w:spacing w:line="240" w:lineRule="auto" w:before="0" w:after="0"/>
              <w:ind w:left="115" w:right="112" w:firstLine="0"/>
              <w:jc w:val="both"/>
              <w:rPr>
                <w:sz w:val="18"/>
              </w:rPr>
            </w:pPr>
            <w:r>
              <w:rPr>
                <w:sz w:val="18"/>
              </w:rPr>
              <w:t>Directrices de la OCDE y el PNUMA sobre evaluaciones del impacto medioambiental y procesos estratégicos de evaluación medioambiental.</w:t>
            </w:r>
          </w:p>
        </w:tc>
      </w:tr>
    </w:tbl>
    <w:p>
      <w:pPr>
        <w:spacing w:before="114"/>
        <w:ind w:left="233" w:right="6" w:firstLine="0"/>
        <w:jc w:val="left"/>
        <w:rPr>
          <w:sz w:val="14"/>
        </w:rPr>
      </w:pPr>
      <w:r>
        <w:rPr>
          <w:sz w:val="14"/>
        </w:rPr>
        <w:t>Fuente: Artículo 19 (2014)</w:t>
      </w:r>
    </w:p>
    <w:p>
      <w:pPr>
        <w:pStyle w:val="BodyText"/>
        <w:rPr>
          <w:sz w:val="20"/>
        </w:rPr>
      </w:pPr>
    </w:p>
    <w:p>
      <w:pPr>
        <w:pStyle w:val="BodyText"/>
        <w:rPr>
          <w:sz w:val="20"/>
        </w:rPr>
      </w:pPr>
    </w:p>
    <w:p>
      <w:pPr>
        <w:pStyle w:val="BodyText"/>
        <w:spacing w:before="3"/>
        <w:rPr>
          <w:sz w:val="20"/>
        </w:rPr>
      </w:pPr>
    </w:p>
    <w:p>
      <w:pPr>
        <w:pStyle w:val="BodyText"/>
        <w:spacing w:line="360" w:lineRule="auto" w:before="1"/>
        <w:ind w:left="108" w:right="116"/>
        <w:jc w:val="both"/>
      </w:pPr>
      <w:r>
        <w:rPr/>
        <w:t>La información presentada en el capítulo anterior sobre la práctica del GA en los municipios del Estado de México permite visualizar algunos avances en materia de transparencia, ya que se empieza a dar la aplicación de la normativa, la creación</w:t>
      </w:r>
      <w:r>
        <w:rPr>
          <w:spacing w:val="-31"/>
        </w:rPr>
        <w:t> </w:t>
      </w:r>
      <w:r>
        <w:rPr/>
        <w:t>de archivos y la organización de la información para publicarla en los portales web  </w:t>
      </w:r>
      <w:r>
        <w:rPr>
          <w:spacing w:val="4"/>
        </w:rPr>
        <w:t> </w:t>
      </w:r>
      <w:r>
        <w:rPr/>
        <w:t>de</w:t>
      </w:r>
    </w:p>
    <w:p>
      <w:pPr>
        <w:spacing w:after="0" w:line="360" w:lineRule="auto"/>
        <w:jc w:val="both"/>
        <w:sectPr>
          <w:pgSz w:w="12240" w:h="15840"/>
          <w:pgMar w:header="0" w:footer="1035" w:top="1420" w:bottom="1220" w:left="1500" w:right="1580"/>
        </w:sectPr>
      </w:pPr>
    </w:p>
    <w:p>
      <w:pPr>
        <w:pStyle w:val="BodyText"/>
        <w:spacing w:line="360" w:lineRule="auto" w:before="54"/>
        <w:ind w:left="108" w:right="118"/>
        <w:jc w:val="both"/>
      </w:pPr>
      <w:r>
        <w:rPr/>
        <w:t>transparencia. Asimismo, se comienza a gestar un sentido básico de institucionalización de los procesos de solicitud de información y publicación de la información pública de oficio básica. Sin embargo, aún persisten ciertas limitantes del</w:t>
      </w:r>
      <w:r>
        <w:rPr>
          <w:spacing w:val="-15"/>
        </w:rPr>
        <w:t> </w:t>
      </w:r>
      <w:r>
        <w:rPr/>
        <w:t>acceso</w:t>
      </w:r>
      <w:r>
        <w:rPr>
          <w:spacing w:val="-14"/>
        </w:rPr>
        <w:t> </w:t>
      </w:r>
      <w:r>
        <w:rPr/>
        <w:t>a</w:t>
      </w:r>
      <w:r>
        <w:rPr>
          <w:spacing w:val="-14"/>
        </w:rPr>
        <w:t> </w:t>
      </w:r>
      <w:r>
        <w:rPr/>
        <w:t>la</w:t>
      </w:r>
      <w:r>
        <w:rPr>
          <w:spacing w:val="-14"/>
        </w:rPr>
        <w:t> </w:t>
      </w:r>
      <w:r>
        <w:rPr/>
        <w:t>información</w:t>
      </w:r>
      <w:r>
        <w:rPr>
          <w:spacing w:val="-14"/>
        </w:rPr>
        <w:t> </w:t>
      </w:r>
      <w:r>
        <w:rPr/>
        <w:t>y</w:t>
      </w:r>
      <w:r>
        <w:rPr>
          <w:spacing w:val="-17"/>
        </w:rPr>
        <w:t> </w:t>
      </w:r>
      <w:r>
        <w:rPr/>
        <w:t>la</w:t>
      </w:r>
      <w:r>
        <w:rPr>
          <w:spacing w:val="-14"/>
        </w:rPr>
        <w:t> </w:t>
      </w:r>
      <w:r>
        <w:rPr/>
        <w:t>transparencia</w:t>
      </w:r>
      <w:r>
        <w:rPr>
          <w:spacing w:val="-17"/>
        </w:rPr>
        <w:t> </w:t>
      </w:r>
      <w:r>
        <w:rPr/>
        <w:t>que</w:t>
      </w:r>
      <w:r>
        <w:rPr>
          <w:spacing w:val="-14"/>
        </w:rPr>
        <w:t> </w:t>
      </w:r>
      <w:r>
        <w:rPr/>
        <w:t>obstaculizan</w:t>
      </w:r>
      <w:r>
        <w:rPr>
          <w:spacing w:val="-14"/>
        </w:rPr>
        <w:t> </w:t>
      </w:r>
      <w:r>
        <w:rPr/>
        <w:t>la</w:t>
      </w:r>
      <w:r>
        <w:rPr>
          <w:spacing w:val="-14"/>
        </w:rPr>
        <w:t> </w:t>
      </w:r>
      <w:r>
        <w:rPr/>
        <w:t>institucionalización del GA, tales como las</w:t>
      </w:r>
      <w:r>
        <w:rPr>
          <w:spacing w:val="-8"/>
        </w:rPr>
        <w:t> </w:t>
      </w:r>
      <w:r>
        <w:rPr/>
        <w:t>siguientes:</w:t>
      </w:r>
    </w:p>
    <w:p>
      <w:pPr>
        <w:pStyle w:val="BodyText"/>
      </w:pPr>
    </w:p>
    <w:p>
      <w:pPr>
        <w:pStyle w:val="BodyText"/>
      </w:pPr>
    </w:p>
    <w:p>
      <w:pPr>
        <w:pStyle w:val="ListParagraph"/>
        <w:numPr>
          <w:ilvl w:val="0"/>
          <w:numId w:val="58"/>
        </w:numPr>
        <w:tabs>
          <w:tab w:pos="536" w:val="left" w:leader="none"/>
        </w:tabs>
        <w:spacing w:line="276" w:lineRule="auto" w:before="187" w:after="0"/>
        <w:ind w:left="535" w:right="116" w:hanging="360"/>
        <w:jc w:val="both"/>
        <w:rPr>
          <w:sz w:val="24"/>
        </w:rPr>
      </w:pPr>
      <w:r>
        <w:rPr>
          <w:sz w:val="24"/>
        </w:rPr>
        <w:t>La falta de condiciones de los municipios para administrar información y para practicar una cultura de transparencia (Barrera, 2010; Cantú </w:t>
      </w:r>
      <w:r>
        <w:rPr>
          <w:i/>
          <w:sz w:val="24"/>
        </w:rPr>
        <w:t>et. al. </w:t>
      </w:r>
      <w:r>
        <w:rPr>
          <w:sz w:val="24"/>
        </w:rPr>
        <w:t>2011; Sánchez,</w:t>
      </w:r>
      <w:r>
        <w:rPr>
          <w:spacing w:val="-8"/>
          <w:sz w:val="24"/>
        </w:rPr>
        <w:t> </w:t>
      </w:r>
      <w:r>
        <w:rPr>
          <w:sz w:val="24"/>
        </w:rPr>
        <w:t>2011).</w:t>
      </w:r>
    </w:p>
    <w:p>
      <w:pPr>
        <w:pStyle w:val="ListParagraph"/>
        <w:numPr>
          <w:ilvl w:val="0"/>
          <w:numId w:val="58"/>
        </w:numPr>
        <w:tabs>
          <w:tab w:pos="536" w:val="left" w:leader="none"/>
        </w:tabs>
        <w:spacing w:line="276" w:lineRule="auto" w:before="1" w:after="0"/>
        <w:ind w:left="535" w:right="125" w:hanging="360"/>
        <w:jc w:val="both"/>
        <w:rPr>
          <w:sz w:val="24"/>
        </w:rPr>
      </w:pPr>
      <w:r>
        <w:rPr>
          <w:sz w:val="24"/>
        </w:rPr>
        <w:t>La cultura de negación de información por parte de las dependencias gubernamentales (Barrera, 2010 y Fox </w:t>
      </w:r>
      <w:r>
        <w:rPr>
          <w:i/>
          <w:sz w:val="24"/>
        </w:rPr>
        <w:t>et. al.</w:t>
      </w:r>
      <w:r>
        <w:rPr>
          <w:i/>
          <w:spacing w:val="-16"/>
          <w:sz w:val="24"/>
        </w:rPr>
        <w:t> </w:t>
      </w:r>
      <w:r>
        <w:rPr>
          <w:sz w:val="24"/>
        </w:rPr>
        <w:t>2011).</w:t>
      </w:r>
    </w:p>
    <w:p>
      <w:pPr>
        <w:pStyle w:val="ListParagraph"/>
        <w:numPr>
          <w:ilvl w:val="0"/>
          <w:numId w:val="58"/>
        </w:numPr>
        <w:tabs>
          <w:tab w:pos="536" w:val="left" w:leader="none"/>
        </w:tabs>
        <w:spacing w:line="276" w:lineRule="auto" w:before="3" w:after="0"/>
        <w:ind w:left="535" w:right="125" w:hanging="360"/>
        <w:jc w:val="both"/>
        <w:rPr>
          <w:sz w:val="24"/>
        </w:rPr>
      </w:pPr>
      <w:r>
        <w:rPr>
          <w:sz w:val="24"/>
        </w:rPr>
        <w:t>La falta de administración de documentos y control de archivos; la cultura del secreto; falta de conciencia de los gobernantes (Barrera,</w:t>
      </w:r>
      <w:r>
        <w:rPr>
          <w:spacing w:val="-21"/>
          <w:sz w:val="24"/>
        </w:rPr>
        <w:t> </w:t>
      </w:r>
      <w:r>
        <w:rPr>
          <w:sz w:val="24"/>
        </w:rPr>
        <w:t>2010).</w:t>
      </w:r>
    </w:p>
    <w:p>
      <w:pPr>
        <w:pStyle w:val="ListParagraph"/>
        <w:numPr>
          <w:ilvl w:val="0"/>
          <w:numId w:val="58"/>
        </w:numPr>
        <w:tabs>
          <w:tab w:pos="536" w:val="left" w:leader="none"/>
        </w:tabs>
        <w:spacing w:line="240" w:lineRule="auto" w:before="0" w:after="0"/>
        <w:ind w:left="535" w:right="0" w:hanging="360"/>
        <w:jc w:val="left"/>
        <w:rPr>
          <w:sz w:val="24"/>
        </w:rPr>
      </w:pPr>
      <w:r>
        <w:rPr>
          <w:sz w:val="24"/>
        </w:rPr>
        <w:t>La falta de precisión de la ley (Spencer,</w:t>
      </w:r>
      <w:r>
        <w:rPr>
          <w:spacing w:val="-20"/>
          <w:sz w:val="24"/>
        </w:rPr>
        <w:t> </w:t>
      </w:r>
      <w:r>
        <w:rPr>
          <w:sz w:val="24"/>
        </w:rPr>
        <w:t>2008).</w:t>
      </w:r>
    </w:p>
    <w:p>
      <w:pPr>
        <w:pStyle w:val="ListParagraph"/>
        <w:numPr>
          <w:ilvl w:val="0"/>
          <w:numId w:val="58"/>
        </w:numPr>
        <w:tabs>
          <w:tab w:pos="536" w:val="left" w:leader="none"/>
        </w:tabs>
        <w:spacing w:line="276" w:lineRule="auto" w:before="43" w:after="0"/>
        <w:ind w:left="535" w:right="120" w:hanging="360"/>
        <w:jc w:val="both"/>
        <w:rPr>
          <w:sz w:val="24"/>
        </w:rPr>
      </w:pPr>
      <w:r>
        <w:rPr>
          <w:sz w:val="24"/>
        </w:rPr>
        <w:t>La información pública de oficio no solo es poco clara, sino que se oculta en los portales web tan estructurados (Quintanilla,</w:t>
      </w:r>
      <w:r>
        <w:rPr>
          <w:spacing w:val="-13"/>
          <w:sz w:val="24"/>
        </w:rPr>
        <w:t> </w:t>
      </w:r>
      <w:r>
        <w:rPr>
          <w:sz w:val="24"/>
        </w:rPr>
        <w:t>2012).</w:t>
      </w:r>
    </w:p>
    <w:p>
      <w:pPr>
        <w:pStyle w:val="ListParagraph"/>
        <w:numPr>
          <w:ilvl w:val="0"/>
          <w:numId w:val="58"/>
        </w:numPr>
        <w:tabs>
          <w:tab w:pos="536" w:val="left" w:leader="none"/>
        </w:tabs>
        <w:spacing w:line="276" w:lineRule="auto" w:before="0" w:after="0"/>
        <w:ind w:left="535" w:right="124" w:hanging="360"/>
        <w:jc w:val="both"/>
        <w:rPr>
          <w:sz w:val="24"/>
        </w:rPr>
      </w:pPr>
      <w:r>
        <w:rPr>
          <w:sz w:val="24"/>
        </w:rPr>
        <w:t>La información en los sitios web gubernamentales está diseñada desde las necesidades de la administración pública y no desde las necesidades del usuario; además de tener un lenguaje administrativo que pocos entienden (López Ayllón,</w:t>
      </w:r>
      <w:r>
        <w:rPr>
          <w:spacing w:val="-10"/>
          <w:sz w:val="24"/>
        </w:rPr>
        <w:t> </w:t>
      </w:r>
      <w:r>
        <w:rPr>
          <w:sz w:val="24"/>
        </w:rPr>
        <w:t>2011).</w:t>
      </w:r>
    </w:p>
    <w:p>
      <w:pPr>
        <w:pStyle w:val="ListParagraph"/>
        <w:numPr>
          <w:ilvl w:val="0"/>
          <w:numId w:val="58"/>
        </w:numPr>
        <w:tabs>
          <w:tab w:pos="536" w:val="left" w:leader="none"/>
        </w:tabs>
        <w:spacing w:line="276" w:lineRule="auto" w:before="1" w:after="0"/>
        <w:ind w:left="535" w:right="122" w:hanging="360"/>
        <w:jc w:val="both"/>
        <w:rPr>
          <w:sz w:val="24"/>
        </w:rPr>
      </w:pPr>
      <w:r>
        <w:rPr>
          <w:sz w:val="24"/>
        </w:rPr>
        <w:t>Los problemas prácticos en el acceso a la información pública en los</w:t>
      </w:r>
      <w:r>
        <w:rPr>
          <w:spacing w:val="-33"/>
          <w:sz w:val="24"/>
        </w:rPr>
        <w:t> </w:t>
      </w:r>
      <w:r>
        <w:rPr>
          <w:sz w:val="24"/>
        </w:rPr>
        <w:t>municipios por la deficiencia de las leyes actuales en México (Domínguez, 2006; Padiñas y Granados,</w:t>
      </w:r>
      <w:r>
        <w:rPr>
          <w:spacing w:val="-5"/>
          <w:sz w:val="24"/>
        </w:rPr>
        <w:t> </w:t>
      </w:r>
      <w:r>
        <w:rPr>
          <w:sz w:val="24"/>
        </w:rPr>
        <w:t>2010).</w:t>
      </w:r>
    </w:p>
    <w:p>
      <w:pPr>
        <w:pStyle w:val="ListParagraph"/>
        <w:numPr>
          <w:ilvl w:val="0"/>
          <w:numId w:val="58"/>
        </w:numPr>
        <w:tabs>
          <w:tab w:pos="536" w:val="left" w:leader="none"/>
        </w:tabs>
        <w:spacing w:line="276" w:lineRule="auto" w:before="3" w:after="0"/>
        <w:ind w:left="535" w:right="118" w:hanging="360"/>
        <w:jc w:val="both"/>
        <w:rPr>
          <w:sz w:val="24"/>
        </w:rPr>
      </w:pPr>
      <w:r>
        <w:rPr>
          <w:sz w:val="24"/>
        </w:rPr>
        <w:t>Que los gobiernos puedan gestionar grandes cantidades de información</w:t>
      </w:r>
      <w:r>
        <w:rPr>
          <w:spacing w:val="-33"/>
          <w:sz w:val="24"/>
        </w:rPr>
        <w:t> </w:t>
      </w:r>
      <w:r>
        <w:rPr>
          <w:sz w:val="24"/>
        </w:rPr>
        <w:t>gracias a</w:t>
      </w:r>
      <w:r>
        <w:rPr>
          <w:spacing w:val="-18"/>
          <w:sz w:val="24"/>
        </w:rPr>
        <w:t> </w:t>
      </w:r>
      <w:r>
        <w:rPr>
          <w:sz w:val="24"/>
        </w:rPr>
        <w:t>las</w:t>
      </w:r>
      <w:r>
        <w:rPr>
          <w:spacing w:val="-21"/>
          <w:sz w:val="24"/>
        </w:rPr>
        <w:t> </w:t>
      </w:r>
      <w:r>
        <w:rPr>
          <w:sz w:val="24"/>
        </w:rPr>
        <w:t>Tecnologías</w:t>
      </w:r>
      <w:r>
        <w:rPr>
          <w:spacing w:val="-19"/>
          <w:sz w:val="24"/>
        </w:rPr>
        <w:t> </w:t>
      </w:r>
      <w:r>
        <w:rPr>
          <w:sz w:val="24"/>
        </w:rPr>
        <w:t>de</w:t>
      </w:r>
      <w:r>
        <w:rPr>
          <w:spacing w:val="-18"/>
          <w:sz w:val="24"/>
        </w:rPr>
        <w:t> </w:t>
      </w:r>
      <w:r>
        <w:rPr>
          <w:sz w:val="24"/>
        </w:rPr>
        <w:t>la</w:t>
      </w:r>
      <w:r>
        <w:rPr>
          <w:spacing w:val="-21"/>
          <w:sz w:val="24"/>
        </w:rPr>
        <w:t> </w:t>
      </w:r>
      <w:r>
        <w:rPr>
          <w:sz w:val="24"/>
        </w:rPr>
        <w:t>Información</w:t>
      </w:r>
      <w:r>
        <w:rPr>
          <w:spacing w:val="-20"/>
          <w:sz w:val="24"/>
        </w:rPr>
        <w:t> </w:t>
      </w:r>
      <w:r>
        <w:rPr>
          <w:sz w:val="24"/>
        </w:rPr>
        <w:t>y</w:t>
      </w:r>
      <w:r>
        <w:rPr>
          <w:spacing w:val="-21"/>
          <w:sz w:val="24"/>
        </w:rPr>
        <w:t> </w:t>
      </w:r>
      <w:r>
        <w:rPr>
          <w:sz w:val="24"/>
        </w:rPr>
        <w:t>Comunicaciones</w:t>
      </w:r>
      <w:r>
        <w:rPr>
          <w:spacing w:val="-16"/>
          <w:sz w:val="24"/>
        </w:rPr>
        <w:t> </w:t>
      </w:r>
      <w:r>
        <w:rPr>
          <w:sz w:val="24"/>
        </w:rPr>
        <w:t>para</w:t>
      </w:r>
      <w:r>
        <w:rPr>
          <w:spacing w:val="-20"/>
          <w:sz w:val="24"/>
        </w:rPr>
        <w:t> </w:t>
      </w:r>
      <w:r>
        <w:rPr>
          <w:sz w:val="24"/>
        </w:rPr>
        <w:t>ponerla</w:t>
      </w:r>
      <w:r>
        <w:rPr>
          <w:spacing w:val="-18"/>
          <w:sz w:val="24"/>
        </w:rPr>
        <w:t> </w:t>
      </w:r>
      <w:r>
        <w:rPr>
          <w:sz w:val="24"/>
        </w:rPr>
        <w:t>a</w:t>
      </w:r>
      <w:r>
        <w:rPr>
          <w:spacing w:val="-20"/>
          <w:sz w:val="24"/>
        </w:rPr>
        <w:t> </w:t>
      </w:r>
      <w:r>
        <w:rPr>
          <w:sz w:val="24"/>
        </w:rPr>
        <w:t>disposición de la sociedad y sin cuestionar quien la utiliza y para qué fines (Hoffman,</w:t>
      </w:r>
      <w:r>
        <w:rPr>
          <w:spacing w:val="-33"/>
          <w:sz w:val="24"/>
        </w:rPr>
        <w:t> </w:t>
      </w:r>
      <w:r>
        <w:rPr>
          <w:sz w:val="24"/>
        </w:rPr>
        <w:t>2012).</w:t>
      </w:r>
    </w:p>
    <w:p>
      <w:pPr>
        <w:pStyle w:val="BodyText"/>
      </w:pPr>
    </w:p>
    <w:p>
      <w:pPr>
        <w:pStyle w:val="BodyText"/>
      </w:pPr>
    </w:p>
    <w:p>
      <w:pPr>
        <w:pStyle w:val="BodyText"/>
        <w:spacing w:before="5"/>
        <w:rPr>
          <w:sz w:val="19"/>
        </w:rPr>
      </w:pPr>
    </w:p>
    <w:p>
      <w:pPr>
        <w:pStyle w:val="BodyText"/>
        <w:spacing w:line="360" w:lineRule="auto"/>
        <w:ind w:left="108" w:right="119"/>
        <w:jc w:val="both"/>
      </w:pPr>
      <w:r>
        <w:rPr/>
        <w:t>Dichas limitantes han permitido identificar que existen ciertos enemigos del GA que las generan, entre estos se puede identificar a los siguientes:</w:t>
      </w:r>
    </w:p>
    <w:p>
      <w:pPr>
        <w:spacing w:after="0" w:line="360" w:lineRule="auto"/>
        <w:jc w:val="both"/>
        <w:sectPr>
          <w:pgSz w:w="12240" w:h="15840"/>
          <w:pgMar w:header="0" w:footer="1035" w:top="1360" w:bottom="1220" w:left="1500" w:right="1580"/>
        </w:sectPr>
      </w:pPr>
    </w:p>
    <w:p>
      <w:pPr>
        <w:pStyle w:val="Heading1"/>
        <w:numPr>
          <w:ilvl w:val="1"/>
          <w:numId w:val="59"/>
        </w:numPr>
        <w:tabs>
          <w:tab w:pos="675" w:val="left" w:leader="none"/>
        </w:tabs>
        <w:spacing w:line="240" w:lineRule="auto" w:before="54" w:after="0"/>
        <w:ind w:left="674" w:right="0" w:hanging="554"/>
        <w:jc w:val="both"/>
      </w:pPr>
      <w:bookmarkStart w:name="_bookmark19" w:id="34"/>
      <w:bookmarkEnd w:id="34"/>
      <w:r>
        <w:rPr>
          <w:b w:val="0"/>
        </w:rPr>
      </w:r>
      <w:bookmarkStart w:name="_bookmark19" w:id="35"/>
      <w:bookmarkEnd w:id="35"/>
      <w:r>
        <w:rPr/>
        <w:t>Los</w:t>
      </w:r>
      <w:r>
        <w:rPr>
          <w:spacing w:val="-2"/>
        </w:rPr>
        <w:t> </w:t>
      </w:r>
      <w:r>
        <w:rPr/>
        <w:t>gobernantes</w:t>
      </w:r>
    </w:p>
    <w:p>
      <w:pPr>
        <w:pStyle w:val="BodyText"/>
        <w:rPr>
          <w:b/>
        </w:rPr>
      </w:pPr>
    </w:p>
    <w:p>
      <w:pPr>
        <w:pStyle w:val="BodyText"/>
        <w:rPr>
          <w:b/>
        </w:rPr>
      </w:pPr>
    </w:p>
    <w:p>
      <w:pPr>
        <w:pStyle w:val="BodyText"/>
        <w:spacing w:line="360" w:lineRule="auto" w:before="161"/>
        <w:ind w:left="108" w:right="115"/>
        <w:jc w:val="both"/>
      </w:pPr>
      <w:r>
        <w:rPr/>
        <w:t>Los</w:t>
      </w:r>
      <w:r>
        <w:rPr>
          <w:spacing w:val="-8"/>
        </w:rPr>
        <w:t> </w:t>
      </w:r>
      <w:r>
        <w:rPr/>
        <w:t>gobernantes</w:t>
      </w:r>
      <w:r>
        <w:rPr>
          <w:spacing w:val="-8"/>
        </w:rPr>
        <w:t> </w:t>
      </w:r>
      <w:r>
        <w:rPr/>
        <w:t>se</w:t>
      </w:r>
      <w:r>
        <w:rPr>
          <w:spacing w:val="-8"/>
        </w:rPr>
        <w:t> </w:t>
      </w:r>
      <w:r>
        <w:rPr/>
        <w:t>consideran</w:t>
      </w:r>
      <w:r>
        <w:rPr>
          <w:spacing w:val="-8"/>
        </w:rPr>
        <w:t> </w:t>
      </w:r>
      <w:r>
        <w:rPr/>
        <w:t>enemigos</w:t>
      </w:r>
      <w:r>
        <w:rPr>
          <w:spacing w:val="-9"/>
        </w:rPr>
        <w:t> </w:t>
      </w:r>
      <w:r>
        <w:rPr/>
        <w:t>del</w:t>
      </w:r>
      <w:r>
        <w:rPr>
          <w:spacing w:val="-10"/>
        </w:rPr>
        <w:t> </w:t>
      </w:r>
      <w:r>
        <w:rPr/>
        <w:t>GA</w:t>
      </w:r>
      <w:r>
        <w:rPr>
          <w:spacing w:val="-2"/>
        </w:rPr>
        <w:t> </w:t>
      </w:r>
      <w:r>
        <w:rPr/>
        <w:t>toda</w:t>
      </w:r>
      <w:r>
        <w:rPr>
          <w:spacing w:val="-7"/>
        </w:rPr>
        <w:t> </w:t>
      </w:r>
      <w:r>
        <w:rPr/>
        <w:t>vez</w:t>
      </w:r>
      <w:r>
        <w:rPr>
          <w:spacing w:val="-9"/>
        </w:rPr>
        <w:t> </w:t>
      </w:r>
      <w:r>
        <w:rPr/>
        <w:t>que</w:t>
      </w:r>
      <w:r>
        <w:rPr>
          <w:spacing w:val="-7"/>
        </w:rPr>
        <w:t> </w:t>
      </w:r>
      <w:r>
        <w:rPr/>
        <w:t>aun</w:t>
      </w:r>
      <w:r>
        <w:rPr>
          <w:spacing w:val="-8"/>
        </w:rPr>
        <w:t> </w:t>
      </w:r>
      <w:r>
        <w:rPr/>
        <w:t>cuando</w:t>
      </w:r>
      <w:r>
        <w:rPr>
          <w:spacing w:val="-7"/>
        </w:rPr>
        <w:t> </w:t>
      </w:r>
      <w:r>
        <w:rPr/>
        <w:t>tienen</w:t>
      </w:r>
      <w:r>
        <w:rPr>
          <w:spacing w:val="-7"/>
        </w:rPr>
        <w:t> </w:t>
      </w:r>
      <w:r>
        <w:rPr/>
        <w:t>el poder de toma de decisiones para cambiar los sistemas de opacidad que permean al</w:t>
      </w:r>
      <w:r>
        <w:rPr>
          <w:spacing w:val="-11"/>
        </w:rPr>
        <w:t> </w:t>
      </w:r>
      <w:r>
        <w:rPr/>
        <w:t>gobierno,</w:t>
      </w:r>
      <w:r>
        <w:rPr>
          <w:spacing w:val="-10"/>
        </w:rPr>
        <w:t> </w:t>
      </w:r>
      <w:r>
        <w:rPr/>
        <w:t>no</w:t>
      </w:r>
      <w:r>
        <w:rPr>
          <w:spacing w:val="-12"/>
        </w:rPr>
        <w:t> </w:t>
      </w:r>
      <w:r>
        <w:rPr/>
        <w:t>tienen</w:t>
      </w:r>
      <w:r>
        <w:rPr>
          <w:spacing w:val="-9"/>
        </w:rPr>
        <w:t> </w:t>
      </w:r>
      <w:r>
        <w:rPr/>
        <w:t>la</w:t>
      </w:r>
      <w:r>
        <w:rPr>
          <w:spacing w:val="-9"/>
        </w:rPr>
        <w:t> </w:t>
      </w:r>
      <w:r>
        <w:rPr/>
        <w:t>voluntad</w:t>
      </w:r>
      <w:r>
        <w:rPr>
          <w:spacing w:val="-12"/>
        </w:rPr>
        <w:t> </w:t>
      </w:r>
      <w:r>
        <w:rPr/>
        <w:t>política</w:t>
      </w:r>
      <w:r>
        <w:rPr>
          <w:spacing w:val="-9"/>
        </w:rPr>
        <w:t> </w:t>
      </w:r>
      <w:r>
        <w:rPr/>
        <w:t>para</w:t>
      </w:r>
      <w:r>
        <w:rPr>
          <w:spacing w:val="-10"/>
        </w:rPr>
        <w:t> </w:t>
      </w:r>
      <w:r>
        <w:rPr/>
        <w:t>hacerlo.</w:t>
      </w:r>
      <w:r>
        <w:rPr>
          <w:spacing w:val="-12"/>
        </w:rPr>
        <w:t> </w:t>
      </w:r>
      <w:r>
        <w:rPr/>
        <w:t>De</w:t>
      </w:r>
      <w:r>
        <w:rPr>
          <w:spacing w:val="-12"/>
        </w:rPr>
        <w:t> </w:t>
      </w:r>
      <w:r>
        <w:rPr/>
        <w:t>este</w:t>
      </w:r>
      <w:r>
        <w:rPr>
          <w:spacing w:val="-11"/>
        </w:rPr>
        <w:t> </w:t>
      </w:r>
      <w:r>
        <w:rPr/>
        <w:t>modo</w:t>
      </w:r>
      <w:r>
        <w:rPr>
          <w:spacing w:val="-9"/>
        </w:rPr>
        <w:t> </w:t>
      </w:r>
      <w:r>
        <w:rPr/>
        <w:t>solamente</w:t>
      </w:r>
      <w:r>
        <w:rPr>
          <w:spacing w:val="-11"/>
        </w:rPr>
        <w:t> </w:t>
      </w:r>
      <w:r>
        <w:rPr/>
        <w:t>han construido un estado formal donde las leyes, instituciones y algunas prácticas administrativas son la base de un discurso político sobre la transparencia gubernamental. Sin embargo, la falta de compromiso real con la transparencia ha permitido que se incrementen los niveles de corrupción, no se dé cabal de la ley de transparencia</w:t>
      </w:r>
      <w:r>
        <w:rPr>
          <w:spacing w:val="-4"/>
        </w:rPr>
        <w:t> </w:t>
      </w:r>
      <w:r>
        <w:rPr/>
        <w:t>y</w:t>
      </w:r>
      <w:r>
        <w:rPr>
          <w:spacing w:val="-7"/>
        </w:rPr>
        <w:t> </w:t>
      </w:r>
      <w:r>
        <w:rPr/>
        <w:t>predomine</w:t>
      </w:r>
      <w:r>
        <w:rPr>
          <w:spacing w:val="-3"/>
        </w:rPr>
        <w:t> </w:t>
      </w:r>
      <w:r>
        <w:rPr/>
        <w:t>la</w:t>
      </w:r>
      <w:r>
        <w:rPr>
          <w:spacing w:val="-4"/>
        </w:rPr>
        <w:t> </w:t>
      </w:r>
      <w:r>
        <w:rPr/>
        <w:t>impunidad.</w:t>
      </w:r>
      <w:r>
        <w:rPr>
          <w:spacing w:val="-4"/>
        </w:rPr>
        <w:t> </w:t>
      </w:r>
      <w:r>
        <w:rPr/>
        <w:t>Por</w:t>
      </w:r>
      <w:r>
        <w:rPr>
          <w:spacing w:val="-5"/>
        </w:rPr>
        <w:t> </w:t>
      </w:r>
      <w:r>
        <w:rPr/>
        <w:t>ello</w:t>
      </w:r>
      <w:r>
        <w:rPr>
          <w:spacing w:val="-4"/>
        </w:rPr>
        <w:t> </w:t>
      </w:r>
      <w:r>
        <w:rPr/>
        <w:t>resulta</w:t>
      </w:r>
      <w:r>
        <w:rPr>
          <w:spacing w:val="-6"/>
        </w:rPr>
        <w:t> </w:t>
      </w:r>
      <w:r>
        <w:rPr/>
        <w:t>más</w:t>
      </w:r>
      <w:r>
        <w:rPr>
          <w:spacing w:val="-7"/>
        </w:rPr>
        <w:t> </w:t>
      </w:r>
      <w:r>
        <w:rPr/>
        <w:t>atractivo</w:t>
      </w:r>
      <w:r>
        <w:rPr>
          <w:spacing w:val="-4"/>
        </w:rPr>
        <w:t> </w:t>
      </w:r>
      <w:r>
        <w:rPr/>
        <w:t>para</w:t>
      </w:r>
      <w:r>
        <w:rPr>
          <w:spacing w:val="-4"/>
        </w:rPr>
        <w:t> </w:t>
      </w:r>
      <w:r>
        <w:rPr/>
        <w:t>algunos funcionarios</w:t>
      </w:r>
      <w:r>
        <w:rPr>
          <w:spacing w:val="-8"/>
        </w:rPr>
        <w:t> </w:t>
      </w:r>
      <w:r>
        <w:rPr/>
        <w:t>no</w:t>
      </w:r>
      <w:r>
        <w:rPr>
          <w:spacing w:val="-7"/>
        </w:rPr>
        <w:t> </w:t>
      </w:r>
      <w:r>
        <w:rPr/>
        <w:t>cumplir</w:t>
      </w:r>
      <w:r>
        <w:rPr>
          <w:spacing w:val="-8"/>
        </w:rPr>
        <w:t> </w:t>
      </w:r>
      <w:r>
        <w:rPr/>
        <w:t>la</w:t>
      </w:r>
      <w:r>
        <w:rPr>
          <w:spacing w:val="-7"/>
        </w:rPr>
        <w:t> </w:t>
      </w:r>
      <w:r>
        <w:rPr/>
        <w:t>ley,</w:t>
      </w:r>
      <w:r>
        <w:rPr>
          <w:spacing w:val="-7"/>
        </w:rPr>
        <w:t> </w:t>
      </w:r>
      <w:r>
        <w:rPr/>
        <w:t>ya</w:t>
      </w:r>
      <w:r>
        <w:rPr>
          <w:spacing w:val="-7"/>
        </w:rPr>
        <w:t> </w:t>
      </w:r>
      <w:r>
        <w:rPr/>
        <w:t>que</w:t>
      </w:r>
      <w:r>
        <w:rPr>
          <w:spacing w:val="-7"/>
        </w:rPr>
        <w:t> </w:t>
      </w:r>
      <w:r>
        <w:rPr/>
        <w:t>los</w:t>
      </w:r>
      <w:r>
        <w:rPr>
          <w:spacing w:val="-7"/>
        </w:rPr>
        <w:t> </w:t>
      </w:r>
      <w:r>
        <w:rPr/>
        <w:t>perjuicios</w:t>
      </w:r>
      <w:r>
        <w:rPr>
          <w:spacing w:val="-8"/>
        </w:rPr>
        <w:t> </w:t>
      </w:r>
      <w:r>
        <w:rPr/>
        <w:t>por</w:t>
      </w:r>
      <w:r>
        <w:rPr>
          <w:spacing w:val="-8"/>
        </w:rPr>
        <w:t> </w:t>
      </w:r>
      <w:r>
        <w:rPr/>
        <w:t>hacerlo</w:t>
      </w:r>
      <w:r>
        <w:rPr>
          <w:spacing w:val="-9"/>
        </w:rPr>
        <w:t> </w:t>
      </w:r>
      <w:r>
        <w:rPr/>
        <w:t>pueden</w:t>
      </w:r>
      <w:r>
        <w:rPr>
          <w:spacing w:val="-7"/>
        </w:rPr>
        <w:t> </w:t>
      </w:r>
      <w:r>
        <w:rPr/>
        <w:t>ser</w:t>
      </w:r>
      <w:r>
        <w:rPr>
          <w:spacing w:val="-8"/>
        </w:rPr>
        <w:t> </w:t>
      </w:r>
      <w:r>
        <w:rPr/>
        <w:t>mayores. De este modo, la corrupción permea todas las prácticas administrativas no solo del gobierno,</w:t>
      </w:r>
      <w:r>
        <w:rPr>
          <w:spacing w:val="-11"/>
        </w:rPr>
        <w:t> </w:t>
      </w:r>
      <w:r>
        <w:rPr/>
        <w:t>sino</w:t>
      </w:r>
      <w:r>
        <w:rPr>
          <w:spacing w:val="-13"/>
        </w:rPr>
        <w:t> </w:t>
      </w:r>
      <w:r>
        <w:rPr/>
        <w:t>de</w:t>
      </w:r>
      <w:r>
        <w:rPr>
          <w:spacing w:val="-13"/>
        </w:rPr>
        <w:t> </w:t>
      </w:r>
      <w:r>
        <w:rPr/>
        <w:t>la</w:t>
      </w:r>
      <w:r>
        <w:rPr>
          <w:spacing w:val="-11"/>
        </w:rPr>
        <w:t> </w:t>
      </w:r>
      <w:r>
        <w:rPr/>
        <w:t>sociedad</w:t>
      </w:r>
      <w:r>
        <w:rPr>
          <w:spacing w:val="-13"/>
        </w:rPr>
        <w:t> </w:t>
      </w:r>
      <w:r>
        <w:rPr/>
        <w:t>en</w:t>
      </w:r>
      <w:r>
        <w:rPr>
          <w:spacing w:val="-13"/>
        </w:rPr>
        <w:t> </w:t>
      </w:r>
      <w:r>
        <w:rPr/>
        <w:t>general</w:t>
      </w:r>
      <w:r>
        <w:rPr>
          <w:spacing w:val="-11"/>
        </w:rPr>
        <w:t> </w:t>
      </w:r>
      <w:r>
        <w:rPr/>
        <w:t>que</w:t>
      </w:r>
      <w:r>
        <w:rPr>
          <w:spacing w:val="-13"/>
        </w:rPr>
        <w:t> </w:t>
      </w:r>
      <w:r>
        <w:rPr/>
        <w:t>también</w:t>
      </w:r>
      <w:r>
        <w:rPr>
          <w:spacing w:val="-11"/>
        </w:rPr>
        <w:t> </w:t>
      </w:r>
      <w:r>
        <w:rPr/>
        <w:t>la</w:t>
      </w:r>
      <w:r>
        <w:rPr>
          <w:spacing w:val="-13"/>
        </w:rPr>
        <w:t> </w:t>
      </w:r>
      <w:r>
        <w:rPr/>
        <w:t>permite</w:t>
      </w:r>
      <w:r>
        <w:rPr>
          <w:spacing w:val="-11"/>
        </w:rPr>
        <w:t> </w:t>
      </w:r>
      <w:r>
        <w:rPr/>
        <w:t>y</w:t>
      </w:r>
      <w:r>
        <w:rPr>
          <w:spacing w:val="-14"/>
        </w:rPr>
        <w:t> </w:t>
      </w:r>
      <w:r>
        <w:rPr/>
        <w:t>utiliza</w:t>
      </w:r>
      <w:r>
        <w:rPr>
          <w:spacing w:val="-11"/>
        </w:rPr>
        <w:t> </w:t>
      </w:r>
      <w:r>
        <w:rPr/>
        <w:t>para</w:t>
      </w:r>
      <w:r>
        <w:rPr>
          <w:spacing w:val="-11"/>
        </w:rPr>
        <w:t> </w:t>
      </w:r>
      <w:r>
        <w:rPr/>
        <w:t>agilizar los trámites burocráticos que han establecido para la prestación de sus</w:t>
      </w:r>
      <w:r>
        <w:rPr>
          <w:spacing w:val="-19"/>
        </w:rPr>
        <w:t> </w:t>
      </w:r>
      <w:r>
        <w:rPr/>
        <w:t>servicios.</w:t>
      </w:r>
    </w:p>
    <w:p>
      <w:pPr>
        <w:pStyle w:val="BodyText"/>
      </w:pPr>
    </w:p>
    <w:p>
      <w:pPr>
        <w:pStyle w:val="BodyText"/>
      </w:pPr>
    </w:p>
    <w:p>
      <w:pPr>
        <w:pStyle w:val="BodyText"/>
        <w:spacing w:line="360" w:lineRule="auto" w:before="187"/>
        <w:ind w:left="108" w:right="118"/>
        <w:jc w:val="both"/>
      </w:pPr>
      <w:r>
        <w:rPr/>
        <w:t>Algunos ejemplos que permiten sostener estas afirmaciones se han derivado de la investigación</w:t>
      </w:r>
      <w:r>
        <w:rPr>
          <w:spacing w:val="-14"/>
        </w:rPr>
        <w:t> </w:t>
      </w:r>
      <w:r>
        <w:rPr/>
        <w:t>que</w:t>
      </w:r>
      <w:r>
        <w:rPr>
          <w:spacing w:val="-14"/>
        </w:rPr>
        <w:t> </w:t>
      </w:r>
      <w:r>
        <w:rPr/>
        <w:t>se</w:t>
      </w:r>
      <w:r>
        <w:rPr>
          <w:spacing w:val="-14"/>
        </w:rPr>
        <w:t> </w:t>
      </w:r>
      <w:r>
        <w:rPr/>
        <w:t>presenta,</w:t>
      </w:r>
      <w:r>
        <w:rPr>
          <w:spacing w:val="-14"/>
        </w:rPr>
        <w:t> </w:t>
      </w:r>
      <w:r>
        <w:rPr/>
        <w:t>en</w:t>
      </w:r>
      <w:r>
        <w:rPr>
          <w:spacing w:val="-14"/>
        </w:rPr>
        <w:t> </w:t>
      </w:r>
      <w:r>
        <w:rPr/>
        <w:t>cuyos</w:t>
      </w:r>
      <w:r>
        <w:rPr>
          <w:spacing w:val="-15"/>
        </w:rPr>
        <w:t> </w:t>
      </w:r>
      <w:r>
        <w:rPr/>
        <w:t>capítulos</w:t>
      </w:r>
      <w:r>
        <w:rPr>
          <w:spacing w:val="-14"/>
        </w:rPr>
        <w:t> </w:t>
      </w:r>
      <w:r>
        <w:rPr/>
        <w:t>anteriores</w:t>
      </w:r>
      <w:r>
        <w:rPr>
          <w:spacing w:val="-15"/>
        </w:rPr>
        <w:t> </w:t>
      </w:r>
      <w:r>
        <w:rPr/>
        <w:t>se</w:t>
      </w:r>
      <w:r>
        <w:rPr>
          <w:spacing w:val="-17"/>
        </w:rPr>
        <w:t> </w:t>
      </w:r>
      <w:r>
        <w:rPr/>
        <w:t>han</w:t>
      </w:r>
      <w:r>
        <w:rPr>
          <w:spacing w:val="-17"/>
        </w:rPr>
        <w:t> </w:t>
      </w:r>
      <w:r>
        <w:rPr/>
        <w:t>venido</w:t>
      </w:r>
      <w:r>
        <w:rPr>
          <w:spacing w:val="-14"/>
        </w:rPr>
        <w:t> </w:t>
      </w:r>
      <w:r>
        <w:rPr/>
        <w:t>mostrado las prácticas que se realizan en torno a la transparencia. Entre estas encontramos: la votación de partidos políticos en el orden federal, ya que es ahí donde se toman las</w:t>
      </w:r>
      <w:r>
        <w:rPr>
          <w:spacing w:val="-16"/>
        </w:rPr>
        <w:t> </w:t>
      </w:r>
      <w:r>
        <w:rPr/>
        <w:t>directrices</w:t>
      </w:r>
      <w:r>
        <w:rPr>
          <w:spacing w:val="-16"/>
        </w:rPr>
        <w:t> </w:t>
      </w:r>
      <w:r>
        <w:rPr/>
        <w:t>que</w:t>
      </w:r>
      <w:r>
        <w:rPr>
          <w:spacing w:val="-16"/>
        </w:rPr>
        <w:t> </w:t>
      </w:r>
      <w:r>
        <w:rPr/>
        <w:t>luego</w:t>
      </w:r>
      <w:r>
        <w:rPr>
          <w:spacing w:val="-16"/>
        </w:rPr>
        <w:t> </w:t>
      </w:r>
      <w:r>
        <w:rPr/>
        <w:t>son</w:t>
      </w:r>
      <w:r>
        <w:rPr>
          <w:spacing w:val="-16"/>
        </w:rPr>
        <w:t> </w:t>
      </w:r>
      <w:r>
        <w:rPr/>
        <w:t>repetidas</w:t>
      </w:r>
      <w:r>
        <w:rPr>
          <w:spacing w:val="-19"/>
        </w:rPr>
        <w:t> </w:t>
      </w:r>
      <w:r>
        <w:rPr/>
        <w:t>por</w:t>
      </w:r>
      <w:r>
        <w:rPr>
          <w:spacing w:val="-17"/>
        </w:rPr>
        <w:t> </w:t>
      </w:r>
      <w:r>
        <w:rPr/>
        <w:t>las</w:t>
      </w:r>
      <w:r>
        <w:rPr>
          <w:spacing w:val="-21"/>
        </w:rPr>
        <w:t> </w:t>
      </w:r>
      <w:r>
        <w:rPr/>
        <w:t>entidades</w:t>
      </w:r>
      <w:r>
        <w:rPr>
          <w:spacing w:val="-21"/>
        </w:rPr>
        <w:t> </w:t>
      </w:r>
      <w:r>
        <w:rPr/>
        <w:t>federativas</w:t>
      </w:r>
      <w:r>
        <w:rPr>
          <w:spacing w:val="-16"/>
        </w:rPr>
        <w:t> </w:t>
      </w:r>
      <w:r>
        <w:rPr/>
        <w:t>en</w:t>
      </w:r>
      <w:r>
        <w:rPr>
          <w:spacing w:val="-16"/>
        </w:rPr>
        <w:t> </w:t>
      </w:r>
      <w:r>
        <w:rPr/>
        <w:t>los</w:t>
      </w:r>
      <w:r>
        <w:rPr>
          <w:spacing w:val="-18"/>
        </w:rPr>
        <w:t> </w:t>
      </w:r>
      <w:r>
        <w:rPr/>
        <w:t>congresos locales. Asimismo, se cuantificó </w:t>
      </w:r>
      <w:r>
        <w:rPr>
          <w:spacing w:val="2"/>
        </w:rPr>
        <w:t>el </w:t>
      </w:r>
      <w:r>
        <w:rPr/>
        <w:t>número de ocasiones que los titulares del poder ejecutivo mexiquense comprometieron la transparencia en sus planes de desarrollo como una práctica administrativa y el número de veces éstas terminaron siendo objetivos o metas concretas en relación a la</w:t>
      </w:r>
      <w:r>
        <w:rPr>
          <w:spacing w:val="-14"/>
        </w:rPr>
        <w:t> </w:t>
      </w:r>
      <w:r>
        <w:rPr/>
        <w:t>misma.</w:t>
      </w:r>
    </w:p>
    <w:p>
      <w:pPr>
        <w:pStyle w:val="BodyText"/>
      </w:pPr>
    </w:p>
    <w:p>
      <w:pPr>
        <w:pStyle w:val="BodyText"/>
        <w:spacing w:line="360" w:lineRule="auto" w:before="142"/>
        <w:ind w:left="108" w:right="121"/>
        <w:jc w:val="both"/>
      </w:pPr>
      <w:r>
        <w:rPr/>
        <w:t>Con todas estas acciones los gobernantes presentan la fachada de un gobierno transparente, cuando en realidad solamente se han concretado a trabajar la formalidad que se ve a simple vista por la sociedad; pero omiten presentar la informalidad</w:t>
      </w:r>
      <w:r>
        <w:rPr>
          <w:spacing w:val="-18"/>
        </w:rPr>
        <w:t> </w:t>
      </w:r>
      <w:r>
        <w:rPr/>
        <w:t>de</w:t>
      </w:r>
      <w:r>
        <w:rPr>
          <w:spacing w:val="-16"/>
        </w:rPr>
        <w:t> </w:t>
      </w:r>
      <w:r>
        <w:rPr/>
        <w:t>sus</w:t>
      </w:r>
      <w:r>
        <w:rPr>
          <w:spacing w:val="-19"/>
        </w:rPr>
        <w:t> </w:t>
      </w:r>
      <w:r>
        <w:rPr/>
        <w:t>prácticas</w:t>
      </w:r>
      <w:r>
        <w:rPr>
          <w:spacing w:val="-16"/>
        </w:rPr>
        <w:t> </w:t>
      </w:r>
      <w:r>
        <w:rPr/>
        <w:t>cotidianas</w:t>
      </w:r>
      <w:r>
        <w:rPr>
          <w:spacing w:val="-16"/>
        </w:rPr>
        <w:t> </w:t>
      </w:r>
      <w:r>
        <w:rPr/>
        <w:t>cuyos</w:t>
      </w:r>
      <w:r>
        <w:rPr>
          <w:spacing w:val="-16"/>
        </w:rPr>
        <w:t> </w:t>
      </w:r>
      <w:r>
        <w:rPr/>
        <w:t>cimientos</w:t>
      </w:r>
      <w:r>
        <w:rPr>
          <w:spacing w:val="-16"/>
        </w:rPr>
        <w:t> </w:t>
      </w:r>
      <w:r>
        <w:rPr/>
        <w:t>y</w:t>
      </w:r>
      <w:r>
        <w:rPr>
          <w:spacing w:val="-19"/>
        </w:rPr>
        <w:t> </w:t>
      </w:r>
      <w:r>
        <w:rPr/>
        <w:t>estructuras</w:t>
      </w:r>
      <w:r>
        <w:rPr>
          <w:spacing w:val="-16"/>
        </w:rPr>
        <w:t> </w:t>
      </w:r>
      <w:r>
        <w:rPr/>
        <w:t>son</w:t>
      </w:r>
      <w:r>
        <w:rPr>
          <w:spacing w:val="-16"/>
        </w:rPr>
        <w:t> </w:t>
      </w:r>
      <w:r>
        <w:rPr/>
        <w:t>incapaces de sostener esa casa gubernamental de una manera</w:t>
      </w:r>
      <w:r>
        <w:rPr>
          <w:spacing w:val="-20"/>
        </w:rPr>
        <w:t> </w:t>
      </w:r>
      <w:r>
        <w:rPr/>
        <w:t>transparente.</w:t>
      </w:r>
    </w:p>
    <w:p>
      <w:pPr>
        <w:spacing w:after="0" w:line="360" w:lineRule="auto"/>
        <w:jc w:val="both"/>
        <w:sectPr>
          <w:pgSz w:w="12240" w:h="15840"/>
          <w:pgMar w:header="0" w:footer="1035" w:top="1360" w:bottom="1220" w:left="1500" w:right="1580"/>
        </w:sectPr>
      </w:pPr>
    </w:p>
    <w:p>
      <w:pPr>
        <w:pStyle w:val="Heading1"/>
        <w:numPr>
          <w:ilvl w:val="2"/>
          <w:numId w:val="59"/>
        </w:numPr>
        <w:tabs>
          <w:tab w:pos="837" w:val="left" w:leader="none"/>
        </w:tabs>
        <w:spacing w:line="240" w:lineRule="auto" w:before="56" w:after="0"/>
        <w:ind w:left="836" w:right="0" w:hanging="720"/>
        <w:jc w:val="both"/>
      </w:pPr>
      <w:r>
        <w:rPr/>
        <w:t>La fachada legal del gobierno abierto en</w:t>
      </w:r>
      <w:r>
        <w:rPr>
          <w:spacing w:val="-16"/>
        </w:rPr>
        <w:t> </w:t>
      </w:r>
      <w:r>
        <w:rPr/>
        <w:t>México</w:t>
      </w:r>
    </w:p>
    <w:p>
      <w:pPr>
        <w:pStyle w:val="BodyText"/>
        <w:rPr>
          <w:b/>
        </w:rPr>
      </w:pPr>
    </w:p>
    <w:p>
      <w:pPr>
        <w:pStyle w:val="BodyText"/>
        <w:spacing w:before="9"/>
        <w:rPr>
          <w:b/>
          <w:sz w:val="23"/>
        </w:rPr>
      </w:pPr>
    </w:p>
    <w:p>
      <w:pPr>
        <w:pStyle w:val="BodyText"/>
        <w:spacing w:line="360" w:lineRule="auto"/>
        <w:ind w:left="128" w:right="114"/>
        <w:jc w:val="both"/>
      </w:pPr>
      <w:r>
        <w:rPr/>
        <w:t>Una</w:t>
      </w:r>
      <w:r>
        <w:rPr>
          <w:spacing w:val="-8"/>
        </w:rPr>
        <w:t> </w:t>
      </w:r>
      <w:r>
        <w:rPr/>
        <w:t>de</w:t>
      </w:r>
      <w:r>
        <w:rPr>
          <w:spacing w:val="-8"/>
        </w:rPr>
        <w:t> </w:t>
      </w:r>
      <w:r>
        <w:rPr/>
        <w:t>las</w:t>
      </w:r>
      <w:r>
        <w:rPr>
          <w:spacing w:val="-9"/>
        </w:rPr>
        <w:t> </w:t>
      </w:r>
      <w:r>
        <w:rPr/>
        <w:t>principales</w:t>
      </w:r>
      <w:r>
        <w:rPr>
          <w:spacing w:val="-11"/>
        </w:rPr>
        <w:t> </w:t>
      </w:r>
      <w:r>
        <w:rPr/>
        <w:t>acciones</w:t>
      </w:r>
      <w:r>
        <w:rPr>
          <w:spacing w:val="-9"/>
        </w:rPr>
        <w:t> </w:t>
      </w:r>
      <w:r>
        <w:rPr/>
        <w:t>que</w:t>
      </w:r>
      <w:r>
        <w:rPr>
          <w:spacing w:val="-8"/>
        </w:rPr>
        <w:t> </w:t>
      </w:r>
      <w:r>
        <w:rPr/>
        <w:t>han</w:t>
      </w:r>
      <w:r>
        <w:rPr>
          <w:spacing w:val="-8"/>
        </w:rPr>
        <w:t> </w:t>
      </w:r>
      <w:r>
        <w:rPr/>
        <w:t>realizado</w:t>
      </w:r>
      <w:r>
        <w:rPr>
          <w:spacing w:val="-8"/>
        </w:rPr>
        <w:t> </w:t>
      </w:r>
      <w:r>
        <w:rPr/>
        <w:t>los</w:t>
      </w:r>
      <w:r>
        <w:rPr>
          <w:spacing w:val="-9"/>
        </w:rPr>
        <w:t> </w:t>
      </w:r>
      <w:r>
        <w:rPr/>
        <w:t>gobernantes</w:t>
      </w:r>
      <w:r>
        <w:rPr>
          <w:spacing w:val="-12"/>
        </w:rPr>
        <w:t> </w:t>
      </w:r>
      <w:r>
        <w:rPr/>
        <w:t>para</w:t>
      </w:r>
      <w:r>
        <w:rPr>
          <w:spacing w:val="-9"/>
        </w:rPr>
        <w:t> </w:t>
      </w:r>
      <w:r>
        <w:rPr/>
        <w:t>promover</w:t>
      </w:r>
      <w:r>
        <w:rPr>
          <w:spacing w:val="-10"/>
        </w:rPr>
        <w:t> </w:t>
      </w:r>
      <w:r>
        <w:rPr/>
        <w:t>la transparencia en México fue el mandato asignado al Estado en 1977, el cual establecía la obligación de garantizar el acceso a la información. Esta acción fue la manifestación</w:t>
      </w:r>
      <w:r>
        <w:rPr>
          <w:spacing w:val="-16"/>
        </w:rPr>
        <w:t> </w:t>
      </w:r>
      <w:r>
        <w:rPr/>
        <w:t>de</w:t>
      </w:r>
      <w:r>
        <w:rPr>
          <w:spacing w:val="-16"/>
        </w:rPr>
        <w:t> </w:t>
      </w:r>
      <w:r>
        <w:rPr/>
        <w:t>la</w:t>
      </w:r>
      <w:r>
        <w:rPr>
          <w:spacing w:val="-16"/>
        </w:rPr>
        <w:t> </w:t>
      </w:r>
      <w:r>
        <w:rPr/>
        <w:t>voluntad</w:t>
      </w:r>
      <w:r>
        <w:rPr>
          <w:spacing w:val="-16"/>
        </w:rPr>
        <w:t> </w:t>
      </w:r>
      <w:r>
        <w:rPr/>
        <w:t>del</w:t>
      </w:r>
      <w:r>
        <w:rPr>
          <w:spacing w:val="-17"/>
        </w:rPr>
        <w:t> </w:t>
      </w:r>
      <w:r>
        <w:rPr/>
        <w:t>gobierno</w:t>
      </w:r>
      <w:r>
        <w:rPr>
          <w:spacing w:val="-18"/>
        </w:rPr>
        <w:t> </w:t>
      </w:r>
      <w:r>
        <w:rPr/>
        <w:t>para</w:t>
      </w:r>
      <w:r>
        <w:rPr>
          <w:spacing w:val="-16"/>
        </w:rPr>
        <w:t> </w:t>
      </w:r>
      <w:r>
        <w:rPr/>
        <w:t>abrir</w:t>
      </w:r>
      <w:r>
        <w:rPr>
          <w:spacing w:val="-17"/>
        </w:rPr>
        <w:t> </w:t>
      </w:r>
      <w:r>
        <w:rPr/>
        <w:t>los</w:t>
      </w:r>
      <w:r>
        <w:rPr>
          <w:spacing w:val="-16"/>
        </w:rPr>
        <w:t> </w:t>
      </w:r>
      <w:r>
        <w:rPr/>
        <w:t>asuntos</w:t>
      </w:r>
      <w:r>
        <w:rPr>
          <w:spacing w:val="-19"/>
        </w:rPr>
        <w:t> </w:t>
      </w:r>
      <w:r>
        <w:rPr/>
        <w:t>públicos</w:t>
      </w:r>
      <w:r>
        <w:rPr>
          <w:spacing w:val="-16"/>
        </w:rPr>
        <w:t> </w:t>
      </w:r>
      <w:r>
        <w:rPr/>
        <w:t>al</w:t>
      </w:r>
      <w:r>
        <w:rPr>
          <w:spacing w:val="-17"/>
        </w:rPr>
        <w:t> </w:t>
      </w:r>
      <w:r>
        <w:rPr/>
        <w:t>escrutinio público.</w:t>
      </w:r>
      <w:r>
        <w:rPr>
          <w:spacing w:val="-9"/>
        </w:rPr>
        <w:t> </w:t>
      </w:r>
      <w:r>
        <w:rPr/>
        <w:t>No</w:t>
      </w:r>
      <w:r>
        <w:rPr>
          <w:spacing w:val="-9"/>
        </w:rPr>
        <w:t> </w:t>
      </w:r>
      <w:r>
        <w:rPr/>
        <w:t>obstante,</w:t>
      </w:r>
      <w:r>
        <w:rPr>
          <w:spacing w:val="-9"/>
        </w:rPr>
        <w:t> </w:t>
      </w:r>
      <w:r>
        <w:rPr/>
        <w:t>pese</w:t>
      </w:r>
      <w:r>
        <w:rPr>
          <w:spacing w:val="-8"/>
        </w:rPr>
        <w:t> </w:t>
      </w:r>
      <w:r>
        <w:rPr/>
        <w:t>a</w:t>
      </w:r>
      <w:r>
        <w:rPr>
          <w:spacing w:val="-6"/>
        </w:rPr>
        <w:t> </w:t>
      </w:r>
      <w:r>
        <w:rPr/>
        <w:t>ser</w:t>
      </w:r>
      <w:r>
        <w:rPr>
          <w:spacing w:val="-10"/>
        </w:rPr>
        <w:t> </w:t>
      </w:r>
      <w:r>
        <w:rPr/>
        <w:t>un</w:t>
      </w:r>
      <w:r>
        <w:rPr>
          <w:spacing w:val="-8"/>
        </w:rPr>
        <w:t> </w:t>
      </w:r>
      <w:r>
        <w:rPr/>
        <w:t>mandato</w:t>
      </w:r>
      <w:r>
        <w:rPr>
          <w:spacing w:val="-8"/>
        </w:rPr>
        <w:t> </w:t>
      </w:r>
      <w:r>
        <w:rPr/>
        <w:t>de</w:t>
      </w:r>
      <w:r>
        <w:rPr>
          <w:spacing w:val="-6"/>
        </w:rPr>
        <w:t> </w:t>
      </w:r>
      <w:r>
        <w:rPr/>
        <w:t>rango</w:t>
      </w:r>
      <w:r>
        <w:rPr>
          <w:spacing w:val="-6"/>
        </w:rPr>
        <w:t> </w:t>
      </w:r>
      <w:r>
        <w:rPr/>
        <w:t>constitucional,</w:t>
      </w:r>
      <w:r>
        <w:rPr>
          <w:spacing w:val="-7"/>
        </w:rPr>
        <w:t> </w:t>
      </w:r>
      <w:r>
        <w:rPr/>
        <w:t>no</w:t>
      </w:r>
      <w:r>
        <w:rPr>
          <w:spacing w:val="-8"/>
        </w:rPr>
        <w:t> </w:t>
      </w:r>
      <w:r>
        <w:rPr/>
        <w:t>se</w:t>
      </w:r>
      <w:r>
        <w:rPr>
          <w:spacing w:val="-8"/>
        </w:rPr>
        <w:t> </w:t>
      </w:r>
      <w:r>
        <w:rPr/>
        <w:t>previó</w:t>
      </w:r>
      <w:r>
        <w:rPr>
          <w:spacing w:val="-6"/>
        </w:rPr>
        <w:t> </w:t>
      </w:r>
      <w:r>
        <w:rPr/>
        <w:t>la obligación de crear un control de archivos que permitiera tener a la mano toda la información que se genera en el gobierno. Tampoco, se previó el procedimiento a través del cual se entregaría esa información a los ciudadanos, ni los recursos necesarios para procesarla y ponerla a disposición de la</w:t>
      </w:r>
      <w:r>
        <w:rPr>
          <w:spacing w:val="-25"/>
        </w:rPr>
        <w:t> </w:t>
      </w:r>
      <w:r>
        <w:rPr/>
        <w:t>sociedad.</w:t>
      </w:r>
    </w:p>
    <w:p>
      <w:pPr>
        <w:pStyle w:val="BodyText"/>
      </w:pPr>
    </w:p>
    <w:p>
      <w:pPr>
        <w:pStyle w:val="BodyText"/>
      </w:pPr>
    </w:p>
    <w:p>
      <w:pPr>
        <w:pStyle w:val="BodyText"/>
        <w:spacing w:line="360" w:lineRule="auto" w:before="187"/>
        <w:ind w:left="128" w:right="116"/>
        <w:jc w:val="both"/>
      </w:pPr>
      <w:r>
        <w:rPr/>
        <w:t>Esta</w:t>
      </w:r>
      <w:r>
        <w:rPr>
          <w:spacing w:val="-4"/>
        </w:rPr>
        <w:t> </w:t>
      </w:r>
      <w:r>
        <w:rPr/>
        <w:t>acción</w:t>
      </w:r>
      <w:r>
        <w:rPr>
          <w:spacing w:val="-5"/>
        </w:rPr>
        <w:t> </w:t>
      </w:r>
      <w:r>
        <w:rPr/>
        <w:t>fue</w:t>
      </w:r>
      <w:r>
        <w:rPr>
          <w:spacing w:val="-5"/>
        </w:rPr>
        <w:t> </w:t>
      </w:r>
      <w:r>
        <w:rPr/>
        <w:t>complementada</w:t>
      </w:r>
      <w:r>
        <w:rPr>
          <w:spacing w:val="-5"/>
        </w:rPr>
        <w:t> </w:t>
      </w:r>
      <w:r>
        <w:rPr/>
        <w:t>con</w:t>
      </w:r>
      <w:r>
        <w:rPr>
          <w:spacing w:val="-5"/>
        </w:rPr>
        <w:t> </w:t>
      </w:r>
      <w:r>
        <w:rPr/>
        <w:t>la</w:t>
      </w:r>
      <w:r>
        <w:rPr>
          <w:spacing w:val="-5"/>
        </w:rPr>
        <w:t> </w:t>
      </w:r>
      <w:r>
        <w:rPr/>
        <w:t>creación</w:t>
      </w:r>
      <w:r>
        <w:rPr>
          <w:spacing w:val="-4"/>
        </w:rPr>
        <w:t> </w:t>
      </w:r>
      <w:r>
        <w:rPr/>
        <w:t>de</w:t>
      </w:r>
      <w:r>
        <w:rPr>
          <w:spacing w:val="-5"/>
        </w:rPr>
        <w:t> </w:t>
      </w:r>
      <w:r>
        <w:rPr/>
        <w:t>la</w:t>
      </w:r>
      <w:r>
        <w:rPr>
          <w:spacing w:val="-3"/>
        </w:rPr>
        <w:t> </w:t>
      </w:r>
      <w:r>
        <w:rPr/>
        <w:t>Ley</w:t>
      </w:r>
      <w:r>
        <w:rPr>
          <w:spacing w:val="-7"/>
        </w:rPr>
        <w:t> </w:t>
      </w:r>
      <w:r>
        <w:rPr/>
        <w:t>Federal</w:t>
      </w:r>
      <w:r>
        <w:rPr>
          <w:spacing w:val="-5"/>
        </w:rPr>
        <w:t> </w:t>
      </w:r>
      <w:r>
        <w:rPr/>
        <w:t>de</w:t>
      </w:r>
      <w:r>
        <w:rPr>
          <w:spacing w:val="-5"/>
        </w:rPr>
        <w:t> </w:t>
      </w:r>
      <w:r>
        <w:rPr/>
        <w:t>Transparencia y Acceso a la Información Pública Gubernamental aprobada el 11 de junio de 2002 y el Reglamento de la misma que fue publicado en el Diario Oficial de la Federación el día 11 de junio de 2003. A través de la cual se comenzó a dar precisión a la operatividad de la transparencia, definiendo a los que se consideran sujetos obligados, también clasificó el tipo de información que maneja el gobierno y determinó la creación del Instituto Nacional de Acceso a la Información y</w:t>
      </w:r>
      <w:r>
        <w:rPr>
          <w:spacing w:val="-34"/>
        </w:rPr>
        <w:t> </w:t>
      </w:r>
      <w:r>
        <w:rPr/>
        <w:t>Protección de Datos en 2003, encargado de promover, vigilar y garantizar la transparencia en las dependencias de la Administración Pública</w:t>
      </w:r>
      <w:r>
        <w:rPr>
          <w:spacing w:val="-16"/>
        </w:rPr>
        <w:t> </w:t>
      </w:r>
      <w:r>
        <w:rPr/>
        <w:t>Federal.</w:t>
      </w:r>
    </w:p>
    <w:p>
      <w:pPr>
        <w:pStyle w:val="BodyText"/>
      </w:pPr>
    </w:p>
    <w:p>
      <w:pPr>
        <w:pStyle w:val="BodyText"/>
      </w:pPr>
    </w:p>
    <w:p>
      <w:pPr>
        <w:pStyle w:val="BodyText"/>
        <w:spacing w:line="360" w:lineRule="auto" w:before="187"/>
        <w:ind w:left="128" w:right="115"/>
        <w:jc w:val="both"/>
      </w:pPr>
      <w:r>
        <w:rPr/>
        <w:t>A</w:t>
      </w:r>
      <w:r>
        <w:rPr>
          <w:spacing w:val="-4"/>
        </w:rPr>
        <w:t> </w:t>
      </w:r>
      <w:r>
        <w:rPr/>
        <w:t>estas</w:t>
      </w:r>
      <w:r>
        <w:rPr>
          <w:spacing w:val="-4"/>
        </w:rPr>
        <w:t> </w:t>
      </w:r>
      <w:r>
        <w:rPr/>
        <w:t>acciones</w:t>
      </w:r>
      <w:r>
        <w:rPr>
          <w:spacing w:val="-5"/>
        </w:rPr>
        <w:t> </w:t>
      </w:r>
      <w:r>
        <w:rPr/>
        <w:t>del</w:t>
      </w:r>
      <w:r>
        <w:rPr>
          <w:spacing w:val="-7"/>
        </w:rPr>
        <w:t> </w:t>
      </w:r>
      <w:r>
        <w:rPr/>
        <w:t>Gobierno</w:t>
      </w:r>
      <w:r>
        <w:rPr>
          <w:spacing w:val="-6"/>
        </w:rPr>
        <w:t> </w:t>
      </w:r>
      <w:r>
        <w:rPr/>
        <w:t>Federal</w:t>
      </w:r>
      <w:r>
        <w:rPr>
          <w:spacing w:val="-2"/>
        </w:rPr>
        <w:t> </w:t>
      </w:r>
      <w:r>
        <w:rPr/>
        <w:t>se</w:t>
      </w:r>
      <w:r>
        <w:rPr>
          <w:spacing w:val="-6"/>
        </w:rPr>
        <w:t> </w:t>
      </w:r>
      <w:r>
        <w:rPr/>
        <w:t>sumaron</w:t>
      </w:r>
      <w:r>
        <w:rPr>
          <w:spacing w:val="-4"/>
        </w:rPr>
        <w:t> </w:t>
      </w:r>
      <w:r>
        <w:rPr/>
        <w:t>las</w:t>
      </w:r>
      <w:r>
        <w:rPr>
          <w:spacing w:val="-6"/>
        </w:rPr>
        <w:t> </w:t>
      </w:r>
      <w:r>
        <w:rPr/>
        <w:t>entidades</w:t>
      </w:r>
      <w:r>
        <w:rPr>
          <w:spacing w:val="-7"/>
        </w:rPr>
        <w:t> </w:t>
      </w:r>
      <w:r>
        <w:rPr/>
        <w:t>federativas.</w:t>
      </w:r>
      <w:r>
        <w:rPr>
          <w:spacing w:val="-6"/>
        </w:rPr>
        <w:t> </w:t>
      </w:r>
      <w:r>
        <w:rPr/>
        <w:t>Tal</w:t>
      </w:r>
      <w:r>
        <w:rPr>
          <w:spacing w:val="-7"/>
        </w:rPr>
        <w:t> </w:t>
      </w:r>
      <w:r>
        <w:rPr/>
        <w:t>es el caso del Estado de México, que en el 2003 expidió la Ley de Transparencia y Acceso</w:t>
      </w:r>
      <w:r>
        <w:rPr>
          <w:spacing w:val="-8"/>
        </w:rPr>
        <w:t> </w:t>
      </w:r>
      <w:r>
        <w:rPr/>
        <w:t>a</w:t>
      </w:r>
      <w:r>
        <w:rPr>
          <w:spacing w:val="-8"/>
        </w:rPr>
        <w:t> </w:t>
      </w:r>
      <w:r>
        <w:rPr/>
        <w:t>la</w:t>
      </w:r>
      <w:r>
        <w:rPr>
          <w:spacing w:val="-9"/>
        </w:rPr>
        <w:t> </w:t>
      </w:r>
      <w:r>
        <w:rPr/>
        <w:t>Información</w:t>
      </w:r>
      <w:r>
        <w:rPr>
          <w:spacing w:val="-6"/>
        </w:rPr>
        <w:t> </w:t>
      </w:r>
      <w:r>
        <w:rPr/>
        <w:t>Pública</w:t>
      </w:r>
      <w:r>
        <w:rPr>
          <w:spacing w:val="-8"/>
        </w:rPr>
        <w:t> </w:t>
      </w:r>
      <w:r>
        <w:rPr/>
        <w:t>del</w:t>
      </w:r>
      <w:r>
        <w:rPr>
          <w:spacing w:val="-7"/>
        </w:rPr>
        <w:t> </w:t>
      </w:r>
      <w:r>
        <w:rPr/>
        <w:t>Estado</w:t>
      </w:r>
      <w:r>
        <w:rPr>
          <w:spacing w:val="-8"/>
        </w:rPr>
        <w:t> </w:t>
      </w:r>
      <w:r>
        <w:rPr/>
        <w:t>de</w:t>
      </w:r>
      <w:r>
        <w:rPr>
          <w:spacing w:val="-6"/>
        </w:rPr>
        <w:t> </w:t>
      </w:r>
      <w:r>
        <w:rPr/>
        <w:t>México</w:t>
      </w:r>
      <w:r>
        <w:rPr>
          <w:spacing w:val="-5"/>
        </w:rPr>
        <w:t> </w:t>
      </w:r>
      <w:r>
        <w:rPr/>
        <w:t>y</w:t>
      </w:r>
      <w:r>
        <w:rPr>
          <w:spacing w:val="-9"/>
        </w:rPr>
        <w:t> </w:t>
      </w:r>
      <w:r>
        <w:rPr/>
        <w:t>Municipios,</w:t>
      </w:r>
      <w:r>
        <w:rPr>
          <w:spacing w:val="-8"/>
        </w:rPr>
        <w:t> </w:t>
      </w:r>
      <w:r>
        <w:rPr/>
        <w:t>un</w:t>
      </w:r>
      <w:r>
        <w:rPr>
          <w:spacing w:val="-8"/>
        </w:rPr>
        <w:t> </w:t>
      </w:r>
      <w:r>
        <w:rPr/>
        <w:t>año</w:t>
      </w:r>
      <w:r>
        <w:rPr>
          <w:spacing w:val="-8"/>
        </w:rPr>
        <w:t> </w:t>
      </w:r>
      <w:r>
        <w:rPr/>
        <w:t>después se creó el Instituto de Transparencia, Acceso a la Información Pública y Protección de Datos Personales del Estado de México y Municipios. En los gobiernos municipales se crearon Unidades de Información. Asimismo, los portales web han permitido</w:t>
      </w:r>
      <w:r>
        <w:rPr>
          <w:spacing w:val="-9"/>
        </w:rPr>
        <w:t> </w:t>
      </w:r>
      <w:r>
        <w:rPr/>
        <w:t>poner</w:t>
      </w:r>
      <w:r>
        <w:rPr>
          <w:spacing w:val="-13"/>
        </w:rPr>
        <w:t> </w:t>
      </w:r>
      <w:r>
        <w:rPr/>
        <w:t>a</w:t>
      </w:r>
      <w:r>
        <w:rPr>
          <w:spacing w:val="-9"/>
        </w:rPr>
        <w:t> </w:t>
      </w:r>
      <w:r>
        <w:rPr/>
        <w:t>disposición</w:t>
      </w:r>
      <w:r>
        <w:rPr>
          <w:spacing w:val="-9"/>
        </w:rPr>
        <w:t> </w:t>
      </w:r>
      <w:r>
        <w:rPr/>
        <w:t>de</w:t>
      </w:r>
      <w:r>
        <w:rPr>
          <w:spacing w:val="-9"/>
        </w:rPr>
        <w:t> </w:t>
      </w:r>
      <w:r>
        <w:rPr/>
        <w:t>la</w:t>
      </w:r>
      <w:r>
        <w:rPr>
          <w:spacing w:val="-10"/>
        </w:rPr>
        <w:t> </w:t>
      </w:r>
      <w:r>
        <w:rPr/>
        <w:t>sociedad</w:t>
      </w:r>
      <w:r>
        <w:rPr>
          <w:spacing w:val="-9"/>
        </w:rPr>
        <w:t> </w:t>
      </w:r>
      <w:r>
        <w:rPr/>
        <w:t>la</w:t>
      </w:r>
      <w:r>
        <w:rPr>
          <w:spacing w:val="-7"/>
        </w:rPr>
        <w:t> </w:t>
      </w:r>
      <w:r>
        <w:rPr/>
        <w:t>información</w:t>
      </w:r>
      <w:r>
        <w:rPr>
          <w:spacing w:val="-9"/>
        </w:rPr>
        <w:t> </w:t>
      </w:r>
      <w:r>
        <w:rPr/>
        <w:t>que</w:t>
      </w:r>
      <w:r>
        <w:rPr>
          <w:spacing w:val="-9"/>
        </w:rPr>
        <w:t> </w:t>
      </w:r>
      <w:r>
        <w:rPr/>
        <w:t>se</w:t>
      </w:r>
      <w:r>
        <w:rPr>
          <w:spacing w:val="-9"/>
        </w:rPr>
        <w:t> </w:t>
      </w:r>
      <w:r>
        <w:rPr/>
        <w:t>considera</w:t>
      </w:r>
      <w:r>
        <w:rPr>
          <w:spacing w:val="-12"/>
        </w:rPr>
        <w:t> </w:t>
      </w:r>
      <w:r>
        <w:rPr/>
        <w:t>pública de</w:t>
      </w:r>
      <w:r>
        <w:rPr>
          <w:spacing w:val="-4"/>
        </w:rPr>
        <w:t> </w:t>
      </w:r>
      <w:r>
        <w:rPr/>
        <w:t>oficio.</w:t>
      </w:r>
      <w:r>
        <w:rPr>
          <w:spacing w:val="-4"/>
        </w:rPr>
        <w:t> </w:t>
      </w:r>
      <w:r>
        <w:rPr/>
        <w:t>Con</w:t>
      </w:r>
      <w:r>
        <w:rPr>
          <w:spacing w:val="-4"/>
        </w:rPr>
        <w:t> </w:t>
      </w:r>
      <w:r>
        <w:rPr/>
        <w:t>todas</w:t>
      </w:r>
      <w:r>
        <w:rPr>
          <w:spacing w:val="-4"/>
        </w:rPr>
        <w:t> </w:t>
      </w:r>
      <w:r>
        <w:rPr/>
        <w:t>estas</w:t>
      </w:r>
      <w:r>
        <w:rPr>
          <w:spacing w:val="-4"/>
        </w:rPr>
        <w:t> </w:t>
      </w:r>
      <w:r>
        <w:rPr/>
        <w:t>acciones</w:t>
      </w:r>
      <w:r>
        <w:rPr>
          <w:spacing w:val="-4"/>
        </w:rPr>
        <w:t> </w:t>
      </w:r>
      <w:r>
        <w:rPr/>
        <w:t>se</w:t>
      </w:r>
      <w:r>
        <w:rPr>
          <w:spacing w:val="-4"/>
        </w:rPr>
        <w:t> </w:t>
      </w:r>
      <w:r>
        <w:rPr/>
        <w:t>percibe</w:t>
      </w:r>
      <w:r>
        <w:rPr>
          <w:spacing w:val="-4"/>
        </w:rPr>
        <w:t> </w:t>
      </w:r>
      <w:r>
        <w:rPr/>
        <w:t>cómo</w:t>
      </w:r>
      <w:r>
        <w:rPr>
          <w:spacing w:val="-4"/>
        </w:rPr>
        <w:t> </w:t>
      </w:r>
      <w:r>
        <w:rPr/>
        <w:t>el</w:t>
      </w:r>
      <w:r>
        <w:rPr>
          <w:spacing w:val="-5"/>
        </w:rPr>
        <w:t> </w:t>
      </w:r>
      <w:r>
        <w:rPr/>
        <w:t>Estado</w:t>
      </w:r>
      <w:r>
        <w:rPr>
          <w:spacing w:val="-6"/>
        </w:rPr>
        <w:t> </w:t>
      </w:r>
      <w:r>
        <w:rPr/>
        <w:t>ha</w:t>
      </w:r>
      <w:r>
        <w:rPr>
          <w:spacing w:val="-4"/>
        </w:rPr>
        <w:t> </w:t>
      </w:r>
      <w:r>
        <w:rPr/>
        <w:t>realizado</w:t>
      </w:r>
      <w:r>
        <w:rPr>
          <w:spacing w:val="-4"/>
        </w:rPr>
        <w:t> </w:t>
      </w:r>
      <w:r>
        <w:rPr/>
        <w:t>algunas</w:t>
      </w:r>
    </w:p>
    <w:p>
      <w:pPr>
        <w:spacing w:after="0" w:line="360" w:lineRule="auto"/>
        <w:jc w:val="both"/>
        <w:sectPr>
          <w:pgSz w:w="12240" w:h="15840"/>
          <w:pgMar w:header="0" w:footer="1035" w:top="1360" w:bottom="1220" w:left="1480" w:right="1580"/>
        </w:sectPr>
      </w:pPr>
    </w:p>
    <w:p>
      <w:pPr>
        <w:pStyle w:val="BodyText"/>
        <w:spacing w:line="360" w:lineRule="auto" w:before="54"/>
        <w:ind w:left="108" w:right="114"/>
        <w:jc w:val="both"/>
      </w:pPr>
      <w:r>
        <w:rPr/>
        <w:t>acciones a favor de la transparencia construyendo con ello una fachada legal que permite a los gobernantes usar un discurso sobre la transparencia. Sin embargo, al igual que en una casa solamente se está mostrando la parte superficial de la</w:t>
      </w:r>
      <w:r>
        <w:rPr>
          <w:spacing w:val="-33"/>
        </w:rPr>
        <w:t> </w:t>
      </w:r>
      <w:r>
        <w:rPr/>
        <w:t>misma (ver figuras 3 y</w:t>
      </w:r>
      <w:r>
        <w:rPr>
          <w:spacing w:val="-6"/>
        </w:rPr>
        <w:t> </w:t>
      </w:r>
      <w:r>
        <w:rPr/>
        <w:t>4).</w:t>
      </w:r>
    </w:p>
    <w:p>
      <w:pPr>
        <w:pStyle w:val="BodyText"/>
        <w:rPr>
          <w:sz w:val="20"/>
        </w:rPr>
      </w:pPr>
    </w:p>
    <w:p>
      <w:pPr>
        <w:pStyle w:val="BodyText"/>
        <w:spacing w:before="9"/>
        <w:rPr>
          <w:sz w:val="19"/>
        </w:rPr>
      </w:pPr>
    </w:p>
    <w:p>
      <w:pPr>
        <w:tabs>
          <w:tab w:pos="5286" w:val="left" w:leader="none"/>
        </w:tabs>
        <w:spacing w:before="77" w:after="10"/>
        <w:ind w:left="689" w:right="6" w:firstLine="0"/>
        <w:jc w:val="left"/>
        <w:rPr>
          <w:sz w:val="16"/>
        </w:rPr>
      </w:pPr>
      <w:r>
        <w:rPr>
          <w:position w:val="3"/>
          <w:sz w:val="16"/>
        </w:rPr>
        <w:t>Figura 4.1. Fachada de</w:t>
      </w:r>
      <w:r>
        <w:rPr>
          <w:spacing w:val="-7"/>
          <w:position w:val="3"/>
          <w:sz w:val="16"/>
        </w:rPr>
        <w:t> </w:t>
      </w:r>
      <w:r>
        <w:rPr>
          <w:position w:val="3"/>
          <w:sz w:val="16"/>
        </w:rPr>
        <w:t>la</w:t>
      </w:r>
      <w:r>
        <w:rPr>
          <w:spacing w:val="-4"/>
          <w:position w:val="3"/>
          <w:sz w:val="16"/>
        </w:rPr>
        <w:t> </w:t>
      </w:r>
      <w:r>
        <w:rPr>
          <w:position w:val="3"/>
          <w:sz w:val="16"/>
        </w:rPr>
        <w:t>transparencia</w:t>
        <w:tab/>
      </w:r>
      <w:r>
        <w:rPr>
          <w:sz w:val="16"/>
        </w:rPr>
        <w:t>Figura 4.2  Trasfondo de la</w:t>
      </w:r>
      <w:r>
        <w:rPr>
          <w:spacing w:val="-14"/>
          <w:sz w:val="16"/>
        </w:rPr>
        <w:t> </w:t>
      </w:r>
      <w:r>
        <w:rPr>
          <w:sz w:val="16"/>
        </w:rPr>
        <w:t>transparencia.</w:t>
      </w:r>
    </w:p>
    <w:p>
      <w:pPr>
        <w:tabs>
          <w:tab w:pos="4419" w:val="left" w:leader="none"/>
        </w:tabs>
        <w:spacing w:line="240" w:lineRule="auto"/>
        <w:ind w:left="102" w:right="0" w:firstLine="0"/>
        <w:rPr>
          <w:sz w:val="20"/>
        </w:rPr>
      </w:pPr>
      <w:r>
        <w:rPr>
          <w:sz w:val="20"/>
        </w:rPr>
        <w:drawing>
          <wp:inline distT="0" distB="0" distL="0" distR="0">
            <wp:extent cx="2466974" cy="1847850"/>
            <wp:effectExtent l="0" t="0" r="0" b="0"/>
            <wp:docPr id="31" name="image72.jpeg" descr=""/>
            <wp:cNvGraphicFramePr>
              <a:graphicFrameLocks noChangeAspect="1"/>
            </wp:cNvGraphicFramePr>
            <a:graphic>
              <a:graphicData uri="http://schemas.openxmlformats.org/drawingml/2006/picture">
                <pic:pic>
                  <pic:nvPicPr>
                    <pic:cNvPr id="32" name="image72.jpeg"/>
                    <pic:cNvPicPr/>
                  </pic:nvPicPr>
                  <pic:blipFill>
                    <a:blip r:embed="rId134" cstate="print"/>
                    <a:stretch>
                      <a:fillRect/>
                    </a:stretch>
                  </pic:blipFill>
                  <pic:spPr>
                    <a:xfrm>
                      <a:off x="0" y="0"/>
                      <a:ext cx="2466974" cy="1847850"/>
                    </a:xfrm>
                    <a:prstGeom prst="rect">
                      <a:avLst/>
                    </a:prstGeom>
                  </pic:spPr>
                </pic:pic>
              </a:graphicData>
            </a:graphic>
          </wp:inline>
        </w:drawing>
      </w:r>
      <w:r>
        <w:rPr>
          <w:sz w:val="20"/>
        </w:rPr>
      </w:r>
      <w:r>
        <w:rPr>
          <w:sz w:val="20"/>
        </w:rPr>
        <w:tab/>
      </w:r>
      <w:r>
        <w:rPr>
          <w:sz w:val="20"/>
        </w:rPr>
        <w:drawing>
          <wp:inline distT="0" distB="0" distL="0" distR="0">
            <wp:extent cx="2912745" cy="1896427"/>
            <wp:effectExtent l="0" t="0" r="0" b="0"/>
            <wp:docPr id="33" name="image73.jpeg" descr=""/>
            <wp:cNvGraphicFramePr>
              <a:graphicFrameLocks noChangeAspect="1"/>
            </wp:cNvGraphicFramePr>
            <a:graphic>
              <a:graphicData uri="http://schemas.openxmlformats.org/drawingml/2006/picture">
                <pic:pic>
                  <pic:nvPicPr>
                    <pic:cNvPr id="34" name="image73.jpeg"/>
                    <pic:cNvPicPr/>
                  </pic:nvPicPr>
                  <pic:blipFill>
                    <a:blip r:embed="rId135" cstate="print"/>
                    <a:stretch>
                      <a:fillRect/>
                    </a:stretch>
                  </pic:blipFill>
                  <pic:spPr>
                    <a:xfrm>
                      <a:off x="0" y="0"/>
                      <a:ext cx="2912745" cy="1896427"/>
                    </a:xfrm>
                    <a:prstGeom prst="rect">
                      <a:avLst/>
                    </a:prstGeom>
                  </pic:spPr>
                </pic:pic>
              </a:graphicData>
            </a:graphic>
          </wp:inline>
        </w:drawing>
      </w:r>
      <w:r>
        <w:rPr>
          <w:sz w:val="20"/>
        </w:rPr>
      </w:r>
    </w:p>
    <w:p>
      <w:pPr>
        <w:pStyle w:val="BodyText"/>
        <w:rPr>
          <w:sz w:val="18"/>
        </w:rPr>
      </w:pPr>
    </w:p>
    <w:p>
      <w:pPr>
        <w:pStyle w:val="BodyText"/>
        <w:spacing w:before="10"/>
        <w:rPr>
          <w:sz w:val="19"/>
        </w:rPr>
      </w:pPr>
    </w:p>
    <w:p>
      <w:pPr>
        <w:pStyle w:val="BodyText"/>
        <w:spacing w:line="360" w:lineRule="auto"/>
        <w:ind w:left="108" w:right="116"/>
        <w:jc w:val="both"/>
      </w:pPr>
      <w:r>
        <w:rPr/>
        <w:t>Con las figuras anteriores se puede ejemplificar la situación que guarda la transparencia en México. Ya que durante los procesos políticos de campaña todos los</w:t>
      </w:r>
      <w:r>
        <w:rPr>
          <w:spacing w:val="-12"/>
        </w:rPr>
        <w:t> </w:t>
      </w:r>
      <w:r>
        <w:rPr/>
        <w:t>candidatos</w:t>
      </w:r>
      <w:r>
        <w:rPr>
          <w:spacing w:val="-15"/>
        </w:rPr>
        <w:t> </w:t>
      </w:r>
      <w:r>
        <w:rPr/>
        <w:t>hablan</w:t>
      </w:r>
      <w:r>
        <w:rPr>
          <w:spacing w:val="-16"/>
        </w:rPr>
        <w:t> </w:t>
      </w:r>
      <w:r>
        <w:rPr/>
        <w:t>de</w:t>
      </w:r>
      <w:r>
        <w:rPr>
          <w:spacing w:val="-12"/>
        </w:rPr>
        <w:t> </w:t>
      </w:r>
      <w:r>
        <w:rPr/>
        <w:t>que</w:t>
      </w:r>
      <w:r>
        <w:rPr>
          <w:spacing w:val="-14"/>
        </w:rPr>
        <w:t> </w:t>
      </w:r>
      <w:r>
        <w:rPr/>
        <w:t>su</w:t>
      </w:r>
      <w:r>
        <w:rPr>
          <w:spacing w:val="-14"/>
        </w:rPr>
        <w:t> </w:t>
      </w:r>
      <w:r>
        <w:rPr/>
        <w:t>gobierno</w:t>
      </w:r>
      <w:r>
        <w:rPr>
          <w:spacing w:val="-12"/>
        </w:rPr>
        <w:t> </w:t>
      </w:r>
      <w:r>
        <w:rPr/>
        <w:t>será</w:t>
      </w:r>
      <w:r>
        <w:rPr>
          <w:spacing w:val="-12"/>
        </w:rPr>
        <w:t> </w:t>
      </w:r>
      <w:r>
        <w:rPr/>
        <w:t>transparente,</w:t>
      </w:r>
      <w:r>
        <w:rPr>
          <w:spacing w:val="-14"/>
        </w:rPr>
        <w:t> </w:t>
      </w:r>
      <w:r>
        <w:rPr/>
        <w:t>mejorar</w:t>
      </w:r>
      <w:r>
        <w:rPr>
          <w:spacing w:val="-13"/>
        </w:rPr>
        <w:t> </w:t>
      </w:r>
      <w:r>
        <w:rPr/>
        <w:t>las</w:t>
      </w:r>
      <w:r>
        <w:rPr>
          <w:spacing w:val="-12"/>
        </w:rPr>
        <w:t> </w:t>
      </w:r>
      <w:r>
        <w:rPr/>
        <w:t>condiciones de vida de los ciudadanos, acabar con la corrupción, el desempleo y las injusticias. No obstante, en la práctica no sucede</w:t>
      </w:r>
      <w:r>
        <w:rPr>
          <w:spacing w:val="-18"/>
        </w:rPr>
        <w:t> </w:t>
      </w:r>
      <w:r>
        <w:rPr/>
        <w:t>así.</w:t>
      </w:r>
    </w:p>
    <w:p>
      <w:pPr>
        <w:pStyle w:val="BodyText"/>
      </w:pPr>
    </w:p>
    <w:p>
      <w:pPr>
        <w:pStyle w:val="BodyText"/>
      </w:pPr>
    </w:p>
    <w:p>
      <w:pPr>
        <w:pStyle w:val="BodyText"/>
        <w:spacing w:line="360" w:lineRule="auto" w:before="185"/>
        <w:ind w:left="108" w:right="118"/>
        <w:jc w:val="both"/>
      </w:pPr>
      <w:r>
        <w:rPr/>
        <w:t>En lo que respecta a la transparencia, el gobierno ha creado mecanismos que le permiten cumplir con la ley, publicando información de interés común a la que se</w:t>
      </w:r>
      <w:r>
        <w:rPr>
          <w:spacing w:val="-33"/>
        </w:rPr>
        <w:t> </w:t>
      </w:r>
      <w:r>
        <w:rPr/>
        <w:t>ha llamado pública de oficio; pero con la información que puede poner en riesgo la gobernabilidad, la han clasificado como reservada y confidencial. De modo tal que cuando un usuario necesita información básica del gobierno la puede obtener fácilmente</w:t>
      </w:r>
      <w:r>
        <w:rPr>
          <w:spacing w:val="-10"/>
        </w:rPr>
        <w:t> </w:t>
      </w:r>
      <w:r>
        <w:rPr/>
        <w:t>de</w:t>
      </w:r>
      <w:r>
        <w:rPr>
          <w:spacing w:val="-9"/>
        </w:rPr>
        <w:t> </w:t>
      </w:r>
      <w:r>
        <w:rPr/>
        <w:t>la</w:t>
      </w:r>
      <w:r>
        <w:rPr>
          <w:spacing w:val="-9"/>
        </w:rPr>
        <w:t> </w:t>
      </w:r>
      <w:r>
        <w:rPr/>
        <w:t>página</w:t>
      </w:r>
      <w:r>
        <w:rPr>
          <w:spacing w:val="-9"/>
        </w:rPr>
        <w:t> </w:t>
      </w:r>
      <w:r>
        <w:rPr/>
        <w:t>web</w:t>
      </w:r>
      <w:r>
        <w:rPr>
          <w:spacing w:val="-6"/>
        </w:rPr>
        <w:t> </w:t>
      </w:r>
      <w:r>
        <w:rPr/>
        <w:t>(nivel</w:t>
      </w:r>
      <w:r>
        <w:rPr>
          <w:spacing w:val="-10"/>
        </w:rPr>
        <w:t> </w:t>
      </w:r>
      <w:r>
        <w:rPr/>
        <w:t>1).</w:t>
      </w:r>
      <w:r>
        <w:rPr>
          <w:spacing w:val="-10"/>
        </w:rPr>
        <w:t> </w:t>
      </w:r>
      <w:r>
        <w:rPr/>
        <w:t>Sino</w:t>
      </w:r>
      <w:r>
        <w:rPr>
          <w:spacing w:val="-9"/>
        </w:rPr>
        <w:t> </w:t>
      </w:r>
      <w:r>
        <w:rPr/>
        <w:t>la</w:t>
      </w:r>
      <w:r>
        <w:rPr>
          <w:spacing w:val="-11"/>
        </w:rPr>
        <w:t> </w:t>
      </w:r>
      <w:r>
        <w:rPr/>
        <w:t>encuentra</w:t>
      </w:r>
      <w:r>
        <w:rPr>
          <w:spacing w:val="-10"/>
        </w:rPr>
        <w:t> </w:t>
      </w:r>
      <w:r>
        <w:rPr/>
        <w:t>puede</w:t>
      </w:r>
      <w:r>
        <w:rPr>
          <w:spacing w:val="-11"/>
        </w:rPr>
        <w:t> </w:t>
      </w:r>
      <w:r>
        <w:rPr/>
        <w:t>hacer</w:t>
      </w:r>
      <w:r>
        <w:rPr>
          <w:spacing w:val="-12"/>
        </w:rPr>
        <w:t> </w:t>
      </w:r>
      <w:r>
        <w:rPr/>
        <w:t>uso</w:t>
      </w:r>
      <w:r>
        <w:rPr>
          <w:spacing w:val="-9"/>
        </w:rPr>
        <w:t> </w:t>
      </w:r>
      <w:r>
        <w:rPr/>
        <w:t>del</w:t>
      </w:r>
      <w:r>
        <w:rPr>
          <w:spacing w:val="-10"/>
        </w:rPr>
        <w:t> </w:t>
      </w:r>
      <w:r>
        <w:rPr/>
        <w:t>sistema IPOMEX</w:t>
      </w:r>
      <w:r>
        <w:rPr>
          <w:spacing w:val="-7"/>
        </w:rPr>
        <w:t> </w:t>
      </w:r>
      <w:r>
        <w:rPr/>
        <w:t>para</w:t>
      </w:r>
      <w:r>
        <w:rPr>
          <w:spacing w:val="-8"/>
        </w:rPr>
        <w:t> </w:t>
      </w:r>
      <w:r>
        <w:rPr/>
        <w:t>solicitarla</w:t>
      </w:r>
      <w:r>
        <w:rPr>
          <w:spacing w:val="-3"/>
        </w:rPr>
        <w:t> </w:t>
      </w:r>
      <w:r>
        <w:rPr/>
        <w:t>(nivel</w:t>
      </w:r>
      <w:r>
        <w:rPr>
          <w:spacing w:val="-6"/>
        </w:rPr>
        <w:t> </w:t>
      </w:r>
      <w:r>
        <w:rPr/>
        <w:t>2),</w:t>
      </w:r>
      <w:r>
        <w:rPr>
          <w:spacing w:val="-7"/>
        </w:rPr>
        <w:t> </w:t>
      </w:r>
      <w:r>
        <w:rPr/>
        <w:t>en</w:t>
      </w:r>
      <w:r>
        <w:rPr>
          <w:spacing w:val="-7"/>
        </w:rPr>
        <w:t> </w:t>
      </w:r>
      <w:r>
        <w:rPr/>
        <w:t>caso</w:t>
      </w:r>
      <w:r>
        <w:rPr>
          <w:spacing w:val="-7"/>
        </w:rPr>
        <w:t> </w:t>
      </w:r>
      <w:r>
        <w:rPr/>
        <w:t>de</w:t>
      </w:r>
      <w:r>
        <w:rPr>
          <w:spacing w:val="-9"/>
        </w:rPr>
        <w:t> </w:t>
      </w:r>
      <w:r>
        <w:rPr/>
        <w:t>que</w:t>
      </w:r>
      <w:r>
        <w:rPr>
          <w:spacing w:val="-5"/>
        </w:rPr>
        <w:t> </w:t>
      </w:r>
      <w:r>
        <w:rPr/>
        <w:t>no</w:t>
      </w:r>
      <w:r>
        <w:rPr>
          <w:spacing w:val="-5"/>
        </w:rPr>
        <w:t> </w:t>
      </w:r>
      <w:r>
        <w:rPr/>
        <w:t>se</w:t>
      </w:r>
      <w:r>
        <w:rPr>
          <w:spacing w:val="-5"/>
        </w:rPr>
        <w:t> </w:t>
      </w:r>
      <w:r>
        <w:rPr/>
        <w:t>la</w:t>
      </w:r>
      <w:r>
        <w:rPr>
          <w:spacing w:val="-7"/>
        </w:rPr>
        <w:t> </w:t>
      </w:r>
      <w:r>
        <w:rPr/>
        <w:t>proporcionen</w:t>
      </w:r>
      <w:r>
        <w:rPr>
          <w:spacing w:val="-7"/>
        </w:rPr>
        <w:t> </w:t>
      </w:r>
      <w:r>
        <w:rPr/>
        <w:t>debe</w:t>
      </w:r>
      <w:r>
        <w:rPr>
          <w:spacing w:val="-7"/>
        </w:rPr>
        <w:t> </w:t>
      </w:r>
      <w:r>
        <w:rPr/>
        <w:t>utilizar un recurso de inconformidad (nivel 3), si incluso así se la niegan, la última opción</w:t>
      </w:r>
      <w:r>
        <w:rPr>
          <w:spacing w:val="-43"/>
        </w:rPr>
        <w:t> </w:t>
      </w:r>
      <w:r>
        <w:rPr/>
        <w:t>es un amparo (4). De modo tal que la información se presenta en diferentes niveles de confidencialidad, tal como se ejemplifica a</w:t>
      </w:r>
      <w:r>
        <w:rPr>
          <w:spacing w:val="-18"/>
        </w:rPr>
        <w:t> </w:t>
      </w:r>
      <w:r>
        <w:rPr/>
        <w:t>continuación:</w:t>
      </w:r>
    </w:p>
    <w:p>
      <w:pPr>
        <w:spacing w:after="0" w:line="360" w:lineRule="auto"/>
        <w:jc w:val="both"/>
        <w:sectPr>
          <w:pgSz w:w="12240" w:h="15840"/>
          <w:pgMar w:header="0" w:footer="1035" w:top="1360" w:bottom="1220" w:left="1500" w:right="1580"/>
        </w:sectPr>
      </w:pPr>
    </w:p>
    <w:p>
      <w:pPr>
        <w:spacing w:line="244" w:lineRule="auto" w:before="140"/>
        <w:ind w:left="2393" w:right="4075" w:firstLine="7"/>
        <w:jc w:val="left"/>
        <w:rPr>
          <w:sz w:val="16"/>
        </w:rPr>
      </w:pPr>
      <w:r>
        <w:rPr/>
        <w:pict>
          <v:group style="position:absolute;margin-left:136.550003pt;margin-top:26.713928pt;width:302.8pt;height:193.05pt;mso-position-horizontal-relative:page;mso-position-vertical-relative:paragraph;z-index:8320" coordorigin="2731,534" coordsize="6056,3861">
            <v:shape style="position:absolute;left:2741;top:544;width:5655;height:3840" coordorigin="2741,544" coordsize="5655,3840" path="m2741,1504l3701,544,8396,544,8396,3424,7436,4384,2741,4384,2741,1504xm2741,1504l7436,1504,8396,544m7436,1504l7436,4384e" filled="false" stroked="true" strokeweight="1pt" strokecolor="#000000">
              <v:path arrowok="t"/>
            </v:shape>
            <v:shape style="position:absolute;left:4190;top:1500;width:589;height:2894" type="#_x0000_t75" stroked="false">
              <v:imagedata r:id="rId136" o:title=""/>
            </v:shape>
            <v:shape style="position:absolute;left:2737;top:1495;width:853;height:2894" type="#_x0000_t75" stroked="false">
              <v:imagedata r:id="rId137" o:title=""/>
            </v:shape>
            <v:shape style="position:absolute;left:7107;top:559;width:1680;height:3833" type="#_x0000_t75" stroked="false">
              <v:imagedata r:id="rId138" o:title=""/>
            </v:shape>
            <v:shape style="position:absolute;left:5425;top:1502;width:888;height:2893" type="#_x0000_t75" stroked="false">
              <v:imagedata r:id="rId139" o:title=""/>
            </v:shape>
            <v:shape style="position:absolute;left:4692;top:1534;width:629;height:2850" type="#_x0000_t75" stroked="false">
              <v:imagedata r:id="rId140" o:title=""/>
            </v:shape>
            <v:shape style="position:absolute;left:3462;top:1519;width:585;height:2865" type="#_x0000_t75" stroked="false">
              <v:imagedata r:id="rId141" o:title=""/>
            </v:shape>
            <v:shape style="position:absolute;left:4197;top:544;width:2910;height:3833" coordorigin="4197,544" coordsize="2910,3833" path="m6402,1501l7107,559m5427,1486l6132,544m4197,1501l4902,559m5427,1504l5427,4377m4203,1500l4203,4373e" filled="false" stroked="true" strokeweight=".5pt" strokecolor="#000000">
              <v:path arrowok="t"/>
            </v:shape>
            <v:shape style="position:absolute;left:6397;top:1498;width:549;height:2893" type="#_x0000_t75" stroked="false">
              <v:imagedata r:id="rId142" o:title=""/>
            </v:shape>
            <w10:wrap type="none"/>
          </v:group>
        </w:pict>
      </w:r>
      <w:r>
        <w:rPr>
          <w:sz w:val="16"/>
        </w:rPr>
        <w:t>Figura4.3 Niveles de confidencialidad de la información que manejan los gobiernos municipales en el Estado de México.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360" w:lineRule="auto" w:before="197"/>
        <w:ind w:left="108" w:right="1696"/>
        <w:jc w:val="both"/>
      </w:pPr>
      <w:r>
        <w:rPr/>
        <w:pict>
          <v:shape style="position:absolute;margin-left:150.455063pt;margin-top:-157.511215pt;width:10.050pt;height:120.75pt;mso-position-horizontal-relative:page;mso-position-vertical-relative:paragraph;z-index:8344" type="#_x0000_t202" filled="false" stroked="false">
            <v:textbox inset="0,0,0,0" style="layout-flow:vertical;mso-layout-flow-alt:bottom-to-top">
              <w:txbxContent>
                <w:p>
                  <w:pPr>
                    <w:spacing w:before="0"/>
                    <w:ind w:left="20" w:right="0" w:firstLine="0"/>
                    <w:jc w:val="left"/>
                    <w:rPr>
                      <w:sz w:val="16"/>
                    </w:rPr>
                  </w:pPr>
                  <w:r>
                    <w:rPr>
                      <w:b/>
                      <w:spacing w:val="-1"/>
                      <w:w w:val="100"/>
                      <w:sz w:val="16"/>
                    </w:rPr>
                    <w:t>N</w:t>
                  </w:r>
                  <w:r>
                    <w:rPr>
                      <w:b/>
                      <w:w w:val="100"/>
                      <w:sz w:val="16"/>
                    </w:rPr>
                    <w:t>i</w:t>
                  </w:r>
                  <w:r>
                    <w:rPr>
                      <w:b/>
                      <w:spacing w:val="-1"/>
                      <w:w w:val="100"/>
                      <w:sz w:val="16"/>
                    </w:rPr>
                    <w:t>ve</w:t>
                  </w:r>
                  <w:r>
                    <w:rPr>
                      <w:b/>
                      <w:w w:val="100"/>
                      <w:sz w:val="16"/>
                    </w:rPr>
                    <w:t>l</w:t>
                  </w:r>
                  <w:r>
                    <w:rPr>
                      <w:b/>
                      <w:spacing w:val="2"/>
                      <w:sz w:val="16"/>
                    </w:rPr>
                    <w:t> </w:t>
                  </w:r>
                  <w:r>
                    <w:rPr>
                      <w:b/>
                      <w:spacing w:val="-3"/>
                      <w:w w:val="100"/>
                      <w:sz w:val="16"/>
                    </w:rPr>
                    <w:t>4</w:t>
                  </w:r>
                  <w:r>
                    <w:rPr>
                      <w:b/>
                      <w:w w:val="100"/>
                      <w:sz w:val="16"/>
                    </w:rPr>
                    <w:t>.</w:t>
                  </w:r>
                  <w:r>
                    <w:rPr>
                      <w:b/>
                      <w:spacing w:val="2"/>
                      <w:sz w:val="16"/>
                    </w:rPr>
                    <w:t> </w:t>
                  </w:r>
                  <w:r>
                    <w:rPr>
                      <w:w w:val="100"/>
                      <w:sz w:val="16"/>
                    </w:rPr>
                    <w:t>I</w:t>
                  </w:r>
                  <w:r>
                    <w:rPr>
                      <w:spacing w:val="-4"/>
                      <w:w w:val="100"/>
                      <w:sz w:val="16"/>
                    </w:rPr>
                    <w:t>n</w:t>
                  </w:r>
                  <w:r>
                    <w:rPr>
                      <w:w w:val="100"/>
                      <w:sz w:val="16"/>
                    </w:rPr>
                    <w:t>f</w:t>
                  </w:r>
                  <w:r>
                    <w:rPr>
                      <w:spacing w:val="-1"/>
                      <w:w w:val="100"/>
                      <w:sz w:val="16"/>
                    </w:rPr>
                    <w:t>o</w:t>
                  </w:r>
                  <w:r>
                    <w:rPr>
                      <w:spacing w:val="-4"/>
                      <w:w w:val="100"/>
                      <w:sz w:val="16"/>
                    </w:rPr>
                    <w:t>r</w:t>
                  </w:r>
                  <w:r>
                    <w:rPr>
                      <w:spacing w:val="2"/>
                      <w:w w:val="100"/>
                      <w:sz w:val="16"/>
                    </w:rPr>
                    <w:t>m</w:t>
                  </w:r>
                  <w:r>
                    <w:rPr>
                      <w:spacing w:val="-4"/>
                      <w:w w:val="100"/>
                      <w:sz w:val="16"/>
                    </w:rPr>
                    <w:t>a</w:t>
                  </w:r>
                  <w:r>
                    <w:rPr>
                      <w:w w:val="100"/>
                      <w:sz w:val="16"/>
                    </w:rPr>
                    <w:t>c</w:t>
                  </w:r>
                  <w:r>
                    <w:rPr>
                      <w:w w:val="100"/>
                      <w:sz w:val="16"/>
                    </w:rPr>
                    <w:t>ión</w:t>
                  </w:r>
                  <w:r>
                    <w:rPr>
                      <w:spacing w:val="-2"/>
                      <w:sz w:val="16"/>
                    </w:rPr>
                    <w:t> </w:t>
                  </w:r>
                  <w:r>
                    <w:rPr>
                      <w:w w:val="100"/>
                      <w:sz w:val="16"/>
                    </w:rPr>
                    <w:t>c</w:t>
                  </w:r>
                  <w:r>
                    <w:rPr>
                      <w:spacing w:val="-1"/>
                      <w:w w:val="100"/>
                      <w:sz w:val="16"/>
                    </w:rPr>
                    <w:t>on</w:t>
                  </w:r>
                  <w:r>
                    <w:rPr>
                      <w:w w:val="100"/>
                      <w:sz w:val="16"/>
                    </w:rPr>
                    <w:t>f</w:t>
                  </w:r>
                  <w:r>
                    <w:rPr>
                      <w:w w:val="100"/>
                      <w:sz w:val="16"/>
                    </w:rPr>
                    <w:t>id</w:t>
                  </w:r>
                  <w:r>
                    <w:rPr>
                      <w:spacing w:val="-1"/>
                      <w:w w:val="100"/>
                      <w:sz w:val="16"/>
                    </w:rPr>
                    <w:t>e</w:t>
                  </w:r>
                  <w:r>
                    <w:rPr>
                      <w:spacing w:val="-4"/>
                      <w:w w:val="100"/>
                      <w:sz w:val="16"/>
                    </w:rPr>
                    <w:t>n</w:t>
                  </w:r>
                  <w:r>
                    <w:rPr>
                      <w:w w:val="100"/>
                      <w:sz w:val="16"/>
                    </w:rPr>
                    <w:t>c</w:t>
                  </w:r>
                  <w:r>
                    <w:rPr>
                      <w:w w:val="100"/>
                      <w:sz w:val="16"/>
                    </w:rPr>
                    <w:t>ia</w:t>
                  </w:r>
                  <w:r>
                    <w:rPr>
                      <w:spacing w:val="-3"/>
                      <w:w w:val="100"/>
                      <w:sz w:val="16"/>
                    </w:rPr>
                    <w:t>l</w:t>
                  </w:r>
                  <w:r>
                    <w:rPr>
                      <w:w w:val="100"/>
                      <w:sz w:val="16"/>
                    </w:rPr>
                    <w:t>.</w:t>
                  </w:r>
                </w:p>
              </w:txbxContent>
            </v:textbox>
            <w10:wrap type="none"/>
          </v:shape>
        </w:pict>
      </w:r>
      <w:r>
        <w:rPr/>
        <w:pict>
          <v:shape style="position:absolute;margin-left:223.005066pt;margin-top:-153.735260pt;width:10.050pt;height:114.05pt;mso-position-horizontal-relative:page;mso-position-vertical-relative:paragraph;z-index:8368" type="#_x0000_t202" filled="false" stroked="false">
            <v:textbox inset="0,0,0,0" style="layout-flow:vertical;mso-layout-flow-alt:bottom-to-top">
              <w:txbxContent>
                <w:p>
                  <w:pPr>
                    <w:spacing w:before="0"/>
                    <w:ind w:left="20" w:right="0" w:firstLine="0"/>
                    <w:jc w:val="left"/>
                    <w:rPr>
                      <w:sz w:val="16"/>
                    </w:rPr>
                  </w:pPr>
                  <w:r>
                    <w:rPr>
                      <w:b/>
                      <w:spacing w:val="-1"/>
                      <w:w w:val="100"/>
                      <w:sz w:val="16"/>
                    </w:rPr>
                    <w:t>N</w:t>
                  </w:r>
                  <w:r>
                    <w:rPr>
                      <w:b/>
                      <w:w w:val="100"/>
                      <w:sz w:val="16"/>
                    </w:rPr>
                    <w:t>i</w:t>
                  </w:r>
                  <w:r>
                    <w:rPr>
                      <w:b/>
                      <w:spacing w:val="-1"/>
                      <w:w w:val="100"/>
                      <w:sz w:val="16"/>
                    </w:rPr>
                    <w:t>ve</w:t>
                  </w:r>
                  <w:r>
                    <w:rPr>
                      <w:b/>
                      <w:w w:val="100"/>
                      <w:sz w:val="16"/>
                    </w:rPr>
                    <w:t>l</w:t>
                  </w:r>
                  <w:r>
                    <w:rPr>
                      <w:b/>
                      <w:spacing w:val="1"/>
                      <w:sz w:val="16"/>
                    </w:rPr>
                    <w:t> </w:t>
                  </w:r>
                  <w:r>
                    <w:rPr>
                      <w:b/>
                      <w:spacing w:val="-3"/>
                      <w:w w:val="100"/>
                      <w:sz w:val="16"/>
                    </w:rPr>
                    <w:t>3</w:t>
                  </w:r>
                  <w:r>
                    <w:rPr>
                      <w:b/>
                      <w:w w:val="100"/>
                      <w:sz w:val="16"/>
                    </w:rPr>
                    <w:t>.</w:t>
                  </w:r>
                  <w:r>
                    <w:rPr>
                      <w:b/>
                      <w:spacing w:val="2"/>
                      <w:sz w:val="16"/>
                    </w:rPr>
                    <w:t> </w:t>
                  </w:r>
                  <w:r>
                    <w:rPr>
                      <w:b/>
                      <w:w w:val="100"/>
                      <w:sz w:val="16"/>
                    </w:rPr>
                    <w:t>I</w:t>
                  </w:r>
                  <w:r>
                    <w:rPr>
                      <w:spacing w:val="-4"/>
                      <w:w w:val="100"/>
                      <w:sz w:val="16"/>
                    </w:rPr>
                    <w:t>n</w:t>
                  </w:r>
                  <w:r>
                    <w:rPr>
                      <w:w w:val="100"/>
                      <w:sz w:val="16"/>
                    </w:rPr>
                    <w:t>f</w:t>
                  </w:r>
                  <w:r>
                    <w:rPr>
                      <w:spacing w:val="-1"/>
                      <w:w w:val="100"/>
                      <w:sz w:val="16"/>
                    </w:rPr>
                    <w:t>o</w:t>
                  </w:r>
                  <w:r>
                    <w:rPr>
                      <w:spacing w:val="-4"/>
                      <w:w w:val="100"/>
                      <w:sz w:val="16"/>
                    </w:rPr>
                    <w:t>r</w:t>
                  </w:r>
                  <w:r>
                    <w:rPr>
                      <w:spacing w:val="2"/>
                      <w:w w:val="100"/>
                      <w:sz w:val="16"/>
                    </w:rPr>
                    <w:t>m</w:t>
                  </w:r>
                  <w:r>
                    <w:rPr>
                      <w:spacing w:val="-4"/>
                      <w:w w:val="100"/>
                      <w:sz w:val="16"/>
                    </w:rPr>
                    <w:t>a</w:t>
                  </w:r>
                  <w:r>
                    <w:rPr>
                      <w:w w:val="100"/>
                      <w:sz w:val="16"/>
                    </w:rPr>
                    <w:t>c</w:t>
                  </w:r>
                  <w:r>
                    <w:rPr>
                      <w:w w:val="100"/>
                      <w:sz w:val="16"/>
                    </w:rPr>
                    <w:t>ión</w:t>
                  </w:r>
                  <w:r>
                    <w:rPr>
                      <w:sz w:val="16"/>
                    </w:rPr>
                    <w:t> </w:t>
                  </w:r>
                  <w:r>
                    <w:rPr>
                      <w:spacing w:val="-1"/>
                      <w:w w:val="100"/>
                      <w:sz w:val="16"/>
                    </w:rPr>
                    <w:t>r</w:t>
                  </w:r>
                  <w:r>
                    <w:rPr>
                      <w:spacing w:val="-4"/>
                      <w:w w:val="100"/>
                      <w:sz w:val="16"/>
                    </w:rPr>
                    <w:t>e</w:t>
                  </w:r>
                  <w:r>
                    <w:rPr>
                      <w:w w:val="100"/>
                      <w:sz w:val="16"/>
                    </w:rPr>
                    <w:t>s</w:t>
                  </w:r>
                  <w:r>
                    <w:rPr>
                      <w:spacing w:val="-1"/>
                      <w:w w:val="100"/>
                      <w:sz w:val="16"/>
                    </w:rPr>
                    <w:t>e</w:t>
                  </w:r>
                  <w:r>
                    <w:rPr>
                      <w:spacing w:val="-1"/>
                      <w:w w:val="100"/>
                      <w:sz w:val="16"/>
                    </w:rPr>
                    <w:t>r</w:t>
                  </w:r>
                  <w:r>
                    <w:rPr>
                      <w:spacing w:val="-2"/>
                      <w:w w:val="100"/>
                      <w:sz w:val="16"/>
                    </w:rPr>
                    <w:t>v</w:t>
                  </w:r>
                  <w:r>
                    <w:rPr>
                      <w:spacing w:val="-1"/>
                      <w:w w:val="100"/>
                      <w:sz w:val="16"/>
                    </w:rPr>
                    <w:t>ada</w:t>
                  </w:r>
                  <w:r>
                    <w:rPr>
                      <w:w w:val="100"/>
                      <w:sz w:val="16"/>
                    </w:rPr>
                    <w:t>.</w:t>
                  </w:r>
                </w:p>
              </w:txbxContent>
            </v:textbox>
            <w10:wrap type="none"/>
          </v:shape>
        </w:pict>
      </w:r>
      <w:r>
        <w:rPr/>
        <w:pict>
          <v:shape style="position:absolute;margin-left:275.305054pt;margin-top:-153.295181pt;width:19.3pt;height:112.85pt;mso-position-horizontal-relative:page;mso-position-vertical-relative:paragraph;z-index:8392" type="#_x0000_t202" filled="false" stroked="false">
            <v:textbox inset="0,0,0,0" style="layout-flow:vertical;mso-layout-flow-alt:bottom-to-top">
              <w:txbxContent>
                <w:p>
                  <w:pPr>
                    <w:spacing w:before="0"/>
                    <w:ind w:left="917" w:right="18" w:hanging="898"/>
                    <w:jc w:val="left"/>
                    <w:rPr>
                      <w:sz w:val="16"/>
                    </w:rPr>
                  </w:pPr>
                  <w:r>
                    <w:rPr>
                      <w:b/>
                      <w:spacing w:val="-1"/>
                      <w:w w:val="100"/>
                      <w:sz w:val="16"/>
                    </w:rPr>
                    <w:t>N</w:t>
                  </w:r>
                  <w:r>
                    <w:rPr>
                      <w:b/>
                      <w:w w:val="100"/>
                      <w:sz w:val="16"/>
                    </w:rPr>
                    <w:t>i</w:t>
                  </w:r>
                  <w:r>
                    <w:rPr>
                      <w:b/>
                      <w:spacing w:val="-1"/>
                      <w:w w:val="100"/>
                      <w:sz w:val="16"/>
                    </w:rPr>
                    <w:t>ve</w:t>
                  </w:r>
                  <w:r>
                    <w:rPr>
                      <w:b/>
                      <w:w w:val="100"/>
                      <w:sz w:val="16"/>
                    </w:rPr>
                    <w:t>l</w:t>
                  </w:r>
                  <w:r>
                    <w:rPr>
                      <w:b/>
                      <w:spacing w:val="1"/>
                      <w:sz w:val="16"/>
                    </w:rPr>
                    <w:t> </w:t>
                  </w:r>
                  <w:r>
                    <w:rPr>
                      <w:b/>
                      <w:spacing w:val="-3"/>
                      <w:w w:val="100"/>
                      <w:sz w:val="16"/>
                    </w:rPr>
                    <w:t>2</w:t>
                  </w:r>
                  <w:r>
                    <w:rPr>
                      <w:w w:val="100"/>
                      <w:sz w:val="16"/>
                    </w:rPr>
                    <w:t>.</w:t>
                  </w:r>
                  <w:r>
                    <w:rPr>
                      <w:spacing w:val="1"/>
                      <w:sz w:val="16"/>
                    </w:rPr>
                    <w:t> </w:t>
                  </w:r>
                  <w:r>
                    <w:rPr>
                      <w:w w:val="100"/>
                      <w:sz w:val="16"/>
                    </w:rPr>
                    <w:t>I</w:t>
                  </w:r>
                  <w:r>
                    <w:rPr>
                      <w:spacing w:val="-4"/>
                      <w:w w:val="100"/>
                      <w:sz w:val="16"/>
                    </w:rPr>
                    <w:t>n</w:t>
                  </w:r>
                  <w:r>
                    <w:rPr>
                      <w:w w:val="100"/>
                      <w:sz w:val="16"/>
                    </w:rPr>
                    <w:t>f</w:t>
                  </w:r>
                  <w:r>
                    <w:rPr>
                      <w:spacing w:val="-1"/>
                      <w:w w:val="100"/>
                      <w:sz w:val="16"/>
                    </w:rPr>
                    <w:t>o</w:t>
                  </w:r>
                  <w:r>
                    <w:rPr>
                      <w:spacing w:val="-4"/>
                      <w:w w:val="100"/>
                      <w:sz w:val="16"/>
                    </w:rPr>
                    <w:t>r</w:t>
                  </w:r>
                  <w:r>
                    <w:rPr>
                      <w:spacing w:val="2"/>
                      <w:w w:val="100"/>
                      <w:sz w:val="16"/>
                    </w:rPr>
                    <w:t>m</w:t>
                  </w:r>
                  <w:r>
                    <w:rPr>
                      <w:spacing w:val="-4"/>
                      <w:w w:val="100"/>
                      <w:sz w:val="16"/>
                    </w:rPr>
                    <w:t>a</w:t>
                  </w:r>
                  <w:r>
                    <w:rPr>
                      <w:w w:val="100"/>
                      <w:sz w:val="16"/>
                    </w:rPr>
                    <w:t>c</w:t>
                  </w:r>
                  <w:r>
                    <w:rPr>
                      <w:w w:val="100"/>
                      <w:sz w:val="16"/>
                    </w:rPr>
                    <w:t>ión</w:t>
                  </w:r>
                  <w:r>
                    <w:rPr>
                      <w:sz w:val="16"/>
                    </w:rPr>
                    <w:t> </w:t>
                  </w:r>
                  <w:r>
                    <w:rPr>
                      <w:spacing w:val="-1"/>
                      <w:w w:val="100"/>
                      <w:sz w:val="16"/>
                    </w:rPr>
                    <w:t>púb</w:t>
                  </w:r>
                  <w:r>
                    <w:rPr>
                      <w:w w:val="100"/>
                      <w:sz w:val="16"/>
                    </w:rPr>
                    <w:t>l</w:t>
                  </w:r>
                  <w:r>
                    <w:rPr>
                      <w:spacing w:val="-2"/>
                      <w:w w:val="100"/>
                      <w:sz w:val="16"/>
                    </w:rPr>
                    <w:t>i</w:t>
                  </w:r>
                  <w:r>
                    <w:rPr>
                      <w:w w:val="100"/>
                      <w:sz w:val="16"/>
                    </w:rPr>
                    <w:t>c</w:t>
                  </w:r>
                  <w:r>
                    <w:rPr>
                      <w:w w:val="100"/>
                      <w:sz w:val="16"/>
                    </w:rPr>
                    <w:t>a</w:t>
                  </w:r>
                  <w:r>
                    <w:rPr>
                      <w:sz w:val="16"/>
                    </w:rPr>
                    <w:t> </w:t>
                  </w:r>
                  <w:r>
                    <w:rPr>
                      <w:spacing w:val="-1"/>
                      <w:w w:val="100"/>
                      <w:sz w:val="16"/>
                    </w:rPr>
                    <w:t>d</w:t>
                  </w:r>
                  <w:r>
                    <w:rPr>
                      <w:w w:val="100"/>
                      <w:sz w:val="16"/>
                    </w:rPr>
                    <w:t>e </w:t>
                  </w:r>
                  <w:r>
                    <w:rPr>
                      <w:spacing w:val="-1"/>
                      <w:w w:val="100"/>
                      <w:sz w:val="16"/>
                    </w:rPr>
                    <w:t>o</w:t>
                  </w:r>
                  <w:r>
                    <w:rPr>
                      <w:w w:val="100"/>
                      <w:sz w:val="16"/>
                    </w:rPr>
                    <w:t>f</w:t>
                  </w:r>
                  <w:r>
                    <w:rPr>
                      <w:w w:val="100"/>
                      <w:sz w:val="16"/>
                    </w:rPr>
                    <w:t>i</w:t>
                  </w:r>
                  <w:r>
                    <w:rPr>
                      <w:spacing w:val="1"/>
                      <w:w w:val="100"/>
                      <w:sz w:val="16"/>
                    </w:rPr>
                    <w:t>c</w:t>
                  </w:r>
                  <w:r>
                    <w:rPr>
                      <w:w w:val="100"/>
                      <w:sz w:val="16"/>
                    </w:rPr>
                    <w:t>i</w:t>
                  </w:r>
                  <w:r>
                    <w:rPr>
                      <w:spacing w:val="-3"/>
                      <w:w w:val="100"/>
                      <w:sz w:val="16"/>
                    </w:rPr>
                    <w:t>o</w:t>
                  </w:r>
                  <w:r>
                    <w:rPr>
                      <w:w w:val="100"/>
                      <w:sz w:val="16"/>
                    </w:rPr>
                    <w:t>.</w:t>
                  </w:r>
                </w:p>
              </w:txbxContent>
            </v:textbox>
            <w10:wrap type="none"/>
          </v:shape>
        </w:pict>
      </w:r>
      <w:r>
        <w:rPr/>
        <w:pict>
          <v:shape style="position:absolute;margin-left:324.095062pt;margin-top:-157.735825pt;width:19.3pt;height:121.8pt;mso-position-horizontal-relative:page;mso-position-vertical-relative:paragraph;z-index:8416" type="#_x0000_t202" filled="false" stroked="false">
            <v:textbox inset="0,0,0,0" style="layout-flow:vertical;mso-layout-flow-alt:bottom-to-top">
              <w:txbxContent>
                <w:p>
                  <w:pPr>
                    <w:spacing w:before="0"/>
                    <w:ind w:left="639" w:right="18" w:hanging="620"/>
                    <w:jc w:val="left"/>
                    <w:rPr>
                      <w:sz w:val="16"/>
                    </w:rPr>
                  </w:pPr>
                  <w:r>
                    <w:rPr>
                      <w:b/>
                      <w:spacing w:val="-1"/>
                      <w:w w:val="100"/>
                      <w:sz w:val="16"/>
                    </w:rPr>
                    <w:t>N</w:t>
                  </w:r>
                  <w:r>
                    <w:rPr>
                      <w:b/>
                      <w:w w:val="100"/>
                      <w:sz w:val="16"/>
                    </w:rPr>
                    <w:t>i</w:t>
                  </w:r>
                  <w:r>
                    <w:rPr>
                      <w:b/>
                      <w:spacing w:val="-1"/>
                      <w:w w:val="100"/>
                      <w:sz w:val="16"/>
                    </w:rPr>
                    <w:t>ve</w:t>
                  </w:r>
                  <w:r>
                    <w:rPr>
                      <w:b/>
                      <w:w w:val="100"/>
                      <w:sz w:val="16"/>
                    </w:rPr>
                    <w:t>l</w:t>
                  </w:r>
                  <w:r>
                    <w:rPr>
                      <w:b/>
                      <w:spacing w:val="2"/>
                      <w:sz w:val="16"/>
                    </w:rPr>
                    <w:t> </w:t>
                  </w:r>
                  <w:r>
                    <w:rPr>
                      <w:b/>
                      <w:spacing w:val="-3"/>
                      <w:w w:val="100"/>
                      <w:sz w:val="16"/>
                    </w:rPr>
                    <w:t>1</w:t>
                  </w:r>
                  <w:r>
                    <w:rPr>
                      <w:w w:val="100"/>
                      <w:sz w:val="16"/>
                    </w:rPr>
                    <w:t>.</w:t>
                  </w:r>
                  <w:r>
                    <w:rPr>
                      <w:spacing w:val="1"/>
                      <w:sz w:val="16"/>
                    </w:rPr>
                    <w:t> </w:t>
                  </w:r>
                  <w:r>
                    <w:rPr>
                      <w:w w:val="100"/>
                      <w:sz w:val="16"/>
                    </w:rPr>
                    <w:t>I</w:t>
                  </w:r>
                  <w:r>
                    <w:rPr>
                      <w:spacing w:val="-4"/>
                      <w:w w:val="100"/>
                      <w:sz w:val="16"/>
                    </w:rPr>
                    <w:t>n</w:t>
                  </w:r>
                  <w:r>
                    <w:rPr>
                      <w:w w:val="100"/>
                      <w:sz w:val="16"/>
                    </w:rPr>
                    <w:t>f</w:t>
                  </w:r>
                  <w:r>
                    <w:rPr>
                      <w:spacing w:val="-1"/>
                      <w:w w:val="100"/>
                      <w:sz w:val="16"/>
                    </w:rPr>
                    <w:t>o</w:t>
                  </w:r>
                  <w:r>
                    <w:rPr>
                      <w:spacing w:val="-4"/>
                      <w:w w:val="100"/>
                      <w:sz w:val="16"/>
                    </w:rPr>
                    <w:t>r</w:t>
                  </w:r>
                  <w:r>
                    <w:rPr>
                      <w:spacing w:val="2"/>
                      <w:w w:val="100"/>
                      <w:sz w:val="16"/>
                    </w:rPr>
                    <w:t>m</w:t>
                  </w:r>
                  <w:r>
                    <w:rPr>
                      <w:spacing w:val="-4"/>
                      <w:w w:val="100"/>
                      <w:sz w:val="16"/>
                    </w:rPr>
                    <w:t>a</w:t>
                  </w:r>
                  <w:r>
                    <w:rPr>
                      <w:w w:val="100"/>
                      <w:sz w:val="16"/>
                    </w:rPr>
                    <w:t>c</w:t>
                  </w:r>
                  <w:r>
                    <w:rPr>
                      <w:w w:val="100"/>
                      <w:sz w:val="16"/>
                    </w:rPr>
                    <w:t>ión</w:t>
                  </w:r>
                  <w:r>
                    <w:rPr>
                      <w:spacing w:val="1"/>
                      <w:sz w:val="16"/>
                    </w:rPr>
                    <w:t> </w:t>
                  </w:r>
                  <w:r>
                    <w:rPr>
                      <w:spacing w:val="-1"/>
                      <w:w w:val="100"/>
                      <w:sz w:val="16"/>
                    </w:rPr>
                    <w:t>pub</w:t>
                  </w:r>
                  <w:r>
                    <w:rPr>
                      <w:w w:val="100"/>
                      <w:sz w:val="16"/>
                    </w:rPr>
                    <w:t>l</w:t>
                  </w:r>
                  <w:r>
                    <w:rPr>
                      <w:spacing w:val="-2"/>
                      <w:w w:val="100"/>
                      <w:sz w:val="16"/>
                    </w:rPr>
                    <w:t>i</w:t>
                  </w:r>
                  <w:r>
                    <w:rPr>
                      <w:w w:val="100"/>
                      <w:sz w:val="16"/>
                    </w:rPr>
                    <w:t>c</w:t>
                  </w:r>
                  <w:r>
                    <w:rPr>
                      <w:spacing w:val="-1"/>
                      <w:w w:val="100"/>
                      <w:sz w:val="16"/>
                    </w:rPr>
                    <w:t>ad</w:t>
                  </w:r>
                  <w:r>
                    <w:rPr>
                      <w:w w:val="100"/>
                      <w:sz w:val="16"/>
                    </w:rPr>
                    <w:t>a</w:t>
                  </w:r>
                  <w:r>
                    <w:rPr>
                      <w:sz w:val="16"/>
                    </w:rPr>
                    <w:t> </w:t>
                  </w:r>
                  <w:r>
                    <w:rPr>
                      <w:spacing w:val="-1"/>
                      <w:w w:val="100"/>
                      <w:sz w:val="16"/>
                    </w:rPr>
                    <w:t>e</w:t>
                  </w:r>
                  <w:r>
                    <w:rPr>
                      <w:w w:val="100"/>
                      <w:sz w:val="16"/>
                    </w:rPr>
                    <w:t>n los</w:t>
                  </w:r>
                  <w:r>
                    <w:rPr>
                      <w:spacing w:val="1"/>
                      <w:sz w:val="16"/>
                    </w:rPr>
                    <w:t> </w:t>
                  </w:r>
                  <w:r>
                    <w:rPr>
                      <w:spacing w:val="-1"/>
                      <w:w w:val="100"/>
                      <w:sz w:val="16"/>
                    </w:rPr>
                    <w:t>po</w:t>
                  </w:r>
                  <w:r>
                    <w:rPr>
                      <w:spacing w:val="-1"/>
                      <w:w w:val="100"/>
                      <w:sz w:val="16"/>
                    </w:rPr>
                    <w:t>r</w:t>
                  </w:r>
                  <w:r>
                    <w:rPr>
                      <w:w w:val="100"/>
                      <w:sz w:val="16"/>
                    </w:rPr>
                    <w:t>t</w:t>
                  </w:r>
                  <w:r>
                    <w:rPr>
                      <w:spacing w:val="-1"/>
                      <w:w w:val="100"/>
                      <w:sz w:val="16"/>
                    </w:rPr>
                    <w:t>a</w:t>
                  </w:r>
                  <w:r>
                    <w:rPr>
                      <w:w w:val="100"/>
                      <w:sz w:val="16"/>
                    </w:rPr>
                    <w:t>l</w:t>
                  </w:r>
                  <w:r>
                    <w:rPr>
                      <w:spacing w:val="-3"/>
                      <w:w w:val="100"/>
                      <w:sz w:val="16"/>
                    </w:rPr>
                    <w:t>e</w:t>
                  </w:r>
                  <w:r>
                    <w:rPr>
                      <w:w w:val="100"/>
                      <w:sz w:val="16"/>
                    </w:rPr>
                    <w:t>s</w:t>
                  </w:r>
                  <w:r>
                    <w:rPr>
                      <w:spacing w:val="-1"/>
                      <w:sz w:val="16"/>
                    </w:rPr>
                    <w:t> </w:t>
                  </w:r>
                  <w:r>
                    <w:rPr>
                      <w:spacing w:val="-4"/>
                      <w:w w:val="100"/>
                      <w:sz w:val="16"/>
                    </w:rPr>
                    <w:t>w</w:t>
                  </w:r>
                  <w:r>
                    <w:rPr>
                      <w:spacing w:val="-1"/>
                      <w:w w:val="100"/>
                      <w:sz w:val="16"/>
                    </w:rPr>
                    <w:t>e</w:t>
                  </w:r>
                  <w:r>
                    <w:rPr>
                      <w:w w:val="100"/>
                      <w:sz w:val="16"/>
                    </w:rPr>
                    <w:t>b</w:t>
                  </w:r>
                </w:p>
              </w:txbxContent>
            </v:textbox>
            <w10:wrap type="none"/>
          </v:shape>
        </w:pict>
      </w:r>
      <w:r>
        <w:rPr/>
        <w:t>Siguiendo la analogía de la casa, la figura 5 representa los niveles de transparencia que tienen los gobiernos municipales en el Estado de México. En el primero se encuentra información que publican las dependencias gubernamentales, en las que se supone contiene lo que la ley de transparencia marcaba en el art. 12 como información pública de oficio</w:t>
      </w:r>
      <w:r>
        <w:rPr>
          <w:position w:val="8"/>
          <w:sz w:val="16"/>
        </w:rPr>
        <w:t>37 </w:t>
      </w:r>
      <w:r>
        <w:rPr/>
        <w:t>(nivel 2) en la que se encuentra la siguiente:</w:t>
      </w:r>
    </w:p>
    <w:p>
      <w:pPr>
        <w:pStyle w:val="BodyText"/>
        <w:rPr>
          <w:sz w:val="26"/>
        </w:rPr>
      </w:pPr>
    </w:p>
    <w:p>
      <w:pPr>
        <w:pStyle w:val="BodyText"/>
        <w:spacing w:before="5"/>
        <w:rPr>
          <w:sz w:val="37"/>
        </w:rPr>
      </w:pPr>
    </w:p>
    <w:p>
      <w:pPr>
        <w:pStyle w:val="ListParagraph"/>
        <w:numPr>
          <w:ilvl w:val="3"/>
          <w:numId w:val="59"/>
        </w:numPr>
        <w:tabs>
          <w:tab w:pos="954" w:val="left" w:leader="none"/>
        </w:tabs>
        <w:spacing w:line="244" w:lineRule="auto" w:before="0" w:after="0"/>
        <w:ind w:left="674" w:right="2319" w:firstLine="0"/>
        <w:jc w:val="both"/>
        <w:rPr>
          <w:sz w:val="18"/>
        </w:rPr>
      </w:pPr>
      <w:r>
        <w:rPr>
          <w:sz w:val="18"/>
        </w:rPr>
        <w:t>Leyes, reglamentos, decretos, acuerdos, convenios, manuales de organización y procedimientos</w:t>
      </w:r>
      <w:r>
        <w:rPr>
          <w:spacing w:val="-5"/>
          <w:sz w:val="18"/>
        </w:rPr>
        <w:t> </w:t>
      </w:r>
      <w:r>
        <w:rPr>
          <w:sz w:val="18"/>
        </w:rPr>
        <w:t>y</w:t>
      </w:r>
      <w:r>
        <w:rPr>
          <w:spacing w:val="-3"/>
          <w:sz w:val="18"/>
        </w:rPr>
        <w:t> </w:t>
      </w:r>
      <w:r>
        <w:rPr>
          <w:sz w:val="18"/>
        </w:rPr>
        <w:t>demás</w:t>
      </w:r>
      <w:r>
        <w:rPr>
          <w:spacing w:val="-4"/>
          <w:sz w:val="18"/>
        </w:rPr>
        <w:t> </w:t>
      </w:r>
      <w:r>
        <w:rPr>
          <w:sz w:val="18"/>
        </w:rPr>
        <w:t>disposiciones</w:t>
      </w:r>
      <w:r>
        <w:rPr>
          <w:spacing w:val="-2"/>
          <w:sz w:val="18"/>
        </w:rPr>
        <w:t> </w:t>
      </w:r>
      <w:r>
        <w:rPr>
          <w:sz w:val="18"/>
        </w:rPr>
        <w:t>en</w:t>
      </w:r>
      <w:r>
        <w:rPr>
          <w:spacing w:val="-3"/>
          <w:sz w:val="18"/>
        </w:rPr>
        <w:t> </w:t>
      </w:r>
      <w:r>
        <w:rPr>
          <w:sz w:val="18"/>
        </w:rPr>
        <w:t>los</w:t>
      </w:r>
      <w:r>
        <w:rPr>
          <w:spacing w:val="-2"/>
          <w:sz w:val="18"/>
        </w:rPr>
        <w:t> </w:t>
      </w:r>
      <w:r>
        <w:rPr>
          <w:sz w:val="18"/>
        </w:rPr>
        <w:t>que</w:t>
      </w:r>
      <w:r>
        <w:rPr>
          <w:spacing w:val="-5"/>
          <w:sz w:val="18"/>
        </w:rPr>
        <w:t> </w:t>
      </w:r>
      <w:r>
        <w:rPr>
          <w:sz w:val="18"/>
        </w:rPr>
        <w:t>se</w:t>
      </w:r>
      <w:r>
        <w:rPr>
          <w:spacing w:val="-3"/>
          <w:sz w:val="18"/>
        </w:rPr>
        <w:t> </w:t>
      </w:r>
      <w:r>
        <w:rPr>
          <w:sz w:val="18"/>
        </w:rPr>
        <w:t>establezca</w:t>
      </w:r>
      <w:r>
        <w:rPr>
          <w:spacing w:val="-3"/>
          <w:sz w:val="18"/>
        </w:rPr>
        <w:t> </w:t>
      </w:r>
      <w:r>
        <w:rPr>
          <w:sz w:val="18"/>
        </w:rPr>
        <w:t>su</w:t>
      </w:r>
      <w:r>
        <w:rPr>
          <w:spacing w:val="-5"/>
          <w:sz w:val="18"/>
        </w:rPr>
        <w:t> </w:t>
      </w:r>
      <w:r>
        <w:rPr>
          <w:sz w:val="18"/>
        </w:rPr>
        <w:t>marco</w:t>
      </w:r>
      <w:r>
        <w:rPr>
          <w:spacing w:val="-3"/>
          <w:sz w:val="18"/>
        </w:rPr>
        <w:t> </w:t>
      </w:r>
      <w:r>
        <w:rPr>
          <w:sz w:val="18"/>
        </w:rPr>
        <w:t>jurídico</w:t>
      </w:r>
      <w:r>
        <w:rPr>
          <w:spacing w:val="1"/>
          <w:sz w:val="18"/>
        </w:rPr>
        <w:t> </w:t>
      </w:r>
      <w:r>
        <w:rPr>
          <w:sz w:val="18"/>
        </w:rPr>
        <w:t>de</w:t>
      </w:r>
      <w:r>
        <w:rPr>
          <w:spacing w:val="-5"/>
          <w:sz w:val="18"/>
        </w:rPr>
        <w:t> </w:t>
      </w:r>
      <w:r>
        <w:rPr>
          <w:sz w:val="18"/>
        </w:rPr>
        <w:t>actuación;</w:t>
      </w:r>
    </w:p>
    <w:p>
      <w:pPr>
        <w:pStyle w:val="ListParagraph"/>
        <w:numPr>
          <w:ilvl w:val="3"/>
          <w:numId w:val="59"/>
        </w:numPr>
        <w:tabs>
          <w:tab w:pos="874" w:val="left" w:leader="none"/>
        </w:tabs>
        <w:spacing w:line="240" w:lineRule="auto" w:before="0" w:after="0"/>
        <w:ind w:left="674" w:right="2315" w:firstLine="0"/>
        <w:jc w:val="both"/>
        <w:rPr>
          <w:sz w:val="18"/>
        </w:rPr>
      </w:pPr>
      <w:r>
        <w:rPr>
          <w:sz w:val="18"/>
        </w:rPr>
        <w:t>Directorio</w:t>
      </w:r>
      <w:r>
        <w:rPr>
          <w:spacing w:val="-6"/>
          <w:sz w:val="18"/>
        </w:rPr>
        <w:t> </w:t>
      </w:r>
      <w:r>
        <w:rPr>
          <w:sz w:val="18"/>
        </w:rPr>
        <w:t>de</w:t>
      </w:r>
      <w:r>
        <w:rPr>
          <w:spacing w:val="-6"/>
          <w:sz w:val="18"/>
        </w:rPr>
        <w:t> </w:t>
      </w:r>
      <w:r>
        <w:rPr>
          <w:sz w:val="18"/>
        </w:rPr>
        <w:t>servidores</w:t>
      </w:r>
      <w:r>
        <w:rPr>
          <w:spacing w:val="-5"/>
          <w:sz w:val="18"/>
        </w:rPr>
        <w:t> </w:t>
      </w:r>
      <w:r>
        <w:rPr>
          <w:sz w:val="18"/>
        </w:rPr>
        <w:t>públicos</w:t>
      </w:r>
      <w:r>
        <w:rPr>
          <w:spacing w:val="-5"/>
          <w:sz w:val="18"/>
        </w:rPr>
        <w:t> </w:t>
      </w:r>
      <w:r>
        <w:rPr>
          <w:sz w:val="18"/>
        </w:rPr>
        <w:t>de</w:t>
      </w:r>
      <w:r>
        <w:rPr>
          <w:spacing w:val="-6"/>
          <w:sz w:val="18"/>
        </w:rPr>
        <w:t> </w:t>
      </w:r>
      <w:r>
        <w:rPr>
          <w:sz w:val="18"/>
        </w:rPr>
        <w:t>mandos</w:t>
      </w:r>
      <w:r>
        <w:rPr>
          <w:spacing w:val="-7"/>
          <w:sz w:val="18"/>
        </w:rPr>
        <w:t> </w:t>
      </w:r>
      <w:r>
        <w:rPr>
          <w:sz w:val="18"/>
        </w:rPr>
        <w:t>medios</w:t>
      </w:r>
      <w:r>
        <w:rPr>
          <w:spacing w:val="-5"/>
          <w:sz w:val="18"/>
        </w:rPr>
        <w:t> </w:t>
      </w:r>
      <w:r>
        <w:rPr>
          <w:sz w:val="18"/>
        </w:rPr>
        <w:t>y</w:t>
      </w:r>
      <w:r>
        <w:rPr>
          <w:spacing w:val="-7"/>
          <w:sz w:val="18"/>
        </w:rPr>
        <w:t> </w:t>
      </w:r>
      <w:r>
        <w:rPr>
          <w:sz w:val="18"/>
        </w:rPr>
        <w:t>superiores</w:t>
      </w:r>
      <w:r>
        <w:rPr>
          <w:spacing w:val="-5"/>
          <w:sz w:val="18"/>
        </w:rPr>
        <w:t> </w:t>
      </w:r>
      <w:r>
        <w:rPr>
          <w:sz w:val="18"/>
        </w:rPr>
        <w:t>con</w:t>
      </w:r>
      <w:r>
        <w:rPr>
          <w:spacing w:val="-6"/>
          <w:sz w:val="18"/>
        </w:rPr>
        <w:t> </w:t>
      </w:r>
      <w:r>
        <w:rPr>
          <w:sz w:val="18"/>
        </w:rPr>
        <w:t>referencia</w:t>
      </w:r>
      <w:r>
        <w:rPr>
          <w:spacing w:val="-6"/>
          <w:sz w:val="18"/>
        </w:rPr>
        <w:t> </w:t>
      </w:r>
      <w:r>
        <w:rPr>
          <w:sz w:val="18"/>
        </w:rPr>
        <w:t>particular</w:t>
      </w:r>
      <w:r>
        <w:rPr>
          <w:spacing w:val="-6"/>
          <w:sz w:val="18"/>
        </w:rPr>
        <w:t> </w:t>
      </w:r>
      <w:r>
        <w:rPr>
          <w:sz w:val="18"/>
        </w:rPr>
        <w:t>a</w:t>
      </w:r>
      <w:r>
        <w:rPr>
          <w:spacing w:val="-7"/>
          <w:sz w:val="18"/>
        </w:rPr>
        <w:t> </w:t>
      </w:r>
      <w:r>
        <w:rPr>
          <w:sz w:val="18"/>
        </w:rPr>
        <w:t>su nombramiento oficial, puesto funcional, remuneración de acuerdo con lo previsto por el Código Financiero; datos que deberán señalarse de forma independiente por dependencia y entidad pública de cada Sujeto</w:t>
      </w:r>
      <w:r>
        <w:rPr>
          <w:spacing w:val="-12"/>
          <w:sz w:val="18"/>
        </w:rPr>
        <w:t> </w:t>
      </w:r>
      <w:r>
        <w:rPr>
          <w:sz w:val="18"/>
        </w:rPr>
        <w:t>Obligado;</w:t>
      </w:r>
    </w:p>
    <w:p>
      <w:pPr>
        <w:pStyle w:val="ListParagraph"/>
        <w:numPr>
          <w:ilvl w:val="3"/>
          <w:numId w:val="59"/>
        </w:numPr>
        <w:tabs>
          <w:tab w:pos="954" w:val="left" w:leader="none"/>
        </w:tabs>
        <w:spacing w:line="247" w:lineRule="auto" w:before="0" w:after="0"/>
        <w:ind w:left="674" w:right="2320" w:firstLine="0"/>
        <w:jc w:val="both"/>
        <w:rPr>
          <w:sz w:val="18"/>
        </w:rPr>
      </w:pPr>
      <w:r>
        <w:rPr>
          <w:sz w:val="18"/>
        </w:rPr>
        <w:t>Los programas anuales de obras y, en su caso, la información relativa a los procesos de licitación y contratación del área de su</w:t>
      </w:r>
      <w:r>
        <w:rPr>
          <w:spacing w:val="-26"/>
          <w:sz w:val="18"/>
        </w:rPr>
        <w:t> </w:t>
      </w:r>
      <w:r>
        <w:rPr>
          <w:sz w:val="18"/>
        </w:rPr>
        <w:t>responsabilidad;</w:t>
      </w:r>
    </w:p>
    <w:p>
      <w:pPr>
        <w:pStyle w:val="ListParagraph"/>
        <w:numPr>
          <w:ilvl w:val="3"/>
          <w:numId w:val="59"/>
        </w:numPr>
        <w:tabs>
          <w:tab w:pos="939" w:val="left" w:leader="none"/>
        </w:tabs>
        <w:spacing w:line="196" w:lineRule="exact" w:before="0" w:after="0"/>
        <w:ind w:left="938" w:right="0" w:hanging="264"/>
        <w:jc w:val="both"/>
        <w:rPr>
          <w:sz w:val="18"/>
        </w:rPr>
      </w:pPr>
      <w:r>
        <w:rPr>
          <w:sz w:val="18"/>
        </w:rPr>
        <w:t>La</w:t>
      </w:r>
      <w:r>
        <w:rPr>
          <w:spacing w:val="-12"/>
          <w:sz w:val="18"/>
        </w:rPr>
        <w:t> </w:t>
      </w:r>
      <w:r>
        <w:rPr>
          <w:sz w:val="18"/>
        </w:rPr>
        <w:t>que</w:t>
      </w:r>
      <w:r>
        <w:rPr>
          <w:spacing w:val="-12"/>
          <w:sz w:val="18"/>
        </w:rPr>
        <w:t> </w:t>
      </w:r>
      <w:r>
        <w:rPr>
          <w:sz w:val="18"/>
        </w:rPr>
        <w:t>contenga</w:t>
      </w:r>
      <w:r>
        <w:rPr>
          <w:spacing w:val="-10"/>
          <w:sz w:val="18"/>
        </w:rPr>
        <w:t> </w:t>
      </w:r>
      <w:r>
        <w:rPr>
          <w:sz w:val="18"/>
        </w:rPr>
        <w:t>los</w:t>
      </w:r>
      <w:r>
        <w:rPr>
          <w:spacing w:val="-12"/>
          <w:sz w:val="18"/>
        </w:rPr>
        <w:t> </w:t>
      </w:r>
      <w:r>
        <w:rPr>
          <w:sz w:val="18"/>
        </w:rPr>
        <w:t>sistemas,</w:t>
      </w:r>
      <w:r>
        <w:rPr>
          <w:spacing w:val="-10"/>
          <w:sz w:val="18"/>
        </w:rPr>
        <w:t> </w:t>
      </w:r>
      <w:r>
        <w:rPr>
          <w:sz w:val="18"/>
        </w:rPr>
        <w:t>procesos,</w:t>
      </w:r>
      <w:r>
        <w:rPr>
          <w:spacing w:val="-12"/>
          <w:sz w:val="18"/>
        </w:rPr>
        <w:t> </w:t>
      </w:r>
      <w:r>
        <w:rPr>
          <w:sz w:val="18"/>
        </w:rPr>
        <w:t>oficinas,</w:t>
      </w:r>
      <w:r>
        <w:rPr>
          <w:spacing w:val="-12"/>
          <w:sz w:val="18"/>
        </w:rPr>
        <w:t> </w:t>
      </w:r>
      <w:r>
        <w:rPr>
          <w:sz w:val="18"/>
        </w:rPr>
        <w:t>ubicación,</w:t>
      </w:r>
      <w:r>
        <w:rPr>
          <w:spacing w:val="-10"/>
          <w:sz w:val="18"/>
        </w:rPr>
        <w:t> </w:t>
      </w:r>
      <w:r>
        <w:rPr>
          <w:sz w:val="18"/>
        </w:rPr>
        <w:t>costos</w:t>
      </w:r>
      <w:r>
        <w:rPr>
          <w:spacing w:val="-9"/>
          <w:sz w:val="18"/>
        </w:rPr>
        <w:t> </w:t>
      </w:r>
      <w:r>
        <w:rPr>
          <w:sz w:val="18"/>
        </w:rPr>
        <w:t>y</w:t>
      </w:r>
      <w:r>
        <w:rPr>
          <w:spacing w:val="-12"/>
          <w:sz w:val="18"/>
        </w:rPr>
        <w:t> </w:t>
      </w:r>
      <w:r>
        <w:rPr>
          <w:sz w:val="18"/>
        </w:rPr>
        <w:t>responsables</w:t>
      </w:r>
      <w:r>
        <w:rPr>
          <w:spacing w:val="-12"/>
          <w:sz w:val="18"/>
        </w:rPr>
        <w:t> </w:t>
      </w:r>
      <w:r>
        <w:rPr>
          <w:sz w:val="18"/>
        </w:rPr>
        <w:t>de</w:t>
      </w:r>
      <w:r>
        <w:rPr>
          <w:spacing w:val="-10"/>
          <w:sz w:val="18"/>
        </w:rPr>
        <w:t> </w:t>
      </w:r>
      <w:r>
        <w:rPr>
          <w:sz w:val="18"/>
        </w:rPr>
        <w:t>atender</w:t>
      </w:r>
    </w:p>
    <w:p>
      <w:pPr>
        <w:spacing w:before="4"/>
        <w:ind w:left="674" w:right="2321" w:firstLine="0"/>
        <w:jc w:val="both"/>
        <w:rPr>
          <w:sz w:val="18"/>
        </w:rPr>
      </w:pPr>
      <w:r>
        <w:rPr>
          <w:sz w:val="18"/>
        </w:rPr>
        <w:t>las solicitudes de acceso a la información, así como el registro de las solicitudes recibidas y atendidas;</w:t>
      </w:r>
    </w:p>
    <w:p>
      <w:pPr>
        <w:pStyle w:val="ListParagraph"/>
        <w:numPr>
          <w:ilvl w:val="3"/>
          <w:numId w:val="59"/>
        </w:numPr>
        <w:tabs>
          <w:tab w:pos="932" w:val="left" w:leader="none"/>
        </w:tabs>
        <w:spacing w:line="244" w:lineRule="auto" w:before="0" w:after="0"/>
        <w:ind w:left="674" w:right="2314" w:firstLine="0"/>
        <w:jc w:val="both"/>
        <w:rPr>
          <w:sz w:val="18"/>
        </w:rPr>
      </w:pPr>
      <w:r>
        <w:rPr>
          <w:sz w:val="18"/>
        </w:rPr>
        <w:t>Nombre, dirección, teléfono y horarios de atención al público de los responsables de las Unidades de</w:t>
      </w:r>
      <w:r>
        <w:rPr>
          <w:spacing w:val="-9"/>
          <w:sz w:val="18"/>
        </w:rPr>
        <w:t> </w:t>
      </w:r>
      <w:r>
        <w:rPr>
          <w:sz w:val="18"/>
        </w:rPr>
        <w:t>Información;</w:t>
      </w:r>
    </w:p>
    <w:p>
      <w:pPr>
        <w:pStyle w:val="ListParagraph"/>
        <w:numPr>
          <w:ilvl w:val="3"/>
          <w:numId w:val="59"/>
        </w:numPr>
        <w:tabs>
          <w:tab w:pos="942" w:val="left" w:leader="none"/>
        </w:tabs>
        <w:spacing w:line="244" w:lineRule="auto" w:before="0" w:after="0"/>
        <w:ind w:left="674" w:right="2319" w:firstLine="0"/>
        <w:jc w:val="both"/>
        <w:rPr>
          <w:sz w:val="18"/>
        </w:rPr>
      </w:pPr>
      <w:r>
        <w:rPr>
          <w:sz w:val="18"/>
        </w:rPr>
        <w:t>La</w:t>
      </w:r>
      <w:r>
        <w:rPr>
          <w:spacing w:val="-10"/>
          <w:sz w:val="18"/>
        </w:rPr>
        <w:t> </w:t>
      </w:r>
      <w:r>
        <w:rPr>
          <w:sz w:val="18"/>
        </w:rPr>
        <w:t>contenida</w:t>
      </w:r>
      <w:r>
        <w:rPr>
          <w:spacing w:val="-10"/>
          <w:sz w:val="18"/>
        </w:rPr>
        <w:t> </w:t>
      </w:r>
      <w:r>
        <w:rPr>
          <w:sz w:val="18"/>
        </w:rPr>
        <w:t>en</w:t>
      </w:r>
      <w:r>
        <w:rPr>
          <w:spacing w:val="-10"/>
          <w:sz w:val="18"/>
        </w:rPr>
        <w:t> </w:t>
      </w:r>
      <w:r>
        <w:rPr>
          <w:sz w:val="18"/>
        </w:rPr>
        <w:t>los</w:t>
      </w:r>
      <w:r>
        <w:rPr>
          <w:spacing w:val="-9"/>
          <w:sz w:val="18"/>
        </w:rPr>
        <w:t> </w:t>
      </w:r>
      <w:r>
        <w:rPr>
          <w:sz w:val="18"/>
        </w:rPr>
        <w:t>acuerdos</w:t>
      </w:r>
      <w:r>
        <w:rPr>
          <w:spacing w:val="-7"/>
          <w:sz w:val="18"/>
        </w:rPr>
        <w:t> </w:t>
      </w:r>
      <w:r>
        <w:rPr>
          <w:sz w:val="18"/>
        </w:rPr>
        <w:t>y</w:t>
      </w:r>
      <w:r>
        <w:rPr>
          <w:spacing w:val="-9"/>
          <w:sz w:val="18"/>
        </w:rPr>
        <w:t> </w:t>
      </w:r>
      <w:r>
        <w:rPr>
          <w:sz w:val="18"/>
        </w:rPr>
        <w:t>actas</w:t>
      </w:r>
      <w:r>
        <w:rPr>
          <w:spacing w:val="-7"/>
          <w:sz w:val="18"/>
        </w:rPr>
        <w:t> </w:t>
      </w:r>
      <w:r>
        <w:rPr>
          <w:sz w:val="18"/>
        </w:rPr>
        <w:t>de</w:t>
      </w:r>
      <w:r>
        <w:rPr>
          <w:spacing w:val="-10"/>
          <w:sz w:val="18"/>
        </w:rPr>
        <w:t> </w:t>
      </w:r>
      <w:r>
        <w:rPr>
          <w:sz w:val="18"/>
        </w:rPr>
        <w:t>las</w:t>
      </w:r>
      <w:r>
        <w:rPr>
          <w:spacing w:val="-7"/>
          <w:sz w:val="18"/>
        </w:rPr>
        <w:t> </w:t>
      </w:r>
      <w:r>
        <w:rPr>
          <w:sz w:val="18"/>
        </w:rPr>
        <w:t>reuniones</w:t>
      </w:r>
      <w:r>
        <w:rPr>
          <w:spacing w:val="-7"/>
          <w:sz w:val="18"/>
        </w:rPr>
        <w:t> </w:t>
      </w:r>
      <w:r>
        <w:rPr>
          <w:sz w:val="18"/>
        </w:rPr>
        <w:t>oficiales,</w:t>
      </w:r>
      <w:r>
        <w:rPr>
          <w:spacing w:val="-10"/>
          <w:sz w:val="18"/>
        </w:rPr>
        <w:t> </w:t>
      </w:r>
      <w:r>
        <w:rPr>
          <w:sz w:val="18"/>
        </w:rPr>
        <w:t>de</w:t>
      </w:r>
      <w:r>
        <w:rPr>
          <w:spacing w:val="-10"/>
          <w:sz w:val="18"/>
        </w:rPr>
        <w:t> </w:t>
      </w:r>
      <w:r>
        <w:rPr>
          <w:sz w:val="18"/>
        </w:rPr>
        <w:t>cualquier</w:t>
      </w:r>
      <w:r>
        <w:rPr>
          <w:spacing w:val="-10"/>
          <w:sz w:val="18"/>
        </w:rPr>
        <w:t> </w:t>
      </w:r>
      <w:r>
        <w:rPr>
          <w:sz w:val="18"/>
        </w:rPr>
        <w:t>órgano</w:t>
      </w:r>
      <w:r>
        <w:rPr>
          <w:spacing w:val="-10"/>
          <w:sz w:val="18"/>
        </w:rPr>
        <w:t> </w:t>
      </w:r>
      <w:r>
        <w:rPr>
          <w:sz w:val="18"/>
        </w:rPr>
        <w:t>colegiado de los Sujetos</w:t>
      </w:r>
      <w:r>
        <w:rPr>
          <w:spacing w:val="-7"/>
          <w:sz w:val="18"/>
        </w:rPr>
        <w:t> </w:t>
      </w:r>
      <w:r>
        <w:rPr>
          <w:sz w:val="18"/>
        </w:rPr>
        <w:t>Obligados;</w:t>
      </w:r>
    </w:p>
    <w:p>
      <w:pPr>
        <w:pStyle w:val="ListParagraph"/>
        <w:numPr>
          <w:ilvl w:val="3"/>
          <w:numId w:val="59"/>
        </w:numPr>
        <w:tabs>
          <w:tab w:pos="1014" w:val="left" w:leader="none"/>
        </w:tabs>
        <w:spacing w:line="244" w:lineRule="auto" w:before="0" w:after="0"/>
        <w:ind w:left="674" w:right="2324" w:firstLine="0"/>
        <w:jc w:val="both"/>
        <w:rPr>
          <w:sz w:val="18"/>
        </w:rPr>
      </w:pPr>
      <w:r>
        <w:rPr>
          <w:sz w:val="18"/>
        </w:rPr>
        <w:t>Presupuesto asignado y los informes sobre su ejecución, en los términos que establece el Presupuesto de Egresos del Gobierno del</w:t>
      </w:r>
      <w:r>
        <w:rPr>
          <w:spacing w:val="-19"/>
          <w:sz w:val="18"/>
        </w:rPr>
        <w:t> </w:t>
      </w:r>
      <w:r>
        <w:rPr>
          <w:sz w:val="18"/>
        </w:rPr>
        <w:t>Estado;</w:t>
      </w:r>
    </w:p>
    <w:p>
      <w:pPr>
        <w:pStyle w:val="ListParagraph"/>
        <w:numPr>
          <w:ilvl w:val="3"/>
          <w:numId w:val="59"/>
        </w:numPr>
        <w:tabs>
          <w:tab w:pos="1045" w:val="left" w:leader="none"/>
        </w:tabs>
        <w:spacing w:line="242" w:lineRule="auto" w:before="0" w:after="0"/>
        <w:ind w:left="674" w:right="2318" w:firstLine="0"/>
        <w:jc w:val="both"/>
        <w:rPr>
          <w:sz w:val="18"/>
        </w:rPr>
      </w:pPr>
      <w:r>
        <w:rPr>
          <w:sz w:val="18"/>
        </w:rPr>
        <w:t>Padrones</w:t>
      </w:r>
      <w:r>
        <w:rPr>
          <w:spacing w:val="-7"/>
          <w:sz w:val="18"/>
        </w:rPr>
        <w:t> </w:t>
      </w:r>
      <w:r>
        <w:rPr>
          <w:sz w:val="18"/>
        </w:rPr>
        <w:t>de</w:t>
      </w:r>
      <w:r>
        <w:rPr>
          <w:spacing w:val="-7"/>
          <w:sz w:val="18"/>
        </w:rPr>
        <w:t> </w:t>
      </w:r>
      <w:r>
        <w:rPr>
          <w:sz w:val="18"/>
        </w:rPr>
        <w:t>beneficiarios</w:t>
      </w:r>
      <w:r>
        <w:rPr>
          <w:spacing w:val="-7"/>
          <w:sz w:val="18"/>
        </w:rPr>
        <w:t> </w:t>
      </w:r>
      <w:r>
        <w:rPr>
          <w:sz w:val="18"/>
        </w:rPr>
        <w:t>de</w:t>
      </w:r>
      <w:r>
        <w:rPr>
          <w:spacing w:val="-7"/>
          <w:sz w:val="18"/>
        </w:rPr>
        <w:t> </w:t>
      </w:r>
      <w:r>
        <w:rPr>
          <w:sz w:val="18"/>
        </w:rPr>
        <w:t>los</w:t>
      </w:r>
      <w:r>
        <w:rPr>
          <w:spacing w:val="-7"/>
          <w:sz w:val="18"/>
        </w:rPr>
        <w:t> </w:t>
      </w:r>
      <w:r>
        <w:rPr>
          <w:sz w:val="18"/>
        </w:rPr>
        <w:t>programas</w:t>
      </w:r>
      <w:r>
        <w:rPr>
          <w:spacing w:val="-7"/>
          <w:sz w:val="18"/>
        </w:rPr>
        <w:t> </w:t>
      </w:r>
      <w:r>
        <w:rPr>
          <w:sz w:val="18"/>
        </w:rPr>
        <w:t>desarrollados</w:t>
      </w:r>
      <w:r>
        <w:rPr>
          <w:spacing w:val="-7"/>
          <w:sz w:val="18"/>
        </w:rPr>
        <w:t> </w:t>
      </w:r>
      <w:r>
        <w:rPr>
          <w:sz w:val="18"/>
        </w:rPr>
        <w:t>por</w:t>
      </w:r>
      <w:r>
        <w:rPr>
          <w:spacing w:val="-8"/>
          <w:sz w:val="18"/>
        </w:rPr>
        <w:t> </w:t>
      </w:r>
      <w:r>
        <w:rPr>
          <w:sz w:val="18"/>
        </w:rPr>
        <w:t>el</w:t>
      </w:r>
      <w:r>
        <w:rPr>
          <w:spacing w:val="-7"/>
          <w:sz w:val="18"/>
        </w:rPr>
        <w:t> </w:t>
      </w:r>
      <w:r>
        <w:rPr>
          <w:sz w:val="18"/>
        </w:rPr>
        <w:t>Estado</w:t>
      </w:r>
      <w:r>
        <w:rPr>
          <w:spacing w:val="-7"/>
          <w:sz w:val="18"/>
        </w:rPr>
        <w:t> </w:t>
      </w:r>
      <w:r>
        <w:rPr>
          <w:sz w:val="18"/>
        </w:rPr>
        <w:t>y</w:t>
      </w:r>
      <w:r>
        <w:rPr>
          <w:spacing w:val="-7"/>
          <w:sz w:val="18"/>
        </w:rPr>
        <w:t> </w:t>
      </w:r>
      <w:r>
        <w:rPr>
          <w:sz w:val="18"/>
        </w:rPr>
        <w:t>los</w:t>
      </w:r>
      <w:r>
        <w:rPr>
          <w:spacing w:val="-7"/>
          <w:sz w:val="18"/>
        </w:rPr>
        <w:t> </w:t>
      </w:r>
      <w:r>
        <w:rPr>
          <w:sz w:val="18"/>
        </w:rPr>
        <w:t>municipios,</w:t>
      </w:r>
      <w:r>
        <w:rPr>
          <w:spacing w:val="-8"/>
          <w:sz w:val="18"/>
        </w:rPr>
        <w:t> </w:t>
      </w:r>
      <w:r>
        <w:rPr>
          <w:sz w:val="18"/>
        </w:rPr>
        <w:t>así como información disponible sobre el diseño, montos, acceso y ejecución de los programas de subsidio, siempre y cuando la publicación de estos datos no produzca discriminación. Esta disposición solo será aplicable en aquellos programas que por su naturaleza y características permitan la integración de los padrones de</w:t>
      </w:r>
      <w:r>
        <w:rPr>
          <w:spacing w:val="-24"/>
          <w:sz w:val="18"/>
        </w:rPr>
        <w:t> </w:t>
      </w:r>
      <w:r>
        <w:rPr>
          <w:sz w:val="18"/>
        </w:rPr>
        <w:t>referencia;</w:t>
      </w:r>
    </w:p>
    <w:p>
      <w:pPr>
        <w:pStyle w:val="BodyText"/>
        <w:spacing w:before="4"/>
        <w:rPr>
          <w:sz w:val="14"/>
        </w:rPr>
      </w:pPr>
      <w:r>
        <w:rPr/>
        <w:pict>
          <v:line style="position:absolute;mso-position-horizontal-relative:page;mso-position-vertical-relative:paragraph;z-index:8296;mso-wrap-distance-left:0;mso-wrap-distance-right:0" from="80.424004pt,10.59221pt" to="224.444004pt,10.59221pt" stroked="true" strokeweight=".72003pt" strokecolor="#000000">
            <w10:wrap type="topAndBottom"/>
          </v:line>
        </w:pict>
      </w:r>
    </w:p>
    <w:p>
      <w:pPr>
        <w:spacing w:before="69"/>
        <w:ind w:left="108" w:right="0" w:firstLine="0"/>
        <w:jc w:val="left"/>
        <w:rPr>
          <w:sz w:val="14"/>
        </w:rPr>
      </w:pPr>
      <w:r>
        <w:rPr>
          <w:position w:val="5"/>
          <w:sz w:val="9"/>
        </w:rPr>
        <w:t>37 </w:t>
      </w:r>
      <w:r>
        <w:rPr>
          <w:sz w:val="14"/>
        </w:rPr>
        <w:t>Esta afirmación se hace debido a que no todos los gobiernos municipales tenían publicada la información que marca la ley.</w:t>
      </w:r>
    </w:p>
    <w:p>
      <w:pPr>
        <w:spacing w:after="0"/>
        <w:jc w:val="left"/>
        <w:rPr>
          <w:sz w:val="14"/>
        </w:rPr>
        <w:sectPr>
          <w:pgSz w:w="12240" w:h="15840"/>
          <w:pgMar w:header="0" w:footer="1035" w:top="1500" w:bottom="1220" w:left="1500" w:right="0"/>
        </w:sectPr>
      </w:pPr>
    </w:p>
    <w:p>
      <w:pPr>
        <w:pStyle w:val="ListParagraph"/>
        <w:numPr>
          <w:ilvl w:val="3"/>
          <w:numId w:val="59"/>
        </w:numPr>
        <w:tabs>
          <w:tab w:pos="963" w:val="left" w:leader="none"/>
        </w:tabs>
        <w:spacing w:line="244" w:lineRule="auto" w:before="50" w:after="0"/>
        <w:ind w:left="674" w:right="735" w:firstLine="0"/>
        <w:jc w:val="both"/>
        <w:rPr>
          <w:sz w:val="18"/>
        </w:rPr>
      </w:pPr>
      <w:r>
        <w:rPr>
          <w:sz w:val="18"/>
        </w:rPr>
        <w:t>La situación financiera de los municipios, Poder Legislativo y sus órganos, Poder Judicial y Consejo</w:t>
      </w:r>
      <w:r>
        <w:rPr>
          <w:spacing w:val="-4"/>
          <w:sz w:val="18"/>
        </w:rPr>
        <w:t> </w:t>
      </w:r>
      <w:r>
        <w:rPr>
          <w:sz w:val="18"/>
        </w:rPr>
        <w:t>de</w:t>
      </w:r>
      <w:r>
        <w:rPr>
          <w:spacing w:val="-4"/>
          <w:sz w:val="18"/>
        </w:rPr>
        <w:t> </w:t>
      </w:r>
      <w:r>
        <w:rPr>
          <w:sz w:val="18"/>
        </w:rPr>
        <w:t>la</w:t>
      </w:r>
      <w:r>
        <w:rPr>
          <w:spacing w:val="-6"/>
          <w:sz w:val="18"/>
        </w:rPr>
        <w:t> </w:t>
      </w:r>
      <w:r>
        <w:rPr>
          <w:sz w:val="18"/>
        </w:rPr>
        <w:t>Judicatura,</w:t>
      </w:r>
      <w:r>
        <w:rPr>
          <w:spacing w:val="-4"/>
          <w:sz w:val="18"/>
        </w:rPr>
        <w:t> </w:t>
      </w:r>
      <w:r>
        <w:rPr>
          <w:sz w:val="18"/>
        </w:rPr>
        <w:t>Tribunales</w:t>
      </w:r>
      <w:r>
        <w:rPr>
          <w:spacing w:val="-3"/>
          <w:sz w:val="18"/>
        </w:rPr>
        <w:t> </w:t>
      </w:r>
      <w:r>
        <w:rPr>
          <w:sz w:val="18"/>
        </w:rPr>
        <w:t>Administrativos,</w:t>
      </w:r>
      <w:r>
        <w:rPr>
          <w:spacing w:val="-4"/>
          <w:sz w:val="18"/>
        </w:rPr>
        <w:t> </w:t>
      </w:r>
      <w:r>
        <w:rPr>
          <w:sz w:val="18"/>
        </w:rPr>
        <w:t>Órganos</w:t>
      </w:r>
      <w:r>
        <w:rPr>
          <w:spacing w:val="-3"/>
          <w:sz w:val="18"/>
        </w:rPr>
        <w:t> </w:t>
      </w:r>
      <w:r>
        <w:rPr>
          <w:sz w:val="18"/>
        </w:rPr>
        <w:t>Autónomos,</w:t>
      </w:r>
      <w:r>
        <w:rPr>
          <w:spacing w:val="-4"/>
          <w:sz w:val="18"/>
        </w:rPr>
        <w:t> </w:t>
      </w:r>
      <w:r>
        <w:rPr>
          <w:sz w:val="18"/>
        </w:rPr>
        <w:t>así</w:t>
      </w:r>
      <w:r>
        <w:rPr>
          <w:spacing w:val="-4"/>
          <w:sz w:val="18"/>
        </w:rPr>
        <w:t> </w:t>
      </w:r>
      <w:r>
        <w:rPr>
          <w:sz w:val="18"/>
        </w:rPr>
        <w:t>como</w:t>
      </w:r>
      <w:r>
        <w:rPr>
          <w:spacing w:val="-4"/>
          <w:sz w:val="18"/>
        </w:rPr>
        <w:t> </w:t>
      </w:r>
      <w:r>
        <w:rPr>
          <w:sz w:val="18"/>
        </w:rPr>
        <w:t>de</w:t>
      </w:r>
      <w:r>
        <w:rPr>
          <w:spacing w:val="-4"/>
          <w:sz w:val="18"/>
        </w:rPr>
        <w:t> </w:t>
      </w:r>
      <w:r>
        <w:rPr>
          <w:sz w:val="18"/>
        </w:rPr>
        <w:t>la</w:t>
      </w:r>
      <w:r>
        <w:rPr>
          <w:spacing w:val="-6"/>
          <w:sz w:val="18"/>
        </w:rPr>
        <w:t> </w:t>
      </w:r>
      <w:r>
        <w:rPr>
          <w:sz w:val="18"/>
        </w:rPr>
        <w:t>deuda pública</w:t>
      </w:r>
      <w:r>
        <w:rPr>
          <w:spacing w:val="-6"/>
          <w:sz w:val="18"/>
        </w:rPr>
        <w:t> </w:t>
      </w:r>
      <w:r>
        <w:rPr>
          <w:sz w:val="18"/>
        </w:rPr>
        <w:t>municipal,</w:t>
      </w:r>
      <w:r>
        <w:rPr>
          <w:spacing w:val="-5"/>
          <w:sz w:val="18"/>
        </w:rPr>
        <w:t> </w:t>
      </w:r>
      <w:r>
        <w:rPr>
          <w:sz w:val="18"/>
        </w:rPr>
        <w:t>conforme</w:t>
      </w:r>
      <w:r>
        <w:rPr>
          <w:spacing w:val="-6"/>
          <w:sz w:val="18"/>
        </w:rPr>
        <w:t> </w:t>
      </w:r>
      <w:r>
        <w:rPr>
          <w:sz w:val="18"/>
        </w:rPr>
        <w:t>a</w:t>
      </w:r>
      <w:r>
        <w:rPr>
          <w:spacing w:val="-6"/>
          <w:sz w:val="18"/>
        </w:rPr>
        <w:t> </w:t>
      </w:r>
      <w:r>
        <w:rPr>
          <w:sz w:val="18"/>
        </w:rPr>
        <w:t>las</w:t>
      </w:r>
      <w:r>
        <w:rPr>
          <w:spacing w:val="-5"/>
          <w:sz w:val="18"/>
        </w:rPr>
        <w:t> </w:t>
      </w:r>
      <w:r>
        <w:rPr>
          <w:sz w:val="18"/>
        </w:rPr>
        <w:t>disposiciones</w:t>
      </w:r>
      <w:r>
        <w:rPr>
          <w:spacing w:val="-4"/>
          <w:sz w:val="18"/>
        </w:rPr>
        <w:t> </w:t>
      </w:r>
      <w:r>
        <w:rPr>
          <w:sz w:val="18"/>
        </w:rPr>
        <w:t>legales</w:t>
      </w:r>
      <w:r>
        <w:rPr>
          <w:spacing w:val="-6"/>
          <w:sz w:val="18"/>
        </w:rPr>
        <w:t> </w:t>
      </w:r>
      <w:r>
        <w:rPr>
          <w:sz w:val="18"/>
        </w:rPr>
        <w:t>aplicables;</w:t>
      </w:r>
    </w:p>
    <w:p>
      <w:pPr>
        <w:pStyle w:val="ListParagraph"/>
        <w:numPr>
          <w:ilvl w:val="3"/>
          <w:numId w:val="59"/>
        </w:numPr>
        <w:tabs>
          <w:tab w:pos="891" w:val="left" w:leader="none"/>
        </w:tabs>
        <w:spacing w:line="244" w:lineRule="auto" w:before="0" w:after="0"/>
        <w:ind w:left="674" w:right="731" w:firstLine="0"/>
        <w:jc w:val="both"/>
        <w:rPr>
          <w:sz w:val="18"/>
        </w:rPr>
      </w:pPr>
      <w:r>
        <w:rPr>
          <w:sz w:val="18"/>
        </w:rPr>
        <w:t>La</w:t>
      </w:r>
      <w:r>
        <w:rPr>
          <w:spacing w:val="-6"/>
          <w:sz w:val="18"/>
        </w:rPr>
        <w:t> </w:t>
      </w:r>
      <w:r>
        <w:rPr>
          <w:sz w:val="18"/>
        </w:rPr>
        <w:t>que</w:t>
      </w:r>
      <w:r>
        <w:rPr>
          <w:spacing w:val="-6"/>
          <w:sz w:val="18"/>
        </w:rPr>
        <w:t> </w:t>
      </w:r>
      <w:r>
        <w:rPr>
          <w:sz w:val="18"/>
        </w:rPr>
        <w:t>proporcionen</w:t>
      </w:r>
      <w:r>
        <w:rPr>
          <w:spacing w:val="-9"/>
          <w:sz w:val="18"/>
        </w:rPr>
        <w:t> </w:t>
      </w:r>
      <w:r>
        <w:rPr>
          <w:sz w:val="18"/>
        </w:rPr>
        <w:t>los</w:t>
      </w:r>
      <w:r>
        <w:rPr>
          <w:spacing w:val="-6"/>
          <w:sz w:val="18"/>
        </w:rPr>
        <w:t> </w:t>
      </w:r>
      <w:r>
        <w:rPr>
          <w:sz w:val="18"/>
        </w:rPr>
        <w:t>partidos</w:t>
      </w:r>
      <w:r>
        <w:rPr>
          <w:spacing w:val="-6"/>
          <w:sz w:val="18"/>
        </w:rPr>
        <w:t> </w:t>
      </w:r>
      <w:r>
        <w:rPr>
          <w:sz w:val="18"/>
        </w:rPr>
        <w:t>políticos</w:t>
      </w:r>
      <w:r>
        <w:rPr>
          <w:spacing w:val="-6"/>
          <w:sz w:val="18"/>
        </w:rPr>
        <w:t> </w:t>
      </w:r>
      <w:r>
        <w:rPr>
          <w:sz w:val="18"/>
        </w:rPr>
        <w:t>a</w:t>
      </w:r>
      <w:r>
        <w:rPr>
          <w:spacing w:val="-9"/>
          <w:sz w:val="18"/>
        </w:rPr>
        <w:t> </w:t>
      </w:r>
      <w:r>
        <w:rPr>
          <w:sz w:val="18"/>
        </w:rPr>
        <w:t>la</w:t>
      </w:r>
      <w:r>
        <w:rPr>
          <w:spacing w:val="-6"/>
          <w:sz w:val="18"/>
        </w:rPr>
        <w:t> </w:t>
      </w:r>
      <w:r>
        <w:rPr>
          <w:sz w:val="18"/>
        </w:rPr>
        <w:t>autoridad</w:t>
      </w:r>
      <w:r>
        <w:rPr>
          <w:spacing w:val="-9"/>
          <w:sz w:val="18"/>
        </w:rPr>
        <w:t> </w:t>
      </w:r>
      <w:r>
        <w:rPr>
          <w:sz w:val="18"/>
        </w:rPr>
        <w:t>electoral,</w:t>
      </w:r>
      <w:r>
        <w:rPr>
          <w:spacing w:val="-7"/>
          <w:sz w:val="18"/>
        </w:rPr>
        <w:t> </w:t>
      </w:r>
      <w:r>
        <w:rPr>
          <w:sz w:val="18"/>
        </w:rPr>
        <w:t>a</w:t>
      </w:r>
      <w:r>
        <w:rPr>
          <w:spacing w:val="-9"/>
          <w:sz w:val="18"/>
        </w:rPr>
        <w:t> </w:t>
      </w:r>
      <w:r>
        <w:rPr>
          <w:sz w:val="18"/>
        </w:rPr>
        <w:t>la</w:t>
      </w:r>
      <w:r>
        <w:rPr>
          <w:spacing w:val="-9"/>
          <w:sz w:val="18"/>
        </w:rPr>
        <w:t> </w:t>
      </w:r>
      <w:r>
        <w:rPr>
          <w:sz w:val="18"/>
        </w:rPr>
        <w:t>que</w:t>
      </w:r>
      <w:r>
        <w:rPr>
          <w:spacing w:val="-5"/>
          <w:sz w:val="18"/>
        </w:rPr>
        <w:t> </w:t>
      </w:r>
      <w:r>
        <w:rPr>
          <w:sz w:val="18"/>
        </w:rPr>
        <w:t>solo</w:t>
      </w:r>
      <w:r>
        <w:rPr>
          <w:spacing w:val="-6"/>
          <w:sz w:val="18"/>
        </w:rPr>
        <w:t> </w:t>
      </w:r>
      <w:r>
        <w:rPr>
          <w:sz w:val="18"/>
        </w:rPr>
        <w:t>tendrán</w:t>
      </w:r>
      <w:r>
        <w:rPr>
          <w:spacing w:val="-6"/>
          <w:sz w:val="18"/>
        </w:rPr>
        <w:t> </w:t>
      </w:r>
      <w:r>
        <w:rPr>
          <w:sz w:val="18"/>
        </w:rPr>
        <w:t>acceso los</w:t>
      </w:r>
      <w:r>
        <w:rPr>
          <w:spacing w:val="-5"/>
          <w:sz w:val="18"/>
        </w:rPr>
        <w:t> </w:t>
      </w:r>
      <w:r>
        <w:rPr>
          <w:sz w:val="18"/>
        </w:rPr>
        <w:t>mexicanos;</w:t>
      </w:r>
    </w:p>
    <w:p>
      <w:pPr>
        <w:pStyle w:val="ListParagraph"/>
        <w:numPr>
          <w:ilvl w:val="3"/>
          <w:numId w:val="59"/>
        </w:numPr>
        <w:tabs>
          <w:tab w:pos="975" w:val="left" w:leader="none"/>
        </w:tabs>
        <w:spacing w:line="242" w:lineRule="auto" w:before="0" w:after="0"/>
        <w:ind w:left="674" w:right="735" w:firstLine="0"/>
        <w:jc w:val="both"/>
        <w:rPr>
          <w:sz w:val="18"/>
        </w:rPr>
      </w:pPr>
      <w:r>
        <w:rPr>
          <w:sz w:val="18"/>
        </w:rPr>
        <w:t>Los procesos de licitación y contratación para la adquisición de bienes, arrendamientos y prestación</w:t>
      </w:r>
      <w:r>
        <w:rPr>
          <w:spacing w:val="-14"/>
          <w:sz w:val="18"/>
        </w:rPr>
        <w:t> </w:t>
      </w:r>
      <w:r>
        <w:rPr>
          <w:sz w:val="18"/>
        </w:rPr>
        <w:t>de</w:t>
      </w:r>
      <w:r>
        <w:rPr>
          <w:spacing w:val="-16"/>
          <w:sz w:val="18"/>
        </w:rPr>
        <w:t> </w:t>
      </w:r>
      <w:r>
        <w:rPr>
          <w:sz w:val="18"/>
        </w:rPr>
        <w:t>servicios</w:t>
      </w:r>
      <w:r>
        <w:rPr>
          <w:spacing w:val="-15"/>
          <w:sz w:val="18"/>
        </w:rPr>
        <w:t> </w:t>
      </w:r>
      <w:r>
        <w:rPr>
          <w:sz w:val="18"/>
        </w:rPr>
        <w:t>que</w:t>
      </w:r>
      <w:r>
        <w:rPr>
          <w:spacing w:val="-14"/>
          <w:sz w:val="18"/>
        </w:rPr>
        <w:t> </w:t>
      </w:r>
      <w:r>
        <w:rPr>
          <w:sz w:val="18"/>
        </w:rPr>
        <w:t>hayan</w:t>
      </w:r>
      <w:r>
        <w:rPr>
          <w:spacing w:val="-14"/>
          <w:sz w:val="18"/>
        </w:rPr>
        <w:t> </w:t>
      </w:r>
      <w:r>
        <w:rPr>
          <w:sz w:val="18"/>
        </w:rPr>
        <w:t>celebrado</w:t>
      </w:r>
      <w:r>
        <w:rPr>
          <w:spacing w:val="-16"/>
          <w:sz w:val="18"/>
        </w:rPr>
        <w:t> </w:t>
      </w:r>
      <w:r>
        <w:rPr>
          <w:sz w:val="18"/>
        </w:rPr>
        <w:t>en</w:t>
      </w:r>
      <w:r>
        <w:rPr>
          <w:spacing w:val="-14"/>
          <w:sz w:val="18"/>
        </w:rPr>
        <w:t> </w:t>
      </w:r>
      <w:r>
        <w:rPr>
          <w:sz w:val="18"/>
        </w:rPr>
        <w:t>el</w:t>
      </w:r>
      <w:r>
        <w:rPr>
          <w:spacing w:val="-13"/>
          <w:sz w:val="18"/>
        </w:rPr>
        <w:t> </w:t>
      </w:r>
      <w:r>
        <w:rPr>
          <w:sz w:val="18"/>
        </w:rPr>
        <w:t>área</w:t>
      </w:r>
      <w:r>
        <w:rPr>
          <w:spacing w:val="-14"/>
          <w:sz w:val="18"/>
        </w:rPr>
        <w:t> </w:t>
      </w:r>
      <w:r>
        <w:rPr>
          <w:sz w:val="18"/>
        </w:rPr>
        <w:t>de</w:t>
      </w:r>
      <w:r>
        <w:rPr>
          <w:spacing w:val="-16"/>
          <w:sz w:val="18"/>
        </w:rPr>
        <w:t> </w:t>
      </w:r>
      <w:r>
        <w:rPr>
          <w:sz w:val="18"/>
        </w:rPr>
        <w:t>su</w:t>
      </w:r>
      <w:r>
        <w:rPr>
          <w:spacing w:val="-16"/>
          <w:sz w:val="18"/>
        </w:rPr>
        <w:t> </w:t>
      </w:r>
      <w:r>
        <w:rPr>
          <w:sz w:val="18"/>
        </w:rPr>
        <w:t>responsabilidad</w:t>
      </w:r>
      <w:r>
        <w:rPr>
          <w:spacing w:val="-14"/>
          <w:sz w:val="18"/>
        </w:rPr>
        <w:t> </w:t>
      </w:r>
      <w:r>
        <w:rPr>
          <w:sz w:val="18"/>
        </w:rPr>
        <w:t>con</w:t>
      </w:r>
      <w:r>
        <w:rPr>
          <w:spacing w:val="-6"/>
          <w:sz w:val="18"/>
        </w:rPr>
        <w:t> </w:t>
      </w:r>
      <w:r>
        <w:rPr>
          <w:sz w:val="18"/>
        </w:rPr>
        <w:t>personas</w:t>
      </w:r>
      <w:r>
        <w:rPr>
          <w:spacing w:val="-15"/>
          <w:sz w:val="18"/>
        </w:rPr>
        <w:t> </w:t>
      </w:r>
      <w:r>
        <w:rPr>
          <w:sz w:val="18"/>
        </w:rPr>
        <w:t>físicas o morales de derecho</w:t>
      </w:r>
      <w:r>
        <w:rPr>
          <w:spacing w:val="-12"/>
          <w:sz w:val="18"/>
        </w:rPr>
        <w:t> </w:t>
      </w:r>
      <w:r>
        <w:rPr>
          <w:sz w:val="18"/>
        </w:rPr>
        <w:t>privado;</w:t>
      </w:r>
    </w:p>
    <w:p>
      <w:pPr>
        <w:pStyle w:val="ListParagraph"/>
        <w:numPr>
          <w:ilvl w:val="3"/>
          <w:numId w:val="59"/>
        </w:numPr>
        <w:tabs>
          <w:tab w:pos="997" w:val="left" w:leader="none"/>
        </w:tabs>
        <w:spacing w:line="200" w:lineRule="exact" w:before="0" w:after="0"/>
        <w:ind w:left="996" w:right="0" w:hanging="322"/>
        <w:jc w:val="both"/>
        <w:rPr>
          <w:sz w:val="18"/>
        </w:rPr>
      </w:pPr>
      <w:r>
        <w:rPr>
          <w:sz w:val="18"/>
        </w:rPr>
        <w:t>Convenios que suscriban con otros entes de los sectores público, social y</w:t>
      </w:r>
      <w:r>
        <w:rPr>
          <w:spacing w:val="-30"/>
          <w:sz w:val="18"/>
        </w:rPr>
        <w:t> </w:t>
      </w:r>
      <w:r>
        <w:rPr>
          <w:sz w:val="18"/>
        </w:rPr>
        <w:t>privado;</w:t>
      </w:r>
    </w:p>
    <w:p>
      <w:pPr>
        <w:pStyle w:val="ListParagraph"/>
        <w:numPr>
          <w:ilvl w:val="3"/>
          <w:numId w:val="59"/>
        </w:numPr>
        <w:tabs>
          <w:tab w:pos="1059" w:val="left" w:leader="none"/>
        </w:tabs>
        <w:spacing w:line="244" w:lineRule="auto" w:before="2" w:after="0"/>
        <w:ind w:left="674" w:right="742" w:firstLine="0"/>
        <w:jc w:val="both"/>
        <w:rPr>
          <w:sz w:val="18"/>
        </w:rPr>
      </w:pPr>
      <w:r>
        <w:rPr>
          <w:sz w:val="18"/>
        </w:rPr>
        <w:t>Mecanismos de participación ciudadana en los procesos de elaboración, implementación y evaluación de políticas públicas y toma de</w:t>
      </w:r>
      <w:r>
        <w:rPr>
          <w:spacing w:val="-24"/>
          <w:sz w:val="18"/>
        </w:rPr>
        <w:t> </w:t>
      </w:r>
      <w:r>
        <w:rPr>
          <w:sz w:val="18"/>
        </w:rPr>
        <w:t>decisiones;</w:t>
      </w:r>
    </w:p>
    <w:p>
      <w:pPr>
        <w:pStyle w:val="ListParagraph"/>
        <w:numPr>
          <w:ilvl w:val="3"/>
          <w:numId w:val="59"/>
        </w:numPr>
        <w:tabs>
          <w:tab w:pos="1102" w:val="left" w:leader="none"/>
        </w:tabs>
        <w:spacing w:line="244" w:lineRule="auto" w:before="0" w:after="0"/>
        <w:ind w:left="674" w:right="741" w:firstLine="0"/>
        <w:jc w:val="both"/>
        <w:rPr>
          <w:sz w:val="18"/>
        </w:rPr>
      </w:pPr>
      <w:r>
        <w:rPr>
          <w:sz w:val="18"/>
        </w:rPr>
        <w:t>Planeación, programación y contenidos de la información que difundan a través de los diversos medios escritos y</w:t>
      </w:r>
      <w:r>
        <w:rPr>
          <w:spacing w:val="-15"/>
          <w:sz w:val="18"/>
        </w:rPr>
        <w:t> </w:t>
      </w:r>
      <w:r>
        <w:rPr>
          <w:sz w:val="18"/>
        </w:rPr>
        <w:t>electrónicos;</w:t>
      </w:r>
    </w:p>
    <w:p>
      <w:pPr>
        <w:pStyle w:val="ListParagraph"/>
        <w:numPr>
          <w:ilvl w:val="3"/>
          <w:numId w:val="59"/>
        </w:numPr>
        <w:tabs>
          <w:tab w:pos="1016" w:val="left" w:leader="none"/>
        </w:tabs>
        <w:spacing w:line="200" w:lineRule="exact" w:before="0" w:after="0"/>
        <w:ind w:left="1015" w:right="0" w:hanging="341"/>
        <w:jc w:val="both"/>
        <w:rPr>
          <w:sz w:val="18"/>
        </w:rPr>
      </w:pPr>
      <w:r>
        <w:rPr>
          <w:sz w:val="18"/>
        </w:rPr>
        <w:t>Agenda</w:t>
      </w:r>
      <w:r>
        <w:rPr>
          <w:spacing w:val="-3"/>
          <w:sz w:val="18"/>
        </w:rPr>
        <w:t> </w:t>
      </w:r>
      <w:r>
        <w:rPr>
          <w:sz w:val="18"/>
        </w:rPr>
        <w:t>de</w:t>
      </w:r>
      <w:r>
        <w:rPr>
          <w:spacing w:val="-5"/>
          <w:sz w:val="18"/>
        </w:rPr>
        <w:t> </w:t>
      </w:r>
      <w:r>
        <w:rPr>
          <w:sz w:val="18"/>
        </w:rPr>
        <w:t>reuniones</w:t>
      </w:r>
      <w:r>
        <w:rPr>
          <w:spacing w:val="-4"/>
          <w:sz w:val="18"/>
        </w:rPr>
        <w:t> </w:t>
      </w:r>
      <w:r>
        <w:rPr>
          <w:sz w:val="18"/>
        </w:rPr>
        <w:t>públicas</w:t>
      </w:r>
      <w:r>
        <w:rPr>
          <w:spacing w:val="-2"/>
          <w:sz w:val="18"/>
        </w:rPr>
        <w:t> </w:t>
      </w:r>
      <w:r>
        <w:rPr>
          <w:sz w:val="18"/>
        </w:rPr>
        <w:t>a</w:t>
      </w:r>
      <w:r>
        <w:rPr>
          <w:spacing w:val="-5"/>
          <w:sz w:val="18"/>
        </w:rPr>
        <w:t> </w:t>
      </w:r>
      <w:r>
        <w:rPr>
          <w:sz w:val="18"/>
        </w:rPr>
        <w:t>las</w:t>
      </w:r>
      <w:r>
        <w:rPr>
          <w:spacing w:val="-5"/>
          <w:sz w:val="18"/>
        </w:rPr>
        <w:t> </w:t>
      </w:r>
      <w:r>
        <w:rPr>
          <w:sz w:val="18"/>
        </w:rPr>
        <w:t>que</w:t>
      </w:r>
      <w:r>
        <w:rPr>
          <w:spacing w:val="-5"/>
          <w:sz w:val="18"/>
        </w:rPr>
        <w:t> </w:t>
      </w:r>
      <w:r>
        <w:rPr>
          <w:sz w:val="18"/>
        </w:rPr>
        <w:t>convoquen</w:t>
      </w:r>
      <w:r>
        <w:rPr>
          <w:spacing w:val="-3"/>
          <w:sz w:val="18"/>
        </w:rPr>
        <w:t> </w:t>
      </w:r>
      <w:r>
        <w:rPr>
          <w:sz w:val="18"/>
        </w:rPr>
        <w:t>los</w:t>
      </w:r>
      <w:r>
        <w:rPr>
          <w:spacing w:val="-2"/>
          <w:sz w:val="18"/>
        </w:rPr>
        <w:t> </w:t>
      </w:r>
      <w:r>
        <w:rPr>
          <w:sz w:val="18"/>
        </w:rPr>
        <w:t>titulares</w:t>
      </w:r>
      <w:r>
        <w:rPr>
          <w:spacing w:val="-2"/>
          <w:sz w:val="18"/>
        </w:rPr>
        <w:t> </w:t>
      </w:r>
      <w:r>
        <w:rPr>
          <w:sz w:val="18"/>
        </w:rPr>
        <w:t>de</w:t>
      </w:r>
      <w:r>
        <w:rPr>
          <w:spacing w:val="-3"/>
          <w:sz w:val="18"/>
        </w:rPr>
        <w:t> </w:t>
      </w:r>
      <w:r>
        <w:rPr>
          <w:sz w:val="18"/>
        </w:rPr>
        <w:t>los</w:t>
      </w:r>
      <w:r>
        <w:rPr>
          <w:spacing w:val="-4"/>
          <w:sz w:val="18"/>
        </w:rPr>
        <w:t> </w:t>
      </w:r>
      <w:r>
        <w:rPr>
          <w:sz w:val="18"/>
        </w:rPr>
        <w:t>sujetos</w:t>
      </w:r>
      <w:r>
        <w:rPr>
          <w:spacing w:val="-5"/>
          <w:sz w:val="18"/>
        </w:rPr>
        <w:t> </w:t>
      </w:r>
      <w:r>
        <w:rPr>
          <w:sz w:val="18"/>
        </w:rPr>
        <w:t>obligados;</w:t>
      </w:r>
    </w:p>
    <w:p>
      <w:pPr>
        <w:pStyle w:val="ListParagraph"/>
        <w:numPr>
          <w:ilvl w:val="3"/>
          <w:numId w:val="59"/>
        </w:numPr>
        <w:tabs>
          <w:tab w:pos="1078" w:val="left" w:leader="none"/>
        </w:tabs>
        <w:spacing w:line="244" w:lineRule="auto" w:before="0" w:after="0"/>
        <w:ind w:left="674" w:right="740" w:firstLine="0"/>
        <w:jc w:val="both"/>
        <w:rPr>
          <w:sz w:val="18"/>
        </w:rPr>
      </w:pPr>
      <w:r>
        <w:rPr>
          <w:sz w:val="18"/>
        </w:rPr>
        <w:t>Índices de Información clasificada como reservada y listado de bases de datos personales que cada sujeto obligado posee y</w:t>
      </w:r>
      <w:r>
        <w:rPr>
          <w:spacing w:val="-16"/>
          <w:sz w:val="18"/>
        </w:rPr>
        <w:t> </w:t>
      </w:r>
      <w:r>
        <w:rPr>
          <w:sz w:val="18"/>
        </w:rPr>
        <w:t>maneja;</w:t>
      </w:r>
    </w:p>
    <w:p>
      <w:pPr>
        <w:pStyle w:val="ListParagraph"/>
        <w:numPr>
          <w:ilvl w:val="3"/>
          <w:numId w:val="59"/>
        </w:numPr>
        <w:tabs>
          <w:tab w:pos="1148" w:val="left" w:leader="none"/>
        </w:tabs>
        <w:spacing w:line="247" w:lineRule="auto" w:before="0" w:after="0"/>
        <w:ind w:left="674" w:right="742" w:firstLine="0"/>
        <w:jc w:val="both"/>
        <w:rPr>
          <w:sz w:val="18"/>
        </w:rPr>
      </w:pPr>
      <w:r>
        <w:rPr>
          <w:sz w:val="18"/>
        </w:rPr>
        <w:t>Expedientes concluidos relativos a la expedición de autorizaciones, permisos, licencias, certificaciones y</w:t>
      </w:r>
      <w:r>
        <w:rPr>
          <w:spacing w:val="-10"/>
          <w:sz w:val="18"/>
        </w:rPr>
        <w:t> </w:t>
      </w:r>
      <w:r>
        <w:rPr>
          <w:sz w:val="18"/>
        </w:rPr>
        <w:t>concesiones;</w:t>
      </w:r>
    </w:p>
    <w:p>
      <w:pPr>
        <w:pStyle w:val="ListParagraph"/>
        <w:numPr>
          <w:ilvl w:val="3"/>
          <w:numId w:val="59"/>
        </w:numPr>
        <w:tabs>
          <w:tab w:pos="1177" w:val="left" w:leader="none"/>
        </w:tabs>
        <w:spacing w:line="240" w:lineRule="auto" w:before="0" w:after="0"/>
        <w:ind w:left="674" w:right="736" w:firstLine="0"/>
        <w:jc w:val="both"/>
        <w:rPr>
          <w:b/>
          <w:sz w:val="18"/>
        </w:rPr>
      </w:pPr>
      <w:r>
        <w:rPr>
          <w:sz w:val="18"/>
        </w:rPr>
        <w:t>Los informes de las auditorías realizadas por los órganos de control interno, la Secretaría de la Contraloría, los órganos de control interno de los Poderes Legislativo y Judicial, las contralorías de los órganos autónomos, el Órgano Superior de Fiscalización, las contralorías municipales y por los despachos externos y las aclaraciones que</w:t>
      </w:r>
      <w:r>
        <w:rPr>
          <w:spacing w:val="-21"/>
          <w:sz w:val="18"/>
        </w:rPr>
        <w:t> </w:t>
      </w:r>
      <w:r>
        <w:rPr>
          <w:sz w:val="18"/>
        </w:rPr>
        <w:t>correspondan</w:t>
      </w:r>
      <w:r>
        <w:rPr>
          <w:b/>
          <w:sz w:val="18"/>
        </w:rPr>
        <w:t>;</w:t>
      </w:r>
    </w:p>
    <w:p>
      <w:pPr>
        <w:pStyle w:val="ListParagraph"/>
        <w:numPr>
          <w:ilvl w:val="3"/>
          <w:numId w:val="59"/>
        </w:numPr>
        <w:tabs>
          <w:tab w:pos="1107" w:val="left" w:leader="none"/>
        </w:tabs>
        <w:spacing w:line="244" w:lineRule="auto" w:before="0" w:after="0"/>
        <w:ind w:left="674" w:right="741" w:firstLine="0"/>
        <w:jc w:val="both"/>
        <w:rPr>
          <w:sz w:val="18"/>
        </w:rPr>
      </w:pPr>
      <w:r>
        <w:rPr>
          <w:sz w:val="18"/>
        </w:rPr>
        <w:t>Programas de trabajo e informes anuales de actividades de acuerdo con cada plan o programa establecido por los Sujetos</w:t>
      </w:r>
      <w:r>
        <w:rPr>
          <w:spacing w:val="-16"/>
          <w:sz w:val="18"/>
        </w:rPr>
        <w:t> </w:t>
      </w:r>
      <w:r>
        <w:rPr>
          <w:sz w:val="18"/>
        </w:rPr>
        <w:t>Obligados;</w:t>
      </w:r>
    </w:p>
    <w:p>
      <w:pPr>
        <w:pStyle w:val="ListParagraph"/>
        <w:numPr>
          <w:ilvl w:val="3"/>
          <w:numId w:val="59"/>
        </w:numPr>
        <w:tabs>
          <w:tab w:pos="1047" w:val="left" w:leader="none"/>
        </w:tabs>
        <w:spacing w:line="244" w:lineRule="auto" w:before="0" w:after="0"/>
        <w:ind w:left="674" w:right="740" w:firstLine="0"/>
        <w:jc w:val="both"/>
        <w:rPr>
          <w:sz w:val="18"/>
        </w:rPr>
      </w:pPr>
      <w:r>
        <w:rPr>
          <w:sz w:val="18"/>
        </w:rPr>
        <w:t>Los indicadores establecidos por los Sujetos Obligados, tomando en cuenta las metas y objetivos</w:t>
      </w:r>
      <w:r>
        <w:rPr>
          <w:spacing w:val="-2"/>
          <w:sz w:val="18"/>
        </w:rPr>
        <w:t> </w:t>
      </w:r>
      <w:r>
        <w:rPr>
          <w:sz w:val="18"/>
        </w:rPr>
        <w:t>planteados</w:t>
      </w:r>
      <w:r>
        <w:rPr>
          <w:spacing w:val="-5"/>
          <w:sz w:val="18"/>
        </w:rPr>
        <w:t> </w:t>
      </w:r>
      <w:r>
        <w:rPr>
          <w:sz w:val="18"/>
        </w:rPr>
        <w:t>en</w:t>
      </w:r>
      <w:r>
        <w:rPr>
          <w:spacing w:val="-4"/>
          <w:sz w:val="18"/>
        </w:rPr>
        <w:t> </w:t>
      </w:r>
      <w:r>
        <w:rPr>
          <w:sz w:val="18"/>
        </w:rPr>
        <w:t>el</w:t>
      </w:r>
      <w:r>
        <w:rPr>
          <w:spacing w:val="-4"/>
          <w:sz w:val="18"/>
        </w:rPr>
        <w:t> </w:t>
      </w:r>
      <w:r>
        <w:rPr>
          <w:sz w:val="18"/>
        </w:rPr>
        <w:t>Plan</w:t>
      </w:r>
      <w:r>
        <w:rPr>
          <w:spacing w:val="-4"/>
          <w:sz w:val="18"/>
        </w:rPr>
        <w:t> </w:t>
      </w:r>
      <w:r>
        <w:rPr>
          <w:sz w:val="18"/>
        </w:rPr>
        <w:t>Estatal</w:t>
      </w:r>
      <w:r>
        <w:rPr>
          <w:spacing w:val="-6"/>
          <w:sz w:val="18"/>
        </w:rPr>
        <w:t> </w:t>
      </w:r>
      <w:r>
        <w:rPr>
          <w:sz w:val="18"/>
        </w:rPr>
        <w:t>de</w:t>
      </w:r>
      <w:r>
        <w:rPr>
          <w:spacing w:val="-4"/>
          <w:sz w:val="18"/>
        </w:rPr>
        <w:t> </w:t>
      </w:r>
      <w:r>
        <w:rPr>
          <w:sz w:val="18"/>
        </w:rPr>
        <w:t>Desarrollo</w:t>
      </w:r>
      <w:r>
        <w:rPr>
          <w:spacing w:val="-4"/>
          <w:sz w:val="18"/>
        </w:rPr>
        <w:t> </w:t>
      </w:r>
      <w:r>
        <w:rPr>
          <w:sz w:val="18"/>
        </w:rPr>
        <w:t>y</w:t>
      </w:r>
      <w:r>
        <w:rPr>
          <w:spacing w:val="-5"/>
          <w:sz w:val="18"/>
        </w:rPr>
        <w:t> </w:t>
      </w:r>
      <w:r>
        <w:rPr>
          <w:sz w:val="18"/>
        </w:rPr>
        <w:t>demás</w:t>
      </w:r>
      <w:r>
        <w:rPr>
          <w:spacing w:val="-3"/>
          <w:sz w:val="18"/>
        </w:rPr>
        <w:t> </w:t>
      </w:r>
      <w:r>
        <w:rPr>
          <w:sz w:val="18"/>
        </w:rPr>
        <w:t>ordenamientos</w:t>
      </w:r>
      <w:r>
        <w:rPr>
          <w:spacing w:val="-3"/>
          <w:sz w:val="18"/>
        </w:rPr>
        <w:t> </w:t>
      </w:r>
      <w:r>
        <w:rPr>
          <w:sz w:val="18"/>
        </w:rPr>
        <w:t>aplicables;</w:t>
      </w:r>
    </w:p>
    <w:p>
      <w:pPr>
        <w:pStyle w:val="ListParagraph"/>
        <w:numPr>
          <w:ilvl w:val="3"/>
          <w:numId w:val="59"/>
        </w:numPr>
        <w:tabs>
          <w:tab w:pos="1066" w:val="left" w:leader="none"/>
        </w:tabs>
        <w:spacing w:line="200" w:lineRule="exact" w:before="0" w:after="0"/>
        <w:ind w:left="1066" w:right="0" w:hanging="392"/>
        <w:jc w:val="both"/>
        <w:rPr>
          <w:sz w:val="18"/>
        </w:rPr>
      </w:pPr>
      <w:r>
        <w:rPr>
          <w:sz w:val="18"/>
        </w:rPr>
        <w:t>Los</w:t>
      </w:r>
      <w:r>
        <w:rPr>
          <w:spacing w:val="-5"/>
          <w:sz w:val="18"/>
        </w:rPr>
        <w:t> </w:t>
      </w:r>
      <w:r>
        <w:rPr>
          <w:sz w:val="18"/>
        </w:rPr>
        <w:t>trámites</w:t>
      </w:r>
      <w:r>
        <w:rPr>
          <w:spacing w:val="-2"/>
          <w:sz w:val="18"/>
        </w:rPr>
        <w:t> </w:t>
      </w:r>
      <w:r>
        <w:rPr>
          <w:sz w:val="18"/>
        </w:rPr>
        <w:t>y</w:t>
      </w:r>
      <w:r>
        <w:rPr>
          <w:spacing w:val="-4"/>
          <w:sz w:val="18"/>
        </w:rPr>
        <w:t> </w:t>
      </w:r>
      <w:r>
        <w:rPr>
          <w:sz w:val="18"/>
        </w:rPr>
        <w:t>servicios</w:t>
      </w:r>
      <w:r>
        <w:rPr>
          <w:spacing w:val="-2"/>
          <w:sz w:val="18"/>
        </w:rPr>
        <w:t> </w:t>
      </w:r>
      <w:r>
        <w:rPr>
          <w:sz w:val="18"/>
        </w:rPr>
        <w:t>ofrecidos</w:t>
      </w:r>
      <w:r>
        <w:rPr>
          <w:spacing w:val="-5"/>
          <w:sz w:val="18"/>
        </w:rPr>
        <w:t> </w:t>
      </w:r>
      <w:r>
        <w:rPr>
          <w:sz w:val="18"/>
        </w:rPr>
        <w:t>así</w:t>
      </w:r>
      <w:r>
        <w:rPr>
          <w:spacing w:val="-5"/>
          <w:sz w:val="18"/>
        </w:rPr>
        <w:t> </w:t>
      </w:r>
      <w:r>
        <w:rPr>
          <w:sz w:val="18"/>
        </w:rPr>
        <w:t>como</w:t>
      </w:r>
      <w:r>
        <w:rPr>
          <w:spacing w:val="-5"/>
          <w:sz w:val="18"/>
        </w:rPr>
        <w:t> </w:t>
      </w:r>
      <w:r>
        <w:rPr>
          <w:sz w:val="18"/>
        </w:rPr>
        <w:t>los</w:t>
      </w:r>
      <w:r>
        <w:rPr>
          <w:spacing w:val="-2"/>
          <w:sz w:val="18"/>
        </w:rPr>
        <w:t> </w:t>
      </w:r>
      <w:r>
        <w:rPr>
          <w:sz w:val="18"/>
        </w:rPr>
        <w:t>requisitos</w:t>
      </w:r>
      <w:r>
        <w:rPr>
          <w:spacing w:val="-2"/>
          <w:sz w:val="18"/>
        </w:rPr>
        <w:t> </w:t>
      </w:r>
      <w:r>
        <w:rPr>
          <w:sz w:val="18"/>
        </w:rPr>
        <w:t>para</w:t>
      </w:r>
      <w:r>
        <w:rPr>
          <w:spacing w:val="-3"/>
          <w:sz w:val="18"/>
        </w:rPr>
        <w:t> </w:t>
      </w:r>
      <w:r>
        <w:rPr>
          <w:sz w:val="18"/>
        </w:rPr>
        <w:t>acceder</w:t>
      </w:r>
      <w:r>
        <w:rPr>
          <w:spacing w:val="-3"/>
          <w:sz w:val="18"/>
        </w:rPr>
        <w:t> </w:t>
      </w:r>
      <w:r>
        <w:rPr>
          <w:sz w:val="18"/>
        </w:rPr>
        <w:t>a</w:t>
      </w:r>
      <w:r>
        <w:rPr>
          <w:spacing w:val="-5"/>
          <w:sz w:val="18"/>
        </w:rPr>
        <w:t> </w:t>
      </w:r>
      <w:r>
        <w:rPr>
          <w:sz w:val="18"/>
        </w:rPr>
        <w:t>los</w:t>
      </w:r>
      <w:r>
        <w:rPr>
          <w:spacing w:val="-2"/>
          <w:sz w:val="18"/>
        </w:rPr>
        <w:t> </w:t>
      </w:r>
      <w:r>
        <w:rPr>
          <w:sz w:val="18"/>
        </w:rPr>
        <w:t>mismos;</w:t>
      </w:r>
    </w:p>
    <w:p>
      <w:pPr>
        <w:pStyle w:val="ListParagraph"/>
        <w:numPr>
          <w:ilvl w:val="3"/>
          <w:numId w:val="59"/>
        </w:numPr>
        <w:tabs>
          <w:tab w:pos="1129" w:val="left" w:leader="none"/>
        </w:tabs>
        <w:spacing w:line="244" w:lineRule="auto" w:before="0" w:after="0"/>
        <w:ind w:left="674" w:right="739" w:firstLine="0"/>
        <w:jc w:val="both"/>
        <w:rPr>
          <w:sz w:val="18"/>
        </w:rPr>
      </w:pPr>
      <w:r>
        <w:rPr>
          <w:sz w:val="18"/>
        </w:rPr>
        <w:t>Informes y estadísticas que tengan que realizar en términos del Código Administrativo del Estado de</w:t>
      </w:r>
      <w:r>
        <w:rPr>
          <w:spacing w:val="-8"/>
          <w:sz w:val="18"/>
        </w:rPr>
        <w:t> </w:t>
      </w:r>
      <w:r>
        <w:rPr>
          <w:sz w:val="18"/>
        </w:rPr>
        <w:t>México.</w:t>
      </w:r>
    </w:p>
    <w:p>
      <w:pPr>
        <w:pStyle w:val="ListParagraph"/>
        <w:numPr>
          <w:ilvl w:val="3"/>
          <w:numId w:val="59"/>
        </w:numPr>
        <w:tabs>
          <w:tab w:pos="1167" w:val="left" w:leader="none"/>
        </w:tabs>
        <w:spacing w:line="198" w:lineRule="exact" w:before="0" w:after="0"/>
        <w:ind w:left="1166" w:right="0" w:hanging="492"/>
        <w:jc w:val="both"/>
        <w:rPr>
          <w:sz w:val="18"/>
        </w:rPr>
      </w:pPr>
      <w:r>
        <w:rPr>
          <w:sz w:val="18"/>
        </w:rPr>
        <w:t>Las cuentas públicas, estatal y</w:t>
      </w:r>
      <w:r>
        <w:rPr>
          <w:spacing w:val="-19"/>
          <w:sz w:val="18"/>
        </w:rPr>
        <w:t> </w:t>
      </w:r>
      <w:r>
        <w:rPr>
          <w:sz w:val="18"/>
        </w:rPr>
        <w:t>municipales</w:t>
      </w:r>
    </w:p>
    <w:p>
      <w:pPr>
        <w:pStyle w:val="BodyText"/>
        <w:rPr>
          <w:sz w:val="18"/>
        </w:rPr>
      </w:pPr>
    </w:p>
    <w:p>
      <w:pPr>
        <w:pStyle w:val="BodyText"/>
        <w:rPr>
          <w:sz w:val="18"/>
        </w:rPr>
      </w:pPr>
    </w:p>
    <w:p>
      <w:pPr>
        <w:pStyle w:val="BodyText"/>
        <w:spacing w:before="4"/>
        <w:rPr>
          <w:sz w:val="14"/>
        </w:rPr>
      </w:pPr>
    </w:p>
    <w:p>
      <w:pPr>
        <w:pStyle w:val="BodyText"/>
        <w:spacing w:line="360" w:lineRule="auto"/>
        <w:ind w:left="108" w:right="115"/>
        <w:jc w:val="both"/>
      </w:pPr>
      <w:r>
        <w:rPr/>
        <w:t>Esta información debería estar disponible en todos los municipios, sin embargo, como se pudo observar en la revisión de los portales web, no todos la publican. Asimismo,</w:t>
      </w:r>
      <w:r>
        <w:rPr>
          <w:spacing w:val="-7"/>
        </w:rPr>
        <w:t> </w:t>
      </w:r>
      <w:r>
        <w:rPr/>
        <w:t>no</w:t>
      </w:r>
      <w:r>
        <w:rPr>
          <w:spacing w:val="-7"/>
        </w:rPr>
        <w:t> </w:t>
      </w:r>
      <w:r>
        <w:rPr/>
        <w:t>existe</w:t>
      </w:r>
      <w:r>
        <w:rPr>
          <w:spacing w:val="-5"/>
        </w:rPr>
        <w:t> </w:t>
      </w:r>
      <w:r>
        <w:rPr/>
        <w:t>un</w:t>
      </w:r>
      <w:r>
        <w:rPr>
          <w:spacing w:val="-5"/>
        </w:rPr>
        <w:t> </w:t>
      </w:r>
      <w:r>
        <w:rPr/>
        <w:t>estándar</w:t>
      </w:r>
      <w:r>
        <w:rPr>
          <w:spacing w:val="-6"/>
        </w:rPr>
        <w:t> </w:t>
      </w:r>
      <w:r>
        <w:rPr/>
        <w:t>sobre</w:t>
      </w:r>
      <w:r>
        <w:rPr>
          <w:spacing w:val="-8"/>
        </w:rPr>
        <w:t> </w:t>
      </w:r>
      <w:r>
        <w:rPr/>
        <w:t>el</w:t>
      </w:r>
      <w:r>
        <w:rPr>
          <w:spacing w:val="-8"/>
        </w:rPr>
        <w:t> </w:t>
      </w:r>
      <w:r>
        <w:rPr/>
        <w:t>orden,</w:t>
      </w:r>
      <w:r>
        <w:rPr>
          <w:spacing w:val="-7"/>
        </w:rPr>
        <w:t> </w:t>
      </w:r>
      <w:r>
        <w:rPr/>
        <w:t>antigüedad,</w:t>
      </w:r>
      <w:r>
        <w:rPr>
          <w:spacing w:val="-7"/>
        </w:rPr>
        <w:t> </w:t>
      </w:r>
      <w:r>
        <w:rPr/>
        <w:t>formato</w:t>
      </w:r>
      <w:r>
        <w:rPr>
          <w:spacing w:val="2"/>
        </w:rPr>
        <w:t> </w:t>
      </w:r>
      <w:r>
        <w:rPr/>
        <w:t>y</w:t>
      </w:r>
      <w:r>
        <w:rPr>
          <w:spacing w:val="-8"/>
        </w:rPr>
        <w:t> </w:t>
      </w:r>
      <w:r>
        <w:rPr/>
        <w:t>presentación en que dicha información debe presentarse, esta situación dificulta medir los</w:t>
      </w:r>
      <w:r>
        <w:rPr>
          <w:spacing w:val="-45"/>
        </w:rPr>
        <w:t> </w:t>
      </w:r>
      <w:r>
        <w:rPr/>
        <w:t>niveles de cumplimiento de la ley ya que no se sabe qué características debe contener la información pública de</w:t>
      </w:r>
      <w:r>
        <w:rPr>
          <w:spacing w:val="-5"/>
        </w:rPr>
        <w:t> </w:t>
      </w:r>
      <w:r>
        <w:rPr/>
        <w:t>oficio.</w:t>
      </w:r>
    </w:p>
    <w:p>
      <w:pPr>
        <w:pStyle w:val="BodyText"/>
      </w:pPr>
    </w:p>
    <w:p>
      <w:pPr>
        <w:pStyle w:val="BodyText"/>
      </w:pPr>
    </w:p>
    <w:p>
      <w:pPr>
        <w:pStyle w:val="BodyText"/>
        <w:spacing w:line="360" w:lineRule="auto" w:before="187"/>
        <w:ind w:left="108" w:right="121"/>
        <w:jc w:val="both"/>
      </w:pPr>
      <w:r>
        <w:rPr/>
        <w:t>En</w:t>
      </w:r>
      <w:r>
        <w:rPr>
          <w:spacing w:val="-6"/>
        </w:rPr>
        <w:t> </w:t>
      </w:r>
      <w:r>
        <w:rPr/>
        <w:t>el</w:t>
      </w:r>
      <w:r>
        <w:rPr>
          <w:spacing w:val="-10"/>
        </w:rPr>
        <w:t> </w:t>
      </w:r>
      <w:r>
        <w:rPr/>
        <w:t>tercer</w:t>
      </w:r>
      <w:r>
        <w:rPr>
          <w:spacing w:val="-10"/>
        </w:rPr>
        <w:t> </w:t>
      </w:r>
      <w:r>
        <w:rPr/>
        <w:t>nivel,</w:t>
      </w:r>
      <w:r>
        <w:rPr>
          <w:spacing w:val="-7"/>
        </w:rPr>
        <w:t> </w:t>
      </w:r>
      <w:r>
        <w:rPr/>
        <w:t>se</w:t>
      </w:r>
      <w:r>
        <w:rPr>
          <w:spacing w:val="-6"/>
        </w:rPr>
        <w:t> </w:t>
      </w:r>
      <w:r>
        <w:rPr/>
        <w:t>encuentra</w:t>
      </w:r>
      <w:r>
        <w:rPr>
          <w:spacing w:val="-6"/>
        </w:rPr>
        <w:t> </w:t>
      </w:r>
      <w:r>
        <w:rPr/>
        <w:t>la</w:t>
      </w:r>
      <w:r>
        <w:rPr>
          <w:spacing w:val="-9"/>
        </w:rPr>
        <w:t> </w:t>
      </w:r>
      <w:r>
        <w:rPr/>
        <w:t>información</w:t>
      </w:r>
      <w:r>
        <w:rPr>
          <w:spacing w:val="-6"/>
        </w:rPr>
        <w:t> </w:t>
      </w:r>
      <w:r>
        <w:rPr/>
        <w:t>que</w:t>
      </w:r>
      <w:r>
        <w:rPr>
          <w:spacing w:val="-8"/>
        </w:rPr>
        <w:t> </w:t>
      </w:r>
      <w:r>
        <w:rPr/>
        <w:t>de</w:t>
      </w:r>
      <w:r>
        <w:rPr>
          <w:spacing w:val="-8"/>
        </w:rPr>
        <w:t> </w:t>
      </w:r>
      <w:r>
        <w:rPr/>
        <w:t>acuerdo</w:t>
      </w:r>
      <w:r>
        <w:rPr>
          <w:spacing w:val="-6"/>
        </w:rPr>
        <w:t> </w:t>
      </w:r>
      <w:r>
        <w:rPr/>
        <w:t>con</w:t>
      </w:r>
      <w:r>
        <w:rPr>
          <w:spacing w:val="-8"/>
        </w:rPr>
        <w:t> </w:t>
      </w:r>
      <w:r>
        <w:rPr/>
        <w:t>el</w:t>
      </w:r>
      <w:r>
        <w:rPr>
          <w:spacing w:val="-7"/>
        </w:rPr>
        <w:t> </w:t>
      </w:r>
      <w:r>
        <w:rPr/>
        <w:t>art.</w:t>
      </w:r>
      <w:r>
        <w:rPr>
          <w:spacing w:val="-9"/>
        </w:rPr>
        <w:t> </w:t>
      </w:r>
      <w:r>
        <w:rPr/>
        <w:t>20</w:t>
      </w:r>
      <w:r>
        <w:rPr>
          <w:spacing w:val="-8"/>
        </w:rPr>
        <w:t> </w:t>
      </w:r>
      <w:r>
        <w:rPr/>
        <w:t>de</w:t>
      </w:r>
      <w:r>
        <w:rPr>
          <w:spacing w:val="-8"/>
        </w:rPr>
        <w:t> </w:t>
      </w:r>
      <w:r>
        <w:rPr/>
        <w:t>la</w:t>
      </w:r>
      <w:r>
        <w:rPr>
          <w:spacing w:val="-6"/>
        </w:rPr>
        <w:t> </w:t>
      </w:r>
      <w:r>
        <w:rPr/>
        <w:t>ley se clasifica como</w:t>
      </w:r>
      <w:r>
        <w:rPr>
          <w:spacing w:val="-8"/>
        </w:rPr>
        <w:t> </w:t>
      </w:r>
      <w:r>
        <w:rPr/>
        <w:t>reservada:</w:t>
      </w:r>
    </w:p>
    <w:p>
      <w:pPr>
        <w:pStyle w:val="BodyText"/>
        <w:spacing w:before="10"/>
        <w:rPr>
          <w:sz w:val="31"/>
        </w:rPr>
      </w:pPr>
    </w:p>
    <w:p>
      <w:pPr>
        <w:pStyle w:val="ListParagraph"/>
        <w:numPr>
          <w:ilvl w:val="0"/>
          <w:numId w:val="60"/>
        </w:numPr>
        <w:tabs>
          <w:tab w:pos="826" w:val="left" w:leader="none"/>
        </w:tabs>
        <w:spacing w:line="240" w:lineRule="auto" w:before="0" w:after="0"/>
        <w:ind w:left="674" w:right="0" w:firstLine="0"/>
        <w:jc w:val="both"/>
        <w:rPr>
          <w:sz w:val="18"/>
        </w:rPr>
      </w:pPr>
      <w:r>
        <w:rPr>
          <w:sz w:val="18"/>
        </w:rPr>
        <w:t>Comprometa la Seguridad del Estado o la Seguridad</w:t>
      </w:r>
      <w:r>
        <w:rPr>
          <w:spacing w:val="-21"/>
          <w:sz w:val="18"/>
        </w:rPr>
        <w:t> </w:t>
      </w:r>
      <w:r>
        <w:rPr>
          <w:sz w:val="18"/>
        </w:rPr>
        <w:t>Pública;</w:t>
      </w:r>
    </w:p>
    <w:p>
      <w:pPr>
        <w:pStyle w:val="ListParagraph"/>
        <w:numPr>
          <w:ilvl w:val="0"/>
          <w:numId w:val="60"/>
        </w:numPr>
        <w:tabs>
          <w:tab w:pos="908" w:val="left" w:leader="none"/>
        </w:tabs>
        <w:spacing w:line="242" w:lineRule="auto" w:before="2" w:after="0"/>
        <w:ind w:left="674" w:right="738" w:firstLine="0"/>
        <w:jc w:val="both"/>
        <w:rPr>
          <w:sz w:val="18"/>
        </w:rPr>
      </w:pPr>
      <w:r>
        <w:rPr>
          <w:sz w:val="18"/>
        </w:rPr>
        <w:t>Pueda dañar la conducción de las negociaciones de acuerdos interinstitucionales, incluida aquella información que otros Estados u organismos institucionales entreguen con carácter de confidencial al Estado de México; así como la que contenga las opiniones, recomendaciones o puntos de vista que formen parte del proceso deliberativo de los servidores públicos, hasta en tanto</w:t>
      </w:r>
      <w:r>
        <w:rPr>
          <w:spacing w:val="-4"/>
          <w:sz w:val="18"/>
        </w:rPr>
        <w:t> </w:t>
      </w:r>
      <w:r>
        <w:rPr>
          <w:sz w:val="18"/>
        </w:rPr>
        <w:t>no</w:t>
      </w:r>
      <w:r>
        <w:rPr>
          <w:spacing w:val="-4"/>
          <w:sz w:val="18"/>
        </w:rPr>
        <w:t> </w:t>
      </w:r>
      <w:r>
        <w:rPr>
          <w:sz w:val="18"/>
        </w:rPr>
        <w:t>sea</w:t>
      </w:r>
      <w:r>
        <w:rPr>
          <w:spacing w:val="-4"/>
          <w:sz w:val="18"/>
        </w:rPr>
        <w:t> </w:t>
      </w:r>
      <w:r>
        <w:rPr>
          <w:sz w:val="18"/>
        </w:rPr>
        <w:t>adoptada</w:t>
      </w:r>
      <w:r>
        <w:rPr>
          <w:spacing w:val="-4"/>
          <w:sz w:val="18"/>
        </w:rPr>
        <w:t> </w:t>
      </w:r>
      <w:r>
        <w:rPr>
          <w:sz w:val="18"/>
        </w:rPr>
        <w:t>la</w:t>
      </w:r>
      <w:r>
        <w:rPr>
          <w:spacing w:val="-4"/>
          <w:sz w:val="18"/>
        </w:rPr>
        <w:t> </w:t>
      </w:r>
      <w:r>
        <w:rPr>
          <w:sz w:val="18"/>
        </w:rPr>
        <w:t>decisión</w:t>
      </w:r>
      <w:r>
        <w:rPr>
          <w:spacing w:val="-2"/>
          <w:sz w:val="18"/>
        </w:rPr>
        <w:t> </w:t>
      </w:r>
      <w:r>
        <w:rPr>
          <w:sz w:val="18"/>
        </w:rPr>
        <w:t>definitiva,</w:t>
      </w:r>
      <w:r>
        <w:rPr>
          <w:spacing w:val="-4"/>
          <w:sz w:val="18"/>
        </w:rPr>
        <w:t> </w:t>
      </w:r>
      <w:r>
        <w:rPr>
          <w:sz w:val="18"/>
        </w:rPr>
        <w:t>la</w:t>
      </w:r>
      <w:r>
        <w:rPr>
          <w:spacing w:val="-4"/>
          <w:sz w:val="18"/>
        </w:rPr>
        <w:t> </w:t>
      </w:r>
      <w:r>
        <w:rPr>
          <w:sz w:val="18"/>
        </w:rPr>
        <w:t>cual</w:t>
      </w:r>
      <w:r>
        <w:rPr>
          <w:spacing w:val="-2"/>
          <w:sz w:val="18"/>
        </w:rPr>
        <w:t> </w:t>
      </w:r>
      <w:r>
        <w:rPr>
          <w:sz w:val="18"/>
        </w:rPr>
        <w:t>deberá</w:t>
      </w:r>
      <w:r>
        <w:rPr>
          <w:spacing w:val="-4"/>
          <w:sz w:val="18"/>
        </w:rPr>
        <w:t> </w:t>
      </w:r>
      <w:r>
        <w:rPr>
          <w:sz w:val="18"/>
        </w:rPr>
        <w:t>estar</w:t>
      </w:r>
      <w:r>
        <w:rPr>
          <w:spacing w:val="-2"/>
          <w:sz w:val="18"/>
        </w:rPr>
        <w:t> </w:t>
      </w:r>
      <w:r>
        <w:rPr>
          <w:sz w:val="18"/>
        </w:rPr>
        <w:t>documentada.</w:t>
      </w:r>
    </w:p>
    <w:p>
      <w:pPr>
        <w:pStyle w:val="ListParagraph"/>
        <w:numPr>
          <w:ilvl w:val="0"/>
          <w:numId w:val="60"/>
        </w:numPr>
        <w:tabs>
          <w:tab w:pos="927" w:val="left" w:leader="none"/>
        </w:tabs>
        <w:spacing w:line="200" w:lineRule="exact" w:before="0" w:after="0"/>
        <w:ind w:left="926" w:right="0" w:hanging="252"/>
        <w:jc w:val="both"/>
        <w:rPr>
          <w:sz w:val="18"/>
        </w:rPr>
      </w:pPr>
      <w:r>
        <w:rPr>
          <w:sz w:val="18"/>
        </w:rPr>
        <w:t>Pueda dañar la situación económica y financiera del Estado de</w:t>
      </w:r>
      <w:r>
        <w:rPr>
          <w:spacing w:val="-29"/>
          <w:sz w:val="18"/>
        </w:rPr>
        <w:t> </w:t>
      </w:r>
      <w:r>
        <w:rPr>
          <w:sz w:val="18"/>
        </w:rPr>
        <w:t>México;</w:t>
      </w:r>
    </w:p>
    <w:p>
      <w:pPr>
        <w:spacing w:after="0" w:line="200" w:lineRule="exact"/>
        <w:jc w:val="both"/>
        <w:rPr>
          <w:sz w:val="18"/>
        </w:rPr>
        <w:sectPr>
          <w:pgSz w:w="12240" w:h="15840"/>
          <w:pgMar w:header="0" w:footer="1035" w:top="1360" w:bottom="1220" w:left="1500" w:right="1580"/>
        </w:sectPr>
      </w:pPr>
    </w:p>
    <w:p>
      <w:pPr>
        <w:pStyle w:val="ListParagraph"/>
        <w:numPr>
          <w:ilvl w:val="0"/>
          <w:numId w:val="60"/>
        </w:numPr>
        <w:tabs>
          <w:tab w:pos="951" w:val="left" w:leader="none"/>
        </w:tabs>
        <w:spacing w:line="242" w:lineRule="auto" w:before="50" w:after="0"/>
        <w:ind w:left="674" w:right="738" w:firstLine="0"/>
        <w:jc w:val="both"/>
        <w:rPr>
          <w:sz w:val="18"/>
        </w:rPr>
      </w:pPr>
      <w:r>
        <w:rPr>
          <w:sz w:val="18"/>
        </w:rPr>
        <w:t>Ponga en riesgo la vida, la seguridad o la salud de cualquier persona, o cause perjuicio a las actividades de fiscalización, verificación, inspección y comprobación del cumplimiento de las Leyes,</w:t>
      </w:r>
      <w:r>
        <w:rPr>
          <w:spacing w:val="-5"/>
          <w:sz w:val="18"/>
        </w:rPr>
        <w:t> </w:t>
      </w:r>
      <w:r>
        <w:rPr>
          <w:sz w:val="18"/>
        </w:rPr>
        <w:t>de</w:t>
      </w:r>
      <w:r>
        <w:rPr>
          <w:spacing w:val="-5"/>
          <w:sz w:val="18"/>
        </w:rPr>
        <w:t> </w:t>
      </w:r>
      <w:r>
        <w:rPr>
          <w:sz w:val="18"/>
        </w:rPr>
        <w:t>prevención</w:t>
      </w:r>
      <w:r>
        <w:rPr>
          <w:spacing w:val="-5"/>
          <w:sz w:val="18"/>
        </w:rPr>
        <w:t> </w:t>
      </w:r>
      <w:r>
        <w:rPr>
          <w:sz w:val="18"/>
        </w:rPr>
        <w:t>del</w:t>
      </w:r>
      <w:r>
        <w:rPr>
          <w:spacing w:val="-2"/>
          <w:sz w:val="18"/>
        </w:rPr>
        <w:t> </w:t>
      </w:r>
      <w:r>
        <w:rPr>
          <w:sz w:val="18"/>
        </w:rPr>
        <w:t>delito,</w:t>
      </w:r>
      <w:r>
        <w:rPr>
          <w:spacing w:val="-5"/>
          <w:sz w:val="18"/>
        </w:rPr>
        <w:t> </w:t>
      </w:r>
      <w:r>
        <w:rPr>
          <w:sz w:val="18"/>
        </w:rPr>
        <w:t>procuración</w:t>
      </w:r>
      <w:r>
        <w:rPr>
          <w:spacing w:val="-5"/>
          <w:sz w:val="18"/>
        </w:rPr>
        <w:t> </w:t>
      </w:r>
      <w:r>
        <w:rPr>
          <w:sz w:val="18"/>
        </w:rPr>
        <w:t>y</w:t>
      </w:r>
      <w:r>
        <w:rPr>
          <w:spacing w:val="-7"/>
          <w:sz w:val="18"/>
        </w:rPr>
        <w:t> </w:t>
      </w:r>
      <w:r>
        <w:rPr>
          <w:sz w:val="18"/>
        </w:rPr>
        <w:t>administración</w:t>
      </w:r>
      <w:r>
        <w:rPr>
          <w:spacing w:val="-5"/>
          <w:sz w:val="18"/>
        </w:rPr>
        <w:t> </w:t>
      </w:r>
      <w:r>
        <w:rPr>
          <w:sz w:val="18"/>
        </w:rPr>
        <w:t>de</w:t>
      </w:r>
      <w:r>
        <w:rPr>
          <w:spacing w:val="-5"/>
          <w:sz w:val="18"/>
        </w:rPr>
        <w:t> </w:t>
      </w:r>
      <w:r>
        <w:rPr>
          <w:sz w:val="18"/>
        </w:rPr>
        <w:t>justicia,</w:t>
      </w:r>
      <w:r>
        <w:rPr>
          <w:spacing w:val="-5"/>
          <w:sz w:val="18"/>
        </w:rPr>
        <w:t> </w:t>
      </w:r>
      <w:r>
        <w:rPr>
          <w:sz w:val="18"/>
        </w:rPr>
        <w:t>de</w:t>
      </w:r>
      <w:r>
        <w:rPr>
          <w:spacing w:val="-5"/>
          <w:sz w:val="18"/>
        </w:rPr>
        <w:t> </w:t>
      </w:r>
      <w:r>
        <w:rPr>
          <w:sz w:val="18"/>
        </w:rPr>
        <w:t>readaptación</w:t>
      </w:r>
      <w:r>
        <w:rPr>
          <w:spacing w:val="-7"/>
          <w:sz w:val="18"/>
        </w:rPr>
        <w:t> </w:t>
      </w:r>
      <w:r>
        <w:rPr>
          <w:sz w:val="18"/>
        </w:rPr>
        <w:t>social</w:t>
      </w:r>
      <w:r>
        <w:rPr>
          <w:spacing w:val="-5"/>
          <w:sz w:val="18"/>
        </w:rPr>
        <w:t> </w:t>
      </w:r>
      <w:r>
        <w:rPr>
          <w:sz w:val="18"/>
        </w:rPr>
        <w:t>y de la recaudación de</w:t>
      </w:r>
      <w:r>
        <w:rPr>
          <w:spacing w:val="-15"/>
          <w:sz w:val="18"/>
        </w:rPr>
        <w:t> </w:t>
      </w:r>
      <w:r>
        <w:rPr>
          <w:sz w:val="18"/>
        </w:rPr>
        <w:t>contribuciones;</w:t>
      </w:r>
    </w:p>
    <w:p>
      <w:pPr>
        <w:pStyle w:val="ListParagraph"/>
        <w:numPr>
          <w:ilvl w:val="0"/>
          <w:numId w:val="60"/>
        </w:numPr>
        <w:tabs>
          <w:tab w:pos="896" w:val="left" w:leader="none"/>
        </w:tabs>
        <w:spacing w:line="200" w:lineRule="exact" w:before="0" w:after="0"/>
        <w:ind w:left="895" w:right="0" w:hanging="221"/>
        <w:jc w:val="both"/>
        <w:rPr>
          <w:sz w:val="18"/>
        </w:rPr>
      </w:pPr>
      <w:r>
        <w:rPr>
          <w:sz w:val="18"/>
        </w:rPr>
        <w:t>Por disposición legal sea considerada como</w:t>
      </w:r>
      <w:r>
        <w:rPr>
          <w:spacing w:val="-22"/>
          <w:sz w:val="18"/>
        </w:rPr>
        <w:t> </w:t>
      </w:r>
      <w:r>
        <w:rPr>
          <w:sz w:val="18"/>
        </w:rPr>
        <w:t>reservada;</w:t>
      </w:r>
    </w:p>
    <w:p>
      <w:pPr>
        <w:pStyle w:val="ListParagraph"/>
        <w:numPr>
          <w:ilvl w:val="0"/>
          <w:numId w:val="60"/>
        </w:numPr>
        <w:tabs>
          <w:tab w:pos="946" w:val="left" w:leader="none"/>
        </w:tabs>
        <w:spacing w:line="240" w:lineRule="auto" w:before="2" w:after="0"/>
        <w:ind w:left="674" w:right="732" w:firstLine="0"/>
        <w:jc w:val="both"/>
        <w:rPr>
          <w:sz w:val="18"/>
        </w:rPr>
      </w:pPr>
      <w:r>
        <w:rPr>
          <w:sz w:val="18"/>
        </w:rPr>
        <w:t>Pueda causar daño o alterar el proceso de investigación en averiguaciones previas, procesos judiciales, procesos o procedimientos administrativos, incluidos los de quejas, denuncias, inconformidades, responsabilidades administrativas y resarcitorias en tanto no hayan causado estado;</w:t>
      </w:r>
      <w:r>
        <w:rPr>
          <w:spacing w:val="-2"/>
          <w:sz w:val="18"/>
        </w:rPr>
        <w:t> </w:t>
      </w:r>
      <w:r>
        <w:rPr>
          <w:sz w:val="18"/>
        </w:rPr>
        <w:t>y</w:t>
      </w:r>
    </w:p>
    <w:p>
      <w:pPr>
        <w:pStyle w:val="ListParagraph"/>
        <w:numPr>
          <w:ilvl w:val="0"/>
          <w:numId w:val="60"/>
        </w:numPr>
        <w:tabs>
          <w:tab w:pos="1004" w:val="left" w:leader="none"/>
        </w:tabs>
        <w:spacing w:line="244" w:lineRule="auto" w:before="0" w:after="0"/>
        <w:ind w:left="674" w:right="738" w:firstLine="0"/>
        <w:jc w:val="left"/>
        <w:rPr>
          <w:sz w:val="18"/>
        </w:rPr>
      </w:pPr>
      <w:r>
        <w:rPr>
          <w:sz w:val="18"/>
        </w:rPr>
        <w:t>El daño que pueda producirse con la publicación de la información sea mayor que el interés público de conocer la información de</w:t>
      </w:r>
      <w:r>
        <w:rPr>
          <w:spacing w:val="-20"/>
          <w:sz w:val="18"/>
        </w:rPr>
        <w:t> </w:t>
      </w:r>
      <w:r>
        <w:rPr>
          <w:sz w:val="18"/>
        </w:rPr>
        <w:t>referencia.</w:t>
      </w:r>
    </w:p>
    <w:p>
      <w:pPr>
        <w:pStyle w:val="BodyText"/>
        <w:rPr>
          <w:sz w:val="18"/>
        </w:rPr>
      </w:pPr>
    </w:p>
    <w:p>
      <w:pPr>
        <w:pStyle w:val="BodyText"/>
        <w:rPr>
          <w:sz w:val="18"/>
        </w:rPr>
      </w:pPr>
    </w:p>
    <w:p>
      <w:pPr>
        <w:pStyle w:val="BodyText"/>
        <w:spacing w:line="360" w:lineRule="auto" w:before="154"/>
        <w:ind w:left="108" w:right="116"/>
        <w:jc w:val="both"/>
      </w:pPr>
      <w:r>
        <w:rPr/>
        <w:t>Esta</w:t>
      </w:r>
      <w:r>
        <w:rPr>
          <w:spacing w:val="-11"/>
        </w:rPr>
        <w:t> </w:t>
      </w:r>
      <w:r>
        <w:rPr/>
        <w:t>información,</w:t>
      </w:r>
      <w:r>
        <w:rPr>
          <w:spacing w:val="-14"/>
        </w:rPr>
        <w:t> </w:t>
      </w:r>
      <w:r>
        <w:rPr/>
        <w:t>queda</w:t>
      </w:r>
      <w:r>
        <w:rPr>
          <w:spacing w:val="-12"/>
        </w:rPr>
        <w:t> </w:t>
      </w:r>
      <w:r>
        <w:rPr/>
        <w:t>claro,</w:t>
      </w:r>
      <w:r>
        <w:rPr>
          <w:spacing w:val="-14"/>
        </w:rPr>
        <w:t> </w:t>
      </w:r>
      <w:r>
        <w:rPr/>
        <w:t>es</w:t>
      </w:r>
      <w:r>
        <w:rPr>
          <w:spacing w:val="-12"/>
        </w:rPr>
        <w:t> </w:t>
      </w:r>
      <w:r>
        <w:rPr/>
        <w:t>toda</w:t>
      </w:r>
      <w:r>
        <w:rPr>
          <w:spacing w:val="-12"/>
        </w:rPr>
        <w:t> </w:t>
      </w:r>
      <w:r>
        <w:rPr/>
        <w:t>aquella</w:t>
      </w:r>
      <w:r>
        <w:rPr>
          <w:spacing w:val="-14"/>
        </w:rPr>
        <w:t> </w:t>
      </w:r>
      <w:r>
        <w:rPr/>
        <w:t>que</w:t>
      </w:r>
      <w:r>
        <w:rPr>
          <w:spacing w:val="-12"/>
        </w:rPr>
        <w:t> </w:t>
      </w:r>
      <w:r>
        <w:rPr/>
        <w:t>ponga</w:t>
      </w:r>
      <w:r>
        <w:rPr>
          <w:spacing w:val="-12"/>
        </w:rPr>
        <w:t> </w:t>
      </w:r>
      <w:r>
        <w:rPr/>
        <w:t>en</w:t>
      </w:r>
      <w:r>
        <w:rPr>
          <w:spacing w:val="-12"/>
        </w:rPr>
        <w:t> </w:t>
      </w:r>
      <w:r>
        <w:rPr/>
        <w:t>riesgo</w:t>
      </w:r>
      <w:r>
        <w:rPr>
          <w:spacing w:val="-12"/>
        </w:rPr>
        <w:t> </w:t>
      </w:r>
      <w:r>
        <w:rPr/>
        <w:t>al</w:t>
      </w:r>
      <w:r>
        <w:rPr>
          <w:spacing w:val="-13"/>
        </w:rPr>
        <w:t> </w:t>
      </w:r>
      <w:r>
        <w:rPr/>
        <w:t>gobierno,</w:t>
      </w:r>
      <w:r>
        <w:rPr>
          <w:spacing w:val="-14"/>
        </w:rPr>
        <w:t> </w:t>
      </w:r>
      <w:r>
        <w:rPr/>
        <w:t>pero no</w:t>
      </w:r>
      <w:r>
        <w:rPr>
          <w:spacing w:val="-13"/>
        </w:rPr>
        <w:t> </w:t>
      </w:r>
      <w:r>
        <w:rPr/>
        <w:t>define</w:t>
      </w:r>
      <w:r>
        <w:rPr>
          <w:spacing w:val="-13"/>
        </w:rPr>
        <w:t> </w:t>
      </w:r>
      <w:r>
        <w:rPr/>
        <w:t>cuál</w:t>
      </w:r>
      <w:r>
        <w:rPr>
          <w:spacing w:val="-14"/>
        </w:rPr>
        <w:t> </w:t>
      </w:r>
      <w:r>
        <w:rPr/>
        <w:t>es</w:t>
      </w:r>
      <w:r>
        <w:rPr>
          <w:spacing w:val="-14"/>
        </w:rPr>
        <w:t> </w:t>
      </w:r>
      <w:r>
        <w:rPr/>
        <w:t>esta</w:t>
      </w:r>
      <w:r>
        <w:rPr>
          <w:spacing w:val="-13"/>
        </w:rPr>
        <w:t> </w:t>
      </w:r>
      <w:r>
        <w:rPr/>
        <w:t>información.</w:t>
      </w:r>
      <w:r>
        <w:rPr>
          <w:spacing w:val="-13"/>
        </w:rPr>
        <w:t> </w:t>
      </w:r>
      <w:r>
        <w:rPr/>
        <w:t>Situación</w:t>
      </w:r>
      <w:r>
        <w:rPr>
          <w:spacing w:val="-13"/>
        </w:rPr>
        <w:t> </w:t>
      </w:r>
      <w:r>
        <w:rPr/>
        <w:t>que</w:t>
      </w:r>
      <w:r>
        <w:rPr>
          <w:spacing w:val="-11"/>
        </w:rPr>
        <w:t> </w:t>
      </w:r>
      <w:r>
        <w:rPr/>
        <w:t>conlleva</w:t>
      </w:r>
      <w:r>
        <w:rPr>
          <w:spacing w:val="-11"/>
        </w:rPr>
        <w:t> </w:t>
      </w:r>
      <w:r>
        <w:rPr/>
        <w:t>nuevamente</w:t>
      </w:r>
      <w:r>
        <w:rPr>
          <w:spacing w:val="-13"/>
        </w:rPr>
        <w:t> </w:t>
      </w:r>
      <w:r>
        <w:rPr/>
        <w:t>a</w:t>
      </w:r>
      <w:r>
        <w:rPr>
          <w:spacing w:val="-13"/>
        </w:rPr>
        <w:t> </w:t>
      </w:r>
      <w:r>
        <w:rPr/>
        <w:t>la</w:t>
      </w:r>
      <w:r>
        <w:rPr>
          <w:spacing w:val="-13"/>
        </w:rPr>
        <w:t> </w:t>
      </w:r>
      <w:r>
        <w:rPr/>
        <w:t>opacidad gubernamental, ya que se presta a interpretaciones de quienes la poseen. De</w:t>
      </w:r>
      <w:r>
        <w:rPr>
          <w:spacing w:val="-37"/>
        </w:rPr>
        <w:t> </w:t>
      </w:r>
      <w:r>
        <w:rPr/>
        <w:t>modo tal que quienes la poseen ganan cotos de poder y se apoderan de la incertidumbre que prevalece en aquellos que la desconocen. En este nivel se comienza la lucha entre los partidos de oposición, los medios de comunicación y el gobierno en turno. Los primeros con la intención de que se dé a conocer y sacar beneficio de ello, y el segundo tratando de ocultarla para no verse perjudicado. Este tipo de información se mantendrá en esta condición hasta por nueve años y teniendo la posibilidad de que se amplíe el plazo por otros nueve. Es decir, un total de hasta 18 años. De manera tal que cuando la ciudadanía la conozca, los gobernantes ya no sean tan recordados, hayan tenido la oportunidad de haber ocupados cargos de elección popular o ya la hayan</w:t>
      </w:r>
      <w:r>
        <w:rPr>
          <w:spacing w:val="-14"/>
        </w:rPr>
        <w:t> </w:t>
      </w:r>
      <w:r>
        <w:rPr/>
        <w:t>olvidado.</w:t>
      </w:r>
    </w:p>
    <w:p>
      <w:pPr>
        <w:pStyle w:val="BodyText"/>
      </w:pPr>
    </w:p>
    <w:p>
      <w:pPr>
        <w:pStyle w:val="BodyText"/>
      </w:pPr>
    </w:p>
    <w:p>
      <w:pPr>
        <w:pStyle w:val="BodyText"/>
        <w:spacing w:line="360" w:lineRule="auto" w:before="185"/>
        <w:ind w:left="108" w:right="120"/>
        <w:jc w:val="both"/>
      </w:pPr>
      <w:r>
        <w:rPr/>
        <w:t>En</w:t>
      </w:r>
      <w:r>
        <w:rPr>
          <w:spacing w:val="-13"/>
        </w:rPr>
        <w:t> </w:t>
      </w:r>
      <w:r>
        <w:rPr/>
        <w:t>el</w:t>
      </w:r>
      <w:r>
        <w:rPr>
          <w:spacing w:val="-14"/>
        </w:rPr>
        <w:t> </w:t>
      </w:r>
      <w:r>
        <w:rPr/>
        <w:t>cuarto</w:t>
      </w:r>
      <w:r>
        <w:rPr>
          <w:spacing w:val="-16"/>
        </w:rPr>
        <w:t> </w:t>
      </w:r>
      <w:r>
        <w:rPr/>
        <w:t>nivel</w:t>
      </w:r>
      <w:r>
        <w:rPr>
          <w:spacing w:val="-13"/>
        </w:rPr>
        <w:t> </w:t>
      </w:r>
      <w:r>
        <w:rPr/>
        <w:t>se</w:t>
      </w:r>
      <w:r>
        <w:rPr>
          <w:spacing w:val="-13"/>
        </w:rPr>
        <w:t> </w:t>
      </w:r>
      <w:r>
        <w:rPr/>
        <w:t>encuentra</w:t>
      </w:r>
      <w:r>
        <w:rPr>
          <w:spacing w:val="-16"/>
        </w:rPr>
        <w:t> </w:t>
      </w:r>
      <w:r>
        <w:rPr/>
        <w:t>la</w:t>
      </w:r>
      <w:r>
        <w:rPr>
          <w:spacing w:val="-13"/>
        </w:rPr>
        <w:t> </w:t>
      </w:r>
      <w:r>
        <w:rPr/>
        <w:t>información</w:t>
      </w:r>
      <w:r>
        <w:rPr>
          <w:spacing w:val="-16"/>
        </w:rPr>
        <w:t> </w:t>
      </w:r>
      <w:r>
        <w:rPr/>
        <w:t>que</w:t>
      </w:r>
      <w:r>
        <w:rPr>
          <w:spacing w:val="-13"/>
        </w:rPr>
        <w:t> </w:t>
      </w:r>
      <w:r>
        <w:rPr/>
        <w:t>es</w:t>
      </w:r>
      <w:r>
        <w:rPr>
          <w:spacing w:val="-14"/>
        </w:rPr>
        <w:t> </w:t>
      </w:r>
      <w:r>
        <w:rPr/>
        <w:t>considerada</w:t>
      </w:r>
      <w:r>
        <w:rPr>
          <w:spacing w:val="-13"/>
        </w:rPr>
        <w:t> </w:t>
      </w:r>
      <w:r>
        <w:rPr/>
        <w:t>como</w:t>
      </w:r>
      <w:r>
        <w:rPr>
          <w:spacing w:val="-13"/>
        </w:rPr>
        <w:t> </w:t>
      </w:r>
      <w:r>
        <w:rPr/>
        <w:t>confidencial. Que conforme al art. 25 de la ley se refiere a toda información</w:t>
      </w:r>
      <w:r>
        <w:rPr>
          <w:spacing w:val="-21"/>
        </w:rPr>
        <w:t> </w:t>
      </w:r>
      <w:r>
        <w:rPr/>
        <w:t>que:</w:t>
      </w:r>
    </w:p>
    <w:p>
      <w:pPr>
        <w:pStyle w:val="BodyText"/>
      </w:pPr>
    </w:p>
    <w:p>
      <w:pPr>
        <w:pStyle w:val="BodyText"/>
      </w:pPr>
    </w:p>
    <w:p>
      <w:pPr>
        <w:pStyle w:val="ListParagraph"/>
        <w:numPr>
          <w:ilvl w:val="0"/>
          <w:numId w:val="61"/>
        </w:numPr>
        <w:tabs>
          <w:tab w:pos="826" w:val="left" w:leader="none"/>
        </w:tabs>
        <w:spacing w:line="240" w:lineRule="auto" w:before="181" w:after="0"/>
        <w:ind w:left="826" w:right="0" w:hanging="152"/>
        <w:jc w:val="both"/>
        <w:rPr>
          <w:sz w:val="18"/>
        </w:rPr>
      </w:pPr>
      <w:r>
        <w:rPr>
          <w:sz w:val="18"/>
        </w:rPr>
        <w:t>Contenga datos</w:t>
      </w:r>
      <w:r>
        <w:rPr>
          <w:spacing w:val="-9"/>
          <w:sz w:val="18"/>
        </w:rPr>
        <w:t> </w:t>
      </w:r>
      <w:r>
        <w:rPr>
          <w:sz w:val="18"/>
        </w:rPr>
        <w:t>personales;</w:t>
      </w:r>
    </w:p>
    <w:p>
      <w:pPr>
        <w:pStyle w:val="ListParagraph"/>
        <w:numPr>
          <w:ilvl w:val="0"/>
          <w:numId w:val="61"/>
        </w:numPr>
        <w:tabs>
          <w:tab w:pos="877" w:val="left" w:leader="none"/>
        </w:tabs>
        <w:spacing w:line="240" w:lineRule="auto" w:before="0" w:after="0"/>
        <w:ind w:left="876" w:right="0" w:hanging="202"/>
        <w:jc w:val="both"/>
        <w:rPr>
          <w:sz w:val="18"/>
        </w:rPr>
      </w:pPr>
      <w:r>
        <w:rPr>
          <w:sz w:val="18"/>
        </w:rPr>
        <w:t>Así lo consideren las disposiciones legales;</w:t>
      </w:r>
      <w:r>
        <w:rPr>
          <w:spacing w:val="-19"/>
          <w:sz w:val="18"/>
        </w:rPr>
        <w:t> </w:t>
      </w:r>
      <w:r>
        <w:rPr>
          <w:sz w:val="18"/>
        </w:rPr>
        <w:t>y</w:t>
      </w:r>
    </w:p>
    <w:p>
      <w:pPr>
        <w:pStyle w:val="ListParagraph"/>
        <w:numPr>
          <w:ilvl w:val="0"/>
          <w:numId w:val="61"/>
        </w:numPr>
        <w:tabs>
          <w:tab w:pos="927" w:val="left" w:leader="none"/>
        </w:tabs>
        <w:spacing w:line="240" w:lineRule="auto" w:before="2" w:after="0"/>
        <w:ind w:left="926" w:right="0" w:hanging="252"/>
        <w:jc w:val="both"/>
        <w:rPr>
          <w:sz w:val="18"/>
        </w:rPr>
      </w:pPr>
      <w:r>
        <w:rPr>
          <w:sz w:val="18"/>
        </w:rPr>
        <w:t>Se entregue a los Sujetos Obligados bajo promesa de</w:t>
      </w:r>
      <w:r>
        <w:rPr>
          <w:spacing w:val="-25"/>
          <w:sz w:val="18"/>
        </w:rPr>
        <w:t> </w:t>
      </w:r>
      <w:r>
        <w:rPr>
          <w:sz w:val="18"/>
        </w:rPr>
        <w:t>secresía.</w:t>
      </w:r>
    </w:p>
    <w:p>
      <w:pPr>
        <w:pStyle w:val="BodyText"/>
        <w:spacing w:before="3"/>
        <w:rPr>
          <w:sz w:val="18"/>
        </w:rPr>
      </w:pPr>
    </w:p>
    <w:p>
      <w:pPr>
        <w:spacing w:before="0"/>
        <w:ind w:left="674" w:right="534" w:firstLine="0"/>
        <w:jc w:val="left"/>
        <w:rPr>
          <w:sz w:val="18"/>
        </w:rPr>
      </w:pPr>
      <w:r>
        <w:rPr>
          <w:sz w:val="18"/>
        </w:rPr>
        <w:t>No se considerará confidencial la información que se encuentre en los registros públicos o en fuentes de acceso público, ni tampoco la que sea considerada por la presente Ley como información pública.</w:t>
      </w:r>
    </w:p>
    <w:p>
      <w:pPr>
        <w:spacing w:after="0"/>
        <w:jc w:val="left"/>
        <w:rPr>
          <w:sz w:val="18"/>
        </w:rPr>
        <w:sectPr>
          <w:pgSz w:w="12240" w:h="15840"/>
          <w:pgMar w:header="0" w:footer="1035" w:top="1360" w:bottom="1220" w:left="1500" w:right="1580"/>
        </w:sectPr>
      </w:pPr>
    </w:p>
    <w:p>
      <w:pPr>
        <w:pStyle w:val="BodyText"/>
        <w:spacing w:line="360" w:lineRule="auto" w:before="54"/>
        <w:ind w:left="108" w:right="117"/>
        <w:jc w:val="both"/>
      </w:pPr>
      <w:r>
        <w:rPr/>
        <w:t>Tal como se puede observar en las tres fracciones que contiene el artículo 20, tampoco se especifica cuál es la información confidencial, sino que se deja a interpretación de los gobiernos la clasificación de la misma. Esta situación es una acción que permite identificar cómo los gobernantes definen ciertos mecanismos de protección hacia su persona, trabajo y la institución gubernamental.</w:t>
      </w:r>
    </w:p>
    <w:p>
      <w:pPr>
        <w:pStyle w:val="BodyText"/>
      </w:pPr>
    </w:p>
    <w:p>
      <w:pPr>
        <w:pStyle w:val="BodyText"/>
      </w:pPr>
    </w:p>
    <w:p>
      <w:pPr>
        <w:pStyle w:val="BodyText"/>
        <w:spacing w:line="360" w:lineRule="auto" w:before="187"/>
        <w:ind w:left="108" w:right="115"/>
        <w:jc w:val="both"/>
      </w:pPr>
      <w:r>
        <w:rPr/>
        <w:t>Asimismo, cabe destacar que tal como se ha presentado la información en los artículos anteriores, se pueden hacer presentes dos contradicciones planteadas por los gobernantes en la elaboración de las leyes:</w:t>
      </w:r>
    </w:p>
    <w:p>
      <w:pPr>
        <w:pStyle w:val="BodyText"/>
      </w:pPr>
    </w:p>
    <w:p>
      <w:pPr>
        <w:pStyle w:val="BodyText"/>
      </w:pPr>
    </w:p>
    <w:p>
      <w:pPr>
        <w:pStyle w:val="BodyText"/>
        <w:spacing w:line="360" w:lineRule="auto" w:before="185"/>
        <w:ind w:left="108" w:right="114"/>
        <w:jc w:val="both"/>
      </w:pPr>
      <w:r>
        <w:rPr/>
        <w:t>La</w:t>
      </w:r>
      <w:r>
        <w:rPr>
          <w:spacing w:val="-18"/>
        </w:rPr>
        <w:t> </w:t>
      </w:r>
      <w:r>
        <w:rPr/>
        <w:t>primera</w:t>
      </w:r>
      <w:r>
        <w:rPr>
          <w:spacing w:val="-18"/>
        </w:rPr>
        <w:t> </w:t>
      </w:r>
      <w:r>
        <w:rPr/>
        <w:t>se</w:t>
      </w:r>
      <w:r>
        <w:rPr>
          <w:spacing w:val="-18"/>
        </w:rPr>
        <w:t> </w:t>
      </w:r>
      <w:r>
        <w:rPr/>
        <w:t>refiere</w:t>
      </w:r>
      <w:r>
        <w:rPr>
          <w:spacing w:val="-18"/>
        </w:rPr>
        <w:t> </w:t>
      </w:r>
      <w:r>
        <w:rPr/>
        <w:t>al</w:t>
      </w:r>
      <w:r>
        <w:rPr>
          <w:spacing w:val="-22"/>
        </w:rPr>
        <w:t> </w:t>
      </w:r>
      <w:r>
        <w:rPr/>
        <w:t>principio</w:t>
      </w:r>
      <w:r>
        <w:rPr>
          <w:spacing w:val="-18"/>
        </w:rPr>
        <w:t> </w:t>
      </w:r>
      <w:r>
        <w:rPr/>
        <w:t>de</w:t>
      </w:r>
      <w:r>
        <w:rPr>
          <w:spacing w:val="-20"/>
        </w:rPr>
        <w:t> </w:t>
      </w:r>
      <w:r>
        <w:rPr/>
        <w:t>máxima</w:t>
      </w:r>
      <w:r>
        <w:rPr>
          <w:spacing w:val="-18"/>
        </w:rPr>
        <w:t> </w:t>
      </w:r>
      <w:r>
        <w:rPr/>
        <w:t>publicidad,</w:t>
      </w:r>
      <w:r>
        <w:rPr>
          <w:spacing w:val="-18"/>
        </w:rPr>
        <w:t> </w:t>
      </w:r>
      <w:r>
        <w:rPr/>
        <w:t>que,</w:t>
      </w:r>
      <w:r>
        <w:rPr>
          <w:spacing w:val="-18"/>
        </w:rPr>
        <w:t> </w:t>
      </w:r>
      <w:r>
        <w:rPr/>
        <w:t>de</w:t>
      </w:r>
      <w:r>
        <w:rPr>
          <w:spacing w:val="-18"/>
        </w:rPr>
        <w:t> </w:t>
      </w:r>
      <w:r>
        <w:rPr/>
        <w:t>acuerdo</w:t>
      </w:r>
      <w:r>
        <w:rPr>
          <w:spacing w:val="-18"/>
        </w:rPr>
        <w:t> </w:t>
      </w:r>
      <w:r>
        <w:rPr/>
        <w:t>a</w:t>
      </w:r>
      <w:r>
        <w:rPr>
          <w:spacing w:val="-18"/>
        </w:rPr>
        <w:t> </w:t>
      </w:r>
      <w:r>
        <w:rPr/>
        <w:t>la</w:t>
      </w:r>
      <w:r>
        <w:rPr>
          <w:spacing w:val="-18"/>
        </w:rPr>
        <w:t> </w:t>
      </w:r>
      <w:r>
        <w:rPr/>
        <w:t>jerarquía de la normativa, toda información que maneja el gobierno debería prevalecer ante toda</w:t>
      </w:r>
      <w:r>
        <w:rPr>
          <w:spacing w:val="-6"/>
        </w:rPr>
        <w:t> </w:t>
      </w:r>
      <w:r>
        <w:rPr/>
        <w:t>ley,</w:t>
      </w:r>
      <w:r>
        <w:rPr>
          <w:spacing w:val="-4"/>
        </w:rPr>
        <w:t> </w:t>
      </w:r>
      <w:r>
        <w:rPr/>
        <w:t>ya</w:t>
      </w:r>
      <w:r>
        <w:rPr>
          <w:spacing w:val="-4"/>
        </w:rPr>
        <w:t> </w:t>
      </w:r>
      <w:r>
        <w:rPr/>
        <w:t>que</w:t>
      </w:r>
      <w:r>
        <w:rPr>
          <w:spacing w:val="-4"/>
        </w:rPr>
        <w:t> </w:t>
      </w:r>
      <w:r>
        <w:rPr/>
        <w:t>se</w:t>
      </w:r>
      <w:r>
        <w:rPr>
          <w:spacing w:val="-6"/>
        </w:rPr>
        <w:t> </w:t>
      </w:r>
      <w:r>
        <w:rPr/>
        <w:t>encuentra</w:t>
      </w:r>
      <w:r>
        <w:rPr>
          <w:spacing w:val="-6"/>
        </w:rPr>
        <w:t> </w:t>
      </w:r>
      <w:r>
        <w:rPr/>
        <w:t>plasmado</w:t>
      </w:r>
      <w:r>
        <w:rPr>
          <w:spacing w:val="-6"/>
        </w:rPr>
        <w:t> </w:t>
      </w:r>
      <w:r>
        <w:rPr/>
        <w:t>en</w:t>
      </w:r>
      <w:r>
        <w:rPr>
          <w:spacing w:val="-6"/>
        </w:rPr>
        <w:t> </w:t>
      </w:r>
      <w:r>
        <w:rPr/>
        <w:t>la</w:t>
      </w:r>
      <w:r>
        <w:rPr>
          <w:spacing w:val="-6"/>
        </w:rPr>
        <w:t> </w:t>
      </w:r>
      <w:r>
        <w:rPr/>
        <w:t>Carta</w:t>
      </w:r>
      <w:r>
        <w:rPr>
          <w:spacing w:val="-3"/>
        </w:rPr>
        <w:t> </w:t>
      </w:r>
      <w:r>
        <w:rPr/>
        <w:t>Magna</w:t>
      </w:r>
      <w:r>
        <w:rPr>
          <w:spacing w:val="-4"/>
        </w:rPr>
        <w:t> </w:t>
      </w:r>
      <w:r>
        <w:rPr/>
        <w:t>que</w:t>
      </w:r>
      <w:r>
        <w:rPr>
          <w:spacing w:val="-4"/>
        </w:rPr>
        <w:t> </w:t>
      </w:r>
      <w:r>
        <w:rPr/>
        <w:t>rige</w:t>
      </w:r>
      <w:r>
        <w:rPr>
          <w:spacing w:val="-6"/>
        </w:rPr>
        <w:t> </w:t>
      </w:r>
      <w:r>
        <w:rPr/>
        <w:t>al</w:t>
      </w:r>
      <w:r>
        <w:rPr>
          <w:spacing w:val="-5"/>
        </w:rPr>
        <w:t> </w:t>
      </w:r>
      <w:r>
        <w:rPr/>
        <w:t>país</w:t>
      </w:r>
      <w:r>
        <w:rPr>
          <w:spacing w:val="-4"/>
        </w:rPr>
        <w:t> </w:t>
      </w:r>
      <w:r>
        <w:rPr/>
        <w:t>y</w:t>
      </w:r>
      <w:r>
        <w:rPr>
          <w:spacing w:val="-7"/>
        </w:rPr>
        <w:t> </w:t>
      </w:r>
      <w:r>
        <w:rPr/>
        <w:t>no</w:t>
      </w:r>
      <w:r>
        <w:rPr>
          <w:spacing w:val="-6"/>
        </w:rPr>
        <w:t> </w:t>
      </w:r>
      <w:r>
        <w:rPr/>
        <w:t>hay ningún documento legal por encima de ésta. No obstante, en la práctica, al considerar</w:t>
      </w:r>
      <w:r>
        <w:rPr>
          <w:spacing w:val="-7"/>
        </w:rPr>
        <w:t> </w:t>
      </w:r>
      <w:r>
        <w:rPr/>
        <w:t>información</w:t>
      </w:r>
      <w:r>
        <w:rPr>
          <w:spacing w:val="-8"/>
        </w:rPr>
        <w:t> </w:t>
      </w:r>
      <w:r>
        <w:rPr/>
        <w:t>reservada</w:t>
      </w:r>
      <w:r>
        <w:rPr>
          <w:spacing w:val="-6"/>
        </w:rPr>
        <w:t> </w:t>
      </w:r>
      <w:r>
        <w:rPr/>
        <w:t>y</w:t>
      </w:r>
      <w:r>
        <w:rPr>
          <w:spacing w:val="-9"/>
        </w:rPr>
        <w:t> </w:t>
      </w:r>
      <w:r>
        <w:rPr/>
        <w:t>confidencial,</w:t>
      </w:r>
      <w:r>
        <w:rPr>
          <w:spacing w:val="-6"/>
        </w:rPr>
        <w:t> </w:t>
      </w:r>
      <w:r>
        <w:rPr/>
        <w:t>se</w:t>
      </w:r>
      <w:r>
        <w:rPr>
          <w:spacing w:val="-6"/>
        </w:rPr>
        <w:t> </w:t>
      </w:r>
      <w:r>
        <w:rPr/>
        <w:t>produce</w:t>
      </w:r>
      <w:r>
        <w:rPr>
          <w:spacing w:val="-6"/>
        </w:rPr>
        <w:t> </w:t>
      </w:r>
      <w:r>
        <w:rPr/>
        <w:t>una</w:t>
      </w:r>
      <w:r>
        <w:rPr>
          <w:spacing w:val="-6"/>
        </w:rPr>
        <w:t> </w:t>
      </w:r>
      <w:r>
        <w:rPr/>
        <w:t>gran</w:t>
      </w:r>
      <w:r>
        <w:rPr>
          <w:spacing w:val="-6"/>
        </w:rPr>
        <w:t> </w:t>
      </w:r>
      <w:r>
        <w:rPr/>
        <w:t>contradicción. De igual manera, cuando se solicita información vía amparo es necesario identificarse, por lo que resulta contradictorio con el derecho constitucional de no tener que identificarse cuando se solicita información a las dependencias gubernamentales.</w:t>
      </w:r>
    </w:p>
    <w:p>
      <w:pPr>
        <w:pStyle w:val="BodyText"/>
      </w:pPr>
    </w:p>
    <w:p>
      <w:pPr>
        <w:pStyle w:val="BodyText"/>
      </w:pPr>
    </w:p>
    <w:p>
      <w:pPr>
        <w:pStyle w:val="BodyText"/>
        <w:spacing w:line="360" w:lineRule="auto" w:before="185"/>
        <w:ind w:left="108" w:right="115"/>
        <w:jc w:val="both"/>
      </w:pPr>
      <w:r>
        <w:rPr/>
        <w:t>La segunda contradicción se presenta con la aplicación de la Ley de Protección de Datos Personales. Ya que estos según el art. 4 de la misma ley se refieren a “Cualquier información concerniente a una persona física o jurídica colectiva identificada o identificable, establecida en cualquier formato o modalidad y que esté almacenada</w:t>
      </w:r>
      <w:r>
        <w:rPr>
          <w:spacing w:val="-11"/>
        </w:rPr>
        <w:t> </w:t>
      </w:r>
      <w:r>
        <w:rPr/>
        <w:t>en</w:t>
      </w:r>
      <w:r>
        <w:rPr>
          <w:spacing w:val="-11"/>
        </w:rPr>
        <w:t> </w:t>
      </w:r>
      <w:r>
        <w:rPr/>
        <w:t>bases</w:t>
      </w:r>
      <w:r>
        <w:rPr>
          <w:spacing w:val="-14"/>
        </w:rPr>
        <w:t> </w:t>
      </w:r>
      <w:r>
        <w:rPr/>
        <w:t>de</w:t>
      </w:r>
      <w:r>
        <w:rPr>
          <w:spacing w:val="-11"/>
        </w:rPr>
        <w:t> </w:t>
      </w:r>
      <w:r>
        <w:rPr/>
        <w:t>datos,</w:t>
      </w:r>
      <w:r>
        <w:rPr>
          <w:spacing w:val="-11"/>
        </w:rPr>
        <w:t> </w:t>
      </w:r>
      <w:r>
        <w:rPr/>
        <w:t>conforme</w:t>
      </w:r>
      <w:r>
        <w:rPr>
          <w:spacing w:val="-11"/>
        </w:rPr>
        <w:t> </w:t>
      </w:r>
      <w:r>
        <w:rPr/>
        <w:t>a</w:t>
      </w:r>
      <w:r>
        <w:rPr>
          <w:spacing w:val="-8"/>
        </w:rPr>
        <w:t> </w:t>
      </w:r>
      <w:r>
        <w:rPr/>
        <w:t>lo</w:t>
      </w:r>
      <w:r>
        <w:rPr>
          <w:spacing w:val="-8"/>
        </w:rPr>
        <w:t> </w:t>
      </w:r>
      <w:r>
        <w:rPr/>
        <w:t>establecido</w:t>
      </w:r>
      <w:r>
        <w:rPr>
          <w:spacing w:val="-10"/>
        </w:rPr>
        <w:t> </w:t>
      </w:r>
      <w:r>
        <w:rPr/>
        <w:t>en</w:t>
      </w:r>
      <w:r>
        <w:rPr>
          <w:spacing w:val="-11"/>
        </w:rPr>
        <w:t> </w:t>
      </w:r>
      <w:r>
        <w:rPr/>
        <w:t>esta</w:t>
      </w:r>
      <w:r>
        <w:rPr>
          <w:spacing w:val="-10"/>
        </w:rPr>
        <w:t> </w:t>
      </w:r>
      <w:r>
        <w:rPr/>
        <w:t>Ley”</w:t>
      </w:r>
      <w:r>
        <w:rPr>
          <w:spacing w:val="-10"/>
        </w:rPr>
        <w:t> </w:t>
      </w:r>
      <w:r>
        <w:rPr/>
        <w:t>entre</w:t>
      </w:r>
      <w:r>
        <w:rPr>
          <w:spacing w:val="-9"/>
        </w:rPr>
        <w:t> </w:t>
      </w:r>
      <w:r>
        <w:rPr/>
        <w:t>los</w:t>
      </w:r>
      <w:r>
        <w:rPr>
          <w:spacing w:val="-9"/>
        </w:rPr>
        <w:t> </w:t>
      </w:r>
      <w:r>
        <w:rPr/>
        <w:t>que destacan: nombre, dirección, teléfono, religión, etc. Y en los documentos señalados en el art. 12 de la ley de transparencia que se encuentran plasmados. De modo tal que</w:t>
      </w:r>
      <w:r>
        <w:rPr>
          <w:spacing w:val="-8"/>
        </w:rPr>
        <w:t> </w:t>
      </w:r>
      <w:r>
        <w:rPr/>
        <w:t>resulta</w:t>
      </w:r>
      <w:r>
        <w:rPr>
          <w:spacing w:val="-8"/>
        </w:rPr>
        <w:t> </w:t>
      </w:r>
      <w:r>
        <w:rPr/>
        <w:t>contradictorio</w:t>
      </w:r>
      <w:r>
        <w:rPr>
          <w:spacing w:val="-8"/>
        </w:rPr>
        <w:t> </w:t>
      </w:r>
      <w:r>
        <w:rPr/>
        <w:t>que</w:t>
      </w:r>
      <w:r>
        <w:rPr>
          <w:spacing w:val="-8"/>
        </w:rPr>
        <w:t> </w:t>
      </w:r>
      <w:r>
        <w:rPr/>
        <w:t>una</w:t>
      </w:r>
      <w:r>
        <w:rPr>
          <w:spacing w:val="-8"/>
        </w:rPr>
        <w:t> </w:t>
      </w:r>
      <w:r>
        <w:rPr/>
        <w:t>ley</w:t>
      </w:r>
      <w:r>
        <w:rPr>
          <w:spacing w:val="-11"/>
        </w:rPr>
        <w:t> </w:t>
      </w:r>
      <w:r>
        <w:rPr/>
        <w:t>exija</w:t>
      </w:r>
      <w:r>
        <w:rPr>
          <w:spacing w:val="-8"/>
        </w:rPr>
        <w:t> </w:t>
      </w:r>
      <w:r>
        <w:rPr/>
        <w:t>su</w:t>
      </w:r>
      <w:r>
        <w:rPr>
          <w:spacing w:val="-6"/>
        </w:rPr>
        <w:t> </w:t>
      </w:r>
      <w:r>
        <w:rPr/>
        <w:t>publicación</w:t>
      </w:r>
      <w:r>
        <w:rPr>
          <w:spacing w:val="-8"/>
        </w:rPr>
        <w:t> </w:t>
      </w:r>
      <w:r>
        <w:rPr/>
        <w:t>y</w:t>
      </w:r>
      <w:r>
        <w:rPr>
          <w:spacing w:val="-12"/>
        </w:rPr>
        <w:t> </w:t>
      </w:r>
      <w:r>
        <w:rPr/>
        <w:t>otra</w:t>
      </w:r>
      <w:r>
        <w:rPr>
          <w:spacing w:val="-9"/>
        </w:rPr>
        <w:t> </w:t>
      </w:r>
      <w:r>
        <w:rPr/>
        <w:t>pida</w:t>
      </w:r>
      <w:r>
        <w:rPr>
          <w:spacing w:val="-11"/>
        </w:rPr>
        <w:t> </w:t>
      </w:r>
      <w:r>
        <w:rPr/>
        <w:t>lo</w:t>
      </w:r>
      <w:r>
        <w:rPr>
          <w:spacing w:val="-9"/>
        </w:rPr>
        <w:t> </w:t>
      </w:r>
      <w:r>
        <w:rPr/>
        <w:t>contrario.</w:t>
      </w:r>
      <w:r>
        <w:rPr>
          <w:spacing w:val="-9"/>
        </w:rPr>
        <w:t> </w:t>
      </w:r>
      <w:r>
        <w:rPr/>
        <w:t>En</w:t>
      </w:r>
    </w:p>
    <w:p>
      <w:pPr>
        <w:spacing w:after="0" w:line="360" w:lineRule="auto"/>
        <w:jc w:val="both"/>
        <w:sectPr>
          <w:pgSz w:w="12240" w:h="15840"/>
          <w:pgMar w:header="0" w:footer="1035" w:top="1360" w:bottom="1220" w:left="1500" w:right="1580"/>
        </w:sectPr>
      </w:pPr>
    </w:p>
    <w:p>
      <w:pPr>
        <w:pStyle w:val="BodyText"/>
        <w:spacing w:line="362" w:lineRule="auto" w:before="54"/>
        <w:ind w:left="108" w:right="99"/>
        <w:jc w:val="both"/>
      </w:pPr>
      <w:r>
        <w:rPr/>
        <w:t>este</w:t>
      </w:r>
      <w:r>
        <w:rPr>
          <w:spacing w:val="-4"/>
        </w:rPr>
        <w:t> </w:t>
      </w:r>
      <w:r>
        <w:rPr/>
        <w:t>sentido</w:t>
      </w:r>
      <w:r>
        <w:rPr>
          <w:spacing w:val="-5"/>
        </w:rPr>
        <w:t> </w:t>
      </w:r>
      <w:r>
        <w:rPr/>
        <w:t>tiene</w:t>
      </w:r>
      <w:r>
        <w:rPr>
          <w:spacing w:val="-7"/>
        </w:rPr>
        <w:t> </w:t>
      </w:r>
      <w:r>
        <w:rPr/>
        <w:t>lugar</w:t>
      </w:r>
      <w:r>
        <w:rPr>
          <w:spacing w:val="-6"/>
        </w:rPr>
        <w:t> </w:t>
      </w:r>
      <w:r>
        <w:rPr/>
        <w:t>la</w:t>
      </w:r>
      <w:r>
        <w:rPr>
          <w:spacing w:val="-5"/>
        </w:rPr>
        <w:t> </w:t>
      </w:r>
      <w:r>
        <w:rPr/>
        <w:t>afirmación</w:t>
      </w:r>
      <w:r>
        <w:rPr>
          <w:spacing w:val="-6"/>
        </w:rPr>
        <w:t> </w:t>
      </w:r>
      <w:r>
        <w:rPr/>
        <w:t>que</w:t>
      </w:r>
      <w:r>
        <w:rPr>
          <w:spacing w:val="-5"/>
        </w:rPr>
        <w:t> </w:t>
      </w:r>
      <w:r>
        <w:rPr/>
        <w:t>hace</w:t>
      </w:r>
      <w:r>
        <w:rPr>
          <w:spacing w:val="-5"/>
        </w:rPr>
        <w:t> </w:t>
      </w:r>
      <w:r>
        <w:rPr/>
        <w:t>la</w:t>
      </w:r>
      <w:r>
        <w:rPr>
          <w:spacing w:val="-5"/>
        </w:rPr>
        <w:t> </w:t>
      </w:r>
      <w:r>
        <w:rPr/>
        <w:t>responsable</w:t>
      </w:r>
      <w:r>
        <w:rPr>
          <w:spacing w:val="-7"/>
        </w:rPr>
        <w:t> </w:t>
      </w:r>
      <w:r>
        <w:rPr/>
        <w:t>de</w:t>
      </w:r>
      <w:r>
        <w:rPr>
          <w:spacing w:val="-7"/>
        </w:rPr>
        <w:t> </w:t>
      </w:r>
      <w:r>
        <w:rPr/>
        <w:t>San</w:t>
      </w:r>
      <w:r>
        <w:rPr>
          <w:spacing w:val="-5"/>
        </w:rPr>
        <w:t> </w:t>
      </w:r>
      <w:r>
        <w:rPr/>
        <w:t>Mateo</w:t>
      </w:r>
      <w:r>
        <w:rPr>
          <w:spacing w:val="-5"/>
        </w:rPr>
        <w:t> </w:t>
      </w:r>
      <w:r>
        <w:rPr/>
        <w:t>Atenco cuando señala lo</w:t>
      </w:r>
      <w:r>
        <w:rPr>
          <w:spacing w:val="-8"/>
        </w:rPr>
        <w:t> </w:t>
      </w:r>
      <w:r>
        <w:rPr/>
        <w:t>siguiente:</w:t>
      </w:r>
    </w:p>
    <w:p>
      <w:pPr>
        <w:pStyle w:val="BodyText"/>
      </w:pPr>
    </w:p>
    <w:p>
      <w:pPr>
        <w:pStyle w:val="BodyText"/>
      </w:pPr>
    </w:p>
    <w:p>
      <w:pPr>
        <w:spacing w:line="278" w:lineRule="auto" w:before="179"/>
        <w:ind w:left="674" w:right="671" w:firstLine="0"/>
        <w:jc w:val="both"/>
        <w:rPr>
          <w:sz w:val="18"/>
        </w:rPr>
      </w:pPr>
      <w:r>
        <w:rPr>
          <w:b/>
          <w:sz w:val="18"/>
        </w:rPr>
        <w:t>Investigador: </w:t>
      </w:r>
      <w:r>
        <w:rPr>
          <w:sz w:val="18"/>
        </w:rPr>
        <w:t>¿No es algo contradictorio por una parte tener una ley que nos pide ser transparentes y por el otro lado tener una ley que nos pide proteger datos personales? Cómo funciona en la práctica o somos transparentes o protegemos la información.</w:t>
      </w:r>
    </w:p>
    <w:p>
      <w:pPr>
        <w:pStyle w:val="BodyText"/>
        <w:rPr>
          <w:sz w:val="18"/>
        </w:rPr>
      </w:pPr>
    </w:p>
    <w:p>
      <w:pPr>
        <w:pStyle w:val="BodyText"/>
        <w:rPr>
          <w:sz w:val="18"/>
        </w:rPr>
      </w:pPr>
    </w:p>
    <w:p>
      <w:pPr>
        <w:spacing w:line="276" w:lineRule="auto" w:before="139"/>
        <w:ind w:left="674" w:right="662" w:firstLine="0"/>
        <w:jc w:val="both"/>
        <w:rPr>
          <w:sz w:val="18"/>
        </w:rPr>
      </w:pPr>
      <w:r>
        <w:rPr>
          <w:b/>
          <w:sz w:val="18"/>
        </w:rPr>
        <w:t>Entrevistada: </w:t>
      </w:r>
      <w:r>
        <w:rPr>
          <w:sz w:val="18"/>
        </w:rPr>
        <w:t>No, la verdad es que, si es algo contradictorio porque por una parte damos información y por otra parte se supone que hay información que debemos de proteger. Si guardamos</w:t>
      </w:r>
      <w:r>
        <w:rPr>
          <w:spacing w:val="-8"/>
          <w:sz w:val="18"/>
        </w:rPr>
        <w:t> </w:t>
      </w:r>
      <w:r>
        <w:rPr>
          <w:sz w:val="18"/>
        </w:rPr>
        <w:t>información</w:t>
      </w:r>
      <w:r>
        <w:rPr>
          <w:spacing w:val="-6"/>
          <w:sz w:val="18"/>
        </w:rPr>
        <w:t> </w:t>
      </w:r>
      <w:r>
        <w:rPr>
          <w:sz w:val="18"/>
        </w:rPr>
        <w:t>en</w:t>
      </w:r>
      <w:r>
        <w:rPr>
          <w:spacing w:val="-8"/>
          <w:sz w:val="18"/>
        </w:rPr>
        <w:t> </w:t>
      </w:r>
      <w:r>
        <w:rPr>
          <w:sz w:val="18"/>
        </w:rPr>
        <w:t>ocasiones</w:t>
      </w:r>
      <w:r>
        <w:rPr>
          <w:spacing w:val="-8"/>
          <w:sz w:val="18"/>
        </w:rPr>
        <w:t> </w:t>
      </w:r>
      <w:r>
        <w:rPr>
          <w:sz w:val="18"/>
        </w:rPr>
        <w:t>que</w:t>
      </w:r>
      <w:r>
        <w:rPr>
          <w:spacing w:val="-6"/>
          <w:sz w:val="18"/>
        </w:rPr>
        <w:t> </w:t>
      </w:r>
      <w:r>
        <w:rPr>
          <w:sz w:val="18"/>
        </w:rPr>
        <w:t>varios</w:t>
      </w:r>
      <w:r>
        <w:rPr>
          <w:spacing w:val="-8"/>
          <w:sz w:val="18"/>
        </w:rPr>
        <w:t> </w:t>
      </w:r>
      <w:r>
        <w:rPr>
          <w:sz w:val="18"/>
        </w:rPr>
        <w:t>compañeros</w:t>
      </w:r>
      <w:r>
        <w:rPr>
          <w:spacing w:val="-5"/>
          <w:sz w:val="18"/>
        </w:rPr>
        <w:t> </w:t>
      </w:r>
      <w:r>
        <w:rPr>
          <w:sz w:val="18"/>
        </w:rPr>
        <w:t>o</w:t>
      </w:r>
      <w:r>
        <w:rPr>
          <w:spacing w:val="-8"/>
          <w:sz w:val="18"/>
        </w:rPr>
        <w:t> </w:t>
      </w:r>
      <w:r>
        <w:rPr>
          <w:sz w:val="18"/>
        </w:rPr>
        <w:t>servidores</w:t>
      </w:r>
      <w:r>
        <w:rPr>
          <w:spacing w:val="-8"/>
          <w:sz w:val="18"/>
        </w:rPr>
        <w:t> </w:t>
      </w:r>
      <w:r>
        <w:rPr>
          <w:sz w:val="18"/>
        </w:rPr>
        <w:t>públicos</w:t>
      </w:r>
      <w:r>
        <w:rPr>
          <w:spacing w:val="-8"/>
          <w:sz w:val="18"/>
        </w:rPr>
        <w:t> </w:t>
      </w:r>
      <w:r>
        <w:rPr>
          <w:sz w:val="18"/>
        </w:rPr>
        <w:t>nos</w:t>
      </w:r>
      <w:r>
        <w:rPr>
          <w:spacing w:val="-8"/>
          <w:sz w:val="18"/>
        </w:rPr>
        <w:t> </w:t>
      </w:r>
      <w:r>
        <w:rPr>
          <w:sz w:val="18"/>
        </w:rPr>
        <w:t>comentan que información pueden reservar por su propia seguridad. Para no decir nada en cuestión de los sueldos, que es uno de los problemas que se dieron al principio, al publicar cuanto se gana o cuánto gana un servidor público por las cuestiones de la inseguridad que estamos viviendo actualmente. Ya en la cuestión de los datos personales pues finalmente digo si nos ayuda a proteger los datos personales, pero sí es un poco</w:t>
      </w:r>
      <w:r>
        <w:rPr>
          <w:spacing w:val="-22"/>
          <w:sz w:val="18"/>
        </w:rPr>
        <w:t> </w:t>
      </w:r>
      <w:r>
        <w:rPr>
          <w:sz w:val="18"/>
        </w:rPr>
        <w:t>controversial.</w:t>
      </w:r>
    </w:p>
    <w:p>
      <w:pPr>
        <w:pStyle w:val="BodyText"/>
        <w:rPr>
          <w:sz w:val="18"/>
        </w:rPr>
      </w:pPr>
    </w:p>
    <w:p>
      <w:pPr>
        <w:pStyle w:val="BodyText"/>
        <w:rPr>
          <w:sz w:val="18"/>
        </w:rPr>
      </w:pPr>
    </w:p>
    <w:p>
      <w:pPr>
        <w:pStyle w:val="BodyText"/>
        <w:rPr>
          <w:sz w:val="18"/>
        </w:rPr>
      </w:pPr>
    </w:p>
    <w:p>
      <w:pPr>
        <w:pStyle w:val="BodyText"/>
        <w:spacing w:line="360" w:lineRule="auto" w:before="115"/>
        <w:ind w:left="108" w:right="98"/>
        <w:jc w:val="both"/>
      </w:pPr>
      <w:r>
        <w:rPr/>
        <w:t>Esta situación de la información pública sí es controversial, ya que en ocasiones resulta</w:t>
      </w:r>
      <w:r>
        <w:rPr>
          <w:spacing w:val="-8"/>
        </w:rPr>
        <w:t> </w:t>
      </w:r>
      <w:r>
        <w:rPr/>
        <w:t>mayor</w:t>
      </w:r>
      <w:r>
        <w:rPr>
          <w:spacing w:val="-7"/>
        </w:rPr>
        <w:t> </w:t>
      </w:r>
      <w:r>
        <w:rPr/>
        <w:t>el</w:t>
      </w:r>
      <w:r>
        <w:rPr>
          <w:spacing w:val="-7"/>
        </w:rPr>
        <w:t> </w:t>
      </w:r>
      <w:r>
        <w:rPr/>
        <w:t>beneficio</w:t>
      </w:r>
      <w:r>
        <w:rPr>
          <w:spacing w:val="-6"/>
        </w:rPr>
        <w:t> </w:t>
      </w:r>
      <w:r>
        <w:rPr/>
        <w:t>para</w:t>
      </w:r>
      <w:r>
        <w:rPr>
          <w:spacing w:val="-7"/>
        </w:rPr>
        <w:t> </w:t>
      </w:r>
      <w:r>
        <w:rPr/>
        <w:t>los</w:t>
      </w:r>
      <w:r>
        <w:rPr>
          <w:spacing w:val="-9"/>
        </w:rPr>
        <w:t> </w:t>
      </w:r>
      <w:r>
        <w:rPr/>
        <w:t>servidores</w:t>
      </w:r>
      <w:r>
        <w:rPr>
          <w:spacing w:val="-7"/>
        </w:rPr>
        <w:t> </w:t>
      </w:r>
      <w:r>
        <w:rPr/>
        <w:t>públicos</w:t>
      </w:r>
      <w:r>
        <w:rPr>
          <w:spacing w:val="-9"/>
        </w:rPr>
        <w:t> </w:t>
      </w:r>
      <w:r>
        <w:rPr/>
        <w:t>de</w:t>
      </w:r>
      <w:r>
        <w:rPr>
          <w:spacing w:val="-8"/>
        </w:rPr>
        <w:t> </w:t>
      </w:r>
      <w:r>
        <w:rPr/>
        <w:t>no</w:t>
      </w:r>
      <w:r>
        <w:rPr>
          <w:spacing w:val="-6"/>
        </w:rPr>
        <w:t> </w:t>
      </w:r>
      <w:r>
        <w:rPr/>
        <w:t>publicar</w:t>
      </w:r>
      <w:r>
        <w:rPr>
          <w:spacing w:val="-10"/>
        </w:rPr>
        <w:t> </w:t>
      </w:r>
      <w:r>
        <w:rPr/>
        <w:t>sus</w:t>
      </w:r>
      <w:r>
        <w:rPr>
          <w:spacing w:val="-7"/>
        </w:rPr>
        <w:t> </w:t>
      </w:r>
      <w:r>
        <w:rPr/>
        <w:t>nombres</w:t>
      </w:r>
      <w:r>
        <w:rPr>
          <w:spacing w:val="-9"/>
        </w:rPr>
        <w:t> </w:t>
      </w:r>
      <w:r>
        <w:rPr/>
        <w:t>o salarios</w:t>
      </w:r>
      <w:r>
        <w:rPr>
          <w:spacing w:val="-12"/>
        </w:rPr>
        <w:t> </w:t>
      </w:r>
      <w:r>
        <w:rPr/>
        <w:t>por</w:t>
      </w:r>
      <w:r>
        <w:rPr>
          <w:spacing w:val="-12"/>
        </w:rPr>
        <w:t> </w:t>
      </w:r>
      <w:r>
        <w:rPr/>
        <w:t>la</w:t>
      </w:r>
      <w:r>
        <w:rPr>
          <w:spacing w:val="-11"/>
        </w:rPr>
        <w:t> </w:t>
      </w:r>
      <w:r>
        <w:rPr/>
        <w:t>situación</w:t>
      </w:r>
      <w:r>
        <w:rPr>
          <w:spacing w:val="-11"/>
        </w:rPr>
        <w:t> </w:t>
      </w:r>
      <w:r>
        <w:rPr/>
        <w:t>de</w:t>
      </w:r>
      <w:r>
        <w:rPr>
          <w:spacing w:val="-13"/>
        </w:rPr>
        <w:t> </w:t>
      </w:r>
      <w:r>
        <w:rPr/>
        <w:t>delincuencia</w:t>
      </w:r>
      <w:r>
        <w:rPr>
          <w:spacing w:val="-11"/>
        </w:rPr>
        <w:t> </w:t>
      </w:r>
      <w:r>
        <w:rPr/>
        <w:t>que</w:t>
      </w:r>
      <w:r>
        <w:rPr>
          <w:spacing w:val="-15"/>
        </w:rPr>
        <w:t> </w:t>
      </w:r>
      <w:r>
        <w:rPr/>
        <w:t>vive</w:t>
      </w:r>
      <w:r>
        <w:rPr>
          <w:spacing w:val="-11"/>
        </w:rPr>
        <w:t> </w:t>
      </w:r>
      <w:r>
        <w:rPr/>
        <w:t>nuestro</w:t>
      </w:r>
      <w:r>
        <w:rPr>
          <w:spacing w:val="-13"/>
        </w:rPr>
        <w:t> </w:t>
      </w:r>
      <w:r>
        <w:rPr/>
        <w:t>país,</w:t>
      </w:r>
      <w:r>
        <w:rPr>
          <w:spacing w:val="-11"/>
        </w:rPr>
        <w:t> </w:t>
      </w:r>
      <w:r>
        <w:rPr/>
        <w:t>que</w:t>
      </w:r>
      <w:r>
        <w:rPr>
          <w:spacing w:val="-13"/>
        </w:rPr>
        <w:t> </w:t>
      </w:r>
      <w:r>
        <w:rPr/>
        <w:t>el</w:t>
      </w:r>
      <w:r>
        <w:rPr>
          <w:spacing w:val="-12"/>
        </w:rPr>
        <w:t> </w:t>
      </w:r>
      <w:r>
        <w:rPr/>
        <w:t>costo</w:t>
      </w:r>
      <w:r>
        <w:rPr>
          <w:spacing w:val="-13"/>
        </w:rPr>
        <w:t> </w:t>
      </w:r>
      <w:r>
        <w:rPr/>
        <w:t>impuesto de la ley por no hacerlo. Condición que se considera puede prevalecer en otras entidades</w:t>
      </w:r>
      <w:r>
        <w:rPr>
          <w:spacing w:val="-20"/>
        </w:rPr>
        <w:t> </w:t>
      </w:r>
      <w:r>
        <w:rPr/>
        <w:t>federativas,</w:t>
      </w:r>
      <w:r>
        <w:rPr>
          <w:spacing w:val="-17"/>
        </w:rPr>
        <w:t> </w:t>
      </w:r>
      <w:r>
        <w:rPr/>
        <w:t>ya</w:t>
      </w:r>
      <w:r>
        <w:rPr>
          <w:spacing w:val="-14"/>
        </w:rPr>
        <w:t> </w:t>
      </w:r>
      <w:r>
        <w:rPr/>
        <w:t>que</w:t>
      </w:r>
      <w:r>
        <w:rPr>
          <w:spacing w:val="-14"/>
        </w:rPr>
        <w:t> </w:t>
      </w:r>
      <w:r>
        <w:rPr/>
        <w:t>también</w:t>
      </w:r>
      <w:r>
        <w:rPr>
          <w:spacing w:val="-14"/>
        </w:rPr>
        <w:t> </w:t>
      </w:r>
      <w:r>
        <w:rPr/>
        <w:t>clasifican</w:t>
      </w:r>
      <w:r>
        <w:rPr>
          <w:spacing w:val="-14"/>
        </w:rPr>
        <w:t> </w:t>
      </w:r>
      <w:r>
        <w:rPr/>
        <w:t>la</w:t>
      </w:r>
      <w:r>
        <w:rPr>
          <w:spacing w:val="-17"/>
        </w:rPr>
        <w:t> </w:t>
      </w:r>
      <w:r>
        <w:rPr/>
        <w:t>información</w:t>
      </w:r>
      <w:r>
        <w:rPr>
          <w:spacing w:val="-16"/>
        </w:rPr>
        <w:t> </w:t>
      </w:r>
      <w:r>
        <w:rPr/>
        <w:t>de</w:t>
      </w:r>
      <w:r>
        <w:rPr>
          <w:spacing w:val="-19"/>
        </w:rPr>
        <w:t> </w:t>
      </w:r>
      <w:r>
        <w:rPr/>
        <w:t>manera</w:t>
      </w:r>
      <w:r>
        <w:rPr>
          <w:spacing w:val="-17"/>
        </w:rPr>
        <w:t> </w:t>
      </w:r>
      <w:r>
        <w:rPr/>
        <w:t>semejante a la del Estado de México, tal como se puede observar en la siguiente</w:t>
      </w:r>
      <w:r>
        <w:rPr>
          <w:spacing w:val="-26"/>
        </w:rPr>
        <w:t> </w:t>
      </w:r>
      <w:r>
        <w:rPr/>
        <w:t>tabla:</w:t>
      </w:r>
    </w:p>
    <w:p>
      <w:pPr>
        <w:pStyle w:val="BodyText"/>
        <w:rPr>
          <w:sz w:val="20"/>
        </w:rPr>
      </w:pPr>
    </w:p>
    <w:p>
      <w:pPr>
        <w:pStyle w:val="BodyText"/>
        <w:rPr>
          <w:sz w:val="20"/>
        </w:rPr>
      </w:pPr>
    </w:p>
    <w:p>
      <w:pPr>
        <w:pStyle w:val="BodyText"/>
        <w:spacing w:before="3"/>
      </w:pPr>
    </w:p>
    <w:tbl>
      <w:tblPr>
        <w:tblW w:w="0" w:type="auto"/>
        <w:jc w:val="left"/>
        <w:tblInd w:w="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7"/>
        <w:gridCol w:w="2979"/>
        <w:gridCol w:w="1841"/>
      </w:tblGrid>
      <w:tr>
        <w:trPr>
          <w:trHeight w:val="425" w:hRule="exact"/>
        </w:trPr>
        <w:tc>
          <w:tcPr>
            <w:tcW w:w="7367" w:type="dxa"/>
            <w:gridSpan w:val="3"/>
            <w:shd w:val="clear" w:color="auto" w:fill="92D050"/>
          </w:tcPr>
          <w:p>
            <w:pPr>
              <w:pStyle w:val="TableParagraph"/>
              <w:spacing w:line="242" w:lineRule="auto"/>
              <w:ind w:left="816" w:hanging="689"/>
              <w:jc w:val="left"/>
              <w:rPr>
                <w:b/>
                <w:sz w:val="18"/>
              </w:rPr>
            </w:pPr>
            <w:r>
              <w:rPr>
                <w:b/>
                <w:sz w:val="18"/>
              </w:rPr>
              <w:t>Tabla 4.3: Cuadro resumen de los artículos de la información pública de oficio y de la información reservada según la ley de transparencia por estado.</w:t>
            </w:r>
          </w:p>
        </w:tc>
      </w:tr>
      <w:tr>
        <w:trPr>
          <w:trHeight w:val="216" w:hRule="exact"/>
        </w:trPr>
        <w:tc>
          <w:tcPr>
            <w:tcW w:w="2547" w:type="dxa"/>
            <w:vMerge w:val="restart"/>
            <w:shd w:val="clear" w:color="auto" w:fill="92D050"/>
          </w:tcPr>
          <w:p>
            <w:pPr>
              <w:pStyle w:val="TableParagraph"/>
              <w:spacing w:before="10"/>
              <w:jc w:val="left"/>
              <w:rPr>
                <w:sz w:val="17"/>
              </w:rPr>
            </w:pPr>
          </w:p>
          <w:p>
            <w:pPr>
              <w:pStyle w:val="TableParagraph"/>
              <w:ind w:left="948" w:right="949"/>
              <w:rPr>
                <w:b/>
                <w:sz w:val="18"/>
              </w:rPr>
            </w:pPr>
            <w:r>
              <w:rPr>
                <w:b/>
                <w:sz w:val="18"/>
              </w:rPr>
              <w:t>Estado</w:t>
            </w:r>
          </w:p>
        </w:tc>
        <w:tc>
          <w:tcPr>
            <w:tcW w:w="4820" w:type="dxa"/>
            <w:gridSpan w:val="2"/>
            <w:shd w:val="clear" w:color="auto" w:fill="92D050"/>
          </w:tcPr>
          <w:p>
            <w:pPr>
              <w:pStyle w:val="TableParagraph"/>
              <w:spacing w:line="201" w:lineRule="exact"/>
              <w:ind w:left="1994" w:right="1996"/>
              <w:rPr>
                <w:b/>
                <w:sz w:val="18"/>
              </w:rPr>
            </w:pPr>
            <w:r>
              <w:rPr>
                <w:b/>
                <w:sz w:val="18"/>
              </w:rPr>
              <w:t>Artículos</w:t>
            </w:r>
          </w:p>
        </w:tc>
      </w:tr>
      <w:tr>
        <w:trPr>
          <w:trHeight w:val="425" w:hRule="exact"/>
        </w:trPr>
        <w:tc>
          <w:tcPr>
            <w:tcW w:w="2547" w:type="dxa"/>
            <w:vMerge/>
            <w:shd w:val="clear" w:color="auto" w:fill="92D050"/>
          </w:tcPr>
          <w:p>
            <w:pPr/>
          </w:p>
        </w:tc>
        <w:tc>
          <w:tcPr>
            <w:tcW w:w="2979" w:type="dxa"/>
            <w:shd w:val="clear" w:color="auto" w:fill="92D050"/>
          </w:tcPr>
          <w:p>
            <w:pPr>
              <w:pStyle w:val="TableParagraph"/>
              <w:spacing w:line="201" w:lineRule="exact"/>
              <w:ind w:left="103"/>
              <w:jc w:val="left"/>
              <w:rPr>
                <w:b/>
                <w:sz w:val="18"/>
              </w:rPr>
            </w:pPr>
            <w:r>
              <w:rPr>
                <w:b/>
                <w:sz w:val="18"/>
              </w:rPr>
              <w:t>Información pública de oficio</w:t>
            </w:r>
          </w:p>
        </w:tc>
        <w:tc>
          <w:tcPr>
            <w:tcW w:w="1841" w:type="dxa"/>
            <w:shd w:val="clear" w:color="auto" w:fill="92D050"/>
          </w:tcPr>
          <w:p>
            <w:pPr>
              <w:pStyle w:val="TableParagraph"/>
              <w:spacing w:line="242" w:lineRule="auto"/>
              <w:ind w:left="103" w:right="678"/>
              <w:jc w:val="left"/>
              <w:rPr>
                <w:b/>
                <w:sz w:val="18"/>
              </w:rPr>
            </w:pPr>
            <w:r>
              <w:rPr>
                <w:b/>
                <w:sz w:val="18"/>
              </w:rPr>
              <w:t>Información reservada</w:t>
            </w:r>
          </w:p>
        </w:tc>
      </w:tr>
      <w:tr>
        <w:trPr>
          <w:trHeight w:val="216" w:hRule="exact"/>
        </w:trPr>
        <w:tc>
          <w:tcPr>
            <w:tcW w:w="2547" w:type="dxa"/>
          </w:tcPr>
          <w:p>
            <w:pPr>
              <w:pStyle w:val="TableParagraph"/>
              <w:spacing w:line="206" w:lineRule="exact"/>
              <w:ind w:left="103"/>
              <w:jc w:val="left"/>
              <w:rPr>
                <w:sz w:val="18"/>
              </w:rPr>
            </w:pPr>
            <w:r>
              <w:rPr>
                <w:sz w:val="18"/>
              </w:rPr>
              <w:t>Aguascalientes</w:t>
            </w:r>
          </w:p>
        </w:tc>
        <w:tc>
          <w:tcPr>
            <w:tcW w:w="2979" w:type="dxa"/>
          </w:tcPr>
          <w:p>
            <w:pPr>
              <w:pStyle w:val="TableParagraph"/>
              <w:spacing w:line="206" w:lineRule="exact"/>
              <w:ind w:left="213" w:right="214"/>
              <w:rPr>
                <w:sz w:val="18"/>
              </w:rPr>
            </w:pPr>
            <w:r>
              <w:rPr>
                <w:sz w:val="18"/>
              </w:rPr>
              <w:t>Artículo 9°</w:t>
            </w:r>
          </w:p>
        </w:tc>
        <w:tc>
          <w:tcPr>
            <w:tcW w:w="1841" w:type="dxa"/>
          </w:tcPr>
          <w:p>
            <w:pPr>
              <w:pStyle w:val="TableParagraph"/>
              <w:spacing w:line="206" w:lineRule="exact"/>
              <w:ind w:left="448"/>
              <w:jc w:val="left"/>
              <w:rPr>
                <w:sz w:val="18"/>
              </w:rPr>
            </w:pPr>
            <w:r>
              <w:rPr>
                <w:sz w:val="18"/>
              </w:rPr>
              <w:t>Artículo 17°</w:t>
            </w:r>
          </w:p>
        </w:tc>
      </w:tr>
      <w:tr>
        <w:trPr>
          <w:trHeight w:val="218" w:hRule="exact"/>
        </w:trPr>
        <w:tc>
          <w:tcPr>
            <w:tcW w:w="2547" w:type="dxa"/>
          </w:tcPr>
          <w:p>
            <w:pPr>
              <w:pStyle w:val="TableParagraph"/>
              <w:spacing w:before="1"/>
              <w:ind w:left="103"/>
              <w:jc w:val="left"/>
              <w:rPr>
                <w:sz w:val="18"/>
              </w:rPr>
            </w:pPr>
            <w:r>
              <w:rPr>
                <w:sz w:val="18"/>
              </w:rPr>
              <w:t>Baja California</w:t>
            </w:r>
          </w:p>
        </w:tc>
        <w:tc>
          <w:tcPr>
            <w:tcW w:w="2979" w:type="dxa"/>
          </w:tcPr>
          <w:p>
            <w:pPr>
              <w:pStyle w:val="TableParagraph"/>
              <w:spacing w:before="1"/>
              <w:ind w:left="213" w:right="214"/>
              <w:rPr>
                <w:sz w:val="18"/>
              </w:rPr>
            </w:pPr>
            <w:r>
              <w:rPr>
                <w:sz w:val="18"/>
              </w:rPr>
              <w:t>Artículo 81°</w:t>
            </w:r>
          </w:p>
        </w:tc>
        <w:tc>
          <w:tcPr>
            <w:tcW w:w="1841" w:type="dxa"/>
          </w:tcPr>
          <w:p>
            <w:pPr>
              <w:pStyle w:val="TableParagraph"/>
              <w:spacing w:before="1"/>
              <w:ind w:left="400"/>
              <w:jc w:val="left"/>
              <w:rPr>
                <w:sz w:val="18"/>
              </w:rPr>
            </w:pPr>
            <w:r>
              <w:rPr>
                <w:sz w:val="18"/>
              </w:rPr>
              <w:t>Artículo 110°</w:t>
            </w:r>
          </w:p>
        </w:tc>
      </w:tr>
      <w:tr>
        <w:trPr>
          <w:trHeight w:val="216" w:hRule="exact"/>
        </w:trPr>
        <w:tc>
          <w:tcPr>
            <w:tcW w:w="2547" w:type="dxa"/>
          </w:tcPr>
          <w:p>
            <w:pPr>
              <w:pStyle w:val="TableParagraph"/>
              <w:spacing w:line="206" w:lineRule="exact"/>
              <w:ind w:left="103"/>
              <w:jc w:val="left"/>
              <w:rPr>
                <w:sz w:val="18"/>
              </w:rPr>
            </w:pPr>
            <w:r>
              <w:rPr>
                <w:sz w:val="18"/>
              </w:rPr>
              <w:t>Baja California Sur</w:t>
            </w:r>
          </w:p>
        </w:tc>
        <w:tc>
          <w:tcPr>
            <w:tcW w:w="2979" w:type="dxa"/>
          </w:tcPr>
          <w:p>
            <w:pPr>
              <w:pStyle w:val="TableParagraph"/>
              <w:spacing w:line="206" w:lineRule="exact"/>
              <w:ind w:left="213" w:right="214"/>
              <w:rPr>
                <w:sz w:val="18"/>
              </w:rPr>
            </w:pPr>
            <w:r>
              <w:rPr>
                <w:sz w:val="18"/>
              </w:rPr>
              <w:t>Artículo 7°</w:t>
            </w:r>
          </w:p>
        </w:tc>
        <w:tc>
          <w:tcPr>
            <w:tcW w:w="1841" w:type="dxa"/>
          </w:tcPr>
          <w:p>
            <w:pPr>
              <w:pStyle w:val="TableParagraph"/>
              <w:spacing w:line="206" w:lineRule="exact"/>
              <w:ind w:left="448"/>
              <w:jc w:val="left"/>
              <w:rPr>
                <w:sz w:val="18"/>
              </w:rPr>
            </w:pPr>
            <w:r>
              <w:rPr>
                <w:sz w:val="18"/>
              </w:rPr>
              <w:t>Artículo 13°</w:t>
            </w:r>
          </w:p>
        </w:tc>
      </w:tr>
      <w:tr>
        <w:trPr>
          <w:trHeight w:val="218" w:hRule="exact"/>
        </w:trPr>
        <w:tc>
          <w:tcPr>
            <w:tcW w:w="2547" w:type="dxa"/>
          </w:tcPr>
          <w:p>
            <w:pPr>
              <w:pStyle w:val="TableParagraph"/>
              <w:spacing w:line="206" w:lineRule="exact"/>
              <w:ind w:left="103"/>
              <w:jc w:val="left"/>
              <w:rPr>
                <w:sz w:val="18"/>
              </w:rPr>
            </w:pPr>
            <w:r>
              <w:rPr>
                <w:sz w:val="18"/>
              </w:rPr>
              <w:t>Campeche</w:t>
            </w:r>
          </w:p>
        </w:tc>
        <w:tc>
          <w:tcPr>
            <w:tcW w:w="2979" w:type="dxa"/>
          </w:tcPr>
          <w:p>
            <w:pPr>
              <w:pStyle w:val="TableParagraph"/>
              <w:spacing w:line="206" w:lineRule="exact"/>
              <w:ind w:left="213" w:right="214"/>
              <w:rPr>
                <w:sz w:val="18"/>
              </w:rPr>
            </w:pPr>
            <w:r>
              <w:rPr>
                <w:sz w:val="18"/>
              </w:rPr>
              <w:t>Artículo 74°</w:t>
            </w:r>
          </w:p>
        </w:tc>
        <w:tc>
          <w:tcPr>
            <w:tcW w:w="1841" w:type="dxa"/>
          </w:tcPr>
          <w:p>
            <w:pPr>
              <w:pStyle w:val="TableParagraph"/>
              <w:spacing w:line="206" w:lineRule="exact"/>
              <w:ind w:left="400"/>
              <w:jc w:val="left"/>
              <w:rPr>
                <w:sz w:val="18"/>
              </w:rPr>
            </w:pPr>
            <w:r>
              <w:rPr>
                <w:sz w:val="18"/>
              </w:rPr>
              <w:t>Artículo 113°</w:t>
            </w:r>
          </w:p>
        </w:tc>
      </w:tr>
      <w:tr>
        <w:trPr>
          <w:trHeight w:val="217" w:hRule="exact"/>
        </w:trPr>
        <w:tc>
          <w:tcPr>
            <w:tcW w:w="2547" w:type="dxa"/>
          </w:tcPr>
          <w:p>
            <w:pPr>
              <w:pStyle w:val="TableParagraph"/>
              <w:spacing w:line="207" w:lineRule="exact"/>
              <w:ind w:left="103"/>
              <w:jc w:val="left"/>
              <w:rPr>
                <w:sz w:val="18"/>
              </w:rPr>
            </w:pPr>
            <w:r>
              <w:rPr>
                <w:sz w:val="18"/>
              </w:rPr>
              <w:t>Chiapas</w:t>
            </w:r>
          </w:p>
        </w:tc>
        <w:tc>
          <w:tcPr>
            <w:tcW w:w="2979" w:type="dxa"/>
          </w:tcPr>
          <w:p>
            <w:pPr>
              <w:pStyle w:val="TableParagraph"/>
              <w:spacing w:line="207" w:lineRule="exact"/>
              <w:ind w:left="213" w:right="214"/>
              <w:rPr>
                <w:sz w:val="18"/>
              </w:rPr>
            </w:pPr>
            <w:r>
              <w:rPr>
                <w:sz w:val="18"/>
              </w:rPr>
              <w:t>Artículo 74°</w:t>
            </w:r>
          </w:p>
        </w:tc>
        <w:tc>
          <w:tcPr>
            <w:tcW w:w="1841" w:type="dxa"/>
          </w:tcPr>
          <w:p>
            <w:pPr>
              <w:pStyle w:val="TableParagraph"/>
              <w:spacing w:line="207" w:lineRule="exact"/>
              <w:ind w:left="400"/>
              <w:jc w:val="left"/>
              <w:rPr>
                <w:sz w:val="18"/>
              </w:rPr>
            </w:pPr>
            <w:r>
              <w:rPr>
                <w:sz w:val="18"/>
              </w:rPr>
              <w:t>Artículo 125°</w:t>
            </w:r>
          </w:p>
        </w:tc>
      </w:tr>
      <w:tr>
        <w:trPr>
          <w:trHeight w:val="216" w:hRule="exact"/>
        </w:trPr>
        <w:tc>
          <w:tcPr>
            <w:tcW w:w="2547" w:type="dxa"/>
          </w:tcPr>
          <w:p>
            <w:pPr>
              <w:pStyle w:val="TableParagraph"/>
              <w:spacing w:line="206" w:lineRule="exact"/>
              <w:ind w:left="103"/>
              <w:jc w:val="left"/>
              <w:rPr>
                <w:sz w:val="18"/>
              </w:rPr>
            </w:pPr>
            <w:r>
              <w:rPr>
                <w:sz w:val="18"/>
              </w:rPr>
              <w:t>Chihuahua</w:t>
            </w:r>
          </w:p>
        </w:tc>
        <w:tc>
          <w:tcPr>
            <w:tcW w:w="2979" w:type="dxa"/>
          </w:tcPr>
          <w:p>
            <w:pPr>
              <w:pStyle w:val="TableParagraph"/>
              <w:spacing w:line="206" w:lineRule="exact"/>
              <w:ind w:left="213" w:right="214"/>
              <w:rPr>
                <w:sz w:val="18"/>
              </w:rPr>
            </w:pPr>
            <w:r>
              <w:rPr>
                <w:sz w:val="18"/>
              </w:rPr>
              <w:t>Artículo 77°</w:t>
            </w:r>
          </w:p>
        </w:tc>
        <w:tc>
          <w:tcPr>
            <w:tcW w:w="1841" w:type="dxa"/>
          </w:tcPr>
          <w:p>
            <w:pPr>
              <w:pStyle w:val="TableParagraph"/>
              <w:spacing w:line="206" w:lineRule="exact"/>
              <w:ind w:left="400"/>
              <w:jc w:val="left"/>
              <w:rPr>
                <w:sz w:val="18"/>
              </w:rPr>
            </w:pPr>
            <w:r>
              <w:rPr>
                <w:sz w:val="18"/>
              </w:rPr>
              <w:t>Artículo 124°</w:t>
            </w:r>
          </w:p>
        </w:tc>
      </w:tr>
      <w:tr>
        <w:trPr>
          <w:trHeight w:val="218" w:hRule="exact"/>
        </w:trPr>
        <w:tc>
          <w:tcPr>
            <w:tcW w:w="2547" w:type="dxa"/>
          </w:tcPr>
          <w:p>
            <w:pPr>
              <w:pStyle w:val="TableParagraph"/>
              <w:spacing w:before="1"/>
              <w:ind w:left="103"/>
              <w:jc w:val="left"/>
              <w:rPr>
                <w:sz w:val="18"/>
              </w:rPr>
            </w:pPr>
            <w:r>
              <w:rPr>
                <w:sz w:val="18"/>
              </w:rPr>
              <w:t>Coahuila</w:t>
            </w:r>
          </w:p>
        </w:tc>
        <w:tc>
          <w:tcPr>
            <w:tcW w:w="2979" w:type="dxa"/>
          </w:tcPr>
          <w:p>
            <w:pPr>
              <w:pStyle w:val="TableParagraph"/>
              <w:spacing w:before="1"/>
              <w:ind w:left="213" w:right="214"/>
              <w:rPr>
                <w:sz w:val="18"/>
              </w:rPr>
            </w:pPr>
            <w:r>
              <w:rPr>
                <w:sz w:val="18"/>
              </w:rPr>
              <w:t>Artículo 24°</w:t>
            </w:r>
          </w:p>
        </w:tc>
        <w:tc>
          <w:tcPr>
            <w:tcW w:w="1841" w:type="dxa"/>
          </w:tcPr>
          <w:p>
            <w:pPr>
              <w:pStyle w:val="TableParagraph"/>
              <w:spacing w:before="1"/>
              <w:ind w:left="448"/>
              <w:jc w:val="left"/>
              <w:rPr>
                <w:sz w:val="18"/>
              </w:rPr>
            </w:pPr>
            <w:r>
              <w:rPr>
                <w:sz w:val="18"/>
              </w:rPr>
              <w:t>Artículo 58°</w:t>
            </w:r>
          </w:p>
        </w:tc>
      </w:tr>
      <w:tr>
        <w:trPr>
          <w:trHeight w:val="216" w:hRule="exact"/>
        </w:trPr>
        <w:tc>
          <w:tcPr>
            <w:tcW w:w="2547" w:type="dxa"/>
          </w:tcPr>
          <w:p>
            <w:pPr>
              <w:pStyle w:val="TableParagraph"/>
              <w:spacing w:line="206" w:lineRule="exact"/>
              <w:ind w:left="103"/>
              <w:jc w:val="left"/>
              <w:rPr>
                <w:sz w:val="18"/>
              </w:rPr>
            </w:pPr>
            <w:r>
              <w:rPr>
                <w:sz w:val="18"/>
              </w:rPr>
              <w:t>Colima</w:t>
            </w:r>
          </w:p>
        </w:tc>
        <w:tc>
          <w:tcPr>
            <w:tcW w:w="2979" w:type="dxa"/>
          </w:tcPr>
          <w:p>
            <w:pPr>
              <w:pStyle w:val="TableParagraph"/>
              <w:spacing w:line="206" w:lineRule="exact"/>
              <w:ind w:left="213" w:right="214"/>
              <w:rPr>
                <w:sz w:val="18"/>
              </w:rPr>
            </w:pPr>
            <w:r>
              <w:rPr>
                <w:sz w:val="18"/>
              </w:rPr>
              <w:t>Artículo 29°</w:t>
            </w:r>
          </w:p>
        </w:tc>
        <w:tc>
          <w:tcPr>
            <w:tcW w:w="1841" w:type="dxa"/>
          </w:tcPr>
          <w:p>
            <w:pPr>
              <w:pStyle w:val="TableParagraph"/>
              <w:spacing w:line="206" w:lineRule="exact"/>
              <w:ind w:left="400"/>
              <w:jc w:val="left"/>
              <w:rPr>
                <w:sz w:val="18"/>
              </w:rPr>
            </w:pPr>
            <w:r>
              <w:rPr>
                <w:sz w:val="18"/>
              </w:rPr>
              <w:t>Artículo 114°</w:t>
            </w:r>
          </w:p>
        </w:tc>
      </w:tr>
      <w:tr>
        <w:trPr>
          <w:trHeight w:val="218" w:hRule="exact"/>
        </w:trPr>
        <w:tc>
          <w:tcPr>
            <w:tcW w:w="2547" w:type="dxa"/>
          </w:tcPr>
          <w:p>
            <w:pPr>
              <w:pStyle w:val="TableParagraph"/>
              <w:spacing w:line="206" w:lineRule="exact"/>
              <w:ind w:left="103"/>
              <w:jc w:val="left"/>
              <w:rPr>
                <w:sz w:val="18"/>
              </w:rPr>
            </w:pPr>
            <w:r>
              <w:rPr>
                <w:sz w:val="18"/>
              </w:rPr>
              <w:t>Durango</w:t>
            </w:r>
          </w:p>
        </w:tc>
        <w:tc>
          <w:tcPr>
            <w:tcW w:w="2979" w:type="dxa"/>
          </w:tcPr>
          <w:p>
            <w:pPr>
              <w:pStyle w:val="TableParagraph"/>
              <w:spacing w:line="206" w:lineRule="exact"/>
              <w:ind w:left="213" w:right="214"/>
              <w:rPr>
                <w:sz w:val="18"/>
              </w:rPr>
            </w:pPr>
            <w:r>
              <w:rPr>
                <w:sz w:val="18"/>
              </w:rPr>
              <w:t>Artículo 12°</w:t>
            </w:r>
          </w:p>
        </w:tc>
        <w:tc>
          <w:tcPr>
            <w:tcW w:w="1841" w:type="dxa"/>
          </w:tcPr>
          <w:p>
            <w:pPr>
              <w:pStyle w:val="TableParagraph"/>
              <w:spacing w:line="206" w:lineRule="exact"/>
              <w:ind w:left="448"/>
              <w:jc w:val="left"/>
              <w:rPr>
                <w:sz w:val="18"/>
              </w:rPr>
            </w:pPr>
            <w:r>
              <w:rPr>
                <w:sz w:val="18"/>
              </w:rPr>
              <w:t>Artículo 29°</w:t>
            </w:r>
          </w:p>
        </w:tc>
      </w:tr>
      <w:tr>
        <w:trPr>
          <w:trHeight w:val="216" w:hRule="exact"/>
        </w:trPr>
        <w:tc>
          <w:tcPr>
            <w:tcW w:w="2547" w:type="dxa"/>
          </w:tcPr>
          <w:p>
            <w:pPr>
              <w:pStyle w:val="TableParagraph"/>
              <w:spacing w:line="206" w:lineRule="exact"/>
              <w:ind w:left="103"/>
              <w:jc w:val="left"/>
              <w:rPr>
                <w:sz w:val="18"/>
              </w:rPr>
            </w:pPr>
            <w:r>
              <w:rPr>
                <w:sz w:val="18"/>
              </w:rPr>
              <w:t>Estado de México</w:t>
            </w:r>
          </w:p>
        </w:tc>
        <w:tc>
          <w:tcPr>
            <w:tcW w:w="2979" w:type="dxa"/>
          </w:tcPr>
          <w:p>
            <w:pPr>
              <w:pStyle w:val="TableParagraph"/>
              <w:spacing w:line="206" w:lineRule="exact"/>
              <w:ind w:left="213" w:right="214"/>
              <w:rPr>
                <w:sz w:val="18"/>
              </w:rPr>
            </w:pPr>
            <w:r>
              <w:rPr>
                <w:sz w:val="18"/>
              </w:rPr>
              <w:t>Artículo 12°</w:t>
            </w:r>
          </w:p>
        </w:tc>
        <w:tc>
          <w:tcPr>
            <w:tcW w:w="1841" w:type="dxa"/>
          </w:tcPr>
          <w:p>
            <w:pPr>
              <w:pStyle w:val="TableParagraph"/>
              <w:spacing w:line="206" w:lineRule="exact"/>
              <w:ind w:left="448"/>
              <w:jc w:val="left"/>
              <w:rPr>
                <w:sz w:val="18"/>
              </w:rPr>
            </w:pPr>
            <w:r>
              <w:rPr>
                <w:sz w:val="18"/>
              </w:rPr>
              <w:t>Artículo 20°</w:t>
            </w:r>
          </w:p>
        </w:tc>
      </w:tr>
      <w:tr>
        <w:trPr>
          <w:trHeight w:val="216" w:hRule="exact"/>
        </w:trPr>
        <w:tc>
          <w:tcPr>
            <w:tcW w:w="2547" w:type="dxa"/>
          </w:tcPr>
          <w:p>
            <w:pPr>
              <w:pStyle w:val="TableParagraph"/>
              <w:spacing w:line="206" w:lineRule="exact"/>
              <w:ind w:left="103"/>
              <w:jc w:val="left"/>
              <w:rPr>
                <w:sz w:val="18"/>
              </w:rPr>
            </w:pPr>
            <w:r>
              <w:rPr>
                <w:sz w:val="18"/>
              </w:rPr>
              <w:t>Guanajuato</w:t>
            </w:r>
          </w:p>
        </w:tc>
        <w:tc>
          <w:tcPr>
            <w:tcW w:w="2979" w:type="dxa"/>
          </w:tcPr>
          <w:p>
            <w:pPr>
              <w:pStyle w:val="TableParagraph"/>
              <w:spacing w:line="206" w:lineRule="exact"/>
              <w:ind w:left="213" w:right="214"/>
              <w:rPr>
                <w:sz w:val="18"/>
              </w:rPr>
            </w:pPr>
            <w:r>
              <w:rPr>
                <w:sz w:val="18"/>
              </w:rPr>
              <w:t>Artículo 26°</w:t>
            </w:r>
          </w:p>
        </w:tc>
        <w:tc>
          <w:tcPr>
            <w:tcW w:w="1841" w:type="dxa"/>
          </w:tcPr>
          <w:p>
            <w:pPr>
              <w:pStyle w:val="TableParagraph"/>
              <w:spacing w:line="206" w:lineRule="exact"/>
              <w:ind w:left="448"/>
              <w:jc w:val="left"/>
              <w:rPr>
                <w:sz w:val="18"/>
              </w:rPr>
            </w:pPr>
            <w:r>
              <w:rPr>
                <w:sz w:val="18"/>
              </w:rPr>
              <w:t>Artículo 73°</w:t>
            </w:r>
          </w:p>
        </w:tc>
      </w:tr>
      <w:tr>
        <w:trPr>
          <w:trHeight w:val="218" w:hRule="exact"/>
        </w:trPr>
        <w:tc>
          <w:tcPr>
            <w:tcW w:w="2547" w:type="dxa"/>
          </w:tcPr>
          <w:p>
            <w:pPr>
              <w:pStyle w:val="TableParagraph"/>
              <w:spacing w:before="1"/>
              <w:ind w:left="103"/>
              <w:jc w:val="left"/>
              <w:rPr>
                <w:sz w:val="18"/>
              </w:rPr>
            </w:pPr>
            <w:r>
              <w:rPr>
                <w:sz w:val="18"/>
              </w:rPr>
              <w:t>Guerrero</w:t>
            </w:r>
          </w:p>
        </w:tc>
        <w:tc>
          <w:tcPr>
            <w:tcW w:w="2979" w:type="dxa"/>
          </w:tcPr>
          <w:p>
            <w:pPr>
              <w:pStyle w:val="TableParagraph"/>
              <w:spacing w:before="1"/>
              <w:ind w:left="213" w:right="214"/>
              <w:rPr>
                <w:sz w:val="18"/>
              </w:rPr>
            </w:pPr>
            <w:r>
              <w:rPr>
                <w:sz w:val="18"/>
              </w:rPr>
              <w:t>Artículo 81°</w:t>
            </w:r>
          </w:p>
        </w:tc>
        <w:tc>
          <w:tcPr>
            <w:tcW w:w="1841" w:type="dxa"/>
          </w:tcPr>
          <w:p>
            <w:pPr>
              <w:pStyle w:val="TableParagraph"/>
              <w:spacing w:before="1"/>
              <w:ind w:left="400"/>
              <w:jc w:val="left"/>
              <w:rPr>
                <w:sz w:val="18"/>
              </w:rPr>
            </w:pPr>
            <w:r>
              <w:rPr>
                <w:sz w:val="18"/>
              </w:rPr>
              <w:t>Artículo 114°</w:t>
            </w:r>
          </w:p>
        </w:tc>
      </w:tr>
      <w:tr>
        <w:trPr>
          <w:trHeight w:val="216" w:hRule="exact"/>
        </w:trPr>
        <w:tc>
          <w:tcPr>
            <w:tcW w:w="2547" w:type="dxa"/>
          </w:tcPr>
          <w:p>
            <w:pPr>
              <w:pStyle w:val="TableParagraph"/>
              <w:spacing w:line="206" w:lineRule="exact"/>
              <w:ind w:left="103"/>
              <w:jc w:val="left"/>
              <w:rPr>
                <w:sz w:val="18"/>
              </w:rPr>
            </w:pPr>
            <w:r>
              <w:rPr>
                <w:sz w:val="18"/>
              </w:rPr>
              <w:t>Hidalgo</w:t>
            </w:r>
          </w:p>
        </w:tc>
        <w:tc>
          <w:tcPr>
            <w:tcW w:w="2979" w:type="dxa"/>
          </w:tcPr>
          <w:p>
            <w:pPr>
              <w:pStyle w:val="TableParagraph"/>
              <w:spacing w:line="206" w:lineRule="exact"/>
              <w:ind w:left="213" w:right="214"/>
              <w:rPr>
                <w:sz w:val="18"/>
              </w:rPr>
            </w:pPr>
            <w:r>
              <w:rPr>
                <w:sz w:val="18"/>
              </w:rPr>
              <w:t>Artículo 69°</w:t>
            </w:r>
          </w:p>
        </w:tc>
        <w:tc>
          <w:tcPr>
            <w:tcW w:w="1841" w:type="dxa"/>
          </w:tcPr>
          <w:p>
            <w:pPr>
              <w:pStyle w:val="TableParagraph"/>
              <w:spacing w:line="206" w:lineRule="exact"/>
              <w:ind w:left="400"/>
              <w:jc w:val="left"/>
              <w:rPr>
                <w:sz w:val="18"/>
              </w:rPr>
            </w:pPr>
            <w:r>
              <w:rPr>
                <w:sz w:val="18"/>
              </w:rPr>
              <w:t>Artículo 111°</w:t>
            </w:r>
          </w:p>
        </w:tc>
      </w:tr>
    </w:tbl>
    <w:p>
      <w:pPr>
        <w:spacing w:after="0" w:line="206" w:lineRule="exact"/>
        <w:jc w:val="left"/>
        <w:rPr>
          <w:sz w:val="18"/>
        </w:rPr>
        <w:sectPr>
          <w:pgSz w:w="12240" w:h="15840"/>
          <w:pgMar w:header="0" w:footer="1035" w:top="1360" w:bottom="1220" w:left="1500" w:right="1600"/>
        </w:sectPr>
      </w:pPr>
    </w:p>
    <w:tbl>
      <w:tblPr>
        <w:tblW w:w="0" w:type="auto"/>
        <w:jc w:val="left"/>
        <w:tblInd w:w="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47"/>
        <w:gridCol w:w="2979"/>
        <w:gridCol w:w="1841"/>
      </w:tblGrid>
      <w:tr>
        <w:trPr>
          <w:trHeight w:val="424" w:hRule="exact"/>
        </w:trPr>
        <w:tc>
          <w:tcPr>
            <w:tcW w:w="7367" w:type="dxa"/>
            <w:gridSpan w:val="3"/>
            <w:shd w:val="clear" w:color="auto" w:fill="92D050"/>
          </w:tcPr>
          <w:p>
            <w:pPr>
              <w:pStyle w:val="TableParagraph"/>
              <w:ind w:left="816" w:right="108" w:hanging="689"/>
              <w:jc w:val="left"/>
              <w:rPr>
                <w:b/>
                <w:sz w:val="18"/>
              </w:rPr>
            </w:pPr>
            <w:r>
              <w:rPr>
                <w:b/>
                <w:sz w:val="18"/>
              </w:rPr>
              <w:t>Tabla 4.3: Cuadro resumen de los artículos de la información pública de oficio y de la información reservada según la ley de transparencia por estado.</w:t>
            </w:r>
          </w:p>
        </w:tc>
      </w:tr>
      <w:tr>
        <w:trPr>
          <w:trHeight w:val="217" w:hRule="exact"/>
        </w:trPr>
        <w:tc>
          <w:tcPr>
            <w:tcW w:w="2547" w:type="dxa"/>
            <w:vMerge w:val="restart"/>
            <w:shd w:val="clear" w:color="auto" w:fill="92D050"/>
          </w:tcPr>
          <w:p>
            <w:pPr>
              <w:pStyle w:val="TableParagraph"/>
              <w:spacing w:line="199" w:lineRule="exact"/>
              <w:ind w:left="948" w:right="949"/>
              <w:rPr>
                <w:b/>
                <w:sz w:val="18"/>
              </w:rPr>
            </w:pPr>
            <w:r>
              <w:rPr>
                <w:b/>
                <w:sz w:val="18"/>
              </w:rPr>
              <w:t>Estado</w:t>
            </w:r>
          </w:p>
        </w:tc>
        <w:tc>
          <w:tcPr>
            <w:tcW w:w="4820" w:type="dxa"/>
            <w:gridSpan w:val="2"/>
            <w:shd w:val="clear" w:color="auto" w:fill="92D050"/>
          </w:tcPr>
          <w:p>
            <w:pPr>
              <w:pStyle w:val="TableParagraph"/>
              <w:spacing w:line="199" w:lineRule="exact"/>
              <w:ind w:left="1994" w:right="1996"/>
              <w:rPr>
                <w:b/>
                <w:sz w:val="18"/>
              </w:rPr>
            </w:pPr>
            <w:r>
              <w:rPr>
                <w:b/>
                <w:sz w:val="18"/>
              </w:rPr>
              <w:t>Artículos</w:t>
            </w:r>
          </w:p>
        </w:tc>
      </w:tr>
      <w:tr>
        <w:trPr>
          <w:trHeight w:val="424" w:hRule="exact"/>
        </w:trPr>
        <w:tc>
          <w:tcPr>
            <w:tcW w:w="2547" w:type="dxa"/>
            <w:vMerge/>
            <w:shd w:val="clear" w:color="auto" w:fill="92D050"/>
          </w:tcPr>
          <w:p>
            <w:pPr/>
          </w:p>
        </w:tc>
        <w:tc>
          <w:tcPr>
            <w:tcW w:w="2979" w:type="dxa"/>
            <w:shd w:val="clear" w:color="auto" w:fill="92D050"/>
          </w:tcPr>
          <w:p>
            <w:pPr>
              <w:pStyle w:val="TableParagraph"/>
              <w:spacing w:line="200" w:lineRule="exact"/>
              <w:ind w:left="213" w:right="216"/>
              <w:rPr>
                <w:b/>
                <w:sz w:val="18"/>
              </w:rPr>
            </w:pPr>
            <w:r>
              <w:rPr>
                <w:b/>
                <w:sz w:val="18"/>
              </w:rPr>
              <w:t>Información pública de oficio</w:t>
            </w:r>
          </w:p>
        </w:tc>
        <w:tc>
          <w:tcPr>
            <w:tcW w:w="1841" w:type="dxa"/>
            <w:shd w:val="clear" w:color="auto" w:fill="92D050"/>
          </w:tcPr>
          <w:p>
            <w:pPr>
              <w:pStyle w:val="TableParagraph"/>
              <w:ind w:left="492" w:right="381" w:hanging="92"/>
              <w:jc w:val="left"/>
              <w:rPr>
                <w:b/>
                <w:sz w:val="18"/>
              </w:rPr>
            </w:pPr>
            <w:r>
              <w:rPr>
                <w:b/>
                <w:sz w:val="18"/>
              </w:rPr>
              <w:t>Información reservada</w:t>
            </w:r>
          </w:p>
        </w:tc>
      </w:tr>
      <w:tr>
        <w:trPr>
          <w:trHeight w:val="218" w:hRule="exact"/>
        </w:trPr>
        <w:tc>
          <w:tcPr>
            <w:tcW w:w="2547" w:type="dxa"/>
          </w:tcPr>
          <w:p>
            <w:pPr>
              <w:pStyle w:val="TableParagraph"/>
              <w:spacing w:line="203" w:lineRule="exact"/>
              <w:ind w:left="103"/>
              <w:jc w:val="left"/>
              <w:rPr>
                <w:sz w:val="18"/>
              </w:rPr>
            </w:pPr>
            <w:r>
              <w:rPr>
                <w:sz w:val="18"/>
              </w:rPr>
              <w:t>Jalisco</w:t>
            </w:r>
          </w:p>
        </w:tc>
        <w:tc>
          <w:tcPr>
            <w:tcW w:w="2979" w:type="dxa"/>
          </w:tcPr>
          <w:p>
            <w:pPr>
              <w:pStyle w:val="TableParagraph"/>
              <w:spacing w:line="203" w:lineRule="exact"/>
              <w:ind w:left="213" w:right="214"/>
              <w:rPr>
                <w:sz w:val="18"/>
              </w:rPr>
            </w:pPr>
            <w:r>
              <w:rPr>
                <w:sz w:val="18"/>
              </w:rPr>
              <w:t>Artículo 8°</w:t>
            </w:r>
          </w:p>
        </w:tc>
        <w:tc>
          <w:tcPr>
            <w:tcW w:w="1841" w:type="dxa"/>
          </w:tcPr>
          <w:p>
            <w:pPr>
              <w:pStyle w:val="TableParagraph"/>
              <w:spacing w:line="203" w:lineRule="exact"/>
              <w:ind w:left="448"/>
              <w:jc w:val="left"/>
              <w:rPr>
                <w:sz w:val="18"/>
              </w:rPr>
            </w:pPr>
            <w:r>
              <w:rPr>
                <w:sz w:val="18"/>
              </w:rPr>
              <w:t>Artículo 17°</w:t>
            </w:r>
          </w:p>
        </w:tc>
      </w:tr>
      <w:tr>
        <w:trPr>
          <w:trHeight w:val="216" w:hRule="exact"/>
        </w:trPr>
        <w:tc>
          <w:tcPr>
            <w:tcW w:w="2547" w:type="dxa"/>
          </w:tcPr>
          <w:p>
            <w:pPr>
              <w:pStyle w:val="TableParagraph"/>
              <w:spacing w:line="203" w:lineRule="exact"/>
              <w:ind w:left="103"/>
              <w:jc w:val="left"/>
              <w:rPr>
                <w:sz w:val="18"/>
              </w:rPr>
            </w:pPr>
            <w:r>
              <w:rPr>
                <w:sz w:val="18"/>
              </w:rPr>
              <w:t>Michoacán de Ocampo</w:t>
            </w:r>
          </w:p>
        </w:tc>
        <w:tc>
          <w:tcPr>
            <w:tcW w:w="2979" w:type="dxa"/>
          </w:tcPr>
          <w:p>
            <w:pPr>
              <w:pStyle w:val="TableParagraph"/>
              <w:spacing w:line="203" w:lineRule="exact"/>
              <w:ind w:left="213" w:right="214"/>
              <w:rPr>
                <w:sz w:val="18"/>
              </w:rPr>
            </w:pPr>
            <w:r>
              <w:rPr>
                <w:sz w:val="18"/>
              </w:rPr>
              <w:t>Artículo 35°</w:t>
            </w:r>
          </w:p>
        </w:tc>
        <w:tc>
          <w:tcPr>
            <w:tcW w:w="1841" w:type="dxa"/>
          </w:tcPr>
          <w:p>
            <w:pPr>
              <w:pStyle w:val="TableParagraph"/>
              <w:spacing w:line="203" w:lineRule="exact"/>
              <w:ind w:left="400"/>
              <w:jc w:val="left"/>
              <w:rPr>
                <w:sz w:val="18"/>
              </w:rPr>
            </w:pPr>
            <w:r>
              <w:rPr>
                <w:sz w:val="18"/>
              </w:rPr>
              <w:t>Artículo 102°</w:t>
            </w:r>
          </w:p>
        </w:tc>
      </w:tr>
      <w:tr>
        <w:trPr>
          <w:trHeight w:val="216" w:hRule="exact"/>
        </w:trPr>
        <w:tc>
          <w:tcPr>
            <w:tcW w:w="2547" w:type="dxa"/>
          </w:tcPr>
          <w:p>
            <w:pPr>
              <w:pStyle w:val="TableParagraph"/>
              <w:spacing w:line="203" w:lineRule="exact"/>
              <w:ind w:left="103"/>
              <w:jc w:val="left"/>
              <w:rPr>
                <w:sz w:val="18"/>
              </w:rPr>
            </w:pPr>
            <w:r>
              <w:rPr>
                <w:sz w:val="18"/>
              </w:rPr>
              <w:t>Morelos</w:t>
            </w:r>
          </w:p>
        </w:tc>
        <w:tc>
          <w:tcPr>
            <w:tcW w:w="2979" w:type="dxa"/>
          </w:tcPr>
          <w:p>
            <w:pPr>
              <w:pStyle w:val="TableParagraph"/>
              <w:spacing w:line="203" w:lineRule="exact"/>
              <w:ind w:left="213" w:right="214"/>
              <w:rPr>
                <w:sz w:val="18"/>
              </w:rPr>
            </w:pPr>
            <w:r>
              <w:rPr>
                <w:sz w:val="18"/>
              </w:rPr>
              <w:t>Artículo 51°</w:t>
            </w:r>
          </w:p>
        </w:tc>
        <w:tc>
          <w:tcPr>
            <w:tcW w:w="1841" w:type="dxa"/>
          </w:tcPr>
          <w:p>
            <w:pPr>
              <w:pStyle w:val="TableParagraph"/>
              <w:spacing w:line="203" w:lineRule="exact"/>
              <w:ind w:left="448"/>
              <w:jc w:val="left"/>
              <w:rPr>
                <w:sz w:val="18"/>
              </w:rPr>
            </w:pPr>
            <w:r>
              <w:rPr>
                <w:sz w:val="18"/>
              </w:rPr>
              <w:t>Artículo 84°</w:t>
            </w:r>
          </w:p>
        </w:tc>
      </w:tr>
      <w:tr>
        <w:trPr>
          <w:trHeight w:val="218" w:hRule="exact"/>
        </w:trPr>
        <w:tc>
          <w:tcPr>
            <w:tcW w:w="2547" w:type="dxa"/>
          </w:tcPr>
          <w:p>
            <w:pPr>
              <w:pStyle w:val="TableParagraph"/>
              <w:spacing w:line="206" w:lineRule="exact"/>
              <w:ind w:left="103"/>
              <w:jc w:val="left"/>
              <w:rPr>
                <w:sz w:val="18"/>
              </w:rPr>
            </w:pPr>
            <w:r>
              <w:rPr>
                <w:sz w:val="18"/>
              </w:rPr>
              <w:t>Nayarit</w:t>
            </w:r>
          </w:p>
        </w:tc>
        <w:tc>
          <w:tcPr>
            <w:tcW w:w="2979" w:type="dxa"/>
          </w:tcPr>
          <w:p>
            <w:pPr>
              <w:pStyle w:val="TableParagraph"/>
              <w:spacing w:line="206" w:lineRule="exact"/>
              <w:ind w:left="213" w:right="214"/>
              <w:rPr>
                <w:sz w:val="18"/>
              </w:rPr>
            </w:pPr>
            <w:r>
              <w:rPr>
                <w:sz w:val="18"/>
              </w:rPr>
              <w:t>Artículo 32°</w:t>
            </w:r>
          </w:p>
        </w:tc>
        <w:tc>
          <w:tcPr>
            <w:tcW w:w="1841" w:type="dxa"/>
          </w:tcPr>
          <w:p>
            <w:pPr>
              <w:pStyle w:val="TableParagraph"/>
              <w:spacing w:line="206" w:lineRule="exact"/>
              <w:ind w:left="448"/>
              <w:jc w:val="left"/>
              <w:rPr>
                <w:sz w:val="18"/>
              </w:rPr>
            </w:pPr>
            <w:r>
              <w:rPr>
                <w:sz w:val="18"/>
              </w:rPr>
              <w:t>Artículo 70°</w:t>
            </w:r>
          </w:p>
        </w:tc>
      </w:tr>
      <w:tr>
        <w:trPr>
          <w:trHeight w:val="216" w:hRule="exact"/>
        </w:trPr>
        <w:tc>
          <w:tcPr>
            <w:tcW w:w="2547" w:type="dxa"/>
          </w:tcPr>
          <w:p>
            <w:pPr>
              <w:pStyle w:val="TableParagraph"/>
              <w:spacing w:line="203" w:lineRule="exact"/>
              <w:ind w:left="103"/>
              <w:jc w:val="left"/>
              <w:rPr>
                <w:sz w:val="18"/>
              </w:rPr>
            </w:pPr>
            <w:r>
              <w:rPr>
                <w:sz w:val="18"/>
              </w:rPr>
              <w:t>Nuevo León</w:t>
            </w:r>
          </w:p>
        </w:tc>
        <w:tc>
          <w:tcPr>
            <w:tcW w:w="2979" w:type="dxa"/>
          </w:tcPr>
          <w:p>
            <w:pPr>
              <w:pStyle w:val="TableParagraph"/>
              <w:spacing w:line="203" w:lineRule="exact"/>
              <w:ind w:left="213" w:right="214"/>
              <w:rPr>
                <w:sz w:val="18"/>
              </w:rPr>
            </w:pPr>
            <w:r>
              <w:rPr>
                <w:sz w:val="18"/>
              </w:rPr>
              <w:t>Artículo 9°</w:t>
            </w:r>
          </w:p>
        </w:tc>
        <w:tc>
          <w:tcPr>
            <w:tcW w:w="1841" w:type="dxa"/>
          </w:tcPr>
          <w:p>
            <w:pPr>
              <w:pStyle w:val="TableParagraph"/>
              <w:spacing w:line="203" w:lineRule="exact"/>
              <w:ind w:left="448"/>
              <w:jc w:val="left"/>
              <w:rPr>
                <w:sz w:val="18"/>
              </w:rPr>
            </w:pPr>
            <w:r>
              <w:rPr>
                <w:sz w:val="18"/>
              </w:rPr>
              <w:t>Artículo 27°</w:t>
            </w:r>
          </w:p>
        </w:tc>
      </w:tr>
      <w:tr>
        <w:trPr>
          <w:trHeight w:val="218" w:hRule="exact"/>
        </w:trPr>
        <w:tc>
          <w:tcPr>
            <w:tcW w:w="2547" w:type="dxa"/>
          </w:tcPr>
          <w:p>
            <w:pPr>
              <w:pStyle w:val="TableParagraph"/>
              <w:spacing w:line="203" w:lineRule="exact"/>
              <w:ind w:left="103"/>
              <w:jc w:val="left"/>
              <w:rPr>
                <w:sz w:val="18"/>
              </w:rPr>
            </w:pPr>
            <w:r>
              <w:rPr>
                <w:sz w:val="18"/>
              </w:rPr>
              <w:t>Oaxaca</w:t>
            </w:r>
          </w:p>
        </w:tc>
        <w:tc>
          <w:tcPr>
            <w:tcW w:w="2979" w:type="dxa"/>
          </w:tcPr>
          <w:p>
            <w:pPr>
              <w:pStyle w:val="TableParagraph"/>
              <w:spacing w:line="203" w:lineRule="exact"/>
              <w:ind w:left="213" w:right="214"/>
              <w:rPr>
                <w:sz w:val="18"/>
              </w:rPr>
            </w:pPr>
            <w:r>
              <w:rPr>
                <w:sz w:val="18"/>
              </w:rPr>
              <w:t>Artículo 15°</w:t>
            </w:r>
          </w:p>
        </w:tc>
        <w:tc>
          <w:tcPr>
            <w:tcW w:w="1841" w:type="dxa"/>
          </w:tcPr>
          <w:p>
            <w:pPr>
              <w:pStyle w:val="TableParagraph"/>
              <w:spacing w:line="203" w:lineRule="exact"/>
              <w:ind w:left="448"/>
              <w:jc w:val="left"/>
              <w:rPr>
                <w:sz w:val="18"/>
              </w:rPr>
            </w:pPr>
            <w:r>
              <w:rPr>
                <w:sz w:val="18"/>
              </w:rPr>
              <w:t>Artículo 49°</w:t>
            </w:r>
          </w:p>
        </w:tc>
      </w:tr>
      <w:tr>
        <w:trPr>
          <w:trHeight w:val="216" w:hRule="exact"/>
        </w:trPr>
        <w:tc>
          <w:tcPr>
            <w:tcW w:w="2547" w:type="dxa"/>
          </w:tcPr>
          <w:p>
            <w:pPr>
              <w:pStyle w:val="TableParagraph"/>
              <w:spacing w:line="203" w:lineRule="exact"/>
              <w:ind w:left="103"/>
              <w:jc w:val="left"/>
              <w:rPr>
                <w:sz w:val="18"/>
              </w:rPr>
            </w:pPr>
            <w:r>
              <w:rPr>
                <w:sz w:val="18"/>
              </w:rPr>
              <w:t>Puebla</w:t>
            </w:r>
          </w:p>
        </w:tc>
        <w:tc>
          <w:tcPr>
            <w:tcW w:w="2979" w:type="dxa"/>
          </w:tcPr>
          <w:p>
            <w:pPr>
              <w:pStyle w:val="TableParagraph"/>
              <w:spacing w:line="203" w:lineRule="exact"/>
              <w:ind w:left="213" w:right="214"/>
              <w:rPr>
                <w:sz w:val="18"/>
              </w:rPr>
            </w:pPr>
            <w:r>
              <w:rPr>
                <w:sz w:val="18"/>
              </w:rPr>
              <w:t>Artículo 11°</w:t>
            </w:r>
          </w:p>
        </w:tc>
        <w:tc>
          <w:tcPr>
            <w:tcW w:w="1841" w:type="dxa"/>
          </w:tcPr>
          <w:p>
            <w:pPr>
              <w:pStyle w:val="TableParagraph"/>
              <w:spacing w:line="203" w:lineRule="exact"/>
              <w:ind w:left="448"/>
              <w:jc w:val="left"/>
              <w:rPr>
                <w:sz w:val="18"/>
              </w:rPr>
            </w:pPr>
            <w:r>
              <w:rPr>
                <w:sz w:val="18"/>
              </w:rPr>
              <w:t>Artículo 33°</w:t>
            </w:r>
          </w:p>
        </w:tc>
      </w:tr>
      <w:tr>
        <w:trPr>
          <w:trHeight w:val="216" w:hRule="exact"/>
        </w:trPr>
        <w:tc>
          <w:tcPr>
            <w:tcW w:w="2547" w:type="dxa"/>
          </w:tcPr>
          <w:p>
            <w:pPr>
              <w:pStyle w:val="TableParagraph"/>
              <w:spacing w:line="203" w:lineRule="exact"/>
              <w:ind w:left="103"/>
              <w:jc w:val="left"/>
              <w:rPr>
                <w:sz w:val="18"/>
              </w:rPr>
            </w:pPr>
            <w:r>
              <w:rPr>
                <w:sz w:val="18"/>
              </w:rPr>
              <w:t>Querétaro</w:t>
            </w:r>
          </w:p>
        </w:tc>
        <w:tc>
          <w:tcPr>
            <w:tcW w:w="2979" w:type="dxa"/>
          </w:tcPr>
          <w:p>
            <w:pPr>
              <w:pStyle w:val="TableParagraph"/>
              <w:spacing w:line="203" w:lineRule="exact"/>
              <w:ind w:left="213" w:right="214"/>
              <w:rPr>
                <w:sz w:val="18"/>
              </w:rPr>
            </w:pPr>
            <w:r>
              <w:rPr>
                <w:sz w:val="18"/>
              </w:rPr>
              <w:t>Artículo 66°</w:t>
            </w:r>
          </w:p>
        </w:tc>
        <w:tc>
          <w:tcPr>
            <w:tcW w:w="1841" w:type="dxa"/>
          </w:tcPr>
          <w:p>
            <w:pPr>
              <w:pStyle w:val="TableParagraph"/>
              <w:spacing w:line="203" w:lineRule="exact"/>
              <w:ind w:left="400"/>
              <w:jc w:val="left"/>
              <w:rPr>
                <w:sz w:val="18"/>
              </w:rPr>
            </w:pPr>
            <w:r>
              <w:rPr>
                <w:sz w:val="18"/>
              </w:rPr>
              <w:t>Artículo 108°</w:t>
            </w:r>
          </w:p>
        </w:tc>
      </w:tr>
      <w:tr>
        <w:trPr>
          <w:trHeight w:val="218" w:hRule="exact"/>
        </w:trPr>
        <w:tc>
          <w:tcPr>
            <w:tcW w:w="2547" w:type="dxa"/>
          </w:tcPr>
          <w:p>
            <w:pPr>
              <w:pStyle w:val="TableParagraph"/>
              <w:spacing w:line="206" w:lineRule="exact"/>
              <w:ind w:left="103"/>
              <w:jc w:val="left"/>
              <w:rPr>
                <w:sz w:val="18"/>
              </w:rPr>
            </w:pPr>
            <w:r>
              <w:rPr>
                <w:sz w:val="18"/>
              </w:rPr>
              <w:t>Quintana roo</w:t>
            </w:r>
          </w:p>
        </w:tc>
        <w:tc>
          <w:tcPr>
            <w:tcW w:w="2979" w:type="dxa"/>
          </w:tcPr>
          <w:p>
            <w:pPr>
              <w:pStyle w:val="TableParagraph"/>
              <w:spacing w:line="206" w:lineRule="exact"/>
              <w:ind w:left="213" w:right="214"/>
              <w:rPr>
                <w:sz w:val="18"/>
              </w:rPr>
            </w:pPr>
            <w:r>
              <w:rPr>
                <w:sz w:val="18"/>
              </w:rPr>
              <w:t>Artículo 91°</w:t>
            </w:r>
          </w:p>
        </w:tc>
        <w:tc>
          <w:tcPr>
            <w:tcW w:w="1841" w:type="dxa"/>
          </w:tcPr>
          <w:p>
            <w:pPr>
              <w:pStyle w:val="TableParagraph"/>
              <w:spacing w:line="206" w:lineRule="exact"/>
              <w:ind w:left="400"/>
              <w:jc w:val="left"/>
              <w:rPr>
                <w:sz w:val="18"/>
              </w:rPr>
            </w:pPr>
            <w:r>
              <w:rPr>
                <w:sz w:val="18"/>
              </w:rPr>
              <w:t>Artículo 134°</w:t>
            </w:r>
          </w:p>
        </w:tc>
      </w:tr>
      <w:tr>
        <w:trPr>
          <w:trHeight w:val="216" w:hRule="exact"/>
        </w:trPr>
        <w:tc>
          <w:tcPr>
            <w:tcW w:w="2547" w:type="dxa"/>
          </w:tcPr>
          <w:p>
            <w:pPr>
              <w:pStyle w:val="TableParagraph"/>
              <w:spacing w:line="203" w:lineRule="exact"/>
              <w:ind w:left="103"/>
              <w:jc w:val="left"/>
              <w:rPr>
                <w:sz w:val="18"/>
              </w:rPr>
            </w:pPr>
            <w:r>
              <w:rPr>
                <w:sz w:val="18"/>
              </w:rPr>
              <w:t>San Luis Potosí</w:t>
            </w:r>
          </w:p>
        </w:tc>
        <w:tc>
          <w:tcPr>
            <w:tcW w:w="2979" w:type="dxa"/>
          </w:tcPr>
          <w:p>
            <w:pPr>
              <w:pStyle w:val="TableParagraph"/>
              <w:spacing w:line="203" w:lineRule="exact"/>
              <w:ind w:left="213" w:right="214"/>
              <w:rPr>
                <w:sz w:val="18"/>
              </w:rPr>
            </w:pPr>
            <w:r>
              <w:rPr>
                <w:sz w:val="18"/>
              </w:rPr>
              <w:t>Artículo 18°</w:t>
            </w:r>
          </w:p>
        </w:tc>
        <w:tc>
          <w:tcPr>
            <w:tcW w:w="1841" w:type="dxa"/>
          </w:tcPr>
          <w:p>
            <w:pPr>
              <w:pStyle w:val="TableParagraph"/>
              <w:spacing w:line="203" w:lineRule="exact"/>
              <w:ind w:left="448"/>
              <w:jc w:val="left"/>
              <w:rPr>
                <w:sz w:val="18"/>
              </w:rPr>
            </w:pPr>
            <w:r>
              <w:rPr>
                <w:sz w:val="18"/>
              </w:rPr>
              <w:t>Artículo 34°</w:t>
            </w:r>
          </w:p>
        </w:tc>
      </w:tr>
      <w:tr>
        <w:trPr>
          <w:trHeight w:val="218" w:hRule="exact"/>
        </w:trPr>
        <w:tc>
          <w:tcPr>
            <w:tcW w:w="2547" w:type="dxa"/>
          </w:tcPr>
          <w:p>
            <w:pPr>
              <w:pStyle w:val="TableParagraph"/>
              <w:spacing w:line="203" w:lineRule="exact"/>
              <w:ind w:left="103"/>
              <w:jc w:val="left"/>
              <w:rPr>
                <w:sz w:val="18"/>
              </w:rPr>
            </w:pPr>
            <w:r>
              <w:rPr>
                <w:sz w:val="18"/>
              </w:rPr>
              <w:t>Sinaloa</w:t>
            </w:r>
          </w:p>
        </w:tc>
        <w:tc>
          <w:tcPr>
            <w:tcW w:w="2979" w:type="dxa"/>
          </w:tcPr>
          <w:p>
            <w:pPr>
              <w:pStyle w:val="TableParagraph"/>
              <w:spacing w:line="203" w:lineRule="exact"/>
              <w:ind w:left="213" w:right="214"/>
              <w:rPr>
                <w:sz w:val="18"/>
              </w:rPr>
            </w:pPr>
            <w:r>
              <w:rPr>
                <w:sz w:val="18"/>
              </w:rPr>
              <w:t>Artículo 95°</w:t>
            </w:r>
          </w:p>
        </w:tc>
        <w:tc>
          <w:tcPr>
            <w:tcW w:w="1841" w:type="dxa"/>
          </w:tcPr>
          <w:p>
            <w:pPr>
              <w:pStyle w:val="TableParagraph"/>
              <w:spacing w:line="203" w:lineRule="exact"/>
              <w:ind w:left="400"/>
              <w:jc w:val="left"/>
              <w:rPr>
                <w:sz w:val="18"/>
              </w:rPr>
            </w:pPr>
            <w:r>
              <w:rPr>
                <w:sz w:val="18"/>
              </w:rPr>
              <w:t>Artículo 162°</w:t>
            </w:r>
          </w:p>
        </w:tc>
      </w:tr>
      <w:tr>
        <w:trPr>
          <w:trHeight w:val="216" w:hRule="exact"/>
        </w:trPr>
        <w:tc>
          <w:tcPr>
            <w:tcW w:w="2547" w:type="dxa"/>
          </w:tcPr>
          <w:p>
            <w:pPr>
              <w:pStyle w:val="TableParagraph"/>
              <w:spacing w:line="203" w:lineRule="exact"/>
              <w:ind w:left="103"/>
              <w:jc w:val="left"/>
              <w:rPr>
                <w:sz w:val="18"/>
              </w:rPr>
            </w:pPr>
            <w:r>
              <w:rPr>
                <w:sz w:val="18"/>
              </w:rPr>
              <w:t>Sonora</w:t>
            </w:r>
          </w:p>
        </w:tc>
        <w:tc>
          <w:tcPr>
            <w:tcW w:w="2979" w:type="dxa"/>
          </w:tcPr>
          <w:p>
            <w:pPr>
              <w:pStyle w:val="TableParagraph"/>
              <w:spacing w:line="203" w:lineRule="exact"/>
              <w:ind w:left="213" w:right="214"/>
              <w:rPr>
                <w:sz w:val="18"/>
              </w:rPr>
            </w:pPr>
            <w:r>
              <w:rPr>
                <w:sz w:val="18"/>
              </w:rPr>
              <w:t>Artículo 82°</w:t>
            </w:r>
          </w:p>
        </w:tc>
        <w:tc>
          <w:tcPr>
            <w:tcW w:w="1841" w:type="dxa"/>
          </w:tcPr>
          <w:p>
            <w:pPr>
              <w:pStyle w:val="TableParagraph"/>
              <w:spacing w:line="203" w:lineRule="exact"/>
              <w:ind w:left="448"/>
              <w:jc w:val="left"/>
              <w:rPr>
                <w:sz w:val="18"/>
              </w:rPr>
            </w:pPr>
            <w:r>
              <w:rPr>
                <w:sz w:val="18"/>
              </w:rPr>
              <w:t>Artículo 96°</w:t>
            </w:r>
          </w:p>
        </w:tc>
      </w:tr>
      <w:tr>
        <w:trPr>
          <w:trHeight w:val="217" w:hRule="exact"/>
        </w:trPr>
        <w:tc>
          <w:tcPr>
            <w:tcW w:w="2547" w:type="dxa"/>
          </w:tcPr>
          <w:p>
            <w:pPr>
              <w:pStyle w:val="TableParagraph"/>
              <w:spacing w:line="204" w:lineRule="exact"/>
              <w:ind w:left="103"/>
              <w:jc w:val="left"/>
              <w:rPr>
                <w:sz w:val="18"/>
              </w:rPr>
            </w:pPr>
            <w:r>
              <w:rPr>
                <w:sz w:val="18"/>
              </w:rPr>
              <w:t>Tabasco</w:t>
            </w:r>
          </w:p>
        </w:tc>
        <w:tc>
          <w:tcPr>
            <w:tcW w:w="2979" w:type="dxa"/>
          </w:tcPr>
          <w:p>
            <w:pPr>
              <w:pStyle w:val="TableParagraph"/>
              <w:spacing w:line="204" w:lineRule="exact"/>
              <w:ind w:left="213" w:right="214"/>
              <w:rPr>
                <w:sz w:val="18"/>
              </w:rPr>
            </w:pPr>
            <w:r>
              <w:rPr>
                <w:sz w:val="18"/>
              </w:rPr>
              <w:t>Artículo 10°</w:t>
            </w:r>
          </w:p>
        </w:tc>
        <w:tc>
          <w:tcPr>
            <w:tcW w:w="1841" w:type="dxa"/>
          </w:tcPr>
          <w:p>
            <w:pPr>
              <w:pStyle w:val="TableParagraph"/>
              <w:spacing w:line="204" w:lineRule="exact"/>
              <w:ind w:left="448"/>
              <w:jc w:val="left"/>
              <w:rPr>
                <w:sz w:val="18"/>
              </w:rPr>
            </w:pPr>
            <w:r>
              <w:rPr>
                <w:sz w:val="18"/>
              </w:rPr>
              <w:t>Artículo 31°</w:t>
            </w:r>
          </w:p>
        </w:tc>
      </w:tr>
      <w:tr>
        <w:trPr>
          <w:trHeight w:val="218" w:hRule="exact"/>
        </w:trPr>
        <w:tc>
          <w:tcPr>
            <w:tcW w:w="2547" w:type="dxa"/>
          </w:tcPr>
          <w:p>
            <w:pPr>
              <w:pStyle w:val="TableParagraph"/>
              <w:spacing w:line="206" w:lineRule="exact"/>
              <w:ind w:left="103"/>
              <w:jc w:val="left"/>
              <w:rPr>
                <w:sz w:val="18"/>
              </w:rPr>
            </w:pPr>
            <w:r>
              <w:rPr>
                <w:sz w:val="18"/>
              </w:rPr>
              <w:t>Tamaulipas</w:t>
            </w:r>
          </w:p>
        </w:tc>
        <w:tc>
          <w:tcPr>
            <w:tcW w:w="2979" w:type="dxa"/>
          </w:tcPr>
          <w:p>
            <w:pPr>
              <w:pStyle w:val="TableParagraph"/>
              <w:spacing w:line="206" w:lineRule="exact"/>
              <w:ind w:left="213" w:right="214"/>
              <w:rPr>
                <w:sz w:val="18"/>
              </w:rPr>
            </w:pPr>
            <w:r>
              <w:rPr>
                <w:sz w:val="18"/>
              </w:rPr>
              <w:t>Artículo 16°</w:t>
            </w:r>
          </w:p>
        </w:tc>
        <w:tc>
          <w:tcPr>
            <w:tcW w:w="1841" w:type="dxa"/>
          </w:tcPr>
          <w:p>
            <w:pPr>
              <w:pStyle w:val="TableParagraph"/>
              <w:spacing w:line="206" w:lineRule="exact"/>
              <w:ind w:left="448"/>
              <w:jc w:val="left"/>
              <w:rPr>
                <w:sz w:val="18"/>
              </w:rPr>
            </w:pPr>
            <w:r>
              <w:rPr>
                <w:sz w:val="18"/>
              </w:rPr>
              <w:t>Artículo 28°</w:t>
            </w:r>
          </w:p>
        </w:tc>
      </w:tr>
      <w:tr>
        <w:trPr>
          <w:trHeight w:val="216" w:hRule="exact"/>
        </w:trPr>
        <w:tc>
          <w:tcPr>
            <w:tcW w:w="2547" w:type="dxa"/>
          </w:tcPr>
          <w:p>
            <w:pPr>
              <w:pStyle w:val="TableParagraph"/>
              <w:spacing w:line="203" w:lineRule="exact"/>
              <w:ind w:left="103"/>
              <w:jc w:val="left"/>
              <w:rPr>
                <w:sz w:val="18"/>
              </w:rPr>
            </w:pPr>
            <w:r>
              <w:rPr>
                <w:sz w:val="18"/>
              </w:rPr>
              <w:t>Tlaxcala</w:t>
            </w:r>
          </w:p>
        </w:tc>
        <w:tc>
          <w:tcPr>
            <w:tcW w:w="2979" w:type="dxa"/>
          </w:tcPr>
          <w:p>
            <w:pPr>
              <w:pStyle w:val="TableParagraph"/>
              <w:spacing w:line="203" w:lineRule="exact"/>
              <w:ind w:left="213" w:right="214"/>
              <w:rPr>
                <w:sz w:val="18"/>
              </w:rPr>
            </w:pPr>
            <w:r>
              <w:rPr>
                <w:sz w:val="18"/>
              </w:rPr>
              <w:t>Artículo 63°</w:t>
            </w:r>
          </w:p>
        </w:tc>
        <w:tc>
          <w:tcPr>
            <w:tcW w:w="1841" w:type="dxa"/>
          </w:tcPr>
          <w:p>
            <w:pPr>
              <w:pStyle w:val="TableParagraph"/>
              <w:spacing w:line="203" w:lineRule="exact"/>
              <w:ind w:left="400"/>
              <w:jc w:val="left"/>
              <w:rPr>
                <w:sz w:val="18"/>
              </w:rPr>
            </w:pPr>
            <w:r>
              <w:rPr>
                <w:sz w:val="18"/>
              </w:rPr>
              <w:t>Artículo 105°</w:t>
            </w:r>
          </w:p>
        </w:tc>
      </w:tr>
      <w:tr>
        <w:trPr>
          <w:trHeight w:val="218" w:hRule="exact"/>
        </w:trPr>
        <w:tc>
          <w:tcPr>
            <w:tcW w:w="2547" w:type="dxa"/>
          </w:tcPr>
          <w:p>
            <w:pPr>
              <w:pStyle w:val="TableParagraph"/>
              <w:spacing w:line="203" w:lineRule="exact"/>
              <w:ind w:left="103"/>
              <w:jc w:val="left"/>
              <w:rPr>
                <w:sz w:val="18"/>
              </w:rPr>
            </w:pPr>
            <w:r>
              <w:rPr>
                <w:sz w:val="18"/>
              </w:rPr>
              <w:t>Veracruz</w:t>
            </w:r>
          </w:p>
        </w:tc>
        <w:tc>
          <w:tcPr>
            <w:tcW w:w="2979" w:type="dxa"/>
          </w:tcPr>
          <w:p>
            <w:pPr>
              <w:pStyle w:val="TableParagraph"/>
              <w:spacing w:line="203" w:lineRule="exact"/>
              <w:ind w:left="213" w:right="214"/>
              <w:rPr>
                <w:sz w:val="18"/>
              </w:rPr>
            </w:pPr>
            <w:r>
              <w:rPr>
                <w:sz w:val="18"/>
              </w:rPr>
              <w:t>Artículo 8°</w:t>
            </w:r>
          </w:p>
        </w:tc>
        <w:tc>
          <w:tcPr>
            <w:tcW w:w="1841" w:type="dxa"/>
          </w:tcPr>
          <w:p>
            <w:pPr>
              <w:pStyle w:val="TableParagraph"/>
              <w:spacing w:line="203" w:lineRule="exact"/>
              <w:ind w:left="448"/>
              <w:jc w:val="left"/>
              <w:rPr>
                <w:sz w:val="18"/>
              </w:rPr>
            </w:pPr>
            <w:r>
              <w:rPr>
                <w:sz w:val="18"/>
              </w:rPr>
              <w:t>Artículo 12°</w:t>
            </w:r>
          </w:p>
        </w:tc>
      </w:tr>
      <w:tr>
        <w:trPr>
          <w:trHeight w:val="216" w:hRule="exact"/>
        </w:trPr>
        <w:tc>
          <w:tcPr>
            <w:tcW w:w="2547" w:type="dxa"/>
          </w:tcPr>
          <w:p>
            <w:pPr>
              <w:pStyle w:val="TableParagraph"/>
              <w:spacing w:line="203" w:lineRule="exact"/>
              <w:ind w:left="103"/>
              <w:jc w:val="left"/>
              <w:rPr>
                <w:sz w:val="18"/>
              </w:rPr>
            </w:pPr>
            <w:r>
              <w:rPr>
                <w:sz w:val="18"/>
              </w:rPr>
              <w:t>Yucatán</w:t>
            </w:r>
          </w:p>
        </w:tc>
        <w:tc>
          <w:tcPr>
            <w:tcW w:w="4820" w:type="dxa"/>
            <w:gridSpan w:val="2"/>
          </w:tcPr>
          <w:p>
            <w:pPr>
              <w:pStyle w:val="TableParagraph"/>
              <w:spacing w:line="203" w:lineRule="exact"/>
              <w:ind w:left="1303"/>
              <w:jc w:val="left"/>
              <w:rPr>
                <w:sz w:val="18"/>
              </w:rPr>
            </w:pPr>
            <w:r>
              <w:rPr>
                <w:sz w:val="18"/>
              </w:rPr>
              <w:t>No se encontró información</w:t>
            </w:r>
          </w:p>
        </w:tc>
      </w:tr>
      <w:tr>
        <w:trPr>
          <w:trHeight w:val="216" w:hRule="exact"/>
        </w:trPr>
        <w:tc>
          <w:tcPr>
            <w:tcW w:w="2547" w:type="dxa"/>
          </w:tcPr>
          <w:p>
            <w:pPr>
              <w:pStyle w:val="TableParagraph"/>
              <w:spacing w:line="203" w:lineRule="exact"/>
              <w:ind w:left="103"/>
              <w:jc w:val="left"/>
              <w:rPr>
                <w:sz w:val="18"/>
              </w:rPr>
            </w:pPr>
            <w:r>
              <w:rPr>
                <w:sz w:val="18"/>
              </w:rPr>
              <w:t>Zacatecas</w:t>
            </w:r>
          </w:p>
        </w:tc>
        <w:tc>
          <w:tcPr>
            <w:tcW w:w="2979" w:type="dxa"/>
          </w:tcPr>
          <w:p>
            <w:pPr>
              <w:pStyle w:val="TableParagraph"/>
              <w:spacing w:line="203" w:lineRule="exact"/>
              <w:ind w:left="213" w:right="214"/>
              <w:rPr>
                <w:sz w:val="18"/>
              </w:rPr>
            </w:pPr>
            <w:r>
              <w:rPr>
                <w:sz w:val="18"/>
              </w:rPr>
              <w:t>Artículo 39°</w:t>
            </w:r>
          </w:p>
        </w:tc>
        <w:tc>
          <w:tcPr>
            <w:tcW w:w="1841" w:type="dxa"/>
          </w:tcPr>
          <w:p>
            <w:pPr>
              <w:pStyle w:val="TableParagraph"/>
              <w:spacing w:line="203" w:lineRule="exact"/>
              <w:ind w:left="448"/>
              <w:jc w:val="left"/>
              <w:rPr>
                <w:sz w:val="18"/>
              </w:rPr>
            </w:pPr>
            <w:r>
              <w:rPr>
                <w:sz w:val="18"/>
              </w:rPr>
              <w:t>Artículo 82°</w:t>
            </w:r>
          </w:p>
        </w:tc>
      </w:tr>
    </w:tbl>
    <w:p>
      <w:pPr>
        <w:spacing w:line="177" w:lineRule="exact" w:before="0"/>
        <w:ind w:left="998" w:right="6" w:firstLine="0"/>
        <w:jc w:val="left"/>
        <w:rPr>
          <w:sz w:val="16"/>
        </w:rPr>
      </w:pPr>
      <w:r>
        <w:rPr>
          <w:b/>
          <w:sz w:val="16"/>
        </w:rPr>
        <w:t>Fuente: </w:t>
      </w:r>
      <w:r>
        <w:rPr>
          <w:sz w:val="16"/>
        </w:rPr>
        <w:t>Elaboración propia</w:t>
      </w:r>
    </w:p>
    <w:p>
      <w:pPr>
        <w:pStyle w:val="BodyText"/>
        <w:rPr>
          <w:sz w:val="20"/>
        </w:rPr>
      </w:pPr>
    </w:p>
    <w:p>
      <w:pPr>
        <w:pStyle w:val="BodyText"/>
      </w:pPr>
    </w:p>
    <w:p>
      <w:pPr>
        <w:pStyle w:val="BodyText"/>
        <w:spacing w:line="360" w:lineRule="auto" w:before="70"/>
        <w:ind w:left="108" w:right="116"/>
        <w:jc w:val="both"/>
      </w:pPr>
      <w:r>
        <w:rPr/>
        <w:t>En esta tabla se puede observar cómo las entidades federativas han repetido el modelo federal en cuanto a la creación de su ley de transparencia, por lo que se infiere que el hecho de que no toda sea pública en términos de lo señalado por el principio de máxima publicidad marcado en la constitución, no es casualidad, sino más bien algo planeado por los gobernantes para ocultar cierto tipo de información que pone en peligro sus intereses.</w:t>
      </w:r>
    </w:p>
    <w:p>
      <w:pPr>
        <w:pStyle w:val="BodyText"/>
      </w:pPr>
    </w:p>
    <w:p>
      <w:pPr>
        <w:pStyle w:val="BodyText"/>
      </w:pPr>
    </w:p>
    <w:p>
      <w:pPr>
        <w:pStyle w:val="BodyText"/>
        <w:spacing w:line="360" w:lineRule="auto" w:before="185"/>
        <w:ind w:left="108" w:right="117"/>
        <w:jc w:val="both"/>
      </w:pPr>
      <w:r>
        <w:rPr/>
        <w:t>Complementario a la información anterior, se puede destacar que dentro de las reformas realizadas a la ley de transparencia destaca la reforma aprobada el 10 de septiembre</w:t>
      </w:r>
      <w:r>
        <w:rPr>
          <w:spacing w:val="-7"/>
        </w:rPr>
        <w:t> </w:t>
      </w:r>
      <w:r>
        <w:rPr/>
        <w:t>de</w:t>
      </w:r>
      <w:r>
        <w:rPr>
          <w:spacing w:val="-6"/>
        </w:rPr>
        <w:t> </w:t>
      </w:r>
      <w:r>
        <w:rPr/>
        <w:t>2014,</w:t>
      </w:r>
      <w:r>
        <w:rPr>
          <w:spacing w:val="-6"/>
        </w:rPr>
        <w:t> </w:t>
      </w:r>
      <w:r>
        <w:rPr/>
        <w:t>ya</w:t>
      </w:r>
      <w:r>
        <w:rPr>
          <w:spacing w:val="-6"/>
        </w:rPr>
        <w:t> </w:t>
      </w:r>
      <w:r>
        <w:rPr/>
        <w:t>que</w:t>
      </w:r>
      <w:r>
        <w:rPr>
          <w:spacing w:val="-6"/>
        </w:rPr>
        <w:t> </w:t>
      </w:r>
      <w:r>
        <w:rPr/>
        <w:t>con</w:t>
      </w:r>
      <w:r>
        <w:rPr>
          <w:spacing w:val="-6"/>
        </w:rPr>
        <w:t> </w:t>
      </w:r>
      <w:r>
        <w:rPr/>
        <w:t>ésta</w:t>
      </w:r>
      <w:r>
        <w:rPr>
          <w:spacing w:val="-4"/>
        </w:rPr>
        <w:t> </w:t>
      </w:r>
      <w:r>
        <w:rPr/>
        <w:t>se</w:t>
      </w:r>
      <w:r>
        <w:rPr>
          <w:spacing w:val="-6"/>
        </w:rPr>
        <w:t> </w:t>
      </w:r>
      <w:r>
        <w:rPr/>
        <w:t>crearon</w:t>
      </w:r>
      <w:r>
        <w:rPr>
          <w:spacing w:val="-6"/>
        </w:rPr>
        <w:t> </w:t>
      </w:r>
      <w:r>
        <w:rPr/>
        <w:t>una</w:t>
      </w:r>
      <w:r>
        <w:rPr>
          <w:spacing w:val="-6"/>
        </w:rPr>
        <w:t> </w:t>
      </w:r>
      <w:r>
        <w:rPr/>
        <w:t>serie</w:t>
      </w:r>
      <w:r>
        <w:rPr>
          <w:spacing w:val="-6"/>
        </w:rPr>
        <w:t> </w:t>
      </w:r>
      <w:r>
        <w:rPr/>
        <w:t>de</w:t>
      </w:r>
      <w:r>
        <w:rPr>
          <w:spacing w:val="-6"/>
        </w:rPr>
        <w:t> </w:t>
      </w:r>
      <w:r>
        <w:rPr/>
        <w:t>comisiones</w:t>
      </w:r>
      <w:r>
        <w:rPr>
          <w:spacing w:val="-7"/>
        </w:rPr>
        <w:t> </w:t>
      </w:r>
      <w:r>
        <w:rPr/>
        <w:t>tendientes a fortalecer el Instituto Nacional de Transparencia, Acceso a la Información y Protección de Datos Personales (INAI). Dichas comisiones son las</w:t>
      </w:r>
      <w:r>
        <w:rPr>
          <w:spacing w:val="-20"/>
        </w:rPr>
        <w:t> </w:t>
      </w:r>
      <w:r>
        <w:rPr/>
        <w:t>siguientes:</w:t>
      </w:r>
    </w:p>
    <w:p>
      <w:pPr>
        <w:pStyle w:val="BodyText"/>
      </w:pPr>
    </w:p>
    <w:p>
      <w:pPr>
        <w:pStyle w:val="BodyText"/>
      </w:pPr>
    </w:p>
    <w:p>
      <w:pPr>
        <w:spacing w:line="276" w:lineRule="auto" w:before="186"/>
        <w:ind w:left="816" w:right="876" w:firstLine="0"/>
        <w:jc w:val="both"/>
        <w:rPr>
          <w:sz w:val="18"/>
        </w:rPr>
      </w:pPr>
      <w:r>
        <w:rPr>
          <w:sz w:val="18"/>
        </w:rPr>
        <w:t>10. Que derivado de los trabajos del Pleno y para eficientar la organización y operación del Instituto, así como de las Ponencias de cada uno de los comisionados, se proponen las comisiones permanentes, con atribuciones genéricas, conforme a lo siguiente:</w:t>
      </w:r>
    </w:p>
    <w:p>
      <w:pPr>
        <w:spacing w:after="0" w:line="276" w:lineRule="auto"/>
        <w:jc w:val="both"/>
        <w:rPr>
          <w:sz w:val="18"/>
        </w:rPr>
        <w:sectPr>
          <w:pgSz w:w="12240" w:h="15840"/>
          <w:pgMar w:header="0" w:footer="1035" w:top="1420" w:bottom="1220" w:left="1500" w:right="1580"/>
        </w:sectPr>
      </w:pPr>
    </w:p>
    <w:p>
      <w:pPr>
        <w:pStyle w:val="ListParagraph"/>
        <w:numPr>
          <w:ilvl w:val="1"/>
          <w:numId w:val="58"/>
        </w:numPr>
        <w:tabs>
          <w:tab w:pos="822" w:val="left" w:leader="none"/>
        </w:tabs>
        <w:spacing w:line="280" w:lineRule="auto" w:before="50" w:after="0"/>
        <w:ind w:left="596" w:right="735" w:firstLine="0"/>
        <w:jc w:val="both"/>
        <w:rPr>
          <w:sz w:val="18"/>
        </w:rPr>
      </w:pPr>
      <w:r>
        <w:rPr>
          <w:b/>
          <w:sz w:val="18"/>
        </w:rPr>
        <w:t>Políticas de Acceso a la Información: </w:t>
      </w:r>
      <w:r>
        <w:rPr>
          <w:sz w:val="18"/>
        </w:rPr>
        <w:t>Proponer, deliberar, opinar, supervisar y evaluar los</w:t>
      </w:r>
      <w:r>
        <w:rPr>
          <w:spacing w:val="-7"/>
          <w:sz w:val="18"/>
        </w:rPr>
        <w:t> </w:t>
      </w:r>
      <w:r>
        <w:rPr>
          <w:sz w:val="18"/>
        </w:rPr>
        <w:t>procedimientos,</w:t>
      </w:r>
      <w:r>
        <w:rPr>
          <w:spacing w:val="-8"/>
          <w:sz w:val="18"/>
        </w:rPr>
        <w:t> </w:t>
      </w:r>
      <w:r>
        <w:rPr>
          <w:sz w:val="18"/>
        </w:rPr>
        <w:t>políticas</w:t>
      </w:r>
      <w:r>
        <w:rPr>
          <w:spacing w:val="-7"/>
          <w:sz w:val="18"/>
        </w:rPr>
        <w:t> </w:t>
      </w:r>
      <w:r>
        <w:rPr>
          <w:sz w:val="18"/>
        </w:rPr>
        <w:t>y</w:t>
      </w:r>
      <w:r>
        <w:rPr>
          <w:spacing w:val="-9"/>
          <w:sz w:val="18"/>
        </w:rPr>
        <w:t> </w:t>
      </w:r>
      <w:r>
        <w:rPr>
          <w:sz w:val="18"/>
        </w:rPr>
        <w:t>estrategias</w:t>
      </w:r>
      <w:r>
        <w:rPr>
          <w:spacing w:val="-7"/>
          <w:sz w:val="18"/>
        </w:rPr>
        <w:t> </w:t>
      </w:r>
      <w:r>
        <w:rPr>
          <w:sz w:val="18"/>
        </w:rPr>
        <w:t>que</w:t>
      </w:r>
      <w:r>
        <w:rPr>
          <w:spacing w:val="-7"/>
          <w:sz w:val="18"/>
        </w:rPr>
        <w:t> </w:t>
      </w:r>
      <w:r>
        <w:rPr>
          <w:sz w:val="18"/>
        </w:rPr>
        <w:t>el</w:t>
      </w:r>
      <w:r>
        <w:rPr>
          <w:spacing w:val="-7"/>
          <w:sz w:val="18"/>
        </w:rPr>
        <w:t> </w:t>
      </w:r>
      <w:r>
        <w:rPr>
          <w:sz w:val="18"/>
        </w:rPr>
        <w:t>IFAI</w:t>
      </w:r>
      <w:r>
        <w:rPr>
          <w:spacing w:val="-10"/>
          <w:sz w:val="18"/>
        </w:rPr>
        <w:t> </w:t>
      </w:r>
      <w:r>
        <w:rPr>
          <w:sz w:val="18"/>
        </w:rPr>
        <w:t>coordine</w:t>
      </w:r>
      <w:r>
        <w:rPr>
          <w:spacing w:val="-7"/>
          <w:sz w:val="18"/>
        </w:rPr>
        <w:t> </w:t>
      </w:r>
      <w:r>
        <w:rPr>
          <w:sz w:val="18"/>
        </w:rPr>
        <w:t>con</w:t>
      </w:r>
      <w:r>
        <w:rPr>
          <w:spacing w:val="-7"/>
          <w:sz w:val="18"/>
        </w:rPr>
        <w:t> </w:t>
      </w:r>
      <w:r>
        <w:rPr>
          <w:sz w:val="18"/>
        </w:rPr>
        <w:t>los</w:t>
      </w:r>
      <w:r>
        <w:rPr>
          <w:spacing w:val="-7"/>
          <w:sz w:val="18"/>
        </w:rPr>
        <w:t> </w:t>
      </w:r>
      <w:r>
        <w:rPr>
          <w:sz w:val="18"/>
        </w:rPr>
        <w:t>sujetos</w:t>
      </w:r>
      <w:r>
        <w:rPr>
          <w:spacing w:val="-7"/>
          <w:sz w:val="18"/>
        </w:rPr>
        <w:t> </w:t>
      </w:r>
      <w:r>
        <w:rPr>
          <w:sz w:val="18"/>
        </w:rPr>
        <w:t>obligados,</w:t>
      </w:r>
      <w:r>
        <w:rPr>
          <w:spacing w:val="-8"/>
          <w:sz w:val="18"/>
        </w:rPr>
        <w:t> </w:t>
      </w:r>
      <w:r>
        <w:rPr>
          <w:sz w:val="18"/>
        </w:rPr>
        <w:t>para mejorar el acceso a la información pública por parte de los</w:t>
      </w:r>
      <w:r>
        <w:rPr>
          <w:spacing w:val="-32"/>
          <w:sz w:val="18"/>
        </w:rPr>
        <w:t> </w:t>
      </w:r>
      <w:r>
        <w:rPr>
          <w:sz w:val="18"/>
        </w:rPr>
        <w:t>ciudadanos.</w:t>
      </w:r>
    </w:p>
    <w:p>
      <w:pPr>
        <w:pStyle w:val="ListParagraph"/>
        <w:numPr>
          <w:ilvl w:val="1"/>
          <w:numId w:val="58"/>
        </w:numPr>
        <w:tabs>
          <w:tab w:pos="822" w:val="left" w:leader="none"/>
        </w:tabs>
        <w:spacing w:line="278" w:lineRule="auto" w:before="0" w:after="0"/>
        <w:ind w:left="596" w:right="739" w:firstLine="0"/>
        <w:jc w:val="both"/>
        <w:rPr>
          <w:sz w:val="18"/>
        </w:rPr>
      </w:pPr>
      <w:r>
        <w:rPr>
          <w:b/>
          <w:sz w:val="18"/>
        </w:rPr>
        <w:t>Asuntos Internacionales: </w:t>
      </w:r>
      <w:r>
        <w:rPr>
          <w:sz w:val="18"/>
        </w:rPr>
        <w:t>Opinar, deliberar, supervisar, proponer, y evaluar la política de relaciones interinstitucionales con organismos públicos y órganos de la sociedad civil en el contexto internacional en materia de acceso a la información, organización de archivos y protección de</w:t>
      </w:r>
      <w:r>
        <w:rPr>
          <w:spacing w:val="-9"/>
          <w:sz w:val="18"/>
        </w:rPr>
        <w:t> </w:t>
      </w:r>
      <w:r>
        <w:rPr>
          <w:sz w:val="18"/>
        </w:rPr>
        <w:t>datos.</w:t>
      </w:r>
    </w:p>
    <w:p>
      <w:pPr>
        <w:pStyle w:val="ListParagraph"/>
        <w:numPr>
          <w:ilvl w:val="1"/>
          <w:numId w:val="58"/>
        </w:numPr>
        <w:tabs>
          <w:tab w:pos="803" w:val="left" w:leader="none"/>
        </w:tabs>
        <w:spacing w:line="280" w:lineRule="auto" w:before="0" w:after="0"/>
        <w:ind w:left="596" w:right="738" w:firstLine="0"/>
        <w:jc w:val="both"/>
        <w:rPr>
          <w:sz w:val="18"/>
        </w:rPr>
      </w:pPr>
      <w:r>
        <w:rPr>
          <w:b/>
          <w:sz w:val="18"/>
        </w:rPr>
        <w:t>Normativa</w:t>
      </w:r>
      <w:r>
        <w:rPr>
          <w:b/>
          <w:spacing w:val="-10"/>
          <w:sz w:val="18"/>
        </w:rPr>
        <w:t> </w:t>
      </w:r>
      <w:r>
        <w:rPr>
          <w:b/>
          <w:sz w:val="18"/>
        </w:rPr>
        <w:t>de</w:t>
      </w:r>
      <w:r>
        <w:rPr>
          <w:b/>
          <w:spacing w:val="-9"/>
          <w:sz w:val="18"/>
        </w:rPr>
        <w:t> </w:t>
      </w:r>
      <w:r>
        <w:rPr>
          <w:b/>
          <w:sz w:val="18"/>
        </w:rPr>
        <w:t>Acceso</w:t>
      </w:r>
      <w:r>
        <w:rPr>
          <w:b/>
          <w:spacing w:val="-10"/>
          <w:sz w:val="18"/>
        </w:rPr>
        <w:t> </w:t>
      </w:r>
      <w:r>
        <w:rPr>
          <w:b/>
          <w:sz w:val="18"/>
        </w:rPr>
        <w:t>a</w:t>
      </w:r>
      <w:r>
        <w:rPr>
          <w:b/>
          <w:spacing w:val="-7"/>
          <w:sz w:val="18"/>
        </w:rPr>
        <w:t> </w:t>
      </w:r>
      <w:r>
        <w:rPr>
          <w:b/>
          <w:sz w:val="18"/>
        </w:rPr>
        <w:t>la</w:t>
      </w:r>
      <w:r>
        <w:rPr>
          <w:b/>
          <w:spacing w:val="-10"/>
          <w:sz w:val="18"/>
        </w:rPr>
        <w:t> </w:t>
      </w:r>
      <w:r>
        <w:rPr>
          <w:b/>
          <w:sz w:val="18"/>
        </w:rPr>
        <w:t>Información:</w:t>
      </w:r>
      <w:r>
        <w:rPr>
          <w:b/>
          <w:spacing w:val="-10"/>
          <w:sz w:val="18"/>
        </w:rPr>
        <w:t> </w:t>
      </w:r>
      <w:r>
        <w:rPr>
          <w:sz w:val="18"/>
        </w:rPr>
        <w:t>Deliberar,</w:t>
      </w:r>
      <w:r>
        <w:rPr>
          <w:spacing w:val="-10"/>
          <w:sz w:val="18"/>
        </w:rPr>
        <w:t> </w:t>
      </w:r>
      <w:r>
        <w:rPr>
          <w:sz w:val="18"/>
        </w:rPr>
        <w:t>Opinar,</w:t>
      </w:r>
      <w:r>
        <w:rPr>
          <w:spacing w:val="-7"/>
          <w:sz w:val="18"/>
        </w:rPr>
        <w:t> </w:t>
      </w:r>
      <w:r>
        <w:rPr>
          <w:sz w:val="18"/>
        </w:rPr>
        <w:t>proponer,</w:t>
      </w:r>
      <w:r>
        <w:rPr>
          <w:spacing w:val="-10"/>
          <w:sz w:val="18"/>
        </w:rPr>
        <w:t> </w:t>
      </w:r>
      <w:r>
        <w:rPr>
          <w:sz w:val="18"/>
        </w:rPr>
        <w:t>supervisar,</w:t>
      </w:r>
      <w:r>
        <w:rPr>
          <w:spacing w:val="-10"/>
          <w:sz w:val="18"/>
        </w:rPr>
        <w:t> </w:t>
      </w:r>
      <w:r>
        <w:rPr>
          <w:sz w:val="18"/>
        </w:rPr>
        <w:t>y</w:t>
      </w:r>
      <w:r>
        <w:rPr>
          <w:spacing w:val="-9"/>
          <w:sz w:val="18"/>
        </w:rPr>
        <w:t> </w:t>
      </w:r>
      <w:r>
        <w:rPr>
          <w:sz w:val="18"/>
        </w:rPr>
        <w:t>evaluar los diversos cuerpos normativos en materia de acceso a la</w:t>
      </w:r>
      <w:r>
        <w:rPr>
          <w:spacing w:val="-31"/>
          <w:sz w:val="18"/>
        </w:rPr>
        <w:t> </w:t>
      </w:r>
      <w:r>
        <w:rPr>
          <w:sz w:val="18"/>
        </w:rPr>
        <w:t>información.</w:t>
      </w:r>
    </w:p>
    <w:p>
      <w:pPr>
        <w:pStyle w:val="ListParagraph"/>
        <w:numPr>
          <w:ilvl w:val="1"/>
          <w:numId w:val="58"/>
        </w:numPr>
        <w:tabs>
          <w:tab w:pos="837" w:val="left" w:leader="none"/>
        </w:tabs>
        <w:spacing w:line="276" w:lineRule="auto" w:before="0" w:after="0"/>
        <w:ind w:left="596" w:right="739" w:firstLine="0"/>
        <w:jc w:val="both"/>
        <w:rPr>
          <w:sz w:val="18"/>
        </w:rPr>
      </w:pPr>
      <w:r>
        <w:rPr>
          <w:b/>
          <w:sz w:val="18"/>
        </w:rPr>
        <w:t>Capacitación y Cultura de la Transparencia: </w:t>
      </w:r>
      <w:r>
        <w:rPr>
          <w:sz w:val="18"/>
        </w:rPr>
        <w:t>Deliberar, supervisar, proponer, opinar y evaluar la política general de capacitación, el proceso de formación en materia de datos personales,</w:t>
      </w:r>
      <w:r>
        <w:rPr>
          <w:spacing w:val="-5"/>
          <w:sz w:val="18"/>
        </w:rPr>
        <w:t> </w:t>
      </w:r>
      <w:r>
        <w:rPr>
          <w:sz w:val="18"/>
        </w:rPr>
        <w:t>acceso</w:t>
      </w:r>
      <w:r>
        <w:rPr>
          <w:spacing w:val="-7"/>
          <w:sz w:val="18"/>
        </w:rPr>
        <w:t> </w:t>
      </w:r>
      <w:r>
        <w:rPr>
          <w:sz w:val="18"/>
        </w:rPr>
        <w:t>a</w:t>
      </w:r>
      <w:r>
        <w:rPr>
          <w:spacing w:val="-5"/>
          <w:sz w:val="18"/>
        </w:rPr>
        <w:t> </w:t>
      </w:r>
      <w:r>
        <w:rPr>
          <w:sz w:val="18"/>
        </w:rPr>
        <w:t>la</w:t>
      </w:r>
      <w:r>
        <w:rPr>
          <w:spacing w:val="-5"/>
          <w:sz w:val="18"/>
        </w:rPr>
        <w:t> </w:t>
      </w:r>
      <w:r>
        <w:rPr>
          <w:sz w:val="18"/>
        </w:rPr>
        <w:t>información</w:t>
      </w:r>
      <w:r>
        <w:rPr>
          <w:spacing w:val="-5"/>
          <w:sz w:val="18"/>
        </w:rPr>
        <w:t> </w:t>
      </w:r>
      <w:r>
        <w:rPr>
          <w:sz w:val="18"/>
        </w:rPr>
        <w:t>y</w:t>
      </w:r>
      <w:r>
        <w:rPr>
          <w:spacing w:val="-7"/>
          <w:sz w:val="18"/>
        </w:rPr>
        <w:t> </w:t>
      </w:r>
      <w:r>
        <w:rPr>
          <w:sz w:val="18"/>
        </w:rPr>
        <w:t>organización</w:t>
      </w:r>
      <w:r>
        <w:rPr>
          <w:spacing w:val="-5"/>
          <w:sz w:val="18"/>
        </w:rPr>
        <w:t> </w:t>
      </w:r>
      <w:r>
        <w:rPr>
          <w:sz w:val="18"/>
        </w:rPr>
        <w:t>de</w:t>
      </w:r>
      <w:r>
        <w:rPr>
          <w:spacing w:val="-5"/>
          <w:sz w:val="18"/>
        </w:rPr>
        <w:t> </w:t>
      </w:r>
      <w:r>
        <w:rPr>
          <w:sz w:val="18"/>
        </w:rPr>
        <w:t>archivos,</w:t>
      </w:r>
      <w:r>
        <w:rPr>
          <w:spacing w:val="-5"/>
          <w:sz w:val="18"/>
        </w:rPr>
        <w:t> </w:t>
      </w:r>
      <w:r>
        <w:rPr>
          <w:sz w:val="18"/>
        </w:rPr>
        <w:t>capacitar,</w:t>
      </w:r>
      <w:r>
        <w:rPr>
          <w:spacing w:val="-5"/>
          <w:sz w:val="18"/>
        </w:rPr>
        <w:t> </w:t>
      </w:r>
      <w:r>
        <w:rPr>
          <w:sz w:val="18"/>
        </w:rPr>
        <w:t>orientar</w:t>
      </w:r>
      <w:r>
        <w:rPr>
          <w:spacing w:val="-5"/>
          <w:sz w:val="18"/>
        </w:rPr>
        <w:t> </w:t>
      </w:r>
      <w:r>
        <w:rPr>
          <w:sz w:val="18"/>
        </w:rPr>
        <w:t>y</w:t>
      </w:r>
      <w:r>
        <w:rPr>
          <w:spacing w:val="-7"/>
          <w:sz w:val="18"/>
        </w:rPr>
        <w:t> </w:t>
      </w:r>
      <w:r>
        <w:rPr>
          <w:sz w:val="18"/>
        </w:rPr>
        <w:t>asesorar a servidores públicos, comunidades académicas, integrantes de organizaciones civiles, responsables y al sector privado, en materia de protección de datos personales, acceso a la información y</w:t>
      </w:r>
      <w:r>
        <w:rPr>
          <w:spacing w:val="-11"/>
          <w:sz w:val="18"/>
        </w:rPr>
        <w:t> </w:t>
      </w:r>
      <w:r>
        <w:rPr>
          <w:sz w:val="18"/>
        </w:rPr>
        <w:t>archivos.</w:t>
      </w:r>
    </w:p>
    <w:p>
      <w:pPr>
        <w:pStyle w:val="ListParagraph"/>
        <w:numPr>
          <w:ilvl w:val="1"/>
          <w:numId w:val="58"/>
        </w:numPr>
        <w:tabs>
          <w:tab w:pos="806" w:val="left" w:leader="none"/>
        </w:tabs>
        <w:spacing w:line="278" w:lineRule="auto" w:before="0" w:after="0"/>
        <w:ind w:left="596" w:right="736" w:firstLine="0"/>
        <w:jc w:val="both"/>
        <w:rPr>
          <w:sz w:val="18"/>
        </w:rPr>
      </w:pPr>
      <w:r>
        <w:rPr>
          <w:b/>
          <w:sz w:val="18"/>
        </w:rPr>
        <w:t>Gestión</w:t>
      </w:r>
      <w:r>
        <w:rPr>
          <w:b/>
          <w:spacing w:val="-5"/>
          <w:sz w:val="18"/>
        </w:rPr>
        <w:t> </w:t>
      </w:r>
      <w:r>
        <w:rPr>
          <w:b/>
          <w:sz w:val="18"/>
        </w:rPr>
        <w:t>Documental</w:t>
      </w:r>
      <w:r>
        <w:rPr>
          <w:b/>
          <w:spacing w:val="-5"/>
          <w:sz w:val="18"/>
        </w:rPr>
        <w:t> </w:t>
      </w:r>
      <w:r>
        <w:rPr>
          <w:b/>
          <w:sz w:val="18"/>
        </w:rPr>
        <w:t>y</w:t>
      </w:r>
      <w:r>
        <w:rPr>
          <w:b/>
          <w:spacing w:val="-12"/>
          <w:sz w:val="18"/>
        </w:rPr>
        <w:t> </w:t>
      </w:r>
      <w:r>
        <w:rPr>
          <w:b/>
          <w:sz w:val="18"/>
        </w:rPr>
        <w:t>Archivos:</w:t>
      </w:r>
      <w:r>
        <w:rPr>
          <w:b/>
          <w:spacing w:val="-6"/>
          <w:sz w:val="18"/>
        </w:rPr>
        <w:t> </w:t>
      </w:r>
      <w:r>
        <w:rPr>
          <w:sz w:val="18"/>
        </w:rPr>
        <w:t>Evaluar,</w:t>
      </w:r>
      <w:r>
        <w:rPr>
          <w:spacing w:val="-7"/>
          <w:sz w:val="18"/>
        </w:rPr>
        <w:t> </w:t>
      </w:r>
      <w:r>
        <w:rPr>
          <w:sz w:val="18"/>
        </w:rPr>
        <w:t>supervisar,</w:t>
      </w:r>
      <w:r>
        <w:rPr>
          <w:spacing w:val="-7"/>
          <w:sz w:val="18"/>
        </w:rPr>
        <w:t> </w:t>
      </w:r>
      <w:r>
        <w:rPr>
          <w:sz w:val="18"/>
        </w:rPr>
        <w:t>opinar,</w:t>
      </w:r>
      <w:r>
        <w:rPr>
          <w:spacing w:val="-7"/>
          <w:sz w:val="18"/>
        </w:rPr>
        <w:t> </w:t>
      </w:r>
      <w:r>
        <w:rPr>
          <w:sz w:val="18"/>
        </w:rPr>
        <w:t>deliberar</w:t>
      </w:r>
      <w:r>
        <w:rPr>
          <w:spacing w:val="-5"/>
          <w:sz w:val="18"/>
        </w:rPr>
        <w:t> </w:t>
      </w:r>
      <w:r>
        <w:rPr>
          <w:sz w:val="18"/>
        </w:rPr>
        <w:t>y,</w:t>
      </w:r>
      <w:r>
        <w:rPr>
          <w:spacing w:val="-8"/>
          <w:sz w:val="18"/>
        </w:rPr>
        <w:t> </w:t>
      </w:r>
      <w:r>
        <w:rPr>
          <w:sz w:val="18"/>
        </w:rPr>
        <w:t>proponer</w:t>
      </w:r>
      <w:r>
        <w:rPr>
          <w:spacing w:val="-8"/>
          <w:sz w:val="18"/>
        </w:rPr>
        <w:t> </w:t>
      </w:r>
      <w:r>
        <w:rPr>
          <w:sz w:val="18"/>
        </w:rPr>
        <w:t>dentro del proceso de coordinación con el Archivo General de la Nación y el Consejo Nacional de Archivos, así como incidir en acciones parlamentarias y generación de políticas públicas del ramo.</w:t>
      </w:r>
    </w:p>
    <w:p>
      <w:pPr>
        <w:pStyle w:val="ListParagraph"/>
        <w:numPr>
          <w:ilvl w:val="1"/>
          <w:numId w:val="58"/>
        </w:numPr>
        <w:tabs>
          <w:tab w:pos="806" w:val="left" w:leader="none"/>
        </w:tabs>
        <w:spacing w:line="278" w:lineRule="auto" w:before="0" w:after="0"/>
        <w:ind w:left="596" w:right="739" w:firstLine="0"/>
        <w:jc w:val="both"/>
        <w:rPr>
          <w:sz w:val="18"/>
        </w:rPr>
      </w:pPr>
      <w:r>
        <w:rPr>
          <w:b/>
          <w:sz w:val="18"/>
        </w:rPr>
        <w:t>Indicadores y Evaluación: </w:t>
      </w:r>
      <w:r>
        <w:rPr>
          <w:sz w:val="18"/>
        </w:rPr>
        <w:t>Supervisar, evaluar, deliberar, proponer y, opinar sobre la adecuada aplicación de los procesos de sustanciación en materia de acceso a la información y protección de datos</w:t>
      </w:r>
      <w:r>
        <w:rPr>
          <w:spacing w:val="-14"/>
          <w:sz w:val="18"/>
        </w:rPr>
        <w:t> </w:t>
      </w:r>
      <w:r>
        <w:rPr>
          <w:sz w:val="18"/>
        </w:rPr>
        <w:t>personales.</w:t>
      </w:r>
    </w:p>
    <w:p>
      <w:pPr>
        <w:pStyle w:val="ListParagraph"/>
        <w:numPr>
          <w:ilvl w:val="1"/>
          <w:numId w:val="58"/>
        </w:numPr>
        <w:tabs>
          <w:tab w:pos="842" w:val="left" w:leader="none"/>
        </w:tabs>
        <w:spacing w:line="276" w:lineRule="auto" w:before="0" w:after="0"/>
        <w:ind w:left="596" w:right="737" w:firstLine="0"/>
        <w:jc w:val="both"/>
        <w:rPr>
          <w:sz w:val="18"/>
        </w:rPr>
      </w:pPr>
      <w:r>
        <w:rPr>
          <w:b/>
          <w:sz w:val="18"/>
        </w:rPr>
        <w:t>Normatividad de Datos Personales: </w:t>
      </w:r>
      <w:r>
        <w:rPr>
          <w:sz w:val="18"/>
        </w:rPr>
        <w:t>Supervisar, opinar, deliberar, proponer y, evaluar dictámenes y opiniones de proyectos de ley, de reglamentos y demás normativa en materia de</w:t>
      </w:r>
      <w:r>
        <w:rPr>
          <w:spacing w:val="-12"/>
          <w:sz w:val="18"/>
        </w:rPr>
        <w:t> </w:t>
      </w:r>
      <w:r>
        <w:rPr>
          <w:sz w:val="18"/>
        </w:rPr>
        <w:t>protección</w:t>
      </w:r>
      <w:r>
        <w:rPr>
          <w:spacing w:val="-15"/>
          <w:sz w:val="18"/>
        </w:rPr>
        <w:t> </w:t>
      </w:r>
      <w:r>
        <w:rPr>
          <w:sz w:val="18"/>
        </w:rPr>
        <w:t>de</w:t>
      </w:r>
      <w:r>
        <w:rPr>
          <w:spacing w:val="-12"/>
          <w:sz w:val="18"/>
        </w:rPr>
        <w:t> </w:t>
      </w:r>
      <w:r>
        <w:rPr>
          <w:sz w:val="18"/>
        </w:rPr>
        <w:t>datos</w:t>
      </w:r>
      <w:r>
        <w:rPr>
          <w:spacing w:val="-14"/>
          <w:sz w:val="18"/>
        </w:rPr>
        <w:t> </w:t>
      </w:r>
      <w:r>
        <w:rPr>
          <w:sz w:val="18"/>
        </w:rPr>
        <w:t>personales,</w:t>
      </w:r>
      <w:r>
        <w:rPr>
          <w:spacing w:val="-12"/>
          <w:sz w:val="18"/>
        </w:rPr>
        <w:t> </w:t>
      </w:r>
      <w:r>
        <w:rPr>
          <w:sz w:val="18"/>
        </w:rPr>
        <w:t>emitir</w:t>
      </w:r>
      <w:r>
        <w:rPr>
          <w:spacing w:val="-13"/>
          <w:sz w:val="18"/>
        </w:rPr>
        <w:t> </w:t>
      </w:r>
      <w:r>
        <w:rPr>
          <w:sz w:val="18"/>
        </w:rPr>
        <w:t>propuestas</w:t>
      </w:r>
      <w:r>
        <w:rPr>
          <w:spacing w:val="-12"/>
          <w:sz w:val="18"/>
        </w:rPr>
        <w:t> </w:t>
      </w:r>
      <w:r>
        <w:rPr>
          <w:sz w:val="18"/>
        </w:rPr>
        <w:t>para</w:t>
      </w:r>
      <w:r>
        <w:rPr>
          <w:spacing w:val="-12"/>
          <w:sz w:val="18"/>
        </w:rPr>
        <w:t> </w:t>
      </w:r>
      <w:r>
        <w:rPr>
          <w:sz w:val="18"/>
        </w:rPr>
        <w:t>su</w:t>
      </w:r>
      <w:r>
        <w:rPr>
          <w:spacing w:val="-14"/>
          <w:sz w:val="18"/>
        </w:rPr>
        <w:t> </w:t>
      </w:r>
      <w:r>
        <w:rPr>
          <w:sz w:val="18"/>
        </w:rPr>
        <w:t>actualización;</w:t>
      </w:r>
      <w:r>
        <w:rPr>
          <w:spacing w:val="-12"/>
          <w:sz w:val="18"/>
        </w:rPr>
        <w:t> </w:t>
      </w:r>
      <w:r>
        <w:rPr>
          <w:sz w:val="18"/>
        </w:rPr>
        <w:t>adoptar</w:t>
      </w:r>
      <w:r>
        <w:rPr>
          <w:spacing w:val="-13"/>
          <w:sz w:val="18"/>
        </w:rPr>
        <w:t> </w:t>
      </w:r>
      <w:r>
        <w:rPr>
          <w:sz w:val="18"/>
        </w:rPr>
        <w:t>esquemas de autorregulación en materia de protección de datos personales, por parte de los sujetos regulados y obligados; establecer mecanismos y criterios para la certificación y acreditación de terceros certificadores en materia de protección de datos</w:t>
      </w:r>
      <w:r>
        <w:rPr>
          <w:spacing w:val="-32"/>
          <w:sz w:val="18"/>
        </w:rPr>
        <w:t> </w:t>
      </w:r>
      <w:r>
        <w:rPr>
          <w:sz w:val="18"/>
        </w:rPr>
        <w:t>personales.</w:t>
      </w:r>
    </w:p>
    <w:p>
      <w:pPr>
        <w:pStyle w:val="ListParagraph"/>
        <w:numPr>
          <w:ilvl w:val="1"/>
          <w:numId w:val="58"/>
        </w:numPr>
        <w:tabs>
          <w:tab w:pos="880" w:val="left" w:leader="none"/>
        </w:tabs>
        <w:spacing w:line="278" w:lineRule="auto" w:before="0" w:after="0"/>
        <w:ind w:left="596" w:right="735" w:firstLine="0"/>
        <w:jc w:val="both"/>
        <w:rPr>
          <w:sz w:val="18"/>
        </w:rPr>
      </w:pPr>
      <w:r>
        <w:rPr>
          <w:b/>
          <w:sz w:val="18"/>
        </w:rPr>
        <w:t>Supervisión, Vigilancia, Verificación y Sanciones: </w:t>
      </w:r>
      <w:r>
        <w:rPr>
          <w:sz w:val="18"/>
        </w:rPr>
        <w:t>Deliberar, proponer, evaluar y supervisar, los procesos de vigilancia y verificación, así como las propuestas de sanción, relacionadas con el cumplimiento de las disposiciones de la Ley Federal de Protección de Datos Personales en Posesión de</w:t>
      </w:r>
      <w:r>
        <w:rPr>
          <w:spacing w:val="-17"/>
          <w:sz w:val="18"/>
        </w:rPr>
        <w:t> </w:t>
      </w:r>
      <w:r>
        <w:rPr>
          <w:sz w:val="18"/>
        </w:rPr>
        <w:t>Particulares.</w:t>
      </w:r>
    </w:p>
    <w:p>
      <w:pPr>
        <w:pStyle w:val="ListParagraph"/>
        <w:numPr>
          <w:ilvl w:val="1"/>
          <w:numId w:val="58"/>
        </w:numPr>
        <w:tabs>
          <w:tab w:pos="803" w:val="left" w:leader="none"/>
        </w:tabs>
        <w:spacing w:line="276" w:lineRule="auto" w:before="0" w:after="0"/>
        <w:ind w:left="596" w:right="734" w:firstLine="0"/>
        <w:jc w:val="both"/>
        <w:rPr>
          <w:sz w:val="18"/>
        </w:rPr>
      </w:pPr>
      <w:r>
        <w:rPr>
          <w:b/>
          <w:sz w:val="18"/>
        </w:rPr>
        <w:t>Tecnologías de la Información: </w:t>
      </w:r>
      <w:r>
        <w:rPr>
          <w:sz w:val="18"/>
        </w:rPr>
        <w:t>Opinar, deliberar, proponer, evaluar y, supervisar la adecuada administración e implementación de las tecnologías de la información y datos, así como</w:t>
      </w:r>
      <w:r>
        <w:rPr>
          <w:spacing w:val="-7"/>
          <w:sz w:val="18"/>
        </w:rPr>
        <w:t> </w:t>
      </w:r>
      <w:r>
        <w:rPr>
          <w:sz w:val="18"/>
        </w:rPr>
        <w:t>desarrollar</w:t>
      </w:r>
      <w:r>
        <w:rPr>
          <w:spacing w:val="-8"/>
          <w:sz w:val="18"/>
        </w:rPr>
        <w:t> </w:t>
      </w:r>
      <w:r>
        <w:rPr>
          <w:sz w:val="18"/>
        </w:rPr>
        <w:t>soluciones</w:t>
      </w:r>
      <w:r>
        <w:rPr>
          <w:spacing w:val="-9"/>
          <w:sz w:val="18"/>
        </w:rPr>
        <w:t> </w:t>
      </w:r>
      <w:r>
        <w:rPr>
          <w:sz w:val="18"/>
        </w:rPr>
        <w:t>basadas</w:t>
      </w:r>
      <w:r>
        <w:rPr>
          <w:spacing w:val="-9"/>
          <w:sz w:val="18"/>
        </w:rPr>
        <w:t> </w:t>
      </w:r>
      <w:r>
        <w:rPr>
          <w:sz w:val="18"/>
        </w:rPr>
        <w:t>en</w:t>
      </w:r>
      <w:r>
        <w:rPr>
          <w:spacing w:val="-7"/>
          <w:sz w:val="18"/>
        </w:rPr>
        <w:t> </w:t>
      </w:r>
      <w:r>
        <w:rPr>
          <w:sz w:val="18"/>
        </w:rPr>
        <w:t>tecnologías</w:t>
      </w:r>
      <w:r>
        <w:rPr>
          <w:spacing w:val="-7"/>
          <w:sz w:val="18"/>
        </w:rPr>
        <w:t> </w:t>
      </w:r>
      <w:r>
        <w:rPr>
          <w:sz w:val="18"/>
        </w:rPr>
        <w:t>de</w:t>
      </w:r>
      <w:r>
        <w:rPr>
          <w:spacing w:val="-10"/>
          <w:sz w:val="18"/>
        </w:rPr>
        <w:t> </w:t>
      </w:r>
      <w:r>
        <w:rPr>
          <w:sz w:val="18"/>
        </w:rPr>
        <w:t>IFAI</w:t>
      </w:r>
      <w:r>
        <w:rPr>
          <w:spacing w:val="-10"/>
          <w:sz w:val="18"/>
        </w:rPr>
        <w:t> </w:t>
      </w:r>
      <w:r>
        <w:rPr>
          <w:sz w:val="18"/>
        </w:rPr>
        <w:t>coordine</w:t>
      </w:r>
      <w:r>
        <w:rPr>
          <w:spacing w:val="-7"/>
          <w:sz w:val="18"/>
        </w:rPr>
        <w:t> </w:t>
      </w:r>
      <w:r>
        <w:rPr>
          <w:sz w:val="18"/>
        </w:rPr>
        <w:t>para</w:t>
      </w:r>
      <w:r>
        <w:rPr>
          <w:spacing w:val="-7"/>
          <w:sz w:val="18"/>
        </w:rPr>
        <w:t> </w:t>
      </w:r>
      <w:r>
        <w:rPr>
          <w:sz w:val="18"/>
        </w:rPr>
        <w:t>el</w:t>
      </w:r>
      <w:r>
        <w:rPr>
          <w:spacing w:val="-7"/>
          <w:sz w:val="18"/>
        </w:rPr>
        <w:t> </w:t>
      </w:r>
      <w:r>
        <w:rPr>
          <w:sz w:val="18"/>
        </w:rPr>
        <w:t>cumplimiento</w:t>
      </w:r>
      <w:r>
        <w:rPr>
          <w:spacing w:val="-9"/>
          <w:sz w:val="18"/>
        </w:rPr>
        <w:t> </w:t>
      </w:r>
      <w:r>
        <w:rPr>
          <w:sz w:val="18"/>
        </w:rPr>
        <w:t>de los</w:t>
      </w:r>
      <w:r>
        <w:rPr>
          <w:spacing w:val="-11"/>
          <w:sz w:val="18"/>
        </w:rPr>
        <w:t> </w:t>
      </w:r>
      <w:r>
        <w:rPr>
          <w:sz w:val="18"/>
        </w:rPr>
        <w:t>compromisos</w:t>
      </w:r>
      <w:r>
        <w:rPr>
          <w:spacing w:val="-11"/>
          <w:sz w:val="18"/>
        </w:rPr>
        <w:t> </w:t>
      </w:r>
      <w:r>
        <w:rPr>
          <w:sz w:val="18"/>
        </w:rPr>
        <w:t>de</w:t>
      </w:r>
      <w:r>
        <w:rPr>
          <w:spacing w:val="-9"/>
          <w:sz w:val="18"/>
        </w:rPr>
        <w:t> </w:t>
      </w:r>
      <w:r>
        <w:rPr>
          <w:sz w:val="18"/>
        </w:rPr>
        <w:t>México</w:t>
      </w:r>
      <w:r>
        <w:rPr>
          <w:spacing w:val="-9"/>
          <w:sz w:val="18"/>
        </w:rPr>
        <w:t> </w:t>
      </w:r>
      <w:r>
        <w:rPr>
          <w:sz w:val="18"/>
        </w:rPr>
        <w:t>frente</w:t>
      </w:r>
      <w:r>
        <w:rPr>
          <w:spacing w:val="-8"/>
          <w:sz w:val="18"/>
        </w:rPr>
        <w:t> </w:t>
      </w:r>
      <w:r>
        <w:rPr>
          <w:sz w:val="18"/>
        </w:rPr>
        <w:t>a</w:t>
      </w:r>
      <w:r>
        <w:rPr>
          <w:spacing w:val="-11"/>
          <w:sz w:val="18"/>
        </w:rPr>
        <w:t> </w:t>
      </w:r>
      <w:r>
        <w:rPr>
          <w:sz w:val="18"/>
        </w:rPr>
        <w:t>la</w:t>
      </w:r>
      <w:r>
        <w:rPr>
          <w:spacing w:val="-9"/>
          <w:sz w:val="18"/>
        </w:rPr>
        <w:t> </w:t>
      </w:r>
      <w:r>
        <w:rPr>
          <w:sz w:val="18"/>
        </w:rPr>
        <w:t>Alianza</w:t>
      </w:r>
      <w:r>
        <w:rPr>
          <w:spacing w:val="-11"/>
          <w:sz w:val="18"/>
        </w:rPr>
        <w:t> </w:t>
      </w:r>
      <w:r>
        <w:rPr>
          <w:sz w:val="18"/>
        </w:rPr>
        <w:t>para</w:t>
      </w:r>
      <w:r>
        <w:rPr>
          <w:spacing w:val="-11"/>
          <w:sz w:val="18"/>
        </w:rPr>
        <w:t> </w:t>
      </w:r>
      <w:r>
        <w:rPr>
          <w:sz w:val="18"/>
        </w:rPr>
        <w:t>el</w:t>
      </w:r>
      <w:r>
        <w:rPr>
          <w:spacing w:val="-9"/>
          <w:sz w:val="18"/>
        </w:rPr>
        <w:t> </w:t>
      </w:r>
      <w:r>
        <w:rPr>
          <w:sz w:val="18"/>
        </w:rPr>
        <w:t>Gobierno</w:t>
      </w:r>
      <w:r>
        <w:rPr>
          <w:spacing w:val="-9"/>
          <w:sz w:val="18"/>
        </w:rPr>
        <w:t> </w:t>
      </w:r>
      <w:r>
        <w:rPr>
          <w:sz w:val="18"/>
        </w:rPr>
        <w:t>Abierto</w:t>
      </w:r>
      <w:r>
        <w:rPr>
          <w:spacing w:val="-8"/>
          <w:sz w:val="18"/>
        </w:rPr>
        <w:t> </w:t>
      </w:r>
      <w:r>
        <w:rPr>
          <w:sz w:val="18"/>
        </w:rPr>
        <w:t>y</w:t>
      </w:r>
      <w:r>
        <w:rPr>
          <w:spacing w:val="-13"/>
          <w:sz w:val="18"/>
        </w:rPr>
        <w:t> </w:t>
      </w:r>
      <w:r>
        <w:rPr>
          <w:sz w:val="18"/>
        </w:rPr>
        <w:t>sobre</w:t>
      </w:r>
      <w:r>
        <w:rPr>
          <w:spacing w:val="-11"/>
          <w:sz w:val="18"/>
        </w:rPr>
        <w:t> </w:t>
      </w:r>
      <w:r>
        <w:rPr>
          <w:sz w:val="18"/>
        </w:rPr>
        <w:t>las</w:t>
      </w:r>
      <w:r>
        <w:rPr>
          <w:spacing w:val="-8"/>
          <w:sz w:val="18"/>
        </w:rPr>
        <w:t> </w:t>
      </w:r>
      <w:r>
        <w:rPr>
          <w:sz w:val="18"/>
        </w:rPr>
        <w:t>estrategias encaminadas a propiciar espacios de colaboración entre las instituciones públicas y la sociedad para el uso estratégico de la información pública. Así como establecer bases y criterios para promover la apertura de las instituciones, conforme a los mecanismos de gobierno</w:t>
      </w:r>
      <w:r>
        <w:rPr>
          <w:spacing w:val="-9"/>
          <w:sz w:val="18"/>
        </w:rPr>
        <w:t> </w:t>
      </w:r>
      <w:r>
        <w:rPr>
          <w:sz w:val="18"/>
        </w:rPr>
        <w:t>abierto.</w:t>
      </w:r>
    </w:p>
    <w:p>
      <w:pPr>
        <w:pStyle w:val="ListParagraph"/>
        <w:numPr>
          <w:ilvl w:val="0"/>
          <w:numId w:val="62"/>
        </w:numPr>
        <w:tabs>
          <w:tab w:pos="844" w:val="left" w:leader="none"/>
        </w:tabs>
        <w:spacing w:line="276" w:lineRule="auto" w:before="0" w:after="0"/>
        <w:ind w:left="596" w:right="737" w:firstLine="0"/>
        <w:jc w:val="both"/>
        <w:rPr>
          <w:sz w:val="18"/>
        </w:rPr>
      </w:pPr>
      <w:r>
        <w:rPr>
          <w:b/>
          <w:sz w:val="18"/>
        </w:rPr>
        <w:t>Vinculación con Estados y Municipios: </w:t>
      </w:r>
      <w:r>
        <w:rPr>
          <w:sz w:val="18"/>
        </w:rPr>
        <w:t>Deliberar, proponer, supervisar y establecer estrategias para desarrollar una agenda de colaboración con actores relevantes en las materias</w:t>
      </w:r>
      <w:r>
        <w:rPr>
          <w:spacing w:val="-13"/>
          <w:sz w:val="18"/>
        </w:rPr>
        <w:t> </w:t>
      </w:r>
      <w:r>
        <w:rPr>
          <w:sz w:val="18"/>
        </w:rPr>
        <w:t>del</w:t>
      </w:r>
      <w:r>
        <w:rPr>
          <w:spacing w:val="-13"/>
          <w:sz w:val="18"/>
        </w:rPr>
        <w:t> </w:t>
      </w:r>
      <w:r>
        <w:rPr>
          <w:sz w:val="18"/>
        </w:rPr>
        <w:t>Instituto,</w:t>
      </w:r>
      <w:r>
        <w:rPr>
          <w:spacing w:val="-11"/>
          <w:sz w:val="18"/>
        </w:rPr>
        <w:t> </w:t>
      </w:r>
      <w:r>
        <w:rPr>
          <w:sz w:val="18"/>
        </w:rPr>
        <w:t>así</w:t>
      </w:r>
      <w:r>
        <w:rPr>
          <w:spacing w:val="-11"/>
          <w:sz w:val="18"/>
        </w:rPr>
        <w:t> </w:t>
      </w:r>
      <w:r>
        <w:rPr>
          <w:sz w:val="18"/>
        </w:rPr>
        <w:t>como</w:t>
      </w:r>
      <w:r>
        <w:rPr>
          <w:spacing w:val="-13"/>
          <w:sz w:val="18"/>
        </w:rPr>
        <w:t> </w:t>
      </w:r>
      <w:r>
        <w:rPr>
          <w:sz w:val="18"/>
        </w:rPr>
        <w:t>opinar</w:t>
      </w:r>
      <w:r>
        <w:rPr>
          <w:spacing w:val="-12"/>
          <w:sz w:val="18"/>
        </w:rPr>
        <w:t> </w:t>
      </w:r>
      <w:r>
        <w:rPr>
          <w:sz w:val="18"/>
        </w:rPr>
        <w:t>sobre</w:t>
      </w:r>
      <w:r>
        <w:rPr>
          <w:spacing w:val="-11"/>
          <w:sz w:val="18"/>
        </w:rPr>
        <w:t> </w:t>
      </w:r>
      <w:r>
        <w:rPr>
          <w:sz w:val="18"/>
        </w:rPr>
        <w:t>políticas</w:t>
      </w:r>
      <w:r>
        <w:rPr>
          <w:spacing w:val="-11"/>
          <w:sz w:val="18"/>
        </w:rPr>
        <w:t> </w:t>
      </w:r>
      <w:r>
        <w:rPr>
          <w:sz w:val="18"/>
        </w:rPr>
        <w:t>públicas</w:t>
      </w:r>
      <w:r>
        <w:rPr>
          <w:spacing w:val="-13"/>
          <w:sz w:val="18"/>
        </w:rPr>
        <w:t> </w:t>
      </w:r>
      <w:r>
        <w:rPr>
          <w:sz w:val="18"/>
        </w:rPr>
        <w:t>con</w:t>
      </w:r>
      <w:r>
        <w:rPr>
          <w:spacing w:val="-11"/>
          <w:sz w:val="18"/>
        </w:rPr>
        <w:t> </w:t>
      </w:r>
      <w:r>
        <w:rPr>
          <w:sz w:val="18"/>
        </w:rPr>
        <w:t>los</w:t>
      </w:r>
      <w:r>
        <w:rPr>
          <w:spacing w:val="-11"/>
          <w:sz w:val="18"/>
        </w:rPr>
        <w:t> </w:t>
      </w:r>
      <w:r>
        <w:rPr>
          <w:sz w:val="18"/>
        </w:rPr>
        <w:t>tres</w:t>
      </w:r>
      <w:r>
        <w:rPr>
          <w:spacing w:val="-13"/>
          <w:sz w:val="18"/>
        </w:rPr>
        <w:t> </w:t>
      </w:r>
      <w:r>
        <w:rPr>
          <w:sz w:val="18"/>
        </w:rPr>
        <w:t>niveles</w:t>
      </w:r>
      <w:r>
        <w:rPr>
          <w:spacing w:val="-11"/>
          <w:sz w:val="18"/>
        </w:rPr>
        <w:t> </w:t>
      </w:r>
      <w:r>
        <w:rPr>
          <w:sz w:val="18"/>
        </w:rPr>
        <w:t>de</w:t>
      </w:r>
      <w:r>
        <w:rPr>
          <w:spacing w:val="-14"/>
          <w:sz w:val="18"/>
        </w:rPr>
        <w:t> </w:t>
      </w:r>
      <w:r>
        <w:rPr>
          <w:sz w:val="18"/>
        </w:rPr>
        <w:t>gobierno, para establecer bases de coordinación tendentes a la difusión del derecho de acceso a la información, protección de datos personales y gestión</w:t>
      </w:r>
      <w:r>
        <w:rPr>
          <w:spacing w:val="-27"/>
          <w:sz w:val="18"/>
        </w:rPr>
        <w:t> </w:t>
      </w:r>
      <w:r>
        <w:rPr>
          <w:sz w:val="18"/>
        </w:rPr>
        <w:t>documental.</w:t>
      </w:r>
    </w:p>
    <w:p>
      <w:pPr>
        <w:pStyle w:val="ListParagraph"/>
        <w:numPr>
          <w:ilvl w:val="0"/>
          <w:numId w:val="62"/>
        </w:numPr>
        <w:tabs>
          <w:tab w:pos="784" w:val="left" w:leader="none"/>
        </w:tabs>
        <w:spacing w:line="280" w:lineRule="auto" w:before="0" w:after="0"/>
        <w:ind w:left="596" w:right="737" w:firstLine="0"/>
        <w:jc w:val="both"/>
        <w:rPr>
          <w:sz w:val="18"/>
        </w:rPr>
      </w:pPr>
      <w:r>
        <w:rPr>
          <w:b/>
          <w:sz w:val="18"/>
        </w:rPr>
        <w:t>Vinculación con Nuevos Sujetos Obligados: </w:t>
      </w:r>
      <w:r>
        <w:rPr>
          <w:sz w:val="18"/>
        </w:rPr>
        <w:t>Supervisar, opinar, deliberar, proponer y evaluar los canales</w:t>
      </w:r>
      <w:r>
        <w:rPr>
          <w:spacing w:val="-10"/>
          <w:sz w:val="18"/>
        </w:rPr>
        <w:t> </w:t>
      </w:r>
      <w:r>
        <w:rPr>
          <w:sz w:val="18"/>
        </w:rPr>
        <w:t>de</w:t>
      </w:r>
    </w:p>
    <w:p>
      <w:pPr>
        <w:spacing w:line="276" w:lineRule="auto" w:before="0"/>
        <w:ind w:left="596" w:right="740" w:firstLine="0"/>
        <w:jc w:val="both"/>
        <w:rPr>
          <w:sz w:val="18"/>
        </w:rPr>
      </w:pPr>
      <w:r>
        <w:rPr>
          <w:sz w:val="18"/>
        </w:rPr>
        <w:t>comunicación con sujetos obligados y regulados, tales como, partidos políticos, sindicatos y cualquier persona que reciba recursos públicos, para una correcta gestión y manejo de los datos personales, promoviendo mecanismos que impulsen el cumplimiento de las disposiciones normativas en la materia.</w:t>
      </w:r>
    </w:p>
    <w:p>
      <w:pPr>
        <w:pStyle w:val="ListParagraph"/>
        <w:numPr>
          <w:ilvl w:val="0"/>
          <w:numId w:val="62"/>
        </w:numPr>
        <w:tabs>
          <w:tab w:pos="913" w:val="left" w:leader="none"/>
        </w:tabs>
        <w:spacing w:line="280" w:lineRule="auto" w:before="0" w:after="0"/>
        <w:ind w:left="596" w:right="734" w:firstLine="0"/>
        <w:jc w:val="both"/>
        <w:rPr>
          <w:sz w:val="18"/>
        </w:rPr>
      </w:pPr>
      <w:r>
        <w:rPr>
          <w:b/>
          <w:sz w:val="18"/>
        </w:rPr>
        <w:t>Vinculación y Promoción del Derecho: </w:t>
      </w:r>
      <w:r>
        <w:rPr>
          <w:sz w:val="18"/>
        </w:rPr>
        <w:t>Proponer, deliberar, supervisar y opinar el desarrollo</w:t>
      </w:r>
      <w:r>
        <w:rPr>
          <w:spacing w:val="31"/>
          <w:sz w:val="18"/>
        </w:rPr>
        <w:t> </w:t>
      </w:r>
      <w:r>
        <w:rPr>
          <w:sz w:val="18"/>
        </w:rPr>
        <w:t>de</w:t>
      </w:r>
      <w:r>
        <w:rPr>
          <w:spacing w:val="31"/>
          <w:sz w:val="18"/>
        </w:rPr>
        <w:t> </w:t>
      </w:r>
      <w:r>
        <w:rPr>
          <w:sz w:val="18"/>
        </w:rPr>
        <w:t>programas</w:t>
      </w:r>
      <w:r>
        <w:rPr>
          <w:spacing w:val="31"/>
          <w:sz w:val="18"/>
        </w:rPr>
        <w:t> </w:t>
      </w:r>
      <w:r>
        <w:rPr>
          <w:sz w:val="18"/>
        </w:rPr>
        <w:t>de</w:t>
      </w:r>
      <w:r>
        <w:rPr>
          <w:spacing w:val="31"/>
          <w:sz w:val="18"/>
        </w:rPr>
        <w:t> </w:t>
      </w:r>
      <w:r>
        <w:rPr>
          <w:sz w:val="18"/>
        </w:rPr>
        <w:t>asesoría</w:t>
      </w:r>
      <w:r>
        <w:rPr>
          <w:spacing w:val="31"/>
          <w:sz w:val="18"/>
        </w:rPr>
        <w:t> </w:t>
      </w:r>
      <w:r>
        <w:rPr>
          <w:sz w:val="18"/>
        </w:rPr>
        <w:t>y</w:t>
      </w:r>
      <w:r>
        <w:rPr>
          <w:spacing w:val="30"/>
          <w:sz w:val="18"/>
        </w:rPr>
        <w:t> </w:t>
      </w:r>
      <w:r>
        <w:rPr>
          <w:sz w:val="18"/>
        </w:rPr>
        <w:t>orientación</w:t>
      </w:r>
      <w:r>
        <w:rPr>
          <w:spacing w:val="31"/>
          <w:sz w:val="18"/>
        </w:rPr>
        <w:t> </w:t>
      </w:r>
      <w:r>
        <w:rPr>
          <w:sz w:val="18"/>
        </w:rPr>
        <w:t>a</w:t>
      </w:r>
      <w:r>
        <w:rPr>
          <w:spacing w:val="31"/>
          <w:sz w:val="18"/>
        </w:rPr>
        <w:t> </w:t>
      </w:r>
      <w:r>
        <w:rPr>
          <w:sz w:val="18"/>
        </w:rPr>
        <w:t>la</w:t>
      </w:r>
      <w:r>
        <w:rPr>
          <w:spacing w:val="31"/>
          <w:sz w:val="18"/>
        </w:rPr>
        <w:t> </w:t>
      </w:r>
      <w:r>
        <w:rPr>
          <w:sz w:val="18"/>
        </w:rPr>
        <w:t>ciudadanía</w:t>
      </w:r>
      <w:r>
        <w:rPr>
          <w:spacing w:val="31"/>
          <w:sz w:val="18"/>
        </w:rPr>
        <w:t> </w:t>
      </w:r>
      <w:r>
        <w:rPr>
          <w:sz w:val="18"/>
        </w:rPr>
        <w:t>en</w:t>
      </w:r>
      <w:r>
        <w:rPr>
          <w:spacing w:val="29"/>
          <w:sz w:val="18"/>
        </w:rPr>
        <w:t> </w:t>
      </w:r>
      <w:r>
        <w:rPr>
          <w:sz w:val="18"/>
        </w:rPr>
        <w:t>general,</w:t>
      </w:r>
      <w:r>
        <w:rPr>
          <w:spacing w:val="31"/>
          <w:sz w:val="18"/>
        </w:rPr>
        <w:t> </w:t>
      </w:r>
      <w:r>
        <w:rPr>
          <w:sz w:val="18"/>
        </w:rPr>
        <w:t>así</w:t>
      </w:r>
      <w:r>
        <w:rPr>
          <w:spacing w:val="42"/>
          <w:sz w:val="18"/>
        </w:rPr>
        <w:t> </w:t>
      </w:r>
      <w:r>
        <w:rPr>
          <w:sz w:val="18"/>
        </w:rPr>
        <w:t>como</w:t>
      </w:r>
    </w:p>
    <w:p>
      <w:pPr>
        <w:spacing w:after="0" w:line="280" w:lineRule="auto"/>
        <w:jc w:val="both"/>
        <w:rPr>
          <w:sz w:val="18"/>
        </w:rPr>
        <w:sectPr>
          <w:pgSz w:w="12240" w:h="15840"/>
          <w:pgMar w:header="0" w:footer="1035" w:top="1360" w:bottom="1220" w:left="1720" w:right="1720"/>
        </w:sectPr>
      </w:pPr>
    </w:p>
    <w:p>
      <w:pPr>
        <w:spacing w:line="278" w:lineRule="auto" w:before="55"/>
        <w:ind w:left="836" w:right="999" w:firstLine="0"/>
        <w:jc w:val="left"/>
        <w:rPr>
          <w:sz w:val="18"/>
        </w:rPr>
      </w:pPr>
      <w:r>
        <w:rPr>
          <w:sz w:val="18"/>
        </w:rPr>
        <w:t>promover la generación de documentos de divulgación en materia de acceso a la información y protección de datos (DOF, 10/09/2014).</w:t>
      </w:r>
    </w:p>
    <w:p>
      <w:pPr>
        <w:pStyle w:val="BodyText"/>
        <w:rPr>
          <w:sz w:val="18"/>
        </w:rPr>
      </w:pPr>
    </w:p>
    <w:p>
      <w:pPr>
        <w:pStyle w:val="BodyText"/>
        <w:spacing w:before="7"/>
        <w:rPr>
          <w:sz w:val="17"/>
        </w:rPr>
      </w:pPr>
    </w:p>
    <w:p>
      <w:pPr>
        <w:pStyle w:val="BodyText"/>
        <w:spacing w:line="360" w:lineRule="auto"/>
        <w:ind w:left="128" w:right="256"/>
        <w:jc w:val="both"/>
      </w:pPr>
      <w:r>
        <w:rPr/>
        <w:t>Sin embargo, no se ha publicado información de las acciones realizadas por las comisiones, tampoco con programas de trabajo que indiquen cómo van a dar cumplimiento a los objetivos asignados a dichas comisiones. Es este sentido, la transparencia que promueven los gobernantes sigue siendo más un discurso que una realidad dentro de las prácticas administrativas gubernamentales. Es un compromiso</w:t>
      </w:r>
      <w:r>
        <w:rPr>
          <w:spacing w:val="-14"/>
        </w:rPr>
        <w:t> </w:t>
      </w:r>
      <w:r>
        <w:rPr/>
        <w:t>en</w:t>
      </w:r>
      <w:r>
        <w:rPr>
          <w:spacing w:val="-14"/>
        </w:rPr>
        <w:t> </w:t>
      </w:r>
      <w:r>
        <w:rPr/>
        <w:t>el</w:t>
      </w:r>
      <w:r>
        <w:rPr>
          <w:spacing w:val="-13"/>
        </w:rPr>
        <w:t> </w:t>
      </w:r>
      <w:r>
        <w:rPr/>
        <w:t>que</w:t>
      </w:r>
      <w:r>
        <w:rPr>
          <w:spacing w:val="-16"/>
        </w:rPr>
        <w:t> </w:t>
      </w:r>
      <w:r>
        <w:rPr/>
        <w:t>predomina</w:t>
      </w:r>
      <w:r>
        <w:rPr>
          <w:spacing w:val="-14"/>
        </w:rPr>
        <w:t> </w:t>
      </w:r>
      <w:r>
        <w:rPr/>
        <w:t>la</w:t>
      </w:r>
      <w:r>
        <w:rPr>
          <w:spacing w:val="-17"/>
        </w:rPr>
        <w:t> </w:t>
      </w:r>
      <w:r>
        <w:rPr/>
        <w:t>formalidad</w:t>
      </w:r>
      <w:r>
        <w:rPr>
          <w:spacing w:val="-7"/>
        </w:rPr>
        <w:t> </w:t>
      </w:r>
      <w:r>
        <w:rPr/>
        <w:t>institucional</w:t>
      </w:r>
      <w:r>
        <w:rPr>
          <w:spacing w:val="-13"/>
        </w:rPr>
        <w:t> </w:t>
      </w:r>
      <w:r>
        <w:rPr/>
        <w:t>de</w:t>
      </w:r>
      <w:r>
        <w:rPr>
          <w:spacing w:val="-12"/>
        </w:rPr>
        <w:t> </w:t>
      </w:r>
      <w:r>
        <w:rPr/>
        <w:t>la</w:t>
      </w:r>
      <w:r>
        <w:rPr>
          <w:spacing w:val="-14"/>
        </w:rPr>
        <w:t> </w:t>
      </w:r>
      <w:r>
        <w:rPr/>
        <w:t>transparencia,</w:t>
      </w:r>
      <w:r>
        <w:rPr>
          <w:spacing w:val="-11"/>
        </w:rPr>
        <w:t> </w:t>
      </w:r>
      <w:r>
        <w:rPr/>
        <w:t>pero falta práctica de la</w:t>
      </w:r>
      <w:r>
        <w:rPr>
          <w:spacing w:val="-7"/>
        </w:rPr>
        <w:t> </w:t>
      </w:r>
      <w:r>
        <w:rPr/>
        <w:t>misma.</w:t>
      </w:r>
    </w:p>
    <w:p>
      <w:pPr>
        <w:pStyle w:val="BodyText"/>
      </w:pPr>
    </w:p>
    <w:p>
      <w:pPr>
        <w:pStyle w:val="BodyText"/>
        <w:spacing w:line="360" w:lineRule="auto" w:before="142"/>
        <w:ind w:left="128" w:right="257"/>
        <w:jc w:val="both"/>
      </w:pPr>
      <w:r>
        <w:rPr/>
        <w:t>De igual manera se pueden observar los escenarios discursivos de los gobernantes en los planes de desarrollo, ya que durante el texto del plan se hace referencia a la transparencia, el acceso de información y la participación ciudadana como mecanismos prioritarios de gobierno. Tal como se puede observar en la siguiente tabla:</w:t>
      </w:r>
    </w:p>
    <w:p>
      <w:pPr>
        <w:pStyle w:val="BodyText"/>
        <w:rPr>
          <w:sz w:val="20"/>
        </w:rPr>
      </w:pPr>
    </w:p>
    <w:p>
      <w:pPr>
        <w:pStyle w:val="BodyText"/>
        <w:spacing w:before="5" w:after="1"/>
        <w:rPr>
          <w:sz w:val="16"/>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09"/>
        <w:gridCol w:w="2115"/>
        <w:gridCol w:w="1659"/>
        <w:gridCol w:w="1742"/>
        <w:gridCol w:w="1844"/>
      </w:tblGrid>
      <w:tr>
        <w:trPr>
          <w:trHeight w:val="425" w:hRule="exact"/>
        </w:trPr>
        <w:tc>
          <w:tcPr>
            <w:tcW w:w="9069" w:type="dxa"/>
            <w:gridSpan w:val="5"/>
            <w:shd w:val="clear" w:color="auto" w:fill="92D050"/>
          </w:tcPr>
          <w:p>
            <w:pPr>
              <w:pStyle w:val="TableParagraph"/>
              <w:ind w:left="103"/>
              <w:jc w:val="left"/>
              <w:rPr>
                <w:b/>
                <w:sz w:val="18"/>
              </w:rPr>
            </w:pPr>
            <w:r>
              <w:rPr>
                <w:b/>
                <w:sz w:val="18"/>
              </w:rPr>
              <w:t>Tabla 4.4. Escenario discursivo sobre el GA en los planes de desarrollo del Estado de México (1999- 2017)</w:t>
            </w:r>
          </w:p>
        </w:tc>
      </w:tr>
      <w:tr>
        <w:trPr>
          <w:trHeight w:val="632" w:hRule="exact"/>
        </w:trPr>
        <w:tc>
          <w:tcPr>
            <w:tcW w:w="1709" w:type="dxa"/>
            <w:shd w:val="clear" w:color="auto" w:fill="92D050"/>
          </w:tcPr>
          <w:p>
            <w:pPr>
              <w:pStyle w:val="TableParagraph"/>
              <w:spacing w:line="202" w:lineRule="exact"/>
              <w:ind w:left="103" w:right="85"/>
              <w:jc w:val="left"/>
              <w:rPr>
                <w:b/>
                <w:sz w:val="18"/>
              </w:rPr>
            </w:pPr>
            <w:r>
              <w:rPr>
                <w:b/>
                <w:sz w:val="18"/>
              </w:rPr>
              <w:t>Gobernador</w:t>
            </w:r>
          </w:p>
        </w:tc>
        <w:tc>
          <w:tcPr>
            <w:tcW w:w="2115" w:type="dxa"/>
            <w:shd w:val="clear" w:color="auto" w:fill="92D050"/>
          </w:tcPr>
          <w:p>
            <w:pPr>
              <w:pStyle w:val="TableParagraph"/>
              <w:ind w:left="103" w:right="131"/>
              <w:jc w:val="left"/>
              <w:rPr>
                <w:b/>
                <w:sz w:val="18"/>
              </w:rPr>
            </w:pPr>
            <w:r>
              <w:rPr>
                <w:b/>
                <w:sz w:val="18"/>
              </w:rPr>
              <w:t>Conceptos de GA mencionados en Plan de Desarrollo</w:t>
            </w:r>
          </w:p>
        </w:tc>
        <w:tc>
          <w:tcPr>
            <w:tcW w:w="1659" w:type="dxa"/>
            <w:shd w:val="clear" w:color="auto" w:fill="92D050"/>
          </w:tcPr>
          <w:p>
            <w:pPr>
              <w:pStyle w:val="TableParagraph"/>
              <w:ind w:left="103" w:right="405"/>
              <w:jc w:val="left"/>
              <w:rPr>
                <w:b/>
                <w:sz w:val="18"/>
              </w:rPr>
            </w:pPr>
            <w:r>
              <w:rPr>
                <w:b/>
                <w:sz w:val="18"/>
              </w:rPr>
              <w:t>Número de veces que se menciona</w:t>
            </w:r>
          </w:p>
        </w:tc>
        <w:tc>
          <w:tcPr>
            <w:tcW w:w="1742" w:type="dxa"/>
            <w:shd w:val="clear" w:color="auto" w:fill="92D050"/>
          </w:tcPr>
          <w:p>
            <w:pPr>
              <w:pStyle w:val="TableParagraph"/>
              <w:ind w:left="103" w:right="119"/>
              <w:jc w:val="left"/>
              <w:rPr>
                <w:b/>
                <w:sz w:val="18"/>
              </w:rPr>
            </w:pPr>
            <w:r>
              <w:rPr>
                <w:b/>
                <w:sz w:val="18"/>
              </w:rPr>
              <w:t>Número de veces que se queda en discurso</w:t>
            </w:r>
          </w:p>
        </w:tc>
        <w:tc>
          <w:tcPr>
            <w:tcW w:w="1844" w:type="dxa"/>
            <w:shd w:val="clear" w:color="auto" w:fill="92D050"/>
          </w:tcPr>
          <w:p>
            <w:pPr>
              <w:pStyle w:val="TableParagraph"/>
              <w:ind w:left="103" w:right="220"/>
              <w:jc w:val="left"/>
              <w:rPr>
                <w:b/>
                <w:sz w:val="18"/>
              </w:rPr>
            </w:pPr>
            <w:r>
              <w:rPr>
                <w:b/>
                <w:sz w:val="18"/>
              </w:rPr>
              <w:t>Número de veces que se convierte en objetivo</w:t>
            </w:r>
          </w:p>
        </w:tc>
      </w:tr>
      <w:tr>
        <w:trPr>
          <w:trHeight w:val="310" w:hRule="exact"/>
        </w:trPr>
        <w:tc>
          <w:tcPr>
            <w:tcW w:w="1709" w:type="dxa"/>
            <w:vMerge w:val="restart"/>
          </w:tcPr>
          <w:p>
            <w:pPr>
              <w:pStyle w:val="TableParagraph"/>
              <w:jc w:val="left"/>
              <w:rPr>
                <w:sz w:val="18"/>
              </w:rPr>
            </w:pPr>
          </w:p>
          <w:p>
            <w:pPr>
              <w:pStyle w:val="TableParagraph"/>
              <w:spacing w:before="9"/>
              <w:jc w:val="left"/>
              <w:rPr>
                <w:sz w:val="17"/>
              </w:rPr>
            </w:pPr>
          </w:p>
          <w:p>
            <w:pPr>
              <w:pStyle w:val="TableParagraph"/>
              <w:ind w:left="103" w:right="85"/>
              <w:jc w:val="left"/>
              <w:rPr>
                <w:sz w:val="18"/>
              </w:rPr>
            </w:pPr>
            <w:r>
              <w:rPr>
                <w:sz w:val="18"/>
              </w:rPr>
              <w:t>Arturo Montiel Rojas (1999-2005)</w:t>
            </w:r>
          </w:p>
        </w:tc>
        <w:tc>
          <w:tcPr>
            <w:tcW w:w="2115" w:type="dxa"/>
          </w:tcPr>
          <w:p>
            <w:pPr>
              <w:pStyle w:val="TableParagraph"/>
              <w:spacing w:line="206" w:lineRule="exact"/>
              <w:ind w:left="103" w:right="131"/>
              <w:jc w:val="left"/>
              <w:rPr>
                <w:sz w:val="18"/>
              </w:rPr>
            </w:pPr>
            <w:r>
              <w:rPr>
                <w:sz w:val="18"/>
              </w:rPr>
              <w:t>Transparencia</w:t>
            </w:r>
          </w:p>
        </w:tc>
        <w:tc>
          <w:tcPr>
            <w:tcW w:w="1659" w:type="dxa"/>
          </w:tcPr>
          <w:p>
            <w:pPr>
              <w:pStyle w:val="TableParagraph"/>
              <w:spacing w:line="206" w:lineRule="exact"/>
              <w:ind w:left="724" w:right="405"/>
              <w:jc w:val="left"/>
              <w:rPr>
                <w:sz w:val="18"/>
              </w:rPr>
            </w:pPr>
            <w:r>
              <w:rPr>
                <w:sz w:val="18"/>
              </w:rPr>
              <w:t>17</w:t>
            </w:r>
          </w:p>
        </w:tc>
        <w:tc>
          <w:tcPr>
            <w:tcW w:w="1742" w:type="dxa"/>
          </w:tcPr>
          <w:p>
            <w:pPr>
              <w:pStyle w:val="TableParagraph"/>
              <w:spacing w:line="206" w:lineRule="exact"/>
              <w:ind w:left="698" w:right="694"/>
              <w:rPr>
                <w:sz w:val="18"/>
              </w:rPr>
            </w:pPr>
            <w:r>
              <w:rPr>
                <w:sz w:val="18"/>
              </w:rPr>
              <w:t>13</w:t>
            </w:r>
          </w:p>
        </w:tc>
        <w:tc>
          <w:tcPr>
            <w:tcW w:w="1844" w:type="dxa"/>
          </w:tcPr>
          <w:p>
            <w:pPr>
              <w:pStyle w:val="TableParagraph"/>
              <w:spacing w:line="206" w:lineRule="exact"/>
              <w:ind w:right="865"/>
              <w:jc w:val="right"/>
              <w:rPr>
                <w:sz w:val="18"/>
              </w:rPr>
            </w:pPr>
            <w:r>
              <w:rPr>
                <w:w w:val="99"/>
                <w:sz w:val="18"/>
              </w:rPr>
              <w:t>4</w:t>
            </w:r>
          </w:p>
        </w:tc>
      </w:tr>
      <w:tr>
        <w:trPr>
          <w:trHeight w:val="422" w:hRule="exact"/>
        </w:trPr>
        <w:tc>
          <w:tcPr>
            <w:tcW w:w="1709" w:type="dxa"/>
            <w:vMerge/>
          </w:tcPr>
          <w:p>
            <w:pPr/>
          </w:p>
        </w:tc>
        <w:tc>
          <w:tcPr>
            <w:tcW w:w="2115" w:type="dxa"/>
          </w:tcPr>
          <w:p>
            <w:pPr>
              <w:pStyle w:val="TableParagraph"/>
              <w:ind w:left="103" w:right="1051"/>
              <w:jc w:val="left"/>
              <w:rPr>
                <w:sz w:val="18"/>
              </w:rPr>
            </w:pPr>
            <w:r>
              <w:rPr>
                <w:sz w:val="18"/>
              </w:rPr>
              <w:t>Acceso a la información</w:t>
            </w:r>
          </w:p>
        </w:tc>
        <w:tc>
          <w:tcPr>
            <w:tcW w:w="1659" w:type="dxa"/>
          </w:tcPr>
          <w:p>
            <w:pPr>
              <w:pStyle w:val="TableParagraph"/>
              <w:spacing w:line="206" w:lineRule="exact"/>
              <w:ind w:right="1"/>
              <w:rPr>
                <w:sz w:val="18"/>
              </w:rPr>
            </w:pPr>
            <w:r>
              <w:rPr>
                <w:w w:val="99"/>
                <w:sz w:val="18"/>
              </w:rPr>
              <w:t>5</w:t>
            </w:r>
          </w:p>
        </w:tc>
        <w:tc>
          <w:tcPr>
            <w:tcW w:w="1742" w:type="dxa"/>
          </w:tcPr>
          <w:p>
            <w:pPr>
              <w:pStyle w:val="TableParagraph"/>
              <w:spacing w:line="206" w:lineRule="exact"/>
              <w:rPr>
                <w:sz w:val="18"/>
              </w:rPr>
            </w:pPr>
            <w:r>
              <w:rPr>
                <w:w w:val="99"/>
                <w:sz w:val="18"/>
              </w:rPr>
              <w:t>5</w:t>
            </w:r>
          </w:p>
        </w:tc>
        <w:tc>
          <w:tcPr>
            <w:tcW w:w="1844" w:type="dxa"/>
          </w:tcPr>
          <w:p>
            <w:pPr>
              <w:pStyle w:val="TableParagraph"/>
              <w:spacing w:line="206" w:lineRule="exact"/>
              <w:ind w:right="865"/>
              <w:jc w:val="right"/>
              <w:rPr>
                <w:sz w:val="18"/>
              </w:rPr>
            </w:pPr>
            <w:r>
              <w:rPr>
                <w:w w:val="99"/>
                <w:sz w:val="18"/>
              </w:rPr>
              <w:t>0</w:t>
            </w:r>
          </w:p>
        </w:tc>
      </w:tr>
      <w:tr>
        <w:trPr>
          <w:trHeight w:val="612" w:hRule="exact"/>
        </w:trPr>
        <w:tc>
          <w:tcPr>
            <w:tcW w:w="1709" w:type="dxa"/>
            <w:vMerge/>
          </w:tcPr>
          <w:p>
            <w:pPr/>
          </w:p>
        </w:tc>
        <w:tc>
          <w:tcPr>
            <w:tcW w:w="2115" w:type="dxa"/>
          </w:tcPr>
          <w:p>
            <w:pPr>
              <w:pStyle w:val="TableParagraph"/>
              <w:spacing w:before="1"/>
              <w:ind w:left="103" w:right="301"/>
              <w:jc w:val="left"/>
              <w:rPr>
                <w:sz w:val="18"/>
              </w:rPr>
            </w:pPr>
            <w:r>
              <w:rPr>
                <w:sz w:val="18"/>
              </w:rPr>
              <w:t>Participación ciudadana, eficiencia</w:t>
            </w:r>
          </w:p>
        </w:tc>
        <w:tc>
          <w:tcPr>
            <w:tcW w:w="1659" w:type="dxa"/>
          </w:tcPr>
          <w:p>
            <w:pPr>
              <w:pStyle w:val="TableParagraph"/>
              <w:spacing w:before="1"/>
              <w:ind w:left="674" w:right="405"/>
              <w:jc w:val="left"/>
              <w:rPr>
                <w:sz w:val="18"/>
              </w:rPr>
            </w:pPr>
            <w:r>
              <w:rPr>
                <w:sz w:val="18"/>
              </w:rPr>
              <w:t>181</w:t>
            </w:r>
          </w:p>
        </w:tc>
        <w:tc>
          <w:tcPr>
            <w:tcW w:w="1742" w:type="dxa"/>
          </w:tcPr>
          <w:p>
            <w:pPr>
              <w:pStyle w:val="TableParagraph"/>
              <w:spacing w:before="1"/>
              <w:ind w:left="698" w:right="694"/>
              <w:rPr>
                <w:sz w:val="18"/>
              </w:rPr>
            </w:pPr>
            <w:r>
              <w:rPr>
                <w:sz w:val="18"/>
              </w:rPr>
              <w:t>123</w:t>
            </w:r>
          </w:p>
        </w:tc>
        <w:tc>
          <w:tcPr>
            <w:tcW w:w="1844" w:type="dxa"/>
          </w:tcPr>
          <w:p>
            <w:pPr>
              <w:pStyle w:val="TableParagraph"/>
              <w:spacing w:before="1"/>
              <w:ind w:right="815"/>
              <w:jc w:val="right"/>
              <w:rPr>
                <w:sz w:val="18"/>
              </w:rPr>
            </w:pPr>
            <w:r>
              <w:rPr>
                <w:sz w:val="18"/>
              </w:rPr>
              <w:t>58</w:t>
            </w:r>
          </w:p>
        </w:tc>
      </w:tr>
      <w:tr>
        <w:trPr>
          <w:trHeight w:val="310" w:hRule="exact"/>
        </w:trPr>
        <w:tc>
          <w:tcPr>
            <w:tcW w:w="1709" w:type="dxa"/>
            <w:vMerge w:val="restart"/>
          </w:tcPr>
          <w:p>
            <w:pPr>
              <w:pStyle w:val="TableParagraph"/>
              <w:jc w:val="left"/>
              <w:rPr>
                <w:sz w:val="18"/>
              </w:rPr>
            </w:pPr>
          </w:p>
          <w:p>
            <w:pPr>
              <w:pStyle w:val="TableParagraph"/>
              <w:jc w:val="left"/>
              <w:rPr>
                <w:sz w:val="18"/>
              </w:rPr>
            </w:pPr>
          </w:p>
          <w:p>
            <w:pPr>
              <w:pStyle w:val="TableParagraph"/>
              <w:spacing w:before="8"/>
              <w:jc w:val="left"/>
              <w:rPr>
                <w:sz w:val="17"/>
              </w:rPr>
            </w:pPr>
          </w:p>
          <w:p>
            <w:pPr>
              <w:pStyle w:val="TableParagraph"/>
              <w:spacing w:before="1"/>
              <w:ind w:left="103" w:right="125"/>
              <w:jc w:val="left"/>
              <w:rPr>
                <w:sz w:val="18"/>
              </w:rPr>
            </w:pPr>
            <w:r>
              <w:rPr>
                <w:sz w:val="18"/>
              </w:rPr>
              <w:t>Enrique Peña Nieto (2005-2011)</w:t>
            </w:r>
          </w:p>
        </w:tc>
        <w:tc>
          <w:tcPr>
            <w:tcW w:w="2115" w:type="dxa"/>
          </w:tcPr>
          <w:p>
            <w:pPr>
              <w:pStyle w:val="TableParagraph"/>
              <w:spacing w:line="206" w:lineRule="exact"/>
              <w:ind w:left="103" w:right="131"/>
              <w:jc w:val="left"/>
              <w:rPr>
                <w:sz w:val="18"/>
              </w:rPr>
            </w:pPr>
            <w:r>
              <w:rPr>
                <w:sz w:val="18"/>
              </w:rPr>
              <w:t>Transparencia</w:t>
            </w:r>
          </w:p>
        </w:tc>
        <w:tc>
          <w:tcPr>
            <w:tcW w:w="1659" w:type="dxa"/>
          </w:tcPr>
          <w:p>
            <w:pPr>
              <w:pStyle w:val="TableParagraph"/>
              <w:spacing w:line="206" w:lineRule="exact"/>
              <w:ind w:left="724" w:right="405"/>
              <w:jc w:val="left"/>
              <w:rPr>
                <w:sz w:val="18"/>
              </w:rPr>
            </w:pPr>
            <w:r>
              <w:rPr>
                <w:sz w:val="18"/>
              </w:rPr>
              <w:t>24</w:t>
            </w:r>
          </w:p>
        </w:tc>
        <w:tc>
          <w:tcPr>
            <w:tcW w:w="1742" w:type="dxa"/>
          </w:tcPr>
          <w:p>
            <w:pPr>
              <w:pStyle w:val="TableParagraph"/>
              <w:spacing w:line="206" w:lineRule="exact"/>
              <w:ind w:left="698" w:right="694"/>
              <w:rPr>
                <w:sz w:val="18"/>
              </w:rPr>
            </w:pPr>
            <w:r>
              <w:rPr>
                <w:sz w:val="18"/>
              </w:rPr>
              <w:t>15</w:t>
            </w:r>
          </w:p>
        </w:tc>
        <w:tc>
          <w:tcPr>
            <w:tcW w:w="1844" w:type="dxa"/>
          </w:tcPr>
          <w:p>
            <w:pPr>
              <w:pStyle w:val="TableParagraph"/>
              <w:spacing w:line="206" w:lineRule="exact"/>
              <w:ind w:right="865"/>
              <w:jc w:val="right"/>
              <w:rPr>
                <w:sz w:val="18"/>
              </w:rPr>
            </w:pPr>
            <w:r>
              <w:rPr>
                <w:w w:val="99"/>
                <w:sz w:val="18"/>
              </w:rPr>
              <w:t>9</w:t>
            </w:r>
          </w:p>
        </w:tc>
      </w:tr>
      <w:tr>
        <w:trPr>
          <w:trHeight w:val="910" w:hRule="exact"/>
        </w:trPr>
        <w:tc>
          <w:tcPr>
            <w:tcW w:w="1709" w:type="dxa"/>
            <w:vMerge/>
          </w:tcPr>
          <w:p>
            <w:pPr/>
          </w:p>
        </w:tc>
        <w:tc>
          <w:tcPr>
            <w:tcW w:w="2115" w:type="dxa"/>
          </w:tcPr>
          <w:p>
            <w:pPr>
              <w:pStyle w:val="TableParagraph"/>
              <w:ind w:left="103" w:right="221"/>
              <w:jc w:val="left"/>
              <w:rPr>
                <w:sz w:val="18"/>
              </w:rPr>
            </w:pPr>
            <w:r>
              <w:rPr>
                <w:sz w:val="18"/>
              </w:rPr>
              <w:t>Acceso a la información, rendición de cuentas, eficacia</w:t>
            </w:r>
          </w:p>
        </w:tc>
        <w:tc>
          <w:tcPr>
            <w:tcW w:w="1659" w:type="dxa"/>
          </w:tcPr>
          <w:p>
            <w:pPr>
              <w:pStyle w:val="TableParagraph"/>
              <w:spacing w:line="206" w:lineRule="exact"/>
              <w:ind w:left="724" w:right="405"/>
              <w:jc w:val="left"/>
              <w:rPr>
                <w:sz w:val="18"/>
              </w:rPr>
            </w:pPr>
            <w:r>
              <w:rPr>
                <w:sz w:val="18"/>
              </w:rPr>
              <w:t>29</w:t>
            </w:r>
          </w:p>
        </w:tc>
        <w:tc>
          <w:tcPr>
            <w:tcW w:w="1742" w:type="dxa"/>
          </w:tcPr>
          <w:p>
            <w:pPr>
              <w:pStyle w:val="TableParagraph"/>
              <w:spacing w:line="206" w:lineRule="exact"/>
              <w:ind w:left="698" w:right="694"/>
              <w:rPr>
                <w:sz w:val="18"/>
              </w:rPr>
            </w:pPr>
            <w:r>
              <w:rPr>
                <w:sz w:val="18"/>
              </w:rPr>
              <w:t>20</w:t>
            </w:r>
          </w:p>
        </w:tc>
        <w:tc>
          <w:tcPr>
            <w:tcW w:w="1844" w:type="dxa"/>
          </w:tcPr>
          <w:p>
            <w:pPr>
              <w:pStyle w:val="TableParagraph"/>
              <w:spacing w:line="206" w:lineRule="exact"/>
              <w:ind w:right="865"/>
              <w:jc w:val="right"/>
              <w:rPr>
                <w:sz w:val="18"/>
              </w:rPr>
            </w:pPr>
            <w:r>
              <w:rPr>
                <w:w w:val="99"/>
                <w:sz w:val="18"/>
              </w:rPr>
              <w:t>9</w:t>
            </w:r>
          </w:p>
        </w:tc>
      </w:tr>
      <w:tr>
        <w:trPr>
          <w:trHeight w:val="493" w:hRule="exact"/>
        </w:trPr>
        <w:tc>
          <w:tcPr>
            <w:tcW w:w="1709" w:type="dxa"/>
            <w:vMerge/>
          </w:tcPr>
          <w:p>
            <w:pPr/>
          </w:p>
        </w:tc>
        <w:tc>
          <w:tcPr>
            <w:tcW w:w="2115" w:type="dxa"/>
          </w:tcPr>
          <w:p>
            <w:pPr>
              <w:pStyle w:val="TableParagraph"/>
              <w:ind w:left="103" w:right="951"/>
              <w:jc w:val="left"/>
              <w:rPr>
                <w:sz w:val="18"/>
              </w:rPr>
            </w:pPr>
            <w:r>
              <w:rPr>
                <w:sz w:val="18"/>
              </w:rPr>
              <w:t>Participación ciudadana</w:t>
            </w:r>
          </w:p>
        </w:tc>
        <w:tc>
          <w:tcPr>
            <w:tcW w:w="1659" w:type="dxa"/>
          </w:tcPr>
          <w:p>
            <w:pPr>
              <w:pStyle w:val="TableParagraph"/>
              <w:spacing w:line="206" w:lineRule="exact"/>
              <w:ind w:left="674" w:right="405"/>
              <w:jc w:val="left"/>
              <w:rPr>
                <w:sz w:val="18"/>
              </w:rPr>
            </w:pPr>
            <w:r>
              <w:rPr>
                <w:sz w:val="18"/>
              </w:rPr>
              <w:t>115</w:t>
            </w:r>
          </w:p>
        </w:tc>
        <w:tc>
          <w:tcPr>
            <w:tcW w:w="1742" w:type="dxa"/>
          </w:tcPr>
          <w:p>
            <w:pPr>
              <w:pStyle w:val="TableParagraph"/>
              <w:spacing w:line="206" w:lineRule="exact"/>
              <w:ind w:left="698" w:right="694"/>
              <w:rPr>
                <w:sz w:val="18"/>
              </w:rPr>
            </w:pPr>
            <w:r>
              <w:rPr>
                <w:sz w:val="18"/>
              </w:rPr>
              <w:t>76</w:t>
            </w:r>
          </w:p>
        </w:tc>
        <w:tc>
          <w:tcPr>
            <w:tcW w:w="1844" w:type="dxa"/>
          </w:tcPr>
          <w:p>
            <w:pPr>
              <w:pStyle w:val="TableParagraph"/>
              <w:spacing w:line="206" w:lineRule="exact"/>
              <w:ind w:right="815"/>
              <w:jc w:val="right"/>
              <w:rPr>
                <w:sz w:val="18"/>
              </w:rPr>
            </w:pPr>
            <w:r>
              <w:rPr>
                <w:sz w:val="18"/>
              </w:rPr>
              <w:t>39</w:t>
            </w:r>
          </w:p>
        </w:tc>
      </w:tr>
      <w:tr>
        <w:trPr>
          <w:trHeight w:val="310" w:hRule="exact"/>
        </w:trPr>
        <w:tc>
          <w:tcPr>
            <w:tcW w:w="1709" w:type="dxa"/>
            <w:vMerge w:val="restart"/>
          </w:tcPr>
          <w:p>
            <w:pPr>
              <w:pStyle w:val="TableParagraph"/>
              <w:spacing w:before="10"/>
              <w:jc w:val="left"/>
              <w:rPr>
                <w:sz w:val="17"/>
              </w:rPr>
            </w:pPr>
          </w:p>
          <w:p>
            <w:pPr>
              <w:pStyle w:val="TableParagraph"/>
              <w:ind w:left="103" w:right="375"/>
              <w:jc w:val="left"/>
              <w:rPr>
                <w:sz w:val="18"/>
              </w:rPr>
            </w:pPr>
            <w:r>
              <w:rPr>
                <w:sz w:val="18"/>
              </w:rPr>
              <w:t>Eruviel Ávila Villegas (2011-</w:t>
            </w:r>
          </w:p>
          <w:p>
            <w:pPr>
              <w:pStyle w:val="TableParagraph"/>
              <w:spacing w:line="206" w:lineRule="exact"/>
              <w:ind w:left="103" w:right="85"/>
              <w:jc w:val="left"/>
              <w:rPr>
                <w:sz w:val="18"/>
              </w:rPr>
            </w:pPr>
            <w:r>
              <w:rPr>
                <w:sz w:val="18"/>
              </w:rPr>
              <w:t>2017)</w:t>
            </w:r>
          </w:p>
        </w:tc>
        <w:tc>
          <w:tcPr>
            <w:tcW w:w="2115" w:type="dxa"/>
          </w:tcPr>
          <w:p>
            <w:pPr>
              <w:pStyle w:val="TableParagraph"/>
              <w:spacing w:line="206" w:lineRule="exact"/>
              <w:ind w:left="103" w:right="131"/>
              <w:jc w:val="left"/>
              <w:rPr>
                <w:sz w:val="18"/>
              </w:rPr>
            </w:pPr>
            <w:r>
              <w:rPr>
                <w:sz w:val="18"/>
              </w:rPr>
              <w:t>Transparencia</w:t>
            </w:r>
          </w:p>
        </w:tc>
        <w:tc>
          <w:tcPr>
            <w:tcW w:w="1659" w:type="dxa"/>
          </w:tcPr>
          <w:p>
            <w:pPr>
              <w:pStyle w:val="TableParagraph"/>
              <w:spacing w:line="206" w:lineRule="exact"/>
              <w:ind w:left="724" w:right="405"/>
              <w:jc w:val="left"/>
              <w:rPr>
                <w:sz w:val="18"/>
              </w:rPr>
            </w:pPr>
            <w:r>
              <w:rPr>
                <w:sz w:val="18"/>
              </w:rPr>
              <w:t>25</w:t>
            </w:r>
          </w:p>
        </w:tc>
        <w:tc>
          <w:tcPr>
            <w:tcW w:w="1742" w:type="dxa"/>
          </w:tcPr>
          <w:p>
            <w:pPr>
              <w:pStyle w:val="TableParagraph"/>
              <w:spacing w:line="206" w:lineRule="exact"/>
              <w:ind w:left="698" w:right="694"/>
              <w:rPr>
                <w:sz w:val="18"/>
              </w:rPr>
            </w:pPr>
            <w:r>
              <w:rPr>
                <w:sz w:val="18"/>
              </w:rPr>
              <w:t>17</w:t>
            </w:r>
          </w:p>
        </w:tc>
        <w:tc>
          <w:tcPr>
            <w:tcW w:w="1844" w:type="dxa"/>
          </w:tcPr>
          <w:p>
            <w:pPr>
              <w:pStyle w:val="TableParagraph"/>
              <w:spacing w:line="206" w:lineRule="exact"/>
              <w:ind w:right="865"/>
              <w:jc w:val="right"/>
              <w:rPr>
                <w:sz w:val="18"/>
              </w:rPr>
            </w:pPr>
            <w:r>
              <w:rPr>
                <w:w w:val="99"/>
                <w:sz w:val="18"/>
              </w:rPr>
              <w:t>8</w:t>
            </w:r>
          </w:p>
        </w:tc>
      </w:tr>
      <w:tr>
        <w:trPr>
          <w:trHeight w:val="425" w:hRule="exact"/>
        </w:trPr>
        <w:tc>
          <w:tcPr>
            <w:tcW w:w="1709" w:type="dxa"/>
            <w:vMerge/>
          </w:tcPr>
          <w:p>
            <w:pPr/>
          </w:p>
        </w:tc>
        <w:tc>
          <w:tcPr>
            <w:tcW w:w="2115" w:type="dxa"/>
          </w:tcPr>
          <w:p>
            <w:pPr>
              <w:pStyle w:val="TableParagraph"/>
              <w:ind w:left="103" w:right="1051"/>
              <w:jc w:val="left"/>
              <w:rPr>
                <w:sz w:val="18"/>
              </w:rPr>
            </w:pPr>
            <w:r>
              <w:rPr>
                <w:sz w:val="18"/>
              </w:rPr>
              <w:t>Acceso a la información</w:t>
            </w:r>
          </w:p>
        </w:tc>
        <w:tc>
          <w:tcPr>
            <w:tcW w:w="1659" w:type="dxa"/>
          </w:tcPr>
          <w:p>
            <w:pPr>
              <w:pStyle w:val="TableParagraph"/>
              <w:spacing w:line="206" w:lineRule="exact"/>
              <w:ind w:right="1"/>
              <w:rPr>
                <w:sz w:val="18"/>
              </w:rPr>
            </w:pPr>
            <w:r>
              <w:rPr>
                <w:w w:val="99"/>
                <w:sz w:val="18"/>
              </w:rPr>
              <w:t>3</w:t>
            </w:r>
          </w:p>
        </w:tc>
        <w:tc>
          <w:tcPr>
            <w:tcW w:w="1742" w:type="dxa"/>
          </w:tcPr>
          <w:p>
            <w:pPr>
              <w:pStyle w:val="TableParagraph"/>
              <w:spacing w:line="206" w:lineRule="exact"/>
              <w:rPr>
                <w:sz w:val="18"/>
              </w:rPr>
            </w:pPr>
            <w:r>
              <w:rPr>
                <w:w w:val="99"/>
                <w:sz w:val="18"/>
              </w:rPr>
              <w:t>1</w:t>
            </w:r>
          </w:p>
        </w:tc>
        <w:tc>
          <w:tcPr>
            <w:tcW w:w="1844" w:type="dxa"/>
          </w:tcPr>
          <w:p>
            <w:pPr>
              <w:pStyle w:val="TableParagraph"/>
              <w:spacing w:line="206" w:lineRule="exact"/>
              <w:ind w:right="865"/>
              <w:jc w:val="right"/>
              <w:rPr>
                <w:sz w:val="18"/>
              </w:rPr>
            </w:pPr>
            <w:r>
              <w:rPr>
                <w:w w:val="99"/>
                <w:sz w:val="18"/>
              </w:rPr>
              <w:t>2</w:t>
            </w:r>
          </w:p>
        </w:tc>
      </w:tr>
      <w:tr>
        <w:trPr>
          <w:trHeight w:val="422" w:hRule="exact"/>
        </w:trPr>
        <w:tc>
          <w:tcPr>
            <w:tcW w:w="1709" w:type="dxa"/>
            <w:vMerge/>
          </w:tcPr>
          <w:p>
            <w:pPr/>
          </w:p>
        </w:tc>
        <w:tc>
          <w:tcPr>
            <w:tcW w:w="2115" w:type="dxa"/>
          </w:tcPr>
          <w:p>
            <w:pPr>
              <w:pStyle w:val="TableParagraph"/>
              <w:ind w:left="103" w:right="951"/>
              <w:jc w:val="left"/>
              <w:rPr>
                <w:sz w:val="18"/>
              </w:rPr>
            </w:pPr>
            <w:r>
              <w:rPr>
                <w:sz w:val="18"/>
              </w:rPr>
              <w:t>Participación ciudadana</w:t>
            </w:r>
          </w:p>
        </w:tc>
        <w:tc>
          <w:tcPr>
            <w:tcW w:w="1659" w:type="dxa"/>
          </w:tcPr>
          <w:p>
            <w:pPr>
              <w:pStyle w:val="TableParagraph"/>
              <w:spacing w:line="206" w:lineRule="exact"/>
              <w:ind w:left="724" w:right="405"/>
              <w:jc w:val="left"/>
              <w:rPr>
                <w:sz w:val="18"/>
              </w:rPr>
            </w:pPr>
            <w:r>
              <w:rPr>
                <w:sz w:val="18"/>
              </w:rPr>
              <w:t>19</w:t>
            </w:r>
          </w:p>
        </w:tc>
        <w:tc>
          <w:tcPr>
            <w:tcW w:w="1742" w:type="dxa"/>
          </w:tcPr>
          <w:p>
            <w:pPr>
              <w:pStyle w:val="TableParagraph"/>
              <w:spacing w:line="206" w:lineRule="exact"/>
              <w:ind w:left="698" w:right="694"/>
              <w:rPr>
                <w:sz w:val="18"/>
              </w:rPr>
            </w:pPr>
            <w:r>
              <w:rPr>
                <w:sz w:val="18"/>
              </w:rPr>
              <w:t>13</w:t>
            </w:r>
          </w:p>
        </w:tc>
        <w:tc>
          <w:tcPr>
            <w:tcW w:w="1844" w:type="dxa"/>
          </w:tcPr>
          <w:p>
            <w:pPr>
              <w:pStyle w:val="TableParagraph"/>
              <w:spacing w:line="206" w:lineRule="exact"/>
              <w:ind w:right="865"/>
              <w:jc w:val="right"/>
              <w:rPr>
                <w:sz w:val="18"/>
              </w:rPr>
            </w:pPr>
            <w:r>
              <w:rPr>
                <w:w w:val="99"/>
                <w:sz w:val="18"/>
              </w:rPr>
              <w:t>6</w:t>
            </w:r>
          </w:p>
        </w:tc>
      </w:tr>
    </w:tbl>
    <w:p>
      <w:pPr>
        <w:spacing w:line="183" w:lineRule="exact" w:before="0"/>
        <w:ind w:left="231" w:right="0" w:firstLine="0"/>
        <w:jc w:val="left"/>
        <w:rPr>
          <w:sz w:val="16"/>
        </w:rPr>
      </w:pPr>
      <w:r>
        <w:rPr>
          <w:sz w:val="16"/>
        </w:rPr>
        <w:t>Fuente: Elaboración propia con base en los planes de desarrollo del Estado de México 1999-2005, 2005-2011 y 2011-2017</w:t>
      </w:r>
    </w:p>
    <w:p>
      <w:pPr>
        <w:spacing w:after="0" w:line="183" w:lineRule="exact"/>
        <w:jc w:val="left"/>
        <w:rPr>
          <w:sz w:val="16"/>
        </w:rPr>
        <w:sectPr>
          <w:pgSz w:w="12240" w:h="15840"/>
          <w:pgMar w:header="0" w:footer="1035" w:top="1360" w:bottom="1220" w:left="1480" w:right="1440"/>
        </w:sectPr>
      </w:pPr>
    </w:p>
    <w:p>
      <w:pPr>
        <w:pStyle w:val="BodyText"/>
        <w:spacing w:line="360" w:lineRule="auto" w:before="54"/>
        <w:ind w:left="108" w:right="115"/>
        <w:jc w:val="both"/>
      </w:pPr>
      <w:r>
        <w:rPr/>
        <w:t>Los resultados de la tabla anterior permiten observar la predominancia del discurso de los gobernantes sobre la práctica de acciones concretas en torno a la transparencia. En el caso del gobernador Arturo Montiel Rojas, en 17 ocasiones mencionó que su gobierno sería transparente, pero solo definió 4 objetivos en torno al</w:t>
      </w:r>
      <w:r>
        <w:rPr>
          <w:spacing w:val="-10"/>
        </w:rPr>
        <w:t> </w:t>
      </w:r>
      <w:r>
        <w:rPr/>
        <w:t>tema.</w:t>
      </w:r>
      <w:r>
        <w:rPr>
          <w:spacing w:val="-11"/>
        </w:rPr>
        <w:t> </w:t>
      </w:r>
      <w:r>
        <w:rPr/>
        <w:t>En</w:t>
      </w:r>
      <w:r>
        <w:rPr>
          <w:spacing w:val="-11"/>
        </w:rPr>
        <w:t> </w:t>
      </w:r>
      <w:r>
        <w:rPr/>
        <w:t>lo</w:t>
      </w:r>
      <w:r>
        <w:rPr>
          <w:spacing w:val="-9"/>
        </w:rPr>
        <w:t> </w:t>
      </w:r>
      <w:r>
        <w:rPr/>
        <w:t>que</w:t>
      </w:r>
      <w:r>
        <w:rPr>
          <w:spacing w:val="-11"/>
        </w:rPr>
        <w:t> </w:t>
      </w:r>
      <w:r>
        <w:rPr/>
        <w:t>respecta</w:t>
      </w:r>
      <w:r>
        <w:rPr>
          <w:spacing w:val="-10"/>
        </w:rPr>
        <w:t> </w:t>
      </w:r>
      <w:r>
        <w:rPr/>
        <w:t>al</w:t>
      </w:r>
      <w:r>
        <w:rPr>
          <w:spacing w:val="-12"/>
        </w:rPr>
        <w:t> </w:t>
      </w:r>
      <w:r>
        <w:rPr/>
        <w:t>acceso</w:t>
      </w:r>
      <w:r>
        <w:rPr>
          <w:spacing w:val="-11"/>
        </w:rPr>
        <w:t> </w:t>
      </w:r>
      <w:r>
        <w:rPr/>
        <w:t>a</w:t>
      </w:r>
      <w:r>
        <w:rPr>
          <w:spacing w:val="-11"/>
        </w:rPr>
        <w:t> </w:t>
      </w:r>
      <w:r>
        <w:rPr/>
        <w:t>la</w:t>
      </w:r>
      <w:r>
        <w:rPr>
          <w:spacing w:val="-11"/>
        </w:rPr>
        <w:t> </w:t>
      </w:r>
      <w:r>
        <w:rPr/>
        <w:t>información,</w:t>
      </w:r>
      <w:r>
        <w:rPr>
          <w:spacing w:val="-11"/>
        </w:rPr>
        <w:t> </w:t>
      </w:r>
      <w:r>
        <w:rPr/>
        <w:t>en</w:t>
      </w:r>
      <w:r>
        <w:rPr>
          <w:spacing w:val="-11"/>
        </w:rPr>
        <w:t> </w:t>
      </w:r>
      <w:r>
        <w:rPr/>
        <w:t>cinco</w:t>
      </w:r>
      <w:r>
        <w:rPr>
          <w:spacing w:val="-10"/>
        </w:rPr>
        <w:t> </w:t>
      </w:r>
      <w:r>
        <w:rPr/>
        <w:t>ocasiones</w:t>
      </w:r>
      <w:r>
        <w:rPr>
          <w:spacing w:val="-12"/>
        </w:rPr>
        <w:t> </w:t>
      </w:r>
      <w:r>
        <w:rPr/>
        <w:t>reconoció que</w:t>
      </w:r>
      <w:r>
        <w:rPr>
          <w:spacing w:val="-7"/>
        </w:rPr>
        <w:t> </w:t>
      </w:r>
      <w:r>
        <w:rPr/>
        <w:t>era</w:t>
      </w:r>
      <w:r>
        <w:rPr>
          <w:spacing w:val="-8"/>
        </w:rPr>
        <w:t> </w:t>
      </w:r>
      <w:r>
        <w:rPr/>
        <w:t>importante</w:t>
      </w:r>
      <w:r>
        <w:rPr>
          <w:spacing w:val="-8"/>
        </w:rPr>
        <w:t> </w:t>
      </w:r>
      <w:r>
        <w:rPr/>
        <w:t>para</w:t>
      </w:r>
      <w:r>
        <w:rPr>
          <w:spacing w:val="-7"/>
        </w:rPr>
        <w:t> </w:t>
      </w:r>
      <w:r>
        <w:rPr/>
        <w:t>su</w:t>
      </w:r>
      <w:r>
        <w:rPr>
          <w:spacing w:val="-7"/>
        </w:rPr>
        <w:t> </w:t>
      </w:r>
      <w:r>
        <w:rPr/>
        <w:t>gobierno,</w:t>
      </w:r>
      <w:r>
        <w:rPr>
          <w:spacing w:val="-9"/>
        </w:rPr>
        <w:t> </w:t>
      </w:r>
      <w:r>
        <w:rPr/>
        <w:t>pero</w:t>
      </w:r>
      <w:r>
        <w:rPr>
          <w:spacing w:val="-8"/>
        </w:rPr>
        <w:t> </w:t>
      </w:r>
      <w:r>
        <w:rPr/>
        <w:t>no</w:t>
      </w:r>
      <w:r>
        <w:rPr>
          <w:spacing w:val="-8"/>
        </w:rPr>
        <w:t> </w:t>
      </w:r>
      <w:r>
        <w:rPr/>
        <w:t>comprometió</w:t>
      </w:r>
      <w:r>
        <w:rPr>
          <w:spacing w:val="-8"/>
        </w:rPr>
        <w:t> </w:t>
      </w:r>
      <w:r>
        <w:rPr/>
        <w:t>objetivo</w:t>
      </w:r>
      <w:r>
        <w:rPr>
          <w:spacing w:val="-8"/>
        </w:rPr>
        <w:t> </w:t>
      </w:r>
      <w:r>
        <w:rPr/>
        <w:t>alguno.</w:t>
      </w:r>
      <w:r>
        <w:rPr>
          <w:spacing w:val="-9"/>
        </w:rPr>
        <w:t> </w:t>
      </w:r>
      <w:r>
        <w:rPr/>
        <w:t>En</w:t>
      </w:r>
      <w:r>
        <w:rPr>
          <w:spacing w:val="-7"/>
        </w:rPr>
        <w:t> </w:t>
      </w:r>
      <w:r>
        <w:rPr/>
        <w:t>tanto que, sobre la participación ciudadana y la eficiencia de su gobierno, fue el tema central</w:t>
      </w:r>
      <w:r>
        <w:rPr>
          <w:spacing w:val="-11"/>
        </w:rPr>
        <w:t> </w:t>
      </w:r>
      <w:r>
        <w:rPr/>
        <w:t>ya</w:t>
      </w:r>
      <w:r>
        <w:rPr>
          <w:spacing w:val="-9"/>
        </w:rPr>
        <w:t> </w:t>
      </w:r>
      <w:r>
        <w:rPr/>
        <w:t>que</w:t>
      </w:r>
      <w:r>
        <w:rPr>
          <w:spacing w:val="-9"/>
        </w:rPr>
        <w:t> </w:t>
      </w:r>
      <w:r>
        <w:rPr/>
        <w:t>en</w:t>
      </w:r>
      <w:r>
        <w:rPr>
          <w:spacing w:val="-9"/>
        </w:rPr>
        <w:t> </w:t>
      </w:r>
      <w:r>
        <w:rPr/>
        <w:t>181</w:t>
      </w:r>
      <w:r>
        <w:rPr>
          <w:spacing w:val="-12"/>
        </w:rPr>
        <w:t> </w:t>
      </w:r>
      <w:r>
        <w:rPr/>
        <w:t>ocasiones</w:t>
      </w:r>
      <w:r>
        <w:rPr>
          <w:spacing w:val="-10"/>
        </w:rPr>
        <w:t> </w:t>
      </w:r>
      <w:r>
        <w:rPr/>
        <w:t>referenció</w:t>
      </w:r>
      <w:r>
        <w:rPr>
          <w:spacing w:val="-10"/>
        </w:rPr>
        <w:t> </w:t>
      </w:r>
      <w:r>
        <w:rPr/>
        <w:t>que</w:t>
      </w:r>
      <w:r>
        <w:rPr>
          <w:spacing w:val="-9"/>
        </w:rPr>
        <w:t> </w:t>
      </w:r>
      <w:r>
        <w:rPr/>
        <w:t>así</w:t>
      </w:r>
      <w:r>
        <w:rPr>
          <w:spacing w:val="-12"/>
        </w:rPr>
        <w:t> </w:t>
      </w:r>
      <w:r>
        <w:rPr/>
        <w:t>sería</w:t>
      </w:r>
      <w:r>
        <w:rPr>
          <w:spacing w:val="-9"/>
        </w:rPr>
        <w:t> </w:t>
      </w:r>
      <w:r>
        <w:rPr/>
        <w:t>su</w:t>
      </w:r>
      <w:r>
        <w:rPr>
          <w:spacing w:val="-9"/>
        </w:rPr>
        <w:t> </w:t>
      </w:r>
      <w:r>
        <w:rPr/>
        <w:t>gobierno</w:t>
      </w:r>
      <w:r>
        <w:rPr>
          <w:spacing w:val="-9"/>
        </w:rPr>
        <w:t> </w:t>
      </w:r>
      <w:r>
        <w:rPr/>
        <w:t>y</w:t>
      </w:r>
      <w:r>
        <w:rPr>
          <w:spacing w:val="-13"/>
        </w:rPr>
        <w:t> </w:t>
      </w:r>
      <w:r>
        <w:rPr/>
        <w:t>estableció</w:t>
      </w:r>
      <w:r>
        <w:rPr>
          <w:spacing w:val="-9"/>
        </w:rPr>
        <w:t> </w:t>
      </w:r>
      <w:r>
        <w:rPr/>
        <w:t>58 objetivos al</w:t>
      </w:r>
      <w:r>
        <w:rPr>
          <w:spacing w:val="-6"/>
        </w:rPr>
        <w:t> </w:t>
      </w:r>
      <w:r>
        <w:rPr/>
        <w:t>respecto.</w:t>
      </w:r>
    </w:p>
    <w:p>
      <w:pPr>
        <w:pStyle w:val="BodyText"/>
      </w:pPr>
    </w:p>
    <w:p>
      <w:pPr>
        <w:pStyle w:val="BodyText"/>
      </w:pPr>
    </w:p>
    <w:p>
      <w:pPr>
        <w:pStyle w:val="BodyText"/>
        <w:spacing w:line="360" w:lineRule="auto" w:before="188"/>
        <w:ind w:left="108" w:right="118"/>
        <w:jc w:val="both"/>
      </w:pPr>
      <w:r>
        <w:rPr/>
        <w:t>Por su parte el gobernador Enrique Peña Nieto mencionó en 24 ocasiones que su gobierno sería transparente y concretó nueve objetivos al respecto. En lo que respecta</w:t>
      </w:r>
      <w:r>
        <w:rPr>
          <w:spacing w:val="-12"/>
        </w:rPr>
        <w:t> </w:t>
      </w:r>
      <w:r>
        <w:rPr/>
        <w:t>al</w:t>
      </w:r>
      <w:r>
        <w:rPr>
          <w:spacing w:val="-13"/>
        </w:rPr>
        <w:t> </w:t>
      </w:r>
      <w:r>
        <w:rPr/>
        <w:t>acceso</w:t>
      </w:r>
      <w:r>
        <w:rPr>
          <w:spacing w:val="-12"/>
        </w:rPr>
        <w:t> </w:t>
      </w:r>
      <w:r>
        <w:rPr/>
        <w:t>a</w:t>
      </w:r>
      <w:r>
        <w:rPr>
          <w:spacing w:val="-10"/>
        </w:rPr>
        <w:t> </w:t>
      </w:r>
      <w:r>
        <w:rPr/>
        <w:t>la</w:t>
      </w:r>
      <w:r>
        <w:rPr>
          <w:spacing w:val="-12"/>
        </w:rPr>
        <w:t> </w:t>
      </w:r>
      <w:r>
        <w:rPr/>
        <w:t>información,</w:t>
      </w:r>
      <w:r>
        <w:rPr>
          <w:spacing w:val="-10"/>
        </w:rPr>
        <w:t> </w:t>
      </w:r>
      <w:r>
        <w:rPr/>
        <w:t>rendición</w:t>
      </w:r>
      <w:r>
        <w:rPr>
          <w:spacing w:val="-12"/>
        </w:rPr>
        <w:t> </w:t>
      </w:r>
      <w:r>
        <w:rPr/>
        <w:t>de</w:t>
      </w:r>
      <w:r>
        <w:rPr>
          <w:spacing w:val="-10"/>
        </w:rPr>
        <w:t> </w:t>
      </w:r>
      <w:r>
        <w:rPr/>
        <w:t>cuentas</w:t>
      </w:r>
      <w:r>
        <w:rPr>
          <w:spacing w:val="-11"/>
        </w:rPr>
        <w:t> </w:t>
      </w:r>
      <w:r>
        <w:rPr/>
        <w:t>y</w:t>
      </w:r>
      <w:r>
        <w:rPr>
          <w:spacing w:val="-13"/>
        </w:rPr>
        <w:t> </w:t>
      </w:r>
      <w:r>
        <w:rPr/>
        <w:t>eficacia,</w:t>
      </w:r>
      <w:r>
        <w:rPr>
          <w:spacing w:val="-12"/>
        </w:rPr>
        <w:t> </w:t>
      </w:r>
      <w:r>
        <w:rPr/>
        <w:t>en</w:t>
      </w:r>
      <w:r>
        <w:rPr>
          <w:spacing w:val="-10"/>
        </w:rPr>
        <w:t> </w:t>
      </w:r>
      <w:r>
        <w:rPr/>
        <w:t>29</w:t>
      </w:r>
      <w:r>
        <w:rPr>
          <w:spacing w:val="-12"/>
        </w:rPr>
        <w:t> </w:t>
      </w:r>
      <w:r>
        <w:rPr/>
        <w:t>ocasiones mencionó que su gobierno sería desarrollado con esas características y estableció nueve objetivos. Sobre la participación ciudadana señaló 115 veces la importancia de la misma para mejorar los asuntos gubernamentales y plasmó 39 objetivos al respecto.</w:t>
      </w:r>
    </w:p>
    <w:p>
      <w:pPr>
        <w:pStyle w:val="BodyText"/>
      </w:pPr>
    </w:p>
    <w:p>
      <w:pPr>
        <w:pStyle w:val="BodyText"/>
      </w:pPr>
    </w:p>
    <w:p>
      <w:pPr>
        <w:pStyle w:val="BodyText"/>
        <w:spacing w:line="360" w:lineRule="auto" w:before="185"/>
        <w:ind w:left="108" w:right="116"/>
        <w:jc w:val="both"/>
      </w:pPr>
      <w:r>
        <w:rPr/>
        <w:t>En tanto que el gobernador Eruviel Ávila Villegas mencionó en 25 ocasiones que su gobierno</w:t>
      </w:r>
      <w:r>
        <w:rPr>
          <w:spacing w:val="-17"/>
        </w:rPr>
        <w:t> </w:t>
      </w:r>
      <w:r>
        <w:rPr/>
        <w:t>sería</w:t>
      </w:r>
      <w:r>
        <w:rPr>
          <w:spacing w:val="-17"/>
        </w:rPr>
        <w:t> </w:t>
      </w:r>
      <w:r>
        <w:rPr/>
        <w:t>transparente</w:t>
      </w:r>
      <w:r>
        <w:rPr>
          <w:spacing w:val="-16"/>
        </w:rPr>
        <w:t> </w:t>
      </w:r>
      <w:r>
        <w:rPr/>
        <w:t>y</w:t>
      </w:r>
      <w:r>
        <w:rPr>
          <w:spacing w:val="-20"/>
        </w:rPr>
        <w:t> </w:t>
      </w:r>
      <w:r>
        <w:rPr/>
        <w:t>concretó</w:t>
      </w:r>
      <w:r>
        <w:rPr>
          <w:spacing w:val="-15"/>
        </w:rPr>
        <w:t> </w:t>
      </w:r>
      <w:r>
        <w:rPr/>
        <w:t>ocho</w:t>
      </w:r>
      <w:r>
        <w:rPr>
          <w:spacing w:val="-16"/>
        </w:rPr>
        <w:t> </w:t>
      </w:r>
      <w:r>
        <w:rPr/>
        <w:t>objetivos</w:t>
      </w:r>
      <w:r>
        <w:rPr>
          <w:spacing w:val="-17"/>
        </w:rPr>
        <w:t> </w:t>
      </w:r>
      <w:r>
        <w:rPr/>
        <w:t>al</w:t>
      </w:r>
      <w:r>
        <w:rPr>
          <w:spacing w:val="-18"/>
        </w:rPr>
        <w:t> </w:t>
      </w:r>
      <w:r>
        <w:rPr/>
        <w:t>respecto.</w:t>
      </w:r>
      <w:r>
        <w:rPr>
          <w:spacing w:val="-17"/>
        </w:rPr>
        <w:t> </w:t>
      </w:r>
      <w:r>
        <w:rPr/>
        <w:t>En</w:t>
      </w:r>
      <w:r>
        <w:rPr>
          <w:spacing w:val="-19"/>
        </w:rPr>
        <w:t> </w:t>
      </w:r>
      <w:r>
        <w:rPr/>
        <w:t>lo</w:t>
      </w:r>
      <w:r>
        <w:rPr>
          <w:spacing w:val="-17"/>
        </w:rPr>
        <w:t> </w:t>
      </w:r>
      <w:r>
        <w:rPr/>
        <w:t>que</w:t>
      </w:r>
      <w:r>
        <w:rPr>
          <w:spacing w:val="-17"/>
        </w:rPr>
        <w:t> </w:t>
      </w:r>
      <w:r>
        <w:rPr/>
        <w:t>respecta al acceso a la información prometió 3 acciones y solo concretó dos. Sobre la participación</w:t>
      </w:r>
      <w:r>
        <w:rPr>
          <w:spacing w:val="-11"/>
        </w:rPr>
        <w:t> </w:t>
      </w:r>
      <w:r>
        <w:rPr/>
        <w:t>ciudadana</w:t>
      </w:r>
      <w:r>
        <w:rPr>
          <w:spacing w:val="-11"/>
        </w:rPr>
        <w:t> </w:t>
      </w:r>
      <w:r>
        <w:rPr/>
        <w:t>señaló</w:t>
      </w:r>
      <w:r>
        <w:rPr>
          <w:spacing w:val="-11"/>
        </w:rPr>
        <w:t> </w:t>
      </w:r>
      <w:r>
        <w:rPr/>
        <w:t>19</w:t>
      </w:r>
      <w:r>
        <w:rPr>
          <w:spacing w:val="-11"/>
        </w:rPr>
        <w:t> </w:t>
      </w:r>
      <w:r>
        <w:rPr/>
        <w:t>veces</w:t>
      </w:r>
      <w:r>
        <w:rPr>
          <w:spacing w:val="-12"/>
        </w:rPr>
        <w:t> </w:t>
      </w:r>
      <w:r>
        <w:rPr/>
        <w:t>la</w:t>
      </w:r>
      <w:r>
        <w:rPr>
          <w:spacing w:val="-11"/>
        </w:rPr>
        <w:t> </w:t>
      </w:r>
      <w:r>
        <w:rPr/>
        <w:t>importancia</w:t>
      </w:r>
      <w:r>
        <w:rPr>
          <w:spacing w:val="-13"/>
        </w:rPr>
        <w:t> </w:t>
      </w:r>
      <w:r>
        <w:rPr/>
        <w:t>de</w:t>
      </w:r>
      <w:r>
        <w:rPr>
          <w:spacing w:val="-11"/>
        </w:rPr>
        <w:t> </w:t>
      </w:r>
      <w:r>
        <w:rPr/>
        <w:t>la</w:t>
      </w:r>
      <w:r>
        <w:rPr>
          <w:spacing w:val="-11"/>
        </w:rPr>
        <w:t> </w:t>
      </w:r>
      <w:r>
        <w:rPr/>
        <w:t>misma</w:t>
      </w:r>
      <w:r>
        <w:rPr>
          <w:spacing w:val="-11"/>
        </w:rPr>
        <w:t> </w:t>
      </w:r>
      <w:r>
        <w:rPr/>
        <w:t>para</w:t>
      </w:r>
      <w:r>
        <w:rPr>
          <w:spacing w:val="-14"/>
        </w:rPr>
        <w:t> </w:t>
      </w:r>
      <w:r>
        <w:rPr/>
        <w:t>mejorar</w:t>
      </w:r>
      <w:r>
        <w:rPr>
          <w:spacing w:val="-12"/>
        </w:rPr>
        <w:t> </w:t>
      </w:r>
      <w:r>
        <w:rPr/>
        <w:t>los asuntos gubernamentales y generó 6 objetivos al</w:t>
      </w:r>
      <w:r>
        <w:rPr>
          <w:spacing w:val="-17"/>
        </w:rPr>
        <w:t> </w:t>
      </w:r>
      <w:r>
        <w:rPr/>
        <w:t>respecto.</w:t>
      </w:r>
    </w:p>
    <w:p>
      <w:pPr>
        <w:pStyle w:val="BodyText"/>
        <w:spacing w:line="360" w:lineRule="auto" w:before="163"/>
        <w:ind w:left="108" w:right="117"/>
        <w:jc w:val="both"/>
      </w:pPr>
      <w:r>
        <w:rPr/>
        <w:t>Es importante señalar que la gran mayoría de los objetivos que plasmaron los gobernantes en sus planes de desarrollo se enfocan solamente a la publicación de presupuestos, finanzas y políticas fiscales. En algunas de ellas, se hace referencia a promover la transparencia, pero no se dice cómo lo harán.</w:t>
      </w:r>
    </w:p>
    <w:p>
      <w:pPr>
        <w:spacing w:after="0" w:line="360" w:lineRule="auto"/>
        <w:jc w:val="both"/>
        <w:sectPr>
          <w:pgSz w:w="12240" w:h="15840"/>
          <w:pgMar w:header="0" w:footer="1035" w:top="1360" w:bottom="1220" w:left="1500" w:right="1580"/>
        </w:sectPr>
      </w:pPr>
    </w:p>
    <w:p>
      <w:pPr>
        <w:pStyle w:val="BodyText"/>
        <w:spacing w:line="360" w:lineRule="auto" w:before="54"/>
        <w:ind w:left="108" w:right="259"/>
      </w:pPr>
      <w:r>
        <w:rPr/>
        <w:t>Estos resultados son poco alentadores ya que durante esta época el Estado de México se mantuvo como la segunda entidad más corrupta del país. Tal como se ha señalado anteriormente en el índice de corrupción y buen gobierno.</w:t>
      </w:r>
    </w:p>
    <w:p>
      <w:pPr>
        <w:pStyle w:val="BodyText"/>
      </w:pPr>
    </w:p>
    <w:p>
      <w:pPr>
        <w:pStyle w:val="BodyText"/>
      </w:pPr>
    </w:p>
    <w:p>
      <w:pPr>
        <w:pStyle w:val="BodyText"/>
        <w:spacing w:line="360" w:lineRule="auto" w:before="187"/>
        <w:ind w:left="108" w:right="87"/>
      </w:pPr>
      <w:r>
        <w:rPr/>
        <w:t>Por su parte el Poder Legislativo realizó su propia declaración de principios sobre el Parlamento Abierto el 22 de septiembre de 2014, siendo estos los siguientes:</w:t>
      </w:r>
    </w:p>
    <w:p>
      <w:pPr>
        <w:pStyle w:val="BodyText"/>
      </w:pPr>
    </w:p>
    <w:p>
      <w:pPr>
        <w:pStyle w:val="BodyText"/>
      </w:pPr>
    </w:p>
    <w:p>
      <w:pPr>
        <w:pStyle w:val="ListParagraph"/>
        <w:numPr>
          <w:ilvl w:val="1"/>
          <w:numId w:val="62"/>
        </w:numPr>
        <w:tabs>
          <w:tab w:pos="1018" w:val="left" w:leader="none"/>
        </w:tabs>
        <w:spacing w:line="278" w:lineRule="auto" w:before="181" w:after="0"/>
        <w:ind w:left="816" w:right="858" w:firstLine="0"/>
        <w:jc w:val="both"/>
        <w:rPr>
          <w:sz w:val="18"/>
        </w:rPr>
      </w:pPr>
      <w:r>
        <w:rPr>
          <w:b/>
          <w:i/>
          <w:sz w:val="18"/>
        </w:rPr>
        <w:t>Derecho a la Información. </w:t>
      </w:r>
      <w:r>
        <w:rPr>
          <w:sz w:val="18"/>
        </w:rPr>
        <w:t>Garantizan el derecho de acceso a la información sobre la que producen, poseen y resguardan, mediante mecanismos, sistemas, marcos normativos, procedimientos, plataformas, que permitan su acceso de manera simple, sencilla, oportuna, sin necesidad de justificar la solicitud e</w:t>
      </w:r>
      <w:r>
        <w:rPr>
          <w:spacing w:val="-21"/>
          <w:sz w:val="18"/>
        </w:rPr>
        <w:t> </w:t>
      </w:r>
      <w:r>
        <w:rPr>
          <w:sz w:val="18"/>
        </w:rPr>
        <w:t>imparciales.</w:t>
      </w:r>
    </w:p>
    <w:p>
      <w:pPr>
        <w:pStyle w:val="ListParagraph"/>
        <w:numPr>
          <w:ilvl w:val="1"/>
          <w:numId w:val="62"/>
        </w:numPr>
        <w:tabs>
          <w:tab w:pos="1042" w:val="left" w:leader="none"/>
        </w:tabs>
        <w:spacing w:line="278" w:lineRule="auto" w:before="0" w:after="0"/>
        <w:ind w:left="816" w:right="858" w:firstLine="0"/>
        <w:jc w:val="both"/>
        <w:rPr>
          <w:sz w:val="18"/>
        </w:rPr>
      </w:pPr>
      <w:r>
        <w:rPr>
          <w:b/>
          <w:i/>
          <w:sz w:val="18"/>
        </w:rPr>
        <w:t>Participación Ciudadana y Rendición de Cuentas. </w:t>
      </w:r>
      <w:r>
        <w:rPr>
          <w:sz w:val="18"/>
        </w:rPr>
        <w:t>Promueven la participación de las personas interesadas en la integración y toma de decisiones en las actividades legislativas; utilizan mecanismos y herramientas que facilitan la supervisión de sus tareas por parte de la población, así como las acciones de control realizadas por sus contralorías internas y los demás organismos legalmente constituidos para</w:t>
      </w:r>
      <w:r>
        <w:rPr>
          <w:spacing w:val="-23"/>
          <w:sz w:val="18"/>
        </w:rPr>
        <w:t> </w:t>
      </w:r>
      <w:r>
        <w:rPr>
          <w:sz w:val="18"/>
        </w:rPr>
        <w:t>ello.</w:t>
      </w:r>
    </w:p>
    <w:p>
      <w:pPr>
        <w:pStyle w:val="ListParagraph"/>
        <w:numPr>
          <w:ilvl w:val="1"/>
          <w:numId w:val="62"/>
        </w:numPr>
        <w:tabs>
          <w:tab w:pos="1011" w:val="left" w:leader="none"/>
        </w:tabs>
        <w:spacing w:line="276" w:lineRule="auto" w:before="0" w:after="0"/>
        <w:ind w:left="816" w:right="855" w:firstLine="0"/>
        <w:jc w:val="both"/>
        <w:rPr>
          <w:sz w:val="18"/>
        </w:rPr>
      </w:pPr>
      <w:r>
        <w:rPr>
          <w:b/>
          <w:i/>
          <w:sz w:val="18"/>
        </w:rPr>
        <w:t>Información</w:t>
      </w:r>
      <w:r>
        <w:rPr>
          <w:b/>
          <w:i/>
          <w:spacing w:val="-9"/>
          <w:sz w:val="18"/>
        </w:rPr>
        <w:t> </w:t>
      </w:r>
      <w:r>
        <w:rPr>
          <w:b/>
          <w:i/>
          <w:sz w:val="18"/>
        </w:rPr>
        <w:t>parlamentaria</w:t>
      </w:r>
      <w:r>
        <w:rPr>
          <w:i/>
          <w:sz w:val="18"/>
        </w:rPr>
        <w:t>.</w:t>
      </w:r>
      <w:r>
        <w:rPr>
          <w:i/>
          <w:spacing w:val="-9"/>
          <w:sz w:val="18"/>
        </w:rPr>
        <w:t> </w:t>
      </w:r>
      <w:r>
        <w:rPr>
          <w:sz w:val="18"/>
        </w:rPr>
        <w:t>Publican</w:t>
      </w:r>
      <w:r>
        <w:rPr>
          <w:spacing w:val="-9"/>
          <w:sz w:val="18"/>
        </w:rPr>
        <w:t> </w:t>
      </w:r>
      <w:r>
        <w:rPr>
          <w:sz w:val="18"/>
        </w:rPr>
        <w:t>y</w:t>
      </w:r>
      <w:r>
        <w:rPr>
          <w:spacing w:val="-11"/>
          <w:sz w:val="18"/>
        </w:rPr>
        <w:t> </w:t>
      </w:r>
      <w:r>
        <w:rPr>
          <w:sz w:val="18"/>
        </w:rPr>
        <w:t>difunden</w:t>
      </w:r>
      <w:r>
        <w:rPr>
          <w:spacing w:val="-9"/>
          <w:sz w:val="18"/>
        </w:rPr>
        <w:t> </w:t>
      </w:r>
      <w:r>
        <w:rPr>
          <w:sz w:val="18"/>
        </w:rPr>
        <w:t>de</w:t>
      </w:r>
      <w:r>
        <w:rPr>
          <w:spacing w:val="-11"/>
          <w:sz w:val="18"/>
        </w:rPr>
        <w:t> </w:t>
      </w:r>
      <w:r>
        <w:rPr>
          <w:sz w:val="18"/>
        </w:rPr>
        <w:t>manera</w:t>
      </w:r>
      <w:r>
        <w:rPr>
          <w:spacing w:val="-9"/>
          <w:sz w:val="18"/>
        </w:rPr>
        <w:t> </w:t>
      </w:r>
      <w:r>
        <w:rPr>
          <w:sz w:val="18"/>
        </w:rPr>
        <w:t>proactiva</w:t>
      </w:r>
      <w:r>
        <w:rPr>
          <w:spacing w:val="-9"/>
          <w:sz w:val="18"/>
        </w:rPr>
        <w:t> </w:t>
      </w:r>
      <w:r>
        <w:rPr>
          <w:sz w:val="18"/>
        </w:rPr>
        <w:t>la</w:t>
      </w:r>
      <w:r>
        <w:rPr>
          <w:spacing w:val="-11"/>
          <w:sz w:val="18"/>
        </w:rPr>
        <w:t> </w:t>
      </w:r>
      <w:r>
        <w:rPr>
          <w:sz w:val="18"/>
        </w:rPr>
        <w:t>mayor</w:t>
      </w:r>
      <w:r>
        <w:rPr>
          <w:spacing w:val="-9"/>
          <w:sz w:val="18"/>
        </w:rPr>
        <w:t> </w:t>
      </w:r>
      <w:r>
        <w:rPr>
          <w:sz w:val="18"/>
        </w:rPr>
        <w:t>cantidad</w:t>
      </w:r>
      <w:r>
        <w:rPr>
          <w:spacing w:val="-11"/>
          <w:sz w:val="18"/>
        </w:rPr>
        <w:t> </w:t>
      </w:r>
      <w:r>
        <w:rPr>
          <w:sz w:val="18"/>
        </w:rPr>
        <w:t>de información relevante para las personas, utilizando formatos sencillos, mecanismos de búsqueda simples y bases de datos en línea con actualización periódica, sobre: análisis, deliberación,</w:t>
      </w:r>
      <w:r>
        <w:rPr>
          <w:spacing w:val="-8"/>
          <w:sz w:val="18"/>
        </w:rPr>
        <w:t> </w:t>
      </w:r>
      <w:r>
        <w:rPr>
          <w:sz w:val="18"/>
        </w:rPr>
        <w:t>votación,</w:t>
      </w:r>
      <w:r>
        <w:rPr>
          <w:spacing w:val="-8"/>
          <w:sz w:val="18"/>
        </w:rPr>
        <w:t> </w:t>
      </w:r>
      <w:r>
        <w:rPr>
          <w:sz w:val="18"/>
        </w:rPr>
        <w:t>agenda</w:t>
      </w:r>
      <w:r>
        <w:rPr>
          <w:spacing w:val="-10"/>
          <w:sz w:val="18"/>
        </w:rPr>
        <w:t> </w:t>
      </w:r>
      <w:r>
        <w:rPr>
          <w:sz w:val="18"/>
        </w:rPr>
        <w:t>parlamentaria,</w:t>
      </w:r>
      <w:r>
        <w:rPr>
          <w:spacing w:val="-8"/>
          <w:sz w:val="18"/>
        </w:rPr>
        <w:t> </w:t>
      </w:r>
      <w:r>
        <w:rPr>
          <w:sz w:val="18"/>
        </w:rPr>
        <w:t>informes</w:t>
      </w:r>
      <w:r>
        <w:rPr>
          <w:spacing w:val="-9"/>
          <w:sz w:val="18"/>
        </w:rPr>
        <w:t> </w:t>
      </w:r>
      <w:r>
        <w:rPr>
          <w:sz w:val="18"/>
        </w:rPr>
        <w:t>de</w:t>
      </w:r>
      <w:r>
        <w:rPr>
          <w:spacing w:val="-10"/>
          <w:sz w:val="18"/>
        </w:rPr>
        <w:t> </w:t>
      </w:r>
      <w:r>
        <w:rPr>
          <w:sz w:val="18"/>
        </w:rPr>
        <w:t>asuntos</w:t>
      </w:r>
      <w:r>
        <w:rPr>
          <w:spacing w:val="-7"/>
          <w:sz w:val="18"/>
        </w:rPr>
        <w:t> </w:t>
      </w:r>
      <w:r>
        <w:rPr>
          <w:sz w:val="18"/>
        </w:rPr>
        <w:t>en</w:t>
      </w:r>
      <w:r>
        <w:rPr>
          <w:spacing w:val="-10"/>
          <w:sz w:val="18"/>
        </w:rPr>
        <w:t> </w:t>
      </w:r>
      <w:r>
        <w:rPr>
          <w:sz w:val="18"/>
        </w:rPr>
        <w:t>comisiones,</w:t>
      </w:r>
      <w:r>
        <w:rPr>
          <w:spacing w:val="-8"/>
          <w:sz w:val="18"/>
        </w:rPr>
        <w:t> </w:t>
      </w:r>
      <w:r>
        <w:rPr>
          <w:sz w:val="18"/>
        </w:rPr>
        <w:t>órganos</w:t>
      </w:r>
      <w:r>
        <w:rPr>
          <w:spacing w:val="-9"/>
          <w:sz w:val="18"/>
        </w:rPr>
        <w:t> </w:t>
      </w:r>
      <w:r>
        <w:rPr>
          <w:sz w:val="18"/>
        </w:rPr>
        <w:t>de gobierno</w:t>
      </w:r>
      <w:r>
        <w:rPr>
          <w:spacing w:val="-7"/>
          <w:sz w:val="18"/>
        </w:rPr>
        <w:t> </w:t>
      </w:r>
      <w:r>
        <w:rPr>
          <w:sz w:val="18"/>
        </w:rPr>
        <w:t>y</w:t>
      </w:r>
      <w:r>
        <w:rPr>
          <w:spacing w:val="-7"/>
          <w:sz w:val="18"/>
        </w:rPr>
        <w:t> </w:t>
      </w:r>
      <w:r>
        <w:rPr>
          <w:sz w:val="18"/>
        </w:rPr>
        <w:t>de</w:t>
      </w:r>
      <w:r>
        <w:rPr>
          <w:spacing w:val="-7"/>
          <w:sz w:val="18"/>
        </w:rPr>
        <w:t> </w:t>
      </w:r>
      <w:r>
        <w:rPr>
          <w:sz w:val="18"/>
        </w:rPr>
        <w:t>las</w:t>
      </w:r>
      <w:r>
        <w:rPr>
          <w:spacing w:val="-7"/>
          <w:sz w:val="18"/>
        </w:rPr>
        <w:t> </w:t>
      </w:r>
      <w:r>
        <w:rPr>
          <w:sz w:val="18"/>
        </w:rPr>
        <w:t>sesiones</w:t>
      </w:r>
      <w:r>
        <w:rPr>
          <w:spacing w:val="-7"/>
          <w:sz w:val="18"/>
        </w:rPr>
        <w:t> </w:t>
      </w:r>
      <w:r>
        <w:rPr>
          <w:sz w:val="18"/>
        </w:rPr>
        <w:t>plenarias</w:t>
      </w:r>
      <w:r>
        <w:rPr>
          <w:spacing w:val="-7"/>
          <w:sz w:val="18"/>
        </w:rPr>
        <w:t> </w:t>
      </w:r>
      <w:r>
        <w:rPr>
          <w:sz w:val="18"/>
        </w:rPr>
        <w:t>así</w:t>
      </w:r>
      <w:r>
        <w:rPr>
          <w:spacing w:val="-7"/>
          <w:sz w:val="18"/>
        </w:rPr>
        <w:t> </w:t>
      </w:r>
      <w:r>
        <w:rPr>
          <w:sz w:val="18"/>
        </w:rPr>
        <w:t>como</w:t>
      </w:r>
      <w:r>
        <w:rPr>
          <w:spacing w:val="-7"/>
          <w:sz w:val="18"/>
        </w:rPr>
        <w:t> </w:t>
      </w:r>
      <w:r>
        <w:rPr>
          <w:sz w:val="18"/>
        </w:rPr>
        <w:t>de</w:t>
      </w:r>
      <w:r>
        <w:rPr>
          <w:spacing w:val="-7"/>
          <w:sz w:val="18"/>
        </w:rPr>
        <w:t> </w:t>
      </w:r>
      <w:r>
        <w:rPr>
          <w:sz w:val="18"/>
        </w:rPr>
        <w:t>los</w:t>
      </w:r>
      <w:r>
        <w:rPr>
          <w:spacing w:val="-7"/>
          <w:sz w:val="18"/>
        </w:rPr>
        <w:t> </w:t>
      </w:r>
      <w:r>
        <w:rPr>
          <w:sz w:val="18"/>
        </w:rPr>
        <w:t>informes</w:t>
      </w:r>
      <w:r>
        <w:rPr>
          <w:spacing w:val="-4"/>
          <w:sz w:val="18"/>
        </w:rPr>
        <w:t> </w:t>
      </w:r>
      <w:r>
        <w:rPr>
          <w:sz w:val="18"/>
        </w:rPr>
        <w:t>recibidos</w:t>
      </w:r>
      <w:r>
        <w:rPr>
          <w:spacing w:val="-7"/>
          <w:sz w:val="18"/>
        </w:rPr>
        <w:t> </w:t>
      </w:r>
      <w:r>
        <w:rPr>
          <w:sz w:val="18"/>
        </w:rPr>
        <w:t>de</w:t>
      </w:r>
      <w:r>
        <w:rPr>
          <w:spacing w:val="-7"/>
          <w:sz w:val="18"/>
        </w:rPr>
        <w:t> </w:t>
      </w:r>
      <w:r>
        <w:rPr>
          <w:sz w:val="18"/>
        </w:rPr>
        <w:t>actores</w:t>
      </w:r>
      <w:r>
        <w:rPr>
          <w:spacing w:val="-4"/>
          <w:sz w:val="18"/>
        </w:rPr>
        <w:t> </w:t>
      </w:r>
      <w:r>
        <w:rPr>
          <w:sz w:val="18"/>
        </w:rPr>
        <w:t>externos</w:t>
      </w:r>
      <w:r>
        <w:rPr>
          <w:spacing w:val="-4"/>
          <w:sz w:val="18"/>
        </w:rPr>
        <w:t> </w:t>
      </w:r>
      <w:r>
        <w:rPr>
          <w:sz w:val="18"/>
        </w:rPr>
        <w:t>a la institución</w:t>
      </w:r>
      <w:r>
        <w:rPr>
          <w:spacing w:val="-11"/>
          <w:sz w:val="18"/>
        </w:rPr>
        <w:t> </w:t>
      </w:r>
      <w:r>
        <w:rPr>
          <w:sz w:val="18"/>
        </w:rPr>
        <w:t>legislativa.</w:t>
      </w:r>
    </w:p>
    <w:p>
      <w:pPr>
        <w:pStyle w:val="ListParagraph"/>
        <w:numPr>
          <w:ilvl w:val="1"/>
          <w:numId w:val="62"/>
        </w:numPr>
        <w:tabs>
          <w:tab w:pos="1040" w:val="left" w:leader="none"/>
        </w:tabs>
        <w:spacing w:line="278" w:lineRule="auto" w:before="0" w:after="0"/>
        <w:ind w:left="816" w:right="859" w:firstLine="0"/>
        <w:jc w:val="both"/>
        <w:rPr>
          <w:sz w:val="18"/>
        </w:rPr>
      </w:pPr>
      <w:r>
        <w:rPr>
          <w:b/>
          <w:i/>
          <w:sz w:val="18"/>
        </w:rPr>
        <w:t>Información presupuesta/ y administrativa. </w:t>
      </w:r>
      <w:r>
        <w:rPr>
          <w:sz w:val="18"/>
        </w:rPr>
        <w:t>Publican y divulgan información oportuna, detallada sobre la gestión, administración y gasto del presupuesto asignado a la institución legislativa, así como a los organismos que lo integran: comisiones legislativas, personal de apoyo, grupos parlamentarios y representantes populares en</w:t>
      </w:r>
      <w:r>
        <w:rPr>
          <w:spacing w:val="-35"/>
          <w:sz w:val="18"/>
        </w:rPr>
        <w:t> </w:t>
      </w:r>
      <w:r>
        <w:rPr>
          <w:sz w:val="18"/>
        </w:rPr>
        <w:t>lo individual.</w:t>
      </w:r>
    </w:p>
    <w:p>
      <w:pPr>
        <w:pStyle w:val="ListParagraph"/>
        <w:numPr>
          <w:ilvl w:val="1"/>
          <w:numId w:val="62"/>
        </w:numPr>
        <w:tabs>
          <w:tab w:pos="1006" w:val="left" w:leader="none"/>
        </w:tabs>
        <w:spacing w:line="278" w:lineRule="auto" w:before="0" w:after="0"/>
        <w:ind w:left="816" w:right="858" w:firstLine="0"/>
        <w:jc w:val="both"/>
        <w:rPr>
          <w:sz w:val="18"/>
        </w:rPr>
      </w:pPr>
      <w:r>
        <w:rPr>
          <w:b/>
          <w:i/>
          <w:sz w:val="18"/>
        </w:rPr>
        <w:t>Información</w:t>
      </w:r>
      <w:r>
        <w:rPr>
          <w:b/>
          <w:i/>
          <w:spacing w:val="-15"/>
          <w:sz w:val="18"/>
        </w:rPr>
        <w:t> </w:t>
      </w:r>
      <w:r>
        <w:rPr>
          <w:b/>
          <w:i/>
          <w:sz w:val="18"/>
        </w:rPr>
        <w:t>sobre</w:t>
      </w:r>
      <w:r>
        <w:rPr>
          <w:b/>
          <w:i/>
          <w:spacing w:val="-13"/>
          <w:sz w:val="18"/>
        </w:rPr>
        <w:t> </w:t>
      </w:r>
      <w:r>
        <w:rPr>
          <w:b/>
          <w:i/>
          <w:sz w:val="18"/>
        </w:rPr>
        <w:t>legisladores</w:t>
      </w:r>
      <w:r>
        <w:rPr>
          <w:b/>
          <w:i/>
          <w:spacing w:val="-14"/>
          <w:sz w:val="18"/>
        </w:rPr>
        <w:t> </w:t>
      </w:r>
      <w:r>
        <w:rPr>
          <w:b/>
          <w:i/>
          <w:sz w:val="18"/>
        </w:rPr>
        <w:t>y</w:t>
      </w:r>
      <w:r>
        <w:rPr>
          <w:b/>
          <w:i/>
          <w:spacing w:val="-15"/>
          <w:sz w:val="18"/>
        </w:rPr>
        <w:t> </w:t>
      </w:r>
      <w:r>
        <w:rPr>
          <w:b/>
          <w:i/>
          <w:sz w:val="18"/>
        </w:rPr>
        <w:t>servidores</w:t>
      </w:r>
      <w:r>
        <w:rPr>
          <w:b/>
          <w:i/>
          <w:spacing w:val="-15"/>
          <w:sz w:val="18"/>
        </w:rPr>
        <w:t> </w:t>
      </w:r>
      <w:r>
        <w:rPr>
          <w:b/>
          <w:i/>
          <w:sz w:val="18"/>
        </w:rPr>
        <w:t>públicos.</w:t>
      </w:r>
      <w:r>
        <w:rPr>
          <w:b/>
          <w:i/>
          <w:spacing w:val="-12"/>
          <w:sz w:val="18"/>
        </w:rPr>
        <w:t> </w:t>
      </w:r>
      <w:r>
        <w:rPr>
          <w:sz w:val="18"/>
        </w:rPr>
        <w:t>Requieren,</w:t>
      </w:r>
      <w:r>
        <w:rPr>
          <w:spacing w:val="-15"/>
          <w:sz w:val="18"/>
        </w:rPr>
        <w:t> </w:t>
      </w:r>
      <w:r>
        <w:rPr>
          <w:sz w:val="18"/>
        </w:rPr>
        <w:t>resguardan</w:t>
      </w:r>
      <w:r>
        <w:rPr>
          <w:spacing w:val="-15"/>
          <w:sz w:val="18"/>
        </w:rPr>
        <w:t> </w:t>
      </w:r>
      <w:r>
        <w:rPr>
          <w:sz w:val="18"/>
        </w:rPr>
        <w:t>y</w:t>
      </w:r>
      <w:r>
        <w:rPr>
          <w:spacing w:val="-16"/>
          <w:sz w:val="18"/>
        </w:rPr>
        <w:t> </w:t>
      </w:r>
      <w:r>
        <w:rPr>
          <w:sz w:val="18"/>
        </w:rPr>
        <w:t>publican información detallada sobre los representantes populares y los servidores públicos que lo integran,</w:t>
      </w:r>
      <w:r>
        <w:rPr>
          <w:spacing w:val="-5"/>
          <w:sz w:val="18"/>
        </w:rPr>
        <w:t> </w:t>
      </w:r>
      <w:r>
        <w:rPr>
          <w:sz w:val="18"/>
        </w:rPr>
        <w:t>incluidas</w:t>
      </w:r>
      <w:r>
        <w:rPr>
          <w:spacing w:val="-5"/>
          <w:sz w:val="18"/>
        </w:rPr>
        <w:t> </w:t>
      </w:r>
      <w:r>
        <w:rPr>
          <w:sz w:val="18"/>
        </w:rPr>
        <w:t>la</w:t>
      </w:r>
      <w:r>
        <w:rPr>
          <w:spacing w:val="-5"/>
          <w:sz w:val="18"/>
        </w:rPr>
        <w:t> </w:t>
      </w:r>
      <w:r>
        <w:rPr>
          <w:sz w:val="18"/>
        </w:rPr>
        <w:t>declaración</w:t>
      </w:r>
      <w:r>
        <w:rPr>
          <w:spacing w:val="-3"/>
          <w:sz w:val="18"/>
        </w:rPr>
        <w:t> </w:t>
      </w:r>
      <w:r>
        <w:rPr>
          <w:sz w:val="18"/>
        </w:rPr>
        <w:t>patrimonial</w:t>
      </w:r>
      <w:r>
        <w:rPr>
          <w:spacing w:val="-3"/>
          <w:sz w:val="18"/>
        </w:rPr>
        <w:t> </w:t>
      </w:r>
      <w:r>
        <w:rPr>
          <w:sz w:val="18"/>
        </w:rPr>
        <w:t>y</w:t>
      </w:r>
      <w:r>
        <w:rPr>
          <w:spacing w:val="-4"/>
          <w:sz w:val="18"/>
        </w:rPr>
        <w:t> </w:t>
      </w:r>
      <w:r>
        <w:rPr>
          <w:sz w:val="18"/>
        </w:rPr>
        <w:t>el</w:t>
      </w:r>
      <w:r>
        <w:rPr>
          <w:spacing w:val="-3"/>
          <w:sz w:val="18"/>
        </w:rPr>
        <w:t> </w:t>
      </w:r>
      <w:r>
        <w:rPr>
          <w:sz w:val="18"/>
        </w:rPr>
        <w:t>registro</w:t>
      </w:r>
      <w:r>
        <w:rPr>
          <w:spacing w:val="-5"/>
          <w:sz w:val="18"/>
        </w:rPr>
        <w:t> </w:t>
      </w:r>
      <w:r>
        <w:rPr>
          <w:sz w:val="18"/>
        </w:rPr>
        <w:t>de</w:t>
      </w:r>
      <w:r>
        <w:rPr>
          <w:spacing w:val="-5"/>
          <w:sz w:val="18"/>
        </w:rPr>
        <w:t> </w:t>
      </w:r>
      <w:r>
        <w:rPr>
          <w:sz w:val="18"/>
        </w:rPr>
        <w:t>intereses</w:t>
      </w:r>
      <w:r>
        <w:rPr>
          <w:spacing w:val="-4"/>
          <w:sz w:val="18"/>
        </w:rPr>
        <w:t> </w:t>
      </w:r>
      <w:r>
        <w:rPr>
          <w:sz w:val="18"/>
        </w:rPr>
        <w:t>de</w:t>
      </w:r>
      <w:r>
        <w:rPr>
          <w:spacing w:val="-5"/>
          <w:sz w:val="18"/>
        </w:rPr>
        <w:t> </w:t>
      </w:r>
      <w:r>
        <w:rPr>
          <w:sz w:val="18"/>
        </w:rPr>
        <w:t>los</w:t>
      </w:r>
      <w:r>
        <w:rPr>
          <w:spacing w:val="-4"/>
          <w:sz w:val="18"/>
        </w:rPr>
        <w:t> </w:t>
      </w:r>
      <w:r>
        <w:rPr>
          <w:sz w:val="18"/>
        </w:rPr>
        <w:t>representantes.</w:t>
      </w:r>
    </w:p>
    <w:p>
      <w:pPr>
        <w:pStyle w:val="ListParagraph"/>
        <w:numPr>
          <w:ilvl w:val="1"/>
          <w:numId w:val="62"/>
        </w:numPr>
        <w:tabs>
          <w:tab w:pos="1033" w:val="left" w:leader="none"/>
        </w:tabs>
        <w:spacing w:line="280" w:lineRule="auto" w:before="0" w:after="0"/>
        <w:ind w:left="816" w:right="861" w:firstLine="0"/>
        <w:jc w:val="both"/>
        <w:rPr>
          <w:sz w:val="18"/>
        </w:rPr>
      </w:pPr>
      <w:r>
        <w:rPr>
          <w:b/>
          <w:i/>
          <w:sz w:val="18"/>
        </w:rPr>
        <w:t>Información histórica</w:t>
      </w:r>
      <w:r>
        <w:rPr>
          <w:i/>
          <w:sz w:val="18"/>
        </w:rPr>
        <w:t>. </w:t>
      </w:r>
      <w:r>
        <w:rPr>
          <w:sz w:val="18"/>
        </w:rPr>
        <w:t>Presentan la información de la actividad legislativa que conforma un archivo histórico, accesible y abierto, en un lugar que se mantenga constante en el tiempo con una URL permanente y con hiperenlaces de referencia de los procesos</w:t>
      </w:r>
      <w:r>
        <w:rPr>
          <w:spacing w:val="-30"/>
          <w:sz w:val="18"/>
        </w:rPr>
        <w:t> </w:t>
      </w:r>
      <w:r>
        <w:rPr>
          <w:sz w:val="18"/>
        </w:rPr>
        <w:t>legislativos.</w:t>
      </w:r>
    </w:p>
    <w:p>
      <w:pPr>
        <w:pStyle w:val="ListParagraph"/>
        <w:numPr>
          <w:ilvl w:val="1"/>
          <w:numId w:val="62"/>
        </w:numPr>
        <w:tabs>
          <w:tab w:pos="1052" w:val="left" w:leader="none"/>
        </w:tabs>
        <w:spacing w:line="278" w:lineRule="auto" w:before="0" w:after="0"/>
        <w:ind w:left="816" w:right="860" w:firstLine="0"/>
        <w:jc w:val="both"/>
        <w:rPr>
          <w:sz w:val="18"/>
        </w:rPr>
      </w:pPr>
      <w:r>
        <w:rPr>
          <w:b/>
          <w:i/>
          <w:sz w:val="18"/>
        </w:rPr>
        <w:t>Datos abiertos y no propietario</w:t>
      </w:r>
      <w:r>
        <w:rPr>
          <w:i/>
          <w:sz w:val="18"/>
        </w:rPr>
        <w:t>. </w:t>
      </w:r>
      <w:r>
        <w:rPr>
          <w:sz w:val="18"/>
        </w:rPr>
        <w:t>Presenta la información con característica de datos abiertos,</w:t>
      </w:r>
      <w:r>
        <w:rPr>
          <w:spacing w:val="-8"/>
          <w:sz w:val="18"/>
        </w:rPr>
        <w:t> </w:t>
      </w:r>
      <w:r>
        <w:rPr>
          <w:sz w:val="18"/>
        </w:rPr>
        <w:t>interactivos</w:t>
      </w:r>
      <w:r>
        <w:rPr>
          <w:spacing w:val="-4"/>
          <w:sz w:val="18"/>
        </w:rPr>
        <w:t> </w:t>
      </w:r>
      <w:r>
        <w:rPr>
          <w:sz w:val="18"/>
        </w:rPr>
        <w:t>e</w:t>
      </w:r>
      <w:r>
        <w:rPr>
          <w:spacing w:val="-7"/>
          <w:sz w:val="18"/>
        </w:rPr>
        <w:t> </w:t>
      </w:r>
      <w:r>
        <w:rPr>
          <w:sz w:val="18"/>
        </w:rPr>
        <w:t>históricos,</w:t>
      </w:r>
      <w:r>
        <w:rPr>
          <w:spacing w:val="-5"/>
          <w:sz w:val="18"/>
        </w:rPr>
        <w:t> </w:t>
      </w:r>
      <w:r>
        <w:rPr>
          <w:sz w:val="18"/>
        </w:rPr>
        <w:t>utilizan</w:t>
      </w:r>
      <w:r>
        <w:rPr>
          <w:spacing w:val="-5"/>
          <w:sz w:val="18"/>
        </w:rPr>
        <w:t> </w:t>
      </w:r>
      <w:r>
        <w:rPr>
          <w:sz w:val="18"/>
        </w:rPr>
        <w:t>software</w:t>
      </w:r>
      <w:r>
        <w:rPr>
          <w:spacing w:val="-5"/>
          <w:sz w:val="18"/>
        </w:rPr>
        <w:t> </w:t>
      </w:r>
      <w:r>
        <w:rPr>
          <w:sz w:val="18"/>
        </w:rPr>
        <w:t>libre</w:t>
      </w:r>
      <w:r>
        <w:rPr>
          <w:spacing w:val="-5"/>
          <w:sz w:val="18"/>
        </w:rPr>
        <w:t> </w:t>
      </w:r>
      <w:r>
        <w:rPr>
          <w:sz w:val="18"/>
        </w:rPr>
        <w:t>y</w:t>
      </w:r>
      <w:r>
        <w:rPr>
          <w:spacing w:val="-7"/>
          <w:sz w:val="18"/>
        </w:rPr>
        <w:t> </w:t>
      </w:r>
      <w:r>
        <w:rPr>
          <w:sz w:val="18"/>
        </w:rPr>
        <w:t>código</w:t>
      </w:r>
      <w:r>
        <w:rPr>
          <w:spacing w:val="-5"/>
          <w:sz w:val="18"/>
        </w:rPr>
        <w:t> </w:t>
      </w:r>
      <w:r>
        <w:rPr>
          <w:sz w:val="18"/>
        </w:rPr>
        <w:t>abierto</w:t>
      </w:r>
      <w:r>
        <w:rPr>
          <w:spacing w:val="-5"/>
          <w:sz w:val="18"/>
        </w:rPr>
        <w:t> </w:t>
      </w:r>
      <w:r>
        <w:rPr>
          <w:sz w:val="18"/>
        </w:rPr>
        <w:t>y</w:t>
      </w:r>
      <w:r>
        <w:rPr>
          <w:spacing w:val="-7"/>
          <w:sz w:val="18"/>
        </w:rPr>
        <w:t> </w:t>
      </w:r>
      <w:r>
        <w:rPr>
          <w:sz w:val="18"/>
        </w:rPr>
        <w:t>facilitan</w:t>
      </w:r>
      <w:r>
        <w:rPr>
          <w:spacing w:val="-7"/>
          <w:sz w:val="18"/>
        </w:rPr>
        <w:t> </w:t>
      </w:r>
      <w:r>
        <w:rPr>
          <w:sz w:val="18"/>
        </w:rPr>
        <w:t>la</w:t>
      </w:r>
      <w:r>
        <w:rPr>
          <w:spacing w:val="-5"/>
          <w:sz w:val="18"/>
        </w:rPr>
        <w:t> </w:t>
      </w:r>
      <w:r>
        <w:rPr>
          <w:sz w:val="18"/>
        </w:rPr>
        <w:t>descarga masiva (bulo) de información en formatos de datos</w:t>
      </w:r>
      <w:r>
        <w:rPr>
          <w:spacing w:val="-21"/>
          <w:sz w:val="18"/>
        </w:rPr>
        <w:t> </w:t>
      </w:r>
      <w:r>
        <w:rPr>
          <w:sz w:val="18"/>
        </w:rPr>
        <w:t>abiertos.</w:t>
      </w:r>
    </w:p>
    <w:p>
      <w:pPr>
        <w:pStyle w:val="ListParagraph"/>
        <w:numPr>
          <w:ilvl w:val="1"/>
          <w:numId w:val="62"/>
        </w:numPr>
        <w:tabs>
          <w:tab w:pos="1026" w:val="left" w:leader="none"/>
        </w:tabs>
        <w:spacing w:line="278" w:lineRule="auto" w:before="0" w:after="0"/>
        <w:ind w:left="816" w:right="862" w:firstLine="0"/>
        <w:jc w:val="both"/>
        <w:rPr>
          <w:sz w:val="18"/>
        </w:rPr>
      </w:pPr>
      <w:r>
        <w:rPr>
          <w:b/>
          <w:i/>
          <w:sz w:val="18"/>
        </w:rPr>
        <w:t>Accesibilidad y difusión. </w:t>
      </w:r>
      <w:r>
        <w:rPr>
          <w:sz w:val="18"/>
        </w:rPr>
        <w:t>Aseguran que las instalaciones, las sesiones y reuniones sean accesibles y abiertas al público, promueven la transmisión en tiempo real de los procedimientos parlamentarios por canales de comunicación</w:t>
      </w:r>
      <w:r>
        <w:rPr>
          <w:spacing w:val="-32"/>
          <w:sz w:val="18"/>
        </w:rPr>
        <w:t> </w:t>
      </w:r>
      <w:r>
        <w:rPr>
          <w:sz w:val="18"/>
        </w:rPr>
        <w:t>abiertos.</w:t>
      </w:r>
    </w:p>
    <w:p>
      <w:pPr>
        <w:pStyle w:val="ListParagraph"/>
        <w:numPr>
          <w:ilvl w:val="1"/>
          <w:numId w:val="62"/>
        </w:numPr>
        <w:tabs>
          <w:tab w:pos="1011" w:val="left" w:leader="none"/>
        </w:tabs>
        <w:spacing w:line="276" w:lineRule="auto" w:before="0" w:after="0"/>
        <w:ind w:left="816" w:right="857" w:firstLine="0"/>
        <w:jc w:val="both"/>
        <w:rPr>
          <w:sz w:val="18"/>
        </w:rPr>
      </w:pPr>
      <w:r>
        <w:rPr>
          <w:b/>
          <w:i/>
          <w:sz w:val="18"/>
        </w:rPr>
        <w:t>Conflictos</w:t>
      </w:r>
      <w:r>
        <w:rPr>
          <w:b/>
          <w:i/>
          <w:spacing w:val="-12"/>
          <w:sz w:val="18"/>
        </w:rPr>
        <w:t> </w:t>
      </w:r>
      <w:r>
        <w:rPr>
          <w:b/>
          <w:i/>
          <w:sz w:val="18"/>
        </w:rPr>
        <w:t>de</w:t>
      </w:r>
      <w:r>
        <w:rPr>
          <w:b/>
          <w:i/>
          <w:spacing w:val="-10"/>
          <w:sz w:val="18"/>
        </w:rPr>
        <w:t> </w:t>
      </w:r>
      <w:r>
        <w:rPr>
          <w:b/>
          <w:i/>
          <w:sz w:val="18"/>
        </w:rPr>
        <w:t>interés.</w:t>
      </w:r>
      <w:r>
        <w:rPr>
          <w:b/>
          <w:i/>
          <w:spacing w:val="-11"/>
          <w:sz w:val="18"/>
        </w:rPr>
        <w:t> </w:t>
      </w:r>
      <w:r>
        <w:rPr>
          <w:i/>
          <w:sz w:val="18"/>
        </w:rPr>
        <w:t>Regulan,</w:t>
      </w:r>
      <w:r>
        <w:rPr>
          <w:i/>
          <w:spacing w:val="-12"/>
          <w:sz w:val="18"/>
        </w:rPr>
        <w:t> </w:t>
      </w:r>
      <w:r>
        <w:rPr>
          <w:i/>
          <w:sz w:val="18"/>
        </w:rPr>
        <w:t>ordenan</w:t>
      </w:r>
      <w:r>
        <w:rPr>
          <w:i/>
          <w:spacing w:val="-12"/>
          <w:sz w:val="18"/>
        </w:rPr>
        <w:t> </w:t>
      </w:r>
      <w:r>
        <w:rPr>
          <w:i/>
          <w:sz w:val="18"/>
        </w:rPr>
        <w:t>y</w:t>
      </w:r>
      <w:r>
        <w:rPr>
          <w:i/>
          <w:spacing w:val="-12"/>
          <w:sz w:val="18"/>
        </w:rPr>
        <w:t> </w:t>
      </w:r>
      <w:r>
        <w:rPr>
          <w:i/>
          <w:sz w:val="18"/>
        </w:rPr>
        <w:t>transparentan</w:t>
      </w:r>
      <w:r>
        <w:rPr>
          <w:i/>
          <w:spacing w:val="-9"/>
          <w:sz w:val="18"/>
        </w:rPr>
        <w:t> </w:t>
      </w:r>
      <w:r>
        <w:rPr>
          <w:sz w:val="18"/>
        </w:rPr>
        <w:t>las</w:t>
      </w:r>
      <w:r>
        <w:rPr>
          <w:spacing w:val="-12"/>
          <w:sz w:val="18"/>
        </w:rPr>
        <w:t> </w:t>
      </w:r>
      <w:r>
        <w:rPr>
          <w:sz w:val="18"/>
        </w:rPr>
        <w:t>acciones</w:t>
      </w:r>
      <w:r>
        <w:rPr>
          <w:spacing w:val="-12"/>
          <w:sz w:val="18"/>
        </w:rPr>
        <w:t> </w:t>
      </w:r>
      <w:r>
        <w:rPr>
          <w:sz w:val="18"/>
        </w:rPr>
        <w:t>de</w:t>
      </w:r>
      <w:r>
        <w:rPr>
          <w:spacing w:val="-12"/>
          <w:sz w:val="18"/>
        </w:rPr>
        <w:t> </w:t>
      </w:r>
      <w:r>
        <w:rPr>
          <w:sz w:val="18"/>
        </w:rPr>
        <w:t>cabildeo,</w:t>
      </w:r>
      <w:r>
        <w:rPr>
          <w:spacing w:val="-12"/>
          <w:sz w:val="18"/>
        </w:rPr>
        <w:t> </w:t>
      </w:r>
      <w:r>
        <w:rPr>
          <w:sz w:val="18"/>
        </w:rPr>
        <w:t>cuentan con mecanismos para evitar conflictos de intereses y aseguran la conducta ética de los representantes.</w:t>
      </w:r>
    </w:p>
    <w:p>
      <w:pPr>
        <w:pStyle w:val="ListParagraph"/>
        <w:numPr>
          <w:ilvl w:val="1"/>
          <w:numId w:val="62"/>
        </w:numPr>
        <w:tabs>
          <w:tab w:pos="1162" w:val="left" w:leader="none"/>
        </w:tabs>
        <w:spacing w:line="276" w:lineRule="auto" w:before="0" w:after="0"/>
        <w:ind w:left="816" w:right="856" w:firstLine="0"/>
        <w:jc w:val="both"/>
        <w:rPr>
          <w:sz w:val="18"/>
        </w:rPr>
      </w:pPr>
      <w:r>
        <w:rPr>
          <w:b/>
          <w:i/>
          <w:sz w:val="18"/>
        </w:rPr>
        <w:t>Legislan a favor del gobierno abierto. </w:t>
      </w:r>
      <w:r>
        <w:rPr>
          <w:sz w:val="18"/>
        </w:rPr>
        <w:t>Aprueban leyes que favorecen políticas de gobierno abierto en otros poderes y órdenes de gobierno, asegurándose de que en todas las funciones de la vida parlamentaria se incorporen estos principios (Alianza para el Parlamento Abierto,</w:t>
      </w:r>
      <w:r>
        <w:rPr>
          <w:spacing w:val="-5"/>
          <w:sz w:val="18"/>
        </w:rPr>
        <w:t> </w:t>
      </w:r>
      <w:r>
        <w:rPr>
          <w:sz w:val="18"/>
        </w:rPr>
        <w:t>2014).</w:t>
      </w:r>
    </w:p>
    <w:p>
      <w:pPr>
        <w:spacing w:after="0" w:line="276" w:lineRule="auto"/>
        <w:jc w:val="both"/>
        <w:rPr>
          <w:sz w:val="18"/>
        </w:rPr>
        <w:sectPr>
          <w:pgSz w:w="12240" w:h="15840"/>
          <w:pgMar w:header="0" w:footer="1035" w:top="1360" w:bottom="1220" w:left="1500" w:right="1600"/>
        </w:sectPr>
      </w:pPr>
    </w:p>
    <w:p>
      <w:pPr>
        <w:pStyle w:val="BodyText"/>
        <w:spacing w:line="360" w:lineRule="auto" w:before="54"/>
        <w:ind w:left="128" w:right="115"/>
        <w:jc w:val="both"/>
      </w:pPr>
      <w:r>
        <w:rPr/>
        <w:t>Estas acciones resultan relevantes para el desarrollo de la transparencia. Sin embargo, no hay resultados de sus acciones realizadas en favor de estas actividades. Tampoco se estableció un programa de trabajo que definiera las estrategias para dar cumplimiento al trabajo asignado por las comisiones.</w:t>
      </w:r>
    </w:p>
    <w:p>
      <w:pPr>
        <w:pStyle w:val="BodyText"/>
      </w:pPr>
    </w:p>
    <w:p>
      <w:pPr>
        <w:pStyle w:val="BodyText"/>
      </w:pPr>
    </w:p>
    <w:p>
      <w:pPr>
        <w:pStyle w:val="BodyText"/>
        <w:spacing w:line="360" w:lineRule="auto" w:before="185"/>
        <w:ind w:left="128" w:right="118"/>
        <w:jc w:val="both"/>
      </w:pPr>
      <w:r>
        <w:rPr/>
        <w:t>Estos</w:t>
      </w:r>
      <w:r>
        <w:rPr>
          <w:spacing w:val="-20"/>
        </w:rPr>
        <w:t> </w:t>
      </w:r>
      <w:r>
        <w:rPr/>
        <w:t>compromisos</w:t>
      </w:r>
      <w:r>
        <w:rPr>
          <w:spacing w:val="-21"/>
        </w:rPr>
        <w:t> </w:t>
      </w:r>
      <w:r>
        <w:rPr/>
        <w:t>también</w:t>
      </w:r>
      <w:r>
        <w:rPr>
          <w:spacing w:val="-20"/>
        </w:rPr>
        <w:t> </w:t>
      </w:r>
      <w:r>
        <w:rPr/>
        <w:t>pueden</w:t>
      </w:r>
      <w:r>
        <w:rPr>
          <w:spacing w:val="-18"/>
        </w:rPr>
        <w:t> </w:t>
      </w:r>
      <w:r>
        <w:rPr/>
        <w:t>confrontarse</w:t>
      </w:r>
      <w:r>
        <w:rPr>
          <w:spacing w:val="-18"/>
        </w:rPr>
        <w:t> </w:t>
      </w:r>
      <w:r>
        <w:rPr/>
        <w:t>con</w:t>
      </w:r>
      <w:r>
        <w:rPr>
          <w:spacing w:val="-14"/>
        </w:rPr>
        <w:t> </w:t>
      </w:r>
      <w:r>
        <w:rPr/>
        <w:t>las</w:t>
      </w:r>
      <w:r>
        <w:rPr>
          <w:spacing w:val="-18"/>
        </w:rPr>
        <w:t> </w:t>
      </w:r>
      <w:r>
        <w:rPr/>
        <w:t>votaciones</w:t>
      </w:r>
      <w:r>
        <w:rPr>
          <w:spacing w:val="-18"/>
        </w:rPr>
        <w:t> </w:t>
      </w:r>
      <w:r>
        <w:rPr/>
        <w:t>que</w:t>
      </w:r>
      <w:r>
        <w:rPr>
          <w:spacing w:val="-18"/>
        </w:rPr>
        <w:t> </w:t>
      </w:r>
      <w:r>
        <w:rPr/>
        <w:t>los</w:t>
      </w:r>
      <w:r>
        <w:rPr>
          <w:spacing w:val="-21"/>
        </w:rPr>
        <w:t> </w:t>
      </w:r>
      <w:r>
        <w:rPr/>
        <w:t>partidos hacen en relación a la transparencia, cabe destacar que la participación de los partidos en favor de la misma es evidente (ver tablas 49 a</w:t>
      </w:r>
      <w:r>
        <w:rPr>
          <w:spacing w:val="-20"/>
        </w:rPr>
        <w:t> </w:t>
      </w:r>
      <w:r>
        <w:rPr/>
        <w:t>51).</w:t>
      </w:r>
    </w:p>
    <w:p>
      <w:pPr>
        <w:pStyle w:val="BodyText"/>
        <w:rPr>
          <w:sz w:val="20"/>
        </w:rPr>
      </w:pPr>
    </w:p>
    <w:p>
      <w:pPr>
        <w:pStyle w:val="BodyText"/>
        <w:rPr>
          <w:sz w:val="20"/>
        </w:rPr>
      </w:pPr>
    </w:p>
    <w:p>
      <w:pPr>
        <w:pStyle w:val="BodyText"/>
        <w:spacing w:before="6"/>
        <w:rPr>
          <w:sz w:val="10"/>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98"/>
        <w:gridCol w:w="1104"/>
        <w:gridCol w:w="1100"/>
        <w:gridCol w:w="1104"/>
        <w:gridCol w:w="1104"/>
        <w:gridCol w:w="1104"/>
        <w:gridCol w:w="1102"/>
        <w:gridCol w:w="1106"/>
      </w:tblGrid>
      <w:tr>
        <w:trPr>
          <w:trHeight w:val="941" w:hRule="exact"/>
        </w:trPr>
        <w:tc>
          <w:tcPr>
            <w:tcW w:w="8922" w:type="dxa"/>
            <w:gridSpan w:val="8"/>
            <w:shd w:val="clear" w:color="auto" w:fill="92D050"/>
          </w:tcPr>
          <w:p>
            <w:pPr>
              <w:pStyle w:val="TableParagraph"/>
              <w:spacing w:line="360" w:lineRule="auto"/>
              <w:ind w:left="103" w:right="56"/>
              <w:jc w:val="left"/>
              <w:rPr>
                <w:b/>
                <w:sz w:val="18"/>
              </w:rPr>
            </w:pPr>
            <w:r>
              <w:rPr>
                <w:b/>
                <w:sz w:val="18"/>
              </w:rPr>
              <w:t>Tabla 4.5. Votación del día 23 de marzo de 2004 en la reforma que deroga la fracción I del artículo 22 de la Ley Federal de Transparencia y Acceso a la Información Pública Gubernamental (en lo general y en lo particular)</w:t>
            </w:r>
          </w:p>
        </w:tc>
      </w:tr>
      <w:tr>
        <w:trPr>
          <w:trHeight w:val="322" w:hRule="exact"/>
        </w:trPr>
        <w:tc>
          <w:tcPr>
            <w:tcW w:w="1198" w:type="dxa"/>
            <w:shd w:val="clear" w:color="auto" w:fill="92D050"/>
          </w:tcPr>
          <w:p>
            <w:pPr>
              <w:pStyle w:val="TableParagraph"/>
              <w:spacing w:line="201" w:lineRule="exact"/>
              <w:ind w:left="103"/>
              <w:jc w:val="left"/>
              <w:rPr>
                <w:b/>
                <w:sz w:val="18"/>
              </w:rPr>
            </w:pPr>
            <w:r>
              <w:rPr>
                <w:b/>
                <w:sz w:val="18"/>
              </w:rPr>
              <w:t>Votación</w:t>
            </w:r>
          </w:p>
        </w:tc>
        <w:tc>
          <w:tcPr>
            <w:tcW w:w="1104" w:type="dxa"/>
            <w:shd w:val="clear" w:color="auto" w:fill="92D050"/>
          </w:tcPr>
          <w:p>
            <w:pPr>
              <w:pStyle w:val="TableParagraph"/>
              <w:spacing w:line="201" w:lineRule="exact"/>
              <w:ind w:left="271" w:right="271"/>
              <w:rPr>
                <w:b/>
                <w:sz w:val="18"/>
              </w:rPr>
            </w:pPr>
            <w:r>
              <w:rPr>
                <w:b/>
                <w:sz w:val="18"/>
              </w:rPr>
              <w:t>Total</w:t>
            </w:r>
          </w:p>
        </w:tc>
        <w:tc>
          <w:tcPr>
            <w:tcW w:w="1100" w:type="dxa"/>
            <w:shd w:val="clear" w:color="auto" w:fill="92D050"/>
          </w:tcPr>
          <w:p>
            <w:pPr>
              <w:pStyle w:val="TableParagraph"/>
              <w:spacing w:line="201" w:lineRule="exact"/>
              <w:ind w:left="376" w:right="373"/>
              <w:rPr>
                <w:b/>
                <w:sz w:val="18"/>
              </w:rPr>
            </w:pPr>
            <w:r>
              <w:rPr>
                <w:b/>
                <w:sz w:val="18"/>
              </w:rPr>
              <w:t>PRI</w:t>
            </w:r>
          </w:p>
        </w:tc>
        <w:tc>
          <w:tcPr>
            <w:tcW w:w="1104" w:type="dxa"/>
            <w:shd w:val="clear" w:color="auto" w:fill="92D050"/>
          </w:tcPr>
          <w:p>
            <w:pPr>
              <w:pStyle w:val="TableParagraph"/>
              <w:spacing w:line="201" w:lineRule="exact"/>
              <w:ind w:right="357"/>
              <w:jc w:val="right"/>
              <w:rPr>
                <w:b/>
                <w:sz w:val="18"/>
              </w:rPr>
            </w:pPr>
            <w:r>
              <w:rPr>
                <w:b/>
                <w:sz w:val="18"/>
              </w:rPr>
              <w:t>PAN</w:t>
            </w:r>
          </w:p>
        </w:tc>
        <w:tc>
          <w:tcPr>
            <w:tcW w:w="1104" w:type="dxa"/>
            <w:shd w:val="clear" w:color="auto" w:fill="92D050"/>
          </w:tcPr>
          <w:p>
            <w:pPr>
              <w:pStyle w:val="TableParagraph"/>
              <w:spacing w:line="201" w:lineRule="exact"/>
              <w:ind w:left="337" w:right="337"/>
              <w:rPr>
                <w:b/>
                <w:sz w:val="18"/>
              </w:rPr>
            </w:pPr>
            <w:r>
              <w:rPr>
                <w:b/>
                <w:sz w:val="18"/>
              </w:rPr>
              <w:t>PRD</w:t>
            </w:r>
          </w:p>
        </w:tc>
        <w:tc>
          <w:tcPr>
            <w:tcW w:w="1104" w:type="dxa"/>
            <w:shd w:val="clear" w:color="auto" w:fill="92D050"/>
          </w:tcPr>
          <w:p>
            <w:pPr>
              <w:pStyle w:val="TableParagraph"/>
              <w:spacing w:line="201" w:lineRule="exact"/>
              <w:ind w:left="272" w:right="271"/>
              <w:rPr>
                <w:b/>
                <w:sz w:val="18"/>
              </w:rPr>
            </w:pPr>
            <w:r>
              <w:rPr>
                <w:b/>
                <w:sz w:val="18"/>
              </w:rPr>
              <w:t>PVEM</w:t>
            </w:r>
          </w:p>
        </w:tc>
        <w:tc>
          <w:tcPr>
            <w:tcW w:w="1102" w:type="dxa"/>
            <w:shd w:val="clear" w:color="auto" w:fill="92D050"/>
          </w:tcPr>
          <w:p>
            <w:pPr>
              <w:pStyle w:val="TableParagraph"/>
              <w:spacing w:line="201" w:lineRule="exact"/>
              <w:ind w:left="410" w:right="411"/>
              <w:rPr>
                <w:b/>
                <w:sz w:val="18"/>
              </w:rPr>
            </w:pPr>
            <w:r>
              <w:rPr>
                <w:b/>
                <w:sz w:val="18"/>
              </w:rPr>
              <w:t>PT</w:t>
            </w:r>
          </w:p>
        </w:tc>
        <w:tc>
          <w:tcPr>
            <w:tcW w:w="1106" w:type="dxa"/>
            <w:shd w:val="clear" w:color="auto" w:fill="92D050"/>
          </w:tcPr>
          <w:p>
            <w:pPr>
              <w:pStyle w:val="TableParagraph"/>
              <w:spacing w:line="201" w:lineRule="exact"/>
              <w:ind w:left="83" w:right="83"/>
              <w:rPr>
                <w:b/>
                <w:sz w:val="18"/>
              </w:rPr>
            </w:pPr>
            <w:r>
              <w:rPr>
                <w:b/>
                <w:sz w:val="18"/>
              </w:rPr>
              <w:t>CONV</w:t>
            </w:r>
          </w:p>
        </w:tc>
      </w:tr>
      <w:tr>
        <w:trPr>
          <w:trHeight w:val="319" w:hRule="exact"/>
        </w:trPr>
        <w:tc>
          <w:tcPr>
            <w:tcW w:w="1198" w:type="dxa"/>
            <w:shd w:val="clear" w:color="auto" w:fill="92D050"/>
          </w:tcPr>
          <w:p>
            <w:pPr>
              <w:pStyle w:val="TableParagraph"/>
              <w:spacing w:line="201" w:lineRule="exact"/>
              <w:ind w:left="103"/>
              <w:jc w:val="left"/>
              <w:rPr>
                <w:b/>
                <w:sz w:val="18"/>
              </w:rPr>
            </w:pPr>
            <w:r>
              <w:rPr>
                <w:b/>
                <w:sz w:val="18"/>
              </w:rPr>
              <w:t>Favor</w:t>
            </w:r>
          </w:p>
        </w:tc>
        <w:tc>
          <w:tcPr>
            <w:tcW w:w="1104" w:type="dxa"/>
            <w:shd w:val="clear" w:color="auto" w:fill="92D050"/>
          </w:tcPr>
          <w:p>
            <w:pPr>
              <w:pStyle w:val="TableParagraph"/>
              <w:spacing w:line="201" w:lineRule="exact"/>
              <w:ind w:left="271" w:right="271"/>
              <w:rPr>
                <w:b/>
                <w:sz w:val="18"/>
              </w:rPr>
            </w:pPr>
            <w:r>
              <w:rPr>
                <w:b/>
                <w:sz w:val="18"/>
              </w:rPr>
              <w:t>414</w:t>
            </w:r>
          </w:p>
        </w:tc>
        <w:tc>
          <w:tcPr>
            <w:tcW w:w="1100" w:type="dxa"/>
            <w:tcBorders>
              <w:left w:val="single" w:sz="41" w:space="0" w:color="92D050"/>
            </w:tcBorders>
          </w:tcPr>
          <w:p>
            <w:pPr>
              <w:pStyle w:val="TableParagraph"/>
              <w:spacing w:line="206" w:lineRule="exact"/>
              <w:ind w:left="331" w:right="371"/>
              <w:rPr>
                <w:sz w:val="18"/>
              </w:rPr>
            </w:pPr>
            <w:r>
              <w:rPr>
                <w:sz w:val="18"/>
              </w:rPr>
              <w:t>164</w:t>
            </w:r>
          </w:p>
        </w:tc>
        <w:tc>
          <w:tcPr>
            <w:tcW w:w="1104" w:type="dxa"/>
          </w:tcPr>
          <w:p>
            <w:pPr>
              <w:pStyle w:val="TableParagraph"/>
              <w:spacing w:line="206" w:lineRule="exact"/>
              <w:ind w:right="395"/>
              <w:jc w:val="right"/>
              <w:rPr>
                <w:sz w:val="18"/>
              </w:rPr>
            </w:pPr>
            <w:r>
              <w:rPr>
                <w:w w:val="95"/>
                <w:sz w:val="18"/>
              </w:rPr>
              <w:t>140</w:t>
            </w:r>
          </w:p>
        </w:tc>
        <w:tc>
          <w:tcPr>
            <w:tcW w:w="1104" w:type="dxa"/>
          </w:tcPr>
          <w:p>
            <w:pPr>
              <w:pStyle w:val="TableParagraph"/>
              <w:spacing w:line="206" w:lineRule="exact"/>
              <w:ind w:left="337" w:right="337"/>
              <w:rPr>
                <w:sz w:val="18"/>
              </w:rPr>
            </w:pPr>
            <w:r>
              <w:rPr>
                <w:sz w:val="18"/>
              </w:rPr>
              <w:t>88</w:t>
            </w:r>
          </w:p>
        </w:tc>
        <w:tc>
          <w:tcPr>
            <w:tcW w:w="1104" w:type="dxa"/>
          </w:tcPr>
          <w:p>
            <w:pPr>
              <w:pStyle w:val="TableParagraph"/>
              <w:spacing w:line="206" w:lineRule="exact"/>
              <w:ind w:left="272" w:right="268"/>
              <w:rPr>
                <w:sz w:val="18"/>
              </w:rPr>
            </w:pPr>
            <w:r>
              <w:rPr>
                <w:sz w:val="18"/>
              </w:rPr>
              <w:t>13</w:t>
            </w:r>
          </w:p>
        </w:tc>
        <w:tc>
          <w:tcPr>
            <w:tcW w:w="1102" w:type="dxa"/>
          </w:tcPr>
          <w:p>
            <w:pPr>
              <w:pStyle w:val="TableParagraph"/>
              <w:spacing w:line="206" w:lineRule="exact"/>
              <w:ind w:right="1"/>
              <w:rPr>
                <w:sz w:val="18"/>
              </w:rPr>
            </w:pPr>
            <w:r>
              <w:rPr>
                <w:w w:val="99"/>
                <w:sz w:val="18"/>
              </w:rPr>
              <w:t>4</w:t>
            </w:r>
          </w:p>
        </w:tc>
        <w:tc>
          <w:tcPr>
            <w:tcW w:w="1106" w:type="dxa"/>
          </w:tcPr>
          <w:p>
            <w:pPr>
              <w:pStyle w:val="TableParagraph"/>
              <w:spacing w:line="206" w:lineRule="exact"/>
              <w:ind w:right="1"/>
              <w:rPr>
                <w:sz w:val="18"/>
              </w:rPr>
            </w:pPr>
            <w:r>
              <w:rPr>
                <w:w w:val="99"/>
                <w:sz w:val="18"/>
              </w:rPr>
              <w:t>5</w:t>
            </w:r>
          </w:p>
        </w:tc>
      </w:tr>
      <w:tr>
        <w:trPr>
          <w:trHeight w:val="322" w:hRule="exact"/>
        </w:trPr>
        <w:tc>
          <w:tcPr>
            <w:tcW w:w="1198" w:type="dxa"/>
            <w:shd w:val="clear" w:color="auto" w:fill="92D050"/>
          </w:tcPr>
          <w:p>
            <w:pPr>
              <w:pStyle w:val="TableParagraph"/>
              <w:spacing w:line="201" w:lineRule="exact"/>
              <w:ind w:left="103"/>
              <w:jc w:val="left"/>
              <w:rPr>
                <w:b/>
                <w:sz w:val="18"/>
              </w:rPr>
            </w:pPr>
            <w:r>
              <w:rPr>
                <w:b/>
                <w:sz w:val="18"/>
              </w:rPr>
              <w:t>Contra</w:t>
            </w:r>
          </w:p>
        </w:tc>
        <w:tc>
          <w:tcPr>
            <w:tcW w:w="1104" w:type="dxa"/>
            <w:shd w:val="clear" w:color="auto" w:fill="92D050"/>
          </w:tcPr>
          <w:p>
            <w:pPr>
              <w:pStyle w:val="TableParagraph"/>
              <w:spacing w:line="201" w:lineRule="exact"/>
              <w:rPr>
                <w:b/>
                <w:sz w:val="18"/>
              </w:rPr>
            </w:pPr>
            <w:r>
              <w:rPr>
                <w:b/>
                <w:w w:val="99"/>
                <w:sz w:val="18"/>
              </w:rPr>
              <w:t>0</w:t>
            </w:r>
          </w:p>
        </w:tc>
        <w:tc>
          <w:tcPr>
            <w:tcW w:w="1100" w:type="dxa"/>
            <w:tcBorders>
              <w:left w:val="single" w:sz="41" w:space="0" w:color="92D050"/>
            </w:tcBorders>
          </w:tcPr>
          <w:p>
            <w:pPr>
              <w:pStyle w:val="TableParagraph"/>
              <w:spacing w:line="206" w:lineRule="exact"/>
              <w:ind w:right="44"/>
              <w:rPr>
                <w:sz w:val="18"/>
              </w:rPr>
            </w:pPr>
            <w:r>
              <w:rPr>
                <w:w w:val="99"/>
                <w:sz w:val="18"/>
              </w:rPr>
              <w:t>0</w:t>
            </w:r>
          </w:p>
        </w:tc>
        <w:tc>
          <w:tcPr>
            <w:tcW w:w="1104" w:type="dxa"/>
          </w:tcPr>
          <w:p>
            <w:pPr>
              <w:pStyle w:val="TableParagraph"/>
              <w:spacing w:line="206" w:lineRule="exact"/>
              <w:rPr>
                <w:sz w:val="18"/>
              </w:rPr>
            </w:pPr>
            <w:r>
              <w:rPr>
                <w:w w:val="99"/>
                <w:sz w:val="18"/>
              </w:rPr>
              <w:t>0</w:t>
            </w:r>
          </w:p>
        </w:tc>
        <w:tc>
          <w:tcPr>
            <w:tcW w:w="1104" w:type="dxa"/>
          </w:tcPr>
          <w:p>
            <w:pPr>
              <w:pStyle w:val="TableParagraph"/>
              <w:spacing w:line="206" w:lineRule="exact"/>
              <w:ind w:right="1"/>
              <w:rPr>
                <w:sz w:val="18"/>
              </w:rPr>
            </w:pPr>
            <w:r>
              <w:rPr>
                <w:w w:val="99"/>
                <w:sz w:val="18"/>
              </w:rPr>
              <w:t>0</w:t>
            </w:r>
          </w:p>
        </w:tc>
        <w:tc>
          <w:tcPr>
            <w:tcW w:w="1104" w:type="dxa"/>
          </w:tcPr>
          <w:p>
            <w:pPr>
              <w:pStyle w:val="TableParagraph"/>
              <w:spacing w:line="206" w:lineRule="exact"/>
              <w:rPr>
                <w:sz w:val="18"/>
              </w:rPr>
            </w:pPr>
            <w:r>
              <w:rPr>
                <w:w w:val="99"/>
                <w:sz w:val="18"/>
              </w:rPr>
              <w:t>0</w:t>
            </w:r>
          </w:p>
        </w:tc>
        <w:tc>
          <w:tcPr>
            <w:tcW w:w="1102" w:type="dxa"/>
          </w:tcPr>
          <w:p>
            <w:pPr>
              <w:pStyle w:val="TableParagraph"/>
              <w:spacing w:line="206" w:lineRule="exact"/>
              <w:ind w:right="1"/>
              <w:rPr>
                <w:sz w:val="18"/>
              </w:rPr>
            </w:pPr>
            <w:r>
              <w:rPr>
                <w:w w:val="99"/>
                <w:sz w:val="18"/>
              </w:rPr>
              <w:t>0</w:t>
            </w:r>
          </w:p>
        </w:tc>
        <w:tc>
          <w:tcPr>
            <w:tcW w:w="1106" w:type="dxa"/>
          </w:tcPr>
          <w:p>
            <w:pPr>
              <w:pStyle w:val="TableParagraph"/>
              <w:spacing w:line="206" w:lineRule="exact"/>
              <w:ind w:right="1"/>
              <w:rPr>
                <w:sz w:val="18"/>
              </w:rPr>
            </w:pPr>
            <w:r>
              <w:rPr>
                <w:w w:val="99"/>
                <w:sz w:val="18"/>
              </w:rPr>
              <w:t>0</w:t>
            </w:r>
          </w:p>
        </w:tc>
      </w:tr>
      <w:tr>
        <w:trPr>
          <w:trHeight w:val="319" w:hRule="exact"/>
        </w:trPr>
        <w:tc>
          <w:tcPr>
            <w:tcW w:w="1198" w:type="dxa"/>
            <w:shd w:val="clear" w:color="auto" w:fill="92D050"/>
          </w:tcPr>
          <w:p>
            <w:pPr>
              <w:pStyle w:val="TableParagraph"/>
              <w:spacing w:line="201" w:lineRule="exact"/>
              <w:ind w:left="103"/>
              <w:jc w:val="left"/>
              <w:rPr>
                <w:b/>
                <w:sz w:val="18"/>
              </w:rPr>
            </w:pPr>
            <w:r>
              <w:rPr>
                <w:b/>
                <w:sz w:val="18"/>
              </w:rPr>
              <w:t>Abstención</w:t>
            </w:r>
          </w:p>
        </w:tc>
        <w:tc>
          <w:tcPr>
            <w:tcW w:w="1104" w:type="dxa"/>
            <w:shd w:val="clear" w:color="auto" w:fill="92D050"/>
          </w:tcPr>
          <w:p>
            <w:pPr>
              <w:pStyle w:val="TableParagraph"/>
              <w:spacing w:line="201" w:lineRule="exact"/>
              <w:rPr>
                <w:b/>
                <w:sz w:val="18"/>
              </w:rPr>
            </w:pPr>
            <w:r>
              <w:rPr>
                <w:b/>
                <w:w w:val="99"/>
                <w:sz w:val="18"/>
              </w:rPr>
              <w:t>4</w:t>
            </w:r>
          </w:p>
        </w:tc>
        <w:tc>
          <w:tcPr>
            <w:tcW w:w="1100" w:type="dxa"/>
            <w:tcBorders>
              <w:left w:val="single" w:sz="41" w:space="0" w:color="92D050"/>
            </w:tcBorders>
          </w:tcPr>
          <w:p>
            <w:pPr>
              <w:pStyle w:val="TableParagraph"/>
              <w:spacing w:line="206" w:lineRule="exact"/>
              <w:ind w:right="44"/>
              <w:rPr>
                <w:sz w:val="18"/>
              </w:rPr>
            </w:pPr>
            <w:r>
              <w:rPr>
                <w:w w:val="99"/>
                <w:sz w:val="18"/>
              </w:rPr>
              <w:t>1</w:t>
            </w:r>
          </w:p>
        </w:tc>
        <w:tc>
          <w:tcPr>
            <w:tcW w:w="1104" w:type="dxa"/>
          </w:tcPr>
          <w:p>
            <w:pPr>
              <w:pStyle w:val="TableParagraph"/>
              <w:spacing w:line="206" w:lineRule="exact"/>
              <w:rPr>
                <w:sz w:val="18"/>
              </w:rPr>
            </w:pPr>
            <w:r>
              <w:rPr>
                <w:w w:val="99"/>
                <w:sz w:val="18"/>
              </w:rPr>
              <w:t>0</w:t>
            </w:r>
          </w:p>
        </w:tc>
        <w:tc>
          <w:tcPr>
            <w:tcW w:w="1104" w:type="dxa"/>
          </w:tcPr>
          <w:p>
            <w:pPr>
              <w:pStyle w:val="TableParagraph"/>
              <w:spacing w:line="206" w:lineRule="exact"/>
              <w:ind w:right="1"/>
              <w:rPr>
                <w:sz w:val="18"/>
              </w:rPr>
            </w:pPr>
            <w:r>
              <w:rPr>
                <w:w w:val="99"/>
                <w:sz w:val="18"/>
              </w:rPr>
              <w:t>3</w:t>
            </w:r>
          </w:p>
        </w:tc>
        <w:tc>
          <w:tcPr>
            <w:tcW w:w="1104" w:type="dxa"/>
          </w:tcPr>
          <w:p>
            <w:pPr>
              <w:pStyle w:val="TableParagraph"/>
              <w:spacing w:line="206" w:lineRule="exact"/>
              <w:rPr>
                <w:sz w:val="18"/>
              </w:rPr>
            </w:pPr>
            <w:r>
              <w:rPr>
                <w:w w:val="99"/>
                <w:sz w:val="18"/>
              </w:rPr>
              <w:t>0</w:t>
            </w:r>
          </w:p>
        </w:tc>
        <w:tc>
          <w:tcPr>
            <w:tcW w:w="1102" w:type="dxa"/>
          </w:tcPr>
          <w:p>
            <w:pPr>
              <w:pStyle w:val="TableParagraph"/>
              <w:spacing w:line="206" w:lineRule="exact"/>
              <w:ind w:right="1"/>
              <w:rPr>
                <w:sz w:val="18"/>
              </w:rPr>
            </w:pPr>
            <w:r>
              <w:rPr>
                <w:w w:val="99"/>
                <w:sz w:val="18"/>
              </w:rPr>
              <w:t>0</w:t>
            </w:r>
          </w:p>
        </w:tc>
        <w:tc>
          <w:tcPr>
            <w:tcW w:w="1106" w:type="dxa"/>
          </w:tcPr>
          <w:p>
            <w:pPr>
              <w:pStyle w:val="TableParagraph"/>
              <w:spacing w:line="206" w:lineRule="exact"/>
              <w:ind w:right="1"/>
              <w:rPr>
                <w:sz w:val="18"/>
              </w:rPr>
            </w:pPr>
            <w:r>
              <w:rPr>
                <w:w w:val="99"/>
                <w:sz w:val="18"/>
              </w:rPr>
              <w:t>0</w:t>
            </w:r>
          </w:p>
        </w:tc>
      </w:tr>
      <w:tr>
        <w:trPr>
          <w:trHeight w:val="322" w:hRule="exact"/>
        </w:trPr>
        <w:tc>
          <w:tcPr>
            <w:tcW w:w="1198" w:type="dxa"/>
            <w:shd w:val="clear" w:color="auto" w:fill="92D050"/>
          </w:tcPr>
          <w:p>
            <w:pPr>
              <w:pStyle w:val="TableParagraph"/>
              <w:spacing w:line="201" w:lineRule="exact"/>
              <w:ind w:left="103"/>
              <w:jc w:val="left"/>
              <w:rPr>
                <w:b/>
                <w:sz w:val="18"/>
              </w:rPr>
            </w:pPr>
            <w:r>
              <w:rPr>
                <w:b/>
                <w:sz w:val="18"/>
              </w:rPr>
              <w:t>Quórum</w:t>
            </w:r>
          </w:p>
        </w:tc>
        <w:tc>
          <w:tcPr>
            <w:tcW w:w="1104" w:type="dxa"/>
            <w:shd w:val="clear" w:color="auto" w:fill="92D050"/>
          </w:tcPr>
          <w:p>
            <w:pPr>
              <w:pStyle w:val="TableParagraph"/>
              <w:spacing w:line="201" w:lineRule="exact"/>
              <w:rPr>
                <w:b/>
                <w:sz w:val="18"/>
              </w:rPr>
            </w:pPr>
            <w:r>
              <w:rPr>
                <w:b/>
                <w:w w:val="99"/>
                <w:sz w:val="18"/>
              </w:rPr>
              <w:t>1</w:t>
            </w:r>
          </w:p>
        </w:tc>
        <w:tc>
          <w:tcPr>
            <w:tcW w:w="1100" w:type="dxa"/>
            <w:tcBorders>
              <w:left w:val="single" w:sz="41" w:space="0" w:color="92D050"/>
            </w:tcBorders>
          </w:tcPr>
          <w:p>
            <w:pPr>
              <w:pStyle w:val="TableParagraph"/>
              <w:spacing w:line="206" w:lineRule="exact"/>
              <w:ind w:right="44"/>
              <w:rPr>
                <w:sz w:val="18"/>
              </w:rPr>
            </w:pPr>
            <w:r>
              <w:rPr>
                <w:w w:val="99"/>
                <w:sz w:val="18"/>
              </w:rPr>
              <w:t>0</w:t>
            </w:r>
          </w:p>
        </w:tc>
        <w:tc>
          <w:tcPr>
            <w:tcW w:w="1104" w:type="dxa"/>
          </w:tcPr>
          <w:p>
            <w:pPr>
              <w:pStyle w:val="TableParagraph"/>
              <w:spacing w:line="206" w:lineRule="exact"/>
              <w:rPr>
                <w:sz w:val="18"/>
              </w:rPr>
            </w:pPr>
            <w:r>
              <w:rPr>
                <w:w w:val="99"/>
                <w:sz w:val="18"/>
              </w:rPr>
              <w:t>1</w:t>
            </w:r>
          </w:p>
        </w:tc>
        <w:tc>
          <w:tcPr>
            <w:tcW w:w="1104" w:type="dxa"/>
          </w:tcPr>
          <w:p>
            <w:pPr>
              <w:pStyle w:val="TableParagraph"/>
              <w:spacing w:line="206" w:lineRule="exact"/>
              <w:ind w:right="1"/>
              <w:rPr>
                <w:sz w:val="18"/>
              </w:rPr>
            </w:pPr>
            <w:r>
              <w:rPr>
                <w:w w:val="99"/>
                <w:sz w:val="18"/>
              </w:rPr>
              <w:t>0</w:t>
            </w:r>
          </w:p>
        </w:tc>
        <w:tc>
          <w:tcPr>
            <w:tcW w:w="1104" w:type="dxa"/>
          </w:tcPr>
          <w:p>
            <w:pPr>
              <w:pStyle w:val="TableParagraph"/>
              <w:spacing w:line="206" w:lineRule="exact"/>
              <w:rPr>
                <w:sz w:val="18"/>
              </w:rPr>
            </w:pPr>
            <w:r>
              <w:rPr>
                <w:w w:val="99"/>
                <w:sz w:val="18"/>
              </w:rPr>
              <w:t>0</w:t>
            </w:r>
          </w:p>
        </w:tc>
        <w:tc>
          <w:tcPr>
            <w:tcW w:w="1102" w:type="dxa"/>
          </w:tcPr>
          <w:p>
            <w:pPr>
              <w:pStyle w:val="TableParagraph"/>
              <w:spacing w:line="206" w:lineRule="exact"/>
              <w:ind w:right="1"/>
              <w:rPr>
                <w:sz w:val="18"/>
              </w:rPr>
            </w:pPr>
            <w:r>
              <w:rPr>
                <w:w w:val="99"/>
                <w:sz w:val="18"/>
              </w:rPr>
              <w:t>0</w:t>
            </w:r>
          </w:p>
        </w:tc>
        <w:tc>
          <w:tcPr>
            <w:tcW w:w="1106" w:type="dxa"/>
          </w:tcPr>
          <w:p>
            <w:pPr>
              <w:pStyle w:val="TableParagraph"/>
              <w:spacing w:line="206" w:lineRule="exact"/>
              <w:ind w:right="1"/>
              <w:rPr>
                <w:sz w:val="18"/>
              </w:rPr>
            </w:pPr>
            <w:r>
              <w:rPr>
                <w:w w:val="99"/>
                <w:sz w:val="18"/>
              </w:rPr>
              <w:t>0</w:t>
            </w:r>
          </w:p>
        </w:tc>
      </w:tr>
      <w:tr>
        <w:trPr>
          <w:trHeight w:val="319" w:hRule="exact"/>
        </w:trPr>
        <w:tc>
          <w:tcPr>
            <w:tcW w:w="1198" w:type="dxa"/>
            <w:shd w:val="clear" w:color="auto" w:fill="92D050"/>
          </w:tcPr>
          <w:p>
            <w:pPr>
              <w:pStyle w:val="TableParagraph"/>
              <w:spacing w:line="201" w:lineRule="exact"/>
              <w:ind w:left="103"/>
              <w:jc w:val="left"/>
              <w:rPr>
                <w:b/>
                <w:sz w:val="18"/>
              </w:rPr>
            </w:pPr>
            <w:r>
              <w:rPr>
                <w:b/>
                <w:sz w:val="18"/>
              </w:rPr>
              <w:t>Ausentes</w:t>
            </w:r>
          </w:p>
        </w:tc>
        <w:tc>
          <w:tcPr>
            <w:tcW w:w="1104" w:type="dxa"/>
            <w:shd w:val="clear" w:color="auto" w:fill="92D050"/>
          </w:tcPr>
          <w:p>
            <w:pPr>
              <w:pStyle w:val="TableParagraph"/>
              <w:spacing w:line="201" w:lineRule="exact"/>
              <w:ind w:left="271" w:right="271"/>
              <w:rPr>
                <w:b/>
                <w:sz w:val="18"/>
              </w:rPr>
            </w:pPr>
            <w:r>
              <w:rPr>
                <w:b/>
                <w:sz w:val="18"/>
              </w:rPr>
              <w:t>81</w:t>
            </w:r>
          </w:p>
        </w:tc>
        <w:tc>
          <w:tcPr>
            <w:tcW w:w="1100" w:type="dxa"/>
            <w:tcBorders>
              <w:left w:val="single" w:sz="41" w:space="0" w:color="92D050"/>
            </w:tcBorders>
          </w:tcPr>
          <w:p>
            <w:pPr>
              <w:pStyle w:val="TableParagraph"/>
              <w:spacing w:line="206" w:lineRule="exact"/>
              <w:ind w:left="331" w:right="370"/>
              <w:rPr>
                <w:sz w:val="18"/>
              </w:rPr>
            </w:pPr>
            <w:r>
              <w:rPr>
                <w:sz w:val="18"/>
              </w:rPr>
              <w:t>59</w:t>
            </w:r>
          </w:p>
        </w:tc>
        <w:tc>
          <w:tcPr>
            <w:tcW w:w="1104" w:type="dxa"/>
          </w:tcPr>
          <w:p>
            <w:pPr>
              <w:pStyle w:val="TableParagraph"/>
              <w:spacing w:line="206" w:lineRule="exact"/>
              <w:ind w:left="271" w:right="271"/>
              <w:rPr>
                <w:sz w:val="18"/>
              </w:rPr>
            </w:pPr>
            <w:r>
              <w:rPr>
                <w:sz w:val="18"/>
              </w:rPr>
              <w:t>10</w:t>
            </w:r>
          </w:p>
        </w:tc>
        <w:tc>
          <w:tcPr>
            <w:tcW w:w="1104" w:type="dxa"/>
          </w:tcPr>
          <w:p>
            <w:pPr>
              <w:pStyle w:val="TableParagraph"/>
              <w:spacing w:line="206" w:lineRule="exact"/>
              <w:ind w:right="1"/>
              <w:rPr>
                <w:sz w:val="18"/>
              </w:rPr>
            </w:pPr>
            <w:r>
              <w:rPr>
                <w:w w:val="99"/>
                <w:sz w:val="18"/>
              </w:rPr>
              <w:t>6</w:t>
            </w:r>
          </w:p>
        </w:tc>
        <w:tc>
          <w:tcPr>
            <w:tcW w:w="1104" w:type="dxa"/>
          </w:tcPr>
          <w:p>
            <w:pPr>
              <w:pStyle w:val="TableParagraph"/>
              <w:spacing w:line="206" w:lineRule="exact"/>
              <w:rPr>
                <w:sz w:val="18"/>
              </w:rPr>
            </w:pPr>
            <w:r>
              <w:rPr>
                <w:w w:val="99"/>
                <w:sz w:val="18"/>
              </w:rPr>
              <w:t>4</w:t>
            </w:r>
          </w:p>
        </w:tc>
        <w:tc>
          <w:tcPr>
            <w:tcW w:w="1102" w:type="dxa"/>
          </w:tcPr>
          <w:p>
            <w:pPr>
              <w:pStyle w:val="TableParagraph"/>
              <w:spacing w:line="206" w:lineRule="exact"/>
              <w:ind w:right="1"/>
              <w:rPr>
                <w:sz w:val="18"/>
              </w:rPr>
            </w:pPr>
            <w:r>
              <w:rPr>
                <w:w w:val="99"/>
                <w:sz w:val="18"/>
              </w:rPr>
              <w:t>2</w:t>
            </w:r>
          </w:p>
        </w:tc>
        <w:tc>
          <w:tcPr>
            <w:tcW w:w="1106" w:type="dxa"/>
          </w:tcPr>
          <w:p>
            <w:pPr>
              <w:pStyle w:val="TableParagraph"/>
              <w:spacing w:line="206" w:lineRule="exact"/>
              <w:ind w:right="1"/>
              <w:rPr>
                <w:sz w:val="18"/>
              </w:rPr>
            </w:pPr>
            <w:r>
              <w:rPr>
                <w:w w:val="99"/>
                <w:sz w:val="18"/>
              </w:rPr>
              <w:t>0</w:t>
            </w:r>
          </w:p>
        </w:tc>
      </w:tr>
      <w:tr>
        <w:trPr>
          <w:trHeight w:val="322" w:hRule="exact"/>
        </w:trPr>
        <w:tc>
          <w:tcPr>
            <w:tcW w:w="1198" w:type="dxa"/>
            <w:shd w:val="clear" w:color="auto" w:fill="92D050"/>
          </w:tcPr>
          <w:p>
            <w:pPr>
              <w:pStyle w:val="TableParagraph"/>
              <w:spacing w:line="202" w:lineRule="exact"/>
              <w:ind w:left="103"/>
              <w:jc w:val="left"/>
              <w:rPr>
                <w:b/>
                <w:sz w:val="18"/>
              </w:rPr>
            </w:pPr>
            <w:r>
              <w:rPr>
                <w:b/>
                <w:sz w:val="18"/>
              </w:rPr>
              <w:t>Total</w:t>
            </w:r>
          </w:p>
        </w:tc>
        <w:tc>
          <w:tcPr>
            <w:tcW w:w="1104" w:type="dxa"/>
            <w:shd w:val="clear" w:color="auto" w:fill="92D050"/>
          </w:tcPr>
          <w:p>
            <w:pPr>
              <w:pStyle w:val="TableParagraph"/>
              <w:spacing w:line="202" w:lineRule="exact"/>
              <w:ind w:left="271" w:right="271"/>
              <w:rPr>
                <w:b/>
                <w:sz w:val="18"/>
              </w:rPr>
            </w:pPr>
            <w:r>
              <w:rPr>
                <w:b/>
                <w:sz w:val="18"/>
              </w:rPr>
              <w:t>500</w:t>
            </w:r>
          </w:p>
        </w:tc>
        <w:tc>
          <w:tcPr>
            <w:tcW w:w="1100" w:type="dxa"/>
            <w:tcBorders>
              <w:left w:val="single" w:sz="41" w:space="0" w:color="92D050"/>
            </w:tcBorders>
          </w:tcPr>
          <w:p>
            <w:pPr>
              <w:pStyle w:val="TableParagraph"/>
              <w:spacing w:line="202" w:lineRule="exact"/>
              <w:ind w:left="331" w:right="370"/>
              <w:rPr>
                <w:b/>
                <w:sz w:val="18"/>
              </w:rPr>
            </w:pPr>
            <w:r>
              <w:rPr>
                <w:b/>
                <w:sz w:val="18"/>
              </w:rPr>
              <w:t>224</w:t>
            </w:r>
          </w:p>
        </w:tc>
        <w:tc>
          <w:tcPr>
            <w:tcW w:w="1104" w:type="dxa"/>
          </w:tcPr>
          <w:p>
            <w:pPr>
              <w:pStyle w:val="TableParagraph"/>
              <w:spacing w:line="202" w:lineRule="exact"/>
              <w:ind w:right="395"/>
              <w:jc w:val="right"/>
              <w:rPr>
                <w:b/>
                <w:sz w:val="18"/>
              </w:rPr>
            </w:pPr>
            <w:r>
              <w:rPr>
                <w:b/>
                <w:w w:val="95"/>
                <w:sz w:val="18"/>
              </w:rPr>
              <w:t>151</w:t>
            </w:r>
          </w:p>
        </w:tc>
        <w:tc>
          <w:tcPr>
            <w:tcW w:w="1104" w:type="dxa"/>
          </w:tcPr>
          <w:p>
            <w:pPr>
              <w:pStyle w:val="TableParagraph"/>
              <w:spacing w:line="202" w:lineRule="exact"/>
              <w:ind w:left="337" w:right="337"/>
              <w:rPr>
                <w:b/>
                <w:sz w:val="18"/>
              </w:rPr>
            </w:pPr>
            <w:r>
              <w:rPr>
                <w:b/>
                <w:sz w:val="18"/>
              </w:rPr>
              <w:t>97</w:t>
            </w:r>
          </w:p>
        </w:tc>
        <w:tc>
          <w:tcPr>
            <w:tcW w:w="1104" w:type="dxa"/>
          </w:tcPr>
          <w:p>
            <w:pPr>
              <w:pStyle w:val="TableParagraph"/>
              <w:spacing w:line="202" w:lineRule="exact"/>
              <w:ind w:left="272" w:right="268"/>
              <w:rPr>
                <w:b/>
                <w:sz w:val="18"/>
              </w:rPr>
            </w:pPr>
            <w:r>
              <w:rPr>
                <w:b/>
                <w:sz w:val="18"/>
              </w:rPr>
              <w:t>17</w:t>
            </w:r>
          </w:p>
        </w:tc>
        <w:tc>
          <w:tcPr>
            <w:tcW w:w="1102" w:type="dxa"/>
          </w:tcPr>
          <w:p>
            <w:pPr>
              <w:pStyle w:val="TableParagraph"/>
              <w:spacing w:line="202" w:lineRule="exact"/>
              <w:ind w:right="1"/>
              <w:rPr>
                <w:b/>
                <w:sz w:val="18"/>
              </w:rPr>
            </w:pPr>
            <w:r>
              <w:rPr>
                <w:b/>
                <w:w w:val="99"/>
                <w:sz w:val="18"/>
              </w:rPr>
              <w:t>6</w:t>
            </w:r>
          </w:p>
        </w:tc>
        <w:tc>
          <w:tcPr>
            <w:tcW w:w="1106" w:type="dxa"/>
          </w:tcPr>
          <w:p>
            <w:pPr>
              <w:pStyle w:val="TableParagraph"/>
              <w:spacing w:line="202" w:lineRule="exact"/>
              <w:ind w:right="1"/>
              <w:rPr>
                <w:b/>
                <w:sz w:val="18"/>
              </w:rPr>
            </w:pPr>
            <w:r>
              <w:rPr>
                <w:b/>
                <w:w w:val="99"/>
                <w:sz w:val="18"/>
              </w:rPr>
              <w:t>5</w:t>
            </w:r>
          </w:p>
        </w:tc>
      </w:tr>
    </w:tbl>
    <w:p>
      <w:pPr>
        <w:tabs>
          <w:tab w:pos="985" w:val="left" w:leader="none"/>
          <w:tab w:pos="1706" w:val="left" w:leader="none"/>
          <w:tab w:pos="2956" w:val="left" w:leader="none"/>
          <w:tab w:pos="3402" w:val="left" w:leader="none"/>
          <w:tab w:pos="4441" w:val="left" w:leader="none"/>
          <w:tab w:pos="5215" w:val="left" w:leader="none"/>
          <w:tab w:pos="5602" w:val="left" w:leader="none"/>
          <w:tab w:pos="6575" w:val="left" w:leader="none"/>
          <w:tab w:pos="7333" w:val="left" w:leader="none"/>
          <w:tab w:pos="7801" w:val="left" w:leader="none"/>
          <w:tab w:pos="8756" w:val="left" w:leader="none"/>
        </w:tabs>
        <w:spacing w:line="360" w:lineRule="auto" w:before="0"/>
        <w:ind w:left="231" w:right="243" w:firstLine="0"/>
        <w:jc w:val="left"/>
        <w:rPr>
          <w:sz w:val="16"/>
        </w:rPr>
      </w:pPr>
      <w:r>
        <w:rPr>
          <w:sz w:val="16"/>
        </w:rPr>
        <w:t>Fuente:</w:t>
        <w:tab/>
        <w:t>Gaceta</w:t>
        <w:tab/>
        <w:t>Parlamentaria,</w:t>
        <w:tab/>
        <w:t>LIX</w:t>
        <w:tab/>
        <w:t>Legislatura,</w:t>
        <w:tab/>
        <w:t>Cámara</w:t>
        <w:tab/>
        <w:t>de</w:t>
        <w:tab/>
        <w:t>Diputados,</w:t>
        <w:tab/>
        <w:t>México,</w:t>
        <w:tab/>
        <w:t>DF.</w:t>
        <w:tab/>
        <w:t>Disponible</w:t>
        <w:tab/>
        <w:t>en </w:t>
      </w:r>
      <w:hyperlink r:id="rId143">
        <w:r>
          <w:rPr>
            <w:color w:val="0462C1"/>
            <w:sz w:val="16"/>
            <w:u w:val="single" w:color="0462C1"/>
          </w:rPr>
          <w:t>http://gaceta.diputados.gob.mx/Gaceta/Votaciones/59/tabla1or</w:t>
        </w:r>
        <w:r>
          <w:rPr>
            <w:color w:val="0462C1"/>
            <w:spacing w:val="-12"/>
            <w:sz w:val="16"/>
            <w:u w:val="single" w:color="0462C1"/>
          </w:rPr>
          <w:t> </w:t>
        </w:r>
        <w:r>
          <w:rPr>
            <w:color w:val="0462C1"/>
            <w:sz w:val="16"/>
            <w:u w:val="single" w:color="0462C1"/>
          </w:rPr>
          <w:t>2-5.php3</w:t>
        </w:r>
        <w:r>
          <w:rPr>
            <w:color w:val="0462C1"/>
            <w:spacing w:val="-11"/>
            <w:sz w:val="16"/>
            <w:u w:val="single" w:color="0462C1"/>
          </w:rPr>
          <w:t> </w:t>
        </w:r>
      </w:hyperlink>
      <w:r>
        <w:rPr>
          <w:sz w:val="16"/>
        </w:rPr>
        <w:t>[Consultado</w:t>
      </w:r>
      <w:r>
        <w:rPr>
          <w:spacing w:val="-12"/>
          <w:sz w:val="16"/>
        </w:rPr>
        <w:t> </w:t>
      </w:r>
      <w:r>
        <w:rPr>
          <w:sz w:val="16"/>
        </w:rPr>
        <w:t>el</w:t>
      </w:r>
      <w:r>
        <w:rPr>
          <w:spacing w:val="-11"/>
          <w:sz w:val="16"/>
        </w:rPr>
        <w:t> </w:t>
      </w:r>
      <w:r>
        <w:rPr>
          <w:sz w:val="16"/>
        </w:rPr>
        <w:t>09-11-2015]</w:t>
      </w:r>
    </w:p>
    <w:p>
      <w:pPr>
        <w:pStyle w:val="BodyText"/>
        <w:rPr>
          <w:sz w:val="20"/>
        </w:rPr>
      </w:pPr>
    </w:p>
    <w:p>
      <w:pPr>
        <w:pStyle w:val="BodyText"/>
        <w:spacing w:line="360" w:lineRule="auto" w:before="187"/>
        <w:ind w:left="128" w:right="123"/>
        <w:jc w:val="both"/>
      </w:pPr>
      <w:r>
        <w:rPr/>
        <w:t>En la votación de esta reforma que derogó la fracción I del art. 22 referida a que no se requerirá el consentimiento de los individuos para proporcionar los datos personales. De los 500 votos disponibles se logró un 82% a favor de la reforma. El 0.8% se abstuvo de votar y el 16.2% no se presentó a la sesión.</w:t>
      </w:r>
    </w:p>
    <w:p>
      <w:pPr>
        <w:pStyle w:val="BodyText"/>
        <w:spacing w:line="360" w:lineRule="auto" w:before="163"/>
        <w:ind w:left="128" w:right="117"/>
        <w:jc w:val="both"/>
      </w:pPr>
      <w:r>
        <w:rPr/>
        <w:t>Sobre</w:t>
      </w:r>
      <w:r>
        <w:rPr>
          <w:spacing w:val="-17"/>
        </w:rPr>
        <w:t> </w:t>
      </w:r>
      <w:r>
        <w:rPr/>
        <w:t>la</w:t>
      </w:r>
      <w:r>
        <w:rPr>
          <w:spacing w:val="-14"/>
        </w:rPr>
        <w:t> </w:t>
      </w:r>
      <w:r>
        <w:rPr/>
        <w:t>visión</w:t>
      </w:r>
      <w:r>
        <w:rPr>
          <w:spacing w:val="-17"/>
        </w:rPr>
        <w:t> </w:t>
      </w:r>
      <w:r>
        <w:rPr/>
        <w:t>de</w:t>
      </w:r>
      <w:r>
        <w:rPr>
          <w:spacing w:val="-16"/>
        </w:rPr>
        <w:t> </w:t>
      </w:r>
      <w:r>
        <w:rPr/>
        <w:t>partidos</w:t>
      </w:r>
      <w:r>
        <w:rPr>
          <w:spacing w:val="-17"/>
        </w:rPr>
        <w:t> </w:t>
      </w:r>
      <w:r>
        <w:rPr/>
        <w:t>políticos</w:t>
      </w:r>
      <w:r>
        <w:rPr>
          <w:spacing w:val="-14"/>
        </w:rPr>
        <w:t> </w:t>
      </w:r>
      <w:r>
        <w:rPr/>
        <w:t>cabe</w:t>
      </w:r>
      <w:r>
        <w:rPr>
          <w:spacing w:val="-16"/>
        </w:rPr>
        <w:t> </w:t>
      </w:r>
      <w:r>
        <w:rPr/>
        <w:t>destacar</w:t>
      </w:r>
      <w:r>
        <w:rPr>
          <w:spacing w:val="-16"/>
        </w:rPr>
        <w:t> </w:t>
      </w:r>
      <w:r>
        <w:rPr/>
        <w:t>que</w:t>
      </w:r>
      <w:r>
        <w:rPr>
          <w:spacing w:val="-15"/>
        </w:rPr>
        <w:t> </w:t>
      </w:r>
      <w:r>
        <w:rPr/>
        <w:t>73.21%</w:t>
      </w:r>
      <w:r>
        <w:rPr>
          <w:spacing w:val="-17"/>
        </w:rPr>
        <w:t> </w:t>
      </w:r>
      <w:r>
        <w:rPr/>
        <w:t>de</w:t>
      </w:r>
      <w:r>
        <w:rPr>
          <w:spacing w:val="-16"/>
        </w:rPr>
        <w:t> </w:t>
      </w:r>
      <w:r>
        <w:rPr/>
        <w:t>los</w:t>
      </w:r>
      <w:r>
        <w:rPr>
          <w:spacing w:val="-15"/>
        </w:rPr>
        <w:t> </w:t>
      </w:r>
      <w:r>
        <w:rPr/>
        <w:t>priistas</w:t>
      </w:r>
      <w:r>
        <w:rPr>
          <w:spacing w:val="-15"/>
        </w:rPr>
        <w:t> </w:t>
      </w:r>
      <w:r>
        <w:rPr/>
        <w:t>votaron a favor de la reforma y 26.33% no asistió. Por su parte el 92.7% de los legisladores del</w:t>
      </w:r>
      <w:r>
        <w:rPr>
          <w:spacing w:val="-4"/>
        </w:rPr>
        <w:t> </w:t>
      </w:r>
      <w:r>
        <w:rPr/>
        <w:t>PAN</w:t>
      </w:r>
      <w:r>
        <w:rPr>
          <w:spacing w:val="-5"/>
        </w:rPr>
        <w:t> </w:t>
      </w:r>
      <w:r>
        <w:rPr/>
        <w:t>votaron</w:t>
      </w:r>
      <w:r>
        <w:rPr>
          <w:spacing w:val="-6"/>
        </w:rPr>
        <w:t> </w:t>
      </w:r>
      <w:r>
        <w:rPr/>
        <w:t>a</w:t>
      </w:r>
      <w:r>
        <w:rPr>
          <w:spacing w:val="-6"/>
        </w:rPr>
        <w:t> </w:t>
      </w:r>
      <w:r>
        <w:rPr/>
        <w:t>favor</w:t>
      </w:r>
      <w:r>
        <w:rPr>
          <w:spacing w:val="-5"/>
        </w:rPr>
        <w:t> </w:t>
      </w:r>
      <w:r>
        <w:rPr/>
        <w:t>de</w:t>
      </w:r>
      <w:r>
        <w:rPr>
          <w:spacing w:val="-6"/>
        </w:rPr>
        <w:t> </w:t>
      </w:r>
      <w:r>
        <w:rPr/>
        <w:t>la</w:t>
      </w:r>
      <w:r>
        <w:rPr>
          <w:spacing w:val="-4"/>
        </w:rPr>
        <w:t> </w:t>
      </w:r>
      <w:r>
        <w:rPr/>
        <w:t>reforma</w:t>
      </w:r>
      <w:r>
        <w:rPr>
          <w:spacing w:val="-4"/>
        </w:rPr>
        <w:t> </w:t>
      </w:r>
      <w:r>
        <w:rPr/>
        <w:t>y</w:t>
      </w:r>
      <w:r>
        <w:rPr>
          <w:spacing w:val="-7"/>
        </w:rPr>
        <w:t> </w:t>
      </w:r>
      <w:r>
        <w:rPr/>
        <w:t>solamente</w:t>
      </w:r>
      <w:r>
        <w:rPr>
          <w:spacing w:val="-6"/>
        </w:rPr>
        <w:t> </w:t>
      </w:r>
      <w:r>
        <w:rPr/>
        <w:t>el</w:t>
      </w:r>
      <w:r>
        <w:rPr>
          <w:spacing w:val="-5"/>
        </w:rPr>
        <w:t> </w:t>
      </w:r>
      <w:r>
        <w:rPr/>
        <w:t>6.6%</w:t>
      </w:r>
      <w:r>
        <w:rPr>
          <w:spacing w:val="-7"/>
        </w:rPr>
        <w:t> </w:t>
      </w:r>
      <w:r>
        <w:rPr/>
        <w:t>no</w:t>
      </w:r>
      <w:r>
        <w:rPr>
          <w:spacing w:val="-6"/>
        </w:rPr>
        <w:t> </w:t>
      </w:r>
      <w:r>
        <w:rPr/>
        <w:t>asistió</w:t>
      </w:r>
      <w:r>
        <w:rPr>
          <w:spacing w:val="-4"/>
        </w:rPr>
        <w:t> </w:t>
      </w:r>
      <w:r>
        <w:rPr/>
        <w:t>a</w:t>
      </w:r>
      <w:r>
        <w:rPr>
          <w:spacing w:val="-4"/>
        </w:rPr>
        <w:t> </w:t>
      </w:r>
      <w:r>
        <w:rPr/>
        <w:t>la</w:t>
      </w:r>
      <w:r>
        <w:rPr>
          <w:spacing w:val="-6"/>
        </w:rPr>
        <w:t> </w:t>
      </w:r>
      <w:r>
        <w:rPr/>
        <w:t>sesión.</w:t>
      </w:r>
      <w:r>
        <w:rPr>
          <w:spacing w:val="-6"/>
        </w:rPr>
        <w:t> </w:t>
      </w:r>
      <w:r>
        <w:rPr/>
        <w:t>En tanto</w:t>
      </w:r>
      <w:r>
        <w:rPr>
          <w:spacing w:val="-13"/>
        </w:rPr>
        <w:t> </w:t>
      </w:r>
      <w:r>
        <w:rPr/>
        <w:t>que</w:t>
      </w:r>
      <w:r>
        <w:rPr>
          <w:spacing w:val="-16"/>
        </w:rPr>
        <w:t> </w:t>
      </w:r>
      <w:r>
        <w:rPr/>
        <w:t>el</w:t>
      </w:r>
      <w:r>
        <w:rPr>
          <w:spacing w:val="-14"/>
        </w:rPr>
        <w:t> </w:t>
      </w:r>
      <w:r>
        <w:rPr/>
        <w:t>90,72%</w:t>
      </w:r>
      <w:r>
        <w:rPr>
          <w:spacing w:val="-16"/>
        </w:rPr>
        <w:t> </w:t>
      </w:r>
      <w:r>
        <w:rPr/>
        <w:t>de</w:t>
      </w:r>
      <w:r>
        <w:rPr>
          <w:spacing w:val="-15"/>
        </w:rPr>
        <w:t> </w:t>
      </w:r>
      <w:r>
        <w:rPr/>
        <w:t>los</w:t>
      </w:r>
      <w:r>
        <w:rPr>
          <w:spacing w:val="-13"/>
        </w:rPr>
        <w:t> </w:t>
      </w:r>
      <w:r>
        <w:rPr/>
        <w:t>perredistas</w:t>
      </w:r>
      <w:r>
        <w:rPr>
          <w:spacing w:val="-14"/>
        </w:rPr>
        <w:t> </w:t>
      </w:r>
      <w:r>
        <w:rPr/>
        <w:t>votaron</w:t>
      </w:r>
      <w:r>
        <w:rPr>
          <w:spacing w:val="-13"/>
        </w:rPr>
        <w:t> </w:t>
      </w:r>
      <w:r>
        <w:rPr/>
        <w:t>a</w:t>
      </w:r>
      <w:r>
        <w:rPr>
          <w:spacing w:val="-16"/>
        </w:rPr>
        <w:t> </w:t>
      </w:r>
      <w:r>
        <w:rPr/>
        <w:t>favor</w:t>
      </w:r>
      <w:r>
        <w:rPr>
          <w:spacing w:val="-15"/>
        </w:rPr>
        <w:t> </w:t>
      </w:r>
      <w:r>
        <w:rPr/>
        <w:t>y</w:t>
      </w:r>
      <w:r>
        <w:rPr>
          <w:spacing w:val="-16"/>
        </w:rPr>
        <w:t> </w:t>
      </w:r>
      <w:r>
        <w:rPr/>
        <w:t>el</w:t>
      </w:r>
      <w:r>
        <w:rPr>
          <w:spacing w:val="-14"/>
        </w:rPr>
        <w:t> </w:t>
      </w:r>
      <w:r>
        <w:rPr/>
        <w:t>6.1%</w:t>
      </w:r>
      <w:r>
        <w:rPr>
          <w:spacing w:val="-14"/>
        </w:rPr>
        <w:t> </w:t>
      </w:r>
      <w:r>
        <w:rPr/>
        <w:t>estuvieron</w:t>
      </w:r>
      <w:r>
        <w:rPr>
          <w:spacing w:val="-13"/>
        </w:rPr>
        <w:t> </w:t>
      </w:r>
      <w:r>
        <w:rPr/>
        <w:t>ausentes. Mientras que el 76.47% de los legisladores ecologistas votaron a favor y el 23,52% no acudió a la sesión. De igual manera el 66.6% de los legisladores del PT</w:t>
      </w:r>
      <w:r>
        <w:rPr>
          <w:spacing w:val="66"/>
        </w:rPr>
        <w:t> </w:t>
      </w:r>
      <w:r>
        <w:rPr/>
        <w:t>votaron</w:t>
      </w:r>
    </w:p>
    <w:p>
      <w:pPr>
        <w:spacing w:after="0" w:line="360" w:lineRule="auto"/>
        <w:jc w:val="both"/>
        <w:sectPr>
          <w:pgSz w:w="12240" w:h="15840"/>
          <w:pgMar w:header="0" w:footer="1035" w:top="1360" w:bottom="1220" w:left="1480" w:right="1580"/>
        </w:sectPr>
      </w:pPr>
    </w:p>
    <w:p>
      <w:pPr>
        <w:pStyle w:val="BodyText"/>
        <w:spacing w:line="362" w:lineRule="auto" w:before="54"/>
        <w:ind w:left="148" w:right="261"/>
      </w:pPr>
      <w:r>
        <w:rPr/>
        <w:t>a favor y el 33.3% no asistió. Finalmente, el 100% de los legisladores del Partido Convergencia votó a favor de la reforma.</w:t>
      </w:r>
    </w:p>
    <w:p>
      <w:pPr>
        <w:pStyle w:val="BodyText"/>
        <w:rPr>
          <w:sz w:val="20"/>
        </w:rPr>
      </w:pPr>
    </w:p>
    <w:p>
      <w:pPr>
        <w:pStyle w:val="BodyText"/>
        <w:rPr>
          <w:sz w:val="20"/>
        </w:rPr>
      </w:pPr>
    </w:p>
    <w:p>
      <w:pPr>
        <w:pStyle w:val="BodyText"/>
        <w:spacing w:before="3"/>
        <w:rPr>
          <w:sz w:val="10"/>
        </w:r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989"/>
        <w:gridCol w:w="953"/>
        <w:gridCol w:w="974"/>
        <w:gridCol w:w="975"/>
        <w:gridCol w:w="1010"/>
        <w:gridCol w:w="936"/>
        <w:gridCol w:w="1013"/>
        <w:gridCol w:w="883"/>
      </w:tblGrid>
      <w:tr>
        <w:trPr>
          <w:trHeight w:val="629" w:hRule="exact"/>
        </w:trPr>
        <w:tc>
          <w:tcPr>
            <w:tcW w:w="8934" w:type="dxa"/>
            <w:gridSpan w:val="9"/>
            <w:shd w:val="clear" w:color="auto" w:fill="92D050"/>
          </w:tcPr>
          <w:p>
            <w:pPr>
              <w:pStyle w:val="TableParagraph"/>
              <w:spacing w:line="360" w:lineRule="auto"/>
              <w:ind w:left="103"/>
              <w:jc w:val="left"/>
              <w:rPr>
                <w:b/>
                <w:sz w:val="18"/>
              </w:rPr>
            </w:pPr>
            <w:r>
              <w:rPr>
                <w:b/>
                <w:sz w:val="18"/>
              </w:rPr>
              <w:t>Tabla</w:t>
            </w:r>
            <w:r>
              <w:rPr>
                <w:b/>
                <w:spacing w:val="-10"/>
                <w:sz w:val="18"/>
              </w:rPr>
              <w:t> </w:t>
            </w:r>
            <w:r>
              <w:rPr>
                <w:b/>
                <w:sz w:val="18"/>
              </w:rPr>
              <w:t>4.6.</w:t>
            </w:r>
            <w:r>
              <w:rPr>
                <w:b/>
                <w:spacing w:val="-10"/>
                <w:sz w:val="18"/>
              </w:rPr>
              <w:t> </w:t>
            </w:r>
            <w:r>
              <w:rPr>
                <w:b/>
                <w:sz w:val="18"/>
              </w:rPr>
              <w:t>Votación</w:t>
            </w:r>
            <w:r>
              <w:rPr>
                <w:b/>
                <w:spacing w:val="-10"/>
                <w:sz w:val="18"/>
              </w:rPr>
              <w:t> </w:t>
            </w:r>
            <w:r>
              <w:rPr>
                <w:b/>
                <w:sz w:val="18"/>
              </w:rPr>
              <w:t>del</w:t>
            </w:r>
            <w:r>
              <w:rPr>
                <w:b/>
                <w:spacing w:val="-10"/>
                <w:sz w:val="18"/>
              </w:rPr>
              <w:t> </w:t>
            </w:r>
            <w:r>
              <w:rPr>
                <w:b/>
                <w:sz w:val="18"/>
              </w:rPr>
              <w:t>día</w:t>
            </w:r>
            <w:r>
              <w:rPr>
                <w:b/>
                <w:spacing w:val="-8"/>
                <w:sz w:val="18"/>
              </w:rPr>
              <w:t> </w:t>
            </w:r>
            <w:r>
              <w:rPr>
                <w:b/>
                <w:sz w:val="18"/>
              </w:rPr>
              <w:t>14</w:t>
            </w:r>
            <w:r>
              <w:rPr>
                <w:b/>
                <w:spacing w:val="-8"/>
                <w:sz w:val="18"/>
              </w:rPr>
              <w:t> </w:t>
            </w:r>
            <w:r>
              <w:rPr>
                <w:b/>
                <w:sz w:val="18"/>
              </w:rPr>
              <w:t>de</w:t>
            </w:r>
            <w:r>
              <w:rPr>
                <w:b/>
                <w:spacing w:val="-10"/>
                <w:sz w:val="18"/>
              </w:rPr>
              <w:t> </w:t>
            </w:r>
            <w:r>
              <w:rPr>
                <w:b/>
                <w:sz w:val="18"/>
              </w:rPr>
              <w:t>marzo</w:t>
            </w:r>
            <w:r>
              <w:rPr>
                <w:b/>
                <w:spacing w:val="-10"/>
                <w:sz w:val="18"/>
              </w:rPr>
              <w:t> </w:t>
            </w:r>
            <w:r>
              <w:rPr>
                <w:b/>
                <w:sz w:val="18"/>
              </w:rPr>
              <w:t>de</w:t>
            </w:r>
            <w:r>
              <w:rPr>
                <w:b/>
                <w:spacing w:val="-10"/>
                <w:sz w:val="18"/>
              </w:rPr>
              <w:t> </w:t>
            </w:r>
            <w:r>
              <w:rPr>
                <w:b/>
                <w:sz w:val="18"/>
              </w:rPr>
              <w:t>2006</w:t>
            </w:r>
            <w:r>
              <w:rPr>
                <w:b/>
                <w:spacing w:val="-10"/>
                <w:sz w:val="18"/>
              </w:rPr>
              <w:t> </w:t>
            </w:r>
            <w:r>
              <w:rPr>
                <w:b/>
                <w:sz w:val="18"/>
              </w:rPr>
              <w:t>en</w:t>
            </w:r>
            <w:r>
              <w:rPr>
                <w:b/>
                <w:spacing w:val="-10"/>
                <w:sz w:val="18"/>
              </w:rPr>
              <w:t> </w:t>
            </w:r>
            <w:r>
              <w:rPr>
                <w:b/>
                <w:sz w:val="18"/>
              </w:rPr>
              <w:t>la</w:t>
            </w:r>
            <w:r>
              <w:rPr>
                <w:b/>
                <w:spacing w:val="-10"/>
                <w:sz w:val="18"/>
              </w:rPr>
              <w:t> </w:t>
            </w:r>
            <w:r>
              <w:rPr>
                <w:b/>
                <w:sz w:val="18"/>
              </w:rPr>
              <w:t>reforma</w:t>
            </w:r>
            <w:r>
              <w:rPr>
                <w:b/>
                <w:spacing w:val="-7"/>
                <w:sz w:val="18"/>
              </w:rPr>
              <w:t> </w:t>
            </w:r>
            <w:r>
              <w:rPr>
                <w:b/>
                <w:sz w:val="18"/>
              </w:rPr>
              <w:t>que</w:t>
            </w:r>
            <w:r>
              <w:rPr>
                <w:b/>
                <w:spacing w:val="-4"/>
                <w:sz w:val="18"/>
              </w:rPr>
              <w:t> </w:t>
            </w:r>
            <w:r>
              <w:rPr>
                <w:b/>
                <w:sz w:val="18"/>
              </w:rPr>
              <w:t>reforma</w:t>
            </w:r>
            <w:r>
              <w:rPr>
                <w:b/>
                <w:spacing w:val="-10"/>
                <w:sz w:val="18"/>
              </w:rPr>
              <w:t> </w:t>
            </w:r>
            <w:r>
              <w:rPr>
                <w:b/>
                <w:sz w:val="18"/>
              </w:rPr>
              <w:t>el</w:t>
            </w:r>
            <w:r>
              <w:rPr>
                <w:b/>
                <w:spacing w:val="-10"/>
                <w:sz w:val="18"/>
              </w:rPr>
              <w:t> </w:t>
            </w:r>
            <w:r>
              <w:rPr>
                <w:b/>
                <w:sz w:val="18"/>
              </w:rPr>
              <w:t>artículo</w:t>
            </w:r>
            <w:r>
              <w:rPr>
                <w:b/>
                <w:spacing w:val="-10"/>
                <w:sz w:val="18"/>
              </w:rPr>
              <w:t> </w:t>
            </w:r>
            <w:r>
              <w:rPr>
                <w:b/>
                <w:sz w:val="18"/>
              </w:rPr>
              <w:t>6</w:t>
            </w:r>
            <w:r>
              <w:rPr>
                <w:b/>
                <w:spacing w:val="-10"/>
                <w:sz w:val="18"/>
              </w:rPr>
              <w:t> </w:t>
            </w:r>
            <w:r>
              <w:rPr>
                <w:b/>
                <w:sz w:val="18"/>
              </w:rPr>
              <w:t>de</w:t>
            </w:r>
            <w:r>
              <w:rPr>
                <w:b/>
                <w:spacing w:val="-10"/>
                <w:sz w:val="18"/>
              </w:rPr>
              <w:t> </w:t>
            </w:r>
            <w:r>
              <w:rPr>
                <w:b/>
                <w:sz w:val="18"/>
              </w:rPr>
              <w:t>la</w:t>
            </w:r>
            <w:r>
              <w:rPr>
                <w:b/>
                <w:spacing w:val="-10"/>
                <w:sz w:val="18"/>
              </w:rPr>
              <w:t> </w:t>
            </w:r>
            <w:r>
              <w:rPr>
                <w:b/>
                <w:sz w:val="18"/>
              </w:rPr>
              <w:t>Ley</w:t>
            </w:r>
            <w:r>
              <w:rPr>
                <w:b/>
                <w:spacing w:val="-17"/>
                <w:sz w:val="18"/>
              </w:rPr>
              <w:t> </w:t>
            </w:r>
            <w:r>
              <w:rPr>
                <w:b/>
                <w:sz w:val="18"/>
              </w:rPr>
              <w:t>Federal de Transparencia y Acceso a la Información Pública Gubernamental (en lo general y en lo</w:t>
            </w:r>
            <w:r>
              <w:rPr>
                <w:b/>
                <w:spacing w:val="-29"/>
                <w:sz w:val="18"/>
              </w:rPr>
              <w:t> </w:t>
            </w:r>
            <w:r>
              <w:rPr>
                <w:b/>
                <w:sz w:val="18"/>
              </w:rPr>
              <w:t>particular).</w:t>
            </w:r>
          </w:p>
        </w:tc>
      </w:tr>
      <w:tr>
        <w:trPr>
          <w:trHeight w:val="322" w:hRule="exact"/>
        </w:trPr>
        <w:tc>
          <w:tcPr>
            <w:tcW w:w="1200" w:type="dxa"/>
            <w:shd w:val="clear" w:color="auto" w:fill="92D050"/>
          </w:tcPr>
          <w:p>
            <w:pPr>
              <w:pStyle w:val="TableParagraph"/>
              <w:spacing w:line="204" w:lineRule="exact"/>
              <w:ind w:left="103"/>
              <w:jc w:val="left"/>
              <w:rPr>
                <w:b/>
                <w:sz w:val="18"/>
              </w:rPr>
            </w:pPr>
            <w:r>
              <w:rPr>
                <w:b/>
                <w:sz w:val="18"/>
              </w:rPr>
              <w:t>Votación</w:t>
            </w:r>
          </w:p>
        </w:tc>
        <w:tc>
          <w:tcPr>
            <w:tcW w:w="989" w:type="dxa"/>
            <w:shd w:val="clear" w:color="auto" w:fill="92D050"/>
          </w:tcPr>
          <w:p>
            <w:pPr>
              <w:pStyle w:val="TableParagraph"/>
              <w:spacing w:line="204" w:lineRule="exact"/>
              <w:ind w:left="254" w:right="254"/>
              <w:rPr>
                <w:b/>
                <w:sz w:val="18"/>
              </w:rPr>
            </w:pPr>
            <w:r>
              <w:rPr>
                <w:b/>
                <w:sz w:val="18"/>
              </w:rPr>
              <w:t>Total</w:t>
            </w:r>
          </w:p>
        </w:tc>
        <w:tc>
          <w:tcPr>
            <w:tcW w:w="953" w:type="dxa"/>
            <w:shd w:val="clear" w:color="auto" w:fill="92D050"/>
          </w:tcPr>
          <w:p>
            <w:pPr>
              <w:pStyle w:val="TableParagraph"/>
              <w:spacing w:line="204" w:lineRule="exact"/>
              <w:ind w:right="319"/>
              <w:jc w:val="right"/>
              <w:rPr>
                <w:b/>
                <w:sz w:val="18"/>
              </w:rPr>
            </w:pPr>
            <w:r>
              <w:rPr>
                <w:b/>
                <w:sz w:val="18"/>
              </w:rPr>
              <w:t>PRI</w:t>
            </w:r>
          </w:p>
        </w:tc>
        <w:tc>
          <w:tcPr>
            <w:tcW w:w="974" w:type="dxa"/>
            <w:shd w:val="clear" w:color="auto" w:fill="92D050"/>
          </w:tcPr>
          <w:p>
            <w:pPr>
              <w:pStyle w:val="TableParagraph"/>
              <w:spacing w:line="204" w:lineRule="exact"/>
              <w:ind w:left="272" w:right="272"/>
              <w:rPr>
                <w:b/>
                <w:sz w:val="18"/>
              </w:rPr>
            </w:pPr>
            <w:r>
              <w:rPr>
                <w:b/>
                <w:sz w:val="18"/>
              </w:rPr>
              <w:t>PAN</w:t>
            </w:r>
          </w:p>
        </w:tc>
        <w:tc>
          <w:tcPr>
            <w:tcW w:w="975" w:type="dxa"/>
            <w:shd w:val="clear" w:color="auto" w:fill="92D050"/>
          </w:tcPr>
          <w:p>
            <w:pPr>
              <w:pStyle w:val="TableParagraph"/>
              <w:spacing w:line="204" w:lineRule="exact"/>
              <w:ind w:left="272" w:right="272"/>
              <w:rPr>
                <w:b/>
                <w:sz w:val="18"/>
              </w:rPr>
            </w:pPr>
            <w:r>
              <w:rPr>
                <w:b/>
                <w:sz w:val="18"/>
              </w:rPr>
              <w:t>PRD</w:t>
            </w:r>
          </w:p>
        </w:tc>
        <w:tc>
          <w:tcPr>
            <w:tcW w:w="1010" w:type="dxa"/>
            <w:shd w:val="clear" w:color="auto" w:fill="92D050"/>
          </w:tcPr>
          <w:p>
            <w:pPr>
              <w:pStyle w:val="TableParagraph"/>
              <w:spacing w:line="204" w:lineRule="exact"/>
              <w:ind w:left="224" w:right="225"/>
              <w:rPr>
                <w:b/>
                <w:sz w:val="18"/>
              </w:rPr>
            </w:pPr>
            <w:r>
              <w:rPr>
                <w:b/>
                <w:sz w:val="18"/>
              </w:rPr>
              <w:t>PVEM</w:t>
            </w:r>
          </w:p>
        </w:tc>
        <w:tc>
          <w:tcPr>
            <w:tcW w:w="936" w:type="dxa"/>
            <w:shd w:val="clear" w:color="auto" w:fill="92D050"/>
          </w:tcPr>
          <w:p>
            <w:pPr>
              <w:pStyle w:val="TableParagraph"/>
              <w:spacing w:line="204" w:lineRule="exact"/>
              <w:ind w:left="328" w:right="328"/>
              <w:rPr>
                <w:b/>
                <w:sz w:val="18"/>
              </w:rPr>
            </w:pPr>
            <w:r>
              <w:rPr>
                <w:b/>
                <w:sz w:val="18"/>
              </w:rPr>
              <w:t>PT</w:t>
            </w:r>
          </w:p>
        </w:tc>
        <w:tc>
          <w:tcPr>
            <w:tcW w:w="1013" w:type="dxa"/>
            <w:shd w:val="clear" w:color="auto" w:fill="92D050"/>
          </w:tcPr>
          <w:p>
            <w:pPr>
              <w:pStyle w:val="TableParagraph"/>
              <w:spacing w:line="204" w:lineRule="exact"/>
              <w:ind w:left="220" w:right="223"/>
              <w:rPr>
                <w:b/>
                <w:sz w:val="18"/>
              </w:rPr>
            </w:pPr>
            <w:r>
              <w:rPr>
                <w:b/>
                <w:sz w:val="18"/>
              </w:rPr>
              <w:t>CONV</w:t>
            </w:r>
          </w:p>
        </w:tc>
        <w:tc>
          <w:tcPr>
            <w:tcW w:w="883" w:type="dxa"/>
            <w:shd w:val="clear" w:color="auto" w:fill="92D050"/>
          </w:tcPr>
          <w:p>
            <w:pPr>
              <w:pStyle w:val="TableParagraph"/>
              <w:spacing w:line="204" w:lineRule="exact"/>
              <w:ind w:left="155" w:right="155"/>
              <w:rPr>
                <w:b/>
                <w:sz w:val="18"/>
              </w:rPr>
            </w:pPr>
            <w:r>
              <w:rPr>
                <w:b/>
                <w:sz w:val="18"/>
              </w:rPr>
              <w:t>IND</w:t>
            </w:r>
          </w:p>
        </w:tc>
      </w:tr>
      <w:tr>
        <w:trPr>
          <w:trHeight w:val="319" w:hRule="exact"/>
        </w:trPr>
        <w:tc>
          <w:tcPr>
            <w:tcW w:w="1200" w:type="dxa"/>
          </w:tcPr>
          <w:p>
            <w:pPr>
              <w:pStyle w:val="TableParagraph"/>
              <w:spacing w:line="201" w:lineRule="exact"/>
              <w:ind w:left="103"/>
              <w:jc w:val="left"/>
              <w:rPr>
                <w:b/>
                <w:sz w:val="18"/>
              </w:rPr>
            </w:pPr>
            <w:r>
              <w:rPr>
                <w:b/>
                <w:sz w:val="18"/>
              </w:rPr>
              <w:t>Favor</w:t>
            </w:r>
          </w:p>
        </w:tc>
        <w:tc>
          <w:tcPr>
            <w:tcW w:w="989" w:type="dxa"/>
          </w:tcPr>
          <w:p>
            <w:pPr>
              <w:pStyle w:val="TableParagraph"/>
              <w:spacing w:line="201" w:lineRule="exact"/>
              <w:ind w:left="254" w:right="254"/>
              <w:rPr>
                <w:b/>
                <w:sz w:val="18"/>
              </w:rPr>
            </w:pPr>
            <w:r>
              <w:rPr>
                <w:b/>
                <w:sz w:val="18"/>
              </w:rPr>
              <w:t>326</w:t>
            </w:r>
          </w:p>
        </w:tc>
        <w:tc>
          <w:tcPr>
            <w:tcW w:w="953" w:type="dxa"/>
          </w:tcPr>
          <w:p>
            <w:pPr>
              <w:pStyle w:val="TableParagraph"/>
              <w:spacing w:line="201" w:lineRule="exact"/>
              <w:ind w:right="317"/>
              <w:jc w:val="right"/>
              <w:rPr>
                <w:b/>
                <w:sz w:val="18"/>
              </w:rPr>
            </w:pPr>
            <w:r>
              <w:rPr>
                <w:b/>
                <w:w w:val="95"/>
                <w:sz w:val="18"/>
              </w:rPr>
              <w:t>152</w:t>
            </w:r>
          </w:p>
        </w:tc>
        <w:tc>
          <w:tcPr>
            <w:tcW w:w="974" w:type="dxa"/>
          </w:tcPr>
          <w:p>
            <w:pPr>
              <w:pStyle w:val="TableParagraph"/>
              <w:spacing w:line="201" w:lineRule="exact"/>
              <w:ind w:left="272" w:right="272"/>
              <w:rPr>
                <w:b/>
                <w:sz w:val="18"/>
              </w:rPr>
            </w:pPr>
            <w:r>
              <w:rPr>
                <w:b/>
                <w:sz w:val="18"/>
              </w:rPr>
              <w:t>94</w:t>
            </w:r>
          </w:p>
        </w:tc>
        <w:tc>
          <w:tcPr>
            <w:tcW w:w="975" w:type="dxa"/>
          </w:tcPr>
          <w:p>
            <w:pPr>
              <w:pStyle w:val="TableParagraph"/>
              <w:spacing w:line="201" w:lineRule="exact"/>
              <w:ind w:left="272" w:right="272"/>
              <w:rPr>
                <w:b/>
                <w:sz w:val="18"/>
              </w:rPr>
            </w:pPr>
            <w:r>
              <w:rPr>
                <w:b/>
                <w:sz w:val="18"/>
              </w:rPr>
              <w:t>60</w:t>
            </w:r>
          </w:p>
        </w:tc>
        <w:tc>
          <w:tcPr>
            <w:tcW w:w="1010" w:type="dxa"/>
          </w:tcPr>
          <w:p>
            <w:pPr>
              <w:pStyle w:val="TableParagraph"/>
              <w:spacing w:line="201" w:lineRule="exact"/>
              <w:ind w:left="224" w:right="222"/>
              <w:rPr>
                <w:b/>
                <w:sz w:val="18"/>
              </w:rPr>
            </w:pPr>
            <w:r>
              <w:rPr>
                <w:b/>
                <w:sz w:val="18"/>
              </w:rPr>
              <w:t>11</w:t>
            </w:r>
          </w:p>
        </w:tc>
        <w:tc>
          <w:tcPr>
            <w:tcW w:w="936" w:type="dxa"/>
          </w:tcPr>
          <w:p>
            <w:pPr>
              <w:pStyle w:val="TableParagraph"/>
              <w:spacing w:line="201" w:lineRule="exact"/>
              <w:rPr>
                <w:b/>
                <w:sz w:val="18"/>
              </w:rPr>
            </w:pPr>
            <w:r>
              <w:rPr>
                <w:b/>
                <w:w w:val="99"/>
                <w:sz w:val="18"/>
              </w:rPr>
              <w:t>2</w:t>
            </w:r>
          </w:p>
        </w:tc>
        <w:tc>
          <w:tcPr>
            <w:tcW w:w="1013" w:type="dxa"/>
          </w:tcPr>
          <w:p>
            <w:pPr>
              <w:pStyle w:val="TableParagraph"/>
              <w:spacing w:line="201" w:lineRule="exact"/>
              <w:ind w:right="1"/>
              <w:rPr>
                <w:b/>
                <w:sz w:val="18"/>
              </w:rPr>
            </w:pPr>
            <w:r>
              <w:rPr>
                <w:b/>
                <w:w w:val="99"/>
                <w:sz w:val="18"/>
              </w:rPr>
              <w:t>3</w:t>
            </w:r>
          </w:p>
        </w:tc>
        <w:tc>
          <w:tcPr>
            <w:tcW w:w="883" w:type="dxa"/>
          </w:tcPr>
          <w:p>
            <w:pPr>
              <w:pStyle w:val="TableParagraph"/>
              <w:spacing w:line="201" w:lineRule="exact"/>
              <w:rPr>
                <w:b/>
                <w:sz w:val="18"/>
              </w:rPr>
            </w:pPr>
            <w:r>
              <w:rPr>
                <w:b/>
                <w:w w:val="99"/>
                <w:sz w:val="18"/>
              </w:rPr>
              <w:t>4</w:t>
            </w:r>
          </w:p>
        </w:tc>
      </w:tr>
      <w:tr>
        <w:trPr>
          <w:trHeight w:val="322" w:hRule="exact"/>
        </w:trPr>
        <w:tc>
          <w:tcPr>
            <w:tcW w:w="1200" w:type="dxa"/>
          </w:tcPr>
          <w:p>
            <w:pPr>
              <w:pStyle w:val="TableParagraph"/>
              <w:spacing w:before="1"/>
              <w:ind w:left="103"/>
              <w:jc w:val="left"/>
              <w:rPr>
                <w:sz w:val="18"/>
              </w:rPr>
            </w:pPr>
            <w:r>
              <w:rPr>
                <w:sz w:val="18"/>
              </w:rPr>
              <w:t>Contra</w:t>
            </w:r>
          </w:p>
        </w:tc>
        <w:tc>
          <w:tcPr>
            <w:tcW w:w="989" w:type="dxa"/>
          </w:tcPr>
          <w:p>
            <w:pPr>
              <w:pStyle w:val="TableParagraph"/>
              <w:spacing w:before="1"/>
              <w:rPr>
                <w:sz w:val="18"/>
              </w:rPr>
            </w:pPr>
            <w:r>
              <w:rPr>
                <w:w w:val="99"/>
                <w:sz w:val="18"/>
              </w:rPr>
              <w:t>0</w:t>
            </w:r>
          </w:p>
        </w:tc>
        <w:tc>
          <w:tcPr>
            <w:tcW w:w="953" w:type="dxa"/>
          </w:tcPr>
          <w:p>
            <w:pPr>
              <w:pStyle w:val="TableParagraph"/>
              <w:spacing w:before="1"/>
              <w:ind w:right="421"/>
              <w:jc w:val="right"/>
              <w:rPr>
                <w:sz w:val="18"/>
              </w:rPr>
            </w:pPr>
            <w:r>
              <w:rPr>
                <w:w w:val="99"/>
                <w:sz w:val="18"/>
              </w:rPr>
              <w:t>0</w:t>
            </w:r>
          </w:p>
        </w:tc>
        <w:tc>
          <w:tcPr>
            <w:tcW w:w="974" w:type="dxa"/>
          </w:tcPr>
          <w:p>
            <w:pPr>
              <w:pStyle w:val="TableParagraph"/>
              <w:spacing w:before="1"/>
              <w:rPr>
                <w:sz w:val="18"/>
              </w:rPr>
            </w:pPr>
            <w:r>
              <w:rPr>
                <w:w w:val="99"/>
                <w:sz w:val="18"/>
              </w:rPr>
              <w:t>0</w:t>
            </w:r>
          </w:p>
        </w:tc>
        <w:tc>
          <w:tcPr>
            <w:tcW w:w="975" w:type="dxa"/>
          </w:tcPr>
          <w:p>
            <w:pPr>
              <w:pStyle w:val="TableParagraph"/>
              <w:spacing w:before="1"/>
              <w:ind w:right="1"/>
              <w:rPr>
                <w:sz w:val="18"/>
              </w:rPr>
            </w:pPr>
            <w:r>
              <w:rPr>
                <w:w w:val="99"/>
                <w:sz w:val="18"/>
              </w:rPr>
              <w:t>0</w:t>
            </w:r>
          </w:p>
        </w:tc>
        <w:tc>
          <w:tcPr>
            <w:tcW w:w="1010" w:type="dxa"/>
          </w:tcPr>
          <w:p>
            <w:pPr>
              <w:pStyle w:val="TableParagraph"/>
              <w:spacing w:before="1"/>
              <w:ind w:right="1"/>
              <w:rPr>
                <w:sz w:val="18"/>
              </w:rPr>
            </w:pPr>
            <w:r>
              <w:rPr>
                <w:w w:val="99"/>
                <w:sz w:val="18"/>
              </w:rPr>
              <w:t>0</w:t>
            </w:r>
          </w:p>
        </w:tc>
        <w:tc>
          <w:tcPr>
            <w:tcW w:w="936" w:type="dxa"/>
          </w:tcPr>
          <w:p>
            <w:pPr>
              <w:pStyle w:val="TableParagraph"/>
              <w:spacing w:before="1"/>
              <w:rPr>
                <w:sz w:val="18"/>
              </w:rPr>
            </w:pPr>
            <w:r>
              <w:rPr>
                <w:w w:val="99"/>
                <w:sz w:val="18"/>
              </w:rPr>
              <w:t>0</w:t>
            </w:r>
          </w:p>
        </w:tc>
        <w:tc>
          <w:tcPr>
            <w:tcW w:w="1013" w:type="dxa"/>
          </w:tcPr>
          <w:p>
            <w:pPr>
              <w:pStyle w:val="TableParagraph"/>
              <w:spacing w:before="1"/>
              <w:ind w:right="1"/>
              <w:rPr>
                <w:sz w:val="18"/>
              </w:rPr>
            </w:pPr>
            <w:r>
              <w:rPr>
                <w:w w:val="99"/>
                <w:sz w:val="18"/>
              </w:rPr>
              <w:t>0</w:t>
            </w:r>
          </w:p>
        </w:tc>
        <w:tc>
          <w:tcPr>
            <w:tcW w:w="883" w:type="dxa"/>
          </w:tcPr>
          <w:p>
            <w:pPr>
              <w:pStyle w:val="TableParagraph"/>
              <w:spacing w:before="1"/>
              <w:rPr>
                <w:sz w:val="18"/>
              </w:rPr>
            </w:pPr>
            <w:r>
              <w:rPr>
                <w:w w:val="99"/>
                <w:sz w:val="18"/>
              </w:rPr>
              <w:t>0</w:t>
            </w:r>
          </w:p>
        </w:tc>
      </w:tr>
      <w:tr>
        <w:trPr>
          <w:trHeight w:val="322" w:hRule="exact"/>
        </w:trPr>
        <w:tc>
          <w:tcPr>
            <w:tcW w:w="1200" w:type="dxa"/>
          </w:tcPr>
          <w:p>
            <w:pPr>
              <w:pStyle w:val="TableParagraph"/>
              <w:spacing w:line="206" w:lineRule="exact"/>
              <w:ind w:left="103"/>
              <w:jc w:val="left"/>
              <w:rPr>
                <w:sz w:val="18"/>
              </w:rPr>
            </w:pPr>
            <w:r>
              <w:rPr>
                <w:sz w:val="18"/>
              </w:rPr>
              <w:t>Abstención</w:t>
            </w:r>
          </w:p>
        </w:tc>
        <w:tc>
          <w:tcPr>
            <w:tcW w:w="989" w:type="dxa"/>
          </w:tcPr>
          <w:p>
            <w:pPr>
              <w:pStyle w:val="TableParagraph"/>
              <w:spacing w:line="206" w:lineRule="exact"/>
              <w:rPr>
                <w:sz w:val="18"/>
              </w:rPr>
            </w:pPr>
            <w:r>
              <w:rPr>
                <w:w w:val="99"/>
                <w:sz w:val="18"/>
              </w:rPr>
              <w:t>2</w:t>
            </w:r>
          </w:p>
        </w:tc>
        <w:tc>
          <w:tcPr>
            <w:tcW w:w="953" w:type="dxa"/>
          </w:tcPr>
          <w:p>
            <w:pPr>
              <w:pStyle w:val="TableParagraph"/>
              <w:spacing w:line="206" w:lineRule="exact"/>
              <w:ind w:right="421"/>
              <w:jc w:val="right"/>
              <w:rPr>
                <w:sz w:val="18"/>
              </w:rPr>
            </w:pPr>
            <w:r>
              <w:rPr>
                <w:w w:val="99"/>
                <w:sz w:val="18"/>
              </w:rPr>
              <w:t>1</w:t>
            </w:r>
          </w:p>
        </w:tc>
        <w:tc>
          <w:tcPr>
            <w:tcW w:w="974" w:type="dxa"/>
          </w:tcPr>
          <w:p>
            <w:pPr>
              <w:pStyle w:val="TableParagraph"/>
              <w:spacing w:line="206" w:lineRule="exact"/>
              <w:rPr>
                <w:sz w:val="18"/>
              </w:rPr>
            </w:pPr>
            <w:r>
              <w:rPr>
                <w:w w:val="99"/>
                <w:sz w:val="18"/>
              </w:rPr>
              <w:t>0</w:t>
            </w:r>
          </w:p>
        </w:tc>
        <w:tc>
          <w:tcPr>
            <w:tcW w:w="975" w:type="dxa"/>
          </w:tcPr>
          <w:p>
            <w:pPr>
              <w:pStyle w:val="TableParagraph"/>
              <w:spacing w:line="206" w:lineRule="exact"/>
              <w:ind w:right="1"/>
              <w:rPr>
                <w:sz w:val="18"/>
              </w:rPr>
            </w:pPr>
            <w:r>
              <w:rPr>
                <w:w w:val="99"/>
                <w:sz w:val="18"/>
              </w:rPr>
              <w:t>0</w:t>
            </w:r>
          </w:p>
        </w:tc>
        <w:tc>
          <w:tcPr>
            <w:tcW w:w="1010" w:type="dxa"/>
          </w:tcPr>
          <w:p>
            <w:pPr>
              <w:pStyle w:val="TableParagraph"/>
              <w:spacing w:line="206" w:lineRule="exact"/>
              <w:ind w:right="1"/>
              <w:rPr>
                <w:sz w:val="18"/>
              </w:rPr>
            </w:pPr>
            <w:r>
              <w:rPr>
                <w:w w:val="99"/>
                <w:sz w:val="18"/>
              </w:rPr>
              <w:t>0</w:t>
            </w:r>
          </w:p>
        </w:tc>
        <w:tc>
          <w:tcPr>
            <w:tcW w:w="936" w:type="dxa"/>
          </w:tcPr>
          <w:p>
            <w:pPr>
              <w:pStyle w:val="TableParagraph"/>
              <w:spacing w:line="206" w:lineRule="exact"/>
              <w:rPr>
                <w:sz w:val="18"/>
              </w:rPr>
            </w:pPr>
            <w:r>
              <w:rPr>
                <w:w w:val="99"/>
                <w:sz w:val="18"/>
              </w:rPr>
              <w:t>0</w:t>
            </w:r>
          </w:p>
        </w:tc>
        <w:tc>
          <w:tcPr>
            <w:tcW w:w="1013" w:type="dxa"/>
          </w:tcPr>
          <w:p>
            <w:pPr>
              <w:pStyle w:val="TableParagraph"/>
              <w:spacing w:line="206" w:lineRule="exact"/>
              <w:ind w:right="1"/>
              <w:rPr>
                <w:sz w:val="18"/>
              </w:rPr>
            </w:pPr>
            <w:r>
              <w:rPr>
                <w:w w:val="99"/>
                <w:sz w:val="18"/>
              </w:rPr>
              <w:t>0</w:t>
            </w:r>
          </w:p>
        </w:tc>
        <w:tc>
          <w:tcPr>
            <w:tcW w:w="883" w:type="dxa"/>
          </w:tcPr>
          <w:p>
            <w:pPr>
              <w:pStyle w:val="TableParagraph"/>
              <w:spacing w:line="206" w:lineRule="exact"/>
              <w:rPr>
                <w:sz w:val="18"/>
              </w:rPr>
            </w:pPr>
            <w:r>
              <w:rPr>
                <w:w w:val="99"/>
                <w:sz w:val="18"/>
              </w:rPr>
              <w:t>1</w:t>
            </w:r>
          </w:p>
        </w:tc>
      </w:tr>
      <w:tr>
        <w:trPr>
          <w:trHeight w:val="319" w:hRule="exact"/>
        </w:trPr>
        <w:tc>
          <w:tcPr>
            <w:tcW w:w="1200" w:type="dxa"/>
          </w:tcPr>
          <w:p>
            <w:pPr>
              <w:pStyle w:val="TableParagraph"/>
              <w:spacing w:line="206" w:lineRule="exact"/>
              <w:ind w:left="103"/>
              <w:jc w:val="left"/>
              <w:rPr>
                <w:sz w:val="18"/>
              </w:rPr>
            </w:pPr>
            <w:r>
              <w:rPr>
                <w:sz w:val="18"/>
              </w:rPr>
              <w:t>Quórum</w:t>
            </w:r>
          </w:p>
        </w:tc>
        <w:tc>
          <w:tcPr>
            <w:tcW w:w="989" w:type="dxa"/>
          </w:tcPr>
          <w:p>
            <w:pPr>
              <w:pStyle w:val="TableParagraph"/>
              <w:spacing w:line="206" w:lineRule="exact"/>
              <w:rPr>
                <w:sz w:val="18"/>
              </w:rPr>
            </w:pPr>
            <w:r>
              <w:rPr>
                <w:w w:val="99"/>
                <w:sz w:val="18"/>
              </w:rPr>
              <w:t>1</w:t>
            </w:r>
          </w:p>
        </w:tc>
        <w:tc>
          <w:tcPr>
            <w:tcW w:w="953" w:type="dxa"/>
          </w:tcPr>
          <w:p>
            <w:pPr>
              <w:pStyle w:val="TableParagraph"/>
              <w:spacing w:line="206" w:lineRule="exact"/>
              <w:ind w:right="421"/>
              <w:jc w:val="right"/>
              <w:rPr>
                <w:sz w:val="18"/>
              </w:rPr>
            </w:pPr>
            <w:r>
              <w:rPr>
                <w:w w:val="99"/>
                <w:sz w:val="18"/>
              </w:rPr>
              <w:t>0</w:t>
            </w:r>
          </w:p>
        </w:tc>
        <w:tc>
          <w:tcPr>
            <w:tcW w:w="974" w:type="dxa"/>
          </w:tcPr>
          <w:p>
            <w:pPr>
              <w:pStyle w:val="TableParagraph"/>
              <w:spacing w:line="206" w:lineRule="exact"/>
              <w:rPr>
                <w:sz w:val="18"/>
              </w:rPr>
            </w:pPr>
            <w:r>
              <w:rPr>
                <w:w w:val="99"/>
                <w:sz w:val="18"/>
              </w:rPr>
              <w:t>0</w:t>
            </w:r>
          </w:p>
        </w:tc>
        <w:tc>
          <w:tcPr>
            <w:tcW w:w="975" w:type="dxa"/>
          </w:tcPr>
          <w:p>
            <w:pPr>
              <w:pStyle w:val="TableParagraph"/>
              <w:spacing w:line="206" w:lineRule="exact"/>
              <w:ind w:right="1"/>
              <w:rPr>
                <w:sz w:val="18"/>
              </w:rPr>
            </w:pPr>
            <w:r>
              <w:rPr>
                <w:w w:val="99"/>
                <w:sz w:val="18"/>
              </w:rPr>
              <w:t>1</w:t>
            </w:r>
          </w:p>
        </w:tc>
        <w:tc>
          <w:tcPr>
            <w:tcW w:w="1010" w:type="dxa"/>
          </w:tcPr>
          <w:p>
            <w:pPr>
              <w:pStyle w:val="TableParagraph"/>
              <w:spacing w:line="206" w:lineRule="exact"/>
              <w:ind w:right="1"/>
              <w:rPr>
                <w:sz w:val="18"/>
              </w:rPr>
            </w:pPr>
            <w:r>
              <w:rPr>
                <w:w w:val="99"/>
                <w:sz w:val="18"/>
              </w:rPr>
              <w:t>0</w:t>
            </w:r>
          </w:p>
        </w:tc>
        <w:tc>
          <w:tcPr>
            <w:tcW w:w="936" w:type="dxa"/>
          </w:tcPr>
          <w:p>
            <w:pPr>
              <w:pStyle w:val="TableParagraph"/>
              <w:spacing w:line="206" w:lineRule="exact"/>
              <w:rPr>
                <w:sz w:val="18"/>
              </w:rPr>
            </w:pPr>
            <w:r>
              <w:rPr>
                <w:w w:val="99"/>
                <w:sz w:val="18"/>
              </w:rPr>
              <w:t>0</w:t>
            </w:r>
          </w:p>
        </w:tc>
        <w:tc>
          <w:tcPr>
            <w:tcW w:w="1013" w:type="dxa"/>
          </w:tcPr>
          <w:p>
            <w:pPr>
              <w:pStyle w:val="TableParagraph"/>
              <w:spacing w:line="206" w:lineRule="exact"/>
              <w:ind w:right="1"/>
              <w:rPr>
                <w:sz w:val="18"/>
              </w:rPr>
            </w:pPr>
            <w:r>
              <w:rPr>
                <w:w w:val="99"/>
                <w:sz w:val="18"/>
              </w:rPr>
              <w:t>0</w:t>
            </w:r>
          </w:p>
        </w:tc>
        <w:tc>
          <w:tcPr>
            <w:tcW w:w="883" w:type="dxa"/>
          </w:tcPr>
          <w:p>
            <w:pPr>
              <w:pStyle w:val="TableParagraph"/>
              <w:spacing w:line="206" w:lineRule="exact"/>
              <w:rPr>
                <w:sz w:val="18"/>
              </w:rPr>
            </w:pPr>
            <w:r>
              <w:rPr>
                <w:w w:val="99"/>
                <w:sz w:val="18"/>
              </w:rPr>
              <w:t>0</w:t>
            </w:r>
          </w:p>
        </w:tc>
      </w:tr>
      <w:tr>
        <w:trPr>
          <w:trHeight w:val="322" w:hRule="exact"/>
        </w:trPr>
        <w:tc>
          <w:tcPr>
            <w:tcW w:w="1200" w:type="dxa"/>
          </w:tcPr>
          <w:p>
            <w:pPr>
              <w:pStyle w:val="TableParagraph"/>
              <w:spacing w:line="207" w:lineRule="exact"/>
              <w:ind w:left="103"/>
              <w:jc w:val="left"/>
              <w:rPr>
                <w:sz w:val="18"/>
              </w:rPr>
            </w:pPr>
            <w:r>
              <w:rPr>
                <w:sz w:val="18"/>
              </w:rPr>
              <w:t>Ausentes</w:t>
            </w:r>
          </w:p>
        </w:tc>
        <w:tc>
          <w:tcPr>
            <w:tcW w:w="989" w:type="dxa"/>
          </w:tcPr>
          <w:p>
            <w:pPr>
              <w:pStyle w:val="TableParagraph"/>
              <w:spacing w:line="207" w:lineRule="exact"/>
              <w:ind w:left="254" w:right="254"/>
              <w:rPr>
                <w:sz w:val="18"/>
              </w:rPr>
            </w:pPr>
            <w:r>
              <w:rPr>
                <w:sz w:val="18"/>
              </w:rPr>
              <w:t>150</w:t>
            </w:r>
          </w:p>
        </w:tc>
        <w:tc>
          <w:tcPr>
            <w:tcW w:w="953" w:type="dxa"/>
          </w:tcPr>
          <w:p>
            <w:pPr>
              <w:pStyle w:val="TableParagraph"/>
              <w:spacing w:line="207" w:lineRule="exact"/>
              <w:ind w:right="367"/>
              <w:jc w:val="right"/>
              <w:rPr>
                <w:sz w:val="18"/>
              </w:rPr>
            </w:pPr>
            <w:r>
              <w:rPr>
                <w:sz w:val="18"/>
              </w:rPr>
              <w:t>51</w:t>
            </w:r>
          </w:p>
        </w:tc>
        <w:tc>
          <w:tcPr>
            <w:tcW w:w="974" w:type="dxa"/>
          </w:tcPr>
          <w:p>
            <w:pPr>
              <w:pStyle w:val="TableParagraph"/>
              <w:spacing w:line="207" w:lineRule="exact"/>
              <w:ind w:left="272" w:right="272"/>
              <w:rPr>
                <w:sz w:val="18"/>
              </w:rPr>
            </w:pPr>
            <w:r>
              <w:rPr>
                <w:sz w:val="18"/>
              </w:rPr>
              <w:t>52</w:t>
            </w:r>
          </w:p>
        </w:tc>
        <w:tc>
          <w:tcPr>
            <w:tcW w:w="975" w:type="dxa"/>
          </w:tcPr>
          <w:p>
            <w:pPr>
              <w:pStyle w:val="TableParagraph"/>
              <w:spacing w:line="207" w:lineRule="exact"/>
              <w:ind w:left="272" w:right="272"/>
              <w:rPr>
                <w:sz w:val="18"/>
              </w:rPr>
            </w:pPr>
            <w:r>
              <w:rPr>
                <w:sz w:val="18"/>
              </w:rPr>
              <w:t>33</w:t>
            </w:r>
          </w:p>
        </w:tc>
        <w:tc>
          <w:tcPr>
            <w:tcW w:w="1010" w:type="dxa"/>
          </w:tcPr>
          <w:p>
            <w:pPr>
              <w:pStyle w:val="TableParagraph"/>
              <w:spacing w:line="207" w:lineRule="exact"/>
              <w:ind w:right="1"/>
              <w:rPr>
                <w:sz w:val="18"/>
              </w:rPr>
            </w:pPr>
            <w:r>
              <w:rPr>
                <w:w w:val="99"/>
                <w:sz w:val="18"/>
              </w:rPr>
              <w:t>6</w:t>
            </w:r>
          </w:p>
        </w:tc>
        <w:tc>
          <w:tcPr>
            <w:tcW w:w="936" w:type="dxa"/>
          </w:tcPr>
          <w:p>
            <w:pPr>
              <w:pStyle w:val="TableParagraph"/>
              <w:spacing w:line="207" w:lineRule="exact"/>
              <w:rPr>
                <w:sz w:val="18"/>
              </w:rPr>
            </w:pPr>
            <w:r>
              <w:rPr>
                <w:w w:val="99"/>
                <w:sz w:val="18"/>
              </w:rPr>
              <w:t>3</w:t>
            </w:r>
          </w:p>
        </w:tc>
        <w:tc>
          <w:tcPr>
            <w:tcW w:w="1013" w:type="dxa"/>
          </w:tcPr>
          <w:p>
            <w:pPr>
              <w:pStyle w:val="TableParagraph"/>
              <w:spacing w:line="207" w:lineRule="exact"/>
              <w:ind w:right="1"/>
              <w:rPr>
                <w:sz w:val="18"/>
              </w:rPr>
            </w:pPr>
            <w:r>
              <w:rPr>
                <w:w w:val="99"/>
                <w:sz w:val="18"/>
              </w:rPr>
              <w:t>2</w:t>
            </w:r>
          </w:p>
        </w:tc>
        <w:tc>
          <w:tcPr>
            <w:tcW w:w="883" w:type="dxa"/>
          </w:tcPr>
          <w:p>
            <w:pPr>
              <w:pStyle w:val="TableParagraph"/>
              <w:spacing w:line="207" w:lineRule="exact"/>
              <w:rPr>
                <w:sz w:val="18"/>
              </w:rPr>
            </w:pPr>
            <w:r>
              <w:rPr>
                <w:w w:val="99"/>
                <w:sz w:val="18"/>
              </w:rPr>
              <w:t>3</w:t>
            </w:r>
          </w:p>
        </w:tc>
      </w:tr>
      <w:tr>
        <w:trPr>
          <w:trHeight w:val="319" w:hRule="exact"/>
        </w:trPr>
        <w:tc>
          <w:tcPr>
            <w:tcW w:w="1200" w:type="dxa"/>
          </w:tcPr>
          <w:p>
            <w:pPr>
              <w:pStyle w:val="TableParagraph"/>
              <w:spacing w:line="206" w:lineRule="exact"/>
              <w:ind w:left="103"/>
              <w:jc w:val="left"/>
              <w:rPr>
                <w:sz w:val="18"/>
              </w:rPr>
            </w:pPr>
            <w:r>
              <w:rPr>
                <w:sz w:val="18"/>
              </w:rPr>
              <w:t>Total</w:t>
            </w:r>
          </w:p>
        </w:tc>
        <w:tc>
          <w:tcPr>
            <w:tcW w:w="989" w:type="dxa"/>
          </w:tcPr>
          <w:p>
            <w:pPr>
              <w:pStyle w:val="TableParagraph"/>
              <w:spacing w:line="206" w:lineRule="exact"/>
              <w:ind w:left="254" w:right="254"/>
              <w:rPr>
                <w:sz w:val="18"/>
              </w:rPr>
            </w:pPr>
            <w:r>
              <w:rPr>
                <w:sz w:val="18"/>
              </w:rPr>
              <w:t>479</w:t>
            </w:r>
          </w:p>
        </w:tc>
        <w:tc>
          <w:tcPr>
            <w:tcW w:w="953" w:type="dxa"/>
          </w:tcPr>
          <w:p>
            <w:pPr>
              <w:pStyle w:val="TableParagraph"/>
              <w:spacing w:line="206" w:lineRule="exact"/>
              <w:ind w:right="317"/>
              <w:jc w:val="right"/>
              <w:rPr>
                <w:sz w:val="18"/>
              </w:rPr>
            </w:pPr>
            <w:r>
              <w:rPr>
                <w:w w:val="95"/>
                <w:sz w:val="18"/>
              </w:rPr>
              <w:t>204</w:t>
            </w:r>
          </w:p>
        </w:tc>
        <w:tc>
          <w:tcPr>
            <w:tcW w:w="974" w:type="dxa"/>
          </w:tcPr>
          <w:p>
            <w:pPr>
              <w:pStyle w:val="TableParagraph"/>
              <w:spacing w:line="206" w:lineRule="exact"/>
              <w:ind w:left="272" w:right="272"/>
              <w:rPr>
                <w:sz w:val="18"/>
              </w:rPr>
            </w:pPr>
            <w:r>
              <w:rPr>
                <w:sz w:val="18"/>
              </w:rPr>
              <w:t>146</w:t>
            </w:r>
          </w:p>
        </w:tc>
        <w:tc>
          <w:tcPr>
            <w:tcW w:w="975" w:type="dxa"/>
          </w:tcPr>
          <w:p>
            <w:pPr>
              <w:pStyle w:val="TableParagraph"/>
              <w:spacing w:line="206" w:lineRule="exact"/>
              <w:ind w:left="272" w:right="272"/>
              <w:rPr>
                <w:sz w:val="18"/>
              </w:rPr>
            </w:pPr>
            <w:r>
              <w:rPr>
                <w:sz w:val="18"/>
              </w:rPr>
              <w:t>94</w:t>
            </w:r>
          </w:p>
        </w:tc>
        <w:tc>
          <w:tcPr>
            <w:tcW w:w="1010" w:type="dxa"/>
          </w:tcPr>
          <w:p>
            <w:pPr>
              <w:pStyle w:val="TableParagraph"/>
              <w:spacing w:line="206" w:lineRule="exact"/>
              <w:ind w:left="224" w:right="222"/>
              <w:rPr>
                <w:sz w:val="18"/>
              </w:rPr>
            </w:pPr>
            <w:r>
              <w:rPr>
                <w:sz w:val="18"/>
              </w:rPr>
              <w:t>17</w:t>
            </w:r>
          </w:p>
        </w:tc>
        <w:tc>
          <w:tcPr>
            <w:tcW w:w="936" w:type="dxa"/>
          </w:tcPr>
          <w:p>
            <w:pPr>
              <w:pStyle w:val="TableParagraph"/>
              <w:spacing w:line="206" w:lineRule="exact"/>
              <w:rPr>
                <w:sz w:val="18"/>
              </w:rPr>
            </w:pPr>
            <w:r>
              <w:rPr>
                <w:w w:val="99"/>
                <w:sz w:val="18"/>
              </w:rPr>
              <w:t>5</w:t>
            </w:r>
          </w:p>
        </w:tc>
        <w:tc>
          <w:tcPr>
            <w:tcW w:w="1013" w:type="dxa"/>
          </w:tcPr>
          <w:p>
            <w:pPr>
              <w:pStyle w:val="TableParagraph"/>
              <w:spacing w:line="206" w:lineRule="exact"/>
              <w:ind w:right="1"/>
              <w:rPr>
                <w:sz w:val="18"/>
              </w:rPr>
            </w:pPr>
            <w:r>
              <w:rPr>
                <w:w w:val="99"/>
                <w:sz w:val="18"/>
              </w:rPr>
              <w:t>5</w:t>
            </w:r>
          </w:p>
        </w:tc>
        <w:tc>
          <w:tcPr>
            <w:tcW w:w="883" w:type="dxa"/>
          </w:tcPr>
          <w:p>
            <w:pPr>
              <w:pStyle w:val="TableParagraph"/>
              <w:spacing w:line="206" w:lineRule="exact"/>
              <w:rPr>
                <w:sz w:val="18"/>
              </w:rPr>
            </w:pPr>
            <w:r>
              <w:rPr>
                <w:w w:val="99"/>
                <w:sz w:val="18"/>
              </w:rPr>
              <w:t>8</w:t>
            </w:r>
          </w:p>
        </w:tc>
      </w:tr>
    </w:tbl>
    <w:p>
      <w:pPr>
        <w:tabs>
          <w:tab w:pos="978" w:val="left" w:leader="none"/>
          <w:tab w:pos="1702" w:val="left" w:leader="none"/>
          <w:tab w:pos="2952" w:val="left" w:leader="none"/>
          <w:tab w:pos="3398" w:val="left" w:leader="none"/>
          <w:tab w:pos="4436" w:val="left" w:leader="none"/>
          <w:tab w:pos="5213" w:val="left" w:leader="none"/>
          <w:tab w:pos="5602" w:val="left" w:leader="none"/>
          <w:tab w:pos="6576" w:val="left" w:leader="none"/>
          <w:tab w:pos="7336" w:val="left" w:leader="none"/>
          <w:tab w:pos="7801" w:val="left" w:leader="none"/>
          <w:tab w:pos="8758" w:val="left" w:leader="none"/>
        </w:tabs>
        <w:spacing w:line="360" w:lineRule="auto" w:before="0"/>
        <w:ind w:left="225" w:right="261" w:firstLine="0"/>
        <w:jc w:val="left"/>
        <w:rPr>
          <w:sz w:val="16"/>
        </w:rPr>
      </w:pPr>
      <w:r>
        <w:rPr>
          <w:sz w:val="16"/>
        </w:rPr>
        <w:t>Fuente:</w:t>
        <w:tab/>
        <w:t>Gaceta</w:t>
        <w:tab/>
        <w:t>Parlamentaria,</w:t>
        <w:tab/>
        <w:t>LIX</w:t>
        <w:tab/>
        <w:t>Legislatura,</w:t>
        <w:tab/>
        <w:t>Cámara</w:t>
        <w:tab/>
        <w:t>de</w:t>
        <w:tab/>
        <w:t>Diputados,</w:t>
        <w:tab/>
        <w:t>México,</w:t>
        <w:tab/>
        <w:t>DF.</w:t>
        <w:tab/>
        <w:t>Disponible</w:t>
        <w:tab/>
        <w:t>en </w:t>
      </w:r>
      <w:hyperlink r:id="rId144">
        <w:r>
          <w:rPr>
            <w:color w:val="0462C1"/>
            <w:sz w:val="16"/>
            <w:u w:val="single" w:color="0462C1"/>
          </w:rPr>
          <w:t>http://gaceta.diputados.gob.mx/Gaceta/Votaciones/59/tabla3or2-29.php3</w:t>
        </w:r>
        <w:r>
          <w:rPr>
            <w:color w:val="0462C1"/>
            <w:spacing w:val="-14"/>
            <w:sz w:val="16"/>
            <w:u w:val="single" w:color="0462C1"/>
          </w:rPr>
          <w:t> </w:t>
        </w:r>
      </w:hyperlink>
      <w:r>
        <w:rPr>
          <w:sz w:val="16"/>
        </w:rPr>
        <w:t>[Consultado</w:t>
      </w:r>
      <w:r>
        <w:rPr>
          <w:spacing w:val="-15"/>
          <w:sz w:val="16"/>
        </w:rPr>
        <w:t> </w:t>
      </w:r>
      <w:r>
        <w:rPr>
          <w:sz w:val="16"/>
        </w:rPr>
        <w:t>el</w:t>
      </w:r>
      <w:r>
        <w:rPr>
          <w:spacing w:val="-14"/>
          <w:sz w:val="16"/>
        </w:rPr>
        <w:t> </w:t>
      </w:r>
      <w:r>
        <w:rPr>
          <w:sz w:val="16"/>
        </w:rPr>
        <w:t>09-11-2015]</w:t>
      </w:r>
    </w:p>
    <w:p>
      <w:pPr>
        <w:pStyle w:val="BodyText"/>
        <w:rPr>
          <w:sz w:val="20"/>
        </w:rPr>
      </w:pPr>
    </w:p>
    <w:p>
      <w:pPr>
        <w:pStyle w:val="BodyText"/>
        <w:spacing w:line="360" w:lineRule="auto" w:before="189"/>
        <w:ind w:left="148" w:right="115"/>
        <w:jc w:val="both"/>
      </w:pPr>
      <w:r>
        <w:rPr/>
        <w:t>Se adicionará el inciso e) en el art. 72 de la constitución federal. De los 479 votos disponibles</w:t>
      </w:r>
      <w:r>
        <w:rPr>
          <w:spacing w:val="-9"/>
        </w:rPr>
        <w:t> </w:t>
      </w:r>
      <w:r>
        <w:rPr/>
        <w:t>se</w:t>
      </w:r>
      <w:r>
        <w:rPr>
          <w:spacing w:val="-8"/>
        </w:rPr>
        <w:t> </w:t>
      </w:r>
      <w:r>
        <w:rPr/>
        <w:t>logró</w:t>
      </w:r>
      <w:r>
        <w:rPr>
          <w:spacing w:val="-9"/>
        </w:rPr>
        <w:t> </w:t>
      </w:r>
      <w:r>
        <w:rPr/>
        <w:t>un</w:t>
      </w:r>
      <w:r>
        <w:rPr>
          <w:spacing w:val="-11"/>
        </w:rPr>
        <w:t> </w:t>
      </w:r>
      <w:r>
        <w:rPr/>
        <w:t>68.05%</w:t>
      </w:r>
      <w:r>
        <w:rPr>
          <w:spacing w:val="-11"/>
        </w:rPr>
        <w:t> </w:t>
      </w:r>
      <w:r>
        <w:rPr/>
        <w:t>a</w:t>
      </w:r>
      <w:r>
        <w:rPr>
          <w:spacing w:val="-11"/>
        </w:rPr>
        <w:t> </w:t>
      </w:r>
      <w:r>
        <w:rPr/>
        <w:t>favor.</w:t>
      </w:r>
      <w:r>
        <w:rPr>
          <w:spacing w:val="-9"/>
        </w:rPr>
        <w:t> </w:t>
      </w:r>
      <w:r>
        <w:rPr/>
        <w:t>El</w:t>
      </w:r>
      <w:r>
        <w:rPr>
          <w:spacing w:val="-12"/>
        </w:rPr>
        <w:t> </w:t>
      </w:r>
      <w:r>
        <w:rPr/>
        <w:t>0.41%</w:t>
      </w:r>
      <w:r>
        <w:rPr>
          <w:spacing w:val="-9"/>
        </w:rPr>
        <w:t> </w:t>
      </w:r>
      <w:r>
        <w:rPr/>
        <w:t>se</w:t>
      </w:r>
      <w:r>
        <w:rPr>
          <w:spacing w:val="-11"/>
        </w:rPr>
        <w:t> </w:t>
      </w:r>
      <w:r>
        <w:rPr/>
        <w:t>abstuvo</w:t>
      </w:r>
      <w:r>
        <w:rPr>
          <w:spacing w:val="-8"/>
        </w:rPr>
        <w:t> </w:t>
      </w:r>
      <w:r>
        <w:rPr/>
        <w:t>de</w:t>
      </w:r>
      <w:r>
        <w:rPr>
          <w:spacing w:val="-8"/>
        </w:rPr>
        <w:t> </w:t>
      </w:r>
      <w:r>
        <w:rPr/>
        <w:t>votar</w:t>
      </w:r>
      <w:r>
        <w:rPr>
          <w:spacing w:val="-10"/>
        </w:rPr>
        <w:t> </w:t>
      </w:r>
      <w:r>
        <w:rPr/>
        <w:t>y</w:t>
      </w:r>
      <w:r>
        <w:rPr>
          <w:spacing w:val="-12"/>
        </w:rPr>
        <w:t> </w:t>
      </w:r>
      <w:r>
        <w:rPr/>
        <w:t>el</w:t>
      </w:r>
      <w:r>
        <w:rPr>
          <w:spacing w:val="-10"/>
        </w:rPr>
        <w:t> </w:t>
      </w:r>
      <w:r>
        <w:rPr/>
        <w:t>31.31%</w:t>
      </w:r>
      <w:r>
        <w:rPr>
          <w:spacing w:val="-11"/>
        </w:rPr>
        <w:t> </w:t>
      </w:r>
      <w:r>
        <w:rPr/>
        <w:t>no se presentó a la</w:t>
      </w:r>
      <w:r>
        <w:rPr>
          <w:spacing w:val="-5"/>
        </w:rPr>
        <w:t> </w:t>
      </w:r>
      <w:r>
        <w:rPr/>
        <w:t>sesión.</w:t>
      </w:r>
    </w:p>
    <w:p>
      <w:pPr>
        <w:pStyle w:val="BodyText"/>
      </w:pPr>
    </w:p>
    <w:p>
      <w:pPr>
        <w:pStyle w:val="BodyText"/>
      </w:pPr>
    </w:p>
    <w:p>
      <w:pPr>
        <w:pStyle w:val="BodyText"/>
        <w:spacing w:line="360" w:lineRule="auto" w:before="185"/>
        <w:ind w:left="148" w:right="116"/>
        <w:jc w:val="both"/>
      </w:pPr>
      <w:r>
        <w:rPr/>
        <w:t>Sobre</w:t>
      </w:r>
      <w:r>
        <w:rPr>
          <w:spacing w:val="-5"/>
        </w:rPr>
        <w:t> </w:t>
      </w:r>
      <w:r>
        <w:rPr/>
        <w:t>la</w:t>
      </w:r>
      <w:r>
        <w:rPr>
          <w:spacing w:val="-5"/>
        </w:rPr>
        <w:t> </w:t>
      </w:r>
      <w:r>
        <w:rPr/>
        <w:t>visión</w:t>
      </w:r>
      <w:r>
        <w:rPr>
          <w:spacing w:val="-5"/>
        </w:rPr>
        <w:t> </w:t>
      </w:r>
      <w:r>
        <w:rPr/>
        <w:t>de</w:t>
      </w:r>
      <w:r>
        <w:rPr>
          <w:spacing w:val="-7"/>
        </w:rPr>
        <w:t> </w:t>
      </w:r>
      <w:r>
        <w:rPr/>
        <w:t>partidos</w:t>
      </w:r>
      <w:r>
        <w:rPr>
          <w:spacing w:val="-5"/>
        </w:rPr>
        <w:t> </w:t>
      </w:r>
      <w:r>
        <w:rPr/>
        <w:t>políticos</w:t>
      </w:r>
      <w:r>
        <w:rPr>
          <w:spacing w:val="-2"/>
        </w:rPr>
        <w:t> </w:t>
      </w:r>
      <w:r>
        <w:rPr/>
        <w:t>cabe</w:t>
      </w:r>
      <w:r>
        <w:rPr>
          <w:spacing w:val="-5"/>
        </w:rPr>
        <w:t> </w:t>
      </w:r>
      <w:r>
        <w:rPr/>
        <w:t>destacar</w:t>
      </w:r>
      <w:r>
        <w:rPr>
          <w:spacing w:val="-6"/>
        </w:rPr>
        <w:t> </w:t>
      </w:r>
      <w:r>
        <w:rPr/>
        <w:t>que</w:t>
      </w:r>
      <w:r>
        <w:rPr>
          <w:spacing w:val="-5"/>
        </w:rPr>
        <w:t> </w:t>
      </w:r>
      <w:r>
        <w:rPr/>
        <w:t>74.5%</w:t>
      </w:r>
      <w:r>
        <w:rPr>
          <w:spacing w:val="-5"/>
        </w:rPr>
        <w:t> </w:t>
      </w:r>
      <w:r>
        <w:rPr/>
        <w:t>de</w:t>
      </w:r>
      <w:r>
        <w:rPr>
          <w:spacing w:val="-5"/>
        </w:rPr>
        <w:t> </w:t>
      </w:r>
      <w:r>
        <w:rPr/>
        <w:t>los</w:t>
      </w:r>
      <w:r>
        <w:rPr>
          <w:spacing w:val="-10"/>
        </w:rPr>
        <w:t> </w:t>
      </w:r>
      <w:r>
        <w:rPr/>
        <w:t>priistas</w:t>
      </w:r>
      <w:r>
        <w:rPr>
          <w:spacing w:val="-5"/>
        </w:rPr>
        <w:t> </w:t>
      </w:r>
      <w:r>
        <w:rPr/>
        <w:t>votaron a</w:t>
      </w:r>
      <w:r>
        <w:rPr>
          <w:spacing w:val="-10"/>
        </w:rPr>
        <w:t> </w:t>
      </w:r>
      <w:r>
        <w:rPr/>
        <w:t>favor</w:t>
      </w:r>
      <w:r>
        <w:rPr>
          <w:spacing w:val="-9"/>
        </w:rPr>
        <w:t> </w:t>
      </w:r>
      <w:r>
        <w:rPr/>
        <w:t>de</w:t>
      </w:r>
      <w:r>
        <w:rPr>
          <w:spacing w:val="-7"/>
        </w:rPr>
        <w:t> </w:t>
      </w:r>
      <w:r>
        <w:rPr/>
        <w:t>la</w:t>
      </w:r>
      <w:r>
        <w:rPr>
          <w:spacing w:val="-8"/>
        </w:rPr>
        <w:t> </w:t>
      </w:r>
      <w:r>
        <w:rPr/>
        <w:t>reforma</w:t>
      </w:r>
      <w:r>
        <w:rPr>
          <w:spacing w:val="-7"/>
        </w:rPr>
        <w:t> </w:t>
      </w:r>
      <w:r>
        <w:rPr/>
        <w:t>y</w:t>
      </w:r>
      <w:r>
        <w:rPr>
          <w:spacing w:val="-11"/>
        </w:rPr>
        <w:t> </w:t>
      </w:r>
      <w:r>
        <w:rPr/>
        <w:t>25%</w:t>
      </w:r>
      <w:r>
        <w:rPr>
          <w:spacing w:val="-8"/>
        </w:rPr>
        <w:t> </w:t>
      </w:r>
      <w:r>
        <w:rPr/>
        <w:t>no</w:t>
      </w:r>
      <w:r>
        <w:rPr>
          <w:spacing w:val="-7"/>
        </w:rPr>
        <w:t> </w:t>
      </w:r>
      <w:r>
        <w:rPr/>
        <w:t>asistió.</w:t>
      </w:r>
      <w:r>
        <w:rPr>
          <w:spacing w:val="-10"/>
        </w:rPr>
        <w:t> </w:t>
      </w:r>
      <w:r>
        <w:rPr/>
        <w:t>Por</w:t>
      </w:r>
      <w:r>
        <w:rPr>
          <w:spacing w:val="-9"/>
        </w:rPr>
        <w:t> </w:t>
      </w:r>
      <w:r>
        <w:rPr/>
        <w:t>su</w:t>
      </w:r>
      <w:r>
        <w:rPr>
          <w:spacing w:val="-10"/>
        </w:rPr>
        <w:t> </w:t>
      </w:r>
      <w:r>
        <w:rPr/>
        <w:t>parte</w:t>
      </w:r>
      <w:r>
        <w:rPr>
          <w:spacing w:val="-8"/>
        </w:rPr>
        <w:t> </w:t>
      </w:r>
      <w:r>
        <w:rPr/>
        <w:t>el</w:t>
      </w:r>
      <w:r>
        <w:rPr>
          <w:spacing w:val="-11"/>
        </w:rPr>
        <w:t> </w:t>
      </w:r>
      <w:r>
        <w:rPr/>
        <w:t>64.38%</w:t>
      </w:r>
      <w:r>
        <w:rPr>
          <w:spacing w:val="-8"/>
        </w:rPr>
        <w:t> </w:t>
      </w:r>
      <w:r>
        <w:rPr/>
        <w:t>de</w:t>
      </w:r>
      <w:r>
        <w:rPr>
          <w:spacing w:val="-7"/>
        </w:rPr>
        <w:t> </w:t>
      </w:r>
      <w:r>
        <w:rPr/>
        <w:t>los</w:t>
      </w:r>
      <w:r>
        <w:rPr>
          <w:spacing w:val="-10"/>
        </w:rPr>
        <w:t> </w:t>
      </w:r>
      <w:r>
        <w:rPr/>
        <w:t>legisladores</w:t>
      </w:r>
      <w:r>
        <w:rPr>
          <w:spacing w:val="-8"/>
        </w:rPr>
        <w:t> </w:t>
      </w:r>
      <w:r>
        <w:rPr/>
        <w:t>del PAN</w:t>
      </w:r>
      <w:r>
        <w:rPr>
          <w:spacing w:val="-7"/>
        </w:rPr>
        <w:t> </w:t>
      </w:r>
      <w:r>
        <w:rPr/>
        <w:t>votaron</w:t>
      </w:r>
      <w:r>
        <w:rPr>
          <w:spacing w:val="-6"/>
        </w:rPr>
        <w:t> </w:t>
      </w:r>
      <w:r>
        <w:rPr/>
        <w:t>a</w:t>
      </w:r>
      <w:r>
        <w:rPr>
          <w:spacing w:val="-7"/>
        </w:rPr>
        <w:t> </w:t>
      </w:r>
      <w:r>
        <w:rPr/>
        <w:t>favor</w:t>
      </w:r>
      <w:r>
        <w:rPr>
          <w:spacing w:val="-7"/>
        </w:rPr>
        <w:t> </w:t>
      </w:r>
      <w:r>
        <w:rPr/>
        <w:t>de</w:t>
      </w:r>
      <w:r>
        <w:rPr>
          <w:spacing w:val="-6"/>
        </w:rPr>
        <w:t> </w:t>
      </w:r>
      <w:r>
        <w:rPr/>
        <w:t>la</w:t>
      </w:r>
      <w:r>
        <w:rPr>
          <w:spacing w:val="-6"/>
        </w:rPr>
        <w:t> </w:t>
      </w:r>
      <w:r>
        <w:rPr/>
        <w:t>reforma</w:t>
      </w:r>
      <w:r>
        <w:rPr>
          <w:spacing w:val="-6"/>
        </w:rPr>
        <w:t> </w:t>
      </w:r>
      <w:r>
        <w:rPr/>
        <w:t>y</w:t>
      </w:r>
      <w:r>
        <w:rPr>
          <w:spacing w:val="-8"/>
        </w:rPr>
        <w:t> </w:t>
      </w:r>
      <w:r>
        <w:rPr/>
        <w:t>el</w:t>
      </w:r>
      <w:r>
        <w:rPr>
          <w:spacing w:val="-7"/>
        </w:rPr>
        <w:t> </w:t>
      </w:r>
      <w:r>
        <w:rPr/>
        <w:t>35.61%</w:t>
      </w:r>
      <w:r>
        <w:rPr>
          <w:spacing w:val="-7"/>
        </w:rPr>
        <w:t> </w:t>
      </w:r>
      <w:r>
        <w:rPr/>
        <w:t>no</w:t>
      </w:r>
      <w:r>
        <w:rPr>
          <w:spacing w:val="-6"/>
        </w:rPr>
        <w:t> </w:t>
      </w:r>
      <w:r>
        <w:rPr/>
        <w:t>asistió</w:t>
      </w:r>
      <w:r>
        <w:rPr>
          <w:spacing w:val="-8"/>
        </w:rPr>
        <w:t> </w:t>
      </w:r>
      <w:r>
        <w:rPr/>
        <w:t>a</w:t>
      </w:r>
      <w:r>
        <w:rPr>
          <w:spacing w:val="-6"/>
        </w:rPr>
        <w:t> </w:t>
      </w:r>
      <w:r>
        <w:rPr/>
        <w:t>la</w:t>
      </w:r>
      <w:r>
        <w:rPr>
          <w:spacing w:val="-6"/>
        </w:rPr>
        <w:t> </w:t>
      </w:r>
      <w:r>
        <w:rPr/>
        <w:t>sesión.</w:t>
      </w:r>
      <w:r>
        <w:rPr>
          <w:spacing w:val="-6"/>
        </w:rPr>
        <w:t> </w:t>
      </w:r>
      <w:r>
        <w:rPr/>
        <w:t>En</w:t>
      </w:r>
      <w:r>
        <w:rPr>
          <w:spacing w:val="-6"/>
        </w:rPr>
        <w:t> </w:t>
      </w:r>
      <w:r>
        <w:rPr/>
        <w:t>tanto</w:t>
      </w:r>
      <w:r>
        <w:rPr>
          <w:spacing w:val="-6"/>
        </w:rPr>
        <w:t> </w:t>
      </w:r>
      <w:r>
        <w:rPr/>
        <w:t>que</w:t>
      </w:r>
      <w:r>
        <w:rPr>
          <w:spacing w:val="-6"/>
        </w:rPr>
        <w:t> </w:t>
      </w:r>
      <w:r>
        <w:rPr/>
        <w:t>el 63.82%</w:t>
      </w:r>
      <w:r>
        <w:rPr>
          <w:spacing w:val="-12"/>
        </w:rPr>
        <w:t> </w:t>
      </w:r>
      <w:r>
        <w:rPr/>
        <w:t>de</w:t>
      </w:r>
      <w:r>
        <w:rPr>
          <w:spacing w:val="-12"/>
        </w:rPr>
        <w:t> </w:t>
      </w:r>
      <w:r>
        <w:rPr/>
        <w:t>los</w:t>
      </w:r>
      <w:r>
        <w:rPr>
          <w:spacing w:val="-12"/>
        </w:rPr>
        <w:t> </w:t>
      </w:r>
      <w:r>
        <w:rPr/>
        <w:t>perredistas</w:t>
      </w:r>
      <w:r>
        <w:rPr>
          <w:spacing w:val="-10"/>
        </w:rPr>
        <w:t> </w:t>
      </w:r>
      <w:r>
        <w:rPr/>
        <w:t>votaron</w:t>
      </w:r>
      <w:r>
        <w:rPr>
          <w:spacing w:val="-12"/>
        </w:rPr>
        <w:t> </w:t>
      </w:r>
      <w:r>
        <w:rPr/>
        <w:t>a</w:t>
      </w:r>
      <w:r>
        <w:rPr>
          <w:spacing w:val="-11"/>
        </w:rPr>
        <w:t> </w:t>
      </w:r>
      <w:r>
        <w:rPr/>
        <w:t>favor</w:t>
      </w:r>
      <w:r>
        <w:rPr>
          <w:spacing w:val="-11"/>
        </w:rPr>
        <w:t> </w:t>
      </w:r>
      <w:r>
        <w:rPr/>
        <w:t>y</w:t>
      </w:r>
      <w:r>
        <w:rPr>
          <w:spacing w:val="-13"/>
        </w:rPr>
        <w:t> </w:t>
      </w:r>
      <w:r>
        <w:rPr/>
        <w:t>el</w:t>
      </w:r>
      <w:r>
        <w:rPr>
          <w:spacing w:val="-15"/>
        </w:rPr>
        <w:t> </w:t>
      </w:r>
      <w:r>
        <w:rPr/>
        <w:t>35.10%</w:t>
      </w:r>
      <w:r>
        <w:rPr>
          <w:spacing w:val="-12"/>
        </w:rPr>
        <w:t> </w:t>
      </w:r>
      <w:r>
        <w:rPr/>
        <w:t>estuvieron</w:t>
      </w:r>
      <w:r>
        <w:rPr>
          <w:spacing w:val="-12"/>
        </w:rPr>
        <w:t> </w:t>
      </w:r>
      <w:r>
        <w:rPr/>
        <w:t>ausentes.</w:t>
      </w:r>
      <w:r>
        <w:rPr>
          <w:spacing w:val="-10"/>
        </w:rPr>
        <w:t> </w:t>
      </w:r>
      <w:r>
        <w:rPr/>
        <w:t>Mientras que</w:t>
      </w:r>
      <w:r>
        <w:rPr>
          <w:spacing w:val="-4"/>
        </w:rPr>
        <w:t> </w:t>
      </w:r>
      <w:r>
        <w:rPr/>
        <w:t>el</w:t>
      </w:r>
      <w:r>
        <w:rPr>
          <w:spacing w:val="-5"/>
        </w:rPr>
        <w:t> </w:t>
      </w:r>
      <w:r>
        <w:rPr/>
        <w:t>76.47%</w:t>
      </w:r>
      <w:r>
        <w:rPr>
          <w:spacing w:val="-4"/>
        </w:rPr>
        <w:t> </w:t>
      </w:r>
      <w:r>
        <w:rPr/>
        <w:t>de</w:t>
      </w:r>
      <w:r>
        <w:rPr>
          <w:spacing w:val="-4"/>
        </w:rPr>
        <w:t> </w:t>
      </w:r>
      <w:r>
        <w:rPr/>
        <w:t>los</w:t>
      </w:r>
      <w:r>
        <w:rPr>
          <w:spacing w:val="-4"/>
        </w:rPr>
        <w:t> </w:t>
      </w:r>
      <w:r>
        <w:rPr/>
        <w:t>legisladores</w:t>
      </w:r>
      <w:r>
        <w:rPr>
          <w:spacing w:val="-4"/>
        </w:rPr>
        <w:t> </w:t>
      </w:r>
      <w:r>
        <w:rPr/>
        <w:t>ecologistas</w:t>
      </w:r>
      <w:r>
        <w:rPr>
          <w:spacing w:val="-4"/>
        </w:rPr>
        <w:t> </w:t>
      </w:r>
      <w:r>
        <w:rPr/>
        <w:t>votaron</w:t>
      </w:r>
      <w:r>
        <w:rPr>
          <w:spacing w:val="-3"/>
        </w:rPr>
        <w:t> </w:t>
      </w:r>
      <w:r>
        <w:rPr/>
        <w:t>a</w:t>
      </w:r>
      <w:r>
        <w:rPr>
          <w:spacing w:val="-6"/>
        </w:rPr>
        <w:t> </w:t>
      </w:r>
      <w:r>
        <w:rPr/>
        <w:t>favor</w:t>
      </w:r>
      <w:r>
        <w:rPr>
          <w:spacing w:val="-5"/>
        </w:rPr>
        <w:t> </w:t>
      </w:r>
      <w:r>
        <w:rPr/>
        <w:t>y</w:t>
      </w:r>
      <w:r>
        <w:rPr>
          <w:spacing w:val="-7"/>
        </w:rPr>
        <w:t> </w:t>
      </w:r>
      <w:r>
        <w:rPr/>
        <w:t>el</w:t>
      </w:r>
      <w:r>
        <w:rPr>
          <w:spacing w:val="-5"/>
        </w:rPr>
        <w:t> </w:t>
      </w:r>
      <w:r>
        <w:rPr/>
        <w:t>23,52%</w:t>
      </w:r>
      <w:r>
        <w:rPr>
          <w:spacing w:val="-7"/>
        </w:rPr>
        <w:t> </w:t>
      </w:r>
      <w:r>
        <w:rPr/>
        <w:t>no</w:t>
      </w:r>
      <w:r>
        <w:rPr>
          <w:spacing w:val="-4"/>
        </w:rPr>
        <w:t> </w:t>
      </w:r>
      <w:r>
        <w:rPr/>
        <w:t>acudió a</w:t>
      </w:r>
      <w:r>
        <w:rPr>
          <w:spacing w:val="-4"/>
        </w:rPr>
        <w:t> </w:t>
      </w:r>
      <w:r>
        <w:rPr/>
        <w:t>la</w:t>
      </w:r>
      <w:r>
        <w:rPr>
          <w:spacing w:val="-4"/>
        </w:rPr>
        <w:t> </w:t>
      </w:r>
      <w:r>
        <w:rPr/>
        <w:t>sesión.</w:t>
      </w:r>
      <w:r>
        <w:rPr>
          <w:spacing w:val="-6"/>
        </w:rPr>
        <w:t> </w:t>
      </w:r>
      <w:r>
        <w:rPr/>
        <w:t>De</w:t>
      </w:r>
      <w:r>
        <w:rPr>
          <w:spacing w:val="-4"/>
        </w:rPr>
        <w:t> </w:t>
      </w:r>
      <w:r>
        <w:rPr/>
        <w:t>igual</w:t>
      </w:r>
      <w:r>
        <w:rPr>
          <w:spacing w:val="-7"/>
        </w:rPr>
        <w:t> </w:t>
      </w:r>
      <w:r>
        <w:rPr/>
        <w:t>manera</w:t>
      </w:r>
      <w:r>
        <w:rPr>
          <w:spacing w:val="-7"/>
        </w:rPr>
        <w:t> </w:t>
      </w:r>
      <w:r>
        <w:rPr/>
        <w:t>el</w:t>
      </w:r>
      <w:r>
        <w:rPr>
          <w:spacing w:val="-7"/>
        </w:rPr>
        <w:t> </w:t>
      </w:r>
      <w:r>
        <w:rPr/>
        <w:t>40%%</w:t>
      </w:r>
      <w:r>
        <w:rPr>
          <w:spacing w:val="-6"/>
        </w:rPr>
        <w:t> </w:t>
      </w:r>
      <w:r>
        <w:rPr/>
        <w:t>de</w:t>
      </w:r>
      <w:r>
        <w:rPr>
          <w:spacing w:val="-6"/>
        </w:rPr>
        <w:t> </w:t>
      </w:r>
      <w:r>
        <w:rPr/>
        <w:t>los</w:t>
      </w:r>
      <w:r>
        <w:rPr>
          <w:spacing w:val="-4"/>
        </w:rPr>
        <w:t> </w:t>
      </w:r>
      <w:r>
        <w:rPr/>
        <w:t>legisladores</w:t>
      </w:r>
      <w:r>
        <w:rPr>
          <w:spacing w:val="-4"/>
        </w:rPr>
        <w:t> </w:t>
      </w:r>
      <w:r>
        <w:rPr/>
        <w:t>del</w:t>
      </w:r>
      <w:r>
        <w:rPr>
          <w:spacing w:val="-5"/>
        </w:rPr>
        <w:t> </w:t>
      </w:r>
      <w:r>
        <w:rPr/>
        <w:t>PT</w:t>
      </w:r>
      <w:r>
        <w:rPr>
          <w:spacing w:val="-2"/>
        </w:rPr>
        <w:t> </w:t>
      </w:r>
      <w:r>
        <w:rPr/>
        <w:t>votaron</w:t>
      </w:r>
      <w:r>
        <w:rPr>
          <w:spacing w:val="-6"/>
        </w:rPr>
        <w:t> </w:t>
      </w:r>
      <w:r>
        <w:rPr/>
        <w:t>a</w:t>
      </w:r>
      <w:r>
        <w:rPr>
          <w:spacing w:val="-6"/>
        </w:rPr>
        <w:t> </w:t>
      </w:r>
      <w:r>
        <w:rPr/>
        <w:t>favor</w:t>
      </w:r>
      <w:r>
        <w:rPr>
          <w:spacing w:val="-5"/>
        </w:rPr>
        <w:t> </w:t>
      </w:r>
      <w:r>
        <w:rPr/>
        <w:t>y</w:t>
      </w:r>
      <w:r>
        <w:rPr>
          <w:spacing w:val="-7"/>
        </w:rPr>
        <w:t> </w:t>
      </w:r>
      <w:r>
        <w:rPr/>
        <w:t>el 60%</w:t>
      </w:r>
      <w:r>
        <w:rPr>
          <w:spacing w:val="-7"/>
        </w:rPr>
        <w:t> </w:t>
      </w:r>
      <w:r>
        <w:rPr/>
        <w:t>no</w:t>
      </w:r>
      <w:r>
        <w:rPr>
          <w:spacing w:val="-6"/>
        </w:rPr>
        <w:t> </w:t>
      </w:r>
      <w:r>
        <w:rPr/>
        <w:t>asistió.</w:t>
      </w:r>
      <w:r>
        <w:rPr>
          <w:spacing w:val="-6"/>
        </w:rPr>
        <w:t> </w:t>
      </w:r>
      <w:r>
        <w:rPr/>
        <w:t>Para</w:t>
      </w:r>
      <w:r>
        <w:rPr>
          <w:spacing w:val="-7"/>
        </w:rPr>
        <w:t> </w:t>
      </w:r>
      <w:r>
        <w:rPr/>
        <w:t>los</w:t>
      </w:r>
      <w:r>
        <w:rPr>
          <w:spacing w:val="-7"/>
        </w:rPr>
        <w:t> </w:t>
      </w:r>
      <w:r>
        <w:rPr/>
        <w:t>legisladores</w:t>
      </w:r>
      <w:r>
        <w:rPr>
          <w:spacing w:val="-4"/>
        </w:rPr>
        <w:t> </w:t>
      </w:r>
      <w:r>
        <w:rPr/>
        <w:t>de</w:t>
      </w:r>
      <w:r>
        <w:rPr>
          <w:spacing w:val="-6"/>
        </w:rPr>
        <w:t> </w:t>
      </w:r>
      <w:r>
        <w:rPr/>
        <w:t>Convergencia</w:t>
      </w:r>
      <w:r>
        <w:rPr>
          <w:spacing w:val="-6"/>
        </w:rPr>
        <w:t> </w:t>
      </w:r>
      <w:r>
        <w:rPr/>
        <w:t>60%</w:t>
      </w:r>
      <w:r>
        <w:rPr>
          <w:spacing w:val="-7"/>
        </w:rPr>
        <w:t> </w:t>
      </w:r>
      <w:r>
        <w:rPr/>
        <w:t>votó</w:t>
      </w:r>
      <w:r>
        <w:rPr>
          <w:spacing w:val="-6"/>
        </w:rPr>
        <w:t> </w:t>
      </w:r>
      <w:r>
        <w:rPr/>
        <w:t>a</w:t>
      </w:r>
      <w:r>
        <w:rPr>
          <w:spacing w:val="-8"/>
        </w:rPr>
        <w:t> </w:t>
      </w:r>
      <w:r>
        <w:rPr/>
        <w:t>favor</w:t>
      </w:r>
      <w:r>
        <w:rPr>
          <w:spacing w:val="-5"/>
        </w:rPr>
        <w:t> </w:t>
      </w:r>
      <w:r>
        <w:rPr/>
        <w:t>y</w:t>
      </w:r>
      <w:r>
        <w:rPr>
          <w:spacing w:val="-9"/>
        </w:rPr>
        <w:t> </w:t>
      </w:r>
      <w:r>
        <w:rPr/>
        <w:t>el</w:t>
      </w:r>
      <w:r>
        <w:rPr>
          <w:spacing w:val="-7"/>
        </w:rPr>
        <w:t> </w:t>
      </w:r>
      <w:r>
        <w:rPr/>
        <w:t>40%</w:t>
      </w:r>
      <w:r>
        <w:rPr>
          <w:spacing w:val="-7"/>
        </w:rPr>
        <w:t> </w:t>
      </w:r>
      <w:r>
        <w:rPr/>
        <w:t>no asistió. Finalmente, de los candidatos independientes el 50% votó a favor y 37.5% no asistió a la</w:t>
      </w:r>
      <w:r>
        <w:rPr>
          <w:spacing w:val="-5"/>
        </w:rPr>
        <w:t> </w:t>
      </w:r>
      <w:r>
        <w:rPr/>
        <w:t>sesión.</w:t>
      </w:r>
    </w:p>
    <w:p>
      <w:pPr>
        <w:spacing w:after="0" w:line="360" w:lineRule="auto"/>
        <w:jc w:val="both"/>
        <w:sectPr>
          <w:pgSz w:w="12240" w:h="15840"/>
          <w:pgMar w:header="0" w:footer="1035" w:top="1360" w:bottom="1220" w:left="1460" w:right="1580"/>
        </w:sectPr>
      </w:pP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98"/>
        <w:gridCol w:w="989"/>
        <w:gridCol w:w="953"/>
        <w:gridCol w:w="974"/>
        <w:gridCol w:w="975"/>
        <w:gridCol w:w="1010"/>
        <w:gridCol w:w="936"/>
        <w:gridCol w:w="1013"/>
        <w:gridCol w:w="883"/>
      </w:tblGrid>
      <w:tr>
        <w:trPr>
          <w:trHeight w:val="1199" w:hRule="exact"/>
        </w:trPr>
        <w:tc>
          <w:tcPr>
            <w:tcW w:w="8932" w:type="dxa"/>
            <w:gridSpan w:val="9"/>
            <w:shd w:val="clear" w:color="auto" w:fill="92D050"/>
          </w:tcPr>
          <w:p>
            <w:pPr>
              <w:pStyle w:val="TableParagraph"/>
              <w:spacing w:line="276" w:lineRule="auto"/>
              <w:ind w:left="103" w:right="103"/>
              <w:jc w:val="both"/>
              <w:rPr>
                <w:b/>
                <w:sz w:val="18"/>
              </w:rPr>
            </w:pPr>
            <w:r>
              <w:rPr>
                <w:b/>
                <w:sz w:val="18"/>
              </w:rPr>
              <w:t>Tabla 4.7. Votación del día 13 de abril de 2010 por el que se expide la Ley Federal de Protección de Datos Personales en Posesión de los Particulares; y se reforman los artículos 3, fracciones II y VII, y 33, así como la denominación del Capítulo II del Título Segundo de la Ley Federal de Transparencia y Acceso a la Información Pública Gubernamental (en lo general y en lo particular los artículos no reservados)</w:t>
            </w:r>
          </w:p>
        </w:tc>
      </w:tr>
      <w:tr>
        <w:trPr>
          <w:trHeight w:val="322" w:hRule="exact"/>
        </w:trPr>
        <w:tc>
          <w:tcPr>
            <w:tcW w:w="1198" w:type="dxa"/>
            <w:shd w:val="clear" w:color="auto" w:fill="92D050"/>
          </w:tcPr>
          <w:p>
            <w:pPr>
              <w:pStyle w:val="TableParagraph"/>
              <w:spacing w:line="201" w:lineRule="exact"/>
              <w:ind w:left="213"/>
              <w:jc w:val="left"/>
              <w:rPr>
                <w:b/>
                <w:sz w:val="18"/>
              </w:rPr>
            </w:pPr>
            <w:r>
              <w:rPr>
                <w:b/>
                <w:sz w:val="18"/>
              </w:rPr>
              <w:t>Votación</w:t>
            </w:r>
          </w:p>
        </w:tc>
        <w:tc>
          <w:tcPr>
            <w:tcW w:w="989" w:type="dxa"/>
            <w:shd w:val="clear" w:color="auto" w:fill="92D050"/>
          </w:tcPr>
          <w:p>
            <w:pPr>
              <w:pStyle w:val="TableParagraph"/>
              <w:spacing w:line="201" w:lineRule="exact"/>
              <w:ind w:left="254" w:right="254"/>
              <w:rPr>
                <w:b/>
                <w:sz w:val="18"/>
              </w:rPr>
            </w:pPr>
            <w:r>
              <w:rPr>
                <w:b/>
                <w:sz w:val="18"/>
              </w:rPr>
              <w:t>Total</w:t>
            </w:r>
          </w:p>
        </w:tc>
        <w:tc>
          <w:tcPr>
            <w:tcW w:w="953" w:type="dxa"/>
            <w:shd w:val="clear" w:color="auto" w:fill="92D050"/>
          </w:tcPr>
          <w:p>
            <w:pPr>
              <w:pStyle w:val="TableParagraph"/>
              <w:spacing w:line="201" w:lineRule="exact"/>
              <w:ind w:left="300" w:right="300"/>
              <w:rPr>
                <w:b/>
                <w:sz w:val="18"/>
              </w:rPr>
            </w:pPr>
            <w:r>
              <w:rPr>
                <w:b/>
                <w:sz w:val="18"/>
              </w:rPr>
              <w:t>PRI</w:t>
            </w:r>
          </w:p>
        </w:tc>
        <w:tc>
          <w:tcPr>
            <w:tcW w:w="974" w:type="dxa"/>
            <w:shd w:val="clear" w:color="auto" w:fill="92D050"/>
          </w:tcPr>
          <w:p>
            <w:pPr>
              <w:pStyle w:val="TableParagraph"/>
              <w:spacing w:line="201" w:lineRule="exact"/>
              <w:ind w:left="272" w:right="272"/>
              <w:rPr>
                <w:b/>
                <w:sz w:val="18"/>
              </w:rPr>
            </w:pPr>
            <w:r>
              <w:rPr>
                <w:b/>
                <w:sz w:val="18"/>
              </w:rPr>
              <w:t>PAN</w:t>
            </w:r>
          </w:p>
        </w:tc>
        <w:tc>
          <w:tcPr>
            <w:tcW w:w="975" w:type="dxa"/>
            <w:shd w:val="clear" w:color="auto" w:fill="92D050"/>
          </w:tcPr>
          <w:p>
            <w:pPr>
              <w:pStyle w:val="TableParagraph"/>
              <w:spacing w:line="201" w:lineRule="exact"/>
              <w:ind w:left="272" w:right="272"/>
              <w:rPr>
                <w:b/>
                <w:sz w:val="18"/>
              </w:rPr>
            </w:pPr>
            <w:r>
              <w:rPr>
                <w:b/>
                <w:sz w:val="18"/>
              </w:rPr>
              <w:t>PRD</w:t>
            </w:r>
          </w:p>
        </w:tc>
        <w:tc>
          <w:tcPr>
            <w:tcW w:w="1010" w:type="dxa"/>
            <w:shd w:val="clear" w:color="auto" w:fill="92D050"/>
          </w:tcPr>
          <w:p>
            <w:pPr>
              <w:pStyle w:val="TableParagraph"/>
              <w:spacing w:line="201" w:lineRule="exact"/>
              <w:ind w:left="224" w:right="225"/>
              <w:rPr>
                <w:b/>
                <w:sz w:val="18"/>
              </w:rPr>
            </w:pPr>
            <w:r>
              <w:rPr>
                <w:b/>
                <w:sz w:val="18"/>
              </w:rPr>
              <w:t>PVEM</w:t>
            </w:r>
          </w:p>
        </w:tc>
        <w:tc>
          <w:tcPr>
            <w:tcW w:w="936" w:type="dxa"/>
            <w:shd w:val="clear" w:color="auto" w:fill="92D050"/>
          </w:tcPr>
          <w:p>
            <w:pPr>
              <w:pStyle w:val="TableParagraph"/>
              <w:spacing w:line="201" w:lineRule="exact"/>
              <w:ind w:right="346"/>
              <w:jc w:val="right"/>
              <w:rPr>
                <w:b/>
                <w:sz w:val="18"/>
              </w:rPr>
            </w:pPr>
            <w:r>
              <w:rPr>
                <w:b/>
                <w:sz w:val="18"/>
              </w:rPr>
              <w:t>PT</w:t>
            </w:r>
          </w:p>
        </w:tc>
        <w:tc>
          <w:tcPr>
            <w:tcW w:w="1013" w:type="dxa"/>
            <w:shd w:val="clear" w:color="auto" w:fill="92D050"/>
          </w:tcPr>
          <w:p>
            <w:pPr>
              <w:pStyle w:val="TableParagraph"/>
              <w:spacing w:line="201" w:lineRule="exact"/>
              <w:ind w:left="220" w:right="220"/>
              <w:rPr>
                <w:b/>
                <w:sz w:val="18"/>
              </w:rPr>
            </w:pPr>
            <w:r>
              <w:rPr>
                <w:b/>
                <w:sz w:val="18"/>
              </w:rPr>
              <w:t>PNA</w:t>
            </w:r>
          </w:p>
        </w:tc>
        <w:tc>
          <w:tcPr>
            <w:tcW w:w="883" w:type="dxa"/>
            <w:shd w:val="clear" w:color="auto" w:fill="92D050"/>
          </w:tcPr>
          <w:p>
            <w:pPr>
              <w:pStyle w:val="TableParagraph"/>
              <w:spacing w:line="201" w:lineRule="exact"/>
              <w:ind w:left="155" w:right="157"/>
              <w:rPr>
                <w:b/>
                <w:sz w:val="18"/>
              </w:rPr>
            </w:pPr>
            <w:r>
              <w:rPr>
                <w:b/>
                <w:sz w:val="18"/>
              </w:rPr>
              <w:t>CONV</w:t>
            </w:r>
          </w:p>
        </w:tc>
      </w:tr>
      <w:tr>
        <w:trPr>
          <w:trHeight w:val="322" w:hRule="exact"/>
        </w:trPr>
        <w:tc>
          <w:tcPr>
            <w:tcW w:w="1198" w:type="dxa"/>
          </w:tcPr>
          <w:p>
            <w:pPr>
              <w:pStyle w:val="TableParagraph"/>
              <w:spacing w:line="203" w:lineRule="exact"/>
              <w:ind w:left="103"/>
              <w:jc w:val="left"/>
              <w:rPr>
                <w:sz w:val="18"/>
              </w:rPr>
            </w:pPr>
            <w:r>
              <w:rPr>
                <w:sz w:val="18"/>
              </w:rPr>
              <w:t>Favor</w:t>
            </w:r>
          </w:p>
        </w:tc>
        <w:tc>
          <w:tcPr>
            <w:tcW w:w="989" w:type="dxa"/>
          </w:tcPr>
          <w:p>
            <w:pPr>
              <w:pStyle w:val="TableParagraph"/>
              <w:spacing w:line="203" w:lineRule="exact"/>
              <w:ind w:left="254" w:right="254"/>
              <w:rPr>
                <w:sz w:val="18"/>
              </w:rPr>
            </w:pPr>
            <w:r>
              <w:rPr>
                <w:sz w:val="18"/>
              </w:rPr>
              <w:t>335</w:t>
            </w:r>
          </w:p>
        </w:tc>
        <w:tc>
          <w:tcPr>
            <w:tcW w:w="953" w:type="dxa"/>
          </w:tcPr>
          <w:p>
            <w:pPr>
              <w:pStyle w:val="TableParagraph"/>
              <w:spacing w:line="203" w:lineRule="exact"/>
              <w:ind w:left="301" w:right="298"/>
              <w:rPr>
                <w:sz w:val="18"/>
              </w:rPr>
            </w:pPr>
            <w:r>
              <w:rPr>
                <w:sz w:val="18"/>
              </w:rPr>
              <w:t>179</w:t>
            </w:r>
          </w:p>
        </w:tc>
        <w:tc>
          <w:tcPr>
            <w:tcW w:w="974" w:type="dxa"/>
          </w:tcPr>
          <w:p>
            <w:pPr>
              <w:pStyle w:val="TableParagraph"/>
              <w:spacing w:line="203" w:lineRule="exact"/>
              <w:ind w:left="272" w:right="272"/>
              <w:rPr>
                <w:sz w:val="18"/>
              </w:rPr>
            </w:pPr>
            <w:r>
              <w:rPr>
                <w:sz w:val="18"/>
              </w:rPr>
              <w:t>88</w:t>
            </w:r>
          </w:p>
        </w:tc>
        <w:tc>
          <w:tcPr>
            <w:tcW w:w="975" w:type="dxa"/>
          </w:tcPr>
          <w:p>
            <w:pPr>
              <w:pStyle w:val="TableParagraph"/>
              <w:spacing w:line="203" w:lineRule="exact"/>
              <w:ind w:left="272" w:right="272"/>
              <w:rPr>
                <w:sz w:val="18"/>
              </w:rPr>
            </w:pPr>
            <w:r>
              <w:rPr>
                <w:sz w:val="18"/>
              </w:rPr>
              <w:t>40</w:t>
            </w:r>
          </w:p>
        </w:tc>
        <w:tc>
          <w:tcPr>
            <w:tcW w:w="1010" w:type="dxa"/>
          </w:tcPr>
          <w:p>
            <w:pPr>
              <w:pStyle w:val="TableParagraph"/>
              <w:spacing w:line="203" w:lineRule="exact"/>
              <w:ind w:left="224" w:right="222"/>
              <w:rPr>
                <w:sz w:val="18"/>
              </w:rPr>
            </w:pPr>
            <w:r>
              <w:rPr>
                <w:sz w:val="18"/>
              </w:rPr>
              <w:t>13</w:t>
            </w:r>
          </w:p>
        </w:tc>
        <w:tc>
          <w:tcPr>
            <w:tcW w:w="936" w:type="dxa"/>
          </w:tcPr>
          <w:p>
            <w:pPr>
              <w:pStyle w:val="TableParagraph"/>
              <w:spacing w:line="203" w:lineRule="exact"/>
              <w:ind w:right="411"/>
              <w:jc w:val="right"/>
              <w:rPr>
                <w:sz w:val="18"/>
              </w:rPr>
            </w:pPr>
            <w:r>
              <w:rPr>
                <w:w w:val="99"/>
                <w:sz w:val="18"/>
              </w:rPr>
              <w:t>7</w:t>
            </w:r>
          </w:p>
        </w:tc>
        <w:tc>
          <w:tcPr>
            <w:tcW w:w="1013" w:type="dxa"/>
          </w:tcPr>
          <w:p>
            <w:pPr>
              <w:pStyle w:val="TableParagraph"/>
              <w:spacing w:line="203" w:lineRule="exact"/>
              <w:ind w:right="1"/>
              <w:rPr>
                <w:sz w:val="18"/>
              </w:rPr>
            </w:pPr>
            <w:r>
              <w:rPr>
                <w:w w:val="99"/>
                <w:sz w:val="18"/>
              </w:rPr>
              <w:t>7</w:t>
            </w:r>
          </w:p>
        </w:tc>
        <w:tc>
          <w:tcPr>
            <w:tcW w:w="883" w:type="dxa"/>
          </w:tcPr>
          <w:p>
            <w:pPr>
              <w:pStyle w:val="TableParagraph"/>
              <w:spacing w:line="203" w:lineRule="exact"/>
              <w:rPr>
                <w:sz w:val="18"/>
              </w:rPr>
            </w:pPr>
            <w:r>
              <w:rPr>
                <w:w w:val="99"/>
                <w:sz w:val="18"/>
              </w:rPr>
              <w:t>1</w:t>
            </w:r>
          </w:p>
        </w:tc>
      </w:tr>
      <w:tr>
        <w:trPr>
          <w:trHeight w:val="319" w:hRule="exact"/>
        </w:trPr>
        <w:tc>
          <w:tcPr>
            <w:tcW w:w="1198" w:type="dxa"/>
          </w:tcPr>
          <w:p>
            <w:pPr>
              <w:pStyle w:val="TableParagraph"/>
              <w:spacing w:line="203" w:lineRule="exact"/>
              <w:ind w:left="103"/>
              <w:jc w:val="left"/>
              <w:rPr>
                <w:sz w:val="18"/>
              </w:rPr>
            </w:pPr>
            <w:r>
              <w:rPr>
                <w:sz w:val="18"/>
              </w:rPr>
              <w:t>Contra</w:t>
            </w:r>
          </w:p>
        </w:tc>
        <w:tc>
          <w:tcPr>
            <w:tcW w:w="989" w:type="dxa"/>
          </w:tcPr>
          <w:p>
            <w:pPr>
              <w:pStyle w:val="TableParagraph"/>
              <w:spacing w:line="203" w:lineRule="exact"/>
              <w:rPr>
                <w:sz w:val="18"/>
              </w:rPr>
            </w:pPr>
            <w:r>
              <w:rPr>
                <w:w w:val="99"/>
                <w:sz w:val="18"/>
              </w:rPr>
              <w:t>3</w:t>
            </w:r>
          </w:p>
        </w:tc>
        <w:tc>
          <w:tcPr>
            <w:tcW w:w="953" w:type="dxa"/>
          </w:tcPr>
          <w:p>
            <w:pPr>
              <w:pStyle w:val="TableParagraph"/>
              <w:spacing w:line="203" w:lineRule="exact"/>
              <w:rPr>
                <w:sz w:val="18"/>
              </w:rPr>
            </w:pPr>
            <w:r>
              <w:rPr>
                <w:w w:val="99"/>
                <w:sz w:val="18"/>
              </w:rPr>
              <w:t>0</w:t>
            </w:r>
          </w:p>
        </w:tc>
        <w:tc>
          <w:tcPr>
            <w:tcW w:w="974" w:type="dxa"/>
          </w:tcPr>
          <w:p>
            <w:pPr>
              <w:pStyle w:val="TableParagraph"/>
              <w:spacing w:line="203" w:lineRule="exact"/>
              <w:rPr>
                <w:sz w:val="18"/>
              </w:rPr>
            </w:pPr>
            <w:r>
              <w:rPr>
                <w:w w:val="99"/>
                <w:sz w:val="18"/>
              </w:rPr>
              <w:t>0</w:t>
            </w:r>
          </w:p>
        </w:tc>
        <w:tc>
          <w:tcPr>
            <w:tcW w:w="975" w:type="dxa"/>
          </w:tcPr>
          <w:p>
            <w:pPr>
              <w:pStyle w:val="TableParagraph"/>
              <w:spacing w:line="203" w:lineRule="exact"/>
              <w:ind w:right="1"/>
              <w:rPr>
                <w:sz w:val="18"/>
              </w:rPr>
            </w:pPr>
            <w:r>
              <w:rPr>
                <w:w w:val="99"/>
                <w:sz w:val="18"/>
              </w:rPr>
              <w:t>0</w:t>
            </w:r>
          </w:p>
        </w:tc>
        <w:tc>
          <w:tcPr>
            <w:tcW w:w="1010" w:type="dxa"/>
          </w:tcPr>
          <w:p>
            <w:pPr>
              <w:pStyle w:val="TableParagraph"/>
              <w:spacing w:line="203" w:lineRule="exact"/>
              <w:ind w:right="1"/>
              <w:rPr>
                <w:sz w:val="18"/>
              </w:rPr>
            </w:pPr>
            <w:r>
              <w:rPr>
                <w:w w:val="99"/>
                <w:sz w:val="18"/>
              </w:rPr>
              <w:t>0</w:t>
            </w:r>
          </w:p>
        </w:tc>
        <w:tc>
          <w:tcPr>
            <w:tcW w:w="936" w:type="dxa"/>
          </w:tcPr>
          <w:p>
            <w:pPr>
              <w:pStyle w:val="TableParagraph"/>
              <w:spacing w:line="203" w:lineRule="exact"/>
              <w:ind w:right="411"/>
              <w:jc w:val="right"/>
              <w:rPr>
                <w:sz w:val="18"/>
              </w:rPr>
            </w:pPr>
            <w:r>
              <w:rPr>
                <w:w w:val="99"/>
                <w:sz w:val="18"/>
              </w:rPr>
              <w:t>3</w:t>
            </w:r>
          </w:p>
        </w:tc>
        <w:tc>
          <w:tcPr>
            <w:tcW w:w="1013" w:type="dxa"/>
          </w:tcPr>
          <w:p>
            <w:pPr>
              <w:pStyle w:val="TableParagraph"/>
              <w:spacing w:line="203" w:lineRule="exact"/>
              <w:ind w:right="1"/>
              <w:rPr>
                <w:sz w:val="18"/>
              </w:rPr>
            </w:pPr>
            <w:r>
              <w:rPr>
                <w:w w:val="99"/>
                <w:sz w:val="18"/>
              </w:rPr>
              <w:t>0</w:t>
            </w:r>
          </w:p>
        </w:tc>
        <w:tc>
          <w:tcPr>
            <w:tcW w:w="883" w:type="dxa"/>
          </w:tcPr>
          <w:p>
            <w:pPr>
              <w:pStyle w:val="TableParagraph"/>
              <w:spacing w:line="203" w:lineRule="exact"/>
              <w:rPr>
                <w:sz w:val="18"/>
              </w:rPr>
            </w:pPr>
            <w:r>
              <w:rPr>
                <w:w w:val="99"/>
                <w:sz w:val="18"/>
              </w:rPr>
              <w:t>0</w:t>
            </w:r>
          </w:p>
        </w:tc>
      </w:tr>
      <w:tr>
        <w:trPr>
          <w:trHeight w:val="322" w:hRule="exact"/>
        </w:trPr>
        <w:tc>
          <w:tcPr>
            <w:tcW w:w="1198" w:type="dxa"/>
          </w:tcPr>
          <w:p>
            <w:pPr>
              <w:pStyle w:val="TableParagraph"/>
              <w:spacing w:line="203" w:lineRule="exact"/>
              <w:ind w:left="103"/>
              <w:jc w:val="left"/>
              <w:rPr>
                <w:sz w:val="18"/>
              </w:rPr>
            </w:pPr>
            <w:r>
              <w:rPr>
                <w:sz w:val="18"/>
              </w:rPr>
              <w:t>Abstención</w:t>
            </w:r>
          </w:p>
        </w:tc>
        <w:tc>
          <w:tcPr>
            <w:tcW w:w="989" w:type="dxa"/>
          </w:tcPr>
          <w:p>
            <w:pPr>
              <w:pStyle w:val="TableParagraph"/>
              <w:spacing w:line="203" w:lineRule="exact"/>
              <w:rPr>
                <w:sz w:val="18"/>
              </w:rPr>
            </w:pPr>
            <w:r>
              <w:rPr>
                <w:w w:val="99"/>
                <w:sz w:val="18"/>
              </w:rPr>
              <w:t>5</w:t>
            </w:r>
          </w:p>
        </w:tc>
        <w:tc>
          <w:tcPr>
            <w:tcW w:w="953" w:type="dxa"/>
          </w:tcPr>
          <w:p>
            <w:pPr>
              <w:pStyle w:val="TableParagraph"/>
              <w:spacing w:line="203" w:lineRule="exact"/>
              <w:rPr>
                <w:sz w:val="18"/>
              </w:rPr>
            </w:pPr>
            <w:r>
              <w:rPr>
                <w:w w:val="99"/>
                <w:sz w:val="18"/>
              </w:rPr>
              <w:t>0</w:t>
            </w:r>
          </w:p>
        </w:tc>
        <w:tc>
          <w:tcPr>
            <w:tcW w:w="974" w:type="dxa"/>
          </w:tcPr>
          <w:p>
            <w:pPr>
              <w:pStyle w:val="TableParagraph"/>
              <w:spacing w:line="203" w:lineRule="exact"/>
              <w:rPr>
                <w:sz w:val="18"/>
              </w:rPr>
            </w:pPr>
            <w:r>
              <w:rPr>
                <w:w w:val="99"/>
                <w:sz w:val="18"/>
              </w:rPr>
              <w:t>0</w:t>
            </w:r>
          </w:p>
        </w:tc>
        <w:tc>
          <w:tcPr>
            <w:tcW w:w="975" w:type="dxa"/>
          </w:tcPr>
          <w:p>
            <w:pPr>
              <w:pStyle w:val="TableParagraph"/>
              <w:spacing w:line="203" w:lineRule="exact"/>
              <w:ind w:right="1"/>
              <w:rPr>
                <w:sz w:val="18"/>
              </w:rPr>
            </w:pPr>
            <w:r>
              <w:rPr>
                <w:w w:val="99"/>
                <w:sz w:val="18"/>
              </w:rPr>
              <w:t>1</w:t>
            </w:r>
          </w:p>
        </w:tc>
        <w:tc>
          <w:tcPr>
            <w:tcW w:w="1010" w:type="dxa"/>
          </w:tcPr>
          <w:p>
            <w:pPr>
              <w:pStyle w:val="TableParagraph"/>
              <w:spacing w:line="203" w:lineRule="exact"/>
              <w:ind w:right="1"/>
              <w:rPr>
                <w:sz w:val="18"/>
              </w:rPr>
            </w:pPr>
            <w:r>
              <w:rPr>
                <w:w w:val="99"/>
                <w:sz w:val="18"/>
              </w:rPr>
              <w:t>0</w:t>
            </w:r>
          </w:p>
        </w:tc>
        <w:tc>
          <w:tcPr>
            <w:tcW w:w="936" w:type="dxa"/>
          </w:tcPr>
          <w:p>
            <w:pPr>
              <w:pStyle w:val="TableParagraph"/>
              <w:spacing w:line="203" w:lineRule="exact"/>
              <w:ind w:right="411"/>
              <w:jc w:val="right"/>
              <w:rPr>
                <w:sz w:val="18"/>
              </w:rPr>
            </w:pPr>
            <w:r>
              <w:rPr>
                <w:w w:val="99"/>
                <w:sz w:val="18"/>
              </w:rPr>
              <w:t>0</w:t>
            </w:r>
          </w:p>
        </w:tc>
        <w:tc>
          <w:tcPr>
            <w:tcW w:w="1013" w:type="dxa"/>
          </w:tcPr>
          <w:p>
            <w:pPr>
              <w:pStyle w:val="TableParagraph"/>
              <w:spacing w:line="203" w:lineRule="exact"/>
              <w:ind w:right="1"/>
              <w:rPr>
                <w:sz w:val="18"/>
              </w:rPr>
            </w:pPr>
            <w:r>
              <w:rPr>
                <w:w w:val="99"/>
                <w:sz w:val="18"/>
              </w:rPr>
              <w:t>0</w:t>
            </w:r>
          </w:p>
        </w:tc>
        <w:tc>
          <w:tcPr>
            <w:tcW w:w="883" w:type="dxa"/>
          </w:tcPr>
          <w:p>
            <w:pPr>
              <w:pStyle w:val="TableParagraph"/>
              <w:spacing w:line="203" w:lineRule="exact"/>
              <w:rPr>
                <w:sz w:val="18"/>
              </w:rPr>
            </w:pPr>
            <w:r>
              <w:rPr>
                <w:w w:val="99"/>
                <w:sz w:val="18"/>
              </w:rPr>
              <w:t>4</w:t>
            </w:r>
          </w:p>
        </w:tc>
      </w:tr>
      <w:tr>
        <w:trPr>
          <w:trHeight w:val="319" w:hRule="exact"/>
        </w:trPr>
        <w:tc>
          <w:tcPr>
            <w:tcW w:w="1198" w:type="dxa"/>
          </w:tcPr>
          <w:p>
            <w:pPr>
              <w:pStyle w:val="TableParagraph"/>
              <w:spacing w:line="203" w:lineRule="exact"/>
              <w:ind w:left="103"/>
              <w:jc w:val="left"/>
              <w:rPr>
                <w:sz w:val="18"/>
              </w:rPr>
            </w:pPr>
            <w:r>
              <w:rPr>
                <w:sz w:val="18"/>
              </w:rPr>
              <w:t>Quórum</w:t>
            </w:r>
          </w:p>
        </w:tc>
        <w:tc>
          <w:tcPr>
            <w:tcW w:w="989" w:type="dxa"/>
          </w:tcPr>
          <w:p>
            <w:pPr>
              <w:pStyle w:val="TableParagraph"/>
              <w:spacing w:line="203" w:lineRule="exact"/>
              <w:rPr>
                <w:sz w:val="18"/>
              </w:rPr>
            </w:pPr>
            <w:r>
              <w:rPr>
                <w:w w:val="99"/>
                <w:sz w:val="18"/>
              </w:rPr>
              <w:t>0</w:t>
            </w:r>
          </w:p>
        </w:tc>
        <w:tc>
          <w:tcPr>
            <w:tcW w:w="953" w:type="dxa"/>
          </w:tcPr>
          <w:p>
            <w:pPr>
              <w:pStyle w:val="TableParagraph"/>
              <w:spacing w:line="203" w:lineRule="exact"/>
              <w:rPr>
                <w:sz w:val="18"/>
              </w:rPr>
            </w:pPr>
            <w:r>
              <w:rPr>
                <w:w w:val="99"/>
                <w:sz w:val="18"/>
              </w:rPr>
              <w:t>0</w:t>
            </w:r>
          </w:p>
        </w:tc>
        <w:tc>
          <w:tcPr>
            <w:tcW w:w="974" w:type="dxa"/>
          </w:tcPr>
          <w:p>
            <w:pPr>
              <w:pStyle w:val="TableParagraph"/>
              <w:spacing w:line="203" w:lineRule="exact"/>
              <w:rPr>
                <w:sz w:val="18"/>
              </w:rPr>
            </w:pPr>
            <w:r>
              <w:rPr>
                <w:w w:val="99"/>
                <w:sz w:val="18"/>
              </w:rPr>
              <w:t>0</w:t>
            </w:r>
          </w:p>
        </w:tc>
        <w:tc>
          <w:tcPr>
            <w:tcW w:w="975" w:type="dxa"/>
          </w:tcPr>
          <w:p>
            <w:pPr>
              <w:pStyle w:val="TableParagraph"/>
              <w:spacing w:line="203" w:lineRule="exact"/>
              <w:ind w:right="1"/>
              <w:rPr>
                <w:sz w:val="18"/>
              </w:rPr>
            </w:pPr>
            <w:r>
              <w:rPr>
                <w:w w:val="99"/>
                <w:sz w:val="18"/>
              </w:rPr>
              <w:t>0</w:t>
            </w:r>
          </w:p>
        </w:tc>
        <w:tc>
          <w:tcPr>
            <w:tcW w:w="1010" w:type="dxa"/>
          </w:tcPr>
          <w:p>
            <w:pPr>
              <w:pStyle w:val="TableParagraph"/>
              <w:spacing w:line="203" w:lineRule="exact"/>
              <w:ind w:right="1"/>
              <w:rPr>
                <w:sz w:val="18"/>
              </w:rPr>
            </w:pPr>
            <w:r>
              <w:rPr>
                <w:w w:val="99"/>
                <w:sz w:val="18"/>
              </w:rPr>
              <w:t>0</w:t>
            </w:r>
          </w:p>
        </w:tc>
        <w:tc>
          <w:tcPr>
            <w:tcW w:w="936" w:type="dxa"/>
          </w:tcPr>
          <w:p>
            <w:pPr>
              <w:pStyle w:val="TableParagraph"/>
              <w:spacing w:line="203" w:lineRule="exact"/>
              <w:ind w:right="411"/>
              <w:jc w:val="right"/>
              <w:rPr>
                <w:sz w:val="18"/>
              </w:rPr>
            </w:pPr>
            <w:r>
              <w:rPr>
                <w:w w:val="99"/>
                <w:sz w:val="18"/>
              </w:rPr>
              <w:t>0</w:t>
            </w:r>
          </w:p>
        </w:tc>
        <w:tc>
          <w:tcPr>
            <w:tcW w:w="1013" w:type="dxa"/>
          </w:tcPr>
          <w:p>
            <w:pPr>
              <w:pStyle w:val="TableParagraph"/>
              <w:spacing w:line="203" w:lineRule="exact"/>
              <w:ind w:right="1"/>
              <w:rPr>
                <w:sz w:val="18"/>
              </w:rPr>
            </w:pPr>
            <w:r>
              <w:rPr>
                <w:w w:val="99"/>
                <w:sz w:val="18"/>
              </w:rPr>
              <w:t>0</w:t>
            </w:r>
          </w:p>
        </w:tc>
        <w:tc>
          <w:tcPr>
            <w:tcW w:w="883" w:type="dxa"/>
          </w:tcPr>
          <w:p>
            <w:pPr>
              <w:pStyle w:val="TableParagraph"/>
              <w:spacing w:line="203" w:lineRule="exact"/>
              <w:rPr>
                <w:sz w:val="18"/>
              </w:rPr>
            </w:pPr>
            <w:r>
              <w:rPr>
                <w:w w:val="99"/>
                <w:sz w:val="18"/>
              </w:rPr>
              <w:t>0</w:t>
            </w:r>
          </w:p>
        </w:tc>
      </w:tr>
      <w:tr>
        <w:trPr>
          <w:trHeight w:val="322" w:hRule="exact"/>
        </w:trPr>
        <w:tc>
          <w:tcPr>
            <w:tcW w:w="1198" w:type="dxa"/>
          </w:tcPr>
          <w:p>
            <w:pPr>
              <w:pStyle w:val="TableParagraph"/>
              <w:spacing w:line="203" w:lineRule="exact"/>
              <w:ind w:left="103"/>
              <w:jc w:val="left"/>
              <w:rPr>
                <w:sz w:val="18"/>
              </w:rPr>
            </w:pPr>
            <w:r>
              <w:rPr>
                <w:sz w:val="18"/>
              </w:rPr>
              <w:t>Ausentes</w:t>
            </w:r>
          </w:p>
        </w:tc>
        <w:tc>
          <w:tcPr>
            <w:tcW w:w="989" w:type="dxa"/>
          </w:tcPr>
          <w:p>
            <w:pPr>
              <w:pStyle w:val="TableParagraph"/>
              <w:spacing w:line="203" w:lineRule="exact"/>
              <w:ind w:left="254" w:right="254"/>
              <w:rPr>
                <w:sz w:val="18"/>
              </w:rPr>
            </w:pPr>
            <w:r>
              <w:rPr>
                <w:sz w:val="18"/>
              </w:rPr>
              <w:t>156</w:t>
            </w:r>
          </w:p>
        </w:tc>
        <w:tc>
          <w:tcPr>
            <w:tcW w:w="953" w:type="dxa"/>
          </w:tcPr>
          <w:p>
            <w:pPr>
              <w:pStyle w:val="TableParagraph"/>
              <w:spacing w:line="203" w:lineRule="exact"/>
              <w:ind w:left="301" w:right="298"/>
              <w:rPr>
                <w:sz w:val="18"/>
              </w:rPr>
            </w:pPr>
            <w:r>
              <w:rPr>
                <w:sz w:val="18"/>
              </w:rPr>
              <w:t>57</w:t>
            </w:r>
          </w:p>
        </w:tc>
        <w:tc>
          <w:tcPr>
            <w:tcW w:w="974" w:type="dxa"/>
          </w:tcPr>
          <w:p>
            <w:pPr>
              <w:pStyle w:val="TableParagraph"/>
              <w:spacing w:line="203" w:lineRule="exact"/>
              <w:ind w:left="272" w:right="272"/>
              <w:rPr>
                <w:sz w:val="18"/>
              </w:rPr>
            </w:pPr>
            <w:r>
              <w:rPr>
                <w:sz w:val="18"/>
              </w:rPr>
              <w:t>55</w:t>
            </w:r>
          </w:p>
        </w:tc>
        <w:tc>
          <w:tcPr>
            <w:tcW w:w="975" w:type="dxa"/>
          </w:tcPr>
          <w:p>
            <w:pPr>
              <w:pStyle w:val="TableParagraph"/>
              <w:spacing w:line="203" w:lineRule="exact"/>
              <w:ind w:left="272" w:right="272"/>
              <w:rPr>
                <w:sz w:val="18"/>
              </w:rPr>
            </w:pPr>
            <w:r>
              <w:rPr>
                <w:sz w:val="18"/>
              </w:rPr>
              <w:t>28</w:t>
            </w:r>
          </w:p>
        </w:tc>
        <w:tc>
          <w:tcPr>
            <w:tcW w:w="1010" w:type="dxa"/>
          </w:tcPr>
          <w:p>
            <w:pPr>
              <w:pStyle w:val="TableParagraph"/>
              <w:spacing w:line="203" w:lineRule="exact"/>
              <w:ind w:right="1"/>
              <w:rPr>
                <w:sz w:val="18"/>
              </w:rPr>
            </w:pPr>
            <w:r>
              <w:rPr>
                <w:w w:val="99"/>
                <w:sz w:val="18"/>
              </w:rPr>
              <w:t>8</w:t>
            </w:r>
          </w:p>
        </w:tc>
        <w:tc>
          <w:tcPr>
            <w:tcW w:w="936" w:type="dxa"/>
          </w:tcPr>
          <w:p>
            <w:pPr>
              <w:pStyle w:val="TableParagraph"/>
              <w:spacing w:line="203" w:lineRule="exact"/>
              <w:ind w:right="411"/>
              <w:jc w:val="right"/>
              <w:rPr>
                <w:sz w:val="18"/>
              </w:rPr>
            </w:pPr>
            <w:r>
              <w:rPr>
                <w:w w:val="99"/>
                <w:sz w:val="18"/>
              </w:rPr>
              <w:t>3</w:t>
            </w:r>
          </w:p>
        </w:tc>
        <w:tc>
          <w:tcPr>
            <w:tcW w:w="1013" w:type="dxa"/>
          </w:tcPr>
          <w:p>
            <w:pPr>
              <w:pStyle w:val="TableParagraph"/>
              <w:spacing w:line="203" w:lineRule="exact"/>
              <w:ind w:right="1"/>
              <w:rPr>
                <w:sz w:val="18"/>
              </w:rPr>
            </w:pPr>
            <w:r>
              <w:rPr>
                <w:w w:val="99"/>
                <w:sz w:val="18"/>
              </w:rPr>
              <w:t>2</w:t>
            </w:r>
          </w:p>
        </w:tc>
        <w:tc>
          <w:tcPr>
            <w:tcW w:w="883" w:type="dxa"/>
          </w:tcPr>
          <w:p>
            <w:pPr>
              <w:pStyle w:val="TableParagraph"/>
              <w:spacing w:line="203" w:lineRule="exact"/>
              <w:rPr>
                <w:sz w:val="18"/>
              </w:rPr>
            </w:pPr>
            <w:r>
              <w:rPr>
                <w:w w:val="99"/>
                <w:sz w:val="18"/>
              </w:rPr>
              <w:t>3</w:t>
            </w:r>
          </w:p>
        </w:tc>
      </w:tr>
      <w:tr>
        <w:trPr>
          <w:trHeight w:val="319" w:hRule="exact"/>
        </w:trPr>
        <w:tc>
          <w:tcPr>
            <w:tcW w:w="1198" w:type="dxa"/>
          </w:tcPr>
          <w:p>
            <w:pPr>
              <w:pStyle w:val="TableParagraph"/>
              <w:spacing w:line="203" w:lineRule="exact"/>
              <w:ind w:left="103"/>
              <w:jc w:val="left"/>
              <w:rPr>
                <w:sz w:val="18"/>
              </w:rPr>
            </w:pPr>
            <w:r>
              <w:rPr>
                <w:sz w:val="18"/>
              </w:rPr>
              <w:t>Total</w:t>
            </w:r>
          </w:p>
        </w:tc>
        <w:tc>
          <w:tcPr>
            <w:tcW w:w="989" w:type="dxa"/>
          </w:tcPr>
          <w:p>
            <w:pPr>
              <w:pStyle w:val="TableParagraph"/>
              <w:spacing w:line="203" w:lineRule="exact"/>
              <w:ind w:left="254" w:right="254"/>
              <w:rPr>
                <w:sz w:val="18"/>
              </w:rPr>
            </w:pPr>
            <w:r>
              <w:rPr>
                <w:sz w:val="18"/>
              </w:rPr>
              <w:t>499</w:t>
            </w:r>
          </w:p>
        </w:tc>
        <w:tc>
          <w:tcPr>
            <w:tcW w:w="953" w:type="dxa"/>
          </w:tcPr>
          <w:p>
            <w:pPr>
              <w:pStyle w:val="TableParagraph"/>
              <w:spacing w:line="203" w:lineRule="exact"/>
              <w:ind w:left="301" w:right="298"/>
              <w:rPr>
                <w:sz w:val="18"/>
              </w:rPr>
            </w:pPr>
            <w:r>
              <w:rPr>
                <w:sz w:val="18"/>
              </w:rPr>
              <w:t>236</w:t>
            </w:r>
          </w:p>
        </w:tc>
        <w:tc>
          <w:tcPr>
            <w:tcW w:w="974" w:type="dxa"/>
          </w:tcPr>
          <w:p>
            <w:pPr>
              <w:pStyle w:val="TableParagraph"/>
              <w:spacing w:line="203" w:lineRule="exact"/>
              <w:ind w:left="272" w:right="272"/>
              <w:rPr>
                <w:sz w:val="18"/>
              </w:rPr>
            </w:pPr>
            <w:r>
              <w:rPr>
                <w:sz w:val="18"/>
              </w:rPr>
              <w:t>143</w:t>
            </w:r>
          </w:p>
        </w:tc>
        <w:tc>
          <w:tcPr>
            <w:tcW w:w="975" w:type="dxa"/>
          </w:tcPr>
          <w:p>
            <w:pPr>
              <w:pStyle w:val="TableParagraph"/>
              <w:spacing w:line="203" w:lineRule="exact"/>
              <w:ind w:left="272" w:right="272"/>
              <w:rPr>
                <w:sz w:val="18"/>
              </w:rPr>
            </w:pPr>
            <w:r>
              <w:rPr>
                <w:sz w:val="18"/>
              </w:rPr>
              <w:t>69</w:t>
            </w:r>
          </w:p>
        </w:tc>
        <w:tc>
          <w:tcPr>
            <w:tcW w:w="1010" w:type="dxa"/>
          </w:tcPr>
          <w:p>
            <w:pPr>
              <w:pStyle w:val="TableParagraph"/>
              <w:spacing w:line="203" w:lineRule="exact"/>
              <w:ind w:left="224" w:right="222"/>
              <w:rPr>
                <w:sz w:val="18"/>
              </w:rPr>
            </w:pPr>
            <w:r>
              <w:rPr>
                <w:sz w:val="18"/>
              </w:rPr>
              <w:t>21</w:t>
            </w:r>
          </w:p>
        </w:tc>
        <w:tc>
          <w:tcPr>
            <w:tcW w:w="936" w:type="dxa"/>
          </w:tcPr>
          <w:p>
            <w:pPr>
              <w:pStyle w:val="TableParagraph"/>
              <w:spacing w:line="203" w:lineRule="exact"/>
              <w:ind w:right="360"/>
              <w:jc w:val="right"/>
              <w:rPr>
                <w:sz w:val="18"/>
              </w:rPr>
            </w:pPr>
            <w:r>
              <w:rPr>
                <w:sz w:val="18"/>
              </w:rPr>
              <w:t>13</w:t>
            </w:r>
          </w:p>
        </w:tc>
        <w:tc>
          <w:tcPr>
            <w:tcW w:w="1013" w:type="dxa"/>
          </w:tcPr>
          <w:p>
            <w:pPr>
              <w:pStyle w:val="TableParagraph"/>
              <w:spacing w:line="203" w:lineRule="exact"/>
              <w:ind w:right="1"/>
              <w:rPr>
                <w:sz w:val="18"/>
              </w:rPr>
            </w:pPr>
            <w:r>
              <w:rPr>
                <w:w w:val="99"/>
                <w:sz w:val="18"/>
              </w:rPr>
              <w:t>9</w:t>
            </w:r>
          </w:p>
        </w:tc>
        <w:tc>
          <w:tcPr>
            <w:tcW w:w="883" w:type="dxa"/>
          </w:tcPr>
          <w:p>
            <w:pPr>
              <w:pStyle w:val="TableParagraph"/>
              <w:spacing w:line="203" w:lineRule="exact"/>
              <w:rPr>
                <w:sz w:val="18"/>
              </w:rPr>
            </w:pPr>
            <w:r>
              <w:rPr>
                <w:w w:val="99"/>
                <w:sz w:val="18"/>
              </w:rPr>
              <w:t>8</w:t>
            </w:r>
          </w:p>
        </w:tc>
      </w:tr>
    </w:tbl>
    <w:p>
      <w:pPr>
        <w:spacing w:line="360" w:lineRule="auto" w:before="0"/>
        <w:ind w:left="232" w:right="1838" w:firstLine="0"/>
        <w:jc w:val="left"/>
        <w:rPr>
          <w:sz w:val="16"/>
        </w:rPr>
      </w:pPr>
      <w:r>
        <w:rPr>
          <w:sz w:val="16"/>
        </w:rPr>
        <w:t>Fuente: Gaceta Parlamentaria, LIX Legislatura, Cámara de Diputados, México, DF. Disponible en </w:t>
      </w:r>
      <w:hyperlink r:id="rId145">
        <w:r>
          <w:rPr>
            <w:color w:val="0462C1"/>
            <w:sz w:val="16"/>
            <w:u w:val="single" w:color="0462C1"/>
          </w:rPr>
          <w:t>http://gaceta.diputados.gob.mx/Gaceta/Votaciones/61/tabla1or2-41.php3 </w:t>
        </w:r>
      </w:hyperlink>
      <w:r>
        <w:rPr>
          <w:sz w:val="16"/>
        </w:rPr>
        <w:t>[Consultado el 09-11-2015]</w:t>
      </w:r>
    </w:p>
    <w:p>
      <w:pPr>
        <w:pStyle w:val="BodyText"/>
        <w:rPr>
          <w:sz w:val="20"/>
        </w:rPr>
      </w:pPr>
    </w:p>
    <w:p>
      <w:pPr>
        <w:pStyle w:val="BodyText"/>
        <w:spacing w:line="360" w:lineRule="auto" w:before="189"/>
        <w:ind w:left="148" w:right="124"/>
        <w:jc w:val="both"/>
      </w:pPr>
      <w:r>
        <w:rPr/>
        <w:t>De los 499 votos disponibles se logró un 67.13% a favor. El 0.6% votó en contra, el 1% se abstuvo de votar y el 31.26%% no se presentó a la sesión.</w:t>
      </w:r>
    </w:p>
    <w:p>
      <w:pPr>
        <w:pStyle w:val="BodyText"/>
      </w:pPr>
    </w:p>
    <w:p>
      <w:pPr>
        <w:pStyle w:val="BodyText"/>
      </w:pPr>
    </w:p>
    <w:p>
      <w:pPr>
        <w:pStyle w:val="BodyText"/>
        <w:spacing w:line="360" w:lineRule="auto" w:before="187"/>
        <w:ind w:left="148" w:right="116"/>
        <w:jc w:val="both"/>
      </w:pPr>
      <w:r>
        <w:rPr/>
        <w:t>Sobre</w:t>
      </w:r>
      <w:r>
        <w:rPr>
          <w:spacing w:val="-17"/>
        </w:rPr>
        <w:t> </w:t>
      </w:r>
      <w:r>
        <w:rPr/>
        <w:t>la</w:t>
      </w:r>
      <w:r>
        <w:rPr>
          <w:spacing w:val="-14"/>
        </w:rPr>
        <w:t> </w:t>
      </w:r>
      <w:r>
        <w:rPr/>
        <w:t>visión</w:t>
      </w:r>
      <w:r>
        <w:rPr>
          <w:spacing w:val="-17"/>
        </w:rPr>
        <w:t> </w:t>
      </w:r>
      <w:r>
        <w:rPr/>
        <w:t>de</w:t>
      </w:r>
      <w:r>
        <w:rPr>
          <w:spacing w:val="-16"/>
        </w:rPr>
        <w:t> </w:t>
      </w:r>
      <w:r>
        <w:rPr/>
        <w:t>partidos</w:t>
      </w:r>
      <w:r>
        <w:rPr>
          <w:spacing w:val="-17"/>
        </w:rPr>
        <w:t> </w:t>
      </w:r>
      <w:r>
        <w:rPr/>
        <w:t>políticos</w:t>
      </w:r>
      <w:r>
        <w:rPr>
          <w:spacing w:val="-15"/>
        </w:rPr>
        <w:t> </w:t>
      </w:r>
      <w:r>
        <w:rPr/>
        <w:t>cabe</w:t>
      </w:r>
      <w:r>
        <w:rPr>
          <w:spacing w:val="-16"/>
        </w:rPr>
        <w:t> </w:t>
      </w:r>
      <w:r>
        <w:rPr/>
        <w:t>destacar</w:t>
      </w:r>
      <w:r>
        <w:rPr>
          <w:spacing w:val="-16"/>
        </w:rPr>
        <w:t> </w:t>
      </w:r>
      <w:r>
        <w:rPr/>
        <w:t>que</w:t>
      </w:r>
      <w:r>
        <w:rPr>
          <w:spacing w:val="-11"/>
        </w:rPr>
        <w:t> </w:t>
      </w:r>
      <w:r>
        <w:rPr/>
        <w:t>75.84%</w:t>
      </w:r>
      <w:r>
        <w:rPr>
          <w:spacing w:val="-17"/>
        </w:rPr>
        <w:t> </w:t>
      </w:r>
      <w:r>
        <w:rPr/>
        <w:t>de</w:t>
      </w:r>
      <w:r>
        <w:rPr>
          <w:spacing w:val="-16"/>
        </w:rPr>
        <w:t> </w:t>
      </w:r>
      <w:r>
        <w:rPr/>
        <w:t>los</w:t>
      </w:r>
      <w:r>
        <w:rPr>
          <w:spacing w:val="-15"/>
        </w:rPr>
        <w:t> </w:t>
      </w:r>
      <w:r>
        <w:rPr/>
        <w:t>priistas</w:t>
      </w:r>
      <w:r>
        <w:rPr>
          <w:spacing w:val="-15"/>
        </w:rPr>
        <w:t> </w:t>
      </w:r>
      <w:r>
        <w:rPr/>
        <w:t>votaron a</w:t>
      </w:r>
      <w:r>
        <w:rPr>
          <w:spacing w:val="-15"/>
        </w:rPr>
        <w:t> </w:t>
      </w:r>
      <w:r>
        <w:rPr/>
        <w:t>favor</w:t>
      </w:r>
      <w:r>
        <w:rPr>
          <w:spacing w:val="-14"/>
        </w:rPr>
        <w:t> </w:t>
      </w:r>
      <w:r>
        <w:rPr/>
        <w:t>de</w:t>
      </w:r>
      <w:r>
        <w:rPr>
          <w:spacing w:val="-12"/>
        </w:rPr>
        <w:t> </w:t>
      </w:r>
      <w:r>
        <w:rPr/>
        <w:t>la</w:t>
      </w:r>
      <w:r>
        <w:rPr>
          <w:spacing w:val="-12"/>
        </w:rPr>
        <w:t> </w:t>
      </w:r>
      <w:r>
        <w:rPr/>
        <w:t>reforma,</w:t>
      </w:r>
      <w:r>
        <w:rPr>
          <w:spacing w:val="42"/>
        </w:rPr>
        <w:t> </w:t>
      </w:r>
      <w:r>
        <w:rPr/>
        <w:t>y</w:t>
      </w:r>
      <w:r>
        <w:rPr>
          <w:spacing w:val="-15"/>
        </w:rPr>
        <w:t> </w:t>
      </w:r>
      <w:r>
        <w:rPr/>
        <w:t>22.88%</w:t>
      </w:r>
      <w:r>
        <w:rPr>
          <w:spacing w:val="-13"/>
        </w:rPr>
        <w:t> </w:t>
      </w:r>
      <w:r>
        <w:rPr/>
        <w:t>no</w:t>
      </w:r>
      <w:r>
        <w:rPr>
          <w:spacing w:val="-12"/>
        </w:rPr>
        <w:t> </w:t>
      </w:r>
      <w:r>
        <w:rPr/>
        <w:t>asistió.</w:t>
      </w:r>
      <w:r>
        <w:rPr>
          <w:spacing w:val="-12"/>
        </w:rPr>
        <w:t> </w:t>
      </w:r>
      <w:r>
        <w:rPr/>
        <w:t>Por</w:t>
      </w:r>
      <w:r>
        <w:rPr>
          <w:spacing w:val="-14"/>
        </w:rPr>
        <w:t> </w:t>
      </w:r>
      <w:r>
        <w:rPr/>
        <w:t>su</w:t>
      </w:r>
      <w:r>
        <w:rPr>
          <w:spacing w:val="-12"/>
        </w:rPr>
        <w:t> </w:t>
      </w:r>
      <w:r>
        <w:rPr/>
        <w:t>parte</w:t>
      </w:r>
      <w:r>
        <w:rPr>
          <w:spacing w:val="-15"/>
        </w:rPr>
        <w:t> </w:t>
      </w:r>
      <w:r>
        <w:rPr/>
        <w:t>el</w:t>
      </w:r>
      <w:r>
        <w:rPr>
          <w:spacing w:val="-13"/>
        </w:rPr>
        <w:t> </w:t>
      </w:r>
      <w:r>
        <w:rPr/>
        <w:t>61.53%</w:t>
      </w:r>
      <w:r>
        <w:rPr>
          <w:spacing w:val="-15"/>
        </w:rPr>
        <w:t> </w:t>
      </w:r>
      <w:r>
        <w:rPr/>
        <w:t>de</w:t>
      </w:r>
      <w:r>
        <w:rPr>
          <w:spacing w:val="-12"/>
        </w:rPr>
        <w:t> </w:t>
      </w:r>
      <w:r>
        <w:rPr/>
        <w:t>los</w:t>
      </w:r>
      <w:r>
        <w:rPr>
          <w:spacing w:val="-12"/>
        </w:rPr>
        <w:t> </w:t>
      </w:r>
      <w:r>
        <w:rPr/>
        <w:t>legisladores del PAN votaron a favor de la reforma y el 38.46% no asistió a la sesión. En tanto que el 57.97% de los perredistas votaron a favor y el 50.57% estuvieron ausentes. Mientras</w:t>
      </w:r>
      <w:r>
        <w:rPr>
          <w:spacing w:val="-9"/>
        </w:rPr>
        <w:t> </w:t>
      </w:r>
      <w:r>
        <w:rPr/>
        <w:t>que</w:t>
      </w:r>
      <w:r>
        <w:rPr>
          <w:spacing w:val="-8"/>
        </w:rPr>
        <w:t> </w:t>
      </w:r>
      <w:r>
        <w:rPr/>
        <w:t>el</w:t>
      </w:r>
      <w:r>
        <w:rPr>
          <w:spacing w:val="-11"/>
        </w:rPr>
        <w:t> </w:t>
      </w:r>
      <w:r>
        <w:rPr/>
        <w:t>61.9%</w:t>
      </w:r>
      <w:r>
        <w:rPr>
          <w:spacing w:val="-11"/>
        </w:rPr>
        <w:t> </w:t>
      </w:r>
      <w:r>
        <w:rPr/>
        <w:t>de</w:t>
      </w:r>
      <w:r>
        <w:rPr>
          <w:spacing w:val="-8"/>
        </w:rPr>
        <w:t> </w:t>
      </w:r>
      <w:r>
        <w:rPr/>
        <w:t>los</w:t>
      </w:r>
      <w:r>
        <w:rPr>
          <w:spacing w:val="-9"/>
        </w:rPr>
        <w:t> </w:t>
      </w:r>
      <w:r>
        <w:rPr/>
        <w:t>legisladores</w:t>
      </w:r>
      <w:r>
        <w:rPr>
          <w:spacing w:val="-9"/>
        </w:rPr>
        <w:t> </w:t>
      </w:r>
      <w:r>
        <w:rPr/>
        <w:t>ecologistas</w:t>
      </w:r>
      <w:r>
        <w:rPr>
          <w:spacing w:val="-9"/>
        </w:rPr>
        <w:t> </w:t>
      </w:r>
      <w:r>
        <w:rPr/>
        <w:t>votaron</w:t>
      </w:r>
      <w:r>
        <w:rPr>
          <w:spacing w:val="-8"/>
        </w:rPr>
        <w:t> </w:t>
      </w:r>
      <w:r>
        <w:rPr/>
        <w:t>a</w:t>
      </w:r>
      <w:r>
        <w:rPr>
          <w:spacing w:val="-11"/>
        </w:rPr>
        <w:t> </w:t>
      </w:r>
      <w:r>
        <w:rPr/>
        <w:t>favor</w:t>
      </w:r>
      <w:r>
        <w:rPr>
          <w:spacing w:val="-10"/>
        </w:rPr>
        <w:t> </w:t>
      </w:r>
      <w:r>
        <w:rPr/>
        <w:t>y</w:t>
      </w:r>
      <w:r>
        <w:rPr>
          <w:spacing w:val="-7"/>
        </w:rPr>
        <w:t> </w:t>
      </w:r>
      <w:r>
        <w:rPr/>
        <w:t>el</w:t>
      </w:r>
      <w:r>
        <w:rPr>
          <w:spacing w:val="-10"/>
        </w:rPr>
        <w:t> </w:t>
      </w:r>
      <w:r>
        <w:rPr/>
        <w:t>38.09%</w:t>
      </w:r>
      <w:r>
        <w:rPr>
          <w:spacing w:val="-11"/>
        </w:rPr>
        <w:t> </w:t>
      </w:r>
      <w:r>
        <w:rPr/>
        <w:t>no acudió a la sesión. De igual manera el 23.07%% de los legisladores del PT votaron a favor, el 23.07% en contra y el 60% no asistió. El Partido Nueva Alianza 77,77% votó a favor y 22.22% no asistió. Finalmente, para los legisladores de</w:t>
      </w:r>
      <w:r>
        <w:rPr>
          <w:spacing w:val="-37"/>
        </w:rPr>
        <w:t> </w:t>
      </w:r>
      <w:r>
        <w:rPr/>
        <w:t>Convergencia 12.5% votó a favor, el 50% se abstuvo y el 37.5% no</w:t>
      </w:r>
      <w:r>
        <w:rPr>
          <w:spacing w:val="-18"/>
        </w:rPr>
        <w:t> </w:t>
      </w:r>
      <w:r>
        <w:rPr/>
        <w:t>asistió.</w:t>
      </w:r>
    </w:p>
    <w:p>
      <w:pPr>
        <w:pStyle w:val="BodyText"/>
      </w:pPr>
    </w:p>
    <w:p>
      <w:pPr>
        <w:pStyle w:val="BodyText"/>
        <w:spacing w:before="1"/>
        <w:rPr>
          <w:sz w:val="26"/>
        </w:rPr>
      </w:pPr>
    </w:p>
    <w:p>
      <w:pPr>
        <w:pStyle w:val="BodyText"/>
        <w:spacing w:line="360" w:lineRule="auto"/>
        <w:ind w:left="148" w:right="117"/>
        <w:jc w:val="both"/>
      </w:pPr>
      <w:r>
        <w:rPr/>
        <w:t>Los resultados de las tablas anteriores sobre las votaciones de los partidos</w:t>
      </w:r>
      <w:r>
        <w:rPr>
          <w:spacing w:val="-35"/>
        </w:rPr>
        <w:t> </w:t>
      </w:r>
      <w:r>
        <w:rPr/>
        <w:t>políticos en relación a la transparencia permiten ver cómo el compromiso de los legisladores con el pueblo sigue siendo insuficiente, ya que en muchas de las sesiones para no comprometer</w:t>
      </w:r>
      <w:r>
        <w:rPr>
          <w:spacing w:val="-11"/>
        </w:rPr>
        <w:t> </w:t>
      </w:r>
      <w:r>
        <w:rPr/>
        <w:t>su</w:t>
      </w:r>
      <w:r>
        <w:rPr>
          <w:spacing w:val="-9"/>
        </w:rPr>
        <w:t> </w:t>
      </w:r>
      <w:r>
        <w:rPr/>
        <w:t>voto</w:t>
      </w:r>
      <w:r>
        <w:rPr>
          <w:spacing w:val="-11"/>
        </w:rPr>
        <w:t> </w:t>
      </w:r>
      <w:r>
        <w:rPr/>
        <w:t>en</w:t>
      </w:r>
      <w:r>
        <w:rPr>
          <w:spacing w:val="-9"/>
        </w:rPr>
        <w:t> </w:t>
      </w:r>
      <w:r>
        <w:rPr/>
        <w:t>contra</w:t>
      </w:r>
      <w:r>
        <w:rPr>
          <w:spacing w:val="-10"/>
        </w:rPr>
        <w:t> </w:t>
      </w:r>
      <w:r>
        <w:rPr/>
        <w:t>y</w:t>
      </w:r>
      <w:r>
        <w:rPr>
          <w:spacing w:val="-13"/>
        </w:rPr>
        <w:t> </w:t>
      </w:r>
      <w:r>
        <w:rPr/>
        <w:t>generar</w:t>
      </w:r>
      <w:r>
        <w:rPr>
          <w:spacing w:val="-13"/>
        </w:rPr>
        <w:t> </w:t>
      </w:r>
      <w:r>
        <w:rPr/>
        <w:t>una</w:t>
      </w:r>
      <w:r>
        <w:rPr>
          <w:spacing w:val="-12"/>
        </w:rPr>
        <w:t> </w:t>
      </w:r>
      <w:r>
        <w:rPr/>
        <w:t>mala</w:t>
      </w:r>
      <w:r>
        <w:rPr>
          <w:spacing w:val="-12"/>
        </w:rPr>
        <w:t> </w:t>
      </w:r>
      <w:r>
        <w:rPr/>
        <w:t>imagen,</w:t>
      </w:r>
      <w:r>
        <w:rPr>
          <w:spacing w:val="-12"/>
        </w:rPr>
        <w:t> </w:t>
      </w:r>
      <w:r>
        <w:rPr/>
        <w:t>prefieren</w:t>
      </w:r>
      <w:r>
        <w:rPr>
          <w:spacing w:val="-12"/>
        </w:rPr>
        <w:t> </w:t>
      </w:r>
      <w:r>
        <w:rPr/>
        <w:t>no</w:t>
      </w:r>
      <w:r>
        <w:rPr>
          <w:spacing w:val="-12"/>
        </w:rPr>
        <w:t> </w:t>
      </w:r>
      <w:r>
        <w:rPr/>
        <w:t>asistir.</w:t>
      </w:r>
      <w:r>
        <w:rPr>
          <w:spacing w:val="-10"/>
        </w:rPr>
        <w:t> </w:t>
      </w:r>
      <w:r>
        <w:rPr/>
        <w:t>Esta situación  refrenda  la  afirmación  de  que  el  Estado  sigue  creando    </w:t>
      </w:r>
      <w:r>
        <w:rPr>
          <w:spacing w:val="29"/>
        </w:rPr>
        <w:t> </w:t>
      </w:r>
      <w:r>
        <w:rPr/>
        <w:t>escenarios</w:t>
      </w:r>
    </w:p>
    <w:p>
      <w:pPr>
        <w:spacing w:after="0" w:line="360" w:lineRule="auto"/>
        <w:jc w:val="both"/>
        <w:sectPr>
          <w:pgSz w:w="12240" w:h="15840"/>
          <w:pgMar w:header="0" w:footer="1035" w:top="1420" w:bottom="1220" w:left="1460" w:right="1580"/>
        </w:sectPr>
      </w:pPr>
    </w:p>
    <w:p>
      <w:pPr>
        <w:pStyle w:val="BodyText"/>
        <w:spacing w:line="362" w:lineRule="auto" w:before="54"/>
        <w:ind w:left="108" w:right="124"/>
        <w:jc w:val="both"/>
      </w:pPr>
      <w:r>
        <w:rPr/>
        <w:t>discursivos sobre la transparencia, pero en la práctica se presentan espacios que permiten contradecir dicho discurso.</w:t>
      </w:r>
    </w:p>
    <w:p>
      <w:pPr>
        <w:pStyle w:val="BodyText"/>
      </w:pPr>
    </w:p>
    <w:p>
      <w:pPr>
        <w:pStyle w:val="BodyText"/>
        <w:spacing w:line="360" w:lineRule="auto" w:before="139"/>
        <w:ind w:left="108" w:right="116"/>
        <w:jc w:val="both"/>
      </w:pPr>
      <w:r>
        <w:rPr/>
        <w:t>Tanto</w:t>
      </w:r>
      <w:r>
        <w:rPr>
          <w:spacing w:val="-11"/>
        </w:rPr>
        <w:t> </w:t>
      </w:r>
      <w:r>
        <w:rPr/>
        <w:t>las</w:t>
      </w:r>
      <w:r>
        <w:rPr>
          <w:spacing w:val="-13"/>
        </w:rPr>
        <w:t> </w:t>
      </w:r>
      <w:r>
        <w:rPr/>
        <w:t>acciones</w:t>
      </w:r>
      <w:r>
        <w:rPr>
          <w:spacing w:val="-14"/>
        </w:rPr>
        <w:t> </w:t>
      </w:r>
      <w:r>
        <w:rPr/>
        <w:t>de</w:t>
      </w:r>
      <w:r>
        <w:rPr>
          <w:spacing w:val="-12"/>
        </w:rPr>
        <w:t> </w:t>
      </w:r>
      <w:r>
        <w:rPr/>
        <w:t>los</w:t>
      </w:r>
      <w:r>
        <w:rPr>
          <w:spacing w:val="-13"/>
        </w:rPr>
        <w:t> </w:t>
      </w:r>
      <w:r>
        <w:rPr/>
        <w:t>gobernadores</w:t>
      </w:r>
      <w:r>
        <w:rPr>
          <w:spacing w:val="-14"/>
        </w:rPr>
        <w:t> </w:t>
      </w:r>
      <w:r>
        <w:rPr/>
        <w:t>como</w:t>
      </w:r>
      <w:r>
        <w:rPr>
          <w:spacing w:val="-13"/>
        </w:rPr>
        <w:t> </w:t>
      </w:r>
      <w:r>
        <w:rPr/>
        <w:t>los</w:t>
      </w:r>
      <w:r>
        <w:rPr>
          <w:spacing w:val="-12"/>
        </w:rPr>
        <w:t> </w:t>
      </w:r>
      <w:r>
        <w:rPr/>
        <w:t>legisladores</w:t>
      </w:r>
      <w:r>
        <w:rPr>
          <w:spacing w:val="-12"/>
        </w:rPr>
        <w:t> </w:t>
      </w:r>
      <w:r>
        <w:rPr/>
        <w:t>a</w:t>
      </w:r>
      <w:r>
        <w:rPr>
          <w:spacing w:val="-13"/>
        </w:rPr>
        <w:t> </w:t>
      </w:r>
      <w:r>
        <w:rPr/>
        <w:t>nivel</w:t>
      </w:r>
      <w:r>
        <w:rPr>
          <w:spacing w:val="-13"/>
        </w:rPr>
        <w:t> </w:t>
      </w:r>
      <w:r>
        <w:rPr/>
        <w:t>federal</w:t>
      </w:r>
      <w:r>
        <w:rPr>
          <w:spacing w:val="-6"/>
        </w:rPr>
        <w:t> </w:t>
      </w:r>
      <w:r>
        <w:rPr/>
        <w:t>reflejan que para los gobernantes mexicanos la transparencia no es un tema central dentro de</w:t>
      </w:r>
      <w:r>
        <w:rPr>
          <w:spacing w:val="-5"/>
        </w:rPr>
        <w:t> </w:t>
      </w:r>
      <w:r>
        <w:rPr/>
        <w:t>sus</w:t>
      </w:r>
      <w:r>
        <w:rPr>
          <w:spacing w:val="-8"/>
        </w:rPr>
        <w:t> </w:t>
      </w:r>
      <w:r>
        <w:rPr/>
        <w:t>agendas</w:t>
      </w:r>
      <w:r>
        <w:rPr>
          <w:spacing w:val="-8"/>
        </w:rPr>
        <w:t> </w:t>
      </w:r>
      <w:r>
        <w:rPr/>
        <w:t>políticas,</w:t>
      </w:r>
      <w:r>
        <w:rPr>
          <w:spacing w:val="-5"/>
        </w:rPr>
        <w:t> </w:t>
      </w:r>
      <w:r>
        <w:rPr/>
        <w:t>ya</w:t>
      </w:r>
      <w:r>
        <w:rPr>
          <w:spacing w:val="-5"/>
        </w:rPr>
        <w:t> </w:t>
      </w:r>
      <w:r>
        <w:rPr/>
        <w:t>que</w:t>
      </w:r>
      <w:r>
        <w:rPr>
          <w:spacing w:val="-7"/>
        </w:rPr>
        <w:t> </w:t>
      </w:r>
      <w:r>
        <w:rPr/>
        <w:t>el</w:t>
      </w:r>
      <w:r>
        <w:rPr>
          <w:spacing w:val="-6"/>
        </w:rPr>
        <w:t> </w:t>
      </w:r>
      <w:r>
        <w:rPr/>
        <w:t>beneficio</w:t>
      </w:r>
      <w:r>
        <w:rPr>
          <w:spacing w:val="-9"/>
        </w:rPr>
        <w:t> </w:t>
      </w:r>
      <w:r>
        <w:rPr/>
        <w:t>es</w:t>
      </w:r>
      <w:r>
        <w:rPr>
          <w:spacing w:val="-8"/>
        </w:rPr>
        <w:t> </w:t>
      </w:r>
      <w:r>
        <w:rPr/>
        <w:t>mayor</w:t>
      </w:r>
      <w:r>
        <w:rPr>
          <w:spacing w:val="-6"/>
        </w:rPr>
        <w:t> </w:t>
      </w:r>
      <w:r>
        <w:rPr/>
        <w:t>cuando</w:t>
      </w:r>
      <w:r>
        <w:rPr>
          <w:spacing w:val="-5"/>
        </w:rPr>
        <w:t> </w:t>
      </w:r>
      <w:r>
        <w:rPr/>
        <w:t>se</w:t>
      </w:r>
      <w:r>
        <w:rPr>
          <w:spacing w:val="-4"/>
        </w:rPr>
        <w:t> </w:t>
      </w:r>
      <w:r>
        <w:rPr/>
        <w:t>ocultan</w:t>
      </w:r>
      <w:r>
        <w:rPr>
          <w:spacing w:val="-7"/>
        </w:rPr>
        <w:t> </w:t>
      </w:r>
      <w:r>
        <w:rPr/>
        <w:t>las</w:t>
      </w:r>
      <w:r>
        <w:rPr>
          <w:spacing w:val="-6"/>
        </w:rPr>
        <w:t> </w:t>
      </w:r>
      <w:r>
        <w:rPr/>
        <w:t>cosas, que cuando las publican. De modo tal que, al no especificar todas las condiciones necesarias para controlar los archivos, los perfiles de los responsables y la no especificación del tipo de información que se considera pública de oficio, reservada o confidencial en las reformas realizadas a la normativa permiten que cada organismo publique información según su interpretación de la misma. De esta manera se precisa que la normativa es una condición necesaria más no suficiente para garantizar el GA, cuyas características se ven fuertemente marcadas por los siguientes</w:t>
      </w:r>
      <w:r>
        <w:rPr>
          <w:spacing w:val="-3"/>
        </w:rPr>
        <w:t> </w:t>
      </w:r>
      <w:r>
        <w:rPr/>
        <w:t>puntos:</w:t>
      </w:r>
    </w:p>
    <w:p>
      <w:pPr>
        <w:pStyle w:val="BodyText"/>
      </w:pPr>
    </w:p>
    <w:p>
      <w:pPr>
        <w:pStyle w:val="BodyText"/>
      </w:pPr>
    </w:p>
    <w:p>
      <w:pPr>
        <w:pStyle w:val="BodyText"/>
        <w:spacing w:line="360" w:lineRule="auto" w:before="185"/>
        <w:ind w:left="108" w:right="117"/>
        <w:jc w:val="both"/>
      </w:pPr>
      <w:r>
        <w:rPr>
          <w:b/>
        </w:rPr>
        <w:t>Poca planeación en la materia. </w:t>
      </w:r>
      <w:r>
        <w:rPr/>
        <w:t>Lo cual puede notarse en las constantes reformas que se llevan a cabo en las leyes correspondientes, tal es el caso del Estado de México, que inicia con la publicación de la ley el 30 de abril de 2004 y ha sido reformada siete veces: 28 de diciembre de 2004, 29 de diciembre de 2006, 1 de</w:t>
      </w:r>
    </w:p>
    <w:p>
      <w:pPr>
        <w:pStyle w:val="BodyText"/>
        <w:spacing w:line="360" w:lineRule="auto" w:before="5"/>
        <w:ind w:left="108" w:right="119"/>
        <w:jc w:val="both"/>
      </w:pPr>
      <w:r>
        <w:rPr/>
        <w:t>febrero de 2007, 24 de julio de 2008, 2 de agosto de 2011, 31 de agosto de 2012 y 29</w:t>
      </w:r>
      <w:r>
        <w:rPr>
          <w:spacing w:val="-5"/>
        </w:rPr>
        <w:t> </w:t>
      </w:r>
      <w:r>
        <w:rPr/>
        <w:t>de</w:t>
      </w:r>
      <w:r>
        <w:rPr>
          <w:spacing w:val="-5"/>
        </w:rPr>
        <w:t> </w:t>
      </w:r>
      <w:r>
        <w:rPr/>
        <w:t>julio</w:t>
      </w:r>
      <w:r>
        <w:rPr>
          <w:spacing w:val="-7"/>
        </w:rPr>
        <w:t> </w:t>
      </w:r>
      <w:r>
        <w:rPr/>
        <w:t>de</w:t>
      </w:r>
      <w:r>
        <w:rPr>
          <w:spacing w:val="-7"/>
        </w:rPr>
        <w:t> </w:t>
      </w:r>
      <w:r>
        <w:rPr/>
        <w:t>2013.</w:t>
      </w:r>
      <w:r>
        <w:rPr>
          <w:spacing w:val="-7"/>
        </w:rPr>
        <w:t> </w:t>
      </w:r>
      <w:r>
        <w:rPr/>
        <w:t>Pasando</w:t>
      </w:r>
      <w:r>
        <w:rPr>
          <w:spacing w:val="-5"/>
        </w:rPr>
        <w:t> </w:t>
      </w:r>
      <w:r>
        <w:rPr/>
        <w:t>de</w:t>
      </w:r>
      <w:r>
        <w:rPr>
          <w:spacing w:val="-5"/>
        </w:rPr>
        <w:t> </w:t>
      </w:r>
      <w:r>
        <w:rPr/>
        <w:t>establecer</w:t>
      </w:r>
      <w:r>
        <w:rPr>
          <w:spacing w:val="-6"/>
        </w:rPr>
        <w:t> </w:t>
      </w:r>
      <w:r>
        <w:rPr/>
        <w:t>la</w:t>
      </w:r>
      <w:r>
        <w:rPr>
          <w:spacing w:val="-7"/>
        </w:rPr>
        <w:t> </w:t>
      </w:r>
      <w:r>
        <w:rPr/>
        <w:t>información</w:t>
      </w:r>
      <w:r>
        <w:rPr>
          <w:spacing w:val="-6"/>
        </w:rPr>
        <w:t> </w:t>
      </w:r>
      <w:r>
        <w:rPr/>
        <w:t>que</w:t>
      </w:r>
      <w:r>
        <w:rPr>
          <w:spacing w:val="-5"/>
        </w:rPr>
        <w:t> </w:t>
      </w:r>
      <w:r>
        <w:rPr/>
        <w:t>se</w:t>
      </w:r>
      <w:r>
        <w:rPr>
          <w:spacing w:val="-5"/>
        </w:rPr>
        <w:t> </w:t>
      </w:r>
      <w:r>
        <w:rPr/>
        <w:t>considera</w:t>
      </w:r>
      <w:r>
        <w:rPr>
          <w:spacing w:val="-8"/>
        </w:rPr>
        <w:t> </w:t>
      </w:r>
      <w:r>
        <w:rPr/>
        <w:t>pública, definir los sujetos obligados, dar autonomía al INFOEM, dar facultades al INFOEM para medir la transparencia y promover la protección de datos</w:t>
      </w:r>
      <w:r>
        <w:rPr>
          <w:spacing w:val="-32"/>
        </w:rPr>
        <w:t> </w:t>
      </w:r>
      <w:r>
        <w:rPr/>
        <w:t>personales.</w:t>
      </w:r>
    </w:p>
    <w:p>
      <w:pPr>
        <w:pStyle w:val="BodyText"/>
      </w:pPr>
    </w:p>
    <w:p>
      <w:pPr>
        <w:pStyle w:val="BodyText"/>
      </w:pPr>
    </w:p>
    <w:p>
      <w:pPr>
        <w:pStyle w:val="BodyText"/>
        <w:spacing w:line="360" w:lineRule="auto" w:before="188"/>
        <w:ind w:left="108" w:right="117"/>
        <w:jc w:val="both"/>
      </w:pPr>
      <w:r>
        <w:rPr>
          <w:b/>
        </w:rPr>
        <w:t>Visión</w:t>
      </w:r>
      <w:r>
        <w:rPr>
          <w:b/>
          <w:spacing w:val="-9"/>
        </w:rPr>
        <w:t> </w:t>
      </w:r>
      <w:r>
        <w:rPr>
          <w:b/>
        </w:rPr>
        <w:t>normativa</w:t>
      </w:r>
      <w:r>
        <w:rPr/>
        <w:t>,</w:t>
      </w:r>
      <w:r>
        <w:rPr>
          <w:spacing w:val="-9"/>
        </w:rPr>
        <w:t> </w:t>
      </w:r>
      <w:r>
        <w:rPr/>
        <w:t>en</w:t>
      </w:r>
      <w:r>
        <w:rPr>
          <w:spacing w:val="-11"/>
        </w:rPr>
        <w:t> </w:t>
      </w:r>
      <w:r>
        <w:rPr/>
        <w:t>tanto</w:t>
      </w:r>
      <w:r>
        <w:rPr>
          <w:spacing w:val="-10"/>
        </w:rPr>
        <w:t> </w:t>
      </w:r>
      <w:r>
        <w:rPr/>
        <w:t>que</w:t>
      </w:r>
      <w:r>
        <w:rPr>
          <w:spacing w:val="-8"/>
        </w:rPr>
        <w:t> </w:t>
      </w:r>
      <w:r>
        <w:rPr/>
        <w:t>la</w:t>
      </w:r>
      <w:r>
        <w:rPr>
          <w:spacing w:val="-9"/>
        </w:rPr>
        <w:t> </w:t>
      </w:r>
      <w:r>
        <w:rPr/>
        <w:t>ley</w:t>
      </w:r>
      <w:r>
        <w:rPr>
          <w:spacing w:val="-11"/>
        </w:rPr>
        <w:t> </w:t>
      </w:r>
      <w:r>
        <w:rPr/>
        <w:t>no</w:t>
      </w:r>
      <w:r>
        <w:rPr>
          <w:spacing w:val="-9"/>
        </w:rPr>
        <w:t> </w:t>
      </w:r>
      <w:r>
        <w:rPr/>
        <w:t>establece</w:t>
      </w:r>
      <w:r>
        <w:rPr>
          <w:spacing w:val="-8"/>
        </w:rPr>
        <w:t> </w:t>
      </w:r>
      <w:r>
        <w:rPr/>
        <w:t>cómo</w:t>
      </w:r>
      <w:r>
        <w:rPr>
          <w:spacing w:val="-8"/>
        </w:rPr>
        <w:t> </w:t>
      </w:r>
      <w:r>
        <w:rPr/>
        <w:t>se</w:t>
      </w:r>
      <w:r>
        <w:rPr>
          <w:spacing w:val="-11"/>
        </w:rPr>
        <w:t> </w:t>
      </w:r>
      <w:r>
        <w:rPr/>
        <w:t>medirán</w:t>
      </w:r>
      <w:r>
        <w:rPr>
          <w:spacing w:val="-8"/>
        </w:rPr>
        <w:t> </w:t>
      </w:r>
      <w:r>
        <w:rPr/>
        <w:t>los</w:t>
      </w:r>
      <w:r>
        <w:rPr>
          <w:spacing w:val="-9"/>
        </w:rPr>
        <w:t> </w:t>
      </w:r>
      <w:r>
        <w:rPr/>
        <w:t>avances</w:t>
      </w:r>
      <w:r>
        <w:rPr>
          <w:spacing w:val="-12"/>
        </w:rPr>
        <w:t> </w:t>
      </w:r>
      <w:r>
        <w:rPr/>
        <w:t>de la</w:t>
      </w:r>
      <w:r>
        <w:rPr>
          <w:spacing w:val="-17"/>
        </w:rPr>
        <w:t> </w:t>
      </w:r>
      <w:r>
        <w:rPr/>
        <w:t>institucionalización</w:t>
      </w:r>
      <w:r>
        <w:rPr>
          <w:spacing w:val="-19"/>
        </w:rPr>
        <w:t> </w:t>
      </w:r>
      <w:r>
        <w:rPr/>
        <w:t>de</w:t>
      </w:r>
      <w:r>
        <w:rPr>
          <w:spacing w:val="-17"/>
        </w:rPr>
        <w:t> </w:t>
      </w:r>
      <w:r>
        <w:rPr/>
        <w:t>la</w:t>
      </w:r>
      <w:r>
        <w:rPr>
          <w:spacing w:val="-19"/>
        </w:rPr>
        <w:t> </w:t>
      </w:r>
      <w:r>
        <w:rPr/>
        <w:t>transparencia</w:t>
      </w:r>
      <w:r>
        <w:rPr>
          <w:spacing w:val="-19"/>
        </w:rPr>
        <w:t> </w:t>
      </w:r>
      <w:r>
        <w:rPr/>
        <w:t>en</w:t>
      </w:r>
      <w:r>
        <w:rPr>
          <w:spacing w:val="-19"/>
        </w:rPr>
        <w:t> </w:t>
      </w:r>
      <w:r>
        <w:rPr/>
        <w:t>los</w:t>
      </w:r>
      <w:r>
        <w:rPr>
          <w:spacing w:val="-17"/>
        </w:rPr>
        <w:t> </w:t>
      </w:r>
      <w:r>
        <w:rPr/>
        <w:t>cambios</w:t>
      </w:r>
      <w:r>
        <w:rPr>
          <w:spacing w:val="-19"/>
        </w:rPr>
        <w:t> </w:t>
      </w:r>
      <w:r>
        <w:rPr>
          <w:spacing w:val="2"/>
        </w:rPr>
        <w:t>de</w:t>
      </w:r>
      <w:r>
        <w:rPr>
          <w:spacing w:val="-19"/>
        </w:rPr>
        <w:t> </w:t>
      </w:r>
      <w:r>
        <w:rPr/>
        <w:t>administración,</w:t>
      </w:r>
      <w:r>
        <w:rPr>
          <w:spacing w:val="-19"/>
        </w:rPr>
        <w:t> </w:t>
      </w:r>
      <w:r>
        <w:rPr/>
        <w:t>no</w:t>
      </w:r>
      <w:r>
        <w:rPr>
          <w:spacing w:val="-19"/>
        </w:rPr>
        <w:t> </w:t>
      </w:r>
      <w:r>
        <w:rPr/>
        <w:t>define una metodología clara para tal efecto; ni señala los mecanismos para fomentar la participación de los ciudadanos respecto al tema; la obligatoriedad de tener información histórica generada por el gobierno durante su gestión y </w:t>
      </w:r>
      <w:r>
        <w:rPr>
          <w:spacing w:val="3"/>
        </w:rPr>
        <w:t>las </w:t>
      </w:r>
      <w:r>
        <w:rPr/>
        <w:t>anteriores pese </w:t>
      </w:r>
      <w:r>
        <w:rPr>
          <w:spacing w:val="42"/>
        </w:rPr>
        <w:t> </w:t>
      </w:r>
      <w:r>
        <w:rPr/>
        <w:t>a </w:t>
      </w:r>
      <w:r>
        <w:rPr>
          <w:spacing w:val="44"/>
        </w:rPr>
        <w:t> </w:t>
      </w:r>
      <w:r>
        <w:rPr/>
        <w:t>los </w:t>
      </w:r>
      <w:r>
        <w:rPr>
          <w:spacing w:val="44"/>
        </w:rPr>
        <w:t> </w:t>
      </w:r>
      <w:r>
        <w:rPr/>
        <w:t>cambios </w:t>
      </w:r>
      <w:r>
        <w:rPr>
          <w:spacing w:val="41"/>
        </w:rPr>
        <w:t> </w:t>
      </w:r>
      <w:r>
        <w:rPr/>
        <w:t>de </w:t>
      </w:r>
      <w:r>
        <w:rPr>
          <w:spacing w:val="44"/>
        </w:rPr>
        <w:t> </w:t>
      </w:r>
      <w:r>
        <w:rPr/>
        <w:t>administración, </w:t>
      </w:r>
      <w:r>
        <w:rPr>
          <w:spacing w:val="41"/>
        </w:rPr>
        <w:t> </w:t>
      </w:r>
      <w:r>
        <w:rPr/>
        <w:t>la </w:t>
      </w:r>
      <w:r>
        <w:rPr>
          <w:spacing w:val="44"/>
        </w:rPr>
        <w:t> </w:t>
      </w:r>
      <w:r>
        <w:rPr/>
        <w:t>cual </w:t>
      </w:r>
      <w:r>
        <w:rPr>
          <w:spacing w:val="43"/>
        </w:rPr>
        <w:t> </w:t>
      </w:r>
      <w:r>
        <w:rPr/>
        <w:t>puede </w:t>
      </w:r>
      <w:r>
        <w:rPr>
          <w:spacing w:val="44"/>
        </w:rPr>
        <w:t> </w:t>
      </w:r>
      <w:r>
        <w:rPr/>
        <w:t>apoyar </w:t>
      </w:r>
      <w:r>
        <w:rPr>
          <w:spacing w:val="43"/>
        </w:rPr>
        <w:t> </w:t>
      </w:r>
      <w:r>
        <w:rPr/>
        <w:t>la </w:t>
      </w:r>
      <w:r>
        <w:rPr>
          <w:spacing w:val="44"/>
        </w:rPr>
        <w:t> </w:t>
      </w:r>
      <w:r>
        <w:rPr/>
        <w:t>eficiencia</w:t>
      </w:r>
    </w:p>
    <w:p>
      <w:pPr>
        <w:spacing w:after="0" w:line="360" w:lineRule="auto"/>
        <w:jc w:val="both"/>
        <w:sectPr>
          <w:pgSz w:w="12240" w:h="15840"/>
          <w:pgMar w:header="0" w:footer="1035" w:top="1360" w:bottom="1220" w:left="1500" w:right="1580"/>
        </w:sectPr>
      </w:pPr>
    </w:p>
    <w:p>
      <w:pPr>
        <w:pStyle w:val="BodyText"/>
        <w:spacing w:line="360" w:lineRule="auto" w:before="54"/>
        <w:ind w:left="108" w:right="125"/>
        <w:jc w:val="both"/>
      </w:pPr>
      <w:r>
        <w:rPr/>
        <w:t>administrativa al no duplicar funciones y contar con procedimientos que permitan a los funcionarios entrantes la posibilidad de saber cómo hacer las cosas; de igual manera, no especifica las sanciones que se impondrán por su incumplimiento, hechos que podrían apoyar sustancialmente la práctica institucionalizada de la transparencia.</w:t>
      </w:r>
    </w:p>
    <w:p>
      <w:pPr>
        <w:pStyle w:val="BodyText"/>
      </w:pPr>
    </w:p>
    <w:p>
      <w:pPr>
        <w:pStyle w:val="BodyText"/>
      </w:pPr>
    </w:p>
    <w:p>
      <w:pPr>
        <w:pStyle w:val="BodyText"/>
        <w:spacing w:line="360" w:lineRule="auto" w:before="187"/>
        <w:ind w:left="108" w:right="116"/>
        <w:jc w:val="both"/>
      </w:pPr>
      <w:r>
        <w:rPr/>
        <w:t>En otro orden de ideas cabe hacer mención que la disparidad del número de dependencias existentes en cada municipio es un dato relevante, ya que mientras más unidades son es más complejo controlar la información que se maneja. Existiendo municipios que tienen hasta 52 dependencias administrativas y otros</w:t>
      </w:r>
      <w:r>
        <w:rPr>
          <w:spacing w:val="-43"/>
        </w:rPr>
        <w:t> </w:t>
      </w:r>
      <w:r>
        <w:rPr/>
        <w:t>con tan solo</w:t>
      </w:r>
      <w:r>
        <w:rPr>
          <w:spacing w:val="-3"/>
        </w:rPr>
        <w:t> </w:t>
      </w:r>
      <w:r>
        <w:rPr/>
        <w:t>dos.</w:t>
      </w:r>
    </w:p>
    <w:p>
      <w:pPr>
        <w:pStyle w:val="BodyText"/>
        <w:rPr>
          <w:sz w:val="20"/>
        </w:rPr>
      </w:pPr>
    </w:p>
    <w:p>
      <w:pPr>
        <w:pStyle w:val="BodyText"/>
        <w:rPr>
          <w:sz w:val="20"/>
        </w:rPr>
      </w:pPr>
    </w:p>
    <w:p>
      <w:pPr>
        <w:pStyle w:val="BodyText"/>
        <w:spacing w:before="3"/>
      </w:pPr>
    </w:p>
    <w:tbl>
      <w:tblPr>
        <w:tblW w:w="0" w:type="auto"/>
        <w:jc w:val="left"/>
        <w:tblInd w:w="15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09"/>
        <w:gridCol w:w="920"/>
        <w:gridCol w:w="1133"/>
        <w:gridCol w:w="994"/>
      </w:tblGrid>
      <w:tr>
        <w:trPr>
          <w:trHeight w:val="425" w:hRule="exact"/>
        </w:trPr>
        <w:tc>
          <w:tcPr>
            <w:tcW w:w="5955" w:type="dxa"/>
            <w:gridSpan w:val="4"/>
            <w:shd w:val="clear" w:color="auto" w:fill="92D050"/>
          </w:tcPr>
          <w:p>
            <w:pPr>
              <w:pStyle w:val="TableParagraph"/>
              <w:ind w:left="2431" w:right="95" w:hanging="2322"/>
              <w:jc w:val="left"/>
              <w:rPr>
                <w:b/>
                <w:sz w:val="18"/>
              </w:rPr>
            </w:pPr>
            <w:r>
              <w:rPr>
                <w:b/>
                <w:sz w:val="18"/>
              </w:rPr>
              <w:t>Tabla 4.8 Número de dependencias de los municipios del EDOMEX (2012 - 2015)</w:t>
            </w:r>
          </w:p>
        </w:tc>
      </w:tr>
      <w:tr>
        <w:trPr>
          <w:trHeight w:val="216" w:hRule="exact"/>
        </w:trPr>
        <w:tc>
          <w:tcPr>
            <w:tcW w:w="2909" w:type="dxa"/>
            <w:shd w:val="clear" w:color="auto" w:fill="92D050"/>
          </w:tcPr>
          <w:p>
            <w:pPr>
              <w:pStyle w:val="TableParagraph"/>
              <w:spacing w:line="206" w:lineRule="exact"/>
              <w:ind w:left="103"/>
              <w:jc w:val="left"/>
              <w:rPr>
                <w:sz w:val="18"/>
              </w:rPr>
            </w:pPr>
            <w:r>
              <w:rPr>
                <w:sz w:val="18"/>
              </w:rPr>
              <w:t>Tipo de dependencia</w:t>
            </w:r>
          </w:p>
        </w:tc>
        <w:tc>
          <w:tcPr>
            <w:tcW w:w="920" w:type="dxa"/>
            <w:shd w:val="clear" w:color="auto" w:fill="92D050"/>
          </w:tcPr>
          <w:p>
            <w:pPr>
              <w:pStyle w:val="TableParagraph"/>
              <w:spacing w:line="206" w:lineRule="exact"/>
              <w:ind w:left="103"/>
              <w:jc w:val="left"/>
              <w:rPr>
                <w:sz w:val="18"/>
              </w:rPr>
            </w:pPr>
            <w:r>
              <w:rPr>
                <w:sz w:val="18"/>
              </w:rPr>
              <w:t>Mínimo</w:t>
            </w:r>
          </w:p>
        </w:tc>
        <w:tc>
          <w:tcPr>
            <w:tcW w:w="1133" w:type="dxa"/>
            <w:shd w:val="clear" w:color="auto" w:fill="92D050"/>
          </w:tcPr>
          <w:p>
            <w:pPr>
              <w:pStyle w:val="TableParagraph"/>
              <w:spacing w:line="206" w:lineRule="exact"/>
              <w:ind w:left="103" w:right="103"/>
              <w:jc w:val="left"/>
              <w:rPr>
                <w:sz w:val="18"/>
              </w:rPr>
            </w:pPr>
            <w:r>
              <w:rPr>
                <w:sz w:val="18"/>
              </w:rPr>
              <w:t>Máximo</w:t>
            </w:r>
          </w:p>
        </w:tc>
        <w:tc>
          <w:tcPr>
            <w:tcW w:w="994" w:type="dxa"/>
            <w:shd w:val="clear" w:color="auto" w:fill="92D050"/>
          </w:tcPr>
          <w:p>
            <w:pPr>
              <w:pStyle w:val="TableParagraph"/>
              <w:spacing w:line="206" w:lineRule="exact"/>
              <w:ind w:left="103"/>
              <w:jc w:val="left"/>
              <w:rPr>
                <w:sz w:val="18"/>
              </w:rPr>
            </w:pPr>
            <w:r>
              <w:rPr>
                <w:sz w:val="18"/>
              </w:rPr>
              <w:t>Promedio</w:t>
            </w:r>
          </w:p>
        </w:tc>
      </w:tr>
      <w:tr>
        <w:trPr>
          <w:trHeight w:val="216" w:hRule="exact"/>
        </w:trPr>
        <w:tc>
          <w:tcPr>
            <w:tcW w:w="2909" w:type="dxa"/>
          </w:tcPr>
          <w:p>
            <w:pPr>
              <w:pStyle w:val="TableParagraph"/>
              <w:spacing w:line="206" w:lineRule="exact"/>
              <w:ind w:left="103"/>
              <w:jc w:val="left"/>
              <w:rPr>
                <w:sz w:val="18"/>
              </w:rPr>
            </w:pPr>
            <w:r>
              <w:rPr>
                <w:sz w:val="18"/>
              </w:rPr>
              <w:t>Dependencias administrativas</w:t>
            </w:r>
          </w:p>
        </w:tc>
        <w:tc>
          <w:tcPr>
            <w:tcW w:w="920" w:type="dxa"/>
          </w:tcPr>
          <w:p>
            <w:pPr>
              <w:pStyle w:val="TableParagraph"/>
              <w:spacing w:line="206" w:lineRule="exact"/>
              <w:ind w:left="103"/>
              <w:jc w:val="left"/>
              <w:rPr>
                <w:sz w:val="18"/>
              </w:rPr>
            </w:pPr>
            <w:r>
              <w:rPr>
                <w:w w:val="99"/>
                <w:sz w:val="18"/>
              </w:rPr>
              <w:t>2</w:t>
            </w:r>
          </w:p>
        </w:tc>
        <w:tc>
          <w:tcPr>
            <w:tcW w:w="1133" w:type="dxa"/>
          </w:tcPr>
          <w:p>
            <w:pPr>
              <w:pStyle w:val="TableParagraph"/>
              <w:spacing w:line="206" w:lineRule="exact"/>
              <w:ind w:left="103" w:right="103"/>
              <w:jc w:val="left"/>
              <w:rPr>
                <w:sz w:val="18"/>
              </w:rPr>
            </w:pPr>
            <w:r>
              <w:rPr>
                <w:sz w:val="18"/>
              </w:rPr>
              <w:t>52</w:t>
            </w:r>
          </w:p>
        </w:tc>
        <w:tc>
          <w:tcPr>
            <w:tcW w:w="994" w:type="dxa"/>
          </w:tcPr>
          <w:p>
            <w:pPr>
              <w:pStyle w:val="TableParagraph"/>
              <w:spacing w:line="206" w:lineRule="exact"/>
              <w:ind w:left="103" w:right="91"/>
              <w:jc w:val="left"/>
              <w:rPr>
                <w:sz w:val="18"/>
              </w:rPr>
            </w:pPr>
            <w:r>
              <w:rPr>
                <w:sz w:val="18"/>
              </w:rPr>
              <w:t>20</w:t>
            </w:r>
          </w:p>
        </w:tc>
      </w:tr>
      <w:tr>
        <w:trPr>
          <w:trHeight w:val="218" w:hRule="exact"/>
        </w:trPr>
        <w:tc>
          <w:tcPr>
            <w:tcW w:w="2909" w:type="dxa"/>
          </w:tcPr>
          <w:p>
            <w:pPr>
              <w:pStyle w:val="TableParagraph"/>
              <w:spacing w:before="1"/>
              <w:ind w:left="103"/>
              <w:jc w:val="left"/>
              <w:rPr>
                <w:sz w:val="18"/>
              </w:rPr>
            </w:pPr>
            <w:r>
              <w:rPr>
                <w:sz w:val="18"/>
              </w:rPr>
              <w:t>Regidurías</w:t>
            </w:r>
          </w:p>
        </w:tc>
        <w:tc>
          <w:tcPr>
            <w:tcW w:w="920" w:type="dxa"/>
          </w:tcPr>
          <w:p>
            <w:pPr>
              <w:pStyle w:val="TableParagraph"/>
              <w:spacing w:before="1"/>
              <w:ind w:left="103"/>
              <w:jc w:val="left"/>
              <w:rPr>
                <w:sz w:val="18"/>
              </w:rPr>
            </w:pPr>
            <w:r>
              <w:rPr>
                <w:w w:val="99"/>
                <w:sz w:val="18"/>
              </w:rPr>
              <w:t>7</w:t>
            </w:r>
          </w:p>
        </w:tc>
        <w:tc>
          <w:tcPr>
            <w:tcW w:w="1133" w:type="dxa"/>
          </w:tcPr>
          <w:p>
            <w:pPr>
              <w:pStyle w:val="TableParagraph"/>
              <w:spacing w:before="1"/>
              <w:ind w:left="103" w:right="103"/>
              <w:jc w:val="left"/>
              <w:rPr>
                <w:sz w:val="18"/>
              </w:rPr>
            </w:pPr>
            <w:r>
              <w:rPr>
                <w:sz w:val="18"/>
              </w:rPr>
              <w:t>17</w:t>
            </w:r>
          </w:p>
        </w:tc>
        <w:tc>
          <w:tcPr>
            <w:tcW w:w="994" w:type="dxa"/>
          </w:tcPr>
          <w:p>
            <w:pPr>
              <w:pStyle w:val="TableParagraph"/>
              <w:spacing w:before="1"/>
              <w:ind w:left="103" w:right="91"/>
              <w:jc w:val="left"/>
              <w:rPr>
                <w:sz w:val="18"/>
              </w:rPr>
            </w:pPr>
            <w:r>
              <w:rPr>
                <w:sz w:val="18"/>
              </w:rPr>
              <w:t>7.5</w:t>
            </w:r>
          </w:p>
        </w:tc>
      </w:tr>
    </w:tbl>
    <w:p>
      <w:pPr>
        <w:spacing w:line="206" w:lineRule="exact" w:before="0"/>
        <w:ind w:left="1704" w:right="6" w:firstLine="0"/>
        <w:jc w:val="left"/>
        <w:rPr>
          <w:sz w:val="18"/>
        </w:rPr>
      </w:pPr>
      <w:r>
        <w:rPr>
          <w:sz w:val="18"/>
        </w:rPr>
        <w:t>Fuente: Elaboración propia.</w:t>
      </w:r>
    </w:p>
    <w:p>
      <w:pPr>
        <w:pStyle w:val="BodyText"/>
        <w:spacing w:before="11"/>
        <w:rPr>
          <w:sz w:val="29"/>
        </w:rPr>
      </w:pPr>
    </w:p>
    <w:p>
      <w:pPr>
        <w:pStyle w:val="BodyText"/>
        <w:spacing w:line="360" w:lineRule="auto" w:before="69"/>
        <w:ind w:left="108" w:right="115"/>
        <w:jc w:val="both"/>
      </w:pPr>
      <w:r>
        <w:rPr/>
        <w:t>Estas situaciones hacen que el porcentaje de efectividad de las respuestas proporcionadas</w:t>
      </w:r>
      <w:r>
        <w:rPr>
          <w:spacing w:val="-5"/>
        </w:rPr>
        <w:t> </w:t>
      </w:r>
      <w:r>
        <w:rPr/>
        <w:t>a</w:t>
      </w:r>
      <w:r>
        <w:rPr>
          <w:spacing w:val="-7"/>
        </w:rPr>
        <w:t> </w:t>
      </w:r>
      <w:r>
        <w:rPr/>
        <w:t>los</w:t>
      </w:r>
      <w:r>
        <w:rPr>
          <w:spacing w:val="-7"/>
        </w:rPr>
        <w:t> </w:t>
      </w:r>
      <w:r>
        <w:rPr/>
        <w:t>solicitantes</w:t>
      </w:r>
      <w:r>
        <w:rPr>
          <w:spacing w:val="-8"/>
        </w:rPr>
        <w:t> </w:t>
      </w:r>
      <w:r>
        <w:rPr/>
        <w:t>vaya</w:t>
      </w:r>
      <w:r>
        <w:rPr>
          <w:spacing w:val="-5"/>
        </w:rPr>
        <w:t> </w:t>
      </w:r>
      <w:r>
        <w:rPr/>
        <w:t>disminuyendo,</w:t>
      </w:r>
      <w:r>
        <w:rPr>
          <w:spacing w:val="-2"/>
        </w:rPr>
        <w:t> </w:t>
      </w:r>
      <w:r>
        <w:rPr/>
        <w:t>tal</w:t>
      </w:r>
      <w:r>
        <w:rPr>
          <w:spacing w:val="-8"/>
        </w:rPr>
        <w:t> </w:t>
      </w:r>
      <w:r>
        <w:rPr/>
        <w:t>como</w:t>
      </w:r>
      <w:r>
        <w:rPr>
          <w:spacing w:val="-5"/>
        </w:rPr>
        <w:t> </w:t>
      </w:r>
      <w:r>
        <w:rPr/>
        <w:t>se</w:t>
      </w:r>
      <w:r>
        <w:rPr>
          <w:spacing w:val="-7"/>
        </w:rPr>
        <w:t> </w:t>
      </w:r>
      <w:r>
        <w:rPr/>
        <w:t>puede</w:t>
      </w:r>
      <w:r>
        <w:rPr>
          <w:spacing w:val="-5"/>
        </w:rPr>
        <w:t> </w:t>
      </w:r>
      <w:r>
        <w:rPr/>
        <w:t>apreciar</w:t>
      </w:r>
      <w:r>
        <w:rPr>
          <w:spacing w:val="-8"/>
        </w:rPr>
        <w:t> </w:t>
      </w:r>
      <w:r>
        <w:rPr/>
        <w:t>en la siguiente</w:t>
      </w:r>
      <w:r>
        <w:rPr>
          <w:spacing w:val="-3"/>
        </w:rPr>
        <w:t> </w:t>
      </w:r>
      <w:r>
        <w:rPr/>
        <w:t>gráfica:</w:t>
      </w:r>
    </w:p>
    <w:p>
      <w:pPr>
        <w:pStyle w:val="BodyText"/>
        <w:rPr>
          <w:sz w:val="20"/>
        </w:rPr>
      </w:pPr>
    </w:p>
    <w:p>
      <w:pPr>
        <w:pStyle w:val="BodyText"/>
        <w:spacing w:before="7"/>
        <w:rPr>
          <w:sz w:val="22"/>
        </w:rPr>
      </w:pPr>
      <w:r>
        <w:rPr/>
        <w:pict>
          <v:group style="position:absolute;margin-left:88.875pt;margin-top:14.954881pt;width:312.75pt;height:178.5pt;mso-position-horizontal-relative:page;mso-position-vertical-relative:paragraph;z-index:8728;mso-wrap-distance-left:0;mso-wrap-distance-right:0" coordorigin="1778,299" coordsize="6255,3570">
            <v:line style="position:absolute" from="2491,2848" to="7805,2848" stroked="true" strokeweight=".72pt" strokecolor="#d9d9d9"/>
            <v:line style="position:absolute" from="2491,2516" to="7805,2516" stroked="true" strokeweight=".72pt" strokecolor="#d9d9d9"/>
            <v:line style="position:absolute" from="2491,2185" to="7805,2185" stroked="true" strokeweight=".72pt" strokecolor="#d9d9d9"/>
            <v:line style="position:absolute" from="2491,1856" to="7805,1856" stroked="true" strokeweight=".72pt" strokecolor="#d9d9d9"/>
            <v:line style="position:absolute" from="2491,1525" to="7805,1525" stroked="true" strokeweight=".72pt" strokecolor="#d9d9d9"/>
            <v:shape style="position:absolute;left:2758;top:1525;width:4781;height:348" coordorigin="2758,1525" coordsize="4781,348" path="m2758,1525l3288,1525,3821,1583,4351,1780,4884,1744,5414,1796,5945,1732,6478,1741,7008,1873,7538,1818e" filled="false" stroked="true" strokeweight="2.16pt" strokecolor="#5b9bd4">
              <v:path arrowok="t"/>
            </v:shape>
            <v:shape style="position:absolute;left:2699;top:1468;width:115;height:115" type="#_x0000_t75" stroked="false">
              <v:imagedata r:id="rId54" o:title=""/>
            </v:shape>
            <v:shape style="position:absolute;left:3230;top:1468;width:115;height:115" type="#_x0000_t75" stroked="false">
              <v:imagedata r:id="rId54" o:title=""/>
            </v:shape>
            <v:shape style="position:absolute;left:3763;top:1526;width:115;height:115" type="#_x0000_t75" stroked="false">
              <v:imagedata r:id="rId57" o:title=""/>
            </v:shape>
            <v:shape style="position:absolute;left:4293;top:1723;width:115;height:115" type="#_x0000_t75" stroked="false">
              <v:imagedata r:id="rId56" o:title=""/>
            </v:shape>
            <v:shape style="position:absolute;left:4826;top:1687;width:115;height:115" type="#_x0000_t75" stroked="false">
              <v:imagedata r:id="rId56" o:title=""/>
            </v:shape>
            <v:shape style="position:absolute;left:5356;top:1739;width:115;height:115" type="#_x0000_t75" stroked="false">
              <v:imagedata r:id="rId56" o:title=""/>
            </v:shape>
            <v:shape style="position:absolute;left:5887;top:1675;width:115;height:115" type="#_x0000_t75" stroked="false">
              <v:imagedata r:id="rId54" o:title=""/>
            </v:shape>
            <v:shape style="position:absolute;left:6419;top:1684;width:115;height:115" type="#_x0000_t75" stroked="false">
              <v:imagedata r:id="rId57" o:title=""/>
            </v:shape>
            <v:shape style="position:absolute;left:6950;top:1816;width:115;height:115" type="#_x0000_t75" stroked="false">
              <v:imagedata r:id="rId54" o:title=""/>
            </v:shape>
            <v:shape style="position:absolute;left:7480;top:1761;width:115;height:115" type="#_x0000_t75" stroked="false">
              <v:imagedata r:id="rId56" o:title=""/>
            </v:shape>
            <v:line style="position:absolute" from="2491,1194" to="7805,1194" stroked="true" strokeweight=".72pt" strokecolor="#d9d9d9"/>
            <v:line style="position:absolute" from="2491,3179" to="7805,3179" stroked="true" strokeweight=".72pt" strokecolor="#d9d9d9"/>
            <v:rect style="position:absolute;left:1785;top:307;width:6240;height:3555" filled="false" stroked="true" strokeweight=".75pt" strokecolor="#d9d9d9"/>
            <v:shape style="position:absolute;left:3080;top:378;width:4680;height:444" type="#_x0000_t202" filled="false" stroked="false">
              <v:textbox inset="0,0,0,0">
                <w:txbxContent>
                  <w:p>
                    <w:pPr>
                      <w:spacing w:line="203" w:lineRule="exact" w:before="0"/>
                      <w:ind w:left="-1" w:right="0" w:firstLine="0"/>
                      <w:jc w:val="center"/>
                      <w:rPr>
                        <w:rFonts w:ascii="Calibri" w:hAnsi="Calibri"/>
                        <w:b/>
                        <w:sz w:val="20"/>
                      </w:rPr>
                    </w:pPr>
                    <w:r>
                      <w:rPr>
                        <w:rFonts w:ascii="Calibri" w:hAnsi="Calibri"/>
                        <w:b/>
                        <w:color w:val="585858"/>
                        <w:sz w:val="20"/>
                      </w:rPr>
                      <w:t>Gráfica 4.1. Efectividad de la información</w:t>
                    </w:r>
                    <w:r>
                      <w:rPr>
                        <w:rFonts w:ascii="Calibri" w:hAnsi="Calibri"/>
                        <w:b/>
                        <w:color w:val="585858"/>
                        <w:spacing w:val="-29"/>
                        <w:sz w:val="20"/>
                      </w:rPr>
                      <w:t> </w:t>
                    </w:r>
                    <w:r>
                      <w:rPr>
                        <w:rFonts w:ascii="Calibri" w:hAnsi="Calibri"/>
                        <w:b/>
                        <w:color w:val="585858"/>
                        <w:sz w:val="20"/>
                      </w:rPr>
                      <w:t>proporcionada</w:t>
                    </w:r>
                  </w:p>
                  <w:p>
                    <w:pPr>
                      <w:spacing w:line="240" w:lineRule="exact" w:before="0"/>
                      <w:ind w:left="5" w:right="0" w:firstLine="0"/>
                      <w:jc w:val="center"/>
                      <w:rPr>
                        <w:rFonts w:ascii="Calibri"/>
                        <w:b/>
                        <w:sz w:val="20"/>
                      </w:rPr>
                    </w:pPr>
                    <w:r>
                      <w:rPr>
                        <w:rFonts w:ascii="Calibri"/>
                        <w:b/>
                        <w:color w:val="585858"/>
                        <w:sz w:val="20"/>
                      </w:rPr>
                      <w:t>por los municipios del EDOMEX (2006 - 2015)</w:t>
                    </w:r>
                  </w:p>
                </w:txbxContent>
              </v:textbox>
              <w10:wrap type="none"/>
            </v:shape>
            <v:shape style="position:absolute;left:1915;top:1112;width:411;height:2164" type="#_x0000_t202" filled="false" stroked="false">
              <v:textbox inset="0,0,0,0">
                <w:txbxContent>
                  <w:p>
                    <w:pPr>
                      <w:spacing w:line="183" w:lineRule="exact" w:before="0"/>
                      <w:ind w:left="-1" w:right="0" w:firstLine="0"/>
                      <w:jc w:val="center"/>
                      <w:rPr>
                        <w:rFonts w:ascii="Calibri"/>
                        <w:sz w:val="18"/>
                      </w:rPr>
                    </w:pPr>
                    <w:r>
                      <w:rPr>
                        <w:rFonts w:ascii="Calibri"/>
                        <w:color w:val="585858"/>
                        <w:sz w:val="18"/>
                      </w:rPr>
                      <w:t>120.0</w:t>
                    </w:r>
                  </w:p>
                  <w:p>
                    <w:pPr>
                      <w:spacing w:before="111"/>
                      <w:ind w:left="-1" w:right="0" w:firstLine="0"/>
                      <w:jc w:val="center"/>
                      <w:rPr>
                        <w:rFonts w:ascii="Calibri"/>
                        <w:sz w:val="18"/>
                      </w:rPr>
                    </w:pPr>
                    <w:r>
                      <w:rPr>
                        <w:rFonts w:ascii="Calibri"/>
                        <w:color w:val="585858"/>
                        <w:sz w:val="18"/>
                      </w:rPr>
                      <w:t>100.0</w:t>
                    </w:r>
                  </w:p>
                  <w:p>
                    <w:pPr>
                      <w:spacing w:before="111"/>
                      <w:ind w:left="91" w:right="-20" w:firstLine="0"/>
                      <w:jc w:val="left"/>
                      <w:rPr>
                        <w:rFonts w:ascii="Calibri"/>
                        <w:sz w:val="18"/>
                      </w:rPr>
                    </w:pPr>
                    <w:r>
                      <w:rPr>
                        <w:rFonts w:ascii="Calibri"/>
                        <w:color w:val="585858"/>
                        <w:sz w:val="18"/>
                      </w:rPr>
                      <w:t>80.0</w:t>
                    </w:r>
                  </w:p>
                  <w:p>
                    <w:pPr>
                      <w:spacing w:before="110"/>
                      <w:ind w:left="91" w:right="-20" w:firstLine="0"/>
                      <w:jc w:val="left"/>
                      <w:rPr>
                        <w:rFonts w:ascii="Calibri"/>
                        <w:sz w:val="18"/>
                      </w:rPr>
                    </w:pPr>
                    <w:r>
                      <w:rPr>
                        <w:rFonts w:ascii="Calibri"/>
                        <w:color w:val="585858"/>
                        <w:sz w:val="18"/>
                      </w:rPr>
                      <w:t>60.0</w:t>
                    </w:r>
                  </w:p>
                  <w:p>
                    <w:pPr>
                      <w:spacing w:before="111"/>
                      <w:ind w:left="91" w:right="-20" w:firstLine="0"/>
                      <w:jc w:val="left"/>
                      <w:rPr>
                        <w:rFonts w:ascii="Calibri"/>
                        <w:sz w:val="18"/>
                      </w:rPr>
                    </w:pPr>
                    <w:r>
                      <w:rPr>
                        <w:rFonts w:ascii="Calibri"/>
                        <w:color w:val="585858"/>
                        <w:sz w:val="18"/>
                      </w:rPr>
                      <w:t>40.0</w:t>
                    </w:r>
                  </w:p>
                  <w:p>
                    <w:pPr>
                      <w:spacing w:before="111"/>
                      <w:ind w:left="91" w:right="-20" w:firstLine="0"/>
                      <w:jc w:val="left"/>
                      <w:rPr>
                        <w:rFonts w:ascii="Calibri"/>
                        <w:sz w:val="18"/>
                      </w:rPr>
                    </w:pPr>
                    <w:r>
                      <w:rPr>
                        <w:rFonts w:ascii="Calibri"/>
                        <w:color w:val="585858"/>
                        <w:sz w:val="18"/>
                      </w:rPr>
                      <w:t>20.0</w:t>
                    </w:r>
                  </w:p>
                  <w:p>
                    <w:pPr>
                      <w:spacing w:line="216" w:lineRule="exact" w:before="110"/>
                      <w:ind w:left="182" w:right="0" w:firstLine="0"/>
                      <w:jc w:val="center"/>
                      <w:rPr>
                        <w:rFonts w:ascii="Calibri"/>
                        <w:sz w:val="18"/>
                      </w:rPr>
                    </w:pPr>
                    <w:r>
                      <w:rPr>
                        <w:rFonts w:ascii="Calibri"/>
                        <w:color w:val="585858"/>
                        <w:sz w:val="18"/>
                      </w:rPr>
                      <w:t>0.0</w:t>
                    </w:r>
                  </w:p>
                </w:txbxContent>
              </v:textbox>
              <w10:wrap type="none"/>
            </v:shape>
            <v:shape style="position:absolute;left:2552;top:1203;width:942;height:180" type="#_x0000_t202" filled="false" stroked="false">
              <v:textbox inset="0,0,0,0">
                <w:txbxContent>
                  <w:p>
                    <w:pPr>
                      <w:spacing w:line="180" w:lineRule="exact" w:before="0"/>
                      <w:ind w:left="0" w:right="0" w:firstLine="0"/>
                      <w:jc w:val="left"/>
                      <w:rPr>
                        <w:rFonts w:ascii="Calibri"/>
                        <w:sz w:val="18"/>
                      </w:rPr>
                    </w:pPr>
                    <w:r>
                      <w:rPr>
                        <w:rFonts w:ascii="Calibri"/>
                        <w:color w:val="404040"/>
                        <w:sz w:val="18"/>
                      </w:rPr>
                      <w:t>100.0  100.0</w:t>
                    </w:r>
                  </w:p>
                </w:txbxContent>
              </v:textbox>
              <w10:wrap type="none"/>
            </v:shape>
            <v:shape style="position:absolute;left:3660;top:1260;width:32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96.5</w:t>
                    </w:r>
                  </w:p>
                </w:txbxContent>
              </v:textbox>
              <w10:wrap type="none"/>
            </v:shape>
            <v:shape style="position:absolute;left:4192;top:1456;width:32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84.6</w:t>
                    </w:r>
                  </w:p>
                </w:txbxContent>
              </v:textbox>
              <w10:wrap type="none"/>
            </v:shape>
            <v:shape style="position:absolute;left:4723;top:1421;width:32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86.8</w:t>
                    </w:r>
                  </w:p>
                </w:txbxContent>
              </v:textbox>
              <w10:wrap type="none"/>
            </v:shape>
            <v:shape style="position:absolute;left:5255;top:1474;width:32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83.6</w:t>
                    </w:r>
                  </w:p>
                </w:txbxContent>
              </v:textbox>
              <w10:wrap type="none"/>
            </v:shape>
            <v:shape style="position:absolute;left:5786;top:1408;width:32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87.6</w:t>
                    </w:r>
                  </w:p>
                </w:txbxContent>
              </v:textbox>
              <w10:wrap type="none"/>
            </v:shape>
            <v:shape style="position:absolute;left:6317;top:1419;width:32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86.9</w:t>
                    </w:r>
                  </w:p>
                </w:txbxContent>
              </v:textbox>
              <w10:wrap type="none"/>
            </v:shape>
            <v:shape style="position:absolute;left:6849;top:1551;width:32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78.9</w:t>
                    </w:r>
                  </w:p>
                </w:txbxContent>
              </v:textbox>
              <w10:wrap type="none"/>
            </v:shape>
            <v:shape style="position:absolute;left:7380;top:1496;width:32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82.2</w:t>
                    </w:r>
                  </w:p>
                </w:txbxContent>
              </v:textbox>
              <w10:wrap type="none"/>
            </v:shape>
            <v:shape style="position:absolute;left:2576;top:3329;width:5148;height:400" type="#_x0000_t202" filled="false" stroked="false">
              <v:textbox inset="0,0,0,0">
                <w:txbxContent>
                  <w:p>
                    <w:pPr>
                      <w:tabs>
                        <w:tab w:pos="567" w:val="left" w:leader="none"/>
                        <w:tab w:pos="1098" w:val="left" w:leader="none"/>
                        <w:tab w:pos="1630" w:val="left" w:leader="none"/>
                        <w:tab w:pos="2161" w:val="left" w:leader="none"/>
                        <w:tab w:pos="2692" w:val="left" w:leader="none"/>
                        <w:tab w:pos="3224" w:val="left" w:leader="none"/>
                        <w:tab w:pos="3755" w:val="left" w:leader="none"/>
                        <w:tab w:pos="4286" w:val="left" w:leader="none"/>
                        <w:tab w:pos="4818" w:val="left" w:leader="none"/>
                      </w:tabs>
                      <w:spacing w:line="183" w:lineRule="exact" w:before="0"/>
                      <w:ind w:left="0" w:right="0" w:firstLine="36"/>
                      <w:jc w:val="left"/>
                      <w:rPr>
                        <w:rFonts w:ascii="Calibri" w:hAnsi="Calibri"/>
                        <w:sz w:val="18"/>
                      </w:rPr>
                    </w:pPr>
                    <w:r>
                      <w:rPr>
                        <w:rFonts w:ascii="Calibri" w:hAnsi="Calibri"/>
                        <w:color w:val="585858"/>
                        <w:sz w:val="18"/>
                      </w:rPr>
                      <w:t>Año</w:t>
                      <w:tab/>
                      <w:t>Año</w:t>
                      <w:tab/>
                      <w:t>Año</w:t>
                      <w:tab/>
                      <w:t>Año</w:t>
                      <w:tab/>
                      <w:t>Año</w:t>
                      <w:tab/>
                      <w:t>Año</w:t>
                      <w:tab/>
                      <w:t>Año</w:t>
                      <w:tab/>
                      <w:t>Año</w:t>
                      <w:tab/>
                      <w:t>Año</w:t>
                      <w:tab/>
                      <w:t>Año</w:t>
                    </w:r>
                  </w:p>
                  <w:p>
                    <w:pPr>
                      <w:spacing w:line="216" w:lineRule="exact" w:before="0"/>
                      <w:ind w:left="0" w:right="0" w:firstLine="0"/>
                      <w:jc w:val="left"/>
                      <w:rPr>
                        <w:rFonts w:ascii="Calibri"/>
                        <w:sz w:val="18"/>
                      </w:rPr>
                    </w:pPr>
                    <w:r>
                      <w:rPr>
                        <w:rFonts w:ascii="Calibri"/>
                        <w:color w:val="585858"/>
                        <w:sz w:val="18"/>
                      </w:rPr>
                      <w:t>2006    2007    2008    2009    2010    2011    2012    2013    2014   2015</w:t>
                    </w:r>
                  </w:p>
                </w:txbxContent>
              </v:textbox>
              <w10:wrap type="none"/>
            </v:shape>
            <w10:wrap type="topAndBottom"/>
          </v:group>
        </w:pict>
      </w:r>
    </w:p>
    <w:p>
      <w:pPr>
        <w:spacing w:before="73"/>
        <w:ind w:left="1810" w:right="6" w:firstLine="0"/>
        <w:jc w:val="left"/>
        <w:rPr>
          <w:sz w:val="16"/>
        </w:rPr>
      </w:pPr>
      <w:r>
        <w:rPr>
          <w:sz w:val="16"/>
        </w:rPr>
        <w:t>Fuente: Elaboración propia con datos del INFOEM.</w:t>
      </w:r>
    </w:p>
    <w:p>
      <w:pPr>
        <w:spacing w:after="0"/>
        <w:jc w:val="left"/>
        <w:rPr>
          <w:sz w:val="16"/>
        </w:rPr>
        <w:sectPr>
          <w:pgSz w:w="12240" w:h="15840"/>
          <w:pgMar w:header="0" w:footer="1035" w:top="1360" w:bottom="1220" w:left="1500" w:right="1580"/>
        </w:sectPr>
      </w:pPr>
    </w:p>
    <w:p>
      <w:pPr>
        <w:pStyle w:val="BodyText"/>
        <w:rPr>
          <w:sz w:val="20"/>
        </w:rPr>
      </w:pPr>
    </w:p>
    <w:p>
      <w:pPr>
        <w:pStyle w:val="BodyText"/>
        <w:spacing w:before="7"/>
        <w:rPr>
          <w:sz w:val="16"/>
        </w:rPr>
      </w:pPr>
    </w:p>
    <w:p>
      <w:pPr>
        <w:pStyle w:val="BodyText"/>
        <w:spacing w:line="360" w:lineRule="auto" w:before="69"/>
        <w:ind w:left="108" w:right="117"/>
        <w:jc w:val="both"/>
      </w:pPr>
      <w:r>
        <w:rPr/>
        <w:t>La gráfica anterior muestra cómo en los años 2006 y 2007, que iniciaba la transparencia</w:t>
      </w:r>
      <w:r>
        <w:rPr>
          <w:spacing w:val="-9"/>
        </w:rPr>
        <w:t> </w:t>
      </w:r>
      <w:r>
        <w:rPr/>
        <w:t>en</w:t>
      </w:r>
      <w:r>
        <w:rPr>
          <w:spacing w:val="-8"/>
        </w:rPr>
        <w:t> </w:t>
      </w:r>
      <w:r>
        <w:rPr/>
        <w:t>los</w:t>
      </w:r>
      <w:r>
        <w:rPr>
          <w:spacing w:val="-9"/>
        </w:rPr>
        <w:t> </w:t>
      </w:r>
      <w:r>
        <w:rPr/>
        <w:t>municipios</w:t>
      </w:r>
      <w:r>
        <w:rPr>
          <w:spacing w:val="-9"/>
        </w:rPr>
        <w:t> </w:t>
      </w:r>
      <w:r>
        <w:rPr/>
        <w:t>mexiquenses,</w:t>
      </w:r>
      <w:r>
        <w:rPr>
          <w:spacing w:val="-6"/>
        </w:rPr>
        <w:t> </w:t>
      </w:r>
      <w:r>
        <w:rPr/>
        <w:t>se</w:t>
      </w:r>
      <w:r>
        <w:rPr>
          <w:spacing w:val="-8"/>
        </w:rPr>
        <w:t> </w:t>
      </w:r>
      <w:r>
        <w:rPr/>
        <w:t>lograba</w:t>
      </w:r>
      <w:r>
        <w:rPr>
          <w:spacing w:val="-8"/>
        </w:rPr>
        <w:t> </w:t>
      </w:r>
      <w:r>
        <w:rPr/>
        <w:t>de</w:t>
      </w:r>
      <w:r>
        <w:rPr>
          <w:spacing w:val="-8"/>
        </w:rPr>
        <w:t> </w:t>
      </w:r>
      <w:r>
        <w:rPr/>
        <w:t>100%</w:t>
      </w:r>
      <w:r>
        <w:rPr>
          <w:spacing w:val="-9"/>
        </w:rPr>
        <w:t> </w:t>
      </w:r>
      <w:r>
        <w:rPr/>
        <w:t>de</w:t>
      </w:r>
      <w:r>
        <w:rPr>
          <w:spacing w:val="-6"/>
        </w:rPr>
        <w:t> </w:t>
      </w:r>
      <w:r>
        <w:rPr/>
        <w:t>efectividad</w:t>
      </w:r>
      <w:r>
        <w:rPr>
          <w:spacing w:val="-6"/>
        </w:rPr>
        <w:t> </w:t>
      </w:r>
      <w:r>
        <w:rPr/>
        <w:t>en la información proporcionada a quienes la solicitaban, ya que no había recursos de información. No obstante, a partir del año 2008 se nota una clara disminución de 3.5% en la efectividad de la información proporcionada. Esta condición es congruente con lo señalado anteriormente de que las condiciones actuales en que se presenta la transparencia en los municipios mexiquenses ha tenido logros relevantes, pero aún existe cierto margen </w:t>
      </w:r>
      <w:r>
        <w:rPr>
          <w:spacing w:val="2"/>
        </w:rPr>
        <w:t>de </w:t>
      </w:r>
      <w:r>
        <w:rPr/>
        <w:t>incumplimiento que da cabida a la corrupción, la impunidad y el secreto de los gobernantes sobre las acciones que realizan en relación a la</w:t>
      </w:r>
      <w:r>
        <w:rPr>
          <w:spacing w:val="-13"/>
        </w:rPr>
        <w:t> </w:t>
      </w:r>
      <w:r>
        <w:rPr/>
        <w:t>transparencia.</w:t>
      </w:r>
    </w:p>
    <w:p>
      <w:pPr>
        <w:pStyle w:val="BodyText"/>
      </w:pPr>
    </w:p>
    <w:p>
      <w:pPr>
        <w:pStyle w:val="BodyText"/>
      </w:pPr>
    </w:p>
    <w:p>
      <w:pPr>
        <w:pStyle w:val="BodyText"/>
        <w:spacing w:line="360" w:lineRule="auto" w:before="185"/>
        <w:ind w:left="108" w:right="114"/>
        <w:jc w:val="both"/>
      </w:pPr>
      <w:r>
        <w:rPr/>
        <w:t>Ante este escenario es pertinente destacar que </w:t>
      </w:r>
      <w:r>
        <w:rPr>
          <w:spacing w:val="4"/>
        </w:rPr>
        <w:t>el </w:t>
      </w:r>
      <w:r>
        <w:rPr/>
        <w:t>tiempo juega un rol fundamental en torno a la institucionalización ya que como bien señalan (Ackerman y Sandoval, 2015) la modernización y la globalización no convertirán de forma automática a los burócratas</w:t>
      </w:r>
      <w:r>
        <w:rPr>
          <w:spacing w:val="-10"/>
        </w:rPr>
        <w:t> </w:t>
      </w:r>
      <w:r>
        <w:rPr/>
        <w:t>cerrados</w:t>
      </w:r>
      <w:r>
        <w:rPr>
          <w:spacing w:val="-10"/>
        </w:rPr>
        <w:t> </w:t>
      </w:r>
      <w:r>
        <w:rPr/>
        <w:t>en</w:t>
      </w:r>
      <w:r>
        <w:rPr>
          <w:spacing w:val="-12"/>
        </w:rPr>
        <w:t> </w:t>
      </w:r>
      <w:r>
        <w:rPr/>
        <w:t>servidores</w:t>
      </w:r>
      <w:r>
        <w:rPr>
          <w:spacing w:val="-10"/>
        </w:rPr>
        <w:t> </w:t>
      </w:r>
      <w:r>
        <w:rPr/>
        <w:t>públicos</w:t>
      </w:r>
      <w:r>
        <w:rPr>
          <w:spacing w:val="-13"/>
        </w:rPr>
        <w:t> </w:t>
      </w:r>
      <w:r>
        <w:rPr/>
        <w:t>abiertos</w:t>
      </w:r>
      <w:r>
        <w:rPr>
          <w:spacing w:val="-10"/>
        </w:rPr>
        <w:t> </w:t>
      </w:r>
      <w:r>
        <w:rPr/>
        <w:t>y</w:t>
      </w:r>
      <w:r>
        <w:rPr>
          <w:spacing w:val="-13"/>
        </w:rPr>
        <w:t> </w:t>
      </w:r>
      <w:r>
        <w:rPr/>
        <w:t>transparentes.</w:t>
      </w:r>
      <w:r>
        <w:rPr>
          <w:spacing w:val="-6"/>
        </w:rPr>
        <w:t> </w:t>
      </w:r>
      <w:r>
        <w:rPr/>
        <w:t>Se</w:t>
      </w:r>
      <w:r>
        <w:rPr>
          <w:spacing w:val="-9"/>
        </w:rPr>
        <w:t> </w:t>
      </w:r>
      <w:r>
        <w:rPr/>
        <w:t>necesita</w:t>
      </w:r>
      <w:r>
        <w:rPr>
          <w:spacing w:val="-12"/>
        </w:rPr>
        <w:t> </w:t>
      </w:r>
      <w:r>
        <w:rPr/>
        <w:t>del debate público y la acción política para la consolidación de la transparencia ya que pese a los avances logrados en una década y media aún no se cuenta con las condiciones propicias para poder hacer de la transparencia una práctica</w:t>
      </w:r>
      <w:r>
        <w:rPr>
          <w:spacing w:val="-31"/>
        </w:rPr>
        <w:t> </w:t>
      </w:r>
      <w:r>
        <w:rPr/>
        <w:t>constante.</w:t>
      </w:r>
    </w:p>
    <w:p>
      <w:pPr>
        <w:pStyle w:val="BodyText"/>
      </w:pPr>
    </w:p>
    <w:p>
      <w:pPr>
        <w:pStyle w:val="BodyText"/>
      </w:pPr>
    </w:p>
    <w:p>
      <w:pPr>
        <w:pStyle w:val="BodyText"/>
        <w:spacing w:line="360" w:lineRule="auto" w:before="185"/>
        <w:ind w:left="108" w:right="117"/>
        <w:jc w:val="both"/>
      </w:pPr>
      <w:r>
        <w:rPr/>
        <w:t>Finalmente,</w:t>
      </w:r>
      <w:r>
        <w:rPr>
          <w:spacing w:val="-12"/>
        </w:rPr>
        <w:t> </w:t>
      </w:r>
      <w:r>
        <w:rPr/>
        <w:t>tal</w:t>
      </w:r>
      <w:r>
        <w:rPr>
          <w:spacing w:val="-11"/>
        </w:rPr>
        <w:t> </w:t>
      </w:r>
      <w:r>
        <w:rPr/>
        <w:t>como</w:t>
      </w:r>
      <w:r>
        <w:rPr>
          <w:spacing w:val="-12"/>
        </w:rPr>
        <w:t> </w:t>
      </w:r>
      <w:r>
        <w:rPr/>
        <w:t>se</w:t>
      </w:r>
      <w:r>
        <w:rPr>
          <w:spacing w:val="-12"/>
        </w:rPr>
        <w:t> </w:t>
      </w:r>
      <w:r>
        <w:rPr/>
        <w:t>mencionó</w:t>
      </w:r>
      <w:r>
        <w:rPr>
          <w:spacing w:val="-9"/>
        </w:rPr>
        <w:t> </w:t>
      </w:r>
      <w:r>
        <w:rPr/>
        <w:t>anteriormente,</w:t>
      </w:r>
      <w:r>
        <w:rPr>
          <w:spacing w:val="-12"/>
        </w:rPr>
        <w:t> </w:t>
      </w:r>
      <w:r>
        <w:rPr/>
        <w:t>el</w:t>
      </w:r>
      <w:r>
        <w:rPr>
          <w:spacing w:val="-13"/>
        </w:rPr>
        <w:t> </w:t>
      </w:r>
      <w:r>
        <w:rPr/>
        <w:t>único</w:t>
      </w:r>
      <w:r>
        <w:rPr>
          <w:spacing w:val="-12"/>
        </w:rPr>
        <w:t> </w:t>
      </w:r>
      <w:r>
        <w:rPr/>
        <w:t>mecanismo</w:t>
      </w:r>
      <w:r>
        <w:rPr>
          <w:spacing w:val="-9"/>
        </w:rPr>
        <w:t> </w:t>
      </w:r>
      <w:r>
        <w:rPr/>
        <w:t>que</w:t>
      </w:r>
      <w:r>
        <w:rPr>
          <w:spacing w:val="-12"/>
        </w:rPr>
        <w:t> </w:t>
      </w:r>
      <w:r>
        <w:rPr/>
        <w:t>tienen</w:t>
      </w:r>
      <w:r>
        <w:rPr>
          <w:spacing w:val="-12"/>
        </w:rPr>
        <w:t> </w:t>
      </w:r>
      <w:r>
        <w:rPr/>
        <w:t>los ciudadanos para participar en lo relacionado a la transparencia en el Estado de México</w:t>
      </w:r>
      <w:r>
        <w:rPr>
          <w:spacing w:val="-7"/>
        </w:rPr>
        <w:t> </w:t>
      </w:r>
      <w:r>
        <w:rPr/>
        <w:t>es</w:t>
      </w:r>
      <w:r>
        <w:rPr>
          <w:spacing w:val="-8"/>
        </w:rPr>
        <w:t> </w:t>
      </w:r>
      <w:r>
        <w:rPr/>
        <w:t>básicamente</w:t>
      </w:r>
      <w:r>
        <w:rPr>
          <w:spacing w:val="-7"/>
        </w:rPr>
        <w:t> </w:t>
      </w:r>
      <w:r>
        <w:rPr/>
        <w:t>de</w:t>
      </w:r>
      <w:r>
        <w:rPr>
          <w:spacing w:val="-9"/>
        </w:rPr>
        <w:t> </w:t>
      </w:r>
      <w:r>
        <w:rPr/>
        <w:t>dos</w:t>
      </w:r>
      <w:r>
        <w:rPr>
          <w:spacing w:val="-12"/>
        </w:rPr>
        <w:t> </w:t>
      </w:r>
      <w:r>
        <w:rPr/>
        <w:t>formas:</w:t>
      </w:r>
      <w:r>
        <w:rPr>
          <w:spacing w:val="-10"/>
        </w:rPr>
        <w:t> </w:t>
      </w:r>
      <w:r>
        <w:rPr/>
        <w:t>la</w:t>
      </w:r>
      <w:r>
        <w:rPr>
          <w:spacing w:val="-10"/>
        </w:rPr>
        <w:t> </w:t>
      </w:r>
      <w:r>
        <w:rPr/>
        <w:t>primera</w:t>
      </w:r>
      <w:r>
        <w:rPr>
          <w:spacing w:val="-10"/>
        </w:rPr>
        <w:t> </w:t>
      </w:r>
      <w:r>
        <w:rPr/>
        <w:t>consiste</w:t>
      </w:r>
      <w:r>
        <w:rPr>
          <w:spacing w:val="-9"/>
        </w:rPr>
        <w:t> </w:t>
      </w:r>
      <w:r>
        <w:rPr/>
        <w:t>en</w:t>
      </w:r>
      <w:r>
        <w:rPr>
          <w:spacing w:val="-9"/>
        </w:rPr>
        <w:t> </w:t>
      </w:r>
      <w:r>
        <w:rPr/>
        <w:t>ir</w:t>
      </w:r>
      <w:r>
        <w:rPr>
          <w:spacing w:val="-9"/>
        </w:rPr>
        <w:t> </w:t>
      </w:r>
      <w:r>
        <w:rPr/>
        <w:t>personalmente</w:t>
      </w:r>
      <w:r>
        <w:rPr>
          <w:spacing w:val="-9"/>
        </w:rPr>
        <w:t> </w:t>
      </w:r>
      <w:r>
        <w:rPr/>
        <w:t>a</w:t>
      </w:r>
      <w:r>
        <w:rPr>
          <w:spacing w:val="-7"/>
        </w:rPr>
        <w:t> </w:t>
      </w:r>
      <w:r>
        <w:rPr/>
        <w:t>las oficinas</w:t>
      </w:r>
      <w:r>
        <w:rPr>
          <w:spacing w:val="-17"/>
        </w:rPr>
        <w:t> </w:t>
      </w:r>
      <w:r>
        <w:rPr/>
        <w:t>gubernamentales</w:t>
      </w:r>
      <w:r>
        <w:rPr>
          <w:spacing w:val="-17"/>
        </w:rPr>
        <w:t> </w:t>
      </w:r>
      <w:r>
        <w:rPr/>
        <w:t>a</w:t>
      </w:r>
      <w:r>
        <w:rPr>
          <w:spacing w:val="-17"/>
        </w:rPr>
        <w:t> </w:t>
      </w:r>
      <w:r>
        <w:rPr/>
        <w:t>solicitar</w:t>
      </w:r>
      <w:r>
        <w:rPr>
          <w:spacing w:val="-18"/>
        </w:rPr>
        <w:t> </w:t>
      </w:r>
      <w:r>
        <w:rPr/>
        <w:t>información.</w:t>
      </w:r>
      <w:r>
        <w:rPr>
          <w:spacing w:val="-17"/>
        </w:rPr>
        <w:t> </w:t>
      </w:r>
      <w:r>
        <w:rPr/>
        <w:t>La</w:t>
      </w:r>
      <w:r>
        <w:rPr>
          <w:spacing w:val="-17"/>
        </w:rPr>
        <w:t> </w:t>
      </w:r>
      <w:r>
        <w:rPr/>
        <w:t>otra,</w:t>
      </w:r>
      <w:r>
        <w:rPr>
          <w:spacing w:val="-17"/>
        </w:rPr>
        <w:t> </w:t>
      </w:r>
      <w:r>
        <w:rPr/>
        <w:t>es</w:t>
      </w:r>
      <w:r>
        <w:rPr>
          <w:spacing w:val="-17"/>
        </w:rPr>
        <w:t> </w:t>
      </w:r>
      <w:r>
        <w:rPr/>
        <w:t>solicitarla</w:t>
      </w:r>
      <w:r>
        <w:rPr>
          <w:spacing w:val="-17"/>
        </w:rPr>
        <w:t> </w:t>
      </w:r>
      <w:r>
        <w:rPr/>
        <w:t>vía</w:t>
      </w:r>
      <w:r>
        <w:rPr>
          <w:spacing w:val="-17"/>
        </w:rPr>
        <w:t> </w:t>
      </w:r>
      <w:r>
        <w:rPr/>
        <w:t>electrónica a</w:t>
      </w:r>
      <w:r>
        <w:rPr>
          <w:spacing w:val="-6"/>
        </w:rPr>
        <w:t> </w:t>
      </w:r>
      <w:r>
        <w:rPr/>
        <w:t>través</w:t>
      </w:r>
      <w:r>
        <w:rPr>
          <w:spacing w:val="-7"/>
        </w:rPr>
        <w:t> </w:t>
      </w:r>
      <w:r>
        <w:rPr/>
        <w:t>del</w:t>
      </w:r>
      <w:r>
        <w:rPr>
          <w:spacing w:val="-7"/>
        </w:rPr>
        <w:t> </w:t>
      </w:r>
      <w:r>
        <w:rPr/>
        <w:t>portal</w:t>
      </w:r>
      <w:r>
        <w:rPr>
          <w:spacing w:val="-7"/>
        </w:rPr>
        <w:t> </w:t>
      </w:r>
      <w:r>
        <w:rPr/>
        <w:t>web</w:t>
      </w:r>
      <w:r>
        <w:rPr>
          <w:spacing w:val="-6"/>
        </w:rPr>
        <w:t> </w:t>
      </w:r>
      <w:r>
        <w:rPr/>
        <w:t>denominado</w:t>
      </w:r>
      <w:r>
        <w:rPr>
          <w:spacing w:val="-8"/>
        </w:rPr>
        <w:t> </w:t>
      </w:r>
      <w:r>
        <w:rPr/>
        <w:t>SAIMEX.</w:t>
      </w:r>
      <w:r>
        <w:rPr>
          <w:spacing w:val="-4"/>
        </w:rPr>
        <w:t> </w:t>
      </w:r>
      <w:r>
        <w:rPr/>
        <w:t>Sin</w:t>
      </w:r>
      <w:r>
        <w:rPr>
          <w:spacing w:val="-6"/>
        </w:rPr>
        <w:t> </w:t>
      </w:r>
      <w:r>
        <w:rPr/>
        <w:t>embargo,</w:t>
      </w:r>
      <w:r>
        <w:rPr>
          <w:spacing w:val="-5"/>
        </w:rPr>
        <w:t> </w:t>
      </w:r>
      <w:r>
        <w:rPr/>
        <w:t>“para</w:t>
      </w:r>
      <w:r>
        <w:rPr>
          <w:spacing w:val="-7"/>
        </w:rPr>
        <w:t> </w:t>
      </w:r>
      <w:r>
        <w:rPr/>
        <w:t>que</w:t>
      </w:r>
      <w:r>
        <w:rPr>
          <w:spacing w:val="-6"/>
        </w:rPr>
        <w:t> </w:t>
      </w:r>
      <w:r>
        <w:rPr/>
        <w:t>el</w:t>
      </w:r>
      <w:r>
        <w:rPr>
          <w:spacing w:val="-7"/>
        </w:rPr>
        <w:t> </w:t>
      </w:r>
      <w:r>
        <w:rPr/>
        <w:t>movimiento mundial hacia la libertad de información siga creciendo, es fundamental la participación activa de la sociedad civil” (Ackerman y Sandoval,</w:t>
      </w:r>
      <w:r>
        <w:rPr>
          <w:spacing w:val="-18"/>
        </w:rPr>
        <w:t> </w:t>
      </w:r>
      <w:r>
        <w:rPr/>
        <w:t>2015:49).</w:t>
      </w:r>
    </w:p>
    <w:p>
      <w:pPr>
        <w:spacing w:after="0" w:line="360" w:lineRule="auto"/>
        <w:jc w:val="both"/>
        <w:sectPr>
          <w:pgSz w:w="12240" w:h="15840"/>
          <w:pgMar w:header="0" w:footer="1035" w:top="1500" w:bottom="1220" w:left="1500" w:right="1580"/>
        </w:sectPr>
      </w:pPr>
    </w:p>
    <w:p>
      <w:pPr>
        <w:pStyle w:val="BodyText"/>
        <w:spacing w:line="360" w:lineRule="auto" w:before="54"/>
        <w:ind w:left="108" w:right="115"/>
        <w:jc w:val="both"/>
      </w:pPr>
      <w:r>
        <w:rPr/>
        <w:t>Esta</w:t>
      </w:r>
      <w:r>
        <w:rPr>
          <w:spacing w:val="-6"/>
        </w:rPr>
        <w:t> </w:t>
      </w:r>
      <w:r>
        <w:rPr/>
        <w:t>situación</w:t>
      </w:r>
      <w:r>
        <w:rPr>
          <w:spacing w:val="-6"/>
        </w:rPr>
        <w:t> </w:t>
      </w:r>
      <w:r>
        <w:rPr/>
        <w:t>se</w:t>
      </w:r>
      <w:r>
        <w:rPr>
          <w:spacing w:val="-6"/>
        </w:rPr>
        <w:t> </w:t>
      </w:r>
      <w:r>
        <w:rPr/>
        <w:t>ve</w:t>
      </w:r>
      <w:r>
        <w:rPr>
          <w:spacing w:val="-6"/>
        </w:rPr>
        <w:t> </w:t>
      </w:r>
      <w:r>
        <w:rPr/>
        <w:t>desfavorecida</w:t>
      </w:r>
      <w:r>
        <w:rPr>
          <w:spacing w:val="-6"/>
        </w:rPr>
        <w:t> </w:t>
      </w:r>
      <w:r>
        <w:rPr/>
        <w:t>cuando</w:t>
      </w:r>
      <w:r>
        <w:rPr>
          <w:spacing w:val="-2"/>
        </w:rPr>
        <w:t> </w:t>
      </w:r>
      <w:r>
        <w:rPr/>
        <w:t>se</w:t>
      </w:r>
      <w:r>
        <w:rPr>
          <w:spacing w:val="-8"/>
        </w:rPr>
        <w:t> </w:t>
      </w:r>
      <w:r>
        <w:rPr/>
        <w:t>complementa</w:t>
      </w:r>
      <w:r>
        <w:rPr>
          <w:spacing w:val="-6"/>
        </w:rPr>
        <w:t> </w:t>
      </w:r>
      <w:r>
        <w:rPr/>
        <w:t>con</w:t>
      </w:r>
      <w:r>
        <w:rPr>
          <w:spacing w:val="-6"/>
        </w:rPr>
        <w:t> </w:t>
      </w:r>
      <w:r>
        <w:rPr/>
        <w:t>la</w:t>
      </w:r>
      <w:r>
        <w:rPr>
          <w:spacing w:val="-6"/>
        </w:rPr>
        <w:t> </w:t>
      </w:r>
      <w:r>
        <w:rPr/>
        <w:t>cultura</w:t>
      </w:r>
      <w:r>
        <w:rPr>
          <w:spacing w:val="-7"/>
        </w:rPr>
        <w:t> </w:t>
      </w:r>
      <w:r>
        <w:rPr/>
        <w:t>del</w:t>
      </w:r>
      <w:r>
        <w:rPr>
          <w:spacing w:val="-10"/>
        </w:rPr>
        <w:t> </w:t>
      </w:r>
      <w:r>
        <w:rPr/>
        <w:t>miedo que</w:t>
      </w:r>
      <w:r>
        <w:rPr>
          <w:spacing w:val="-11"/>
        </w:rPr>
        <w:t> </w:t>
      </w:r>
      <w:r>
        <w:rPr/>
        <w:t>se</w:t>
      </w:r>
      <w:r>
        <w:rPr>
          <w:spacing w:val="-11"/>
        </w:rPr>
        <w:t> </w:t>
      </w:r>
      <w:r>
        <w:rPr/>
        <w:t>ha</w:t>
      </w:r>
      <w:r>
        <w:rPr>
          <w:spacing w:val="-11"/>
        </w:rPr>
        <w:t> </w:t>
      </w:r>
      <w:r>
        <w:rPr/>
        <w:t>generado</w:t>
      </w:r>
      <w:r>
        <w:rPr>
          <w:spacing w:val="-11"/>
        </w:rPr>
        <w:t> </w:t>
      </w:r>
      <w:r>
        <w:rPr/>
        <w:t>en</w:t>
      </w:r>
      <w:r>
        <w:rPr>
          <w:spacing w:val="-13"/>
        </w:rPr>
        <w:t> </w:t>
      </w:r>
      <w:r>
        <w:rPr/>
        <w:t>torno</w:t>
      </w:r>
      <w:r>
        <w:rPr>
          <w:spacing w:val="-13"/>
        </w:rPr>
        <w:t> </w:t>
      </w:r>
      <w:r>
        <w:rPr/>
        <w:t>a</w:t>
      </w:r>
      <w:r>
        <w:rPr>
          <w:spacing w:val="-11"/>
        </w:rPr>
        <w:t> </w:t>
      </w:r>
      <w:r>
        <w:rPr/>
        <w:t>la</w:t>
      </w:r>
      <w:r>
        <w:rPr>
          <w:spacing w:val="-11"/>
        </w:rPr>
        <w:t> </w:t>
      </w:r>
      <w:r>
        <w:rPr/>
        <w:t>publicación</w:t>
      </w:r>
      <w:r>
        <w:rPr>
          <w:spacing w:val="-13"/>
        </w:rPr>
        <w:t> </w:t>
      </w:r>
      <w:r>
        <w:rPr/>
        <w:t>de</w:t>
      </w:r>
      <w:r>
        <w:rPr>
          <w:spacing w:val="-11"/>
        </w:rPr>
        <w:t> </w:t>
      </w:r>
      <w:r>
        <w:rPr/>
        <w:t>información.</w:t>
      </w:r>
      <w:r>
        <w:rPr>
          <w:spacing w:val="-8"/>
        </w:rPr>
        <w:t> </w:t>
      </w:r>
      <w:r>
        <w:rPr/>
        <w:t>Tanto</w:t>
      </w:r>
      <w:r>
        <w:rPr>
          <w:spacing w:val="-13"/>
        </w:rPr>
        <w:t> </w:t>
      </w:r>
      <w:r>
        <w:rPr/>
        <w:t>para</w:t>
      </w:r>
      <w:r>
        <w:rPr>
          <w:spacing w:val="-11"/>
        </w:rPr>
        <w:t> </w:t>
      </w:r>
      <w:r>
        <w:rPr/>
        <w:t>el</w:t>
      </w:r>
      <w:r>
        <w:rPr>
          <w:spacing w:val="-12"/>
        </w:rPr>
        <w:t> </w:t>
      </w:r>
      <w:r>
        <w:rPr/>
        <w:t>gobierno, por el uso que le puedan dar a la información y que evidencie sus errores y corrupción, como para los ciudadanos, al no identificarse por las represalias que pudiera haber en su contra. En cualquiera de los dos casos el proceso de comunicación es</w:t>
      </w:r>
      <w:r>
        <w:rPr>
          <w:spacing w:val="-8"/>
        </w:rPr>
        <w:t> </w:t>
      </w:r>
      <w:r>
        <w:rPr/>
        <w:t>interrumpido.</w:t>
      </w:r>
    </w:p>
    <w:p>
      <w:pPr>
        <w:pStyle w:val="BodyText"/>
      </w:pPr>
    </w:p>
    <w:p>
      <w:pPr>
        <w:pStyle w:val="BodyText"/>
        <w:spacing w:before="1"/>
        <w:rPr>
          <w:sz w:val="26"/>
        </w:rPr>
      </w:pPr>
    </w:p>
    <w:p>
      <w:pPr>
        <w:pStyle w:val="BodyText"/>
        <w:spacing w:line="360" w:lineRule="auto"/>
        <w:ind w:left="163" w:right="117"/>
        <w:jc w:val="both"/>
      </w:pPr>
      <w:r>
        <w:rPr/>
        <w:t>Por tal motivo se necesitan mejorar los canales de comunicación y los mecanismos de</w:t>
      </w:r>
      <w:r>
        <w:rPr>
          <w:spacing w:val="-19"/>
        </w:rPr>
        <w:t> </w:t>
      </w:r>
      <w:r>
        <w:rPr/>
        <w:t>participación</w:t>
      </w:r>
      <w:r>
        <w:rPr>
          <w:spacing w:val="-19"/>
        </w:rPr>
        <w:t> </w:t>
      </w:r>
      <w:r>
        <w:rPr/>
        <w:t>social</w:t>
      </w:r>
      <w:r>
        <w:rPr>
          <w:spacing w:val="-21"/>
        </w:rPr>
        <w:t> </w:t>
      </w:r>
      <w:r>
        <w:rPr/>
        <w:t>para</w:t>
      </w:r>
      <w:r>
        <w:rPr>
          <w:spacing w:val="-20"/>
        </w:rPr>
        <w:t> </w:t>
      </w:r>
      <w:r>
        <w:rPr/>
        <w:t>que</w:t>
      </w:r>
      <w:r>
        <w:rPr>
          <w:spacing w:val="-19"/>
        </w:rPr>
        <w:t> </w:t>
      </w:r>
      <w:r>
        <w:rPr/>
        <w:t>la</w:t>
      </w:r>
      <w:r>
        <w:rPr>
          <w:spacing w:val="-19"/>
        </w:rPr>
        <w:t> </w:t>
      </w:r>
      <w:r>
        <w:rPr/>
        <w:t>transparencia</w:t>
      </w:r>
      <w:r>
        <w:rPr>
          <w:spacing w:val="-19"/>
        </w:rPr>
        <w:t> </w:t>
      </w:r>
      <w:r>
        <w:rPr/>
        <w:t>pueda</w:t>
      </w:r>
      <w:r>
        <w:rPr>
          <w:spacing w:val="-19"/>
        </w:rPr>
        <w:t> </w:t>
      </w:r>
      <w:r>
        <w:rPr/>
        <w:t>gestarse</w:t>
      </w:r>
      <w:r>
        <w:rPr>
          <w:spacing w:val="-19"/>
        </w:rPr>
        <w:t> </w:t>
      </w:r>
      <w:r>
        <w:rPr/>
        <w:t>cada</w:t>
      </w:r>
      <w:r>
        <w:rPr>
          <w:spacing w:val="-19"/>
        </w:rPr>
        <w:t> </w:t>
      </w:r>
      <w:r>
        <w:rPr/>
        <w:t>vez</w:t>
      </w:r>
      <w:r>
        <w:rPr>
          <w:spacing w:val="-21"/>
        </w:rPr>
        <w:t> </w:t>
      </w:r>
      <w:r>
        <w:rPr/>
        <w:t>más</w:t>
      </w:r>
      <w:r>
        <w:rPr>
          <w:spacing w:val="-20"/>
        </w:rPr>
        <w:t> </w:t>
      </w:r>
      <w:r>
        <w:rPr/>
        <w:t>como una práctica administrativa cotidiana del gobierno y ayude a combatir la corrupción, la impunidad y el secreto</w:t>
      </w:r>
      <w:r>
        <w:rPr>
          <w:spacing w:val="-15"/>
        </w:rPr>
        <w:t> </w:t>
      </w:r>
      <w:r>
        <w:rPr/>
        <w:t>gubernamental.</w:t>
      </w:r>
    </w:p>
    <w:p>
      <w:pPr>
        <w:pStyle w:val="BodyText"/>
      </w:pPr>
    </w:p>
    <w:p>
      <w:pPr>
        <w:pStyle w:val="BodyText"/>
      </w:pPr>
    </w:p>
    <w:p>
      <w:pPr>
        <w:pStyle w:val="Heading1"/>
        <w:tabs>
          <w:tab w:pos="674" w:val="left" w:leader="none"/>
        </w:tabs>
        <w:spacing w:line="360" w:lineRule="auto" w:before="185"/>
        <w:ind w:left="674" w:right="116" w:hanging="555"/>
        <w:jc w:val="left"/>
      </w:pPr>
      <w:bookmarkStart w:name="_bookmark20" w:id="36"/>
      <w:bookmarkEnd w:id="36"/>
      <w:r>
        <w:rPr>
          <w:b w:val="0"/>
        </w:rPr>
      </w:r>
      <w:r>
        <w:rPr/>
        <w:t>4.2</w:t>
        <w:tab/>
        <w:t>Retos  de  la  transparencia  y el  acceso a  la  información</w:t>
      </w:r>
      <w:r>
        <w:rPr>
          <w:spacing w:val="-15"/>
        </w:rPr>
        <w:t> </w:t>
      </w:r>
      <w:r>
        <w:rPr/>
        <w:t>para lograr</w:t>
      </w:r>
      <w:r>
        <w:rPr>
          <w:spacing w:val="42"/>
        </w:rPr>
        <w:t> </w:t>
      </w:r>
      <w:r>
        <w:rPr/>
        <w:t>un</w:t>
      </w:r>
      <w:r>
        <w:rPr>
          <w:w w:val="100"/>
        </w:rPr>
        <w:t> </w:t>
      </w:r>
      <w:r>
        <w:rPr/>
        <w:t>gobierno abierto</w:t>
      </w:r>
    </w:p>
    <w:p>
      <w:pPr>
        <w:pStyle w:val="BodyText"/>
        <w:rPr>
          <w:b/>
        </w:rPr>
      </w:pPr>
    </w:p>
    <w:p>
      <w:pPr>
        <w:pStyle w:val="BodyText"/>
        <w:spacing w:before="1"/>
        <w:rPr>
          <w:b/>
          <w:sz w:val="26"/>
        </w:rPr>
      </w:pPr>
    </w:p>
    <w:p>
      <w:pPr>
        <w:pStyle w:val="BodyText"/>
        <w:spacing w:line="360" w:lineRule="auto"/>
        <w:ind w:left="108" w:right="116"/>
        <w:jc w:val="both"/>
      </w:pPr>
      <w:r>
        <w:rPr/>
        <w:t>En México, la transparencia y el acceso a la información presentan una serie de limitantes que dificultan el desarrollo del GA, debido a que son la base del mismo. Siendo estas las siguientes:</w:t>
      </w:r>
    </w:p>
    <w:p>
      <w:pPr>
        <w:pStyle w:val="BodyText"/>
      </w:pPr>
    </w:p>
    <w:p>
      <w:pPr>
        <w:pStyle w:val="BodyText"/>
      </w:pPr>
    </w:p>
    <w:p>
      <w:pPr>
        <w:pStyle w:val="ListParagraph"/>
        <w:numPr>
          <w:ilvl w:val="0"/>
          <w:numId w:val="63"/>
        </w:numPr>
        <w:tabs>
          <w:tab w:pos="536" w:val="left" w:leader="none"/>
        </w:tabs>
        <w:spacing w:line="360" w:lineRule="auto" w:before="187" w:after="0"/>
        <w:ind w:left="535" w:right="116" w:hanging="360"/>
        <w:jc w:val="both"/>
        <w:rPr>
          <w:sz w:val="24"/>
        </w:rPr>
      </w:pPr>
      <w:r>
        <w:rPr>
          <w:sz w:val="24"/>
        </w:rPr>
        <w:t>Dado que las prácticas de la transparencia no forman parte del diseño institucional del gobierno y aún predomina el discurso sobre éstas, es</w:t>
      </w:r>
      <w:r>
        <w:rPr>
          <w:spacing w:val="-27"/>
          <w:sz w:val="24"/>
        </w:rPr>
        <w:t> </w:t>
      </w:r>
      <w:r>
        <w:rPr>
          <w:sz w:val="24"/>
        </w:rPr>
        <w:t>necesario que los gobernantes asuman un compromiso mayor sobre el GA y brinden las condiciones necesarias para que éste pueda lograrse como una práctica cotidiana dentro de la administración pública</w:t>
      </w:r>
      <w:r>
        <w:rPr>
          <w:spacing w:val="-20"/>
          <w:sz w:val="24"/>
        </w:rPr>
        <w:t> </w:t>
      </w:r>
      <w:r>
        <w:rPr>
          <w:sz w:val="24"/>
        </w:rPr>
        <w:t>municipal.</w:t>
      </w:r>
    </w:p>
    <w:p>
      <w:pPr>
        <w:pStyle w:val="BodyText"/>
      </w:pPr>
    </w:p>
    <w:p>
      <w:pPr>
        <w:pStyle w:val="ListParagraph"/>
        <w:numPr>
          <w:ilvl w:val="0"/>
          <w:numId w:val="63"/>
        </w:numPr>
        <w:tabs>
          <w:tab w:pos="536" w:val="left" w:leader="none"/>
        </w:tabs>
        <w:spacing w:line="360" w:lineRule="auto" w:before="142" w:after="0"/>
        <w:ind w:left="535" w:right="116" w:hanging="360"/>
        <w:jc w:val="both"/>
        <w:rPr>
          <w:sz w:val="24"/>
        </w:rPr>
      </w:pPr>
      <w:r>
        <w:rPr>
          <w:sz w:val="24"/>
        </w:rPr>
        <w:t>Es necesario considerar que en el ámbito de la administración pública la dimensión política es un factor determinante para lograr el éxito de las prácticas administrativas que se desarrollan dentro de la misma. Por lo que esta</w:t>
      </w:r>
      <w:r>
        <w:rPr>
          <w:spacing w:val="63"/>
          <w:sz w:val="24"/>
        </w:rPr>
        <w:t> </w:t>
      </w:r>
      <w:r>
        <w:rPr>
          <w:sz w:val="24"/>
        </w:rPr>
        <w:t>variable</w:t>
      </w:r>
    </w:p>
    <w:p>
      <w:pPr>
        <w:spacing w:after="0" w:line="360" w:lineRule="auto"/>
        <w:jc w:val="both"/>
        <w:rPr>
          <w:sz w:val="24"/>
        </w:rPr>
        <w:sectPr>
          <w:pgSz w:w="12240" w:h="15840"/>
          <w:pgMar w:header="0" w:footer="1035" w:top="1360" w:bottom="1220" w:left="1500" w:right="1580"/>
        </w:sectPr>
      </w:pPr>
    </w:p>
    <w:p>
      <w:pPr>
        <w:pStyle w:val="BodyText"/>
        <w:spacing w:line="362" w:lineRule="auto" w:before="54"/>
        <w:ind w:left="475"/>
      </w:pPr>
      <w:r>
        <w:rPr/>
        <w:t>debe ser considerada cuando diseñan las leyes y procedimientos que regulan la operatividad de la misma.</w:t>
      </w:r>
    </w:p>
    <w:p>
      <w:pPr>
        <w:pStyle w:val="BodyText"/>
      </w:pPr>
    </w:p>
    <w:p>
      <w:pPr>
        <w:pStyle w:val="ListParagraph"/>
        <w:numPr>
          <w:ilvl w:val="0"/>
          <w:numId w:val="63"/>
        </w:numPr>
        <w:tabs>
          <w:tab w:pos="476" w:val="left" w:leader="none"/>
        </w:tabs>
        <w:spacing w:line="360" w:lineRule="auto" w:before="139" w:after="0"/>
        <w:ind w:left="475" w:right="117" w:hanging="360"/>
        <w:jc w:val="both"/>
        <w:rPr>
          <w:sz w:val="24"/>
        </w:rPr>
      </w:pPr>
      <w:r>
        <w:rPr>
          <w:sz w:val="24"/>
        </w:rPr>
        <w:t>Para que la transparencia funcione, se deben mejorar los procesos de participación</w:t>
      </w:r>
      <w:r>
        <w:rPr>
          <w:spacing w:val="-4"/>
          <w:sz w:val="24"/>
        </w:rPr>
        <w:t> </w:t>
      </w:r>
      <w:r>
        <w:rPr>
          <w:sz w:val="24"/>
        </w:rPr>
        <w:t>ciudadana</w:t>
      </w:r>
      <w:r>
        <w:rPr>
          <w:spacing w:val="-4"/>
          <w:sz w:val="24"/>
        </w:rPr>
        <w:t> </w:t>
      </w:r>
      <w:r>
        <w:rPr>
          <w:sz w:val="24"/>
        </w:rPr>
        <w:t>dentro</w:t>
      </w:r>
      <w:r>
        <w:rPr>
          <w:spacing w:val="-6"/>
          <w:sz w:val="24"/>
        </w:rPr>
        <w:t> </w:t>
      </w:r>
      <w:r>
        <w:rPr>
          <w:sz w:val="24"/>
        </w:rPr>
        <w:t>de</w:t>
      </w:r>
      <w:r>
        <w:rPr>
          <w:spacing w:val="-4"/>
          <w:sz w:val="24"/>
        </w:rPr>
        <w:t> </w:t>
      </w:r>
      <w:r>
        <w:rPr>
          <w:sz w:val="24"/>
        </w:rPr>
        <w:t>la</w:t>
      </w:r>
      <w:r>
        <w:rPr>
          <w:spacing w:val="-4"/>
          <w:sz w:val="24"/>
        </w:rPr>
        <w:t> </w:t>
      </w:r>
      <w:r>
        <w:rPr>
          <w:sz w:val="24"/>
        </w:rPr>
        <w:t>toma</w:t>
      </w:r>
      <w:r>
        <w:rPr>
          <w:spacing w:val="-6"/>
          <w:sz w:val="24"/>
        </w:rPr>
        <w:t> </w:t>
      </w:r>
      <w:r>
        <w:rPr>
          <w:sz w:val="24"/>
        </w:rPr>
        <w:t>de</w:t>
      </w:r>
      <w:r>
        <w:rPr>
          <w:spacing w:val="-8"/>
          <w:sz w:val="24"/>
        </w:rPr>
        <w:t> </w:t>
      </w:r>
      <w:r>
        <w:rPr>
          <w:sz w:val="24"/>
        </w:rPr>
        <w:t>decisiones</w:t>
      </w:r>
      <w:r>
        <w:rPr>
          <w:spacing w:val="-7"/>
          <w:sz w:val="24"/>
        </w:rPr>
        <w:t> </w:t>
      </w:r>
      <w:r>
        <w:rPr>
          <w:sz w:val="24"/>
        </w:rPr>
        <w:t>en</w:t>
      </w:r>
      <w:r>
        <w:rPr>
          <w:spacing w:val="-6"/>
          <w:sz w:val="24"/>
        </w:rPr>
        <w:t> </w:t>
      </w:r>
      <w:r>
        <w:rPr>
          <w:sz w:val="24"/>
        </w:rPr>
        <w:t>torno</w:t>
      </w:r>
      <w:r>
        <w:rPr>
          <w:spacing w:val="-6"/>
          <w:sz w:val="24"/>
        </w:rPr>
        <w:t> </w:t>
      </w:r>
      <w:r>
        <w:rPr>
          <w:sz w:val="24"/>
        </w:rPr>
        <w:t>a</w:t>
      </w:r>
      <w:r>
        <w:rPr>
          <w:spacing w:val="-6"/>
          <w:sz w:val="24"/>
        </w:rPr>
        <w:t> </w:t>
      </w:r>
      <w:r>
        <w:rPr>
          <w:sz w:val="24"/>
        </w:rPr>
        <w:t>la</w:t>
      </w:r>
      <w:r>
        <w:rPr>
          <w:spacing w:val="-6"/>
          <w:sz w:val="24"/>
        </w:rPr>
        <w:t> </w:t>
      </w:r>
      <w:r>
        <w:rPr>
          <w:sz w:val="24"/>
        </w:rPr>
        <w:t>misma</w:t>
      </w:r>
      <w:r>
        <w:rPr>
          <w:spacing w:val="-4"/>
          <w:sz w:val="24"/>
        </w:rPr>
        <w:t> </w:t>
      </w:r>
      <w:r>
        <w:rPr>
          <w:sz w:val="24"/>
        </w:rPr>
        <w:t>y</w:t>
      </w:r>
      <w:r>
        <w:rPr>
          <w:spacing w:val="-9"/>
          <w:sz w:val="24"/>
        </w:rPr>
        <w:t> </w:t>
      </w:r>
      <w:r>
        <w:rPr>
          <w:sz w:val="24"/>
        </w:rPr>
        <w:t>a los asuntos gubernamentales, ya que los que actualmente existen son muy limitados e</w:t>
      </w:r>
      <w:r>
        <w:rPr>
          <w:spacing w:val="-11"/>
          <w:sz w:val="24"/>
        </w:rPr>
        <w:t> </w:t>
      </w:r>
      <w:r>
        <w:rPr>
          <w:sz w:val="24"/>
        </w:rPr>
        <w:t>insuficientes.</w:t>
      </w:r>
    </w:p>
    <w:p>
      <w:pPr>
        <w:pStyle w:val="BodyText"/>
        <w:spacing w:before="3"/>
        <w:rPr>
          <w:sz w:val="26"/>
        </w:rPr>
      </w:pPr>
    </w:p>
    <w:p>
      <w:pPr>
        <w:pStyle w:val="ListParagraph"/>
        <w:numPr>
          <w:ilvl w:val="0"/>
          <w:numId w:val="63"/>
        </w:numPr>
        <w:tabs>
          <w:tab w:pos="476" w:val="left" w:leader="none"/>
        </w:tabs>
        <w:spacing w:line="360" w:lineRule="auto" w:before="0" w:after="0"/>
        <w:ind w:left="475" w:right="122" w:hanging="360"/>
        <w:jc w:val="both"/>
        <w:rPr>
          <w:sz w:val="24"/>
        </w:rPr>
      </w:pPr>
      <w:r>
        <w:rPr>
          <w:sz w:val="24"/>
        </w:rPr>
        <w:t>Como</w:t>
      </w:r>
      <w:r>
        <w:rPr>
          <w:spacing w:val="-18"/>
          <w:sz w:val="24"/>
        </w:rPr>
        <w:t> </w:t>
      </w:r>
      <w:r>
        <w:rPr>
          <w:sz w:val="24"/>
        </w:rPr>
        <w:t>la</w:t>
      </w:r>
      <w:r>
        <w:rPr>
          <w:spacing w:val="-16"/>
          <w:sz w:val="24"/>
        </w:rPr>
        <w:t> </w:t>
      </w:r>
      <w:r>
        <w:rPr>
          <w:sz w:val="24"/>
        </w:rPr>
        <w:t>información</w:t>
      </w:r>
      <w:r>
        <w:rPr>
          <w:spacing w:val="-17"/>
          <w:sz w:val="24"/>
        </w:rPr>
        <w:t> </w:t>
      </w:r>
      <w:r>
        <w:rPr>
          <w:sz w:val="24"/>
        </w:rPr>
        <w:t>es</w:t>
      </w:r>
      <w:r>
        <w:rPr>
          <w:spacing w:val="-16"/>
          <w:sz w:val="24"/>
        </w:rPr>
        <w:t> </w:t>
      </w:r>
      <w:r>
        <w:rPr>
          <w:sz w:val="24"/>
        </w:rPr>
        <w:t>la</w:t>
      </w:r>
      <w:r>
        <w:rPr>
          <w:spacing w:val="-16"/>
          <w:sz w:val="24"/>
        </w:rPr>
        <w:t> </w:t>
      </w:r>
      <w:r>
        <w:rPr>
          <w:sz w:val="24"/>
        </w:rPr>
        <w:t>base</w:t>
      </w:r>
      <w:r>
        <w:rPr>
          <w:spacing w:val="-18"/>
          <w:sz w:val="24"/>
        </w:rPr>
        <w:t> </w:t>
      </w:r>
      <w:r>
        <w:rPr>
          <w:sz w:val="24"/>
        </w:rPr>
        <w:t>de</w:t>
      </w:r>
      <w:r>
        <w:rPr>
          <w:spacing w:val="-18"/>
          <w:sz w:val="24"/>
        </w:rPr>
        <w:t> </w:t>
      </w:r>
      <w:r>
        <w:rPr>
          <w:sz w:val="24"/>
        </w:rPr>
        <w:t>la</w:t>
      </w:r>
      <w:r>
        <w:rPr>
          <w:spacing w:val="-16"/>
          <w:sz w:val="24"/>
        </w:rPr>
        <w:t> </w:t>
      </w:r>
      <w:r>
        <w:rPr>
          <w:sz w:val="24"/>
        </w:rPr>
        <w:t>transparencia,</w:t>
      </w:r>
      <w:r>
        <w:rPr>
          <w:spacing w:val="-18"/>
          <w:sz w:val="24"/>
        </w:rPr>
        <w:t> </w:t>
      </w:r>
      <w:r>
        <w:rPr>
          <w:sz w:val="24"/>
        </w:rPr>
        <w:t>se</w:t>
      </w:r>
      <w:r>
        <w:rPr>
          <w:spacing w:val="-18"/>
          <w:sz w:val="24"/>
        </w:rPr>
        <w:t> </w:t>
      </w:r>
      <w:r>
        <w:rPr>
          <w:sz w:val="24"/>
        </w:rPr>
        <w:t>debe</w:t>
      </w:r>
      <w:r>
        <w:rPr>
          <w:spacing w:val="-18"/>
          <w:sz w:val="24"/>
        </w:rPr>
        <w:t> </w:t>
      </w:r>
      <w:r>
        <w:rPr>
          <w:sz w:val="24"/>
        </w:rPr>
        <w:t>emitir</w:t>
      </w:r>
      <w:r>
        <w:rPr>
          <w:spacing w:val="-20"/>
          <w:sz w:val="24"/>
        </w:rPr>
        <w:t> </w:t>
      </w:r>
      <w:r>
        <w:rPr>
          <w:sz w:val="24"/>
        </w:rPr>
        <w:t>una</w:t>
      </w:r>
      <w:r>
        <w:rPr>
          <w:spacing w:val="-18"/>
          <w:sz w:val="24"/>
        </w:rPr>
        <w:t> </w:t>
      </w:r>
      <w:r>
        <w:rPr>
          <w:sz w:val="24"/>
        </w:rPr>
        <w:t>normativa en torno al control de archivos dentro de los gobiernos municipales. Así como</w:t>
      </w:r>
      <w:r>
        <w:rPr>
          <w:spacing w:val="-36"/>
          <w:sz w:val="24"/>
        </w:rPr>
        <w:t> </w:t>
      </w:r>
      <w:r>
        <w:rPr>
          <w:sz w:val="24"/>
        </w:rPr>
        <w:t>la asignación de recursos para que se pueda procesar la información de manera clara, oportuno y en lenguaje sencillo que la sociedad</w:t>
      </w:r>
      <w:r>
        <w:rPr>
          <w:spacing w:val="-18"/>
          <w:sz w:val="24"/>
        </w:rPr>
        <w:t> </w:t>
      </w:r>
      <w:r>
        <w:rPr>
          <w:sz w:val="24"/>
        </w:rPr>
        <w:t>entienda.</w:t>
      </w:r>
    </w:p>
    <w:p>
      <w:pPr>
        <w:pStyle w:val="BodyText"/>
        <w:spacing w:before="3"/>
        <w:rPr>
          <w:sz w:val="26"/>
        </w:rPr>
      </w:pPr>
    </w:p>
    <w:p>
      <w:pPr>
        <w:pStyle w:val="ListParagraph"/>
        <w:numPr>
          <w:ilvl w:val="0"/>
          <w:numId w:val="63"/>
        </w:numPr>
        <w:tabs>
          <w:tab w:pos="476" w:val="left" w:leader="none"/>
        </w:tabs>
        <w:spacing w:line="360" w:lineRule="auto" w:before="0" w:after="0"/>
        <w:ind w:left="475" w:right="120" w:hanging="360"/>
        <w:jc w:val="both"/>
        <w:rPr>
          <w:sz w:val="24"/>
        </w:rPr>
      </w:pPr>
      <w:r>
        <w:rPr>
          <w:sz w:val="24"/>
        </w:rPr>
        <w:t>Para acabar con la impunidad se deben aplicar las sanciones correspondientes a quienes incumplen la ley. Asimismo, se debe fomentar una cultura de ética en relación a la prestación de los servicios</w:t>
      </w:r>
      <w:r>
        <w:rPr>
          <w:spacing w:val="-12"/>
          <w:sz w:val="24"/>
        </w:rPr>
        <w:t> </w:t>
      </w:r>
      <w:r>
        <w:rPr>
          <w:sz w:val="24"/>
        </w:rPr>
        <w:t>públicos.</w:t>
      </w:r>
    </w:p>
    <w:p>
      <w:pPr>
        <w:pStyle w:val="BodyText"/>
      </w:pPr>
    </w:p>
    <w:p>
      <w:pPr>
        <w:pStyle w:val="ListParagraph"/>
        <w:numPr>
          <w:ilvl w:val="0"/>
          <w:numId w:val="63"/>
        </w:numPr>
        <w:tabs>
          <w:tab w:pos="476" w:val="left" w:leader="none"/>
        </w:tabs>
        <w:spacing w:line="360" w:lineRule="auto" w:before="142" w:after="0"/>
        <w:ind w:left="475" w:right="124" w:hanging="360"/>
        <w:jc w:val="both"/>
        <w:rPr>
          <w:sz w:val="24"/>
        </w:rPr>
      </w:pPr>
      <w:r>
        <w:rPr>
          <w:sz w:val="24"/>
        </w:rPr>
        <w:t>Debido a que existen diferencias entre las formas de presentar la información, se</w:t>
      </w:r>
      <w:r>
        <w:rPr>
          <w:spacing w:val="-8"/>
          <w:sz w:val="24"/>
        </w:rPr>
        <w:t> </w:t>
      </w:r>
      <w:r>
        <w:rPr>
          <w:sz w:val="24"/>
        </w:rPr>
        <w:t>debe</w:t>
      </w:r>
      <w:r>
        <w:rPr>
          <w:spacing w:val="-8"/>
          <w:sz w:val="24"/>
        </w:rPr>
        <w:t> </w:t>
      </w:r>
      <w:r>
        <w:rPr>
          <w:sz w:val="24"/>
        </w:rPr>
        <w:t>hacer</w:t>
      </w:r>
      <w:r>
        <w:rPr>
          <w:spacing w:val="-10"/>
          <w:sz w:val="24"/>
        </w:rPr>
        <w:t> </w:t>
      </w:r>
      <w:r>
        <w:rPr>
          <w:sz w:val="24"/>
        </w:rPr>
        <w:t>un</w:t>
      </w:r>
      <w:r>
        <w:rPr>
          <w:spacing w:val="-8"/>
          <w:sz w:val="24"/>
        </w:rPr>
        <w:t> </w:t>
      </w:r>
      <w:r>
        <w:rPr>
          <w:sz w:val="24"/>
        </w:rPr>
        <w:t>ejercicio</w:t>
      </w:r>
      <w:r>
        <w:rPr>
          <w:spacing w:val="-8"/>
          <w:sz w:val="24"/>
        </w:rPr>
        <w:t> </w:t>
      </w:r>
      <w:r>
        <w:rPr>
          <w:sz w:val="24"/>
        </w:rPr>
        <w:t>de</w:t>
      </w:r>
      <w:r>
        <w:rPr>
          <w:spacing w:val="-8"/>
          <w:sz w:val="24"/>
        </w:rPr>
        <w:t> </w:t>
      </w:r>
      <w:r>
        <w:rPr>
          <w:sz w:val="24"/>
        </w:rPr>
        <w:t>homologación</w:t>
      </w:r>
      <w:r>
        <w:rPr>
          <w:spacing w:val="-8"/>
          <w:sz w:val="24"/>
        </w:rPr>
        <w:t> </w:t>
      </w:r>
      <w:r>
        <w:rPr>
          <w:sz w:val="24"/>
        </w:rPr>
        <w:t>de</w:t>
      </w:r>
      <w:r>
        <w:rPr>
          <w:spacing w:val="-8"/>
          <w:sz w:val="24"/>
        </w:rPr>
        <w:t> </w:t>
      </w:r>
      <w:r>
        <w:rPr>
          <w:sz w:val="24"/>
        </w:rPr>
        <w:t>la</w:t>
      </w:r>
      <w:r>
        <w:rPr>
          <w:spacing w:val="-9"/>
          <w:sz w:val="24"/>
        </w:rPr>
        <w:t> </w:t>
      </w:r>
      <w:r>
        <w:rPr>
          <w:sz w:val="24"/>
        </w:rPr>
        <w:t>misma</w:t>
      </w:r>
      <w:r>
        <w:rPr>
          <w:spacing w:val="-8"/>
          <w:sz w:val="24"/>
        </w:rPr>
        <w:t> </w:t>
      </w:r>
      <w:r>
        <w:rPr>
          <w:sz w:val="24"/>
        </w:rPr>
        <w:t>desde</w:t>
      </w:r>
      <w:r>
        <w:rPr>
          <w:spacing w:val="-8"/>
          <w:sz w:val="24"/>
        </w:rPr>
        <w:t> </w:t>
      </w:r>
      <w:r>
        <w:rPr>
          <w:sz w:val="24"/>
        </w:rPr>
        <w:t>una</w:t>
      </w:r>
      <w:r>
        <w:rPr>
          <w:spacing w:val="-11"/>
          <w:sz w:val="24"/>
        </w:rPr>
        <w:t> </w:t>
      </w:r>
      <w:r>
        <w:rPr>
          <w:sz w:val="24"/>
        </w:rPr>
        <w:t>reforma</w:t>
      </w:r>
      <w:r>
        <w:rPr>
          <w:spacing w:val="-11"/>
          <w:sz w:val="24"/>
        </w:rPr>
        <w:t> </w:t>
      </w:r>
      <w:r>
        <w:rPr>
          <w:sz w:val="24"/>
        </w:rPr>
        <w:t>a</w:t>
      </w:r>
      <w:r>
        <w:rPr>
          <w:spacing w:val="-8"/>
          <w:sz w:val="24"/>
        </w:rPr>
        <w:t> </w:t>
      </w:r>
      <w:r>
        <w:rPr>
          <w:sz w:val="24"/>
        </w:rPr>
        <w:t>la ley. De modo tal que, sin importar el estado o municipio que se revise, se encuentre el mismo tipo de información sobre los asuntos</w:t>
      </w:r>
      <w:r>
        <w:rPr>
          <w:spacing w:val="-26"/>
          <w:sz w:val="24"/>
        </w:rPr>
        <w:t> </w:t>
      </w:r>
      <w:r>
        <w:rPr>
          <w:sz w:val="24"/>
        </w:rPr>
        <w:t>públicos.</w:t>
      </w:r>
    </w:p>
    <w:p>
      <w:pPr>
        <w:pStyle w:val="BodyText"/>
        <w:spacing w:before="3"/>
        <w:rPr>
          <w:sz w:val="26"/>
        </w:rPr>
      </w:pPr>
    </w:p>
    <w:p>
      <w:pPr>
        <w:pStyle w:val="ListParagraph"/>
        <w:numPr>
          <w:ilvl w:val="0"/>
          <w:numId w:val="63"/>
        </w:numPr>
        <w:tabs>
          <w:tab w:pos="476" w:val="left" w:leader="none"/>
        </w:tabs>
        <w:spacing w:line="360" w:lineRule="auto" w:before="0" w:after="0"/>
        <w:ind w:left="475" w:right="118" w:hanging="360"/>
        <w:jc w:val="both"/>
        <w:rPr>
          <w:sz w:val="24"/>
        </w:rPr>
      </w:pPr>
      <w:r>
        <w:rPr>
          <w:sz w:val="24"/>
        </w:rPr>
        <w:t>Las obligaciones de transparencia deben de cumplirse independientemente de otros factores internos o externos a cada dependencia gubernamental. Esta sería la función básica de la</w:t>
      </w:r>
      <w:r>
        <w:rPr>
          <w:spacing w:val="-11"/>
          <w:sz w:val="24"/>
        </w:rPr>
        <w:t> </w:t>
      </w:r>
      <w:r>
        <w:rPr>
          <w:sz w:val="24"/>
        </w:rPr>
        <w:t>institucionalización.</w:t>
      </w:r>
    </w:p>
    <w:p>
      <w:pPr>
        <w:spacing w:after="0" w:line="360" w:lineRule="auto"/>
        <w:jc w:val="both"/>
        <w:rPr>
          <w:sz w:val="24"/>
        </w:rPr>
        <w:sectPr>
          <w:pgSz w:w="12240" w:h="15840"/>
          <w:pgMar w:header="0" w:footer="1035" w:top="1360" w:bottom="1220" w:left="1560" w:right="1580"/>
        </w:sectPr>
      </w:pPr>
    </w:p>
    <w:p>
      <w:pPr>
        <w:pStyle w:val="Heading1"/>
        <w:spacing w:before="54"/>
        <w:ind w:left="3880" w:right="3245" w:firstLine="0"/>
        <w:jc w:val="center"/>
      </w:pPr>
      <w:bookmarkStart w:name="_bookmark21" w:id="37"/>
      <w:bookmarkEnd w:id="37"/>
      <w:r>
        <w:rPr>
          <w:b w:val="0"/>
        </w:rPr>
      </w:r>
      <w:r>
        <w:rPr/>
        <w:t>CONCLUSIONES</w:t>
      </w:r>
    </w:p>
    <w:p>
      <w:pPr>
        <w:pStyle w:val="BodyText"/>
        <w:rPr>
          <w:b/>
        </w:rPr>
      </w:pPr>
    </w:p>
    <w:p>
      <w:pPr>
        <w:pStyle w:val="BodyText"/>
        <w:rPr>
          <w:b/>
        </w:rPr>
      </w:pPr>
    </w:p>
    <w:p>
      <w:pPr>
        <w:pStyle w:val="ListParagraph"/>
        <w:numPr>
          <w:ilvl w:val="0"/>
          <w:numId w:val="64"/>
        </w:numPr>
        <w:tabs>
          <w:tab w:pos="476" w:val="left" w:leader="none"/>
        </w:tabs>
        <w:spacing w:line="360" w:lineRule="auto" w:before="161" w:after="0"/>
        <w:ind w:left="475" w:right="116" w:hanging="360"/>
        <w:jc w:val="both"/>
        <w:rPr>
          <w:sz w:val="24"/>
        </w:rPr>
      </w:pPr>
      <w:r>
        <w:rPr>
          <w:sz w:val="24"/>
        </w:rPr>
        <w:t>Las teorías del Estado se han visto rebasadas por nuevos tipos de estado que no han sido estudiados. Uno de éstos puede llamarse supranacional. Cuyos alcances van más allá de los límites del territorio de una nación. Por ejemplo: la Unión Europea se da la suma de países para homologar ciertas formas de gobierno en países que tienen cierta diversidad cultural, política y para tratar de empatarlas</w:t>
      </w:r>
      <w:r>
        <w:rPr>
          <w:spacing w:val="-10"/>
          <w:sz w:val="24"/>
        </w:rPr>
        <w:t> </w:t>
      </w:r>
      <w:r>
        <w:rPr>
          <w:sz w:val="24"/>
        </w:rPr>
        <w:t>en</w:t>
      </w:r>
      <w:r>
        <w:rPr>
          <w:spacing w:val="-9"/>
          <w:sz w:val="24"/>
        </w:rPr>
        <w:t> </w:t>
      </w:r>
      <w:r>
        <w:rPr>
          <w:sz w:val="24"/>
        </w:rPr>
        <w:t>una</w:t>
      </w:r>
      <w:r>
        <w:rPr>
          <w:spacing w:val="-7"/>
          <w:sz w:val="24"/>
        </w:rPr>
        <w:t> </w:t>
      </w:r>
      <w:r>
        <w:rPr>
          <w:sz w:val="24"/>
        </w:rPr>
        <w:t>sola.</w:t>
      </w:r>
      <w:r>
        <w:rPr>
          <w:spacing w:val="-7"/>
          <w:sz w:val="24"/>
        </w:rPr>
        <w:t> </w:t>
      </w:r>
      <w:r>
        <w:rPr>
          <w:sz w:val="24"/>
        </w:rPr>
        <w:t>De</w:t>
      </w:r>
      <w:r>
        <w:rPr>
          <w:spacing w:val="-7"/>
          <w:sz w:val="24"/>
        </w:rPr>
        <w:t> </w:t>
      </w:r>
      <w:r>
        <w:rPr>
          <w:sz w:val="24"/>
        </w:rPr>
        <w:t>igual</w:t>
      </w:r>
      <w:r>
        <w:rPr>
          <w:spacing w:val="-11"/>
          <w:sz w:val="24"/>
        </w:rPr>
        <w:t> </w:t>
      </w:r>
      <w:r>
        <w:rPr>
          <w:sz w:val="24"/>
        </w:rPr>
        <w:t>manera,</w:t>
      </w:r>
      <w:r>
        <w:rPr>
          <w:spacing w:val="-7"/>
          <w:sz w:val="24"/>
        </w:rPr>
        <w:t> </w:t>
      </w:r>
      <w:r>
        <w:rPr>
          <w:sz w:val="24"/>
        </w:rPr>
        <w:t>se</w:t>
      </w:r>
      <w:r>
        <w:rPr>
          <w:spacing w:val="-9"/>
          <w:sz w:val="24"/>
        </w:rPr>
        <w:t> </w:t>
      </w:r>
      <w:r>
        <w:rPr>
          <w:sz w:val="24"/>
        </w:rPr>
        <w:t>debe</w:t>
      </w:r>
      <w:r>
        <w:rPr>
          <w:spacing w:val="-7"/>
          <w:sz w:val="24"/>
        </w:rPr>
        <w:t> </w:t>
      </w:r>
      <w:r>
        <w:rPr>
          <w:sz w:val="24"/>
        </w:rPr>
        <w:t>reconsiderar</w:t>
      </w:r>
      <w:r>
        <w:rPr>
          <w:spacing w:val="-8"/>
          <w:sz w:val="24"/>
        </w:rPr>
        <w:t> </w:t>
      </w:r>
      <w:r>
        <w:rPr>
          <w:sz w:val="24"/>
        </w:rPr>
        <w:t>la</w:t>
      </w:r>
      <w:r>
        <w:rPr>
          <w:spacing w:val="-7"/>
          <w:sz w:val="24"/>
        </w:rPr>
        <w:t> </w:t>
      </w:r>
      <w:r>
        <w:rPr>
          <w:sz w:val="24"/>
        </w:rPr>
        <w:t>autonomía</w:t>
      </w:r>
      <w:r>
        <w:rPr>
          <w:spacing w:val="-12"/>
          <w:sz w:val="24"/>
        </w:rPr>
        <w:t> </w:t>
      </w:r>
      <w:r>
        <w:rPr>
          <w:sz w:val="24"/>
        </w:rPr>
        <w:t>de los estados, ya que en ocasiones sus límites de gobierno son rebasados por </w:t>
      </w:r>
      <w:r>
        <w:rPr>
          <w:spacing w:val="-2"/>
          <w:sz w:val="24"/>
        </w:rPr>
        <w:t>los </w:t>
      </w:r>
      <w:r>
        <w:rPr>
          <w:sz w:val="24"/>
        </w:rPr>
        <w:t>organismos</w:t>
      </w:r>
      <w:r>
        <w:rPr>
          <w:spacing w:val="-16"/>
          <w:sz w:val="24"/>
        </w:rPr>
        <w:t> </w:t>
      </w:r>
      <w:r>
        <w:rPr>
          <w:sz w:val="24"/>
        </w:rPr>
        <w:t>internacionales</w:t>
      </w:r>
      <w:r>
        <w:rPr>
          <w:spacing w:val="-15"/>
          <w:sz w:val="24"/>
        </w:rPr>
        <w:t> </w:t>
      </w:r>
      <w:r>
        <w:rPr>
          <w:sz w:val="24"/>
        </w:rPr>
        <w:t>como</w:t>
      </w:r>
      <w:r>
        <w:rPr>
          <w:spacing w:val="-18"/>
          <w:sz w:val="24"/>
        </w:rPr>
        <w:t> </w:t>
      </w:r>
      <w:r>
        <w:rPr>
          <w:sz w:val="24"/>
        </w:rPr>
        <w:t>el</w:t>
      </w:r>
      <w:r>
        <w:rPr>
          <w:spacing w:val="-16"/>
          <w:sz w:val="24"/>
        </w:rPr>
        <w:t> </w:t>
      </w:r>
      <w:r>
        <w:rPr>
          <w:sz w:val="24"/>
        </w:rPr>
        <w:t>Fondo</w:t>
      </w:r>
      <w:r>
        <w:rPr>
          <w:spacing w:val="-17"/>
          <w:sz w:val="24"/>
        </w:rPr>
        <w:t> </w:t>
      </w:r>
      <w:r>
        <w:rPr>
          <w:sz w:val="24"/>
        </w:rPr>
        <w:t>Monetario</w:t>
      </w:r>
      <w:r>
        <w:rPr>
          <w:spacing w:val="-15"/>
          <w:sz w:val="24"/>
        </w:rPr>
        <w:t> </w:t>
      </w:r>
      <w:r>
        <w:rPr>
          <w:sz w:val="24"/>
        </w:rPr>
        <w:t>Internacional</w:t>
      </w:r>
      <w:r>
        <w:rPr>
          <w:spacing w:val="-16"/>
          <w:sz w:val="24"/>
        </w:rPr>
        <w:t> </w:t>
      </w:r>
      <w:r>
        <w:rPr>
          <w:sz w:val="24"/>
        </w:rPr>
        <w:t>(FMI),</w:t>
      </w:r>
      <w:r>
        <w:rPr>
          <w:spacing w:val="-16"/>
          <w:sz w:val="24"/>
        </w:rPr>
        <w:t> </w:t>
      </w:r>
      <w:r>
        <w:rPr>
          <w:sz w:val="24"/>
        </w:rPr>
        <w:t>Banco Mundial (BM), Organización para la Cooperación y Desarrollo Económico (OCDE), que imponen sus políticas económicas a los estados a cambio de préstamos. Claro ejemplo de esta situación son las políticas de transparencia fiscal que estos organismos han impuesto a México. Asimismo, la democracia estadounidense que intenta posicionarse a través de la fuerza en otros países por medio de invasiones y guerras invadiendo así los territorios ajenos como si fueran</w:t>
      </w:r>
      <w:r>
        <w:rPr>
          <w:spacing w:val="-10"/>
          <w:sz w:val="24"/>
        </w:rPr>
        <w:t> </w:t>
      </w:r>
      <w:r>
        <w:rPr>
          <w:sz w:val="24"/>
        </w:rPr>
        <w:t>los</w:t>
      </w:r>
      <w:r>
        <w:rPr>
          <w:spacing w:val="-11"/>
          <w:sz w:val="24"/>
        </w:rPr>
        <w:t> </w:t>
      </w:r>
      <w:r>
        <w:rPr>
          <w:sz w:val="24"/>
        </w:rPr>
        <w:t>propios.</w:t>
      </w:r>
      <w:r>
        <w:rPr>
          <w:spacing w:val="-10"/>
          <w:sz w:val="24"/>
        </w:rPr>
        <w:t> </w:t>
      </w:r>
      <w:r>
        <w:rPr>
          <w:sz w:val="24"/>
        </w:rPr>
        <w:t>Finalmente,</w:t>
      </w:r>
      <w:r>
        <w:rPr>
          <w:spacing w:val="-11"/>
          <w:sz w:val="24"/>
        </w:rPr>
        <w:t> </w:t>
      </w:r>
      <w:r>
        <w:rPr>
          <w:sz w:val="24"/>
        </w:rPr>
        <w:t>el</w:t>
      </w:r>
      <w:r>
        <w:rPr>
          <w:spacing w:val="-10"/>
          <w:sz w:val="24"/>
        </w:rPr>
        <w:t> </w:t>
      </w:r>
      <w:r>
        <w:rPr>
          <w:sz w:val="24"/>
        </w:rPr>
        <w:t>caso</w:t>
      </w:r>
      <w:r>
        <w:rPr>
          <w:spacing w:val="-11"/>
          <w:sz w:val="24"/>
        </w:rPr>
        <w:t> </w:t>
      </w:r>
      <w:r>
        <w:rPr>
          <w:sz w:val="24"/>
        </w:rPr>
        <w:t>del</w:t>
      </w:r>
      <w:r>
        <w:rPr>
          <w:spacing w:val="-12"/>
          <w:sz w:val="24"/>
        </w:rPr>
        <w:t> </w:t>
      </w:r>
      <w:r>
        <w:rPr>
          <w:sz w:val="24"/>
        </w:rPr>
        <w:t>Vaticano</w:t>
      </w:r>
      <w:r>
        <w:rPr>
          <w:spacing w:val="-9"/>
          <w:sz w:val="24"/>
        </w:rPr>
        <w:t> </w:t>
      </w:r>
      <w:r>
        <w:rPr>
          <w:sz w:val="24"/>
        </w:rPr>
        <w:t>que</w:t>
      </w:r>
      <w:r>
        <w:rPr>
          <w:spacing w:val="-11"/>
          <w:sz w:val="24"/>
        </w:rPr>
        <w:t> </w:t>
      </w:r>
      <w:r>
        <w:rPr>
          <w:sz w:val="24"/>
        </w:rPr>
        <w:t>tiene</w:t>
      </w:r>
      <w:r>
        <w:rPr>
          <w:spacing w:val="-9"/>
          <w:sz w:val="24"/>
        </w:rPr>
        <w:t> </w:t>
      </w:r>
      <w:r>
        <w:rPr>
          <w:sz w:val="24"/>
        </w:rPr>
        <w:t>también</w:t>
      </w:r>
      <w:r>
        <w:rPr>
          <w:spacing w:val="-9"/>
          <w:sz w:val="24"/>
        </w:rPr>
        <w:t> </w:t>
      </w:r>
      <w:r>
        <w:rPr>
          <w:sz w:val="24"/>
        </w:rPr>
        <w:t>un</w:t>
      </w:r>
      <w:r>
        <w:rPr>
          <w:spacing w:val="-9"/>
          <w:sz w:val="24"/>
        </w:rPr>
        <w:t> </w:t>
      </w:r>
      <w:r>
        <w:rPr>
          <w:sz w:val="24"/>
        </w:rPr>
        <w:t>tipo</w:t>
      </w:r>
      <w:r>
        <w:rPr>
          <w:spacing w:val="-11"/>
          <w:sz w:val="24"/>
        </w:rPr>
        <w:t> </w:t>
      </w:r>
      <w:r>
        <w:rPr>
          <w:sz w:val="24"/>
        </w:rPr>
        <w:t>de organización política, elecciones y sistema de gobierno y que no ha sido tan estudiado como tal pero tiene gran influencia en la sociedad a lo largo y ancho del</w:t>
      </w:r>
      <w:r>
        <w:rPr>
          <w:spacing w:val="-4"/>
          <w:sz w:val="24"/>
        </w:rPr>
        <w:t> </w:t>
      </w:r>
      <w:r>
        <w:rPr>
          <w:sz w:val="24"/>
        </w:rPr>
        <w:t>mundo.</w:t>
      </w:r>
    </w:p>
    <w:p>
      <w:pPr>
        <w:pStyle w:val="BodyText"/>
      </w:pPr>
    </w:p>
    <w:p>
      <w:pPr>
        <w:pStyle w:val="ListParagraph"/>
        <w:numPr>
          <w:ilvl w:val="0"/>
          <w:numId w:val="64"/>
        </w:numPr>
        <w:tabs>
          <w:tab w:pos="476" w:val="left" w:leader="none"/>
        </w:tabs>
        <w:spacing w:line="360" w:lineRule="auto" w:before="142" w:after="0"/>
        <w:ind w:left="475" w:right="118" w:hanging="360"/>
        <w:jc w:val="both"/>
        <w:rPr>
          <w:sz w:val="24"/>
        </w:rPr>
      </w:pPr>
      <w:r>
        <w:rPr>
          <w:sz w:val="24"/>
        </w:rPr>
        <w:t>Para que los elementos clave de la Teoría de la Administración puedan ser efectivos en la Administración Pública, deben considerar un elemento clave de esta última: la política. De modo tal que fusionar la administración y la política como una dualidad inseparable puede resultar una estrategia asertiva para los gobernantes.</w:t>
      </w:r>
    </w:p>
    <w:p>
      <w:pPr>
        <w:pStyle w:val="BodyText"/>
        <w:spacing w:before="3"/>
        <w:rPr>
          <w:sz w:val="26"/>
        </w:rPr>
      </w:pPr>
    </w:p>
    <w:p>
      <w:pPr>
        <w:pStyle w:val="ListParagraph"/>
        <w:numPr>
          <w:ilvl w:val="0"/>
          <w:numId w:val="64"/>
        </w:numPr>
        <w:tabs>
          <w:tab w:pos="476" w:val="left" w:leader="none"/>
        </w:tabs>
        <w:spacing w:line="360" w:lineRule="auto" w:before="0" w:after="0"/>
        <w:ind w:left="475" w:right="126" w:hanging="360"/>
        <w:jc w:val="both"/>
        <w:rPr>
          <w:sz w:val="24"/>
        </w:rPr>
      </w:pPr>
      <w:r>
        <w:rPr>
          <w:sz w:val="24"/>
        </w:rPr>
        <w:t>El gobierno sigue siendo el elemento más protagónico del Estado, toda vez que centraliza el poder, construye normas, procedimientos e instituciones que le permiten mantener el poder y minimizar el rol de la sociedad en la</w:t>
      </w:r>
      <w:r>
        <w:rPr>
          <w:spacing w:val="-22"/>
          <w:sz w:val="24"/>
        </w:rPr>
        <w:t> </w:t>
      </w:r>
      <w:r>
        <w:rPr>
          <w:sz w:val="24"/>
        </w:rPr>
        <w:t>política.</w:t>
      </w:r>
    </w:p>
    <w:p>
      <w:pPr>
        <w:spacing w:after="0" w:line="360" w:lineRule="auto"/>
        <w:jc w:val="both"/>
        <w:rPr>
          <w:sz w:val="24"/>
        </w:rPr>
        <w:sectPr>
          <w:pgSz w:w="12240" w:h="15840"/>
          <w:pgMar w:header="0" w:footer="1035" w:top="1360" w:bottom="1220" w:left="1560" w:right="1580"/>
        </w:sectPr>
      </w:pPr>
    </w:p>
    <w:p>
      <w:pPr>
        <w:pStyle w:val="ListParagraph"/>
        <w:numPr>
          <w:ilvl w:val="0"/>
          <w:numId w:val="64"/>
        </w:numPr>
        <w:tabs>
          <w:tab w:pos="476" w:val="left" w:leader="none"/>
        </w:tabs>
        <w:spacing w:line="360" w:lineRule="auto" w:before="54" w:after="0"/>
        <w:ind w:left="475" w:right="116" w:hanging="360"/>
        <w:jc w:val="both"/>
        <w:rPr>
          <w:sz w:val="24"/>
        </w:rPr>
      </w:pPr>
      <w:r>
        <w:rPr>
          <w:sz w:val="24"/>
        </w:rPr>
        <w:t>Desde</w:t>
      </w:r>
      <w:r>
        <w:rPr>
          <w:spacing w:val="-13"/>
          <w:sz w:val="24"/>
        </w:rPr>
        <w:t> </w:t>
      </w:r>
      <w:r>
        <w:rPr>
          <w:sz w:val="24"/>
        </w:rPr>
        <w:t>las</w:t>
      </w:r>
      <w:r>
        <w:rPr>
          <w:spacing w:val="-16"/>
          <w:sz w:val="24"/>
        </w:rPr>
        <w:t> </w:t>
      </w:r>
      <w:r>
        <w:rPr>
          <w:sz w:val="24"/>
        </w:rPr>
        <w:t>Teorías</w:t>
      </w:r>
      <w:r>
        <w:rPr>
          <w:spacing w:val="-14"/>
          <w:sz w:val="24"/>
        </w:rPr>
        <w:t> </w:t>
      </w:r>
      <w:r>
        <w:rPr>
          <w:sz w:val="24"/>
        </w:rPr>
        <w:t>de</w:t>
      </w:r>
      <w:r>
        <w:rPr>
          <w:spacing w:val="-14"/>
          <w:sz w:val="24"/>
        </w:rPr>
        <w:t> </w:t>
      </w:r>
      <w:r>
        <w:rPr>
          <w:sz w:val="24"/>
        </w:rPr>
        <w:t>Organización</w:t>
      </w:r>
      <w:r>
        <w:rPr>
          <w:spacing w:val="-13"/>
          <w:sz w:val="24"/>
        </w:rPr>
        <w:t> </w:t>
      </w:r>
      <w:r>
        <w:rPr>
          <w:sz w:val="24"/>
        </w:rPr>
        <w:t>la</w:t>
      </w:r>
      <w:r>
        <w:rPr>
          <w:spacing w:val="-13"/>
          <w:sz w:val="24"/>
        </w:rPr>
        <w:t> </w:t>
      </w:r>
      <w:r>
        <w:rPr>
          <w:sz w:val="24"/>
        </w:rPr>
        <w:t>transparencia</w:t>
      </w:r>
      <w:r>
        <w:rPr>
          <w:spacing w:val="-13"/>
          <w:sz w:val="24"/>
        </w:rPr>
        <w:t> </w:t>
      </w:r>
      <w:r>
        <w:rPr>
          <w:sz w:val="24"/>
        </w:rPr>
        <w:t>y</w:t>
      </w:r>
      <w:r>
        <w:rPr>
          <w:spacing w:val="-16"/>
          <w:sz w:val="24"/>
        </w:rPr>
        <w:t> </w:t>
      </w:r>
      <w:r>
        <w:rPr>
          <w:sz w:val="24"/>
        </w:rPr>
        <w:t>el</w:t>
      </w:r>
      <w:r>
        <w:rPr>
          <w:spacing w:val="-12"/>
          <w:sz w:val="24"/>
        </w:rPr>
        <w:t> </w:t>
      </w:r>
      <w:r>
        <w:rPr>
          <w:sz w:val="24"/>
        </w:rPr>
        <w:t>Gobierno</w:t>
      </w:r>
      <w:r>
        <w:rPr>
          <w:spacing w:val="-15"/>
          <w:sz w:val="24"/>
        </w:rPr>
        <w:t> </w:t>
      </w:r>
      <w:r>
        <w:rPr>
          <w:sz w:val="24"/>
        </w:rPr>
        <w:t>Abierto</w:t>
      </w:r>
      <w:r>
        <w:rPr>
          <w:spacing w:val="-14"/>
          <w:sz w:val="24"/>
        </w:rPr>
        <w:t> </w:t>
      </w:r>
      <w:r>
        <w:rPr>
          <w:sz w:val="24"/>
        </w:rPr>
        <w:t>no</w:t>
      </w:r>
      <w:r>
        <w:rPr>
          <w:spacing w:val="-13"/>
          <w:sz w:val="24"/>
        </w:rPr>
        <w:t> </w:t>
      </w:r>
      <w:r>
        <w:rPr>
          <w:sz w:val="24"/>
        </w:rPr>
        <w:t>son tan eficientes, ya que la falta de inclusión de estos en el diseño organizacional no han permitido que puedan permear como una práctica cotidiana dentro de la Administración Pública. Para mejorar su institucionalización se deben incluir normas y procedimientos claros que indiquen la obligación del servidor público de transparentar sus acciones. Asimismo, aplicar sanciones severas a quienes incumplan la</w:t>
      </w:r>
      <w:r>
        <w:rPr>
          <w:spacing w:val="-6"/>
          <w:sz w:val="24"/>
        </w:rPr>
        <w:t> </w:t>
      </w:r>
      <w:r>
        <w:rPr>
          <w:sz w:val="24"/>
        </w:rPr>
        <w:t>ley.</w:t>
      </w:r>
    </w:p>
    <w:p>
      <w:pPr>
        <w:pStyle w:val="BodyText"/>
        <w:spacing w:before="3"/>
        <w:rPr>
          <w:sz w:val="26"/>
        </w:rPr>
      </w:pPr>
    </w:p>
    <w:p>
      <w:pPr>
        <w:pStyle w:val="ListParagraph"/>
        <w:numPr>
          <w:ilvl w:val="0"/>
          <w:numId w:val="64"/>
        </w:numPr>
        <w:tabs>
          <w:tab w:pos="476" w:val="left" w:leader="none"/>
        </w:tabs>
        <w:spacing w:line="360" w:lineRule="auto" w:before="0" w:after="0"/>
        <w:ind w:left="475" w:right="117" w:hanging="360"/>
        <w:jc w:val="both"/>
        <w:rPr>
          <w:sz w:val="24"/>
        </w:rPr>
      </w:pPr>
      <w:r>
        <w:rPr>
          <w:sz w:val="24"/>
        </w:rPr>
        <w:t>La falta de conceptualización de la transparencia y del Gobierno Abierto es una limitante para su estudio, ya que los autores la referencian según su bagaje cultura</w:t>
      </w:r>
      <w:r>
        <w:rPr>
          <w:spacing w:val="-9"/>
          <w:sz w:val="24"/>
        </w:rPr>
        <w:t> </w:t>
      </w:r>
      <w:r>
        <w:rPr>
          <w:sz w:val="24"/>
        </w:rPr>
        <w:t>o</w:t>
      </w:r>
      <w:r>
        <w:rPr>
          <w:spacing w:val="-8"/>
          <w:sz w:val="24"/>
        </w:rPr>
        <w:t> </w:t>
      </w:r>
      <w:r>
        <w:rPr>
          <w:sz w:val="24"/>
        </w:rPr>
        <w:t>intereses</w:t>
      </w:r>
      <w:r>
        <w:rPr>
          <w:spacing w:val="-9"/>
          <w:sz w:val="24"/>
        </w:rPr>
        <w:t> </w:t>
      </w:r>
      <w:r>
        <w:rPr>
          <w:sz w:val="24"/>
        </w:rPr>
        <w:t>personales.</w:t>
      </w:r>
      <w:r>
        <w:rPr>
          <w:spacing w:val="-9"/>
          <w:sz w:val="24"/>
        </w:rPr>
        <w:t> </w:t>
      </w:r>
      <w:r>
        <w:rPr>
          <w:sz w:val="24"/>
        </w:rPr>
        <w:t>Para</w:t>
      </w:r>
      <w:r>
        <w:rPr>
          <w:spacing w:val="-9"/>
          <w:sz w:val="24"/>
        </w:rPr>
        <w:t> </w:t>
      </w:r>
      <w:r>
        <w:rPr>
          <w:sz w:val="24"/>
        </w:rPr>
        <w:t>evitar</w:t>
      </w:r>
      <w:r>
        <w:rPr>
          <w:spacing w:val="-10"/>
          <w:sz w:val="24"/>
        </w:rPr>
        <w:t> </w:t>
      </w:r>
      <w:r>
        <w:rPr>
          <w:sz w:val="24"/>
        </w:rPr>
        <w:t>estos</w:t>
      </w:r>
      <w:r>
        <w:rPr>
          <w:spacing w:val="-9"/>
          <w:sz w:val="24"/>
        </w:rPr>
        <w:t> </w:t>
      </w:r>
      <w:r>
        <w:rPr>
          <w:sz w:val="24"/>
        </w:rPr>
        <w:t>sesgos</w:t>
      </w:r>
      <w:r>
        <w:rPr>
          <w:spacing w:val="-9"/>
          <w:sz w:val="24"/>
        </w:rPr>
        <w:t> </w:t>
      </w:r>
      <w:r>
        <w:rPr>
          <w:sz w:val="24"/>
        </w:rPr>
        <w:t>se</w:t>
      </w:r>
      <w:r>
        <w:rPr>
          <w:spacing w:val="-8"/>
          <w:sz w:val="24"/>
        </w:rPr>
        <w:t> </w:t>
      </w:r>
      <w:r>
        <w:rPr>
          <w:sz w:val="24"/>
        </w:rPr>
        <w:t>debe</w:t>
      </w:r>
      <w:r>
        <w:rPr>
          <w:spacing w:val="-8"/>
          <w:sz w:val="24"/>
        </w:rPr>
        <w:t> </w:t>
      </w:r>
      <w:r>
        <w:rPr>
          <w:sz w:val="24"/>
        </w:rPr>
        <w:t>definir</w:t>
      </w:r>
      <w:r>
        <w:rPr>
          <w:spacing w:val="-10"/>
          <w:sz w:val="24"/>
        </w:rPr>
        <w:t> </w:t>
      </w:r>
      <w:r>
        <w:rPr>
          <w:sz w:val="24"/>
        </w:rPr>
        <w:t>desde</w:t>
      </w:r>
      <w:r>
        <w:rPr>
          <w:spacing w:val="-8"/>
          <w:sz w:val="24"/>
        </w:rPr>
        <w:t> </w:t>
      </w:r>
      <w:r>
        <w:rPr>
          <w:sz w:val="24"/>
        </w:rPr>
        <w:t>la Ley General de Transparencia. Asimismo, se deben resaltar sus beneficios y establecer indicadores que permitan medir su grado de avance en la Administración Pública. Estas acciones deben ser complementarios con implementar</w:t>
      </w:r>
      <w:r>
        <w:rPr>
          <w:spacing w:val="-16"/>
          <w:sz w:val="24"/>
        </w:rPr>
        <w:t> </w:t>
      </w:r>
      <w:r>
        <w:rPr>
          <w:sz w:val="24"/>
        </w:rPr>
        <w:t>el</w:t>
      </w:r>
      <w:r>
        <w:rPr>
          <w:spacing w:val="-13"/>
          <w:sz w:val="24"/>
        </w:rPr>
        <w:t> </w:t>
      </w:r>
      <w:r>
        <w:rPr>
          <w:sz w:val="24"/>
        </w:rPr>
        <w:t>enfoque</w:t>
      </w:r>
      <w:r>
        <w:rPr>
          <w:spacing w:val="-12"/>
          <w:sz w:val="24"/>
        </w:rPr>
        <w:t> </w:t>
      </w:r>
      <w:r>
        <w:rPr>
          <w:sz w:val="24"/>
        </w:rPr>
        <w:t>al</w:t>
      </w:r>
      <w:r>
        <w:rPr>
          <w:spacing w:val="-15"/>
          <w:sz w:val="24"/>
        </w:rPr>
        <w:t> </w:t>
      </w:r>
      <w:r>
        <w:rPr>
          <w:sz w:val="24"/>
        </w:rPr>
        <w:t>usuario,</w:t>
      </w:r>
      <w:r>
        <w:rPr>
          <w:spacing w:val="-14"/>
          <w:sz w:val="24"/>
        </w:rPr>
        <w:t> </w:t>
      </w:r>
      <w:r>
        <w:rPr>
          <w:sz w:val="24"/>
        </w:rPr>
        <w:t>para</w:t>
      </w:r>
      <w:r>
        <w:rPr>
          <w:spacing w:val="-15"/>
          <w:sz w:val="24"/>
        </w:rPr>
        <w:t> </w:t>
      </w:r>
      <w:r>
        <w:rPr>
          <w:sz w:val="24"/>
        </w:rPr>
        <w:t>que</w:t>
      </w:r>
      <w:r>
        <w:rPr>
          <w:spacing w:val="-14"/>
          <w:sz w:val="24"/>
        </w:rPr>
        <w:t> </w:t>
      </w:r>
      <w:r>
        <w:rPr>
          <w:sz w:val="24"/>
        </w:rPr>
        <w:t>se</w:t>
      </w:r>
      <w:r>
        <w:rPr>
          <w:spacing w:val="-12"/>
          <w:sz w:val="24"/>
        </w:rPr>
        <w:t> </w:t>
      </w:r>
      <w:r>
        <w:rPr>
          <w:sz w:val="24"/>
        </w:rPr>
        <w:t>publique</w:t>
      </w:r>
      <w:r>
        <w:rPr>
          <w:spacing w:val="-12"/>
          <w:sz w:val="24"/>
        </w:rPr>
        <w:t> </w:t>
      </w:r>
      <w:r>
        <w:rPr>
          <w:sz w:val="24"/>
        </w:rPr>
        <w:t>la</w:t>
      </w:r>
      <w:r>
        <w:rPr>
          <w:spacing w:val="-14"/>
          <w:sz w:val="24"/>
        </w:rPr>
        <w:t> </w:t>
      </w:r>
      <w:r>
        <w:rPr>
          <w:sz w:val="24"/>
        </w:rPr>
        <w:t>información</w:t>
      </w:r>
      <w:r>
        <w:rPr>
          <w:spacing w:val="-11"/>
          <w:sz w:val="24"/>
        </w:rPr>
        <w:t> </w:t>
      </w:r>
      <w:r>
        <w:rPr>
          <w:sz w:val="24"/>
        </w:rPr>
        <w:t>conforme a las necesidades de quienes la</w:t>
      </w:r>
      <w:r>
        <w:rPr>
          <w:spacing w:val="-13"/>
          <w:sz w:val="24"/>
        </w:rPr>
        <w:t> </w:t>
      </w:r>
      <w:r>
        <w:rPr>
          <w:sz w:val="24"/>
        </w:rPr>
        <w:t>solicitan.</w:t>
      </w:r>
    </w:p>
    <w:p>
      <w:pPr>
        <w:pStyle w:val="BodyText"/>
        <w:spacing w:before="3"/>
        <w:rPr>
          <w:sz w:val="26"/>
        </w:rPr>
      </w:pPr>
    </w:p>
    <w:p>
      <w:pPr>
        <w:pStyle w:val="ListParagraph"/>
        <w:numPr>
          <w:ilvl w:val="0"/>
          <w:numId w:val="64"/>
        </w:numPr>
        <w:tabs>
          <w:tab w:pos="476" w:val="left" w:leader="none"/>
        </w:tabs>
        <w:spacing w:line="360" w:lineRule="auto" w:before="0" w:after="0"/>
        <w:ind w:left="475" w:right="115" w:hanging="360"/>
        <w:jc w:val="both"/>
        <w:rPr>
          <w:sz w:val="24"/>
        </w:rPr>
      </w:pPr>
      <w:r>
        <w:rPr>
          <w:sz w:val="24"/>
        </w:rPr>
        <w:t>El</w:t>
      </w:r>
      <w:r>
        <w:rPr>
          <w:spacing w:val="-10"/>
          <w:sz w:val="24"/>
        </w:rPr>
        <w:t> </w:t>
      </w:r>
      <w:r>
        <w:rPr>
          <w:sz w:val="24"/>
        </w:rPr>
        <w:t>acceso</w:t>
      </w:r>
      <w:r>
        <w:rPr>
          <w:spacing w:val="-8"/>
          <w:sz w:val="24"/>
        </w:rPr>
        <w:t> </w:t>
      </w:r>
      <w:r>
        <w:rPr>
          <w:sz w:val="24"/>
        </w:rPr>
        <w:t>a</w:t>
      </w:r>
      <w:r>
        <w:rPr>
          <w:spacing w:val="-8"/>
          <w:sz w:val="24"/>
        </w:rPr>
        <w:t> </w:t>
      </w:r>
      <w:r>
        <w:rPr>
          <w:sz w:val="24"/>
        </w:rPr>
        <w:t>la</w:t>
      </w:r>
      <w:r>
        <w:rPr>
          <w:spacing w:val="-9"/>
          <w:sz w:val="24"/>
        </w:rPr>
        <w:t> </w:t>
      </w:r>
      <w:r>
        <w:rPr>
          <w:sz w:val="24"/>
        </w:rPr>
        <w:t>información</w:t>
      </w:r>
      <w:r>
        <w:rPr>
          <w:spacing w:val="-8"/>
          <w:sz w:val="24"/>
        </w:rPr>
        <w:t> </w:t>
      </w:r>
      <w:r>
        <w:rPr>
          <w:sz w:val="24"/>
        </w:rPr>
        <w:t>es</w:t>
      </w:r>
      <w:r>
        <w:rPr>
          <w:spacing w:val="-9"/>
          <w:sz w:val="24"/>
        </w:rPr>
        <w:t> </w:t>
      </w:r>
      <w:r>
        <w:rPr>
          <w:sz w:val="24"/>
        </w:rPr>
        <w:t>la</w:t>
      </w:r>
      <w:r>
        <w:rPr>
          <w:spacing w:val="-9"/>
          <w:sz w:val="24"/>
        </w:rPr>
        <w:t> </w:t>
      </w:r>
      <w:r>
        <w:rPr>
          <w:sz w:val="24"/>
        </w:rPr>
        <w:t>base</w:t>
      </w:r>
      <w:r>
        <w:rPr>
          <w:spacing w:val="-8"/>
          <w:sz w:val="24"/>
        </w:rPr>
        <w:t> </w:t>
      </w:r>
      <w:r>
        <w:rPr>
          <w:sz w:val="24"/>
        </w:rPr>
        <w:t>de</w:t>
      </w:r>
      <w:r>
        <w:rPr>
          <w:spacing w:val="-8"/>
          <w:sz w:val="24"/>
        </w:rPr>
        <w:t> </w:t>
      </w:r>
      <w:r>
        <w:rPr>
          <w:sz w:val="24"/>
        </w:rPr>
        <w:t>la</w:t>
      </w:r>
      <w:r>
        <w:rPr>
          <w:spacing w:val="-9"/>
          <w:sz w:val="24"/>
        </w:rPr>
        <w:t> </w:t>
      </w:r>
      <w:r>
        <w:rPr>
          <w:sz w:val="24"/>
        </w:rPr>
        <w:t>transparencia</w:t>
      </w:r>
      <w:r>
        <w:rPr>
          <w:spacing w:val="-9"/>
          <w:sz w:val="24"/>
        </w:rPr>
        <w:t> </w:t>
      </w:r>
      <w:r>
        <w:rPr>
          <w:sz w:val="24"/>
        </w:rPr>
        <w:t>y</w:t>
      </w:r>
      <w:r>
        <w:rPr>
          <w:spacing w:val="-12"/>
          <w:sz w:val="24"/>
        </w:rPr>
        <w:t> </w:t>
      </w:r>
      <w:r>
        <w:rPr>
          <w:sz w:val="24"/>
        </w:rPr>
        <w:t>del</w:t>
      </w:r>
      <w:r>
        <w:rPr>
          <w:spacing w:val="-10"/>
          <w:sz w:val="24"/>
        </w:rPr>
        <w:t> </w:t>
      </w:r>
      <w:r>
        <w:rPr>
          <w:sz w:val="24"/>
        </w:rPr>
        <w:t>Gobierno</w:t>
      </w:r>
      <w:r>
        <w:rPr>
          <w:spacing w:val="-8"/>
          <w:sz w:val="24"/>
        </w:rPr>
        <w:t> </w:t>
      </w:r>
      <w:r>
        <w:rPr>
          <w:sz w:val="24"/>
        </w:rPr>
        <w:t>Abierto. Mientras no se brinden las condiciones necesarias a los gobiernos municipales, la transparencia no podrá institucionalizarse. Dentro de estas condiciones se encuentran las siguientes: crear un equipo multidisciplinario que contemple a</w:t>
      </w:r>
      <w:r>
        <w:rPr>
          <w:spacing w:val="-46"/>
          <w:sz w:val="24"/>
        </w:rPr>
        <w:t> </w:t>
      </w:r>
      <w:r>
        <w:rPr>
          <w:sz w:val="24"/>
        </w:rPr>
        <w:t>un Lic. en Ciencias de la Información Documental o Lic. en Biblioteconomía para que</w:t>
      </w:r>
      <w:r>
        <w:rPr>
          <w:spacing w:val="-8"/>
          <w:sz w:val="24"/>
        </w:rPr>
        <w:t> </w:t>
      </w:r>
      <w:r>
        <w:rPr>
          <w:sz w:val="24"/>
        </w:rPr>
        <w:t>realice</w:t>
      </w:r>
      <w:r>
        <w:rPr>
          <w:spacing w:val="-11"/>
          <w:sz w:val="24"/>
        </w:rPr>
        <w:t> </w:t>
      </w:r>
      <w:r>
        <w:rPr>
          <w:sz w:val="24"/>
        </w:rPr>
        <w:t>la</w:t>
      </w:r>
      <w:r>
        <w:rPr>
          <w:spacing w:val="-11"/>
          <w:sz w:val="24"/>
        </w:rPr>
        <w:t> </w:t>
      </w:r>
      <w:r>
        <w:rPr>
          <w:sz w:val="24"/>
        </w:rPr>
        <w:t>función</w:t>
      </w:r>
      <w:r>
        <w:rPr>
          <w:spacing w:val="-11"/>
          <w:sz w:val="24"/>
        </w:rPr>
        <w:t> </w:t>
      </w:r>
      <w:r>
        <w:rPr>
          <w:sz w:val="24"/>
        </w:rPr>
        <w:t>de</w:t>
      </w:r>
      <w:r>
        <w:rPr>
          <w:spacing w:val="-8"/>
          <w:sz w:val="24"/>
        </w:rPr>
        <w:t> </w:t>
      </w:r>
      <w:r>
        <w:rPr>
          <w:sz w:val="24"/>
        </w:rPr>
        <w:t>orden</w:t>
      </w:r>
      <w:r>
        <w:rPr>
          <w:spacing w:val="-11"/>
          <w:sz w:val="24"/>
        </w:rPr>
        <w:t> </w:t>
      </w:r>
      <w:r>
        <w:rPr>
          <w:sz w:val="24"/>
        </w:rPr>
        <w:t>y</w:t>
      </w:r>
      <w:r>
        <w:rPr>
          <w:spacing w:val="-12"/>
          <w:sz w:val="24"/>
        </w:rPr>
        <w:t> </w:t>
      </w:r>
      <w:r>
        <w:rPr>
          <w:sz w:val="24"/>
        </w:rPr>
        <w:t>control</w:t>
      </w:r>
      <w:r>
        <w:rPr>
          <w:spacing w:val="-12"/>
          <w:sz w:val="24"/>
        </w:rPr>
        <w:t> </w:t>
      </w:r>
      <w:r>
        <w:rPr>
          <w:sz w:val="24"/>
        </w:rPr>
        <w:t>de</w:t>
      </w:r>
      <w:r>
        <w:rPr>
          <w:spacing w:val="-8"/>
          <w:sz w:val="24"/>
        </w:rPr>
        <w:t> </w:t>
      </w:r>
      <w:r>
        <w:rPr>
          <w:sz w:val="24"/>
        </w:rPr>
        <w:t>la</w:t>
      </w:r>
      <w:r>
        <w:rPr>
          <w:spacing w:val="-11"/>
          <w:sz w:val="24"/>
        </w:rPr>
        <w:t> </w:t>
      </w:r>
      <w:r>
        <w:rPr>
          <w:sz w:val="24"/>
        </w:rPr>
        <w:t>información.</w:t>
      </w:r>
      <w:r>
        <w:rPr>
          <w:spacing w:val="-11"/>
          <w:sz w:val="24"/>
        </w:rPr>
        <w:t> </w:t>
      </w:r>
      <w:r>
        <w:rPr>
          <w:sz w:val="24"/>
        </w:rPr>
        <w:t>Un</w:t>
      </w:r>
      <w:r>
        <w:rPr>
          <w:spacing w:val="-11"/>
          <w:sz w:val="24"/>
        </w:rPr>
        <w:t> </w:t>
      </w:r>
      <w:r>
        <w:rPr>
          <w:sz w:val="24"/>
        </w:rPr>
        <w:t>Lic.</w:t>
      </w:r>
      <w:r>
        <w:rPr>
          <w:spacing w:val="-12"/>
          <w:sz w:val="24"/>
        </w:rPr>
        <w:t> </w:t>
      </w:r>
      <w:r>
        <w:rPr>
          <w:sz w:val="24"/>
        </w:rPr>
        <w:t>en</w:t>
      </w:r>
      <w:r>
        <w:rPr>
          <w:spacing w:val="-11"/>
          <w:sz w:val="24"/>
        </w:rPr>
        <w:t> </w:t>
      </w:r>
      <w:r>
        <w:rPr>
          <w:sz w:val="24"/>
        </w:rPr>
        <w:t>Informática Administrativa</w:t>
      </w:r>
      <w:r>
        <w:rPr>
          <w:spacing w:val="-6"/>
          <w:sz w:val="24"/>
        </w:rPr>
        <w:t> </w:t>
      </w:r>
      <w:r>
        <w:rPr>
          <w:sz w:val="24"/>
        </w:rPr>
        <w:t>Ing.</w:t>
      </w:r>
      <w:r>
        <w:rPr>
          <w:spacing w:val="-6"/>
          <w:sz w:val="24"/>
        </w:rPr>
        <w:t> </w:t>
      </w:r>
      <w:r>
        <w:rPr>
          <w:sz w:val="24"/>
        </w:rPr>
        <w:t>en</w:t>
      </w:r>
      <w:r>
        <w:rPr>
          <w:spacing w:val="-8"/>
          <w:sz w:val="24"/>
        </w:rPr>
        <w:t> </w:t>
      </w:r>
      <w:r>
        <w:rPr>
          <w:sz w:val="24"/>
        </w:rPr>
        <w:t>Sistemas</w:t>
      </w:r>
      <w:r>
        <w:rPr>
          <w:spacing w:val="-7"/>
          <w:sz w:val="24"/>
        </w:rPr>
        <w:t> </w:t>
      </w:r>
      <w:r>
        <w:rPr>
          <w:sz w:val="24"/>
        </w:rPr>
        <w:t>que</w:t>
      </w:r>
      <w:r>
        <w:rPr>
          <w:spacing w:val="-6"/>
          <w:sz w:val="24"/>
        </w:rPr>
        <w:t> </w:t>
      </w:r>
      <w:r>
        <w:rPr>
          <w:sz w:val="24"/>
        </w:rPr>
        <w:t>permita</w:t>
      </w:r>
      <w:r>
        <w:rPr>
          <w:spacing w:val="-8"/>
          <w:sz w:val="24"/>
        </w:rPr>
        <w:t> </w:t>
      </w:r>
      <w:r>
        <w:rPr>
          <w:sz w:val="24"/>
        </w:rPr>
        <w:t>crear</w:t>
      </w:r>
      <w:r>
        <w:rPr>
          <w:spacing w:val="-7"/>
          <w:sz w:val="24"/>
        </w:rPr>
        <w:t> </w:t>
      </w:r>
      <w:r>
        <w:rPr>
          <w:sz w:val="24"/>
        </w:rPr>
        <w:t>bases</w:t>
      </w:r>
      <w:r>
        <w:rPr>
          <w:spacing w:val="-9"/>
          <w:sz w:val="24"/>
        </w:rPr>
        <w:t> </w:t>
      </w:r>
      <w:r>
        <w:rPr>
          <w:sz w:val="24"/>
        </w:rPr>
        <w:t>de</w:t>
      </w:r>
      <w:r>
        <w:rPr>
          <w:spacing w:val="-6"/>
          <w:sz w:val="24"/>
        </w:rPr>
        <w:t> </w:t>
      </w:r>
      <w:r>
        <w:rPr>
          <w:sz w:val="24"/>
        </w:rPr>
        <w:t>datos</w:t>
      </w:r>
      <w:r>
        <w:rPr>
          <w:spacing w:val="-9"/>
          <w:sz w:val="24"/>
        </w:rPr>
        <w:t> </w:t>
      </w:r>
      <w:r>
        <w:rPr>
          <w:sz w:val="24"/>
        </w:rPr>
        <w:t>para</w:t>
      </w:r>
      <w:r>
        <w:rPr>
          <w:spacing w:val="-7"/>
          <w:sz w:val="24"/>
        </w:rPr>
        <w:t> </w:t>
      </w:r>
      <w:r>
        <w:rPr>
          <w:sz w:val="24"/>
        </w:rPr>
        <w:t>procesar la información y hacer más accesible a quienes la utilizan. Un Lic. en Derecho, Que vigile el cumplimiento de las normas y capacite al personal sobre las mismas.</w:t>
      </w:r>
      <w:r>
        <w:rPr>
          <w:spacing w:val="-11"/>
          <w:sz w:val="24"/>
        </w:rPr>
        <w:t> </w:t>
      </w:r>
      <w:r>
        <w:rPr>
          <w:sz w:val="24"/>
        </w:rPr>
        <w:t>Un</w:t>
      </w:r>
      <w:r>
        <w:rPr>
          <w:spacing w:val="-13"/>
          <w:sz w:val="24"/>
        </w:rPr>
        <w:t> </w:t>
      </w:r>
      <w:r>
        <w:rPr>
          <w:sz w:val="24"/>
        </w:rPr>
        <w:t>Lic.</w:t>
      </w:r>
      <w:r>
        <w:rPr>
          <w:spacing w:val="-12"/>
          <w:sz w:val="24"/>
        </w:rPr>
        <w:t> </w:t>
      </w:r>
      <w:r>
        <w:rPr>
          <w:sz w:val="24"/>
        </w:rPr>
        <w:t>en</w:t>
      </w:r>
      <w:r>
        <w:rPr>
          <w:spacing w:val="-11"/>
          <w:sz w:val="24"/>
        </w:rPr>
        <w:t> </w:t>
      </w:r>
      <w:r>
        <w:rPr>
          <w:sz w:val="24"/>
        </w:rPr>
        <w:t>Ciencias</w:t>
      </w:r>
      <w:r>
        <w:rPr>
          <w:spacing w:val="-11"/>
          <w:sz w:val="24"/>
        </w:rPr>
        <w:t> </w:t>
      </w:r>
      <w:r>
        <w:rPr>
          <w:sz w:val="24"/>
        </w:rPr>
        <w:t>Políticas</w:t>
      </w:r>
      <w:r>
        <w:rPr>
          <w:spacing w:val="-12"/>
          <w:sz w:val="24"/>
        </w:rPr>
        <w:t> </w:t>
      </w:r>
      <w:r>
        <w:rPr>
          <w:sz w:val="24"/>
        </w:rPr>
        <w:t>y</w:t>
      </w:r>
      <w:r>
        <w:rPr>
          <w:spacing w:val="-14"/>
          <w:sz w:val="24"/>
        </w:rPr>
        <w:t> </w:t>
      </w:r>
      <w:r>
        <w:rPr>
          <w:sz w:val="24"/>
        </w:rPr>
        <w:t>Sociales</w:t>
      </w:r>
      <w:r>
        <w:rPr>
          <w:spacing w:val="-12"/>
          <w:sz w:val="24"/>
        </w:rPr>
        <w:t> </w:t>
      </w:r>
      <w:r>
        <w:rPr>
          <w:sz w:val="24"/>
        </w:rPr>
        <w:t>que</w:t>
      </w:r>
      <w:r>
        <w:rPr>
          <w:spacing w:val="-11"/>
          <w:sz w:val="24"/>
        </w:rPr>
        <w:t> </w:t>
      </w:r>
      <w:r>
        <w:rPr>
          <w:sz w:val="24"/>
        </w:rPr>
        <w:t>se</w:t>
      </w:r>
      <w:r>
        <w:rPr>
          <w:spacing w:val="-13"/>
          <w:sz w:val="24"/>
        </w:rPr>
        <w:t> </w:t>
      </w:r>
      <w:r>
        <w:rPr>
          <w:sz w:val="24"/>
        </w:rPr>
        <w:t>dedique</w:t>
      </w:r>
      <w:r>
        <w:rPr>
          <w:spacing w:val="-11"/>
          <w:sz w:val="24"/>
        </w:rPr>
        <w:t> </w:t>
      </w:r>
      <w:r>
        <w:rPr>
          <w:sz w:val="24"/>
        </w:rPr>
        <w:t>a</w:t>
      </w:r>
      <w:r>
        <w:rPr>
          <w:spacing w:val="-13"/>
          <w:sz w:val="24"/>
        </w:rPr>
        <w:t> </w:t>
      </w:r>
      <w:r>
        <w:rPr>
          <w:sz w:val="24"/>
        </w:rPr>
        <w:t>crear</w:t>
      </w:r>
      <w:r>
        <w:rPr>
          <w:spacing w:val="-12"/>
          <w:sz w:val="24"/>
        </w:rPr>
        <w:t> </w:t>
      </w:r>
      <w:r>
        <w:rPr>
          <w:sz w:val="24"/>
        </w:rPr>
        <w:t>políticas públicas para incentivar la participación social, legitimar las decisiones de los gobernantes y mediar los conflictos de poder que se deriven de la práctica de la transparencia.</w:t>
      </w:r>
      <w:r>
        <w:rPr>
          <w:spacing w:val="-9"/>
          <w:sz w:val="24"/>
        </w:rPr>
        <w:t> </w:t>
      </w:r>
      <w:r>
        <w:rPr>
          <w:sz w:val="24"/>
        </w:rPr>
        <w:t>Por</w:t>
      </w:r>
      <w:r>
        <w:rPr>
          <w:spacing w:val="-11"/>
          <w:sz w:val="24"/>
        </w:rPr>
        <w:t> </w:t>
      </w:r>
      <w:r>
        <w:rPr>
          <w:sz w:val="24"/>
        </w:rPr>
        <w:t>último,</w:t>
      </w:r>
      <w:r>
        <w:rPr>
          <w:spacing w:val="-10"/>
          <w:sz w:val="24"/>
        </w:rPr>
        <w:t> </w:t>
      </w:r>
      <w:r>
        <w:rPr>
          <w:sz w:val="24"/>
        </w:rPr>
        <w:t>una</w:t>
      </w:r>
      <w:r>
        <w:rPr>
          <w:spacing w:val="-7"/>
          <w:sz w:val="24"/>
        </w:rPr>
        <w:t> </w:t>
      </w:r>
      <w:r>
        <w:rPr>
          <w:sz w:val="24"/>
        </w:rPr>
        <w:t>secretaria</w:t>
      </w:r>
      <w:r>
        <w:rPr>
          <w:spacing w:val="-9"/>
          <w:sz w:val="24"/>
        </w:rPr>
        <w:t> </w:t>
      </w:r>
      <w:r>
        <w:rPr>
          <w:sz w:val="24"/>
        </w:rPr>
        <w:t>que</w:t>
      </w:r>
      <w:r>
        <w:rPr>
          <w:spacing w:val="-9"/>
          <w:sz w:val="24"/>
        </w:rPr>
        <w:t> </w:t>
      </w:r>
      <w:r>
        <w:rPr>
          <w:sz w:val="24"/>
        </w:rPr>
        <w:t>desarrolle</w:t>
      </w:r>
      <w:r>
        <w:rPr>
          <w:spacing w:val="-7"/>
          <w:sz w:val="24"/>
        </w:rPr>
        <w:t> </w:t>
      </w:r>
      <w:r>
        <w:rPr>
          <w:sz w:val="24"/>
        </w:rPr>
        <w:t>la</w:t>
      </w:r>
      <w:r>
        <w:rPr>
          <w:spacing w:val="-10"/>
          <w:sz w:val="24"/>
        </w:rPr>
        <w:t> </w:t>
      </w:r>
      <w:r>
        <w:rPr>
          <w:sz w:val="24"/>
        </w:rPr>
        <w:t>función</w:t>
      </w:r>
      <w:r>
        <w:rPr>
          <w:spacing w:val="-9"/>
          <w:sz w:val="24"/>
        </w:rPr>
        <w:t> </w:t>
      </w:r>
      <w:r>
        <w:rPr>
          <w:sz w:val="24"/>
        </w:rPr>
        <w:t>de</w:t>
      </w:r>
      <w:r>
        <w:rPr>
          <w:spacing w:val="-7"/>
          <w:sz w:val="24"/>
        </w:rPr>
        <w:t> </w:t>
      </w:r>
      <w:r>
        <w:rPr>
          <w:sz w:val="24"/>
        </w:rPr>
        <w:t>atención</w:t>
      </w:r>
      <w:r>
        <w:rPr>
          <w:spacing w:val="-9"/>
          <w:sz w:val="24"/>
        </w:rPr>
        <w:t> </w:t>
      </w:r>
      <w:r>
        <w:rPr>
          <w:sz w:val="24"/>
        </w:rPr>
        <w:t>al público.</w:t>
      </w:r>
    </w:p>
    <w:p>
      <w:pPr>
        <w:spacing w:after="0" w:line="360" w:lineRule="auto"/>
        <w:jc w:val="both"/>
        <w:rPr>
          <w:sz w:val="24"/>
        </w:rPr>
        <w:sectPr>
          <w:pgSz w:w="12240" w:h="15840"/>
          <w:pgMar w:header="0" w:footer="1035" w:top="1360" w:bottom="1220" w:left="1560" w:right="1580"/>
        </w:sectPr>
      </w:pPr>
    </w:p>
    <w:p>
      <w:pPr>
        <w:pStyle w:val="ListParagraph"/>
        <w:numPr>
          <w:ilvl w:val="0"/>
          <w:numId w:val="64"/>
        </w:numPr>
        <w:tabs>
          <w:tab w:pos="476" w:val="left" w:leader="none"/>
        </w:tabs>
        <w:spacing w:line="360" w:lineRule="auto" w:before="54" w:after="0"/>
        <w:ind w:left="475" w:right="117" w:hanging="360"/>
        <w:jc w:val="both"/>
        <w:rPr>
          <w:sz w:val="24"/>
        </w:rPr>
      </w:pPr>
      <w:r>
        <w:rPr>
          <w:sz w:val="24"/>
        </w:rPr>
        <w:t>Las acciones que realizan las instituciones a favor de la transparencia son el inicio de una presión social que resalta la incapacidad del gobierno para promover la transparencia y someterse al escrutinio público. Sin embargo, resulta contradictorio que las instituciones promotoras de la transparencia no necesariamente ponen en práctica su discurso. Asimismo que los efectos de la globalización y el neoliberalismo siguen predominando sobre la política del gobierno</w:t>
      </w:r>
      <w:r>
        <w:rPr>
          <w:spacing w:val="-6"/>
          <w:sz w:val="24"/>
        </w:rPr>
        <w:t> </w:t>
      </w:r>
      <w:r>
        <w:rPr>
          <w:sz w:val="24"/>
        </w:rPr>
        <w:t>ya</w:t>
      </w:r>
      <w:r>
        <w:rPr>
          <w:spacing w:val="-6"/>
          <w:sz w:val="24"/>
        </w:rPr>
        <w:t> </w:t>
      </w:r>
      <w:r>
        <w:rPr>
          <w:sz w:val="24"/>
        </w:rPr>
        <w:t>que</w:t>
      </w:r>
      <w:r>
        <w:rPr>
          <w:spacing w:val="-6"/>
          <w:sz w:val="24"/>
        </w:rPr>
        <w:t> </w:t>
      </w:r>
      <w:r>
        <w:rPr>
          <w:sz w:val="24"/>
        </w:rPr>
        <w:t>la</w:t>
      </w:r>
      <w:r>
        <w:rPr>
          <w:spacing w:val="-6"/>
          <w:sz w:val="24"/>
        </w:rPr>
        <w:t> </w:t>
      </w:r>
      <w:r>
        <w:rPr>
          <w:sz w:val="24"/>
        </w:rPr>
        <w:t>transparencia</w:t>
      </w:r>
      <w:r>
        <w:rPr>
          <w:spacing w:val="-9"/>
          <w:sz w:val="24"/>
        </w:rPr>
        <w:t> </w:t>
      </w:r>
      <w:r>
        <w:rPr>
          <w:sz w:val="24"/>
        </w:rPr>
        <w:t>fiscal</w:t>
      </w:r>
      <w:r>
        <w:rPr>
          <w:spacing w:val="-7"/>
          <w:sz w:val="24"/>
        </w:rPr>
        <w:t> </w:t>
      </w:r>
      <w:r>
        <w:rPr>
          <w:sz w:val="24"/>
        </w:rPr>
        <w:t>es</w:t>
      </w:r>
      <w:r>
        <w:rPr>
          <w:spacing w:val="-7"/>
          <w:sz w:val="24"/>
        </w:rPr>
        <w:t> </w:t>
      </w:r>
      <w:r>
        <w:rPr>
          <w:sz w:val="24"/>
        </w:rPr>
        <w:t>la</w:t>
      </w:r>
      <w:r>
        <w:rPr>
          <w:spacing w:val="-6"/>
          <w:sz w:val="24"/>
        </w:rPr>
        <w:t> </w:t>
      </w:r>
      <w:r>
        <w:rPr>
          <w:sz w:val="24"/>
        </w:rPr>
        <w:t>más</w:t>
      </w:r>
      <w:r>
        <w:rPr>
          <w:spacing w:val="-7"/>
          <w:sz w:val="24"/>
        </w:rPr>
        <w:t> </w:t>
      </w:r>
      <w:r>
        <w:rPr>
          <w:sz w:val="24"/>
        </w:rPr>
        <w:t>practicada</w:t>
      </w:r>
      <w:r>
        <w:rPr>
          <w:spacing w:val="-8"/>
          <w:sz w:val="24"/>
        </w:rPr>
        <w:t> </w:t>
      </w:r>
      <w:r>
        <w:rPr>
          <w:sz w:val="24"/>
        </w:rPr>
        <w:t>por</w:t>
      </w:r>
      <w:r>
        <w:rPr>
          <w:spacing w:val="-7"/>
          <w:sz w:val="24"/>
        </w:rPr>
        <w:t> </w:t>
      </w:r>
      <w:r>
        <w:rPr>
          <w:sz w:val="24"/>
        </w:rPr>
        <w:t>las</w:t>
      </w:r>
      <w:r>
        <w:rPr>
          <w:spacing w:val="-9"/>
          <w:sz w:val="24"/>
        </w:rPr>
        <w:t> </w:t>
      </w:r>
      <w:r>
        <w:rPr>
          <w:sz w:val="24"/>
        </w:rPr>
        <w:t>instituciones mexicanas.</w:t>
      </w:r>
    </w:p>
    <w:p>
      <w:pPr>
        <w:pStyle w:val="BodyText"/>
        <w:spacing w:before="2"/>
        <w:rPr>
          <w:sz w:val="26"/>
        </w:rPr>
      </w:pPr>
    </w:p>
    <w:p>
      <w:pPr>
        <w:pStyle w:val="ListParagraph"/>
        <w:numPr>
          <w:ilvl w:val="0"/>
          <w:numId w:val="64"/>
        </w:numPr>
        <w:tabs>
          <w:tab w:pos="476" w:val="left" w:leader="none"/>
        </w:tabs>
        <w:spacing w:line="360" w:lineRule="auto" w:before="0" w:after="0"/>
        <w:ind w:left="475" w:right="113" w:hanging="360"/>
        <w:jc w:val="both"/>
        <w:rPr>
          <w:sz w:val="24"/>
        </w:rPr>
      </w:pPr>
      <w:r>
        <w:rPr>
          <w:sz w:val="24"/>
        </w:rPr>
        <w:t>Los diversos estudios de medición de la transparencia se han enfocado a los órdenes de gobierno federal y estatal. Brindando </w:t>
      </w:r>
      <w:r>
        <w:rPr>
          <w:spacing w:val="2"/>
          <w:sz w:val="24"/>
        </w:rPr>
        <w:t>con </w:t>
      </w:r>
      <w:r>
        <w:rPr>
          <w:sz w:val="24"/>
        </w:rPr>
        <w:t>ello un espacio de oportunidad para que el instrumento utilizado en esta investigación pueda ser mejorado para ser aplicado en el orden municipal. Una de la adecuaciones más pertinentes</w:t>
      </w:r>
      <w:r>
        <w:rPr>
          <w:spacing w:val="-19"/>
          <w:sz w:val="24"/>
        </w:rPr>
        <w:t> </w:t>
      </w:r>
      <w:r>
        <w:rPr>
          <w:sz w:val="24"/>
        </w:rPr>
        <w:t>es</w:t>
      </w:r>
      <w:r>
        <w:rPr>
          <w:spacing w:val="-16"/>
          <w:sz w:val="24"/>
        </w:rPr>
        <w:t> </w:t>
      </w:r>
      <w:r>
        <w:rPr>
          <w:sz w:val="24"/>
        </w:rPr>
        <w:t>la</w:t>
      </w:r>
      <w:r>
        <w:rPr>
          <w:spacing w:val="-16"/>
          <w:sz w:val="24"/>
        </w:rPr>
        <w:t> </w:t>
      </w:r>
      <w:r>
        <w:rPr>
          <w:sz w:val="24"/>
        </w:rPr>
        <w:t>de</w:t>
      </w:r>
      <w:r>
        <w:rPr>
          <w:spacing w:val="-16"/>
          <w:sz w:val="24"/>
        </w:rPr>
        <w:t> </w:t>
      </w:r>
      <w:r>
        <w:rPr>
          <w:sz w:val="24"/>
        </w:rPr>
        <w:t>establecer</w:t>
      </w:r>
      <w:r>
        <w:rPr>
          <w:spacing w:val="-17"/>
          <w:sz w:val="24"/>
        </w:rPr>
        <w:t> </w:t>
      </w:r>
      <w:r>
        <w:rPr>
          <w:sz w:val="24"/>
        </w:rPr>
        <w:t>rangos</w:t>
      </w:r>
      <w:r>
        <w:rPr>
          <w:spacing w:val="-16"/>
          <w:sz w:val="24"/>
        </w:rPr>
        <w:t> </w:t>
      </w:r>
      <w:r>
        <w:rPr>
          <w:sz w:val="24"/>
        </w:rPr>
        <w:t>de</w:t>
      </w:r>
      <w:r>
        <w:rPr>
          <w:spacing w:val="-16"/>
          <w:sz w:val="24"/>
        </w:rPr>
        <w:t> </w:t>
      </w:r>
      <w:r>
        <w:rPr>
          <w:sz w:val="24"/>
        </w:rPr>
        <w:t>institucionalización</w:t>
      </w:r>
      <w:r>
        <w:rPr>
          <w:spacing w:val="-15"/>
          <w:sz w:val="24"/>
        </w:rPr>
        <w:t> </w:t>
      </w:r>
      <w:r>
        <w:rPr>
          <w:sz w:val="24"/>
        </w:rPr>
        <w:t>de</w:t>
      </w:r>
      <w:r>
        <w:rPr>
          <w:spacing w:val="-16"/>
          <w:sz w:val="24"/>
        </w:rPr>
        <w:t> </w:t>
      </w:r>
      <w:r>
        <w:rPr>
          <w:sz w:val="24"/>
        </w:rPr>
        <w:t>la</w:t>
      </w:r>
      <w:r>
        <w:rPr>
          <w:spacing w:val="-16"/>
          <w:sz w:val="24"/>
        </w:rPr>
        <w:t> </w:t>
      </w:r>
      <w:r>
        <w:rPr>
          <w:sz w:val="24"/>
        </w:rPr>
        <w:t>transparencia. Ya que los valores que contempla la encuesta están planteados en sentido cualitativo:</w:t>
      </w:r>
      <w:r>
        <w:rPr>
          <w:spacing w:val="-9"/>
          <w:sz w:val="24"/>
        </w:rPr>
        <w:t> </w:t>
      </w:r>
      <w:r>
        <w:rPr>
          <w:sz w:val="24"/>
        </w:rPr>
        <w:t>en</w:t>
      </w:r>
      <w:r>
        <w:rPr>
          <w:spacing w:val="-8"/>
          <w:sz w:val="24"/>
        </w:rPr>
        <w:t> </w:t>
      </w:r>
      <w:r>
        <w:rPr>
          <w:sz w:val="24"/>
        </w:rPr>
        <w:t>la</w:t>
      </w:r>
      <w:r>
        <w:rPr>
          <w:spacing w:val="-9"/>
          <w:sz w:val="24"/>
        </w:rPr>
        <w:t> </w:t>
      </w:r>
      <w:r>
        <w:rPr>
          <w:sz w:val="24"/>
        </w:rPr>
        <w:t>primera</w:t>
      </w:r>
      <w:r>
        <w:rPr>
          <w:spacing w:val="-9"/>
          <w:sz w:val="24"/>
        </w:rPr>
        <w:t> </w:t>
      </w:r>
      <w:r>
        <w:rPr>
          <w:sz w:val="24"/>
        </w:rPr>
        <w:t>parte</w:t>
      </w:r>
      <w:r>
        <w:rPr>
          <w:spacing w:val="-9"/>
          <w:sz w:val="24"/>
        </w:rPr>
        <w:t> </w:t>
      </w:r>
      <w:r>
        <w:rPr>
          <w:sz w:val="24"/>
        </w:rPr>
        <w:t>se</w:t>
      </w:r>
      <w:r>
        <w:rPr>
          <w:spacing w:val="-8"/>
          <w:sz w:val="24"/>
        </w:rPr>
        <w:t> </w:t>
      </w:r>
      <w:r>
        <w:rPr>
          <w:sz w:val="24"/>
        </w:rPr>
        <w:t>consideró</w:t>
      </w:r>
      <w:r>
        <w:rPr>
          <w:spacing w:val="-9"/>
          <w:sz w:val="24"/>
        </w:rPr>
        <w:t> </w:t>
      </w:r>
      <w:r>
        <w:rPr>
          <w:sz w:val="24"/>
        </w:rPr>
        <w:t>la</w:t>
      </w:r>
      <w:r>
        <w:rPr>
          <w:spacing w:val="-11"/>
          <w:sz w:val="24"/>
        </w:rPr>
        <w:t> </w:t>
      </w:r>
      <w:r>
        <w:rPr>
          <w:sz w:val="24"/>
        </w:rPr>
        <w:t>cantidad</w:t>
      </w:r>
      <w:r>
        <w:rPr>
          <w:spacing w:val="-8"/>
          <w:sz w:val="24"/>
        </w:rPr>
        <w:t> </w:t>
      </w:r>
      <w:r>
        <w:rPr>
          <w:sz w:val="24"/>
        </w:rPr>
        <w:t>de</w:t>
      </w:r>
      <w:r>
        <w:rPr>
          <w:spacing w:val="-8"/>
          <w:sz w:val="24"/>
        </w:rPr>
        <w:t> </w:t>
      </w:r>
      <w:r>
        <w:rPr>
          <w:sz w:val="24"/>
        </w:rPr>
        <w:t>recurso</w:t>
      </w:r>
      <w:r>
        <w:rPr>
          <w:spacing w:val="-11"/>
          <w:sz w:val="24"/>
        </w:rPr>
        <w:t> </w:t>
      </w:r>
      <w:r>
        <w:rPr>
          <w:sz w:val="24"/>
        </w:rPr>
        <w:t>al</w:t>
      </w:r>
      <w:r>
        <w:rPr>
          <w:spacing w:val="-10"/>
          <w:sz w:val="24"/>
        </w:rPr>
        <w:t> </w:t>
      </w:r>
      <w:r>
        <w:rPr>
          <w:sz w:val="24"/>
        </w:rPr>
        <w:t>clasificarse en nada, lo necesario, lo suficiente y completamente y en la segunda parte se contempló la frecuencia con que se cuenta con los recursos al definirse como nunca, casi nunca, casi siempre y siempre. Al cambiarlos por valores cuantitativos de modo tal que nada/nunca sean equivalentes a cero, lo necesario/casi nunca a uno, lo suficiente/casi siempre a dos y completamente/siempre</w:t>
      </w:r>
      <w:r>
        <w:rPr>
          <w:spacing w:val="-5"/>
          <w:sz w:val="24"/>
        </w:rPr>
        <w:t> </w:t>
      </w:r>
      <w:r>
        <w:rPr>
          <w:sz w:val="24"/>
        </w:rPr>
        <w:t>a</w:t>
      </w:r>
      <w:r>
        <w:rPr>
          <w:spacing w:val="-7"/>
          <w:sz w:val="24"/>
        </w:rPr>
        <w:t> </w:t>
      </w:r>
      <w:r>
        <w:rPr>
          <w:sz w:val="24"/>
        </w:rPr>
        <w:t>tres.</w:t>
      </w:r>
      <w:r>
        <w:rPr>
          <w:spacing w:val="-7"/>
          <w:sz w:val="24"/>
        </w:rPr>
        <w:t> </w:t>
      </w:r>
      <w:r>
        <w:rPr>
          <w:sz w:val="24"/>
        </w:rPr>
        <w:t>Así,</w:t>
      </w:r>
      <w:r>
        <w:rPr>
          <w:spacing w:val="-5"/>
          <w:sz w:val="24"/>
        </w:rPr>
        <w:t> </w:t>
      </w:r>
      <w:r>
        <w:rPr>
          <w:sz w:val="24"/>
        </w:rPr>
        <w:t>las</w:t>
      </w:r>
      <w:r>
        <w:rPr>
          <w:spacing w:val="-7"/>
          <w:sz w:val="24"/>
        </w:rPr>
        <w:t> </w:t>
      </w:r>
      <w:r>
        <w:rPr>
          <w:sz w:val="24"/>
        </w:rPr>
        <w:t>70</w:t>
      </w:r>
      <w:r>
        <w:rPr>
          <w:spacing w:val="-7"/>
          <w:sz w:val="24"/>
        </w:rPr>
        <w:t> </w:t>
      </w:r>
      <w:r>
        <w:rPr>
          <w:sz w:val="24"/>
        </w:rPr>
        <w:t>preguntas</w:t>
      </w:r>
      <w:r>
        <w:rPr>
          <w:spacing w:val="-5"/>
          <w:sz w:val="24"/>
        </w:rPr>
        <w:t> </w:t>
      </w:r>
      <w:r>
        <w:rPr>
          <w:sz w:val="24"/>
        </w:rPr>
        <w:t>si</w:t>
      </w:r>
      <w:r>
        <w:rPr>
          <w:spacing w:val="-8"/>
          <w:sz w:val="24"/>
        </w:rPr>
        <w:t> </w:t>
      </w:r>
      <w:r>
        <w:rPr>
          <w:sz w:val="24"/>
        </w:rPr>
        <w:t>obtuvieran</w:t>
      </w:r>
      <w:r>
        <w:rPr>
          <w:spacing w:val="-5"/>
          <w:sz w:val="24"/>
        </w:rPr>
        <w:t> </w:t>
      </w:r>
      <w:r>
        <w:rPr>
          <w:sz w:val="24"/>
        </w:rPr>
        <w:t>la</w:t>
      </w:r>
      <w:r>
        <w:rPr>
          <w:spacing w:val="-10"/>
          <w:sz w:val="24"/>
        </w:rPr>
        <w:t> </w:t>
      </w:r>
      <w:r>
        <w:rPr>
          <w:sz w:val="24"/>
        </w:rPr>
        <w:t>calificación máxima de 3 alcanzarían 210 puntos. Si tuvieran 2 tendrán 140, si tuvieran uno serían</w:t>
      </w:r>
      <w:r>
        <w:rPr>
          <w:spacing w:val="-3"/>
          <w:sz w:val="24"/>
        </w:rPr>
        <w:t> </w:t>
      </w:r>
      <w:r>
        <w:rPr>
          <w:sz w:val="24"/>
        </w:rPr>
        <w:t>70.</w:t>
      </w:r>
    </w:p>
    <w:p>
      <w:pPr>
        <w:pStyle w:val="BodyText"/>
        <w:spacing w:before="3"/>
        <w:rPr>
          <w:sz w:val="26"/>
        </w:rPr>
      </w:pPr>
    </w:p>
    <w:p>
      <w:pPr>
        <w:pStyle w:val="ListParagraph"/>
        <w:numPr>
          <w:ilvl w:val="0"/>
          <w:numId w:val="64"/>
        </w:numPr>
        <w:tabs>
          <w:tab w:pos="476" w:val="left" w:leader="none"/>
        </w:tabs>
        <w:spacing w:line="240" w:lineRule="auto" w:before="0" w:after="0"/>
        <w:ind w:left="475" w:right="0" w:hanging="360"/>
        <w:jc w:val="left"/>
        <w:rPr>
          <w:sz w:val="24"/>
        </w:rPr>
      </w:pPr>
      <w:r>
        <w:rPr>
          <w:sz w:val="24"/>
        </w:rPr>
        <w:t>Por tal motivo se pueden establecer rangos de institucionalización al dividir </w:t>
      </w:r>
      <w:r>
        <w:rPr>
          <w:spacing w:val="65"/>
          <w:sz w:val="24"/>
        </w:rPr>
        <w:t> </w:t>
      </w:r>
      <w:r>
        <w:rPr>
          <w:sz w:val="24"/>
        </w:rPr>
        <w:t>los</w:t>
      </w:r>
    </w:p>
    <w:p>
      <w:pPr>
        <w:pStyle w:val="BodyText"/>
        <w:spacing w:line="360" w:lineRule="auto" w:before="137"/>
        <w:ind w:left="475"/>
      </w:pPr>
      <w:r>
        <w:rPr/>
        <w:t>210 puntos como el máximo en cuatro partes proporcionales, tal como se ejemplifica a continuación:</w:t>
      </w:r>
    </w:p>
    <w:p>
      <w:pPr>
        <w:spacing w:after="0" w:line="360" w:lineRule="auto"/>
        <w:sectPr>
          <w:footerReference w:type="default" r:id="rId146"/>
          <w:pgSz w:w="12240" w:h="15840"/>
          <w:pgMar w:footer="1035" w:header="0" w:top="1360" w:bottom="1220" w:left="1560" w:right="1580"/>
        </w:sectPr>
      </w:pPr>
    </w:p>
    <w:tbl>
      <w:tblPr>
        <w:tblW w:w="0" w:type="auto"/>
        <w:jc w:val="left"/>
        <w:tblInd w:w="6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56"/>
        <w:gridCol w:w="3167"/>
        <w:gridCol w:w="3538"/>
      </w:tblGrid>
      <w:tr>
        <w:trPr>
          <w:trHeight w:val="417" w:hRule="exact"/>
        </w:trPr>
        <w:tc>
          <w:tcPr>
            <w:tcW w:w="8361" w:type="dxa"/>
            <w:gridSpan w:val="3"/>
            <w:shd w:val="clear" w:color="auto" w:fill="92D050"/>
          </w:tcPr>
          <w:p>
            <w:pPr>
              <w:pStyle w:val="TableParagraph"/>
              <w:spacing w:line="200" w:lineRule="exact"/>
              <w:ind w:left="1689"/>
              <w:jc w:val="left"/>
              <w:rPr>
                <w:b/>
                <w:sz w:val="18"/>
              </w:rPr>
            </w:pPr>
            <w:r>
              <w:rPr>
                <w:b/>
                <w:sz w:val="18"/>
              </w:rPr>
              <w:t>Niveles de institucionalización de la transparencia y el GA</w:t>
            </w:r>
          </w:p>
        </w:tc>
      </w:tr>
      <w:tr>
        <w:trPr>
          <w:trHeight w:val="624" w:hRule="exact"/>
        </w:trPr>
        <w:tc>
          <w:tcPr>
            <w:tcW w:w="1656" w:type="dxa"/>
            <w:shd w:val="clear" w:color="auto" w:fill="92D050"/>
          </w:tcPr>
          <w:p>
            <w:pPr>
              <w:pStyle w:val="TableParagraph"/>
              <w:spacing w:line="242" w:lineRule="auto"/>
              <w:ind w:left="393" w:right="373" w:firstLine="122"/>
              <w:jc w:val="left"/>
              <w:rPr>
                <w:b/>
                <w:sz w:val="18"/>
              </w:rPr>
            </w:pPr>
            <w:r>
              <w:rPr>
                <w:b/>
                <w:sz w:val="18"/>
              </w:rPr>
              <w:t>Puntos obtenidos</w:t>
            </w:r>
          </w:p>
        </w:tc>
        <w:tc>
          <w:tcPr>
            <w:tcW w:w="3167" w:type="dxa"/>
            <w:shd w:val="clear" w:color="auto" w:fill="92D050"/>
          </w:tcPr>
          <w:p>
            <w:pPr>
              <w:pStyle w:val="TableParagraph"/>
              <w:spacing w:line="199" w:lineRule="exact"/>
              <w:ind w:left="372"/>
              <w:jc w:val="left"/>
              <w:rPr>
                <w:b/>
                <w:sz w:val="18"/>
              </w:rPr>
            </w:pPr>
            <w:r>
              <w:rPr>
                <w:b/>
                <w:sz w:val="18"/>
              </w:rPr>
              <w:t>Nivel de institucionalización</w:t>
            </w:r>
          </w:p>
        </w:tc>
        <w:tc>
          <w:tcPr>
            <w:tcW w:w="3538" w:type="dxa"/>
            <w:shd w:val="clear" w:color="auto" w:fill="92D050"/>
          </w:tcPr>
          <w:p>
            <w:pPr>
              <w:pStyle w:val="TableParagraph"/>
              <w:spacing w:line="242" w:lineRule="auto"/>
              <w:ind w:left="928" w:right="670" w:hanging="240"/>
              <w:jc w:val="left"/>
              <w:rPr>
                <w:b/>
                <w:sz w:val="18"/>
              </w:rPr>
            </w:pPr>
            <w:r>
              <w:rPr>
                <w:b/>
                <w:sz w:val="18"/>
              </w:rPr>
              <w:t>Descripción del grado de institucionalización</w:t>
            </w:r>
          </w:p>
        </w:tc>
      </w:tr>
      <w:tr>
        <w:trPr>
          <w:trHeight w:val="1039" w:hRule="exact"/>
        </w:trPr>
        <w:tc>
          <w:tcPr>
            <w:tcW w:w="1656" w:type="dxa"/>
          </w:tcPr>
          <w:p>
            <w:pPr>
              <w:pStyle w:val="TableParagraph"/>
              <w:jc w:val="left"/>
              <w:rPr>
                <w:sz w:val="18"/>
              </w:rPr>
            </w:pPr>
          </w:p>
          <w:p>
            <w:pPr>
              <w:pStyle w:val="TableParagraph"/>
              <w:spacing w:before="1"/>
              <w:jc w:val="left"/>
              <w:rPr>
                <w:sz w:val="17"/>
              </w:rPr>
            </w:pPr>
          </w:p>
          <w:p>
            <w:pPr>
              <w:pStyle w:val="TableParagraph"/>
              <w:spacing w:before="1"/>
              <w:ind w:left="103" w:right="373"/>
              <w:jc w:val="left"/>
              <w:rPr>
                <w:sz w:val="18"/>
              </w:rPr>
            </w:pPr>
            <w:r>
              <w:rPr>
                <w:sz w:val="18"/>
              </w:rPr>
              <w:t>Entre 0 y 52</w:t>
            </w:r>
          </w:p>
        </w:tc>
        <w:tc>
          <w:tcPr>
            <w:tcW w:w="3167" w:type="dxa"/>
          </w:tcPr>
          <w:p>
            <w:pPr>
              <w:pStyle w:val="TableParagraph"/>
              <w:spacing w:line="242" w:lineRule="auto"/>
              <w:ind w:left="103" w:right="102"/>
              <w:jc w:val="both"/>
              <w:rPr>
                <w:sz w:val="18"/>
              </w:rPr>
            </w:pPr>
            <w:r>
              <w:rPr>
                <w:b/>
                <w:sz w:val="18"/>
              </w:rPr>
              <w:t>Nivel I. </w:t>
            </w:r>
            <w:r>
              <w:rPr>
                <w:sz w:val="18"/>
              </w:rPr>
              <w:t>Es el nivel básico que referencia poco conocimiento de las actividades</w:t>
            </w:r>
            <w:r>
              <w:rPr>
                <w:spacing w:val="-8"/>
                <w:sz w:val="18"/>
              </w:rPr>
              <w:t> </w:t>
            </w:r>
            <w:r>
              <w:rPr>
                <w:sz w:val="18"/>
              </w:rPr>
              <w:t>que</w:t>
            </w:r>
            <w:r>
              <w:rPr>
                <w:spacing w:val="-11"/>
                <w:sz w:val="18"/>
              </w:rPr>
              <w:t> </w:t>
            </w:r>
            <w:r>
              <w:rPr>
                <w:sz w:val="18"/>
              </w:rPr>
              <w:t>implica</w:t>
            </w:r>
            <w:r>
              <w:rPr>
                <w:spacing w:val="-9"/>
                <w:sz w:val="18"/>
              </w:rPr>
              <w:t> </w:t>
            </w:r>
            <w:r>
              <w:rPr>
                <w:sz w:val="18"/>
              </w:rPr>
              <w:t>el</w:t>
            </w:r>
            <w:r>
              <w:rPr>
                <w:spacing w:val="-9"/>
                <w:sz w:val="18"/>
              </w:rPr>
              <w:t> </w:t>
            </w:r>
            <w:r>
              <w:rPr>
                <w:sz w:val="18"/>
              </w:rPr>
              <w:t>GA</w:t>
            </w:r>
            <w:r>
              <w:rPr>
                <w:spacing w:val="-12"/>
                <w:sz w:val="18"/>
              </w:rPr>
              <w:t> </w:t>
            </w:r>
            <w:r>
              <w:rPr>
                <w:sz w:val="18"/>
              </w:rPr>
              <w:t>y</w:t>
            </w:r>
            <w:r>
              <w:rPr>
                <w:spacing w:val="-11"/>
                <w:sz w:val="18"/>
              </w:rPr>
              <w:t> </w:t>
            </w:r>
            <w:r>
              <w:rPr>
                <w:sz w:val="18"/>
              </w:rPr>
              <w:t>por</w:t>
            </w:r>
            <w:r>
              <w:rPr>
                <w:spacing w:val="-9"/>
                <w:sz w:val="18"/>
              </w:rPr>
              <w:t> </w:t>
            </w:r>
            <w:r>
              <w:rPr>
                <w:sz w:val="18"/>
              </w:rPr>
              <w:t>lo tanto no se</w:t>
            </w:r>
            <w:r>
              <w:rPr>
                <w:spacing w:val="-7"/>
                <w:sz w:val="18"/>
              </w:rPr>
              <w:t> </w:t>
            </w:r>
            <w:r>
              <w:rPr>
                <w:sz w:val="18"/>
              </w:rPr>
              <w:t>aplican.</w:t>
            </w:r>
          </w:p>
        </w:tc>
        <w:tc>
          <w:tcPr>
            <w:tcW w:w="3538" w:type="dxa"/>
          </w:tcPr>
          <w:p>
            <w:pPr>
              <w:pStyle w:val="TableParagraph"/>
              <w:numPr>
                <w:ilvl w:val="0"/>
                <w:numId w:val="65"/>
              </w:numPr>
              <w:tabs>
                <w:tab w:pos="320" w:val="left" w:leader="none"/>
              </w:tabs>
              <w:spacing w:line="217" w:lineRule="exact" w:before="0" w:after="0"/>
              <w:ind w:left="319" w:right="0" w:hanging="219"/>
              <w:jc w:val="left"/>
              <w:rPr>
                <w:sz w:val="18"/>
              </w:rPr>
            </w:pPr>
            <w:r>
              <w:rPr>
                <w:sz w:val="18"/>
              </w:rPr>
              <w:t>Capacitación del</w:t>
            </w:r>
            <w:r>
              <w:rPr>
                <w:spacing w:val="-13"/>
                <w:sz w:val="18"/>
              </w:rPr>
              <w:t> </w:t>
            </w:r>
            <w:r>
              <w:rPr>
                <w:sz w:val="18"/>
              </w:rPr>
              <w:t>personal.</w:t>
            </w:r>
          </w:p>
          <w:p>
            <w:pPr>
              <w:pStyle w:val="TableParagraph"/>
              <w:numPr>
                <w:ilvl w:val="0"/>
                <w:numId w:val="65"/>
              </w:numPr>
              <w:tabs>
                <w:tab w:pos="320" w:val="left" w:leader="none"/>
              </w:tabs>
              <w:spacing w:line="240" w:lineRule="auto" w:before="31" w:after="0"/>
              <w:ind w:left="319" w:right="0" w:hanging="219"/>
              <w:jc w:val="left"/>
              <w:rPr>
                <w:sz w:val="18"/>
              </w:rPr>
            </w:pPr>
            <w:r>
              <w:rPr>
                <w:sz w:val="18"/>
              </w:rPr>
              <w:t>Difusión de las actividades del</w:t>
            </w:r>
            <w:r>
              <w:rPr>
                <w:spacing w:val="-15"/>
                <w:sz w:val="18"/>
              </w:rPr>
              <w:t> </w:t>
            </w:r>
            <w:r>
              <w:rPr>
                <w:sz w:val="18"/>
              </w:rPr>
              <w:t>GA.</w:t>
            </w:r>
          </w:p>
          <w:p>
            <w:pPr>
              <w:pStyle w:val="TableParagraph"/>
              <w:numPr>
                <w:ilvl w:val="0"/>
                <w:numId w:val="65"/>
              </w:numPr>
              <w:tabs>
                <w:tab w:pos="320" w:val="left" w:leader="none"/>
              </w:tabs>
              <w:spacing w:line="240" w:lineRule="auto" w:before="29" w:after="0"/>
              <w:ind w:left="319" w:right="0" w:hanging="219"/>
              <w:jc w:val="left"/>
              <w:rPr>
                <w:sz w:val="18"/>
              </w:rPr>
            </w:pPr>
            <w:r>
              <w:rPr>
                <w:sz w:val="18"/>
              </w:rPr>
              <w:t>Adquisición equipo de</w:t>
            </w:r>
            <w:r>
              <w:rPr>
                <w:spacing w:val="-14"/>
                <w:sz w:val="18"/>
              </w:rPr>
              <w:t> </w:t>
            </w:r>
            <w:r>
              <w:rPr>
                <w:sz w:val="18"/>
              </w:rPr>
              <w:t>cómputo.</w:t>
            </w:r>
          </w:p>
          <w:p>
            <w:pPr>
              <w:pStyle w:val="TableParagraph"/>
              <w:numPr>
                <w:ilvl w:val="0"/>
                <w:numId w:val="65"/>
              </w:numPr>
              <w:tabs>
                <w:tab w:pos="320" w:val="left" w:leader="none"/>
              </w:tabs>
              <w:spacing w:line="240" w:lineRule="auto" w:before="29" w:after="0"/>
              <w:ind w:left="319" w:right="0" w:hanging="219"/>
              <w:jc w:val="left"/>
              <w:rPr>
                <w:sz w:val="18"/>
              </w:rPr>
            </w:pPr>
            <w:r>
              <w:rPr>
                <w:sz w:val="18"/>
              </w:rPr>
              <w:t>Crear un área</w:t>
            </w:r>
            <w:r>
              <w:rPr>
                <w:spacing w:val="-9"/>
                <w:sz w:val="18"/>
              </w:rPr>
              <w:t> </w:t>
            </w:r>
            <w:r>
              <w:rPr>
                <w:sz w:val="18"/>
              </w:rPr>
              <w:t>responsable.</w:t>
            </w:r>
          </w:p>
        </w:tc>
      </w:tr>
      <w:tr>
        <w:trPr>
          <w:trHeight w:val="1724" w:hRule="exact"/>
        </w:trPr>
        <w:tc>
          <w:tcPr>
            <w:tcW w:w="1656" w:type="dxa"/>
          </w:tcPr>
          <w:p>
            <w:pPr>
              <w:pStyle w:val="TableParagraph"/>
              <w:jc w:val="left"/>
              <w:rPr>
                <w:sz w:val="18"/>
              </w:rPr>
            </w:pPr>
          </w:p>
          <w:p>
            <w:pPr>
              <w:pStyle w:val="TableParagraph"/>
              <w:spacing w:before="10"/>
              <w:jc w:val="left"/>
              <w:rPr>
                <w:sz w:val="16"/>
              </w:rPr>
            </w:pPr>
          </w:p>
          <w:p>
            <w:pPr>
              <w:pStyle w:val="TableParagraph"/>
              <w:spacing w:before="1"/>
              <w:ind w:left="103"/>
              <w:jc w:val="left"/>
              <w:rPr>
                <w:sz w:val="18"/>
              </w:rPr>
            </w:pPr>
            <w:r>
              <w:rPr>
                <w:sz w:val="18"/>
              </w:rPr>
              <w:t>Entre 53 y 104</w:t>
            </w:r>
          </w:p>
        </w:tc>
        <w:tc>
          <w:tcPr>
            <w:tcW w:w="3167" w:type="dxa"/>
          </w:tcPr>
          <w:p>
            <w:pPr>
              <w:pStyle w:val="TableParagraph"/>
              <w:spacing w:line="242" w:lineRule="auto"/>
              <w:ind w:left="103" w:right="101"/>
              <w:jc w:val="both"/>
              <w:rPr>
                <w:sz w:val="18"/>
              </w:rPr>
            </w:pPr>
            <w:r>
              <w:rPr>
                <w:b/>
                <w:sz w:val="18"/>
              </w:rPr>
              <w:t>Nivel II. </w:t>
            </w:r>
            <w:r>
              <w:rPr>
                <w:sz w:val="18"/>
              </w:rPr>
              <w:t>El nivel de institucionalización es poco significativo</w:t>
            </w:r>
            <w:r>
              <w:rPr>
                <w:spacing w:val="-12"/>
                <w:sz w:val="18"/>
              </w:rPr>
              <w:t> </w:t>
            </w:r>
            <w:r>
              <w:rPr>
                <w:sz w:val="18"/>
              </w:rPr>
              <w:t>ya</w:t>
            </w:r>
            <w:r>
              <w:rPr>
                <w:spacing w:val="-12"/>
                <w:sz w:val="18"/>
              </w:rPr>
              <w:t> </w:t>
            </w:r>
            <w:r>
              <w:rPr>
                <w:sz w:val="18"/>
              </w:rPr>
              <w:t>que</w:t>
            </w:r>
            <w:r>
              <w:rPr>
                <w:spacing w:val="-12"/>
                <w:sz w:val="18"/>
              </w:rPr>
              <w:t> </w:t>
            </w:r>
            <w:r>
              <w:rPr>
                <w:sz w:val="18"/>
              </w:rPr>
              <w:t>las</w:t>
            </w:r>
            <w:r>
              <w:rPr>
                <w:spacing w:val="-12"/>
                <w:sz w:val="18"/>
              </w:rPr>
              <w:t> </w:t>
            </w:r>
            <w:r>
              <w:rPr>
                <w:sz w:val="18"/>
              </w:rPr>
              <w:t>actividades</w:t>
            </w:r>
            <w:r>
              <w:rPr>
                <w:spacing w:val="-12"/>
                <w:sz w:val="18"/>
              </w:rPr>
              <w:t> </w:t>
            </w:r>
            <w:r>
              <w:rPr>
                <w:sz w:val="18"/>
              </w:rPr>
              <w:t>se realizan por obligación y existen incumplimientos de la</w:t>
            </w:r>
            <w:r>
              <w:rPr>
                <w:spacing w:val="-14"/>
                <w:sz w:val="18"/>
              </w:rPr>
              <w:t> </w:t>
            </w:r>
            <w:r>
              <w:rPr>
                <w:sz w:val="18"/>
              </w:rPr>
              <w:t>ley.</w:t>
            </w:r>
          </w:p>
        </w:tc>
        <w:tc>
          <w:tcPr>
            <w:tcW w:w="3538" w:type="dxa"/>
          </w:tcPr>
          <w:p>
            <w:pPr>
              <w:pStyle w:val="TableParagraph"/>
              <w:numPr>
                <w:ilvl w:val="0"/>
                <w:numId w:val="66"/>
              </w:numPr>
              <w:tabs>
                <w:tab w:pos="320" w:val="left" w:leader="none"/>
              </w:tabs>
              <w:spacing w:line="271" w:lineRule="auto" w:before="0" w:after="0"/>
              <w:ind w:left="319" w:right="101" w:hanging="219"/>
              <w:jc w:val="left"/>
              <w:rPr>
                <w:sz w:val="18"/>
              </w:rPr>
            </w:pPr>
            <w:r>
              <w:rPr>
                <w:sz w:val="18"/>
              </w:rPr>
              <w:t>Asignar mayores recursos al área responsable.</w:t>
            </w:r>
          </w:p>
          <w:p>
            <w:pPr>
              <w:pStyle w:val="TableParagraph"/>
              <w:numPr>
                <w:ilvl w:val="0"/>
                <w:numId w:val="66"/>
              </w:numPr>
              <w:tabs>
                <w:tab w:pos="320" w:val="left" w:leader="none"/>
              </w:tabs>
              <w:spacing w:line="271" w:lineRule="auto" w:before="4" w:after="0"/>
              <w:ind w:left="319" w:right="100" w:hanging="219"/>
              <w:jc w:val="left"/>
              <w:rPr>
                <w:sz w:val="18"/>
              </w:rPr>
            </w:pPr>
            <w:r>
              <w:rPr>
                <w:sz w:val="18"/>
              </w:rPr>
              <w:t>Definir normas y procedimientos para crear un control de</w:t>
            </w:r>
            <w:r>
              <w:rPr>
                <w:spacing w:val="-13"/>
                <w:sz w:val="18"/>
              </w:rPr>
              <w:t> </w:t>
            </w:r>
            <w:r>
              <w:rPr>
                <w:sz w:val="18"/>
              </w:rPr>
              <w:t>archivos.</w:t>
            </w:r>
          </w:p>
          <w:p>
            <w:pPr>
              <w:pStyle w:val="TableParagraph"/>
              <w:numPr>
                <w:ilvl w:val="0"/>
                <w:numId w:val="66"/>
              </w:numPr>
              <w:tabs>
                <w:tab w:pos="320" w:val="left" w:leader="none"/>
              </w:tabs>
              <w:spacing w:line="271" w:lineRule="auto" w:before="6" w:after="0"/>
              <w:ind w:left="319" w:right="100" w:hanging="219"/>
              <w:jc w:val="left"/>
              <w:rPr>
                <w:sz w:val="18"/>
              </w:rPr>
            </w:pPr>
            <w:r>
              <w:rPr>
                <w:sz w:val="18"/>
              </w:rPr>
              <w:t>Aplicar sanciones a quienes</w:t>
            </w:r>
            <w:r>
              <w:rPr>
                <w:spacing w:val="-19"/>
                <w:sz w:val="18"/>
              </w:rPr>
              <w:t> </w:t>
            </w:r>
            <w:r>
              <w:rPr>
                <w:sz w:val="18"/>
              </w:rPr>
              <w:t>incumplen con la ley</w:t>
            </w:r>
            <w:r>
              <w:rPr>
                <w:spacing w:val="-12"/>
                <w:sz w:val="18"/>
              </w:rPr>
              <w:t> </w:t>
            </w:r>
            <w:r>
              <w:rPr>
                <w:sz w:val="18"/>
              </w:rPr>
              <w:t>correspondiente.</w:t>
            </w:r>
          </w:p>
          <w:p>
            <w:pPr>
              <w:pStyle w:val="TableParagraph"/>
              <w:numPr>
                <w:ilvl w:val="0"/>
                <w:numId w:val="66"/>
              </w:numPr>
              <w:tabs>
                <w:tab w:pos="320" w:val="left" w:leader="none"/>
              </w:tabs>
              <w:spacing w:line="240" w:lineRule="auto" w:before="4" w:after="0"/>
              <w:ind w:left="319" w:right="0" w:hanging="219"/>
              <w:jc w:val="left"/>
              <w:rPr>
                <w:sz w:val="18"/>
              </w:rPr>
            </w:pPr>
            <w:r>
              <w:rPr>
                <w:sz w:val="18"/>
              </w:rPr>
              <w:t>Incentivar al</w:t>
            </w:r>
            <w:r>
              <w:rPr>
                <w:spacing w:val="-9"/>
                <w:sz w:val="18"/>
              </w:rPr>
              <w:t> </w:t>
            </w:r>
            <w:r>
              <w:rPr>
                <w:sz w:val="18"/>
              </w:rPr>
              <w:t>personal.</w:t>
            </w:r>
          </w:p>
        </w:tc>
      </w:tr>
      <w:tr>
        <w:trPr>
          <w:trHeight w:val="1476" w:hRule="exact"/>
        </w:trPr>
        <w:tc>
          <w:tcPr>
            <w:tcW w:w="1656" w:type="dxa"/>
          </w:tcPr>
          <w:p>
            <w:pPr>
              <w:pStyle w:val="TableParagraph"/>
              <w:jc w:val="left"/>
              <w:rPr>
                <w:sz w:val="18"/>
              </w:rPr>
            </w:pPr>
          </w:p>
          <w:p>
            <w:pPr>
              <w:pStyle w:val="TableParagraph"/>
              <w:spacing w:before="1"/>
              <w:jc w:val="left"/>
              <w:rPr>
                <w:sz w:val="17"/>
              </w:rPr>
            </w:pPr>
          </w:p>
          <w:p>
            <w:pPr>
              <w:pStyle w:val="TableParagraph"/>
              <w:spacing w:before="1"/>
              <w:ind w:left="103"/>
              <w:jc w:val="left"/>
              <w:rPr>
                <w:sz w:val="18"/>
              </w:rPr>
            </w:pPr>
            <w:r>
              <w:rPr>
                <w:sz w:val="18"/>
              </w:rPr>
              <w:t>Entre 105 y 157</w:t>
            </w:r>
          </w:p>
        </w:tc>
        <w:tc>
          <w:tcPr>
            <w:tcW w:w="3167" w:type="dxa"/>
          </w:tcPr>
          <w:p>
            <w:pPr>
              <w:pStyle w:val="TableParagraph"/>
              <w:spacing w:line="242" w:lineRule="auto"/>
              <w:ind w:left="103" w:right="101"/>
              <w:jc w:val="both"/>
              <w:rPr>
                <w:sz w:val="18"/>
              </w:rPr>
            </w:pPr>
            <w:r>
              <w:rPr>
                <w:b/>
                <w:sz w:val="18"/>
              </w:rPr>
              <w:t>Nivel III. </w:t>
            </w:r>
            <w:r>
              <w:rPr>
                <w:sz w:val="18"/>
              </w:rPr>
              <w:t>Tiene un escenario discursivo que permite evidenciar cumplimiento de la ley, pero en la práctica no se cumplen los principios del GA como una práctica cotidiana.</w:t>
            </w:r>
          </w:p>
        </w:tc>
        <w:tc>
          <w:tcPr>
            <w:tcW w:w="3538" w:type="dxa"/>
          </w:tcPr>
          <w:p>
            <w:pPr>
              <w:pStyle w:val="TableParagraph"/>
              <w:numPr>
                <w:ilvl w:val="0"/>
                <w:numId w:val="67"/>
              </w:numPr>
              <w:tabs>
                <w:tab w:pos="320" w:val="left" w:leader="none"/>
              </w:tabs>
              <w:spacing w:line="273" w:lineRule="auto" w:before="0" w:after="0"/>
              <w:ind w:left="319" w:right="101" w:hanging="219"/>
              <w:jc w:val="left"/>
              <w:rPr>
                <w:sz w:val="18"/>
              </w:rPr>
            </w:pPr>
            <w:r>
              <w:rPr>
                <w:sz w:val="18"/>
              </w:rPr>
              <w:t>Reforzar los beneficios de aplicar el GA.</w:t>
            </w:r>
          </w:p>
          <w:p>
            <w:pPr>
              <w:pStyle w:val="TableParagraph"/>
              <w:numPr>
                <w:ilvl w:val="0"/>
                <w:numId w:val="67"/>
              </w:numPr>
              <w:tabs>
                <w:tab w:pos="320" w:val="left" w:leader="none"/>
              </w:tabs>
              <w:spacing w:line="271" w:lineRule="auto" w:before="2" w:after="0"/>
              <w:ind w:left="319" w:right="103" w:hanging="219"/>
              <w:jc w:val="left"/>
              <w:rPr>
                <w:sz w:val="18"/>
              </w:rPr>
            </w:pPr>
            <w:r>
              <w:rPr>
                <w:sz w:val="18"/>
              </w:rPr>
              <w:t>Mejorar el compromiso institucional de los servidores</w:t>
            </w:r>
            <w:r>
              <w:rPr>
                <w:spacing w:val="-9"/>
                <w:sz w:val="18"/>
              </w:rPr>
              <w:t> </w:t>
            </w:r>
            <w:r>
              <w:rPr>
                <w:sz w:val="18"/>
              </w:rPr>
              <w:t>públicos.</w:t>
            </w:r>
          </w:p>
          <w:p>
            <w:pPr>
              <w:pStyle w:val="TableParagraph"/>
              <w:numPr>
                <w:ilvl w:val="0"/>
                <w:numId w:val="67"/>
              </w:numPr>
              <w:tabs>
                <w:tab w:pos="320" w:val="left" w:leader="none"/>
              </w:tabs>
              <w:spacing w:line="271" w:lineRule="auto" w:before="4" w:after="0"/>
              <w:ind w:left="319" w:right="102" w:hanging="219"/>
              <w:jc w:val="left"/>
              <w:rPr>
                <w:sz w:val="18"/>
              </w:rPr>
            </w:pPr>
            <w:r>
              <w:rPr>
                <w:sz w:val="18"/>
              </w:rPr>
              <w:t>Realizar concursos de las mejores prácticas de</w:t>
            </w:r>
            <w:r>
              <w:rPr>
                <w:spacing w:val="-8"/>
                <w:sz w:val="18"/>
              </w:rPr>
              <w:t> </w:t>
            </w:r>
            <w:r>
              <w:rPr>
                <w:sz w:val="18"/>
              </w:rPr>
              <w:t>transparencia.</w:t>
            </w:r>
          </w:p>
        </w:tc>
      </w:tr>
      <w:tr>
        <w:trPr>
          <w:trHeight w:val="986" w:hRule="exact"/>
        </w:trPr>
        <w:tc>
          <w:tcPr>
            <w:tcW w:w="1656" w:type="dxa"/>
          </w:tcPr>
          <w:p>
            <w:pPr>
              <w:pStyle w:val="TableParagraph"/>
              <w:jc w:val="left"/>
              <w:rPr>
                <w:sz w:val="18"/>
              </w:rPr>
            </w:pPr>
          </w:p>
          <w:p>
            <w:pPr>
              <w:pStyle w:val="TableParagraph"/>
              <w:spacing w:before="10"/>
              <w:jc w:val="left"/>
              <w:rPr>
                <w:sz w:val="16"/>
              </w:rPr>
            </w:pPr>
          </w:p>
          <w:p>
            <w:pPr>
              <w:pStyle w:val="TableParagraph"/>
              <w:spacing w:before="1"/>
              <w:ind w:left="103"/>
              <w:jc w:val="left"/>
              <w:rPr>
                <w:sz w:val="18"/>
              </w:rPr>
            </w:pPr>
            <w:r>
              <w:rPr>
                <w:sz w:val="18"/>
              </w:rPr>
              <w:t>Entre 158 y 210</w:t>
            </w:r>
          </w:p>
        </w:tc>
        <w:tc>
          <w:tcPr>
            <w:tcW w:w="3167" w:type="dxa"/>
          </w:tcPr>
          <w:p>
            <w:pPr>
              <w:pStyle w:val="TableParagraph"/>
              <w:spacing w:line="242" w:lineRule="auto"/>
              <w:ind w:left="103" w:right="102"/>
              <w:jc w:val="both"/>
              <w:rPr>
                <w:sz w:val="18"/>
              </w:rPr>
            </w:pPr>
            <w:r>
              <w:rPr>
                <w:b/>
                <w:sz w:val="18"/>
              </w:rPr>
              <w:t>Nivel IV. </w:t>
            </w:r>
            <w:r>
              <w:rPr>
                <w:sz w:val="18"/>
              </w:rPr>
              <w:t>Se da cumplimiento cabalmente con los principios del</w:t>
            </w:r>
            <w:r>
              <w:rPr>
                <w:spacing w:val="-26"/>
                <w:sz w:val="18"/>
              </w:rPr>
              <w:t> </w:t>
            </w:r>
            <w:r>
              <w:rPr>
                <w:sz w:val="18"/>
              </w:rPr>
              <w:t>GA y se evidencia su práctica</w:t>
            </w:r>
            <w:r>
              <w:rPr>
                <w:spacing w:val="-17"/>
                <w:sz w:val="18"/>
              </w:rPr>
              <w:t> </w:t>
            </w:r>
            <w:r>
              <w:rPr>
                <w:sz w:val="18"/>
              </w:rPr>
              <w:t>cotidiana.</w:t>
            </w:r>
          </w:p>
        </w:tc>
        <w:tc>
          <w:tcPr>
            <w:tcW w:w="3538" w:type="dxa"/>
          </w:tcPr>
          <w:p>
            <w:pPr>
              <w:pStyle w:val="TableParagraph"/>
              <w:numPr>
                <w:ilvl w:val="0"/>
                <w:numId w:val="68"/>
              </w:numPr>
              <w:tabs>
                <w:tab w:pos="320" w:val="left" w:leader="none"/>
              </w:tabs>
              <w:spacing w:line="271" w:lineRule="auto" w:before="0" w:after="0"/>
              <w:ind w:left="319" w:right="103" w:hanging="219"/>
              <w:jc w:val="left"/>
              <w:rPr>
                <w:sz w:val="18"/>
              </w:rPr>
            </w:pPr>
            <w:r>
              <w:rPr>
                <w:sz w:val="18"/>
              </w:rPr>
              <w:t>Compartir con otros municipios los éxitos</w:t>
            </w:r>
            <w:r>
              <w:rPr>
                <w:spacing w:val="-7"/>
                <w:sz w:val="18"/>
              </w:rPr>
              <w:t> </w:t>
            </w:r>
            <w:r>
              <w:rPr>
                <w:sz w:val="18"/>
              </w:rPr>
              <w:t>obtenidos.</w:t>
            </w:r>
          </w:p>
          <w:p>
            <w:pPr>
              <w:pStyle w:val="TableParagraph"/>
              <w:numPr>
                <w:ilvl w:val="0"/>
                <w:numId w:val="68"/>
              </w:numPr>
              <w:tabs>
                <w:tab w:pos="320" w:val="left" w:leader="none"/>
              </w:tabs>
              <w:spacing w:line="271" w:lineRule="auto" w:before="4" w:after="0"/>
              <w:ind w:left="319" w:right="103" w:hanging="219"/>
              <w:jc w:val="left"/>
              <w:rPr>
                <w:sz w:val="18"/>
              </w:rPr>
            </w:pPr>
            <w:r>
              <w:rPr>
                <w:sz w:val="18"/>
              </w:rPr>
              <w:t>Evaluar prácticas de transparencia de otras</w:t>
            </w:r>
            <w:r>
              <w:rPr>
                <w:spacing w:val="-6"/>
                <w:sz w:val="18"/>
              </w:rPr>
              <w:t> </w:t>
            </w:r>
            <w:r>
              <w:rPr>
                <w:sz w:val="18"/>
              </w:rPr>
              <w:t>instituciones.</w:t>
            </w:r>
          </w:p>
        </w:tc>
      </w:tr>
    </w:tbl>
    <w:p>
      <w:pPr>
        <w:pStyle w:val="BodyText"/>
        <w:rPr>
          <w:sz w:val="20"/>
        </w:rPr>
      </w:pPr>
    </w:p>
    <w:p>
      <w:pPr>
        <w:pStyle w:val="BodyText"/>
        <w:spacing w:before="11"/>
        <w:rPr>
          <w:sz w:val="26"/>
        </w:rPr>
      </w:pPr>
    </w:p>
    <w:p>
      <w:pPr>
        <w:pStyle w:val="BodyText"/>
        <w:spacing w:line="360" w:lineRule="auto" w:before="69"/>
        <w:ind w:left="614" w:right="115"/>
        <w:jc w:val="both"/>
      </w:pPr>
      <w:r>
        <w:rPr/>
        <w:t>En estos niveles de institucionalización los municipios mexiquenses se posicionan en el III. Ya que existe cumplimiento de la ley, pero predomina el escenario discursivo sobre la práctica de la transparencia. En este sentido se necesita hacer estudios más precisos y focalizados en los municipios mexiquenses para identificar de manera más concreta algunos elementos que permitan mejorar la práctica de la transparencia.</w:t>
      </w:r>
    </w:p>
    <w:p>
      <w:pPr>
        <w:pStyle w:val="BodyText"/>
      </w:pPr>
    </w:p>
    <w:p>
      <w:pPr>
        <w:pStyle w:val="BodyText"/>
        <w:spacing w:before="7"/>
        <w:rPr>
          <w:sz w:val="33"/>
        </w:rPr>
      </w:pPr>
    </w:p>
    <w:p>
      <w:pPr>
        <w:pStyle w:val="ListParagraph"/>
        <w:numPr>
          <w:ilvl w:val="0"/>
          <w:numId w:val="64"/>
        </w:numPr>
        <w:tabs>
          <w:tab w:pos="476" w:val="left" w:leader="none"/>
        </w:tabs>
        <w:spacing w:line="360" w:lineRule="auto" w:before="0" w:after="0"/>
        <w:ind w:left="475" w:right="116" w:hanging="360"/>
        <w:jc w:val="both"/>
        <w:rPr>
          <w:sz w:val="24"/>
        </w:rPr>
      </w:pPr>
      <w:r>
        <w:rPr>
          <w:sz w:val="24"/>
        </w:rPr>
        <w:t>En lo que respecta a la práctica de la transparencia por parte de los municipios del Estado de México es importante resaltar que la hipótesis planteada al inicio de la investigación en la que se hizo referencia a que mejorar las condiciones administrativas</w:t>
      </w:r>
      <w:r>
        <w:rPr>
          <w:spacing w:val="-7"/>
          <w:sz w:val="24"/>
        </w:rPr>
        <w:t> </w:t>
      </w:r>
      <w:r>
        <w:rPr>
          <w:sz w:val="24"/>
        </w:rPr>
        <w:t>de</w:t>
      </w:r>
      <w:r>
        <w:rPr>
          <w:spacing w:val="-6"/>
          <w:sz w:val="24"/>
        </w:rPr>
        <w:t> </w:t>
      </w:r>
      <w:r>
        <w:rPr>
          <w:sz w:val="24"/>
        </w:rPr>
        <w:t>los</w:t>
      </w:r>
      <w:r>
        <w:rPr>
          <w:spacing w:val="-9"/>
          <w:sz w:val="24"/>
        </w:rPr>
        <w:t> </w:t>
      </w:r>
      <w:r>
        <w:rPr>
          <w:sz w:val="24"/>
        </w:rPr>
        <w:t>gobiernos</w:t>
      </w:r>
      <w:r>
        <w:rPr>
          <w:spacing w:val="-7"/>
          <w:sz w:val="24"/>
        </w:rPr>
        <w:t> </w:t>
      </w:r>
      <w:r>
        <w:rPr>
          <w:sz w:val="24"/>
        </w:rPr>
        <w:t>tales</w:t>
      </w:r>
      <w:r>
        <w:rPr>
          <w:spacing w:val="-7"/>
          <w:sz w:val="24"/>
        </w:rPr>
        <w:t> </w:t>
      </w:r>
      <w:r>
        <w:rPr>
          <w:sz w:val="24"/>
        </w:rPr>
        <w:t>como:</w:t>
      </w:r>
      <w:r>
        <w:rPr>
          <w:spacing w:val="-11"/>
          <w:sz w:val="24"/>
        </w:rPr>
        <w:t> </w:t>
      </w:r>
      <w:r>
        <w:rPr>
          <w:sz w:val="24"/>
        </w:rPr>
        <w:t>el</w:t>
      </w:r>
      <w:r>
        <w:rPr>
          <w:spacing w:val="-7"/>
          <w:sz w:val="24"/>
        </w:rPr>
        <w:t> </w:t>
      </w:r>
      <w:r>
        <w:rPr>
          <w:sz w:val="24"/>
        </w:rPr>
        <w:t>presupuesto</w:t>
      </w:r>
      <w:r>
        <w:rPr>
          <w:spacing w:val="-6"/>
          <w:sz w:val="24"/>
        </w:rPr>
        <w:t> </w:t>
      </w:r>
      <w:r>
        <w:rPr>
          <w:sz w:val="24"/>
        </w:rPr>
        <w:t>e</w:t>
      </w:r>
      <w:r>
        <w:rPr>
          <w:spacing w:val="-8"/>
          <w:sz w:val="24"/>
        </w:rPr>
        <w:t> </w:t>
      </w:r>
      <w:r>
        <w:rPr>
          <w:sz w:val="24"/>
        </w:rPr>
        <w:t>infraestructura</w:t>
      </w:r>
      <w:r>
        <w:rPr>
          <w:spacing w:val="-7"/>
          <w:sz w:val="24"/>
        </w:rPr>
        <w:t> </w:t>
      </w:r>
      <w:r>
        <w:rPr>
          <w:sz w:val="24"/>
        </w:rPr>
        <w:t>del municipio, número de personal que desarrollas las función, la capacitación del personal responsable de la función, la participación ciudadana, los recursos tecnológico  para  el  control  de  archivos,  la  continuidad  de  los     </w:t>
      </w:r>
      <w:r>
        <w:rPr>
          <w:spacing w:val="6"/>
          <w:sz w:val="24"/>
        </w:rPr>
        <w:t> </w:t>
      </w:r>
      <w:r>
        <w:rPr>
          <w:sz w:val="24"/>
        </w:rPr>
        <w:t>gobiernos</w:t>
      </w:r>
    </w:p>
    <w:p>
      <w:pPr>
        <w:spacing w:after="0" w:line="360" w:lineRule="auto"/>
        <w:jc w:val="both"/>
        <w:rPr>
          <w:sz w:val="24"/>
        </w:rPr>
        <w:sectPr>
          <w:footerReference w:type="default" r:id="rId147"/>
          <w:pgSz w:w="12240" w:h="15840"/>
          <w:pgMar w:footer="975" w:header="0" w:top="1420" w:bottom="1160" w:left="1560" w:right="1580"/>
          <w:pgNumType w:start="301"/>
        </w:sectPr>
      </w:pPr>
    </w:p>
    <w:p>
      <w:pPr>
        <w:pStyle w:val="BodyText"/>
        <w:spacing w:line="360" w:lineRule="auto" w:before="54"/>
        <w:ind w:left="475" w:right="125"/>
        <w:jc w:val="both"/>
      </w:pPr>
      <w:r>
        <w:rPr/>
        <w:t>municipales,</w:t>
      </w:r>
      <w:r>
        <w:rPr>
          <w:spacing w:val="-11"/>
        </w:rPr>
        <w:t> </w:t>
      </w:r>
      <w:r>
        <w:rPr/>
        <w:t>el</w:t>
      </w:r>
      <w:r>
        <w:rPr>
          <w:spacing w:val="-12"/>
        </w:rPr>
        <w:t> </w:t>
      </w:r>
      <w:r>
        <w:rPr/>
        <w:t>género</w:t>
      </w:r>
      <w:r>
        <w:rPr>
          <w:spacing w:val="-14"/>
        </w:rPr>
        <w:t> </w:t>
      </w:r>
      <w:r>
        <w:rPr/>
        <w:t>de</w:t>
      </w:r>
      <w:r>
        <w:rPr>
          <w:spacing w:val="-11"/>
        </w:rPr>
        <w:t> </w:t>
      </w:r>
      <w:r>
        <w:rPr/>
        <w:t>los</w:t>
      </w:r>
      <w:r>
        <w:rPr>
          <w:spacing w:val="-11"/>
        </w:rPr>
        <w:t> </w:t>
      </w:r>
      <w:r>
        <w:rPr/>
        <w:t>gobernantes</w:t>
      </w:r>
      <w:r>
        <w:rPr>
          <w:spacing w:val="-12"/>
        </w:rPr>
        <w:t> </w:t>
      </w:r>
      <w:r>
        <w:rPr/>
        <w:t>y</w:t>
      </w:r>
      <w:r>
        <w:rPr>
          <w:spacing w:val="-14"/>
        </w:rPr>
        <w:t> </w:t>
      </w:r>
      <w:r>
        <w:rPr/>
        <w:t>el</w:t>
      </w:r>
      <w:r>
        <w:rPr>
          <w:spacing w:val="-12"/>
        </w:rPr>
        <w:t> </w:t>
      </w:r>
      <w:r>
        <w:rPr/>
        <w:t>nivel</w:t>
      </w:r>
      <w:r>
        <w:rPr>
          <w:spacing w:val="-12"/>
        </w:rPr>
        <w:t> </w:t>
      </w:r>
      <w:r>
        <w:rPr/>
        <w:t>educativo</w:t>
      </w:r>
      <w:r>
        <w:rPr>
          <w:spacing w:val="-11"/>
        </w:rPr>
        <w:t> </w:t>
      </w:r>
      <w:r>
        <w:rPr/>
        <w:t>de</w:t>
      </w:r>
      <w:r>
        <w:rPr>
          <w:spacing w:val="-11"/>
        </w:rPr>
        <w:t> </w:t>
      </w:r>
      <w:r>
        <w:rPr/>
        <w:t>la</w:t>
      </w:r>
      <w:r>
        <w:rPr>
          <w:spacing w:val="-11"/>
        </w:rPr>
        <w:t> </w:t>
      </w:r>
      <w:r>
        <w:rPr/>
        <w:t>población</w:t>
      </w:r>
      <w:r>
        <w:rPr>
          <w:spacing w:val="-13"/>
        </w:rPr>
        <w:t> </w:t>
      </w:r>
      <w:r>
        <w:rPr/>
        <w:t>no mejorarán el cumplimiento de la ley si no hay voluntad política del gobierno en turno para romper con los esquemas de opacidad existentes es confirmada, ya que de manera individual ninguna variable resultó ser estadísticamente significativa para lograr el cumplimiento de la ley de</w:t>
      </w:r>
      <w:r>
        <w:rPr>
          <w:spacing w:val="-20"/>
        </w:rPr>
        <w:t> </w:t>
      </w:r>
      <w:r>
        <w:rPr/>
        <w:t>transparencia.</w:t>
      </w:r>
    </w:p>
    <w:p>
      <w:pPr>
        <w:pStyle w:val="BodyText"/>
      </w:pPr>
    </w:p>
    <w:p>
      <w:pPr>
        <w:pStyle w:val="ListParagraph"/>
        <w:numPr>
          <w:ilvl w:val="0"/>
          <w:numId w:val="64"/>
        </w:numPr>
        <w:tabs>
          <w:tab w:pos="476" w:val="left" w:leader="none"/>
        </w:tabs>
        <w:spacing w:line="360" w:lineRule="auto" w:before="142" w:after="0"/>
        <w:ind w:left="475" w:right="118" w:hanging="360"/>
        <w:jc w:val="both"/>
        <w:rPr>
          <w:sz w:val="24"/>
        </w:rPr>
      </w:pPr>
      <w:r>
        <w:rPr>
          <w:sz w:val="24"/>
        </w:rPr>
        <w:t>La</w:t>
      </w:r>
      <w:r>
        <w:rPr>
          <w:spacing w:val="-5"/>
          <w:sz w:val="24"/>
        </w:rPr>
        <w:t> </w:t>
      </w:r>
      <w:r>
        <w:rPr>
          <w:sz w:val="24"/>
        </w:rPr>
        <w:t>capacidad</w:t>
      </w:r>
      <w:r>
        <w:rPr>
          <w:spacing w:val="-5"/>
          <w:sz w:val="24"/>
        </w:rPr>
        <w:t> </w:t>
      </w:r>
      <w:r>
        <w:rPr>
          <w:sz w:val="24"/>
        </w:rPr>
        <w:t>institucional</w:t>
      </w:r>
      <w:r>
        <w:rPr>
          <w:spacing w:val="-6"/>
          <w:sz w:val="24"/>
        </w:rPr>
        <w:t> </w:t>
      </w:r>
      <w:r>
        <w:rPr>
          <w:sz w:val="24"/>
        </w:rPr>
        <w:t>con</w:t>
      </w:r>
      <w:r>
        <w:rPr>
          <w:spacing w:val="-5"/>
          <w:sz w:val="24"/>
        </w:rPr>
        <w:t> </w:t>
      </w:r>
      <w:r>
        <w:rPr>
          <w:sz w:val="24"/>
        </w:rPr>
        <w:t>que</w:t>
      </w:r>
      <w:r>
        <w:rPr>
          <w:spacing w:val="-5"/>
          <w:sz w:val="24"/>
        </w:rPr>
        <w:t> </w:t>
      </w:r>
      <w:r>
        <w:rPr>
          <w:sz w:val="24"/>
        </w:rPr>
        <w:t>cuentan</w:t>
      </w:r>
      <w:r>
        <w:rPr>
          <w:spacing w:val="-5"/>
          <w:sz w:val="24"/>
        </w:rPr>
        <w:t> </w:t>
      </w:r>
      <w:r>
        <w:rPr>
          <w:sz w:val="24"/>
        </w:rPr>
        <w:t>los</w:t>
      </w:r>
      <w:r>
        <w:rPr>
          <w:spacing w:val="-5"/>
          <w:sz w:val="24"/>
        </w:rPr>
        <w:t> </w:t>
      </w:r>
      <w:r>
        <w:rPr>
          <w:sz w:val="24"/>
        </w:rPr>
        <w:t>municipios</w:t>
      </w:r>
      <w:r>
        <w:rPr>
          <w:spacing w:val="-5"/>
          <w:sz w:val="24"/>
        </w:rPr>
        <w:t> </w:t>
      </w:r>
      <w:r>
        <w:rPr>
          <w:sz w:val="24"/>
        </w:rPr>
        <w:t>del</w:t>
      </w:r>
      <w:r>
        <w:rPr>
          <w:spacing w:val="-6"/>
          <w:sz w:val="24"/>
        </w:rPr>
        <w:t> </w:t>
      </w:r>
      <w:r>
        <w:rPr>
          <w:sz w:val="24"/>
        </w:rPr>
        <w:t>Estado</w:t>
      </w:r>
      <w:r>
        <w:rPr>
          <w:spacing w:val="-5"/>
          <w:sz w:val="24"/>
        </w:rPr>
        <w:t> </w:t>
      </w:r>
      <w:r>
        <w:rPr>
          <w:sz w:val="24"/>
        </w:rPr>
        <w:t>de</w:t>
      </w:r>
      <w:r>
        <w:rPr>
          <w:spacing w:val="-5"/>
          <w:sz w:val="24"/>
        </w:rPr>
        <w:t> </w:t>
      </w:r>
      <w:r>
        <w:rPr>
          <w:sz w:val="24"/>
        </w:rPr>
        <w:t>México siguen siendo insuficientes, ya que los responsables de transparencia no tienen el perfil adecuado, hace falta personal, equipo de cómputo, control de archivos, información histórica, presupuesto y voluntad política de los presidentes municipales para mejorar el cumplimiento de la ley de transparencia. Asimismo, los constantes cambios de administración se han convertido en un talón de Aquiles</w:t>
      </w:r>
      <w:r>
        <w:rPr>
          <w:spacing w:val="-20"/>
          <w:sz w:val="24"/>
        </w:rPr>
        <w:t> </w:t>
      </w:r>
      <w:r>
        <w:rPr>
          <w:sz w:val="24"/>
        </w:rPr>
        <w:t>para</w:t>
      </w:r>
      <w:r>
        <w:rPr>
          <w:spacing w:val="-20"/>
          <w:sz w:val="24"/>
        </w:rPr>
        <w:t> </w:t>
      </w:r>
      <w:r>
        <w:rPr>
          <w:sz w:val="24"/>
        </w:rPr>
        <w:t>la</w:t>
      </w:r>
      <w:r>
        <w:rPr>
          <w:spacing w:val="-19"/>
          <w:sz w:val="24"/>
        </w:rPr>
        <w:t> </w:t>
      </w:r>
      <w:r>
        <w:rPr>
          <w:sz w:val="24"/>
        </w:rPr>
        <w:t>transparencia,</w:t>
      </w:r>
      <w:r>
        <w:rPr>
          <w:spacing w:val="-19"/>
          <w:sz w:val="24"/>
        </w:rPr>
        <w:t> </w:t>
      </w:r>
      <w:r>
        <w:rPr>
          <w:sz w:val="24"/>
        </w:rPr>
        <w:t>ya</w:t>
      </w:r>
      <w:r>
        <w:rPr>
          <w:spacing w:val="-19"/>
          <w:sz w:val="24"/>
        </w:rPr>
        <w:t> </w:t>
      </w:r>
      <w:r>
        <w:rPr>
          <w:sz w:val="24"/>
        </w:rPr>
        <w:t>que</w:t>
      </w:r>
      <w:r>
        <w:rPr>
          <w:spacing w:val="-19"/>
          <w:sz w:val="24"/>
        </w:rPr>
        <w:t> </w:t>
      </w:r>
      <w:r>
        <w:rPr>
          <w:sz w:val="24"/>
        </w:rPr>
        <w:t>cada</w:t>
      </w:r>
      <w:r>
        <w:rPr>
          <w:spacing w:val="-19"/>
          <w:sz w:val="24"/>
        </w:rPr>
        <w:t> </w:t>
      </w:r>
      <w:r>
        <w:rPr>
          <w:sz w:val="24"/>
        </w:rPr>
        <w:t>administración</w:t>
      </w:r>
      <w:r>
        <w:rPr>
          <w:spacing w:val="-21"/>
          <w:sz w:val="24"/>
        </w:rPr>
        <w:t> </w:t>
      </w:r>
      <w:r>
        <w:rPr>
          <w:sz w:val="24"/>
        </w:rPr>
        <w:t>que</w:t>
      </w:r>
      <w:r>
        <w:rPr>
          <w:spacing w:val="-19"/>
          <w:sz w:val="24"/>
        </w:rPr>
        <w:t> </w:t>
      </w:r>
      <w:r>
        <w:rPr>
          <w:sz w:val="24"/>
        </w:rPr>
        <w:t>entre</w:t>
      </w:r>
      <w:r>
        <w:rPr>
          <w:spacing w:val="-22"/>
          <w:sz w:val="24"/>
        </w:rPr>
        <w:t> </w:t>
      </w:r>
      <w:r>
        <w:rPr>
          <w:sz w:val="24"/>
        </w:rPr>
        <w:t>pone</w:t>
      </w:r>
      <w:r>
        <w:rPr>
          <w:spacing w:val="-19"/>
          <w:sz w:val="24"/>
        </w:rPr>
        <w:t> </w:t>
      </w:r>
      <w:r>
        <w:rPr>
          <w:sz w:val="24"/>
        </w:rPr>
        <w:t>nuevas reglas sobre la forma de</w:t>
      </w:r>
      <w:r>
        <w:rPr>
          <w:spacing w:val="-6"/>
          <w:sz w:val="24"/>
        </w:rPr>
        <w:t> </w:t>
      </w:r>
      <w:r>
        <w:rPr>
          <w:sz w:val="24"/>
        </w:rPr>
        <w:t>practicarla.</w:t>
      </w:r>
    </w:p>
    <w:p>
      <w:pPr>
        <w:pStyle w:val="BodyText"/>
        <w:spacing w:before="1"/>
        <w:rPr>
          <w:sz w:val="26"/>
        </w:rPr>
      </w:pPr>
    </w:p>
    <w:p>
      <w:pPr>
        <w:pStyle w:val="ListParagraph"/>
        <w:numPr>
          <w:ilvl w:val="0"/>
          <w:numId w:val="64"/>
        </w:numPr>
        <w:tabs>
          <w:tab w:pos="476" w:val="left" w:leader="none"/>
        </w:tabs>
        <w:spacing w:line="360" w:lineRule="auto" w:before="0" w:after="0"/>
        <w:ind w:left="475" w:right="116" w:hanging="360"/>
        <w:jc w:val="both"/>
        <w:rPr>
          <w:sz w:val="24"/>
        </w:rPr>
      </w:pPr>
      <w:r>
        <w:rPr>
          <w:sz w:val="24"/>
        </w:rPr>
        <w:t>Las constantes reformas de la normativa de la transparencia evidencian falta</w:t>
      </w:r>
      <w:r>
        <w:rPr>
          <w:spacing w:val="-37"/>
          <w:sz w:val="24"/>
        </w:rPr>
        <w:t> </w:t>
      </w:r>
      <w:r>
        <w:rPr>
          <w:sz w:val="24"/>
        </w:rPr>
        <w:t>de planeación</w:t>
      </w:r>
      <w:r>
        <w:rPr>
          <w:spacing w:val="-10"/>
          <w:sz w:val="24"/>
        </w:rPr>
        <w:t> </w:t>
      </w:r>
      <w:r>
        <w:rPr>
          <w:sz w:val="24"/>
        </w:rPr>
        <w:t>sobre</w:t>
      </w:r>
      <w:r>
        <w:rPr>
          <w:spacing w:val="-14"/>
          <w:sz w:val="24"/>
        </w:rPr>
        <w:t> </w:t>
      </w:r>
      <w:r>
        <w:rPr>
          <w:sz w:val="24"/>
        </w:rPr>
        <w:t>el</w:t>
      </w:r>
      <w:r>
        <w:rPr>
          <w:spacing w:val="-12"/>
          <w:sz w:val="24"/>
        </w:rPr>
        <w:t> </w:t>
      </w:r>
      <w:r>
        <w:rPr>
          <w:sz w:val="24"/>
        </w:rPr>
        <w:t>tema.</w:t>
      </w:r>
      <w:r>
        <w:rPr>
          <w:spacing w:val="-11"/>
          <w:sz w:val="24"/>
        </w:rPr>
        <w:t> </w:t>
      </w:r>
      <w:r>
        <w:rPr>
          <w:sz w:val="24"/>
        </w:rPr>
        <w:t>Mientras</w:t>
      </w:r>
      <w:r>
        <w:rPr>
          <w:spacing w:val="-12"/>
          <w:sz w:val="24"/>
        </w:rPr>
        <w:t> </w:t>
      </w:r>
      <w:r>
        <w:rPr>
          <w:sz w:val="24"/>
        </w:rPr>
        <w:t>que</w:t>
      </w:r>
      <w:r>
        <w:rPr>
          <w:spacing w:val="-11"/>
          <w:sz w:val="24"/>
        </w:rPr>
        <w:t> </w:t>
      </w:r>
      <w:r>
        <w:rPr>
          <w:sz w:val="24"/>
        </w:rPr>
        <w:t>la</w:t>
      </w:r>
      <w:r>
        <w:rPr>
          <w:spacing w:val="-13"/>
          <w:sz w:val="24"/>
        </w:rPr>
        <w:t> </w:t>
      </w:r>
      <w:r>
        <w:rPr>
          <w:sz w:val="24"/>
        </w:rPr>
        <w:t>falta</w:t>
      </w:r>
      <w:r>
        <w:rPr>
          <w:spacing w:val="-10"/>
          <w:sz w:val="24"/>
        </w:rPr>
        <w:t> </w:t>
      </w:r>
      <w:r>
        <w:rPr>
          <w:sz w:val="24"/>
        </w:rPr>
        <w:t>de</w:t>
      </w:r>
      <w:r>
        <w:rPr>
          <w:spacing w:val="-11"/>
          <w:sz w:val="24"/>
        </w:rPr>
        <w:t> </w:t>
      </w:r>
      <w:r>
        <w:rPr>
          <w:sz w:val="24"/>
        </w:rPr>
        <w:t>precisión</w:t>
      </w:r>
      <w:r>
        <w:rPr>
          <w:spacing w:val="-13"/>
          <w:sz w:val="24"/>
        </w:rPr>
        <w:t> </w:t>
      </w:r>
      <w:r>
        <w:rPr>
          <w:sz w:val="24"/>
        </w:rPr>
        <w:t>de</w:t>
      </w:r>
      <w:r>
        <w:rPr>
          <w:spacing w:val="-13"/>
          <w:sz w:val="24"/>
        </w:rPr>
        <w:t> </w:t>
      </w:r>
      <w:r>
        <w:rPr>
          <w:sz w:val="24"/>
        </w:rPr>
        <w:t>las</w:t>
      </w:r>
      <w:r>
        <w:rPr>
          <w:spacing w:val="-12"/>
          <w:sz w:val="24"/>
        </w:rPr>
        <w:t> </w:t>
      </w:r>
      <w:r>
        <w:rPr>
          <w:sz w:val="24"/>
        </w:rPr>
        <w:t>generalidades de la transparencia (conceptos, especificar la información pública, reservada y confidencial, definir claramente las sanciones que se impondrán según una tipología</w:t>
      </w:r>
      <w:r>
        <w:rPr>
          <w:spacing w:val="-9"/>
          <w:sz w:val="24"/>
        </w:rPr>
        <w:t> </w:t>
      </w:r>
      <w:r>
        <w:rPr>
          <w:sz w:val="24"/>
        </w:rPr>
        <w:t>de</w:t>
      </w:r>
      <w:r>
        <w:rPr>
          <w:spacing w:val="-11"/>
          <w:sz w:val="24"/>
        </w:rPr>
        <w:t> </w:t>
      </w:r>
      <w:r>
        <w:rPr>
          <w:sz w:val="24"/>
        </w:rPr>
        <w:t>incumplimientos)</w:t>
      </w:r>
      <w:r>
        <w:rPr>
          <w:spacing w:val="-12"/>
          <w:sz w:val="24"/>
        </w:rPr>
        <w:t> </w:t>
      </w:r>
      <w:r>
        <w:rPr>
          <w:sz w:val="24"/>
        </w:rPr>
        <w:t>deja</w:t>
      </w:r>
      <w:r>
        <w:rPr>
          <w:spacing w:val="-11"/>
          <w:sz w:val="24"/>
        </w:rPr>
        <w:t> </w:t>
      </w:r>
      <w:r>
        <w:rPr>
          <w:sz w:val="24"/>
        </w:rPr>
        <w:t>a</w:t>
      </w:r>
      <w:r>
        <w:rPr>
          <w:spacing w:val="-11"/>
          <w:sz w:val="24"/>
        </w:rPr>
        <w:t> </w:t>
      </w:r>
      <w:r>
        <w:rPr>
          <w:sz w:val="24"/>
        </w:rPr>
        <w:t>la</w:t>
      </w:r>
      <w:r>
        <w:rPr>
          <w:spacing w:val="-10"/>
          <w:sz w:val="24"/>
        </w:rPr>
        <w:t> </w:t>
      </w:r>
      <w:r>
        <w:rPr>
          <w:sz w:val="24"/>
        </w:rPr>
        <w:t>interpretación</w:t>
      </w:r>
      <w:r>
        <w:rPr>
          <w:spacing w:val="-9"/>
          <w:sz w:val="24"/>
        </w:rPr>
        <w:t> </w:t>
      </w:r>
      <w:r>
        <w:rPr>
          <w:sz w:val="24"/>
        </w:rPr>
        <w:t>de</w:t>
      </w:r>
      <w:r>
        <w:rPr>
          <w:spacing w:val="-9"/>
          <w:sz w:val="24"/>
        </w:rPr>
        <w:t> </w:t>
      </w:r>
      <w:r>
        <w:rPr>
          <w:sz w:val="24"/>
        </w:rPr>
        <w:t>los</w:t>
      </w:r>
      <w:r>
        <w:rPr>
          <w:spacing w:val="-11"/>
          <w:sz w:val="24"/>
        </w:rPr>
        <w:t> </w:t>
      </w:r>
      <w:r>
        <w:rPr>
          <w:sz w:val="24"/>
        </w:rPr>
        <w:t>gobiernos</w:t>
      </w:r>
      <w:r>
        <w:rPr>
          <w:spacing w:val="-10"/>
          <w:sz w:val="24"/>
        </w:rPr>
        <w:t> </w:t>
      </w:r>
      <w:r>
        <w:rPr>
          <w:sz w:val="24"/>
        </w:rPr>
        <w:t>la</w:t>
      </w:r>
      <w:r>
        <w:rPr>
          <w:spacing w:val="-11"/>
          <w:sz w:val="24"/>
        </w:rPr>
        <w:t> </w:t>
      </w:r>
      <w:r>
        <w:rPr>
          <w:sz w:val="24"/>
        </w:rPr>
        <w:t>práctica de</w:t>
      </w:r>
      <w:r>
        <w:rPr>
          <w:spacing w:val="-18"/>
          <w:sz w:val="24"/>
        </w:rPr>
        <w:t> </w:t>
      </w:r>
      <w:r>
        <w:rPr>
          <w:sz w:val="24"/>
        </w:rPr>
        <w:t>la</w:t>
      </w:r>
      <w:r>
        <w:rPr>
          <w:spacing w:val="-21"/>
          <w:sz w:val="24"/>
        </w:rPr>
        <w:t> </w:t>
      </w:r>
      <w:r>
        <w:rPr>
          <w:sz w:val="24"/>
        </w:rPr>
        <w:t>misma,</w:t>
      </w:r>
      <w:r>
        <w:rPr>
          <w:spacing w:val="-18"/>
          <w:sz w:val="24"/>
        </w:rPr>
        <w:t> </w:t>
      </w:r>
      <w:r>
        <w:rPr>
          <w:sz w:val="24"/>
        </w:rPr>
        <w:t>generando</w:t>
      </w:r>
      <w:r>
        <w:rPr>
          <w:spacing w:val="-18"/>
          <w:sz w:val="24"/>
        </w:rPr>
        <w:t> </w:t>
      </w:r>
      <w:r>
        <w:rPr>
          <w:sz w:val="24"/>
        </w:rPr>
        <w:t>con</w:t>
      </w:r>
      <w:r>
        <w:rPr>
          <w:spacing w:val="-20"/>
          <w:sz w:val="24"/>
        </w:rPr>
        <w:t> </w:t>
      </w:r>
      <w:r>
        <w:rPr>
          <w:sz w:val="24"/>
        </w:rPr>
        <w:t>ello</w:t>
      </w:r>
      <w:r>
        <w:rPr>
          <w:spacing w:val="-18"/>
          <w:sz w:val="24"/>
        </w:rPr>
        <w:t> </w:t>
      </w:r>
      <w:r>
        <w:rPr>
          <w:sz w:val="24"/>
        </w:rPr>
        <w:t>un</w:t>
      </w:r>
      <w:r>
        <w:rPr>
          <w:spacing w:val="-18"/>
          <w:sz w:val="24"/>
        </w:rPr>
        <w:t> </w:t>
      </w:r>
      <w:r>
        <w:rPr>
          <w:sz w:val="24"/>
        </w:rPr>
        <w:t>limitado</w:t>
      </w:r>
      <w:r>
        <w:rPr>
          <w:spacing w:val="-18"/>
          <w:sz w:val="24"/>
        </w:rPr>
        <w:t> </w:t>
      </w:r>
      <w:r>
        <w:rPr>
          <w:sz w:val="24"/>
        </w:rPr>
        <w:t>cumplimiento</w:t>
      </w:r>
      <w:r>
        <w:rPr>
          <w:spacing w:val="-18"/>
          <w:sz w:val="24"/>
        </w:rPr>
        <w:t> </w:t>
      </w:r>
      <w:r>
        <w:rPr>
          <w:sz w:val="24"/>
        </w:rPr>
        <w:t>de</w:t>
      </w:r>
      <w:r>
        <w:rPr>
          <w:spacing w:val="-18"/>
          <w:sz w:val="24"/>
        </w:rPr>
        <w:t> </w:t>
      </w:r>
      <w:r>
        <w:rPr>
          <w:sz w:val="24"/>
        </w:rPr>
        <w:t>la</w:t>
      </w:r>
      <w:r>
        <w:rPr>
          <w:spacing w:val="-18"/>
          <w:sz w:val="24"/>
        </w:rPr>
        <w:t> </w:t>
      </w:r>
      <w:r>
        <w:rPr>
          <w:sz w:val="24"/>
        </w:rPr>
        <w:t>ley.</w:t>
      </w:r>
      <w:r>
        <w:rPr>
          <w:spacing w:val="-21"/>
          <w:sz w:val="24"/>
        </w:rPr>
        <w:t> </w:t>
      </w:r>
      <w:r>
        <w:rPr>
          <w:sz w:val="24"/>
        </w:rPr>
        <w:t>Por</w:t>
      </w:r>
      <w:r>
        <w:rPr>
          <w:spacing w:val="-19"/>
          <w:sz w:val="24"/>
        </w:rPr>
        <w:t> </w:t>
      </w:r>
      <w:r>
        <w:rPr>
          <w:sz w:val="24"/>
        </w:rPr>
        <w:t>tal</w:t>
      </w:r>
      <w:r>
        <w:rPr>
          <w:spacing w:val="-22"/>
          <w:sz w:val="24"/>
        </w:rPr>
        <w:t> </w:t>
      </w:r>
      <w:r>
        <w:rPr>
          <w:sz w:val="24"/>
        </w:rPr>
        <w:t>motivo la normativa es una condición necesaria, más no suficiente para garantizar la transparencia gubernamental. De modo tal que los gobernantes buscan cumplir con la ley, pero en situaciones específicas que ponen en riesgo su imagen o la estabilidad del gobierno les resulta mejor recibir una sanción que hacer pública la información</w:t>
      </w:r>
      <w:r>
        <w:rPr>
          <w:spacing w:val="-11"/>
          <w:sz w:val="24"/>
        </w:rPr>
        <w:t> </w:t>
      </w:r>
      <w:r>
        <w:rPr>
          <w:sz w:val="24"/>
        </w:rPr>
        <w:t>gubernamental.</w:t>
      </w:r>
    </w:p>
    <w:p>
      <w:pPr>
        <w:pStyle w:val="BodyText"/>
        <w:spacing w:before="4"/>
        <w:rPr>
          <w:sz w:val="26"/>
        </w:rPr>
      </w:pPr>
    </w:p>
    <w:p>
      <w:pPr>
        <w:pStyle w:val="ListParagraph"/>
        <w:numPr>
          <w:ilvl w:val="0"/>
          <w:numId w:val="64"/>
        </w:numPr>
        <w:tabs>
          <w:tab w:pos="476" w:val="left" w:leader="none"/>
        </w:tabs>
        <w:spacing w:line="360" w:lineRule="auto" w:before="0" w:after="0"/>
        <w:ind w:left="475" w:right="118" w:hanging="360"/>
        <w:jc w:val="both"/>
        <w:rPr>
          <w:sz w:val="24"/>
        </w:rPr>
      </w:pPr>
      <w:r>
        <w:rPr>
          <w:sz w:val="24"/>
        </w:rPr>
        <w:t>La transparencia se presenta como una práctica aún incipiente en la que se comienza a gestar un proceso de institucionalización que se fortalecerá en la medida que se tenga la exigencia de los ciudadanos hacia sus gobernantes de ser transparentes y la voluntad política de los gobernantes para responder ante esas exigencias a través de convertir la voluntad política discursiva en</w:t>
      </w:r>
      <w:r>
        <w:rPr>
          <w:spacing w:val="-4"/>
          <w:sz w:val="24"/>
        </w:rPr>
        <w:t> </w:t>
      </w:r>
      <w:r>
        <w:rPr>
          <w:sz w:val="24"/>
        </w:rPr>
        <w:t>acciones</w:t>
      </w:r>
    </w:p>
    <w:p>
      <w:pPr>
        <w:spacing w:after="0" w:line="360" w:lineRule="auto"/>
        <w:jc w:val="both"/>
        <w:rPr>
          <w:sz w:val="24"/>
        </w:rPr>
        <w:sectPr>
          <w:pgSz w:w="12240" w:h="15840"/>
          <w:pgMar w:header="0" w:footer="975" w:top="1360" w:bottom="1220" w:left="1560" w:right="1580"/>
        </w:sectPr>
      </w:pPr>
    </w:p>
    <w:p>
      <w:pPr>
        <w:pStyle w:val="BodyText"/>
        <w:spacing w:line="360" w:lineRule="auto" w:before="54"/>
        <w:ind w:left="475" w:right="118"/>
        <w:jc w:val="both"/>
      </w:pPr>
      <w:r>
        <w:rPr/>
        <w:t>concretas tales como mejorar infraestructura, asignar personal, tecnología, obligar a los servidores públicos a cumplir la ley y establecer mecanismos de participación con los ciudadanos para mejorar institucionalmente la transparencia.</w:t>
      </w:r>
    </w:p>
    <w:p>
      <w:pPr>
        <w:pStyle w:val="BodyText"/>
        <w:spacing w:before="1"/>
        <w:rPr>
          <w:sz w:val="26"/>
        </w:rPr>
      </w:pPr>
    </w:p>
    <w:p>
      <w:pPr>
        <w:pStyle w:val="ListParagraph"/>
        <w:numPr>
          <w:ilvl w:val="0"/>
          <w:numId w:val="64"/>
        </w:numPr>
        <w:tabs>
          <w:tab w:pos="476" w:val="left" w:leader="none"/>
        </w:tabs>
        <w:spacing w:line="360" w:lineRule="auto" w:before="0" w:after="0"/>
        <w:ind w:left="475" w:right="116" w:hanging="360"/>
        <w:jc w:val="both"/>
        <w:rPr>
          <w:sz w:val="24"/>
        </w:rPr>
      </w:pPr>
      <w:r>
        <w:rPr>
          <w:sz w:val="24"/>
        </w:rPr>
        <w:t>La máscara que utiliza el gobierno en el discurso oficial cuando afirma </w:t>
      </w:r>
      <w:r>
        <w:rPr>
          <w:spacing w:val="-2"/>
          <w:sz w:val="24"/>
        </w:rPr>
        <w:t>que </w:t>
      </w:r>
      <w:r>
        <w:rPr>
          <w:sz w:val="24"/>
        </w:rPr>
        <w:t>vivimos en un Estado democrático, transparente, que garantiza el acceso a la información y rinde cuentas a la sociedad), se desvanece frente a una realidad que refleja un país diferente cuasi-democrático que se va conociendo en la medida</w:t>
      </w:r>
      <w:r>
        <w:rPr>
          <w:spacing w:val="-9"/>
          <w:sz w:val="24"/>
        </w:rPr>
        <w:t> </w:t>
      </w:r>
      <w:r>
        <w:rPr>
          <w:sz w:val="24"/>
        </w:rPr>
        <w:t>que</w:t>
      </w:r>
      <w:r>
        <w:rPr>
          <w:spacing w:val="-9"/>
          <w:sz w:val="24"/>
        </w:rPr>
        <w:t> </w:t>
      </w:r>
      <w:r>
        <w:rPr>
          <w:sz w:val="24"/>
        </w:rPr>
        <w:t>se</w:t>
      </w:r>
      <w:r>
        <w:rPr>
          <w:spacing w:val="-9"/>
          <w:sz w:val="24"/>
        </w:rPr>
        <w:t> </w:t>
      </w:r>
      <w:r>
        <w:rPr>
          <w:sz w:val="24"/>
        </w:rPr>
        <w:t>hacen</w:t>
      </w:r>
      <w:r>
        <w:rPr>
          <w:spacing w:val="-9"/>
          <w:sz w:val="24"/>
        </w:rPr>
        <w:t> </w:t>
      </w:r>
      <w:r>
        <w:rPr>
          <w:sz w:val="24"/>
        </w:rPr>
        <w:t>transparentes</w:t>
      </w:r>
      <w:r>
        <w:rPr>
          <w:spacing w:val="-10"/>
          <w:sz w:val="24"/>
        </w:rPr>
        <w:t> </w:t>
      </w:r>
      <w:r>
        <w:rPr>
          <w:sz w:val="24"/>
        </w:rPr>
        <w:t>las</w:t>
      </w:r>
      <w:r>
        <w:rPr>
          <w:spacing w:val="-12"/>
          <w:sz w:val="24"/>
        </w:rPr>
        <w:t> </w:t>
      </w:r>
      <w:r>
        <w:rPr>
          <w:sz w:val="24"/>
        </w:rPr>
        <w:t>acciones</w:t>
      </w:r>
      <w:r>
        <w:rPr>
          <w:spacing w:val="-10"/>
          <w:sz w:val="24"/>
        </w:rPr>
        <w:t> </w:t>
      </w:r>
      <w:r>
        <w:rPr>
          <w:sz w:val="24"/>
        </w:rPr>
        <w:t>del</w:t>
      </w:r>
      <w:r>
        <w:rPr>
          <w:spacing w:val="-11"/>
          <w:sz w:val="24"/>
        </w:rPr>
        <w:t> </w:t>
      </w:r>
      <w:r>
        <w:rPr>
          <w:sz w:val="24"/>
        </w:rPr>
        <w:t>gobierno.</w:t>
      </w:r>
      <w:r>
        <w:rPr>
          <w:spacing w:val="-12"/>
          <w:sz w:val="24"/>
        </w:rPr>
        <w:t> </w:t>
      </w:r>
      <w:r>
        <w:rPr>
          <w:sz w:val="24"/>
        </w:rPr>
        <w:t>Es</w:t>
      </w:r>
      <w:r>
        <w:rPr>
          <w:spacing w:val="-10"/>
          <w:sz w:val="24"/>
        </w:rPr>
        <w:t> </w:t>
      </w:r>
      <w:r>
        <w:rPr>
          <w:sz w:val="24"/>
        </w:rPr>
        <w:t>por</w:t>
      </w:r>
      <w:r>
        <w:rPr>
          <w:spacing w:val="-11"/>
          <w:sz w:val="24"/>
        </w:rPr>
        <w:t> </w:t>
      </w:r>
      <w:r>
        <w:rPr>
          <w:sz w:val="24"/>
        </w:rPr>
        <w:t>ello</w:t>
      </w:r>
      <w:r>
        <w:rPr>
          <w:spacing w:val="-9"/>
          <w:sz w:val="24"/>
        </w:rPr>
        <w:t> </w:t>
      </w:r>
      <w:r>
        <w:rPr>
          <w:sz w:val="24"/>
        </w:rPr>
        <w:t>que</w:t>
      </w:r>
      <w:r>
        <w:rPr>
          <w:spacing w:val="-9"/>
          <w:sz w:val="24"/>
        </w:rPr>
        <w:t> </w:t>
      </w:r>
      <w:r>
        <w:rPr>
          <w:sz w:val="24"/>
        </w:rPr>
        <w:t>la inclusión</w:t>
      </w:r>
      <w:r>
        <w:rPr>
          <w:spacing w:val="-8"/>
          <w:sz w:val="24"/>
        </w:rPr>
        <w:t> </w:t>
      </w:r>
      <w:r>
        <w:rPr>
          <w:sz w:val="24"/>
        </w:rPr>
        <w:t>del</w:t>
      </w:r>
      <w:r>
        <w:rPr>
          <w:spacing w:val="-10"/>
          <w:sz w:val="24"/>
        </w:rPr>
        <w:t> </w:t>
      </w:r>
      <w:r>
        <w:rPr>
          <w:sz w:val="24"/>
        </w:rPr>
        <w:t>derecho</w:t>
      </w:r>
      <w:r>
        <w:rPr>
          <w:spacing w:val="-8"/>
          <w:sz w:val="24"/>
        </w:rPr>
        <w:t> </w:t>
      </w:r>
      <w:r>
        <w:rPr>
          <w:sz w:val="24"/>
        </w:rPr>
        <w:t>de</w:t>
      </w:r>
      <w:r>
        <w:rPr>
          <w:spacing w:val="-6"/>
          <w:sz w:val="24"/>
        </w:rPr>
        <w:t> </w:t>
      </w:r>
      <w:r>
        <w:rPr>
          <w:sz w:val="24"/>
        </w:rPr>
        <w:t>acceso</w:t>
      </w:r>
      <w:r>
        <w:rPr>
          <w:spacing w:val="-8"/>
          <w:sz w:val="24"/>
        </w:rPr>
        <w:t> </w:t>
      </w:r>
      <w:r>
        <w:rPr>
          <w:sz w:val="24"/>
        </w:rPr>
        <w:t>a</w:t>
      </w:r>
      <w:r>
        <w:rPr>
          <w:spacing w:val="-6"/>
          <w:sz w:val="24"/>
        </w:rPr>
        <w:t> </w:t>
      </w:r>
      <w:r>
        <w:rPr>
          <w:sz w:val="24"/>
        </w:rPr>
        <w:t>la</w:t>
      </w:r>
      <w:r>
        <w:rPr>
          <w:spacing w:val="-9"/>
          <w:sz w:val="24"/>
        </w:rPr>
        <w:t> </w:t>
      </w:r>
      <w:r>
        <w:rPr>
          <w:sz w:val="24"/>
        </w:rPr>
        <w:t>información</w:t>
      </w:r>
      <w:r>
        <w:rPr>
          <w:spacing w:val="-8"/>
          <w:sz w:val="24"/>
        </w:rPr>
        <w:t> </w:t>
      </w:r>
      <w:r>
        <w:rPr>
          <w:sz w:val="24"/>
        </w:rPr>
        <w:t>en</w:t>
      </w:r>
      <w:r>
        <w:rPr>
          <w:spacing w:val="-6"/>
          <w:sz w:val="24"/>
        </w:rPr>
        <w:t> </w:t>
      </w:r>
      <w:r>
        <w:rPr>
          <w:sz w:val="24"/>
        </w:rPr>
        <w:t>la</w:t>
      </w:r>
      <w:r>
        <w:rPr>
          <w:spacing w:val="-9"/>
          <w:sz w:val="24"/>
        </w:rPr>
        <w:t> </w:t>
      </w:r>
      <w:r>
        <w:rPr>
          <w:sz w:val="24"/>
        </w:rPr>
        <w:t>CPEUM,</w:t>
      </w:r>
      <w:r>
        <w:rPr>
          <w:spacing w:val="-6"/>
          <w:sz w:val="24"/>
        </w:rPr>
        <w:t> </w:t>
      </w:r>
      <w:r>
        <w:rPr>
          <w:sz w:val="24"/>
        </w:rPr>
        <w:t>la</w:t>
      </w:r>
      <w:r>
        <w:rPr>
          <w:spacing w:val="-9"/>
          <w:sz w:val="24"/>
        </w:rPr>
        <w:t> </w:t>
      </w:r>
      <w:r>
        <w:rPr>
          <w:sz w:val="24"/>
        </w:rPr>
        <w:t>creación</w:t>
      </w:r>
      <w:r>
        <w:rPr>
          <w:spacing w:val="-8"/>
          <w:sz w:val="24"/>
        </w:rPr>
        <w:t> </w:t>
      </w:r>
      <w:r>
        <w:rPr>
          <w:sz w:val="24"/>
        </w:rPr>
        <w:t>de</w:t>
      </w:r>
      <w:r>
        <w:rPr>
          <w:spacing w:val="-8"/>
          <w:sz w:val="24"/>
        </w:rPr>
        <w:t> </w:t>
      </w:r>
      <w:r>
        <w:rPr>
          <w:sz w:val="24"/>
        </w:rPr>
        <w:t>la ley de transparencia, la autonomía del INFOEM, la creación de las Unidades de Informática, Planeación y Estadística de los municipios y el incremento de presupuesto a la política de transparencia, son medidas que resultan insuficientes toda vez que el significado que le ha atribuido al GA es solamente el de publicar información en las páginas web, sin considerar que existe un bajo cumplimiento</w:t>
      </w:r>
      <w:r>
        <w:rPr>
          <w:spacing w:val="-6"/>
          <w:sz w:val="24"/>
        </w:rPr>
        <w:t> </w:t>
      </w:r>
      <w:r>
        <w:rPr>
          <w:sz w:val="24"/>
        </w:rPr>
        <w:t>de</w:t>
      </w:r>
      <w:r>
        <w:rPr>
          <w:spacing w:val="-4"/>
          <w:sz w:val="24"/>
        </w:rPr>
        <w:t> </w:t>
      </w:r>
      <w:r>
        <w:rPr>
          <w:sz w:val="24"/>
        </w:rPr>
        <w:t>la</w:t>
      </w:r>
      <w:r>
        <w:rPr>
          <w:spacing w:val="-6"/>
          <w:sz w:val="24"/>
        </w:rPr>
        <w:t> </w:t>
      </w:r>
      <w:r>
        <w:rPr>
          <w:sz w:val="24"/>
        </w:rPr>
        <w:t>ley</w:t>
      </w:r>
      <w:r>
        <w:rPr>
          <w:spacing w:val="-6"/>
          <w:sz w:val="24"/>
        </w:rPr>
        <w:t> </w:t>
      </w:r>
      <w:r>
        <w:rPr>
          <w:sz w:val="24"/>
        </w:rPr>
        <w:t>de</w:t>
      </w:r>
      <w:r>
        <w:rPr>
          <w:spacing w:val="-4"/>
          <w:sz w:val="24"/>
        </w:rPr>
        <w:t> </w:t>
      </w:r>
      <w:r>
        <w:rPr>
          <w:sz w:val="24"/>
        </w:rPr>
        <w:t>transparencia</w:t>
      </w:r>
      <w:r>
        <w:rPr>
          <w:spacing w:val="-6"/>
          <w:sz w:val="24"/>
        </w:rPr>
        <w:t> </w:t>
      </w:r>
      <w:r>
        <w:rPr>
          <w:sz w:val="24"/>
        </w:rPr>
        <w:t>que</w:t>
      </w:r>
      <w:r>
        <w:rPr>
          <w:spacing w:val="-4"/>
          <w:sz w:val="24"/>
        </w:rPr>
        <w:t> </w:t>
      </w:r>
      <w:r>
        <w:rPr>
          <w:sz w:val="24"/>
        </w:rPr>
        <w:t>limita</w:t>
      </w:r>
      <w:r>
        <w:rPr>
          <w:spacing w:val="-6"/>
          <w:sz w:val="24"/>
        </w:rPr>
        <w:t> </w:t>
      </w:r>
      <w:r>
        <w:rPr>
          <w:sz w:val="24"/>
        </w:rPr>
        <w:t>a</w:t>
      </w:r>
      <w:r>
        <w:rPr>
          <w:spacing w:val="-4"/>
          <w:sz w:val="24"/>
        </w:rPr>
        <w:t> </w:t>
      </w:r>
      <w:r>
        <w:rPr>
          <w:sz w:val="24"/>
        </w:rPr>
        <w:t>la</w:t>
      </w:r>
      <w:r>
        <w:rPr>
          <w:spacing w:val="-6"/>
          <w:sz w:val="24"/>
        </w:rPr>
        <w:t> </w:t>
      </w:r>
      <w:r>
        <w:rPr>
          <w:sz w:val="24"/>
        </w:rPr>
        <w:t>sociedad</w:t>
      </w:r>
      <w:r>
        <w:rPr>
          <w:spacing w:val="-6"/>
          <w:sz w:val="24"/>
        </w:rPr>
        <w:t> </w:t>
      </w:r>
      <w:r>
        <w:rPr>
          <w:sz w:val="24"/>
        </w:rPr>
        <w:t>enterarse</w:t>
      </w:r>
      <w:r>
        <w:rPr>
          <w:spacing w:val="-4"/>
          <w:sz w:val="24"/>
        </w:rPr>
        <w:t> </w:t>
      </w:r>
      <w:r>
        <w:rPr>
          <w:sz w:val="24"/>
        </w:rPr>
        <w:t>como se han incrementado los niveles de corrupción y delincuencia, ha disminuido la participación social y perdura la ineficiencia del</w:t>
      </w:r>
      <w:r>
        <w:rPr>
          <w:spacing w:val="-15"/>
          <w:sz w:val="24"/>
        </w:rPr>
        <w:t> </w:t>
      </w:r>
      <w:r>
        <w:rPr>
          <w:sz w:val="24"/>
        </w:rPr>
        <w:t>gobierno.</w:t>
      </w:r>
    </w:p>
    <w:p>
      <w:pPr>
        <w:pStyle w:val="BodyText"/>
      </w:pPr>
    </w:p>
    <w:p>
      <w:pPr>
        <w:pStyle w:val="ListParagraph"/>
        <w:numPr>
          <w:ilvl w:val="0"/>
          <w:numId w:val="64"/>
        </w:numPr>
        <w:tabs>
          <w:tab w:pos="476" w:val="left" w:leader="none"/>
        </w:tabs>
        <w:spacing w:line="360" w:lineRule="auto" w:before="142" w:after="0"/>
        <w:ind w:left="475" w:right="119" w:hanging="360"/>
        <w:jc w:val="both"/>
        <w:rPr>
          <w:sz w:val="24"/>
        </w:rPr>
      </w:pPr>
      <w:r>
        <w:rPr>
          <w:sz w:val="24"/>
        </w:rPr>
        <w:t>Considerando las funciones que desempeñan las dependencias encargadas de la promover la transparencia, los recursos humanos, tecnológicos, financieros y materiales con que cuentan los responsables de promover la transparencia en los municipios. Se ha determinado que son insuficientes ya que el municipio se encuentra</w:t>
      </w:r>
      <w:r>
        <w:rPr>
          <w:spacing w:val="-11"/>
          <w:sz w:val="24"/>
        </w:rPr>
        <w:t> </w:t>
      </w:r>
      <w:r>
        <w:rPr>
          <w:sz w:val="24"/>
        </w:rPr>
        <w:t>limitado</w:t>
      </w:r>
      <w:r>
        <w:rPr>
          <w:spacing w:val="-13"/>
          <w:sz w:val="24"/>
        </w:rPr>
        <w:t> </w:t>
      </w:r>
      <w:r>
        <w:rPr>
          <w:sz w:val="24"/>
        </w:rPr>
        <w:t>en</w:t>
      </w:r>
      <w:r>
        <w:rPr>
          <w:spacing w:val="-11"/>
          <w:sz w:val="24"/>
        </w:rPr>
        <w:t> </w:t>
      </w:r>
      <w:r>
        <w:rPr>
          <w:sz w:val="24"/>
        </w:rPr>
        <w:t>la</w:t>
      </w:r>
      <w:r>
        <w:rPr>
          <w:spacing w:val="-11"/>
          <w:sz w:val="24"/>
        </w:rPr>
        <w:t> </w:t>
      </w:r>
      <w:r>
        <w:rPr>
          <w:sz w:val="24"/>
        </w:rPr>
        <w:t>toma</w:t>
      </w:r>
      <w:r>
        <w:rPr>
          <w:spacing w:val="-11"/>
          <w:sz w:val="24"/>
        </w:rPr>
        <w:t> </w:t>
      </w:r>
      <w:r>
        <w:rPr>
          <w:sz w:val="24"/>
        </w:rPr>
        <w:t>de</w:t>
      </w:r>
      <w:r>
        <w:rPr>
          <w:spacing w:val="-11"/>
          <w:sz w:val="24"/>
        </w:rPr>
        <w:t> </w:t>
      </w:r>
      <w:r>
        <w:rPr>
          <w:sz w:val="24"/>
        </w:rPr>
        <w:t>decisiones</w:t>
      </w:r>
      <w:r>
        <w:rPr>
          <w:spacing w:val="-14"/>
          <w:sz w:val="24"/>
        </w:rPr>
        <w:t> </w:t>
      </w:r>
      <w:r>
        <w:rPr>
          <w:sz w:val="24"/>
        </w:rPr>
        <w:t>frente</w:t>
      </w:r>
      <w:r>
        <w:rPr>
          <w:spacing w:val="-13"/>
          <w:sz w:val="24"/>
        </w:rPr>
        <w:t> </w:t>
      </w:r>
      <w:r>
        <w:rPr>
          <w:sz w:val="24"/>
        </w:rPr>
        <w:t>al</w:t>
      </w:r>
      <w:r>
        <w:rPr>
          <w:spacing w:val="-12"/>
          <w:sz w:val="24"/>
        </w:rPr>
        <w:t> </w:t>
      </w:r>
      <w:r>
        <w:rPr>
          <w:sz w:val="24"/>
        </w:rPr>
        <w:t>Estado</w:t>
      </w:r>
      <w:r>
        <w:rPr>
          <w:spacing w:val="-11"/>
          <w:sz w:val="24"/>
        </w:rPr>
        <w:t> </w:t>
      </w:r>
      <w:r>
        <w:rPr>
          <w:sz w:val="24"/>
        </w:rPr>
        <w:t>o</w:t>
      </w:r>
      <w:r>
        <w:rPr>
          <w:spacing w:val="-11"/>
          <w:sz w:val="24"/>
        </w:rPr>
        <w:t> </w:t>
      </w:r>
      <w:r>
        <w:rPr>
          <w:sz w:val="24"/>
        </w:rPr>
        <w:t>la</w:t>
      </w:r>
      <w:r>
        <w:rPr>
          <w:spacing w:val="-11"/>
          <w:sz w:val="24"/>
        </w:rPr>
        <w:t> </w:t>
      </w:r>
      <w:r>
        <w:rPr>
          <w:sz w:val="24"/>
        </w:rPr>
        <w:t>Federación</w:t>
      </w:r>
      <w:r>
        <w:rPr>
          <w:spacing w:val="-11"/>
          <w:sz w:val="24"/>
        </w:rPr>
        <w:t> </w:t>
      </w:r>
      <w:r>
        <w:rPr>
          <w:sz w:val="24"/>
        </w:rPr>
        <w:t>que son quienes crean las leyes y determinan las funciones de órganos garantes encargados de la transparencia. Asimismo, son quienes asignan los recursos para que los gobiernos municipales puedan operar las actividades que le son encomendadas.</w:t>
      </w:r>
    </w:p>
    <w:p>
      <w:pPr>
        <w:pStyle w:val="BodyText"/>
      </w:pPr>
    </w:p>
    <w:p>
      <w:pPr>
        <w:pStyle w:val="ListParagraph"/>
        <w:numPr>
          <w:ilvl w:val="0"/>
          <w:numId w:val="64"/>
        </w:numPr>
        <w:tabs>
          <w:tab w:pos="476" w:val="left" w:leader="none"/>
        </w:tabs>
        <w:spacing w:line="360" w:lineRule="auto" w:before="142" w:after="0"/>
        <w:ind w:left="475" w:right="118" w:hanging="360"/>
        <w:jc w:val="both"/>
        <w:rPr>
          <w:sz w:val="24"/>
        </w:rPr>
      </w:pPr>
      <w:r>
        <w:rPr>
          <w:sz w:val="24"/>
        </w:rPr>
        <w:t>En materia de transparencia el municipio solamente es el responsable de poner en práctica las decisiones de los órdenes de gobierno estatal y federal. Pero</w:t>
      </w:r>
      <w:r>
        <w:rPr>
          <w:spacing w:val="14"/>
          <w:sz w:val="24"/>
        </w:rPr>
        <w:t> </w:t>
      </w:r>
      <w:r>
        <w:rPr>
          <w:sz w:val="24"/>
        </w:rPr>
        <w:t>no</w:t>
      </w:r>
    </w:p>
    <w:p>
      <w:pPr>
        <w:spacing w:after="0" w:line="360" w:lineRule="auto"/>
        <w:jc w:val="both"/>
        <w:rPr>
          <w:sz w:val="24"/>
        </w:rPr>
        <w:sectPr>
          <w:pgSz w:w="12240" w:h="15840"/>
          <w:pgMar w:header="0" w:footer="975" w:top="1360" w:bottom="1220" w:left="1560" w:right="1580"/>
        </w:sectPr>
      </w:pPr>
    </w:p>
    <w:p>
      <w:pPr>
        <w:pStyle w:val="BodyText"/>
        <w:spacing w:line="360" w:lineRule="auto" w:before="54"/>
        <w:ind w:left="475" w:right="119"/>
        <w:jc w:val="both"/>
      </w:pPr>
      <w:r>
        <w:rPr/>
        <w:t>cuentan con las atribuciones legales que les permita modificar la ley ni incrementar su capacidad institucional para generar las condiciones propicias para la práctica del GA. Asimismo, cuando el presidente municipal no tiene voluntad política para promover la transparencia se presentan grandes retrocesos</w:t>
      </w:r>
      <w:r>
        <w:rPr>
          <w:spacing w:val="-9"/>
        </w:rPr>
        <w:t> </w:t>
      </w:r>
      <w:r>
        <w:rPr/>
        <w:t>a</w:t>
      </w:r>
      <w:r>
        <w:rPr>
          <w:spacing w:val="-8"/>
        </w:rPr>
        <w:t> </w:t>
      </w:r>
      <w:r>
        <w:rPr/>
        <w:t>la</w:t>
      </w:r>
      <w:r>
        <w:rPr>
          <w:spacing w:val="-11"/>
        </w:rPr>
        <w:t> </w:t>
      </w:r>
      <w:r>
        <w:rPr/>
        <w:t>misma.</w:t>
      </w:r>
      <w:r>
        <w:rPr>
          <w:spacing w:val="-11"/>
        </w:rPr>
        <w:t> </w:t>
      </w:r>
      <w:r>
        <w:rPr/>
        <w:t>Una</w:t>
      </w:r>
      <w:r>
        <w:rPr>
          <w:spacing w:val="-8"/>
        </w:rPr>
        <w:t> </w:t>
      </w:r>
      <w:r>
        <w:rPr/>
        <w:t>alternativa</w:t>
      </w:r>
      <w:r>
        <w:rPr>
          <w:spacing w:val="-8"/>
        </w:rPr>
        <w:t> </w:t>
      </w:r>
      <w:r>
        <w:rPr/>
        <w:t>que</w:t>
      </w:r>
      <w:r>
        <w:rPr>
          <w:spacing w:val="-8"/>
        </w:rPr>
        <w:t> </w:t>
      </w:r>
      <w:r>
        <w:rPr/>
        <w:t>podría</w:t>
      </w:r>
      <w:r>
        <w:rPr>
          <w:spacing w:val="-8"/>
        </w:rPr>
        <w:t> </w:t>
      </w:r>
      <w:r>
        <w:rPr/>
        <w:t>mejorar</w:t>
      </w:r>
      <w:r>
        <w:rPr>
          <w:spacing w:val="-10"/>
        </w:rPr>
        <w:t> </w:t>
      </w:r>
      <w:r>
        <w:rPr/>
        <w:t>esta</w:t>
      </w:r>
      <w:r>
        <w:rPr>
          <w:spacing w:val="-8"/>
        </w:rPr>
        <w:t> </w:t>
      </w:r>
      <w:r>
        <w:rPr/>
        <w:t>condición</w:t>
      </w:r>
      <w:r>
        <w:rPr>
          <w:spacing w:val="-8"/>
        </w:rPr>
        <w:t> </w:t>
      </w:r>
      <w:r>
        <w:rPr/>
        <w:t>es</w:t>
      </w:r>
      <w:r>
        <w:rPr>
          <w:spacing w:val="-9"/>
        </w:rPr>
        <w:t> </w:t>
      </w:r>
      <w:r>
        <w:rPr/>
        <w:t>que cada</w:t>
      </w:r>
      <w:r>
        <w:rPr>
          <w:spacing w:val="-7"/>
        </w:rPr>
        <w:t> </w:t>
      </w:r>
      <w:r>
        <w:rPr/>
        <w:t>integrante</w:t>
      </w:r>
      <w:r>
        <w:rPr>
          <w:spacing w:val="-7"/>
        </w:rPr>
        <w:t> </w:t>
      </w:r>
      <w:r>
        <w:rPr/>
        <w:t>del</w:t>
      </w:r>
      <w:r>
        <w:rPr>
          <w:spacing w:val="-8"/>
        </w:rPr>
        <w:t> </w:t>
      </w:r>
      <w:r>
        <w:rPr/>
        <w:t>cabildo</w:t>
      </w:r>
      <w:r>
        <w:rPr>
          <w:spacing w:val="-7"/>
        </w:rPr>
        <w:t> </w:t>
      </w:r>
      <w:r>
        <w:rPr/>
        <w:t>pueda</w:t>
      </w:r>
      <w:r>
        <w:rPr>
          <w:spacing w:val="-3"/>
        </w:rPr>
        <w:t> </w:t>
      </w:r>
      <w:r>
        <w:rPr/>
        <w:t>ser</w:t>
      </w:r>
      <w:r>
        <w:rPr>
          <w:spacing w:val="-8"/>
        </w:rPr>
        <w:t> </w:t>
      </w:r>
      <w:r>
        <w:rPr/>
        <w:t>elegido</w:t>
      </w:r>
      <w:r>
        <w:rPr>
          <w:spacing w:val="-7"/>
        </w:rPr>
        <w:t> </w:t>
      </w:r>
      <w:r>
        <w:rPr/>
        <w:t>de</w:t>
      </w:r>
      <w:r>
        <w:rPr>
          <w:spacing w:val="-12"/>
        </w:rPr>
        <w:t> </w:t>
      </w:r>
      <w:r>
        <w:rPr/>
        <w:t>manera</w:t>
      </w:r>
      <w:r>
        <w:rPr>
          <w:spacing w:val="-8"/>
        </w:rPr>
        <w:t> </w:t>
      </w:r>
      <w:r>
        <w:rPr/>
        <w:t>independiente</w:t>
      </w:r>
      <w:r>
        <w:rPr>
          <w:spacing w:val="-9"/>
        </w:rPr>
        <w:t> </w:t>
      </w:r>
      <w:r>
        <w:rPr/>
        <w:t>y</w:t>
      </w:r>
      <w:r>
        <w:rPr>
          <w:spacing w:val="-10"/>
        </w:rPr>
        <w:t> </w:t>
      </w:r>
      <w:r>
        <w:rPr/>
        <w:t>no</w:t>
      </w:r>
      <w:r>
        <w:rPr>
          <w:spacing w:val="-9"/>
        </w:rPr>
        <w:t> </w:t>
      </w:r>
      <w:r>
        <w:rPr/>
        <w:t>por planilla,</w:t>
      </w:r>
      <w:r>
        <w:rPr>
          <w:spacing w:val="-7"/>
        </w:rPr>
        <w:t> </w:t>
      </w:r>
      <w:r>
        <w:rPr/>
        <w:t>esta</w:t>
      </w:r>
      <w:r>
        <w:rPr>
          <w:spacing w:val="-7"/>
        </w:rPr>
        <w:t> </w:t>
      </w:r>
      <w:r>
        <w:rPr/>
        <w:t>condición</w:t>
      </w:r>
      <w:r>
        <w:rPr>
          <w:spacing w:val="-9"/>
        </w:rPr>
        <w:t> </w:t>
      </w:r>
      <w:r>
        <w:rPr/>
        <w:t>daría</w:t>
      </w:r>
      <w:r>
        <w:rPr>
          <w:spacing w:val="-7"/>
        </w:rPr>
        <w:t> </w:t>
      </w:r>
      <w:r>
        <w:rPr/>
        <w:t>más</w:t>
      </w:r>
      <w:r>
        <w:rPr>
          <w:spacing w:val="-8"/>
        </w:rPr>
        <w:t> </w:t>
      </w:r>
      <w:r>
        <w:rPr/>
        <w:t>libertad</w:t>
      </w:r>
      <w:r>
        <w:rPr>
          <w:spacing w:val="-7"/>
        </w:rPr>
        <w:t> </w:t>
      </w:r>
      <w:r>
        <w:rPr/>
        <w:t>a</w:t>
      </w:r>
      <w:r>
        <w:rPr>
          <w:spacing w:val="-7"/>
        </w:rPr>
        <w:t> </w:t>
      </w:r>
      <w:r>
        <w:rPr/>
        <w:t>cada</w:t>
      </w:r>
      <w:r>
        <w:rPr>
          <w:spacing w:val="-7"/>
        </w:rPr>
        <w:t> </w:t>
      </w:r>
      <w:r>
        <w:rPr/>
        <w:t>integrante</w:t>
      </w:r>
      <w:r>
        <w:rPr>
          <w:spacing w:val="-9"/>
        </w:rPr>
        <w:t> </w:t>
      </w:r>
      <w:r>
        <w:rPr/>
        <w:t>del</w:t>
      </w:r>
      <w:r>
        <w:rPr>
          <w:spacing w:val="-8"/>
        </w:rPr>
        <w:t> </w:t>
      </w:r>
      <w:r>
        <w:rPr/>
        <w:t>H.</w:t>
      </w:r>
      <w:r>
        <w:rPr>
          <w:spacing w:val="-8"/>
        </w:rPr>
        <w:t> </w:t>
      </w:r>
      <w:r>
        <w:rPr/>
        <w:t>Ayuntamiento para decidir si es no transparente durante el periodo que dura la</w:t>
      </w:r>
      <w:r>
        <w:rPr>
          <w:spacing w:val="-40"/>
        </w:rPr>
        <w:t> </w:t>
      </w:r>
      <w:r>
        <w:rPr/>
        <w:t>administración.</w:t>
      </w:r>
    </w:p>
    <w:p>
      <w:pPr>
        <w:pStyle w:val="BodyText"/>
      </w:pPr>
    </w:p>
    <w:p>
      <w:pPr>
        <w:pStyle w:val="ListParagraph"/>
        <w:numPr>
          <w:ilvl w:val="0"/>
          <w:numId w:val="64"/>
        </w:numPr>
        <w:tabs>
          <w:tab w:pos="476" w:val="left" w:leader="none"/>
        </w:tabs>
        <w:spacing w:line="360" w:lineRule="auto" w:before="142" w:after="0"/>
        <w:ind w:left="475" w:right="115" w:hanging="360"/>
        <w:jc w:val="both"/>
        <w:rPr>
          <w:sz w:val="24"/>
        </w:rPr>
      </w:pPr>
      <w:r>
        <w:rPr>
          <w:sz w:val="24"/>
        </w:rPr>
        <w:t>En la práctica de la transparencia que se da en los municipios mexiquenses se tiene una clara predominancia de las reglas informales sobre las formales. Por tal motivo, se tiene bajo cumplimiento de la ley y se realizan solamente las funciones básicas de la transparencia para comprometer las acciones de los gobernantes ya que el sentido que se ha dado a la transparencia es solamente el</w:t>
      </w:r>
      <w:r>
        <w:rPr>
          <w:spacing w:val="-5"/>
          <w:sz w:val="24"/>
        </w:rPr>
        <w:t> </w:t>
      </w:r>
      <w:r>
        <w:rPr>
          <w:sz w:val="24"/>
        </w:rPr>
        <w:t>de</w:t>
      </w:r>
      <w:r>
        <w:rPr>
          <w:spacing w:val="-6"/>
          <w:sz w:val="24"/>
        </w:rPr>
        <w:t> </w:t>
      </w:r>
      <w:r>
        <w:rPr>
          <w:sz w:val="24"/>
        </w:rPr>
        <w:t>publicar</w:t>
      </w:r>
      <w:r>
        <w:rPr>
          <w:spacing w:val="-5"/>
          <w:sz w:val="24"/>
        </w:rPr>
        <w:t> </w:t>
      </w:r>
      <w:r>
        <w:rPr>
          <w:sz w:val="24"/>
        </w:rPr>
        <w:t>información</w:t>
      </w:r>
      <w:r>
        <w:rPr>
          <w:spacing w:val="-3"/>
          <w:sz w:val="24"/>
        </w:rPr>
        <w:t> </w:t>
      </w:r>
      <w:r>
        <w:rPr>
          <w:sz w:val="24"/>
        </w:rPr>
        <w:t>en</w:t>
      </w:r>
      <w:r>
        <w:rPr>
          <w:spacing w:val="-6"/>
          <w:sz w:val="24"/>
        </w:rPr>
        <w:t> </w:t>
      </w:r>
      <w:r>
        <w:rPr>
          <w:sz w:val="24"/>
        </w:rPr>
        <w:t>los</w:t>
      </w:r>
      <w:r>
        <w:rPr>
          <w:spacing w:val="-4"/>
          <w:sz w:val="24"/>
        </w:rPr>
        <w:t> </w:t>
      </w:r>
      <w:r>
        <w:rPr>
          <w:sz w:val="24"/>
        </w:rPr>
        <w:t>portales</w:t>
      </w:r>
      <w:r>
        <w:rPr>
          <w:spacing w:val="-4"/>
          <w:sz w:val="24"/>
        </w:rPr>
        <w:t> </w:t>
      </w:r>
      <w:r>
        <w:rPr>
          <w:sz w:val="24"/>
        </w:rPr>
        <w:t>web</w:t>
      </w:r>
      <w:r>
        <w:rPr>
          <w:spacing w:val="-6"/>
          <w:sz w:val="24"/>
        </w:rPr>
        <w:t> </w:t>
      </w:r>
      <w:r>
        <w:rPr>
          <w:sz w:val="24"/>
        </w:rPr>
        <w:t>para</w:t>
      </w:r>
      <w:r>
        <w:rPr>
          <w:spacing w:val="-4"/>
          <w:sz w:val="24"/>
        </w:rPr>
        <w:t> </w:t>
      </w:r>
      <w:r>
        <w:rPr>
          <w:sz w:val="24"/>
        </w:rPr>
        <w:t>cumplir</w:t>
      </w:r>
      <w:r>
        <w:rPr>
          <w:spacing w:val="-5"/>
          <w:sz w:val="24"/>
        </w:rPr>
        <w:t> </w:t>
      </w:r>
      <w:r>
        <w:rPr>
          <w:sz w:val="24"/>
        </w:rPr>
        <w:t>con</w:t>
      </w:r>
      <w:r>
        <w:rPr>
          <w:spacing w:val="-4"/>
          <w:sz w:val="24"/>
        </w:rPr>
        <w:t> </w:t>
      </w:r>
      <w:r>
        <w:rPr>
          <w:sz w:val="24"/>
        </w:rPr>
        <w:t>la</w:t>
      </w:r>
      <w:r>
        <w:rPr>
          <w:spacing w:val="-4"/>
          <w:sz w:val="24"/>
        </w:rPr>
        <w:t> </w:t>
      </w:r>
      <w:r>
        <w:rPr>
          <w:sz w:val="24"/>
        </w:rPr>
        <w:t>ley,</w:t>
      </w:r>
      <w:r>
        <w:rPr>
          <w:spacing w:val="-4"/>
          <w:sz w:val="24"/>
        </w:rPr>
        <w:t> </w:t>
      </w:r>
      <w:r>
        <w:rPr>
          <w:sz w:val="24"/>
        </w:rPr>
        <w:t>pero</w:t>
      </w:r>
      <w:r>
        <w:rPr>
          <w:spacing w:val="-4"/>
          <w:sz w:val="24"/>
        </w:rPr>
        <w:t> </w:t>
      </w:r>
      <w:r>
        <w:rPr>
          <w:sz w:val="24"/>
        </w:rPr>
        <w:t>no</w:t>
      </w:r>
      <w:r>
        <w:rPr>
          <w:spacing w:val="-6"/>
          <w:sz w:val="24"/>
        </w:rPr>
        <w:t> </w:t>
      </w:r>
      <w:r>
        <w:rPr>
          <w:sz w:val="24"/>
        </w:rPr>
        <w:t>el de hacerla una práctica administrativa prioritaria para el</w:t>
      </w:r>
      <w:r>
        <w:rPr>
          <w:spacing w:val="-26"/>
          <w:sz w:val="24"/>
        </w:rPr>
        <w:t> </w:t>
      </w:r>
      <w:r>
        <w:rPr>
          <w:sz w:val="24"/>
        </w:rPr>
        <w:t>gobierno.</w:t>
      </w:r>
    </w:p>
    <w:p>
      <w:pPr>
        <w:pStyle w:val="BodyText"/>
        <w:spacing w:before="1"/>
        <w:rPr>
          <w:sz w:val="26"/>
        </w:rPr>
      </w:pPr>
    </w:p>
    <w:p>
      <w:pPr>
        <w:pStyle w:val="ListParagraph"/>
        <w:numPr>
          <w:ilvl w:val="0"/>
          <w:numId w:val="64"/>
        </w:numPr>
        <w:tabs>
          <w:tab w:pos="476" w:val="left" w:leader="none"/>
        </w:tabs>
        <w:spacing w:line="360" w:lineRule="auto" w:before="0" w:after="0"/>
        <w:ind w:left="475" w:right="120" w:hanging="360"/>
        <w:jc w:val="both"/>
        <w:rPr>
          <w:sz w:val="24"/>
        </w:rPr>
      </w:pPr>
      <w:r>
        <w:rPr>
          <w:sz w:val="24"/>
        </w:rPr>
        <w:t>Sobre las dependencias responsables de promover la transparencia en México se identificó que INAI, el INFOEM, las UI y los CI son un avance relevante para el desarrollo de las funciones ya que se tienen dependencias responsables en los tres órdenes de gobierno. Pero hace falta fortalecer su infraestructura para que puedan tener un mejor desempeño de sus</w:t>
      </w:r>
      <w:r>
        <w:rPr>
          <w:spacing w:val="-28"/>
          <w:sz w:val="24"/>
        </w:rPr>
        <w:t> </w:t>
      </w:r>
      <w:r>
        <w:rPr>
          <w:sz w:val="24"/>
        </w:rPr>
        <w:t>funciones.</w:t>
      </w:r>
    </w:p>
    <w:p>
      <w:pPr>
        <w:pStyle w:val="BodyText"/>
        <w:spacing w:before="3"/>
        <w:rPr>
          <w:sz w:val="26"/>
        </w:rPr>
      </w:pPr>
    </w:p>
    <w:p>
      <w:pPr>
        <w:pStyle w:val="ListParagraph"/>
        <w:numPr>
          <w:ilvl w:val="0"/>
          <w:numId w:val="64"/>
        </w:numPr>
        <w:tabs>
          <w:tab w:pos="476" w:val="left" w:leader="none"/>
        </w:tabs>
        <w:spacing w:line="360" w:lineRule="auto" w:before="0" w:after="0"/>
        <w:ind w:left="475" w:right="122" w:hanging="360"/>
        <w:jc w:val="both"/>
        <w:rPr>
          <w:sz w:val="24"/>
        </w:rPr>
      </w:pPr>
      <w:r>
        <w:rPr>
          <w:sz w:val="24"/>
        </w:rPr>
        <w:t>La</w:t>
      </w:r>
      <w:r>
        <w:rPr>
          <w:spacing w:val="-7"/>
          <w:sz w:val="24"/>
        </w:rPr>
        <w:t> </w:t>
      </w:r>
      <w:r>
        <w:rPr>
          <w:sz w:val="24"/>
        </w:rPr>
        <w:t>revisión</w:t>
      </w:r>
      <w:r>
        <w:rPr>
          <w:spacing w:val="-7"/>
          <w:sz w:val="24"/>
        </w:rPr>
        <w:t> </w:t>
      </w:r>
      <w:r>
        <w:rPr>
          <w:sz w:val="24"/>
        </w:rPr>
        <w:t>de</w:t>
      </w:r>
      <w:r>
        <w:rPr>
          <w:spacing w:val="-7"/>
          <w:sz w:val="24"/>
        </w:rPr>
        <w:t> </w:t>
      </w:r>
      <w:r>
        <w:rPr>
          <w:sz w:val="24"/>
        </w:rPr>
        <w:t>los</w:t>
      </w:r>
      <w:r>
        <w:rPr>
          <w:spacing w:val="-10"/>
          <w:sz w:val="24"/>
        </w:rPr>
        <w:t> </w:t>
      </w:r>
      <w:r>
        <w:rPr>
          <w:sz w:val="24"/>
        </w:rPr>
        <w:t>portales</w:t>
      </w:r>
      <w:r>
        <w:rPr>
          <w:spacing w:val="-7"/>
          <w:sz w:val="24"/>
        </w:rPr>
        <w:t> </w:t>
      </w:r>
      <w:r>
        <w:rPr>
          <w:sz w:val="24"/>
        </w:rPr>
        <w:t>web</w:t>
      </w:r>
      <w:r>
        <w:rPr>
          <w:spacing w:val="-7"/>
          <w:sz w:val="24"/>
        </w:rPr>
        <w:t> </w:t>
      </w:r>
      <w:r>
        <w:rPr>
          <w:sz w:val="24"/>
        </w:rPr>
        <w:t>reveló</w:t>
      </w:r>
      <w:r>
        <w:rPr>
          <w:spacing w:val="-7"/>
          <w:sz w:val="24"/>
        </w:rPr>
        <w:t> </w:t>
      </w:r>
      <w:r>
        <w:rPr>
          <w:sz w:val="24"/>
        </w:rPr>
        <w:t>la</w:t>
      </w:r>
      <w:r>
        <w:rPr>
          <w:spacing w:val="-7"/>
          <w:sz w:val="24"/>
        </w:rPr>
        <w:t> </w:t>
      </w:r>
      <w:r>
        <w:rPr>
          <w:sz w:val="24"/>
        </w:rPr>
        <w:t>importancia</w:t>
      </w:r>
      <w:r>
        <w:rPr>
          <w:spacing w:val="-10"/>
          <w:sz w:val="24"/>
        </w:rPr>
        <w:t> </w:t>
      </w:r>
      <w:r>
        <w:rPr>
          <w:sz w:val="24"/>
        </w:rPr>
        <w:t>de</w:t>
      </w:r>
      <w:r>
        <w:rPr>
          <w:spacing w:val="-9"/>
          <w:sz w:val="24"/>
        </w:rPr>
        <w:t> </w:t>
      </w:r>
      <w:r>
        <w:rPr>
          <w:sz w:val="24"/>
        </w:rPr>
        <w:t>precisar</w:t>
      </w:r>
      <w:r>
        <w:rPr>
          <w:spacing w:val="-10"/>
          <w:sz w:val="24"/>
        </w:rPr>
        <w:t> </w:t>
      </w:r>
      <w:r>
        <w:rPr>
          <w:sz w:val="24"/>
        </w:rPr>
        <w:t>más</w:t>
      </w:r>
      <w:r>
        <w:rPr>
          <w:spacing w:val="-8"/>
          <w:sz w:val="24"/>
        </w:rPr>
        <w:t> </w:t>
      </w:r>
      <w:r>
        <w:rPr>
          <w:sz w:val="24"/>
        </w:rPr>
        <w:t>ley,</w:t>
      </w:r>
      <w:r>
        <w:rPr>
          <w:spacing w:val="-7"/>
          <w:sz w:val="24"/>
        </w:rPr>
        <w:t> </w:t>
      </w:r>
      <w:r>
        <w:rPr>
          <w:sz w:val="24"/>
        </w:rPr>
        <w:t>ya</w:t>
      </w:r>
      <w:r>
        <w:rPr>
          <w:spacing w:val="-7"/>
          <w:sz w:val="24"/>
        </w:rPr>
        <w:t> </w:t>
      </w:r>
      <w:r>
        <w:rPr>
          <w:sz w:val="24"/>
        </w:rPr>
        <w:t>que la gran cantidad de información que éstos contienen no permite diferenciar en qué medida los municipios cumplen la normativa vigente. Asimismo, la disparidad de información, el número de dependencias, personal y recursos de cada municipio dificulta establecer un estándar de medida para</w:t>
      </w:r>
      <w:r>
        <w:rPr>
          <w:spacing w:val="-30"/>
          <w:sz w:val="24"/>
        </w:rPr>
        <w:t> </w:t>
      </w:r>
      <w:r>
        <w:rPr>
          <w:sz w:val="24"/>
        </w:rPr>
        <w:t>evaluarlos.</w:t>
      </w:r>
    </w:p>
    <w:p>
      <w:pPr>
        <w:pStyle w:val="BodyText"/>
        <w:spacing w:before="1"/>
        <w:rPr>
          <w:sz w:val="26"/>
        </w:rPr>
      </w:pPr>
    </w:p>
    <w:p>
      <w:pPr>
        <w:pStyle w:val="ListParagraph"/>
        <w:numPr>
          <w:ilvl w:val="0"/>
          <w:numId w:val="64"/>
        </w:numPr>
        <w:tabs>
          <w:tab w:pos="476" w:val="left" w:leader="none"/>
        </w:tabs>
        <w:spacing w:line="360" w:lineRule="auto" w:before="0" w:after="0"/>
        <w:ind w:left="475" w:right="120" w:hanging="360"/>
        <w:jc w:val="both"/>
        <w:rPr>
          <w:sz w:val="24"/>
        </w:rPr>
      </w:pPr>
      <w:r>
        <w:rPr>
          <w:sz w:val="24"/>
        </w:rPr>
        <w:t>Uno</w:t>
      </w:r>
      <w:r>
        <w:rPr>
          <w:spacing w:val="-18"/>
          <w:sz w:val="24"/>
        </w:rPr>
        <w:t> </w:t>
      </w:r>
      <w:r>
        <w:rPr>
          <w:sz w:val="24"/>
        </w:rPr>
        <w:t>de</w:t>
      </w:r>
      <w:r>
        <w:rPr>
          <w:spacing w:val="-18"/>
          <w:sz w:val="24"/>
        </w:rPr>
        <w:t> </w:t>
      </w:r>
      <w:r>
        <w:rPr>
          <w:sz w:val="24"/>
        </w:rPr>
        <w:t>los</w:t>
      </w:r>
      <w:r>
        <w:rPr>
          <w:spacing w:val="-21"/>
          <w:sz w:val="24"/>
        </w:rPr>
        <w:t> </w:t>
      </w:r>
      <w:r>
        <w:rPr>
          <w:sz w:val="24"/>
        </w:rPr>
        <w:t>beneficios</w:t>
      </w:r>
      <w:r>
        <w:rPr>
          <w:spacing w:val="-19"/>
          <w:sz w:val="24"/>
        </w:rPr>
        <w:t> </w:t>
      </w:r>
      <w:r>
        <w:rPr>
          <w:sz w:val="24"/>
        </w:rPr>
        <w:t>de</w:t>
      </w:r>
      <w:r>
        <w:rPr>
          <w:spacing w:val="-18"/>
          <w:sz w:val="24"/>
        </w:rPr>
        <w:t> </w:t>
      </w:r>
      <w:r>
        <w:rPr>
          <w:sz w:val="24"/>
        </w:rPr>
        <w:t>la</w:t>
      </w:r>
      <w:r>
        <w:rPr>
          <w:spacing w:val="-18"/>
          <w:sz w:val="24"/>
        </w:rPr>
        <w:t> </w:t>
      </w:r>
      <w:r>
        <w:rPr>
          <w:sz w:val="24"/>
        </w:rPr>
        <w:t>transparencia</w:t>
      </w:r>
      <w:r>
        <w:rPr>
          <w:spacing w:val="-18"/>
          <w:sz w:val="24"/>
        </w:rPr>
        <w:t> </w:t>
      </w:r>
      <w:r>
        <w:rPr>
          <w:sz w:val="24"/>
        </w:rPr>
        <w:t>que</w:t>
      </w:r>
      <w:r>
        <w:rPr>
          <w:spacing w:val="-18"/>
          <w:sz w:val="24"/>
        </w:rPr>
        <w:t> </w:t>
      </w:r>
      <w:r>
        <w:rPr>
          <w:sz w:val="24"/>
        </w:rPr>
        <w:t>los</w:t>
      </w:r>
      <w:r>
        <w:rPr>
          <w:spacing w:val="-18"/>
          <w:sz w:val="24"/>
        </w:rPr>
        <w:t> </w:t>
      </w:r>
      <w:r>
        <w:rPr>
          <w:sz w:val="24"/>
        </w:rPr>
        <w:t>gobernantes</w:t>
      </w:r>
      <w:r>
        <w:rPr>
          <w:spacing w:val="-21"/>
          <w:sz w:val="24"/>
        </w:rPr>
        <w:t> </w:t>
      </w:r>
      <w:r>
        <w:rPr>
          <w:sz w:val="24"/>
        </w:rPr>
        <w:t>no</w:t>
      </w:r>
      <w:r>
        <w:rPr>
          <w:spacing w:val="-18"/>
          <w:sz w:val="24"/>
        </w:rPr>
        <w:t> </w:t>
      </w:r>
      <w:r>
        <w:rPr>
          <w:sz w:val="24"/>
        </w:rPr>
        <w:t>han</w:t>
      </w:r>
      <w:r>
        <w:rPr>
          <w:spacing w:val="-20"/>
          <w:sz w:val="24"/>
        </w:rPr>
        <w:t> </w:t>
      </w:r>
      <w:r>
        <w:rPr>
          <w:sz w:val="24"/>
        </w:rPr>
        <w:t>visualizado es el referente a la legitimidad política que ésta les puede proporcionar. Ya que en los procesos electorales lo que más llama la atención a los ciudadanos es</w:t>
      </w:r>
      <w:r>
        <w:rPr>
          <w:spacing w:val="17"/>
          <w:sz w:val="24"/>
        </w:rPr>
        <w:t> </w:t>
      </w:r>
      <w:r>
        <w:rPr>
          <w:sz w:val="24"/>
        </w:rPr>
        <w:t>el</w:t>
      </w:r>
    </w:p>
    <w:p>
      <w:pPr>
        <w:spacing w:after="0" w:line="360" w:lineRule="auto"/>
        <w:jc w:val="both"/>
        <w:rPr>
          <w:sz w:val="24"/>
        </w:rPr>
        <w:sectPr>
          <w:pgSz w:w="12240" w:h="15840"/>
          <w:pgMar w:header="0" w:footer="975" w:top="1360" w:bottom="1220" w:left="1560" w:right="1580"/>
        </w:sectPr>
      </w:pPr>
    </w:p>
    <w:p>
      <w:pPr>
        <w:pStyle w:val="BodyText"/>
        <w:spacing w:line="360" w:lineRule="auto" w:before="54"/>
        <w:ind w:left="315" w:right="115"/>
        <w:jc w:val="both"/>
      </w:pPr>
      <w:r>
        <w:rPr/>
        <w:t>morbo de lo desconocido de los gobernantes, el cual es alimentado con medios de comunicación amarillistas que generan campañas sucias para resaltar errores,</w:t>
      </w:r>
      <w:r>
        <w:rPr>
          <w:spacing w:val="-15"/>
        </w:rPr>
        <w:t> </w:t>
      </w:r>
      <w:r>
        <w:rPr/>
        <w:t>corrupción,</w:t>
      </w:r>
      <w:r>
        <w:rPr>
          <w:spacing w:val="-18"/>
        </w:rPr>
        <w:t> </w:t>
      </w:r>
      <w:r>
        <w:rPr/>
        <w:t>tráfico</w:t>
      </w:r>
      <w:r>
        <w:rPr>
          <w:spacing w:val="-18"/>
        </w:rPr>
        <w:t> </w:t>
      </w:r>
      <w:r>
        <w:rPr/>
        <w:t>de</w:t>
      </w:r>
      <w:r>
        <w:rPr>
          <w:spacing w:val="-15"/>
        </w:rPr>
        <w:t> </w:t>
      </w:r>
      <w:r>
        <w:rPr/>
        <w:t>influencias,</w:t>
      </w:r>
      <w:r>
        <w:rPr>
          <w:spacing w:val="-18"/>
        </w:rPr>
        <w:t> </w:t>
      </w:r>
      <w:r>
        <w:rPr/>
        <w:t>entre</w:t>
      </w:r>
      <w:r>
        <w:rPr>
          <w:spacing w:val="-15"/>
        </w:rPr>
        <w:t> </w:t>
      </w:r>
      <w:r>
        <w:rPr/>
        <w:t>otros</w:t>
      </w:r>
      <w:r>
        <w:rPr>
          <w:spacing w:val="-16"/>
        </w:rPr>
        <w:t> </w:t>
      </w:r>
      <w:r>
        <w:rPr/>
        <w:t>aspectos.</w:t>
      </w:r>
      <w:r>
        <w:rPr>
          <w:spacing w:val="-15"/>
        </w:rPr>
        <w:t> </w:t>
      </w:r>
      <w:r>
        <w:rPr/>
        <w:t>Cuando</w:t>
      </w:r>
      <w:r>
        <w:rPr>
          <w:spacing w:val="-15"/>
        </w:rPr>
        <w:t> </w:t>
      </w:r>
      <w:r>
        <w:rPr/>
        <w:t>se</w:t>
      </w:r>
      <w:r>
        <w:rPr>
          <w:spacing w:val="-15"/>
        </w:rPr>
        <w:t> </w:t>
      </w:r>
      <w:r>
        <w:rPr/>
        <w:t>aplica la transparencia se van eliminando todos estos vicios ya que los funcionarios limitan sus malas prácticas al sentirse observados todo el tiempo, pero con ello estarían incrementando la posibilidad de ser marcados por aspectos negativos de su trabajo. En este sentido, la transparencia si podría limitar las conductas negativas del</w:t>
      </w:r>
      <w:r>
        <w:rPr>
          <w:spacing w:val="-7"/>
        </w:rPr>
        <w:t> </w:t>
      </w:r>
      <w:r>
        <w:rPr/>
        <w:t>individuo.</w:t>
      </w:r>
    </w:p>
    <w:p>
      <w:pPr>
        <w:spacing w:after="0" w:line="360" w:lineRule="auto"/>
        <w:jc w:val="both"/>
        <w:sectPr>
          <w:pgSz w:w="12240" w:h="15840"/>
          <w:pgMar w:header="0" w:footer="975" w:top="1360" w:bottom="1220" w:left="1720" w:right="1580"/>
        </w:sectPr>
      </w:pPr>
    </w:p>
    <w:p>
      <w:pPr>
        <w:pStyle w:val="Heading1"/>
        <w:spacing w:before="54"/>
        <w:ind w:left="816" w:right="6" w:firstLine="0"/>
        <w:jc w:val="left"/>
      </w:pPr>
      <w:bookmarkStart w:name="_bookmark22" w:id="38"/>
      <w:bookmarkEnd w:id="38"/>
      <w:r>
        <w:rPr>
          <w:b w:val="0"/>
        </w:rPr>
      </w:r>
      <w:r>
        <w:rPr/>
        <w:t>FUENTES DE INFORMACIÓN</w:t>
      </w:r>
    </w:p>
    <w:p>
      <w:pPr>
        <w:pStyle w:val="BodyText"/>
        <w:rPr>
          <w:b/>
        </w:rPr>
      </w:pPr>
    </w:p>
    <w:p>
      <w:pPr>
        <w:pStyle w:val="BodyText"/>
        <w:rPr>
          <w:b/>
        </w:rPr>
      </w:pPr>
    </w:p>
    <w:p>
      <w:pPr>
        <w:spacing w:before="155"/>
        <w:ind w:left="828" w:right="125" w:hanging="720"/>
        <w:jc w:val="both"/>
        <w:rPr>
          <w:rFonts w:ascii="Times New Roman" w:hAnsi="Times New Roman"/>
          <w:sz w:val="24"/>
        </w:rPr>
      </w:pPr>
      <w:r>
        <w:rPr>
          <w:rFonts w:ascii="Times New Roman" w:hAnsi="Times New Roman"/>
          <w:sz w:val="24"/>
        </w:rPr>
        <w:t>Ackerman, J. (Ed.). (2008). </w:t>
      </w:r>
      <w:r>
        <w:rPr>
          <w:rFonts w:ascii="Times New Roman" w:hAnsi="Times New Roman"/>
          <w:i/>
          <w:sz w:val="24"/>
        </w:rPr>
        <w:t>Más allá del acceso a la información. Transparencia, rendición </w:t>
      </w:r>
      <w:r>
        <w:rPr>
          <w:rFonts w:ascii="Times New Roman" w:hAnsi="Times New Roman"/>
          <w:i/>
          <w:sz w:val="24"/>
        </w:rPr>
        <w:t>de cuentas y Estado de Derecho. </w:t>
      </w:r>
      <w:r>
        <w:rPr>
          <w:rFonts w:ascii="Times New Roman" w:hAnsi="Times New Roman"/>
          <w:sz w:val="24"/>
        </w:rPr>
        <w:t>México: Siglo XXI Editores.</w:t>
      </w:r>
    </w:p>
    <w:p>
      <w:pPr>
        <w:pStyle w:val="BodyText"/>
        <w:ind w:left="828" w:right="119" w:hanging="720"/>
        <w:jc w:val="both"/>
        <w:rPr>
          <w:rFonts w:ascii="Times New Roman" w:hAnsi="Times New Roman"/>
        </w:rPr>
      </w:pPr>
      <w:r>
        <w:rPr>
          <w:rFonts w:ascii="Times New Roman" w:hAnsi="Times New Roman"/>
        </w:rPr>
        <w:t>Ackerman, J., &amp; Sandoval Ballesteros, I. E. (2015). Leyes de Acceso a la Información en el Mundo. (Instituto Federal de Acceso a la Información, Ed.) </w:t>
      </w:r>
      <w:r>
        <w:rPr>
          <w:rFonts w:ascii="Times New Roman" w:hAnsi="Times New Roman"/>
          <w:i/>
        </w:rPr>
        <w:t>Cuadernos de </w:t>
      </w:r>
      <w:r>
        <w:rPr>
          <w:rFonts w:ascii="Times New Roman" w:hAnsi="Times New Roman"/>
          <w:i/>
        </w:rPr>
        <w:t>Transparencia</w:t>
      </w:r>
      <w:r>
        <w:rPr>
          <w:rFonts w:ascii="Times New Roman" w:hAnsi="Times New Roman"/>
        </w:rPr>
        <w:t>(7), Séptima Edición.</w:t>
      </w:r>
    </w:p>
    <w:p>
      <w:pPr>
        <w:pStyle w:val="BodyText"/>
        <w:ind w:left="108" w:right="6"/>
        <w:rPr>
          <w:rFonts w:ascii="Times New Roman" w:hAnsi="Times New Roman"/>
        </w:rPr>
      </w:pPr>
      <w:r>
        <w:rPr>
          <w:rFonts w:ascii="Times New Roman" w:hAnsi="Times New Roman"/>
        </w:rPr>
        <w:t>Ackerman, M. J., &amp; Sandoval, I. E. (2005). Leyes de Acceso a la Información en el  Mundo.</w:t>
      </w:r>
    </w:p>
    <w:p>
      <w:pPr>
        <w:spacing w:before="0"/>
        <w:ind w:left="828" w:right="6" w:firstLine="0"/>
        <w:jc w:val="left"/>
        <w:rPr>
          <w:rFonts w:ascii="Times New Roman"/>
          <w:sz w:val="24"/>
        </w:rPr>
      </w:pPr>
      <w:r>
        <w:rPr>
          <w:rFonts w:ascii="Times New Roman"/>
          <w:i/>
          <w:sz w:val="24"/>
        </w:rPr>
        <w:t>Cuadernos de Transparencia</w:t>
      </w:r>
      <w:r>
        <w:rPr>
          <w:rFonts w:ascii="Times New Roman"/>
          <w:sz w:val="24"/>
        </w:rPr>
        <w:t>(7).</w:t>
      </w:r>
    </w:p>
    <w:p>
      <w:pPr>
        <w:spacing w:before="0"/>
        <w:ind w:left="828" w:right="115" w:hanging="720"/>
        <w:jc w:val="both"/>
        <w:rPr>
          <w:rFonts w:ascii="Times New Roman" w:hAnsi="Times New Roman"/>
          <w:sz w:val="24"/>
        </w:rPr>
      </w:pPr>
      <w:r>
        <w:rPr>
          <w:rFonts w:ascii="Times New Roman" w:hAnsi="Times New Roman"/>
          <w:sz w:val="24"/>
        </w:rPr>
        <w:t>Aguilar</w:t>
      </w:r>
      <w:r>
        <w:rPr>
          <w:rFonts w:ascii="Times New Roman" w:hAnsi="Times New Roman"/>
          <w:spacing w:val="-10"/>
          <w:sz w:val="24"/>
        </w:rPr>
        <w:t> </w:t>
      </w:r>
      <w:r>
        <w:rPr>
          <w:rFonts w:ascii="Times New Roman" w:hAnsi="Times New Roman"/>
          <w:sz w:val="24"/>
        </w:rPr>
        <w:t>Rivera,</w:t>
      </w:r>
      <w:r>
        <w:rPr>
          <w:rFonts w:ascii="Times New Roman" w:hAnsi="Times New Roman"/>
          <w:spacing w:val="-10"/>
          <w:sz w:val="24"/>
        </w:rPr>
        <w:t> </w:t>
      </w:r>
      <w:r>
        <w:rPr>
          <w:rFonts w:ascii="Times New Roman" w:hAnsi="Times New Roman"/>
          <w:sz w:val="24"/>
        </w:rPr>
        <w:t>J.</w:t>
      </w:r>
      <w:r>
        <w:rPr>
          <w:rFonts w:ascii="Times New Roman" w:hAnsi="Times New Roman"/>
          <w:spacing w:val="-10"/>
          <w:sz w:val="24"/>
        </w:rPr>
        <w:t> </w:t>
      </w:r>
      <w:r>
        <w:rPr>
          <w:rFonts w:ascii="Times New Roman" w:hAnsi="Times New Roman"/>
          <w:sz w:val="24"/>
        </w:rPr>
        <w:t>A.</w:t>
      </w:r>
      <w:r>
        <w:rPr>
          <w:rFonts w:ascii="Times New Roman" w:hAnsi="Times New Roman"/>
          <w:spacing w:val="-13"/>
          <w:sz w:val="24"/>
        </w:rPr>
        <w:t> </w:t>
      </w:r>
      <w:r>
        <w:rPr>
          <w:rFonts w:ascii="Times New Roman" w:hAnsi="Times New Roman"/>
          <w:sz w:val="24"/>
        </w:rPr>
        <w:t>(2008).</w:t>
      </w:r>
      <w:r>
        <w:rPr>
          <w:rFonts w:ascii="Times New Roman" w:hAnsi="Times New Roman"/>
          <w:spacing w:val="-9"/>
          <w:sz w:val="24"/>
        </w:rPr>
        <w:t> </w:t>
      </w:r>
      <w:r>
        <w:rPr>
          <w:rFonts w:ascii="Times New Roman" w:hAnsi="Times New Roman"/>
          <w:i/>
          <w:sz w:val="24"/>
        </w:rPr>
        <w:t>Transparencia</w:t>
      </w:r>
      <w:r>
        <w:rPr>
          <w:rFonts w:ascii="Times New Roman" w:hAnsi="Times New Roman"/>
          <w:i/>
          <w:spacing w:val="-9"/>
          <w:sz w:val="24"/>
        </w:rPr>
        <w:t> </w:t>
      </w:r>
      <w:r>
        <w:rPr>
          <w:rFonts w:ascii="Times New Roman" w:hAnsi="Times New Roman"/>
          <w:i/>
          <w:sz w:val="24"/>
        </w:rPr>
        <w:t>y</w:t>
      </w:r>
      <w:r>
        <w:rPr>
          <w:rFonts w:ascii="Times New Roman" w:hAnsi="Times New Roman"/>
          <w:i/>
          <w:spacing w:val="-11"/>
          <w:sz w:val="24"/>
        </w:rPr>
        <w:t> </w:t>
      </w:r>
      <w:r>
        <w:rPr>
          <w:rFonts w:ascii="Times New Roman" w:hAnsi="Times New Roman"/>
          <w:i/>
          <w:sz w:val="24"/>
        </w:rPr>
        <w:t>democracia:</w:t>
      </w:r>
      <w:r>
        <w:rPr>
          <w:rFonts w:ascii="Times New Roman" w:hAnsi="Times New Roman"/>
          <w:i/>
          <w:spacing w:val="-10"/>
          <w:sz w:val="24"/>
        </w:rPr>
        <w:t> </w:t>
      </w:r>
      <w:r>
        <w:rPr>
          <w:rFonts w:ascii="Times New Roman" w:hAnsi="Times New Roman"/>
          <w:i/>
          <w:sz w:val="24"/>
        </w:rPr>
        <w:t>claves</w:t>
      </w:r>
      <w:r>
        <w:rPr>
          <w:rFonts w:ascii="Times New Roman" w:hAnsi="Times New Roman"/>
          <w:i/>
          <w:spacing w:val="-9"/>
          <w:sz w:val="24"/>
        </w:rPr>
        <w:t> </w:t>
      </w:r>
      <w:r>
        <w:rPr>
          <w:rFonts w:ascii="Times New Roman" w:hAnsi="Times New Roman"/>
          <w:i/>
          <w:sz w:val="24"/>
        </w:rPr>
        <w:t>para</w:t>
      </w:r>
      <w:r>
        <w:rPr>
          <w:rFonts w:ascii="Times New Roman" w:hAnsi="Times New Roman"/>
          <w:i/>
          <w:spacing w:val="-9"/>
          <w:sz w:val="24"/>
        </w:rPr>
        <w:t> </w:t>
      </w:r>
      <w:r>
        <w:rPr>
          <w:rFonts w:ascii="Times New Roman" w:hAnsi="Times New Roman"/>
          <w:i/>
          <w:sz w:val="24"/>
        </w:rPr>
        <w:t>un</w:t>
      </w:r>
      <w:r>
        <w:rPr>
          <w:rFonts w:ascii="Times New Roman" w:hAnsi="Times New Roman"/>
          <w:i/>
          <w:spacing w:val="-10"/>
          <w:sz w:val="24"/>
        </w:rPr>
        <w:t> </w:t>
      </w:r>
      <w:r>
        <w:rPr>
          <w:rFonts w:ascii="Times New Roman" w:hAnsi="Times New Roman"/>
          <w:i/>
          <w:sz w:val="24"/>
        </w:rPr>
        <w:t>concierto.</w:t>
      </w:r>
      <w:r>
        <w:rPr>
          <w:rFonts w:ascii="Times New Roman" w:hAnsi="Times New Roman"/>
          <w:i/>
          <w:spacing w:val="-8"/>
          <w:sz w:val="24"/>
        </w:rPr>
        <w:t> </w:t>
      </w:r>
      <w:r>
        <w:rPr>
          <w:rFonts w:ascii="Times New Roman" w:hAnsi="Times New Roman"/>
          <w:sz w:val="24"/>
        </w:rPr>
        <w:t>México: IFAI.</w:t>
      </w:r>
    </w:p>
    <w:p>
      <w:pPr>
        <w:spacing w:before="0"/>
        <w:ind w:left="828" w:right="124" w:hanging="720"/>
        <w:jc w:val="both"/>
        <w:rPr>
          <w:rFonts w:ascii="Times New Roman" w:hAnsi="Times New Roman"/>
          <w:sz w:val="24"/>
        </w:rPr>
      </w:pPr>
      <w:r>
        <w:rPr>
          <w:rFonts w:ascii="Times New Roman" w:hAnsi="Times New Roman"/>
          <w:sz w:val="24"/>
        </w:rPr>
        <w:t>Alatorre, J. A. (2006). El papel de la transparencia y la rendición de cuentas en la consolidación democrática. </w:t>
      </w:r>
      <w:r>
        <w:rPr>
          <w:rFonts w:ascii="Times New Roman" w:hAnsi="Times New Roman"/>
          <w:i/>
          <w:sz w:val="24"/>
        </w:rPr>
        <w:t>Acta República. Política y sociedad</w:t>
      </w:r>
      <w:r>
        <w:rPr>
          <w:rFonts w:ascii="Times New Roman" w:hAnsi="Times New Roman"/>
          <w:sz w:val="24"/>
        </w:rPr>
        <w:t>(5).</w:t>
      </w:r>
    </w:p>
    <w:p>
      <w:pPr>
        <w:spacing w:before="0"/>
        <w:ind w:left="828" w:right="120" w:hanging="720"/>
        <w:jc w:val="both"/>
        <w:rPr>
          <w:rFonts w:ascii="Times New Roman"/>
          <w:sz w:val="24"/>
        </w:rPr>
      </w:pPr>
      <w:r>
        <w:rPr>
          <w:rFonts w:ascii="Times New Roman"/>
          <w:i/>
          <w:sz w:val="24"/>
        </w:rPr>
        <w:t>Alianza para el Gobierno Abierto</w:t>
      </w:r>
      <w:r>
        <w:rPr>
          <w:rFonts w:ascii="Times New Roman"/>
          <w:sz w:val="24"/>
        </w:rPr>
        <w:t>. (27 de Noviembre de 2015). Obtenido de </w:t>
      </w:r>
      <w:hyperlink r:id="rId148">
        <w:r>
          <w:rPr>
            <w:rFonts w:ascii="Times New Roman"/>
            <w:sz w:val="24"/>
          </w:rPr>
          <w:t>http://www.opengovpartnership.org/es</w:t>
        </w:r>
      </w:hyperlink>
    </w:p>
    <w:p>
      <w:pPr>
        <w:tabs>
          <w:tab w:pos="2354" w:val="left" w:leader="none"/>
        </w:tabs>
        <w:spacing w:before="0"/>
        <w:ind w:left="828" w:right="116" w:hanging="720"/>
        <w:jc w:val="both"/>
        <w:rPr>
          <w:rFonts w:ascii="Times New Roman" w:hAnsi="Times New Roman"/>
          <w:sz w:val="24"/>
        </w:rPr>
      </w:pPr>
      <w:r>
        <w:rPr>
          <w:rFonts w:ascii="Times New Roman" w:hAnsi="Times New Roman"/>
          <w:i/>
          <w:sz w:val="24"/>
        </w:rPr>
        <w:t>Alto</w:t>
      </w:r>
      <w:r>
        <w:rPr>
          <w:rFonts w:ascii="Times New Roman" w:hAnsi="Times New Roman"/>
          <w:i/>
          <w:spacing w:val="-8"/>
          <w:sz w:val="24"/>
        </w:rPr>
        <w:t> </w:t>
      </w:r>
      <w:r>
        <w:rPr>
          <w:rFonts w:ascii="Times New Roman" w:hAnsi="Times New Roman"/>
          <w:i/>
          <w:sz w:val="24"/>
        </w:rPr>
        <w:t>Nivel.</w:t>
      </w:r>
      <w:r>
        <w:rPr>
          <w:rFonts w:ascii="Times New Roman" w:hAnsi="Times New Roman"/>
          <w:i/>
          <w:spacing w:val="-8"/>
          <w:sz w:val="24"/>
        </w:rPr>
        <w:t> </w:t>
      </w:r>
      <w:r>
        <w:rPr>
          <w:rFonts w:ascii="Times New Roman" w:hAnsi="Times New Roman"/>
          <w:i/>
          <w:sz w:val="24"/>
        </w:rPr>
        <w:t>México</w:t>
      </w:r>
      <w:r>
        <w:rPr>
          <w:rFonts w:ascii="Times New Roman" w:hAnsi="Times New Roman"/>
          <w:i/>
          <w:spacing w:val="-9"/>
          <w:sz w:val="24"/>
        </w:rPr>
        <w:t> </w:t>
      </w:r>
      <w:r>
        <w:rPr>
          <w:rFonts w:ascii="Times New Roman" w:hAnsi="Times New Roman"/>
          <w:i/>
          <w:sz w:val="24"/>
        </w:rPr>
        <w:t>aprueba</w:t>
      </w:r>
      <w:r>
        <w:rPr>
          <w:rFonts w:ascii="Times New Roman" w:hAnsi="Times New Roman"/>
          <w:i/>
          <w:spacing w:val="-9"/>
          <w:sz w:val="24"/>
        </w:rPr>
        <w:t> </w:t>
      </w:r>
      <w:r>
        <w:rPr>
          <w:rFonts w:ascii="Times New Roman" w:hAnsi="Times New Roman"/>
          <w:i/>
          <w:sz w:val="24"/>
        </w:rPr>
        <w:t>de</w:t>
      </w:r>
      <w:r>
        <w:rPr>
          <w:rFonts w:ascii="Times New Roman" w:hAnsi="Times New Roman"/>
          <w:i/>
          <w:spacing w:val="-10"/>
          <w:sz w:val="24"/>
        </w:rPr>
        <w:t> </w:t>
      </w:r>
      <w:r>
        <w:rPr>
          <w:rFonts w:ascii="Times New Roman" w:hAnsi="Times New Roman"/>
          <w:i/>
          <w:sz w:val="24"/>
        </w:rPr>
        <w:t>panzazo</w:t>
      </w:r>
      <w:r>
        <w:rPr>
          <w:rFonts w:ascii="Times New Roman" w:hAnsi="Times New Roman"/>
          <w:i/>
          <w:spacing w:val="-8"/>
          <w:sz w:val="24"/>
        </w:rPr>
        <w:t> </w:t>
      </w:r>
      <w:r>
        <w:rPr>
          <w:rFonts w:ascii="Times New Roman" w:hAnsi="Times New Roman"/>
          <w:i/>
          <w:sz w:val="24"/>
        </w:rPr>
        <w:t>en</w:t>
      </w:r>
      <w:r>
        <w:rPr>
          <w:rFonts w:ascii="Times New Roman" w:hAnsi="Times New Roman"/>
          <w:i/>
          <w:spacing w:val="-9"/>
          <w:sz w:val="24"/>
        </w:rPr>
        <w:t> </w:t>
      </w:r>
      <w:r>
        <w:rPr>
          <w:rFonts w:ascii="Times New Roman" w:hAnsi="Times New Roman"/>
          <w:i/>
          <w:sz w:val="24"/>
        </w:rPr>
        <w:t>transparencia</w:t>
      </w:r>
      <w:r>
        <w:rPr>
          <w:rFonts w:ascii="Times New Roman" w:hAnsi="Times New Roman"/>
          <w:i/>
          <w:spacing w:val="-8"/>
          <w:sz w:val="24"/>
        </w:rPr>
        <w:t> </w:t>
      </w:r>
      <w:r>
        <w:rPr>
          <w:rFonts w:ascii="Times New Roman" w:hAnsi="Times New Roman"/>
          <w:i/>
          <w:sz w:val="24"/>
        </w:rPr>
        <w:t>global</w:t>
      </w:r>
      <w:r>
        <w:rPr>
          <w:rFonts w:ascii="Times New Roman" w:hAnsi="Times New Roman"/>
          <w:sz w:val="24"/>
        </w:rPr>
        <w:t>.</w:t>
      </w:r>
      <w:r>
        <w:rPr>
          <w:rFonts w:ascii="Times New Roman" w:hAnsi="Times New Roman"/>
          <w:spacing w:val="-9"/>
          <w:sz w:val="24"/>
        </w:rPr>
        <w:t> </w:t>
      </w:r>
      <w:r>
        <w:rPr>
          <w:rFonts w:ascii="Times New Roman" w:hAnsi="Times New Roman"/>
          <w:sz w:val="24"/>
        </w:rPr>
        <w:t>(Febrero</w:t>
      </w:r>
      <w:r>
        <w:rPr>
          <w:rFonts w:ascii="Times New Roman" w:hAnsi="Times New Roman"/>
          <w:spacing w:val="-9"/>
          <w:sz w:val="24"/>
        </w:rPr>
        <w:t> </w:t>
      </w:r>
      <w:r>
        <w:rPr>
          <w:rFonts w:ascii="Times New Roman" w:hAnsi="Times New Roman"/>
          <w:sz w:val="24"/>
        </w:rPr>
        <w:t>de</w:t>
      </w:r>
      <w:r>
        <w:rPr>
          <w:rFonts w:ascii="Times New Roman" w:hAnsi="Times New Roman"/>
          <w:spacing w:val="-10"/>
          <w:sz w:val="24"/>
        </w:rPr>
        <w:t> </w:t>
      </w:r>
      <w:r>
        <w:rPr>
          <w:rFonts w:ascii="Times New Roman" w:hAnsi="Times New Roman"/>
          <w:sz w:val="24"/>
        </w:rPr>
        <w:t>2014).</w:t>
      </w:r>
      <w:r>
        <w:rPr>
          <w:rFonts w:ascii="Times New Roman" w:hAnsi="Times New Roman"/>
          <w:spacing w:val="-9"/>
          <w:sz w:val="24"/>
        </w:rPr>
        <w:t> </w:t>
      </w:r>
      <w:r>
        <w:rPr>
          <w:rFonts w:ascii="Times New Roman" w:hAnsi="Times New Roman"/>
          <w:sz w:val="24"/>
        </w:rPr>
        <w:t>Obtenido de</w:t>
        <w:tab/>
      </w:r>
      <w:hyperlink r:id="rId149">
        <w:r>
          <w:rPr>
            <w:rFonts w:ascii="Times New Roman" w:hAnsi="Times New Roman"/>
            <w:sz w:val="24"/>
          </w:rPr>
          <w:t>http://www.altonivel.com.mx/33741-mexico-aprueba-de-panzazo-en-</w:t>
        </w:r>
      </w:hyperlink>
      <w:r>
        <w:rPr>
          <w:rFonts w:ascii="Times New Roman" w:hAnsi="Times New Roman"/>
          <w:sz w:val="24"/>
        </w:rPr>
        <w:t> transparencia-global.html</w:t>
      </w:r>
    </w:p>
    <w:p>
      <w:pPr>
        <w:spacing w:before="0"/>
        <w:ind w:left="828" w:right="119" w:hanging="720"/>
        <w:jc w:val="both"/>
        <w:rPr>
          <w:rFonts w:ascii="Times New Roman" w:hAnsi="Times New Roman"/>
          <w:sz w:val="24"/>
        </w:rPr>
      </w:pPr>
      <w:r>
        <w:rPr>
          <w:rFonts w:ascii="Times New Roman" w:hAnsi="Times New Roman"/>
          <w:sz w:val="24"/>
        </w:rPr>
        <w:t>Álvarez,</w:t>
      </w:r>
      <w:r>
        <w:rPr>
          <w:rFonts w:ascii="Times New Roman" w:hAnsi="Times New Roman"/>
          <w:spacing w:val="-14"/>
          <w:sz w:val="24"/>
        </w:rPr>
        <w:t> </w:t>
      </w:r>
      <w:r>
        <w:rPr>
          <w:rFonts w:ascii="Times New Roman" w:hAnsi="Times New Roman"/>
          <w:sz w:val="24"/>
        </w:rPr>
        <w:t>I.</w:t>
      </w:r>
      <w:r>
        <w:rPr>
          <w:rFonts w:ascii="Times New Roman" w:hAnsi="Times New Roman"/>
          <w:spacing w:val="-17"/>
          <w:sz w:val="24"/>
        </w:rPr>
        <w:t> </w:t>
      </w:r>
      <w:r>
        <w:rPr>
          <w:rFonts w:ascii="Times New Roman" w:hAnsi="Times New Roman"/>
          <w:sz w:val="24"/>
        </w:rPr>
        <w:t>(2007).</w:t>
      </w:r>
      <w:r>
        <w:rPr>
          <w:rFonts w:ascii="Times New Roman" w:hAnsi="Times New Roman"/>
          <w:spacing w:val="-17"/>
          <w:sz w:val="24"/>
        </w:rPr>
        <w:t> </w:t>
      </w:r>
      <w:r>
        <w:rPr>
          <w:rFonts w:ascii="Times New Roman" w:hAnsi="Times New Roman"/>
          <w:i/>
          <w:sz w:val="24"/>
        </w:rPr>
        <w:t>Relatoría</w:t>
      </w:r>
      <w:r>
        <w:rPr>
          <w:rFonts w:ascii="Times New Roman" w:hAnsi="Times New Roman"/>
          <w:i/>
          <w:spacing w:val="-16"/>
          <w:sz w:val="24"/>
        </w:rPr>
        <w:t> </w:t>
      </w:r>
      <w:r>
        <w:rPr>
          <w:rFonts w:ascii="Times New Roman" w:hAnsi="Times New Roman"/>
          <w:i/>
          <w:sz w:val="24"/>
        </w:rPr>
        <w:t>especial</w:t>
      </w:r>
      <w:r>
        <w:rPr>
          <w:rFonts w:ascii="Times New Roman" w:hAnsi="Times New Roman"/>
          <w:i/>
          <w:spacing w:val="-16"/>
          <w:sz w:val="24"/>
        </w:rPr>
        <w:t> </w:t>
      </w:r>
      <w:r>
        <w:rPr>
          <w:rFonts w:ascii="Times New Roman" w:hAnsi="Times New Roman"/>
          <w:i/>
          <w:sz w:val="24"/>
        </w:rPr>
        <w:t>para</w:t>
      </w:r>
      <w:r>
        <w:rPr>
          <w:rFonts w:ascii="Times New Roman" w:hAnsi="Times New Roman"/>
          <w:i/>
          <w:spacing w:val="-17"/>
          <w:sz w:val="24"/>
        </w:rPr>
        <w:t> </w:t>
      </w:r>
      <w:r>
        <w:rPr>
          <w:rFonts w:ascii="Times New Roman" w:hAnsi="Times New Roman"/>
          <w:i/>
          <w:sz w:val="24"/>
        </w:rPr>
        <w:t>la</w:t>
      </w:r>
      <w:r>
        <w:rPr>
          <w:rFonts w:ascii="Times New Roman" w:hAnsi="Times New Roman"/>
          <w:i/>
          <w:spacing w:val="-16"/>
          <w:sz w:val="24"/>
        </w:rPr>
        <w:t> </w:t>
      </w:r>
      <w:r>
        <w:rPr>
          <w:rFonts w:ascii="Times New Roman" w:hAnsi="Times New Roman"/>
          <w:i/>
          <w:sz w:val="24"/>
        </w:rPr>
        <w:t>libertad</w:t>
      </w:r>
      <w:r>
        <w:rPr>
          <w:rFonts w:ascii="Times New Roman" w:hAnsi="Times New Roman"/>
          <w:i/>
          <w:spacing w:val="-17"/>
          <w:sz w:val="24"/>
        </w:rPr>
        <w:t> </w:t>
      </w:r>
      <w:r>
        <w:rPr>
          <w:rFonts w:ascii="Times New Roman" w:hAnsi="Times New Roman"/>
          <w:i/>
          <w:sz w:val="24"/>
        </w:rPr>
        <w:t>de</w:t>
      </w:r>
      <w:r>
        <w:rPr>
          <w:rFonts w:ascii="Times New Roman" w:hAnsi="Times New Roman"/>
          <w:i/>
          <w:spacing w:val="-18"/>
          <w:sz w:val="24"/>
        </w:rPr>
        <w:t> </w:t>
      </w:r>
      <w:r>
        <w:rPr>
          <w:rFonts w:ascii="Times New Roman" w:hAnsi="Times New Roman"/>
          <w:i/>
          <w:sz w:val="24"/>
        </w:rPr>
        <w:t>expresión.</w:t>
      </w:r>
      <w:r>
        <w:rPr>
          <w:rFonts w:ascii="Times New Roman" w:hAnsi="Times New Roman"/>
          <w:i/>
          <w:spacing w:val="-14"/>
          <w:sz w:val="24"/>
        </w:rPr>
        <w:t> </w:t>
      </w:r>
      <w:r>
        <w:rPr>
          <w:rFonts w:ascii="Times New Roman" w:hAnsi="Times New Roman"/>
          <w:sz w:val="24"/>
        </w:rPr>
        <w:t>(Comisión</w:t>
      </w:r>
      <w:r>
        <w:rPr>
          <w:rFonts w:ascii="Times New Roman" w:hAnsi="Times New Roman"/>
          <w:spacing w:val="-14"/>
          <w:sz w:val="24"/>
        </w:rPr>
        <w:t> </w:t>
      </w:r>
      <w:r>
        <w:rPr>
          <w:rFonts w:ascii="Times New Roman" w:hAnsi="Times New Roman"/>
          <w:sz w:val="24"/>
        </w:rPr>
        <w:t>Interamericana de los Derechos Humanos, Ed.) Washintong D.C.: Organización de los Estados Americanos.</w:t>
      </w:r>
    </w:p>
    <w:p>
      <w:pPr>
        <w:spacing w:before="0"/>
        <w:ind w:left="108" w:right="6" w:firstLine="0"/>
        <w:jc w:val="left"/>
        <w:rPr>
          <w:rFonts w:ascii="Times New Roman" w:hAnsi="Times New Roman"/>
          <w:sz w:val="24"/>
        </w:rPr>
      </w:pPr>
      <w:r>
        <w:rPr>
          <w:rFonts w:ascii="Times New Roman" w:hAnsi="Times New Roman"/>
          <w:sz w:val="24"/>
        </w:rPr>
        <w:t>Andreas, S. (2004). ¿Qué es la rendición de cuentas? . </w:t>
      </w:r>
      <w:r>
        <w:rPr>
          <w:rFonts w:ascii="Times New Roman" w:hAnsi="Times New Roman"/>
          <w:i/>
          <w:sz w:val="24"/>
        </w:rPr>
        <w:t>Cuadernos de Transparencia</w:t>
      </w:r>
      <w:r>
        <w:rPr>
          <w:rFonts w:ascii="Times New Roman" w:hAnsi="Times New Roman"/>
          <w:sz w:val="24"/>
        </w:rPr>
        <w:t>(3).</w:t>
      </w:r>
    </w:p>
    <w:p>
      <w:pPr>
        <w:spacing w:before="0"/>
        <w:ind w:left="828" w:right="121" w:hanging="720"/>
        <w:jc w:val="both"/>
        <w:rPr>
          <w:rFonts w:ascii="Times New Roman" w:hAnsi="Times New Roman"/>
          <w:sz w:val="24"/>
        </w:rPr>
      </w:pPr>
      <w:r>
        <w:rPr>
          <w:rFonts w:ascii="Times New Roman" w:hAnsi="Times New Roman"/>
          <w:sz w:val="24"/>
        </w:rPr>
        <w:t>Arellano Gault, D. (septiembre-diciembre de 2011). Fallas de transparencia: hacia una incorporación efectiva de políticas de transparencia en las organizaciones públicas. </w:t>
      </w:r>
      <w:r>
        <w:rPr>
          <w:rFonts w:ascii="Times New Roman" w:hAnsi="Times New Roman"/>
          <w:i/>
          <w:sz w:val="24"/>
        </w:rPr>
        <w:t>Convergencia. Revista de Ciencias Sociales, XIV</w:t>
      </w:r>
      <w:r>
        <w:rPr>
          <w:rFonts w:ascii="Times New Roman" w:hAnsi="Times New Roman"/>
          <w:sz w:val="24"/>
        </w:rPr>
        <w:t>(45), 31-46.</w:t>
      </w:r>
    </w:p>
    <w:p>
      <w:pPr>
        <w:pStyle w:val="BodyText"/>
        <w:ind w:left="828" w:right="116" w:hanging="720"/>
        <w:jc w:val="both"/>
        <w:rPr>
          <w:rFonts w:ascii="Times New Roman" w:hAnsi="Times New Roman"/>
        </w:rPr>
      </w:pPr>
      <w:r>
        <w:rPr>
          <w:rFonts w:ascii="Times New Roman" w:hAnsi="Times New Roman"/>
        </w:rPr>
        <w:t>Arellano Gault, D., &amp; Lepore, W. (abril-junio de 2009). Reformas de transparencia: hacer endógena la transparencia organizacional. El caso de México. </w:t>
      </w:r>
      <w:r>
        <w:rPr>
          <w:rFonts w:ascii="Times New Roman" w:hAnsi="Times New Roman"/>
          <w:i/>
        </w:rPr>
        <w:t>Foro Internacional, </w:t>
      </w:r>
      <w:r>
        <w:rPr>
          <w:rFonts w:ascii="Times New Roman" w:hAnsi="Times New Roman"/>
          <w:i/>
        </w:rPr>
        <w:t>XLIX</w:t>
      </w:r>
      <w:r>
        <w:rPr>
          <w:rFonts w:ascii="Times New Roman" w:hAnsi="Times New Roman"/>
        </w:rPr>
        <w:t>, 312-341.</w:t>
      </w:r>
    </w:p>
    <w:p>
      <w:pPr>
        <w:spacing w:before="0"/>
        <w:ind w:left="108" w:right="734" w:firstLine="0"/>
        <w:jc w:val="left"/>
        <w:rPr>
          <w:rFonts w:ascii="Times New Roman" w:hAnsi="Times New Roman"/>
          <w:sz w:val="24"/>
        </w:rPr>
      </w:pPr>
      <w:r>
        <w:rPr>
          <w:rFonts w:ascii="Times New Roman" w:hAnsi="Times New Roman"/>
          <w:i/>
          <w:sz w:val="24"/>
        </w:rPr>
        <w:t>Arena Ciudadana</w:t>
      </w:r>
      <w:r>
        <w:rPr>
          <w:rFonts w:ascii="Times New Roman" w:hAnsi="Times New Roman"/>
          <w:sz w:val="24"/>
        </w:rPr>
        <w:t>. (27 de Noviembre de 2015). Obtenido de </w:t>
      </w:r>
      <w:hyperlink r:id="rId150">
        <w:r>
          <w:rPr>
            <w:rFonts w:ascii="Times New Roman" w:hAnsi="Times New Roman"/>
            <w:sz w:val="24"/>
          </w:rPr>
          <w:t>www.arenaciudadana.org</w:t>
        </w:r>
      </w:hyperlink>
      <w:r>
        <w:rPr>
          <w:rFonts w:ascii="Times New Roman" w:hAnsi="Times New Roman"/>
          <w:sz w:val="24"/>
        </w:rPr>
        <w:t> Aristóteles. (2004)). </w:t>
      </w:r>
      <w:r>
        <w:rPr>
          <w:rFonts w:ascii="Times New Roman" w:hAnsi="Times New Roman"/>
          <w:i/>
          <w:sz w:val="24"/>
        </w:rPr>
        <w:t>La política. </w:t>
      </w:r>
      <w:r>
        <w:rPr>
          <w:rFonts w:ascii="Times New Roman" w:hAnsi="Times New Roman"/>
          <w:sz w:val="24"/>
        </w:rPr>
        <w:t>México: Gernika.</w:t>
      </w:r>
    </w:p>
    <w:p>
      <w:pPr>
        <w:pStyle w:val="BodyText"/>
        <w:ind w:left="828" w:right="117" w:hanging="720"/>
        <w:jc w:val="both"/>
        <w:rPr>
          <w:rFonts w:ascii="Times New Roman"/>
        </w:rPr>
      </w:pPr>
      <w:r>
        <w:rPr>
          <w:rFonts w:ascii="Times New Roman"/>
          <w:i/>
        </w:rPr>
        <w:t>Banco Mundial</w:t>
      </w:r>
      <w:r>
        <w:rPr>
          <w:rFonts w:ascii="Times New Roman"/>
        </w:rPr>
        <w:t>. (14 de Octubre de 2014). Obtenido de </w:t>
      </w:r>
      <w:hyperlink r:id="rId151">
        <w:r>
          <w:rPr>
            <w:rFonts w:ascii="Times New Roman"/>
          </w:rPr>
          <w:t>http://www.bancomundial.org/es/about</w:t>
        </w:r>
      </w:hyperlink>
    </w:p>
    <w:p>
      <w:pPr>
        <w:spacing w:before="0"/>
        <w:ind w:left="828" w:right="116" w:hanging="720"/>
        <w:jc w:val="both"/>
        <w:rPr>
          <w:rFonts w:ascii="Times New Roman" w:hAnsi="Times New Roman"/>
          <w:sz w:val="24"/>
        </w:rPr>
      </w:pPr>
      <w:r>
        <w:rPr>
          <w:rFonts w:ascii="Times New Roman" w:hAnsi="Times New Roman"/>
          <w:sz w:val="24"/>
        </w:rPr>
        <w:t>Barrera Zapata, R. (2010). </w:t>
      </w:r>
      <w:r>
        <w:rPr>
          <w:rFonts w:ascii="Times New Roman" w:hAnsi="Times New Roman"/>
          <w:i/>
          <w:sz w:val="24"/>
        </w:rPr>
        <w:t>Una transparencia dolorosa. La gestión de la transparencia y el </w:t>
      </w:r>
      <w:r>
        <w:rPr>
          <w:rFonts w:ascii="Times New Roman" w:hAnsi="Times New Roman"/>
          <w:i/>
          <w:sz w:val="24"/>
        </w:rPr>
        <w:t>acceso a la información en el Estado de México 2004-2008. </w:t>
      </w:r>
      <w:r>
        <w:rPr>
          <w:rFonts w:ascii="Times New Roman" w:hAnsi="Times New Roman"/>
          <w:sz w:val="24"/>
        </w:rPr>
        <w:t>México: Instituto de Administración Pública del Estado de México A.C.</w:t>
      </w:r>
    </w:p>
    <w:p>
      <w:pPr>
        <w:spacing w:before="0"/>
        <w:ind w:left="108" w:right="2332" w:firstLine="0"/>
        <w:jc w:val="left"/>
        <w:rPr>
          <w:rFonts w:ascii="Times New Roman" w:hAnsi="Times New Roman"/>
          <w:sz w:val="24"/>
        </w:rPr>
      </w:pPr>
      <w:r>
        <w:rPr>
          <w:rFonts w:ascii="Times New Roman" w:hAnsi="Times New Roman"/>
          <w:sz w:val="24"/>
        </w:rPr>
        <w:t>Bobbio, N. (1997). </w:t>
      </w:r>
      <w:r>
        <w:rPr>
          <w:rFonts w:ascii="Times New Roman" w:hAnsi="Times New Roman"/>
          <w:i/>
          <w:sz w:val="24"/>
        </w:rPr>
        <w:t>El filósofo y la política (antología). </w:t>
      </w:r>
      <w:r>
        <w:rPr>
          <w:rFonts w:ascii="Times New Roman" w:hAnsi="Times New Roman"/>
          <w:sz w:val="24"/>
        </w:rPr>
        <w:t>México: FCE. Bobbio, N. (2001). </w:t>
      </w:r>
      <w:r>
        <w:rPr>
          <w:rFonts w:ascii="Times New Roman" w:hAnsi="Times New Roman"/>
          <w:i/>
          <w:sz w:val="24"/>
        </w:rPr>
        <w:t>Estado, Gobierno y Sociedad. </w:t>
      </w:r>
      <w:r>
        <w:rPr>
          <w:rFonts w:ascii="Times New Roman" w:hAnsi="Times New Roman"/>
          <w:sz w:val="24"/>
        </w:rPr>
        <w:t>México: FCE.</w:t>
      </w:r>
    </w:p>
    <w:p>
      <w:pPr>
        <w:spacing w:before="0"/>
        <w:ind w:left="108" w:right="6" w:firstLine="0"/>
        <w:jc w:val="left"/>
        <w:rPr>
          <w:rFonts w:ascii="Times New Roman" w:hAnsi="Times New Roman"/>
          <w:sz w:val="24"/>
        </w:rPr>
      </w:pPr>
      <w:r>
        <w:rPr>
          <w:rFonts w:ascii="Times New Roman" w:hAnsi="Times New Roman"/>
          <w:sz w:val="24"/>
        </w:rPr>
        <w:t>Bodin, J. (2006). </w:t>
      </w:r>
      <w:r>
        <w:rPr>
          <w:rFonts w:ascii="Times New Roman" w:hAnsi="Times New Roman"/>
          <w:i/>
          <w:sz w:val="24"/>
        </w:rPr>
        <w:t>Los seis libros de la república </w:t>
      </w:r>
      <w:r>
        <w:rPr>
          <w:rFonts w:ascii="Times New Roman" w:hAnsi="Times New Roman"/>
          <w:sz w:val="24"/>
        </w:rPr>
        <w:t>(11a ed.). España: Tecnos.</w:t>
      </w:r>
    </w:p>
    <w:p>
      <w:pPr>
        <w:pStyle w:val="BodyText"/>
        <w:ind w:left="108" w:right="6"/>
        <w:rPr>
          <w:rFonts w:ascii="Times New Roman" w:hAnsi="Times New Roman"/>
        </w:rPr>
      </w:pPr>
      <w:r>
        <w:rPr>
          <w:rFonts w:ascii="Times New Roman" w:hAnsi="Times New Roman"/>
          <w:i/>
        </w:rPr>
        <w:t>Borde Político</w:t>
      </w:r>
      <w:r>
        <w:rPr>
          <w:rFonts w:ascii="Times New Roman" w:hAnsi="Times New Roman"/>
        </w:rPr>
        <w:t>. (27 de Noviembre de 2015). Obtenido de </w:t>
      </w:r>
      <w:hyperlink r:id="rId152">
        <w:r>
          <w:rPr>
            <w:rFonts w:ascii="Times New Roman" w:hAnsi="Times New Roman"/>
          </w:rPr>
          <w:t>www.bordepolitico.com</w:t>
        </w:r>
      </w:hyperlink>
    </w:p>
    <w:p>
      <w:pPr>
        <w:spacing w:before="0"/>
        <w:ind w:left="828" w:right="119" w:hanging="720"/>
        <w:jc w:val="both"/>
        <w:rPr>
          <w:rFonts w:ascii="Times New Roman" w:hAnsi="Times New Roman"/>
          <w:sz w:val="24"/>
        </w:rPr>
      </w:pPr>
      <w:r>
        <w:rPr>
          <w:rFonts w:ascii="Times New Roman" w:hAnsi="Times New Roman"/>
          <w:sz w:val="24"/>
        </w:rPr>
        <w:t>Briones,</w:t>
      </w:r>
      <w:r>
        <w:rPr>
          <w:rFonts w:ascii="Times New Roman" w:hAnsi="Times New Roman"/>
          <w:spacing w:val="-5"/>
          <w:sz w:val="24"/>
        </w:rPr>
        <w:t> </w:t>
      </w:r>
      <w:r>
        <w:rPr>
          <w:rFonts w:ascii="Times New Roman" w:hAnsi="Times New Roman"/>
          <w:sz w:val="24"/>
        </w:rPr>
        <w:t>G.</w:t>
      </w:r>
      <w:r>
        <w:rPr>
          <w:rFonts w:ascii="Times New Roman" w:hAnsi="Times New Roman"/>
          <w:spacing w:val="-5"/>
          <w:sz w:val="24"/>
        </w:rPr>
        <w:t> </w:t>
      </w:r>
      <w:r>
        <w:rPr>
          <w:rFonts w:ascii="Times New Roman" w:hAnsi="Times New Roman"/>
          <w:sz w:val="24"/>
        </w:rPr>
        <w:t>(2002).</w:t>
      </w:r>
      <w:r>
        <w:rPr>
          <w:rFonts w:ascii="Times New Roman" w:hAnsi="Times New Roman"/>
          <w:spacing w:val="-6"/>
          <w:sz w:val="24"/>
        </w:rPr>
        <w:t> </w:t>
      </w:r>
      <w:r>
        <w:rPr>
          <w:rFonts w:ascii="Times New Roman" w:hAnsi="Times New Roman"/>
          <w:i/>
          <w:sz w:val="24"/>
        </w:rPr>
        <w:t>Especialización</w:t>
      </w:r>
      <w:r>
        <w:rPr>
          <w:rFonts w:ascii="Times New Roman" w:hAnsi="Times New Roman"/>
          <w:i/>
          <w:spacing w:val="-5"/>
          <w:sz w:val="24"/>
        </w:rPr>
        <w:t> </w:t>
      </w:r>
      <w:r>
        <w:rPr>
          <w:rFonts w:ascii="Times New Roman" w:hAnsi="Times New Roman"/>
          <w:i/>
          <w:sz w:val="24"/>
        </w:rPr>
        <w:t>en</w:t>
      </w:r>
      <w:r>
        <w:rPr>
          <w:rFonts w:ascii="Times New Roman" w:hAnsi="Times New Roman"/>
          <w:i/>
          <w:spacing w:val="-5"/>
          <w:sz w:val="24"/>
        </w:rPr>
        <w:t> </w:t>
      </w:r>
      <w:r>
        <w:rPr>
          <w:rFonts w:ascii="Times New Roman" w:hAnsi="Times New Roman"/>
          <w:i/>
          <w:sz w:val="24"/>
        </w:rPr>
        <w:t>Teoría,</w:t>
      </w:r>
      <w:r>
        <w:rPr>
          <w:rFonts w:ascii="Times New Roman" w:hAnsi="Times New Roman"/>
          <w:i/>
          <w:spacing w:val="-4"/>
          <w:sz w:val="24"/>
        </w:rPr>
        <w:t> </w:t>
      </w:r>
      <w:r>
        <w:rPr>
          <w:rFonts w:ascii="Times New Roman" w:hAnsi="Times New Roman"/>
          <w:i/>
          <w:sz w:val="24"/>
        </w:rPr>
        <w:t>Métodos</w:t>
      </w:r>
      <w:r>
        <w:rPr>
          <w:rFonts w:ascii="Times New Roman" w:hAnsi="Times New Roman"/>
          <w:i/>
          <w:spacing w:val="-4"/>
          <w:sz w:val="24"/>
        </w:rPr>
        <w:t> </w:t>
      </w:r>
      <w:r>
        <w:rPr>
          <w:rFonts w:ascii="Times New Roman" w:hAnsi="Times New Roman"/>
          <w:i/>
          <w:sz w:val="24"/>
        </w:rPr>
        <w:t>y</w:t>
      </w:r>
      <w:r>
        <w:rPr>
          <w:rFonts w:ascii="Times New Roman" w:hAnsi="Times New Roman"/>
          <w:i/>
          <w:spacing w:val="-6"/>
          <w:sz w:val="24"/>
        </w:rPr>
        <w:t> </w:t>
      </w:r>
      <w:r>
        <w:rPr>
          <w:rFonts w:ascii="Times New Roman" w:hAnsi="Times New Roman"/>
          <w:i/>
          <w:sz w:val="24"/>
        </w:rPr>
        <w:t>Técnicas</w:t>
      </w:r>
      <w:r>
        <w:rPr>
          <w:rFonts w:ascii="Times New Roman" w:hAnsi="Times New Roman"/>
          <w:i/>
          <w:spacing w:val="-5"/>
          <w:sz w:val="24"/>
        </w:rPr>
        <w:t> </w:t>
      </w:r>
      <w:r>
        <w:rPr>
          <w:rFonts w:ascii="Times New Roman" w:hAnsi="Times New Roman"/>
          <w:i/>
          <w:sz w:val="24"/>
        </w:rPr>
        <w:t>de</w:t>
      </w:r>
      <w:r>
        <w:rPr>
          <w:rFonts w:ascii="Times New Roman" w:hAnsi="Times New Roman"/>
          <w:i/>
          <w:spacing w:val="-6"/>
          <w:sz w:val="24"/>
        </w:rPr>
        <w:t> </w:t>
      </w:r>
      <w:r>
        <w:rPr>
          <w:rFonts w:ascii="Times New Roman" w:hAnsi="Times New Roman"/>
          <w:i/>
          <w:sz w:val="24"/>
        </w:rPr>
        <w:t>Investigación.</w:t>
      </w:r>
      <w:r>
        <w:rPr>
          <w:rFonts w:ascii="Times New Roman" w:hAnsi="Times New Roman"/>
          <w:i/>
          <w:spacing w:val="-4"/>
          <w:sz w:val="24"/>
        </w:rPr>
        <w:t> </w:t>
      </w:r>
      <w:r>
        <w:rPr>
          <w:rFonts w:ascii="Times New Roman" w:hAnsi="Times New Roman"/>
          <w:sz w:val="24"/>
        </w:rPr>
        <w:t>Bogotá, Colombia: Instituto Colombiano para el Fomento de la Educación Superior</w:t>
      </w:r>
      <w:r>
        <w:rPr>
          <w:rFonts w:ascii="Times New Roman" w:hAnsi="Times New Roman"/>
          <w:spacing w:val="-17"/>
          <w:sz w:val="24"/>
        </w:rPr>
        <w:t> </w:t>
      </w:r>
      <w:r>
        <w:rPr>
          <w:rFonts w:ascii="Times New Roman" w:hAnsi="Times New Roman"/>
          <w:sz w:val="24"/>
        </w:rPr>
        <w:t>(ICFES).</w:t>
      </w:r>
    </w:p>
    <w:p>
      <w:pPr>
        <w:spacing w:before="0"/>
        <w:ind w:left="828" w:right="115" w:hanging="720"/>
        <w:jc w:val="both"/>
        <w:rPr>
          <w:rFonts w:ascii="Times New Roman" w:hAnsi="Times New Roman"/>
          <w:i/>
          <w:sz w:val="24"/>
        </w:rPr>
      </w:pPr>
      <w:r>
        <w:rPr>
          <w:rFonts w:ascii="Times New Roman" w:hAnsi="Times New Roman"/>
          <w:sz w:val="24"/>
        </w:rPr>
        <w:t>Cantú, G., González Aréchiga, B., Naranjo, E., &amp; Sánchez Santana, A. G. (2011). </w:t>
      </w:r>
      <w:r>
        <w:rPr>
          <w:rFonts w:ascii="Times New Roman" w:hAnsi="Times New Roman"/>
          <w:i/>
          <w:sz w:val="24"/>
        </w:rPr>
        <w:t>Retos</w:t>
      </w:r>
      <w:r>
        <w:rPr>
          <w:rFonts w:ascii="Times New Roman" w:hAnsi="Times New Roman"/>
          <w:i/>
          <w:spacing w:val="-36"/>
          <w:sz w:val="24"/>
        </w:rPr>
        <w:t> </w:t>
      </w:r>
      <w:r>
        <w:rPr>
          <w:rFonts w:ascii="Times New Roman" w:hAnsi="Times New Roman"/>
          <w:i/>
          <w:sz w:val="24"/>
        </w:rPr>
        <w:t>para </w:t>
      </w:r>
      <w:r>
        <w:rPr>
          <w:rFonts w:ascii="Times New Roman" w:hAnsi="Times New Roman"/>
          <w:i/>
          <w:sz w:val="24"/>
        </w:rPr>
        <w:t>la transparencia y la rendición de cuentas en México: desarrollo de un sistema de indicadores</w:t>
      </w:r>
      <w:r>
        <w:rPr>
          <w:rFonts w:ascii="Times New Roman" w:hAnsi="Times New Roman"/>
          <w:i/>
          <w:spacing w:val="51"/>
          <w:sz w:val="24"/>
        </w:rPr>
        <w:t> </w:t>
      </w:r>
      <w:r>
        <w:rPr>
          <w:rFonts w:ascii="Times New Roman" w:hAnsi="Times New Roman"/>
          <w:i/>
          <w:sz w:val="24"/>
        </w:rPr>
        <w:t>de</w:t>
      </w:r>
      <w:r>
        <w:rPr>
          <w:rFonts w:ascii="Times New Roman" w:hAnsi="Times New Roman"/>
          <w:i/>
          <w:spacing w:val="50"/>
          <w:sz w:val="24"/>
        </w:rPr>
        <w:t> </w:t>
      </w:r>
      <w:r>
        <w:rPr>
          <w:rFonts w:ascii="Times New Roman" w:hAnsi="Times New Roman"/>
          <w:i/>
          <w:sz w:val="24"/>
        </w:rPr>
        <w:t>gestión</w:t>
      </w:r>
      <w:r>
        <w:rPr>
          <w:rFonts w:ascii="Times New Roman" w:hAnsi="Times New Roman"/>
          <w:i/>
          <w:spacing w:val="51"/>
          <w:sz w:val="24"/>
        </w:rPr>
        <w:t> </w:t>
      </w:r>
      <w:r>
        <w:rPr>
          <w:rFonts w:ascii="Times New Roman" w:hAnsi="Times New Roman"/>
          <w:i/>
          <w:sz w:val="24"/>
        </w:rPr>
        <w:t>municipal”</w:t>
      </w:r>
      <w:r>
        <w:rPr>
          <w:rFonts w:ascii="Times New Roman" w:hAnsi="Times New Roman"/>
          <w:i/>
          <w:spacing w:val="52"/>
          <w:sz w:val="24"/>
        </w:rPr>
        <w:t> </w:t>
      </w:r>
      <w:r>
        <w:rPr>
          <w:rFonts w:ascii="Times New Roman" w:hAnsi="Times New Roman"/>
          <w:i/>
          <w:sz w:val="24"/>
        </w:rPr>
        <w:t>en</w:t>
      </w:r>
      <w:r>
        <w:rPr>
          <w:rFonts w:ascii="Times New Roman" w:hAnsi="Times New Roman"/>
          <w:i/>
          <w:spacing w:val="51"/>
          <w:sz w:val="24"/>
        </w:rPr>
        <w:t> </w:t>
      </w:r>
      <w:r>
        <w:rPr>
          <w:rFonts w:ascii="Times New Roman" w:hAnsi="Times New Roman"/>
          <w:i/>
          <w:sz w:val="24"/>
        </w:rPr>
        <w:t>A</w:t>
      </w:r>
      <w:r>
        <w:rPr>
          <w:rFonts w:ascii="Times New Roman" w:hAnsi="Times New Roman"/>
          <w:i/>
          <w:spacing w:val="51"/>
          <w:sz w:val="24"/>
        </w:rPr>
        <w:t> </w:t>
      </w:r>
      <w:r>
        <w:rPr>
          <w:rFonts w:ascii="Times New Roman" w:hAnsi="Times New Roman"/>
          <w:i/>
          <w:sz w:val="24"/>
        </w:rPr>
        <w:t>una</w:t>
      </w:r>
      <w:r>
        <w:rPr>
          <w:rFonts w:ascii="Times New Roman" w:hAnsi="Times New Roman"/>
          <w:i/>
          <w:spacing w:val="51"/>
          <w:sz w:val="24"/>
        </w:rPr>
        <w:t> </w:t>
      </w:r>
      <w:r>
        <w:rPr>
          <w:rFonts w:ascii="Times New Roman" w:hAnsi="Times New Roman"/>
          <w:i/>
          <w:sz w:val="24"/>
        </w:rPr>
        <w:t>década:</w:t>
      </w:r>
      <w:r>
        <w:rPr>
          <w:rFonts w:ascii="Times New Roman" w:hAnsi="Times New Roman"/>
          <w:i/>
          <w:spacing w:val="50"/>
          <w:sz w:val="24"/>
        </w:rPr>
        <w:t> </w:t>
      </w:r>
      <w:r>
        <w:rPr>
          <w:rFonts w:ascii="Times New Roman" w:hAnsi="Times New Roman"/>
          <w:i/>
          <w:sz w:val="24"/>
        </w:rPr>
        <w:t>Temas</w:t>
      </w:r>
      <w:r>
        <w:rPr>
          <w:rFonts w:ascii="Times New Roman" w:hAnsi="Times New Roman"/>
          <w:i/>
          <w:spacing w:val="53"/>
          <w:sz w:val="24"/>
        </w:rPr>
        <w:t> </w:t>
      </w:r>
      <w:r>
        <w:rPr>
          <w:rFonts w:ascii="Times New Roman" w:hAnsi="Times New Roman"/>
          <w:i/>
          <w:sz w:val="24"/>
        </w:rPr>
        <w:t>y</w:t>
      </w:r>
      <w:r>
        <w:rPr>
          <w:rFonts w:ascii="Times New Roman" w:hAnsi="Times New Roman"/>
          <w:i/>
          <w:spacing w:val="50"/>
          <w:sz w:val="24"/>
        </w:rPr>
        <w:t> </w:t>
      </w:r>
      <w:r>
        <w:rPr>
          <w:rFonts w:ascii="Times New Roman" w:hAnsi="Times New Roman"/>
          <w:i/>
          <w:sz w:val="24"/>
        </w:rPr>
        <w:t>reflexiones</w:t>
      </w:r>
      <w:r>
        <w:rPr>
          <w:rFonts w:ascii="Times New Roman" w:hAnsi="Times New Roman"/>
          <w:i/>
          <w:spacing w:val="51"/>
          <w:sz w:val="24"/>
        </w:rPr>
        <w:t> </w:t>
      </w:r>
      <w:r>
        <w:rPr>
          <w:rFonts w:ascii="Times New Roman" w:hAnsi="Times New Roman"/>
          <w:i/>
          <w:sz w:val="24"/>
        </w:rPr>
        <w:t>sobre</w:t>
      </w:r>
    </w:p>
    <w:p>
      <w:pPr>
        <w:spacing w:after="0"/>
        <w:jc w:val="both"/>
        <w:rPr>
          <w:rFonts w:ascii="Times New Roman" w:hAnsi="Times New Roman"/>
          <w:sz w:val="24"/>
        </w:rPr>
        <w:sectPr>
          <w:pgSz w:w="12240" w:h="15840"/>
          <w:pgMar w:header="0" w:footer="975" w:top="1360" w:bottom="1220" w:left="1500" w:right="1580"/>
        </w:sectPr>
      </w:pPr>
    </w:p>
    <w:p>
      <w:pPr>
        <w:spacing w:before="48"/>
        <w:ind w:left="828" w:right="6" w:firstLine="0"/>
        <w:jc w:val="left"/>
        <w:rPr>
          <w:rFonts w:ascii="Times New Roman" w:hAnsi="Times New Roman"/>
          <w:sz w:val="24"/>
        </w:rPr>
      </w:pPr>
      <w:r>
        <w:rPr>
          <w:rFonts w:ascii="Times New Roman" w:hAnsi="Times New Roman"/>
          <w:i/>
          <w:sz w:val="24"/>
        </w:rPr>
        <w:t>transparencia y rendición de cuentas como política pública en México </w:t>
      </w:r>
      <w:r>
        <w:rPr>
          <w:rFonts w:ascii="Times New Roman" w:hAnsi="Times New Roman"/>
          <w:sz w:val="24"/>
        </w:rPr>
        <w:t>(Primera Edicación ed.). (I. T. Monterrey, Ed.) México: Porrúa.</w:t>
      </w:r>
    </w:p>
    <w:p>
      <w:pPr>
        <w:pStyle w:val="BodyText"/>
        <w:ind w:left="108" w:right="6"/>
        <w:rPr>
          <w:rFonts w:ascii="Times New Roman" w:hAnsi="Times New Roman"/>
        </w:rPr>
      </w:pPr>
      <w:r>
        <w:rPr>
          <w:rFonts w:ascii="Times New Roman" w:hAnsi="Times New Roman"/>
        </w:rPr>
        <w:t>Carpizo, J. (2009). Transparencia, acceso a la información y universidad pública </w:t>
      </w:r>
      <w:r>
        <w:rPr>
          <w:rFonts w:ascii="Times New Roman" w:hAnsi="Times New Roman"/>
          <w:spacing w:val="56"/>
        </w:rPr>
        <w:t> </w:t>
      </w:r>
      <w:r>
        <w:rPr>
          <w:rFonts w:ascii="Times New Roman" w:hAnsi="Times New Roman"/>
        </w:rPr>
        <w:t>autónoma.</w:t>
      </w:r>
    </w:p>
    <w:p>
      <w:pPr>
        <w:spacing w:before="0"/>
        <w:ind w:left="828" w:right="6" w:firstLine="0"/>
        <w:jc w:val="left"/>
        <w:rPr>
          <w:rFonts w:ascii="Times New Roman"/>
          <w:sz w:val="24"/>
        </w:rPr>
      </w:pPr>
      <w:r>
        <w:rPr>
          <w:rFonts w:ascii="Times New Roman"/>
          <w:i/>
          <w:sz w:val="24"/>
        </w:rPr>
        <w:t>Universidades, LIX</w:t>
      </w:r>
      <w:r>
        <w:rPr>
          <w:rFonts w:ascii="Times New Roman"/>
          <w:sz w:val="24"/>
        </w:rPr>
        <w:t>(43).</w:t>
      </w:r>
    </w:p>
    <w:p>
      <w:pPr>
        <w:spacing w:before="0"/>
        <w:ind w:left="828" w:right="120" w:hanging="720"/>
        <w:jc w:val="both"/>
        <w:rPr>
          <w:rFonts w:ascii="Times New Roman"/>
          <w:sz w:val="24"/>
        </w:rPr>
      </w:pPr>
      <w:r>
        <w:rPr>
          <w:rFonts w:ascii="Times New Roman"/>
          <w:i/>
          <w:sz w:val="24"/>
        </w:rPr>
        <w:t>Carta de las Naciones Unidas</w:t>
      </w:r>
      <w:r>
        <w:rPr>
          <w:rFonts w:ascii="Times New Roman"/>
          <w:sz w:val="24"/>
        </w:rPr>
        <w:t>. (13 de Noviembre de 2014). Obtenido de </w:t>
      </w:r>
      <w:hyperlink r:id="rId153">
        <w:r>
          <w:rPr>
            <w:rFonts w:ascii="Times New Roman"/>
            <w:sz w:val="24"/>
          </w:rPr>
          <w:t>http://www.un.org/es/documents/charter/index.shtml</w:t>
        </w:r>
      </w:hyperlink>
    </w:p>
    <w:p>
      <w:pPr>
        <w:spacing w:before="0"/>
        <w:ind w:left="108" w:right="6" w:firstLine="0"/>
        <w:jc w:val="left"/>
        <w:rPr>
          <w:rFonts w:ascii="Times New Roman" w:hAnsi="Times New Roman"/>
          <w:i/>
          <w:sz w:val="24"/>
        </w:rPr>
      </w:pPr>
      <w:r>
        <w:rPr>
          <w:rFonts w:ascii="Times New Roman" w:hAnsi="Times New Roman"/>
          <w:sz w:val="24"/>
        </w:rPr>
        <w:t>Chanes Nieto, J. (1993). </w:t>
      </w:r>
      <w:r>
        <w:rPr>
          <w:rFonts w:ascii="Times New Roman" w:hAnsi="Times New Roman"/>
          <w:i/>
          <w:sz w:val="24"/>
        </w:rPr>
        <w:t>Introducción bibliográfica a la Administración Pública   Mexicana.</w:t>
      </w:r>
    </w:p>
    <w:p>
      <w:pPr>
        <w:pStyle w:val="BodyText"/>
        <w:ind w:left="828" w:right="6"/>
        <w:rPr>
          <w:rFonts w:ascii="Times New Roman" w:hAnsi="Times New Roman"/>
        </w:rPr>
      </w:pPr>
      <w:r>
        <w:rPr>
          <w:rFonts w:ascii="Times New Roman" w:hAnsi="Times New Roman"/>
        </w:rPr>
        <w:t>D.F., México: Instituto Nacional de Administración Pública.</w:t>
      </w:r>
    </w:p>
    <w:p>
      <w:pPr>
        <w:pStyle w:val="BodyText"/>
        <w:ind w:left="108" w:right="6"/>
        <w:rPr>
          <w:rFonts w:ascii="Times New Roman"/>
        </w:rPr>
      </w:pPr>
      <w:r>
        <w:rPr>
          <w:rFonts w:ascii="Times New Roman"/>
          <w:i/>
        </w:rPr>
        <w:t>CIMTRA </w:t>
      </w:r>
      <w:r>
        <w:rPr>
          <w:rFonts w:ascii="Times New Roman"/>
        </w:rPr>
        <w:t>. (11 de Marzo de 2014). Obtenido de </w:t>
      </w:r>
      <w:hyperlink r:id="rId61">
        <w:r>
          <w:rPr>
            <w:rFonts w:ascii="Times New Roman"/>
          </w:rPr>
          <w:t>www.cimtra.org.mx</w:t>
        </w:r>
      </w:hyperlink>
    </w:p>
    <w:p>
      <w:pPr>
        <w:spacing w:before="0"/>
        <w:ind w:left="828" w:right="118" w:hanging="720"/>
        <w:jc w:val="left"/>
        <w:rPr>
          <w:rFonts w:ascii="Times New Roman" w:hAnsi="Times New Roman"/>
          <w:sz w:val="24"/>
        </w:rPr>
      </w:pPr>
      <w:r>
        <w:rPr>
          <w:rFonts w:ascii="Times New Roman" w:hAnsi="Times New Roman"/>
          <w:sz w:val="24"/>
        </w:rPr>
        <w:t>CLAD 2009. (25 de Marzo de 2014). </w:t>
      </w:r>
      <w:r>
        <w:rPr>
          <w:rFonts w:ascii="Times New Roman" w:hAnsi="Times New Roman"/>
          <w:i/>
          <w:sz w:val="24"/>
        </w:rPr>
        <w:t>Carta Iberoamericana de Participación Ciudadana en </w:t>
      </w:r>
      <w:r>
        <w:rPr>
          <w:rFonts w:ascii="Times New Roman" w:hAnsi="Times New Roman"/>
          <w:i/>
          <w:sz w:val="24"/>
        </w:rPr>
        <w:t>la Gestión Pública</w:t>
      </w:r>
      <w:r>
        <w:rPr>
          <w:rFonts w:ascii="Times New Roman" w:hAnsi="Times New Roman"/>
          <w:sz w:val="24"/>
        </w:rPr>
        <w:t>. Obtenido de Resolución No. 38 del "Plan de Acción de Lisboa": </w:t>
      </w:r>
      <w:hyperlink r:id="rId154">
        <w:r>
          <w:rPr>
            <w:rFonts w:ascii="Times New Roman" w:hAnsi="Times New Roman"/>
            <w:sz w:val="24"/>
          </w:rPr>
          <w:t>http://old.clad.org/documentos/declaraciones/carta-iberoamericana-de-participacion-</w:t>
        </w:r>
      </w:hyperlink>
      <w:r>
        <w:rPr>
          <w:rFonts w:ascii="Times New Roman" w:hAnsi="Times New Roman"/>
          <w:sz w:val="24"/>
        </w:rPr>
        <w:t> ciudadana/view</w:t>
      </w:r>
    </w:p>
    <w:p>
      <w:pPr>
        <w:spacing w:before="0"/>
        <w:ind w:left="828" w:right="118" w:hanging="720"/>
        <w:jc w:val="both"/>
        <w:rPr>
          <w:rFonts w:ascii="Times New Roman" w:hAnsi="Times New Roman"/>
          <w:sz w:val="24"/>
        </w:rPr>
      </w:pPr>
      <w:r>
        <w:rPr>
          <w:rFonts w:ascii="Times New Roman" w:hAnsi="Times New Roman"/>
          <w:i/>
          <w:sz w:val="24"/>
        </w:rPr>
        <w:t>Código de Buenas Prácticas de Transparencia Fiscal. </w:t>
      </w:r>
      <w:r>
        <w:rPr>
          <w:rFonts w:ascii="Times New Roman" w:hAnsi="Times New Roman"/>
          <w:sz w:val="24"/>
        </w:rPr>
        <w:t>(2007). Recuperado el 13 de Noviembre de 2014, de </w:t>
      </w:r>
      <w:hyperlink r:id="rId155">
        <w:r>
          <w:rPr>
            <w:rFonts w:ascii="Times New Roman" w:hAnsi="Times New Roman"/>
            <w:sz w:val="24"/>
          </w:rPr>
          <w:t>http://www.imf.org/external/np/fad/trans/spa/codes.pdf</w:t>
        </w:r>
      </w:hyperlink>
    </w:p>
    <w:p>
      <w:pPr>
        <w:tabs>
          <w:tab w:pos="3540" w:val="left" w:leader="none"/>
          <w:tab w:pos="6101" w:val="left" w:leader="none"/>
          <w:tab w:pos="8814" w:val="left" w:leader="none"/>
        </w:tabs>
        <w:spacing w:before="0"/>
        <w:ind w:left="828" w:right="117" w:hanging="720"/>
        <w:jc w:val="both"/>
        <w:rPr>
          <w:rFonts w:ascii="Times New Roman" w:hAnsi="Times New Roman"/>
          <w:sz w:val="24"/>
        </w:rPr>
      </w:pPr>
      <w:r>
        <w:rPr>
          <w:rFonts w:ascii="Times New Roman" w:hAnsi="Times New Roman"/>
          <w:sz w:val="24"/>
        </w:rPr>
        <w:t>Concha, G., &amp; Naser, A. (2012). </w:t>
      </w:r>
      <w:r>
        <w:rPr>
          <w:rFonts w:ascii="Times New Roman" w:hAnsi="Times New Roman"/>
          <w:i/>
          <w:sz w:val="24"/>
        </w:rPr>
        <w:t>El desafío hacia el gobierno abierto en la hora de la </w:t>
      </w:r>
      <w:r>
        <w:rPr>
          <w:rFonts w:ascii="Times New Roman" w:hAnsi="Times New Roman"/>
          <w:i/>
          <w:sz w:val="24"/>
        </w:rPr>
        <w:t>igualdad. </w:t>
      </w:r>
      <w:r>
        <w:rPr>
          <w:rFonts w:ascii="Times New Roman" w:hAnsi="Times New Roman"/>
          <w:sz w:val="24"/>
        </w:rPr>
        <w:t>Chile: Comisión Económica para América Latina y el Caribe (CEPAL). Naciones</w:t>
        <w:tab/>
        <w:t>Unidas.</w:t>
        <w:tab/>
        <w:t>Obtenido</w:t>
        <w:tab/>
        <w:t>de </w:t>
      </w:r>
      <w:hyperlink r:id="rId156">
        <w:r>
          <w:rPr>
            <w:rFonts w:ascii="Times New Roman" w:hAnsi="Times New Roman"/>
            <w:sz w:val="24"/>
          </w:rPr>
          <w:t>http://repositorio.cepal.org/bitstream/handle/11362/3969/S2012004_es.pdf?sequence</w:t>
        </w:r>
      </w:hyperlink>
    </w:p>
    <w:p>
      <w:pPr>
        <w:pStyle w:val="BodyText"/>
        <w:ind w:left="828" w:right="6"/>
        <w:rPr>
          <w:rFonts w:ascii="Times New Roman"/>
        </w:rPr>
      </w:pPr>
      <w:r>
        <w:rPr>
          <w:rFonts w:ascii="Times New Roman"/>
        </w:rPr>
        <w:t>=1</w:t>
      </w:r>
    </w:p>
    <w:p>
      <w:pPr>
        <w:spacing w:before="0"/>
        <w:ind w:left="108" w:right="6" w:firstLine="0"/>
        <w:jc w:val="left"/>
        <w:rPr>
          <w:rFonts w:ascii="Times New Roman" w:hAnsi="Times New Roman"/>
          <w:sz w:val="24"/>
        </w:rPr>
      </w:pPr>
      <w:r>
        <w:rPr>
          <w:rFonts w:ascii="Times New Roman" w:hAnsi="Times New Roman"/>
          <w:i/>
          <w:sz w:val="24"/>
        </w:rPr>
        <w:t>Consorcio  para  el  Diálogo  Parlamentario  y  la  Equidad</w:t>
      </w:r>
      <w:r>
        <w:rPr>
          <w:rFonts w:ascii="Times New Roman" w:hAnsi="Times New Roman"/>
          <w:sz w:val="24"/>
        </w:rPr>
        <w:t>.  (27  de  Noviembre  de  2015).</w:t>
      </w:r>
    </w:p>
    <w:p>
      <w:pPr>
        <w:pStyle w:val="BodyText"/>
        <w:ind w:left="828" w:right="6"/>
        <w:rPr>
          <w:rFonts w:ascii="Times New Roman"/>
        </w:rPr>
      </w:pPr>
      <w:r>
        <w:rPr>
          <w:rFonts w:ascii="Times New Roman"/>
        </w:rPr>
        <w:t>Obtenido de </w:t>
      </w:r>
      <w:hyperlink r:id="rId157">
        <w:r>
          <w:rPr>
            <w:rFonts w:ascii="Times New Roman"/>
          </w:rPr>
          <w:t>www.consorcio.org.mx</w:t>
        </w:r>
      </w:hyperlink>
    </w:p>
    <w:p>
      <w:pPr>
        <w:tabs>
          <w:tab w:pos="2006" w:val="left" w:leader="none"/>
          <w:tab w:pos="3258" w:val="left" w:leader="none"/>
          <w:tab w:pos="5347" w:val="left" w:leader="none"/>
          <w:tab w:pos="6890" w:val="left" w:leader="none"/>
          <w:tab w:pos="8812" w:val="left" w:leader="none"/>
        </w:tabs>
        <w:spacing w:before="0"/>
        <w:ind w:left="828" w:right="118" w:hanging="720"/>
        <w:jc w:val="both"/>
        <w:rPr>
          <w:rFonts w:ascii="Times New Roman"/>
          <w:sz w:val="24"/>
        </w:rPr>
      </w:pPr>
      <w:r>
        <w:rPr>
          <w:rFonts w:ascii="Times New Roman"/>
          <w:i/>
          <w:sz w:val="24"/>
        </w:rPr>
        <w:t>Consulta</w:t>
        <w:tab/>
        <w:t>de</w:t>
        <w:tab/>
        <w:t>elecciones</w:t>
      </w:r>
      <w:r>
        <w:rPr>
          <w:rFonts w:ascii="Times New Roman"/>
          <w:sz w:val="24"/>
        </w:rPr>
        <w:t>.</w:t>
        <w:tab/>
        <w:t>(s.f.).</w:t>
        <w:tab/>
        <w:t>Obtenido</w:t>
        <w:tab/>
        <w:t>de </w:t>
      </w:r>
      <w:hyperlink r:id="rId158">
        <w:r>
          <w:rPr>
            <w:rFonts w:ascii="Times New Roman"/>
            <w:sz w:val="24"/>
          </w:rPr>
          <w:t>http://siceef.ife.org.mx/pef2012/SICEEF2012.html#</w:t>
        </w:r>
      </w:hyperlink>
    </w:p>
    <w:p>
      <w:pPr>
        <w:pStyle w:val="BodyText"/>
        <w:ind w:left="828" w:right="119" w:hanging="720"/>
        <w:jc w:val="both"/>
        <w:rPr>
          <w:rFonts w:ascii="Times New Roman" w:hAnsi="Times New Roman"/>
        </w:rPr>
      </w:pPr>
      <w:r>
        <w:rPr>
          <w:rFonts w:ascii="Times New Roman" w:hAnsi="Times New Roman"/>
        </w:rPr>
        <w:t>Culebro, J. (2008). Atomización del Estado y nuevas formas de control. La introducción de los convenios de desempeño en organizaciones públicas. </w:t>
      </w:r>
      <w:r>
        <w:rPr>
          <w:rFonts w:ascii="Times New Roman" w:hAnsi="Times New Roman"/>
          <w:i/>
        </w:rPr>
        <w:t>Gestión y Politica Pública, </w:t>
      </w:r>
      <w:r>
        <w:rPr>
          <w:rFonts w:ascii="Times New Roman" w:hAnsi="Times New Roman"/>
          <w:i/>
        </w:rPr>
        <w:t>XVII</w:t>
      </w:r>
      <w:r>
        <w:rPr>
          <w:rFonts w:ascii="Times New Roman" w:hAnsi="Times New Roman"/>
        </w:rPr>
        <w:t>(1).</w:t>
      </w:r>
    </w:p>
    <w:p>
      <w:pPr>
        <w:spacing w:before="0"/>
        <w:ind w:left="108" w:right="0" w:firstLine="0"/>
        <w:jc w:val="left"/>
        <w:rPr>
          <w:rFonts w:ascii="Times New Roman" w:hAnsi="Times New Roman"/>
          <w:i/>
          <w:sz w:val="24"/>
        </w:rPr>
      </w:pPr>
      <w:r>
        <w:rPr>
          <w:rFonts w:ascii="Times New Roman" w:hAnsi="Times New Roman"/>
          <w:sz w:val="24"/>
        </w:rPr>
        <w:t>Culebro, J. (2009). </w:t>
      </w:r>
      <w:r>
        <w:rPr>
          <w:rFonts w:ascii="Times New Roman" w:hAnsi="Times New Roman"/>
          <w:i/>
          <w:sz w:val="24"/>
        </w:rPr>
        <w:t>Nuevas fronteras de la regulación: Transformación y diseño institucional.</w:t>
      </w:r>
    </w:p>
    <w:p>
      <w:pPr>
        <w:pStyle w:val="BodyText"/>
        <w:ind w:left="828" w:right="6"/>
        <w:rPr>
          <w:rFonts w:ascii="Times New Roman" w:hAnsi="Times New Roman"/>
        </w:rPr>
      </w:pPr>
      <w:r>
        <w:rPr>
          <w:rFonts w:ascii="Times New Roman" w:hAnsi="Times New Roman"/>
        </w:rPr>
        <w:t>(Juan Pablos, Ed.) México: UAM Cuajimalpa.</w:t>
      </w:r>
    </w:p>
    <w:p>
      <w:pPr>
        <w:spacing w:before="0"/>
        <w:ind w:left="108" w:right="6" w:firstLine="0"/>
        <w:jc w:val="left"/>
        <w:rPr>
          <w:rFonts w:ascii="Times New Roman" w:hAnsi="Times New Roman"/>
          <w:sz w:val="24"/>
        </w:rPr>
      </w:pPr>
      <w:r>
        <w:rPr>
          <w:rFonts w:ascii="Times New Roman" w:hAnsi="Times New Roman"/>
          <w:sz w:val="24"/>
        </w:rPr>
        <w:t>Dahl, R. (1989). </w:t>
      </w:r>
      <w:r>
        <w:rPr>
          <w:rFonts w:ascii="Times New Roman" w:hAnsi="Times New Roman"/>
          <w:i/>
          <w:sz w:val="24"/>
        </w:rPr>
        <w:t>La democracia y sus críticos. </w:t>
      </w:r>
      <w:r>
        <w:rPr>
          <w:rFonts w:ascii="Times New Roman" w:hAnsi="Times New Roman"/>
          <w:sz w:val="24"/>
        </w:rPr>
        <w:t>España: Paidós.</w:t>
      </w:r>
    </w:p>
    <w:p>
      <w:pPr>
        <w:pStyle w:val="BodyText"/>
        <w:tabs>
          <w:tab w:pos="3404" w:val="left" w:leader="none"/>
          <w:tab w:pos="5130" w:val="left" w:leader="none"/>
        </w:tabs>
        <w:ind w:left="828" w:right="117" w:hanging="720"/>
        <w:jc w:val="both"/>
        <w:rPr>
          <w:rFonts w:ascii="Times New Roman" w:hAnsi="Times New Roman"/>
        </w:rPr>
      </w:pPr>
      <w:r>
        <w:rPr>
          <w:rFonts w:ascii="Times New Roman" w:hAnsi="Times New Roman"/>
        </w:rPr>
        <w:t>Daros, W. R. (enero-diciembre de 2002). ¿Qué es un marco teórico? </w:t>
      </w:r>
      <w:r>
        <w:rPr>
          <w:rFonts w:ascii="Times New Roman" w:hAnsi="Times New Roman"/>
          <w:i/>
        </w:rPr>
        <w:t>Enfoques, XIV</w:t>
      </w:r>
      <w:r>
        <w:rPr>
          <w:rFonts w:ascii="Times New Roman" w:hAnsi="Times New Roman"/>
        </w:rPr>
        <w:t>. Recuperado         </w:t>
      </w:r>
      <w:r>
        <w:rPr>
          <w:rFonts w:ascii="Times New Roman" w:hAnsi="Times New Roman"/>
          <w:spacing w:val="24"/>
        </w:rPr>
        <w:t> </w:t>
      </w:r>
      <w:r>
        <w:rPr>
          <w:rFonts w:ascii="Times New Roman" w:hAnsi="Times New Roman"/>
        </w:rPr>
        <w:t>el</w:t>
        <w:tab/>
        <w:t>22         </w:t>
      </w:r>
      <w:r>
        <w:rPr>
          <w:rFonts w:ascii="Times New Roman" w:hAnsi="Times New Roman"/>
          <w:spacing w:val="28"/>
        </w:rPr>
        <w:t> </w:t>
      </w:r>
      <w:r>
        <w:rPr>
          <w:rFonts w:ascii="Times New Roman" w:hAnsi="Times New Roman"/>
        </w:rPr>
        <w:t>de</w:t>
        <w:tab/>
        <w:t>noviembre          de         </w:t>
      </w:r>
      <w:r>
        <w:rPr>
          <w:rFonts w:ascii="Times New Roman" w:hAnsi="Times New Roman"/>
          <w:spacing w:val="55"/>
        </w:rPr>
        <w:t> </w:t>
      </w:r>
      <w:r>
        <w:rPr>
          <w:rFonts w:ascii="Times New Roman" w:hAnsi="Times New Roman"/>
        </w:rPr>
        <w:t>2016,         </w:t>
      </w:r>
      <w:r>
        <w:rPr>
          <w:rFonts w:ascii="Times New Roman" w:hAnsi="Times New Roman"/>
          <w:spacing w:val="27"/>
        </w:rPr>
        <w:t> </w:t>
      </w:r>
      <w:r>
        <w:rPr>
          <w:rFonts w:ascii="Times New Roman" w:hAnsi="Times New Roman"/>
        </w:rPr>
        <w:t>de </w:t>
      </w:r>
      <w:hyperlink r:id="rId159">
        <w:r>
          <w:rPr>
            <w:rFonts w:ascii="Times New Roman" w:hAnsi="Times New Roman"/>
          </w:rPr>
          <w:t>http://www.redalyc.org/articulo.oa?id=25914108</w:t>
        </w:r>
      </w:hyperlink>
    </w:p>
    <w:p>
      <w:pPr>
        <w:spacing w:before="0"/>
        <w:ind w:left="828" w:right="118" w:hanging="720"/>
        <w:jc w:val="both"/>
        <w:rPr>
          <w:rFonts w:ascii="Times New Roman" w:hAnsi="Times New Roman"/>
          <w:sz w:val="24"/>
        </w:rPr>
      </w:pPr>
      <w:r>
        <w:rPr>
          <w:rFonts w:ascii="Times New Roman" w:hAnsi="Times New Roman"/>
          <w:sz w:val="24"/>
        </w:rPr>
        <w:t>De</w:t>
      </w:r>
      <w:r>
        <w:rPr>
          <w:rFonts w:ascii="Times New Roman" w:hAnsi="Times New Roman"/>
          <w:spacing w:val="-8"/>
          <w:sz w:val="24"/>
        </w:rPr>
        <w:t> </w:t>
      </w:r>
      <w:r>
        <w:rPr>
          <w:rFonts w:ascii="Times New Roman" w:hAnsi="Times New Roman"/>
          <w:sz w:val="24"/>
        </w:rPr>
        <w:t>Gabriel,</w:t>
      </w:r>
      <w:r>
        <w:rPr>
          <w:rFonts w:ascii="Times New Roman" w:hAnsi="Times New Roman"/>
          <w:spacing w:val="-6"/>
          <w:sz w:val="24"/>
        </w:rPr>
        <w:t> </w:t>
      </w:r>
      <w:r>
        <w:rPr>
          <w:rFonts w:ascii="Times New Roman" w:hAnsi="Times New Roman"/>
          <w:sz w:val="24"/>
        </w:rPr>
        <w:t>J.</w:t>
      </w:r>
      <w:r>
        <w:rPr>
          <w:rFonts w:ascii="Times New Roman" w:hAnsi="Times New Roman"/>
          <w:spacing w:val="-6"/>
          <w:sz w:val="24"/>
        </w:rPr>
        <w:t> </w:t>
      </w:r>
      <w:r>
        <w:rPr>
          <w:rFonts w:ascii="Times New Roman" w:hAnsi="Times New Roman"/>
          <w:sz w:val="24"/>
        </w:rPr>
        <w:t>A.</w:t>
      </w:r>
      <w:r>
        <w:rPr>
          <w:rFonts w:ascii="Times New Roman" w:hAnsi="Times New Roman"/>
          <w:spacing w:val="-7"/>
          <w:sz w:val="24"/>
        </w:rPr>
        <w:t> </w:t>
      </w:r>
      <w:r>
        <w:rPr>
          <w:rFonts w:ascii="Times New Roman" w:hAnsi="Times New Roman"/>
          <w:sz w:val="24"/>
        </w:rPr>
        <w:t>(1997).</w:t>
      </w:r>
      <w:r>
        <w:rPr>
          <w:rFonts w:ascii="Times New Roman" w:hAnsi="Times New Roman"/>
          <w:spacing w:val="-7"/>
          <w:sz w:val="24"/>
        </w:rPr>
        <w:t> </w:t>
      </w:r>
      <w:r>
        <w:rPr>
          <w:rFonts w:ascii="Times New Roman" w:hAnsi="Times New Roman"/>
          <w:sz w:val="24"/>
        </w:rPr>
        <w:t>La</w:t>
      </w:r>
      <w:r>
        <w:rPr>
          <w:rFonts w:ascii="Times New Roman" w:hAnsi="Times New Roman"/>
          <w:spacing w:val="-5"/>
          <w:sz w:val="24"/>
        </w:rPr>
        <w:t> </w:t>
      </w:r>
      <w:r>
        <w:rPr>
          <w:rFonts w:ascii="Times New Roman" w:hAnsi="Times New Roman"/>
          <w:sz w:val="24"/>
        </w:rPr>
        <w:t>Formación</w:t>
      </w:r>
      <w:r>
        <w:rPr>
          <w:rFonts w:ascii="Times New Roman" w:hAnsi="Times New Roman"/>
          <w:spacing w:val="-6"/>
          <w:sz w:val="24"/>
        </w:rPr>
        <w:t> </w:t>
      </w:r>
      <w:r>
        <w:rPr>
          <w:rFonts w:ascii="Times New Roman" w:hAnsi="Times New Roman"/>
          <w:sz w:val="24"/>
        </w:rPr>
        <w:t>del</w:t>
      </w:r>
      <w:r>
        <w:rPr>
          <w:rFonts w:ascii="Times New Roman" w:hAnsi="Times New Roman"/>
          <w:spacing w:val="-6"/>
          <w:sz w:val="24"/>
        </w:rPr>
        <w:t> </w:t>
      </w:r>
      <w:r>
        <w:rPr>
          <w:rFonts w:ascii="Times New Roman" w:hAnsi="Times New Roman"/>
          <w:sz w:val="24"/>
        </w:rPr>
        <w:t>Estado</w:t>
      </w:r>
      <w:r>
        <w:rPr>
          <w:rFonts w:ascii="Times New Roman" w:hAnsi="Times New Roman"/>
          <w:spacing w:val="-5"/>
          <w:sz w:val="24"/>
        </w:rPr>
        <w:t> </w:t>
      </w:r>
      <w:r>
        <w:rPr>
          <w:rFonts w:ascii="Times New Roman" w:hAnsi="Times New Roman"/>
          <w:sz w:val="24"/>
        </w:rPr>
        <w:t>Moderno.</w:t>
      </w:r>
      <w:r>
        <w:rPr>
          <w:rFonts w:ascii="Times New Roman" w:hAnsi="Times New Roman"/>
          <w:spacing w:val="-7"/>
          <w:sz w:val="24"/>
        </w:rPr>
        <w:t> </w:t>
      </w:r>
      <w:r>
        <w:rPr>
          <w:rFonts w:ascii="Times New Roman" w:hAnsi="Times New Roman"/>
          <w:sz w:val="24"/>
        </w:rPr>
        <w:t>En</w:t>
      </w:r>
      <w:r>
        <w:rPr>
          <w:rFonts w:ascii="Times New Roman" w:hAnsi="Times New Roman"/>
          <w:spacing w:val="-7"/>
          <w:sz w:val="24"/>
        </w:rPr>
        <w:t> </w:t>
      </w:r>
      <w:r>
        <w:rPr>
          <w:rFonts w:ascii="Times New Roman" w:hAnsi="Times New Roman"/>
          <w:sz w:val="24"/>
        </w:rPr>
        <w:t>R.</w:t>
      </w:r>
      <w:r>
        <w:rPr>
          <w:rFonts w:ascii="Times New Roman" w:hAnsi="Times New Roman"/>
          <w:spacing w:val="-6"/>
          <w:sz w:val="24"/>
        </w:rPr>
        <w:t> </w:t>
      </w:r>
      <w:r>
        <w:rPr>
          <w:rFonts w:ascii="Times New Roman" w:hAnsi="Times New Roman"/>
          <w:sz w:val="24"/>
        </w:rPr>
        <w:t>Del</w:t>
      </w:r>
      <w:r>
        <w:rPr>
          <w:rFonts w:ascii="Times New Roman" w:hAnsi="Times New Roman"/>
          <w:spacing w:val="-6"/>
          <w:sz w:val="24"/>
        </w:rPr>
        <w:t> </w:t>
      </w:r>
      <w:r>
        <w:rPr>
          <w:rFonts w:ascii="Times New Roman" w:hAnsi="Times New Roman"/>
          <w:sz w:val="24"/>
        </w:rPr>
        <w:t>Águila</w:t>
      </w:r>
      <w:r>
        <w:rPr>
          <w:rFonts w:ascii="Times New Roman" w:hAnsi="Times New Roman"/>
          <w:spacing w:val="-7"/>
          <w:sz w:val="24"/>
        </w:rPr>
        <w:t> </w:t>
      </w:r>
      <w:r>
        <w:rPr>
          <w:rFonts w:ascii="Times New Roman" w:hAnsi="Times New Roman"/>
          <w:sz w:val="24"/>
        </w:rPr>
        <w:t>(Ed.),</w:t>
      </w:r>
      <w:r>
        <w:rPr>
          <w:rFonts w:ascii="Times New Roman" w:hAnsi="Times New Roman"/>
          <w:spacing w:val="-4"/>
          <w:sz w:val="24"/>
        </w:rPr>
        <w:t> </w:t>
      </w:r>
      <w:r>
        <w:rPr>
          <w:rFonts w:ascii="Times New Roman" w:hAnsi="Times New Roman"/>
          <w:i/>
          <w:sz w:val="24"/>
        </w:rPr>
        <w:t>Manual </w:t>
      </w:r>
      <w:r>
        <w:rPr>
          <w:rFonts w:ascii="Times New Roman" w:hAnsi="Times New Roman"/>
          <w:i/>
          <w:sz w:val="24"/>
        </w:rPr>
        <w:t>de Ciencia Política. </w:t>
      </w:r>
      <w:r>
        <w:rPr>
          <w:rFonts w:ascii="Times New Roman" w:hAnsi="Times New Roman"/>
          <w:sz w:val="24"/>
        </w:rPr>
        <w:t>Madrid:</w:t>
      </w:r>
      <w:r>
        <w:rPr>
          <w:rFonts w:ascii="Times New Roman" w:hAnsi="Times New Roman"/>
          <w:spacing w:val="-7"/>
          <w:sz w:val="24"/>
        </w:rPr>
        <w:t> </w:t>
      </w:r>
      <w:r>
        <w:rPr>
          <w:rFonts w:ascii="Times New Roman" w:hAnsi="Times New Roman"/>
          <w:sz w:val="24"/>
        </w:rPr>
        <w:t>Trotta.</w:t>
      </w:r>
    </w:p>
    <w:p>
      <w:pPr>
        <w:spacing w:before="0"/>
        <w:ind w:left="828" w:right="120" w:hanging="720"/>
        <w:jc w:val="both"/>
        <w:rPr>
          <w:rFonts w:ascii="Times New Roman" w:hAnsi="Times New Roman"/>
          <w:sz w:val="24"/>
        </w:rPr>
      </w:pPr>
      <w:r>
        <w:rPr>
          <w:rFonts w:ascii="Times New Roman" w:hAnsi="Times New Roman"/>
          <w:i/>
          <w:sz w:val="24"/>
        </w:rPr>
        <w:t>Declaración Universal de los Derechos Humanos</w:t>
      </w:r>
      <w:r>
        <w:rPr>
          <w:rFonts w:ascii="Times New Roman" w:hAnsi="Times New Roman"/>
          <w:sz w:val="24"/>
        </w:rPr>
        <w:t>. (13 de Noviembre de 2014). Obtenido de </w:t>
      </w:r>
      <w:hyperlink r:id="rId160">
        <w:r>
          <w:rPr>
            <w:rFonts w:ascii="Times New Roman" w:hAnsi="Times New Roman"/>
            <w:sz w:val="24"/>
          </w:rPr>
          <w:t>http://www.un.org/es/documents/udhr/index_print.shtml</w:t>
        </w:r>
      </w:hyperlink>
    </w:p>
    <w:p>
      <w:pPr>
        <w:spacing w:before="0"/>
        <w:ind w:left="828" w:right="116" w:hanging="720"/>
        <w:jc w:val="both"/>
        <w:rPr>
          <w:rFonts w:ascii="Times New Roman" w:hAnsi="Times New Roman"/>
          <w:sz w:val="24"/>
        </w:rPr>
      </w:pPr>
      <w:r>
        <w:rPr>
          <w:rFonts w:ascii="Times New Roman" w:hAnsi="Times New Roman"/>
          <w:sz w:val="24"/>
        </w:rPr>
        <w:t>Del Águila, R. (1997). La política: el poder y la legitimidad. En R. Del Águila, </w:t>
      </w:r>
      <w:r>
        <w:rPr>
          <w:rFonts w:ascii="Times New Roman" w:hAnsi="Times New Roman"/>
          <w:i/>
          <w:sz w:val="24"/>
        </w:rPr>
        <w:t>Manual de </w:t>
      </w:r>
      <w:r>
        <w:rPr>
          <w:rFonts w:ascii="Times New Roman" w:hAnsi="Times New Roman"/>
          <w:i/>
          <w:sz w:val="24"/>
        </w:rPr>
        <w:t>Ciencia Política. </w:t>
      </w:r>
      <w:r>
        <w:rPr>
          <w:rFonts w:ascii="Times New Roman" w:hAnsi="Times New Roman"/>
          <w:sz w:val="24"/>
        </w:rPr>
        <w:t>Madrid: Trotta.</w:t>
      </w:r>
    </w:p>
    <w:p>
      <w:pPr>
        <w:spacing w:before="0"/>
        <w:ind w:left="828" w:right="120" w:hanging="720"/>
        <w:jc w:val="both"/>
        <w:rPr>
          <w:rFonts w:ascii="Times New Roman" w:hAnsi="Times New Roman"/>
          <w:sz w:val="24"/>
        </w:rPr>
      </w:pPr>
      <w:r>
        <w:rPr>
          <w:rFonts w:ascii="Times New Roman" w:hAnsi="Times New Roman"/>
          <w:sz w:val="24"/>
        </w:rPr>
        <w:t>Dolz Ramos, A. (2011). Caso Jalisco. En </w:t>
      </w:r>
      <w:r>
        <w:rPr>
          <w:rFonts w:ascii="Times New Roman" w:hAnsi="Times New Roman"/>
          <w:i/>
          <w:sz w:val="24"/>
        </w:rPr>
        <w:t>A una década: Temas y reflexiones sobre </w:t>
      </w:r>
      <w:r>
        <w:rPr>
          <w:rFonts w:ascii="Times New Roman" w:hAnsi="Times New Roman"/>
          <w:i/>
          <w:sz w:val="24"/>
        </w:rPr>
        <w:t>transparencia y rendición de cuentas como política pública en México </w:t>
      </w:r>
      <w:r>
        <w:rPr>
          <w:rFonts w:ascii="Times New Roman" w:hAnsi="Times New Roman"/>
          <w:sz w:val="24"/>
        </w:rPr>
        <w:t>(Primera ed.). D.F., México: Porrúa.</w:t>
      </w:r>
    </w:p>
    <w:p>
      <w:pPr>
        <w:spacing w:before="0"/>
        <w:ind w:left="828" w:right="121" w:hanging="720"/>
        <w:jc w:val="both"/>
        <w:rPr>
          <w:rFonts w:ascii="Times New Roman" w:hAnsi="Times New Roman"/>
          <w:sz w:val="24"/>
        </w:rPr>
      </w:pPr>
      <w:r>
        <w:rPr>
          <w:rFonts w:ascii="Times New Roman" w:hAnsi="Times New Roman"/>
          <w:sz w:val="24"/>
        </w:rPr>
        <w:t>Dominguez González, L. A. (2006). El acceso a la información pública en los municipios en México. </w:t>
      </w:r>
      <w:r>
        <w:rPr>
          <w:rFonts w:ascii="Times New Roman" w:hAnsi="Times New Roman"/>
          <w:i/>
          <w:sz w:val="24"/>
        </w:rPr>
        <w:t>Democracia, transparencia y constitución: propuestas para un debate </w:t>
      </w:r>
      <w:r>
        <w:rPr>
          <w:rFonts w:ascii="Times New Roman" w:hAnsi="Times New Roman"/>
          <w:i/>
          <w:sz w:val="24"/>
        </w:rPr>
        <w:t>necesario</w:t>
      </w:r>
      <w:r>
        <w:rPr>
          <w:rFonts w:ascii="Times New Roman" w:hAnsi="Times New Roman"/>
          <w:sz w:val="24"/>
        </w:rPr>
        <w:t>(350).</w:t>
      </w:r>
    </w:p>
    <w:p>
      <w:pPr>
        <w:spacing w:before="0"/>
        <w:ind w:left="828" w:right="124" w:hanging="720"/>
        <w:jc w:val="both"/>
        <w:rPr>
          <w:rFonts w:ascii="Times New Roman" w:hAnsi="Times New Roman"/>
          <w:sz w:val="24"/>
        </w:rPr>
      </w:pPr>
      <w:r>
        <w:rPr>
          <w:rFonts w:ascii="Times New Roman" w:hAnsi="Times New Roman"/>
          <w:sz w:val="24"/>
        </w:rPr>
        <w:t>Dussauge Laguna, M. (2009). La literatura comparada sobre reformas administrativas Desarrollos, limitaciones y posibilidades. </w:t>
      </w:r>
      <w:r>
        <w:rPr>
          <w:rFonts w:ascii="Times New Roman" w:hAnsi="Times New Roman"/>
          <w:i/>
          <w:sz w:val="24"/>
        </w:rPr>
        <w:t>Gestión y Política Pública, XVIII</w:t>
      </w:r>
      <w:r>
        <w:rPr>
          <w:rFonts w:ascii="Times New Roman" w:hAnsi="Times New Roman"/>
          <w:sz w:val="24"/>
        </w:rPr>
        <w:t>(2).</w:t>
      </w:r>
    </w:p>
    <w:p>
      <w:pPr>
        <w:spacing w:after="0"/>
        <w:jc w:val="both"/>
        <w:rPr>
          <w:rFonts w:ascii="Times New Roman" w:hAnsi="Times New Roman"/>
          <w:sz w:val="24"/>
        </w:rPr>
        <w:sectPr>
          <w:pgSz w:w="12240" w:h="15840"/>
          <w:pgMar w:header="0" w:footer="975" w:top="1360" w:bottom="1220" w:left="1500" w:right="1580"/>
        </w:sectPr>
      </w:pPr>
    </w:p>
    <w:p>
      <w:pPr>
        <w:spacing w:before="48"/>
        <w:ind w:left="108" w:right="6" w:firstLine="0"/>
        <w:jc w:val="left"/>
        <w:rPr>
          <w:rFonts w:ascii="Times New Roman" w:hAnsi="Times New Roman"/>
          <w:sz w:val="24"/>
        </w:rPr>
      </w:pPr>
      <w:r>
        <w:rPr>
          <w:rFonts w:ascii="Times New Roman" w:hAnsi="Times New Roman"/>
          <w:sz w:val="24"/>
        </w:rPr>
        <w:t>Easton, D. (1989). </w:t>
      </w:r>
      <w:r>
        <w:rPr>
          <w:rFonts w:ascii="Times New Roman" w:hAnsi="Times New Roman"/>
          <w:i/>
          <w:sz w:val="24"/>
        </w:rPr>
        <w:t>Esquema para el análisis político. </w:t>
      </w:r>
      <w:r>
        <w:rPr>
          <w:rFonts w:ascii="Times New Roman" w:hAnsi="Times New Roman"/>
          <w:sz w:val="24"/>
        </w:rPr>
        <w:t>Buenos Aires: Amorrortu Editores.</w:t>
      </w:r>
    </w:p>
    <w:p>
      <w:pPr>
        <w:pStyle w:val="BodyText"/>
        <w:tabs>
          <w:tab w:pos="4294" w:val="left" w:leader="none"/>
          <w:tab w:pos="8359" w:val="left" w:leader="none"/>
        </w:tabs>
        <w:ind w:left="828" w:right="122" w:hanging="720"/>
        <w:rPr>
          <w:rFonts w:ascii="Times New Roman" w:hAnsi="Times New Roman"/>
        </w:rPr>
      </w:pPr>
      <w:r>
        <w:rPr>
          <w:rFonts w:ascii="Times New Roman" w:hAnsi="Times New Roman"/>
          <w:i/>
        </w:rPr>
        <w:t>El informador </w:t>
      </w:r>
      <w:r>
        <w:rPr>
          <w:rFonts w:ascii="Times New Roman" w:hAnsi="Times New Roman"/>
        </w:rPr>
        <w:t>. (12 de Febrero de 2014). Obtenido de Chile y Uruguay los menos corruptos de</w:t>
        <w:tab/>
        <w:t>América</w:t>
        <w:tab/>
      </w:r>
      <w:r>
        <w:rPr>
          <w:rFonts w:ascii="Times New Roman" w:hAnsi="Times New Roman"/>
          <w:spacing w:val="-1"/>
        </w:rPr>
        <w:t>Latina: </w:t>
      </w:r>
      <w:hyperlink r:id="rId161">
        <w:r>
          <w:rPr>
            <w:rFonts w:ascii="Times New Roman" w:hAnsi="Times New Roman"/>
          </w:rPr>
          <w:t>http://www.informador.com.mx/internacional/2012/422212/6/chile-y-uruguay-los-</w:t>
        </w:r>
      </w:hyperlink>
      <w:r>
        <w:rPr>
          <w:rFonts w:ascii="Times New Roman" w:hAnsi="Times New Roman"/>
        </w:rPr>
        <w:t> menos-corruptos-de-america-latina.htm</w:t>
      </w:r>
    </w:p>
    <w:p>
      <w:pPr>
        <w:pStyle w:val="BodyText"/>
        <w:tabs>
          <w:tab w:pos="2658" w:val="left" w:leader="none"/>
          <w:tab w:pos="3519" w:val="left" w:leader="none"/>
          <w:tab w:pos="4326" w:val="left" w:leader="none"/>
          <w:tab w:pos="5240" w:val="left" w:leader="none"/>
          <w:tab w:pos="6670" w:val="left" w:leader="none"/>
          <w:tab w:pos="7586" w:val="left" w:leader="none"/>
          <w:tab w:pos="8812" w:val="left" w:leader="none"/>
        </w:tabs>
        <w:ind w:left="828" w:right="117" w:hanging="720"/>
        <w:rPr>
          <w:rFonts w:ascii="Times New Roman" w:hAnsi="Times New Roman"/>
        </w:rPr>
      </w:pPr>
      <w:r>
        <w:rPr>
          <w:rFonts w:ascii="Times New Roman" w:hAnsi="Times New Roman"/>
        </w:rPr>
        <w:t>El Informador. (3 de Diciembre de 2013). </w:t>
      </w:r>
      <w:r>
        <w:rPr>
          <w:rFonts w:ascii="Times New Roman" w:hAnsi="Times New Roman"/>
          <w:i/>
        </w:rPr>
        <w:t>Corrupción en México aumenta sin detenerse</w:t>
      </w:r>
      <w:r>
        <w:rPr>
          <w:rFonts w:ascii="Times New Roman" w:hAnsi="Times New Roman"/>
        </w:rPr>
        <w:t>. Recuperado</w:t>
        <w:tab/>
        <w:t>el</w:t>
        <w:tab/>
        <w:t>2</w:t>
        <w:tab/>
        <w:t>de</w:t>
        <w:tab/>
        <w:t>Febrero</w:t>
        <w:tab/>
        <w:t>de</w:t>
        <w:tab/>
        <w:t>2014,</w:t>
        <w:tab/>
        <w:t>de </w:t>
      </w:r>
      <w:hyperlink r:id="rId162">
        <w:r>
          <w:rPr>
            <w:rFonts w:ascii="Times New Roman" w:hAnsi="Times New Roman"/>
          </w:rPr>
          <w:t>http://www.informador.com.mx/mexico/2013/500554/6/corrupcion-en-mexico-</w:t>
        </w:r>
      </w:hyperlink>
      <w:r>
        <w:rPr>
          <w:rFonts w:ascii="Times New Roman" w:hAnsi="Times New Roman"/>
        </w:rPr>
        <w:t> aumenta-sin-detenerse.htm</w:t>
      </w:r>
    </w:p>
    <w:p>
      <w:pPr>
        <w:spacing w:before="0"/>
        <w:ind w:left="828" w:right="117" w:hanging="720"/>
        <w:jc w:val="both"/>
        <w:rPr>
          <w:rFonts w:ascii="Times New Roman" w:hAnsi="Times New Roman"/>
          <w:sz w:val="24"/>
        </w:rPr>
      </w:pPr>
      <w:r>
        <w:rPr>
          <w:rFonts w:ascii="Times New Roman" w:hAnsi="Times New Roman"/>
          <w:sz w:val="24"/>
        </w:rPr>
        <w:t>Emmerich,</w:t>
      </w:r>
      <w:r>
        <w:rPr>
          <w:rFonts w:ascii="Times New Roman" w:hAnsi="Times New Roman"/>
          <w:spacing w:val="-10"/>
          <w:sz w:val="24"/>
        </w:rPr>
        <w:t> </w:t>
      </w:r>
      <w:r>
        <w:rPr>
          <w:rFonts w:ascii="Times New Roman" w:hAnsi="Times New Roman"/>
          <w:sz w:val="24"/>
        </w:rPr>
        <w:t>G.</w:t>
      </w:r>
      <w:r>
        <w:rPr>
          <w:rFonts w:ascii="Times New Roman" w:hAnsi="Times New Roman"/>
          <w:spacing w:val="-10"/>
          <w:sz w:val="24"/>
        </w:rPr>
        <w:t> </w:t>
      </w:r>
      <w:r>
        <w:rPr>
          <w:rFonts w:ascii="Times New Roman" w:hAnsi="Times New Roman"/>
          <w:sz w:val="24"/>
        </w:rPr>
        <w:t>E.</w:t>
      </w:r>
      <w:r>
        <w:rPr>
          <w:rFonts w:ascii="Times New Roman" w:hAnsi="Times New Roman"/>
          <w:spacing w:val="-10"/>
          <w:sz w:val="24"/>
        </w:rPr>
        <w:t> </w:t>
      </w:r>
      <w:r>
        <w:rPr>
          <w:rFonts w:ascii="Times New Roman" w:hAnsi="Times New Roman"/>
          <w:sz w:val="24"/>
        </w:rPr>
        <w:t>(2004).</w:t>
      </w:r>
      <w:r>
        <w:rPr>
          <w:rFonts w:ascii="Times New Roman" w:hAnsi="Times New Roman"/>
          <w:spacing w:val="-10"/>
          <w:sz w:val="24"/>
        </w:rPr>
        <w:t> </w:t>
      </w:r>
      <w:r>
        <w:rPr>
          <w:rFonts w:ascii="Times New Roman" w:hAnsi="Times New Roman"/>
          <w:sz w:val="24"/>
        </w:rPr>
        <w:t>Transparencia,</w:t>
      </w:r>
      <w:r>
        <w:rPr>
          <w:rFonts w:ascii="Times New Roman" w:hAnsi="Times New Roman"/>
          <w:spacing w:val="-10"/>
          <w:sz w:val="24"/>
        </w:rPr>
        <w:t> </w:t>
      </w:r>
      <w:r>
        <w:rPr>
          <w:rFonts w:ascii="Times New Roman" w:hAnsi="Times New Roman"/>
          <w:sz w:val="24"/>
        </w:rPr>
        <w:t>rendición</w:t>
      </w:r>
      <w:r>
        <w:rPr>
          <w:rFonts w:ascii="Times New Roman" w:hAnsi="Times New Roman"/>
          <w:spacing w:val="-10"/>
          <w:sz w:val="24"/>
        </w:rPr>
        <w:t> </w:t>
      </w:r>
      <w:r>
        <w:rPr>
          <w:rFonts w:ascii="Times New Roman" w:hAnsi="Times New Roman"/>
          <w:sz w:val="24"/>
        </w:rPr>
        <w:t>de</w:t>
      </w:r>
      <w:r>
        <w:rPr>
          <w:rFonts w:ascii="Times New Roman" w:hAnsi="Times New Roman"/>
          <w:spacing w:val="-11"/>
          <w:sz w:val="24"/>
        </w:rPr>
        <w:t> </w:t>
      </w:r>
      <w:r>
        <w:rPr>
          <w:rFonts w:ascii="Times New Roman" w:hAnsi="Times New Roman"/>
          <w:sz w:val="24"/>
        </w:rPr>
        <w:t>cuentas,</w:t>
      </w:r>
      <w:r>
        <w:rPr>
          <w:rFonts w:ascii="Times New Roman" w:hAnsi="Times New Roman"/>
          <w:spacing w:val="-10"/>
          <w:sz w:val="24"/>
        </w:rPr>
        <w:t> </w:t>
      </w:r>
      <w:r>
        <w:rPr>
          <w:rFonts w:ascii="Times New Roman" w:hAnsi="Times New Roman"/>
          <w:sz w:val="24"/>
        </w:rPr>
        <w:t>responsabilidad</w:t>
      </w:r>
      <w:r>
        <w:rPr>
          <w:rFonts w:ascii="Times New Roman" w:hAnsi="Times New Roman"/>
          <w:spacing w:val="-10"/>
          <w:sz w:val="24"/>
        </w:rPr>
        <w:t> </w:t>
      </w:r>
      <w:r>
        <w:rPr>
          <w:rFonts w:ascii="Times New Roman" w:hAnsi="Times New Roman"/>
          <w:sz w:val="24"/>
        </w:rPr>
        <w:t>gubernamental y participación ciudadana. </w:t>
      </w:r>
      <w:r>
        <w:rPr>
          <w:rFonts w:ascii="Times New Roman" w:hAnsi="Times New Roman"/>
          <w:i/>
          <w:sz w:val="24"/>
        </w:rPr>
        <w:t>Polis: Investigación y Análisis Sociopolítico y</w:t>
      </w:r>
      <w:r>
        <w:rPr>
          <w:rFonts w:ascii="Times New Roman" w:hAnsi="Times New Roman"/>
          <w:i/>
          <w:spacing w:val="-32"/>
          <w:sz w:val="24"/>
        </w:rPr>
        <w:t> </w:t>
      </w:r>
      <w:r>
        <w:rPr>
          <w:rFonts w:ascii="Times New Roman" w:hAnsi="Times New Roman"/>
          <w:i/>
          <w:sz w:val="24"/>
        </w:rPr>
        <w:t>Psicosocial, </w:t>
      </w:r>
      <w:r>
        <w:rPr>
          <w:rFonts w:ascii="Times New Roman" w:hAnsi="Times New Roman"/>
          <w:i/>
          <w:sz w:val="24"/>
        </w:rPr>
        <w:t>II</w:t>
      </w:r>
      <w:r>
        <w:rPr>
          <w:rFonts w:ascii="Times New Roman" w:hAnsi="Times New Roman"/>
          <w:sz w:val="24"/>
        </w:rPr>
        <w:t>(4).</w:t>
      </w:r>
    </w:p>
    <w:p>
      <w:pPr>
        <w:spacing w:before="0"/>
        <w:ind w:left="828" w:right="120" w:hanging="720"/>
        <w:jc w:val="both"/>
        <w:rPr>
          <w:rFonts w:ascii="Times New Roman" w:hAnsi="Times New Roman"/>
          <w:sz w:val="24"/>
        </w:rPr>
      </w:pPr>
      <w:r>
        <w:rPr>
          <w:rFonts w:ascii="Times New Roman" w:hAnsi="Times New Roman"/>
          <w:sz w:val="24"/>
        </w:rPr>
        <w:t>Engels,</w:t>
      </w:r>
      <w:r>
        <w:rPr>
          <w:rFonts w:ascii="Times New Roman" w:hAnsi="Times New Roman"/>
          <w:spacing w:val="-4"/>
          <w:sz w:val="24"/>
        </w:rPr>
        <w:t> </w:t>
      </w:r>
      <w:r>
        <w:rPr>
          <w:rFonts w:ascii="Times New Roman" w:hAnsi="Times New Roman"/>
          <w:sz w:val="24"/>
        </w:rPr>
        <w:t>F.</w:t>
      </w:r>
      <w:r>
        <w:rPr>
          <w:rFonts w:ascii="Times New Roman" w:hAnsi="Times New Roman"/>
          <w:spacing w:val="-5"/>
          <w:sz w:val="24"/>
        </w:rPr>
        <w:t> </w:t>
      </w:r>
      <w:r>
        <w:rPr>
          <w:rFonts w:ascii="Times New Roman" w:hAnsi="Times New Roman"/>
          <w:sz w:val="24"/>
        </w:rPr>
        <w:t>(2004).</w:t>
      </w:r>
      <w:r>
        <w:rPr>
          <w:rFonts w:ascii="Times New Roman" w:hAnsi="Times New Roman"/>
          <w:spacing w:val="-5"/>
          <w:sz w:val="24"/>
        </w:rPr>
        <w:t> </w:t>
      </w:r>
      <w:r>
        <w:rPr>
          <w:rFonts w:ascii="Times New Roman" w:hAnsi="Times New Roman"/>
          <w:i/>
          <w:sz w:val="24"/>
        </w:rPr>
        <w:t>El</w:t>
      </w:r>
      <w:r>
        <w:rPr>
          <w:rFonts w:ascii="Times New Roman" w:hAnsi="Times New Roman"/>
          <w:i/>
          <w:spacing w:val="-5"/>
          <w:sz w:val="24"/>
        </w:rPr>
        <w:t> </w:t>
      </w:r>
      <w:r>
        <w:rPr>
          <w:rFonts w:ascii="Times New Roman" w:hAnsi="Times New Roman"/>
          <w:i/>
          <w:sz w:val="24"/>
        </w:rPr>
        <w:t>origen</w:t>
      </w:r>
      <w:r>
        <w:rPr>
          <w:rFonts w:ascii="Times New Roman" w:hAnsi="Times New Roman"/>
          <w:i/>
          <w:spacing w:val="-5"/>
          <w:sz w:val="24"/>
        </w:rPr>
        <w:t> </w:t>
      </w:r>
      <w:r>
        <w:rPr>
          <w:rFonts w:ascii="Times New Roman" w:hAnsi="Times New Roman"/>
          <w:i/>
          <w:sz w:val="24"/>
        </w:rPr>
        <w:t>de</w:t>
      </w:r>
      <w:r>
        <w:rPr>
          <w:rFonts w:ascii="Times New Roman" w:hAnsi="Times New Roman"/>
          <w:i/>
          <w:spacing w:val="-6"/>
          <w:sz w:val="24"/>
        </w:rPr>
        <w:t> </w:t>
      </w:r>
      <w:r>
        <w:rPr>
          <w:rFonts w:ascii="Times New Roman" w:hAnsi="Times New Roman"/>
          <w:i/>
          <w:sz w:val="24"/>
        </w:rPr>
        <w:t>la</w:t>
      </w:r>
      <w:r>
        <w:rPr>
          <w:rFonts w:ascii="Times New Roman" w:hAnsi="Times New Roman"/>
          <w:i/>
          <w:spacing w:val="-4"/>
          <w:sz w:val="24"/>
        </w:rPr>
        <w:t> </w:t>
      </w:r>
      <w:r>
        <w:rPr>
          <w:rFonts w:ascii="Times New Roman" w:hAnsi="Times New Roman"/>
          <w:i/>
          <w:sz w:val="24"/>
        </w:rPr>
        <w:t>familia,</w:t>
      </w:r>
      <w:r>
        <w:rPr>
          <w:rFonts w:ascii="Times New Roman" w:hAnsi="Times New Roman"/>
          <w:i/>
          <w:spacing w:val="-7"/>
          <w:sz w:val="24"/>
        </w:rPr>
        <w:t> </w:t>
      </w:r>
      <w:r>
        <w:rPr>
          <w:rFonts w:ascii="Times New Roman" w:hAnsi="Times New Roman"/>
          <w:i/>
          <w:sz w:val="24"/>
        </w:rPr>
        <w:t>la</w:t>
      </w:r>
      <w:r>
        <w:rPr>
          <w:rFonts w:ascii="Times New Roman" w:hAnsi="Times New Roman"/>
          <w:i/>
          <w:spacing w:val="-4"/>
          <w:sz w:val="24"/>
        </w:rPr>
        <w:t> </w:t>
      </w:r>
      <w:r>
        <w:rPr>
          <w:rFonts w:ascii="Times New Roman" w:hAnsi="Times New Roman"/>
          <w:i/>
          <w:sz w:val="24"/>
        </w:rPr>
        <w:t>propiedad</w:t>
      </w:r>
      <w:r>
        <w:rPr>
          <w:rFonts w:ascii="Times New Roman" w:hAnsi="Times New Roman"/>
          <w:i/>
          <w:spacing w:val="-5"/>
          <w:sz w:val="24"/>
        </w:rPr>
        <w:t> </w:t>
      </w:r>
      <w:r>
        <w:rPr>
          <w:rFonts w:ascii="Times New Roman" w:hAnsi="Times New Roman"/>
          <w:i/>
          <w:sz w:val="24"/>
        </w:rPr>
        <w:t>privada</w:t>
      </w:r>
      <w:r>
        <w:rPr>
          <w:rFonts w:ascii="Times New Roman" w:hAnsi="Times New Roman"/>
          <w:i/>
          <w:spacing w:val="-4"/>
          <w:sz w:val="24"/>
        </w:rPr>
        <w:t> </w:t>
      </w:r>
      <w:r>
        <w:rPr>
          <w:rFonts w:ascii="Times New Roman" w:hAnsi="Times New Roman"/>
          <w:i/>
          <w:sz w:val="24"/>
        </w:rPr>
        <w:t>y</w:t>
      </w:r>
      <w:r>
        <w:rPr>
          <w:rFonts w:ascii="Times New Roman" w:hAnsi="Times New Roman"/>
          <w:i/>
          <w:spacing w:val="-6"/>
          <w:sz w:val="24"/>
        </w:rPr>
        <w:t> </w:t>
      </w:r>
      <w:r>
        <w:rPr>
          <w:rFonts w:ascii="Times New Roman" w:hAnsi="Times New Roman"/>
          <w:i/>
          <w:sz w:val="24"/>
        </w:rPr>
        <w:t>el</w:t>
      </w:r>
      <w:r>
        <w:rPr>
          <w:rFonts w:ascii="Times New Roman" w:hAnsi="Times New Roman"/>
          <w:i/>
          <w:spacing w:val="-4"/>
          <w:sz w:val="24"/>
        </w:rPr>
        <w:t> </w:t>
      </w:r>
      <w:r>
        <w:rPr>
          <w:rFonts w:ascii="Times New Roman" w:hAnsi="Times New Roman"/>
          <w:i/>
          <w:sz w:val="24"/>
        </w:rPr>
        <w:t>Estado</w:t>
      </w:r>
      <w:r>
        <w:rPr>
          <w:rFonts w:ascii="Times New Roman" w:hAnsi="Times New Roman"/>
          <w:i/>
          <w:spacing w:val="-7"/>
          <w:sz w:val="24"/>
        </w:rPr>
        <w:t> </w:t>
      </w:r>
      <w:r>
        <w:rPr>
          <w:rFonts w:ascii="Times New Roman" w:hAnsi="Times New Roman"/>
          <w:sz w:val="24"/>
        </w:rPr>
        <w:t>(8ª</w:t>
      </w:r>
      <w:r>
        <w:rPr>
          <w:rFonts w:ascii="Times New Roman" w:hAnsi="Times New Roman"/>
          <w:spacing w:val="-5"/>
          <w:sz w:val="24"/>
        </w:rPr>
        <w:t> </w:t>
      </w:r>
      <w:r>
        <w:rPr>
          <w:rFonts w:ascii="Times New Roman" w:hAnsi="Times New Roman"/>
          <w:sz w:val="24"/>
        </w:rPr>
        <w:t>ed.).</w:t>
      </w:r>
      <w:r>
        <w:rPr>
          <w:rFonts w:ascii="Times New Roman" w:hAnsi="Times New Roman"/>
          <w:spacing w:val="-6"/>
          <w:sz w:val="24"/>
        </w:rPr>
        <w:t> </w:t>
      </w:r>
      <w:r>
        <w:rPr>
          <w:rFonts w:ascii="Times New Roman" w:hAnsi="Times New Roman"/>
          <w:sz w:val="24"/>
        </w:rPr>
        <w:t>Ecuador: Comité provincial de sucumbios del</w:t>
      </w:r>
      <w:r>
        <w:rPr>
          <w:rFonts w:ascii="Times New Roman" w:hAnsi="Times New Roman"/>
          <w:spacing w:val="-8"/>
          <w:sz w:val="24"/>
        </w:rPr>
        <w:t> </w:t>
      </w:r>
      <w:r>
        <w:rPr>
          <w:rFonts w:ascii="Times New Roman" w:hAnsi="Times New Roman"/>
          <w:sz w:val="24"/>
        </w:rPr>
        <w:t>PCMLE.</w:t>
      </w:r>
    </w:p>
    <w:p>
      <w:pPr>
        <w:spacing w:before="0"/>
        <w:ind w:left="828" w:right="117" w:hanging="720"/>
        <w:jc w:val="both"/>
        <w:rPr>
          <w:rFonts w:ascii="Times New Roman" w:hAnsi="Times New Roman"/>
          <w:sz w:val="24"/>
        </w:rPr>
      </w:pPr>
      <w:r>
        <w:rPr>
          <w:rFonts w:ascii="Times New Roman" w:hAnsi="Times New Roman"/>
          <w:sz w:val="24"/>
        </w:rPr>
        <w:t>Fernández Santillán, J. (2012). </w:t>
      </w:r>
      <w:r>
        <w:rPr>
          <w:rFonts w:ascii="Times New Roman" w:hAnsi="Times New Roman"/>
          <w:i/>
          <w:sz w:val="24"/>
        </w:rPr>
        <w:t>El Despertar de la sociedad civil </w:t>
      </w:r>
      <w:r>
        <w:rPr>
          <w:rFonts w:ascii="Times New Roman" w:hAnsi="Times New Roman"/>
          <w:sz w:val="24"/>
        </w:rPr>
        <w:t>(1ª ed.). México: Océano express.</w:t>
      </w:r>
    </w:p>
    <w:p>
      <w:pPr>
        <w:pStyle w:val="BodyText"/>
        <w:ind w:left="828" w:right="119" w:hanging="720"/>
        <w:jc w:val="both"/>
        <w:rPr>
          <w:rFonts w:ascii="Times New Roman" w:hAnsi="Times New Roman"/>
        </w:rPr>
      </w:pPr>
      <w:r>
        <w:rPr>
          <w:rFonts w:ascii="Times New Roman" w:hAnsi="Times New Roman"/>
          <w:i/>
        </w:rPr>
        <w:t>FMI. Datos básicos</w:t>
      </w:r>
      <w:r>
        <w:rPr>
          <w:rFonts w:ascii="Times New Roman" w:hAnsi="Times New Roman"/>
        </w:rPr>
        <w:t>. (13 de Noviembre de 2014). Obtenido de </w:t>
      </w:r>
      <w:hyperlink r:id="rId163">
        <w:r>
          <w:rPr>
            <w:rFonts w:ascii="Times New Roman" w:hAnsi="Times New Roman"/>
          </w:rPr>
          <w:t>http://www.imf.org/external/np/exr/facts/spa/glances.html</w:t>
        </w:r>
      </w:hyperlink>
    </w:p>
    <w:p>
      <w:pPr>
        <w:pStyle w:val="BodyText"/>
        <w:ind w:left="828" w:right="117" w:hanging="720"/>
        <w:jc w:val="both"/>
        <w:rPr>
          <w:rFonts w:ascii="Times New Roman" w:hAnsi="Times New Roman"/>
        </w:rPr>
      </w:pPr>
      <w:r>
        <w:rPr>
          <w:rFonts w:ascii="Times New Roman" w:hAnsi="Times New Roman"/>
        </w:rPr>
        <w:t>Fox, J., Haight, L., &amp; Palmer-Rubin, B. (2011). Proporcionar transparencia ¿Hasta qué</w:t>
      </w:r>
      <w:r>
        <w:rPr>
          <w:rFonts w:ascii="Times New Roman" w:hAnsi="Times New Roman"/>
          <w:spacing w:val="-21"/>
        </w:rPr>
        <w:t> </w:t>
      </w:r>
      <w:r>
        <w:rPr>
          <w:rFonts w:ascii="Times New Roman" w:hAnsi="Times New Roman"/>
        </w:rPr>
        <w:t>punto responde el gobierno mexicano a las solicitudes de información pública? </w:t>
      </w:r>
      <w:r>
        <w:rPr>
          <w:rFonts w:ascii="Times New Roman" w:hAnsi="Times New Roman"/>
          <w:i/>
        </w:rPr>
        <w:t>Gestión y </w:t>
      </w:r>
      <w:r>
        <w:rPr>
          <w:rFonts w:ascii="Times New Roman" w:hAnsi="Times New Roman"/>
          <w:i/>
        </w:rPr>
        <w:t>Política Pública,</w:t>
      </w:r>
      <w:r>
        <w:rPr>
          <w:rFonts w:ascii="Times New Roman" w:hAnsi="Times New Roman"/>
          <w:i/>
          <w:spacing w:val="-4"/>
        </w:rPr>
        <w:t> </w:t>
      </w:r>
      <w:r>
        <w:rPr>
          <w:rFonts w:ascii="Times New Roman" w:hAnsi="Times New Roman"/>
          <w:i/>
        </w:rPr>
        <w:t>XXI</w:t>
      </w:r>
      <w:r>
        <w:rPr>
          <w:rFonts w:ascii="Times New Roman" w:hAnsi="Times New Roman"/>
        </w:rPr>
        <w:t>(1).</w:t>
      </w:r>
    </w:p>
    <w:p>
      <w:pPr>
        <w:pStyle w:val="BodyText"/>
        <w:ind w:left="108" w:right="6"/>
        <w:rPr>
          <w:rFonts w:ascii="Times New Roman" w:hAnsi="Times New Roman"/>
        </w:rPr>
      </w:pPr>
      <w:r>
        <w:rPr>
          <w:rFonts w:ascii="Times New Roman" w:hAnsi="Times New Roman"/>
        </w:rPr>
        <w:t>Fundación Democracia y Gobierno Local. (2011). Transparencia en los Gobiernos   Locales.</w:t>
      </w:r>
    </w:p>
    <w:p>
      <w:pPr>
        <w:spacing w:before="0"/>
        <w:ind w:left="828" w:right="6" w:firstLine="0"/>
        <w:jc w:val="left"/>
        <w:rPr>
          <w:rFonts w:ascii="Times New Roman"/>
          <w:sz w:val="24"/>
        </w:rPr>
      </w:pPr>
      <w:r>
        <w:rPr>
          <w:rFonts w:ascii="Times New Roman"/>
          <w:i/>
          <w:sz w:val="24"/>
        </w:rPr>
        <w:t>Democracia y Gobierno Local </w:t>
      </w:r>
      <w:r>
        <w:rPr>
          <w:rFonts w:ascii="Times New Roman"/>
          <w:sz w:val="24"/>
        </w:rPr>
        <w:t>(13).</w:t>
      </w:r>
    </w:p>
    <w:p>
      <w:pPr>
        <w:spacing w:before="0"/>
        <w:ind w:left="828" w:right="117" w:hanging="720"/>
        <w:jc w:val="both"/>
        <w:rPr>
          <w:rFonts w:ascii="Times New Roman" w:hAnsi="Times New Roman"/>
          <w:sz w:val="24"/>
        </w:rPr>
      </w:pPr>
      <w:r>
        <w:rPr>
          <w:rFonts w:ascii="Times New Roman" w:hAnsi="Times New Roman"/>
          <w:i/>
          <w:sz w:val="24"/>
        </w:rPr>
        <w:t>Fundar. Centro de Análisis e Investigación</w:t>
      </w:r>
      <w:r>
        <w:rPr>
          <w:rFonts w:ascii="Times New Roman" w:hAnsi="Times New Roman"/>
          <w:sz w:val="24"/>
        </w:rPr>
        <w:t>. (27 de Noviembre de 2015). Obtenido de </w:t>
      </w:r>
      <w:hyperlink r:id="rId164">
        <w:r>
          <w:rPr>
            <w:rFonts w:ascii="Times New Roman" w:hAnsi="Times New Roman"/>
            <w:sz w:val="24"/>
          </w:rPr>
          <w:t>www.fundar.org.mx</w:t>
        </w:r>
      </w:hyperlink>
    </w:p>
    <w:p>
      <w:pPr>
        <w:pStyle w:val="BodyText"/>
        <w:ind w:left="828" w:right="116" w:hanging="720"/>
        <w:jc w:val="both"/>
        <w:rPr>
          <w:rFonts w:ascii="Times New Roman" w:hAnsi="Times New Roman"/>
        </w:rPr>
      </w:pPr>
      <w:r>
        <w:rPr>
          <w:rFonts w:ascii="Times New Roman" w:hAnsi="Times New Roman"/>
        </w:rPr>
        <w:t>Gadamer, H.-G. (2006). Sobre la problemática de la autocomprensión. Una contribución hermenéutica</w:t>
      </w:r>
      <w:r>
        <w:rPr>
          <w:rFonts w:ascii="Times New Roman" w:hAnsi="Times New Roman"/>
          <w:spacing w:val="-7"/>
        </w:rPr>
        <w:t> </w:t>
      </w:r>
      <w:r>
        <w:rPr>
          <w:rFonts w:ascii="Times New Roman" w:hAnsi="Times New Roman"/>
        </w:rPr>
        <w:t>al</w:t>
      </w:r>
      <w:r>
        <w:rPr>
          <w:rFonts w:ascii="Times New Roman" w:hAnsi="Times New Roman"/>
          <w:spacing w:val="-4"/>
        </w:rPr>
        <w:t> </w:t>
      </w:r>
      <w:r>
        <w:rPr>
          <w:rFonts w:ascii="Times New Roman" w:hAnsi="Times New Roman"/>
        </w:rPr>
        <w:t>tema</w:t>
      </w:r>
      <w:r>
        <w:rPr>
          <w:rFonts w:ascii="Times New Roman" w:hAnsi="Times New Roman"/>
          <w:spacing w:val="-7"/>
        </w:rPr>
        <w:t> </w:t>
      </w:r>
      <w:r>
        <w:rPr>
          <w:rFonts w:ascii="Times New Roman" w:hAnsi="Times New Roman"/>
        </w:rPr>
        <w:t>de</w:t>
      </w:r>
      <w:r>
        <w:rPr>
          <w:rFonts w:ascii="Times New Roman" w:hAnsi="Times New Roman"/>
          <w:spacing w:val="-7"/>
        </w:rPr>
        <w:t> </w:t>
      </w:r>
      <w:r>
        <w:rPr>
          <w:rFonts w:ascii="Times New Roman" w:hAnsi="Times New Roman"/>
        </w:rPr>
        <w:t>la</w:t>
      </w:r>
      <w:r>
        <w:rPr>
          <w:rFonts w:ascii="Times New Roman" w:hAnsi="Times New Roman"/>
          <w:spacing w:val="-7"/>
        </w:rPr>
        <w:t> </w:t>
      </w:r>
      <w:r>
        <w:rPr>
          <w:rFonts w:ascii="Times New Roman" w:hAnsi="Times New Roman"/>
        </w:rPr>
        <w:t>desmitologización.</w:t>
      </w:r>
      <w:r>
        <w:rPr>
          <w:rFonts w:ascii="Times New Roman" w:hAnsi="Times New Roman"/>
          <w:spacing w:val="-6"/>
        </w:rPr>
        <w:t> </w:t>
      </w:r>
      <w:r>
        <w:rPr>
          <w:rFonts w:ascii="Times New Roman" w:hAnsi="Times New Roman"/>
        </w:rPr>
        <w:t>En</w:t>
      </w:r>
      <w:r>
        <w:rPr>
          <w:rFonts w:ascii="Times New Roman" w:hAnsi="Times New Roman"/>
          <w:spacing w:val="1"/>
        </w:rPr>
        <w:t> </w:t>
      </w:r>
      <w:r>
        <w:rPr>
          <w:rFonts w:ascii="Times New Roman" w:hAnsi="Times New Roman"/>
          <w:i/>
        </w:rPr>
        <w:t>Verdad</w:t>
      </w:r>
      <w:r>
        <w:rPr>
          <w:rFonts w:ascii="Times New Roman" w:hAnsi="Times New Roman"/>
          <w:i/>
          <w:spacing w:val="-6"/>
        </w:rPr>
        <w:t> </w:t>
      </w:r>
      <w:r>
        <w:rPr>
          <w:rFonts w:ascii="Times New Roman" w:hAnsi="Times New Roman"/>
          <w:i/>
        </w:rPr>
        <w:t>y</w:t>
      </w:r>
      <w:r>
        <w:rPr>
          <w:rFonts w:ascii="Times New Roman" w:hAnsi="Times New Roman"/>
          <w:i/>
          <w:spacing w:val="-5"/>
        </w:rPr>
        <w:t> </w:t>
      </w:r>
      <w:r>
        <w:rPr>
          <w:rFonts w:ascii="Times New Roman" w:hAnsi="Times New Roman"/>
          <w:i/>
        </w:rPr>
        <w:t>método</w:t>
      </w:r>
      <w:r>
        <w:rPr>
          <w:rFonts w:ascii="Times New Roman" w:hAnsi="Times New Roman"/>
          <w:i/>
          <w:spacing w:val="-3"/>
        </w:rPr>
        <w:t> </w:t>
      </w:r>
      <w:r>
        <w:rPr>
          <w:rFonts w:ascii="Times New Roman" w:hAnsi="Times New Roman"/>
          <w:i/>
        </w:rPr>
        <w:t>I</w:t>
      </w:r>
      <w:r>
        <w:rPr>
          <w:rFonts w:ascii="Times New Roman" w:hAnsi="Times New Roman"/>
          <w:i/>
          <w:spacing w:val="-7"/>
        </w:rPr>
        <w:t> </w:t>
      </w:r>
      <w:r>
        <w:rPr>
          <w:rFonts w:ascii="Times New Roman" w:hAnsi="Times New Roman"/>
        </w:rPr>
        <w:t>(págs.</w:t>
      </w:r>
      <w:r>
        <w:rPr>
          <w:rFonts w:ascii="Times New Roman" w:hAnsi="Times New Roman"/>
          <w:spacing w:val="-4"/>
        </w:rPr>
        <w:t> </w:t>
      </w:r>
      <w:r>
        <w:rPr>
          <w:rFonts w:ascii="Times New Roman" w:hAnsi="Times New Roman"/>
        </w:rPr>
        <w:t>121-131). Salamanca:</w:t>
      </w:r>
      <w:r>
        <w:rPr>
          <w:rFonts w:ascii="Times New Roman" w:hAnsi="Times New Roman"/>
          <w:spacing w:val="-5"/>
        </w:rPr>
        <w:t> </w:t>
      </w:r>
      <w:r>
        <w:rPr>
          <w:rFonts w:ascii="Times New Roman" w:hAnsi="Times New Roman"/>
        </w:rPr>
        <w:t>Sígueme.</w:t>
      </w:r>
    </w:p>
    <w:p>
      <w:pPr>
        <w:spacing w:before="0"/>
        <w:ind w:left="828" w:right="119" w:hanging="720"/>
        <w:jc w:val="both"/>
        <w:rPr>
          <w:rFonts w:ascii="Times New Roman" w:hAnsi="Times New Roman"/>
          <w:sz w:val="24"/>
        </w:rPr>
      </w:pPr>
      <w:r>
        <w:rPr>
          <w:rFonts w:ascii="Times New Roman" w:hAnsi="Times New Roman"/>
          <w:sz w:val="24"/>
        </w:rPr>
        <w:t>García Macho, R. (2011). </w:t>
      </w:r>
      <w:r>
        <w:rPr>
          <w:rFonts w:ascii="Times New Roman" w:hAnsi="Times New Roman"/>
          <w:spacing w:val="-3"/>
          <w:sz w:val="24"/>
        </w:rPr>
        <w:t>La </w:t>
      </w:r>
      <w:r>
        <w:rPr>
          <w:rFonts w:ascii="Times New Roman" w:hAnsi="Times New Roman"/>
          <w:sz w:val="24"/>
        </w:rPr>
        <w:t>transparencia en el sector público. En </w:t>
      </w:r>
      <w:r>
        <w:rPr>
          <w:rFonts w:ascii="Times New Roman" w:hAnsi="Times New Roman"/>
          <w:i/>
          <w:sz w:val="24"/>
        </w:rPr>
        <w:t>El Derecho Público de la </w:t>
      </w:r>
      <w:r>
        <w:rPr>
          <w:rFonts w:ascii="Times New Roman" w:hAnsi="Times New Roman"/>
          <w:i/>
          <w:sz w:val="24"/>
        </w:rPr>
        <w:t>crisis económica, Transparencia y Sector Público, Hacia un nuevo Derecho Administrativo. </w:t>
      </w:r>
      <w:r>
        <w:rPr>
          <w:rFonts w:ascii="Times New Roman" w:hAnsi="Times New Roman"/>
          <w:sz w:val="24"/>
        </w:rPr>
        <w:t>INAP.</w:t>
      </w:r>
    </w:p>
    <w:p>
      <w:pPr>
        <w:spacing w:before="0"/>
        <w:ind w:left="828" w:right="120" w:hanging="720"/>
        <w:jc w:val="both"/>
        <w:rPr>
          <w:rFonts w:ascii="Times New Roman" w:hAnsi="Times New Roman"/>
          <w:sz w:val="24"/>
        </w:rPr>
      </w:pPr>
      <w:r>
        <w:rPr>
          <w:rFonts w:ascii="Times New Roman" w:hAnsi="Times New Roman"/>
          <w:i/>
          <w:sz w:val="24"/>
        </w:rPr>
        <w:t>Gesoc. Gestión Social y Cooperación</w:t>
      </w:r>
      <w:r>
        <w:rPr>
          <w:rFonts w:ascii="Times New Roman" w:hAnsi="Times New Roman"/>
          <w:sz w:val="24"/>
        </w:rPr>
        <w:t>. (27 de Noviembre de 2015). Obtenido de </w:t>
      </w:r>
      <w:hyperlink r:id="rId165">
        <w:r>
          <w:rPr>
            <w:rFonts w:ascii="Times New Roman" w:hAnsi="Times New Roman"/>
            <w:sz w:val="24"/>
          </w:rPr>
          <w:t>www.gesoc.org.mx</w:t>
        </w:r>
      </w:hyperlink>
    </w:p>
    <w:p>
      <w:pPr>
        <w:spacing w:before="0"/>
        <w:ind w:left="828" w:right="121" w:hanging="720"/>
        <w:jc w:val="both"/>
        <w:rPr>
          <w:rFonts w:ascii="Times New Roman" w:hAnsi="Times New Roman"/>
          <w:sz w:val="24"/>
        </w:rPr>
      </w:pPr>
      <w:r>
        <w:rPr>
          <w:rFonts w:ascii="Times New Roman" w:hAnsi="Times New Roman"/>
          <w:sz w:val="24"/>
        </w:rPr>
        <w:t>Goffman, E. (1981). </w:t>
      </w:r>
      <w:r>
        <w:rPr>
          <w:rFonts w:ascii="Times New Roman" w:hAnsi="Times New Roman"/>
          <w:i/>
          <w:sz w:val="24"/>
        </w:rPr>
        <w:t>La presentación de la persona en la vida cotidiana. </w:t>
      </w:r>
      <w:r>
        <w:rPr>
          <w:rFonts w:ascii="Times New Roman" w:hAnsi="Times New Roman"/>
          <w:sz w:val="24"/>
        </w:rPr>
        <w:t>Buenos Aires: Amorrortu.</w:t>
      </w:r>
    </w:p>
    <w:p>
      <w:pPr>
        <w:spacing w:before="0"/>
        <w:ind w:left="828" w:right="122" w:hanging="720"/>
        <w:jc w:val="both"/>
        <w:rPr>
          <w:rFonts w:ascii="Times New Roman" w:hAnsi="Times New Roman"/>
          <w:sz w:val="24"/>
        </w:rPr>
      </w:pPr>
      <w:r>
        <w:rPr>
          <w:rFonts w:ascii="Times New Roman" w:hAnsi="Times New Roman"/>
          <w:sz w:val="24"/>
        </w:rPr>
        <w:t>Gordon Rapoport, S. (abril-junio de 2016). Transparencia y rendición de cuentas de organizaciones civiles en México. </w:t>
      </w:r>
      <w:r>
        <w:rPr>
          <w:rFonts w:ascii="Times New Roman" w:hAnsi="Times New Roman"/>
          <w:i/>
          <w:sz w:val="24"/>
        </w:rPr>
        <w:t>Revista Mexicana de Sociología, 73</w:t>
      </w:r>
      <w:r>
        <w:rPr>
          <w:rFonts w:ascii="Times New Roman" w:hAnsi="Times New Roman"/>
          <w:sz w:val="24"/>
        </w:rPr>
        <w:t>(2).</w:t>
      </w:r>
    </w:p>
    <w:p>
      <w:pPr>
        <w:spacing w:before="0"/>
        <w:ind w:left="828" w:right="121" w:hanging="720"/>
        <w:jc w:val="both"/>
        <w:rPr>
          <w:rFonts w:ascii="Times New Roman" w:hAnsi="Times New Roman"/>
          <w:sz w:val="24"/>
        </w:rPr>
      </w:pPr>
      <w:r>
        <w:rPr>
          <w:rFonts w:ascii="Times New Roman" w:hAnsi="Times New Roman"/>
          <w:sz w:val="24"/>
        </w:rPr>
        <w:t>Guerrero</w:t>
      </w:r>
      <w:r>
        <w:rPr>
          <w:rFonts w:ascii="Times New Roman" w:hAnsi="Times New Roman"/>
          <w:spacing w:val="-15"/>
          <w:sz w:val="24"/>
        </w:rPr>
        <w:t> </w:t>
      </w:r>
      <w:r>
        <w:rPr>
          <w:rFonts w:ascii="Times New Roman" w:hAnsi="Times New Roman"/>
          <w:sz w:val="24"/>
        </w:rPr>
        <w:t>Amparán,</w:t>
      </w:r>
      <w:r>
        <w:rPr>
          <w:rFonts w:ascii="Times New Roman" w:hAnsi="Times New Roman"/>
          <w:spacing w:val="-14"/>
          <w:sz w:val="24"/>
        </w:rPr>
        <w:t> </w:t>
      </w:r>
      <w:r>
        <w:rPr>
          <w:rFonts w:ascii="Times New Roman" w:hAnsi="Times New Roman"/>
          <w:sz w:val="24"/>
        </w:rPr>
        <w:t>J.</w:t>
      </w:r>
      <w:r>
        <w:rPr>
          <w:rFonts w:ascii="Times New Roman" w:hAnsi="Times New Roman"/>
          <w:spacing w:val="-14"/>
          <w:sz w:val="24"/>
        </w:rPr>
        <w:t> </w:t>
      </w:r>
      <w:r>
        <w:rPr>
          <w:rFonts w:ascii="Times New Roman" w:hAnsi="Times New Roman"/>
          <w:sz w:val="24"/>
        </w:rPr>
        <w:t>P.</w:t>
      </w:r>
      <w:r>
        <w:rPr>
          <w:rFonts w:ascii="Times New Roman" w:hAnsi="Times New Roman"/>
          <w:spacing w:val="-14"/>
          <w:sz w:val="24"/>
        </w:rPr>
        <w:t> </w:t>
      </w:r>
      <w:r>
        <w:rPr>
          <w:rFonts w:ascii="Times New Roman" w:hAnsi="Times New Roman"/>
          <w:sz w:val="24"/>
        </w:rPr>
        <w:t>(2000).</w:t>
      </w:r>
      <w:r>
        <w:rPr>
          <w:rFonts w:ascii="Times New Roman" w:hAnsi="Times New Roman"/>
          <w:spacing w:val="-13"/>
          <w:sz w:val="24"/>
        </w:rPr>
        <w:t> </w:t>
      </w:r>
      <w:r>
        <w:rPr>
          <w:rFonts w:ascii="Times New Roman" w:hAnsi="Times New Roman"/>
          <w:i/>
          <w:sz w:val="24"/>
        </w:rPr>
        <w:t>La</w:t>
      </w:r>
      <w:r>
        <w:rPr>
          <w:rFonts w:ascii="Times New Roman" w:hAnsi="Times New Roman"/>
          <w:i/>
          <w:spacing w:val="-14"/>
          <w:sz w:val="24"/>
        </w:rPr>
        <w:t> </w:t>
      </w:r>
      <w:r>
        <w:rPr>
          <w:rFonts w:ascii="Times New Roman" w:hAnsi="Times New Roman"/>
          <w:i/>
          <w:sz w:val="24"/>
        </w:rPr>
        <w:t>reforma</w:t>
      </w:r>
      <w:r>
        <w:rPr>
          <w:rFonts w:ascii="Times New Roman" w:hAnsi="Times New Roman"/>
          <w:i/>
          <w:spacing w:val="-14"/>
          <w:sz w:val="24"/>
        </w:rPr>
        <w:t> </w:t>
      </w:r>
      <w:r>
        <w:rPr>
          <w:rFonts w:ascii="Times New Roman" w:hAnsi="Times New Roman"/>
          <w:i/>
          <w:sz w:val="24"/>
        </w:rPr>
        <w:t>a</w:t>
      </w:r>
      <w:r>
        <w:rPr>
          <w:rFonts w:ascii="Times New Roman" w:hAnsi="Times New Roman"/>
          <w:i/>
          <w:spacing w:val="-14"/>
          <w:sz w:val="24"/>
        </w:rPr>
        <w:t> </w:t>
      </w:r>
      <w:r>
        <w:rPr>
          <w:rFonts w:ascii="Times New Roman" w:hAnsi="Times New Roman"/>
          <w:i/>
          <w:sz w:val="24"/>
        </w:rPr>
        <w:t>la</w:t>
      </w:r>
      <w:r>
        <w:rPr>
          <w:rFonts w:ascii="Times New Roman" w:hAnsi="Times New Roman"/>
          <w:i/>
          <w:spacing w:val="-14"/>
          <w:sz w:val="24"/>
        </w:rPr>
        <w:t> </w:t>
      </w:r>
      <w:r>
        <w:rPr>
          <w:rFonts w:ascii="Times New Roman" w:hAnsi="Times New Roman"/>
          <w:i/>
          <w:sz w:val="24"/>
        </w:rPr>
        <w:t>administración</w:t>
      </w:r>
      <w:r>
        <w:rPr>
          <w:rFonts w:ascii="Times New Roman" w:hAnsi="Times New Roman"/>
          <w:i/>
          <w:spacing w:val="-14"/>
          <w:sz w:val="24"/>
        </w:rPr>
        <w:t> </w:t>
      </w:r>
      <w:r>
        <w:rPr>
          <w:rFonts w:ascii="Times New Roman" w:hAnsi="Times New Roman"/>
          <w:i/>
          <w:sz w:val="24"/>
        </w:rPr>
        <w:t>pública</w:t>
      </w:r>
      <w:r>
        <w:rPr>
          <w:rFonts w:ascii="Times New Roman" w:hAnsi="Times New Roman"/>
          <w:i/>
          <w:spacing w:val="-14"/>
          <w:sz w:val="24"/>
        </w:rPr>
        <w:t> </w:t>
      </w:r>
      <w:r>
        <w:rPr>
          <w:rFonts w:ascii="Times New Roman" w:hAnsi="Times New Roman"/>
          <w:i/>
          <w:sz w:val="24"/>
        </w:rPr>
        <w:t>mexicana</w:t>
      </w:r>
      <w:r>
        <w:rPr>
          <w:rFonts w:ascii="Times New Roman" w:hAnsi="Times New Roman"/>
          <w:i/>
          <w:spacing w:val="-15"/>
          <w:sz w:val="24"/>
        </w:rPr>
        <w:t> </w:t>
      </w:r>
      <w:r>
        <w:rPr>
          <w:rFonts w:ascii="Times New Roman" w:hAnsi="Times New Roman"/>
          <w:i/>
          <w:sz w:val="24"/>
        </w:rPr>
        <w:t>en</w:t>
      </w:r>
      <w:r>
        <w:rPr>
          <w:rFonts w:ascii="Times New Roman" w:hAnsi="Times New Roman"/>
          <w:i/>
          <w:spacing w:val="-14"/>
          <w:sz w:val="24"/>
        </w:rPr>
        <w:t> </w:t>
      </w:r>
      <w:r>
        <w:rPr>
          <w:rFonts w:ascii="Times New Roman" w:hAnsi="Times New Roman"/>
          <w:i/>
          <w:sz w:val="24"/>
        </w:rPr>
        <w:t>el</w:t>
      </w:r>
      <w:r>
        <w:rPr>
          <w:rFonts w:ascii="Times New Roman" w:hAnsi="Times New Roman"/>
          <w:i/>
          <w:spacing w:val="-14"/>
          <w:sz w:val="24"/>
        </w:rPr>
        <w:t> </w:t>
      </w:r>
      <w:r>
        <w:rPr>
          <w:rFonts w:ascii="Times New Roman" w:hAnsi="Times New Roman"/>
          <w:i/>
          <w:sz w:val="24"/>
        </w:rPr>
        <w:t>nuevo </w:t>
      </w:r>
      <w:r>
        <w:rPr>
          <w:rFonts w:ascii="Times New Roman" w:hAnsi="Times New Roman"/>
          <w:i/>
          <w:sz w:val="24"/>
        </w:rPr>
        <w:t>régimen político, ¿Por dónde empezar? Ideas para la creación de un gobierno transparente, responsable y cercano a la ciudadanía. </w:t>
      </w:r>
      <w:r>
        <w:rPr>
          <w:rFonts w:ascii="Times New Roman" w:hAnsi="Times New Roman"/>
          <w:sz w:val="24"/>
        </w:rPr>
        <w:t>México:</w:t>
      </w:r>
      <w:r>
        <w:rPr>
          <w:rFonts w:ascii="Times New Roman" w:hAnsi="Times New Roman"/>
          <w:spacing w:val="-9"/>
          <w:sz w:val="24"/>
        </w:rPr>
        <w:t> </w:t>
      </w:r>
      <w:r>
        <w:rPr>
          <w:rFonts w:ascii="Times New Roman" w:hAnsi="Times New Roman"/>
          <w:sz w:val="24"/>
        </w:rPr>
        <w:t>CIDE.</w:t>
      </w:r>
    </w:p>
    <w:p>
      <w:pPr>
        <w:spacing w:before="0"/>
        <w:ind w:left="828" w:right="116" w:hanging="720"/>
        <w:jc w:val="both"/>
        <w:rPr>
          <w:rFonts w:ascii="Times New Roman" w:hAnsi="Times New Roman"/>
          <w:sz w:val="24"/>
        </w:rPr>
      </w:pPr>
      <w:r>
        <w:rPr>
          <w:rFonts w:ascii="Times New Roman" w:hAnsi="Times New Roman"/>
          <w:sz w:val="24"/>
        </w:rPr>
        <w:t>Guerrero</w:t>
      </w:r>
      <w:r>
        <w:rPr>
          <w:rFonts w:ascii="Times New Roman" w:hAnsi="Times New Roman"/>
          <w:spacing w:val="-5"/>
          <w:sz w:val="24"/>
        </w:rPr>
        <w:t> </w:t>
      </w:r>
      <w:r>
        <w:rPr>
          <w:rFonts w:ascii="Times New Roman" w:hAnsi="Times New Roman"/>
          <w:sz w:val="24"/>
        </w:rPr>
        <w:t>Amparán,</w:t>
      </w:r>
      <w:r>
        <w:rPr>
          <w:rFonts w:ascii="Times New Roman" w:hAnsi="Times New Roman"/>
          <w:spacing w:val="-4"/>
          <w:sz w:val="24"/>
        </w:rPr>
        <w:t> </w:t>
      </w:r>
      <w:r>
        <w:rPr>
          <w:rFonts w:ascii="Times New Roman" w:hAnsi="Times New Roman"/>
          <w:sz w:val="24"/>
        </w:rPr>
        <w:t>J.</w:t>
      </w:r>
      <w:r>
        <w:rPr>
          <w:rFonts w:ascii="Times New Roman" w:hAnsi="Times New Roman"/>
          <w:spacing w:val="-6"/>
          <w:sz w:val="24"/>
        </w:rPr>
        <w:t> </w:t>
      </w:r>
      <w:r>
        <w:rPr>
          <w:rFonts w:ascii="Times New Roman" w:hAnsi="Times New Roman"/>
          <w:sz w:val="24"/>
        </w:rPr>
        <w:t>P.,</w:t>
      </w:r>
      <w:r>
        <w:rPr>
          <w:rFonts w:ascii="Times New Roman" w:hAnsi="Times New Roman"/>
          <w:spacing w:val="-6"/>
          <w:sz w:val="24"/>
        </w:rPr>
        <w:t> </w:t>
      </w:r>
      <w:r>
        <w:rPr>
          <w:rFonts w:ascii="Times New Roman" w:hAnsi="Times New Roman"/>
          <w:sz w:val="24"/>
        </w:rPr>
        <w:t>&amp;</w:t>
      </w:r>
      <w:r>
        <w:rPr>
          <w:rFonts w:ascii="Times New Roman" w:hAnsi="Times New Roman"/>
          <w:spacing w:val="-6"/>
          <w:sz w:val="24"/>
        </w:rPr>
        <w:t> </w:t>
      </w:r>
      <w:r>
        <w:rPr>
          <w:rFonts w:ascii="Times New Roman" w:hAnsi="Times New Roman"/>
          <w:sz w:val="24"/>
        </w:rPr>
        <w:t>Madrid</w:t>
      </w:r>
      <w:r>
        <w:rPr>
          <w:rFonts w:ascii="Times New Roman" w:hAnsi="Times New Roman"/>
          <w:spacing w:val="-4"/>
          <w:sz w:val="24"/>
        </w:rPr>
        <w:t> </w:t>
      </w:r>
      <w:r>
        <w:rPr>
          <w:rFonts w:ascii="Times New Roman" w:hAnsi="Times New Roman"/>
          <w:sz w:val="24"/>
        </w:rPr>
        <w:t>Sánchez</w:t>
      </w:r>
      <w:r>
        <w:rPr>
          <w:rFonts w:ascii="Times New Roman" w:hAnsi="Times New Roman"/>
          <w:spacing w:val="-3"/>
          <w:sz w:val="24"/>
        </w:rPr>
        <w:t> </w:t>
      </w:r>
      <w:r>
        <w:rPr>
          <w:rFonts w:ascii="Times New Roman" w:hAnsi="Times New Roman"/>
          <w:sz w:val="24"/>
        </w:rPr>
        <w:t>de</w:t>
      </w:r>
      <w:r>
        <w:rPr>
          <w:rFonts w:ascii="Times New Roman" w:hAnsi="Times New Roman"/>
          <w:spacing w:val="-5"/>
          <w:sz w:val="24"/>
        </w:rPr>
        <w:t> </w:t>
      </w:r>
      <w:r>
        <w:rPr>
          <w:rFonts w:ascii="Times New Roman" w:hAnsi="Times New Roman"/>
          <w:sz w:val="24"/>
        </w:rPr>
        <w:t>la</w:t>
      </w:r>
      <w:r>
        <w:rPr>
          <w:rFonts w:ascii="Times New Roman" w:hAnsi="Times New Roman"/>
          <w:spacing w:val="-4"/>
          <w:sz w:val="24"/>
        </w:rPr>
        <w:t> </w:t>
      </w:r>
      <w:r>
        <w:rPr>
          <w:rFonts w:ascii="Times New Roman" w:hAnsi="Times New Roman"/>
          <w:sz w:val="24"/>
        </w:rPr>
        <w:t>Vega,</w:t>
      </w:r>
      <w:r>
        <w:rPr>
          <w:rFonts w:ascii="Times New Roman" w:hAnsi="Times New Roman"/>
          <w:spacing w:val="-4"/>
          <w:sz w:val="24"/>
        </w:rPr>
        <w:t> </w:t>
      </w:r>
      <w:r>
        <w:rPr>
          <w:rFonts w:ascii="Times New Roman" w:hAnsi="Times New Roman"/>
          <w:sz w:val="24"/>
        </w:rPr>
        <w:t>R.</w:t>
      </w:r>
      <w:r>
        <w:rPr>
          <w:rFonts w:ascii="Times New Roman" w:hAnsi="Times New Roman"/>
          <w:spacing w:val="-4"/>
          <w:sz w:val="24"/>
        </w:rPr>
        <w:t> </w:t>
      </w:r>
      <w:r>
        <w:rPr>
          <w:rFonts w:ascii="Times New Roman" w:hAnsi="Times New Roman"/>
          <w:sz w:val="24"/>
        </w:rPr>
        <w:t>(2001).</w:t>
      </w:r>
      <w:r>
        <w:rPr>
          <w:rFonts w:ascii="Times New Roman" w:hAnsi="Times New Roman"/>
          <w:spacing w:val="-2"/>
          <w:sz w:val="24"/>
        </w:rPr>
        <w:t> </w:t>
      </w:r>
      <w:r>
        <w:rPr>
          <w:rFonts w:ascii="Times New Roman" w:hAnsi="Times New Roman"/>
          <w:i/>
          <w:sz w:val="24"/>
        </w:rPr>
        <w:t>Consideraciones</w:t>
      </w:r>
      <w:r>
        <w:rPr>
          <w:rFonts w:ascii="Times New Roman" w:hAnsi="Times New Roman"/>
          <w:i/>
          <w:spacing w:val="-4"/>
          <w:sz w:val="24"/>
        </w:rPr>
        <w:t> </w:t>
      </w:r>
      <w:r>
        <w:rPr>
          <w:rFonts w:ascii="Times New Roman" w:hAnsi="Times New Roman"/>
          <w:i/>
          <w:sz w:val="24"/>
        </w:rPr>
        <w:t>sobre</w:t>
      </w:r>
      <w:r>
        <w:rPr>
          <w:rFonts w:ascii="Times New Roman" w:hAnsi="Times New Roman"/>
          <w:i/>
          <w:spacing w:val="-4"/>
          <w:sz w:val="24"/>
        </w:rPr>
        <w:t> </w:t>
      </w:r>
      <w:r>
        <w:rPr>
          <w:rFonts w:ascii="Times New Roman" w:hAnsi="Times New Roman"/>
          <w:i/>
          <w:sz w:val="24"/>
        </w:rPr>
        <w:t>la </w:t>
      </w:r>
      <w:r>
        <w:rPr>
          <w:rFonts w:ascii="Times New Roman" w:hAnsi="Times New Roman"/>
          <w:i/>
          <w:sz w:val="24"/>
        </w:rPr>
        <w:t>transparencia en el gasto público en México. </w:t>
      </w:r>
      <w:r>
        <w:rPr>
          <w:rFonts w:ascii="Times New Roman" w:hAnsi="Times New Roman"/>
          <w:sz w:val="24"/>
        </w:rPr>
        <w:t>México:</w:t>
      </w:r>
      <w:r>
        <w:rPr>
          <w:rFonts w:ascii="Times New Roman" w:hAnsi="Times New Roman"/>
          <w:spacing w:val="-11"/>
          <w:sz w:val="24"/>
        </w:rPr>
        <w:t> </w:t>
      </w:r>
      <w:r>
        <w:rPr>
          <w:rFonts w:ascii="Times New Roman" w:hAnsi="Times New Roman"/>
          <w:sz w:val="24"/>
        </w:rPr>
        <w:t>CIDE.</w:t>
      </w:r>
    </w:p>
    <w:p>
      <w:pPr>
        <w:spacing w:before="0"/>
        <w:ind w:left="828" w:right="121" w:hanging="720"/>
        <w:jc w:val="both"/>
        <w:rPr>
          <w:rFonts w:ascii="Times New Roman" w:hAnsi="Times New Roman"/>
          <w:sz w:val="24"/>
        </w:rPr>
      </w:pPr>
      <w:r>
        <w:rPr>
          <w:rFonts w:ascii="Times New Roman" w:hAnsi="Times New Roman"/>
          <w:sz w:val="24"/>
        </w:rPr>
        <w:t>Guerrero Amparán, J. P., Madrid Sánchez de la Vega, R., &amp; Reyes Terrón, Á. M. (2001). </w:t>
      </w:r>
      <w:r>
        <w:rPr>
          <w:rFonts w:ascii="Times New Roman" w:hAnsi="Times New Roman"/>
          <w:i/>
          <w:sz w:val="24"/>
        </w:rPr>
        <w:t>Transparencia limitada: Diez preguntas ciudadanas sin resolver, Un análisis del </w:t>
      </w:r>
      <w:r>
        <w:rPr>
          <w:rFonts w:ascii="Times New Roman" w:hAnsi="Times New Roman"/>
          <w:i/>
          <w:sz w:val="24"/>
        </w:rPr>
        <w:t>Presupuesto Federal. . </w:t>
      </w:r>
      <w:r>
        <w:rPr>
          <w:rFonts w:ascii="Times New Roman" w:hAnsi="Times New Roman"/>
          <w:sz w:val="24"/>
        </w:rPr>
        <w:t>México: CIDE.</w:t>
      </w:r>
    </w:p>
    <w:p>
      <w:pPr>
        <w:spacing w:before="0"/>
        <w:ind w:left="108" w:right="6" w:firstLine="0"/>
        <w:jc w:val="left"/>
        <w:rPr>
          <w:rFonts w:ascii="Times New Roman" w:hAnsi="Times New Roman"/>
          <w:sz w:val="24"/>
        </w:rPr>
      </w:pPr>
      <w:r>
        <w:rPr>
          <w:rFonts w:ascii="Times New Roman" w:hAnsi="Times New Roman"/>
          <w:sz w:val="24"/>
        </w:rPr>
        <w:t>Guerrero Gutiérrez, E. (2008). </w:t>
      </w:r>
      <w:r>
        <w:rPr>
          <w:rFonts w:ascii="Times New Roman" w:hAnsi="Times New Roman"/>
          <w:i/>
          <w:sz w:val="24"/>
        </w:rPr>
        <w:t>Para entender la transparencia. </w:t>
      </w:r>
      <w:r>
        <w:rPr>
          <w:rFonts w:ascii="Times New Roman" w:hAnsi="Times New Roman"/>
          <w:sz w:val="24"/>
        </w:rPr>
        <w:t>México: Nostra Ediciones.</w:t>
      </w:r>
    </w:p>
    <w:p>
      <w:pPr>
        <w:spacing w:after="0"/>
        <w:jc w:val="left"/>
        <w:rPr>
          <w:rFonts w:ascii="Times New Roman" w:hAnsi="Times New Roman"/>
          <w:sz w:val="24"/>
        </w:rPr>
        <w:sectPr>
          <w:pgSz w:w="12240" w:h="15840"/>
          <w:pgMar w:header="0" w:footer="975" w:top="1360" w:bottom="1220" w:left="1500" w:right="1580"/>
        </w:sectPr>
      </w:pPr>
    </w:p>
    <w:p>
      <w:pPr>
        <w:spacing w:before="48"/>
        <w:ind w:left="828" w:right="120" w:hanging="720"/>
        <w:jc w:val="both"/>
        <w:rPr>
          <w:rFonts w:ascii="Times New Roman" w:hAnsi="Times New Roman"/>
          <w:sz w:val="24"/>
        </w:rPr>
      </w:pPr>
      <w:r>
        <w:rPr>
          <w:rFonts w:ascii="Times New Roman" w:hAnsi="Times New Roman"/>
          <w:sz w:val="24"/>
        </w:rPr>
        <w:t>Guerrero Gutiérrez, E., &amp; Ramírez De Alba Leal, L. (2006). La transparencia en México en el ámbito subnacional: una evaluación comparada de las leyes estatales. En I. d. Jurídicas, </w:t>
      </w:r>
      <w:r>
        <w:rPr>
          <w:rFonts w:ascii="Times New Roman" w:hAnsi="Times New Roman"/>
          <w:i/>
          <w:sz w:val="24"/>
        </w:rPr>
        <w:t>Democracia, transparencia y constitución: propuestas para un debate </w:t>
      </w:r>
      <w:r>
        <w:rPr>
          <w:rFonts w:ascii="Times New Roman" w:hAnsi="Times New Roman"/>
          <w:i/>
          <w:sz w:val="24"/>
        </w:rPr>
        <w:t>necesario. </w:t>
      </w:r>
      <w:r>
        <w:rPr>
          <w:rFonts w:ascii="Times New Roman" w:hAnsi="Times New Roman"/>
          <w:sz w:val="24"/>
        </w:rPr>
        <w:t>México: UNAM.</w:t>
      </w:r>
    </w:p>
    <w:p>
      <w:pPr>
        <w:pStyle w:val="BodyText"/>
        <w:ind w:left="108" w:right="6"/>
        <w:rPr>
          <w:rFonts w:ascii="Times New Roman" w:hAnsi="Times New Roman"/>
        </w:rPr>
      </w:pPr>
      <w:r>
        <w:rPr>
          <w:rFonts w:ascii="Times New Roman" w:hAnsi="Times New Roman"/>
        </w:rPr>
        <w:t>Guerrero,  E.  (2005).  Libros,  autores  e  ideas  para  abrir  una  discusión  .  En  M. Merino,</w:t>
      </w:r>
    </w:p>
    <w:p>
      <w:pPr>
        <w:spacing w:before="0"/>
        <w:ind w:left="828" w:right="6" w:firstLine="0"/>
        <w:jc w:val="left"/>
        <w:rPr>
          <w:rFonts w:ascii="Times New Roman" w:hAnsi="Times New Roman"/>
          <w:sz w:val="24"/>
        </w:rPr>
      </w:pPr>
      <w:r>
        <w:rPr>
          <w:rFonts w:ascii="Times New Roman" w:hAnsi="Times New Roman"/>
          <w:i/>
          <w:sz w:val="24"/>
        </w:rPr>
        <w:t>Transparencia, libros, autores e idea. </w:t>
      </w:r>
      <w:r>
        <w:rPr>
          <w:rFonts w:ascii="Times New Roman" w:hAnsi="Times New Roman"/>
          <w:sz w:val="24"/>
        </w:rPr>
        <w:t>México: IFAI/CIDE.</w:t>
      </w:r>
    </w:p>
    <w:p>
      <w:pPr>
        <w:spacing w:before="0"/>
        <w:ind w:left="828" w:right="122" w:hanging="720"/>
        <w:jc w:val="both"/>
        <w:rPr>
          <w:rFonts w:ascii="Times New Roman" w:hAnsi="Times New Roman"/>
          <w:sz w:val="24"/>
        </w:rPr>
      </w:pPr>
      <w:r>
        <w:rPr>
          <w:rFonts w:ascii="Times New Roman" w:hAnsi="Times New Roman"/>
          <w:sz w:val="24"/>
        </w:rPr>
        <w:t>Guerrero,</w:t>
      </w:r>
      <w:r>
        <w:rPr>
          <w:rFonts w:ascii="Times New Roman" w:hAnsi="Times New Roman"/>
          <w:spacing w:val="-5"/>
          <w:sz w:val="24"/>
        </w:rPr>
        <w:t> </w:t>
      </w:r>
      <w:r>
        <w:rPr>
          <w:rFonts w:ascii="Times New Roman" w:hAnsi="Times New Roman"/>
          <w:sz w:val="24"/>
        </w:rPr>
        <w:t>M.</w:t>
      </w:r>
      <w:r>
        <w:rPr>
          <w:rFonts w:ascii="Times New Roman" w:hAnsi="Times New Roman"/>
          <w:spacing w:val="-1"/>
          <w:sz w:val="24"/>
        </w:rPr>
        <w:t> </w:t>
      </w:r>
      <w:r>
        <w:rPr>
          <w:rFonts w:ascii="Times New Roman" w:hAnsi="Times New Roman"/>
          <w:sz w:val="24"/>
        </w:rPr>
        <w:t>A.</w:t>
      </w:r>
      <w:r>
        <w:rPr>
          <w:rFonts w:ascii="Times New Roman" w:hAnsi="Times New Roman"/>
          <w:spacing w:val="-4"/>
          <w:sz w:val="24"/>
        </w:rPr>
        <w:t> </w:t>
      </w:r>
      <w:r>
        <w:rPr>
          <w:rFonts w:ascii="Times New Roman" w:hAnsi="Times New Roman"/>
          <w:sz w:val="24"/>
        </w:rPr>
        <w:t>(2010). </w:t>
      </w:r>
      <w:r>
        <w:rPr>
          <w:rFonts w:ascii="Times New Roman" w:hAnsi="Times New Roman"/>
          <w:i/>
          <w:sz w:val="24"/>
        </w:rPr>
        <w:t>El</w:t>
      </w:r>
      <w:r>
        <w:rPr>
          <w:rFonts w:ascii="Times New Roman" w:hAnsi="Times New Roman"/>
          <w:i/>
          <w:spacing w:val="-4"/>
          <w:sz w:val="24"/>
        </w:rPr>
        <w:t> </w:t>
      </w:r>
      <w:r>
        <w:rPr>
          <w:rFonts w:ascii="Times New Roman" w:hAnsi="Times New Roman"/>
          <w:i/>
          <w:sz w:val="24"/>
        </w:rPr>
        <w:t>Instituto</w:t>
      </w:r>
      <w:r>
        <w:rPr>
          <w:rFonts w:ascii="Times New Roman" w:hAnsi="Times New Roman"/>
          <w:i/>
          <w:spacing w:val="-4"/>
          <w:sz w:val="24"/>
        </w:rPr>
        <w:t> </w:t>
      </w:r>
      <w:r>
        <w:rPr>
          <w:rFonts w:ascii="Times New Roman" w:hAnsi="Times New Roman"/>
          <w:i/>
          <w:sz w:val="24"/>
        </w:rPr>
        <w:t>Federal</w:t>
      </w:r>
      <w:r>
        <w:rPr>
          <w:rFonts w:ascii="Times New Roman" w:hAnsi="Times New Roman"/>
          <w:i/>
          <w:spacing w:val="-3"/>
          <w:sz w:val="24"/>
        </w:rPr>
        <w:t> </w:t>
      </w:r>
      <w:r>
        <w:rPr>
          <w:rFonts w:ascii="Times New Roman" w:hAnsi="Times New Roman"/>
          <w:i/>
          <w:sz w:val="24"/>
        </w:rPr>
        <w:t>de</w:t>
      </w:r>
      <w:r>
        <w:rPr>
          <w:rFonts w:ascii="Times New Roman" w:hAnsi="Times New Roman"/>
          <w:i/>
          <w:spacing w:val="-5"/>
          <w:sz w:val="24"/>
        </w:rPr>
        <w:t> </w:t>
      </w:r>
      <w:r>
        <w:rPr>
          <w:rFonts w:ascii="Times New Roman" w:hAnsi="Times New Roman"/>
          <w:i/>
          <w:sz w:val="24"/>
        </w:rPr>
        <w:t>Acceso</w:t>
      </w:r>
      <w:r>
        <w:rPr>
          <w:rFonts w:ascii="Times New Roman" w:hAnsi="Times New Roman"/>
          <w:i/>
          <w:spacing w:val="-4"/>
          <w:sz w:val="24"/>
        </w:rPr>
        <w:t> </w:t>
      </w:r>
      <w:r>
        <w:rPr>
          <w:rFonts w:ascii="Times New Roman" w:hAnsi="Times New Roman"/>
          <w:i/>
          <w:sz w:val="24"/>
        </w:rPr>
        <w:t>a</w:t>
      </w:r>
      <w:r>
        <w:rPr>
          <w:rFonts w:ascii="Times New Roman" w:hAnsi="Times New Roman"/>
          <w:i/>
          <w:spacing w:val="-2"/>
          <w:sz w:val="24"/>
        </w:rPr>
        <w:t> </w:t>
      </w:r>
      <w:r>
        <w:rPr>
          <w:rFonts w:ascii="Times New Roman" w:hAnsi="Times New Roman"/>
          <w:i/>
          <w:sz w:val="24"/>
        </w:rPr>
        <w:t>la</w:t>
      </w:r>
      <w:r>
        <w:rPr>
          <w:rFonts w:ascii="Times New Roman" w:hAnsi="Times New Roman"/>
          <w:i/>
          <w:spacing w:val="-3"/>
          <w:sz w:val="24"/>
        </w:rPr>
        <w:t> </w:t>
      </w:r>
      <w:r>
        <w:rPr>
          <w:rFonts w:ascii="Times New Roman" w:hAnsi="Times New Roman"/>
          <w:i/>
          <w:sz w:val="24"/>
        </w:rPr>
        <w:t>Información</w:t>
      </w:r>
      <w:r>
        <w:rPr>
          <w:rFonts w:ascii="Times New Roman" w:hAnsi="Times New Roman"/>
          <w:i/>
          <w:spacing w:val="-3"/>
          <w:sz w:val="24"/>
        </w:rPr>
        <w:t> </w:t>
      </w:r>
      <w:r>
        <w:rPr>
          <w:rFonts w:ascii="Times New Roman" w:hAnsi="Times New Roman"/>
          <w:i/>
          <w:sz w:val="24"/>
        </w:rPr>
        <w:t>Pública,</w:t>
      </w:r>
      <w:r>
        <w:rPr>
          <w:rFonts w:ascii="Times New Roman" w:hAnsi="Times New Roman"/>
          <w:i/>
          <w:spacing w:val="-4"/>
          <w:sz w:val="24"/>
        </w:rPr>
        <w:t> </w:t>
      </w:r>
      <w:r>
        <w:rPr>
          <w:rFonts w:ascii="Times New Roman" w:hAnsi="Times New Roman"/>
          <w:i/>
          <w:sz w:val="24"/>
        </w:rPr>
        <w:t>el</w:t>
      </w:r>
      <w:r>
        <w:rPr>
          <w:rFonts w:ascii="Times New Roman" w:hAnsi="Times New Roman"/>
          <w:i/>
          <w:spacing w:val="-3"/>
          <w:sz w:val="24"/>
        </w:rPr>
        <w:t> </w:t>
      </w:r>
      <w:r>
        <w:rPr>
          <w:rFonts w:ascii="Times New Roman" w:hAnsi="Times New Roman"/>
          <w:i/>
          <w:sz w:val="24"/>
        </w:rPr>
        <w:t>acceso</w:t>
      </w:r>
      <w:r>
        <w:rPr>
          <w:rFonts w:ascii="Times New Roman" w:hAnsi="Times New Roman"/>
          <w:i/>
          <w:spacing w:val="-4"/>
          <w:sz w:val="24"/>
        </w:rPr>
        <w:t> </w:t>
      </w:r>
      <w:r>
        <w:rPr>
          <w:rFonts w:ascii="Times New Roman" w:hAnsi="Times New Roman"/>
          <w:i/>
          <w:sz w:val="24"/>
        </w:rPr>
        <w:t>a </w:t>
      </w:r>
      <w:r>
        <w:rPr>
          <w:rFonts w:ascii="Times New Roman" w:hAnsi="Times New Roman"/>
          <w:i/>
          <w:sz w:val="24"/>
        </w:rPr>
        <w:t>la información y la transparencia. </w:t>
      </w:r>
      <w:r>
        <w:rPr>
          <w:rFonts w:ascii="Times New Roman" w:hAnsi="Times New Roman"/>
          <w:sz w:val="24"/>
        </w:rPr>
        <w:t>México: Colegio de</w:t>
      </w:r>
      <w:r>
        <w:rPr>
          <w:rFonts w:ascii="Times New Roman" w:hAnsi="Times New Roman"/>
          <w:spacing w:val="-3"/>
          <w:sz w:val="24"/>
        </w:rPr>
        <w:t> </w:t>
      </w:r>
      <w:r>
        <w:rPr>
          <w:rFonts w:ascii="Times New Roman" w:hAnsi="Times New Roman"/>
          <w:sz w:val="24"/>
        </w:rPr>
        <w:t>México.</w:t>
      </w:r>
    </w:p>
    <w:p>
      <w:pPr>
        <w:spacing w:before="0"/>
        <w:ind w:left="828" w:right="120" w:hanging="720"/>
        <w:jc w:val="both"/>
        <w:rPr>
          <w:rFonts w:ascii="Times New Roman" w:hAnsi="Times New Roman"/>
          <w:sz w:val="24"/>
        </w:rPr>
      </w:pPr>
      <w:r>
        <w:rPr>
          <w:rFonts w:ascii="Times New Roman" w:hAnsi="Times New Roman"/>
          <w:sz w:val="24"/>
        </w:rPr>
        <w:t>Guichot, E. (2011). Transparencia versus protección de datos. En </w:t>
      </w:r>
      <w:r>
        <w:rPr>
          <w:rFonts w:ascii="Times New Roman" w:hAnsi="Times New Roman"/>
          <w:i/>
          <w:sz w:val="24"/>
        </w:rPr>
        <w:t>El Derecho Público de la </w:t>
      </w:r>
      <w:r>
        <w:rPr>
          <w:rFonts w:ascii="Times New Roman" w:hAnsi="Times New Roman"/>
          <w:i/>
          <w:sz w:val="24"/>
        </w:rPr>
        <w:t>crisis económica, Transparencia y Sector Público, Hacia un nuevo Derecho Administrativo. </w:t>
      </w:r>
      <w:r>
        <w:rPr>
          <w:rFonts w:ascii="Times New Roman" w:hAnsi="Times New Roman"/>
          <w:sz w:val="24"/>
        </w:rPr>
        <w:t>México: INAP.</w:t>
      </w:r>
    </w:p>
    <w:p>
      <w:pPr>
        <w:spacing w:before="0"/>
        <w:ind w:left="108" w:right="6" w:firstLine="0"/>
        <w:jc w:val="left"/>
        <w:rPr>
          <w:rFonts w:ascii="Times New Roman" w:hAnsi="Times New Roman"/>
          <w:sz w:val="24"/>
        </w:rPr>
      </w:pPr>
      <w:r>
        <w:rPr>
          <w:rFonts w:ascii="Times New Roman" w:hAnsi="Times New Roman"/>
          <w:sz w:val="24"/>
        </w:rPr>
        <w:t>Heller, H. (1974). </w:t>
      </w:r>
      <w:r>
        <w:rPr>
          <w:rFonts w:ascii="Times New Roman" w:hAnsi="Times New Roman"/>
          <w:i/>
          <w:sz w:val="24"/>
        </w:rPr>
        <w:t>Teoría del Estado </w:t>
      </w:r>
      <w:r>
        <w:rPr>
          <w:rFonts w:ascii="Times New Roman" w:hAnsi="Times New Roman"/>
          <w:sz w:val="24"/>
        </w:rPr>
        <w:t>(7a ed.). México: Fondo de Cultura Económica.</w:t>
      </w:r>
    </w:p>
    <w:p>
      <w:pPr>
        <w:spacing w:before="0"/>
        <w:ind w:left="828" w:right="117" w:hanging="720"/>
        <w:jc w:val="both"/>
        <w:rPr>
          <w:rFonts w:ascii="Times New Roman" w:hAnsi="Times New Roman"/>
          <w:sz w:val="24"/>
        </w:rPr>
      </w:pPr>
      <w:r>
        <w:rPr>
          <w:rFonts w:ascii="Times New Roman" w:hAnsi="Times New Roman"/>
          <w:sz w:val="24"/>
        </w:rPr>
        <w:t>Hernández Baqueiro, A. (2006). </w:t>
      </w:r>
      <w:r>
        <w:rPr>
          <w:rFonts w:ascii="Times New Roman" w:hAnsi="Times New Roman"/>
          <w:i/>
          <w:sz w:val="24"/>
        </w:rPr>
        <w:t>Transparencia, rendición de cuentas y construcción de </w:t>
      </w:r>
      <w:r>
        <w:rPr>
          <w:rFonts w:ascii="Times New Roman" w:hAnsi="Times New Roman"/>
          <w:i/>
          <w:sz w:val="24"/>
        </w:rPr>
        <w:t>confianza en la sociedad y el Estado mexicanos. Instituto Federal de Acceso a la Información Pública. </w:t>
      </w:r>
      <w:r>
        <w:rPr>
          <w:rFonts w:ascii="Times New Roman" w:hAnsi="Times New Roman"/>
          <w:sz w:val="24"/>
        </w:rPr>
        <w:t>México: Centro Mexicano para la Filantropía.</w:t>
      </w:r>
    </w:p>
    <w:p>
      <w:pPr>
        <w:pStyle w:val="BodyText"/>
        <w:ind w:left="828" w:right="119" w:hanging="720"/>
        <w:jc w:val="both"/>
        <w:rPr>
          <w:rFonts w:ascii="Times New Roman" w:hAnsi="Times New Roman"/>
        </w:rPr>
      </w:pPr>
      <w:r>
        <w:rPr>
          <w:rFonts w:ascii="Times New Roman" w:hAnsi="Times New Roman"/>
        </w:rPr>
        <w:t>Hernández</w:t>
      </w:r>
      <w:r>
        <w:rPr>
          <w:rFonts w:ascii="Times New Roman" w:hAnsi="Times New Roman"/>
          <w:spacing w:val="-8"/>
        </w:rPr>
        <w:t> </w:t>
      </w:r>
      <w:r>
        <w:rPr>
          <w:rFonts w:ascii="Times New Roman" w:hAnsi="Times New Roman"/>
        </w:rPr>
        <w:t>Sampieri,</w:t>
      </w:r>
      <w:r>
        <w:rPr>
          <w:rFonts w:ascii="Times New Roman" w:hAnsi="Times New Roman"/>
          <w:spacing w:val="-10"/>
        </w:rPr>
        <w:t> </w:t>
      </w:r>
      <w:r>
        <w:rPr>
          <w:rFonts w:ascii="Times New Roman" w:hAnsi="Times New Roman"/>
        </w:rPr>
        <w:t>R.,</w:t>
      </w:r>
      <w:r>
        <w:rPr>
          <w:rFonts w:ascii="Times New Roman" w:hAnsi="Times New Roman"/>
          <w:spacing w:val="-7"/>
        </w:rPr>
        <w:t> </w:t>
      </w:r>
      <w:r>
        <w:rPr>
          <w:rFonts w:ascii="Times New Roman" w:hAnsi="Times New Roman"/>
        </w:rPr>
        <w:t>Fernández</w:t>
      </w:r>
      <w:r>
        <w:rPr>
          <w:rFonts w:ascii="Times New Roman" w:hAnsi="Times New Roman"/>
          <w:spacing w:val="-8"/>
        </w:rPr>
        <w:t> </w:t>
      </w:r>
      <w:r>
        <w:rPr>
          <w:rFonts w:ascii="Times New Roman" w:hAnsi="Times New Roman"/>
        </w:rPr>
        <w:t>Collado,</w:t>
      </w:r>
      <w:r>
        <w:rPr>
          <w:rFonts w:ascii="Times New Roman" w:hAnsi="Times New Roman"/>
          <w:spacing w:val="-10"/>
        </w:rPr>
        <w:t> </w:t>
      </w:r>
      <w:r>
        <w:rPr>
          <w:rFonts w:ascii="Times New Roman" w:hAnsi="Times New Roman"/>
        </w:rPr>
        <w:t>C.,</w:t>
      </w:r>
      <w:r>
        <w:rPr>
          <w:rFonts w:ascii="Times New Roman" w:hAnsi="Times New Roman"/>
          <w:spacing w:val="-7"/>
        </w:rPr>
        <w:t> </w:t>
      </w:r>
      <w:r>
        <w:rPr>
          <w:rFonts w:ascii="Times New Roman" w:hAnsi="Times New Roman"/>
        </w:rPr>
        <w:t>&amp;</w:t>
      </w:r>
      <w:r>
        <w:rPr>
          <w:rFonts w:ascii="Times New Roman" w:hAnsi="Times New Roman"/>
          <w:spacing w:val="-9"/>
        </w:rPr>
        <w:t> </w:t>
      </w:r>
      <w:r>
        <w:rPr>
          <w:rFonts w:ascii="Times New Roman" w:hAnsi="Times New Roman"/>
        </w:rPr>
        <w:t>Baptista</w:t>
      </w:r>
      <w:r>
        <w:rPr>
          <w:rFonts w:ascii="Times New Roman" w:hAnsi="Times New Roman"/>
          <w:spacing w:val="-7"/>
        </w:rPr>
        <w:t> </w:t>
      </w:r>
      <w:r>
        <w:rPr>
          <w:rFonts w:ascii="Times New Roman" w:hAnsi="Times New Roman"/>
        </w:rPr>
        <w:t>Lucio,</w:t>
      </w:r>
      <w:r>
        <w:rPr>
          <w:rFonts w:ascii="Times New Roman" w:hAnsi="Times New Roman"/>
          <w:spacing w:val="-9"/>
        </w:rPr>
        <w:t> </w:t>
      </w:r>
      <w:r>
        <w:rPr>
          <w:rFonts w:ascii="Times New Roman" w:hAnsi="Times New Roman"/>
        </w:rPr>
        <w:t>P.</w:t>
      </w:r>
      <w:r>
        <w:rPr>
          <w:rFonts w:ascii="Times New Roman" w:hAnsi="Times New Roman"/>
          <w:spacing w:val="-7"/>
        </w:rPr>
        <w:t> </w:t>
      </w:r>
      <w:r>
        <w:rPr>
          <w:rFonts w:ascii="Times New Roman" w:hAnsi="Times New Roman"/>
        </w:rPr>
        <w:t>(2010).</w:t>
      </w:r>
      <w:r>
        <w:rPr>
          <w:rFonts w:ascii="Times New Roman" w:hAnsi="Times New Roman"/>
          <w:spacing w:val="-5"/>
        </w:rPr>
        <w:t> </w:t>
      </w:r>
      <w:r>
        <w:rPr>
          <w:rFonts w:ascii="Times New Roman" w:hAnsi="Times New Roman"/>
          <w:i/>
        </w:rPr>
        <w:t>Metodología</w:t>
      </w:r>
      <w:r>
        <w:rPr>
          <w:rFonts w:ascii="Times New Roman" w:hAnsi="Times New Roman"/>
          <w:i/>
          <w:spacing w:val="-9"/>
        </w:rPr>
        <w:t> </w:t>
      </w:r>
      <w:r>
        <w:rPr>
          <w:rFonts w:ascii="Times New Roman" w:hAnsi="Times New Roman"/>
          <w:i/>
        </w:rPr>
        <w:t>de </w:t>
      </w:r>
      <w:r>
        <w:rPr>
          <w:rFonts w:ascii="Times New Roman" w:hAnsi="Times New Roman"/>
          <w:i/>
        </w:rPr>
        <w:t>la investigación </w:t>
      </w:r>
      <w:r>
        <w:rPr>
          <w:rFonts w:ascii="Times New Roman" w:hAnsi="Times New Roman"/>
        </w:rPr>
        <w:t>(5a ed.). México: McGrawHill/Interamericana</w:t>
      </w:r>
      <w:r>
        <w:rPr>
          <w:rFonts w:ascii="Times New Roman" w:hAnsi="Times New Roman"/>
          <w:spacing w:val="-14"/>
        </w:rPr>
        <w:t> </w:t>
      </w:r>
      <w:r>
        <w:rPr>
          <w:rFonts w:ascii="Times New Roman" w:hAnsi="Times New Roman"/>
        </w:rPr>
        <w:t>Editores.</w:t>
      </w:r>
    </w:p>
    <w:p>
      <w:pPr>
        <w:spacing w:before="0"/>
        <w:ind w:left="828" w:right="119" w:hanging="720"/>
        <w:jc w:val="both"/>
        <w:rPr>
          <w:rFonts w:ascii="Times New Roman"/>
          <w:sz w:val="24"/>
        </w:rPr>
      </w:pPr>
      <w:r>
        <w:rPr>
          <w:rFonts w:ascii="Times New Roman"/>
          <w:i/>
          <w:sz w:val="24"/>
        </w:rPr>
        <w:t>Historia de la Carta de las Naciones Unidas</w:t>
      </w:r>
      <w:r>
        <w:rPr>
          <w:rFonts w:ascii="Times New Roman"/>
          <w:sz w:val="24"/>
        </w:rPr>
        <w:t>. (13 de Noviembre de 2014). Obtenido de </w:t>
      </w:r>
      <w:hyperlink r:id="rId166">
        <w:r>
          <w:rPr>
            <w:rFonts w:ascii="Times New Roman"/>
            <w:sz w:val="24"/>
          </w:rPr>
          <w:t>http://www.un.org/es/aboutun/history/charter_history.shtml</w:t>
        </w:r>
      </w:hyperlink>
    </w:p>
    <w:p>
      <w:pPr>
        <w:spacing w:before="0"/>
        <w:ind w:left="108" w:right="6" w:firstLine="0"/>
        <w:jc w:val="left"/>
        <w:rPr>
          <w:rFonts w:ascii="Times New Roman" w:hAnsi="Times New Roman"/>
          <w:sz w:val="24"/>
        </w:rPr>
      </w:pPr>
      <w:r>
        <w:rPr>
          <w:rFonts w:ascii="Times New Roman" w:hAnsi="Times New Roman"/>
          <w:sz w:val="24"/>
        </w:rPr>
        <w:t>Hobbes, T. (2011). </w:t>
      </w:r>
      <w:r>
        <w:rPr>
          <w:rFonts w:ascii="Times New Roman" w:hAnsi="Times New Roman"/>
          <w:i/>
          <w:sz w:val="24"/>
        </w:rPr>
        <w:t>El leviatán. </w:t>
      </w:r>
      <w:r>
        <w:rPr>
          <w:rFonts w:ascii="Times New Roman" w:hAnsi="Times New Roman"/>
          <w:sz w:val="24"/>
        </w:rPr>
        <w:t>Argentina: Losada.</w:t>
      </w:r>
    </w:p>
    <w:p>
      <w:pPr>
        <w:spacing w:before="0"/>
        <w:ind w:left="828" w:right="115" w:hanging="720"/>
        <w:jc w:val="both"/>
        <w:rPr>
          <w:rFonts w:ascii="Times New Roman" w:hAnsi="Times New Roman"/>
          <w:sz w:val="24"/>
        </w:rPr>
      </w:pPr>
      <w:r>
        <w:rPr>
          <w:rFonts w:ascii="Times New Roman" w:hAnsi="Times New Roman"/>
          <w:sz w:val="24"/>
        </w:rPr>
        <w:t>Hofbauer, H. (2003). </w:t>
      </w:r>
      <w:r>
        <w:rPr>
          <w:rFonts w:ascii="Times New Roman" w:hAnsi="Times New Roman"/>
          <w:i/>
          <w:sz w:val="24"/>
        </w:rPr>
        <w:t>Promoviendo la transparencia en los presupuestos públicos . </w:t>
      </w:r>
      <w:r>
        <w:rPr>
          <w:rFonts w:ascii="Times New Roman" w:hAnsi="Times New Roman"/>
          <w:sz w:val="24"/>
        </w:rPr>
        <w:t>México: Fundar.</w:t>
      </w:r>
    </w:p>
    <w:p>
      <w:pPr>
        <w:pStyle w:val="BodyText"/>
        <w:ind w:left="828" w:right="120" w:hanging="720"/>
        <w:jc w:val="both"/>
        <w:rPr>
          <w:rFonts w:ascii="Times New Roman" w:hAnsi="Times New Roman"/>
        </w:rPr>
      </w:pPr>
      <w:r>
        <w:rPr>
          <w:rFonts w:ascii="Times New Roman" w:hAnsi="Times New Roman"/>
        </w:rPr>
        <w:t>Hofmann, A., Bojórquez, J., &amp; Ramírez, Á. (2012). </w:t>
      </w:r>
      <w:r>
        <w:rPr>
          <w:rFonts w:ascii="Times New Roman" w:hAnsi="Times New Roman"/>
          <w:i/>
        </w:rPr>
        <w:t>La Promesa del Gobierno Abierto. </w:t>
      </w:r>
      <w:r>
        <w:rPr>
          <w:rFonts w:ascii="Times New Roman" w:hAnsi="Times New Roman"/>
        </w:rPr>
        <w:t>México:</w:t>
      </w:r>
      <w:r>
        <w:rPr>
          <w:rFonts w:ascii="Times New Roman" w:hAnsi="Times New Roman"/>
          <w:spacing w:val="-5"/>
        </w:rPr>
        <w:t> </w:t>
      </w:r>
      <w:r>
        <w:rPr>
          <w:rFonts w:ascii="Times New Roman" w:hAnsi="Times New Roman"/>
        </w:rPr>
        <w:t>Instituto</w:t>
      </w:r>
      <w:r>
        <w:rPr>
          <w:rFonts w:ascii="Times New Roman" w:hAnsi="Times New Roman"/>
          <w:spacing w:val="-5"/>
        </w:rPr>
        <w:t> </w:t>
      </w:r>
      <w:r>
        <w:rPr>
          <w:rFonts w:ascii="Times New Roman" w:hAnsi="Times New Roman"/>
        </w:rPr>
        <w:t>Tabasqueño</w:t>
      </w:r>
      <w:r>
        <w:rPr>
          <w:rFonts w:ascii="Times New Roman" w:hAnsi="Times New Roman"/>
          <w:spacing w:val="-5"/>
        </w:rPr>
        <w:t> </w:t>
      </w:r>
      <w:r>
        <w:rPr>
          <w:rFonts w:ascii="Times New Roman" w:hAnsi="Times New Roman"/>
        </w:rPr>
        <w:t>de</w:t>
      </w:r>
      <w:r>
        <w:rPr>
          <w:rFonts w:ascii="Times New Roman" w:hAnsi="Times New Roman"/>
          <w:spacing w:val="-6"/>
        </w:rPr>
        <w:t> </w:t>
      </w:r>
      <w:r>
        <w:rPr>
          <w:rFonts w:ascii="Times New Roman" w:hAnsi="Times New Roman"/>
        </w:rPr>
        <w:t>Transparencia</w:t>
      </w:r>
      <w:r>
        <w:rPr>
          <w:rFonts w:ascii="Times New Roman" w:hAnsi="Times New Roman"/>
          <w:spacing w:val="-3"/>
        </w:rPr>
        <w:t> </w:t>
      </w:r>
      <w:r>
        <w:rPr>
          <w:rFonts w:ascii="Times New Roman" w:hAnsi="Times New Roman"/>
        </w:rPr>
        <w:t>y</w:t>
      </w:r>
      <w:r>
        <w:rPr>
          <w:rFonts w:ascii="Times New Roman" w:hAnsi="Times New Roman"/>
          <w:spacing w:val="-7"/>
        </w:rPr>
        <w:t> </w:t>
      </w:r>
      <w:r>
        <w:rPr>
          <w:rFonts w:ascii="Times New Roman" w:hAnsi="Times New Roman"/>
        </w:rPr>
        <w:t>Acceso</w:t>
      </w:r>
      <w:r>
        <w:rPr>
          <w:rFonts w:ascii="Times New Roman" w:hAnsi="Times New Roman"/>
          <w:spacing w:val="-5"/>
        </w:rPr>
        <w:t> </w:t>
      </w:r>
      <w:r>
        <w:rPr>
          <w:rFonts w:ascii="Times New Roman" w:hAnsi="Times New Roman"/>
        </w:rPr>
        <w:t>a</w:t>
      </w:r>
      <w:r>
        <w:rPr>
          <w:rFonts w:ascii="Times New Roman" w:hAnsi="Times New Roman"/>
          <w:spacing w:val="-6"/>
        </w:rPr>
        <w:t> </w:t>
      </w:r>
      <w:r>
        <w:rPr>
          <w:rFonts w:ascii="Times New Roman" w:hAnsi="Times New Roman"/>
        </w:rPr>
        <w:t>la</w:t>
      </w:r>
      <w:r>
        <w:rPr>
          <w:rFonts w:ascii="Times New Roman" w:hAnsi="Times New Roman"/>
          <w:spacing w:val="-2"/>
        </w:rPr>
        <w:t> </w:t>
      </w:r>
      <w:r>
        <w:rPr>
          <w:rFonts w:ascii="Times New Roman" w:hAnsi="Times New Roman"/>
        </w:rPr>
        <w:t>Información</w:t>
      </w:r>
      <w:r>
        <w:rPr>
          <w:rFonts w:ascii="Times New Roman" w:hAnsi="Times New Roman"/>
          <w:spacing w:val="-4"/>
        </w:rPr>
        <w:t> </w:t>
      </w:r>
      <w:r>
        <w:rPr>
          <w:rFonts w:ascii="Times New Roman" w:hAnsi="Times New Roman"/>
        </w:rPr>
        <w:t>Pública</w:t>
      </w:r>
      <w:r>
        <w:rPr>
          <w:rFonts w:ascii="Times New Roman" w:hAnsi="Times New Roman"/>
          <w:spacing w:val="-6"/>
        </w:rPr>
        <w:t> </w:t>
      </w:r>
      <w:r>
        <w:rPr>
          <w:rFonts w:ascii="Times New Roman" w:hAnsi="Times New Roman"/>
        </w:rPr>
        <w:t>de Tabasco</w:t>
      </w:r>
      <w:r>
        <w:rPr>
          <w:rFonts w:ascii="Times New Roman" w:hAnsi="Times New Roman"/>
          <w:spacing w:val="-10"/>
        </w:rPr>
        <w:t> </w:t>
      </w:r>
      <w:r>
        <w:rPr>
          <w:rFonts w:ascii="Times New Roman" w:hAnsi="Times New Roman"/>
        </w:rPr>
        <w:t>(ITAIP)</w:t>
      </w:r>
      <w:r>
        <w:rPr>
          <w:rFonts w:ascii="Times New Roman" w:hAnsi="Times New Roman"/>
          <w:spacing w:val="-11"/>
        </w:rPr>
        <w:t> </w:t>
      </w:r>
      <w:r>
        <w:rPr>
          <w:rFonts w:ascii="Times New Roman" w:hAnsi="Times New Roman"/>
        </w:rPr>
        <w:t>–</w:t>
      </w:r>
      <w:r>
        <w:rPr>
          <w:rFonts w:ascii="Times New Roman" w:hAnsi="Times New Roman"/>
          <w:spacing w:val="-7"/>
        </w:rPr>
        <w:t> </w:t>
      </w:r>
      <w:r>
        <w:rPr>
          <w:rFonts w:ascii="Times New Roman" w:hAnsi="Times New Roman"/>
        </w:rPr>
        <w:t>Instituto</w:t>
      </w:r>
      <w:r>
        <w:rPr>
          <w:rFonts w:ascii="Times New Roman" w:hAnsi="Times New Roman"/>
          <w:spacing w:val="-12"/>
        </w:rPr>
        <w:t> </w:t>
      </w:r>
      <w:r>
        <w:rPr>
          <w:rFonts w:ascii="Times New Roman" w:hAnsi="Times New Roman"/>
        </w:rPr>
        <w:t>de</w:t>
      </w:r>
      <w:r>
        <w:rPr>
          <w:rFonts w:ascii="Times New Roman" w:hAnsi="Times New Roman"/>
          <w:spacing w:val="-13"/>
        </w:rPr>
        <w:t> </w:t>
      </w:r>
      <w:r>
        <w:rPr>
          <w:rFonts w:ascii="Times New Roman" w:hAnsi="Times New Roman"/>
        </w:rPr>
        <w:t>Acceso</w:t>
      </w:r>
      <w:r>
        <w:rPr>
          <w:rFonts w:ascii="Times New Roman" w:hAnsi="Times New Roman"/>
          <w:spacing w:val="-10"/>
        </w:rPr>
        <w:t> </w:t>
      </w:r>
      <w:r>
        <w:rPr>
          <w:rFonts w:ascii="Times New Roman" w:hAnsi="Times New Roman"/>
        </w:rPr>
        <w:t>a</w:t>
      </w:r>
      <w:r>
        <w:rPr>
          <w:rFonts w:ascii="Times New Roman" w:hAnsi="Times New Roman"/>
          <w:spacing w:val="-13"/>
        </w:rPr>
        <w:t> </w:t>
      </w:r>
      <w:r>
        <w:rPr>
          <w:rFonts w:ascii="Times New Roman" w:hAnsi="Times New Roman"/>
        </w:rPr>
        <w:t>la</w:t>
      </w:r>
      <w:r>
        <w:rPr>
          <w:rFonts w:ascii="Times New Roman" w:hAnsi="Times New Roman"/>
          <w:spacing w:val="-11"/>
        </w:rPr>
        <w:t> </w:t>
      </w:r>
      <w:r>
        <w:rPr>
          <w:rFonts w:ascii="Times New Roman" w:hAnsi="Times New Roman"/>
        </w:rPr>
        <w:t>Información</w:t>
      </w:r>
      <w:r>
        <w:rPr>
          <w:rFonts w:ascii="Times New Roman" w:hAnsi="Times New Roman"/>
          <w:spacing w:val="-12"/>
        </w:rPr>
        <w:t> </w:t>
      </w:r>
      <w:r>
        <w:rPr>
          <w:rFonts w:ascii="Times New Roman" w:hAnsi="Times New Roman"/>
        </w:rPr>
        <w:t>Pública</w:t>
      </w:r>
      <w:r>
        <w:rPr>
          <w:rFonts w:ascii="Times New Roman" w:hAnsi="Times New Roman"/>
          <w:spacing w:val="-8"/>
        </w:rPr>
        <w:t> </w:t>
      </w:r>
      <w:r>
        <w:rPr>
          <w:rFonts w:ascii="Times New Roman" w:hAnsi="Times New Roman"/>
        </w:rPr>
        <w:t>y</w:t>
      </w:r>
      <w:r>
        <w:rPr>
          <w:rFonts w:ascii="Times New Roman" w:hAnsi="Times New Roman"/>
          <w:spacing w:val="-16"/>
        </w:rPr>
        <w:t> </w:t>
      </w:r>
      <w:r>
        <w:rPr>
          <w:rFonts w:ascii="Times New Roman" w:hAnsi="Times New Roman"/>
        </w:rPr>
        <w:t>Protección</w:t>
      </w:r>
      <w:r>
        <w:rPr>
          <w:rFonts w:ascii="Times New Roman" w:hAnsi="Times New Roman"/>
          <w:spacing w:val="-12"/>
        </w:rPr>
        <w:t> </w:t>
      </w:r>
      <w:r>
        <w:rPr>
          <w:rFonts w:ascii="Times New Roman" w:hAnsi="Times New Roman"/>
        </w:rPr>
        <w:t>de</w:t>
      </w:r>
      <w:r>
        <w:rPr>
          <w:rFonts w:ascii="Times New Roman" w:hAnsi="Times New Roman"/>
          <w:spacing w:val="-13"/>
        </w:rPr>
        <w:t> </w:t>
      </w:r>
      <w:r>
        <w:rPr>
          <w:rFonts w:ascii="Times New Roman" w:hAnsi="Times New Roman"/>
        </w:rPr>
        <w:t>Datos Personales del Distrito Federal</w:t>
      </w:r>
      <w:r>
        <w:rPr>
          <w:rFonts w:ascii="Times New Roman" w:hAnsi="Times New Roman"/>
          <w:spacing w:val="-12"/>
        </w:rPr>
        <w:t> </w:t>
      </w:r>
      <w:r>
        <w:rPr>
          <w:rFonts w:ascii="Times New Roman" w:hAnsi="Times New Roman"/>
        </w:rPr>
        <w:t>(INFODF).</w:t>
      </w:r>
    </w:p>
    <w:p>
      <w:pPr>
        <w:spacing w:before="0"/>
        <w:ind w:left="828" w:right="118" w:hanging="720"/>
        <w:jc w:val="both"/>
        <w:rPr>
          <w:rFonts w:ascii="Times New Roman"/>
          <w:sz w:val="24"/>
        </w:rPr>
      </w:pPr>
      <w:r>
        <w:rPr>
          <w:rFonts w:ascii="Times New Roman"/>
          <w:sz w:val="24"/>
        </w:rPr>
        <w:t>Hood,</w:t>
      </w:r>
      <w:r>
        <w:rPr>
          <w:rFonts w:ascii="Times New Roman"/>
          <w:spacing w:val="-16"/>
          <w:sz w:val="24"/>
        </w:rPr>
        <w:t> </w:t>
      </w:r>
      <w:r>
        <w:rPr>
          <w:rFonts w:ascii="Times New Roman"/>
          <w:sz w:val="24"/>
        </w:rPr>
        <w:t>C.,</w:t>
      </w:r>
      <w:r>
        <w:rPr>
          <w:rFonts w:ascii="Times New Roman"/>
          <w:spacing w:val="-16"/>
          <w:sz w:val="24"/>
        </w:rPr>
        <w:t> </w:t>
      </w:r>
      <w:r>
        <w:rPr>
          <w:rFonts w:ascii="Times New Roman"/>
          <w:sz w:val="24"/>
        </w:rPr>
        <w:t>&amp;</w:t>
      </w:r>
      <w:r>
        <w:rPr>
          <w:rFonts w:ascii="Times New Roman"/>
          <w:spacing w:val="-18"/>
          <w:sz w:val="24"/>
        </w:rPr>
        <w:t> </w:t>
      </w:r>
      <w:r>
        <w:rPr>
          <w:rFonts w:ascii="Times New Roman"/>
          <w:sz w:val="24"/>
        </w:rPr>
        <w:t>Heald</w:t>
      </w:r>
      <w:r>
        <w:rPr>
          <w:rFonts w:ascii="Times New Roman"/>
          <w:spacing w:val="-15"/>
          <w:sz w:val="24"/>
        </w:rPr>
        <w:t> </w:t>
      </w:r>
      <w:r>
        <w:rPr>
          <w:rFonts w:ascii="Times New Roman"/>
          <w:sz w:val="24"/>
        </w:rPr>
        <w:t>,</w:t>
      </w:r>
      <w:r>
        <w:rPr>
          <w:rFonts w:ascii="Times New Roman"/>
          <w:spacing w:val="-16"/>
          <w:sz w:val="24"/>
        </w:rPr>
        <w:t> </w:t>
      </w:r>
      <w:r>
        <w:rPr>
          <w:rFonts w:ascii="Times New Roman"/>
          <w:sz w:val="24"/>
        </w:rPr>
        <w:t>D.</w:t>
      </w:r>
      <w:r>
        <w:rPr>
          <w:rFonts w:ascii="Times New Roman"/>
          <w:spacing w:val="-16"/>
          <w:sz w:val="24"/>
        </w:rPr>
        <w:t> </w:t>
      </w:r>
      <w:r>
        <w:rPr>
          <w:rFonts w:ascii="Times New Roman"/>
          <w:sz w:val="24"/>
        </w:rPr>
        <w:t>(2006).</w:t>
      </w:r>
      <w:r>
        <w:rPr>
          <w:rFonts w:ascii="Times New Roman"/>
          <w:spacing w:val="-15"/>
          <w:sz w:val="24"/>
        </w:rPr>
        <w:t> </w:t>
      </w:r>
      <w:r>
        <w:rPr>
          <w:rFonts w:ascii="Times New Roman"/>
          <w:i/>
          <w:sz w:val="24"/>
        </w:rPr>
        <w:t>Transparency:</w:t>
      </w:r>
      <w:r>
        <w:rPr>
          <w:rFonts w:ascii="Times New Roman"/>
          <w:i/>
          <w:spacing w:val="-17"/>
          <w:sz w:val="24"/>
        </w:rPr>
        <w:t> </w:t>
      </w:r>
      <w:r>
        <w:rPr>
          <w:rFonts w:ascii="Times New Roman"/>
          <w:i/>
          <w:sz w:val="24"/>
        </w:rPr>
        <w:t>The</w:t>
      </w:r>
      <w:r>
        <w:rPr>
          <w:rFonts w:ascii="Times New Roman"/>
          <w:i/>
          <w:spacing w:val="-14"/>
          <w:sz w:val="24"/>
        </w:rPr>
        <w:t> </w:t>
      </w:r>
      <w:r>
        <w:rPr>
          <w:rFonts w:ascii="Times New Roman"/>
          <w:i/>
          <w:sz w:val="24"/>
        </w:rPr>
        <w:t>Key</w:t>
      </w:r>
      <w:r>
        <w:rPr>
          <w:rFonts w:ascii="Times New Roman"/>
          <w:i/>
          <w:spacing w:val="-17"/>
          <w:sz w:val="24"/>
        </w:rPr>
        <w:t> </w:t>
      </w:r>
      <w:r>
        <w:rPr>
          <w:rFonts w:ascii="Times New Roman"/>
          <w:i/>
          <w:sz w:val="24"/>
        </w:rPr>
        <w:t>to</w:t>
      </w:r>
      <w:r>
        <w:rPr>
          <w:rFonts w:ascii="Times New Roman"/>
          <w:i/>
          <w:spacing w:val="-15"/>
          <w:sz w:val="24"/>
        </w:rPr>
        <w:t> </w:t>
      </w:r>
      <w:r>
        <w:rPr>
          <w:rFonts w:ascii="Times New Roman"/>
          <w:i/>
          <w:sz w:val="24"/>
        </w:rPr>
        <w:t>Better</w:t>
      </w:r>
      <w:r>
        <w:rPr>
          <w:rFonts w:ascii="Times New Roman"/>
          <w:i/>
          <w:spacing w:val="-16"/>
          <w:sz w:val="24"/>
        </w:rPr>
        <w:t> </w:t>
      </w:r>
      <w:r>
        <w:rPr>
          <w:rFonts w:ascii="Times New Roman"/>
          <w:i/>
          <w:sz w:val="24"/>
        </w:rPr>
        <w:t>Governance?</w:t>
      </w:r>
      <w:r>
        <w:rPr>
          <w:rFonts w:ascii="Times New Roman"/>
          <w:i/>
          <w:spacing w:val="-14"/>
          <w:sz w:val="24"/>
        </w:rPr>
        <w:t> </w:t>
      </w:r>
      <w:r>
        <w:rPr>
          <w:rFonts w:ascii="Times New Roman"/>
          <w:sz w:val="24"/>
        </w:rPr>
        <w:t>Oxford:</w:t>
      </w:r>
      <w:r>
        <w:rPr>
          <w:rFonts w:ascii="Times New Roman"/>
          <w:spacing w:val="-15"/>
          <w:sz w:val="24"/>
        </w:rPr>
        <w:t> </w:t>
      </w:r>
      <w:r>
        <w:rPr>
          <w:rFonts w:ascii="Times New Roman"/>
          <w:sz w:val="24"/>
        </w:rPr>
        <w:t>Oxford University</w:t>
      </w:r>
      <w:r>
        <w:rPr>
          <w:rFonts w:ascii="Times New Roman"/>
          <w:spacing w:val="-5"/>
          <w:sz w:val="24"/>
        </w:rPr>
        <w:t> </w:t>
      </w:r>
      <w:r>
        <w:rPr>
          <w:rFonts w:ascii="Times New Roman"/>
          <w:sz w:val="24"/>
        </w:rPr>
        <w:t>Press.</w:t>
      </w:r>
    </w:p>
    <w:p>
      <w:pPr>
        <w:pStyle w:val="BodyText"/>
        <w:tabs>
          <w:tab w:pos="1492" w:val="left" w:leader="none"/>
          <w:tab w:pos="2567" w:val="left" w:leader="none"/>
          <w:tab w:pos="3546" w:val="left" w:leader="none"/>
          <w:tab w:pos="4808" w:val="left" w:leader="none"/>
          <w:tab w:pos="5787" w:val="left" w:leader="none"/>
          <w:tab w:pos="7162" w:val="left" w:leader="none"/>
          <w:tab w:pos="8810" w:val="left" w:leader="none"/>
        </w:tabs>
        <w:ind w:left="828" w:right="120" w:hanging="720"/>
        <w:jc w:val="both"/>
        <w:rPr>
          <w:rFonts w:ascii="Times New Roman"/>
        </w:rPr>
      </w:pPr>
      <w:r>
        <w:rPr>
          <w:rFonts w:ascii="Times New Roman"/>
          <w:i/>
        </w:rPr>
        <w:t>IEEM</w:t>
      </w:r>
      <w:r>
        <w:rPr>
          <w:rFonts w:ascii="Times New Roman"/>
        </w:rPr>
        <w:t>.</w:t>
        <w:tab/>
        <w:tab/>
        <w:t>(20</w:t>
        <w:tab/>
        <w:t>de</w:t>
        <w:tab/>
        <w:t>Abril</w:t>
        <w:tab/>
        <w:t>de</w:t>
        <w:tab/>
        <w:t>2014).</w:t>
        <w:tab/>
        <w:t> Obtenido</w:t>
        <w:tab/>
        <w:t>de</w:t>
      </w:r>
      <w:r>
        <w:rPr>
          <w:rFonts w:ascii="Times New Roman"/>
          <w:spacing w:val="-8"/>
        </w:rPr>
        <w:t> </w:t>
      </w:r>
      <w:hyperlink r:id="rId167">
        <w:r>
          <w:rPr>
            <w:rFonts w:ascii="Times New Roman"/>
          </w:rPr>
          <w:t>http://www.ieem.org.mx/memoelec/estadistico/indexesta.html</w:t>
        </w:r>
      </w:hyperlink>
    </w:p>
    <w:p>
      <w:pPr>
        <w:pStyle w:val="BodyText"/>
        <w:tabs>
          <w:tab w:pos="1353" w:val="left" w:leader="none"/>
          <w:tab w:pos="2407" w:val="left" w:leader="none"/>
          <w:tab w:pos="3366" w:val="left" w:leader="none"/>
          <w:tab w:pos="4873" w:val="left" w:leader="none"/>
          <w:tab w:pos="5833" w:val="left" w:leader="none"/>
          <w:tab w:pos="7186" w:val="left" w:leader="none"/>
          <w:tab w:pos="8813" w:val="left" w:leader="none"/>
        </w:tabs>
        <w:ind w:left="828" w:right="117" w:hanging="720"/>
        <w:jc w:val="both"/>
        <w:rPr>
          <w:rFonts w:ascii="Times New Roman"/>
        </w:rPr>
      </w:pPr>
      <w:r>
        <w:rPr>
          <w:rFonts w:ascii="Times New Roman"/>
          <w:i/>
        </w:rPr>
        <w:t>IFAI</w:t>
      </w:r>
      <w:r>
        <w:rPr>
          <w:rFonts w:ascii="Times New Roman"/>
        </w:rPr>
        <w:t>.</w:t>
        <w:tab/>
        <w:tab/>
        <w:t>(16</w:t>
        <w:tab/>
        <w:t>de</w:t>
        <w:tab/>
        <w:t>Octubre</w:t>
        <w:tab/>
        <w:t>de</w:t>
        <w:tab/>
        <w:t>2014).</w:t>
        <w:tab/>
        <w:t> Obtenido</w:t>
        <w:tab/>
        <w:t>de </w:t>
      </w:r>
      <w:hyperlink r:id="rId168">
        <w:r>
          <w:rPr>
            <w:rFonts w:ascii="Times New Roman"/>
          </w:rPr>
          <w:t>http://inicio.ifai.org.mx/_catalogs/masterpage/AIP-Estadisticas.aspx</w:t>
        </w:r>
      </w:hyperlink>
    </w:p>
    <w:p>
      <w:pPr>
        <w:spacing w:before="0"/>
        <w:ind w:left="828" w:right="119" w:hanging="720"/>
        <w:jc w:val="both"/>
        <w:rPr>
          <w:rFonts w:ascii="Times New Roman" w:hAnsi="Times New Roman"/>
          <w:sz w:val="24"/>
        </w:rPr>
      </w:pPr>
      <w:r>
        <w:rPr>
          <w:rFonts w:ascii="Times New Roman" w:hAnsi="Times New Roman"/>
          <w:sz w:val="24"/>
        </w:rPr>
        <w:t>IFAI. (10 de Septiembre de 2014). </w:t>
      </w:r>
      <w:r>
        <w:rPr>
          <w:rFonts w:ascii="Times New Roman" w:hAnsi="Times New Roman"/>
          <w:i/>
          <w:sz w:val="24"/>
        </w:rPr>
        <w:t>ACUERDO por el que el Pleno del Instituto Federal de </w:t>
      </w:r>
      <w:r>
        <w:rPr>
          <w:rFonts w:ascii="Times New Roman" w:hAnsi="Times New Roman"/>
          <w:i/>
          <w:sz w:val="24"/>
        </w:rPr>
        <w:t>Acceso a la Información y Protección de Datos, aprueba la creación de las Comisiones Permanentes</w:t>
      </w:r>
      <w:r>
        <w:rPr>
          <w:rFonts w:ascii="Times New Roman" w:hAnsi="Times New Roman"/>
          <w:sz w:val="24"/>
        </w:rPr>
        <w:t>. Obtenido de Diario Oficial de la Federación.</w:t>
      </w:r>
    </w:p>
    <w:p>
      <w:pPr>
        <w:spacing w:before="0"/>
        <w:ind w:left="828" w:right="119" w:hanging="720"/>
        <w:jc w:val="both"/>
        <w:rPr>
          <w:rFonts w:ascii="Times New Roman"/>
          <w:sz w:val="24"/>
        </w:rPr>
      </w:pPr>
      <w:r>
        <w:rPr>
          <w:rFonts w:ascii="Times New Roman"/>
          <w:sz w:val="24"/>
        </w:rPr>
        <w:t>IFAI. (2014). </w:t>
      </w:r>
      <w:r>
        <w:rPr>
          <w:rFonts w:ascii="Times New Roman"/>
          <w:i/>
          <w:sz w:val="24"/>
        </w:rPr>
        <w:t>Comunicado del 08 de abril de 2014. </w:t>
      </w:r>
      <w:r>
        <w:rPr>
          <w:rFonts w:ascii="Times New Roman"/>
          <w:sz w:val="24"/>
        </w:rPr>
        <w:t>Recuperado el 07 de Mayo de 2014, de </w:t>
      </w:r>
      <w:hyperlink r:id="rId169">
        <w:r>
          <w:rPr>
            <w:rFonts w:ascii="Times New Roman"/>
            <w:sz w:val="24"/>
          </w:rPr>
          <w:t>http://inicio.ifai.org.mx/Comunicados/Comunicado%20IFAI-019-14.pdf</w:t>
        </w:r>
      </w:hyperlink>
    </w:p>
    <w:p>
      <w:pPr>
        <w:spacing w:before="0"/>
        <w:ind w:left="828" w:right="123" w:hanging="720"/>
        <w:jc w:val="both"/>
        <w:rPr>
          <w:rFonts w:ascii="Times New Roman"/>
          <w:sz w:val="24"/>
        </w:rPr>
      </w:pPr>
      <w:r>
        <w:rPr>
          <w:rFonts w:ascii="Times New Roman"/>
          <w:i/>
          <w:sz w:val="24"/>
        </w:rPr>
        <w:t>Impacto Legislativo</w:t>
      </w:r>
      <w:r>
        <w:rPr>
          <w:rFonts w:ascii="Times New Roman"/>
          <w:sz w:val="24"/>
        </w:rPr>
        <w:t>. (27 de Noviembre de 2015). Obtenido de </w:t>
      </w:r>
      <w:hyperlink r:id="rId170">
        <w:r>
          <w:rPr>
            <w:rFonts w:ascii="Times New Roman"/>
            <w:sz w:val="24"/>
          </w:rPr>
          <w:t>www.impactolegislativo.org.mx</w:t>
        </w:r>
      </w:hyperlink>
    </w:p>
    <w:p>
      <w:pPr>
        <w:pStyle w:val="BodyText"/>
        <w:tabs>
          <w:tab w:pos="1245" w:val="left" w:leader="none"/>
          <w:tab w:pos="2013" w:val="left" w:leader="none"/>
          <w:tab w:pos="3646" w:val="left" w:leader="none"/>
          <w:tab w:pos="4414" w:val="left" w:leader="none"/>
          <w:tab w:pos="6137" w:val="left" w:leader="none"/>
          <w:tab w:pos="7378" w:val="left" w:leader="none"/>
          <w:tab w:pos="8810" w:val="left" w:leader="none"/>
        </w:tabs>
        <w:ind w:left="828" w:right="122" w:hanging="720"/>
        <w:rPr>
          <w:rFonts w:ascii="Times New Roman" w:hAnsi="Times New Roman"/>
        </w:rPr>
      </w:pPr>
      <w:r>
        <w:rPr>
          <w:rFonts w:ascii="Times New Roman" w:hAnsi="Times New Roman"/>
          <w:i/>
        </w:rPr>
        <w:t>Índice</w:t>
        <w:tab/>
        <w:tab/>
        <w:t>de</w:t>
        <w:tab/>
        <w:t>Percepción</w:t>
        <w:tab/>
        <w:t>de</w:t>
        <w:tab/>
        <w:t>Corrupción</w:t>
      </w:r>
      <w:r>
        <w:rPr>
          <w:rFonts w:ascii="Times New Roman" w:hAnsi="Times New Roman"/>
        </w:rPr>
        <w:t>.</w:t>
        <w:tab/>
        <w:t> (2012).</w:t>
        <w:tab/>
        <w:t>Obtenido</w:t>
        <w:tab/>
        <w:t>de </w:t>
      </w:r>
      <w:hyperlink r:id="rId171">
        <w:r>
          <w:rPr>
            <w:rFonts w:ascii="Times New Roman" w:hAnsi="Times New Roman"/>
          </w:rPr>
          <w:t>http://www.transparency.org/news/pressrelease/20121205_comunicado_de_prensa_i</w:t>
        </w:r>
      </w:hyperlink>
      <w:r>
        <w:rPr>
          <w:rFonts w:ascii="Times New Roman" w:hAnsi="Times New Roman"/>
        </w:rPr>
        <w:t> ndice_de_percepcion_de_la_corrupcion_2012</w:t>
      </w:r>
    </w:p>
    <w:p>
      <w:pPr>
        <w:spacing w:before="0"/>
        <w:ind w:left="828" w:right="120" w:hanging="720"/>
        <w:jc w:val="both"/>
        <w:rPr>
          <w:rFonts w:ascii="Times New Roman" w:hAnsi="Times New Roman"/>
          <w:sz w:val="24"/>
        </w:rPr>
      </w:pPr>
      <w:r>
        <w:rPr>
          <w:rFonts w:ascii="Times New Roman" w:hAnsi="Times New Roman"/>
          <w:i/>
          <w:sz w:val="24"/>
        </w:rPr>
        <w:t>Índice Nacional de Corrupción y Buen Gobierno</w:t>
      </w:r>
      <w:r>
        <w:rPr>
          <w:rFonts w:ascii="Times New Roman" w:hAnsi="Times New Roman"/>
          <w:sz w:val="24"/>
        </w:rPr>
        <w:t>. (2010). Obtenido de </w:t>
      </w:r>
      <w:hyperlink r:id="rId172">
        <w:r>
          <w:rPr>
            <w:rFonts w:ascii="Times New Roman" w:hAnsi="Times New Roman"/>
            <w:sz w:val="24"/>
          </w:rPr>
          <w:t>http://www.tm.org.mx/indice-nacional-de-corrupcion-y-buen-gobierno-incbg/</w:t>
        </w:r>
      </w:hyperlink>
    </w:p>
    <w:p>
      <w:pPr>
        <w:pStyle w:val="BodyText"/>
        <w:ind w:left="108" w:right="6"/>
        <w:rPr>
          <w:rFonts w:ascii="Times New Roman"/>
        </w:rPr>
      </w:pPr>
      <w:r>
        <w:rPr>
          <w:rFonts w:ascii="Times New Roman"/>
          <w:i/>
        </w:rPr>
        <w:t>INEGI</w:t>
      </w:r>
      <w:r>
        <w:rPr>
          <w:rFonts w:ascii="Times New Roman"/>
        </w:rPr>
        <w:t>. (2014). Obte</w:t>
      </w:r>
      <w:hyperlink r:id="rId173">
        <w:r>
          <w:rPr>
            <w:rFonts w:ascii="Times New Roman"/>
          </w:rPr>
          <w:t>nido de http://www.inegi.org.mx/</w:t>
        </w:r>
      </w:hyperlink>
    </w:p>
    <w:p>
      <w:pPr>
        <w:pStyle w:val="BodyText"/>
        <w:ind w:left="108" w:right="6"/>
        <w:rPr>
          <w:rFonts w:ascii="Times New Roman"/>
        </w:rPr>
      </w:pPr>
      <w:r>
        <w:rPr>
          <w:rFonts w:ascii="Times New Roman"/>
          <w:i/>
        </w:rPr>
        <w:t>INFOEM</w:t>
      </w:r>
      <w:r>
        <w:rPr>
          <w:rFonts w:ascii="Times New Roman"/>
        </w:rPr>
        <w:t>. (2014). Obtenido de </w:t>
      </w:r>
      <w:hyperlink r:id="rId65">
        <w:r>
          <w:rPr>
            <w:rFonts w:ascii="Times New Roman"/>
          </w:rPr>
          <w:t>http://www.infoem.org.mx/</w:t>
        </w:r>
      </w:hyperlink>
    </w:p>
    <w:p>
      <w:pPr>
        <w:spacing w:after="0"/>
        <w:rPr>
          <w:rFonts w:ascii="Times New Roman"/>
        </w:rPr>
        <w:sectPr>
          <w:pgSz w:w="12240" w:h="15840"/>
          <w:pgMar w:header="0" w:footer="975" w:top="1360" w:bottom="1220" w:left="1500" w:right="1580"/>
        </w:sectPr>
      </w:pPr>
    </w:p>
    <w:p>
      <w:pPr>
        <w:spacing w:before="48"/>
        <w:ind w:left="828" w:right="118" w:hanging="720"/>
        <w:jc w:val="both"/>
        <w:rPr>
          <w:rFonts w:ascii="Times New Roman"/>
          <w:sz w:val="24"/>
        </w:rPr>
      </w:pPr>
      <w:r>
        <w:rPr>
          <w:rFonts w:ascii="Times New Roman"/>
          <w:i/>
          <w:sz w:val="24"/>
        </w:rPr>
        <w:t>Instituto Internacional de Ciencias Administrativas</w:t>
      </w:r>
      <w:r>
        <w:rPr>
          <w:rFonts w:ascii="Times New Roman"/>
          <w:sz w:val="24"/>
        </w:rPr>
        <w:t>. (Octubre de 2014). Obtenido de </w:t>
      </w:r>
      <w:hyperlink r:id="rId174">
        <w:r>
          <w:rPr>
            <w:rFonts w:ascii="Times New Roman"/>
            <w:sz w:val="24"/>
          </w:rPr>
          <w:t>http://www.iias-iisa.org/</w:t>
        </w:r>
      </w:hyperlink>
    </w:p>
    <w:p>
      <w:pPr>
        <w:spacing w:before="0"/>
        <w:ind w:left="828" w:right="118" w:hanging="720"/>
        <w:jc w:val="both"/>
        <w:rPr>
          <w:rFonts w:ascii="Times New Roman"/>
          <w:sz w:val="24"/>
        </w:rPr>
      </w:pPr>
      <w:r>
        <w:rPr>
          <w:rFonts w:ascii="Times New Roman"/>
          <w:i/>
          <w:sz w:val="24"/>
        </w:rPr>
        <w:t>Instituto Mexicano para la Competitividad A.C. </w:t>
      </w:r>
      <w:r>
        <w:rPr>
          <w:rFonts w:ascii="Times New Roman"/>
          <w:sz w:val="24"/>
        </w:rPr>
        <w:t>(Noviembre de 2015). Obtenido de </w:t>
      </w:r>
      <w:hyperlink r:id="rId175">
        <w:r>
          <w:rPr>
            <w:rFonts w:ascii="Times New Roman"/>
            <w:sz w:val="24"/>
          </w:rPr>
          <w:t>www.imco.org.mx</w:t>
        </w:r>
      </w:hyperlink>
    </w:p>
    <w:p>
      <w:pPr>
        <w:spacing w:before="0"/>
        <w:ind w:left="828" w:right="120" w:hanging="720"/>
        <w:jc w:val="both"/>
        <w:rPr>
          <w:rFonts w:ascii="Times New Roman"/>
          <w:sz w:val="24"/>
        </w:rPr>
      </w:pPr>
      <w:r>
        <w:rPr>
          <w:rFonts w:ascii="Times New Roman"/>
          <w:i/>
          <w:sz w:val="24"/>
        </w:rPr>
        <w:t>Instituto Nacional para el Federalismo y el Desarrollo Municipal INAFED</w:t>
      </w:r>
      <w:r>
        <w:rPr>
          <w:rFonts w:ascii="Times New Roman"/>
          <w:sz w:val="24"/>
        </w:rPr>
        <w:t>. (Noviembre de 2014). Obte</w:t>
      </w:r>
      <w:hyperlink r:id="rId176">
        <w:r>
          <w:rPr>
            <w:rFonts w:ascii="Times New Roman"/>
            <w:sz w:val="24"/>
          </w:rPr>
          <w:t>nido de http://www.inafed.gob.mx/</w:t>
        </w:r>
      </w:hyperlink>
    </w:p>
    <w:p>
      <w:pPr>
        <w:pStyle w:val="BodyText"/>
        <w:ind w:left="828" w:right="116" w:hanging="720"/>
        <w:jc w:val="both"/>
        <w:rPr>
          <w:rFonts w:ascii="Times New Roman" w:hAnsi="Times New Roman"/>
        </w:rPr>
      </w:pPr>
      <w:r>
        <w:rPr>
          <w:rFonts w:ascii="Times New Roman" w:hAnsi="Times New Roman"/>
        </w:rPr>
        <w:t>Insulza,</w:t>
      </w:r>
      <w:r>
        <w:rPr>
          <w:rFonts w:ascii="Times New Roman" w:hAnsi="Times New Roman"/>
          <w:spacing w:val="-9"/>
        </w:rPr>
        <w:t> </w:t>
      </w:r>
      <w:r>
        <w:rPr>
          <w:rFonts w:ascii="Times New Roman" w:hAnsi="Times New Roman"/>
        </w:rPr>
        <w:t>J.</w:t>
      </w:r>
      <w:r>
        <w:rPr>
          <w:rFonts w:ascii="Times New Roman" w:hAnsi="Times New Roman"/>
          <w:spacing w:val="-9"/>
        </w:rPr>
        <w:t> </w:t>
      </w:r>
      <w:r>
        <w:rPr>
          <w:rFonts w:ascii="Times New Roman" w:hAnsi="Times New Roman"/>
        </w:rPr>
        <w:t>M.</w:t>
      </w:r>
      <w:r>
        <w:rPr>
          <w:rFonts w:ascii="Times New Roman" w:hAnsi="Times New Roman"/>
          <w:spacing w:val="-8"/>
        </w:rPr>
        <w:t> </w:t>
      </w:r>
      <w:r>
        <w:rPr>
          <w:rFonts w:ascii="Times New Roman" w:hAnsi="Times New Roman"/>
        </w:rPr>
        <w:t>(2012).</w:t>
      </w:r>
      <w:r>
        <w:rPr>
          <w:rFonts w:ascii="Times New Roman" w:hAnsi="Times New Roman"/>
          <w:spacing w:val="-7"/>
        </w:rPr>
        <w:t> </w:t>
      </w:r>
      <w:r>
        <w:rPr>
          <w:rFonts w:ascii="Times New Roman" w:hAnsi="Times New Roman"/>
        </w:rPr>
        <w:t>Prólogo.</w:t>
      </w:r>
      <w:r>
        <w:rPr>
          <w:rFonts w:ascii="Times New Roman" w:hAnsi="Times New Roman"/>
          <w:spacing w:val="-9"/>
        </w:rPr>
        <w:t> </w:t>
      </w:r>
      <w:r>
        <w:rPr>
          <w:rFonts w:ascii="Times New Roman" w:hAnsi="Times New Roman"/>
        </w:rPr>
        <w:t>En</w:t>
      </w:r>
      <w:r>
        <w:rPr>
          <w:rFonts w:ascii="Times New Roman" w:hAnsi="Times New Roman"/>
          <w:spacing w:val="-7"/>
        </w:rPr>
        <w:t> </w:t>
      </w:r>
      <w:r>
        <w:rPr>
          <w:rFonts w:ascii="Times New Roman" w:hAnsi="Times New Roman"/>
        </w:rPr>
        <w:t>A.</w:t>
      </w:r>
      <w:r>
        <w:rPr>
          <w:rFonts w:ascii="Times New Roman" w:hAnsi="Times New Roman"/>
          <w:spacing w:val="-9"/>
        </w:rPr>
        <w:t> </w:t>
      </w:r>
      <w:r>
        <w:rPr>
          <w:rFonts w:ascii="Times New Roman" w:hAnsi="Times New Roman"/>
        </w:rPr>
        <w:t>Hofmann,</w:t>
      </w:r>
      <w:r>
        <w:rPr>
          <w:rFonts w:ascii="Times New Roman" w:hAnsi="Times New Roman"/>
          <w:spacing w:val="-6"/>
        </w:rPr>
        <w:t> </w:t>
      </w:r>
      <w:r>
        <w:rPr>
          <w:rFonts w:ascii="Times New Roman" w:hAnsi="Times New Roman"/>
        </w:rPr>
        <w:t>Á.</w:t>
      </w:r>
      <w:r>
        <w:rPr>
          <w:rFonts w:ascii="Times New Roman" w:hAnsi="Times New Roman"/>
          <w:spacing w:val="-7"/>
        </w:rPr>
        <w:t> </w:t>
      </w:r>
      <w:r>
        <w:rPr>
          <w:rFonts w:ascii="Times New Roman" w:hAnsi="Times New Roman"/>
        </w:rPr>
        <w:t>Ramírez</w:t>
      </w:r>
      <w:r>
        <w:rPr>
          <w:rFonts w:ascii="Times New Roman" w:hAnsi="Times New Roman"/>
          <w:spacing w:val="-7"/>
        </w:rPr>
        <w:t> </w:t>
      </w:r>
      <w:r>
        <w:rPr>
          <w:rFonts w:ascii="Times New Roman" w:hAnsi="Times New Roman"/>
        </w:rPr>
        <w:t>,</w:t>
      </w:r>
      <w:r>
        <w:rPr>
          <w:rFonts w:ascii="Times New Roman" w:hAnsi="Times New Roman"/>
          <w:spacing w:val="-9"/>
        </w:rPr>
        <w:t> </w:t>
      </w:r>
      <w:r>
        <w:rPr>
          <w:rFonts w:ascii="Times New Roman" w:hAnsi="Times New Roman"/>
        </w:rPr>
        <w:t>&amp;</w:t>
      </w:r>
      <w:r>
        <w:rPr>
          <w:rFonts w:ascii="Times New Roman" w:hAnsi="Times New Roman"/>
          <w:spacing w:val="-8"/>
        </w:rPr>
        <w:t> </w:t>
      </w:r>
      <w:r>
        <w:rPr>
          <w:rFonts w:ascii="Times New Roman" w:hAnsi="Times New Roman"/>
        </w:rPr>
        <w:t>J.</w:t>
      </w:r>
      <w:r>
        <w:rPr>
          <w:rFonts w:ascii="Times New Roman" w:hAnsi="Times New Roman"/>
          <w:spacing w:val="-9"/>
        </w:rPr>
        <w:t> </w:t>
      </w:r>
      <w:r>
        <w:rPr>
          <w:rFonts w:ascii="Times New Roman" w:hAnsi="Times New Roman"/>
        </w:rPr>
        <w:t>Bojórquez,</w:t>
      </w:r>
      <w:r>
        <w:rPr>
          <w:rFonts w:ascii="Times New Roman" w:hAnsi="Times New Roman"/>
          <w:spacing w:val="-5"/>
        </w:rPr>
        <w:t> </w:t>
      </w:r>
      <w:r>
        <w:rPr>
          <w:rFonts w:ascii="Times New Roman" w:hAnsi="Times New Roman"/>
          <w:i/>
        </w:rPr>
        <w:t>La</w:t>
      </w:r>
      <w:r>
        <w:rPr>
          <w:rFonts w:ascii="Times New Roman" w:hAnsi="Times New Roman"/>
          <w:i/>
          <w:spacing w:val="-9"/>
        </w:rPr>
        <w:t> </w:t>
      </w:r>
      <w:r>
        <w:rPr>
          <w:rFonts w:ascii="Times New Roman" w:hAnsi="Times New Roman"/>
          <w:i/>
        </w:rPr>
        <w:t>Promesa</w:t>
      </w:r>
      <w:r>
        <w:rPr>
          <w:rFonts w:ascii="Times New Roman" w:hAnsi="Times New Roman"/>
          <w:i/>
          <w:spacing w:val="-8"/>
        </w:rPr>
        <w:t> </w:t>
      </w:r>
      <w:r>
        <w:rPr>
          <w:rFonts w:ascii="Times New Roman" w:hAnsi="Times New Roman"/>
          <w:i/>
        </w:rPr>
        <w:t>del </w:t>
      </w:r>
      <w:r>
        <w:rPr>
          <w:rFonts w:ascii="Times New Roman" w:hAnsi="Times New Roman"/>
          <w:i/>
        </w:rPr>
        <w:t>Gobierno Abierto. </w:t>
      </w:r>
      <w:r>
        <w:rPr>
          <w:rFonts w:ascii="Times New Roman" w:hAnsi="Times New Roman"/>
        </w:rPr>
        <w:t>México: Instituto Tabasqueño de Transparencia y Acceso a la Información Pública de Tabasco (ITAIP) – Instituto de Acceso a la Información Pública y Protección de Datos Personales del Distrito Federal</w:t>
      </w:r>
      <w:r>
        <w:rPr>
          <w:rFonts w:ascii="Times New Roman" w:hAnsi="Times New Roman"/>
          <w:spacing w:val="-22"/>
        </w:rPr>
        <w:t> </w:t>
      </w:r>
      <w:r>
        <w:rPr>
          <w:rFonts w:ascii="Times New Roman" w:hAnsi="Times New Roman"/>
        </w:rPr>
        <w:t>(INFODF).</w:t>
      </w:r>
    </w:p>
    <w:p>
      <w:pPr>
        <w:tabs>
          <w:tab w:pos="2940" w:val="left" w:leader="none"/>
          <w:tab w:pos="5202" w:val="left" w:leader="none"/>
          <w:tab w:pos="6419" w:val="left" w:leader="none"/>
          <w:tab w:pos="8427" w:val="left" w:leader="none"/>
        </w:tabs>
        <w:spacing w:before="0"/>
        <w:ind w:left="828" w:right="117" w:hanging="720"/>
        <w:jc w:val="both"/>
        <w:rPr>
          <w:rFonts w:ascii="Times New Roman" w:hAnsi="Times New Roman"/>
          <w:sz w:val="24"/>
        </w:rPr>
      </w:pPr>
      <w:r>
        <w:rPr>
          <w:rFonts w:ascii="Times New Roman" w:hAnsi="Times New Roman"/>
          <w:sz w:val="24"/>
        </w:rPr>
        <w:t>Jiménez Asencio, R., Lizcano Álvarez, J., &amp; Villoria Mendieta, M. (Febrero de 2012). </w:t>
      </w:r>
      <w:r>
        <w:rPr>
          <w:rFonts w:ascii="Times New Roman" w:hAnsi="Times New Roman"/>
          <w:i/>
          <w:sz w:val="24"/>
        </w:rPr>
        <w:t>La </w:t>
      </w:r>
      <w:r>
        <w:rPr>
          <w:rFonts w:ascii="Times New Roman" w:hAnsi="Times New Roman"/>
          <w:i/>
          <w:sz w:val="24"/>
        </w:rPr>
        <w:t>Transparencia en los gobiernos locales: una apuesta de futuro. </w:t>
      </w:r>
      <w:r>
        <w:rPr>
          <w:rFonts w:ascii="Times New Roman" w:hAnsi="Times New Roman"/>
          <w:sz w:val="24"/>
        </w:rPr>
        <w:t>Obtenido de Fundación</w:t>
        <w:tab/>
        <w:t>Democracia</w:t>
        <w:tab/>
        <w:t>y</w:t>
        <w:tab/>
        <w:t>Gobierno</w:t>
        <w:tab/>
        <w:t>Local: </w:t>
      </w:r>
      <w:hyperlink r:id="rId177">
        <w:r>
          <w:rPr>
            <w:rFonts w:ascii="Times New Roman" w:hAnsi="Times New Roman"/>
            <w:sz w:val="24"/>
          </w:rPr>
          <w:t>http://www.gobiernolocal.org/docs/publicaciones/Transparencia_ponencias2.pdf</w:t>
        </w:r>
      </w:hyperlink>
    </w:p>
    <w:p>
      <w:pPr>
        <w:spacing w:before="0"/>
        <w:ind w:left="828" w:right="115" w:hanging="720"/>
        <w:jc w:val="both"/>
        <w:rPr>
          <w:rFonts w:ascii="Times New Roman" w:hAnsi="Times New Roman"/>
          <w:sz w:val="24"/>
        </w:rPr>
      </w:pPr>
      <w:r>
        <w:rPr>
          <w:rFonts w:ascii="Times New Roman" w:hAnsi="Times New Roman"/>
          <w:sz w:val="24"/>
        </w:rPr>
        <w:t>Jiménez Asensio, R. (2012). El proyecto de ley de transparencia, acceso a la información y buen gobierno: su posible impacto sobre los gobiernos locales. En </w:t>
      </w:r>
      <w:r>
        <w:rPr>
          <w:rFonts w:ascii="Times New Roman" w:hAnsi="Times New Roman"/>
          <w:i/>
          <w:sz w:val="24"/>
        </w:rPr>
        <w:t>La transparencia </w:t>
      </w:r>
      <w:r>
        <w:rPr>
          <w:rFonts w:ascii="Times New Roman" w:hAnsi="Times New Roman"/>
          <w:i/>
          <w:sz w:val="24"/>
        </w:rPr>
        <w:t>en los gobiernos locales: una apuesta de futuro. </w:t>
      </w:r>
      <w:r>
        <w:rPr>
          <w:rFonts w:ascii="Times New Roman" w:hAnsi="Times New Roman"/>
          <w:sz w:val="24"/>
        </w:rPr>
        <w:t>Fundación Democracia y Gob.</w:t>
      </w:r>
    </w:p>
    <w:p>
      <w:pPr>
        <w:spacing w:before="0"/>
        <w:ind w:left="108" w:right="6" w:firstLine="0"/>
        <w:jc w:val="left"/>
        <w:rPr>
          <w:rFonts w:ascii="Times New Roman" w:hAnsi="Times New Roman"/>
          <w:sz w:val="24"/>
        </w:rPr>
      </w:pPr>
      <w:r>
        <w:rPr>
          <w:rFonts w:ascii="Times New Roman" w:hAnsi="Times New Roman"/>
          <w:sz w:val="24"/>
        </w:rPr>
        <w:t>Kelsen, H. (2007). </w:t>
      </w:r>
      <w:r>
        <w:rPr>
          <w:rFonts w:ascii="Times New Roman" w:hAnsi="Times New Roman"/>
          <w:i/>
          <w:sz w:val="24"/>
        </w:rPr>
        <w:t>Compendio de Teoría General del Estado. </w:t>
      </w:r>
      <w:r>
        <w:rPr>
          <w:rFonts w:ascii="Times New Roman" w:hAnsi="Times New Roman"/>
          <w:sz w:val="24"/>
        </w:rPr>
        <w:t>México: Colofón.</w:t>
      </w:r>
    </w:p>
    <w:p>
      <w:pPr>
        <w:spacing w:before="0"/>
        <w:ind w:left="828" w:right="119" w:hanging="720"/>
        <w:jc w:val="both"/>
        <w:rPr>
          <w:rFonts w:ascii="Times New Roman" w:hAnsi="Times New Roman"/>
          <w:sz w:val="24"/>
        </w:rPr>
      </w:pPr>
      <w:r>
        <w:rPr>
          <w:rFonts w:ascii="Times New Roman" w:hAnsi="Times New Roman"/>
          <w:sz w:val="24"/>
        </w:rPr>
        <w:t>Kliksberg, B. (agosto de 1991). Seis Tesis no convencionales sobre participación. </w:t>
      </w:r>
      <w:r>
        <w:rPr>
          <w:rFonts w:ascii="Times New Roman" w:hAnsi="Times New Roman"/>
          <w:i/>
          <w:sz w:val="24"/>
        </w:rPr>
        <w:t>Revista de </w:t>
      </w:r>
      <w:r>
        <w:rPr>
          <w:rFonts w:ascii="Times New Roman" w:hAnsi="Times New Roman"/>
          <w:i/>
          <w:sz w:val="24"/>
        </w:rPr>
        <w:t>Estudios Sociales</w:t>
      </w:r>
      <w:r>
        <w:rPr>
          <w:rFonts w:ascii="Times New Roman" w:hAnsi="Times New Roman"/>
          <w:sz w:val="24"/>
        </w:rPr>
        <w:t>(4).</w:t>
      </w:r>
    </w:p>
    <w:p>
      <w:pPr>
        <w:spacing w:before="0"/>
        <w:ind w:left="828" w:right="116" w:hanging="720"/>
        <w:jc w:val="both"/>
        <w:rPr>
          <w:rFonts w:ascii="Times New Roman" w:hAnsi="Times New Roman"/>
          <w:sz w:val="24"/>
        </w:rPr>
      </w:pPr>
      <w:r>
        <w:rPr>
          <w:rFonts w:ascii="Times New Roman" w:hAnsi="Times New Roman"/>
          <w:i/>
          <w:sz w:val="24"/>
        </w:rPr>
        <w:t>La construcción de la transparencia y acceso a la información pública en México. </w:t>
      </w:r>
      <w:r>
        <w:rPr>
          <w:rFonts w:ascii="Times New Roman" w:hAnsi="Times New Roman"/>
          <w:sz w:val="24"/>
        </w:rPr>
        <w:t>(7 de septiembre</w:t>
      </w:r>
      <w:r>
        <w:rPr>
          <w:rFonts w:ascii="Times New Roman" w:hAnsi="Times New Roman"/>
          <w:spacing w:val="-11"/>
          <w:sz w:val="24"/>
        </w:rPr>
        <w:t> </w:t>
      </w:r>
      <w:r>
        <w:rPr>
          <w:rFonts w:ascii="Times New Roman" w:hAnsi="Times New Roman"/>
          <w:sz w:val="24"/>
        </w:rPr>
        <w:t>de</w:t>
      </w:r>
      <w:r>
        <w:rPr>
          <w:rFonts w:ascii="Times New Roman" w:hAnsi="Times New Roman"/>
          <w:spacing w:val="-8"/>
          <w:sz w:val="24"/>
        </w:rPr>
        <w:t> </w:t>
      </w:r>
      <w:r>
        <w:rPr>
          <w:rFonts w:ascii="Times New Roman" w:hAnsi="Times New Roman"/>
          <w:sz w:val="24"/>
        </w:rPr>
        <w:t>2013).</w:t>
      </w:r>
      <w:r>
        <w:rPr>
          <w:rFonts w:ascii="Times New Roman" w:hAnsi="Times New Roman"/>
          <w:spacing w:val="-10"/>
          <w:sz w:val="24"/>
        </w:rPr>
        <w:t> </w:t>
      </w:r>
      <w:r>
        <w:rPr>
          <w:rFonts w:ascii="Times New Roman" w:hAnsi="Times New Roman"/>
          <w:sz w:val="24"/>
        </w:rPr>
        <w:t>Obtenido</w:t>
      </w:r>
      <w:r>
        <w:rPr>
          <w:rFonts w:ascii="Times New Roman" w:hAnsi="Times New Roman"/>
          <w:spacing w:val="-9"/>
          <w:sz w:val="24"/>
        </w:rPr>
        <w:t> </w:t>
      </w:r>
      <w:r>
        <w:rPr>
          <w:rFonts w:ascii="Times New Roman" w:hAnsi="Times New Roman"/>
          <w:sz w:val="24"/>
        </w:rPr>
        <w:t>de</w:t>
      </w:r>
      <w:r>
        <w:rPr>
          <w:rFonts w:ascii="Times New Roman" w:hAnsi="Times New Roman"/>
          <w:spacing w:val="-11"/>
          <w:sz w:val="24"/>
        </w:rPr>
        <w:t> </w:t>
      </w:r>
      <w:r>
        <w:rPr>
          <w:rFonts w:ascii="Times New Roman" w:hAnsi="Times New Roman"/>
          <w:sz w:val="24"/>
        </w:rPr>
        <w:t>Transparencia</w:t>
      </w:r>
      <w:r>
        <w:rPr>
          <w:rFonts w:ascii="Times New Roman" w:hAnsi="Times New Roman"/>
          <w:spacing w:val="-6"/>
          <w:sz w:val="24"/>
        </w:rPr>
        <w:t> </w:t>
      </w:r>
      <w:r>
        <w:rPr>
          <w:rFonts w:ascii="Times New Roman" w:hAnsi="Times New Roman"/>
          <w:sz w:val="24"/>
        </w:rPr>
        <w:t>mexicana:</w:t>
      </w:r>
      <w:r>
        <w:rPr>
          <w:rFonts w:ascii="Times New Roman" w:hAnsi="Times New Roman"/>
          <w:spacing w:val="-9"/>
          <w:sz w:val="24"/>
        </w:rPr>
        <w:t> </w:t>
      </w:r>
      <w:hyperlink r:id="rId178">
        <w:r>
          <w:rPr>
            <w:rFonts w:ascii="Times New Roman" w:hAnsi="Times New Roman"/>
            <w:sz w:val="24"/>
          </w:rPr>
          <w:t>http://www.tm.org.mx/la-</w:t>
        </w:r>
      </w:hyperlink>
      <w:r>
        <w:rPr>
          <w:rFonts w:ascii="Times New Roman" w:hAnsi="Times New Roman"/>
          <w:sz w:val="24"/>
        </w:rPr>
        <w:t> construccion-de-la-transparencia-y-el-acceso-a-la-informacion-e</w:t>
      </w:r>
    </w:p>
    <w:p>
      <w:pPr>
        <w:spacing w:before="0"/>
        <w:ind w:left="828" w:right="122" w:hanging="720"/>
        <w:jc w:val="both"/>
        <w:rPr>
          <w:rFonts w:ascii="Times New Roman"/>
          <w:sz w:val="24"/>
        </w:rPr>
      </w:pPr>
      <w:r>
        <w:rPr>
          <w:rFonts w:ascii="Times New Roman"/>
          <w:i/>
          <w:sz w:val="24"/>
        </w:rPr>
        <w:t>Leyes Federales Vigentes</w:t>
      </w:r>
      <w:r>
        <w:rPr>
          <w:rFonts w:ascii="Times New Roman"/>
          <w:sz w:val="24"/>
        </w:rPr>
        <w:t>. (3 de Enero de 2017). Obtenido de </w:t>
      </w:r>
      <w:hyperlink r:id="rId179">
        <w:r>
          <w:rPr>
            <w:rFonts w:ascii="Times New Roman"/>
            <w:sz w:val="24"/>
          </w:rPr>
          <w:t>http://www.diputados.gob.mx/LeyesBiblio/index.htm</w:t>
        </w:r>
      </w:hyperlink>
    </w:p>
    <w:p>
      <w:pPr>
        <w:spacing w:before="0"/>
        <w:ind w:left="828" w:right="118" w:hanging="720"/>
        <w:jc w:val="both"/>
        <w:rPr>
          <w:rFonts w:ascii="Times New Roman" w:hAnsi="Times New Roman"/>
          <w:sz w:val="24"/>
        </w:rPr>
      </w:pPr>
      <w:r>
        <w:rPr>
          <w:rFonts w:ascii="Times New Roman" w:hAnsi="Times New Roman"/>
          <w:sz w:val="24"/>
        </w:rPr>
        <w:t>Lizcano Álvarez, J. (2012). Transparencia en las entidades públicas; especial referencia a los índices de transparencia de los ayuntamientos y las diputaciones. </w:t>
      </w:r>
      <w:r>
        <w:rPr>
          <w:rFonts w:ascii="Times New Roman" w:hAnsi="Times New Roman"/>
          <w:i/>
          <w:sz w:val="24"/>
        </w:rPr>
        <w:t>La transparencia</w:t>
      </w:r>
      <w:r>
        <w:rPr>
          <w:rFonts w:ascii="Times New Roman" w:hAnsi="Times New Roman"/>
          <w:i/>
          <w:spacing w:val="-41"/>
          <w:sz w:val="24"/>
        </w:rPr>
        <w:t> </w:t>
      </w:r>
      <w:r>
        <w:rPr>
          <w:rFonts w:ascii="Times New Roman" w:hAnsi="Times New Roman"/>
          <w:i/>
          <w:sz w:val="24"/>
        </w:rPr>
        <w:t>en </w:t>
      </w:r>
      <w:r>
        <w:rPr>
          <w:rFonts w:ascii="Times New Roman" w:hAnsi="Times New Roman"/>
          <w:i/>
          <w:sz w:val="24"/>
        </w:rPr>
        <w:t>los gobiernos locales: una apuesta de futuro </w:t>
      </w:r>
      <w:r>
        <w:rPr>
          <w:rFonts w:ascii="Times New Roman" w:hAnsi="Times New Roman"/>
          <w:sz w:val="24"/>
        </w:rPr>
        <w:t>(págs. 29-40). Fundación</w:t>
      </w:r>
      <w:r>
        <w:rPr>
          <w:rFonts w:ascii="Times New Roman" w:hAnsi="Times New Roman"/>
          <w:spacing w:val="-10"/>
          <w:sz w:val="24"/>
        </w:rPr>
        <w:t> </w:t>
      </w:r>
      <w:r>
        <w:rPr>
          <w:rFonts w:ascii="Times New Roman" w:hAnsi="Times New Roman"/>
          <w:sz w:val="24"/>
        </w:rPr>
        <w:t>Democ.</w:t>
      </w:r>
    </w:p>
    <w:p>
      <w:pPr>
        <w:spacing w:before="0"/>
        <w:ind w:left="108" w:right="6" w:firstLine="0"/>
        <w:jc w:val="left"/>
        <w:rPr>
          <w:rFonts w:ascii="Times New Roman"/>
          <w:sz w:val="24"/>
        </w:rPr>
      </w:pPr>
      <w:r>
        <w:rPr>
          <w:rFonts w:ascii="Times New Roman"/>
          <w:sz w:val="24"/>
        </w:rPr>
        <w:t>Locke, J. (1997). </w:t>
      </w:r>
      <w:r>
        <w:rPr>
          <w:rFonts w:ascii="Times New Roman"/>
          <w:i/>
          <w:sz w:val="24"/>
        </w:rPr>
        <w:t>Dos ensayos sobre el gobierno civil. </w:t>
      </w:r>
      <w:r>
        <w:rPr>
          <w:rFonts w:ascii="Times New Roman"/>
          <w:sz w:val="24"/>
        </w:rPr>
        <w:t>Madrid: ESPASA-CALPE.</w:t>
      </w:r>
    </w:p>
    <w:p>
      <w:pPr>
        <w:spacing w:before="0"/>
        <w:ind w:left="828" w:right="119" w:hanging="720"/>
        <w:jc w:val="both"/>
        <w:rPr>
          <w:rFonts w:ascii="Times New Roman" w:hAnsi="Times New Roman"/>
          <w:sz w:val="24"/>
        </w:rPr>
      </w:pPr>
      <w:r>
        <w:rPr>
          <w:rFonts w:ascii="Times New Roman" w:hAnsi="Times New Roman"/>
          <w:sz w:val="24"/>
        </w:rPr>
        <w:t>López</w:t>
      </w:r>
      <w:r>
        <w:rPr>
          <w:rFonts w:ascii="Times New Roman" w:hAnsi="Times New Roman"/>
          <w:spacing w:val="-4"/>
          <w:sz w:val="24"/>
        </w:rPr>
        <w:t> </w:t>
      </w:r>
      <w:r>
        <w:rPr>
          <w:rFonts w:ascii="Times New Roman" w:hAnsi="Times New Roman"/>
          <w:sz w:val="24"/>
        </w:rPr>
        <w:t>Ayllón,</w:t>
      </w:r>
      <w:r>
        <w:rPr>
          <w:rFonts w:ascii="Times New Roman" w:hAnsi="Times New Roman"/>
          <w:spacing w:val="-5"/>
          <w:sz w:val="24"/>
        </w:rPr>
        <w:t> </w:t>
      </w:r>
      <w:r>
        <w:rPr>
          <w:rFonts w:ascii="Times New Roman" w:hAnsi="Times New Roman"/>
          <w:sz w:val="24"/>
        </w:rPr>
        <w:t>S.</w:t>
      </w:r>
      <w:r>
        <w:rPr>
          <w:rFonts w:ascii="Times New Roman" w:hAnsi="Times New Roman"/>
          <w:spacing w:val="-5"/>
          <w:sz w:val="24"/>
        </w:rPr>
        <w:t> </w:t>
      </w:r>
      <w:r>
        <w:rPr>
          <w:rFonts w:ascii="Times New Roman" w:hAnsi="Times New Roman"/>
          <w:sz w:val="24"/>
        </w:rPr>
        <w:t>(2012).</w:t>
      </w:r>
      <w:r>
        <w:rPr>
          <w:rFonts w:ascii="Times New Roman" w:hAnsi="Times New Roman"/>
          <w:spacing w:val="-6"/>
          <w:sz w:val="24"/>
        </w:rPr>
        <w:t> </w:t>
      </w:r>
      <w:r>
        <w:rPr>
          <w:rFonts w:ascii="Times New Roman" w:hAnsi="Times New Roman"/>
          <w:sz w:val="24"/>
        </w:rPr>
        <w:t>El</w:t>
      </w:r>
      <w:r>
        <w:rPr>
          <w:rFonts w:ascii="Times New Roman" w:hAnsi="Times New Roman"/>
          <w:spacing w:val="-5"/>
          <w:sz w:val="24"/>
        </w:rPr>
        <w:t> </w:t>
      </w:r>
      <w:r>
        <w:rPr>
          <w:rFonts w:ascii="Times New Roman" w:hAnsi="Times New Roman"/>
          <w:sz w:val="24"/>
        </w:rPr>
        <w:t>marco</w:t>
      </w:r>
      <w:r>
        <w:rPr>
          <w:rFonts w:ascii="Times New Roman" w:hAnsi="Times New Roman"/>
          <w:spacing w:val="-5"/>
          <w:sz w:val="24"/>
        </w:rPr>
        <w:t> </w:t>
      </w:r>
      <w:r>
        <w:rPr>
          <w:rFonts w:ascii="Times New Roman" w:hAnsi="Times New Roman"/>
          <w:sz w:val="24"/>
        </w:rPr>
        <w:t>normativo</w:t>
      </w:r>
      <w:r>
        <w:rPr>
          <w:rFonts w:ascii="Times New Roman" w:hAnsi="Times New Roman"/>
          <w:spacing w:val="-5"/>
          <w:sz w:val="24"/>
        </w:rPr>
        <w:t> </w:t>
      </w:r>
      <w:r>
        <w:rPr>
          <w:rFonts w:ascii="Times New Roman" w:hAnsi="Times New Roman"/>
          <w:sz w:val="24"/>
        </w:rPr>
        <w:t>de</w:t>
      </w:r>
      <w:r>
        <w:rPr>
          <w:rFonts w:ascii="Times New Roman" w:hAnsi="Times New Roman"/>
          <w:spacing w:val="-6"/>
          <w:sz w:val="24"/>
        </w:rPr>
        <w:t> </w:t>
      </w:r>
      <w:r>
        <w:rPr>
          <w:rFonts w:ascii="Times New Roman" w:hAnsi="Times New Roman"/>
          <w:sz w:val="24"/>
        </w:rPr>
        <w:t>la</w:t>
      </w:r>
      <w:r>
        <w:rPr>
          <w:rFonts w:ascii="Times New Roman" w:hAnsi="Times New Roman"/>
          <w:spacing w:val="-5"/>
          <w:sz w:val="24"/>
        </w:rPr>
        <w:t> </w:t>
      </w:r>
      <w:r>
        <w:rPr>
          <w:rFonts w:ascii="Times New Roman" w:hAnsi="Times New Roman"/>
          <w:sz w:val="24"/>
        </w:rPr>
        <w:t>transparencia</w:t>
      </w:r>
      <w:r>
        <w:rPr>
          <w:rFonts w:ascii="Times New Roman" w:hAnsi="Times New Roman"/>
          <w:spacing w:val="-3"/>
          <w:sz w:val="24"/>
        </w:rPr>
        <w:t> </w:t>
      </w:r>
      <w:r>
        <w:rPr>
          <w:rFonts w:ascii="Times New Roman" w:hAnsi="Times New Roman"/>
          <w:sz w:val="24"/>
        </w:rPr>
        <w:t>y</w:t>
      </w:r>
      <w:r>
        <w:rPr>
          <w:rFonts w:ascii="Times New Roman" w:hAnsi="Times New Roman"/>
          <w:spacing w:val="-10"/>
          <w:sz w:val="24"/>
        </w:rPr>
        <w:t> </w:t>
      </w:r>
      <w:r>
        <w:rPr>
          <w:rFonts w:ascii="Times New Roman" w:hAnsi="Times New Roman"/>
          <w:sz w:val="24"/>
        </w:rPr>
        <w:t>el</w:t>
      </w:r>
      <w:r>
        <w:rPr>
          <w:rFonts w:ascii="Times New Roman" w:hAnsi="Times New Roman"/>
          <w:spacing w:val="-4"/>
          <w:sz w:val="24"/>
        </w:rPr>
        <w:t> </w:t>
      </w:r>
      <w:r>
        <w:rPr>
          <w:rFonts w:ascii="Times New Roman" w:hAnsi="Times New Roman"/>
          <w:sz w:val="24"/>
        </w:rPr>
        <w:t>acceso</w:t>
      </w:r>
      <w:r>
        <w:rPr>
          <w:rFonts w:ascii="Times New Roman" w:hAnsi="Times New Roman"/>
          <w:spacing w:val="-2"/>
          <w:sz w:val="24"/>
        </w:rPr>
        <w:t> </w:t>
      </w:r>
      <w:r>
        <w:rPr>
          <w:rFonts w:ascii="Times New Roman" w:hAnsi="Times New Roman"/>
          <w:sz w:val="24"/>
        </w:rPr>
        <w:t>a</w:t>
      </w:r>
      <w:r>
        <w:rPr>
          <w:rFonts w:ascii="Times New Roman" w:hAnsi="Times New Roman"/>
          <w:spacing w:val="-6"/>
          <w:sz w:val="24"/>
        </w:rPr>
        <w:t> </w:t>
      </w:r>
      <w:r>
        <w:rPr>
          <w:rFonts w:ascii="Times New Roman" w:hAnsi="Times New Roman"/>
          <w:sz w:val="24"/>
        </w:rPr>
        <w:t>la</w:t>
      </w:r>
      <w:r>
        <w:rPr>
          <w:rFonts w:ascii="Times New Roman" w:hAnsi="Times New Roman"/>
          <w:spacing w:val="-5"/>
          <w:sz w:val="24"/>
        </w:rPr>
        <w:t> </w:t>
      </w:r>
      <w:r>
        <w:rPr>
          <w:rFonts w:ascii="Times New Roman" w:hAnsi="Times New Roman"/>
          <w:sz w:val="24"/>
        </w:rPr>
        <w:t>información en México. En Cejudo, López, &amp; Ríos, </w:t>
      </w:r>
      <w:r>
        <w:rPr>
          <w:rFonts w:ascii="Times New Roman" w:hAnsi="Times New Roman"/>
          <w:i/>
          <w:sz w:val="24"/>
        </w:rPr>
        <w:t>La política de transparencia en México. </w:t>
      </w:r>
      <w:r>
        <w:rPr>
          <w:rFonts w:ascii="Times New Roman" w:hAnsi="Times New Roman"/>
          <w:i/>
          <w:sz w:val="24"/>
        </w:rPr>
        <w:t>Instituciones, logros y desafíos. </w:t>
      </w:r>
      <w:r>
        <w:rPr>
          <w:rFonts w:ascii="Times New Roman" w:hAnsi="Times New Roman"/>
          <w:sz w:val="24"/>
        </w:rPr>
        <w:t>México:</w:t>
      </w:r>
      <w:r>
        <w:rPr>
          <w:rFonts w:ascii="Times New Roman" w:hAnsi="Times New Roman"/>
          <w:spacing w:val="-10"/>
          <w:sz w:val="24"/>
        </w:rPr>
        <w:t> </w:t>
      </w:r>
      <w:r>
        <w:rPr>
          <w:rFonts w:ascii="Times New Roman" w:hAnsi="Times New Roman"/>
          <w:sz w:val="24"/>
        </w:rPr>
        <w:t>CIDE.</w:t>
      </w:r>
    </w:p>
    <w:p>
      <w:pPr>
        <w:spacing w:before="0"/>
        <w:ind w:left="828" w:right="119" w:hanging="720"/>
        <w:jc w:val="both"/>
        <w:rPr>
          <w:rFonts w:ascii="Times New Roman" w:hAnsi="Times New Roman"/>
          <w:sz w:val="24"/>
        </w:rPr>
      </w:pPr>
      <w:r>
        <w:rPr>
          <w:rFonts w:ascii="Times New Roman" w:hAnsi="Times New Roman"/>
          <w:sz w:val="24"/>
        </w:rPr>
        <w:t>López</w:t>
      </w:r>
      <w:r>
        <w:rPr>
          <w:rFonts w:ascii="Times New Roman" w:hAnsi="Times New Roman"/>
          <w:spacing w:val="-4"/>
          <w:sz w:val="24"/>
        </w:rPr>
        <w:t> </w:t>
      </w:r>
      <w:r>
        <w:rPr>
          <w:rFonts w:ascii="Times New Roman" w:hAnsi="Times New Roman"/>
          <w:sz w:val="24"/>
        </w:rPr>
        <w:t>Ayllón,</w:t>
      </w:r>
      <w:r>
        <w:rPr>
          <w:rFonts w:ascii="Times New Roman" w:hAnsi="Times New Roman"/>
          <w:spacing w:val="-5"/>
          <w:sz w:val="24"/>
        </w:rPr>
        <w:t> </w:t>
      </w:r>
      <w:r>
        <w:rPr>
          <w:rFonts w:ascii="Times New Roman" w:hAnsi="Times New Roman"/>
          <w:sz w:val="24"/>
        </w:rPr>
        <w:t>S.,</w:t>
      </w:r>
      <w:r>
        <w:rPr>
          <w:rFonts w:ascii="Times New Roman" w:hAnsi="Times New Roman"/>
          <w:spacing w:val="-5"/>
          <w:sz w:val="24"/>
        </w:rPr>
        <w:t> </w:t>
      </w:r>
      <w:r>
        <w:rPr>
          <w:rFonts w:ascii="Times New Roman" w:hAnsi="Times New Roman"/>
          <w:sz w:val="24"/>
        </w:rPr>
        <w:t>&amp;</w:t>
      </w:r>
      <w:r>
        <w:rPr>
          <w:rFonts w:ascii="Times New Roman" w:hAnsi="Times New Roman"/>
          <w:spacing w:val="-7"/>
          <w:sz w:val="24"/>
        </w:rPr>
        <w:t> </w:t>
      </w:r>
      <w:r>
        <w:rPr>
          <w:rFonts w:ascii="Times New Roman" w:hAnsi="Times New Roman"/>
          <w:sz w:val="24"/>
        </w:rPr>
        <w:t>Arellano</w:t>
      </w:r>
      <w:r>
        <w:rPr>
          <w:rFonts w:ascii="Times New Roman" w:hAnsi="Times New Roman"/>
          <w:spacing w:val="-5"/>
          <w:sz w:val="24"/>
        </w:rPr>
        <w:t> </w:t>
      </w:r>
      <w:r>
        <w:rPr>
          <w:rFonts w:ascii="Times New Roman" w:hAnsi="Times New Roman"/>
          <w:sz w:val="24"/>
        </w:rPr>
        <w:t>Gault,</w:t>
      </w:r>
      <w:r>
        <w:rPr>
          <w:rFonts w:ascii="Times New Roman" w:hAnsi="Times New Roman"/>
          <w:spacing w:val="-5"/>
          <w:sz w:val="24"/>
        </w:rPr>
        <w:t> </w:t>
      </w:r>
      <w:r>
        <w:rPr>
          <w:rFonts w:ascii="Times New Roman" w:hAnsi="Times New Roman"/>
          <w:sz w:val="24"/>
        </w:rPr>
        <w:t>D.</w:t>
      </w:r>
      <w:r>
        <w:rPr>
          <w:rFonts w:ascii="Times New Roman" w:hAnsi="Times New Roman"/>
          <w:spacing w:val="-5"/>
          <w:sz w:val="24"/>
        </w:rPr>
        <w:t> </w:t>
      </w:r>
      <w:r>
        <w:rPr>
          <w:rFonts w:ascii="Times New Roman" w:hAnsi="Times New Roman"/>
          <w:sz w:val="24"/>
        </w:rPr>
        <w:t>(2008).</w:t>
      </w:r>
      <w:r>
        <w:rPr>
          <w:rFonts w:ascii="Times New Roman" w:hAnsi="Times New Roman"/>
          <w:spacing w:val="-4"/>
          <w:sz w:val="24"/>
        </w:rPr>
        <w:t> </w:t>
      </w:r>
      <w:r>
        <w:rPr>
          <w:rFonts w:ascii="Times New Roman" w:hAnsi="Times New Roman"/>
          <w:i/>
          <w:sz w:val="24"/>
        </w:rPr>
        <w:t>Estudio</w:t>
      </w:r>
      <w:r>
        <w:rPr>
          <w:rFonts w:ascii="Times New Roman" w:hAnsi="Times New Roman"/>
          <w:i/>
          <w:spacing w:val="-5"/>
          <w:sz w:val="24"/>
        </w:rPr>
        <w:t> </w:t>
      </w:r>
      <w:r>
        <w:rPr>
          <w:rFonts w:ascii="Times New Roman" w:hAnsi="Times New Roman"/>
          <w:i/>
          <w:sz w:val="24"/>
        </w:rPr>
        <w:t>en</w:t>
      </w:r>
      <w:r>
        <w:rPr>
          <w:rFonts w:ascii="Times New Roman" w:hAnsi="Times New Roman"/>
          <w:i/>
          <w:spacing w:val="-5"/>
          <w:sz w:val="24"/>
        </w:rPr>
        <w:t> </w:t>
      </w:r>
      <w:r>
        <w:rPr>
          <w:rFonts w:ascii="Times New Roman" w:hAnsi="Times New Roman"/>
          <w:i/>
          <w:sz w:val="24"/>
        </w:rPr>
        <w:t>materia</w:t>
      </w:r>
      <w:r>
        <w:rPr>
          <w:rFonts w:ascii="Times New Roman" w:hAnsi="Times New Roman"/>
          <w:i/>
          <w:spacing w:val="-4"/>
          <w:sz w:val="24"/>
        </w:rPr>
        <w:t> </w:t>
      </w:r>
      <w:r>
        <w:rPr>
          <w:rFonts w:ascii="Times New Roman" w:hAnsi="Times New Roman"/>
          <w:i/>
          <w:sz w:val="24"/>
        </w:rPr>
        <w:t>de</w:t>
      </w:r>
      <w:r>
        <w:rPr>
          <w:rFonts w:ascii="Times New Roman" w:hAnsi="Times New Roman"/>
          <w:i/>
          <w:spacing w:val="-6"/>
          <w:sz w:val="24"/>
        </w:rPr>
        <w:t> </w:t>
      </w:r>
      <w:r>
        <w:rPr>
          <w:rFonts w:ascii="Times New Roman" w:hAnsi="Times New Roman"/>
          <w:i/>
          <w:sz w:val="24"/>
        </w:rPr>
        <w:t>transparencia</w:t>
      </w:r>
      <w:r>
        <w:rPr>
          <w:rFonts w:ascii="Times New Roman" w:hAnsi="Times New Roman"/>
          <w:i/>
          <w:spacing w:val="-4"/>
          <w:sz w:val="24"/>
        </w:rPr>
        <w:t> </w:t>
      </w:r>
      <w:r>
        <w:rPr>
          <w:rFonts w:ascii="Times New Roman" w:hAnsi="Times New Roman"/>
          <w:i/>
          <w:sz w:val="24"/>
        </w:rPr>
        <w:t>de</w:t>
      </w:r>
      <w:r>
        <w:rPr>
          <w:rFonts w:ascii="Times New Roman" w:hAnsi="Times New Roman"/>
          <w:i/>
          <w:spacing w:val="-6"/>
          <w:sz w:val="24"/>
        </w:rPr>
        <w:t> </w:t>
      </w:r>
      <w:r>
        <w:rPr>
          <w:rFonts w:ascii="Times New Roman" w:hAnsi="Times New Roman"/>
          <w:i/>
          <w:sz w:val="24"/>
        </w:rPr>
        <w:t>otros </w:t>
      </w:r>
      <w:r>
        <w:rPr>
          <w:rFonts w:ascii="Times New Roman" w:hAnsi="Times New Roman"/>
          <w:i/>
          <w:sz w:val="24"/>
        </w:rPr>
        <w:t>sujetos obligados por la Ley Federal de Transparencia y Acceso a la Información Pública Gubernamental. </w:t>
      </w:r>
      <w:r>
        <w:rPr>
          <w:rFonts w:ascii="Times New Roman" w:hAnsi="Times New Roman"/>
          <w:sz w:val="24"/>
        </w:rPr>
        <w:t>México:</w:t>
      </w:r>
      <w:r>
        <w:rPr>
          <w:rFonts w:ascii="Times New Roman" w:hAnsi="Times New Roman"/>
          <w:spacing w:val="-3"/>
          <w:sz w:val="24"/>
        </w:rPr>
        <w:t> </w:t>
      </w:r>
      <w:r>
        <w:rPr>
          <w:rFonts w:ascii="Times New Roman" w:hAnsi="Times New Roman"/>
          <w:sz w:val="24"/>
        </w:rPr>
        <w:t>UNAM.</w:t>
      </w:r>
    </w:p>
    <w:p>
      <w:pPr>
        <w:spacing w:before="0"/>
        <w:ind w:left="828" w:right="118" w:hanging="720"/>
        <w:jc w:val="both"/>
        <w:rPr>
          <w:rFonts w:ascii="Times New Roman" w:hAnsi="Times New Roman"/>
          <w:sz w:val="24"/>
        </w:rPr>
      </w:pPr>
      <w:r>
        <w:rPr>
          <w:rFonts w:ascii="Times New Roman" w:hAnsi="Times New Roman"/>
          <w:sz w:val="24"/>
        </w:rPr>
        <w:t>López-Ayllón, S. (2006). </w:t>
      </w:r>
      <w:r>
        <w:rPr>
          <w:rFonts w:ascii="Times New Roman" w:hAnsi="Times New Roman"/>
          <w:i/>
          <w:sz w:val="24"/>
        </w:rPr>
        <w:t>Democracia, transparencia y constitución: propuestas para un </w:t>
      </w:r>
      <w:r>
        <w:rPr>
          <w:rFonts w:ascii="Times New Roman" w:hAnsi="Times New Roman"/>
          <w:i/>
          <w:sz w:val="24"/>
        </w:rPr>
        <w:t>debate necesario. </w:t>
      </w:r>
      <w:r>
        <w:rPr>
          <w:rFonts w:ascii="Times New Roman" w:hAnsi="Times New Roman"/>
          <w:sz w:val="24"/>
        </w:rPr>
        <w:t>México: UNAM-IFAI.</w:t>
      </w:r>
    </w:p>
    <w:p>
      <w:pPr>
        <w:spacing w:before="0"/>
        <w:ind w:left="108" w:right="6" w:firstLine="0"/>
        <w:jc w:val="left"/>
        <w:rPr>
          <w:rFonts w:ascii="Times New Roman" w:hAnsi="Times New Roman"/>
          <w:i/>
          <w:sz w:val="24"/>
        </w:rPr>
      </w:pPr>
      <w:r>
        <w:rPr>
          <w:rFonts w:ascii="Times New Roman" w:hAnsi="Times New Roman"/>
          <w:sz w:val="24"/>
        </w:rPr>
        <w:t>Majone, G. (1997). </w:t>
      </w:r>
      <w:r>
        <w:rPr>
          <w:rFonts w:ascii="Times New Roman" w:hAnsi="Times New Roman"/>
          <w:i/>
          <w:sz w:val="24"/>
        </w:rPr>
        <w:t>Evidencia, Argumentación y Persuasión en la Formulación de Políticas.</w:t>
      </w:r>
    </w:p>
    <w:p>
      <w:pPr>
        <w:pStyle w:val="BodyText"/>
        <w:ind w:left="828" w:right="6"/>
        <w:rPr>
          <w:rFonts w:ascii="Times New Roman" w:hAnsi="Times New Roman"/>
        </w:rPr>
      </w:pPr>
      <w:r>
        <w:rPr>
          <w:rFonts w:ascii="Times New Roman" w:hAnsi="Times New Roman"/>
        </w:rPr>
        <w:t>México: FCE-CNCP.</w:t>
      </w:r>
    </w:p>
    <w:p>
      <w:pPr>
        <w:spacing w:before="0"/>
        <w:ind w:left="828" w:right="117" w:hanging="720"/>
        <w:jc w:val="both"/>
        <w:rPr>
          <w:rFonts w:ascii="Times New Roman" w:hAnsi="Times New Roman"/>
          <w:sz w:val="24"/>
        </w:rPr>
      </w:pPr>
      <w:r>
        <w:rPr>
          <w:rFonts w:ascii="Times New Roman" w:hAnsi="Times New Roman"/>
          <w:sz w:val="24"/>
        </w:rPr>
        <w:t>Mann, M. (UAM – AEDRI de 2006). El poder autónomo del Estado: sus orígenes, mecanismos y resultados. </w:t>
      </w:r>
      <w:r>
        <w:rPr>
          <w:rFonts w:ascii="Times New Roman" w:hAnsi="Times New Roman"/>
          <w:i/>
          <w:sz w:val="24"/>
        </w:rPr>
        <w:t>Revista Académica de Relaciones Internacionales</w:t>
      </w:r>
      <w:r>
        <w:rPr>
          <w:rFonts w:ascii="Times New Roman" w:hAnsi="Times New Roman"/>
          <w:sz w:val="24"/>
        </w:rPr>
        <w:t>(5).</w:t>
      </w:r>
    </w:p>
    <w:p>
      <w:pPr>
        <w:spacing w:before="0"/>
        <w:ind w:left="108" w:right="6" w:firstLine="0"/>
        <w:jc w:val="left"/>
        <w:rPr>
          <w:rFonts w:ascii="Times New Roman" w:hAnsi="Times New Roman"/>
          <w:sz w:val="24"/>
        </w:rPr>
      </w:pPr>
      <w:r>
        <w:rPr>
          <w:rFonts w:ascii="Times New Roman" w:hAnsi="Times New Roman"/>
          <w:sz w:val="24"/>
        </w:rPr>
        <w:t>Maquiavelo, N. (2010). </w:t>
      </w:r>
      <w:r>
        <w:rPr>
          <w:rFonts w:ascii="Times New Roman" w:hAnsi="Times New Roman"/>
          <w:i/>
          <w:sz w:val="24"/>
        </w:rPr>
        <w:t>El príncipe. </w:t>
      </w:r>
      <w:r>
        <w:rPr>
          <w:rFonts w:ascii="Times New Roman" w:hAnsi="Times New Roman"/>
          <w:sz w:val="24"/>
        </w:rPr>
        <w:t>España: Ediciones Akal.</w:t>
      </w:r>
    </w:p>
    <w:p>
      <w:pPr>
        <w:pStyle w:val="BodyText"/>
        <w:ind w:left="828" w:right="116" w:hanging="720"/>
        <w:jc w:val="both"/>
        <w:rPr>
          <w:rFonts w:ascii="Times New Roman" w:hAnsi="Times New Roman"/>
        </w:rPr>
      </w:pPr>
      <w:r>
        <w:rPr>
          <w:rFonts w:ascii="Times New Roman" w:hAnsi="Times New Roman"/>
        </w:rPr>
        <w:t>Martínez Díaz, M. E., &amp; Heras Gómez, L. (noviembre-febrero de 2011). Transparencia gubernamental y acceso a la información en México (2002-2010): un análisis exploratorio. (Universidad Autónoma del Estado de México, Ed.) </w:t>
      </w:r>
      <w:r>
        <w:rPr>
          <w:rFonts w:ascii="Times New Roman" w:hAnsi="Times New Roman"/>
          <w:i/>
        </w:rPr>
        <w:t>Ciencia Ergo Sum, </w:t>
      </w:r>
      <w:r>
        <w:rPr>
          <w:rFonts w:ascii="Times New Roman" w:hAnsi="Times New Roman"/>
          <w:i/>
        </w:rPr>
        <w:t>18</w:t>
      </w:r>
      <w:r>
        <w:rPr>
          <w:rFonts w:ascii="Times New Roman" w:hAnsi="Times New Roman"/>
        </w:rPr>
        <w:t>(3).</w:t>
      </w:r>
    </w:p>
    <w:p>
      <w:pPr>
        <w:spacing w:after="0"/>
        <w:jc w:val="both"/>
        <w:rPr>
          <w:rFonts w:ascii="Times New Roman" w:hAnsi="Times New Roman"/>
        </w:rPr>
        <w:sectPr>
          <w:pgSz w:w="12240" w:h="15840"/>
          <w:pgMar w:header="0" w:footer="975" w:top="1360" w:bottom="1220" w:left="1500" w:right="1580"/>
        </w:sectPr>
      </w:pPr>
    </w:p>
    <w:p>
      <w:pPr>
        <w:pStyle w:val="BodyText"/>
        <w:spacing w:before="48"/>
        <w:ind w:left="828" w:right="117" w:hanging="720"/>
        <w:jc w:val="both"/>
        <w:rPr>
          <w:rFonts w:ascii="Times New Roman" w:hAnsi="Times New Roman"/>
        </w:rPr>
      </w:pPr>
      <w:r>
        <w:rPr>
          <w:rFonts w:ascii="Times New Roman" w:hAnsi="Times New Roman"/>
        </w:rPr>
        <w:t>Martínez</w:t>
      </w:r>
      <w:r>
        <w:rPr>
          <w:rFonts w:ascii="Times New Roman" w:hAnsi="Times New Roman"/>
          <w:spacing w:val="-10"/>
        </w:rPr>
        <w:t> </w:t>
      </w:r>
      <w:r>
        <w:rPr>
          <w:rFonts w:ascii="Times New Roman" w:hAnsi="Times New Roman"/>
        </w:rPr>
        <w:t>Díaz,</w:t>
      </w:r>
      <w:r>
        <w:rPr>
          <w:rFonts w:ascii="Times New Roman" w:hAnsi="Times New Roman"/>
          <w:spacing w:val="-11"/>
        </w:rPr>
        <w:t> </w:t>
      </w:r>
      <w:r>
        <w:rPr>
          <w:rFonts w:ascii="Times New Roman" w:hAnsi="Times New Roman"/>
        </w:rPr>
        <w:t>M.</w:t>
      </w:r>
      <w:r>
        <w:rPr>
          <w:rFonts w:ascii="Times New Roman" w:hAnsi="Times New Roman"/>
          <w:spacing w:val="-11"/>
        </w:rPr>
        <w:t> </w:t>
      </w:r>
      <w:r>
        <w:rPr>
          <w:rFonts w:ascii="Times New Roman" w:hAnsi="Times New Roman"/>
        </w:rPr>
        <w:t>E.,</w:t>
      </w:r>
      <w:r>
        <w:rPr>
          <w:rFonts w:ascii="Times New Roman" w:hAnsi="Times New Roman"/>
          <w:spacing w:val="-11"/>
        </w:rPr>
        <w:t> </w:t>
      </w:r>
      <w:r>
        <w:rPr>
          <w:rFonts w:ascii="Times New Roman" w:hAnsi="Times New Roman"/>
        </w:rPr>
        <w:t>&amp;</w:t>
      </w:r>
      <w:r>
        <w:rPr>
          <w:rFonts w:ascii="Times New Roman" w:hAnsi="Times New Roman"/>
          <w:spacing w:val="-13"/>
        </w:rPr>
        <w:t> </w:t>
      </w:r>
      <w:r>
        <w:rPr>
          <w:rFonts w:ascii="Times New Roman" w:hAnsi="Times New Roman"/>
        </w:rPr>
        <w:t>Heras</w:t>
      </w:r>
      <w:r>
        <w:rPr>
          <w:rFonts w:ascii="Times New Roman" w:hAnsi="Times New Roman"/>
          <w:spacing w:val="-11"/>
        </w:rPr>
        <w:t> </w:t>
      </w:r>
      <w:r>
        <w:rPr>
          <w:rFonts w:ascii="Times New Roman" w:hAnsi="Times New Roman"/>
        </w:rPr>
        <w:t>Gómez,</w:t>
      </w:r>
      <w:r>
        <w:rPr>
          <w:rFonts w:ascii="Times New Roman" w:hAnsi="Times New Roman"/>
          <w:spacing w:val="-9"/>
        </w:rPr>
        <w:t> </w:t>
      </w:r>
      <w:r>
        <w:rPr>
          <w:rFonts w:ascii="Times New Roman" w:hAnsi="Times New Roman"/>
          <w:spacing w:val="-3"/>
        </w:rPr>
        <w:t>L.</w:t>
      </w:r>
      <w:r>
        <w:rPr>
          <w:rFonts w:ascii="Times New Roman" w:hAnsi="Times New Roman"/>
          <w:spacing w:val="-11"/>
        </w:rPr>
        <w:t> </w:t>
      </w:r>
      <w:r>
        <w:rPr>
          <w:rFonts w:ascii="Times New Roman" w:hAnsi="Times New Roman"/>
        </w:rPr>
        <w:t>(Enero-Abril</w:t>
      </w:r>
      <w:r>
        <w:rPr>
          <w:rFonts w:ascii="Times New Roman" w:hAnsi="Times New Roman"/>
          <w:spacing w:val="-10"/>
        </w:rPr>
        <w:t> </w:t>
      </w:r>
      <w:r>
        <w:rPr>
          <w:rFonts w:ascii="Times New Roman" w:hAnsi="Times New Roman"/>
        </w:rPr>
        <w:t>de</w:t>
      </w:r>
      <w:r>
        <w:rPr>
          <w:rFonts w:ascii="Times New Roman" w:hAnsi="Times New Roman"/>
          <w:spacing w:val="-12"/>
        </w:rPr>
        <w:t> </w:t>
      </w:r>
      <w:r>
        <w:rPr>
          <w:rFonts w:ascii="Times New Roman" w:hAnsi="Times New Roman"/>
        </w:rPr>
        <w:t>2012).</w:t>
      </w:r>
      <w:r>
        <w:rPr>
          <w:rFonts w:ascii="Times New Roman" w:hAnsi="Times New Roman"/>
          <w:spacing w:val="-9"/>
        </w:rPr>
        <w:t> </w:t>
      </w:r>
      <w:r>
        <w:rPr>
          <w:rFonts w:ascii="Times New Roman" w:hAnsi="Times New Roman"/>
        </w:rPr>
        <w:t>La</w:t>
      </w:r>
      <w:r>
        <w:rPr>
          <w:rFonts w:ascii="Times New Roman" w:hAnsi="Times New Roman"/>
          <w:spacing w:val="-12"/>
        </w:rPr>
        <w:t> </w:t>
      </w:r>
      <w:r>
        <w:rPr>
          <w:rFonts w:ascii="Times New Roman" w:hAnsi="Times New Roman"/>
        </w:rPr>
        <w:t>transparencia</w:t>
      </w:r>
      <w:r>
        <w:rPr>
          <w:rFonts w:ascii="Times New Roman" w:hAnsi="Times New Roman"/>
          <w:spacing w:val="-7"/>
        </w:rPr>
        <w:t> </w:t>
      </w:r>
      <w:r>
        <w:rPr>
          <w:rFonts w:ascii="Times New Roman" w:hAnsi="Times New Roman"/>
        </w:rPr>
        <w:t>y</w:t>
      </w:r>
      <w:r>
        <w:rPr>
          <w:rFonts w:ascii="Times New Roman" w:hAnsi="Times New Roman"/>
          <w:spacing w:val="-16"/>
        </w:rPr>
        <w:t> </w:t>
      </w:r>
      <w:r>
        <w:rPr>
          <w:rFonts w:ascii="Times New Roman" w:hAnsi="Times New Roman"/>
        </w:rPr>
        <w:t>el</w:t>
      </w:r>
      <w:r>
        <w:rPr>
          <w:rFonts w:ascii="Times New Roman" w:hAnsi="Times New Roman"/>
          <w:spacing w:val="-11"/>
        </w:rPr>
        <w:t> </w:t>
      </w:r>
      <w:r>
        <w:rPr>
          <w:rFonts w:ascii="Times New Roman" w:hAnsi="Times New Roman"/>
        </w:rPr>
        <w:t>acceso a la información a nivel local: el caso del municipio de Metepec, Estado de México. </w:t>
      </w:r>
      <w:r>
        <w:rPr>
          <w:rFonts w:ascii="Times New Roman" w:hAnsi="Times New Roman"/>
          <w:i/>
        </w:rPr>
        <w:t>Convergencia. Revista de Ciencias Sociales</w:t>
      </w:r>
      <w:r>
        <w:rPr>
          <w:rFonts w:ascii="Times New Roman" w:hAnsi="Times New Roman"/>
        </w:rPr>
        <w:t>(58),</w:t>
      </w:r>
      <w:r>
        <w:rPr>
          <w:rFonts w:ascii="Times New Roman" w:hAnsi="Times New Roman"/>
          <w:spacing w:val="-10"/>
        </w:rPr>
        <w:t> </w:t>
      </w:r>
      <w:r>
        <w:rPr>
          <w:rFonts w:ascii="Times New Roman" w:hAnsi="Times New Roman"/>
        </w:rPr>
        <w:t>183-208.</w:t>
      </w:r>
    </w:p>
    <w:p>
      <w:pPr>
        <w:spacing w:before="0"/>
        <w:ind w:left="108" w:right="6" w:firstLine="0"/>
        <w:jc w:val="left"/>
        <w:rPr>
          <w:rFonts w:ascii="Times New Roman" w:hAnsi="Times New Roman"/>
          <w:sz w:val="24"/>
        </w:rPr>
      </w:pPr>
      <w:r>
        <w:rPr>
          <w:rFonts w:ascii="Times New Roman" w:hAnsi="Times New Roman"/>
          <w:sz w:val="24"/>
        </w:rPr>
        <w:t>Marx, K. (1968). </w:t>
      </w:r>
      <w:r>
        <w:rPr>
          <w:rFonts w:ascii="Times New Roman" w:hAnsi="Times New Roman"/>
          <w:i/>
          <w:sz w:val="24"/>
        </w:rPr>
        <w:t>Manuscritos de 1844. </w:t>
      </w:r>
      <w:r>
        <w:rPr>
          <w:rFonts w:ascii="Times New Roman" w:hAnsi="Times New Roman"/>
          <w:sz w:val="24"/>
        </w:rPr>
        <w:t>México: Grijalbo.</w:t>
      </w:r>
    </w:p>
    <w:p>
      <w:pPr>
        <w:spacing w:before="0"/>
        <w:ind w:left="108" w:right="6" w:firstLine="0"/>
        <w:jc w:val="left"/>
        <w:rPr>
          <w:rFonts w:ascii="Times New Roman"/>
          <w:sz w:val="24"/>
        </w:rPr>
      </w:pPr>
      <w:r>
        <w:rPr>
          <w:rFonts w:ascii="Times New Roman"/>
          <w:sz w:val="24"/>
        </w:rPr>
        <w:t>Marx, K. (2003). </w:t>
      </w:r>
      <w:r>
        <w:rPr>
          <w:rFonts w:ascii="Times New Roman"/>
          <w:i/>
          <w:sz w:val="24"/>
        </w:rPr>
        <w:t>Diez y ocho Brumario de Luis Bonaparte. </w:t>
      </w:r>
      <w:r>
        <w:rPr>
          <w:rFonts w:ascii="Times New Roman"/>
          <w:sz w:val="24"/>
        </w:rPr>
        <w:t>Madrid: Alianza.</w:t>
      </w:r>
    </w:p>
    <w:p>
      <w:pPr>
        <w:spacing w:before="0"/>
        <w:ind w:left="828" w:right="120" w:hanging="720"/>
        <w:jc w:val="both"/>
        <w:rPr>
          <w:rFonts w:ascii="Times New Roman" w:hAnsi="Times New Roman"/>
          <w:sz w:val="24"/>
        </w:rPr>
      </w:pPr>
      <w:r>
        <w:rPr>
          <w:rFonts w:ascii="Times New Roman" w:hAnsi="Times New Roman"/>
          <w:sz w:val="24"/>
        </w:rPr>
        <w:t>Marx, K. (2010). </w:t>
      </w:r>
      <w:r>
        <w:rPr>
          <w:rFonts w:ascii="Times New Roman" w:hAnsi="Times New Roman"/>
          <w:i/>
          <w:sz w:val="24"/>
        </w:rPr>
        <w:t>El capital. Crítica de la economía política: antología. </w:t>
      </w:r>
      <w:r>
        <w:rPr>
          <w:rFonts w:ascii="Times New Roman" w:hAnsi="Times New Roman"/>
          <w:sz w:val="24"/>
        </w:rPr>
        <w:t>(M. Sacristán,</w:t>
      </w:r>
      <w:r>
        <w:rPr>
          <w:rFonts w:ascii="Times New Roman" w:hAnsi="Times New Roman"/>
          <w:spacing w:val="-19"/>
          <w:sz w:val="24"/>
        </w:rPr>
        <w:t> </w:t>
      </w:r>
      <w:r>
        <w:rPr>
          <w:rFonts w:ascii="Times New Roman" w:hAnsi="Times New Roman"/>
          <w:sz w:val="24"/>
        </w:rPr>
        <w:t>Trad.) Madrid, España:</w:t>
      </w:r>
      <w:r>
        <w:rPr>
          <w:rFonts w:ascii="Times New Roman" w:hAnsi="Times New Roman"/>
          <w:spacing w:val="-6"/>
          <w:sz w:val="24"/>
        </w:rPr>
        <w:t> </w:t>
      </w:r>
      <w:r>
        <w:rPr>
          <w:rFonts w:ascii="Times New Roman" w:hAnsi="Times New Roman"/>
          <w:sz w:val="24"/>
        </w:rPr>
        <w:t>Alianza.</w:t>
      </w:r>
    </w:p>
    <w:p>
      <w:pPr>
        <w:spacing w:before="0"/>
        <w:ind w:left="108" w:right="6" w:firstLine="0"/>
        <w:jc w:val="left"/>
        <w:rPr>
          <w:rFonts w:ascii="Times New Roman" w:hAnsi="Times New Roman"/>
          <w:sz w:val="24"/>
        </w:rPr>
      </w:pPr>
      <w:r>
        <w:rPr>
          <w:rFonts w:ascii="Times New Roman" w:hAnsi="Times New Roman"/>
          <w:sz w:val="24"/>
        </w:rPr>
        <w:t>Merino, M. (2005). </w:t>
      </w:r>
      <w:r>
        <w:rPr>
          <w:rFonts w:ascii="Times New Roman" w:hAnsi="Times New Roman"/>
          <w:i/>
          <w:sz w:val="24"/>
        </w:rPr>
        <w:t>Transparencia: autores e ideas. </w:t>
      </w:r>
      <w:r>
        <w:rPr>
          <w:rFonts w:ascii="Times New Roman" w:hAnsi="Times New Roman"/>
          <w:sz w:val="24"/>
        </w:rPr>
        <w:t>México: IFAI – CIDE.</w:t>
      </w:r>
    </w:p>
    <w:p>
      <w:pPr>
        <w:spacing w:before="0"/>
        <w:ind w:left="828" w:right="116" w:hanging="720"/>
        <w:jc w:val="both"/>
        <w:rPr>
          <w:rFonts w:ascii="Times New Roman" w:hAnsi="Times New Roman"/>
          <w:sz w:val="24"/>
        </w:rPr>
      </w:pPr>
      <w:r>
        <w:rPr>
          <w:rFonts w:ascii="Times New Roman" w:hAnsi="Times New Roman"/>
          <w:sz w:val="24"/>
        </w:rPr>
        <w:t>Merino, M. (2006). Muchas políticas y un solo derecho . En S. López Ayllón, </w:t>
      </w:r>
      <w:r>
        <w:rPr>
          <w:rFonts w:ascii="Times New Roman" w:hAnsi="Times New Roman"/>
          <w:i/>
          <w:sz w:val="24"/>
        </w:rPr>
        <w:t>Democracia, </w:t>
      </w:r>
      <w:r>
        <w:rPr>
          <w:rFonts w:ascii="Times New Roman" w:hAnsi="Times New Roman"/>
          <w:i/>
          <w:sz w:val="24"/>
        </w:rPr>
        <w:t>transparencia y constitución. Propuestas para un debate necesario. </w:t>
      </w:r>
      <w:r>
        <w:rPr>
          <w:rFonts w:ascii="Times New Roman" w:hAnsi="Times New Roman"/>
          <w:sz w:val="24"/>
        </w:rPr>
        <w:t>México:</w:t>
      </w:r>
      <w:r>
        <w:rPr>
          <w:rFonts w:ascii="Times New Roman" w:hAnsi="Times New Roman"/>
          <w:spacing w:val="-29"/>
          <w:sz w:val="24"/>
        </w:rPr>
        <w:t> </w:t>
      </w:r>
      <w:r>
        <w:rPr>
          <w:rFonts w:ascii="Times New Roman" w:hAnsi="Times New Roman"/>
          <w:sz w:val="24"/>
        </w:rPr>
        <w:t>Instituto de Investigaciones Jurídicas de la UNAM /</w:t>
      </w:r>
      <w:r>
        <w:rPr>
          <w:rFonts w:ascii="Times New Roman" w:hAnsi="Times New Roman"/>
          <w:spacing w:val="-15"/>
          <w:sz w:val="24"/>
        </w:rPr>
        <w:t> </w:t>
      </w:r>
      <w:r>
        <w:rPr>
          <w:rFonts w:ascii="Times New Roman" w:hAnsi="Times New Roman"/>
          <w:sz w:val="24"/>
        </w:rPr>
        <w:t>IFAI.</w:t>
      </w:r>
    </w:p>
    <w:p>
      <w:pPr>
        <w:pStyle w:val="BodyText"/>
        <w:ind w:left="108" w:right="6"/>
        <w:rPr>
          <w:rFonts w:ascii="Times New Roman" w:hAnsi="Times New Roman"/>
        </w:rPr>
      </w:pPr>
      <w:r>
        <w:rPr>
          <w:rFonts w:ascii="Times New Roman" w:hAnsi="Times New Roman"/>
        </w:rPr>
        <w:t>Merino, M. (2007). El desafío de la transparencia organizacional. En J. Bustillos Roqueñí, &amp;</w:t>
      </w:r>
    </w:p>
    <w:p>
      <w:pPr>
        <w:spacing w:before="0"/>
        <w:ind w:left="828" w:right="6" w:firstLine="0"/>
        <w:jc w:val="left"/>
        <w:rPr>
          <w:rFonts w:ascii="Times New Roman" w:hAnsi="Times New Roman"/>
          <w:sz w:val="24"/>
        </w:rPr>
      </w:pPr>
      <w:r>
        <w:rPr>
          <w:rFonts w:ascii="Times New Roman" w:hAnsi="Times New Roman"/>
          <w:sz w:val="24"/>
        </w:rPr>
        <w:t>M. Carbonell, </w:t>
      </w:r>
      <w:r>
        <w:rPr>
          <w:rFonts w:ascii="Times New Roman" w:hAnsi="Times New Roman"/>
          <w:i/>
          <w:sz w:val="24"/>
        </w:rPr>
        <w:t>Hacia una democracia de contenidos: la reforma constitucional en </w:t>
      </w:r>
      <w:r>
        <w:rPr>
          <w:rFonts w:ascii="Times New Roman" w:hAnsi="Times New Roman"/>
          <w:i/>
          <w:sz w:val="24"/>
        </w:rPr>
        <w:t>materia de transparencia. </w:t>
      </w:r>
      <w:r>
        <w:rPr>
          <w:rFonts w:ascii="Times New Roman" w:hAnsi="Times New Roman"/>
          <w:sz w:val="24"/>
        </w:rPr>
        <w:t>México: UNAM.</w:t>
      </w:r>
    </w:p>
    <w:p>
      <w:pPr>
        <w:spacing w:before="0"/>
        <w:ind w:left="828" w:right="120" w:hanging="720"/>
        <w:jc w:val="both"/>
        <w:rPr>
          <w:rFonts w:ascii="Times New Roman" w:hAnsi="Times New Roman"/>
          <w:sz w:val="24"/>
        </w:rPr>
      </w:pPr>
      <w:r>
        <w:rPr>
          <w:rFonts w:ascii="Times New Roman" w:hAnsi="Times New Roman"/>
          <w:sz w:val="24"/>
        </w:rPr>
        <w:t>Michels, R. (1992). </w:t>
      </w:r>
      <w:r>
        <w:rPr>
          <w:rFonts w:ascii="Times New Roman" w:hAnsi="Times New Roman"/>
          <w:i/>
          <w:sz w:val="24"/>
        </w:rPr>
        <w:t>Los partidos políticos. Un estudio sociológico de las tendencias </w:t>
      </w:r>
      <w:r>
        <w:rPr>
          <w:rFonts w:ascii="Times New Roman" w:hAnsi="Times New Roman"/>
          <w:i/>
          <w:sz w:val="24"/>
        </w:rPr>
        <w:t>oligárquicas de la democracia moderna. </w:t>
      </w:r>
      <w:r>
        <w:rPr>
          <w:rFonts w:ascii="Times New Roman" w:hAnsi="Times New Roman"/>
          <w:sz w:val="24"/>
        </w:rPr>
        <w:t>Buenos Aires: Amorrortu Editores.</w:t>
      </w:r>
    </w:p>
    <w:p>
      <w:pPr>
        <w:spacing w:before="0"/>
        <w:ind w:left="828" w:right="122" w:hanging="720"/>
        <w:jc w:val="both"/>
        <w:rPr>
          <w:rFonts w:ascii="Times New Roman" w:hAnsi="Times New Roman"/>
          <w:sz w:val="24"/>
        </w:rPr>
      </w:pPr>
      <w:r>
        <w:rPr>
          <w:rFonts w:ascii="Times New Roman" w:hAnsi="Times New Roman"/>
          <w:sz w:val="24"/>
        </w:rPr>
        <w:t>Morales Quiroga, M. (2009). Corrupción y democracia América Latina en perspectiva comparada. </w:t>
      </w:r>
      <w:r>
        <w:rPr>
          <w:rFonts w:ascii="Times New Roman" w:hAnsi="Times New Roman"/>
          <w:i/>
          <w:sz w:val="24"/>
        </w:rPr>
        <w:t>Gestión y Política Pública, XVIII</w:t>
      </w:r>
      <w:r>
        <w:rPr>
          <w:rFonts w:ascii="Times New Roman" w:hAnsi="Times New Roman"/>
          <w:sz w:val="24"/>
        </w:rPr>
        <w:t>(2).</w:t>
      </w:r>
    </w:p>
    <w:p>
      <w:pPr>
        <w:spacing w:before="0"/>
        <w:ind w:left="108" w:right="987" w:firstLine="0"/>
        <w:jc w:val="left"/>
        <w:rPr>
          <w:rFonts w:ascii="Times New Roman" w:hAnsi="Times New Roman"/>
          <w:sz w:val="24"/>
        </w:rPr>
      </w:pPr>
      <w:r>
        <w:rPr>
          <w:rFonts w:ascii="Times New Roman" w:hAnsi="Times New Roman"/>
          <w:sz w:val="24"/>
        </w:rPr>
        <w:t>Morlino, L. (2005). </w:t>
      </w:r>
      <w:r>
        <w:rPr>
          <w:rFonts w:ascii="Times New Roman" w:hAnsi="Times New Roman"/>
          <w:i/>
          <w:sz w:val="24"/>
        </w:rPr>
        <w:t>Democracia y Democratizaciones. </w:t>
      </w:r>
      <w:r>
        <w:rPr>
          <w:rFonts w:ascii="Times New Roman" w:hAnsi="Times New Roman"/>
          <w:sz w:val="24"/>
        </w:rPr>
        <w:t>México: Ediciones Cepcom. Moro, T. (2008). </w:t>
      </w:r>
      <w:r>
        <w:rPr>
          <w:rFonts w:ascii="Times New Roman" w:hAnsi="Times New Roman"/>
          <w:i/>
          <w:sz w:val="24"/>
        </w:rPr>
        <w:t>Utopía. </w:t>
      </w:r>
      <w:r>
        <w:rPr>
          <w:rFonts w:ascii="Times New Roman" w:hAnsi="Times New Roman"/>
          <w:sz w:val="24"/>
        </w:rPr>
        <w:t>Argentina: Terramar ediciones,.</w:t>
      </w:r>
    </w:p>
    <w:p>
      <w:pPr>
        <w:spacing w:before="0"/>
        <w:ind w:left="828" w:right="119" w:hanging="720"/>
        <w:jc w:val="both"/>
        <w:rPr>
          <w:rFonts w:ascii="Times New Roman" w:hAnsi="Times New Roman"/>
          <w:i/>
          <w:sz w:val="24"/>
        </w:rPr>
      </w:pPr>
      <w:r>
        <w:rPr>
          <w:rFonts w:ascii="Times New Roman" w:hAnsi="Times New Roman"/>
          <w:sz w:val="24"/>
        </w:rPr>
        <w:t>Naessens, H. (2010). Ética pública y transparencia, . </w:t>
      </w:r>
      <w:r>
        <w:rPr>
          <w:rFonts w:ascii="Times New Roman" w:hAnsi="Times New Roman"/>
          <w:i/>
          <w:sz w:val="24"/>
        </w:rPr>
        <w:t>XIV Encuentro de Latinoamericanistas </w:t>
      </w:r>
      <w:r>
        <w:rPr>
          <w:rFonts w:ascii="Times New Roman" w:hAnsi="Times New Roman"/>
          <w:i/>
          <w:sz w:val="24"/>
        </w:rPr>
        <w:t>Españoles. Congreso Internacional 1810-2010: 200 años de Iberoamérica.</w:t>
      </w:r>
    </w:p>
    <w:p>
      <w:pPr>
        <w:spacing w:before="0"/>
        <w:ind w:left="108" w:right="6" w:firstLine="0"/>
        <w:jc w:val="left"/>
        <w:rPr>
          <w:rFonts w:ascii="Times New Roman" w:hAnsi="Times New Roman"/>
          <w:sz w:val="24"/>
        </w:rPr>
      </w:pPr>
      <w:r>
        <w:rPr>
          <w:rFonts w:ascii="Times New Roman" w:hAnsi="Times New Roman"/>
          <w:sz w:val="24"/>
        </w:rPr>
        <w:t>Norbert, E. (1995). </w:t>
      </w:r>
      <w:r>
        <w:rPr>
          <w:rFonts w:ascii="Times New Roman" w:hAnsi="Times New Roman"/>
          <w:i/>
          <w:sz w:val="24"/>
        </w:rPr>
        <w:t>La sociedad de los individuos. </w:t>
      </w:r>
      <w:r>
        <w:rPr>
          <w:rFonts w:ascii="Times New Roman" w:hAnsi="Times New Roman"/>
          <w:sz w:val="24"/>
        </w:rPr>
        <w:t>Barcelona: Península.</w:t>
      </w:r>
    </w:p>
    <w:p>
      <w:pPr>
        <w:spacing w:before="0"/>
        <w:ind w:left="828" w:right="116" w:hanging="720"/>
        <w:jc w:val="both"/>
        <w:rPr>
          <w:rFonts w:ascii="Times New Roman" w:hAnsi="Times New Roman"/>
          <w:sz w:val="24"/>
        </w:rPr>
      </w:pPr>
      <w:r>
        <w:rPr>
          <w:rFonts w:ascii="Times New Roman" w:hAnsi="Times New Roman"/>
          <w:sz w:val="24"/>
        </w:rPr>
        <w:t>Norbert, E. (1998). </w:t>
      </w:r>
      <w:r>
        <w:rPr>
          <w:rFonts w:ascii="Times New Roman" w:hAnsi="Times New Roman"/>
          <w:i/>
          <w:sz w:val="24"/>
        </w:rPr>
        <w:t>El proceso de la civilización. Investigaciones sociogenéticas y </w:t>
      </w:r>
      <w:r>
        <w:rPr>
          <w:rFonts w:ascii="Times New Roman" w:hAnsi="Times New Roman"/>
          <w:i/>
          <w:sz w:val="24"/>
        </w:rPr>
        <w:t>psicogenéticas. </w:t>
      </w:r>
      <w:r>
        <w:rPr>
          <w:rFonts w:ascii="Times New Roman" w:hAnsi="Times New Roman"/>
          <w:sz w:val="24"/>
        </w:rPr>
        <w:t>Obtenido de </w:t>
      </w:r>
      <w:hyperlink r:id="rId180">
        <w:r>
          <w:rPr>
            <w:rFonts w:ascii="Times New Roman" w:hAnsi="Times New Roman"/>
            <w:sz w:val="24"/>
          </w:rPr>
          <w:t>http://ceur.usac.edu.gt/HeH/elias-norbert-el-proceso-de-</w:t>
        </w:r>
      </w:hyperlink>
      <w:r>
        <w:rPr>
          <w:rFonts w:ascii="Times New Roman" w:hAnsi="Times New Roman"/>
          <w:sz w:val="24"/>
        </w:rPr>
        <w:t> la.pdf</w:t>
      </w:r>
    </w:p>
    <w:p>
      <w:pPr>
        <w:pStyle w:val="BodyText"/>
        <w:tabs>
          <w:tab w:pos="2099" w:val="left" w:leader="none"/>
          <w:tab w:pos="3117" w:val="left" w:leader="none"/>
          <w:tab w:pos="5362" w:val="left" w:leader="none"/>
          <w:tab w:pos="7168" w:val="left" w:leader="none"/>
          <w:tab w:pos="8078" w:val="left" w:leader="none"/>
        </w:tabs>
        <w:ind w:left="828" w:right="120" w:hanging="720"/>
        <w:jc w:val="both"/>
        <w:rPr>
          <w:rFonts w:ascii="Times New Roman" w:hAnsi="Times New Roman"/>
        </w:rPr>
      </w:pPr>
      <w:r>
        <w:rPr>
          <w:rFonts w:ascii="Times New Roman" w:hAnsi="Times New Roman"/>
        </w:rPr>
        <w:t>Obama, B. (2009). </w:t>
      </w:r>
      <w:r>
        <w:rPr>
          <w:rFonts w:ascii="Times New Roman" w:hAnsi="Times New Roman"/>
          <w:i/>
        </w:rPr>
        <w:t>Transparency and open goberment. </w:t>
      </w:r>
      <w:r>
        <w:rPr>
          <w:rFonts w:ascii="Times New Roman" w:hAnsi="Times New Roman"/>
        </w:rPr>
        <w:t>Obtenido de Memorándum para los Jefes</w:t>
        <w:tab/>
        <w:t>de</w:t>
        <w:tab/>
        <w:t>Departamentos</w:t>
        <w:tab/>
        <w:t>Ejecutivos</w:t>
        <w:tab/>
        <w:t>y</w:t>
        <w:tab/>
        <w:t>Agencias: </w:t>
      </w:r>
      <w:hyperlink r:id="rId181">
        <w:r>
          <w:rPr>
            <w:rFonts w:ascii="Times New Roman" w:hAnsi="Times New Roman"/>
          </w:rPr>
          <w:t>http://www.whitehouse.gov/the_press_office/TransparencyandOpenGovernment</w:t>
        </w:r>
      </w:hyperlink>
    </w:p>
    <w:p>
      <w:pPr>
        <w:spacing w:before="0"/>
        <w:ind w:left="828" w:right="119" w:hanging="720"/>
        <w:jc w:val="left"/>
        <w:rPr>
          <w:rFonts w:ascii="Times New Roman" w:hAnsi="Times New Roman"/>
          <w:sz w:val="24"/>
        </w:rPr>
      </w:pPr>
      <w:r>
        <w:rPr>
          <w:rFonts w:ascii="Times New Roman" w:hAnsi="Times New Roman"/>
          <w:sz w:val="24"/>
        </w:rPr>
        <w:t>OCDE. (2011). </w:t>
      </w:r>
      <w:r>
        <w:rPr>
          <w:rFonts w:ascii="Times New Roman" w:hAnsi="Times New Roman"/>
          <w:i/>
          <w:sz w:val="24"/>
        </w:rPr>
        <w:t>Hacia una gestión pública más efectiva y dinámica en México. </w:t>
      </w:r>
      <w:r>
        <w:rPr>
          <w:rFonts w:ascii="Times New Roman" w:hAnsi="Times New Roman"/>
          <w:sz w:val="24"/>
        </w:rPr>
        <w:t>Obtenido de </w:t>
      </w:r>
      <w:hyperlink r:id="rId182">
        <w:r>
          <w:rPr>
            <w:rFonts w:ascii="Times New Roman" w:hAnsi="Times New Roman"/>
            <w:sz w:val="24"/>
          </w:rPr>
          <w:t>http://garcia.gob.mx/includes/docs/mejora_regulatoria/Hacia-una-gestion-publica-</w:t>
        </w:r>
      </w:hyperlink>
      <w:r>
        <w:rPr>
          <w:rFonts w:ascii="Times New Roman" w:hAnsi="Times New Roman"/>
          <w:sz w:val="24"/>
        </w:rPr>
        <w:t> mas-efectiva-y-dinamica-en-Mexico.pdf</w:t>
      </w:r>
    </w:p>
    <w:p>
      <w:pPr>
        <w:pStyle w:val="BodyText"/>
        <w:ind w:left="828" w:right="115" w:hanging="720"/>
        <w:jc w:val="both"/>
        <w:rPr>
          <w:rFonts w:ascii="Times New Roman" w:hAnsi="Times New Roman"/>
        </w:rPr>
      </w:pPr>
      <w:r>
        <w:rPr>
          <w:rFonts w:ascii="Times New Roman" w:hAnsi="Times New Roman"/>
        </w:rPr>
        <w:t>OCDE. (14 de Noviembre de 2014). </w:t>
      </w:r>
      <w:r>
        <w:rPr>
          <w:rFonts w:ascii="Times New Roman" w:hAnsi="Times New Roman"/>
          <w:i/>
        </w:rPr>
        <w:t>¿Qué es la OCDE? </w:t>
      </w:r>
      <w:r>
        <w:rPr>
          <w:rFonts w:ascii="Times New Roman" w:hAnsi="Times New Roman"/>
        </w:rPr>
        <w:t>Obtenido de </w:t>
      </w:r>
      <w:hyperlink r:id="rId183">
        <w:r>
          <w:rPr>
            <w:rFonts w:ascii="Times New Roman" w:hAnsi="Times New Roman"/>
          </w:rPr>
          <w:t>http://www.oecd.org/centrodemexico/laocde/</w:t>
        </w:r>
      </w:hyperlink>
    </w:p>
    <w:p>
      <w:pPr>
        <w:spacing w:before="0"/>
        <w:ind w:left="828" w:right="117" w:hanging="720"/>
        <w:jc w:val="both"/>
        <w:rPr>
          <w:rFonts w:ascii="Times New Roman"/>
          <w:sz w:val="24"/>
        </w:rPr>
      </w:pPr>
      <w:r>
        <w:rPr>
          <w:rFonts w:ascii="Times New Roman"/>
          <w:sz w:val="24"/>
        </w:rPr>
        <w:t>ONU. ( 2014). </w:t>
      </w:r>
      <w:r>
        <w:rPr>
          <w:rFonts w:ascii="Times New Roman"/>
          <w:i/>
          <w:sz w:val="24"/>
        </w:rPr>
        <w:t>Temas mundiales. Gobernanza. </w:t>
      </w:r>
      <w:r>
        <w:rPr>
          <w:rFonts w:ascii="Times New Roman"/>
          <w:sz w:val="24"/>
        </w:rPr>
        <w:t>Obtenido de </w:t>
      </w:r>
      <w:hyperlink r:id="rId184">
        <w:r>
          <w:rPr>
            <w:rFonts w:ascii="Times New Roman"/>
            <w:sz w:val="24"/>
          </w:rPr>
          <w:t>http://www.un.org/es/globalissues/governance/index.shtml</w:t>
        </w:r>
      </w:hyperlink>
    </w:p>
    <w:p>
      <w:pPr>
        <w:spacing w:before="0"/>
        <w:ind w:left="828" w:right="118" w:hanging="720"/>
        <w:jc w:val="both"/>
        <w:rPr>
          <w:rFonts w:ascii="Times New Roman" w:hAnsi="Times New Roman"/>
          <w:sz w:val="24"/>
        </w:rPr>
      </w:pPr>
      <w:r>
        <w:rPr>
          <w:rFonts w:ascii="Times New Roman" w:hAnsi="Times New Roman"/>
          <w:sz w:val="24"/>
        </w:rPr>
        <w:t>ONU. (2004). </w:t>
      </w:r>
      <w:r>
        <w:rPr>
          <w:rFonts w:ascii="Times New Roman" w:hAnsi="Times New Roman"/>
          <w:i/>
          <w:sz w:val="24"/>
        </w:rPr>
        <w:t>El Estado de derecho y la justicia de transición en las sociedades que sufren</w:t>
      </w:r>
      <w:r>
        <w:rPr>
          <w:rFonts w:ascii="Times New Roman" w:hAnsi="Times New Roman"/>
          <w:i/>
          <w:spacing w:val="-23"/>
          <w:sz w:val="24"/>
        </w:rPr>
        <w:t> </w:t>
      </w:r>
      <w:r>
        <w:rPr>
          <w:rFonts w:ascii="Times New Roman" w:hAnsi="Times New Roman"/>
          <w:i/>
          <w:sz w:val="24"/>
        </w:rPr>
        <w:t>o </w:t>
      </w:r>
      <w:r>
        <w:rPr>
          <w:rFonts w:ascii="Times New Roman" w:hAnsi="Times New Roman"/>
          <w:i/>
          <w:sz w:val="24"/>
        </w:rPr>
        <w:t>han sufrido conflictos. Informe del Secretario General. Consejo de Seguridad de las Naciones Unidas. </w:t>
      </w:r>
      <w:r>
        <w:rPr>
          <w:rFonts w:ascii="Times New Roman" w:hAnsi="Times New Roman"/>
          <w:sz w:val="24"/>
        </w:rPr>
        <w:t>Obtenido de</w:t>
      </w:r>
      <w:r>
        <w:rPr>
          <w:rFonts w:ascii="Times New Roman" w:hAnsi="Times New Roman"/>
          <w:spacing w:val="-13"/>
          <w:sz w:val="24"/>
        </w:rPr>
        <w:t> </w:t>
      </w:r>
      <w:r>
        <w:rPr>
          <w:rFonts w:ascii="Times New Roman" w:hAnsi="Times New Roman"/>
          <w:sz w:val="24"/>
        </w:rPr>
        <w:t>http://www.un.org/es/comun/docs/?symbol=S/2004</w:t>
      </w:r>
    </w:p>
    <w:p>
      <w:pPr>
        <w:spacing w:before="0"/>
        <w:ind w:left="828" w:right="117" w:hanging="720"/>
        <w:jc w:val="both"/>
        <w:rPr>
          <w:rFonts w:ascii="Times New Roman" w:hAnsi="Times New Roman"/>
          <w:sz w:val="24"/>
        </w:rPr>
      </w:pPr>
      <w:r>
        <w:rPr>
          <w:rFonts w:ascii="Times New Roman" w:hAnsi="Times New Roman"/>
          <w:sz w:val="24"/>
        </w:rPr>
        <w:t>ONU.</w:t>
      </w:r>
      <w:r>
        <w:rPr>
          <w:rFonts w:ascii="Times New Roman" w:hAnsi="Times New Roman"/>
          <w:spacing w:val="-9"/>
          <w:sz w:val="24"/>
        </w:rPr>
        <w:t> </w:t>
      </w:r>
      <w:r>
        <w:rPr>
          <w:rFonts w:ascii="Times New Roman" w:hAnsi="Times New Roman"/>
          <w:sz w:val="24"/>
        </w:rPr>
        <w:t>(2014).</w:t>
      </w:r>
      <w:r>
        <w:rPr>
          <w:rFonts w:ascii="Times New Roman" w:hAnsi="Times New Roman"/>
          <w:spacing w:val="-9"/>
          <w:sz w:val="24"/>
        </w:rPr>
        <w:t> </w:t>
      </w:r>
      <w:r>
        <w:rPr>
          <w:rFonts w:ascii="Times New Roman" w:hAnsi="Times New Roman"/>
          <w:i/>
          <w:sz w:val="24"/>
        </w:rPr>
        <w:t>Comunicado</w:t>
      </w:r>
      <w:r>
        <w:rPr>
          <w:rFonts w:ascii="Times New Roman" w:hAnsi="Times New Roman"/>
          <w:i/>
          <w:spacing w:val="-9"/>
          <w:sz w:val="24"/>
        </w:rPr>
        <w:t> </w:t>
      </w:r>
      <w:r>
        <w:rPr>
          <w:rFonts w:ascii="Times New Roman" w:hAnsi="Times New Roman"/>
          <w:i/>
          <w:sz w:val="24"/>
        </w:rPr>
        <w:t>de</w:t>
      </w:r>
      <w:r>
        <w:rPr>
          <w:rFonts w:ascii="Times New Roman" w:hAnsi="Times New Roman"/>
          <w:i/>
          <w:spacing w:val="-10"/>
          <w:sz w:val="24"/>
        </w:rPr>
        <w:t> </w:t>
      </w:r>
      <w:r>
        <w:rPr>
          <w:rFonts w:ascii="Times New Roman" w:hAnsi="Times New Roman"/>
          <w:i/>
          <w:sz w:val="24"/>
        </w:rPr>
        <w:t>prensa</w:t>
      </w:r>
      <w:r>
        <w:rPr>
          <w:rFonts w:ascii="Times New Roman" w:hAnsi="Times New Roman"/>
          <w:i/>
          <w:spacing w:val="-8"/>
          <w:sz w:val="24"/>
        </w:rPr>
        <w:t> </w:t>
      </w:r>
      <w:r>
        <w:rPr>
          <w:rFonts w:ascii="Times New Roman" w:hAnsi="Times New Roman"/>
          <w:i/>
          <w:sz w:val="24"/>
        </w:rPr>
        <w:t>del</w:t>
      </w:r>
      <w:r>
        <w:rPr>
          <w:rFonts w:ascii="Times New Roman" w:hAnsi="Times New Roman"/>
          <w:i/>
          <w:spacing w:val="-8"/>
          <w:sz w:val="24"/>
        </w:rPr>
        <w:t> </w:t>
      </w:r>
      <w:r>
        <w:rPr>
          <w:rFonts w:ascii="Times New Roman" w:hAnsi="Times New Roman"/>
          <w:i/>
          <w:sz w:val="24"/>
        </w:rPr>
        <w:t>día</w:t>
      </w:r>
      <w:r>
        <w:rPr>
          <w:rFonts w:ascii="Times New Roman" w:hAnsi="Times New Roman"/>
          <w:i/>
          <w:spacing w:val="-8"/>
          <w:sz w:val="24"/>
        </w:rPr>
        <w:t> </w:t>
      </w:r>
      <w:r>
        <w:rPr>
          <w:rFonts w:ascii="Times New Roman" w:hAnsi="Times New Roman"/>
          <w:i/>
          <w:sz w:val="24"/>
        </w:rPr>
        <w:t>31-03-2014</w:t>
      </w:r>
      <w:r>
        <w:rPr>
          <w:rFonts w:ascii="Times New Roman" w:hAnsi="Times New Roman"/>
          <w:i/>
          <w:spacing w:val="-9"/>
          <w:sz w:val="24"/>
        </w:rPr>
        <w:t> </w:t>
      </w:r>
      <w:r>
        <w:rPr>
          <w:rFonts w:ascii="Times New Roman" w:hAnsi="Times New Roman"/>
          <w:i/>
          <w:sz w:val="24"/>
        </w:rPr>
        <w:t>de</w:t>
      </w:r>
      <w:r>
        <w:rPr>
          <w:rFonts w:ascii="Times New Roman" w:hAnsi="Times New Roman"/>
          <w:i/>
          <w:spacing w:val="-10"/>
          <w:sz w:val="24"/>
        </w:rPr>
        <w:t> </w:t>
      </w:r>
      <w:r>
        <w:rPr>
          <w:rFonts w:ascii="Times New Roman" w:hAnsi="Times New Roman"/>
          <w:i/>
          <w:sz w:val="24"/>
        </w:rPr>
        <w:t>la</w:t>
      </w:r>
      <w:r>
        <w:rPr>
          <w:rFonts w:ascii="Times New Roman" w:hAnsi="Times New Roman"/>
          <w:i/>
          <w:spacing w:val="-8"/>
          <w:sz w:val="24"/>
        </w:rPr>
        <w:t> </w:t>
      </w:r>
      <w:r>
        <w:rPr>
          <w:rFonts w:ascii="Times New Roman" w:hAnsi="Times New Roman"/>
          <w:i/>
          <w:sz w:val="24"/>
        </w:rPr>
        <w:t>ONU.</w:t>
      </w:r>
      <w:r>
        <w:rPr>
          <w:rFonts w:ascii="Times New Roman" w:hAnsi="Times New Roman"/>
          <w:i/>
          <w:spacing w:val="-9"/>
          <w:sz w:val="24"/>
        </w:rPr>
        <w:t> </w:t>
      </w:r>
      <w:r>
        <w:rPr>
          <w:rFonts w:ascii="Times New Roman" w:hAnsi="Times New Roman"/>
          <w:i/>
          <w:sz w:val="24"/>
        </w:rPr>
        <w:t>El</w:t>
      </w:r>
      <w:r>
        <w:rPr>
          <w:rFonts w:ascii="Times New Roman" w:hAnsi="Times New Roman"/>
          <w:i/>
          <w:spacing w:val="-8"/>
          <w:sz w:val="24"/>
        </w:rPr>
        <w:t> </w:t>
      </w:r>
      <w:r>
        <w:rPr>
          <w:rFonts w:ascii="Times New Roman" w:hAnsi="Times New Roman"/>
          <w:i/>
          <w:sz w:val="24"/>
        </w:rPr>
        <w:t>mercado</w:t>
      </w:r>
      <w:r>
        <w:rPr>
          <w:rFonts w:ascii="Times New Roman" w:hAnsi="Times New Roman"/>
          <w:i/>
          <w:spacing w:val="-9"/>
          <w:sz w:val="24"/>
        </w:rPr>
        <w:t> </w:t>
      </w:r>
      <w:r>
        <w:rPr>
          <w:rFonts w:ascii="Times New Roman" w:hAnsi="Times New Roman"/>
          <w:i/>
          <w:sz w:val="24"/>
        </w:rPr>
        <w:t>de</w:t>
      </w:r>
      <w:r>
        <w:rPr>
          <w:rFonts w:ascii="Times New Roman" w:hAnsi="Times New Roman"/>
          <w:i/>
          <w:spacing w:val="-10"/>
          <w:sz w:val="24"/>
        </w:rPr>
        <w:t> </w:t>
      </w:r>
      <w:r>
        <w:rPr>
          <w:rFonts w:ascii="Times New Roman" w:hAnsi="Times New Roman"/>
          <w:i/>
          <w:sz w:val="24"/>
        </w:rPr>
        <w:t>materias </w:t>
      </w:r>
      <w:r>
        <w:rPr>
          <w:rFonts w:ascii="Times New Roman" w:hAnsi="Times New Roman"/>
          <w:i/>
          <w:sz w:val="24"/>
        </w:rPr>
        <w:t>primas requiere más transparencia. </w:t>
      </w:r>
      <w:r>
        <w:rPr>
          <w:rFonts w:ascii="Times New Roman" w:hAnsi="Times New Roman"/>
          <w:sz w:val="24"/>
        </w:rPr>
        <w:t>Recuperado el 07 de Septiembre de 2014, de </w:t>
      </w:r>
      <w:hyperlink r:id="rId185">
        <w:r>
          <w:rPr>
            <w:rFonts w:ascii="Times New Roman" w:hAnsi="Times New Roman"/>
            <w:sz w:val="24"/>
          </w:rPr>
          <w:t>http://www.un.org/spanish/News/story.asp?NewsID=29088#.VDSorfl5OPU</w:t>
        </w:r>
      </w:hyperlink>
    </w:p>
    <w:p>
      <w:pPr>
        <w:spacing w:before="0"/>
        <w:ind w:left="828" w:right="122" w:hanging="720"/>
        <w:jc w:val="both"/>
        <w:rPr>
          <w:rFonts w:ascii="Times New Roman" w:hAnsi="Times New Roman"/>
          <w:sz w:val="24"/>
        </w:rPr>
      </w:pPr>
      <w:r>
        <w:rPr>
          <w:rFonts w:ascii="Times New Roman" w:hAnsi="Times New Roman"/>
          <w:sz w:val="24"/>
        </w:rPr>
        <w:t>Pardiñas Carpizo, J. E., &amp; Granados Franco, E. (2010). El municipio ¿La institución de la opacidad? </w:t>
      </w:r>
      <w:r>
        <w:rPr>
          <w:rFonts w:ascii="Times New Roman" w:hAnsi="Times New Roman"/>
          <w:i/>
          <w:sz w:val="24"/>
        </w:rPr>
        <w:t>Serie El Uso y Abuso de los Recursos Públicos. Cuaderno de debate</w:t>
      </w:r>
      <w:r>
        <w:rPr>
          <w:rFonts w:ascii="Times New Roman" w:hAnsi="Times New Roman"/>
          <w:sz w:val="24"/>
        </w:rPr>
        <w:t>.</w:t>
      </w:r>
    </w:p>
    <w:p>
      <w:pPr>
        <w:spacing w:before="0"/>
        <w:ind w:left="108" w:right="6" w:firstLine="0"/>
        <w:jc w:val="left"/>
        <w:rPr>
          <w:rFonts w:ascii="Times New Roman"/>
          <w:sz w:val="24"/>
        </w:rPr>
      </w:pPr>
      <w:r>
        <w:rPr>
          <w:rFonts w:ascii="Times New Roman"/>
          <w:sz w:val="24"/>
        </w:rPr>
        <w:t>Parsons, T. (2007). </w:t>
      </w:r>
      <w:r>
        <w:rPr>
          <w:rFonts w:ascii="Times New Roman"/>
          <w:i/>
          <w:sz w:val="24"/>
        </w:rPr>
        <w:t>El sistema social. </w:t>
      </w:r>
      <w:r>
        <w:rPr>
          <w:rFonts w:ascii="Times New Roman"/>
          <w:sz w:val="24"/>
        </w:rPr>
        <w:t>Madrid: Alianza editorial.</w:t>
      </w:r>
    </w:p>
    <w:p>
      <w:pPr>
        <w:spacing w:before="0"/>
        <w:ind w:left="828" w:right="118" w:hanging="720"/>
        <w:jc w:val="both"/>
        <w:rPr>
          <w:rFonts w:ascii="Times New Roman" w:hAnsi="Times New Roman"/>
          <w:sz w:val="24"/>
        </w:rPr>
      </w:pPr>
      <w:r>
        <w:rPr>
          <w:rFonts w:ascii="Times New Roman" w:hAnsi="Times New Roman"/>
          <w:sz w:val="24"/>
        </w:rPr>
        <w:t>Pérez Sedeño, E. (Abril de 2007). Evaluación, transparencia y democracia. </w:t>
      </w:r>
      <w:r>
        <w:rPr>
          <w:rFonts w:ascii="Times New Roman" w:hAnsi="Times New Roman"/>
          <w:i/>
          <w:sz w:val="24"/>
        </w:rPr>
        <w:t>Revista </w:t>
      </w:r>
      <w:r>
        <w:rPr>
          <w:rFonts w:ascii="Times New Roman" w:hAnsi="Times New Roman"/>
          <w:i/>
          <w:sz w:val="24"/>
        </w:rPr>
        <w:t>Iberoamericana de Ciencia, Tecnología y Sociedad, III</w:t>
      </w:r>
      <w:r>
        <w:rPr>
          <w:rFonts w:ascii="Times New Roman" w:hAnsi="Times New Roman"/>
          <w:sz w:val="24"/>
        </w:rPr>
        <w:t>(8).</w:t>
      </w:r>
    </w:p>
    <w:p>
      <w:pPr>
        <w:spacing w:after="0"/>
        <w:jc w:val="both"/>
        <w:rPr>
          <w:rFonts w:ascii="Times New Roman" w:hAnsi="Times New Roman"/>
          <w:sz w:val="24"/>
        </w:rPr>
        <w:sectPr>
          <w:pgSz w:w="12240" w:h="15840"/>
          <w:pgMar w:header="0" w:footer="975" w:top="1360" w:bottom="1220" w:left="1500" w:right="1580"/>
        </w:sectPr>
      </w:pPr>
    </w:p>
    <w:p>
      <w:pPr>
        <w:pStyle w:val="BodyText"/>
        <w:spacing w:before="48"/>
        <w:ind w:left="828" w:right="115" w:hanging="720"/>
        <w:jc w:val="both"/>
        <w:rPr>
          <w:rFonts w:ascii="Times New Roman" w:hAnsi="Times New Roman"/>
        </w:rPr>
      </w:pPr>
      <w:r>
        <w:rPr>
          <w:rFonts w:ascii="Times New Roman" w:hAnsi="Times New Roman"/>
        </w:rPr>
        <w:t>Peschard</w:t>
      </w:r>
      <w:r>
        <w:rPr>
          <w:rFonts w:ascii="Times New Roman" w:hAnsi="Times New Roman"/>
          <w:spacing w:val="-8"/>
        </w:rPr>
        <w:t> </w:t>
      </w:r>
      <w:r>
        <w:rPr>
          <w:rFonts w:ascii="Times New Roman" w:hAnsi="Times New Roman"/>
        </w:rPr>
        <w:t>Mariscal,</w:t>
      </w:r>
      <w:r>
        <w:rPr>
          <w:rFonts w:ascii="Times New Roman" w:hAnsi="Times New Roman"/>
          <w:spacing w:val="-7"/>
        </w:rPr>
        <w:t> </w:t>
      </w:r>
      <w:r>
        <w:rPr>
          <w:rFonts w:ascii="Times New Roman" w:hAnsi="Times New Roman"/>
        </w:rPr>
        <w:t>J.</w:t>
      </w:r>
      <w:r>
        <w:rPr>
          <w:rFonts w:ascii="Times New Roman" w:hAnsi="Times New Roman"/>
          <w:spacing w:val="-10"/>
        </w:rPr>
        <w:t> </w:t>
      </w:r>
      <w:r>
        <w:rPr>
          <w:rFonts w:ascii="Times New Roman" w:hAnsi="Times New Roman"/>
        </w:rPr>
        <w:t>(2012).</w:t>
      </w:r>
      <w:r>
        <w:rPr>
          <w:rFonts w:ascii="Times New Roman" w:hAnsi="Times New Roman"/>
          <w:spacing w:val="-8"/>
        </w:rPr>
        <w:t> </w:t>
      </w:r>
      <w:r>
        <w:rPr>
          <w:rFonts w:ascii="Times New Roman" w:hAnsi="Times New Roman"/>
        </w:rPr>
        <w:t>Del</w:t>
      </w:r>
      <w:r>
        <w:rPr>
          <w:rFonts w:ascii="Times New Roman" w:hAnsi="Times New Roman"/>
          <w:spacing w:val="-7"/>
        </w:rPr>
        <w:t> </w:t>
      </w:r>
      <w:r>
        <w:rPr>
          <w:rFonts w:ascii="Times New Roman" w:hAnsi="Times New Roman"/>
        </w:rPr>
        <w:t>gobierno</w:t>
      </w:r>
      <w:r>
        <w:rPr>
          <w:rFonts w:ascii="Times New Roman" w:hAnsi="Times New Roman"/>
          <w:spacing w:val="-7"/>
        </w:rPr>
        <w:t> </w:t>
      </w:r>
      <w:r>
        <w:rPr>
          <w:rFonts w:ascii="Times New Roman" w:hAnsi="Times New Roman"/>
        </w:rPr>
        <w:t>abierto</w:t>
      </w:r>
      <w:r>
        <w:rPr>
          <w:rFonts w:ascii="Times New Roman" w:hAnsi="Times New Roman"/>
          <w:spacing w:val="-7"/>
        </w:rPr>
        <w:t> </w:t>
      </w:r>
      <w:r>
        <w:rPr>
          <w:rFonts w:ascii="Times New Roman" w:hAnsi="Times New Roman"/>
        </w:rPr>
        <w:t>a</w:t>
      </w:r>
      <w:r>
        <w:rPr>
          <w:rFonts w:ascii="Times New Roman" w:hAnsi="Times New Roman"/>
          <w:spacing w:val="-8"/>
        </w:rPr>
        <w:t> </w:t>
      </w:r>
      <w:r>
        <w:rPr>
          <w:rFonts w:ascii="Times New Roman" w:hAnsi="Times New Roman"/>
        </w:rPr>
        <w:t>la</w:t>
      </w:r>
      <w:r>
        <w:rPr>
          <w:rFonts w:ascii="Times New Roman" w:hAnsi="Times New Roman"/>
          <w:spacing w:val="-8"/>
        </w:rPr>
        <w:t> </w:t>
      </w:r>
      <w:r>
        <w:rPr>
          <w:rFonts w:ascii="Times New Roman" w:hAnsi="Times New Roman"/>
        </w:rPr>
        <w:t>transparencia</w:t>
      </w:r>
      <w:r>
        <w:rPr>
          <w:rFonts w:ascii="Times New Roman" w:hAnsi="Times New Roman"/>
          <w:spacing w:val="-8"/>
        </w:rPr>
        <w:t> </w:t>
      </w:r>
      <w:r>
        <w:rPr>
          <w:rFonts w:ascii="Times New Roman" w:hAnsi="Times New Roman"/>
        </w:rPr>
        <w:t>proactiva:</w:t>
      </w:r>
      <w:r>
        <w:rPr>
          <w:rFonts w:ascii="Times New Roman" w:hAnsi="Times New Roman"/>
          <w:spacing w:val="-7"/>
        </w:rPr>
        <w:t> </w:t>
      </w:r>
      <w:r>
        <w:rPr>
          <w:rFonts w:ascii="Times New Roman" w:hAnsi="Times New Roman"/>
        </w:rPr>
        <w:t>la</w:t>
      </w:r>
      <w:r>
        <w:rPr>
          <w:rFonts w:ascii="Times New Roman" w:hAnsi="Times New Roman"/>
          <w:spacing w:val="-8"/>
        </w:rPr>
        <w:t> </w:t>
      </w:r>
      <w:r>
        <w:rPr>
          <w:rFonts w:ascii="Times New Roman" w:hAnsi="Times New Roman"/>
        </w:rPr>
        <w:t>experiencia del</w:t>
      </w:r>
      <w:r>
        <w:rPr>
          <w:rFonts w:ascii="Times New Roman" w:hAnsi="Times New Roman"/>
          <w:spacing w:val="-8"/>
        </w:rPr>
        <w:t> </w:t>
      </w:r>
      <w:r>
        <w:rPr>
          <w:rFonts w:ascii="Times New Roman" w:hAnsi="Times New Roman"/>
        </w:rPr>
        <w:t>IFAI</w:t>
      </w:r>
      <w:r>
        <w:rPr>
          <w:rFonts w:ascii="Times New Roman" w:hAnsi="Times New Roman"/>
          <w:spacing w:val="-14"/>
        </w:rPr>
        <w:t> </w:t>
      </w:r>
      <w:r>
        <w:rPr>
          <w:rFonts w:ascii="Times New Roman" w:hAnsi="Times New Roman"/>
        </w:rPr>
        <w:t>en</w:t>
      </w:r>
      <w:r>
        <w:rPr>
          <w:rFonts w:ascii="Times New Roman" w:hAnsi="Times New Roman"/>
          <w:spacing w:val="-11"/>
        </w:rPr>
        <w:t> </w:t>
      </w:r>
      <w:r>
        <w:rPr>
          <w:rFonts w:ascii="Times New Roman" w:hAnsi="Times New Roman"/>
        </w:rPr>
        <w:t>2011.</w:t>
      </w:r>
      <w:r>
        <w:rPr>
          <w:rFonts w:ascii="Times New Roman" w:hAnsi="Times New Roman"/>
          <w:spacing w:val="-11"/>
        </w:rPr>
        <w:t> </w:t>
      </w:r>
      <w:r>
        <w:rPr>
          <w:rFonts w:ascii="Times New Roman" w:hAnsi="Times New Roman"/>
        </w:rPr>
        <w:t>En</w:t>
      </w:r>
      <w:r>
        <w:rPr>
          <w:rFonts w:ascii="Times New Roman" w:hAnsi="Times New Roman"/>
          <w:spacing w:val="-9"/>
        </w:rPr>
        <w:t> </w:t>
      </w:r>
      <w:r>
        <w:rPr>
          <w:rFonts w:ascii="Times New Roman" w:hAnsi="Times New Roman"/>
        </w:rPr>
        <w:t>A.</w:t>
      </w:r>
      <w:r>
        <w:rPr>
          <w:rFonts w:ascii="Times New Roman" w:hAnsi="Times New Roman"/>
          <w:spacing w:val="-9"/>
        </w:rPr>
        <w:t> </w:t>
      </w:r>
      <w:r>
        <w:rPr>
          <w:rFonts w:ascii="Times New Roman" w:hAnsi="Times New Roman"/>
        </w:rPr>
        <w:t>Hofmann,</w:t>
      </w:r>
      <w:r>
        <w:rPr>
          <w:rFonts w:ascii="Times New Roman" w:hAnsi="Times New Roman"/>
          <w:spacing w:val="-12"/>
        </w:rPr>
        <w:t> </w:t>
      </w:r>
      <w:r>
        <w:rPr>
          <w:rFonts w:ascii="Times New Roman" w:hAnsi="Times New Roman"/>
        </w:rPr>
        <w:t>Á.</w:t>
      </w:r>
      <w:r>
        <w:rPr>
          <w:rFonts w:ascii="Times New Roman" w:hAnsi="Times New Roman"/>
          <w:spacing w:val="-12"/>
        </w:rPr>
        <w:t> </w:t>
      </w:r>
      <w:r>
        <w:rPr>
          <w:rFonts w:ascii="Times New Roman" w:hAnsi="Times New Roman"/>
        </w:rPr>
        <w:t>Ramírez</w:t>
      </w:r>
      <w:r>
        <w:rPr>
          <w:rFonts w:ascii="Times New Roman" w:hAnsi="Times New Roman"/>
          <w:spacing w:val="-10"/>
        </w:rPr>
        <w:t> </w:t>
      </w:r>
      <w:r>
        <w:rPr>
          <w:rFonts w:ascii="Times New Roman" w:hAnsi="Times New Roman"/>
        </w:rPr>
        <w:t>Alufas,</w:t>
      </w:r>
      <w:r>
        <w:rPr>
          <w:rFonts w:ascii="Times New Roman" w:hAnsi="Times New Roman"/>
          <w:spacing w:val="-11"/>
        </w:rPr>
        <w:t> </w:t>
      </w:r>
      <w:r>
        <w:rPr>
          <w:rFonts w:ascii="Times New Roman" w:hAnsi="Times New Roman"/>
        </w:rPr>
        <w:t>&amp;</w:t>
      </w:r>
      <w:r>
        <w:rPr>
          <w:rFonts w:ascii="Times New Roman" w:hAnsi="Times New Roman"/>
          <w:spacing w:val="-11"/>
        </w:rPr>
        <w:t> </w:t>
      </w:r>
      <w:r>
        <w:rPr>
          <w:rFonts w:ascii="Times New Roman" w:hAnsi="Times New Roman"/>
        </w:rPr>
        <w:t>J.</w:t>
      </w:r>
      <w:r>
        <w:rPr>
          <w:rFonts w:ascii="Times New Roman" w:hAnsi="Times New Roman"/>
          <w:spacing w:val="-11"/>
        </w:rPr>
        <w:t> </w:t>
      </w:r>
      <w:r>
        <w:rPr>
          <w:rFonts w:ascii="Times New Roman" w:hAnsi="Times New Roman"/>
        </w:rPr>
        <w:t>A.</w:t>
      </w:r>
      <w:r>
        <w:rPr>
          <w:rFonts w:ascii="Times New Roman" w:hAnsi="Times New Roman"/>
          <w:spacing w:val="-12"/>
        </w:rPr>
        <w:t> </w:t>
      </w:r>
      <w:r>
        <w:rPr>
          <w:rFonts w:ascii="Times New Roman" w:hAnsi="Times New Roman"/>
        </w:rPr>
        <w:t>Bojorquez,</w:t>
      </w:r>
      <w:r>
        <w:rPr>
          <w:rFonts w:ascii="Times New Roman" w:hAnsi="Times New Roman"/>
          <w:spacing w:val="-8"/>
        </w:rPr>
        <w:t> </w:t>
      </w:r>
      <w:r>
        <w:rPr>
          <w:rFonts w:ascii="Times New Roman" w:hAnsi="Times New Roman"/>
          <w:i/>
        </w:rPr>
        <w:t>La</w:t>
      </w:r>
      <w:r>
        <w:rPr>
          <w:rFonts w:ascii="Times New Roman" w:hAnsi="Times New Roman"/>
          <w:i/>
          <w:spacing w:val="-11"/>
        </w:rPr>
        <w:t> </w:t>
      </w:r>
      <w:r>
        <w:rPr>
          <w:rFonts w:ascii="Times New Roman" w:hAnsi="Times New Roman"/>
          <w:i/>
        </w:rPr>
        <w:t>promesa </w:t>
      </w:r>
      <w:r>
        <w:rPr>
          <w:rFonts w:ascii="Times New Roman" w:hAnsi="Times New Roman"/>
          <w:i/>
        </w:rPr>
        <w:t>del gobierno abierto. </w:t>
      </w:r>
      <w:r>
        <w:rPr>
          <w:rFonts w:ascii="Times New Roman" w:hAnsi="Times New Roman"/>
        </w:rPr>
        <w:t>México:</w:t>
      </w:r>
      <w:r>
        <w:rPr>
          <w:rFonts w:ascii="Times New Roman" w:hAnsi="Times New Roman"/>
          <w:spacing w:val="-14"/>
        </w:rPr>
        <w:t> </w:t>
      </w:r>
      <w:r>
        <w:rPr>
          <w:rFonts w:ascii="Times New Roman" w:hAnsi="Times New Roman"/>
        </w:rPr>
        <w:t>ITAIP-INFODF.</w:t>
      </w:r>
    </w:p>
    <w:p>
      <w:pPr>
        <w:spacing w:before="0"/>
        <w:ind w:left="108" w:right="6" w:firstLine="0"/>
        <w:jc w:val="left"/>
        <w:rPr>
          <w:rFonts w:ascii="Times New Roman" w:hAnsi="Times New Roman"/>
          <w:i/>
          <w:sz w:val="24"/>
        </w:rPr>
      </w:pPr>
      <w:r>
        <w:rPr>
          <w:rFonts w:ascii="Times New Roman" w:hAnsi="Times New Roman"/>
          <w:sz w:val="24"/>
        </w:rPr>
        <w:t>Peters,  G.  (2003).  </w:t>
      </w:r>
      <w:r>
        <w:rPr>
          <w:rFonts w:ascii="Times New Roman" w:hAnsi="Times New Roman"/>
          <w:i/>
          <w:sz w:val="24"/>
        </w:rPr>
        <w:t>El  nuevo  institucionalismo.  Teoría  institucional  en  ciencia   política.</w:t>
      </w:r>
    </w:p>
    <w:p>
      <w:pPr>
        <w:pStyle w:val="BodyText"/>
        <w:ind w:left="828" w:right="6"/>
        <w:rPr>
          <w:rFonts w:ascii="Times New Roman"/>
        </w:rPr>
      </w:pPr>
      <w:r>
        <w:rPr>
          <w:rFonts w:ascii="Times New Roman"/>
        </w:rPr>
        <w:t>Barcelona: Gedisa.</w:t>
      </w:r>
    </w:p>
    <w:p>
      <w:pPr>
        <w:spacing w:before="0"/>
        <w:ind w:left="828" w:right="116" w:hanging="720"/>
        <w:jc w:val="both"/>
        <w:rPr>
          <w:rFonts w:ascii="Times New Roman"/>
          <w:sz w:val="24"/>
        </w:rPr>
      </w:pPr>
      <w:r>
        <w:rPr>
          <w:rFonts w:ascii="Times New Roman"/>
          <w:i/>
          <w:sz w:val="24"/>
        </w:rPr>
        <w:t>Portal de transparencia ciudadana. </w:t>
      </w:r>
      <w:r>
        <w:rPr>
          <w:rFonts w:ascii="Times New Roman"/>
          <w:sz w:val="24"/>
        </w:rPr>
        <w:t>(Noviembre de 2015). Obtenido de </w:t>
      </w:r>
      <w:hyperlink r:id="rId186">
        <w:r>
          <w:rPr>
            <w:rFonts w:ascii="Times New Roman"/>
            <w:sz w:val="24"/>
          </w:rPr>
          <w:t>http://transparencia.edomex.gob.mx/</w:t>
        </w:r>
      </w:hyperlink>
    </w:p>
    <w:p>
      <w:pPr>
        <w:spacing w:before="0"/>
        <w:ind w:left="828" w:right="118" w:hanging="720"/>
        <w:jc w:val="both"/>
        <w:rPr>
          <w:rFonts w:ascii="Times New Roman" w:hAnsi="Times New Roman"/>
          <w:sz w:val="24"/>
        </w:rPr>
      </w:pPr>
      <w:r>
        <w:rPr>
          <w:rFonts w:ascii="Times New Roman" w:hAnsi="Times New Roman"/>
          <w:sz w:val="24"/>
        </w:rPr>
        <w:t>Portal, J. M. (2011). Discurso del Auditor Superior “Transparencia y rendición de cuentas". </w:t>
      </w:r>
      <w:r>
        <w:rPr>
          <w:rFonts w:ascii="Times New Roman" w:hAnsi="Times New Roman"/>
          <w:i/>
          <w:sz w:val="24"/>
        </w:rPr>
        <w:t>Diplomado Contraloría Social y Rendición de Cuentas. </w:t>
      </w:r>
      <w:r>
        <w:rPr>
          <w:rFonts w:ascii="Times New Roman" w:hAnsi="Times New Roman"/>
          <w:sz w:val="24"/>
        </w:rPr>
        <w:t>México: Universidad Autónoma de Querétaro.</w:t>
      </w:r>
    </w:p>
    <w:p>
      <w:pPr>
        <w:spacing w:before="0"/>
        <w:ind w:left="828" w:right="118" w:hanging="720"/>
        <w:jc w:val="both"/>
        <w:rPr>
          <w:rFonts w:ascii="Times New Roman"/>
          <w:sz w:val="24"/>
        </w:rPr>
      </w:pPr>
      <w:r>
        <w:rPr>
          <w:rFonts w:ascii="Times New Roman"/>
          <w:sz w:val="24"/>
        </w:rPr>
        <w:t>Powell, &amp; Dimaggio. (1991). </w:t>
      </w:r>
      <w:r>
        <w:rPr>
          <w:rFonts w:ascii="Times New Roman"/>
          <w:i/>
          <w:sz w:val="24"/>
        </w:rPr>
        <w:t>Rhe New Institutionalism in Organizational Analysis. </w:t>
      </w:r>
      <w:r>
        <w:rPr>
          <w:rFonts w:ascii="Times New Roman"/>
          <w:sz w:val="24"/>
        </w:rPr>
        <w:t>Chicago: University of Chicago Press.</w:t>
      </w:r>
    </w:p>
    <w:p>
      <w:pPr>
        <w:spacing w:before="0"/>
        <w:ind w:left="828" w:right="118" w:hanging="720"/>
        <w:jc w:val="both"/>
        <w:rPr>
          <w:rFonts w:ascii="Times New Roman" w:hAnsi="Times New Roman"/>
          <w:sz w:val="24"/>
        </w:rPr>
      </w:pPr>
      <w:r>
        <w:rPr>
          <w:rFonts w:ascii="Times New Roman" w:hAnsi="Times New Roman"/>
          <w:sz w:val="24"/>
        </w:rPr>
        <w:t>Powell, Walter, &amp; Dimaggio. (1999). </w:t>
      </w:r>
      <w:r>
        <w:rPr>
          <w:rFonts w:ascii="Times New Roman" w:hAnsi="Times New Roman"/>
          <w:i/>
          <w:sz w:val="24"/>
        </w:rPr>
        <w:t>El Nuevo institucionalismo en el análisis </w:t>
      </w:r>
      <w:r>
        <w:rPr>
          <w:rFonts w:ascii="Times New Roman" w:hAnsi="Times New Roman"/>
          <w:i/>
          <w:sz w:val="24"/>
        </w:rPr>
        <w:t>organizacional. </w:t>
      </w:r>
      <w:r>
        <w:rPr>
          <w:rFonts w:ascii="Times New Roman" w:hAnsi="Times New Roman"/>
          <w:sz w:val="24"/>
        </w:rPr>
        <w:t>México: Fondo de Cultura Económica-UAEM.</w:t>
      </w:r>
    </w:p>
    <w:p>
      <w:pPr>
        <w:pStyle w:val="BodyText"/>
        <w:ind w:left="828" w:right="120" w:hanging="720"/>
        <w:jc w:val="both"/>
        <w:rPr>
          <w:rFonts w:ascii="Times New Roman" w:hAnsi="Times New Roman"/>
        </w:rPr>
      </w:pPr>
      <w:r>
        <w:rPr>
          <w:rFonts w:ascii="Times New Roman" w:hAnsi="Times New Roman"/>
        </w:rPr>
        <w:t>Quintanilla Mendoza, G. (mayo-agosto de 2012). e-Transparencia y e-Rendición de cuentas en los sitios web mexicanos. </w:t>
      </w:r>
      <w:r>
        <w:rPr>
          <w:rFonts w:ascii="Times New Roman" w:hAnsi="Times New Roman"/>
          <w:i/>
        </w:rPr>
        <w:t>Espacios Públicos, 15</w:t>
      </w:r>
      <w:r>
        <w:rPr>
          <w:rFonts w:ascii="Times New Roman" w:hAnsi="Times New Roman"/>
        </w:rPr>
        <w:t>(34).</w:t>
      </w:r>
    </w:p>
    <w:p>
      <w:pPr>
        <w:spacing w:before="0"/>
        <w:ind w:left="828" w:right="116" w:hanging="720"/>
        <w:jc w:val="both"/>
        <w:rPr>
          <w:rFonts w:ascii="Times New Roman" w:hAnsi="Times New Roman"/>
          <w:sz w:val="24"/>
        </w:rPr>
      </w:pPr>
      <w:r>
        <w:rPr>
          <w:rFonts w:ascii="Times New Roman" w:hAnsi="Times New Roman"/>
          <w:sz w:val="24"/>
        </w:rPr>
        <w:t>Ríos Cázares, A. (2011). </w:t>
      </w:r>
      <w:r>
        <w:rPr>
          <w:rFonts w:ascii="Times New Roman" w:hAnsi="Times New Roman"/>
          <w:i/>
          <w:sz w:val="24"/>
        </w:rPr>
        <w:t>Transparencia Gubernamental En Los Gobiernos Municipales a </w:t>
      </w:r>
      <w:r>
        <w:rPr>
          <w:rFonts w:ascii="Times New Roman" w:hAnsi="Times New Roman"/>
          <w:i/>
          <w:sz w:val="24"/>
        </w:rPr>
        <w:t>debate: Un análisis de la institución municipal a través de la encuesta INEGI 2009 </w:t>
      </w:r>
      <w:r>
        <w:rPr>
          <w:rFonts w:ascii="Times New Roman" w:hAnsi="Times New Roman"/>
          <w:sz w:val="24"/>
        </w:rPr>
        <w:t>(Primera ed.). D.F, México: Centro de Investigaciones y Docencia Económicas.</w:t>
      </w:r>
    </w:p>
    <w:p>
      <w:pPr>
        <w:spacing w:before="0"/>
        <w:ind w:left="108" w:right="6" w:firstLine="0"/>
        <w:jc w:val="left"/>
        <w:rPr>
          <w:rFonts w:ascii="Times New Roman" w:hAnsi="Times New Roman"/>
          <w:sz w:val="24"/>
        </w:rPr>
      </w:pPr>
      <w:r>
        <w:rPr>
          <w:rFonts w:ascii="Times New Roman" w:hAnsi="Times New Roman"/>
          <w:sz w:val="24"/>
        </w:rPr>
        <w:t>Rousseau, J.-J. (2006). </w:t>
      </w:r>
      <w:r>
        <w:rPr>
          <w:rFonts w:ascii="Times New Roman" w:hAnsi="Times New Roman"/>
          <w:i/>
          <w:sz w:val="24"/>
        </w:rPr>
        <w:t>El contrato social. </w:t>
      </w:r>
      <w:r>
        <w:rPr>
          <w:rFonts w:ascii="Times New Roman" w:hAnsi="Times New Roman"/>
          <w:sz w:val="24"/>
        </w:rPr>
        <w:t>México: Taurus.</w:t>
      </w:r>
    </w:p>
    <w:p>
      <w:pPr>
        <w:spacing w:before="0"/>
        <w:ind w:left="828" w:right="118" w:hanging="720"/>
        <w:jc w:val="both"/>
        <w:rPr>
          <w:rFonts w:ascii="Times New Roman" w:hAnsi="Times New Roman"/>
          <w:sz w:val="24"/>
        </w:rPr>
      </w:pPr>
      <w:r>
        <w:rPr>
          <w:rFonts w:ascii="Times New Roman" w:hAnsi="Times New Roman"/>
          <w:sz w:val="24"/>
        </w:rPr>
        <w:t>Sánchez Valdés, V. M. (2011). El Derecho a la Información desde el enfoque racional. En</w:t>
      </w:r>
      <w:r>
        <w:rPr>
          <w:rFonts w:ascii="Times New Roman" w:hAnsi="Times New Roman"/>
          <w:spacing w:val="-40"/>
          <w:sz w:val="24"/>
        </w:rPr>
        <w:t> </w:t>
      </w:r>
      <w:r>
        <w:rPr>
          <w:rFonts w:ascii="Times New Roman" w:hAnsi="Times New Roman"/>
          <w:sz w:val="24"/>
        </w:rPr>
        <w:t>V. Peña, </w:t>
      </w:r>
      <w:r>
        <w:rPr>
          <w:rFonts w:ascii="Times New Roman" w:hAnsi="Times New Roman"/>
          <w:i/>
          <w:sz w:val="24"/>
        </w:rPr>
        <w:t>A una década: Temas y reflexiones sobre transparencia y rendición de cuentas </w:t>
      </w:r>
      <w:r>
        <w:rPr>
          <w:rFonts w:ascii="Times New Roman" w:hAnsi="Times New Roman"/>
          <w:i/>
          <w:sz w:val="24"/>
        </w:rPr>
        <w:t>como política pública en México </w:t>
      </w:r>
      <w:r>
        <w:rPr>
          <w:rFonts w:ascii="Times New Roman" w:hAnsi="Times New Roman"/>
          <w:sz w:val="24"/>
        </w:rPr>
        <w:t>(Primera ed.). D.F., México: Porrúa-Instituto Tecnológico de</w:t>
      </w:r>
      <w:r>
        <w:rPr>
          <w:rFonts w:ascii="Times New Roman" w:hAnsi="Times New Roman"/>
          <w:spacing w:val="-12"/>
          <w:sz w:val="24"/>
        </w:rPr>
        <w:t> </w:t>
      </w:r>
      <w:r>
        <w:rPr>
          <w:rFonts w:ascii="Times New Roman" w:hAnsi="Times New Roman"/>
          <w:sz w:val="24"/>
        </w:rPr>
        <w:t>Monterrey.</w:t>
      </w:r>
    </w:p>
    <w:p>
      <w:pPr>
        <w:spacing w:before="0"/>
        <w:ind w:left="828" w:right="117" w:hanging="720"/>
        <w:jc w:val="both"/>
        <w:rPr>
          <w:rFonts w:ascii="Times New Roman" w:hAnsi="Times New Roman"/>
          <w:sz w:val="24"/>
        </w:rPr>
      </w:pPr>
      <w:r>
        <w:rPr>
          <w:rFonts w:ascii="Times New Roman" w:hAnsi="Times New Roman"/>
          <w:sz w:val="24"/>
        </w:rPr>
        <w:t>Sánchez Valdés, V. M. (2011). El Derecho a la Información desde el enfoque racional. En </w:t>
      </w:r>
      <w:r>
        <w:rPr>
          <w:rFonts w:ascii="Times New Roman" w:hAnsi="Times New Roman"/>
          <w:i/>
          <w:sz w:val="24"/>
        </w:rPr>
        <w:t>A </w:t>
      </w:r>
      <w:r>
        <w:rPr>
          <w:rFonts w:ascii="Times New Roman" w:hAnsi="Times New Roman"/>
          <w:i/>
          <w:sz w:val="24"/>
        </w:rPr>
        <w:t>una década: Temas y reflexiones sobre transparencia y rendición de cuentas como política pública en México </w:t>
      </w:r>
      <w:r>
        <w:rPr>
          <w:rFonts w:ascii="Times New Roman" w:hAnsi="Times New Roman"/>
          <w:sz w:val="24"/>
        </w:rPr>
        <w:t>(1a ed.). D.F., México: Porrúa-Tec de Monterrey.</w:t>
      </w:r>
    </w:p>
    <w:p>
      <w:pPr>
        <w:pStyle w:val="BodyText"/>
        <w:ind w:left="108" w:right="6"/>
        <w:rPr>
          <w:rFonts w:ascii="Times New Roman"/>
        </w:rPr>
      </w:pPr>
      <w:r>
        <w:rPr>
          <w:rFonts w:ascii="Times New Roman"/>
        </w:rPr>
        <w:t>Sandoval, B. I. (2008). Transparencia y control ciudadano: comparativo de grandes ciudades.</w:t>
      </w:r>
    </w:p>
    <w:p>
      <w:pPr>
        <w:spacing w:before="0"/>
        <w:ind w:left="828" w:right="6" w:firstLine="0"/>
        <w:jc w:val="left"/>
        <w:rPr>
          <w:rFonts w:ascii="Times New Roman" w:hAnsi="Times New Roman"/>
          <w:sz w:val="24"/>
        </w:rPr>
      </w:pPr>
      <w:r>
        <w:rPr>
          <w:rFonts w:ascii="Times New Roman" w:hAnsi="Times New Roman"/>
          <w:i/>
          <w:sz w:val="24"/>
        </w:rPr>
        <w:t>Ensayos para la transparencia de la ciudad de México</w:t>
      </w:r>
      <w:r>
        <w:rPr>
          <w:rFonts w:ascii="Times New Roman" w:hAnsi="Times New Roman"/>
          <w:sz w:val="24"/>
        </w:rPr>
        <w:t>(3).</w:t>
      </w:r>
    </w:p>
    <w:p>
      <w:pPr>
        <w:spacing w:before="0"/>
        <w:ind w:left="828" w:right="117" w:hanging="720"/>
        <w:jc w:val="both"/>
        <w:rPr>
          <w:rFonts w:ascii="Times New Roman" w:hAnsi="Times New Roman"/>
          <w:sz w:val="24"/>
        </w:rPr>
      </w:pPr>
      <w:r>
        <w:rPr>
          <w:rFonts w:ascii="Times New Roman" w:hAnsi="Times New Roman"/>
          <w:sz w:val="24"/>
        </w:rPr>
        <w:t>Santizo</w:t>
      </w:r>
      <w:r>
        <w:rPr>
          <w:rFonts w:ascii="Times New Roman" w:hAnsi="Times New Roman"/>
          <w:spacing w:val="-4"/>
          <w:sz w:val="24"/>
        </w:rPr>
        <w:t> </w:t>
      </w:r>
      <w:r>
        <w:rPr>
          <w:rFonts w:ascii="Times New Roman" w:hAnsi="Times New Roman"/>
          <w:sz w:val="24"/>
        </w:rPr>
        <w:t>Rodall,</w:t>
      </w:r>
      <w:r>
        <w:rPr>
          <w:rFonts w:ascii="Times New Roman" w:hAnsi="Times New Roman"/>
          <w:spacing w:val="-6"/>
          <w:sz w:val="24"/>
        </w:rPr>
        <w:t> </w:t>
      </w:r>
      <w:r>
        <w:rPr>
          <w:rFonts w:ascii="Times New Roman" w:hAnsi="Times New Roman"/>
          <w:sz w:val="24"/>
        </w:rPr>
        <w:t>C.</w:t>
      </w:r>
      <w:r>
        <w:rPr>
          <w:rFonts w:ascii="Times New Roman" w:hAnsi="Times New Roman"/>
          <w:spacing w:val="-4"/>
          <w:sz w:val="24"/>
        </w:rPr>
        <w:t> </w:t>
      </w:r>
      <w:r>
        <w:rPr>
          <w:rFonts w:ascii="Times New Roman" w:hAnsi="Times New Roman"/>
          <w:sz w:val="24"/>
        </w:rPr>
        <w:t>(2006).</w:t>
      </w:r>
      <w:r>
        <w:rPr>
          <w:rFonts w:ascii="Times New Roman" w:hAnsi="Times New Roman"/>
          <w:spacing w:val="-5"/>
          <w:sz w:val="24"/>
        </w:rPr>
        <w:t> </w:t>
      </w:r>
      <w:r>
        <w:rPr>
          <w:rFonts w:ascii="Times New Roman" w:hAnsi="Times New Roman"/>
          <w:sz w:val="24"/>
        </w:rPr>
        <w:t>Mejorando</w:t>
      </w:r>
      <w:r>
        <w:rPr>
          <w:rFonts w:ascii="Times New Roman" w:hAnsi="Times New Roman"/>
          <w:spacing w:val="-4"/>
          <w:sz w:val="24"/>
        </w:rPr>
        <w:t> </w:t>
      </w:r>
      <w:r>
        <w:rPr>
          <w:rFonts w:ascii="Times New Roman" w:hAnsi="Times New Roman"/>
          <w:sz w:val="24"/>
        </w:rPr>
        <w:t>la</w:t>
      </w:r>
      <w:r>
        <w:rPr>
          <w:rFonts w:ascii="Times New Roman" w:hAnsi="Times New Roman"/>
          <w:spacing w:val="-4"/>
          <w:sz w:val="24"/>
        </w:rPr>
        <w:t> </w:t>
      </w:r>
      <w:r>
        <w:rPr>
          <w:rFonts w:ascii="Times New Roman" w:hAnsi="Times New Roman"/>
          <w:sz w:val="24"/>
        </w:rPr>
        <w:t>rendición</w:t>
      </w:r>
      <w:r>
        <w:rPr>
          <w:rFonts w:ascii="Times New Roman" w:hAnsi="Times New Roman"/>
          <w:spacing w:val="-3"/>
          <w:sz w:val="24"/>
        </w:rPr>
        <w:t> </w:t>
      </w:r>
      <w:r>
        <w:rPr>
          <w:rFonts w:ascii="Times New Roman" w:hAnsi="Times New Roman"/>
          <w:sz w:val="24"/>
        </w:rPr>
        <w:t>de</w:t>
      </w:r>
      <w:r>
        <w:rPr>
          <w:rFonts w:ascii="Times New Roman" w:hAnsi="Times New Roman"/>
          <w:spacing w:val="-5"/>
          <w:sz w:val="24"/>
        </w:rPr>
        <w:t> </w:t>
      </w:r>
      <w:r>
        <w:rPr>
          <w:rFonts w:ascii="Times New Roman" w:hAnsi="Times New Roman"/>
          <w:sz w:val="24"/>
        </w:rPr>
        <w:t>cuentas</w:t>
      </w:r>
      <w:r>
        <w:rPr>
          <w:rFonts w:ascii="Times New Roman" w:hAnsi="Times New Roman"/>
          <w:spacing w:val="1"/>
          <w:sz w:val="24"/>
        </w:rPr>
        <w:t> </w:t>
      </w:r>
      <w:r>
        <w:rPr>
          <w:rFonts w:ascii="Times New Roman" w:hAnsi="Times New Roman"/>
          <w:sz w:val="24"/>
        </w:rPr>
        <w:t>y</w:t>
      </w:r>
      <w:r>
        <w:rPr>
          <w:rFonts w:ascii="Times New Roman" w:hAnsi="Times New Roman"/>
          <w:spacing w:val="-9"/>
          <w:sz w:val="24"/>
        </w:rPr>
        <w:t> </w:t>
      </w:r>
      <w:r>
        <w:rPr>
          <w:rFonts w:ascii="Times New Roman" w:hAnsi="Times New Roman"/>
          <w:sz w:val="24"/>
        </w:rPr>
        <w:t>la</w:t>
      </w:r>
      <w:r>
        <w:rPr>
          <w:rFonts w:ascii="Times New Roman" w:hAnsi="Times New Roman"/>
          <w:spacing w:val="-4"/>
          <w:sz w:val="24"/>
        </w:rPr>
        <w:t> </w:t>
      </w:r>
      <w:r>
        <w:rPr>
          <w:rFonts w:ascii="Times New Roman" w:hAnsi="Times New Roman"/>
          <w:sz w:val="24"/>
        </w:rPr>
        <w:t>transparencia</w:t>
      </w:r>
      <w:r>
        <w:rPr>
          <w:rFonts w:ascii="Times New Roman" w:hAnsi="Times New Roman"/>
          <w:spacing w:val="-4"/>
          <w:sz w:val="24"/>
        </w:rPr>
        <w:t> </w:t>
      </w:r>
      <w:r>
        <w:rPr>
          <w:rFonts w:ascii="Times New Roman" w:hAnsi="Times New Roman"/>
          <w:sz w:val="24"/>
        </w:rPr>
        <w:t>a</w:t>
      </w:r>
      <w:r>
        <w:rPr>
          <w:rFonts w:ascii="Times New Roman" w:hAnsi="Times New Roman"/>
          <w:spacing w:val="-5"/>
          <w:sz w:val="24"/>
        </w:rPr>
        <w:t> </w:t>
      </w:r>
      <w:r>
        <w:rPr>
          <w:rFonts w:ascii="Times New Roman" w:hAnsi="Times New Roman"/>
          <w:sz w:val="24"/>
        </w:rPr>
        <w:t>través</w:t>
      </w:r>
      <w:r>
        <w:rPr>
          <w:rFonts w:ascii="Times New Roman" w:hAnsi="Times New Roman"/>
          <w:spacing w:val="-4"/>
          <w:sz w:val="24"/>
        </w:rPr>
        <w:t> </w:t>
      </w:r>
      <w:r>
        <w:rPr>
          <w:rFonts w:ascii="Times New Roman" w:hAnsi="Times New Roman"/>
          <w:sz w:val="24"/>
        </w:rPr>
        <w:t>de</w:t>
      </w:r>
      <w:r>
        <w:rPr>
          <w:rFonts w:ascii="Times New Roman" w:hAnsi="Times New Roman"/>
          <w:spacing w:val="-5"/>
          <w:sz w:val="24"/>
        </w:rPr>
        <w:t> </w:t>
      </w:r>
      <w:r>
        <w:rPr>
          <w:rFonts w:ascii="Times New Roman" w:hAnsi="Times New Roman"/>
          <w:sz w:val="24"/>
        </w:rPr>
        <w:t>la participación social: el programa escuelas de calidad en México. </w:t>
      </w:r>
      <w:r>
        <w:rPr>
          <w:rFonts w:ascii="Times New Roman" w:hAnsi="Times New Roman"/>
          <w:i/>
          <w:sz w:val="24"/>
        </w:rPr>
        <w:t>Revista </w:t>
      </w:r>
      <w:r>
        <w:rPr>
          <w:rFonts w:ascii="Times New Roman" w:hAnsi="Times New Roman"/>
          <w:i/>
          <w:sz w:val="24"/>
        </w:rPr>
        <w:t>Iberoamericana sobre Calidad, Eficacia y Cambio en Educación,</w:t>
      </w:r>
      <w:r>
        <w:rPr>
          <w:rFonts w:ascii="Times New Roman" w:hAnsi="Times New Roman"/>
          <w:i/>
          <w:spacing w:val="-10"/>
          <w:sz w:val="24"/>
        </w:rPr>
        <w:t> </w:t>
      </w:r>
      <w:r>
        <w:rPr>
          <w:rFonts w:ascii="Times New Roman" w:hAnsi="Times New Roman"/>
          <w:i/>
          <w:sz w:val="24"/>
        </w:rPr>
        <w:t>IV</w:t>
      </w:r>
      <w:r>
        <w:rPr>
          <w:rFonts w:ascii="Times New Roman" w:hAnsi="Times New Roman"/>
          <w:sz w:val="24"/>
        </w:rPr>
        <w:t>(1).</w:t>
      </w:r>
    </w:p>
    <w:p>
      <w:pPr>
        <w:spacing w:before="0"/>
        <w:ind w:left="108" w:right="6" w:firstLine="0"/>
        <w:jc w:val="left"/>
        <w:rPr>
          <w:rFonts w:ascii="Times New Roman" w:hAnsi="Times New Roman"/>
          <w:sz w:val="24"/>
        </w:rPr>
      </w:pPr>
      <w:r>
        <w:rPr>
          <w:rFonts w:ascii="Times New Roman" w:hAnsi="Times New Roman"/>
          <w:sz w:val="24"/>
        </w:rPr>
        <w:t>Sartori, G. (2002). </w:t>
      </w:r>
      <w:r>
        <w:rPr>
          <w:rFonts w:ascii="Times New Roman" w:hAnsi="Times New Roman"/>
          <w:i/>
          <w:sz w:val="24"/>
        </w:rPr>
        <w:t>Elementos de Teoría Política. </w:t>
      </w:r>
      <w:r>
        <w:rPr>
          <w:rFonts w:ascii="Times New Roman" w:hAnsi="Times New Roman"/>
          <w:sz w:val="24"/>
        </w:rPr>
        <w:t>Madrid: Alianza Editorial.</w:t>
      </w:r>
    </w:p>
    <w:p>
      <w:pPr>
        <w:spacing w:before="0"/>
        <w:ind w:left="828" w:right="117" w:hanging="720"/>
        <w:jc w:val="both"/>
        <w:rPr>
          <w:rFonts w:ascii="Times New Roman" w:hAnsi="Times New Roman"/>
          <w:sz w:val="24"/>
        </w:rPr>
      </w:pPr>
      <w:r>
        <w:rPr>
          <w:rFonts w:ascii="Times New Roman" w:hAnsi="Times New Roman"/>
          <w:sz w:val="24"/>
        </w:rPr>
        <w:t>Schedler, A. (2004). ¿Qué es la rendición de cuentas? </w:t>
      </w:r>
      <w:r>
        <w:rPr>
          <w:rFonts w:ascii="Times New Roman" w:hAnsi="Times New Roman"/>
          <w:i/>
          <w:sz w:val="24"/>
        </w:rPr>
        <w:t>Cuadernos de Transparencia.</w:t>
      </w:r>
      <w:r>
        <w:rPr>
          <w:rFonts w:ascii="Times New Roman" w:hAnsi="Times New Roman"/>
          <w:i/>
          <w:spacing w:val="-15"/>
          <w:sz w:val="24"/>
        </w:rPr>
        <w:t> </w:t>
      </w:r>
      <w:r>
        <w:rPr>
          <w:rFonts w:ascii="Times New Roman" w:hAnsi="Times New Roman"/>
          <w:i/>
          <w:sz w:val="24"/>
        </w:rPr>
        <w:t>IFAI</w:t>
      </w:r>
      <w:r>
        <w:rPr>
          <w:rFonts w:ascii="Times New Roman" w:hAnsi="Times New Roman"/>
          <w:sz w:val="24"/>
        </w:rPr>
        <w:t>(3), 39.</w:t>
      </w:r>
    </w:p>
    <w:p>
      <w:pPr>
        <w:spacing w:before="0"/>
        <w:ind w:left="108" w:right="667" w:firstLine="0"/>
        <w:jc w:val="left"/>
        <w:rPr>
          <w:rFonts w:ascii="Times New Roman" w:hAnsi="Times New Roman"/>
          <w:sz w:val="24"/>
        </w:rPr>
      </w:pPr>
      <w:r>
        <w:rPr>
          <w:rFonts w:ascii="Times New Roman" w:hAnsi="Times New Roman"/>
          <w:sz w:val="24"/>
        </w:rPr>
        <w:t>Schedler, A. (2006). ¿Qué es la rendición de cuentas? </w:t>
      </w:r>
      <w:r>
        <w:rPr>
          <w:rFonts w:ascii="Times New Roman" w:hAnsi="Times New Roman"/>
          <w:i/>
          <w:sz w:val="24"/>
        </w:rPr>
        <w:t>Cuadernos de Transparencia</w:t>
      </w:r>
      <w:r>
        <w:rPr>
          <w:rFonts w:ascii="Times New Roman" w:hAnsi="Times New Roman"/>
          <w:sz w:val="24"/>
        </w:rPr>
        <w:t>(3). Schmitt, C. (1988). </w:t>
      </w:r>
      <w:r>
        <w:rPr>
          <w:rFonts w:ascii="Times New Roman" w:hAnsi="Times New Roman"/>
          <w:i/>
          <w:sz w:val="24"/>
        </w:rPr>
        <w:t>El Concepto de lo Político. </w:t>
      </w:r>
      <w:r>
        <w:rPr>
          <w:rFonts w:ascii="Times New Roman" w:hAnsi="Times New Roman"/>
          <w:sz w:val="24"/>
        </w:rPr>
        <w:t>Madrid, España: Alianza.</w:t>
      </w:r>
    </w:p>
    <w:p>
      <w:pPr>
        <w:spacing w:before="0"/>
        <w:ind w:left="108" w:right="6" w:firstLine="0"/>
        <w:jc w:val="left"/>
        <w:rPr>
          <w:rFonts w:ascii="Times New Roman" w:hAnsi="Times New Roman"/>
          <w:i/>
          <w:sz w:val="24"/>
        </w:rPr>
      </w:pPr>
      <w:r>
        <w:rPr>
          <w:rFonts w:ascii="Times New Roman" w:hAnsi="Times New Roman"/>
          <w:sz w:val="24"/>
        </w:rPr>
        <w:t>Schutz, A. (2008). </w:t>
      </w:r>
      <w:r>
        <w:rPr>
          <w:rFonts w:ascii="Times New Roman" w:hAnsi="Times New Roman"/>
          <w:i/>
          <w:sz w:val="24"/>
        </w:rPr>
        <w:t>El problema de la realidad social . </w:t>
      </w:r>
      <w:r>
        <w:rPr>
          <w:rFonts w:ascii="Times New Roman" w:hAnsi="Times New Roman"/>
          <w:sz w:val="24"/>
        </w:rPr>
        <w:t>Buenos Aires: Amorrortu editores. Smith, A. (2011). </w:t>
      </w:r>
      <w:r>
        <w:rPr>
          <w:rFonts w:ascii="Times New Roman" w:hAnsi="Times New Roman"/>
          <w:i/>
          <w:sz w:val="24"/>
        </w:rPr>
        <w:t>La riqueza de las naciones. Traducción y estudio preliminar de Carlos</w:t>
      </w:r>
    </w:p>
    <w:p>
      <w:pPr>
        <w:spacing w:before="0"/>
        <w:ind w:left="828" w:right="6" w:firstLine="0"/>
        <w:jc w:val="left"/>
        <w:rPr>
          <w:rFonts w:ascii="Times New Roman" w:hAnsi="Times New Roman"/>
          <w:sz w:val="24"/>
        </w:rPr>
      </w:pPr>
      <w:r>
        <w:rPr>
          <w:rFonts w:ascii="Times New Roman" w:hAnsi="Times New Roman"/>
          <w:i/>
          <w:sz w:val="24"/>
        </w:rPr>
        <w:t>Rodríguez Braun. </w:t>
      </w:r>
      <w:r>
        <w:rPr>
          <w:rFonts w:ascii="Times New Roman" w:hAnsi="Times New Roman"/>
          <w:sz w:val="24"/>
        </w:rPr>
        <w:t>Madrid, España: Alianza.</w:t>
      </w:r>
    </w:p>
    <w:p>
      <w:pPr>
        <w:pStyle w:val="BodyText"/>
        <w:ind w:left="108" w:right="6"/>
        <w:rPr>
          <w:rFonts w:ascii="Times New Roman" w:hAnsi="Times New Roman"/>
        </w:rPr>
      </w:pPr>
      <w:r>
        <w:rPr>
          <w:rFonts w:ascii="Times New Roman" w:hAnsi="Times New Roman"/>
        </w:rPr>
        <w:t>Spencer, H. (1890). </w:t>
      </w:r>
      <w:r>
        <w:rPr>
          <w:rFonts w:ascii="Times New Roman" w:hAnsi="Times New Roman"/>
          <w:i/>
        </w:rPr>
        <w:t>El individuo contra el Estado. </w:t>
      </w:r>
      <w:r>
        <w:rPr>
          <w:rFonts w:ascii="Times New Roman" w:hAnsi="Times New Roman"/>
        </w:rPr>
        <w:t>Valencia, España: Sempere Editores. Spenser, D. (Enero-abril de 2008). Los archivos públicos en México: acceso,   organización,</w:t>
      </w:r>
    </w:p>
    <w:p>
      <w:pPr>
        <w:spacing w:before="0"/>
        <w:ind w:left="828" w:right="6" w:firstLine="0"/>
        <w:jc w:val="left"/>
        <w:rPr>
          <w:rFonts w:ascii="Times New Roman" w:hAnsi="Times New Roman"/>
          <w:sz w:val="24"/>
        </w:rPr>
      </w:pPr>
      <w:r>
        <w:rPr>
          <w:rFonts w:ascii="Times New Roman" w:hAnsi="Times New Roman"/>
          <w:sz w:val="24"/>
        </w:rPr>
        <w:t>transparencia y legislación. </w:t>
      </w:r>
      <w:r>
        <w:rPr>
          <w:rFonts w:ascii="Times New Roman" w:hAnsi="Times New Roman"/>
          <w:i/>
          <w:sz w:val="24"/>
        </w:rPr>
        <w:t>DESACATOS</w:t>
      </w:r>
      <w:r>
        <w:rPr>
          <w:rFonts w:ascii="Times New Roman" w:hAnsi="Times New Roman"/>
          <w:sz w:val="24"/>
        </w:rPr>
        <w:t>.</w:t>
      </w:r>
    </w:p>
    <w:p>
      <w:pPr>
        <w:pStyle w:val="BodyText"/>
        <w:ind w:left="828" w:right="126" w:hanging="720"/>
        <w:jc w:val="both"/>
        <w:rPr>
          <w:rFonts w:ascii="Times New Roman" w:hAnsi="Times New Roman"/>
        </w:rPr>
      </w:pPr>
      <w:r>
        <w:rPr>
          <w:rFonts w:ascii="Times New Roman" w:hAnsi="Times New Roman"/>
        </w:rPr>
        <w:t>Toledo Villalpando, E. A. (Abril de 2009a). La rendición de cuentas (accountability) y la retórica de la nueva gestión pública. </w:t>
      </w:r>
      <w:r>
        <w:rPr>
          <w:rFonts w:ascii="Times New Roman" w:hAnsi="Times New Roman"/>
          <w:i/>
        </w:rPr>
        <w:t>Espacios Públicos, XII</w:t>
      </w:r>
      <w:r>
        <w:rPr>
          <w:rFonts w:ascii="Times New Roman" w:hAnsi="Times New Roman"/>
        </w:rPr>
        <w:t>(24).</w:t>
      </w:r>
    </w:p>
    <w:p>
      <w:pPr>
        <w:spacing w:after="0"/>
        <w:jc w:val="both"/>
        <w:rPr>
          <w:rFonts w:ascii="Times New Roman" w:hAnsi="Times New Roman"/>
        </w:rPr>
        <w:sectPr>
          <w:pgSz w:w="12240" w:h="15840"/>
          <w:pgMar w:header="0" w:footer="975" w:top="1360" w:bottom="1220" w:left="1500" w:right="1580"/>
        </w:sectPr>
      </w:pPr>
    </w:p>
    <w:p>
      <w:pPr>
        <w:spacing w:before="48"/>
        <w:ind w:left="828" w:right="117" w:hanging="720"/>
        <w:jc w:val="both"/>
        <w:rPr>
          <w:rFonts w:ascii="Times New Roman" w:hAnsi="Times New Roman"/>
          <w:sz w:val="24"/>
        </w:rPr>
      </w:pPr>
      <w:r>
        <w:rPr>
          <w:rFonts w:ascii="Times New Roman" w:hAnsi="Times New Roman"/>
          <w:sz w:val="24"/>
        </w:rPr>
        <w:t>Toledo</w:t>
      </w:r>
      <w:r>
        <w:rPr>
          <w:rFonts w:ascii="Times New Roman" w:hAnsi="Times New Roman"/>
          <w:spacing w:val="-9"/>
          <w:sz w:val="24"/>
        </w:rPr>
        <w:t> </w:t>
      </w:r>
      <w:r>
        <w:rPr>
          <w:rFonts w:ascii="Times New Roman" w:hAnsi="Times New Roman"/>
          <w:sz w:val="24"/>
        </w:rPr>
        <w:t>Villalpando,</w:t>
      </w:r>
      <w:r>
        <w:rPr>
          <w:rFonts w:ascii="Times New Roman" w:hAnsi="Times New Roman"/>
          <w:spacing w:val="-9"/>
          <w:sz w:val="24"/>
        </w:rPr>
        <w:t> </w:t>
      </w:r>
      <w:r>
        <w:rPr>
          <w:rFonts w:ascii="Times New Roman" w:hAnsi="Times New Roman"/>
          <w:sz w:val="24"/>
        </w:rPr>
        <w:t>E.</w:t>
      </w:r>
      <w:r>
        <w:rPr>
          <w:rFonts w:ascii="Times New Roman" w:hAnsi="Times New Roman"/>
          <w:spacing w:val="-9"/>
          <w:sz w:val="24"/>
        </w:rPr>
        <w:t> </w:t>
      </w:r>
      <w:r>
        <w:rPr>
          <w:rFonts w:ascii="Times New Roman" w:hAnsi="Times New Roman"/>
          <w:sz w:val="24"/>
        </w:rPr>
        <w:t>A.</w:t>
      </w:r>
      <w:r>
        <w:rPr>
          <w:rFonts w:ascii="Times New Roman" w:hAnsi="Times New Roman"/>
          <w:spacing w:val="-9"/>
          <w:sz w:val="24"/>
        </w:rPr>
        <w:t> </w:t>
      </w:r>
      <w:r>
        <w:rPr>
          <w:rFonts w:ascii="Times New Roman" w:hAnsi="Times New Roman"/>
          <w:sz w:val="24"/>
        </w:rPr>
        <w:t>(2009b).</w:t>
      </w:r>
      <w:r>
        <w:rPr>
          <w:rFonts w:ascii="Times New Roman" w:hAnsi="Times New Roman"/>
          <w:spacing w:val="-9"/>
          <w:sz w:val="24"/>
        </w:rPr>
        <w:t> </w:t>
      </w:r>
      <w:r>
        <w:rPr>
          <w:rFonts w:ascii="Times New Roman" w:hAnsi="Times New Roman"/>
          <w:i/>
          <w:sz w:val="24"/>
        </w:rPr>
        <w:t>Análisis</w:t>
      </w:r>
      <w:r>
        <w:rPr>
          <w:rFonts w:ascii="Times New Roman" w:hAnsi="Times New Roman"/>
          <w:i/>
          <w:spacing w:val="-8"/>
          <w:sz w:val="24"/>
        </w:rPr>
        <w:t> </w:t>
      </w:r>
      <w:r>
        <w:rPr>
          <w:rFonts w:ascii="Times New Roman" w:hAnsi="Times New Roman"/>
          <w:i/>
          <w:sz w:val="24"/>
        </w:rPr>
        <w:t>de</w:t>
      </w:r>
      <w:r>
        <w:rPr>
          <w:rFonts w:ascii="Times New Roman" w:hAnsi="Times New Roman"/>
          <w:i/>
          <w:spacing w:val="-10"/>
          <w:sz w:val="24"/>
        </w:rPr>
        <w:t> </w:t>
      </w:r>
      <w:r>
        <w:rPr>
          <w:rFonts w:ascii="Times New Roman" w:hAnsi="Times New Roman"/>
          <w:i/>
          <w:sz w:val="24"/>
        </w:rPr>
        <w:t>los</w:t>
      </w:r>
      <w:r>
        <w:rPr>
          <w:rFonts w:ascii="Times New Roman" w:hAnsi="Times New Roman"/>
          <w:i/>
          <w:spacing w:val="-10"/>
          <w:sz w:val="24"/>
        </w:rPr>
        <w:t> </w:t>
      </w:r>
      <w:r>
        <w:rPr>
          <w:rFonts w:ascii="Times New Roman" w:hAnsi="Times New Roman"/>
          <w:i/>
          <w:sz w:val="24"/>
        </w:rPr>
        <w:t>mecanismos</w:t>
      </w:r>
      <w:r>
        <w:rPr>
          <w:rFonts w:ascii="Times New Roman" w:hAnsi="Times New Roman"/>
          <w:i/>
          <w:spacing w:val="-7"/>
          <w:sz w:val="24"/>
        </w:rPr>
        <w:t> </w:t>
      </w:r>
      <w:r>
        <w:rPr>
          <w:rFonts w:ascii="Times New Roman" w:hAnsi="Times New Roman"/>
          <w:i/>
          <w:sz w:val="24"/>
        </w:rPr>
        <w:t>de</w:t>
      </w:r>
      <w:r>
        <w:rPr>
          <w:rFonts w:ascii="Times New Roman" w:hAnsi="Times New Roman"/>
          <w:i/>
          <w:spacing w:val="-10"/>
          <w:sz w:val="24"/>
        </w:rPr>
        <w:t> </w:t>
      </w:r>
      <w:r>
        <w:rPr>
          <w:rFonts w:ascii="Times New Roman" w:hAnsi="Times New Roman"/>
          <w:i/>
          <w:sz w:val="24"/>
        </w:rPr>
        <w:t>rendición</w:t>
      </w:r>
      <w:r>
        <w:rPr>
          <w:rFonts w:ascii="Times New Roman" w:hAnsi="Times New Roman"/>
          <w:i/>
          <w:spacing w:val="-6"/>
          <w:sz w:val="24"/>
        </w:rPr>
        <w:t> </w:t>
      </w:r>
      <w:r>
        <w:rPr>
          <w:rFonts w:ascii="Times New Roman" w:hAnsi="Times New Roman"/>
          <w:i/>
          <w:sz w:val="24"/>
        </w:rPr>
        <w:t>de</w:t>
      </w:r>
      <w:r>
        <w:rPr>
          <w:rFonts w:ascii="Times New Roman" w:hAnsi="Times New Roman"/>
          <w:i/>
          <w:spacing w:val="-10"/>
          <w:sz w:val="24"/>
        </w:rPr>
        <w:t> </w:t>
      </w:r>
      <w:r>
        <w:rPr>
          <w:rFonts w:ascii="Times New Roman" w:hAnsi="Times New Roman"/>
          <w:i/>
          <w:sz w:val="24"/>
        </w:rPr>
        <w:t>cuentas</w:t>
      </w:r>
      <w:r>
        <w:rPr>
          <w:rFonts w:ascii="Times New Roman" w:hAnsi="Times New Roman"/>
          <w:i/>
          <w:spacing w:val="-8"/>
          <w:sz w:val="24"/>
        </w:rPr>
        <w:t> </w:t>
      </w:r>
      <w:r>
        <w:rPr>
          <w:rFonts w:ascii="Times New Roman" w:hAnsi="Times New Roman"/>
          <w:i/>
          <w:sz w:val="24"/>
        </w:rPr>
        <w:t>en</w:t>
      </w:r>
      <w:r>
        <w:rPr>
          <w:rFonts w:ascii="Times New Roman" w:hAnsi="Times New Roman"/>
          <w:i/>
          <w:spacing w:val="-9"/>
          <w:sz w:val="24"/>
        </w:rPr>
        <w:t> </w:t>
      </w:r>
      <w:r>
        <w:rPr>
          <w:rFonts w:ascii="Times New Roman" w:hAnsi="Times New Roman"/>
          <w:i/>
          <w:sz w:val="24"/>
        </w:rPr>
        <w:t>los </w:t>
      </w:r>
      <w:r>
        <w:rPr>
          <w:rFonts w:ascii="Times New Roman" w:hAnsi="Times New Roman"/>
          <w:i/>
          <w:sz w:val="24"/>
        </w:rPr>
        <w:t>municipios</w:t>
      </w:r>
      <w:r>
        <w:rPr>
          <w:rFonts w:ascii="Times New Roman" w:hAnsi="Times New Roman"/>
          <w:i/>
          <w:spacing w:val="-12"/>
          <w:sz w:val="24"/>
        </w:rPr>
        <w:t> </w:t>
      </w:r>
      <w:r>
        <w:rPr>
          <w:rFonts w:ascii="Times New Roman" w:hAnsi="Times New Roman"/>
          <w:i/>
          <w:sz w:val="24"/>
        </w:rPr>
        <w:t>del</w:t>
      </w:r>
      <w:r>
        <w:rPr>
          <w:rFonts w:ascii="Times New Roman" w:hAnsi="Times New Roman"/>
          <w:i/>
          <w:spacing w:val="-11"/>
          <w:sz w:val="24"/>
        </w:rPr>
        <w:t> </w:t>
      </w:r>
      <w:r>
        <w:rPr>
          <w:rFonts w:ascii="Times New Roman" w:hAnsi="Times New Roman"/>
          <w:i/>
          <w:sz w:val="24"/>
        </w:rPr>
        <w:t>Estado</w:t>
      </w:r>
      <w:r>
        <w:rPr>
          <w:rFonts w:ascii="Times New Roman" w:hAnsi="Times New Roman"/>
          <w:i/>
          <w:spacing w:val="-12"/>
          <w:sz w:val="24"/>
        </w:rPr>
        <w:t> </w:t>
      </w:r>
      <w:r>
        <w:rPr>
          <w:rFonts w:ascii="Times New Roman" w:hAnsi="Times New Roman"/>
          <w:i/>
          <w:sz w:val="24"/>
        </w:rPr>
        <w:t>de</w:t>
      </w:r>
      <w:r>
        <w:rPr>
          <w:rFonts w:ascii="Times New Roman" w:hAnsi="Times New Roman"/>
          <w:i/>
          <w:spacing w:val="-13"/>
          <w:sz w:val="24"/>
        </w:rPr>
        <w:t> </w:t>
      </w:r>
      <w:r>
        <w:rPr>
          <w:rFonts w:ascii="Times New Roman" w:hAnsi="Times New Roman"/>
          <w:i/>
          <w:sz w:val="24"/>
        </w:rPr>
        <w:t>México.</w:t>
      </w:r>
      <w:r>
        <w:rPr>
          <w:rFonts w:ascii="Times New Roman" w:hAnsi="Times New Roman"/>
          <w:i/>
          <w:spacing w:val="-12"/>
          <w:sz w:val="24"/>
        </w:rPr>
        <w:t> </w:t>
      </w:r>
      <w:r>
        <w:rPr>
          <w:rFonts w:ascii="Times New Roman" w:hAnsi="Times New Roman"/>
          <w:i/>
          <w:sz w:val="24"/>
        </w:rPr>
        <w:t>Casos</w:t>
      </w:r>
      <w:r>
        <w:rPr>
          <w:rFonts w:ascii="Times New Roman" w:hAnsi="Times New Roman"/>
          <w:i/>
          <w:spacing w:val="-12"/>
          <w:sz w:val="24"/>
        </w:rPr>
        <w:t> </w:t>
      </w:r>
      <w:r>
        <w:rPr>
          <w:rFonts w:ascii="Times New Roman" w:hAnsi="Times New Roman"/>
          <w:i/>
          <w:sz w:val="24"/>
        </w:rPr>
        <w:t>Toluca</w:t>
      </w:r>
      <w:r>
        <w:rPr>
          <w:rFonts w:ascii="Times New Roman" w:hAnsi="Times New Roman"/>
          <w:i/>
          <w:spacing w:val="-12"/>
          <w:sz w:val="24"/>
        </w:rPr>
        <w:t> </w:t>
      </w:r>
      <w:r>
        <w:rPr>
          <w:rFonts w:ascii="Times New Roman" w:hAnsi="Times New Roman"/>
          <w:i/>
          <w:sz w:val="24"/>
        </w:rPr>
        <w:t>y</w:t>
      </w:r>
      <w:r>
        <w:rPr>
          <w:rFonts w:ascii="Times New Roman" w:hAnsi="Times New Roman"/>
          <w:i/>
          <w:spacing w:val="-13"/>
          <w:sz w:val="24"/>
        </w:rPr>
        <w:t> </w:t>
      </w:r>
      <w:r>
        <w:rPr>
          <w:rFonts w:ascii="Times New Roman" w:hAnsi="Times New Roman"/>
          <w:i/>
          <w:sz w:val="24"/>
        </w:rPr>
        <w:t>Metepec.</w:t>
      </w:r>
      <w:r>
        <w:rPr>
          <w:rFonts w:ascii="Times New Roman" w:hAnsi="Times New Roman"/>
          <w:i/>
          <w:spacing w:val="-12"/>
          <w:sz w:val="24"/>
        </w:rPr>
        <w:t> </w:t>
      </w:r>
      <w:r>
        <w:rPr>
          <w:rFonts w:ascii="Times New Roman" w:hAnsi="Times New Roman"/>
          <w:i/>
          <w:sz w:val="24"/>
        </w:rPr>
        <w:t>Tesis</w:t>
      </w:r>
      <w:r>
        <w:rPr>
          <w:rFonts w:ascii="Times New Roman" w:hAnsi="Times New Roman"/>
          <w:i/>
          <w:spacing w:val="-11"/>
          <w:sz w:val="24"/>
        </w:rPr>
        <w:t> </w:t>
      </w:r>
      <w:r>
        <w:rPr>
          <w:rFonts w:ascii="Times New Roman" w:hAnsi="Times New Roman"/>
          <w:i/>
          <w:sz w:val="24"/>
        </w:rPr>
        <w:t>de</w:t>
      </w:r>
      <w:r>
        <w:rPr>
          <w:rFonts w:ascii="Times New Roman" w:hAnsi="Times New Roman"/>
          <w:i/>
          <w:spacing w:val="-13"/>
          <w:sz w:val="24"/>
        </w:rPr>
        <w:t> </w:t>
      </w:r>
      <w:r>
        <w:rPr>
          <w:rFonts w:ascii="Times New Roman" w:hAnsi="Times New Roman"/>
          <w:i/>
          <w:sz w:val="24"/>
        </w:rPr>
        <w:t>Maestría.</w:t>
      </w:r>
      <w:r>
        <w:rPr>
          <w:rFonts w:ascii="Times New Roman" w:hAnsi="Times New Roman"/>
          <w:i/>
          <w:spacing w:val="-9"/>
          <w:sz w:val="24"/>
        </w:rPr>
        <w:t> </w:t>
      </w:r>
      <w:r>
        <w:rPr>
          <w:rFonts w:ascii="Times New Roman" w:hAnsi="Times New Roman"/>
          <w:sz w:val="24"/>
        </w:rPr>
        <w:t>Toluca, México: Facultad de Ciencias Políticas y Sociales de la</w:t>
      </w:r>
      <w:r>
        <w:rPr>
          <w:rFonts w:ascii="Times New Roman" w:hAnsi="Times New Roman"/>
          <w:spacing w:val="-13"/>
          <w:sz w:val="24"/>
        </w:rPr>
        <w:t> </w:t>
      </w:r>
      <w:r>
        <w:rPr>
          <w:rFonts w:ascii="Times New Roman" w:hAnsi="Times New Roman"/>
          <w:sz w:val="24"/>
        </w:rPr>
        <w:t>UAEM.</w:t>
      </w:r>
    </w:p>
    <w:p>
      <w:pPr>
        <w:spacing w:before="0"/>
        <w:ind w:left="828" w:right="118" w:hanging="720"/>
        <w:jc w:val="both"/>
        <w:rPr>
          <w:rFonts w:ascii="Times New Roman"/>
          <w:sz w:val="24"/>
        </w:rPr>
      </w:pPr>
      <w:r>
        <w:rPr>
          <w:rFonts w:ascii="Times New Roman"/>
          <w:sz w:val="24"/>
        </w:rPr>
        <w:t>Truman, D. (1951). </w:t>
      </w:r>
      <w:r>
        <w:rPr>
          <w:rFonts w:ascii="Times New Roman"/>
          <w:i/>
          <w:sz w:val="24"/>
        </w:rPr>
        <w:t>The governmental Process; Political interest and Public Opinion. </w:t>
      </w:r>
      <w:r>
        <w:rPr>
          <w:rFonts w:ascii="Times New Roman"/>
          <w:sz w:val="24"/>
        </w:rPr>
        <w:t>USA: Ed Knopf.</w:t>
      </w:r>
    </w:p>
    <w:p>
      <w:pPr>
        <w:spacing w:before="0"/>
        <w:ind w:left="828" w:right="115" w:hanging="720"/>
        <w:jc w:val="both"/>
        <w:rPr>
          <w:rFonts w:ascii="Times New Roman" w:hAnsi="Times New Roman"/>
          <w:sz w:val="24"/>
        </w:rPr>
      </w:pPr>
      <w:r>
        <w:rPr>
          <w:rFonts w:ascii="Times New Roman" w:hAnsi="Times New Roman"/>
          <w:sz w:val="24"/>
        </w:rPr>
        <w:t>Ugalde, L. (2002). Rendición de cuentas y democracia. El caso de México. </w:t>
      </w:r>
      <w:r>
        <w:rPr>
          <w:rFonts w:ascii="Times New Roman" w:hAnsi="Times New Roman"/>
          <w:i/>
          <w:sz w:val="24"/>
        </w:rPr>
        <w:t>Cuadernos de </w:t>
      </w:r>
      <w:r>
        <w:rPr>
          <w:rFonts w:ascii="Times New Roman" w:hAnsi="Times New Roman"/>
          <w:i/>
          <w:sz w:val="24"/>
        </w:rPr>
        <w:t>Divulgación de la Cultura Democrática </w:t>
      </w:r>
      <w:r>
        <w:rPr>
          <w:rFonts w:ascii="Times New Roman" w:hAnsi="Times New Roman"/>
          <w:sz w:val="24"/>
        </w:rPr>
        <w:t>.</w:t>
      </w:r>
    </w:p>
    <w:p>
      <w:pPr>
        <w:spacing w:before="0"/>
        <w:ind w:left="828" w:right="116" w:hanging="720"/>
        <w:jc w:val="both"/>
        <w:rPr>
          <w:rFonts w:ascii="Times New Roman" w:hAnsi="Times New Roman"/>
          <w:sz w:val="24"/>
        </w:rPr>
      </w:pPr>
      <w:r>
        <w:rPr>
          <w:rFonts w:ascii="Times New Roman" w:hAnsi="Times New Roman"/>
          <w:sz w:val="24"/>
        </w:rPr>
        <w:t>Uvalle Berrones, R. (septiembre-diciembre de 2007). Gobernabilidad, transparencia y reconstrucción del Estado . </w:t>
      </w:r>
      <w:r>
        <w:rPr>
          <w:rFonts w:ascii="Times New Roman" w:hAnsi="Times New Roman"/>
          <w:i/>
          <w:sz w:val="24"/>
        </w:rPr>
        <w:t>Convergencia. Revista de Ciencias Sociales, XIV</w:t>
      </w:r>
      <w:r>
        <w:rPr>
          <w:rFonts w:ascii="Times New Roman" w:hAnsi="Times New Roman"/>
          <w:sz w:val="24"/>
        </w:rPr>
        <w:t>(45), 47- 74.</w:t>
      </w:r>
    </w:p>
    <w:p>
      <w:pPr>
        <w:spacing w:before="0"/>
        <w:ind w:left="828" w:right="116" w:hanging="720"/>
        <w:jc w:val="both"/>
        <w:rPr>
          <w:rFonts w:ascii="Times New Roman" w:hAnsi="Times New Roman"/>
          <w:sz w:val="24"/>
        </w:rPr>
      </w:pPr>
      <w:r>
        <w:rPr>
          <w:rFonts w:ascii="Times New Roman" w:hAnsi="Times New Roman"/>
          <w:sz w:val="24"/>
        </w:rPr>
        <w:t>Uvalle Berrones, R. (2012). Democracia, Estado de derecho y transparencia. En V. Peña, </w:t>
      </w:r>
      <w:r>
        <w:rPr>
          <w:rFonts w:ascii="Times New Roman" w:hAnsi="Times New Roman"/>
          <w:i/>
          <w:sz w:val="24"/>
        </w:rPr>
        <w:t>A </w:t>
      </w:r>
      <w:r>
        <w:rPr>
          <w:rFonts w:ascii="Times New Roman" w:hAnsi="Times New Roman"/>
          <w:i/>
          <w:sz w:val="24"/>
        </w:rPr>
        <w:t>una década. Temas y reflexiones sobre transparencia y rendición de cuentas como política pública en México. </w:t>
      </w:r>
      <w:r>
        <w:rPr>
          <w:rFonts w:ascii="Times New Roman" w:hAnsi="Times New Roman"/>
          <w:sz w:val="24"/>
        </w:rPr>
        <w:t>México: Tecnológico de Monterrey/Ibero Ciudad de México/Porrúa.</w:t>
      </w:r>
    </w:p>
    <w:p>
      <w:pPr>
        <w:spacing w:before="0"/>
        <w:ind w:left="828" w:right="115" w:hanging="720"/>
        <w:jc w:val="both"/>
        <w:rPr>
          <w:rFonts w:ascii="Times New Roman" w:hAnsi="Times New Roman"/>
          <w:sz w:val="24"/>
        </w:rPr>
      </w:pPr>
      <w:r>
        <w:rPr>
          <w:rFonts w:ascii="Times New Roman" w:hAnsi="Times New Roman"/>
          <w:sz w:val="24"/>
        </w:rPr>
        <w:t>Vega Hernández, J. R. (2011). El Derecho de Acceso a la Información Pública y su órgano garante ante el Estado y la sociedad. Una mirada desde la experiencia en Querétaro. En V. Peña, </w:t>
      </w:r>
      <w:r>
        <w:rPr>
          <w:rFonts w:ascii="Times New Roman" w:hAnsi="Times New Roman"/>
          <w:i/>
          <w:sz w:val="24"/>
        </w:rPr>
        <w:t>A una década: Temas y reflexiones sobre transparencia y rend. </w:t>
      </w:r>
      <w:r>
        <w:rPr>
          <w:rFonts w:ascii="Times New Roman" w:hAnsi="Times New Roman"/>
          <w:sz w:val="24"/>
        </w:rPr>
        <w:t>México: Tec de Monterrey/Ibero Ciudad de México/Porrúa.</w:t>
      </w:r>
    </w:p>
    <w:p>
      <w:pPr>
        <w:spacing w:before="0"/>
        <w:ind w:left="828" w:right="117" w:hanging="720"/>
        <w:jc w:val="both"/>
        <w:rPr>
          <w:rFonts w:ascii="Times New Roman" w:hAnsi="Times New Roman"/>
          <w:sz w:val="24"/>
        </w:rPr>
      </w:pPr>
      <w:r>
        <w:rPr>
          <w:rFonts w:ascii="Times New Roman" w:hAnsi="Times New Roman"/>
          <w:sz w:val="24"/>
        </w:rPr>
        <w:t>Velasco</w:t>
      </w:r>
      <w:r>
        <w:rPr>
          <w:rFonts w:ascii="Times New Roman" w:hAnsi="Times New Roman"/>
          <w:spacing w:val="-7"/>
          <w:sz w:val="24"/>
        </w:rPr>
        <w:t> </w:t>
      </w:r>
      <w:r>
        <w:rPr>
          <w:rFonts w:ascii="Times New Roman" w:hAnsi="Times New Roman"/>
          <w:sz w:val="24"/>
        </w:rPr>
        <w:t>Monroy,</w:t>
      </w:r>
      <w:r>
        <w:rPr>
          <w:rFonts w:ascii="Times New Roman" w:hAnsi="Times New Roman"/>
          <w:spacing w:val="-7"/>
          <w:sz w:val="24"/>
        </w:rPr>
        <w:t> </w:t>
      </w:r>
      <w:r>
        <w:rPr>
          <w:rFonts w:ascii="Times New Roman" w:hAnsi="Times New Roman"/>
          <w:sz w:val="24"/>
        </w:rPr>
        <w:t>S.</w:t>
      </w:r>
      <w:r>
        <w:rPr>
          <w:rFonts w:ascii="Times New Roman" w:hAnsi="Times New Roman"/>
          <w:spacing w:val="-7"/>
          <w:sz w:val="24"/>
        </w:rPr>
        <w:t> </w:t>
      </w:r>
      <w:r>
        <w:rPr>
          <w:rFonts w:ascii="Times New Roman" w:hAnsi="Times New Roman"/>
          <w:sz w:val="24"/>
        </w:rPr>
        <w:t>G.</w:t>
      </w:r>
      <w:r>
        <w:rPr>
          <w:rFonts w:ascii="Times New Roman" w:hAnsi="Times New Roman"/>
          <w:spacing w:val="-8"/>
          <w:sz w:val="24"/>
        </w:rPr>
        <w:t> </w:t>
      </w:r>
      <w:r>
        <w:rPr>
          <w:rFonts w:ascii="Times New Roman" w:hAnsi="Times New Roman"/>
          <w:sz w:val="24"/>
        </w:rPr>
        <w:t>(1987).</w:t>
      </w:r>
      <w:r>
        <w:rPr>
          <w:rFonts w:ascii="Times New Roman" w:hAnsi="Times New Roman"/>
          <w:spacing w:val="-7"/>
          <w:sz w:val="24"/>
        </w:rPr>
        <w:t> </w:t>
      </w:r>
      <w:r>
        <w:rPr>
          <w:rFonts w:ascii="Times New Roman" w:hAnsi="Times New Roman"/>
          <w:i/>
          <w:sz w:val="24"/>
        </w:rPr>
        <w:t>Nuevas</w:t>
      </w:r>
      <w:r>
        <w:rPr>
          <w:rFonts w:ascii="Times New Roman" w:hAnsi="Times New Roman"/>
          <w:i/>
          <w:spacing w:val="-7"/>
          <w:sz w:val="24"/>
        </w:rPr>
        <w:t> </w:t>
      </w:r>
      <w:r>
        <w:rPr>
          <w:rFonts w:ascii="Times New Roman" w:hAnsi="Times New Roman"/>
          <w:i/>
          <w:sz w:val="24"/>
        </w:rPr>
        <w:t>Estructuras</w:t>
      </w:r>
      <w:r>
        <w:rPr>
          <w:rFonts w:ascii="Times New Roman" w:hAnsi="Times New Roman"/>
          <w:i/>
          <w:spacing w:val="-7"/>
          <w:sz w:val="24"/>
        </w:rPr>
        <w:t> </w:t>
      </w:r>
      <w:r>
        <w:rPr>
          <w:rFonts w:ascii="Times New Roman" w:hAnsi="Times New Roman"/>
          <w:i/>
          <w:sz w:val="24"/>
        </w:rPr>
        <w:t>Organizacionales</w:t>
      </w:r>
      <w:r>
        <w:rPr>
          <w:rFonts w:ascii="Times New Roman" w:hAnsi="Times New Roman"/>
          <w:i/>
          <w:spacing w:val="-7"/>
          <w:sz w:val="24"/>
        </w:rPr>
        <w:t> </w:t>
      </w:r>
      <w:r>
        <w:rPr>
          <w:rFonts w:ascii="Times New Roman" w:hAnsi="Times New Roman"/>
          <w:i/>
          <w:sz w:val="24"/>
        </w:rPr>
        <w:t>para</w:t>
      </w:r>
      <w:r>
        <w:rPr>
          <w:rFonts w:ascii="Times New Roman" w:hAnsi="Times New Roman"/>
          <w:i/>
          <w:spacing w:val="-7"/>
          <w:sz w:val="24"/>
        </w:rPr>
        <w:t> </w:t>
      </w:r>
      <w:r>
        <w:rPr>
          <w:rFonts w:ascii="Times New Roman" w:hAnsi="Times New Roman"/>
          <w:i/>
          <w:sz w:val="24"/>
        </w:rPr>
        <w:t>la</w:t>
      </w:r>
      <w:r>
        <w:rPr>
          <w:rFonts w:ascii="Times New Roman" w:hAnsi="Times New Roman"/>
          <w:i/>
          <w:spacing w:val="-7"/>
          <w:sz w:val="24"/>
        </w:rPr>
        <w:t> </w:t>
      </w:r>
      <w:r>
        <w:rPr>
          <w:rFonts w:ascii="Times New Roman" w:hAnsi="Times New Roman"/>
          <w:i/>
          <w:sz w:val="24"/>
        </w:rPr>
        <w:t>Administración </w:t>
      </w:r>
      <w:r>
        <w:rPr>
          <w:rFonts w:ascii="Times New Roman" w:hAnsi="Times New Roman"/>
          <w:i/>
          <w:sz w:val="24"/>
        </w:rPr>
        <w:t>Pública: Breves consideraciones para un modelo. </w:t>
      </w:r>
      <w:r>
        <w:rPr>
          <w:rFonts w:ascii="Times New Roman" w:hAnsi="Times New Roman"/>
          <w:sz w:val="24"/>
        </w:rPr>
        <w:t>México: Colegio Nacional de Ciencias políticas y Administración</w:t>
      </w:r>
      <w:r>
        <w:rPr>
          <w:rFonts w:ascii="Times New Roman" w:hAnsi="Times New Roman"/>
          <w:spacing w:val="-10"/>
          <w:sz w:val="24"/>
        </w:rPr>
        <w:t> </w:t>
      </w:r>
      <w:r>
        <w:rPr>
          <w:rFonts w:ascii="Times New Roman" w:hAnsi="Times New Roman"/>
          <w:sz w:val="24"/>
        </w:rPr>
        <w:t>Pública.</w:t>
      </w:r>
    </w:p>
    <w:p>
      <w:pPr>
        <w:spacing w:before="0"/>
        <w:ind w:left="108" w:right="741" w:firstLine="0"/>
        <w:jc w:val="left"/>
        <w:rPr>
          <w:rFonts w:ascii="Times New Roman" w:hAnsi="Times New Roman"/>
          <w:sz w:val="24"/>
        </w:rPr>
      </w:pPr>
      <w:r>
        <w:rPr>
          <w:rFonts w:ascii="Times New Roman" w:hAnsi="Times New Roman"/>
          <w:sz w:val="24"/>
        </w:rPr>
        <w:t>Vergara, R. (2005). La transparencia como problema. </w:t>
      </w:r>
      <w:r>
        <w:rPr>
          <w:rFonts w:ascii="Times New Roman" w:hAnsi="Times New Roman"/>
          <w:i/>
          <w:sz w:val="24"/>
        </w:rPr>
        <w:t>Cuadernos de transparencia</w:t>
      </w:r>
      <w:r>
        <w:rPr>
          <w:rFonts w:ascii="Times New Roman" w:hAnsi="Times New Roman"/>
          <w:sz w:val="24"/>
        </w:rPr>
        <w:t>(5). Weber, M. (1997). </w:t>
      </w:r>
      <w:r>
        <w:rPr>
          <w:rFonts w:ascii="Times New Roman" w:hAnsi="Times New Roman"/>
          <w:i/>
          <w:sz w:val="24"/>
        </w:rPr>
        <w:t>El Político y el Científico. </w:t>
      </w:r>
      <w:r>
        <w:rPr>
          <w:rFonts w:ascii="Times New Roman" w:hAnsi="Times New Roman"/>
          <w:sz w:val="24"/>
        </w:rPr>
        <w:t>México: Ediciones Coyoacán.</w:t>
      </w:r>
    </w:p>
    <w:p>
      <w:pPr>
        <w:spacing w:before="0"/>
        <w:ind w:left="828" w:right="118" w:hanging="720"/>
        <w:jc w:val="both"/>
        <w:rPr>
          <w:rFonts w:ascii="Times New Roman" w:hAnsi="Times New Roman"/>
          <w:sz w:val="24"/>
        </w:rPr>
      </w:pPr>
      <w:r>
        <w:rPr>
          <w:rFonts w:ascii="Times New Roman" w:hAnsi="Times New Roman"/>
          <w:sz w:val="24"/>
        </w:rPr>
        <w:t>Weiss, E. c. (2003). El campo de la investigación educativa 1993-2001 . En </w:t>
      </w:r>
      <w:r>
        <w:rPr>
          <w:rFonts w:ascii="Times New Roman" w:hAnsi="Times New Roman"/>
          <w:i/>
          <w:sz w:val="24"/>
        </w:rPr>
        <w:t>Colección: La </w:t>
      </w:r>
      <w:r>
        <w:rPr>
          <w:rFonts w:ascii="Times New Roman" w:hAnsi="Times New Roman"/>
          <w:i/>
          <w:sz w:val="24"/>
        </w:rPr>
        <w:t>investigación educativa en México 1992-2002. </w:t>
      </w:r>
      <w:r>
        <w:rPr>
          <w:rFonts w:ascii="Times New Roman" w:hAnsi="Times New Roman"/>
          <w:sz w:val="24"/>
        </w:rPr>
        <w:t>México: Consejo Mexicano de Investigación Educativa A.C. Grupo Ideograma Editores.</w:t>
      </w:r>
    </w:p>
    <w:p>
      <w:pPr>
        <w:spacing w:after="0"/>
        <w:jc w:val="both"/>
        <w:rPr>
          <w:rFonts w:ascii="Times New Roman" w:hAnsi="Times New Roman"/>
          <w:sz w:val="24"/>
        </w:rPr>
        <w:sectPr>
          <w:pgSz w:w="12240" w:h="15840"/>
          <w:pgMar w:header="0" w:footer="975" w:top="1360" w:bottom="1220" w:left="1500" w:right="15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before="60"/>
        <w:ind w:left="1666" w:right="552" w:firstLine="0"/>
        <w:jc w:val="left"/>
        <w:rPr>
          <w:b/>
          <w:sz w:val="144"/>
        </w:rPr>
      </w:pPr>
      <w:bookmarkStart w:name="_bookmark23" w:id="39"/>
      <w:bookmarkEnd w:id="39"/>
      <w:r>
        <w:rPr/>
      </w:r>
      <w:r>
        <w:rPr>
          <w:b/>
          <w:sz w:val="144"/>
        </w:rPr>
        <w:t>ANEXOS</w:t>
      </w:r>
    </w:p>
    <w:p>
      <w:pPr>
        <w:spacing w:after="0"/>
        <w:jc w:val="left"/>
        <w:rPr>
          <w:sz w:val="144"/>
        </w:rPr>
        <w:sectPr>
          <w:pgSz w:w="12240" w:h="15840"/>
          <w:pgMar w:header="0" w:footer="975" w:top="1500" w:bottom="1220" w:left="1720" w:right="1720"/>
        </w:sectPr>
      </w:pPr>
    </w:p>
    <w:tbl>
      <w:tblPr>
        <w:tblW w:w="0" w:type="auto"/>
        <w:jc w:val="left"/>
        <w:tblInd w:w="13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83"/>
        <w:gridCol w:w="1066"/>
        <w:gridCol w:w="1069"/>
        <w:gridCol w:w="1066"/>
      </w:tblGrid>
      <w:tr>
        <w:trPr>
          <w:trHeight w:val="310" w:hRule="exact"/>
        </w:trPr>
        <w:tc>
          <w:tcPr>
            <w:tcW w:w="7583" w:type="dxa"/>
            <w:gridSpan w:val="4"/>
            <w:tcBorders>
              <w:bottom w:val="single" w:sz="4" w:space="0" w:color="000000"/>
            </w:tcBorders>
            <w:shd w:val="clear" w:color="auto" w:fill="92D050"/>
          </w:tcPr>
          <w:p>
            <w:pPr>
              <w:pStyle w:val="TableParagraph"/>
              <w:spacing w:before="56"/>
              <w:ind w:left="775"/>
              <w:jc w:val="left"/>
              <w:rPr>
                <w:b/>
                <w:sz w:val="18"/>
              </w:rPr>
            </w:pPr>
            <w:r>
              <w:rPr>
                <w:b/>
                <w:sz w:val="18"/>
              </w:rPr>
              <w:t>Anexo 1. Población de los municipios del Estado de México 2005-2012</w:t>
            </w:r>
          </w:p>
        </w:tc>
      </w:tr>
      <w:tr>
        <w:trPr>
          <w:trHeight w:val="487" w:hRule="exact"/>
        </w:trPr>
        <w:tc>
          <w:tcPr>
            <w:tcW w:w="4383" w:type="dxa"/>
            <w:tcBorders>
              <w:top w:val="single" w:sz="4" w:space="0" w:color="000000"/>
            </w:tcBorders>
            <w:shd w:val="clear" w:color="auto" w:fill="92D050"/>
          </w:tcPr>
          <w:p>
            <w:pPr>
              <w:pStyle w:val="TableParagraph"/>
              <w:spacing w:line="201" w:lineRule="exact"/>
              <w:ind w:left="1746" w:right="1747"/>
              <w:rPr>
                <w:b/>
                <w:sz w:val="18"/>
              </w:rPr>
            </w:pPr>
            <w:r>
              <w:rPr>
                <w:b/>
                <w:sz w:val="18"/>
              </w:rPr>
              <w:t>Municipio</w:t>
            </w:r>
          </w:p>
        </w:tc>
        <w:tc>
          <w:tcPr>
            <w:tcW w:w="1066" w:type="dxa"/>
            <w:tcBorders>
              <w:top w:val="single" w:sz="4" w:space="0" w:color="000000"/>
            </w:tcBorders>
            <w:shd w:val="clear" w:color="auto" w:fill="92D050"/>
          </w:tcPr>
          <w:p>
            <w:pPr>
              <w:pStyle w:val="TableParagraph"/>
              <w:spacing w:line="276" w:lineRule="auto"/>
              <w:ind w:left="323" w:right="83" w:hanging="231"/>
              <w:jc w:val="left"/>
              <w:rPr>
                <w:b/>
                <w:sz w:val="18"/>
              </w:rPr>
            </w:pPr>
            <w:r>
              <w:rPr>
                <w:b/>
                <w:sz w:val="18"/>
              </w:rPr>
              <w:t>Población 2005</w:t>
            </w:r>
          </w:p>
        </w:tc>
        <w:tc>
          <w:tcPr>
            <w:tcW w:w="1069" w:type="dxa"/>
            <w:tcBorders>
              <w:top w:val="single" w:sz="4" w:space="0" w:color="000000"/>
            </w:tcBorders>
            <w:shd w:val="clear" w:color="auto" w:fill="92D050"/>
          </w:tcPr>
          <w:p>
            <w:pPr>
              <w:pStyle w:val="TableParagraph"/>
              <w:spacing w:line="276" w:lineRule="auto"/>
              <w:ind w:left="326" w:right="83" w:hanging="231"/>
              <w:jc w:val="left"/>
              <w:rPr>
                <w:b/>
                <w:sz w:val="18"/>
              </w:rPr>
            </w:pPr>
            <w:r>
              <w:rPr>
                <w:b/>
                <w:sz w:val="18"/>
              </w:rPr>
              <w:t>Población 2010</w:t>
            </w:r>
          </w:p>
        </w:tc>
        <w:tc>
          <w:tcPr>
            <w:tcW w:w="1066" w:type="dxa"/>
            <w:tcBorders>
              <w:top w:val="single" w:sz="4" w:space="0" w:color="000000"/>
            </w:tcBorders>
            <w:shd w:val="clear" w:color="auto" w:fill="92D050"/>
          </w:tcPr>
          <w:p>
            <w:pPr>
              <w:pStyle w:val="TableParagraph"/>
              <w:spacing w:line="276" w:lineRule="auto"/>
              <w:ind w:left="324" w:right="82" w:hanging="231"/>
              <w:jc w:val="left"/>
              <w:rPr>
                <w:b/>
                <w:sz w:val="18"/>
              </w:rPr>
            </w:pPr>
            <w:r>
              <w:rPr>
                <w:b/>
                <w:sz w:val="18"/>
              </w:rPr>
              <w:t>Población 2012</w:t>
            </w:r>
          </w:p>
        </w:tc>
      </w:tr>
      <w:tr>
        <w:trPr>
          <w:trHeight w:val="310" w:hRule="exact"/>
        </w:trPr>
        <w:tc>
          <w:tcPr>
            <w:tcW w:w="4383" w:type="dxa"/>
          </w:tcPr>
          <w:p>
            <w:pPr>
              <w:pStyle w:val="TableParagraph"/>
              <w:spacing w:before="25"/>
              <w:ind w:left="64"/>
              <w:jc w:val="left"/>
              <w:rPr>
                <w:b/>
                <w:sz w:val="18"/>
              </w:rPr>
            </w:pPr>
            <w:r>
              <w:rPr>
                <w:b/>
                <w:color w:val="333333"/>
                <w:sz w:val="18"/>
              </w:rPr>
              <w:t>ACAMBAY</w:t>
            </w:r>
          </w:p>
        </w:tc>
        <w:tc>
          <w:tcPr>
            <w:tcW w:w="1066" w:type="dxa"/>
          </w:tcPr>
          <w:p>
            <w:pPr>
              <w:pStyle w:val="TableParagraph"/>
              <w:spacing w:before="61"/>
              <w:ind w:left="104" w:right="108"/>
              <w:rPr>
                <w:sz w:val="18"/>
              </w:rPr>
            </w:pPr>
            <w:r>
              <w:rPr>
                <w:sz w:val="18"/>
              </w:rPr>
              <w:t>56,849</w:t>
            </w:r>
          </w:p>
        </w:tc>
        <w:tc>
          <w:tcPr>
            <w:tcW w:w="1069" w:type="dxa"/>
          </w:tcPr>
          <w:p>
            <w:pPr>
              <w:pStyle w:val="TableParagraph"/>
              <w:spacing w:before="61"/>
              <w:ind w:left="251" w:right="83"/>
              <w:jc w:val="left"/>
              <w:rPr>
                <w:sz w:val="18"/>
              </w:rPr>
            </w:pPr>
            <w:r>
              <w:rPr>
                <w:sz w:val="18"/>
              </w:rPr>
              <w:t>60,918</w:t>
            </w:r>
          </w:p>
        </w:tc>
        <w:tc>
          <w:tcPr>
            <w:tcW w:w="1066" w:type="dxa"/>
          </w:tcPr>
          <w:p>
            <w:pPr>
              <w:pStyle w:val="TableParagraph"/>
              <w:spacing w:before="61"/>
              <w:ind w:left="103" w:right="108"/>
              <w:rPr>
                <w:sz w:val="18"/>
              </w:rPr>
            </w:pPr>
            <w:r>
              <w:rPr>
                <w:sz w:val="18"/>
              </w:rPr>
              <w:t>60,751</w:t>
            </w:r>
          </w:p>
        </w:tc>
      </w:tr>
      <w:tr>
        <w:trPr>
          <w:trHeight w:val="310" w:hRule="exact"/>
        </w:trPr>
        <w:tc>
          <w:tcPr>
            <w:tcW w:w="4383" w:type="dxa"/>
          </w:tcPr>
          <w:p>
            <w:pPr>
              <w:pStyle w:val="TableParagraph"/>
              <w:spacing w:before="25"/>
              <w:ind w:left="64"/>
              <w:jc w:val="left"/>
              <w:rPr>
                <w:b/>
                <w:sz w:val="18"/>
              </w:rPr>
            </w:pPr>
            <w:r>
              <w:rPr>
                <w:b/>
                <w:color w:val="333333"/>
                <w:sz w:val="18"/>
              </w:rPr>
              <w:t>ACOLMAN</w:t>
            </w:r>
          </w:p>
        </w:tc>
        <w:tc>
          <w:tcPr>
            <w:tcW w:w="1066" w:type="dxa"/>
          </w:tcPr>
          <w:p>
            <w:pPr>
              <w:pStyle w:val="TableParagraph"/>
              <w:spacing w:before="61"/>
              <w:ind w:left="104" w:right="108"/>
              <w:rPr>
                <w:sz w:val="18"/>
              </w:rPr>
            </w:pPr>
            <w:r>
              <w:rPr>
                <w:sz w:val="18"/>
              </w:rPr>
              <w:t>77,035</w:t>
            </w:r>
          </w:p>
        </w:tc>
        <w:tc>
          <w:tcPr>
            <w:tcW w:w="1069" w:type="dxa"/>
          </w:tcPr>
          <w:p>
            <w:pPr>
              <w:pStyle w:val="TableParagraph"/>
              <w:spacing w:before="61"/>
              <w:ind w:left="201" w:right="83"/>
              <w:jc w:val="left"/>
              <w:rPr>
                <w:sz w:val="18"/>
              </w:rPr>
            </w:pPr>
            <w:r>
              <w:rPr>
                <w:sz w:val="18"/>
              </w:rPr>
              <w:t>136,558</w:t>
            </w:r>
          </w:p>
        </w:tc>
        <w:tc>
          <w:tcPr>
            <w:tcW w:w="1066" w:type="dxa"/>
          </w:tcPr>
          <w:p>
            <w:pPr>
              <w:pStyle w:val="TableParagraph"/>
              <w:spacing w:before="61"/>
              <w:ind w:left="104" w:right="108"/>
              <w:rPr>
                <w:sz w:val="18"/>
              </w:rPr>
            </w:pPr>
            <w:r>
              <w:rPr>
                <w:sz w:val="18"/>
              </w:rPr>
              <w:t>150,029</w:t>
            </w:r>
          </w:p>
        </w:tc>
      </w:tr>
      <w:tr>
        <w:trPr>
          <w:trHeight w:val="310" w:hRule="exact"/>
        </w:trPr>
        <w:tc>
          <w:tcPr>
            <w:tcW w:w="4383" w:type="dxa"/>
          </w:tcPr>
          <w:p>
            <w:pPr>
              <w:pStyle w:val="TableParagraph"/>
              <w:spacing w:before="25"/>
              <w:ind w:left="64"/>
              <w:jc w:val="left"/>
              <w:rPr>
                <w:b/>
                <w:sz w:val="18"/>
              </w:rPr>
            </w:pPr>
            <w:r>
              <w:rPr>
                <w:b/>
                <w:color w:val="333333"/>
                <w:sz w:val="18"/>
              </w:rPr>
              <w:t>ACULCO</w:t>
            </w:r>
          </w:p>
        </w:tc>
        <w:tc>
          <w:tcPr>
            <w:tcW w:w="1066" w:type="dxa"/>
          </w:tcPr>
          <w:p>
            <w:pPr>
              <w:pStyle w:val="TableParagraph"/>
              <w:spacing w:before="61"/>
              <w:ind w:left="104" w:right="108"/>
              <w:rPr>
                <w:sz w:val="18"/>
              </w:rPr>
            </w:pPr>
            <w:r>
              <w:rPr>
                <w:sz w:val="18"/>
              </w:rPr>
              <w:t>40,492</w:t>
            </w:r>
          </w:p>
        </w:tc>
        <w:tc>
          <w:tcPr>
            <w:tcW w:w="1069" w:type="dxa"/>
          </w:tcPr>
          <w:p>
            <w:pPr>
              <w:pStyle w:val="TableParagraph"/>
              <w:spacing w:before="61"/>
              <w:ind w:left="251" w:right="83"/>
              <w:jc w:val="left"/>
              <w:rPr>
                <w:sz w:val="18"/>
              </w:rPr>
            </w:pPr>
            <w:r>
              <w:rPr>
                <w:sz w:val="18"/>
              </w:rPr>
              <w:t>44,823</w:t>
            </w:r>
          </w:p>
        </w:tc>
        <w:tc>
          <w:tcPr>
            <w:tcW w:w="1066" w:type="dxa"/>
          </w:tcPr>
          <w:p>
            <w:pPr>
              <w:pStyle w:val="TableParagraph"/>
              <w:spacing w:before="61"/>
              <w:ind w:left="103" w:right="108"/>
              <w:rPr>
                <w:sz w:val="18"/>
              </w:rPr>
            </w:pPr>
            <w:r>
              <w:rPr>
                <w:sz w:val="18"/>
              </w:rPr>
              <w:t>45,276</w:t>
            </w:r>
          </w:p>
        </w:tc>
      </w:tr>
      <w:tr>
        <w:trPr>
          <w:trHeight w:val="310" w:hRule="exact"/>
        </w:trPr>
        <w:tc>
          <w:tcPr>
            <w:tcW w:w="4383" w:type="dxa"/>
          </w:tcPr>
          <w:p>
            <w:pPr>
              <w:pStyle w:val="TableParagraph"/>
              <w:spacing w:before="25"/>
              <w:ind w:left="64"/>
              <w:jc w:val="left"/>
              <w:rPr>
                <w:b/>
                <w:sz w:val="18"/>
              </w:rPr>
            </w:pPr>
            <w:r>
              <w:rPr>
                <w:b/>
                <w:color w:val="333333"/>
                <w:sz w:val="18"/>
              </w:rPr>
              <w:t>ALMOLOYA DE ALQUISIRAS</w:t>
            </w:r>
          </w:p>
        </w:tc>
        <w:tc>
          <w:tcPr>
            <w:tcW w:w="1066" w:type="dxa"/>
          </w:tcPr>
          <w:p>
            <w:pPr>
              <w:pStyle w:val="TableParagraph"/>
              <w:spacing w:before="61"/>
              <w:ind w:left="104" w:right="108"/>
              <w:rPr>
                <w:sz w:val="18"/>
              </w:rPr>
            </w:pPr>
            <w:r>
              <w:rPr>
                <w:sz w:val="18"/>
              </w:rPr>
              <w:t>14,196</w:t>
            </w:r>
          </w:p>
        </w:tc>
        <w:tc>
          <w:tcPr>
            <w:tcW w:w="1069" w:type="dxa"/>
          </w:tcPr>
          <w:p>
            <w:pPr>
              <w:pStyle w:val="TableParagraph"/>
              <w:spacing w:before="61"/>
              <w:ind w:left="251" w:right="83"/>
              <w:jc w:val="left"/>
              <w:rPr>
                <w:sz w:val="18"/>
              </w:rPr>
            </w:pPr>
            <w:r>
              <w:rPr>
                <w:sz w:val="18"/>
              </w:rPr>
              <w:t>14,856</w:t>
            </w:r>
          </w:p>
        </w:tc>
        <w:tc>
          <w:tcPr>
            <w:tcW w:w="1066" w:type="dxa"/>
          </w:tcPr>
          <w:p>
            <w:pPr>
              <w:pStyle w:val="TableParagraph"/>
              <w:spacing w:before="61"/>
              <w:ind w:left="103" w:right="108"/>
              <w:rPr>
                <w:sz w:val="18"/>
              </w:rPr>
            </w:pPr>
            <w:r>
              <w:rPr>
                <w:sz w:val="18"/>
              </w:rPr>
              <w:t>14,647</w:t>
            </w:r>
          </w:p>
        </w:tc>
      </w:tr>
      <w:tr>
        <w:trPr>
          <w:trHeight w:val="310" w:hRule="exact"/>
        </w:trPr>
        <w:tc>
          <w:tcPr>
            <w:tcW w:w="4383" w:type="dxa"/>
          </w:tcPr>
          <w:p>
            <w:pPr>
              <w:pStyle w:val="TableParagraph"/>
              <w:spacing w:before="25"/>
              <w:ind w:left="64"/>
              <w:jc w:val="left"/>
              <w:rPr>
                <w:b/>
                <w:sz w:val="18"/>
              </w:rPr>
            </w:pPr>
            <w:r>
              <w:rPr>
                <w:b/>
                <w:color w:val="333333"/>
                <w:sz w:val="18"/>
              </w:rPr>
              <w:t>ALMOLOYA DE JUAREZ</w:t>
            </w:r>
          </w:p>
        </w:tc>
        <w:tc>
          <w:tcPr>
            <w:tcW w:w="1066" w:type="dxa"/>
          </w:tcPr>
          <w:p>
            <w:pPr>
              <w:pStyle w:val="TableParagraph"/>
              <w:spacing w:before="61"/>
              <w:ind w:left="104" w:right="108"/>
              <w:rPr>
                <w:sz w:val="18"/>
              </w:rPr>
            </w:pPr>
            <w:r>
              <w:rPr>
                <w:sz w:val="18"/>
              </w:rPr>
              <w:t>126,163</w:t>
            </w:r>
          </w:p>
        </w:tc>
        <w:tc>
          <w:tcPr>
            <w:tcW w:w="1069" w:type="dxa"/>
          </w:tcPr>
          <w:p>
            <w:pPr>
              <w:pStyle w:val="TableParagraph"/>
              <w:spacing w:before="61"/>
              <w:ind w:left="201" w:right="83"/>
              <w:jc w:val="left"/>
              <w:rPr>
                <w:sz w:val="18"/>
              </w:rPr>
            </w:pPr>
            <w:r>
              <w:rPr>
                <w:sz w:val="18"/>
              </w:rPr>
              <w:t>147,653</w:t>
            </w:r>
          </w:p>
        </w:tc>
        <w:tc>
          <w:tcPr>
            <w:tcW w:w="1066" w:type="dxa"/>
          </w:tcPr>
          <w:p>
            <w:pPr>
              <w:pStyle w:val="TableParagraph"/>
              <w:spacing w:before="61"/>
              <w:ind w:left="105" w:right="108"/>
              <w:rPr>
                <w:sz w:val="18"/>
              </w:rPr>
            </w:pPr>
            <w:r>
              <w:rPr>
                <w:sz w:val="18"/>
              </w:rPr>
              <w:t>151,921</w:t>
            </w:r>
          </w:p>
        </w:tc>
      </w:tr>
      <w:tr>
        <w:trPr>
          <w:trHeight w:val="312" w:hRule="exact"/>
        </w:trPr>
        <w:tc>
          <w:tcPr>
            <w:tcW w:w="4383" w:type="dxa"/>
          </w:tcPr>
          <w:p>
            <w:pPr>
              <w:pStyle w:val="TableParagraph"/>
              <w:spacing w:before="25"/>
              <w:ind w:left="64"/>
              <w:jc w:val="left"/>
              <w:rPr>
                <w:b/>
                <w:sz w:val="18"/>
              </w:rPr>
            </w:pPr>
            <w:r>
              <w:rPr>
                <w:b/>
                <w:color w:val="333333"/>
                <w:sz w:val="18"/>
              </w:rPr>
              <w:t>ALMOLOYA DEL RIO</w:t>
            </w:r>
          </w:p>
        </w:tc>
        <w:tc>
          <w:tcPr>
            <w:tcW w:w="1066" w:type="dxa"/>
          </w:tcPr>
          <w:p>
            <w:pPr>
              <w:pStyle w:val="TableParagraph"/>
              <w:spacing w:before="61"/>
              <w:ind w:left="106" w:right="107"/>
              <w:rPr>
                <w:sz w:val="18"/>
              </w:rPr>
            </w:pPr>
            <w:r>
              <w:rPr>
                <w:sz w:val="18"/>
              </w:rPr>
              <w:t>8,939</w:t>
            </w:r>
          </w:p>
        </w:tc>
        <w:tc>
          <w:tcPr>
            <w:tcW w:w="1069" w:type="dxa"/>
          </w:tcPr>
          <w:p>
            <w:pPr>
              <w:pStyle w:val="TableParagraph"/>
              <w:spacing w:before="61"/>
              <w:ind w:left="251" w:right="83"/>
              <w:jc w:val="left"/>
              <w:rPr>
                <w:sz w:val="18"/>
              </w:rPr>
            </w:pPr>
            <w:r>
              <w:rPr>
                <w:sz w:val="18"/>
              </w:rPr>
              <w:t>10,886</w:t>
            </w:r>
          </w:p>
        </w:tc>
        <w:tc>
          <w:tcPr>
            <w:tcW w:w="1066" w:type="dxa"/>
          </w:tcPr>
          <w:p>
            <w:pPr>
              <w:pStyle w:val="TableParagraph"/>
              <w:spacing w:before="61"/>
              <w:ind w:left="103" w:right="108"/>
              <w:rPr>
                <w:sz w:val="18"/>
              </w:rPr>
            </w:pPr>
            <w:r>
              <w:rPr>
                <w:sz w:val="18"/>
              </w:rPr>
              <w:t>11,081</w:t>
            </w:r>
          </w:p>
        </w:tc>
      </w:tr>
      <w:tr>
        <w:trPr>
          <w:trHeight w:val="310" w:hRule="exact"/>
        </w:trPr>
        <w:tc>
          <w:tcPr>
            <w:tcW w:w="4383" w:type="dxa"/>
          </w:tcPr>
          <w:p>
            <w:pPr>
              <w:pStyle w:val="TableParagraph"/>
              <w:spacing w:before="25"/>
              <w:ind w:left="64"/>
              <w:jc w:val="left"/>
              <w:rPr>
                <w:b/>
                <w:sz w:val="18"/>
              </w:rPr>
            </w:pPr>
            <w:r>
              <w:rPr>
                <w:b/>
                <w:color w:val="333333"/>
                <w:sz w:val="18"/>
              </w:rPr>
              <w:t>AMANALCO</w:t>
            </w:r>
          </w:p>
        </w:tc>
        <w:tc>
          <w:tcPr>
            <w:tcW w:w="1066" w:type="dxa"/>
          </w:tcPr>
          <w:p>
            <w:pPr>
              <w:pStyle w:val="TableParagraph"/>
              <w:spacing w:before="61"/>
              <w:ind w:left="104" w:right="108"/>
              <w:rPr>
                <w:sz w:val="18"/>
              </w:rPr>
            </w:pPr>
            <w:r>
              <w:rPr>
                <w:sz w:val="18"/>
              </w:rPr>
              <w:t>20,343</w:t>
            </w:r>
          </w:p>
        </w:tc>
        <w:tc>
          <w:tcPr>
            <w:tcW w:w="1069" w:type="dxa"/>
          </w:tcPr>
          <w:p>
            <w:pPr>
              <w:pStyle w:val="TableParagraph"/>
              <w:spacing w:before="61"/>
              <w:ind w:left="251" w:right="83"/>
              <w:jc w:val="left"/>
              <w:rPr>
                <w:sz w:val="18"/>
              </w:rPr>
            </w:pPr>
            <w:r>
              <w:rPr>
                <w:sz w:val="18"/>
              </w:rPr>
              <w:t>22,868</w:t>
            </w:r>
          </w:p>
        </w:tc>
        <w:tc>
          <w:tcPr>
            <w:tcW w:w="1066" w:type="dxa"/>
          </w:tcPr>
          <w:p>
            <w:pPr>
              <w:pStyle w:val="TableParagraph"/>
              <w:spacing w:before="61"/>
              <w:ind w:left="103" w:right="108"/>
              <w:rPr>
                <w:sz w:val="18"/>
              </w:rPr>
            </w:pPr>
            <w:r>
              <w:rPr>
                <w:sz w:val="18"/>
              </w:rPr>
              <w:t>22,916</w:t>
            </w:r>
          </w:p>
        </w:tc>
      </w:tr>
      <w:tr>
        <w:trPr>
          <w:trHeight w:val="310" w:hRule="exact"/>
        </w:trPr>
        <w:tc>
          <w:tcPr>
            <w:tcW w:w="4383" w:type="dxa"/>
          </w:tcPr>
          <w:p>
            <w:pPr>
              <w:pStyle w:val="TableParagraph"/>
              <w:spacing w:before="25"/>
              <w:ind w:left="64"/>
              <w:jc w:val="left"/>
              <w:rPr>
                <w:b/>
                <w:sz w:val="18"/>
              </w:rPr>
            </w:pPr>
            <w:r>
              <w:rPr>
                <w:b/>
                <w:color w:val="333333"/>
                <w:sz w:val="18"/>
              </w:rPr>
              <w:t>AMATEPEC</w:t>
            </w:r>
          </w:p>
        </w:tc>
        <w:tc>
          <w:tcPr>
            <w:tcW w:w="1066" w:type="dxa"/>
          </w:tcPr>
          <w:p>
            <w:pPr>
              <w:pStyle w:val="TableParagraph"/>
              <w:spacing w:before="61"/>
              <w:ind w:left="104" w:right="108"/>
              <w:rPr>
                <w:sz w:val="18"/>
              </w:rPr>
            </w:pPr>
            <w:r>
              <w:rPr>
                <w:sz w:val="18"/>
              </w:rPr>
              <w:t>27,026</w:t>
            </w:r>
          </w:p>
        </w:tc>
        <w:tc>
          <w:tcPr>
            <w:tcW w:w="1069" w:type="dxa"/>
          </w:tcPr>
          <w:p>
            <w:pPr>
              <w:pStyle w:val="TableParagraph"/>
              <w:spacing w:before="61"/>
              <w:ind w:left="251" w:right="83"/>
              <w:jc w:val="left"/>
              <w:rPr>
                <w:sz w:val="18"/>
              </w:rPr>
            </w:pPr>
            <w:r>
              <w:rPr>
                <w:sz w:val="18"/>
              </w:rPr>
              <w:t>26,334</w:t>
            </w:r>
          </w:p>
        </w:tc>
        <w:tc>
          <w:tcPr>
            <w:tcW w:w="1066" w:type="dxa"/>
          </w:tcPr>
          <w:p>
            <w:pPr>
              <w:pStyle w:val="TableParagraph"/>
              <w:spacing w:before="61"/>
              <w:ind w:left="103" w:right="108"/>
              <w:rPr>
                <w:sz w:val="18"/>
              </w:rPr>
            </w:pPr>
            <w:r>
              <w:rPr>
                <w:sz w:val="18"/>
              </w:rPr>
              <w:t>25,679</w:t>
            </w:r>
          </w:p>
        </w:tc>
      </w:tr>
      <w:tr>
        <w:trPr>
          <w:trHeight w:val="310" w:hRule="exact"/>
        </w:trPr>
        <w:tc>
          <w:tcPr>
            <w:tcW w:w="4383" w:type="dxa"/>
          </w:tcPr>
          <w:p>
            <w:pPr>
              <w:pStyle w:val="TableParagraph"/>
              <w:spacing w:before="25"/>
              <w:ind w:left="64"/>
              <w:jc w:val="left"/>
              <w:rPr>
                <w:b/>
                <w:sz w:val="18"/>
              </w:rPr>
            </w:pPr>
            <w:r>
              <w:rPr>
                <w:b/>
                <w:color w:val="333333"/>
                <w:sz w:val="18"/>
              </w:rPr>
              <w:t>AMECAMECA</w:t>
            </w:r>
          </w:p>
        </w:tc>
        <w:tc>
          <w:tcPr>
            <w:tcW w:w="1066" w:type="dxa"/>
          </w:tcPr>
          <w:p>
            <w:pPr>
              <w:pStyle w:val="TableParagraph"/>
              <w:spacing w:before="61"/>
              <w:ind w:left="104" w:right="108"/>
              <w:rPr>
                <w:sz w:val="18"/>
              </w:rPr>
            </w:pPr>
            <w:r>
              <w:rPr>
                <w:sz w:val="18"/>
              </w:rPr>
              <w:t>48,363</w:t>
            </w:r>
          </w:p>
        </w:tc>
        <w:tc>
          <w:tcPr>
            <w:tcW w:w="1069" w:type="dxa"/>
          </w:tcPr>
          <w:p>
            <w:pPr>
              <w:pStyle w:val="TableParagraph"/>
              <w:spacing w:before="61"/>
              <w:ind w:left="251" w:right="83"/>
              <w:jc w:val="left"/>
              <w:rPr>
                <w:sz w:val="18"/>
              </w:rPr>
            </w:pPr>
            <w:r>
              <w:rPr>
                <w:sz w:val="18"/>
              </w:rPr>
              <w:t>48,421</w:t>
            </w:r>
          </w:p>
        </w:tc>
        <w:tc>
          <w:tcPr>
            <w:tcW w:w="1066" w:type="dxa"/>
          </w:tcPr>
          <w:p>
            <w:pPr>
              <w:pStyle w:val="TableParagraph"/>
              <w:spacing w:before="61"/>
              <w:ind w:left="103" w:right="108"/>
              <w:rPr>
                <w:sz w:val="18"/>
              </w:rPr>
            </w:pPr>
            <w:r>
              <w:rPr>
                <w:sz w:val="18"/>
              </w:rPr>
              <w:t>48,442</w:t>
            </w:r>
          </w:p>
        </w:tc>
      </w:tr>
      <w:tr>
        <w:trPr>
          <w:trHeight w:val="310" w:hRule="exact"/>
        </w:trPr>
        <w:tc>
          <w:tcPr>
            <w:tcW w:w="4383" w:type="dxa"/>
          </w:tcPr>
          <w:p>
            <w:pPr>
              <w:pStyle w:val="TableParagraph"/>
              <w:spacing w:before="26"/>
              <w:ind w:left="64"/>
              <w:jc w:val="left"/>
              <w:rPr>
                <w:b/>
                <w:sz w:val="18"/>
              </w:rPr>
            </w:pPr>
            <w:r>
              <w:rPr>
                <w:b/>
                <w:color w:val="333333"/>
                <w:sz w:val="18"/>
              </w:rPr>
              <w:t>APAXCO</w:t>
            </w:r>
          </w:p>
        </w:tc>
        <w:tc>
          <w:tcPr>
            <w:tcW w:w="1066" w:type="dxa"/>
          </w:tcPr>
          <w:p>
            <w:pPr>
              <w:pStyle w:val="TableParagraph"/>
              <w:spacing w:before="62"/>
              <w:ind w:left="104" w:right="108"/>
              <w:rPr>
                <w:sz w:val="18"/>
              </w:rPr>
            </w:pPr>
            <w:r>
              <w:rPr>
                <w:sz w:val="18"/>
              </w:rPr>
              <w:t>25,738</w:t>
            </w:r>
          </w:p>
        </w:tc>
        <w:tc>
          <w:tcPr>
            <w:tcW w:w="1069" w:type="dxa"/>
          </w:tcPr>
          <w:p>
            <w:pPr>
              <w:pStyle w:val="TableParagraph"/>
              <w:spacing w:before="62"/>
              <w:ind w:left="251" w:right="83"/>
              <w:jc w:val="left"/>
              <w:rPr>
                <w:sz w:val="18"/>
              </w:rPr>
            </w:pPr>
            <w:r>
              <w:rPr>
                <w:sz w:val="18"/>
              </w:rPr>
              <w:t>27,521</w:t>
            </w:r>
          </w:p>
        </w:tc>
        <w:tc>
          <w:tcPr>
            <w:tcW w:w="1066" w:type="dxa"/>
          </w:tcPr>
          <w:p>
            <w:pPr>
              <w:pStyle w:val="TableParagraph"/>
              <w:spacing w:before="62"/>
              <w:ind w:left="103" w:right="108"/>
              <w:rPr>
                <w:sz w:val="18"/>
              </w:rPr>
            </w:pPr>
            <w:r>
              <w:rPr>
                <w:sz w:val="18"/>
              </w:rPr>
              <w:t>27,815</w:t>
            </w:r>
          </w:p>
        </w:tc>
      </w:tr>
      <w:tr>
        <w:trPr>
          <w:trHeight w:val="310" w:hRule="exact"/>
        </w:trPr>
        <w:tc>
          <w:tcPr>
            <w:tcW w:w="4383" w:type="dxa"/>
          </w:tcPr>
          <w:p>
            <w:pPr>
              <w:pStyle w:val="TableParagraph"/>
              <w:spacing w:before="25"/>
              <w:ind w:left="64"/>
              <w:jc w:val="left"/>
              <w:rPr>
                <w:b/>
                <w:sz w:val="18"/>
              </w:rPr>
            </w:pPr>
            <w:r>
              <w:rPr>
                <w:b/>
                <w:color w:val="333333"/>
                <w:sz w:val="18"/>
              </w:rPr>
              <w:t>ATENCO</w:t>
            </w:r>
          </w:p>
        </w:tc>
        <w:tc>
          <w:tcPr>
            <w:tcW w:w="1066" w:type="dxa"/>
          </w:tcPr>
          <w:p>
            <w:pPr>
              <w:pStyle w:val="TableParagraph"/>
              <w:spacing w:before="61"/>
              <w:ind w:left="104" w:right="108"/>
              <w:rPr>
                <w:sz w:val="18"/>
              </w:rPr>
            </w:pPr>
            <w:r>
              <w:rPr>
                <w:sz w:val="18"/>
              </w:rPr>
              <w:t>42,739</w:t>
            </w:r>
          </w:p>
        </w:tc>
        <w:tc>
          <w:tcPr>
            <w:tcW w:w="1069" w:type="dxa"/>
          </w:tcPr>
          <w:p>
            <w:pPr>
              <w:pStyle w:val="TableParagraph"/>
              <w:spacing w:before="61"/>
              <w:ind w:left="251" w:right="83"/>
              <w:jc w:val="left"/>
              <w:rPr>
                <w:sz w:val="18"/>
              </w:rPr>
            </w:pPr>
            <w:r>
              <w:rPr>
                <w:sz w:val="18"/>
              </w:rPr>
              <w:t>56,243</w:t>
            </w:r>
          </w:p>
        </w:tc>
        <w:tc>
          <w:tcPr>
            <w:tcW w:w="1066" w:type="dxa"/>
          </w:tcPr>
          <w:p>
            <w:pPr>
              <w:pStyle w:val="TableParagraph"/>
              <w:spacing w:before="61"/>
              <w:ind w:left="103" w:right="108"/>
              <w:rPr>
                <w:sz w:val="18"/>
              </w:rPr>
            </w:pPr>
            <w:r>
              <w:rPr>
                <w:sz w:val="18"/>
              </w:rPr>
              <w:t>59,372</w:t>
            </w:r>
          </w:p>
        </w:tc>
      </w:tr>
      <w:tr>
        <w:trPr>
          <w:trHeight w:val="312" w:hRule="exact"/>
        </w:trPr>
        <w:tc>
          <w:tcPr>
            <w:tcW w:w="4383" w:type="dxa"/>
          </w:tcPr>
          <w:p>
            <w:pPr>
              <w:pStyle w:val="TableParagraph"/>
              <w:spacing w:before="25"/>
              <w:ind w:left="64"/>
              <w:jc w:val="left"/>
              <w:rPr>
                <w:b/>
                <w:sz w:val="18"/>
              </w:rPr>
            </w:pPr>
            <w:r>
              <w:rPr>
                <w:b/>
                <w:color w:val="333333"/>
                <w:sz w:val="18"/>
              </w:rPr>
              <w:t>ATIZAPAN</w:t>
            </w:r>
          </w:p>
        </w:tc>
        <w:tc>
          <w:tcPr>
            <w:tcW w:w="1066" w:type="dxa"/>
          </w:tcPr>
          <w:p>
            <w:pPr>
              <w:pStyle w:val="TableParagraph"/>
              <w:spacing w:before="61"/>
              <w:ind w:left="106" w:right="107"/>
              <w:rPr>
                <w:sz w:val="18"/>
              </w:rPr>
            </w:pPr>
            <w:r>
              <w:rPr>
                <w:sz w:val="18"/>
              </w:rPr>
              <w:t>8,909</w:t>
            </w:r>
          </w:p>
        </w:tc>
        <w:tc>
          <w:tcPr>
            <w:tcW w:w="1069" w:type="dxa"/>
          </w:tcPr>
          <w:p>
            <w:pPr>
              <w:pStyle w:val="TableParagraph"/>
              <w:spacing w:before="61"/>
              <w:ind w:left="251" w:right="83"/>
              <w:jc w:val="left"/>
              <w:rPr>
                <w:sz w:val="18"/>
              </w:rPr>
            </w:pPr>
            <w:r>
              <w:rPr>
                <w:sz w:val="18"/>
              </w:rPr>
              <w:t>10,299</w:t>
            </w:r>
          </w:p>
        </w:tc>
        <w:tc>
          <w:tcPr>
            <w:tcW w:w="1066" w:type="dxa"/>
          </w:tcPr>
          <w:p>
            <w:pPr>
              <w:pStyle w:val="TableParagraph"/>
              <w:spacing w:before="61"/>
              <w:ind w:left="103" w:right="108"/>
              <w:rPr>
                <w:sz w:val="18"/>
              </w:rPr>
            </w:pPr>
            <w:r>
              <w:rPr>
                <w:sz w:val="18"/>
              </w:rPr>
              <w:t>10,519</w:t>
            </w:r>
          </w:p>
        </w:tc>
      </w:tr>
      <w:tr>
        <w:trPr>
          <w:trHeight w:val="310" w:hRule="exact"/>
        </w:trPr>
        <w:tc>
          <w:tcPr>
            <w:tcW w:w="4383" w:type="dxa"/>
          </w:tcPr>
          <w:p>
            <w:pPr>
              <w:pStyle w:val="TableParagraph"/>
              <w:spacing w:before="25"/>
              <w:ind w:left="64"/>
              <w:jc w:val="left"/>
              <w:rPr>
                <w:b/>
                <w:sz w:val="18"/>
              </w:rPr>
            </w:pPr>
            <w:r>
              <w:rPr>
                <w:b/>
                <w:color w:val="333333"/>
                <w:sz w:val="18"/>
              </w:rPr>
              <w:t>ATIZAPAN DE ZARAGOZA</w:t>
            </w:r>
          </w:p>
        </w:tc>
        <w:tc>
          <w:tcPr>
            <w:tcW w:w="1066" w:type="dxa"/>
          </w:tcPr>
          <w:p>
            <w:pPr>
              <w:pStyle w:val="TableParagraph"/>
              <w:spacing w:before="61"/>
              <w:ind w:left="104" w:right="108"/>
              <w:rPr>
                <w:sz w:val="18"/>
              </w:rPr>
            </w:pPr>
            <w:r>
              <w:rPr>
                <w:sz w:val="18"/>
              </w:rPr>
              <w:t>472,526</w:t>
            </w:r>
          </w:p>
        </w:tc>
        <w:tc>
          <w:tcPr>
            <w:tcW w:w="1069" w:type="dxa"/>
          </w:tcPr>
          <w:p>
            <w:pPr>
              <w:pStyle w:val="TableParagraph"/>
              <w:spacing w:before="61"/>
              <w:ind w:left="201" w:right="83"/>
              <w:jc w:val="left"/>
              <w:rPr>
                <w:sz w:val="18"/>
              </w:rPr>
            </w:pPr>
            <w:r>
              <w:rPr>
                <w:sz w:val="18"/>
              </w:rPr>
              <w:t>489,937</w:t>
            </w:r>
          </w:p>
        </w:tc>
        <w:tc>
          <w:tcPr>
            <w:tcW w:w="1066" w:type="dxa"/>
          </w:tcPr>
          <w:p>
            <w:pPr>
              <w:pStyle w:val="TableParagraph"/>
              <w:spacing w:before="61"/>
              <w:ind w:left="104" w:right="108"/>
              <w:rPr>
                <w:sz w:val="18"/>
              </w:rPr>
            </w:pPr>
            <w:r>
              <w:rPr>
                <w:sz w:val="18"/>
              </w:rPr>
              <w:t>488,818</w:t>
            </w:r>
          </w:p>
        </w:tc>
      </w:tr>
      <w:tr>
        <w:trPr>
          <w:trHeight w:val="310" w:hRule="exact"/>
        </w:trPr>
        <w:tc>
          <w:tcPr>
            <w:tcW w:w="4383" w:type="dxa"/>
          </w:tcPr>
          <w:p>
            <w:pPr>
              <w:pStyle w:val="TableParagraph"/>
              <w:spacing w:before="25"/>
              <w:ind w:left="64"/>
              <w:jc w:val="left"/>
              <w:rPr>
                <w:b/>
                <w:sz w:val="18"/>
              </w:rPr>
            </w:pPr>
            <w:r>
              <w:rPr>
                <w:b/>
                <w:color w:val="333333"/>
                <w:sz w:val="18"/>
              </w:rPr>
              <w:t>ATLACOMULCO</w:t>
            </w:r>
          </w:p>
        </w:tc>
        <w:tc>
          <w:tcPr>
            <w:tcW w:w="1066" w:type="dxa"/>
          </w:tcPr>
          <w:p>
            <w:pPr>
              <w:pStyle w:val="TableParagraph"/>
              <w:spacing w:before="61"/>
              <w:ind w:left="104" w:right="108"/>
              <w:rPr>
                <w:sz w:val="18"/>
              </w:rPr>
            </w:pPr>
            <w:r>
              <w:rPr>
                <w:sz w:val="18"/>
              </w:rPr>
              <w:t>77,831</w:t>
            </w:r>
          </w:p>
        </w:tc>
        <w:tc>
          <w:tcPr>
            <w:tcW w:w="1069" w:type="dxa"/>
          </w:tcPr>
          <w:p>
            <w:pPr>
              <w:pStyle w:val="TableParagraph"/>
              <w:spacing w:before="61"/>
              <w:ind w:left="251" w:right="83"/>
              <w:jc w:val="left"/>
              <w:rPr>
                <w:sz w:val="18"/>
              </w:rPr>
            </w:pPr>
            <w:r>
              <w:rPr>
                <w:sz w:val="18"/>
              </w:rPr>
              <w:t>93,718</w:t>
            </w:r>
          </w:p>
        </w:tc>
        <w:tc>
          <w:tcPr>
            <w:tcW w:w="1066" w:type="dxa"/>
          </w:tcPr>
          <w:p>
            <w:pPr>
              <w:pStyle w:val="TableParagraph"/>
              <w:spacing w:before="61"/>
              <w:ind w:left="103" w:right="108"/>
              <w:rPr>
                <w:sz w:val="18"/>
              </w:rPr>
            </w:pPr>
            <w:r>
              <w:rPr>
                <w:sz w:val="18"/>
              </w:rPr>
              <w:t>95,341</w:t>
            </w:r>
          </w:p>
        </w:tc>
      </w:tr>
      <w:tr>
        <w:trPr>
          <w:trHeight w:val="310" w:hRule="exact"/>
        </w:trPr>
        <w:tc>
          <w:tcPr>
            <w:tcW w:w="4383" w:type="dxa"/>
          </w:tcPr>
          <w:p>
            <w:pPr>
              <w:pStyle w:val="TableParagraph"/>
              <w:spacing w:before="25"/>
              <w:ind w:left="64"/>
              <w:jc w:val="left"/>
              <w:rPr>
                <w:b/>
                <w:sz w:val="18"/>
              </w:rPr>
            </w:pPr>
            <w:r>
              <w:rPr>
                <w:b/>
                <w:color w:val="333333"/>
                <w:sz w:val="18"/>
              </w:rPr>
              <w:t>ATLAUTLA</w:t>
            </w:r>
          </w:p>
        </w:tc>
        <w:tc>
          <w:tcPr>
            <w:tcW w:w="1066" w:type="dxa"/>
          </w:tcPr>
          <w:p>
            <w:pPr>
              <w:pStyle w:val="TableParagraph"/>
              <w:spacing w:before="61"/>
              <w:ind w:left="104" w:right="108"/>
              <w:rPr>
                <w:sz w:val="18"/>
              </w:rPr>
            </w:pPr>
            <w:r>
              <w:rPr>
                <w:sz w:val="18"/>
              </w:rPr>
              <w:t>24,110</w:t>
            </w:r>
          </w:p>
        </w:tc>
        <w:tc>
          <w:tcPr>
            <w:tcW w:w="1069" w:type="dxa"/>
          </w:tcPr>
          <w:p>
            <w:pPr>
              <w:pStyle w:val="TableParagraph"/>
              <w:spacing w:before="61"/>
              <w:ind w:left="251" w:right="83"/>
              <w:jc w:val="left"/>
              <w:rPr>
                <w:sz w:val="18"/>
              </w:rPr>
            </w:pPr>
            <w:r>
              <w:rPr>
                <w:sz w:val="18"/>
              </w:rPr>
              <w:t>27,663</w:t>
            </w:r>
          </w:p>
        </w:tc>
        <w:tc>
          <w:tcPr>
            <w:tcW w:w="1066" w:type="dxa"/>
          </w:tcPr>
          <w:p>
            <w:pPr>
              <w:pStyle w:val="TableParagraph"/>
              <w:spacing w:before="61"/>
              <w:ind w:left="103" w:right="108"/>
              <w:rPr>
                <w:sz w:val="18"/>
              </w:rPr>
            </w:pPr>
            <w:r>
              <w:rPr>
                <w:sz w:val="18"/>
              </w:rPr>
              <w:t>27,662</w:t>
            </w:r>
          </w:p>
        </w:tc>
      </w:tr>
      <w:tr>
        <w:trPr>
          <w:trHeight w:val="310" w:hRule="exact"/>
        </w:trPr>
        <w:tc>
          <w:tcPr>
            <w:tcW w:w="4383" w:type="dxa"/>
          </w:tcPr>
          <w:p>
            <w:pPr>
              <w:pStyle w:val="TableParagraph"/>
              <w:spacing w:before="25"/>
              <w:ind w:left="64"/>
              <w:jc w:val="left"/>
              <w:rPr>
                <w:b/>
                <w:sz w:val="18"/>
              </w:rPr>
            </w:pPr>
            <w:r>
              <w:rPr>
                <w:b/>
                <w:color w:val="333333"/>
                <w:sz w:val="18"/>
              </w:rPr>
              <w:t>AXAPUSCO</w:t>
            </w:r>
          </w:p>
        </w:tc>
        <w:tc>
          <w:tcPr>
            <w:tcW w:w="1066" w:type="dxa"/>
          </w:tcPr>
          <w:p>
            <w:pPr>
              <w:pStyle w:val="TableParagraph"/>
              <w:spacing w:before="61"/>
              <w:ind w:left="104" w:right="108"/>
              <w:rPr>
                <w:sz w:val="18"/>
              </w:rPr>
            </w:pPr>
            <w:r>
              <w:rPr>
                <w:sz w:val="18"/>
              </w:rPr>
              <w:t>21,915</w:t>
            </w:r>
          </w:p>
        </w:tc>
        <w:tc>
          <w:tcPr>
            <w:tcW w:w="1069" w:type="dxa"/>
          </w:tcPr>
          <w:p>
            <w:pPr>
              <w:pStyle w:val="TableParagraph"/>
              <w:spacing w:before="61"/>
              <w:ind w:left="251" w:right="83"/>
              <w:jc w:val="left"/>
              <w:rPr>
                <w:sz w:val="18"/>
              </w:rPr>
            </w:pPr>
            <w:r>
              <w:rPr>
                <w:sz w:val="18"/>
              </w:rPr>
              <w:t>25,559</w:t>
            </w:r>
          </w:p>
        </w:tc>
        <w:tc>
          <w:tcPr>
            <w:tcW w:w="1066" w:type="dxa"/>
          </w:tcPr>
          <w:p>
            <w:pPr>
              <w:pStyle w:val="TableParagraph"/>
              <w:spacing w:before="61"/>
              <w:ind w:left="103" w:right="108"/>
              <w:rPr>
                <w:sz w:val="18"/>
              </w:rPr>
            </w:pPr>
            <w:r>
              <w:rPr>
                <w:sz w:val="18"/>
              </w:rPr>
              <w:t>26,068</w:t>
            </w:r>
          </w:p>
        </w:tc>
      </w:tr>
      <w:tr>
        <w:trPr>
          <w:trHeight w:val="310" w:hRule="exact"/>
        </w:trPr>
        <w:tc>
          <w:tcPr>
            <w:tcW w:w="4383" w:type="dxa"/>
          </w:tcPr>
          <w:p>
            <w:pPr>
              <w:pStyle w:val="TableParagraph"/>
              <w:spacing w:before="25"/>
              <w:ind w:left="64"/>
              <w:jc w:val="left"/>
              <w:rPr>
                <w:b/>
                <w:sz w:val="18"/>
              </w:rPr>
            </w:pPr>
            <w:r>
              <w:rPr>
                <w:b/>
                <w:color w:val="333333"/>
                <w:sz w:val="18"/>
              </w:rPr>
              <w:t>AYAPANGO</w:t>
            </w:r>
          </w:p>
        </w:tc>
        <w:tc>
          <w:tcPr>
            <w:tcW w:w="1066" w:type="dxa"/>
          </w:tcPr>
          <w:p>
            <w:pPr>
              <w:pStyle w:val="TableParagraph"/>
              <w:spacing w:before="61"/>
              <w:ind w:left="106" w:right="107"/>
              <w:rPr>
                <w:sz w:val="18"/>
              </w:rPr>
            </w:pPr>
            <w:r>
              <w:rPr>
                <w:sz w:val="18"/>
              </w:rPr>
              <w:t>6,361</w:t>
            </w:r>
          </w:p>
        </w:tc>
        <w:tc>
          <w:tcPr>
            <w:tcW w:w="1069" w:type="dxa"/>
          </w:tcPr>
          <w:p>
            <w:pPr>
              <w:pStyle w:val="TableParagraph"/>
              <w:spacing w:before="61"/>
              <w:ind w:left="302" w:right="83"/>
              <w:jc w:val="left"/>
              <w:rPr>
                <w:sz w:val="18"/>
              </w:rPr>
            </w:pPr>
            <w:r>
              <w:rPr>
                <w:sz w:val="18"/>
              </w:rPr>
              <w:t>8,864</w:t>
            </w:r>
          </w:p>
        </w:tc>
        <w:tc>
          <w:tcPr>
            <w:tcW w:w="1066" w:type="dxa"/>
          </w:tcPr>
          <w:p>
            <w:pPr>
              <w:pStyle w:val="TableParagraph"/>
              <w:spacing w:before="61"/>
              <w:ind w:left="106" w:right="107"/>
              <w:rPr>
                <w:sz w:val="18"/>
              </w:rPr>
            </w:pPr>
            <w:r>
              <w:rPr>
                <w:sz w:val="18"/>
              </w:rPr>
              <w:t>9,249</w:t>
            </w:r>
          </w:p>
        </w:tc>
      </w:tr>
      <w:tr>
        <w:trPr>
          <w:trHeight w:val="312" w:hRule="exact"/>
        </w:trPr>
        <w:tc>
          <w:tcPr>
            <w:tcW w:w="4383" w:type="dxa"/>
          </w:tcPr>
          <w:p>
            <w:pPr>
              <w:pStyle w:val="TableParagraph"/>
              <w:spacing w:before="25"/>
              <w:ind w:left="64"/>
              <w:jc w:val="left"/>
              <w:rPr>
                <w:b/>
                <w:sz w:val="18"/>
              </w:rPr>
            </w:pPr>
            <w:r>
              <w:rPr>
                <w:b/>
                <w:color w:val="333333"/>
                <w:sz w:val="18"/>
              </w:rPr>
              <w:t>CALIMAYA</w:t>
            </w:r>
          </w:p>
        </w:tc>
        <w:tc>
          <w:tcPr>
            <w:tcW w:w="1066" w:type="dxa"/>
          </w:tcPr>
          <w:p>
            <w:pPr>
              <w:pStyle w:val="TableParagraph"/>
              <w:spacing w:before="61"/>
              <w:ind w:left="104" w:right="108"/>
              <w:rPr>
                <w:sz w:val="18"/>
              </w:rPr>
            </w:pPr>
            <w:r>
              <w:rPr>
                <w:sz w:val="18"/>
              </w:rPr>
              <w:t>38,770</w:t>
            </w:r>
          </w:p>
        </w:tc>
        <w:tc>
          <w:tcPr>
            <w:tcW w:w="1069" w:type="dxa"/>
          </w:tcPr>
          <w:p>
            <w:pPr>
              <w:pStyle w:val="TableParagraph"/>
              <w:spacing w:before="61"/>
              <w:ind w:left="251" w:right="83"/>
              <w:jc w:val="left"/>
              <w:rPr>
                <w:sz w:val="18"/>
              </w:rPr>
            </w:pPr>
            <w:r>
              <w:rPr>
                <w:sz w:val="18"/>
              </w:rPr>
              <w:t>47,033</w:t>
            </w:r>
          </w:p>
        </w:tc>
        <w:tc>
          <w:tcPr>
            <w:tcW w:w="1066" w:type="dxa"/>
          </w:tcPr>
          <w:p>
            <w:pPr>
              <w:pStyle w:val="TableParagraph"/>
              <w:spacing w:before="61"/>
              <w:ind w:left="103" w:right="108"/>
              <w:rPr>
                <w:sz w:val="18"/>
              </w:rPr>
            </w:pPr>
            <w:r>
              <w:rPr>
                <w:sz w:val="18"/>
              </w:rPr>
              <w:t>48,398</w:t>
            </w:r>
          </w:p>
        </w:tc>
      </w:tr>
      <w:tr>
        <w:trPr>
          <w:trHeight w:val="310" w:hRule="exact"/>
        </w:trPr>
        <w:tc>
          <w:tcPr>
            <w:tcW w:w="4383" w:type="dxa"/>
          </w:tcPr>
          <w:p>
            <w:pPr>
              <w:pStyle w:val="TableParagraph"/>
              <w:spacing w:before="25"/>
              <w:ind w:left="64"/>
              <w:jc w:val="left"/>
              <w:rPr>
                <w:b/>
                <w:sz w:val="18"/>
              </w:rPr>
            </w:pPr>
            <w:r>
              <w:rPr>
                <w:b/>
                <w:color w:val="333333"/>
                <w:sz w:val="18"/>
              </w:rPr>
              <w:t>CAPULHUAC</w:t>
            </w:r>
          </w:p>
        </w:tc>
        <w:tc>
          <w:tcPr>
            <w:tcW w:w="1066" w:type="dxa"/>
          </w:tcPr>
          <w:p>
            <w:pPr>
              <w:pStyle w:val="TableParagraph"/>
              <w:spacing w:before="61"/>
              <w:ind w:left="104" w:right="108"/>
              <w:rPr>
                <w:sz w:val="18"/>
              </w:rPr>
            </w:pPr>
            <w:r>
              <w:rPr>
                <w:sz w:val="18"/>
              </w:rPr>
              <w:t>30,838</w:t>
            </w:r>
          </w:p>
        </w:tc>
        <w:tc>
          <w:tcPr>
            <w:tcW w:w="1069" w:type="dxa"/>
          </w:tcPr>
          <w:p>
            <w:pPr>
              <w:pStyle w:val="TableParagraph"/>
              <w:spacing w:before="61"/>
              <w:ind w:left="251" w:right="83"/>
              <w:jc w:val="left"/>
              <w:rPr>
                <w:sz w:val="18"/>
              </w:rPr>
            </w:pPr>
            <w:r>
              <w:rPr>
                <w:sz w:val="18"/>
              </w:rPr>
              <w:t>34,101</w:t>
            </w:r>
          </w:p>
        </w:tc>
        <w:tc>
          <w:tcPr>
            <w:tcW w:w="1066" w:type="dxa"/>
          </w:tcPr>
          <w:p>
            <w:pPr>
              <w:pStyle w:val="TableParagraph"/>
              <w:spacing w:before="61"/>
              <w:ind w:left="103" w:right="108"/>
              <w:rPr>
                <w:sz w:val="18"/>
              </w:rPr>
            </w:pPr>
            <w:r>
              <w:rPr>
                <w:sz w:val="18"/>
              </w:rPr>
              <w:t>34,555</w:t>
            </w:r>
          </w:p>
        </w:tc>
      </w:tr>
      <w:tr>
        <w:trPr>
          <w:trHeight w:val="310" w:hRule="exact"/>
        </w:trPr>
        <w:tc>
          <w:tcPr>
            <w:tcW w:w="4383" w:type="dxa"/>
          </w:tcPr>
          <w:p>
            <w:pPr>
              <w:pStyle w:val="TableParagraph"/>
              <w:spacing w:before="25"/>
              <w:ind w:left="64"/>
              <w:jc w:val="left"/>
              <w:rPr>
                <w:b/>
                <w:sz w:val="18"/>
              </w:rPr>
            </w:pPr>
            <w:r>
              <w:rPr>
                <w:b/>
                <w:color w:val="333333"/>
                <w:sz w:val="18"/>
              </w:rPr>
              <w:t>CHALCO</w:t>
            </w:r>
          </w:p>
        </w:tc>
        <w:tc>
          <w:tcPr>
            <w:tcW w:w="1066" w:type="dxa"/>
          </w:tcPr>
          <w:p>
            <w:pPr>
              <w:pStyle w:val="TableParagraph"/>
              <w:spacing w:before="61"/>
              <w:ind w:left="104" w:right="108"/>
              <w:rPr>
                <w:sz w:val="18"/>
              </w:rPr>
            </w:pPr>
            <w:r>
              <w:rPr>
                <w:sz w:val="18"/>
              </w:rPr>
              <w:t>257,403</w:t>
            </w:r>
          </w:p>
        </w:tc>
        <w:tc>
          <w:tcPr>
            <w:tcW w:w="1069" w:type="dxa"/>
          </w:tcPr>
          <w:p>
            <w:pPr>
              <w:pStyle w:val="TableParagraph"/>
              <w:spacing w:before="61"/>
              <w:ind w:left="201" w:right="83"/>
              <w:jc w:val="left"/>
              <w:rPr>
                <w:sz w:val="18"/>
              </w:rPr>
            </w:pPr>
            <w:r>
              <w:rPr>
                <w:sz w:val="18"/>
              </w:rPr>
              <w:t>310,130</w:t>
            </w:r>
          </w:p>
        </w:tc>
        <w:tc>
          <w:tcPr>
            <w:tcW w:w="1066" w:type="dxa"/>
          </w:tcPr>
          <w:p>
            <w:pPr>
              <w:pStyle w:val="TableParagraph"/>
              <w:spacing w:before="61"/>
              <w:ind w:left="104" w:right="108"/>
              <w:rPr>
                <w:sz w:val="18"/>
              </w:rPr>
            </w:pPr>
            <w:r>
              <w:rPr>
                <w:sz w:val="18"/>
              </w:rPr>
              <w:t>279,196</w:t>
            </w:r>
          </w:p>
        </w:tc>
      </w:tr>
      <w:tr>
        <w:trPr>
          <w:trHeight w:val="310" w:hRule="exact"/>
        </w:trPr>
        <w:tc>
          <w:tcPr>
            <w:tcW w:w="4383" w:type="dxa"/>
          </w:tcPr>
          <w:p>
            <w:pPr>
              <w:pStyle w:val="TableParagraph"/>
              <w:spacing w:before="25"/>
              <w:ind w:left="64"/>
              <w:jc w:val="left"/>
              <w:rPr>
                <w:b/>
                <w:sz w:val="18"/>
              </w:rPr>
            </w:pPr>
            <w:r>
              <w:rPr>
                <w:b/>
                <w:color w:val="333333"/>
                <w:sz w:val="18"/>
              </w:rPr>
              <w:t>CHAPA DE MOTA</w:t>
            </w:r>
          </w:p>
        </w:tc>
        <w:tc>
          <w:tcPr>
            <w:tcW w:w="1066" w:type="dxa"/>
          </w:tcPr>
          <w:p>
            <w:pPr>
              <w:pStyle w:val="TableParagraph"/>
              <w:spacing w:before="62"/>
              <w:ind w:left="104" w:right="108"/>
              <w:rPr>
                <w:sz w:val="18"/>
              </w:rPr>
            </w:pPr>
            <w:r>
              <w:rPr>
                <w:sz w:val="18"/>
              </w:rPr>
              <w:t>21,746</w:t>
            </w:r>
          </w:p>
        </w:tc>
        <w:tc>
          <w:tcPr>
            <w:tcW w:w="1069" w:type="dxa"/>
          </w:tcPr>
          <w:p>
            <w:pPr>
              <w:pStyle w:val="TableParagraph"/>
              <w:spacing w:before="62"/>
              <w:ind w:left="251" w:right="83"/>
              <w:jc w:val="left"/>
              <w:rPr>
                <w:sz w:val="18"/>
              </w:rPr>
            </w:pPr>
            <w:r>
              <w:rPr>
                <w:sz w:val="18"/>
              </w:rPr>
              <w:t>27,551</w:t>
            </w:r>
          </w:p>
        </w:tc>
        <w:tc>
          <w:tcPr>
            <w:tcW w:w="1066" w:type="dxa"/>
          </w:tcPr>
          <w:p>
            <w:pPr>
              <w:pStyle w:val="TableParagraph"/>
              <w:spacing w:before="62"/>
              <w:ind w:left="103" w:right="108"/>
              <w:rPr>
                <w:sz w:val="18"/>
              </w:rPr>
            </w:pPr>
            <w:r>
              <w:rPr>
                <w:sz w:val="18"/>
              </w:rPr>
              <w:t>36,023</w:t>
            </w:r>
          </w:p>
        </w:tc>
      </w:tr>
      <w:tr>
        <w:trPr>
          <w:trHeight w:val="310" w:hRule="exact"/>
        </w:trPr>
        <w:tc>
          <w:tcPr>
            <w:tcW w:w="4383" w:type="dxa"/>
          </w:tcPr>
          <w:p>
            <w:pPr>
              <w:pStyle w:val="TableParagraph"/>
              <w:spacing w:before="25"/>
              <w:ind w:left="64"/>
              <w:jc w:val="left"/>
              <w:rPr>
                <w:b/>
                <w:sz w:val="18"/>
              </w:rPr>
            </w:pPr>
            <w:r>
              <w:rPr>
                <w:b/>
                <w:color w:val="333333"/>
                <w:sz w:val="18"/>
              </w:rPr>
              <w:t>CHAPULTEPEC</w:t>
            </w:r>
          </w:p>
        </w:tc>
        <w:tc>
          <w:tcPr>
            <w:tcW w:w="1066" w:type="dxa"/>
          </w:tcPr>
          <w:p>
            <w:pPr>
              <w:pStyle w:val="TableParagraph"/>
              <w:spacing w:before="61"/>
              <w:ind w:left="106" w:right="107"/>
              <w:rPr>
                <w:sz w:val="18"/>
              </w:rPr>
            </w:pPr>
            <w:r>
              <w:rPr>
                <w:sz w:val="18"/>
              </w:rPr>
              <w:t>6,581</w:t>
            </w:r>
          </w:p>
        </w:tc>
        <w:tc>
          <w:tcPr>
            <w:tcW w:w="1069" w:type="dxa"/>
          </w:tcPr>
          <w:p>
            <w:pPr>
              <w:pStyle w:val="TableParagraph"/>
              <w:spacing w:before="61"/>
              <w:ind w:left="302" w:right="83"/>
              <w:jc w:val="left"/>
              <w:rPr>
                <w:sz w:val="18"/>
              </w:rPr>
            </w:pPr>
            <w:r>
              <w:rPr>
                <w:sz w:val="18"/>
              </w:rPr>
              <w:t>9,676</w:t>
            </w:r>
          </w:p>
        </w:tc>
        <w:tc>
          <w:tcPr>
            <w:tcW w:w="1066" w:type="dxa"/>
          </w:tcPr>
          <w:p>
            <w:pPr>
              <w:pStyle w:val="TableParagraph"/>
              <w:spacing w:before="61"/>
              <w:ind w:left="103" w:right="108"/>
              <w:rPr>
                <w:sz w:val="18"/>
              </w:rPr>
            </w:pPr>
            <w:r>
              <w:rPr>
                <w:sz w:val="18"/>
              </w:rPr>
              <w:t>12,312</w:t>
            </w:r>
          </w:p>
        </w:tc>
      </w:tr>
      <w:tr>
        <w:trPr>
          <w:trHeight w:val="310" w:hRule="exact"/>
        </w:trPr>
        <w:tc>
          <w:tcPr>
            <w:tcW w:w="4383" w:type="dxa"/>
          </w:tcPr>
          <w:p>
            <w:pPr>
              <w:pStyle w:val="TableParagraph"/>
              <w:spacing w:before="25"/>
              <w:ind w:left="64"/>
              <w:jc w:val="left"/>
              <w:rPr>
                <w:b/>
                <w:sz w:val="18"/>
              </w:rPr>
            </w:pPr>
            <w:r>
              <w:rPr>
                <w:b/>
                <w:color w:val="333333"/>
                <w:sz w:val="18"/>
              </w:rPr>
              <w:t>CHIAUTLA</w:t>
            </w:r>
          </w:p>
        </w:tc>
        <w:tc>
          <w:tcPr>
            <w:tcW w:w="1066" w:type="dxa"/>
          </w:tcPr>
          <w:p>
            <w:pPr>
              <w:pStyle w:val="TableParagraph"/>
              <w:spacing w:before="61"/>
              <w:ind w:left="104" w:right="108"/>
              <w:rPr>
                <w:sz w:val="18"/>
              </w:rPr>
            </w:pPr>
            <w:r>
              <w:rPr>
                <w:sz w:val="18"/>
              </w:rPr>
              <w:t>22,664</w:t>
            </w:r>
          </w:p>
        </w:tc>
        <w:tc>
          <w:tcPr>
            <w:tcW w:w="1069" w:type="dxa"/>
          </w:tcPr>
          <w:p>
            <w:pPr>
              <w:pStyle w:val="TableParagraph"/>
              <w:spacing w:before="61"/>
              <w:ind w:left="251" w:right="83"/>
              <w:jc w:val="left"/>
              <w:rPr>
                <w:sz w:val="18"/>
              </w:rPr>
            </w:pPr>
            <w:r>
              <w:rPr>
                <w:sz w:val="18"/>
              </w:rPr>
              <w:t>26,191</w:t>
            </w:r>
          </w:p>
        </w:tc>
        <w:tc>
          <w:tcPr>
            <w:tcW w:w="1066" w:type="dxa"/>
          </w:tcPr>
          <w:p>
            <w:pPr>
              <w:pStyle w:val="TableParagraph"/>
              <w:spacing w:before="61"/>
              <w:ind w:left="103" w:right="108"/>
              <w:rPr>
                <w:sz w:val="18"/>
              </w:rPr>
            </w:pPr>
            <w:r>
              <w:rPr>
                <w:sz w:val="18"/>
              </w:rPr>
              <w:t>39,202</w:t>
            </w:r>
          </w:p>
        </w:tc>
      </w:tr>
      <w:tr>
        <w:trPr>
          <w:trHeight w:val="312" w:hRule="exact"/>
        </w:trPr>
        <w:tc>
          <w:tcPr>
            <w:tcW w:w="4383" w:type="dxa"/>
          </w:tcPr>
          <w:p>
            <w:pPr>
              <w:pStyle w:val="TableParagraph"/>
              <w:spacing w:before="25"/>
              <w:ind w:left="64"/>
              <w:jc w:val="left"/>
              <w:rPr>
                <w:b/>
                <w:sz w:val="18"/>
              </w:rPr>
            </w:pPr>
            <w:r>
              <w:rPr>
                <w:b/>
                <w:color w:val="333333"/>
                <w:sz w:val="18"/>
              </w:rPr>
              <w:t>CHICOLOAPAN</w:t>
            </w:r>
          </w:p>
        </w:tc>
        <w:tc>
          <w:tcPr>
            <w:tcW w:w="1066" w:type="dxa"/>
          </w:tcPr>
          <w:p>
            <w:pPr>
              <w:pStyle w:val="TableParagraph"/>
              <w:spacing w:before="61"/>
              <w:ind w:left="104" w:right="108"/>
              <w:rPr>
                <w:sz w:val="18"/>
              </w:rPr>
            </w:pPr>
            <w:r>
              <w:rPr>
                <w:sz w:val="18"/>
              </w:rPr>
              <w:t>170,035</w:t>
            </w:r>
          </w:p>
        </w:tc>
        <w:tc>
          <w:tcPr>
            <w:tcW w:w="1069" w:type="dxa"/>
          </w:tcPr>
          <w:p>
            <w:pPr>
              <w:pStyle w:val="TableParagraph"/>
              <w:spacing w:before="61"/>
              <w:ind w:left="201" w:right="83"/>
              <w:jc w:val="left"/>
              <w:rPr>
                <w:sz w:val="18"/>
              </w:rPr>
            </w:pPr>
            <w:r>
              <w:rPr>
                <w:sz w:val="18"/>
              </w:rPr>
              <w:t>175,053</w:t>
            </w:r>
          </w:p>
        </w:tc>
        <w:tc>
          <w:tcPr>
            <w:tcW w:w="1066" w:type="dxa"/>
          </w:tcPr>
          <w:p>
            <w:pPr>
              <w:pStyle w:val="TableParagraph"/>
              <w:spacing w:before="61"/>
              <w:ind w:left="104" w:right="108"/>
              <w:rPr>
                <w:sz w:val="18"/>
              </w:rPr>
            </w:pPr>
            <w:r>
              <w:rPr>
                <w:sz w:val="18"/>
              </w:rPr>
              <w:t>150,192</w:t>
            </w:r>
          </w:p>
        </w:tc>
      </w:tr>
      <w:tr>
        <w:trPr>
          <w:trHeight w:val="310" w:hRule="exact"/>
        </w:trPr>
        <w:tc>
          <w:tcPr>
            <w:tcW w:w="4383" w:type="dxa"/>
          </w:tcPr>
          <w:p>
            <w:pPr>
              <w:pStyle w:val="TableParagraph"/>
              <w:spacing w:before="25"/>
              <w:ind w:left="64"/>
              <w:jc w:val="left"/>
              <w:rPr>
                <w:b/>
                <w:sz w:val="18"/>
              </w:rPr>
            </w:pPr>
            <w:r>
              <w:rPr>
                <w:b/>
                <w:color w:val="333333"/>
                <w:sz w:val="18"/>
              </w:rPr>
              <w:t>CHICONCUAC</w:t>
            </w:r>
          </w:p>
        </w:tc>
        <w:tc>
          <w:tcPr>
            <w:tcW w:w="1066" w:type="dxa"/>
          </w:tcPr>
          <w:p>
            <w:pPr>
              <w:pStyle w:val="TableParagraph"/>
              <w:spacing w:before="61"/>
              <w:ind w:left="104" w:right="108"/>
              <w:rPr>
                <w:sz w:val="18"/>
              </w:rPr>
            </w:pPr>
            <w:r>
              <w:rPr>
                <w:sz w:val="18"/>
              </w:rPr>
              <w:t>19,656</w:t>
            </w:r>
          </w:p>
        </w:tc>
        <w:tc>
          <w:tcPr>
            <w:tcW w:w="1069" w:type="dxa"/>
          </w:tcPr>
          <w:p>
            <w:pPr>
              <w:pStyle w:val="TableParagraph"/>
              <w:spacing w:before="61"/>
              <w:ind w:left="251" w:right="83"/>
              <w:jc w:val="left"/>
              <w:rPr>
                <w:sz w:val="18"/>
              </w:rPr>
            </w:pPr>
            <w:r>
              <w:rPr>
                <w:sz w:val="18"/>
              </w:rPr>
              <w:t>22,819</w:t>
            </w:r>
          </w:p>
        </w:tc>
        <w:tc>
          <w:tcPr>
            <w:tcW w:w="1066" w:type="dxa"/>
          </w:tcPr>
          <w:p>
            <w:pPr>
              <w:pStyle w:val="TableParagraph"/>
              <w:spacing w:before="61"/>
              <w:ind w:left="104" w:right="108"/>
              <w:rPr>
                <w:sz w:val="18"/>
              </w:rPr>
            </w:pPr>
            <w:r>
              <w:rPr>
                <w:sz w:val="18"/>
              </w:rPr>
              <w:t>515,381</w:t>
            </w:r>
          </w:p>
        </w:tc>
      </w:tr>
      <w:tr>
        <w:trPr>
          <w:trHeight w:val="310" w:hRule="exact"/>
        </w:trPr>
        <w:tc>
          <w:tcPr>
            <w:tcW w:w="4383" w:type="dxa"/>
          </w:tcPr>
          <w:p>
            <w:pPr>
              <w:pStyle w:val="TableParagraph"/>
              <w:spacing w:before="25"/>
              <w:ind w:left="64"/>
              <w:jc w:val="left"/>
              <w:rPr>
                <w:b/>
                <w:sz w:val="18"/>
              </w:rPr>
            </w:pPr>
            <w:r>
              <w:rPr>
                <w:b/>
                <w:color w:val="333333"/>
                <w:sz w:val="18"/>
              </w:rPr>
              <w:t>CHIMALHUACAN</w:t>
            </w:r>
          </w:p>
        </w:tc>
        <w:tc>
          <w:tcPr>
            <w:tcW w:w="1066" w:type="dxa"/>
          </w:tcPr>
          <w:p>
            <w:pPr>
              <w:pStyle w:val="TableParagraph"/>
              <w:spacing w:before="61"/>
              <w:ind w:left="104" w:right="108"/>
              <w:rPr>
                <w:sz w:val="18"/>
              </w:rPr>
            </w:pPr>
            <w:r>
              <w:rPr>
                <w:sz w:val="18"/>
              </w:rPr>
              <w:t>525,389</w:t>
            </w:r>
          </w:p>
        </w:tc>
        <w:tc>
          <w:tcPr>
            <w:tcW w:w="1069" w:type="dxa"/>
          </w:tcPr>
          <w:p>
            <w:pPr>
              <w:pStyle w:val="TableParagraph"/>
              <w:spacing w:before="61"/>
              <w:ind w:left="201" w:right="83"/>
              <w:jc w:val="left"/>
              <w:rPr>
                <w:sz w:val="18"/>
              </w:rPr>
            </w:pPr>
            <w:r>
              <w:rPr>
                <w:sz w:val="18"/>
              </w:rPr>
              <w:t>614,453</w:t>
            </w:r>
          </w:p>
        </w:tc>
        <w:tc>
          <w:tcPr>
            <w:tcW w:w="1066" w:type="dxa"/>
          </w:tcPr>
          <w:p>
            <w:pPr>
              <w:pStyle w:val="TableParagraph"/>
              <w:spacing w:before="61"/>
              <w:ind w:left="104" w:right="108"/>
              <w:rPr>
                <w:sz w:val="18"/>
              </w:rPr>
            </w:pPr>
            <w:r>
              <w:rPr>
                <w:sz w:val="18"/>
              </w:rPr>
              <w:t>321,681</w:t>
            </w:r>
          </w:p>
        </w:tc>
      </w:tr>
      <w:tr>
        <w:trPr>
          <w:trHeight w:val="310" w:hRule="exact"/>
        </w:trPr>
        <w:tc>
          <w:tcPr>
            <w:tcW w:w="4383" w:type="dxa"/>
          </w:tcPr>
          <w:p>
            <w:pPr>
              <w:pStyle w:val="TableParagraph"/>
              <w:spacing w:before="25"/>
              <w:ind w:left="64"/>
              <w:jc w:val="left"/>
              <w:rPr>
                <w:b/>
                <w:sz w:val="18"/>
              </w:rPr>
            </w:pPr>
            <w:r>
              <w:rPr>
                <w:b/>
                <w:color w:val="333333"/>
                <w:sz w:val="18"/>
              </w:rPr>
              <w:t>COACALCO DE BERRIOZABAL</w:t>
            </w:r>
          </w:p>
        </w:tc>
        <w:tc>
          <w:tcPr>
            <w:tcW w:w="1066" w:type="dxa"/>
          </w:tcPr>
          <w:p>
            <w:pPr>
              <w:pStyle w:val="TableParagraph"/>
              <w:spacing w:before="61"/>
              <w:ind w:left="104" w:right="108"/>
              <w:rPr>
                <w:sz w:val="18"/>
              </w:rPr>
            </w:pPr>
            <w:r>
              <w:rPr>
                <w:sz w:val="18"/>
              </w:rPr>
              <w:t>285,943</w:t>
            </w:r>
          </w:p>
        </w:tc>
        <w:tc>
          <w:tcPr>
            <w:tcW w:w="1069" w:type="dxa"/>
          </w:tcPr>
          <w:p>
            <w:pPr>
              <w:pStyle w:val="TableParagraph"/>
              <w:spacing w:before="61"/>
              <w:ind w:left="201" w:right="83"/>
              <w:jc w:val="left"/>
              <w:rPr>
                <w:sz w:val="18"/>
              </w:rPr>
            </w:pPr>
            <w:r>
              <w:rPr>
                <w:sz w:val="18"/>
              </w:rPr>
              <w:t>278,064</w:t>
            </w:r>
          </w:p>
        </w:tc>
        <w:tc>
          <w:tcPr>
            <w:tcW w:w="1066" w:type="dxa"/>
          </w:tcPr>
          <w:p>
            <w:pPr>
              <w:pStyle w:val="TableParagraph"/>
              <w:spacing w:before="61"/>
              <w:ind w:left="103" w:right="108"/>
              <w:rPr>
                <w:sz w:val="18"/>
              </w:rPr>
            </w:pPr>
            <w:r>
              <w:rPr>
                <w:sz w:val="18"/>
              </w:rPr>
              <w:t>27,987</w:t>
            </w:r>
          </w:p>
        </w:tc>
      </w:tr>
      <w:tr>
        <w:trPr>
          <w:trHeight w:val="310" w:hRule="exact"/>
        </w:trPr>
        <w:tc>
          <w:tcPr>
            <w:tcW w:w="4383" w:type="dxa"/>
          </w:tcPr>
          <w:p>
            <w:pPr>
              <w:pStyle w:val="TableParagraph"/>
              <w:spacing w:before="25"/>
              <w:ind w:left="64"/>
              <w:jc w:val="left"/>
              <w:rPr>
                <w:b/>
                <w:sz w:val="18"/>
              </w:rPr>
            </w:pPr>
            <w:r>
              <w:rPr>
                <w:b/>
                <w:color w:val="333333"/>
                <w:sz w:val="18"/>
              </w:rPr>
              <w:t>COATEPEC HARINAS</w:t>
            </w:r>
          </w:p>
        </w:tc>
        <w:tc>
          <w:tcPr>
            <w:tcW w:w="1066" w:type="dxa"/>
          </w:tcPr>
          <w:p>
            <w:pPr>
              <w:pStyle w:val="TableParagraph"/>
              <w:spacing w:before="61"/>
              <w:ind w:left="105" w:right="108"/>
              <w:rPr>
                <w:sz w:val="18"/>
              </w:rPr>
            </w:pPr>
            <w:r>
              <w:rPr>
                <w:sz w:val="18"/>
              </w:rPr>
              <w:t>31,860</w:t>
            </w:r>
          </w:p>
        </w:tc>
        <w:tc>
          <w:tcPr>
            <w:tcW w:w="1069" w:type="dxa"/>
          </w:tcPr>
          <w:p>
            <w:pPr>
              <w:pStyle w:val="TableParagraph"/>
              <w:spacing w:before="61"/>
              <w:ind w:left="251" w:right="83"/>
              <w:jc w:val="left"/>
              <w:rPr>
                <w:sz w:val="18"/>
              </w:rPr>
            </w:pPr>
            <w:r>
              <w:rPr>
                <w:sz w:val="18"/>
              </w:rPr>
              <w:t>36,174</w:t>
            </w:r>
          </w:p>
        </w:tc>
        <w:tc>
          <w:tcPr>
            <w:tcW w:w="1066" w:type="dxa"/>
          </w:tcPr>
          <w:p>
            <w:pPr>
              <w:pStyle w:val="TableParagraph"/>
              <w:spacing w:before="61"/>
              <w:ind w:left="103" w:right="108"/>
              <w:rPr>
                <w:sz w:val="18"/>
              </w:rPr>
            </w:pPr>
            <w:r>
              <w:rPr>
                <w:sz w:val="18"/>
              </w:rPr>
              <w:t>10,257</w:t>
            </w:r>
          </w:p>
        </w:tc>
      </w:tr>
      <w:tr>
        <w:trPr>
          <w:trHeight w:val="310" w:hRule="exact"/>
        </w:trPr>
        <w:tc>
          <w:tcPr>
            <w:tcW w:w="4383" w:type="dxa"/>
          </w:tcPr>
          <w:p>
            <w:pPr>
              <w:pStyle w:val="TableParagraph"/>
              <w:spacing w:before="25"/>
              <w:ind w:left="64"/>
              <w:jc w:val="left"/>
              <w:rPr>
                <w:b/>
                <w:sz w:val="18"/>
              </w:rPr>
            </w:pPr>
            <w:r>
              <w:rPr>
                <w:b/>
                <w:color w:val="333333"/>
                <w:sz w:val="18"/>
              </w:rPr>
              <w:t>COCOTITLAN</w:t>
            </w:r>
          </w:p>
        </w:tc>
        <w:tc>
          <w:tcPr>
            <w:tcW w:w="1066" w:type="dxa"/>
          </w:tcPr>
          <w:p>
            <w:pPr>
              <w:pStyle w:val="TableParagraph"/>
              <w:spacing w:before="61"/>
              <w:ind w:left="104" w:right="108"/>
              <w:rPr>
                <w:sz w:val="18"/>
              </w:rPr>
            </w:pPr>
            <w:r>
              <w:rPr>
                <w:sz w:val="18"/>
              </w:rPr>
              <w:t>12,120</w:t>
            </w:r>
          </w:p>
        </w:tc>
        <w:tc>
          <w:tcPr>
            <w:tcW w:w="1069" w:type="dxa"/>
          </w:tcPr>
          <w:p>
            <w:pPr>
              <w:pStyle w:val="TableParagraph"/>
              <w:spacing w:before="61"/>
              <w:ind w:left="251" w:right="83"/>
              <w:jc w:val="left"/>
              <w:rPr>
                <w:sz w:val="18"/>
              </w:rPr>
            </w:pPr>
            <w:r>
              <w:rPr>
                <w:sz w:val="18"/>
              </w:rPr>
              <w:t>12,142</w:t>
            </w:r>
          </w:p>
        </w:tc>
        <w:tc>
          <w:tcPr>
            <w:tcW w:w="1066" w:type="dxa"/>
          </w:tcPr>
          <w:p>
            <w:pPr>
              <w:pStyle w:val="TableParagraph"/>
              <w:spacing w:before="61"/>
              <w:ind w:left="103" w:right="108"/>
              <w:rPr>
                <w:sz w:val="18"/>
              </w:rPr>
            </w:pPr>
            <w:r>
              <w:rPr>
                <w:sz w:val="18"/>
              </w:rPr>
              <w:t>26,947</w:t>
            </w:r>
          </w:p>
        </w:tc>
      </w:tr>
      <w:tr>
        <w:trPr>
          <w:trHeight w:val="312" w:hRule="exact"/>
        </w:trPr>
        <w:tc>
          <w:tcPr>
            <w:tcW w:w="4383" w:type="dxa"/>
          </w:tcPr>
          <w:p>
            <w:pPr>
              <w:pStyle w:val="TableParagraph"/>
              <w:spacing w:before="25"/>
              <w:ind w:left="64"/>
              <w:jc w:val="left"/>
              <w:rPr>
                <w:b/>
                <w:sz w:val="18"/>
              </w:rPr>
            </w:pPr>
            <w:r>
              <w:rPr>
                <w:b/>
                <w:color w:val="333333"/>
                <w:sz w:val="18"/>
              </w:rPr>
              <w:t>COYOTEPEC</w:t>
            </w:r>
          </w:p>
        </w:tc>
        <w:tc>
          <w:tcPr>
            <w:tcW w:w="1066" w:type="dxa"/>
          </w:tcPr>
          <w:p>
            <w:pPr>
              <w:pStyle w:val="TableParagraph"/>
              <w:spacing w:before="61"/>
              <w:ind w:left="104" w:right="108"/>
              <w:rPr>
                <w:sz w:val="18"/>
              </w:rPr>
            </w:pPr>
            <w:r>
              <w:rPr>
                <w:sz w:val="18"/>
              </w:rPr>
              <w:t>39,341</w:t>
            </w:r>
          </w:p>
        </w:tc>
        <w:tc>
          <w:tcPr>
            <w:tcW w:w="1069" w:type="dxa"/>
          </w:tcPr>
          <w:p>
            <w:pPr>
              <w:pStyle w:val="TableParagraph"/>
              <w:spacing w:before="61"/>
              <w:ind w:left="251" w:right="83"/>
              <w:jc w:val="left"/>
              <w:rPr>
                <w:sz w:val="18"/>
              </w:rPr>
            </w:pPr>
            <w:r>
              <w:rPr>
                <w:sz w:val="18"/>
              </w:rPr>
              <w:t>39,030</w:t>
            </w:r>
          </w:p>
        </w:tc>
        <w:tc>
          <w:tcPr>
            <w:tcW w:w="1066" w:type="dxa"/>
          </w:tcPr>
          <w:p>
            <w:pPr>
              <w:pStyle w:val="TableParagraph"/>
              <w:spacing w:before="61"/>
              <w:ind w:left="104" w:right="108"/>
              <w:rPr>
                <w:sz w:val="18"/>
              </w:rPr>
            </w:pPr>
            <w:r>
              <w:rPr>
                <w:sz w:val="18"/>
              </w:rPr>
              <w:t>192,621</w:t>
            </w:r>
          </w:p>
        </w:tc>
      </w:tr>
      <w:tr>
        <w:trPr>
          <w:trHeight w:val="310" w:hRule="exact"/>
        </w:trPr>
        <w:tc>
          <w:tcPr>
            <w:tcW w:w="4383" w:type="dxa"/>
          </w:tcPr>
          <w:p>
            <w:pPr>
              <w:pStyle w:val="TableParagraph"/>
              <w:spacing w:before="25"/>
              <w:ind w:left="64"/>
              <w:jc w:val="left"/>
              <w:rPr>
                <w:b/>
                <w:sz w:val="18"/>
              </w:rPr>
            </w:pPr>
            <w:r>
              <w:rPr>
                <w:b/>
                <w:color w:val="333333"/>
                <w:sz w:val="18"/>
              </w:rPr>
              <w:t>CUAUTITLAN</w:t>
            </w:r>
          </w:p>
        </w:tc>
        <w:tc>
          <w:tcPr>
            <w:tcW w:w="1066" w:type="dxa"/>
          </w:tcPr>
          <w:p>
            <w:pPr>
              <w:pStyle w:val="TableParagraph"/>
              <w:spacing w:before="61"/>
              <w:ind w:left="104" w:right="108"/>
              <w:rPr>
                <w:sz w:val="18"/>
              </w:rPr>
            </w:pPr>
            <w:r>
              <w:rPr>
                <w:sz w:val="18"/>
              </w:rPr>
              <w:t>110,345</w:t>
            </w:r>
          </w:p>
        </w:tc>
        <w:tc>
          <w:tcPr>
            <w:tcW w:w="1069" w:type="dxa"/>
          </w:tcPr>
          <w:p>
            <w:pPr>
              <w:pStyle w:val="TableParagraph"/>
              <w:spacing w:before="61"/>
              <w:ind w:left="201" w:right="83"/>
              <w:jc w:val="left"/>
              <w:rPr>
                <w:sz w:val="18"/>
              </w:rPr>
            </w:pPr>
            <w:r>
              <w:rPr>
                <w:sz w:val="18"/>
              </w:rPr>
              <w:t>140,059</w:t>
            </w:r>
          </w:p>
        </w:tc>
        <w:tc>
          <w:tcPr>
            <w:tcW w:w="1066" w:type="dxa"/>
          </w:tcPr>
          <w:p>
            <w:pPr>
              <w:pStyle w:val="TableParagraph"/>
              <w:spacing w:before="61"/>
              <w:ind w:left="103" w:right="108"/>
              <w:rPr>
                <w:sz w:val="18"/>
              </w:rPr>
            </w:pPr>
            <w:r>
              <w:rPr>
                <w:sz w:val="18"/>
              </w:rPr>
              <w:t>23,329</w:t>
            </w:r>
          </w:p>
        </w:tc>
      </w:tr>
      <w:tr>
        <w:trPr>
          <w:trHeight w:val="310" w:hRule="exact"/>
        </w:trPr>
        <w:tc>
          <w:tcPr>
            <w:tcW w:w="4383" w:type="dxa"/>
          </w:tcPr>
          <w:p>
            <w:pPr>
              <w:pStyle w:val="TableParagraph"/>
              <w:spacing w:before="25"/>
              <w:ind w:left="64"/>
              <w:jc w:val="left"/>
              <w:rPr>
                <w:b/>
                <w:sz w:val="18"/>
              </w:rPr>
            </w:pPr>
            <w:r>
              <w:rPr>
                <w:b/>
                <w:color w:val="333333"/>
                <w:sz w:val="18"/>
              </w:rPr>
              <w:t>CUAUTITLAN IZCALLI</w:t>
            </w:r>
          </w:p>
        </w:tc>
        <w:tc>
          <w:tcPr>
            <w:tcW w:w="1066" w:type="dxa"/>
          </w:tcPr>
          <w:p>
            <w:pPr>
              <w:pStyle w:val="TableParagraph"/>
              <w:spacing w:before="61"/>
              <w:ind w:left="104" w:right="108"/>
              <w:rPr>
                <w:sz w:val="18"/>
              </w:rPr>
            </w:pPr>
            <w:r>
              <w:rPr>
                <w:sz w:val="18"/>
              </w:rPr>
              <w:t>498,021</w:t>
            </w:r>
          </w:p>
        </w:tc>
        <w:tc>
          <w:tcPr>
            <w:tcW w:w="1069" w:type="dxa"/>
          </w:tcPr>
          <w:p>
            <w:pPr>
              <w:pStyle w:val="TableParagraph"/>
              <w:spacing w:before="61"/>
              <w:ind w:left="201" w:right="83"/>
              <w:jc w:val="left"/>
              <w:rPr>
                <w:sz w:val="18"/>
              </w:rPr>
            </w:pPr>
            <w:r>
              <w:rPr>
                <w:sz w:val="18"/>
              </w:rPr>
              <w:t>511,675</w:t>
            </w:r>
          </w:p>
        </w:tc>
        <w:tc>
          <w:tcPr>
            <w:tcW w:w="1066" w:type="dxa"/>
          </w:tcPr>
          <w:p>
            <w:pPr>
              <w:pStyle w:val="TableParagraph"/>
              <w:spacing w:before="61"/>
              <w:ind w:left="104" w:right="108"/>
              <w:rPr>
                <w:sz w:val="18"/>
              </w:rPr>
            </w:pPr>
            <w:r>
              <w:rPr>
                <w:sz w:val="18"/>
              </w:rPr>
              <w:t>627,080</w:t>
            </w:r>
          </w:p>
        </w:tc>
      </w:tr>
      <w:tr>
        <w:trPr>
          <w:trHeight w:val="310" w:hRule="exact"/>
        </w:trPr>
        <w:tc>
          <w:tcPr>
            <w:tcW w:w="4383" w:type="dxa"/>
          </w:tcPr>
          <w:p>
            <w:pPr>
              <w:pStyle w:val="TableParagraph"/>
              <w:spacing w:before="25"/>
              <w:ind w:left="64"/>
              <w:jc w:val="left"/>
              <w:rPr>
                <w:b/>
                <w:sz w:val="18"/>
              </w:rPr>
            </w:pPr>
            <w:r>
              <w:rPr>
                <w:b/>
                <w:color w:val="333333"/>
                <w:sz w:val="18"/>
              </w:rPr>
              <w:t>DONATO GUERRA</w:t>
            </w:r>
          </w:p>
        </w:tc>
        <w:tc>
          <w:tcPr>
            <w:tcW w:w="1066" w:type="dxa"/>
          </w:tcPr>
          <w:p>
            <w:pPr>
              <w:pStyle w:val="TableParagraph"/>
              <w:spacing w:before="61"/>
              <w:ind w:left="104" w:right="108"/>
              <w:rPr>
                <w:sz w:val="18"/>
              </w:rPr>
            </w:pPr>
            <w:r>
              <w:rPr>
                <w:sz w:val="18"/>
              </w:rPr>
              <w:t>29,621</w:t>
            </w:r>
          </w:p>
        </w:tc>
        <w:tc>
          <w:tcPr>
            <w:tcW w:w="1069" w:type="dxa"/>
          </w:tcPr>
          <w:p>
            <w:pPr>
              <w:pStyle w:val="TableParagraph"/>
              <w:spacing w:before="61"/>
              <w:ind w:left="251" w:right="83"/>
              <w:jc w:val="left"/>
              <w:rPr>
                <w:sz w:val="18"/>
              </w:rPr>
            </w:pPr>
            <w:r>
              <w:rPr>
                <w:sz w:val="18"/>
              </w:rPr>
              <w:t>33,455</w:t>
            </w:r>
          </w:p>
        </w:tc>
        <w:tc>
          <w:tcPr>
            <w:tcW w:w="1066" w:type="dxa"/>
          </w:tcPr>
          <w:p>
            <w:pPr>
              <w:pStyle w:val="TableParagraph"/>
              <w:spacing w:before="61"/>
              <w:ind w:left="103" w:right="108"/>
              <w:rPr>
                <w:sz w:val="18"/>
              </w:rPr>
            </w:pPr>
            <w:r>
              <w:rPr>
                <w:sz w:val="18"/>
              </w:rPr>
              <w:t>33,940</w:t>
            </w:r>
          </w:p>
        </w:tc>
      </w:tr>
      <w:tr>
        <w:trPr>
          <w:trHeight w:val="310" w:hRule="exact"/>
        </w:trPr>
        <w:tc>
          <w:tcPr>
            <w:tcW w:w="4383" w:type="dxa"/>
          </w:tcPr>
          <w:p>
            <w:pPr>
              <w:pStyle w:val="TableParagraph"/>
              <w:spacing w:before="25"/>
              <w:ind w:left="64"/>
              <w:jc w:val="left"/>
              <w:rPr>
                <w:b/>
                <w:sz w:val="18"/>
              </w:rPr>
            </w:pPr>
            <w:r>
              <w:rPr>
                <w:b/>
                <w:color w:val="333333"/>
                <w:sz w:val="18"/>
              </w:rPr>
              <w:t>ECATEPEC DE MORELOS</w:t>
            </w:r>
          </w:p>
        </w:tc>
        <w:tc>
          <w:tcPr>
            <w:tcW w:w="1066" w:type="dxa"/>
          </w:tcPr>
          <w:p>
            <w:pPr>
              <w:pStyle w:val="TableParagraph"/>
              <w:spacing w:before="61"/>
              <w:ind w:left="106" w:right="108"/>
              <w:rPr>
                <w:sz w:val="18"/>
              </w:rPr>
            </w:pPr>
            <w:r>
              <w:rPr>
                <w:sz w:val="18"/>
              </w:rPr>
              <w:t>1,688,258</w:t>
            </w:r>
          </w:p>
        </w:tc>
        <w:tc>
          <w:tcPr>
            <w:tcW w:w="1069" w:type="dxa"/>
          </w:tcPr>
          <w:p>
            <w:pPr>
              <w:pStyle w:val="TableParagraph"/>
              <w:spacing w:before="61"/>
              <w:ind w:left="127" w:right="83"/>
              <w:jc w:val="left"/>
              <w:rPr>
                <w:sz w:val="18"/>
              </w:rPr>
            </w:pPr>
            <w:r>
              <w:rPr>
                <w:sz w:val="18"/>
              </w:rPr>
              <w:t>1,656,107</w:t>
            </w:r>
          </w:p>
        </w:tc>
        <w:tc>
          <w:tcPr>
            <w:tcW w:w="1066" w:type="dxa"/>
          </w:tcPr>
          <w:p>
            <w:pPr>
              <w:pStyle w:val="TableParagraph"/>
              <w:spacing w:before="61"/>
              <w:ind w:left="106" w:right="108"/>
              <w:rPr>
                <w:sz w:val="18"/>
              </w:rPr>
            </w:pPr>
            <w:r>
              <w:rPr>
                <w:sz w:val="18"/>
              </w:rPr>
              <w:t>1,646,967</w:t>
            </w:r>
          </w:p>
        </w:tc>
      </w:tr>
      <w:tr>
        <w:trPr>
          <w:trHeight w:val="310" w:hRule="exact"/>
        </w:trPr>
        <w:tc>
          <w:tcPr>
            <w:tcW w:w="4383" w:type="dxa"/>
          </w:tcPr>
          <w:p>
            <w:pPr>
              <w:pStyle w:val="TableParagraph"/>
              <w:spacing w:before="25"/>
              <w:ind w:left="64"/>
              <w:jc w:val="left"/>
              <w:rPr>
                <w:b/>
                <w:sz w:val="18"/>
              </w:rPr>
            </w:pPr>
            <w:r>
              <w:rPr>
                <w:b/>
                <w:color w:val="333333"/>
                <w:sz w:val="18"/>
              </w:rPr>
              <w:t>ECATZINGO</w:t>
            </w:r>
          </w:p>
        </w:tc>
        <w:tc>
          <w:tcPr>
            <w:tcW w:w="1066" w:type="dxa"/>
          </w:tcPr>
          <w:p>
            <w:pPr>
              <w:pStyle w:val="TableParagraph"/>
              <w:spacing w:before="61"/>
              <w:ind w:left="106" w:right="107"/>
              <w:rPr>
                <w:sz w:val="18"/>
              </w:rPr>
            </w:pPr>
            <w:r>
              <w:rPr>
                <w:sz w:val="18"/>
              </w:rPr>
              <w:t>8,247</w:t>
            </w:r>
          </w:p>
        </w:tc>
        <w:tc>
          <w:tcPr>
            <w:tcW w:w="1069" w:type="dxa"/>
          </w:tcPr>
          <w:p>
            <w:pPr>
              <w:pStyle w:val="TableParagraph"/>
              <w:spacing w:before="61"/>
              <w:ind w:left="302" w:right="83"/>
              <w:jc w:val="left"/>
              <w:rPr>
                <w:sz w:val="18"/>
              </w:rPr>
            </w:pPr>
            <w:r>
              <w:rPr>
                <w:sz w:val="18"/>
              </w:rPr>
              <w:t>9,369</w:t>
            </w:r>
          </w:p>
        </w:tc>
        <w:tc>
          <w:tcPr>
            <w:tcW w:w="1066" w:type="dxa"/>
          </w:tcPr>
          <w:p>
            <w:pPr>
              <w:pStyle w:val="TableParagraph"/>
              <w:spacing w:before="61"/>
              <w:ind w:left="106" w:right="107"/>
              <w:rPr>
                <w:sz w:val="18"/>
              </w:rPr>
            </w:pPr>
            <w:r>
              <w:rPr>
                <w:sz w:val="18"/>
              </w:rPr>
              <w:t>9,494</w:t>
            </w:r>
          </w:p>
        </w:tc>
      </w:tr>
      <w:tr>
        <w:trPr>
          <w:trHeight w:val="312" w:hRule="exact"/>
        </w:trPr>
        <w:tc>
          <w:tcPr>
            <w:tcW w:w="4383" w:type="dxa"/>
          </w:tcPr>
          <w:p>
            <w:pPr>
              <w:pStyle w:val="TableParagraph"/>
              <w:spacing w:before="25"/>
              <w:ind w:left="64"/>
              <w:jc w:val="left"/>
              <w:rPr>
                <w:b/>
                <w:sz w:val="18"/>
              </w:rPr>
            </w:pPr>
            <w:r>
              <w:rPr>
                <w:b/>
                <w:color w:val="333333"/>
                <w:sz w:val="18"/>
              </w:rPr>
              <w:t>EL ORO</w:t>
            </w:r>
          </w:p>
        </w:tc>
        <w:tc>
          <w:tcPr>
            <w:tcW w:w="1066" w:type="dxa"/>
          </w:tcPr>
          <w:p>
            <w:pPr>
              <w:pStyle w:val="TableParagraph"/>
              <w:spacing w:before="61"/>
              <w:ind w:left="104" w:right="108"/>
              <w:rPr>
                <w:sz w:val="18"/>
              </w:rPr>
            </w:pPr>
            <w:r>
              <w:rPr>
                <w:sz w:val="18"/>
              </w:rPr>
              <w:t>31,847</w:t>
            </w:r>
          </w:p>
        </w:tc>
        <w:tc>
          <w:tcPr>
            <w:tcW w:w="1069" w:type="dxa"/>
          </w:tcPr>
          <w:p>
            <w:pPr>
              <w:pStyle w:val="TableParagraph"/>
              <w:spacing w:before="61"/>
              <w:ind w:left="251" w:right="83"/>
              <w:jc w:val="left"/>
              <w:rPr>
                <w:sz w:val="18"/>
              </w:rPr>
            </w:pPr>
            <w:r>
              <w:rPr>
                <w:sz w:val="18"/>
              </w:rPr>
              <w:t>34,446</w:t>
            </w:r>
          </w:p>
        </w:tc>
        <w:tc>
          <w:tcPr>
            <w:tcW w:w="1066" w:type="dxa"/>
          </w:tcPr>
          <w:p>
            <w:pPr>
              <w:pStyle w:val="TableParagraph"/>
              <w:spacing w:before="61"/>
              <w:ind w:left="103" w:right="108"/>
              <w:rPr>
                <w:sz w:val="18"/>
              </w:rPr>
            </w:pPr>
            <w:r>
              <w:rPr>
                <w:sz w:val="18"/>
              </w:rPr>
              <w:t>34,711</w:t>
            </w:r>
          </w:p>
        </w:tc>
      </w:tr>
    </w:tbl>
    <w:p>
      <w:pPr>
        <w:spacing w:after="0"/>
        <w:rPr>
          <w:sz w:val="18"/>
        </w:rPr>
        <w:sectPr>
          <w:pgSz w:w="12240" w:h="15840"/>
          <w:pgMar w:header="0" w:footer="975" w:top="1420" w:bottom="1160" w:left="1720" w:right="1440"/>
        </w:sectPr>
      </w:pPr>
    </w:p>
    <w:tbl>
      <w:tblPr>
        <w:tblW w:w="0" w:type="auto"/>
        <w:jc w:val="left"/>
        <w:tblInd w:w="10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07"/>
        <w:gridCol w:w="1001"/>
        <w:gridCol w:w="1001"/>
        <w:gridCol w:w="1001"/>
      </w:tblGrid>
      <w:tr>
        <w:trPr>
          <w:trHeight w:val="486" w:hRule="exact"/>
        </w:trPr>
        <w:tc>
          <w:tcPr>
            <w:tcW w:w="6510" w:type="dxa"/>
            <w:gridSpan w:val="4"/>
            <w:shd w:val="clear" w:color="auto" w:fill="92D050"/>
          </w:tcPr>
          <w:p>
            <w:pPr>
              <w:pStyle w:val="TableParagraph"/>
              <w:spacing w:line="276" w:lineRule="auto"/>
              <w:ind w:left="2614" w:right="223" w:hanging="2379"/>
              <w:jc w:val="left"/>
              <w:rPr>
                <w:b/>
                <w:sz w:val="18"/>
              </w:rPr>
            </w:pPr>
            <w:r>
              <w:rPr>
                <w:b/>
                <w:sz w:val="18"/>
              </w:rPr>
              <w:t>Anexo 1. Población de los municipios del Estado de México 2005-2012 (Continuación)</w:t>
            </w:r>
          </w:p>
        </w:tc>
      </w:tr>
      <w:tr>
        <w:trPr>
          <w:trHeight w:val="485" w:hRule="exact"/>
        </w:trPr>
        <w:tc>
          <w:tcPr>
            <w:tcW w:w="3507" w:type="dxa"/>
            <w:shd w:val="clear" w:color="auto" w:fill="92D050"/>
          </w:tcPr>
          <w:p>
            <w:pPr>
              <w:pStyle w:val="TableParagraph"/>
              <w:spacing w:line="199" w:lineRule="exact"/>
              <w:ind w:left="1308" w:right="1308"/>
              <w:rPr>
                <w:b/>
                <w:sz w:val="18"/>
              </w:rPr>
            </w:pPr>
            <w:r>
              <w:rPr>
                <w:b/>
                <w:sz w:val="18"/>
              </w:rPr>
              <w:t>Municipio</w:t>
            </w:r>
          </w:p>
        </w:tc>
        <w:tc>
          <w:tcPr>
            <w:tcW w:w="1001" w:type="dxa"/>
            <w:shd w:val="clear" w:color="auto" w:fill="92D050"/>
          </w:tcPr>
          <w:p>
            <w:pPr>
              <w:pStyle w:val="TableParagraph"/>
              <w:spacing w:line="276" w:lineRule="auto"/>
              <w:ind w:left="292" w:right="50" w:hanging="231"/>
              <w:jc w:val="left"/>
              <w:rPr>
                <w:b/>
                <w:sz w:val="18"/>
              </w:rPr>
            </w:pPr>
            <w:r>
              <w:rPr>
                <w:b/>
                <w:sz w:val="18"/>
              </w:rPr>
              <w:t>Población 2005</w:t>
            </w:r>
          </w:p>
        </w:tc>
        <w:tc>
          <w:tcPr>
            <w:tcW w:w="1001" w:type="dxa"/>
            <w:shd w:val="clear" w:color="auto" w:fill="92D050"/>
          </w:tcPr>
          <w:p>
            <w:pPr>
              <w:pStyle w:val="TableParagraph"/>
              <w:spacing w:line="276" w:lineRule="auto"/>
              <w:ind w:left="292" w:right="50" w:hanging="231"/>
              <w:jc w:val="left"/>
              <w:rPr>
                <w:b/>
                <w:sz w:val="18"/>
              </w:rPr>
            </w:pPr>
            <w:r>
              <w:rPr>
                <w:b/>
                <w:sz w:val="18"/>
              </w:rPr>
              <w:t>Población 2010</w:t>
            </w:r>
          </w:p>
        </w:tc>
        <w:tc>
          <w:tcPr>
            <w:tcW w:w="1001" w:type="dxa"/>
            <w:shd w:val="clear" w:color="auto" w:fill="92D050"/>
          </w:tcPr>
          <w:p>
            <w:pPr>
              <w:pStyle w:val="TableParagraph"/>
              <w:spacing w:line="276" w:lineRule="auto"/>
              <w:ind w:left="295" w:right="47" w:hanging="231"/>
              <w:jc w:val="left"/>
              <w:rPr>
                <w:b/>
                <w:sz w:val="18"/>
              </w:rPr>
            </w:pPr>
            <w:r>
              <w:rPr>
                <w:b/>
                <w:sz w:val="18"/>
              </w:rPr>
              <w:t>Población 2012</w:t>
            </w:r>
          </w:p>
        </w:tc>
      </w:tr>
      <w:tr>
        <w:trPr>
          <w:trHeight w:val="312" w:hRule="exact"/>
        </w:trPr>
        <w:tc>
          <w:tcPr>
            <w:tcW w:w="3507" w:type="dxa"/>
          </w:tcPr>
          <w:p>
            <w:pPr>
              <w:pStyle w:val="TableParagraph"/>
              <w:spacing w:before="25"/>
              <w:ind w:left="64"/>
              <w:jc w:val="left"/>
              <w:rPr>
                <w:b/>
                <w:sz w:val="18"/>
              </w:rPr>
            </w:pPr>
            <w:r>
              <w:rPr>
                <w:b/>
                <w:color w:val="333333"/>
                <w:sz w:val="18"/>
              </w:rPr>
              <w:t>HUEHUETOCA</w:t>
            </w:r>
          </w:p>
        </w:tc>
        <w:tc>
          <w:tcPr>
            <w:tcW w:w="1001" w:type="dxa"/>
          </w:tcPr>
          <w:p>
            <w:pPr>
              <w:pStyle w:val="TableParagraph"/>
              <w:spacing w:before="58"/>
              <w:ind w:left="73" w:right="75"/>
              <w:rPr>
                <w:sz w:val="18"/>
              </w:rPr>
            </w:pPr>
            <w:r>
              <w:rPr>
                <w:sz w:val="18"/>
              </w:rPr>
              <w:t>59,721</w:t>
            </w:r>
          </w:p>
        </w:tc>
        <w:tc>
          <w:tcPr>
            <w:tcW w:w="1001" w:type="dxa"/>
          </w:tcPr>
          <w:p>
            <w:pPr>
              <w:pStyle w:val="TableParagraph"/>
              <w:spacing w:before="58"/>
              <w:ind w:left="73" w:right="74"/>
              <w:rPr>
                <w:sz w:val="18"/>
              </w:rPr>
            </w:pPr>
            <w:r>
              <w:rPr>
                <w:sz w:val="18"/>
              </w:rPr>
              <w:t>100,023</w:t>
            </w:r>
          </w:p>
        </w:tc>
        <w:tc>
          <w:tcPr>
            <w:tcW w:w="1001" w:type="dxa"/>
          </w:tcPr>
          <w:p>
            <w:pPr>
              <w:pStyle w:val="TableParagraph"/>
              <w:spacing w:before="58"/>
              <w:ind w:left="75" w:right="75"/>
              <w:rPr>
                <w:sz w:val="18"/>
              </w:rPr>
            </w:pPr>
            <w:r>
              <w:rPr>
                <w:sz w:val="18"/>
              </w:rPr>
              <w:t>112,108</w:t>
            </w:r>
          </w:p>
        </w:tc>
      </w:tr>
      <w:tr>
        <w:trPr>
          <w:trHeight w:val="310" w:hRule="exact"/>
        </w:trPr>
        <w:tc>
          <w:tcPr>
            <w:tcW w:w="3507" w:type="dxa"/>
          </w:tcPr>
          <w:p>
            <w:pPr>
              <w:pStyle w:val="TableParagraph"/>
              <w:spacing w:before="22"/>
              <w:ind w:left="64"/>
              <w:jc w:val="left"/>
              <w:rPr>
                <w:b/>
                <w:sz w:val="18"/>
              </w:rPr>
            </w:pPr>
            <w:r>
              <w:rPr>
                <w:b/>
                <w:color w:val="333333"/>
                <w:sz w:val="18"/>
              </w:rPr>
              <w:t>HUEYPOXTLA</w:t>
            </w:r>
          </w:p>
        </w:tc>
        <w:tc>
          <w:tcPr>
            <w:tcW w:w="1001" w:type="dxa"/>
          </w:tcPr>
          <w:p>
            <w:pPr>
              <w:pStyle w:val="TableParagraph"/>
              <w:spacing w:before="58"/>
              <w:ind w:left="73" w:right="75"/>
              <w:rPr>
                <w:sz w:val="18"/>
              </w:rPr>
            </w:pPr>
            <w:r>
              <w:rPr>
                <w:sz w:val="18"/>
              </w:rPr>
              <w:t>36,512</w:t>
            </w:r>
          </w:p>
        </w:tc>
        <w:tc>
          <w:tcPr>
            <w:tcW w:w="1001" w:type="dxa"/>
          </w:tcPr>
          <w:p>
            <w:pPr>
              <w:pStyle w:val="TableParagraph"/>
              <w:spacing w:before="58"/>
              <w:ind w:left="73" w:right="74"/>
              <w:rPr>
                <w:sz w:val="18"/>
              </w:rPr>
            </w:pPr>
            <w:r>
              <w:rPr>
                <w:sz w:val="18"/>
              </w:rPr>
              <w:t>39,864</w:t>
            </w:r>
          </w:p>
        </w:tc>
        <w:tc>
          <w:tcPr>
            <w:tcW w:w="1001" w:type="dxa"/>
          </w:tcPr>
          <w:p>
            <w:pPr>
              <w:pStyle w:val="TableParagraph"/>
              <w:spacing w:before="58"/>
              <w:ind w:left="75" w:right="75"/>
              <w:rPr>
                <w:sz w:val="18"/>
              </w:rPr>
            </w:pPr>
            <w:r>
              <w:rPr>
                <w:sz w:val="18"/>
              </w:rPr>
              <w:t>40,446</w:t>
            </w:r>
          </w:p>
        </w:tc>
      </w:tr>
      <w:tr>
        <w:trPr>
          <w:trHeight w:val="310" w:hRule="exact"/>
        </w:trPr>
        <w:tc>
          <w:tcPr>
            <w:tcW w:w="3507" w:type="dxa"/>
          </w:tcPr>
          <w:p>
            <w:pPr>
              <w:pStyle w:val="TableParagraph"/>
              <w:spacing w:before="22"/>
              <w:ind w:left="64"/>
              <w:jc w:val="left"/>
              <w:rPr>
                <w:b/>
                <w:sz w:val="18"/>
              </w:rPr>
            </w:pPr>
            <w:r>
              <w:rPr>
                <w:b/>
                <w:color w:val="333333"/>
                <w:sz w:val="18"/>
              </w:rPr>
              <w:t>HUIXQUILUCAN</w:t>
            </w:r>
          </w:p>
        </w:tc>
        <w:tc>
          <w:tcPr>
            <w:tcW w:w="1001" w:type="dxa"/>
          </w:tcPr>
          <w:p>
            <w:pPr>
              <w:pStyle w:val="TableParagraph"/>
              <w:spacing w:before="58"/>
              <w:ind w:left="73" w:right="75"/>
              <w:rPr>
                <w:sz w:val="18"/>
              </w:rPr>
            </w:pPr>
            <w:r>
              <w:rPr>
                <w:sz w:val="18"/>
              </w:rPr>
              <w:t>224,042</w:t>
            </w:r>
          </w:p>
        </w:tc>
        <w:tc>
          <w:tcPr>
            <w:tcW w:w="1001" w:type="dxa"/>
          </w:tcPr>
          <w:p>
            <w:pPr>
              <w:pStyle w:val="TableParagraph"/>
              <w:spacing w:before="58"/>
              <w:ind w:left="73" w:right="74"/>
              <w:rPr>
                <w:sz w:val="18"/>
              </w:rPr>
            </w:pPr>
            <w:r>
              <w:rPr>
                <w:sz w:val="18"/>
              </w:rPr>
              <w:t>242,167</w:t>
            </w:r>
          </w:p>
        </w:tc>
        <w:tc>
          <w:tcPr>
            <w:tcW w:w="1001" w:type="dxa"/>
          </w:tcPr>
          <w:p>
            <w:pPr>
              <w:pStyle w:val="TableParagraph"/>
              <w:spacing w:before="58"/>
              <w:ind w:left="75" w:right="75"/>
              <w:rPr>
                <w:sz w:val="18"/>
              </w:rPr>
            </w:pPr>
            <w:r>
              <w:rPr>
                <w:sz w:val="18"/>
              </w:rPr>
              <w:t>247,136</w:t>
            </w:r>
          </w:p>
        </w:tc>
      </w:tr>
      <w:tr>
        <w:trPr>
          <w:trHeight w:val="310" w:hRule="exact"/>
        </w:trPr>
        <w:tc>
          <w:tcPr>
            <w:tcW w:w="3507" w:type="dxa"/>
          </w:tcPr>
          <w:p>
            <w:pPr>
              <w:pStyle w:val="TableParagraph"/>
              <w:spacing w:before="22"/>
              <w:ind w:left="64"/>
              <w:jc w:val="left"/>
              <w:rPr>
                <w:b/>
                <w:sz w:val="18"/>
              </w:rPr>
            </w:pPr>
            <w:r>
              <w:rPr>
                <w:b/>
                <w:color w:val="333333"/>
                <w:sz w:val="18"/>
              </w:rPr>
              <w:t>ISIDRO FABELA</w:t>
            </w:r>
          </w:p>
        </w:tc>
        <w:tc>
          <w:tcPr>
            <w:tcW w:w="1001" w:type="dxa"/>
          </w:tcPr>
          <w:p>
            <w:pPr>
              <w:pStyle w:val="TableParagraph"/>
              <w:spacing w:before="58"/>
              <w:ind w:left="73" w:right="77"/>
              <w:rPr>
                <w:sz w:val="18"/>
              </w:rPr>
            </w:pPr>
            <w:r>
              <w:rPr>
                <w:sz w:val="18"/>
              </w:rPr>
              <w:t>8,788</w:t>
            </w:r>
          </w:p>
        </w:tc>
        <w:tc>
          <w:tcPr>
            <w:tcW w:w="1001" w:type="dxa"/>
          </w:tcPr>
          <w:p>
            <w:pPr>
              <w:pStyle w:val="TableParagraph"/>
              <w:spacing w:before="58"/>
              <w:ind w:left="73" w:right="74"/>
              <w:rPr>
                <w:sz w:val="18"/>
              </w:rPr>
            </w:pPr>
            <w:r>
              <w:rPr>
                <w:sz w:val="18"/>
              </w:rPr>
              <w:t>10,308</w:t>
            </w:r>
          </w:p>
        </w:tc>
        <w:tc>
          <w:tcPr>
            <w:tcW w:w="1001" w:type="dxa"/>
          </w:tcPr>
          <w:p>
            <w:pPr>
              <w:pStyle w:val="TableParagraph"/>
              <w:spacing w:before="58"/>
              <w:ind w:left="75" w:right="75"/>
              <w:rPr>
                <w:sz w:val="18"/>
              </w:rPr>
            </w:pPr>
            <w:r>
              <w:rPr>
                <w:sz w:val="18"/>
              </w:rPr>
              <w:t>10,530</w:t>
            </w:r>
          </w:p>
        </w:tc>
      </w:tr>
      <w:tr>
        <w:trPr>
          <w:trHeight w:val="310" w:hRule="exact"/>
        </w:trPr>
        <w:tc>
          <w:tcPr>
            <w:tcW w:w="3507" w:type="dxa"/>
          </w:tcPr>
          <w:p>
            <w:pPr>
              <w:pStyle w:val="TableParagraph"/>
              <w:spacing w:before="22"/>
              <w:ind w:left="64"/>
              <w:jc w:val="left"/>
              <w:rPr>
                <w:b/>
                <w:sz w:val="18"/>
              </w:rPr>
            </w:pPr>
            <w:r>
              <w:rPr>
                <w:b/>
                <w:color w:val="333333"/>
                <w:sz w:val="18"/>
              </w:rPr>
              <w:t>IXTAPALUCA</w:t>
            </w:r>
          </w:p>
        </w:tc>
        <w:tc>
          <w:tcPr>
            <w:tcW w:w="1001" w:type="dxa"/>
          </w:tcPr>
          <w:p>
            <w:pPr>
              <w:pStyle w:val="TableParagraph"/>
              <w:spacing w:before="58"/>
              <w:ind w:left="73" w:right="75"/>
              <w:rPr>
                <w:sz w:val="18"/>
              </w:rPr>
            </w:pPr>
            <w:r>
              <w:rPr>
                <w:sz w:val="18"/>
              </w:rPr>
              <w:t>429,033</w:t>
            </w:r>
          </w:p>
        </w:tc>
        <w:tc>
          <w:tcPr>
            <w:tcW w:w="1001" w:type="dxa"/>
          </w:tcPr>
          <w:p>
            <w:pPr>
              <w:pStyle w:val="TableParagraph"/>
              <w:spacing w:before="58"/>
              <w:ind w:left="73" w:right="74"/>
              <w:rPr>
                <w:sz w:val="18"/>
              </w:rPr>
            </w:pPr>
            <w:r>
              <w:rPr>
                <w:sz w:val="18"/>
              </w:rPr>
              <w:t>467,361</w:t>
            </w:r>
          </w:p>
        </w:tc>
        <w:tc>
          <w:tcPr>
            <w:tcW w:w="1001" w:type="dxa"/>
          </w:tcPr>
          <w:p>
            <w:pPr>
              <w:pStyle w:val="TableParagraph"/>
              <w:spacing w:before="58"/>
              <w:ind w:left="75" w:right="75"/>
              <w:rPr>
                <w:sz w:val="18"/>
              </w:rPr>
            </w:pPr>
            <w:r>
              <w:rPr>
                <w:sz w:val="18"/>
              </w:rPr>
              <w:t>490,904</w:t>
            </w:r>
          </w:p>
        </w:tc>
      </w:tr>
      <w:tr>
        <w:trPr>
          <w:trHeight w:val="310" w:hRule="exact"/>
        </w:trPr>
        <w:tc>
          <w:tcPr>
            <w:tcW w:w="3507" w:type="dxa"/>
          </w:tcPr>
          <w:p>
            <w:pPr>
              <w:pStyle w:val="TableParagraph"/>
              <w:spacing w:before="22"/>
              <w:ind w:left="64"/>
              <w:jc w:val="left"/>
              <w:rPr>
                <w:b/>
                <w:sz w:val="18"/>
              </w:rPr>
            </w:pPr>
            <w:r>
              <w:rPr>
                <w:b/>
                <w:color w:val="333333"/>
                <w:sz w:val="18"/>
              </w:rPr>
              <w:t>IXTAPAN DE LA SAL</w:t>
            </w:r>
          </w:p>
        </w:tc>
        <w:tc>
          <w:tcPr>
            <w:tcW w:w="1001" w:type="dxa"/>
          </w:tcPr>
          <w:p>
            <w:pPr>
              <w:pStyle w:val="TableParagraph"/>
              <w:spacing w:before="58"/>
              <w:ind w:left="73" w:right="75"/>
              <w:rPr>
                <w:sz w:val="18"/>
              </w:rPr>
            </w:pPr>
            <w:r>
              <w:rPr>
                <w:sz w:val="18"/>
              </w:rPr>
              <w:t>30,073</w:t>
            </w:r>
          </w:p>
        </w:tc>
        <w:tc>
          <w:tcPr>
            <w:tcW w:w="1001" w:type="dxa"/>
          </w:tcPr>
          <w:p>
            <w:pPr>
              <w:pStyle w:val="TableParagraph"/>
              <w:spacing w:before="58"/>
              <w:ind w:left="73" w:right="74"/>
              <w:rPr>
                <w:sz w:val="18"/>
              </w:rPr>
            </w:pPr>
            <w:r>
              <w:rPr>
                <w:sz w:val="18"/>
              </w:rPr>
              <w:t>33,541</w:t>
            </w:r>
          </w:p>
        </w:tc>
        <w:tc>
          <w:tcPr>
            <w:tcW w:w="1001" w:type="dxa"/>
          </w:tcPr>
          <w:p>
            <w:pPr>
              <w:pStyle w:val="TableParagraph"/>
              <w:spacing w:before="58"/>
              <w:ind w:left="75" w:right="75"/>
              <w:rPr>
                <w:sz w:val="18"/>
              </w:rPr>
            </w:pPr>
            <w:r>
              <w:rPr>
                <w:sz w:val="18"/>
              </w:rPr>
              <w:t>33,668</w:t>
            </w:r>
          </w:p>
        </w:tc>
      </w:tr>
      <w:tr>
        <w:trPr>
          <w:trHeight w:val="312" w:hRule="exact"/>
        </w:trPr>
        <w:tc>
          <w:tcPr>
            <w:tcW w:w="3507" w:type="dxa"/>
          </w:tcPr>
          <w:p>
            <w:pPr>
              <w:pStyle w:val="TableParagraph"/>
              <w:spacing w:before="25"/>
              <w:ind w:left="64"/>
              <w:jc w:val="left"/>
              <w:rPr>
                <w:b/>
                <w:sz w:val="18"/>
              </w:rPr>
            </w:pPr>
            <w:r>
              <w:rPr>
                <w:b/>
                <w:color w:val="333333"/>
                <w:sz w:val="18"/>
              </w:rPr>
              <w:t>IXTAPAN DEL ORO</w:t>
            </w:r>
          </w:p>
        </w:tc>
        <w:tc>
          <w:tcPr>
            <w:tcW w:w="1001" w:type="dxa"/>
          </w:tcPr>
          <w:p>
            <w:pPr>
              <w:pStyle w:val="TableParagraph"/>
              <w:spacing w:before="58"/>
              <w:ind w:left="73" w:right="77"/>
              <w:rPr>
                <w:sz w:val="18"/>
              </w:rPr>
            </w:pPr>
            <w:r>
              <w:rPr>
                <w:sz w:val="18"/>
              </w:rPr>
              <w:t>6,349</w:t>
            </w:r>
          </w:p>
        </w:tc>
        <w:tc>
          <w:tcPr>
            <w:tcW w:w="1001" w:type="dxa"/>
          </w:tcPr>
          <w:p>
            <w:pPr>
              <w:pStyle w:val="TableParagraph"/>
              <w:spacing w:before="58"/>
              <w:ind w:left="73" w:right="77"/>
              <w:rPr>
                <w:sz w:val="18"/>
              </w:rPr>
            </w:pPr>
            <w:r>
              <w:rPr>
                <w:sz w:val="18"/>
              </w:rPr>
              <w:t>6,629</w:t>
            </w:r>
          </w:p>
        </w:tc>
        <w:tc>
          <w:tcPr>
            <w:tcW w:w="1001" w:type="dxa"/>
          </w:tcPr>
          <w:p>
            <w:pPr>
              <w:pStyle w:val="TableParagraph"/>
              <w:spacing w:before="58"/>
              <w:ind w:left="74" w:right="75"/>
              <w:rPr>
                <w:sz w:val="18"/>
              </w:rPr>
            </w:pPr>
            <w:r>
              <w:rPr>
                <w:sz w:val="18"/>
              </w:rPr>
              <w:t>6,601</w:t>
            </w:r>
          </w:p>
        </w:tc>
      </w:tr>
      <w:tr>
        <w:trPr>
          <w:trHeight w:val="310" w:hRule="exact"/>
        </w:trPr>
        <w:tc>
          <w:tcPr>
            <w:tcW w:w="3507" w:type="dxa"/>
          </w:tcPr>
          <w:p>
            <w:pPr>
              <w:pStyle w:val="TableParagraph"/>
              <w:spacing w:before="22"/>
              <w:ind w:left="64"/>
              <w:jc w:val="left"/>
              <w:rPr>
                <w:b/>
                <w:sz w:val="18"/>
              </w:rPr>
            </w:pPr>
            <w:r>
              <w:rPr>
                <w:b/>
                <w:color w:val="333333"/>
                <w:sz w:val="18"/>
              </w:rPr>
              <w:t>IXTLAHUACA</w:t>
            </w:r>
          </w:p>
        </w:tc>
        <w:tc>
          <w:tcPr>
            <w:tcW w:w="1001" w:type="dxa"/>
          </w:tcPr>
          <w:p>
            <w:pPr>
              <w:pStyle w:val="TableParagraph"/>
              <w:spacing w:before="58"/>
              <w:ind w:left="73" w:right="75"/>
              <w:rPr>
                <w:sz w:val="18"/>
              </w:rPr>
            </w:pPr>
            <w:r>
              <w:rPr>
                <w:sz w:val="18"/>
              </w:rPr>
              <w:t>126,505</w:t>
            </w:r>
          </w:p>
        </w:tc>
        <w:tc>
          <w:tcPr>
            <w:tcW w:w="1001" w:type="dxa"/>
          </w:tcPr>
          <w:p>
            <w:pPr>
              <w:pStyle w:val="TableParagraph"/>
              <w:spacing w:before="58"/>
              <w:ind w:left="73" w:right="74"/>
              <w:rPr>
                <w:sz w:val="18"/>
              </w:rPr>
            </w:pPr>
            <w:r>
              <w:rPr>
                <w:sz w:val="18"/>
              </w:rPr>
              <w:t>141,482</w:t>
            </w:r>
          </w:p>
        </w:tc>
        <w:tc>
          <w:tcPr>
            <w:tcW w:w="1001" w:type="dxa"/>
          </w:tcPr>
          <w:p>
            <w:pPr>
              <w:pStyle w:val="TableParagraph"/>
              <w:spacing w:before="58"/>
              <w:ind w:left="75" w:right="75"/>
              <w:rPr>
                <w:sz w:val="18"/>
              </w:rPr>
            </w:pPr>
            <w:r>
              <w:rPr>
                <w:sz w:val="18"/>
              </w:rPr>
              <w:t>144,043</w:t>
            </w:r>
          </w:p>
        </w:tc>
      </w:tr>
      <w:tr>
        <w:trPr>
          <w:trHeight w:val="310" w:hRule="exact"/>
        </w:trPr>
        <w:tc>
          <w:tcPr>
            <w:tcW w:w="3507" w:type="dxa"/>
          </w:tcPr>
          <w:p>
            <w:pPr>
              <w:pStyle w:val="TableParagraph"/>
              <w:spacing w:before="22"/>
              <w:ind w:left="64"/>
              <w:jc w:val="left"/>
              <w:rPr>
                <w:b/>
                <w:sz w:val="18"/>
              </w:rPr>
            </w:pPr>
            <w:r>
              <w:rPr>
                <w:b/>
                <w:color w:val="333333"/>
                <w:sz w:val="18"/>
              </w:rPr>
              <w:t>JALTENCO</w:t>
            </w:r>
          </w:p>
        </w:tc>
        <w:tc>
          <w:tcPr>
            <w:tcW w:w="1001" w:type="dxa"/>
          </w:tcPr>
          <w:p>
            <w:pPr>
              <w:pStyle w:val="TableParagraph"/>
              <w:spacing w:before="58"/>
              <w:ind w:left="73" w:right="75"/>
              <w:rPr>
                <w:sz w:val="18"/>
              </w:rPr>
            </w:pPr>
            <w:r>
              <w:rPr>
                <w:sz w:val="18"/>
              </w:rPr>
              <w:t>26,359</w:t>
            </w:r>
          </w:p>
        </w:tc>
        <w:tc>
          <w:tcPr>
            <w:tcW w:w="1001" w:type="dxa"/>
          </w:tcPr>
          <w:p>
            <w:pPr>
              <w:pStyle w:val="TableParagraph"/>
              <w:spacing w:before="58"/>
              <w:ind w:left="73" w:right="74"/>
              <w:rPr>
                <w:sz w:val="18"/>
              </w:rPr>
            </w:pPr>
            <w:r>
              <w:rPr>
                <w:sz w:val="18"/>
              </w:rPr>
              <w:t>26,328</w:t>
            </w:r>
          </w:p>
        </w:tc>
        <w:tc>
          <w:tcPr>
            <w:tcW w:w="1001" w:type="dxa"/>
          </w:tcPr>
          <w:p>
            <w:pPr>
              <w:pStyle w:val="TableParagraph"/>
              <w:spacing w:before="58"/>
              <w:ind w:left="75" w:right="75"/>
              <w:rPr>
                <w:sz w:val="18"/>
              </w:rPr>
            </w:pPr>
            <w:r>
              <w:rPr>
                <w:sz w:val="18"/>
              </w:rPr>
              <w:t>26,226</w:t>
            </w:r>
          </w:p>
        </w:tc>
      </w:tr>
      <w:tr>
        <w:trPr>
          <w:trHeight w:val="310" w:hRule="exact"/>
        </w:trPr>
        <w:tc>
          <w:tcPr>
            <w:tcW w:w="3507" w:type="dxa"/>
          </w:tcPr>
          <w:p>
            <w:pPr>
              <w:pStyle w:val="TableParagraph"/>
              <w:spacing w:before="23"/>
              <w:ind w:left="64"/>
              <w:jc w:val="left"/>
              <w:rPr>
                <w:b/>
                <w:sz w:val="18"/>
              </w:rPr>
            </w:pPr>
            <w:r>
              <w:rPr>
                <w:b/>
                <w:color w:val="333333"/>
                <w:sz w:val="18"/>
              </w:rPr>
              <w:t>JILOTEPEC</w:t>
            </w:r>
          </w:p>
        </w:tc>
        <w:tc>
          <w:tcPr>
            <w:tcW w:w="1001" w:type="dxa"/>
          </w:tcPr>
          <w:p>
            <w:pPr>
              <w:pStyle w:val="TableParagraph"/>
              <w:spacing w:before="59"/>
              <w:ind w:left="73" w:right="75"/>
              <w:rPr>
                <w:sz w:val="18"/>
              </w:rPr>
            </w:pPr>
            <w:r>
              <w:rPr>
                <w:sz w:val="18"/>
              </w:rPr>
              <w:t>71,624</w:t>
            </w:r>
          </w:p>
        </w:tc>
        <w:tc>
          <w:tcPr>
            <w:tcW w:w="1001" w:type="dxa"/>
          </w:tcPr>
          <w:p>
            <w:pPr>
              <w:pStyle w:val="TableParagraph"/>
              <w:spacing w:before="59"/>
              <w:ind w:left="73" w:right="74"/>
              <w:rPr>
                <w:sz w:val="18"/>
              </w:rPr>
            </w:pPr>
            <w:r>
              <w:rPr>
                <w:sz w:val="18"/>
              </w:rPr>
              <w:t>83,755</w:t>
            </w:r>
          </w:p>
        </w:tc>
        <w:tc>
          <w:tcPr>
            <w:tcW w:w="1001" w:type="dxa"/>
          </w:tcPr>
          <w:p>
            <w:pPr>
              <w:pStyle w:val="TableParagraph"/>
              <w:spacing w:before="59"/>
              <w:ind w:left="75" w:right="75"/>
              <w:rPr>
                <w:sz w:val="18"/>
              </w:rPr>
            </w:pPr>
            <w:r>
              <w:rPr>
                <w:sz w:val="18"/>
              </w:rPr>
              <w:t>85,246</w:t>
            </w:r>
          </w:p>
        </w:tc>
      </w:tr>
      <w:tr>
        <w:trPr>
          <w:trHeight w:val="310" w:hRule="exact"/>
        </w:trPr>
        <w:tc>
          <w:tcPr>
            <w:tcW w:w="3507" w:type="dxa"/>
          </w:tcPr>
          <w:p>
            <w:pPr>
              <w:pStyle w:val="TableParagraph"/>
              <w:spacing w:before="22"/>
              <w:ind w:left="64"/>
              <w:jc w:val="left"/>
              <w:rPr>
                <w:b/>
                <w:sz w:val="18"/>
              </w:rPr>
            </w:pPr>
            <w:r>
              <w:rPr>
                <w:b/>
                <w:color w:val="333333"/>
                <w:sz w:val="18"/>
              </w:rPr>
              <w:t>JILOTZINGO</w:t>
            </w:r>
          </w:p>
        </w:tc>
        <w:tc>
          <w:tcPr>
            <w:tcW w:w="1001" w:type="dxa"/>
          </w:tcPr>
          <w:p>
            <w:pPr>
              <w:pStyle w:val="TableParagraph"/>
              <w:spacing w:before="58"/>
              <w:ind w:left="73" w:right="75"/>
              <w:rPr>
                <w:sz w:val="18"/>
              </w:rPr>
            </w:pPr>
            <w:r>
              <w:rPr>
                <w:sz w:val="18"/>
              </w:rPr>
              <w:t>13,825</w:t>
            </w:r>
          </w:p>
        </w:tc>
        <w:tc>
          <w:tcPr>
            <w:tcW w:w="1001" w:type="dxa"/>
          </w:tcPr>
          <w:p>
            <w:pPr>
              <w:pStyle w:val="TableParagraph"/>
              <w:spacing w:before="58"/>
              <w:ind w:left="73" w:right="74"/>
              <w:rPr>
                <w:sz w:val="18"/>
              </w:rPr>
            </w:pPr>
            <w:r>
              <w:rPr>
                <w:sz w:val="18"/>
              </w:rPr>
              <w:t>17,970</w:t>
            </w:r>
          </w:p>
        </w:tc>
        <w:tc>
          <w:tcPr>
            <w:tcW w:w="1001" w:type="dxa"/>
          </w:tcPr>
          <w:p>
            <w:pPr>
              <w:pStyle w:val="TableParagraph"/>
              <w:spacing w:before="58"/>
              <w:ind w:left="75" w:right="75"/>
              <w:rPr>
                <w:sz w:val="18"/>
              </w:rPr>
            </w:pPr>
            <w:r>
              <w:rPr>
                <w:sz w:val="18"/>
              </w:rPr>
              <w:t>18,224</w:t>
            </w:r>
          </w:p>
        </w:tc>
      </w:tr>
      <w:tr>
        <w:trPr>
          <w:trHeight w:val="310" w:hRule="exact"/>
        </w:trPr>
        <w:tc>
          <w:tcPr>
            <w:tcW w:w="3507" w:type="dxa"/>
          </w:tcPr>
          <w:p>
            <w:pPr>
              <w:pStyle w:val="TableParagraph"/>
              <w:spacing w:before="22"/>
              <w:ind w:left="64"/>
              <w:jc w:val="left"/>
              <w:rPr>
                <w:b/>
                <w:sz w:val="18"/>
              </w:rPr>
            </w:pPr>
            <w:r>
              <w:rPr>
                <w:b/>
                <w:color w:val="333333"/>
                <w:sz w:val="18"/>
              </w:rPr>
              <w:t>JIQUIPILCO</w:t>
            </w:r>
          </w:p>
        </w:tc>
        <w:tc>
          <w:tcPr>
            <w:tcW w:w="1001" w:type="dxa"/>
          </w:tcPr>
          <w:p>
            <w:pPr>
              <w:pStyle w:val="TableParagraph"/>
              <w:spacing w:before="58"/>
              <w:ind w:left="73" w:right="75"/>
              <w:rPr>
                <w:sz w:val="18"/>
              </w:rPr>
            </w:pPr>
            <w:r>
              <w:rPr>
                <w:sz w:val="18"/>
              </w:rPr>
              <w:t>59,969</w:t>
            </w:r>
          </w:p>
        </w:tc>
        <w:tc>
          <w:tcPr>
            <w:tcW w:w="1001" w:type="dxa"/>
          </w:tcPr>
          <w:p>
            <w:pPr>
              <w:pStyle w:val="TableParagraph"/>
              <w:spacing w:before="58"/>
              <w:ind w:left="73" w:right="74"/>
              <w:rPr>
                <w:sz w:val="18"/>
              </w:rPr>
            </w:pPr>
            <w:r>
              <w:rPr>
                <w:sz w:val="18"/>
              </w:rPr>
              <w:t>69,031</w:t>
            </w:r>
          </w:p>
        </w:tc>
        <w:tc>
          <w:tcPr>
            <w:tcW w:w="1001" w:type="dxa"/>
          </w:tcPr>
          <w:p>
            <w:pPr>
              <w:pStyle w:val="TableParagraph"/>
              <w:spacing w:before="58"/>
              <w:ind w:left="75" w:right="75"/>
              <w:rPr>
                <w:sz w:val="18"/>
              </w:rPr>
            </w:pPr>
            <w:r>
              <w:rPr>
                <w:sz w:val="18"/>
              </w:rPr>
              <w:t>70,214</w:t>
            </w:r>
          </w:p>
        </w:tc>
      </w:tr>
      <w:tr>
        <w:trPr>
          <w:trHeight w:val="312" w:hRule="exact"/>
        </w:trPr>
        <w:tc>
          <w:tcPr>
            <w:tcW w:w="3507" w:type="dxa"/>
          </w:tcPr>
          <w:p>
            <w:pPr>
              <w:pStyle w:val="TableParagraph"/>
              <w:spacing w:before="25"/>
              <w:ind w:left="64"/>
              <w:jc w:val="left"/>
              <w:rPr>
                <w:b/>
                <w:sz w:val="18"/>
              </w:rPr>
            </w:pPr>
            <w:r>
              <w:rPr>
                <w:b/>
                <w:color w:val="333333"/>
                <w:sz w:val="18"/>
              </w:rPr>
              <w:t>JOCOTITLAN</w:t>
            </w:r>
          </w:p>
        </w:tc>
        <w:tc>
          <w:tcPr>
            <w:tcW w:w="1001" w:type="dxa"/>
          </w:tcPr>
          <w:p>
            <w:pPr>
              <w:pStyle w:val="TableParagraph"/>
              <w:spacing w:before="58"/>
              <w:ind w:left="73" w:right="75"/>
              <w:rPr>
                <w:sz w:val="18"/>
              </w:rPr>
            </w:pPr>
            <w:r>
              <w:rPr>
                <w:sz w:val="18"/>
              </w:rPr>
              <w:t>55,403</w:t>
            </w:r>
          </w:p>
        </w:tc>
        <w:tc>
          <w:tcPr>
            <w:tcW w:w="1001" w:type="dxa"/>
          </w:tcPr>
          <w:p>
            <w:pPr>
              <w:pStyle w:val="TableParagraph"/>
              <w:spacing w:before="58"/>
              <w:ind w:left="73" w:right="74"/>
              <w:rPr>
                <w:sz w:val="18"/>
              </w:rPr>
            </w:pPr>
            <w:r>
              <w:rPr>
                <w:sz w:val="18"/>
              </w:rPr>
              <w:t>61,204</w:t>
            </w:r>
          </w:p>
        </w:tc>
        <w:tc>
          <w:tcPr>
            <w:tcW w:w="1001" w:type="dxa"/>
          </w:tcPr>
          <w:p>
            <w:pPr>
              <w:pStyle w:val="TableParagraph"/>
              <w:spacing w:before="58"/>
              <w:ind w:left="75" w:right="75"/>
              <w:rPr>
                <w:sz w:val="18"/>
              </w:rPr>
            </w:pPr>
            <w:r>
              <w:rPr>
                <w:sz w:val="18"/>
              </w:rPr>
              <w:t>61,978</w:t>
            </w:r>
          </w:p>
        </w:tc>
      </w:tr>
      <w:tr>
        <w:trPr>
          <w:trHeight w:val="310" w:hRule="exact"/>
        </w:trPr>
        <w:tc>
          <w:tcPr>
            <w:tcW w:w="3507" w:type="dxa"/>
          </w:tcPr>
          <w:p>
            <w:pPr>
              <w:pStyle w:val="TableParagraph"/>
              <w:spacing w:before="22"/>
              <w:ind w:left="64"/>
              <w:jc w:val="left"/>
              <w:rPr>
                <w:b/>
                <w:sz w:val="18"/>
              </w:rPr>
            </w:pPr>
            <w:r>
              <w:rPr>
                <w:b/>
                <w:color w:val="333333"/>
                <w:sz w:val="18"/>
              </w:rPr>
              <w:t>JOQUICINGO</w:t>
            </w:r>
          </w:p>
        </w:tc>
        <w:tc>
          <w:tcPr>
            <w:tcW w:w="1001" w:type="dxa"/>
          </w:tcPr>
          <w:p>
            <w:pPr>
              <w:pStyle w:val="TableParagraph"/>
              <w:spacing w:before="58"/>
              <w:ind w:left="73" w:right="75"/>
              <w:rPr>
                <w:sz w:val="18"/>
              </w:rPr>
            </w:pPr>
            <w:r>
              <w:rPr>
                <w:sz w:val="18"/>
              </w:rPr>
              <w:t>11,042</w:t>
            </w:r>
          </w:p>
        </w:tc>
        <w:tc>
          <w:tcPr>
            <w:tcW w:w="1001" w:type="dxa"/>
          </w:tcPr>
          <w:p>
            <w:pPr>
              <w:pStyle w:val="TableParagraph"/>
              <w:spacing w:before="58"/>
              <w:ind w:left="73" w:right="74"/>
              <w:rPr>
                <w:sz w:val="18"/>
              </w:rPr>
            </w:pPr>
            <w:r>
              <w:rPr>
                <w:sz w:val="18"/>
              </w:rPr>
              <w:t>12,840</w:t>
            </w:r>
          </w:p>
        </w:tc>
        <w:tc>
          <w:tcPr>
            <w:tcW w:w="1001" w:type="dxa"/>
          </w:tcPr>
          <w:p>
            <w:pPr>
              <w:pStyle w:val="TableParagraph"/>
              <w:spacing w:before="58"/>
              <w:ind w:left="75" w:right="75"/>
              <w:rPr>
                <w:sz w:val="18"/>
              </w:rPr>
            </w:pPr>
            <w:r>
              <w:rPr>
                <w:sz w:val="18"/>
              </w:rPr>
              <w:t>13,031</w:t>
            </w:r>
          </w:p>
        </w:tc>
      </w:tr>
      <w:tr>
        <w:trPr>
          <w:trHeight w:val="310" w:hRule="exact"/>
        </w:trPr>
        <w:tc>
          <w:tcPr>
            <w:tcW w:w="3507" w:type="dxa"/>
          </w:tcPr>
          <w:p>
            <w:pPr>
              <w:pStyle w:val="TableParagraph"/>
              <w:spacing w:before="22"/>
              <w:ind w:left="64"/>
              <w:jc w:val="left"/>
              <w:rPr>
                <w:b/>
                <w:sz w:val="18"/>
              </w:rPr>
            </w:pPr>
            <w:r>
              <w:rPr>
                <w:b/>
                <w:color w:val="333333"/>
                <w:sz w:val="18"/>
              </w:rPr>
              <w:t>JUCHITEPEC</w:t>
            </w:r>
          </w:p>
        </w:tc>
        <w:tc>
          <w:tcPr>
            <w:tcW w:w="1001" w:type="dxa"/>
          </w:tcPr>
          <w:p>
            <w:pPr>
              <w:pStyle w:val="TableParagraph"/>
              <w:spacing w:before="58"/>
              <w:ind w:left="73" w:right="75"/>
              <w:rPr>
                <w:sz w:val="18"/>
              </w:rPr>
            </w:pPr>
            <w:r>
              <w:rPr>
                <w:sz w:val="18"/>
              </w:rPr>
              <w:t>21,017</w:t>
            </w:r>
          </w:p>
        </w:tc>
        <w:tc>
          <w:tcPr>
            <w:tcW w:w="1001" w:type="dxa"/>
          </w:tcPr>
          <w:p>
            <w:pPr>
              <w:pStyle w:val="TableParagraph"/>
              <w:spacing w:before="58"/>
              <w:ind w:left="73" w:right="74"/>
              <w:rPr>
                <w:sz w:val="18"/>
              </w:rPr>
            </w:pPr>
            <w:r>
              <w:rPr>
                <w:sz w:val="18"/>
              </w:rPr>
              <w:t>23,497</w:t>
            </w:r>
          </w:p>
        </w:tc>
        <w:tc>
          <w:tcPr>
            <w:tcW w:w="1001" w:type="dxa"/>
          </w:tcPr>
          <w:p>
            <w:pPr>
              <w:pStyle w:val="TableParagraph"/>
              <w:spacing w:before="58"/>
              <w:ind w:left="75" w:right="75"/>
              <w:rPr>
                <w:sz w:val="18"/>
              </w:rPr>
            </w:pPr>
            <w:r>
              <w:rPr>
                <w:sz w:val="18"/>
              </w:rPr>
              <w:t>23,948</w:t>
            </w:r>
          </w:p>
        </w:tc>
      </w:tr>
      <w:tr>
        <w:trPr>
          <w:trHeight w:val="310" w:hRule="exact"/>
        </w:trPr>
        <w:tc>
          <w:tcPr>
            <w:tcW w:w="3507" w:type="dxa"/>
          </w:tcPr>
          <w:p>
            <w:pPr>
              <w:pStyle w:val="TableParagraph"/>
              <w:spacing w:before="22"/>
              <w:ind w:left="64"/>
              <w:jc w:val="left"/>
              <w:rPr>
                <w:b/>
                <w:sz w:val="18"/>
              </w:rPr>
            </w:pPr>
            <w:r>
              <w:rPr>
                <w:b/>
                <w:color w:val="333333"/>
                <w:sz w:val="18"/>
              </w:rPr>
              <w:t>LA PAZ</w:t>
            </w:r>
          </w:p>
        </w:tc>
        <w:tc>
          <w:tcPr>
            <w:tcW w:w="1001" w:type="dxa"/>
          </w:tcPr>
          <w:p>
            <w:pPr>
              <w:pStyle w:val="TableParagraph"/>
              <w:spacing w:before="58"/>
              <w:ind w:left="73" w:right="75"/>
              <w:rPr>
                <w:sz w:val="18"/>
              </w:rPr>
            </w:pPr>
            <w:r>
              <w:rPr>
                <w:sz w:val="18"/>
              </w:rPr>
              <w:t>232,546</w:t>
            </w:r>
          </w:p>
        </w:tc>
        <w:tc>
          <w:tcPr>
            <w:tcW w:w="1001" w:type="dxa"/>
          </w:tcPr>
          <w:p>
            <w:pPr>
              <w:pStyle w:val="TableParagraph"/>
              <w:spacing w:before="58"/>
              <w:ind w:left="73" w:right="74"/>
              <w:rPr>
                <w:sz w:val="18"/>
              </w:rPr>
            </w:pPr>
            <w:r>
              <w:rPr>
                <w:sz w:val="18"/>
              </w:rPr>
              <w:t>253,845</w:t>
            </w:r>
          </w:p>
        </w:tc>
        <w:tc>
          <w:tcPr>
            <w:tcW w:w="1001" w:type="dxa"/>
          </w:tcPr>
          <w:p>
            <w:pPr>
              <w:pStyle w:val="TableParagraph"/>
              <w:spacing w:before="58"/>
              <w:ind w:left="75" w:right="75"/>
              <w:rPr>
                <w:sz w:val="18"/>
              </w:rPr>
            </w:pPr>
            <w:r>
              <w:rPr>
                <w:sz w:val="18"/>
              </w:rPr>
              <w:t>257,494</w:t>
            </w:r>
          </w:p>
        </w:tc>
      </w:tr>
      <w:tr>
        <w:trPr>
          <w:trHeight w:val="310" w:hRule="exact"/>
        </w:trPr>
        <w:tc>
          <w:tcPr>
            <w:tcW w:w="3507" w:type="dxa"/>
          </w:tcPr>
          <w:p>
            <w:pPr>
              <w:pStyle w:val="TableParagraph"/>
              <w:spacing w:before="22"/>
              <w:ind w:left="64"/>
              <w:jc w:val="left"/>
              <w:rPr>
                <w:b/>
                <w:sz w:val="18"/>
              </w:rPr>
            </w:pPr>
            <w:r>
              <w:rPr>
                <w:b/>
                <w:color w:val="333333"/>
                <w:sz w:val="18"/>
              </w:rPr>
              <w:t>LERMA</w:t>
            </w:r>
          </w:p>
        </w:tc>
        <w:tc>
          <w:tcPr>
            <w:tcW w:w="1001" w:type="dxa"/>
          </w:tcPr>
          <w:p>
            <w:pPr>
              <w:pStyle w:val="TableParagraph"/>
              <w:spacing w:before="58"/>
              <w:ind w:left="73" w:right="75"/>
              <w:rPr>
                <w:sz w:val="18"/>
              </w:rPr>
            </w:pPr>
            <w:r>
              <w:rPr>
                <w:sz w:val="18"/>
              </w:rPr>
              <w:t>105,578</w:t>
            </w:r>
          </w:p>
        </w:tc>
        <w:tc>
          <w:tcPr>
            <w:tcW w:w="1001" w:type="dxa"/>
          </w:tcPr>
          <w:p>
            <w:pPr>
              <w:pStyle w:val="TableParagraph"/>
              <w:spacing w:before="58"/>
              <w:ind w:left="73" w:right="74"/>
              <w:rPr>
                <w:sz w:val="18"/>
              </w:rPr>
            </w:pPr>
            <w:r>
              <w:rPr>
                <w:sz w:val="18"/>
              </w:rPr>
              <w:t>134,799</w:t>
            </w:r>
          </w:p>
        </w:tc>
        <w:tc>
          <w:tcPr>
            <w:tcW w:w="1001" w:type="dxa"/>
          </w:tcPr>
          <w:p>
            <w:pPr>
              <w:pStyle w:val="TableParagraph"/>
              <w:spacing w:before="58"/>
              <w:ind w:left="75" w:right="75"/>
              <w:rPr>
                <w:sz w:val="18"/>
              </w:rPr>
            </w:pPr>
            <w:r>
              <w:rPr>
                <w:sz w:val="18"/>
              </w:rPr>
              <w:t>138,887</w:t>
            </w:r>
          </w:p>
        </w:tc>
      </w:tr>
      <w:tr>
        <w:trPr>
          <w:trHeight w:val="310" w:hRule="exact"/>
        </w:trPr>
        <w:tc>
          <w:tcPr>
            <w:tcW w:w="3507" w:type="dxa"/>
          </w:tcPr>
          <w:p>
            <w:pPr>
              <w:pStyle w:val="TableParagraph"/>
              <w:spacing w:before="22"/>
              <w:ind w:left="64"/>
              <w:jc w:val="left"/>
              <w:rPr>
                <w:b/>
                <w:sz w:val="18"/>
              </w:rPr>
            </w:pPr>
            <w:r>
              <w:rPr>
                <w:b/>
                <w:color w:val="333333"/>
                <w:sz w:val="18"/>
              </w:rPr>
              <w:t>LUVIANOS</w:t>
            </w:r>
          </w:p>
        </w:tc>
        <w:tc>
          <w:tcPr>
            <w:tcW w:w="1001" w:type="dxa"/>
          </w:tcPr>
          <w:p>
            <w:pPr>
              <w:pStyle w:val="TableParagraph"/>
              <w:spacing w:before="58"/>
              <w:ind w:left="73" w:right="75"/>
              <w:rPr>
                <w:sz w:val="18"/>
              </w:rPr>
            </w:pPr>
            <w:r>
              <w:rPr>
                <w:sz w:val="18"/>
              </w:rPr>
              <w:t>28,213</w:t>
            </w:r>
          </w:p>
        </w:tc>
        <w:tc>
          <w:tcPr>
            <w:tcW w:w="1001" w:type="dxa"/>
          </w:tcPr>
          <w:p>
            <w:pPr>
              <w:pStyle w:val="TableParagraph"/>
              <w:spacing w:before="58"/>
              <w:ind w:left="73" w:right="74"/>
              <w:rPr>
                <w:sz w:val="18"/>
              </w:rPr>
            </w:pPr>
            <w:r>
              <w:rPr>
                <w:sz w:val="18"/>
              </w:rPr>
              <w:t>27,781</w:t>
            </w:r>
          </w:p>
        </w:tc>
        <w:tc>
          <w:tcPr>
            <w:tcW w:w="1001" w:type="dxa"/>
          </w:tcPr>
          <w:p>
            <w:pPr>
              <w:pStyle w:val="TableParagraph"/>
              <w:spacing w:before="58"/>
              <w:ind w:left="75" w:right="75"/>
              <w:rPr>
                <w:sz w:val="18"/>
              </w:rPr>
            </w:pPr>
            <w:r>
              <w:rPr>
                <w:sz w:val="18"/>
              </w:rPr>
              <w:t>27,296</w:t>
            </w:r>
          </w:p>
        </w:tc>
      </w:tr>
      <w:tr>
        <w:trPr>
          <w:trHeight w:val="312" w:hRule="exact"/>
        </w:trPr>
        <w:tc>
          <w:tcPr>
            <w:tcW w:w="3507" w:type="dxa"/>
          </w:tcPr>
          <w:p>
            <w:pPr>
              <w:pStyle w:val="TableParagraph"/>
              <w:spacing w:before="25"/>
              <w:ind w:left="64"/>
              <w:jc w:val="left"/>
              <w:rPr>
                <w:b/>
                <w:sz w:val="18"/>
              </w:rPr>
            </w:pPr>
            <w:r>
              <w:rPr>
                <w:b/>
                <w:color w:val="333333"/>
                <w:sz w:val="18"/>
              </w:rPr>
              <w:t>MALINALCO</w:t>
            </w:r>
          </w:p>
        </w:tc>
        <w:tc>
          <w:tcPr>
            <w:tcW w:w="1001" w:type="dxa"/>
          </w:tcPr>
          <w:p>
            <w:pPr>
              <w:pStyle w:val="TableParagraph"/>
              <w:spacing w:before="58"/>
              <w:ind w:left="73" w:right="75"/>
              <w:rPr>
                <w:sz w:val="18"/>
              </w:rPr>
            </w:pPr>
            <w:r>
              <w:rPr>
                <w:sz w:val="18"/>
              </w:rPr>
              <w:t>22,970</w:t>
            </w:r>
          </w:p>
        </w:tc>
        <w:tc>
          <w:tcPr>
            <w:tcW w:w="1001" w:type="dxa"/>
          </w:tcPr>
          <w:p>
            <w:pPr>
              <w:pStyle w:val="TableParagraph"/>
              <w:spacing w:before="58"/>
              <w:ind w:left="73" w:right="74"/>
              <w:rPr>
                <w:sz w:val="18"/>
              </w:rPr>
            </w:pPr>
            <w:r>
              <w:rPr>
                <w:sz w:val="18"/>
              </w:rPr>
              <w:t>25,624</w:t>
            </w:r>
          </w:p>
        </w:tc>
        <w:tc>
          <w:tcPr>
            <w:tcW w:w="1001" w:type="dxa"/>
          </w:tcPr>
          <w:p>
            <w:pPr>
              <w:pStyle w:val="TableParagraph"/>
              <w:spacing w:before="58"/>
              <w:ind w:left="75" w:right="75"/>
              <w:rPr>
                <w:sz w:val="18"/>
              </w:rPr>
            </w:pPr>
            <w:r>
              <w:rPr>
                <w:sz w:val="18"/>
              </w:rPr>
              <w:t>25,956</w:t>
            </w:r>
          </w:p>
        </w:tc>
      </w:tr>
      <w:tr>
        <w:trPr>
          <w:trHeight w:val="310" w:hRule="exact"/>
        </w:trPr>
        <w:tc>
          <w:tcPr>
            <w:tcW w:w="3507" w:type="dxa"/>
          </w:tcPr>
          <w:p>
            <w:pPr>
              <w:pStyle w:val="TableParagraph"/>
              <w:spacing w:before="22"/>
              <w:ind w:left="64"/>
              <w:jc w:val="left"/>
              <w:rPr>
                <w:b/>
                <w:sz w:val="18"/>
              </w:rPr>
            </w:pPr>
            <w:r>
              <w:rPr>
                <w:b/>
                <w:color w:val="333333"/>
                <w:sz w:val="18"/>
              </w:rPr>
              <w:t>MELCHOR OCAMPO</w:t>
            </w:r>
          </w:p>
        </w:tc>
        <w:tc>
          <w:tcPr>
            <w:tcW w:w="1001" w:type="dxa"/>
          </w:tcPr>
          <w:p>
            <w:pPr>
              <w:pStyle w:val="TableParagraph"/>
              <w:spacing w:before="58"/>
              <w:ind w:left="73" w:right="75"/>
              <w:rPr>
                <w:sz w:val="18"/>
              </w:rPr>
            </w:pPr>
            <w:r>
              <w:rPr>
                <w:sz w:val="18"/>
              </w:rPr>
              <w:t>37,706</w:t>
            </w:r>
          </w:p>
        </w:tc>
        <w:tc>
          <w:tcPr>
            <w:tcW w:w="1001" w:type="dxa"/>
          </w:tcPr>
          <w:p>
            <w:pPr>
              <w:pStyle w:val="TableParagraph"/>
              <w:spacing w:before="58"/>
              <w:ind w:left="73" w:right="74"/>
              <w:rPr>
                <w:sz w:val="18"/>
              </w:rPr>
            </w:pPr>
            <w:r>
              <w:rPr>
                <w:sz w:val="18"/>
              </w:rPr>
              <w:t>50,240</w:t>
            </w:r>
          </w:p>
        </w:tc>
        <w:tc>
          <w:tcPr>
            <w:tcW w:w="1001" w:type="dxa"/>
          </w:tcPr>
          <w:p>
            <w:pPr>
              <w:pStyle w:val="TableParagraph"/>
              <w:spacing w:before="58"/>
              <w:ind w:left="75" w:right="75"/>
              <w:rPr>
                <w:sz w:val="18"/>
              </w:rPr>
            </w:pPr>
            <w:r>
              <w:rPr>
                <w:sz w:val="18"/>
              </w:rPr>
              <w:t>51,677</w:t>
            </w:r>
          </w:p>
        </w:tc>
      </w:tr>
      <w:tr>
        <w:trPr>
          <w:trHeight w:val="310" w:hRule="exact"/>
        </w:trPr>
        <w:tc>
          <w:tcPr>
            <w:tcW w:w="3507" w:type="dxa"/>
          </w:tcPr>
          <w:p>
            <w:pPr>
              <w:pStyle w:val="TableParagraph"/>
              <w:spacing w:before="23"/>
              <w:ind w:left="64"/>
              <w:jc w:val="left"/>
              <w:rPr>
                <w:b/>
                <w:sz w:val="18"/>
              </w:rPr>
            </w:pPr>
            <w:r>
              <w:rPr>
                <w:b/>
                <w:color w:val="333333"/>
                <w:sz w:val="18"/>
              </w:rPr>
              <w:t>METEPEC</w:t>
            </w:r>
          </w:p>
        </w:tc>
        <w:tc>
          <w:tcPr>
            <w:tcW w:w="1001" w:type="dxa"/>
          </w:tcPr>
          <w:p>
            <w:pPr>
              <w:pStyle w:val="TableParagraph"/>
              <w:spacing w:before="59"/>
              <w:ind w:left="73" w:right="75"/>
              <w:rPr>
                <w:sz w:val="18"/>
              </w:rPr>
            </w:pPr>
            <w:r>
              <w:rPr>
                <w:sz w:val="18"/>
              </w:rPr>
              <w:t>206,005</w:t>
            </w:r>
          </w:p>
        </w:tc>
        <w:tc>
          <w:tcPr>
            <w:tcW w:w="1001" w:type="dxa"/>
          </w:tcPr>
          <w:p>
            <w:pPr>
              <w:pStyle w:val="TableParagraph"/>
              <w:spacing w:before="59"/>
              <w:ind w:left="73" w:right="74"/>
              <w:rPr>
                <w:sz w:val="18"/>
              </w:rPr>
            </w:pPr>
            <w:r>
              <w:rPr>
                <w:sz w:val="18"/>
              </w:rPr>
              <w:t>214,162</w:t>
            </w:r>
          </w:p>
        </w:tc>
        <w:tc>
          <w:tcPr>
            <w:tcW w:w="1001" w:type="dxa"/>
          </w:tcPr>
          <w:p>
            <w:pPr>
              <w:pStyle w:val="TableParagraph"/>
              <w:spacing w:before="59"/>
              <w:ind w:left="75" w:right="75"/>
              <w:rPr>
                <w:sz w:val="18"/>
              </w:rPr>
            </w:pPr>
            <w:r>
              <w:rPr>
                <w:sz w:val="18"/>
              </w:rPr>
              <w:t>215,041</w:t>
            </w:r>
          </w:p>
        </w:tc>
      </w:tr>
      <w:tr>
        <w:trPr>
          <w:trHeight w:val="310" w:hRule="exact"/>
        </w:trPr>
        <w:tc>
          <w:tcPr>
            <w:tcW w:w="3507" w:type="dxa"/>
          </w:tcPr>
          <w:p>
            <w:pPr>
              <w:pStyle w:val="TableParagraph"/>
              <w:spacing w:before="22"/>
              <w:ind w:left="64"/>
              <w:jc w:val="left"/>
              <w:rPr>
                <w:b/>
                <w:sz w:val="18"/>
              </w:rPr>
            </w:pPr>
            <w:r>
              <w:rPr>
                <w:b/>
                <w:color w:val="333333"/>
                <w:sz w:val="18"/>
              </w:rPr>
              <w:t>MEXICALTCINGO</w:t>
            </w:r>
          </w:p>
        </w:tc>
        <w:tc>
          <w:tcPr>
            <w:tcW w:w="1001" w:type="dxa"/>
          </w:tcPr>
          <w:p>
            <w:pPr>
              <w:pStyle w:val="TableParagraph"/>
              <w:spacing w:before="58"/>
              <w:ind w:left="73" w:right="75"/>
              <w:rPr>
                <w:sz w:val="18"/>
              </w:rPr>
            </w:pPr>
            <w:r>
              <w:rPr>
                <w:sz w:val="18"/>
              </w:rPr>
              <w:t>10,161</w:t>
            </w:r>
          </w:p>
        </w:tc>
        <w:tc>
          <w:tcPr>
            <w:tcW w:w="1001" w:type="dxa"/>
          </w:tcPr>
          <w:p>
            <w:pPr>
              <w:pStyle w:val="TableParagraph"/>
              <w:spacing w:before="58"/>
              <w:ind w:left="73" w:right="74"/>
              <w:rPr>
                <w:sz w:val="18"/>
              </w:rPr>
            </w:pPr>
            <w:r>
              <w:rPr>
                <w:sz w:val="18"/>
              </w:rPr>
              <w:t>11,712</w:t>
            </w:r>
          </w:p>
        </w:tc>
        <w:tc>
          <w:tcPr>
            <w:tcW w:w="1001" w:type="dxa"/>
          </w:tcPr>
          <w:p>
            <w:pPr>
              <w:pStyle w:val="TableParagraph"/>
              <w:spacing w:before="58"/>
              <w:ind w:left="75" w:right="75"/>
              <w:rPr>
                <w:sz w:val="18"/>
              </w:rPr>
            </w:pPr>
            <w:r>
              <w:rPr>
                <w:sz w:val="18"/>
              </w:rPr>
              <w:t>11,974</w:t>
            </w:r>
          </w:p>
        </w:tc>
      </w:tr>
      <w:tr>
        <w:trPr>
          <w:trHeight w:val="310" w:hRule="exact"/>
        </w:trPr>
        <w:tc>
          <w:tcPr>
            <w:tcW w:w="3507" w:type="dxa"/>
          </w:tcPr>
          <w:p>
            <w:pPr>
              <w:pStyle w:val="TableParagraph"/>
              <w:spacing w:before="22"/>
              <w:ind w:left="64"/>
              <w:jc w:val="left"/>
              <w:rPr>
                <w:b/>
                <w:sz w:val="18"/>
              </w:rPr>
            </w:pPr>
            <w:r>
              <w:rPr>
                <w:b/>
                <w:color w:val="333333"/>
                <w:sz w:val="18"/>
              </w:rPr>
              <w:t>MORELOS</w:t>
            </w:r>
          </w:p>
        </w:tc>
        <w:tc>
          <w:tcPr>
            <w:tcW w:w="1001" w:type="dxa"/>
          </w:tcPr>
          <w:p>
            <w:pPr>
              <w:pStyle w:val="TableParagraph"/>
              <w:spacing w:before="58"/>
              <w:ind w:left="73" w:right="75"/>
              <w:rPr>
                <w:sz w:val="18"/>
              </w:rPr>
            </w:pPr>
            <w:r>
              <w:rPr>
                <w:sz w:val="18"/>
              </w:rPr>
              <w:t>26,430</w:t>
            </w:r>
          </w:p>
        </w:tc>
        <w:tc>
          <w:tcPr>
            <w:tcW w:w="1001" w:type="dxa"/>
          </w:tcPr>
          <w:p>
            <w:pPr>
              <w:pStyle w:val="TableParagraph"/>
              <w:spacing w:before="58"/>
              <w:ind w:left="73" w:right="74"/>
              <w:rPr>
                <w:sz w:val="18"/>
              </w:rPr>
            </w:pPr>
            <w:r>
              <w:rPr>
                <w:sz w:val="18"/>
              </w:rPr>
              <w:t>28,426</w:t>
            </w:r>
          </w:p>
        </w:tc>
        <w:tc>
          <w:tcPr>
            <w:tcW w:w="1001" w:type="dxa"/>
          </w:tcPr>
          <w:p>
            <w:pPr>
              <w:pStyle w:val="TableParagraph"/>
              <w:spacing w:before="58"/>
              <w:ind w:left="75" w:right="75"/>
              <w:rPr>
                <w:sz w:val="18"/>
              </w:rPr>
            </w:pPr>
            <w:r>
              <w:rPr>
                <w:sz w:val="18"/>
              </w:rPr>
              <w:t>28,384</w:t>
            </w:r>
          </w:p>
        </w:tc>
      </w:tr>
      <w:tr>
        <w:trPr>
          <w:trHeight w:val="310" w:hRule="exact"/>
        </w:trPr>
        <w:tc>
          <w:tcPr>
            <w:tcW w:w="3507" w:type="dxa"/>
          </w:tcPr>
          <w:p>
            <w:pPr>
              <w:pStyle w:val="TableParagraph"/>
              <w:spacing w:before="22"/>
              <w:ind w:left="64"/>
              <w:jc w:val="left"/>
              <w:rPr>
                <w:b/>
                <w:sz w:val="18"/>
              </w:rPr>
            </w:pPr>
            <w:r>
              <w:rPr>
                <w:b/>
                <w:color w:val="333333"/>
                <w:sz w:val="18"/>
              </w:rPr>
              <w:t>NAUCALPAN DE JUAREZ</w:t>
            </w:r>
          </w:p>
        </w:tc>
        <w:tc>
          <w:tcPr>
            <w:tcW w:w="1001" w:type="dxa"/>
          </w:tcPr>
          <w:p>
            <w:pPr>
              <w:pStyle w:val="TableParagraph"/>
              <w:spacing w:before="58"/>
              <w:ind w:left="73" w:right="75"/>
              <w:rPr>
                <w:sz w:val="18"/>
              </w:rPr>
            </w:pPr>
            <w:r>
              <w:rPr>
                <w:sz w:val="18"/>
              </w:rPr>
              <w:t>821,442</w:t>
            </w:r>
          </w:p>
        </w:tc>
        <w:tc>
          <w:tcPr>
            <w:tcW w:w="1001" w:type="dxa"/>
          </w:tcPr>
          <w:p>
            <w:pPr>
              <w:pStyle w:val="TableParagraph"/>
              <w:spacing w:before="58"/>
              <w:ind w:left="73" w:right="74"/>
              <w:rPr>
                <w:sz w:val="18"/>
              </w:rPr>
            </w:pPr>
            <w:r>
              <w:rPr>
                <w:sz w:val="18"/>
              </w:rPr>
              <w:t>833,779</w:t>
            </w:r>
          </w:p>
        </w:tc>
        <w:tc>
          <w:tcPr>
            <w:tcW w:w="1001" w:type="dxa"/>
          </w:tcPr>
          <w:p>
            <w:pPr>
              <w:pStyle w:val="TableParagraph"/>
              <w:spacing w:before="58"/>
              <w:ind w:left="75" w:right="75"/>
              <w:rPr>
                <w:sz w:val="18"/>
              </w:rPr>
            </w:pPr>
            <w:r>
              <w:rPr>
                <w:sz w:val="18"/>
              </w:rPr>
              <w:t>823,965</w:t>
            </w:r>
          </w:p>
        </w:tc>
      </w:tr>
      <w:tr>
        <w:trPr>
          <w:trHeight w:val="312" w:hRule="exact"/>
        </w:trPr>
        <w:tc>
          <w:tcPr>
            <w:tcW w:w="3507" w:type="dxa"/>
          </w:tcPr>
          <w:p>
            <w:pPr>
              <w:pStyle w:val="TableParagraph"/>
              <w:spacing w:before="25"/>
              <w:ind w:left="64"/>
              <w:jc w:val="left"/>
              <w:rPr>
                <w:b/>
                <w:sz w:val="18"/>
              </w:rPr>
            </w:pPr>
            <w:r>
              <w:rPr>
                <w:b/>
                <w:color w:val="333333"/>
                <w:sz w:val="18"/>
              </w:rPr>
              <w:t>NEXTLALPAN</w:t>
            </w:r>
          </w:p>
        </w:tc>
        <w:tc>
          <w:tcPr>
            <w:tcW w:w="1001" w:type="dxa"/>
          </w:tcPr>
          <w:p>
            <w:pPr>
              <w:pStyle w:val="TableParagraph"/>
              <w:spacing w:before="58"/>
              <w:ind w:left="73" w:right="75"/>
              <w:rPr>
                <w:sz w:val="18"/>
              </w:rPr>
            </w:pPr>
            <w:r>
              <w:rPr>
                <w:sz w:val="18"/>
              </w:rPr>
              <w:t>22,507</w:t>
            </w:r>
          </w:p>
        </w:tc>
        <w:tc>
          <w:tcPr>
            <w:tcW w:w="1001" w:type="dxa"/>
          </w:tcPr>
          <w:p>
            <w:pPr>
              <w:pStyle w:val="TableParagraph"/>
              <w:spacing w:before="58"/>
              <w:ind w:left="73" w:right="74"/>
              <w:rPr>
                <w:sz w:val="18"/>
              </w:rPr>
            </w:pPr>
            <w:r>
              <w:rPr>
                <w:sz w:val="18"/>
              </w:rPr>
              <w:t>34,374</w:t>
            </w:r>
          </w:p>
        </w:tc>
        <w:tc>
          <w:tcPr>
            <w:tcW w:w="1001" w:type="dxa"/>
          </w:tcPr>
          <w:p>
            <w:pPr>
              <w:pStyle w:val="TableParagraph"/>
              <w:spacing w:before="58"/>
              <w:ind w:left="75" w:right="75"/>
              <w:rPr>
                <w:sz w:val="18"/>
              </w:rPr>
            </w:pPr>
            <w:r>
              <w:rPr>
                <w:sz w:val="18"/>
              </w:rPr>
              <w:t>36,634</w:t>
            </w:r>
          </w:p>
        </w:tc>
      </w:tr>
      <w:tr>
        <w:trPr>
          <w:trHeight w:val="310" w:hRule="exact"/>
        </w:trPr>
        <w:tc>
          <w:tcPr>
            <w:tcW w:w="3507" w:type="dxa"/>
          </w:tcPr>
          <w:p>
            <w:pPr>
              <w:pStyle w:val="TableParagraph"/>
              <w:spacing w:before="22"/>
              <w:ind w:left="64"/>
              <w:jc w:val="left"/>
              <w:rPr>
                <w:b/>
                <w:sz w:val="18"/>
              </w:rPr>
            </w:pPr>
            <w:r>
              <w:rPr>
                <w:b/>
                <w:color w:val="333333"/>
                <w:sz w:val="18"/>
              </w:rPr>
              <w:t>NEZAHUALCOYOTL</w:t>
            </w:r>
          </w:p>
        </w:tc>
        <w:tc>
          <w:tcPr>
            <w:tcW w:w="1001" w:type="dxa"/>
          </w:tcPr>
          <w:p>
            <w:pPr>
              <w:pStyle w:val="TableParagraph"/>
              <w:spacing w:before="58"/>
              <w:ind w:left="73" w:right="77"/>
              <w:rPr>
                <w:sz w:val="18"/>
              </w:rPr>
            </w:pPr>
            <w:r>
              <w:rPr>
                <w:sz w:val="18"/>
              </w:rPr>
              <w:t>1,140,528</w:t>
            </w:r>
          </w:p>
        </w:tc>
        <w:tc>
          <w:tcPr>
            <w:tcW w:w="1001" w:type="dxa"/>
          </w:tcPr>
          <w:p>
            <w:pPr>
              <w:pStyle w:val="TableParagraph"/>
              <w:spacing w:before="58"/>
              <w:ind w:left="73" w:right="77"/>
              <w:rPr>
                <w:sz w:val="18"/>
              </w:rPr>
            </w:pPr>
            <w:r>
              <w:rPr>
                <w:sz w:val="18"/>
              </w:rPr>
              <w:t>1,110,565</w:t>
            </w:r>
          </w:p>
        </w:tc>
        <w:tc>
          <w:tcPr>
            <w:tcW w:w="1001" w:type="dxa"/>
          </w:tcPr>
          <w:p>
            <w:pPr>
              <w:pStyle w:val="TableParagraph"/>
              <w:spacing w:before="58"/>
              <w:ind w:left="75" w:right="75"/>
              <w:rPr>
                <w:sz w:val="18"/>
              </w:rPr>
            </w:pPr>
            <w:r>
              <w:rPr>
                <w:sz w:val="18"/>
              </w:rPr>
              <w:t>1,087,897</w:t>
            </w:r>
          </w:p>
        </w:tc>
      </w:tr>
      <w:tr>
        <w:trPr>
          <w:trHeight w:val="310" w:hRule="exact"/>
        </w:trPr>
        <w:tc>
          <w:tcPr>
            <w:tcW w:w="3507" w:type="dxa"/>
          </w:tcPr>
          <w:p>
            <w:pPr>
              <w:pStyle w:val="TableParagraph"/>
              <w:spacing w:before="22"/>
              <w:ind w:left="64"/>
              <w:jc w:val="left"/>
              <w:rPr>
                <w:b/>
                <w:sz w:val="18"/>
              </w:rPr>
            </w:pPr>
            <w:r>
              <w:rPr>
                <w:b/>
                <w:color w:val="333333"/>
                <w:sz w:val="18"/>
              </w:rPr>
              <w:t>NICOLAS ROMERO</w:t>
            </w:r>
          </w:p>
        </w:tc>
        <w:tc>
          <w:tcPr>
            <w:tcW w:w="1001" w:type="dxa"/>
          </w:tcPr>
          <w:p>
            <w:pPr>
              <w:pStyle w:val="TableParagraph"/>
              <w:spacing w:before="58"/>
              <w:ind w:left="73" w:right="75"/>
              <w:rPr>
                <w:sz w:val="18"/>
              </w:rPr>
            </w:pPr>
            <w:r>
              <w:rPr>
                <w:sz w:val="18"/>
              </w:rPr>
              <w:t>306,516</w:t>
            </w:r>
          </w:p>
        </w:tc>
        <w:tc>
          <w:tcPr>
            <w:tcW w:w="1001" w:type="dxa"/>
          </w:tcPr>
          <w:p>
            <w:pPr>
              <w:pStyle w:val="TableParagraph"/>
              <w:spacing w:before="58"/>
              <w:ind w:left="73" w:right="74"/>
              <w:rPr>
                <w:sz w:val="18"/>
              </w:rPr>
            </w:pPr>
            <w:r>
              <w:rPr>
                <w:sz w:val="18"/>
              </w:rPr>
              <w:t>366,602</w:t>
            </w:r>
          </w:p>
        </w:tc>
        <w:tc>
          <w:tcPr>
            <w:tcW w:w="1001" w:type="dxa"/>
          </w:tcPr>
          <w:p>
            <w:pPr>
              <w:pStyle w:val="TableParagraph"/>
              <w:spacing w:before="58"/>
              <w:ind w:left="75" w:right="75"/>
              <w:rPr>
                <w:sz w:val="18"/>
              </w:rPr>
            </w:pPr>
            <w:r>
              <w:rPr>
                <w:sz w:val="18"/>
              </w:rPr>
              <w:t>378,085</w:t>
            </w:r>
          </w:p>
        </w:tc>
      </w:tr>
      <w:tr>
        <w:trPr>
          <w:trHeight w:val="310" w:hRule="exact"/>
        </w:trPr>
        <w:tc>
          <w:tcPr>
            <w:tcW w:w="3507" w:type="dxa"/>
          </w:tcPr>
          <w:p>
            <w:pPr>
              <w:pStyle w:val="TableParagraph"/>
              <w:spacing w:before="22"/>
              <w:ind w:left="64"/>
              <w:jc w:val="left"/>
              <w:rPr>
                <w:b/>
                <w:sz w:val="18"/>
              </w:rPr>
            </w:pPr>
            <w:r>
              <w:rPr>
                <w:b/>
                <w:color w:val="333333"/>
                <w:sz w:val="18"/>
              </w:rPr>
              <w:t>NOPALTEPEC</w:t>
            </w:r>
          </w:p>
        </w:tc>
        <w:tc>
          <w:tcPr>
            <w:tcW w:w="1001" w:type="dxa"/>
          </w:tcPr>
          <w:p>
            <w:pPr>
              <w:pStyle w:val="TableParagraph"/>
              <w:spacing w:before="58"/>
              <w:ind w:left="73" w:right="77"/>
              <w:rPr>
                <w:sz w:val="18"/>
              </w:rPr>
            </w:pPr>
            <w:r>
              <w:rPr>
                <w:sz w:val="18"/>
              </w:rPr>
              <w:t>8,182</w:t>
            </w:r>
          </w:p>
        </w:tc>
        <w:tc>
          <w:tcPr>
            <w:tcW w:w="1001" w:type="dxa"/>
          </w:tcPr>
          <w:p>
            <w:pPr>
              <w:pStyle w:val="TableParagraph"/>
              <w:spacing w:before="58"/>
              <w:ind w:left="73" w:right="77"/>
              <w:rPr>
                <w:sz w:val="18"/>
              </w:rPr>
            </w:pPr>
            <w:r>
              <w:rPr>
                <w:sz w:val="18"/>
              </w:rPr>
              <w:t>8,895</w:t>
            </w:r>
          </w:p>
        </w:tc>
        <w:tc>
          <w:tcPr>
            <w:tcW w:w="1001" w:type="dxa"/>
          </w:tcPr>
          <w:p>
            <w:pPr>
              <w:pStyle w:val="TableParagraph"/>
              <w:spacing w:before="58"/>
              <w:ind w:left="74" w:right="75"/>
              <w:rPr>
                <w:sz w:val="18"/>
              </w:rPr>
            </w:pPr>
            <w:r>
              <w:rPr>
                <w:sz w:val="18"/>
              </w:rPr>
              <w:t>9,014</w:t>
            </w:r>
          </w:p>
        </w:tc>
      </w:tr>
      <w:tr>
        <w:trPr>
          <w:trHeight w:val="310" w:hRule="exact"/>
        </w:trPr>
        <w:tc>
          <w:tcPr>
            <w:tcW w:w="3507" w:type="dxa"/>
          </w:tcPr>
          <w:p>
            <w:pPr>
              <w:pStyle w:val="TableParagraph"/>
              <w:spacing w:before="22"/>
              <w:ind w:left="64"/>
              <w:jc w:val="left"/>
              <w:rPr>
                <w:b/>
                <w:sz w:val="18"/>
              </w:rPr>
            </w:pPr>
            <w:r>
              <w:rPr>
                <w:b/>
                <w:color w:val="333333"/>
                <w:sz w:val="18"/>
              </w:rPr>
              <w:t>OCOYOACAC</w:t>
            </w:r>
          </w:p>
        </w:tc>
        <w:tc>
          <w:tcPr>
            <w:tcW w:w="1001" w:type="dxa"/>
          </w:tcPr>
          <w:p>
            <w:pPr>
              <w:pStyle w:val="TableParagraph"/>
              <w:spacing w:before="58"/>
              <w:ind w:left="73" w:right="75"/>
              <w:rPr>
                <w:sz w:val="18"/>
              </w:rPr>
            </w:pPr>
            <w:r>
              <w:rPr>
                <w:sz w:val="18"/>
              </w:rPr>
              <w:t>54,224</w:t>
            </w:r>
          </w:p>
        </w:tc>
        <w:tc>
          <w:tcPr>
            <w:tcW w:w="1001" w:type="dxa"/>
          </w:tcPr>
          <w:p>
            <w:pPr>
              <w:pStyle w:val="TableParagraph"/>
              <w:spacing w:before="58"/>
              <w:ind w:left="73" w:right="74"/>
              <w:rPr>
                <w:sz w:val="18"/>
              </w:rPr>
            </w:pPr>
            <w:r>
              <w:rPr>
                <w:sz w:val="18"/>
              </w:rPr>
              <w:t>61,805</w:t>
            </w:r>
          </w:p>
        </w:tc>
        <w:tc>
          <w:tcPr>
            <w:tcW w:w="1001" w:type="dxa"/>
          </w:tcPr>
          <w:p>
            <w:pPr>
              <w:pStyle w:val="TableParagraph"/>
              <w:spacing w:before="58"/>
              <w:ind w:left="75" w:right="75"/>
              <w:rPr>
                <w:sz w:val="18"/>
              </w:rPr>
            </w:pPr>
            <w:r>
              <w:rPr>
                <w:sz w:val="18"/>
              </w:rPr>
              <w:t>63,030</w:t>
            </w:r>
          </w:p>
        </w:tc>
      </w:tr>
      <w:tr>
        <w:trPr>
          <w:trHeight w:val="310" w:hRule="exact"/>
        </w:trPr>
        <w:tc>
          <w:tcPr>
            <w:tcW w:w="3507" w:type="dxa"/>
          </w:tcPr>
          <w:p>
            <w:pPr>
              <w:pStyle w:val="TableParagraph"/>
              <w:spacing w:before="22"/>
              <w:ind w:left="64"/>
              <w:jc w:val="left"/>
              <w:rPr>
                <w:b/>
                <w:sz w:val="18"/>
              </w:rPr>
            </w:pPr>
            <w:r>
              <w:rPr>
                <w:b/>
                <w:color w:val="333333"/>
                <w:sz w:val="18"/>
              </w:rPr>
              <w:t>OCUILAN</w:t>
            </w:r>
          </w:p>
        </w:tc>
        <w:tc>
          <w:tcPr>
            <w:tcW w:w="1001" w:type="dxa"/>
          </w:tcPr>
          <w:p>
            <w:pPr>
              <w:pStyle w:val="TableParagraph"/>
              <w:spacing w:before="58"/>
              <w:ind w:left="73" w:right="75"/>
              <w:rPr>
                <w:sz w:val="18"/>
              </w:rPr>
            </w:pPr>
            <w:r>
              <w:rPr>
                <w:sz w:val="18"/>
              </w:rPr>
              <w:t>26,332</w:t>
            </w:r>
          </w:p>
        </w:tc>
        <w:tc>
          <w:tcPr>
            <w:tcW w:w="1001" w:type="dxa"/>
          </w:tcPr>
          <w:p>
            <w:pPr>
              <w:pStyle w:val="TableParagraph"/>
              <w:spacing w:before="58"/>
              <w:ind w:left="73" w:right="74"/>
              <w:rPr>
                <w:sz w:val="18"/>
              </w:rPr>
            </w:pPr>
            <w:r>
              <w:rPr>
                <w:sz w:val="18"/>
              </w:rPr>
              <w:t>31,803</w:t>
            </w:r>
          </w:p>
        </w:tc>
        <w:tc>
          <w:tcPr>
            <w:tcW w:w="1001" w:type="dxa"/>
          </w:tcPr>
          <w:p>
            <w:pPr>
              <w:pStyle w:val="TableParagraph"/>
              <w:spacing w:before="58"/>
              <w:ind w:left="75" w:right="75"/>
              <w:rPr>
                <w:sz w:val="18"/>
              </w:rPr>
            </w:pPr>
            <w:r>
              <w:rPr>
                <w:sz w:val="18"/>
              </w:rPr>
              <w:t>32,363</w:t>
            </w:r>
          </w:p>
        </w:tc>
      </w:tr>
      <w:tr>
        <w:trPr>
          <w:trHeight w:val="312" w:hRule="exact"/>
        </w:trPr>
        <w:tc>
          <w:tcPr>
            <w:tcW w:w="3507" w:type="dxa"/>
          </w:tcPr>
          <w:p>
            <w:pPr>
              <w:pStyle w:val="TableParagraph"/>
              <w:spacing w:before="25"/>
              <w:ind w:left="64"/>
              <w:jc w:val="left"/>
              <w:rPr>
                <w:b/>
                <w:sz w:val="18"/>
              </w:rPr>
            </w:pPr>
            <w:r>
              <w:rPr>
                <w:b/>
                <w:color w:val="333333"/>
                <w:sz w:val="18"/>
              </w:rPr>
              <w:t>OTUMBA</w:t>
            </w:r>
          </w:p>
        </w:tc>
        <w:tc>
          <w:tcPr>
            <w:tcW w:w="1001" w:type="dxa"/>
          </w:tcPr>
          <w:p>
            <w:pPr>
              <w:pStyle w:val="TableParagraph"/>
              <w:spacing w:before="58"/>
              <w:ind w:left="73" w:right="75"/>
              <w:rPr>
                <w:sz w:val="18"/>
              </w:rPr>
            </w:pPr>
            <w:r>
              <w:rPr>
                <w:sz w:val="18"/>
              </w:rPr>
              <w:t>29,889</w:t>
            </w:r>
          </w:p>
        </w:tc>
        <w:tc>
          <w:tcPr>
            <w:tcW w:w="1001" w:type="dxa"/>
          </w:tcPr>
          <w:p>
            <w:pPr>
              <w:pStyle w:val="TableParagraph"/>
              <w:spacing w:before="58"/>
              <w:ind w:left="73" w:right="74"/>
              <w:rPr>
                <w:sz w:val="18"/>
              </w:rPr>
            </w:pPr>
            <w:r>
              <w:rPr>
                <w:sz w:val="18"/>
              </w:rPr>
              <w:t>34,232</w:t>
            </w:r>
          </w:p>
        </w:tc>
        <w:tc>
          <w:tcPr>
            <w:tcW w:w="1001" w:type="dxa"/>
          </w:tcPr>
          <w:p>
            <w:pPr>
              <w:pStyle w:val="TableParagraph"/>
              <w:spacing w:before="58"/>
              <w:ind w:left="75" w:right="75"/>
              <w:rPr>
                <w:sz w:val="18"/>
              </w:rPr>
            </w:pPr>
            <w:r>
              <w:rPr>
                <w:sz w:val="18"/>
              </w:rPr>
              <w:t>34,661</w:t>
            </w:r>
          </w:p>
        </w:tc>
      </w:tr>
      <w:tr>
        <w:trPr>
          <w:trHeight w:val="310" w:hRule="exact"/>
        </w:trPr>
        <w:tc>
          <w:tcPr>
            <w:tcW w:w="3507" w:type="dxa"/>
          </w:tcPr>
          <w:p>
            <w:pPr>
              <w:pStyle w:val="TableParagraph"/>
              <w:spacing w:before="23"/>
              <w:ind w:left="64"/>
              <w:jc w:val="left"/>
              <w:rPr>
                <w:b/>
                <w:sz w:val="18"/>
              </w:rPr>
            </w:pPr>
            <w:r>
              <w:rPr>
                <w:b/>
                <w:color w:val="333333"/>
                <w:sz w:val="18"/>
              </w:rPr>
              <w:t>OTZOLOAPAN</w:t>
            </w:r>
          </w:p>
        </w:tc>
        <w:tc>
          <w:tcPr>
            <w:tcW w:w="1001" w:type="dxa"/>
          </w:tcPr>
          <w:p>
            <w:pPr>
              <w:pStyle w:val="TableParagraph"/>
              <w:spacing w:before="59"/>
              <w:ind w:left="73" w:right="77"/>
              <w:rPr>
                <w:sz w:val="18"/>
              </w:rPr>
            </w:pPr>
            <w:r>
              <w:rPr>
                <w:sz w:val="18"/>
              </w:rPr>
              <w:t>4,748</w:t>
            </w:r>
          </w:p>
        </w:tc>
        <w:tc>
          <w:tcPr>
            <w:tcW w:w="1001" w:type="dxa"/>
          </w:tcPr>
          <w:p>
            <w:pPr>
              <w:pStyle w:val="TableParagraph"/>
              <w:spacing w:before="59"/>
              <w:ind w:left="73" w:right="75"/>
              <w:rPr>
                <w:sz w:val="18"/>
              </w:rPr>
            </w:pPr>
            <w:r>
              <w:rPr>
                <w:sz w:val="18"/>
              </w:rPr>
              <w:t>4,864</w:t>
            </w:r>
          </w:p>
        </w:tc>
        <w:tc>
          <w:tcPr>
            <w:tcW w:w="1001" w:type="dxa"/>
          </w:tcPr>
          <w:p>
            <w:pPr>
              <w:pStyle w:val="TableParagraph"/>
              <w:spacing w:before="59"/>
              <w:ind w:left="74" w:right="75"/>
              <w:rPr>
                <w:sz w:val="18"/>
              </w:rPr>
            </w:pPr>
            <w:r>
              <w:rPr>
                <w:sz w:val="18"/>
              </w:rPr>
              <w:t>4,785</w:t>
            </w:r>
          </w:p>
        </w:tc>
      </w:tr>
      <w:tr>
        <w:trPr>
          <w:trHeight w:val="310" w:hRule="exact"/>
        </w:trPr>
        <w:tc>
          <w:tcPr>
            <w:tcW w:w="3507" w:type="dxa"/>
          </w:tcPr>
          <w:p>
            <w:pPr>
              <w:pStyle w:val="TableParagraph"/>
              <w:spacing w:before="22"/>
              <w:ind w:left="64"/>
              <w:jc w:val="left"/>
              <w:rPr>
                <w:b/>
                <w:sz w:val="18"/>
              </w:rPr>
            </w:pPr>
            <w:r>
              <w:rPr>
                <w:b/>
                <w:color w:val="333333"/>
                <w:sz w:val="18"/>
              </w:rPr>
              <w:t>OTZOLOTEPEC</w:t>
            </w:r>
          </w:p>
        </w:tc>
        <w:tc>
          <w:tcPr>
            <w:tcW w:w="1001" w:type="dxa"/>
          </w:tcPr>
          <w:p>
            <w:pPr>
              <w:pStyle w:val="TableParagraph"/>
              <w:spacing w:before="58"/>
              <w:ind w:left="73" w:right="75"/>
              <w:rPr>
                <w:sz w:val="18"/>
              </w:rPr>
            </w:pPr>
            <w:r>
              <w:rPr>
                <w:sz w:val="18"/>
              </w:rPr>
              <w:t>67,611</w:t>
            </w:r>
          </w:p>
        </w:tc>
        <w:tc>
          <w:tcPr>
            <w:tcW w:w="1001" w:type="dxa"/>
          </w:tcPr>
          <w:p>
            <w:pPr>
              <w:pStyle w:val="TableParagraph"/>
              <w:spacing w:before="58"/>
              <w:ind w:left="73" w:right="74"/>
              <w:rPr>
                <w:sz w:val="18"/>
              </w:rPr>
            </w:pPr>
            <w:r>
              <w:rPr>
                <w:sz w:val="18"/>
              </w:rPr>
              <w:t>78,146</w:t>
            </w:r>
          </w:p>
        </w:tc>
        <w:tc>
          <w:tcPr>
            <w:tcW w:w="1001" w:type="dxa"/>
          </w:tcPr>
          <w:p>
            <w:pPr>
              <w:pStyle w:val="TableParagraph"/>
              <w:spacing w:before="58"/>
              <w:ind w:left="75" w:right="75"/>
              <w:rPr>
                <w:sz w:val="18"/>
              </w:rPr>
            </w:pPr>
            <w:r>
              <w:rPr>
                <w:sz w:val="18"/>
              </w:rPr>
              <w:t>80,571</w:t>
            </w:r>
          </w:p>
        </w:tc>
      </w:tr>
      <w:tr>
        <w:trPr>
          <w:trHeight w:val="310" w:hRule="exact"/>
        </w:trPr>
        <w:tc>
          <w:tcPr>
            <w:tcW w:w="3507" w:type="dxa"/>
          </w:tcPr>
          <w:p>
            <w:pPr>
              <w:pStyle w:val="TableParagraph"/>
              <w:spacing w:before="22"/>
              <w:ind w:left="64"/>
              <w:jc w:val="left"/>
              <w:rPr>
                <w:b/>
                <w:sz w:val="18"/>
              </w:rPr>
            </w:pPr>
            <w:r>
              <w:rPr>
                <w:b/>
                <w:color w:val="333333"/>
                <w:sz w:val="18"/>
              </w:rPr>
              <w:t>OZUMBA</w:t>
            </w:r>
          </w:p>
        </w:tc>
        <w:tc>
          <w:tcPr>
            <w:tcW w:w="1001" w:type="dxa"/>
          </w:tcPr>
          <w:p>
            <w:pPr>
              <w:pStyle w:val="TableParagraph"/>
              <w:spacing w:before="58"/>
              <w:ind w:left="73" w:right="75"/>
              <w:rPr>
                <w:sz w:val="18"/>
              </w:rPr>
            </w:pPr>
            <w:r>
              <w:rPr>
                <w:sz w:val="18"/>
              </w:rPr>
              <w:t>24,055</w:t>
            </w:r>
          </w:p>
        </w:tc>
        <w:tc>
          <w:tcPr>
            <w:tcW w:w="1001" w:type="dxa"/>
          </w:tcPr>
          <w:p>
            <w:pPr>
              <w:pStyle w:val="TableParagraph"/>
              <w:spacing w:before="58"/>
              <w:ind w:left="73" w:right="74"/>
              <w:rPr>
                <w:sz w:val="18"/>
              </w:rPr>
            </w:pPr>
            <w:r>
              <w:rPr>
                <w:sz w:val="18"/>
              </w:rPr>
              <w:t>27,207</w:t>
            </w:r>
          </w:p>
        </w:tc>
        <w:tc>
          <w:tcPr>
            <w:tcW w:w="1001" w:type="dxa"/>
          </w:tcPr>
          <w:p>
            <w:pPr>
              <w:pStyle w:val="TableParagraph"/>
              <w:spacing w:before="58"/>
              <w:ind w:left="75" w:right="75"/>
              <w:rPr>
                <w:sz w:val="18"/>
              </w:rPr>
            </w:pPr>
            <w:r>
              <w:rPr>
                <w:sz w:val="18"/>
              </w:rPr>
              <w:t>27,479</w:t>
            </w:r>
          </w:p>
        </w:tc>
      </w:tr>
      <w:tr>
        <w:trPr>
          <w:trHeight w:val="310" w:hRule="exact"/>
        </w:trPr>
        <w:tc>
          <w:tcPr>
            <w:tcW w:w="3507" w:type="dxa"/>
          </w:tcPr>
          <w:p>
            <w:pPr>
              <w:pStyle w:val="TableParagraph"/>
              <w:spacing w:before="22"/>
              <w:ind w:left="64"/>
              <w:jc w:val="left"/>
              <w:rPr>
                <w:b/>
                <w:sz w:val="18"/>
              </w:rPr>
            </w:pPr>
            <w:r>
              <w:rPr>
                <w:b/>
                <w:color w:val="333333"/>
                <w:sz w:val="18"/>
              </w:rPr>
              <w:t>PAPALOTLA</w:t>
            </w:r>
          </w:p>
        </w:tc>
        <w:tc>
          <w:tcPr>
            <w:tcW w:w="1001" w:type="dxa"/>
          </w:tcPr>
          <w:p>
            <w:pPr>
              <w:pStyle w:val="TableParagraph"/>
              <w:spacing w:before="58"/>
              <w:ind w:left="73" w:right="77"/>
              <w:rPr>
                <w:sz w:val="18"/>
              </w:rPr>
            </w:pPr>
            <w:r>
              <w:rPr>
                <w:sz w:val="18"/>
              </w:rPr>
              <w:t>3,766</w:t>
            </w:r>
          </w:p>
        </w:tc>
        <w:tc>
          <w:tcPr>
            <w:tcW w:w="1001" w:type="dxa"/>
          </w:tcPr>
          <w:p>
            <w:pPr>
              <w:pStyle w:val="TableParagraph"/>
              <w:spacing w:before="58"/>
              <w:ind w:left="73" w:right="77"/>
              <w:rPr>
                <w:sz w:val="18"/>
              </w:rPr>
            </w:pPr>
            <w:r>
              <w:rPr>
                <w:sz w:val="18"/>
              </w:rPr>
              <w:t>4,147</w:t>
            </w:r>
          </w:p>
        </w:tc>
        <w:tc>
          <w:tcPr>
            <w:tcW w:w="1001" w:type="dxa"/>
          </w:tcPr>
          <w:p>
            <w:pPr>
              <w:pStyle w:val="TableParagraph"/>
              <w:spacing w:before="58"/>
              <w:ind w:left="74" w:right="75"/>
              <w:rPr>
                <w:sz w:val="18"/>
              </w:rPr>
            </w:pPr>
            <w:r>
              <w:rPr>
                <w:sz w:val="18"/>
              </w:rPr>
              <w:t>4,207</w:t>
            </w:r>
          </w:p>
        </w:tc>
      </w:tr>
      <w:tr>
        <w:trPr>
          <w:trHeight w:val="310" w:hRule="exact"/>
        </w:trPr>
        <w:tc>
          <w:tcPr>
            <w:tcW w:w="3507" w:type="dxa"/>
          </w:tcPr>
          <w:p>
            <w:pPr>
              <w:pStyle w:val="TableParagraph"/>
              <w:spacing w:before="22"/>
              <w:ind w:left="64"/>
              <w:jc w:val="left"/>
              <w:rPr>
                <w:b/>
                <w:sz w:val="18"/>
              </w:rPr>
            </w:pPr>
            <w:r>
              <w:rPr>
                <w:b/>
                <w:color w:val="333333"/>
                <w:sz w:val="18"/>
              </w:rPr>
              <w:t>POLOTITLAN</w:t>
            </w:r>
          </w:p>
        </w:tc>
        <w:tc>
          <w:tcPr>
            <w:tcW w:w="1001" w:type="dxa"/>
          </w:tcPr>
          <w:p>
            <w:pPr>
              <w:pStyle w:val="TableParagraph"/>
              <w:spacing w:before="58"/>
              <w:ind w:left="73" w:right="75"/>
              <w:rPr>
                <w:sz w:val="18"/>
              </w:rPr>
            </w:pPr>
            <w:r>
              <w:rPr>
                <w:sz w:val="18"/>
              </w:rPr>
              <w:t>12,319</w:t>
            </w:r>
          </w:p>
        </w:tc>
        <w:tc>
          <w:tcPr>
            <w:tcW w:w="1001" w:type="dxa"/>
          </w:tcPr>
          <w:p>
            <w:pPr>
              <w:pStyle w:val="TableParagraph"/>
              <w:spacing w:before="58"/>
              <w:ind w:left="73" w:right="74"/>
              <w:rPr>
                <w:sz w:val="18"/>
              </w:rPr>
            </w:pPr>
            <w:r>
              <w:rPr>
                <w:sz w:val="18"/>
              </w:rPr>
              <w:t>13,002</w:t>
            </w:r>
          </w:p>
        </w:tc>
        <w:tc>
          <w:tcPr>
            <w:tcW w:w="1001" w:type="dxa"/>
          </w:tcPr>
          <w:p>
            <w:pPr>
              <w:pStyle w:val="TableParagraph"/>
              <w:spacing w:before="58"/>
              <w:ind w:left="75" w:right="75"/>
              <w:rPr>
                <w:sz w:val="18"/>
              </w:rPr>
            </w:pPr>
            <w:r>
              <w:rPr>
                <w:sz w:val="18"/>
              </w:rPr>
              <w:t>13,163</w:t>
            </w:r>
          </w:p>
        </w:tc>
      </w:tr>
      <w:tr>
        <w:trPr>
          <w:trHeight w:val="312" w:hRule="exact"/>
        </w:trPr>
        <w:tc>
          <w:tcPr>
            <w:tcW w:w="3507" w:type="dxa"/>
          </w:tcPr>
          <w:p>
            <w:pPr>
              <w:pStyle w:val="TableParagraph"/>
              <w:spacing w:before="25"/>
              <w:ind w:left="64"/>
              <w:jc w:val="left"/>
              <w:rPr>
                <w:b/>
                <w:sz w:val="18"/>
              </w:rPr>
            </w:pPr>
            <w:r>
              <w:rPr>
                <w:b/>
                <w:color w:val="333333"/>
                <w:sz w:val="18"/>
              </w:rPr>
              <w:t>RAYON</w:t>
            </w:r>
          </w:p>
        </w:tc>
        <w:tc>
          <w:tcPr>
            <w:tcW w:w="1001" w:type="dxa"/>
          </w:tcPr>
          <w:p>
            <w:pPr>
              <w:pStyle w:val="TableParagraph"/>
              <w:spacing w:before="58"/>
              <w:ind w:left="73" w:right="75"/>
              <w:rPr>
                <w:sz w:val="18"/>
              </w:rPr>
            </w:pPr>
            <w:r>
              <w:rPr>
                <w:sz w:val="18"/>
              </w:rPr>
              <w:t>10,953</w:t>
            </w:r>
          </w:p>
        </w:tc>
        <w:tc>
          <w:tcPr>
            <w:tcW w:w="1001" w:type="dxa"/>
          </w:tcPr>
          <w:p>
            <w:pPr>
              <w:pStyle w:val="TableParagraph"/>
              <w:spacing w:before="58"/>
              <w:ind w:left="73" w:right="74"/>
              <w:rPr>
                <w:sz w:val="18"/>
              </w:rPr>
            </w:pPr>
            <w:r>
              <w:rPr>
                <w:sz w:val="18"/>
              </w:rPr>
              <w:t>12,748</w:t>
            </w:r>
          </w:p>
        </w:tc>
        <w:tc>
          <w:tcPr>
            <w:tcW w:w="1001" w:type="dxa"/>
          </w:tcPr>
          <w:p>
            <w:pPr>
              <w:pStyle w:val="TableParagraph"/>
              <w:spacing w:before="58"/>
              <w:ind w:left="75" w:right="75"/>
              <w:rPr>
                <w:sz w:val="18"/>
              </w:rPr>
            </w:pPr>
            <w:r>
              <w:rPr>
                <w:sz w:val="18"/>
              </w:rPr>
              <w:t>13,211</w:t>
            </w:r>
          </w:p>
        </w:tc>
      </w:tr>
      <w:tr>
        <w:trPr>
          <w:trHeight w:val="310" w:hRule="exact"/>
        </w:trPr>
        <w:tc>
          <w:tcPr>
            <w:tcW w:w="3507" w:type="dxa"/>
          </w:tcPr>
          <w:p>
            <w:pPr>
              <w:pStyle w:val="TableParagraph"/>
              <w:spacing w:before="22"/>
              <w:ind w:left="64"/>
              <w:jc w:val="left"/>
              <w:rPr>
                <w:b/>
                <w:sz w:val="18"/>
              </w:rPr>
            </w:pPr>
            <w:r>
              <w:rPr>
                <w:b/>
                <w:color w:val="333333"/>
                <w:sz w:val="18"/>
              </w:rPr>
              <w:t>SAN ANTONIO LA ISLA</w:t>
            </w:r>
          </w:p>
        </w:tc>
        <w:tc>
          <w:tcPr>
            <w:tcW w:w="1001" w:type="dxa"/>
          </w:tcPr>
          <w:p>
            <w:pPr>
              <w:pStyle w:val="TableParagraph"/>
              <w:spacing w:before="58"/>
              <w:ind w:left="73" w:right="75"/>
              <w:rPr>
                <w:sz w:val="18"/>
              </w:rPr>
            </w:pPr>
            <w:r>
              <w:rPr>
                <w:sz w:val="18"/>
              </w:rPr>
              <w:t>11,313</w:t>
            </w:r>
          </w:p>
        </w:tc>
        <w:tc>
          <w:tcPr>
            <w:tcW w:w="1001" w:type="dxa"/>
          </w:tcPr>
          <w:p>
            <w:pPr>
              <w:pStyle w:val="TableParagraph"/>
              <w:spacing w:before="58"/>
              <w:ind w:left="73" w:right="74"/>
              <w:rPr>
                <w:sz w:val="18"/>
              </w:rPr>
            </w:pPr>
            <w:r>
              <w:rPr>
                <w:sz w:val="18"/>
              </w:rPr>
              <w:t>22,152</w:t>
            </w:r>
          </w:p>
        </w:tc>
        <w:tc>
          <w:tcPr>
            <w:tcW w:w="1001" w:type="dxa"/>
          </w:tcPr>
          <w:p>
            <w:pPr>
              <w:pStyle w:val="TableParagraph"/>
              <w:spacing w:before="58"/>
              <w:ind w:left="75" w:right="75"/>
              <w:rPr>
                <w:sz w:val="18"/>
              </w:rPr>
            </w:pPr>
            <w:r>
              <w:rPr>
                <w:sz w:val="18"/>
              </w:rPr>
              <w:t>24,218</w:t>
            </w:r>
          </w:p>
        </w:tc>
      </w:tr>
    </w:tbl>
    <w:p>
      <w:pPr>
        <w:spacing w:after="0"/>
        <w:rPr>
          <w:sz w:val="18"/>
        </w:rPr>
        <w:sectPr>
          <w:pgSz w:w="12240" w:h="15840"/>
          <w:pgMar w:header="0" w:footer="975" w:top="1420" w:bottom="1160" w:left="1720" w:right="1720"/>
        </w:sectPr>
      </w:pPr>
    </w:p>
    <w:tbl>
      <w:tblPr>
        <w:tblW w:w="0" w:type="auto"/>
        <w:jc w:val="left"/>
        <w:tblInd w:w="10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07"/>
        <w:gridCol w:w="1001"/>
        <w:gridCol w:w="1001"/>
        <w:gridCol w:w="1001"/>
      </w:tblGrid>
      <w:tr>
        <w:trPr>
          <w:trHeight w:val="486" w:hRule="exact"/>
        </w:trPr>
        <w:tc>
          <w:tcPr>
            <w:tcW w:w="6510" w:type="dxa"/>
            <w:gridSpan w:val="4"/>
            <w:shd w:val="clear" w:color="auto" w:fill="92D050"/>
          </w:tcPr>
          <w:p>
            <w:pPr>
              <w:pStyle w:val="TableParagraph"/>
              <w:spacing w:line="276" w:lineRule="auto"/>
              <w:ind w:left="2614" w:right="223" w:hanging="2379"/>
              <w:jc w:val="left"/>
              <w:rPr>
                <w:b/>
                <w:sz w:val="18"/>
              </w:rPr>
            </w:pPr>
            <w:r>
              <w:rPr>
                <w:b/>
                <w:sz w:val="18"/>
              </w:rPr>
              <w:t>Anexo 1. Población de los municipios del Estado de México 2005-2012 (Continuación)</w:t>
            </w:r>
          </w:p>
        </w:tc>
      </w:tr>
      <w:tr>
        <w:trPr>
          <w:trHeight w:val="485" w:hRule="exact"/>
        </w:trPr>
        <w:tc>
          <w:tcPr>
            <w:tcW w:w="3507" w:type="dxa"/>
            <w:shd w:val="clear" w:color="auto" w:fill="92D050"/>
          </w:tcPr>
          <w:p>
            <w:pPr>
              <w:pStyle w:val="TableParagraph"/>
              <w:spacing w:line="199" w:lineRule="exact"/>
              <w:ind w:left="1308" w:right="1308"/>
              <w:rPr>
                <w:b/>
                <w:sz w:val="18"/>
              </w:rPr>
            </w:pPr>
            <w:r>
              <w:rPr>
                <w:b/>
                <w:sz w:val="18"/>
              </w:rPr>
              <w:t>Municipio</w:t>
            </w:r>
          </w:p>
        </w:tc>
        <w:tc>
          <w:tcPr>
            <w:tcW w:w="1001" w:type="dxa"/>
            <w:shd w:val="clear" w:color="auto" w:fill="92D050"/>
          </w:tcPr>
          <w:p>
            <w:pPr>
              <w:pStyle w:val="TableParagraph"/>
              <w:spacing w:line="276" w:lineRule="auto"/>
              <w:ind w:left="292" w:right="50" w:hanging="231"/>
              <w:jc w:val="left"/>
              <w:rPr>
                <w:b/>
                <w:sz w:val="18"/>
              </w:rPr>
            </w:pPr>
            <w:r>
              <w:rPr>
                <w:b/>
                <w:sz w:val="18"/>
              </w:rPr>
              <w:t>Población 2005</w:t>
            </w:r>
          </w:p>
        </w:tc>
        <w:tc>
          <w:tcPr>
            <w:tcW w:w="1001" w:type="dxa"/>
            <w:shd w:val="clear" w:color="auto" w:fill="92D050"/>
          </w:tcPr>
          <w:p>
            <w:pPr>
              <w:pStyle w:val="TableParagraph"/>
              <w:spacing w:line="276" w:lineRule="auto"/>
              <w:ind w:left="292" w:right="50" w:hanging="231"/>
              <w:jc w:val="left"/>
              <w:rPr>
                <w:b/>
                <w:sz w:val="18"/>
              </w:rPr>
            </w:pPr>
            <w:r>
              <w:rPr>
                <w:b/>
                <w:sz w:val="18"/>
              </w:rPr>
              <w:t>Población 2010</w:t>
            </w:r>
          </w:p>
        </w:tc>
        <w:tc>
          <w:tcPr>
            <w:tcW w:w="1001" w:type="dxa"/>
            <w:shd w:val="clear" w:color="auto" w:fill="92D050"/>
          </w:tcPr>
          <w:p>
            <w:pPr>
              <w:pStyle w:val="TableParagraph"/>
              <w:spacing w:line="276" w:lineRule="auto"/>
              <w:ind w:left="295" w:right="47" w:hanging="231"/>
              <w:jc w:val="left"/>
              <w:rPr>
                <w:b/>
                <w:sz w:val="18"/>
              </w:rPr>
            </w:pPr>
            <w:r>
              <w:rPr>
                <w:b/>
                <w:sz w:val="18"/>
              </w:rPr>
              <w:t>Población 2012</w:t>
            </w:r>
          </w:p>
        </w:tc>
      </w:tr>
      <w:tr>
        <w:trPr>
          <w:trHeight w:val="312" w:hRule="exact"/>
        </w:trPr>
        <w:tc>
          <w:tcPr>
            <w:tcW w:w="3507" w:type="dxa"/>
          </w:tcPr>
          <w:p>
            <w:pPr>
              <w:pStyle w:val="TableParagraph"/>
              <w:spacing w:before="25"/>
              <w:ind w:left="64"/>
              <w:jc w:val="left"/>
              <w:rPr>
                <w:b/>
                <w:sz w:val="18"/>
              </w:rPr>
            </w:pPr>
            <w:r>
              <w:rPr>
                <w:b/>
                <w:color w:val="333333"/>
                <w:sz w:val="18"/>
              </w:rPr>
              <w:t>SAN FELIPE DEL PROGRESO</w:t>
            </w:r>
          </w:p>
        </w:tc>
        <w:tc>
          <w:tcPr>
            <w:tcW w:w="1001" w:type="dxa"/>
          </w:tcPr>
          <w:p>
            <w:pPr>
              <w:pStyle w:val="TableParagraph"/>
              <w:spacing w:before="58"/>
              <w:ind w:left="73" w:right="75"/>
              <w:rPr>
                <w:sz w:val="18"/>
              </w:rPr>
            </w:pPr>
            <w:r>
              <w:rPr>
                <w:sz w:val="18"/>
              </w:rPr>
              <w:t>100,201</w:t>
            </w:r>
          </w:p>
        </w:tc>
        <w:tc>
          <w:tcPr>
            <w:tcW w:w="1001" w:type="dxa"/>
          </w:tcPr>
          <w:p>
            <w:pPr>
              <w:pStyle w:val="TableParagraph"/>
              <w:spacing w:before="58"/>
              <w:ind w:left="168" w:right="47"/>
              <w:jc w:val="left"/>
              <w:rPr>
                <w:sz w:val="18"/>
              </w:rPr>
            </w:pPr>
            <w:r>
              <w:rPr>
                <w:sz w:val="18"/>
              </w:rPr>
              <w:t>121,396</w:t>
            </w:r>
          </w:p>
        </w:tc>
        <w:tc>
          <w:tcPr>
            <w:tcW w:w="1001" w:type="dxa"/>
          </w:tcPr>
          <w:p>
            <w:pPr>
              <w:pStyle w:val="TableParagraph"/>
              <w:spacing w:before="58"/>
              <w:ind w:left="75" w:right="75"/>
              <w:rPr>
                <w:sz w:val="18"/>
              </w:rPr>
            </w:pPr>
            <w:r>
              <w:rPr>
                <w:sz w:val="18"/>
              </w:rPr>
              <w:t>123,035</w:t>
            </w:r>
          </w:p>
        </w:tc>
      </w:tr>
      <w:tr>
        <w:trPr>
          <w:trHeight w:val="310" w:hRule="exact"/>
        </w:trPr>
        <w:tc>
          <w:tcPr>
            <w:tcW w:w="3507" w:type="dxa"/>
          </w:tcPr>
          <w:p>
            <w:pPr>
              <w:pStyle w:val="TableParagraph"/>
              <w:spacing w:before="22"/>
              <w:ind w:left="64"/>
              <w:jc w:val="left"/>
              <w:rPr>
                <w:b/>
                <w:sz w:val="18"/>
              </w:rPr>
            </w:pPr>
            <w:r>
              <w:rPr>
                <w:b/>
                <w:color w:val="333333"/>
                <w:sz w:val="18"/>
              </w:rPr>
              <w:t>SAN JOSE DEL RINCON</w:t>
            </w:r>
          </w:p>
        </w:tc>
        <w:tc>
          <w:tcPr>
            <w:tcW w:w="1001" w:type="dxa"/>
          </w:tcPr>
          <w:p>
            <w:pPr>
              <w:pStyle w:val="TableParagraph"/>
              <w:spacing w:before="58"/>
              <w:ind w:left="73" w:right="75"/>
              <w:rPr>
                <w:sz w:val="18"/>
              </w:rPr>
            </w:pPr>
            <w:r>
              <w:rPr>
                <w:sz w:val="18"/>
              </w:rPr>
              <w:t>79,945</w:t>
            </w:r>
          </w:p>
        </w:tc>
        <w:tc>
          <w:tcPr>
            <w:tcW w:w="1001" w:type="dxa"/>
          </w:tcPr>
          <w:p>
            <w:pPr>
              <w:pStyle w:val="TableParagraph"/>
              <w:spacing w:before="58"/>
              <w:ind w:left="218" w:right="47"/>
              <w:jc w:val="left"/>
              <w:rPr>
                <w:sz w:val="18"/>
              </w:rPr>
            </w:pPr>
            <w:r>
              <w:rPr>
                <w:sz w:val="18"/>
              </w:rPr>
              <w:t>91,345</w:t>
            </w:r>
          </w:p>
        </w:tc>
        <w:tc>
          <w:tcPr>
            <w:tcW w:w="1001" w:type="dxa"/>
          </w:tcPr>
          <w:p>
            <w:pPr>
              <w:pStyle w:val="TableParagraph"/>
              <w:spacing w:before="58"/>
              <w:ind w:left="75" w:right="75"/>
              <w:rPr>
                <w:sz w:val="18"/>
              </w:rPr>
            </w:pPr>
            <w:r>
              <w:rPr>
                <w:sz w:val="18"/>
              </w:rPr>
              <w:t>92,916</w:t>
            </w:r>
          </w:p>
        </w:tc>
      </w:tr>
      <w:tr>
        <w:trPr>
          <w:trHeight w:val="310" w:hRule="exact"/>
        </w:trPr>
        <w:tc>
          <w:tcPr>
            <w:tcW w:w="3507" w:type="dxa"/>
          </w:tcPr>
          <w:p>
            <w:pPr>
              <w:pStyle w:val="TableParagraph"/>
              <w:spacing w:before="22"/>
              <w:ind w:left="64"/>
              <w:jc w:val="left"/>
              <w:rPr>
                <w:b/>
                <w:sz w:val="18"/>
              </w:rPr>
            </w:pPr>
            <w:r>
              <w:rPr>
                <w:b/>
                <w:color w:val="333333"/>
                <w:sz w:val="18"/>
              </w:rPr>
              <w:t>SAN MARTÍN DE LAS PIRAMIDES</w:t>
            </w:r>
          </w:p>
        </w:tc>
        <w:tc>
          <w:tcPr>
            <w:tcW w:w="1001" w:type="dxa"/>
          </w:tcPr>
          <w:p>
            <w:pPr>
              <w:pStyle w:val="TableParagraph"/>
              <w:spacing w:before="58"/>
              <w:ind w:left="73" w:right="75"/>
              <w:rPr>
                <w:sz w:val="18"/>
              </w:rPr>
            </w:pPr>
            <w:r>
              <w:rPr>
                <w:sz w:val="18"/>
              </w:rPr>
              <w:t>21,511</w:t>
            </w:r>
          </w:p>
        </w:tc>
        <w:tc>
          <w:tcPr>
            <w:tcW w:w="1001" w:type="dxa"/>
          </w:tcPr>
          <w:p>
            <w:pPr>
              <w:pStyle w:val="TableParagraph"/>
              <w:spacing w:before="58"/>
              <w:ind w:left="218" w:right="47"/>
              <w:jc w:val="left"/>
              <w:rPr>
                <w:sz w:val="18"/>
              </w:rPr>
            </w:pPr>
            <w:r>
              <w:rPr>
                <w:sz w:val="18"/>
              </w:rPr>
              <w:t>24,851</w:t>
            </w:r>
          </w:p>
        </w:tc>
        <w:tc>
          <w:tcPr>
            <w:tcW w:w="1001" w:type="dxa"/>
          </w:tcPr>
          <w:p>
            <w:pPr>
              <w:pStyle w:val="TableParagraph"/>
              <w:spacing w:before="58"/>
              <w:ind w:left="75" w:right="75"/>
              <w:rPr>
                <w:sz w:val="18"/>
              </w:rPr>
            </w:pPr>
            <w:r>
              <w:rPr>
                <w:sz w:val="18"/>
              </w:rPr>
              <w:t>25,387</w:t>
            </w:r>
          </w:p>
        </w:tc>
      </w:tr>
      <w:tr>
        <w:trPr>
          <w:trHeight w:val="310" w:hRule="exact"/>
        </w:trPr>
        <w:tc>
          <w:tcPr>
            <w:tcW w:w="3507" w:type="dxa"/>
          </w:tcPr>
          <w:p>
            <w:pPr>
              <w:pStyle w:val="TableParagraph"/>
              <w:spacing w:before="22"/>
              <w:ind w:left="64"/>
              <w:jc w:val="left"/>
              <w:rPr>
                <w:b/>
                <w:sz w:val="18"/>
              </w:rPr>
            </w:pPr>
            <w:r>
              <w:rPr>
                <w:b/>
                <w:color w:val="333333"/>
                <w:sz w:val="18"/>
              </w:rPr>
              <w:t>SAN MATEO ATENCO</w:t>
            </w:r>
          </w:p>
        </w:tc>
        <w:tc>
          <w:tcPr>
            <w:tcW w:w="1001" w:type="dxa"/>
          </w:tcPr>
          <w:p>
            <w:pPr>
              <w:pStyle w:val="TableParagraph"/>
              <w:spacing w:before="58"/>
              <w:ind w:left="73" w:right="75"/>
              <w:rPr>
                <w:sz w:val="18"/>
              </w:rPr>
            </w:pPr>
            <w:r>
              <w:rPr>
                <w:sz w:val="18"/>
              </w:rPr>
              <w:t>66,740</w:t>
            </w:r>
          </w:p>
        </w:tc>
        <w:tc>
          <w:tcPr>
            <w:tcW w:w="1001" w:type="dxa"/>
          </w:tcPr>
          <w:p>
            <w:pPr>
              <w:pStyle w:val="TableParagraph"/>
              <w:spacing w:before="58"/>
              <w:ind w:left="218" w:right="47"/>
              <w:jc w:val="left"/>
              <w:rPr>
                <w:sz w:val="18"/>
              </w:rPr>
            </w:pPr>
            <w:r>
              <w:rPr>
                <w:sz w:val="18"/>
              </w:rPr>
              <w:t>72,579</w:t>
            </w:r>
          </w:p>
        </w:tc>
        <w:tc>
          <w:tcPr>
            <w:tcW w:w="1001" w:type="dxa"/>
          </w:tcPr>
          <w:p>
            <w:pPr>
              <w:pStyle w:val="TableParagraph"/>
              <w:spacing w:before="58"/>
              <w:ind w:left="75" w:right="75"/>
              <w:rPr>
                <w:sz w:val="18"/>
              </w:rPr>
            </w:pPr>
            <w:r>
              <w:rPr>
                <w:sz w:val="18"/>
              </w:rPr>
              <w:t>73,803</w:t>
            </w:r>
          </w:p>
        </w:tc>
      </w:tr>
      <w:tr>
        <w:trPr>
          <w:trHeight w:val="310" w:hRule="exact"/>
        </w:trPr>
        <w:tc>
          <w:tcPr>
            <w:tcW w:w="3507" w:type="dxa"/>
          </w:tcPr>
          <w:p>
            <w:pPr>
              <w:pStyle w:val="TableParagraph"/>
              <w:spacing w:before="22"/>
              <w:ind w:left="64"/>
              <w:jc w:val="left"/>
              <w:rPr>
                <w:b/>
                <w:sz w:val="18"/>
              </w:rPr>
            </w:pPr>
            <w:r>
              <w:rPr>
                <w:b/>
                <w:color w:val="333333"/>
                <w:sz w:val="18"/>
              </w:rPr>
              <w:t>SAN SIMON DE GUERRERO</w:t>
            </w:r>
          </w:p>
        </w:tc>
        <w:tc>
          <w:tcPr>
            <w:tcW w:w="1001" w:type="dxa"/>
          </w:tcPr>
          <w:p>
            <w:pPr>
              <w:pStyle w:val="TableParagraph"/>
              <w:spacing w:before="58"/>
              <w:ind w:left="73" w:right="77"/>
              <w:rPr>
                <w:sz w:val="18"/>
              </w:rPr>
            </w:pPr>
            <w:r>
              <w:rPr>
                <w:sz w:val="18"/>
              </w:rPr>
              <w:t>5,408</w:t>
            </w:r>
          </w:p>
        </w:tc>
        <w:tc>
          <w:tcPr>
            <w:tcW w:w="1001" w:type="dxa"/>
          </w:tcPr>
          <w:p>
            <w:pPr>
              <w:pStyle w:val="TableParagraph"/>
              <w:spacing w:before="58"/>
              <w:ind w:left="266" w:right="47"/>
              <w:jc w:val="left"/>
              <w:rPr>
                <w:sz w:val="18"/>
              </w:rPr>
            </w:pPr>
            <w:r>
              <w:rPr>
                <w:sz w:val="18"/>
              </w:rPr>
              <w:t>6,272</w:t>
            </w:r>
          </w:p>
        </w:tc>
        <w:tc>
          <w:tcPr>
            <w:tcW w:w="1001" w:type="dxa"/>
          </w:tcPr>
          <w:p>
            <w:pPr>
              <w:pStyle w:val="TableParagraph"/>
              <w:spacing w:before="58"/>
              <w:ind w:left="74" w:right="75"/>
              <w:rPr>
                <w:sz w:val="18"/>
              </w:rPr>
            </w:pPr>
            <w:r>
              <w:rPr>
                <w:sz w:val="18"/>
              </w:rPr>
              <w:t>6,335</w:t>
            </w:r>
          </w:p>
        </w:tc>
      </w:tr>
      <w:tr>
        <w:trPr>
          <w:trHeight w:val="310" w:hRule="exact"/>
        </w:trPr>
        <w:tc>
          <w:tcPr>
            <w:tcW w:w="3507" w:type="dxa"/>
          </w:tcPr>
          <w:p>
            <w:pPr>
              <w:pStyle w:val="TableParagraph"/>
              <w:spacing w:before="22"/>
              <w:ind w:left="64"/>
              <w:jc w:val="left"/>
              <w:rPr>
                <w:b/>
                <w:sz w:val="18"/>
              </w:rPr>
            </w:pPr>
            <w:r>
              <w:rPr>
                <w:b/>
                <w:color w:val="333333"/>
                <w:sz w:val="18"/>
              </w:rPr>
              <w:t>SANTO TOMAS</w:t>
            </w:r>
          </w:p>
        </w:tc>
        <w:tc>
          <w:tcPr>
            <w:tcW w:w="1001" w:type="dxa"/>
          </w:tcPr>
          <w:p>
            <w:pPr>
              <w:pStyle w:val="TableParagraph"/>
              <w:spacing w:before="58"/>
              <w:ind w:left="73" w:right="77"/>
              <w:rPr>
                <w:sz w:val="18"/>
              </w:rPr>
            </w:pPr>
            <w:r>
              <w:rPr>
                <w:sz w:val="18"/>
              </w:rPr>
              <w:t>8,888</w:t>
            </w:r>
          </w:p>
        </w:tc>
        <w:tc>
          <w:tcPr>
            <w:tcW w:w="1001" w:type="dxa"/>
          </w:tcPr>
          <w:p>
            <w:pPr>
              <w:pStyle w:val="TableParagraph"/>
              <w:spacing w:before="58"/>
              <w:ind w:left="266" w:right="47"/>
              <w:jc w:val="left"/>
              <w:rPr>
                <w:sz w:val="18"/>
              </w:rPr>
            </w:pPr>
            <w:r>
              <w:rPr>
                <w:sz w:val="18"/>
              </w:rPr>
              <w:t>9,111</w:t>
            </w:r>
          </w:p>
        </w:tc>
        <w:tc>
          <w:tcPr>
            <w:tcW w:w="1001" w:type="dxa"/>
          </w:tcPr>
          <w:p>
            <w:pPr>
              <w:pStyle w:val="TableParagraph"/>
              <w:spacing w:before="58"/>
              <w:ind w:left="74" w:right="75"/>
              <w:rPr>
                <w:sz w:val="18"/>
              </w:rPr>
            </w:pPr>
            <w:r>
              <w:rPr>
                <w:sz w:val="18"/>
              </w:rPr>
              <w:t>9,105</w:t>
            </w:r>
          </w:p>
        </w:tc>
      </w:tr>
      <w:tr>
        <w:trPr>
          <w:trHeight w:val="312" w:hRule="exact"/>
        </w:trPr>
        <w:tc>
          <w:tcPr>
            <w:tcW w:w="3507" w:type="dxa"/>
          </w:tcPr>
          <w:p>
            <w:pPr>
              <w:pStyle w:val="TableParagraph"/>
              <w:spacing w:before="25"/>
              <w:ind w:left="64"/>
              <w:jc w:val="left"/>
              <w:rPr>
                <w:b/>
                <w:sz w:val="18"/>
              </w:rPr>
            </w:pPr>
            <w:r>
              <w:rPr>
                <w:b/>
                <w:color w:val="333333"/>
                <w:sz w:val="18"/>
              </w:rPr>
              <w:t>SOYANIQUILPAN DE JUAREZ</w:t>
            </w:r>
          </w:p>
        </w:tc>
        <w:tc>
          <w:tcPr>
            <w:tcW w:w="1001" w:type="dxa"/>
          </w:tcPr>
          <w:p>
            <w:pPr>
              <w:pStyle w:val="TableParagraph"/>
              <w:spacing w:before="58"/>
              <w:ind w:left="73" w:right="75"/>
              <w:rPr>
                <w:sz w:val="18"/>
              </w:rPr>
            </w:pPr>
            <w:r>
              <w:rPr>
                <w:sz w:val="18"/>
              </w:rPr>
              <w:t>10,719</w:t>
            </w:r>
          </w:p>
        </w:tc>
        <w:tc>
          <w:tcPr>
            <w:tcW w:w="1001" w:type="dxa"/>
          </w:tcPr>
          <w:p>
            <w:pPr>
              <w:pStyle w:val="TableParagraph"/>
              <w:spacing w:before="58"/>
              <w:ind w:left="218" w:right="47"/>
              <w:jc w:val="left"/>
              <w:rPr>
                <w:sz w:val="18"/>
              </w:rPr>
            </w:pPr>
            <w:r>
              <w:rPr>
                <w:sz w:val="18"/>
              </w:rPr>
              <w:t>11,798</w:t>
            </w:r>
          </w:p>
        </w:tc>
        <w:tc>
          <w:tcPr>
            <w:tcW w:w="1001" w:type="dxa"/>
          </w:tcPr>
          <w:p>
            <w:pPr>
              <w:pStyle w:val="TableParagraph"/>
              <w:spacing w:before="58"/>
              <w:ind w:left="75" w:right="75"/>
              <w:rPr>
                <w:sz w:val="18"/>
              </w:rPr>
            </w:pPr>
            <w:r>
              <w:rPr>
                <w:sz w:val="18"/>
              </w:rPr>
              <w:t>11,949</w:t>
            </w:r>
          </w:p>
        </w:tc>
      </w:tr>
      <w:tr>
        <w:trPr>
          <w:trHeight w:val="310" w:hRule="exact"/>
        </w:trPr>
        <w:tc>
          <w:tcPr>
            <w:tcW w:w="3507" w:type="dxa"/>
          </w:tcPr>
          <w:p>
            <w:pPr>
              <w:pStyle w:val="TableParagraph"/>
              <w:spacing w:before="22"/>
              <w:ind w:left="64"/>
              <w:jc w:val="left"/>
              <w:rPr>
                <w:b/>
                <w:sz w:val="18"/>
              </w:rPr>
            </w:pPr>
            <w:r>
              <w:rPr>
                <w:b/>
                <w:color w:val="333333"/>
                <w:sz w:val="18"/>
              </w:rPr>
              <w:t>SULTEPEC</w:t>
            </w:r>
          </w:p>
        </w:tc>
        <w:tc>
          <w:tcPr>
            <w:tcW w:w="1001" w:type="dxa"/>
          </w:tcPr>
          <w:p>
            <w:pPr>
              <w:pStyle w:val="TableParagraph"/>
              <w:spacing w:before="58"/>
              <w:ind w:left="73" w:right="75"/>
              <w:rPr>
                <w:sz w:val="18"/>
              </w:rPr>
            </w:pPr>
            <w:r>
              <w:rPr>
                <w:sz w:val="18"/>
              </w:rPr>
              <w:t>24,986</w:t>
            </w:r>
          </w:p>
        </w:tc>
        <w:tc>
          <w:tcPr>
            <w:tcW w:w="1001" w:type="dxa"/>
          </w:tcPr>
          <w:p>
            <w:pPr>
              <w:pStyle w:val="TableParagraph"/>
              <w:spacing w:before="58"/>
              <w:ind w:left="218" w:right="47"/>
              <w:jc w:val="left"/>
              <w:rPr>
                <w:sz w:val="18"/>
              </w:rPr>
            </w:pPr>
            <w:r>
              <w:rPr>
                <w:sz w:val="18"/>
              </w:rPr>
              <w:t>25,809</w:t>
            </w:r>
          </w:p>
        </w:tc>
        <w:tc>
          <w:tcPr>
            <w:tcW w:w="1001" w:type="dxa"/>
          </w:tcPr>
          <w:p>
            <w:pPr>
              <w:pStyle w:val="TableParagraph"/>
              <w:spacing w:before="58"/>
              <w:ind w:left="75" w:right="75"/>
              <w:rPr>
                <w:sz w:val="18"/>
              </w:rPr>
            </w:pPr>
            <w:r>
              <w:rPr>
                <w:sz w:val="18"/>
              </w:rPr>
              <w:t>25,385</w:t>
            </w:r>
          </w:p>
        </w:tc>
      </w:tr>
      <w:tr>
        <w:trPr>
          <w:trHeight w:val="310" w:hRule="exact"/>
        </w:trPr>
        <w:tc>
          <w:tcPr>
            <w:tcW w:w="3507" w:type="dxa"/>
          </w:tcPr>
          <w:p>
            <w:pPr>
              <w:pStyle w:val="TableParagraph"/>
              <w:spacing w:before="22"/>
              <w:ind w:left="64"/>
              <w:jc w:val="left"/>
              <w:rPr>
                <w:b/>
                <w:sz w:val="18"/>
              </w:rPr>
            </w:pPr>
            <w:r>
              <w:rPr>
                <w:b/>
                <w:color w:val="333333"/>
                <w:sz w:val="18"/>
              </w:rPr>
              <w:t>TECAMAC</w:t>
            </w:r>
          </w:p>
        </w:tc>
        <w:tc>
          <w:tcPr>
            <w:tcW w:w="1001" w:type="dxa"/>
          </w:tcPr>
          <w:p>
            <w:pPr>
              <w:pStyle w:val="TableParagraph"/>
              <w:spacing w:before="58"/>
              <w:ind w:left="73" w:right="75"/>
              <w:rPr>
                <w:sz w:val="18"/>
              </w:rPr>
            </w:pPr>
            <w:r>
              <w:rPr>
                <w:sz w:val="18"/>
              </w:rPr>
              <w:t>270,574</w:t>
            </w:r>
          </w:p>
        </w:tc>
        <w:tc>
          <w:tcPr>
            <w:tcW w:w="1001" w:type="dxa"/>
          </w:tcPr>
          <w:p>
            <w:pPr>
              <w:pStyle w:val="TableParagraph"/>
              <w:spacing w:before="58"/>
              <w:ind w:left="168" w:right="47"/>
              <w:jc w:val="left"/>
              <w:rPr>
                <w:sz w:val="18"/>
              </w:rPr>
            </w:pPr>
            <w:r>
              <w:rPr>
                <w:sz w:val="18"/>
              </w:rPr>
              <w:t>364,579</w:t>
            </w:r>
          </w:p>
        </w:tc>
        <w:tc>
          <w:tcPr>
            <w:tcW w:w="1001" w:type="dxa"/>
          </w:tcPr>
          <w:p>
            <w:pPr>
              <w:pStyle w:val="TableParagraph"/>
              <w:spacing w:before="58"/>
              <w:ind w:left="75" w:right="75"/>
              <w:rPr>
                <w:sz w:val="18"/>
              </w:rPr>
            </w:pPr>
            <w:r>
              <w:rPr>
                <w:sz w:val="18"/>
              </w:rPr>
              <w:t>397,699</w:t>
            </w:r>
          </w:p>
        </w:tc>
      </w:tr>
      <w:tr>
        <w:trPr>
          <w:trHeight w:val="310" w:hRule="exact"/>
        </w:trPr>
        <w:tc>
          <w:tcPr>
            <w:tcW w:w="3507" w:type="dxa"/>
          </w:tcPr>
          <w:p>
            <w:pPr>
              <w:pStyle w:val="TableParagraph"/>
              <w:spacing w:before="23"/>
              <w:ind w:left="64"/>
              <w:jc w:val="left"/>
              <w:rPr>
                <w:b/>
                <w:sz w:val="18"/>
              </w:rPr>
            </w:pPr>
            <w:r>
              <w:rPr>
                <w:b/>
                <w:color w:val="333333"/>
                <w:sz w:val="18"/>
              </w:rPr>
              <w:t>TEJUPILCO</w:t>
            </w:r>
          </w:p>
        </w:tc>
        <w:tc>
          <w:tcPr>
            <w:tcW w:w="1001" w:type="dxa"/>
          </w:tcPr>
          <w:p>
            <w:pPr>
              <w:pStyle w:val="TableParagraph"/>
              <w:spacing w:before="59"/>
              <w:ind w:left="73" w:right="75"/>
              <w:rPr>
                <w:sz w:val="18"/>
              </w:rPr>
            </w:pPr>
            <w:r>
              <w:rPr>
                <w:sz w:val="18"/>
              </w:rPr>
              <w:t>62,547</w:t>
            </w:r>
          </w:p>
        </w:tc>
        <w:tc>
          <w:tcPr>
            <w:tcW w:w="1001" w:type="dxa"/>
          </w:tcPr>
          <w:p>
            <w:pPr>
              <w:pStyle w:val="TableParagraph"/>
              <w:spacing w:before="59"/>
              <w:ind w:left="218" w:right="47"/>
              <w:jc w:val="left"/>
              <w:rPr>
                <w:sz w:val="18"/>
              </w:rPr>
            </w:pPr>
            <w:r>
              <w:rPr>
                <w:sz w:val="18"/>
              </w:rPr>
              <w:t>71,077</w:t>
            </w:r>
          </w:p>
        </w:tc>
        <w:tc>
          <w:tcPr>
            <w:tcW w:w="1001" w:type="dxa"/>
          </w:tcPr>
          <w:p>
            <w:pPr>
              <w:pStyle w:val="TableParagraph"/>
              <w:spacing w:before="59"/>
              <w:ind w:left="75" w:right="75"/>
              <w:rPr>
                <w:sz w:val="18"/>
              </w:rPr>
            </w:pPr>
            <w:r>
              <w:rPr>
                <w:sz w:val="18"/>
              </w:rPr>
              <w:t>71,293</w:t>
            </w:r>
          </w:p>
        </w:tc>
      </w:tr>
      <w:tr>
        <w:trPr>
          <w:trHeight w:val="310" w:hRule="exact"/>
        </w:trPr>
        <w:tc>
          <w:tcPr>
            <w:tcW w:w="3507" w:type="dxa"/>
          </w:tcPr>
          <w:p>
            <w:pPr>
              <w:pStyle w:val="TableParagraph"/>
              <w:spacing w:before="22"/>
              <w:ind w:left="64"/>
              <w:jc w:val="left"/>
              <w:rPr>
                <w:b/>
                <w:sz w:val="18"/>
              </w:rPr>
            </w:pPr>
            <w:r>
              <w:rPr>
                <w:b/>
                <w:color w:val="333333"/>
                <w:sz w:val="18"/>
              </w:rPr>
              <w:t>TEMAMATLA</w:t>
            </w:r>
          </w:p>
        </w:tc>
        <w:tc>
          <w:tcPr>
            <w:tcW w:w="1001" w:type="dxa"/>
          </w:tcPr>
          <w:p>
            <w:pPr>
              <w:pStyle w:val="TableParagraph"/>
              <w:spacing w:before="58"/>
              <w:ind w:left="73" w:right="75"/>
              <w:rPr>
                <w:sz w:val="18"/>
              </w:rPr>
            </w:pPr>
            <w:r>
              <w:rPr>
                <w:sz w:val="18"/>
              </w:rPr>
              <w:t>10,135</w:t>
            </w:r>
          </w:p>
        </w:tc>
        <w:tc>
          <w:tcPr>
            <w:tcW w:w="1001" w:type="dxa"/>
          </w:tcPr>
          <w:p>
            <w:pPr>
              <w:pStyle w:val="TableParagraph"/>
              <w:spacing w:before="58"/>
              <w:ind w:left="218" w:right="47"/>
              <w:jc w:val="left"/>
              <w:rPr>
                <w:sz w:val="18"/>
              </w:rPr>
            </w:pPr>
            <w:r>
              <w:rPr>
                <w:sz w:val="18"/>
              </w:rPr>
              <w:t>11,206</w:t>
            </w:r>
          </w:p>
        </w:tc>
        <w:tc>
          <w:tcPr>
            <w:tcW w:w="1001" w:type="dxa"/>
          </w:tcPr>
          <w:p>
            <w:pPr>
              <w:pStyle w:val="TableParagraph"/>
              <w:spacing w:before="58"/>
              <w:ind w:left="75" w:right="75"/>
              <w:rPr>
                <w:sz w:val="18"/>
              </w:rPr>
            </w:pPr>
            <w:r>
              <w:rPr>
                <w:sz w:val="18"/>
              </w:rPr>
              <w:t>11,454</w:t>
            </w:r>
          </w:p>
        </w:tc>
      </w:tr>
      <w:tr>
        <w:trPr>
          <w:trHeight w:val="310" w:hRule="exact"/>
        </w:trPr>
        <w:tc>
          <w:tcPr>
            <w:tcW w:w="3507" w:type="dxa"/>
          </w:tcPr>
          <w:p>
            <w:pPr>
              <w:pStyle w:val="TableParagraph"/>
              <w:spacing w:before="22"/>
              <w:ind w:left="64"/>
              <w:jc w:val="left"/>
              <w:rPr>
                <w:b/>
                <w:sz w:val="18"/>
              </w:rPr>
            </w:pPr>
            <w:r>
              <w:rPr>
                <w:b/>
                <w:color w:val="333333"/>
                <w:sz w:val="18"/>
              </w:rPr>
              <w:t>TEMASCALAPA</w:t>
            </w:r>
          </w:p>
        </w:tc>
        <w:tc>
          <w:tcPr>
            <w:tcW w:w="1001" w:type="dxa"/>
          </w:tcPr>
          <w:p>
            <w:pPr>
              <w:pStyle w:val="TableParagraph"/>
              <w:spacing w:before="58"/>
              <w:ind w:left="73" w:right="75"/>
              <w:rPr>
                <w:sz w:val="18"/>
              </w:rPr>
            </w:pPr>
            <w:r>
              <w:rPr>
                <w:sz w:val="18"/>
              </w:rPr>
              <w:t>33,063</w:t>
            </w:r>
          </w:p>
        </w:tc>
        <w:tc>
          <w:tcPr>
            <w:tcW w:w="1001" w:type="dxa"/>
          </w:tcPr>
          <w:p>
            <w:pPr>
              <w:pStyle w:val="TableParagraph"/>
              <w:spacing w:before="58"/>
              <w:ind w:left="218" w:right="47"/>
              <w:jc w:val="left"/>
              <w:rPr>
                <w:sz w:val="18"/>
              </w:rPr>
            </w:pPr>
            <w:r>
              <w:rPr>
                <w:sz w:val="18"/>
              </w:rPr>
              <w:t>35,987</w:t>
            </w:r>
          </w:p>
        </w:tc>
        <w:tc>
          <w:tcPr>
            <w:tcW w:w="1001" w:type="dxa"/>
          </w:tcPr>
          <w:p>
            <w:pPr>
              <w:pStyle w:val="TableParagraph"/>
              <w:spacing w:before="58"/>
              <w:ind w:left="75" w:right="75"/>
              <w:rPr>
                <w:sz w:val="18"/>
              </w:rPr>
            </w:pPr>
            <w:r>
              <w:rPr>
                <w:sz w:val="18"/>
              </w:rPr>
              <w:t>36,636</w:t>
            </w:r>
          </w:p>
        </w:tc>
      </w:tr>
      <w:tr>
        <w:trPr>
          <w:trHeight w:val="312" w:hRule="exact"/>
        </w:trPr>
        <w:tc>
          <w:tcPr>
            <w:tcW w:w="3507" w:type="dxa"/>
          </w:tcPr>
          <w:p>
            <w:pPr>
              <w:pStyle w:val="TableParagraph"/>
              <w:spacing w:before="25"/>
              <w:ind w:left="64"/>
              <w:jc w:val="left"/>
              <w:rPr>
                <w:b/>
                <w:sz w:val="18"/>
              </w:rPr>
            </w:pPr>
            <w:r>
              <w:rPr>
                <w:b/>
                <w:color w:val="333333"/>
                <w:sz w:val="18"/>
              </w:rPr>
              <w:t>TEMASCALCINGO</w:t>
            </w:r>
          </w:p>
        </w:tc>
        <w:tc>
          <w:tcPr>
            <w:tcW w:w="1001" w:type="dxa"/>
          </w:tcPr>
          <w:p>
            <w:pPr>
              <w:pStyle w:val="TableParagraph"/>
              <w:spacing w:before="58"/>
              <w:ind w:left="73" w:right="75"/>
              <w:rPr>
                <w:sz w:val="18"/>
              </w:rPr>
            </w:pPr>
            <w:r>
              <w:rPr>
                <w:sz w:val="18"/>
              </w:rPr>
              <w:t>58,169</w:t>
            </w:r>
          </w:p>
        </w:tc>
        <w:tc>
          <w:tcPr>
            <w:tcW w:w="1001" w:type="dxa"/>
          </w:tcPr>
          <w:p>
            <w:pPr>
              <w:pStyle w:val="TableParagraph"/>
              <w:spacing w:before="58"/>
              <w:ind w:left="218" w:right="47"/>
              <w:jc w:val="left"/>
              <w:rPr>
                <w:sz w:val="18"/>
              </w:rPr>
            </w:pPr>
            <w:r>
              <w:rPr>
                <w:sz w:val="18"/>
              </w:rPr>
              <w:t>62,695</w:t>
            </w:r>
          </w:p>
        </w:tc>
        <w:tc>
          <w:tcPr>
            <w:tcW w:w="1001" w:type="dxa"/>
          </w:tcPr>
          <w:p>
            <w:pPr>
              <w:pStyle w:val="TableParagraph"/>
              <w:spacing w:before="58"/>
              <w:ind w:left="75" w:right="75"/>
              <w:rPr>
                <w:sz w:val="18"/>
              </w:rPr>
            </w:pPr>
            <w:r>
              <w:rPr>
                <w:sz w:val="18"/>
              </w:rPr>
              <w:t>62,280</w:t>
            </w:r>
          </w:p>
        </w:tc>
      </w:tr>
      <w:tr>
        <w:trPr>
          <w:trHeight w:val="310" w:hRule="exact"/>
        </w:trPr>
        <w:tc>
          <w:tcPr>
            <w:tcW w:w="3507" w:type="dxa"/>
          </w:tcPr>
          <w:p>
            <w:pPr>
              <w:pStyle w:val="TableParagraph"/>
              <w:spacing w:before="22"/>
              <w:ind w:left="64"/>
              <w:jc w:val="left"/>
              <w:rPr>
                <w:b/>
                <w:sz w:val="18"/>
              </w:rPr>
            </w:pPr>
            <w:r>
              <w:rPr>
                <w:b/>
                <w:color w:val="333333"/>
                <w:sz w:val="18"/>
              </w:rPr>
              <w:t>TEMASCALTEPEC</w:t>
            </w:r>
          </w:p>
        </w:tc>
        <w:tc>
          <w:tcPr>
            <w:tcW w:w="1001" w:type="dxa"/>
          </w:tcPr>
          <w:p>
            <w:pPr>
              <w:pStyle w:val="TableParagraph"/>
              <w:spacing w:before="58"/>
              <w:ind w:left="73" w:right="75"/>
              <w:rPr>
                <w:sz w:val="18"/>
              </w:rPr>
            </w:pPr>
            <w:r>
              <w:rPr>
                <w:sz w:val="18"/>
              </w:rPr>
              <w:t>30,336</w:t>
            </w:r>
          </w:p>
        </w:tc>
        <w:tc>
          <w:tcPr>
            <w:tcW w:w="1001" w:type="dxa"/>
          </w:tcPr>
          <w:p>
            <w:pPr>
              <w:pStyle w:val="TableParagraph"/>
              <w:spacing w:before="58"/>
              <w:ind w:left="218" w:right="47"/>
              <w:jc w:val="left"/>
              <w:rPr>
                <w:sz w:val="18"/>
              </w:rPr>
            </w:pPr>
            <w:r>
              <w:rPr>
                <w:sz w:val="18"/>
              </w:rPr>
              <w:t>32,870</w:t>
            </w:r>
          </w:p>
        </w:tc>
        <w:tc>
          <w:tcPr>
            <w:tcW w:w="1001" w:type="dxa"/>
          </w:tcPr>
          <w:p>
            <w:pPr>
              <w:pStyle w:val="TableParagraph"/>
              <w:spacing w:before="58"/>
              <w:ind w:left="75" w:right="75"/>
              <w:rPr>
                <w:sz w:val="18"/>
              </w:rPr>
            </w:pPr>
            <w:r>
              <w:rPr>
                <w:sz w:val="18"/>
              </w:rPr>
              <w:t>32,821</w:t>
            </w:r>
          </w:p>
        </w:tc>
      </w:tr>
      <w:tr>
        <w:trPr>
          <w:trHeight w:val="310" w:hRule="exact"/>
        </w:trPr>
        <w:tc>
          <w:tcPr>
            <w:tcW w:w="3507" w:type="dxa"/>
          </w:tcPr>
          <w:p>
            <w:pPr>
              <w:pStyle w:val="TableParagraph"/>
              <w:spacing w:before="22"/>
              <w:ind w:left="64"/>
              <w:jc w:val="left"/>
              <w:rPr>
                <w:b/>
                <w:sz w:val="18"/>
              </w:rPr>
            </w:pPr>
            <w:r>
              <w:rPr>
                <w:b/>
                <w:color w:val="333333"/>
                <w:sz w:val="18"/>
              </w:rPr>
              <w:t>TEMOAYA</w:t>
            </w:r>
          </w:p>
        </w:tc>
        <w:tc>
          <w:tcPr>
            <w:tcW w:w="1001" w:type="dxa"/>
          </w:tcPr>
          <w:p>
            <w:pPr>
              <w:pStyle w:val="TableParagraph"/>
              <w:spacing w:before="58"/>
              <w:ind w:left="73" w:right="75"/>
              <w:rPr>
                <w:sz w:val="18"/>
              </w:rPr>
            </w:pPr>
            <w:r>
              <w:rPr>
                <w:sz w:val="18"/>
              </w:rPr>
              <w:t>77,714</w:t>
            </w:r>
          </w:p>
        </w:tc>
        <w:tc>
          <w:tcPr>
            <w:tcW w:w="1001" w:type="dxa"/>
          </w:tcPr>
          <w:p>
            <w:pPr>
              <w:pStyle w:val="TableParagraph"/>
              <w:spacing w:before="58"/>
              <w:ind w:left="218" w:right="47"/>
              <w:jc w:val="left"/>
              <w:rPr>
                <w:sz w:val="18"/>
              </w:rPr>
            </w:pPr>
            <w:r>
              <w:rPr>
                <w:sz w:val="18"/>
              </w:rPr>
              <w:t>90,010</w:t>
            </w:r>
          </w:p>
        </w:tc>
        <w:tc>
          <w:tcPr>
            <w:tcW w:w="1001" w:type="dxa"/>
          </w:tcPr>
          <w:p>
            <w:pPr>
              <w:pStyle w:val="TableParagraph"/>
              <w:spacing w:before="58"/>
              <w:ind w:left="75" w:right="75"/>
              <w:rPr>
                <w:sz w:val="18"/>
              </w:rPr>
            </w:pPr>
            <w:r>
              <w:rPr>
                <w:sz w:val="18"/>
              </w:rPr>
              <w:t>92,287</w:t>
            </w:r>
          </w:p>
        </w:tc>
      </w:tr>
      <w:tr>
        <w:trPr>
          <w:trHeight w:val="310" w:hRule="exact"/>
        </w:trPr>
        <w:tc>
          <w:tcPr>
            <w:tcW w:w="3507" w:type="dxa"/>
          </w:tcPr>
          <w:p>
            <w:pPr>
              <w:pStyle w:val="TableParagraph"/>
              <w:spacing w:before="22"/>
              <w:ind w:left="64"/>
              <w:jc w:val="left"/>
              <w:rPr>
                <w:b/>
                <w:sz w:val="18"/>
              </w:rPr>
            </w:pPr>
            <w:r>
              <w:rPr>
                <w:b/>
                <w:color w:val="333333"/>
                <w:sz w:val="18"/>
              </w:rPr>
              <w:t>TENANCINGO</w:t>
            </w:r>
          </w:p>
        </w:tc>
        <w:tc>
          <w:tcPr>
            <w:tcW w:w="1001" w:type="dxa"/>
          </w:tcPr>
          <w:p>
            <w:pPr>
              <w:pStyle w:val="TableParagraph"/>
              <w:spacing w:before="58"/>
              <w:ind w:left="73" w:right="75"/>
              <w:rPr>
                <w:sz w:val="18"/>
              </w:rPr>
            </w:pPr>
            <w:r>
              <w:rPr>
                <w:sz w:val="18"/>
              </w:rPr>
              <w:t>80,183</w:t>
            </w:r>
          </w:p>
        </w:tc>
        <w:tc>
          <w:tcPr>
            <w:tcW w:w="1001" w:type="dxa"/>
          </w:tcPr>
          <w:p>
            <w:pPr>
              <w:pStyle w:val="TableParagraph"/>
              <w:spacing w:before="58"/>
              <w:ind w:left="218" w:right="47"/>
              <w:jc w:val="left"/>
              <w:rPr>
                <w:sz w:val="18"/>
              </w:rPr>
            </w:pPr>
            <w:r>
              <w:rPr>
                <w:sz w:val="18"/>
              </w:rPr>
              <w:t>90,946</w:t>
            </w:r>
          </w:p>
        </w:tc>
        <w:tc>
          <w:tcPr>
            <w:tcW w:w="1001" w:type="dxa"/>
          </w:tcPr>
          <w:p>
            <w:pPr>
              <w:pStyle w:val="TableParagraph"/>
              <w:spacing w:before="58"/>
              <w:ind w:left="75" w:right="75"/>
              <w:rPr>
                <w:sz w:val="18"/>
              </w:rPr>
            </w:pPr>
            <w:r>
              <w:rPr>
                <w:sz w:val="18"/>
              </w:rPr>
              <w:t>92,052</w:t>
            </w:r>
          </w:p>
        </w:tc>
      </w:tr>
      <w:tr>
        <w:trPr>
          <w:trHeight w:val="310" w:hRule="exact"/>
        </w:trPr>
        <w:tc>
          <w:tcPr>
            <w:tcW w:w="3507" w:type="dxa"/>
          </w:tcPr>
          <w:p>
            <w:pPr>
              <w:pStyle w:val="TableParagraph"/>
              <w:spacing w:before="22"/>
              <w:ind w:left="64"/>
              <w:jc w:val="left"/>
              <w:rPr>
                <w:b/>
                <w:sz w:val="18"/>
              </w:rPr>
            </w:pPr>
            <w:r>
              <w:rPr>
                <w:b/>
                <w:color w:val="333333"/>
                <w:sz w:val="18"/>
              </w:rPr>
              <w:t>TENANGO DEL AIRE</w:t>
            </w:r>
          </w:p>
        </w:tc>
        <w:tc>
          <w:tcPr>
            <w:tcW w:w="1001" w:type="dxa"/>
          </w:tcPr>
          <w:p>
            <w:pPr>
              <w:pStyle w:val="TableParagraph"/>
              <w:spacing w:before="58"/>
              <w:ind w:left="73" w:right="77"/>
              <w:rPr>
                <w:sz w:val="18"/>
              </w:rPr>
            </w:pPr>
            <w:r>
              <w:rPr>
                <w:sz w:val="18"/>
              </w:rPr>
              <w:t>9,432</w:t>
            </w:r>
          </w:p>
        </w:tc>
        <w:tc>
          <w:tcPr>
            <w:tcW w:w="1001" w:type="dxa"/>
          </w:tcPr>
          <w:p>
            <w:pPr>
              <w:pStyle w:val="TableParagraph"/>
              <w:spacing w:before="58"/>
              <w:ind w:left="218" w:right="47"/>
              <w:jc w:val="left"/>
              <w:rPr>
                <w:sz w:val="18"/>
              </w:rPr>
            </w:pPr>
            <w:r>
              <w:rPr>
                <w:sz w:val="18"/>
              </w:rPr>
              <w:t>10,578</w:t>
            </w:r>
          </w:p>
        </w:tc>
        <w:tc>
          <w:tcPr>
            <w:tcW w:w="1001" w:type="dxa"/>
          </w:tcPr>
          <w:p>
            <w:pPr>
              <w:pStyle w:val="TableParagraph"/>
              <w:spacing w:before="58"/>
              <w:ind w:left="75" w:right="75"/>
              <w:rPr>
                <w:sz w:val="18"/>
              </w:rPr>
            </w:pPr>
            <w:r>
              <w:rPr>
                <w:sz w:val="18"/>
              </w:rPr>
              <w:t>10,789</w:t>
            </w:r>
          </w:p>
        </w:tc>
      </w:tr>
      <w:tr>
        <w:trPr>
          <w:trHeight w:val="310" w:hRule="exact"/>
        </w:trPr>
        <w:tc>
          <w:tcPr>
            <w:tcW w:w="3507" w:type="dxa"/>
          </w:tcPr>
          <w:p>
            <w:pPr>
              <w:pStyle w:val="TableParagraph"/>
              <w:spacing w:before="22"/>
              <w:ind w:left="64"/>
              <w:jc w:val="left"/>
              <w:rPr>
                <w:b/>
                <w:sz w:val="18"/>
              </w:rPr>
            </w:pPr>
            <w:r>
              <w:rPr>
                <w:b/>
                <w:color w:val="333333"/>
                <w:sz w:val="18"/>
              </w:rPr>
              <w:t>TENANGO DEL VALLE</w:t>
            </w:r>
          </w:p>
        </w:tc>
        <w:tc>
          <w:tcPr>
            <w:tcW w:w="1001" w:type="dxa"/>
          </w:tcPr>
          <w:p>
            <w:pPr>
              <w:pStyle w:val="TableParagraph"/>
              <w:spacing w:before="58"/>
              <w:ind w:left="73" w:right="75"/>
              <w:rPr>
                <w:sz w:val="18"/>
              </w:rPr>
            </w:pPr>
            <w:r>
              <w:rPr>
                <w:sz w:val="18"/>
              </w:rPr>
              <w:t>68,669</w:t>
            </w:r>
          </w:p>
        </w:tc>
        <w:tc>
          <w:tcPr>
            <w:tcW w:w="1001" w:type="dxa"/>
          </w:tcPr>
          <w:p>
            <w:pPr>
              <w:pStyle w:val="TableParagraph"/>
              <w:spacing w:before="58"/>
              <w:ind w:left="218" w:right="47"/>
              <w:jc w:val="left"/>
              <w:rPr>
                <w:sz w:val="18"/>
              </w:rPr>
            </w:pPr>
            <w:r>
              <w:rPr>
                <w:sz w:val="18"/>
              </w:rPr>
              <w:t>77,965</w:t>
            </w:r>
          </w:p>
        </w:tc>
        <w:tc>
          <w:tcPr>
            <w:tcW w:w="1001" w:type="dxa"/>
          </w:tcPr>
          <w:p>
            <w:pPr>
              <w:pStyle w:val="TableParagraph"/>
              <w:spacing w:before="58"/>
              <w:ind w:left="75" w:right="75"/>
              <w:rPr>
                <w:sz w:val="18"/>
              </w:rPr>
            </w:pPr>
            <w:r>
              <w:rPr>
                <w:sz w:val="18"/>
              </w:rPr>
              <w:t>79,118</w:t>
            </w:r>
          </w:p>
        </w:tc>
      </w:tr>
      <w:tr>
        <w:trPr>
          <w:trHeight w:val="312" w:hRule="exact"/>
        </w:trPr>
        <w:tc>
          <w:tcPr>
            <w:tcW w:w="3507" w:type="dxa"/>
          </w:tcPr>
          <w:p>
            <w:pPr>
              <w:pStyle w:val="TableParagraph"/>
              <w:spacing w:before="25"/>
              <w:ind w:left="64"/>
              <w:jc w:val="left"/>
              <w:rPr>
                <w:b/>
                <w:sz w:val="18"/>
              </w:rPr>
            </w:pPr>
            <w:r>
              <w:rPr>
                <w:b/>
                <w:color w:val="333333"/>
                <w:sz w:val="18"/>
              </w:rPr>
              <w:t>TEOLOYUCAN</w:t>
            </w:r>
          </w:p>
        </w:tc>
        <w:tc>
          <w:tcPr>
            <w:tcW w:w="1001" w:type="dxa"/>
          </w:tcPr>
          <w:p>
            <w:pPr>
              <w:pStyle w:val="TableParagraph"/>
              <w:spacing w:before="58"/>
              <w:ind w:left="73" w:right="75"/>
              <w:rPr>
                <w:sz w:val="18"/>
              </w:rPr>
            </w:pPr>
            <w:r>
              <w:rPr>
                <w:sz w:val="18"/>
              </w:rPr>
              <w:t>73,696</w:t>
            </w:r>
          </w:p>
        </w:tc>
        <w:tc>
          <w:tcPr>
            <w:tcW w:w="1001" w:type="dxa"/>
          </w:tcPr>
          <w:p>
            <w:pPr>
              <w:pStyle w:val="TableParagraph"/>
              <w:spacing w:before="58"/>
              <w:ind w:left="218" w:right="47"/>
              <w:jc w:val="left"/>
              <w:rPr>
                <w:sz w:val="18"/>
              </w:rPr>
            </w:pPr>
            <w:r>
              <w:rPr>
                <w:sz w:val="18"/>
              </w:rPr>
              <w:t>63,115</w:t>
            </w:r>
          </w:p>
        </w:tc>
        <w:tc>
          <w:tcPr>
            <w:tcW w:w="1001" w:type="dxa"/>
          </w:tcPr>
          <w:p>
            <w:pPr>
              <w:pStyle w:val="TableParagraph"/>
              <w:spacing w:before="58"/>
              <w:ind w:left="75" w:right="75"/>
              <w:rPr>
                <w:sz w:val="18"/>
              </w:rPr>
            </w:pPr>
            <w:r>
              <w:rPr>
                <w:sz w:val="18"/>
              </w:rPr>
              <w:t>62,186</w:t>
            </w:r>
          </w:p>
        </w:tc>
      </w:tr>
      <w:tr>
        <w:trPr>
          <w:trHeight w:val="310" w:hRule="exact"/>
        </w:trPr>
        <w:tc>
          <w:tcPr>
            <w:tcW w:w="3507" w:type="dxa"/>
          </w:tcPr>
          <w:p>
            <w:pPr>
              <w:pStyle w:val="TableParagraph"/>
              <w:spacing w:before="22"/>
              <w:ind w:left="64"/>
              <w:jc w:val="left"/>
              <w:rPr>
                <w:b/>
                <w:sz w:val="18"/>
              </w:rPr>
            </w:pPr>
            <w:r>
              <w:rPr>
                <w:b/>
                <w:color w:val="333333"/>
                <w:sz w:val="18"/>
              </w:rPr>
              <w:t>TEOTIHUACAN</w:t>
            </w:r>
          </w:p>
        </w:tc>
        <w:tc>
          <w:tcPr>
            <w:tcW w:w="1001" w:type="dxa"/>
          </w:tcPr>
          <w:p>
            <w:pPr>
              <w:pStyle w:val="TableParagraph"/>
              <w:spacing w:before="58"/>
              <w:ind w:left="73" w:right="75"/>
              <w:rPr>
                <w:sz w:val="18"/>
              </w:rPr>
            </w:pPr>
            <w:r>
              <w:rPr>
                <w:sz w:val="18"/>
              </w:rPr>
              <w:t>46,779</w:t>
            </w:r>
          </w:p>
        </w:tc>
        <w:tc>
          <w:tcPr>
            <w:tcW w:w="1001" w:type="dxa"/>
          </w:tcPr>
          <w:p>
            <w:pPr>
              <w:pStyle w:val="TableParagraph"/>
              <w:spacing w:before="58"/>
              <w:ind w:left="218" w:right="47"/>
              <w:jc w:val="left"/>
              <w:rPr>
                <w:sz w:val="18"/>
              </w:rPr>
            </w:pPr>
            <w:r>
              <w:rPr>
                <w:sz w:val="18"/>
              </w:rPr>
              <w:t>53,010</w:t>
            </w:r>
          </w:p>
        </w:tc>
        <w:tc>
          <w:tcPr>
            <w:tcW w:w="1001" w:type="dxa"/>
          </w:tcPr>
          <w:p>
            <w:pPr>
              <w:pStyle w:val="TableParagraph"/>
              <w:spacing w:before="58"/>
              <w:ind w:left="75" w:right="75"/>
              <w:rPr>
                <w:sz w:val="18"/>
              </w:rPr>
            </w:pPr>
            <w:r>
              <w:rPr>
                <w:sz w:val="18"/>
              </w:rPr>
              <w:t>53,736</w:t>
            </w:r>
          </w:p>
        </w:tc>
      </w:tr>
      <w:tr>
        <w:trPr>
          <w:trHeight w:val="310" w:hRule="exact"/>
        </w:trPr>
        <w:tc>
          <w:tcPr>
            <w:tcW w:w="3507" w:type="dxa"/>
          </w:tcPr>
          <w:p>
            <w:pPr>
              <w:pStyle w:val="TableParagraph"/>
              <w:spacing w:before="23"/>
              <w:ind w:left="64"/>
              <w:jc w:val="left"/>
              <w:rPr>
                <w:b/>
                <w:sz w:val="18"/>
              </w:rPr>
            </w:pPr>
            <w:r>
              <w:rPr>
                <w:b/>
                <w:color w:val="333333"/>
                <w:sz w:val="18"/>
              </w:rPr>
              <w:t>TEPETLAOXTOC</w:t>
            </w:r>
          </w:p>
        </w:tc>
        <w:tc>
          <w:tcPr>
            <w:tcW w:w="1001" w:type="dxa"/>
          </w:tcPr>
          <w:p>
            <w:pPr>
              <w:pStyle w:val="TableParagraph"/>
              <w:spacing w:before="59"/>
              <w:ind w:left="73" w:right="75"/>
              <w:rPr>
                <w:sz w:val="18"/>
              </w:rPr>
            </w:pPr>
            <w:r>
              <w:rPr>
                <w:sz w:val="18"/>
              </w:rPr>
              <w:t>25,507</w:t>
            </w:r>
          </w:p>
        </w:tc>
        <w:tc>
          <w:tcPr>
            <w:tcW w:w="1001" w:type="dxa"/>
          </w:tcPr>
          <w:p>
            <w:pPr>
              <w:pStyle w:val="TableParagraph"/>
              <w:spacing w:before="59"/>
              <w:ind w:left="218" w:right="47"/>
              <w:jc w:val="left"/>
              <w:rPr>
                <w:sz w:val="18"/>
              </w:rPr>
            </w:pPr>
            <w:r>
              <w:rPr>
                <w:sz w:val="18"/>
              </w:rPr>
              <w:t>27,944</w:t>
            </w:r>
          </w:p>
        </w:tc>
        <w:tc>
          <w:tcPr>
            <w:tcW w:w="1001" w:type="dxa"/>
          </w:tcPr>
          <w:p>
            <w:pPr>
              <w:pStyle w:val="TableParagraph"/>
              <w:spacing w:before="59"/>
              <w:ind w:left="75" w:right="75"/>
              <w:rPr>
                <w:sz w:val="18"/>
              </w:rPr>
            </w:pPr>
            <w:r>
              <w:rPr>
                <w:sz w:val="18"/>
              </w:rPr>
              <w:t>28,453</w:t>
            </w:r>
          </w:p>
        </w:tc>
      </w:tr>
      <w:tr>
        <w:trPr>
          <w:trHeight w:val="310" w:hRule="exact"/>
        </w:trPr>
        <w:tc>
          <w:tcPr>
            <w:tcW w:w="3507" w:type="dxa"/>
          </w:tcPr>
          <w:p>
            <w:pPr>
              <w:pStyle w:val="TableParagraph"/>
              <w:spacing w:before="22"/>
              <w:ind w:left="64"/>
              <w:jc w:val="left"/>
              <w:rPr>
                <w:b/>
                <w:sz w:val="18"/>
              </w:rPr>
            </w:pPr>
            <w:r>
              <w:rPr>
                <w:b/>
                <w:color w:val="333333"/>
                <w:sz w:val="18"/>
              </w:rPr>
              <w:t>TEPETLIXPA</w:t>
            </w:r>
          </w:p>
        </w:tc>
        <w:tc>
          <w:tcPr>
            <w:tcW w:w="1001" w:type="dxa"/>
          </w:tcPr>
          <w:p>
            <w:pPr>
              <w:pStyle w:val="TableParagraph"/>
              <w:spacing w:before="58"/>
              <w:ind w:left="73" w:right="75"/>
              <w:rPr>
                <w:sz w:val="18"/>
              </w:rPr>
            </w:pPr>
            <w:r>
              <w:rPr>
                <w:sz w:val="18"/>
              </w:rPr>
              <w:t>16,912</w:t>
            </w:r>
          </w:p>
        </w:tc>
        <w:tc>
          <w:tcPr>
            <w:tcW w:w="1001" w:type="dxa"/>
          </w:tcPr>
          <w:p>
            <w:pPr>
              <w:pStyle w:val="TableParagraph"/>
              <w:spacing w:before="58"/>
              <w:ind w:left="218" w:right="47"/>
              <w:jc w:val="left"/>
              <w:rPr>
                <w:sz w:val="18"/>
              </w:rPr>
            </w:pPr>
            <w:r>
              <w:rPr>
                <w:sz w:val="18"/>
              </w:rPr>
              <w:t>18,327</w:t>
            </w:r>
          </w:p>
        </w:tc>
        <w:tc>
          <w:tcPr>
            <w:tcW w:w="1001" w:type="dxa"/>
          </w:tcPr>
          <w:p>
            <w:pPr>
              <w:pStyle w:val="TableParagraph"/>
              <w:spacing w:before="58"/>
              <w:ind w:left="75" w:right="75"/>
              <w:rPr>
                <w:sz w:val="18"/>
              </w:rPr>
            </w:pPr>
            <w:r>
              <w:rPr>
                <w:sz w:val="18"/>
              </w:rPr>
              <w:t>18,371</w:t>
            </w:r>
          </w:p>
        </w:tc>
      </w:tr>
      <w:tr>
        <w:trPr>
          <w:trHeight w:val="310" w:hRule="exact"/>
        </w:trPr>
        <w:tc>
          <w:tcPr>
            <w:tcW w:w="3507" w:type="dxa"/>
          </w:tcPr>
          <w:p>
            <w:pPr>
              <w:pStyle w:val="TableParagraph"/>
              <w:spacing w:before="22"/>
              <w:ind w:left="64"/>
              <w:jc w:val="left"/>
              <w:rPr>
                <w:b/>
                <w:sz w:val="18"/>
              </w:rPr>
            </w:pPr>
            <w:r>
              <w:rPr>
                <w:b/>
                <w:color w:val="333333"/>
                <w:sz w:val="18"/>
              </w:rPr>
              <w:t>TEPOTZOTLAN</w:t>
            </w:r>
          </w:p>
        </w:tc>
        <w:tc>
          <w:tcPr>
            <w:tcW w:w="1001" w:type="dxa"/>
          </w:tcPr>
          <w:p>
            <w:pPr>
              <w:pStyle w:val="TableParagraph"/>
              <w:spacing w:before="58"/>
              <w:ind w:left="73" w:right="75"/>
              <w:rPr>
                <w:sz w:val="18"/>
              </w:rPr>
            </w:pPr>
            <w:r>
              <w:rPr>
                <w:sz w:val="18"/>
              </w:rPr>
              <w:t>67,724</w:t>
            </w:r>
          </w:p>
        </w:tc>
        <w:tc>
          <w:tcPr>
            <w:tcW w:w="1001" w:type="dxa"/>
          </w:tcPr>
          <w:p>
            <w:pPr>
              <w:pStyle w:val="TableParagraph"/>
              <w:spacing w:before="58"/>
              <w:ind w:left="218" w:right="47"/>
              <w:jc w:val="left"/>
              <w:rPr>
                <w:sz w:val="18"/>
              </w:rPr>
            </w:pPr>
            <w:r>
              <w:rPr>
                <w:sz w:val="18"/>
              </w:rPr>
              <w:t>88,559</w:t>
            </w:r>
          </w:p>
        </w:tc>
        <w:tc>
          <w:tcPr>
            <w:tcW w:w="1001" w:type="dxa"/>
          </w:tcPr>
          <w:p>
            <w:pPr>
              <w:pStyle w:val="TableParagraph"/>
              <w:spacing w:before="58"/>
              <w:ind w:left="75" w:right="75"/>
              <w:rPr>
                <w:sz w:val="18"/>
              </w:rPr>
            </w:pPr>
            <w:r>
              <w:rPr>
                <w:sz w:val="18"/>
              </w:rPr>
              <w:t>91,851</w:t>
            </w:r>
          </w:p>
        </w:tc>
      </w:tr>
      <w:tr>
        <w:trPr>
          <w:trHeight w:val="310" w:hRule="exact"/>
        </w:trPr>
        <w:tc>
          <w:tcPr>
            <w:tcW w:w="3507" w:type="dxa"/>
          </w:tcPr>
          <w:p>
            <w:pPr>
              <w:pStyle w:val="TableParagraph"/>
              <w:spacing w:before="22"/>
              <w:ind w:left="64"/>
              <w:jc w:val="left"/>
              <w:rPr>
                <w:b/>
                <w:sz w:val="18"/>
              </w:rPr>
            </w:pPr>
            <w:r>
              <w:rPr>
                <w:b/>
                <w:color w:val="333333"/>
                <w:sz w:val="18"/>
              </w:rPr>
              <w:t>TEQUIXQUIAC</w:t>
            </w:r>
          </w:p>
        </w:tc>
        <w:tc>
          <w:tcPr>
            <w:tcW w:w="1001" w:type="dxa"/>
          </w:tcPr>
          <w:p>
            <w:pPr>
              <w:pStyle w:val="TableParagraph"/>
              <w:spacing w:before="58"/>
              <w:ind w:left="73" w:right="75"/>
              <w:rPr>
                <w:sz w:val="18"/>
              </w:rPr>
            </w:pPr>
            <w:r>
              <w:rPr>
                <w:sz w:val="18"/>
              </w:rPr>
              <w:t>31,080</w:t>
            </w:r>
          </w:p>
        </w:tc>
        <w:tc>
          <w:tcPr>
            <w:tcW w:w="1001" w:type="dxa"/>
          </w:tcPr>
          <w:p>
            <w:pPr>
              <w:pStyle w:val="TableParagraph"/>
              <w:spacing w:before="58"/>
              <w:ind w:left="218" w:right="47"/>
              <w:jc w:val="left"/>
              <w:rPr>
                <w:sz w:val="18"/>
              </w:rPr>
            </w:pPr>
            <w:r>
              <w:rPr>
                <w:sz w:val="18"/>
              </w:rPr>
              <w:t>33,907</w:t>
            </w:r>
          </w:p>
        </w:tc>
        <w:tc>
          <w:tcPr>
            <w:tcW w:w="1001" w:type="dxa"/>
          </w:tcPr>
          <w:p>
            <w:pPr>
              <w:pStyle w:val="TableParagraph"/>
              <w:spacing w:before="58"/>
              <w:ind w:left="75" w:right="75"/>
              <w:rPr>
                <w:sz w:val="18"/>
              </w:rPr>
            </w:pPr>
            <w:r>
              <w:rPr>
                <w:sz w:val="18"/>
              </w:rPr>
              <w:t>34,447</w:t>
            </w:r>
          </w:p>
        </w:tc>
      </w:tr>
      <w:tr>
        <w:trPr>
          <w:trHeight w:val="312" w:hRule="exact"/>
        </w:trPr>
        <w:tc>
          <w:tcPr>
            <w:tcW w:w="3507" w:type="dxa"/>
          </w:tcPr>
          <w:p>
            <w:pPr>
              <w:pStyle w:val="TableParagraph"/>
              <w:spacing w:before="25"/>
              <w:ind w:left="64"/>
              <w:jc w:val="left"/>
              <w:rPr>
                <w:b/>
                <w:sz w:val="18"/>
              </w:rPr>
            </w:pPr>
            <w:r>
              <w:rPr>
                <w:b/>
                <w:color w:val="333333"/>
                <w:sz w:val="18"/>
              </w:rPr>
              <w:t>TEXCALTITLÁN</w:t>
            </w:r>
          </w:p>
        </w:tc>
        <w:tc>
          <w:tcPr>
            <w:tcW w:w="1001" w:type="dxa"/>
          </w:tcPr>
          <w:p>
            <w:pPr>
              <w:pStyle w:val="TableParagraph"/>
              <w:spacing w:before="58"/>
              <w:ind w:left="73" w:right="75"/>
              <w:rPr>
                <w:sz w:val="18"/>
              </w:rPr>
            </w:pPr>
            <w:r>
              <w:rPr>
                <w:sz w:val="18"/>
              </w:rPr>
              <w:t>15,824</w:t>
            </w:r>
          </w:p>
        </w:tc>
        <w:tc>
          <w:tcPr>
            <w:tcW w:w="1001" w:type="dxa"/>
          </w:tcPr>
          <w:p>
            <w:pPr>
              <w:pStyle w:val="TableParagraph"/>
              <w:spacing w:before="58"/>
              <w:ind w:left="218" w:right="47"/>
              <w:jc w:val="left"/>
              <w:rPr>
                <w:sz w:val="18"/>
              </w:rPr>
            </w:pPr>
            <w:r>
              <w:rPr>
                <w:sz w:val="18"/>
              </w:rPr>
              <w:t>17,390</w:t>
            </w:r>
          </w:p>
        </w:tc>
        <w:tc>
          <w:tcPr>
            <w:tcW w:w="1001" w:type="dxa"/>
          </w:tcPr>
          <w:p>
            <w:pPr>
              <w:pStyle w:val="TableParagraph"/>
              <w:spacing w:before="58"/>
              <w:ind w:left="75" w:right="75"/>
              <w:rPr>
                <w:sz w:val="18"/>
              </w:rPr>
            </w:pPr>
            <w:r>
              <w:rPr>
                <w:sz w:val="18"/>
              </w:rPr>
              <w:t>17,382</w:t>
            </w:r>
          </w:p>
        </w:tc>
      </w:tr>
      <w:tr>
        <w:trPr>
          <w:trHeight w:val="310" w:hRule="exact"/>
        </w:trPr>
        <w:tc>
          <w:tcPr>
            <w:tcW w:w="3507" w:type="dxa"/>
          </w:tcPr>
          <w:p>
            <w:pPr>
              <w:pStyle w:val="TableParagraph"/>
              <w:spacing w:before="22"/>
              <w:ind w:left="64"/>
              <w:jc w:val="left"/>
              <w:rPr>
                <w:b/>
                <w:sz w:val="18"/>
              </w:rPr>
            </w:pPr>
            <w:r>
              <w:rPr>
                <w:b/>
                <w:color w:val="333333"/>
                <w:sz w:val="18"/>
              </w:rPr>
              <w:t>TEXCALYACAC</w:t>
            </w:r>
          </w:p>
        </w:tc>
        <w:tc>
          <w:tcPr>
            <w:tcW w:w="1001" w:type="dxa"/>
          </w:tcPr>
          <w:p>
            <w:pPr>
              <w:pStyle w:val="TableParagraph"/>
              <w:spacing w:before="58"/>
              <w:ind w:left="73" w:right="77"/>
              <w:rPr>
                <w:sz w:val="18"/>
              </w:rPr>
            </w:pPr>
            <w:r>
              <w:rPr>
                <w:sz w:val="18"/>
              </w:rPr>
              <w:t>4,514</w:t>
            </w:r>
          </w:p>
        </w:tc>
        <w:tc>
          <w:tcPr>
            <w:tcW w:w="1001" w:type="dxa"/>
          </w:tcPr>
          <w:p>
            <w:pPr>
              <w:pStyle w:val="TableParagraph"/>
              <w:spacing w:before="58"/>
              <w:ind w:left="266" w:right="47"/>
              <w:jc w:val="left"/>
              <w:rPr>
                <w:sz w:val="18"/>
              </w:rPr>
            </w:pPr>
            <w:r>
              <w:rPr>
                <w:sz w:val="18"/>
              </w:rPr>
              <w:t>5,111</w:t>
            </w:r>
          </w:p>
        </w:tc>
        <w:tc>
          <w:tcPr>
            <w:tcW w:w="1001" w:type="dxa"/>
          </w:tcPr>
          <w:p>
            <w:pPr>
              <w:pStyle w:val="TableParagraph"/>
              <w:spacing w:before="58"/>
              <w:ind w:left="74" w:right="75"/>
              <w:rPr>
                <w:sz w:val="18"/>
              </w:rPr>
            </w:pPr>
            <w:r>
              <w:rPr>
                <w:sz w:val="18"/>
              </w:rPr>
              <w:t>5,230</w:t>
            </w:r>
          </w:p>
        </w:tc>
      </w:tr>
      <w:tr>
        <w:trPr>
          <w:trHeight w:val="310" w:hRule="exact"/>
        </w:trPr>
        <w:tc>
          <w:tcPr>
            <w:tcW w:w="3507" w:type="dxa"/>
          </w:tcPr>
          <w:p>
            <w:pPr>
              <w:pStyle w:val="TableParagraph"/>
              <w:spacing w:before="22"/>
              <w:ind w:left="64"/>
              <w:jc w:val="left"/>
              <w:rPr>
                <w:b/>
                <w:sz w:val="18"/>
              </w:rPr>
            </w:pPr>
            <w:r>
              <w:rPr>
                <w:b/>
                <w:color w:val="333333"/>
                <w:sz w:val="18"/>
              </w:rPr>
              <w:t>TEXCOCO</w:t>
            </w:r>
          </w:p>
        </w:tc>
        <w:tc>
          <w:tcPr>
            <w:tcW w:w="1001" w:type="dxa"/>
          </w:tcPr>
          <w:p>
            <w:pPr>
              <w:pStyle w:val="TableParagraph"/>
              <w:spacing w:before="58"/>
              <w:ind w:left="73" w:right="75"/>
              <w:rPr>
                <w:sz w:val="18"/>
              </w:rPr>
            </w:pPr>
            <w:r>
              <w:rPr>
                <w:sz w:val="18"/>
              </w:rPr>
              <w:t>209,308</w:t>
            </w:r>
          </w:p>
        </w:tc>
        <w:tc>
          <w:tcPr>
            <w:tcW w:w="1001" w:type="dxa"/>
          </w:tcPr>
          <w:p>
            <w:pPr>
              <w:pStyle w:val="TableParagraph"/>
              <w:spacing w:before="58"/>
              <w:ind w:left="168" w:right="47"/>
              <w:jc w:val="left"/>
              <w:rPr>
                <w:sz w:val="18"/>
              </w:rPr>
            </w:pPr>
            <w:r>
              <w:rPr>
                <w:sz w:val="18"/>
              </w:rPr>
              <w:t>235,151</w:t>
            </w:r>
          </w:p>
        </w:tc>
        <w:tc>
          <w:tcPr>
            <w:tcW w:w="1001" w:type="dxa"/>
          </w:tcPr>
          <w:p>
            <w:pPr>
              <w:pStyle w:val="TableParagraph"/>
              <w:spacing w:before="58"/>
              <w:ind w:left="75" w:right="75"/>
              <w:rPr>
                <w:sz w:val="18"/>
              </w:rPr>
            </w:pPr>
            <w:r>
              <w:rPr>
                <w:sz w:val="18"/>
              </w:rPr>
              <w:t>237,469</w:t>
            </w:r>
          </w:p>
        </w:tc>
      </w:tr>
      <w:tr>
        <w:trPr>
          <w:trHeight w:val="310" w:hRule="exact"/>
        </w:trPr>
        <w:tc>
          <w:tcPr>
            <w:tcW w:w="3507" w:type="dxa"/>
          </w:tcPr>
          <w:p>
            <w:pPr>
              <w:pStyle w:val="TableParagraph"/>
              <w:spacing w:before="22"/>
              <w:ind w:left="64"/>
              <w:jc w:val="left"/>
              <w:rPr>
                <w:b/>
                <w:sz w:val="18"/>
              </w:rPr>
            </w:pPr>
            <w:r>
              <w:rPr>
                <w:b/>
                <w:color w:val="333333"/>
                <w:sz w:val="18"/>
              </w:rPr>
              <w:t>TEZOYUCA</w:t>
            </w:r>
          </w:p>
        </w:tc>
        <w:tc>
          <w:tcPr>
            <w:tcW w:w="1001" w:type="dxa"/>
          </w:tcPr>
          <w:p>
            <w:pPr>
              <w:pStyle w:val="TableParagraph"/>
              <w:spacing w:before="58"/>
              <w:ind w:left="73" w:right="75"/>
              <w:rPr>
                <w:sz w:val="18"/>
              </w:rPr>
            </w:pPr>
            <w:r>
              <w:rPr>
                <w:sz w:val="18"/>
              </w:rPr>
              <w:t>25,372</w:t>
            </w:r>
          </w:p>
        </w:tc>
        <w:tc>
          <w:tcPr>
            <w:tcW w:w="1001" w:type="dxa"/>
          </w:tcPr>
          <w:p>
            <w:pPr>
              <w:pStyle w:val="TableParagraph"/>
              <w:spacing w:before="58"/>
              <w:ind w:left="218" w:right="47"/>
              <w:jc w:val="left"/>
              <w:rPr>
                <w:sz w:val="18"/>
              </w:rPr>
            </w:pPr>
            <w:r>
              <w:rPr>
                <w:sz w:val="18"/>
              </w:rPr>
              <w:t>35,199</w:t>
            </w:r>
          </w:p>
        </w:tc>
        <w:tc>
          <w:tcPr>
            <w:tcW w:w="1001" w:type="dxa"/>
          </w:tcPr>
          <w:p>
            <w:pPr>
              <w:pStyle w:val="TableParagraph"/>
              <w:spacing w:before="58"/>
              <w:ind w:left="75" w:right="75"/>
              <w:rPr>
                <w:sz w:val="18"/>
              </w:rPr>
            </w:pPr>
            <w:r>
              <w:rPr>
                <w:sz w:val="18"/>
              </w:rPr>
              <w:t>37,798</w:t>
            </w:r>
          </w:p>
        </w:tc>
      </w:tr>
      <w:tr>
        <w:trPr>
          <w:trHeight w:val="310" w:hRule="exact"/>
        </w:trPr>
        <w:tc>
          <w:tcPr>
            <w:tcW w:w="3507" w:type="dxa"/>
          </w:tcPr>
          <w:p>
            <w:pPr>
              <w:pStyle w:val="TableParagraph"/>
              <w:spacing w:before="22"/>
              <w:ind w:left="64"/>
              <w:jc w:val="left"/>
              <w:rPr>
                <w:b/>
                <w:sz w:val="18"/>
              </w:rPr>
            </w:pPr>
            <w:r>
              <w:rPr>
                <w:b/>
                <w:color w:val="333333"/>
                <w:sz w:val="18"/>
              </w:rPr>
              <w:t>TIANGUISTENCO</w:t>
            </w:r>
          </w:p>
        </w:tc>
        <w:tc>
          <w:tcPr>
            <w:tcW w:w="1001" w:type="dxa"/>
          </w:tcPr>
          <w:p>
            <w:pPr>
              <w:pStyle w:val="TableParagraph"/>
              <w:spacing w:before="58"/>
              <w:ind w:left="73" w:right="75"/>
              <w:rPr>
                <w:sz w:val="18"/>
              </w:rPr>
            </w:pPr>
            <w:r>
              <w:rPr>
                <w:sz w:val="18"/>
              </w:rPr>
              <w:t>64,365</w:t>
            </w:r>
          </w:p>
        </w:tc>
        <w:tc>
          <w:tcPr>
            <w:tcW w:w="1001" w:type="dxa"/>
          </w:tcPr>
          <w:p>
            <w:pPr>
              <w:pStyle w:val="TableParagraph"/>
              <w:spacing w:before="58"/>
              <w:ind w:left="218" w:right="47"/>
              <w:jc w:val="left"/>
              <w:rPr>
                <w:sz w:val="18"/>
              </w:rPr>
            </w:pPr>
            <w:r>
              <w:rPr>
                <w:sz w:val="18"/>
              </w:rPr>
              <w:t>70,682</w:t>
            </w:r>
          </w:p>
        </w:tc>
        <w:tc>
          <w:tcPr>
            <w:tcW w:w="1001" w:type="dxa"/>
          </w:tcPr>
          <w:p>
            <w:pPr>
              <w:pStyle w:val="TableParagraph"/>
              <w:spacing w:before="58"/>
              <w:ind w:left="75" w:right="75"/>
              <w:rPr>
                <w:sz w:val="18"/>
              </w:rPr>
            </w:pPr>
            <w:r>
              <w:rPr>
                <w:sz w:val="18"/>
              </w:rPr>
              <w:t>71,828</w:t>
            </w:r>
          </w:p>
        </w:tc>
      </w:tr>
      <w:tr>
        <w:trPr>
          <w:trHeight w:val="310" w:hRule="exact"/>
        </w:trPr>
        <w:tc>
          <w:tcPr>
            <w:tcW w:w="3507" w:type="dxa"/>
          </w:tcPr>
          <w:p>
            <w:pPr>
              <w:pStyle w:val="TableParagraph"/>
              <w:spacing w:before="22"/>
              <w:ind w:left="64"/>
              <w:jc w:val="left"/>
              <w:rPr>
                <w:b/>
                <w:sz w:val="18"/>
              </w:rPr>
            </w:pPr>
            <w:r>
              <w:rPr>
                <w:b/>
                <w:color w:val="333333"/>
                <w:sz w:val="18"/>
              </w:rPr>
              <w:t>TIMILPAN</w:t>
            </w:r>
          </w:p>
        </w:tc>
        <w:tc>
          <w:tcPr>
            <w:tcW w:w="1001" w:type="dxa"/>
          </w:tcPr>
          <w:p>
            <w:pPr>
              <w:pStyle w:val="TableParagraph"/>
              <w:spacing w:before="58"/>
              <w:ind w:left="73" w:right="75"/>
              <w:rPr>
                <w:sz w:val="18"/>
              </w:rPr>
            </w:pPr>
            <w:r>
              <w:rPr>
                <w:sz w:val="18"/>
              </w:rPr>
              <w:t>14,335</w:t>
            </w:r>
          </w:p>
        </w:tc>
        <w:tc>
          <w:tcPr>
            <w:tcW w:w="1001" w:type="dxa"/>
          </w:tcPr>
          <w:p>
            <w:pPr>
              <w:pStyle w:val="TableParagraph"/>
              <w:spacing w:before="58"/>
              <w:ind w:left="218" w:right="47"/>
              <w:jc w:val="left"/>
              <w:rPr>
                <w:sz w:val="18"/>
              </w:rPr>
            </w:pPr>
            <w:r>
              <w:rPr>
                <w:sz w:val="18"/>
              </w:rPr>
              <w:t>15,391</w:t>
            </w:r>
          </w:p>
        </w:tc>
        <w:tc>
          <w:tcPr>
            <w:tcW w:w="1001" w:type="dxa"/>
          </w:tcPr>
          <w:p>
            <w:pPr>
              <w:pStyle w:val="TableParagraph"/>
              <w:spacing w:before="58"/>
              <w:ind w:left="75" w:right="75"/>
              <w:rPr>
                <w:sz w:val="18"/>
              </w:rPr>
            </w:pPr>
            <w:r>
              <w:rPr>
                <w:sz w:val="18"/>
              </w:rPr>
              <w:t>15,381</w:t>
            </w:r>
          </w:p>
        </w:tc>
      </w:tr>
      <w:tr>
        <w:trPr>
          <w:trHeight w:val="312" w:hRule="exact"/>
        </w:trPr>
        <w:tc>
          <w:tcPr>
            <w:tcW w:w="3507" w:type="dxa"/>
          </w:tcPr>
          <w:p>
            <w:pPr>
              <w:pStyle w:val="TableParagraph"/>
              <w:spacing w:before="25"/>
              <w:ind w:left="64"/>
              <w:jc w:val="left"/>
              <w:rPr>
                <w:b/>
                <w:sz w:val="18"/>
              </w:rPr>
            </w:pPr>
            <w:r>
              <w:rPr>
                <w:b/>
                <w:color w:val="333333"/>
                <w:sz w:val="18"/>
              </w:rPr>
              <w:t>TLALMANALCO</w:t>
            </w:r>
          </w:p>
        </w:tc>
        <w:tc>
          <w:tcPr>
            <w:tcW w:w="1001" w:type="dxa"/>
          </w:tcPr>
          <w:p>
            <w:pPr>
              <w:pStyle w:val="TableParagraph"/>
              <w:spacing w:before="58"/>
              <w:ind w:left="73" w:right="75"/>
              <w:rPr>
                <w:sz w:val="18"/>
              </w:rPr>
            </w:pPr>
            <w:r>
              <w:rPr>
                <w:sz w:val="18"/>
              </w:rPr>
              <w:t>43,930</w:t>
            </w:r>
          </w:p>
        </w:tc>
        <w:tc>
          <w:tcPr>
            <w:tcW w:w="1001" w:type="dxa"/>
          </w:tcPr>
          <w:p>
            <w:pPr>
              <w:pStyle w:val="TableParagraph"/>
              <w:spacing w:before="58"/>
              <w:ind w:left="218" w:right="47"/>
              <w:jc w:val="left"/>
              <w:rPr>
                <w:sz w:val="18"/>
              </w:rPr>
            </w:pPr>
            <w:r>
              <w:rPr>
                <w:sz w:val="18"/>
              </w:rPr>
              <w:t>46,130</w:t>
            </w:r>
          </w:p>
        </w:tc>
        <w:tc>
          <w:tcPr>
            <w:tcW w:w="1001" w:type="dxa"/>
          </w:tcPr>
          <w:p>
            <w:pPr>
              <w:pStyle w:val="TableParagraph"/>
              <w:spacing w:before="58"/>
              <w:ind w:left="75" w:right="75"/>
              <w:rPr>
                <w:sz w:val="18"/>
              </w:rPr>
            </w:pPr>
            <w:r>
              <w:rPr>
                <w:sz w:val="18"/>
              </w:rPr>
              <w:t>46,233</w:t>
            </w:r>
          </w:p>
        </w:tc>
      </w:tr>
      <w:tr>
        <w:trPr>
          <w:trHeight w:val="310" w:hRule="exact"/>
        </w:trPr>
        <w:tc>
          <w:tcPr>
            <w:tcW w:w="3507" w:type="dxa"/>
          </w:tcPr>
          <w:p>
            <w:pPr>
              <w:pStyle w:val="TableParagraph"/>
              <w:spacing w:before="23"/>
              <w:ind w:left="64"/>
              <w:jc w:val="left"/>
              <w:rPr>
                <w:b/>
                <w:sz w:val="18"/>
              </w:rPr>
            </w:pPr>
            <w:r>
              <w:rPr>
                <w:b/>
                <w:color w:val="333333"/>
                <w:sz w:val="18"/>
              </w:rPr>
              <w:t>TLALNEPANTLA DE BAZ</w:t>
            </w:r>
          </w:p>
        </w:tc>
        <w:tc>
          <w:tcPr>
            <w:tcW w:w="1001" w:type="dxa"/>
          </w:tcPr>
          <w:p>
            <w:pPr>
              <w:pStyle w:val="TableParagraph"/>
              <w:spacing w:before="59"/>
              <w:ind w:left="73" w:right="75"/>
              <w:rPr>
                <w:sz w:val="18"/>
              </w:rPr>
            </w:pPr>
            <w:r>
              <w:rPr>
                <w:sz w:val="18"/>
              </w:rPr>
              <w:t>683,808</w:t>
            </w:r>
          </w:p>
        </w:tc>
        <w:tc>
          <w:tcPr>
            <w:tcW w:w="1001" w:type="dxa"/>
          </w:tcPr>
          <w:p>
            <w:pPr>
              <w:pStyle w:val="TableParagraph"/>
              <w:spacing w:before="59"/>
              <w:ind w:left="168" w:right="47"/>
              <w:jc w:val="left"/>
              <w:rPr>
                <w:sz w:val="18"/>
              </w:rPr>
            </w:pPr>
            <w:r>
              <w:rPr>
                <w:sz w:val="18"/>
              </w:rPr>
              <w:t>664,225</w:t>
            </w:r>
          </w:p>
        </w:tc>
        <w:tc>
          <w:tcPr>
            <w:tcW w:w="1001" w:type="dxa"/>
          </w:tcPr>
          <w:p>
            <w:pPr>
              <w:pStyle w:val="TableParagraph"/>
              <w:spacing w:before="59"/>
              <w:ind w:left="75" w:right="75"/>
              <w:rPr>
                <w:sz w:val="18"/>
              </w:rPr>
            </w:pPr>
            <w:r>
              <w:rPr>
                <w:sz w:val="18"/>
              </w:rPr>
              <w:t>652,009</w:t>
            </w:r>
          </w:p>
        </w:tc>
      </w:tr>
      <w:tr>
        <w:trPr>
          <w:trHeight w:val="310" w:hRule="exact"/>
        </w:trPr>
        <w:tc>
          <w:tcPr>
            <w:tcW w:w="3507" w:type="dxa"/>
          </w:tcPr>
          <w:p>
            <w:pPr>
              <w:pStyle w:val="TableParagraph"/>
              <w:spacing w:before="22"/>
              <w:ind w:left="64"/>
              <w:jc w:val="left"/>
              <w:rPr>
                <w:b/>
                <w:sz w:val="18"/>
              </w:rPr>
            </w:pPr>
            <w:r>
              <w:rPr>
                <w:b/>
                <w:color w:val="333333"/>
                <w:sz w:val="18"/>
              </w:rPr>
              <w:t>TLATLAYA</w:t>
            </w:r>
          </w:p>
        </w:tc>
        <w:tc>
          <w:tcPr>
            <w:tcW w:w="1001" w:type="dxa"/>
          </w:tcPr>
          <w:p>
            <w:pPr>
              <w:pStyle w:val="TableParagraph"/>
              <w:spacing w:before="58"/>
              <w:ind w:left="73" w:right="75"/>
              <w:rPr>
                <w:sz w:val="18"/>
              </w:rPr>
            </w:pPr>
            <w:r>
              <w:rPr>
                <w:sz w:val="18"/>
              </w:rPr>
              <w:t>33,308</w:t>
            </w:r>
          </w:p>
        </w:tc>
        <w:tc>
          <w:tcPr>
            <w:tcW w:w="1001" w:type="dxa"/>
          </w:tcPr>
          <w:p>
            <w:pPr>
              <w:pStyle w:val="TableParagraph"/>
              <w:spacing w:before="58"/>
              <w:ind w:left="218" w:right="47"/>
              <w:jc w:val="left"/>
              <w:rPr>
                <w:sz w:val="18"/>
              </w:rPr>
            </w:pPr>
            <w:r>
              <w:rPr>
                <w:sz w:val="18"/>
              </w:rPr>
              <w:t>32,997</w:t>
            </w:r>
          </w:p>
        </w:tc>
        <w:tc>
          <w:tcPr>
            <w:tcW w:w="1001" w:type="dxa"/>
          </w:tcPr>
          <w:p>
            <w:pPr>
              <w:pStyle w:val="TableParagraph"/>
              <w:spacing w:before="58"/>
              <w:ind w:left="75" w:right="75"/>
              <w:rPr>
                <w:sz w:val="18"/>
              </w:rPr>
            </w:pPr>
            <w:r>
              <w:rPr>
                <w:sz w:val="18"/>
              </w:rPr>
              <w:t>32,360</w:t>
            </w:r>
          </w:p>
        </w:tc>
      </w:tr>
      <w:tr>
        <w:trPr>
          <w:trHeight w:val="310" w:hRule="exact"/>
        </w:trPr>
        <w:tc>
          <w:tcPr>
            <w:tcW w:w="3507" w:type="dxa"/>
          </w:tcPr>
          <w:p>
            <w:pPr>
              <w:pStyle w:val="TableParagraph"/>
              <w:spacing w:before="22"/>
              <w:ind w:left="64"/>
              <w:jc w:val="left"/>
              <w:rPr>
                <w:b/>
                <w:sz w:val="18"/>
              </w:rPr>
            </w:pPr>
            <w:r>
              <w:rPr>
                <w:b/>
                <w:color w:val="333333"/>
                <w:sz w:val="18"/>
              </w:rPr>
              <w:t>TOLUCA</w:t>
            </w:r>
          </w:p>
        </w:tc>
        <w:tc>
          <w:tcPr>
            <w:tcW w:w="1001" w:type="dxa"/>
          </w:tcPr>
          <w:p>
            <w:pPr>
              <w:pStyle w:val="TableParagraph"/>
              <w:spacing w:before="58"/>
              <w:ind w:left="73" w:right="75"/>
              <w:rPr>
                <w:sz w:val="18"/>
              </w:rPr>
            </w:pPr>
            <w:r>
              <w:rPr>
                <w:sz w:val="18"/>
              </w:rPr>
              <w:t>747,512</w:t>
            </w:r>
          </w:p>
        </w:tc>
        <w:tc>
          <w:tcPr>
            <w:tcW w:w="1001" w:type="dxa"/>
          </w:tcPr>
          <w:p>
            <w:pPr>
              <w:pStyle w:val="TableParagraph"/>
              <w:spacing w:before="58"/>
              <w:ind w:left="168" w:right="47"/>
              <w:jc w:val="left"/>
              <w:rPr>
                <w:sz w:val="18"/>
              </w:rPr>
            </w:pPr>
            <w:r>
              <w:rPr>
                <w:sz w:val="18"/>
              </w:rPr>
              <w:t>819,561</w:t>
            </w:r>
          </w:p>
        </w:tc>
        <w:tc>
          <w:tcPr>
            <w:tcW w:w="1001" w:type="dxa"/>
          </w:tcPr>
          <w:p>
            <w:pPr>
              <w:pStyle w:val="TableParagraph"/>
              <w:spacing w:before="58"/>
              <w:ind w:left="75" w:right="75"/>
              <w:rPr>
                <w:sz w:val="18"/>
              </w:rPr>
            </w:pPr>
            <w:r>
              <w:rPr>
                <w:sz w:val="18"/>
              </w:rPr>
              <w:t>834,479</w:t>
            </w:r>
          </w:p>
        </w:tc>
      </w:tr>
      <w:tr>
        <w:trPr>
          <w:trHeight w:val="310" w:hRule="exact"/>
        </w:trPr>
        <w:tc>
          <w:tcPr>
            <w:tcW w:w="3507" w:type="dxa"/>
          </w:tcPr>
          <w:p>
            <w:pPr>
              <w:pStyle w:val="TableParagraph"/>
              <w:spacing w:before="22"/>
              <w:ind w:left="64"/>
              <w:jc w:val="left"/>
              <w:rPr>
                <w:b/>
                <w:sz w:val="18"/>
              </w:rPr>
            </w:pPr>
            <w:r>
              <w:rPr>
                <w:b/>
                <w:color w:val="333333"/>
                <w:sz w:val="18"/>
              </w:rPr>
              <w:t>TONANITLA</w:t>
            </w:r>
          </w:p>
        </w:tc>
        <w:tc>
          <w:tcPr>
            <w:tcW w:w="1001" w:type="dxa"/>
          </w:tcPr>
          <w:p>
            <w:pPr>
              <w:pStyle w:val="TableParagraph"/>
              <w:spacing w:before="58"/>
              <w:ind w:left="73" w:right="77"/>
              <w:rPr>
                <w:sz w:val="18"/>
              </w:rPr>
            </w:pPr>
            <w:r>
              <w:rPr>
                <w:sz w:val="18"/>
              </w:rPr>
              <w:t>8,081</w:t>
            </w:r>
          </w:p>
        </w:tc>
        <w:tc>
          <w:tcPr>
            <w:tcW w:w="1001" w:type="dxa"/>
          </w:tcPr>
          <w:p>
            <w:pPr>
              <w:pStyle w:val="TableParagraph"/>
              <w:spacing w:before="58"/>
              <w:ind w:left="218" w:right="47"/>
              <w:jc w:val="left"/>
              <w:rPr>
                <w:sz w:val="18"/>
              </w:rPr>
            </w:pPr>
            <w:r>
              <w:rPr>
                <w:sz w:val="18"/>
              </w:rPr>
              <w:t>10,216</w:t>
            </w:r>
          </w:p>
        </w:tc>
        <w:tc>
          <w:tcPr>
            <w:tcW w:w="1001" w:type="dxa"/>
          </w:tcPr>
          <w:p>
            <w:pPr>
              <w:pStyle w:val="TableParagraph"/>
              <w:spacing w:before="58"/>
              <w:ind w:left="75" w:right="75"/>
              <w:rPr>
                <w:sz w:val="18"/>
              </w:rPr>
            </w:pPr>
            <w:r>
              <w:rPr>
                <w:sz w:val="18"/>
              </w:rPr>
              <w:t>10,803</w:t>
            </w:r>
          </w:p>
        </w:tc>
      </w:tr>
      <w:tr>
        <w:trPr>
          <w:trHeight w:val="310" w:hRule="exact"/>
        </w:trPr>
        <w:tc>
          <w:tcPr>
            <w:tcW w:w="3507" w:type="dxa"/>
          </w:tcPr>
          <w:p>
            <w:pPr>
              <w:pStyle w:val="TableParagraph"/>
              <w:spacing w:before="22"/>
              <w:ind w:left="64"/>
              <w:jc w:val="left"/>
              <w:rPr>
                <w:b/>
                <w:sz w:val="18"/>
              </w:rPr>
            </w:pPr>
            <w:r>
              <w:rPr>
                <w:b/>
                <w:color w:val="333333"/>
                <w:sz w:val="18"/>
              </w:rPr>
              <w:t>TONATICO</w:t>
            </w:r>
          </w:p>
        </w:tc>
        <w:tc>
          <w:tcPr>
            <w:tcW w:w="1001" w:type="dxa"/>
          </w:tcPr>
          <w:p>
            <w:pPr>
              <w:pStyle w:val="TableParagraph"/>
              <w:spacing w:before="58"/>
              <w:ind w:left="73" w:right="75"/>
              <w:rPr>
                <w:sz w:val="18"/>
              </w:rPr>
            </w:pPr>
            <w:r>
              <w:rPr>
                <w:sz w:val="18"/>
              </w:rPr>
              <w:t>10,901</w:t>
            </w:r>
          </w:p>
        </w:tc>
        <w:tc>
          <w:tcPr>
            <w:tcW w:w="1001" w:type="dxa"/>
          </w:tcPr>
          <w:p>
            <w:pPr>
              <w:pStyle w:val="TableParagraph"/>
              <w:spacing w:before="58"/>
              <w:ind w:left="218" w:right="47"/>
              <w:jc w:val="left"/>
              <w:rPr>
                <w:sz w:val="18"/>
              </w:rPr>
            </w:pPr>
            <w:r>
              <w:rPr>
                <w:sz w:val="18"/>
              </w:rPr>
              <w:t>12,099</w:t>
            </w:r>
          </w:p>
        </w:tc>
        <w:tc>
          <w:tcPr>
            <w:tcW w:w="1001" w:type="dxa"/>
          </w:tcPr>
          <w:p>
            <w:pPr>
              <w:pStyle w:val="TableParagraph"/>
              <w:spacing w:before="58"/>
              <w:ind w:left="75" w:right="75"/>
              <w:rPr>
                <w:sz w:val="18"/>
              </w:rPr>
            </w:pPr>
            <w:r>
              <w:rPr>
                <w:sz w:val="18"/>
              </w:rPr>
              <w:t>12,078</w:t>
            </w:r>
          </w:p>
        </w:tc>
      </w:tr>
      <w:tr>
        <w:trPr>
          <w:trHeight w:val="312" w:hRule="exact"/>
        </w:trPr>
        <w:tc>
          <w:tcPr>
            <w:tcW w:w="3507" w:type="dxa"/>
          </w:tcPr>
          <w:p>
            <w:pPr>
              <w:pStyle w:val="TableParagraph"/>
              <w:spacing w:before="25"/>
              <w:ind w:left="64"/>
              <w:jc w:val="left"/>
              <w:rPr>
                <w:b/>
                <w:sz w:val="18"/>
              </w:rPr>
            </w:pPr>
            <w:r>
              <w:rPr>
                <w:b/>
                <w:color w:val="333333"/>
                <w:sz w:val="18"/>
              </w:rPr>
              <w:t>TULTEPEC</w:t>
            </w:r>
          </w:p>
        </w:tc>
        <w:tc>
          <w:tcPr>
            <w:tcW w:w="1001" w:type="dxa"/>
          </w:tcPr>
          <w:p>
            <w:pPr>
              <w:pStyle w:val="TableParagraph"/>
              <w:spacing w:before="58"/>
              <w:ind w:left="73" w:right="75"/>
              <w:rPr>
                <w:sz w:val="18"/>
              </w:rPr>
            </w:pPr>
            <w:r>
              <w:rPr>
                <w:sz w:val="18"/>
              </w:rPr>
              <w:t>110,145</w:t>
            </w:r>
          </w:p>
        </w:tc>
        <w:tc>
          <w:tcPr>
            <w:tcW w:w="1001" w:type="dxa"/>
          </w:tcPr>
          <w:p>
            <w:pPr>
              <w:pStyle w:val="TableParagraph"/>
              <w:spacing w:before="58"/>
              <w:ind w:left="218" w:right="47"/>
              <w:jc w:val="left"/>
              <w:rPr>
                <w:sz w:val="18"/>
              </w:rPr>
            </w:pPr>
            <w:r>
              <w:rPr>
                <w:sz w:val="18"/>
              </w:rPr>
              <w:t>91,808</w:t>
            </w:r>
          </w:p>
        </w:tc>
        <w:tc>
          <w:tcPr>
            <w:tcW w:w="1001" w:type="dxa"/>
          </w:tcPr>
          <w:p>
            <w:pPr>
              <w:pStyle w:val="TableParagraph"/>
              <w:spacing w:before="58"/>
              <w:ind w:left="75" w:right="75"/>
              <w:rPr>
                <w:sz w:val="18"/>
              </w:rPr>
            </w:pPr>
            <w:r>
              <w:rPr>
                <w:sz w:val="18"/>
              </w:rPr>
              <w:t>90,883</w:t>
            </w:r>
          </w:p>
        </w:tc>
      </w:tr>
    </w:tbl>
    <w:p>
      <w:pPr>
        <w:spacing w:after="0"/>
        <w:rPr>
          <w:sz w:val="18"/>
        </w:rPr>
        <w:sectPr>
          <w:pgSz w:w="12240" w:h="15840"/>
          <w:pgMar w:header="0" w:footer="975" w:top="1420" w:bottom="1160" w:left="1720" w:right="1720"/>
        </w:sectPr>
      </w:pPr>
    </w:p>
    <w:tbl>
      <w:tblPr>
        <w:tblW w:w="0" w:type="auto"/>
        <w:jc w:val="left"/>
        <w:tblInd w:w="10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07"/>
        <w:gridCol w:w="1001"/>
        <w:gridCol w:w="1001"/>
        <w:gridCol w:w="1001"/>
      </w:tblGrid>
      <w:tr>
        <w:trPr>
          <w:trHeight w:val="486" w:hRule="exact"/>
        </w:trPr>
        <w:tc>
          <w:tcPr>
            <w:tcW w:w="6510" w:type="dxa"/>
            <w:gridSpan w:val="4"/>
            <w:shd w:val="clear" w:color="auto" w:fill="92D050"/>
          </w:tcPr>
          <w:p>
            <w:pPr>
              <w:pStyle w:val="TableParagraph"/>
              <w:spacing w:line="276" w:lineRule="auto"/>
              <w:ind w:left="2602" w:right="223" w:hanging="2367"/>
              <w:jc w:val="left"/>
              <w:rPr>
                <w:b/>
                <w:sz w:val="18"/>
              </w:rPr>
            </w:pPr>
            <w:r>
              <w:rPr>
                <w:b/>
                <w:sz w:val="18"/>
              </w:rPr>
              <w:t>Anexo 1. Población de los municipios del Estado de México 2005-2012 (Termina tabla)</w:t>
            </w:r>
          </w:p>
        </w:tc>
      </w:tr>
      <w:tr>
        <w:trPr>
          <w:trHeight w:val="485" w:hRule="exact"/>
        </w:trPr>
        <w:tc>
          <w:tcPr>
            <w:tcW w:w="3507" w:type="dxa"/>
            <w:shd w:val="clear" w:color="auto" w:fill="92D050"/>
          </w:tcPr>
          <w:p>
            <w:pPr>
              <w:pStyle w:val="TableParagraph"/>
              <w:spacing w:line="199" w:lineRule="exact"/>
              <w:ind w:left="1308" w:right="1308"/>
              <w:rPr>
                <w:b/>
                <w:sz w:val="18"/>
              </w:rPr>
            </w:pPr>
            <w:r>
              <w:rPr>
                <w:b/>
                <w:sz w:val="18"/>
              </w:rPr>
              <w:t>Municipio</w:t>
            </w:r>
          </w:p>
        </w:tc>
        <w:tc>
          <w:tcPr>
            <w:tcW w:w="1001" w:type="dxa"/>
            <w:shd w:val="clear" w:color="auto" w:fill="92D050"/>
          </w:tcPr>
          <w:p>
            <w:pPr>
              <w:pStyle w:val="TableParagraph"/>
              <w:spacing w:line="276" w:lineRule="auto"/>
              <w:ind w:left="292" w:right="50" w:hanging="231"/>
              <w:jc w:val="left"/>
              <w:rPr>
                <w:b/>
                <w:sz w:val="18"/>
              </w:rPr>
            </w:pPr>
            <w:r>
              <w:rPr>
                <w:b/>
                <w:sz w:val="18"/>
              </w:rPr>
              <w:t>Población 2005</w:t>
            </w:r>
          </w:p>
        </w:tc>
        <w:tc>
          <w:tcPr>
            <w:tcW w:w="1001" w:type="dxa"/>
            <w:shd w:val="clear" w:color="auto" w:fill="92D050"/>
          </w:tcPr>
          <w:p>
            <w:pPr>
              <w:pStyle w:val="TableParagraph"/>
              <w:spacing w:line="276" w:lineRule="auto"/>
              <w:ind w:left="292" w:right="50" w:hanging="231"/>
              <w:jc w:val="left"/>
              <w:rPr>
                <w:b/>
                <w:sz w:val="18"/>
              </w:rPr>
            </w:pPr>
            <w:r>
              <w:rPr>
                <w:b/>
                <w:sz w:val="18"/>
              </w:rPr>
              <w:t>Población 2010</w:t>
            </w:r>
          </w:p>
        </w:tc>
        <w:tc>
          <w:tcPr>
            <w:tcW w:w="1001" w:type="dxa"/>
            <w:shd w:val="clear" w:color="auto" w:fill="92D050"/>
          </w:tcPr>
          <w:p>
            <w:pPr>
              <w:pStyle w:val="TableParagraph"/>
              <w:spacing w:line="276" w:lineRule="auto"/>
              <w:ind w:left="295" w:right="47" w:hanging="231"/>
              <w:jc w:val="left"/>
              <w:rPr>
                <w:b/>
                <w:sz w:val="18"/>
              </w:rPr>
            </w:pPr>
            <w:r>
              <w:rPr>
                <w:b/>
                <w:sz w:val="18"/>
              </w:rPr>
              <w:t>Población 2012</w:t>
            </w:r>
          </w:p>
        </w:tc>
      </w:tr>
      <w:tr>
        <w:trPr>
          <w:trHeight w:val="312" w:hRule="exact"/>
        </w:trPr>
        <w:tc>
          <w:tcPr>
            <w:tcW w:w="3507" w:type="dxa"/>
          </w:tcPr>
          <w:p>
            <w:pPr>
              <w:pStyle w:val="TableParagraph"/>
              <w:spacing w:before="25"/>
              <w:ind w:left="64"/>
              <w:jc w:val="left"/>
              <w:rPr>
                <w:b/>
                <w:sz w:val="18"/>
              </w:rPr>
            </w:pPr>
            <w:r>
              <w:rPr>
                <w:b/>
                <w:color w:val="333333"/>
                <w:sz w:val="18"/>
              </w:rPr>
              <w:t>TULTITLAN</w:t>
            </w:r>
          </w:p>
        </w:tc>
        <w:tc>
          <w:tcPr>
            <w:tcW w:w="1001" w:type="dxa"/>
          </w:tcPr>
          <w:p>
            <w:pPr>
              <w:pStyle w:val="TableParagraph"/>
              <w:spacing w:before="58"/>
              <w:ind w:left="73" w:right="75"/>
              <w:rPr>
                <w:sz w:val="18"/>
              </w:rPr>
            </w:pPr>
            <w:r>
              <w:rPr>
                <w:sz w:val="18"/>
              </w:rPr>
              <w:t>472,867</w:t>
            </w:r>
          </w:p>
        </w:tc>
        <w:tc>
          <w:tcPr>
            <w:tcW w:w="1001" w:type="dxa"/>
          </w:tcPr>
          <w:p>
            <w:pPr>
              <w:pStyle w:val="TableParagraph"/>
              <w:spacing w:before="58"/>
              <w:ind w:left="168" w:right="47"/>
              <w:jc w:val="left"/>
              <w:rPr>
                <w:sz w:val="18"/>
              </w:rPr>
            </w:pPr>
            <w:r>
              <w:rPr>
                <w:sz w:val="18"/>
              </w:rPr>
              <w:t>524,074</w:t>
            </w:r>
          </w:p>
        </w:tc>
        <w:tc>
          <w:tcPr>
            <w:tcW w:w="1001" w:type="dxa"/>
          </w:tcPr>
          <w:p>
            <w:pPr>
              <w:pStyle w:val="TableParagraph"/>
              <w:spacing w:before="58"/>
              <w:ind w:left="75" w:right="75"/>
              <w:rPr>
                <w:sz w:val="18"/>
              </w:rPr>
            </w:pPr>
            <w:r>
              <w:rPr>
                <w:sz w:val="18"/>
              </w:rPr>
              <w:t>532,688</w:t>
            </w:r>
          </w:p>
        </w:tc>
      </w:tr>
      <w:tr>
        <w:trPr>
          <w:trHeight w:val="310" w:hRule="exact"/>
        </w:trPr>
        <w:tc>
          <w:tcPr>
            <w:tcW w:w="3507" w:type="dxa"/>
          </w:tcPr>
          <w:p>
            <w:pPr>
              <w:pStyle w:val="TableParagraph"/>
              <w:spacing w:before="22"/>
              <w:ind w:left="64"/>
              <w:jc w:val="left"/>
              <w:rPr>
                <w:b/>
                <w:sz w:val="18"/>
              </w:rPr>
            </w:pPr>
            <w:r>
              <w:rPr>
                <w:b/>
                <w:color w:val="333333"/>
                <w:sz w:val="18"/>
              </w:rPr>
              <w:t>VALLE DE BRAVO</w:t>
            </w:r>
          </w:p>
        </w:tc>
        <w:tc>
          <w:tcPr>
            <w:tcW w:w="1001" w:type="dxa"/>
          </w:tcPr>
          <w:p>
            <w:pPr>
              <w:pStyle w:val="TableParagraph"/>
              <w:spacing w:before="58"/>
              <w:ind w:left="73" w:right="75"/>
              <w:rPr>
                <w:sz w:val="18"/>
              </w:rPr>
            </w:pPr>
            <w:r>
              <w:rPr>
                <w:sz w:val="18"/>
              </w:rPr>
              <w:t>52,902</w:t>
            </w:r>
          </w:p>
        </w:tc>
        <w:tc>
          <w:tcPr>
            <w:tcW w:w="1001" w:type="dxa"/>
          </w:tcPr>
          <w:p>
            <w:pPr>
              <w:pStyle w:val="TableParagraph"/>
              <w:spacing w:before="58"/>
              <w:ind w:left="218" w:right="47"/>
              <w:jc w:val="left"/>
              <w:rPr>
                <w:sz w:val="18"/>
              </w:rPr>
            </w:pPr>
            <w:r>
              <w:rPr>
                <w:sz w:val="18"/>
              </w:rPr>
              <w:t>61,599</w:t>
            </w:r>
          </w:p>
        </w:tc>
        <w:tc>
          <w:tcPr>
            <w:tcW w:w="1001" w:type="dxa"/>
          </w:tcPr>
          <w:p>
            <w:pPr>
              <w:pStyle w:val="TableParagraph"/>
              <w:spacing w:before="58"/>
              <w:ind w:left="75" w:right="75"/>
              <w:rPr>
                <w:sz w:val="18"/>
              </w:rPr>
            </w:pPr>
            <w:r>
              <w:rPr>
                <w:sz w:val="18"/>
              </w:rPr>
              <w:t>61,653</w:t>
            </w:r>
          </w:p>
        </w:tc>
      </w:tr>
      <w:tr>
        <w:trPr>
          <w:trHeight w:val="310" w:hRule="exact"/>
        </w:trPr>
        <w:tc>
          <w:tcPr>
            <w:tcW w:w="3507" w:type="dxa"/>
          </w:tcPr>
          <w:p>
            <w:pPr>
              <w:pStyle w:val="TableParagraph"/>
              <w:spacing w:before="22"/>
              <w:ind w:left="64"/>
              <w:jc w:val="left"/>
              <w:rPr>
                <w:b/>
                <w:sz w:val="18"/>
              </w:rPr>
            </w:pPr>
            <w:r>
              <w:rPr>
                <w:b/>
                <w:color w:val="333333"/>
                <w:sz w:val="18"/>
              </w:rPr>
              <w:t>VALLE DE CHALCO SOLIDARIDAD</w:t>
            </w:r>
          </w:p>
        </w:tc>
        <w:tc>
          <w:tcPr>
            <w:tcW w:w="1001" w:type="dxa"/>
          </w:tcPr>
          <w:p>
            <w:pPr>
              <w:pStyle w:val="TableParagraph"/>
              <w:spacing w:before="58"/>
              <w:ind w:left="73" w:right="75"/>
              <w:rPr>
                <w:sz w:val="18"/>
              </w:rPr>
            </w:pPr>
            <w:r>
              <w:rPr>
                <w:sz w:val="18"/>
              </w:rPr>
              <w:t>332,279</w:t>
            </w:r>
          </w:p>
        </w:tc>
        <w:tc>
          <w:tcPr>
            <w:tcW w:w="1001" w:type="dxa"/>
          </w:tcPr>
          <w:p>
            <w:pPr>
              <w:pStyle w:val="TableParagraph"/>
              <w:spacing w:before="58"/>
              <w:ind w:left="168" w:right="47"/>
              <w:jc w:val="left"/>
              <w:rPr>
                <w:sz w:val="18"/>
              </w:rPr>
            </w:pPr>
            <w:r>
              <w:rPr>
                <w:sz w:val="18"/>
              </w:rPr>
              <w:t>357,645</w:t>
            </w:r>
          </w:p>
        </w:tc>
        <w:tc>
          <w:tcPr>
            <w:tcW w:w="1001" w:type="dxa"/>
          </w:tcPr>
          <w:p>
            <w:pPr>
              <w:pStyle w:val="TableParagraph"/>
              <w:spacing w:before="58"/>
              <w:ind w:left="75" w:right="75"/>
              <w:rPr>
                <w:sz w:val="18"/>
              </w:rPr>
            </w:pPr>
            <w:r>
              <w:rPr>
                <w:sz w:val="18"/>
              </w:rPr>
              <w:t>359,294</w:t>
            </w:r>
          </w:p>
        </w:tc>
      </w:tr>
      <w:tr>
        <w:trPr>
          <w:trHeight w:val="310" w:hRule="exact"/>
        </w:trPr>
        <w:tc>
          <w:tcPr>
            <w:tcW w:w="3507" w:type="dxa"/>
          </w:tcPr>
          <w:p>
            <w:pPr>
              <w:pStyle w:val="TableParagraph"/>
              <w:spacing w:before="22"/>
              <w:ind w:left="64"/>
              <w:jc w:val="left"/>
              <w:rPr>
                <w:b/>
                <w:sz w:val="18"/>
              </w:rPr>
            </w:pPr>
            <w:r>
              <w:rPr>
                <w:b/>
                <w:color w:val="333333"/>
                <w:sz w:val="18"/>
              </w:rPr>
              <w:t>VILLA DE ALLENDE</w:t>
            </w:r>
          </w:p>
        </w:tc>
        <w:tc>
          <w:tcPr>
            <w:tcW w:w="1001" w:type="dxa"/>
          </w:tcPr>
          <w:p>
            <w:pPr>
              <w:pStyle w:val="TableParagraph"/>
              <w:spacing w:before="58"/>
              <w:ind w:left="73" w:right="75"/>
              <w:rPr>
                <w:sz w:val="18"/>
              </w:rPr>
            </w:pPr>
            <w:r>
              <w:rPr>
                <w:sz w:val="18"/>
              </w:rPr>
              <w:t>41,938</w:t>
            </w:r>
          </w:p>
        </w:tc>
        <w:tc>
          <w:tcPr>
            <w:tcW w:w="1001" w:type="dxa"/>
          </w:tcPr>
          <w:p>
            <w:pPr>
              <w:pStyle w:val="TableParagraph"/>
              <w:spacing w:before="58"/>
              <w:ind w:left="218" w:right="47"/>
              <w:jc w:val="left"/>
              <w:rPr>
                <w:sz w:val="18"/>
              </w:rPr>
            </w:pPr>
            <w:r>
              <w:rPr>
                <w:sz w:val="18"/>
              </w:rPr>
              <w:t>47,709</w:t>
            </w:r>
          </w:p>
        </w:tc>
        <w:tc>
          <w:tcPr>
            <w:tcW w:w="1001" w:type="dxa"/>
          </w:tcPr>
          <w:p>
            <w:pPr>
              <w:pStyle w:val="TableParagraph"/>
              <w:spacing w:before="58"/>
              <w:ind w:left="75" w:right="75"/>
              <w:rPr>
                <w:sz w:val="18"/>
              </w:rPr>
            </w:pPr>
            <w:r>
              <w:rPr>
                <w:sz w:val="18"/>
              </w:rPr>
              <w:t>48,366</w:t>
            </w:r>
          </w:p>
        </w:tc>
      </w:tr>
      <w:tr>
        <w:trPr>
          <w:trHeight w:val="310" w:hRule="exact"/>
        </w:trPr>
        <w:tc>
          <w:tcPr>
            <w:tcW w:w="3507" w:type="dxa"/>
          </w:tcPr>
          <w:p>
            <w:pPr>
              <w:pStyle w:val="TableParagraph"/>
              <w:spacing w:before="22"/>
              <w:ind w:left="64"/>
              <w:jc w:val="left"/>
              <w:rPr>
                <w:b/>
                <w:sz w:val="18"/>
              </w:rPr>
            </w:pPr>
            <w:r>
              <w:rPr>
                <w:b/>
                <w:color w:val="333333"/>
                <w:sz w:val="18"/>
              </w:rPr>
              <w:t>VILLA DEL CARBON</w:t>
            </w:r>
          </w:p>
        </w:tc>
        <w:tc>
          <w:tcPr>
            <w:tcW w:w="1001" w:type="dxa"/>
          </w:tcPr>
          <w:p>
            <w:pPr>
              <w:pStyle w:val="TableParagraph"/>
              <w:spacing w:before="58"/>
              <w:ind w:left="73" w:right="75"/>
              <w:rPr>
                <w:sz w:val="18"/>
              </w:rPr>
            </w:pPr>
            <w:r>
              <w:rPr>
                <w:sz w:val="18"/>
              </w:rPr>
              <w:t>39,587</w:t>
            </w:r>
          </w:p>
        </w:tc>
        <w:tc>
          <w:tcPr>
            <w:tcW w:w="1001" w:type="dxa"/>
          </w:tcPr>
          <w:p>
            <w:pPr>
              <w:pStyle w:val="TableParagraph"/>
              <w:spacing w:before="58"/>
              <w:ind w:left="218" w:right="47"/>
              <w:jc w:val="left"/>
              <w:rPr>
                <w:sz w:val="18"/>
              </w:rPr>
            </w:pPr>
            <w:r>
              <w:rPr>
                <w:sz w:val="18"/>
              </w:rPr>
              <w:t>44,881</w:t>
            </w:r>
          </w:p>
        </w:tc>
        <w:tc>
          <w:tcPr>
            <w:tcW w:w="1001" w:type="dxa"/>
          </w:tcPr>
          <w:p>
            <w:pPr>
              <w:pStyle w:val="TableParagraph"/>
              <w:spacing w:before="58"/>
              <w:ind w:left="75" w:right="75"/>
              <w:rPr>
                <w:sz w:val="18"/>
              </w:rPr>
            </w:pPr>
            <w:r>
              <w:rPr>
                <w:sz w:val="18"/>
              </w:rPr>
              <w:t>45,467</w:t>
            </w:r>
          </w:p>
        </w:tc>
      </w:tr>
      <w:tr>
        <w:trPr>
          <w:trHeight w:val="310" w:hRule="exact"/>
        </w:trPr>
        <w:tc>
          <w:tcPr>
            <w:tcW w:w="3507" w:type="dxa"/>
          </w:tcPr>
          <w:p>
            <w:pPr>
              <w:pStyle w:val="TableParagraph"/>
              <w:spacing w:before="22"/>
              <w:ind w:left="64"/>
              <w:jc w:val="left"/>
              <w:rPr>
                <w:b/>
                <w:sz w:val="18"/>
              </w:rPr>
            </w:pPr>
            <w:r>
              <w:rPr>
                <w:b/>
                <w:color w:val="333333"/>
                <w:sz w:val="18"/>
              </w:rPr>
              <w:t>VILLA GUERRERO</w:t>
            </w:r>
          </w:p>
        </w:tc>
        <w:tc>
          <w:tcPr>
            <w:tcW w:w="1001" w:type="dxa"/>
          </w:tcPr>
          <w:p>
            <w:pPr>
              <w:pStyle w:val="TableParagraph"/>
              <w:spacing w:before="58"/>
              <w:ind w:left="73" w:right="75"/>
              <w:rPr>
                <w:sz w:val="18"/>
              </w:rPr>
            </w:pPr>
            <w:r>
              <w:rPr>
                <w:sz w:val="18"/>
              </w:rPr>
              <w:t>52,090</w:t>
            </w:r>
          </w:p>
        </w:tc>
        <w:tc>
          <w:tcPr>
            <w:tcW w:w="1001" w:type="dxa"/>
          </w:tcPr>
          <w:p>
            <w:pPr>
              <w:pStyle w:val="TableParagraph"/>
              <w:spacing w:before="58"/>
              <w:ind w:left="218" w:right="47"/>
              <w:jc w:val="left"/>
              <w:rPr>
                <w:sz w:val="18"/>
              </w:rPr>
            </w:pPr>
            <w:r>
              <w:rPr>
                <w:sz w:val="18"/>
              </w:rPr>
              <w:t>59,991</w:t>
            </w:r>
          </w:p>
        </w:tc>
        <w:tc>
          <w:tcPr>
            <w:tcW w:w="1001" w:type="dxa"/>
          </w:tcPr>
          <w:p>
            <w:pPr>
              <w:pStyle w:val="TableParagraph"/>
              <w:spacing w:before="58"/>
              <w:ind w:left="75" w:right="75"/>
              <w:rPr>
                <w:sz w:val="18"/>
              </w:rPr>
            </w:pPr>
            <w:r>
              <w:rPr>
                <w:sz w:val="18"/>
              </w:rPr>
              <w:t>60,768</w:t>
            </w:r>
          </w:p>
        </w:tc>
      </w:tr>
      <w:tr>
        <w:trPr>
          <w:trHeight w:val="312" w:hRule="exact"/>
        </w:trPr>
        <w:tc>
          <w:tcPr>
            <w:tcW w:w="3507" w:type="dxa"/>
          </w:tcPr>
          <w:p>
            <w:pPr>
              <w:pStyle w:val="TableParagraph"/>
              <w:spacing w:before="25"/>
              <w:ind w:left="64"/>
              <w:jc w:val="left"/>
              <w:rPr>
                <w:b/>
                <w:sz w:val="18"/>
              </w:rPr>
            </w:pPr>
            <w:r>
              <w:rPr>
                <w:b/>
                <w:color w:val="333333"/>
                <w:sz w:val="18"/>
              </w:rPr>
              <w:t>VILLA VICTORIA</w:t>
            </w:r>
          </w:p>
        </w:tc>
        <w:tc>
          <w:tcPr>
            <w:tcW w:w="1001" w:type="dxa"/>
          </w:tcPr>
          <w:p>
            <w:pPr>
              <w:pStyle w:val="TableParagraph"/>
              <w:spacing w:before="58"/>
              <w:ind w:left="73" w:right="75"/>
              <w:rPr>
                <w:sz w:val="18"/>
              </w:rPr>
            </w:pPr>
            <w:r>
              <w:rPr>
                <w:sz w:val="18"/>
              </w:rPr>
              <w:t>77,819</w:t>
            </w:r>
          </w:p>
        </w:tc>
        <w:tc>
          <w:tcPr>
            <w:tcW w:w="1001" w:type="dxa"/>
          </w:tcPr>
          <w:p>
            <w:pPr>
              <w:pStyle w:val="TableParagraph"/>
              <w:spacing w:before="58"/>
              <w:ind w:left="218" w:right="47"/>
              <w:jc w:val="left"/>
              <w:rPr>
                <w:sz w:val="18"/>
              </w:rPr>
            </w:pPr>
            <w:r>
              <w:rPr>
                <w:sz w:val="18"/>
              </w:rPr>
              <w:t>94,369</w:t>
            </w:r>
          </w:p>
        </w:tc>
        <w:tc>
          <w:tcPr>
            <w:tcW w:w="1001" w:type="dxa"/>
          </w:tcPr>
          <w:p>
            <w:pPr>
              <w:pStyle w:val="TableParagraph"/>
              <w:spacing w:before="58"/>
              <w:ind w:left="75" w:right="75"/>
              <w:rPr>
                <w:sz w:val="18"/>
              </w:rPr>
            </w:pPr>
            <w:r>
              <w:rPr>
                <w:sz w:val="18"/>
              </w:rPr>
              <w:t>96,526</w:t>
            </w:r>
          </w:p>
        </w:tc>
      </w:tr>
      <w:tr>
        <w:trPr>
          <w:trHeight w:val="310" w:hRule="exact"/>
        </w:trPr>
        <w:tc>
          <w:tcPr>
            <w:tcW w:w="3507" w:type="dxa"/>
          </w:tcPr>
          <w:p>
            <w:pPr>
              <w:pStyle w:val="TableParagraph"/>
              <w:spacing w:before="22"/>
              <w:ind w:left="64"/>
              <w:jc w:val="left"/>
              <w:rPr>
                <w:b/>
                <w:sz w:val="18"/>
              </w:rPr>
            </w:pPr>
            <w:r>
              <w:rPr>
                <w:b/>
                <w:color w:val="333333"/>
                <w:sz w:val="18"/>
              </w:rPr>
              <w:t>XALATLACO</w:t>
            </w:r>
          </w:p>
        </w:tc>
        <w:tc>
          <w:tcPr>
            <w:tcW w:w="1001" w:type="dxa"/>
          </w:tcPr>
          <w:p>
            <w:pPr>
              <w:pStyle w:val="TableParagraph"/>
              <w:spacing w:before="58"/>
              <w:ind w:left="73" w:right="75"/>
              <w:rPr>
                <w:sz w:val="18"/>
              </w:rPr>
            </w:pPr>
            <w:r>
              <w:rPr>
                <w:sz w:val="18"/>
              </w:rPr>
              <w:t>20,002</w:t>
            </w:r>
          </w:p>
        </w:tc>
        <w:tc>
          <w:tcPr>
            <w:tcW w:w="1001" w:type="dxa"/>
          </w:tcPr>
          <w:p>
            <w:pPr>
              <w:pStyle w:val="TableParagraph"/>
              <w:spacing w:before="58"/>
              <w:ind w:left="218" w:right="47"/>
              <w:jc w:val="left"/>
              <w:rPr>
                <w:sz w:val="18"/>
              </w:rPr>
            </w:pPr>
            <w:r>
              <w:rPr>
                <w:sz w:val="18"/>
              </w:rPr>
              <w:t>26,865</w:t>
            </w:r>
          </w:p>
        </w:tc>
        <w:tc>
          <w:tcPr>
            <w:tcW w:w="1001" w:type="dxa"/>
          </w:tcPr>
          <w:p>
            <w:pPr>
              <w:pStyle w:val="TableParagraph"/>
              <w:spacing w:before="58"/>
              <w:ind w:left="75" w:right="75"/>
              <w:rPr>
                <w:sz w:val="18"/>
              </w:rPr>
            </w:pPr>
            <w:r>
              <w:rPr>
                <w:sz w:val="18"/>
              </w:rPr>
              <w:t>27,810</w:t>
            </w:r>
          </w:p>
        </w:tc>
      </w:tr>
      <w:tr>
        <w:trPr>
          <w:trHeight w:val="310" w:hRule="exact"/>
        </w:trPr>
        <w:tc>
          <w:tcPr>
            <w:tcW w:w="3507" w:type="dxa"/>
          </w:tcPr>
          <w:p>
            <w:pPr>
              <w:pStyle w:val="TableParagraph"/>
              <w:spacing w:before="22"/>
              <w:ind w:left="64"/>
              <w:jc w:val="left"/>
              <w:rPr>
                <w:b/>
                <w:sz w:val="18"/>
              </w:rPr>
            </w:pPr>
            <w:r>
              <w:rPr>
                <w:b/>
                <w:color w:val="333333"/>
                <w:sz w:val="18"/>
              </w:rPr>
              <w:t>XONACATLAN</w:t>
            </w:r>
          </w:p>
        </w:tc>
        <w:tc>
          <w:tcPr>
            <w:tcW w:w="1001" w:type="dxa"/>
          </w:tcPr>
          <w:p>
            <w:pPr>
              <w:pStyle w:val="TableParagraph"/>
              <w:spacing w:before="58"/>
              <w:ind w:left="73" w:right="75"/>
              <w:rPr>
                <w:sz w:val="18"/>
              </w:rPr>
            </w:pPr>
            <w:r>
              <w:rPr>
                <w:sz w:val="18"/>
              </w:rPr>
              <w:t>45,274</w:t>
            </w:r>
          </w:p>
        </w:tc>
        <w:tc>
          <w:tcPr>
            <w:tcW w:w="1001" w:type="dxa"/>
          </w:tcPr>
          <w:p>
            <w:pPr>
              <w:pStyle w:val="TableParagraph"/>
              <w:spacing w:before="58"/>
              <w:ind w:left="218" w:right="47"/>
              <w:jc w:val="left"/>
              <w:rPr>
                <w:sz w:val="18"/>
              </w:rPr>
            </w:pPr>
            <w:r>
              <w:rPr>
                <w:sz w:val="18"/>
              </w:rPr>
              <w:t>46,331</w:t>
            </w:r>
          </w:p>
        </w:tc>
        <w:tc>
          <w:tcPr>
            <w:tcW w:w="1001" w:type="dxa"/>
          </w:tcPr>
          <w:p>
            <w:pPr>
              <w:pStyle w:val="TableParagraph"/>
              <w:spacing w:before="58"/>
              <w:ind w:left="75" w:right="75"/>
              <w:rPr>
                <w:sz w:val="18"/>
              </w:rPr>
            </w:pPr>
            <w:r>
              <w:rPr>
                <w:sz w:val="18"/>
              </w:rPr>
              <w:t>46,615</w:t>
            </w:r>
          </w:p>
        </w:tc>
      </w:tr>
      <w:tr>
        <w:trPr>
          <w:trHeight w:val="310" w:hRule="exact"/>
        </w:trPr>
        <w:tc>
          <w:tcPr>
            <w:tcW w:w="3507" w:type="dxa"/>
          </w:tcPr>
          <w:p>
            <w:pPr>
              <w:pStyle w:val="TableParagraph"/>
              <w:spacing w:before="23"/>
              <w:ind w:left="64"/>
              <w:jc w:val="left"/>
              <w:rPr>
                <w:b/>
                <w:sz w:val="18"/>
              </w:rPr>
            </w:pPr>
            <w:r>
              <w:rPr>
                <w:b/>
                <w:color w:val="333333"/>
                <w:sz w:val="18"/>
              </w:rPr>
              <w:t>ZACAZONAPAN</w:t>
            </w:r>
          </w:p>
        </w:tc>
        <w:tc>
          <w:tcPr>
            <w:tcW w:w="1001" w:type="dxa"/>
          </w:tcPr>
          <w:p>
            <w:pPr>
              <w:pStyle w:val="TableParagraph"/>
              <w:spacing w:before="59"/>
              <w:ind w:left="73" w:right="77"/>
              <w:rPr>
                <w:sz w:val="18"/>
              </w:rPr>
            </w:pPr>
            <w:r>
              <w:rPr>
                <w:sz w:val="18"/>
              </w:rPr>
              <w:t>3,836</w:t>
            </w:r>
          </w:p>
        </w:tc>
        <w:tc>
          <w:tcPr>
            <w:tcW w:w="1001" w:type="dxa"/>
          </w:tcPr>
          <w:p>
            <w:pPr>
              <w:pStyle w:val="TableParagraph"/>
              <w:spacing w:before="59"/>
              <w:ind w:left="266" w:right="47"/>
              <w:jc w:val="left"/>
              <w:rPr>
                <w:sz w:val="18"/>
              </w:rPr>
            </w:pPr>
            <w:r>
              <w:rPr>
                <w:sz w:val="18"/>
              </w:rPr>
              <w:t>4,051</w:t>
            </w:r>
          </w:p>
        </w:tc>
        <w:tc>
          <w:tcPr>
            <w:tcW w:w="1001" w:type="dxa"/>
          </w:tcPr>
          <w:p>
            <w:pPr>
              <w:pStyle w:val="TableParagraph"/>
              <w:spacing w:before="59"/>
              <w:ind w:left="74" w:right="75"/>
              <w:rPr>
                <w:sz w:val="18"/>
              </w:rPr>
            </w:pPr>
            <w:r>
              <w:rPr>
                <w:sz w:val="18"/>
              </w:rPr>
              <w:t>4,051</w:t>
            </w:r>
          </w:p>
        </w:tc>
      </w:tr>
      <w:tr>
        <w:trPr>
          <w:trHeight w:val="310" w:hRule="exact"/>
        </w:trPr>
        <w:tc>
          <w:tcPr>
            <w:tcW w:w="3507" w:type="dxa"/>
          </w:tcPr>
          <w:p>
            <w:pPr>
              <w:pStyle w:val="TableParagraph"/>
              <w:spacing w:before="22"/>
              <w:ind w:left="64"/>
              <w:jc w:val="left"/>
              <w:rPr>
                <w:b/>
                <w:sz w:val="18"/>
              </w:rPr>
            </w:pPr>
            <w:r>
              <w:rPr>
                <w:b/>
                <w:color w:val="333333"/>
                <w:sz w:val="18"/>
              </w:rPr>
              <w:t>ZACUALPAN</w:t>
            </w:r>
          </w:p>
        </w:tc>
        <w:tc>
          <w:tcPr>
            <w:tcW w:w="1001" w:type="dxa"/>
          </w:tcPr>
          <w:p>
            <w:pPr>
              <w:pStyle w:val="TableParagraph"/>
              <w:spacing w:before="58"/>
              <w:ind w:left="73" w:right="75"/>
              <w:rPr>
                <w:sz w:val="18"/>
              </w:rPr>
            </w:pPr>
            <w:r>
              <w:rPr>
                <w:sz w:val="18"/>
              </w:rPr>
              <w:t>13,800</w:t>
            </w:r>
          </w:p>
        </w:tc>
        <w:tc>
          <w:tcPr>
            <w:tcW w:w="1001" w:type="dxa"/>
          </w:tcPr>
          <w:p>
            <w:pPr>
              <w:pStyle w:val="TableParagraph"/>
              <w:spacing w:before="58"/>
              <w:ind w:left="218" w:right="47"/>
              <w:jc w:val="left"/>
              <w:rPr>
                <w:sz w:val="18"/>
              </w:rPr>
            </w:pPr>
            <w:r>
              <w:rPr>
                <w:sz w:val="18"/>
              </w:rPr>
              <w:t>15,121</w:t>
            </w:r>
          </w:p>
        </w:tc>
        <w:tc>
          <w:tcPr>
            <w:tcW w:w="1001" w:type="dxa"/>
          </w:tcPr>
          <w:p>
            <w:pPr>
              <w:pStyle w:val="TableParagraph"/>
              <w:spacing w:before="58"/>
              <w:ind w:left="75" w:right="75"/>
              <w:rPr>
                <w:sz w:val="18"/>
              </w:rPr>
            </w:pPr>
            <w:r>
              <w:rPr>
                <w:sz w:val="18"/>
              </w:rPr>
              <w:t>14,880</w:t>
            </w:r>
          </w:p>
        </w:tc>
      </w:tr>
      <w:tr>
        <w:trPr>
          <w:trHeight w:val="310" w:hRule="exact"/>
        </w:trPr>
        <w:tc>
          <w:tcPr>
            <w:tcW w:w="3507" w:type="dxa"/>
          </w:tcPr>
          <w:p>
            <w:pPr>
              <w:pStyle w:val="TableParagraph"/>
              <w:spacing w:before="22"/>
              <w:ind w:left="64"/>
              <w:jc w:val="left"/>
              <w:rPr>
                <w:b/>
                <w:sz w:val="18"/>
              </w:rPr>
            </w:pPr>
            <w:r>
              <w:rPr>
                <w:b/>
                <w:color w:val="333333"/>
                <w:sz w:val="18"/>
              </w:rPr>
              <w:t>ZINACANTEPEC</w:t>
            </w:r>
          </w:p>
        </w:tc>
        <w:tc>
          <w:tcPr>
            <w:tcW w:w="1001" w:type="dxa"/>
          </w:tcPr>
          <w:p>
            <w:pPr>
              <w:pStyle w:val="TableParagraph"/>
              <w:spacing w:before="58"/>
              <w:ind w:left="73" w:right="75"/>
              <w:rPr>
                <w:sz w:val="18"/>
              </w:rPr>
            </w:pPr>
            <w:r>
              <w:rPr>
                <w:sz w:val="18"/>
              </w:rPr>
              <w:t>136,167</w:t>
            </w:r>
          </w:p>
        </w:tc>
        <w:tc>
          <w:tcPr>
            <w:tcW w:w="1001" w:type="dxa"/>
          </w:tcPr>
          <w:p>
            <w:pPr>
              <w:pStyle w:val="TableParagraph"/>
              <w:spacing w:before="58"/>
              <w:ind w:left="168" w:right="47"/>
              <w:jc w:val="left"/>
              <w:rPr>
                <w:sz w:val="18"/>
              </w:rPr>
            </w:pPr>
            <w:r>
              <w:rPr>
                <w:sz w:val="18"/>
              </w:rPr>
              <w:t>167,759</w:t>
            </w:r>
          </w:p>
        </w:tc>
        <w:tc>
          <w:tcPr>
            <w:tcW w:w="1001" w:type="dxa"/>
          </w:tcPr>
          <w:p>
            <w:pPr>
              <w:pStyle w:val="TableParagraph"/>
              <w:spacing w:before="58"/>
              <w:ind w:left="75" w:right="75"/>
              <w:rPr>
                <w:sz w:val="18"/>
              </w:rPr>
            </w:pPr>
            <w:r>
              <w:rPr>
                <w:sz w:val="18"/>
              </w:rPr>
              <w:t>173,282</w:t>
            </w:r>
          </w:p>
        </w:tc>
      </w:tr>
      <w:tr>
        <w:trPr>
          <w:trHeight w:val="312" w:hRule="exact"/>
        </w:trPr>
        <w:tc>
          <w:tcPr>
            <w:tcW w:w="3507" w:type="dxa"/>
          </w:tcPr>
          <w:p>
            <w:pPr>
              <w:pStyle w:val="TableParagraph"/>
              <w:spacing w:before="25"/>
              <w:ind w:left="64"/>
              <w:jc w:val="left"/>
              <w:rPr>
                <w:b/>
                <w:sz w:val="18"/>
              </w:rPr>
            </w:pPr>
            <w:r>
              <w:rPr>
                <w:b/>
                <w:color w:val="333333"/>
                <w:sz w:val="18"/>
              </w:rPr>
              <w:t>ZUMPAHUACAN</w:t>
            </w:r>
          </w:p>
        </w:tc>
        <w:tc>
          <w:tcPr>
            <w:tcW w:w="1001" w:type="dxa"/>
          </w:tcPr>
          <w:p>
            <w:pPr>
              <w:pStyle w:val="TableParagraph"/>
              <w:spacing w:before="58"/>
              <w:ind w:left="73" w:right="75"/>
              <w:rPr>
                <w:sz w:val="18"/>
              </w:rPr>
            </w:pPr>
            <w:r>
              <w:rPr>
                <w:sz w:val="18"/>
              </w:rPr>
              <w:t>16,149</w:t>
            </w:r>
          </w:p>
        </w:tc>
        <w:tc>
          <w:tcPr>
            <w:tcW w:w="1001" w:type="dxa"/>
          </w:tcPr>
          <w:p>
            <w:pPr>
              <w:pStyle w:val="TableParagraph"/>
              <w:spacing w:before="58"/>
              <w:ind w:left="218" w:right="47"/>
              <w:jc w:val="left"/>
              <w:rPr>
                <w:sz w:val="18"/>
              </w:rPr>
            </w:pPr>
            <w:r>
              <w:rPr>
                <w:sz w:val="18"/>
              </w:rPr>
              <w:t>16,365</w:t>
            </w:r>
          </w:p>
        </w:tc>
        <w:tc>
          <w:tcPr>
            <w:tcW w:w="1001" w:type="dxa"/>
          </w:tcPr>
          <w:p>
            <w:pPr>
              <w:pStyle w:val="TableParagraph"/>
              <w:spacing w:before="58"/>
              <w:ind w:left="75" w:right="75"/>
              <w:rPr>
                <w:sz w:val="18"/>
              </w:rPr>
            </w:pPr>
            <w:r>
              <w:rPr>
                <w:sz w:val="18"/>
              </w:rPr>
              <w:t>16,362</w:t>
            </w:r>
          </w:p>
        </w:tc>
      </w:tr>
      <w:tr>
        <w:trPr>
          <w:trHeight w:val="310" w:hRule="exact"/>
        </w:trPr>
        <w:tc>
          <w:tcPr>
            <w:tcW w:w="3507" w:type="dxa"/>
          </w:tcPr>
          <w:p>
            <w:pPr>
              <w:pStyle w:val="TableParagraph"/>
              <w:spacing w:before="22"/>
              <w:ind w:left="64"/>
              <w:jc w:val="left"/>
              <w:rPr>
                <w:b/>
                <w:sz w:val="18"/>
              </w:rPr>
            </w:pPr>
            <w:r>
              <w:rPr>
                <w:b/>
                <w:color w:val="333333"/>
                <w:sz w:val="18"/>
              </w:rPr>
              <w:t>ZUMPANGO</w:t>
            </w:r>
          </w:p>
        </w:tc>
        <w:tc>
          <w:tcPr>
            <w:tcW w:w="1001" w:type="dxa"/>
          </w:tcPr>
          <w:p>
            <w:pPr>
              <w:pStyle w:val="TableParagraph"/>
              <w:spacing w:before="58"/>
              <w:ind w:left="73" w:right="75"/>
              <w:rPr>
                <w:sz w:val="18"/>
              </w:rPr>
            </w:pPr>
            <w:r>
              <w:rPr>
                <w:sz w:val="18"/>
              </w:rPr>
              <w:t>127,988</w:t>
            </w:r>
          </w:p>
        </w:tc>
        <w:tc>
          <w:tcPr>
            <w:tcW w:w="1001" w:type="dxa"/>
          </w:tcPr>
          <w:p>
            <w:pPr>
              <w:pStyle w:val="TableParagraph"/>
              <w:spacing w:before="58"/>
              <w:ind w:left="168" w:right="47"/>
              <w:jc w:val="left"/>
              <w:rPr>
                <w:sz w:val="18"/>
              </w:rPr>
            </w:pPr>
            <w:r>
              <w:rPr>
                <w:sz w:val="18"/>
              </w:rPr>
              <w:t>159,647</w:t>
            </w:r>
          </w:p>
        </w:tc>
        <w:tc>
          <w:tcPr>
            <w:tcW w:w="1001" w:type="dxa"/>
          </w:tcPr>
          <w:p>
            <w:pPr>
              <w:pStyle w:val="TableParagraph"/>
              <w:spacing w:before="58"/>
              <w:ind w:left="75" w:right="75"/>
              <w:rPr>
                <w:sz w:val="18"/>
              </w:rPr>
            </w:pPr>
            <w:r>
              <w:rPr>
                <w:sz w:val="18"/>
              </w:rPr>
              <w:t>168,087</w:t>
            </w:r>
          </w:p>
        </w:tc>
      </w:tr>
    </w:tbl>
    <w:p>
      <w:pPr>
        <w:spacing w:before="39"/>
        <w:ind w:left="1170" w:right="552" w:firstLine="0"/>
        <w:jc w:val="left"/>
        <w:rPr>
          <w:sz w:val="16"/>
        </w:rPr>
      </w:pPr>
      <w:r>
        <w:rPr>
          <w:sz w:val="16"/>
        </w:rPr>
        <w:t>Fuente: Elaboración propia con datos del INEGI.</w:t>
      </w:r>
    </w:p>
    <w:p>
      <w:pPr>
        <w:spacing w:after="0"/>
        <w:jc w:val="left"/>
        <w:rPr>
          <w:sz w:val="16"/>
        </w:rPr>
        <w:sectPr>
          <w:pgSz w:w="12240" w:h="15840"/>
          <w:pgMar w:header="0" w:footer="975" w:top="1420" w:bottom="1160" w:left="1720" w:right="1720"/>
        </w:sectPr>
      </w:pPr>
    </w:p>
    <w:tbl>
      <w:tblPr>
        <w:tblW w:w="0" w:type="auto"/>
        <w:jc w:val="left"/>
        <w:tblInd w:w="9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31"/>
        <w:gridCol w:w="1248"/>
        <w:gridCol w:w="1229"/>
        <w:gridCol w:w="1015"/>
        <w:gridCol w:w="1018"/>
      </w:tblGrid>
      <w:tr>
        <w:trPr>
          <w:trHeight w:val="424" w:hRule="exact"/>
        </w:trPr>
        <w:tc>
          <w:tcPr>
            <w:tcW w:w="6842" w:type="dxa"/>
            <w:gridSpan w:val="5"/>
            <w:shd w:val="clear" w:color="auto" w:fill="92D050"/>
          </w:tcPr>
          <w:p>
            <w:pPr>
              <w:pStyle w:val="TableParagraph"/>
              <w:ind w:left="2172" w:right="275" w:hanging="1887"/>
              <w:jc w:val="left"/>
              <w:rPr>
                <w:b/>
                <w:sz w:val="18"/>
              </w:rPr>
            </w:pPr>
            <w:r>
              <w:rPr>
                <w:b/>
                <w:sz w:val="18"/>
              </w:rPr>
              <w:t>Anexo 2. Índices de marginación de los municipios del Estado de México durante el periodo 2006-2010</w:t>
            </w:r>
          </w:p>
        </w:tc>
      </w:tr>
      <w:tr>
        <w:trPr>
          <w:trHeight w:val="631" w:hRule="exact"/>
        </w:trPr>
        <w:tc>
          <w:tcPr>
            <w:tcW w:w="2331" w:type="dxa"/>
            <w:shd w:val="clear" w:color="auto" w:fill="92D050"/>
          </w:tcPr>
          <w:p>
            <w:pPr>
              <w:pStyle w:val="TableParagraph"/>
              <w:spacing w:before="2"/>
              <w:jc w:val="left"/>
              <w:rPr>
                <w:sz w:val="17"/>
              </w:rPr>
            </w:pPr>
          </w:p>
          <w:p>
            <w:pPr>
              <w:pStyle w:val="TableParagraph"/>
              <w:ind w:left="739"/>
              <w:jc w:val="left"/>
              <w:rPr>
                <w:b/>
                <w:sz w:val="18"/>
              </w:rPr>
            </w:pPr>
            <w:r>
              <w:rPr>
                <w:b/>
                <w:sz w:val="18"/>
              </w:rPr>
              <w:t>Municipio</w:t>
            </w:r>
          </w:p>
        </w:tc>
        <w:tc>
          <w:tcPr>
            <w:tcW w:w="1248" w:type="dxa"/>
            <w:shd w:val="clear" w:color="auto" w:fill="92D050"/>
          </w:tcPr>
          <w:p>
            <w:pPr>
              <w:pStyle w:val="TableParagraph"/>
              <w:ind w:left="79" w:right="85" w:firstLine="1"/>
              <w:rPr>
                <w:b/>
                <w:sz w:val="18"/>
              </w:rPr>
            </w:pPr>
            <w:r>
              <w:rPr>
                <w:b/>
                <w:sz w:val="18"/>
              </w:rPr>
              <w:t>Índice de marginación</w:t>
            </w:r>
            <w:r>
              <w:rPr>
                <w:b/>
                <w:w w:val="100"/>
                <w:sz w:val="18"/>
              </w:rPr>
              <w:t> </w:t>
            </w:r>
            <w:r>
              <w:rPr>
                <w:b/>
                <w:sz w:val="18"/>
              </w:rPr>
              <w:t>2005</w:t>
            </w:r>
          </w:p>
        </w:tc>
        <w:tc>
          <w:tcPr>
            <w:tcW w:w="1229" w:type="dxa"/>
            <w:shd w:val="clear" w:color="auto" w:fill="92D050"/>
          </w:tcPr>
          <w:p>
            <w:pPr>
              <w:pStyle w:val="TableParagraph"/>
              <w:spacing w:before="2"/>
              <w:jc w:val="left"/>
              <w:rPr>
                <w:sz w:val="17"/>
              </w:rPr>
            </w:pPr>
          </w:p>
          <w:p>
            <w:pPr>
              <w:pStyle w:val="TableParagraph"/>
              <w:ind w:left="280" w:right="134" w:hanging="135"/>
              <w:jc w:val="left"/>
              <w:rPr>
                <w:b/>
                <w:sz w:val="18"/>
              </w:rPr>
            </w:pPr>
            <w:r>
              <w:rPr>
                <w:b/>
                <w:sz w:val="18"/>
              </w:rPr>
              <w:t>Valoración IM 2005</w:t>
            </w:r>
          </w:p>
        </w:tc>
        <w:tc>
          <w:tcPr>
            <w:tcW w:w="2033" w:type="dxa"/>
            <w:gridSpan w:val="2"/>
            <w:shd w:val="clear" w:color="auto" w:fill="92D050"/>
          </w:tcPr>
          <w:p>
            <w:pPr>
              <w:pStyle w:val="TableParagraph"/>
              <w:spacing w:before="2"/>
              <w:jc w:val="left"/>
              <w:rPr>
                <w:sz w:val="17"/>
              </w:rPr>
            </w:pPr>
          </w:p>
          <w:p>
            <w:pPr>
              <w:pStyle w:val="TableParagraph"/>
              <w:ind w:left="199"/>
              <w:jc w:val="left"/>
              <w:rPr>
                <w:b/>
                <w:sz w:val="18"/>
              </w:rPr>
            </w:pPr>
            <w:r>
              <w:rPr>
                <w:b/>
                <w:sz w:val="18"/>
              </w:rPr>
              <w:t>Valoración IM 2010</w:t>
            </w:r>
          </w:p>
        </w:tc>
      </w:tr>
      <w:tr>
        <w:trPr>
          <w:trHeight w:val="293" w:hRule="exact"/>
        </w:trPr>
        <w:tc>
          <w:tcPr>
            <w:tcW w:w="2331" w:type="dxa"/>
          </w:tcPr>
          <w:p>
            <w:pPr>
              <w:pStyle w:val="TableParagraph"/>
              <w:spacing w:before="18"/>
              <w:ind w:left="64"/>
              <w:jc w:val="left"/>
              <w:rPr>
                <w:sz w:val="18"/>
              </w:rPr>
            </w:pPr>
            <w:r>
              <w:rPr>
                <w:sz w:val="18"/>
              </w:rPr>
              <w:t>Acambay</w:t>
            </w:r>
          </w:p>
        </w:tc>
        <w:tc>
          <w:tcPr>
            <w:tcW w:w="1248" w:type="dxa"/>
          </w:tcPr>
          <w:p>
            <w:pPr>
              <w:pStyle w:val="TableParagraph"/>
              <w:spacing w:before="18"/>
              <w:ind w:left="190" w:right="194"/>
              <w:rPr>
                <w:sz w:val="18"/>
              </w:rPr>
            </w:pPr>
            <w:r>
              <w:rPr>
                <w:sz w:val="18"/>
              </w:rPr>
              <w:t>1.40553</w:t>
            </w:r>
          </w:p>
        </w:tc>
        <w:tc>
          <w:tcPr>
            <w:tcW w:w="1229" w:type="dxa"/>
          </w:tcPr>
          <w:p>
            <w:pPr>
              <w:pStyle w:val="TableParagraph"/>
              <w:spacing w:before="18"/>
              <w:ind w:left="221" w:right="225"/>
              <w:rPr>
                <w:sz w:val="18"/>
              </w:rPr>
            </w:pPr>
            <w:r>
              <w:rPr>
                <w:sz w:val="18"/>
              </w:rPr>
              <w:t>Muy Alto</w:t>
            </w:r>
          </w:p>
        </w:tc>
        <w:tc>
          <w:tcPr>
            <w:tcW w:w="1015" w:type="dxa"/>
          </w:tcPr>
          <w:p>
            <w:pPr>
              <w:pStyle w:val="TableParagraph"/>
              <w:spacing w:before="42"/>
              <w:ind w:right="275"/>
              <w:jc w:val="right"/>
              <w:rPr>
                <w:sz w:val="18"/>
              </w:rPr>
            </w:pPr>
            <w:r>
              <w:rPr>
                <w:sz w:val="18"/>
              </w:rPr>
              <w:t>0.303</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20"/>
              <w:ind w:left="64"/>
              <w:jc w:val="left"/>
              <w:rPr>
                <w:sz w:val="18"/>
              </w:rPr>
            </w:pPr>
            <w:r>
              <w:rPr>
                <w:sz w:val="18"/>
              </w:rPr>
              <w:t>Acolman</w:t>
            </w:r>
          </w:p>
        </w:tc>
        <w:tc>
          <w:tcPr>
            <w:tcW w:w="1248" w:type="dxa"/>
          </w:tcPr>
          <w:p>
            <w:pPr>
              <w:pStyle w:val="TableParagraph"/>
              <w:spacing w:before="20"/>
              <w:ind w:left="193" w:right="194"/>
              <w:rPr>
                <w:sz w:val="18"/>
              </w:rPr>
            </w:pPr>
            <w:r>
              <w:rPr>
                <w:sz w:val="18"/>
              </w:rPr>
              <w:t>-0.83471</w:t>
            </w:r>
          </w:p>
        </w:tc>
        <w:tc>
          <w:tcPr>
            <w:tcW w:w="1229" w:type="dxa"/>
          </w:tcPr>
          <w:p>
            <w:pPr>
              <w:pStyle w:val="TableParagraph"/>
              <w:spacing w:before="20"/>
              <w:ind w:left="223" w:right="223"/>
              <w:rPr>
                <w:sz w:val="18"/>
              </w:rPr>
            </w:pPr>
            <w:r>
              <w:rPr>
                <w:sz w:val="18"/>
              </w:rPr>
              <w:t>Bajo</w:t>
            </w:r>
          </w:p>
        </w:tc>
        <w:tc>
          <w:tcPr>
            <w:tcW w:w="1015" w:type="dxa"/>
          </w:tcPr>
          <w:p>
            <w:pPr>
              <w:pStyle w:val="TableParagraph"/>
              <w:spacing w:before="42"/>
              <w:ind w:right="244"/>
              <w:jc w:val="right"/>
              <w:rPr>
                <w:sz w:val="18"/>
              </w:rPr>
            </w:pPr>
            <w:r>
              <w:rPr>
                <w:sz w:val="18"/>
              </w:rPr>
              <w:t>-1.323</w:t>
            </w:r>
          </w:p>
        </w:tc>
        <w:tc>
          <w:tcPr>
            <w:tcW w:w="1018" w:type="dxa"/>
          </w:tcPr>
          <w:p>
            <w:pPr>
              <w:pStyle w:val="TableParagraph"/>
              <w:spacing w:before="42"/>
              <w:ind w:left="117" w:right="119"/>
              <w:rPr>
                <w:sz w:val="18"/>
              </w:rPr>
            </w:pPr>
            <w:r>
              <w:rPr>
                <w:sz w:val="18"/>
              </w:rPr>
              <w:t>Muy bajo</w:t>
            </w:r>
          </w:p>
        </w:tc>
      </w:tr>
      <w:tr>
        <w:trPr>
          <w:trHeight w:val="293" w:hRule="exact"/>
        </w:trPr>
        <w:tc>
          <w:tcPr>
            <w:tcW w:w="2331" w:type="dxa"/>
          </w:tcPr>
          <w:p>
            <w:pPr>
              <w:pStyle w:val="TableParagraph"/>
              <w:spacing w:before="20"/>
              <w:ind w:left="64"/>
              <w:jc w:val="left"/>
              <w:rPr>
                <w:sz w:val="18"/>
              </w:rPr>
            </w:pPr>
            <w:r>
              <w:rPr>
                <w:sz w:val="18"/>
              </w:rPr>
              <w:t>Aculco</w:t>
            </w:r>
          </w:p>
        </w:tc>
        <w:tc>
          <w:tcPr>
            <w:tcW w:w="1248" w:type="dxa"/>
          </w:tcPr>
          <w:p>
            <w:pPr>
              <w:pStyle w:val="TableParagraph"/>
              <w:spacing w:before="20"/>
              <w:ind w:left="190" w:right="194"/>
              <w:rPr>
                <w:sz w:val="18"/>
              </w:rPr>
            </w:pPr>
            <w:r>
              <w:rPr>
                <w:sz w:val="18"/>
              </w:rPr>
              <w:t>1.36802</w:t>
            </w:r>
          </w:p>
        </w:tc>
        <w:tc>
          <w:tcPr>
            <w:tcW w:w="1229" w:type="dxa"/>
          </w:tcPr>
          <w:p>
            <w:pPr>
              <w:pStyle w:val="TableParagraph"/>
              <w:spacing w:before="20"/>
              <w:ind w:left="221" w:right="225"/>
              <w:rPr>
                <w:sz w:val="18"/>
              </w:rPr>
            </w:pPr>
            <w:r>
              <w:rPr>
                <w:sz w:val="18"/>
              </w:rPr>
              <w:t>Muy Alto</w:t>
            </w:r>
          </w:p>
        </w:tc>
        <w:tc>
          <w:tcPr>
            <w:tcW w:w="1015" w:type="dxa"/>
          </w:tcPr>
          <w:p>
            <w:pPr>
              <w:pStyle w:val="TableParagraph"/>
              <w:spacing w:before="42"/>
              <w:ind w:right="275"/>
              <w:jc w:val="right"/>
              <w:rPr>
                <w:sz w:val="18"/>
              </w:rPr>
            </w:pPr>
            <w:r>
              <w:rPr>
                <w:sz w:val="18"/>
              </w:rPr>
              <w:t>0.238</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20"/>
              <w:ind w:left="64"/>
              <w:jc w:val="left"/>
              <w:rPr>
                <w:sz w:val="18"/>
              </w:rPr>
            </w:pPr>
            <w:r>
              <w:rPr>
                <w:sz w:val="18"/>
              </w:rPr>
              <w:t>Almoloya de Alquisiras</w:t>
            </w:r>
          </w:p>
        </w:tc>
        <w:tc>
          <w:tcPr>
            <w:tcW w:w="1248" w:type="dxa"/>
          </w:tcPr>
          <w:p>
            <w:pPr>
              <w:pStyle w:val="TableParagraph"/>
              <w:spacing w:before="20"/>
              <w:ind w:left="190" w:right="194"/>
              <w:rPr>
                <w:sz w:val="18"/>
              </w:rPr>
            </w:pPr>
            <w:r>
              <w:rPr>
                <w:sz w:val="18"/>
              </w:rPr>
              <w:t>1.12279</w:t>
            </w:r>
          </w:p>
        </w:tc>
        <w:tc>
          <w:tcPr>
            <w:tcW w:w="1229" w:type="dxa"/>
          </w:tcPr>
          <w:p>
            <w:pPr>
              <w:pStyle w:val="TableParagraph"/>
              <w:spacing w:before="20"/>
              <w:ind w:left="222" w:right="225"/>
              <w:rPr>
                <w:sz w:val="18"/>
              </w:rPr>
            </w:pPr>
            <w:r>
              <w:rPr>
                <w:sz w:val="18"/>
              </w:rPr>
              <w:t>Alto</w:t>
            </w:r>
          </w:p>
        </w:tc>
        <w:tc>
          <w:tcPr>
            <w:tcW w:w="1015" w:type="dxa"/>
          </w:tcPr>
          <w:p>
            <w:pPr>
              <w:pStyle w:val="TableParagraph"/>
              <w:spacing w:before="42"/>
              <w:ind w:right="275"/>
              <w:jc w:val="right"/>
              <w:rPr>
                <w:sz w:val="18"/>
              </w:rPr>
            </w:pPr>
            <w:r>
              <w:rPr>
                <w:sz w:val="18"/>
              </w:rPr>
              <w:t>0.209</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20"/>
              <w:ind w:left="64"/>
              <w:jc w:val="left"/>
              <w:rPr>
                <w:sz w:val="18"/>
              </w:rPr>
            </w:pPr>
            <w:r>
              <w:rPr>
                <w:sz w:val="18"/>
              </w:rPr>
              <w:t>Almoloya de Juárez</w:t>
            </w:r>
          </w:p>
        </w:tc>
        <w:tc>
          <w:tcPr>
            <w:tcW w:w="1248" w:type="dxa"/>
          </w:tcPr>
          <w:p>
            <w:pPr>
              <w:pStyle w:val="TableParagraph"/>
              <w:spacing w:before="20"/>
              <w:ind w:left="190" w:right="194"/>
              <w:rPr>
                <w:sz w:val="18"/>
              </w:rPr>
            </w:pPr>
            <w:r>
              <w:rPr>
                <w:sz w:val="18"/>
              </w:rPr>
              <w:t>0.90921</w:t>
            </w:r>
          </w:p>
        </w:tc>
        <w:tc>
          <w:tcPr>
            <w:tcW w:w="1229" w:type="dxa"/>
          </w:tcPr>
          <w:p>
            <w:pPr>
              <w:pStyle w:val="TableParagraph"/>
              <w:spacing w:before="20"/>
              <w:ind w:left="222" w:right="225"/>
              <w:rPr>
                <w:sz w:val="18"/>
              </w:rPr>
            </w:pPr>
            <w:r>
              <w:rPr>
                <w:sz w:val="18"/>
              </w:rPr>
              <w:t>Alto</w:t>
            </w:r>
          </w:p>
        </w:tc>
        <w:tc>
          <w:tcPr>
            <w:tcW w:w="1015" w:type="dxa"/>
          </w:tcPr>
          <w:p>
            <w:pPr>
              <w:pStyle w:val="TableParagraph"/>
              <w:spacing w:before="42"/>
              <w:ind w:right="244"/>
              <w:jc w:val="right"/>
              <w:rPr>
                <w:sz w:val="18"/>
              </w:rPr>
            </w:pPr>
            <w:r>
              <w:rPr>
                <w:sz w:val="18"/>
              </w:rPr>
              <w:t>-0.352</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20"/>
              <w:ind w:left="64"/>
              <w:jc w:val="left"/>
              <w:rPr>
                <w:sz w:val="18"/>
              </w:rPr>
            </w:pPr>
            <w:r>
              <w:rPr>
                <w:sz w:val="18"/>
              </w:rPr>
              <w:t>Almoloya del Río</w:t>
            </w:r>
          </w:p>
        </w:tc>
        <w:tc>
          <w:tcPr>
            <w:tcW w:w="1248" w:type="dxa"/>
          </w:tcPr>
          <w:p>
            <w:pPr>
              <w:pStyle w:val="TableParagraph"/>
              <w:spacing w:before="20"/>
              <w:ind w:left="193" w:right="194"/>
              <w:rPr>
                <w:sz w:val="18"/>
              </w:rPr>
            </w:pPr>
            <w:r>
              <w:rPr>
                <w:sz w:val="18"/>
              </w:rPr>
              <w:t>-0.64091</w:t>
            </w:r>
          </w:p>
        </w:tc>
        <w:tc>
          <w:tcPr>
            <w:tcW w:w="1229" w:type="dxa"/>
          </w:tcPr>
          <w:p>
            <w:pPr>
              <w:pStyle w:val="TableParagraph"/>
              <w:spacing w:before="20"/>
              <w:ind w:left="223" w:right="223"/>
              <w:rPr>
                <w:sz w:val="18"/>
              </w:rPr>
            </w:pPr>
            <w:r>
              <w:rPr>
                <w:sz w:val="18"/>
              </w:rPr>
              <w:t>Bajo</w:t>
            </w:r>
          </w:p>
        </w:tc>
        <w:tc>
          <w:tcPr>
            <w:tcW w:w="1015" w:type="dxa"/>
          </w:tcPr>
          <w:p>
            <w:pPr>
              <w:pStyle w:val="TableParagraph"/>
              <w:spacing w:before="42"/>
              <w:ind w:right="244"/>
              <w:jc w:val="right"/>
              <w:rPr>
                <w:sz w:val="18"/>
              </w:rPr>
            </w:pPr>
            <w:r>
              <w:rPr>
                <w:sz w:val="18"/>
              </w:rPr>
              <w:t>-1.142</w:t>
            </w:r>
          </w:p>
        </w:tc>
        <w:tc>
          <w:tcPr>
            <w:tcW w:w="1018" w:type="dxa"/>
          </w:tcPr>
          <w:p>
            <w:pPr>
              <w:pStyle w:val="TableParagraph"/>
              <w:spacing w:before="42"/>
              <w:ind w:left="118" w:right="119"/>
              <w:rPr>
                <w:sz w:val="18"/>
              </w:rPr>
            </w:pPr>
            <w:r>
              <w:rPr>
                <w:sz w:val="18"/>
              </w:rPr>
              <w:t>Bajo</w:t>
            </w:r>
          </w:p>
        </w:tc>
      </w:tr>
      <w:tr>
        <w:trPr>
          <w:trHeight w:val="295" w:hRule="exact"/>
        </w:trPr>
        <w:tc>
          <w:tcPr>
            <w:tcW w:w="2331" w:type="dxa"/>
          </w:tcPr>
          <w:p>
            <w:pPr>
              <w:pStyle w:val="TableParagraph"/>
              <w:spacing w:before="20"/>
              <w:ind w:left="64"/>
              <w:jc w:val="left"/>
              <w:rPr>
                <w:sz w:val="18"/>
              </w:rPr>
            </w:pPr>
            <w:r>
              <w:rPr>
                <w:sz w:val="18"/>
              </w:rPr>
              <w:t>Amanalco</w:t>
            </w:r>
          </w:p>
        </w:tc>
        <w:tc>
          <w:tcPr>
            <w:tcW w:w="1248" w:type="dxa"/>
          </w:tcPr>
          <w:p>
            <w:pPr>
              <w:pStyle w:val="TableParagraph"/>
              <w:spacing w:before="20"/>
              <w:ind w:left="190" w:right="194"/>
              <w:rPr>
                <w:sz w:val="18"/>
              </w:rPr>
            </w:pPr>
            <w:r>
              <w:rPr>
                <w:sz w:val="18"/>
              </w:rPr>
              <w:t>1.54781</w:t>
            </w:r>
          </w:p>
        </w:tc>
        <w:tc>
          <w:tcPr>
            <w:tcW w:w="1229" w:type="dxa"/>
          </w:tcPr>
          <w:p>
            <w:pPr>
              <w:pStyle w:val="TableParagraph"/>
              <w:spacing w:before="20"/>
              <w:ind w:left="221" w:right="225"/>
              <w:rPr>
                <w:sz w:val="18"/>
              </w:rPr>
            </w:pPr>
            <w:r>
              <w:rPr>
                <w:sz w:val="18"/>
              </w:rPr>
              <w:t>Muy Alto</w:t>
            </w:r>
          </w:p>
        </w:tc>
        <w:tc>
          <w:tcPr>
            <w:tcW w:w="1015" w:type="dxa"/>
          </w:tcPr>
          <w:p>
            <w:pPr>
              <w:pStyle w:val="TableParagraph"/>
              <w:spacing w:before="42"/>
              <w:ind w:right="275"/>
              <w:jc w:val="right"/>
              <w:rPr>
                <w:sz w:val="18"/>
              </w:rPr>
            </w:pPr>
            <w:r>
              <w:rPr>
                <w:sz w:val="18"/>
              </w:rPr>
              <w:t>0.197</w:t>
            </w:r>
          </w:p>
        </w:tc>
        <w:tc>
          <w:tcPr>
            <w:tcW w:w="1018" w:type="dxa"/>
          </w:tcPr>
          <w:p>
            <w:pPr>
              <w:pStyle w:val="TableParagraph"/>
              <w:spacing w:before="42"/>
              <w:ind w:left="118" w:right="119"/>
              <w:rPr>
                <w:sz w:val="18"/>
              </w:rPr>
            </w:pPr>
            <w:r>
              <w:rPr>
                <w:sz w:val="18"/>
              </w:rPr>
              <w:t>MEdio</w:t>
            </w:r>
          </w:p>
        </w:tc>
      </w:tr>
      <w:tr>
        <w:trPr>
          <w:trHeight w:val="293" w:hRule="exact"/>
        </w:trPr>
        <w:tc>
          <w:tcPr>
            <w:tcW w:w="2331" w:type="dxa"/>
          </w:tcPr>
          <w:p>
            <w:pPr>
              <w:pStyle w:val="TableParagraph"/>
              <w:spacing w:before="18"/>
              <w:ind w:left="64"/>
              <w:jc w:val="left"/>
              <w:rPr>
                <w:sz w:val="18"/>
              </w:rPr>
            </w:pPr>
            <w:r>
              <w:rPr>
                <w:sz w:val="18"/>
              </w:rPr>
              <w:t>Amatepec</w:t>
            </w:r>
          </w:p>
        </w:tc>
        <w:tc>
          <w:tcPr>
            <w:tcW w:w="1248" w:type="dxa"/>
          </w:tcPr>
          <w:p>
            <w:pPr>
              <w:pStyle w:val="TableParagraph"/>
              <w:spacing w:before="18"/>
              <w:ind w:left="190" w:right="194"/>
              <w:rPr>
                <w:sz w:val="18"/>
              </w:rPr>
            </w:pPr>
            <w:r>
              <w:rPr>
                <w:sz w:val="18"/>
              </w:rPr>
              <w:t>1.66953</w:t>
            </w:r>
          </w:p>
        </w:tc>
        <w:tc>
          <w:tcPr>
            <w:tcW w:w="1229" w:type="dxa"/>
          </w:tcPr>
          <w:p>
            <w:pPr>
              <w:pStyle w:val="TableParagraph"/>
              <w:spacing w:before="18"/>
              <w:ind w:left="221" w:right="225"/>
              <w:rPr>
                <w:sz w:val="18"/>
              </w:rPr>
            </w:pPr>
            <w:r>
              <w:rPr>
                <w:sz w:val="18"/>
              </w:rPr>
              <w:t>Muy Alto</w:t>
            </w:r>
          </w:p>
        </w:tc>
        <w:tc>
          <w:tcPr>
            <w:tcW w:w="1015" w:type="dxa"/>
          </w:tcPr>
          <w:p>
            <w:pPr>
              <w:pStyle w:val="TableParagraph"/>
              <w:spacing w:before="39"/>
              <w:ind w:right="275"/>
              <w:jc w:val="right"/>
              <w:rPr>
                <w:sz w:val="18"/>
              </w:rPr>
            </w:pPr>
            <w:r>
              <w:rPr>
                <w:sz w:val="18"/>
              </w:rPr>
              <w:t>0.597</w:t>
            </w:r>
          </w:p>
        </w:tc>
        <w:tc>
          <w:tcPr>
            <w:tcW w:w="1018" w:type="dxa"/>
          </w:tcPr>
          <w:p>
            <w:pPr>
              <w:pStyle w:val="TableParagraph"/>
              <w:spacing w:before="39"/>
              <w:ind w:left="118" w:right="119"/>
              <w:rPr>
                <w:sz w:val="18"/>
              </w:rPr>
            </w:pPr>
            <w:r>
              <w:rPr>
                <w:sz w:val="18"/>
              </w:rPr>
              <w:t>Alto</w:t>
            </w:r>
          </w:p>
        </w:tc>
      </w:tr>
      <w:tr>
        <w:trPr>
          <w:trHeight w:val="293" w:hRule="exact"/>
        </w:trPr>
        <w:tc>
          <w:tcPr>
            <w:tcW w:w="2331" w:type="dxa"/>
          </w:tcPr>
          <w:p>
            <w:pPr>
              <w:pStyle w:val="TableParagraph"/>
              <w:spacing w:before="18"/>
              <w:ind w:left="64"/>
              <w:jc w:val="left"/>
              <w:rPr>
                <w:sz w:val="18"/>
              </w:rPr>
            </w:pPr>
            <w:r>
              <w:rPr>
                <w:sz w:val="18"/>
              </w:rPr>
              <w:t>Amecameca</w:t>
            </w:r>
          </w:p>
        </w:tc>
        <w:tc>
          <w:tcPr>
            <w:tcW w:w="1248" w:type="dxa"/>
          </w:tcPr>
          <w:p>
            <w:pPr>
              <w:pStyle w:val="TableParagraph"/>
              <w:spacing w:before="18"/>
              <w:ind w:left="193" w:right="194"/>
              <w:rPr>
                <w:sz w:val="18"/>
              </w:rPr>
            </w:pPr>
            <w:r>
              <w:rPr>
                <w:sz w:val="18"/>
              </w:rPr>
              <w:t>-0.51142</w:t>
            </w:r>
          </w:p>
        </w:tc>
        <w:tc>
          <w:tcPr>
            <w:tcW w:w="1229" w:type="dxa"/>
          </w:tcPr>
          <w:p>
            <w:pPr>
              <w:pStyle w:val="TableParagraph"/>
              <w:spacing w:before="18"/>
              <w:ind w:left="223" w:right="223"/>
              <w:rPr>
                <w:sz w:val="18"/>
              </w:rPr>
            </w:pPr>
            <w:r>
              <w:rPr>
                <w:sz w:val="18"/>
              </w:rPr>
              <w:t>Bajo</w:t>
            </w:r>
          </w:p>
        </w:tc>
        <w:tc>
          <w:tcPr>
            <w:tcW w:w="1015" w:type="dxa"/>
          </w:tcPr>
          <w:p>
            <w:pPr>
              <w:pStyle w:val="TableParagraph"/>
              <w:spacing w:before="42"/>
              <w:ind w:right="244"/>
              <w:jc w:val="right"/>
              <w:rPr>
                <w:sz w:val="18"/>
              </w:rPr>
            </w:pPr>
            <w:r>
              <w:rPr>
                <w:sz w:val="18"/>
              </w:rPr>
              <w:t>-1.161</w:t>
            </w:r>
          </w:p>
        </w:tc>
        <w:tc>
          <w:tcPr>
            <w:tcW w:w="1018" w:type="dxa"/>
          </w:tcPr>
          <w:p>
            <w:pPr>
              <w:pStyle w:val="TableParagraph"/>
              <w:spacing w:before="42"/>
              <w:ind w:left="118" w:right="119"/>
              <w:rPr>
                <w:sz w:val="18"/>
              </w:rPr>
            </w:pPr>
            <w:r>
              <w:rPr>
                <w:sz w:val="18"/>
              </w:rPr>
              <w:t>Bajo</w:t>
            </w:r>
          </w:p>
        </w:tc>
      </w:tr>
      <w:tr>
        <w:trPr>
          <w:trHeight w:val="293" w:hRule="exact"/>
        </w:trPr>
        <w:tc>
          <w:tcPr>
            <w:tcW w:w="2331" w:type="dxa"/>
          </w:tcPr>
          <w:p>
            <w:pPr>
              <w:pStyle w:val="TableParagraph"/>
              <w:spacing w:before="18"/>
              <w:ind w:left="64"/>
              <w:jc w:val="left"/>
              <w:rPr>
                <w:sz w:val="18"/>
              </w:rPr>
            </w:pPr>
            <w:r>
              <w:rPr>
                <w:sz w:val="18"/>
              </w:rPr>
              <w:t>Apaxco</w:t>
            </w:r>
          </w:p>
        </w:tc>
        <w:tc>
          <w:tcPr>
            <w:tcW w:w="1248" w:type="dxa"/>
          </w:tcPr>
          <w:p>
            <w:pPr>
              <w:pStyle w:val="TableParagraph"/>
              <w:spacing w:before="18"/>
              <w:ind w:left="193" w:right="194"/>
              <w:rPr>
                <w:sz w:val="18"/>
              </w:rPr>
            </w:pPr>
            <w:r>
              <w:rPr>
                <w:sz w:val="18"/>
              </w:rPr>
              <w:t>-0.59644</w:t>
            </w:r>
          </w:p>
        </w:tc>
        <w:tc>
          <w:tcPr>
            <w:tcW w:w="1229" w:type="dxa"/>
          </w:tcPr>
          <w:p>
            <w:pPr>
              <w:pStyle w:val="TableParagraph"/>
              <w:spacing w:before="18"/>
              <w:ind w:left="223" w:right="223"/>
              <w:rPr>
                <w:sz w:val="18"/>
              </w:rPr>
            </w:pPr>
            <w:r>
              <w:rPr>
                <w:sz w:val="18"/>
              </w:rPr>
              <w:t>Bajo</w:t>
            </w:r>
          </w:p>
        </w:tc>
        <w:tc>
          <w:tcPr>
            <w:tcW w:w="1015" w:type="dxa"/>
          </w:tcPr>
          <w:p>
            <w:pPr>
              <w:pStyle w:val="TableParagraph"/>
              <w:spacing w:before="42"/>
              <w:ind w:right="244"/>
              <w:jc w:val="right"/>
              <w:rPr>
                <w:sz w:val="18"/>
              </w:rPr>
            </w:pPr>
            <w:r>
              <w:rPr>
                <w:sz w:val="18"/>
              </w:rPr>
              <w:t>-1.162</w:t>
            </w:r>
          </w:p>
        </w:tc>
        <w:tc>
          <w:tcPr>
            <w:tcW w:w="1018" w:type="dxa"/>
          </w:tcPr>
          <w:p>
            <w:pPr>
              <w:pStyle w:val="TableParagraph"/>
              <w:spacing w:before="42"/>
              <w:ind w:left="118" w:right="119"/>
              <w:rPr>
                <w:sz w:val="18"/>
              </w:rPr>
            </w:pPr>
            <w:r>
              <w:rPr>
                <w:sz w:val="18"/>
              </w:rPr>
              <w:t>Bajo</w:t>
            </w:r>
          </w:p>
        </w:tc>
      </w:tr>
      <w:tr>
        <w:trPr>
          <w:trHeight w:val="293" w:hRule="exact"/>
        </w:trPr>
        <w:tc>
          <w:tcPr>
            <w:tcW w:w="2331" w:type="dxa"/>
          </w:tcPr>
          <w:p>
            <w:pPr>
              <w:pStyle w:val="TableParagraph"/>
              <w:spacing w:before="18"/>
              <w:ind w:left="64"/>
              <w:jc w:val="left"/>
              <w:rPr>
                <w:sz w:val="18"/>
              </w:rPr>
            </w:pPr>
            <w:r>
              <w:rPr>
                <w:sz w:val="18"/>
              </w:rPr>
              <w:t>Atenco</w:t>
            </w:r>
          </w:p>
        </w:tc>
        <w:tc>
          <w:tcPr>
            <w:tcW w:w="1248" w:type="dxa"/>
          </w:tcPr>
          <w:p>
            <w:pPr>
              <w:pStyle w:val="TableParagraph"/>
              <w:spacing w:before="18"/>
              <w:ind w:left="193" w:right="194"/>
              <w:rPr>
                <w:sz w:val="18"/>
              </w:rPr>
            </w:pPr>
            <w:r>
              <w:rPr>
                <w:sz w:val="18"/>
              </w:rPr>
              <w:t>-0.37147</w:t>
            </w:r>
          </w:p>
        </w:tc>
        <w:tc>
          <w:tcPr>
            <w:tcW w:w="1229" w:type="dxa"/>
          </w:tcPr>
          <w:p>
            <w:pPr>
              <w:pStyle w:val="TableParagraph"/>
              <w:spacing w:before="18"/>
              <w:ind w:left="221" w:right="225"/>
              <w:rPr>
                <w:sz w:val="18"/>
              </w:rPr>
            </w:pPr>
            <w:r>
              <w:rPr>
                <w:sz w:val="18"/>
              </w:rPr>
              <w:t>Medio</w:t>
            </w:r>
          </w:p>
        </w:tc>
        <w:tc>
          <w:tcPr>
            <w:tcW w:w="1015" w:type="dxa"/>
          </w:tcPr>
          <w:p>
            <w:pPr>
              <w:pStyle w:val="TableParagraph"/>
              <w:spacing w:before="42"/>
              <w:ind w:right="294"/>
              <w:jc w:val="right"/>
              <w:rPr>
                <w:sz w:val="18"/>
              </w:rPr>
            </w:pPr>
            <w:r>
              <w:rPr>
                <w:w w:val="95"/>
                <w:sz w:val="18"/>
              </w:rPr>
              <w:t>-1.11</w:t>
            </w:r>
          </w:p>
        </w:tc>
        <w:tc>
          <w:tcPr>
            <w:tcW w:w="1018" w:type="dxa"/>
          </w:tcPr>
          <w:p>
            <w:pPr>
              <w:pStyle w:val="TableParagraph"/>
              <w:spacing w:before="42"/>
              <w:ind w:left="118" w:right="119"/>
              <w:rPr>
                <w:sz w:val="18"/>
              </w:rPr>
            </w:pPr>
            <w:r>
              <w:rPr>
                <w:sz w:val="18"/>
              </w:rPr>
              <w:t>Bajo</w:t>
            </w:r>
          </w:p>
        </w:tc>
      </w:tr>
      <w:tr>
        <w:trPr>
          <w:trHeight w:val="293" w:hRule="exact"/>
        </w:trPr>
        <w:tc>
          <w:tcPr>
            <w:tcW w:w="2331" w:type="dxa"/>
          </w:tcPr>
          <w:p>
            <w:pPr>
              <w:pStyle w:val="TableParagraph"/>
              <w:spacing w:before="18"/>
              <w:ind w:left="64"/>
              <w:jc w:val="left"/>
              <w:rPr>
                <w:sz w:val="18"/>
              </w:rPr>
            </w:pPr>
            <w:r>
              <w:rPr>
                <w:sz w:val="18"/>
              </w:rPr>
              <w:t>Atizapan</w:t>
            </w:r>
          </w:p>
        </w:tc>
        <w:tc>
          <w:tcPr>
            <w:tcW w:w="1248" w:type="dxa"/>
          </w:tcPr>
          <w:p>
            <w:pPr>
              <w:pStyle w:val="TableParagraph"/>
              <w:spacing w:before="18"/>
              <w:ind w:left="193" w:right="194"/>
              <w:rPr>
                <w:sz w:val="18"/>
              </w:rPr>
            </w:pPr>
            <w:r>
              <w:rPr>
                <w:sz w:val="18"/>
              </w:rPr>
              <w:t>-0.44534</w:t>
            </w:r>
          </w:p>
        </w:tc>
        <w:tc>
          <w:tcPr>
            <w:tcW w:w="1229" w:type="dxa"/>
          </w:tcPr>
          <w:p>
            <w:pPr>
              <w:pStyle w:val="TableParagraph"/>
              <w:spacing w:before="18"/>
              <w:ind w:left="223" w:right="223"/>
              <w:rPr>
                <w:sz w:val="18"/>
              </w:rPr>
            </w:pPr>
            <w:r>
              <w:rPr>
                <w:sz w:val="18"/>
              </w:rPr>
              <w:t>Bajo</w:t>
            </w:r>
          </w:p>
        </w:tc>
        <w:tc>
          <w:tcPr>
            <w:tcW w:w="1015" w:type="dxa"/>
          </w:tcPr>
          <w:p>
            <w:pPr>
              <w:pStyle w:val="TableParagraph"/>
              <w:spacing w:before="42"/>
              <w:ind w:right="244"/>
              <w:jc w:val="right"/>
              <w:rPr>
                <w:sz w:val="18"/>
              </w:rPr>
            </w:pPr>
            <w:r>
              <w:rPr>
                <w:sz w:val="18"/>
              </w:rPr>
              <w:t>-0.907</w:t>
            </w:r>
          </w:p>
        </w:tc>
        <w:tc>
          <w:tcPr>
            <w:tcW w:w="1018" w:type="dxa"/>
          </w:tcPr>
          <w:p>
            <w:pPr>
              <w:pStyle w:val="TableParagraph"/>
              <w:spacing w:before="42"/>
              <w:ind w:left="118" w:right="119"/>
              <w:rPr>
                <w:sz w:val="18"/>
              </w:rPr>
            </w:pPr>
            <w:r>
              <w:rPr>
                <w:sz w:val="18"/>
              </w:rPr>
              <w:t>Bajo</w:t>
            </w:r>
          </w:p>
        </w:tc>
      </w:tr>
      <w:tr>
        <w:trPr>
          <w:trHeight w:val="293" w:hRule="exact"/>
        </w:trPr>
        <w:tc>
          <w:tcPr>
            <w:tcW w:w="2331" w:type="dxa"/>
          </w:tcPr>
          <w:p>
            <w:pPr>
              <w:pStyle w:val="TableParagraph"/>
              <w:spacing w:before="18"/>
              <w:ind w:left="64"/>
              <w:jc w:val="left"/>
              <w:rPr>
                <w:sz w:val="18"/>
              </w:rPr>
            </w:pPr>
            <w:r>
              <w:rPr>
                <w:sz w:val="18"/>
              </w:rPr>
              <w:t>Atizapán de Zaragoza</w:t>
            </w:r>
          </w:p>
        </w:tc>
        <w:tc>
          <w:tcPr>
            <w:tcW w:w="1248" w:type="dxa"/>
          </w:tcPr>
          <w:p>
            <w:pPr>
              <w:pStyle w:val="TableParagraph"/>
              <w:spacing w:before="18"/>
              <w:ind w:left="193" w:right="194"/>
              <w:rPr>
                <w:sz w:val="18"/>
              </w:rPr>
            </w:pPr>
            <w:r>
              <w:rPr>
                <w:sz w:val="18"/>
              </w:rPr>
              <w:t>-1.28755</w:t>
            </w:r>
          </w:p>
        </w:tc>
        <w:tc>
          <w:tcPr>
            <w:tcW w:w="1229" w:type="dxa"/>
          </w:tcPr>
          <w:p>
            <w:pPr>
              <w:pStyle w:val="TableParagraph"/>
              <w:spacing w:before="18"/>
              <w:ind w:left="223" w:right="225"/>
              <w:rPr>
                <w:sz w:val="18"/>
              </w:rPr>
            </w:pPr>
            <w:r>
              <w:rPr>
                <w:sz w:val="18"/>
              </w:rPr>
              <w:t>Muy bajo</w:t>
            </w:r>
          </w:p>
        </w:tc>
        <w:tc>
          <w:tcPr>
            <w:tcW w:w="1015" w:type="dxa"/>
          </w:tcPr>
          <w:p>
            <w:pPr>
              <w:pStyle w:val="TableParagraph"/>
              <w:spacing w:before="42"/>
              <w:ind w:right="244"/>
              <w:jc w:val="right"/>
              <w:rPr>
                <w:sz w:val="18"/>
              </w:rPr>
            </w:pPr>
            <w:r>
              <w:rPr>
                <w:sz w:val="18"/>
              </w:rPr>
              <w:t>-1.798</w:t>
            </w:r>
          </w:p>
        </w:tc>
        <w:tc>
          <w:tcPr>
            <w:tcW w:w="1018" w:type="dxa"/>
          </w:tcPr>
          <w:p>
            <w:pPr>
              <w:pStyle w:val="TableParagraph"/>
              <w:spacing w:before="42"/>
              <w:ind w:left="117" w:right="119"/>
              <w:rPr>
                <w:sz w:val="18"/>
              </w:rPr>
            </w:pPr>
            <w:r>
              <w:rPr>
                <w:sz w:val="18"/>
              </w:rPr>
              <w:t>Muy bajo</w:t>
            </w:r>
          </w:p>
        </w:tc>
      </w:tr>
      <w:tr>
        <w:trPr>
          <w:trHeight w:val="293" w:hRule="exact"/>
        </w:trPr>
        <w:tc>
          <w:tcPr>
            <w:tcW w:w="2331" w:type="dxa"/>
          </w:tcPr>
          <w:p>
            <w:pPr>
              <w:pStyle w:val="TableParagraph"/>
              <w:spacing w:before="20"/>
              <w:ind w:left="64"/>
              <w:jc w:val="left"/>
              <w:rPr>
                <w:sz w:val="18"/>
              </w:rPr>
            </w:pPr>
            <w:r>
              <w:rPr>
                <w:sz w:val="18"/>
              </w:rPr>
              <w:t>Atlacomulco</w:t>
            </w:r>
          </w:p>
        </w:tc>
        <w:tc>
          <w:tcPr>
            <w:tcW w:w="1248" w:type="dxa"/>
          </w:tcPr>
          <w:p>
            <w:pPr>
              <w:pStyle w:val="TableParagraph"/>
              <w:spacing w:before="20"/>
              <w:ind w:left="190" w:right="194"/>
              <w:rPr>
                <w:sz w:val="18"/>
              </w:rPr>
            </w:pPr>
            <w:r>
              <w:rPr>
                <w:sz w:val="18"/>
              </w:rPr>
              <w:t>0.05418</w:t>
            </w:r>
          </w:p>
        </w:tc>
        <w:tc>
          <w:tcPr>
            <w:tcW w:w="1229" w:type="dxa"/>
          </w:tcPr>
          <w:p>
            <w:pPr>
              <w:pStyle w:val="TableParagraph"/>
              <w:spacing w:before="20"/>
              <w:ind w:left="222" w:right="225"/>
              <w:rPr>
                <w:sz w:val="18"/>
              </w:rPr>
            </w:pPr>
            <w:r>
              <w:rPr>
                <w:sz w:val="18"/>
              </w:rPr>
              <w:t>Alto</w:t>
            </w:r>
          </w:p>
        </w:tc>
        <w:tc>
          <w:tcPr>
            <w:tcW w:w="1015" w:type="dxa"/>
          </w:tcPr>
          <w:p>
            <w:pPr>
              <w:pStyle w:val="TableParagraph"/>
              <w:spacing w:before="42"/>
              <w:ind w:right="244"/>
              <w:jc w:val="right"/>
              <w:rPr>
                <w:sz w:val="18"/>
              </w:rPr>
            </w:pPr>
            <w:r>
              <w:rPr>
                <w:sz w:val="18"/>
              </w:rPr>
              <w:t>-0.657</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20"/>
              <w:ind w:left="64"/>
              <w:jc w:val="left"/>
              <w:rPr>
                <w:sz w:val="18"/>
              </w:rPr>
            </w:pPr>
            <w:r>
              <w:rPr>
                <w:sz w:val="18"/>
              </w:rPr>
              <w:t>Atlautla</w:t>
            </w:r>
          </w:p>
        </w:tc>
        <w:tc>
          <w:tcPr>
            <w:tcW w:w="1248" w:type="dxa"/>
          </w:tcPr>
          <w:p>
            <w:pPr>
              <w:pStyle w:val="TableParagraph"/>
              <w:spacing w:before="20"/>
              <w:ind w:left="190" w:right="194"/>
              <w:rPr>
                <w:sz w:val="18"/>
              </w:rPr>
            </w:pPr>
            <w:r>
              <w:rPr>
                <w:sz w:val="18"/>
              </w:rPr>
              <w:t>0.20098</w:t>
            </w:r>
          </w:p>
        </w:tc>
        <w:tc>
          <w:tcPr>
            <w:tcW w:w="1229" w:type="dxa"/>
          </w:tcPr>
          <w:p>
            <w:pPr>
              <w:pStyle w:val="TableParagraph"/>
              <w:spacing w:before="20"/>
              <w:ind w:left="222" w:right="225"/>
              <w:rPr>
                <w:sz w:val="18"/>
              </w:rPr>
            </w:pPr>
            <w:r>
              <w:rPr>
                <w:sz w:val="18"/>
              </w:rPr>
              <w:t>Alto</w:t>
            </w:r>
          </w:p>
        </w:tc>
        <w:tc>
          <w:tcPr>
            <w:tcW w:w="1015" w:type="dxa"/>
          </w:tcPr>
          <w:p>
            <w:pPr>
              <w:pStyle w:val="TableParagraph"/>
              <w:spacing w:before="42"/>
              <w:ind w:right="244"/>
              <w:jc w:val="right"/>
              <w:rPr>
                <w:sz w:val="18"/>
              </w:rPr>
            </w:pPr>
            <w:r>
              <w:rPr>
                <w:sz w:val="18"/>
              </w:rPr>
              <w:t>-0.504</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20"/>
              <w:ind w:left="64"/>
              <w:jc w:val="left"/>
              <w:rPr>
                <w:sz w:val="18"/>
              </w:rPr>
            </w:pPr>
            <w:r>
              <w:rPr>
                <w:sz w:val="18"/>
              </w:rPr>
              <w:t>Axapusco</w:t>
            </w:r>
          </w:p>
        </w:tc>
        <w:tc>
          <w:tcPr>
            <w:tcW w:w="1248" w:type="dxa"/>
          </w:tcPr>
          <w:p>
            <w:pPr>
              <w:pStyle w:val="TableParagraph"/>
              <w:spacing w:before="20"/>
              <w:ind w:left="190" w:right="194"/>
              <w:rPr>
                <w:sz w:val="18"/>
              </w:rPr>
            </w:pPr>
            <w:r>
              <w:rPr>
                <w:sz w:val="18"/>
              </w:rPr>
              <w:t>0.05038</w:t>
            </w:r>
          </w:p>
        </w:tc>
        <w:tc>
          <w:tcPr>
            <w:tcW w:w="1229" w:type="dxa"/>
          </w:tcPr>
          <w:p>
            <w:pPr>
              <w:pStyle w:val="TableParagraph"/>
              <w:spacing w:before="20"/>
              <w:ind w:left="222" w:right="225"/>
              <w:rPr>
                <w:sz w:val="18"/>
              </w:rPr>
            </w:pPr>
            <w:r>
              <w:rPr>
                <w:sz w:val="18"/>
              </w:rPr>
              <w:t>Alto</w:t>
            </w:r>
          </w:p>
        </w:tc>
        <w:tc>
          <w:tcPr>
            <w:tcW w:w="1015" w:type="dxa"/>
          </w:tcPr>
          <w:p>
            <w:pPr>
              <w:pStyle w:val="TableParagraph"/>
              <w:spacing w:before="42"/>
              <w:ind w:right="244"/>
              <w:jc w:val="right"/>
              <w:rPr>
                <w:sz w:val="18"/>
              </w:rPr>
            </w:pPr>
            <w:r>
              <w:rPr>
                <w:sz w:val="18"/>
              </w:rPr>
              <w:t>-0.621</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20"/>
              <w:ind w:left="64"/>
              <w:jc w:val="left"/>
              <w:rPr>
                <w:sz w:val="18"/>
              </w:rPr>
            </w:pPr>
            <w:r>
              <w:rPr>
                <w:sz w:val="18"/>
              </w:rPr>
              <w:t>Ayapango</w:t>
            </w:r>
          </w:p>
        </w:tc>
        <w:tc>
          <w:tcPr>
            <w:tcW w:w="1248" w:type="dxa"/>
          </w:tcPr>
          <w:p>
            <w:pPr>
              <w:pStyle w:val="TableParagraph"/>
              <w:spacing w:before="20"/>
              <w:ind w:left="190" w:right="194"/>
              <w:rPr>
                <w:sz w:val="18"/>
              </w:rPr>
            </w:pPr>
            <w:r>
              <w:rPr>
                <w:sz w:val="18"/>
              </w:rPr>
              <w:t>-0.075</w:t>
            </w:r>
          </w:p>
        </w:tc>
        <w:tc>
          <w:tcPr>
            <w:tcW w:w="1229" w:type="dxa"/>
          </w:tcPr>
          <w:p>
            <w:pPr>
              <w:pStyle w:val="TableParagraph"/>
              <w:spacing w:before="20"/>
              <w:ind w:left="221" w:right="225"/>
              <w:rPr>
                <w:sz w:val="18"/>
              </w:rPr>
            </w:pPr>
            <w:r>
              <w:rPr>
                <w:sz w:val="18"/>
              </w:rPr>
              <w:t>Medio</w:t>
            </w:r>
          </w:p>
        </w:tc>
        <w:tc>
          <w:tcPr>
            <w:tcW w:w="1015" w:type="dxa"/>
          </w:tcPr>
          <w:p>
            <w:pPr>
              <w:pStyle w:val="TableParagraph"/>
              <w:spacing w:before="42"/>
              <w:ind w:right="244"/>
              <w:jc w:val="right"/>
              <w:rPr>
                <w:sz w:val="18"/>
              </w:rPr>
            </w:pPr>
            <w:r>
              <w:rPr>
                <w:sz w:val="18"/>
              </w:rPr>
              <w:t>-0.792</w:t>
            </w:r>
          </w:p>
        </w:tc>
        <w:tc>
          <w:tcPr>
            <w:tcW w:w="1018" w:type="dxa"/>
          </w:tcPr>
          <w:p>
            <w:pPr>
              <w:pStyle w:val="TableParagraph"/>
              <w:spacing w:before="42"/>
              <w:ind w:left="118" w:right="119"/>
              <w:rPr>
                <w:sz w:val="18"/>
              </w:rPr>
            </w:pPr>
            <w:r>
              <w:rPr>
                <w:sz w:val="18"/>
              </w:rPr>
              <w:t>Bajo</w:t>
            </w:r>
          </w:p>
        </w:tc>
      </w:tr>
      <w:tr>
        <w:trPr>
          <w:trHeight w:val="293" w:hRule="exact"/>
        </w:trPr>
        <w:tc>
          <w:tcPr>
            <w:tcW w:w="2331" w:type="dxa"/>
          </w:tcPr>
          <w:p>
            <w:pPr>
              <w:pStyle w:val="TableParagraph"/>
              <w:spacing w:before="20"/>
              <w:ind w:left="64"/>
              <w:jc w:val="left"/>
              <w:rPr>
                <w:sz w:val="18"/>
              </w:rPr>
            </w:pPr>
            <w:r>
              <w:rPr>
                <w:sz w:val="18"/>
              </w:rPr>
              <w:t>Calimaya</w:t>
            </w:r>
          </w:p>
        </w:tc>
        <w:tc>
          <w:tcPr>
            <w:tcW w:w="1248" w:type="dxa"/>
          </w:tcPr>
          <w:p>
            <w:pPr>
              <w:pStyle w:val="TableParagraph"/>
              <w:spacing w:before="20"/>
              <w:ind w:left="193" w:right="194"/>
              <w:rPr>
                <w:sz w:val="18"/>
              </w:rPr>
            </w:pPr>
            <w:r>
              <w:rPr>
                <w:sz w:val="18"/>
              </w:rPr>
              <w:t>-0.34833</w:t>
            </w:r>
          </w:p>
        </w:tc>
        <w:tc>
          <w:tcPr>
            <w:tcW w:w="1229" w:type="dxa"/>
          </w:tcPr>
          <w:p>
            <w:pPr>
              <w:pStyle w:val="TableParagraph"/>
              <w:spacing w:before="20"/>
              <w:ind w:left="221" w:right="225"/>
              <w:rPr>
                <w:sz w:val="18"/>
              </w:rPr>
            </w:pPr>
            <w:r>
              <w:rPr>
                <w:sz w:val="18"/>
              </w:rPr>
              <w:t>Medio</w:t>
            </w:r>
          </w:p>
        </w:tc>
        <w:tc>
          <w:tcPr>
            <w:tcW w:w="1015" w:type="dxa"/>
          </w:tcPr>
          <w:p>
            <w:pPr>
              <w:pStyle w:val="TableParagraph"/>
              <w:spacing w:before="42"/>
              <w:ind w:right="244"/>
              <w:jc w:val="right"/>
              <w:rPr>
                <w:sz w:val="18"/>
              </w:rPr>
            </w:pPr>
            <w:r>
              <w:rPr>
                <w:sz w:val="18"/>
              </w:rPr>
              <w:t>-1.173</w:t>
            </w:r>
          </w:p>
        </w:tc>
        <w:tc>
          <w:tcPr>
            <w:tcW w:w="1018" w:type="dxa"/>
          </w:tcPr>
          <w:p>
            <w:pPr>
              <w:pStyle w:val="TableParagraph"/>
              <w:spacing w:before="42"/>
              <w:ind w:left="118" w:right="119"/>
              <w:rPr>
                <w:sz w:val="18"/>
              </w:rPr>
            </w:pPr>
            <w:r>
              <w:rPr>
                <w:sz w:val="18"/>
              </w:rPr>
              <w:t>Bajo</w:t>
            </w:r>
          </w:p>
        </w:tc>
      </w:tr>
      <w:tr>
        <w:trPr>
          <w:trHeight w:val="295" w:hRule="exact"/>
        </w:trPr>
        <w:tc>
          <w:tcPr>
            <w:tcW w:w="2331" w:type="dxa"/>
          </w:tcPr>
          <w:p>
            <w:pPr>
              <w:pStyle w:val="TableParagraph"/>
              <w:spacing w:before="20"/>
              <w:ind w:left="64"/>
              <w:jc w:val="left"/>
              <w:rPr>
                <w:sz w:val="18"/>
              </w:rPr>
            </w:pPr>
            <w:r>
              <w:rPr>
                <w:sz w:val="18"/>
              </w:rPr>
              <w:t>Capulhuac</w:t>
            </w:r>
          </w:p>
        </w:tc>
        <w:tc>
          <w:tcPr>
            <w:tcW w:w="1248" w:type="dxa"/>
          </w:tcPr>
          <w:p>
            <w:pPr>
              <w:pStyle w:val="TableParagraph"/>
              <w:spacing w:before="20"/>
              <w:ind w:left="193" w:right="194"/>
              <w:rPr>
                <w:sz w:val="18"/>
              </w:rPr>
            </w:pPr>
            <w:r>
              <w:rPr>
                <w:sz w:val="18"/>
              </w:rPr>
              <w:t>-0.75194</w:t>
            </w:r>
          </w:p>
        </w:tc>
        <w:tc>
          <w:tcPr>
            <w:tcW w:w="1229" w:type="dxa"/>
          </w:tcPr>
          <w:p>
            <w:pPr>
              <w:pStyle w:val="TableParagraph"/>
              <w:spacing w:before="20"/>
              <w:ind w:left="223" w:right="223"/>
              <w:rPr>
                <w:sz w:val="18"/>
              </w:rPr>
            </w:pPr>
            <w:r>
              <w:rPr>
                <w:sz w:val="18"/>
              </w:rPr>
              <w:t>Bajo</w:t>
            </w:r>
          </w:p>
        </w:tc>
        <w:tc>
          <w:tcPr>
            <w:tcW w:w="1015" w:type="dxa"/>
          </w:tcPr>
          <w:p>
            <w:pPr>
              <w:pStyle w:val="TableParagraph"/>
              <w:spacing w:before="42"/>
              <w:ind w:right="244"/>
              <w:jc w:val="right"/>
              <w:rPr>
                <w:sz w:val="18"/>
              </w:rPr>
            </w:pPr>
            <w:r>
              <w:rPr>
                <w:sz w:val="18"/>
              </w:rPr>
              <w:t>-1.272</w:t>
            </w:r>
          </w:p>
        </w:tc>
        <w:tc>
          <w:tcPr>
            <w:tcW w:w="1018" w:type="dxa"/>
          </w:tcPr>
          <w:p>
            <w:pPr>
              <w:pStyle w:val="TableParagraph"/>
              <w:spacing w:before="42"/>
              <w:ind w:left="117" w:right="119"/>
              <w:rPr>
                <w:sz w:val="18"/>
              </w:rPr>
            </w:pPr>
            <w:r>
              <w:rPr>
                <w:sz w:val="18"/>
              </w:rPr>
              <w:t>Muy bajo</w:t>
            </w:r>
          </w:p>
        </w:tc>
      </w:tr>
      <w:tr>
        <w:trPr>
          <w:trHeight w:val="293" w:hRule="exact"/>
        </w:trPr>
        <w:tc>
          <w:tcPr>
            <w:tcW w:w="2331" w:type="dxa"/>
          </w:tcPr>
          <w:p>
            <w:pPr>
              <w:pStyle w:val="TableParagraph"/>
              <w:spacing w:before="18"/>
              <w:ind w:left="64"/>
              <w:jc w:val="left"/>
              <w:rPr>
                <w:sz w:val="18"/>
              </w:rPr>
            </w:pPr>
            <w:r>
              <w:rPr>
                <w:sz w:val="18"/>
              </w:rPr>
              <w:t>Chalco</w:t>
            </w:r>
          </w:p>
        </w:tc>
        <w:tc>
          <w:tcPr>
            <w:tcW w:w="1248" w:type="dxa"/>
          </w:tcPr>
          <w:p>
            <w:pPr>
              <w:pStyle w:val="TableParagraph"/>
              <w:spacing w:before="18"/>
              <w:ind w:left="193" w:right="194"/>
              <w:rPr>
                <w:sz w:val="18"/>
              </w:rPr>
            </w:pPr>
            <w:r>
              <w:rPr>
                <w:sz w:val="18"/>
              </w:rPr>
              <w:t>-0.51158</w:t>
            </w:r>
          </w:p>
        </w:tc>
        <w:tc>
          <w:tcPr>
            <w:tcW w:w="1229" w:type="dxa"/>
          </w:tcPr>
          <w:p>
            <w:pPr>
              <w:pStyle w:val="TableParagraph"/>
              <w:spacing w:before="18"/>
              <w:ind w:left="223" w:right="223"/>
              <w:rPr>
                <w:sz w:val="18"/>
              </w:rPr>
            </w:pPr>
            <w:r>
              <w:rPr>
                <w:sz w:val="18"/>
              </w:rPr>
              <w:t>Bajo</w:t>
            </w:r>
          </w:p>
        </w:tc>
        <w:tc>
          <w:tcPr>
            <w:tcW w:w="1015" w:type="dxa"/>
          </w:tcPr>
          <w:p>
            <w:pPr>
              <w:pStyle w:val="TableParagraph"/>
              <w:spacing w:before="39"/>
              <w:ind w:right="244"/>
              <w:jc w:val="right"/>
              <w:rPr>
                <w:sz w:val="18"/>
              </w:rPr>
            </w:pPr>
            <w:r>
              <w:rPr>
                <w:sz w:val="18"/>
              </w:rPr>
              <w:t>-1.241</w:t>
            </w:r>
          </w:p>
        </w:tc>
        <w:tc>
          <w:tcPr>
            <w:tcW w:w="1018" w:type="dxa"/>
          </w:tcPr>
          <w:p>
            <w:pPr>
              <w:pStyle w:val="TableParagraph"/>
              <w:spacing w:before="39"/>
              <w:ind w:left="118" w:right="119"/>
              <w:rPr>
                <w:sz w:val="18"/>
              </w:rPr>
            </w:pPr>
            <w:r>
              <w:rPr>
                <w:sz w:val="18"/>
              </w:rPr>
              <w:t>Bajo</w:t>
            </w:r>
          </w:p>
        </w:tc>
      </w:tr>
      <w:tr>
        <w:trPr>
          <w:trHeight w:val="293" w:hRule="exact"/>
        </w:trPr>
        <w:tc>
          <w:tcPr>
            <w:tcW w:w="2331" w:type="dxa"/>
          </w:tcPr>
          <w:p>
            <w:pPr>
              <w:pStyle w:val="TableParagraph"/>
              <w:spacing w:before="18"/>
              <w:ind w:left="64"/>
              <w:jc w:val="left"/>
              <w:rPr>
                <w:sz w:val="18"/>
              </w:rPr>
            </w:pPr>
            <w:r>
              <w:rPr>
                <w:sz w:val="18"/>
              </w:rPr>
              <w:t>Chapa de Mota</w:t>
            </w:r>
          </w:p>
        </w:tc>
        <w:tc>
          <w:tcPr>
            <w:tcW w:w="1248" w:type="dxa"/>
          </w:tcPr>
          <w:p>
            <w:pPr>
              <w:pStyle w:val="TableParagraph"/>
              <w:spacing w:before="18"/>
              <w:ind w:left="190" w:right="194"/>
              <w:rPr>
                <w:sz w:val="18"/>
              </w:rPr>
            </w:pPr>
            <w:r>
              <w:rPr>
                <w:sz w:val="18"/>
              </w:rPr>
              <w:t>0.97584</w:t>
            </w:r>
          </w:p>
        </w:tc>
        <w:tc>
          <w:tcPr>
            <w:tcW w:w="1229" w:type="dxa"/>
          </w:tcPr>
          <w:p>
            <w:pPr>
              <w:pStyle w:val="TableParagraph"/>
              <w:spacing w:before="18"/>
              <w:ind w:left="222" w:right="225"/>
              <w:rPr>
                <w:sz w:val="18"/>
              </w:rPr>
            </w:pPr>
            <w:r>
              <w:rPr>
                <w:sz w:val="18"/>
              </w:rPr>
              <w:t>Alto</w:t>
            </w:r>
          </w:p>
        </w:tc>
        <w:tc>
          <w:tcPr>
            <w:tcW w:w="1015" w:type="dxa"/>
          </w:tcPr>
          <w:p>
            <w:pPr>
              <w:pStyle w:val="TableParagraph"/>
              <w:spacing w:before="42"/>
              <w:ind w:right="244"/>
              <w:jc w:val="right"/>
              <w:rPr>
                <w:sz w:val="18"/>
              </w:rPr>
            </w:pPr>
            <w:r>
              <w:rPr>
                <w:sz w:val="18"/>
              </w:rPr>
              <w:t>-0.009</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18"/>
              <w:ind w:left="64"/>
              <w:jc w:val="left"/>
              <w:rPr>
                <w:sz w:val="18"/>
              </w:rPr>
            </w:pPr>
            <w:r>
              <w:rPr>
                <w:sz w:val="18"/>
              </w:rPr>
              <w:t>Chapultepec</w:t>
            </w:r>
          </w:p>
        </w:tc>
        <w:tc>
          <w:tcPr>
            <w:tcW w:w="1248" w:type="dxa"/>
          </w:tcPr>
          <w:p>
            <w:pPr>
              <w:pStyle w:val="TableParagraph"/>
              <w:spacing w:before="18"/>
              <w:ind w:left="193" w:right="194"/>
              <w:rPr>
                <w:sz w:val="18"/>
              </w:rPr>
            </w:pPr>
            <w:r>
              <w:rPr>
                <w:sz w:val="18"/>
              </w:rPr>
              <w:t>-0.83772</w:t>
            </w:r>
          </w:p>
        </w:tc>
        <w:tc>
          <w:tcPr>
            <w:tcW w:w="1229" w:type="dxa"/>
          </w:tcPr>
          <w:p>
            <w:pPr>
              <w:pStyle w:val="TableParagraph"/>
              <w:spacing w:before="18"/>
              <w:ind w:left="223" w:right="223"/>
              <w:rPr>
                <w:sz w:val="18"/>
              </w:rPr>
            </w:pPr>
            <w:r>
              <w:rPr>
                <w:sz w:val="18"/>
              </w:rPr>
              <w:t>Bajo</w:t>
            </w:r>
          </w:p>
        </w:tc>
        <w:tc>
          <w:tcPr>
            <w:tcW w:w="1015" w:type="dxa"/>
          </w:tcPr>
          <w:p>
            <w:pPr>
              <w:pStyle w:val="TableParagraph"/>
              <w:spacing w:before="42"/>
              <w:ind w:right="294"/>
              <w:jc w:val="right"/>
              <w:rPr>
                <w:sz w:val="18"/>
              </w:rPr>
            </w:pPr>
            <w:r>
              <w:rPr>
                <w:w w:val="95"/>
                <w:sz w:val="18"/>
              </w:rPr>
              <w:t>-1.39</w:t>
            </w:r>
          </w:p>
        </w:tc>
        <w:tc>
          <w:tcPr>
            <w:tcW w:w="1018" w:type="dxa"/>
          </w:tcPr>
          <w:p>
            <w:pPr>
              <w:pStyle w:val="TableParagraph"/>
              <w:spacing w:before="42"/>
              <w:ind w:left="117" w:right="119"/>
              <w:rPr>
                <w:sz w:val="18"/>
              </w:rPr>
            </w:pPr>
            <w:r>
              <w:rPr>
                <w:sz w:val="18"/>
              </w:rPr>
              <w:t>Muy bajo</w:t>
            </w:r>
          </w:p>
        </w:tc>
      </w:tr>
      <w:tr>
        <w:trPr>
          <w:trHeight w:val="293" w:hRule="exact"/>
        </w:trPr>
        <w:tc>
          <w:tcPr>
            <w:tcW w:w="2331" w:type="dxa"/>
          </w:tcPr>
          <w:p>
            <w:pPr>
              <w:pStyle w:val="TableParagraph"/>
              <w:spacing w:before="18"/>
              <w:ind w:left="64"/>
              <w:jc w:val="left"/>
              <w:rPr>
                <w:sz w:val="18"/>
              </w:rPr>
            </w:pPr>
            <w:r>
              <w:rPr>
                <w:sz w:val="18"/>
              </w:rPr>
              <w:t>Chiautla</w:t>
            </w:r>
          </w:p>
        </w:tc>
        <w:tc>
          <w:tcPr>
            <w:tcW w:w="1248" w:type="dxa"/>
          </w:tcPr>
          <w:p>
            <w:pPr>
              <w:pStyle w:val="TableParagraph"/>
              <w:spacing w:before="18"/>
              <w:ind w:left="193" w:right="194"/>
              <w:rPr>
                <w:sz w:val="18"/>
              </w:rPr>
            </w:pPr>
            <w:r>
              <w:rPr>
                <w:sz w:val="18"/>
              </w:rPr>
              <w:t>-0.5546</w:t>
            </w:r>
          </w:p>
        </w:tc>
        <w:tc>
          <w:tcPr>
            <w:tcW w:w="1229" w:type="dxa"/>
          </w:tcPr>
          <w:p>
            <w:pPr>
              <w:pStyle w:val="TableParagraph"/>
              <w:spacing w:before="18"/>
              <w:ind w:left="223" w:right="223"/>
              <w:rPr>
                <w:sz w:val="18"/>
              </w:rPr>
            </w:pPr>
            <w:r>
              <w:rPr>
                <w:sz w:val="18"/>
              </w:rPr>
              <w:t>Bajo</w:t>
            </w:r>
          </w:p>
        </w:tc>
        <w:tc>
          <w:tcPr>
            <w:tcW w:w="1015" w:type="dxa"/>
          </w:tcPr>
          <w:p>
            <w:pPr>
              <w:pStyle w:val="TableParagraph"/>
              <w:spacing w:before="42"/>
              <w:ind w:right="244"/>
              <w:jc w:val="right"/>
              <w:rPr>
                <w:sz w:val="18"/>
              </w:rPr>
            </w:pPr>
            <w:r>
              <w:rPr>
                <w:sz w:val="18"/>
              </w:rPr>
              <w:t>-1.194</w:t>
            </w:r>
          </w:p>
        </w:tc>
        <w:tc>
          <w:tcPr>
            <w:tcW w:w="1018" w:type="dxa"/>
          </w:tcPr>
          <w:p>
            <w:pPr>
              <w:pStyle w:val="TableParagraph"/>
              <w:spacing w:before="42"/>
              <w:ind w:left="118" w:right="119"/>
              <w:rPr>
                <w:sz w:val="18"/>
              </w:rPr>
            </w:pPr>
            <w:r>
              <w:rPr>
                <w:sz w:val="18"/>
              </w:rPr>
              <w:t>Bajo</w:t>
            </w:r>
          </w:p>
        </w:tc>
      </w:tr>
      <w:tr>
        <w:trPr>
          <w:trHeight w:val="293" w:hRule="exact"/>
        </w:trPr>
        <w:tc>
          <w:tcPr>
            <w:tcW w:w="2331" w:type="dxa"/>
          </w:tcPr>
          <w:p>
            <w:pPr>
              <w:pStyle w:val="TableParagraph"/>
              <w:spacing w:before="18"/>
              <w:ind w:left="64"/>
              <w:jc w:val="left"/>
              <w:rPr>
                <w:sz w:val="18"/>
              </w:rPr>
            </w:pPr>
            <w:r>
              <w:rPr>
                <w:sz w:val="18"/>
              </w:rPr>
              <w:t>Chicoloapan</w:t>
            </w:r>
          </w:p>
        </w:tc>
        <w:tc>
          <w:tcPr>
            <w:tcW w:w="1248" w:type="dxa"/>
          </w:tcPr>
          <w:p>
            <w:pPr>
              <w:pStyle w:val="TableParagraph"/>
              <w:spacing w:before="18"/>
              <w:ind w:left="193" w:right="194"/>
              <w:rPr>
                <w:sz w:val="18"/>
              </w:rPr>
            </w:pPr>
            <w:r>
              <w:rPr>
                <w:sz w:val="18"/>
              </w:rPr>
              <w:t>-0.61655</w:t>
            </w:r>
          </w:p>
        </w:tc>
        <w:tc>
          <w:tcPr>
            <w:tcW w:w="1229" w:type="dxa"/>
          </w:tcPr>
          <w:p>
            <w:pPr>
              <w:pStyle w:val="TableParagraph"/>
              <w:spacing w:before="18"/>
              <w:ind w:left="223" w:right="223"/>
              <w:rPr>
                <w:sz w:val="18"/>
              </w:rPr>
            </w:pPr>
            <w:r>
              <w:rPr>
                <w:sz w:val="18"/>
              </w:rPr>
              <w:t>Bajo</w:t>
            </w:r>
          </w:p>
        </w:tc>
        <w:tc>
          <w:tcPr>
            <w:tcW w:w="1015" w:type="dxa"/>
          </w:tcPr>
          <w:p>
            <w:pPr>
              <w:pStyle w:val="TableParagraph"/>
              <w:spacing w:before="42"/>
              <w:ind w:right="244"/>
              <w:jc w:val="right"/>
              <w:rPr>
                <w:sz w:val="18"/>
              </w:rPr>
            </w:pPr>
            <w:r>
              <w:rPr>
                <w:sz w:val="18"/>
              </w:rPr>
              <w:t>-1.576</w:t>
            </w:r>
          </w:p>
        </w:tc>
        <w:tc>
          <w:tcPr>
            <w:tcW w:w="1018" w:type="dxa"/>
          </w:tcPr>
          <w:p>
            <w:pPr>
              <w:pStyle w:val="TableParagraph"/>
              <w:spacing w:before="42"/>
              <w:ind w:left="117" w:right="119"/>
              <w:rPr>
                <w:sz w:val="18"/>
              </w:rPr>
            </w:pPr>
            <w:r>
              <w:rPr>
                <w:sz w:val="18"/>
              </w:rPr>
              <w:t>Muy bajo</w:t>
            </w:r>
          </w:p>
        </w:tc>
      </w:tr>
      <w:tr>
        <w:trPr>
          <w:trHeight w:val="293" w:hRule="exact"/>
        </w:trPr>
        <w:tc>
          <w:tcPr>
            <w:tcW w:w="2331" w:type="dxa"/>
          </w:tcPr>
          <w:p>
            <w:pPr>
              <w:pStyle w:val="TableParagraph"/>
              <w:spacing w:before="18"/>
              <w:ind w:left="64"/>
              <w:jc w:val="left"/>
              <w:rPr>
                <w:sz w:val="18"/>
              </w:rPr>
            </w:pPr>
            <w:r>
              <w:rPr>
                <w:sz w:val="18"/>
              </w:rPr>
              <w:t>Chimalhuacán</w:t>
            </w:r>
          </w:p>
        </w:tc>
        <w:tc>
          <w:tcPr>
            <w:tcW w:w="1248" w:type="dxa"/>
          </w:tcPr>
          <w:p>
            <w:pPr>
              <w:pStyle w:val="TableParagraph"/>
              <w:spacing w:before="18"/>
              <w:ind w:left="193" w:right="194"/>
              <w:rPr>
                <w:sz w:val="18"/>
              </w:rPr>
            </w:pPr>
            <w:r>
              <w:rPr>
                <w:sz w:val="18"/>
              </w:rPr>
              <w:t>-0.50917</w:t>
            </w:r>
          </w:p>
        </w:tc>
        <w:tc>
          <w:tcPr>
            <w:tcW w:w="1229" w:type="dxa"/>
          </w:tcPr>
          <w:p>
            <w:pPr>
              <w:pStyle w:val="TableParagraph"/>
              <w:spacing w:before="18"/>
              <w:ind w:left="223" w:right="223"/>
              <w:rPr>
                <w:sz w:val="18"/>
              </w:rPr>
            </w:pPr>
            <w:r>
              <w:rPr>
                <w:sz w:val="18"/>
              </w:rPr>
              <w:t>Bajo</w:t>
            </w:r>
          </w:p>
        </w:tc>
        <w:tc>
          <w:tcPr>
            <w:tcW w:w="1015" w:type="dxa"/>
          </w:tcPr>
          <w:p>
            <w:pPr>
              <w:pStyle w:val="TableParagraph"/>
              <w:spacing w:before="42"/>
              <w:ind w:right="244"/>
              <w:jc w:val="right"/>
              <w:rPr>
                <w:sz w:val="18"/>
              </w:rPr>
            </w:pPr>
            <w:r>
              <w:rPr>
                <w:sz w:val="18"/>
              </w:rPr>
              <w:t>-1.103</w:t>
            </w:r>
          </w:p>
        </w:tc>
        <w:tc>
          <w:tcPr>
            <w:tcW w:w="1018" w:type="dxa"/>
          </w:tcPr>
          <w:p>
            <w:pPr>
              <w:pStyle w:val="TableParagraph"/>
              <w:spacing w:before="42"/>
              <w:ind w:left="118" w:right="119"/>
              <w:rPr>
                <w:sz w:val="18"/>
              </w:rPr>
            </w:pPr>
            <w:r>
              <w:rPr>
                <w:sz w:val="18"/>
              </w:rPr>
              <w:t>Bajo</w:t>
            </w:r>
          </w:p>
        </w:tc>
      </w:tr>
      <w:tr>
        <w:trPr>
          <w:trHeight w:val="293" w:hRule="exact"/>
        </w:trPr>
        <w:tc>
          <w:tcPr>
            <w:tcW w:w="2331" w:type="dxa"/>
          </w:tcPr>
          <w:p>
            <w:pPr>
              <w:pStyle w:val="TableParagraph"/>
              <w:spacing w:before="20"/>
              <w:ind w:left="64"/>
              <w:jc w:val="left"/>
              <w:rPr>
                <w:sz w:val="18"/>
              </w:rPr>
            </w:pPr>
            <w:r>
              <w:rPr>
                <w:sz w:val="18"/>
              </w:rPr>
              <w:t>Chinconcuac</w:t>
            </w:r>
          </w:p>
        </w:tc>
        <w:tc>
          <w:tcPr>
            <w:tcW w:w="1248" w:type="dxa"/>
          </w:tcPr>
          <w:p>
            <w:pPr>
              <w:pStyle w:val="TableParagraph"/>
              <w:spacing w:before="20"/>
              <w:ind w:left="193" w:right="194"/>
              <w:rPr>
                <w:sz w:val="18"/>
              </w:rPr>
            </w:pPr>
            <w:r>
              <w:rPr>
                <w:sz w:val="18"/>
              </w:rPr>
              <w:t>-0.94783</w:t>
            </w:r>
          </w:p>
        </w:tc>
        <w:tc>
          <w:tcPr>
            <w:tcW w:w="1229" w:type="dxa"/>
          </w:tcPr>
          <w:p>
            <w:pPr>
              <w:pStyle w:val="TableParagraph"/>
              <w:spacing w:before="20"/>
              <w:ind w:left="223" w:right="223"/>
              <w:rPr>
                <w:sz w:val="18"/>
              </w:rPr>
            </w:pPr>
            <w:r>
              <w:rPr>
                <w:sz w:val="18"/>
              </w:rPr>
              <w:t>Bajo</w:t>
            </w:r>
          </w:p>
        </w:tc>
        <w:tc>
          <w:tcPr>
            <w:tcW w:w="1015" w:type="dxa"/>
          </w:tcPr>
          <w:p>
            <w:pPr>
              <w:pStyle w:val="TableParagraph"/>
              <w:spacing w:before="42"/>
              <w:ind w:right="244"/>
              <w:jc w:val="right"/>
              <w:rPr>
                <w:sz w:val="18"/>
              </w:rPr>
            </w:pPr>
            <w:r>
              <w:rPr>
                <w:sz w:val="18"/>
              </w:rPr>
              <w:t>-1.358</w:t>
            </w:r>
          </w:p>
        </w:tc>
        <w:tc>
          <w:tcPr>
            <w:tcW w:w="1018" w:type="dxa"/>
          </w:tcPr>
          <w:p>
            <w:pPr>
              <w:pStyle w:val="TableParagraph"/>
              <w:spacing w:before="42"/>
              <w:ind w:left="118" w:right="119"/>
              <w:rPr>
                <w:sz w:val="18"/>
              </w:rPr>
            </w:pPr>
            <w:r>
              <w:rPr>
                <w:sz w:val="18"/>
              </w:rPr>
              <w:t>Alto</w:t>
            </w:r>
          </w:p>
        </w:tc>
      </w:tr>
      <w:tr>
        <w:trPr>
          <w:trHeight w:val="293" w:hRule="exact"/>
        </w:trPr>
        <w:tc>
          <w:tcPr>
            <w:tcW w:w="2331" w:type="dxa"/>
          </w:tcPr>
          <w:p>
            <w:pPr>
              <w:pStyle w:val="TableParagraph"/>
              <w:spacing w:before="20"/>
              <w:ind w:left="64"/>
              <w:jc w:val="left"/>
              <w:rPr>
                <w:sz w:val="18"/>
              </w:rPr>
            </w:pPr>
            <w:r>
              <w:rPr>
                <w:sz w:val="18"/>
              </w:rPr>
              <w:t>Coacalco de Berriozabal</w:t>
            </w:r>
          </w:p>
        </w:tc>
        <w:tc>
          <w:tcPr>
            <w:tcW w:w="1248" w:type="dxa"/>
          </w:tcPr>
          <w:p>
            <w:pPr>
              <w:pStyle w:val="TableParagraph"/>
              <w:spacing w:before="20"/>
              <w:ind w:left="193" w:right="194"/>
              <w:rPr>
                <w:sz w:val="18"/>
              </w:rPr>
            </w:pPr>
            <w:r>
              <w:rPr>
                <w:sz w:val="18"/>
              </w:rPr>
              <w:t>-1.66924</w:t>
            </w:r>
          </w:p>
        </w:tc>
        <w:tc>
          <w:tcPr>
            <w:tcW w:w="1229" w:type="dxa"/>
          </w:tcPr>
          <w:p>
            <w:pPr>
              <w:pStyle w:val="TableParagraph"/>
              <w:spacing w:before="20"/>
              <w:ind w:left="223" w:right="225"/>
              <w:rPr>
                <w:sz w:val="18"/>
              </w:rPr>
            </w:pPr>
            <w:r>
              <w:rPr>
                <w:sz w:val="18"/>
              </w:rPr>
              <w:t>Muy bajo</w:t>
            </w:r>
          </w:p>
        </w:tc>
        <w:tc>
          <w:tcPr>
            <w:tcW w:w="1015" w:type="dxa"/>
          </w:tcPr>
          <w:p>
            <w:pPr>
              <w:pStyle w:val="TableParagraph"/>
              <w:spacing w:before="42"/>
              <w:ind w:right="294"/>
              <w:jc w:val="right"/>
              <w:rPr>
                <w:sz w:val="18"/>
              </w:rPr>
            </w:pPr>
            <w:r>
              <w:rPr>
                <w:w w:val="95"/>
                <w:sz w:val="18"/>
              </w:rPr>
              <w:t>-2.05</w:t>
            </w:r>
          </w:p>
        </w:tc>
        <w:tc>
          <w:tcPr>
            <w:tcW w:w="1018" w:type="dxa"/>
          </w:tcPr>
          <w:p>
            <w:pPr>
              <w:pStyle w:val="TableParagraph"/>
              <w:spacing w:before="42"/>
              <w:ind w:left="117" w:right="119"/>
              <w:rPr>
                <w:sz w:val="18"/>
              </w:rPr>
            </w:pPr>
            <w:r>
              <w:rPr>
                <w:sz w:val="18"/>
              </w:rPr>
              <w:t>Muy bajo</w:t>
            </w:r>
          </w:p>
        </w:tc>
      </w:tr>
      <w:tr>
        <w:trPr>
          <w:trHeight w:val="293" w:hRule="exact"/>
        </w:trPr>
        <w:tc>
          <w:tcPr>
            <w:tcW w:w="2331" w:type="dxa"/>
          </w:tcPr>
          <w:p>
            <w:pPr>
              <w:pStyle w:val="TableParagraph"/>
              <w:spacing w:before="20"/>
              <w:ind w:left="64"/>
              <w:jc w:val="left"/>
              <w:rPr>
                <w:sz w:val="18"/>
              </w:rPr>
            </w:pPr>
            <w:r>
              <w:rPr>
                <w:sz w:val="18"/>
              </w:rPr>
              <w:t>Coatepec Harinas</w:t>
            </w:r>
          </w:p>
        </w:tc>
        <w:tc>
          <w:tcPr>
            <w:tcW w:w="1248" w:type="dxa"/>
          </w:tcPr>
          <w:p>
            <w:pPr>
              <w:pStyle w:val="TableParagraph"/>
              <w:spacing w:before="20"/>
              <w:ind w:left="190" w:right="194"/>
              <w:rPr>
                <w:sz w:val="18"/>
              </w:rPr>
            </w:pPr>
            <w:r>
              <w:rPr>
                <w:sz w:val="18"/>
              </w:rPr>
              <w:t>0.93038</w:t>
            </w:r>
          </w:p>
        </w:tc>
        <w:tc>
          <w:tcPr>
            <w:tcW w:w="1229" w:type="dxa"/>
          </w:tcPr>
          <w:p>
            <w:pPr>
              <w:pStyle w:val="TableParagraph"/>
              <w:spacing w:before="20"/>
              <w:ind w:left="222" w:right="225"/>
              <w:rPr>
                <w:sz w:val="18"/>
              </w:rPr>
            </w:pPr>
            <w:r>
              <w:rPr>
                <w:sz w:val="18"/>
              </w:rPr>
              <w:t>Alto</w:t>
            </w:r>
          </w:p>
        </w:tc>
        <w:tc>
          <w:tcPr>
            <w:tcW w:w="1015" w:type="dxa"/>
          </w:tcPr>
          <w:p>
            <w:pPr>
              <w:pStyle w:val="TableParagraph"/>
              <w:spacing w:before="42"/>
              <w:ind w:right="275"/>
              <w:jc w:val="right"/>
              <w:rPr>
                <w:sz w:val="18"/>
              </w:rPr>
            </w:pPr>
            <w:r>
              <w:rPr>
                <w:sz w:val="18"/>
              </w:rPr>
              <w:t>0.006</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20"/>
              <w:ind w:left="64"/>
              <w:jc w:val="left"/>
              <w:rPr>
                <w:sz w:val="18"/>
              </w:rPr>
            </w:pPr>
            <w:r>
              <w:rPr>
                <w:sz w:val="18"/>
              </w:rPr>
              <w:t>Cocotitlán</w:t>
            </w:r>
          </w:p>
        </w:tc>
        <w:tc>
          <w:tcPr>
            <w:tcW w:w="1248" w:type="dxa"/>
          </w:tcPr>
          <w:p>
            <w:pPr>
              <w:pStyle w:val="TableParagraph"/>
              <w:spacing w:before="20"/>
              <w:ind w:left="193" w:right="194"/>
              <w:rPr>
                <w:sz w:val="18"/>
              </w:rPr>
            </w:pPr>
            <w:r>
              <w:rPr>
                <w:sz w:val="18"/>
              </w:rPr>
              <w:t>-0.74582</w:t>
            </w:r>
          </w:p>
        </w:tc>
        <w:tc>
          <w:tcPr>
            <w:tcW w:w="1229" w:type="dxa"/>
          </w:tcPr>
          <w:p>
            <w:pPr>
              <w:pStyle w:val="TableParagraph"/>
              <w:spacing w:before="20"/>
              <w:ind w:left="223" w:right="223"/>
              <w:rPr>
                <w:sz w:val="18"/>
              </w:rPr>
            </w:pPr>
            <w:r>
              <w:rPr>
                <w:sz w:val="18"/>
              </w:rPr>
              <w:t>Bajo</w:t>
            </w:r>
          </w:p>
        </w:tc>
        <w:tc>
          <w:tcPr>
            <w:tcW w:w="1015" w:type="dxa"/>
          </w:tcPr>
          <w:p>
            <w:pPr>
              <w:pStyle w:val="TableParagraph"/>
              <w:spacing w:before="42"/>
              <w:ind w:right="244"/>
              <w:jc w:val="right"/>
              <w:rPr>
                <w:sz w:val="18"/>
              </w:rPr>
            </w:pPr>
            <w:r>
              <w:rPr>
                <w:sz w:val="18"/>
              </w:rPr>
              <w:t>-1.328</w:t>
            </w:r>
          </w:p>
        </w:tc>
        <w:tc>
          <w:tcPr>
            <w:tcW w:w="1018" w:type="dxa"/>
          </w:tcPr>
          <w:p>
            <w:pPr>
              <w:pStyle w:val="TableParagraph"/>
              <w:spacing w:before="42"/>
              <w:ind w:left="117" w:right="119"/>
              <w:rPr>
                <w:sz w:val="18"/>
              </w:rPr>
            </w:pPr>
            <w:r>
              <w:rPr>
                <w:sz w:val="18"/>
              </w:rPr>
              <w:t>Muy bajo</w:t>
            </w:r>
          </w:p>
        </w:tc>
      </w:tr>
      <w:tr>
        <w:trPr>
          <w:trHeight w:val="293" w:hRule="exact"/>
        </w:trPr>
        <w:tc>
          <w:tcPr>
            <w:tcW w:w="2331" w:type="dxa"/>
          </w:tcPr>
          <w:p>
            <w:pPr>
              <w:pStyle w:val="TableParagraph"/>
              <w:spacing w:before="20"/>
              <w:ind w:left="64"/>
              <w:jc w:val="left"/>
              <w:rPr>
                <w:sz w:val="18"/>
              </w:rPr>
            </w:pPr>
            <w:r>
              <w:rPr>
                <w:sz w:val="18"/>
              </w:rPr>
              <w:t>Coyotepec</w:t>
            </w:r>
          </w:p>
        </w:tc>
        <w:tc>
          <w:tcPr>
            <w:tcW w:w="1248" w:type="dxa"/>
          </w:tcPr>
          <w:p>
            <w:pPr>
              <w:pStyle w:val="TableParagraph"/>
              <w:spacing w:before="20"/>
              <w:ind w:left="193" w:right="194"/>
              <w:rPr>
                <w:sz w:val="18"/>
              </w:rPr>
            </w:pPr>
            <w:r>
              <w:rPr>
                <w:sz w:val="18"/>
              </w:rPr>
              <w:t>-0.67971</w:t>
            </w:r>
          </w:p>
        </w:tc>
        <w:tc>
          <w:tcPr>
            <w:tcW w:w="1229" w:type="dxa"/>
          </w:tcPr>
          <w:p>
            <w:pPr>
              <w:pStyle w:val="TableParagraph"/>
              <w:spacing w:before="20"/>
              <w:ind w:left="223" w:right="223"/>
              <w:rPr>
                <w:sz w:val="18"/>
              </w:rPr>
            </w:pPr>
            <w:r>
              <w:rPr>
                <w:sz w:val="18"/>
              </w:rPr>
              <w:t>Bajo</w:t>
            </w:r>
          </w:p>
        </w:tc>
        <w:tc>
          <w:tcPr>
            <w:tcW w:w="1015" w:type="dxa"/>
          </w:tcPr>
          <w:p>
            <w:pPr>
              <w:pStyle w:val="TableParagraph"/>
              <w:spacing w:before="42"/>
              <w:ind w:right="244"/>
              <w:jc w:val="right"/>
              <w:rPr>
                <w:sz w:val="18"/>
              </w:rPr>
            </w:pPr>
            <w:r>
              <w:rPr>
                <w:sz w:val="18"/>
              </w:rPr>
              <w:t>-1.173</w:t>
            </w:r>
          </w:p>
        </w:tc>
        <w:tc>
          <w:tcPr>
            <w:tcW w:w="1018" w:type="dxa"/>
          </w:tcPr>
          <w:p>
            <w:pPr>
              <w:pStyle w:val="TableParagraph"/>
              <w:spacing w:before="42"/>
              <w:ind w:left="118" w:right="119"/>
              <w:rPr>
                <w:sz w:val="18"/>
              </w:rPr>
            </w:pPr>
            <w:r>
              <w:rPr>
                <w:sz w:val="18"/>
              </w:rPr>
              <w:t>Bajo</w:t>
            </w:r>
          </w:p>
        </w:tc>
      </w:tr>
      <w:tr>
        <w:trPr>
          <w:trHeight w:val="295" w:hRule="exact"/>
        </w:trPr>
        <w:tc>
          <w:tcPr>
            <w:tcW w:w="2331" w:type="dxa"/>
          </w:tcPr>
          <w:p>
            <w:pPr>
              <w:pStyle w:val="TableParagraph"/>
              <w:spacing w:before="20"/>
              <w:ind w:left="64"/>
              <w:jc w:val="left"/>
              <w:rPr>
                <w:sz w:val="18"/>
              </w:rPr>
            </w:pPr>
            <w:r>
              <w:rPr>
                <w:sz w:val="18"/>
              </w:rPr>
              <w:t>Cuautitlán</w:t>
            </w:r>
          </w:p>
        </w:tc>
        <w:tc>
          <w:tcPr>
            <w:tcW w:w="1248" w:type="dxa"/>
          </w:tcPr>
          <w:p>
            <w:pPr>
              <w:pStyle w:val="TableParagraph"/>
              <w:spacing w:before="20"/>
              <w:ind w:left="193" w:right="194"/>
              <w:rPr>
                <w:sz w:val="18"/>
              </w:rPr>
            </w:pPr>
            <w:r>
              <w:rPr>
                <w:sz w:val="18"/>
              </w:rPr>
              <w:t>-1.44044</w:t>
            </w:r>
          </w:p>
        </w:tc>
        <w:tc>
          <w:tcPr>
            <w:tcW w:w="1229" w:type="dxa"/>
          </w:tcPr>
          <w:p>
            <w:pPr>
              <w:pStyle w:val="TableParagraph"/>
              <w:spacing w:before="20"/>
              <w:ind w:left="223" w:right="225"/>
              <w:rPr>
                <w:sz w:val="18"/>
              </w:rPr>
            </w:pPr>
            <w:r>
              <w:rPr>
                <w:sz w:val="18"/>
              </w:rPr>
              <w:t>Muy bajo</w:t>
            </w:r>
          </w:p>
        </w:tc>
        <w:tc>
          <w:tcPr>
            <w:tcW w:w="1015" w:type="dxa"/>
          </w:tcPr>
          <w:p>
            <w:pPr>
              <w:pStyle w:val="TableParagraph"/>
              <w:spacing w:before="42"/>
              <w:ind w:right="294"/>
              <w:jc w:val="right"/>
              <w:rPr>
                <w:sz w:val="18"/>
              </w:rPr>
            </w:pPr>
            <w:r>
              <w:rPr>
                <w:w w:val="95"/>
                <w:sz w:val="18"/>
              </w:rPr>
              <w:t>-1.88</w:t>
            </w:r>
          </w:p>
        </w:tc>
        <w:tc>
          <w:tcPr>
            <w:tcW w:w="1018" w:type="dxa"/>
          </w:tcPr>
          <w:p>
            <w:pPr>
              <w:pStyle w:val="TableParagraph"/>
              <w:spacing w:before="42"/>
              <w:ind w:left="117" w:right="119"/>
              <w:rPr>
                <w:sz w:val="18"/>
              </w:rPr>
            </w:pPr>
            <w:r>
              <w:rPr>
                <w:sz w:val="18"/>
              </w:rPr>
              <w:t>Muy bajo</w:t>
            </w:r>
          </w:p>
        </w:tc>
      </w:tr>
      <w:tr>
        <w:trPr>
          <w:trHeight w:val="293" w:hRule="exact"/>
        </w:trPr>
        <w:tc>
          <w:tcPr>
            <w:tcW w:w="2331" w:type="dxa"/>
          </w:tcPr>
          <w:p>
            <w:pPr>
              <w:pStyle w:val="TableParagraph"/>
              <w:spacing w:before="18"/>
              <w:ind w:left="64"/>
              <w:jc w:val="left"/>
              <w:rPr>
                <w:sz w:val="18"/>
              </w:rPr>
            </w:pPr>
            <w:r>
              <w:rPr>
                <w:sz w:val="18"/>
              </w:rPr>
              <w:t>Cuautitlán Izcalli</w:t>
            </w:r>
          </w:p>
        </w:tc>
        <w:tc>
          <w:tcPr>
            <w:tcW w:w="1248" w:type="dxa"/>
          </w:tcPr>
          <w:p>
            <w:pPr>
              <w:pStyle w:val="TableParagraph"/>
              <w:spacing w:before="18"/>
              <w:ind w:left="193" w:right="194"/>
              <w:rPr>
                <w:sz w:val="18"/>
              </w:rPr>
            </w:pPr>
            <w:r>
              <w:rPr>
                <w:sz w:val="18"/>
              </w:rPr>
              <w:t>-1.56605</w:t>
            </w:r>
          </w:p>
        </w:tc>
        <w:tc>
          <w:tcPr>
            <w:tcW w:w="1229" w:type="dxa"/>
          </w:tcPr>
          <w:p>
            <w:pPr>
              <w:pStyle w:val="TableParagraph"/>
              <w:spacing w:before="18"/>
              <w:ind w:left="223" w:right="225"/>
              <w:rPr>
                <w:sz w:val="18"/>
              </w:rPr>
            </w:pPr>
            <w:r>
              <w:rPr>
                <w:sz w:val="18"/>
              </w:rPr>
              <w:t>Muy bajo</w:t>
            </w:r>
          </w:p>
        </w:tc>
        <w:tc>
          <w:tcPr>
            <w:tcW w:w="1015" w:type="dxa"/>
          </w:tcPr>
          <w:p>
            <w:pPr>
              <w:pStyle w:val="TableParagraph"/>
              <w:spacing w:before="39"/>
              <w:ind w:right="244"/>
              <w:jc w:val="right"/>
              <w:rPr>
                <w:sz w:val="18"/>
              </w:rPr>
            </w:pPr>
            <w:r>
              <w:rPr>
                <w:sz w:val="18"/>
              </w:rPr>
              <w:t>-1.941</w:t>
            </w:r>
          </w:p>
        </w:tc>
        <w:tc>
          <w:tcPr>
            <w:tcW w:w="1018" w:type="dxa"/>
          </w:tcPr>
          <w:p>
            <w:pPr>
              <w:pStyle w:val="TableParagraph"/>
              <w:spacing w:before="39"/>
              <w:ind w:left="118" w:right="119"/>
              <w:rPr>
                <w:sz w:val="18"/>
              </w:rPr>
            </w:pPr>
            <w:r>
              <w:rPr>
                <w:sz w:val="18"/>
              </w:rPr>
              <w:t>Muy bajo</w:t>
            </w:r>
          </w:p>
        </w:tc>
      </w:tr>
      <w:tr>
        <w:trPr>
          <w:trHeight w:val="293" w:hRule="exact"/>
        </w:trPr>
        <w:tc>
          <w:tcPr>
            <w:tcW w:w="2331" w:type="dxa"/>
          </w:tcPr>
          <w:p>
            <w:pPr>
              <w:pStyle w:val="TableParagraph"/>
              <w:spacing w:before="18"/>
              <w:ind w:left="64"/>
              <w:jc w:val="left"/>
              <w:rPr>
                <w:sz w:val="18"/>
              </w:rPr>
            </w:pPr>
            <w:r>
              <w:rPr>
                <w:sz w:val="18"/>
              </w:rPr>
              <w:t>Donato Guerra</w:t>
            </w:r>
          </w:p>
        </w:tc>
        <w:tc>
          <w:tcPr>
            <w:tcW w:w="1248" w:type="dxa"/>
          </w:tcPr>
          <w:p>
            <w:pPr>
              <w:pStyle w:val="TableParagraph"/>
              <w:spacing w:before="18"/>
              <w:ind w:left="189" w:right="194"/>
              <w:rPr>
                <w:sz w:val="18"/>
              </w:rPr>
            </w:pPr>
            <w:r>
              <w:rPr>
                <w:sz w:val="18"/>
              </w:rPr>
              <w:t>2.1284</w:t>
            </w:r>
          </w:p>
        </w:tc>
        <w:tc>
          <w:tcPr>
            <w:tcW w:w="1229" w:type="dxa"/>
          </w:tcPr>
          <w:p>
            <w:pPr>
              <w:pStyle w:val="TableParagraph"/>
              <w:spacing w:before="18"/>
              <w:ind w:left="221" w:right="225"/>
              <w:rPr>
                <w:sz w:val="18"/>
              </w:rPr>
            </w:pPr>
            <w:r>
              <w:rPr>
                <w:sz w:val="18"/>
              </w:rPr>
              <w:t>Muy Alto</w:t>
            </w:r>
          </w:p>
        </w:tc>
        <w:tc>
          <w:tcPr>
            <w:tcW w:w="1015" w:type="dxa"/>
          </w:tcPr>
          <w:p>
            <w:pPr>
              <w:pStyle w:val="TableParagraph"/>
              <w:spacing w:before="42"/>
              <w:ind w:left="259" w:right="260"/>
              <w:rPr>
                <w:sz w:val="18"/>
              </w:rPr>
            </w:pPr>
            <w:r>
              <w:rPr>
                <w:sz w:val="18"/>
              </w:rPr>
              <w:t>0.9</w:t>
            </w:r>
          </w:p>
        </w:tc>
        <w:tc>
          <w:tcPr>
            <w:tcW w:w="1018" w:type="dxa"/>
          </w:tcPr>
          <w:p>
            <w:pPr>
              <w:pStyle w:val="TableParagraph"/>
              <w:spacing w:before="42"/>
              <w:ind w:left="118" w:right="119"/>
              <w:rPr>
                <w:sz w:val="18"/>
              </w:rPr>
            </w:pPr>
            <w:r>
              <w:rPr>
                <w:sz w:val="18"/>
              </w:rPr>
              <w:t>Alto</w:t>
            </w:r>
          </w:p>
        </w:tc>
      </w:tr>
      <w:tr>
        <w:trPr>
          <w:trHeight w:val="293" w:hRule="exact"/>
        </w:trPr>
        <w:tc>
          <w:tcPr>
            <w:tcW w:w="2331" w:type="dxa"/>
          </w:tcPr>
          <w:p>
            <w:pPr>
              <w:pStyle w:val="TableParagraph"/>
              <w:spacing w:before="18"/>
              <w:ind w:left="64"/>
              <w:jc w:val="left"/>
              <w:rPr>
                <w:sz w:val="18"/>
              </w:rPr>
            </w:pPr>
            <w:r>
              <w:rPr>
                <w:sz w:val="18"/>
              </w:rPr>
              <w:t>Ecatepec de Morelos</w:t>
            </w:r>
          </w:p>
        </w:tc>
        <w:tc>
          <w:tcPr>
            <w:tcW w:w="1248" w:type="dxa"/>
          </w:tcPr>
          <w:p>
            <w:pPr>
              <w:pStyle w:val="TableParagraph"/>
              <w:spacing w:before="18"/>
              <w:ind w:left="193" w:right="194"/>
              <w:rPr>
                <w:sz w:val="18"/>
              </w:rPr>
            </w:pPr>
            <w:r>
              <w:rPr>
                <w:sz w:val="18"/>
              </w:rPr>
              <w:t>-0.105353</w:t>
            </w:r>
          </w:p>
        </w:tc>
        <w:tc>
          <w:tcPr>
            <w:tcW w:w="1229" w:type="dxa"/>
          </w:tcPr>
          <w:p>
            <w:pPr>
              <w:pStyle w:val="TableParagraph"/>
              <w:spacing w:before="18"/>
              <w:ind w:left="223" w:right="223"/>
              <w:rPr>
                <w:sz w:val="18"/>
              </w:rPr>
            </w:pPr>
            <w:r>
              <w:rPr>
                <w:sz w:val="18"/>
              </w:rPr>
              <w:t>Bajo</w:t>
            </w:r>
          </w:p>
        </w:tc>
        <w:tc>
          <w:tcPr>
            <w:tcW w:w="1015" w:type="dxa"/>
          </w:tcPr>
          <w:p>
            <w:pPr>
              <w:pStyle w:val="TableParagraph"/>
              <w:spacing w:before="42"/>
              <w:ind w:right="244"/>
              <w:jc w:val="right"/>
              <w:rPr>
                <w:sz w:val="18"/>
              </w:rPr>
            </w:pPr>
            <w:r>
              <w:rPr>
                <w:sz w:val="18"/>
              </w:rPr>
              <w:t>-1.618</w:t>
            </w:r>
          </w:p>
        </w:tc>
        <w:tc>
          <w:tcPr>
            <w:tcW w:w="1018" w:type="dxa"/>
          </w:tcPr>
          <w:p>
            <w:pPr>
              <w:pStyle w:val="TableParagraph"/>
              <w:spacing w:before="42"/>
              <w:ind w:left="117" w:right="119"/>
              <w:rPr>
                <w:sz w:val="18"/>
              </w:rPr>
            </w:pPr>
            <w:r>
              <w:rPr>
                <w:sz w:val="18"/>
              </w:rPr>
              <w:t>Muy bajo</w:t>
            </w:r>
          </w:p>
        </w:tc>
      </w:tr>
      <w:tr>
        <w:trPr>
          <w:trHeight w:val="293" w:hRule="exact"/>
        </w:trPr>
        <w:tc>
          <w:tcPr>
            <w:tcW w:w="2331" w:type="dxa"/>
          </w:tcPr>
          <w:p>
            <w:pPr>
              <w:pStyle w:val="TableParagraph"/>
              <w:spacing w:before="18"/>
              <w:ind w:left="64"/>
              <w:jc w:val="left"/>
              <w:rPr>
                <w:sz w:val="18"/>
              </w:rPr>
            </w:pPr>
            <w:r>
              <w:rPr>
                <w:sz w:val="18"/>
              </w:rPr>
              <w:t>Ecatzingo</w:t>
            </w:r>
          </w:p>
        </w:tc>
        <w:tc>
          <w:tcPr>
            <w:tcW w:w="1248" w:type="dxa"/>
          </w:tcPr>
          <w:p>
            <w:pPr>
              <w:pStyle w:val="TableParagraph"/>
              <w:spacing w:before="18"/>
              <w:ind w:left="190" w:right="194"/>
              <w:rPr>
                <w:sz w:val="18"/>
              </w:rPr>
            </w:pPr>
            <w:r>
              <w:rPr>
                <w:sz w:val="18"/>
              </w:rPr>
              <w:t>0.57476</w:t>
            </w:r>
          </w:p>
        </w:tc>
        <w:tc>
          <w:tcPr>
            <w:tcW w:w="1229" w:type="dxa"/>
          </w:tcPr>
          <w:p>
            <w:pPr>
              <w:pStyle w:val="TableParagraph"/>
              <w:spacing w:before="18"/>
              <w:ind w:left="222" w:right="225"/>
              <w:rPr>
                <w:sz w:val="18"/>
              </w:rPr>
            </w:pPr>
            <w:r>
              <w:rPr>
                <w:sz w:val="18"/>
              </w:rPr>
              <w:t>Alto</w:t>
            </w:r>
          </w:p>
        </w:tc>
        <w:tc>
          <w:tcPr>
            <w:tcW w:w="1015" w:type="dxa"/>
          </w:tcPr>
          <w:p>
            <w:pPr>
              <w:pStyle w:val="TableParagraph"/>
              <w:spacing w:before="42"/>
              <w:ind w:right="244"/>
              <w:jc w:val="right"/>
              <w:rPr>
                <w:sz w:val="18"/>
              </w:rPr>
            </w:pPr>
            <w:r>
              <w:rPr>
                <w:sz w:val="18"/>
              </w:rPr>
              <w:t>-0.311</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18"/>
              <w:ind w:left="64"/>
              <w:jc w:val="left"/>
              <w:rPr>
                <w:sz w:val="18"/>
              </w:rPr>
            </w:pPr>
            <w:r>
              <w:rPr>
                <w:sz w:val="18"/>
              </w:rPr>
              <w:t>El Oro</w:t>
            </w:r>
          </w:p>
        </w:tc>
        <w:tc>
          <w:tcPr>
            <w:tcW w:w="1248" w:type="dxa"/>
          </w:tcPr>
          <w:p>
            <w:pPr>
              <w:pStyle w:val="TableParagraph"/>
              <w:spacing w:before="18"/>
              <w:ind w:left="193" w:right="194"/>
              <w:rPr>
                <w:sz w:val="18"/>
              </w:rPr>
            </w:pPr>
            <w:r>
              <w:rPr>
                <w:sz w:val="18"/>
              </w:rPr>
              <w:t>0.669</w:t>
            </w:r>
          </w:p>
        </w:tc>
        <w:tc>
          <w:tcPr>
            <w:tcW w:w="1229" w:type="dxa"/>
          </w:tcPr>
          <w:p>
            <w:pPr>
              <w:pStyle w:val="TableParagraph"/>
              <w:spacing w:before="18"/>
              <w:ind w:left="222" w:right="225"/>
              <w:rPr>
                <w:sz w:val="18"/>
              </w:rPr>
            </w:pPr>
            <w:r>
              <w:rPr>
                <w:sz w:val="18"/>
              </w:rPr>
              <w:t>Alto</w:t>
            </w:r>
          </w:p>
        </w:tc>
        <w:tc>
          <w:tcPr>
            <w:tcW w:w="1015" w:type="dxa"/>
          </w:tcPr>
          <w:p>
            <w:pPr>
              <w:pStyle w:val="TableParagraph"/>
              <w:spacing w:before="42"/>
              <w:ind w:right="244"/>
              <w:jc w:val="right"/>
              <w:rPr>
                <w:sz w:val="18"/>
              </w:rPr>
            </w:pPr>
            <w:r>
              <w:rPr>
                <w:sz w:val="18"/>
              </w:rPr>
              <w:t>-0.124</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18"/>
              <w:ind w:left="64"/>
              <w:jc w:val="left"/>
              <w:rPr>
                <w:sz w:val="18"/>
              </w:rPr>
            </w:pPr>
            <w:r>
              <w:rPr>
                <w:sz w:val="18"/>
              </w:rPr>
              <w:t>Huehuetoca</w:t>
            </w:r>
          </w:p>
        </w:tc>
        <w:tc>
          <w:tcPr>
            <w:tcW w:w="1248" w:type="dxa"/>
          </w:tcPr>
          <w:p>
            <w:pPr>
              <w:pStyle w:val="TableParagraph"/>
              <w:spacing w:before="18"/>
              <w:ind w:left="193" w:right="194"/>
              <w:rPr>
                <w:sz w:val="18"/>
              </w:rPr>
            </w:pPr>
            <w:r>
              <w:rPr>
                <w:sz w:val="18"/>
              </w:rPr>
              <w:t>-0.93779</w:t>
            </w:r>
          </w:p>
        </w:tc>
        <w:tc>
          <w:tcPr>
            <w:tcW w:w="1229" w:type="dxa"/>
          </w:tcPr>
          <w:p>
            <w:pPr>
              <w:pStyle w:val="TableParagraph"/>
              <w:spacing w:before="18"/>
              <w:ind w:left="223" w:right="223"/>
              <w:rPr>
                <w:sz w:val="18"/>
              </w:rPr>
            </w:pPr>
            <w:r>
              <w:rPr>
                <w:sz w:val="18"/>
              </w:rPr>
              <w:t>Bajo</w:t>
            </w:r>
          </w:p>
        </w:tc>
        <w:tc>
          <w:tcPr>
            <w:tcW w:w="1015" w:type="dxa"/>
          </w:tcPr>
          <w:p>
            <w:pPr>
              <w:pStyle w:val="TableParagraph"/>
              <w:spacing w:before="42"/>
              <w:ind w:right="294"/>
              <w:jc w:val="right"/>
              <w:rPr>
                <w:sz w:val="18"/>
              </w:rPr>
            </w:pPr>
            <w:r>
              <w:rPr>
                <w:w w:val="95"/>
                <w:sz w:val="18"/>
              </w:rPr>
              <w:t>-1.45</w:t>
            </w:r>
          </w:p>
        </w:tc>
        <w:tc>
          <w:tcPr>
            <w:tcW w:w="1018" w:type="dxa"/>
          </w:tcPr>
          <w:p>
            <w:pPr>
              <w:pStyle w:val="TableParagraph"/>
              <w:spacing w:before="42"/>
              <w:ind w:left="117" w:right="119"/>
              <w:rPr>
                <w:sz w:val="18"/>
              </w:rPr>
            </w:pPr>
            <w:r>
              <w:rPr>
                <w:sz w:val="18"/>
              </w:rPr>
              <w:t>Muy bajo</w:t>
            </w:r>
          </w:p>
        </w:tc>
      </w:tr>
      <w:tr>
        <w:trPr>
          <w:trHeight w:val="293" w:hRule="exact"/>
        </w:trPr>
        <w:tc>
          <w:tcPr>
            <w:tcW w:w="2331" w:type="dxa"/>
          </w:tcPr>
          <w:p>
            <w:pPr>
              <w:pStyle w:val="TableParagraph"/>
              <w:spacing w:before="20"/>
              <w:ind w:left="64"/>
              <w:jc w:val="left"/>
              <w:rPr>
                <w:sz w:val="18"/>
              </w:rPr>
            </w:pPr>
            <w:r>
              <w:rPr>
                <w:sz w:val="18"/>
              </w:rPr>
              <w:t>Hueypoxtla</w:t>
            </w:r>
          </w:p>
        </w:tc>
        <w:tc>
          <w:tcPr>
            <w:tcW w:w="1248" w:type="dxa"/>
          </w:tcPr>
          <w:p>
            <w:pPr>
              <w:pStyle w:val="TableParagraph"/>
              <w:spacing w:before="20"/>
              <w:ind w:left="193" w:right="194"/>
              <w:rPr>
                <w:sz w:val="18"/>
              </w:rPr>
            </w:pPr>
            <w:r>
              <w:rPr>
                <w:sz w:val="18"/>
              </w:rPr>
              <w:t>-0.13104</w:t>
            </w:r>
          </w:p>
        </w:tc>
        <w:tc>
          <w:tcPr>
            <w:tcW w:w="1229" w:type="dxa"/>
          </w:tcPr>
          <w:p>
            <w:pPr>
              <w:pStyle w:val="TableParagraph"/>
              <w:spacing w:before="20"/>
              <w:ind w:left="221" w:right="225"/>
              <w:rPr>
                <w:sz w:val="18"/>
              </w:rPr>
            </w:pPr>
            <w:r>
              <w:rPr>
                <w:sz w:val="18"/>
              </w:rPr>
              <w:t>Medio</w:t>
            </w:r>
          </w:p>
        </w:tc>
        <w:tc>
          <w:tcPr>
            <w:tcW w:w="1015" w:type="dxa"/>
          </w:tcPr>
          <w:p>
            <w:pPr>
              <w:pStyle w:val="TableParagraph"/>
              <w:spacing w:before="42"/>
              <w:ind w:right="244"/>
              <w:jc w:val="right"/>
              <w:rPr>
                <w:sz w:val="18"/>
              </w:rPr>
            </w:pPr>
            <w:r>
              <w:rPr>
                <w:sz w:val="18"/>
              </w:rPr>
              <w:t>-0.834</w:t>
            </w:r>
          </w:p>
        </w:tc>
        <w:tc>
          <w:tcPr>
            <w:tcW w:w="1018" w:type="dxa"/>
          </w:tcPr>
          <w:p>
            <w:pPr>
              <w:pStyle w:val="TableParagraph"/>
              <w:spacing w:before="42"/>
              <w:ind w:left="118" w:right="119"/>
              <w:rPr>
                <w:sz w:val="18"/>
              </w:rPr>
            </w:pPr>
            <w:r>
              <w:rPr>
                <w:sz w:val="18"/>
              </w:rPr>
              <w:t>Bajo</w:t>
            </w:r>
          </w:p>
        </w:tc>
      </w:tr>
      <w:tr>
        <w:trPr>
          <w:trHeight w:val="293" w:hRule="exact"/>
        </w:trPr>
        <w:tc>
          <w:tcPr>
            <w:tcW w:w="2331" w:type="dxa"/>
          </w:tcPr>
          <w:p>
            <w:pPr>
              <w:pStyle w:val="TableParagraph"/>
              <w:spacing w:before="20"/>
              <w:ind w:left="64"/>
              <w:jc w:val="left"/>
              <w:rPr>
                <w:sz w:val="18"/>
              </w:rPr>
            </w:pPr>
            <w:r>
              <w:rPr>
                <w:sz w:val="18"/>
              </w:rPr>
              <w:t>Huixquilucan</w:t>
            </w:r>
          </w:p>
        </w:tc>
        <w:tc>
          <w:tcPr>
            <w:tcW w:w="1248" w:type="dxa"/>
          </w:tcPr>
          <w:p>
            <w:pPr>
              <w:pStyle w:val="TableParagraph"/>
              <w:spacing w:before="20"/>
              <w:ind w:left="193" w:right="194"/>
              <w:rPr>
                <w:sz w:val="18"/>
              </w:rPr>
            </w:pPr>
            <w:r>
              <w:rPr>
                <w:sz w:val="18"/>
              </w:rPr>
              <w:t>-1.13424</w:t>
            </w:r>
          </w:p>
        </w:tc>
        <w:tc>
          <w:tcPr>
            <w:tcW w:w="1229" w:type="dxa"/>
          </w:tcPr>
          <w:p>
            <w:pPr>
              <w:pStyle w:val="TableParagraph"/>
              <w:spacing w:before="20"/>
              <w:ind w:left="223" w:right="223"/>
              <w:rPr>
                <w:sz w:val="18"/>
              </w:rPr>
            </w:pPr>
            <w:r>
              <w:rPr>
                <w:sz w:val="18"/>
              </w:rPr>
              <w:t>Bajo</w:t>
            </w:r>
          </w:p>
        </w:tc>
        <w:tc>
          <w:tcPr>
            <w:tcW w:w="1015" w:type="dxa"/>
          </w:tcPr>
          <w:p>
            <w:pPr>
              <w:pStyle w:val="TableParagraph"/>
              <w:spacing w:before="42"/>
              <w:ind w:right="244"/>
              <w:jc w:val="right"/>
              <w:rPr>
                <w:sz w:val="18"/>
              </w:rPr>
            </w:pPr>
            <w:r>
              <w:rPr>
                <w:sz w:val="18"/>
              </w:rPr>
              <w:t>-1.665</w:t>
            </w:r>
          </w:p>
        </w:tc>
        <w:tc>
          <w:tcPr>
            <w:tcW w:w="1018" w:type="dxa"/>
          </w:tcPr>
          <w:p>
            <w:pPr>
              <w:pStyle w:val="TableParagraph"/>
              <w:spacing w:before="42"/>
              <w:ind w:left="117" w:right="119"/>
              <w:rPr>
                <w:sz w:val="18"/>
              </w:rPr>
            </w:pPr>
            <w:r>
              <w:rPr>
                <w:sz w:val="18"/>
              </w:rPr>
              <w:t>Muy bajo</w:t>
            </w:r>
          </w:p>
        </w:tc>
      </w:tr>
    </w:tbl>
    <w:p>
      <w:pPr>
        <w:spacing w:after="0"/>
        <w:rPr>
          <w:sz w:val="18"/>
        </w:rPr>
        <w:sectPr>
          <w:pgSz w:w="12240" w:h="15840"/>
          <w:pgMar w:header="0" w:footer="975" w:top="1420" w:bottom="1160" w:left="1720" w:right="1720"/>
        </w:sectPr>
      </w:pPr>
    </w:p>
    <w:tbl>
      <w:tblPr>
        <w:tblW w:w="0" w:type="auto"/>
        <w:jc w:val="left"/>
        <w:tblInd w:w="9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31"/>
        <w:gridCol w:w="1248"/>
        <w:gridCol w:w="1229"/>
        <w:gridCol w:w="1015"/>
        <w:gridCol w:w="1018"/>
      </w:tblGrid>
      <w:tr>
        <w:trPr>
          <w:trHeight w:val="424" w:hRule="exact"/>
        </w:trPr>
        <w:tc>
          <w:tcPr>
            <w:tcW w:w="6842" w:type="dxa"/>
            <w:gridSpan w:val="5"/>
            <w:shd w:val="clear" w:color="auto" w:fill="92D050"/>
          </w:tcPr>
          <w:p>
            <w:pPr>
              <w:pStyle w:val="TableParagraph"/>
              <w:ind w:left="1512" w:right="275" w:hanging="1227"/>
              <w:jc w:val="left"/>
              <w:rPr>
                <w:b/>
                <w:sz w:val="18"/>
              </w:rPr>
            </w:pPr>
            <w:r>
              <w:rPr>
                <w:b/>
                <w:sz w:val="18"/>
              </w:rPr>
              <w:t>Anexo 2. Índices de marginación de los municipios del Estado de México durante el periodo 2006-2010 (Continuación)</w:t>
            </w:r>
          </w:p>
        </w:tc>
      </w:tr>
      <w:tr>
        <w:trPr>
          <w:trHeight w:val="631" w:hRule="exact"/>
        </w:trPr>
        <w:tc>
          <w:tcPr>
            <w:tcW w:w="2331" w:type="dxa"/>
            <w:shd w:val="clear" w:color="auto" w:fill="92D050"/>
          </w:tcPr>
          <w:p>
            <w:pPr>
              <w:pStyle w:val="TableParagraph"/>
              <w:spacing w:before="2"/>
              <w:jc w:val="left"/>
              <w:rPr>
                <w:sz w:val="17"/>
              </w:rPr>
            </w:pPr>
          </w:p>
          <w:p>
            <w:pPr>
              <w:pStyle w:val="TableParagraph"/>
              <w:ind w:left="739"/>
              <w:jc w:val="left"/>
              <w:rPr>
                <w:b/>
                <w:sz w:val="18"/>
              </w:rPr>
            </w:pPr>
            <w:r>
              <w:rPr>
                <w:b/>
                <w:sz w:val="18"/>
              </w:rPr>
              <w:t>Municipio</w:t>
            </w:r>
          </w:p>
        </w:tc>
        <w:tc>
          <w:tcPr>
            <w:tcW w:w="1248" w:type="dxa"/>
            <w:shd w:val="clear" w:color="auto" w:fill="92D050"/>
          </w:tcPr>
          <w:p>
            <w:pPr>
              <w:pStyle w:val="TableParagraph"/>
              <w:ind w:left="79" w:right="85" w:firstLine="1"/>
              <w:rPr>
                <w:b/>
                <w:sz w:val="18"/>
              </w:rPr>
            </w:pPr>
            <w:r>
              <w:rPr>
                <w:b/>
                <w:sz w:val="18"/>
              </w:rPr>
              <w:t>Índice de marginación</w:t>
            </w:r>
            <w:r>
              <w:rPr>
                <w:b/>
                <w:w w:val="100"/>
                <w:sz w:val="18"/>
              </w:rPr>
              <w:t> </w:t>
            </w:r>
            <w:r>
              <w:rPr>
                <w:b/>
                <w:sz w:val="18"/>
              </w:rPr>
              <w:t>2005</w:t>
            </w:r>
          </w:p>
        </w:tc>
        <w:tc>
          <w:tcPr>
            <w:tcW w:w="1229" w:type="dxa"/>
            <w:shd w:val="clear" w:color="auto" w:fill="92D050"/>
          </w:tcPr>
          <w:p>
            <w:pPr>
              <w:pStyle w:val="TableParagraph"/>
              <w:spacing w:before="2"/>
              <w:jc w:val="left"/>
              <w:rPr>
                <w:sz w:val="17"/>
              </w:rPr>
            </w:pPr>
          </w:p>
          <w:p>
            <w:pPr>
              <w:pStyle w:val="TableParagraph"/>
              <w:ind w:left="280" w:right="134" w:hanging="135"/>
              <w:jc w:val="left"/>
              <w:rPr>
                <w:b/>
                <w:sz w:val="18"/>
              </w:rPr>
            </w:pPr>
            <w:r>
              <w:rPr>
                <w:b/>
                <w:sz w:val="18"/>
              </w:rPr>
              <w:t>Valoración IM 2005</w:t>
            </w:r>
          </w:p>
        </w:tc>
        <w:tc>
          <w:tcPr>
            <w:tcW w:w="2033" w:type="dxa"/>
            <w:gridSpan w:val="2"/>
            <w:shd w:val="clear" w:color="auto" w:fill="92D050"/>
          </w:tcPr>
          <w:p>
            <w:pPr>
              <w:pStyle w:val="TableParagraph"/>
              <w:spacing w:before="2"/>
              <w:jc w:val="left"/>
              <w:rPr>
                <w:sz w:val="17"/>
              </w:rPr>
            </w:pPr>
          </w:p>
          <w:p>
            <w:pPr>
              <w:pStyle w:val="TableParagraph"/>
              <w:ind w:left="199"/>
              <w:jc w:val="left"/>
              <w:rPr>
                <w:b/>
                <w:sz w:val="18"/>
              </w:rPr>
            </w:pPr>
            <w:r>
              <w:rPr>
                <w:b/>
                <w:sz w:val="18"/>
              </w:rPr>
              <w:t>Valoración IM 2010</w:t>
            </w:r>
          </w:p>
        </w:tc>
      </w:tr>
      <w:tr>
        <w:trPr>
          <w:trHeight w:val="293" w:hRule="exact"/>
        </w:trPr>
        <w:tc>
          <w:tcPr>
            <w:tcW w:w="2331" w:type="dxa"/>
          </w:tcPr>
          <w:p>
            <w:pPr>
              <w:pStyle w:val="TableParagraph"/>
              <w:spacing w:before="18"/>
              <w:ind w:left="64"/>
              <w:jc w:val="left"/>
              <w:rPr>
                <w:sz w:val="18"/>
              </w:rPr>
            </w:pPr>
            <w:r>
              <w:rPr>
                <w:sz w:val="18"/>
              </w:rPr>
              <w:t>Isidro Fabela</w:t>
            </w:r>
          </w:p>
        </w:tc>
        <w:tc>
          <w:tcPr>
            <w:tcW w:w="1248" w:type="dxa"/>
          </w:tcPr>
          <w:p>
            <w:pPr>
              <w:pStyle w:val="TableParagraph"/>
              <w:spacing w:before="18"/>
              <w:ind w:left="190" w:right="194"/>
              <w:rPr>
                <w:sz w:val="18"/>
              </w:rPr>
            </w:pPr>
            <w:r>
              <w:rPr>
                <w:sz w:val="18"/>
              </w:rPr>
              <w:t>0.23794</w:t>
            </w:r>
          </w:p>
        </w:tc>
        <w:tc>
          <w:tcPr>
            <w:tcW w:w="1229" w:type="dxa"/>
          </w:tcPr>
          <w:p>
            <w:pPr>
              <w:pStyle w:val="TableParagraph"/>
              <w:spacing w:before="18"/>
              <w:ind w:left="222" w:right="225"/>
              <w:rPr>
                <w:sz w:val="18"/>
              </w:rPr>
            </w:pPr>
            <w:r>
              <w:rPr>
                <w:sz w:val="18"/>
              </w:rPr>
              <w:t>Alto</w:t>
            </w:r>
          </w:p>
        </w:tc>
        <w:tc>
          <w:tcPr>
            <w:tcW w:w="1015" w:type="dxa"/>
          </w:tcPr>
          <w:p>
            <w:pPr>
              <w:pStyle w:val="TableParagraph"/>
              <w:spacing w:before="42"/>
              <w:ind w:right="244"/>
              <w:jc w:val="right"/>
              <w:rPr>
                <w:sz w:val="18"/>
              </w:rPr>
            </w:pPr>
            <w:r>
              <w:rPr>
                <w:sz w:val="18"/>
              </w:rPr>
              <w:t>-0.595</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20"/>
              <w:ind w:left="64"/>
              <w:jc w:val="left"/>
              <w:rPr>
                <w:sz w:val="18"/>
              </w:rPr>
            </w:pPr>
            <w:r>
              <w:rPr>
                <w:sz w:val="18"/>
              </w:rPr>
              <w:t>Ixtapaluca</w:t>
            </w:r>
          </w:p>
        </w:tc>
        <w:tc>
          <w:tcPr>
            <w:tcW w:w="1248" w:type="dxa"/>
          </w:tcPr>
          <w:p>
            <w:pPr>
              <w:pStyle w:val="TableParagraph"/>
              <w:spacing w:before="20"/>
              <w:ind w:left="193" w:right="194"/>
              <w:rPr>
                <w:sz w:val="18"/>
              </w:rPr>
            </w:pPr>
            <w:r>
              <w:rPr>
                <w:sz w:val="18"/>
              </w:rPr>
              <w:t>-0.103217</w:t>
            </w:r>
          </w:p>
        </w:tc>
        <w:tc>
          <w:tcPr>
            <w:tcW w:w="1229" w:type="dxa"/>
          </w:tcPr>
          <w:p>
            <w:pPr>
              <w:pStyle w:val="TableParagraph"/>
              <w:spacing w:before="20"/>
              <w:ind w:left="223" w:right="223"/>
              <w:rPr>
                <w:sz w:val="18"/>
              </w:rPr>
            </w:pPr>
            <w:r>
              <w:rPr>
                <w:sz w:val="18"/>
              </w:rPr>
              <w:t>Bajo</w:t>
            </w:r>
          </w:p>
        </w:tc>
        <w:tc>
          <w:tcPr>
            <w:tcW w:w="1015" w:type="dxa"/>
          </w:tcPr>
          <w:p>
            <w:pPr>
              <w:pStyle w:val="TableParagraph"/>
              <w:spacing w:before="42"/>
              <w:ind w:right="244"/>
              <w:jc w:val="right"/>
              <w:rPr>
                <w:sz w:val="18"/>
              </w:rPr>
            </w:pPr>
            <w:r>
              <w:rPr>
                <w:sz w:val="18"/>
              </w:rPr>
              <w:t>-1.519</w:t>
            </w:r>
          </w:p>
        </w:tc>
        <w:tc>
          <w:tcPr>
            <w:tcW w:w="1018" w:type="dxa"/>
          </w:tcPr>
          <w:p>
            <w:pPr>
              <w:pStyle w:val="TableParagraph"/>
              <w:spacing w:before="42"/>
              <w:ind w:left="117" w:right="119"/>
              <w:rPr>
                <w:sz w:val="18"/>
              </w:rPr>
            </w:pPr>
            <w:r>
              <w:rPr>
                <w:sz w:val="18"/>
              </w:rPr>
              <w:t>Muy bajo</w:t>
            </w:r>
          </w:p>
        </w:tc>
      </w:tr>
      <w:tr>
        <w:trPr>
          <w:trHeight w:val="293" w:hRule="exact"/>
        </w:trPr>
        <w:tc>
          <w:tcPr>
            <w:tcW w:w="2331" w:type="dxa"/>
          </w:tcPr>
          <w:p>
            <w:pPr>
              <w:pStyle w:val="TableParagraph"/>
              <w:spacing w:before="20"/>
              <w:ind w:left="64"/>
              <w:jc w:val="left"/>
              <w:rPr>
                <w:sz w:val="18"/>
              </w:rPr>
            </w:pPr>
            <w:r>
              <w:rPr>
                <w:sz w:val="18"/>
              </w:rPr>
              <w:t>Ixtapan de la Sal</w:t>
            </w:r>
          </w:p>
        </w:tc>
        <w:tc>
          <w:tcPr>
            <w:tcW w:w="1248" w:type="dxa"/>
          </w:tcPr>
          <w:p>
            <w:pPr>
              <w:pStyle w:val="TableParagraph"/>
              <w:spacing w:before="20"/>
              <w:ind w:left="190" w:right="194"/>
              <w:rPr>
                <w:sz w:val="18"/>
              </w:rPr>
            </w:pPr>
            <w:r>
              <w:rPr>
                <w:sz w:val="18"/>
              </w:rPr>
              <w:t>0.26653</w:t>
            </w:r>
          </w:p>
        </w:tc>
        <w:tc>
          <w:tcPr>
            <w:tcW w:w="1229" w:type="dxa"/>
          </w:tcPr>
          <w:p>
            <w:pPr>
              <w:pStyle w:val="TableParagraph"/>
              <w:spacing w:before="20"/>
              <w:ind w:left="222" w:right="225"/>
              <w:rPr>
                <w:sz w:val="18"/>
              </w:rPr>
            </w:pPr>
            <w:r>
              <w:rPr>
                <w:sz w:val="18"/>
              </w:rPr>
              <w:t>Alto</w:t>
            </w:r>
          </w:p>
        </w:tc>
        <w:tc>
          <w:tcPr>
            <w:tcW w:w="1015" w:type="dxa"/>
          </w:tcPr>
          <w:p>
            <w:pPr>
              <w:pStyle w:val="TableParagraph"/>
              <w:spacing w:before="42"/>
              <w:ind w:right="244"/>
              <w:jc w:val="right"/>
              <w:rPr>
                <w:sz w:val="18"/>
              </w:rPr>
            </w:pPr>
            <w:r>
              <w:rPr>
                <w:sz w:val="18"/>
              </w:rPr>
              <w:t>-0.539</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20"/>
              <w:ind w:left="64"/>
              <w:jc w:val="left"/>
              <w:rPr>
                <w:sz w:val="18"/>
              </w:rPr>
            </w:pPr>
            <w:r>
              <w:rPr>
                <w:sz w:val="18"/>
              </w:rPr>
              <w:t>Ixtapan del Oro</w:t>
            </w:r>
          </w:p>
        </w:tc>
        <w:tc>
          <w:tcPr>
            <w:tcW w:w="1248" w:type="dxa"/>
          </w:tcPr>
          <w:p>
            <w:pPr>
              <w:pStyle w:val="TableParagraph"/>
              <w:spacing w:before="20"/>
              <w:ind w:left="190" w:right="194"/>
              <w:rPr>
                <w:sz w:val="18"/>
              </w:rPr>
            </w:pPr>
            <w:r>
              <w:rPr>
                <w:sz w:val="18"/>
              </w:rPr>
              <w:t>1.44631</w:t>
            </w:r>
          </w:p>
        </w:tc>
        <w:tc>
          <w:tcPr>
            <w:tcW w:w="1229" w:type="dxa"/>
          </w:tcPr>
          <w:p>
            <w:pPr>
              <w:pStyle w:val="TableParagraph"/>
              <w:spacing w:before="20"/>
              <w:ind w:left="221" w:right="225"/>
              <w:rPr>
                <w:sz w:val="18"/>
              </w:rPr>
            </w:pPr>
            <w:r>
              <w:rPr>
                <w:sz w:val="18"/>
              </w:rPr>
              <w:t>Muy Alto</w:t>
            </w:r>
          </w:p>
        </w:tc>
        <w:tc>
          <w:tcPr>
            <w:tcW w:w="1015" w:type="dxa"/>
          </w:tcPr>
          <w:p>
            <w:pPr>
              <w:pStyle w:val="TableParagraph"/>
              <w:spacing w:before="42"/>
              <w:ind w:right="275"/>
              <w:jc w:val="right"/>
              <w:rPr>
                <w:sz w:val="18"/>
              </w:rPr>
            </w:pPr>
            <w:r>
              <w:rPr>
                <w:sz w:val="18"/>
              </w:rPr>
              <w:t>0.529</w:t>
            </w:r>
          </w:p>
        </w:tc>
        <w:tc>
          <w:tcPr>
            <w:tcW w:w="1018" w:type="dxa"/>
          </w:tcPr>
          <w:p>
            <w:pPr>
              <w:pStyle w:val="TableParagraph"/>
              <w:spacing w:before="42"/>
              <w:ind w:left="118" w:right="119"/>
              <w:rPr>
                <w:sz w:val="18"/>
              </w:rPr>
            </w:pPr>
            <w:r>
              <w:rPr>
                <w:sz w:val="18"/>
              </w:rPr>
              <w:t>Alto</w:t>
            </w:r>
          </w:p>
        </w:tc>
      </w:tr>
      <w:tr>
        <w:trPr>
          <w:trHeight w:val="293" w:hRule="exact"/>
        </w:trPr>
        <w:tc>
          <w:tcPr>
            <w:tcW w:w="2331" w:type="dxa"/>
          </w:tcPr>
          <w:p>
            <w:pPr>
              <w:pStyle w:val="TableParagraph"/>
              <w:spacing w:before="20"/>
              <w:ind w:left="64"/>
              <w:jc w:val="left"/>
              <w:rPr>
                <w:sz w:val="18"/>
              </w:rPr>
            </w:pPr>
            <w:r>
              <w:rPr>
                <w:sz w:val="18"/>
              </w:rPr>
              <w:t>Ixtlahuaca</w:t>
            </w:r>
          </w:p>
        </w:tc>
        <w:tc>
          <w:tcPr>
            <w:tcW w:w="1248" w:type="dxa"/>
          </w:tcPr>
          <w:p>
            <w:pPr>
              <w:pStyle w:val="TableParagraph"/>
              <w:spacing w:before="20"/>
              <w:ind w:left="190" w:right="194"/>
              <w:rPr>
                <w:sz w:val="18"/>
              </w:rPr>
            </w:pPr>
            <w:r>
              <w:rPr>
                <w:sz w:val="18"/>
              </w:rPr>
              <w:t>0.81727</w:t>
            </w:r>
          </w:p>
        </w:tc>
        <w:tc>
          <w:tcPr>
            <w:tcW w:w="1229" w:type="dxa"/>
          </w:tcPr>
          <w:p>
            <w:pPr>
              <w:pStyle w:val="TableParagraph"/>
              <w:spacing w:before="20"/>
              <w:ind w:left="222" w:right="225"/>
              <w:rPr>
                <w:sz w:val="18"/>
              </w:rPr>
            </w:pPr>
            <w:r>
              <w:rPr>
                <w:sz w:val="18"/>
              </w:rPr>
              <w:t>Alto</w:t>
            </w:r>
          </w:p>
        </w:tc>
        <w:tc>
          <w:tcPr>
            <w:tcW w:w="1015" w:type="dxa"/>
          </w:tcPr>
          <w:p>
            <w:pPr>
              <w:pStyle w:val="TableParagraph"/>
              <w:spacing w:before="42"/>
              <w:ind w:right="294"/>
              <w:jc w:val="right"/>
              <w:rPr>
                <w:sz w:val="18"/>
              </w:rPr>
            </w:pPr>
            <w:r>
              <w:rPr>
                <w:w w:val="95"/>
                <w:sz w:val="18"/>
              </w:rPr>
              <w:t>-0.18</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20"/>
              <w:ind w:left="64"/>
              <w:jc w:val="left"/>
              <w:rPr>
                <w:sz w:val="18"/>
              </w:rPr>
            </w:pPr>
            <w:r>
              <w:rPr>
                <w:sz w:val="18"/>
              </w:rPr>
              <w:t>Jaltenco</w:t>
            </w:r>
          </w:p>
        </w:tc>
        <w:tc>
          <w:tcPr>
            <w:tcW w:w="1248" w:type="dxa"/>
          </w:tcPr>
          <w:p>
            <w:pPr>
              <w:pStyle w:val="TableParagraph"/>
              <w:spacing w:before="20"/>
              <w:ind w:left="193" w:right="194"/>
              <w:rPr>
                <w:sz w:val="18"/>
              </w:rPr>
            </w:pPr>
            <w:r>
              <w:rPr>
                <w:sz w:val="18"/>
              </w:rPr>
              <w:t>-1.51565</w:t>
            </w:r>
          </w:p>
        </w:tc>
        <w:tc>
          <w:tcPr>
            <w:tcW w:w="1229" w:type="dxa"/>
          </w:tcPr>
          <w:p>
            <w:pPr>
              <w:pStyle w:val="TableParagraph"/>
              <w:spacing w:before="20"/>
              <w:ind w:left="223" w:right="225"/>
              <w:rPr>
                <w:sz w:val="18"/>
              </w:rPr>
            </w:pPr>
            <w:r>
              <w:rPr>
                <w:sz w:val="18"/>
              </w:rPr>
              <w:t>Muy bajo</w:t>
            </w:r>
          </w:p>
        </w:tc>
        <w:tc>
          <w:tcPr>
            <w:tcW w:w="1015" w:type="dxa"/>
          </w:tcPr>
          <w:p>
            <w:pPr>
              <w:pStyle w:val="TableParagraph"/>
              <w:spacing w:before="42"/>
              <w:ind w:right="294"/>
              <w:jc w:val="right"/>
              <w:rPr>
                <w:sz w:val="18"/>
              </w:rPr>
            </w:pPr>
            <w:r>
              <w:rPr>
                <w:w w:val="95"/>
                <w:sz w:val="18"/>
              </w:rPr>
              <w:t>-1.84</w:t>
            </w:r>
          </w:p>
        </w:tc>
        <w:tc>
          <w:tcPr>
            <w:tcW w:w="1018" w:type="dxa"/>
          </w:tcPr>
          <w:p>
            <w:pPr>
              <w:pStyle w:val="TableParagraph"/>
              <w:spacing w:before="42"/>
              <w:ind w:left="117" w:right="119"/>
              <w:rPr>
                <w:sz w:val="18"/>
              </w:rPr>
            </w:pPr>
            <w:r>
              <w:rPr>
                <w:sz w:val="18"/>
              </w:rPr>
              <w:t>Muy bajo</w:t>
            </w:r>
          </w:p>
        </w:tc>
      </w:tr>
      <w:tr>
        <w:trPr>
          <w:trHeight w:val="295" w:hRule="exact"/>
        </w:trPr>
        <w:tc>
          <w:tcPr>
            <w:tcW w:w="2331" w:type="dxa"/>
          </w:tcPr>
          <w:p>
            <w:pPr>
              <w:pStyle w:val="TableParagraph"/>
              <w:spacing w:before="20"/>
              <w:ind w:left="64"/>
              <w:jc w:val="left"/>
              <w:rPr>
                <w:sz w:val="18"/>
              </w:rPr>
            </w:pPr>
            <w:r>
              <w:rPr>
                <w:sz w:val="18"/>
              </w:rPr>
              <w:t>Jilotepec</w:t>
            </w:r>
          </w:p>
        </w:tc>
        <w:tc>
          <w:tcPr>
            <w:tcW w:w="1248" w:type="dxa"/>
          </w:tcPr>
          <w:p>
            <w:pPr>
              <w:pStyle w:val="TableParagraph"/>
              <w:spacing w:before="20"/>
              <w:ind w:left="190" w:right="194"/>
              <w:rPr>
                <w:sz w:val="18"/>
              </w:rPr>
            </w:pPr>
            <w:r>
              <w:rPr>
                <w:sz w:val="18"/>
              </w:rPr>
              <w:t>0.58386</w:t>
            </w:r>
          </w:p>
        </w:tc>
        <w:tc>
          <w:tcPr>
            <w:tcW w:w="1229" w:type="dxa"/>
          </w:tcPr>
          <w:p>
            <w:pPr>
              <w:pStyle w:val="TableParagraph"/>
              <w:spacing w:before="20"/>
              <w:ind w:left="222" w:right="225"/>
              <w:rPr>
                <w:sz w:val="18"/>
              </w:rPr>
            </w:pPr>
            <w:r>
              <w:rPr>
                <w:sz w:val="18"/>
              </w:rPr>
              <w:t>Alto</w:t>
            </w:r>
          </w:p>
        </w:tc>
        <w:tc>
          <w:tcPr>
            <w:tcW w:w="1015" w:type="dxa"/>
          </w:tcPr>
          <w:p>
            <w:pPr>
              <w:pStyle w:val="TableParagraph"/>
              <w:spacing w:before="42"/>
              <w:ind w:right="242"/>
              <w:jc w:val="right"/>
              <w:rPr>
                <w:sz w:val="18"/>
              </w:rPr>
            </w:pPr>
            <w:r>
              <w:rPr>
                <w:sz w:val="18"/>
              </w:rPr>
              <w:t>-0.332</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18"/>
              <w:ind w:left="64"/>
              <w:jc w:val="left"/>
              <w:rPr>
                <w:sz w:val="18"/>
              </w:rPr>
            </w:pPr>
            <w:r>
              <w:rPr>
                <w:sz w:val="18"/>
              </w:rPr>
              <w:t>Jilotzingo</w:t>
            </w:r>
          </w:p>
        </w:tc>
        <w:tc>
          <w:tcPr>
            <w:tcW w:w="1248" w:type="dxa"/>
          </w:tcPr>
          <w:p>
            <w:pPr>
              <w:pStyle w:val="TableParagraph"/>
              <w:spacing w:before="18"/>
              <w:ind w:left="193" w:right="194"/>
              <w:rPr>
                <w:sz w:val="18"/>
              </w:rPr>
            </w:pPr>
            <w:r>
              <w:rPr>
                <w:sz w:val="18"/>
              </w:rPr>
              <w:t>-0.1823</w:t>
            </w:r>
          </w:p>
        </w:tc>
        <w:tc>
          <w:tcPr>
            <w:tcW w:w="1229" w:type="dxa"/>
          </w:tcPr>
          <w:p>
            <w:pPr>
              <w:pStyle w:val="TableParagraph"/>
              <w:spacing w:before="18"/>
              <w:ind w:left="221" w:right="225"/>
              <w:rPr>
                <w:sz w:val="18"/>
              </w:rPr>
            </w:pPr>
            <w:r>
              <w:rPr>
                <w:sz w:val="18"/>
              </w:rPr>
              <w:t>Medio</w:t>
            </w:r>
          </w:p>
        </w:tc>
        <w:tc>
          <w:tcPr>
            <w:tcW w:w="1015" w:type="dxa"/>
          </w:tcPr>
          <w:p>
            <w:pPr>
              <w:pStyle w:val="TableParagraph"/>
              <w:spacing w:before="39"/>
              <w:ind w:right="244"/>
              <w:jc w:val="right"/>
              <w:rPr>
                <w:sz w:val="18"/>
              </w:rPr>
            </w:pPr>
            <w:r>
              <w:rPr>
                <w:sz w:val="18"/>
              </w:rPr>
              <w:t>-0.917</w:t>
            </w:r>
          </w:p>
        </w:tc>
        <w:tc>
          <w:tcPr>
            <w:tcW w:w="1018" w:type="dxa"/>
          </w:tcPr>
          <w:p>
            <w:pPr>
              <w:pStyle w:val="TableParagraph"/>
              <w:spacing w:before="39"/>
              <w:ind w:left="118" w:right="119"/>
              <w:rPr>
                <w:sz w:val="18"/>
              </w:rPr>
            </w:pPr>
            <w:r>
              <w:rPr>
                <w:sz w:val="18"/>
              </w:rPr>
              <w:t>Bajo</w:t>
            </w:r>
          </w:p>
        </w:tc>
      </w:tr>
      <w:tr>
        <w:trPr>
          <w:trHeight w:val="293" w:hRule="exact"/>
        </w:trPr>
        <w:tc>
          <w:tcPr>
            <w:tcW w:w="2331" w:type="dxa"/>
          </w:tcPr>
          <w:p>
            <w:pPr>
              <w:pStyle w:val="TableParagraph"/>
              <w:spacing w:before="18"/>
              <w:ind w:left="64"/>
              <w:jc w:val="left"/>
              <w:rPr>
                <w:sz w:val="18"/>
              </w:rPr>
            </w:pPr>
            <w:r>
              <w:rPr>
                <w:sz w:val="18"/>
              </w:rPr>
              <w:t>Jiquipilco</w:t>
            </w:r>
          </w:p>
        </w:tc>
        <w:tc>
          <w:tcPr>
            <w:tcW w:w="1248" w:type="dxa"/>
          </w:tcPr>
          <w:p>
            <w:pPr>
              <w:pStyle w:val="TableParagraph"/>
              <w:spacing w:before="18"/>
              <w:ind w:left="190" w:right="194"/>
              <w:rPr>
                <w:sz w:val="18"/>
              </w:rPr>
            </w:pPr>
            <w:r>
              <w:rPr>
                <w:sz w:val="18"/>
              </w:rPr>
              <w:t>0.99124</w:t>
            </w:r>
          </w:p>
        </w:tc>
        <w:tc>
          <w:tcPr>
            <w:tcW w:w="1229" w:type="dxa"/>
          </w:tcPr>
          <w:p>
            <w:pPr>
              <w:pStyle w:val="TableParagraph"/>
              <w:spacing w:before="18"/>
              <w:ind w:left="222" w:right="225"/>
              <w:rPr>
                <w:sz w:val="18"/>
              </w:rPr>
            </w:pPr>
            <w:r>
              <w:rPr>
                <w:sz w:val="18"/>
              </w:rPr>
              <w:t>Alto</w:t>
            </w:r>
          </w:p>
        </w:tc>
        <w:tc>
          <w:tcPr>
            <w:tcW w:w="1015" w:type="dxa"/>
          </w:tcPr>
          <w:p>
            <w:pPr>
              <w:pStyle w:val="TableParagraph"/>
              <w:spacing w:before="42"/>
              <w:ind w:right="244"/>
              <w:jc w:val="right"/>
              <w:rPr>
                <w:sz w:val="18"/>
              </w:rPr>
            </w:pPr>
            <w:r>
              <w:rPr>
                <w:sz w:val="18"/>
              </w:rPr>
              <w:t>-0.082</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18"/>
              <w:ind w:left="64"/>
              <w:jc w:val="left"/>
              <w:rPr>
                <w:sz w:val="18"/>
              </w:rPr>
            </w:pPr>
            <w:r>
              <w:rPr>
                <w:sz w:val="18"/>
              </w:rPr>
              <w:t>Jocotitlán</w:t>
            </w:r>
          </w:p>
        </w:tc>
        <w:tc>
          <w:tcPr>
            <w:tcW w:w="1248" w:type="dxa"/>
          </w:tcPr>
          <w:p>
            <w:pPr>
              <w:pStyle w:val="TableParagraph"/>
              <w:spacing w:before="18"/>
              <w:ind w:left="190" w:right="194"/>
              <w:rPr>
                <w:sz w:val="18"/>
              </w:rPr>
            </w:pPr>
            <w:r>
              <w:rPr>
                <w:sz w:val="18"/>
              </w:rPr>
              <w:t>0.06875</w:t>
            </w:r>
          </w:p>
        </w:tc>
        <w:tc>
          <w:tcPr>
            <w:tcW w:w="1229" w:type="dxa"/>
          </w:tcPr>
          <w:p>
            <w:pPr>
              <w:pStyle w:val="TableParagraph"/>
              <w:spacing w:before="18"/>
              <w:ind w:left="222" w:right="225"/>
              <w:rPr>
                <w:sz w:val="18"/>
              </w:rPr>
            </w:pPr>
            <w:r>
              <w:rPr>
                <w:sz w:val="18"/>
              </w:rPr>
              <w:t>Alto</w:t>
            </w:r>
          </w:p>
        </w:tc>
        <w:tc>
          <w:tcPr>
            <w:tcW w:w="1015" w:type="dxa"/>
          </w:tcPr>
          <w:p>
            <w:pPr>
              <w:pStyle w:val="TableParagraph"/>
              <w:spacing w:before="42"/>
              <w:ind w:right="244"/>
              <w:jc w:val="right"/>
              <w:rPr>
                <w:sz w:val="18"/>
              </w:rPr>
            </w:pPr>
            <w:r>
              <w:rPr>
                <w:sz w:val="18"/>
              </w:rPr>
              <w:t>-0.592</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18"/>
              <w:ind w:left="64"/>
              <w:jc w:val="left"/>
              <w:rPr>
                <w:sz w:val="18"/>
              </w:rPr>
            </w:pPr>
            <w:r>
              <w:rPr>
                <w:sz w:val="18"/>
              </w:rPr>
              <w:t>Joquicingo</w:t>
            </w:r>
          </w:p>
        </w:tc>
        <w:tc>
          <w:tcPr>
            <w:tcW w:w="1248" w:type="dxa"/>
          </w:tcPr>
          <w:p>
            <w:pPr>
              <w:pStyle w:val="TableParagraph"/>
              <w:spacing w:before="18"/>
              <w:ind w:left="190" w:right="194"/>
              <w:rPr>
                <w:sz w:val="18"/>
              </w:rPr>
            </w:pPr>
            <w:r>
              <w:rPr>
                <w:sz w:val="18"/>
              </w:rPr>
              <w:t>0.27195</w:t>
            </w:r>
          </w:p>
        </w:tc>
        <w:tc>
          <w:tcPr>
            <w:tcW w:w="1229" w:type="dxa"/>
          </w:tcPr>
          <w:p>
            <w:pPr>
              <w:pStyle w:val="TableParagraph"/>
              <w:spacing w:before="18"/>
              <w:ind w:left="222" w:right="225"/>
              <w:rPr>
                <w:sz w:val="18"/>
              </w:rPr>
            </w:pPr>
            <w:r>
              <w:rPr>
                <w:sz w:val="18"/>
              </w:rPr>
              <w:t>Alto</w:t>
            </w:r>
          </w:p>
        </w:tc>
        <w:tc>
          <w:tcPr>
            <w:tcW w:w="1015" w:type="dxa"/>
          </w:tcPr>
          <w:p>
            <w:pPr>
              <w:pStyle w:val="TableParagraph"/>
              <w:spacing w:before="42"/>
              <w:ind w:right="244"/>
              <w:jc w:val="right"/>
              <w:rPr>
                <w:sz w:val="18"/>
              </w:rPr>
            </w:pPr>
            <w:r>
              <w:rPr>
                <w:sz w:val="18"/>
              </w:rPr>
              <w:t>-0.285</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18"/>
              <w:ind w:left="64"/>
              <w:jc w:val="left"/>
              <w:rPr>
                <w:sz w:val="18"/>
              </w:rPr>
            </w:pPr>
            <w:r>
              <w:rPr>
                <w:sz w:val="18"/>
              </w:rPr>
              <w:t>Juchitepec</w:t>
            </w:r>
          </w:p>
        </w:tc>
        <w:tc>
          <w:tcPr>
            <w:tcW w:w="1248" w:type="dxa"/>
          </w:tcPr>
          <w:p>
            <w:pPr>
              <w:pStyle w:val="TableParagraph"/>
              <w:spacing w:before="18"/>
              <w:ind w:left="193" w:right="194"/>
              <w:rPr>
                <w:sz w:val="18"/>
              </w:rPr>
            </w:pPr>
            <w:r>
              <w:rPr>
                <w:sz w:val="18"/>
              </w:rPr>
              <w:t>-0.19151</w:t>
            </w:r>
          </w:p>
        </w:tc>
        <w:tc>
          <w:tcPr>
            <w:tcW w:w="1229" w:type="dxa"/>
          </w:tcPr>
          <w:p>
            <w:pPr>
              <w:pStyle w:val="TableParagraph"/>
              <w:spacing w:before="18"/>
              <w:ind w:left="221" w:right="225"/>
              <w:rPr>
                <w:sz w:val="18"/>
              </w:rPr>
            </w:pPr>
            <w:r>
              <w:rPr>
                <w:sz w:val="18"/>
              </w:rPr>
              <w:t>Medio</w:t>
            </w:r>
          </w:p>
        </w:tc>
        <w:tc>
          <w:tcPr>
            <w:tcW w:w="1015" w:type="dxa"/>
          </w:tcPr>
          <w:p>
            <w:pPr>
              <w:pStyle w:val="TableParagraph"/>
              <w:spacing w:before="42"/>
              <w:ind w:right="244"/>
              <w:jc w:val="right"/>
              <w:rPr>
                <w:sz w:val="18"/>
              </w:rPr>
            </w:pPr>
            <w:r>
              <w:rPr>
                <w:sz w:val="18"/>
              </w:rPr>
              <w:t>-0.866</w:t>
            </w:r>
          </w:p>
        </w:tc>
        <w:tc>
          <w:tcPr>
            <w:tcW w:w="1018" w:type="dxa"/>
          </w:tcPr>
          <w:p>
            <w:pPr>
              <w:pStyle w:val="TableParagraph"/>
              <w:spacing w:before="42"/>
              <w:ind w:left="118" w:right="119"/>
              <w:rPr>
                <w:sz w:val="18"/>
              </w:rPr>
            </w:pPr>
            <w:r>
              <w:rPr>
                <w:sz w:val="18"/>
              </w:rPr>
              <w:t>Bajo</w:t>
            </w:r>
          </w:p>
        </w:tc>
      </w:tr>
      <w:tr>
        <w:trPr>
          <w:trHeight w:val="293" w:hRule="exact"/>
        </w:trPr>
        <w:tc>
          <w:tcPr>
            <w:tcW w:w="2331" w:type="dxa"/>
          </w:tcPr>
          <w:p>
            <w:pPr>
              <w:pStyle w:val="TableParagraph"/>
              <w:spacing w:before="18"/>
              <w:ind w:left="64"/>
              <w:jc w:val="left"/>
              <w:rPr>
                <w:sz w:val="18"/>
              </w:rPr>
            </w:pPr>
            <w:r>
              <w:rPr>
                <w:sz w:val="18"/>
              </w:rPr>
              <w:t>La Paz</w:t>
            </w:r>
          </w:p>
        </w:tc>
        <w:tc>
          <w:tcPr>
            <w:tcW w:w="1248" w:type="dxa"/>
          </w:tcPr>
          <w:p>
            <w:pPr>
              <w:pStyle w:val="TableParagraph"/>
              <w:spacing w:before="18"/>
              <w:ind w:left="193" w:right="194"/>
              <w:rPr>
                <w:sz w:val="18"/>
              </w:rPr>
            </w:pPr>
            <w:r>
              <w:rPr>
                <w:sz w:val="18"/>
              </w:rPr>
              <w:t>-0.78029</w:t>
            </w:r>
          </w:p>
        </w:tc>
        <w:tc>
          <w:tcPr>
            <w:tcW w:w="1229" w:type="dxa"/>
          </w:tcPr>
          <w:p>
            <w:pPr>
              <w:pStyle w:val="TableParagraph"/>
              <w:spacing w:before="18"/>
              <w:ind w:left="223" w:right="223"/>
              <w:rPr>
                <w:sz w:val="18"/>
              </w:rPr>
            </w:pPr>
            <w:r>
              <w:rPr>
                <w:sz w:val="18"/>
              </w:rPr>
              <w:t>Bajo</w:t>
            </w:r>
          </w:p>
        </w:tc>
        <w:tc>
          <w:tcPr>
            <w:tcW w:w="1015" w:type="dxa"/>
          </w:tcPr>
          <w:p>
            <w:pPr>
              <w:pStyle w:val="TableParagraph"/>
              <w:spacing w:before="42"/>
              <w:ind w:right="244"/>
              <w:jc w:val="right"/>
              <w:rPr>
                <w:sz w:val="18"/>
              </w:rPr>
            </w:pPr>
            <w:r>
              <w:rPr>
                <w:sz w:val="18"/>
              </w:rPr>
              <w:t>-1.221</w:t>
            </w:r>
          </w:p>
        </w:tc>
        <w:tc>
          <w:tcPr>
            <w:tcW w:w="1018" w:type="dxa"/>
          </w:tcPr>
          <w:p>
            <w:pPr>
              <w:pStyle w:val="TableParagraph"/>
              <w:spacing w:before="42"/>
              <w:ind w:left="118" w:right="119"/>
              <w:rPr>
                <w:sz w:val="18"/>
              </w:rPr>
            </w:pPr>
            <w:r>
              <w:rPr>
                <w:sz w:val="18"/>
              </w:rPr>
              <w:t>Bajo</w:t>
            </w:r>
          </w:p>
        </w:tc>
      </w:tr>
      <w:tr>
        <w:trPr>
          <w:trHeight w:val="293" w:hRule="exact"/>
        </w:trPr>
        <w:tc>
          <w:tcPr>
            <w:tcW w:w="2331" w:type="dxa"/>
          </w:tcPr>
          <w:p>
            <w:pPr>
              <w:pStyle w:val="TableParagraph"/>
              <w:spacing w:before="20"/>
              <w:ind w:left="64"/>
              <w:jc w:val="left"/>
              <w:rPr>
                <w:sz w:val="18"/>
              </w:rPr>
            </w:pPr>
            <w:r>
              <w:rPr>
                <w:sz w:val="18"/>
              </w:rPr>
              <w:t>Lerma</w:t>
            </w:r>
          </w:p>
        </w:tc>
        <w:tc>
          <w:tcPr>
            <w:tcW w:w="1248" w:type="dxa"/>
          </w:tcPr>
          <w:p>
            <w:pPr>
              <w:pStyle w:val="TableParagraph"/>
              <w:spacing w:before="20"/>
              <w:ind w:left="193" w:right="194"/>
              <w:rPr>
                <w:sz w:val="18"/>
              </w:rPr>
            </w:pPr>
            <w:r>
              <w:rPr>
                <w:sz w:val="18"/>
              </w:rPr>
              <w:t>-0.67636</w:t>
            </w:r>
          </w:p>
        </w:tc>
        <w:tc>
          <w:tcPr>
            <w:tcW w:w="1229" w:type="dxa"/>
          </w:tcPr>
          <w:p>
            <w:pPr>
              <w:pStyle w:val="TableParagraph"/>
              <w:spacing w:before="20"/>
              <w:ind w:left="223" w:right="223"/>
              <w:rPr>
                <w:sz w:val="18"/>
              </w:rPr>
            </w:pPr>
            <w:r>
              <w:rPr>
                <w:sz w:val="18"/>
              </w:rPr>
              <w:t>Bajo</w:t>
            </w:r>
          </w:p>
        </w:tc>
        <w:tc>
          <w:tcPr>
            <w:tcW w:w="1015" w:type="dxa"/>
          </w:tcPr>
          <w:p>
            <w:pPr>
              <w:pStyle w:val="TableParagraph"/>
              <w:spacing w:before="42"/>
              <w:ind w:right="244"/>
              <w:jc w:val="right"/>
              <w:rPr>
                <w:sz w:val="18"/>
              </w:rPr>
            </w:pPr>
            <w:r>
              <w:rPr>
                <w:sz w:val="18"/>
              </w:rPr>
              <w:t>-1.281</w:t>
            </w:r>
          </w:p>
        </w:tc>
        <w:tc>
          <w:tcPr>
            <w:tcW w:w="1018" w:type="dxa"/>
          </w:tcPr>
          <w:p>
            <w:pPr>
              <w:pStyle w:val="TableParagraph"/>
              <w:spacing w:before="42"/>
              <w:ind w:left="117" w:right="119"/>
              <w:rPr>
                <w:sz w:val="18"/>
              </w:rPr>
            </w:pPr>
            <w:r>
              <w:rPr>
                <w:sz w:val="18"/>
              </w:rPr>
              <w:t>Muy bajo</w:t>
            </w:r>
          </w:p>
        </w:tc>
      </w:tr>
      <w:tr>
        <w:trPr>
          <w:trHeight w:val="293" w:hRule="exact"/>
        </w:trPr>
        <w:tc>
          <w:tcPr>
            <w:tcW w:w="2331" w:type="dxa"/>
          </w:tcPr>
          <w:p>
            <w:pPr>
              <w:pStyle w:val="TableParagraph"/>
              <w:spacing w:before="20"/>
              <w:ind w:left="64"/>
              <w:jc w:val="left"/>
              <w:rPr>
                <w:sz w:val="18"/>
              </w:rPr>
            </w:pPr>
            <w:r>
              <w:rPr>
                <w:sz w:val="18"/>
              </w:rPr>
              <w:t>Luvianos</w:t>
            </w:r>
          </w:p>
        </w:tc>
        <w:tc>
          <w:tcPr>
            <w:tcW w:w="1248" w:type="dxa"/>
          </w:tcPr>
          <w:p>
            <w:pPr/>
          </w:p>
        </w:tc>
        <w:tc>
          <w:tcPr>
            <w:tcW w:w="1229" w:type="dxa"/>
          </w:tcPr>
          <w:p>
            <w:pPr/>
          </w:p>
        </w:tc>
        <w:tc>
          <w:tcPr>
            <w:tcW w:w="1015" w:type="dxa"/>
          </w:tcPr>
          <w:p>
            <w:pPr>
              <w:pStyle w:val="TableParagraph"/>
              <w:spacing w:before="42"/>
              <w:ind w:right="275"/>
              <w:jc w:val="right"/>
              <w:rPr>
                <w:sz w:val="18"/>
              </w:rPr>
            </w:pPr>
            <w:r>
              <w:rPr>
                <w:sz w:val="18"/>
              </w:rPr>
              <w:t>0.913</w:t>
            </w:r>
          </w:p>
        </w:tc>
        <w:tc>
          <w:tcPr>
            <w:tcW w:w="1018" w:type="dxa"/>
          </w:tcPr>
          <w:p>
            <w:pPr>
              <w:pStyle w:val="TableParagraph"/>
              <w:spacing w:before="42"/>
              <w:ind w:left="118" w:right="119"/>
              <w:rPr>
                <w:sz w:val="18"/>
              </w:rPr>
            </w:pPr>
            <w:r>
              <w:rPr>
                <w:sz w:val="18"/>
              </w:rPr>
              <w:t>Alto</w:t>
            </w:r>
          </w:p>
        </w:tc>
      </w:tr>
      <w:tr>
        <w:trPr>
          <w:trHeight w:val="293" w:hRule="exact"/>
        </w:trPr>
        <w:tc>
          <w:tcPr>
            <w:tcW w:w="2331" w:type="dxa"/>
          </w:tcPr>
          <w:p>
            <w:pPr>
              <w:pStyle w:val="TableParagraph"/>
              <w:spacing w:before="20"/>
              <w:ind w:left="64"/>
              <w:jc w:val="left"/>
              <w:rPr>
                <w:sz w:val="18"/>
              </w:rPr>
            </w:pPr>
            <w:r>
              <w:rPr>
                <w:sz w:val="18"/>
              </w:rPr>
              <w:t>Malinalco</w:t>
            </w:r>
          </w:p>
        </w:tc>
        <w:tc>
          <w:tcPr>
            <w:tcW w:w="1248" w:type="dxa"/>
          </w:tcPr>
          <w:p>
            <w:pPr>
              <w:pStyle w:val="TableParagraph"/>
              <w:spacing w:before="20"/>
              <w:ind w:left="190" w:right="194"/>
              <w:rPr>
                <w:sz w:val="18"/>
              </w:rPr>
            </w:pPr>
            <w:r>
              <w:rPr>
                <w:sz w:val="18"/>
              </w:rPr>
              <w:t>0.76221</w:t>
            </w:r>
          </w:p>
        </w:tc>
        <w:tc>
          <w:tcPr>
            <w:tcW w:w="1229" w:type="dxa"/>
          </w:tcPr>
          <w:p>
            <w:pPr>
              <w:pStyle w:val="TableParagraph"/>
              <w:spacing w:before="20"/>
              <w:ind w:left="222" w:right="225"/>
              <w:rPr>
                <w:sz w:val="18"/>
              </w:rPr>
            </w:pPr>
            <w:r>
              <w:rPr>
                <w:sz w:val="18"/>
              </w:rPr>
              <w:t>Alto</w:t>
            </w:r>
          </w:p>
        </w:tc>
        <w:tc>
          <w:tcPr>
            <w:tcW w:w="1015" w:type="dxa"/>
          </w:tcPr>
          <w:p>
            <w:pPr>
              <w:pStyle w:val="TableParagraph"/>
              <w:spacing w:before="42"/>
              <w:ind w:right="244"/>
              <w:jc w:val="right"/>
              <w:rPr>
                <w:sz w:val="18"/>
              </w:rPr>
            </w:pPr>
            <w:r>
              <w:rPr>
                <w:sz w:val="18"/>
              </w:rPr>
              <w:t>-0.155</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20"/>
              <w:ind w:left="64"/>
              <w:jc w:val="left"/>
              <w:rPr>
                <w:sz w:val="18"/>
              </w:rPr>
            </w:pPr>
            <w:r>
              <w:rPr>
                <w:sz w:val="18"/>
              </w:rPr>
              <w:t>Melchor Ocampo</w:t>
            </w:r>
          </w:p>
        </w:tc>
        <w:tc>
          <w:tcPr>
            <w:tcW w:w="1248" w:type="dxa"/>
          </w:tcPr>
          <w:p>
            <w:pPr>
              <w:pStyle w:val="TableParagraph"/>
              <w:spacing w:before="20"/>
              <w:ind w:left="193" w:right="194"/>
              <w:rPr>
                <w:sz w:val="18"/>
              </w:rPr>
            </w:pPr>
            <w:r>
              <w:rPr>
                <w:sz w:val="18"/>
              </w:rPr>
              <w:t>-0.86518</w:t>
            </w:r>
          </w:p>
        </w:tc>
        <w:tc>
          <w:tcPr>
            <w:tcW w:w="1229" w:type="dxa"/>
          </w:tcPr>
          <w:p>
            <w:pPr>
              <w:pStyle w:val="TableParagraph"/>
              <w:spacing w:before="20"/>
              <w:ind w:left="223" w:right="223"/>
              <w:rPr>
                <w:sz w:val="18"/>
              </w:rPr>
            </w:pPr>
            <w:r>
              <w:rPr>
                <w:sz w:val="18"/>
              </w:rPr>
              <w:t>Bajo</w:t>
            </w:r>
          </w:p>
        </w:tc>
        <w:tc>
          <w:tcPr>
            <w:tcW w:w="1015" w:type="dxa"/>
          </w:tcPr>
          <w:p>
            <w:pPr>
              <w:pStyle w:val="TableParagraph"/>
              <w:spacing w:before="42"/>
              <w:ind w:right="244"/>
              <w:jc w:val="right"/>
              <w:rPr>
                <w:sz w:val="18"/>
              </w:rPr>
            </w:pPr>
            <w:r>
              <w:rPr>
                <w:sz w:val="18"/>
              </w:rPr>
              <w:t>-1.356</w:t>
            </w:r>
          </w:p>
        </w:tc>
        <w:tc>
          <w:tcPr>
            <w:tcW w:w="1018" w:type="dxa"/>
          </w:tcPr>
          <w:p>
            <w:pPr>
              <w:pStyle w:val="TableParagraph"/>
              <w:spacing w:before="42"/>
              <w:ind w:left="117" w:right="119"/>
              <w:rPr>
                <w:sz w:val="18"/>
              </w:rPr>
            </w:pPr>
            <w:r>
              <w:rPr>
                <w:sz w:val="18"/>
              </w:rPr>
              <w:t>Muy bajo</w:t>
            </w:r>
          </w:p>
        </w:tc>
      </w:tr>
      <w:tr>
        <w:trPr>
          <w:trHeight w:val="293" w:hRule="exact"/>
        </w:trPr>
        <w:tc>
          <w:tcPr>
            <w:tcW w:w="2331" w:type="dxa"/>
          </w:tcPr>
          <w:p>
            <w:pPr>
              <w:pStyle w:val="TableParagraph"/>
              <w:spacing w:before="20"/>
              <w:ind w:left="64"/>
              <w:jc w:val="left"/>
              <w:rPr>
                <w:sz w:val="18"/>
              </w:rPr>
            </w:pPr>
            <w:r>
              <w:rPr>
                <w:sz w:val="18"/>
              </w:rPr>
              <w:t>Metepec</w:t>
            </w:r>
          </w:p>
        </w:tc>
        <w:tc>
          <w:tcPr>
            <w:tcW w:w="1248" w:type="dxa"/>
          </w:tcPr>
          <w:p>
            <w:pPr>
              <w:pStyle w:val="TableParagraph"/>
              <w:spacing w:before="20"/>
              <w:ind w:left="193" w:right="194"/>
              <w:rPr>
                <w:sz w:val="18"/>
              </w:rPr>
            </w:pPr>
            <w:r>
              <w:rPr>
                <w:sz w:val="18"/>
              </w:rPr>
              <w:t>-1.56605</w:t>
            </w:r>
          </w:p>
        </w:tc>
        <w:tc>
          <w:tcPr>
            <w:tcW w:w="1229" w:type="dxa"/>
          </w:tcPr>
          <w:p>
            <w:pPr>
              <w:pStyle w:val="TableParagraph"/>
              <w:spacing w:before="20"/>
              <w:ind w:left="223" w:right="225"/>
              <w:rPr>
                <w:sz w:val="18"/>
              </w:rPr>
            </w:pPr>
            <w:r>
              <w:rPr>
                <w:sz w:val="18"/>
              </w:rPr>
              <w:t>Muy bajo</w:t>
            </w:r>
          </w:p>
        </w:tc>
        <w:tc>
          <w:tcPr>
            <w:tcW w:w="1015" w:type="dxa"/>
          </w:tcPr>
          <w:p>
            <w:pPr>
              <w:pStyle w:val="TableParagraph"/>
              <w:spacing w:before="42"/>
              <w:ind w:right="244"/>
              <w:jc w:val="right"/>
              <w:rPr>
                <w:sz w:val="18"/>
              </w:rPr>
            </w:pPr>
            <w:r>
              <w:rPr>
                <w:sz w:val="18"/>
              </w:rPr>
              <w:t>-1.965</w:t>
            </w:r>
          </w:p>
        </w:tc>
        <w:tc>
          <w:tcPr>
            <w:tcW w:w="1018" w:type="dxa"/>
          </w:tcPr>
          <w:p>
            <w:pPr>
              <w:pStyle w:val="TableParagraph"/>
              <w:spacing w:before="42"/>
              <w:ind w:left="117" w:right="119"/>
              <w:rPr>
                <w:sz w:val="18"/>
              </w:rPr>
            </w:pPr>
            <w:r>
              <w:rPr>
                <w:sz w:val="18"/>
              </w:rPr>
              <w:t>Muy bajo</w:t>
            </w:r>
          </w:p>
        </w:tc>
      </w:tr>
      <w:tr>
        <w:trPr>
          <w:trHeight w:val="295" w:hRule="exact"/>
        </w:trPr>
        <w:tc>
          <w:tcPr>
            <w:tcW w:w="2331" w:type="dxa"/>
          </w:tcPr>
          <w:p>
            <w:pPr>
              <w:pStyle w:val="TableParagraph"/>
              <w:spacing w:before="20"/>
              <w:ind w:left="64"/>
              <w:jc w:val="left"/>
              <w:rPr>
                <w:sz w:val="18"/>
              </w:rPr>
            </w:pPr>
            <w:r>
              <w:rPr>
                <w:sz w:val="18"/>
              </w:rPr>
              <w:t>Mexicaltzingo</w:t>
            </w:r>
          </w:p>
        </w:tc>
        <w:tc>
          <w:tcPr>
            <w:tcW w:w="1248" w:type="dxa"/>
          </w:tcPr>
          <w:p>
            <w:pPr>
              <w:pStyle w:val="TableParagraph"/>
              <w:spacing w:before="20"/>
              <w:ind w:left="193" w:right="194"/>
              <w:rPr>
                <w:sz w:val="18"/>
              </w:rPr>
            </w:pPr>
            <w:r>
              <w:rPr>
                <w:sz w:val="18"/>
              </w:rPr>
              <w:t>-0.70296</w:t>
            </w:r>
          </w:p>
        </w:tc>
        <w:tc>
          <w:tcPr>
            <w:tcW w:w="1229" w:type="dxa"/>
          </w:tcPr>
          <w:p>
            <w:pPr>
              <w:pStyle w:val="TableParagraph"/>
              <w:spacing w:before="20"/>
              <w:ind w:left="223" w:right="223"/>
              <w:rPr>
                <w:sz w:val="18"/>
              </w:rPr>
            </w:pPr>
            <w:r>
              <w:rPr>
                <w:sz w:val="18"/>
              </w:rPr>
              <w:t>Bajo</w:t>
            </w:r>
          </w:p>
        </w:tc>
        <w:tc>
          <w:tcPr>
            <w:tcW w:w="1015" w:type="dxa"/>
          </w:tcPr>
          <w:p>
            <w:pPr>
              <w:pStyle w:val="TableParagraph"/>
              <w:spacing w:before="42"/>
              <w:ind w:right="244"/>
              <w:jc w:val="right"/>
              <w:rPr>
                <w:sz w:val="18"/>
              </w:rPr>
            </w:pPr>
            <w:r>
              <w:rPr>
                <w:sz w:val="18"/>
              </w:rPr>
              <w:t>-1.423</w:t>
            </w:r>
          </w:p>
        </w:tc>
        <w:tc>
          <w:tcPr>
            <w:tcW w:w="1018" w:type="dxa"/>
          </w:tcPr>
          <w:p>
            <w:pPr>
              <w:pStyle w:val="TableParagraph"/>
              <w:spacing w:before="42"/>
              <w:ind w:left="117" w:right="119"/>
              <w:rPr>
                <w:sz w:val="18"/>
              </w:rPr>
            </w:pPr>
            <w:r>
              <w:rPr>
                <w:sz w:val="18"/>
              </w:rPr>
              <w:t>Muy bajo</w:t>
            </w:r>
          </w:p>
        </w:tc>
      </w:tr>
      <w:tr>
        <w:trPr>
          <w:trHeight w:val="293" w:hRule="exact"/>
        </w:trPr>
        <w:tc>
          <w:tcPr>
            <w:tcW w:w="2331" w:type="dxa"/>
          </w:tcPr>
          <w:p>
            <w:pPr>
              <w:pStyle w:val="TableParagraph"/>
              <w:spacing w:before="18"/>
              <w:ind w:left="64"/>
              <w:jc w:val="left"/>
              <w:rPr>
                <w:sz w:val="18"/>
              </w:rPr>
            </w:pPr>
            <w:r>
              <w:rPr>
                <w:sz w:val="18"/>
              </w:rPr>
              <w:t>Morelos</w:t>
            </w:r>
          </w:p>
        </w:tc>
        <w:tc>
          <w:tcPr>
            <w:tcW w:w="1248" w:type="dxa"/>
          </w:tcPr>
          <w:p>
            <w:pPr>
              <w:pStyle w:val="TableParagraph"/>
              <w:spacing w:before="18"/>
              <w:ind w:left="190" w:right="194"/>
              <w:rPr>
                <w:sz w:val="18"/>
              </w:rPr>
            </w:pPr>
            <w:r>
              <w:rPr>
                <w:sz w:val="18"/>
              </w:rPr>
              <w:t>1.85077</w:t>
            </w:r>
          </w:p>
        </w:tc>
        <w:tc>
          <w:tcPr>
            <w:tcW w:w="1229" w:type="dxa"/>
          </w:tcPr>
          <w:p>
            <w:pPr>
              <w:pStyle w:val="TableParagraph"/>
              <w:spacing w:before="18"/>
              <w:ind w:left="221" w:right="225"/>
              <w:rPr>
                <w:sz w:val="18"/>
              </w:rPr>
            </w:pPr>
            <w:r>
              <w:rPr>
                <w:sz w:val="18"/>
              </w:rPr>
              <w:t>Muy Alto</w:t>
            </w:r>
          </w:p>
        </w:tc>
        <w:tc>
          <w:tcPr>
            <w:tcW w:w="1015" w:type="dxa"/>
          </w:tcPr>
          <w:p>
            <w:pPr>
              <w:pStyle w:val="TableParagraph"/>
              <w:spacing w:before="39"/>
              <w:ind w:right="275"/>
              <w:jc w:val="right"/>
              <w:rPr>
                <w:sz w:val="18"/>
              </w:rPr>
            </w:pPr>
            <w:r>
              <w:rPr>
                <w:sz w:val="18"/>
              </w:rPr>
              <w:t>0.382</w:t>
            </w:r>
          </w:p>
        </w:tc>
        <w:tc>
          <w:tcPr>
            <w:tcW w:w="1018" w:type="dxa"/>
          </w:tcPr>
          <w:p>
            <w:pPr>
              <w:pStyle w:val="TableParagraph"/>
              <w:spacing w:before="39"/>
              <w:ind w:left="115" w:right="119"/>
              <w:rPr>
                <w:sz w:val="18"/>
              </w:rPr>
            </w:pPr>
            <w:r>
              <w:rPr>
                <w:sz w:val="18"/>
              </w:rPr>
              <w:t>Medio</w:t>
            </w:r>
          </w:p>
        </w:tc>
      </w:tr>
      <w:tr>
        <w:trPr>
          <w:trHeight w:val="293" w:hRule="exact"/>
        </w:trPr>
        <w:tc>
          <w:tcPr>
            <w:tcW w:w="2331" w:type="dxa"/>
          </w:tcPr>
          <w:p>
            <w:pPr>
              <w:pStyle w:val="TableParagraph"/>
              <w:spacing w:before="18"/>
              <w:ind w:left="64"/>
              <w:jc w:val="left"/>
              <w:rPr>
                <w:sz w:val="18"/>
              </w:rPr>
            </w:pPr>
            <w:r>
              <w:rPr>
                <w:sz w:val="18"/>
              </w:rPr>
              <w:t>Naucalpan de Juárez</w:t>
            </w:r>
          </w:p>
        </w:tc>
        <w:tc>
          <w:tcPr>
            <w:tcW w:w="1248" w:type="dxa"/>
          </w:tcPr>
          <w:p>
            <w:pPr>
              <w:pStyle w:val="TableParagraph"/>
              <w:spacing w:before="18"/>
              <w:ind w:left="193" w:right="194"/>
              <w:rPr>
                <w:sz w:val="18"/>
              </w:rPr>
            </w:pPr>
            <w:r>
              <w:rPr>
                <w:sz w:val="18"/>
              </w:rPr>
              <w:t>-1.17496</w:t>
            </w:r>
          </w:p>
        </w:tc>
        <w:tc>
          <w:tcPr>
            <w:tcW w:w="1229" w:type="dxa"/>
          </w:tcPr>
          <w:p>
            <w:pPr>
              <w:pStyle w:val="TableParagraph"/>
              <w:spacing w:before="18"/>
              <w:ind w:left="223" w:right="223"/>
              <w:rPr>
                <w:sz w:val="18"/>
              </w:rPr>
            </w:pPr>
            <w:r>
              <w:rPr>
                <w:sz w:val="18"/>
              </w:rPr>
              <w:t>Bajo</w:t>
            </w:r>
          </w:p>
        </w:tc>
        <w:tc>
          <w:tcPr>
            <w:tcW w:w="1015" w:type="dxa"/>
          </w:tcPr>
          <w:p>
            <w:pPr>
              <w:pStyle w:val="TableParagraph"/>
              <w:spacing w:before="42"/>
              <w:ind w:right="244"/>
              <w:jc w:val="right"/>
              <w:rPr>
                <w:sz w:val="18"/>
              </w:rPr>
            </w:pPr>
            <w:r>
              <w:rPr>
                <w:sz w:val="18"/>
              </w:rPr>
              <w:t>-1.665</w:t>
            </w:r>
          </w:p>
        </w:tc>
        <w:tc>
          <w:tcPr>
            <w:tcW w:w="1018" w:type="dxa"/>
          </w:tcPr>
          <w:p>
            <w:pPr>
              <w:pStyle w:val="TableParagraph"/>
              <w:spacing w:before="42"/>
              <w:ind w:left="117" w:right="119"/>
              <w:rPr>
                <w:sz w:val="18"/>
              </w:rPr>
            </w:pPr>
            <w:r>
              <w:rPr>
                <w:sz w:val="18"/>
              </w:rPr>
              <w:t>Muy bajo</w:t>
            </w:r>
          </w:p>
        </w:tc>
      </w:tr>
      <w:tr>
        <w:trPr>
          <w:trHeight w:val="293" w:hRule="exact"/>
        </w:trPr>
        <w:tc>
          <w:tcPr>
            <w:tcW w:w="2331" w:type="dxa"/>
          </w:tcPr>
          <w:p>
            <w:pPr>
              <w:pStyle w:val="TableParagraph"/>
              <w:spacing w:before="18"/>
              <w:ind w:left="64"/>
              <w:jc w:val="left"/>
              <w:rPr>
                <w:sz w:val="18"/>
              </w:rPr>
            </w:pPr>
            <w:r>
              <w:rPr>
                <w:sz w:val="18"/>
              </w:rPr>
              <w:t>Nextlalpan</w:t>
            </w:r>
          </w:p>
        </w:tc>
        <w:tc>
          <w:tcPr>
            <w:tcW w:w="1248" w:type="dxa"/>
          </w:tcPr>
          <w:p>
            <w:pPr>
              <w:pStyle w:val="TableParagraph"/>
              <w:spacing w:before="18"/>
              <w:ind w:left="193" w:right="194"/>
              <w:rPr>
                <w:sz w:val="18"/>
              </w:rPr>
            </w:pPr>
            <w:r>
              <w:rPr>
                <w:sz w:val="18"/>
              </w:rPr>
              <w:t>-0.43761</w:t>
            </w:r>
          </w:p>
        </w:tc>
        <w:tc>
          <w:tcPr>
            <w:tcW w:w="1229" w:type="dxa"/>
          </w:tcPr>
          <w:p>
            <w:pPr>
              <w:pStyle w:val="TableParagraph"/>
              <w:spacing w:before="18"/>
              <w:ind w:left="223" w:right="223"/>
              <w:rPr>
                <w:sz w:val="18"/>
              </w:rPr>
            </w:pPr>
            <w:r>
              <w:rPr>
                <w:sz w:val="18"/>
              </w:rPr>
              <w:t>Bajo</w:t>
            </w:r>
          </w:p>
        </w:tc>
        <w:tc>
          <w:tcPr>
            <w:tcW w:w="1015" w:type="dxa"/>
          </w:tcPr>
          <w:p>
            <w:pPr>
              <w:pStyle w:val="TableParagraph"/>
              <w:spacing w:before="42"/>
              <w:ind w:right="244"/>
              <w:jc w:val="right"/>
              <w:rPr>
                <w:sz w:val="18"/>
              </w:rPr>
            </w:pPr>
            <w:r>
              <w:rPr>
                <w:sz w:val="18"/>
              </w:rPr>
              <w:t>-1.117</w:t>
            </w:r>
          </w:p>
        </w:tc>
        <w:tc>
          <w:tcPr>
            <w:tcW w:w="1018" w:type="dxa"/>
          </w:tcPr>
          <w:p>
            <w:pPr>
              <w:pStyle w:val="TableParagraph"/>
              <w:spacing w:before="42"/>
              <w:ind w:left="118" w:right="119"/>
              <w:rPr>
                <w:sz w:val="18"/>
              </w:rPr>
            </w:pPr>
            <w:r>
              <w:rPr>
                <w:sz w:val="18"/>
              </w:rPr>
              <w:t>Bajo</w:t>
            </w:r>
          </w:p>
        </w:tc>
      </w:tr>
      <w:tr>
        <w:trPr>
          <w:trHeight w:val="293" w:hRule="exact"/>
        </w:trPr>
        <w:tc>
          <w:tcPr>
            <w:tcW w:w="2331" w:type="dxa"/>
          </w:tcPr>
          <w:p>
            <w:pPr>
              <w:pStyle w:val="TableParagraph"/>
              <w:spacing w:before="18"/>
              <w:ind w:left="64"/>
              <w:jc w:val="left"/>
              <w:rPr>
                <w:sz w:val="18"/>
              </w:rPr>
            </w:pPr>
            <w:r>
              <w:rPr>
                <w:sz w:val="18"/>
              </w:rPr>
              <w:t>Nezahualcóyotl</w:t>
            </w:r>
          </w:p>
        </w:tc>
        <w:tc>
          <w:tcPr>
            <w:tcW w:w="1248" w:type="dxa"/>
          </w:tcPr>
          <w:p>
            <w:pPr>
              <w:pStyle w:val="TableParagraph"/>
              <w:spacing w:before="18"/>
              <w:ind w:left="193" w:right="194"/>
              <w:rPr>
                <w:sz w:val="18"/>
              </w:rPr>
            </w:pPr>
            <w:r>
              <w:rPr>
                <w:sz w:val="18"/>
              </w:rPr>
              <w:t>-1.23655</w:t>
            </w:r>
          </w:p>
        </w:tc>
        <w:tc>
          <w:tcPr>
            <w:tcW w:w="1229" w:type="dxa"/>
          </w:tcPr>
          <w:p>
            <w:pPr>
              <w:pStyle w:val="TableParagraph"/>
              <w:spacing w:before="18"/>
              <w:ind w:left="223" w:right="223"/>
              <w:rPr>
                <w:sz w:val="18"/>
              </w:rPr>
            </w:pPr>
            <w:r>
              <w:rPr>
                <w:sz w:val="18"/>
              </w:rPr>
              <w:t>Bajo</w:t>
            </w:r>
          </w:p>
        </w:tc>
        <w:tc>
          <w:tcPr>
            <w:tcW w:w="1015" w:type="dxa"/>
          </w:tcPr>
          <w:p>
            <w:pPr>
              <w:pStyle w:val="TableParagraph"/>
              <w:spacing w:before="42"/>
              <w:ind w:right="244"/>
              <w:jc w:val="right"/>
              <w:rPr>
                <w:sz w:val="18"/>
              </w:rPr>
            </w:pPr>
            <w:r>
              <w:rPr>
                <w:sz w:val="18"/>
              </w:rPr>
              <w:t>-1.661</w:t>
            </w:r>
          </w:p>
        </w:tc>
        <w:tc>
          <w:tcPr>
            <w:tcW w:w="1018" w:type="dxa"/>
          </w:tcPr>
          <w:p>
            <w:pPr>
              <w:pStyle w:val="TableParagraph"/>
              <w:spacing w:before="42"/>
              <w:ind w:left="117" w:right="119"/>
              <w:rPr>
                <w:sz w:val="18"/>
              </w:rPr>
            </w:pPr>
            <w:r>
              <w:rPr>
                <w:sz w:val="18"/>
              </w:rPr>
              <w:t>Muy bajo</w:t>
            </w:r>
          </w:p>
        </w:tc>
      </w:tr>
      <w:tr>
        <w:trPr>
          <w:trHeight w:val="293" w:hRule="exact"/>
        </w:trPr>
        <w:tc>
          <w:tcPr>
            <w:tcW w:w="2331" w:type="dxa"/>
          </w:tcPr>
          <w:p>
            <w:pPr>
              <w:pStyle w:val="TableParagraph"/>
              <w:spacing w:before="18"/>
              <w:ind w:left="64"/>
              <w:jc w:val="left"/>
              <w:rPr>
                <w:sz w:val="18"/>
              </w:rPr>
            </w:pPr>
            <w:r>
              <w:rPr>
                <w:sz w:val="18"/>
              </w:rPr>
              <w:t>Nicolás Romero</w:t>
            </w:r>
          </w:p>
        </w:tc>
        <w:tc>
          <w:tcPr>
            <w:tcW w:w="1248" w:type="dxa"/>
          </w:tcPr>
          <w:p>
            <w:pPr>
              <w:pStyle w:val="TableParagraph"/>
              <w:spacing w:before="18"/>
              <w:ind w:left="193" w:right="194"/>
              <w:rPr>
                <w:sz w:val="18"/>
              </w:rPr>
            </w:pPr>
            <w:r>
              <w:rPr>
                <w:sz w:val="18"/>
              </w:rPr>
              <w:t>-0.85865</w:t>
            </w:r>
          </w:p>
        </w:tc>
        <w:tc>
          <w:tcPr>
            <w:tcW w:w="1229" w:type="dxa"/>
          </w:tcPr>
          <w:p>
            <w:pPr>
              <w:pStyle w:val="TableParagraph"/>
              <w:spacing w:before="18"/>
              <w:ind w:left="223" w:right="223"/>
              <w:rPr>
                <w:sz w:val="18"/>
              </w:rPr>
            </w:pPr>
            <w:r>
              <w:rPr>
                <w:sz w:val="18"/>
              </w:rPr>
              <w:t>Bajo</w:t>
            </w:r>
          </w:p>
        </w:tc>
        <w:tc>
          <w:tcPr>
            <w:tcW w:w="1015" w:type="dxa"/>
          </w:tcPr>
          <w:p>
            <w:pPr>
              <w:pStyle w:val="TableParagraph"/>
              <w:spacing w:before="42"/>
              <w:ind w:right="244"/>
              <w:jc w:val="right"/>
              <w:rPr>
                <w:sz w:val="18"/>
              </w:rPr>
            </w:pPr>
            <w:r>
              <w:rPr>
                <w:sz w:val="18"/>
              </w:rPr>
              <w:t>-1.418</w:t>
            </w:r>
          </w:p>
        </w:tc>
        <w:tc>
          <w:tcPr>
            <w:tcW w:w="1018" w:type="dxa"/>
          </w:tcPr>
          <w:p>
            <w:pPr>
              <w:pStyle w:val="TableParagraph"/>
              <w:spacing w:before="42"/>
              <w:ind w:left="117" w:right="119"/>
              <w:rPr>
                <w:sz w:val="18"/>
              </w:rPr>
            </w:pPr>
            <w:r>
              <w:rPr>
                <w:sz w:val="18"/>
              </w:rPr>
              <w:t>Muy bajo</w:t>
            </w:r>
          </w:p>
        </w:tc>
      </w:tr>
      <w:tr>
        <w:trPr>
          <w:trHeight w:val="293" w:hRule="exact"/>
        </w:trPr>
        <w:tc>
          <w:tcPr>
            <w:tcW w:w="2331" w:type="dxa"/>
          </w:tcPr>
          <w:p>
            <w:pPr>
              <w:pStyle w:val="TableParagraph"/>
              <w:spacing w:before="18"/>
              <w:ind w:left="64"/>
              <w:jc w:val="left"/>
              <w:rPr>
                <w:sz w:val="18"/>
              </w:rPr>
            </w:pPr>
            <w:r>
              <w:rPr>
                <w:sz w:val="18"/>
              </w:rPr>
              <w:t>Nopaltepec</w:t>
            </w:r>
          </w:p>
        </w:tc>
        <w:tc>
          <w:tcPr>
            <w:tcW w:w="1248" w:type="dxa"/>
          </w:tcPr>
          <w:p>
            <w:pPr>
              <w:pStyle w:val="TableParagraph"/>
              <w:spacing w:before="18"/>
              <w:ind w:left="193" w:right="194"/>
              <w:rPr>
                <w:sz w:val="18"/>
              </w:rPr>
            </w:pPr>
            <w:r>
              <w:rPr>
                <w:sz w:val="18"/>
              </w:rPr>
              <w:t>-0.08405</w:t>
            </w:r>
          </w:p>
        </w:tc>
        <w:tc>
          <w:tcPr>
            <w:tcW w:w="1229" w:type="dxa"/>
          </w:tcPr>
          <w:p>
            <w:pPr>
              <w:pStyle w:val="TableParagraph"/>
              <w:spacing w:before="18"/>
              <w:ind w:left="221" w:right="225"/>
              <w:rPr>
                <w:sz w:val="18"/>
              </w:rPr>
            </w:pPr>
            <w:r>
              <w:rPr>
                <w:sz w:val="18"/>
              </w:rPr>
              <w:t>Medio</w:t>
            </w:r>
          </w:p>
        </w:tc>
        <w:tc>
          <w:tcPr>
            <w:tcW w:w="1015" w:type="dxa"/>
          </w:tcPr>
          <w:p>
            <w:pPr>
              <w:pStyle w:val="TableParagraph"/>
              <w:spacing w:before="42"/>
              <w:ind w:right="244"/>
              <w:jc w:val="right"/>
              <w:rPr>
                <w:sz w:val="18"/>
              </w:rPr>
            </w:pPr>
            <w:r>
              <w:rPr>
                <w:sz w:val="18"/>
              </w:rPr>
              <w:t>-0.706</w:t>
            </w:r>
          </w:p>
        </w:tc>
        <w:tc>
          <w:tcPr>
            <w:tcW w:w="1018" w:type="dxa"/>
          </w:tcPr>
          <w:p>
            <w:pPr>
              <w:pStyle w:val="TableParagraph"/>
              <w:spacing w:before="42"/>
              <w:ind w:left="118" w:right="119"/>
              <w:rPr>
                <w:sz w:val="18"/>
              </w:rPr>
            </w:pPr>
            <w:r>
              <w:rPr>
                <w:sz w:val="18"/>
              </w:rPr>
              <w:t>Bajo</w:t>
            </w:r>
          </w:p>
        </w:tc>
      </w:tr>
      <w:tr>
        <w:trPr>
          <w:trHeight w:val="293" w:hRule="exact"/>
        </w:trPr>
        <w:tc>
          <w:tcPr>
            <w:tcW w:w="2331" w:type="dxa"/>
          </w:tcPr>
          <w:p>
            <w:pPr>
              <w:pStyle w:val="TableParagraph"/>
              <w:spacing w:before="20"/>
              <w:ind w:left="64"/>
              <w:jc w:val="left"/>
              <w:rPr>
                <w:sz w:val="18"/>
              </w:rPr>
            </w:pPr>
            <w:r>
              <w:rPr>
                <w:sz w:val="18"/>
              </w:rPr>
              <w:t>Ocoyoacac</w:t>
            </w:r>
          </w:p>
        </w:tc>
        <w:tc>
          <w:tcPr>
            <w:tcW w:w="1248" w:type="dxa"/>
          </w:tcPr>
          <w:p>
            <w:pPr>
              <w:pStyle w:val="TableParagraph"/>
              <w:spacing w:before="20"/>
              <w:ind w:left="193" w:right="194"/>
              <w:rPr>
                <w:sz w:val="18"/>
              </w:rPr>
            </w:pPr>
            <w:r>
              <w:rPr>
                <w:sz w:val="18"/>
              </w:rPr>
              <w:t>-0.74411</w:t>
            </w:r>
          </w:p>
        </w:tc>
        <w:tc>
          <w:tcPr>
            <w:tcW w:w="1229" w:type="dxa"/>
          </w:tcPr>
          <w:p>
            <w:pPr>
              <w:pStyle w:val="TableParagraph"/>
              <w:spacing w:before="20"/>
              <w:ind w:left="223" w:right="223"/>
              <w:rPr>
                <w:sz w:val="18"/>
              </w:rPr>
            </w:pPr>
            <w:r>
              <w:rPr>
                <w:sz w:val="18"/>
              </w:rPr>
              <w:t>Bajo</w:t>
            </w:r>
          </w:p>
        </w:tc>
        <w:tc>
          <w:tcPr>
            <w:tcW w:w="1015" w:type="dxa"/>
          </w:tcPr>
          <w:p>
            <w:pPr>
              <w:pStyle w:val="TableParagraph"/>
              <w:spacing w:before="42"/>
              <w:ind w:right="244"/>
              <w:jc w:val="right"/>
              <w:rPr>
                <w:sz w:val="18"/>
              </w:rPr>
            </w:pPr>
            <w:r>
              <w:rPr>
                <w:sz w:val="18"/>
              </w:rPr>
              <w:t>-1.334</w:t>
            </w:r>
          </w:p>
        </w:tc>
        <w:tc>
          <w:tcPr>
            <w:tcW w:w="1018" w:type="dxa"/>
          </w:tcPr>
          <w:p>
            <w:pPr>
              <w:pStyle w:val="TableParagraph"/>
              <w:spacing w:before="42"/>
              <w:ind w:left="117" w:right="119"/>
              <w:rPr>
                <w:sz w:val="18"/>
              </w:rPr>
            </w:pPr>
            <w:r>
              <w:rPr>
                <w:sz w:val="18"/>
              </w:rPr>
              <w:t>Muy bajo</w:t>
            </w:r>
          </w:p>
        </w:tc>
      </w:tr>
      <w:tr>
        <w:trPr>
          <w:trHeight w:val="293" w:hRule="exact"/>
        </w:trPr>
        <w:tc>
          <w:tcPr>
            <w:tcW w:w="2331" w:type="dxa"/>
          </w:tcPr>
          <w:p>
            <w:pPr>
              <w:pStyle w:val="TableParagraph"/>
              <w:spacing w:before="20"/>
              <w:ind w:left="64"/>
              <w:jc w:val="left"/>
              <w:rPr>
                <w:sz w:val="18"/>
              </w:rPr>
            </w:pPr>
            <w:r>
              <w:rPr>
                <w:sz w:val="18"/>
              </w:rPr>
              <w:t>Ocuilan</w:t>
            </w:r>
          </w:p>
        </w:tc>
        <w:tc>
          <w:tcPr>
            <w:tcW w:w="1248" w:type="dxa"/>
          </w:tcPr>
          <w:p>
            <w:pPr>
              <w:pStyle w:val="TableParagraph"/>
              <w:spacing w:before="20"/>
              <w:ind w:left="190" w:right="194"/>
              <w:rPr>
                <w:sz w:val="18"/>
              </w:rPr>
            </w:pPr>
            <w:r>
              <w:rPr>
                <w:sz w:val="18"/>
              </w:rPr>
              <w:t>0.83953</w:t>
            </w:r>
          </w:p>
        </w:tc>
        <w:tc>
          <w:tcPr>
            <w:tcW w:w="1229" w:type="dxa"/>
          </w:tcPr>
          <w:p>
            <w:pPr>
              <w:pStyle w:val="TableParagraph"/>
              <w:spacing w:before="20"/>
              <w:ind w:left="222" w:right="225"/>
              <w:rPr>
                <w:sz w:val="18"/>
              </w:rPr>
            </w:pPr>
            <w:r>
              <w:rPr>
                <w:sz w:val="18"/>
              </w:rPr>
              <w:t>Alto</w:t>
            </w:r>
          </w:p>
        </w:tc>
        <w:tc>
          <w:tcPr>
            <w:tcW w:w="1015" w:type="dxa"/>
          </w:tcPr>
          <w:p>
            <w:pPr>
              <w:pStyle w:val="TableParagraph"/>
              <w:spacing w:before="42"/>
              <w:ind w:right="275"/>
              <w:jc w:val="right"/>
              <w:rPr>
                <w:sz w:val="18"/>
              </w:rPr>
            </w:pPr>
            <w:r>
              <w:rPr>
                <w:sz w:val="18"/>
              </w:rPr>
              <w:t>0.026</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20"/>
              <w:ind w:left="64"/>
              <w:jc w:val="left"/>
              <w:rPr>
                <w:sz w:val="18"/>
              </w:rPr>
            </w:pPr>
            <w:r>
              <w:rPr>
                <w:sz w:val="18"/>
              </w:rPr>
              <w:t>Otumba</w:t>
            </w:r>
          </w:p>
        </w:tc>
        <w:tc>
          <w:tcPr>
            <w:tcW w:w="1248" w:type="dxa"/>
          </w:tcPr>
          <w:p>
            <w:pPr>
              <w:pStyle w:val="TableParagraph"/>
              <w:spacing w:before="20"/>
              <w:ind w:left="193" w:right="194"/>
              <w:rPr>
                <w:sz w:val="18"/>
              </w:rPr>
            </w:pPr>
            <w:r>
              <w:rPr>
                <w:sz w:val="18"/>
              </w:rPr>
              <w:t>-0.03477</w:t>
            </w:r>
          </w:p>
        </w:tc>
        <w:tc>
          <w:tcPr>
            <w:tcW w:w="1229" w:type="dxa"/>
          </w:tcPr>
          <w:p>
            <w:pPr>
              <w:pStyle w:val="TableParagraph"/>
              <w:spacing w:before="20"/>
              <w:ind w:left="221" w:right="225"/>
              <w:rPr>
                <w:sz w:val="18"/>
              </w:rPr>
            </w:pPr>
            <w:r>
              <w:rPr>
                <w:sz w:val="18"/>
              </w:rPr>
              <w:t>Medio</w:t>
            </w:r>
          </w:p>
        </w:tc>
        <w:tc>
          <w:tcPr>
            <w:tcW w:w="1015" w:type="dxa"/>
          </w:tcPr>
          <w:p>
            <w:pPr>
              <w:pStyle w:val="TableParagraph"/>
              <w:spacing w:before="42"/>
              <w:ind w:right="244"/>
              <w:jc w:val="right"/>
              <w:rPr>
                <w:sz w:val="18"/>
              </w:rPr>
            </w:pPr>
            <w:r>
              <w:rPr>
                <w:sz w:val="18"/>
              </w:rPr>
              <w:t>-0.813</w:t>
            </w:r>
          </w:p>
        </w:tc>
        <w:tc>
          <w:tcPr>
            <w:tcW w:w="1018" w:type="dxa"/>
          </w:tcPr>
          <w:p>
            <w:pPr>
              <w:pStyle w:val="TableParagraph"/>
              <w:spacing w:before="42"/>
              <w:ind w:left="118" w:right="119"/>
              <w:rPr>
                <w:sz w:val="18"/>
              </w:rPr>
            </w:pPr>
            <w:r>
              <w:rPr>
                <w:sz w:val="18"/>
              </w:rPr>
              <w:t>Bajo</w:t>
            </w:r>
          </w:p>
        </w:tc>
      </w:tr>
      <w:tr>
        <w:trPr>
          <w:trHeight w:val="293" w:hRule="exact"/>
        </w:trPr>
        <w:tc>
          <w:tcPr>
            <w:tcW w:w="2331" w:type="dxa"/>
          </w:tcPr>
          <w:p>
            <w:pPr>
              <w:pStyle w:val="TableParagraph"/>
              <w:spacing w:before="20"/>
              <w:ind w:left="64"/>
              <w:jc w:val="left"/>
              <w:rPr>
                <w:sz w:val="18"/>
              </w:rPr>
            </w:pPr>
            <w:r>
              <w:rPr>
                <w:sz w:val="18"/>
              </w:rPr>
              <w:t>Otzoloapan</w:t>
            </w:r>
          </w:p>
        </w:tc>
        <w:tc>
          <w:tcPr>
            <w:tcW w:w="1248" w:type="dxa"/>
          </w:tcPr>
          <w:p>
            <w:pPr>
              <w:pStyle w:val="TableParagraph"/>
              <w:spacing w:before="20"/>
              <w:ind w:left="190" w:right="194"/>
              <w:rPr>
                <w:sz w:val="18"/>
              </w:rPr>
            </w:pPr>
            <w:r>
              <w:rPr>
                <w:sz w:val="18"/>
              </w:rPr>
              <w:t>1.39219</w:t>
            </w:r>
          </w:p>
        </w:tc>
        <w:tc>
          <w:tcPr>
            <w:tcW w:w="1229" w:type="dxa"/>
          </w:tcPr>
          <w:p>
            <w:pPr>
              <w:pStyle w:val="TableParagraph"/>
              <w:spacing w:before="20"/>
              <w:ind w:left="221" w:right="225"/>
              <w:rPr>
                <w:sz w:val="18"/>
              </w:rPr>
            </w:pPr>
            <w:r>
              <w:rPr>
                <w:sz w:val="18"/>
              </w:rPr>
              <w:t>Muy Alto</w:t>
            </w:r>
          </w:p>
        </w:tc>
        <w:tc>
          <w:tcPr>
            <w:tcW w:w="1015" w:type="dxa"/>
          </w:tcPr>
          <w:p>
            <w:pPr>
              <w:pStyle w:val="TableParagraph"/>
              <w:spacing w:before="42"/>
              <w:ind w:right="275"/>
              <w:jc w:val="right"/>
              <w:rPr>
                <w:sz w:val="18"/>
              </w:rPr>
            </w:pPr>
            <w:r>
              <w:rPr>
                <w:sz w:val="18"/>
              </w:rPr>
              <w:t>0.351</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20"/>
              <w:ind w:left="64"/>
              <w:jc w:val="left"/>
              <w:rPr>
                <w:sz w:val="18"/>
              </w:rPr>
            </w:pPr>
            <w:r>
              <w:rPr>
                <w:sz w:val="18"/>
              </w:rPr>
              <w:t>Otzolotepec</w:t>
            </w:r>
          </w:p>
        </w:tc>
        <w:tc>
          <w:tcPr>
            <w:tcW w:w="1248" w:type="dxa"/>
          </w:tcPr>
          <w:p>
            <w:pPr>
              <w:pStyle w:val="TableParagraph"/>
              <w:spacing w:before="20"/>
              <w:ind w:left="190" w:right="194"/>
              <w:rPr>
                <w:sz w:val="18"/>
              </w:rPr>
            </w:pPr>
            <w:r>
              <w:rPr>
                <w:sz w:val="18"/>
              </w:rPr>
              <w:t>0.24291</w:t>
            </w:r>
          </w:p>
        </w:tc>
        <w:tc>
          <w:tcPr>
            <w:tcW w:w="1229" w:type="dxa"/>
          </w:tcPr>
          <w:p>
            <w:pPr>
              <w:pStyle w:val="TableParagraph"/>
              <w:spacing w:before="20"/>
              <w:ind w:left="222" w:right="225"/>
              <w:rPr>
                <w:sz w:val="18"/>
              </w:rPr>
            </w:pPr>
            <w:r>
              <w:rPr>
                <w:sz w:val="18"/>
              </w:rPr>
              <w:t>Alto</w:t>
            </w:r>
          </w:p>
        </w:tc>
        <w:tc>
          <w:tcPr>
            <w:tcW w:w="1015" w:type="dxa"/>
          </w:tcPr>
          <w:p>
            <w:pPr>
              <w:pStyle w:val="TableParagraph"/>
              <w:spacing w:before="42"/>
              <w:ind w:right="244"/>
              <w:jc w:val="right"/>
              <w:rPr>
                <w:sz w:val="18"/>
              </w:rPr>
            </w:pPr>
            <w:r>
              <w:rPr>
                <w:sz w:val="18"/>
              </w:rPr>
              <w:t>-0.538</w:t>
            </w:r>
          </w:p>
        </w:tc>
        <w:tc>
          <w:tcPr>
            <w:tcW w:w="1018" w:type="dxa"/>
          </w:tcPr>
          <w:p>
            <w:pPr>
              <w:pStyle w:val="TableParagraph"/>
              <w:spacing w:before="42"/>
              <w:ind w:left="115" w:right="119"/>
              <w:rPr>
                <w:sz w:val="18"/>
              </w:rPr>
            </w:pPr>
            <w:r>
              <w:rPr>
                <w:sz w:val="18"/>
              </w:rPr>
              <w:t>Medio</w:t>
            </w:r>
          </w:p>
        </w:tc>
      </w:tr>
      <w:tr>
        <w:trPr>
          <w:trHeight w:val="295" w:hRule="exact"/>
        </w:trPr>
        <w:tc>
          <w:tcPr>
            <w:tcW w:w="2331" w:type="dxa"/>
          </w:tcPr>
          <w:p>
            <w:pPr>
              <w:pStyle w:val="TableParagraph"/>
              <w:spacing w:before="20"/>
              <w:ind w:left="64"/>
              <w:jc w:val="left"/>
              <w:rPr>
                <w:sz w:val="18"/>
              </w:rPr>
            </w:pPr>
            <w:r>
              <w:rPr>
                <w:sz w:val="18"/>
              </w:rPr>
              <w:t>Ozumba</w:t>
            </w:r>
          </w:p>
        </w:tc>
        <w:tc>
          <w:tcPr>
            <w:tcW w:w="1248" w:type="dxa"/>
          </w:tcPr>
          <w:p>
            <w:pPr>
              <w:pStyle w:val="TableParagraph"/>
              <w:spacing w:before="20"/>
              <w:ind w:left="193" w:right="194"/>
              <w:rPr>
                <w:sz w:val="18"/>
              </w:rPr>
            </w:pPr>
            <w:r>
              <w:rPr>
                <w:sz w:val="18"/>
              </w:rPr>
              <w:t>-0.37147</w:t>
            </w:r>
          </w:p>
        </w:tc>
        <w:tc>
          <w:tcPr>
            <w:tcW w:w="1229" w:type="dxa"/>
          </w:tcPr>
          <w:p>
            <w:pPr>
              <w:pStyle w:val="TableParagraph"/>
              <w:spacing w:before="20"/>
              <w:ind w:left="221" w:right="225"/>
              <w:rPr>
                <w:sz w:val="18"/>
              </w:rPr>
            </w:pPr>
            <w:r>
              <w:rPr>
                <w:sz w:val="18"/>
              </w:rPr>
              <w:t>Medio</w:t>
            </w:r>
          </w:p>
        </w:tc>
        <w:tc>
          <w:tcPr>
            <w:tcW w:w="1015" w:type="dxa"/>
          </w:tcPr>
          <w:p>
            <w:pPr>
              <w:pStyle w:val="TableParagraph"/>
              <w:spacing w:before="42"/>
              <w:ind w:right="244"/>
              <w:jc w:val="right"/>
              <w:rPr>
                <w:sz w:val="18"/>
              </w:rPr>
            </w:pPr>
            <w:r>
              <w:rPr>
                <w:sz w:val="18"/>
              </w:rPr>
              <w:t>-0.748</w:t>
            </w:r>
          </w:p>
        </w:tc>
        <w:tc>
          <w:tcPr>
            <w:tcW w:w="1018" w:type="dxa"/>
          </w:tcPr>
          <w:p>
            <w:pPr>
              <w:pStyle w:val="TableParagraph"/>
              <w:spacing w:before="42"/>
              <w:ind w:left="118" w:right="119"/>
              <w:rPr>
                <w:sz w:val="18"/>
              </w:rPr>
            </w:pPr>
            <w:r>
              <w:rPr>
                <w:sz w:val="18"/>
              </w:rPr>
              <w:t>Bajo</w:t>
            </w:r>
          </w:p>
        </w:tc>
      </w:tr>
      <w:tr>
        <w:trPr>
          <w:trHeight w:val="293" w:hRule="exact"/>
        </w:trPr>
        <w:tc>
          <w:tcPr>
            <w:tcW w:w="2331" w:type="dxa"/>
          </w:tcPr>
          <w:p>
            <w:pPr>
              <w:pStyle w:val="TableParagraph"/>
              <w:spacing w:before="18"/>
              <w:ind w:left="64"/>
              <w:jc w:val="left"/>
              <w:rPr>
                <w:sz w:val="18"/>
              </w:rPr>
            </w:pPr>
            <w:r>
              <w:rPr>
                <w:sz w:val="18"/>
              </w:rPr>
              <w:t>Papalotla</w:t>
            </w:r>
          </w:p>
        </w:tc>
        <w:tc>
          <w:tcPr>
            <w:tcW w:w="1248" w:type="dxa"/>
          </w:tcPr>
          <w:p>
            <w:pPr>
              <w:pStyle w:val="TableParagraph"/>
              <w:spacing w:before="18"/>
              <w:ind w:left="193" w:right="194"/>
              <w:rPr>
                <w:sz w:val="18"/>
              </w:rPr>
            </w:pPr>
            <w:r>
              <w:rPr>
                <w:sz w:val="18"/>
              </w:rPr>
              <w:t>-0.59484</w:t>
            </w:r>
          </w:p>
        </w:tc>
        <w:tc>
          <w:tcPr>
            <w:tcW w:w="1229" w:type="dxa"/>
          </w:tcPr>
          <w:p>
            <w:pPr>
              <w:pStyle w:val="TableParagraph"/>
              <w:spacing w:before="18"/>
              <w:ind w:left="223" w:right="223"/>
              <w:rPr>
                <w:sz w:val="18"/>
              </w:rPr>
            </w:pPr>
            <w:r>
              <w:rPr>
                <w:sz w:val="18"/>
              </w:rPr>
              <w:t>Bajo</w:t>
            </w:r>
          </w:p>
        </w:tc>
        <w:tc>
          <w:tcPr>
            <w:tcW w:w="1015" w:type="dxa"/>
          </w:tcPr>
          <w:p>
            <w:pPr>
              <w:pStyle w:val="TableParagraph"/>
              <w:spacing w:before="39"/>
              <w:ind w:right="294"/>
              <w:jc w:val="right"/>
              <w:rPr>
                <w:sz w:val="18"/>
              </w:rPr>
            </w:pPr>
            <w:r>
              <w:rPr>
                <w:w w:val="95"/>
                <w:sz w:val="18"/>
              </w:rPr>
              <w:t>-1.13</w:t>
            </w:r>
          </w:p>
        </w:tc>
        <w:tc>
          <w:tcPr>
            <w:tcW w:w="1018" w:type="dxa"/>
          </w:tcPr>
          <w:p>
            <w:pPr>
              <w:pStyle w:val="TableParagraph"/>
              <w:spacing w:before="39"/>
              <w:ind w:left="118" w:right="119"/>
              <w:rPr>
                <w:sz w:val="18"/>
              </w:rPr>
            </w:pPr>
            <w:r>
              <w:rPr>
                <w:sz w:val="18"/>
              </w:rPr>
              <w:t>Bajo</w:t>
            </w:r>
          </w:p>
        </w:tc>
      </w:tr>
      <w:tr>
        <w:trPr>
          <w:trHeight w:val="293" w:hRule="exact"/>
        </w:trPr>
        <w:tc>
          <w:tcPr>
            <w:tcW w:w="2331" w:type="dxa"/>
          </w:tcPr>
          <w:p>
            <w:pPr>
              <w:pStyle w:val="TableParagraph"/>
              <w:spacing w:before="18"/>
              <w:ind w:left="64"/>
              <w:jc w:val="left"/>
              <w:rPr>
                <w:sz w:val="18"/>
              </w:rPr>
            </w:pPr>
            <w:r>
              <w:rPr>
                <w:sz w:val="18"/>
              </w:rPr>
              <w:t>Polotitlán</w:t>
            </w:r>
          </w:p>
        </w:tc>
        <w:tc>
          <w:tcPr>
            <w:tcW w:w="1248" w:type="dxa"/>
          </w:tcPr>
          <w:p>
            <w:pPr>
              <w:pStyle w:val="TableParagraph"/>
              <w:spacing w:before="18"/>
              <w:ind w:left="193" w:right="194"/>
              <w:rPr>
                <w:sz w:val="18"/>
              </w:rPr>
            </w:pPr>
            <w:r>
              <w:rPr>
                <w:sz w:val="18"/>
              </w:rPr>
              <w:t>-0.0148</w:t>
            </w:r>
          </w:p>
        </w:tc>
        <w:tc>
          <w:tcPr>
            <w:tcW w:w="1229" w:type="dxa"/>
          </w:tcPr>
          <w:p>
            <w:pPr>
              <w:pStyle w:val="TableParagraph"/>
              <w:spacing w:before="18"/>
              <w:ind w:left="221" w:right="225"/>
              <w:rPr>
                <w:sz w:val="18"/>
              </w:rPr>
            </w:pPr>
            <w:r>
              <w:rPr>
                <w:sz w:val="18"/>
              </w:rPr>
              <w:t>Medio</w:t>
            </w:r>
          </w:p>
        </w:tc>
        <w:tc>
          <w:tcPr>
            <w:tcW w:w="1015" w:type="dxa"/>
          </w:tcPr>
          <w:p>
            <w:pPr>
              <w:pStyle w:val="TableParagraph"/>
              <w:spacing w:before="42"/>
              <w:ind w:right="244"/>
              <w:jc w:val="right"/>
              <w:rPr>
                <w:sz w:val="18"/>
              </w:rPr>
            </w:pPr>
            <w:r>
              <w:rPr>
                <w:sz w:val="18"/>
              </w:rPr>
              <w:t>-0.609</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18"/>
              <w:ind w:left="64"/>
              <w:jc w:val="left"/>
              <w:rPr>
                <w:sz w:val="18"/>
              </w:rPr>
            </w:pPr>
            <w:r>
              <w:rPr>
                <w:sz w:val="18"/>
              </w:rPr>
              <w:t>Rayón</w:t>
            </w:r>
          </w:p>
        </w:tc>
        <w:tc>
          <w:tcPr>
            <w:tcW w:w="1248" w:type="dxa"/>
          </w:tcPr>
          <w:p>
            <w:pPr>
              <w:pStyle w:val="TableParagraph"/>
              <w:spacing w:before="18"/>
              <w:ind w:left="193" w:right="194"/>
              <w:rPr>
                <w:sz w:val="18"/>
              </w:rPr>
            </w:pPr>
            <w:r>
              <w:rPr>
                <w:sz w:val="18"/>
              </w:rPr>
              <w:t>-0.66818</w:t>
            </w:r>
          </w:p>
        </w:tc>
        <w:tc>
          <w:tcPr>
            <w:tcW w:w="1229" w:type="dxa"/>
          </w:tcPr>
          <w:p>
            <w:pPr>
              <w:pStyle w:val="TableParagraph"/>
              <w:spacing w:before="18"/>
              <w:ind w:left="223" w:right="223"/>
              <w:rPr>
                <w:sz w:val="18"/>
              </w:rPr>
            </w:pPr>
            <w:r>
              <w:rPr>
                <w:sz w:val="18"/>
              </w:rPr>
              <w:t>Bajo</w:t>
            </w:r>
          </w:p>
        </w:tc>
        <w:tc>
          <w:tcPr>
            <w:tcW w:w="1015" w:type="dxa"/>
          </w:tcPr>
          <w:p>
            <w:pPr>
              <w:pStyle w:val="TableParagraph"/>
              <w:spacing w:before="42"/>
              <w:ind w:right="244"/>
              <w:jc w:val="right"/>
              <w:rPr>
                <w:sz w:val="18"/>
              </w:rPr>
            </w:pPr>
            <w:r>
              <w:rPr>
                <w:sz w:val="18"/>
              </w:rPr>
              <w:t>-1.252</w:t>
            </w:r>
          </w:p>
        </w:tc>
        <w:tc>
          <w:tcPr>
            <w:tcW w:w="1018" w:type="dxa"/>
          </w:tcPr>
          <w:p>
            <w:pPr>
              <w:pStyle w:val="TableParagraph"/>
              <w:spacing w:before="42"/>
              <w:ind w:left="117" w:right="119"/>
              <w:rPr>
                <w:sz w:val="18"/>
              </w:rPr>
            </w:pPr>
            <w:r>
              <w:rPr>
                <w:sz w:val="18"/>
              </w:rPr>
              <w:t>Muy bajo</w:t>
            </w:r>
          </w:p>
        </w:tc>
      </w:tr>
      <w:tr>
        <w:trPr>
          <w:trHeight w:val="293" w:hRule="exact"/>
        </w:trPr>
        <w:tc>
          <w:tcPr>
            <w:tcW w:w="2331" w:type="dxa"/>
          </w:tcPr>
          <w:p>
            <w:pPr>
              <w:pStyle w:val="TableParagraph"/>
              <w:spacing w:before="18"/>
              <w:ind w:left="64"/>
              <w:jc w:val="left"/>
              <w:rPr>
                <w:sz w:val="18"/>
              </w:rPr>
            </w:pPr>
            <w:r>
              <w:rPr>
                <w:sz w:val="18"/>
              </w:rPr>
              <w:t>San Antonio la Isla</w:t>
            </w:r>
          </w:p>
        </w:tc>
        <w:tc>
          <w:tcPr>
            <w:tcW w:w="1248" w:type="dxa"/>
          </w:tcPr>
          <w:p>
            <w:pPr>
              <w:pStyle w:val="TableParagraph"/>
              <w:spacing w:before="18"/>
              <w:ind w:left="193" w:right="194"/>
              <w:rPr>
                <w:sz w:val="18"/>
              </w:rPr>
            </w:pPr>
            <w:r>
              <w:rPr>
                <w:sz w:val="18"/>
              </w:rPr>
              <w:t>-0.65869</w:t>
            </w:r>
          </w:p>
        </w:tc>
        <w:tc>
          <w:tcPr>
            <w:tcW w:w="1229" w:type="dxa"/>
          </w:tcPr>
          <w:p>
            <w:pPr>
              <w:pStyle w:val="TableParagraph"/>
              <w:spacing w:before="18"/>
              <w:ind w:left="223" w:right="223"/>
              <w:rPr>
                <w:sz w:val="18"/>
              </w:rPr>
            </w:pPr>
            <w:r>
              <w:rPr>
                <w:sz w:val="18"/>
              </w:rPr>
              <w:t>Bajo</w:t>
            </w:r>
          </w:p>
        </w:tc>
        <w:tc>
          <w:tcPr>
            <w:tcW w:w="1015" w:type="dxa"/>
          </w:tcPr>
          <w:p>
            <w:pPr>
              <w:pStyle w:val="TableParagraph"/>
              <w:spacing w:before="42"/>
              <w:ind w:right="244"/>
              <w:jc w:val="right"/>
              <w:rPr>
                <w:sz w:val="18"/>
              </w:rPr>
            </w:pPr>
            <w:r>
              <w:rPr>
                <w:sz w:val="18"/>
              </w:rPr>
              <w:t>-1.513</w:t>
            </w:r>
          </w:p>
        </w:tc>
        <w:tc>
          <w:tcPr>
            <w:tcW w:w="1018" w:type="dxa"/>
          </w:tcPr>
          <w:p>
            <w:pPr>
              <w:pStyle w:val="TableParagraph"/>
              <w:spacing w:before="42"/>
              <w:ind w:left="117" w:right="119"/>
              <w:rPr>
                <w:sz w:val="18"/>
              </w:rPr>
            </w:pPr>
            <w:r>
              <w:rPr>
                <w:sz w:val="18"/>
              </w:rPr>
              <w:t>Muy bajo</w:t>
            </w:r>
          </w:p>
        </w:tc>
      </w:tr>
      <w:tr>
        <w:trPr>
          <w:trHeight w:val="293" w:hRule="exact"/>
        </w:trPr>
        <w:tc>
          <w:tcPr>
            <w:tcW w:w="2331" w:type="dxa"/>
          </w:tcPr>
          <w:p>
            <w:pPr>
              <w:pStyle w:val="TableParagraph"/>
              <w:spacing w:before="18"/>
              <w:ind w:left="64"/>
              <w:jc w:val="left"/>
              <w:rPr>
                <w:sz w:val="18"/>
              </w:rPr>
            </w:pPr>
            <w:r>
              <w:rPr>
                <w:sz w:val="18"/>
              </w:rPr>
              <w:t>San Felipe del Progreso</w:t>
            </w:r>
          </w:p>
        </w:tc>
        <w:tc>
          <w:tcPr>
            <w:tcW w:w="1248" w:type="dxa"/>
          </w:tcPr>
          <w:p>
            <w:pPr>
              <w:pStyle w:val="TableParagraph"/>
              <w:spacing w:before="18"/>
              <w:ind w:left="189" w:right="194"/>
              <w:rPr>
                <w:sz w:val="18"/>
              </w:rPr>
            </w:pPr>
            <w:r>
              <w:rPr>
                <w:sz w:val="18"/>
              </w:rPr>
              <w:t>1.9169</w:t>
            </w:r>
          </w:p>
        </w:tc>
        <w:tc>
          <w:tcPr>
            <w:tcW w:w="1229" w:type="dxa"/>
          </w:tcPr>
          <w:p>
            <w:pPr>
              <w:pStyle w:val="TableParagraph"/>
              <w:spacing w:before="18"/>
              <w:ind w:left="221" w:right="225"/>
              <w:rPr>
                <w:sz w:val="18"/>
              </w:rPr>
            </w:pPr>
            <w:r>
              <w:rPr>
                <w:sz w:val="18"/>
              </w:rPr>
              <w:t>Muy Alto</w:t>
            </w:r>
          </w:p>
        </w:tc>
        <w:tc>
          <w:tcPr>
            <w:tcW w:w="1015" w:type="dxa"/>
          </w:tcPr>
          <w:p>
            <w:pPr>
              <w:pStyle w:val="TableParagraph"/>
              <w:spacing w:before="42"/>
              <w:ind w:right="275"/>
              <w:jc w:val="right"/>
              <w:rPr>
                <w:sz w:val="18"/>
              </w:rPr>
            </w:pPr>
            <w:r>
              <w:rPr>
                <w:sz w:val="18"/>
              </w:rPr>
              <w:t>0.532</w:t>
            </w:r>
          </w:p>
        </w:tc>
        <w:tc>
          <w:tcPr>
            <w:tcW w:w="1018" w:type="dxa"/>
          </w:tcPr>
          <w:p>
            <w:pPr>
              <w:pStyle w:val="TableParagraph"/>
              <w:spacing w:before="42"/>
              <w:ind w:left="118" w:right="119"/>
              <w:rPr>
                <w:sz w:val="18"/>
              </w:rPr>
            </w:pPr>
            <w:r>
              <w:rPr>
                <w:sz w:val="18"/>
              </w:rPr>
              <w:t>Alto</w:t>
            </w:r>
          </w:p>
        </w:tc>
      </w:tr>
      <w:tr>
        <w:trPr>
          <w:trHeight w:val="293" w:hRule="exact"/>
        </w:trPr>
        <w:tc>
          <w:tcPr>
            <w:tcW w:w="2331" w:type="dxa"/>
          </w:tcPr>
          <w:p>
            <w:pPr>
              <w:pStyle w:val="TableParagraph"/>
              <w:spacing w:before="18"/>
              <w:ind w:left="64"/>
              <w:jc w:val="left"/>
              <w:rPr>
                <w:sz w:val="18"/>
              </w:rPr>
            </w:pPr>
            <w:r>
              <w:rPr>
                <w:sz w:val="18"/>
              </w:rPr>
              <w:t>San José del Rincón</w:t>
            </w:r>
          </w:p>
        </w:tc>
        <w:tc>
          <w:tcPr>
            <w:tcW w:w="1248" w:type="dxa"/>
          </w:tcPr>
          <w:p>
            <w:pPr>
              <w:pStyle w:val="TableParagraph"/>
              <w:spacing w:before="18"/>
              <w:ind w:left="190" w:right="194"/>
              <w:rPr>
                <w:sz w:val="18"/>
              </w:rPr>
            </w:pPr>
            <w:r>
              <w:rPr>
                <w:sz w:val="18"/>
              </w:rPr>
              <w:t>2.54817</w:t>
            </w:r>
          </w:p>
        </w:tc>
        <w:tc>
          <w:tcPr>
            <w:tcW w:w="1229" w:type="dxa"/>
          </w:tcPr>
          <w:p>
            <w:pPr>
              <w:pStyle w:val="TableParagraph"/>
              <w:spacing w:before="18"/>
              <w:ind w:left="221" w:right="225"/>
              <w:rPr>
                <w:sz w:val="18"/>
              </w:rPr>
            </w:pPr>
            <w:r>
              <w:rPr>
                <w:sz w:val="18"/>
              </w:rPr>
              <w:t>Muy Alto</w:t>
            </w:r>
          </w:p>
        </w:tc>
        <w:tc>
          <w:tcPr>
            <w:tcW w:w="1015" w:type="dxa"/>
          </w:tcPr>
          <w:p>
            <w:pPr>
              <w:pStyle w:val="TableParagraph"/>
              <w:spacing w:before="42"/>
              <w:ind w:right="275"/>
              <w:jc w:val="right"/>
              <w:rPr>
                <w:sz w:val="18"/>
              </w:rPr>
            </w:pPr>
            <w:r>
              <w:rPr>
                <w:sz w:val="18"/>
              </w:rPr>
              <w:t>0.885</w:t>
            </w:r>
          </w:p>
        </w:tc>
        <w:tc>
          <w:tcPr>
            <w:tcW w:w="1018" w:type="dxa"/>
          </w:tcPr>
          <w:p>
            <w:pPr>
              <w:pStyle w:val="TableParagraph"/>
              <w:spacing w:before="42"/>
              <w:ind w:left="118" w:right="119"/>
              <w:rPr>
                <w:sz w:val="18"/>
              </w:rPr>
            </w:pPr>
            <w:r>
              <w:rPr>
                <w:sz w:val="18"/>
              </w:rPr>
              <w:t>Alto</w:t>
            </w:r>
          </w:p>
        </w:tc>
      </w:tr>
      <w:tr>
        <w:trPr>
          <w:trHeight w:val="487" w:hRule="exact"/>
        </w:trPr>
        <w:tc>
          <w:tcPr>
            <w:tcW w:w="2331" w:type="dxa"/>
          </w:tcPr>
          <w:p>
            <w:pPr>
              <w:pStyle w:val="TableParagraph"/>
              <w:spacing w:line="276" w:lineRule="auto"/>
              <w:ind w:left="64" w:right="826"/>
              <w:jc w:val="left"/>
              <w:rPr>
                <w:sz w:val="18"/>
              </w:rPr>
            </w:pPr>
            <w:r>
              <w:rPr>
                <w:sz w:val="18"/>
              </w:rPr>
              <w:t>San Martín de las Pirámides</w:t>
            </w:r>
          </w:p>
        </w:tc>
        <w:tc>
          <w:tcPr>
            <w:tcW w:w="1248" w:type="dxa"/>
          </w:tcPr>
          <w:p>
            <w:pPr>
              <w:pStyle w:val="TableParagraph"/>
              <w:spacing w:before="116"/>
              <w:ind w:left="193" w:right="194"/>
              <w:rPr>
                <w:sz w:val="18"/>
              </w:rPr>
            </w:pPr>
            <w:r>
              <w:rPr>
                <w:sz w:val="18"/>
              </w:rPr>
              <w:t>-0.39924</w:t>
            </w:r>
          </w:p>
        </w:tc>
        <w:tc>
          <w:tcPr>
            <w:tcW w:w="1229" w:type="dxa"/>
          </w:tcPr>
          <w:p>
            <w:pPr>
              <w:pStyle w:val="TableParagraph"/>
              <w:spacing w:before="116"/>
              <w:ind w:left="221" w:right="225"/>
              <w:rPr>
                <w:sz w:val="18"/>
              </w:rPr>
            </w:pPr>
            <w:r>
              <w:rPr>
                <w:sz w:val="18"/>
              </w:rPr>
              <w:t>Medio</w:t>
            </w:r>
          </w:p>
        </w:tc>
        <w:tc>
          <w:tcPr>
            <w:tcW w:w="1015" w:type="dxa"/>
          </w:tcPr>
          <w:p>
            <w:pPr>
              <w:pStyle w:val="TableParagraph"/>
              <w:spacing w:before="3"/>
              <w:jc w:val="left"/>
              <w:rPr>
                <w:sz w:val="20"/>
              </w:rPr>
            </w:pPr>
          </w:p>
          <w:p>
            <w:pPr>
              <w:pStyle w:val="TableParagraph"/>
              <w:spacing w:before="1"/>
              <w:ind w:right="294"/>
              <w:jc w:val="right"/>
              <w:rPr>
                <w:sz w:val="18"/>
              </w:rPr>
            </w:pPr>
            <w:r>
              <w:rPr>
                <w:w w:val="95"/>
                <w:sz w:val="18"/>
              </w:rPr>
              <w:t>-1.15</w:t>
            </w:r>
          </w:p>
        </w:tc>
        <w:tc>
          <w:tcPr>
            <w:tcW w:w="1018" w:type="dxa"/>
          </w:tcPr>
          <w:p>
            <w:pPr>
              <w:pStyle w:val="TableParagraph"/>
              <w:spacing w:before="3"/>
              <w:jc w:val="left"/>
              <w:rPr>
                <w:sz w:val="20"/>
              </w:rPr>
            </w:pPr>
          </w:p>
          <w:p>
            <w:pPr>
              <w:pStyle w:val="TableParagraph"/>
              <w:spacing w:before="1"/>
              <w:ind w:left="118" w:right="119"/>
              <w:rPr>
                <w:sz w:val="18"/>
              </w:rPr>
            </w:pPr>
            <w:r>
              <w:rPr>
                <w:sz w:val="18"/>
              </w:rPr>
              <w:t>Bajo</w:t>
            </w:r>
          </w:p>
        </w:tc>
      </w:tr>
      <w:tr>
        <w:trPr>
          <w:trHeight w:val="293" w:hRule="exact"/>
        </w:trPr>
        <w:tc>
          <w:tcPr>
            <w:tcW w:w="2331" w:type="dxa"/>
          </w:tcPr>
          <w:p>
            <w:pPr>
              <w:pStyle w:val="TableParagraph"/>
              <w:spacing w:before="18"/>
              <w:ind w:left="64"/>
              <w:jc w:val="left"/>
              <w:rPr>
                <w:sz w:val="18"/>
              </w:rPr>
            </w:pPr>
            <w:r>
              <w:rPr>
                <w:sz w:val="18"/>
              </w:rPr>
              <w:t>San Mateo Atenco</w:t>
            </w:r>
          </w:p>
        </w:tc>
        <w:tc>
          <w:tcPr>
            <w:tcW w:w="1248" w:type="dxa"/>
          </w:tcPr>
          <w:p>
            <w:pPr>
              <w:pStyle w:val="TableParagraph"/>
              <w:spacing w:before="18"/>
              <w:ind w:left="193" w:right="194"/>
              <w:rPr>
                <w:sz w:val="18"/>
              </w:rPr>
            </w:pPr>
            <w:r>
              <w:rPr>
                <w:sz w:val="18"/>
              </w:rPr>
              <w:t>-0.67935</w:t>
            </w:r>
          </w:p>
        </w:tc>
        <w:tc>
          <w:tcPr>
            <w:tcW w:w="1229" w:type="dxa"/>
          </w:tcPr>
          <w:p>
            <w:pPr>
              <w:pStyle w:val="TableParagraph"/>
              <w:spacing w:before="18"/>
              <w:ind w:left="223" w:right="223"/>
              <w:rPr>
                <w:sz w:val="18"/>
              </w:rPr>
            </w:pPr>
            <w:r>
              <w:rPr>
                <w:sz w:val="18"/>
              </w:rPr>
              <w:t>Bajo</w:t>
            </w:r>
          </w:p>
        </w:tc>
        <w:tc>
          <w:tcPr>
            <w:tcW w:w="1015" w:type="dxa"/>
          </w:tcPr>
          <w:p>
            <w:pPr>
              <w:pStyle w:val="TableParagraph"/>
              <w:spacing w:before="39"/>
              <w:ind w:right="244"/>
              <w:jc w:val="right"/>
              <w:rPr>
                <w:sz w:val="18"/>
              </w:rPr>
            </w:pPr>
            <w:r>
              <w:rPr>
                <w:sz w:val="18"/>
              </w:rPr>
              <w:t>-1.336</w:t>
            </w:r>
          </w:p>
        </w:tc>
        <w:tc>
          <w:tcPr>
            <w:tcW w:w="1018" w:type="dxa"/>
          </w:tcPr>
          <w:p>
            <w:pPr>
              <w:pStyle w:val="TableParagraph"/>
              <w:spacing w:before="39"/>
              <w:ind w:left="117" w:right="119"/>
              <w:rPr>
                <w:sz w:val="18"/>
              </w:rPr>
            </w:pPr>
            <w:r>
              <w:rPr>
                <w:sz w:val="18"/>
              </w:rPr>
              <w:t>Muy bajo</w:t>
            </w:r>
          </w:p>
        </w:tc>
      </w:tr>
    </w:tbl>
    <w:p>
      <w:pPr>
        <w:spacing w:after="0"/>
        <w:rPr>
          <w:sz w:val="18"/>
        </w:rPr>
        <w:sectPr>
          <w:pgSz w:w="12240" w:h="15840"/>
          <w:pgMar w:header="0" w:footer="975" w:top="1420" w:bottom="1160" w:left="1720" w:right="1720"/>
        </w:sectPr>
      </w:pPr>
    </w:p>
    <w:tbl>
      <w:tblPr>
        <w:tblW w:w="0" w:type="auto"/>
        <w:jc w:val="left"/>
        <w:tblInd w:w="9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31"/>
        <w:gridCol w:w="1248"/>
        <w:gridCol w:w="1229"/>
        <w:gridCol w:w="1015"/>
        <w:gridCol w:w="1018"/>
      </w:tblGrid>
      <w:tr>
        <w:trPr>
          <w:trHeight w:val="424" w:hRule="exact"/>
        </w:trPr>
        <w:tc>
          <w:tcPr>
            <w:tcW w:w="6842" w:type="dxa"/>
            <w:gridSpan w:val="5"/>
            <w:shd w:val="clear" w:color="auto" w:fill="92D050"/>
          </w:tcPr>
          <w:p>
            <w:pPr>
              <w:pStyle w:val="TableParagraph"/>
              <w:ind w:left="1512" w:right="275" w:hanging="1227"/>
              <w:jc w:val="left"/>
              <w:rPr>
                <w:b/>
                <w:sz w:val="18"/>
              </w:rPr>
            </w:pPr>
            <w:r>
              <w:rPr>
                <w:b/>
                <w:sz w:val="18"/>
              </w:rPr>
              <w:t>Anexo 2. Índices de marginación de los municipios del Estado de México durante el periodo 2006-2010 (Continuación)</w:t>
            </w:r>
          </w:p>
        </w:tc>
      </w:tr>
      <w:tr>
        <w:trPr>
          <w:trHeight w:val="631" w:hRule="exact"/>
        </w:trPr>
        <w:tc>
          <w:tcPr>
            <w:tcW w:w="2331" w:type="dxa"/>
            <w:shd w:val="clear" w:color="auto" w:fill="92D050"/>
          </w:tcPr>
          <w:p>
            <w:pPr>
              <w:pStyle w:val="TableParagraph"/>
              <w:spacing w:before="2"/>
              <w:jc w:val="left"/>
              <w:rPr>
                <w:sz w:val="17"/>
              </w:rPr>
            </w:pPr>
          </w:p>
          <w:p>
            <w:pPr>
              <w:pStyle w:val="TableParagraph"/>
              <w:ind w:left="739"/>
              <w:jc w:val="left"/>
              <w:rPr>
                <w:b/>
                <w:sz w:val="18"/>
              </w:rPr>
            </w:pPr>
            <w:r>
              <w:rPr>
                <w:b/>
                <w:sz w:val="18"/>
              </w:rPr>
              <w:t>Municipio</w:t>
            </w:r>
          </w:p>
        </w:tc>
        <w:tc>
          <w:tcPr>
            <w:tcW w:w="1248" w:type="dxa"/>
            <w:shd w:val="clear" w:color="auto" w:fill="92D050"/>
          </w:tcPr>
          <w:p>
            <w:pPr>
              <w:pStyle w:val="TableParagraph"/>
              <w:ind w:left="79" w:right="85" w:firstLine="1"/>
              <w:rPr>
                <w:b/>
                <w:sz w:val="18"/>
              </w:rPr>
            </w:pPr>
            <w:r>
              <w:rPr>
                <w:b/>
                <w:sz w:val="18"/>
              </w:rPr>
              <w:t>Índice de marginación</w:t>
            </w:r>
            <w:r>
              <w:rPr>
                <w:b/>
                <w:w w:val="100"/>
                <w:sz w:val="18"/>
              </w:rPr>
              <w:t> </w:t>
            </w:r>
            <w:r>
              <w:rPr>
                <w:b/>
                <w:sz w:val="18"/>
              </w:rPr>
              <w:t>2005</w:t>
            </w:r>
          </w:p>
        </w:tc>
        <w:tc>
          <w:tcPr>
            <w:tcW w:w="1229" w:type="dxa"/>
            <w:shd w:val="clear" w:color="auto" w:fill="92D050"/>
          </w:tcPr>
          <w:p>
            <w:pPr>
              <w:pStyle w:val="TableParagraph"/>
              <w:spacing w:before="2"/>
              <w:jc w:val="left"/>
              <w:rPr>
                <w:sz w:val="17"/>
              </w:rPr>
            </w:pPr>
          </w:p>
          <w:p>
            <w:pPr>
              <w:pStyle w:val="TableParagraph"/>
              <w:ind w:left="280" w:right="134" w:hanging="135"/>
              <w:jc w:val="left"/>
              <w:rPr>
                <w:b/>
                <w:sz w:val="18"/>
              </w:rPr>
            </w:pPr>
            <w:r>
              <w:rPr>
                <w:b/>
                <w:sz w:val="18"/>
              </w:rPr>
              <w:t>Valoración IM 2005</w:t>
            </w:r>
          </w:p>
        </w:tc>
        <w:tc>
          <w:tcPr>
            <w:tcW w:w="2033" w:type="dxa"/>
            <w:gridSpan w:val="2"/>
            <w:shd w:val="clear" w:color="auto" w:fill="92D050"/>
          </w:tcPr>
          <w:p>
            <w:pPr>
              <w:pStyle w:val="TableParagraph"/>
              <w:spacing w:before="2"/>
              <w:jc w:val="left"/>
              <w:rPr>
                <w:sz w:val="17"/>
              </w:rPr>
            </w:pPr>
          </w:p>
          <w:p>
            <w:pPr>
              <w:pStyle w:val="TableParagraph"/>
              <w:ind w:left="199"/>
              <w:jc w:val="left"/>
              <w:rPr>
                <w:b/>
                <w:sz w:val="18"/>
              </w:rPr>
            </w:pPr>
            <w:r>
              <w:rPr>
                <w:b/>
                <w:sz w:val="18"/>
              </w:rPr>
              <w:t>Valoración IM 2010</w:t>
            </w:r>
          </w:p>
        </w:tc>
      </w:tr>
      <w:tr>
        <w:trPr>
          <w:trHeight w:val="293" w:hRule="exact"/>
        </w:trPr>
        <w:tc>
          <w:tcPr>
            <w:tcW w:w="2331" w:type="dxa"/>
          </w:tcPr>
          <w:p>
            <w:pPr>
              <w:pStyle w:val="TableParagraph"/>
              <w:spacing w:before="18"/>
              <w:ind w:left="64"/>
              <w:jc w:val="left"/>
              <w:rPr>
                <w:sz w:val="18"/>
              </w:rPr>
            </w:pPr>
            <w:r>
              <w:rPr>
                <w:sz w:val="18"/>
              </w:rPr>
              <w:t>San Simón de Guerrero</w:t>
            </w:r>
          </w:p>
        </w:tc>
        <w:tc>
          <w:tcPr>
            <w:tcW w:w="1248" w:type="dxa"/>
          </w:tcPr>
          <w:p>
            <w:pPr>
              <w:pStyle w:val="TableParagraph"/>
              <w:spacing w:before="18"/>
              <w:ind w:left="189" w:right="194"/>
              <w:rPr>
                <w:sz w:val="18"/>
              </w:rPr>
            </w:pPr>
            <w:r>
              <w:rPr>
                <w:sz w:val="18"/>
              </w:rPr>
              <w:t>1.07182</w:t>
            </w:r>
          </w:p>
        </w:tc>
        <w:tc>
          <w:tcPr>
            <w:tcW w:w="1229" w:type="dxa"/>
          </w:tcPr>
          <w:p>
            <w:pPr>
              <w:pStyle w:val="TableParagraph"/>
              <w:spacing w:before="18"/>
              <w:ind w:left="222" w:right="225"/>
              <w:rPr>
                <w:sz w:val="18"/>
              </w:rPr>
            </w:pPr>
            <w:r>
              <w:rPr>
                <w:sz w:val="18"/>
              </w:rPr>
              <w:t>Alto</w:t>
            </w:r>
          </w:p>
        </w:tc>
        <w:tc>
          <w:tcPr>
            <w:tcW w:w="1015" w:type="dxa"/>
          </w:tcPr>
          <w:p>
            <w:pPr>
              <w:pStyle w:val="TableParagraph"/>
              <w:spacing w:before="42"/>
              <w:ind w:right="275"/>
              <w:jc w:val="right"/>
              <w:rPr>
                <w:sz w:val="18"/>
              </w:rPr>
            </w:pPr>
            <w:r>
              <w:rPr>
                <w:sz w:val="18"/>
              </w:rPr>
              <w:t>0.147</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20"/>
              <w:ind w:left="64"/>
              <w:jc w:val="left"/>
              <w:rPr>
                <w:sz w:val="18"/>
              </w:rPr>
            </w:pPr>
            <w:r>
              <w:rPr>
                <w:sz w:val="18"/>
              </w:rPr>
              <w:t>Santo Tomás</w:t>
            </w:r>
          </w:p>
        </w:tc>
        <w:tc>
          <w:tcPr>
            <w:tcW w:w="1248" w:type="dxa"/>
          </w:tcPr>
          <w:p>
            <w:pPr>
              <w:pStyle w:val="TableParagraph"/>
              <w:spacing w:before="20"/>
              <w:ind w:left="190" w:right="194"/>
              <w:rPr>
                <w:sz w:val="18"/>
              </w:rPr>
            </w:pPr>
            <w:r>
              <w:rPr>
                <w:sz w:val="18"/>
              </w:rPr>
              <w:t>0.43069</w:t>
            </w:r>
          </w:p>
        </w:tc>
        <w:tc>
          <w:tcPr>
            <w:tcW w:w="1229" w:type="dxa"/>
          </w:tcPr>
          <w:p>
            <w:pPr>
              <w:pStyle w:val="TableParagraph"/>
              <w:spacing w:before="20"/>
              <w:ind w:left="222" w:right="225"/>
              <w:rPr>
                <w:sz w:val="18"/>
              </w:rPr>
            </w:pPr>
            <w:r>
              <w:rPr>
                <w:sz w:val="18"/>
              </w:rPr>
              <w:t>Alto</w:t>
            </w:r>
          </w:p>
        </w:tc>
        <w:tc>
          <w:tcPr>
            <w:tcW w:w="1015" w:type="dxa"/>
          </w:tcPr>
          <w:p>
            <w:pPr>
              <w:pStyle w:val="TableParagraph"/>
              <w:spacing w:before="42"/>
              <w:ind w:right="344"/>
              <w:jc w:val="right"/>
              <w:rPr>
                <w:sz w:val="18"/>
              </w:rPr>
            </w:pPr>
            <w:r>
              <w:rPr>
                <w:w w:val="95"/>
                <w:sz w:val="18"/>
              </w:rPr>
              <w:t>-0.2</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20"/>
              <w:ind w:left="64"/>
              <w:jc w:val="left"/>
              <w:rPr>
                <w:sz w:val="18"/>
              </w:rPr>
            </w:pPr>
            <w:r>
              <w:rPr>
                <w:sz w:val="18"/>
              </w:rPr>
              <w:t>Soyaniquilpan de Juárez</w:t>
            </w:r>
          </w:p>
        </w:tc>
        <w:tc>
          <w:tcPr>
            <w:tcW w:w="1248" w:type="dxa"/>
          </w:tcPr>
          <w:p>
            <w:pPr>
              <w:pStyle w:val="TableParagraph"/>
              <w:spacing w:before="20"/>
              <w:ind w:left="190" w:right="194"/>
              <w:rPr>
                <w:sz w:val="18"/>
              </w:rPr>
            </w:pPr>
            <w:r>
              <w:rPr>
                <w:sz w:val="18"/>
              </w:rPr>
              <w:t>0.32027</w:t>
            </w:r>
          </w:p>
        </w:tc>
        <w:tc>
          <w:tcPr>
            <w:tcW w:w="1229" w:type="dxa"/>
          </w:tcPr>
          <w:p>
            <w:pPr>
              <w:pStyle w:val="TableParagraph"/>
              <w:spacing w:before="20"/>
              <w:ind w:left="222" w:right="225"/>
              <w:rPr>
                <w:sz w:val="18"/>
              </w:rPr>
            </w:pPr>
            <w:r>
              <w:rPr>
                <w:sz w:val="18"/>
              </w:rPr>
              <w:t>Alto</w:t>
            </w:r>
          </w:p>
        </w:tc>
        <w:tc>
          <w:tcPr>
            <w:tcW w:w="1015" w:type="dxa"/>
          </w:tcPr>
          <w:p>
            <w:pPr>
              <w:pStyle w:val="TableParagraph"/>
              <w:spacing w:before="42"/>
              <w:ind w:right="244"/>
              <w:jc w:val="right"/>
              <w:rPr>
                <w:sz w:val="18"/>
              </w:rPr>
            </w:pPr>
            <w:r>
              <w:rPr>
                <w:sz w:val="18"/>
              </w:rPr>
              <w:t>-0.314</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20"/>
              <w:ind w:left="64"/>
              <w:jc w:val="left"/>
              <w:rPr>
                <w:sz w:val="18"/>
              </w:rPr>
            </w:pPr>
            <w:r>
              <w:rPr>
                <w:sz w:val="18"/>
              </w:rPr>
              <w:t>Sultepec</w:t>
            </w:r>
          </w:p>
        </w:tc>
        <w:tc>
          <w:tcPr>
            <w:tcW w:w="1248" w:type="dxa"/>
          </w:tcPr>
          <w:p>
            <w:pPr>
              <w:pStyle w:val="TableParagraph"/>
              <w:spacing w:before="20"/>
              <w:ind w:left="190" w:right="194"/>
              <w:rPr>
                <w:sz w:val="18"/>
              </w:rPr>
            </w:pPr>
            <w:r>
              <w:rPr>
                <w:sz w:val="18"/>
              </w:rPr>
              <w:t>2.18635</w:t>
            </w:r>
          </w:p>
        </w:tc>
        <w:tc>
          <w:tcPr>
            <w:tcW w:w="1229" w:type="dxa"/>
          </w:tcPr>
          <w:p>
            <w:pPr>
              <w:pStyle w:val="TableParagraph"/>
              <w:spacing w:before="20"/>
              <w:ind w:left="221" w:right="225"/>
              <w:rPr>
                <w:sz w:val="18"/>
              </w:rPr>
            </w:pPr>
            <w:r>
              <w:rPr>
                <w:sz w:val="18"/>
              </w:rPr>
              <w:t>Muy Alto</w:t>
            </w:r>
          </w:p>
        </w:tc>
        <w:tc>
          <w:tcPr>
            <w:tcW w:w="1015" w:type="dxa"/>
          </w:tcPr>
          <w:p>
            <w:pPr>
              <w:pStyle w:val="TableParagraph"/>
              <w:spacing w:before="42"/>
              <w:ind w:right="275"/>
              <w:jc w:val="right"/>
              <w:rPr>
                <w:sz w:val="18"/>
              </w:rPr>
            </w:pPr>
            <w:r>
              <w:rPr>
                <w:sz w:val="18"/>
              </w:rPr>
              <w:t>1.019</w:t>
            </w:r>
          </w:p>
        </w:tc>
        <w:tc>
          <w:tcPr>
            <w:tcW w:w="1018" w:type="dxa"/>
          </w:tcPr>
          <w:p>
            <w:pPr>
              <w:pStyle w:val="TableParagraph"/>
              <w:spacing w:before="42"/>
              <w:ind w:left="118" w:right="118"/>
              <w:rPr>
                <w:sz w:val="18"/>
              </w:rPr>
            </w:pPr>
            <w:r>
              <w:rPr>
                <w:sz w:val="18"/>
              </w:rPr>
              <w:t>Muy alto</w:t>
            </w:r>
          </w:p>
        </w:tc>
      </w:tr>
      <w:tr>
        <w:trPr>
          <w:trHeight w:val="293" w:hRule="exact"/>
        </w:trPr>
        <w:tc>
          <w:tcPr>
            <w:tcW w:w="2331" w:type="dxa"/>
          </w:tcPr>
          <w:p>
            <w:pPr>
              <w:pStyle w:val="TableParagraph"/>
              <w:spacing w:before="20"/>
              <w:ind w:left="64"/>
              <w:jc w:val="left"/>
              <w:rPr>
                <w:sz w:val="18"/>
              </w:rPr>
            </w:pPr>
            <w:r>
              <w:rPr>
                <w:sz w:val="18"/>
              </w:rPr>
              <w:t>Tecámac</w:t>
            </w:r>
          </w:p>
        </w:tc>
        <w:tc>
          <w:tcPr>
            <w:tcW w:w="1248" w:type="dxa"/>
          </w:tcPr>
          <w:p>
            <w:pPr>
              <w:pStyle w:val="TableParagraph"/>
              <w:spacing w:before="20"/>
              <w:ind w:left="193" w:right="194"/>
              <w:rPr>
                <w:sz w:val="18"/>
              </w:rPr>
            </w:pPr>
            <w:r>
              <w:rPr>
                <w:sz w:val="18"/>
              </w:rPr>
              <w:t>-1.16195</w:t>
            </w:r>
          </w:p>
        </w:tc>
        <w:tc>
          <w:tcPr>
            <w:tcW w:w="1229" w:type="dxa"/>
          </w:tcPr>
          <w:p>
            <w:pPr>
              <w:pStyle w:val="TableParagraph"/>
              <w:spacing w:before="20"/>
              <w:ind w:left="223" w:right="223"/>
              <w:rPr>
                <w:sz w:val="18"/>
              </w:rPr>
            </w:pPr>
            <w:r>
              <w:rPr>
                <w:sz w:val="18"/>
              </w:rPr>
              <w:t>Bajo</w:t>
            </w:r>
          </w:p>
        </w:tc>
        <w:tc>
          <w:tcPr>
            <w:tcW w:w="1015" w:type="dxa"/>
          </w:tcPr>
          <w:p>
            <w:pPr>
              <w:pStyle w:val="TableParagraph"/>
              <w:spacing w:before="42"/>
              <w:ind w:right="244"/>
              <w:jc w:val="right"/>
              <w:rPr>
                <w:sz w:val="18"/>
              </w:rPr>
            </w:pPr>
            <w:r>
              <w:rPr>
                <w:sz w:val="18"/>
              </w:rPr>
              <w:t>-1.767</w:t>
            </w:r>
          </w:p>
        </w:tc>
        <w:tc>
          <w:tcPr>
            <w:tcW w:w="1018" w:type="dxa"/>
          </w:tcPr>
          <w:p>
            <w:pPr>
              <w:pStyle w:val="TableParagraph"/>
              <w:spacing w:before="42"/>
              <w:ind w:left="117" w:right="119"/>
              <w:rPr>
                <w:sz w:val="18"/>
              </w:rPr>
            </w:pPr>
            <w:r>
              <w:rPr>
                <w:sz w:val="18"/>
              </w:rPr>
              <w:t>Muy bajo</w:t>
            </w:r>
          </w:p>
        </w:tc>
      </w:tr>
      <w:tr>
        <w:trPr>
          <w:trHeight w:val="293" w:hRule="exact"/>
        </w:trPr>
        <w:tc>
          <w:tcPr>
            <w:tcW w:w="2331" w:type="dxa"/>
          </w:tcPr>
          <w:p>
            <w:pPr>
              <w:pStyle w:val="TableParagraph"/>
              <w:spacing w:before="20"/>
              <w:ind w:left="64"/>
              <w:jc w:val="left"/>
              <w:rPr>
                <w:sz w:val="18"/>
              </w:rPr>
            </w:pPr>
            <w:r>
              <w:rPr>
                <w:sz w:val="18"/>
              </w:rPr>
              <w:t>Tejupilco</w:t>
            </w:r>
          </w:p>
        </w:tc>
        <w:tc>
          <w:tcPr>
            <w:tcW w:w="1248" w:type="dxa"/>
          </w:tcPr>
          <w:p>
            <w:pPr>
              <w:pStyle w:val="TableParagraph"/>
              <w:spacing w:before="20"/>
              <w:ind w:left="190" w:right="194"/>
              <w:rPr>
                <w:sz w:val="18"/>
              </w:rPr>
            </w:pPr>
            <w:r>
              <w:rPr>
                <w:sz w:val="18"/>
              </w:rPr>
              <w:t>0.91833</w:t>
            </w:r>
          </w:p>
        </w:tc>
        <w:tc>
          <w:tcPr>
            <w:tcW w:w="1229" w:type="dxa"/>
          </w:tcPr>
          <w:p>
            <w:pPr>
              <w:pStyle w:val="TableParagraph"/>
              <w:spacing w:before="20"/>
              <w:ind w:left="222" w:right="225"/>
              <w:rPr>
                <w:sz w:val="18"/>
              </w:rPr>
            </w:pPr>
            <w:r>
              <w:rPr>
                <w:sz w:val="18"/>
              </w:rPr>
              <w:t>Alto</w:t>
            </w:r>
          </w:p>
        </w:tc>
        <w:tc>
          <w:tcPr>
            <w:tcW w:w="1015" w:type="dxa"/>
          </w:tcPr>
          <w:p>
            <w:pPr>
              <w:pStyle w:val="TableParagraph"/>
              <w:spacing w:before="42"/>
              <w:ind w:right="275"/>
              <w:jc w:val="right"/>
              <w:rPr>
                <w:sz w:val="18"/>
              </w:rPr>
            </w:pPr>
            <w:r>
              <w:rPr>
                <w:sz w:val="18"/>
              </w:rPr>
              <w:t>0.107</w:t>
            </w:r>
          </w:p>
        </w:tc>
        <w:tc>
          <w:tcPr>
            <w:tcW w:w="1018" w:type="dxa"/>
          </w:tcPr>
          <w:p>
            <w:pPr>
              <w:pStyle w:val="TableParagraph"/>
              <w:spacing w:before="42"/>
              <w:ind w:left="115" w:right="119"/>
              <w:rPr>
                <w:sz w:val="18"/>
              </w:rPr>
            </w:pPr>
            <w:r>
              <w:rPr>
                <w:sz w:val="18"/>
              </w:rPr>
              <w:t>Medio</w:t>
            </w:r>
          </w:p>
        </w:tc>
      </w:tr>
      <w:tr>
        <w:trPr>
          <w:trHeight w:val="295" w:hRule="exact"/>
        </w:trPr>
        <w:tc>
          <w:tcPr>
            <w:tcW w:w="2331" w:type="dxa"/>
          </w:tcPr>
          <w:p>
            <w:pPr>
              <w:pStyle w:val="TableParagraph"/>
              <w:spacing w:before="20"/>
              <w:ind w:left="64"/>
              <w:jc w:val="left"/>
              <w:rPr>
                <w:sz w:val="18"/>
              </w:rPr>
            </w:pPr>
            <w:r>
              <w:rPr>
                <w:sz w:val="18"/>
              </w:rPr>
              <w:t>Temamatla</w:t>
            </w:r>
          </w:p>
        </w:tc>
        <w:tc>
          <w:tcPr>
            <w:tcW w:w="1248" w:type="dxa"/>
          </w:tcPr>
          <w:p>
            <w:pPr>
              <w:pStyle w:val="TableParagraph"/>
              <w:spacing w:before="20"/>
              <w:ind w:left="193" w:right="194"/>
              <w:rPr>
                <w:sz w:val="18"/>
              </w:rPr>
            </w:pPr>
            <w:r>
              <w:rPr>
                <w:sz w:val="18"/>
              </w:rPr>
              <w:t>-0.55692</w:t>
            </w:r>
          </w:p>
        </w:tc>
        <w:tc>
          <w:tcPr>
            <w:tcW w:w="1229" w:type="dxa"/>
          </w:tcPr>
          <w:p>
            <w:pPr>
              <w:pStyle w:val="TableParagraph"/>
              <w:spacing w:before="20"/>
              <w:ind w:left="223" w:right="223"/>
              <w:rPr>
                <w:sz w:val="18"/>
              </w:rPr>
            </w:pPr>
            <w:r>
              <w:rPr>
                <w:sz w:val="18"/>
              </w:rPr>
              <w:t>Bajo</w:t>
            </w:r>
          </w:p>
        </w:tc>
        <w:tc>
          <w:tcPr>
            <w:tcW w:w="1015" w:type="dxa"/>
          </w:tcPr>
          <w:p>
            <w:pPr>
              <w:pStyle w:val="TableParagraph"/>
              <w:spacing w:before="42"/>
              <w:ind w:right="242"/>
              <w:jc w:val="right"/>
              <w:rPr>
                <w:sz w:val="18"/>
              </w:rPr>
            </w:pPr>
            <w:r>
              <w:rPr>
                <w:w w:val="95"/>
                <w:sz w:val="18"/>
              </w:rPr>
              <w:t>-1.154</w:t>
            </w:r>
          </w:p>
        </w:tc>
        <w:tc>
          <w:tcPr>
            <w:tcW w:w="1018" w:type="dxa"/>
          </w:tcPr>
          <w:p>
            <w:pPr>
              <w:pStyle w:val="TableParagraph"/>
              <w:spacing w:before="42"/>
              <w:ind w:left="118" w:right="119"/>
              <w:rPr>
                <w:sz w:val="18"/>
              </w:rPr>
            </w:pPr>
            <w:r>
              <w:rPr>
                <w:sz w:val="18"/>
              </w:rPr>
              <w:t>Bajo</w:t>
            </w:r>
          </w:p>
        </w:tc>
      </w:tr>
      <w:tr>
        <w:trPr>
          <w:trHeight w:val="293" w:hRule="exact"/>
        </w:trPr>
        <w:tc>
          <w:tcPr>
            <w:tcW w:w="2331" w:type="dxa"/>
          </w:tcPr>
          <w:p>
            <w:pPr>
              <w:pStyle w:val="TableParagraph"/>
              <w:spacing w:before="18"/>
              <w:ind w:left="64"/>
              <w:jc w:val="left"/>
              <w:rPr>
                <w:sz w:val="18"/>
              </w:rPr>
            </w:pPr>
            <w:r>
              <w:rPr>
                <w:sz w:val="18"/>
              </w:rPr>
              <w:t>Temascalapa</w:t>
            </w:r>
          </w:p>
        </w:tc>
        <w:tc>
          <w:tcPr>
            <w:tcW w:w="1248" w:type="dxa"/>
          </w:tcPr>
          <w:p>
            <w:pPr>
              <w:pStyle w:val="TableParagraph"/>
              <w:spacing w:before="18"/>
              <w:ind w:left="193" w:right="194"/>
              <w:rPr>
                <w:sz w:val="18"/>
              </w:rPr>
            </w:pPr>
            <w:r>
              <w:rPr>
                <w:sz w:val="18"/>
              </w:rPr>
              <w:t>-0.13797</w:t>
            </w:r>
          </w:p>
        </w:tc>
        <w:tc>
          <w:tcPr>
            <w:tcW w:w="1229" w:type="dxa"/>
          </w:tcPr>
          <w:p>
            <w:pPr>
              <w:pStyle w:val="TableParagraph"/>
              <w:spacing w:before="18"/>
              <w:ind w:left="221" w:right="225"/>
              <w:rPr>
                <w:sz w:val="18"/>
              </w:rPr>
            </w:pPr>
            <w:r>
              <w:rPr>
                <w:sz w:val="18"/>
              </w:rPr>
              <w:t>Medio</w:t>
            </w:r>
          </w:p>
        </w:tc>
        <w:tc>
          <w:tcPr>
            <w:tcW w:w="1015" w:type="dxa"/>
          </w:tcPr>
          <w:p>
            <w:pPr>
              <w:pStyle w:val="TableParagraph"/>
              <w:spacing w:before="39"/>
              <w:ind w:right="294"/>
              <w:jc w:val="right"/>
              <w:rPr>
                <w:sz w:val="18"/>
              </w:rPr>
            </w:pPr>
            <w:r>
              <w:rPr>
                <w:w w:val="95"/>
                <w:sz w:val="18"/>
              </w:rPr>
              <w:t>-0.87</w:t>
            </w:r>
          </w:p>
        </w:tc>
        <w:tc>
          <w:tcPr>
            <w:tcW w:w="1018" w:type="dxa"/>
          </w:tcPr>
          <w:p>
            <w:pPr>
              <w:pStyle w:val="TableParagraph"/>
              <w:spacing w:before="39"/>
              <w:ind w:left="118" w:right="119"/>
              <w:rPr>
                <w:sz w:val="18"/>
              </w:rPr>
            </w:pPr>
            <w:r>
              <w:rPr>
                <w:sz w:val="18"/>
              </w:rPr>
              <w:t>Bajo</w:t>
            </w:r>
          </w:p>
        </w:tc>
      </w:tr>
      <w:tr>
        <w:trPr>
          <w:trHeight w:val="293" w:hRule="exact"/>
        </w:trPr>
        <w:tc>
          <w:tcPr>
            <w:tcW w:w="2331" w:type="dxa"/>
          </w:tcPr>
          <w:p>
            <w:pPr>
              <w:pStyle w:val="TableParagraph"/>
              <w:spacing w:before="18"/>
              <w:ind w:left="64"/>
              <w:jc w:val="left"/>
              <w:rPr>
                <w:sz w:val="18"/>
              </w:rPr>
            </w:pPr>
            <w:r>
              <w:rPr>
                <w:sz w:val="18"/>
              </w:rPr>
              <w:t>Temascalcingo</w:t>
            </w:r>
          </w:p>
        </w:tc>
        <w:tc>
          <w:tcPr>
            <w:tcW w:w="1248" w:type="dxa"/>
          </w:tcPr>
          <w:p>
            <w:pPr>
              <w:pStyle w:val="TableParagraph"/>
              <w:spacing w:before="18"/>
              <w:ind w:left="190" w:right="194"/>
              <w:rPr>
                <w:sz w:val="18"/>
              </w:rPr>
            </w:pPr>
            <w:r>
              <w:rPr>
                <w:sz w:val="18"/>
              </w:rPr>
              <w:t>0.90496</w:t>
            </w:r>
          </w:p>
        </w:tc>
        <w:tc>
          <w:tcPr>
            <w:tcW w:w="1229" w:type="dxa"/>
          </w:tcPr>
          <w:p>
            <w:pPr>
              <w:pStyle w:val="TableParagraph"/>
              <w:spacing w:before="18"/>
              <w:ind w:left="222" w:right="225"/>
              <w:rPr>
                <w:sz w:val="18"/>
              </w:rPr>
            </w:pPr>
            <w:r>
              <w:rPr>
                <w:sz w:val="18"/>
              </w:rPr>
              <w:t>Alto</w:t>
            </w:r>
          </w:p>
        </w:tc>
        <w:tc>
          <w:tcPr>
            <w:tcW w:w="1015" w:type="dxa"/>
          </w:tcPr>
          <w:p>
            <w:pPr>
              <w:pStyle w:val="TableParagraph"/>
              <w:spacing w:before="42"/>
              <w:ind w:right="275"/>
              <w:jc w:val="right"/>
              <w:rPr>
                <w:sz w:val="18"/>
              </w:rPr>
            </w:pPr>
            <w:r>
              <w:rPr>
                <w:sz w:val="18"/>
              </w:rPr>
              <w:t>0.102</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18"/>
              <w:ind w:left="64"/>
              <w:jc w:val="left"/>
              <w:rPr>
                <w:sz w:val="18"/>
              </w:rPr>
            </w:pPr>
            <w:r>
              <w:rPr>
                <w:sz w:val="18"/>
              </w:rPr>
              <w:t>Temascaltepec</w:t>
            </w:r>
          </w:p>
        </w:tc>
        <w:tc>
          <w:tcPr>
            <w:tcW w:w="1248" w:type="dxa"/>
          </w:tcPr>
          <w:p>
            <w:pPr>
              <w:pStyle w:val="TableParagraph"/>
              <w:spacing w:before="18"/>
              <w:ind w:left="190" w:right="194"/>
              <w:rPr>
                <w:sz w:val="18"/>
              </w:rPr>
            </w:pPr>
            <w:r>
              <w:rPr>
                <w:sz w:val="18"/>
              </w:rPr>
              <w:t>1.53436</w:t>
            </w:r>
          </w:p>
        </w:tc>
        <w:tc>
          <w:tcPr>
            <w:tcW w:w="1229" w:type="dxa"/>
          </w:tcPr>
          <w:p>
            <w:pPr>
              <w:pStyle w:val="TableParagraph"/>
              <w:spacing w:before="18"/>
              <w:ind w:left="221" w:right="225"/>
              <w:rPr>
                <w:sz w:val="18"/>
              </w:rPr>
            </w:pPr>
            <w:r>
              <w:rPr>
                <w:sz w:val="18"/>
              </w:rPr>
              <w:t>Muy Alto</w:t>
            </w:r>
          </w:p>
        </w:tc>
        <w:tc>
          <w:tcPr>
            <w:tcW w:w="1015" w:type="dxa"/>
          </w:tcPr>
          <w:p>
            <w:pPr>
              <w:pStyle w:val="TableParagraph"/>
              <w:spacing w:before="42"/>
              <w:ind w:right="275"/>
              <w:jc w:val="right"/>
              <w:rPr>
                <w:sz w:val="18"/>
              </w:rPr>
            </w:pPr>
            <w:r>
              <w:rPr>
                <w:sz w:val="18"/>
              </w:rPr>
              <w:t>0.234</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18"/>
              <w:ind w:left="64"/>
              <w:jc w:val="left"/>
              <w:rPr>
                <w:sz w:val="18"/>
              </w:rPr>
            </w:pPr>
            <w:r>
              <w:rPr>
                <w:sz w:val="18"/>
              </w:rPr>
              <w:t>Temoaya</w:t>
            </w:r>
          </w:p>
        </w:tc>
        <w:tc>
          <w:tcPr>
            <w:tcW w:w="1248" w:type="dxa"/>
          </w:tcPr>
          <w:p>
            <w:pPr>
              <w:pStyle w:val="TableParagraph"/>
              <w:spacing w:before="18"/>
              <w:ind w:left="190" w:right="194"/>
              <w:rPr>
                <w:sz w:val="18"/>
              </w:rPr>
            </w:pPr>
            <w:r>
              <w:rPr>
                <w:sz w:val="18"/>
              </w:rPr>
              <w:t>1.09059</w:t>
            </w:r>
          </w:p>
        </w:tc>
        <w:tc>
          <w:tcPr>
            <w:tcW w:w="1229" w:type="dxa"/>
          </w:tcPr>
          <w:p>
            <w:pPr>
              <w:pStyle w:val="TableParagraph"/>
              <w:spacing w:before="18"/>
              <w:ind w:left="222" w:right="225"/>
              <w:rPr>
                <w:sz w:val="18"/>
              </w:rPr>
            </w:pPr>
            <w:r>
              <w:rPr>
                <w:sz w:val="18"/>
              </w:rPr>
              <w:t>Alto</w:t>
            </w:r>
          </w:p>
        </w:tc>
        <w:tc>
          <w:tcPr>
            <w:tcW w:w="1015" w:type="dxa"/>
          </w:tcPr>
          <w:p>
            <w:pPr>
              <w:pStyle w:val="TableParagraph"/>
              <w:spacing w:before="42"/>
              <w:ind w:right="244"/>
              <w:jc w:val="right"/>
              <w:rPr>
                <w:sz w:val="18"/>
              </w:rPr>
            </w:pPr>
            <w:r>
              <w:rPr>
                <w:sz w:val="18"/>
              </w:rPr>
              <w:t>-0.111</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18"/>
              <w:ind w:left="64"/>
              <w:jc w:val="left"/>
              <w:rPr>
                <w:sz w:val="18"/>
              </w:rPr>
            </w:pPr>
            <w:r>
              <w:rPr>
                <w:sz w:val="18"/>
              </w:rPr>
              <w:t>Tenancingo</w:t>
            </w:r>
          </w:p>
        </w:tc>
        <w:tc>
          <w:tcPr>
            <w:tcW w:w="1248" w:type="dxa"/>
          </w:tcPr>
          <w:p>
            <w:pPr>
              <w:pStyle w:val="TableParagraph"/>
              <w:spacing w:before="18"/>
              <w:ind w:left="193" w:right="194"/>
              <w:rPr>
                <w:sz w:val="18"/>
              </w:rPr>
            </w:pPr>
            <w:r>
              <w:rPr>
                <w:sz w:val="18"/>
              </w:rPr>
              <w:t>-0.08664</w:t>
            </w:r>
          </w:p>
        </w:tc>
        <w:tc>
          <w:tcPr>
            <w:tcW w:w="1229" w:type="dxa"/>
          </w:tcPr>
          <w:p>
            <w:pPr>
              <w:pStyle w:val="TableParagraph"/>
              <w:spacing w:before="18"/>
              <w:ind w:left="221" w:right="225"/>
              <w:rPr>
                <w:sz w:val="18"/>
              </w:rPr>
            </w:pPr>
            <w:r>
              <w:rPr>
                <w:sz w:val="18"/>
              </w:rPr>
              <w:t>Medio</w:t>
            </w:r>
          </w:p>
        </w:tc>
        <w:tc>
          <w:tcPr>
            <w:tcW w:w="1015" w:type="dxa"/>
          </w:tcPr>
          <w:p>
            <w:pPr>
              <w:pStyle w:val="TableParagraph"/>
              <w:spacing w:before="42"/>
              <w:ind w:right="244"/>
              <w:jc w:val="right"/>
              <w:rPr>
                <w:sz w:val="18"/>
              </w:rPr>
            </w:pPr>
            <w:r>
              <w:rPr>
                <w:sz w:val="18"/>
              </w:rPr>
              <w:t>-0.695</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18"/>
              <w:ind w:left="64"/>
              <w:jc w:val="left"/>
              <w:rPr>
                <w:sz w:val="18"/>
              </w:rPr>
            </w:pPr>
            <w:r>
              <w:rPr>
                <w:sz w:val="18"/>
              </w:rPr>
              <w:t>Tenango del Aire</w:t>
            </w:r>
          </w:p>
        </w:tc>
        <w:tc>
          <w:tcPr>
            <w:tcW w:w="1248" w:type="dxa"/>
          </w:tcPr>
          <w:p>
            <w:pPr>
              <w:pStyle w:val="TableParagraph"/>
              <w:spacing w:before="18"/>
              <w:ind w:left="193" w:right="194"/>
              <w:rPr>
                <w:sz w:val="18"/>
              </w:rPr>
            </w:pPr>
            <w:r>
              <w:rPr>
                <w:sz w:val="18"/>
              </w:rPr>
              <w:t>-0.43349</w:t>
            </w:r>
          </w:p>
        </w:tc>
        <w:tc>
          <w:tcPr>
            <w:tcW w:w="1229" w:type="dxa"/>
          </w:tcPr>
          <w:p>
            <w:pPr>
              <w:pStyle w:val="TableParagraph"/>
              <w:spacing w:before="18"/>
              <w:ind w:left="223" w:right="223"/>
              <w:rPr>
                <w:sz w:val="18"/>
              </w:rPr>
            </w:pPr>
            <w:r>
              <w:rPr>
                <w:sz w:val="18"/>
              </w:rPr>
              <w:t>Bajo</w:t>
            </w:r>
          </w:p>
        </w:tc>
        <w:tc>
          <w:tcPr>
            <w:tcW w:w="1015" w:type="dxa"/>
          </w:tcPr>
          <w:p>
            <w:pPr>
              <w:pStyle w:val="TableParagraph"/>
              <w:spacing w:before="42"/>
              <w:ind w:right="244"/>
              <w:jc w:val="right"/>
              <w:rPr>
                <w:sz w:val="18"/>
              </w:rPr>
            </w:pPr>
            <w:r>
              <w:rPr>
                <w:sz w:val="18"/>
              </w:rPr>
              <w:t>-1.116</w:t>
            </w:r>
          </w:p>
        </w:tc>
        <w:tc>
          <w:tcPr>
            <w:tcW w:w="1018" w:type="dxa"/>
          </w:tcPr>
          <w:p>
            <w:pPr>
              <w:pStyle w:val="TableParagraph"/>
              <w:spacing w:before="42"/>
              <w:ind w:left="118" w:right="119"/>
              <w:rPr>
                <w:sz w:val="18"/>
              </w:rPr>
            </w:pPr>
            <w:r>
              <w:rPr>
                <w:sz w:val="18"/>
              </w:rPr>
              <w:t>Bajo</w:t>
            </w:r>
          </w:p>
        </w:tc>
      </w:tr>
      <w:tr>
        <w:trPr>
          <w:trHeight w:val="293" w:hRule="exact"/>
        </w:trPr>
        <w:tc>
          <w:tcPr>
            <w:tcW w:w="2331" w:type="dxa"/>
          </w:tcPr>
          <w:p>
            <w:pPr>
              <w:pStyle w:val="TableParagraph"/>
              <w:spacing w:before="20"/>
              <w:ind w:left="64"/>
              <w:jc w:val="left"/>
              <w:rPr>
                <w:sz w:val="18"/>
              </w:rPr>
            </w:pPr>
            <w:r>
              <w:rPr>
                <w:sz w:val="18"/>
              </w:rPr>
              <w:t>Tenango del Valle</w:t>
            </w:r>
          </w:p>
        </w:tc>
        <w:tc>
          <w:tcPr>
            <w:tcW w:w="1248" w:type="dxa"/>
          </w:tcPr>
          <w:p>
            <w:pPr>
              <w:pStyle w:val="TableParagraph"/>
              <w:spacing w:before="20"/>
              <w:ind w:left="193" w:right="194"/>
              <w:rPr>
                <w:sz w:val="18"/>
              </w:rPr>
            </w:pPr>
            <w:r>
              <w:rPr>
                <w:sz w:val="18"/>
              </w:rPr>
              <w:t>-0.13034</w:t>
            </w:r>
          </w:p>
        </w:tc>
        <w:tc>
          <w:tcPr>
            <w:tcW w:w="1229" w:type="dxa"/>
          </w:tcPr>
          <w:p>
            <w:pPr>
              <w:pStyle w:val="TableParagraph"/>
              <w:spacing w:before="20"/>
              <w:ind w:left="221" w:right="225"/>
              <w:rPr>
                <w:sz w:val="18"/>
              </w:rPr>
            </w:pPr>
            <w:r>
              <w:rPr>
                <w:sz w:val="18"/>
              </w:rPr>
              <w:t>Medio</w:t>
            </w:r>
          </w:p>
        </w:tc>
        <w:tc>
          <w:tcPr>
            <w:tcW w:w="1015" w:type="dxa"/>
          </w:tcPr>
          <w:p>
            <w:pPr>
              <w:pStyle w:val="TableParagraph"/>
              <w:spacing w:before="42"/>
              <w:ind w:right="244"/>
              <w:jc w:val="right"/>
              <w:rPr>
                <w:sz w:val="18"/>
              </w:rPr>
            </w:pPr>
            <w:r>
              <w:rPr>
                <w:sz w:val="18"/>
              </w:rPr>
              <w:t>-0.753</w:t>
            </w:r>
          </w:p>
        </w:tc>
        <w:tc>
          <w:tcPr>
            <w:tcW w:w="1018" w:type="dxa"/>
          </w:tcPr>
          <w:p>
            <w:pPr>
              <w:pStyle w:val="TableParagraph"/>
              <w:spacing w:before="42"/>
              <w:ind w:left="118" w:right="119"/>
              <w:rPr>
                <w:sz w:val="18"/>
              </w:rPr>
            </w:pPr>
            <w:r>
              <w:rPr>
                <w:sz w:val="18"/>
              </w:rPr>
              <w:t>Bajo</w:t>
            </w:r>
          </w:p>
        </w:tc>
      </w:tr>
      <w:tr>
        <w:trPr>
          <w:trHeight w:val="293" w:hRule="exact"/>
        </w:trPr>
        <w:tc>
          <w:tcPr>
            <w:tcW w:w="2331" w:type="dxa"/>
          </w:tcPr>
          <w:p>
            <w:pPr>
              <w:pStyle w:val="TableParagraph"/>
              <w:spacing w:before="20"/>
              <w:ind w:left="64"/>
              <w:jc w:val="left"/>
              <w:rPr>
                <w:sz w:val="18"/>
              </w:rPr>
            </w:pPr>
            <w:r>
              <w:rPr>
                <w:sz w:val="18"/>
              </w:rPr>
              <w:t>Teoloyucán</w:t>
            </w:r>
          </w:p>
        </w:tc>
        <w:tc>
          <w:tcPr>
            <w:tcW w:w="1248" w:type="dxa"/>
          </w:tcPr>
          <w:p>
            <w:pPr>
              <w:pStyle w:val="TableParagraph"/>
              <w:spacing w:before="20"/>
              <w:ind w:left="193" w:right="194"/>
              <w:rPr>
                <w:sz w:val="18"/>
              </w:rPr>
            </w:pPr>
            <w:r>
              <w:rPr>
                <w:sz w:val="18"/>
              </w:rPr>
              <w:t>-0.89993</w:t>
            </w:r>
          </w:p>
        </w:tc>
        <w:tc>
          <w:tcPr>
            <w:tcW w:w="1229" w:type="dxa"/>
          </w:tcPr>
          <w:p>
            <w:pPr>
              <w:pStyle w:val="TableParagraph"/>
              <w:spacing w:before="20"/>
              <w:ind w:left="223" w:right="223"/>
              <w:rPr>
                <w:sz w:val="18"/>
              </w:rPr>
            </w:pPr>
            <w:r>
              <w:rPr>
                <w:sz w:val="18"/>
              </w:rPr>
              <w:t>Bajo</w:t>
            </w:r>
          </w:p>
        </w:tc>
        <w:tc>
          <w:tcPr>
            <w:tcW w:w="1015" w:type="dxa"/>
          </w:tcPr>
          <w:p>
            <w:pPr>
              <w:pStyle w:val="TableParagraph"/>
              <w:spacing w:before="42"/>
              <w:ind w:right="244"/>
              <w:jc w:val="right"/>
              <w:rPr>
                <w:sz w:val="18"/>
              </w:rPr>
            </w:pPr>
            <w:r>
              <w:rPr>
                <w:sz w:val="18"/>
              </w:rPr>
              <w:t>-1.456</w:t>
            </w:r>
          </w:p>
        </w:tc>
        <w:tc>
          <w:tcPr>
            <w:tcW w:w="1018" w:type="dxa"/>
          </w:tcPr>
          <w:p>
            <w:pPr>
              <w:pStyle w:val="TableParagraph"/>
              <w:spacing w:before="42"/>
              <w:ind w:left="117" w:right="119"/>
              <w:rPr>
                <w:sz w:val="18"/>
              </w:rPr>
            </w:pPr>
            <w:r>
              <w:rPr>
                <w:sz w:val="18"/>
              </w:rPr>
              <w:t>Muy bajo</w:t>
            </w:r>
          </w:p>
        </w:tc>
      </w:tr>
      <w:tr>
        <w:trPr>
          <w:trHeight w:val="293" w:hRule="exact"/>
        </w:trPr>
        <w:tc>
          <w:tcPr>
            <w:tcW w:w="2331" w:type="dxa"/>
          </w:tcPr>
          <w:p>
            <w:pPr>
              <w:pStyle w:val="TableParagraph"/>
              <w:spacing w:before="20"/>
              <w:ind w:left="64"/>
              <w:jc w:val="left"/>
              <w:rPr>
                <w:sz w:val="18"/>
              </w:rPr>
            </w:pPr>
            <w:r>
              <w:rPr>
                <w:sz w:val="18"/>
              </w:rPr>
              <w:t>Teotihuacán</w:t>
            </w:r>
          </w:p>
        </w:tc>
        <w:tc>
          <w:tcPr>
            <w:tcW w:w="1248" w:type="dxa"/>
          </w:tcPr>
          <w:p>
            <w:pPr>
              <w:pStyle w:val="TableParagraph"/>
              <w:spacing w:before="20"/>
              <w:ind w:left="193" w:right="194"/>
              <w:rPr>
                <w:sz w:val="18"/>
              </w:rPr>
            </w:pPr>
            <w:r>
              <w:rPr>
                <w:sz w:val="18"/>
              </w:rPr>
              <w:t>-0.68719</w:t>
            </w:r>
          </w:p>
        </w:tc>
        <w:tc>
          <w:tcPr>
            <w:tcW w:w="1229" w:type="dxa"/>
          </w:tcPr>
          <w:p>
            <w:pPr>
              <w:pStyle w:val="TableParagraph"/>
              <w:spacing w:before="20"/>
              <w:ind w:left="223" w:right="223"/>
              <w:rPr>
                <w:sz w:val="18"/>
              </w:rPr>
            </w:pPr>
            <w:r>
              <w:rPr>
                <w:sz w:val="18"/>
              </w:rPr>
              <w:t>Bajo</w:t>
            </w:r>
          </w:p>
        </w:tc>
        <w:tc>
          <w:tcPr>
            <w:tcW w:w="1015" w:type="dxa"/>
          </w:tcPr>
          <w:p>
            <w:pPr>
              <w:pStyle w:val="TableParagraph"/>
              <w:spacing w:before="42"/>
              <w:ind w:right="244"/>
              <w:jc w:val="right"/>
              <w:rPr>
                <w:sz w:val="18"/>
              </w:rPr>
            </w:pPr>
            <w:r>
              <w:rPr>
                <w:sz w:val="18"/>
              </w:rPr>
              <w:t>-1.298</w:t>
            </w:r>
          </w:p>
        </w:tc>
        <w:tc>
          <w:tcPr>
            <w:tcW w:w="1018" w:type="dxa"/>
          </w:tcPr>
          <w:p>
            <w:pPr>
              <w:pStyle w:val="TableParagraph"/>
              <w:spacing w:before="42"/>
              <w:ind w:left="117" w:right="119"/>
              <w:rPr>
                <w:sz w:val="18"/>
              </w:rPr>
            </w:pPr>
            <w:r>
              <w:rPr>
                <w:sz w:val="18"/>
              </w:rPr>
              <w:t>Muy bajo</w:t>
            </w:r>
          </w:p>
        </w:tc>
      </w:tr>
      <w:tr>
        <w:trPr>
          <w:trHeight w:val="293" w:hRule="exact"/>
        </w:trPr>
        <w:tc>
          <w:tcPr>
            <w:tcW w:w="2331" w:type="dxa"/>
          </w:tcPr>
          <w:p>
            <w:pPr>
              <w:pStyle w:val="TableParagraph"/>
              <w:spacing w:before="20"/>
              <w:ind w:left="64"/>
              <w:jc w:val="left"/>
              <w:rPr>
                <w:sz w:val="18"/>
              </w:rPr>
            </w:pPr>
            <w:r>
              <w:rPr>
                <w:sz w:val="18"/>
              </w:rPr>
              <w:t>Tepetlaoxtoc</w:t>
            </w:r>
          </w:p>
        </w:tc>
        <w:tc>
          <w:tcPr>
            <w:tcW w:w="1248" w:type="dxa"/>
          </w:tcPr>
          <w:p>
            <w:pPr>
              <w:pStyle w:val="TableParagraph"/>
              <w:spacing w:before="20"/>
              <w:ind w:left="193" w:right="194"/>
              <w:rPr>
                <w:sz w:val="18"/>
              </w:rPr>
            </w:pPr>
            <w:r>
              <w:rPr>
                <w:sz w:val="18"/>
              </w:rPr>
              <w:t>-0.3455</w:t>
            </w:r>
          </w:p>
        </w:tc>
        <w:tc>
          <w:tcPr>
            <w:tcW w:w="1229" w:type="dxa"/>
          </w:tcPr>
          <w:p>
            <w:pPr>
              <w:pStyle w:val="TableParagraph"/>
              <w:spacing w:before="20"/>
              <w:ind w:left="221" w:right="225"/>
              <w:rPr>
                <w:sz w:val="18"/>
              </w:rPr>
            </w:pPr>
            <w:r>
              <w:rPr>
                <w:sz w:val="18"/>
              </w:rPr>
              <w:t>Medio</w:t>
            </w:r>
          </w:p>
        </w:tc>
        <w:tc>
          <w:tcPr>
            <w:tcW w:w="1015" w:type="dxa"/>
          </w:tcPr>
          <w:p>
            <w:pPr>
              <w:pStyle w:val="TableParagraph"/>
              <w:spacing w:before="42"/>
              <w:ind w:right="294"/>
              <w:jc w:val="right"/>
              <w:rPr>
                <w:sz w:val="18"/>
              </w:rPr>
            </w:pPr>
            <w:r>
              <w:rPr>
                <w:w w:val="95"/>
                <w:sz w:val="18"/>
              </w:rPr>
              <w:t>-1.08</w:t>
            </w:r>
          </w:p>
        </w:tc>
        <w:tc>
          <w:tcPr>
            <w:tcW w:w="1018" w:type="dxa"/>
          </w:tcPr>
          <w:p>
            <w:pPr>
              <w:pStyle w:val="TableParagraph"/>
              <w:spacing w:before="42"/>
              <w:ind w:left="118" w:right="119"/>
              <w:rPr>
                <w:sz w:val="18"/>
              </w:rPr>
            </w:pPr>
            <w:r>
              <w:rPr>
                <w:sz w:val="18"/>
              </w:rPr>
              <w:t>Bajo</w:t>
            </w:r>
          </w:p>
        </w:tc>
      </w:tr>
      <w:tr>
        <w:trPr>
          <w:trHeight w:val="293" w:hRule="exact"/>
        </w:trPr>
        <w:tc>
          <w:tcPr>
            <w:tcW w:w="2331" w:type="dxa"/>
          </w:tcPr>
          <w:p>
            <w:pPr>
              <w:pStyle w:val="TableParagraph"/>
              <w:spacing w:before="20"/>
              <w:ind w:left="64"/>
              <w:jc w:val="left"/>
              <w:rPr>
                <w:sz w:val="18"/>
              </w:rPr>
            </w:pPr>
            <w:r>
              <w:rPr>
                <w:sz w:val="18"/>
              </w:rPr>
              <w:t>Tepetlixpa</w:t>
            </w:r>
          </w:p>
        </w:tc>
        <w:tc>
          <w:tcPr>
            <w:tcW w:w="1248" w:type="dxa"/>
          </w:tcPr>
          <w:p>
            <w:pPr>
              <w:pStyle w:val="TableParagraph"/>
              <w:spacing w:before="20"/>
              <w:ind w:left="193" w:right="194"/>
              <w:rPr>
                <w:sz w:val="18"/>
              </w:rPr>
            </w:pPr>
            <w:r>
              <w:rPr>
                <w:sz w:val="18"/>
              </w:rPr>
              <w:t>-0.12963</w:t>
            </w:r>
          </w:p>
        </w:tc>
        <w:tc>
          <w:tcPr>
            <w:tcW w:w="1229" w:type="dxa"/>
          </w:tcPr>
          <w:p>
            <w:pPr>
              <w:pStyle w:val="TableParagraph"/>
              <w:spacing w:before="20"/>
              <w:ind w:left="221" w:right="225"/>
              <w:rPr>
                <w:sz w:val="18"/>
              </w:rPr>
            </w:pPr>
            <w:r>
              <w:rPr>
                <w:sz w:val="18"/>
              </w:rPr>
              <w:t>Medio</w:t>
            </w:r>
          </w:p>
        </w:tc>
        <w:tc>
          <w:tcPr>
            <w:tcW w:w="1015" w:type="dxa"/>
          </w:tcPr>
          <w:p>
            <w:pPr>
              <w:pStyle w:val="TableParagraph"/>
              <w:spacing w:before="42"/>
              <w:ind w:right="294"/>
              <w:jc w:val="right"/>
              <w:rPr>
                <w:sz w:val="18"/>
              </w:rPr>
            </w:pPr>
            <w:r>
              <w:rPr>
                <w:w w:val="95"/>
                <w:sz w:val="18"/>
              </w:rPr>
              <w:t>-0.74</w:t>
            </w:r>
          </w:p>
        </w:tc>
        <w:tc>
          <w:tcPr>
            <w:tcW w:w="1018" w:type="dxa"/>
          </w:tcPr>
          <w:p>
            <w:pPr>
              <w:pStyle w:val="TableParagraph"/>
              <w:spacing w:before="42"/>
              <w:ind w:left="118" w:right="119"/>
              <w:rPr>
                <w:sz w:val="18"/>
              </w:rPr>
            </w:pPr>
            <w:r>
              <w:rPr>
                <w:sz w:val="18"/>
              </w:rPr>
              <w:t>Bajo</w:t>
            </w:r>
          </w:p>
        </w:tc>
      </w:tr>
      <w:tr>
        <w:trPr>
          <w:trHeight w:val="295" w:hRule="exact"/>
        </w:trPr>
        <w:tc>
          <w:tcPr>
            <w:tcW w:w="2331" w:type="dxa"/>
          </w:tcPr>
          <w:p>
            <w:pPr>
              <w:pStyle w:val="TableParagraph"/>
              <w:spacing w:before="20"/>
              <w:ind w:left="64"/>
              <w:jc w:val="left"/>
              <w:rPr>
                <w:sz w:val="18"/>
              </w:rPr>
            </w:pPr>
            <w:r>
              <w:rPr>
                <w:sz w:val="18"/>
              </w:rPr>
              <w:t>Tepotzotlán</w:t>
            </w:r>
          </w:p>
        </w:tc>
        <w:tc>
          <w:tcPr>
            <w:tcW w:w="1248" w:type="dxa"/>
          </w:tcPr>
          <w:p>
            <w:pPr>
              <w:pStyle w:val="TableParagraph"/>
              <w:spacing w:before="20"/>
              <w:ind w:left="193" w:right="194"/>
              <w:rPr>
                <w:sz w:val="18"/>
              </w:rPr>
            </w:pPr>
            <w:r>
              <w:rPr>
                <w:sz w:val="18"/>
              </w:rPr>
              <w:t>-0.91053</w:t>
            </w:r>
          </w:p>
        </w:tc>
        <w:tc>
          <w:tcPr>
            <w:tcW w:w="1229" w:type="dxa"/>
          </w:tcPr>
          <w:p>
            <w:pPr>
              <w:pStyle w:val="TableParagraph"/>
              <w:spacing w:before="20"/>
              <w:ind w:left="223" w:right="223"/>
              <w:rPr>
                <w:sz w:val="18"/>
              </w:rPr>
            </w:pPr>
            <w:r>
              <w:rPr>
                <w:sz w:val="18"/>
              </w:rPr>
              <w:t>Bajo</w:t>
            </w:r>
          </w:p>
        </w:tc>
        <w:tc>
          <w:tcPr>
            <w:tcW w:w="1015" w:type="dxa"/>
          </w:tcPr>
          <w:p>
            <w:pPr>
              <w:pStyle w:val="TableParagraph"/>
              <w:spacing w:before="42"/>
              <w:ind w:right="244"/>
              <w:jc w:val="right"/>
              <w:rPr>
                <w:sz w:val="18"/>
              </w:rPr>
            </w:pPr>
            <w:r>
              <w:rPr>
                <w:sz w:val="18"/>
              </w:rPr>
              <w:t>-1.381</w:t>
            </w:r>
          </w:p>
        </w:tc>
        <w:tc>
          <w:tcPr>
            <w:tcW w:w="1018" w:type="dxa"/>
          </w:tcPr>
          <w:p>
            <w:pPr>
              <w:pStyle w:val="TableParagraph"/>
              <w:spacing w:before="42"/>
              <w:ind w:left="117" w:right="119"/>
              <w:rPr>
                <w:sz w:val="18"/>
              </w:rPr>
            </w:pPr>
            <w:r>
              <w:rPr>
                <w:sz w:val="18"/>
              </w:rPr>
              <w:t>Muy bajo</w:t>
            </w:r>
          </w:p>
        </w:tc>
      </w:tr>
      <w:tr>
        <w:trPr>
          <w:trHeight w:val="293" w:hRule="exact"/>
        </w:trPr>
        <w:tc>
          <w:tcPr>
            <w:tcW w:w="2331" w:type="dxa"/>
          </w:tcPr>
          <w:p>
            <w:pPr>
              <w:pStyle w:val="TableParagraph"/>
              <w:spacing w:before="18"/>
              <w:ind w:left="64"/>
              <w:jc w:val="left"/>
              <w:rPr>
                <w:sz w:val="18"/>
              </w:rPr>
            </w:pPr>
            <w:r>
              <w:rPr>
                <w:sz w:val="18"/>
              </w:rPr>
              <w:t>Tequixquiac</w:t>
            </w:r>
          </w:p>
        </w:tc>
        <w:tc>
          <w:tcPr>
            <w:tcW w:w="1248" w:type="dxa"/>
          </w:tcPr>
          <w:p>
            <w:pPr>
              <w:pStyle w:val="TableParagraph"/>
              <w:spacing w:before="18"/>
              <w:ind w:left="193" w:right="194"/>
              <w:rPr>
                <w:sz w:val="18"/>
              </w:rPr>
            </w:pPr>
            <w:r>
              <w:rPr>
                <w:sz w:val="18"/>
              </w:rPr>
              <w:t>-0.73543</w:t>
            </w:r>
          </w:p>
        </w:tc>
        <w:tc>
          <w:tcPr>
            <w:tcW w:w="1229" w:type="dxa"/>
          </w:tcPr>
          <w:p>
            <w:pPr>
              <w:pStyle w:val="TableParagraph"/>
              <w:spacing w:before="18"/>
              <w:ind w:left="223" w:right="223"/>
              <w:rPr>
                <w:sz w:val="18"/>
              </w:rPr>
            </w:pPr>
            <w:r>
              <w:rPr>
                <w:sz w:val="18"/>
              </w:rPr>
              <w:t>Bajo</w:t>
            </w:r>
          </w:p>
        </w:tc>
        <w:tc>
          <w:tcPr>
            <w:tcW w:w="1015" w:type="dxa"/>
          </w:tcPr>
          <w:p>
            <w:pPr>
              <w:pStyle w:val="TableParagraph"/>
              <w:spacing w:before="39"/>
              <w:ind w:right="244"/>
              <w:jc w:val="right"/>
              <w:rPr>
                <w:sz w:val="18"/>
              </w:rPr>
            </w:pPr>
            <w:r>
              <w:rPr>
                <w:sz w:val="18"/>
              </w:rPr>
              <w:t>-1.305</w:t>
            </w:r>
          </w:p>
        </w:tc>
        <w:tc>
          <w:tcPr>
            <w:tcW w:w="1018" w:type="dxa"/>
          </w:tcPr>
          <w:p>
            <w:pPr>
              <w:pStyle w:val="TableParagraph"/>
              <w:spacing w:before="39"/>
              <w:ind w:left="117" w:right="119"/>
              <w:rPr>
                <w:sz w:val="18"/>
              </w:rPr>
            </w:pPr>
            <w:r>
              <w:rPr>
                <w:sz w:val="18"/>
              </w:rPr>
              <w:t>Muy bajo</w:t>
            </w:r>
          </w:p>
        </w:tc>
      </w:tr>
      <w:tr>
        <w:trPr>
          <w:trHeight w:val="293" w:hRule="exact"/>
        </w:trPr>
        <w:tc>
          <w:tcPr>
            <w:tcW w:w="2331" w:type="dxa"/>
          </w:tcPr>
          <w:p>
            <w:pPr>
              <w:pStyle w:val="TableParagraph"/>
              <w:spacing w:before="18"/>
              <w:ind w:left="64"/>
              <w:jc w:val="left"/>
              <w:rPr>
                <w:sz w:val="18"/>
              </w:rPr>
            </w:pPr>
            <w:r>
              <w:rPr>
                <w:sz w:val="18"/>
              </w:rPr>
              <w:t>Texcaltitlán</w:t>
            </w:r>
          </w:p>
        </w:tc>
        <w:tc>
          <w:tcPr>
            <w:tcW w:w="1248" w:type="dxa"/>
          </w:tcPr>
          <w:p>
            <w:pPr>
              <w:pStyle w:val="TableParagraph"/>
              <w:spacing w:before="18"/>
              <w:ind w:left="190" w:right="194"/>
              <w:rPr>
                <w:sz w:val="18"/>
              </w:rPr>
            </w:pPr>
            <w:r>
              <w:rPr>
                <w:sz w:val="18"/>
              </w:rPr>
              <w:t>1.26481</w:t>
            </w:r>
          </w:p>
        </w:tc>
        <w:tc>
          <w:tcPr>
            <w:tcW w:w="1229" w:type="dxa"/>
          </w:tcPr>
          <w:p>
            <w:pPr>
              <w:pStyle w:val="TableParagraph"/>
              <w:spacing w:before="18"/>
              <w:ind w:left="222" w:right="225"/>
              <w:rPr>
                <w:sz w:val="18"/>
              </w:rPr>
            </w:pPr>
            <w:r>
              <w:rPr>
                <w:sz w:val="18"/>
              </w:rPr>
              <w:t>Alto</w:t>
            </w:r>
          </w:p>
        </w:tc>
        <w:tc>
          <w:tcPr>
            <w:tcW w:w="1015" w:type="dxa"/>
          </w:tcPr>
          <w:p>
            <w:pPr>
              <w:pStyle w:val="TableParagraph"/>
              <w:spacing w:before="42"/>
              <w:ind w:right="275"/>
              <w:jc w:val="right"/>
              <w:rPr>
                <w:sz w:val="18"/>
              </w:rPr>
            </w:pPr>
            <w:r>
              <w:rPr>
                <w:sz w:val="18"/>
              </w:rPr>
              <w:t>0.206</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18"/>
              <w:ind w:left="64"/>
              <w:jc w:val="left"/>
              <w:rPr>
                <w:sz w:val="18"/>
              </w:rPr>
            </w:pPr>
            <w:r>
              <w:rPr>
                <w:sz w:val="18"/>
              </w:rPr>
              <w:t>Texcalyacac</w:t>
            </w:r>
          </w:p>
        </w:tc>
        <w:tc>
          <w:tcPr>
            <w:tcW w:w="1248" w:type="dxa"/>
          </w:tcPr>
          <w:p>
            <w:pPr>
              <w:pStyle w:val="TableParagraph"/>
              <w:spacing w:before="18"/>
              <w:ind w:left="193" w:right="194"/>
              <w:rPr>
                <w:sz w:val="18"/>
              </w:rPr>
            </w:pPr>
            <w:r>
              <w:rPr>
                <w:sz w:val="18"/>
              </w:rPr>
              <w:t>-0.39964</w:t>
            </w:r>
          </w:p>
        </w:tc>
        <w:tc>
          <w:tcPr>
            <w:tcW w:w="1229" w:type="dxa"/>
          </w:tcPr>
          <w:p>
            <w:pPr>
              <w:pStyle w:val="TableParagraph"/>
              <w:spacing w:before="18"/>
              <w:ind w:left="221" w:right="225"/>
              <w:rPr>
                <w:sz w:val="18"/>
              </w:rPr>
            </w:pPr>
            <w:r>
              <w:rPr>
                <w:sz w:val="18"/>
              </w:rPr>
              <w:t>Medio</w:t>
            </w:r>
          </w:p>
        </w:tc>
        <w:tc>
          <w:tcPr>
            <w:tcW w:w="1015" w:type="dxa"/>
          </w:tcPr>
          <w:p>
            <w:pPr>
              <w:pStyle w:val="TableParagraph"/>
              <w:spacing w:before="42"/>
              <w:ind w:right="244"/>
              <w:jc w:val="right"/>
              <w:rPr>
                <w:sz w:val="18"/>
              </w:rPr>
            </w:pPr>
            <w:r>
              <w:rPr>
                <w:sz w:val="18"/>
              </w:rPr>
              <w:t>-0.882</w:t>
            </w:r>
          </w:p>
        </w:tc>
        <w:tc>
          <w:tcPr>
            <w:tcW w:w="1018" w:type="dxa"/>
          </w:tcPr>
          <w:p>
            <w:pPr>
              <w:pStyle w:val="TableParagraph"/>
              <w:spacing w:before="42"/>
              <w:ind w:left="118" w:right="119"/>
              <w:rPr>
                <w:sz w:val="18"/>
              </w:rPr>
            </w:pPr>
            <w:r>
              <w:rPr>
                <w:sz w:val="18"/>
              </w:rPr>
              <w:t>Bajo</w:t>
            </w:r>
          </w:p>
        </w:tc>
      </w:tr>
      <w:tr>
        <w:trPr>
          <w:trHeight w:val="293" w:hRule="exact"/>
        </w:trPr>
        <w:tc>
          <w:tcPr>
            <w:tcW w:w="2331" w:type="dxa"/>
          </w:tcPr>
          <w:p>
            <w:pPr>
              <w:pStyle w:val="TableParagraph"/>
              <w:spacing w:before="18"/>
              <w:ind w:left="64"/>
              <w:jc w:val="left"/>
              <w:rPr>
                <w:sz w:val="18"/>
              </w:rPr>
            </w:pPr>
            <w:r>
              <w:rPr>
                <w:sz w:val="18"/>
              </w:rPr>
              <w:t>Texcoco</w:t>
            </w:r>
          </w:p>
        </w:tc>
        <w:tc>
          <w:tcPr>
            <w:tcW w:w="1248" w:type="dxa"/>
          </w:tcPr>
          <w:p>
            <w:pPr>
              <w:pStyle w:val="TableParagraph"/>
              <w:spacing w:before="18"/>
              <w:ind w:left="193" w:right="194"/>
              <w:rPr>
                <w:sz w:val="18"/>
              </w:rPr>
            </w:pPr>
            <w:r>
              <w:rPr>
                <w:sz w:val="18"/>
              </w:rPr>
              <w:t>-0.9841</w:t>
            </w:r>
          </w:p>
        </w:tc>
        <w:tc>
          <w:tcPr>
            <w:tcW w:w="1229" w:type="dxa"/>
          </w:tcPr>
          <w:p>
            <w:pPr>
              <w:pStyle w:val="TableParagraph"/>
              <w:spacing w:before="18"/>
              <w:ind w:left="223" w:right="223"/>
              <w:rPr>
                <w:sz w:val="18"/>
              </w:rPr>
            </w:pPr>
            <w:r>
              <w:rPr>
                <w:sz w:val="18"/>
              </w:rPr>
              <w:t>Bajo</w:t>
            </w:r>
          </w:p>
        </w:tc>
        <w:tc>
          <w:tcPr>
            <w:tcW w:w="1015" w:type="dxa"/>
          </w:tcPr>
          <w:p>
            <w:pPr>
              <w:pStyle w:val="TableParagraph"/>
              <w:spacing w:before="42"/>
              <w:ind w:right="244"/>
              <w:jc w:val="right"/>
              <w:rPr>
                <w:sz w:val="18"/>
              </w:rPr>
            </w:pPr>
            <w:r>
              <w:rPr>
                <w:sz w:val="18"/>
              </w:rPr>
              <w:t>-1.476</w:t>
            </w:r>
          </w:p>
        </w:tc>
        <w:tc>
          <w:tcPr>
            <w:tcW w:w="1018" w:type="dxa"/>
          </w:tcPr>
          <w:p>
            <w:pPr>
              <w:pStyle w:val="TableParagraph"/>
              <w:spacing w:before="42"/>
              <w:ind w:left="117" w:right="119"/>
              <w:rPr>
                <w:sz w:val="18"/>
              </w:rPr>
            </w:pPr>
            <w:r>
              <w:rPr>
                <w:sz w:val="18"/>
              </w:rPr>
              <w:t>Muy bajo</w:t>
            </w:r>
          </w:p>
        </w:tc>
      </w:tr>
      <w:tr>
        <w:trPr>
          <w:trHeight w:val="293" w:hRule="exact"/>
        </w:trPr>
        <w:tc>
          <w:tcPr>
            <w:tcW w:w="2331" w:type="dxa"/>
          </w:tcPr>
          <w:p>
            <w:pPr>
              <w:pStyle w:val="TableParagraph"/>
              <w:spacing w:before="18"/>
              <w:ind w:left="64"/>
              <w:jc w:val="left"/>
              <w:rPr>
                <w:sz w:val="18"/>
              </w:rPr>
            </w:pPr>
            <w:r>
              <w:rPr>
                <w:sz w:val="18"/>
              </w:rPr>
              <w:t>Tezoyuca</w:t>
            </w:r>
          </w:p>
        </w:tc>
        <w:tc>
          <w:tcPr>
            <w:tcW w:w="1248" w:type="dxa"/>
          </w:tcPr>
          <w:p>
            <w:pPr>
              <w:pStyle w:val="TableParagraph"/>
              <w:spacing w:before="18"/>
              <w:ind w:left="193" w:right="194"/>
              <w:rPr>
                <w:sz w:val="18"/>
              </w:rPr>
            </w:pPr>
            <w:r>
              <w:rPr>
                <w:sz w:val="18"/>
              </w:rPr>
              <w:t>-0.50155</w:t>
            </w:r>
          </w:p>
        </w:tc>
        <w:tc>
          <w:tcPr>
            <w:tcW w:w="1229" w:type="dxa"/>
          </w:tcPr>
          <w:p>
            <w:pPr>
              <w:pStyle w:val="TableParagraph"/>
              <w:spacing w:before="18"/>
              <w:ind w:left="223" w:right="223"/>
              <w:rPr>
                <w:sz w:val="18"/>
              </w:rPr>
            </w:pPr>
            <w:r>
              <w:rPr>
                <w:sz w:val="18"/>
              </w:rPr>
              <w:t>Bajo</w:t>
            </w:r>
          </w:p>
        </w:tc>
        <w:tc>
          <w:tcPr>
            <w:tcW w:w="1015" w:type="dxa"/>
          </w:tcPr>
          <w:p>
            <w:pPr>
              <w:pStyle w:val="TableParagraph"/>
              <w:spacing w:before="42"/>
              <w:ind w:right="244"/>
              <w:jc w:val="right"/>
              <w:rPr>
                <w:sz w:val="18"/>
              </w:rPr>
            </w:pPr>
            <w:r>
              <w:rPr>
                <w:sz w:val="18"/>
              </w:rPr>
              <w:t>-1.005</w:t>
            </w:r>
          </w:p>
        </w:tc>
        <w:tc>
          <w:tcPr>
            <w:tcW w:w="1018" w:type="dxa"/>
          </w:tcPr>
          <w:p>
            <w:pPr>
              <w:pStyle w:val="TableParagraph"/>
              <w:spacing w:before="42"/>
              <w:ind w:left="118" w:right="119"/>
              <w:rPr>
                <w:sz w:val="18"/>
              </w:rPr>
            </w:pPr>
            <w:r>
              <w:rPr>
                <w:sz w:val="18"/>
              </w:rPr>
              <w:t>Bajo</w:t>
            </w:r>
          </w:p>
        </w:tc>
      </w:tr>
      <w:tr>
        <w:trPr>
          <w:trHeight w:val="293" w:hRule="exact"/>
        </w:trPr>
        <w:tc>
          <w:tcPr>
            <w:tcW w:w="2331" w:type="dxa"/>
          </w:tcPr>
          <w:p>
            <w:pPr>
              <w:pStyle w:val="TableParagraph"/>
              <w:spacing w:before="18"/>
              <w:ind w:left="64"/>
              <w:jc w:val="left"/>
              <w:rPr>
                <w:sz w:val="18"/>
              </w:rPr>
            </w:pPr>
            <w:r>
              <w:rPr>
                <w:sz w:val="18"/>
              </w:rPr>
              <w:t>Tianguistenco</w:t>
            </w:r>
          </w:p>
        </w:tc>
        <w:tc>
          <w:tcPr>
            <w:tcW w:w="1248" w:type="dxa"/>
          </w:tcPr>
          <w:p>
            <w:pPr>
              <w:pStyle w:val="TableParagraph"/>
              <w:spacing w:before="18"/>
              <w:ind w:left="193" w:right="194"/>
              <w:rPr>
                <w:sz w:val="18"/>
              </w:rPr>
            </w:pPr>
            <w:r>
              <w:rPr>
                <w:sz w:val="18"/>
              </w:rPr>
              <w:t>-0.27584</w:t>
            </w:r>
          </w:p>
        </w:tc>
        <w:tc>
          <w:tcPr>
            <w:tcW w:w="1229" w:type="dxa"/>
          </w:tcPr>
          <w:p>
            <w:pPr>
              <w:pStyle w:val="TableParagraph"/>
              <w:spacing w:before="18"/>
              <w:ind w:left="221" w:right="225"/>
              <w:rPr>
                <w:sz w:val="18"/>
              </w:rPr>
            </w:pPr>
            <w:r>
              <w:rPr>
                <w:sz w:val="18"/>
              </w:rPr>
              <w:t>Medio</w:t>
            </w:r>
          </w:p>
        </w:tc>
        <w:tc>
          <w:tcPr>
            <w:tcW w:w="1015" w:type="dxa"/>
          </w:tcPr>
          <w:p>
            <w:pPr>
              <w:pStyle w:val="TableParagraph"/>
              <w:spacing w:before="42"/>
              <w:ind w:right="244"/>
              <w:jc w:val="right"/>
              <w:rPr>
                <w:sz w:val="18"/>
              </w:rPr>
            </w:pPr>
            <w:r>
              <w:rPr>
                <w:sz w:val="18"/>
              </w:rPr>
              <w:t>-0.886</w:t>
            </w:r>
          </w:p>
        </w:tc>
        <w:tc>
          <w:tcPr>
            <w:tcW w:w="1018" w:type="dxa"/>
          </w:tcPr>
          <w:p>
            <w:pPr>
              <w:pStyle w:val="TableParagraph"/>
              <w:spacing w:before="42"/>
              <w:ind w:left="118" w:right="119"/>
              <w:rPr>
                <w:sz w:val="18"/>
              </w:rPr>
            </w:pPr>
            <w:r>
              <w:rPr>
                <w:sz w:val="18"/>
              </w:rPr>
              <w:t>Bajo</w:t>
            </w:r>
          </w:p>
        </w:tc>
      </w:tr>
      <w:tr>
        <w:trPr>
          <w:trHeight w:val="293" w:hRule="exact"/>
        </w:trPr>
        <w:tc>
          <w:tcPr>
            <w:tcW w:w="2331" w:type="dxa"/>
          </w:tcPr>
          <w:p>
            <w:pPr>
              <w:pStyle w:val="TableParagraph"/>
              <w:spacing w:before="20"/>
              <w:ind w:left="64"/>
              <w:jc w:val="left"/>
              <w:rPr>
                <w:sz w:val="18"/>
              </w:rPr>
            </w:pPr>
            <w:r>
              <w:rPr>
                <w:sz w:val="18"/>
              </w:rPr>
              <w:t>Timilpan</w:t>
            </w:r>
          </w:p>
        </w:tc>
        <w:tc>
          <w:tcPr>
            <w:tcW w:w="1248" w:type="dxa"/>
          </w:tcPr>
          <w:p>
            <w:pPr>
              <w:pStyle w:val="TableParagraph"/>
              <w:spacing w:before="20"/>
              <w:ind w:left="189" w:right="194"/>
              <w:rPr>
                <w:sz w:val="18"/>
              </w:rPr>
            </w:pPr>
            <w:r>
              <w:rPr>
                <w:sz w:val="18"/>
              </w:rPr>
              <w:t>0.6561</w:t>
            </w:r>
          </w:p>
        </w:tc>
        <w:tc>
          <w:tcPr>
            <w:tcW w:w="1229" w:type="dxa"/>
          </w:tcPr>
          <w:p>
            <w:pPr>
              <w:pStyle w:val="TableParagraph"/>
              <w:spacing w:before="20"/>
              <w:ind w:left="222" w:right="225"/>
              <w:rPr>
                <w:sz w:val="18"/>
              </w:rPr>
            </w:pPr>
            <w:r>
              <w:rPr>
                <w:sz w:val="18"/>
              </w:rPr>
              <w:t>Alto</w:t>
            </w:r>
          </w:p>
        </w:tc>
        <w:tc>
          <w:tcPr>
            <w:tcW w:w="1015" w:type="dxa"/>
          </w:tcPr>
          <w:p>
            <w:pPr>
              <w:pStyle w:val="TableParagraph"/>
              <w:spacing w:before="42"/>
              <w:ind w:right="244"/>
              <w:jc w:val="right"/>
              <w:rPr>
                <w:sz w:val="18"/>
              </w:rPr>
            </w:pPr>
            <w:r>
              <w:rPr>
                <w:sz w:val="18"/>
              </w:rPr>
              <w:t>-0.255</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20"/>
              <w:ind w:left="64"/>
              <w:jc w:val="left"/>
              <w:rPr>
                <w:sz w:val="18"/>
              </w:rPr>
            </w:pPr>
            <w:r>
              <w:rPr>
                <w:sz w:val="18"/>
              </w:rPr>
              <w:t>Tlalmanalco</w:t>
            </w:r>
          </w:p>
        </w:tc>
        <w:tc>
          <w:tcPr>
            <w:tcW w:w="1248" w:type="dxa"/>
          </w:tcPr>
          <w:p>
            <w:pPr>
              <w:pStyle w:val="TableParagraph"/>
              <w:spacing w:before="20"/>
              <w:ind w:left="193" w:right="194"/>
              <w:rPr>
                <w:sz w:val="18"/>
              </w:rPr>
            </w:pPr>
            <w:r>
              <w:rPr>
                <w:sz w:val="18"/>
              </w:rPr>
              <w:t>-0.93936</w:t>
            </w:r>
          </w:p>
        </w:tc>
        <w:tc>
          <w:tcPr>
            <w:tcW w:w="1229" w:type="dxa"/>
          </w:tcPr>
          <w:p>
            <w:pPr>
              <w:pStyle w:val="TableParagraph"/>
              <w:spacing w:before="20"/>
              <w:ind w:left="223" w:right="223"/>
              <w:rPr>
                <w:sz w:val="18"/>
              </w:rPr>
            </w:pPr>
            <w:r>
              <w:rPr>
                <w:sz w:val="18"/>
              </w:rPr>
              <w:t>Bajo</w:t>
            </w:r>
          </w:p>
        </w:tc>
        <w:tc>
          <w:tcPr>
            <w:tcW w:w="1015" w:type="dxa"/>
          </w:tcPr>
          <w:p>
            <w:pPr>
              <w:pStyle w:val="TableParagraph"/>
              <w:spacing w:before="42"/>
              <w:ind w:right="244"/>
              <w:jc w:val="right"/>
              <w:rPr>
                <w:sz w:val="18"/>
              </w:rPr>
            </w:pPr>
            <w:r>
              <w:rPr>
                <w:sz w:val="18"/>
              </w:rPr>
              <w:t>-1.429</w:t>
            </w:r>
          </w:p>
        </w:tc>
        <w:tc>
          <w:tcPr>
            <w:tcW w:w="1018" w:type="dxa"/>
          </w:tcPr>
          <w:p>
            <w:pPr>
              <w:pStyle w:val="TableParagraph"/>
              <w:spacing w:before="42"/>
              <w:ind w:left="117" w:right="119"/>
              <w:rPr>
                <w:sz w:val="18"/>
              </w:rPr>
            </w:pPr>
            <w:r>
              <w:rPr>
                <w:sz w:val="18"/>
              </w:rPr>
              <w:t>Muy bajo</w:t>
            </w:r>
          </w:p>
        </w:tc>
      </w:tr>
      <w:tr>
        <w:trPr>
          <w:trHeight w:val="293" w:hRule="exact"/>
        </w:trPr>
        <w:tc>
          <w:tcPr>
            <w:tcW w:w="2331" w:type="dxa"/>
          </w:tcPr>
          <w:p>
            <w:pPr>
              <w:pStyle w:val="TableParagraph"/>
              <w:spacing w:before="20"/>
              <w:ind w:left="64"/>
              <w:jc w:val="left"/>
              <w:rPr>
                <w:sz w:val="18"/>
              </w:rPr>
            </w:pPr>
            <w:r>
              <w:rPr>
                <w:sz w:val="18"/>
              </w:rPr>
              <w:t>Tlalnepantla de Baz</w:t>
            </w:r>
          </w:p>
        </w:tc>
        <w:tc>
          <w:tcPr>
            <w:tcW w:w="1248" w:type="dxa"/>
          </w:tcPr>
          <w:p>
            <w:pPr>
              <w:pStyle w:val="TableParagraph"/>
              <w:spacing w:before="20"/>
              <w:ind w:left="193" w:right="194"/>
              <w:rPr>
                <w:sz w:val="18"/>
              </w:rPr>
            </w:pPr>
            <w:r>
              <w:rPr>
                <w:sz w:val="18"/>
              </w:rPr>
              <w:t>-1.40557</w:t>
            </w:r>
          </w:p>
        </w:tc>
        <w:tc>
          <w:tcPr>
            <w:tcW w:w="1229" w:type="dxa"/>
          </w:tcPr>
          <w:p>
            <w:pPr>
              <w:pStyle w:val="TableParagraph"/>
              <w:spacing w:before="20"/>
              <w:ind w:left="223" w:right="225"/>
              <w:rPr>
                <w:sz w:val="18"/>
              </w:rPr>
            </w:pPr>
            <w:r>
              <w:rPr>
                <w:sz w:val="18"/>
              </w:rPr>
              <w:t>Muy bajo</w:t>
            </w:r>
          </w:p>
        </w:tc>
        <w:tc>
          <w:tcPr>
            <w:tcW w:w="1015" w:type="dxa"/>
          </w:tcPr>
          <w:p>
            <w:pPr>
              <w:pStyle w:val="TableParagraph"/>
              <w:spacing w:before="42"/>
              <w:ind w:right="244"/>
              <w:jc w:val="right"/>
              <w:rPr>
                <w:sz w:val="18"/>
              </w:rPr>
            </w:pPr>
            <w:r>
              <w:rPr>
                <w:sz w:val="18"/>
              </w:rPr>
              <w:t>-1.788</w:t>
            </w:r>
          </w:p>
        </w:tc>
        <w:tc>
          <w:tcPr>
            <w:tcW w:w="1018" w:type="dxa"/>
          </w:tcPr>
          <w:p>
            <w:pPr>
              <w:pStyle w:val="TableParagraph"/>
              <w:spacing w:before="42"/>
              <w:ind w:left="117" w:right="119"/>
              <w:rPr>
                <w:sz w:val="18"/>
              </w:rPr>
            </w:pPr>
            <w:r>
              <w:rPr>
                <w:sz w:val="18"/>
              </w:rPr>
              <w:t>Muy bajo</w:t>
            </w:r>
          </w:p>
        </w:tc>
      </w:tr>
      <w:tr>
        <w:trPr>
          <w:trHeight w:val="293" w:hRule="exact"/>
        </w:trPr>
        <w:tc>
          <w:tcPr>
            <w:tcW w:w="2331" w:type="dxa"/>
          </w:tcPr>
          <w:p>
            <w:pPr>
              <w:pStyle w:val="TableParagraph"/>
              <w:spacing w:before="20"/>
              <w:ind w:left="64"/>
              <w:jc w:val="left"/>
              <w:rPr>
                <w:sz w:val="18"/>
              </w:rPr>
            </w:pPr>
            <w:r>
              <w:rPr>
                <w:sz w:val="18"/>
              </w:rPr>
              <w:t>Tlatlaya</w:t>
            </w:r>
          </w:p>
        </w:tc>
        <w:tc>
          <w:tcPr>
            <w:tcW w:w="1248" w:type="dxa"/>
          </w:tcPr>
          <w:p>
            <w:pPr>
              <w:pStyle w:val="TableParagraph"/>
              <w:spacing w:before="20"/>
              <w:ind w:left="190" w:right="194"/>
              <w:rPr>
                <w:sz w:val="18"/>
              </w:rPr>
            </w:pPr>
            <w:r>
              <w:rPr>
                <w:sz w:val="18"/>
              </w:rPr>
              <w:t>1.78458</w:t>
            </w:r>
          </w:p>
        </w:tc>
        <w:tc>
          <w:tcPr>
            <w:tcW w:w="1229" w:type="dxa"/>
          </w:tcPr>
          <w:p>
            <w:pPr>
              <w:pStyle w:val="TableParagraph"/>
              <w:spacing w:before="20"/>
              <w:ind w:left="221" w:right="225"/>
              <w:rPr>
                <w:sz w:val="18"/>
              </w:rPr>
            </w:pPr>
            <w:r>
              <w:rPr>
                <w:sz w:val="18"/>
              </w:rPr>
              <w:t>Muy Alto</w:t>
            </w:r>
          </w:p>
        </w:tc>
        <w:tc>
          <w:tcPr>
            <w:tcW w:w="1015" w:type="dxa"/>
          </w:tcPr>
          <w:p>
            <w:pPr>
              <w:pStyle w:val="TableParagraph"/>
              <w:spacing w:before="42"/>
              <w:ind w:right="325"/>
              <w:jc w:val="right"/>
              <w:rPr>
                <w:sz w:val="18"/>
              </w:rPr>
            </w:pPr>
            <w:r>
              <w:rPr>
                <w:w w:val="95"/>
                <w:sz w:val="18"/>
              </w:rPr>
              <w:t>0.72</w:t>
            </w:r>
          </w:p>
        </w:tc>
        <w:tc>
          <w:tcPr>
            <w:tcW w:w="1018" w:type="dxa"/>
          </w:tcPr>
          <w:p>
            <w:pPr>
              <w:pStyle w:val="TableParagraph"/>
              <w:spacing w:before="42"/>
              <w:ind w:left="118" w:right="119"/>
              <w:rPr>
                <w:sz w:val="18"/>
              </w:rPr>
            </w:pPr>
            <w:r>
              <w:rPr>
                <w:sz w:val="18"/>
              </w:rPr>
              <w:t>Alto</w:t>
            </w:r>
          </w:p>
        </w:tc>
      </w:tr>
      <w:tr>
        <w:trPr>
          <w:trHeight w:val="293" w:hRule="exact"/>
        </w:trPr>
        <w:tc>
          <w:tcPr>
            <w:tcW w:w="2331" w:type="dxa"/>
          </w:tcPr>
          <w:p>
            <w:pPr>
              <w:pStyle w:val="TableParagraph"/>
              <w:spacing w:before="20"/>
              <w:ind w:left="64"/>
              <w:jc w:val="left"/>
              <w:rPr>
                <w:sz w:val="18"/>
              </w:rPr>
            </w:pPr>
            <w:r>
              <w:rPr>
                <w:sz w:val="18"/>
              </w:rPr>
              <w:t>Toluca</w:t>
            </w:r>
          </w:p>
        </w:tc>
        <w:tc>
          <w:tcPr>
            <w:tcW w:w="1248" w:type="dxa"/>
          </w:tcPr>
          <w:p>
            <w:pPr>
              <w:pStyle w:val="TableParagraph"/>
              <w:spacing w:before="20"/>
              <w:ind w:left="193" w:right="194"/>
              <w:rPr>
                <w:sz w:val="18"/>
              </w:rPr>
            </w:pPr>
            <w:r>
              <w:rPr>
                <w:sz w:val="18"/>
              </w:rPr>
              <w:t>-1.10334</w:t>
            </w:r>
          </w:p>
        </w:tc>
        <w:tc>
          <w:tcPr>
            <w:tcW w:w="1229" w:type="dxa"/>
          </w:tcPr>
          <w:p>
            <w:pPr>
              <w:pStyle w:val="TableParagraph"/>
              <w:spacing w:before="20"/>
              <w:ind w:left="223" w:right="223"/>
              <w:rPr>
                <w:sz w:val="18"/>
              </w:rPr>
            </w:pPr>
            <w:r>
              <w:rPr>
                <w:sz w:val="18"/>
              </w:rPr>
              <w:t>Bajo</w:t>
            </w:r>
          </w:p>
        </w:tc>
        <w:tc>
          <w:tcPr>
            <w:tcW w:w="1015" w:type="dxa"/>
          </w:tcPr>
          <w:p>
            <w:pPr>
              <w:pStyle w:val="TableParagraph"/>
              <w:spacing w:before="42"/>
              <w:ind w:right="244"/>
              <w:jc w:val="right"/>
              <w:rPr>
                <w:sz w:val="18"/>
              </w:rPr>
            </w:pPr>
            <w:r>
              <w:rPr>
                <w:sz w:val="18"/>
              </w:rPr>
              <w:t>-1.604</w:t>
            </w:r>
          </w:p>
        </w:tc>
        <w:tc>
          <w:tcPr>
            <w:tcW w:w="1018" w:type="dxa"/>
          </w:tcPr>
          <w:p>
            <w:pPr>
              <w:pStyle w:val="TableParagraph"/>
              <w:spacing w:before="42"/>
              <w:ind w:left="117" w:right="119"/>
              <w:rPr>
                <w:sz w:val="18"/>
              </w:rPr>
            </w:pPr>
            <w:r>
              <w:rPr>
                <w:sz w:val="18"/>
              </w:rPr>
              <w:t>Muy bajo</w:t>
            </w:r>
          </w:p>
        </w:tc>
      </w:tr>
      <w:tr>
        <w:trPr>
          <w:trHeight w:val="295" w:hRule="exact"/>
        </w:trPr>
        <w:tc>
          <w:tcPr>
            <w:tcW w:w="2331" w:type="dxa"/>
          </w:tcPr>
          <w:p>
            <w:pPr>
              <w:pStyle w:val="TableParagraph"/>
              <w:spacing w:before="20"/>
              <w:ind w:left="64"/>
              <w:jc w:val="left"/>
              <w:rPr>
                <w:sz w:val="18"/>
              </w:rPr>
            </w:pPr>
            <w:r>
              <w:rPr>
                <w:sz w:val="18"/>
              </w:rPr>
              <w:t>Tonanitla</w:t>
            </w:r>
          </w:p>
        </w:tc>
        <w:tc>
          <w:tcPr>
            <w:tcW w:w="1248" w:type="dxa"/>
          </w:tcPr>
          <w:p>
            <w:pPr>
              <w:pStyle w:val="TableParagraph"/>
              <w:spacing w:before="20"/>
              <w:ind w:left="193" w:right="194"/>
              <w:rPr>
                <w:sz w:val="18"/>
              </w:rPr>
            </w:pPr>
            <w:r>
              <w:rPr>
                <w:sz w:val="18"/>
              </w:rPr>
              <w:t>-0.78757</w:t>
            </w:r>
          </w:p>
        </w:tc>
        <w:tc>
          <w:tcPr>
            <w:tcW w:w="1229" w:type="dxa"/>
          </w:tcPr>
          <w:p>
            <w:pPr>
              <w:pStyle w:val="TableParagraph"/>
              <w:spacing w:before="20"/>
              <w:ind w:left="223" w:right="223"/>
              <w:rPr>
                <w:sz w:val="18"/>
              </w:rPr>
            </w:pPr>
            <w:r>
              <w:rPr>
                <w:sz w:val="18"/>
              </w:rPr>
              <w:t>Bajo</w:t>
            </w:r>
          </w:p>
        </w:tc>
        <w:tc>
          <w:tcPr>
            <w:tcW w:w="1015" w:type="dxa"/>
          </w:tcPr>
          <w:p>
            <w:pPr>
              <w:pStyle w:val="TableParagraph"/>
              <w:spacing w:before="42"/>
              <w:ind w:right="244"/>
              <w:jc w:val="right"/>
              <w:rPr>
                <w:sz w:val="18"/>
              </w:rPr>
            </w:pPr>
            <w:r>
              <w:rPr>
                <w:sz w:val="18"/>
              </w:rPr>
              <w:t>-1.159</w:t>
            </w:r>
          </w:p>
        </w:tc>
        <w:tc>
          <w:tcPr>
            <w:tcW w:w="1018" w:type="dxa"/>
          </w:tcPr>
          <w:p>
            <w:pPr>
              <w:pStyle w:val="TableParagraph"/>
              <w:spacing w:before="42"/>
              <w:ind w:left="118" w:right="119"/>
              <w:rPr>
                <w:sz w:val="18"/>
              </w:rPr>
            </w:pPr>
            <w:r>
              <w:rPr>
                <w:sz w:val="18"/>
              </w:rPr>
              <w:t>Bajo</w:t>
            </w:r>
          </w:p>
        </w:tc>
      </w:tr>
      <w:tr>
        <w:trPr>
          <w:trHeight w:val="293" w:hRule="exact"/>
        </w:trPr>
        <w:tc>
          <w:tcPr>
            <w:tcW w:w="2331" w:type="dxa"/>
          </w:tcPr>
          <w:p>
            <w:pPr>
              <w:pStyle w:val="TableParagraph"/>
              <w:spacing w:before="18"/>
              <w:ind w:left="64"/>
              <w:jc w:val="left"/>
              <w:rPr>
                <w:sz w:val="18"/>
              </w:rPr>
            </w:pPr>
            <w:r>
              <w:rPr>
                <w:sz w:val="18"/>
              </w:rPr>
              <w:t>Tonatico</w:t>
            </w:r>
          </w:p>
        </w:tc>
        <w:tc>
          <w:tcPr>
            <w:tcW w:w="1248" w:type="dxa"/>
          </w:tcPr>
          <w:p>
            <w:pPr>
              <w:pStyle w:val="TableParagraph"/>
              <w:spacing w:before="18"/>
              <w:ind w:left="193" w:right="194"/>
              <w:rPr>
                <w:sz w:val="18"/>
              </w:rPr>
            </w:pPr>
            <w:r>
              <w:rPr>
                <w:sz w:val="18"/>
              </w:rPr>
              <w:t>-0.18721</w:t>
            </w:r>
          </w:p>
        </w:tc>
        <w:tc>
          <w:tcPr>
            <w:tcW w:w="1229" w:type="dxa"/>
          </w:tcPr>
          <w:p>
            <w:pPr>
              <w:pStyle w:val="TableParagraph"/>
              <w:spacing w:before="18"/>
              <w:ind w:left="221" w:right="225"/>
              <w:rPr>
                <w:sz w:val="18"/>
              </w:rPr>
            </w:pPr>
            <w:r>
              <w:rPr>
                <w:sz w:val="18"/>
              </w:rPr>
              <w:t>Medio</w:t>
            </w:r>
          </w:p>
        </w:tc>
        <w:tc>
          <w:tcPr>
            <w:tcW w:w="1015" w:type="dxa"/>
          </w:tcPr>
          <w:p>
            <w:pPr>
              <w:pStyle w:val="TableParagraph"/>
              <w:spacing w:before="39"/>
              <w:ind w:right="244"/>
              <w:jc w:val="right"/>
              <w:rPr>
                <w:sz w:val="18"/>
              </w:rPr>
            </w:pPr>
            <w:r>
              <w:rPr>
                <w:sz w:val="18"/>
              </w:rPr>
              <w:t>-0.766</w:t>
            </w:r>
          </w:p>
        </w:tc>
        <w:tc>
          <w:tcPr>
            <w:tcW w:w="1018" w:type="dxa"/>
          </w:tcPr>
          <w:p>
            <w:pPr>
              <w:pStyle w:val="TableParagraph"/>
              <w:spacing w:before="39"/>
              <w:ind w:left="118" w:right="119"/>
              <w:rPr>
                <w:sz w:val="18"/>
              </w:rPr>
            </w:pPr>
            <w:r>
              <w:rPr>
                <w:sz w:val="18"/>
              </w:rPr>
              <w:t>Bajo</w:t>
            </w:r>
          </w:p>
        </w:tc>
      </w:tr>
      <w:tr>
        <w:trPr>
          <w:trHeight w:val="293" w:hRule="exact"/>
        </w:trPr>
        <w:tc>
          <w:tcPr>
            <w:tcW w:w="2331" w:type="dxa"/>
          </w:tcPr>
          <w:p>
            <w:pPr>
              <w:pStyle w:val="TableParagraph"/>
              <w:spacing w:before="18"/>
              <w:ind w:left="64"/>
              <w:jc w:val="left"/>
              <w:rPr>
                <w:sz w:val="18"/>
              </w:rPr>
            </w:pPr>
            <w:r>
              <w:rPr>
                <w:sz w:val="18"/>
              </w:rPr>
              <w:t>Tultepec</w:t>
            </w:r>
          </w:p>
        </w:tc>
        <w:tc>
          <w:tcPr>
            <w:tcW w:w="1248" w:type="dxa"/>
          </w:tcPr>
          <w:p>
            <w:pPr>
              <w:pStyle w:val="TableParagraph"/>
              <w:spacing w:before="18"/>
              <w:ind w:left="193" w:right="194"/>
              <w:rPr>
                <w:sz w:val="18"/>
              </w:rPr>
            </w:pPr>
            <w:r>
              <w:rPr>
                <w:sz w:val="18"/>
              </w:rPr>
              <w:t>-1.12975</w:t>
            </w:r>
          </w:p>
        </w:tc>
        <w:tc>
          <w:tcPr>
            <w:tcW w:w="1229" w:type="dxa"/>
          </w:tcPr>
          <w:p>
            <w:pPr>
              <w:pStyle w:val="TableParagraph"/>
              <w:spacing w:before="18"/>
              <w:ind w:left="223" w:right="223"/>
              <w:rPr>
                <w:sz w:val="18"/>
              </w:rPr>
            </w:pPr>
            <w:r>
              <w:rPr>
                <w:sz w:val="18"/>
              </w:rPr>
              <w:t>Bajo</w:t>
            </w:r>
          </w:p>
        </w:tc>
        <w:tc>
          <w:tcPr>
            <w:tcW w:w="1015" w:type="dxa"/>
          </w:tcPr>
          <w:p>
            <w:pPr>
              <w:pStyle w:val="TableParagraph"/>
              <w:spacing w:before="42"/>
              <w:ind w:right="244"/>
              <w:jc w:val="right"/>
              <w:rPr>
                <w:sz w:val="18"/>
              </w:rPr>
            </w:pPr>
            <w:r>
              <w:rPr>
                <w:sz w:val="18"/>
              </w:rPr>
              <w:t>-1.577</w:t>
            </w:r>
          </w:p>
        </w:tc>
        <w:tc>
          <w:tcPr>
            <w:tcW w:w="1018" w:type="dxa"/>
          </w:tcPr>
          <w:p>
            <w:pPr>
              <w:pStyle w:val="TableParagraph"/>
              <w:spacing w:before="42"/>
              <w:ind w:left="117" w:right="119"/>
              <w:rPr>
                <w:sz w:val="18"/>
              </w:rPr>
            </w:pPr>
            <w:r>
              <w:rPr>
                <w:sz w:val="18"/>
              </w:rPr>
              <w:t>Muy bajo</w:t>
            </w:r>
          </w:p>
        </w:tc>
      </w:tr>
      <w:tr>
        <w:trPr>
          <w:trHeight w:val="293" w:hRule="exact"/>
        </w:trPr>
        <w:tc>
          <w:tcPr>
            <w:tcW w:w="2331" w:type="dxa"/>
          </w:tcPr>
          <w:p>
            <w:pPr>
              <w:pStyle w:val="TableParagraph"/>
              <w:spacing w:before="18"/>
              <w:ind w:left="64"/>
              <w:jc w:val="left"/>
              <w:rPr>
                <w:sz w:val="18"/>
              </w:rPr>
            </w:pPr>
            <w:r>
              <w:rPr>
                <w:sz w:val="18"/>
              </w:rPr>
              <w:t>Tultitlán</w:t>
            </w:r>
          </w:p>
        </w:tc>
        <w:tc>
          <w:tcPr>
            <w:tcW w:w="1248" w:type="dxa"/>
          </w:tcPr>
          <w:p>
            <w:pPr>
              <w:pStyle w:val="TableParagraph"/>
              <w:spacing w:before="18"/>
              <w:ind w:left="193" w:right="194"/>
              <w:rPr>
                <w:sz w:val="18"/>
              </w:rPr>
            </w:pPr>
            <w:r>
              <w:rPr>
                <w:sz w:val="18"/>
              </w:rPr>
              <w:t>-1.24338</w:t>
            </w:r>
          </w:p>
        </w:tc>
        <w:tc>
          <w:tcPr>
            <w:tcW w:w="1229" w:type="dxa"/>
          </w:tcPr>
          <w:p>
            <w:pPr>
              <w:pStyle w:val="TableParagraph"/>
              <w:spacing w:before="18"/>
              <w:ind w:left="223" w:right="223"/>
              <w:rPr>
                <w:sz w:val="18"/>
              </w:rPr>
            </w:pPr>
            <w:r>
              <w:rPr>
                <w:sz w:val="18"/>
              </w:rPr>
              <w:t>Bajo</w:t>
            </w:r>
          </w:p>
        </w:tc>
        <w:tc>
          <w:tcPr>
            <w:tcW w:w="1015" w:type="dxa"/>
          </w:tcPr>
          <w:p>
            <w:pPr>
              <w:pStyle w:val="TableParagraph"/>
              <w:spacing w:before="42"/>
              <w:ind w:right="294"/>
              <w:jc w:val="right"/>
              <w:rPr>
                <w:sz w:val="18"/>
              </w:rPr>
            </w:pPr>
            <w:r>
              <w:rPr>
                <w:w w:val="95"/>
                <w:sz w:val="18"/>
              </w:rPr>
              <w:t>-1.72</w:t>
            </w:r>
          </w:p>
        </w:tc>
        <w:tc>
          <w:tcPr>
            <w:tcW w:w="1018" w:type="dxa"/>
          </w:tcPr>
          <w:p>
            <w:pPr>
              <w:pStyle w:val="TableParagraph"/>
              <w:spacing w:before="42"/>
              <w:ind w:left="117" w:right="119"/>
              <w:rPr>
                <w:sz w:val="18"/>
              </w:rPr>
            </w:pPr>
            <w:r>
              <w:rPr>
                <w:sz w:val="18"/>
              </w:rPr>
              <w:t>Muy bajo</w:t>
            </w:r>
          </w:p>
        </w:tc>
      </w:tr>
      <w:tr>
        <w:trPr>
          <w:trHeight w:val="293" w:hRule="exact"/>
        </w:trPr>
        <w:tc>
          <w:tcPr>
            <w:tcW w:w="2331" w:type="dxa"/>
          </w:tcPr>
          <w:p>
            <w:pPr>
              <w:pStyle w:val="TableParagraph"/>
              <w:spacing w:before="18"/>
              <w:ind w:left="64"/>
              <w:jc w:val="left"/>
              <w:rPr>
                <w:sz w:val="18"/>
              </w:rPr>
            </w:pPr>
            <w:r>
              <w:rPr>
                <w:sz w:val="18"/>
              </w:rPr>
              <w:t>Valle de Bravo</w:t>
            </w:r>
          </w:p>
        </w:tc>
        <w:tc>
          <w:tcPr>
            <w:tcW w:w="1248" w:type="dxa"/>
          </w:tcPr>
          <w:p>
            <w:pPr>
              <w:pStyle w:val="TableParagraph"/>
              <w:spacing w:before="18"/>
              <w:ind w:left="193" w:right="194"/>
              <w:rPr>
                <w:sz w:val="18"/>
              </w:rPr>
            </w:pPr>
            <w:r>
              <w:rPr>
                <w:sz w:val="18"/>
              </w:rPr>
              <w:t>-0.01329</w:t>
            </w:r>
          </w:p>
        </w:tc>
        <w:tc>
          <w:tcPr>
            <w:tcW w:w="1229" w:type="dxa"/>
          </w:tcPr>
          <w:p>
            <w:pPr>
              <w:pStyle w:val="TableParagraph"/>
              <w:spacing w:before="18"/>
              <w:ind w:left="221" w:right="225"/>
              <w:rPr>
                <w:sz w:val="18"/>
              </w:rPr>
            </w:pPr>
            <w:r>
              <w:rPr>
                <w:sz w:val="18"/>
              </w:rPr>
              <w:t>Medio</w:t>
            </w:r>
          </w:p>
        </w:tc>
        <w:tc>
          <w:tcPr>
            <w:tcW w:w="1015" w:type="dxa"/>
          </w:tcPr>
          <w:p>
            <w:pPr>
              <w:pStyle w:val="TableParagraph"/>
              <w:spacing w:before="42"/>
              <w:ind w:right="244"/>
              <w:jc w:val="right"/>
              <w:rPr>
                <w:sz w:val="18"/>
              </w:rPr>
            </w:pPr>
            <w:r>
              <w:rPr>
                <w:sz w:val="18"/>
              </w:rPr>
              <w:t>-0.779</w:t>
            </w:r>
          </w:p>
        </w:tc>
        <w:tc>
          <w:tcPr>
            <w:tcW w:w="1018" w:type="dxa"/>
          </w:tcPr>
          <w:p>
            <w:pPr>
              <w:pStyle w:val="TableParagraph"/>
              <w:spacing w:before="42"/>
              <w:ind w:left="118" w:right="119"/>
              <w:rPr>
                <w:sz w:val="18"/>
              </w:rPr>
            </w:pPr>
            <w:r>
              <w:rPr>
                <w:sz w:val="18"/>
              </w:rPr>
              <w:t>Bajo</w:t>
            </w:r>
          </w:p>
        </w:tc>
      </w:tr>
      <w:tr>
        <w:trPr>
          <w:trHeight w:val="485" w:hRule="exact"/>
        </w:trPr>
        <w:tc>
          <w:tcPr>
            <w:tcW w:w="2331" w:type="dxa"/>
          </w:tcPr>
          <w:p>
            <w:pPr>
              <w:pStyle w:val="TableParagraph"/>
              <w:spacing w:line="276" w:lineRule="auto"/>
              <w:ind w:left="64" w:right="976"/>
              <w:jc w:val="left"/>
              <w:rPr>
                <w:sz w:val="18"/>
              </w:rPr>
            </w:pPr>
            <w:r>
              <w:rPr>
                <w:sz w:val="18"/>
              </w:rPr>
              <w:t>Valle de Chalco Solidaridad</w:t>
            </w:r>
          </w:p>
        </w:tc>
        <w:tc>
          <w:tcPr>
            <w:tcW w:w="1248" w:type="dxa"/>
          </w:tcPr>
          <w:p>
            <w:pPr>
              <w:pStyle w:val="TableParagraph"/>
              <w:spacing w:before="116"/>
              <w:ind w:left="193" w:right="194"/>
              <w:rPr>
                <w:sz w:val="18"/>
              </w:rPr>
            </w:pPr>
            <w:r>
              <w:rPr>
                <w:sz w:val="18"/>
              </w:rPr>
              <w:t>-0.61094</w:t>
            </w:r>
          </w:p>
        </w:tc>
        <w:tc>
          <w:tcPr>
            <w:tcW w:w="1229" w:type="dxa"/>
          </w:tcPr>
          <w:p>
            <w:pPr>
              <w:pStyle w:val="TableParagraph"/>
              <w:spacing w:before="116"/>
              <w:ind w:left="223" w:right="223"/>
              <w:rPr>
                <w:sz w:val="18"/>
              </w:rPr>
            </w:pPr>
            <w:r>
              <w:rPr>
                <w:sz w:val="18"/>
              </w:rPr>
              <w:t>Bajo</w:t>
            </w:r>
          </w:p>
        </w:tc>
        <w:tc>
          <w:tcPr>
            <w:tcW w:w="1015" w:type="dxa"/>
          </w:tcPr>
          <w:p>
            <w:pPr>
              <w:pStyle w:val="TableParagraph"/>
              <w:spacing w:before="3"/>
              <w:jc w:val="left"/>
              <w:rPr>
                <w:sz w:val="20"/>
              </w:rPr>
            </w:pPr>
          </w:p>
          <w:p>
            <w:pPr>
              <w:pStyle w:val="TableParagraph"/>
              <w:spacing w:before="1"/>
              <w:ind w:right="244"/>
              <w:jc w:val="right"/>
              <w:rPr>
                <w:sz w:val="18"/>
              </w:rPr>
            </w:pPr>
            <w:r>
              <w:rPr>
                <w:sz w:val="18"/>
              </w:rPr>
              <w:t>-1.225</w:t>
            </w:r>
          </w:p>
        </w:tc>
        <w:tc>
          <w:tcPr>
            <w:tcW w:w="1018" w:type="dxa"/>
          </w:tcPr>
          <w:p>
            <w:pPr>
              <w:pStyle w:val="TableParagraph"/>
              <w:spacing w:before="3"/>
              <w:jc w:val="left"/>
              <w:rPr>
                <w:sz w:val="20"/>
              </w:rPr>
            </w:pPr>
          </w:p>
          <w:p>
            <w:pPr>
              <w:pStyle w:val="TableParagraph"/>
              <w:spacing w:before="1"/>
              <w:ind w:left="118" w:right="119"/>
              <w:rPr>
                <w:sz w:val="18"/>
              </w:rPr>
            </w:pPr>
            <w:r>
              <w:rPr>
                <w:sz w:val="18"/>
              </w:rPr>
              <w:t>Bajo</w:t>
            </w:r>
          </w:p>
        </w:tc>
      </w:tr>
      <w:tr>
        <w:trPr>
          <w:trHeight w:val="293" w:hRule="exact"/>
        </w:trPr>
        <w:tc>
          <w:tcPr>
            <w:tcW w:w="2331" w:type="dxa"/>
          </w:tcPr>
          <w:p>
            <w:pPr>
              <w:pStyle w:val="TableParagraph"/>
              <w:spacing w:before="20"/>
              <w:ind w:left="64"/>
              <w:jc w:val="left"/>
              <w:rPr>
                <w:sz w:val="18"/>
              </w:rPr>
            </w:pPr>
            <w:r>
              <w:rPr>
                <w:sz w:val="18"/>
              </w:rPr>
              <w:t>Villa de Allende</w:t>
            </w:r>
          </w:p>
        </w:tc>
        <w:tc>
          <w:tcPr>
            <w:tcW w:w="1248" w:type="dxa"/>
          </w:tcPr>
          <w:p>
            <w:pPr>
              <w:pStyle w:val="TableParagraph"/>
              <w:spacing w:before="20"/>
              <w:ind w:left="190" w:right="194"/>
              <w:rPr>
                <w:sz w:val="18"/>
              </w:rPr>
            </w:pPr>
            <w:r>
              <w:rPr>
                <w:sz w:val="18"/>
              </w:rPr>
              <w:t>2.06391</w:t>
            </w:r>
          </w:p>
        </w:tc>
        <w:tc>
          <w:tcPr>
            <w:tcW w:w="1229" w:type="dxa"/>
          </w:tcPr>
          <w:p>
            <w:pPr>
              <w:pStyle w:val="TableParagraph"/>
              <w:spacing w:before="20"/>
              <w:ind w:left="221" w:right="225"/>
              <w:rPr>
                <w:sz w:val="18"/>
              </w:rPr>
            </w:pPr>
            <w:r>
              <w:rPr>
                <w:sz w:val="18"/>
              </w:rPr>
              <w:t>Muy Alto</w:t>
            </w:r>
          </w:p>
        </w:tc>
        <w:tc>
          <w:tcPr>
            <w:tcW w:w="1015" w:type="dxa"/>
          </w:tcPr>
          <w:p>
            <w:pPr>
              <w:pStyle w:val="TableParagraph"/>
              <w:spacing w:before="42"/>
              <w:ind w:right="275"/>
              <w:jc w:val="right"/>
              <w:rPr>
                <w:sz w:val="18"/>
              </w:rPr>
            </w:pPr>
            <w:r>
              <w:rPr>
                <w:sz w:val="18"/>
              </w:rPr>
              <w:t>0.543</w:t>
            </w:r>
          </w:p>
        </w:tc>
        <w:tc>
          <w:tcPr>
            <w:tcW w:w="1018" w:type="dxa"/>
          </w:tcPr>
          <w:p>
            <w:pPr>
              <w:pStyle w:val="TableParagraph"/>
              <w:spacing w:before="42"/>
              <w:ind w:left="118" w:right="119"/>
              <w:rPr>
                <w:sz w:val="18"/>
              </w:rPr>
            </w:pPr>
            <w:r>
              <w:rPr>
                <w:sz w:val="18"/>
              </w:rPr>
              <w:t>Alto</w:t>
            </w:r>
          </w:p>
        </w:tc>
      </w:tr>
      <w:tr>
        <w:trPr>
          <w:trHeight w:val="295" w:hRule="exact"/>
        </w:trPr>
        <w:tc>
          <w:tcPr>
            <w:tcW w:w="2331" w:type="dxa"/>
          </w:tcPr>
          <w:p>
            <w:pPr>
              <w:pStyle w:val="TableParagraph"/>
              <w:spacing w:before="20"/>
              <w:ind w:left="64"/>
              <w:jc w:val="left"/>
              <w:rPr>
                <w:sz w:val="18"/>
              </w:rPr>
            </w:pPr>
            <w:r>
              <w:rPr>
                <w:sz w:val="18"/>
              </w:rPr>
              <w:t>Villa del Carbón</w:t>
            </w:r>
          </w:p>
        </w:tc>
        <w:tc>
          <w:tcPr>
            <w:tcW w:w="1248" w:type="dxa"/>
          </w:tcPr>
          <w:p>
            <w:pPr>
              <w:pStyle w:val="TableParagraph"/>
              <w:spacing w:before="20"/>
              <w:ind w:left="190" w:right="194"/>
              <w:rPr>
                <w:sz w:val="18"/>
              </w:rPr>
            </w:pPr>
            <w:r>
              <w:rPr>
                <w:sz w:val="18"/>
              </w:rPr>
              <w:t>1.03977</w:t>
            </w:r>
          </w:p>
        </w:tc>
        <w:tc>
          <w:tcPr>
            <w:tcW w:w="1229" w:type="dxa"/>
          </w:tcPr>
          <w:p>
            <w:pPr>
              <w:pStyle w:val="TableParagraph"/>
              <w:spacing w:before="20"/>
              <w:ind w:left="222" w:right="225"/>
              <w:rPr>
                <w:sz w:val="18"/>
              </w:rPr>
            </w:pPr>
            <w:r>
              <w:rPr>
                <w:sz w:val="18"/>
              </w:rPr>
              <w:t>Alto</w:t>
            </w:r>
          </w:p>
        </w:tc>
        <w:tc>
          <w:tcPr>
            <w:tcW w:w="1015" w:type="dxa"/>
          </w:tcPr>
          <w:p>
            <w:pPr>
              <w:pStyle w:val="TableParagraph"/>
              <w:spacing w:before="42"/>
              <w:ind w:right="242"/>
              <w:jc w:val="right"/>
              <w:rPr>
                <w:sz w:val="18"/>
              </w:rPr>
            </w:pPr>
            <w:r>
              <w:rPr>
                <w:w w:val="95"/>
                <w:sz w:val="18"/>
              </w:rPr>
              <w:t>-0.061</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18"/>
              <w:ind w:left="64"/>
              <w:jc w:val="left"/>
              <w:rPr>
                <w:sz w:val="18"/>
              </w:rPr>
            </w:pPr>
            <w:r>
              <w:rPr>
                <w:sz w:val="18"/>
              </w:rPr>
              <w:t>Villa Guerrero</w:t>
            </w:r>
          </w:p>
        </w:tc>
        <w:tc>
          <w:tcPr>
            <w:tcW w:w="1248" w:type="dxa"/>
          </w:tcPr>
          <w:p>
            <w:pPr>
              <w:pStyle w:val="TableParagraph"/>
              <w:spacing w:before="18"/>
              <w:ind w:left="190" w:right="194"/>
              <w:rPr>
                <w:sz w:val="18"/>
              </w:rPr>
            </w:pPr>
            <w:r>
              <w:rPr>
                <w:sz w:val="18"/>
              </w:rPr>
              <w:t>0.69573</w:t>
            </w:r>
          </w:p>
        </w:tc>
        <w:tc>
          <w:tcPr>
            <w:tcW w:w="1229" w:type="dxa"/>
          </w:tcPr>
          <w:p>
            <w:pPr>
              <w:pStyle w:val="TableParagraph"/>
              <w:spacing w:before="18"/>
              <w:ind w:left="222" w:right="225"/>
              <w:rPr>
                <w:sz w:val="18"/>
              </w:rPr>
            </w:pPr>
            <w:r>
              <w:rPr>
                <w:sz w:val="18"/>
              </w:rPr>
              <w:t>Alto</w:t>
            </w:r>
          </w:p>
        </w:tc>
        <w:tc>
          <w:tcPr>
            <w:tcW w:w="1015" w:type="dxa"/>
          </w:tcPr>
          <w:p>
            <w:pPr>
              <w:pStyle w:val="TableParagraph"/>
              <w:spacing w:before="39"/>
              <w:ind w:right="244"/>
              <w:jc w:val="right"/>
              <w:rPr>
                <w:sz w:val="18"/>
              </w:rPr>
            </w:pPr>
            <w:r>
              <w:rPr>
                <w:sz w:val="18"/>
              </w:rPr>
              <w:t>-0.152</w:t>
            </w:r>
          </w:p>
        </w:tc>
        <w:tc>
          <w:tcPr>
            <w:tcW w:w="1018" w:type="dxa"/>
          </w:tcPr>
          <w:p>
            <w:pPr>
              <w:pStyle w:val="TableParagraph"/>
              <w:spacing w:before="39"/>
              <w:ind w:left="115" w:right="119"/>
              <w:rPr>
                <w:sz w:val="18"/>
              </w:rPr>
            </w:pPr>
            <w:r>
              <w:rPr>
                <w:sz w:val="18"/>
              </w:rPr>
              <w:t>Medio</w:t>
            </w:r>
          </w:p>
        </w:tc>
      </w:tr>
    </w:tbl>
    <w:p>
      <w:pPr>
        <w:spacing w:after="0"/>
        <w:rPr>
          <w:sz w:val="18"/>
        </w:rPr>
        <w:sectPr>
          <w:pgSz w:w="12240" w:h="15840"/>
          <w:pgMar w:header="0" w:footer="975" w:top="1420" w:bottom="1160" w:left="1720" w:right="1720"/>
        </w:sectPr>
      </w:pPr>
    </w:p>
    <w:tbl>
      <w:tblPr>
        <w:tblW w:w="0" w:type="auto"/>
        <w:jc w:val="left"/>
        <w:tblInd w:w="9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31"/>
        <w:gridCol w:w="1248"/>
        <w:gridCol w:w="1229"/>
        <w:gridCol w:w="1015"/>
        <w:gridCol w:w="1018"/>
      </w:tblGrid>
      <w:tr>
        <w:trPr>
          <w:trHeight w:val="424" w:hRule="exact"/>
        </w:trPr>
        <w:tc>
          <w:tcPr>
            <w:tcW w:w="6842" w:type="dxa"/>
            <w:gridSpan w:val="5"/>
            <w:shd w:val="clear" w:color="auto" w:fill="92D050"/>
          </w:tcPr>
          <w:p>
            <w:pPr>
              <w:pStyle w:val="TableParagraph"/>
              <w:ind w:left="1738" w:right="275" w:hanging="1453"/>
              <w:jc w:val="left"/>
              <w:rPr>
                <w:b/>
                <w:sz w:val="18"/>
              </w:rPr>
            </w:pPr>
            <w:r>
              <w:rPr>
                <w:b/>
                <w:sz w:val="18"/>
              </w:rPr>
              <w:t>Anexo 2. Índices de marginación de los municipios del Estado de México durante el periodo 2006-2010 (Termina)</w:t>
            </w:r>
          </w:p>
        </w:tc>
      </w:tr>
      <w:tr>
        <w:trPr>
          <w:trHeight w:val="631" w:hRule="exact"/>
        </w:trPr>
        <w:tc>
          <w:tcPr>
            <w:tcW w:w="2331" w:type="dxa"/>
            <w:shd w:val="clear" w:color="auto" w:fill="92D050"/>
          </w:tcPr>
          <w:p>
            <w:pPr>
              <w:pStyle w:val="TableParagraph"/>
              <w:spacing w:before="2"/>
              <w:jc w:val="left"/>
              <w:rPr>
                <w:sz w:val="17"/>
              </w:rPr>
            </w:pPr>
          </w:p>
          <w:p>
            <w:pPr>
              <w:pStyle w:val="TableParagraph"/>
              <w:ind w:left="739"/>
              <w:jc w:val="left"/>
              <w:rPr>
                <w:b/>
                <w:sz w:val="18"/>
              </w:rPr>
            </w:pPr>
            <w:r>
              <w:rPr>
                <w:b/>
                <w:sz w:val="18"/>
              </w:rPr>
              <w:t>Municipio</w:t>
            </w:r>
          </w:p>
        </w:tc>
        <w:tc>
          <w:tcPr>
            <w:tcW w:w="1248" w:type="dxa"/>
            <w:shd w:val="clear" w:color="auto" w:fill="92D050"/>
          </w:tcPr>
          <w:p>
            <w:pPr>
              <w:pStyle w:val="TableParagraph"/>
              <w:ind w:left="79" w:right="85" w:firstLine="1"/>
              <w:rPr>
                <w:b/>
                <w:sz w:val="18"/>
              </w:rPr>
            </w:pPr>
            <w:r>
              <w:rPr>
                <w:b/>
                <w:sz w:val="18"/>
              </w:rPr>
              <w:t>Índice de marginación</w:t>
            </w:r>
            <w:r>
              <w:rPr>
                <w:b/>
                <w:w w:val="100"/>
                <w:sz w:val="18"/>
              </w:rPr>
              <w:t> </w:t>
            </w:r>
            <w:r>
              <w:rPr>
                <w:b/>
                <w:sz w:val="18"/>
              </w:rPr>
              <w:t>2005</w:t>
            </w:r>
          </w:p>
        </w:tc>
        <w:tc>
          <w:tcPr>
            <w:tcW w:w="1229" w:type="dxa"/>
            <w:shd w:val="clear" w:color="auto" w:fill="92D050"/>
          </w:tcPr>
          <w:p>
            <w:pPr>
              <w:pStyle w:val="TableParagraph"/>
              <w:spacing w:before="2"/>
              <w:jc w:val="left"/>
              <w:rPr>
                <w:sz w:val="17"/>
              </w:rPr>
            </w:pPr>
          </w:p>
          <w:p>
            <w:pPr>
              <w:pStyle w:val="TableParagraph"/>
              <w:ind w:left="280" w:right="134" w:hanging="135"/>
              <w:jc w:val="left"/>
              <w:rPr>
                <w:b/>
                <w:sz w:val="18"/>
              </w:rPr>
            </w:pPr>
            <w:r>
              <w:rPr>
                <w:b/>
                <w:sz w:val="18"/>
              </w:rPr>
              <w:t>Valoración IM 2005</w:t>
            </w:r>
          </w:p>
        </w:tc>
        <w:tc>
          <w:tcPr>
            <w:tcW w:w="2033" w:type="dxa"/>
            <w:gridSpan w:val="2"/>
            <w:shd w:val="clear" w:color="auto" w:fill="92D050"/>
          </w:tcPr>
          <w:p>
            <w:pPr>
              <w:pStyle w:val="TableParagraph"/>
              <w:spacing w:before="2"/>
              <w:jc w:val="left"/>
              <w:rPr>
                <w:sz w:val="17"/>
              </w:rPr>
            </w:pPr>
          </w:p>
          <w:p>
            <w:pPr>
              <w:pStyle w:val="TableParagraph"/>
              <w:ind w:left="199"/>
              <w:jc w:val="left"/>
              <w:rPr>
                <w:b/>
                <w:sz w:val="18"/>
              </w:rPr>
            </w:pPr>
            <w:r>
              <w:rPr>
                <w:b/>
                <w:sz w:val="18"/>
              </w:rPr>
              <w:t>Valoración IM 2010</w:t>
            </w:r>
          </w:p>
        </w:tc>
      </w:tr>
      <w:tr>
        <w:trPr>
          <w:trHeight w:val="293" w:hRule="exact"/>
        </w:trPr>
        <w:tc>
          <w:tcPr>
            <w:tcW w:w="2331" w:type="dxa"/>
          </w:tcPr>
          <w:p>
            <w:pPr>
              <w:pStyle w:val="TableParagraph"/>
              <w:spacing w:before="18"/>
              <w:ind w:left="64"/>
              <w:jc w:val="left"/>
              <w:rPr>
                <w:sz w:val="18"/>
              </w:rPr>
            </w:pPr>
            <w:r>
              <w:rPr>
                <w:sz w:val="18"/>
              </w:rPr>
              <w:t>Villa Victoria</w:t>
            </w:r>
          </w:p>
        </w:tc>
        <w:tc>
          <w:tcPr>
            <w:tcW w:w="1248" w:type="dxa"/>
          </w:tcPr>
          <w:p>
            <w:pPr>
              <w:pStyle w:val="TableParagraph"/>
              <w:spacing w:before="18"/>
              <w:ind w:left="190" w:right="194"/>
              <w:rPr>
                <w:sz w:val="18"/>
              </w:rPr>
            </w:pPr>
            <w:r>
              <w:rPr>
                <w:sz w:val="18"/>
              </w:rPr>
              <w:t>2.35822</w:t>
            </w:r>
          </w:p>
        </w:tc>
        <w:tc>
          <w:tcPr>
            <w:tcW w:w="1229" w:type="dxa"/>
          </w:tcPr>
          <w:p>
            <w:pPr>
              <w:pStyle w:val="TableParagraph"/>
              <w:spacing w:before="18"/>
              <w:ind w:left="221" w:right="225"/>
              <w:rPr>
                <w:sz w:val="18"/>
              </w:rPr>
            </w:pPr>
            <w:r>
              <w:rPr>
                <w:sz w:val="18"/>
              </w:rPr>
              <w:t>Muy Alto</w:t>
            </w:r>
          </w:p>
        </w:tc>
        <w:tc>
          <w:tcPr>
            <w:tcW w:w="1015" w:type="dxa"/>
          </w:tcPr>
          <w:p>
            <w:pPr>
              <w:pStyle w:val="TableParagraph"/>
              <w:spacing w:before="42"/>
              <w:ind w:left="276"/>
              <w:jc w:val="left"/>
              <w:rPr>
                <w:sz w:val="18"/>
              </w:rPr>
            </w:pPr>
            <w:r>
              <w:rPr>
                <w:sz w:val="18"/>
              </w:rPr>
              <w:t>0.792</w:t>
            </w:r>
          </w:p>
        </w:tc>
        <w:tc>
          <w:tcPr>
            <w:tcW w:w="1018" w:type="dxa"/>
          </w:tcPr>
          <w:p>
            <w:pPr>
              <w:pStyle w:val="TableParagraph"/>
              <w:spacing w:before="42"/>
              <w:ind w:left="118" w:right="119"/>
              <w:rPr>
                <w:sz w:val="18"/>
              </w:rPr>
            </w:pPr>
            <w:r>
              <w:rPr>
                <w:sz w:val="18"/>
              </w:rPr>
              <w:t>Alto</w:t>
            </w:r>
          </w:p>
        </w:tc>
      </w:tr>
      <w:tr>
        <w:trPr>
          <w:trHeight w:val="293" w:hRule="exact"/>
        </w:trPr>
        <w:tc>
          <w:tcPr>
            <w:tcW w:w="2331" w:type="dxa"/>
          </w:tcPr>
          <w:p>
            <w:pPr>
              <w:pStyle w:val="TableParagraph"/>
              <w:spacing w:before="20"/>
              <w:ind w:left="64"/>
              <w:jc w:val="left"/>
              <w:rPr>
                <w:sz w:val="18"/>
              </w:rPr>
            </w:pPr>
            <w:r>
              <w:rPr>
                <w:sz w:val="18"/>
              </w:rPr>
              <w:t>Xalatlaco</w:t>
            </w:r>
          </w:p>
        </w:tc>
        <w:tc>
          <w:tcPr>
            <w:tcW w:w="1248" w:type="dxa"/>
          </w:tcPr>
          <w:p>
            <w:pPr>
              <w:pStyle w:val="TableParagraph"/>
              <w:spacing w:before="20"/>
              <w:ind w:left="193" w:right="194"/>
              <w:rPr>
                <w:sz w:val="18"/>
              </w:rPr>
            </w:pPr>
            <w:r>
              <w:rPr>
                <w:sz w:val="18"/>
              </w:rPr>
              <w:t>-0.1477</w:t>
            </w:r>
          </w:p>
        </w:tc>
        <w:tc>
          <w:tcPr>
            <w:tcW w:w="1229" w:type="dxa"/>
          </w:tcPr>
          <w:p>
            <w:pPr>
              <w:pStyle w:val="TableParagraph"/>
              <w:spacing w:before="20"/>
              <w:ind w:left="221" w:right="225"/>
              <w:rPr>
                <w:sz w:val="18"/>
              </w:rPr>
            </w:pPr>
            <w:r>
              <w:rPr>
                <w:sz w:val="18"/>
              </w:rPr>
              <w:t>Medio</w:t>
            </w:r>
          </w:p>
        </w:tc>
        <w:tc>
          <w:tcPr>
            <w:tcW w:w="1015" w:type="dxa"/>
          </w:tcPr>
          <w:p>
            <w:pPr>
              <w:pStyle w:val="TableParagraph"/>
              <w:spacing w:before="42"/>
              <w:ind w:left="247"/>
              <w:jc w:val="left"/>
              <w:rPr>
                <w:sz w:val="18"/>
              </w:rPr>
            </w:pPr>
            <w:r>
              <w:rPr>
                <w:sz w:val="18"/>
              </w:rPr>
              <w:t>-0.683</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20"/>
              <w:ind w:left="64"/>
              <w:jc w:val="left"/>
              <w:rPr>
                <w:sz w:val="18"/>
              </w:rPr>
            </w:pPr>
            <w:r>
              <w:rPr>
                <w:sz w:val="18"/>
              </w:rPr>
              <w:t>Xonacatlán</w:t>
            </w:r>
          </w:p>
        </w:tc>
        <w:tc>
          <w:tcPr>
            <w:tcW w:w="1248" w:type="dxa"/>
          </w:tcPr>
          <w:p>
            <w:pPr>
              <w:pStyle w:val="TableParagraph"/>
              <w:spacing w:before="20"/>
              <w:ind w:left="193" w:right="194"/>
              <w:rPr>
                <w:sz w:val="18"/>
              </w:rPr>
            </w:pPr>
            <w:r>
              <w:rPr>
                <w:sz w:val="18"/>
              </w:rPr>
              <w:t>-0.38335</w:t>
            </w:r>
          </w:p>
        </w:tc>
        <w:tc>
          <w:tcPr>
            <w:tcW w:w="1229" w:type="dxa"/>
          </w:tcPr>
          <w:p>
            <w:pPr>
              <w:pStyle w:val="TableParagraph"/>
              <w:spacing w:before="20"/>
              <w:ind w:left="221" w:right="225"/>
              <w:rPr>
                <w:sz w:val="18"/>
              </w:rPr>
            </w:pPr>
            <w:r>
              <w:rPr>
                <w:sz w:val="18"/>
              </w:rPr>
              <w:t>Medio</w:t>
            </w:r>
          </w:p>
        </w:tc>
        <w:tc>
          <w:tcPr>
            <w:tcW w:w="1015" w:type="dxa"/>
          </w:tcPr>
          <w:p>
            <w:pPr>
              <w:pStyle w:val="TableParagraph"/>
              <w:spacing w:before="42"/>
              <w:ind w:left="247"/>
              <w:jc w:val="left"/>
              <w:rPr>
                <w:sz w:val="18"/>
              </w:rPr>
            </w:pPr>
            <w:r>
              <w:rPr>
                <w:sz w:val="18"/>
              </w:rPr>
              <w:t>-1.147</w:t>
            </w:r>
          </w:p>
        </w:tc>
        <w:tc>
          <w:tcPr>
            <w:tcW w:w="1018" w:type="dxa"/>
          </w:tcPr>
          <w:p>
            <w:pPr>
              <w:pStyle w:val="TableParagraph"/>
              <w:spacing w:before="42"/>
              <w:ind w:left="118" w:right="119"/>
              <w:rPr>
                <w:sz w:val="18"/>
              </w:rPr>
            </w:pPr>
            <w:r>
              <w:rPr>
                <w:sz w:val="18"/>
              </w:rPr>
              <w:t>Bajo</w:t>
            </w:r>
          </w:p>
        </w:tc>
      </w:tr>
      <w:tr>
        <w:trPr>
          <w:trHeight w:val="293" w:hRule="exact"/>
        </w:trPr>
        <w:tc>
          <w:tcPr>
            <w:tcW w:w="2331" w:type="dxa"/>
          </w:tcPr>
          <w:p>
            <w:pPr>
              <w:pStyle w:val="TableParagraph"/>
              <w:spacing w:before="20"/>
              <w:ind w:left="64"/>
              <w:jc w:val="left"/>
              <w:rPr>
                <w:sz w:val="18"/>
              </w:rPr>
            </w:pPr>
            <w:r>
              <w:rPr>
                <w:sz w:val="18"/>
              </w:rPr>
              <w:t>Zacazonapan</w:t>
            </w:r>
          </w:p>
        </w:tc>
        <w:tc>
          <w:tcPr>
            <w:tcW w:w="1248" w:type="dxa"/>
          </w:tcPr>
          <w:p>
            <w:pPr>
              <w:pStyle w:val="TableParagraph"/>
              <w:spacing w:before="20"/>
              <w:ind w:left="190" w:right="194"/>
              <w:rPr>
                <w:sz w:val="18"/>
              </w:rPr>
            </w:pPr>
            <w:r>
              <w:rPr>
                <w:sz w:val="18"/>
              </w:rPr>
              <w:t>0.34218</w:t>
            </w:r>
          </w:p>
        </w:tc>
        <w:tc>
          <w:tcPr>
            <w:tcW w:w="1229" w:type="dxa"/>
          </w:tcPr>
          <w:p>
            <w:pPr>
              <w:pStyle w:val="TableParagraph"/>
              <w:spacing w:before="20"/>
              <w:ind w:left="222" w:right="225"/>
              <w:rPr>
                <w:sz w:val="18"/>
              </w:rPr>
            </w:pPr>
            <w:r>
              <w:rPr>
                <w:sz w:val="18"/>
              </w:rPr>
              <w:t>Alto</w:t>
            </w:r>
          </w:p>
        </w:tc>
        <w:tc>
          <w:tcPr>
            <w:tcW w:w="1015" w:type="dxa"/>
          </w:tcPr>
          <w:p>
            <w:pPr>
              <w:pStyle w:val="TableParagraph"/>
              <w:spacing w:before="42"/>
              <w:ind w:left="247"/>
              <w:jc w:val="left"/>
              <w:rPr>
                <w:sz w:val="18"/>
              </w:rPr>
            </w:pPr>
            <w:r>
              <w:rPr>
                <w:sz w:val="18"/>
              </w:rPr>
              <w:t>-0.365</w:t>
            </w:r>
          </w:p>
        </w:tc>
        <w:tc>
          <w:tcPr>
            <w:tcW w:w="1018" w:type="dxa"/>
          </w:tcPr>
          <w:p>
            <w:pPr>
              <w:pStyle w:val="TableParagraph"/>
              <w:spacing w:before="42"/>
              <w:ind w:left="115" w:right="119"/>
              <w:rPr>
                <w:sz w:val="18"/>
              </w:rPr>
            </w:pPr>
            <w:r>
              <w:rPr>
                <w:sz w:val="18"/>
              </w:rPr>
              <w:t>Medio</w:t>
            </w:r>
          </w:p>
        </w:tc>
      </w:tr>
      <w:tr>
        <w:trPr>
          <w:trHeight w:val="293" w:hRule="exact"/>
        </w:trPr>
        <w:tc>
          <w:tcPr>
            <w:tcW w:w="2331" w:type="dxa"/>
          </w:tcPr>
          <w:p>
            <w:pPr>
              <w:pStyle w:val="TableParagraph"/>
              <w:spacing w:before="20"/>
              <w:ind w:left="64"/>
              <w:jc w:val="left"/>
              <w:rPr>
                <w:sz w:val="18"/>
              </w:rPr>
            </w:pPr>
            <w:r>
              <w:rPr>
                <w:sz w:val="18"/>
              </w:rPr>
              <w:t>Zacualpan</w:t>
            </w:r>
          </w:p>
        </w:tc>
        <w:tc>
          <w:tcPr>
            <w:tcW w:w="1248" w:type="dxa"/>
          </w:tcPr>
          <w:p>
            <w:pPr>
              <w:pStyle w:val="TableParagraph"/>
              <w:spacing w:before="20"/>
              <w:ind w:left="189" w:right="194"/>
              <w:rPr>
                <w:sz w:val="18"/>
              </w:rPr>
            </w:pPr>
            <w:r>
              <w:rPr>
                <w:sz w:val="18"/>
              </w:rPr>
              <w:t>1.9425</w:t>
            </w:r>
          </w:p>
        </w:tc>
        <w:tc>
          <w:tcPr>
            <w:tcW w:w="1229" w:type="dxa"/>
          </w:tcPr>
          <w:p>
            <w:pPr>
              <w:pStyle w:val="TableParagraph"/>
              <w:spacing w:before="20"/>
              <w:ind w:left="221" w:right="225"/>
              <w:rPr>
                <w:sz w:val="18"/>
              </w:rPr>
            </w:pPr>
            <w:r>
              <w:rPr>
                <w:sz w:val="18"/>
              </w:rPr>
              <w:t>Muy Alto</w:t>
            </w:r>
          </w:p>
        </w:tc>
        <w:tc>
          <w:tcPr>
            <w:tcW w:w="1015" w:type="dxa"/>
          </w:tcPr>
          <w:p>
            <w:pPr>
              <w:pStyle w:val="TableParagraph"/>
              <w:spacing w:before="42"/>
              <w:ind w:left="276"/>
              <w:jc w:val="left"/>
              <w:rPr>
                <w:sz w:val="18"/>
              </w:rPr>
            </w:pPr>
            <w:r>
              <w:rPr>
                <w:sz w:val="18"/>
              </w:rPr>
              <w:t>0.972</w:t>
            </w:r>
          </w:p>
        </w:tc>
        <w:tc>
          <w:tcPr>
            <w:tcW w:w="1018" w:type="dxa"/>
          </w:tcPr>
          <w:p>
            <w:pPr>
              <w:pStyle w:val="TableParagraph"/>
              <w:spacing w:before="42"/>
              <w:ind w:left="118" w:right="118"/>
              <w:rPr>
                <w:sz w:val="18"/>
              </w:rPr>
            </w:pPr>
            <w:r>
              <w:rPr>
                <w:sz w:val="18"/>
              </w:rPr>
              <w:t>Muy alto</w:t>
            </w:r>
          </w:p>
        </w:tc>
      </w:tr>
      <w:tr>
        <w:trPr>
          <w:trHeight w:val="293" w:hRule="exact"/>
        </w:trPr>
        <w:tc>
          <w:tcPr>
            <w:tcW w:w="2331" w:type="dxa"/>
          </w:tcPr>
          <w:p>
            <w:pPr>
              <w:pStyle w:val="TableParagraph"/>
              <w:spacing w:before="20"/>
              <w:ind w:left="64"/>
              <w:jc w:val="left"/>
              <w:rPr>
                <w:sz w:val="18"/>
              </w:rPr>
            </w:pPr>
            <w:r>
              <w:rPr>
                <w:sz w:val="18"/>
              </w:rPr>
              <w:t>Zinacantepec</w:t>
            </w:r>
          </w:p>
        </w:tc>
        <w:tc>
          <w:tcPr>
            <w:tcW w:w="1248" w:type="dxa"/>
          </w:tcPr>
          <w:p>
            <w:pPr>
              <w:pStyle w:val="TableParagraph"/>
              <w:spacing w:before="20"/>
              <w:ind w:left="193" w:right="194"/>
              <w:rPr>
                <w:sz w:val="18"/>
              </w:rPr>
            </w:pPr>
            <w:r>
              <w:rPr>
                <w:sz w:val="18"/>
              </w:rPr>
              <w:t>-0.26946</w:t>
            </w:r>
          </w:p>
        </w:tc>
        <w:tc>
          <w:tcPr>
            <w:tcW w:w="1229" w:type="dxa"/>
          </w:tcPr>
          <w:p>
            <w:pPr>
              <w:pStyle w:val="TableParagraph"/>
              <w:spacing w:before="20"/>
              <w:ind w:left="221" w:right="225"/>
              <w:rPr>
                <w:sz w:val="18"/>
              </w:rPr>
            </w:pPr>
            <w:r>
              <w:rPr>
                <w:sz w:val="18"/>
              </w:rPr>
              <w:t>Medio</w:t>
            </w:r>
          </w:p>
        </w:tc>
        <w:tc>
          <w:tcPr>
            <w:tcW w:w="1015" w:type="dxa"/>
          </w:tcPr>
          <w:p>
            <w:pPr>
              <w:pStyle w:val="TableParagraph"/>
              <w:spacing w:before="42"/>
              <w:ind w:left="247"/>
              <w:jc w:val="left"/>
              <w:rPr>
                <w:sz w:val="18"/>
              </w:rPr>
            </w:pPr>
            <w:r>
              <w:rPr>
                <w:sz w:val="18"/>
              </w:rPr>
              <w:t>-1.044</w:t>
            </w:r>
          </w:p>
        </w:tc>
        <w:tc>
          <w:tcPr>
            <w:tcW w:w="1018" w:type="dxa"/>
          </w:tcPr>
          <w:p>
            <w:pPr>
              <w:pStyle w:val="TableParagraph"/>
              <w:spacing w:before="42"/>
              <w:ind w:left="118" w:right="119"/>
              <w:rPr>
                <w:sz w:val="18"/>
              </w:rPr>
            </w:pPr>
            <w:r>
              <w:rPr>
                <w:sz w:val="18"/>
              </w:rPr>
              <w:t>Bajo</w:t>
            </w:r>
          </w:p>
        </w:tc>
      </w:tr>
      <w:tr>
        <w:trPr>
          <w:trHeight w:val="295" w:hRule="exact"/>
        </w:trPr>
        <w:tc>
          <w:tcPr>
            <w:tcW w:w="2331" w:type="dxa"/>
          </w:tcPr>
          <w:p>
            <w:pPr>
              <w:pStyle w:val="TableParagraph"/>
              <w:spacing w:before="20"/>
              <w:ind w:left="64"/>
              <w:jc w:val="left"/>
              <w:rPr>
                <w:sz w:val="18"/>
              </w:rPr>
            </w:pPr>
            <w:r>
              <w:rPr>
                <w:sz w:val="18"/>
              </w:rPr>
              <w:t>Zumpahuacán</w:t>
            </w:r>
          </w:p>
        </w:tc>
        <w:tc>
          <w:tcPr>
            <w:tcW w:w="1248" w:type="dxa"/>
          </w:tcPr>
          <w:p>
            <w:pPr>
              <w:pStyle w:val="TableParagraph"/>
              <w:spacing w:before="20"/>
              <w:ind w:left="190" w:right="194"/>
              <w:rPr>
                <w:sz w:val="18"/>
              </w:rPr>
            </w:pPr>
            <w:r>
              <w:rPr>
                <w:sz w:val="18"/>
              </w:rPr>
              <w:t>1.62539</w:t>
            </w:r>
          </w:p>
        </w:tc>
        <w:tc>
          <w:tcPr>
            <w:tcW w:w="1229" w:type="dxa"/>
          </w:tcPr>
          <w:p>
            <w:pPr>
              <w:pStyle w:val="TableParagraph"/>
              <w:spacing w:before="20"/>
              <w:ind w:left="221" w:right="225"/>
              <w:rPr>
                <w:sz w:val="18"/>
              </w:rPr>
            </w:pPr>
            <w:r>
              <w:rPr>
                <w:sz w:val="18"/>
              </w:rPr>
              <w:t>Muy Alto</w:t>
            </w:r>
          </w:p>
        </w:tc>
        <w:tc>
          <w:tcPr>
            <w:tcW w:w="1015" w:type="dxa"/>
          </w:tcPr>
          <w:p>
            <w:pPr>
              <w:pStyle w:val="TableParagraph"/>
              <w:spacing w:before="42"/>
              <w:ind w:left="276"/>
              <w:jc w:val="left"/>
              <w:rPr>
                <w:sz w:val="18"/>
              </w:rPr>
            </w:pPr>
            <w:r>
              <w:rPr>
                <w:sz w:val="18"/>
              </w:rPr>
              <w:t>0.509</w:t>
            </w:r>
          </w:p>
        </w:tc>
        <w:tc>
          <w:tcPr>
            <w:tcW w:w="1018" w:type="dxa"/>
          </w:tcPr>
          <w:p>
            <w:pPr>
              <w:pStyle w:val="TableParagraph"/>
              <w:spacing w:before="42"/>
              <w:ind w:left="118" w:right="119"/>
              <w:rPr>
                <w:sz w:val="18"/>
              </w:rPr>
            </w:pPr>
            <w:r>
              <w:rPr>
                <w:sz w:val="18"/>
              </w:rPr>
              <w:t>Alto</w:t>
            </w:r>
          </w:p>
        </w:tc>
      </w:tr>
      <w:tr>
        <w:trPr>
          <w:trHeight w:val="293" w:hRule="exact"/>
        </w:trPr>
        <w:tc>
          <w:tcPr>
            <w:tcW w:w="2331" w:type="dxa"/>
          </w:tcPr>
          <w:p>
            <w:pPr>
              <w:pStyle w:val="TableParagraph"/>
              <w:spacing w:before="18"/>
              <w:ind w:left="64"/>
              <w:jc w:val="left"/>
              <w:rPr>
                <w:sz w:val="18"/>
              </w:rPr>
            </w:pPr>
            <w:r>
              <w:rPr>
                <w:sz w:val="18"/>
              </w:rPr>
              <w:t>Zumpango</w:t>
            </w:r>
          </w:p>
        </w:tc>
        <w:tc>
          <w:tcPr>
            <w:tcW w:w="1248" w:type="dxa"/>
          </w:tcPr>
          <w:p>
            <w:pPr>
              <w:pStyle w:val="TableParagraph"/>
              <w:spacing w:before="18"/>
              <w:ind w:left="193" w:right="194"/>
              <w:rPr>
                <w:sz w:val="18"/>
              </w:rPr>
            </w:pPr>
            <w:r>
              <w:rPr>
                <w:sz w:val="18"/>
              </w:rPr>
              <w:t>-0.70921</w:t>
            </w:r>
          </w:p>
        </w:tc>
        <w:tc>
          <w:tcPr>
            <w:tcW w:w="1229" w:type="dxa"/>
          </w:tcPr>
          <w:p>
            <w:pPr>
              <w:pStyle w:val="TableParagraph"/>
              <w:spacing w:before="18"/>
              <w:ind w:left="223" w:right="223"/>
              <w:rPr>
                <w:sz w:val="18"/>
              </w:rPr>
            </w:pPr>
            <w:r>
              <w:rPr>
                <w:sz w:val="18"/>
              </w:rPr>
              <w:t>Bajo</w:t>
            </w:r>
          </w:p>
        </w:tc>
        <w:tc>
          <w:tcPr>
            <w:tcW w:w="1015" w:type="dxa"/>
          </w:tcPr>
          <w:p>
            <w:pPr>
              <w:pStyle w:val="TableParagraph"/>
              <w:spacing w:before="39"/>
              <w:ind w:left="247"/>
              <w:jc w:val="left"/>
              <w:rPr>
                <w:sz w:val="18"/>
              </w:rPr>
            </w:pPr>
            <w:r>
              <w:rPr>
                <w:sz w:val="18"/>
              </w:rPr>
              <w:t>-1.277</w:t>
            </w:r>
          </w:p>
        </w:tc>
        <w:tc>
          <w:tcPr>
            <w:tcW w:w="1018" w:type="dxa"/>
          </w:tcPr>
          <w:p>
            <w:pPr>
              <w:pStyle w:val="TableParagraph"/>
              <w:spacing w:before="39"/>
              <w:ind w:left="117" w:right="119"/>
              <w:rPr>
                <w:sz w:val="18"/>
              </w:rPr>
            </w:pPr>
            <w:r>
              <w:rPr>
                <w:sz w:val="18"/>
              </w:rPr>
              <w:t>Muy bajo</w:t>
            </w:r>
          </w:p>
        </w:tc>
      </w:tr>
    </w:tbl>
    <w:p>
      <w:pPr>
        <w:spacing w:before="32"/>
        <w:ind w:left="1004" w:right="552" w:firstLine="0"/>
        <w:jc w:val="left"/>
        <w:rPr>
          <w:sz w:val="16"/>
        </w:rPr>
      </w:pPr>
      <w:r>
        <w:rPr>
          <w:sz w:val="16"/>
        </w:rPr>
        <w:t>Fuente: Elaboración propia con datos del INAFED.</w:t>
      </w:r>
    </w:p>
    <w:p>
      <w:pPr>
        <w:spacing w:after="0"/>
        <w:jc w:val="left"/>
        <w:rPr>
          <w:sz w:val="16"/>
        </w:rPr>
        <w:sectPr>
          <w:pgSz w:w="12240" w:h="15840"/>
          <w:pgMar w:header="0" w:footer="975" w:top="1420" w:bottom="1160" w:left="1720" w:right="1720"/>
        </w:sectPr>
      </w:pPr>
    </w:p>
    <w:tbl>
      <w:tblPr>
        <w:tblW w:w="0" w:type="auto"/>
        <w:jc w:val="left"/>
        <w:tblInd w:w="15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82"/>
        <w:gridCol w:w="1001"/>
        <w:gridCol w:w="1001"/>
      </w:tblGrid>
      <w:tr>
        <w:trPr>
          <w:trHeight w:val="546" w:hRule="exact"/>
        </w:trPr>
        <w:tc>
          <w:tcPr>
            <w:tcW w:w="5583" w:type="dxa"/>
            <w:gridSpan w:val="3"/>
            <w:shd w:val="clear" w:color="auto" w:fill="92D050"/>
          </w:tcPr>
          <w:p>
            <w:pPr>
              <w:pStyle w:val="TableParagraph"/>
              <w:spacing w:line="237" w:lineRule="auto"/>
              <w:ind w:left="2311" w:right="59" w:hanging="2238"/>
              <w:jc w:val="left"/>
              <w:rPr>
                <w:rFonts w:ascii="Calibri" w:hAnsi="Calibri"/>
                <w:b/>
                <w:sz w:val="22"/>
              </w:rPr>
            </w:pPr>
            <w:r>
              <w:rPr>
                <w:rFonts w:ascii="Calibri" w:hAnsi="Calibri"/>
                <w:b/>
                <w:sz w:val="22"/>
              </w:rPr>
              <w:t>Anexo 3. Grado de escolaridad de los municipios del Estado de México</w:t>
            </w:r>
          </w:p>
        </w:tc>
      </w:tr>
      <w:tr>
        <w:trPr>
          <w:trHeight w:val="312" w:hRule="exact"/>
        </w:trPr>
        <w:tc>
          <w:tcPr>
            <w:tcW w:w="3582" w:type="dxa"/>
            <w:shd w:val="clear" w:color="auto" w:fill="92D050"/>
          </w:tcPr>
          <w:p>
            <w:pPr>
              <w:pStyle w:val="TableParagraph"/>
              <w:spacing w:before="27"/>
              <w:ind w:left="1306" w:right="1306"/>
              <w:rPr>
                <w:rFonts w:ascii="Calibri"/>
                <w:b/>
                <w:sz w:val="22"/>
              </w:rPr>
            </w:pPr>
            <w:r>
              <w:rPr>
                <w:rFonts w:ascii="Calibri"/>
                <w:b/>
                <w:sz w:val="22"/>
              </w:rPr>
              <w:t>Municipio</w:t>
            </w:r>
          </w:p>
        </w:tc>
        <w:tc>
          <w:tcPr>
            <w:tcW w:w="1001" w:type="dxa"/>
            <w:shd w:val="clear" w:color="auto" w:fill="92D050"/>
          </w:tcPr>
          <w:p>
            <w:pPr>
              <w:pStyle w:val="TableParagraph"/>
              <w:spacing w:before="27"/>
              <w:ind w:left="73" w:right="74"/>
              <w:rPr>
                <w:rFonts w:ascii="Calibri"/>
                <w:b/>
                <w:sz w:val="22"/>
              </w:rPr>
            </w:pPr>
            <w:r>
              <w:rPr>
                <w:rFonts w:ascii="Calibri"/>
                <w:b/>
                <w:sz w:val="22"/>
              </w:rPr>
              <w:t>GE 2005</w:t>
            </w:r>
          </w:p>
        </w:tc>
        <w:tc>
          <w:tcPr>
            <w:tcW w:w="1001" w:type="dxa"/>
            <w:shd w:val="clear" w:color="auto" w:fill="92D050"/>
          </w:tcPr>
          <w:p>
            <w:pPr>
              <w:pStyle w:val="TableParagraph"/>
              <w:spacing w:before="27"/>
              <w:ind w:left="73" w:right="74"/>
              <w:rPr>
                <w:rFonts w:ascii="Calibri"/>
                <w:b/>
                <w:sz w:val="22"/>
              </w:rPr>
            </w:pPr>
            <w:r>
              <w:rPr>
                <w:rFonts w:ascii="Calibri"/>
                <w:b/>
                <w:sz w:val="22"/>
              </w:rPr>
              <w:t>GE 2010</w:t>
            </w:r>
          </w:p>
        </w:tc>
      </w:tr>
      <w:tr>
        <w:trPr>
          <w:trHeight w:val="310" w:hRule="exact"/>
        </w:trPr>
        <w:tc>
          <w:tcPr>
            <w:tcW w:w="3582" w:type="dxa"/>
          </w:tcPr>
          <w:p>
            <w:pPr>
              <w:pStyle w:val="TableParagraph"/>
              <w:spacing w:before="48"/>
              <w:ind w:left="64"/>
              <w:jc w:val="left"/>
              <w:rPr>
                <w:b/>
                <w:sz w:val="16"/>
              </w:rPr>
            </w:pPr>
            <w:r>
              <w:rPr>
                <w:b/>
                <w:color w:val="333333"/>
                <w:sz w:val="16"/>
              </w:rPr>
              <w:t>ACAMBAY</w:t>
            </w:r>
          </w:p>
        </w:tc>
        <w:tc>
          <w:tcPr>
            <w:tcW w:w="1001" w:type="dxa"/>
          </w:tcPr>
          <w:p>
            <w:pPr>
              <w:pStyle w:val="TableParagraph"/>
              <w:spacing w:before="25"/>
              <w:ind w:left="73" w:right="75"/>
              <w:rPr>
                <w:rFonts w:ascii="Calibri"/>
                <w:sz w:val="22"/>
              </w:rPr>
            </w:pPr>
            <w:r>
              <w:rPr>
                <w:rFonts w:ascii="Calibri"/>
                <w:sz w:val="22"/>
              </w:rPr>
              <w:t>6.10</w:t>
            </w:r>
          </w:p>
        </w:tc>
        <w:tc>
          <w:tcPr>
            <w:tcW w:w="1001" w:type="dxa"/>
          </w:tcPr>
          <w:p>
            <w:pPr>
              <w:pStyle w:val="TableParagraph"/>
              <w:spacing w:before="25"/>
              <w:ind w:left="73" w:right="75"/>
              <w:rPr>
                <w:rFonts w:ascii="Calibri"/>
                <w:sz w:val="22"/>
              </w:rPr>
            </w:pPr>
            <w:r>
              <w:rPr>
                <w:rFonts w:ascii="Calibri"/>
                <w:sz w:val="22"/>
              </w:rPr>
              <w:t>6.85</w:t>
            </w:r>
          </w:p>
        </w:tc>
      </w:tr>
      <w:tr>
        <w:trPr>
          <w:trHeight w:val="310" w:hRule="exact"/>
        </w:trPr>
        <w:tc>
          <w:tcPr>
            <w:tcW w:w="3582" w:type="dxa"/>
          </w:tcPr>
          <w:p>
            <w:pPr>
              <w:pStyle w:val="TableParagraph"/>
              <w:spacing w:before="48"/>
              <w:ind w:left="64"/>
              <w:jc w:val="left"/>
              <w:rPr>
                <w:b/>
                <w:sz w:val="16"/>
              </w:rPr>
            </w:pPr>
            <w:r>
              <w:rPr>
                <w:b/>
                <w:color w:val="333333"/>
                <w:sz w:val="16"/>
              </w:rPr>
              <w:t>ACOLMAN</w:t>
            </w:r>
          </w:p>
        </w:tc>
        <w:tc>
          <w:tcPr>
            <w:tcW w:w="1001" w:type="dxa"/>
          </w:tcPr>
          <w:p>
            <w:pPr>
              <w:pStyle w:val="TableParagraph"/>
              <w:spacing w:before="25"/>
              <w:ind w:left="73" w:right="75"/>
              <w:rPr>
                <w:rFonts w:ascii="Calibri"/>
                <w:sz w:val="22"/>
              </w:rPr>
            </w:pPr>
            <w:r>
              <w:rPr>
                <w:rFonts w:ascii="Calibri"/>
                <w:sz w:val="22"/>
              </w:rPr>
              <w:t>8.80</w:t>
            </w:r>
          </w:p>
        </w:tc>
        <w:tc>
          <w:tcPr>
            <w:tcW w:w="1001" w:type="dxa"/>
          </w:tcPr>
          <w:p>
            <w:pPr>
              <w:pStyle w:val="TableParagraph"/>
              <w:spacing w:before="25"/>
              <w:ind w:left="73" w:right="75"/>
              <w:rPr>
                <w:rFonts w:ascii="Calibri"/>
                <w:sz w:val="22"/>
              </w:rPr>
            </w:pPr>
            <w:r>
              <w:rPr>
                <w:rFonts w:ascii="Calibri"/>
                <w:sz w:val="22"/>
              </w:rPr>
              <w:t>9.04</w:t>
            </w:r>
          </w:p>
        </w:tc>
      </w:tr>
      <w:tr>
        <w:trPr>
          <w:trHeight w:val="310" w:hRule="exact"/>
        </w:trPr>
        <w:tc>
          <w:tcPr>
            <w:tcW w:w="3582" w:type="dxa"/>
          </w:tcPr>
          <w:p>
            <w:pPr>
              <w:pStyle w:val="TableParagraph"/>
              <w:spacing w:before="48"/>
              <w:ind w:left="64"/>
              <w:jc w:val="left"/>
              <w:rPr>
                <w:b/>
                <w:sz w:val="16"/>
              </w:rPr>
            </w:pPr>
            <w:r>
              <w:rPr>
                <w:b/>
                <w:color w:val="333333"/>
                <w:sz w:val="16"/>
              </w:rPr>
              <w:t>ACULCO</w:t>
            </w:r>
          </w:p>
        </w:tc>
        <w:tc>
          <w:tcPr>
            <w:tcW w:w="1001" w:type="dxa"/>
          </w:tcPr>
          <w:p>
            <w:pPr>
              <w:pStyle w:val="TableParagraph"/>
              <w:spacing w:before="25"/>
              <w:ind w:left="73" w:right="75"/>
              <w:rPr>
                <w:rFonts w:ascii="Calibri"/>
                <w:sz w:val="22"/>
              </w:rPr>
            </w:pPr>
            <w:r>
              <w:rPr>
                <w:rFonts w:ascii="Calibri"/>
                <w:sz w:val="22"/>
              </w:rPr>
              <w:t>6.00</w:t>
            </w:r>
          </w:p>
        </w:tc>
        <w:tc>
          <w:tcPr>
            <w:tcW w:w="1001" w:type="dxa"/>
          </w:tcPr>
          <w:p>
            <w:pPr>
              <w:pStyle w:val="TableParagraph"/>
              <w:spacing w:before="25"/>
              <w:ind w:left="73" w:right="75"/>
              <w:rPr>
                <w:rFonts w:ascii="Calibri"/>
                <w:sz w:val="22"/>
              </w:rPr>
            </w:pPr>
            <w:r>
              <w:rPr>
                <w:rFonts w:ascii="Calibri"/>
                <w:sz w:val="22"/>
              </w:rPr>
              <w:t>6.67</w:t>
            </w:r>
          </w:p>
        </w:tc>
      </w:tr>
      <w:tr>
        <w:trPr>
          <w:trHeight w:val="310" w:hRule="exact"/>
        </w:trPr>
        <w:tc>
          <w:tcPr>
            <w:tcW w:w="3582" w:type="dxa"/>
          </w:tcPr>
          <w:p>
            <w:pPr>
              <w:pStyle w:val="TableParagraph"/>
              <w:spacing w:before="48"/>
              <w:ind w:left="64"/>
              <w:jc w:val="left"/>
              <w:rPr>
                <w:b/>
                <w:sz w:val="16"/>
              </w:rPr>
            </w:pPr>
            <w:r>
              <w:rPr>
                <w:b/>
                <w:color w:val="333333"/>
                <w:sz w:val="16"/>
              </w:rPr>
              <w:t>ALMOLOYA DE ALQUISIRAS</w:t>
            </w:r>
          </w:p>
        </w:tc>
        <w:tc>
          <w:tcPr>
            <w:tcW w:w="1001" w:type="dxa"/>
          </w:tcPr>
          <w:p>
            <w:pPr>
              <w:pStyle w:val="TableParagraph"/>
              <w:spacing w:before="25"/>
              <w:ind w:left="73" w:right="75"/>
              <w:rPr>
                <w:rFonts w:ascii="Calibri"/>
                <w:sz w:val="22"/>
              </w:rPr>
            </w:pPr>
            <w:r>
              <w:rPr>
                <w:rFonts w:ascii="Calibri"/>
                <w:sz w:val="22"/>
              </w:rPr>
              <w:t>5.90</w:t>
            </w:r>
          </w:p>
        </w:tc>
        <w:tc>
          <w:tcPr>
            <w:tcW w:w="1001" w:type="dxa"/>
          </w:tcPr>
          <w:p>
            <w:pPr>
              <w:pStyle w:val="TableParagraph"/>
              <w:spacing w:before="25"/>
              <w:ind w:left="73" w:right="75"/>
              <w:rPr>
                <w:rFonts w:ascii="Calibri"/>
                <w:sz w:val="22"/>
              </w:rPr>
            </w:pPr>
            <w:r>
              <w:rPr>
                <w:rFonts w:ascii="Calibri"/>
                <w:sz w:val="22"/>
              </w:rPr>
              <w:t>6.75</w:t>
            </w:r>
          </w:p>
        </w:tc>
      </w:tr>
      <w:tr>
        <w:trPr>
          <w:trHeight w:val="310" w:hRule="exact"/>
        </w:trPr>
        <w:tc>
          <w:tcPr>
            <w:tcW w:w="3582" w:type="dxa"/>
          </w:tcPr>
          <w:p>
            <w:pPr>
              <w:pStyle w:val="TableParagraph"/>
              <w:spacing w:before="51"/>
              <w:ind w:left="64"/>
              <w:jc w:val="left"/>
              <w:rPr>
                <w:b/>
                <w:sz w:val="16"/>
              </w:rPr>
            </w:pPr>
            <w:r>
              <w:rPr>
                <w:b/>
                <w:color w:val="333333"/>
                <w:sz w:val="16"/>
              </w:rPr>
              <w:t>ALMOLOYA DE JUAREZ</w:t>
            </w:r>
          </w:p>
        </w:tc>
        <w:tc>
          <w:tcPr>
            <w:tcW w:w="1001" w:type="dxa"/>
          </w:tcPr>
          <w:p>
            <w:pPr>
              <w:pStyle w:val="TableParagraph"/>
              <w:spacing w:before="25"/>
              <w:ind w:left="73" w:right="75"/>
              <w:rPr>
                <w:rFonts w:ascii="Calibri"/>
                <w:sz w:val="22"/>
              </w:rPr>
            </w:pPr>
            <w:r>
              <w:rPr>
                <w:rFonts w:ascii="Calibri"/>
                <w:sz w:val="22"/>
              </w:rPr>
              <w:t>6.50</w:t>
            </w:r>
          </w:p>
        </w:tc>
        <w:tc>
          <w:tcPr>
            <w:tcW w:w="1001" w:type="dxa"/>
          </w:tcPr>
          <w:p>
            <w:pPr>
              <w:pStyle w:val="TableParagraph"/>
              <w:spacing w:before="25"/>
              <w:ind w:left="73" w:right="75"/>
              <w:rPr>
                <w:rFonts w:ascii="Calibri"/>
                <w:sz w:val="22"/>
              </w:rPr>
            </w:pPr>
            <w:r>
              <w:rPr>
                <w:rFonts w:ascii="Calibri"/>
                <w:sz w:val="22"/>
              </w:rPr>
              <w:t>7.30</w:t>
            </w:r>
          </w:p>
        </w:tc>
      </w:tr>
      <w:tr>
        <w:trPr>
          <w:trHeight w:val="312" w:hRule="exact"/>
        </w:trPr>
        <w:tc>
          <w:tcPr>
            <w:tcW w:w="3582" w:type="dxa"/>
          </w:tcPr>
          <w:p>
            <w:pPr>
              <w:pStyle w:val="TableParagraph"/>
              <w:spacing w:before="51"/>
              <w:ind w:left="64"/>
              <w:jc w:val="left"/>
              <w:rPr>
                <w:b/>
                <w:sz w:val="16"/>
              </w:rPr>
            </w:pPr>
            <w:r>
              <w:rPr>
                <w:b/>
                <w:color w:val="333333"/>
                <w:sz w:val="16"/>
              </w:rPr>
              <w:t>ALMOLOYA DEL RIO</w:t>
            </w:r>
          </w:p>
        </w:tc>
        <w:tc>
          <w:tcPr>
            <w:tcW w:w="1001" w:type="dxa"/>
          </w:tcPr>
          <w:p>
            <w:pPr>
              <w:pStyle w:val="TableParagraph"/>
              <w:spacing w:before="27"/>
              <w:ind w:left="73" w:right="75"/>
              <w:rPr>
                <w:rFonts w:ascii="Calibri"/>
                <w:sz w:val="22"/>
              </w:rPr>
            </w:pPr>
            <w:r>
              <w:rPr>
                <w:rFonts w:ascii="Calibri"/>
                <w:sz w:val="22"/>
              </w:rPr>
              <w:t>8.50</w:t>
            </w:r>
          </w:p>
        </w:tc>
        <w:tc>
          <w:tcPr>
            <w:tcW w:w="1001" w:type="dxa"/>
          </w:tcPr>
          <w:p>
            <w:pPr>
              <w:pStyle w:val="TableParagraph"/>
              <w:spacing w:before="27"/>
              <w:ind w:left="73" w:right="75"/>
              <w:rPr>
                <w:rFonts w:ascii="Calibri"/>
                <w:sz w:val="22"/>
              </w:rPr>
            </w:pPr>
            <w:r>
              <w:rPr>
                <w:rFonts w:ascii="Calibri"/>
                <w:sz w:val="22"/>
              </w:rPr>
              <w:t>8.88</w:t>
            </w:r>
          </w:p>
        </w:tc>
      </w:tr>
      <w:tr>
        <w:trPr>
          <w:trHeight w:val="310" w:hRule="exact"/>
        </w:trPr>
        <w:tc>
          <w:tcPr>
            <w:tcW w:w="3582" w:type="dxa"/>
          </w:tcPr>
          <w:p>
            <w:pPr>
              <w:pStyle w:val="TableParagraph"/>
              <w:spacing w:before="48"/>
              <w:ind w:left="64"/>
              <w:jc w:val="left"/>
              <w:rPr>
                <w:b/>
                <w:sz w:val="16"/>
              </w:rPr>
            </w:pPr>
            <w:r>
              <w:rPr>
                <w:b/>
                <w:color w:val="333333"/>
                <w:sz w:val="16"/>
              </w:rPr>
              <w:t>AMANALCO</w:t>
            </w:r>
          </w:p>
        </w:tc>
        <w:tc>
          <w:tcPr>
            <w:tcW w:w="1001" w:type="dxa"/>
          </w:tcPr>
          <w:p>
            <w:pPr>
              <w:pStyle w:val="TableParagraph"/>
              <w:spacing w:before="25"/>
              <w:ind w:left="73" w:right="75"/>
              <w:rPr>
                <w:rFonts w:ascii="Calibri"/>
                <w:sz w:val="22"/>
              </w:rPr>
            </w:pPr>
            <w:r>
              <w:rPr>
                <w:rFonts w:ascii="Calibri"/>
                <w:sz w:val="22"/>
              </w:rPr>
              <w:t>5.50</w:t>
            </w:r>
          </w:p>
        </w:tc>
        <w:tc>
          <w:tcPr>
            <w:tcW w:w="1001" w:type="dxa"/>
          </w:tcPr>
          <w:p>
            <w:pPr>
              <w:pStyle w:val="TableParagraph"/>
              <w:spacing w:before="25"/>
              <w:ind w:left="73" w:right="75"/>
              <w:rPr>
                <w:rFonts w:ascii="Calibri"/>
                <w:sz w:val="22"/>
              </w:rPr>
            </w:pPr>
            <w:r>
              <w:rPr>
                <w:rFonts w:ascii="Calibri"/>
                <w:sz w:val="22"/>
              </w:rPr>
              <w:t>6.17</w:t>
            </w:r>
          </w:p>
        </w:tc>
      </w:tr>
      <w:tr>
        <w:trPr>
          <w:trHeight w:val="310" w:hRule="exact"/>
        </w:trPr>
        <w:tc>
          <w:tcPr>
            <w:tcW w:w="3582" w:type="dxa"/>
          </w:tcPr>
          <w:p>
            <w:pPr>
              <w:pStyle w:val="TableParagraph"/>
              <w:spacing w:before="48"/>
              <w:ind w:left="64"/>
              <w:jc w:val="left"/>
              <w:rPr>
                <w:b/>
                <w:sz w:val="16"/>
              </w:rPr>
            </w:pPr>
            <w:r>
              <w:rPr>
                <w:b/>
                <w:color w:val="333333"/>
                <w:sz w:val="16"/>
              </w:rPr>
              <w:t>AMATEPEC</w:t>
            </w:r>
          </w:p>
        </w:tc>
        <w:tc>
          <w:tcPr>
            <w:tcW w:w="1001" w:type="dxa"/>
          </w:tcPr>
          <w:p>
            <w:pPr>
              <w:pStyle w:val="TableParagraph"/>
              <w:spacing w:before="25"/>
              <w:ind w:left="73" w:right="75"/>
              <w:rPr>
                <w:rFonts w:ascii="Calibri"/>
                <w:sz w:val="22"/>
              </w:rPr>
            </w:pPr>
            <w:r>
              <w:rPr>
                <w:rFonts w:ascii="Calibri"/>
                <w:sz w:val="22"/>
              </w:rPr>
              <w:t>5.40</w:t>
            </w:r>
          </w:p>
        </w:tc>
        <w:tc>
          <w:tcPr>
            <w:tcW w:w="1001" w:type="dxa"/>
          </w:tcPr>
          <w:p>
            <w:pPr>
              <w:pStyle w:val="TableParagraph"/>
              <w:spacing w:before="25"/>
              <w:ind w:left="73" w:right="75"/>
              <w:rPr>
                <w:rFonts w:ascii="Calibri"/>
                <w:sz w:val="22"/>
              </w:rPr>
            </w:pPr>
            <w:r>
              <w:rPr>
                <w:rFonts w:ascii="Calibri"/>
                <w:sz w:val="22"/>
              </w:rPr>
              <w:t>6.09</w:t>
            </w:r>
          </w:p>
        </w:tc>
      </w:tr>
      <w:tr>
        <w:trPr>
          <w:trHeight w:val="310" w:hRule="exact"/>
        </w:trPr>
        <w:tc>
          <w:tcPr>
            <w:tcW w:w="3582" w:type="dxa"/>
          </w:tcPr>
          <w:p>
            <w:pPr>
              <w:pStyle w:val="TableParagraph"/>
              <w:spacing w:before="48"/>
              <w:ind w:left="64"/>
              <w:jc w:val="left"/>
              <w:rPr>
                <w:b/>
                <w:sz w:val="16"/>
              </w:rPr>
            </w:pPr>
            <w:r>
              <w:rPr>
                <w:b/>
                <w:color w:val="333333"/>
                <w:sz w:val="16"/>
              </w:rPr>
              <w:t>AMECAMECA</w:t>
            </w:r>
          </w:p>
        </w:tc>
        <w:tc>
          <w:tcPr>
            <w:tcW w:w="1001" w:type="dxa"/>
          </w:tcPr>
          <w:p>
            <w:pPr>
              <w:pStyle w:val="TableParagraph"/>
              <w:spacing w:before="25"/>
              <w:ind w:left="73" w:right="75"/>
              <w:rPr>
                <w:rFonts w:ascii="Calibri"/>
                <w:sz w:val="22"/>
              </w:rPr>
            </w:pPr>
            <w:r>
              <w:rPr>
                <w:rFonts w:ascii="Calibri"/>
                <w:sz w:val="22"/>
              </w:rPr>
              <w:t>8.60</w:t>
            </w:r>
          </w:p>
        </w:tc>
        <w:tc>
          <w:tcPr>
            <w:tcW w:w="1001" w:type="dxa"/>
          </w:tcPr>
          <w:p>
            <w:pPr>
              <w:pStyle w:val="TableParagraph"/>
              <w:spacing w:before="25"/>
              <w:ind w:left="73" w:right="75"/>
              <w:rPr>
                <w:rFonts w:ascii="Calibri"/>
                <w:sz w:val="22"/>
              </w:rPr>
            </w:pPr>
            <w:r>
              <w:rPr>
                <w:rFonts w:ascii="Calibri"/>
                <w:sz w:val="22"/>
              </w:rPr>
              <w:t>9.03</w:t>
            </w:r>
          </w:p>
        </w:tc>
      </w:tr>
      <w:tr>
        <w:trPr>
          <w:trHeight w:val="310" w:hRule="exact"/>
        </w:trPr>
        <w:tc>
          <w:tcPr>
            <w:tcW w:w="3582" w:type="dxa"/>
          </w:tcPr>
          <w:p>
            <w:pPr>
              <w:pStyle w:val="TableParagraph"/>
              <w:spacing w:before="49"/>
              <w:ind w:left="64"/>
              <w:jc w:val="left"/>
              <w:rPr>
                <w:b/>
                <w:sz w:val="16"/>
              </w:rPr>
            </w:pPr>
            <w:r>
              <w:rPr>
                <w:b/>
                <w:color w:val="333333"/>
                <w:sz w:val="16"/>
              </w:rPr>
              <w:t>APAXCO</w:t>
            </w:r>
          </w:p>
        </w:tc>
        <w:tc>
          <w:tcPr>
            <w:tcW w:w="1001" w:type="dxa"/>
          </w:tcPr>
          <w:p>
            <w:pPr>
              <w:pStyle w:val="TableParagraph"/>
              <w:spacing w:before="26"/>
              <w:ind w:left="73" w:right="75"/>
              <w:rPr>
                <w:rFonts w:ascii="Calibri"/>
                <w:sz w:val="22"/>
              </w:rPr>
            </w:pPr>
            <w:r>
              <w:rPr>
                <w:rFonts w:ascii="Calibri"/>
                <w:sz w:val="22"/>
              </w:rPr>
              <w:t>7.90</w:t>
            </w:r>
          </w:p>
        </w:tc>
        <w:tc>
          <w:tcPr>
            <w:tcW w:w="1001" w:type="dxa"/>
          </w:tcPr>
          <w:p>
            <w:pPr>
              <w:pStyle w:val="TableParagraph"/>
              <w:spacing w:before="26"/>
              <w:ind w:left="73" w:right="75"/>
              <w:rPr>
                <w:rFonts w:ascii="Calibri"/>
                <w:sz w:val="22"/>
              </w:rPr>
            </w:pPr>
            <w:r>
              <w:rPr>
                <w:rFonts w:ascii="Calibri"/>
                <w:sz w:val="22"/>
              </w:rPr>
              <w:t>8.39</w:t>
            </w:r>
          </w:p>
        </w:tc>
      </w:tr>
      <w:tr>
        <w:trPr>
          <w:trHeight w:val="310" w:hRule="exact"/>
        </w:trPr>
        <w:tc>
          <w:tcPr>
            <w:tcW w:w="3582" w:type="dxa"/>
          </w:tcPr>
          <w:p>
            <w:pPr>
              <w:pStyle w:val="TableParagraph"/>
              <w:spacing w:before="51"/>
              <w:ind w:left="64"/>
              <w:jc w:val="left"/>
              <w:rPr>
                <w:b/>
                <w:sz w:val="16"/>
              </w:rPr>
            </w:pPr>
            <w:r>
              <w:rPr>
                <w:b/>
                <w:color w:val="333333"/>
                <w:sz w:val="16"/>
              </w:rPr>
              <w:t>ATENCO</w:t>
            </w:r>
          </w:p>
        </w:tc>
        <w:tc>
          <w:tcPr>
            <w:tcW w:w="1001" w:type="dxa"/>
          </w:tcPr>
          <w:p>
            <w:pPr>
              <w:pStyle w:val="TableParagraph"/>
              <w:spacing w:before="25"/>
              <w:ind w:left="73" w:right="75"/>
              <w:rPr>
                <w:rFonts w:ascii="Calibri"/>
                <w:sz w:val="22"/>
              </w:rPr>
            </w:pPr>
            <w:r>
              <w:rPr>
                <w:rFonts w:ascii="Calibri"/>
                <w:sz w:val="22"/>
              </w:rPr>
              <w:t>8.30</w:t>
            </w:r>
          </w:p>
        </w:tc>
        <w:tc>
          <w:tcPr>
            <w:tcW w:w="1001" w:type="dxa"/>
          </w:tcPr>
          <w:p>
            <w:pPr>
              <w:pStyle w:val="TableParagraph"/>
              <w:spacing w:before="25"/>
              <w:ind w:left="73" w:right="75"/>
              <w:rPr>
                <w:rFonts w:ascii="Calibri"/>
                <w:sz w:val="22"/>
              </w:rPr>
            </w:pPr>
            <w:r>
              <w:rPr>
                <w:rFonts w:ascii="Calibri"/>
                <w:sz w:val="22"/>
              </w:rPr>
              <w:t>8.65</w:t>
            </w:r>
          </w:p>
        </w:tc>
      </w:tr>
      <w:tr>
        <w:trPr>
          <w:trHeight w:val="312" w:hRule="exact"/>
        </w:trPr>
        <w:tc>
          <w:tcPr>
            <w:tcW w:w="3582" w:type="dxa"/>
          </w:tcPr>
          <w:p>
            <w:pPr>
              <w:pStyle w:val="TableParagraph"/>
              <w:spacing w:before="51"/>
              <w:ind w:left="64"/>
              <w:jc w:val="left"/>
              <w:rPr>
                <w:b/>
                <w:sz w:val="16"/>
              </w:rPr>
            </w:pPr>
            <w:r>
              <w:rPr>
                <w:b/>
                <w:color w:val="333333"/>
                <w:sz w:val="16"/>
              </w:rPr>
              <w:t>ATIZAPAN</w:t>
            </w:r>
          </w:p>
        </w:tc>
        <w:tc>
          <w:tcPr>
            <w:tcW w:w="1001" w:type="dxa"/>
          </w:tcPr>
          <w:p>
            <w:pPr>
              <w:pStyle w:val="TableParagraph"/>
              <w:spacing w:before="27"/>
              <w:ind w:left="73" w:right="75"/>
              <w:rPr>
                <w:rFonts w:ascii="Calibri"/>
                <w:sz w:val="22"/>
              </w:rPr>
            </w:pPr>
            <w:r>
              <w:rPr>
                <w:rFonts w:ascii="Calibri"/>
                <w:sz w:val="22"/>
              </w:rPr>
              <w:t>8.00</w:t>
            </w:r>
          </w:p>
        </w:tc>
        <w:tc>
          <w:tcPr>
            <w:tcW w:w="1001" w:type="dxa"/>
          </w:tcPr>
          <w:p>
            <w:pPr>
              <w:pStyle w:val="TableParagraph"/>
              <w:spacing w:before="27"/>
              <w:ind w:left="73" w:right="75"/>
              <w:rPr>
                <w:rFonts w:ascii="Calibri"/>
                <w:sz w:val="22"/>
              </w:rPr>
            </w:pPr>
            <w:r>
              <w:rPr>
                <w:rFonts w:ascii="Calibri"/>
                <w:sz w:val="22"/>
              </w:rPr>
              <w:t>8.40</w:t>
            </w:r>
          </w:p>
        </w:tc>
      </w:tr>
      <w:tr>
        <w:trPr>
          <w:trHeight w:val="310" w:hRule="exact"/>
        </w:trPr>
        <w:tc>
          <w:tcPr>
            <w:tcW w:w="3582" w:type="dxa"/>
          </w:tcPr>
          <w:p>
            <w:pPr>
              <w:pStyle w:val="TableParagraph"/>
              <w:spacing w:before="48"/>
              <w:ind w:left="64"/>
              <w:jc w:val="left"/>
              <w:rPr>
                <w:b/>
                <w:sz w:val="16"/>
              </w:rPr>
            </w:pPr>
            <w:r>
              <w:rPr>
                <w:b/>
                <w:color w:val="333333"/>
                <w:sz w:val="16"/>
              </w:rPr>
              <w:t>ATIZAPAN DE ZARAGOZA</w:t>
            </w:r>
          </w:p>
        </w:tc>
        <w:tc>
          <w:tcPr>
            <w:tcW w:w="1001" w:type="dxa"/>
          </w:tcPr>
          <w:p>
            <w:pPr>
              <w:pStyle w:val="TableParagraph"/>
              <w:spacing w:before="25"/>
              <w:ind w:left="73" w:right="75"/>
              <w:rPr>
                <w:rFonts w:ascii="Calibri"/>
                <w:sz w:val="22"/>
              </w:rPr>
            </w:pPr>
            <w:r>
              <w:rPr>
                <w:rFonts w:ascii="Calibri"/>
                <w:sz w:val="22"/>
              </w:rPr>
              <w:t>9.70</w:t>
            </w:r>
          </w:p>
        </w:tc>
        <w:tc>
          <w:tcPr>
            <w:tcW w:w="1001" w:type="dxa"/>
          </w:tcPr>
          <w:p>
            <w:pPr>
              <w:pStyle w:val="TableParagraph"/>
              <w:spacing w:before="25"/>
              <w:ind w:left="73" w:right="74"/>
              <w:rPr>
                <w:rFonts w:ascii="Calibri"/>
                <w:sz w:val="22"/>
              </w:rPr>
            </w:pPr>
            <w:r>
              <w:rPr>
                <w:rFonts w:ascii="Calibri"/>
                <w:sz w:val="22"/>
              </w:rPr>
              <w:t>10.10</w:t>
            </w:r>
          </w:p>
        </w:tc>
      </w:tr>
      <w:tr>
        <w:trPr>
          <w:trHeight w:val="310" w:hRule="exact"/>
        </w:trPr>
        <w:tc>
          <w:tcPr>
            <w:tcW w:w="3582" w:type="dxa"/>
          </w:tcPr>
          <w:p>
            <w:pPr>
              <w:pStyle w:val="TableParagraph"/>
              <w:spacing w:before="48"/>
              <w:ind w:left="64"/>
              <w:jc w:val="left"/>
              <w:rPr>
                <w:b/>
                <w:sz w:val="16"/>
              </w:rPr>
            </w:pPr>
            <w:r>
              <w:rPr>
                <w:b/>
                <w:color w:val="333333"/>
                <w:sz w:val="16"/>
              </w:rPr>
              <w:t>ATLACOMULCO</w:t>
            </w:r>
          </w:p>
        </w:tc>
        <w:tc>
          <w:tcPr>
            <w:tcW w:w="1001" w:type="dxa"/>
          </w:tcPr>
          <w:p>
            <w:pPr>
              <w:pStyle w:val="TableParagraph"/>
              <w:spacing w:before="25"/>
              <w:ind w:left="73" w:right="75"/>
              <w:rPr>
                <w:rFonts w:ascii="Calibri"/>
                <w:sz w:val="22"/>
              </w:rPr>
            </w:pPr>
            <w:r>
              <w:rPr>
                <w:rFonts w:ascii="Calibri"/>
                <w:sz w:val="22"/>
              </w:rPr>
              <w:t>7.90</w:t>
            </w:r>
          </w:p>
        </w:tc>
        <w:tc>
          <w:tcPr>
            <w:tcW w:w="1001" w:type="dxa"/>
          </w:tcPr>
          <w:p>
            <w:pPr>
              <w:pStyle w:val="TableParagraph"/>
              <w:spacing w:before="25"/>
              <w:ind w:left="73" w:right="75"/>
              <w:rPr>
                <w:rFonts w:ascii="Calibri"/>
                <w:sz w:val="22"/>
              </w:rPr>
            </w:pPr>
            <w:r>
              <w:rPr>
                <w:rFonts w:ascii="Calibri"/>
                <w:sz w:val="22"/>
              </w:rPr>
              <w:t>8.48</w:t>
            </w:r>
          </w:p>
        </w:tc>
      </w:tr>
      <w:tr>
        <w:trPr>
          <w:trHeight w:val="310" w:hRule="exact"/>
        </w:trPr>
        <w:tc>
          <w:tcPr>
            <w:tcW w:w="3582" w:type="dxa"/>
          </w:tcPr>
          <w:p>
            <w:pPr>
              <w:pStyle w:val="TableParagraph"/>
              <w:spacing w:before="48"/>
              <w:ind w:left="64"/>
              <w:jc w:val="left"/>
              <w:rPr>
                <w:b/>
                <w:sz w:val="16"/>
              </w:rPr>
            </w:pPr>
            <w:r>
              <w:rPr>
                <w:b/>
                <w:color w:val="333333"/>
                <w:sz w:val="16"/>
              </w:rPr>
              <w:t>ATLAUTLA</w:t>
            </w:r>
          </w:p>
        </w:tc>
        <w:tc>
          <w:tcPr>
            <w:tcW w:w="1001" w:type="dxa"/>
          </w:tcPr>
          <w:p>
            <w:pPr>
              <w:pStyle w:val="TableParagraph"/>
              <w:spacing w:before="25"/>
              <w:ind w:left="73" w:right="75"/>
              <w:rPr>
                <w:rFonts w:ascii="Calibri"/>
                <w:sz w:val="22"/>
              </w:rPr>
            </w:pPr>
            <w:r>
              <w:rPr>
                <w:rFonts w:ascii="Calibri"/>
                <w:sz w:val="22"/>
              </w:rPr>
              <w:t>7.20</w:t>
            </w:r>
          </w:p>
        </w:tc>
        <w:tc>
          <w:tcPr>
            <w:tcW w:w="1001" w:type="dxa"/>
          </w:tcPr>
          <w:p>
            <w:pPr>
              <w:pStyle w:val="TableParagraph"/>
              <w:spacing w:before="25"/>
              <w:ind w:left="73" w:right="75"/>
              <w:rPr>
                <w:rFonts w:ascii="Calibri"/>
                <w:sz w:val="22"/>
              </w:rPr>
            </w:pPr>
            <w:r>
              <w:rPr>
                <w:rFonts w:ascii="Calibri"/>
                <w:sz w:val="22"/>
              </w:rPr>
              <w:t>7.77</w:t>
            </w:r>
          </w:p>
        </w:tc>
      </w:tr>
      <w:tr>
        <w:trPr>
          <w:trHeight w:val="310" w:hRule="exact"/>
        </w:trPr>
        <w:tc>
          <w:tcPr>
            <w:tcW w:w="3582" w:type="dxa"/>
          </w:tcPr>
          <w:p>
            <w:pPr>
              <w:pStyle w:val="TableParagraph"/>
              <w:spacing w:before="48"/>
              <w:ind w:left="64"/>
              <w:jc w:val="left"/>
              <w:rPr>
                <w:b/>
                <w:sz w:val="16"/>
              </w:rPr>
            </w:pPr>
            <w:r>
              <w:rPr>
                <w:b/>
                <w:color w:val="333333"/>
                <w:sz w:val="16"/>
              </w:rPr>
              <w:t>AXAPUSCO</w:t>
            </w:r>
          </w:p>
        </w:tc>
        <w:tc>
          <w:tcPr>
            <w:tcW w:w="1001" w:type="dxa"/>
          </w:tcPr>
          <w:p>
            <w:pPr>
              <w:pStyle w:val="TableParagraph"/>
              <w:spacing w:before="25"/>
              <w:ind w:left="73" w:right="75"/>
              <w:rPr>
                <w:rFonts w:ascii="Calibri"/>
                <w:sz w:val="22"/>
              </w:rPr>
            </w:pPr>
            <w:r>
              <w:rPr>
                <w:rFonts w:ascii="Calibri"/>
                <w:sz w:val="22"/>
              </w:rPr>
              <w:t>7.30</w:t>
            </w:r>
          </w:p>
        </w:tc>
        <w:tc>
          <w:tcPr>
            <w:tcW w:w="1001" w:type="dxa"/>
          </w:tcPr>
          <w:p>
            <w:pPr>
              <w:pStyle w:val="TableParagraph"/>
              <w:spacing w:before="25"/>
              <w:ind w:left="73" w:right="75"/>
              <w:rPr>
                <w:rFonts w:ascii="Calibri"/>
                <w:sz w:val="22"/>
              </w:rPr>
            </w:pPr>
            <w:r>
              <w:rPr>
                <w:rFonts w:ascii="Calibri"/>
                <w:sz w:val="22"/>
              </w:rPr>
              <w:t>7.74</w:t>
            </w:r>
          </w:p>
        </w:tc>
      </w:tr>
      <w:tr>
        <w:trPr>
          <w:trHeight w:val="310" w:hRule="exact"/>
        </w:trPr>
        <w:tc>
          <w:tcPr>
            <w:tcW w:w="3582" w:type="dxa"/>
          </w:tcPr>
          <w:p>
            <w:pPr>
              <w:pStyle w:val="TableParagraph"/>
              <w:spacing w:before="51"/>
              <w:ind w:left="64"/>
              <w:jc w:val="left"/>
              <w:rPr>
                <w:b/>
                <w:sz w:val="16"/>
              </w:rPr>
            </w:pPr>
            <w:r>
              <w:rPr>
                <w:b/>
                <w:color w:val="333333"/>
                <w:sz w:val="16"/>
              </w:rPr>
              <w:t>AYAPANGO</w:t>
            </w:r>
          </w:p>
        </w:tc>
        <w:tc>
          <w:tcPr>
            <w:tcW w:w="1001" w:type="dxa"/>
          </w:tcPr>
          <w:p>
            <w:pPr>
              <w:pStyle w:val="TableParagraph"/>
              <w:spacing w:before="25"/>
              <w:ind w:left="73" w:right="75"/>
              <w:rPr>
                <w:rFonts w:ascii="Calibri"/>
                <w:sz w:val="22"/>
              </w:rPr>
            </w:pPr>
            <w:r>
              <w:rPr>
                <w:rFonts w:ascii="Calibri"/>
                <w:sz w:val="22"/>
              </w:rPr>
              <w:t>7.90</w:t>
            </w:r>
          </w:p>
        </w:tc>
        <w:tc>
          <w:tcPr>
            <w:tcW w:w="1001" w:type="dxa"/>
          </w:tcPr>
          <w:p>
            <w:pPr>
              <w:pStyle w:val="TableParagraph"/>
              <w:spacing w:before="25"/>
              <w:ind w:left="73" w:right="75"/>
              <w:rPr>
                <w:rFonts w:ascii="Calibri"/>
                <w:sz w:val="22"/>
              </w:rPr>
            </w:pPr>
            <w:r>
              <w:rPr>
                <w:rFonts w:ascii="Calibri"/>
                <w:sz w:val="22"/>
              </w:rPr>
              <w:t>8.64</w:t>
            </w:r>
          </w:p>
        </w:tc>
      </w:tr>
      <w:tr>
        <w:trPr>
          <w:trHeight w:val="312" w:hRule="exact"/>
        </w:trPr>
        <w:tc>
          <w:tcPr>
            <w:tcW w:w="3582" w:type="dxa"/>
          </w:tcPr>
          <w:p>
            <w:pPr>
              <w:pStyle w:val="TableParagraph"/>
              <w:spacing w:before="51"/>
              <w:ind w:left="64"/>
              <w:jc w:val="left"/>
              <w:rPr>
                <w:b/>
                <w:sz w:val="16"/>
              </w:rPr>
            </w:pPr>
            <w:r>
              <w:rPr>
                <w:b/>
                <w:color w:val="333333"/>
                <w:sz w:val="16"/>
              </w:rPr>
              <w:t>CALIMAYA</w:t>
            </w:r>
          </w:p>
        </w:tc>
        <w:tc>
          <w:tcPr>
            <w:tcW w:w="1001" w:type="dxa"/>
          </w:tcPr>
          <w:p>
            <w:pPr>
              <w:pStyle w:val="TableParagraph"/>
              <w:spacing w:before="27"/>
              <w:ind w:left="73" w:right="75"/>
              <w:rPr>
                <w:rFonts w:ascii="Calibri"/>
                <w:sz w:val="22"/>
              </w:rPr>
            </w:pPr>
            <w:r>
              <w:rPr>
                <w:rFonts w:ascii="Calibri"/>
                <w:sz w:val="22"/>
              </w:rPr>
              <w:t>8.00</w:t>
            </w:r>
          </w:p>
        </w:tc>
        <w:tc>
          <w:tcPr>
            <w:tcW w:w="1001" w:type="dxa"/>
          </w:tcPr>
          <w:p>
            <w:pPr>
              <w:pStyle w:val="TableParagraph"/>
              <w:spacing w:before="27"/>
              <w:ind w:left="73" w:right="75"/>
              <w:rPr>
                <w:rFonts w:ascii="Calibri"/>
                <w:sz w:val="22"/>
              </w:rPr>
            </w:pPr>
            <w:r>
              <w:rPr>
                <w:rFonts w:ascii="Calibri"/>
                <w:sz w:val="22"/>
              </w:rPr>
              <w:t>8.81</w:t>
            </w:r>
          </w:p>
        </w:tc>
      </w:tr>
      <w:tr>
        <w:trPr>
          <w:trHeight w:val="310" w:hRule="exact"/>
        </w:trPr>
        <w:tc>
          <w:tcPr>
            <w:tcW w:w="3582" w:type="dxa"/>
          </w:tcPr>
          <w:p>
            <w:pPr>
              <w:pStyle w:val="TableParagraph"/>
              <w:spacing w:before="48"/>
              <w:ind w:left="64"/>
              <w:jc w:val="left"/>
              <w:rPr>
                <w:b/>
                <w:sz w:val="16"/>
              </w:rPr>
            </w:pPr>
            <w:r>
              <w:rPr>
                <w:b/>
                <w:color w:val="333333"/>
                <w:sz w:val="16"/>
              </w:rPr>
              <w:t>CAPULHUAC</w:t>
            </w:r>
          </w:p>
        </w:tc>
        <w:tc>
          <w:tcPr>
            <w:tcW w:w="1001" w:type="dxa"/>
          </w:tcPr>
          <w:p>
            <w:pPr>
              <w:pStyle w:val="TableParagraph"/>
              <w:spacing w:before="25"/>
              <w:ind w:left="73" w:right="75"/>
              <w:rPr>
                <w:rFonts w:ascii="Calibri"/>
                <w:sz w:val="22"/>
              </w:rPr>
            </w:pPr>
            <w:r>
              <w:rPr>
                <w:rFonts w:ascii="Calibri"/>
                <w:sz w:val="22"/>
              </w:rPr>
              <w:t>8.80</w:t>
            </w:r>
          </w:p>
        </w:tc>
        <w:tc>
          <w:tcPr>
            <w:tcW w:w="1001" w:type="dxa"/>
          </w:tcPr>
          <w:p>
            <w:pPr>
              <w:pStyle w:val="TableParagraph"/>
              <w:spacing w:before="25"/>
              <w:ind w:left="73" w:right="75"/>
              <w:rPr>
                <w:rFonts w:ascii="Calibri"/>
                <w:sz w:val="22"/>
              </w:rPr>
            </w:pPr>
            <w:r>
              <w:rPr>
                <w:rFonts w:ascii="Calibri"/>
                <w:sz w:val="22"/>
              </w:rPr>
              <w:t>9.22</w:t>
            </w:r>
          </w:p>
        </w:tc>
      </w:tr>
      <w:tr>
        <w:trPr>
          <w:trHeight w:val="310" w:hRule="exact"/>
        </w:trPr>
        <w:tc>
          <w:tcPr>
            <w:tcW w:w="3582" w:type="dxa"/>
          </w:tcPr>
          <w:p>
            <w:pPr>
              <w:pStyle w:val="TableParagraph"/>
              <w:spacing w:before="48"/>
              <w:ind w:left="64"/>
              <w:jc w:val="left"/>
              <w:rPr>
                <w:b/>
                <w:sz w:val="16"/>
              </w:rPr>
            </w:pPr>
            <w:r>
              <w:rPr>
                <w:b/>
                <w:color w:val="333333"/>
                <w:sz w:val="16"/>
              </w:rPr>
              <w:t>CHALCO</w:t>
            </w:r>
          </w:p>
        </w:tc>
        <w:tc>
          <w:tcPr>
            <w:tcW w:w="1001" w:type="dxa"/>
          </w:tcPr>
          <w:p>
            <w:pPr>
              <w:pStyle w:val="TableParagraph"/>
              <w:spacing w:before="25"/>
              <w:ind w:left="73" w:right="75"/>
              <w:rPr>
                <w:rFonts w:ascii="Calibri"/>
                <w:sz w:val="22"/>
              </w:rPr>
            </w:pPr>
            <w:r>
              <w:rPr>
                <w:rFonts w:ascii="Calibri"/>
                <w:sz w:val="22"/>
              </w:rPr>
              <w:t>8.00</w:t>
            </w:r>
          </w:p>
        </w:tc>
        <w:tc>
          <w:tcPr>
            <w:tcW w:w="1001" w:type="dxa"/>
          </w:tcPr>
          <w:p>
            <w:pPr>
              <w:pStyle w:val="TableParagraph"/>
              <w:spacing w:before="25"/>
              <w:ind w:left="73" w:right="75"/>
              <w:rPr>
                <w:rFonts w:ascii="Calibri"/>
                <w:sz w:val="22"/>
              </w:rPr>
            </w:pPr>
            <w:r>
              <w:rPr>
                <w:rFonts w:ascii="Calibri"/>
                <w:sz w:val="22"/>
              </w:rPr>
              <w:t>8.61</w:t>
            </w:r>
          </w:p>
        </w:tc>
      </w:tr>
      <w:tr>
        <w:trPr>
          <w:trHeight w:val="310" w:hRule="exact"/>
        </w:trPr>
        <w:tc>
          <w:tcPr>
            <w:tcW w:w="3582" w:type="dxa"/>
          </w:tcPr>
          <w:p>
            <w:pPr>
              <w:pStyle w:val="TableParagraph"/>
              <w:spacing w:before="49"/>
              <w:ind w:left="64"/>
              <w:jc w:val="left"/>
              <w:rPr>
                <w:b/>
                <w:sz w:val="16"/>
              </w:rPr>
            </w:pPr>
            <w:r>
              <w:rPr>
                <w:b/>
                <w:color w:val="333333"/>
                <w:sz w:val="16"/>
              </w:rPr>
              <w:t>CHAPA DE MOTA</w:t>
            </w:r>
          </w:p>
        </w:tc>
        <w:tc>
          <w:tcPr>
            <w:tcW w:w="1001" w:type="dxa"/>
          </w:tcPr>
          <w:p>
            <w:pPr>
              <w:pStyle w:val="TableParagraph"/>
              <w:spacing w:before="25"/>
              <w:ind w:left="73" w:right="75"/>
              <w:rPr>
                <w:rFonts w:ascii="Calibri"/>
                <w:sz w:val="22"/>
              </w:rPr>
            </w:pPr>
            <w:r>
              <w:rPr>
                <w:rFonts w:ascii="Calibri"/>
                <w:sz w:val="22"/>
              </w:rPr>
              <w:t>6.00</w:t>
            </w:r>
          </w:p>
        </w:tc>
        <w:tc>
          <w:tcPr>
            <w:tcW w:w="1001" w:type="dxa"/>
          </w:tcPr>
          <w:p>
            <w:pPr>
              <w:pStyle w:val="TableParagraph"/>
              <w:spacing w:before="25"/>
              <w:ind w:left="73" w:right="75"/>
              <w:rPr>
                <w:rFonts w:ascii="Calibri"/>
                <w:sz w:val="22"/>
              </w:rPr>
            </w:pPr>
            <w:r>
              <w:rPr>
                <w:rFonts w:ascii="Calibri"/>
                <w:sz w:val="22"/>
              </w:rPr>
              <w:t>6.67</w:t>
            </w:r>
          </w:p>
        </w:tc>
      </w:tr>
      <w:tr>
        <w:trPr>
          <w:trHeight w:val="310" w:hRule="exact"/>
        </w:trPr>
        <w:tc>
          <w:tcPr>
            <w:tcW w:w="3582" w:type="dxa"/>
          </w:tcPr>
          <w:p>
            <w:pPr>
              <w:pStyle w:val="TableParagraph"/>
              <w:spacing w:before="48"/>
              <w:ind w:left="64"/>
              <w:jc w:val="left"/>
              <w:rPr>
                <w:b/>
                <w:sz w:val="16"/>
              </w:rPr>
            </w:pPr>
            <w:r>
              <w:rPr>
                <w:b/>
                <w:color w:val="333333"/>
                <w:sz w:val="16"/>
              </w:rPr>
              <w:t>CHAPULTEPEC</w:t>
            </w:r>
          </w:p>
        </w:tc>
        <w:tc>
          <w:tcPr>
            <w:tcW w:w="1001" w:type="dxa"/>
          </w:tcPr>
          <w:p>
            <w:pPr>
              <w:pStyle w:val="TableParagraph"/>
              <w:spacing w:before="25"/>
              <w:ind w:left="73" w:right="75"/>
              <w:rPr>
                <w:rFonts w:ascii="Calibri"/>
                <w:sz w:val="22"/>
              </w:rPr>
            </w:pPr>
            <w:r>
              <w:rPr>
                <w:rFonts w:ascii="Calibri"/>
                <w:sz w:val="22"/>
              </w:rPr>
              <w:t>8.70</w:t>
            </w:r>
          </w:p>
        </w:tc>
        <w:tc>
          <w:tcPr>
            <w:tcW w:w="1001" w:type="dxa"/>
          </w:tcPr>
          <w:p>
            <w:pPr>
              <w:pStyle w:val="TableParagraph"/>
              <w:spacing w:before="25"/>
              <w:ind w:left="73" w:right="75"/>
              <w:rPr>
                <w:rFonts w:ascii="Calibri"/>
                <w:sz w:val="22"/>
              </w:rPr>
            </w:pPr>
            <w:r>
              <w:rPr>
                <w:rFonts w:ascii="Calibri"/>
                <w:sz w:val="22"/>
              </w:rPr>
              <w:t>9.91</w:t>
            </w:r>
          </w:p>
        </w:tc>
      </w:tr>
      <w:tr>
        <w:trPr>
          <w:trHeight w:val="310" w:hRule="exact"/>
        </w:trPr>
        <w:tc>
          <w:tcPr>
            <w:tcW w:w="3582" w:type="dxa"/>
          </w:tcPr>
          <w:p>
            <w:pPr>
              <w:pStyle w:val="TableParagraph"/>
              <w:spacing w:before="51"/>
              <w:ind w:left="64"/>
              <w:jc w:val="left"/>
              <w:rPr>
                <w:b/>
                <w:sz w:val="16"/>
              </w:rPr>
            </w:pPr>
            <w:r>
              <w:rPr>
                <w:b/>
                <w:color w:val="333333"/>
                <w:sz w:val="16"/>
              </w:rPr>
              <w:t>CHIAUTLA</w:t>
            </w:r>
          </w:p>
        </w:tc>
        <w:tc>
          <w:tcPr>
            <w:tcW w:w="1001" w:type="dxa"/>
          </w:tcPr>
          <w:p>
            <w:pPr>
              <w:pStyle w:val="TableParagraph"/>
              <w:spacing w:before="25"/>
              <w:ind w:left="73" w:right="75"/>
              <w:rPr>
                <w:rFonts w:ascii="Calibri"/>
                <w:sz w:val="22"/>
              </w:rPr>
            </w:pPr>
            <w:r>
              <w:rPr>
                <w:rFonts w:ascii="Calibri"/>
                <w:sz w:val="22"/>
              </w:rPr>
              <w:t>8.80</w:t>
            </w:r>
          </w:p>
        </w:tc>
        <w:tc>
          <w:tcPr>
            <w:tcW w:w="1001" w:type="dxa"/>
          </w:tcPr>
          <w:p>
            <w:pPr>
              <w:pStyle w:val="TableParagraph"/>
              <w:spacing w:before="25"/>
              <w:ind w:left="73" w:right="75"/>
              <w:rPr>
                <w:rFonts w:ascii="Calibri"/>
                <w:sz w:val="22"/>
              </w:rPr>
            </w:pPr>
            <w:r>
              <w:rPr>
                <w:rFonts w:ascii="Calibri"/>
                <w:sz w:val="22"/>
              </w:rPr>
              <w:t>9.14</w:t>
            </w:r>
          </w:p>
        </w:tc>
      </w:tr>
      <w:tr>
        <w:trPr>
          <w:trHeight w:val="312" w:hRule="exact"/>
        </w:trPr>
        <w:tc>
          <w:tcPr>
            <w:tcW w:w="3582" w:type="dxa"/>
          </w:tcPr>
          <w:p>
            <w:pPr>
              <w:pStyle w:val="TableParagraph"/>
              <w:spacing w:before="51"/>
              <w:ind w:left="64"/>
              <w:jc w:val="left"/>
              <w:rPr>
                <w:b/>
                <w:sz w:val="16"/>
              </w:rPr>
            </w:pPr>
            <w:r>
              <w:rPr>
                <w:b/>
                <w:color w:val="333333"/>
                <w:sz w:val="16"/>
              </w:rPr>
              <w:t>CHICOLOAPAN</w:t>
            </w:r>
          </w:p>
        </w:tc>
        <w:tc>
          <w:tcPr>
            <w:tcW w:w="1001" w:type="dxa"/>
          </w:tcPr>
          <w:p>
            <w:pPr>
              <w:pStyle w:val="TableParagraph"/>
              <w:spacing w:before="27"/>
              <w:ind w:left="73" w:right="75"/>
              <w:rPr>
                <w:rFonts w:ascii="Calibri"/>
                <w:sz w:val="22"/>
              </w:rPr>
            </w:pPr>
            <w:r>
              <w:rPr>
                <w:rFonts w:ascii="Calibri"/>
                <w:sz w:val="22"/>
              </w:rPr>
              <w:t>8.60</w:t>
            </w:r>
          </w:p>
        </w:tc>
        <w:tc>
          <w:tcPr>
            <w:tcW w:w="1001" w:type="dxa"/>
          </w:tcPr>
          <w:p>
            <w:pPr>
              <w:pStyle w:val="TableParagraph"/>
              <w:spacing w:before="27"/>
              <w:ind w:left="73" w:right="75"/>
              <w:rPr>
                <w:rFonts w:ascii="Calibri"/>
                <w:sz w:val="22"/>
              </w:rPr>
            </w:pPr>
            <w:r>
              <w:rPr>
                <w:rFonts w:ascii="Calibri"/>
                <w:sz w:val="22"/>
              </w:rPr>
              <w:t>9.39</w:t>
            </w:r>
          </w:p>
        </w:tc>
      </w:tr>
      <w:tr>
        <w:trPr>
          <w:trHeight w:val="310" w:hRule="exact"/>
        </w:trPr>
        <w:tc>
          <w:tcPr>
            <w:tcW w:w="3582" w:type="dxa"/>
          </w:tcPr>
          <w:p>
            <w:pPr>
              <w:pStyle w:val="TableParagraph"/>
              <w:spacing w:before="48"/>
              <w:ind w:left="64"/>
              <w:jc w:val="left"/>
              <w:rPr>
                <w:b/>
                <w:sz w:val="16"/>
              </w:rPr>
            </w:pPr>
            <w:r>
              <w:rPr>
                <w:b/>
                <w:color w:val="333333"/>
                <w:sz w:val="16"/>
              </w:rPr>
              <w:t>CHICONCUAC</w:t>
            </w:r>
          </w:p>
        </w:tc>
        <w:tc>
          <w:tcPr>
            <w:tcW w:w="1001" w:type="dxa"/>
          </w:tcPr>
          <w:p>
            <w:pPr>
              <w:pStyle w:val="TableParagraph"/>
              <w:spacing w:before="25"/>
              <w:ind w:left="73" w:right="75"/>
              <w:rPr>
                <w:rFonts w:ascii="Calibri"/>
                <w:sz w:val="22"/>
              </w:rPr>
            </w:pPr>
            <w:r>
              <w:rPr>
                <w:rFonts w:ascii="Calibri"/>
                <w:sz w:val="22"/>
              </w:rPr>
              <w:t>9.00</w:t>
            </w:r>
          </w:p>
        </w:tc>
        <w:tc>
          <w:tcPr>
            <w:tcW w:w="1001" w:type="dxa"/>
          </w:tcPr>
          <w:p>
            <w:pPr>
              <w:pStyle w:val="TableParagraph"/>
              <w:spacing w:before="25"/>
              <w:ind w:left="73" w:right="75"/>
              <w:rPr>
                <w:rFonts w:ascii="Calibri"/>
                <w:sz w:val="22"/>
              </w:rPr>
            </w:pPr>
            <w:r>
              <w:rPr>
                <w:rFonts w:ascii="Calibri"/>
                <w:sz w:val="22"/>
              </w:rPr>
              <w:t>9.26</w:t>
            </w:r>
          </w:p>
        </w:tc>
      </w:tr>
      <w:tr>
        <w:trPr>
          <w:trHeight w:val="310" w:hRule="exact"/>
        </w:trPr>
        <w:tc>
          <w:tcPr>
            <w:tcW w:w="3582" w:type="dxa"/>
          </w:tcPr>
          <w:p>
            <w:pPr>
              <w:pStyle w:val="TableParagraph"/>
              <w:spacing w:before="48"/>
              <w:ind w:left="64"/>
              <w:jc w:val="left"/>
              <w:rPr>
                <w:b/>
                <w:sz w:val="16"/>
              </w:rPr>
            </w:pPr>
            <w:r>
              <w:rPr>
                <w:b/>
                <w:color w:val="333333"/>
                <w:sz w:val="16"/>
              </w:rPr>
              <w:t>CHIMALHUACAN</w:t>
            </w:r>
          </w:p>
        </w:tc>
        <w:tc>
          <w:tcPr>
            <w:tcW w:w="1001" w:type="dxa"/>
          </w:tcPr>
          <w:p>
            <w:pPr>
              <w:pStyle w:val="TableParagraph"/>
              <w:spacing w:before="25"/>
              <w:ind w:left="73" w:right="75"/>
              <w:rPr>
                <w:rFonts w:ascii="Calibri"/>
                <w:sz w:val="22"/>
              </w:rPr>
            </w:pPr>
            <w:r>
              <w:rPr>
                <w:rFonts w:ascii="Calibri"/>
                <w:sz w:val="22"/>
              </w:rPr>
              <w:t>7.60</w:t>
            </w:r>
          </w:p>
        </w:tc>
        <w:tc>
          <w:tcPr>
            <w:tcW w:w="1001" w:type="dxa"/>
          </w:tcPr>
          <w:p>
            <w:pPr>
              <w:pStyle w:val="TableParagraph"/>
              <w:spacing w:before="25"/>
              <w:ind w:left="73" w:right="75"/>
              <w:rPr>
                <w:rFonts w:ascii="Calibri"/>
                <w:sz w:val="22"/>
              </w:rPr>
            </w:pPr>
            <w:r>
              <w:rPr>
                <w:rFonts w:ascii="Calibri"/>
                <w:sz w:val="22"/>
              </w:rPr>
              <w:t>8.03</w:t>
            </w:r>
          </w:p>
        </w:tc>
      </w:tr>
      <w:tr>
        <w:trPr>
          <w:trHeight w:val="310" w:hRule="exact"/>
        </w:trPr>
        <w:tc>
          <w:tcPr>
            <w:tcW w:w="3582" w:type="dxa"/>
          </w:tcPr>
          <w:p>
            <w:pPr>
              <w:pStyle w:val="TableParagraph"/>
              <w:spacing w:before="48"/>
              <w:ind w:left="64"/>
              <w:jc w:val="left"/>
              <w:rPr>
                <w:b/>
                <w:sz w:val="16"/>
              </w:rPr>
            </w:pPr>
            <w:r>
              <w:rPr>
                <w:b/>
                <w:color w:val="333333"/>
                <w:sz w:val="16"/>
              </w:rPr>
              <w:t>COACALCO DE BERRIOZABAL</w:t>
            </w:r>
          </w:p>
        </w:tc>
        <w:tc>
          <w:tcPr>
            <w:tcW w:w="1001" w:type="dxa"/>
          </w:tcPr>
          <w:p>
            <w:pPr>
              <w:pStyle w:val="TableParagraph"/>
              <w:spacing w:before="25"/>
              <w:ind w:left="73" w:right="74"/>
              <w:rPr>
                <w:rFonts w:ascii="Calibri"/>
                <w:sz w:val="22"/>
              </w:rPr>
            </w:pPr>
            <w:r>
              <w:rPr>
                <w:rFonts w:ascii="Calibri"/>
                <w:sz w:val="22"/>
              </w:rPr>
              <w:t>10.00</w:t>
            </w:r>
          </w:p>
        </w:tc>
        <w:tc>
          <w:tcPr>
            <w:tcW w:w="1001" w:type="dxa"/>
          </w:tcPr>
          <w:p>
            <w:pPr>
              <w:pStyle w:val="TableParagraph"/>
              <w:spacing w:before="25"/>
              <w:ind w:left="73" w:right="74"/>
              <w:rPr>
                <w:rFonts w:ascii="Calibri"/>
                <w:sz w:val="22"/>
              </w:rPr>
            </w:pPr>
            <w:r>
              <w:rPr>
                <w:rFonts w:ascii="Calibri"/>
                <w:sz w:val="22"/>
              </w:rPr>
              <w:t>10.87</w:t>
            </w:r>
          </w:p>
        </w:tc>
      </w:tr>
      <w:tr>
        <w:trPr>
          <w:trHeight w:val="310" w:hRule="exact"/>
        </w:trPr>
        <w:tc>
          <w:tcPr>
            <w:tcW w:w="3582" w:type="dxa"/>
          </w:tcPr>
          <w:p>
            <w:pPr>
              <w:pStyle w:val="TableParagraph"/>
              <w:spacing w:before="48"/>
              <w:ind w:left="64"/>
              <w:jc w:val="left"/>
              <w:rPr>
                <w:b/>
                <w:sz w:val="16"/>
              </w:rPr>
            </w:pPr>
            <w:r>
              <w:rPr>
                <w:b/>
                <w:color w:val="333333"/>
                <w:sz w:val="16"/>
              </w:rPr>
              <w:t>COATEPEC HARINAS</w:t>
            </w:r>
          </w:p>
        </w:tc>
        <w:tc>
          <w:tcPr>
            <w:tcW w:w="1001" w:type="dxa"/>
          </w:tcPr>
          <w:p>
            <w:pPr>
              <w:pStyle w:val="TableParagraph"/>
              <w:spacing w:before="25"/>
              <w:ind w:left="73" w:right="75"/>
              <w:rPr>
                <w:rFonts w:ascii="Calibri"/>
                <w:sz w:val="22"/>
              </w:rPr>
            </w:pPr>
            <w:r>
              <w:rPr>
                <w:rFonts w:ascii="Calibri"/>
                <w:sz w:val="22"/>
              </w:rPr>
              <w:t>5.60</w:t>
            </w:r>
          </w:p>
        </w:tc>
        <w:tc>
          <w:tcPr>
            <w:tcW w:w="1001" w:type="dxa"/>
          </w:tcPr>
          <w:p>
            <w:pPr>
              <w:pStyle w:val="TableParagraph"/>
              <w:spacing w:before="25"/>
              <w:ind w:left="73" w:right="75"/>
              <w:rPr>
                <w:rFonts w:ascii="Calibri"/>
                <w:sz w:val="22"/>
              </w:rPr>
            </w:pPr>
            <w:r>
              <w:rPr>
                <w:rFonts w:ascii="Calibri"/>
                <w:sz w:val="22"/>
              </w:rPr>
              <w:t>6.19</w:t>
            </w:r>
          </w:p>
        </w:tc>
      </w:tr>
      <w:tr>
        <w:trPr>
          <w:trHeight w:val="310" w:hRule="exact"/>
        </w:trPr>
        <w:tc>
          <w:tcPr>
            <w:tcW w:w="3582" w:type="dxa"/>
          </w:tcPr>
          <w:p>
            <w:pPr>
              <w:pStyle w:val="TableParagraph"/>
              <w:spacing w:before="51"/>
              <w:ind w:left="64"/>
              <w:jc w:val="left"/>
              <w:rPr>
                <w:b/>
                <w:sz w:val="16"/>
              </w:rPr>
            </w:pPr>
            <w:r>
              <w:rPr>
                <w:b/>
                <w:color w:val="333333"/>
                <w:sz w:val="16"/>
              </w:rPr>
              <w:t>COCOTITLAN</w:t>
            </w:r>
          </w:p>
        </w:tc>
        <w:tc>
          <w:tcPr>
            <w:tcW w:w="1001" w:type="dxa"/>
          </w:tcPr>
          <w:p>
            <w:pPr>
              <w:pStyle w:val="TableParagraph"/>
              <w:spacing w:before="25"/>
              <w:ind w:left="73" w:right="75"/>
              <w:rPr>
                <w:rFonts w:ascii="Calibri"/>
                <w:sz w:val="22"/>
              </w:rPr>
            </w:pPr>
            <w:r>
              <w:rPr>
                <w:rFonts w:ascii="Calibri"/>
                <w:sz w:val="22"/>
              </w:rPr>
              <w:t>8.90</w:t>
            </w:r>
          </w:p>
        </w:tc>
        <w:tc>
          <w:tcPr>
            <w:tcW w:w="1001" w:type="dxa"/>
          </w:tcPr>
          <w:p>
            <w:pPr>
              <w:pStyle w:val="TableParagraph"/>
              <w:spacing w:before="25"/>
              <w:ind w:left="73" w:right="75"/>
              <w:rPr>
                <w:rFonts w:ascii="Calibri"/>
                <w:sz w:val="22"/>
              </w:rPr>
            </w:pPr>
            <w:r>
              <w:rPr>
                <w:rFonts w:ascii="Calibri"/>
                <w:sz w:val="22"/>
              </w:rPr>
              <w:t>9.34</w:t>
            </w:r>
          </w:p>
        </w:tc>
      </w:tr>
      <w:tr>
        <w:trPr>
          <w:trHeight w:val="312" w:hRule="exact"/>
        </w:trPr>
        <w:tc>
          <w:tcPr>
            <w:tcW w:w="3582" w:type="dxa"/>
          </w:tcPr>
          <w:p>
            <w:pPr>
              <w:pStyle w:val="TableParagraph"/>
              <w:spacing w:before="51"/>
              <w:ind w:left="64"/>
              <w:jc w:val="left"/>
              <w:rPr>
                <w:b/>
                <w:sz w:val="16"/>
              </w:rPr>
            </w:pPr>
            <w:r>
              <w:rPr>
                <w:b/>
                <w:color w:val="333333"/>
                <w:sz w:val="16"/>
              </w:rPr>
              <w:t>COYOTEPEC</w:t>
            </w:r>
          </w:p>
        </w:tc>
        <w:tc>
          <w:tcPr>
            <w:tcW w:w="1001" w:type="dxa"/>
          </w:tcPr>
          <w:p>
            <w:pPr>
              <w:pStyle w:val="TableParagraph"/>
              <w:spacing w:before="27"/>
              <w:ind w:left="73" w:right="75"/>
              <w:rPr>
                <w:rFonts w:ascii="Calibri"/>
                <w:sz w:val="22"/>
              </w:rPr>
            </w:pPr>
            <w:r>
              <w:rPr>
                <w:rFonts w:ascii="Calibri"/>
                <w:sz w:val="22"/>
              </w:rPr>
              <w:t>8.10</w:t>
            </w:r>
          </w:p>
        </w:tc>
        <w:tc>
          <w:tcPr>
            <w:tcW w:w="1001" w:type="dxa"/>
          </w:tcPr>
          <w:p>
            <w:pPr>
              <w:pStyle w:val="TableParagraph"/>
              <w:spacing w:before="27"/>
              <w:ind w:left="73" w:right="75"/>
              <w:rPr>
                <w:rFonts w:ascii="Calibri"/>
                <w:sz w:val="22"/>
              </w:rPr>
            </w:pPr>
            <w:r>
              <w:rPr>
                <w:rFonts w:ascii="Calibri"/>
                <w:sz w:val="22"/>
              </w:rPr>
              <w:t>8.59</w:t>
            </w:r>
          </w:p>
        </w:tc>
      </w:tr>
      <w:tr>
        <w:trPr>
          <w:trHeight w:val="310" w:hRule="exact"/>
        </w:trPr>
        <w:tc>
          <w:tcPr>
            <w:tcW w:w="3582" w:type="dxa"/>
          </w:tcPr>
          <w:p>
            <w:pPr>
              <w:pStyle w:val="TableParagraph"/>
              <w:spacing w:before="48"/>
              <w:ind w:left="64"/>
              <w:jc w:val="left"/>
              <w:rPr>
                <w:b/>
                <w:sz w:val="16"/>
              </w:rPr>
            </w:pPr>
            <w:r>
              <w:rPr>
                <w:b/>
                <w:color w:val="333333"/>
                <w:sz w:val="16"/>
              </w:rPr>
              <w:t>CUAUTITLAN</w:t>
            </w:r>
          </w:p>
        </w:tc>
        <w:tc>
          <w:tcPr>
            <w:tcW w:w="1001" w:type="dxa"/>
          </w:tcPr>
          <w:p>
            <w:pPr>
              <w:pStyle w:val="TableParagraph"/>
              <w:spacing w:before="25"/>
              <w:ind w:left="73" w:right="74"/>
              <w:rPr>
                <w:rFonts w:ascii="Calibri"/>
                <w:sz w:val="22"/>
              </w:rPr>
            </w:pPr>
            <w:r>
              <w:rPr>
                <w:rFonts w:ascii="Calibri"/>
                <w:sz w:val="22"/>
              </w:rPr>
              <w:t>10.00</w:t>
            </w:r>
          </w:p>
        </w:tc>
        <w:tc>
          <w:tcPr>
            <w:tcW w:w="1001" w:type="dxa"/>
          </w:tcPr>
          <w:p>
            <w:pPr>
              <w:pStyle w:val="TableParagraph"/>
              <w:spacing w:before="25"/>
              <w:ind w:left="73" w:right="74"/>
              <w:rPr>
                <w:rFonts w:ascii="Calibri"/>
                <w:sz w:val="22"/>
              </w:rPr>
            </w:pPr>
            <w:r>
              <w:rPr>
                <w:rFonts w:ascii="Calibri"/>
                <w:sz w:val="22"/>
              </w:rPr>
              <w:t>10.38</w:t>
            </w:r>
          </w:p>
        </w:tc>
      </w:tr>
      <w:tr>
        <w:trPr>
          <w:trHeight w:val="310" w:hRule="exact"/>
        </w:trPr>
        <w:tc>
          <w:tcPr>
            <w:tcW w:w="3582" w:type="dxa"/>
          </w:tcPr>
          <w:p>
            <w:pPr>
              <w:pStyle w:val="TableParagraph"/>
              <w:spacing w:before="48"/>
              <w:ind w:left="64"/>
              <w:jc w:val="left"/>
              <w:rPr>
                <w:b/>
                <w:sz w:val="16"/>
              </w:rPr>
            </w:pPr>
            <w:r>
              <w:rPr>
                <w:b/>
                <w:color w:val="333333"/>
                <w:sz w:val="16"/>
              </w:rPr>
              <w:t>CUAUTITLAN IZCALLI</w:t>
            </w:r>
          </w:p>
        </w:tc>
        <w:tc>
          <w:tcPr>
            <w:tcW w:w="1001" w:type="dxa"/>
          </w:tcPr>
          <w:p>
            <w:pPr>
              <w:pStyle w:val="TableParagraph"/>
              <w:spacing w:before="26"/>
              <w:ind w:left="73" w:right="74"/>
              <w:rPr>
                <w:rFonts w:ascii="Calibri"/>
                <w:sz w:val="22"/>
              </w:rPr>
            </w:pPr>
            <w:r>
              <w:rPr>
                <w:rFonts w:ascii="Calibri"/>
                <w:sz w:val="22"/>
              </w:rPr>
              <w:t>10.00</w:t>
            </w:r>
          </w:p>
        </w:tc>
        <w:tc>
          <w:tcPr>
            <w:tcW w:w="1001" w:type="dxa"/>
          </w:tcPr>
          <w:p>
            <w:pPr>
              <w:pStyle w:val="TableParagraph"/>
              <w:spacing w:before="26"/>
              <w:ind w:left="73" w:right="74"/>
              <w:rPr>
                <w:rFonts w:ascii="Calibri"/>
                <w:sz w:val="22"/>
              </w:rPr>
            </w:pPr>
            <w:r>
              <w:rPr>
                <w:rFonts w:ascii="Calibri"/>
                <w:sz w:val="22"/>
              </w:rPr>
              <w:t>10.72</w:t>
            </w:r>
          </w:p>
        </w:tc>
      </w:tr>
      <w:tr>
        <w:trPr>
          <w:trHeight w:val="310" w:hRule="exact"/>
        </w:trPr>
        <w:tc>
          <w:tcPr>
            <w:tcW w:w="3582" w:type="dxa"/>
          </w:tcPr>
          <w:p>
            <w:pPr>
              <w:pStyle w:val="TableParagraph"/>
              <w:spacing w:before="48"/>
              <w:ind w:left="64"/>
              <w:jc w:val="left"/>
              <w:rPr>
                <w:b/>
                <w:sz w:val="16"/>
              </w:rPr>
            </w:pPr>
            <w:r>
              <w:rPr>
                <w:b/>
                <w:color w:val="333333"/>
                <w:sz w:val="16"/>
              </w:rPr>
              <w:t>DONATO GUERRA</w:t>
            </w:r>
          </w:p>
        </w:tc>
        <w:tc>
          <w:tcPr>
            <w:tcW w:w="1001" w:type="dxa"/>
          </w:tcPr>
          <w:p>
            <w:pPr>
              <w:pStyle w:val="TableParagraph"/>
              <w:spacing w:before="25"/>
              <w:ind w:left="73" w:right="75"/>
              <w:rPr>
                <w:rFonts w:ascii="Calibri"/>
                <w:sz w:val="22"/>
              </w:rPr>
            </w:pPr>
            <w:r>
              <w:rPr>
                <w:rFonts w:ascii="Calibri"/>
                <w:sz w:val="22"/>
              </w:rPr>
              <w:t>5.00</w:t>
            </w:r>
          </w:p>
        </w:tc>
        <w:tc>
          <w:tcPr>
            <w:tcW w:w="1001" w:type="dxa"/>
          </w:tcPr>
          <w:p>
            <w:pPr>
              <w:pStyle w:val="TableParagraph"/>
              <w:spacing w:before="25"/>
              <w:ind w:left="73" w:right="75"/>
              <w:rPr>
                <w:rFonts w:ascii="Calibri"/>
                <w:sz w:val="22"/>
              </w:rPr>
            </w:pPr>
            <w:r>
              <w:rPr>
                <w:rFonts w:ascii="Calibri"/>
                <w:sz w:val="22"/>
              </w:rPr>
              <w:t>5.69</w:t>
            </w:r>
          </w:p>
        </w:tc>
      </w:tr>
      <w:tr>
        <w:trPr>
          <w:trHeight w:val="310" w:hRule="exact"/>
        </w:trPr>
        <w:tc>
          <w:tcPr>
            <w:tcW w:w="3582" w:type="dxa"/>
          </w:tcPr>
          <w:p>
            <w:pPr>
              <w:pStyle w:val="TableParagraph"/>
              <w:spacing w:before="48"/>
              <w:ind w:left="64"/>
              <w:jc w:val="left"/>
              <w:rPr>
                <w:b/>
                <w:sz w:val="16"/>
              </w:rPr>
            </w:pPr>
            <w:r>
              <w:rPr>
                <w:b/>
                <w:color w:val="333333"/>
                <w:sz w:val="16"/>
              </w:rPr>
              <w:t>ECATEPEC DE MORELOS</w:t>
            </w:r>
          </w:p>
        </w:tc>
        <w:tc>
          <w:tcPr>
            <w:tcW w:w="1001" w:type="dxa"/>
          </w:tcPr>
          <w:p>
            <w:pPr>
              <w:pStyle w:val="TableParagraph"/>
              <w:spacing w:before="25"/>
              <w:ind w:left="73" w:right="75"/>
              <w:rPr>
                <w:rFonts w:ascii="Calibri"/>
                <w:sz w:val="22"/>
              </w:rPr>
            </w:pPr>
            <w:r>
              <w:rPr>
                <w:rFonts w:ascii="Calibri"/>
                <w:sz w:val="22"/>
              </w:rPr>
              <w:t>9.00</w:t>
            </w:r>
          </w:p>
        </w:tc>
        <w:tc>
          <w:tcPr>
            <w:tcW w:w="1001" w:type="dxa"/>
          </w:tcPr>
          <w:p>
            <w:pPr>
              <w:pStyle w:val="TableParagraph"/>
              <w:spacing w:before="25"/>
              <w:ind w:left="73" w:right="75"/>
              <w:rPr>
                <w:rFonts w:ascii="Calibri"/>
                <w:sz w:val="22"/>
              </w:rPr>
            </w:pPr>
            <w:r>
              <w:rPr>
                <w:rFonts w:ascii="Calibri"/>
                <w:sz w:val="22"/>
              </w:rPr>
              <w:t>9.43</w:t>
            </w:r>
          </w:p>
        </w:tc>
      </w:tr>
      <w:tr>
        <w:trPr>
          <w:trHeight w:val="310" w:hRule="exact"/>
        </w:trPr>
        <w:tc>
          <w:tcPr>
            <w:tcW w:w="3582" w:type="dxa"/>
          </w:tcPr>
          <w:p>
            <w:pPr>
              <w:pStyle w:val="TableParagraph"/>
              <w:spacing w:before="51"/>
              <w:ind w:left="64"/>
              <w:jc w:val="left"/>
              <w:rPr>
                <w:b/>
                <w:sz w:val="16"/>
              </w:rPr>
            </w:pPr>
            <w:r>
              <w:rPr>
                <w:b/>
                <w:color w:val="333333"/>
                <w:sz w:val="16"/>
              </w:rPr>
              <w:t>ECATZINGO</w:t>
            </w:r>
          </w:p>
        </w:tc>
        <w:tc>
          <w:tcPr>
            <w:tcW w:w="1001" w:type="dxa"/>
          </w:tcPr>
          <w:p>
            <w:pPr>
              <w:pStyle w:val="TableParagraph"/>
              <w:spacing w:before="25"/>
              <w:ind w:left="73" w:right="75"/>
              <w:rPr>
                <w:rFonts w:ascii="Calibri"/>
                <w:sz w:val="22"/>
              </w:rPr>
            </w:pPr>
            <w:r>
              <w:rPr>
                <w:rFonts w:ascii="Calibri"/>
                <w:sz w:val="22"/>
              </w:rPr>
              <w:t>6.80</w:t>
            </w:r>
          </w:p>
        </w:tc>
        <w:tc>
          <w:tcPr>
            <w:tcW w:w="1001" w:type="dxa"/>
          </w:tcPr>
          <w:p>
            <w:pPr>
              <w:pStyle w:val="TableParagraph"/>
              <w:spacing w:before="25"/>
              <w:ind w:left="73" w:right="75"/>
              <w:rPr>
                <w:rFonts w:ascii="Calibri"/>
                <w:sz w:val="22"/>
              </w:rPr>
            </w:pPr>
            <w:r>
              <w:rPr>
                <w:rFonts w:ascii="Calibri"/>
                <w:sz w:val="22"/>
              </w:rPr>
              <w:t>7.39</w:t>
            </w:r>
          </w:p>
        </w:tc>
      </w:tr>
      <w:tr>
        <w:trPr>
          <w:trHeight w:val="312" w:hRule="exact"/>
        </w:trPr>
        <w:tc>
          <w:tcPr>
            <w:tcW w:w="3582" w:type="dxa"/>
          </w:tcPr>
          <w:p>
            <w:pPr>
              <w:pStyle w:val="TableParagraph"/>
              <w:spacing w:before="51"/>
              <w:ind w:left="64"/>
              <w:jc w:val="left"/>
              <w:rPr>
                <w:b/>
                <w:sz w:val="16"/>
              </w:rPr>
            </w:pPr>
            <w:r>
              <w:rPr>
                <w:b/>
                <w:color w:val="333333"/>
                <w:sz w:val="16"/>
              </w:rPr>
              <w:t>EL ORO</w:t>
            </w:r>
          </w:p>
        </w:tc>
        <w:tc>
          <w:tcPr>
            <w:tcW w:w="1001" w:type="dxa"/>
          </w:tcPr>
          <w:p>
            <w:pPr>
              <w:pStyle w:val="TableParagraph"/>
              <w:spacing w:before="27"/>
              <w:ind w:left="73" w:right="75"/>
              <w:rPr>
                <w:rFonts w:ascii="Calibri"/>
                <w:sz w:val="22"/>
              </w:rPr>
            </w:pPr>
            <w:r>
              <w:rPr>
                <w:rFonts w:ascii="Calibri"/>
                <w:sz w:val="22"/>
              </w:rPr>
              <w:t>6.70</w:t>
            </w:r>
          </w:p>
        </w:tc>
        <w:tc>
          <w:tcPr>
            <w:tcW w:w="1001" w:type="dxa"/>
          </w:tcPr>
          <w:p>
            <w:pPr>
              <w:pStyle w:val="TableParagraph"/>
              <w:spacing w:before="27"/>
              <w:ind w:left="73" w:right="75"/>
              <w:rPr>
                <w:rFonts w:ascii="Calibri"/>
                <w:sz w:val="22"/>
              </w:rPr>
            </w:pPr>
            <w:r>
              <w:rPr>
                <w:rFonts w:ascii="Calibri"/>
                <w:sz w:val="22"/>
              </w:rPr>
              <w:t>7.27</w:t>
            </w:r>
          </w:p>
        </w:tc>
      </w:tr>
    </w:tbl>
    <w:p>
      <w:pPr>
        <w:spacing w:after="0"/>
        <w:rPr>
          <w:rFonts w:ascii="Calibri"/>
          <w:sz w:val="22"/>
        </w:rPr>
        <w:sectPr>
          <w:pgSz w:w="12240" w:h="15840"/>
          <w:pgMar w:header="0" w:footer="975" w:top="1420" w:bottom="1160" w:left="1720" w:right="1720"/>
        </w:sectPr>
      </w:pPr>
    </w:p>
    <w:tbl>
      <w:tblPr>
        <w:tblW w:w="0" w:type="auto"/>
        <w:jc w:val="left"/>
        <w:tblInd w:w="15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82"/>
        <w:gridCol w:w="1001"/>
        <w:gridCol w:w="1001"/>
      </w:tblGrid>
      <w:tr>
        <w:trPr>
          <w:trHeight w:val="546" w:hRule="exact"/>
        </w:trPr>
        <w:tc>
          <w:tcPr>
            <w:tcW w:w="5583" w:type="dxa"/>
            <w:gridSpan w:val="3"/>
            <w:shd w:val="clear" w:color="auto" w:fill="92D050"/>
          </w:tcPr>
          <w:p>
            <w:pPr>
              <w:pStyle w:val="TableParagraph"/>
              <w:spacing w:line="237" w:lineRule="auto"/>
              <w:ind w:left="1613" w:right="58" w:hanging="1539"/>
              <w:jc w:val="left"/>
              <w:rPr>
                <w:rFonts w:ascii="Calibri" w:hAnsi="Calibri"/>
                <w:b/>
                <w:sz w:val="22"/>
              </w:rPr>
            </w:pPr>
            <w:r>
              <w:rPr>
                <w:rFonts w:ascii="Calibri" w:hAnsi="Calibri"/>
                <w:b/>
                <w:sz w:val="22"/>
              </w:rPr>
              <w:t>Anexo 3. Grado de escolaridad de los municipios del Estado de México (Continuación)</w:t>
            </w:r>
          </w:p>
        </w:tc>
      </w:tr>
      <w:tr>
        <w:trPr>
          <w:trHeight w:val="312" w:hRule="exact"/>
        </w:trPr>
        <w:tc>
          <w:tcPr>
            <w:tcW w:w="3582" w:type="dxa"/>
            <w:shd w:val="clear" w:color="auto" w:fill="92D050"/>
          </w:tcPr>
          <w:p>
            <w:pPr>
              <w:pStyle w:val="TableParagraph"/>
              <w:spacing w:before="27"/>
              <w:ind w:left="1306" w:right="1306"/>
              <w:rPr>
                <w:rFonts w:ascii="Calibri"/>
                <w:b/>
                <w:sz w:val="22"/>
              </w:rPr>
            </w:pPr>
            <w:r>
              <w:rPr>
                <w:rFonts w:ascii="Calibri"/>
                <w:b/>
                <w:sz w:val="22"/>
              </w:rPr>
              <w:t>Municipio</w:t>
            </w:r>
          </w:p>
        </w:tc>
        <w:tc>
          <w:tcPr>
            <w:tcW w:w="1001" w:type="dxa"/>
            <w:shd w:val="clear" w:color="auto" w:fill="92D050"/>
          </w:tcPr>
          <w:p>
            <w:pPr>
              <w:pStyle w:val="TableParagraph"/>
              <w:spacing w:before="27"/>
              <w:ind w:left="73" w:right="74"/>
              <w:rPr>
                <w:rFonts w:ascii="Calibri"/>
                <w:b/>
                <w:sz w:val="22"/>
              </w:rPr>
            </w:pPr>
            <w:r>
              <w:rPr>
                <w:rFonts w:ascii="Calibri"/>
                <w:b/>
                <w:sz w:val="22"/>
              </w:rPr>
              <w:t>GE 2005</w:t>
            </w:r>
          </w:p>
        </w:tc>
        <w:tc>
          <w:tcPr>
            <w:tcW w:w="1001" w:type="dxa"/>
            <w:shd w:val="clear" w:color="auto" w:fill="92D050"/>
          </w:tcPr>
          <w:p>
            <w:pPr>
              <w:pStyle w:val="TableParagraph"/>
              <w:spacing w:before="27"/>
              <w:ind w:left="73" w:right="74"/>
              <w:rPr>
                <w:rFonts w:ascii="Calibri"/>
                <w:b/>
                <w:sz w:val="22"/>
              </w:rPr>
            </w:pPr>
            <w:r>
              <w:rPr>
                <w:rFonts w:ascii="Calibri"/>
                <w:b/>
                <w:sz w:val="22"/>
              </w:rPr>
              <w:t>GE 2010</w:t>
            </w:r>
          </w:p>
        </w:tc>
      </w:tr>
      <w:tr>
        <w:trPr>
          <w:trHeight w:val="310" w:hRule="exact"/>
        </w:trPr>
        <w:tc>
          <w:tcPr>
            <w:tcW w:w="3582" w:type="dxa"/>
          </w:tcPr>
          <w:p>
            <w:pPr>
              <w:pStyle w:val="TableParagraph"/>
              <w:spacing w:before="48"/>
              <w:ind w:left="64"/>
              <w:jc w:val="left"/>
              <w:rPr>
                <w:b/>
                <w:sz w:val="16"/>
              </w:rPr>
            </w:pPr>
            <w:r>
              <w:rPr>
                <w:b/>
                <w:color w:val="333333"/>
                <w:sz w:val="16"/>
              </w:rPr>
              <w:t>HUEHUETOCA</w:t>
            </w:r>
          </w:p>
        </w:tc>
        <w:tc>
          <w:tcPr>
            <w:tcW w:w="1001" w:type="dxa"/>
          </w:tcPr>
          <w:p>
            <w:pPr>
              <w:pStyle w:val="TableParagraph"/>
              <w:spacing w:before="25"/>
              <w:ind w:left="73" w:right="75"/>
              <w:rPr>
                <w:rFonts w:ascii="Calibri"/>
                <w:sz w:val="22"/>
              </w:rPr>
            </w:pPr>
            <w:r>
              <w:rPr>
                <w:rFonts w:ascii="Calibri"/>
                <w:sz w:val="22"/>
              </w:rPr>
              <w:t>8.50</w:t>
            </w:r>
          </w:p>
        </w:tc>
        <w:tc>
          <w:tcPr>
            <w:tcW w:w="1001" w:type="dxa"/>
          </w:tcPr>
          <w:p>
            <w:pPr>
              <w:pStyle w:val="TableParagraph"/>
              <w:spacing w:before="25"/>
              <w:ind w:left="73" w:right="75"/>
              <w:rPr>
                <w:rFonts w:ascii="Calibri"/>
                <w:sz w:val="22"/>
              </w:rPr>
            </w:pPr>
            <w:r>
              <w:rPr>
                <w:rFonts w:ascii="Calibri"/>
                <w:sz w:val="22"/>
              </w:rPr>
              <w:t>9.05</w:t>
            </w:r>
          </w:p>
        </w:tc>
      </w:tr>
      <w:tr>
        <w:trPr>
          <w:trHeight w:val="310" w:hRule="exact"/>
        </w:trPr>
        <w:tc>
          <w:tcPr>
            <w:tcW w:w="3582" w:type="dxa"/>
          </w:tcPr>
          <w:p>
            <w:pPr>
              <w:pStyle w:val="TableParagraph"/>
              <w:spacing w:before="48"/>
              <w:ind w:left="64"/>
              <w:jc w:val="left"/>
              <w:rPr>
                <w:b/>
                <w:sz w:val="16"/>
              </w:rPr>
            </w:pPr>
            <w:r>
              <w:rPr>
                <w:b/>
                <w:color w:val="333333"/>
                <w:sz w:val="16"/>
              </w:rPr>
              <w:t>HUEYPOXTLA</w:t>
            </w:r>
          </w:p>
        </w:tc>
        <w:tc>
          <w:tcPr>
            <w:tcW w:w="1001" w:type="dxa"/>
          </w:tcPr>
          <w:p>
            <w:pPr>
              <w:pStyle w:val="TableParagraph"/>
              <w:spacing w:before="25"/>
              <w:ind w:left="73" w:right="75"/>
              <w:rPr>
                <w:rFonts w:ascii="Calibri"/>
                <w:sz w:val="22"/>
              </w:rPr>
            </w:pPr>
            <w:r>
              <w:rPr>
                <w:rFonts w:ascii="Calibri"/>
                <w:sz w:val="22"/>
              </w:rPr>
              <w:t>6.60</w:t>
            </w:r>
          </w:p>
        </w:tc>
        <w:tc>
          <w:tcPr>
            <w:tcW w:w="1001" w:type="dxa"/>
          </w:tcPr>
          <w:p>
            <w:pPr>
              <w:pStyle w:val="TableParagraph"/>
              <w:spacing w:before="25"/>
              <w:ind w:left="73" w:right="75"/>
              <w:rPr>
                <w:rFonts w:ascii="Calibri"/>
                <w:sz w:val="22"/>
              </w:rPr>
            </w:pPr>
            <w:r>
              <w:rPr>
                <w:rFonts w:ascii="Calibri"/>
                <w:sz w:val="22"/>
              </w:rPr>
              <w:t>7.27</w:t>
            </w:r>
          </w:p>
        </w:tc>
      </w:tr>
      <w:tr>
        <w:trPr>
          <w:trHeight w:val="310" w:hRule="exact"/>
        </w:trPr>
        <w:tc>
          <w:tcPr>
            <w:tcW w:w="3582" w:type="dxa"/>
          </w:tcPr>
          <w:p>
            <w:pPr>
              <w:pStyle w:val="TableParagraph"/>
              <w:spacing w:before="48"/>
              <w:ind w:left="64"/>
              <w:jc w:val="left"/>
              <w:rPr>
                <w:b/>
                <w:sz w:val="16"/>
              </w:rPr>
            </w:pPr>
            <w:r>
              <w:rPr>
                <w:b/>
                <w:color w:val="333333"/>
                <w:sz w:val="16"/>
              </w:rPr>
              <w:t>HUIXQUILUCAN</w:t>
            </w:r>
          </w:p>
        </w:tc>
        <w:tc>
          <w:tcPr>
            <w:tcW w:w="1001" w:type="dxa"/>
          </w:tcPr>
          <w:p>
            <w:pPr>
              <w:pStyle w:val="TableParagraph"/>
              <w:spacing w:before="25"/>
              <w:ind w:left="73" w:right="75"/>
              <w:rPr>
                <w:rFonts w:ascii="Calibri"/>
                <w:sz w:val="22"/>
              </w:rPr>
            </w:pPr>
            <w:r>
              <w:rPr>
                <w:rFonts w:ascii="Calibri"/>
                <w:sz w:val="22"/>
              </w:rPr>
              <w:t>9.50</w:t>
            </w:r>
          </w:p>
        </w:tc>
        <w:tc>
          <w:tcPr>
            <w:tcW w:w="1001" w:type="dxa"/>
          </w:tcPr>
          <w:p>
            <w:pPr>
              <w:pStyle w:val="TableParagraph"/>
              <w:spacing w:before="25"/>
              <w:ind w:left="73" w:right="74"/>
              <w:rPr>
                <w:rFonts w:ascii="Calibri"/>
                <w:sz w:val="22"/>
              </w:rPr>
            </w:pPr>
            <w:r>
              <w:rPr>
                <w:rFonts w:ascii="Calibri"/>
                <w:sz w:val="22"/>
              </w:rPr>
              <w:t>10.09</w:t>
            </w:r>
          </w:p>
        </w:tc>
      </w:tr>
      <w:tr>
        <w:trPr>
          <w:trHeight w:val="310" w:hRule="exact"/>
        </w:trPr>
        <w:tc>
          <w:tcPr>
            <w:tcW w:w="3582" w:type="dxa"/>
          </w:tcPr>
          <w:p>
            <w:pPr>
              <w:pStyle w:val="TableParagraph"/>
              <w:spacing w:before="48"/>
              <w:ind w:left="64"/>
              <w:jc w:val="left"/>
              <w:rPr>
                <w:b/>
                <w:sz w:val="16"/>
              </w:rPr>
            </w:pPr>
            <w:r>
              <w:rPr>
                <w:b/>
                <w:color w:val="333333"/>
                <w:sz w:val="16"/>
              </w:rPr>
              <w:t>ISIDRO FABELA</w:t>
            </w:r>
          </w:p>
        </w:tc>
        <w:tc>
          <w:tcPr>
            <w:tcW w:w="1001" w:type="dxa"/>
          </w:tcPr>
          <w:p>
            <w:pPr>
              <w:pStyle w:val="TableParagraph"/>
              <w:spacing w:before="25"/>
              <w:ind w:left="73" w:right="75"/>
              <w:rPr>
                <w:rFonts w:ascii="Calibri"/>
                <w:sz w:val="22"/>
              </w:rPr>
            </w:pPr>
            <w:r>
              <w:rPr>
                <w:rFonts w:ascii="Calibri"/>
                <w:sz w:val="22"/>
              </w:rPr>
              <w:t>7.20</w:t>
            </w:r>
          </w:p>
        </w:tc>
        <w:tc>
          <w:tcPr>
            <w:tcW w:w="1001" w:type="dxa"/>
          </w:tcPr>
          <w:p>
            <w:pPr>
              <w:pStyle w:val="TableParagraph"/>
              <w:spacing w:before="25"/>
              <w:ind w:left="73" w:right="75"/>
              <w:rPr>
                <w:rFonts w:ascii="Calibri"/>
                <w:sz w:val="22"/>
              </w:rPr>
            </w:pPr>
            <w:r>
              <w:rPr>
                <w:rFonts w:ascii="Calibri"/>
                <w:sz w:val="22"/>
              </w:rPr>
              <w:t>7.66</w:t>
            </w:r>
          </w:p>
        </w:tc>
      </w:tr>
      <w:tr>
        <w:trPr>
          <w:trHeight w:val="310" w:hRule="exact"/>
        </w:trPr>
        <w:tc>
          <w:tcPr>
            <w:tcW w:w="3582" w:type="dxa"/>
          </w:tcPr>
          <w:p>
            <w:pPr>
              <w:pStyle w:val="TableParagraph"/>
              <w:spacing w:before="51"/>
              <w:ind w:left="64"/>
              <w:jc w:val="left"/>
              <w:rPr>
                <w:b/>
                <w:sz w:val="16"/>
              </w:rPr>
            </w:pPr>
            <w:r>
              <w:rPr>
                <w:b/>
                <w:color w:val="333333"/>
                <w:sz w:val="16"/>
              </w:rPr>
              <w:t>IXTAPALUCA</w:t>
            </w:r>
          </w:p>
        </w:tc>
        <w:tc>
          <w:tcPr>
            <w:tcW w:w="1001" w:type="dxa"/>
          </w:tcPr>
          <w:p>
            <w:pPr>
              <w:pStyle w:val="TableParagraph"/>
              <w:spacing w:before="25"/>
              <w:ind w:left="73" w:right="75"/>
              <w:rPr>
                <w:rFonts w:ascii="Calibri"/>
                <w:sz w:val="22"/>
              </w:rPr>
            </w:pPr>
            <w:r>
              <w:rPr>
                <w:rFonts w:ascii="Calibri"/>
                <w:sz w:val="22"/>
              </w:rPr>
              <w:t>9.00</w:t>
            </w:r>
          </w:p>
        </w:tc>
        <w:tc>
          <w:tcPr>
            <w:tcW w:w="1001" w:type="dxa"/>
          </w:tcPr>
          <w:p>
            <w:pPr>
              <w:pStyle w:val="TableParagraph"/>
              <w:spacing w:before="25"/>
              <w:ind w:left="73" w:right="75"/>
              <w:rPr>
                <w:rFonts w:ascii="Calibri"/>
                <w:sz w:val="22"/>
              </w:rPr>
            </w:pPr>
            <w:r>
              <w:rPr>
                <w:rFonts w:ascii="Calibri"/>
                <w:sz w:val="22"/>
              </w:rPr>
              <w:t>9.29</w:t>
            </w:r>
          </w:p>
        </w:tc>
      </w:tr>
      <w:tr>
        <w:trPr>
          <w:trHeight w:val="312" w:hRule="exact"/>
        </w:trPr>
        <w:tc>
          <w:tcPr>
            <w:tcW w:w="3582" w:type="dxa"/>
          </w:tcPr>
          <w:p>
            <w:pPr>
              <w:pStyle w:val="TableParagraph"/>
              <w:spacing w:before="51"/>
              <w:ind w:left="64"/>
              <w:jc w:val="left"/>
              <w:rPr>
                <w:b/>
                <w:sz w:val="16"/>
              </w:rPr>
            </w:pPr>
            <w:r>
              <w:rPr>
                <w:b/>
                <w:color w:val="333333"/>
                <w:sz w:val="16"/>
              </w:rPr>
              <w:t>IXTAPAN DE LA SAL</w:t>
            </w:r>
          </w:p>
        </w:tc>
        <w:tc>
          <w:tcPr>
            <w:tcW w:w="1001" w:type="dxa"/>
          </w:tcPr>
          <w:p>
            <w:pPr>
              <w:pStyle w:val="TableParagraph"/>
              <w:spacing w:before="27"/>
              <w:ind w:left="73" w:right="75"/>
              <w:rPr>
                <w:rFonts w:ascii="Calibri"/>
                <w:sz w:val="22"/>
              </w:rPr>
            </w:pPr>
            <w:r>
              <w:rPr>
                <w:rFonts w:ascii="Calibri"/>
                <w:sz w:val="22"/>
              </w:rPr>
              <w:t>6.90</w:t>
            </w:r>
          </w:p>
        </w:tc>
        <w:tc>
          <w:tcPr>
            <w:tcW w:w="1001" w:type="dxa"/>
          </w:tcPr>
          <w:p>
            <w:pPr>
              <w:pStyle w:val="TableParagraph"/>
              <w:spacing w:before="27"/>
              <w:ind w:left="73" w:right="75"/>
              <w:rPr>
                <w:rFonts w:ascii="Calibri"/>
                <w:sz w:val="22"/>
              </w:rPr>
            </w:pPr>
            <w:r>
              <w:rPr>
                <w:rFonts w:ascii="Calibri"/>
                <w:sz w:val="22"/>
              </w:rPr>
              <w:t>7.61</w:t>
            </w:r>
          </w:p>
        </w:tc>
      </w:tr>
      <w:tr>
        <w:trPr>
          <w:trHeight w:val="310" w:hRule="exact"/>
        </w:trPr>
        <w:tc>
          <w:tcPr>
            <w:tcW w:w="3582" w:type="dxa"/>
          </w:tcPr>
          <w:p>
            <w:pPr>
              <w:pStyle w:val="TableParagraph"/>
              <w:spacing w:before="48"/>
              <w:ind w:left="64"/>
              <w:jc w:val="left"/>
              <w:rPr>
                <w:b/>
                <w:sz w:val="16"/>
              </w:rPr>
            </w:pPr>
            <w:r>
              <w:rPr>
                <w:b/>
                <w:color w:val="333333"/>
                <w:sz w:val="16"/>
              </w:rPr>
              <w:t>IXTAPAN DEL ORO</w:t>
            </w:r>
          </w:p>
        </w:tc>
        <w:tc>
          <w:tcPr>
            <w:tcW w:w="1001" w:type="dxa"/>
          </w:tcPr>
          <w:p>
            <w:pPr>
              <w:pStyle w:val="TableParagraph"/>
              <w:spacing w:before="25"/>
              <w:ind w:left="73" w:right="75"/>
              <w:rPr>
                <w:rFonts w:ascii="Calibri"/>
                <w:sz w:val="22"/>
              </w:rPr>
            </w:pPr>
            <w:r>
              <w:rPr>
                <w:rFonts w:ascii="Calibri"/>
                <w:sz w:val="22"/>
              </w:rPr>
              <w:t>5.40</w:t>
            </w:r>
          </w:p>
        </w:tc>
        <w:tc>
          <w:tcPr>
            <w:tcW w:w="1001" w:type="dxa"/>
          </w:tcPr>
          <w:p>
            <w:pPr>
              <w:pStyle w:val="TableParagraph"/>
              <w:spacing w:before="25"/>
              <w:ind w:left="73" w:right="75"/>
              <w:rPr>
                <w:rFonts w:ascii="Calibri"/>
                <w:sz w:val="22"/>
              </w:rPr>
            </w:pPr>
            <w:r>
              <w:rPr>
                <w:rFonts w:ascii="Calibri"/>
                <w:sz w:val="22"/>
              </w:rPr>
              <w:t>5.98</w:t>
            </w:r>
          </w:p>
        </w:tc>
      </w:tr>
      <w:tr>
        <w:trPr>
          <w:trHeight w:val="310" w:hRule="exact"/>
        </w:trPr>
        <w:tc>
          <w:tcPr>
            <w:tcW w:w="3582" w:type="dxa"/>
          </w:tcPr>
          <w:p>
            <w:pPr>
              <w:pStyle w:val="TableParagraph"/>
              <w:spacing w:before="48"/>
              <w:ind w:left="64"/>
              <w:jc w:val="left"/>
              <w:rPr>
                <w:b/>
                <w:sz w:val="16"/>
              </w:rPr>
            </w:pPr>
            <w:r>
              <w:rPr>
                <w:b/>
                <w:color w:val="333333"/>
                <w:sz w:val="16"/>
              </w:rPr>
              <w:t>IXTLAHUACA</w:t>
            </w:r>
          </w:p>
        </w:tc>
        <w:tc>
          <w:tcPr>
            <w:tcW w:w="1001" w:type="dxa"/>
          </w:tcPr>
          <w:p>
            <w:pPr>
              <w:pStyle w:val="TableParagraph"/>
              <w:spacing w:before="25"/>
              <w:ind w:left="73" w:right="75"/>
              <w:rPr>
                <w:rFonts w:ascii="Calibri"/>
                <w:sz w:val="22"/>
              </w:rPr>
            </w:pPr>
            <w:r>
              <w:rPr>
                <w:rFonts w:ascii="Calibri"/>
                <w:sz w:val="22"/>
              </w:rPr>
              <w:t>6.70</w:t>
            </w:r>
          </w:p>
        </w:tc>
        <w:tc>
          <w:tcPr>
            <w:tcW w:w="1001" w:type="dxa"/>
          </w:tcPr>
          <w:p>
            <w:pPr>
              <w:pStyle w:val="TableParagraph"/>
              <w:spacing w:before="25"/>
              <w:ind w:left="73" w:right="75"/>
              <w:rPr>
                <w:rFonts w:ascii="Calibri"/>
                <w:sz w:val="22"/>
              </w:rPr>
            </w:pPr>
            <w:r>
              <w:rPr>
                <w:rFonts w:ascii="Calibri"/>
                <w:sz w:val="22"/>
              </w:rPr>
              <w:t>7.35</w:t>
            </w:r>
          </w:p>
        </w:tc>
      </w:tr>
      <w:tr>
        <w:trPr>
          <w:trHeight w:val="310" w:hRule="exact"/>
        </w:trPr>
        <w:tc>
          <w:tcPr>
            <w:tcW w:w="3582" w:type="dxa"/>
          </w:tcPr>
          <w:p>
            <w:pPr>
              <w:pStyle w:val="TableParagraph"/>
              <w:spacing w:before="48"/>
              <w:ind w:left="64"/>
              <w:jc w:val="left"/>
              <w:rPr>
                <w:b/>
                <w:sz w:val="16"/>
              </w:rPr>
            </w:pPr>
            <w:r>
              <w:rPr>
                <w:b/>
                <w:color w:val="333333"/>
                <w:sz w:val="16"/>
              </w:rPr>
              <w:t>JALTENCO</w:t>
            </w:r>
          </w:p>
        </w:tc>
        <w:tc>
          <w:tcPr>
            <w:tcW w:w="1001" w:type="dxa"/>
          </w:tcPr>
          <w:p>
            <w:pPr>
              <w:pStyle w:val="TableParagraph"/>
              <w:spacing w:before="25"/>
              <w:ind w:left="73" w:right="75"/>
              <w:rPr>
                <w:rFonts w:ascii="Calibri"/>
                <w:sz w:val="22"/>
              </w:rPr>
            </w:pPr>
            <w:r>
              <w:rPr>
                <w:rFonts w:ascii="Calibri"/>
                <w:sz w:val="22"/>
              </w:rPr>
              <w:t>9.30</w:t>
            </w:r>
          </w:p>
        </w:tc>
        <w:tc>
          <w:tcPr>
            <w:tcW w:w="1001" w:type="dxa"/>
          </w:tcPr>
          <w:p>
            <w:pPr>
              <w:pStyle w:val="TableParagraph"/>
              <w:spacing w:before="25"/>
              <w:ind w:left="73" w:right="75"/>
              <w:rPr>
                <w:rFonts w:ascii="Calibri"/>
                <w:sz w:val="22"/>
              </w:rPr>
            </w:pPr>
            <w:r>
              <w:rPr>
                <w:rFonts w:ascii="Calibri"/>
                <w:sz w:val="22"/>
              </w:rPr>
              <w:t>9.53</w:t>
            </w:r>
          </w:p>
        </w:tc>
      </w:tr>
      <w:tr>
        <w:trPr>
          <w:trHeight w:val="310" w:hRule="exact"/>
        </w:trPr>
        <w:tc>
          <w:tcPr>
            <w:tcW w:w="3582" w:type="dxa"/>
          </w:tcPr>
          <w:p>
            <w:pPr>
              <w:pStyle w:val="TableParagraph"/>
              <w:spacing w:before="49"/>
              <w:ind w:left="64"/>
              <w:jc w:val="left"/>
              <w:rPr>
                <w:b/>
                <w:sz w:val="16"/>
              </w:rPr>
            </w:pPr>
            <w:r>
              <w:rPr>
                <w:b/>
                <w:color w:val="333333"/>
                <w:sz w:val="16"/>
              </w:rPr>
              <w:t>JILOTEPEC</w:t>
            </w:r>
          </w:p>
        </w:tc>
        <w:tc>
          <w:tcPr>
            <w:tcW w:w="1001" w:type="dxa"/>
          </w:tcPr>
          <w:p>
            <w:pPr>
              <w:pStyle w:val="TableParagraph"/>
              <w:spacing w:before="26"/>
              <w:ind w:left="73" w:right="75"/>
              <w:rPr>
                <w:rFonts w:ascii="Calibri"/>
                <w:sz w:val="22"/>
              </w:rPr>
            </w:pPr>
            <w:r>
              <w:rPr>
                <w:rFonts w:ascii="Calibri"/>
                <w:sz w:val="22"/>
              </w:rPr>
              <w:t>7.10</w:t>
            </w:r>
          </w:p>
        </w:tc>
        <w:tc>
          <w:tcPr>
            <w:tcW w:w="1001" w:type="dxa"/>
          </w:tcPr>
          <w:p>
            <w:pPr>
              <w:pStyle w:val="TableParagraph"/>
              <w:spacing w:before="26"/>
              <w:ind w:left="73" w:right="75"/>
              <w:rPr>
                <w:rFonts w:ascii="Calibri"/>
                <w:sz w:val="22"/>
              </w:rPr>
            </w:pPr>
            <w:r>
              <w:rPr>
                <w:rFonts w:ascii="Calibri"/>
                <w:sz w:val="22"/>
              </w:rPr>
              <w:t>7.72</w:t>
            </w:r>
          </w:p>
        </w:tc>
      </w:tr>
      <w:tr>
        <w:trPr>
          <w:trHeight w:val="310" w:hRule="exact"/>
        </w:trPr>
        <w:tc>
          <w:tcPr>
            <w:tcW w:w="3582" w:type="dxa"/>
          </w:tcPr>
          <w:p>
            <w:pPr>
              <w:pStyle w:val="TableParagraph"/>
              <w:spacing w:before="51"/>
              <w:ind w:left="64"/>
              <w:jc w:val="left"/>
              <w:rPr>
                <w:b/>
                <w:sz w:val="16"/>
              </w:rPr>
            </w:pPr>
            <w:r>
              <w:rPr>
                <w:b/>
                <w:color w:val="333333"/>
                <w:sz w:val="16"/>
              </w:rPr>
              <w:t>JILOTZINGO</w:t>
            </w:r>
          </w:p>
        </w:tc>
        <w:tc>
          <w:tcPr>
            <w:tcW w:w="1001" w:type="dxa"/>
          </w:tcPr>
          <w:p>
            <w:pPr>
              <w:pStyle w:val="TableParagraph"/>
              <w:spacing w:before="25"/>
              <w:ind w:left="73" w:right="75"/>
              <w:rPr>
                <w:rFonts w:ascii="Calibri"/>
                <w:sz w:val="22"/>
              </w:rPr>
            </w:pPr>
            <w:r>
              <w:rPr>
                <w:rFonts w:ascii="Calibri"/>
                <w:sz w:val="22"/>
              </w:rPr>
              <w:t>7.80</w:t>
            </w:r>
          </w:p>
        </w:tc>
        <w:tc>
          <w:tcPr>
            <w:tcW w:w="1001" w:type="dxa"/>
          </w:tcPr>
          <w:p>
            <w:pPr>
              <w:pStyle w:val="TableParagraph"/>
              <w:spacing w:before="25"/>
              <w:ind w:left="73" w:right="75"/>
              <w:rPr>
                <w:rFonts w:ascii="Calibri"/>
                <w:sz w:val="22"/>
              </w:rPr>
            </w:pPr>
            <w:r>
              <w:rPr>
                <w:rFonts w:ascii="Calibri"/>
                <w:sz w:val="22"/>
              </w:rPr>
              <w:t>8.22</w:t>
            </w:r>
          </w:p>
        </w:tc>
      </w:tr>
      <w:tr>
        <w:trPr>
          <w:trHeight w:val="312" w:hRule="exact"/>
        </w:trPr>
        <w:tc>
          <w:tcPr>
            <w:tcW w:w="3582" w:type="dxa"/>
          </w:tcPr>
          <w:p>
            <w:pPr>
              <w:pStyle w:val="TableParagraph"/>
              <w:spacing w:before="51"/>
              <w:ind w:left="64"/>
              <w:jc w:val="left"/>
              <w:rPr>
                <w:b/>
                <w:sz w:val="16"/>
              </w:rPr>
            </w:pPr>
            <w:r>
              <w:rPr>
                <w:b/>
                <w:color w:val="333333"/>
                <w:sz w:val="16"/>
              </w:rPr>
              <w:t>JIQUIPILCO</w:t>
            </w:r>
          </w:p>
        </w:tc>
        <w:tc>
          <w:tcPr>
            <w:tcW w:w="1001" w:type="dxa"/>
          </w:tcPr>
          <w:p>
            <w:pPr>
              <w:pStyle w:val="TableParagraph"/>
              <w:spacing w:before="27"/>
              <w:ind w:left="73" w:right="75"/>
              <w:rPr>
                <w:rFonts w:ascii="Calibri"/>
                <w:sz w:val="22"/>
              </w:rPr>
            </w:pPr>
            <w:r>
              <w:rPr>
                <w:rFonts w:ascii="Calibri"/>
                <w:sz w:val="22"/>
              </w:rPr>
              <w:t>6.30</w:t>
            </w:r>
          </w:p>
        </w:tc>
        <w:tc>
          <w:tcPr>
            <w:tcW w:w="1001" w:type="dxa"/>
          </w:tcPr>
          <w:p>
            <w:pPr>
              <w:pStyle w:val="TableParagraph"/>
              <w:spacing w:before="27"/>
              <w:ind w:left="73" w:right="75"/>
              <w:rPr>
                <w:rFonts w:ascii="Calibri"/>
                <w:sz w:val="22"/>
              </w:rPr>
            </w:pPr>
            <w:r>
              <w:rPr>
                <w:rFonts w:ascii="Calibri"/>
                <w:sz w:val="22"/>
              </w:rPr>
              <w:t>7.00</w:t>
            </w:r>
          </w:p>
        </w:tc>
      </w:tr>
      <w:tr>
        <w:trPr>
          <w:trHeight w:val="310" w:hRule="exact"/>
        </w:trPr>
        <w:tc>
          <w:tcPr>
            <w:tcW w:w="3582" w:type="dxa"/>
          </w:tcPr>
          <w:p>
            <w:pPr>
              <w:pStyle w:val="TableParagraph"/>
              <w:spacing w:before="48"/>
              <w:ind w:left="64"/>
              <w:jc w:val="left"/>
              <w:rPr>
                <w:b/>
                <w:sz w:val="16"/>
              </w:rPr>
            </w:pPr>
            <w:r>
              <w:rPr>
                <w:b/>
                <w:color w:val="333333"/>
                <w:sz w:val="16"/>
              </w:rPr>
              <w:t>JOCOTITLAN</w:t>
            </w:r>
          </w:p>
        </w:tc>
        <w:tc>
          <w:tcPr>
            <w:tcW w:w="1001" w:type="dxa"/>
          </w:tcPr>
          <w:p>
            <w:pPr>
              <w:pStyle w:val="TableParagraph"/>
              <w:spacing w:before="25"/>
              <w:ind w:left="73" w:right="75"/>
              <w:rPr>
                <w:rFonts w:ascii="Calibri"/>
                <w:sz w:val="22"/>
              </w:rPr>
            </w:pPr>
            <w:r>
              <w:rPr>
                <w:rFonts w:ascii="Calibri"/>
                <w:sz w:val="22"/>
              </w:rPr>
              <w:t>7.60</w:t>
            </w:r>
          </w:p>
        </w:tc>
        <w:tc>
          <w:tcPr>
            <w:tcW w:w="1001" w:type="dxa"/>
          </w:tcPr>
          <w:p>
            <w:pPr>
              <w:pStyle w:val="TableParagraph"/>
              <w:spacing w:before="25"/>
              <w:ind w:left="73" w:right="75"/>
              <w:rPr>
                <w:rFonts w:ascii="Calibri"/>
                <w:sz w:val="22"/>
              </w:rPr>
            </w:pPr>
            <w:r>
              <w:rPr>
                <w:rFonts w:ascii="Calibri"/>
                <w:sz w:val="22"/>
              </w:rPr>
              <w:t>8.20</w:t>
            </w:r>
          </w:p>
        </w:tc>
      </w:tr>
      <w:tr>
        <w:trPr>
          <w:trHeight w:val="310" w:hRule="exact"/>
        </w:trPr>
        <w:tc>
          <w:tcPr>
            <w:tcW w:w="3582" w:type="dxa"/>
          </w:tcPr>
          <w:p>
            <w:pPr>
              <w:pStyle w:val="TableParagraph"/>
              <w:spacing w:before="48"/>
              <w:ind w:left="64"/>
              <w:jc w:val="left"/>
              <w:rPr>
                <w:b/>
                <w:sz w:val="16"/>
              </w:rPr>
            </w:pPr>
            <w:r>
              <w:rPr>
                <w:b/>
                <w:color w:val="333333"/>
                <w:sz w:val="16"/>
              </w:rPr>
              <w:t>JOQUICINGO</w:t>
            </w:r>
          </w:p>
        </w:tc>
        <w:tc>
          <w:tcPr>
            <w:tcW w:w="1001" w:type="dxa"/>
          </w:tcPr>
          <w:p>
            <w:pPr>
              <w:pStyle w:val="TableParagraph"/>
              <w:spacing w:before="25"/>
              <w:ind w:left="73" w:right="75"/>
              <w:rPr>
                <w:rFonts w:ascii="Calibri"/>
                <w:sz w:val="22"/>
              </w:rPr>
            </w:pPr>
            <w:r>
              <w:rPr>
                <w:rFonts w:ascii="Calibri"/>
                <w:sz w:val="22"/>
              </w:rPr>
              <w:t>6.90</w:t>
            </w:r>
          </w:p>
        </w:tc>
        <w:tc>
          <w:tcPr>
            <w:tcW w:w="1001" w:type="dxa"/>
          </w:tcPr>
          <w:p>
            <w:pPr>
              <w:pStyle w:val="TableParagraph"/>
              <w:spacing w:before="25"/>
              <w:ind w:left="73" w:right="75"/>
              <w:rPr>
                <w:rFonts w:ascii="Calibri"/>
                <w:sz w:val="22"/>
              </w:rPr>
            </w:pPr>
            <w:r>
              <w:rPr>
                <w:rFonts w:ascii="Calibri"/>
                <w:sz w:val="22"/>
              </w:rPr>
              <w:t>7.47</w:t>
            </w:r>
          </w:p>
        </w:tc>
      </w:tr>
      <w:tr>
        <w:trPr>
          <w:trHeight w:val="310" w:hRule="exact"/>
        </w:trPr>
        <w:tc>
          <w:tcPr>
            <w:tcW w:w="3582" w:type="dxa"/>
          </w:tcPr>
          <w:p>
            <w:pPr>
              <w:pStyle w:val="TableParagraph"/>
              <w:spacing w:before="48"/>
              <w:ind w:left="64"/>
              <w:jc w:val="left"/>
              <w:rPr>
                <w:b/>
                <w:sz w:val="16"/>
              </w:rPr>
            </w:pPr>
            <w:r>
              <w:rPr>
                <w:b/>
                <w:color w:val="333333"/>
                <w:sz w:val="16"/>
              </w:rPr>
              <w:t>JUCHITEPEC</w:t>
            </w:r>
          </w:p>
        </w:tc>
        <w:tc>
          <w:tcPr>
            <w:tcW w:w="1001" w:type="dxa"/>
          </w:tcPr>
          <w:p>
            <w:pPr>
              <w:pStyle w:val="TableParagraph"/>
              <w:spacing w:before="25"/>
              <w:ind w:left="73" w:right="75"/>
              <w:rPr>
                <w:rFonts w:ascii="Calibri"/>
                <w:sz w:val="22"/>
              </w:rPr>
            </w:pPr>
            <w:r>
              <w:rPr>
                <w:rFonts w:ascii="Calibri"/>
                <w:sz w:val="22"/>
              </w:rPr>
              <w:t>7.40</w:t>
            </w:r>
          </w:p>
        </w:tc>
        <w:tc>
          <w:tcPr>
            <w:tcW w:w="1001" w:type="dxa"/>
          </w:tcPr>
          <w:p>
            <w:pPr>
              <w:pStyle w:val="TableParagraph"/>
              <w:spacing w:before="25"/>
              <w:ind w:left="73" w:right="75"/>
              <w:rPr>
                <w:rFonts w:ascii="Calibri"/>
                <w:sz w:val="22"/>
              </w:rPr>
            </w:pPr>
            <w:r>
              <w:rPr>
                <w:rFonts w:ascii="Calibri"/>
                <w:sz w:val="22"/>
              </w:rPr>
              <w:t>7.82</w:t>
            </w:r>
          </w:p>
        </w:tc>
      </w:tr>
      <w:tr>
        <w:trPr>
          <w:trHeight w:val="310" w:hRule="exact"/>
        </w:trPr>
        <w:tc>
          <w:tcPr>
            <w:tcW w:w="3582" w:type="dxa"/>
          </w:tcPr>
          <w:p>
            <w:pPr>
              <w:pStyle w:val="TableParagraph"/>
              <w:spacing w:before="48"/>
              <w:ind w:left="64"/>
              <w:jc w:val="left"/>
              <w:rPr>
                <w:b/>
                <w:sz w:val="16"/>
              </w:rPr>
            </w:pPr>
            <w:r>
              <w:rPr>
                <w:b/>
                <w:color w:val="333333"/>
                <w:sz w:val="16"/>
              </w:rPr>
              <w:t>LA PAZ</w:t>
            </w:r>
          </w:p>
        </w:tc>
        <w:tc>
          <w:tcPr>
            <w:tcW w:w="1001" w:type="dxa"/>
          </w:tcPr>
          <w:p>
            <w:pPr>
              <w:pStyle w:val="TableParagraph"/>
              <w:spacing w:before="25"/>
              <w:ind w:left="73" w:right="75"/>
              <w:rPr>
                <w:rFonts w:ascii="Calibri"/>
                <w:sz w:val="22"/>
              </w:rPr>
            </w:pPr>
            <w:r>
              <w:rPr>
                <w:rFonts w:ascii="Calibri"/>
                <w:sz w:val="22"/>
              </w:rPr>
              <w:t>8.30</w:t>
            </w:r>
          </w:p>
        </w:tc>
        <w:tc>
          <w:tcPr>
            <w:tcW w:w="1001" w:type="dxa"/>
          </w:tcPr>
          <w:p>
            <w:pPr>
              <w:pStyle w:val="TableParagraph"/>
              <w:spacing w:before="25"/>
              <w:ind w:left="73" w:right="75"/>
              <w:rPr>
                <w:rFonts w:ascii="Calibri"/>
                <w:sz w:val="22"/>
              </w:rPr>
            </w:pPr>
            <w:r>
              <w:rPr>
                <w:rFonts w:ascii="Calibri"/>
                <w:sz w:val="22"/>
              </w:rPr>
              <w:t>8.69</w:t>
            </w:r>
          </w:p>
        </w:tc>
      </w:tr>
      <w:tr>
        <w:trPr>
          <w:trHeight w:val="310" w:hRule="exact"/>
        </w:trPr>
        <w:tc>
          <w:tcPr>
            <w:tcW w:w="3582" w:type="dxa"/>
          </w:tcPr>
          <w:p>
            <w:pPr>
              <w:pStyle w:val="TableParagraph"/>
              <w:spacing w:before="51"/>
              <w:ind w:left="64"/>
              <w:jc w:val="left"/>
              <w:rPr>
                <w:b/>
                <w:sz w:val="16"/>
              </w:rPr>
            </w:pPr>
            <w:r>
              <w:rPr>
                <w:b/>
                <w:color w:val="333333"/>
                <w:sz w:val="16"/>
              </w:rPr>
              <w:t>LERMA</w:t>
            </w:r>
          </w:p>
        </w:tc>
        <w:tc>
          <w:tcPr>
            <w:tcW w:w="1001" w:type="dxa"/>
          </w:tcPr>
          <w:p>
            <w:pPr>
              <w:pStyle w:val="TableParagraph"/>
              <w:spacing w:before="25"/>
              <w:ind w:left="73" w:right="75"/>
              <w:rPr>
                <w:rFonts w:ascii="Calibri"/>
                <w:sz w:val="22"/>
              </w:rPr>
            </w:pPr>
            <w:r>
              <w:rPr>
                <w:rFonts w:ascii="Calibri"/>
                <w:sz w:val="22"/>
              </w:rPr>
              <w:t>8.40</w:t>
            </w:r>
          </w:p>
        </w:tc>
        <w:tc>
          <w:tcPr>
            <w:tcW w:w="1001" w:type="dxa"/>
          </w:tcPr>
          <w:p>
            <w:pPr>
              <w:pStyle w:val="TableParagraph"/>
              <w:spacing w:before="25"/>
              <w:ind w:left="73" w:right="75"/>
              <w:rPr>
                <w:rFonts w:ascii="Calibri"/>
                <w:sz w:val="22"/>
              </w:rPr>
            </w:pPr>
            <w:r>
              <w:rPr>
                <w:rFonts w:ascii="Calibri"/>
                <w:sz w:val="22"/>
              </w:rPr>
              <w:t>9.03</w:t>
            </w:r>
          </w:p>
        </w:tc>
      </w:tr>
      <w:tr>
        <w:trPr>
          <w:trHeight w:val="312" w:hRule="exact"/>
        </w:trPr>
        <w:tc>
          <w:tcPr>
            <w:tcW w:w="3582" w:type="dxa"/>
          </w:tcPr>
          <w:p>
            <w:pPr>
              <w:pStyle w:val="TableParagraph"/>
              <w:spacing w:before="51"/>
              <w:ind w:left="64"/>
              <w:jc w:val="left"/>
              <w:rPr>
                <w:b/>
                <w:sz w:val="16"/>
              </w:rPr>
            </w:pPr>
            <w:r>
              <w:rPr>
                <w:b/>
                <w:color w:val="333333"/>
                <w:sz w:val="16"/>
              </w:rPr>
              <w:t>LUVIANOS</w:t>
            </w:r>
          </w:p>
        </w:tc>
        <w:tc>
          <w:tcPr>
            <w:tcW w:w="1001" w:type="dxa"/>
          </w:tcPr>
          <w:p>
            <w:pPr>
              <w:pStyle w:val="TableParagraph"/>
              <w:spacing w:before="27"/>
              <w:ind w:left="73" w:right="75"/>
              <w:rPr>
                <w:rFonts w:ascii="Calibri"/>
                <w:sz w:val="22"/>
              </w:rPr>
            </w:pPr>
            <w:r>
              <w:rPr>
                <w:rFonts w:ascii="Calibri"/>
                <w:sz w:val="22"/>
              </w:rPr>
              <w:t>5.00</w:t>
            </w:r>
          </w:p>
        </w:tc>
        <w:tc>
          <w:tcPr>
            <w:tcW w:w="1001" w:type="dxa"/>
          </w:tcPr>
          <w:p>
            <w:pPr>
              <w:pStyle w:val="TableParagraph"/>
              <w:spacing w:before="27"/>
              <w:ind w:left="73" w:right="75"/>
              <w:rPr>
                <w:rFonts w:ascii="Calibri"/>
                <w:sz w:val="22"/>
              </w:rPr>
            </w:pPr>
            <w:r>
              <w:rPr>
                <w:rFonts w:ascii="Calibri"/>
                <w:sz w:val="22"/>
              </w:rPr>
              <w:t>5.61</w:t>
            </w:r>
          </w:p>
        </w:tc>
      </w:tr>
      <w:tr>
        <w:trPr>
          <w:trHeight w:val="310" w:hRule="exact"/>
        </w:trPr>
        <w:tc>
          <w:tcPr>
            <w:tcW w:w="3582" w:type="dxa"/>
          </w:tcPr>
          <w:p>
            <w:pPr>
              <w:pStyle w:val="TableParagraph"/>
              <w:spacing w:before="48"/>
              <w:ind w:left="64"/>
              <w:jc w:val="left"/>
              <w:rPr>
                <w:b/>
                <w:sz w:val="16"/>
              </w:rPr>
            </w:pPr>
            <w:r>
              <w:rPr>
                <w:b/>
                <w:color w:val="333333"/>
                <w:sz w:val="16"/>
              </w:rPr>
              <w:t>MALINALCO</w:t>
            </w:r>
          </w:p>
        </w:tc>
        <w:tc>
          <w:tcPr>
            <w:tcW w:w="1001" w:type="dxa"/>
          </w:tcPr>
          <w:p>
            <w:pPr>
              <w:pStyle w:val="TableParagraph"/>
              <w:spacing w:before="25"/>
              <w:ind w:left="73" w:right="75"/>
              <w:rPr>
                <w:rFonts w:ascii="Calibri"/>
                <w:sz w:val="22"/>
              </w:rPr>
            </w:pPr>
            <w:r>
              <w:rPr>
                <w:rFonts w:ascii="Calibri"/>
                <w:sz w:val="22"/>
              </w:rPr>
              <w:t>6.20</w:t>
            </w:r>
          </w:p>
        </w:tc>
        <w:tc>
          <w:tcPr>
            <w:tcW w:w="1001" w:type="dxa"/>
          </w:tcPr>
          <w:p>
            <w:pPr>
              <w:pStyle w:val="TableParagraph"/>
              <w:spacing w:before="25"/>
              <w:ind w:left="73" w:right="75"/>
              <w:rPr>
                <w:rFonts w:ascii="Calibri"/>
                <w:sz w:val="22"/>
              </w:rPr>
            </w:pPr>
            <w:r>
              <w:rPr>
                <w:rFonts w:ascii="Calibri"/>
                <w:sz w:val="22"/>
              </w:rPr>
              <w:t>6.79</w:t>
            </w:r>
          </w:p>
        </w:tc>
      </w:tr>
      <w:tr>
        <w:trPr>
          <w:trHeight w:val="310" w:hRule="exact"/>
        </w:trPr>
        <w:tc>
          <w:tcPr>
            <w:tcW w:w="3582" w:type="dxa"/>
          </w:tcPr>
          <w:p>
            <w:pPr>
              <w:pStyle w:val="TableParagraph"/>
              <w:spacing w:before="48"/>
              <w:ind w:left="64"/>
              <w:jc w:val="left"/>
              <w:rPr>
                <w:b/>
                <w:sz w:val="16"/>
              </w:rPr>
            </w:pPr>
            <w:r>
              <w:rPr>
                <w:b/>
                <w:color w:val="333333"/>
                <w:sz w:val="16"/>
              </w:rPr>
              <w:t>MELCHOR OCAMPO</w:t>
            </w:r>
          </w:p>
        </w:tc>
        <w:tc>
          <w:tcPr>
            <w:tcW w:w="1001" w:type="dxa"/>
          </w:tcPr>
          <w:p>
            <w:pPr>
              <w:pStyle w:val="TableParagraph"/>
              <w:spacing w:before="25"/>
              <w:ind w:left="73" w:right="75"/>
              <w:rPr>
                <w:rFonts w:ascii="Calibri"/>
                <w:sz w:val="22"/>
              </w:rPr>
            </w:pPr>
            <w:r>
              <w:rPr>
                <w:rFonts w:ascii="Calibri"/>
                <w:sz w:val="22"/>
              </w:rPr>
              <w:t>8.40</w:t>
            </w:r>
          </w:p>
        </w:tc>
        <w:tc>
          <w:tcPr>
            <w:tcW w:w="1001" w:type="dxa"/>
          </w:tcPr>
          <w:p>
            <w:pPr>
              <w:pStyle w:val="TableParagraph"/>
              <w:spacing w:before="25"/>
              <w:ind w:left="73" w:right="75"/>
              <w:rPr>
                <w:rFonts w:ascii="Calibri"/>
                <w:sz w:val="22"/>
              </w:rPr>
            </w:pPr>
            <w:r>
              <w:rPr>
                <w:rFonts w:ascii="Calibri"/>
                <w:sz w:val="22"/>
              </w:rPr>
              <w:t>9.04</w:t>
            </w:r>
          </w:p>
        </w:tc>
      </w:tr>
      <w:tr>
        <w:trPr>
          <w:trHeight w:val="310" w:hRule="exact"/>
        </w:trPr>
        <w:tc>
          <w:tcPr>
            <w:tcW w:w="3582" w:type="dxa"/>
          </w:tcPr>
          <w:p>
            <w:pPr>
              <w:pStyle w:val="TableParagraph"/>
              <w:spacing w:before="49"/>
              <w:ind w:left="64"/>
              <w:jc w:val="left"/>
              <w:rPr>
                <w:b/>
                <w:sz w:val="16"/>
              </w:rPr>
            </w:pPr>
            <w:r>
              <w:rPr>
                <w:b/>
                <w:color w:val="333333"/>
                <w:sz w:val="16"/>
              </w:rPr>
              <w:t>METEPEC</w:t>
            </w:r>
          </w:p>
        </w:tc>
        <w:tc>
          <w:tcPr>
            <w:tcW w:w="1001" w:type="dxa"/>
          </w:tcPr>
          <w:p>
            <w:pPr>
              <w:pStyle w:val="TableParagraph"/>
              <w:spacing w:before="25"/>
              <w:ind w:left="73" w:right="74"/>
              <w:rPr>
                <w:rFonts w:ascii="Calibri"/>
                <w:sz w:val="22"/>
              </w:rPr>
            </w:pPr>
            <w:r>
              <w:rPr>
                <w:rFonts w:ascii="Calibri"/>
                <w:sz w:val="22"/>
              </w:rPr>
              <w:t>10.90</w:t>
            </w:r>
          </w:p>
        </w:tc>
        <w:tc>
          <w:tcPr>
            <w:tcW w:w="1001" w:type="dxa"/>
          </w:tcPr>
          <w:p>
            <w:pPr>
              <w:pStyle w:val="TableParagraph"/>
              <w:spacing w:before="25"/>
              <w:ind w:left="73" w:right="74"/>
              <w:rPr>
                <w:rFonts w:ascii="Calibri"/>
                <w:sz w:val="22"/>
              </w:rPr>
            </w:pPr>
            <w:r>
              <w:rPr>
                <w:rFonts w:ascii="Calibri"/>
                <w:sz w:val="22"/>
              </w:rPr>
              <w:t>11.37</w:t>
            </w:r>
          </w:p>
        </w:tc>
      </w:tr>
      <w:tr>
        <w:trPr>
          <w:trHeight w:val="310" w:hRule="exact"/>
        </w:trPr>
        <w:tc>
          <w:tcPr>
            <w:tcW w:w="3582" w:type="dxa"/>
          </w:tcPr>
          <w:p>
            <w:pPr>
              <w:pStyle w:val="TableParagraph"/>
              <w:spacing w:before="48"/>
              <w:ind w:left="64"/>
              <w:jc w:val="left"/>
              <w:rPr>
                <w:b/>
                <w:sz w:val="16"/>
              </w:rPr>
            </w:pPr>
            <w:r>
              <w:rPr>
                <w:b/>
                <w:color w:val="333333"/>
                <w:sz w:val="16"/>
              </w:rPr>
              <w:t>MEXICALTCINGO</w:t>
            </w:r>
          </w:p>
        </w:tc>
        <w:tc>
          <w:tcPr>
            <w:tcW w:w="1001" w:type="dxa"/>
          </w:tcPr>
          <w:p>
            <w:pPr>
              <w:pStyle w:val="TableParagraph"/>
              <w:spacing w:before="25"/>
              <w:ind w:left="73" w:right="75"/>
              <w:rPr>
                <w:rFonts w:ascii="Calibri"/>
                <w:sz w:val="22"/>
              </w:rPr>
            </w:pPr>
            <w:r>
              <w:rPr>
                <w:rFonts w:ascii="Calibri"/>
                <w:sz w:val="22"/>
              </w:rPr>
              <w:t>8.50</w:t>
            </w:r>
          </w:p>
        </w:tc>
        <w:tc>
          <w:tcPr>
            <w:tcW w:w="1001" w:type="dxa"/>
          </w:tcPr>
          <w:p>
            <w:pPr>
              <w:pStyle w:val="TableParagraph"/>
              <w:spacing w:before="25"/>
              <w:ind w:left="73" w:right="75"/>
              <w:rPr>
                <w:rFonts w:ascii="Calibri"/>
                <w:sz w:val="22"/>
              </w:rPr>
            </w:pPr>
            <w:r>
              <w:rPr>
                <w:rFonts w:ascii="Calibri"/>
                <w:sz w:val="22"/>
              </w:rPr>
              <w:t>9.15</w:t>
            </w:r>
          </w:p>
        </w:tc>
      </w:tr>
      <w:tr>
        <w:trPr>
          <w:trHeight w:val="310" w:hRule="exact"/>
        </w:trPr>
        <w:tc>
          <w:tcPr>
            <w:tcW w:w="3582" w:type="dxa"/>
          </w:tcPr>
          <w:p>
            <w:pPr>
              <w:pStyle w:val="TableParagraph"/>
              <w:spacing w:before="51"/>
              <w:ind w:left="64"/>
              <w:jc w:val="left"/>
              <w:rPr>
                <w:b/>
                <w:sz w:val="16"/>
              </w:rPr>
            </w:pPr>
            <w:r>
              <w:rPr>
                <w:b/>
                <w:color w:val="333333"/>
                <w:sz w:val="16"/>
              </w:rPr>
              <w:t>MORELOS</w:t>
            </w:r>
          </w:p>
        </w:tc>
        <w:tc>
          <w:tcPr>
            <w:tcW w:w="1001" w:type="dxa"/>
          </w:tcPr>
          <w:p>
            <w:pPr>
              <w:pStyle w:val="TableParagraph"/>
              <w:spacing w:before="25"/>
              <w:ind w:left="73" w:right="75"/>
              <w:rPr>
                <w:rFonts w:ascii="Calibri"/>
                <w:sz w:val="22"/>
              </w:rPr>
            </w:pPr>
            <w:r>
              <w:rPr>
                <w:rFonts w:ascii="Calibri"/>
                <w:sz w:val="22"/>
              </w:rPr>
              <w:t>5.60</w:t>
            </w:r>
          </w:p>
        </w:tc>
        <w:tc>
          <w:tcPr>
            <w:tcW w:w="1001" w:type="dxa"/>
          </w:tcPr>
          <w:p>
            <w:pPr>
              <w:pStyle w:val="TableParagraph"/>
              <w:spacing w:before="25"/>
              <w:ind w:left="73" w:right="75"/>
              <w:rPr>
                <w:rFonts w:ascii="Calibri"/>
                <w:sz w:val="22"/>
              </w:rPr>
            </w:pPr>
            <w:r>
              <w:rPr>
                <w:rFonts w:ascii="Calibri"/>
                <w:sz w:val="22"/>
              </w:rPr>
              <w:t>6.20</w:t>
            </w:r>
          </w:p>
        </w:tc>
      </w:tr>
      <w:tr>
        <w:trPr>
          <w:trHeight w:val="312" w:hRule="exact"/>
        </w:trPr>
        <w:tc>
          <w:tcPr>
            <w:tcW w:w="3582" w:type="dxa"/>
          </w:tcPr>
          <w:p>
            <w:pPr>
              <w:pStyle w:val="TableParagraph"/>
              <w:spacing w:before="51"/>
              <w:ind w:left="64"/>
              <w:jc w:val="left"/>
              <w:rPr>
                <w:b/>
                <w:sz w:val="16"/>
              </w:rPr>
            </w:pPr>
            <w:r>
              <w:rPr>
                <w:b/>
                <w:color w:val="333333"/>
                <w:sz w:val="16"/>
              </w:rPr>
              <w:t>NAUCALPAN DE JUAREZ</w:t>
            </w:r>
          </w:p>
        </w:tc>
        <w:tc>
          <w:tcPr>
            <w:tcW w:w="1001" w:type="dxa"/>
          </w:tcPr>
          <w:p>
            <w:pPr>
              <w:pStyle w:val="TableParagraph"/>
              <w:spacing w:before="27"/>
              <w:ind w:left="73" w:right="75"/>
              <w:rPr>
                <w:rFonts w:ascii="Calibri"/>
                <w:sz w:val="22"/>
              </w:rPr>
            </w:pPr>
            <w:r>
              <w:rPr>
                <w:rFonts w:ascii="Calibri"/>
                <w:sz w:val="22"/>
              </w:rPr>
              <w:t>9.40</w:t>
            </w:r>
          </w:p>
        </w:tc>
        <w:tc>
          <w:tcPr>
            <w:tcW w:w="1001" w:type="dxa"/>
          </w:tcPr>
          <w:p>
            <w:pPr>
              <w:pStyle w:val="TableParagraph"/>
              <w:spacing w:before="27"/>
              <w:ind w:left="73" w:right="75"/>
              <w:rPr>
                <w:rFonts w:ascii="Calibri"/>
                <w:sz w:val="22"/>
              </w:rPr>
            </w:pPr>
            <w:r>
              <w:rPr>
                <w:rFonts w:ascii="Calibri"/>
                <w:sz w:val="22"/>
              </w:rPr>
              <w:t>9.73</w:t>
            </w:r>
          </w:p>
        </w:tc>
      </w:tr>
      <w:tr>
        <w:trPr>
          <w:trHeight w:val="310" w:hRule="exact"/>
        </w:trPr>
        <w:tc>
          <w:tcPr>
            <w:tcW w:w="3582" w:type="dxa"/>
          </w:tcPr>
          <w:p>
            <w:pPr>
              <w:pStyle w:val="TableParagraph"/>
              <w:spacing w:before="48"/>
              <w:ind w:left="64"/>
              <w:jc w:val="left"/>
              <w:rPr>
                <w:b/>
                <w:sz w:val="16"/>
              </w:rPr>
            </w:pPr>
            <w:r>
              <w:rPr>
                <w:b/>
                <w:color w:val="333333"/>
                <w:sz w:val="16"/>
              </w:rPr>
              <w:t>NEXTLALPAN</w:t>
            </w:r>
          </w:p>
        </w:tc>
        <w:tc>
          <w:tcPr>
            <w:tcW w:w="1001" w:type="dxa"/>
          </w:tcPr>
          <w:p>
            <w:pPr>
              <w:pStyle w:val="TableParagraph"/>
              <w:spacing w:before="25"/>
              <w:ind w:left="73" w:right="75"/>
              <w:rPr>
                <w:rFonts w:ascii="Calibri"/>
                <w:sz w:val="22"/>
              </w:rPr>
            </w:pPr>
            <w:r>
              <w:rPr>
                <w:rFonts w:ascii="Calibri"/>
                <w:sz w:val="22"/>
              </w:rPr>
              <w:t>7.90</w:t>
            </w:r>
          </w:p>
        </w:tc>
        <w:tc>
          <w:tcPr>
            <w:tcW w:w="1001" w:type="dxa"/>
          </w:tcPr>
          <w:p>
            <w:pPr>
              <w:pStyle w:val="TableParagraph"/>
              <w:spacing w:before="25"/>
              <w:ind w:left="73" w:right="75"/>
              <w:rPr>
                <w:rFonts w:ascii="Calibri"/>
                <w:sz w:val="22"/>
              </w:rPr>
            </w:pPr>
            <w:r>
              <w:rPr>
                <w:rFonts w:ascii="Calibri"/>
                <w:sz w:val="22"/>
              </w:rPr>
              <w:t>9.50</w:t>
            </w:r>
          </w:p>
        </w:tc>
      </w:tr>
      <w:tr>
        <w:trPr>
          <w:trHeight w:val="310" w:hRule="exact"/>
        </w:trPr>
        <w:tc>
          <w:tcPr>
            <w:tcW w:w="3582" w:type="dxa"/>
          </w:tcPr>
          <w:p>
            <w:pPr>
              <w:pStyle w:val="TableParagraph"/>
              <w:spacing w:before="48"/>
              <w:ind w:left="64"/>
              <w:jc w:val="left"/>
              <w:rPr>
                <w:b/>
                <w:sz w:val="16"/>
              </w:rPr>
            </w:pPr>
            <w:r>
              <w:rPr>
                <w:b/>
                <w:color w:val="333333"/>
                <w:sz w:val="16"/>
              </w:rPr>
              <w:t>NEZAHUALCOYOTL</w:t>
            </w:r>
          </w:p>
        </w:tc>
        <w:tc>
          <w:tcPr>
            <w:tcW w:w="1001" w:type="dxa"/>
          </w:tcPr>
          <w:p>
            <w:pPr>
              <w:pStyle w:val="TableParagraph"/>
              <w:spacing w:before="25"/>
              <w:ind w:left="73" w:right="75"/>
              <w:rPr>
                <w:rFonts w:ascii="Calibri"/>
                <w:sz w:val="22"/>
              </w:rPr>
            </w:pPr>
            <w:r>
              <w:rPr>
                <w:rFonts w:ascii="Calibri"/>
                <w:sz w:val="22"/>
              </w:rPr>
              <w:t>9.10</w:t>
            </w:r>
          </w:p>
        </w:tc>
        <w:tc>
          <w:tcPr>
            <w:tcW w:w="1001" w:type="dxa"/>
          </w:tcPr>
          <w:p>
            <w:pPr>
              <w:pStyle w:val="TableParagraph"/>
              <w:spacing w:before="25"/>
              <w:ind w:left="73" w:right="75"/>
              <w:rPr>
                <w:rFonts w:ascii="Calibri"/>
                <w:sz w:val="22"/>
              </w:rPr>
            </w:pPr>
            <w:r>
              <w:rPr>
                <w:rFonts w:ascii="Calibri"/>
                <w:sz w:val="22"/>
              </w:rPr>
              <w:t>8.56</w:t>
            </w:r>
          </w:p>
        </w:tc>
      </w:tr>
      <w:tr>
        <w:trPr>
          <w:trHeight w:val="310" w:hRule="exact"/>
        </w:trPr>
        <w:tc>
          <w:tcPr>
            <w:tcW w:w="3582" w:type="dxa"/>
          </w:tcPr>
          <w:p>
            <w:pPr>
              <w:pStyle w:val="TableParagraph"/>
              <w:spacing w:before="48"/>
              <w:ind w:left="64"/>
              <w:jc w:val="left"/>
              <w:rPr>
                <w:b/>
                <w:sz w:val="16"/>
              </w:rPr>
            </w:pPr>
            <w:r>
              <w:rPr>
                <w:b/>
                <w:color w:val="333333"/>
                <w:sz w:val="16"/>
              </w:rPr>
              <w:t>NICOLAS ROMERO</w:t>
            </w:r>
          </w:p>
        </w:tc>
        <w:tc>
          <w:tcPr>
            <w:tcW w:w="1001" w:type="dxa"/>
          </w:tcPr>
          <w:p>
            <w:pPr>
              <w:pStyle w:val="TableParagraph"/>
              <w:spacing w:before="25"/>
              <w:ind w:left="73" w:right="75"/>
              <w:rPr>
                <w:rFonts w:ascii="Calibri"/>
                <w:sz w:val="22"/>
              </w:rPr>
            </w:pPr>
            <w:r>
              <w:rPr>
                <w:rFonts w:ascii="Calibri"/>
                <w:sz w:val="22"/>
              </w:rPr>
              <w:t>8.20</w:t>
            </w:r>
          </w:p>
        </w:tc>
        <w:tc>
          <w:tcPr>
            <w:tcW w:w="1001" w:type="dxa"/>
          </w:tcPr>
          <w:p>
            <w:pPr>
              <w:pStyle w:val="TableParagraph"/>
              <w:spacing w:before="25"/>
              <w:ind w:left="73" w:right="75"/>
              <w:rPr>
                <w:rFonts w:ascii="Calibri"/>
                <w:sz w:val="22"/>
              </w:rPr>
            </w:pPr>
            <w:r>
              <w:rPr>
                <w:rFonts w:ascii="Calibri"/>
                <w:sz w:val="22"/>
              </w:rPr>
              <w:t>8.70</w:t>
            </w:r>
          </w:p>
        </w:tc>
      </w:tr>
      <w:tr>
        <w:trPr>
          <w:trHeight w:val="310" w:hRule="exact"/>
        </w:trPr>
        <w:tc>
          <w:tcPr>
            <w:tcW w:w="3582" w:type="dxa"/>
          </w:tcPr>
          <w:p>
            <w:pPr>
              <w:pStyle w:val="TableParagraph"/>
              <w:spacing w:before="48"/>
              <w:ind w:left="64"/>
              <w:jc w:val="left"/>
              <w:rPr>
                <w:b/>
                <w:sz w:val="16"/>
              </w:rPr>
            </w:pPr>
            <w:r>
              <w:rPr>
                <w:b/>
                <w:color w:val="333333"/>
                <w:sz w:val="16"/>
              </w:rPr>
              <w:t>NOPALTEPEC</w:t>
            </w:r>
          </w:p>
        </w:tc>
        <w:tc>
          <w:tcPr>
            <w:tcW w:w="1001" w:type="dxa"/>
          </w:tcPr>
          <w:p>
            <w:pPr>
              <w:pStyle w:val="TableParagraph"/>
              <w:spacing w:before="25"/>
              <w:ind w:left="73" w:right="75"/>
              <w:rPr>
                <w:rFonts w:ascii="Calibri"/>
                <w:sz w:val="22"/>
              </w:rPr>
            </w:pPr>
            <w:r>
              <w:rPr>
                <w:rFonts w:ascii="Calibri"/>
                <w:sz w:val="22"/>
              </w:rPr>
              <w:t>7.60</w:t>
            </w:r>
          </w:p>
        </w:tc>
        <w:tc>
          <w:tcPr>
            <w:tcW w:w="1001" w:type="dxa"/>
          </w:tcPr>
          <w:p>
            <w:pPr>
              <w:pStyle w:val="TableParagraph"/>
              <w:spacing w:before="25"/>
              <w:ind w:left="73" w:right="74"/>
              <w:rPr>
                <w:rFonts w:ascii="Calibri"/>
                <w:sz w:val="22"/>
              </w:rPr>
            </w:pPr>
            <w:r>
              <w:rPr>
                <w:rFonts w:ascii="Calibri"/>
                <w:sz w:val="22"/>
              </w:rPr>
              <w:t>8.08</w:t>
            </w:r>
          </w:p>
        </w:tc>
      </w:tr>
      <w:tr>
        <w:trPr>
          <w:trHeight w:val="310" w:hRule="exact"/>
        </w:trPr>
        <w:tc>
          <w:tcPr>
            <w:tcW w:w="3582" w:type="dxa"/>
          </w:tcPr>
          <w:p>
            <w:pPr>
              <w:pStyle w:val="TableParagraph"/>
              <w:spacing w:before="51"/>
              <w:ind w:left="64"/>
              <w:jc w:val="left"/>
              <w:rPr>
                <w:b/>
                <w:sz w:val="16"/>
              </w:rPr>
            </w:pPr>
            <w:r>
              <w:rPr>
                <w:b/>
                <w:color w:val="333333"/>
                <w:sz w:val="16"/>
              </w:rPr>
              <w:t>OCOYOACAC</w:t>
            </w:r>
          </w:p>
        </w:tc>
        <w:tc>
          <w:tcPr>
            <w:tcW w:w="1001" w:type="dxa"/>
          </w:tcPr>
          <w:p>
            <w:pPr>
              <w:pStyle w:val="TableParagraph"/>
              <w:spacing w:before="25"/>
              <w:ind w:left="73" w:right="75"/>
              <w:rPr>
                <w:rFonts w:ascii="Calibri"/>
                <w:sz w:val="22"/>
              </w:rPr>
            </w:pPr>
            <w:r>
              <w:rPr>
                <w:rFonts w:ascii="Calibri"/>
                <w:sz w:val="22"/>
              </w:rPr>
              <w:t>8.70</w:t>
            </w:r>
          </w:p>
        </w:tc>
        <w:tc>
          <w:tcPr>
            <w:tcW w:w="1001" w:type="dxa"/>
          </w:tcPr>
          <w:p>
            <w:pPr>
              <w:pStyle w:val="TableParagraph"/>
              <w:spacing w:before="25"/>
              <w:ind w:left="73" w:right="75"/>
              <w:rPr>
                <w:rFonts w:ascii="Calibri"/>
                <w:sz w:val="22"/>
              </w:rPr>
            </w:pPr>
            <w:r>
              <w:rPr>
                <w:rFonts w:ascii="Calibri"/>
                <w:sz w:val="22"/>
              </w:rPr>
              <w:t>9.27</w:t>
            </w:r>
          </w:p>
        </w:tc>
      </w:tr>
      <w:tr>
        <w:trPr>
          <w:trHeight w:val="312" w:hRule="exact"/>
        </w:trPr>
        <w:tc>
          <w:tcPr>
            <w:tcW w:w="3582" w:type="dxa"/>
          </w:tcPr>
          <w:p>
            <w:pPr>
              <w:pStyle w:val="TableParagraph"/>
              <w:spacing w:before="51"/>
              <w:ind w:left="64"/>
              <w:jc w:val="left"/>
              <w:rPr>
                <w:b/>
                <w:sz w:val="16"/>
              </w:rPr>
            </w:pPr>
            <w:r>
              <w:rPr>
                <w:b/>
                <w:color w:val="333333"/>
                <w:sz w:val="16"/>
              </w:rPr>
              <w:t>OCUILAN</w:t>
            </w:r>
          </w:p>
        </w:tc>
        <w:tc>
          <w:tcPr>
            <w:tcW w:w="1001" w:type="dxa"/>
          </w:tcPr>
          <w:p>
            <w:pPr>
              <w:pStyle w:val="TableParagraph"/>
              <w:spacing w:before="27"/>
              <w:ind w:left="73" w:right="75"/>
              <w:rPr>
                <w:rFonts w:ascii="Calibri"/>
                <w:sz w:val="22"/>
              </w:rPr>
            </w:pPr>
            <w:r>
              <w:rPr>
                <w:rFonts w:ascii="Calibri"/>
                <w:sz w:val="22"/>
              </w:rPr>
              <w:t>6.20</w:t>
            </w:r>
          </w:p>
        </w:tc>
        <w:tc>
          <w:tcPr>
            <w:tcW w:w="1001" w:type="dxa"/>
          </w:tcPr>
          <w:p>
            <w:pPr>
              <w:pStyle w:val="TableParagraph"/>
              <w:spacing w:before="27"/>
              <w:ind w:left="73" w:right="75"/>
              <w:rPr>
                <w:rFonts w:ascii="Calibri"/>
                <w:sz w:val="22"/>
              </w:rPr>
            </w:pPr>
            <w:r>
              <w:rPr>
                <w:rFonts w:ascii="Calibri"/>
                <w:sz w:val="22"/>
              </w:rPr>
              <w:t>6.81</w:t>
            </w:r>
          </w:p>
        </w:tc>
      </w:tr>
      <w:tr>
        <w:trPr>
          <w:trHeight w:val="310" w:hRule="exact"/>
        </w:trPr>
        <w:tc>
          <w:tcPr>
            <w:tcW w:w="3582" w:type="dxa"/>
          </w:tcPr>
          <w:p>
            <w:pPr>
              <w:pStyle w:val="TableParagraph"/>
              <w:spacing w:before="48"/>
              <w:ind w:left="64"/>
              <w:jc w:val="left"/>
              <w:rPr>
                <w:b/>
                <w:sz w:val="16"/>
              </w:rPr>
            </w:pPr>
            <w:r>
              <w:rPr>
                <w:b/>
                <w:color w:val="333333"/>
                <w:sz w:val="16"/>
              </w:rPr>
              <w:t>OTUMBA</w:t>
            </w:r>
          </w:p>
        </w:tc>
        <w:tc>
          <w:tcPr>
            <w:tcW w:w="1001" w:type="dxa"/>
          </w:tcPr>
          <w:p>
            <w:pPr>
              <w:pStyle w:val="TableParagraph"/>
              <w:spacing w:before="25"/>
              <w:ind w:left="73" w:right="75"/>
              <w:rPr>
                <w:rFonts w:ascii="Calibri"/>
                <w:sz w:val="22"/>
              </w:rPr>
            </w:pPr>
            <w:r>
              <w:rPr>
                <w:rFonts w:ascii="Calibri"/>
                <w:sz w:val="22"/>
              </w:rPr>
              <w:t>7.60</w:t>
            </w:r>
          </w:p>
        </w:tc>
        <w:tc>
          <w:tcPr>
            <w:tcW w:w="1001" w:type="dxa"/>
          </w:tcPr>
          <w:p>
            <w:pPr>
              <w:pStyle w:val="TableParagraph"/>
              <w:spacing w:before="25"/>
              <w:ind w:left="73" w:right="75"/>
              <w:rPr>
                <w:rFonts w:ascii="Calibri"/>
                <w:sz w:val="22"/>
              </w:rPr>
            </w:pPr>
            <w:r>
              <w:rPr>
                <w:rFonts w:ascii="Calibri"/>
                <w:sz w:val="22"/>
              </w:rPr>
              <w:t>8.11</w:t>
            </w:r>
          </w:p>
        </w:tc>
      </w:tr>
      <w:tr>
        <w:trPr>
          <w:trHeight w:val="310" w:hRule="exact"/>
        </w:trPr>
        <w:tc>
          <w:tcPr>
            <w:tcW w:w="3582" w:type="dxa"/>
          </w:tcPr>
          <w:p>
            <w:pPr>
              <w:pStyle w:val="TableParagraph"/>
              <w:spacing w:before="48"/>
              <w:ind w:left="64"/>
              <w:jc w:val="left"/>
              <w:rPr>
                <w:b/>
                <w:sz w:val="16"/>
              </w:rPr>
            </w:pPr>
            <w:r>
              <w:rPr>
                <w:b/>
                <w:color w:val="333333"/>
                <w:sz w:val="16"/>
              </w:rPr>
              <w:t>OTZOLOAPAN</w:t>
            </w:r>
          </w:p>
        </w:tc>
        <w:tc>
          <w:tcPr>
            <w:tcW w:w="1001" w:type="dxa"/>
          </w:tcPr>
          <w:p>
            <w:pPr>
              <w:pStyle w:val="TableParagraph"/>
              <w:spacing w:before="26"/>
              <w:ind w:left="73" w:right="75"/>
              <w:rPr>
                <w:rFonts w:ascii="Calibri"/>
                <w:sz w:val="22"/>
              </w:rPr>
            </w:pPr>
            <w:r>
              <w:rPr>
                <w:rFonts w:ascii="Calibri"/>
                <w:sz w:val="22"/>
              </w:rPr>
              <w:t>5.30</w:t>
            </w:r>
          </w:p>
        </w:tc>
        <w:tc>
          <w:tcPr>
            <w:tcW w:w="1001" w:type="dxa"/>
          </w:tcPr>
          <w:p>
            <w:pPr>
              <w:pStyle w:val="TableParagraph"/>
              <w:spacing w:before="26"/>
              <w:ind w:left="73" w:right="75"/>
              <w:rPr>
                <w:rFonts w:ascii="Calibri"/>
                <w:sz w:val="22"/>
              </w:rPr>
            </w:pPr>
            <w:r>
              <w:rPr>
                <w:rFonts w:ascii="Calibri"/>
                <w:sz w:val="22"/>
              </w:rPr>
              <w:t>5.87</w:t>
            </w:r>
          </w:p>
        </w:tc>
      </w:tr>
      <w:tr>
        <w:trPr>
          <w:trHeight w:val="310" w:hRule="exact"/>
        </w:trPr>
        <w:tc>
          <w:tcPr>
            <w:tcW w:w="3582" w:type="dxa"/>
          </w:tcPr>
          <w:p>
            <w:pPr>
              <w:pStyle w:val="TableParagraph"/>
              <w:spacing w:before="48"/>
              <w:ind w:left="64"/>
              <w:jc w:val="left"/>
              <w:rPr>
                <w:b/>
                <w:sz w:val="16"/>
              </w:rPr>
            </w:pPr>
            <w:r>
              <w:rPr>
                <w:b/>
                <w:color w:val="333333"/>
                <w:sz w:val="16"/>
              </w:rPr>
              <w:t>OTZOLOTEPEC</w:t>
            </w:r>
          </w:p>
        </w:tc>
        <w:tc>
          <w:tcPr>
            <w:tcW w:w="1001" w:type="dxa"/>
          </w:tcPr>
          <w:p>
            <w:pPr>
              <w:pStyle w:val="TableParagraph"/>
              <w:spacing w:before="25"/>
              <w:ind w:left="73" w:right="75"/>
              <w:rPr>
                <w:rFonts w:ascii="Calibri"/>
                <w:sz w:val="22"/>
              </w:rPr>
            </w:pPr>
            <w:r>
              <w:rPr>
                <w:rFonts w:ascii="Calibri"/>
                <w:sz w:val="22"/>
              </w:rPr>
              <w:t>7.00</w:t>
            </w:r>
          </w:p>
        </w:tc>
        <w:tc>
          <w:tcPr>
            <w:tcW w:w="1001" w:type="dxa"/>
          </w:tcPr>
          <w:p>
            <w:pPr>
              <w:pStyle w:val="TableParagraph"/>
              <w:spacing w:before="25"/>
              <w:ind w:left="73" w:right="75"/>
              <w:rPr>
                <w:rFonts w:ascii="Calibri"/>
                <w:sz w:val="22"/>
              </w:rPr>
            </w:pPr>
            <w:r>
              <w:rPr>
                <w:rFonts w:ascii="Calibri"/>
                <w:sz w:val="22"/>
              </w:rPr>
              <w:t>7.44</w:t>
            </w:r>
          </w:p>
        </w:tc>
      </w:tr>
      <w:tr>
        <w:trPr>
          <w:trHeight w:val="310" w:hRule="exact"/>
        </w:trPr>
        <w:tc>
          <w:tcPr>
            <w:tcW w:w="3582" w:type="dxa"/>
          </w:tcPr>
          <w:p>
            <w:pPr>
              <w:pStyle w:val="TableParagraph"/>
              <w:spacing w:before="48"/>
              <w:ind w:left="64"/>
              <w:jc w:val="left"/>
              <w:rPr>
                <w:b/>
                <w:sz w:val="16"/>
              </w:rPr>
            </w:pPr>
            <w:r>
              <w:rPr>
                <w:b/>
                <w:color w:val="333333"/>
                <w:sz w:val="16"/>
              </w:rPr>
              <w:t>OZUMBA</w:t>
            </w:r>
          </w:p>
        </w:tc>
        <w:tc>
          <w:tcPr>
            <w:tcW w:w="1001" w:type="dxa"/>
          </w:tcPr>
          <w:p>
            <w:pPr>
              <w:pStyle w:val="TableParagraph"/>
              <w:spacing w:before="25"/>
              <w:ind w:left="73" w:right="75"/>
              <w:rPr>
                <w:rFonts w:ascii="Calibri"/>
                <w:sz w:val="22"/>
              </w:rPr>
            </w:pPr>
            <w:r>
              <w:rPr>
                <w:rFonts w:ascii="Calibri"/>
                <w:sz w:val="22"/>
              </w:rPr>
              <w:t>8.30</w:t>
            </w:r>
          </w:p>
        </w:tc>
        <w:tc>
          <w:tcPr>
            <w:tcW w:w="1001" w:type="dxa"/>
          </w:tcPr>
          <w:p>
            <w:pPr>
              <w:pStyle w:val="TableParagraph"/>
              <w:spacing w:before="25"/>
              <w:ind w:left="73" w:right="75"/>
              <w:rPr>
                <w:rFonts w:ascii="Calibri"/>
                <w:sz w:val="22"/>
              </w:rPr>
            </w:pPr>
            <w:r>
              <w:rPr>
                <w:rFonts w:ascii="Calibri"/>
                <w:sz w:val="22"/>
              </w:rPr>
              <w:t>8.55</w:t>
            </w:r>
          </w:p>
        </w:tc>
      </w:tr>
      <w:tr>
        <w:trPr>
          <w:trHeight w:val="310" w:hRule="exact"/>
        </w:trPr>
        <w:tc>
          <w:tcPr>
            <w:tcW w:w="3582" w:type="dxa"/>
          </w:tcPr>
          <w:p>
            <w:pPr>
              <w:pStyle w:val="TableParagraph"/>
              <w:spacing w:before="51"/>
              <w:ind w:left="64"/>
              <w:jc w:val="left"/>
              <w:rPr>
                <w:b/>
                <w:sz w:val="16"/>
              </w:rPr>
            </w:pPr>
            <w:r>
              <w:rPr>
                <w:b/>
                <w:color w:val="333333"/>
                <w:sz w:val="16"/>
              </w:rPr>
              <w:t>PAPALOTLA</w:t>
            </w:r>
          </w:p>
        </w:tc>
        <w:tc>
          <w:tcPr>
            <w:tcW w:w="1001" w:type="dxa"/>
          </w:tcPr>
          <w:p>
            <w:pPr>
              <w:pStyle w:val="TableParagraph"/>
              <w:spacing w:before="25"/>
              <w:ind w:left="73" w:right="75"/>
              <w:rPr>
                <w:rFonts w:ascii="Calibri"/>
                <w:sz w:val="22"/>
              </w:rPr>
            </w:pPr>
            <w:r>
              <w:rPr>
                <w:rFonts w:ascii="Calibri"/>
                <w:sz w:val="22"/>
              </w:rPr>
              <w:t>9.30</w:t>
            </w:r>
          </w:p>
        </w:tc>
        <w:tc>
          <w:tcPr>
            <w:tcW w:w="1001" w:type="dxa"/>
          </w:tcPr>
          <w:p>
            <w:pPr>
              <w:pStyle w:val="TableParagraph"/>
              <w:spacing w:before="25"/>
              <w:ind w:left="73" w:right="75"/>
              <w:rPr>
                <w:rFonts w:ascii="Calibri"/>
                <w:sz w:val="22"/>
              </w:rPr>
            </w:pPr>
            <w:r>
              <w:rPr>
                <w:rFonts w:ascii="Calibri"/>
                <w:sz w:val="22"/>
              </w:rPr>
              <w:t>9.56</w:t>
            </w:r>
          </w:p>
        </w:tc>
      </w:tr>
      <w:tr>
        <w:trPr>
          <w:trHeight w:val="312" w:hRule="exact"/>
        </w:trPr>
        <w:tc>
          <w:tcPr>
            <w:tcW w:w="3582" w:type="dxa"/>
          </w:tcPr>
          <w:p>
            <w:pPr>
              <w:pStyle w:val="TableParagraph"/>
              <w:spacing w:before="51"/>
              <w:ind w:left="64"/>
              <w:jc w:val="left"/>
              <w:rPr>
                <w:b/>
                <w:sz w:val="16"/>
              </w:rPr>
            </w:pPr>
            <w:r>
              <w:rPr>
                <w:b/>
                <w:color w:val="333333"/>
                <w:sz w:val="16"/>
              </w:rPr>
              <w:t>POLOTITLAN</w:t>
            </w:r>
          </w:p>
        </w:tc>
        <w:tc>
          <w:tcPr>
            <w:tcW w:w="1001" w:type="dxa"/>
          </w:tcPr>
          <w:p>
            <w:pPr>
              <w:pStyle w:val="TableParagraph"/>
              <w:spacing w:before="27"/>
              <w:ind w:left="73" w:right="75"/>
              <w:rPr>
                <w:rFonts w:ascii="Calibri"/>
                <w:sz w:val="22"/>
              </w:rPr>
            </w:pPr>
            <w:r>
              <w:rPr>
                <w:rFonts w:ascii="Calibri"/>
                <w:sz w:val="22"/>
              </w:rPr>
              <w:t>7.00</w:t>
            </w:r>
          </w:p>
        </w:tc>
        <w:tc>
          <w:tcPr>
            <w:tcW w:w="1001" w:type="dxa"/>
          </w:tcPr>
          <w:p>
            <w:pPr>
              <w:pStyle w:val="TableParagraph"/>
              <w:spacing w:before="27"/>
              <w:ind w:left="73" w:right="75"/>
              <w:rPr>
                <w:rFonts w:ascii="Calibri"/>
                <w:sz w:val="22"/>
              </w:rPr>
            </w:pPr>
            <w:r>
              <w:rPr>
                <w:rFonts w:ascii="Calibri"/>
                <w:sz w:val="22"/>
              </w:rPr>
              <w:t>7.60</w:t>
            </w:r>
          </w:p>
        </w:tc>
      </w:tr>
      <w:tr>
        <w:trPr>
          <w:trHeight w:val="310" w:hRule="exact"/>
        </w:trPr>
        <w:tc>
          <w:tcPr>
            <w:tcW w:w="3582" w:type="dxa"/>
          </w:tcPr>
          <w:p>
            <w:pPr>
              <w:pStyle w:val="TableParagraph"/>
              <w:spacing w:before="48"/>
              <w:ind w:left="64"/>
              <w:jc w:val="left"/>
              <w:rPr>
                <w:b/>
                <w:sz w:val="16"/>
              </w:rPr>
            </w:pPr>
            <w:r>
              <w:rPr>
                <w:b/>
                <w:color w:val="333333"/>
                <w:sz w:val="16"/>
              </w:rPr>
              <w:t>RAYON</w:t>
            </w:r>
          </w:p>
        </w:tc>
        <w:tc>
          <w:tcPr>
            <w:tcW w:w="1001" w:type="dxa"/>
          </w:tcPr>
          <w:p>
            <w:pPr>
              <w:pStyle w:val="TableParagraph"/>
              <w:spacing w:before="25"/>
              <w:ind w:left="73" w:right="75"/>
              <w:rPr>
                <w:rFonts w:ascii="Calibri"/>
                <w:sz w:val="22"/>
              </w:rPr>
            </w:pPr>
            <w:r>
              <w:rPr>
                <w:rFonts w:ascii="Calibri"/>
                <w:sz w:val="22"/>
              </w:rPr>
              <w:t>8.30</w:t>
            </w:r>
          </w:p>
        </w:tc>
        <w:tc>
          <w:tcPr>
            <w:tcW w:w="1001" w:type="dxa"/>
          </w:tcPr>
          <w:p>
            <w:pPr>
              <w:pStyle w:val="TableParagraph"/>
              <w:spacing w:before="25"/>
              <w:ind w:left="73" w:right="75"/>
              <w:rPr>
                <w:rFonts w:ascii="Calibri"/>
                <w:sz w:val="22"/>
              </w:rPr>
            </w:pPr>
            <w:r>
              <w:rPr>
                <w:rFonts w:ascii="Calibri"/>
                <w:sz w:val="22"/>
              </w:rPr>
              <w:t>8.81</w:t>
            </w:r>
          </w:p>
        </w:tc>
      </w:tr>
      <w:tr>
        <w:trPr>
          <w:trHeight w:val="310" w:hRule="exact"/>
        </w:trPr>
        <w:tc>
          <w:tcPr>
            <w:tcW w:w="3582" w:type="dxa"/>
          </w:tcPr>
          <w:p>
            <w:pPr>
              <w:pStyle w:val="TableParagraph"/>
              <w:spacing w:before="48"/>
              <w:ind w:left="64"/>
              <w:jc w:val="left"/>
              <w:rPr>
                <w:b/>
                <w:sz w:val="16"/>
              </w:rPr>
            </w:pPr>
            <w:r>
              <w:rPr>
                <w:b/>
                <w:color w:val="333333"/>
                <w:sz w:val="16"/>
              </w:rPr>
              <w:t>SAN ANTONIO LA ISLA</w:t>
            </w:r>
          </w:p>
        </w:tc>
        <w:tc>
          <w:tcPr>
            <w:tcW w:w="1001" w:type="dxa"/>
          </w:tcPr>
          <w:p>
            <w:pPr>
              <w:pStyle w:val="TableParagraph"/>
              <w:spacing w:before="25"/>
              <w:ind w:left="73" w:right="75"/>
              <w:rPr>
                <w:rFonts w:ascii="Calibri"/>
                <w:sz w:val="22"/>
              </w:rPr>
            </w:pPr>
            <w:r>
              <w:rPr>
                <w:rFonts w:ascii="Calibri"/>
                <w:sz w:val="22"/>
              </w:rPr>
              <w:t>8.20</w:t>
            </w:r>
          </w:p>
        </w:tc>
        <w:tc>
          <w:tcPr>
            <w:tcW w:w="1001" w:type="dxa"/>
          </w:tcPr>
          <w:p>
            <w:pPr>
              <w:pStyle w:val="TableParagraph"/>
              <w:spacing w:before="25"/>
              <w:ind w:left="73" w:right="75"/>
              <w:rPr>
                <w:rFonts w:ascii="Calibri"/>
                <w:sz w:val="22"/>
              </w:rPr>
            </w:pPr>
            <w:r>
              <w:rPr>
                <w:rFonts w:ascii="Calibri"/>
                <w:sz w:val="22"/>
              </w:rPr>
              <w:t>9.95</w:t>
            </w:r>
          </w:p>
        </w:tc>
      </w:tr>
    </w:tbl>
    <w:p>
      <w:pPr>
        <w:spacing w:after="0"/>
        <w:rPr>
          <w:rFonts w:ascii="Calibri"/>
          <w:sz w:val="22"/>
        </w:rPr>
        <w:sectPr>
          <w:pgSz w:w="12240" w:h="15840"/>
          <w:pgMar w:header="0" w:footer="975" w:top="1420" w:bottom="1160" w:left="1720" w:right="1720"/>
        </w:sectPr>
      </w:pPr>
    </w:p>
    <w:tbl>
      <w:tblPr>
        <w:tblW w:w="0" w:type="auto"/>
        <w:jc w:val="left"/>
        <w:tblInd w:w="15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82"/>
        <w:gridCol w:w="1001"/>
        <w:gridCol w:w="1001"/>
      </w:tblGrid>
      <w:tr>
        <w:trPr>
          <w:trHeight w:val="546" w:hRule="exact"/>
        </w:trPr>
        <w:tc>
          <w:tcPr>
            <w:tcW w:w="5583" w:type="dxa"/>
            <w:gridSpan w:val="3"/>
            <w:shd w:val="clear" w:color="auto" w:fill="92D050"/>
          </w:tcPr>
          <w:p>
            <w:pPr>
              <w:pStyle w:val="TableParagraph"/>
              <w:spacing w:line="237" w:lineRule="auto"/>
              <w:ind w:left="1613" w:right="58" w:hanging="1539"/>
              <w:jc w:val="left"/>
              <w:rPr>
                <w:rFonts w:ascii="Calibri" w:hAnsi="Calibri"/>
                <w:b/>
                <w:sz w:val="22"/>
              </w:rPr>
            </w:pPr>
            <w:r>
              <w:rPr>
                <w:rFonts w:ascii="Calibri" w:hAnsi="Calibri"/>
                <w:b/>
                <w:sz w:val="22"/>
              </w:rPr>
              <w:t>Anexo 3. Grado de escolaridad de los municipios del Estado de México (Continuación)</w:t>
            </w:r>
          </w:p>
        </w:tc>
      </w:tr>
      <w:tr>
        <w:trPr>
          <w:trHeight w:val="312" w:hRule="exact"/>
        </w:trPr>
        <w:tc>
          <w:tcPr>
            <w:tcW w:w="3582" w:type="dxa"/>
            <w:shd w:val="clear" w:color="auto" w:fill="92D050"/>
          </w:tcPr>
          <w:p>
            <w:pPr>
              <w:pStyle w:val="TableParagraph"/>
              <w:spacing w:before="27"/>
              <w:ind w:left="1306" w:right="1306"/>
              <w:rPr>
                <w:rFonts w:ascii="Calibri"/>
                <w:b/>
                <w:sz w:val="22"/>
              </w:rPr>
            </w:pPr>
            <w:r>
              <w:rPr>
                <w:rFonts w:ascii="Calibri"/>
                <w:b/>
                <w:sz w:val="22"/>
              </w:rPr>
              <w:t>Municipio</w:t>
            </w:r>
          </w:p>
        </w:tc>
        <w:tc>
          <w:tcPr>
            <w:tcW w:w="1001" w:type="dxa"/>
            <w:shd w:val="clear" w:color="auto" w:fill="92D050"/>
          </w:tcPr>
          <w:p>
            <w:pPr>
              <w:pStyle w:val="TableParagraph"/>
              <w:spacing w:before="27"/>
              <w:ind w:left="73" w:right="74"/>
              <w:rPr>
                <w:rFonts w:ascii="Calibri"/>
                <w:b/>
                <w:sz w:val="22"/>
              </w:rPr>
            </w:pPr>
            <w:r>
              <w:rPr>
                <w:rFonts w:ascii="Calibri"/>
                <w:b/>
                <w:sz w:val="22"/>
              </w:rPr>
              <w:t>GE 2005</w:t>
            </w:r>
          </w:p>
        </w:tc>
        <w:tc>
          <w:tcPr>
            <w:tcW w:w="1001" w:type="dxa"/>
            <w:shd w:val="clear" w:color="auto" w:fill="92D050"/>
          </w:tcPr>
          <w:p>
            <w:pPr>
              <w:pStyle w:val="TableParagraph"/>
              <w:spacing w:before="27"/>
              <w:ind w:left="73" w:right="74"/>
              <w:rPr>
                <w:rFonts w:ascii="Calibri"/>
                <w:b/>
                <w:sz w:val="22"/>
              </w:rPr>
            </w:pPr>
            <w:r>
              <w:rPr>
                <w:rFonts w:ascii="Calibri"/>
                <w:b/>
                <w:sz w:val="22"/>
              </w:rPr>
              <w:t>GE 2010</w:t>
            </w:r>
          </w:p>
        </w:tc>
      </w:tr>
      <w:tr>
        <w:trPr>
          <w:trHeight w:val="310" w:hRule="exact"/>
        </w:trPr>
        <w:tc>
          <w:tcPr>
            <w:tcW w:w="3582" w:type="dxa"/>
          </w:tcPr>
          <w:p>
            <w:pPr>
              <w:pStyle w:val="TableParagraph"/>
              <w:spacing w:before="48"/>
              <w:ind w:left="64"/>
              <w:jc w:val="left"/>
              <w:rPr>
                <w:b/>
                <w:sz w:val="16"/>
              </w:rPr>
            </w:pPr>
            <w:r>
              <w:rPr>
                <w:b/>
                <w:color w:val="333333"/>
                <w:sz w:val="16"/>
              </w:rPr>
              <w:t>SAN FELIPE DEL PROGRESO</w:t>
            </w:r>
          </w:p>
        </w:tc>
        <w:tc>
          <w:tcPr>
            <w:tcW w:w="1001" w:type="dxa"/>
          </w:tcPr>
          <w:p>
            <w:pPr>
              <w:pStyle w:val="TableParagraph"/>
              <w:spacing w:before="25"/>
              <w:ind w:left="73" w:right="75"/>
              <w:rPr>
                <w:rFonts w:ascii="Calibri"/>
                <w:sz w:val="22"/>
              </w:rPr>
            </w:pPr>
            <w:r>
              <w:rPr>
                <w:rFonts w:ascii="Calibri"/>
                <w:sz w:val="22"/>
              </w:rPr>
              <w:t>5.40</w:t>
            </w:r>
          </w:p>
        </w:tc>
        <w:tc>
          <w:tcPr>
            <w:tcW w:w="1001" w:type="dxa"/>
          </w:tcPr>
          <w:p>
            <w:pPr>
              <w:pStyle w:val="TableParagraph"/>
              <w:spacing w:before="25"/>
              <w:ind w:left="73" w:right="75"/>
              <w:rPr>
                <w:rFonts w:ascii="Calibri"/>
                <w:sz w:val="22"/>
              </w:rPr>
            </w:pPr>
            <w:r>
              <w:rPr>
                <w:rFonts w:ascii="Calibri"/>
                <w:sz w:val="22"/>
              </w:rPr>
              <w:t>6.12</w:t>
            </w:r>
          </w:p>
        </w:tc>
      </w:tr>
      <w:tr>
        <w:trPr>
          <w:trHeight w:val="310" w:hRule="exact"/>
        </w:trPr>
        <w:tc>
          <w:tcPr>
            <w:tcW w:w="3582" w:type="dxa"/>
          </w:tcPr>
          <w:p>
            <w:pPr>
              <w:pStyle w:val="TableParagraph"/>
              <w:spacing w:before="48"/>
              <w:ind w:left="64"/>
              <w:jc w:val="left"/>
              <w:rPr>
                <w:b/>
                <w:sz w:val="16"/>
              </w:rPr>
            </w:pPr>
            <w:r>
              <w:rPr>
                <w:b/>
                <w:color w:val="333333"/>
                <w:sz w:val="16"/>
              </w:rPr>
              <w:t>SAN JOSE DEL RINCON</w:t>
            </w:r>
          </w:p>
        </w:tc>
        <w:tc>
          <w:tcPr>
            <w:tcW w:w="1001" w:type="dxa"/>
          </w:tcPr>
          <w:p>
            <w:pPr>
              <w:pStyle w:val="TableParagraph"/>
              <w:spacing w:before="25"/>
              <w:ind w:left="73" w:right="75"/>
              <w:rPr>
                <w:rFonts w:ascii="Calibri"/>
                <w:sz w:val="22"/>
              </w:rPr>
            </w:pPr>
            <w:r>
              <w:rPr>
                <w:rFonts w:ascii="Calibri"/>
                <w:sz w:val="22"/>
              </w:rPr>
              <w:t>4.60</w:t>
            </w:r>
          </w:p>
        </w:tc>
        <w:tc>
          <w:tcPr>
            <w:tcW w:w="1001" w:type="dxa"/>
          </w:tcPr>
          <w:p>
            <w:pPr>
              <w:pStyle w:val="TableParagraph"/>
              <w:spacing w:before="25"/>
              <w:ind w:left="73" w:right="75"/>
              <w:rPr>
                <w:rFonts w:ascii="Calibri"/>
                <w:sz w:val="22"/>
              </w:rPr>
            </w:pPr>
            <w:r>
              <w:rPr>
                <w:rFonts w:ascii="Calibri"/>
                <w:sz w:val="22"/>
              </w:rPr>
              <w:t>5.15</w:t>
            </w:r>
          </w:p>
        </w:tc>
      </w:tr>
      <w:tr>
        <w:trPr>
          <w:trHeight w:val="310" w:hRule="exact"/>
        </w:trPr>
        <w:tc>
          <w:tcPr>
            <w:tcW w:w="3582" w:type="dxa"/>
          </w:tcPr>
          <w:p>
            <w:pPr>
              <w:pStyle w:val="TableParagraph"/>
              <w:spacing w:before="48"/>
              <w:ind w:left="64"/>
              <w:jc w:val="left"/>
              <w:rPr>
                <w:b/>
                <w:sz w:val="16"/>
              </w:rPr>
            </w:pPr>
            <w:r>
              <w:rPr>
                <w:b/>
                <w:color w:val="333333"/>
                <w:sz w:val="16"/>
              </w:rPr>
              <w:t>SAN MARTíN DE LAS PIRAMIDES</w:t>
            </w:r>
          </w:p>
        </w:tc>
        <w:tc>
          <w:tcPr>
            <w:tcW w:w="1001" w:type="dxa"/>
          </w:tcPr>
          <w:p>
            <w:pPr>
              <w:pStyle w:val="TableParagraph"/>
              <w:spacing w:before="25"/>
              <w:ind w:left="73" w:right="75"/>
              <w:rPr>
                <w:rFonts w:ascii="Calibri"/>
                <w:sz w:val="22"/>
              </w:rPr>
            </w:pPr>
            <w:r>
              <w:rPr>
                <w:rFonts w:ascii="Calibri"/>
                <w:sz w:val="22"/>
              </w:rPr>
              <w:t>8.20</w:t>
            </w:r>
          </w:p>
        </w:tc>
        <w:tc>
          <w:tcPr>
            <w:tcW w:w="1001" w:type="dxa"/>
          </w:tcPr>
          <w:p>
            <w:pPr>
              <w:pStyle w:val="TableParagraph"/>
              <w:spacing w:before="25"/>
              <w:ind w:left="73" w:right="75"/>
              <w:rPr>
                <w:rFonts w:ascii="Calibri"/>
                <w:sz w:val="22"/>
              </w:rPr>
            </w:pPr>
            <w:r>
              <w:rPr>
                <w:rFonts w:ascii="Calibri"/>
                <w:sz w:val="22"/>
              </w:rPr>
              <w:t>8.66</w:t>
            </w:r>
          </w:p>
        </w:tc>
      </w:tr>
      <w:tr>
        <w:trPr>
          <w:trHeight w:val="310" w:hRule="exact"/>
        </w:trPr>
        <w:tc>
          <w:tcPr>
            <w:tcW w:w="3582" w:type="dxa"/>
          </w:tcPr>
          <w:p>
            <w:pPr>
              <w:pStyle w:val="TableParagraph"/>
              <w:spacing w:before="48"/>
              <w:ind w:left="64"/>
              <w:jc w:val="left"/>
              <w:rPr>
                <w:b/>
                <w:sz w:val="16"/>
              </w:rPr>
            </w:pPr>
            <w:r>
              <w:rPr>
                <w:b/>
                <w:color w:val="333333"/>
                <w:sz w:val="16"/>
              </w:rPr>
              <w:t>SAN MATEO ATENCO</w:t>
            </w:r>
          </w:p>
        </w:tc>
        <w:tc>
          <w:tcPr>
            <w:tcW w:w="1001" w:type="dxa"/>
          </w:tcPr>
          <w:p>
            <w:pPr>
              <w:pStyle w:val="TableParagraph"/>
              <w:spacing w:before="25"/>
              <w:ind w:left="73" w:right="75"/>
              <w:rPr>
                <w:rFonts w:ascii="Calibri"/>
                <w:sz w:val="22"/>
              </w:rPr>
            </w:pPr>
            <w:r>
              <w:rPr>
                <w:rFonts w:ascii="Calibri"/>
                <w:sz w:val="22"/>
              </w:rPr>
              <w:t>8.60</w:t>
            </w:r>
          </w:p>
        </w:tc>
        <w:tc>
          <w:tcPr>
            <w:tcW w:w="1001" w:type="dxa"/>
          </w:tcPr>
          <w:p>
            <w:pPr>
              <w:pStyle w:val="TableParagraph"/>
              <w:spacing w:before="25"/>
              <w:ind w:left="73" w:right="75"/>
              <w:rPr>
                <w:rFonts w:ascii="Calibri"/>
                <w:sz w:val="22"/>
              </w:rPr>
            </w:pPr>
            <w:r>
              <w:rPr>
                <w:rFonts w:ascii="Calibri"/>
                <w:sz w:val="22"/>
              </w:rPr>
              <w:t>9.25</w:t>
            </w:r>
          </w:p>
        </w:tc>
      </w:tr>
      <w:tr>
        <w:trPr>
          <w:trHeight w:val="310" w:hRule="exact"/>
        </w:trPr>
        <w:tc>
          <w:tcPr>
            <w:tcW w:w="3582" w:type="dxa"/>
          </w:tcPr>
          <w:p>
            <w:pPr>
              <w:pStyle w:val="TableParagraph"/>
              <w:spacing w:before="51"/>
              <w:ind w:left="64"/>
              <w:jc w:val="left"/>
              <w:rPr>
                <w:b/>
                <w:sz w:val="16"/>
              </w:rPr>
            </w:pPr>
            <w:r>
              <w:rPr>
                <w:b/>
                <w:color w:val="333333"/>
                <w:sz w:val="16"/>
              </w:rPr>
              <w:t>SAN SIMON DE GUERRERO</w:t>
            </w:r>
          </w:p>
        </w:tc>
        <w:tc>
          <w:tcPr>
            <w:tcW w:w="1001" w:type="dxa"/>
          </w:tcPr>
          <w:p>
            <w:pPr>
              <w:pStyle w:val="TableParagraph"/>
              <w:spacing w:before="25"/>
              <w:ind w:left="73" w:right="75"/>
              <w:rPr>
                <w:rFonts w:ascii="Calibri"/>
                <w:sz w:val="22"/>
              </w:rPr>
            </w:pPr>
            <w:r>
              <w:rPr>
                <w:rFonts w:ascii="Calibri"/>
                <w:sz w:val="22"/>
              </w:rPr>
              <w:t>6.50</w:t>
            </w:r>
          </w:p>
        </w:tc>
        <w:tc>
          <w:tcPr>
            <w:tcW w:w="1001" w:type="dxa"/>
          </w:tcPr>
          <w:p>
            <w:pPr>
              <w:pStyle w:val="TableParagraph"/>
              <w:spacing w:before="25"/>
              <w:ind w:left="73" w:right="75"/>
              <w:rPr>
                <w:rFonts w:ascii="Calibri"/>
                <w:sz w:val="22"/>
              </w:rPr>
            </w:pPr>
            <w:r>
              <w:rPr>
                <w:rFonts w:ascii="Calibri"/>
                <w:sz w:val="22"/>
              </w:rPr>
              <w:t>7.17</w:t>
            </w:r>
          </w:p>
        </w:tc>
      </w:tr>
      <w:tr>
        <w:trPr>
          <w:trHeight w:val="312" w:hRule="exact"/>
        </w:trPr>
        <w:tc>
          <w:tcPr>
            <w:tcW w:w="3582" w:type="dxa"/>
          </w:tcPr>
          <w:p>
            <w:pPr>
              <w:pStyle w:val="TableParagraph"/>
              <w:spacing w:before="51"/>
              <w:ind w:left="64"/>
              <w:jc w:val="left"/>
              <w:rPr>
                <w:b/>
                <w:sz w:val="16"/>
              </w:rPr>
            </w:pPr>
            <w:r>
              <w:rPr>
                <w:b/>
                <w:color w:val="333333"/>
                <w:sz w:val="16"/>
              </w:rPr>
              <w:t>SANTO TOMAS</w:t>
            </w:r>
          </w:p>
        </w:tc>
        <w:tc>
          <w:tcPr>
            <w:tcW w:w="1001" w:type="dxa"/>
          </w:tcPr>
          <w:p>
            <w:pPr>
              <w:pStyle w:val="TableParagraph"/>
              <w:spacing w:before="27"/>
              <w:ind w:left="73" w:right="75"/>
              <w:rPr>
                <w:rFonts w:ascii="Calibri"/>
                <w:sz w:val="22"/>
              </w:rPr>
            </w:pPr>
            <w:r>
              <w:rPr>
                <w:rFonts w:ascii="Calibri"/>
                <w:sz w:val="22"/>
              </w:rPr>
              <w:t>6.10</w:t>
            </w:r>
          </w:p>
        </w:tc>
        <w:tc>
          <w:tcPr>
            <w:tcW w:w="1001" w:type="dxa"/>
          </w:tcPr>
          <w:p>
            <w:pPr>
              <w:pStyle w:val="TableParagraph"/>
              <w:spacing w:before="27"/>
              <w:ind w:left="73" w:right="75"/>
              <w:rPr>
                <w:rFonts w:ascii="Calibri"/>
                <w:sz w:val="22"/>
              </w:rPr>
            </w:pPr>
            <w:r>
              <w:rPr>
                <w:rFonts w:ascii="Calibri"/>
                <w:sz w:val="22"/>
              </w:rPr>
              <w:t>6.92</w:t>
            </w:r>
          </w:p>
        </w:tc>
      </w:tr>
      <w:tr>
        <w:trPr>
          <w:trHeight w:val="310" w:hRule="exact"/>
        </w:trPr>
        <w:tc>
          <w:tcPr>
            <w:tcW w:w="3582" w:type="dxa"/>
          </w:tcPr>
          <w:p>
            <w:pPr>
              <w:pStyle w:val="TableParagraph"/>
              <w:spacing w:before="48"/>
              <w:ind w:left="64"/>
              <w:jc w:val="left"/>
              <w:rPr>
                <w:b/>
                <w:sz w:val="16"/>
              </w:rPr>
            </w:pPr>
            <w:r>
              <w:rPr>
                <w:b/>
                <w:color w:val="333333"/>
                <w:sz w:val="16"/>
              </w:rPr>
              <w:t>SOYANIQUILPAN DE JUAREZ</w:t>
            </w:r>
          </w:p>
        </w:tc>
        <w:tc>
          <w:tcPr>
            <w:tcW w:w="1001" w:type="dxa"/>
          </w:tcPr>
          <w:p>
            <w:pPr>
              <w:pStyle w:val="TableParagraph"/>
              <w:spacing w:before="25"/>
              <w:ind w:left="73" w:right="75"/>
              <w:rPr>
                <w:rFonts w:ascii="Calibri"/>
                <w:sz w:val="22"/>
              </w:rPr>
            </w:pPr>
            <w:r>
              <w:rPr>
                <w:rFonts w:ascii="Calibri"/>
                <w:sz w:val="22"/>
              </w:rPr>
              <w:t>7.10</w:t>
            </w:r>
          </w:p>
        </w:tc>
        <w:tc>
          <w:tcPr>
            <w:tcW w:w="1001" w:type="dxa"/>
          </w:tcPr>
          <w:p>
            <w:pPr>
              <w:pStyle w:val="TableParagraph"/>
              <w:spacing w:before="25"/>
              <w:ind w:left="73" w:right="75"/>
              <w:rPr>
                <w:rFonts w:ascii="Calibri"/>
                <w:sz w:val="22"/>
              </w:rPr>
            </w:pPr>
            <w:r>
              <w:rPr>
                <w:rFonts w:ascii="Calibri"/>
                <w:sz w:val="22"/>
              </w:rPr>
              <w:t>7.64</w:t>
            </w:r>
          </w:p>
        </w:tc>
      </w:tr>
      <w:tr>
        <w:trPr>
          <w:trHeight w:val="310" w:hRule="exact"/>
        </w:trPr>
        <w:tc>
          <w:tcPr>
            <w:tcW w:w="3582" w:type="dxa"/>
          </w:tcPr>
          <w:p>
            <w:pPr>
              <w:pStyle w:val="TableParagraph"/>
              <w:spacing w:before="48"/>
              <w:ind w:left="64"/>
              <w:jc w:val="left"/>
              <w:rPr>
                <w:b/>
                <w:sz w:val="16"/>
              </w:rPr>
            </w:pPr>
            <w:r>
              <w:rPr>
                <w:b/>
                <w:color w:val="333333"/>
                <w:sz w:val="16"/>
              </w:rPr>
              <w:t>SULTEPEC</w:t>
            </w:r>
          </w:p>
        </w:tc>
        <w:tc>
          <w:tcPr>
            <w:tcW w:w="1001" w:type="dxa"/>
          </w:tcPr>
          <w:p>
            <w:pPr>
              <w:pStyle w:val="TableParagraph"/>
              <w:spacing w:before="25"/>
              <w:ind w:left="73" w:right="75"/>
              <w:rPr>
                <w:rFonts w:ascii="Calibri"/>
                <w:sz w:val="22"/>
              </w:rPr>
            </w:pPr>
            <w:r>
              <w:rPr>
                <w:rFonts w:ascii="Calibri"/>
                <w:sz w:val="22"/>
              </w:rPr>
              <w:t>4.90</w:t>
            </w:r>
          </w:p>
        </w:tc>
        <w:tc>
          <w:tcPr>
            <w:tcW w:w="1001" w:type="dxa"/>
          </w:tcPr>
          <w:p>
            <w:pPr>
              <w:pStyle w:val="TableParagraph"/>
              <w:spacing w:before="25"/>
              <w:ind w:left="73" w:right="75"/>
              <w:rPr>
                <w:rFonts w:ascii="Calibri"/>
                <w:sz w:val="22"/>
              </w:rPr>
            </w:pPr>
            <w:r>
              <w:rPr>
                <w:rFonts w:ascii="Calibri"/>
                <w:sz w:val="22"/>
              </w:rPr>
              <w:t>5.74</w:t>
            </w:r>
          </w:p>
        </w:tc>
      </w:tr>
      <w:tr>
        <w:trPr>
          <w:trHeight w:val="310" w:hRule="exact"/>
        </w:trPr>
        <w:tc>
          <w:tcPr>
            <w:tcW w:w="3582" w:type="dxa"/>
          </w:tcPr>
          <w:p>
            <w:pPr>
              <w:pStyle w:val="TableParagraph"/>
              <w:spacing w:before="48"/>
              <w:ind w:left="64"/>
              <w:jc w:val="left"/>
              <w:rPr>
                <w:b/>
                <w:sz w:val="16"/>
              </w:rPr>
            </w:pPr>
            <w:r>
              <w:rPr>
                <w:b/>
                <w:color w:val="333333"/>
                <w:sz w:val="16"/>
              </w:rPr>
              <w:t>TECAMAC</w:t>
            </w:r>
          </w:p>
        </w:tc>
        <w:tc>
          <w:tcPr>
            <w:tcW w:w="1001" w:type="dxa"/>
          </w:tcPr>
          <w:p>
            <w:pPr>
              <w:pStyle w:val="TableParagraph"/>
              <w:spacing w:before="25"/>
              <w:ind w:left="73" w:right="75"/>
              <w:rPr>
                <w:rFonts w:ascii="Calibri"/>
                <w:sz w:val="22"/>
              </w:rPr>
            </w:pPr>
            <w:r>
              <w:rPr>
                <w:rFonts w:ascii="Calibri"/>
                <w:sz w:val="22"/>
              </w:rPr>
              <w:t>9.30</w:t>
            </w:r>
          </w:p>
        </w:tc>
        <w:tc>
          <w:tcPr>
            <w:tcW w:w="1001" w:type="dxa"/>
          </w:tcPr>
          <w:p>
            <w:pPr>
              <w:pStyle w:val="TableParagraph"/>
              <w:spacing w:before="25"/>
              <w:ind w:left="73" w:right="75"/>
              <w:rPr>
                <w:rFonts w:ascii="Calibri"/>
                <w:sz w:val="22"/>
              </w:rPr>
            </w:pPr>
            <w:r>
              <w:rPr>
                <w:rFonts w:ascii="Calibri"/>
                <w:sz w:val="22"/>
              </w:rPr>
              <w:t>9.99</w:t>
            </w:r>
          </w:p>
        </w:tc>
      </w:tr>
      <w:tr>
        <w:trPr>
          <w:trHeight w:val="310" w:hRule="exact"/>
        </w:trPr>
        <w:tc>
          <w:tcPr>
            <w:tcW w:w="3582" w:type="dxa"/>
          </w:tcPr>
          <w:p>
            <w:pPr>
              <w:pStyle w:val="TableParagraph"/>
              <w:spacing w:before="49"/>
              <w:ind w:left="64"/>
              <w:jc w:val="left"/>
              <w:rPr>
                <w:b/>
                <w:sz w:val="16"/>
              </w:rPr>
            </w:pPr>
            <w:r>
              <w:rPr>
                <w:b/>
                <w:color w:val="333333"/>
                <w:sz w:val="16"/>
              </w:rPr>
              <w:t>TEJUPILCO</w:t>
            </w:r>
          </w:p>
        </w:tc>
        <w:tc>
          <w:tcPr>
            <w:tcW w:w="1001" w:type="dxa"/>
          </w:tcPr>
          <w:p>
            <w:pPr>
              <w:pStyle w:val="TableParagraph"/>
              <w:spacing w:before="26"/>
              <w:ind w:left="73" w:right="75"/>
              <w:rPr>
                <w:rFonts w:ascii="Calibri"/>
                <w:sz w:val="22"/>
              </w:rPr>
            </w:pPr>
            <w:r>
              <w:rPr>
                <w:rFonts w:ascii="Calibri"/>
                <w:sz w:val="22"/>
              </w:rPr>
              <w:t>6.20</w:t>
            </w:r>
          </w:p>
        </w:tc>
        <w:tc>
          <w:tcPr>
            <w:tcW w:w="1001" w:type="dxa"/>
          </w:tcPr>
          <w:p>
            <w:pPr>
              <w:pStyle w:val="TableParagraph"/>
              <w:spacing w:before="26"/>
              <w:ind w:left="73" w:right="75"/>
              <w:rPr>
                <w:rFonts w:ascii="Calibri"/>
                <w:sz w:val="22"/>
              </w:rPr>
            </w:pPr>
            <w:r>
              <w:rPr>
                <w:rFonts w:ascii="Calibri"/>
                <w:sz w:val="22"/>
              </w:rPr>
              <w:t>7.05</w:t>
            </w:r>
          </w:p>
        </w:tc>
      </w:tr>
      <w:tr>
        <w:trPr>
          <w:trHeight w:val="310" w:hRule="exact"/>
        </w:trPr>
        <w:tc>
          <w:tcPr>
            <w:tcW w:w="3582" w:type="dxa"/>
          </w:tcPr>
          <w:p>
            <w:pPr>
              <w:pStyle w:val="TableParagraph"/>
              <w:spacing w:before="51"/>
              <w:ind w:left="64"/>
              <w:jc w:val="left"/>
              <w:rPr>
                <w:b/>
                <w:sz w:val="16"/>
              </w:rPr>
            </w:pPr>
            <w:r>
              <w:rPr>
                <w:b/>
                <w:color w:val="333333"/>
                <w:sz w:val="16"/>
              </w:rPr>
              <w:t>TEMAMATLA</w:t>
            </w:r>
          </w:p>
        </w:tc>
        <w:tc>
          <w:tcPr>
            <w:tcW w:w="1001" w:type="dxa"/>
          </w:tcPr>
          <w:p>
            <w:pPr>
              <w:pStyle w:val="TableParagraph"/>
              <w:spacing w:before="25"/>
              <w:ind w:left="73" w:right="75"/>
              <w:rPr>
                <w:rFonts w:ascii="Calibri"/>
                <w:sz w:val="22"/>
              </w:rPr>
            </w:pPr>
            <w:r>
              <w:rPr>
                <w:rFonts w:ascii="Calibri"/>
                <w:sz w:val="22"/>
              </w:rPr>
              <w:t>8.40</w:t>
            </w:r>
          </w:p>
        </w:tc>
        <w:tc>
          <w:tcPr>
            <w:tcW w:w="1001" w:type="dxa"/>
          </w:tcPr>
          <w:p>
            <w:pPr>
              <w:pStyle w:val="TableParagraph"/>
              <w:spacing w:before="25"/>
              <w:ind w:left="73" w:right="75"/>
              <w:rPr>
                <w:rFonts w:ascii="Calibri"/>
                <w:sz w:val="22"/>
              </w:rPr>
            </w:pPr>
            <w:r>
              <w:rPr>
                <w:rFonts w:ascii="Calibri"/>
                <w:sz w:val="22"/>
              </w:rPr>
              <w:t>9.00</w:t>
            </w:r>
          </w:p>
        </w:tc>
      </w:tr>
      <w:tr>
        <w:trPr>
          <w:trHeight w:val="312" w:hRule="exact"/>
        </w:trPr>
        <w:tc>
          <w:tcPr>
            <w:tcW w:w="3582" w:type="dxa"/>
          </w:tcPr>
          <w:p>
            <w:pPr>
              <w:pStyle w:val="TableParagraph"/>
              <w:spacing w:before="51"/>
              <w:ind w:left="64"/>
              <w:jc w:val="left"/>
              <w:rPr>
                <w:b/>
                <w:sz w:val="16"/>
              </w:rPr>
            </w:pPr>
            <w:r>
              <w:rPr>
                <w:b/>
                <w:color w:val="333333"/>
                <w:sz w:val="16"/>
              </w:rPr>
              <w:t>TEMASCALAPA</w:t>
            </w:r>
          </w:p>
        </w:tc>
        <w:tc>
          <w:tcPr>
            <w:tcW w:w="1001" w:type="dxa"/>
          </w:tcPr>
          <w:p>
            <w:pPr>
              <w:pStyle w:val="TableParagraph"/>
              <w:spacing w:before="27"/>
              <w:ind w:left="73" w:right="75"/>
              <w:rPr>
                <w:rFonts w:ascii="Calibri"/>
                <w:sz w:val="22"/>
              </w:rPr>
            </w:pPr>
            <w:r>
              <w:rPr>
                <w:rFonts w:ascii="Calibri"/>
                <w:sz w:val="22"/>
              </w:rPr>
              <w:t>7.40</w:t>
            </w:r>
          </w:p>
        </w:tc>
        <w:tc>
          <w:tcPr>
            <w:tcW w:w="1001" w:type="dxa"/>
          </w:tcPr>
          <w:p>
            <w:pPr>
              <w:pStyle w:val="TableParagraph"/>
              <w:spacing w:before="27"/>
              <w:ind w:left="73" w:right="75"/>
              <w:rPr>
                <w:rFonts w:ascii="Calibri"/>
                <w:sz w:val="22"/>
              </w:rPr>
            </w:pPr>
            <w:r>
              <w:rPr>
                <w:rFonts w:ascii="Calibri"/>
                <w:sz w:val="22"/>
              </w:rPr>
              <w:t>7.95</w:t>
            </w:r>
          </w:p>
        </w:tc>
      </w:tr>
      <w:tr>
        <w:trPr>
          <w:trHeight w:val="310" w:hRule="exact"/>
        </w:trPr>
        <w:tc>
          <w:tcPr>
            <w:tcW w:w="3582" w:type="dxa"/>
          </w:tcPr>
          <w:p>
            <w:pPr>
              <w:pStyle w:val="TableParagraph"/>
              <w:spacing w:before="48"/>
              <w:ind w:left="64"/>
              <w:jc w:val="left"/>
              <w:rPr>
                <w:b/>
                <w:sz w:val="16"/>
              </w:rPr>
            </w:pPr>
            <w:r>
              <w:rPr>
                <w:b/>
                <w:color w:val="333333"/>
                <w:sz w:val="16"/>
              </w:rPr>
              <w:t>TEMASCALCINGO</w:t>
            </w:r>
          </w:p>
        </w:tc>
        <w:tc>
          <w:tcPr>
            <w:tcW w:w="1001" w:type="dxa"/>
          </w:tcPr>
          <w:p>
            <w:pPr>
              <w:pStyle w:val="TableParagraph"/>
              <w:spacing w:before="25"/>
              <w:ind w:left="73" w:right="75"/>
              <w:rPr>
                <w:rFonts w:ascii="Calibri"/>
                <w:sz w:val="22"/>
              </w:rPr>
            </w:pPr>
            <w:r>
              <w:rPr>
                <w:rFonts w:ascii="Calibri"/>
                <w:sz w:val="22"/>
              </w:rPr>
              <w:t>6.10</w:t>
            </w:r>
          </w:p>
        </w:tc>
        <w:tc>
          <w:tcPr>
            <w:tcW w:w="1001" w:type="dxa"/>
          </w:tcPr>
          <w:p>
            <w:pPr>
              <w:pStyle w:val="TableParagraph"/>
              <w:spacing w:before="25"/>
              <w:ind w:left="73" w:right="75"/>
              <w:rPr>
                <w:rFonts w:ascii="Calibri"/>
                <w:sz w:val="22"/>
              </w:rPr>
            </w:pPr>
            <w:r>
              <w:rPr>
                <w:rFonts w:ascii="Calibri"/>
                <w:sz w:val="22"/>
              </w:rPr>
              <w:t>6.74</w:t>
            </w:r>
          </w:p>
        </w:tc>
      </w:tr>
      <w:tr>
        <w:trPr>
          <w:trHeight w:val="310" w:hRule="exact"/>
        </w:trPr>
        <w:tc>
          <w:tcPr>
            <w:tcW w:w="3582" w:type="dxa"/>
          </w:tcPr>
          <w:p>
            <w:pPr>
              <w:pStyle w:val="TableParagraph"/>
              <w:spacing w:before="48"/>
              <w:ind w:left="64"/>
              <w:jc w:val="left"/>
              <w:rPr>
                <w:b/>
                <w:sz w:val="16"/>
              </w:rPr>
            </w:pPr>
            <w:r>
              <w:rPr>
                <w:b/>
                <w:color w:val="333333"/>
                <w:sz w:val="16"/>
              </w:rPr>
              <w:t>TEMASCALTEPEC</w:t>
            </w:r>
          </w:p>
        </w:tc>
        <w:tc>
          <w:tcPr>
            <w:tcW w:w="1001" w:type="dxa"/>
          </w:tcPr>
          <w:p>
            <w:pPr>
              <w:pStyle w:val="TableParagraph"/>
              <w:spacing w:before="25"/>
              <w:ind w:left="73" w:right="75"/>
              <w:rPr>
                <w:rFonts w:ascii="Calibri"/>
                <w:sz w:val="22"/>
              </w:rPr>
            </w:pPr>
            <w:r>
              <w:rPr>
                <w:rFonts w:ascii="Calibri"/>
                <w:sz w:val="22"/>
              </w:rPr>
              <w:t>5.90</w:t>
            </w:r>
          </w:p>
        </w:tc>
        <w:tc>
          <w:tcPr>
            <w:tcW w:w="1001" w:type="dxa"/>
          </w:tcPr>
          <w:p>
            <w:pPr>
              <w:pStyle w:val="TableParagraph"/>
              <w:spacing w:before="25"/>
              <w:ind w:left="73" w:right="75"/>
              <w:rPr>
                <w:rFonts w:ascii="Calibri"/>
                <w:sz w:val="22"/>
              </w:rPr>
            </w:pPr>
            <w:r>
              <w:rPr>
                <w:rFonts w:ascii="Calibri"/>
                <w:sz w:val="22"/>
              </w:rPr>
              <w:t>6.53</w:t>
            </w:r>
          </w:p>
        </w:tc>
      </w:tr>
      <w:tr>
        <w:trPr>
          <w:trHeight w:val="310" w:hRule="exact"/>
        </w:trPr>
        <w:tc>
          <w:tcPr>
            <w:tcW w:w="3582" w:type="dxa"/>
          </w:tcPr>
          <w:p>
            <w:pPr>
              <w:pStyle w:val="TableParagraph"/>
              <w:spacing w:before="48"/>
              <w:ind w:left="64"/>
              <w:jc w:val="left"/>
              <w:rPr>
                <w:b/>
                <w:sz w:val="16"/>
              </w:rPr>
            </w:pPr>
            <w:r>
              <w:rPr>
                <w:b/>
                <w:color w:val="333333"/>
                <w:sz w:val="16"/>
              </w:rPr>
              <w:t>TEMOAYA</w:t>
            </w:r>
          </w:p>
        </w:tc>
        <w:tc>
          <w:tcPr>
            <w:tcW w:w="1001" w:type="dxa"/>
          </w:tcPr>
          <w:p>
            <w:pPr>
              <w:pStyle w:val="TableParagraph"/>
              <w:spacing w:before="25"/>
              <w:ind w:left="73" w:right="75"/>
              <w:rPr>
                <w:rFonts w:ascii="Calibri"/>
                <w:sz w:val="22"/>
              </w:rPr>
            </w:pPr>
            <w:r>
              <w:rPr>
                <w:rFonts w:ascii="Calibri"/>
                <w:sz w:val="22"/>
              </w:rPr>
              <w:t>5.90</w:t>
            </w:r>
          </w:p>
        </w:tc>
        <w:tc>
          <w:tcPr>
            <w:tcW w:w="1001" w:type="dxa"/>
          </w:tcPr>
          <w:p>
            <w:pPr>
              <w:pStyle w:val="TableParagraph"/>
              <w:spacing w:before="25"/>
              <w:ind w:left="73" w:right="75"/>
              <w:rPr>
                <w:rFonts w:ascii="Calibri"/>
                <w:sz w:val="22"/>
              </w:rPr>
            </w:pPr>
            <w:r>
              <w:rPr>
                <w:rFonts w:ascii="Calibri"/>
                <w:sz w:val="22"/>
              </w:rPr>
              <w:t>6.74</w:t>
            </w:r>
          </w:p>
        </w:tc>
      </w:tr>
      <w:tr>
        <w:trPr>
          <w:trHeight w:val="310" w:hRule="exact"/>
        </w:trPr>
        <w:tc>
          <w:tcPr>
            <w:tcW w:w="3582" w:type="dxa"/>
          </w:tcPr>
          <w:p>
            <w:pPr>
              <w:pStyle w:val="TableParagraph"/>
              <w:spacing w:before="48"/>
              <w:ind w:left="64"/>
              <w:jc w:val="left"/>
              <w:rPr>
                <w:b/>
                <w:sz w:val="16"/>
              </w:rPr>
            </w:pPr>
            <w:r>
              <w:rPr>
                <w:b/>
                <w:color w:val="333333"/>
                <w:sz w:val="16"/>
              </w:rPr>
              <w:t>TENANCINGO</w:t>
            </w:r>
          </w:p>
        </w:tc>
        <w:tc>
          <w:tcPr>
            <w:tcW w:w="1001" w:type="dxa"/>
          </w:tcPr>
          <w:p>
            <w:pPr>
              <w:pStyle w:val="TableParagraph"/>
              <w:spacing w:before="25"/>
              <w:ind w:left="73" w:right="75"/>
              <w:rPr>
                <w:rFonts w:ascii="Calibri"/>
                <w:sz w:val="22"/>
              </w:rPr>
            </w:pPr>
            <w:r>
              <w:rPr>
                <w:rFonts w:ascii="Calibri"/>
                <w:sz w:val="22"/>
              </w:rPr>
              <w:t>7.60</w:t>
            </w:r>
          </w:p>
        </w:tc>
        <w:tc>
          <w:tcPr>
            <w:tcW w:w="1001" w:type="dxa"/>
          </w:tcPr>
          <w:p>
            <w:pPr>
              <w:pStyle w:val="TableParagraph"/>
              <w:spacing w:before="25"/>
              <w:ind w:left="73" w:right="75"/>
              <w:rPr>
                <w:rFonts w:ascii="Calibri"/>
                <w:sz w:val="22"/>
              </w:rPr>
            </w:pPr>
            <w:r>
              <w:rPr>
                <w:rFonts w:ascii="Calibri"/>
                <w:sz w:val="22"/>
              </w:rPr>
              <w:t>8.07</w:t>
            </w:r>
          </w:p>
        </w:tc>
      </w:tr>
      <w:tr>
        <w:trPr>
          <w:trHeight w:val="310" w:hRule="exact"/>
        </w:trPr>
        <w:tc>
          <w:tcPr>
            <w:tcW w:w="3582" w:type="dxa"/>
          </w:tcPr>
          <w:p>
            <w:pPr>
              <w:pStyle w:val="TableParagraph"/>
              <w:spacing w:before="51"/>
              <w:ind w:left="64"/>
              <w:jc w:val="left"/>
              <w:rPr>
                <w:b/>
                <w:sz w:val="16"/>
              </w:rPr>
            </w:pPr>
            <w:r>
              <w:rPr>
                <w:b/>
                <w:color w:val="333333"/>
                <w:sz w:val="16"/>
              </w:rPr>
              <w:t>TENANGO DEL AIRE</w:t>
            </w:r>
          </w:p>
        </w:tc>
        <w:tc>
          <w:tcPr>
            <w:tcW w:w="1001" w:type="dxa"/>
          </w:tcPr>
          <w:p>
            <w:pPr>
              <w:pStyle w:val="TableParagraph"/>
              <w:spacing w:before="25"/>
              <w:ind w:left="73" w:right="74"/>
              <w:rPr>
                <w:rFonts w:ascii="Calibri"/>
                <w:sz w:val="22"/>
              </w:rPr>
            </w:pPr>
            <w:r>
              <w:rPr>
                <w:rFonts w:ascii="Calibri"/>
                <w:sz w:val="22"/>
              </w:rPr>
              <w:t>8.00</w:t>
            </w:r>
          </w:p>
        </w:tc>
        <w:tc>
          <w:tcPr>
            <w:tcW w:w="1001" w:type="dxa"/>
          </w:tcPr>
          <w:p>
            <w:pPr>
              <w:pStyle w:val="TableParagraph"/>
              <w:spacing w:before="25"/>
              <w:ind w:left="73" w:right="75"/>
              <w:rPr>
                <w:rFonts w:ascii="Calibri"/>
                <w:sz w:val="22"/>
              </w:rPr>
            </w:pPr>
            <w:r>
              <w:rPr>
                <w:rFonts w:ascii="Calibri"/>
                <w:sz w:val="22"/>
              </w:rPr>
              <w:t>8.65</w:t>
            </w:r>
          </w:p>
        </w:tc>
      </w:tr>
      <w:tr>
        <w:trPr>
          <w:trHeight w:val="312" w:hRule="exact"/>
        </w:trPr>
        <w:tc>
          <w:tcPr>
            <w:tcW w:w="3582" w:type="dxa"/>
          </w:tcPr>
          <w:p>
            <w:pPr>
              <w:pStyle w:val="TableParagraph"/>
              <w:spacing w:before="51"/>
              <w:ind w:left="64"/>
              <w:jc w:val="left"/>
              <w:rPr>
                <w:b/>
                <w:sz w:val="16"/>
              </w:rPr>
            </w:pPr>
            <w:r>
              <w:rPr>
                <w:b/>
                <w:color w:val="333333"/>
                <w:sz w:val="16"/>
              </w:rPr>
              <w:t>TENANGO DEL VALLE</w:t>
            </w:r>
          </w:p>
        </w:tc>
        <w:tc>
          <w:tcPr>
            <w:tcW w:w="1001" w:type="dxa"/>
          </w:tcPr>
          <w:p>
            <w:pPr>
              <w:pStyle w:val="TableParagraph"/>
              <w:spacing w:before="27"/>
              <w:ind w:left="73" w:right="75"/>
              <w:rPr>
                <w:rFonts w:ascii="Calibri"/>
                <w:sz w:val="22"/>
              </w:rPr>
            </w:pPr>
            <w:r>
              <w:rPr>
                <w:rFonts w:ascii="Calibri"/>
                <w:sz w:val="22"/>
              </w:rPr>
              <w:t>7.50</w:t>
            </w:r>
          </w:p>
        </w:tc>
        <w:tc>
          <w:tcPr>
            <w:tcW w:w="1001" w:type="dxa"/>
          </w:tcPr>
          <w:p>
            <w:pPr>
              <w:pStyle w:val="TableParagraph"/>
              <w:spacing w:before="27"/>
              <w:ind w:left="73" w:right="75"/>
              <w:rPr>
                <w:rFonts w:ascii="Calibri"/>
                <w:sz w:val="22"/>
              </w:rPr>
            </w:pPr>
            <w:r>
              <w:rPr>
                <w:rFonts w:ascii="Calibri"/>
                <w:sz w:val="22"/>
              </w:rPr>
              <w:t>7.95</w:t>
            </w:r>
          </w:p>
        </w:tc>
      </w:tr>
      <w:tr>
        <w:trPr>
          <w:trHeight w:val="310" w:hRule="exact"/>
        </w:trPr>
        <w:tc>
          <w:tcPr>
            <w:tcW w:w="3582" w:type="dxa"/>
          </w:tcPr>
          <w:p>
            <w:pPr>
              <w:pStyle w:val="TableParagraph"/>
              <w:spacing w:before="48"/>
              <w:ind w:left="64"/>
              <w:jc w:val="left"/>
              <w:rPr>
                <w:b/>
                <w:sz w:val="16"/>
              </w:rPr>
            </w:pPr>
            <w:r>
              <w:rPr>
                <w:b/>
                <w:color w:val="333333"/>
                <w:sz w:val="16"/>
              </w:rPr>
              <w:t>TEOLOYUCAN</w:t>
            </w:r>
          </w:p>
        </w:tc>
        <w:tc>
          <w:tcPr>
            <w:tcW w:w="1001" w:type="dxa"/>
          </w:tcPr>
          <w:p>
            <w:pPr>
              <w:pStyle w:val="TableParagraph"/>
              <w:spacing w:before="25"/>
              <w:ind w:left="73" w:right="75"/>
              <w:rPr>
                <w:rFonts w:ascii="Calibri"/>
                <w:sz w:val="22"/>
              </w:rPr>
            </w:pPr>
            <w:r>
              <w:rPr>
                <w:rFonts w:ascii="Calibri"/>
                <w:sz w:val="22"/>
              </w:rPr>
              <w:t>8.30</w:t>
            </w:r>
          </w:p>
        </w:tc>
        <w:tc>
          <w:tcPr>
            <w:tcW w:w="1001" w:type="dxa"/>
          </w:tcPr>
          <w:p>
            <w:pPr>
              <w:pStyle w:val="TableParagraph"/>
              <w:spacing w:before="25"/>
              <w:ind w:left="73" w:right="75"/>
              <w:rPr>
                <w:rFonts w:ascii="Calibri"/>
                <w:sz w:val="22"/>
              </w:rPr>
            </w:pPr>
            <w:r>
              <w:rPr>
                <w:rFonts w:ascii="Calibri"/>
                <w:sz w:val="22"/>
              </w:rPr>
              <w:t>8.77</w:t>
            </w:r>
          </w:p>
        </w:tc>
      </w:tr>
      <w:tr>
        <w:trPr>
          <w:trHeight w:val="310" w:hRule="exact"/>
        </w:trPr>
        <w:tc>
          <w:tcPr>
            <w:tcW w:w="3582" w:type="dxa"/>
          </w:tcPr>
          <w:p>
            <w:pPr>
              <w:pStyle w:val="TableParagraph"/>
              <w:spacing w:before="48"/>
              <w:ind w:left="64"/>
              <w:jc w:val="left"/>
              <w:rPr>
                <w:b/>
                <w:sz w:val="16"/>
              </w:rPr>
            </w:pPr>
            <w:r>
              <w:rPr>
                <w:b/>
                <w:color w:val="333333"/>
                <w:sz w:val="16"/>
              </w:rPr>
              <w:t>TEOTIHUACAN</w:t>
            </w:r>
          </w:p>
        </w:tc>
        <w:tc>
          <w:tcPr>
            <w:tcW w:w="1001" w:type="dxa"/>
          </w:tcPr>
          <w:p>
            <w:pPr>
              <w:pStyle w:val="TableParagraph"/>
              <w:spacing w:before="25"/>
              <w:ind w:left="73" w:right="75"/>
              <w:rPr>
                <w:rFonts w:ascii="Calibri"/>
                <w:sz w:val="22"/>
              </w:rPr>
            </w:pPr>
            <w:r>
              <w:rPr>
                <w:rFonts w:ascii="Calibri"/>
                <w:sz w:val="22"/>
              </w:rPr>
              <w:t>8.60</w:t>
            </w:r>
          </w:p>
        </w:tc>
        <w:tc>
          <w:tcPr>
            <w:tcW w:w="1001" w:type="dxa"/>
          </w:tcPr>
          <w:p>
            <w:pPr>
              <w:pStyle w:val="TableParagraph"/>
              <w:spacing w:before="25"/>
              <w:ind w:left="73" w:right="75"/>
              <w:rPr>
                <w:rFonts w:ascii="Calibri"/>
                <w:sz w:val="22"/>
              </w:rPr>
            </w:pPr>
            <w:r>
              <w:rPr>
                <w:rFonts w:ascii="Calibri"/>
                <w:sz w:val="22"/>
              </w:rPr>
              <w:t>9.03</w:t>
            </w:r>
          </w:p>
        </w:tc>
      </w:tr>
      <w:tr>
        <w:trPr>
          <w:trHeight w:val="310" w:hRule="exact"/>
        </w:trPr>
        <w:tc>
          <w:tcPr>
            <w:tcW w:w="3582" w:type="dxa"/>
          </w:tcPr>
          <w:p>
            <w:pPr>
              <w:pStyle w:val="TableParagraph"/>
              <w:spacing w:before="49"/>
              <w:ind w:left="64"/>
              <w:jc w:val="left"/>
              <w:rPr>
                <w:b/>
                <w:sz w:val="16"/>
              </w:rPr>
            </w:pPr>
            <w:r>
              <w:rPr>
                <w:b/>
                <w:color w:val="333333"/>
                <w:sz w:val="16"/>
              </w:rPr>
              <w:t>TEPETLAOXTOC</w:t>
            </w:r>
          </w:p>
        </w:tc>
        <w:tc>
          <w:tcPr>
            <w:tcW w:w="1001" w:type="dxa"/>
          </w:tcPr>
          <w:p>
            <w:pPr>
              <w:pStyle w:val="TableParagraph"/>
              <w:spacing w:before="25"/>
              <w:ind w:left="73" w:right="75"/>
              <w:rPr>
                <w:rFonts w:ascii="Calibri"/>
                <w:sz w:val="22"/>
              </w:rPr>
            </w:pPr>
            <w:r>
              <w:rPr>
                <w:rFonts w:ascii="Calibri"/>
                <w:sz w:val="22"/>
              </w:rPr>
              <w:t>8.10</w:t>
            </w:r>
          </w:p>
        </w:tc>
        <w:tc>
          <w:tcPr>
            <w:tcW w:w="1001" w:type="dxa"/>
          </w:tcPr>
          <w:p>
            <w:pPr>
              <w:pStyle w:val="TableParagraph"/>
              <w:spacing w:before="25"/>
              <w:ind w:left="73" w:right="75"/>
              <w:rPr>
                <w:rFonts w:ascii="Calibri"/>
                <w:sz w:val="22"/>
              </w:rPr>
            </w:pPr>
            <w:r>
              <w:rPr>
                <w:rFonts w:ascii="Calibri"/>
                <w:sz w:val="22"/>
              </w:rPr>
              <w:t>8.49</w:t>
            </w:r>
          </w:p>
        </w:tc>
      </w:tr>
      <w:tr>
        <w:trPr>
          <w:trHeight w:val="310" w:hRule="exact"/>
        </w:trPr>
        <w:tc>
          <w:tcPr>
            <w:tcW w:w="3582" w:type="dxa"/>
          </w:tcPr>
          <w:p>
            <w:pPr>
              <w:pStyle w:val="TableParagraph"/>
              <w:spacing w:before="48"/>
              <w:ind w:left="64"/>
              <w:jc w:val="left"/>
              <w:rPr>
                <w:b/>
                <w:sz w:val="16"/>
              </w:rPr>
            </w:pPr>
            <w:r>
              <w:rPr>
                <w:b/>
                <w:color w:val="333333"/>
                <w:sz w:val="16"/>
              </w:rPr>
              <w:t>TEPETLIXPA</w:t>
            </w:r>
          </w:p>
        </w:tc>
        <w:tc>
          <w:tcPr>
            <w:tcW w:w="1001" w:type="dxa"/>
          </w:tcPr>
          <w:p>
            <w:pPr>
              <w:pStyle w:val="TableParagraph"/>
              <w:spacing w:before="25"/>
              <w:ind w:left="73" w:right="75"/>
              <w:rPr>
                <w:rFonts w:ascii="Calibri"/>
                <w:sz w:val="22"/>
              </w:rPr>
            </w:pPr>
            <w:r>
              <w:rPr>
                <w:rFonts w:ascii="Calibri"/>
                <w:sz w:val="22"/>
              </w:rPr>
              <w:t>7.50</w:t>
            </w:r>
          </w:p>
        </w:tc>
        <w:tc>
          <w:tcPr>
            <w:tcW w:w="1001" w:type="dxa"/>
          </w:tcPr>
          <w:p>
            <w:pPr>
              <w:pStyle w:val="TableParagraph"/>
              <w:spacing w:before="25"/>
              <w:ind w:left="73" w:right="75"/>
              <w:rPr>
                <w:rFonts w:ascii="Calibri"/>
                <w:sz w:val="22"/>
              </w:rPr>
            </w:pPr>
            <w:r>
              <w:rPr>
                <w:rFonts w:ascii="Calibri"/>
                <w:sz w:val="22"/>
              </w:rPr>
              <w:t>7.98</w:t>
            </w:r>
          </w:p>
        </w:tc>
      </w:tr>
      <w:tr>
        <w:trPr>
          <w:trHeight w:val="310" w:hRule="exact"/>
        </w:trPr>
        <w:tc>
          <w:tcPr>
            <w:tcW w:w="3582" w:type="dxa"/>
          </w:tcPr>
          <w:p>
            <w:pPr>
              <w:pStyle w:val="TableParagraph"/>
              <w:spacing w:before="51"/>
              <w:ind w:left="64"/>
              <w:jc w:val="left"/>
              <w:rPr>
                <w:b/>
                <w:sz w:val="16"/>
              </w:rPr>
            </w:pPr>
            <w:r>
              <w:rPr>
                <w:b/>
                <w:color w:val="333333"/>
                <w:sz w:val="16"/>
              </w:rPr>
              <w:t>TEPOTZOTLAN</w:t>
            </w:r>
          </w:p>
        </w:tc>
        <w:tc>
          <w:tcPr>
            <w:tcW w:w="1001" w:type="dxa"/>
          </w:tcPr>
          <w:p>
            <w:pPr>
              <w:pStyle w:val="TableParagraph"/>
              <w:spacing w:before="25"/>
              <w:ind w:left="73" w:right="75"/>
              <w:rPr>
                <w:rFonts w:ascii="Calibri"/>
                <w:sz w:val="22"/>
              </w:rPr>
            </w:pPr>
            <w:r>
              <w:rPr>
                <w:rFonts w:ascii="Calibri"/>
                <w:sz w:val="22"/>
              </w:rPr>
              <w:t>8.70</w:t>
            </w:r>
          </w:p>
        </w:tc>
        <w:tc>
          <w:tcPr>
            <w:tcW w:w="1001" w:type="dxa"/>
          </w:tcPr>
          <w:p>
            <w:pPr>
              <w:pStyle w:val="TableParagraph"/>
              <w:spacing w:before="25"/>
              <w:ind w:left="73" w:right="75"/>
              <w:rPr>
                <w:rFonts w:ascii="Calibri"/>
                <w:sz w:val="22"/>
              </w:rPr>
            </w:pPr>
            <w:r>
              <w:rPr>
                <w:rFonts w:ascii="Calibri"/>
                <w:sz w:val="22"/>
              </w:rPr>
              <w:t>8.84</w:t>
            </w:r>
          </w:p>
        </w:tc>
      </w:tr>
      <w:tr>
        <w:trPr>
          <w:trHeight w:val="312" w:hRule="exact"/>
        </w:trPr>
        <w:tc>
          <w:tcPr>
            <w:tcW w:w="3582" w:type="dxa"/>
          </w:tcPr>
          <w:p>
            <w:pPr>
              <w:pStyle w:val="TableParagraph"/>
              <w:spacing w:before="51"/>
              <w:ind w:left="64"/>
              <w:jc w:val="left"/>
              <w:rPr>
                <w:b/>
                <w:sz w:val="16"/>
              </w:rPr>
            </w:pPr>
            <w:r>
              <w:rPr>
                <w:b/>
                <w:color w:val="333333"/>
                <w:sz w:val="16"/>
              </w:rPr>
              <w:t>TEQUIXQUIAC</w:t>
            </w:r>
          </w:p>
        </w:tc>
        <w:tc>
          <w:tcPr>
            <w:tcW w:w="1001" w:type="dxa"/>
          </w:tcPr>
          <w:p>
            <w:pPr>
              <w:pStyle w:val="TableParagraph"/>
              <w:spacing w:before="27"/>
              <w:ind w:left="73" w:right="75"/>
              <w:rPr>
                <w:rFonts w:ascii="Calibri"/>
                <w:sz w:val="22"/>
              </w:rPr>
            </w:pPr>
            <w:r>
              <w:rPr>
                <w:rFonts w:ascii="Calibri"/>
                <w:sz w:val="22"/>
              </w:rPr>
              <w:t>7.60</w:t>
            </w:r>
          </w:p>
        </w:tc>
        <w:tc>
          <w:tcPr>
            <w:tcW w:w="1001" w:type="dxa"/>
          </w:tcPr>
          <w:p>
            <w:pPr>
              <w:pStyle w:val="TableParagraph"/>
              <w:spacing w:before="27"/>
              <w:ind w:left="73" w:right="75"/>
              <w:rPr>
                <w:rFonts w:ascii="Calibri"/>
                <w:sz w:val="22"/>
              </w:rPr>
            </w:pPr>
            <w:r>
              <w:rPr>
                <w:rFonts w:ascii="Calibri"/>
                <w:sz w:val="22"/>
              </w:rPr>
              <w:t>8.19</w:t>
            </w:r>
          </w:p>
        </w:tc>
      </w:tr>
      <w:tr>
        <w:trPr>
          <w:trHeight w:val="310" w:hRule="exact"/>
        </w:trPr>
        <w:tc>
          <w:tcPr>
            <w:tcW w:w="3582" w:type="dxa"/>
          </w:tcPr>
          <w:p>
            <w:pPr>
              <w:pStyle w:val="TableParagraph"/>
              <w:spacing w:before="48"/>
              <w:ind w:left="64"/>
              <w:jc w:val="left"/>
              <w:rPr>
                <w:b/>
                <w:sz w:val="16"/>
              </w:rPr>
            </w:pPr>
            <w:r>
              <w:rPr>
                <w:b/>
                <w:color w:val="333333"/>
                <w:sz w:val="16"/>
              </w:rPr>
              <w:t>TEXCALTITLÁN</w:t>
            </w:r>
          </w:p>
        </w:tc>
        <w:tc>
          <w:tcPr>
            <w:tcW w:w="1001" w:type="dxa"/>
          </w:tcPr>
          <w:p>
            <w:pPr>
              <w:pStyle w:val="TableParagraph"/>
              <w:spacing w:before="25"/>
              <w:ind w:left="73" w:right="75"/>
              <w:rPr>
                <w:rFonts w:ascii="Calibri"/>
                <w:sz w:val="22"/>
              </w:rPr>
            </w:pPr>
            <w:r>
              <w:rPr>
                <w:rFonts w:ascii="Calibri"/>
                <w:sz w:val="22"/>
              </w:rPr>
              <w:t>6.20</w:t>
            </w:r>
          </w:p>
        </w:tc>
        <w:tc>
          <w:tcPr>
            <w:tcW w:w="1001" w:type="dxa"/>
          </w:tcPr>
          <w:p>
            <w:pPr>
              <w:pStyle w:val="TableParagraph"/>
              <w:spacing w:before="25"/>
              <w:ind w:left="73" w:right="75"/>
              <w:rPr>
                <w:rFonts w:ascii="Calibri"/>
                <w:sz w:val="22"/>
              </w:rPr>
            </w:pPr>
            <w:r>
              <w:rPr>
                <w:rFonts w:ascii="Calibri"/>
                <w:sz w:val="22"/>
              </w:rPr>
              <w:t>6.97</w:t>
            </w:r>
          </w:p>
        </w:tc>
      </w:tr>
      <w:tr>
        <w:trPr>
          <w:trHeight w:val="310" w:hRule="exact"/>
        </w:trPr>
        <w:tc>
          <w:tcPr>
            <w:tcW w:w="3582" w:type="dxa"/>
          </w:tcPr>
          <w:p>
            <w:pPr>
              <w:pStyle w:val="TableParagraph"/>
              <w:spacing w:before="48"/>
              <w:ind w:left="64"/>
              <w:jc w:val="left"/>
              <w:rPr>
                <w:b/>
                <w:sz w:val="16"/>
              </w:rPr>
            </w:pPr>
            <w:r>
              <w:rPr>
                <w:b/>
                <w:color w:val="333333"/>
                <w:sz w:val="16"/>
              </w:rPr>
              <w:t>TEXCALYACAC</w:t>
            </w:r>
          </w:p>
        </w:tc>
        <w:tc>
          <w:tcPr>
            <w:tcW w:w="1001" w:type="dxa"/>
          </w:tcPr>
          <w:p>
            <w:pPr>
              <w:pStyle w:val="TableParagraph"/>
              <w:spacing w:before="25"/>
              <w:ind w:left="73" w:right="75"/>
              <w:rPr>
                <w:rFonts w:ascii="Calibri"/>
                <w:sz w:val="22"/>
              </w:rPr>
            </w:pPr>
            <w:r>
              <w:rPr>
                <w:rFonts w:ascii="Calibri"/>
                <w:sz w:val="22"/>
              </w:rPr>
              <w:t>8.70</w:t>
            </w:r>
          </w:p>
        </w:tc>
        <w:tc>
          <w:tcPr>
            <w:tcW w:w="1001" w:type="dxa"/>
          </w:tcPr>
          <w:p>
            <w:pPr>
              <w:pStyle w:val="TableParagraph"/>
              <w:spacing w:before="25"/>
              <w:ind w:left="73" w:right="75"/>
              <w:rPr>
                <w:rFonts w:ascii="Calibri"/>
                <w:sz w:val="22"/>
              </w:rPr>
            </w:pPr>
            <w:r>
              <w:rPr>
                <w:rFonts w:ascii="Calibri"/>
                <w:sz w:val="22"/>
              </w:rPr>
              <w:t>8.82</w:t>
            </w:r>
          </w:p>
        </w:tc>
      </w:tr>
      <w:tr>
        <w:trPr>
          <w:trHeight w:val="310" w:hRule="exact"/>
        </w:trPr>
        <w:tc>
          <w:tcPr>
            <w:tcW w:w="3582" w:type="dxa"/>
          </w:tcPr>
          <w:p>
            <w:pPr>
              <w:pStyle w:val="TableParagraph"/>
              <w:spacing w:before="48"/>
              <w:ind w:left="64"/>
              <w:jc w:val="left"/>
              <w:rPr>
                <w:b/>
                <w:sz w:val="16"/>
              </w:rPr>
            </w:pPr>
            <w:r>
              <w:rPr>
                <w:b/>
                <w:color w:val="333333"/>
                <w:sz w:val="16"/>
              </w:rPr>
              <w:t>TEXCOCO</w:t>
            </w:r>
          </w:p>
        </w:tc>
        <w:tc>
          <w:tcPr>
            <w:tcW w:w="1001" w:type="dxa"/>
          </w:tcPr>
          <w:p>
            <w:pPr>
              <w:pStyle w:val="TableParagraph"/>
              <w:spacing w:before="25"/>
              <w:ind w:left="73" w:right="75"/>
              <w:rPr>
                <w:rFonts w:ascii="Calibri"/>
                <w:sz w:val="22"/>
              </w:rPr>
            </w:pPr>
            <w:r>
              <w:rPr>
                <w:rFonts w:ascii="Calibri"/>
                <w:sz w:val="22"/>
              </w:rPr>
              <w:t>9.40</w:t>
            </w:r>
          </w:p>
        </w:tc>
        <w:tc>
          <w:tcPr>
            <w:tcW w:w="1001" w:type="dxa"/>
          </w:tcPr>
          <w:p>
            <w:pPr>
              <w:pStyle w:val="TableParagraph"/>
              <w:spacing w:before="25"/>
              <w:ind w:left="73" w:right="75"/>
              <w:rPr>
                <w:rFonts w:ascii="Calibri"/>
                <w:sz w:val="22"/>
              </w:rPr>
            </w:pPr>
            <w:r>
              <w:rPr>
                <w:rFonts w:ascii="Calibri"/>
                <w:sz w:val="22"/>
              </w:rPr>
              <w:t>9.67</w:t>
            </w:r>
          </w:p>
        </w:tc>
      </w:tr>
      <w:tr>
        <w:trPr>
          <w:trHeight w:val="310" w:hRule="exact"/>
        </w:trPr>
        <w:tc>
          <w:tcPr>
            <w:tcW w:w="3582" w:type="dxa"/>
          </w:tcPr>
          <w:p>
            <w:pPr>
              <w:pStyle w:val="TableParagraph"/>
              <w:spacing w:before="48"/>
              <w:ind w:left="64"/>
              <w:jc w:val="left"/>
              <w:rPr>
                <w:b/>
                <w:sz w:val="16"/>
              </w:rPr>
            </w:pPr>
            <w:r>
              <w:rPr>
                <w:b/>
                <w:color w:val="333333"/>
                <w:sz w:val="16"/>
              </w:rPr>
              <w:t>TEZOYUCA</w:t>
            </w:r>
          </w:p>
        </w:tc>
        <w:tc>
          <w:tcPr>
            <w:tcW w:w="1001" w:type="dxa"/>
          </w:tcPr>
          <w:p>
            <w:pPr>
              <w:pStyle w:val="TableParagraph"/>
              <w:spacing w:before="25"/>
              <w:ind w:left="73" w:right="75"/>
              <w:rPr>
                <w:rFonts w:ascii="Calibri"/>
                <w:sz w:val="22"/>
              </w:rPr>
            </w:pPr>
            <w:r>
              <w:rPr>
                <w:rFonts w:ascii="Calibri"/>
                <w:sz w:val="22"/>
              </w:rPr>
              <w:t>8.40</w:t>
            </w:r>
          </w:p>
        </w:tc>
        <w:tc>
          <w:tcPr>
            <w:tcW w:w="1001" w:type="dxa"/>
          </w:tcPr>
          <w:p>
            <w:pPr>
              <w:pStyle w:val="TableParagraph"/>
              <w:spacing w:before="25"/>
              <w:ind w:left="73" w:right="73"/>
              <w:rPr>
                <w:rFonts w:ascii="Calibri"/>
                <w:sz w:val="22"/>
              </w:rPr>
            </w:pPr>
            <w:r>
              <w:rPr>
                <w:rFonts w:ascii="Calibri"/>
                <w:sz w:val="22"/>
              </w:rPr>
              <w:t>8.60</w:t>
            </w:r>
          </w:p>
        </w:tc>
      </w:tr>
      <w:tr>
        <w:trPr>
          <w:trHeight w:val="310" w:hRule="exact"/>
        </w:trPr>
        <w:tc>
          <w:tcPr>
            <w:tcW w:w="3582" w:type="dxa"/>
          </w:tcPr>
          <w:p>
            <w:pPr>
              <w:pStyle w:val="TableParagraph"/>
              <w:spacing w:before="51"/>
              <w:ind w:left="64"/>
              <w:jc w:val="left"/>
              <w:rPr>
                <w:b/>
                <w:sz w:val="16"/>
              </w:rPr>
            </w:pPr>
            <w:r>
              <w:rPr>
                <w:b/>
                <w:color w:val="333333"/>
                <w:sz w:val="16"/>
              </w:rPr>
              <w:t>TIANGUISTENCO</w:t>
            </w:r>
          </w:p>
        </w:tc>
        <w:tc>
          <w:tcPr>
            <w:tcW w:w="1001" w:type="dxa"/>
          </w:tcPr>
          <w:p>
            <w:pPr>
              <w:pStyle w:val="TableParagraph"/>
              <w:spacing w:before="25"/>
              <w:ind w:left="73" w:right="75"/>
              <w:rPr>
                <w:rFonts w:ascii="Calibri"/>
                <w:sz w:val="22"/>
              </w:rPr>
            </w:pPr>
            <w:r>
              <w:rPr>
                <w:rFonts w:ascii="Calibri"/>
                <w:sz w:val="22"/>
              </w:rPr>
              <w:t>8.10</w:t>
            </w:r>
          </w:p>
        </w:tc>
        <w:tc>
          <w:tcPr>
            <w:tcW w:w="1001" w:type="dxa"/>
          </w:tcPr>
          <w:p>
            <w:pPr>
              <w:pStyle w:val="TableParagraph"/>
              <w:spacing w:before="25"/>
              <w:ind w:left="73" w:right="75"/>
              <w:rPr>
                <w:rFonts w:ascii="Calibri"/>
                <w:sz w:val="22"/>
              </w:rPr>
            </w:pPr>
            <w:r>
              <w:rPr>
                <w:rFonts w:ascii="Calibri"/>
                <w:sz w:val="22"/>
              </w:rPr>
              <w:t>8.60</w:t>
            </w:r>
          </w:p>
        </w:tc>
      </w:tr>
      <w:tr>
        <w:trPr>
          <w:trHeight w:val="312" w:hRule="exact"/>
        </w:trPr>
        <w:tc>
          <w:tcPr>
            <w:tcW w:w="3582" w:type="dxa"/>
          </w:tcPr>
          <w:p>
            <w:pPr>
              <w:pStyle w:val="TableParagraph"/>
              <w:spacing w:before="51"/>
              <w:ind w:left="64"/>
              <w:jc w:val="left"/>
              <w:rPr>
                <w:b/>
                <w:sz w:val="16"/>
              </w:rPr>
            </w:pPr>
            <w:r>
              <w:rPr>
                <w:b/>
                <w:color w:val="333333"/>
                <w:sz w:val="16"/>
              </w:rPr>
              <w:t>TIMILPAN</w:t>
            </w:r>
          </w:p>
        </w:tc>
        <w:tc>
          <w:tcPr>
            <w:tcW w:w="1001" w:type="dxa"/>
          </w:tcPr>
          <w:p>
            <w:pPr>
              <w:pStyle w:val="TableParagraph"/>
              <w:spacing w:before="27"/>
              <w:ind w:left="73" w:right="75"/>
              <w:rPr>
                <w:rFonts w:ascii="Calibri"/>
                <w:sz w:val="22"/>
              </w:rPr>
            </w:pPr>
            <w:r>
              <w:rPr>
                <w:rFonts w:ascii="Calibri"/>
                <w:sz w:val="22"/>
              </w:rPr>
              <w:t>6.70</w:t>
            </w:r>
          </w:p>
        </w:tc>
        <w:tc>
          <w:tcPr>
            <w:tcW w:w="1001" w:type="dxa"/>
          </w:tcPr>
          <w:p>
            <w:pPr>
              <w:pStyle w:val="TableParagraph"/>
              <w:spacing w:before="27"/>
              <w:ind w:left="73" w:right="75"/>
              <w:rPr>
                <w:rFonts w:ascii="Calibri"/>
                <w:sz w:val="22"/>
              </w:rPr>
            </w:pPr>
            <w:r>
              <w:rPr>
                <w:rFonts w:ascii="Calibri"/>
                <w:sz w:val="22"/>
              </w:rPr>
              <w:t>7.23</w:t>
            </w:r>
          </w:p>
        </w:tc>
      </w:tr>
      <w:tr>
        <w:trPr>
          <w:trHeight w:val="310" w:hRule="exact"/>
        </w:trPr>
        <w:tc>
          <w:tcPr>
            <w:tcW w:w="3582" w:type="dxa"/>
          </w:tcPr>
          <w:p>
            <w:pPr>
              <w:pStyle w:val="TableParagraph"/>
              <w:spacing w:before="48"/>
              <w:ind w:left="64"/>
              <w:jc w:val="left"/>
              <w:rPr>
                <w:b/>
                <w:sz w:val="16"/>
              </w:rPr>
            </w:pPr>
            <w:r>
              <w:rPr>
                <w:b/>
                <w:color w:val="333333"/>
                <w:sz w:val="16"/>
              </w:rPr>
              <w:t>TLALMANALCO</w:t>
            </w:r>
          </w:p>
        </w:tc>
        <w:tc>
          <w:tcPr>
            <w:tcW w:w="1001" w:type="dxa"/>
          </w:tcPr>
          <w:p>
            <w:pPr>
              <w:pStyle w:val="TableParagraph"/>
              <w:spacing w:before="25"/>
              <w:ind w:left="73" w:right="75"/>
              <w:rPr>
                <w:rFonts w:ascii="Calibri"/>
                <w:sz w:val="22"/>
              </w:rPr>
            </w:pPr>
            <w:r>
              <w:rPr>
                <w:rFonts w:ascii="Calibri"/>
                <w:sz w:val="22"/>
              </w:rPr>
              <w:t>9.10</w:t>
            </w:r>
          </w:p>
        </w:tc>
        <w:tc>
          <w:tcPr>
            <w:tcW w:w="1001" w:type="dxa"/>
          </w:tcPr>
          <w:p>
            <w:pPr>
              <w:pStyle w:val="TableParagraph"/>
              <w:spacing w:before="25"/>
              <w:ind w:left="73" w:right="75"/>
              <w:rPr>
                <w:rFonts w:ascii="Calibri"/>
                <w:sz w:val="22"/>
              </w:rPr>
            </w:pPr>
            <w:r>
              <w:rPr>
                <w:rFonts w:ascii="Calibri"/>
                <w:sz w:val="22"/>
              </w:rPr>
              <w:t>9.44</w:t>
            </w:r>
          </w:p>
        </w:tc>
      </w:tr>
      <w:tr>
        <w:trPr>
          <w:trHeight w:val="310" w:hRule="exact"/>
        </w:trPr>
        <w:tc>
          <w:tcPr>
            <w:tcW w:w="3582" w:type="dxa"/>
          </w:tcPr>
          <w:p>
            <w:pPr>
              <w:pStyle w:val="TableParagraph"/>
              <w:spacing w:before="48"/>
              <w:ind w:left="64"/>
              <w:jc w:val="left"/>
              <w:rPr>
                <w:b/>
                <w:sz w:val="16"/>
              </w:rPr>
            </w:pPr>
            <w:r>
              <w:rPr>
                <w:b/>
                <w:color w:val="333333"/>
                <w:sz w:val="16"/>
              </w:rPr>
              <w:t>TLALNEPANTLA DE BAZ</w:t>
            </w:r>
          </w:p>
        </w:tc>
        <w:tc>
          <w:tcPr>
            <w:tcW w:w="1001" w:type="dxa"/>
          </w:tcPr>
          <w:p>
            <w:pPr>
              <w:pStyle w:val="TableParagraph"/>
              <w:spacing w:before="26"/>
              <w:ind w:left="73" w:right="75"/>
              <w:rPr>
                <w:rFonts w:ascii="Calibri"/>
                <w:sz w:val="22"/>
              </w:rPr>
            </w:pPr>
            <w:r>
              <w:rPr>
                <w:rFonts w:ascii="Calibri"/>
                <w:sz w:val="22"/>
              </w:rPr>
              <w:t>9.70</w:t>
            </w:r>
          </w:p>
        </w:tc>
        <w:tc>
          <w:tcPr>
            <w:tcW w:w="1001" w:type="dxa"/>
          </w:tcPr>
          <w:p>
            <w:pPr>
              <w:pStyle w:val="TableParagraph"/>
              <w:spacing w:before="26"/>
              <w:ind w:left="73" w:right="74"/>
              <w:rPr>
                <w:rFonts w:ascii="Calibri"/>
                <w:sz w:val="22"/>
              </w:rPr>
            </w:pPr>
            <w:r>
              <w:rPr>
                <w:rFonts w:ascii="Calibri"/>
                <w:sz w:val="22"/>
              </w:rPr>
              <w:t>10.04</w:t>
            </w:r>
          </w:p>
        </w:tc>
      </w:tr>
      <w:tr>
        <w:trPr>
          <w:trHeight w:val="310" w:hRule="exact"/>
        </w:trPr>
        <w:tc>
          <w:tcPr>
            <w:tcW w:w="3582" w:type="dxa"/>
          </w:tcPr>
          <w:p>
            <w:pPr>
              <w:pStyle w:val="TableParagraph"/>
              <w:spacing w:before="48"/>
              <w:ind w:left="64"/>
              <w:jc w:val="left"/>
              <w:rPr>
                <w:b/>
                <w:sz w:val="16"/>
              </w:rPr>
            </w:pPr>
            <w:r>
              <w:rPr>
                <w:b/>
                <w:color w:val="333333"/>
                <w:sz w:val="16"/>
              </w:rPr>
              <w:t>TLATLAYA</w:t>
            </w:r>
          </w:p>
        </w:tc>
        <w:tc>
          <w:tcPr>
            <w:tcW w:w="1001" w:type="dxa"/>
          </w:tcPr>
          <w:p>
            <w:pPr>
              <w:pStyle w:val="TableParagraph"/>
              <w:spacing w:before="25"/>
              <w:ind w:left="73" w:right="75"/>
              <w:rPr>
                <w:rFonts w:ascii="Calibri"/>
                <w:sz w:val="22"/>
              </w:rPr>
            </w:pPr>
            <w:r>
              <w:rPr>
                <w:rFonts w:ascii="Calibri"/>
                <w:sz w:val="22"/>
              </w:rPr>
              <w:t>5.60</w:t>
            </w:r>
          </w:p>
        </w:tc>
        <w:tc>
          <w:tcPr>
            <w:tcW w:w="1001" w:type="dxa"/>
          </w:tcPr>
          <w:p>
            <w:pPr>
              <w:pStyle w:val="TableParagraph"/>
              <w:spacing w:before="25"/>
              <w:ind w:left="73" w:right="75"/>
              <w:rPr>
                <w:rFonts w:ascii="Calibri"/>
                <w:sz w:val="22"/>
              </w:rPr>
            </w:pPr>
            <w:r>
              <w:rPr>
                <w:rFonts w:ascii="Calibri"/>
                <w:sz w:val="22"/>
              </w:rPr>
              <w:t>6.21</w:t>
            </w:r>
          </w:p>
        </w:tc>
      </w:tr>
      <w:tr>
        <w:trPr>
          <w:trHeight w:val="310" w:hRule="exact"/>
        </w:trPr>
        <w:tc>
          <w:tcPr>
            <w:tcW w:w="3582" w:type="dxa"/>
          </w:tcPr>
          <w:p>
            <w:pPr>
              <w:pStyle w:val="TableParagraph"/>
              <w:spacing w:before="48"/>
              <w:ind w:left="64"/>
              <w:jc w:val="left"/>
              <w:rPr>
                <w:b/>
                <w:sz w:val="16"/>
              </w:rPr>
            </w:pPr>
            <w:r>
              <w:rPr>
                <w:b/>
                <w:color w:val="333333"/>
                <w:sz w:val="16"/>
              </w:rPr>
              <w:t>TOLUCA</w:t>
            </w:r>
          </w:p>
        </w:tc>
        <w:tc>
          <w:tcPr>
            <w:tcW w:w="1001" w:type="dxa"/>
          </w:tcPr>
          <w:p>
            <w:pPr>
              <w:pStyle w:val="TableParagraph"/>
              <w:spacing w:before="25"/>
              <w:ind w:left="73" w:right="75"/>
              <w:rPr>
                <w:rFonts w:ascii="Calibri"/>
                <w:sz w:val="22"/>
              </w:rPr>
            </w:pPr>
            <w:r>
              <w:rPr>
                <w:rFonts w:ascii="Calibri"/>
                <w:sz w:val="22"/>
              </w:rPr>
              <w:t>9.60</w:t>
            </w:r>
          </w:p>
        </w:tc>
        <w:tc>
          <w:tcPr>
            <w:tcW w:w="1001" w:type="dxa"/>
          </w:tcPr>
          <w:p>
            <w:pPr>
              <w:pStyle w:val="TableParagraph"/>
              <w:spacing w:before="25"/>
              <w:ind w:left="73" w:right="75"/>
              <w:rPr>
                <w:rFonts w:ascii="Calibri"/>
                <w:sz w:val="22"/>
              </w:rPr>
            </w:pPr>
            <w:r>
              <w:rPr>
                <w:rFonts w:ascii="Calibri"/>
                <w:sz w:val="22"/>
              </w:rPr>
              <w:t>9.95</w:t>
            </w:r>
          </w:p>
        </w:tc>
      </w:tr>
      <w:tr>
        <w:trPr>
          <w:trHeight w:val="310" w:hRule="exact"/>
        </w:trPr>
        <w:tc>
          <w:tcPr>
            <w:tcW w:w="3582" w:type="dxa"/>
          </w:tcPr>
          <w:p>
            <w:pPr>
              <w:pStyle w:val="TableParagraph"/>
              <w:spacing w:before="51"/>
              <w:ind w:left="64"/>
              <w:jc w:val="left"/>
              <w:rPr>
                <w:b/>
                <w:sz w:val="16"/>
              </w:rPr>
            </w:pPr>
            <w:r>
              <w:rPr>
                <w:b/>
                <w:color w:val="333333"/>
                <w:sz w:val="16"/>
              </w:rPr>
              <w:t>TONANITLA</w:t>
            </w:r>
          </w:p>
        </w:tc>
        <w:tc>
          <w:tcPr>
            <w:tcW w:w="1001" w:type="dxa"/>
          </w:tcPr>
          <w:p>
            <w:pPr>
              <w:pStyle w:val="TableParagraph"/>
              <w:spacing w:before="25"/>
              <w:ind w:left="73" w:right="75"/>
              <w:rPr>
                <w:rFonts w:ascii="Calibri"/>
                <w:sz w:val="22"/>
              </w:rPr>
            </w:pPr>
            <w:r>
              <w:rPr>
                <w:rFonts w:ascii="Calibri"/>
                <w:sz w:val="22"/>
              </w:rPr>
              <w:t>8.50</w:t>
            </w:r>
          </w:p>
        </w:tc>
        <w:tc>
          <w:tcPr>
            <w:tcW w:w="1001" w:type="dxa"/>
          </w:tcPr>
          <w:p>
            <w:pPr>
              <w:pStyle w:val="TableParagraph"/>
              <w:spacing w:before="25"/>
              <w:ind w:left="73" w:right="75"/>
              <w:rPr>
                <w:rFonts w:ascii="Calibri"/>
                <w:sz w:val="22"/>
              </w:rPr>
            </w:pPr>
            <w:r>
              <w:rPr>
                <w:rFonts w:ascii="Calibri"/>
                <w:sz w:val="22"/>
              </w:rPr>
              <w:t>8.82</w:t>
            </w:r>
          </w:p>
        </w:tc>
      </w:tr>
      <w:tr>
        <w:trPr>
          <w:trHeight w:val="312" w:hRule="exact"/>
        </w:trPr>
        <w:tc>
          <w:tcPr>
            <w:tcW w:w="3582" w:type="dxa"/>
          </w:tcPr>
          <w:p>
            <w:pPr>
              <w:pStyle w:val="TableParagraph"/>
              <w:spacing w:before="51"/>
              <w:ind w:left="64"/>
              <w:jc w:val="left"/>
              <w:rPr>
                <w:b/>
                <w:sz w:val="16"/>
              </w:rPr>
            </w:pPr>
            <w:r>
              <w:rPr>
                <w:b/>
                <w:color w:val="333333"/>
                <w:sz w:val="16"/>
              </w:rPr>
              <w:t>TONATICO</w:t>
            </w:r>
          </w:p>
        </w:tc>
        <w:tc>
          <w:tcPr>
            <w:tcW w:w="1001" w:type="dxa"/>
          </w:tcPr>
          <w:p>
            <w:pPr>
              <w:pStyle w:val="TableParagraph"/>
              <w:spacing w:before="27"/>
              <w:ind w:left="73" w:right="75"/>
              <w:rPr>
                <w:rFonts w:ascii="Calibri"/>
                <w:sz w:val="22"/>
              </w:rPr>
            </w:pPr>
            <w:r>
              <w:rPr>
                <w:rFonts w:ascii="Calibri"/>
                <w:sz w:val="22"/>
              </w:rPr>
              <w:t>6.70</w:t>
            </w:r>
          </w:p>
        </w:tc>
        <w:tc>
          <w:tcPr>
            <w:tcW w:w="1001" w:type="dxa"/>
          </w:tcPr>
          <w:p>
            <w:pPr>
              <w:pStyle w:val="TableParagraph"/>
              <w:spacing w:before="27"/>
              <w:ind w:left="73" w:right="75"/>
              <w:rPr>
                <w:rFonts w:ascii="Calibri"/>
                <w:sz w:val="22"/>
              </w:rPr>
            </w:pPr>
            <w:r>
              <w:rPr>
                <w:rFonts w:ascii="Calibri"/>
                <w:sz w:val="22"/>
              </w:rPr>
              <w:t>7.36</w:t>
            </w:r>
          </w:p>
        </w:tc>
      </w:tr>
      <w:tr>
        <w:trPr>
          <w:trHeight w:val="310" w:hRule="exact"/>
        </w:trPr>
        <w:tc>
          <w:tcPr>
            <w:tcW w:w="3582" w:type="dxa"/>
          </w:tcPr>
          <w:p>
            <w:pPr>
              <w:pStyle w:val="TableParagraph"/>
              <w:spacing w:before="48"/>
              <w:ind w:left="64"/>
              <w:jc w:val="left"/>
              <w:rPr>
                <w:b/>
                <w:sz w:val="16"/>
              </w:rPr>
            </w:pPr>
            <w:r>
              <w:rPr>
                <w:b/>
                <w:color w:val="333333"/>
                <w:sz w:val="16"/>
              </w:rPr>
              <w:t>TULTEPEC</w:t>
            </w:r>
          </w:p>
        </w:tc>
        <w:tc>
          <w:tcPr>
            <w:tcW w:w="1001" w:type="dxa"/>
          </w:tcPr>
          <w:p>
            <w:pPr>
              <w:pStyle w:val="TableParagraph"/>
              <w:spacing w:before="25"/>
              <w:ind w:left="73" w:right="75"/>
              <w:rPr>
                <w:rFonts w:ascii="Calibri"/>
                <w:sz w:val="22"/>
              </w:rPr>
            </w:pPr>
            <w:r>
              <w:rPr>
                <w:rFonts w:ascii="Calibri"/>
                <w:sz w:val="22"/>
              </w:rPr>
              <w:t>8.90</w:t>
            </w:r>
          </w:p>
        </w:tc>
        <w:tc>
          <w:tcPr>
            <w:tcW w:w="1001" w:type="dxa"/>
          </w:tcPr>
          <w:p>
            <w:pPr>
              <w:pStyle w:val="TableParagraph"/>
              <w:spacing w:before="25"/>
              <w:ind w:left="73" w:right="75"/>
              <w:rPr>
                <w:rFonts w:ascii="Calibri"/>
                <w:sz w:val="22"/>
              </w:rPr>
            </w:pPr>
            <w:r>
              <w:rPr>
                <w:rFonts w:ascii="Calibri"/>
                <w:sz w:val="22"/>
              </w:rPr>
              <w:t>9.62</w:t>
            </w:r>
          </w:p>
        </w:tc>
      </w:tr>
      <w:tr>
        <w:trPr>
          <w:trHeight w:val="310" w:hRule="exact"/>
        </w:trPr>
        <w:tc>
          <w:tcPr>
            <w:tcW w:w="3582" w:type="dxa"/>
          </w:tcPr>
          <w:p>
            <w:pPr>
              <w:pStyle w:val="TableParagraph"/>
              <w:spacing w:before="48"/>
              <w:ind w:left="64"/>
              <w:jc w:val="left"/>
              <w:rPr>
                <w:b/>
                <w:sz w:val="16"/>
              </w:rPr>
            </w:pPr>
            <w:r>
              <w:rPr>
                <w:b/>
                <w:color w:val="333333"/>
                <w:sz w:val="16"/>
              </w:rPr>
              <w:t>TULTITLAN</w:t>
            </w:r>
          </w:p>
        </w:tc>
        <w:tc>
          <w:tcPr>
            <w:tcW w:w="1001" w:type="dxa"/>
          </w:tcPr>
          <w:p>
            <w:pPr>
              <w:pStyle w:val="TableParagraph"/>
              <w:spacing w:before="25"/>
              <w:ind w:left="73" w:right="75"/>
              <w:rPr>
                <w:rFonts w:ascii="Calibri"/>
                <w:sz w:val="22"/>
              </w:rPr>
            </w:pPr>
            <w:r>
              <w:rPr>
                <w:rFonts w:ascii="Calibri"/>
                <w:sz w:val="22"/>
              </w:rPr>
              <w:t>9.30</w:t>
            </w:r>
          </w:p>
        </w:tc>
        <w:tc>
          <w:tcPr>
            <w:tcW w:w="1001" w:type="dxa"/>
          </w:tcPr>
          <w:p>
            <w:pPr>
              <w:pStyle w:val="TableParagraph"/>
              <w:spacing w:before="25"/>
              <w:ind w:left="73" w:right="75"/>
              <w:rPr>
                <w:rFonts w:ascii="Calibri"/>
                <w:sz w:val="22"/>
              </w:rPr>
            </w:pPr>
            <w:r>
              <w:rPr>
                <w:rFonts w:ascii="Calibri"/>
                <w:sz w:val="22"/>
              </w:rPr>
              <w:t>9.64</w:t>
            </w:r>
          </w:p>
        </w:tc>
      </w:tr>
    </w:tbl>
    <w:p>
      <w:pPr>
        <w:spacing w:after="0"/>
        <w:rPr>
          <w:rFonts w:ascii="Calibri"/>
          <w:sz w:val="22"/>
        </w:rPr>
        <w:sectPr>
          <w:pgSz w:w="12240" w:h="15840"/>
          <w:pgMar w:header="0" w:footer="975" w:top="1420" w:bottom="1160" w:left="1720" w:right="1720"/>
        </w:sectPr>
      </w:pPr>
    </w:p>
    <w:tbl>
      <w:tblPr>
        <w:tblW w:w="0" w:type="auto"/>
        <w:jc w:val="left"/>
        <w:tblInd w:w="15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82"/>
        <w:gridCol w:w="1001"/>
        <w:gridCol w:w="1001"/>
      </w:tblGrid>
      <w:tr>
        <w:trPr>
          <w:trHeight w:val="546" w:hRule="exact"/>
        </w:trPr>
        <w:tc>
          <w:tcPr>
            <w:tcW w:w="5583" w:type="dxa"/>
            <w:gridSpan w:val="3"/>
            <w:shd w:val="clear" w:color="auto" w:fill="92D050"/>
          </w:tcPr>
          <w:p>
            <w:pPr>
              <w:pStyle w:val="TableParagraph"/>
              <w:spacing w:line="237" w:lineRule="auto"/>
              <w:ind w:left="1582" w:right="58" w:hanging="1508"/>
              <w:jc w:val="left"/>
              <w:rPr>
                <w:rFonts w:ascii="Calibri" w:hAnsi="Calibri"/>
                <w:b/>
                <w:sz w:val="22"/>
              </w:rPr>
            </w:pPr>
            <w:r>
              <w:rPr>
                <w:rFonts w:ascii="Calibri" w:hAnsi="Calibri"/>
                <w:b/>
                <w:sz w:val="22"/>
              </w:rPr>
              <w:t>Anexo 3. Grado de escolaridad de los municipios del Estado de México (Termina tabla)</w:t>
            </w:r>
          </w:p>
        </w:tc>
      </w:tr>
      <w:tr>
        <w:trPr>
          <w:trHeight w:val="312" w:hRule="exact"/>
        </w:trPr>
        <w:tc>
          <w:tcPr>
            <w:tcW w:w="3582" w:type="dxa"/>
            <w:shd w:val="clear" w:color="auto" w:fill="92D050"/>
          </w:tcPr>
          <w:p>
            <w:pPr>
              <w:pStyle w:val="TableParagraph"/>
              <w:spacing w:before="27"/>
              <w:ind w:left="1306" w:right="1306"/>
              <w:rPr>
                <w:rFonts w:ascii="Calibri"/>
                <w:b/>
                <w:sz w:val="22"/>
              </w:rPr>
            </w:pPr>
            <w:r>
              <w:rPr>
                <w:rFonts w:ascii="Calibri"/>
                <w:b/>
                <w:sz w:val="22"/>
              </w:rPr>
              <w:t>Municipio</w:t>
            </w:r>
          </w:p>
        </w:tc>
        <w:tc>
          <w:tcPr>
            <w:tcW w:w="1001" w:type="dxa"/>
            <w:shd w:val="clear" w:color="auto" w:fill="92D050"/>
          </w:tcPr>
          <w:p>
            <w:pPr>
              <w:pStyle w:val="TableParagraph"/>
              <w:spacing w:before="27"/>
              <w:ind w:left="73" w:right="74"/>
              <w:rPr>
                <w:rFonts w:ascii="Calibri"/>
                <w:b/>
                <w:sz w:val="22"/>
              </w:rPr>
            </w:pPr>
            <w:r>
              <w:rPr>
                <w:rFonts w:ascii="Calibri"/>
                <w:b/>
                <w:sz w:val="22"/>
              </w:rPr>
              <w:t>GE 2005</w:t>
            </w:r>
          </w:p>
        </w:tc>
        <w:tc>
          <w:tcPr>
            <w:tcW w:w="1001" w:type="dxa"/>
            <w:shd w:val="clear" w:color="auto" w:fill="92D050"/>
          </w:tcPr>
          <w:p>
            <w:pPr>
              <w:pStyle w:val="TableParagraph"/>
              <w:spacing w:before="27"/>
              <w:ind w:left="73" w:right="74"/>
              <w:rPr>
                <w:rFonts w:ascii="Calibri"/>
                <w:b/>
                <w:sz w:val="22"/>
              </w:rPr>
            </w:pPr>
            <w:r>
              <w:rPr>
                <w:rFonts w:ascii="Calibri"/>
                <w:b/>
                <w:sz w:val="22"/>
              </w:rPr>
              <w:t>GE 2010</w:t>
            </w:r>
          </w:p>
        </w:tc>
      </w:tr>
      <w:tr>
        <w:trPr>
          <w:trHeight w:val="310" w:hRule="exact"/>
        </w:trPr>
        <w:tc>
          <w:tcPr>
            <w:tcW w:w="3582" w:type="dxa"/>
          </w:tcPr>
          <w:p>
            <w:pPr>
              <w:pStyle w:val="TableParagraph"/>
              <w:spacing w:before="48"/>
              <w:ind w:left="64"/>
              <w:jc w:val="left"/>
              <w:rPr>
                <w:b/>
                <w:sz w:val="16"/>
              </w:rPr>
            </w:pPr>
            <w:r>
              <w:rPr>
                <w:b/>
                <w:color w:val="333333"/>
                <w:sz w:val="16"/>
              </w:rPr>
              <w:t>VALLE DE BRAVO</w:t>
            </w:r>
          </w:p>
        </w:tc>
        <w:tc>
          <w:tcPr>
            <w:tcW w:w="1001" w:type="dxa"/>
          </w:tcPr>
          <w:p>
            <w:pPr>
              <w:pStyle w:val="TableParagraph"/>
              <w:spacing w:before="25"/>
              <w:ind w:left="73" w:right="75"/>
              <w:rPr>
                <w:rFonts w:ascii="Calibri"/>
                <w:sz w:val="22"/>
              </w:rPr>
            </w:pPr>
            <w:r>
              <w:rPr>
                <w:rFonts w:ascii="Calibri"/>
                <w:sz w:val="22"/>
              </w:rPr>
              <w:t>7.30</w:t>
            </w:r>
          </w:p>
        </w:tc>
        <w:tc>
          <w:tcPr>
            <w:tcW w:w="1001" w:type="dxa"/>
          </w:tcPr>
          <w:p>
            <w:pPr>
              <w:pStyle w:val="TableParagraph"/>
              <w:spacing w:before="25"/>
              <w:ind w:left="73" w:right="75"/>
              <w:rPr>
                <w:rFonts w:ascii="Calibri"/>
                <w:sz w:val="22"/>
              </w:rPr>
            </w:pPr>
            <w:r>
              <w:rPr>
                <w:rFonts w:ascii="Calibri"/>
                <w:sz w:val="22"/>
              </w:rPr>
              <w:t>7.92</w:t>
            </w:r>
          </w:p>
        </w:tc>
      </w:tr>
      <w:tr>
        <w:trPr>
          <w:trHeight w:val="310" w:hRule="exact"/>
        </w:trPr>
        <w:tc>
          <w:tcPr>
            <w:tcW w:w="3582" w:type="dxa"/>
          </w:tcPr>
          <w:p>
            <w:pPr>
              <w:pStyle w:val="TableParagraph"/>
              <w:spacing w:before="48"/>
              <w:ind w:left="64"/>
              <w:jc w:val="left"/>
              <w:rPr>
                <w:b/>
                <w:sz w:val="16"/>
              </w:rPr>
            </w:pPr>
            <w:r>
              <w:rPr>
                <w:b/>
                <w:color w:val="333333"/>
                <w:sz w:val="16"/>
              </w:rPr>
              <w:t>VALLE DE CHALCO SOLIDARIDAD</w:t>
            </w:r>
          </w:p>
        </w:tc>
        <w:tc>
          <w:tcPr>
            <w:tcW w:w="1001" w:type="dxa"/>
          </w:tcPr>
          <w:p>
            <w:pPr>
              <w:pStyle w:val="TableParagraph"/>
              <w:spacing w:before="25"/>
              <w:ind w:left="73" w:right="75"/>
              <w:rPr>
                <w:rFonts w:ascii="Calibri"/>
                <w:sz w:val="22"/>
              </w:rPr>
            </w:pPr>
            <w:r>
              <w:rPr>
                <w:rFonts w:ascii="Calibri"/>
                <w:sz w:val="22"/>
              </w:rPr>
              <w:t>7.70</w:t>
            </w:r>
          </w:p>
        </w:tc>
        <w:tc>
          <w:tcPr>
            <w:tcW w:w="1001" w:type="dxa"/>
          </w:tcPr>
          <w:p>
            <w:pPr>
              <w:pStyle w:val="TableParagraph"/>
              <w:spacing w:before="25"/>
              <w:ind w:left="73" w:right="75"/>
              <w:rPr>
                <w:rFonts w:ascii="Calibri"/>
                <w:sz w:val="22"/>
              </w:rPr>
            </w:pPr>
            <w:r>
              <w:rPr>
                <w:rFonts w:ascii="Calibri"/>
                <w:sz w:val="22"/>
              </w:rPr>
              <w:t>8.10</w:t>
            </w:r>
          </w:p>
        </w:tc>
      </w:tr>
      <w:tr>
        <w:trPr>
          <w:trHeight w:val="310" w:hRule="exact"/>
        </w:trPr>
        <w:tc>
          <w:tcPr>
            <w:tcW w:w="3582" w:type="dxa"/>
          </w:tcPr>
          <w:p>
            <w:pPr>
              <w:pStyle w:val="TableParagraph"/>
              <w:spacing w:before="48"/>
              <w:ind w:left="64"/>
              <w:jc w:val="left"/>
              <w:rPr>
                <w:b/>
                <w:sz w:val="16"/>
              </w:rPr>
            </w:pPr>
            <w:r>
              <w:rPr>
                <w:b/>
                <w:color w:val="333333"/>
                <w:sz w:val="16"/>
              </w:rPr>
              <w:t>VILLA DE ALLENDE</w:t>
            </w:r>
          </w:p>
        </w:tc>
        <w:tc>
          <w:tcPr>
            <w:tcW w:w="1001" w:type="dxa"/>
          </w:tcPr>
          <w:p>
            <w:pPr>
              <w:pStyle w:val="TableParagraph"/>
              <w:spacing w:before="25"/>
              <w:ind w:left="73" w:right="75"/>
              <w:rPr>
                <w:rFonts w:ascii="Calibri"/>
                <w:sz w:val="22"/>
              </w:rPr>
            </w:pPr>
            <w:r>
              <w:rPr>
                <w:rFonts w:ascii="Calibri"/>
                <w:sz w:val="22"/>
              </w:rPr>
              <w:t>5.20</w:t>
            </w:r>
          </w:p>
        </w:tc>
        <w:tc>
          <w:tcPr>
            <w:tcW w:w="1001" w:type="dxa"/>
          </w:tcPr>
          <w:p>
            <w:pPr>
              <w:pStyle w:val="TableParagraph"/>
              <w:spacing w:before="25"/>
              <w:ind w:left="73" w:right="75"/>
              <w:rPr>
                <w:rFonts w:ascii="Calibri"/>
                <w:sz w:val="22"/>
              </w:rPr>
            </w:pPr>
            <w:r>
              <w:rPr>
                <w:rFonts w:ascii="Calibri"/>
                <w:sz w:val="22"/>
              </w:rPr>
              <w:t>5.88</w:t>
            </w:r>
          </w:p>
        </w:tc>
      </w:tr>
      <w:tr>
        <w:trPr>
          <w:trHeight w:val="310" w:hRule="exact"/>
        </w:trPr>
        <w:tc>
          <w:tcPr>
            <w:tcW w:w="3582" w:type="dxa"/>
          </w:tcPr>
          <w:p>
            <w:pPr>
              <w:pStyle w:val="TableParagraph"/>
              <w:spacing w:before="48"/>
              <w:ind w:left="64"/>
              <w:jc w:val="left"/>
              <w:rPr>
                <w:b/>
                <w:sz w:val="16"/>
              </w:rPr>
            </w:pPr>
            <w:r>
              <w:rPr>
                <w:b/>
                <w:color w:val="333333"/>
                <w:sz w:val="16"/>
              </w:rPr>
              <w:t>VILLA DEL CARBON</w:t>
            </w:r>
          </w:p>
        </w:tc>
        <w:tc>
          <w:tcPr>
            <w:tcW w:w="1001" w:type="dxa"/>
          </w:tcPr>
          <w:p>
            <w:pPr>
              <w:pStyle w:val="TableParagraph"/>
              <w:spacing w:before="25"/>
              <w:ind w:left="73" w:right="75"/>
              <w:rPr>
                <w:rFonts w:ascii="Calibri"/>
                <w:sz w:val="22"/>
              </w:rPr>
            </w:pPr>
            <w:r>
              <w:rPr>
                <w:rFonts w:ascii="Calibri"/>
                <w:sz w:val="22"/>
              </w:rPr>
              <w:t>6.20</w:t>
            </w:r>
          </w:p>
        </w:tc>
        <w:tc>
          <w:tcPr>
            <w:tcW w:w="1001" w:type="dxa"/>
          </w:tcPr>
          <w:p>
            <w:pPr>
              <w:pStyle w:val="TableParagraph"/>
              <w:spacing w:before="25"/>
              <w:ind w:left="73" w:right="75"/>
              <w:rPr>
                <w:rFonts w:ascii="Calibri"/>
                <w:sz w:val="22"/>
              </w:rPr>
            </w:pPr>
            <w:r>
              <w:rPr>
                <w:rFonts w:ascii="Calibri"/>
                <w:sz w:val="22"/>
              </w:rPr>
              <w:t>6.78</w:t>
            </w:r>
          </w:p>
        </w:tc>
      </w:tr>
      <w:tr>
        <w:trPr>
          <w:trHeight w:val="310" w:hRule="exact"/>
        </w:trPr>
        <w:tc>
          <w:tcPr>
            <w:tcW w:w="3582" w:type="dxa"/>
          </w:tcPr>
          <w:p>
            <w:pPr>
              <w:pStyle w:val="TableParagraph"/>
              <w:spacing w:before="51"/>
              <w:ind w:left="64"/>
              <w:jc w:val="left"/>
              <w:rPr>
                <w:b/>
                <w:sz w:val="16"/>
              </w:rPr>
            </w:pPr>
            <w:r>
              <w:rPr>
                <w:b/>
                <w:color w:val="333333"/>
                <w:sz w:val="16"/>
              </w:rPr>
              <w:t>VILLA GUERRERO</w:t>
            </w:r>
          </w:p>
        </w:tc>
        <w:tc>
          <w:tcPr>
            <w:tcW w:w="1001" w:type="dxa"/>
          </w:tcPr>
          <w:p>
            <w:pPr>
              <w:pStyle w:val="TableParagraph"/>
              <w:spacing w:before="25"/>
              <w:ind w:left="73" w:right="75"/>
              <w:rPr>
                <w:rFonts w:ascii="Calibri"/>
                <w:sz w:val="22"/>
              </w:rPr>
            </w:pPr>
            <w:r>
              <w:rPr>
                <w:rFonts w:ascii="Calibri"/>
                <w:sz w:val="22"/>
              </w:rPr>
              <w:t>5.90</w:t>
            </w:r>
          </w:p>
        </w:tc>
        <w:tc>
          <w:tcPr>
            <w:tcW w:w="1001" w:type="dxa"/>
          </w:tcPr>
          <w:p>
            <w:pPr>
              <w:pStyle w:val="TableParagraph"/>
              <w:spacing w:before="25"/>
              <w:ind w:left="73" w:right="75"/>
              <w:rPr>
                <w:rFonts w:ascii="Calibri"/>
                <w:sz w:val="22"/>
              </w:rPr>
            </w:pPr>
            <w:r>
              <w:rPr>
                <w:rFonts w:ascii="Calibri"/>
                <w:sz w:val="22"/>
              </w:rPr>
              <w:t>6.39</w:t>
            </w:r>
          </w:p>
        </w:tc>
      </w:tr>
      <w:tr>
        <w:trPr>
          <w:trHeight w:val="312" w:hRule="exact"/>
        </w:trPr>
        <w:tc>
          <w:tcPr>
            <w:tcW w:w="3582" w:type="dxa"/>
          </w:tcPr>
          <w:p>
            <w:pPr>
              <w:pStyle w:val="TableParagraph"/>
              <w:spacing w:before="51"/>
              <w:ind w:left="64"/>
              <w:jc w:val="left"/>
              <w:rPr>
                <w:b/>
                <w:sz w:val="16"/>
              </w:rPr>
            </w:pPr>
            <w:r>
              <w:rPr>
                <w:b/>
                <w:color w:val="333333"/>
                <w:sz w:val="16"/>
              </w:rPr>
              <w:t>VILLA VICTORIA</w:t>
            </w:r>
          </w:p>
        </w:tc>
        <w:tc>
          <w:tcPr>
            <w:tcW w:w="1001" w:type="dxa"/>
          </w:tcPr>
          <w:p>
            <w:pPr>
              <w:pStyle w:val="TableParagraph"/>
              <w:spacing w:before="27"/>
              <w:ind w:left="73" w:right="75"/>
              <w:rPr>
                <w:rFonts w:ascii="Calibri"/>
                <w:sz w:val="22"/>
              </w:rPr>
            </w:pPr>
            <w:r>
              <w:rPr>
                <w:rFonts w:ascii="Calibri"/>
                <w:sz w:val="22"/>
              </w:rPr>
              <w:t>4.90</w:t>
            </w:r>
          </w:p>
        </w:tc>
        <w:tc>
          <w:tcPr>
            <w:tcW w:w="1001" w:type="dxa"/>
          </w:tcPr>
          <w:p>
            <w:pPr>
              <w:pStyle w:val="TableParagraph"/>
              <w:spacing w:before="27"/>
              <w:ind w:left="73" w:right="75"/>
              <w:rPr>
                <w:rFonts w:ascii="Calibri"/>
                <w:sz w:val="22"/>
              </w:rPr>
            </w:pPr>
            <w:r>
              <w:rPr>
                <w:rFonts w:ascii="Calibri"/>
                <w:sz w:val="22"/>
              </w:rPr>
              <w:t>5.55</w:t>
            </w:r>
          </w:p>
        </w:tc>
      </w:tr>
      <w:tr>
        <w:trPr>
          <w:trHeight w:val="310" w:hRule="exact"/>
        </w:trPr>
        <w:tc>
          <w:tcPr>
            <w:tcW w:w="3582" w:type="dxa"/>
          </w:tcPr>
          <w:p>
            <w:pPr>
              <w:pStyle w:val="TableParagraph"/>
              <w:spacing w:before="48"/>
              <w:ind w:left="64"/>
              <w:jc w:val="left"/>
              <w:rPr>
                <w:b/>
                <w:sz w:val="16"/>
              </w:rPr>
            </w:pPr>
            <w:r>
              <w:rPr>
                <w:b/>
                <w:color w:val="333333"/>
                <w:sz w:val="16"/>
              </w:rPr>
              <w:t>XALATLACO</w:t>
            </w:r>
          </w:p>
        </w:tc>
        <w:tc>
          <w:tcPr>
            <w:tcW w:w="1001" w:type="dxa"/>
          </w:tcPr>
          <w:p>
            <w:pPr>
              <w:pStyle w:val="TableParagraph"/>
              <w:spacing w:before="25"/>
              <w:ind w:left="73" w:right="75"/>
              <w:rPr>
                <w:rFonts w:ascii="Calibri"/>
                <w:sz w:val="22"/>
              </w:rPr>
            </w:pPr>
            <w:r>
              <w:rPr>
                <w:rFonts w:ascii="Calibri"/>
                <w:sz w:val="22"/>
              </w:rPr>
              <w:t>7.50</w:t>
            </w:r>
          </w:p>
        </w:tc>
        <w:tc>
          <w:tcPr>
            <w:tcW w:w="1001" w:type="dxa"/>
          </w:tcPr>
          <w:p>
            <w:pPr>
              <w:pStyle w:val="TableParagraph"/>
              <w:spacing w:before="25"/>
              <w:ind w:left="73" w:right="75"/>
              <w:rPr>
                <w:rFonts w:ascii="Calibri"/>
                <w:sz w:val="22"/>
              </w:rPr>
            </w:pPr>
            <w:r>
              <w:rPr>
                <w:rFonts w:ascii="Calibri"/>
                <w:sz w:val="22"/>
              </w:rPr>
              <w:t>8.02</w:t>
            </w:r>
          </w:p>
        </w:tc>
      </w:tr>
      <w:tr>
        <w:trPr>
          <w:trHeight w:val="310" w:hRule="exact"/>
        </w:trPr>
        <w:tc>
          <w:tcPr>
            <w:tcW w:w="3582" w:type="dxa"/>
          </w:tcPr>
          <w:p>
            <w:pPr>
              <w:pStyle w:val="TableParagraph"/>
              <w:spacing w:before="48"/>
              <w:ind w:left="64"/>
              <w:jc w:val="left"/>
              <w:rPr>
                <w:b/>
                <w:sz w:val="16"/>
              </w:rPr>
            </w:pPr>
            <w:r>
              <w:rPr>
                <w:b/>
                <w:color w:val="333333"/>
                <w:sz w:val="16"/>
              </w:rPr>
              <w:t>XONACATLAN</w:t>
            </w:r>
          </w:p>
        </w:tc>
        <w:tc>
          <w:tcPr>
            <w:tcW w:w="1001" w:type="dxa"/>
          </w:tcPr>
          <w:p>
            <w:pPr>
              <w:pStyle w:val="TableParagraph"/>
              <w:spacing w:before="25"/>
              <w:ind w:left="73" w:right="75"/>
              <w:rPr>
                <w:rFonts w:ascii="Calibri"/>
                <w:sz w:val="22"/>
              </w:rPr>
            </w:pPr>
            <w:r>
              <w:rPr>
                <w:rFonts w:ascii="Calibri"/>
                <w:sz w:val="22"/>
              </w:rPr>
              <w:t>7.70</w:t>
            </w:r>
          </w:p>
        </w:tc>
        <w:tc>
          <w:tcPr>
            <w:tcW w:w="1001" w:type="dxa"/>
          </w:tcPr>
          <w:p>
            <w:pPr>
              <w:pStyle w:val="TableParagraph"/>
              <w:spacing w:before="25"/>
              <w:ind w:left="73" w:right="75"/>
              <w:rPr>
                <w:rFonts w:ascii="Calibri"/>
                <w:sz w:val="22"/>
              </w:rPr>
            </w:pPr>
            <w:r>
              <w:rPr>
                <w:rFonts w:ascii="Calibri"/>
                <w:sz w:val="22"/>
              </w:rPr>
              <w:t>8.41</w:t>
            </w:r>
          </w:p>
        </w:tc>
      </w:tr>
      <w:tr>
        <w:trPr>
          <w:trHeight w:val="310" w:hRule="exact"/>
        </w:trPr>
        <w:tc>
          <w:tcPr>
            <w:tcW w:w="3582" w:type="dxa"/>
          </w:tcPr>
          <w:p>
            <w:pPr>
              <w:pStyle w:val="TableParagraph"/>
              <w:spacing w:before="48"/>
              <w:ind w:left="64"/>
              <w:jc w:val="left"/>
              <w:rPr>
                <w:b/>
                <w:sz w:val="16"/>
              </w:rPr>
            </w:pPr>
            <w:r>
              <w:rPr>
                <w:b/>
                <w:color w:val="333333"/>
                <w:sz w:val="16"/>
              </w:rPr>
              <w:t>ZACAZONAPAN</w:t>
            </w:r>
          </w:p>
        </w:tc>
        <w:tc>
          <w:tcPr>
            <w:tcW w:w="1001" w:type="dxa"/>
          </w:tcPr>
          <w:p>
            <w:pPr>
              <w:pStyle w:val="TableParagraph"/>
              <w:spacing w:before="25"/>
              <w:ind w:left="73" w:right="75"/>
              <w:rPr>
                <w:rFonts w:ascii="Calibri"/>
                <w:sz w:val="22"/>
              </w:rPr>
            </w:pPr>
            <w:r>
              <w:rPr>
                <w:rFonts w:ascii="Calibri"/>
                <w:sz w:val="22"/>
              </w:rPr>
              <w:t>5.90</w:t>
            </w:r>
          </w:p>
        </w:tc>
        <w:tc>
          <w:tcPr>
            <w:tcW w:w="1001" w:type="dxa"/>
          </w:tcPr>
          <w:p>
            <w:pPr>
              <w:pStyle w:val="TableParagraph"/>
              <w:spacing w:before="25"/>
              <w:ind w:left="73" w:right="75"/>
              <w:rPr>
                <w:rFonts w:ascii="Calibri"/>
                <w:sz w:val="22"/>
              </w:rPr>
            </w:pPr>
            <w:r>
              <w:rPr>
                <w:rFonts w:ascii="Calibri"/>
                <w:sz w:val="22"/>
              </w:rPr>
              <w:t>6.70</w:t>
            </w:r>
          </w:p>
        </w:tc>
      </w:tr>
      <w:tr>
        <w:trPr>
          <w:trHeight w:val="310" w:hRule="exact"/>
        </w:trPr>
        <w:tc>
          <w:tcPr>
            <w:tcW w:w="3582" w:type="dxa"/>
          </w:tcPr>
          <w:p>
            <w:pPr>
              <w:pStyle w:val="TableParagraph"/>
              <w:spacing w:before="49"/>
              <w:ind w:left="64"/>
              <w:jc w:val="left"/>
              <w:rPr>
                <w:b/>
                <w:sz w:val="16"/>
              </w:rPr>
            </w:pPr>
            <w:r>
              <w:rPr>
                <w:b/>
                <w:color w:val="333333"/>
                <w:sz w:val="16"/>
              </w:rPr>
              <w:t>ZACUALPAN</w:t>
            </w:r>
          </w:p>
        </w:tc>
        <w:tc>
          <w:tcPr>
            <w:tcW w:w="1001" w:type="dxa"/>
          </w:tcPr>
          <w:p>
            <w:pPr>
              <w:pStyle w:val="TableParagraph"/>
              <w:spacing w:before="26"/>
              <w:ind w:left="73" w:right="75"/>
              <w:rPr>
                <w:rFonts w:ascii="Calibri"/>
                <w:sz w:val="22"/>
              </w:rPr>
            </w:pPr>
            <w:r>
              <w:rPr>
                <w:rFonts w:ascii="Calibri"/>
                <w:sz w:val="22"/>
              </w:rPr>
              <w:t>5.50</w:t>
            </w:r>
          </w:p>
        </w:tc>
        <w:tc>
          <w:tcPr>
            <w:tcW w:w="1001" w:type="dxa"/>
          </w:tcPr>
          <w:p>
            <w:pPr>
              <w:pStyle w:val="TableParagraph"/>
              <w:spacing w:before="26"/>
              <w:ind w:left="73" w:right="75"/>
              <w:rPr>
                <w:rFonts w:ascii="Calibri"/>
                <w:sz w:val="22"/>
              </w:rPr>
            </w:pPr>
            <w:r>
              <w:rPr>
                <w:rFonts w:ascii="Calibri"/>
                <w:sz w:val="22"/>
              </w:rPr>
              <w:t>6.00</w:t>
            </w:r>
          </w:p>
        </w:tc>
      </w:tr>
      <w:tr>
        <w:trPr>
          <w:trHeight w:val="310" w:hRule="exact"/>
        </w:trPr>
        <w:tc>
          <w:tcPr>
            <w:tcW w:w="3582" w:type="dxa"/>
          </w:tcPr>
          <w:p>
            <w:pPr>
              <w:pStyle w:val="TableParagraph"/>
              <w:spacing w:before="51"/>
              <w:ind w:left="64"/>
              <w:jc w:val="left"/>
              <w:rPr>
                <w:b/>
                <w:sz w:val="16"/>
              </w:rPr>
            </w:pPr>
            <w:r>
              <w:rPr>
                <w:b/>
                <w:color w:val="333333"/>
                <w:sz w:val="16"/>
              </w:rPr>
              <w:t>ZINACANTEPEC</w:t>
            </w:r>
          </w:p>
        </w:tc>
        <w:tc>
          <w:tcPr>
            <w:tcW w:w="1001" w:type="dxa"/>
          </w:tcPr>
          <w:p>
            <w:pPr>
              <w:pStyle w:val="TableParagraph"/>
              <w:spacing w:before="25"/>
              <w:ind w:left="73" w:right="75"/>
              <w:rPr>
                <w:rFonts w:ascii="Calibri"/>
                <w:sz w:val="22"/>
              </w:rPr>
            </w:pPr>
            <w:r>
              <w:rPr>
                <w:rFonts w:ascii="Calibri"/>
                <w:sz w:val="22"/>
              </w:rPr>
              <w:t>7.60</w:t>
            </w:r>
          </w:p>
        </w:tc>
        <w:tc>
          <w:tcPr>
            <w:tcW w:w="1001" w:type="dxa"/>
          </w:tcPr>
          <w:p>
            <w:pPr>
              <w:pStyle w:val="TableParagraph"/>
              <w:spacing w:before="25"/>
              <w:ind w:left="73" w:right="75"/>
              <w:rPr>
                <w:rFonts w:ascii="Calibri"/>
                <w:sz w:val="22"/>
              </w:rPr>
            </w:pPr>
            <w:r>
              <w:rPr>
                <w:rFonts w:ascii="Calibri"/>
                <w:sz w:val="22"/>
              </w:rPr>
              <w:t>8.53</w:t>
            </w:r>
          </w:p>
        </w:tc>
      </w:tr>
      <w:tr>
        <w:trPr>
          <w:trHeight w:val="312" w:hRule="exact"/>
        </w:trPr>
        <w:tc>
          <w:tcPr>
            <w:tcW w:w="3582" w:type="dxa"/>
          </w:tcPr>
          <w:p>
            <w:pPr>
              <w:pStyle w:val="TableParagraph"/>
              <w:spacing w:before="51"/>
              <w:ind w:left="64"/>
              <w:jc w:val="left"/>
              <w:rPr>
                <w:b/>
                <w:sz w:val="16"/>
              </w:rPr>
            </w:pPr>
            <w:r>
              <w:rPr>
                <w:b/>
                <w:color w:val="333333"/>
                <w:sz w:val="16"/>
              </w:rPr>
              <w:t>ZUMPAHUACAN</w:t>
            </w:r>
          </w:p>
        </w:tc>
        <w:tc>
          <w:tcPr>
            <w:tcW w:w="1001" w:type="dxa"/>
          </w:tcPr>
          <w:p>
            <w:pPr>
              <w:pStyle w:val="TableParagraph"/>
              <w:spacing w:before="27"/>
              <w:ind w:left="73" w:right="75"/>
              <w:rPr>
                <w:rFonts w:ascii="Calibri"/>
                <w:sz w:val="22"/>
              </w:rPr>
            </w:pPr>
            <w:r>
              <w:rPr>
                <w:rFonts w:ascii="Calibri"/>
                <w:sz w:val="22"/>
              </w:rPr>
              <w:t>5.40</w:t>
            </w:r>
          </w:p>
        </w:tc>
        <w:tc>
          <w:tcPr>
            <w:tcW w:w="1001" w:type="dxa"/>
          </w:tcPr>
          <w:p>
            <w:pPr>
              <w:pStyle w:val="TableParagraph"/>
              <w:spacing w:before="27"/>
              <w:ind w:left="73" w:right="75"/>
              <w:rPr>
                <w:rFonts w:ascii="Calibri"/>
                <w:sz w:val="22"/>
              </w:rPr>
            </w:pPr>
            <w:r>
              <w:rPr>
                <w:rFonts w:ascii="Calibri"/>
                <w:sz w:val="22"/>
              </w:rPr>
              <w:t>6.10</w:t>
            </w:r>
          </w:p>
        </w:tc>
      </w:tr>
      <w:tr>
        <w:trPr>
          <w:trHeight w:val="310" w:hRule="exact"/>
        </w:trPr>
        <w:tc>
          <w:tcPr>
            <w:tcW w:w="3582" w:type="dxa"/>
          </w:tcPr>
          <w:p>
            <w:pPr>
              <w:pStyle w:val="TableParagraph"/>
              <w:spacing w:before="48"/>
              <w:ind w:left="64"/>
              <w:jc w:val="left"/>
              <w:rPr>
                <w:b/>
                <w:sz w:val="16"/>
              </w:rPr>
            </w:pPr>
            <w:r>
              <w:rPr>
                <w:b/>
                <w:color w:val="333333"/>
                <w:sz w:val="16"/>
              </w:rPr>
              <w:t>ZUMPANGO</w:t>
            </w:r>
          </w:p>
        </w:tc>
        <w:tc>
          <w:tcPr>
            <w:tcW w:w="1001" w:type="dxa"/>
          </w:tcPr>
          <w:p>
            <w:pPr>
              <w:pStyle w:val="TableParagraph"/>
              <w:spacing w:before="25"/>
              <w:ind w:left="73" w:right="75"/>
              <w:rPr>
                <w:rFonts w:ascii="Calibri"/>
                <w:sz w:val="22"/>
              </w:rPr>
            </w:pPr>
            <w:r>
              <w:rPr>
                <w:rFonts w:ascii="Calibri"/>
                <w:sz w:val="22"/>
              </w:rPr>
              <w:t>8.20</w:t>
            </w:r>
          </w:p>
        </w:tc>
        <w:tc>
          <w:tcPr>
            <w:tcW w:w="1001" w:type="dxa"/>
          </w:tcPr>
          <w:p>
            <w:pPr>
              <w:pStyle w:val="TableParagraph"/>
              <w:spacing w:before="25"/>
              <w:ind w:left="73" w:right="75"/>
              <w:rPr>
                <w:rFonts w:ascii="Calibri"/>
                <w:sz w:val="22"/>
              </w:rPr>
            </w:pPr>
            <w:r>
              <w:rPr>
                <w:rFonts w:ascii="Calibri"/>
                <w:sz w:val="22"/>
              </w:rPr>
              <w:t>8.81</w:t>
            </w:r>
          </w:p>
        </w:tc>
      </w:tr>
    </w:tbl>
    <w:p>
      <w:pPr>
        <w:spacing w:before="51"/>
        <w:ind w:left="1633" w:right="552" w:firstLine="0"/>
        <w:jc w:val="left"/>
        <w:rPr>
          <w:sz w:val="16"/>
        </w:rPr>
      </w:pPr>
      <w:r>
        <w:rPr>
          <w:sz w:val="16"/>
        </w:rPr>
        <w:t>Fuente: Elaboración propia con datos del INEGI.</w:t>
      </w:r>
    </w:p>
    <w:p>
      <w:pPr>
        <w:spacing w:after="0"/>
        <w:jc w:val="left"/>
        <w:rPr>
          <w:sz w:val="16"/>
        </w:rPr>
        <w:sectPr>
          <w:pgSz w:w="12240" w:h="15840"/>
          <w:pgMar w:header="0" w:footer="975" w:top="1420" w:bottom="1160" w:left="1720" w:right="17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after="1"/>
        <w:rPr>
          <w:rFonts w:ascii="Times New Roman"/>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82"/>
        <w:gridCol w:w="655"/>
        <w:gridCol w:w="761"/>
        <w:gridCol w:w="655"/>
        <w:gridCol w:w="655"/>
        <w:gridCol w:w="1604"/>
        <w:gridCol w:w="1733"/>
        <w:gridCol w:w="2062"/>
        <w:gridCol w:w="1397"/>
      </w:tblGrid>
      <w:tr>
        <w:trPr>
          <w:trHeight w:val="326" w:hRule="exact"/>
        </w:trPr>
        <w:tc>
          <w:tcPr>
            <w:tcW w:w="13404" w:type="dxa"/>
            <w:gridSpan w:val="9"/>
            <w:shd w:val="clear" w:color="auto" w:fill="92D050"/>
          </w:tcPr>
          <w:p>
            <w:pPr>
              <w:pStyle w:val="TableParagraph"/>
              <w:spacing w:before="102"/>
              <w:ind w:left="2678"/>
              <w:jc w:val="left"/>
              <w:rPr>
                <w:b/>
                <w:sz w:val="18"/>
              </w:rPr>
            </w:pPr>
            <w:r>
              <w:rPr>
                <w:b/>
                <w:sz w:val="18"/>
              </w:rPr>
              <w:t>Anexo 4. Alternancias políticas en los gobiernos municipales del Estado de México 1990-2015</w:t>
            </w:r>
          </w:p>
        </w:tc>
      </w:tr>
      <w:tr>
        <w:trPr>
          <w:trHeight w:val="324" w:hRule="exact"/>
        </w:trPr>
        <w:tc>
          <w:tcPr>
            <w:tcW w:w="3882" w:type="dxa"/>
            <w:shd w:val="clear" w:color="auto" w:fill="92D050"/>
          </w:tcPr>
          <w:p>
            <w:pPr>
              <w:pStyle w:val="TableParagraph"/>
              <w:spacing w:before="102"/>
              <w:ind w:left="1497" w:right="1494"/>
              <w:rPr>
                <w:b/>
                <w:sz w:val="18"/>
              </w:rPr>
            </w:pPr>
            <w:r>
              <w:rPr>
                <w:b/>
                <w:sz w:val="18"/>
              </w:rPr>
              <w:t>Municipio</w:t>
            </w:r>
          </w:p>
        </w:tc>
        <w:tc>
          <w:tcPr>
            <w:tcW w:w="655" w:type="dxa"/>
            <w:shd w:val="clear" w:color="auto" w:fill="92D050"/>
          </w:tcPr>
          <w:p>
            <w:pPr>
              <w:pStyle w:val="TableParagraph"/>
              <w:spacing w:before="102"/>
              <w:ind w:left="122"/>
              <w:jc w:val="left"/>
              <w:rPr>
                <w:b/>
                <w:sz w:val="18"/>
              </w:rPr>
            </w:pPr>
            <w:r>
              <w:rPr>
                <w:b/>
                <w:sz w:val="18"/>
              </w:rPr>
              <w:t>1990</w:t>
            </w:r>
          </w:p>
        </w:tc>
        <w:tc>
          <w:tcPr>
            <w:tcW w:w="761" w:type="dxa"/>
            <w:shd w:val="clear" w:color="auto" w:fill="92D050"/>
          </w:tcPr>
          <w:p>
            <w:pPr>
              <w:pStyle w:val="TableParagraph"/>
              <w:spacing w:before="102"/>
              <w:ind w:left="175"/>
              <w:jc w:val="left"/>
              <w:rPr>
                <w:b/>
                <w:sz w:val="18"/>
              </w:rPr>
            </w:pPr>
            <w:r>
              <w:rPr>
                <w:b/>
                <w:sz w:val="18"/>
              </w:rPr>
              <w:t>1993</w:t>
            </w:r>
          </w:p>
        </w:tc>
        <w:tc>
          <w:tcPr>
            <w:tcW w:w="655" w:type="dxa"/>
            <w:shd w:val="clear" w:color="auto" w:fill="92D050"/>
          </w:tcPr>
          <w:p>
            <w:pPr>
              <w:pStyle w:val="TableParagraph"/>
              <w:spacing w:before="102"/>
              <w:ind w:left="122"/>
              <w:jc w:val="left"/>
              <w:rPr>
                <w:b/>
                <w:sz w:val="18"/>
              </w:rPr>
            </w:pPr>
            <w:r>
              <w:rPr>
                <w:b/>
                <w:sz w:val="18"/>
              </w:rPr>
              <w:t>1996</w:t>
            </w:r>
          </w:p>
        </w:tc>
        <w:tc>
          <w:tcPr>
            <w:tcW w:w="655" w:type="dxa"/>
            <w:shd w:val="clear" w:color="auto" w:fill="92D050"/>
          </w:tcPr>
          <w:p>
            <w:pPr>
              <w:pStyle w:val="TableParagraph"/>
              <w:spacing w:before="102"/>
              <w:ind w:left="124"/>
              <w:jc w:val="left"/>
              <w:rPr>
                <w:b/>
                <w:sz w:val="18"/>
              </w:rPr>
            </w:pPr>
            <w:r>
              <w:rPr>
                <w:b/>
                <w:sz w:val="18"/>
              </w:rPr>
              <w:t>2000</w:t>
            </w:r>
          </w:p>
        </w:tc>
        <w:tc>
          <w:tcPr>
            <w:tcW w:w="1604" w:type="dxa"/>
            <w:shd w:val="clear" w:color="auto" w:fill="92D050"/>
          </w:tcPr>
          <w:p>
            <w:pPr>
              <w:pStyle w:val="TableParagraph"/>
              <w:spacing w:before="102"/>
              <w:ind w:left="578" w:right="574"/>
              <w:rPr>
                <w:b/>
                <w:sz w:val="18"/>
              </w:rPr>
            </w:pPr>
            <w:r>
              <w:rPr>
                <w:b/>
                <w:sz w:val="18"/>
              </w:rPr>
              <w:t>2003</w:t>
            </w:r>
          </w:p>
        </w:tc>
        <w:tc>
          <w:tcPr>
            <w:tcW w:w="1733" w:type="dxa"/>
            <w:shd w:val="clear" w:color="auto" w:fill="92D050"/>
          </w:tcPr>
          <w:p>
            <w:pPr>
              <w:pStyle w:val="TableParagraph"/>
              <w:spacing w:before="102"/>
              <w:ind w:left="641" w:right="641"/>
              <w:rPr>
                <w:b/>
                <w:sz w:val="18"/>
              </w:rPr>
            </w:pPr>
            <w:r>
              <w:rPr>
                <w:b/>
                <w:sz w:val="18"/>
              </w:rPr>
              <w:t>2006</w:t>
            </w:r>
          </w:p>
        </w:tc>
        <w:tc>
          <w:tcPr>
            <w:tcW w:w="2062" w:type="dxa"/>
            <w:shd w:val="clear" w:color="auto" w:fill="92D050"/>
          </w:tcPr>
          <w:p>
            <w:pPr>
              <w:pStyle w:val="TableParagraph"/>
              <w:spacing w:before="102"/>
              <w:ind w:left="809" w:right="802"/>
              <w:rPr>
                <w:b/>
                <w:sz w:val="18"/>
              </w:rPr>
            </w:pPr>
            <w:r>
              <w:rPr>
                <w:b/>
                <w:sz w:val="18"/>
              </w:rPr>
              <w:t>2009</w:t>
            </w:r>
          </w:p>
        </w:tc>
        <w:tc>
          <w:tcPr>
            <w:tcW w:w="1397" w:type="dxa"/>
            <w:shd w:val="clear" w:color="auto" w:fill="92D050"/>
          </w:tcPr>
          <w:p>
            <w:pPr>
              <w:pStyle w:val="TableParagraph"/>
              <w:spacing w:before="102"/>
              <w:ind w:left="475" w:right="471"/>
              <w:rPr>
                <w:b/>
                <w:sz w:val="18"/>
              </w:rPr>
            </w:pPr>
            <w:r>
              <w:rPr>
                <w:b/>
                <w:sz w:val="18"/>
              </w:rPr>
              <w:t>2013</w:t>
            </w:r>
          </w:p>
        </w:tc>
      </w:tr>
      <w:tr>
        <w:trPr>
          <w:trHeight w:val="425" w:hRule="exact"/>
        </w:trPr>
        <w:tc>
          <w:tcPr>
            <w:tcW w:w="3882" w:type="dxa"/>
          </w:tcPr>
          <w:p>
            <w:pPr>
              <w:pStyle w:val="TableParagraph"/>
              <w:spacing w:before="97"/>
              <w:ind w:left="67"/>
              <w:jc w:val="left"/>
              <w:rPr>
                <w:b/>
                <w:sz w:val="18"/>
              </w:rPr>
            </w:pPr>
            <w:r>
              <w:rPr>
                <w:b/>
                <w:color w:val="333333"/>
                <w:sz w:val="18"/>
              </w:rPr>
              <w:t>ACAMBAY</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tcPr>
          <w:p>
            <w:pPr>
              <w:pStyle w:val="TableParagraph"/>
              <w:spacing w:before="10"/>
              <w:jc w:val="left"/>
              <w:rPr>
                <w:rFonts w:ascii="Times New Roman"/>
                <w:sz w:val="17"/>
              </w:rPr>
            </w:pPr>
          </w:p>
          <w:p>
            <w:pPr>
              <w:pStyle w:val="TableParagraph"/>
              <w:ind w:left="64"/>
              <w:jc w:val="left"/>
              <w:rPr>
                <w:sz w:val="18"/>
              </w:rPr>
            </w:pPr>
            <w:r>
              <w:rPr>
                <w:sz w:val="18"/>
              </w:rPr>
              <w:t>PRI-PVEM</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2" w:hRule="exact"/>
        </w:trPr>
        <w:tc>
          <w:tcPr>
            <w:tcW w:w="3882" w:type="dxa"/>
          </w:tcPr>
          <w:p>
            <w:pPr>
              <w:pStyle w:val="TableParagraph"/>
              <w:spacing w:before="97"/>
              <w:ind w:left="67"/>
              <w:jc w:val="left"/>
              <w:rPr>
                <w:b/>
                <w:sz w:val="18"/>
              </w:rPr>
            </w:pPr>
            <w:r>
              <w:rPr>
                <w:b/>
                <w:color w:val="333333"/>
                <w:sz w:val="18"/>
              </w:rPr>
              <w:t>ACOLMAN</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shd w:val="clear" w:color="auto" w:fill="FFFF00"/>
          </w:tcPr>
          <w:p>
            <w:pPr>
              <w:pStyle w:val="TableParagraph"/>
              <w:spacing w:before="10"/>
              <w:jc w:val="left"/>
              <w:rPr>
                <w:rFonts w:ascii="Times New Roman"/>
                <w:sz w:val="17"/>
              </w:rPr>
            </w:pPr>
          </w:p>
          <w:p>
            <w:pPr>
              <w:pStyle w:val="TableParagraph"/>
              <w:ind w:left="64"/>
              <w:jc w:val="left"/>
              <w:rPr>
                <w:sz w:val="18"/>
              </w:rPr>
            </w:pPr>
            <w:r>
              <w:rPr>
                <w:sz w:val="18"/>
              </w:rPr>
              <w:t>PRD</w:t>
            </w:r>
          </w:p>
        </w:tc>
        <w:tc>
          <w:tcPr>
            <w:tcW w:w="655" w:type="dxa"/>
            <w:shd w:val="clear" w:color="auto" w:fill="FFFF00"/>
          </w:tcPr>
          <w:p>
            <w:pPr>
              <w:pStyle w:val="TableParagraph"/>
              <w:spacing w:before="10"/>
              <w:jc w:val="left"/>
              <w:rPr>
                <w:rFonts w:ascii="Times New Roman"/>
                <w:sz w:val="17"/>
              </w:rPr>
            </w:pPr>
          </w:p>
          <w:p>
            <w:pPr>
              <w:pStyle w:val="TableParagraph"/>
              <w:ind w:left="67"/>
              <w:jc w:val="left"/>
              <w:rPr>
                <w:sz w:val="18"/>
              </w:rPr>
            </w:pPr>
            <w:r>
              <w:rPr>
                <w:sz w:val="18"/>
              </w:rPr>
              <w:t>PRD</w:t>
            </w:r>
          </w:p>
        </w:tc>
        <w:tc>
          <w:tcPr>
            <w:tcW w:w="1604" w:type="dxa"/>
            <w:shd w:val="clear" w:color="auto" w:fill="FFFF00"/>
          </w:tcPr>
          <w:p>
            <w:pPr>
              <w:pStyle w:val="TableParagraph"/>
              <w:spacing w:before="10"/>
              <w:jc w:val="left"/>
              <w:rPr>
                <w:rFonts w:ascii="Times New Roman"/>
                <w:sz w:val="17"/>
              </w:rPr>
            </w:pPr>
          </w:p>
          <w:p>
            <w:pPr>
              <w:pStyle w:val="TableParagraph"/>
              <w:ind w:left="67"/>
              <w:jc w:val="left"/>
              <w:rPr>
                <w:sz w:val="18"/>
              </w:rPr>
            </w:pPr>
            <w:r>
              <w:rPr>
                <w:sz w:val="18"/>
              </w:rPr>
              <w:t>PRD</w:t>
            </w:r>
          </w:p>
        </w:tc>
        <w:tc>
          <w:tcPr>
            <w:tcW w:w="1733" w:type="dxa"/>
          </w:tcPr>
          <w:p>
            <w:pPr>
              <w:pStyle w:val="TableParagraph"/>
              <w:spacing w:before="10"/>
              <w:jc w:val="left"/>
              <w:rPr>
                <w:rFonts w:ascii="Times New Roman"/>
                <w:sz w:val="17"/>
              </w:rPr>
            </w:pPr>
          </w:p>
          <w:p>
            <w:pPr>
              <w:pStyle w:val="TableParagraph"/>
              <w:ind w:left="64"/>
              <w:jc w:val="left"/>
              <w:rPr>
                <w:sz w:val="18"/>
              </w:rPr>
            </w:pPr>
            <w:r>
              <w:rPr>
                <w:sz w:val="18"/>
              </w:rPr>
              <w:t>PRI-PVEM</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5" w:hRule="exact"/>
        </w:trPr>
        <w:tc>
          <w:tcPr>
            <w:tcW w:w="3882" w:type="dxa"/>
          </w:tcPr>
          <w:p>
            <w:pPr>
              <w:pStyle w:val="TableParagraph"/>
              <w:spacing w:before="100"/>
              <w:ind w:left="67"/>
              <w:jc w:val="left"/>
              <w:rPr>
                <w:b/>
                <w:sz w:val="18"/>
              </w:rPr>
            </w:pPr>
            <w:r>
              <w:rPr>
                <w:b/>
                <w:color w:val="333333"/>
                <w:sz w:val="18"/>
              </w:rPr>
              <w:t>ACULCO</w:t>
            </w:r>
          </w:p>
        </w:tc>
        <w:tc>
          <w:tcPr>
            <w:tcW w:w="655" w:type="dxa"/>
          </w:tcPr>
          <w:p>
            <w:pPr>
              <w:pStyle w:val="TableParagraph"/>
              <w:spacing w:before="1"/>
              <w:jc w:val="left"/>
              <w:rPr>
                <w:rFonts w:ascii="Times New Roman"/>
                <w:sz w:val="18"/>
              </w:rPr>
            </w:pPr>
          </w:p>
          <w:p>
            <w:pPr>
              <w:pStyle w:val="TableParagraph"/>
              <w:ind w:left="64"/>
              <w:jc w:val="left"/>
              <w:rPr>
                <w:sz w:val="18"/>
              </w:rPr>
            </w:pPr>
            <w:r>
              <w:rPr>
                <w:sz w:val="18"/>
              </w:rPr>
              <w:t>PRI</w:t>
            </w:r>
          </w:p>
        </w:tc>
        <w:tc>
          <w:tcPr>
            <w:tcW w:w="761" w:type="dxa"/>
            <w:shd w:val="clear" w:color="auto" w:fill="006FC0"/>
          </w:tcPr>
          <w:p>
            <w:pPr>
              <w:pStyle w:val="TableParagraph"/>
              <w:spacing w:before="1"/>
              <w:jc w:val="left"/>
              <w:rPr>
                <w:rFonts w:ascii="Times New Roman"/>
                <w:sz w:val="18"/>
              </w:rPr>
            </w:pPr>
          </w:p>
          <w:p>
            <w:pPr>
              <w:pStyle w:val="TableParagraph"/>
              <w:ind w:left="67"/>
              <w:jc w:val="left"/>
              <w:rPr>
                <w:sz w:val="18"/>
              </w:rPr>
            </w:pPr>
            <w:r>
              <w:rPr>
                <w:sz w:val="18"/>
              </w:rPr>
              <w:t>PAN</w:t>
            </w:r>
          </w:p>
        </w:tc>
        <w:tc>
          <w:tcPr>
            <w:tcW w:w="655" w:type="dxa"/>
          </w:tcPr>
          <w:p>
            <w:pPr>
              <w:pStyle w:val="TableParagraph"/>
              <w:spacing w:before="1"/>
              <w:jc w:val="left"/>
              <w:rPr>
                <w:rFonts w:ascii="Times New Roman"/>
                <w:sz w:val="18"/>
              </w:rPr>
            </w:pPr>
          </w:p>
          <w:p>
            <w:pPr>
              <w:pStyle w:val="TableParagraph"/>
              <w:ind w:left="64"/>
              <w:jc w:val="left"/>
              <w:rPr>
                <w:sz w:val="18"/>
              </w:rPr>
            </w:pPr>
            <w:r>
              <w:rPr>
                <w:sz w:val="18"/>
              </w:rPr>
              <w:t>PRI</w:t>
            </w:r>
          </w:p>
        </w:tc>
        <w:tc>
          <w:tcPr>
            <w:tcW w:w="655" w:type="dxa"/>
          </w:tcPr>
          <w:p>
            <w:pPr>
              <w:pStyle w:val="TableParagraph"/>
              <w:spacing w:before="1"/>
              <w:jc w:val="left"/>
              <w:rPr>
                <w:rFonts w:ascii="Times New Roman"/>
                <w:sz w:val="18"/>
              </w:rPr>
            </w:pPr>
          </w:p>
          <w:p>
            <w:pPr>
              <w:pStyle w:val="TableParagraph"/>
              <w:ind w:left="67"/>
              <w:jc w:val="left"/>
              <w:rPr>
                <w:sz w:val="18"/>
              </w:rPr>
            </w:pPr>
            <w:r>
              <w:rPr>
                <w:sz w:val="18"/>
              </w:rPr>
              <w:t>PRI</w:t>
            </w:r>
          </w:p>
        </w:tc>
        <w:tc>
          <w:tcPr>
            <w:tcW w:w="1604" w:type="dxa"/>
          </w:tcPr>
          <w:p>
            <w:pPr>
              <w:pStyle w:val="TableParagraph"/>
              <w:spacing w:before="1"/>
              <w:jc w:val="left"/>
              <w:rPr>
                <w:rFonts w:ascii="Times New Roman"/>
                <w:sz w:val="18"/>
              </w:rPr>
            </w:pPr>
          </w:p>
          <w:p>
            <w:pPr>
              <w:pStyle w:val="TableParagraph"/>
              <w:ind w:left="67"/>
              <w:jc w:val="left"/>
              <w:rPr>
                <w:sz w:val="18"/>
              </w:rPr>
            </w:pPr>
            <w:r>
              <w:rPr>
                <w:sz w:val="18"/>
              </w:rPr>
              <w:t>PRI-PVEM</w:t>
            </w:r>
          </w:p>
        </w:tc>
        <w:tc>
          <w:tcPr>
            <w:tcW w:w="1733" w:type="dxa"/>
          </w:tcPr>
          <w:p>
            <w:pPr>
              <w:pStyle w:val="TableParagraph"/>
              <w:spacing w:before="1"/>
              <w:jc w:val="left"/>
              <w:rPr>
                <w:rFonts w:ascii="Times New Roman"/>
                <w:sz w:val="18"/>
              </w:rPr>
            </w:pPr>
          </w:p>
          <w:p>
            <w:pPr>
              <w:pStyle w:val="TableParagraph"/>
              <w:ind w:left="64"/>
              <w:jc w:val="left"/>
              <w:rPr>
                <w:sz w:val="18"/>
              </w:rPr>
            </w:pPr>
            <w:r>
              <w:rPr>
                <w:sz w:val="18"/>
              </w:rPr>
              <w:t>PRI-PVEM</w:t>
            </w:r>
          </w:p>
        </w:tc>
        <w:tc>
          <w:tcPr>
            <w:tcW w:w="2062" w:type="dxa"/>
          </w:tcPr>
          <w:p>
            <w:pPr>
              <w:pStyle w:val="TableParagraph"/>
              <w:spacing w:before="1"/>
              <w:ind w:left="67" w:right="295"/>
              <w:jc w:val="left"/>
              <w:rPr>
                <w:sz w:val="18"/>
              </w:rPr>
            </w:pPr>
            <w:r>
              <w:rPr>
                <w:sz w:val="18"/>
              </w:rPr>
              <w:t>PRI-PVEM-NA-PSD- PFD</w:t>
            </w:r>
          </w:p>
        </w:tc>
        <w:tc>
          <w:tcPr>
            <w:tcW w:w="1397" w:type="dxa"/>
          </w:tcPr>
          <w:p>
            <w:pPr>
              <w:pStyle w:val="TableParagraph"/>
              <w:spacing w:before="1"/>
              <w:jc w:val="left"/>
              <w:rPr>
                <w:rFonts w:ascii="Times New Roman"/>
                <w:sz w:val="18"/>
              </w:rPr>
            </w:pPr>
          </w:p>
          <w:p>
            <w:pPr>
              <w:pStyle w:val="TableParagraph"/>
              <w:ind w:left="67"/>
              <w:jc w:val="left"/>
              <w:rPr>
                <w:sz w:val="18"/>
              </w:rPr>
            </w:pPr>
            <w:r>
              <w:rPr>
                <w:sz w:val="18"/>
              </w:rPr>
              <w:t>PRI-PVEM-NA</w:t>
            </w:r>
          </w:p>
        </w:tc>
      </w:tr>
      <w:tr>
        <w:trPr>
          <w:trHeight w:val="293" w:hRule="exact"/>
        </w:trPr>
        <w:tc>
          <w:tcPr>
            <w:tcW w:w="3882" w:type="dxa"/>
          </w:tcPr>
          <w:p>
            <w:pPr>
              <w:pStyle w:val="TableParagraph"/>
              <w:spacing w:before="32"/>
              <w:ind w:left="67"/>
              <w:jc w:val="left"/>
              <w:rPr>
                <w:b/>
                <w:sz w:val="18"/>
              </w:rPr>
            </w:pPr>
            <w:r>
              <w:rPr>
                <w:b/>
                <w:color w:val="333333"/>
                <w:sz w:val="18"/>
              </w:rPr>
              <w:t>ALMOLOYA DE ALQUISIRAS</w:t>
            </w:r>
          </w:p>
        </w:tc>
        <w:tc>
          <w:tcPr>
            <w:tcW w:w="655" w:type="dxa"/>
          </w:tcPr>
          <w:p>
            <w:pPr>
              <w:pStyle w:val="TableParagraph"/>
              <w:spacing w:before="76"/>
              <w:ind w:left="64"/>
              <w:jc w:val="left"/>
              <w:rPr>
                <w:sz w:val="18"/>
              </w:rPr>
            </w:pPr>
            <w:r>
              <w:rPr>
                <w:sz w:val="18"/>
              </w:rPr>
              <w:t>PRI</w:t>
            </w:r>
          </w:p>
        </w:tc>
        <w:tc>
          <w:tcPr>
            <w:tcW w:w="761" w:type="dxa"/>
            <w:shd w:val="clear" w:color="auto" w:fill="006FC0"/>
          </w:tcPr>
          <w:p>
            <w:pPr>
              <w:pStyle w:val="TableParagraph"/>
              <w:spacing w:before="76"/>
              <w:ind w:left="67"/>
              <w:jc w:val="left"/>
              <w:rPr>
                <w:sz w:val="18"/>
              </w:rPr>
            </w:pPr>
            <w:r>
              <w:rPr>
                <w:sz w:val="18"/>
              </w:rPr>
              <w:t>PAN</w:t>
            </w:r>
          </w:p>
        </w:tc>
        <w:tc>
          <w:tcPr>
            <w:tcW w:w="655" w:type="dxa"/>
          </w:tcPr>
          <w:p>
            <w:pPr>
              <w:pStyle w:val="TableParagraph"/>
              <w:spacing w:before="76"/>
              <w:ind w:left="64"/>
              <w:jc w:val="left"/>
              <w:rPr>
                <w:sz w:val="18"/>
              </w:rPr>
            </w:pPr>
            <w:r>
              <w:rPr>
                <w:sz w:val="18"/>
              </w:rPr>
              <w:t>PRI</w:t>
            </w:r>
          </w:p>
        </w:tc>
        <w:tc>
          <w:tcPr>
            <w:tcW w:w="655" w:type="dxa"/>
          </w:tcPr>
          <w:p>
            <w:pPr>
              <w:pStyle w:val="TableParagraph"/>
              <w:spacing w:before="76"/>
              <w:ind w:left="67"/>
              <w:jc w:val="left"/>
              <w:rPr>
                <w:sz w:val="18"/>
              </w:rPr>
            </w:pPr>
            <w:r>
              <w:rPr>
                <w:sz w:val="18"/>
              </w:rPr>
              <w:t>PRI</w:t>
            </w:r>
          </w:p>
        </w:tc>
        <w:tc>
          <w:tcPr>
            <w:tcW w:w="1604" w:type="dxa"/>
          </w:tcPr>
          <w:p>
            <w:pPr>
              <w:pStyle w:val="TableParagraph"/>
              <w:spacing w:before="76"/>
              <w:ind w:left="67"/>
              <w:jc w:val="left"/>
              <w:rPr>
                <w:sz w:val="18"/>
              </w:rPr>
            </w:pPr>
            <w:r>
              <w:rPr>
                <w:sz w:val="18"/>
              </w:rPr>
              <w:t>PRI-PVEM</w:t>
            </w:r>
          </w:p>
        </w:tc>
        <w:tc>
          <w:tcPr>
            <w:tcW w:w="1733" w:type="dxa"/>
          </w:tcPr>
          <w:p>
            <w:pPr>
              <w:pStyle w:val="TableParagraph"/>
              <w:spacing w:before="76"/>
              <w:ind w:left="64"/>
              <w:jc w:val="left"/>
              <w:rPr>
                <w:sz w:val="18"/>
              </w:rPr>
            </w:pPr>
            <w:r>
              <w:rPr>
                <w:sz w:val="18"/>
              </w:rPr>
              <w:t>PRI-PVEM</w:t>
            </w:r>
          </w:p>
        </w:tc>
        <w:tc>
          <w:tcPr>
            <w:tcW w:w="2062" w:type="dxa"/>
            <w:shd w:val="clear" w:color="auto" w:fill="006FC0"/>
          </w:tcPr>
          <w:p>
            <w:pPr>
              <w:pStyle w:val="TableParagraph"/>
              <w:spacing w:before="76"/>
              <w:ind w:left="67" w:right="295"/>
              <w:jc w:val="left"/>
              <w:rPr>
                <w:sz w:val="18"/>
              </w:rPr>
            </w:pPr>
            <w:r>
              <w:rPr>
                <w:sz w:val="18"/>
              </w:rPr>
              <w:t>PAN</w:t>
            </w:r>
          </w:p>
        </w:tc>
        <w:tc>
          <w:tcPr>
            <w:tcW w:w="1397" w:type="dxa"/>
          </w:tcPr>
          <w:p>
            <w:pPr>
              <w:pStyle w:val="TableParagraph"/>
              <w:spacing w:before="76"/>
              <w:ind w:left="67"/>
              <w:jc w:val="left"/>
              <w:rPr>
                <w:sz w:val="18"/>
              </w:rPr>
            </w:pPr>
            <w:r>
              <w:rPr>
                <w:sz w:val="18"/>
              </w:rPr>
              <w:t>PRI-PVEM-NA</w:t>
            </w:r>
          </w:p>
        </w:tc>
      </w:tr>
      <w:tr>
        <w:trPr>
          <w:trHeight w:val="425" w:hRule="exact"/>
        </w:trPr>
        <w:tc>
          <w:tcPr>
            <w:tcW w:w="3882" w:type="dxa"/>
          </w:tcPr>
          <w:p>
            <w:pPr>
              <w:pStyle w:val="TableParagraph"/>
              <w:spacing w:before="97"/>
              <w:ind w:left="67"/>
              <w:jc w:val="left"/>
              <w:rPr>
                <w:b/>
                <w:sz w:val="18"/>
              </w:rPr>
            </w:pPr>
            <w:r>
              <w:rPr>
                <w:b/>
                <w:color w:val="333333"/>
                <w:sz w:val="18"/>
              </w:rPr>
              <w:t>ALMOLOYA DE JUAREZ</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761"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655" w:type="dxa"/>
            <w:shd w:val="clear" w:color="auto" w:fill="006FC0"/>
          </w:tcPr>
          <w:p>
            <w:pPr>
              <w:pStyle w:val="TableParagraph"/>
              <w:jc w:val="left"/>
              <w:rPr>
                <w:rFonts w:ascii="Times New Roman"/>
                <w:sz w:val="18"/>
              </w:rPr>
            </w:pPr>
          </w:p>
          <w:p>
            <w:pPr>
              <w:pStyle w:val="TableParagraph"/>
              <w:spacing w:before="1"/>
              <w:ind w:left="67"/>
              <w:jc w:val="left"/>
              <w:rPr>
                <w:sz w:val="18"/>
              </w:rPr>
            </w:pPr>
            <w:r>
              <w:rPr>
                <w:sz w:val="18"/>
              </w:rPr>
              <w:t>PAN</w:t>
            </w:r>
          </w:p>
        </w:tc>
        <w:tc>
          <w:tcPr>
            <w:tcW w:w="1604" w:type="dxa"/>
          </w:tcPr>
          <w:p>
            <w:pPr>
              <w:pStyle w:val="TableParagraph"/>
              <w:jc w:val="left"/>
              <w:rPr>
                <w:rFonts w:ascii="Times New Roman"/>
                <w:sz w:val="18"/>
              </w:rPr>
            </w:pPr>
          </w:p>
          <w:p>
            <w:pPr>
              <w:pStyle w:val="TableParagraph"/>
              <w:spacing w:before="1"/>
              <w:ind w:left="67"/>
              <w:jc w:val="left"/>
              <w:rPr>
                <w:sz w:val="18"/>
              </w:rPr>
            </w:pPr>
            <w:r>
              <w:rPr>
                <w:sz w:val="18"/>
              </w:rPr>
              <w:t>PRI-PVEM</w:t>
            </w:r>
          </w:p>
        </w:tc>
        <w:tc>
          <w:tcPr>
            <w:tcW w:w="1733" w:type="dxa"/>
          </w:tcPr>
          <w:p>
            <w:pPr>
              <w:pStyle w:val="TableParagraph"/>
              <w:jc w:val="left"/>
              <w:rPr>
                <w:rFonts w:ascii="Times New Roman"/>
                <w:sz w:val="18"/>
              </w:rPr>
            </w:pPr>
          </w:p>
          <w:p>
            <w:pPr>
              <w:pStyle w:val="TableParagraph"/>
              <w:spacing w:before="1"/>
              <w:ind w:left="64"/>
              <w:jc w:val="left"/>
              <w:rPr>
                <w:sz w:val="18"/>
              </w:rPr>
            </w:pPr>
            <w:r>
              <w:rPr>
                <w:sz w:val="18"/>
              </w:rPr>
              <w:t>PRI-PVEM</w:t>
            </w:r>
          </w:p>
        </w:tc>
        <w:tc>
          <w:tcPr>
            <w:tcW w:w="2062" w:type="dxa"/>
          </w:tcPr>
          <w:p>
            <w:pPr>
              <w:pStyle w:val="TableParagraph"/>
              <w:ind w:left="67" w:right="295"/>
              <w:jc w:val="left"/>
              <w:rPr>
                <w:sz w:val="18"/>
              </w:rPr>
            </w:pPr>
            <w:r>
              <w:rPr>
                <w:sz w:val="18"/>
              </w:rPr>
              <w:t>PRI-PVEM-NA-PSD- PFD</w:t>
            </w:r>
          </w:p>
        </w:tc>
        <w:tc>
          <w:tcPr>
            <w:tcW w:w="1397" w:type="dxa"/>
          </w:tcPr>
          <w:p>
            <w:pPr>
              <w:pStyle w:val="TableParagraph"/>
              <w:jc w:val="left"/>
              <w:rPr>
                <w:rFonts w:ascii="Times New Roman"/>
                <w:sz w:val="18"/>
              </w:rPr>
            </w:pPr>
          </w:p>
          <w:p>
            <w:pPr>
              <w:pStyle w:val="TableParagraph"/>
              <w:spacing w:before="1"/>
              <w:ind w:left="67"/>
              <w:jc w:val="left"/>
              <w:rPr>
                <w:sz w:val="18"/>
              </w:rPr>
            </w:pPr>
            <w:r>
              <w:rPr>
                <w:sz w:val="18"/>
              </w:rPr>
              <w:t>PRI-PVEM-NA</w:t>
            </w:r>
          </w:p>
        </w:tc>
      </w:tr>
      <w:tr>
        <w:trPr>
          <w:trHeight w:val="293" w:hRule="exact"/>
        </w:trPr>
        <w:tc>
          <w:tcPr>
            <w:tcW w:w="3882" w:type="dxa"/>
          </w:tcPr>
          <w:p>
            <w:pPr>
              <w:pStyle w:val="TableParagraph"/>
              <w:spacing w:before="32"/>
              <w:ind w:left="67"/>
              <w:jc w:val="left"/>
              <w:rPr>
                <w:b/>
                <w:sz w:val="18"/>
              </w:rPr>
            </w:pPr>
            <w:r>
              <w:rPr>
                <w:b/>
                <w:color w:val="333333"/>
                <w:sz w:val="18"/>
              </w:rPr>
              <w:t>ALMOLOYA DEL RIO</w:t>
            </w:r>
          </w:p>
        </w:tc>
        <w:tc>
          <w:tcPr>
            <w:tcW w:w="655" w:type="dxa"/>
          </w:tcPr>
          <w:p>
            <w:pPr>
              <w:pStyle w:val="TableParagraph"/>
              <w:spacing w:before="76"/>
              <w:ind w:left="64"/>
              <w:jc w:val="left"/>
              <w:rPr>
                <w:sz w:val="18"/>
              </w:rPr>
            </w:pPr>
            <w:r>
              <w:rPr>
                <w:sz w:val="18"/>
              </w:rPr>
              <w:t>PRI</w:t>
            </w:r>
          </w:p>
        </w:tc>
        <w:tc>
          <w:tcPr>
            <w:tcW w:w="761" w:type="dxa"/>
          </w:tcPr>
          <w:p>
            <w:pPr>
              <w:pStyle w:val="TableParagraph"/>
              <w:spacing w:before="76"/>
              <w:ind w:left="67"/>
              <w:jc w:val="left"/>
              <w:rPr>
                <w:sz w:val="18"/>
              </w:rPr>
            </w:pPr>
            <w:r>
              <w:rPr>
                <w:sz w:val="18"/>
              </w:rPr>
              <w:t>PRI</w:t>
            </w:r>
          </w:p>
        </w:tc>
        <w:tc>
          <w:tcPr>
            <w:tcW w:w="655" w:type="dxa"/>
          </w:tcPr>
          <w:p>
            <w:pPr>
              <w:pStyle w:val="TableParagraph"/>
              <w:spacing w:before="76"/>
              <w:ind w:left="64"/>
              <w:jc w:val="left"/>
              <w:rPr>
                <w:sz w:val="18"/>
              </w:rPr>
            </w:pPr>
            <w:r>
              <w:rPr>
                <w:sz w:val="18"/>
              </w:rPr>
              <w:t>PRI</w:t>
            </w:r>
          </w:p>
        </w:tc>
        <w:tc>
          <w:tcPr>
            <w:tcW w:w="655" w:type="dxa"/>
            <w:shd w:val="clear" w:color="auto" w:fill="FFFF00"/>
          </w:tcPr>
          <w:p>
            <w:pPr>
              <w:pStyle w:val="TableParagraph"/>
              <w:spacing w:before="76"/>
              <w:ind w:left="67"/>
              <w:jc w:val="left"/>
              <w:rPr>
                <w:sz w:val="18"/>
              </w:rPr>
            </w:pPr>
            <w:r>
              <w:rPr>
                <w:sz w:val="18"/>
              </w:rPr>
              <w:t>PRD</w:t>
            </w:r>
          </w:p>
        </w:tc>
        <w:tc>
          <w:tcPr>
            <w:tcW w:w="1604" w:type="dxa"/>
          </w:tcPr>
          <w:p>
            <w:pPr>
              <w:pStyle w:val="TableParagraph"/>
              <w:spacing w:before="76"/>
              <w:ind w:left="67"/>
              <w:jc w:val="left"/>
              <w:rPr>
                <w:sz w:val="18"/>
              </w:rPr>
            </w:pPr>
            <w:r>
              <w:rPr>
                <w:sz w:val="18"/>
              </w:rPr>
              <w:t>PRI-PVEM</w:t>
            </w:r>
          </w:p>
        </w:tc>
        <w:tc>
          <w:tcPr>
            <w:tcW w:w="1733" w:type="dxa"/>
          </w:tcPr>
          <w:p>
            <w:pPr>
              <w:pStyle w:val="TableParagraph"/>
              <w:spacing w:before="76"/>
              <w:ind w:left="64"/>
              <w:jc w:val="left"/>
              <w:rPr>
                <w:sz w:val="18"/>
              </w:rPr>
            </w:pPr>
            <w:r>
              <w:rPr>
                <w:sz w:val="18"/>
              </w:rPr>
              <w:t>PRI-PVEM</w:t>
            </w:r>
          </w:p>
        </w:tc>
        <w:tc>
          <w:tcPr>
            <w:tcW w:w="2062" w:type="dxa"/>
            <w:shd w:val="clear" w:color="auto" w:fill="FFC000"/>
          </w:tcPr>
          <w:p>
            <w:pPr>
              <w:pStyle w:val="TableParagraph"/>
              <w:spacing w:before="76"/>
              <w:ind w:left="67" w:right="295"/>
              <w:jc w:val="left"/>
              <w:rPr>
                <w:sz w:val="18"/>
              </w:rPr>
            </w:pPr>
            <w:r>
              <w:rPr>
                <w:sz w:val="18"/>
              </w:rPr>
              <w:t>PT</w:t>
            </w:r>
          </w:p>
        </w:tc>
        <w:tc>
          <w:tcPr>
            <w:tcW w:w="1397" w:type="dxa"/>
          </w:tcPr>
          <w:p>
            <w:pPr>
              <w:pStyle w:val="TableParagraph"/>
              <w:spacing w:before="76"/>
              <w:ind w:left="67"/>
              <w:jc w:val="left"/>
              <w:rPr>
                <w:sz w:val="18"/>
              </w:rPr>
            </w:pPr>
            <w:r>
              <w:rPr>
                <w:sz w:val="18"/>
              </w:rPr>
              <w:t>PRI-PVEM-NA</w:t>
            </w:r>
          </w:p>
        </w:tc>
      </w:tr>
      <w:tr>
        <w:trPr>
          <w:trHeight w:val="422" w:hRule="exact"/>
        </w:trPr>
        <w:tc>
          <w:tcPr>
            <w:tcW w:w="3882" w:type="dxa"/>
          </w:tcPr>
          <w:p>
            <w:pPr>
              <w:pStyle w:val="TableParagraph"/>
              <w:spacing w:before="97"/>
              <w:ind w:left="67"/>
              <w:jc w:val="left"/>
              <w:rPr>
                <w:b/>
                <w:sz w:val="18"/>
              </w:rPr>
            </w:pPr>
            <w:r>
              <w:rPr>
                <w:b/>
                <w:color w:val="333333"/>
                <w:sz w:val="18"/>
              </w:rPr>
              <w:t>AMANALCO</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shd w:val="clear" w:color="auto" w:fill="FFFF00"/>
          </w:tcPr>
          <w:p>
            <w:pPr>
              <w:pStyle w:val="TableParagraph"/>
              <w:spacing w:before="10"/>
              <w:jc w:val="left"/>
              <w:rPr>
                <w:rFonts w:ascii="Times New Roman"/>
                <w:sz w:val="17"/>
              </w:rPr>
            </w:pPr>
          </w:p>
          <w:p>
            <w:pPr>
              <w:pStyle w:val="TableParagraph"/>
              <w:ind w:left="64"/>
              <w:jc w:val="left"/>
              <w:rPr>
                <w:sz w:val="18"/>
              </w:rPr>
            </w:pPr>
            <w:r>
              <w:rPr>
                <w:sz w:val="18"/>
              </w:rPr>
              <w:t>PRD-PT-C</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5" w:hRule="exact"/>
        </w:trPr>
        <w:tc>
          <w:tcPr>
            <w:tcW w:w="3882" w:type="dxa"/>
          </w:tcPr>
          <w:p>
            <w:pPr>
              <w:pStyle w:val="TableParagraph"/>
              <w:spacing w:before="100"/>
              <w:ind w:left="67"/>
              <w:jc w:val="left"/>
              <w:rPr>
                <w:b/>
                <w:sz w:val="18"/>
              </w:rPr>
            </w:pPr>
            <w:r>
              <w:rPr>
                <w:b/>
                <w:color w:val="333333"/>
                <w:sz w:val="18"/>
              </w:rPr>
              <w:t>AMATEPEC</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761"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655"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1604" w:type="dxa"/>
            <w:shd w:val="clear" w:color="auto" w:fill="FFFF00"/>
          </w:tcPr>
          <w:p>
            <w:pPr>
              <w:pStyle w:val="TableParagraph"/>
              <w:jc w:val="left"/>
              <w:rPr>
                <w:rFonts w:ascii="Times New Roman"/>
                <w:sz w:val="18"/>
              </w:rPr>
            </w:pPr>
          </w:p>
          <w:p>
            <w:pPr>
              <w:pStyle w:val="TableParagraph"/>
              <w:spacing w:before="1"/>
              <w:ind w:left="67"/>
              <w:jc w:val="left"/>
              <w:rPr>
                <w:sz w:val="18"/>
              </w:rPr>
            </w:pPr>
            <w:r>
              <w:rPr>
                <w:sz w:val="18"/>
              </w:rPr>
              <w:t>PRD</w:t>
            </w:r>
          </w:p>
        </w:tc>
        <w:tc>
          <w:tcPr>
            <w:tcW w:w="1733" w:type="dxa"/>
          </w:tcPr>
          <w:p>
            <w:pPr>
              <w:pStyle w:val="TableParagraph"/>
              <w:jc w:val="left"/>
              <w:rPr>
                <w:rFonts w:ascii="Times New Roman"/>
                <w:sz w:val="18"/>
              </w:rPr>
            </w:pPr>
          </w:p>
          <w:p>
            <w:pPr>
              <w:pStyle w:val="TableParagraph"/>
              <w:spacing w:before="1"/>
              <w:ind w:left="64"/>
              <w:jc w:val="left"/>
              <w:rPr>
                <w:sz w:val="18"/>
              </w:rPr>
            </w:pPr>
            <w:r>
              <w:rPr>
                <w:sz w:val="18"/>
              </w:rPr>
              <w:t>PRI-PVEM</w:t>
            </w:r>
          </w:p>
        </w:tc>
        <w:tc>
          <w:tcPr>
            <w:tcW w:w="2062" w:type="dxa"/>
          </w:tcPr>
          <w:p>
            <w:pPr>
              <w:pStyle w:val="TableParagraph"/>
              <w:spacing w:before="1"/>
              <w:ind w:left="67" w:right="295"/>
              <w:jc w:val="left"/>
              <w:rPr>
                <w:sz w:val="18"/>
              </w:rPr>
            </w:pPr>
            <w:r>
              <w:rPr>
                <w:sz w:val="18"/>
              </w:rPr>
              <w:t>PRI-PVEM-NA-PSD- PFD</w:t>
            </w:r>
          </w:p>
        </w:tc>
        <w:tc>
          <w:tcPr>
            <w:tcW w:w="1397" w:type="dxa"/>
          </w:tcPr>
          <w:p>
            <w:pPr>
              <w:pStyle w:val="TableParagraph"/>
              <w:jc w:val="left"/>
              <w:rPr>
                <w:rFonts w:ascii="Times New Roman"/>
                <w:sz w:val="18"/>
              </w:rPr>
            </w:pPr>
          </w:p>
          <w:p>
            <w:pPr>
              <w:pStyle w:val="TableParagraph"/>
              <w:spacing w:before="1"/>
              <w:ind w:left="67"/>
              <w:jc w:val="left"/>
              <w:rPr>
                <w:sz w:val="18"/>
              </w:rPr>
            </w:pPr>
            <w:r>
              <w:rPr>
                <w:sz w:val="18"/>
              </w:rPr>
              <w:t>PRI-PVEM-NA</w:t>
            </w:r>
          </w:p>
        </w:tc>
      </w:tr>
      <w:tr>
        <w:trPr>
          <w:trHeight w:val="425" w:hRule="exact"/>
        </w:trPr>
        <w:tc>
          <w:tcPr>
            <w:tcW w:w="3882" w:type="dxa"/>
          </w:tcPr>
          <w:p>
            <w:pPr>
              <w:pStyle w:val="TableParagraph"/>
              <w:spacing w:before="97"/>
              <w:ind w:left="67"/>
              <w:jc w:val="left"/>
              <w:rPr>
                <w:b/>
                <w:sz w:val="18"/>
              </w:rPr>
            </w:pPr>
            <w:r>
              <w:rPr>
                <w:b/>
                <w:color w:val="333333"/>
                <w:sz w:val="18"/>
              </w:rPr>
              <w:t>AMECAMECA</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761"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655" w:type="dxa"/>
            <w:shd w:val="clear" w:color="auto" w:fill="FFFF00"/>
          </w:tcPr>
          <w:p>
            <w:pPr>
              <w:pStyle w:val="TableParagraph"/>
              <w:jc w:val="left"/>
              <w:rPr>
                <w:rFonts w:ascii="Times New Roman"/>
                <w:sz w:val="18"/>
              </w:rPr>
            </w:pPr>
          </w:p>
          <w:p>
            <w:pPr>
              <w:pStyle w:val="TableParagraph"/>
              <w:spacing w:before="1"/>
              <w:ind w:left="67"/>
              <w:jc w:val="left"/>
              <w:rPr>
                <w:sz w:val="18"/>
              </w:rPr>
            </w:pPr>
            <w:r>
              <w:rPr>
                <w:sz w:val="18"/>
              </w:rPr>
              <w:t>PRD</w:t>
            </w:r>
          </w:p>
        </w:tc>
        <w:tc>
          <w:tcPr>
            <w:tcW w:w="1604" w:type="dxa"/>
            <w:shd w:val="clear" w:color="auto" w:fill="006FC0"/>
          </w:tcPr>
          <w:p>
            <w:pPr>
              <w:pStyle w:val="TableParagraph"/>
              <w:jc w:val="left"/>
              <w:rPr>
                <w:rFonts w:ascii="Times New Roman"/>
                <w:sz w:val="18"/>
              </w:rPr>
            </w:pPr>
          </w:p>
          <w:p>
            <w:pPr>
              <w:pStyle w:val="TableParagraph"/>
              <w:spacing w:before="1"/>
              <w:ind w:left="67"/>
              <w:jc w:val="left"/>
              <w:rPr>
                <w:sz w:val="18"/>
              </w:rPr>
            </w:pPr>
            <w:r>
              <w:rPr>
                <w:sz w:val="18"/>
              </w:rPr>
              <w:t>PAN</w:t>
            </w:r>
          </w:p>
        </w:tc>
        <w:tc>
          <w:tcPr>
            <w:tcW w:w="1733" w:type="dxa"/>
            <w:shd w:val="clear" w:color="auto" w:fill="FFFF00"/>
          </w:tcPr>
          <w:p>
            <w:pPr>
              <w:pStyle w:val="TableParagraph"/>
              <w:jc w:val="left"/>
              <w:rPr>
                <w:rFonts w:ascii="Times New Roman"/>
                <w:sz w:val="18"/>
              </w:rPr>
            </w:pPr>
          </w:p>
          <w:p>
            <w:pPr>
              <w:pStyle w:val="TableParagraph"/>
              <w:spacing w:before="1"/>
              <w:ind w:left="64"/>
              <w:jc w:val="left"/>
              <w:rPr>
                <w:sz w:val="18"/>
              </w:rPr>
            </w:pPr>
            <w:r>
              <w:rPr>
                <w:sz w:val="18"/>
              </w:rPr>
              <w:t>PRD</w:t>
            </w:r>
          </w:p>
        </w:tc>
        <w:tc>
          <w:tcPr>
            <w:tcW w:w="2062" w:type="dxa"/>
          </w:tcPr>
          <w:p>
            <w:pPr>
              <w:pStyle w:val="TableParagraph"/>
              <w:ind w:left="67" w:right="295"/>
              <w:jc w:val="left"/>
              <w:rPr>
                <w:sz w:val="18"/>
              </w:rPr>
            </w:pPr>
            <w:r>
              <w:rPr>
                <w:sz w:val="18"/>
              </w:rPr>
              <w:t>PRI-PVEM-NA-PSD- PFD</w:t>
            </w:r>
          </w:p>
        </w:tc>
        <w:tc>
          <w:tcPr>
            <w:tcW w:w="1397" w:type="dxa"/>
          </w:tcPr>
          <w:p>
            <w:pPr>
              <w:pStyle w:val="TableParagraph"/>
              <w:jc w:val="left"/>
              <w:rPr>
                <w:rFonts w:ascii="Times New Roman"/>
                <w:sz w:val="18"/>
              </w:rPr>
            </w:pPr>
          </w:p>
          <w:p>
            <w:pPr>
              <w:pStyle w:val="TableParagraph"/>
              <w:spacing w:before="1"/>
              <w:ind w:left="67"/>
              <w:jc w:val="left"/>
              <w:rPr>
                <w:sz w:val="18"/>
              </w:rPr>
            </w:pPr>
            <w:r>
              <w:rPr>
                <w:sz w:val="18"/>
              </w:rPr>
              <w:t>PRI-PVEM-NA</w:t>
            </w:r>
          </w:p>
        </w:tc>
      </w:tr>
      <w:tr>
        <w:trPr>
          <w:trHeight w:val="293" w:hRule="exact"/>
        </w:trPr>
        <w:tc>
          <w:tcPr>
            <w:tcW w:w="3882" w:type="dxa"/>
          </w:tcPr>
          <w:p>
            <w:pPr>
              <w:pStyle w:val="TableParagraph"/>
              <w:spacing w:before="32"/>
              <w:ind w:left="67"/>
              <w:jc w:val="left"/>
              <w:rPr>
                <w:b/>
                <w:sz w:val="18"/>
              </w:rPr>
            </w:pPr>
            <w:r>
              <w:rPr>
                <w:b/>
                <w:color w:val="333333"/>
                <w:sz w:val="18"/>
              </w:rPr>
              <w:t>APAXCO</w:t>
            </w:r>
          </w:p>
        </w:tc>
        <w:tc>
          <w:tcPr>
            <w:tcW w:w="655" w:type="dxa"/>
          </w:tcPr>
          <w:p>
            <w:pPr>
              <w:pStyle w:val="TableParagraph"/>
              <w:spacing w:before="76"/>
              <w:ind w:left="64"/>
              <w:jc w:val="left"/>
              <w:rPr>
                <w:sz w:val="18"/>
              </w:rPr>
            </w:pPr>
            <w:r>
              <w:rPr>
                <w:sz w:val="18"/>
              </w:rPr>
              <w:t>PRI</w:t>
            </w:r>
          </w:p>
        </w:tc>
        <w:tc>
          <w:tcPr>
            <w:tcW w:w="761" w:type="dxa"/>
          </w:tcPr>
          <w:p>
            <w:pPr>
              <w:pStyle w:val="TableParagraph"/>
              <w:spacing w:before="76"/>
              <w:ind w:left="67"/>
              <w:jc w:val="left"/>
              <w:rPr>
                <w:sz w:val="18"/>
              </w:rPr>
            </w:pPr>
            <w:r>
              <w:rPr>
                <w:sz w:val="18"/>
              </w:rPr>
              <w:t>PRI</w:t>
            </w:r>
          </w:p>
        </w:tc>
        <w:tc>
          <w:tcPr>
            <w:tcW w:w="655" w:type="dxa"/>
            <w:shd w:val="clear" w:color="auto" w:fill="006FC0"/>
          </w:tcPr>
          <w:p>
            <w:pPr>
              <w:pStyle w:val="TableParagraph"/>
              <w:spacing w:before="76"/>
              <w:ind w:left="64"/>
              <w:jc w:val="left"/>
              <w:rPr>
                <w:sz w:val="18"/>
              </w:rPr>
            </w:pPr>
            <w:r>
              <w:rPr>
                <w:sz w:val="18"/>
              </w:rPr>
              <w:t>PAN</w:t>
            </w:r>
          </w:p>
        </w:tc>
        <w:tc>
          <w:tcPr>
            <w:tcW w:w="655" w:type="dxa"/>
            <w:shd w:val="clear" w:color="auto" w:fill="006FC0"/>
          </w:tcPr>
          <w:p>
            <w:pPr>
              <w:pStyle w:val="TableParagraph"/>
              <w:spacing w:before="76"/>
              <w:ind w:left="67"/>
              <w:jc w:val="left"/>
              <w:rPr>
                <w:sz w:val="18"/>
              </w:rPr>
            </w:pPr>
            <w:r>
              <w:rPr>
                <w:sz w:val="18"/>
              </w:rPr>
              <w:t>PAN</w:t>
            </w:r>
          </w:p>
        </w:tc>
        <w:tc>
          <w:tcPr>
            <w:tcW w:w="1604" w:type="dxa"/>
          </w:tcPr>
          <w:p>
            <w:pPr>
              <w:pStyle w:val="TableParagraph"/>
              <w:spacing w:before="76"/>
              <w:ind w:left="67"/>
              <w:jc w:val="left"/>
              <w:rPr>
                <w:sz w:val="18"/>
              </w:rPr>
            </w:pPr>
            <w:r>
              <w:rPr>
                <w:sz w:val="18"/>
              </w:rPr>
              <w:t>PRI-PVEM</w:t>
            </w:r>
          </w:p>
        </w:tc>
        <w:tc>
          <w:tcPr>
            <w:tcW w:w="1733" w:type="dxa"/>
            <w:shd w:val="clear" w:color="auto" w:fill="006FC0"/>
          </w:tcPr>
          <w:p>
            <w:pPr>
              <w:pStyle w:val="TableParagraph"/>
              <w:spacing w:before="76"/>
              <w:ind w:left="64"/>
              <w:jc w:val="left"/>
              <w:rPr>
                <w:sz w:val="18"/>
              </w:rPr>
            </w:pPr>
            <w:r>
              <w:rPr>
                <w:sz w:val="18"/>
              </w:rPr>
              <w:t>PAN</w:t>
            </w:r>
          </w:p>
        </w:tc>
        <w:tc>
          <w:tcPr>
            <w:tcW w:w="2062" w:type="dxa"/>
            <w:shd w:val="clear" w:color="auto" w:fill="006FC0"/>
          </w:tcPr>
          <w:p>
            <w:pPr>
              <w:pStyle w:val="TableParagraph"/>
              <w:spacing w:before="76"/>
              <w:ind w:left="67" w:right="295"/>
              <w:jc w:val="left"/>
              <w:rPr>
                <w:sz w:val="18"/>
              </w:rPr>
            </w:pPr>
            <w:r>
              <w:rPr>
                <w:sz w:val="18"/>
              </w:rPr>
              <w:t>PAN</w:t>
            </w:r>
          </w:p>
        </w:tc>
        <w:tc>
          <w:tcPr>
            <w:tcW w:w="1397" w:type="dxa"/>
            <w:shd w:val="clear" w:color="auto" w:fill="006FC0"/>
          </w:tcPr>
          <w:p>
            <w:pPr>
              <w:pStyle w:val="TableParagraph"/>
              <w:spacing w:before="76"/>
              <w:ind w:left="67"/>
              <w:jc w:val="left"/>
              <w:rPr>
                <w:sz w:val="18"/>
              </w:rPr>
            </w:pPr>
            <w:r>
              <w:rPr>
                <w:sz w:val="18"/>
              </w:rPr>
              <w:t>PAN</w:t>
            </w:r>
          </w:p>
        </w:tc>
      </w:tr>
      <w:tr>
        <w:trPr>
          <w:trHeight w:val="425" w:hRule="exact"/>
        </w:trPr>
        <w:tc>
          <w:tcPr>
            <w:tcW w:w="3882" w:type="dxa"/>
          </w:tcPr>
          <w:p>
            <w:pPr>
              <w:pStyle w:val="TableParagraph"/>
              <w:spacing w:before="98"/>
              <w:ind w:left="67"/>
              <w:jc w:val="left"/>
              <w:rPr>
                <w:b/>
                <w:sz w:val="18"/>
              </w:rPr>
            </w:pPr>
            <w:r>
              <w:rPr>
                <w:b/>
                <w:color w:val="333333"/>
                <w:sz w:val="18"/>
              </w:rPr>
              <w:t>ATENCO</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shd w:val="clear" w:color="auto" w:fill="006FC0"/>
          </w:tcPr>
          <w:p>
            <w:pPr>
              <w:pStyle w:val="TableParagraph"/>
              <w:spacing w:before="10"/>
              <w:jc w:val="left"/>
              <w:rPr>
                <w:rFonts w:ascii="Times New Roman"/>
                <w:sz w:val="17"/>
              </w:rPr>
            </w:pPr>
          </w:p>
          <w:p>
            <w:pPr>
              <w:pStyle w:val="TableParagraph"/>
              <w:ind w:left="67"/>
              <w:jc w:val="left"/>
              <w:rPr>
                <w:sz w:val="18"/>
              </w:rPr>
            </w:pPr>
            <w:r>
              <w:rPr>
                <w:sz w:val="18"/>
              </w:rPr>
              <w:t>PAN</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shd w:val="clear" w:color="auto" w:fill="FFFF00"/>
          </w:tcPr>
          <w:p>
            <w:pPr>
              <w:pStyle w:val="TableParagraph"/>
              <w:spacing w:before="10"/>
              <w:jc w:val="left"/>
              <w:rPr>
                <w:rFonts w:ascii="Times New Roman"/>
                <w:sz w:val="17"/>
              </w:rPr>
            </w:pPr>
          </w:p>
          <w:p>
            <w:pPr>
              <w:pStyle w:val="TableParagraph"/>
              <w:ind w:left="64"/>
              <w:jc w:val="left"/>
              <w:rPr>
                <w:sz w:val="18"/>
              </w:rPr>
            </w:pPr>
            <w:r>
              <w:rPr>
                <w:sz w:val="18"/>
              </w:rPr>
              <w:t>PRD</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2" w:hRule="exact"/>
        </w:trPr>
        <w:tc>
          <w:tcPr>
            <w:tcW w:w="3882" w:type="dxa"/>
          </w:tcPr>
          <w:p>
            <w:pPr>
              <w:pStyle w:val="TableParagraph"/>
              <w:spacing w:before="97"/>
              <w:ind w:left="67"/>
              <w:jc w:val="left"/>
              <w:rPr>
                <w:b/>
                <w:sz w:val="18"/>
              </w:rPr>
            </w:pPr>
            <w:r>
              <w:rPr>
                <w:b/>
                <w:color w:val="333333"/>
                <w:sz w:val="18"/>
              </w:rPr>
              <w:t>ATIZAPAN</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shd w:val="clear" w:color="auto" w:fill="FFC000"/>
          </w:tcPr>
          <w:p>
            <w:pPr>
              <w:pStyle w:val="TableParagraph"/>
              <w:spacing w:before="10"/>
              <w:jc w:val="left"/>
              <w:rPr>
                <w:rFonts w:ascii="Times New Roman"/>
                <w:sz w:val="17"/>
              </w:rPr>
            </w:pPr>
          </w:p>
          <w:p>
            <w:pPr>
              <w:pStyle w:val="TableParagraph"/>
              <w:ind w:left="67"/>
              <w:jc w:val="left"/>
              <w:rPr>
                <w:sz w:val="18"/>
              </w:rPr>
            </w:pPr>
            <w:r>
              <w:rPr>
                <w:sz w:val="18"/>
              </w:rPr>
              <w:t>PT</w:t>
            </w:r>
          </w:p>
        </w:tc>
        <w:tc>
          <w:tcPr>
            <w:tcW w:w="1733" w:type="dxa"/>
          </w:tcPr>
          <w:p>
            <w:pPr>
              <w:pStyle w:val="TableParagraph"/>
              <w:spacing w:before="10"/>
              <w:jc w:val="left"/>
              <w:rPr>
                <w:rFonts w:ascii="Times New Roman"/>
                <w:sz w:val="17"/>
              </w:rPr>
            </w:pPr>
          </w:p>
          <w:p>
            <w:pPr>
              <w:pStyle w:val="TableParagraph"/>
              <w:ind w:left="64"/>
              <w:jc w:val="left"/>
              <w:rPr>
                <w:sz w:val="18"/>
              </w:rPr>
            </w:pPr>
            <w:r>
              <w:rPr>
                <w:sz w:val="18"/>
              </w:rPr>
              <w:t>PRI-PVEM</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5" w:hRule="exact"/>
        </w:trPr>
        <w:tc>
          <w:tcPr>
            <w:tcW w:w="3882" w:type="dxa"/>
          </w:tcPr>
          <w:p>
            <w:pPr>
              <w:pStyle w:val="TableParagraph"/>
              <w:spacing w:before="97"/>
              <w:ind w:left="67"/>
              <w:jc w:val="left"/>
              <w:rPr>
                <w:b/>
                <w:sz w:val="18"/>
              </w:rPr>
            </w:pPr>
            <w:r>
              <w:rPr>
                <w:b/>
                <w:color w:val="333333"/>
                <w:sz w:val="18"/>
              </w:rPr>
              <w:t>ATIZAPAN DE ZARAGOZA</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761"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655" w:type="dxa"/>
            <w:shd w:val="clear" w:color="auto" w:fill="006FC0"/>
          </w:tcPr>
          <w:p>
            <w:pPr>
              <w:pStyle w:val="TableParagraph"/>
              <w:jc w:val="left"/>
              <w:rPr>
                <w:rFonts w:ascii="Times New Roman"/>
                <w:sz w:val="18"/>
              </w:rPr>
            </w:pPr>
          </w:p>
          <w:p>
            <w:pPr>
              <w:pStyle w:val="TableParagraph"/>
              <w:spacing w:before="1"/>
              <w:ind w:left="64"/>
              <w:jc w:val="left"/>
              <w:rPr>
                <w:sz w:val="18"/>
              </w:rPr>
            </w:pPr>
            <w:r>
              <w:rPr>
                <w:sz w:val="18"/>
              </w:rPr>
              <w:t>PAN</w:t>
            </w:r>
          </w:p>
        </w:tc>
        <w:tc>
          <w:tcPr>
            <w:tcW w:w="655" w:type="dxa"/>
            <w:shd w:val="clear" w:color="auto" w:fill="006FC0"/>
          </w:tcPr>
          <w:p>
            <w:pPr>
              <w:pStyle w:val="TableParagraph"/>
              <w:jc w:val="left"/>
              <w:rPr>
                <w:rFonts w:ascii="Times New Roman"/>
                <w:sz w:val="18"/>
              </w:rPr>
            </w:pPr>
          </w:p>
          <w:p>
            <w:pPr>
              <w:pStyle w:val="TableParagraph"/>
              <w:spacing w:before="1"/>
              <w:ind w:left="67"/>
              <w:jc w:val="left"/>
              <w:rPr>
                <w:sz w:val="18"/>
              </w:rPr>
            </w:pPr>
            <w:r>
              <w:rPr>
                <w:sz w:val="18"/>
              </w:rPr>
              <w:t>PAN</w:t>
            </w:r>
          </w:p>
        </w:tc>
        <w:tc>
          <w:tcPr>
            <w:tcW w:w="1604" w:type="dxa"/>
            <w:shd w:val="clear" w:color="auto" w:fill="006FC0"/>
          </w:tcPr>
          <w:p>
            <w:pPr>
              <w:pStyle w:val="TableParagraph"/>
              <w:jc w:val="left"/>
              <w:rPr>
                <w:rFonts w:ascii="Times New Roman"/>
                <w:sz w:val="18"/>
              </w:rPr>
            </w:pPr>
          </w:p>
          <w:p>
            <w:pPr>
              <w:pStyle w:val="TableParagraph"/>
              <w:spacing w:before="1"/>
              <w:ind w:left="67"/>
              <w:jc w:val="left"/>
              <w:rPr>
                <w:sz w:val="18"/>
              </w:rPr>
            </w:pPr>
            <w:r>
              <w:rPr>
                <w:sz w:val="18"/>
              </w:rPr>
              <w:t>PAN</w:t>
            </w:r>
          </w:p>
        </w:tc>
        <w:tc>
          <w:tcPr>
            <w:tcW w:w="1733" w:type="dxa"/>
            <w:shd w:val="clear" w:color="auto" w:fill="006FC0"/>
          </w:tcPr>
          <w:p>
            <w:pPr>
              <w:pStyle w:val="TableParagraph"/>
              <w:jc w:val="left"/>
              <w:rPr>
                <w:rFonts w:ascii="Times New Roman"/>
                <w:sz w:val="18"/>
              </w:rPr>
            </w:pPr>
          </w:p>
          <w:p>
            <w:pPr>
              <w:pStyle w:val="TableParagraph"/>
              <w:spacing w:before="1"/>
              <w:ind w:left="64"/>
              <w:jc w:val="left"/>
              <w:rPr>
                <w:sz w:val="18"/>
              </w:rPr>
            </w:pPr>
            <w:r>
              <w:rPr>
                <w:sz w:val="18"/>
              </w:rPr>
              <w:t>PAN</w:t>
            </w:r>
          </w:p>
        </w:tc>
        <w:tc>
          <w:tcPr>
            <w:tcW w:w="2062" w:type="dxa"/>
          </w:tcPr>
          <w:p>
            <w:pPr>
              <w:pStyle w:val="TableParagraph"/>
              <w:ind w:left="67" w:right="295"/>
              <w:jc w:val="left"/>
              <w:rPr>
                <w:sz w:val="18"/>
              </w:rPr>
            </w:pPr>
            <w:r>
              <w:rPr>
                <w:sz w:val="18"/>
              </w:rPr>
              <w:t>PRI-PVEM-NA-PSD- PFD</w:t>
            </w:r>
          </w:p>
        </w:tc>
        <w:tc>
          <w:tcPr>
            <w:tcW w:w="1397" w:type="dxa"/>
            <w:shd w:val="clear" w:color="auto" w:fill="006FC0"/>
          </w:tcPr>
          <w:p>
            <w:pPr>
              <w:pStyle w:val="TableParagraph"/>
              <w:jc w:val="left"/>
              <w:rPr>
                <w:rFonts w:ascii="Times New Roman"/>
                <w:sz w:val="18"/>
              </w:rPr>
            </w:pPr>
          </w:p>
          <w:p>
            <w:pPr>
              <w:pStyle w:val="TableParagraph"/>
              <w:spacing w:before="1"/>
              <w:ind w:left="67"/>
              <w:jc w:val="left"/>
              <w:rPr>
                <w:sz w:val="18"/>
              </w:rPr>
            </w:pPr>
            <w:r>
              <w:rPr>
                <w:sz w:val="18"/>
              </w:rPr>
              <w:t>PAN</w:t>
            </w:r>
          </w:p>
        </w:tc>
      </w:tr>
      <w:tr>
        <w:trPr>
          <w:trHeight w:val="422" w:hRule="exact"/>
        </w:trPr>
        <w:tc>
          <w:tcPr>
            <w:tcW w:w="3882" w:type="dxa"/>
          </w:tcPr>
          <w:p>
            <w:pPr>
              <w:pStyle w:val="TableParagraph"/>
              <w:spacing w:before="97"/>
              <w:ind w:left="67"/>
              <w:jc w:val="left"/>
              <w:rPr>
                <w:b/>
                <w:sz w:val="18"/>
              </w:rPr>
            </w:pPr>
            <w:r>
              <w:rPr>
                <w:b/>
                <w:color w:val="333333"/>
                <w:sz w:val="18"/>
              </w:rPr>
              <w:t>ATLACOMULCO</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tcPr>
          <w:p>
            <w:pPr>
              <w:pStyle w:val="TableParagraph"/>
              <w:spacing w:before="10"/>
              <w:jc w:val="left"/>
              <w:rPr>
                <w:rFonts w:ascii="Times New Roman"/>
                <w:sz w:val="17"/>
              </w:rPr>
            </w:pPr>
          </w:p>
          <w:p>
            <w:pPr>
              <w:pStyle w:val="TableParagraph"/>
              <w:ind w:left="64"/>
              <w:jc w:val="left"/>
              <w:rPr>
                <w:sz w:val="18"/>
              </w:rPr>
            </w:pPr>
            <w:r>
              <w:rPr>
                <w:sz w:val="18"/>
              </w:rPr>
              <w:t>PRI-PVEM</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5" w:hRule="exact"/>
        </w:trPr>
        <w:tc>
          <w:tcPr>
            <w:tcW w:w="3882" w:type="dxa"/>
          </w:tcPr>
          <w:p>
            <w:pPr>
              <w:pStyle w:val="TableParagraph"/>
              <w:spacing w:before="100"/>
              <w:ind w:left="67"/>
              <w:jc w:val="left"/>
              <w:rPr>
                <w:b/>
                <w:sz w:val="18"/>
              </w:rPr>
            </w:pPr>
            <w:r>
              <w:rPr>
                <w:b/>
                <w:color w:val="333333"/>
                <w:sz w:val="18"/>
              </w:rPr>
              <w:t>ATLAUTLA</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761"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655" w:type="dxa"/>
            <w:shd w:val="clear" w:color="auto" w:fill="FFFF00"/>
          </w:tcPr>
          <w:p>
            <w:pPr>
              <w:pStyle w:val="TableParagraph"/>
              <w:jc w:val="left"/>
              <w:rPr>
                <w:rFonts w:ascii="Times New Roman"/>
                <w:sz w:val="18"/>
              </w:rPr>
            </w:pPr>
          </w:p>
          <w:p>
            <w:pPr>
              <w:pStyle w:val="TableParagraph"/>
              <w:spacing w:before="1"/>
              <w:ind w:left="64"/>
              <w:jc w:val="left"/>
              <w:rPr>
                <w:sz w:val="18"/>
              </w:rPr>
            </w:pPr>
            <w:r>
              <w:rPr>
                <w:sz w:val="18"/>
              </w:rPr>
              <w:t>PRD</w:t>
            </w:r>
          </w:p>
        </w:tc>
        <w:tc>
          <w:tcPr>
            <w:tcW w:w="655"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1604" w:type="dxa"/>
          </w:tcPr>
          <w:p>
            <w:pPr>
              <w:pStyle w:val="TableParagraph"/>
              <w:jc w:val="left"/>
              <w:rPr>
                <w:rFonts w:ascii="Times New Roman"/>
                <w:sz w:val="18"/>
              </w:rPr>
            </w:pPr>
          </w:p>
          <w:p>
            <w:pPr>
              <w:pStyle w:val="TableParagraph"/>
              <w:spacing w:before="1"/>
              <w:ind w:left="67"/>
              <w:jc w:val="left"/>
              <w:rPr>
                <w:sz w:val="18"/>
              </w:rPr>
            </w:pPr>
            <w:r>
              <w:rPr>
                <w:sz w:val="18"/>
              </w:rPr>
              <w:t>PRI-PVEM</w:t>
            </w:r>
          </w:p>
        </w:tc>
        <w:tc>
          <w:tcPr>
            <w:tcW w:w="1733" w:type="dxa"/>
            <w:shd w:val="clear" w:color="auto" w:fill="006FC0"/>
          </w:tcPr>
          <w:p>
            <w:pPr>
              <w:pStyle w:val="TableParagraph"/>
              <w:jc w:val="left"/>
              <w:rPr>
                <w:rFonts w:ascii="Times New Roman"/>
                <w:sz w:val="18"/>
              </w:rPr>
            </w:pPr>
          </w:p>
          <w:p>
            <w:pPr>
              <w:pStyle w:val="TableParagraph"/>
              <w:spacing w:before="1"/>
              <w:ind w:left="64"/>
              <w:jc w:val="left"/>
              <w:rPr>
                <w:sz w:val="18"/>
              </w:rPr>
            </w:pPr>
            <w:r>
              <w:rPr>
                <w:sz w:val="18"/>
              </w:rPr>
              <w:t>PAN</w:t>
            </w:r>
          </w:p>
        </w:tc>
        <w:tc>
          <w:tcPr>
            <w:tcW w:w="2062" w:type="dxa"/>
          </w:tcPr>
          <w:p>
            <w:pPr>
              <w:pStyle w:val="TableParagraph"/>
              <w:spacing w:before="1"/>
              <w:ind w:left="67" w:right="295"/>
              <w:jc w:val="left"/>
              <w:rPr>
                <w:sz w:val="18"/>
              </w:rPr>
            </w:pPr>
            <w:r>
              <w:rPr>
                <w:sz w:val="18"/>
              </w:rPr>
              <w:t>PRI-PVEM-NA-PSD- PFD</w:t>
            </w:r>
          </w:p>
        </w:tc>
        <w:tc>
          <w:tcPr>
            <w:tcW w:w="1397" w:type="dxa"/>
            <w:shd w:val="clear" w:color="auto" w:fill="006FC0"/>
          </w:tcPr>
          <w:p>
            <w:pPr>
              <w:pStyle w:val="TableParagraph"/>
              <w:jc w:val="left"/>
              <w:rPr>
                <w:rFonts w:ascii="Times New Roman"/>
                <w:sz w:val="18"/>
              </w:rPr>
            </w:pPr>
          </w:p>
          <w:p>
            <w:pPr>
              <w:pStyle w:val="TableParagraph"/>
              <w:spacing w:before="1"/>
              <w:ind w:left="67"/>
              <w:jc w:val="left"/>
              <w:rPr>
                <w:sz w:val="18"/>
              </w:rPr>
            </w:pPr>
            <w:r>
              <w:rPr>
                <w:sz w:val="18"/>
              </w:rPr>
              <w:t>PAN</w:t>
            </w:r>
          </w:p>
        </w:tc>
      </w:tr>
      <w:tr>
        <w:trPr>
          <w:trHeight w:val="293" w:hRule="exact"/>
        </w:trPr>
        <w:tc>
          <w:tcPr>
            <w:tcW w:w="3882" w:type="dxa"/>
          </w:tcPr>
          <w:p>
            <w:pPr>
              <w:pStyle w:val="TableParagraph"/>
              <w:spacing w:before="32"/>
              <w:ind w:left="67"/>
              <w:jc w:val="left"/>
              <w:rPr>
                <w:b/>
                <w:sz w:val="18"/>
              </w:rPr>
            </w:pPr>
            <w:r>
              <w:rPr>
                <w:b/>
                <w:color w:val="333333"/>
                <w:sz w:val="18"/>
              </w:rPr>
              <w:t>AXAPUSCO</w:t>
            </w:r>
          </w:p>
        </w:tc>
        <w:tc>
          <w:tcPr>
            <w:tcW w:w="655" w:type="dxa"/>
          </w:tcPr>
          <w:p>
            <w:pPr>
              <w:pStyle w:val="TableParagraph"/>
              <w:spacing w:before="76"/>
              <w:ind w:left="64"/>
              <w:jc w:val="left"/>
              <w:rPr>
                <w:sz w:val="18"/>
              </w:rPr>
            </w:pPr>
            <w:r>
              <w:rPr>
                <w:sz w:val="18"/>
              </w:rPr>
              <w:t>PRI</w:t>
            </w:r>
          </w:p>
        </w:tc>
        <w:tc>
          <w:tcPr>
            <w:tcW w:w="761" w:type="dxa"/>
          </w:tcPr>
          <w:p>
            <w:pPr>
              <w:pStyle w:val="TableParagraph"/>
              <w:spacing w:before="76"/>
              <w:ind w:left="67"/>
              <w:jc w:val="left"/>
              <w:rPr>
                <w:sz w:val="18"/>
              </w:rPr>
            </w:pPr>
            <w:r>
              <w:rPr>
                <w:sz w:val="18"/>
              </w:rPr>
              <w:t>PRI</w:t>
            </w:r>
          </w:p>
        </w:tc>
        <w:tc>
          <w:tcPr>
            <w:tcW w:w="655" w:type="dxa"/>
          </w:tcPr>
          <w:p>
            <w:pPr>
              <w:pStyle w:val="TableParagraph"/>
              <w:spacing w:before="76"/>
              <w:ind w:left="64"/>
              <w:jc w:val="left"/>
              <w:rPr>
                <w:sz w:val="18"/>
              </w:rPr>
            </w:pPr>
            <w:r>
              <w:rPr>
                <w:sz w:val="18"/>
              </w:rPr>
              <w:t>PRI</w:t>
            </w:r>
          </w:p>
        </w:tc>
        <w:tc>
          <w:tcPr>
            <w:tcW w:w="655" w:type="dxa"/>
            <w:shd w:val="clear" w:color="auto" w:fill="006FC0"/>
          </w:tcPr>
          <w:p>
            <w:pPr>
              <w:pStyle w:val="TableParagraph"/>
              <w:spacing w:before="76"/>
              <w:ind w:left="67"/>
              <w:jc w:val="left"/>
              <w:rPr>
                <w:sz w:val="18"/>
              </w:rPr>
            </w:pPr>
            <w:r>
              <w:rPr>
                <w:sz w:val="18"/>
              </w:rPr>
              <w:t>PAN</w:t>
            </w:r>
          </w:p>
        </w:tc>
        <w:tc>
          <w:tcPr>
            <w:tcW w:w="1604" w:type="dxa"/>
          </w:tcPr>
          <w:p>
            <w:pPr>
              <w:pStyle w:val="TableParagraph"/>
              <w:spacing w:before="76"/>
              <w:ind w:left="67"/>
              <w:jc w:val="left"/>
              <w:rPr>
                <w:sz w:val="18"/>
              </w:rPr>
            </w:pPr>
            <w:r>
              <w:rPr>
                <w:sz w:val="18"/>
              </w:rPr>
              <w:t>PRI-PVEM</w:t>
            </w:r>
          </w:p>
        </w:tc>
        <w:tc>
          <w:tcPr>
            <w:tcW w:w="1733" w:type="dxa"/>
          </w:tcPr>
          <w:p>
            <w:pPr>
              <w:pStyle w:val="TableParagraph"/>
              <w:spacing w:before="76"/>
              <w:ind w:left="64"/>
              <w:jc w:val="left"/>
              <w:rPr>
                <w:sz w:val="18"/>
              </w:rPr>
            </w:pPr>
            <w:r>
              <w:rPr>
                <w:sz w:val="18"/>
              </w:rPr>
              <w:t>PRI-PVEM</w:t>
            </w:r>
          </w:p>
        </w:tc>
        <w:tc>
          <w:tcPr>
            <w:tcW w:w="2062" w:type="dxa"/>
            <w:shd w:val="clear" w:color="auto" w:fill="006FC0"/>
          </w:tcPr>
          <w:p>
            <w:pPr>
              <w:pStyle w:val="TableParagraph"/>
              <w:spacing w:before="76"/>
              <w:ind w:left="67" w:right="295"/>
              <w:jc w:val="left"/>
              <w:rPr>
                <w:sz w:val="18"/>
              </w:rPr>
            </w:pPr>
            <w:r>
              <w:rPr>
                <w:sz w:val="18"/>
              </w:rPr>
              <w:t>PAN</w:t>
            </w:r>
          </w:p>
        </w:tc>
        <w:tc>
          <w:tcPr>
            <w:tcW w:w="1397" w:type="dxa"/>
          </w:tcPr>
          <w:p>
            <w:pPr>
              <w:pStyle w:val="TableParagraph"/>
              <w:spacing w:before="76"/>
              <w:ind w:left="67"/>
              <w:jc w:val="left"/>
              <w:rPr>
                <w:sz w:val="18"/>
              </w:rPr>
            </w:pPr>
            <w:r>
              <w:rPr>
                <w:sz w:val="18"/>
              </w:rPr>
              <w:t>PRI-PVEM-NA</w:t>
            </w:r>
          </w:p>
        </w:tc>
      </w:tr>
      <w:tr>
        <w:trPr>
          <w:trHeight w:val="425" w:hRule="exact"/>
        </w:trPr>
        <w:tc>
          <w:tcPr>
            <w:tcW w:w="3882" w:type="dxa"/>
          </w:tcPr>
          <w:p>
            <w:pPr>
              <w:pStyle w:val="TableParagraph"/>
              <w:spacing w:before="100"/>
              <w:ind w:left="67"/>
              <w:jc w:val="left"/>
              <w:rPr>
                <w:b/>
                <w:sz w:val="18"/>
              </w:rPr>
            </w:pPr>
            <w:r>
              <w:rPr>
                <w:b/>
                <w:color w:val="333333"/>
                <w:sz w:val="18"/>
              </w:rPr>
              <w:t>AYAPANGO</w:t>
            </w:r>
          </w:p>
        </w:tc>
        <w:tc>
          <w:tcPr>
            <w:tcW w:w="655" w:type="dxa"/>
          </w:tcPr>
          <w:p>
            <w:pPr>
              <w:pStyle w:val="TableParagraph"/>
              <w:spacing w:before="1"/>
              <w:jc w:val="left"/>
              <w:rPr>
                <w:rFonts w:ascii="Times New Roman"/>
                <w:sz w:val="18"/>
              </w:rPr>
            </w:pPr>
          </w:p>
          <w:p>
            <w:pPr>
              <w:pStyle w:val="TableParagraph"/>
              <w:ind w:left="64"/>
              <w:jc w:val="left"/>
              <w:rPr>
                <w:sz w:val="18"/>
              </w:rPr>
            </w:pPr>
            <w:r>
              <w:rPr>
                <w:sz w:val="18"/>
              </w:rPr>
              <w:t>PRI</w:t>
            </w:r>
          </w:p>
        </w:tc>
        <w:tc>
          <w:tcPr>
            <w:tcW w:w="761" w:type="dxa"/>
          </w:tcPr>
          <w:p>
            <w:pPr>
              <w:pStyle w:val="TableParagraph"/>
              <w:spacing w:before="1"/>
              <w:jc w:val="left"/>
              <w:rPr>
                <w:rFonts w:ascii="Times New Roman"/>
                <w:sz w:val="18"/>
              </w:rPr>
            </w:pPr>
          </w:p>
          <w:p>
            <w:pPr>
              <w:pStyle w:val="TableParagraph"/>
              <w:ind w:left="67"/>
              <w:jc w:val="left"/>
              <w:rPr>
                <w:sz w:val="18"/>
              </w:rPr>
            </w:pPr>
            <w:r>
              <w:rPr>
                <w:sz w:val="18"/>
              </w:rPr>
              <w:t>PRI</w:t>
            </w:r>
          </w:p>
        </w:tc>
        <w:tc>
          <w:tcPr>
            <w:tcW w:w="655" w:type="dxa"/>
          </w:tcPr>
          <w:p>
            <w:pPr>
              <w:pStyle w:val="TableParagraph"/>
              <w:spacing w:before="1"/>
              <w:jc w:val="left"/>
              <w:rPr>
                <w:rFonts w:ascii="Times New Roman"/>
                <w:sz w:val="18"/>
              </w:rPr>
            </w:pPr>
          </w:p>
          <w:p>
            <w:pPr>
              <w:pStyle w:val="TableParagraph"/>
              <w:ind w:left="64"/>
              <w:jc w:val="left"/>
              <w:rPr>
                <w:sz w:val="18"/>
              </w:rPr>
            </w:pPr>
            <w:r>
              <w:rPr>
                <w:sz w:val="18"/>
              </w:rPr>
              <w:t>PRI</w:t>
            </w:r>
          </w:p>
        </w:tc>
        <w:tc>
          <w:tcPr>
            <w:tcW w:w="655" w:type="dxa"/>
          </w:tcPr>
          <w:p>
            <w:pPr>
              <w:pStyle w:val="TableParagraph"/>
              <w:spacing w:before="1"/>
              <w:jc w:val="left"/>
              <w:rPr>
                <w:rFonts w:ascii="Times New Roman"/>
                <w:sz w:val="18"/>
              </w:rPr>
            </w:pPr>
          </w:p>
          <w:p>
            <w:pPr>
              <w:pStyle w:val="TableParagraph"/>
              <w:ind w:left="67"/>
              <w:jc w:val="left"/>
              <w:rPr>
                <w:sz w:val="18"/>
              </w:rPr>
            </w:pPr>
            <w:r>
              <w:rPr>
                <w:sz w:val="18"/>
              </w:rPr>
              <w:t>PRI</w:t>
            </w:r>
          </w:p>
        </w:tc>
        <w:tc>
          <w:tcPr>
            <w:tcW w:w="1604" w:type="dxa"/>
          </w:tcPr>
          <w:p>
            <w:pPr>
              <w:pStyle w:val="TableParagraph"/>
              <w:spacing w:before="1"/>
              <w:jc w:val="left"/>
              <w:rPr>
                <w:rFonts w:ascii="Times New Roman"/>
                <w:sz w:val="18"/>
              </w:rPr>
            </w:pPr>
          </w:p>
          <w:p>
            <w:pPr>
              <w:pStyle w:val="TableParagraph"/>
              <w:ind w:left="67"/>
              <w:jc w:val="left"/>
              <w:rPr>
                <w:sz w:val="18"/>
              </w:rPr>
            </w:pPr>
            <w:r>
              <w:rPr>
                <w:sz w:val="18"/>
              </w:rPr>
              <w:t>PRI-PVEM</w:t>
            </w:r>
          </w:p>
        </w:tc>
        <w:tc>
          <w:tcPr>
            <w:tcW w:w="1733" w:type="dxa"/>
            <w:shd w:val="clear" w:color="auto" w:fill="FFFF00"/>
          </w:tcPr>
          <w:p>
            <w:pPr>
              <w:pStyle w:val="TableParagraph"/>
              <w:spacing w:before="1"/>
              <w:jc w:val="left"/>
              <w:rPr>
                <w:rFonts w:ascii="Times New Roman"/>
                <w:sz w:val="18"/>
              </w:rPr>
            </w:pPr>
          </w:p>
          <w:p>
            <w:pPr>
              <w:pStyle w:val="TableParagraph"/>
              <w:ind w:left="64"/>
              <w:jc w:val="left"/>
              <w:rPr>
                <w:sz w:val="18"/>
              </w:rPr>
            </w:pPr>
            <w:r>
              <w:rPr>
                <w:sz w:val="18"/>
              </w:rPr>
              <w:t>PRD</w:t>
            </w:r>
          </w:p>
        </w:tc>
        <w:tc>
          <w:tcPr>
            <w:tcW w:w="2062" w:type="dxa"/>
          </w:tcPr>
          <w:p>
            <w:pPr>
              <w:pStyle w:val="TableParagraph"/>
              <w:spacing w:line="242" w:lineRule="auto"/>
              <w:ind w:left="67" w:right="295"/>
              <w:jc w:val="left"/>
              <w:rPr>
                <w:sz w:val="18"/>
              </w:rPr>
            </w:pPr>
            <w:r>
              <w:rPr>
                <w:sz w:val="18"/>
              </w:rPr>
              <w:t>PRI-PVEM-NA-PSD- PFD</w:t>
            </w:r>
          </w:p>
        </w:tc>
        <w:tc>
          <w:tcPr>
            <w:tcW w:w="1397" w:type="dxa"/>
          </w:tcPr>
          <w:p>
            <w:pPr>
              <w:pStyle w:val="TableParagraph"/>
              <w:spacing w:before="1"/>
              <w:jc w:val="left"/>
              <w:rPr>
                <w:rFonts w:ascii="Times New Roman"/>
                <w:sz w:val="18"/>
              </w:rPr>
            </w:pPr>
          </w:p>
          <w:p>
            <w:pPr>
              <w:pStyle w:val="TableParagraph"/>
              <w:ind w:left="67"/>
              <w:jc w:val="left"/>
              <w:rPr>
                <w:sz w:val="18"/>
              </w:rPr>
            </w:pPr>
            <w:r>
              <w:rPr>
                <w:sz w:val="18"/>
              </w:rPr>
              <w:t>PRI-PVEM-NA</w:t>
            </w:r>
          </w:p>
        </w:tc>
      </w:tr>
      <w:tr>
        <w:trPr>
          <w:trHeight w:val="425" w:hRule="exact"/>
        </w:trPr>
        <w:tc>
          <w:tcPr>
            <w:tcW w:w="3882" w:type="dxa"/>
          </w:tcPr>
          <w:p>
            <w:pPr>
              <w:pStyle w:val="TableParagraph"/>
              <w:spacing w:before="97"/>
              <w:ind w:left="67"/>
              <w:jc w:val="left"/>
              <w:rPr>
                <w:b/>
                <w:sz w:val="18"/>
              </w:rPr>
            </w:pPr>
            <w:r>
              <w:rPr>
                <w:b/>
                <w:color w:val="333333"/>
                <w:sz w:val="18"/>
              </w:rPr>
              <w:t>CALIMAYA</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shd w:val="clear" w:color="auto" w:fill="FFFF00"/>
          </w:tcPr>
          <w:p>
            <w:pPr>
              <w:pStyle w:val="TableParagraph"/>
              <w:spacing w:before="10"/>
              <w:jc w:val="left"/>
              <w:rPr>
                <w:rFonts w:ascii="Times New Roman"/>
                <w:sz w:val="17"/>
              </w:rPr>
            </w:pPr>
          </w:p>
          <w:p>
            <w:pPr>
              <w:pStyle w:val="TableParagraph"/>
              <w:ind w:left="64"/>
              <w:jc w:val="left"/>
              <w:rPr>
                <w:sz w:val="18"/>
              </w:rPr>
            </w:pPr>
            <w:r>
              <w:rPr>
                <w:sz w:val="18"/>
              </w:rPr>
              <w:t>PRD</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shd w:val="clear" w:color="auto" w:fill="FFC000"/>
          </w:tcPr>
          <w:p>
            <w:pPr>
              <w:pStyle w:val="TableParagraph"/>
              <w:spacing w:before="10"/>
              <w:jc w:val="left"/>
              <w:rPr>
                <w:rFonts w:ascii="Times New Roman"/>
                <w:sz w:val="17"/>
              </w:rPr>
            </w:pPr>
          </w:p>
          <w:p>
            <w:pPr>
              <w:pStyle w:val="TableParagraph"/>
              <w:ind w:left="64"/>
              <w:jc w:val="left"/>
              <w:rPr>
                <w:sz w:val="18"/>
              </w:rPr>
            </w:pPr>
            <w:r>
              <w:rPr>
                <w:sz w:val="18"/>
              </w:rPr>
              <w:t>PT</w:t>
            </w:r>
          </w:p>
        </w:tc>
        <w:tc>
          <w:tcPr>
            <w:tcW w:w="2062" w:type="dxa"/>
          </w:tcPr>
          <w:p>
            <w:pPr>
              <w:pStyle w:val="TableParagraph"/>
              <w:ind w:left="67" w:right="295"/>
              <w:jc w:val="left"/>
              <w:rPr>
                <w:sz w:val="18"/>
              </w:rPr>
            </w:pPr>
            <w:r>
              <w:rPr>
                <w:sz w:val="18"/>
              </w:rPr>
              <w:t>PRI-PVEM-NA-PSD- PFD</w:t>
            </w:r>
          </w:p>
        </w:tc>
        <w:tc>
          <w:tcPr>
            <w:tcW w:w="1397" w:type="dxa"/>
            <w:shd w:val="clear" w:color="auto" w:fill="FFC000"/>
          </w:tcPr>
          <w:p>
            <w:pPr>
              <w:pStyle w:val="TableParagraph"/>
              <w:spacing w:before="10"/>
              <w:jc w:val="left"/>
              <w:rPr>
                <w:rFonts w:ascii="Times New Roman"/>
                <w:sz w:val="17"/>
              </w:rPr>
            </w:pPr>
          </w:p>
          <w:p>
            <w:pPr>
              <w:pStyle w:val="TableParagraph"/>
              <w:ind w:left="67"/>
              <w:jc w:val="left"/>
              <w:rPr>
                <w:sz w:val="18"/>
              </w:rPr>
            </w:pPr>
            <w:r>
              <w:rPr>
                <w:sz w:val="18"/>
              </w:rPr>
              <w:t>PT</w:t>
            </w:r>
          </w:p>
        </w:tc>
      </w:tr>
      <w:tr>
        <w:trPr>
          <w:trHeight w:val="293" w:hRule="exact"/>
        </w:trPr>
        <w:tc>
          <w:tcPr>
            <w:tcW w:w="3882" w:type="dxa"/>
            <w:shd w:val="clear" w:color="auto" w:fill="D5E2BB"/>
          </w:tcPr>
          <w:p>
            <w:pPr>
              <w:pStyle w:val="TableParagraph"/>
              <w:spacing w:before="32"/>
              <w:ind w:left="67"/>
              <w:jc w:val="left"/>
              <w:rPr>
                <w:b/>
                <w:sz w:val="18"/>
              </w:rPr>
            </w:pPr>
            <w:r>
              <w:rPr>
                <w:b/>
                <w:color w:val="333333"/>
                <w:sz w:val="18"/>
              </w:rPr>
              <w:t>CAPULHUAC</w:t>
            </w:r>
          </w:p>
        </w:tc>
        <w:tc>
          <w:tcPr>
            <w:tcW w:w="655" w:type="dxa"/>
          </w:tcPr>
          <w:p>
            <w:pPr>
              <w:pStyle w:val="TableParagraph"/>
              <w:spacing w:before="73"/>
              <w:ind w:left="64"/>
              <w:jc w:val="left"/>
              <w:rPr>
                <w:sz w:val="18"/>
              </w:rPr>
            </w:pPr>
            <w:r>
              <w:rPr>
                <w:sz w:val="18"/>
              </w:rPr>
              <w:t>PRI</w:t>
            </w:r>
          </w:p>
        </w:tc>
        <w:tc>
          <w:tcPr>
            <w:tcW w:w="761" w:type="dxa"/>
          </w:tcPr>
          <w:p>
            <w:pPr>
              <w:pStyle w:val="TableParagraph"/>
              <w:spacing w:before="73"/>
              <w:ind w:left="67"/>
              <w:jc w:val="left"/>
              <w:rPr>
                <w:sz w:val="18"/>
              </w:rPr>
            </w:pPr>
            <w:r>
              <w:rPr>
                <w:sz w:val="18"/>
              </w:rPr>
              <w:t>PRI</w:t>
            </w:r>
          </w:p>
        </w:tc>
        <w:tc>
          <w:tcPr>
            <w:tcW w:w="655" w:type="dxa"/>
            <w:shd w:val="clear" w:color="auto" w:fill="FFFF00"/>
          </w:tcPr>
          <w:p>
            <w:pPr>
              <w:pStyle w:val="TableParagraph"/>
              <w:spacing w:before="73"/>
              <w:ind w:left="64"/>
              <w:jc w:val="left"/>
              <w:rPr>
                <w:sz w:val="18"/>
              </w:rPr>
            </w:pPr>
            <w:r>
              <w:rPr>
                <w:sz w:val="18"/>
              </w:rPr>
              <w:t>PRD</w:t>
            </w:r>
          </w:p>
        </w:tc>
        <w:tc>
          <w:tcPr>
            <w:tcW w:w="655" w:type="dxa"/>
            <w:shd w:val="clear" w:color="auto" w:fill="FFFF00"/>
          </w:tcPr>
          <w:p>
            <w:pPr>
              <w:pStyle w:val="TableParagraph"/>
              <w:spacing w:before="73"/>
              <w:ind w:left="67"/>
              <w:jc w:val="left"/>
              <w:rPr>
                <w:sz w:val="18"/>
              </w:rPr>
            </w:pPr>
            <w:r>
              <w:rPr>
                <w:sz w:val="18"/>
              </w:rPr>
              <w:t>PRD</w:t>
            </w:r>
          </w:p>
        </w:tc>
        <w:tc>
          <w:tcPr>
            <w:tcW w:w="1604" w:type="dxa"/>
          </w:tcPr>
          <w:p>
            <w:pPr>
              <w:pStyle w:val="TableParagraph"/>
              <w:spacing w:before="73"/>
              <w:ind w:left="67"/>
              <w:jc w:val="left"/>
              <w:rPr>
                <w:sz w:val="18"/>
              </w:rPr>
            </w:pPr>
            <w:r>
              <w:rPr>
                <w:sz w:val="18"/>
              </w:rPr>
              <w:t>PRI-PVEM</w:t>
            </w:r>
          </w:p>
        </w:tc>
        <w:tc>
          <w:tcPr>
            <w:tcW w:w="1733" w:type="dxa"/>
            <w:shd w:val="clear" w:color="auto" w:fill="FFFF00"/>
          </w:tcPr>
          <w:p>
            <w:pPr>
              <w:pStyle w:val="TableParagraph"/>
              <w:spacing w:before="73"/>
              <w:ind w:left="64"/>
              <w:jc w:val="left"/>
              <w:rPr>
                <w:sz w:val="18"/>
              </w:rPr>
            </w:pPr>
            <w:r>
              <w:rPr>
                <w:sz w:val="18"/>
              </w:rPr>
              <w:t>PRD</w:t>
            </w:r>
          </w:p>
        </w:tc>
        <w:tc>
          <w:tcPr>
            <w:tcW w:w="2062" w:type="dxa"/>
            <w:shd w:val="clear" w:color="auto" w:fill="FFC000"/>
          </w:tcPr>
          <w:p>
            <w:pPr>
              <w:pStyle w:val="TableParagraph"/>
              <w:spacing w:before="73"/>
              <w:ind w:left="67" w:right="295"/>
              <w:jc w:val="left"/>
              <w:rPr>
                <w:sz w:val="18"/>
              </w:rPr>
            </w:pPr>
            <w:r>
              <w:rPr>
                <w:sz w:val="18"/>
              </w:rPr>
              <w:t>PT</w:t>
            </w:r>
          </w:p>
        </w:tc>
        <w:tc>
          <w:tcPr>
            <w:tcW w:w="1397" w:type="dxa"/>
          </w:tcPr>
          <w:p>
            <w:pPr>
              <w:pStyle w:val="TableParagraph"/>
              <w:spacing w:before="73"/>
              <w:ind w:left="67"/>
              <w:jc w:val="left"/>
              <w:rPr>
                <w:sz w:val="18"/>
              </w:rPr>
            </w:pPr>
            <w:r>
              <w:rPr>
                <w:sz w:val="18"/>
              </w:rPr>
              <w:t>PRI-PVEM-NA</w:t>
            </w:r>
          </w:p>
        </w:tc>
      </w:tr>
    </w:tbl>
    <w:p>
      <w:pPr>
        <w:spacing w:after="0"/>
        <w:jc w:val="left"/>
        <w:rPr>
          <w:sz w:val="18"/>
        </w:rPr>
        <w:sectPr>
          <w:footerReference w:type="default" r:id="rId187"/>
          <w:pgSz w:w="15840" w:h="12240" w:orient="landscape"/>
          <w:pgMar w:footer="975" w:header="0" w:top="1140" w:bottom="1160" w:left="1300" w:right="900"/>
          <w:pgNumType w:start="327"/>
        </w:sectPr>
      </w:pPr>
    </w:p>
    <w:p>
      <w:pPr>
        <w:pStyle w:val="BodyText"/>
        <w:rPr>
          <w:rFonts w:ascii="Times New Roman"/>
          <w:sz w:val="20"/>
        </w:rPr>
      </w:pPr>
    </w:p>
    <w:p>
      <w:pPr>
        <w:pStyle w:val="BodyText"/>
        <w:spacing w:before="10"/>
        <w:rPr>
          <w:rFonts w:ascii="Times New Roman"/>
          <w:sz w:val="28"/>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82"/>
        <w:gridCol w:w="655"/>
        <w:gridCol w:w="761"/>
        <w:gridCol w:w="655"/>
        <w:gridCol w:w="655"/>
        <w:gridCol w:w="1604"/>
        <w:gridCol w:w="1733"/>
        <w:gridCol w:w="2062"/>
        <w:gridCol w:w="1397"/>
      </w:tblGrid>
      <w:tr>
        <w:trPr>
          <w:trHeight w:val="324" w:hRule="exact"/>
        </w:trPr>
        <w:tc>
          <w:tcPr>
            <w:tcW w:w="13404" w:type="dxa"/>
            <w:gridSpan w:val="9"/>
            <w:shd w:val="clear" w:color="auto" w:fill="92D050"/>
          </w:tcPr>
          <w:p>
            <w:pPr>
              <w:pStyle w:val="TableParagraph"/>
              <w:spacing w:before="102"/>
              <w:ind w:left="2018"/>
              <w:jc w:val="left"/>
              <w:rPr>
                <w:b/>
                <w:sz w:val="18"/>
              </w:rPr>
            </w:pPr>
            <w:r>
              <w:rPr>
                <w:b/>
                <w:sz w:val="18"/>
              </w:rPr>
              <w:t>Anexo 4. Alternancias políticas en los gobiernos municipales del Estado de México 1990-2015 (Continuación)</w:t>
            </w:r>
          </w:p>
        </w:tc>
      </w:tr>
      <w:tr>
        <w:trPr>
          <w:trHeight w:val="326" w:hRule="exact"/>
        </w:trPr>
        <w:tc>
          <w:tcPr>
            <w:tcW w:w="3882" w:type="dxa"/>
            <w:shd w:val="clear" w:color="auto" w:fill="92D050"/>
          </w:tcPr>
          <w:p>
            <w:pPr>
              <w:pStyle w:val="TableParagraph"/>
              <w:spacing w:before="102"/>
              <w:ind w:left="1497" w:right="1494"/>
              <w:rPr>
                <w:b/>
                <w:sz w:val="18"/>
              </w:rPr>
            </w:pPr>
            <w:r>
              <w:rPr>
                <w:b/>
                <w:sz w:val="18"/>
              </w:rPr>
              <w:t>Municipio</w:t>
            </w:r>
          </w:p>
        </w:tc>
        <w:tc>
          <w:tcPr>
            <w:tcW w:w="655" w:type="dxa"/>
            <w:shd w:val="clear" w:color="auto" w:fill="92D050"/>
          </w:tcPr>
          <w:p>
            <w:pPr>
              <w:pStyle w:val="TableParagraph"/>
              <w:spacing w:before="102"/>
              <w:ind w:left="122"/>
              <w:jc w:val="left"/>
              <w:rPr>
                <w:b/>
                <w:sz w:val="18"/>
              </w:rPr>
            </w:pPr>
            <w:r>
              <w:rPr>
                <w:b/>
                <w:sz w:val="18"/>
              </w:rPr>
              <w:t>1990</w:t>
            </w:r>
          </w:p>
        </w:tc>
        <w:tc>
          <w:tcPr>
            <w:tcW w:w="761" w:type="dxa"/>
            <w:shd w:val="clear" w:color="auto" w:fill="92D050"/>
          </w:tcPr>
          <w:p>
            <w:pPr>
              <w:pStyle w:val="TableParagraph"/>
              <w:spacing w:before="102"/>
              <w:ind w:left="175"/>
              <w:jc w:val="left"/>
              <w:rPr>
                <w:b/>
                <w:sz w:val="18"/>
              </w:rPr>
            </w:pPr>
            <w:r>
              <w:rPr>
                <w:b/>
                <w:sz w:val="18"/>
              </w:rPr>
              <w:t>1993</w:t>
            </w:r>
          </w:p>
        </w:tc>
        <w:tc>
          <w:tcPr>
            <w:tcW w:w="655" w:type="dxa"/>
            <w:shd w:val="clear" w:color="auto" w:fill="92D050"/>
          </w:tcPr>
          <w:p>
            <w:pPr>
              <w:pStyle w:val="TableParagraph"/>
              <w:spacing w:before="102"/>
              <w:ind w:left="122"/>
              <w:jc w:val="left"/>
              <w:rPr>
                <w:b/>
                <w:sz w:val="18"/>
              </w:rPr>
            </w:pPr>
            <w:r>
              <w:rPr>
                <w:b/>
                <w:sz w:val="18"/>
              </w:rPr>
              <w:t>1996</w:t>
            </w:r>
          </w:p>
        </w:tc>
        <w:tc>
          <w:tcPr>
            <w:tcW w:w="655" w:type="dxa"/>
            <w:shd w:val="clear" w:color="auto" w:fill="92D050"/>
          </w:tcPr>
          <w:p>
            <w:pPr>
              <w:pStyle w:val="TableParagraph"/>
              <w:spacing w:before="102"/>
              <w:ind w:left="124"/>
              <w:jc w:val="left"/>
              <w:rPr>
                <w:b/>
                <w:sz w:val="18"/>
              </w:rPr>
            </w:pPr>
            <w:r>
              <w:rPr>
                <w:b/>
                <w:sz w:val="18"/>
              </w:rPr>
              <w:t>2000</w:t>
            </w:r>
          </w:p>
        </w:tc>
        <w:tc>
          <w:tcPr>
            <w:tcW w:w="1604" w:type="dxa"/>
            <w:shd w:val="clear" w:color="auto" w:fill="92D050"/>
          </w:tcPr>
          <w:p>
            <w:pPr>
              <w:pStyle w:val="TableParagraph"/>
              <w:spacing w:before="102"/>
              <w:ind w:left="578" w:right="574"/>
              <w:rPr>
                <w:b/>
                <w:sz w:val="18"/>
              </w:rPr>
            </w:pPr>
            <w:r>
              <w:rPr>
                <w:b/>
                <w:sz w:val="18"/>
              </w:rPr>
              <w:t>2003</w:t>
            </w:r>
          </w:p>
        </w:tc>
        <w:tc>
          <w:tcPr>
            <w:tcW w:w="1733" w:type="dxa"/>
            <w:shd w:val="clear" w:color="auto" w:fill="92D050"/>
          </w:tcPr>
          <w:p>
            <w:pPr>
              <w:pStyle w:val="TableParagraph"/>
              <w:spacing w:before="102"/>
              <w:ind w:left="641" w:right="641"/>
              <w:rPr>
                <w:b/>
                <w:sz w:val="18"/>
              </w:rPr>
            </w:pPr>
            <w:r>
              <w:rPr>
                <w:b/>
                <w:sz w:val="18"/>
              </w:rPr>
              <w:t>2006</w:t>
            </w:r>
          </w:p>
        </w:tc>
        <w:tc>
          <w:tcPr>
            <w:tcW w:w="2062" w:type="dxa"/>
            <w:shd w:val="clear" w:color="auto" w:fill="92D050"/>
          </w:tcPr>
          <w:p>
            <w:pPr>
              <w:pStyle w:val="TableParagraph"/>
              <w:spacing w:before="102"/>
              <w:ind w:left="809" w:right="802"/>
              <w:rPr>
                <w:b/>
                <w:sz w:val="18"/>
              </w:rPr>
            </w:pPr>
            <w:r>
              <w:rPr>
                <w:b/>
                <w:sz w:val="18"/>
              </w:rPr>
              <w:t>2009</w:t>
            </w:r>
          </w:p>
        </w:tc>
        <w:tc>
          <w:tcPr>
            <w:tcW w:w="1397" w:type="dxa"/>
            <w:shd w:val="clear" w:color="auto" w:fill="92D050"/>
          </w:tcPr>
          <w:p>
            <w:pPr>
              <w:pStyle w:val="TableParagraph"/>
              <w:spacing w:before="102"/>
              <w:ind w:left="475" w:right="471"/>
              <w:rPr>
                <w:b/>
                <w:sz w:val="18"/>
              </w:rPr>
            </w:pPr>
            <w:r>
              <w:rPr>
                <w:b/>
                <w:sz w:val="18"/>
              </w:rPr>
              <w:t>2013</w:t>
            </w:r>
          </w:p>
        </w:tc>
      </w:tr>
      <w:tr>
        <w:trPr>
          <w:trHeight w:val="422" w:hRule="exact"/>
        </w:trPr>
        <w:tc>
          <w:tcPr>
            <w:tcW w:w="3882" w:type="dxa"/>
          </w:tcPr>
          <w:p>
            <w:pPr>
              <w:pStyle w:val="TableParagraph"/>
              <w:spacing w:before="97"/>
              <w:ind w:left="67"/>
              <w:jc w:val="left"/>
              <w:rPr>
                <w:b/>
                <w:sz w:val="18"/>
              </w:rPr>
            </w:pPr>
            <w:r>
              <w:rPr>
                <w:b/>
                <w:color w:val="333333"/>
                <w:sz w:val="18"/>
              </w:rPr>
              <w:t>CHALCO</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shd w:val="clear" w:color="auto" w:fill="FFFF00"/>
          </w:tcPr>
          <w:p>
            <w:pPr>
              <w:pStyle w:val="TableParagraph"/>
              <w:spacing w:before="10"/>
              <w:jc w:val="left"/>
              <w:rPr>
                <w:rFonts w:ascii="Times New Roman"/>
                <w:sz w:val="17"/>
              </w:rPr>
            </w:pPr>
          </w:p>
          <w:p>
            <w:pPr>
              <w:pStyle w:val="TableParagraph"/>
              <w:ind w:left="67"/>
              <w:jc w:val="left"/>
              <w:rPr>
                <w:sz w:val="18"/>
              </w:rPr>
            </w:pPr>
            <w:r>
              <w:rPr>
                <w:sz w:val="18"/>
              </w:rPr>
              <w:t>PRD</w:t>
            </w:r>
          </w:p>
        </w:tc>
        <w:tc>
          <w:tcPr>
            <w:tcW w:w="1733" w:type="dxa"/>
            <w:shd w:val="clear" w:color="auto" w:fill="FFFF00"/>
          </w:tcPr>
          <w:p>
            <w:pPr>
              <w:pStyle w:val="TableParagraph"/>
              <w:spacing w:before="10"/>
              <w:jc w:val="left"/>
              <w:rPr>
                <w:rFonts w:ascii="Times New Roman"/>
                <w:sz w:val="17"/>
              </w:rPr>
            </w:pPr>
          </w:p>
          <w:p>
            <w:pPr>
              <w:pStyle w:val="TableParagraph"/>
              <w:ind w:left="64"/>
              <w:jc w:val="left"/>
              <w:rPr>
                <w:sz w:val="18"/>
              </w:rPr>
            </w:pPr>
            <w:r>
              <w:rPr>
                <w:sz w:val="18"/>
              </w:rPr>
              <w:t>PRD</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5" w:hRule="exact"/>
        </w:trPr>
        <w:tc>
          <w:tcPr>
            <w:tcW w:w="3882" w:type="dxa"/>
          </w:tcPr>
          <w:p>
            <w:pPr>
              <w:pStyle w:val="TableParagraph"/>
              <w:spacing w:before="100"/>
              <w:ind w:left="67"/>
              <w:jc w:val="left"/>
              <w:rPr>
                <w:b/>
                <w:sz w:val="18"/>
              </w:rPr>
            </w:pPr>
            <w:r>
              <w:rPr>
                <w:b/>
                <w:color w:val="333333"/>
                <w:sz w:val="18"/>
              </w:rPr>
              <w:t>CHAPA DE MOTA</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761"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655" w:type="dxa"/>
            <w:shd w:val="clear" w:color="auto" w:fill="006FC0"/>
          </w:tcPr>
          <w:p>
            <w:pPr>
              <w:pStyle w:val="TableParagraph"/>
              <w:jc w:val="left"/>
              <w:rPr>
                <w:rFonts w:ascii="Times New Roman"/>
                <w:sz w:val="18"/>
              </w:rPr>
            </w:pPr>
          </w:p>
          <w:p>
            <w:pPr>
              <w:pStyle w:val="TableParagraph"/>
              <w:spacing w:before="1"/>
              <w:ind w:left="67"/>
              <w:jc w:val="left"/>
              <w:rPr>
                <w:sz w:val="18"/>
              </w:rPr>
            </w:pPr>
            <w:r>
              <w:rPr>
                <w:sz w:val="18"/>
              </w:rPr>
              <w:t>PAN</w:t>
            </w:r>
          </w:p>
        </w:tc>
        <w:tc>
          <w:tcPr>
            <w:tcW w:w="1604" w:type="dxa"/>
          </w:tcPr>
          <w:p>
            <w:pPr>
              <w:pStyle w:val="TableParagraph"/>
              <w:jc w:val="left"/>
              <w:rPr>
                <w:rFonts w:ascii="Times New Roman"/>
                <w:sz w:val="18"/>
              </w:rPr>
            </w:pPr>
          </w:p>
          <w:p>
            <w:pPr>
              <w:pStyle w:val="TableParagraph"/>
              <w:spacing w:before="1"/>
              <w:ind w:left="67"/>
              <w:jc w:val="left"/>
              <w:rPr>
                <w:sz w:val="18"/>
              </w:rPr>
            </w:pPr>
            <w:r>
              <w:rPr>
                <w:sz w:val="18"/>
              </w:rPr>
              <w:t>PRI-PVEM</w:t>
            </w:r>
          </w:p>
        </w:tc>
        <w:tc>
          <w:tcPr>
            <w:tcW w:w="1733" w:type="dxa"/>
            <w:shd w:val="clear" w:color="auto" w:fill="006FC0"/>
          </w:tcPr>
          <w:p>
            <w:pPr>
              <w:pStyle w:val="TableParagraph"/>
              <w:jc w:val="left"/>
              <w:rPr>
                <w:rFonts w:ascii="Times New Roman"/>
                <w:sz w:val="18"/>
              </w:rPr>
            </w:pPr>
          </w:p>
          <w:p>
            <w:pPr>
              <w:pStyle w:val="TableParagraph"/>
              <w:spacing w:before="1"/>
              <w:ind w:left="64"/>
              <w:jc w:val="left"/>
              <w:rPr>
                <w:sz w:val="18"/>
              </w:rPr>
            </w:pPr>
            <w:r>
              <w:rPr>
                <w:sz w:val="18"/>
              </w:rPr>
              <w:t>PAN</w:t>
            </w:r>
          </w:p>
        </w:tc>
        <w:tc>
          <w:tcPr>
            <w:tcW w:w="2062" w:type="dxa"/>
          </w:tcPr>
          <w:p>
            <w:pPr>
              <w:pStyle w:val="TableParagraph"/>
              <w:ind w:left="67" w:right="295"/>
              <w:jc w:val="left"/>
              <w:rPr>
                <w:sz w:val="18"/>
              </w:rPr>
            </w:pPr>
            <w:r>
              <w:rPr>
                <w:sz w:val="18"/>
              </w:rPr>
              <w:t>PRI-PVEM-NA-PSD- PFD</w:t>
            </w:r>
          </w:p>
        </w:tc>
        <w:tc>
          <w:tcPr>
            <w:tcW w:w="1397" w:type="dxa"/>
            <w:shd w:val="clear" w:color="auto" w:fill="006FC0"/>
          </w:tcPr>
          <w:p>
            <w:pPr>
              <w:pStyle w:val="TableParagraph"/>
              <w:jc w:val="left"/>
              <w:rPr>
                <w:rFonts w:ascii="Times New Roman"/>
                <w:sz w:val="18"/>
              </w:rPr>
            </w:pPr>
          </w:p>
          <w:p>
            <w:pPr>
              <w:pStyle w:val="TableParagraph"/>
              <w:spacing w:before="1"/>
              <w:ind w:left="67"/>
              <w:jc w:val="left"/>
              <w:rPr>
                <w:sz w:val="18"/>
              </w:rPr>
            </w:pPr>
            <w:r>
              <w:rPr>
                <w:sz w:val="18"/>
              </w:rPr>
              <w:t>PAN</w:t>
            </w:r>
          </w:p>
        </w:tc>
      </w:tr>
      <w:tr>
        <w:trPr>
          <w:trHeight w:val="425" w:hRule="exact"/>
        </w:trPr>
        <w:tc>
          <w:tcPr>
            <w:tcW w:w="3882" w:type="dxa"/>
          </w:tcPr>
          <w:p>
            <w:pPr>
              <w:pStyle w:val="TableParagraph"/>
              <w:spacing w:before="97"/>
              <w:ind w:left="67"/>
              <w:jc w:val="left"/>
              <w:rPr>
                <w:b/>
                <w:sz w:val="18"/>
              </w:rPr>
            </w:pPr>
            <w:r>
              <w:rPr>
                <w:b/>
                <w:color w:val="333333"/>
                <w:sz w:val="18"/>
              </w:rPr>
              <w:t>CHAPULTEPEC</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shd w:val="clear" w:color="auto" w:fill="FF0000"/>
          </w:tcPr>
          <w:p>
            <w:pPr>
              <w:pStyle w:val="TableParagraph"/>
              <w:spacing w:before="10"/>
              <w:jc w:val="left"/>
              <w:rPr>
                <w:rFonts w:ascii="Times New Roman"/>
                <w:sz w:val="17"/>
              </w:rPr>
            </w:pPr>
          </w:p>
          <w:p>
            <w:pPr>
              <w:pStyle w:val="TableParagraph"/>
              <w:ind w:left="67"/>
              <w:jc w:val="left"/>
              <w:rPr>
                <w:sz w:val="18"/>
              </w:rPr>
            </w:pPr>
            <w:r>
              <w:rPr>
                <w:sz w:val="18"/>
              </w:rPr>
              <w:t>PFCRN</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shd w:val="clear" w:color="auto" w:fill="006FC0"/>
          </w:tcPr>
          <w:p>
            <w:pPr>
              <w:pStyle w:val="TableParagraph"/>
              <w:spacing w:before="10"/>
              <w:jc w:val="left"/>
              <w:rPr>
                <w:rFonts w:ascii="Times New Roman"/>
                <w:sz w:val="17"/>
              </w:rPr>
            </w:pPr>
          </w:p>
          <w:p>
            <w:pPr>
              <w:pStyle w:val="TableParagraph"/>
              <w:ind w:left="67"/>
              <w:jc w:val="left"/>
              <w:rPr>
                <w:sz w:val="18"/>
              </w:rPr>
            </w:pPr>
            <w:r>
              <w:rPr>
                <w:sz w:val="18"/>
              </w:rPr>
              <w:t>PAN</w:t>
            </w:r>
          </w:p>
        </w:tc>
        <w:tc>
          <w:tcPr>
            <w:tcW w:w="1733" w:type="dxa"/>
          </w:tcPr>
          <w:p>
            <w:pPr>
              <w:pStyle w:val="TableParagraph"/>
              <w:spacing w:before="10"/>
              <w:jc w:val="left"/>
              <w:rPr>
                <w:rFonts w:ascii="Times New Roman"/>
                <w:sz w:val="17"/>
              </w:rPr>
            </w:pPr>
          </w:p>
          <w:p>
            <w:pPr>
              <w:pStyle w:val="TableParagraph"/>
              <w:ind w:left="64"/>
              <w:jc w:val="left"/>
              <w:rPr>
                <w:sz w:val="18"/>
              </w:rPr>
            </w:pPr>
            <w:r>
              <w:rPr>
                <w:sz w:val="18"/>
              </w:rPr>
              <w:t>PRI-PVEM</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3" w:hRule="exact"/>
        </w:trPr>
        <w:tc>
          <w:tcPr>
            <w:tcW w:w="3882" w:type="dxa"/>
          </w:tcPr>
          <w:p>
            <w:pPr>
              <w:pStyle w:val="TableParagraph"/>
              <w:spacing w:before="97"/>
              <w:ind w:left="67"/>
              <w:jc w:val="left"/>
              <w:rPr>
                <w:b/>
                <w:sz w:val="18"/>
              </w:rPr>
            </w:pPr>
            <w:r>
              <w:rPr>
                <w:b/>
                <w:color w:val="333333"/>
                <w:sz w:val="18"/>
              </w:rPr>
              <w:t>CHIAUTLA</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shd w:val="clear" w:color="auto" w:fill="D99493"/>
          </w:tcPr>
          <w:p>
            <w:pPr>
              <w:pStyle w:val="TableParagraph"/>
              <w:spacing w:before="10"/>
              <w:jc w:val="left"/>
              <w:rPr>
                <w:rFonts w:ascii="Times New Roman"/>
                <w:sz w:val="17"/>
              </w:rPr>
            </w:pPr>
          </w:p>
          <w:p>
            <w:pPr>
              <w:pStyle w:val="TableParagraph"/>
              <w:ind w:left="67"/>
              <w:jc w:val="left"/>
              <w:rPr>
                <w:sz w:val="18"/>
              </w:rPr>
            </w:pPr>
            <w:r>
              <w:rPr>
                <w:sz w:val="18"/>
              </w:rPr>
              <w:t>PCD</w:t>
            </w: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tcPr>
          <w:p>
            <w:pPr>
              <w:pStyle w:val="TableParagraph"/>
              <w:spacing w:before="10"/>
              <w:jc w:val="left"/>
              <w:rPr>
                <w:rFonts w:ascii="Times New Roman"/>
                <w:sz w:val="17"/>
              </w:rPr>
            </w:pPr>
          </w:p>
          <w:p>
            <w:pPr>
              <w:pStyle w:val="TableParagraph"/>
              <w:ind w:left="64"/>
              <w:jc w:val="left"/>
              <w:rPr>
                <w:sz w:val="18"/>
              </w:rPr>
            </w:pPr>
            <w:r>
              <w:rPr>
                <w:sz w:val="18"/>
              </w:rPr>
              <w:t>PRI-PVEM</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293" w:hRule="exact"/>
        </w:trPr>
        <w:tc>
          <w:tcPr>
            <w:tcW w:w="3882" w:type="dxa"/>
          </w:tcPr>
          <w:p>
            <w:pPr>
              <w:pStyle w:val="TableParagraph"/>
              <w:spacing w:before="32"/>
              <w:ind w:left="67"/>
              <w:jc w:val="left"/>
              <w:rPr>
                <w:b/>
                <w:sz w:val="18"/>
              </w:rPr>
            </w:pPr>
            <w:r>
              <w:rPr>
                <w:b/>
                <w:color w:val="333333"/>
                <w:sz w:val="18"/>
              </w:rPr>
              <w:t>CHICOLOAPAN</w:t>
            </w:r>
          </w:p>
        </w:tc>
        <w:tc>
          <w:tcPr>
            <w:tcW w:w="655" w:type="dxa"/>
          </w:tcPr>
          <w:p>
            <w:pPr>
              <w:pStyle w:val="TableParagraph"/>
              <w:spacing w:before="76"/>
              <w:ind w:left="64"/>
              <w:jc w:val="left"/>
              <w:rPr>
                <w:sz w:val="18"/>
              </w:rPr>
            </w:pPr>
            <w:r>
              <w:rPr>
                <w:sz w:val="18"/>
              </w:rPr>
              <w:t>PRI</w:t>
            </w:r>
          </w:p>
        </w:tc>
        <w:tc>
          <w:tcPr>
            <w:tcW w:w="761" w:type="dxa"/>
          </w:tcPr>
          <w:p>
            <w:pPr>
              <w:pStyle w:val="TableParagraph"/>
              <w:spacing w:before="76"/>
              <w:ind w:left="67"/>
              <w:jc w:val="left"/>
              <w:rPr>
                <w:sz w:val="18"/>
              </w:rPr>
            </w:pPr>
            <w:r>
              <w:rPr>
                <w:sz w:val="18"/>
              </w:rPr>
              <w:t>PRI</w:t>
            </w:r>
          </w:p>
        </w:tc>
        <w:tc>
          <w:tcPr>
            <w:tcW w:w="655" w:type="dxa"/>
          </w:tcPr>
          <w:p>
            <w:pPr>
              <w:pStyle w:val="TableParagraph"/>
              <w:spacing w:before="76"/>
              <w:ind w:left="64"/>
              <w:jc w:val="left"/>
              <w:rPr>
                <w:sz w:val="18"/>
              </w:rPr>
            </w:pPr>
            <w:r>
              <w:rPr>
                <w:sz w:val="18"/>
              </w:rPr>
              <w:t>PRI</w:t>
            </w:r>
          </w:p>
        </w:tc>
        <w:tc>
          <w:tcPr>
            <w:tcW w:w="655" w:type="dxa"/>
            <w:shd w:val="clear" w:color="auto" w:fill="FFFF00"/>
          </w:tcPr>
          <w:p>
            <w:pPr>
              <w:pStyle w:val="TableParagraph"/>
              <w:spacing w:before="76"/>
              <w:ind w:left="67"/>
              <w:jc w:val="left"/>
              <w:rPr>
                <w:sz w:val="18"/>
              </w:rPr>
            </w:pPr>
            <w:r>
              <w:rPr>
                <w:sz w:val="18"/>
              </w:rPr>
              <w:t>PRD</w:t>
            </w:r>
          </w:p>
        </w:tc>
        <w:tc>
          <w:tcPr>
            <w:tcW w:w="1604" w:type="dxa"/>
            <w:shd w:val="clear" w:color="auto" w:fill="FFFF00"/>
          </w:tcPr>
          <w:p>
            <w:pPr>
              <w:pStyle w:val="TableParagraph"/>
              <w:spacing w:before="76"/>
              <w:ind w:left="67"/>
              <w:jc w:val="left"/>
              <w:rPr>
                <w:sz w:val="18"/>
              </w:rPr>
            </w:pPr>
            <w:r>
              <w:rPr>
                <w:sz w:val="18"/>
              </w:rPr>
              <w:t>PRD</w:t>
            </w:r>
          </w:p>
        </w:tc>
        <w:tc>
          <w:tcPr>
            <w:tcW w:w="1733" w:type="dxa"/>
            <w:shd w:val="clear" w:color="auto" w:fill="FFFF00"/>
          </w:tcPr>
          <w:p>
            <w:pPr>
              <w:pStyle w:val="TableParagraph"/>
              <w:spacing w:before="76"/>
              <w:ind w:left="64"/>
              <w:jc w:val="left"/>
              <w:rPr>
                <w:sz w:val="18"/>
              </w:rPr>
            </w:pPr>
            <w:r>
              <w:rPr>
                <w:sz w:val="18"/>
              </w:rPr>
              <w:t>PRD</w:t>
            </w:r>
          </w:p>
        </w:tc>
        <w:tc>
          <w:tcPr>
            <w:tcW w:w="2062" w:type="dxa"/>
            <w:shd w:val="clear" w:color="auto" w:fill="FFFF00"/>
          </w:tcPr>
          <w:p>
            <w:pPr>
              <w:pStyle w:val="TableParagraph"/>
              <w:spacing w:before="76"/>
              <w:ind w:left="67" w:right="295"/>
              <w:jc w:val="left"/>
              <w:rPr>
                <w:sz w:val="18"/>
              </w:rPr>
            </w:pPr>
            <w:r>
              <w:rPr>
                <w:sz w:val="18"/>
              </w:rPr>
              <w:t>PRD-PT</w:t>
            </w:r>
          </w:p>
        </w:tc>
        <w:tc>
          <w:tcPr>
            <w:tcW w:w="1397" w:type="dxa"/>
          </w:tcPr>
          <w:p>
            <w:pPr>
              <w:pStyle w:val="TableParagraph"/>
              <w:spacing w:before="76"/>
              <w:ind w:left="67"/>
              <w:jc w:val="left"/>
              <w:rPr>
                <w:sz w:val="18"/>
              </w:rPr>
            </w:pPr>
            <w:r>
              <w:rPr>
                <w:sz w:val="18"/>
              </w:rPr>
              <w:t>PRI-PVEM-NA</w:t>
            </w:r>
          </w:p>
        </w:tc>
      </w:tr>
      <w:tr>
        <w:trPr>
          <w:trHeight w:val="425" w:hRule="exact"/>
        </w:trPr>
        <w:tc>
          <w:tcPr>
            <w:tcW w:w="3882" w:type="dxa"/>
          </w:tcPr>
          <w:p>
            <w:pPr>
              <w:pStyle w:val="TableParagraph"/>
              <w:spacing w:before="100"/>
              <w:ind w:left="67"/>
              <w:jc w:val="left"/>
              <w:rPr>
                <w:b/>
                <w:sz w:val="18"/>
              </w:rPr>
            </w:pPr>
            <w:r>
              <w:rPr>
                <w:b/>
                <w:color w:val="333333"/>
                <w:sz w:val="18"/>
              </w:rPr>
              <w:t>CHICONCUAC</w:t>
            </w:r>
          </w:p>
        </w:tc>
        <w:tc>
          <w:tcPr>
            <w:tcW w:w="655" w:type="dxa"/>
            <w:shd w:val="clear" w:color="auto" w:fill="FFFF00"/>
          </w:tcPr>
          <w:p>
            <w:pPr>
              <w:pStyle w:val="TableParagraph"/>
              <w:jc w:val="left"/>
              <w:rPr>
                <w:rFonts w:ascii="Times New Roman"/>
                <w:sz w:val="18"/>
              </w:rPr>
            </w:pPr>
          </w:p>
          <w:p>
            <w:pPr>
              <w:pStyle w:val="TableParagraph"/>
              <w:spacing w:before="1"/>
              <w:ind w:left="64"/>
              <w:jc w:val="left"/>
              <w:rPr>
                <w:sz w:val="18"/>
              </w:rPr>
            </w:pPr>
            <w:r>
              <w:rPr>
                <w:sz w:val="18"/>
              </w:rPr>
              <w:t>PRD</w:t>
            </w:r>
          </w:p>
        </w:tc>
        <w:tc>
          <w:tcPr>
            <w:tcW w:w="761"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655" w:type="dxa"/>
            <w:shd w:val="clear" w:color="auto" w:fill="FFFF00"/>
          </w:tcPr>
          <w:p>
            <w:pPr>
              <w:pStyle w:val="TableParagraph"/>
              <w:jc w:val="left"/>
              <w:rPr>
                <w:rFonts w:ascii="Times New Roman"/>
                <w:sz w:val="18"/>
              </w:rPr>
            </w:pPr>
          </w:p>
          <w:p>
            <w:pPr>
              <w:pStyle w:val="TableParagraph"/>
              <w:spacing w:before="1"/>
              <w:ind w:left="64"/>
              <w:jc w:val="left"/>
              <w:rPr>
                <w:sz w:val="18"/>
              </w:rPr>
            </w:pPr>
            <w:r>
              <w:rPr>
                <w:sz w:val="18"/>
              </w:rPr>
              <w:t>PRD</w:t>
            </w:r>
          </w:p>
        </w:tc>
        <w:tc>
          <w:tcPr>
            <w:tcW w:w="655"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1604" w:type="dxa"/>
            <w:shd w:val="clear" w:color="auto" w:fill="FFC000"/>
          </w:tcPr>
          <w:p>
            <w:pPr>
              <w:pStyle w:val="TableParagraph"/>
              <w:jc w:val="left"/>
              <w:rPr>
                <w:rFonts w:ascii="Times New Roman"/>
                <w:sz w:val="18"/>
              </w:rPr>
            </w:pPr>
          </w:p>
          <w:p>
            <w:pPr>
              <w:pStyle w:val="TableParagraph"/>
              <w:spacing w:before="1"/>
              <w:ind w:left="67"/>
              <w:jc w:val="left"/>
              <w:rPr>
                <w:sz w:val="18"/>
              </w:rPr>
            </w:pPr>
            <w:r>
              <w:rPr>
                <w:sz w:val="18"/>
              </w:rPr>
              <w:t>PT</w:t>
            </w:r>
          </w:p>
        </w:tc>
        <w:tc>
          <w:tcPr>
            <w:tcW w:w="1733" w:type="dxa"/>
            <w:shd w:val="clear" w:color="auto" w:fill="E26C09"/>
          </w:tcPr>
          <w:p>
            <w:pPr>
              <w:pStyle w:val="TableParagraph"/>
              <w:jc w:val="left"/>
              <w:rPr>
                <w:rFonts w:ascii="Times New Roman"/>
                <w:sz w:val="18"/>
              </w:rPr>
            </w:pPr>
          </w:p>
          <w:p>
            <w:pPr>
              <w:pStyle w:val="TableParagraph"/>
              <w:spacing w:before="1"/>
              <w:ind w:left="64"/>
              <w:jc w:val="left"/>
              <w:rPr>
                <w:sz w:val="18"/>
              </w:rPr>
            </w:pPr>
            <w:r>
              <w:rPr>
                <w:sz w:val="18"/>
              </w:rPr>
              <w:t>CONVERGENCIA</w:t>
            </w:r>
          </w:p>
        </w:tc>
        <w:tc>
          <w:tcPr>
            <w:tcW w:w="2062" w:type="dxa"/>
          </w:tcPr>
          <w:p>
            <w:pPr>
              <w:pStyle w:val="TableParagraph"/>
              <w:ind w:left="67" w:right="295"/>
              <w:jc w:val="left"/>
              <w:rPr>
                <w:sz w:val="18"/>
              </w:rPr>
            </w:pPr>
            <w:r>
              <w:rPr>
                <w:sz w:val="18"/>
              </w:rPr>
              <w:t>PRI-PVEM-NA-PSD- PFD</w:t>
            </w:r>
          </w:p>
        </w:tc>
        <w:tc>
          <w:tcPr>
            <w:tcW w:w="1397" w:type="dxa"/>
            <w:shd w:val="clear" w:color="auto" w:fill="006FC0"/>
          </w:tcPr>
          <w:p>
            <w:pPr>
              <w:pStyle w:val="TableParagraph"/>
              <w:jc w:val="left"/>
              <w:rPr>
                <w:rFonts w:ascii="Times New Roman"/>
                <w:sz w:val="18"/>
              </w:rPr>
            </w:pPr>
          </w:p>
          <w:p>
            <w:pPr>
              <w:pStyle w:val="TableParagraph"/>
              <w:spacing w:before="1"/>
              <w:ind w:left="67"/>
              <w:jc w:val="left"/>
              <w:rPr>
                <w:sz w:val="18"/>
              </w:rPr>
            </w:pPr>
            <w:r>
              <w:rPr>
                <w:sz w:val="18"/>
              </w:rPr>
              <w:t>PAN</w:t>
            </w:r>
          </w:p>
        </w:tc>
      </w:tr>
      <w:tr>
        <w:trPr>
          <w:trHeight w:val="425" w:hRule="exact"/>
        </w:trPr>
        <w:tc>
          <w:tcPr>
            <w:tcW w:w="3882" w:type="dxa"/>
          </w:tcPr>
          <w:p>
            <w:pPr>
              <w:pStyle w:val="TableParagraph"/>
              <w:spacing w:before="97"/>
              <w:ind w:left="67"/>
              <w:jc w:val="left"/>
              <w:rPr>
                <w:b/>
                <w:sz w:val="18"/>
              </w:rPr>
            </w:pPr>
            <w:r>
              <w:rPr>
                <w:b/>
                <w:color w:val="333333"/>
                <w:sz w:val="18"/>
              </w:rPr>
              <w:t>CHIMALHUACAN</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tcPr>
          <w:p>
            <w:pPr>
              <w:pStyle w:val="TableParagraph"/>
              <w:spacing w:before="10"/>
              <w:jc w:val="left"/>
              <w:rPr>
                <w:rFonts w:ascii="Times New Roman"/>
                <w:sz w:val="17"/>
              </w:rPr>
            </w:pPr>
          </w:p>
          <w:p>
            <w:pPr>
              <w:pStyle w:val="TableParagraph"/>
              <w:ind w:left="64"/>
              <w:jc w:val="left"/>
              <w:rPr>
                <w:sz w:val="18"/>
              </w:rPr>
            </w:pPr>
            <w:r>
              <w:rPr>
                <w:sz w:val="18"/>
              </w:rPr>
              <w:t>PRI-PVEM</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2" w:hRule="exact"/>
        </w:trPr>
        <w:tc>
          <w:tcPr>
            <w:tcW w:w="3882" w:type="dxa"/>
          </w:tcPr>
          <w:p>
            <w:pPr>
              <w:pStyle w:val="TableParagraph"/>
              <w:spacing w:before="97"/>
              <w:ind w:left="67"/>
              <w:jc w:val="left"/>
              <w:rPr>
                <w:b/>
                <w:sz w:val="18"/>
              </w:rPr>
            </w:pPr>
            <w:r>
              <w:rPr>
                <w:b/>
                <w:color w:val="333333"/>
                <w:sz w:val="18"/>
              </w:rPr>
              <w:t>COACALCO DE BERRIOZABAL</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shd w:val="clear" w:color="auto" w:fill="006FC0"/>
          </w:tcPr>
          <w:p>
            <w:pPr>
              <w:pStyle w:val="TableParagraph"/>
              <w:spacing w:before="10"/>
              <w:jc w:val="left"/>
              <w:rPr>
                <w:rFonts w:ascii="Times New Roman"/>
                <w:sz w:val="17"/>
              </w:rPr>
            </w:pPr>
          </w:p>
          <w:p>
            <w:pPr>
              <w:pStyle w:val="TableParagraph"/>
              <w:ind w:left="64"/>
              <w:jc w:val="left"/>
              <w:rPr>
                <w:sz w:val="18"/>
              </w:rPr>
            </w:pPr>
            <w:r>
              <w:rPr>
                <w:sz w:val="18"/>
              </w:rPr>
              <w:t>PAN</w:t>
            </w:r>
          </w:p>
        </w:tc>
        <w:tc>
          <w:tcPr>
            <w:tcW w:w="655" w:type="dxa"/>
            <w:shd w:val="clear" w:color="auto" w:fill="006FC0"/>
          </w:tcPr>
          <w:p>
            <w:pPr>
              <w:pStyle w:val="TableParagraph"/>
              <w:spacing w:before="10"/>
              <w:jc w:val="left"/>
              <w:rPr>
                <w:rFonts w:ascii="Times New Roman"/>
                <w:sz w:val="17"/>
              </w:rPr>
            </w:pPr>
          </w:p>
          <w:p>
            <w:pPr>
              <w:pStyle w:val="TableParagraph"/>
              <w:ind w:left="67"/>
              <w:jc w:val="left"/>
              <w:rPr>
                <w:sz w:val="18"/>
              </w:rPr>
            </w:pPr>
            <w:r>
              <w:rPr>
                <w:sz w:val="18"/>
              </w:rPr>
              <w:t>PAN</w:t>
            </w:r>
          </w:p>
        </w:tc>
        <w:tc>
          <w:tcPr>
            <w:tcW w:w="1604" w:type="dxa"/>
            <w:shd w:val="clear" w:color="auto" w:fill="006FC0"/>
          </w:tcPr>
          <w:p>
            <w:pPr>
              <w:pStyle w:val="TableParagraph"/>
              <w:spacing w:before="10"/>
              <w:jc w:val="left"/>
              <w:rPr>
                <w:rFonts w:ascii="Times New Roman"/>
                <w:sz w:val="17"/>
              </w:rPr>
            </w:pPr>
          </w:p>
          <w:p>
            <w:pPr>
              <w:pStyle w:val="TableParagraph"/>
              <w:ind w:left="67"/>
              <w:jc w:val="left"/>
              <w:rPr>
                <w:sz w:val="18"/>
              </w:rPr>
            </w:pPr>
            <w:r>
              <w:rPr>
                <w:sz w:val="18"/>
              </w:rPr>
              <w:t>PAN</w:t>
            </w:r>
          </w:p>
        </w:tc>
        <w:tc>
          <w:tcPr>
            <w:tcW w:w="1733" w:type="dxa"/>
          </w:tcPr>
          <w:p>
            <w:pPr>
              <w:pStyle w:val="TableParagraph"/>
              <w:spacing w:before="10"/>
              <w:jc w:val="left"/>
              <w:rPr>
                <w:rFonts w:ascii="Times New Roman"/>
                <w:sz w:val="17"/>
              </w:rPr>
            </w:pPr>
          </w:p>
          <w:p>
            <w:pPr>
              <w:pStyle w:val="TableParagraph"/>
              <w:ind w:left="64"/>
              <w:jc w:val="left"/>
              <w:rPr>
                <w:sz w:val="18"/>
              </w:rPr>
            </w:pPr>
            <w:r>
              <w:rPr>
                <w:sz w:val="18"/>
              </w:rPr>
              <w:t>PRI-PVEM</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5" w:hRule="exact"/>
        </w:trPr>
        <w:tc>
          <w:tcPr>
            <w:tcW w:w="3882" w:type="dxa"/>
          </w:tcPr>
          <w:p>
            <w:pPr>
              <w:pStyle w:val="TableParagraph"/>
              <w:spacing w:before="100"/>
              <w:ind w:left="67"/>
              <w:jc w:val="left"/>
              <w:rPr>
                <w:b/>
                <w:sz w:val="18"/>
              </w:rPr>
            </w:pPr>
            <w:r>
              <w:rPr>
                <w:b/>
                <w:color w:val="333333"/>
                <w:sz w:val="18"/>
              </w:rPr>
              <w:t>COATEPEC HARINAS</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761"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655" w:type="dxa"/>
            <w:shd w:val="clear" w:color="auto" w:fill="006FC0"/>
          </w:tcPr>
          <w:p>
            <w:pPr>
              <w:pStyle w:val="TableParagraph"/>
              <w:jc w:val="left"/>
              <w:rPr>
                <w:rFonts w:ascii="Times New Roman"/>
                <w:sz w:val="18"/>
              </w:rPr>
            </w:pPr>
          </w:p>
          <w:p>
            <w:pPr>
              <w:pStyle w:val="TableParagraph"/>
              <w:spacing w:before="1"/>
              <w:ind w:left="67"/>
              <w:jc w:val="left"/>
              <w:rPr>
                <w:sz w:val="18"/>
              </w:rPr>
            </w:pPr>
            <w:r>
              <w:rPr>
                <w:sz w:val="18"/>
              </w:rPr>
              <w:t>PAN</w:t>
            </w:r>
          </w:p>
        </w:tc>
        <w:tc>
          <w:tcPr>
            <w:tcW w:w="1604" w:type="dxa"/>
            <w:shd w:val="clear" w:color="auto" w:fill="FFC000"/>
          </w:tcPr>
          <w:p>
            <w:pPr>
              <w:pStyle w:val="TableParagraph"/>
              <w:jc w:val="left"/>
              <w:rPr>
                <w:rFonts w:ascii="Times New Roman"/>
                <w:sz w:val="18"/>
              </w:rPr>
            </w:pPr>
          </w:p>
          <w:p>
            <w:pPr>
              <w:pStyle w:val="TableParagraph"/>
              <w:spacing w:before="1"/>
              <w:ind w:left="67"/>
              <w:jc w:val="left"/>
              <w:rPr>
                <w:sz w:val="18"/>
              </w:rPr>
            </w:pPr>
            <w:r>
              <w:rPr>
                <w:sz w:val="18"/>
              </w:rPr>
              <w:t>PT</w:t>
            </w:r>
          </w:p>
        </w:tc>
        <w:tc>
          <w:tcPr>
            <w:tcW w:w="1733" w:type="dxa"/>
          </w:tcPr>
          <w:p>
            <w:pPr>
              <w:pStyle w:val="TableParagraph"/>
              <w:jc w:val="left"/>
              <w:rPr>
                <w:rFonts w:ascii="Times New Roman"/>
                <w:sz w:val="18"/>
              </w:rPr>
            </w:pPr>
          </w:p>
          <w:p>
            <w:pPr>
              <w:pStyle w:val="TableParagraph"/>
              <w:spacing w:before="1"/>
              <w:ind w:left="64"/>
              <w:jc w:val="left"/>
              <w:rPr>
                <w:sz w:val="18"/>
              </w:rPr>
            </w:pPr>
            <w:r>
              <w:rPr>
                <w:sz w:val="18"/>
              </w:rPr>
              <w:t>PRI-PVEM</w:t>
            </w:r>
          </w:p>
        </w:tc>
        <w:tc>
          <w:tcPr>
            <w:tcW w:w="2062" w:type="dxa"/>
          </w:tcPr>
          <w:p>
            <w:pPr>
              <w:pStyle w:val="TableParagraph"/>
              <w:ind w:left="67" w:right="295"/>
              <w:jc w:val="left"/>
              <w:rPr>
                <w:sz w:val="18"/>
              </w:rPr>
            </w:pPr>
            <w:r>
              <w:rPr>
                <w:sz w:val="18"/>
              </w:rPr>
              <w:t>PRI-PVEM-NA-PSD- PFD</w:t>
            </w:r>
          </w:p>
        </w:tc>
        <w:tc>
          <w:tcPr>
            <w:tcW w:w="1397" w:type="dxa"/>
            <w:shd w:val="clear" w:color="auto" w:fill="006FC0"/>
          </w:tcPr>
          <w:p>
            <w:pPr>
              <w:pStyle w:val="TableParagraph"/>
              <w:jc w:val="left"/>
              <w:rPr>
                <w:rFonts w:ascii="Times New Roman"/>
                <w:sz w:val="18"/>
              </w:rPr>
            </w:pPr>
          </w:p>
          <w:p>
            <w:pPr>
              <w:pStyle w:val="TableParagraph"/>
              <w:spacing w:before="1"/>
              <w:ind w:left="67"/>
              <w:jc w:val="left"/>
              <w:rPr>
                <w:sz w:val="18"/>
              </w:rPr>
            </w:pPr>
            <w:r>
              <w:rPr>
                <w:sz w:val="18"/>
              </w:rPr>
              <w:t>PAN</w:t>
            </w:r>
          </w:p>
        </w:tc>
      </w:tr>
      <w:tr>
        <w:trPr>
          <w:trHeight w:val="293" w:hRule="exact"/>
        </w:trPr>
        <w:tc>
          <w:tcPr>
            <w:tcW w:w="3882" w:type="dxa"/>
          </w:tcPr>
          <w:p>
            <w:pPr>
              <w:pStyle w:val="TableParagraph"/>
              <w:spacing w:before="32"/>
              <w:ind w:left="67"/>
              <w:jc w:val="left"/>
              <w:rPr>
                <w:b/>
                <w:sz w:val="18"/>
              </w:rPr>
            </w:pPr>
            <w:r>
              <w:rPr>
                <w:b/>
                <w:color w:val="333333"/>
                <w:sz w:val="18"/>
              </w:rPr>
              <w:t>COCOTITLAN</w:t>
            </w:r>
          </w:p>
        </w:tc>
        <w:tc>
          <w:tcPr>
            <w:tcW w:w="655" w:type="dxa"/>
            <w:shd w:val="clear" w:color="auto" w:fill="FFFF00"/>
          </w:tcPr>
          <w:p>
            <w:pPr>
              <w:pStyle w:val="TableParagraph"/>
              <w:spacing w:before="76"/>
              <w:ind w:left="64"/>
              <w:jc w:val="left"/>
              <w:rPr>
                <w:sz w:val="18"/>
              </w:rPr>
            </w:pPr>
            <w:r>
              <w:rPr>
                <w:sz w:val="18"/>
              </w:rPr>
              <w:t>PRD</w:t>
            </w:r>
          </w:p>
        </w:tc>
        <w:tc>
          <w:tcPr>
            <w:tcW w:w="761" w:type="dxa"/>
          </w:tcPr>
          <w:p>
            <w:pPr>
              <w:pStyle w:val="TableParagraph"/>
              <w:spacing w:before="76"/>
              <w:ind w:left="67"/>
              <w:jc w:val="left"/>
              <w:rPr>
                <w:sz w:val="18"/>
              </w:rPr>
            </w:pPr>
            <w:r>
              <w:rPr>
                <w:sz w:val="18"/>
              </w:rPr>
              <w:t>PRI</w:t>
            </w:r>
          </w:p>
        </w:tc>
        <w:tc>
          <w:tcPr>
            <w:tcW w:w="655" w:type="dxa"/>
            <w:shd w:val="clear" w:color="auto" w:fill="92D050"/>
          </w:tcPr>
          <w:p>
            <w:pPr>
              <w:pStyle w:val="TableParagraph"/>
              <w:spacing w:before="76"/>
              <w:ind w:left="64"/>
              <w:jc w:val="left"/>
              <w:rPr>
                <w:sz w:val="18"/>
              </w:rPr>
            </w:pPr>
            <w:r>
              <w:rPr>
                <w:sz w:val="18"/>
              </w:rPr>
              <w:t>PVEM</w:t>
            </w:r>
          </w:p>
        </w:tc>
        <w:tc>
          <w:tcPr>
            <w:tcW w:w="655" w:type="dxa"/>
            <w:shd w:val="clear" w:color="auto" w:fill="FFFF00"/>
          </w:tcPr>
          <w:p>
            <w:pPr>
              <w:pStyle w:val="TableParagraph"/>
              <w:spacing w:before="76"/>
              <w:ind w:left="67"/>
              <w:jc w:val="left"/>
              <w:rPr>
                <w:sz w:val="18"/>
              </w:rPr>
            </w:pPr>
            <w:r>
              <w:rPr>
                <w:sz w:val="18"/>
              </w:rPr>
              <w:t>PRD</w:t>
            </w:r>
          </w:p>
        </w:tc>
        <w:tc>
          <w:tcPr>
            <w:tcW w:w="1604" w:type="dxa"/>
            <w:shd w:val="clear" w:color="auto" w:fill="E26C09"/>
          </w:tcPr>
          <w:p>
            <w:pPr>
              <w:pStyle w:val="TableParagraph"/>
              <w:spacing w:before="76"/>
              <w:ind w:left="67"/>
              <w:jc w:val="left"/>
              <w:rPr>
                <w:sz w:val="18"/>
              </w:rPr>
            </w:pPr>
            <w:r>
              <w:rPr>
                <w:sz w:val="18"/>
              </w:rPr>
              <w:t>CONVERGENCIA</w:t>
            </w:r>
          </w:p>
        </w:tc>
        <w:tc>
          <w:tcPr>
            <w:tcW w:w="1733" w:type="dxa"/>
          </w:tcPr>
          <w:p>
            <w:pPr>
              <w:pStyle w:val="TableParagraph"/>
              <w:spacing w:before="76"/>
              <w:ind w:left="64"/>
              <w:jc w:val="left"/>
              <w:rPr>
                <w:sz w:val="18"/>
              </w:rPr>
            </w:pPr>
            <w:r>
              <w:rPr>
                <w:sz w:val="18"/>
              </w:rPr>
              <w:t>PRI-PVEM</w:t>
            </w:r>
          </w:p>
        </w:tc>
        <w:tc>
          <w:tcPr>
            <w:tcW w:w="2062" w:type="dxa"/>
            <w:shd w:val="clear" w:color="auto" w:fill="006FC0"/>
          </w:tcPr>
          <w:p>
            <w:pPr>
              <w:pStyle w:val="TableParagraph"/>
              <w:spacing w:before="76"/>
              <w:ind w:left="67" w:right="295"/>
              <w:jc w:val="left"/>
              <w:rPr>
                <w:sz w:val="18"/>
              </w:rPr>
            </w:pPr>
            <w:r>
              <w:rPr>
                <w:sz w:val="18"/>
              </w:rPr>
              <w:t>PAN</w:t>
            </w:r>
          </w:p>
        </w:tc>
        <w:tc>
          <w:tcPr>
            <w:tcW w:w="1397" w:type="dxa"/>
          </w:tcPr>
          <w:p>
            <w:pPr>
              <w:pStyle w:val="TableParagraph"/>
              <w:spacing w:before="76"/>
              <w:ind w:left="67"/>
              <w:jc w:val="left"/>
              <w:rPr>
                <w:sz w:val="18"/>
              </w:rPr>
            </w:pPr>
            <w:r>
              <w:rPr>
                <w:sz w:val="18"/>
              </w:rPr>
              <w:t>PRI-PVEM-NA</w:t>
            </w:r>
          </w:p>
        </w:tc>
      </w:tr>
      <w:tr>
        <w:trPr>
          <w:trHeight w:val="425" w:hRule="exact"/>
        </w:trPr>
        <w:tc>
          <w:tcPr>
            <w:tcW w:w="3882" w:type="dxa"/>
          </w:tcPr>
          <w:p>
            <w:pPr>
              <w:pStyle w:val="TableParagraph"/>
              <w:spacing w:before="97"/>
              <w:ind w:left="67"/>
              <w:jc w:val="left"/>
              <w:rPr>
                <w:b/>
                <w:sz w:val="18"/>
              </w:rPr>
            </w:pPr>
            <w:r>
              <w:rPr>
                <w:b/>
                <w:color w:val="333333"/>
                <w:sz w:val="18"/>
              </w:rPr>
              <w:t>COYOTEPEC</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shd w:val="clear" w:color="auto" w:fill="FFFF00"/>
          </w:tcPr>
          <w:p>
            <w:pPr>
              <w:pStyle w:val="TableParagraph"/>
              <w:spacing w:before="10"/>
              <w:jc w:val="left"/>
              <w:rPr>
                <w:rFonts w:ascii="Times New Roman"/>
                <w:sz w:val="17"/>
              </w:rPr>
            </w:pPr>
          </w:p>
          <w:p>
            <w:pPr>
              <w:pStyle w:val="TableParagraph"/>
              <w:ind w:left="67"/>
              <w:jc w:val="left"/>
              <w:rPr>
                <w:sz w:val="18"/>
              </w:rPr>
            </w:pPr>
            <w:r>
              <w:rPr>
                <w:sz w:val="18"/>
              </w:rPr>
              <w:t>PRD</w:t>
            </w:r>
          </w:p>
        </w:tc>
        <w:tc>
          <w:tcPr>
            <w:tcW w:w="655" w:type="dxa"/>
            <w:shd w:val="clear" w:color="auto" w:fill="006FC0"/>
          </w:tcPr>
          <w:p>
            <w:pPr>
              <w:pStyle w:val="TableParagraph"/>
              <w:spacing w:before="10"/>
              <w:jc w:val="left"/>
              <w:rPr>
                <w:rFonts w:ascii="Times New Roman"/>
                <w:sz w:val="17"/>
              </w:rPr>
            </w:pPr>
          </w:p>
          <w:p>
            <w:pPr>
              <w:pStyle w:val="TableParagraph"/>
              <w:ind w:left="64"/>
              <w:jc w:val="left"/>
              <w:rPr>
                <w:sz w:val="18"/>
              </w:rPr>
            </w:pPr>
            <w:r>
              <w:rPr>
                <w:sz w:val="18"/>
              </w:rPr>
              <w:t>PAN</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shd w:val="clear" w:color="auto" w:fill="E26C09"/>
          </w:tcPr>
          <w:p>
            <w:pPr>
              <w:pStyle w:val="TableParagraph"/>
              <w:spacing w:before="10"/>
              <w:jc w:val="left"/>
              <w:rPr>
                <w:rFonts w:ascii="Times New Roman"/>
                <w:sz w:val="17"/>
              </w:rPr>
            </w:pPr>
          </w:p>
          <w:p>
            <w:pPr>
              <w:pStyle w:val="TableParagraph"/>
              <w:ind w:left="67"/>
              <w:jc w:val="left"/>
              <w:rPr>
                <w:sz w:val="18"/>
              </w:rPr>
            </w:pPr>
            <w:r>
              <w:rPr>
                <w:sz w:val="18"/>
              </w:rPr>
              <w:t>CONVERGENCIA</w:t>
            </w:r>
          </w:p>
        </w:tc>
        <w:tc>
          <w:tcPr>
            <w:tcW w:w="1733" w:type="dxa"/>
            <w:shd w:val="clear" w:color="auto" w:fill="FFFF00"/>
          </w:tcPr>
          <w:p>
            <w:pPr>
              <w:pStyle w:val="TableParagraph"/>
              <w:spacing w:before="10"/>
              <w:jc w:val="left"/>
              <w:rPr>
                <w:rFonts w:ascii="Times New Roman"/>
                <w:sz w:val="17"/>
              </w:rPr>
            </w:pPr>
          </w:p>
          <w:p>
            <w:pPr>
              <w:pStyle w:val="TableParagraph"/>
              <w:ind w:left="64"/>
              <w:jc w:val="left"/>
              <w:rPr>
                <w:sz w:val="18"/>
              </w:rPr>
            </w:pPr>
            <w:r>
              <w:rPr>
                <w:sz w:val="18"/>
              </w:rPr>
              <w:t>PRD-PT</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2" w:hRule="exact"/>
        </w:trPr>
        <w:tc>
          <w:tcPr>
            <w:tcW w:w="3882" w:type="dxa"/>
          </w:tcPr>
          <w:p>
            <w:pPr>
              <w:pStyle w:val="TableParagraph"/>
              <w:spacing w:before="97"/>
              <w:ind w:left="67"/>
              <w:jc w:val="left"/>
              <w:rPr>
                <w:b/>
                <w:sz w:val="18"/>
              </w:rPr>
            </w:pPr>
            <w:r>
              <w:rPr>
                <w:b/>
                <w:color w:val="333333"/>
                <w:sz w:val="18"/>
              </w:rPr>
              <w:t>CUAUTITLAN</w:t>
            </w:r>
          </w:p>
        </w:tc>
        <w:tc>
          <w:tcPr>
            <w:tcW w:w="655" w:type="dxa"/>
            <w:shd w:val="clear" w:color="auto" w:fill="006FC0"/>
          </w:tcPr>
          <w:p>
            <w:pPr>
              <w:pStyle w:val="TableParagraph"/>
              <w:spacing w:before="10"/>
              <w:jc w:val="left"/>
              <w:rPr>
                <w:rFonts w:ascii="Times New Roman"/>
                <w:sz w:val="17"/>
              </w:rPr>
            </w:pPr>
          </w:p>
          <w:p>
            <w:pPr>
              <w:pStyle w:val="TableParagraph"/>
              <w:ind w:left="64"/>
              <w:jc w:val="left"/>
              <w:rPr>
                <w:sz w:val="18"/>
              </w:rPr>
            </w:pPr>
            <w:r>
              <w:rPr>
                <w:sz w:val="18"/>
              </w:rPr>
              <w:t>PAN</w:t>
            </w:r>
          </w:p>
        </w:tc>
        <w:tc>
          <w:tcPr>
            <w:tcW w:w="761" w:type="dxa"/>
            <w:shd w:val="clear" w:color="auto" w:fill="006FC0"/>
          </w:tcPr>
          <w:p>
            <w:pPr>
              <w:pStyle w:val="TableParagraph"/>
              <w:spacing w:before="10"/>
              <w:jc w:val="left"/>
              <w:rPr>
                <w:rFonts w:ascii="Times New Roman"/>
                <w:sz w:val="17"/>
              </w:rPr>
            </w:pPr>
          </w:p>
          <w:p>
            <w:pPr>
              <w:pStyle w:val="TableParagraph"/>
              <w:ind w:left="67"/>
              <w:jc w:val="left"/>
              <w:rPr>
                <w:sz w:val="18"/>
              </w:rPr>
            </w:pPr>
            <w:r>
              <w:rPr>
                <w:sz w:val="18"/>
              </w:rPr>
              <w:t>PAN</w:t>
            </w:r>
          </w:p>
        </w:tc>
        <w:tc>
          <w:tcPr>
            <w:tcW w:w="655" w:type="dxa"/>
            <w:shd w:val="clear" w:color="auto" w:fill="006FC0"/>
          </w:tcPr>
          <w:p>
            <w:pPr>
              <w:pStyle w:val="TableParagraph"/>
              <w:spacing w:before="10"/>
              <w:jc w:val="left"/>
              <w:rPr>
                <w:rFonts w:ascii="Times New Roman"/>
                <w:sz w:val="17"/>
              </w:rPr>
            </w:pPr>
          </w:p>
          <w:p>
            <w:pPr>
              <w:pStyle w:val="TableParagraph"/>
              <w:ind w:left="64"/>
              <w:jc w:val="left"/>
              <w:rPr>
                <w:sz w:val="18"/>
              </w:rPr>
            </w:pPr>
            <w:r>
              <w:rPr>
                <w:sz w:val="18"/>
              </w:rPr>
              <w:t>PAN</w:t>
            </w:r>
          </w:p>
        </w:tc>
        <w:tc>
          <w:tcPr>
            <w:tcW w:w="655" w:type="dxa"/>
            <w:shd w:val="clear" w:color="auto" w:fill="006FC0"/>
          </w:tcPr>
          <w:p>
            <w:pPr>
              <w:pStyle w:val="TableParagraph"/>
              <w:spacing w:before="10"/>
              <w:jc w:val="left"/>
              <w:rPr>
                <w:rFonts w:ascii="Times New Roman"/>
                <w:sz w:val="17"/>
              </w:rPr>
            </w:pPr>
          </w:p>
          <w:p>
            <w:pPr>
              <w:pStyle w:val="TableParagraph"/>
              <w:ind w:left="67"/>
              <w:jc w:val="left"/>
              <w:rPr>
                <w:sz w:val="18"/>
              </w:rPr>
            </w:pPr>
            <w:r>
              <w:rPr>
                <w:sz w:val="18"/>
              </w:rPr>
              <w:t>PAN</w:t>
            </w: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tcPr>
          <w:p>
            <w:pPr>
              <w:pStyle w:val="TableParagraph"/>
              <w:spacing w:before="10"/>
              <w:jc w:val="left"/>
              <w:rPr>
                <w:rFonts w:ascii="Times New Roman"/>
                <w:sz w:val="17"/>
              </w:rPr>
            </w:pPr>
          </w:p>
          <w:p>
            <w:pPr>
              <w:pStyle w:val="TableParagraph"/>
              <w:ind w:left="64"/>
              <w:jc w:val="left"/>
              <w:rPr>
                <w:sz w:val="18"/>
              </w:rPr>
            </w:pPr>
            <w:r>
              <w:rPr>
                <w:sz w:val="18"/>
              </w:rPr>
              <w:t>PRI-PVEM</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5" w:hRule="exact"/>
        </w:trPr>
        <w:tc>
          <w:tcPr>
            <w:tcW w:w="3882" w:type="dxa"/>
          </w:tcPr>
          <w:p>
            <w:pPr>
              <w:pStyle w:val="TableParagraph"/>
              <w:spacing w:before="100"/>
              <w:ind w:left="67"/>
              <w:jc w:val="left"/>
              <w:rPr>
                <w:b/>
                <w:sz w:val="18"/>
              </w:rPr>
            </w:pPr>
            <w:r>
              <w:rPr>
                <w:b/>
                <w:color w:val="333333"/>
                <w:sz w:val="18"/>
              </w:rPr>
              <w:t>CUAUTITLAN IZCALLI</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761"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655" w:type="dxa"/>
            <w:shd w:val="clear" w:color="auto" w:fill="006FC0"/>
          </w:tcPr>
          <w:p>
            <w:pPr>
              <w:pStyle w:val="TableParagraph"/>
              <w:jc w:val="left"/>
              <w:rPr>
                <w:rFonts w:ascii="Times New Roman"/>
                <w:sz w:val="18"/>
              </w:rPr>
            </w:pPr>
          </w:p>
          <w:p>
            <w:pPr>
              <w:pStyle w:val="TableParagraph"/>
              <w:spacing w:before="1"/>
              <w:ind w:left="64"/>
              <w:jc w:val="left"/>
              <w:rPr>
                <w:sz w:val="18"/>
              </w:rPr>
            </w:pPr>
            <w:r>
              <w:rPr>
                <w:sz w:val="18"/>
              </w:rPr>
              <w:t>PAN</w:t>
            </w:r>
          </w:p>
        </w:tc>
        <w:tc>
          <w:tcPr>
            <w:tcW w:w="655" w:type="dxa"/>
            <w:shd w:val="clear" w:color="auto" w:fill="006FC0"/>
          </w:tcPr>
          <w:p>
            <w:pPr>
              <w:pStyle w:val="TableParagraph"/>
              <w:jc w:val="left"/>
              <w:rPr>
                <w:rFonts w:ascii="Times New Roman"/>
                <w:sz w:val="18"/>
              </w:rPr>
            </w:pPr>
          </w:p>
          <w:p>
            <w:pPr>
              <w:pStyle w:val="TableParagraph"/>
              <w:spacing w:before="1"/>
              <w:ind w:left="67"/>
              <w:jc w:val="left"/>
              <w:rPr>
                <w:sz w:val="18"/>
              </w:rPr>
            </w:pPr>
            <w:r>
              <w:rPr>
                <w:sz w:val="18"/>
              </w:rPr>
              <w:t>PAN</w:t>
            </w:r>
          </w:p>
        </w:tc>
        <w:tc>
          <w:tcPr>
            <w:tcW w:w="1604" w:type="dxa"/>
            <w:shd w:val="clear" w:color="auto" w:fill="006FC0"/>
          </w:tcPr>
          <w:p>
            <w:pPr>
              <w:pStyle w:val="TableParagraph"/>
              <w:jc w:val="left"/>
              <w:rPr>
                <w:rFonts w:ascii="Times New Roman"/>
                <w:sz w:val="18"/>
              </w:rPr>
            </w:pPr>
          </w:p>
          <w:p>
            <w:pPr>
              <w:pStyle w:val="TableParagraph"/>
              <w:spacing w:before="1"/>
              <w:ind w:left="67"/>
              <w:jc w:val="left"/>
              <w:rPr>
                <w:sz w:val="18"/>
              </w:rPr>
            </w:pPr>
            <w:r>
              <w:rPr>
                <w:sz w:val="18"/>
              </w:rPr>
              <w:t>PAN</w:t>
            </w:r>
          </w:p>
        </w:tc>
        <w:tc>
          <w:tcPr>
            <w:tcW w:w="1733" w:type="dxa"/>
            <w:shd w:val="clear" w:color="auto" w:fill="006FC0"/>
          </w:tcPr>
          <w:p>
            <w:pPr>
              <w:pStyle w:val="TableParagraph"/>
              <w:jc w:val="left"/>
              <w:rPr>
                <w:rFonts w:ascii="Times New Roman"/>
                <w:sz w:val="18"/>
              </w:rPr>
            </w:pPr>
          </w:p>
          <w:p>
            <w:pPr>
              <w:pStyle w:val="TableParagraph"/>
              <w:spacing w:before="1"/>
              <w:ind w:left="64"/>
              <w:jc w:val="left"/>
              <w:rPr>
                <w:sz w:val="18"/>
              </w:rPr>
            </w:pPr>
            <w:r>
              <w:rPr>
                <w:sz w:val="18"/>
              </w:rPr>
              <w:t>PAN</w:t>
            </w:r>
          </w:p>
        </w:tc>
        <w:tc>
          <w:tcPr>
            <w:tcW w:w="2062" w:type="dxa"/>
          </w:tcPr>
          <w:p>
            <w:pPr>
              <w:pStyle w:val="TableParagraph"/>
              <w:ind w:left="67" w:right="295"/>
              <w:jc w:val="left"/>
              <w:rPr>
                <w:sz w:val="18"/>
              </w:rPr>
            </w:pPr>
            <w:r>
              <w:rPr>
                <w:sz w:val="18"/>
              </w:rPr>
              <w:t>PRI-PVEM-NA-PSD- PFD</w:t>
            </w:r>
          </w:p>
        </w:tc>
        <w:tc>
          <w:tcPr>
            <w:tcW w:w="1397" w:type="dxa"/>
          </w:tcPr>
          <w:p>
            <w:pPr>
              <w:pStyle w:val="TableParagraph"/>
              <w:jc w:val="left"/>
              <w:rPr>
                <w:rFonts w:ascii="Times New Roman"/>
                <w:sz w:val="18"/>
              </w:rPr>
            </w:pPr>
          </w:p>
          <w:p>
            <w:pPr>
              <w:pStyle w:val="TableParagraph"/>
              <w:spacing w:before="1"/>
              <w:ind w:left="67"/>
              <w:jc w:val="left"/>
              <w:rPr>
                <w:sz w:val="18"/>
              </w:rPr>
            </w:pPr>
            <w:r>
              <w:rPr>
                <w:sz w:val="18"/>
              </w:rPr>
              <w:t>PRI-PVEM-NA</w:t>
            </w:r>
          </w:p>
        </w:tc>
      </w:tr>
      <w:tr>
        <w:trPr>
          <w:trHeight w:val="425" w:hRule="exact"/>
        </w:trPr>
        <w:tc>
          <w:tcPr>
            <w:tcW w:w="3882" w:type="dxa"/>
          </w:tcPr>
          <w:p>
            <w:pPr>
              <w:pStyle w:val="TableParagraph"/>
              <w:spacing w:before="97"/>
              <w:ind w:left="67"/>
              <w:jc w:val="left"/>
              <w:rPr>
                <w:b/>
                <w:sz w:val="18"/>
              </w:rPr>
            </w:pPr>
            <w:r>
              <w:rPr>
                <w:b/>
                <w:color w:val="333333"/>
                <w:sz w:val="18"/>
              </w:rPr>
              <w:t>DONATO GUERRA</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shd w:val="clear" w:color="auto" w:fill="FFFF00"/>
          </w:tcPr>
          <w:p>
            <w:pPr>
              <w:pStyle w:val="TableParagraph"/>
              <w:spacing w:before="10"/>
              <w:jc w:val="left"/>
              <w:rPr>
                <w:rFonts w:ascii="Times New Roman"/>
                <w:sz w:val="17"/>
              </w:rPr>
            </w:pPr>
          </w:p>
          <w:p>
            <w:pPr>
              <w:pStyle w:val="TableParagraph"/>
              <w:ind w:left="67"/>
              <w:jc w:val="left"/>
              <w:rPr>
                <w:sz w:val="18"/>
              </w:rPr>
            </w:pPr>
            <w:r>
              <w:rPr>
                <w:sz w:val="18"/>
              </w:rPr>
              <w:t>PRD</w:t>
            </w:r>
          </w:p>
        </w:tc>
        <w:tc>
          <w:tcPr>
            <w:tcW w:w="1733" w:type="dxa"/>
            <w:shd w:val="clear" w:color="auto" w:fill="FFFF00"/>
          </w:tcPr>
          <w:p>
            <w:pPr>
              <w:pStyle w:val="TableParagraph"/>
              <w:spacing w:before="10"/>
              <w:jc w:val="left"/>
              <w:rPr>
                <w:rFonts w:ascii="Times New Roman"/>
                <w:sz w:val="17"/>
              </w:rPr>
            </w:pPr>
          </w:p>
          <w:p>
            <w:pPr>
              <w:pStyle w:val="TableParagraph"/>
              <w:ind w:left="64"/>
              <w:jc w:val="left"/>
              <w:rPr>
                <w:sz w:val="18"/>
              </w:rPr>
            </w:pPr>
            <w:r>
              <w:rPr>
                <w:sz w:val="18"/>
              </w:rPr>
              <w:t>PRD</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2" w:hRule="exact"/>
        </w:trPr>
        <w:tc>
          <w:tcPr>
            <w:tcW w:w="3882" w:type="dxa"/>
          </w:tcPr>
          <w:p>
            <w:pPr>
              <w:pStyle w:val="TableParagraph"/>
              <w:spacing w:before="97"/>
              <w:ind w:left="67"/>
              <w:jc w:val="left"/>
              <w:rPr>
                <w:b/>
                <w:sz w:val="18"/>
              </w:rPr>
            </w:pPr>
            <w:r>
              <w:rPr>
                <w:b/>
                <w:color w:val="333333"/>
                <w:sz w:val="18"/>
              </w:rPr>
              <w:t>ECATEPEC DE MORELOS</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shd w:val="clear" w:color="auto" w:fill="006FC0"/>
          </w:tcPr>
          <w:p>
            <w:pPr>
              <w:pStyle w:val="TableParagraph"/>
              <w:spacing w:before="10"/>
              <w:jc w:val="left"/>
              <w:rPr>
                <w:rFonts w:ascii="Times New Roman"/>
                <w:sz w:val="17"/>
              </w:rPr>
            </w:pPr>
          </w:p>
          <w:p>
            <w:pPr>
              <w:pStyle w:val="TableParagraph"/>
              <w:ind w:left="67"/>
              <w:jc w:val="left"/>
              <w:rPr>
                <w:sz w:val="18"/>
              </w:rPr>
            </w:pPr>
            <w:r>
              <w:rPr>
                <w:sz w:val="18"/>
              </w:rPr>
              <w:t>PAN</w:t>
            </w: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shd w:val="clear" w:color="auto" w:fill="FFFF00"/>
          </w:tcPr>
          <w:p>
            <w:pPr>
              <w:pStyle w:val="TableParagraph"/>
              <w:spacing w:before="10"/>
              <w:jc w:val="left"/>
              <w:rPr>
                <w:rFonts w:ascii="Times New Roman"/>
                <w:sz w:val="17"/>
              </w:rPr>
            </w:pPr>
          </w:p>
          <w:p>
            <w:pPr>
              <w:pStyle w:val="TableParagraph"/>
              <w:ind w:left="64"/>
              <w:jc w:val="left"/>
              <w:rPr>
                <w:sz w:val="18"/>
              </w:rPr>
            </w:pPr>
            <w:r>
              <w:rPr>
                <w:sz w:val="18"/>
              </w:rPr>
              <w:t>PRD-PT</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5" w:hRule="exact"/>
        </w:trPr>
        <w:tc>
          <w:tcPr>
            <w:tcW w:w="3882" w:type="dxa"/>
          </w:tcPr>
          <w:p>
            <w:pPr>
              <w:pStyle w:val="TableParagraph"/>
              <w:spacing w:before="100"/>
              <w:ind w:left="67"/>
              <w:jc w:val="left"/>
              <w:rPr>
                <w:b/>
                <w:sz w:val="18"/>
              </w:rPr>
            </w:pPr>
            <w:r>
              <w:rPr>
                <w:b/>
                <w:color w:val="333333"/>
                <w:sz w:val="18"/>
              </w:rPr>
              <w:t>ECATZINGO</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761"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655"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1604" w:type="dxa"/>
          </w:tcPr>
          <w:p>
            <w:pPr>
              <w:pStyle w:val="TableParagraph"/>
              <w:jc w:val="left"/>
              <w:rPr>
                <w:rFonts w:ascii="Times New Roman"/>
                <w:sz w:val="18"/>
              </w:rPr>
            </w:pPr>
          </w:p>
          <w:p>
            <w:pPr>
              <w:pStyle w:val="TableParagraph"/>
              <w:spacing w:before="1"/>
              <w:ind w:left="67"/>
              <w:jc w:val="left"/>
              <w:rPr>
                <w:sz w:val="18"/>
              </w:rPr>
            </w:pPr>
            <w:r>
              <w:rPr>
                <w:sz w:val="18"/>
              </w:rPr>
              <w:t>PRI-PVEM</w:t>
            </w:r>
          </w:p>
        </w:tc>
        <w:tc>
          <w:tcPr>
            <w:tcW w:w="1733" w:type="dxa"/>
            <w:shd w:val="clear" w:color="auto" w:fill="006FC0"/>
          </w:tcPr>
          <w:p>
            <w:pPr>
              <w:pStyle w:val="TableParagraph"/>
              <w:jc w:val="left"/>
              <w:rPr>
                <w:rFonts w:ascii="Times New Roman"/>
                <w:sz w:val="18"/>
              </w:rPr>
            </w:pPr>
          </w:p>
          <w:p>
            <w:pPr>
              <w:pStyle w:val="TableParagraph"/>
              <w:spacing w:before="1"/>
              <w:ind w:left="64"/>
              <w:jc w:val="left"/>
              <w:rPr>
                <w:sz w:val="18"/>
              </w:rPr>
            </w:pPr>
            <w:r>
              <w:rPr>
                <w:sz w:val="18"/>
              </w:rPr>
              <w:t>PAN</w:t>
            </w:r>
          </w:p>
        </w:tc>
        <w:tc>
          <w:tcPr>
            <w:tcW w:w="2062" w:type="dxa"/>
          </w:tcPr>
          <w:p>
            <w:pPr>
              <w:pStyle w:val="TableParagraph"/>
              <w:ind w:left="67" w:right="295"/>
              <w:jc w:val="left"/>
              <w:rPr>
                <w:sz w:val="18"/>
              </w:rPr>
            </w:pPr>
            <w:r>
              <w:rPr>
                <w:sz w:val="18"/>
              </w:rPr>
              <w:t>PRI-PVEM-NA-PSD- PFD</w:t>
            </w:r>
          </w:p>
        </w:tc>
        <w:tc>
          <w:tcPr>
            <w:tcW w:w="1397" w:type="dxa"/>
          </w:tcPr>
          <w:p>
            <w:pPr>
              <w:pStyle w:val="TableParagraph"/>
              <w:jc w:val="left"/>
              <w:rPr>
                <w:rFonts w:ascii="Times New Roman"/>
                <w:sz w:val="18"/>
              </w:rPr>
            </w:pPr>
          </w:p>
          <w:p>
            <w:pPr>
              <w:pStyle w:val="TableParagraph"/>
              <w:spacing w:before="1"/>
              <w:ind w:left="67"/>
              <w:jc w:val="left"/>
              <w:rPr>
                <w:sz w:val="18"/>
              </w:rPr>
            </w:pPr>
            <w:r>
              <w:rPr>
                <w:sz w:val="18"/>
              </w:rPr>
              <w:t>PRI-PVEM-NA</w:t>
            </w:r>
          </w:p>
        </w:tc>
      </w:tr>
      <w:tr>
        <w:trPr>
          <w:trHeight w:val="425" w:hRule="exact"/>
        </w:trPr>
        <w:tc>
          <w:tcPr>
            <w:tcW w:w="3882" w:type="dxa"/>
          </w:tcPr>
          <w:p>
            <w:pPr>
              <w:pStyle w:val="TableParagraph"/>
              <w:spacing w:before="97"/>
              <w:ind w:left="67"/>
              <w:jc w:val="left"/>
              <w:rPr>
                <w:b/>
                <w:sz w:val="18"/>
              </w:rPr>
            </w:pPr>
            <w:r>
              <w:rPr>
                <w:b/>
                <w:color w:val="333333"/>
                <w:sz w:val="18"/>
              </w:rPr>
              <w:t>EL ORO</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shd w:val="clear" w:color="auto" w:fill="006FC0"/>
          </w:tcPr>
          <w:p>
            <w:pPr>
              <w:pStyle w:val="TableParagraph"/>
              <w:spacing w:before="10"/>
              <w:jc w:val="left"/>
              <w:rPr>
                <w:rFonts w:ascii="Times New Roman"/>
                <w:sz w:val="17"/>
              </w:rPr>
            </w:pPr>
          </w:p>
          <w:p>
            <w:pPr>
              <w:pStyle w:val="TableParagraph"/>
              <w:ind w:left="64"/>
              <w:jc w:val="left"/>
              <w:rPr>
                <w:sz w:val="18"/>
              </w:rPr>
            </w:pPr>
            <w:r>
              <w:rPr>
                <w:sz w:val="18"/>
              </w:rPr>
              <w:t>PAN</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shd w:val="clear" w:color="auto" w:fill="006FC0"/>
          </w:tcPr>
          <w:p>
            <w:pPr>
              <w:pStyle w:val="TableParagraph"/>
              <w:spacing w:before="10"/>
              <w:jc w:val="left"/>
              <w:rPr>
                <w:rFonts w:ascii="Times New Roman"/>
                <w:sz w:val="17"/>
              </w:rPr>
            </w:pPr>
          </w:p>
          <w:p>
            <w:pPr>
              <w:pStyle w:val="TableParagraph"/>
              <w:ind w:left="64"/>
              <w:jc w:val="left"/>
              <w:rPr>
                <w:sz w:val="18"/>
              </w:rPr>
            </w:pPr>
            <w:r>
              <w:rPr>
                <w:sz w:val="18"/>
              </w:rPr>
              <w:t>PAN</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2" w:hRule="exact"/>
        </w:trPr>
        <w:tc>
          <w:tcPr>
            <w:tcW w:w="3882" w:type="dxa"/>
          </w:tcPr>
          <w:p>
            <w:pPr>
              <w:pStyle w:val="TableParagraph"/>
              <w:spacing w:before="97"/>
              <w:ind w:left="67"/>
              <w:jc w:val="left"/>
              <w:rPr>
                <w:b/>
                <w:sz w:val="18"/>
              </w:rPr>
            </w:pPr>
            <w:r>
              <w:rPr>
                <w:b/>
                <w:color w:val="333333"/>
                <w:sz w:val="18"/>
              </w:rPr>
              <w:t>HUEHUETOCA</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shd w:val="clear" w:color="auto" w:fill="92D050"/>
          </w:tcPr>
          <w:p>
            <w:pPr>
              <w:pStyle w:val="TableParagraph"/>
              <w:spacing w:before="10"/>
              <w:jc w:val="left"/>
              <w:rPr>
                <w:rFonts w:ascii="Times New Roman"/>
                <w:sz w:val="17"/>
              </w:rPr>
            </w:pPr>
          </w:p>
          <w:p>
            <w:pPr>
              <w:pStyle w:val="TableParagraph"/>
              <w:ind w:left="67"/>
              <w:jc w:val="left"/>
              <w:rPr>
                <w:sz w:val="18"/>
              </w:rPr>
            </w:pPr>
            <w:r>
              <w:rPr>
                <w:sz w:val="18"/>
              </w:rPr>
              <w:t>PARM</w:t>
            </w:r>
          </w:p>
        </w:tc>
        <w:tc>
          <w:tcPr>
            <w:tcW w:w="655" w:type="dxa"/>
            <w:shd w:val="clear" w:color="auto" w:fill="006FC0"/>
          </w:tcPr>
          <w:p>
            <w:pPr>
              <w:pStyle w:val="TableParagraph"/>
              <w:spacing w:before="10"/>
              <w:jc w:val="left"/>
              <w:rPr>
                <w:rFonts w:ascii="Times New Roman"/>
                <w:sz w:val="17"/>
              </w:rPr>
            </w:pPr>
          </w:p>
          <w:p>
            <w:pPr>
              <w:pStyle w:val="TableParagraph"/>
              <w:ind w:left="64"/>
              <w:jc w:val="left"/>
              <w:rPr>
                <w:sz w:val="18"/>
              </w:rPr>
            </w:pPr>
            <w:r>
              <w:rPr>
                <w:sz w:val="18"/>
              </w:rPr>
              <w:t>PAN</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shd w:val="clear" w:color="auto" w:fill="006FC0"/>
          </w:tcPr>
          <w:p>
            <w:pPr>
              <w:pStyle w:val="TableParagraph"/>
              <w:spacing w:before="10"/>
              <w:jc w:val="left"/>
              <w:rPr>
                <w:rFonts w:ascii="Times New Roman"/>
                <w:sz w:val="17"/>
              </w:rPr>
            </w:pPr>
          </w:p>
          <w:p>
            <w:pPr>
              <w:pStyle w:val="TableParagraph"/>
              <w:ind w:left="67"/>
              <w:jc w:val="left"/>
              <w:rPr>
                <w:sz w:val="18"/>
              </w:rPr>
            </w:pPr>
            <w:r>
              <w:rPr>
                <w:sz w:val="18"/>
              </w:rPr>
              <w:t>PAN</w:t>
            </w:r>
          </w:p>
        </w:tc>
        <w:tc>
          <w:tcPr>
            <w:tcW w:w="1733" w:type="dxa"/>
          </w:tcPr>
          <w:p>
            <w:pPr>
              <w:pStyle w:val="TableParagraph"/>
              <w:spacing w:before="10"/>
              <w:jc w:val="left"/>
              <w:rPr>
                <w:rFonts w:ascii="Times New Roman"/>
                <w:sz w:val="17"/>
              </w:rPr>
            </w:pPr>
          </w:p>
          <w:p>
            <w:pPr>
              <w:pStyle w:val="TableParagraph"/>
              <w:ind w:left="64"/>
              <w:jc w:val="left"/>
              <w:rPr>
                <w:sz w:val="18"/>
              </w:rPr>
            </w:pPr>
            <w:r>
              <w:rPr>
                <w:sz w:val="18"/>
              </w:rPr>
              <w:t>PRI-PVEM</w:t>
            </w:r>
          </w:p>
        </w:tc>
        <w:tc>
          <w:tcPr>
            <w:tcW w:w="2062" w:type="dxa"/>
          </w:tcPr>
          <w:p>
            <w:pPr>
              <w:pStyle w:val="TableParagraph"/>
              <w:ind w:left="67" w:right="295"/>
              <w:jc w:val="left"/>
              <w:rPr>
                <w:sz w:val="18"/>
              </w:rPr>
            </w:pPr>
            <w:r>
              <w:rPr>
                <w:sz w:val="18"/>
              </w:rPr>
              <w:t>PRI-PVEM-NA-PSD- PFD</w:t>
            </w:r>
          </w:p>
        </w:tc>
        <w:tc>
          <w:tcPr>
            <w:tcW w:w="1397" w:type="dxa"/>
            <w:shd w:val="clear" w:color="auto" w:fill="006FC0"/>
          </w:tcPr>
          <w:p>
            <w:pPr>
              <w:pStyle w:val="TableParagraph"/>
              <w:spacing w:before="10"/>
              <w:jc w:val="left"/>
              <w:rPr>
                <w:rFonts w:ascii="Times New Roman"/>
                <w:sz w:val="17"/>
              </w:rPr>
            </w:pPr>
          </w:p>
          <w:p>
            <w:pPr>
              <w:pStyle w:val="TableParagraph"/>
              <w:ind w:left="67"/>
              <w:jc w:val="left"/>
              <w:rPr>
                <w:sz w:val="18"/>
              </w:rPr>
            </w:pPr>
            <w:r>
              <w:rPr>
                <w:sz w:val="18"/>
              </w:rPr>
              <w:t>PAN</w:t>
            </w:r>
          </w:p>
        </w:tc>
      </w:tr>
      <w:tr>
        <w:trPr>
          <w:trHeight w:val="425" w:hRule="exact"/>
        </w:trPr>
        <w:tc>
          <w:tcPr>
            <w:tcW w:w="3882" w:type="dxa"/>
          </w:tcPr>
          <w:p>
            <w:pPr>
              <w:pStyle w:val="TableParagraph"/>
              <w:spacing w:before="97"/>
              <w:ind w:left="67"/>
              <w:jc w:val="left"/>
              <w:rPr>
                <w:b/>
                <w:sz w:val="18"/>
              </w:rPr>
            </w:pPr>
            <w:r>
              <w:rPr>
                <w:b/>
                <w:color w:val="333333"/>
                <w:sz w:val="18"/>
              </w:rPr>
              <w:t>HUEYPOXTLA</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761"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655" w:type="dxa"/>
            <w:shd w:val="clear" w:color="auto" w:fill="FFFF00"/>
          </w:tcPr>
          <w:p>
            <w:pPr>
              <w:pStyle w:val="TableParagraph"/>
              <w:jc w:val="left"/>
              <w:rPr>
                <w:rFonts w:ascii="Times New Roman"/>
                <w:sz w:val="18"/>
              </w:rPr>
            </w:pPr>
          </w:p>
          <w:p>
            <w:pPr>
              <w:pStyle w:val="TableParagraph"/>
              <w:spacing w:before="1"/>
              <w:ind w:left="64"/>
              <w:jc w:val="left"/>
              <w:rPr>
                <w:sz w:val="18"/>
              </w:rPr>
            </w:pPr>
            <w:r>
              <w:rPr>
                <w:sz w:val="18"/>
              </w:rPr>
              <w:t>PRD</w:t>
            </w:r>
          </w:p>
        </w:tc>
        <w:tc>
          <w:tcPr>
            <w:tcW w:w="655" w:type="dxa"/>
            <w:shd w:val="clear" w:color="auto" w:fill="FFFF00"/>
          </w:tcPr>
          <w:p>
            <w:pPr>
              <w:pStyle w:val="TableParagraph"/>
              <w:jc w:val="left"/>
              <w:rPr>
                <w:rFonts w:ascii="Times New Roman"/>
                <w:sz w:val="18"/>
              </w:rPr>
            </w:pPr>
          </w:p>
          <w:p>
            <w:pPr>
              <w:pStyle w:val="TableParagraph"/>
              <w:spacing w:before="1"/>
              <w:ind w:left="67"/>
              <w:jc w:val="left"/>
              <w:rPr>
                <w:sz w:val="18"/>
              </w:rPr>
            </w:pPr>
            <w:r>
              <w:rPr>
                <w:sz w:val="18"/>
              </w:rPr>
              <w:t>PRD</w:t>
            </w:r>
          </w:p>
        </w:tc>
        <w:tc>
          <w:tcPr>
            <w:tcW w:w="1604" w:type="dxa"/>
            <w:shd w:val="clear" w:color="auto" w:fill="FFFF00"/>
          </w:tcPr>
          <w:p>
            <w:pPr>
              <w:pStyle w:val="TableParagraph"/>
              <w:jc w:val="left"/>
              <w:rPr>
                <w:rFonts w:ascii="Times New Roman"/>
                <w:sz w:val="18"/>
              </w:rPr>
            </w:pPr>
          </w:p>
          <w:p>
            <w:pPr>
              <w:pStyle w:val="TableParagraph"/>
              <w:spacing w:before="1"/>
              <w:ind w:left="67"/>
              <w:jc w:val="left"/>
              <w:rPr>
                <w:sz w:val="18"/>
              </w:rPr>
            </w:pPr>
            <w:r>
              <w:rPr>
                <w:sz w:val="18"/>
              </w:rPr>
              <w:t>PRD</w:t>
            </w:r>
          </w:p>
        </w:tc>
        <w:tc>
          <w:tcPr>
            <w:tcW w:w="1733" w:type="dxa"/>
          </w:tcPr>
          <w:p>
            <w:pPr>
              <w:pStyle w:val="TableParagraph"/>
              <w:jc w:val="left"/>
              <w:rPr>
                <w:rFonts w:ascii="Times New Roman"/>
                <w:sz w:val="18"/>
              </w:rPr>
            </w:pPr>
          </w:p>
          <w:p>
            <w:pPr>
              <w:pStyle w:val="TableParagraph"/>
              <w:spacing w:before="1"/>
              <w:ind w:left="64"/>
              <w:jc w:val="left"/>
              <w:rPr>
                <w:sz w:val="18"/>
              </w:rPr>
            </w:pPr>
            <w:r>
              <w:rPr>
                <w:sz w:val="18"/>
              </w:rPr>
              <w:t>PRI-PVEM</w:t>
            </w:r>
          </w:p>
        </w:tc>
        <w:tc>
          <w:tcPr>
            <w:tcW w:w="2062" w:type="dxa"/>
          </w:tcPr>
          <w:p>
            <w:pPr>
              <w:pStyle w:val="TableParagraph"/>
              <w:ind w:left="67" w:right="295"/>
              <w:jc w:val="left"/>
              <w:rPr>
                <w:sz w:val="18"/>
              </w:rPr>
            </w:pPr>
            <w:r>
              <w:rPr>
                <w:sz w:val="18"/>
              </w:rPr>
              <w:t>PRI-PVEM-NA-PSD- PFD</w:t>
            </w:r>
          </w:p>
        </w:tc>
        <w:tc>
          <w:tcPr>
            <w:tcW w:w="1397" w:type="dxa"/>
            <w:shd w:val="clear" w:color="auto" w:fill="006FC0"/>
          </w:tcPr>
          <w:p>
            <w:pPr>
              <w:pStyle w:val="TableParagraph"/>
              <w:jc w:val="left"/>
              <w:rPr>
                <w:rFonts w:ascii="Times New Roman"/>
                <w:sz w:val="18"/>
              </w:rPr>
            </w:pPr>
          </w:p>
          <w:p>
            <w:pPr>
              <w:pStyle w:val="TableParagraph"/>
              <w:spacing w:before="1"/>
              <w:ind w:left="67"/>
              <w:jc w:val="left"/>
              <w:rPr>
                <w:sz w:val="18"/>
              </w:rPr>
            </w:pPr>
            <w:r>
              <w:rPr>
                <w:sz w:val="18"/>
              </w:rPr>
              <w:t>PAN</w:t>
            </w:r>
          </w:p>
        </w:tc>
      </w:tr>
    </w:tbl>
    <w:p>
      <w:pPr>
        <w:spacing w:after="0"/>
        <w:jc w:val="left"/>
        <w:rPr>
          <w:sz w:val="18"/>
        </w:rPr>
        <w:sectPr>
          <w:pgSz w:w="15840" w:h="12240" w:orient="landscape"/>
          <w:pgMar w:header="0" w:footer="975" w:top="1140" w:bottom="1160" w:left="1300" w:right="900"/>
        </w:sectPr>
      </w:pPr>
    </w:p>
    <w:p>
      <w:pPr>
        <w:pStyle w:val="BodyText"/>
        <w:rPr>
          <w:rFonts w:ascii="Times New Roman"/>
          <w:sz w:val="20"/>
        </w:rPr>
      </w:pPr>
    </w:p>
    <w:p>
      <w:pPr>
        <w:pStyle w:val="BodyText"/>
        <w:spacing w:before="10"/>
        <w:rPr>
          <w:rFonts w:ascii="Times New Roman"/>
          <w:sz w:val="28"/>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82"/>
        <w:gridCol w:w="655"/>
        <w:gridCol w:w="761"/>
        <w:gridCol w:w="655"/>
        <w:gridCol w:w="655"/>
        <w:gridCol w:w="1604"/>
        <w:gridCol w:w="1733"/>
        <w:gridCol w:w="2062"/>
        <w:gridCol w:w="1397"/>
      </w:tblGrid>
      <w:tr>
        <w:trPr>
          <w:trHeight w:val="324" w:hRule="exact"/>
        </w:trPr>
        <w:tc>
          <w:tcPr>
            <w:tcW w:w="13404" w:type="dxa"/>
            <w:gridSpan w:val="9"/>
            <w:shd w:val="clear" w:color="auto" w:fill="92D050"/>
          </w:tcPr>
          <w:p>
            <w:pPr>
              <w:pStyle w:val="TableParagraph"/>
              <w:spacing w:before="102"/>
              <w:ind w:left="2018"/>
              <w:jc w:val="left"/>
              <w:rPr>
                <w:b/>
                <w:sz w:val="18"/>
              </w:rPr>
            </w:pPr>
            <w:r>
              <w:rPr>
                <w:b/>
                <w:sz w:val="18"/>
              </w:rPr>
              <w:t>Anexo 4. Alternancias políticas en los gobiernos municipales del Estado de México 1990-2015 (Continuación)</w:t>
            </w:r>
          </w:p>
        </w:tc>
      </w:tr>
      <w:tr>
        <w:trPr>
          <w:trHeight w:val="322" w:hRule="exact"/>
        </w:trPr>
        <w:tc>
          <w:tcPr>
            <w:tcW w:w="3882" w:type="dxa"/>
            <w:shd w:val="clear" w:color="auto" w:fill="92D050"/>
          </w:tcPr>
          <w:p>
            <w:pPr>
              <w:pStyle w:val="TableParagraph"/>
              <w:spacing w:before="102"/>
              <w:ind w:left="1497" w:right="1494"/>
              <w:rPr>
                <w:b/>
                <w:sz w:val="18"/>
              </w:rPr>
            </w:pPr>
            <w:r>
              <w:rPr>
                <w:b/>
                <w:sz w:val="18"/>
              </w:rPr>
              <w:t>Municipio</w:t>
            </w:r>
          </w:p>
        </w:tc>
        <w:tc>
          <w:tcPr>
            <w:tcW w:w="655" w:type="dxa"/>
            <w:shd w:val="clear" w:color="auto" w:fill="92D050"/>
          </w:tcPr>
          <w:p>
            <w:pPr>
              <w:pStyle w:val="TableParagraph"/>
              <w:spacing w:before="102"/>
              <w:ind w:left="122"/>
              <w:jc w:val="left"/>
              <w:rPr>
                <w:b/>
                <w:sz w:val="18"/>
              </w:rPr>
            </w:pPr>
            <w:r>
              <w:rPr>
                <w:b/>
                <w:sz w:val="18"/>
              </w:rPr>
              <w:t>1990</w:t>
            </w:r>
          </w:p>
        </w:tc>
        <w:tc>
          <w:tcPr>
            <w:tcW w:w="761" w:type="dxa"/>
            <w:shd w:val="clear" w:color="auto" w:fill="92D050"/>
          </w:tcPr>
          <w:p>
            <w:pPr>
              <w:pStyle w:val="TableParagraph"/>
              <w:spacing w:before="102"/>
              <w:ind w:left="175"/>
              <w:jc w:val="left"/>
              <w:rPr>
                <w:b/>
                <w:sz w:val="18"/>
              </w:rPr>
            </w:pPr>
            <w:r>
              <w:rPr>
                <w:b/>
                <w:sz w:val="18"/>
              </w:rPr>
              <w:t>1993</w:t>
            </w:r>
          </w:p>
        </w:tc>
        <w:tc>
          <w:tcPr>
            <w:tcW w:w="655" w:type="dxa"/>
            <w:shd w:val="clear" w:color="auto" w:fill="92D050"/>
          </w:tcPr>
          <w:p>
            <w:pPr>
              <w:pStyle w:val="TableParagraph"/>
              <w:spacing w:before="102"/>
              <w:ind w:left="122"/>
              <w:jc w:val="left"/>
              <w:rPr>
                <w:b/>
                <w:sz w:val="18"/>
              </w:rPr>
            </w:pPr>
            <w:r>
              <w:rPr>
                <w:b/>
                <w:sz w:val="18"/>
              </w:rPr>
              <w:t>1996</w:t>
            </w:r>
          </w:p>
        </w:tc>
        <w:tc>
          <w:tcPr>
            <w:tcW w:w="655" w:type="dxa"/>
            <w:shd w:val="clear" w:color="auto" w:fill="92D050"/>
          </w:tcPr>
          <w:p>
            <w:pPr>
              <w:pStyle w:val="TableParagraph"/>
              <w:spacing w:before="102"/>
              <w:ind w:left="124"/>
              <w:jc w:val="left"/>
              <w:rPr>
                <w:b/>
                <w:sz w:val="18"/>
              </w:rPr>
            </w:pPr>
            <w:r>
              <w:rPr>
                <w:b/>
                <w:sz w:val="18"/>
              </w:rPr>
              <w:t>2000</w:t>
            </w:r>
          </w:p>
        </w:tc>
        <w:tc>
          <w:tcPr>
            <w:tcW w:w="1604" w:type="dxa"/>
            <w:shd w:val="clear" w:color="auto" w:fill="92D050"/>
          </w:tcPr>
          <w:p>
            <w:pPr>
              <w:pStyle w:val="TableParagraph"/>
              <w:spacing w:before="102"/>
              <w:ind w:left="578" w:right="574"/>
              <w:rPr>
                <w:b/>
                <w:sz w:val="18"/>
              </w:rPr>
            </w:pPr>
            <w:r>
              <w:rPr>
                <w:b/>
                <w:sz w:val="18"/>
              </w:rPr>
              <w:t>2003</w:t>
            </w:r>
          </w:p>
        </w:tc>
        <w:tc>
          <w:tcPr>
            <w:tcW w:w="1733" w:type="dxa"/>
            <w:shd w:val="clear" w:color="auto" w:fill="92D050"/>
          </w:tcPr>
          <w:p>
            <w:pPr>
              <w:pStyle w:val="TableParagraph"/>
              <w:spacing w:before="102"/>
              <w:ind w:left="641" w:right="641"/>
              <w:rPr>
                <w:b/>
                <w:sz w:val="18"/>
              </w:rPr>
            </w:pPr>
            <w:r>
              <w:rPr>
                <w:b/>
                <w:sz w:val="18"/>
              </w:rPr>
              <w:t>2006</w:t>
            </w:r>
          </w:p>
        </w:tc>
        <w:tc>
          <w:tcPr>
            <w:tcW w:w="2062" w:type="dxa"/>
            <w:shd w:val="clear" w:color="auto" w:fill="92D050"/>
          </w:tcPr>
          <w:p>
            <w:pPr>
              <w:pStyle w:val="TableParagraph"/>
              <w:spacing w:before="102"/>
              <w:ind w:left="809" w:right="802"/>
              <w:rPr>
                <w:b/>
                <w:sz w:val="18"/>
              </w:rPr>
            </w:pPr>
            <w:r>
              <w:rPr>
                <w:b/>
                <w:sz w:val="18"/>
              </w:rPr>
              <w:t>2009</w:t>
            </w:r>
          </w:p>
        </w:tc>
        <w:tc>
          <w:tcPr>
            <w:tcW w:w="1397" w:type="dxa"/>
            <w:shd w:val="clear" w:color="auto" w:fill="92D050"/>
          </w:tcPr>
          <w:p>
            <w:pPr>
              <w:pStyle w:val="TableParagraph"/>
              <w:spacing w:before="102"/>
              <w:ind w:left="475" w:right="471"/>
              <w:rPr>
                <w:b/>
                <w:sz w:val="18"/>
              </w:rPr>
            </w:pPr>
            <w:r>
              <w:rPr>
                <w:b/>
                <w:sz w:val="18"/>
              </w:rPr>
              <w:t>2013</w:t>
            </w:r>
          </w:p>
        </w:tc>
      </w:tr>
      <w:tr>
        <w:trPr>
          <w:trHeight w:val="427" w:hRule="exact"/>
        </w:trPr>
        <w:tc>
          <w:tcPr>
            <w:tcW w:w="3882" w:type="dxa"/>
          </w:tcPr>
          <w:p>
            <w:pPr>
              <w:pStyle w:val="TableParagraph"/>
              <w:spacing w:before="102"/>
              <w:ind w:left="67"/>
              <w:jc w:val="left"/>
              <w:rPr>
                <w:b/>
                <w:sz w:val="18"/>
              </w:rPr>
            </w:pPr>
            <w:r>
              <w:rPr>
                <w:b/>
                <w:color w:val="333333"/>
                <w:sz w:val="18"/>
              </w:rPr>
              <w:t>HUIXQUILUCAN</w:t>
            </w:r>
          </w:p>
        </w:tc>
        <w:tc>
          <w:tcPr>
            <w:tcW w:w="655" w:type="dxa"/>
          </w:tcPr>
          <w:p>
            <w:pPr>
              <w:pStyle w:val="TableParagraph"/>
              <w:spacing w:before="3"/>
              <w:jc w:val="left"/>
              <w:rPr>
                <w:rFonts w:ascii="Times New Roman"/>
                <w:sz w:val="18"/>
              </w:rPr>
            </w:pPr>
          </w:p>
          <w:p>
            <w:pPr>
              <w:pStyle w:val="TableParagraph"/>
              <w:ind w:left="64"/>
              <w:jc w:val="left"/>
              <w:rPr>
                <w:sz w:val="18"/>
              </w:rPr>
            </w:pPr>
            <w:r>
              <w:rPr>
                <w:sz w:val="18"/>
              </w:rPr>
              <w:t>PRI</w:t>
            </w:r>
          </w:p>
        </w:tc>
        <w:tc>
          <w:tcPr>
            <w:tcW w:w="761" w:type="dxa"/>
          </w:tcPr>
          <w:p>
            <w:pPr>
              <w:pStyle w:val="TableParagraph"/>
              <w:spacing w:before="3"/>
              <w:jc w:val="left"/>
              <w:rPr>
                <w:rFonts w:ascii="Times New Roman"/>
                <w:sz w:val="18"/>
              </w:rPr>
            </w:pPr>
          </w:p>
          <w:p>
            <w:pPr>
              <w:pStyle w:val="TableParagraph"/>
              <w:ind w:left="67"/>
              <w:jc w:val="left"/>
              <w:rPr>
                <w:sz w:val="18"/>
              </w:rPr>
            </w:pPr>
            <w:r>
              <w:rPr>
                <w:sz w:val="18"/>
              </w:rPr>
              <w:t>PRI</w:t>
            </w:r>
          </w:p>
        </w:tc>
        <w:tc>
          <w:tcPr>
            <w:tcW w:w="655" w:type="dxa"/>
          </w:tcPr>
          <w:p>
            <w:pPr>
              <w:pStyle w:val="TableParagraph"/>
              <w:spacing w:before="3"/>
              <w:jc w:val="left"/>
              <w:rPr>
                <w:rFonts w:ascii="Times New Roman"/>
                <w:sz w:val="18"/>
              </w:rPr>
            </w:pPr>
          </w:p>
          <w:p>
            <w:pPr>
              <w:pStyle w:val="TableParagraph"/>
              <w:ind w:left="64"/>
              <w:jc w:val="left"/>
              <w:rPr>
                <w:sz w:val="18"/>
              </w:rPr>
            </w:pPr>
            <w:r>
              <w:rPr>
                <w:sz w:val="18"/>
              </w:rPr>
              <w:t>PRI</w:t>
            </w:r>
          </w:p>
        </w:tc>
        <w:tc>
          <w:tcPr>
            <w:tcW w:w="655" w:type="dxa"/>
            <w:shd w:val="clear" w:color="auto" w:fill="006FC0"/>
          </w:tcPr>
          <w:p>
            <w:pPr>
              <w:pStyle w:val="TableParagraph"/>
              <w:spacing w:before="3"/>
              <w:jc w:val="left"/>
              <w:rPr>
                <w:rFonts w:ascii="Times New Roman"/>
                <w:sz w:val="18"/>
              </w:rPr>
            </w:pPr>
          </w:p>
          <w:p>
            <w:pPr>
              <w:pStyle w:val="TableParagraph"/>
              <w:ind w:left="67"/>
              <w:jc w:val="left"/>
              <w:rPr>
                <w:sz w:val="18"/>
              </w:rPr>
            </w:pPr>
            <w:r>
              <w:rPr>
                <w:sz w:val="18"/>
              </w:rPr>
              <w:t>PAN</w:t>
            </w:r>
          </w:p>
        </w:tc>
        <w:tc>
          <w:tcPr>
            <w:tcW w:w="1604" w:type="dxa"/>
          </w:tcPr>
          <w:p>
            <w:pPr>
              <w:pStyle w:val="TableParagraph"/>
              <w:spacing w:before="3"/>
              <w:jc w:val="left"/>
              <w:rPr>
                <w:rFonts w:ascii="Times New Roman"/>
                <w:sz w:val="18"/>
              </w:rPr>
            </w:pPr>
          </w:p>
          <w:p>
            <w:pPr>
              <w:pStyle w:val="TableParagraph"/>
              <w:ind w:left="67"/>
              <w:jc w:val="left"/>
              <w:rPr>
                <w:sz w:val="18"/>
              </w:rPr>
            </w:pPr>
            <w:r>
              <w:rPr>
                <w:sz w:val="18"/>
              </w:rPr>
              <w:t>PRI-PVEM</w:t>
            </w:r>
          </w:p>
        </w:tc>
        <w:tc>
          <w:tcPr>
            <w:tcW w:w="1733" w:type="dxa"/>
          </w:tcPr>
          <w:p>
            <w:pPr>
              <w:pStyle w:val="TableParagraph"/>
              <w:spacing w:before="3"/>
              <w:jc w:val="left"/>
              <w:rPr>
                <w:rFonts w:ascii="Times New Roman"/>
                <w:sz w:val="18"/>
              </w:rPr>
            </w:pPr>
          </w:p>
          <w:p>
            <w:pPr>
              <w:pStyle w:val="TableParagraph"/>
              <w:ind w:left="64"/>
              <w:jc w:val="left"/>
              <w:rPr>
                <w:sz w:val="18"/>
              </w:rPr>
            </w:pPr>
            <w:r>
              <w:rPr>
                <w:sz w:val="18"/>
              </w:rPr>
              <w:t>PRI-PVEM</w:t>
            </w:r>
          </w:p>
        </w:tc>
        <w:tc>
          <w:tcPr>
            <w:tcW w:w="2062" w:type="dxa"/>
          </w:tcPr>
          <w:p>
            <w:pPr>
              <w:pStyle w:val="TableParagraph"/>
              <w:spacing w:before="4"/>
              <w:ind w:left="67" w:right="295"/>
              <w:jc w:val="left"/>
              <w:rPr>
                <w:sz w:val="18"/>
              </w:rPr>
            </w:pPr>
            <w:r>
              <w:rPr>
                <w:sz w:val="18"/>
              </w:rPr>
              <w:t>PRI-PVEM-NA-PSD- PFD</w:t>
            </w:r>
          </w:p>
        </w:tc>
        <w:tc>
          <w:tcPr>
            <w:tcW w:w="1397" w:type="dxa"/>
          </w:tcPr>
          <w:p>
            <w:pPr>
              <w:pStyle w:val="TableParagraph"/>
              <w:spacing w:before="3"/>
              <w:jc w:val="left"/>
              <w:rPr>
                <w:rFonts w:ascii="Times New Roman"/>
                <w:sz w:val="18"/>
              </w:rPr>
            </w:pPr>
          </w:p>
          <w:p>
            <w:pPr>
              <w:pStyle w:val="TableParagraph"/>
              <w:ind w:left="67"/>
              <w:jc w:val="left"/>
              <w:rPr>
                <w:sz w:val="18"/>
              </w:rPr>
            </w:pPr>
            <w:r>
              <w:rPr>
                <w:sz w:val="18"/>
              </w:rPr>
              <w:t>PRI-PVEM-NA</w:t>
            </w:r>
          </w:p>
        </w:tc>
      </w:tr>
      <w:tr>
        <w:trPr>
          <w:trHeight w:val="293" w:hRule="exact"/>
        </w:trPr>
        <w:tc>
          <w:tcPr>
            <w:tcW w:w="3882" w:type="dxa"/>
          </w:tcPr>
          <w:p>
            <w:pPr>
              <w:pStyle w:val="TableParagraph"/>
              <w:spacing w:before="32"/>
              <w:ind w:left="67"/>
              <w:jc w:val="left"/>
              <w:rPr>
                <w:b/>
                <w:sz w:val="18"/>
              </w:rPr>
            </w:pPr>
            <w:r>
              <w:rPr>
                <w:b/>
                <w:color w:val="333333"/>
                <w:sz w:val="18"/>
              </w:rPr>
              <w:t>ISIDRO FABELA</w:t>
            </w:r>
          </w:p>
        </w:tc>
        <w:tc>
          <w:tcPr>
            <w:tcW w:w="655" w:type="dxa"/>
          </w:tcPr>
          <w:p>
            <w:pPr>
              <w:pStyle w:val="TableParagraph"/>
              <w:spacing w:before="76"/>
              <w:ind w:left="64"/>
              <w:jc w:val="left"/>
              <w:rPr>
                <w:sz w:val="18"/>
              </w:rPr>
            </w:pPr>
            <w:r>
              <w:rPr>
                <w:sz w:val="18"/>
              </w:rPr>
              <w:t>PRI</w:t>
            </w:r>
          </w:p>
        </w:tc>
        <w:tc>
          <w:tcPr>
            <w:tcW w:w="761" w:type="dxa"/>
          </w:tcPr>
          <w:p>
            <w:pPr>
              <w:pStyle w:val="TableParagraph"/>
              <w:spacing w:before="76"/>
              <w:ind w:left="67"/>
              <w:jc w:val="left"/>
              <w:rPr>
                <w:sz w:val="18"/>
              </w:rPr>
            </w:pPr>
            <w:r>
              <w:rPr>
                <w:sz w:val="18"/>
              </w:rPr>
              <w:t>PRI</w:t>
            </w:r>
          </w:p>
        </w:tc>
        <w:tc>
          <w:tcPr>
            <w:tcW w:w="655" w:type="dxa"/>
            <w:shd w:val="clear" w:color="auto" w:fill="FFFF00"/>
          </w:tcPr>
          <w:p>
            <w:pPr>
              <w:pStyle w:val="TableParagraph"/>
              <w:spacing w:before="76"/>
              <w:ind w:left="64"/>
              <w:jc w:val="left"/>
              <w:rPr>
                <w:sz w:val="18"/>
              </w:rPr>
            </w:pPr>
            <w:r>
              <w:rPr>
                <w:sz w:val="18"/>
              </w:rPr>
              <w:t>PRD</w:t>
            </w:r>
          </w:p>
        </w:tc>
        <w:tc>
          <w:tcPr>
            <w:tcW w:w="655" w:type="dxa"/>
            <w:shd w:val="clear" w:color="auto" w:fill="FFFF00"/>
          </w:tcPr>
          <w:p>
            <w:pPr>
              <w:pStyle w:val="TableParagraph"/>
              <w:spacing w:before="76"/>
              <w:ind w:left="67"/>
              <w:jc w:val="left"/>
              <w:rPr>
                <w:sz w:val="18"/>
              </w:rPr>
            </w:pPr>
            <w:r>
              <w:rPr>
                <w:sz w:val="18"/>
              </w:rPr>
              <w:t>PRD</w:t>
            </w:r>
          </w:p>
        </w:tc>
        <w:tc>
          <w:tcPr>
            <w:tcW w:w="1604" w:type="dxa"/>
            <w:shd w:val="clear" w:color="auto" w:fill="D99493"/>
          </w:tcPr>
          <w:p>
            <w:pPr>
              <w:pStyle w:val="TableParagraph"/>
              <w:spacing w:before="76"/>
              <w:ind w:left="67"/>
              <w:jc w:val="left"/>
              <w:rPr>
                <w:sz w:val="18"/>
              </w:rPr>
            </w:pPr>
            <w:r>
              <w:rPr>
                <w:sz w:val="18"/>
              </w:rPr>
              <w:t>PSN</w:t>
            </w:r>
          </w:p>
        </w:tc>
        <w:tc>
          <w:tcPr>
            <w:tcW w:w="1733" w:type="dxa"/>
          </w:tcPr>
          <w:p>
            <w:pPr>
              <w:pStyle w:val="TableParagraph"/>
              <w:spacing w:before="76"/>
              <w:ind w:left="64"/>
              <w:jc w:val="left"/>
              <w:rPr>
                <w:sz w:val="18"/>
              </w:rPr>
            </w:pPr>
            <w:r>
              <w:rPr>
                <w:sz w:val="18"/>
              </w:rPr>
              <w:t>PRI-PVEM</w:t>
            </w:r>
          </w:p>
        </w:tc>
        <w:tc>
          <w:tcPr>
            <w:tcW w:w="2062" w:type="dxa"/>
            <w:shd w:val="clear" w:color="auto" w:fill="E26C09"/>
          </w:tcPr>
          <w:p>
            <w:pPr>
              <w:pStyle w:val="TableParagraph"/>
              <w:spacing w:before="76"/>
              <w:ind w:left="67" w:right="295"/>
              <w:jc w:val="left"/>
              <w:rPr>
                <w:sz w:val="18"/>
              </w:rPr>
            </w:pPr>
            <w:r>
              <w:rPr>
                <w:sz w:val="18"/>
              </w:rPr>
              <w:t>CONVERGENCIA</w:t>
            </w:r>
          </w:p>
        </w:tc>
        <w:tc>
          <w:tcPr>
            <w:tcW w:w="1397" w:type="dxa"/>
          </w:tcPr>
          <w:p>
            <w:pPr>
              <w:pStyle w:val="TableParagraph"/>
              <w:spacing w:before="76"/>
              <w:ind w:left="67"/>
              <w:jc w:val="left"/>
              <w:rPr>
                <w:sz w:val="18"/>
              </w:rPr>
            </w:pPr>
            <w:r>
              <w:rPr>
                <w:sz w:val="18"/>
              </w:rPr>
              <w:t>PRI-PVEM-NA</w:t>
            </w:r>
          </w:p>
        </w:tc>
      </w:tr>
      <w:tr>
        <w:trPr>
          <w:trHeight w:val="425" w:hRule="exact"/>
        </w:trPr>
        <w:tc>
          <w:tcPr>
            <w:tcW w:w="3882" w:type="dxa"/>
          </w:tcPr>
          <w:p>
            <w:pPr>
              <w:pStyle w:val="TableParagraph"/>
              <w:spacing w:before="100"/>
              <w:ind w:left="67"/>
              <w:jc w:val="left"/>
              <w:rPr>
                <w:b/>
                <w:sz w:val="18"/>
              </w:rPr>
            </w:pPr>
            <w:r>
              <w:rPr>
                <w:b/>
                <w:color w:val="333333"/>
                <w:sz w:val="18"/>
              </w:rPr>
              <w:t>IXTAPALUCA</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761"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655"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1604" w:type="dxa"/>
          </w:tcPr>
          <w:p>
            <w:pPr>
              <w:pStyle w:val="TableParagraph"/>
              <w:jc w:val="left"/>
              <w:rPr>
                <w:rFonts w:ascii="Times New Roman"/>
                <w:sz w:val="18"/>
              </w:rPr>
            </w:pPr>
          </w:p>
          <w:p>
            <w:pPr>
              <w:pStyle w:val="TableParagraph"/>
              <w:spacing w:before="1"/>
              <w:ind w:left="67"/>
              <w:jc w:val="left"/>
              <w:rPr>
                <w:sz w:val="18"/>
              </w:rPr>
            </w:pPr>
            <w:r>
              <w:rPr>
                <w:sz w:val="18"/>
              </w:rPr>
              <w:t>PRI-PVEM</w:t>
            </w:r>
          </w:p>
        </w:tc>
        <w:tc>
          <w:tcPr>
            <w:tcW w:w="1733" w:type="dxa"/>
            <w:shd w:val="clear" w:color="auto" w:fill="FFFF00"/>
          </w:tcPr>
          <w:p>
            <w:pPr>
              <w:pStyle w:val="TableParagraph"/>
              <w:jc w:val="left"/>
              <w:rPr>
                <w:rFonts w:ascii="Times New Roman"/>
                <w:sz w:val="18"/>
              </w:rPr>
            </w:pPr>
          </w:p>
          <w:p>
            <w:pPr>
              <w:pStyle w:val="TableParagraph"/>
              <w:spacing w:before="1"/>
              <w:ind w:left="64"/>
              <w:jc w:val="left"/>
              <w:rPr>
                <w:sz w:val="18"/>
              </w:rPr>
            </w:pPr>
            <w:r>
              <w:rPr>
                <w:sz w:val="18"/>
              </w:rPr>
              <w:t>PRD</w:t>
            </w:r>
          </w:p>
        </w:tc>
        <w:tc>
          <w:tcPr>
            <w:tcW w:w="2062" w:type="dxa"/>
          </w:tcPr>
          <w:p>
            <w:pPr>
              <w:pStyle w:val="TableParagraph"/>
              <w:ind w:left="67" w:right="295"/>
              <w:jc w:val="left"/>
              <w:rPr>
                <w:sz w:val="18"/>
              </w:rPr>
            </w:pPr>
            <w:r>
              <w:rPr>
                <w:sz w:val="18"/>
              </w:rPr>
              <w:t>PRI-PVEM-NA-PSD- PFD</w:t>
            </w:r>
          </w:p>
        </w:tc>
        <w:tc>
          <w:tcPr>
            <w:tcW w:w="1397" w:type="dxa"/>
          </w:tcPr>
          <w:p>
            <w:pPr>
              <w:pStyle w:val="TableParagraph"/>
              <w:jc w:val="left"/>
              <w:rPr>
                <w:rFonts w:ascii="Times New Roman"/>
                <w:sz w:val="18"/>
              </w:rPr>
            </w:pPr>
          </w:p>
          <w:p>
            <w:pPr>
              <w:pStyle w:val="TableParagraph"/>
              <w:spacing w:before="1"/>
              <w:ind w:left="67"/>
              <w:jc w:val="left"/>
              <w:rPr>
                <w:sz w:val="18"/>
              </w:rPr>
            </w:pPr>
            <w:r>
              <w:rPr>
                <w:sz w:val="18"/>
              </w:rPr>
              <w:t>PRI-PVEM-NA</w:t>
            </w:r>
          </w:p>
        </w:tc>
      </w:tr>
      <w:tr>
        <w:trPr>
          <w:trHeight w:val="425" w:hRule="exact"/>
        </w:trPr>
        <w:tc>
          <w:tcPr>
            <w:tcW w:w="3882" w:type="dxa"/>
          </w:tcPr>
          <w:p>
            <w:pPr>
              <w:pStyle w:val="TableParagraph"/>
              <w:spacing w:before="97"/>
              <w:ind w:left="67"/>
              <w:jc w:val="left"/>
              <w:rPr>
                <w:b/>
                <w:sz w:val="18"/>
              </w:rPr>
            </w:pPr>
            <w:r>
              <w:rPr>
                <w:b/>
                <w:color w:val="333333"/>
                <w:sz w:val="18"/>
              </w:rPr>
              <w:t>IXTAPAN DE LA SAL</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tcPr>
          <w:p>
            <w:pPr>
              <w:pStyle w:val="TableParagraph"/>
              <w:spacing w:before="10"/>
              <w:jc w:val="left"/>
              <w:rPr>
                <w:rFonts w:ascii="Times New Roman"/>
                <w:sz w:val="17"/>
              </w:rPr>
            </w:pPr>
          </w:p>
          <w:p>
            <w:pPr>
              <w:pStyle w:val="TableParagraph"/>
              <w:ind w:left="64"/>
              <w:jc w:val="left"/>
              <w:rPr>
                <w:sz w:val="18"/>
              </w:rPr>
            </w:pPr>
            <w:r>
              <w:rPr>
                <w:sz w:val="18"/>
              </w:rPr>
              <w:t>PRI-PVEM</w:t>
            </w:r>
          </w:p>
        </w:tc>
        <w:tc>
          <w:tcPr>
            <w:tcW w:w="2062" w:type="dxa"/>
          </w:tcPr>
          <w:p>
            <w:pPr>
              <w:pStyle w:val="TableParagraph"/>
              <w:ind w:left="67" w:right="295"/>
              <w:jc w:val="left"/>
              <w:rPr>
                <w:sz w:val="18"/>
              </w:rPr>
            </w:pPr>
            <w:r>
              <w:rPr>
                <w:sz w:val="18"/>
              </w:rPr>
              <w:t>PRI-PVEM-NA-PSD- PFD</w:t>
            </w:r>
          </w:p>
        </w:tc>
        <w:tc>
          <w:tcPr>
            <w:tcW w:w="1397" w:type="dxa"/>
            <w:shd w:val="clear" w:color="auto" w:fill="FFFF00"/>
          </w:tcPr>
          <w:p>
            <w:pPr>
              <w:pStyle w:val="TableParagraph"/>
              <w:spacing w:before="10"/>
              <w:jc w:val="left"/>
              <w:rPr>
                <w:rFonts w:ascii="Times New Roman"/>
                <w:sz w:val="17"/>
              </w:rPr>
            </w:pPr>
          </w:p>
          <w:p>
            <w:pPr>
              <w:pStyle w:val="TableParagraph"/>
              <w:ind w:left="67"/>
              <w:jc w:val="left"/>
              <w:rPr>
                <w:sz w:val="18"/>
              </w:rPr>
            </w:pPr>
            <w:r>
              <w:rPr>
                <w:sz w:val="18"/>
              </w:rPr>
              <w:t>PRD-PT</w:t>
            </w:r>
          </w:p>
        </w:tc>
      </w:tr>
      <w:tr>
        <w:trPr>
          <w:trHeight w:val="423" w:hRule="exact"/>
        </w:trPr>
        <w:tc>
          <w:tcPr>
            <w:tcW w:w="3882" w:type="dxa"/>
          </w:tcPr>
          <w:p>
            <w:pPr>
              <w:pStyle w:val="TableParagraph"/>
              <w:spacing w:before="98"/>
              <w:ind w:left="67"/>
              <w:jc w:val="left"/>
              <w:rPr>
                <w:b/>
                <w:sz w:val="18"/>
              </w:rPr>
            </w:pPr>
            <w:r>
              <w:rPr>
                <w:b/>
                <w:color w:val="333333"/>
                <w:sz w:val="18"/>
              </w:rPr>
              <w:t>IXTAPAN DEL ORO</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shd w:val="clear" w:color="auto" w:fill="FFFF00"/>
          </w:tcPr>
          <w:p>
            <w:pPr>
              <w:pStyle w:val="TableParagraph"/>
              <w:spacing w:before="10"/>
              <w:jc w:val="left"/>
              <w:rPr>
                <w:rFonts w:ascii="Times New Roman"/>
                <w:sz w:val="17"/>
              </w:rPr>
            </w:pPr>
          </w:p>
          <w:p>
            <w:pPr>
              <w:pStyle w:val="TableParagraph"/>
              <w:ind w:left="67"/>
              <w:jc w:val="left"/>
              <w:rPr>
                <w:sz w:val="18"/>
              </w:rPr>
            </w:pPr>
            <w:r>
              <w:rPr>
                <w:sz w:val="18"/>
              </w:rPr>
              <w:t>PRD</w:t>
            </w:r>
          </w:p>
        </w:tc>
        <w:tc>
          <w:tcPr>
            <w:tcW w:w="1604" w:type="dxa"/>
            <w:shd w:val="clear" w:color="auto" w:fill="FFFF00"/>
          </w:tcPr>
          <w:p>
            <w:pPr>
              <w:pStyle w:val="TableParagraph"/>
              <w:spacing w:before="10"/>
              <w:jc w:val="left"/>
              <w:rPr>
                <w:rFonts w:ascii="Times New Roman"/>
                <w:sz w:val="17"/>
              </w:rPr>
            </w:pPr>
          </w:p>
          <w:p>
            <w:pPr>
              <w:pStyle w:val="TableParagraph"/>
              <w:ind w:left="67"/>
              <w:jc w:val="left"/>
              <w:rPr>
                <w:sz w:val="18"/>
              </w:rPr>
            </w:pPr>
            <w:r>
              <w:rPr>
                <w:sz w:val="18"/>
              </w:rPr>
              <w:t>PRD</w:t>
            </w:r>
          </w:p>
        </w:tc>
        <w:tc>
          <w:tcPr>
            <w:tcW w:w="1733" w:type="dxa"/>
            <w:shd w:val="clear" w:color="auto" w:fill="FFFF00"/>
          </w:tcPr>
          <w:p>
            <w:pPr>
              <w:pStyle w:val="TableParagraph"/>
              <w:spacing w:before="10"/>
              <w:jc w:val="left"/>
              <w:rPr>
                <w:rFonts w:ascii="Times New Roman"/>
                <w:sz w:val="17"/>
              </w:rPr>
            </w:pPr>
          </w:p>
          <w:p>
            <w:pPr>
              <w:pStyle w:val="TableParagraph"/>
              <w:ind w:left="64"/>
              <w:jc w:val="left"/>
              <w:rPr>
                <w:sz w:val="18"/>
              </w:rPr>
            </w:pPr>
            <w:r>
              <w:rPr>
                <w:sz w:val="18"/>
              </w:rPr>
              <w:t>PRD</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5" w:hRule="exact"/>
        </w:trPr>
        <w:tc>
          <w:tcPr>
            <w:tcW w:w="3882" w:type="dxa"/>
          </w:tcPr>
          <w:p>
            <w:pPr>
              <w:pStyle w:val="TableParagraph"/>
              <w:spacing w:before="100"/>
              <w:ind w:left="67"/>
              <w:jc w:val="left"/>
              <w:rPr>
                <w:b/>
                <w:sz w:val="18"/>
              </w:rPr>
            </w:pPr>
            <w:r>
              <w:rPr>
                <w:b/>
                <w:color w:val="333333"/>
                <w:sz w:val="18"/>
              </w:rPr>
              <w:t>IXTLAHUACA</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761"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655"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1604" w:type="dxa"/>
            <w:shd w:val="clear" w:color="auto" w:fill="E26C09"/>
          </w:tcPr>
          <w:p>
            <w:pPr>
              <w:pStyle w:val="TableParagraph"/>
              <w:jc w:val="left"/>
              <w:rPr>
                <w:rFonts w:ascii="Times New Roman"/>
                <w:sz w:val="18"/>
              </w:rPr>
            </w:pPr>
          </w:p>
          <w:p>
            <w:pPr>
              <w:pStyle w:val="TableParagraph"/>
              <w:spacing w:before="1"/>
              <w:ind w:left="67"/>
              <w:jc w:val="left"/>
              <w:rPr>
                <w:sz w:val="18"/>
              </w:rPr>
            </w:pPr>
            <w:r>
              <w:rPr>
                <w:sz w:val="18"/>
              </w:rPr>
              <w:t>CONVERGENCIA</w:t>
            </w:r>
          </w:p>
        </w:tc>
        <w:tc>
          <w:tcPr>
            <w:tcW w:w="1733" w:type="dxa"/>
          </w:tcPr>
          <w:p>
            <w:pPr>
              <w:pStyle w:val="TableParagraph"/>
              <w:jc w:val="left"/>
              <w:rPr>
                <w:rFonts w:ascii="Times New Roman"/>
                <w:sz w:val="18"/>
              </w:rPr>
            </w:pPr>
          </w:p>
          <w:p>
            <w:pPr>
              <w:pStyle w:val="TableParagraph"/>
              <w:spacing w:before="1"/>
              <w:ind w:left="64"/>
              <w:jc w:val="left"/>
              <w:rPr>
                <w:sz w:val="18"/>
              </w:rPr>
            </w:pPr>
            <w:r>
              <w:rPr>
                <w:sz w:val="18"/>
              </w:rPr>
              <w:t>PRI-PVEM</w:t>
            </w:r>
          </w:p>
        </w:tc>
        <w:tc>
          <w:tcPr>
            <w:tcW w:w="2062" w:type="dxa"/>
          </w:tcPr>
          <w:p>
            <w:pPr>
              <w:pStyle w:val="TableParagraph"/>
              <w:ind w:left="67" w:right="295"/>
              <w:jc w:val="left"/>
              <w:rPr>
                <w:sz w:val="18"/>
              </w:rPr>
            </w:pPr>
            <w:r>
              <w:rPr>
                <w:sz w:val="18"/>
              </w:rPr>
              <w:t>PRI-PVEM-NA-PSD- PFD</w:t>
            </w:r>
          </w:p>
        </w:tc>
        <w:tc>
          <w:tcPr>
            <w:tcW w:w="1397" w:type="dxa"/>
          </w:tcPr>
          <w:p>
            <w:pPr>
              <w:pStyle w:val="TableParagraph"/>
              <w:jc w:val="left"/>
              <w:rPr>
                <w:rFonts w:ascii="Times New Roman"/>
                <w:sz w:val="18"/>
              </w:rPr>
            </w:pPr>
          </w:p>
          <w:p>
            <w:pPr>
              <w:pStyle w:val="TableParagraph"/>
              <w:spacing w:before="1"/>
              <w:ind w:left="67"/>
              <w:jc w:val="left"/>
              <w:rPr>
                <w:sz w:val="18"/>
              </w:rPr>
            </w:pPr>
            <w:r>
              <w:rPr>
                <w:sz w:val="18"/>
              </w:rPr>
              <w:t>PRI-PVEM-NA</w:t>
            </w:r>
          </w:p>
        </w:tc>
      </w:tr>
      <w:tr>
        <w:trPr>
          <w:trHeight w:val="425" w:hRule="exact"/>
        </w:trPr>
        <w:tc>
          <w:tcPr>
            <w:tcW w:w="3882" w:type="dxa"/>
          </w:tcPr>
          <w:p>
            <w:pPr>
              <w:pStyle w:val="TableParagraph"/>
              <w:spacing w:before="97"/>
              <w:ind w:left="67"/>
              <w:jc w:val="left"/>
              <w:rPr>
                <w:b/>
                <w:sz w:val="18"/>
              </w:rPr>
            </w:pPr>
            <w:r>
              <w:rPr>
                <w:b/>
                <w:color w:val="333333"/>
                <w:sz w:val="18"/>
              </w:rPr>
              <w:t>JALTENCO</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shd w:val="clear" w:color="auto" w:fill="FFFF00"/>
          </w:tcPr>
          <w:p>
            <w:pPr>
              <w:pStyle w:val="TableParagraph"/>
              <w:spacing w:before="10"/>
              <w:jc w:val="left"/>
              <w:rPr>
                <w:rFonts w:ascii="Times New Roman"/>
                <w:sz w:val="17"/>
              </w:rPr>
            </w:pPr>
          </w:p>
          <w:p>
            <w:pPr>
              <w:pStyle w:val="TableParagraph"/>
              <w:ind w:left="64"/>
              <w:jc w:val="left"/>
              <w:rPr>
                <w:sz w:val="18"/>
              </w:rPr>
            </w:pPr>
            <w:r>
              <w:rPr>
                <w:sz w:val="18"/>
              </w:rPr>
              <w:t>PRD-C</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2" w:hRule="exact"/>
        </w:trPr>
        <w:tc>
          <w:tcPr>
            <w:tcW w:w="3882" w:type="dxa"/>
          </w:tcPr>
          <w:p>
            <w:pPr>
              <w:pStyle w:val="TableParagraph"/>
              <w:spacing w:before="97"/>
              <w:ind w:left="67"/>
              <w:jc w:val="left"/>
              <w:rPr>
                <w:b/>
                <w:sz w:val="18"/>
              </w:rPr>
            </w:pPr>
            <w:r>
              <w:rPr>
                <w:b/>
                <w:color w:val="333333"/>
                <w:sz w:val="18"/>
              </w:rPr>
              <w:t>JILOTEPEC</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shd w:val="clear" w:color="auto" w:fill="FFFF00"/>
          </w:tcPr>
          <w:p>
            <w:pPr>
              <w:pStyle w:val="TableParagraph"/>
              <w:spacing w:before="10"/>
              <w:jc w:val="left"/>
              <w:rPr>
                <w:rFonts w:ascii="Times New Roman"/>
                <w:sz w:val="17"/>
              </w:rPr>
            </w:pPr>
          </w:p>
          <w:p>
            <w:pPr>
              <w:pStyle w:val="TableParagraph"/>
              <w:ind w:left="64"/>
              <w:jc w:val="left"/>
              <w:rPr>
                <w:sz w:val="18"/>
              </w:rPr>
            </w:pPr>
            <w:r>
              <w:rPr>
                <w:sz w:val="18"/>
              </w:rPr>
              <w:t>PRD</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5" w:hRule="exact"/>
        </w:trPr>
        <w:tc>
          <w:tcPr>
            <w:tcW w:w="3882" w:type="dxa"/>
          </w:tcPr>
          <w:p>
            <w:pPr>
              <w:pStyle w:val="TableParagraph"/>
              <w:spacing w:before="100"/>
              <w:ind w:left="67"/>
              <w:jc w:val="left"/>
              <w:rPr>
                <w:b/>
                <w:sz w:val="18"/>
              </w:rPr>
            </w:pPr>
            <w:r>
              <w:rPr>
                <w:b/>
                <w:color w:val="333333"/>
                <w:sz w:val="18"/>
              </w:rPr>
              <w:t>JILOTZINGO</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761"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655"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1604" w:type="dxa"/>
          </w:tcPr>
          <w:p>
            <w:pPr>
              <w:pStyle w:val="TableParagraph"/>
              <w:jc w:val="left"/>
              <w:rPr>
                <w:rFonts w:ascii="Times New Roman"/>
                <w:sz w:val="18"/>
              </w:rPr>
            </w:pPr>
          </w:p>
          <w:p>
            <w:pPr>
              <w:pStyle w:val="TableParagraph"/>
              <w:spacing w:before="1"/>
              <w:ind w:left="67"/>
              <w:jc w:val="left"/>
              <w:rPr>
                <w:sz w:val="18"/>
              </w:rPr>
            </w:pPr>
            <w:r>
              <w:rPr>
                <w:sz w:val="18"/>
              </w:rPr>
              <w:t>PRI-PVEM</w:t>
            </w:r>
          </w:p>
        </w:tc>
        <w:tc>
          <w:tcPr>
            <w:tcW w:w="1733" w:type="dxa"/>
            <w:shd w:val="clear" w:color="auto" w:fill="FFFF00"/>
          </w:tcPr>
          <w:p>
            <w:pPr>
              <w:pStyle w:val="TableParagraph"/>
              <w:jc w:val="left"/>
              <w:rPr>
                <w:rFonts w:ascii="Times New Roman"/>
                <w:sz w:val="18"/>
              </w:rPr>
            </w:pPr>
          </w:p>
          <w:p>
            <w:pPr>
              <w:pStyle w:val="TableParagraph"/>
              <w:spacing w:before="1"/>
              <w:ind w:left="64"/>
              <w:jc w:val="left"/>
              <w:rPr>
                <w:sz w:val="18"/>
              </w:rPr>
            </w:pPr>
            <w:r>
              <w:rPr>
                <w:sz w:val="18"/>
              </w:rPr>
              <w:t>PRD</w:t>
            </w:r>
          </w:p>
        </w:tc>
        <w:tc>
          <w:tcPr>
            <w:tcW w:w="2062" w:type="dxa"/>
          </w:tcPr>
          <w:p>
            <w:pPr>
              <w:pStyle w:val="TableParagraph"/>
              <w:ind w:left="67" w:right="295"/>
              <w:jc w:val="left"/>
              <w:rPr>
                <w:sz w:val="18"/>
              </w:rPr>
            </w:pPr>
            <w:r>
              <w:rPr>
                <w:sz w:val="18"/>
              </w:rPr>
              <w:t>PRI-PVEM-NA-PSD- PFD</w:t>
            </w:r>
          </w:p>
        </w:tc>
        <w:tc>
          <w:tcPr>
            <w:tcW w:w="1397" w:type="dxa"/>
          </w:tcPr>
          <w:p>
            <w:pPr>
              <w:pStyle w:val="TableParagraph"/>
              <w:jc w:val="left"/>
              <w:rPr>
                <w:rFonts w:ascii="Times New Roman"/>
                <w:sz w:val="18"/>
              </w:rPr>
            </w:pPr>
          </w:p>
          <w:p>
            <w:pPr>
              <w:pStyle w:val="TableParagraph"/>
              <w:spacing w:before="1"/>
              <w:ind w:left="67"/>
              <w:jc w:val="left"/>
              <w:rPr>
                <w:sz w:val="18"/>
              </w:rPr>
            </w:pPr>
            <w:r>
              <w:rPr>
                <w:sz w:val="18"/>
              </w:rPr>
              <w:t>PRI-PVEM-NA</w:t>
            </w:r>
          </w:p>
        </w:tc>
      </w:tr>
      <w:tr>
        <w:trPr>
          <w:trHeight w:val="425" w:hRule="exact"/>
        </w:trPr>
        <w:tc>
          <w:tcPr>
            <w:tcW w:w="3882" w:type="dxa"/>
          </w:tcPr>
          <w:p>
            <w:pPr>
              <w:pStyle w:val="TableParagraph"/>
              <w:spacing w:before="97"/>
              <w:ind w:left="67"/>
              <w:jc w:val="left"/>
              <w:rPr>
                <w:b/>
                <w:sz w:val="18"/>
              </w:rPr>
            </w:pPr>
            <w:r>
              <w:rPr>
                <w:b/>
                <w:color w:val="333333"/>
                <w:sz w:val="18"/>
              </w:rPr>
              <w:t>JIQUIPILCO</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shd w:val="clear" w:color="auto" w:fill="FFFF00"/>
          </w:tcPr>
          <w:p>
            <w:pPr>
              <w:pStyle w:val="TableParagraph"/>
              <w:spacing w:before="10"/>
              <w:jc w:val="left"/>
              <w:rPr>
                <w:rFonts w:ascii="Times New Roman"/>
                <w:sz w:val="17"/>
              </w:rPr>
            </w:pPr>
          </w:p>
          <w:p>
            <w:pPr>
              <w:pStyle w:val="TableParagraph"/>
              <w:ind w:left="64"/>
              <w:jc w:val="left"/>
              <w:rPr>
                <w:sz w:val="18"/>
              </w:rPr>
            </w:pPr>
            <w:r>
              <w:rPr>
                <w:sz w:val="18"/>
              </w:rPr>
              <w:t>PRD</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shd w:val="clear" w:color="auto" w:fill="FFFF00"/>
          </w:tcPr>
          <w:p>
            <w:pPr>
              <w:pStyle w:val="TableParagraph"/>
              <w:spacing w:before="10"/>
              <w:jc w:val="left"/>
              <w:rPr>
                <w:rFonts w:ascii="Times New Roman"/>
                <w:sz w:val="17"/>
              </w:rPr>
            </w:pPr>
          </w:p>
          <w:p>
            <w:pPr>
              <w:pStyle w:val="TableParagraph"/>
              <w:ind w:left="64"/>
              <w:jc w:val="left"/>
              <w:rPr>
                <w:sz w:val="18"/>
              </w:rPr>
            </w:pPr>
            <w:r>
              <w:rPr>
                <w:sz w:val="18"/>
              </w:rPr>
              <w:t>PRD-PT</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3" w:hRule="exact"/>
        </w:trPr>
        <w:tc>
          <w:tcPr>
            <w:tcW w:w="3882" w:type="dxa"/>
          </w:tcPr>
          <w:p>
            <w:pPr>
              <w:pStyle w:val="TableParagraph"/>
              <w:spacing w:before="98"/>
              <w:ind w:left="67"/>
              <w:jc w:val="left"/>
              <w:rPr>
                <w:b/>
                <w:sz w:val="18"/>
              </w:rPr>
            </w:pPr>
            <w:r>
              <w:rPr>
                <w:b/>
                <w:color w:val="333333"/>
                <w:sz w:val="18"/>
              </w:rPr>
              <w:t>JOCOTITLAN</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shd w:val="clear" w:color="auto" w:fill="006FC0"/>
          </w:tcPr>
          <w:p>
            <w:pPr>
              <w:pStyle w:val="TableParagraph"/>
              <w:spacing w:before="10"/>
              <w:jc w:val="left"/>
              <w:rPr>
                <w:rFonts w:ascii="Times New Roman"/>
                <w:sz w:val="17"/>
              </w:rPr>
            </w:pPr>
          </w:p>
          <w:p>
            <w:pPr>
              <w:pStyle w:val="TableParagraph"/>
              <w:ind w:left="67"/>
              <w:jc w:val="left"/>
              <w:rPr>
                <w:sz w:val="18"/>
              </w:rPr>
            </w:pPr>
            <w:r>
              <w:rPr>
                <w:sz w:val="18"/>
              </w:rPr>
              <w:t>PAN</w:t>
            </w:r>
          </w:p>
        </w:tc>
        <w:tc>
          <w:tcPr>
            <w:tcW w:w="1733" w:type="dxa"/>
          </w:tcPr>
          <w:p>
            <w:pPr>
              <w:pStyle w:val="TableParagraph"/>
              <w:spacing w:before="10"/>
              <w:jc w:val="left"/>
              <w:rPr>
                <w:rFonts w:ascii="Times New Roman"/>
                <w:sz w:val="17"/>
              </w:rPr>
            </w:pPr>
          </w:p>
          <w:p>
            <w:pPr>
              <w:pStyle w:val="TableParagraph"/>
              <w:ind w:left="64"/>
              <w:jc w:val="left"/>
              <w:rPr>
                <w:sz w:val="18"/>
              </w:rPr>
            </w:pPr>
            <w:r>
              <w:rPr>
                <w:sz w:val="18"/>
              </w:rPr>
              <w:t>PRI-PVEM</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5" w:hRule="exact"/>
        </w:trPr>
        <w:tc>
          <w:tcPr>
            <w:tcW w:w="3882" w:type="dxa"/>
          </w:tcPr>
          <w:p>
            <w:pPr>
              <w:pStyle w:val="TableParagraph"/>
              <w:spacing w:before="97"/>
              <w:ind w:left="67"/>
              <w:jc w:val="left"/>
              <w:rPr>
                <w:b/>
                <w:sz w:val="18"/>
              </w:rPr>
            </w:pPr>
            <w:r>
              <w:rPr>
                <w:b/>
                <w:color w:val="333333"/>
                <w:sz w:val="18"/>
              </w:rPr>
              <w:t>JOQUICINGO</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761"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655" w:type="dxa"/>
            <w:shd w:val="clear" w:color="auto" w:fill="FFFF00"/>
          </w:tcPr>
          <w:p>
            <w:pPr>
              <w:pStyle w:val="TableParagraph"/>
              <w:jc w:val="left"/>
              <w:rPr>
                <w:rFonts w:ascii="Times New Roman"/>
                <w:sz w:val="18"/>
              </w:rPr>
            </w:pPr>
          </w:p>
          <w:p>
            <w:pPr>
              <w:pStyle w:val="TableParagraph"/>
              <w:spacing w:before="1"/>
              <w:ind w:left="64"/>
              <w:jc w:val="left"/>
              <w:rPr>
                <w:sz w:val="18"/>
              </w:rPr>
            </w:pPr>
            <w:r>
              <w:rPr>
                <w:sz w:val="18"/>
              </w:rPr>
              <w:t>PRD</w:t>
            </w:r>
          </w:p>
        </w:tc>
        <w:tc>
          <w:tcPr>
            <w:tcW w:w="655"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1604" w:type="dxa"/>
            <w:shd w:val="clear" w:color="auto" w:fill="006FC0"/>
          </w:tcPr>
          <w:p>
            <w:pPr>
              <w:pStyle w:val="TableParagraph"/>
              <w:jc w:val="left"/>
              <w:rPr>
                <w:rFonts w:ascii="Times New Roman"/>
                <w:sz w:val="18"/>
              </w:rPr>
            </w:pPr>
          </w:p>
          <w:p>
            <w:pPr>
              <w:pStyle w:val="TableParagraph"/>
              <w:spacing w:before="1"/>
              <w:ind w:left="67"/>
              <w:jc w:val="left"/>
              <w:rPr>
                <w:sz w:val="18"/>
              </w:rPr>
            </w:pPr>
            <w:r>
              <w:rPr>
                <w:sz w:val="18"/>
              </w:rPr>
              <w:t>PAN</w:t>
            </w:r>
          </w:p>
        </w:tc>
        <w:tc>
          <w:tcPr>
            <w:tcW w:w="1733" w:type="dxa"/>
          </w:tcPr>
          <w:p>
            <w:pPr>
              <w:pStyle w:val="TableParagraph"/>
              <w:jc w:val="left"/>
              <w:rPr>
                <w:rFonts w:ascii="Times New Roman"/>
                <w:sz w:val="18"/>
              </w:rPr>
            </w:pPr>
          </w:p>
          <w:p>
            <w:pPr>
              <w:pStyle w:val="TableParagraph"/>
              <w:spacing w:before="1"/>
              <w:ind w:left="64"/>
              <w:jc w:val="left"/>
              <w:rPr>
                <w:sz w:val="18"/>
              </w:rPr>
            </w:pPr>
            <w:r>
              <w:rPr>
                <w:sz w:val="18"/>
              </w:rPr>
              <w:t>PRI-PVEM</w:t>
            </w:r>
          </w:p>
        </w:tc>
        <w:tc>
          <w:tcPr>
            <w:tcW w:w="2062" w:type="dxa"/>
          </w:tcPr>
          <w:p>
            <w:pPr>
              <w:pStyle w:val="TableParagraph"/>
              <w:ind w:left="67" w:right="295"/>
              <w:jc w:val="left"/>
              <w:rPr>
                <w:sz w:val="18"/>
              </w:rPr>
            </w:pPr>
            <w:r>
              <w:rPr>
                <w:sz w:val="18"/>
              </w:rPr>
              <w:t>PRI-PVEM-NA-PSD- PFD</w:t>
            </w:r>
          </w:p>
        </w:tc>
        <w:tc>
          <w:tcPr>
            <w:tcW w:w="1397" w:type="dxa"/>
            <w:shd w:val="clear" w:color="auto" w:fill="006FC0"/>
          </w:tcPr>
          <w:p>
            <w:pPr>
              <w:pStyle w:val="TableParagraph"/>
              <w:jc w:val="left"/>
              <w:rPr>
                <w:rFonts w:ascii="Times New Roman"/>
                <w:sz w:val="18"/>
              </w:rPr>
            </w:pPr>
          </w:p>
          <w:p>
            <w:pPr>
              <w:pStyle w:val="TableParagraph"/>
              <w:spacing w:before="1"/>
              <w:ind w:left="67"/>
              <w:jc w:val="left"/>
              <w:rPr>
                <w:sz w:val="18"/>
              </w:rPr>
            </w:pPr>
            <w:r>
              <w:rPr>
                <w:sz w:val="18"/>
              </w:rPr>
              <w:t>PAN</w:t>
            </w:r>
          </w:p>
        </w:tc>
      </w:tr>
      <w:tr>
        <w:trPr>
          <w:trHeight w:val="422" w:hRule="exact"/>
        </w:trPr>
        <w:tc>
          <w:tcPr>
            <w:tcW w:w="3882" w:type="dxa"/>
          </w:tcPr>
          <w:p>
            <w:pPr>
              <w:pStyle w:val="TableParagraph"/>
              <w:spacing w:before="97"/>
              <w:ind w:left="67"/>
              <w:jc w:val="left"/>
              <w:rPr>
                <w:b/>
                <w:sz w:val="18"/>
              </w:rPr>
            </w:pPr>
            <w:r>
              <w:rPr>
                <w:b/>
                <w:color w:val="333333"/>
                <w:sz w:val="18"/>
              </w:rPr>
              <w:t>JUCHITEPEC</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shd w:val="clear" w:color="auto" w:fill="FFFF00"/>
          </w:tcPr>
          <w:p>
            <w:pPr>
              <w:pStyle w:val="TableParagraph"/>
              <w:spacing w:before="10"/>
              <w:jc w:val="left"/>
              <w:rPr>
                <w:rFonts w:ascii="Times New Roman"/>
                <w:sz w:val="17"/>
              </w:rPr>
            </w:pPr>
          </w:p>
          <w:p>
            <w:pPr>
              <w:pStyle w:val="TableParagraph"/>
              <w:ind w:left="67"/>
              <w:jc w:val="left"/>
              <w:rPr>
                <w:sz w:val="18"/>
              </w:rPr>
            </w:pPr>
            <w:r>
              <w:rPr>
                <w:sz w:val="18"/>
              </w:rPr>
              <w:t>PRD</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tcPr>
          <w:p>
            <w:pPr>
              <w:pStyle w:val="TableParagraph"/>
              <w:spacing w:before="10"/>
              <w:jc w:val="left"/>
              <w:rPr>
                <w:rFonts w:ascii="Times New Roman"/>
                <w:sz w:val="17"/>
              </w:rPr>
            </w:pPr>
          </w:p>
          <w:p>
            <w:pPr>
              <w:pStyle w:val="TableParagraph"/>
              <w:ind w:left="64"/>
              <w:jc w:val="left"/>
              <w:rPr>
                <w:sz w:val="18"/>
              </w:rPr>
            </w:pPr>
            <w:r>
              <w:rPr>
                <w:sz w:val="18"/>
              </w:rPr>
              <w:t>PRI-PVEM</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5" w:hRule="exact"/>
        </w:trPr>
        <w:tc>
          <w:tcPr>
            <w:tcW w:w="3882" w:type="dxa"/>
          </w:tcPr>
          <w:p>
            <w:pPr>
              <w:pStyle w:val="TableParagraph"/>
              <w:spacing w:before="100"/>
              <w:ind w:left="67"/>
              <w:jc w:val="left"/>
              <w:rPr>
                <w:b/>
                <w:sz w:val="18"/>
              </w:rPr>
            </w:pPr>
            <w:r>
              <w:rPr>
                <w:b/>
                <w:color w:val="333333"/>
                <w:sz w:val="18"/>
              </w:rPr>
              <w:t>LA PAZ</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761"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655" w:type="dxa"/>
            <w:shd w:val="clear" w:color="auto" w:fill="FFFF00"/>
          </w:tcPr>
          <w:p>
            <w:pPr>
              <w:pStyle w:val="TableParagraph"/>
              <w:jc w:val="left"/>
              <w:rPr>
                <w:rFonts w:ascii="Times New Roman"/>
                <w:sz w:val="18"/>
              </w:rPr>
            </w:pPr>
          </w:p>
          <w:p>
            <w:pPr>
              <w:pStyle w:val="TableParagraph"/>
              <w:spacing w:before="1"/>
              <w:ind w:left="64"/>
              <w:jc w:val="left"/>
              <w:rPr>
                <w:sz w:val="18"/>
              </w:rPr>
            </w:pPr>
            <w:r>
              <w:rPr>
                <w:sz w:val="18"/>
              </w:rPr>
              <w:t>PRD</w:t>
            </w:r>
          </w:p>
        </w:tc>
        <w:tc>
          <w:tcPr>
            <w:tcW w:w="655" w:type="dxa"/>
            <w:shd w:val="clear" w:color="auto" w:fill="FFFF00"/>
          </w:tcPr>
          <w:p>
            <w:pPr>
              <w:pStyle w:val="TableParagraph"/>
              <w:jc w:val="left"/>
              <w:rPr>
                <w:rFonts w:ascii="Times New Roman"/>
                <w:sz w:val="18"/>
              </w:rPr>
            </w:pPr>
          </w:p>
          <w:p>
            <w:pPr>
              <w:pStyle w:val="TableParagraph"/>
              <w:spacing w:before="1"/>
              <w:ind w:left="67"/>
              <w:jc w:val="left"/>
              <w:rPr>
                <w:sz w:val="18"/>
              </w:rPr>
            </w:pPr>
            <w:r>
              <w:rPr>
                <w:sz w:val="18"/>
              </w:rPr>
              <w:t>PRD</w:t>
            </w:r>
          </w:p>
        </w:tc>
        <w:tc>
          <w:tcPr>
            <w:tcW w:w="1604" w:type="dxa"/>
          </w:tcPr>
          <w:p>
            <w:pPr>
              <w:pStyle w:val="TableParagraph"/>
              <w:jc w:val="left"/>
              <w:rPr>
                <w:rFonts w:ascii="Times New Roman"/>
                <w:sz w:val="18"/>
              </w:rPr>
            </w:pPr>
          </w:p>
          <w:p>
            <w:pPr>
              <w:pStyle w:val="TableParagraph"/>
              <w:spacing w:before="1"/>
              <w:ind w:left="67"/>
              <w:jc w:val="left"/>
              <w:rPr>
                <w:sz w:val="18"/>
              </w:rPr>
            </w:pPr>
            <w:r>
              <w:rPr>
                <w:sz w:val="18"/>
              </w:rPr>
              <w:t>PRI-PVEM</w:t>
            </w:r>
          </w:p>
        </w:tc>
        <w:tc>
          <w:tcPr>
            <w:tcW w:w="1733" w:type="dxa"/>
            <w:shd w:val="clear" w:color="auto" w:fill="FFFF00"/>
          </w:tcPr>
          <w:p>
            <w:pPr>
              <w:pStyle w:val="TableParagraph"/>
              <w:jc w:val="left"/>
              <w:rPr>
                <w:rFonts w:ascii="Times New Roman"/>
                <w:sz w:val="18"/>
              </w:rPr>
            </w:pPr>
          </w:p>
          <w:p>
            <w:pPr>
              <w:pStyle w:val="TableParagraph"/>
              <w:spacing w:before="1"/>
              <w:ind w:left="64"/>
              <w:jc w:val="left"/>
              <w:rPr>
                <w:sz w:val="18"/>
              </w:rPr>
            </w:pPr>
            <w:r>
              <w:rPr>
                <w:sz w:val="18"/>
              </w:rPr>
              <w:t>PRD</w:t>
            </w:r>
          </w:p>
        </w:tc>
        <w:tc>
          <w:tcPr>
            <w:tcW w:w="2062" w:type="dxa"/>
          </w:tcPr>
          <w:p>
            <w:pPr>
              <w:pStyle w:val="TableParagraph"/>
              <w:spacing w:before="1"/>
              <w:ind w:left="67" w:right="295"/>
              <w:jc w:val="left"/>
              <w:rPr>
                <w:sz w:val="18"/>
              </w:rPr>
            </w:pPr>
            <w:r>
              <w:rPr>
                <w:sz w:val="18"/>
              </w:rPr>
              <w:t>PRI-PVEM-NA-PSD- PFD</w:t>
            </w:r>
          </w:p>
        </w:tc>
        <w:tc>
          <w:tcPr>
            <w:tcW w:w="1397" w:type="dxa"/>
          </w:tcPr>
          <w:p>
            <w:pPr>
              <w:pStyle w:val="TableParagraph"/>
              <w:jc w:val="left"/>
              <w:rPr>
                <w:rFonts w:ascii="Times New Roman"/>
                <w:sz w:val="18"/>
              </w:rPr>
            </w:pPr>
          </w:p>
          <w:p>
            <w:pPr>
              <w:pStyle w:val="TableParagraph"/>
              <w:spacing w:before="1"/>
              <w:ind w:left="67"/>
              <w:jc w:val="left"/>
              <w:rPr>
                <w:sz w:val="18"/>
              </w:rPr>
            </w:pPr>
            <w:r>
              <w:rPr>
                <w:sz w:val="18"/>
              </w:rPr>
              <w:t>PRI-PVEM-NA</w:t>
            </w:r>
          </w:p>
        </w:tc>
      </w:tr>
      <w:tr>
        <w:trPr>
          <w:trHeight w:val="425" w:hRule="exact"/>
        </w:trPr>
        <w:tc>
          <w:tcPr>
            <w:tcW w:w="3882" w:type="dxa"/>
          </w:tcPr>
          <w:p>
            <w:pPr>
              <w:pStyle w:val="TableParagraph"/>
              <w:spacing w:before="97"/>
              <w:ind w:left="67"/>
              <w:jc w:val="left"/>
              <w:rPr>
                <w:b/>
                <w:sz w:val="18"/>
              </w:rPr>
            </w:pPr>
            <w:r>
              <w:rPr>
                <w:b/>
                <w:color w:val="333333"/>
                <w:sz w:val="18"/>
              </w:rPr>
              <w:t>LERMA</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761"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655" w:type="dxa"/>
            <w:shd w:val="clear" w:color="auto" w:fill="006FC0"/>
          </w:tcPr>
          <w:p>
            <w:pPr>
              <w:pStyle w:val="TableParagraph"/>
              <w:jc w:val="left"/>
              <w:rPr>
                <w:rFonts w:ascii="Times New Roman"/>
                <w:sz w:val="18"/>
              </w:rPr>
            </w:pPr>
          </w:p>
          <w:p>
            <w:pPr>
              <w:pStyle w:val="TableParagraph"/>
              <w:spacing w:before="1"/>
              <w:ind w:left="64"/>
              <w:jc w:val="left"/>
              <w:rPr>
                <w:sz w:val="18"/>
              </w:rPr>
            </w:pPr>
            <w:r>
              <w:rPr>
                <w:sz w:val="18"/>
              </w:rPr>
              <w:t>PAN</w:t>
            </w:r>
          </w:p>
        </w:tc>
        <w:tc>
          <w:tcPr>
            <w:tcW w:w="655" w:type="dxa"/>
            <w:shd w:val="clear" w:color="auto" w:fill="006FC0"/>
          </w:tcPr>
          <w:p>
            <w:pPr>
              <w:pStyle w:val="TableParagraph"/>
              <w:jc w:val="left"/>
              <w:rPr>
                <w:rFonts w:ascii="Times New Roman"/>
                <w:sz w:val="18"/>
              </w:rPr>
            </w:pPr>
          </w:p>
          <w:p>
            <w:pPr>
              <w:pStyle w:val="TableParagraph"/>
              <w:spacing w:before="1"/>
              <w:ind w:left="67"/>
              <w:jc w:val="left"/>
              <w:rPr>
                <w:sz w:val="18"/>
              </w:rPr>
            </w:pPr>
            <w:r>
              <w:rPr>
                <w:sz w:val="18"/>
              </w:rPr>
              <w:t>PAN</w:t>
            </w:r>
          </w:p>
        </w:tc>
        <w:tc>
          <w:tcPr>
            <w:tcW w:w="1604" w:type="dxa"/>
          </w:tcPr>
          <w:p>
            <w:pPr>
              <w:pStyle w:val="TableParagraph"/>
              <w:jc w:val="left"/>
              <w:rPr>
                <w:rFonts w:ascii="Times New Roman"/>
                <w:sz w:val="18"/>
              </w:rPr>
            </w:pPr>
          </w:p>
          <w:p>
            <w:pPr>
              <w:pStyle w:val="TableParagraph"/>
              <w:spacing w:before="1"/>
              <w:ind w:left="67"/>
              <w:jc w:val="left"/>
              <w:rPr>
                <w:sz w:val="18"/>
              </w:rPr>
            </w:pPr>
            <w:r>
              <w:rPr>
                <w:sz w:val="18"/>
              </w:rPr>
              <w:t>PRI-PVEM</w:t>
            </w:r>
          </w:p>
        </w:tc>
        <w:tc>
          <w:tcPr>
            <w:tcW w:w="1733" w:type="dxa"/>
          </w:tcPr>
          <w:p>
            <w:pPr>
              <w:pStyle w:val="TableParagraph"/>
              <w:jc w:val="left"/>
              <w:rPr>
                <w:rFonts w:ascii="Times New Roman"/>
                <w:sz w:val="18"/>
              </w:rPr>
            </w:pPr>
          </w:p>
          <w:p>
            <w:pPr>
              <w:pStyle w:val="TableParagraph"/>
              <w:spacing w:before="1"/>
              <w:ind w:left="64"/>
              <w:jc w:val="left"/>
              <w:rPr>
                <w:sz w:val="18"/>
              </w:rPr>
            </w:pPr>
            <w:r>
              <w:rPr>
                <w:sz w:val="18"/>
              </w:rPr>
              <w:t>PRI-PVEM</w:t>
            </w:r>
          </w:p>
        </w:tc>
        <w:tc>
          <w:tcPr>
            <w:tcW w:w="2062" w:type="dxa"/>
          </w:tcPr>
          <w:p>
            <w:pPr>
              <w:pStyle w:val="TableParagraph"/>
              <w:ind w:left="67" w:right="295"/>
              <w:jc w:val="left"/>
              <w:rPr>
                <w:sz w:val="18"/>
              </w:rPr>
            </w:pPr>
            <w:r>
              <w:rPr>
                <w:sz w:val="18"/>
              </w:rPr>
              <w:t>PRI-PVEM-NA-PSD- PFD</w:t>
            </w:r>
          </w:p>
        </w:tc>
        <w:tc>
          <w:tcPr>
            <w:tcW w:w="1397" w:type="dxa"/>
          </w:tcPr>
          <w:p>
            <w:pPr>
              <w:pStyle w:val="TableParagraph"/>
              <w:jc w:val="left"/>
              <w:rPr>
                <w:rFonts w:ascii="Times New Roman"/>
                <w:sz w:val="18"/>
              </w:rPr>
            </w:pPr>
          </w:p>
          <w:p>
            <w:pPr>
              <w:pStyle w:val="TableParagraph"/>
              <w:spacing w:before="1"/>
              <w:ind w:left="67"/>
              <w:jc w:val="left"/>
              <w:rPr>
                <w:sz w:val="18"/>
              </w:rPr>
            </w:pPr>
            <w:r>
              <w:rPr>
                <w:sz w:val="18"/>
              </w:rPr>
              <w:t>PRI-PVEM-NA</w:t>
            </w:r>
          </w:p>
        </w:tc>
      </w:tr>
      <w:tr>
        <w:trPr>
          <w:trHeight w:val="293" w:hRule="exact"/>
        </w:trPr>
        <w:tc>
          <w:tcPr>
            <w:tcW w:w="3882" w:type="dxa"/>
          </w:tcPr>
          <w:p>
            <w:pPr>
              <w:pStyle w:val="TableParagraph"/>
              <w:spacing w:before="32"/>
              <w:ind w:left="67"/>
              <w:jc w:val="left"/>
              <w:rPr>
                <w:b/>
                <w:sz w:val="18"/>
              </w:rPr>
            </w:pPr>
            <w:r>
              <w:rPr>
                <w:b/>
                <w:color w:val="333333"/>
                <w:sz w:val="18"/>
              </w:rPr>
              <w:t>LUVIANOS</w:t>
            </w:r>
          </w:p>
        </w:tc>
        <w:tc>
          <w:tcPr>
            <w:tcW w:w="655" w:type="dxa"/>
            <w:shd w:val="clear" w:color="auto" w:fill="A4A4A4"/>
          </w:tcPr>
          <w:p>
            <w:pPr/>
          </w:p>
        </w:tc>
        <w:tc>
          <w:tcPr>
            <w:tcW w:w="761" w:type="dxa"/>
            <w:shd w:val="clear" w:color="auto" w:fill="A4A4A4"/>
          </w:tcPr>
          <w:p>
            <w:pPr/>
          </w:p>
        </w:tc>
        <w:tc>
          <w:tcPr>
            <w:tcW w:w="655" w:type="dxa"/>
            <w:shd w:val="clear" w:color="auto" w:fill="A4A4A4"/>
          </w:tcPr>
          <w:p>
            <w:pPr/>
          </w:p>
        </w:tc>
        <w:tc>
          <w:tcPr>
            <w:tcW w:w="655" w:type="dxa"/>
            <w:shd w:val="clear" w:color="auto" w:fill="A4A4A4"/>
          </w:tcPr>
          <w:p>
            <w:pPr/>
          </w:p>
        </w:tc>
        <w:tc>
          <w:tcPr>
            <w:tcW w:w="1604" w:type="dxa"/>
            <w:shd w:val="clear" w:color="auto" w:fill="FFFF00"/>
          </w:tcPr>
          <w:p>
            <w:pPr>
              <w:pStyle w:val="TableParagraph"/>
              <w:spacing w:before="76"/>
              <w:ind w:left="67"/>
              <w:jc w:val="left"/>
              <w:rPr>
                <w:sz w:val="18"/>
              </w:rPr>
            </w:pPr>
            <w:r>
              <w:rPr>
                <w:sz w:val="18"/>
              </w:rPr>
              <w:t>PRD</w:t>
            </w:r>
          </w:p>
        </w:tc>
        <w:tc>
          <w:tcPr>
            <w:tcW w:w="1733" w:type="dxa"/>
          </w:tcPr>
          <w:p>
            <w:pPr>
              <w:pStyle w:val="TableParagraph"/>
              <w:spacing w:before="76"/>
              <w:ind w:left="64"/>
              <w:jc w:val="left"/>
              <w:rPr>
                <w:sz w:val="18"/>
              </w:rPr>
            </w:pPr>
            <w:r>
              <w:rPr>
                <w:sz w:val="18"/>
              </w:rPr>
              <w:t>PRI-PVEM</w:t>
            </w:r>
          </w:p>
        </w:tc>
        <w:tc>
          <w:tcPr>
            <w:tcW w:w="2062" w:type="dxa"/>
            <w:shd w:val="clear" w:color="auto" w:fill="FFFF00"/>
          </w:tcPr>
          <w:p>
            <w:pPr>
              <w:pStyle w:val="TableParagraph"/>
              <w:spacing w:before="76"/>
              <w:ind w:left="67" w:right="295"/>
              <w:jc w:val="left"/>
              <w:rPr>
                <w:sz w:val="18"/>
              </w:rPr>
            </w:pPr>
            <w:r>
              <w:rPr>
                <w:sz w:val="18"/>
              </w:rPr>
              <w:t>PRD</w:t>
            </w:r>
          </w:p>
        </w:tc>
        <w:tc>
          <w:tcPr>
            <w:tcW w:w="1397" w:type="dxa"/>
            <w:shd w:val="clear" w:color="auto" w:fill="FFFF00"/>
          </w:tcPr>
          <w:p>
            <w:pPr>
              <w:pStyle w:val="TableParagraph"/>
              <w:spacing w:before="76"/>
              <w:ind w:left="67"/>
              <w:jc w:val="left"/>
              <w:rPr>
                <w:sz w:val="18"/>
              </w:rPr>
            </w:pPr>
            <w:r>
              <w:rPr>
                <w:sz w:val="18"/>
              </w:rPr>
              <w:t>PRD-PT</w:t>
            </w:r>
          </w:p>
        </w:tc>
      </w:tr>
      <w:tr>
        <w:trPr>
          <w:trHeight w:val="425" w:hRule="exact"/>
        </w:trPr>
        <w:tc>
          <w:tcPr>
            <w:tcW w:w="3882" w:type="dxa"/>
          </w:tcPr>
          <w:p>
            <w:pPr>
              <w:pStyle w:val="TableParagraph"/>
              <w:spacing w:before="97"/>
              <w:ind w:left="67"/>
              <w:jc w:val="left"/>
              <w:rPr>
                <w:b/>
                <w:sz w:val="18"/>
              </w:rPr>
            </w:pPr>
            <w:r>
              <w:rPr>
                <w:b/>
                <w:color w:val="333333"/>
                <w:sz w:val="18"/>
              </w:rPr>
              <w:t>MALINALCO</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shd w:val="clear" w:color="auto" w:fill="006FC0"/>
          </w:tcPr>
          <w:p>
            <w:pPr>
              <w:pStyle w:val="TableParagraph"/>
              <w:spacing w:before="10"/>
              <w:jc w:val="left"/>
              <w:rPr>
                <w:rFonts w:ascii="Times New Roman"/>
                <w:sz w:val="17"/>
              </w:rPr>
            </w:pPr>
          </w:p>
          <w:p>
            <w:pPr>
              <w:pStyle w:val="TableParagraph"/>
              <w:ind w:left="67"/>
              <w:jc w:val="left"/>
              <w:rPr>
                <w:sz w:val="18"/>
              </w:rPr>
            </w:pPr>
            <w:r>
              <w:rPr>
                <w:sz w:val="18"/>
              </w:rPr>
              <w:t>PAN</w:t>
            </w:r>
          </w:p>
        </w:tc>
        <w:tc>
          <w:tcPr>
            <w:tcW w:w="1733" w:type="dxa"/>
          </w:tcPr>
          <w:p>
            <w:pPr>
              <w:pStyle w:val="TableParagraph"/>
              <w:spacing w:before="10"/>
              <w:jc w:val="left"/>
              <w:rPr>
                <w:rFonts w:ascii="Times New Roman"/>
                <w:sz w:val="17"/>
              </w:rPr>
            </w:pPr>
          </w:p>
          <w:p>
            <w:pPr>
              <w:pStyle w:val="TableParagraph"/>
              <w:ind w:left="64"/>
              <w:jc w:val="left"/>
              <w:rPr>
                <w:sz w:val="18"/>
              </w:rPr>
            </w:pPr>
            <w:r>
              <w:rPr>
                <w:sz w:val="18"/>
              </w:rPr>
              <w:t>PRI-PVEM</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2" w:hRule="exact"/>
        </w:trPr>
        <w:tc>
          <w:tcPr>
            <w:tcW w:w="3882" w:type="dxa"/>
          </w:tcPr>
          <w:p>
            <w:pPr>
              <w:pStyle w:val="TableParagraph"/>
              <w:spacing w:before="97"/>
              <w:ind w:left="67"/>
              <w:jc w:val="left"/>
              <w:rPr>
                <w:b/>
                <w:sz w:val="18"/>
              </w:rPr>
            </w:pPr>
            <w:r>
              <w:rPr>
                <w:b/>
                <w:color w:val="333333"/>
                <w:sz w:val="18"/>
              </w:rPr>
              <w:t>MELCHOR OCAMPO</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shd w:val="clear" w:color="auto" w:fill="006FC0"/>
          </w:tcPr>
          <w:p>
            <w:pPr>
              <w:pStyle w:val="TableParagraph"/>
              <w:spacing w:before="10"/>
              <w:jc w:val="left"/>
              <w:rPr>
                <w:rFonts w:ascii="Times New Roman"/>
                <w:sz w:val="17"/>
              </w:rPr>
            </w:pPr>
          </w:p>
          <w:p>
            <w:pPr>
              <w:pStyle w:val="TableParagraph"/>
              <w:ind w:left="64"/>
              <w:jc w:val="left"/>
              <w:rPr>
                <w:sz w:val="18"/>
              </w:rPr>
            </w:pPr>
            <w:r>
              <w:rPr>
                <w:sz w:val="18"/>
              </w:rPr>
              <w:t>PAN</w:t>
            </w:r>
          </w:p>
        </w:tc>
        <w:tc>
          <w:tcPr>
            <w:tcW w:w="655" w:type="dxa"/>
            <w:shd w:val="clear" w:color="auto" w:fill="006FC0"/>
          </w:tcPr>
          <w:p>
            <w:pPr>
              <w:pStyle w:val="TableParagraph"/>
              <w:spacing w:before="10"/>
              <w:jc w:val="left"/>
              <w:rPr>
                <w:rFonts w:ascii="Times New Roman"/>
                <w:sz w:val="17"/>
              </w:rPr>
            </w:pPr>
          </w:p>
          <w:p>
            <w:pPr>
              <w:pStyle w:val="TableParagraph"/>
              <w:ind w:left="67"/>
              <w:jc w:val="left"/>
              <w:rPr>
                <w:sz w:val="18"/>
              </w:rPr>
            </w:pPr>
            <w:r>
              <w:rPr>
                <w:sz w:val="18"/>
              </w:rPr>
              <w:t>PAN</w:t>
            </w: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shd w:val="clear" w:color="auto" w:fill="E26C09"/>
          </w:tcPr>
          <w:p>
            <w:pPr>
              <w:pStyle w:val="TableParagraph"/>
              <w:spacing w:before="10"/>
              <w:jc w:val="left"/>
              <w:rPr>
                <w:rFonts w:ascii="Times New Roman"/>
                <w:sz w:val="17"/>
              </w:rPr>
            </w:pPr>
          </w:p>
          <w:p>
            <w:pPr>
              <w:pStyle w:val="TableParagraph"/>
              <w:ind w:left="64"/>
              <w:jc w:val="left"/>
              <w:rPr>
                <w:sz w:val="18"/>
              </w:rPr>
            </w:pPr>
            <w:r>
              <w:rPr>
                <w:sz w:val="18"/>
              </w:rPr>
              <w:t>CONVERGENCIA</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5" w:hRule="exact"/>
        </w:trPr>
        <w:tc>
          <w:tcPr>
            <w:tcW w:w="3882" w:type="dxa"/>
          </w:tcPr>
          <w:p>
            <w:pPr>
              <w:pStyle w:val="TableParagraph"/>
              <w:spacing w:before="97"/>
              <w:ind w:left="67"/>
              <w:jc w:val="left"/>
              <w:rPr>
                <w:b/>
                <w:sz w:val="18"/>
              </w:rPr>
            </w:pPr>
            <w:r>
              <w:rPr>
                <w:b/>
                <w:color w:val="333333"/>
                <w:sz w:val="18"/>
              </w:rPr>
              <w:t>METEPEC</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761"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655" w:type="dxa"/>
            <w:shd w:val="clear" w:color="auto" w:fill="006FC0"/>
          </w:tcPr>
          <w:p>
            <w:pPr>
              <w:pStyle w:val="TableParagraph"/>
              <w:jc w:val="left"/>
              <w:rPr>
                <w:rFonts w:ascii="Times New Roman"/>
                <w:sz w:val="18"/>
              </w:rPr>
            </w:pPr>
          </w:p>
          <w:p>
            <w:pPr>
              <w:pStyle w:val="TableParagraph"/>
              <w:spacing w:before="1"/>
              <w:ind w:left="67"/>
              <w:jc w:val="left"/>
              <w:rPr>
                <w:sz w:val="18"/>
              </w:rPr>
            </w:pPr>
            <w:r>
              <w:rPr>
                <w:sz w:val="18"/>
              </w:rPr>
              <w:t>PAN</w:t>
            </w:r>
          </w:p>
        </w:tc>
        <w:tc>
          <w:tcPr>
            <w:tcW w:w="1604" w:type="dxa"/>
            <w:shd w:val="clear" w:color="auto" w:fill="006FC0"/>
          </w:tcPr>
          <w:p>
            <w:pPr>
              <w:pStyle w:val="TableParagraph"/>
              <w:jc w:val="left"/>
              <w:rPr>
                <w:rFonts w:ascii="Times New Roman"/>
                <w:sz w:val="18"/>
              </w:rPr>
            </w:pPr>
          </w:p>
          <w:p>
            <w:pPr>
              <w:pStyle w:val="TableParagraph"/>
              <w:spacing w:before="1"/>
              <w:ind w:left="67"/>
              <w:jc w:val="left"/>
              <w:rPr>
                <w:sz w:val="18"/>
              </w:rPr>
            </w:pPr>
            <w:r>
              <w:rPr>
                <w:sz w:val="18"/>
              </w:rPr>
              <w:t>PAN</w:t>
            </w:r>
          </w:p>
        </w:tc>
        <w:tc>
          <w:tcPr>
            <w:tcW w:w="1733" w:type="dxa"/>
            <w:shd w:val="clear" w:color="auto" w:fill="FFFF00"/>
          </w:tcPr>
          <w:p>
            <w:pPr>
              <w:pStyle w:val="TableParagraph"/>
              <w:jc w:val="left"/>
              <w:rPr>
                <w:rFonts w:ascii="Times New Roman"/>
                <w:sz w:val="18"/>
              </w:rPr>
            </w:pPr>
          </w:p>
          <w:p>
            <w:pPr>
              <w:pStyle w:val="TableParagraph"/>
              <w:spacing w:before="1"/>
              <w:ind w:left="64"/>
              <w:jc w:val="left"/>
              <w:rPr>
                <w:sz w:val="18"/>
              </w:rPr>
            </w:pPr>
            <w:r>
              <w:rPr>
                <w:sz w:val="18"/>
              </w:rPr>
              <w:t>PRD-PT</w:t>
            </w:r>
          </w:p>
        </w:tc>
        <w:tc>
          <w:tcPr>
            <w:tcW w:w="2062" w:type="dxa"/>
          </w:tcPr>
          <w:p>
            <w:pPr>
              <w:pStyle w:val="TableParagraph"/>
              <w:ind w:left="67" w:right="295"/>
              <w:jc w:val="left"/>
              <w:rPr>
                <w:sz w:val="18"/>
              </w:rPr>
            </w:pPr>
            <w:r>
              <w:rPr>
                <w:sz w:val="18"/>
              </w:rPr>
              <w:t>PRI-PVEM-NA-PSD- PFD</w:t>
            </w:r>
          </w:p>
        </w:tc>
        <w:tc>
          <w:tcPr>
            <w:tcW w:w="1397" w:type="dxa"/>
          </w:tcPr>
          <w:p>
            <w:pPr>
              <w:pStyle w:val="TableParagraph"/>
              <w:jc w:val="left"/>
              <w:rPr>
                <w:rFonts w:ascii="Times New Roman"/>
                <w:sz w:val="18"/>
              </w:rPr>
            </w:pPr>
          </w:p>
          <w:p>
            <w:pPr>
              <w:pStyle w:val="TableParagraph"/>
              <w:spacing w:before="1"/>
              <w:ind w:left="67"/>
              <w:jc w:val="left"/>
              <w:rPr>
                <w:sz w:val="18"/>
              </w:rPr>
            </w:pPr>
            <w:r>
              <w:rPr>
                <w:sz w:val="18"/>
              </w:rPr>
              <w:t>PRI-PVEM-NA</w:t>
            </w:r>
          </w:p>
        </w:tc>
      </w:tr>
    </w:tbl>
    <w:p>
      <w:pPr>
        <w:spacing w:after="0"/>
        <w:jc w:val="left"/>
        <w:rPr>
          <w:sz w:val="18"/>
        </w:rPr>
        <w:sectPr>
          <w:pgSz w:w="15840" w:h="12240" w:orient="landscape"/>
          <w:pgMar w:header="0" w:footer="975" w:top="1140" w:bottom="1160" w:left="1300" w:right="900"/>
        </w:sectPr>
      </w:pPr>
    </w:p>
    <w:p>
      <w:pPr>
        <w:pStyle w:val="BodyText"/>
        <w:rPr>
          <w:rFonts w:ascii="Times New Roman"/>
          <w:sz w:val="20"/>
        </w:rPr>
      </w:pPr>
    </w:p>
    <w:p>
      <w:pPr>
        <w:pStyle w:val="BodyText"/>
        <w:spacing w:before="10"/>
        <w:rPr>
          <w:rFonts w:ascii="Times New Roman"/>
          <w:sz w:val="28"/>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82"/>
        <w:gridCol w:w="655"/>
        <w:gridCol w:w="761"/>
        <w:gridCol w:w="655"/>
        <w:gridCol w:w="655"/>
        <w:gridCol w:w="1604"/>
        <w:gridCol w:w="1733"/>
        <w:gridCol w:w="2062"/>
        <w:gridCol w:w="1397"/>
      </w:tblGrid>
      <w:tr>
        <w:trPr>
          <w:trHeight w:val="324" w:hRule="exact"/>
        </w:trPr>
        <w:tc>
          <w:tcPr>
            <w:tcW w:w="13404" w:type="dxa"/>
            <w:gridSpan w:val="9"/>
            <w:shd w:val="clear" w:color="auto" w:fill="92D050"/>
          </w:tcPr>
          <w:p>
            <w:pPr>
              <w:pStyle w:val="TableParagraph"/>
              <w:spacing w:before="102"/>
              <w:ind w:left="2018"/>
              <w:jc w:val="left"/>
              <w:rPr>
                <w:b/>
                <w:sz w:val="18"/>
              </w:rPr>
            </w:pPr>
            <w:r>
              <w:rPr>
                <w:b/>
                <w:sz w:val="18"/>
              </w:rPr>
              <w:t>Anexo 4. Alternancias políticas en los gobiernos municipales del Estado de México 1990-2015 (Continuación)</w:t>
            </w:r>
          </w:p>
        </w:tc>
      </w:tr>
      <w:tr>
        <w:trPr>
          <w:trHeight w:val="322" w:hRule="exact"/>
        </w:trPr>
        <w:tc>
          <w:tcPr>
            <w:tcW w:w="3882" w:type="dxa"/>
            <w:shd w:val="clear" w:color="auto" w:fill="92D050"/>
          </w:tcPr>
          <w:p>
            <w:pPr>
              <w:pStyle w:val="TableParagraph"/>
              <w:spacing w:before="102"/>
              <w:ind w:left="1497" w:right="1494"/>
              <w:rPr>
                <w:b/>
                <w:sz w:val="18"/>
              </w:rPr>
            </w:pPr>
            <w:r>
              <w:rPr>
                <w:b/>
                <w:sz w:val="18"/>
              </w:rPr>
              <w:t>Municipio</w:t>
            </w:r>
          </w:p>
        </w:tc>
        <w:tc>
          <w:tcPr>
            <w:tcW w:w="655" w:type="dxa"/>
            <w:shd w:val="clear" w:color="auto" w:fill="92D050"/>
          </w:tcPr>
          <w:p>
            <w:pPr>
              <w:pStyle w:val="TableParagraph"/>
              <w:spacing w:before="102"/>
              <w:ind w:left="122"/>
              <w:jc w:val="left"/>
              <w:rPr>
                <w:b/>
                <w:sz w:val="18"/>
              </w:rPr>
            </w:pPr>
            <w:r>
              <w:rPr>
                <w:b/>
                <w:sz w:val="18"/>
              </w:rPr>
              <w:t>1990</w:t>
            </w:r>
          </w:p>
        </w:tc>
        <w:tc>
          <w:tcPr>
            <w:tcW w:w="761" w:type="dxa"/>
            <w:shd w:val="clear" w:color="auto" w:fill="92D050"/>
          </w:tcPr>
          <w:p>
            <w:pPr>
              <w:pStyle w:val="TableParagraph"/>
              <w:spacing w:before="102"/>
              <w:ind w:left="175"/>
              <w:jc w:val="left"/>
              <w:rPr>
                <w:b/>
                <w:sz w:val="18"/>
              </w:rPr>
            </w:pPr>
            <w:r>
              <w:rPr>
                <w:b/>
                <w:sz w:val="18"/>
              </w:rPr>
              <w:t>1993</w:t>
            </w:r>
          </w:p>
        </w:tc>
        <w:tc>
          <w:tcPr>
            <w:tcW w:w="655" w:type="dxa"/>
            <w:shd w:val="clear" w:color="auto" w:fill="92D050"/>
          </w:tcPr>
          <w:p>
            <w:pPr>
              <w:pStyle w:val="TableParagraph"/>
              <w:spacing w:before="102"/>
              <w:ind w:left="122"/>
              <w:jc w:val="left"/>
              <w:rPr>
                <w:b/>
                <w:sz w:val="18"/>
              </w:rPr>
            </w:pPr>
            <w:r>
              <w:rPr>
                <w:b/>
                <w:sz w:val="18"/>
              </w:rPr>
              <w:t>1996</w:t>
            </w:r>
          </w:p>
        </w:tc>
        <w:tc>
          <w:tcPr>
            <w:tcW w:w="655" w:type="dxa"/>
            <w:shd w:val="clear" w:color="auto" w:fill="92D050"/>
          </w:tcPr>
          <w:p>
            <w:pPr>
              <w:pStyle w:val="TableParagraph"/>
              <w:spacing w:before="102"/>
              <w:ind w:left="124"/>
              <w:jc w:val="left"/>
              <w:rPr>
                <w:b/>
                <w:sz w:val="18"/>
              </w:rPr>
            </w:pPr>
            <w:r>
              <w:rPr>
                <w:b/>
                <w:sz w:val="18"/>
              </w:rPr>
              <w:t>2000</w:t>
            </w:r>
          </w:p>
        </w:tc>
        <w:tc>
          <w:tcPr>
            <w:tcW w:w="1604" w:type="dxa"/>
            <w:shd w:val="clear" w:color="auto" w:fill="92D050"/>
          </w:tcPr>
          <w:p>
            <w:pPr>
              <w:pStyle w:val="TableParagraph"/>
              <w:spacing w:before="102"/>
              <w:ind w:right="591"/>
              <w:jc w:val="right"/>
              <w:rPr>
                <w:b/>
                <w:sz w:val="18"/>
              </w:rPr>
            </w:pPr>
            <w:r>
              <w:rPr>
                <w:b/>
                <w:w w:val="95"/>
                <w:sz w:val="18"/>
              </w:rPr>
              <w:t>2003</w:t>
            </w:r>
          </w:p>
        </w:tc>
        <w:tc>
          <w:tcPr>
            <w:tcW w:w="1733" w:type="dxa"/>
            <w:shd w:val="clear" w:color="auto" w:fill="92D050"/>
          </w:tcPr>
          <w:p>
            <w:pPr>
              <w:pStyle w:val="TableParagraph"/>
              <w:spacing w:before="102"/>
              <w:ind w:left="641" w:right="641"/>
              <w:rPr>
                <w:b/>
                <w:sz w:val="18"/>
              </w:rPr>
            </w:pPr>
            <w:r>
              <w:rPr>
                <w:b/>
                <w:sz w:val="18"/>
              </w:rPr>
              <w:t>2006</w:t>
            </w:r>
          </w:p>
        </w:tc>
        <w:tc>
          <w:tcPr>
            <w:tcW w:w="2062" w:type="dxa"/>
            <w:shd w:val="clear" w:color="auto" w:fill="92D050"/>
          </w:tcPr>
          <w:p>
            <w:pPr>
              <w:pStyle w:val="TableParagraph"/>
              <w:spacing w:before="102"/>
              <w:ind w:left="809" w:right="802"/>
              <w:rPr>
                <w:b/>
                <w:sz w:val="18"/>
              </w:rPr>
            </w:pPr>
            <w:r>
              <w:rPr>
                <w:b/>
                <w:sz w:val="18"/>
              </w:rPr>
              <w:t>2009</w:t>
            </w:r>
          </w:p>
        </w:tc>
        <w:tc>
          <w:tcPr>
            <w:tcW w:w="1397" w:type="dxa"/>
            <w:shd w:val="clear" w:color="auto" w:fill="92D050"/>
          </w:tcPr>
          <w:p>
            <w:pPr>
              <w:pStyle w:val="TableParagraph"/>
              <w:spacing w:before="102"/>
              <w:ind w:left="475" w:right="471"/>
              <w:rPr>
                <w:b/>
                <w:sz w:val="18"/>
              </w:rPr>
            </w:pPr>
            <w:r>
              <w:rPr>
                <w:b/>
                <w:sz w:val="18"/>
              </w:rPr>
              <w:t>2013</w:t>
            </w:r>
          </w:p>
        </w:tc>
      </w:tr>
      <w:tr>
        <w:trPr>
          <w:trHeight w:val="298" w:hRule="exact"/>
        </w:trPr>
        <w:tc>
          <w:tcPr>
            <w:tcW w:w="3882" w:type="dxa"/>
          </w:tcPr>
          <w:p>
            <w:pPr>
              <w:pStyle w:val="TableParagraph"/>
              <w:spacing w:before="37"/>
              <w:ind w:left="67"/>
              <w:jc w:val="left"/>
              <w:rPr>
                <w:b/>
                <w:sz w:val="18"/>
              </w:rPr>
            </w:pPr>
            <w:r>
              <w:rPr>
                <w:b/>
                <w:color w:val="333333"/>
                <w:sz w:val="18"/>
              </w:rPr>
              <w:t>MEXICALTCINGO</w:t>
            </w:r>
          </w:p>
        </w:tc>
        <w:tc>
          <w:tcPr>
            <w:tcW w:w="655" w:type="dxa"/>
          </w:tcPr>
          <w:p>
            <w:pPr>
              <w:pStyle w:val="TableParagraph"/>
              <w:spacing w:before="78"/>
              <w:ind w:left="64"/>
              <w:jc w:val="left"/>
              <w:rPr>
                <w:sz w:val="18"/>
              </w:rPr>
            </w:pPr>
            <w:r>
              <w:rPr>
                <w:sz w:val="18"/>
              </w:rPr>
              <w:t>PRI</w:t>
            </w:r>
          </w:p>
        </w:tc>
        <w:tc>
          <w:tcPr>
            <w:tcW w:w="761" w:type="dxa"/>
          </w:tcPr>
          <w:p>
            <w:pPr>
              <w:pStyle w:val="TableParagraph"/>
              <w:spacing w:before="78"/>
              <w:ind w:left="67"/>
              <w:jc w:val="left"/>
              <w:rPr>
                <w:sz w:val="18"/>
              </w:rPr>
            </w:pPr>
            <w:r>
              <w:rPr>
                <w:sz w:val="18"/>
              </w:rPr>
              <w:t>PRI</w:t>
            </w:r>
          </w:p>
        </w:tc>
        <w:tc>
          <w:tcPr>
            <w:tcW w:w="655" w:type="dxa"/>
          </w:tcPr>
          <w:p>
            <w:pPr>
              <w:pStyle w:val="TableParagraph"/>
              <w:spacing w:before="78"/>
              <w:ind w:left="64"/>
              <w:jc w:val="left"/>
              <w:rPr>
                <w:sz w:val="18"/>
              </w:rPr>
            </w:pPr>
            <w:r>
              <w:rPr>
                <w:sz w:val="18"/>
              </w:rPr>
              <w:t>PRI</w:t>
            </w:r>
          </w:p>
        </w:tc>
        <w:tc>
          <w:tcPr>
            <w:tcW w:w="655" w:type="dxa"/>
            <w:shd w:val="clear" w:color="auto" w:fill="FFC000"/>
          </w:tcPr>
          <w:p>
            <w:pPr>
              <w:pStyle w:val="TableParagraph"/>
              <w:spacing w:before="78"/>
              <w:ind w:left="67"/>
              <w:jc w:val="left"/>
              <w:rPr>
                <w:sz w:val="18"/>
              </w:rPr>
            </w:pPr>
            <w:r>
              <w:rPr>
                <w:sz w:val="18"/>
              </w:rPr>
              <w:t>PT</w:t>
            </w:r>
          </w:p>
        </w:tc>
        <w:tc>
          <w:tcPr>
            <w:tcW w:w="1604" w:type="dxa"/>
          </w:tcPr>
          <w:p>
            <w:pPr>
              <w:pStyle w:val="TableParagraph"/>
              <w:spacing w:before="78"/>
              <w:ind w:left="67"/>
              <w:jc w:val="left"/>
              <w:rPr>
                <w:sz w:val="18"/>
              </w:rPr>
            </w:pPr>
            <w:r>
              <w:rPr>
                <w:sz w:val="18"/>
              </w:rPr>
              <w:t>PRI-PVEM</w:t>
            </w:r>
          </w:p>
        </w:tc>
        <w:tc>
          <w:tcPr>
            <w:tcW w:w="1733" w:type="dxa"/>
          </w:tcPr>
          <w:p>
            <w:pPr>
              <w:pStyle w:val="TableParagraph"/>
              <w:spacing w:before="78"/>
              <w:ind w:left="64"/>
              <w:jc w:val="left"/>
              <w:rPr>
                <w:sz w:val="18"/>
              </w:rPr>
            </w:pPr>
            <w:r>
              <w:rPr>
                <w:sz w:val="18"/>
              </w:rPr>
              <w:t>PRI-PVEM</w:t>
            </w:r>
          </w:p>
        </w:tc>
        <w:tc>
          <w:tcPr>
            <w:tcW w:w="2062" w:type="dxa"/>
            <w:shd w:val="clear" w:color="auto" w:fill="006FC0"/>
          </w:tcPr>
          <w:p>
            <w:pPr>
              <w:pStyle w:val="TableParagraph"/>
              <w:spacing w:before="78"/>
              <w:ind w:left="67"/>
              <w:jc w:val="left"/>
              <w:rPr>
                <w:sz w:val="18"/>
              </w:rPr>
            </w:pPr>
            <w:r>
              <w:rPr>
                <w:sz w:val="18"/>
              </w:rPr>
              <w:t>PAN-CONVERGENCIA</w:t>
            </w:r>
          </w:p>
        </w:tc>
        <w:tc>
          <w:tcPr>
            <w:tcW w:w="1397" w:type="dxa"/>
          </w:tcPr>
          <w:p>
            <w:pPr>
              <w:pStyle w:val="TableParagraph"/>
              <w:spacing w:before="78"/>
              <w:ind w:left="67"/>
              <w:jc w:val="left"/>
              <w:rPr>
                <w:sz w:val="18"/>
              </w:rPr>
            </w:pPr>
            <w:r>
              <w:rPr>
                <w:sz w:val="18"/>
              </w:rPr>
              <w:t>PRI-PVEM-NA</w:t>
            </w:r>
          </w:p>
        </w:tc>
      </w:tr>
      <w:tr>
        <w:trPr>
          <w:trHeight w:val="422" w:hRule="exact"/>
        </w:trPr>
        <w:tc>
          <w:tcPr>
            <w:tcW w:w="3882" w:type="dxa"/>
          </w:tcPr>
          <w:p>
            <w:pPr>
              <w:pStyle w:val="TableParagraph"/>
              <w:spacing w:before="97"/>
              <w:ind w:left="67"/>
              <w:jc w:val="left"/>
              <w:rPr>
                <w:b/>
                <w:sz w:val="18"/>
              </w:rPr>
            </w:pPr>
            <w:r>
              <w:rPr>
                <w:b/>
                <w:color w:val="333333"/>
                <w:sz w:val="18"/>
              </w:rPr>
              <w:t>MORELOS</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shd w:val="clear" w:color="auto" w:fill="E26C09"/>
          </w:tcPr>
          <w:p>
            <w:pPr>
              <w:pStyle w:val="TableParagraph"/>
              <w:spacing w:before="10"/>
              <w:jc w:val="left"/>
              <w:rPr>
                <w:rFonts w:ascii="Times New Roman"/>
                <w:sz w:val="17"/>
              </w:rPr>
            </w:pPr>
          </w:p>
          <w:p>
            <w:pPr>
              <w:pStyle w:val="TableParagraph"/>
              <w:ind w:left="64"/>
              <w:jc w:val="left"/>
              <w:rPr>
                <w:sz w:val="18"/>
              </w:rPr>
            </w:pPr>
            <w:r>
              <w:rPr>
                <w:sz w:val="18"/>
              </w:rPr>
              <w:t>C-PRI</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5" w:hRule="exact"/>
        </w:trPr>
        <w:tc>
          <w:tcPr>
            <w:tcW w:w="3882" w:type="dxa"/>
          </w:tcPr>
          <w:p>
            <w:pPr>
              <w:pStyle w:val="TableParagraph"/>
              <w:spacing w:before="100"/>
              <w:ind w:left="67"/>
              <w:jc w:val="left"/>
              <w:rPr>
                <w:b/>
                <w:sz w:val="18"/>
              </w:rPr>
            </w:pPr>
            <w:r>
              <w:rPr>
                <w:b/>
                <w:color w:val="333333"/>
                <w:sz w:val="18"/>
              </w:rPr>
              <w:t>NAUCALPAN DE JUAREZ</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761"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655" w:type="dxa"/>
            <w:shd w:val="clear" w:color="auto" w:fill="006FC0"/>
          </w:tcPr>
          <w:p>
            <w:pPr>
              <w:pStyle w:val="TableParagraph"/>
              <w:jc w:val="left"/>
              <w:rPr>
                <w:rFonts w:ascii="Times New Roman"/>
                <w:sz w:val="18"/>
              </w:rPr>
            </w:pPr>
          </w:p>
          <w:p>
            <w:pPr>
              <w:pStyle w:val="TableParagraph"/>
              <w:spacing w:before="1"/>
              <w:ind w:left="64"/>
              <w:jc w:val="left"/>
              <w:rPr>
                <w:sz w:val="18"/>
              </w:rPr>
            </w:pPr>
            <w:r>
              <w:rPr>
                <w:sz w:val="18"/>
              </w:rPr>
              <w:t>PAN</w:t>
            </w:r>
          </w:p>
        </w:tc>
        <w:tc>
          <w:tcPr>
            <w:tcW w:w="655" w:type="dxa"/>
            <w:shd w:val="clear" w:color="auto" w:fill="006FC0"/>
          </w:tcPr>
          <w:p>
            <w:pPr>
              <w:pStyle w:val="TableParagraph"/>
              <w:jc w:val="left"/>
              <w:rPr>
                <w:rFonts w:ascii="Times New Roman"/>
                <w:sz w:val="18"/>
              </w:rPr>
            </w:pPr>
          </w:p>
          <w:p>
            <w:pPr>
              <w:pStyle w:val="TableParagraph"/>
              <w:spacing w:before="1"/>
              <w:ind w:left="67"/>
              <w:jc w:val="left"/>
              <w:rPr>
                <w:sz w:val="18"/>
              </w:rPr>
            </w:pPr>
            <w:r>
              <w:rPr>
                <w:sz w:val="18"/>
              </w:rPr>
              <w:t>PAN</w:t>
            </w:r>
          </w:p>
        </w:tc>
        <w:tc>
          <w:tcPr>
            <w:tcW w:w="1604" w:type="dxa"/>
            <w:shd w:val="clear" w:color="auto" w:fill="006FC0"/>
          </w:tcPr>
          <w:p>
            <w:pPr>
              <w:pStyle w:val="TableParagraph"/>
              <w:jc w:val="left"/>
              <w:rPr>
                <w:rFonts w:ascii="Times New Roman"/>
                <w:sz w:val="18"/>
              </w:rPr>
            </w:pPr>
          </w:p>
          <w:p>
            <w:pPr>
              <w:pStyle w:val="TableParagraph"/>
              <w:spacing w:before="1"/>
              <w:ind w:left="67"/>
              <w:jc w:val="left"/>
              <w:rPr>
                <w:sz w:val="18"/>
              </w:rPr>
            </w:pPr>
            <w:r>
              <w:rPr>
                <w:sz w:val="18"/>
              </w:rPr>
              <w:t>PAN</w:t>
            </w:r>
          </w:p>
        </w:tc>
        <w:tc>
          <w:tcPr>
            <w:tcW w:w="1733" w:type="dxa"/>
            <w:shd w:val="clear" w:color="auto" w:fill="006FC0"/>
          </w:tcPr>
          <w:p>
            <w:pPr>
              <w:pStyle w:val="TableParagraph"/>
              <w:jc w:val="left"/>
              <w:rPr>
                <w:rFonts w:ascii="Times New Roman"/>
                <w:sz w:val="18"/>
              </w:rPr>
            </w:pPr>
          </w:p>
          <w:p>
            <w:pPr>
              <w:pStyle w:val="TableParagraph"/>
              <w:spacing w:before="1"/>
              <w:ind w:left="64"/>
              <w:jc w:val="left"/>
              <w:rPr>
                <w:sz w:val="18"/>
              </w:rPr>
            </w:pPr>
            <w:r>
              <w:rPr>
                <w:sz w:val="18"/>
              </w:rPr>
              <w:t>PAN</w:t>
            </w:r>
          </w:p>
        </w:tc>
        <w:tc>
          <w:tcPr>
            <w:tcW w:w="2062" w:type="dxa"/>
          </w:tcPr>
          <w:p>
            <w:pPr>
              <w:pStyle w:val="TableParagraph"/>
              <w:ind w:left="67" w:right="295"/>
              <w:jc w:val="left"/>
              <w:rPr>
                <w:sz w:val="18"/>
              </w:rPr>
            </w:pPr>
            <w:r>
              <w:rPr>
                <w:sz w:val="18"/>
              </w:rPr>
              <w:t>PRI-PVEM-NA-PSD- PFD</w:t>
            </w:r>
          </w:p>
        </w:tc>
        <w:tc>
          <w:tcPr>
            <w:tcW w:w="1397" w:type="dxa"/>
          </w:tcPr>
          <w:p>
            <w:pPr>
              <w:pStyle w:val="TableParagraph"/>
              <w:jc w:val="left"/>
              <w:rPr>
                <w:rFonts w:ascii="Times New Roman"/>
                <w:sz w:val="18"/>
              </w:rPr>
            </w:pPr>
          </w:p>
          <w:p>
            <w:pPr>
              <w:pStyle w:val="TableParagraph"/>
              <w:spacing w:before="1"/>
              <w:ind w:left="67"/>
              <w:jc w:val="left"/>
              <w:rPr>
                <w:sz w:val="18"/>
              </w:rPr>
            </w:pPr>
            <w:r>
              <w:rPr>
                <w:sz w:val="18"/>
              </w:rPr>
              <w:t>PRI-PVEM-NA</w:t>
            </w:r>
          </w:p>
        </w:tc>
      </w:tr>
      <w:tr>
        <w:trPr>
          <w:trHeight w:val="293" w:hRule="exact"/>
        </w:trPr>
        <w:tc>
          <w:tcPr>
            <w:tcW w:w="3882" w:type="dxa"/>
          </w:tcPr>
          <w:p>
            <w:pPr>
              <w:pStyle w:val="TableParagraph"/>
              <w:spacing w:before="32"/>
              <w:ind w:left="67"/>
              <w:jc w:val="left"/>
              <w:rPr>
                <w:b/>
                <w:sz w:val="18"/>
              </w:rPr>
            </w:pPr>
            <w:r>
              <w:rPr>
                <w:b/>
                <w:color w:val="333333"/>
                <w:sz w:val="18"/>
              </w:rPr>
              <w:t>NEXTLALPAN</w:t>
            </w:r>
          </w:p>
        </w:tc>
        <w:tc>
          <w:tcPr>
            <w:tcW w:w="655" w:type="dxa"/>
          </w:tcPr>
          <w:p>
            <w:pPr>
              <w:pStyle w:val="TableParagraph"/>
              <w:spacing w:before="76"/>
              <w:ind w:left="64"/>
              <w:jc w:val="left"/>
              <w:rPr>
                <w:sz w:val="18"/>
              </w:rPr>
            </w:pPr>
            <w:r>
              <w:rPr>
                <w:sz w:val="18"/>
              </w:rPr>
              <w:t>PRI</w:t>
            </w:r>
          </w:p>
        </w:tc>
        <w:tc>
          <w:tcPr>
            <w:tcW w:w="761" w:type="dxa"/>
          </w:tcPr>
          <w:p>
            <w:pPr>
              <w:pStyle w:val="TableParagraph"/>
              <w:spacing w:before="76"/>
              <w:ind w:left="67"/>
              <w:jc w:val="left"/>
              <w:rPr>
                <w:sz w:val="18"/>
              </w:rPr>
            </w:pPr>
            <w:r>
              <w:rPr>
                <w:sz w:val="18"/>
              </w:rPr>
              <w:t>PAN</w:t>
            </w:r>
          </w:p>
        </w:tc>
        <w:tc>
          <w:tcPr>
            <w:tcW w:w="655" w:type="dxa"/>
          </w:tcPr>
          <w:p>
            <w:pPr>
              <w:pStyle w:val="TableParagraph"/>
              <w:spacing w:before="76"/>
              <w:ind w:left="64"/>
              <w:jc w:val="left"/>
              <w:rPr>
                <w:sz w:val="18"/>
              </w:rPr>
            </w:pPr>
            <w:r>
              <w:rPr>
                <w:sz w:val="18"/>
              </w:rPr>
              <w:t>PRI</w:t>
            </w:r>
          </w:p>
        </w:tc>
        <w:tc>
          <w:tcPr>
            <w:tcW w:w="655" w:type="dxa"/>
          </w:tcPr>
          <w:p>
            <w:pPr>
              <w:pStyle w:val="TableParagraph"/>
              <w:spacing w:before="76"/>
              <w:ind w:left="67"/>
              <w:jc w:val="left"/>
              <w:rPr>
                <w:sz w:val="18"/>
              </w:rPr>
            </w:pPr>
            <w:r>
              <w:rPr>
                <w:sz w:val="18"/>
              </w:rPr>
              <w:t>PRI</w:t>
            </w:r>
          </w:p>
        </w:tc>
        <w:tc>
          <w:tcPr>
            <w:tcW w:w="1604" w:type="dxa"/>
          </w:tcPr>
          <w:p>
            <w:pPr>
              <w:pStyle w:val="TableParagraph"/>
              <w:spacing w:before="76"/>
              <w:ind w:left="67"/>
              <w:jc w:val="left"/>
              <w:rPr>
                <w:sz w:val="18"/>
              </w:rPr>
            </w:pPr>
            <w:r>
              <w:rPr>
                <w:sz w:val="18"/>
              </w:rPr>
              <w:t>PRI-PVEM</w:t>
            </w:r>
          </w:p>
        </w:tc>
        <w:tc>
          <w:tcPr>
            <w:tcW w:w="1733" w:type="dxa"/>
          </w:tcPr>
          <w:p>
            <w:pPr>
              <w:pStyle w:val="TableParagraph"/>
              <w:spacing w:before="76"/>
              <w:ind w:left="64"/>
              <w:jc w:val="left"/>
              <w:rPr>
                <w:sz w:val="18"/>
              </w:rPr>
            </w:pPr>
            <w:r>
              <w:rPr>
                <w:sz w:val="18"/>
              </w:rPr>
              <w:t>PRI-PVEM</w:t>
            </w:r>
          </w:p>
        </w:tc>
        <w:tc>
          <w:tcPr>
            <w:tcW w:w="2062" w:type="dxa"/>
            <w:shd w:val="clear" w:color="auto" w:fill="FFC000"/>
          </w:tcPr>
          <w:p>
            <w:pPr>
              <w:pStyle w:val="TableParagraph"/>
              <w:spacing w:before="76"/>
              <w:ind w:left="67"/>
              <w:jc w:val="left"/>
              <w:rPr>
                <w:sz w:val="18"/>
              </w:rPr>
            </w:pPr>
            <w:r>
              <w:rPr>
                <w:sz w:val="18"/>
              </w:rPr>
              <w:t>PT-CONVERGENCIA</w:t>
            </w:r>
          </w:p>
        </w:tc>
        <w:tc>
          <w:tcPr>
            <w:tcW w:w="1397" w:type="dxa"/>
            <w:shd w:val="clear" w:color="auto" w:fill="006FC0"/>
          </w:tcPr>
          <w:p>
            <w:pPr>
              <w:pStyle w:val="TableParagraph"/>
              <w:spacing w:before="76"/>
              <w:ind w:left="67"/>
              <w:jc w:val="left"/>
              <w:rPr>
                <w:sz w:val="18"/>
              </w:rPr>
            </w:pPr>
            <w:r>
              <w:rPr>
                <w:sz w:val="18"/>
              </w:rPr>
              <w:t>PAN</w:t>
            </w:r>
          </w:p>
        </w:tc>
      </w:tr>
      <w:tr>
        <w:trPr>
          <w:trHeight w:val="425" w:hRule="exact"/>
        </w:trPr>
        <w:tc>
          <w:tcPr>
            <w:tcW w:w="3882" w:type="dxa"/>
          </w:tcPr>
          <w:p>
            <w:pPr>
              <w:pStyle w:val="TableParagraph"/>
              <w:spacing w:before="98"/>
              <w:ind w:left="67"/>
              <w:jc w:val="left"/>
              <w:rPr>
                <w:b/>
                <w:sz w:val="18"/>
              </w:rPr>
            </w:pPr>
            <w:r>
              <w:rPr>
                <w:b/>
                <w:color w:val="333333"/>
                <w:sz w:val="18"/>
              </w:rPr>
              <w:t>NEZAHUALCOYOTL</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shd w:val="clear" w:color="auto" w:fill="FFFF00"/>
          </w:tcPr>
          <w:p>
            <w:pPr>
              <w:pStyle w:val="TableParagraph"/>
              <w:spacing w:before="10"/>
              <w:jc w:val="left"/>
              <w:rPr>
                <w:rFonts w:ascii="Times New Roman"/>
                <w:sz w:val="17"/>
              </w:rPr>
            </w:pPr>
          </w:p>
          <w:p>
            <w:pPr>
              <w:pStyle w:val="TableParagraph"/>
              <w:ind w:left="64"/>
              <w:jc w:val="left"/>
              <w:rPr>
                <w:sz w:val="18"/>
              </w:rPr>
            </w:pPr>
            <w:r>
              <w:rPr>
                <w:sz w:val="18"/>
              </w:rPr>
              <w:t>PRD</w:t>
            </w:r>
          </w:p>
        </w:tc>
        <w:tc>
          <w:tcPr>
            <w:tcW w:w="655" w:type="dxa"/>
            <w:shd w:val="clear" w:color="auto" w:fill="FFFF00"/>
          </w:tcPr>
          <w:p>
            <w:pPr>
              <w:pStyle w:val="TableParagraph"/>
              <w:spacing w:before="10"/>
              <w:jc w:val="left"/>
              <w:rPr>
                <w:rFonts w:ascii="Times New Roman"/>
                <w:sz w:val="17"/>
              </w:rPr>
            </w:pPr>
          </w:p>
          <w:p>
            <w:pPr>
              <w:pStyle w:val="TableParagraph"/>
              <w:ind w:left="67"/>
              <w:jc w:val="left"/>
              <w:rPr>
                <w:sz w:val="18"/>
              </w:rPr>
            </w:pPr>
            <w:r>
              <w:rPr>
                <w:sz w:val="18"/>
              </w:rPr>
              <w:t>PRD</w:t>
            </w:r>
          </w:p>
        </w:tc>
        <w:tc>
          <w:tcPr>
            <w:tcW w:w="1604" w:type="dxa"/>
            <w:shd w:val="clear" w:color="auto" w:fill="FFFF00"/>
          </w:tcPr>
          <w:p>
            <w:pPr>
              <w:pStyle w:val="TableParagraph"/>
              <w:spacing w:before="10"/>
              <w:jc w:val="left"/>
              <w:rPr>
                <w:rFonts w:ascii="Times New Roman"/>
                <w:sz w:val="17"/>
              </w:rPr>
            </w:pPr>
          </w:p>
          <w:p>
            <w:pPr>
              <w:pStyle w:val="TableParagraph"/>
              <w:ind w:left="67"/>
              <w:jc w:val="left"/>
              <w:rPr>
                <w:sz w:val="18"/>
              </w:rPr>
            </w:pPr>
            <w:r>
              <w:rPr>
                <w:sz w:val="18"/>
              </w:rPr>
              <w:t>PRD</w:t>
            </w:r>
          </w:p>
        </w:tc>
        <w:tc>
          <w:tcPr>
            <w:tcW w:w="1733" w:type="dxa"/>
            <w:shd w:val="clear" w:color="auto" w:fill="FFFF00"/>
          </w:tcPr>
          <w:p>
            <w:pPr>
              <w:pStyle w:val="TableParagraph"/>
              <w:spacing w:before="10"/>
              <w:jc w:val="left"/>
              <w:rPr>
                <w:rFonts w:ascii="Times New Roman"/>
                <w:sz w:val="17"/>
              </w:rPr>
            </w:pPr>
          </w:p>
          <w:p>
            <w:pPr>
              <w:pStyle w:val="TableParagraph"/>
              <w:ind w:left="64"/>
              <w:jc w:val="left"/>
              <w:rPr>
                <w:sz w:val="18"/>
              </w:rPr>
            </w:pPr>
            <w:r>
              <w:rPr>
                <w:sz w:val="18"/>
              </w:rPr>
              <w:t>PRD</w:t>
            </w:r>
          </w:p>
        </w:tc>
        <w:tc>
          <w:tcPr>
            <w:tcW w:w="2062" w:type="dxa"/>
          </w:tcPr>
          <w:p>
            <w:pPr>
              <w:pStyle w:val="TableParagraph"/>
              <w:ind w:left="67" w:right="295"/>
              <w:jc w:val="left"/>
              <w:rPr>
                <w:sz w:val="18"/>
              </w:rPr>
            </w:pPr>
            <w:r>
              <w:rPr>
                <w:sz w:val="18"/>
              </w:rPr>
              <w:t>PRI-PVEM-NA-PSD- PFD</w:t>
            </w:r>
          </w:p>
        </w:tc>
        <w:tc>
          <w:tcPr>
            <w:tcW w:w="1397" w:type="dxa"/>
            <w:shd w:val="clear" w:color="auto" w:fill="FFFF00"/>
          </w:tcPr>
          <w:p>
            <w:pPr>
              <w:pStyle w:val="TableParagraph"/>
              <w:spacing w:before="10"/>
              <w:jc w:val="left"/>
              <w:rPr>
                <w:rFonts w:ascii="Times New Roman"/>
                <w:sz w:val="17"/>
              </w:rPr>
            </w:pPr>
          </w:p>
          <w:p>
            <w:pPr>
              <w:pStyle w:val="TableParagraph"/>
              <w:ind w:left="67"/>
              <w:jc w:val="left"/>
              <w:rPr>
                <w:sz w:val="18"/>
              </w:rPr>
            </w:pPr>
            <w:r>
              <w:rPr>
                <w:sz w:val="18"/>
              </w:rPr>
              <w:t>PRD</w:t>
            </w:r>
          </w:p>
        </w:tc>
      </w:tr>
      <w:tr>
        <w:trPr>
          <w:trHeight w:val="424" w:hRule="exact"/>
        </w:trPr>
        <w:tc>
          <w:tcPr>
            <w:tcW w:w="3882" w:type="dxa"/>
          </w:tcPr>
          <w:p>
            <w:pPr>
              <w:pStyle w:val="TableParagraph"/>
              <w:spacing w:before="97"/>
              <w:ind w:left="67"/>
              <w:jc w:val="left"/>
              <w:rPr>
                <w:b/>
                <w:sz w:val="18"/>
              </w:rPr>
            </w:pPr>
            <w:r>
              <w:rPr>
                <w:b/>
                <w:color w:val="333333"/>
                <w:sz w:val="18"/>
              </w:rPr>
              <w:t>NICOLAS ROMERO</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shd w:val="clear" w:color="auto" w:fill="006FC0"/>
          </w:tcPr>
          <w:p>
            <w:pPr>
              <w:pStyle w:val="TableParagraph"/>
              <w:spacing w:before="10"/>
              <w:jc w:val="left"/>
              <w:rPr>
                <w:rFonts w:ascii="Times New Roman"/>
                <w:sz w:val="17"/>
              </w:rPr>
            </w:pPr>
          </w:p>
          <w:p>
            <w:pPr>
              <w:pStyle w:val="TableParagraph"/>
              <w:ind w:left="64"/>
              <w:jc w:val="left"/>
              <w:rPr>
                <w:sz w:val="18"/>
              </w:rPr>
            </w:pPr>
            <w:r>
              <w:rPr>
                <w:sz w:val="18"/>
              </w:rPr>
              <w:t>PAN</w:t>
            </w:r>
          </w:p>
        </w:tc>
        <w:tc>
          <w:tcPr>
            <w:tcW w:w="655" w:type="dxa"/>
            <w:shd w:val="clear" w:color="auto" w:fill="006FC0"/>
          </w:tcPr>
          <w:p>
            <w:pPr>
              <w:pStyle w:val="TableParagraph"/>
              <w:spacing w:before="10"/>
              <w:jc w:val="left"/>
              <w:rPr>
                <w:rFonts w:ascii="Times New Roman"/>
                <w:sz w:val="17"/>
              </w:rPr>
            </w:pPr>
          </w:p>
          <w:p>
            <w:pPr>
              <w:pStyle w:val="TableParagraph"/>
              <w:ind w:left="67"/>
              <w:jc w:val="left"/>
              <w:rPr>
                <w:sz w:val="18"/>
              </w:rPr>
            </w:pPr>
            <w:r>
              <w:rPr>
                <w:sz w:val="18"/>
              </w:rPr>
              <w:t>PAN</w:t>
            </w:r>
          </w:p>
        </w:tc>
        <w:tc>
          <w:tcPr>
            <w:tcW w:w="1604" w:type="dxa"/>
            <w:shd w:val="clear" w:color="auto" w:fill="006FC0"/>
          </w:tcPr>
          <w:p>
            <w:pPr>
              <w:pStyle w:val="TableParagraph"/>
              <w:spacing w:before="10"/>
              <w:jc w:val="left"/>
              <w:rPr>
                <w:rFonts w:ascii="Times New Roman"/>
                <w:sz w:val="17"/>
              </w:rPr>
            </w:pPr>
          </w:p>
          <w:p>
            <w:pPr>
              <w:pStyle w:val="TableParagraph"/>
              <w:ind w:left="67"/>
              <w:jc w:val="left"/>
              <w:rPr>
                <w:sz w:val="18"/>
              </w:rPr>
            </w:pPr>
            <w:r>
              <w:rPr>
                <w:sz w:val="18"/>
              </w:rPr>
              <w:t>PAN</w:t>
            </w:r>
          </w:p>
        </w:tc>
        <w:tc>
          <w:tcPr>
            <w:tcW w:w="1733" w:type="dxa"/>
          </w:tcPr>
          <w:p>
            <w:pPr>
              <w:pStyle w:val="TableParagraph"/>
              <w:spacing w:before="10"/>
              <w:jc w:val="left"/>
              <w:rPr>
                <w:rFonts w:ascii="Times New Roman"/>
                <w:sz w:val="17"/>
              </w:rPr>
            </w:pPr>
          </w:p>
          <w:p>
            <w:pPr>
              <w:pStyle w:val="TableParagraph"/>
              <w:ind w:left="64"/>
              <w:jc w:val="left"/>
              <w:rPr>
                <w:sz w:val="18"/>
              </w:rPr>
            </w:pPr>
            <w:r>
              <w:rPr>
                <w:sz w:val="18"/>
              </w:rPr>
              <w:t>PRI-PVEM</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292" w:hRule="exact"/>
        </w:trPr>
        <w:tc>
          <w:tcPr>
            <w:tcW w:w="3882" w:type="dxa"/>
          </w:tcPr>
          <w:p>
            <w:pPr>
              <w:pStyle w:val="TableParagraph"/>
              <w:spacing w:before="31"/>
              <w:ind w:left="67"/>
              <w:jc w:val="left"/>
              <w:rPr>
                <w:b/>
                <w:sz w:val="18"/>
              </w:rPr>
            </w:pPr>
            <w:r>
              <w:rPr>
                <w:b/>
                <w:color w:val="333333"/>
                <w:sz w:val="18"/>
              </w:rPr>
              <w:t>NOPALTEPEC</w:t>
            </w:r>
          </w:p>
        </w:tc>
        <w:tc>
          <w:tcPr>
            <w:tcW w:w="655" w:type="dxa"/>
          </w:tcPr>
          <w:p>
            <w:pPr>
              <w:pStyle w:val="TableParagraph"/>
              <w:spacing w:before="74"/>
              <w:ind w:left="64"/>
              <w:jc w:val="left"/>
              <w:rPr>
                <w:sz w:val="18"/>
              </w:rPr>
            </w:pPr>
            <w:r>
              <w:rPr>
                <w:sz w:val="18"/>
              </w:rPr>
              <w:t>PRI</w:t>
            </w:r>
          </w:p>
        </w:tc>
        <w:tc>
          <w:tcPr>
            <w:tcW w:w="761" w:type="dxa"/>
          </w:tcPr>
          <w:p>
            <w:pPr>
              <w:pStyle w:val="TableParagraph"/>
              <w:spacing w:before="74"/>
              <w:ind w:left="67"/>
              <w:jc w:val="left"/>
              <w:rPr>
                <w:sz w:val="18"/>
              </w:rPr>
            </w:pPr>
            <w:r>
              <w:rPr>
                <w:sz w:val="18"/>
              </w:rPr>
              <w:t>PRI</w:t>
            </w:r>
          </w:p>
        </w:tc>
        <w:tc>
          <w:tcPr>
            <w:tcW w:w="655" w:type="dxa"/>
          </w:tcPr>
          <w:p>
            <w:pPr>
              <w:pStyle w:val="TableParagraph"/>
              <w:spacing w:before="74"/>
              <w:ind w:left="64"/>
              <w:jc w:val="left"/>
              <w:rPr>
                <w:sz w:val="18"/>
              </w:rPr>
            </w:pPr>
            <w:r>
              <w:rPr>
                <w:sz w:val="18"/>
              </w:rPr>
              <w:t>PRI</w:t>
            </w:r>
          </w:p>
        </w:tc>
        <w:tc>
          <w:tcPr>
            <w:tcW w:w="655" w:type="dxa"/>
          </w:tcPr>
          <w:p>
            <w:pPr>
              <w:pStyle w:val="TableParagraph"/>
              <w:spacing w:before="74"/>
              <w:ind w:left="67"/>
              <w:jc w:val="left"/>
              <w:rPr>
                <w:sz w:val="18"/>
              </w:rPr>
            </w:pPr>
            <w:r>
              <w:rPr>
                <w:sz w:val="18"/>
              </w:rPr>
              <w:t>PRI</w:t>
            </w:r>
          </w:p>
        </w:tc>
        <w:tc>
          <w:tcPr>
            <w:tcW w:w="1604" w:type="dxa"/>
            <w:shd w:val="clear" w:color="auto" w:fill="006FC0"/>
          </w:tcPr>
          <w:p>
            <w:pPr>
              <w:pStyle w:val="TableParagraph"/>
              <w:spacing w:before="74"/>
              <w:ind w:left="67"/>
              <w:jc w:val="left"/>
              <w:rPr>
                <w:sz w:val="18"/>
              </w:rPr>
            </w:pPr>
            <w:r>
              <w:rPr>
                <w:sz w:val="18"/>
              </w:rPr>
              <w:t>PAN</w:t>
            </w:r>
          </w:p>
        </w:tc>
        <w:tc>
          <w:tcPr>
            <w:tcW w:w="1733" w:type="dxa"/>
            <w:shd w:val="clear" w:color="auto" w:fill="006FC0"/>
          </w:tcPr>
          <w:p>
            <w:pPr>
              <w:pStyle w:val="TableParagraph"/>
              <w:spacing w:before="74"/>
              <w:ind w:left="64"/>
              <w:jc w:val="left"/>
              <w:rPr>
                <w:sz w:val="18"/>
              </w:rPr>
            </w:pPr>
            <w:r>
              <w:rPr>
                <w:sz w:val="18"/>
              </w:rPr>
              <w:t>PAN</w:t>
            </w:r>
          </w:p>
        </w:tc>
        <w:tc>
          <w:tcPr>
            <w:tcW w:w="2062" w:type="dxa"/>
            <w:shd w:val="clear" w:color="auto" w:fill="006FC0"/>
          </w:tcPr>
          <w:p>
            <w:pPr>
              <w:pStyle w:val="TableParagraph"/>
              <w:spacing w:before="74"/>
              <w:ind w:left="67" w:right="295"/>
              <w:jc w:val="left"/>
              <w:rPr>
                <w:sz w:val="18"/>
              </w:rPr>
            </w:pPr>
            <w:r>
              <w:rPr>
                <w:sz w:val="18"/>
              </w:rPr>
              <w:t>PAN</w:t>
            </w:r>
          </w:p>
        </w:tc>
        <w:tc>
          <w:tcPr>
            <w:tcW w:w="1397" w:type="dxa"/>
          </w:tcPr>
          <w:p>
            <w:pPr>
              <w:pStyle w:val="TableParagraph"/>
              <w:spacing w:before="74"/>
              <w:ind w:left="67"/>
              <w:jc w:val="left"/>
              <w:rPr>
                <w:sz w:val="18"/>
              </w:rPr>
            </w:pPr>
            <w:r>
              <w:rPr>
                <w:sz w:val="18"/>
              </w:rPr>
              <w:t>PRI-PVEM-NA</w:t>
            </w:r>
          </w:p>
        </w:tc>
      </w:tr>
      <w:tr>
        <w:trPr>
          <w:trHeight w:val="295" w:hRule="exact"/>
        </w:trPr>
        <w:tc>
          <w:tcPr>
            <w:tcW w:w="3882" w:type="dxa"/>
          </w:tcPr>
          <w:p>
            <w:pPr>
              <w:pStyle w:val="TableParagraph"/>
              <w:spacing w:before="32"/>
              <w:ind w:left="67"/>
              <w:jc w:val="left"/>
              <w:rPr>
                <w:b/>
                <w:sz w:val="18"/>
              </w:rPr>
            </w:pPr>
            <w:r>
              <w:rPr>
                <w:b/>
                <w:color w:val="333333"/>
                <w:sz w:val="18"/>
              </w:rPr>
              <w:t>OCOYOACAC</w:t>
            </w:r>
          </w:p>
        </w:tc>
        <w:tc>
          <w:tcPr>
            <w:tcW w:w="655" w:type="dxa"/>
          </w:tcPr>
          <w:p>
            <w:pPr>
              <w:pStyle w:val="TableParagraph"/>
              <w:spacing w:before="76"/>
              <w:ind w:left="64"/>
              <w:jc w:val="left"/>
              <w:rPr>
                <w:sz w:val="18"/>
              </w:rPr>
            </w:pPr>
            <w:r>
              <w:rPr>
                <w:sz w:val="18"/>
              </w:rPr>
              <w:t>PRI</w:t>
            </w:r>
          </w:p>
        </w:tc>
        <w:tc>
          <w:tcPr>
            <w:tcW w:w="761" w:type="dxa"/>
          </w:tcPr>
          <w:p>
            <w:pPr>
              <w:pStyle w:val="TableParagraph"/>
              <w:spacing w:before="76"/>
              <w:ind w:left="67"/>
              <w:jc w:val="left"/>
              <w:rPr>
                <w:sz w:val="18"/>
              </w:rPr>
            </w:pPr>
            <w:r>
              <w:rPr>
                <w:sz w:val="18"/>
              </w:rPr>
              <w:t>PRI</w:t>
            </w:r>
          </w:p>
        </w:tc>
        <w:tc>
          <w:tcPr>
            <w:tcW w:w="655" w:type="dxa"/>
          </w:tcPr>
          <w:p>
            <w:pPr>
              <w:pStyle w:val="TableParagraph"/>
              <w:spacing w:before="76"/>
              <w:ind w:left="64"/>
              <w:jc w:val="left"/>
              <w:rPr>
                <w:sz w:val="18"/>
              </w:rPr>
            </w:pPr>
            <w:r>
              <w:rPr>
                <w:sz w:val="18"/>
              </w:rPr>
              <w:t>PRI</w:t>
            </w:r>
          </w:p>
        </w:tc>
        <w:tc>
          <w:tcPr>
            <w:tcW w:w="655" w:type="dxa"/>
            <w:shd w:val="clear" w:color="auto" w:fill="006FC0"/>
          </w:tcPr>
          <w:p>
            <w:pPr>
              <w:pStyle w:val="TableParagraph"/>
              <w:spacing w:before="76"/>
              <w:ind w:left="67"/>
              <w:jc w:val="left"/>
              <w:rPr>
                <w:sz w:val="18"/>
              </w:rPr>
            </w:pPr>
            <w:r>
              <w:rPr>
                <w:sz w:val="18"/>
              </w:rPr>
              <w:t>PAN</w:t>
            </w:r>
          </w:p>
        </w:tc>
        <w:tc>
          <w:tcPr>
            <w:tcW w:w="1604" w:type="dxa"/>
          </w:tcPr>
          <w:p>
            <w:pPr>
              <w:pStyle w:val="TableParagraph"/>
              <w:spacing w:before="76"/>
              <w:ind w:left="67"/>
              <w:jc w:val="left"/>
              <w:rPr>
                <w:sz w:val="18"/>
              </w:rPr>
            </w:pPr>
            <w:r>
              <w:rPr>
                <w:sz w:val="18"/>
              </w:rPr>
              <w:t>PRI-PVEM</w:t>
            </w:r>
          </w:p>
        </w:tc>
        <w:tc>
          <w:tcPr>
            <w:tcW w:w="1733" w:type="dxa"/>
          </w:tcPr>
          <w:p>
            <w:pPr>
              <w:pStyle w:val="TableParagraph"/>
              <w:spacing w:before="76"/>
              <w:ind w:left="64"/>
              <w:jc w:val="left"/>
              <w:rPr>
                <w:sz w:val="18"/>
              </w:rPr>
            </w:pPr>
            <w:r>
              <w:rPr>
                <w:sz w:val="18"/>
              </w:rPr>
              <w:t>PRI-PVEM</w:t>
            </w:r>
          </w:p>
        </w:tc>
        <w:tc>
          <w:tcPr>
            <w:tcW w:w="2062" w:type="dxa"/>
            <w:shd w:val="clear" w:color="auto" w:fill="FFFF00"/>
          </w:tcPr>
          <w:p>
            <w:pPr>
              <w:pStyle w:val="TableParagraph"/>
              <w:spacing w:before="76"/>
              <w:ind w:left="67" w:right="295"/>
              <w:jc w:val="left"/>
              <w:rPr>
                <w:sz w:val="18"/>
              </w:rPr>
            </w:pPr>
            <w:r>
              <w:rPr>
                <w:sz w:val="18"/>
              </w:rPr>
              <w:t>PRD</w:t>
            </w:r>
          </w:p>
        </w:tc>
        <w:tc>
          <w:tcPr>
            <w:tcW w:w="1397" w:type="dxa"/>
          </w:tcPr>
          <w:p>
            <w:pPr>
              <w:pStyle w:val="TableParagraph"/>
              <w:spacing w:before="76"/>
              <w:ind w:left="67"/>
              <w:jc w:val="left"/>
              <w:rPr>
                <w:sz w:val="18"/>
              </w:rPr>
            </w:pPr>
            <w:r>
              <w:rPr>
                <w:sz w:val="18"/>
              </w:rPr>
              <w:t>PRI-PVEM-NA</w:t>
            </w:r>
          </w:p>
        </w:tc>
      </w:tr>
      <w:tr>
        <w:trPr>
          <w:trHeight w:val="422" w:hRule="exact"/>
        </w:trPr>
        <w:tc>
          <w:tcPr>
            <w:tcW w:w="3882" w:type="dxa"/>
          </w:tcPr>
          <w:p>
            <w:pPr>
              <w:pStyle w:val="TableParagraph"/>
              <w:spacing w:before="97"/>
              <w:ind w:left="67"/>
              <w:jc w:val="left"/>
              <w:rPr>
                <w:b/>
                <w:sz w:val="18"/>
              </w:rPr>
            </w:pPr>
            <w:r>
              <w:rPr>
                <w:b/>
                <w:color w:val="333333"/>
                <w:sz w:val="18"/>
              </w:rPr>
              <w:t>OCUILAN</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shd w:val="clear" w:color="auto" w:fill="FFFF00"/>
          </w:tcPr>
          <w:p>
            <w:pPr>
              <w:pStyle w:val="TableParagraph"/>
              <w:spacing w:before="10"/>
              <w:jc w:val="left"/>
              <w:rPr>
                <w:rFonts w:ascii="Times New Roman"/>
                <w:sz w:val="17"/>
              </w:rPr>
            </w:pPr>
          </w:p>
          <w:p>
            <w:pPr>
              <w:pStyle w:val="TableParagraph"/>
              <w:ind w:left="64"/>
              <w:jc w:val="left"/>
              <w:rPr>
                <w:sz w:val="18"/>
              </w:rPr>
            </w:pPr>
            <w:r>
              <w:rPr>
                <w:sz w:val="18"/>
              </w:rPr>
              <w:t>PRD-PT</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5" w:hRule="exact"/>
        </w:trPr>
        <w:tc>
          <w:tcPr>
            <w:tcW w:w="3882" w:type="dxa"/>
          </w:tcPr>
          <w:p>
            <w:pPr>
              <w:pStyle w:val="TableParagraph"/>
              <w:spacing w:before="97"/>
              <w:ind w:left="67"/>
              <w:jc w:val="left"/>
              <w:rPr>
                <w:b/>
                <w:sz w:val="18"/>
              </w:rPr>
            </w:pPr>
            <w:r>
              <w:rPr>
                <w:b/>
                <w:color w:val="333333"/>
                <w:sz w:val="18"/>
              </w:rPr>
              <w:t>OTUMBA</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761"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655" w:type="dxa"/>
            <w:shd w:val="clear" w:color="auto" w:fill="FFFF00"/>
          </w:tcPr>
          <w:p>
            <w:pPr>
              <w:pStyle w:val="TableParagraph"/>
              <w:jc w:val="left"/>
              <w:rPr>
                <w:rFonts w:ascii="Times New Roman"/>
                <w:sz w:val="18"/>
              </w:rPr>
            </w:pPr>
          </w:p>
          <w:p>
            <w:pPr>
              <w:pStyle w:val="TableParagraph"/>
              <w:spacing w:before="1"/>
              <w:ind w:left="67"/>
              <w:jc w:val="left"/>
              <w:rPr>
                <w:sz w:val="18"/>
              </w:rPr>
            </w:pPr>
            <w:r>
              <w:rPr>
                <w:sz w:val="18"/>
              </w:rPr>
              <w:t>PRD</w:t>
            </w:r>
          </w:p>
        </w:tc>
        <w:tc>
          <w:tcPr>
            <w:tcW w:w="1604" w:type="dxa"/>
          </w:tcPr>
          <w:p>
            <w:pPr>
              <w:pStyle w:val="TableParagraph"/>
              <w:jc w:val="left"/>
              <w:rPr>
                <w:rFonts w:ascii="Times New Roman"/>
                <w:sz w:val="18"/>
              </w:rPr>
            </w:pPr>
          </w:p>
          <w:p>
            <w:pPr>
              <w:pStyle w:val="TableParagraph"/>
              <w:spacing w:before="1"/>
              <w:ind w:left="67"/>
              <w:jc w:val="left"/>
              <w:rPr>
                <w:sz w:val="18"/>
              </w:rPr>
            </w:pPr>
            <w:r>
              <w:rPr>
                <w:sz w:val="18"/>
              </w:rPr>
              <w:t>PRI-PVEM</w:t>
            </w:r>
          </w:p>
        </w:tc>
        <w:tc>
          <w:tcPr>
            <w:tcW w:w="1733" w:type="dxa"/>
          </w:tcPr>
          <w:p>
            <w:pPr>
              <w:pStyle w:val="TableParagraph"/>
              <w:jc w:val="left"/>
              <w:rPr>
                <w:rFonts w:ascii="Times New Roman"/>
                <w:sz w:val="18"/>
              </w:rPr>
            </w:pPr>
          </w:p>
          <w:p>
            <w:pPr>
              <w:pStyle w:val="TableParagraph"/>
              <w:spacing w:before="1"/>
              <w:ind w:left="64"/>
              <w:jc w:val="left"/>
              <w:rPr>
                <w:sz w:val="18"/>
              </w:rPr>
            </w:pPr>
            <w:r>
              <w:rPr>
                <w:sz w:val="18"/>
              </w:rPr>
              <w:t>PRI-PVEM</w:t>
            </w:r>
          </w:p>
        </w:tc>
        <w:tc>
          <w:tcPr>
            <w:tcW w:w="2062" w:type="dxa"/>
          </w:tcPr>
          <w:p>
            <w:pPr>
              <w:pStyle w:val="TableParagraph"/>
              <w:ind w:left="67" w:right="295"/>
              <w:jc w:val="left"/>
              <w:rPr>
                <w:sz w:val="18"/>
              </w:rPr>
            </w:pPr>
            <w:r>
              <w:rPr>
                <w:sz w:val="18"/>
              </w:rPr>
              <w:t>PRI-PVEM-NA-PSD- PFD</w:t>
            </w:r>
          </w:p>
        </w:tc>
        <w:tc>
          <w:tcPr>
            <w:tcW w:w="1397" w:type="dxa"/>
            <w:shd w:val="clear" w:color="auto" w:fill="006FC0"/>
          </w:tcPr>
          <w:p>
            <w:pPr>
              <w:pStyle w:val="TableParagraph"/>
              <w:jc w:val="left"/>
              <w:rPr>
                <w:rFonts w:ascii="Times New Roman"/>
                <w:sz w:val="18"/>
              </w:rPr>
            </w:pPr>
          </w:p>
          <w:p>
            <w:pPr>
              <w:pStyle w:val="TableParagraph"/>
              <w:spacing w:before="1"/>
              <w:ind w:left="67"/>
              <w:jc w:val="left"/>
              <w:rPr>
                <w:sz w:val="18"/>
              </w:rPr>
            </w:pPr>
            <w:r>
              <w:rPr>
                <w:sz w:val="18"/>
              </w:rPr>
              <w:t>PAN</w:t>
            </w:r>
          </w:p>
        </w:tc>
      </w:tr>
      <w:tr>
        <w:trPr>
          <w:trHeight w:val="422" w:hRule="exact"/>
        </w:trPr>
        <w:tc>
          <w:tcPr>
            <w:tcW w:w="3882" w:type="dxa"/>
          </w:tcPr>
          <w:p>
            <w:pPr>
              <w:pStyle w:val="TableParagraph"/>
              <w:spacing w:before="97"/>
              <w:ind w:left="67"/>
              <w:jc w:val="left"/>
              <w:rPr>
                <w:b/>
                <w:sz w:val="18"/>
              </w:rPr>
            </w:pPr>
            <w:r>
              <w:rPr>
                <w:b/>
                <w:color w:val="333333"/>
                <w:sz w:val="18"/>
              </w:rPr>
              <w:t>OTZOLOAPAN</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shd w:val="clear" w:color="auto" w:fill="FFFF00"/>
          </w:tcPr>
          <w:p>
            <w:pPr>
              <w:pStyle w:val="TableParagraph"/>
              <w:spacing w:before="10"/>
              <w:jc w:val="left"/>
              <w:rPr>
                <w:rFonts w:ascii="Times New Roman"/>
                <w:sz w:val="17"/>
              </w:rPr>
            </w:pPr>
          </w:p>
          <w:p>
            <w:pPr>
              <w:pStyle w:val="TableParagraph"/>
              <w:ind w:left="64"/>
              <w:jc w:val="left"/>
              <w:rPr>
                <w:sz w:val="18"/>
              </w:rPr>
            </w:pPr>
            <w:r>
              <w:rPr>
                <w:sz w:val="18"/>
              </w:rPr>
              <w:t>PRD</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shd w:val="clear" w:color="auto" w:fill="FFFF00"/>
          </w:tcPr>
          <w:p>
            <w:pPr>
              <w:pStyle w:val="TableParagraph"/>
              <w:spacing w:before="10"/>
              <w:jc w:val="left"/>
              <w:rPr>
                <w:rFonts w:ascii="Times New Roman"/>
                <w:sz w:val="17"/>
              </w:rPr>
            </w:pPr>
          </w:p>
          <w:p>
            <w:pPr>
              <w:pStyle w:val="TableParagraph"/>
              <w:ind w:left="64"/>
              <w:jc w:val="left"/>
              <w:rPr>
                <w:sz w:val="18"/>
              </w:rPr>
            </w:pPr>
            <w:r>
              <w:rPr>
                <w:sz w:val="18"/>
              </w:rPr>
              <w:t>PRD-PT</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5" w:hRule="exact"/>
        </w:trPr>
        <w:tc>
          <w:tcPr>
            <w:tcW w:w="3882" w:type="dxa"/>
          </w:tcPr>
          <w:p>
            <w:pPr>
              <w:pStyle w:val="TableParagraph"/>
              <w:spacing w:before="100"/>
              <w:ind w:left="67"/>
              <w:jc w:val="left"/>
              <w:rPr>
                <w:b/>
                <w:sz w:val="18"/>
              </w:rPr>
            </w:pPr>
            <w:r>
              <w:rPr>
                <w:b/>
                <w:color w:val="333333"/>
                <w:sz w:val="18"/>
              </w:rPr>
              <w:t>OTZOLOTEPEC</w:t>
            </w:r>
          </w:p>
        </w:tc>
        <w:tc>
          <w:tcPr>
            <w:tcW w:w="655" w:type="dxa"/>
          </w:tcPr>
          <w:p>
            <w:pPr>
              <w:pStyle w:val="TableParagraph"/>
              <w:spacing w:before="1"/>
              <w:jc w:val="left"/>
              <w:rPr>
                <w:rFonts w:ascii="Times New Roman"/>
                <w:sz w:val="18"/>
              </w:rPr>
            </w:pPr>
          </w:p>
          <w:p>
            <w:pPr>
              <w:pStyle w:val="TableParagraph"/>
              <w:ind w:left="64"/>
              <w:jc w:val="left"/>
              <w:rPr>
                <w:sz w:val="18"/>
              </w:rPr>
            </w:pPr>
            <w:r>
              <w:rPr>
                <w:sz w:val="18"/>
              </w:rPr>
              <w:t>PRI</w:t>
            </w:r>
          </w:p>
        </w:tc>
        <w:tc>
          <w:tcPr>
            <w:tcW w:w="761" w:type="dxa"/>
          </w:tcPr>
          <w:p>
            <w:pPr>
              <w:pStyle w:val="TableParagraph"/>
              <w:spacing w:before="1"/>
              <w:jc w:val="left"/>
              <w:rPr>
                <w:rFonts w:ascii="Times New Roman"/>
                <w:sz w:val="18"/>
              </w:rPr>
            </w:pPr>
          </w:p>
          <w:p>
            <w:pPr>
              <w:pStyle w:val="TableParagraph"/>
              <w:ind w:left="67"/>
              <w:jc w:val="left"/>
              <w:rPr>
                <w:sz w:val="18"/>
              </w:rPr>
            </w:pPr>
            <w:r>
              <w:rPr>
                <w:sz w:val="18"/>
              </w:rPr>
              <w:t>PRI</w:t>
            </w:r>
          </w:p>
        </w:tc>
        <w:tc>
          <w:tcPr>
            <w:tcW w:w="655" w:type="dxa"/>
            <w:shd w:val="clear" w:color="auto" w:fill="FFFF00"/>
          </w:tcPr>
          <w:p>
            <w:pPr>
              <w:pStyle w:val="TableParagraph"/>
              <w:spacing w:before="1"/>
              <w:jc w:val="left"/>
              <w:rPr>
                <w:rFonts w:ascii="Times New Roman"/>
                <w:sz w:val="18"/>
              </w:rPr>
            </w:pPr>
          </w:p>
          <w:p>
            <w:pPr>
              <w:pStyle w:val="TableParagraph"/>
              <w:ind w:left="64"/>
              <w:jc w:val="left"/>
              <w:rPr>
                <w:sz w:val="18"/>
              </w:rPr>
            </w:pPr>
            <w:r>
              <w:rPr>
                <w:sz w:val="18"/>
              </w:rPr>
              <w:t>PRD</w:t>
            </w:r>
          </w:p>
        </w:tc>
        <w:tc>
          <w:tcPr>
            <w:tcW w:w="655" w:type="dxa"/>
            <w:shd w:val="clear" w:color="auto" w:fill="FFFF00"/>
          </w:tcPr>
          <w:p>
            <w:pPr>
              <w:pStyle w:val="TableParagraph"/>
              <w:spacing w:before="1"/>
              <w:jc w:val="left"/>
              <w:rPr>
                <w:rFonts w:ascii="Times New Roman"/>
                <w:sz w:val="18"/>
              </w:rPr>
            </w:pPr>
          </w:p>
          <w:p>
            <w:pPr>
              <w:pStyle w:val="TableParagraph"/>
              <w:ind w:left="67"/>
              <w:jc w:val="left"/>
              <w:rPr>
                <w:sz w:val="18"/>
              </w:rPr>
            </w:pPr>
            <w:r>
              <w:rPr>
                <w:sz w:val="18"/>
              </w:rPr>
              <w:t>PRD</w:t>
            </w:r>
          </w:p>
        </w:tc>
        <w:tc>
          <w:tcPr>
            <w:tcW w:w="1604" w:type="dxa"/>
          </w:tcPr>
          <w:p>
            <w:pPr>
              <w:pStyle w:val="TableParagraph"/>
              <w:spacing w:before="1"/>
              <w:jc w:val="left"/>
              <w:rPr>
                <w:rFonts w:ascii="Times New Roman"/>
                <w:sz w:val="18"/>
              </w:rPr>
            </w:pPr>
          </w:p>
          <w:p>
            <w:pPr>
              <w:pStyle w:val="TableParagraph"/>
              <w:ind w:left="67"/>
              <w:jc w:val="left"/>
              <w:rPr>
                <w:sz w:val="18"/>
              </w:rPr>
            </w:pPr>
            <w:r>
              <w:rPr>
                <w:sz w:val="18"/>
              </w:rPr>
              <w:t>PRI-PVEM</w:t>
            </w:r>
          </w:p>
        </w:tc>
        <w:tc>
          <w:tcPr>
            <w:tcW w:w="1733" w:type="dxa"/>
            <w:shd w:val="clear" w:color="auto" w:fill="006FC0"/>
          </w:tcPr>
          <w:p>
            <w:pPr>
              <w:pStyle w:val="TableParagraph"/>
              <w:spacing w:before="1"/>
              <w:jc w:val="left"/>
              <w:rPr>
                <w:rFonts w:ascii="Times New Roman"/>
                <w:sz w:val="18"/>
              </w:rPr>
            </w:pPr>
          </w:p>
          <w:p>
            <w:pPr>
              <w:pStyle w:val="TableParagraph"/>
              <w:ind w:left="64"/>
              <w:jc w:val="left"/>
              <w:rPr>
                <w:sz w:val="18"/>
              </w:rPr>
            </w:pPr>
            <w:r>
              <w:rPr>
                <w:sz w:val="18"/>
              </w:rPr>
              <w:t>PAN</w:t>
            </w:r>
          </w:p>
        </w:tc>
        <w:tc>
          <w:tcPr>
            <w:tcW w:w="2062" w:type="dxa"/>
          </w:tcPr>
          <w:p>
            <w:pPr>
              <w:pStyle w:val="TableParagraph"/>
              <w:spacing w:before="2"/>
              <w:ind w:left="67" w:right="295"/>
              <w:jc w:val="left"/>
              <w:rPr>
                <w:sz w:val="18"/>
              </w:rPr>
            </w:pPr>
            <w:r>
              <w:rPr>
                <w:sz w:val="18"/>
              </w:rPr>
              <w:t>PRI-PVEM-NA-PSD- PFD</w:t>
            </w:r>
          </w:p>
        </w:tc>
        <w:tc>
          <w:tcPr>
            <w:tcW w:w="1397" w:type="dxa"/>
          </w:tcPr>
          <w:p>
            <w:pPr>
              <w:pStyle w:val="TableParagraph"/>
              <w:spacing w:before="1"/>
              <w:jc w:val="left"/>
              <w:rPr>
                <w:rFonts w:ascii="Times New Roman"/>
                <w:sz w:val="18"/>
              </w:rPr>
            </w:pPr>
          </w:p>
          <w:p>
            <w:pPr>
              <w:pStyle w:val="TableParagraph"/>
              <w:ind w:left="67"/>
              <w:jc w:val="left"/>
              <w:rPr>
                <w:sz w:val="18"/>
              </w:rPr>
            </w:pPr>
            <w:r>
              <w:rPr>
                <w:sz w:val="18"/>
              </w:rPr>
              <w:t>PRI-PVEM-NA</w:t>
            </w:r>
          </w:p>
        </w:tc>
      </w:tr>
      <w:tr>
        <w:trPr>
          <w:trHeight w:val="425" w:hRule="exact"/>
        </w:trPr>
        <w:tc>
          <w:tcPr>
            <w:tcW w:w="3882" w:type="dxa"/>
          </w:tcPr>
          <w:p>
            <w:pPr>
              <w:pStyle w:val="TableParagraph"/>
              <w:spacing w:before="97"/>
              <w:ind w:left="67"/>
              <w:jc w:val="left"/>
              <w:rPr>
                <w:b/>
                <w:sz w:val="18"/>
              </w:rPr>
            </w:pPr>
            <w:r>
              <w:rPr>
                <w:b/>
                <w:color w:val="333333"/>
                <w:sz w:val="18"/>
              </w:rPr>
              <w:t>OZUMBA</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761"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655" w:type="dxa"/>
            <w:shd w:val="clear" w:color="auto" w:fill="FFFF00"/>
          </w:tcPr>
          <w:p>
            <w:pPr>
              <w:pStyle w:val="TableParagraph"/>
              <w:jc w:val="left"/>
              <w:rPr>
                <w:rFonts w:ascii="Times New Roman"/>
                <w:sz w:val="18"/>
              </w:rPr>
            </w:pPr>
          </w:p>
          <w:p>
            <w:pPr>
              <w:pStyle w:val="TableParagraph"/>
              <w:spacing w:before="1"/>
              <w:ind w:left="64"/>
              <w:jc w:val="left"/>
              <w:rPr>
                <w:sz w:val="18"/>
              </w:rPr>
            </w:pPr>
            <w:r>
              <w:rPr>
                <w:sz w:val="18"/>
              </w:rPr>
              <w:t>PRD</w:t>
            </w:r>
          </w:p>
        </w:tc>
        <w:tc>
          <w:tcPr>
            <w:tcW w:w="655"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1604" w:type="dxa"/>
          </w:tcPr>
          <w:p>
            <w:pPr>
              <w:pStyle w:val="TableParagraph"/>
              <w:jc w:val="left"/>
              <w:rPr>
                <w:rFonts w:ascii="Times New Roman"/>
                <w:sz w:val="18"/>
              </w:rPr>
            </w:pPr>
          </w:p>
          <w:p>
            <w:pPr>
              <w:pStyle w:val="TableParagraph"/>
              <w:spacing w:before="1"/>
              <w:ind w:right="615"/>
              <w:jc w:val="right"/>
              <w:rPr>
                <w:sz w:val="18"/>
              </w:rPr>
            </w:pPr>
            <w:r>
              <w:rPr>
                <w:color w:val="FF0000"/>
                <w:sz w:val="18"/>
              </w:rPr>
              <w:t>PAS</w:t>
            </w:r>
          </w:p>
        </w:tc>
        <w:tc>
          <w:tcPr>
            <w:tcW w:w="1733" w:type="dxa"/>
            <w:shd w:val="clear" w:color="auto" w:fill="FFC000"/>
          </w:tcPr>
          <w:p>
            <w:pPr>
              <w:pStyle w:val="TableParagraph"/>
              <w:jc w:val="left"/>
              <w:rPr>
                <w:rFonts w:ascii="Times New Roman"/>
                <w:sz w:val="18"/>
              </w:rPr>
            </w:pPr>
          </w:p>
          <w:p>
            <w:pPr>
              <w:pStyle w:val="TableParagraph"/>
              <w:spacing w:before="1"/>
              <w:ind w:left="64"/>
              <w:jc w:val="left"/>
              <w:rPr>
                <w:sz w:val="18"/>
              </w:rPr>
            </w:pPr>
            <w:r>
              <w:rPr>
                <w:sz w:val="18"/>
              </w:rPr>
              <w:t>PT</w:t>
            </w:r>
          </w:p>
        </w:tc>
        <w:tc>
          <w:tcPr>
            <w:tcW w:w="2062" w:type="dxa"/>
          </w:tcPr>
          <w:p>
            <w:pPr>
              <w:pStyle w:val="TableParagraph"/>
              <w:ind w:left="67" w:right="295"/>
              <w:jc w:val="left"/>
              <w:rPr>
                <w:sz w:val="18"/>
              </w:rPr>
            </w:pPr>
            <w:r>
              <w:rPr>
                <w:sz w:val="18"/>
              </w:rPr>
              <w:t>PRI-PVEM-NA-PSD- PFD</w:t>
            </w:r>
          </w:p>
        </w:tc>
        <w:tc>
          <w:tcPr>
            <w:tcW w:w="1397" w:type="dxa"/>
          </w:tcPr>
          <w:p>
            <w:pPr>
              <w:pStyle w:val="TableParagraph"/>
              <w:jc w:val="left"/>
              <w:rPr>
                <w:rFonts w:ascii="Times New Roman"/>
                <w:sz w:val="18"/>
              </w:rPr>
            </w:pPr>
          </w:p>
          <w:p>
            <w:pPr>
              <w:pStyle w:val="TableParagraph"/>
              <w:spacing w:before="1"/>
              <w:ind w:left="67"/>
              <w:jc w:val="left"/>
              <w:rPr>
                <w:sz w:val="18"/>
              </w:rPr>
            </w:pPr>
            <w:r>
              <w:rPr>
                <w:sz w:val="18"/>
              </w:rPr>
              <w:t>PRI-PVEM-NA</w:t>
            </w:r>
          </w:p>
        </w:tc>
      </w:tr>
      <w:tr>
        <w:trPr>
          <w:trHeight w:val="422" w:hRule="exact"/>
        </w:trPr>
        <w:tc>
          <w:tcPr>
            <w:tcW w:w="3882" w:type="dxa"/>
          </w:tcPr>
          <w:p>
            <w:pPr>
              <w:pStyle w:val="TableParagraph"/>
              <w:spacing w:before="97"/>
              <w:ind w:left="67"/>
              <w:jc w:val="left"/>
              <w:rPr>
                <w:b/>
                <w:sz w:val="18"/>
              </w:rPr>
            </w:pPr>
            <w:r>
              <w:rPr>
                <w:b/>
                <w:color w:val="333333"/>
                <w:sz w:val="18"/>
              </w:rPr>
              <w:t>PAPALOTLA</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shd w:val="clear" w:color="auto" w:fill="006FC0"/>
          </w:tcPr>
          <w:p>
            <w:pPr>
              <w:pStyle w:val="TableParagraph"/>
              <w:spacing w:before="10"/>
              <w:jc w:val="left"/>
              <w:rPr>
                <w:rFonts w:ascii="Times New Roman"/>
                <w:sz w:val="17"/>
              </w:rPr>
            </w:pPr>
          </w:p>
          <w:p>
            <w:pPr>
              <w:pStyle w:val="TableParagraph"/>
              <w:ind w:left="64"/>
              <w:jc w:val="left"/>
              <w:rPr>
                <w:sz w:val="18"/>
              </w:rPr>
            </w:pPr>
            <w:r>
              <w:rPr>
                <w:sz w:val="18"/>
              </w:rPr>
              <w:t>PAN</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shd w:val="clear" w:color="auto" w:fill="006FC0"/>
          </w:tcPr>
          <w:p>
            <w:pPr>
              <w:pStyle w:val="TableParagraph"/>
              <w:spacing w:before="10"/>
              <w:jc w:val="left"/>
              <w:rPr>
                <w:rFonts w:ascii="Times New Roman"/>
                <w:sz w:val="17"/>
              </w:rPr>
            </w:pPr>
          </w:p>
          <w:p>
            <w:pPr>
              <w:pStyle w:val="TableParagraph"/>
              <w:ind w:left="64"/>
              <w:jc w:val="left"/>
              <w:rPr>
                <w:sz w:val="18"/>
              </w:rPr>
            </w:pPr>
            <w:r>
              <w:rPr>
                <w:sz w:val="18"/>
              </w:rPr>
              <w:t>PAN</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5" w:hRule="exact"/>
        </w:trPr>
        <w:tc>
          <w:tcPr>
            <w:tcW w:w="3882" w:type="dxa"/>
          </w:tcPr>
          <w:p>
            <w:pPr>
              <w:pStyle w:val="TableParagraph"/>
              <w:spacing w:before="100"/>
              <w:ind w:left="67"/>
              <w:jc w:val="left"/>
              <w:rPr>
                <w:b/>
                <w:sz w:val="18"/>
              </w:rPr>
            </w:pPr>
            <w:r>
              <w:rPr>
                <w:b/>
                <w:color w:val="333333"/>
                <w:sz w:val="18"/>
              </w:rPr>
              <w:t>POLOTITLAN</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761"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655"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1604" w:type="dxa"/>
            <w:shd w:val="clear" w:color="auto" w:fill="006FC0"/>
          </w:tcPr>
          <w:p>
            <w:pPr>
              <w:pStyle w:val="TableParagraph"/>
              <w:jc w:val="left"/>
              <w:rPr>
                <w:rFonts w:ascii="Times New Roman"/>
                <w:sz w:val="18"/>
              </w:rPr>
            </w:pPr>
          </w:p>
          <w:p>
            <w:pPr>
              <w:pStyle w:val="TableParagraph"/>
              <w:spacing w:before="1"/>
              <w:ind w:left="67"/>
              <w:jc w:val="left"/>
              <w:rPr>
                <w:sz w:val="18"/>
              </w:rPr>
            </w:pPr>
            <w:r>
              <w:rPr>
                <w:sz w:val="18"/>
              </w:rPr>
              <w:t>PAN</w:t>
            </w:r>
          </w:p>
        </w:tc>
        <w:tc>
          <w:tcPr>
            <w:tcW w:w="1733" w:type="dxa"/>
          </w:tcPr>
          <w:p>
            <w:pPr>
              <w:pStyle w:val="TableParagraph"/>
              <w:jc w:val="left"/>
              <w:rPr>
                <w:rFonts w:ascii="Times New Roman"/>
                <w:sz w:val="18"/>
              </w:rPr>
            </w:pPr>
          </w:p>
          <w:p>
            <w:pPr>
              <w:pStyle w:val="TableParagraph"/>
              <w:spacing w:before="1"/>
              <w:ind w:left="64"/>
              <w:jc w:val="left"/>
              <w:rPr>
                <w:sz w:val="18"/>
              </w:rPr>
            </w:pPr>
            <w:r>
              <w:rPr>
                <w:sz w:val="18"/>
              </w:rPr>
              <w:t>PRI-PVEM</w:t>
            </w:r>
          </w:p>
        </w:tc>
        <w:tc>
          <w:tcPr>
            <w:tcW w:w="2062" w:type="dxa"/>
          </w:tcPr>
          <w:p>
            <w:pPr>
              <w:pStyle w:val="TableParagraph"/>
              <w:spacing w:before="1"/>
              <w:ind w:left="67" w:right="295"/>
              <w:jc w:val="left"/>
              <w:rPr>
                <w:sz w:val="18"/>
              </w:rPr>
            </w:pPr>
            <w:r>
              <w:rPr>
                <w:sz w:val="18"/>
              </w:rPr>
              <w:t>PRI-PVEM-NA-PSD- PFD</w:t>
            </w:r>
          </w:p>
        </w:tc>
        <w:tc>
          <w:tcPr>
            <w:tcW w:w="1397" w:type="dxa"/>
          </w:tcPr>
          <w:p>
            <w:pPr>
              <w:pStyle w:val="TableParagraph"/>
              <w:jc w:val="left"/>
              <w:rPr>
                <w:rFonts w:ascii="Times New Roman"/>
                <w:sz w:val="18"/>
              </w:rPr>
            </w:pPr>
          </w:p>
          <w:p>
            <w:pPr>
              <w:pStyle w:val="TableParagraph"/>
              <w:spacing w:before="1"/>
              <w:ind w:left="67"/>
              <w:jc w:val="left"/>
              <w:rPr>
                <w:sz w:val="18"/>
              </w:rPr>
            </w:pPr>
            <w:r>
              <w:rPr>
                <w:sz w:val="18"/>
              </w:rPr>
              <w:t>PRI-PVEM-NA</w:t>
            </w:r>
          </w:p>
        </w:tc>
      </w:tr>
      <w:tr>
        <w:trPr>
          <w:trHeight w:val="425" w:hRule="exact"/>
        </w:trPr>
        <w:tc>
          <w:tcPr>
            <w:tcW w:w="3882" w:type="dxa"/>
          </w:tcPr>
          <w:p>
            <w:pPr>
              <w:pStyle w:val="TableParagraph"/>
              <w:spacing w:before="97"/>
              <w:ind w:left="67"/>
              <w:jc w:val="left"/>
              <w:rPr>
                <w:b/>
                <w:sz w:val="18"/>
              </w:rPr>
            </w:pPr>
            <w:r>
              <w:rPr>
                <w:b/>
                <w:color w:val="333333"/>
                <w:sz w:val="18"/>
              </w:rPr>
              <w:t>RAYON</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shd w:val="clear" w:color="auto" w:fill="E26C09"/>
          </w:tcPr>
          <w:p>
            <w:pPr>
              <w:pStyle w:val="TableParagraph"/>
              <w:spacing w:before="10"/>
              <w:jc w:val="left"/>
              <w:rPr>
                <w:rFonts w:ascii="Times New Roman"/>
                <w:sz w:val="17"/>
              </w:rPr>
            </w:pPr>
          </w:p>
          <w:p>
            <w:pPr>
              <w:pStyle w:val="TableParagraph"/>
              <w:ind w:left="64"/>
              <w:jc w:val="left"/>
              <w:rPr>
                <w:sz w:val="18"/>
              </w:rPr>
            </w:pPr>
            <w:r>
              <w:rPr>
                <w:sz w:val="18"/>
              </w:rPr>
              <w:t>CONVERGENCIA</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2" w:hRule="exact"/>
        </w:trPr>
        <w:tc>
          <w:tcPr>
            <w:tcW w:w="3882" w:type="dxa"/>
          </w:tcPr>
          <w:p>
            <w:pPr>
              <w:pStyle w:val="TableParagraph"/>
              <w:spacing w:before="97"/>
              <w:ind w:left="67"/>
              <w:jc w:val="left"/>
              <w:rPr>
                <w:b/>
                <w:sz w:val="18"/>
              </w:rPr>
            </w:pPr>
            <w:r>
              <w:rPr>
                <w:b/>
                <w:color w:val="333333"/>
                <w:sz w:val="18"/>
              </w:rPr>
              <w:t>SAN ANTONIO LA ISLA</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shd w:val="clear" w:color="auto" w:fill="006FC0"/>
          </w:tcPr>
          <w:p>
            <w:pPr>
              <w:pStyle w:val="TableParagraph"/>
              <w:spacing w:before="10"/>
              <w:jc w:val="left"/>
              <w:rPr>
                <w:rFonts w:ascii="Times New Roman"/>
                <w:sz w:val="17"/>
              </w:rPr>
            </w:pPr>
          </w:p>
          <w:p>
            <w:pPr>
              <w:pStyle w:val="TableParagraph"/>
              <w:ind w:left="67"/>
              <w:jc w:val="left"/>
              <w:rPr>
                <w:sz w:val="18"/>
              </w:rPr>
            </w:pPr>
            <w:r>
              <w:rPr>
                <w:sz w:val="18"/>
              </w:rPr>
              <w:t>PAN</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shd w:val="clear" w:color="auto" w:fill="FFFF00"/>
          </w:tcPr>
          <w:p>
            <w:pPr>
              <w:pStyle w:val="TableParagraph"/>
              <w:spacing w:before="10"/>
              <w:jc w:val="left"/>
              <w:rPr>
                <w:rFonts w:ascii="Times New Roman"/>
                <w:sz w:val="17"/>
              </w:rPr>
            </w:pPr>
          </w:p>
          <w:p>
            <w:pPr>
              <w:pStyle w:val="TableParagraph"/>
              <w:ind w:left="67"/>
              <w:jc w:val="left"/>
              <w:rPr>
                <w:sz w:val="18"/>
              </w:rPr>
            </w:pPr>
            <w:r>
              <w:rPr>
                <w:sz w:val="18"/>
              </w:rPr>
              <w:t>PRD</w:t>
            </w:r>
          </w:p>
        </w:tc>
        <w:tc>
          <w:tcPr>
            <w:tcW w:w="1733" w:type="dxa"/>
            <w:shd w:val="clear" w:color="auto" w:fill="006FC0"/>
          </w:tcPr>
          <w:p>
            <w:pPr>
              <w:pStyle w:val="TableParagraph"/>
              <w:spacing w:before="10"/>
              <w:jc w:val="left"/>
              <w:rPr>
                <w:rFonts w:ascii="Times New Roman"/>
                <w:sz w:val="17"/>
              </w:rPr>
            </w:pPr>
          </w:p>
          <w:p>
            <w:pPr>
              <w:pStyle w:val="TableParagraph"/>
              <w:ind w:left="64"/>
              <w:jc w:val="left"/>
              <w:rPr>
                <w:sz w:val="18"/>
              </w:rPr>
            </w:pPr>
            <w:r>
              <w:rPr>
                <w:sz w:val="18"/>
              </w:rPr>
              <w:t>PAN</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5" w:hRule="exact"/>
        </w:trPr>
        <w:tc>
          <w:tcPr>
            <w:tcW w:w="3882" w:type="dxa"/>
          </w:tcPr>
          <w:p>
            <w:pPr>
              <w:pStyle w:val="TableParagraph"/>
              <w:spacing w:before="100"/>
              <w:ind w:left="67"/>
              <w:jc w:val="left"/>
              <w:rPr>
                <w:b/>
                <w:sz w:val="18"/>
              </w:rPr>
            </w:pPr>
            <w:r>
              <w:rPr>
                <w:b/>
                <w:color w:val="333333"/>
                <w:sz w:val="18"/>
              </w:rPr>
              <w:t>SAN FELIPE DEL PROGRESO</w:t>
            </w:r>
          </w:p>
        </w:tc>
        <w:tc>
          <w:tcPr>
            <w:tcW w:w="655" w:type="dxa"/>
          </w:tcPr>
          <w:p>
            <w:pPr>
              <w:pStyle w:val="TableParagraph"/>
              <w:spacing w:before="1"/>
              <w:jc w:val="left"/>
              <w:rPr>
                <w:rFonts w:ascii="Times New Roman"/>
                <w:sz w:val="18"/>
              </w:rPr>
            </w:pPr>
          </w:p>
          <w:p>
            <w:pPr>
              <w:pStyle w:val="TableParagraph"/>
              <w:ind w:left="64"/>
              <w:jc w:val="left"/>
              <w:rPr>
                <w:sz w:val="18"/>
              </w:rPr>
            </w:pPr>
            <w:r>
              <w:rPr>
                <w:sz w:val="18"/>
              </w:rPr>
              <w:t>PRI</w:t>
            </w:r>
          </w:p>
        </w:tc>
        <w:tc>
          <w:tcPr>
            <w:tcW w:w="761" w:type="dxa"/>
          </w:tcPr>
          <w:p>
            <w:pPr>
              <w:pStyle w:val="TableParagraph"/>
              <w:spacing w:before="1"/>
              <w:jc w:val="left"/>
              <w:rPr>
                <w:rFonts w:ascii="Times New Roman"/>
                <w:sz w:val="18"/>
              </w:rPr>
            </w:pPr>
          </w:p>
          <w:p>
            <w:pPr>
              <w:pStyle w:val="TableParagraph"/>
              <w:ind w:left="67"/>
              <w:jc w:val="left"/>
              <w:rPr>
                <w:sz w:val="18"/>
              </w:rPr>
            </w:pPr>
            <w:r>
              <w:rPr>
                <w:sz w:val="18"/>
              </w:rPr>
              <w:t>PRI</w:t>
            </w:r>
          </w:p>
        </w:tc>
        <w:tc>
          <w:tcPr>
            <w:tcW w:w="655" w:type="dxa"/>
          </w:tcPr>
          <w:p>
            <w:pPr>
              <w:pStyle w:val="TableParagraph"/>
              <w:spacing w:before="1"/>
              <w:jc w:val="left"/>
              <w:rPr>
                <w:rFonts w:ascii="Times New Roman"/>
                <w:sz w:val="18"/>
              </w:rPr>
            </w:pPr>
          </w:p>
          <w:p>
            <w:pPr>
              <w:pStyle w:val="TableParagraph"/>
              <w:ind w:left="64"/>
              <w:jc w:val="left"/>
              <w:rPr>
                <w:sz w:val="18"/>
              </w:rPr>
            </w:pPr>
            <w:r>
              <w:rPr>
                <w:sz w:val="18"/>
              </w:rPr>
              <w:t>PRI</w:t>
            </w:r>
          </w:p>
        </w:tc>
        <w:tc>
          <w:tcPr>
            <w:tcW w:w="655" w:type="dxa"/>
          </w:tcPr>
          <w:p>
            <w:pPr>
              <w:pStyle w:val="TableParagraph"/>
              <w:spacing w:before="1"/>
              <w:jc w:val="left"/>
              <w:rPr>
                <w:rFonts w:ascii="Times New Roman"/>
                <w:sz w:val="18"/>
              </w:rPr>
            </w:pPr>
          </w:p>
          <w:p>
            <w:pPr>
              <w:pStyle w:val="TableParagraph"/>
              <w:ind w:left="67"/>
              <w:jc w:val="left"/>
              <w:rPr>
                <w:sz w:val="18"/>
              </w:rPr>
            </w:pPr>
            <w:r>
              <w:rPr>
                <w:sz w:val="18"/>
              </w:rPr>
              <w:t>PRI</w:t>
            </w:r>
          </w:p>
        </w:tc>
        <w:tc>
          <w:tcPr>
            <w:tcW w:w="1604" w:type="dxa"/>
          </w:tcPr>
          <w:p>
            <w:pPr>
              <w:pStyle w:val="TableParagraph"/>
              <w:spacing w:before="1"/>
              <w:jc w:val="left"/>
              <w:rPr>
                <w:rFonts w:ascii="Times New Roman"/>
                <w:sz w:val="18"/>
              </w:rPr>
            </w:pPr>
          </w:p>
          <w:p>
            <w:pPr>
              <w:pStyle w:val="TableParagraph"/>
              <w:ind w:left="67"/>
              <w:jc w:val="left"/>
              <w:rPr>
                <w:sz w:val="18"/>
              </w:rPr>
            </w:pPr>
            <w:r>
              <w:rPr>
                <w:sz w:val="18"/>
              </w:rPr>
              <w:t>PRI-PVEM</w:t>
            </w:r>
          </w:p>
        </w:tc>
        <w:tc>
          <w:tcPr>
            <w:tcW w:w="1733" w:type="dxa"/>
          </w:tcPr>
          <w:p>
            <w:pPr>
              <w:pStyle w:val="TableParagraph"/>
              <w:spacing w:before="1"/>
              <w:jc w:val="left"/>
              <w:rPr>
                <w:rFonts w:ascii="Times New Roman"/>
                <w:sz w:val="18"/>
              </w:rPr>
            </w:pPr>
          </w:p>
          <w:p>
            <w:pPr>
              <w:pStyle w:val="TableParagraph"/>
              <w:ind w:left="64"/>
              <w:jc w:val="left"/>
              <w:rPr>
                <w:sz w:val="18"/>
              </w:rPr>
            </w:pPr>
            <w:r>
              <w:rPr>
                <w:sz w:val="18"/>
              </w:rPr>
              <w:t>PRI-PVEM</w:t>
            </w:r>
          </w:p>
        </w:tc>
        <w:tc>
          <w:tcPr>
            <w:tcW w:w="2062" w:type="dxa"/>
          </w:tcPr>
          <w:p>
            <w:pPr>
              <w:pStyle w:val="TableParagraph"/>
              <w:spacing w:before="1"/>
              <w:ind w:left="67" w:right="295"/>
              <w:jc w:val="left"/>
              <w:rPr>
                <w:sz w:val="18"/>
              </w:rPr>
            </w:pPr>
            <w:r>
              <w:rPr>
                <w:sz w:val="18"/>
              </w:rPr>
              <w:t>PRI-PVEM-NA-PSD- PFD</w:t>
            </w:r>
          </w:p>
        </w:tc>
        <w:tc>
          <w:tcPr>
            <w:tcW w:w="1397" w:type="dxa"/>
          </w:tcPr>
          <w:p>
            <w:pPr>
              <w:pStyle w:val="TableParagraph"/>
              <w:spacing w:before="1"/>
              <w:jc w:val="left"/>
              <w:rPr>
                <w:rFonts w:ascii="Times New Roman"/>
                <w:sz w:val="18"/>
              </w:rPr>
            </w:pPr>
          </w:p>
          <w:p>
            <w:pPr>
              <w:pStyle w:val="TableParagraph"/>
              <w:ind w:left="67"/>
              <w:jc w:val="left"/>
              <w:rPr>
                <w:sz w:val="18"/>
              </w:rPr>
            </w:pPr>
            <w:r>
              <w:rPr>
                <w:sz w:val="18"/>
              </w:rPr>
              <w:t>PRI-PVEM-NA</w:t>
            </w:r>
          </w:p>
        </w:tc>
      </w:tr>
      <w:tr>
        <w:trPr>
          <w:trHeight w:val="425" w:hRule="exact"/>
        </w:trPr>
        <w:tc>
          <w:tcPr>
            <w:tcW w:w="3882" w:type="dxa"/>
          </w:tcPr>
          <w:p>
            <w:pPr>
              <w:pStyle w:val="TableParagraph"/>
              <w:spacing w:before="97"/>
              <w:ind w:left="67"/>
              <w:jc w:val="left"/>
              <w:rPr>
                <w:b/>
                <w:sz w:val="18"/>
              </w:rPr>
            </w:pPr>
            <w:r>
              <w:rPr>
                <w:b/>
                <w:color w:val="333333"/>
                <w:sz w:val="18"/>
              </w:rPr>
              <w:t>SAN JOSE DEL RINCON</w:t>
            </w:r>
          </w:p>
        </w:tc>
        <w:tc>
          <w:tcPr>
            <w:tcW w:w="655" w:type="dxa"/>
            <w:shd w:val="clear" w:color="auto" w:fill="A4A4A4"/>
          </w:tcPr>
          <w:p>
            <w:pPr/>
          </w:p>
        </w:tc>
        <w:tc>
          <w:tcPr>
            <w:tcW w:w="761" w:type="dxa"/>
            <w:shd w:val="clear" w:color="auto" w:fill="A4A4A4"/>
          </w:tcPr>
          <w:p>
            <w:pPr/>
          </w:p>
        </w:tc>
        <w:tc>
          <w:tcPr>
            <w:tcW w:w="655" w:type="dxa"/>
            <w:shd w:val="clear" w:color="auto" w:fill="A4A4A4"/>
          </w:tcPr>
          <w:p>
            <w:pPr/>
          </w:p>
        </w:tc>
        <w:tc>
          <w:tcPr>
            <w:tcW w:w="655" w:type="dxa"/>
            <w:shd w:val="clear" w:color="auto" w:fill="A4A4A4"/>
          </w:tcPr>
          <w:p>
            <w:pP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shd w:val="clear" w:color="auto" w:fill="006FC0"/>
          </w:tcPr>
          <w:p>
            <w:pPr>
              <w:pStyle w:val="TableParagraph"/>
              <w:spacing w:before="10"/>
              <w:jc w:val="left"/>
              <w:rPr>
                <w:rFonts w:ascii="Times New Roman"/>
                <w:sz w:val="17"/>
              </w:rPr>
            </w:pPr>
          </w:p>
          <w:p>
            <w:pPr>
              <w:pStyle w:val="TableParagraph"/>
              <w:ind w:left="64"/>
              <w:jc w:val="left"/>
              <w:rPr>
                <w:sz w:val="18"/>
              </w:rPr>
            </w:pPr>
            <w:r>
              <w:rPr>
                <w:sz w:val="18"/>
              </w:rPr>
              <w:t>PAN</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5" w:hRule="exact"/>
        </w:trPr>
        <w:tc>
          <w:tcPr>
            <w:tcW w:w="3882" w:type="dxa"/>
          </w:tcPr>
          <w:p>
            <w:pPr>
              <w:pStyle w:val="TableParagraph"/>
              <w:spacing w:before="97"/>
              <w:ind w:left="67"/>
              <w:jc w:val="left"/>
              <w:rPr>
                <w:b/>
                <w:sz w:val="18"/>
              </w:rPr>
            </w:pPr>
            <w:r>
              <w:rPr>
                <w:b/>
                <w:color w:val="333333"/>
                <w:sz w:val="18"/>
              </w:rPr>
              <w:t>SAN MART�N DE LAS PIRAMIDES</w:t>
            </w:r>
          </w:p>
        </w:tc>
        <w:tc>
          <w:tcPr>
            <w:tcW w:w="655" w:type="dxa"/>
            <w:shd w:val="clear" w:color="auto" w:fill="006FC0"/>
          </w:tcPr>
          <w:p>
            <w:pPr>
              <w:pStyle w:val="TableParagraph"/>
              <w:spacing w:before="10"/>
              <w:jc w:val="left"/>
              <w:rPr>
                <w:rFonts w:ascii="Times New Roman"/>
                <w:sz w:val="17"/>
              </w:rPr>
            </w:pPr>
          </w:p>
          <w:p>
            <w:pPr>
              <w:pStyle w:val="TableParagraph"/>
              <w:ind w:left="64"/>
              <w:jc w:val="left"/>
              <w:rPr>
                <w:sz w:val="18"/>
              </w:rPr>
            </w:pPr>
            <w:r>
              <w:rPr>
                <w:sz w:val="18"/>
              </w:rPr>
              <w:t>PAN</w:t>
            </w:r>
          </w:p>
        </w:tc>
        <w:tc>
          <w:tcPr>
            <w:tcW w:w="761" w:type="dxa"/>
            <w:shd w:val="clear" w:color="auto" w:fill="006FC0"/>
          </w:tcPr>
          <w:p>
            <w:pPr>
              <w:pStyle w:val="TableParagraph"/>
              <w:spacing w:before="10"/>
              <w:jc w:val="left"/>
              <w:rPr>
                <w:rFonts w:ascii="Times New Roman"/>
                <w:sz w:val="17"/>
              </w:rPr>
            </w:pPr>
          </w:p>
          <w:p>
            <w:pPr>
              <w:pStyle w:val="TableParagraph"/>
              <w:ind w:left="67"/>
              <w:jc w:val="left"/>
              <w:rPr>
                <w:sz w:val="18"/>
              </w:rPr>
            </w:pPr>
            <w:r>
              <w:rPr>
                <w:sz w:val="18"/>
              </w:rPr>
              <w:t>PAN</w:t>
            </w:r>
          </w:p>
        </w:tc>
        <w:tc>
          <w:tcPr>
            <w:tcW w:w="655" w:type="dxa"/>
            <w:shd w:val="clear" w:color="auto" w:fill="006FC0"/>
          </w:tcPr>
          <w:p>
            <w:pPr>
              <w:pStyle w:val="TableParagraph"/>
              <w:spacing w:before="10"/>
              <w:jc w:val="left"/>
              <w:rPr>
                <w:rFonts w:ascii="Times New Roman"/>
                <w:sz w:val="17"/>
              </w:rPr>
            </w:pPr>
          </w:p>
          <w:p>
            <w:pPr>
              <w:pStyle w:val="TableParagraph"/>
              <w:ind w:left="64"/>
              <w:jc w:val="left"/>
              <w:rPr>
                <w:sz w:val="18"/>
              </w:rPr>
            </w:pPr>
            <w:r>
              <w:rPr>
                <w:sz w:val="18"/>
              </w:rPr>
              <w:t>PAN</w:t>
            </w:r>
          </w:p>
        </w:tc>
        <w:tc>
          <w:tcPr>
            <w:tcW w:w="655" w:type="dxa"/>
            <w:shd w:val="clear" w:color="auto" w:fill="006FC0"/>
          </w:tcPr>
          <w:p>
            <w:pPr>
              <w:pStyle w:val="TableParagraph"/>
              <w:spacing w:before="10"/>
              <w:jc w:val="left"/>
              <w:rPr>
                <w:rFonts w:ascii="Times New Roman"/>
                <w:sz w:val="17"/>
              </w:rPr>
            </w:pPr>
          </w:p>
          <w:p>
            <w:pPr>
              <w:pStyle w:val="TableParagraph"/>
              <w:ind w:left="67"/>
              <w:jc w:val="left"/>
              <w:rPr>
                <w:sz w:val="18"/>
              </w:rPr>
            </w:pPr>
            <w:r>
              <w:rPr>
                <w:sz w:val="18"/>
              </w:rPr>
              <w:t>PAN</w:t>
            </w: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shd w:val="clear" w:color="auto" w:fill="FFFF00"/>
          </w:tcPr>
          <w:p>
            <w:pPr>
              <w:pStyle w:val="TableParagraph"/>
              <w:spacing w:before="10"/>
              <w:jc w:val="left"/>
              <w:rPr>
                <w:rFonts w:ascii="Times New Roman"/>
                <w:sz w:val="17"/>
              </w:rPr>
            </w:pPr>
          </w:p>
          <w:p>
            <w:pPr>
              <w:pStyle w:val="TableParagraph"/>
              <w:ind w:left="64"/>
              <w:jc w:val="left"/>
              <w:rPr>
                <w:sz w:val="18"/>
              </w:rPr>
            </w:pPr>
            <w:r>
              <w:rPr>
                <w:sz w:val="18"/>
              </w:rPr>
              <w:t>PRD</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bl>
    <w:p>
      <w:pPr>
        <w:spacing w:after="0"/>
        <w:jc w:val="left"/>
        <w:rPr>
          <w:sz w:val="18"/>
        </w:rPr>
        <w:sectPr>
          <w:pgSz w:w="15840" w:h="12240" w:orient="landscape"/>
          <w:pgMar w:header="0" w:footer="975" w:top="1140" w:bottom="1160" w:left="1300" w:right="900"/>
        </w:sectPr>
      </w:pPr>
    </w:p>
    <w:p>
      <w:pPr>
        <w:pStyle w:val="BodyText"/>
        <w:rPr>
          <w:rFonts w:ascii="Times New Roman"/>
          <w:sz w:val="20"/>
        </w:rPr>
      </w:pPr>
    </w:p>
    <w:p>
      <w:pPr>
        <w:pStyle w:val="BodyText"/>
        <w:spacing w:before="10"/>
        <w:rPr>
          <w:rFonts w:ascii="Times New Roman"/>
          <w:sz w:val="28"/>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82"/>
        <w:gridCol w:w="655"/>
        <w:gridCol w:w="761"/>
        <w:gridCol w:w="655"/>
        <w:gridCol w:w="655"/>
        <w:gridCol w:w="1604"/>
        <w:gridCol w:w="1733"/>
        <w:gridCol w:w="2062"/>
        <w:gridCol w:w="1397"/>
      </w:tblGrid>
      <w:tr>
        <w:trPr>
          <w:trHeight w:val="324" w:hRule="exact"/>
        </w:trPr>
        <w:tc>
          <w:tcPr>
            <w:tcW w:w="13404" w:type="dxa"/>
            <w:gridSpan w:val="9"/>
            <w:shd w:val="clear" w:color="auto" w:fill="92D050"/>
          </w:tcPr>
          <w:p>
            <w:pPr>
              <w:pStyle w:val="TableParagraph"/>
              <w:spacing w:before="102"/>
              <w:ind w:left="2018"/>
              <w:jc w:val="left"/>
              <w:rPr>
                <w:b/>
                <w:sz w:val="18"/>
              </w:rPr>
            </w:pPr>
            <w:r>
              <w:rPr>
                <w:b/>
                <w:sz w:val="18"/>
              </w:rPr>
              <w:t>Anexo 4. Alternancias políticas en los gobiernos municipales del Estado de México 1990-2015 (Continuación)</w:t>
            </w:r>
          </w:p>
        </w:tc>
      </w:tr>
      <w:tr>
        <w:trPr>
          <w:trHeight w:val="322" w:hRule="exact"/>
        </w:trPr>
        <w:tc>
          <w:tcPr>
            <w:tcW w:w="3882" w:type="dxa"/>
            <w:shd w:val="clear" w:color="auto" w:fill="92D050"/>
          </w:tcPr>
          <w:p>
            <w:pPr>
              <w:pStyle w:val="TableParagraph"/>
              <w:spacing w:before="102"/>
              <w:ind w:left="1497" w:right="1494"/>
              <w:rPr>
                <w:b/>
                <w:sz w:val="18"/>
              </w:rPr>
            </w:pPr>
            <w:r>
              <w:rPr>
                <w:b/>
                <w:sz w:val="18"/>
              </w:rPr>
              <w:t>Municipio</w:t>
            </w:r>
          </w:p>
        </w:tc>
        <w:tc>
          <w:tcPr>
            <w:tcW w:w="655" w:type="dxa"/>
            <w:shd w:val="clear" w:color="auto" w:fill="92D050"/>
          </w:tcPr>
          <w:p>
            <w:pPr>
              <w:pStyle w:val="TableParagraph"/>
              <w:spacing w:before="102"/>
              <w:ind w:left="122"/>
              <w:jc w:val="left"/>
              <w:rPr>
                <w:b/>
                <w:sz w:val="18"/>
              </w:rPr>
            </w:pPr>
            <w:r>
              <w:rPr>
                <w:b/>
                <w:sz w:val="18"/>
              </w:rPr>
              <w:t>1990</w:t>
            </w:r>
          </w:p>
        </w:tc>
        <w:tc>
          <w:tcPr>
            <w:tcW w:w="761" w:type="dxa"/>
            <w:shd w:val="clear" w:color="auto" w:fill="92D050"/>
          </w:tcPr>
          <w:p>
            <w:pPr>
              <w:pStyle w:val="TableParagraph"/>
              <w:spacing w:before="102"/>
              <w:ind w:left="175"/>
              <w:jc w:val="left"/>
              <w:rPr>
                <w:b/>
                <w:sz w:val="18"/>
              </w:rPr>
            </w:pPr>
            <w:r>
              <w:rPr>
                <w:b/>
                <w:sz w:val="18"/>
              </w:rPr>
              <w:t>1993</w:t>
            </w:r>
          </w:p>
        </w:tc>
        <w:tc>
          <w:tcPr>
            <w:tcW w:w="655" w:type="dxa"/>
            <w:shd w:val="clear" w:color="auto" w:fill="92D050"/>
          </w:tcPr>
          <w:p>
            <w:pPr>
              <w:pStyle w:val="TableParagraph"/>
              <w:spacing w:before="102"/>
              <w:ind w:left="122"/>
              <w:jc w:val="left"/>
              <w:rPr>
                <w:b/>
                <w:sz w:val="18"/>
              </w:rPr>
            </w:pPr>
            <w:r>
              <w:rPr>
                <w:b/>
                <w:sz w:val="18"/>
              </w:rPr>
              <w:t>1996</w:t>
            </w:r>
          </w:p>
        </w:tc>
        <w:tc>
          <w:tcPr>
            <w:tcW w:w="655" w:type="dxa"/>
            <w:shd w:val="clear" w:color="auto" w:fill="92D050"/>
          </w:tcPr>
          <w:p>
            <w:pPr>
              <w:pStyle w:val="TableParagraph"/>
              <w:spacing w:before="102"/>
              <w:ind w:left="124"/>
              <w:jc w:val="left"/>
              <w:rPr>
                <w:b/>
                <w:sz w:val="18"/>
              </w:rPr>
            </w:pPr>
            <w:r>
              <w:rPr>
                <w:b/>
                <w:sz w:val="18"/>
              </w:rPr>
              <w:t>2000</w:t>
            </w:r>
          </w:p>
        </w:tc>
        <w:tc>
          <w:tcPr>
            <w:tcW w:w="1604" w:type="dxa"/>
            <w:shd w:val="clear" w:color="auto" w:fill="92D050"/>
          </w:tcPr>
          <w:p>
            <w:pPr>
              <w:pStyle w:val="TableParagraph"/>
              <w:spacing w:before="102"/>
              <w:ind w:left="578" w:right="574"/>
              <w:rPr>
                <w:b/>
                <w:sz w:val="18"/>
              </w:rPr>
            </w:pPr>
            <w:r>
              <w:rPr>
                <w:b/>
                <w:sz w:val="18"/>
              </w:rPr>
              <w:t>2003</w:t>
            </w:r>
          </w:p>
        </w:tc>
        <w:tc>
          <w:tcPr>
            <w:tcW w:w="1733" w:type="dxa"/>
            <w:shd w:val="clear" w:color="auto" w:fill="92D050"/>
          </w:tcPr>
          <w:p>
            <w:pPr>
              <w:pStyle w:val="TableParagraph"/>
              <w:spacing w:before="102"/>
              <w:ind w:left="641" w:right="641"/>
              <w:rPr>
                <w:b/>
                <w:sz w:val="18"/>
              </w:rPr>
            </w:pPr>
            <w:r>
              <w:rPr>
                <w:b/>
                <w:sz w:val="18"/>
              </w:rPr>
              <w:t>2006</w:t>
            </w:r>
          </w:p>
        </w:tc>
        <w:tc>
          <w:tcPr>
            <w:tcW w:w="2062" w:type="dxa"/>
            <w:shd w:val="clear" w:color="auto" w:fill="92D050"/>
          </w:tcPr>
          <w:p>
            <w:pPr>
              <w:pStyle w:val="TableParagraph"/>
              <w:spacing w:before="102"/>
              <w:ind w:left="809" w:right="802"/>
              <w:rPr>
                <w:b/>
                <w:sz w:val="18"/>
              </w:rPr>
            </w:pPr>
            <w:r>
              <w:rPr>
                <w:b/>
                <w:sz w:val="18"/>
              </w:rPr>
              <w:t>2009</w:t>
            </w:r>
          </w:p>
        </w:tc>
        <w:tc>
          <w:tcPr>
            <w:tcW w:w="1397" w:type="dxa"/>
            <w:shd w:val="clear" w:color="auto" w:fill="92D050"/>
          </w:tcPr>
          <w:p>
            <w:pPr>
              <w:pStyle w:val="TableParagraph"/>
              <w:spacing w:before="102"/>
              <w:ind w:left="475" w:right="471"/>
              <w:rPr>
                <w:b/>
                <w:sz w:val="18"/>
              </w:rPr>
            </w:pPr>
            <w:r>
              <w:rPr>
                <w:b/>
                <w:sz w:val="18"/>
              </w:rPr>
              <w:t>2013</w:t>
            </w:r>
          </w:p>
        </w:tc>
      </w:tr>
      <w:tr>
        <w:trPr>
          <w:trHeight w:val="298" w:hRule="exact"/>
        </w:trPr>
        <w:tc>
          <w:tcPr>
            <w:tcW w:w="3882" w:type="dxa"/>
          </w:tcPr>
          <w:p>
            <w:pPr>
              <w:pStyle w:val="TableParagraph"/>
              <w:spacing w:before="37"/>
              <w:ind w:left="67"/>
              <w:jc w:val="left"/>
              <w:rPr>
                <w:b/>
                <w:sz w:val="18"/>
              </w:rPr>
            </w:pPr>
            <w:r>
              <w:rPr>
                <w:b/>
                <w:color w:val="333333"/>
                <w:sz w:val="18"/>
              </w:rPr>
              <w:t>SAN MATEO ATENCO</w:t>
            </w:r>
          </w:p>
        </w:tc>
        <w:tc>
          <w:tcPr>
            <w:tcW w:w="655" w:type="dxa"/>
          </w:tcPr>
          <w:p>
            <w:pPr>
              <w:pStyle w:val="TableParagraph"/>
              <w:spacing w:before="78"/>
              <w:ind w:left="64"/>
              <w:jc w:val="left"/>
              <w:rPr>
                <w:sz w:val="18"/>
              </w:rPr>
            </w:pPr>
            <w:r>
              <w:rPr>
                <w:sz w:val="18"/>
              </w:rPr>
              <w:t>PRI</w:t>
            </w:r>
          </w:p>
        </w:tc>
        <w:tc>
          <w:tcPr>
            <w:tcW w:w="761" w:type="dxa"/>
          </w:tcPr>
          <w:p>
            <w:pPr>
              <w:pStyle w:val="TableParagraph"/>
              <w:spacing w:before="78"/>
              <w:ind w:left="67"/>
              <w:jc w:val="left"/>
              <w:rPr>
                <w:sz w:val="18"/>
              </w:rPr>
            </w:pPr>
            <w:r>
              <w:rPr>
                <w:sz w:val="18"/>
              </w:rPr>
              <w:t>PRI</w:t>
            </w:r>
          </w:p>
        </w:tc>
        <w:tc>
          <w:tcPr>
            <w:tcW w:w="655" w:type="dxa"/>
            <w:shd w:val="clear" w:color="auto" w:fill="FFFF00"/>
          </w:tcPr>
          <w:p>
            <w:pPr>
              <w:pStyle w:val="TableParagraph"/>
              <w:spacing w:before="78"/>
              <w:ind w:left="64"/>
              <w:jc w:val="left"/>
              <w:rPr>
                <w:sz w:val="18"/>
              </w:rPr>
            </w:pPr>
            <w:r>
              <w:rPr>
                <w:sz w:val="18"/>
              </w:rPr>
              <w:t>PRD</w:t>
            </w:r>
          </w:p>
        </w:tc>
        <w:tc>
          <w:tcPr>
            <w:tcW w:w="655" w:type="dxa"/>
          </w:tcPr>
          <w:p>
            <w:pPr>
              <w:pStyle w:val="TableParagraph"/>
              <w:spacing w:before="78"/>
              <w:ind w:left="67"/>
              <w:jc w:val="left"/>
              <w:rPr>
                <w:sz w:val="18"/>
              </w:rPr>
            </w:pPr>
            <w:r>
              <w:rPr>
                <w:sz w:val="18"/>
              </w:rPr>
              <w:t>PRI</w:t>
            </w:r>
          </w:p>
        </w:tc>
        <w:tc>
          <w:tcPr>
            <w:tcW w:w="1604" w:type="dxa"/>
            <w:shd w:val="clear" w:color="auto" w:fill="FFFF00"/>
          </w:tcPr>
          <w:p>
            <w:pPr>
              <w:pStyle w:val="TableParagraph"/>
              <w:spacing w:before="78"/>
              <w:ind w:left="67"/>
              <w:jc w:val="left"/>
              <w:rPr>
                <w:sz w:val="18"/>
              </w:rPr>
            </w:pPr>
            <w:r>
              <w:rPr>
                <w:sz w:val="18"/>
              </w:rPr>
              <w:t>PRD</w:t>
            </w:r>
          </w:p>
        </w:tc>
        <w:tc>
          <w:tcPr>
            <w:tcW w:w="1733" w:type="dxa"/>
          </w:tcPr>
          <w:p>
            <w:pPr>
              <w:pStyle w:val="TableParagraph"/>
              <w:spacing w:before="78"/>
              <w:ind w:left="64"/>
              <w:jc w:val="left"/>
              <w:rPr>
                <w:sz w:val="18"/>
              </w:rPr>
            </w:pPr>
            <w:r>
              <w:rPr>
                <w:sz w:val="18"/>
              </w:rPr>
              <w:t>PRI-PVEM</w:t>
            </w:r>
          </w:p>
        </w:tc>
        <w:tc>
          <w:tcPr>
            <w:tcW w:w="2062" w:type="dxa"/>
            <w:shd w:val="clear" w:color="auto" w:fill="006FC0"/>
          </w:tcPr>
          <w:p>
            <w:pPr>
              <w:pStyle w:val="TableParagraph"/>
              <w:spacing w:before="78"/>
              <w:ind w:left="67" w:right="295"/>
              <w:jc w:val="left"/>
              <w:rPr>
                <w:sz w:val="18"/>
              </w:rPr>
            </w:pPr>
            <w:r>
              <w:rPr>
                <w:sz w:val="18"/>
              </w:rPr>
              <w:t>PAN</w:t>
            </w:r>
          </w:p>
        </w:tc>
        <w:tc>
          <w:tcPr>
            <w:tcW w:w="1397" w:type="dxa"/>
          </w:tcPr>
          <w:p>
            <w:pPr>
              <w:pStyle w:val="TableParagraph"/>
              <w:spacing w:before="78"/>
              <w:ind w:left="67"/>
              <w:jc w:val="left"/>
              <w:rPr>
                <w:sz w:val="18"/>
              </w:rPr>
            </w:pPr>
            <w:r>
              <w:rPr>
                <w:sz w:val="18"/>
              </w:rPr>
              <w:t>PRI-PVEM-NA</w:t>
            </w:r>
          </w:p>
        </w:tc>
      </w:tr>
      <w:tr>
        <w:trPr>
          <w:trHeight w:val="293" w:hRule="exact"/>
        </w:trPr>
        <w:tc>
          <w:tcPr>
            <w:tcW w:w="3882" w:type="dxa"/>
          </w:tcPr>
          <w:p>
            <w:pPr>
              <w:pStyle w:val="TableParagraph"/>
              <w:spacing w:before="32"/>
              <w:ind w:left="67"/>
              <w:jc w:val="left"/>
              <w:rPr>
                <w:b/>
                <w:sz w:val="18"/>
              </w:rPr>
            </w:pPr>
            <w:r>
              <w:rPr>
                <w:b/>
                <w:color w:val="333333"/>
                <w:sz w:val="18"/>
              </w:rPr>
              <w:t>SAN SIMON DE GUERRERO</w:t>
            </w:r>
          </w:p>
        </w:tc>
        <w:tc>
          <w:tcPr>
            <w:tcW w:w="655" w:type="dxa"/>
          </w:tcPr>
          <w:p>
            <w:pPr>
              <w:pStyle w:val="TableParagraph"/>
              <w:spacing w:before="76"/>
              <w:ind w:left="64"/>
              <w:jc w:val="left"/>
              <w:rPr>
                <w:sz w:val="18"/>
              </w:rPr>
            </w:pPr>
            <w:r>
              <w:rPr>
                <w:sz w:val="18"/>
              </w:rPr>
              <w:t>PRI</w:t>
            </w:r>
          </w:p>
        </w:tc>
        <w:tc>
          <w:tcPr>
            <w:tcW w:w="761" w:type="dxa"/>
          </w:tcPr>
          <w:p>
            <w:pPr>
              <w:pStyle w:val="TableParagraph"/>
              <w:spacing w:before="76"/>
              <w:ind w:left="67"/>
              <w:jc w:val="left"/>
              <w:rPr>
                <w:sz w:val="18"/>
              </w:rPr>
            </w:pPr>
            <w:r>
              <w:rPr>
                <w:sz w:val="18"/>
              </w:rPr>
              <w:t>PRI</w:t>
            </w:r>
          </w:p>
        </w:tc>
        <w:tc>
          <w:tcPr>
            <w:tcW w:w="655" w:type="dxa"/>
          </w:tcPr>
          <w:p>
            <w:pPr>
              <w:pStyle w:val="TableParagraph"/>
              <w:spacing w:before="76"/>
              <w:ind w:left="64"/>
              <w:jc w:val="left"/>
              <w:rPr>
                <w:sz w:val="18"/>
              </w:rPr>
            </w:pPr>
            <w:r>
              <w:rPr>
                <w:sz w:val="18"/>
              </w:rPr>
              <w:t>PRI</w:t>
            </w:r>
          </w:p>
        </w:tc>
        <w:tc>
          <w:tcPr>
            <w:tcW w:w="655" w:type="dxa"/>
          </w:tcPr>
          <w:p>
            <w:pPr>
              <w:pStyle w:val="TableParagraph"/>
              <w:spacing w:before="76"/>
              <w:ind w:left="67"/>
              <w:jc w:val="left"/>
              <w:rPr>
                <w:sz w:val="18"/>
              </w:rPr>
            </w:pPr>
            <w:r>
              <w:rPr>
                <w:sz w:val="18"/>
              </w:rPr>
              <w:t>PRI</w:t>
            </w:r>
          </w:p>
        </w:tc>
        <w:tc>
          <w:tcPr>
            <w:tcW w:w="1604" w:type="dxa"/>
            <w:shd w:val="clear" w:color="auto" w:fill="FFC000"/>
          </w:tcPr>
          <w:p>
            <w:pPr>
              <w:pStyle w:val="TableParagraph"/>
              <w:spacing w:before="76"/>
              <w:ind w:left="67"/>
              <w:jc w:val="left"/>
              <w:rPr>
                <w:sz w:val="18"/>
              </w:rPr>
            </w:pPr>
            <w:r>
              <w:rPr>
                <w:sz w:val="18"/>
              </w:rPr>
              <w:t>PT</w:t>
            </w:r>
          </w:p>
        </w:tc>
        <w:tc>
          <w:tcPr>
            <w:tcW w:w="1733" w:type="dxa"/>
          </w:tcPr>
          <w:p>
            <w:pPr>
              <w:pStyle w:val="TableParagraph"/>
              <w:spacing w:before="76"/>
              <w:ind w:left="64"/>
              <w:jc w:val="left"/>
              <w:rPr>
                <w:sz w:val="18"/>
              </w:rPr>
            </w:pPr>
            <w:r>
              <w:rPr>
                <w:sz w:val="18"/>
              </w:rPr>
              <w:t>PRI-PVEM</w:t>
            </w:r>
          </w:p>
        </w:tc>
        <w:tc>
          <w:tcPr>
            <w:tcW w:w="2062" w:type="dxa"/>
            <w:shd w:val="clear" w:color="auto" w:fill="FFFF00"/>
          </w:tcPr>
          <w:p>
            <w:pPr>
              <w:pStyle w:val="TableParagraph"/>
              <w:spacing w:before="76"/>
              <w:ind w:left="67" w:right="295"/>
              <w:jc w:val="left"/>
              <w:rPr>
                <w:sz w:val="18"/>
              </w:rPr>
            </w:pPr>
            <w:r>
              <w:rPr>
                <w:sz w:val="18"/>
              </w:rPr>
              <w:t>PRD-PT</w:t>
            </w:r>
          </w:p>
        </w:tc>
        <w:tc>
          <w:tcPr>
            <w:tcW w:w="1397" w:type="dxa"/>
            <w:shd w:val="clear" w:color="auto" w:fill="FFFF00"/>
          </w:tcPr>
          <w:p>
            <w:pPr>
              <w:pStyle w:val="TableParagraph"/>
              <w:spacing w:before="76"/>
              <w:ind w:left="67"/>
              <w:jc w:val="left"/>
              <w:rPr>
                <w:sz w:val="18"/>
              </w:rPr>
            </w:pPr>
            <w:r>
              <w:rPr>
                <w:sz w:val="18"/>
              </w:rPr>
              <w:t>PRD-PT</w:t>
            </w:r>
          </w:p>
        </w:tc>
      </w:tr>
      <w:tr>
        <w:trPr>
          <w:trHeight w:val="422" w:hRule="exact"/>
        </w:trPr>
        <w:tc>
          <w:tcPr>
            <w:tcW w:w="3882" w:type="dxa"/>
          </w:tcPr>
          <w:p>
            <w:pPr>
              <w:pStyle w:val="TableParagraph"/>
              <w:spacing w:before="97"/>
              <w:ind w:left="67"/>
              <w:jc w:val="left"/>
              <w:rPr>
                <w:b/>
                <w:sz w:val="18"/>
              </w:rPr>
            </w:pPr>
            <w:r>
              <w:rPr>
                <w:b/>
                <w:color w:val="333333"/>
                <w:sz w:val="18"/>
              </w:rPr>
              <w:t>SANTO TOMAS</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shd w:val="clear" w:color="auto" w:fill="006FC0"/>
          </w:tcPr>
          <w:p>
            <w:pPr>
              <w:pStyle w:val="TableParagraph"/>
              <w:spacing w:before="10"/>
              <w:jc w:val="left"/>
              <w:rPr>
                <w:rFonts w:ascii="Times New Roman"/>
                <w:sz w:val="17"/>
              </w:rPr>
            </w:pPr>
          </w:p>
          <w:p>
            <w:pPr>
              <w:pStyle w:val="TableParagraph"/>
              <w:ind w:left="67"/>
              <w:jc w:val="left"/>
              <w:rPr>
                <w:sz w:val="18"/>
              </w:rPr>
            </w:pPr>
            <w:r>
              <w:rPr>
                <w:sz w:val="18"/>
              </w:rPr>
              <w:t>PAN</w:t>
            </w: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shd w:val="clear" w:color="auto" w:fill="FFFF00"/>
          </w:tcPr>
          <w:p>
            <w:pPr>
              <w:pStyle w:val="TableParagraph"/>
              <w:spacing w:before="10"/>
              <w:jc w:val="left"/>
              <w:rPr>
                <w:rFonts w:ascii="Times New Roman"/>
                <w:sz w:val="17"/>
              </w:rPr>
            </w:pPr>
          </w:p>
          <w:p>
            <w:pPr>
              <w:pStyle w:val="TableParagraph"/>
              <w:ind w:left="64"/>
              <w:jc w:val="left"/>
              <w:rPr>
                <w:sz w:val="18"/>
              </w:rPr>
            </w:pPr>
            <w:r>
              <w:rPr>
                <w:sz w:val="18"/>
              </w:rPr>
              <w:t>PRD</w:t>
            </w:r>
          </w:p>
        </w:tc>
        <w:tc>
          <w:tcPr>
            <w:tcW w:w="2062" w:type="dxa"/>
          </w:tcPr>
          <w:p>
            <w:pPr>
              <w:pStyle w:val="TableParagraph"/>
              <w:ind w:left="67" w:right="295"/>
              <w:jc w:val="left"/>
              <w:rPr>
                <w:sz w:val="18"/>
              </w:rPr>
            </w:pPr>
            <w:r>
              <w:rPr>
                <w:sz w:val="18"/>
              </w:rPr>
              <w:t>PRI-PVEM-NA-PSD- PFD</w:t>
            </w:r>
          </w:p>
        </w:tc>
        <w:tc>
          <w:tcPr>
            <w:tcW w:w="1397" w:type="dxa"/>
            <w:shd w:val="clear" w:color="auto" w:fill="FFFF00"/>
          </w:tcPr>
          <w:p>
            <w:pPr>
              <w:pStyle w:val="TableParagraph"/>
              <w:spacing w:before="10"/>
              <w:jc w:val="left"/>
              <w:rPr>
                <w:rFonts w:ascii="Times New Roman"/>
                <w:sz w:val="17"/>
              </w:rPr>
            </w:pPr>
          </w:p>
          <w:p>
            <w:pPr>
              <w:pStyle w:val="TableParagraph"/>
              <w:ind w:left="67"/>
              <w:jc w:val="left"/>
              <w:rPr>
                <w:sz w:val="18"/>
              </w:rPr>
            </w:pPr>
            <w:r>
              <w:rPr>
                <w:sz w:val="18"/>
              </w:rPr>
              <w:t>PRD-PT</w:t>
            </w:r>
          </w:p>
        </w:tc>
      </w:tr>
      <w:tr>
        <w:trPr>
          <w:trHeight w:val="293" w:hRule="exact"/>
        </w:trPr>
        <w:tc>
          <w:tcPr>
            <w:tcW w:w="3882" w:type="dxa"/>
          </w:tcPr>
          <w:p>
            <w:pPr>
              <w:pStyle w:val="TableParagraph"/>
              <w:spacing w:before="32"/>
              <w:ind w:left="67"/>
              <w:jc w:val="left"/>
              <w:rPr>
                <w:b/>
                <w:sz w:val="18"/>
              </w:rPr>
            </w:pPr>
            <w:r>
              <w:rPr>
                <w:b/>
                <w:color w:val="333333"/>
                <w:sz w:val="18"/>
              </w:rPr>
              <w:t>SOYANIQUILPAN DE JUAREZ</w:t>
            </w:r>
          </w:p>
        </w:tc>
        <w:tc>
          <w:tcPr>
            <w:tcW w:w="655" w:type="dxa"/>
          </w:tcPr>
          <w:p>
            <w:pPr>
              <w:pStyle w:val="TableParagraph"/>
              <w:spacing w:before="76"/>
              <w:ind w:left="64"/>
              <w:jc w:val="left"/>
              <w:rPr>
                <w:sz w:val="18"/>
              </w:rPr>
            </w:pPr>
            <w:r>
              <w:rPr>
                <w:sz w:val="18"/>
              </w:rPr>
              <w:t>PRI</w:t>
            </w:r>
          </w:p>
        </w:tc>
        <w:tc>
          <w:tcPr>
            <w:tcW w:w="761" w:type="dxa"/>
          </w:tcPr>
          <w:p>
            <w:pPr>
              <w:pStyle w:val="TableParagraph"/>
              <w:spacing w:before="76"/>
              <w:ind w:left="67"/>
              <w:jc w:val="left"/>
              <w:rPr>
                <w:sz w:val="18"/>
              </w:rPr>
            </w:pPr>
            <w:r>
              <w:rPr>
                <w:sz w:val="18"/>
              </w:rPr>
              <w:t>PRI</w:t>
            </w:r>
          </w:p>
        </w:tc>
        <w:tc>
          <w:tcPr>
            <w:tcW w:w="655" w:type="dxa"/>
          </w:tcPr>
          <w:p>
            <w:pPr>
              <w:pStyle w:val="TableParagraph"/>
              <w:spacing w:before="76"/>
              <w:ind w:left="64"/>
              <w:jc w:val="left"/>
              <w:rPr>
                <w:sz w:val="18"/>
              </w:rPr>
            </w:pPr>
            <w:r>
              <w:rPr>
                <w:sz w:val="18"/>
              </w:rPr>
              <w:t>PRI</w:t>
            </w:r>
          </w:p>
        </w:tc>
        <w:tc>
          <w:tcPr>
            <w:tcW w:w="655" w:type="dxa"/>
          </w:tcPr>
          <w:p>
            <w:pPr>
              <w:pStyle w:val="TableParagraph"/>
              <w:spacing w:before="76"/>
              <w:ind w:left="67"/>
              <w:jc w:val="left"/>
              <w:rPr>
                <w:sz w:val="18"/>
              </w:rPr>
            </w:pPr>
            <w:r>
              <w:rPr>
                <w:sz w:val="18"/>
              </w:rPr>
              <w:t>PRI</w:t>
            </w:r>
          </w:p>
        </w:tc>
        <w:tc>
          <w:tcPr>
            <w:tcW w:w="1604" w:type="dxa"/>
            <w:shd w:val="clear" w:color="auto" w:fill="006FC0"/>
          </w:tcPr>
          <w:p>
            <w:pPr>
              <w:pStyle w:val="TableParagraph"/>
              <w:spacing w:before="76"/>
              <w:ind w:left="67"/>
              <w:jc w:val="left"/>
              <w:rPr>
                <w:sz w:val="18"/>
              </w:rPr>
            </w:pPr>
            <w:r>
              <w:rPr>
                <w:sz w:val="18"/>
              </w:rPr>
              <w:t>PAN</w:t>
            </w:r>
          </w:p>
        </w:tc>
        <w:tc>
          <w:tcPr>
            <w:tcW w:w="1733" w:type="dxa"/>
            <w:shd w:val="clear" w:color="auto" w:fill="006FC0"/>
          </w:tcPr>
          <w:p>
            <w:pPr>
              <w:pStyle w:val="TableParagraph"/>
              <w:spacing w:before="76"/>
              <w:ind w:left="64"/>
              <w:jc w:val="left"/>
              <w:rPr>
                <w:sz w:val="18"/>
              </w:rPr>
            </w:pPr>
            <w:r>
              <w:rPr>
                <w:sz w:val="18"/>
              </w:rPr>
              <w:t>PAN</w:t>
            </w:r>
          </w:p>
        </w:tc>
        <w:tc>
          <w:tcPr>
            <w:tcW w:w="2062" w:type="dxa"/>
            <w:shd w:val="clear" w:color="auto" w:fill="006FC0"/>
          </w:tcPr>
          <w:p>
            <w:pPr>
              <w:pStyle w:val="TableParagraph"/>
              <w:spacing w:before="76"/>
              <w:ind w:left="67" w:right="295"/>
              <w:jc w:val="left"/>
              <w:rPr>
                <w:sz w:val="18"/>
              </w:rPr>
            </w:pPr>
            <w:r>
              <w:rPr>
                <w:sz w:val="18"/>
              </w:rPr>
              <w:t>PAN</w:t>
            </w:r>
          </w:p>
        </w:tc>
        <w:tc>
          <w:tcPr>
            <w:tcW w:w="1397" w:type="dxa"/>
          </w:tcPr>
          <w:p>
            <w:pPr>
              <w:pStyle w:val="TableParagraph"/>
              <w:spacing w:before="76"/>
              <w:ind w:left="67"/>
              <w:jc w:val="left"/>
              <w:rPr>
                <w:sz w:val="18"/>
              </w:rPr>
            </w:pPr>
            <w:r>
              <w:rPr>
                <w:sz w:val="18"/>
              </w:rPr>
              <w:t>PRI-PVEM-NA</w:t>
            </w:r>
          </w:p>
        </w:tc>
      </w:tr>
      <w:tr>
        <w:trPr>
          <w:trHeight w:val="295" w:hRule="exact"/>
        </w:trPr>
        <w:tc>
          <w:tcPr>
            <w:tcW w:w="3882" w:type="dxa"/>
          </w:tcPr>
          <w:p>
            <w:pPr>
              <w:pStyle w:val="TableParagraph"/>
              <w:spacing w:before="32"/>
              <w:ind w:left="67"/>
              <w:jc w:val="left"/>
              <w:rPr>
                <w:b/>
                <w:sz w:val="18"/>
              </w:rPr>
            </w:pPr>
            <w:r>
              <w:rPr>
                <w:b/>
                <w:color w:val="333333"/>
                <w:sz w:val="18"/>
              </w:rPr>
              <w:t>SULTEPEC</w:t>
            </w:r>
          </w:p>
        </w:tc>
        <w:tc>
          <w:tcPr>
            <w:tcW w:w="655" w:type="dxa"/>
          </w:tcPr>
          <w:p>
            <w:pPr>
              <w:pStyle w:val="TableParagraph"/>
              <w:spacing w:before="76"/>
              <w:ind w:left="64"/>
              <w:jc w:val="left"/>
              <w:rPr>
                <w:sz w:val="18"/>
              </w:rPr>
            </w:pPr>
            <w:r>
              <w:rPr>
                <w:sz w:val="18"/>
              </w:rPr>
              <w:t>PRI</w:t>
            </w:r>
          </w:p>
        </w:tc>
        <w:tc>
          <w:tcPr>
            <w:tcW w:w="761" w:type="dxa"/>
          </w:tcPr>
          <w:p>
            <w:pPr>
              <w:pStyle w:val="TableParagraph"/>
              <w:spacing w:before="76"/>
              <w:ind w:left="67"/>
              <w:jc w:val="left"/>
              <w:rPr>
                <w:sz w:val="18"/>
              </w:rPr>
            </w:pPr>
            <w:r>
              <w:rPr>
                <w:sz w:val="18"/>
              </w:rPr>
              <w:t>PAN</w:t>
            </w:r>
          </w:p>
        </w:tc>
        <w:tc>
          <w:tcPr>
            <w:tcW w:w="655" w:type="dxa"/>
          </w:tcPr>
          <w:p>
            <w:pPr>
              <w:pStyle w:val="TableParagraph"/>
              <w:spacing w:before="76"/>
              <w:ind w:left="64"/>
              <w:jc w:val="left"/>
              <w:rPr>
                <w:sz w:val="18"/>
              </w:rPr>
            </w:pPr>
            <w:r>
              <w:rPr>
                <w:sz w:val="18"/>
              </w:rPr>
              <w:t>PRI</w:t>
            </w:r>
          </w:p>
        </w:tc>
        <w:tc>
          <w:tcPr>
            <w:tcW w:w="655" w:type="dxa"/>
          </w:tcPr>
          <w:p>
            <w:pPr>
              <w:pStyle w:val="TableParagraph"/>
              <w:spacing w:before="76"/>
              <w:ind w:left="67"/>
              <w:jc w:val="left"/>
              <w:rPr>
                <w:sz w:val="18"/>
              </w:rPr>
            </w:pPr>
            <w:r>
              <w:rPr>
                <w:sz w:val="18"/>
              </w:rPr>
              <w:t>PRI</w:t>
            </w:r>
          </w:p>
        </w:tc>
        <w:tc>
          <w:tcPr>
            <w:tcW w:w="1604" w:type="dxa"/>
          </w:tcPr>
          <w:p>
            <w:pPr>
              <w:pStyle w:val="TableParagraph"/>
              <w:spacing w:before="76"/>
              <w:ind w:left="67"/>
              <w:jc w:val="left"/>
              <w:rPr>
                <w:sz w:val="18"/>
              </w:rPr>
            </w:pPr>
            <w:r>
              <w:rPr>
                <w:sz w:val="18"/>
              </w:rPr>
              <w:t>PRI-PVEM</w:t>
            </w:r>
          </w:p>
        </w:tc>
        <w:tc>
          <w:tcPr>
            <w:tcW w:w="1733" w:type="dxa"/>
          </w:tcPr>
          <w:p>
            <w:pPr>
              <w:pStyle w:val="TableParagraph"/>
              <w:spacing w:before="76"/>
              <w:ind w:left="64"/>
              <w:jc w:val="left"/>
              <w:rPr>
                <w:sz w:val="18"/>
              </w:rPr>
            </w:pPr>
            <w:r>
              <w:rPr>
                <w:sz w:val="18"/>
              </w:rPr>
              <w:t>PRI-PVEM</w:t>
            </w:r>
          </w:p>
        </w:tc>
        <w:tc>
          <w:tcPr>
            <w:tcW w:w="2062" w:type="dxa"/>
            <w:shd w:val="clear" w:color="auto" w:fill="006FC0"/>
          </w:tcPr>
          <w:p>
            <w:pPr>
              <w:pStyle w:val="TableParagraph"/>
              <w:spacing w:before="76"/>
              <w:ind w:left="67" w:right="295"/>
              <w:jc w:val="left"/>
              <w:rPr>
                <w:sz w:val="18"/>
              </w:rPr>
            </w:pPr>
            <w:r>
              <w:rPr>
                <w:sz w:val="18"/>
              </w:rPr>
              <w:t>PAN</w:t>
            </w:r>
          </w:p>
        </w:tc>
        <w:tc>
          <w:tcPr>
            <w:tcW w:w="1397" w:type="dxa"/>
          </w:tcPr>
          <w:p>
            <w:pPr>
              <w:pStyle w:val="TableParagraph"/>
              <w:spacing w:before="76"/>
              <w:ind w:left="67"/>
              <w:jc w:val="left"/>
              <w:rPr>
                <w:sz w:val="18"/>
              </w:rPr>
            </w:pPr>
            <w:r>
              <w:rPr>
                <w:sz w:val="18"/>
              </w:rPr>
              <w:t>PRI-PVEM-NA</w:t>
            </w:r>
          </w:p>
        </w:tc>
      </w:tr>
      <w:tr>
        <w:trPr>
          <w:trHeight w:val="423" w:hRule="exact"/>
        </w:trPr>
        <w:tc>
          <w:tcPr>
            <w:tcW w:w="3882" w:type="dxa"/>
          </w:tcPr>
          <w:p>
            <w:pPr>
              <w:pStyle w:val="TableParagraph"/>
              <w:spacing w:before="98"/>
              <w:ind w:left="67"/>
              <w:jc w:val="left"/>
              <w:rPr>
                <w:b/>
                <w:sz w:val="18"/>
              </w:rPr>
            </w:pPr>
            <w:r>
              <w:rPr>
                <w:b/>
                <w:color w:val="333333"/>
                <w:sz w:val="18"/>
              </w:rPr>
              <w:t>TECAMAC</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shd w:val="clear" w:color="auto" w:fill="006FC0"/>
          </w:tcPr>
          <w:p>
            <w:pPr>
              <w:pStyle w:val="TableParagraph"/>
              <w:spacing w:before="10"/>
              <w:jc w:val="left"/>
              <w:rPr>
                <w:rFonts w:ascii="Times New Roman"/>
                <w:sz w:val="17"/>
              </w:rPr>
            </w:pPr>
          </w:p>
          <w:p>
            <w:pPr>
              <w:pStyle w:val="TableParagraph"/>
              <w:ind w:left="64"/>
              <w:jc w:val="left"/>
              <w:rPr>
                <w:sz w:val="18"/>
              </w:rPr>
            </w:pPr>
            <w:r>
              <w:rPr>
                <w:sz w:val="18"/>
              </w:rPr>
              <w:t>PAN</w:t>
            </w:r>
          </w:p>
        </w:tc>
        <w:tc>
          <w:tcPr>
            <w:tcW w:w="655" w:type="dxa"/>
            <w:shd w:val="clear" w:color="auto" w:fill="006FC0"/>
          </w:tcPr>
          <w:p>
            <w:pPr>
              <w:pStyle w:val="TableParagraph"/>
              <w:spacing w:before="10"/>
              <w:jc w:val="left"/>
              <w:rPr>
                <w:rFonts w:ascii="Times New Roman"/>
                <w:sz w:val="17"/>
              </w:rPr>
            </w:pPr>
          </w:p>
          <w:p>
            <w:pPr>
              <w:pStyle w:val="TableParagraph"/>
              <w:ind w:left="67"/>
              <w:jc w:val="left"/>
              <w:rPr>
                <w:sz w:val="18"/>
              </w:rPr>
            </w:pPr>
            <w:r>
              <w:rPr>
                <w:sz w:val="18"/>
              </w:rPr>
              <w:t>PAN</w:t>
            </w: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shd w:val="clear" w:color="auto" w:fill="006FC0"/>
          </w:tcPr>
          <w:p>
            <w:pPr>
              <w:pStyle w:val="TableParagraph"/>
              <w:spacing w:before="10"/>
              <w:jc w:val="left"/>
              <w:rPr>
                <w:rFonts w:ascii="Times New Roman"/>
                <w:sz w:val="17"/>
              </w:rPr>
            </w:pPr>
          </w:p>
          <w:p>
            <w:pPr>
              <w:pStyle w:val="TableParagraph"/>
              <w:ind w:left="64"/>
              <w:jc w:val="left"/>
              <w:rPr>
                <w:sz w:val="18"/>
              </w:rPr>
            </w:pPr>
            <w:r>
              <w:rPr>
                <w:sz w:val="18"/>
              </w:rPr>
              <w:t>PAN</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5" w:hRule="exact"/>
        </w:trPr>
        <w:tc>
          <w:tcPr>
            <w:tcW w:w="3882" w:type="dxa"/>
          </w:tcPr>
          <w:p>
            <w:pPr>
              <w:pStyle w:val="TableParagraph"/>
              <w:spacing w:before="100"/>
              <w:ind w:left="67"/>
              <w:jc w:val="left"/>
              <w:rPr>
                <w:b/>
                <w:sz w:val="18"/>
              </w:rPr>
            </w:pPr>
            <w:r>
              <w:rPr>
                <w:b/>
                <w:color w:val="333333"/>
                <w:sz w:val="18"/>
              </w:rPr>
              <w:t>TEJUPILCO</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761"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655"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1604" w:type="dxa"/>
            <w:shd w:val="clear" w:color="auto" w:fill="FFFF00"/>
          </w:tcPr>
          <w:p>
            <w:pPr>
              <w:pStyle w:val="TableParagraph"/>
              <w:jc w:val="left"/>
              <w:rPr>
                <w:rFonts w:ascii="Times New Roman"/>
                <w:sz w:val="18"/>
              </w:rPr>
            </w:pPr>
          </w:p>
          <w:p>
            <w:pPr>
              <w:pStyle w:val="TableParagraph"/>
              <w:spacing w:before="1"/>
              <w:ind w:left="67"/>
              <w:jc w:val="left"/>
              <w:rPr>
                <w:sz w:val="18"/>
              </w:rPr>
            </w:pPr>
            <w:r>
              <w:rPr>
                <w:sz w:val="18"/>
              </w:rPr>
              <w:t>PRD</w:t>
            </w:r>
          </w:p>
        </w:tc>
        <w:tc>
          <w:tcPr>
            <w:tcW w:w="1733" w:type="dxa"/>
          </w:tcPr>
          <w:p>
            <w:pPr>
              <w:pStyle w:val="TableParagraph"/>
              <w:jc w:val="left"/>
              <w:rPr>
                <w:rFonts w:ascii="Times New Roman"/>
                <w:sz w:val="18"/>
              </w:rPr>
            </w:pPr>
          </w:p>
          <w:p>
            <w:pPr>
              <w:pStyle w:val="TableParagraph"/>
              <w:spacing w:before="1"/>
              <w:ind w:left="64"/>
              <w:jc w:val="left"/>
              <w:rPr>
                <w:sz w:val="18"/>
              </w:rPr>
            </w:pPr>
            <w:r>
              <w:rPr>
                <w:sz w:val="18"/>
              </w:rPr>
              <w:t>PRI-PVEM</w:t>
            </w:r>
          </w:p>
        </w:tc>
        <w:tc>
          <w:tcPr>
            <w:tcW w:w="2062" w:type="dxa"/>
          </w:tcPr>
          <w:p>
            <w:pPr>
              <w:pStyle w:val="TableParagraph"/>
              <w:ind w:left="67" w:right="295"/>
              <w:jc w:val="left"/>
              <w:rPr>
                <w:sz w:val="18"/>
              </w:rPr>
            </w:pPr>
            <w:r>
              <w:rPr>
                <w:sz w:val="18"/>
              </w:rPr>
              <w:t>PRI-PVEM-NA-PSD- PFD</w:t>
            </w:r>
          </w:p>
        </w:tc>
        <w:tc>
          <w:tcPr>
            <w:tcW w:w="1397" w:type="dxa"/>
          </w:tcPr>
          <w:p>
            <w:pPr>
              <w:pStyle w:val="TableParagraph"/>
              <w:jc w:val="left"/>
              <w:rPr>
                <w:rFonts w:ascii="Times New Roman"/>
                <w:sz w:val="18"/>
              </w:rPr>
            </w:pPr>
          </w:p>
          <w:p>
            <w:pPr>
              <w:pStyle w:val="TableParagraph"/>
              <w:spacing w:before="1"/>
              <w:ind w:left="67"/>
              <w:jc w:val="left"/>
              <w:rPr>
                <w:sz w:val="18"/>
              </w:rPr>
            </w:pPr>
            <w:r>
              <w:rPr>
                <w:sz w:val="18"/>
              </w:rPr>
              <w:t>PRI-PVEM-NA</w:t>
            </w:r>
          </w:p>
        </w:tc>
      </w:tr>
      <w:tr>
        <w:trPr>
          <w:trHeight w:val="425" w:hRule="exact"/>
        </w:trPr>
        <w:tc>
          <w:tcPr>
            <w:tcW w:w="3882" w:type="dxa"/>
          </w:tcPr>
          <w:p>
            <w:pPr>
              <w:pStyle w:val="TableParagraph"/>
              <w:spacing w:before="97"/>
              <w:ind w:left="67"/>
              <w:jc w:val="left"/>
              <w:rPr>
                <w:b/>
                <w:sz w:val="18"/>
              </w:rPr>
            </w:pPr>
            <w:r>
              <w:rPr>
                <w:b/>
                <w:color w:val="333333"/>
                <w:sz w:val="18"/>
              </w:rPr>
              <w:t>TEMAMATLA</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shd w:val="clear" w:color="auto" w:fill="FFFF00"/>
          </w:tcPr>
          <w:p>
            <w:pPr>
              <w:pStyle w:val="TableParagraph"/>
              <w:spacing w:before="10"/>
              <w:jc w:val="left"/>
              <w:rPr>
                <w:rFonts w:ascii="Times New Roman"/>
                <w:sz w:val="17"/>
              </w:rPr>
            </w:pPr>
          </w:p>
          <w:p>
            <w:pPr>
              <w:pStyle w:val="TableParagraph"/>
              <w:ind w:left="67"/>
              <w:jc w:val="left"/>
              <w:rPr>
                <w:sz w:val="18"/>
              </w:rPr>
            </w:pPr>
            <w:r>
              <w:rPr>
                <w:sz w:val="18"/>
              </w:rPr>
              <w:t>PRD</w:t>
            </w:r>
          </w:p>
        </w:tc>
        <w:tc>
          <w:tcPr>
            <w:tcW w:w="1733" w:type="dxa"/>
          </w:tcPr>
          <w:p>
            <w:pPr>
              <w:pStyle w:val="TableParagraph"/>
              <w:spacing w:before="10"/>
              <w:jc w:val="left"/>
              <w:rPr>
                <w:rFonts w:ascii="Times New Roman"/>
                <w:sz w:val="17"/>
              </w:rPr>
            </w:pPr>
          </w:p>
          <w:p>
            <w:pPr>
              <w:pStyle w:val="TableParagraph"/>
              <w:ind w:left="64"/>
              <w:jc w:val="left"/>
              <w:rPr>
                <w:sz w:val="18"/>
              </w:rPr>
            </w:pPr>
            <w:r>
              <w:rPr>
                <w:sz w:val="18"/>
              </w:rPr>
              <w:t>PRI-PVEM</w:t>
            </w:r>
          </w:p>
        </w:tc>
        <w:tc>
          <w:tcPr>
            <w:tcW w:w="2062" w:type="dxa"/>
          </w:tcPr>
          <w:p>
            <w:pPr>
              <w:pStyle w:val="TableParagraph"/>
              <w:ind w:left="67" w:right="295"/>
              <w:jc w:val="left"/>
              <w:rPr>
                <w:sz w:val="18"/>
              </w:rPr>
            </w:pPr>
            <w:r>
              <w:rPr>
                <w:sz w:val="18"/>
              </w:rPr>
              <w:t>PRI-PVEM-NA-PSD- PFD</w:t>
            </w:r>
          </w:p>
        </w:tc>
        <w:tc>
          <w:tcPr>
            <w:tcW w:w="1397" w:type="dxa"/>
            <w:shd w:val="clear" w:color="auto" w:fill="FAD3B4"/>
          </w:tcPr>
          <w:p>
            <w:pPr>
              <w:pStyle w:val="TableParagraph"/>
              <w:spacing w:before="10"/>
              <w:jc w:val="left"/>
              <w:rPr>
                <w:rFonts w:ascii="Times New Roman"/>
                <w:sz w:val="17"/>
              </w:rPr>
            </w:pPr>
          </w:p>
          <w:p>
            <w:pPr>
              <w:pStyle w:val="TableParagraph"/>
              <w:ind w:left="67"/>
              <w:jc w:val="left"/>
              <w:rPr>
                <w:sz w:val="18"/>
              </w:rPr>
            </w:pPr>
            <w:r>
              <w:rPr>
                <w:sz w:val="18"/>
              </w:rPr>
              <w:t>PT-MC</w:t>
            </w:r>
          </w:p>
        </w:tc>
      </w:tr>
      <w:tr>
        <w:trPr>
          <w:trHeight w:val="422" w:hRule="exact"/>
        </w:trPr>
        <w:tc>
          <w:tcPr>
            <w:tcW w:w="3882" w:type="dxa"/>
          </w:tcPr>
          <w:p>
            <w:pPr>
              <w:pStyle w:val="TableParagraph"/>
              <w:spacing w:before="97"/>
              <w:ind w:left="67"/>
              <w:jc w:val="left"/>
              <w:rPr>
                <w:b/>
                <w:sz w:val="18"/>
              </w:rPr>
            </w:pPr>
            <w:r>
              <w:rPr>
                <w:b/>
                <w:color w:val="333333"/>
                <w:sz w:val="18"/>
              </w:rPr>
              <w:t>TEMASCALAPA</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shd w:val="clear" w:color="auto" w:fill="006FC0"/>
          </w:tcPr>
          <w:p>
            <w:pPr>
              <w:pStyle w:val="TableParagraph"/>
              <w:spacing w:before="10"/>
              <w:jc w:val="left"/>
              <w:rPr>
                <w:rFonts w:ascii="Times New Roman"/>
                <w:sz w:val="17"/>
              </w:rPr>
            </w:pPr>
          </w:p>
          <w:p>
            <w:pPr>
              <w:pStyle w:val="TableParagraph"/>
              <w:ind w:left="64"/>
              <w:jc w:val="left"/>
              <w:rPr>
                <w:sz w:val="18"/>
              </w:rPr>
            </w:pPr>
            <w:r>
              <w:rPr>
                <w:sz w:val="18"/>
              </w:rPr>
              <w:t>PAN</w:t>
            </w:r>
          </w:p>
        </w:tc>
        <w:tc>
          <w:tcPr>
            <w:tcW w:w="655" w:type="dxa"/>
            <w:shd w:val="clear" w:color="auto" w:fill="006FC0"/>
          </w:tcPr>
          <w:p>
            <w:pPr>
              <w:pStyle w:val="TableParagraph"/>
              <w:spacing w:before="10"/>
              <w:jc w:val="left"/>
              <w:rPr>
                <w:rFonts w:ascii="Times New Roman"/>
                <w:sz w:val="17"/>
              </w:rPr>
            </w:pPr>
          </w:p>
          <w:p>
            <w:pPr>
              <w:pStyle w:val="TableParagraph"/>
              <w:ind w:left="67"/>
              <w:jc w:val="left"/>
              <w:rPr>
                <w:sz w:val="18"/>
              </w:rPr>
            </w:pPr>
            <w:r>
              <w:rPr>
                <w:sz w:val="18"/>
              </w:rPr>
              <w:t>PAN</w:t>
            </w:r>
          </w:p>
        </w:tc>
        <w:tc>
          <w:tcPr>
            <w:tcW w:w="1604" w:type="dxa"/>
            <w:shd w:val="clear" w:color="auto" w:fill="006FC0"/>
          </w:tcPr>
          <w:p>
            <w:pPr>
              <w:pStyle w:val="TableParagraph"/>
              <w:spacing w:before="10"/>
              <w:jc w:val="left"/>
              <w:rPr>
                <w:rFonts w:ascii="Times New Roman"/>
                <w:sz w:val="17"/>
              </w:rPr>
            </w:pPr>
          </w:p>
          <w:p>
            <w:pPr>
              <w:pStyle w:val="TableParagraph"/>
              <w:ind w:left="67"/>
              <w:jc w:val="left"/>
              <w:rPr>
                <w:sz w:val="18"/>
              </w:rPr>
            </w:pPr>
            <w:r>
              <w:rPr>
                <w:sz w:val="18"/>
              </w:rPr>
              <w:t>PAN</w:t>
            </w:r>
          </w:p>
        </w:tc>
        <w:tc>
          <w:tcPr>
            <w:tcW w:w="1733" w:type="dxa"/>
            <w:shd w:val="clear" w:color="auto" w:fill="006FC0"/>
          </w:tcPr>
          <w:p>
            <w:pPr>
              <w:pStyle w:val="TableParagraph"/>
              <w:spacing w:before="10"/>
              <w:jc w:val="left"/>
              <w:rPr>
                <w:rFonts w:ascii="Times New Roman"/>
                <w:sz w:val="17"/>
              </w:rPr>
            </w:pPr>
          </w:p>
          <w:p>
            <w:pPr>
              <w:pStyle w:val="TableParagraph"/>
              <w:ind w:left="64"/>
              <w:jc w:val="left"/>
              <w:rPr>
                <w:sz w:val="18"/>
              </w:rPr>
            </w:pPr>
            <w:r>
              <w:rPr>
                <w:sz w:val="18"/>
              </w:rPr>
              <w:t>PAN</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5" w:hRule="exact"/>
        </w:trPr>
        <w:tc>
          <w:tcPr>
            <w:tcW w:w="3882" w:type="dxa"/>
          </w:tcPr>
          <w:p>
            <w:pPr>
              <w:pStyle w:val="TableParagraph"/>
              <w:spacing w:before="97"/>
              <w:ind w:left="67"/>
              <w:jc w:val="left"/>
              <w:rPr>
                <w:b/>
                <w:sz w:val="18"/>
              </w:rPr>
            </w:pPr>
            <w:r>
              <w:rPr>
                <w:b/>
                <w:color w:val="333333"/>
                <w:sz w:val="18"/>
              </w:rPr>
              <w:t>TEMASCALCINGO</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761"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655"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1604" w:type="dxa"/>
          </w:tcPr>
          <w:p>
            <w:pPr>
              <w:pStyle w:val="TableParagraph"/>
              <w:jc w:val="left"/>
              <w:rPr>
                <w:rFonts w:ascii="Times New Roman"/>
                <w:sz w:val="18"/>
              </w:rPr>
            </w:pPr>
          </w:p>
          <w:p>
            <w:pPr>
              <w:pStyle w:val="TableParagraph"/>
              <w:spacing w:before="1"/>
              <w:ind w:left="67"/>
              <w:jc w:val="left"/>
              <w:rPr>
                <w:sz w:val="18"/>
              </w:rPr>
            </w:pPr>
            <w:r>
              <w:rPr>
                <w:sz w:val="18"/>
              </w:rPr>
              <w:t>PRI-PVEM</w:t>
            </w:r>
          </w:p>
        </w:tc>
        <w:tc>
          <w:tcPr>
            <w:tcW w:w="1733" w:type="dxa"/>
            <w:shd w:val="clear" w:color="auto" w:fill="FFFF00"/>
          </w:tcPr>
          <w:p>
            <w:pPr>
              <w:pStyle w:val="TableParagraph"/>
              <w:jc w:val="left"/>
              <w:rPr>
                <w:rFonts w:ascii="Times New Roman"/>
                <w:sz w:val="18"/>
              </w:rPr>
            </w:pPr>
          </w:p>
          <w:p>
            <w:pPr>
              <w:pStyle w:val="TableParagraph"/>
              <w:spacing w:before="1"/>
              <w:ind w:left="64"/>
              <w:jc w:val="left"/>
              <w:rPr>
                <w:sz w:val="18"/>
              </w:rPr>
            </w:pPr>
            <w:r>
              <w:rPr>
                <w:sz w:val="18"/>
              </w:rPr>
              <w:t>PRD-PAN-PT</w:t>
            </w:r>
          </w:p>
        </w:tc>
        <w:tc>
          <w:tcPr>
            <w:tcW w:w="2062" w:type="dxa"/>
          </w:tcPr>
          <w:p>
            <w:pPr>
              <w:pStyle w:val="TableParagraph"/>
              <w:ind w:left="67" w:right="295"/>
              <w:jc w:val="left"/>
              <w:rPr>
                <w:sz w:val="18"/>
              </w:rPr>
            </w:pPr>
            <w:r>
              <w:rPr>
                <w:sz w:val="18"/>
              </w:rPr>
              <w:t>PRI-PVEM-NA-PSD- PFD</w:t>
            </w:r>
          </w:p>
        </w:tc>
        <w:tc>
          <w:tcPr>
            <w:tcW w:w="1397" w:type="dxa"/>
          </w:tcPr>
          <w:p>
            <w:pPr>
              <w:pStyle w:val="TableParagraph"/>
              <w:jc w:val="left"/>
              <w:rPr>
                <w:rFonts w:ascii="Times New Roman"/>
                <w:sz w:val="18"/>
              </w:rPr>
            </w:pPr>
          </w:p>
          <w:p>
            <w:pPr>
              <w:pStyle w:val="TableParagraph"/>
              <w:spacing w:before="1"/>
              <w:ind w:left="67"/>
              <w:jc w:val="left"/>
              <w:rPr>
                <w:sz w:val="18"/>
              </w:rPr>
            </w:pPr>
            <w:r>
              <w:rPr>
                <w:sz w:val="18"/>
              </w:rPr>
              <w:t>PRI-PVEM-NA</w:t>
            </w:r>
          </w:p>
        </w:tc>
      </w:tr>
      <w:tr>
        <w:trPr>
          <w:trHeight w:val="422" w:hRule="exact"/>
        </w:trPr>
        <w:tc>
          <w:tcPr>
            <w:tcW w:w="3882" w:type="dxa"/>
          </w:tcPr>
          <w:p>
            <w:pPr>
              <w:pStyle w:val="TableParagraph"/>
              <w:spacing w:before="97"/>
              <w:ind w:left="67"/>
              <w:jc w:val="left"/>
              <w:rPr>
                <w:b/>
                <w:sz w:val="18"/>
              </w:rPr>
            </w:pPr>
            <w:r>
              <w:rPr>
                <w:b/>
                <w:color w:val="333333"/>
                <w:sz w:val="18"/>
              </w:rPr>
              <w:t>TEMASCALTEPEC</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tcPr>
          <w:p>
            <w:pPr>
              <w:pStyle w:val="TableParagraph"/>
              <w:spacing w:before="10"/>
              <w:jc w:val="left"/>
              <w:rPr>
                <w:rFonts w:ascii="Times New Roman"/>
                <w:sz w:val="17"/>
              </w:rPr>
            </w:pPr>
          </w:p>
          <w:p>
            <w:pPr>
              <w:pStyle w:val="TableParagraph"/>
              <w:ind w:left="64"/>
              <w:jc w:val="left"/>
              <w:rPr>
                <w:sz w:val="18"/>
              </w:rPr>
            </w:pPr>
            <w:r>
              <w:rPr>
                <w:sz w:val="18"/>
              </w:rPr>
              <w:t>PRI-PVEM</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5" w:hRule="exact"/>
        </w:trPr>
        <w:tc>
          <w:tcPr>
            <w:tcW w:w="3882" w:type="dxa"/>
          </w:tcPr>
          <w:p>
            <w:pPr>
              <w:pStyle w:val="TableParagraph"/>
              <w:spacing w:before="100"/>
              <w:ind w:left="67"/>
              <w:jc w:val="left"/>
              <w:rPr>
                <w:b/>
                <w:sz w:val="18"/>
              </w:rPr>
            </w:pPr>
            <w:r>
              <w:rPr>
                <w:b/>
                <w:color w:val="333333"/>
                <w:sz w:val="18"/>
              </w:rPr>
              <w:t>TEMOAYA</w:t>
            </w:r>
          </w:p>
        </w:tc>
        <w:tc>
          <w:tcPr>
            <w:tcW w:w="655" w:type="dxa"/>
          </w:tcPr>
          <w:p>
            <w:pPr>
              <w:pStyle w:val="TableParagraph"/>
              <w:spacing w:before="1"/>
              <w:jc w:val="left"/>
              <w:rPr>
                <w:rFonts w:ascii="Times New Roman"/>
                <w:sz w:val="18"/>
              </w:rPr>
            </w:pPr>
          </w:p>
          <w:p>
            <w:pPr>
              <w:pStyle w:val="TableParagraph"/>
              <w:ind w:left="64"/>
              <w:jc w:val="left"/>
              <w:rPr>
                <w:sz w:val="18"/>
              </w:rPr>
            </w:pPr>
            <w:r>
              <w:rPr>
                <w:sz w:val="18"/>
              </w:rPr>
              <w:t>PRI</w:t>
            </w:r>
          </w:p>
        </w:tc>
        <w:tc>
          <w:tcPr>
            <w:tcW w:w="761" w:type="dxa"/>
          </w:tcPr>
          <w:p>
            <w:pPr>
              <w:pStyle w:val="TableParagraph"/>
              <w:spacing w:before="1"/>
              <w:jc w:val="left"/>
              <w:rPr>
                <w:rFonts w:ascii="Times New Roman"/>
                <w:sz w:val="18"/>
              </w:rPr>
            </w:pPr>
          </w:p>
          <w:p>
            <w:pPr>
              <w:pStyle w:val="TableParagraph"/>
              <w:ind w:left="67"/>
              <w:jc w:val="left"/>
              <w:rPr>
                <w:sz w:val="18"/>
              </w:rPr>
            </w:pPr>
            <w:r>
              <w:rPr>
                <w:sz w:val="18"/>
              </w:rPr>
              <w:t>PRI</w:t>
            </w:r>
          </w:p>
        </w:tc>
        <w:tc>
          <w:tcPr>
            <w:tcW w:w="655" w:type="dxa"/>
          </w:tcPr>
          <w:p>
            <w:pPr>
              <w:pStyle w:val="TableParagraph"/>
              <w:spacing w:before="1"/>
              <w:jc w:val="left"/>
              <w:rPr>
                <w:rFonts w:ascii="Times New Roman"/>
                <w:sz w:val="18"/>
              </w:rPr>
            </w:pPr>
          </w:p>
          <w:p>
            <w:pPr>
              <w:pStyle w:val="TableParagraph"/>
              <w:ind w:left="64"/>
              <w:jc w:val="left"/>
              <w:rPr>
                <w:sz w:val="18"/>
              </w:rPr>
            </w:pPr>
            <w:r>
              <w:rPr>
                <w:sz w:val="18"/>
              </w:rPr>
              <w:t>PRI</w:t>
            </w:r>
          </w:p>
        </w:tc>
        <w:tc>
          <w:tcPr>
            <w:tcW w:w="655" w:type="dxa"/>
          </w:tcPr>
          <w:p>
            <w:pPr>
              <w:pStyle w:val="TableParagraph"/>
              <w:spacing w:before="1"/>
              <w:jc w:val="left"/>
              <w:rPr>
                <w:rFonts w:ascii="Times New Roman"/>
                <w:sz w:val="18"/>
              </w:rPr>
            </w:pPr>
          </w:p>
          <w:p>
            <w:pPr>
              <w:pStyle w:val="TableParagraph"/>
              <w:ind w:left="67"/>
              <w:jc w:val="left"/>
              <w:rPr>
                <w:sz w:val="18"/>
              </w:rPr>
            </w:pPr>
            <w:r>
              <w:rPr>
                <w:sz w:val="18"/>
              </w:rPr>
              <w:t>PRI</w:t>
            </w:r>
          </w:p>
        </w:tc>
        <w:tc>
          <w:tcPr>
            <w:tcW w:w="1604" w:type="dxa"/>
          </w:tcPr>
          <w:p>
            <w:pPr>
              <w:pStyle w:val="TableParagraph"/>
              <w:spacing w:before="1"/>
              <w:jc w:val="left"/>
              <w:rPr>
                <w:rFonts w:ascii="Times New Roman"/>
                <w:sz w:val="18"/>
              </w:rPr>
            </w:pPr>
          </w:p>
          <w:p>
            <w:pPr>
              <w:pStyle w:val="TableParagraph"/>
              <w:ind w:left="67"/>
              <w:jc w:val="left"/>
              <w:rPr>
                <w:sz w:val="18"/>
              </w:rPr>
            </w:pPr>
            <w:r>
              <w:rPr>
                <w:sz w:val="18"/>
              </w:rPr>
              <w:t>PRI-PVEM</w:t>
            </w:r>
          </w:p>
        </w:tc>
        <w:tc>
          <w:tcPr>
            <w:tcW w:w="1733" w:type="dxa"/>
            <w:shd w:val="clear" w:color="auto" w:fill="FFFF00"/>
          </w:tcPr>
          <w:p>
            <w:pPr>
              <w:pStyle w:val="TableParagraph"/>
              <w:spacing w:before="1"/>
              <w:jc w:val="left"/>
              <w:rPr>
                <w:rFonts w:ascii="Times New Roman"/>
                <w:sz w:val="18"/>
              </w:rPr>
            </w:pPr>
          </w:p>
          <w:p>
            <w:pPr>
              <w:pStyle w:val="TableParagraph"/>
              <w:ind w:left="64"/>
              <w:jc w:val="left"/>
              <w:rPr>
                <w:sz w:val="18"/>
              </w:rPr>
            </w:pPr>
            <w:r>
              <w:rPr>
                <w:sz w:val="18"/>
              </w:rPr>
              <w:t>PRD-PAN</w:t>
            </w:r>
          </w:p>
        </w:tc>
        <w:tc>
          <w:tcPr>
            <w:tcW w:w="2062" w:type="dxa"/>
          </w:tcPr>
          <w:p>
            <w:pPr>
              <w:pStyle w:val="TableParagraph"/>
              <w:spacing w:before="2"/>
              <w:ind w:left="67" w:right="295"/>
              <w:jc w:val="left"/>
              <w:rPr>
                <w:sz w:val="18"/>
              </w:rPr>
            </w:pPr>
            <w:r>
              <w:rPr>
                <w:sz w:val="18"/>
              </w:rPr>
              <w:t>PRI-PVEM-NA-PSD- PFD</w:t>
            </w:r>
          </w:p>
        </w:tc>
        <w:tc>
          <w:tcPr>
            <w:tcW w:w="1397" w:type="dxa"/>
          </w:tcPr>
          <w:p>
            <w:pPr>
              <w:pStyle w:val="TableParagraph"/>
              <w:spacing w:before="1"/>
              <w:jc w:val="left"/>
              <w:rPr>
                <w:rFonts w:ascii="Times New Roman"/>
                <w:sz w:val="18"/>
              </w:rPr>
            </w:pPr>
          </w:p>
          <w:p>
            <w:pPr>
              <w:pStyle w:val="TableParagraph"/>
              <w:ind w:left="67"/>
              <w:jc w:val="left"/>
              <w:rPr>
                <w:sz w:val="18"/>
              </w:rPr>
            </w:pPr>
            <w:r>
              <w:rPr>
                <w:sz w:val="18"/>
              </w:rPr>
              <w:t>PRI-PVEM-NA</w:t>
            </w:r>
          </w:p>
        </w:tc>
      </w:tr>
      <w:tr>
        <w:trPr>
          <w:trHeight w:val="425" w:hRule="exact"/>
        </w:trPr>
        <w:tc>
          <w:tcPr>
            <w:tcW w:w="3882" w:type="dxa"/>
          </w:tcPr>
          <w:p>
            <w:pPr>
              <w:pStyle w:val="TableParagraph"/>
              <w:spacing w:before="97"/>
              <w:ind w:left="67"/>
              <w:jc w:val="left"/>
              <w:rPr>
                <w:b/>
                <w:sz w:val="18"/>
              </w:rPr>
            </w:pPr>
            <w:r>
              <w:rPr>
                <w:b/>
                <w:color w:val="333333"/>
                <w:sz w:val="18"/>
              </w:rPr>
              <w:t>TENANCINGO</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761"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655" w:type="dxa"/>
            <w:shd w:val="clear" w:color="auto" w:fill="006FC0"/>
          </w:tcPr>
          <w:p>
            <w:pPr>
              <w:pStyle w:val="TableParagraph"/>
              <w:jc w:val="left"/>
              <w:rPr>
                <w:rFonts w:ascii="Times New Roman"/>
                <w:sz w:val="18"/>
              </w:rPr>
            </w:pPr>
          </w:p>
          <w:p>
            <w:pPr>
              <w:pStyle w:val="TableParagraph"/>
              <w:spacing w:before="1"/>
              <w:ind w:left="64"/>
              <w:jc w:val="left"/>
              <w:rPr>
                <w:sz w:val="18"/>
              </w:rPr>
            </w:pPr>
            <w:r>
              <w:rPr>
                <w:sz w:val="18"/>
              </w:rPr>
              <w:t>PAN</w:t>
            </w:r>
          </w:p>
        </w:tc>
        <w:tc>
          <w:tcPr>
            <w:tcW w:w="655"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1604" w:type="dxa"/>
          </w:tcPr>
          <w:p>
            <w:pPr>
              <w:pStyle w:val="TableParagraph"/>
              <w:jc w:val="left"/>
              <w:rPr>
                <w:rFonts w:ascii="Times New Roman"/>
                <w:sz w:val="18"/>
              </w:rPr>
            </w:pPr>
          </w:p>
          <w:p>
            <w:pPr>
              <w:pStyle w:val="TableParagraph"/>
              <w:spacing w:before="1"/>
              <w:ind w:left="67"/>
              <w:jc w:val="left"/>
              <w:rPr>
                <w:sz w:val="18"/>
              </w:rPr>
            </w:pPr>
            <w:r>
              <w:rPr>
                <w:sz w:val="18"/>
              </w:rPr>
              <w:t>PRI-PVEM</w:t>
            </w:r>
          </w:p>
        </w:tc>
        <w:tc>
          <w:tcPr>
            <w:tcW w:w="1733" w:type="dxa"/>
            <w:shd w:val="clear" w:color="auto" w:fill="FFFF00"/>
          </w:tcPr>
          <w:p>
            <w:pPr>
              <w:pStyle w:val="TableParagraph"/>
              <w:jc w:val="left"/>
              <w:rPr>
                <w:rFonts w:ascii="Times New Roman"/>
                <w:sz w:val="18"/>
              </w:rPr>
            </w:pPr>
          </w:p>
          <w:p>
            <w:pPr>
              <w:pStyle w:val="TableParagraph"/>
              <w:spacing w:before="1"/>
              <w:ind w:left="64"/>
              <w:jc w:val="left"/>
              <w:rPr>
                <w:sz w:val="18"/>
              </w:rPr>
            </w:pPr>
            <w:r>
              <w:rPr>
                <w:sz w:val="18"/>
              </w:rPr>
              <w:t>PRD</w:t>
            </w:r>
          </w:p>
        </w:tc>
        <w:tc>
          <w:tcPr>
            <w:tcW w:w="2062" w:type="dxa"/>
          </w:tcPr>
          <w:p>
            <w:pPr>
              <w:pStyle w:val="TableParagraph"/>
              <w:ind w:left="67" w:right="295"/>
              <w:jc w:val="left"/>
              <w:rPr>
                <w:sz w:val="18"/>
              </w:rPr>
            </w:pPr>
            <w:r>
              <w:rPr>
                <w:sz w:val="18"/>
              </w:rPr>
              <w:t>PRI-PVEM-NA-PSD- PFD</w:t>
            </w:r>
          </w:p>
        </w:tc>
        <w:tc>
          <w:tcPr>
            <w:tcW w:w="1397" w:type="dxa"/>
          </w:tcPr>
          <w:p>
            <w:pPr>
              <w:pStyle w:val="TableParagraph"/>
              <w:jc w:val="left"/>
              <w:rPr>
                <w:rFonts w:ascii="Times New Roman"/>
                <w:sz w:val="18"/>
              </w:rPr>
            </w:pPr>
          </w:p>
          <w:p>
            <w:pPr>
              <w:pStyle w:val="TableParagraph"/>
              <w:spacing w:before="1"/>
              <w:ind w:left="67"/>
              <w:jc w:val="left"/>
              <w:rPr>
                <w:sz w:val="18"/>
              </w:rPr>
            </w:pPr>
            <w:r>
              <w:rPr>
                <w:sz w:val="18"/>
              </w:rPr>
              <w:t>PRI-PVEM-NA</w:t>
            </w:r>
          </w:p>
        </w:tc>
      </w:tr>
      <w:tr>
        <w:trPr>
          <w:trHeight w:val="422" w:hRule="exact"/>
        </w:trPr>
        <w:tc>
          <w:tcPr>
            <w:tcW w:w="3882" w:type="dxa"/>
          </w:tcPr>
          <w:p>
            <w:pPr>
              <w:pStyle w:val="TableParagraph"/>
              <w:spacing w:before="97"/>
              <w:ind w:left="67"/>
              <w:jc w:val="left"/>
              <w:rPr>
                <w:b/>
                <w:sz w:val="18"/>
              </w:rPr>
            </w:pPr>
            <w:r>
              <w:rPr>
                <w:b/>
                <w:color w:val="333333"/>
                <w:sz w:val="18"/>
              </w:rPr>
              <w:t>TENANGO DEL AIRE</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shd w:val="clear" w:color="auto" w:fill="FFFF00"/>
          </w:tcPr>
          <w:p>
            <w:pPr>
              <w:pStyle w:val="TableParagraph"/>
              <w:spacing w:before="10"/>
              <w:jc w:val="left"/>
              <w:rPr>
                <w:rFonts w:ascii="Times New Roman"/>
                <w:sz w:val="17"/>
              </w:rPr>
            </w:pPr>
          </w:p>
          <w:p>
            <w:pPr>
              <w:pStyle w:val="TableParagraph"/>
              <w:ind w:left="64"/>
              <w:jc w:val="left"/>
              <w:rPr>
                <w:sz w:val="18"/>
              </w:rPr>
            </w:pPr>
            <w:r>
              <w:rPr>
                <w:sz w:val="18"/>
              </w:rPr>
              <w:t>PRD</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shd w:val="clear" w:color="auto" w:fill="FFFF00"/>
          </w:tcPr>
          <w:p>
            <w:pPr>
              <w:pStyle w:val="TableParagraph"/>
              <w:spacing w:before="10"/>
              <w:jc w:val="left"/>
              <w:rPr>
                <w:rFonts w:ascii="Times New Roman"/>
                <w:sz w:val="17"/>
              </w:rPr>
            </w:pPr>
          </w:p>
          <w:p>
            <w:pPr>
              <w:pStyle w:val="TableParagraph"/>
              <w:ind w:left="67"/>
              <w:jc w:val="left"/>
              <w:rPr>
                <w:sz w:val="18"/>
              </w:rPr>
            </w:pPr>
            <w:r>
              <w:rPr>
                <w:sz w:val="18"/>
              </w:rPr>
              <w:t>PRD</w:t>
            </w:r>
          </w:p>
        </w:tc>
        <w:tc>
          <w:tcPr>
            <w:tcW w:w="1733" w:type="dxa"/>
          </w:tcPr>
          <w:p>
            <w:pPr>
              <w:pStyle w:val="TableParagraph"/>
              <w:spacing w:before="10"/>
              <w:jc w:val="left"/>
              <w:rPr>
                <w:rFonts w:ascii="Times New Roman"/>
                <w:sz w:val="17"/>
              </w:rPr>
            </w:pPr>
          </w:p>
          <w:p>
            <w:pPr>
              <w:pStyle w:val="TableParagraph"/>
              <w:ind w:left="64"/>
              <w:jc w:val="left"/>
              <w:rPr>
                <w:sz w:val="18"/>
              </w:rPr>
            </w:pPr>
            <w:r>
              <w:rPr>
                <w:sz w:val="18"/>
              </w:rPr>
              <w:t>PRI-PVEM</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5" w:hRule="exact"/>
        </w:trPr>
        <w:tc>
          <w:tcPr>
            <w:tcW w:w="3882" w:type="dxa"/>
          </w:tcPr>
          <w:p>
            <w:pPr>
              <w:pStyle w:val="TableParagraph"/>
              <w:spacing w:before="100"/>
              <w:ind w:left="67"/>
              <w:jc w:val="left"/>
              <w:rPr>
                <w:b/>
                <w:sz w:val="18"/>
              </w:rPr>
            </w:pPr>
            <w:r>
              <w:rPr>
                <w:b/>
                <w:color w:val="333333"/>
                <w:sz w:val="18"/>
              </w:rPr>
              <w:t>TENANGO DEL VALLE</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761"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655" w:type="dxa"/>
            <w:shd w:val="clear" w:color="auto" w:fill="006FC0"/>
          </w:tcPr>
          <w:p>
            <w:pPr>
              <w:pStyle w:val="TableParagraph"/>
              <w:jc w:val="left"/>
              <w:rPr>
                <w:rFonts w:ascii="Times New Roman"/>
                <w:sz w:val="18"/>
              </w:rPr>
            </w:pPr>
          </w:p>
          <w:p>
            <w:pPr>
              <w:pStyle w:val="TableParagraph"/>
              <w:spacing w:before="1"/>
              <w:ind w:left="64"/>
              <w:jc w:val="left"/>
              <w:rPr>
                <w:sz w:val="18"/>
              </w:rPr>
            </w:pPr>
            <w:r>
              <w:rPr>
                <w:sz w:val="18"/>
              </w:rPr>
              <w:t>PAN</w:t>
            </w:r>
          </w:p>
        </w:tc>
        <w:tc>
          <w:tcPr>
            <w:tcW w:w="655"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1604" w:type="dxa"/>
          </w:tcPr>
          <w:p>
            <w:pPr>
              <w:pStyle w:val="TableParagraph"/>
              <w:jc w:val="left"/>
              <w:rPr>
                <w:rFonts w:ascii="Times New Roman"/>
                <w:sz w:val="18"/>
              </w:rPr>
            </w:pPr>
          </w:p>
          <w:p>
            <w:pPr>
              <w:pStyle w:val="TableParagraph"/>
              <w:spacing w:before="1"/>
              <w:ind w:left="67"/>
              <w:jc w:val="left"/>
              <w:rPr>
                <w:sz w:val="18"/>
              </w:rPr>
            </w:pPr>
            <w:r>
              <w:rPr>
                <w:sz w:val="18"/>
              </w:rPr>
              <w:t>PRI-PVEM</w:t>
            </w:r>
          </w:p>
        </w:tc>
        <w:tc>
          <w:tcPr>
            <w:tcW w:w="1733" w:type="dxa"/>
            <w:shd w:val="clear" w:color="auto" w:fill="FFFF00"/>
          </w:tcPr>
          <w:p>
            <w:pPr>
              <w:pStyle w:val="TableParagraph"/>
              <w:jc w:val="left"/>
              <w:rPr>
                <w:rFonts w:ascii="Times New Roman"/>
                <w:sz w:val="18"/>
              </w:rPr>
            </w:pPr>
          </w:p>
          <w:p>
            <w:pPr>
              <w:pStyle w:val="TableParagraph"/>
              <w:spacing w:before="1"/>
              <w:ind w:left="64"/>
              <w:jc w:val="left"/>
              <w:rPr>
                <w:sz w:val="18"/>
              </w:rPr>
            </w:pPr>
            <w:r>
              <w:rPr>
                <w:sz w:val="18"/>
              </w:rPr>
              <w:t>PRD</w:t>
            </w:r>
          </w:p>
        </w:tc>
        <w:tc>
          <w:tcPr>
            <w:tcW w:w="2062" w:type="dxa"/>
          </w:tcPr>
          <w:p>
            <w:pPr>
              <w:pStyle w:val="TableParagraph"/>
              <w:spacing w:before="1"/>
              <w:ind w:left="67" w:right="295"/>
              <w:jc w:val="left"/>
              <w:rPr>
                <w:sz w:val="18"/>
              </w:rPr>
            </w:pPr>
            <w:r>
              <w:rPr>
                <w:sz w:val="18"/>
              </w:rPr>
              <w:t>PRI-PVEM-NA-PSD- PFD</w:t>
            </w:r>
          </w:p>
        </w:tc>
        <w:tc>
          <w:tcPr>
            <w:tcW w:w="1397" w:type="dxa"/>
          </w:tcPr>
          <w:p>
            <w:pPr>
              <w:pStyle w:val="TableParagraph"/>
              <w:jc w:val="left"/>
              <w:rPr>
                <w:rFonts w:ascii="Times New Roman"/>
                <w:sz w:val="18"/>
              </w:rPr>
            </w:pPr>
          </w:p>
          <w:p>
            <w:pPr>
              <w:pStyle w:val="TableParagraph"/>
              <w:spacing w:before="1"/>
              <w:ind w:left="67"/>
              <w:jc w:val="left"/>
              <w:rPr>
                <w:sz w:val="18"/>
              </w:rPr>
            </w:pPr>
            <w:r>
              <w:rPr>
                <w:sz w:val="18"/>
              </w:rPr>
              <w:t>PRI-PVEM-NA</w:t>
            </w:r>
          </w:p>
        </w:tc>
      </w:tr>
      <w:tr>
        <w:trPr>
          <w:trHeight w:val="425" w:hRule="exact"/>
        </w:trPr>
        <w:tc>
          <w:tcPr>
            <w:tcW w:w="3882" w:type="dxa"/>
          </w:tcPr>
          <w:p>
            <w:pPr>
              <w:pStyle w:val="TableParagraph"/>
              <w:spacing w:before="97"/>
              <w:ind w:left="67"/>
              <w:jc w:val="left"/>
              <w:rPr>
                <w:b/>
                <w:sz w:val="18"/>
              </w:rPr>
            </w:pPr>
            <w:r>
              <w:rPr>
                <w:b/>
                <w:color w:val="333333"/>
                <w:sz w:val="18"/>
              </w:rPr>
              <w:t>TEOLOYUCAN</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shd w:val="clear" w:color="auto" w:fill="FFFF00"/>
          </w:tcPr>
          <w:p>
            <w:pPr>
              <w:pStyle w:val="TableParagraph"/>
              <w:spacing w:before="10"/>
              <w:jc w:val="left"/>
              <w:rPr>
                <w:rFonts w:ascii="Times New Roman"/>
                <w:sz w:val="17"/>
              </w:rPr>
            </w:pPr>
          </w:p>
          <w:p>
            <w:pPr>
              <w:pStyle w:val="TableParagraph"/>
              <w:ind w:left="64"/>
              <w:jc w:val="left"/>
              <w:rPr>
                <w:sz w:val="18"/>
              </w:rPr>
            </w:pPr>
            <w:r>
              <w:rPr>
                <w:sz w:val="18"/>
              </w:rPr>
              <w:t>PRD</w:t>
            </w:r>
          </w:p>
        </w:tc>
        <w:tc>
          <w:tcPr>
            <w:tcW w:w="655" w:type="dxa"/>
            <w:shd w:val="clear" w:color="auto" w:fill="006FC0"/>
          </w:tcPr>
          <w:p>
            <w:pPr>
              <w:pStyle w:val="TableParagraph"/>
              <w:spacing w:before="10"/>
              <w:jc w:val="left"/>
              <w:rPr>
                <w:rFonts w:ascii="Times New Roman"/>
                <w:sz w:val="17"/>
              </w:rPr>
            </w:pPr>
          </w:p>
          <w:p>
            <w:pPr>
              <w:pStyle w:val="TableParagraph"/>
              <w:ind w:left="67"/>
              <w:jc w:val="left"/>
              <w:rPr>
                <w:sz w:val="18"/>
              </w:rPr>
            </w:pPr>
            <w:r>
              <w:rPr>
                <w:sz w:val="18"/>
              </w:rPr>
              <w:t>PAN</w:t>
            </w:r>
          </w:p>
        </w:tc>
        <w:tc>
          <w:tcPr>
            <w:tcW w:w="1604" w:type="dxa"/>
            <w:shd w:val="clear" w:color="auto" w:fill="006FC0"/>
          </w:tcPr>
          <w:p>
            <w:pPr>
              <w:pStyle w:val="TableParagraph"/>
              <w:spacing w:before="10"/>
              <w:jc w:val="left"/>
              <w:rPr>
                <w:rFonts w:ascii="Times New Roman"/>
                <w:sz w:val="17"/>
              </w:rPr>
            </w:pPr>
          </w:p>
          <w:p>
            <w:pPr>
              <w:pStyle w:val="TableParagraph"/>
              <w:ind w:left="67"/>
              <w:jc w:val="left"/>
              <w:rPr>
                <w:sz w:val="18"/>
              </w:rPr>
            </w:pPr>
            <w:r>
              <w:rPr>
                <w:sz w:val="18"/>
              </w:rPr>
              <w:t>PAN</w:t>
            </w:r>
          </w:p>
        </w:tc>
        <w:tc>
          <w:tcPr>
            <w:tcW w:w="1733" w:type="dxa"/>
            <w:shd w:val="clear" w:color="auto" w:fill="006FC0"/>
          </w:tcPr>
          <w:p>
            <w:pPr>
              <w:pStyle w:val="TableParagraph"/>
              <w:spacing w:before="10"/>
              <w:jc w:val="left"/>
              <w:rPr>
                <w:rFonts w:ascii="Times New Roman"/>
                <w:sz w:val="17"/>
              </w:rPr>
            </w:pPr>
          </w:p>
          <w:p>
            <w:pPr>
              <w:pStyle w:val="TableParagraph"/>
              <w:ind w:left="64"/>
              <w:jc w:val="left"/>
              <w:rPr>
                <w:sz w:val="18"/>
              </w:rPr>
            </w:pPr>
            <w:r>
              <w:rPr>
                <w:sz w:val="18"/>
              </w:rPr>
              <w:t>PAN</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2" w:hRule="exact"/>
        </w:trPr>
        <w:tc>
          <w:tcPr>
            <w:tcW w:w="3882" w:type="dxa"/>
          </w:tcPr>
          <w:p>
            <w:pPr>
              <w:pStyle w:val="TableParagraph"/>
              <w:spacing w:before="97"/>
              <w:ind w:left="67"/>
              <w:jc w:val="left"/>
              <w:rPr>
                <w:b/>
                <w:sz w:val="18"/>
              </w:rPr>
            </w:pPr>
            <w:r>
              <w:rPr>
                <w:b/>
                <w:color w:val="333333"/>
                <w:sz w:val="18"/>
              </w:rPr>
              <w:t>TEOTIHUACAN</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shd w:val="clear" w:color="auto" w:fill="FFFF00"/>
          </w:tcPr>
          <w:p>
            <w:pPr>
              <w:pStyle w:val="TableParagraph"/>
              <w:spacing w:before="10"/>
              <w:jc w:val="left"/>
              <w:rPr>
                <w:rFonts w:ascii="Times New Roman"/>
                <w:sz w:val="17"/>
              </w:rPr>
            </w:pPr>
          </w:p>
          <w:p>
            <w:pPr>
              <w:pStyle w:val="TableParagraph"/>
              <w:ind w:left="64"/>
              <w:jc w:val="left"/>
              <w:rPr>
                <w:sz w:val="18"/>
              </w:rPr>
            </w:pPr>
            <w:r>
              <w:rPr>
                <w:sz w:val="18"/>
              </w:rPr>
              <w:t>PRD</w:t>
            </w:r>
          </w:p>
        </w:tc>
        <w:tc>
          <w:tcPr>
            <w:tcW w:w="655" w:type="dxa"/>
            <w:shd w:val="clear" w:color="auto" w:fill="FFFF00"/>
          </w:tcPr>
          <w:p>
            <w:pPr>
              <w:pStyle w:val="TableParagraph"/>
              <w:spacing w:before="10"/>
              <w:jc w:val="left"/>
              <w:rPr>
                <w:rFonts w:ascii="Times New Roman"/>
                <w:sz w:val="17"/>
              </w:rPr>
            </w:pPr>
          </w:p>
          <w:p>
            <w:pPr>
              <w:pStyle w:val="TableParagraph"/>
              <w:ind w:left="67"/>
              <w:jc w:val="left"/>
              <w:rPr>
                <w:sz w:val="18"/>
              </w:rPr>
            </w:pPr>
            <w:r>
              <w:rPr>
                <w:sz w:val="18"/>
              </w:rPr>
              <w:t>PRD</w:t>
            </w:r>
          </w:p>
        </w:tc>
        <w:tc>
          <w:tcPr>
            <w:tcW w:w="1604" w:type="dxa"/>
            <w:shd w:val="clear" w:color="auto" w:fill="FFFF00"/>
          </w:tcPr>
          <w:p>
            <w:pPr>
              <w:pStyle w:val="TableParagraph"/>
              <w:spacing w:before="10"/>
              <w:jc w:val="left"/>
              <w:rPr>
                <w:rFonts w:ascii="Times New Roman"/>
                <w:sz w:val="17"/>
              </w:rPr>
            </w:pPr>
          </w:p>
          <w:p>
            <w:pPr>
              <w:pStyle w:val="TableParagraph"/>
              <w:ind w:left="67"/>
              <w:jc w:val="left"/>
              <w:rPr>
                <w:sz w:val="18"/>
              </w:rPr>
            </w:pPr>
            <w:r>
              <w:rPr>
                <w:sz w:val="18"/>
              </w:rPr>
              <w:t>PRD</w:t>
            </w:r>
          </w:p>
        </w:tc>
        <w:tc>
          <w:tcPr>
            <w:tcW w:w="1733" w:type="dxa"/>
          </w:tcPr>
          <w:p>
            <w:pPr>
              <w:pStyle w:val="TableParagraph"/>
              <w:spacing w:before="10"/>
              <w:jc w:val="left"/>
              <w:rPr>
                <w:rFonts w:ascii="Times New Roman"/>
                <w:sz w:val="17"/>
              </w:rPr>
            </w:pPr>
          </w:p>
          <w:p>
            <w:pPr>
              <w:pStyle w:val="TableParagraph"/>
              <w:ind w:left="64"/>
              <w:jc w:val="left"/>
              <w:rPr>
                <w:sz w:val="18"/>
              </w:rPr>
            </w:pPr>
            <w:r>
              <w:rPr>
                <w:sz w:val="18"/>
              </w:rPr>
              <w:t>PRI-PVEM</w:t>
            </w:r>
          </w:p>
        </w:tc>
        <w:tc>
          <w:tcPr>
            <w:tcW w:w="2062" w:type="dxa"/>
          </w:tcPr>
          <w:p>
            <w:pPr>
              <w:pStyle w:val="TableParagraph"/>
              <w:ind w:left="67" w:right="295"/>
              <w:jc w:val="left"/>
              <w:rPr>
                <w:sz w:val="18"/>
              </w:rPr>
            </w:pPr>
            <w:r>
              <w:rPr>
                <w:sz w:val="18"/>
              </w:rPr>
              <w:t>PRI-PVEM-NA-PSD- PFD</w:t>
            </w:r>
          </w:p>
        </w:tc>
        <w:tc>
          <w:tcPr>
            <w:tcW w:w="1397" w:type="dxa"/>
            <w:shd w:val="clear" w:color="auto" w:fill="FFFF00"/>
          </w:tcPr>
          <w:p>
            <w:pPr>
              <w:pStyle w:val="TableParagraph"/>
              <w:spacing w:before="10"/>
              <w:jc w:val="left"/>
              <w:rPr>
                <w:rFonts w:ascii="Times New Roman"/>
                <w:sz w:val="17"/>
              </w:rPr>
            </w:pPr>
          </w:p>
          <w:p>
            <w:pPr>
              <w:pStyle w:val="TableParagraph"/>
              <w:ind w:left="67"/>
              <w:jc w:val="left"/>
              <w:rPr>
                <w:sz w:val="18"/>
              </w:rPr>
            </w:pPr>
            <w:r>
              <w:rPr>
                <w:sz w:val="18"/>
              </w:rPr>
              <w:t>PRD</w:t>
            </w:r>
          </w:p>
        </w:tc>
      </w:tr>
      <w:tr>
        <w:trPr>
          <w:trHeight w:val="401" w:hRule="exact"/>
        </w:trPr>
        <w:tc>
          <w:tcPr>
            <w:tcW w:w="3882" w:type="dxa"/>
          </w:tcPr>
          <w:p>
            <w:pPr>
              <w:pStyle w:val="TableParagraph"/>
              <w:spacing w:before="88"/>
              <w:ind w:left="67"/>
              <w:jc w:val="left"/>
              <w:rPr>
                <w:b/>
                <w:sz w:val="18"/>
              </w:rPr>
            </w:pPr>
            <w:r>
              <w:rPr>
                <w:b/>
                <w:color w:val="333333"/>
                <w:sz w:val="18"/>
              </w:rPr>
              <w:t>TEPETLAOXTOC</w:t>
            </w:r>
          </w:p>
        </w:tc>
        <w:tc>
          <w:tcPr>
            <w:tcW w:w="655" w:type="dxa"/>
          </w:tcPr>
          <w:p>
            <w:pPr>
              <w:pStyle w:val="TableParagraph"/>
              <w:jc w:val="left"/>
              <w:rPr>
                <w:rFonts w:ascii="Times New Roman"/>
                <w:sz w:val="16"/>
              </w:rPr>
            </w:pPr>
          </w:p>
          <w:p>
            <w:pPr>
              <w:pStyle w:val="TableParagraph"/>
              <w:ind w:left="64"/>
              <w:jc w:val="left"/>
              <w:rPr>
                <w:sz w:val="18"/>
              </w:rPr>
            </w:pPr>
            <w:r>
              <w:rPr>
                <w:sz w:val="18"/>
              </w:rPr>
              <w:t>PRI</w:t>
            </w:r>
          </w:p>
        </w:tc>
        <w:tc>
          <w:tcPr>
            <w:tcW w:w="761" w:type="dxa"/>
            <w:shd w:val="clear" w:color="auto" w:fill="FFFF00"/>
          </w:tcPr>
          <w:p>
            <w:pPr>
              <w:pStyle w:val="TableParagraph"/>
              <w:jc w:val="left"/>
              <w:rPr>
                <w:rFonts w:ascii="Times New Roman"/>
                <w:sz w:val="16"/>
              </w:rPr>
            </w:pPr>
          </w:p>
          <w:p>
            <w:pPr>
              <w:pStyle w:val="TableParagraph"/>
              <w:ind w:left="67"/>
              <w:jc w:val="left"/>
              <w:rPr>
                <w:sz w:val="18"/>
              </w:rPr>
            </w:pPr>
            <w:r>
              <w:rPr>
                <w:sz w:val="18"/>
              </w:rPr>
              <w:t>PRD</w:t>
            </w:r>
          </w:p>
        </w:tc>
        <w:tc>
          <w:tcPr>
            <w:tcW w:w="655" w:type="dxa"/>
            <w:shd w:val="clear" w:color="auto" w:fill="FFFF00"/>
          </w:tcPr>
          <w:p>
            <w:pPr>
              <w:pStyle w:val="TableParagraph"/>
              <w:jc w:val="left"/>
              <w:rPr>
                <w:rFonts w:ascii="Times New Roman"/>
                <w:sz w:val="16"/>
              </w:rPr>
            </w:pPr>
          </w:p>
          <w:p>
            <w:pPr>
              <w:pStyle w:val="TableParagraph"/>
              <w:ind w:left="64"/>
              <w:jc w:val="left"/>
              <w:rPr>
                <w:sz w:val="18"/>
              </w:rPr>
            </w:pPr>
            <w:r>
              <w:rPr>
                <w:sz w:val="18"/>
              </w:rPr>
              <w:t>PRD</w:t>
            </w:r>
          </w:p>
        </w:tc>
        <w:tc>
          <w:tcPr>
            <w:tcW w:w="655" w:type="dxa"/>
            <w:shd w:val="clear" w:color="auto" w:fill="FFFF00"/>
          </w:tcPr>
          <w:p>
            <w:pPr>
              <w:pStyle w:val="TableParagraph"/>
              <w:jc w:val="left"/>
              <w:rPr>
                <w:rFonts w:ascii="Times New Roman"/>
                <w:sz w:val="16"/>
              </w:rPr>
            </w:pPr>
          </w:p>
          <w:p>
            <w:pPr>
              <w:pStyle w:val="TableParagraph"/>
              <w:ind w:left="67"/>
              <w:jc w:val="left"/>
              <w:rPr>
                <w:sz w:val="18"/>
              </w:rPr>
            </w:pPr>
            <w:r>
              <w:rPr>
                <w:sz w:val="18"/>
              </w:rPr>
              <w:t>PRD</w:t>
            </w:r>
          </w:p>
        </w:tc>
        <w:tc>
          <w:tcPr>
            <w:tcW w:w="1604" w:type="dxa"/>
          </w:tcPr>
          <w:p>
            <w:pPr>
              <w:pStyle w:val="TableParagraph"/>
              <w:jc w:val="left"/>
              <w:rPr>
                <w:rFonts w:ascii="Times New Roman"/>
                <w:sz w:val="16"/>
              </w:rPr>
            </w:pPr>
          </w:p>
          <w:p>
            <w:pPr>
              <w:pStyle w:val="TableParagraph"/>
              <w:ind w:left="67"/>
              <w:jc w:val="left"/>
              <w:rPr>
                <w:sz w:val="18"/>
              </w:rPr>
            </w:pPr>
            <w:r>
              <w:rPr>
                <w:sz w:val="18"/>
              </w:rPr>
              <w:t>PRI-PVEM</w:t>
            </w:r>
          </w:p>
        </w:tc>
        <w:tc>
          <w:tcPr>
            <w:tcW w:w="1733" w:type="dxa"/>
          </w:tcPr>
          <w:p>
            <w:pPr>
              <w:pStyle w:val="TableParagraph"/>
              <w:jc w:val="left"/>
              <w:rPr>
                <w:rFonts w:ascii="Times New Roman"/>
                <w:sz w:val="16"/>
              </w:rPr>
            </w:pPr>
          </w:p>
          <w:p>
            <w:pPr>
              <w:pStyle w:val="TableParagraph"/>
              <w:ind w:left="64"/>
              <w:jc w:val="left"/>
              <w:rPr>
                <w:sz w:val="18"/>
              </w:rPr>
            </w:pPr>
            <w:r>
              <w:rPr>
                <w:sz w:val="18"/>
              </w:rPr>
              <w:t>PRI-PVEM</w:t>
            </w:r>
          </w:p>
        </w:tc>
        <w:tc>
          <w:tcPr>
            <w:tcW w:w="2062" w:type="dxa"/>
            <w:shd w:val="clear" w:color="auto" w:fill="FFFF00"/>
          </w:tcPr>
          <w:p>
            <w:pPr>
              <w:pStyle w:val="TableParagraph"/>
              <w:jc w:val="left"/>
              <w:rPr>
                <w:rFonts w:ascii="Times New Roman"/>
                <w:sz w:val="16"/>
              </w:rPr>
            </w:pPr>
          </w:p>
          <w:p>
            <w:pPr>
              <w:pStyle w:val="TableParagraph"/>
              <w:ind w:left="67" w:right="295"/>
              <w:jc w:val="left"/>
              <w:rPr>
                <w:sz w:val="18"/>
              </w:rPr>
            </w:pPr>
            <w:r>
              <w:rPr>
                <w:sz w:val="18"/>
              </w:rPr>
              <w:t>PRD</w:t>
            </w:r>
          </w:p>
        </w:tc>
        <w:tc>
          <w:tcPr>
            <w:tcW w:w="1397" w:type="dxa"/>
          </w:tcPr>
          <w:p>
            <w:pPr>
              <w:pStyle w:val="TableParagraph"/>
              <w:jc w:val="left"/>
              <w:rPr>
                <w:rFonts w:ascii="Times New Roman"/>
                <w:sz w:val="16"/>
              </w:rPr>
            </w:pPr>
          </w:p>
          <w:p>
            <w:pPr>
              <w:pStyle w:val="TableParagraph"/>
              <w:ind w:left="67"/>
              <w:jc w:val="left"/>
              <w:rPr>
                <w:sz w:val="18"/>
              </w:rPr>
            </w:pPr>
            <w:r>
              <w:rPr>
                <w:sz w:val="18"/>
              </w:rPr>
              <w:t>PRI-PVEM-NA</w:t>
            </w:r>
          </w:p>
        </w:tc>
      </w:tr>
      <w:tr>
        <w:trPr>
          <w:trHeight w:val="425" w:hRule="exact"/>
        </w:trPr>
        <w:tc>
          <w:tcPr>
            <w:tcW w:w="3882" w:type="dxa"/>
          </w:tcPr>
          <w:p>
            <w:pPr>
              <w:pStyle w:val="TableParagraph"/>
              <w:spacing w:before="97"/>
              <w:ind w:left="67"/>
              <w:jc w:val="left"/>
              <w:rPr>
                <w:b/>
                <w:sz w:val="18"/>
              </w:rPr>
            </w:pPr>
            <w:r>
              <w:rPr>
                <w:b/>
                <w:color w:val="333333"/>
                <w:sz w:val="18"/>
              </w:rPr>
              <w:t>TEPETLIXPA</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shd w:val="clear" w:color="auto" w:fill="FFFF00"/>
          </w:tcPr>
          <w:p>
            <w:pPr>
              <w:pStyle w:val="TableParagraph"/>
              <w:spacing w:before="10"/>
              <w:jc w:val="left"/>
              <w:rPr>
                <w:rFonts w:ascii="Times New Roman"/>
                <w:sz w:val="17"/>
              </w:rPr>
            </w:pPr>
          </w:p>
          <w:p>
            <w:pPr>
              <w:pStyle w:val="TableParagraph"/>
              <w:ind w:left="64"/>
              <w:jc w:val="left"/>
              <w:rPr>
                <w:sz w:val="18"/>
              </w:rPr>
            </w:pPr>
            <w:r>
              <w:rPr>
                <w:sz w:val="18"/>
              </w:rPr>
              <w:t>PRD</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bl>
    <w:p>
      <w:pPr>
        <w:spacing w:after="0"/>
        <w:jc w:val="left"/>
        <w:rPr>
          <w:sz w:val="18"/>
        </w:rPr>
        <w:sectPr>
          <w:pgSz w:w="15840" w:h="12240" w:orient="landscape"/>
          <w:pgMar w:header="0" w:footer="975" w:top="1140" w:bottom="1160" w:left="1300" w:right="900"/>
        </w:sectPr>
      </w:pPr>
    </w:p>
    <w:p>
      <w:pPr>
        <w:pStyle w:val="BodyText"/>
        <w:rPr>
          <w:rFonts w:ascii="Times New Roman"/>
          <w:sz w:val="20"/>
        </w:rPr>
      </w:pPr>
    </w:p>
    <w:p>
      <w:pPr>
        <w:pStyle w:val="BodyText"/>
        <w:spacing w:before="10"/>
        <w:rPr>
          <w:rFonts w:ascii="Times New Roman"/>
          <w:sz w:val="28"/>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82"/>
        <w:gridCol w:w="655"/>
        <w:gridCol w:w="761"/>
        <w:gridCol w:w="655"/>
        <w:gridCol w:w="655"/>
        <w:gridCol w:w="1604"/>
        <w:gridCol w:w="1733"/>
        <w:gridCol w:w="2062"/>
        <w:gridCol w:w="1397"/>
      </w:tblGrid>
      <w:tr>
        <w:trPr>
          <w:trHeight w:val="324" w:hRule="exact"/>
        </w:trPr>
        <w:tc>
          <w:tcPr>
            <w:tcW w:w="13404" w:type="dxa"/>
            <w:gridSpan w:val="9"/>
            <w:shd w:val="clear" w:color="auto" w:fill="92D050"/>
          </w:tcPr>
          <w:p>
            <w:pPr>
              <w:pStyle w:val="TableParagraph"/>
              <w:spacing w:before="102"/>
              <w:ind w:left="2018"/>
              <w:jc w:val="left"/>
              <w:rPr>
                <w:b/>
                <w:sz w:val="18"/>
              </w:rPr>
            </w:pPr>
            <w:r>
              <w:rPr>
                <w:b/>
                <w:sz w:val="18"/>
              </w:rPr>
              <w:t>Anexo 4. Alternancias políticas en los gobiernos municipales del Estado de México 1990-2015 (Continuación)</w:t>
            </w:r>
          </w:p>
        </w:tc>
      </w:tr>
      <w:tr>
        <w:trPr>
          <w:trHeight w:val="326" w:hRule="exact"/>
        </w:trPr>
        <w:tc>
          <w:tcPr>
            <w:tcW w:w="3882" w:type="dxa"/>
            <w:shd w:val="clear" w:color="auto" w:fill="92D050"/>
          </w:tcPr>
          <w:p>
            <w:pPr>
              <w:pStyle w:val="TableParagraph"/>
              <w:spacing w:before="102"/>
              <w:ind w:left="1497" w:right="1494"/>
              <w:rPr>
                <w:b/>
                <w:sz w:val="18"/>
              </w:rPr>
            </w:pPr>
            <w:r>
              <w:rPr>
                <w:b/>
                <w:sz w:val="18"/>
              </w:rPr>
              <w:t>Municipio</w:t>
            </w:r>
          </w:p>
        </w:tc>
        <w:tc>
          <w:tcPr>
            <w:tcW w:w="655" w:type="dxa"/>
            <w:shd w:val="clear" w:color="auto" w:fill="92D050"/>
          </w:tcPr>
          <w:p>
            <w:pPr>
              <w:pStyle w:val="TableParagraph"/>
              <w:spacing w:before="102"/>
              <w:ind w:left="122"/>
              <w:jc w:val="left"/>
              <w:rPr>
                <w:b/>
                <w:sz w:val="18"/>
              </w:rPr>
            </w:pPr>
            <w:r>
              <w:rPr>
                <w:b/>
                <w:sz w:val="18"/>
              </w:rPr>
              <w:t>1990</w:t>
            </w:r>
          </w:p>
        </w:tc>
        <w:tc>
          <w:tcPr>
            <w:tcW w:w="761" w:type="dxa"/>
            <w:shd w:val="clear" w:color="auto" w:fill="92D050"/>
          </w:tcPr>
          <w:p>
            <w:pPr>
              <w:pStyle w:val="TableParagraph"/>
              <w:spacing w:before="102"/>
              <w:ind w:left="175"/>
              <w:jc w:val="left"/>
              <w:rPr>
                <w:b/>
                <w:sz w:val="18"/>
              </w:rPr>
            </w:pPr>
            <w:r>
              <w:rPr>
                <w:b/>
                <w:sz w:val="18"/>
              </w:rPr>
              <w:t>1993</w:t>
            </w:r>
          </w:p>
        </w:tc>
        <w:tc>
          <w:tcPr>
            <w:tcW w:w="655" w:type="dxa"/>
            <w:shd w:val="clear" w:color="auto" w:fill="92D050"/>
          </w:tcPr>
          <w:p>
            <w:pPr>
              <w:pStyle w:val="TableParagraph"/>
              <w:spacing w:before="102"/>
              <w:ind w:left="122"/>
              <w:jc w:val="left"/>
              <w:rPr>
                <w:b/>
                <w:sz w:val="18"/>
              </w:rPr>
            </w:pPr>
            <w:r>
              <w:rPr>
                <w:b/>
                <w:sz w:val="18"/>
              </w:rPr>
              <w:t>1996</w:t>
            </w:r>
          </w:p>
        </w:tc>
        <w:tc>
          <w:tcPr>
            <w:tcW w:w="655" w:type="dxa"/>
            <w:shd w:val="clear" w:color="auto" w:fill="92D050"/>
          </w:tcPr>
          <w:p>
            <w:pPr>
              <w:pStyle w:val="TableParagraph"/>
              <w:spacing w:before="102"/>
              <w:ind w:left="124"/>
              <w:jc w:val="left"/>
              <w:rPr>
                <w:b/>
                <w:sz w:val="18"/>
              </w:rPr>
            </w:pPr>
            <w:r>
              <w:rPr>
                <w:b/>
                <w:sz w:val="18"/>
              </w:rPr>
              <w:t>2000</w:t>
            </w:r>
          </w:p>
        </w:tc>
        <w:tc>
          <w:tcPr>
            <w:tcW w:w="1604" w:type="dxa"/>
            <w:shd w:val="clear" w:color="auto" w:fill="92D050"/>
          </w:tcPr>
          <w:p>
            <w:pPr>
              <w:pStyle w:val="TableParagraph"/>
              <w:spacing w:before="102"/>
              <w:ind w:left="578" w:right="574"/>
              <w:rPr>
                <w:b/>
                <w:sz w:val="18"/>
              </w:rPr>
            </w:pPr>
            <w:r>
              <w:rPr>
                <w:b/>
                <w:sz w:val="18"/>
              </w:rPr>
              <w:t>2003</w:t>
            </w:r>
          </w:p>
        </w:tc>
        <w:tc>
          <w:tcPr>
            <w:tcW w:w="1733" w:type="dxa"/>
            <w:shd w:val="clear" w:color="auto" w:fill="92D050"/>
          </w:tcPr>
          <w:p>
            <w:pPr>
              <w:pStyle w:val="TableParagraph"/>
              <w:spacing w:before="102"/>
              <w:ind w:left="641" w:right="641"/>
              <w:rPr>
                <w:b/>
                <w:sz w:val="18"/>
              </w:rPr>
            </w:pPr>
            <w:r>
              <w:rPr>
                <w:b/>
                <w:sz w:val="18"/>
              </w:rPr>
              <w:t>2006</w:t>
            </w:r>
          </w:p>
        </w:tc>
        <w:tc>
          <w:tcPr>
            <w:tcW w:w="2062" w:type="dxa"/>
            <w:shd w:val="clear" w:color="auto" w:fill="92D050"/>
          </w:tcPr>
          <w:p>
            <w:pPr>
              <w:pStyle w:val="TableParagraph"/>
              <w:spacing w:before="102"/>
              <w:ind w:left="809" w:right="802"/>
              <w:rPr>
                <w:b/>
                <w:sz w:val="18"/>
              </w:rPr>
            </w:pPr>
            <w:r>
              <w:rPr>
                <w:b/>
                <w:sz w:val="18"/>
              </w:rPr>
              <w:t>2009</w:t>
            </w:r>
          </w:p>
        </w:tc>
        <w:tc>
          <w:tcPr>
            <w:tcW w:w="1397" w:type="dxa"/>
            <w:shd w:val="clear" w:color="auto" w:fill="92D050"/>
          </w:tcPr>
          <w:p>
            <w:pPr>
              <w:pStyle w:val="TableParagraph"/>
              <w:spacing w:before="102"/>
              <w:ind w:left="475" w:right="471"/>
              <w:rPr>
                <w:b/>
                <w:sz w:val="18"/>
              </w:rPr>
            </w:pPr>
            <w:r>
              <w:rPr>
                <w:b/>
                <w:sz w:val="18"/>
              </w:rPr>
              <w:t>2013</w:t>
            </w:r>
          </w:p>
        </w:tc>
      </w:tr>
      <w:tr>
        <w:trPr>
          <w:trHeight w:val="422" w:hRule="exact"/>
        </w:trPr>
        <w:tc>
          <w:tcPr>
            <w:tcW w:w="3882" w:type="dxa"/>
          </w:tcPr>
          <w:p>
            <w:pPr>
              <w:pStyle w:val="TableParagraph"/>
              <w:spacing w:before="97"/>
              <w:ind w:left="67"/>
              <w:jc w:val="left"/>
              <w:rPr>
                <w:b/>
                <w:sz w:val="18"/>
              </w:rPr>
            </w:pPr>
            <w:r>
              <w:rPr>
                <w:b/>
                <w:color w:val="333333"/>
                <w:sz w:val="18"/>
              </w:rPr>
              <w:t>TEPOTZOTLAN</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shd w:val="clear" w:color="auto" w:fill="006FC0"/>
          </w:tcPr>
          <w:p>
            <w:pPr>
              <w:pStyle w:val="TableParagraph"/>
              <w:spacing w:before="10"/>
              <w:jc w:val="left"/>
              <w:rPr>
                <w:rFonts w:ascii="Times New Roman"/>
                <w:sz w:val="17"/>
              </w:rPr>
            </w:pPr>
          </w:p>
          <w:p>
            <w:pPr>
              <w:pStyle w:val="TableParagraph"/>
              <w:ind w:left="67"/>
              <w:jc w:val="left"/>
              <w:rPr>
                <w:sz w:val="18"/>
              </w:rPr>
            </w:pPr>
            <w:r>
              <w:rPr>
                <w:sz w:val="18"/>
              </w:rPr>
              <w:t>PAN</w:t>
            </w:r>
          </w:p>
        </w:tc>
        <w:tc>
          <w:tcPr>
            <w:tcW w:w="655" w:type="dxa"/>
            <w:shd w:val="clear" w:color="auto" w:fill="006FC0"/>
          </w:tcPr>
          <w:p>
            <w:pPr>
              <w:pStyle w:val="TableParagraph"/>
              <w:spacing w:before="10"/>
              <w:jc w:val="left"/>
              <w:rPr>
                <w:rFonts w:ascii="Times New Roman"/>
                <w:sz w:val="17"/>
              </w:rPr>
            </w:pPr>
          </w:p>
          <w:p>
            <w:pPr>
              <w:pStyle w:val="TableParagraph"/>
              <w:ind w:left="64"/>
              <w:jc w:val="left"/>
              <w:rPr>
                <w:sz w:val="18"/>
              </w:rPr>
            </w:pPr>
            <w:r>
              <w:rPr>
                <w:sz w:val="18"/>
              </w:rPr>
              <w:t>PAN</w:t>
            </w:r>
          </w:p>
        </w:tc>
        <w:tc>
          <w:tcPr>
            <w:tcW w:w="655" w:type="dxa"/>
            <w:shd w:val="clear" w:color="auto" w:fill="006FC0"/>
          </w:tcPr>
          <w:p>
            <w:pPr>
              <w:pStyle w:val="TableParagraph"/>
              <w:spacing w:before="10"/>
              <w:jc w:val="left"/>
              <w:rPr>
                <w:rFonts w:ascii="Times New Roman"/>
                <w:sz w:val="17"/>
              </w:rPr>
            </w:pPr>
          </w:p>
          <w:p>
            <w:pPr>
              <w:pStyle w:val="TableParagraph"/>
              <w:ind w:left="67"/>
              <w:jc w:val="left"/>
              <w:rPr>
                <w:sz w:val="18"/>
              </w:rPr>
            </w:pPr>
            <w:r>
              <w:rPr>
                <w:sz w:val="18"/>
              </w:rPr>
              <w:t>PAN</w:t>
            </w:r>
          </w:p>
        </w:tc>
        <w:tc>
          <w:tcPr>
            <w:tcW w:w="1604" w:type="dxa"/>
            <w:shd w:val="clear" w:color="auto" w:fill="006FC0"/>
          </w:tcPr>
          <w:p>
            <w:pPr>
              <w:pStyle w:val="TableParagraph"/>
              <w:spacing w:before="10"/>
              <w:jc w:val="left"/>
              <w:rPr>
                <w:rFonts w:ascii="Times New Roman"/>
                <w:sz w:val="17"/>
              </w:rPr>
            </w:pPr>
          </w:p>
          <w:p>
            <w:pPr>
              <w:pStyle w:val="TableParagraph"/>
              <w:ind w:left="67"/>
              <w:jc w:val="left"/>
              <w:rPr>
                <w:sz w:val="18"/>
              </w:rPr>
            </w:pPr>
            <w:r>
              <w:rPr>
                <w:sz w:val="18"/>
              </w:rPr>
              <w:t>PAN</w:t>
            </w:r>
          </w:p>
        </w:tc>
        <w:tc>
          <w:tcPr>
            <w:tcW w:w="1733" w:type="dxa"/>
          </w:tcPr>
          <w:p>
            <w:pPr>
              <w:pStyle w:val="TableParagraph"/>
              <w:spacing w:before="10"/>
              <w:jc w:val="left"/>
              <w:rPr>
                <w:rFonts w:ascii="Times New Roman"/>
                <w:sz w:val="17"/>
              </w:rPr>
            </w:pPr>
          </w:p>
          <w:p>
            <w:pPr>
              <w:pStyle w:val="TableParagraph"/>
              <w:ind w:left="64"/>
              <w:jc w:val="left"/>
              <w:rPr>
                <w:sz w:val="18"/>
              </w:rPr>
            </w:pPr>
            <w:r>
              <w:rPr>
                <w:sz w:val="18"/>
              </w:rPr>
              <w:t>PRI-PVEM</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5" w:hRule="exact"/>
        </w:trPr>
        <w:tc>
          <w:tcPr>
            <w:tcW w:w="3882" w:type="dxa"/>
          </w:tcPr>
          <w:p>
            <w:pPr>
              <w:pStyle w:val="TableParagraph"/>
              <w:spacing w:before="100"/>
              <w:ind w:left="67"/>
              <w:jc w:val="left"/>
              <w:rPr>
                <w:b/>
                <w:sz w:val="18"/>
              </w:rPr>
            </w:pPr>
            <w:r>
              <w:rPr>
                <w:b/>
                <w:color w:val="333333"/>
                <w:sz w:val="18"/>
              </w:rPr>
              <w:t>TEQUIXQUIAC</w:t>
            </w:r>
          </w:p>
        </w:tc>
        <w:tc>
          <w:tcPr>
            <w:tcW w:w="655" w:type="dxa"/>
            <w:shd w:val="clear" w:color="auto" w:fill="FFFF00"/>
          </w:tcPr>
          <w:p>
            <w:pPr>
              <w:pStyle w:val="TableParagraph"/>
              <w:jc w:val="left"/>
              <w:rPr>
                <w:rFonts w:ascii="Times New Roman"/>
                <w:sz w:val="18"/>
              </w:rPr>
            </w:pPr>
          </w:p>
          <w:p>
            <w:pPr>
              <w:pStyle w:val="TableParagraph"/>
              <w:spacing w:before="1"/>
              <w:ind w:left="64"/>
              <w:jc w:val="left"/>
              <w:rPr>
                <w:sz w:val="18"/>
              </w:rPr>
            </w:pPr>
            <w:r>
              <w:rPr>
                <w:sz w:val="18"/>
              </w:rPr>
              <w:t>PRD</w:t>
            </w:r>
          </w:p>
        </w:tc>
        <w:tc>
          <w:tcPr>
            <w:tcW w:w="761"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655" w:type="dxa"/>
            <w:shd w:val="clear" w:color="auto" w:fill="006FC0"/>
          </w:tcPr>
          <w:p>
            <w:pPr>
              <w:pStyle w:val="TableParagraph"/>
              <w:jc w:val="left"/>
              <w:rPr>
                <w:rFonts w:ascii="Times New Roman"/>
                <w:sz w:val="18"/>
              </w:rPr>
            </w:pPr>
          </w:p>
          <w:p>
            <w:pPr>
              <w:pStyle w:val="TableParagraph"/>
              <w:spacing w:before="1"/>
              <w:ind w:left="67"/>
              <w:jc w:val="left"/>
              <w:rPr>
                <w:sz w:val="18"/>
              </w:rPr>
            </w:pPr>
            <w:r>
              <w:rPr>
                <w:sz w:val="18"/>
              </w:rPr>
              <w:t>PAN</w:t>
            </w:r>
          </w:p>
        </w:tc>
        <w:tc>
          <w:tcPr>
            <w:tcW w:w="1604" w:type="dxa"/>
          </w:tcPr>
          <w:p>
            <w:pPr>
              <w:pStyle w:val="TableParagraph"/>
              <w:jc w:val="left"/>
              <w:rPr>
                <w:rFonts w:ascii="Times New Roman"/>
                <w:sz w:val="18"/>
              </w:rPr>
            </w:pPr>
          </w:p>
          <w:p>
            <w:pPr>
              <w:pStyle w:val="TableParagraph"/>
              <w:spacing w:before="1"/>
              <w:ind w:left="67"/>
              <w:jc w:val="left"/>
              <w:rPr>
                <w:sz w:val="18"/>
              </w:rPr>
            </w:pPr>
            <w:r>
              <w:rPr>
                <w:sz w:val="18"/>
              </w:rPr>
              <w:t>PRI-PVEM</w:t>
            </w:r>
          </w:p>
        </w:tc>
        <w:tc>
          <w:tcPr>
            <w:tcW w:w="1733" w:type="dxa"/>
            <w:shd w:val="clear" w:color="auto" w:fill="006FC0"/>
          </w:tcPr>
          <w:p>
            <w:pPr>
              <w:pStyle w:val="TableParagraph"/>
              <w:jc w:val="left"/>
              <w:rPr>
                <w:rFonts w:ascii="Times New Roman"/>
                <w:sz w:val="18"/>
              </w:rPr>
            </w:pPr>
          </w:p>
          <w:p>
            <w:pPr>
              <w:pStyle w:val="TableParagraph"/>
              <w:spacing w:before="1"/>
              <w:ind w:left="64"/>
              <w:jc w:val="left"/>
              <w:rPr>
                <w:sz w:val="18"/>
              </w:rPr>
            </w:pPr>
            <w:r>
              <w:rPr>
                <w:sz w:val="18"/>
              </w:rPr>
              <w:t>PAN</w:t>
            </w:r>
          </w:p>
        </w:tc>
        <w:tc>
          <w:tcPr>
            <w:tcW w:w="2062" w:type="dxa"/>
          </w:tcPr>
          <w:p>
            <w:pPr>
              <w:pStyle w:val="TableParagraph"/>
              <w:ind w:left="67" w:right="295"/>
              <w:jc w:val="left"/>
              <w:rPr>
                <w:sz w:val="18"/>
              </w:rPr>
            </w:pPr>
            <w:r>
              <w:rPr>
                <w:sz w:val="18"/>
              </w:rPr>
              <w:t>PRI-PVEM-NA-PSD- PFD</w:t>
            </w:r>
          </w:p>
        </w:tc>
        <w:tc>
          <w:tcPr>
            <w:tcW w:w="1397" w:type="dxa"/>
            <w:shd w:val="clear" w:color="auto" w:fill="006FC0"/>
          </w:tcPr>
          <w:p>
            <w:pPr>
              <w:pStyle w:val="TableParagraph"/>
              <w:jc w:val="left"/>
              <w:rPr>
                <w:rFonts w:ascii="Times New Roman"/>
                <w:sz w:val="18"/>
              </w:rPr>
            </w:pPr>
          </w:p>
          <w:p>
            <w:pPr>
              <w:pStyle w:val="TableParagraph"/>
              <w:spacing w:before="1"/>
              <w:ind w:left="67"/>
              <w:jc w:val="left"/>
              <w:rPr>
                <w:sz w:val="18"/>
              </w:rPr>
            </w:pPr>
            <w:r>
              <w:rPr>
                <w:sz w:val="18"/>
              </w:rPr>
              <w:t>PAN</w:t>
            </w:r>
          </w:p>
        </w:tc>
      </w:tr>
      <w:tr>
        <w:trPr>
          <w:trHeight w:val="401" w:hRule="exact"/>
        </w:trPr>
        <w:tc>
          <w:tcPr>
            <w:tcW w:w="3882" w:type="dxa"/>
          </w:tcPr>
          <w:p>
            <w:pPr>
              <w:pStyle w:val="TableParagraph"/>
              <w:spacing w:before="85"/>
              <w:ind w:left="67"/>
              <w:jc w:val="left"/>
              <w:rPr>
                <w:b/>
                <w:sz w:val="18"/>
              </w:rPr>
            </w:pPr>
            <w:r>
              <w:rPr>
                <w:b/>
                <w:color w:val="333333"/>
                <w:sz w:val="18"/>
              </w:rPr>
              <w:t>TEXCALTITL�N</w:t>
            </w:r>
          </w:p>
        </w:tc>
        <w:tc>
          <w:tcPr>
            <w:tcW w:w="655" w:type="dxa"/>
          </w:tcPr>
          <w:p>
            <w:pPr>
              <w:pStyle w:val="TableParagraph"/>
              <w:spacing w:before="9"/>
              <w:jc w:val="left"/>
              <w:rPr>
                <w:rFonts w:ascii="Times New Roman"/>
                <w:sz w:val="15"/>
              </w:rPr>
            </w:pPr>
          </w:p>
          <w:p>
            <w:pPr>
              <w:pStyle w:val="TableParagraph"/>
              <w:ind w:left="64"/>
              <w:jc w:val="left"/>
              <w:rPr>
                <w:sz w:val="18"/>
              </w:rPr>
            </w:pPr>
            <w:r>
              <w:rPr>
                <w:sz w:val="18"/>
              </w:rPr>
              <w:t>PRI</w:t>
            </w:r>
          </w:p>
        </w:tc>
        <w:tc>
          <w:tcPr>
            <w:tcW w:w="761" w:type="dxa"/>
          </w:tcPr>
          <w:p>
            <w:pPr>
              <w:pStyle w:val="TableParagraph"/>
              <w:spacing w:before="9"/>
              <w:jc w:val="left"/>
              <w:rPr>
                <w:rFonts w:ascii="Times New Roman"/>
                <w:sz w:val="15"/>
              </w:rPr>
            </w:pPr>
          </w:p>
          <w:p>
            <w:pPr>
              <w:pStyle w:val="TableParagraph"/>
              <w:ind w:left="67"/>
              <w:jc w:val="left"/>
              <w:rPr>
                <w:sz w:val="18"/>
              </w:rPr>
            </w:pPr>
            <w:r>
              <w:rPr>
                <w:sz w:val="18"/>
              </w:rPr>
              <w:t>PAN</w:t>
            </w:r>
          </w:p>
        </w:tc>
        <w:tc>
          <w:tcPr>
            <w:tcW w:w="655" w:type="dxa"/>
          </w:tcPr>
          <w:p>
            <w:pPr>
              <w:pStyle w:val="TableParagraph"/>
              <w:spacing w:before="9"/>
              <w:jc w:val="left"/>
              <w:rPr>
                <w:rFonts w:ascii="Times New Roman"/>
                <w:sz w:val="15"/>
              </w:rPr>
            </w:pPr>
          </w:p>
          <w:p>
            <w:pPr>
              <w:pStyle w:val="TableParagraph"/>
              <w:ind w:left="64"/>
              <w:jc w:val="left"/>
              <w:rPr>
                <w:sz w:val="18"/>
              </w:rPr>
            </w:pPr>
            <w:r>
              <w:rPr>
                <w:sz w:val="18"/>
              </w:rPr>
              <w:t>PRI</w:t>
            </w:r>
          </w:p>
        </w:tc>
        <w:tc>
          <w:tcPr>
            <w:tcW w:w="655" w:type="dxa"/>
          </w:tcPr>
          <w:p>
            <w:pPr>
              <w:pStyle w:val="TableParagraph"/>
              <w:spacing w:before="9"/>
              <w:jc w:val="left"/>
              <w:rPr>
                <w:rFonts w:ascii="Times New Roman"/>
                <w:sz w:val="15"/>
              </w:rPr>
            </w:pPr>
          </w:p>
          <w:p>
            <w:pPr>
              <w:pStyle w:val="TableParagraph"/>
              <w:ind w:left="67"/>
              <w:jc w:val="left"/>
              <w:rPr>
                <w:sz w:val="18"/>
              </w:rPr>
            </w:pPr>
            <w:r>
              <w:rPr>
                <w:sz w:val="18"/>
              </w:rPr>
              <w:t>PRI</w:t>
            </w:r>
          </w:p>
        </w:tc>
        <w:tc>
          <w:tcPr>
            <w:tcW w:w="1604" w:type="dxa"/>
          </w:tcPr>
          <w:p>
            <w:pPr>
              <w:pStyle w:val="TableParagraph"/>
              <w:spacing w:before="9"/>
              <w:jc w:val="left"/>
              <w:rPr>
                <w:rFonts w:ascii="Times New Roman"/>
                <w:sz w:val="15"/>
              </w:rPr>
            </w:pPr>
          </w:p>
          <w:p>
            <w:pPr>
              <w:pStyle w:val="TableParagraph"/>
              <w:ind w:left="67"/>
              <w:jc w:val="left"/>
              <w:rPr>
                <w:sz w:val="18"/>
              </w:rPr>
            </w:pPr>
            <w:r>
              <w:rPr>
                <w:sz w:val="18"/>
              </w:rPr>
              <w:t>PRI-PVEM</w:t>
            </w:r>
          </w:p>
        </w:tc>
        <w:tc>
          <w:tcPr>
            <w:tcW w:w="1733" w:type="dxa"/>
          </w:tcPr>
          <w:p>
            <w:pPr>
              <w:pStyle w:val="TableParagraph"/>
              <w:spacing w:before="9"/>
              <w:jc w:val="left"/>
              <w:rPr>
                <w:rFonts w:ascii="Times New Roman"/>
                <w:sz w:val="15"/>
              </w:rPr>
            </w:pPr>
          </w:p>
          <w:p>
            <w:pPr>
              <w:pStyle w:val="TableParagraph"/>
              <w:ind w:left="64"/>
              <w:jc w:val="left"/>
              <w:rPr>
                <w:sz w:val="18"/>
              </w:rPr>
            </w:pPr>
            <w:r>
              <w:rPr>
                <w:sz w:val="18"/>
              </w:rPr>
              <w:t>PRI-PVEM</w:t>
            </w:r>
          </w:p>
        </w:tc>
        <w:tc>
          <w:tcPr>
            <w:tcW w:w="2062" w:type="dxa"/>
            <w:shd w:val="clear" w:color="auto" w:fill="006FC0"/>
          </w:tcPr>
          <w:p>
            <w:pPr>
              <w:pStyle w:val="TableParagraph"/>
              <w:spacing w:before="9"/>
              <w:jc w:val="left"/>
              <w:rPr>
                <w:rFonts w:ascii="Times New Roman"/>
                <w:sz w:val="15"/>
              </w:rPr>
            </w:pPr>
          </w:p>
          <w:p>
            <w:pPr>
              <w:pStyle w:val="TableParagraph"/>
              <w:ind w:left="67" w:right="295"/>
              <w:jc w:val="left"/>
              <w:rPr>
                <w:sz w:val="18"/>
              </w:rPr>
            </w:pPr>
            <w:r>
              <w:rPr>
                <w:sz w:val="18"/>
              </w:rPr>
              <w:t>PAN</w:t>
            </w:r>
          </w:p>
        </w:tc>
        <w:tc>
          <w:tcPr>
            <w:tcW w:w="1397" w:type="dxa"/>
            <w:shd w:val="clear" w:color="auto" w:fill="006FC0"/>
          </w:tcPr>
          <w:p>
            <w:pPr>
              <w:pStyle w:val="TableParagraph"/>
              <w:spacing w:before="9"/>
              <w:jc w:val="left"/>
              <w:rPr>
                <w:rFonts w:ascii="Times New Roman"/>
                <w:sz w:val="15"/>
              </w:rPr>
            </w:pPr>
          </w:p>
          <w:p>
            <w:pPr>
              <w:pStyle w:val="TableParagraph"/>
              <w:ind w:left="67"/>
              <w:jc w:val="left"/>
              <w:rPr>
                <w:sz w:val="18"/>
              </w:rPr>
            </w:pPr>
            <w:r>
              <w:rPr>
                <w:sz w:val="18"/>
              </w:rPr>
              <w:t>PAN</w:t>
            </w:r>
          </w:p>
        </w:tc>
      </w:tr>
      <w:tr>
        <w:trPr>
          <w:trHeight w:val="423" w:hRule="exact"/>
        </w:trPr>
        <w:tc>
          <w:tcPr>
            <w:tcW w:w="3882" w:type="dxa"/>
          </w:tcPr>
          <w:p>
            <w:pPr>
              <w:pStyle w:val="TableParagraph"/>
              <w:spacing w:before="97"/>
              <w:ind w:left="67"/>
              <w:jc w:val="left"/>
              <w:rPr>
                <w:b/>
                <w:sz w:val="18"/>
              </w:rPr>
            </w:pPr>
            <w:r>
              <w:rPr>
                <w:b/>
                <w:color w:val="333333"/>
                <w:sz w:val="18"/>
              </w:rPr>
              <w:t>TEXCALYACAC</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shd w:val="clear" w:color="auto" w:fill="FFFF00"/>
          </w:tcPr>
          <w:p>
            <w:pPr>
              <w:pStyle w:val="TableParagraph"/>
              <w:spacing w:before="10"/>
              <w:jc w:val="left"/>
              <w:rPr>
                <w:rFonts w:ascii="Times New Roman"/>
                <w:sz w:val="17"/>
              </w:rPr>
            </w:pPr>
          </w:p>
          <w:p>
            <w:pPr>
              <w:pStyle w:val="TableParagraph"/>
              <w:ind w:left="64"/>
              <w:jc w:val="left"/>
              <w:rPr>
                <w:sz w:val="18"/>
              </w:rPr>
            </w:pPr>
            <w:r>
              <w:rPr>
                <w:sz w:val="18"/>
              </w:rPr>
              <w:t>PRD</w:t>
            </w:r>
          </w:p>
        </w:tc>
        <w:tc>
          <w:tcPr>
            <w:tcW w:w="655" w:type="dxa"/>
            <w:shd w:val="clear" w:color="auto" w:fill="FFFF00"/>
          </w:tcPr>
          <w:p>
            <w:pPr>
              <w:pStyle w:val="TableParagraph"/>
              <w:spacing w:before="10"/>
              <w:jc w:val="left"/>
              <w:rPr>
                <w:rFonts w:ascii="Times New Roman"/>
                <w:sz w:val="17"/>
              </w:rPr>
            </w:pPr>
          </w:p>
          <w:p>
            <w:pPr>
              <w:pStyle w:val="TableParagraph"/>
              <w:ind w:left="67"/>
              <w:jc w:val="left"/>
              <w:rPr>
                <w:sz w:val="18"/>
              </w:rPr>
            </w:pPr>
            <w:r>
              <w:rPr>
                <w:sz w:val="18"/>
              </w:rPr>
              <w:t>PRD</w:t>
            </w: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shd w:val="clear" w:color="auto" w:fill="FFFF00"/>
          </w:tcPr>
          <w:p>
            <w:pPr>
              <w:pStyle w:val="TableParagraph"/>
              <w:spacing w:before="10"/>
              <w:jc w:val="left"/>
              <w:rPr>
                <w:rFonts w:ascii="Times New Roman"/>
                <w:sz w:val="17"/>
              </w:rPr>
            </w:pPr>
          </w:p>
          <w:p>
            <w:pPr>
              <w:pStyle w:val="TableParagraph"/>
              <w:ind w:left="64"/>
              <w:jc w:val="left"/>
              <w:rPr>
                <w:sz w:val="18"/>
              </w:rPr>
            </w:pPr>
            <w:r>
              <w:rPr>
                <w:sz w:val="18"/>
              </w:rPr>
              <w:t>PRD</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5" w:hRule="exact"/>
        </w:trPr>
        <w:tc>
          <w:tcPr>
            <w:tcW w:w="3882" w:type="dxa"/>
          </w:tcPr>
          <w:p>
            <w:pPr>
              <w:pStyle w:val="TableParagraph"/>
              <w:spacing w:before="97"/>
              <w:ind w:left="67"/>
              <w:jc w:val="left"/>
              <w:rPr>
                <w:b/>
                <w:sz w:val="18"/>
              </w:rPr>
            </w:pPr>
            <w:r>
              <w:rPr>
                <w:b/>
                <w:color w:val="333333"/>
                <w:sz w:val="18"/>
              </w:rPr>
              <w:t>TEXCOCO</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761"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655" w:type="dxa"/>
            <w:shd w:val="clear" w:color="auto" w:fill="FFFF00"/>
          </w:tcPr>
          <w:p>
            <w:pPr>
              <w:pStyle w:val="TableParagraph"/>
              <w:jc w:val="left"/>
              <w:rPr>
                <w:rFonts w:ascii="Times New Roman"/>
                <w:sz w:val="18"/>
              </w:rPr>
            </w:pPr>
          </w:p>
          <w:p>
            <w:pPr>
              <w:pStyle w:val="TableParagraph"/>
              <w:spacing w:before="1"/>
              <w:ind w:left="64"/>
              <w:jc w:val="left"/>
              <w:rPr>
                <w:sz w:val="18"/>
              </w:rPr>
            </w:pPr>
            <w:r>
              <w:rPr>
                <w:sz w:val="18"/>
              </w:rPr>
              <w:t>PRD</w:t>
            </w:r>
          </w:p>
        </w:tc>
        <w:tc>
          <w:tcPr>
            <w:tcW w:w="655" w:type="dxa"/>
            <w:shd w:val="clear" w:color="auto" w:fill="FFFF00"/>
          </w:tcPr>
          <w:p>
            <w:pPr>
              <w:pStyle w:val="TableParagraph"/>
              <w:jc w:val="left"/>
              <w:rPr>
                <w:rFonts w:ascii="Times New Roman"/>
                <w:sz w:val="18"/>
              </w:rPr>
            </w:pPr>
          </w:p>
          <w:p>
            <w:pPr>
              <w:pStyle w:val="TableParagraph"/>
              <w:spacing w:before="1"/>
              <w:ind w:left="67"/>
              <w:jc w:val="left"/>
              <w:rPr>
                <w:sz w:val="18"/>
              </w:rPr>
            </w:pPr>
            <w:r>
              <w:rPr>
                <w:sz w:val="18"/>
              </w:rPr>
              <w:t>PRD</w:t>
            </w:r>
          </w:p>
        </w:tc>
        <w:tc>
          <w:tcPr>
            <w:tcW w:w="1604" w:type="dxa"/>
            <w:shd w:val="clear" w:color="auto" w:fill="FFFF00"/>
          </w:tcPr>
          <w:p>
            <w:pPr>
              <w:pStyle w:val="TableParagraph"/>
              <w:jc w:val="left"/>
              <w:rPr>
                <w:rFonts w:ascii="Times New Roman"/>
                <w:sz w:val="18"/>
              </w:rPr>
            </w:pPr>
          </w:p>
          <w:p>
            <w:pPr>
              <w:pStyle w:val="TableParagraph"/>
              <w:spacing w:before="1"/>
              <w:ind w:left="67"/>
              <w:jc w:val="left"/>
              <w:rPr>
                <w:sz w:val="18"/>
              </w:rPr>
            </w:pPr>
            <w:r>
              <w:rPr>
                <w:sz w:val="18"/>
              </w:rPr>
              <w:t>PRD</w:t>
            </w:r>
          </w:p>
        </w:tc>
        <w:tc>
          <w:tcPr>
            <w:tcW w:w="1733" w:type="dxa"/>
            <w:shd w:val="clear" w:color="auto" w:fill="FFFF00"/>
          </w:tcPr>
          <w:p>
            <w:pPr>
              <w:pStyle w:val="TableParagraph"/>
              <w:jc w:val="left"/>
              <w:rPr>
                <w:rFonts w:ascii="Times New Roman"/>
                <w:sz w:val="18"/>
              </w:rPr>
            </w:pPr>
          </w:p>
          <w:p>
            <w:pPr>
              <w:pStyle w:val="TableParagraph"/>
              <w:spacing w:before="1"/>
              <w:ind w:left="64"/>
              <w:jc w:val="left"/>
              <w:rPr>
                <w:sz w:val="18"/>
              </w:rPr>
            </w:pPr>
            <w:r>
              <w:rPr>
                <w:sz w:val="18"/>
              </w:rPr>
              <w:t>PRD</w:t>
            </w:r>
          </w:p>
        </w:tc>
        <w:tc>
          <w:tcPr>
            <w:tcW w:w="2062" w:type="dxa"/>
          </w:tcPr>
          <w:p>
            <w:pPr>
              <w:pStyle w:val="TableParagraph"/>
              <w:ind w:left="67" w:right="295"/>
              <w:jc w:val="left"/>
              <w:rPr>
                <w:sz w:val="18"/>
              </w:rPr>
            </w:pPr>
            <w:r>
              <w:rPr>
                <w:sz w:val="18"/>
              </w:rPr>
              <w:t>PRI-PVEM-NA-PSD- PFD</w:t>
            </w:r>
          </w:p>
        </w:tc>
        <w:tc>
          <w:tcPr>
            <w:tcW w:w="1397" w:type="dxa"/>
            <w:shd w:val="clear" w:color="auto" w:fill="FAD3B4"/>
          </w:tcPr>
          <w:p>
            <w:pPr>
              <w:pStyle w:val="TableParagraph"/>
              <w:jc w:val="left"/>
              <w:rPr>
                <w:rFonts w:ascii="Times New Roman"/>
                <w:sz w:val="18"/>
              </w:rPr>
            </w:pPr>
          </w:p>
          <w:p>
            <w:pPr>
              <w:pStyle w:val="TableParagraph"/>
              <w:spacing w:before="1"/>
              <w:ind w:left="67"/>
              <w:jc w:val="left"/>
              <w:rPr>
                <w:sz w:val="18"/>
              </w:rPr>
            </w:pPr>
            <w:r>
              <w:rPr>
                <w:sz w:val="18"/>
              </w:rPr>
              <w:t>PT-MC</w:t>
            </w:r>
          </w:p>
        </w:tc>
      </w:tr>
      <w:tr>
        <w:trPr>
          <w:trHeight w:val="425" w:hRule="exact"/>
        </w:trPr>
        <w:tc>
          <w:tcPr>
            <w:tcW w:w="3882" w:type="dxa"/>
          </w:tcPr>
          <w:p>
            <w:pPr>
              <w:pStyle w:val="TableParagraph"/>
              <w:spacing w:before="97"/>
              <w:ind w:left="67"/>
              <w:jc w:val="left"/>
              <w:rPr>
                <w:b/>
                <w:sz w:val="18"/>
              </w:rPr>
            </w:pPr>
            <w:r>
              <w:rPr>
                <w:b/>
                <w:color w:val="333333"/>
                <w:sz w:val="18"/>
              </w:rPr>
              <w:t>TEZOYUCA</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shd w:val="clear" w:color="auto" w:fill="FFFF00"/>
          </w:tcPr>
          <w:p>
            <w:pPr>
              <w:pStyle w:val="TableParagraph"/>
              <w:spacing w:before="10"/>
              <w:jc w:val="left"/>
              <w:rPr>
                <w:rFonts w:ascii="Times New Roman"/>
                <w:sz w:val="17"/>
              </w:rPr>
            </w:pPr>
          </w:p>
          <w:p>
            <w:pPr>
              <w:pStyle w:val="TableParagraph"/>
              <w:ind w:left="67"/>
              <w:jc w:val="left"/>
              <w:rPr>
                <w:sz w:val="18"/>
              </w:rPr>
            </w:pPr>
            <w:r>
              <w:rPr>
                <w:sz w:val="18"/>
              </w:rPr>
              <w:t>PRD</w:t>
            </w: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shd w:val="clear" w:color="auto" w:fill="FFFF00"/>
          </w:tcPr>
          <w:p>
            <w:pPr>
              <w:pStyle w:val="TableParagraph"/>
              <w:spacing w:before="10"/>
              <w:jc w:val="left"/>
              <w:rPr>
                <w:rFonts w:ascii="Times New Roman"/>
                <w:sz w:val="17"/>
              </w:rPr>
            </w:pPr>
          </w:p>
          <w:p>
            <w:pPr>
              <w:pStyle w:val="TableParagraph"/>
              <w:ind w:left="64"/>
              <w:jc w:val="left"/>
              <w:rPr>
                <w:sz w:val="18"/>
              </w:rPr>
            </w:pPr>
            <w:r>
              <w:rPr>
                <w:sz w:val="18"/>
              </w:rPr>
              <w:t>PRD-PT</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2" w:hRule="exact"/>
        </w:trPr>
        <w:tc>
          <w:tcPr>
            <w:tcW w:w="3882" w:type="dxa"/>
          </w:tcPr>
          <w:p>
            <w:pPr>
              <w:pStyle w:val="TableParagraph"/>
              <w:spacing w:before="97"/>
              <w:ind w:left="67"/>
              <w:jc w:val="left"/>
              <w:rPr>
                <w:b/>
                <w:sz w:val="18"/>
              </w:rPr>
            </w:pPr>
            <w:r>
              <w:rPr>
                <w:b/>
                <w:color w:val="333333"/>
                <w:sz w:val="18"/>
              </w:rPr>
              <w:t>TIANGUISTENCO</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shd w:val="clear" w:color="auto" w:fill="006FC0"/>
          </w:tcPr>
          <w:p>
            <w:pPr>
              <w:pStyle w:val="TableParagraph"/>
              <w:spacing w:before="10"/>
              <w:jc w:val="left"/>
              <w:rPr>
                <w:rFonts w:ascii="Times New Roman"/>
                <w:sz w:val="17"/>
              </w:rPr>
            </w:pPr>
          </w:p>
          <w:p>
            <w:pPr>
              <w:pStyle w:val="TableParagraph"/>
              <w:ind w:left="67"/>
              <w:jc w:val="left"/>
              <w:rPr>
                <w:sz w:val="18"/>
              </w:rPr>
            </w:pPr>
            <w:r>
              <w:rPr>
                <w:sz w:val="18"/>
              </w:rPr>
              <w:t>PAN</w:t>
            </w:r>
          </w:p>
        </w:tc>
        <w:tc>
          <w:tcPr>
            <w:tcW w:w="1733" w:type="dxa"/>
            <w:shd w:val="clear" w:color="auto" w:fill="006FC0"/>
          </w:tcPr>
          <w:p>
            <w:pPr>
              <w:pStyle w:val="TableParagraph"/>
              <w:spacing w:before="10"/>
              <w:jc w:val="left"/>
              <w:rPr>
                <w:rFonts w:ascii="Times New Roman"/>
                <w:sz w:val="17"/>
              </w:rPr>
            </w:pPr>
          </w:p>
          <w:p>
            <w:pPr>
              <w:pStyle w:val="TableParagraph"/>
              <w:ind w:left="64"/>
              <w:jc w:val="left"/>
              <w:rPr>
                <w:sz w:val="18"/>
              </w:rPr>
            </w:pPr>
            <w:r>
              <w:rPr>
                <w:sz w:val="18"/>
              </w:rPr>
              <w:t>PAN</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5" w:hRule="exact"/>
        </w:trPr>
        <w:tc>
          <w:tcPr>
            <w:tcW w:w="3882" w:type="dxa"/>
          </w:tcPr>
          <w:p>
            <w:pPr>
              <w:pStyle w:val="TableParagraph"/>
              <w:spacing w:before="97"/>
              <w:ind w:left="67"/>
              <w:jc w:val="left"/>
              <w:rPr>
                <w:b/>
                <w:sz w:val="18"/>
              </w:rPr>
            </w:pPr>
            <w:r>
              <w:rPr>
                <w:b/>
                <w:color w:val="333333"/>
                <w:sz w:val="18"/>
              </w:rPr>
              <w:t>TIMILPAN</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761"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655" w:type="dxa"/>
            <w:shd w:val="clear" w:color="auto" w:fill="006FC0"/>
          </w:tcPr>
          <w:p>
            <w:pPr>
              <w:pStyle w:val="TableParagraph"/>
              <w:jc w:val="left"/>
              <w:rPr>
                <w:rFonts w:ascii="Times New Roman"/>
                <w:sz w:val="18"/>
              </w:rPr>
            </w:pPr>
          </w:p>
          <w:p>
            <w:pPr>
              <w:pStyle w:val="TableParagraph"/>
              <w:spacing w:before="1"/>
              <w:ind w:left="67"/>
              <w:jc w:val="left"/>
              <w:rPr>
                <w:sz w:val="18"/>
              </w:rPr>
            </w:pPr>
            <w:r>
              <w:rPr>
                <w:sz w:val="18"/>
              </w:rPr>
              <w:t>PAN</w:t>
            </w:r>
          </w:p>
        </w:tc>
        <w:tc>
          <w:tcPr>
            <w:tcW w:w="1604" w:type="dxa"/>
          </w:tcPr>
          <w:p>
            <w:pPr>
              <w:pStyle w:val="TableParagraph"/>
              <w:jc w:val="left"/>
              <w:rPr>
                <w:rFonts w:ascii="Times New Roman"/>
                <w:sz w:val="18"/>
              </w:rPr>
            </w:pPr>
          </w:p>
          <w:p>
            <w:pPr>
              <w:pStyle w:val="TableParagraph"/>
              <w:spacing w:before="1"/>
              <w:ind w:left="67"/>
              <w:jc w:val="left"/>
              <w:rPr>
                <w:sz w:val="18"/>
              </w:rPr>
            </w:pPr>
            <w:r>
              <w:rPr>
                <w:sz w:val="18"/>
              </w:rPr>
              <w:t>PRI-PVEM</w:t>
            </w:r>
          </w:p>
        </w:tc>
        <w:tc>
          <w:tcPr>
            <w:tcW w:w="1733" w:type="dxa"/>
            <w:shd w:val="clear" w:color="auto" w:fill="006FC0"/>
          </w:tcPr>
          <w:p>
            <w:pPr>
              <w:pStyle w:val="TableParagraph"/>
              <w:jc w:val="left"/>
              <w:rPr>
                <w:rFonts w:ascii="Times New Roman"/>
                <w:sz w:val="18"/>
              </w:rPr>
            </w:pPr>
          </w:p>
          <w:p>
            <w:pPr>
              <w:pStyle w:val="TableParagraph"/>
              <w:spacing w:before="1"/>
              <w:ind w:left="64"/>
              <w:jc w:val="left"/>
              <w:rPr>
                <w:sz w:val="18"/>
              </w:rPr>
            </w:pPr>
            <w:r>
              <w:rPr>
                <w:sz w:val="18"/>
              </w:rPr>
              <w:t>PAN</w:t>
            </w:r>
          </w:p>
        </w:tc>
        <w:tc>
          <w:tcPr>
            <w:tcW w:w="2062" w:type="dxa"/>
          </w:tcPr>
          <w:p>
            <w:pPr>
              <w:pStyle w:val="TableParagraph"/>
              <w:ind w:left="67" w:right="295"/>
              <w:jc w:val="left"/>
              <w:rPr>
                <w:sz w:val="18"/>
              </w:rPr>
            </w:pPr>
            <w:r>
              <w:rPr>
                <w:sz w:val="18"/>
              </w:rPr>
              <w:t>PRI-PVEM-NA-PSD- PFD</w:t>
            </w:r>
          </w:p>
        </w:tc>
        <w:tc>
          <w:tcPr>
            <w:tcW w:w="1397" w:type="dxa"/>
          </w:tcPr>
          <w:p>
            <w:pPr>
              <w:pStyle w:val="TableParagraph"/>
              <w:jc w:val="left"/>
              <w:rPr>
                <w:rFonts w:ascii="Times New Roman"/>
                <w:sz w:val="18"/>
              </w:rPr>
            </w:pPr>
          </w:p>
          <w:p>
            <w:pPr>
              <w:pStyle w:val="TableParagraph"/>
              <w:spacing w:before="1"/>
              <w:ind w:left="67"/>
              <w:jc w:val="left"/>
              <w:rPr>
                <w:sz w:val="18"/>
              </w:rPr>
            </w:pPr>
            <w:r>
              <w:rPr>
                <w:sz w:val="18"/>
              </w:rPr>
              <w:t>PRI-PVEM-NA</w:t>
            </w:r>
          </w:p>
        </w:tc>
      </w:tr>
      <w:tr>
        <w:trPr>
          <w:trHeight w:val="424" w:hRule="exact"/>
        </w:trPr>
        <w:tc>
          <w:tcPr>
            <w:tcW w:w="3882" w:type="dxa"/>
          </w:tcPr>
          <w:p>
            <w:pPr>
              <w:pStyle w:val="TableParagraph"/>
              <w:spacing w:before="97"/>
              <w:ind w:left="67"/>
              <w:jc w:val="left"/>
              <w:rPr>
                <w:b/>
                <w:sz w:val="18"/>
              </w:rPr>
            </w:pPr>
            <w:r>
              <w:rPr>
                <w:b/>
                <w:color w:val="333333"/>
                <w:sz w:val="18"/>
              </w:rPr>
              <w:t>TLALMANALCO</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shd w:val="clear" w:color="auto" w:fill="FFFF00"/>
          </w:tcPr>
          <w:p>
            <w:pPr>
              <w:pStyle w:val="TableParagraph"/>
              <w:spacing w:before="10"/>
              <w:jc w:val="left"/>
              <w:rPr>
                <w:rFonts w:ascii="Times New Roman"/>
                <w:sz w:val="17"/>
              </w:rPr>
            </w:pPr>
          </w:p>
          <w:p>
            <w:pPr>
              <w:pStyle w:val="TableParagraph"/>
              <w:ind w:left="64"/>
              <w:jc w:val="left"/>
              <w:rPr>
                <w:sz w:val="18"/>
              </w:rPr>
            </w:pPr>
            <w:r>
              <w:rPr>
                <w:sz w:val="18"/>
              </w:rPr>
              <w:t>PRD</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shd w:val="clear" w:color="auto" w:fill="FFFF00"/>
          </w:tcPr>
          <w:p>
            <w:pPr>
              <w:pStyle w:val="TableParagraph"/>
              <w:spacing w:before="10"/>
              <w:jc w:val="left"/>
              <w:rPr>
                <w:rFonts w:ascii="Times New Roman"/>
                <w:sz w:val="17"/>
              </w:rPr>
            </w:pPr>
          </w:p>
          <w:p>
            <w:pPr>
              <w:pStyle w:val="TableParagraph"/>
              <w:ind w:left="64"/>
              <w:jc w:val="left"/>
              <w:rPr>
                <w:sz w:val="18"/>
              </w:rPr>
            </w:pPr>
            <w:r>
              <w:rPr>
                <w:sz w:val="18"/>
              </w:rPr>
              <w:t>PRD</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4" w:hRule="exact"/>
        </w:trPr>
        <w:tc>
          <w:tcPr>
            <w:tcW w:w="3882" w:type="dxa"/>
          </w:tcPr>
          <w:p>
            <w:pPr>
              <w:pStyle w:val="TableParagraph"/>
              <w:spacing w:before="98"/>
              <w:ind w:left="67"/>
              <w:jc w:val="left"/>
              <w:rPr>
                <w:b/>
                <w:sz w:val="18"/>
              </w:rPr>
            </w:pPr>
            <w:r>
              <w:rPr>
                <w:b/>
                <w:color w:val="333333"/>
                <w:sz w:val="18"/>
              </w:rPr>
              <w:t>TLALNEPANTLA DE BAZ</w:t>
            </w:r>
          </w:p>
        </w:tc>
        <w:tc>
          <w:tcPr>
            <w:tcW w:w="655" w:type="dxa"/>
          </w:tcPr>
          <w:p>
            <w:pPr>
              <w:pStyle w:val="TableParagraph"/>
              <w:spacing w:before="11"/>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1"/>
              <w:jc w:val="left"/>
              <w:rPr>
                <w:rFonts w:ascii="Times New Roman"/>
                <w:sz w:val="17"/>
              </w:rPr>
            </w:pPr>
          </w:p>
          <w:p>
            <w:pPr>
              <w:pStyle w:val="TableParagraph"/>
              <w:ind w:left="67"/>
              <w:jc w:val="left"/>
              <w:rPr>
                <w:sz w:val="18"/>
              </w:rPr>
            </w:pPr>
            <w:r>
              <w:rPr>
                <w:sz w:val="18"/>
              </w:rPr>
              <w:t>PRI</w:t>
            </w:r>
          </w:p>
        </w:tc>
        <w:tc>
          <w:tcPr>
            <w:tcW w:w="655" w:type="dxa"/>
            <w:shd w:val="clear" w:color="auto" w:fill="006FC0"/>
          </w:tcPr>
          <w:p>
            <w:pPr>
              <w:pStyle w:val="TableParagraph"/>
              <w:spacing w:before="11"/>
              <w:jc w:val="left"/>
              <w:rPr>
                <w:rFonts w:ascii="Times New Roman"/>
                <w:sz w:val="17"/>
              </w:rPr>
            </w:pPr>
          </w:p>
          <w:p>
            <w:pPr>
              <w:pStyle w:val="TableParagraph"/>
              <w:ind w:left="64"/>
              <w:jc w:val="left"/>
              <w:rPr>
                <w:sz w:val="18"/>
              </w:rPr>
            </w:pPr>
            <w:r>
              <w:rPr>
                <w:sz w:val="18"/>
              </w:rPr>
              <w:t>PAN</w:t>
            </w:r>
          </w:p>
        </w:tc>
        <w:tc>
          <w:tcPr>
            <w:tcW w:w="655" w:type="dxa"/>
            <w:shd w:val="clear" w:color="auto" w:fill="006FC0"/>
          </w:tcPr>
          <w:p>
            <w:pPr>
              <w:pStyle w:val="TableParagraph"/>
              <w:spacing w:before="11"/>
              <w:jc w:val="left"/>
              <w:rPr>
                <w:rFonts w:ascii="Times New Roman"/>
                <w:sz w:val="17"/>
              </w:rPr>
            </w:pPr>
          </w:p>
          <w:p>
            <w:pPr>
              <w:pStyle w:val="TableParagraph"/>
              <w:ind w:left="67"/>
              <w:jc w:val="left"/>
              <w:rPr>
                <w:sz w:val="18"/>
              </w:rPr>
            </w:pPr>
            <w:r>
              <w:rPr>
                <w:sz w:val="18"/>
              </w:rPr>
              <w:t>PAN</w:t>
            </w:r>
          </w:p>
        </w:tc>
        <w:tc>
          <w:tcPr>
            <w:tcW w:w="1604" w:type="dxa"/>
            <w:shd w:val="clear" w:color="auto" w:fill="006FC0"/>
          </w:tcPr>
          <w:p>
            <w:pPr>
              <w:pStyle w:val="TableParagraph"/>
              <w:spacing w:before="11"/>
              <w:jc w:val="left"/>
              <w:rPr>
                <w:rFonts w:ascii="Times New Roman"/>
                <w:sz w:val="17"/>
              </w:rPr>
            </w:pPr>
          </w:p>
          <w:p>
            <w:pPr>
              <w:pStyle w:val="TableParagraph"/>
              <w:ind w:left="67"/>
              <w:jc w:val="left"/>
              <w:rPr>
                <w:sz w:val="18"/>
              </w:rPr>
            </w:pPr>
            <w:r>
              <w:rPr>
                <w:sz w:val="18"/>
              </w:rPr>
              <w:t>PAN</w:t>
            </w:r>
          </w:p>
        </w:tc>
        <w:tc>
          <w:tcPr>
            <w:tcW w:w="1733" w:type="dxa"/>
            <w:shd w:val="clear" w:color="auto" w:fill="006FC0"/>
          </w:tcPr>
          <w:p>
            <w:pPr>
              <w:pStyle w:val="TableParagraph"/>
              <w:spacing w:before="11"/>
              <w:jc w:val="left"/>
              <w:rPr>
                <w:rFonts w:ascii="Times New Roman"/>
                <w:sz w:val="17"/>
              </w:rPr>
            </w:pPr>
          </w:p>
          <w:p>
            <w:pPr>
              <w:pStyle w:val="TableParagraph"/>
              <w:ind w:left="64"/>
              <w:jc w:val="left"/>
              <w:rPr>
                <w:sz w:val="18"/>
              </w:rPr>
            </w:pPr>
            <w:r>
              <w:rPr>
                <w:sz w:val="18"/>
              </w:rPr>
              <w:t>PAN</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1"/>
              <w:jc w:val="left"/>
              <w:rPr>
                <w:rFonts w:ascii="Times New Roman"/>
                <w:sz w:val="17"/>
              </w:rPr>
            </w:pPr>
          </w:p>
          <w:p>
            <w:pPr>
              <w:pStyle w:val="TableParagraph"/>
              <w:ind w:left="67"/>
              <w:jc w:val="left"/>
              <w:rPr>
                <w:sz w:val="18"/>
              </w:rPr>
            </w:pPr>
            <w:r>
              <w:rPr>
                <w:sz w:val="18"/>
              </w:rPr>
              <w:t>PRI-PVEM-NA</w:t>
            </w:r>
          </w:p>
        </w:tc>
      </w:tr>
      <w:tr>
        <w:trPr>
          <w:trHeight w:val="401" w:hRule="exact"/>
        </w:trPr>
        <w:tc>
          <w:tcPr>
            <w:tcW w:w="3882" w:type="dxa"/>
          </w:tcPr>
          <w:p>
            <w:pPr>
              <w:pStyle w:val="TableParagraph"/>
              <w:spacing w:before="86"/>
              <w:ind w:left="67"/>
              <w:jc w:val="left"/>
              <w:rPr>
                <w:b/>
                <w:sz w:val="18"/>
              </w:rPr>
            </w:pPr>
            <w:r>
              <w:rPr>
                <w:b/>
                <w:color w:val="333333"/>
                <w:sz w:val="18"/>
              </w:rPr>
              <w:t>TLATLAYA</w:t>
            </w:r>
          </w:p>
        </w:tc>
        <w:tc>
          <w:tcPr>
            <w:tcW w:w="655" w:type="dxa"/>
          </w:tcPr>
          <w:p>
            <w:pPr>
              <w:pStyle w:val="TableParagraph"/>
              <w:jc w:val="left"/>
              <w:rPr>
                <w:rFonts w:ascii="Times New Roman"/>
                <w:sz w:val="16"/>
              </w:rPr>
            </w:pPr>
          </w:p>
          <w:p>
            <w:pPr>
              <w:pStyle w:val="TableParagraph"/>
              <w:ind w:left="64"/>
              <w:jc w:val="left"/>
              <w:rPr>
                <w:sz w:val="18"/>
              </w:rPr>
            </w:pPr>
            <w:r>
              <w:rPr>
                <w:sz w:val="18"/>
              </w:rPr>
              <w:t>PRI</w:t>
            </w:r>
          </w:p>
        </w:tc>
        <w:tc>
          <w:tcPr>
            <w:tcW w:w="761" w:type="dxa"/>
          </w:tcPr>
          <w:p>
            <w:pPr>
              <w:pStyle w:val="TableParagraph"/>
              <w:jc w:val="left"/>
              <w:rPr>
                <w:rFonts w:ascii="Times New Roman"/>
                <w:sz w:val="16"/>
              </w:rPr>
            </w:pPr>
          </w:p>
          <w:p>
            <w:pPr>
              <w:pStyle w:val="TableParagraph"/>
              <w:ind w:left="67"/>
              <w:jc w:val="left"/>
              <w:rPr>
                <w:sz w:val="18"/>
              </w:rPr>
            </w:pPr>
            <w:r>
              <w:rPr>
                <w:sz w:val="18"/>
              </w:rPr>
              <w:t>PRI</w:t>
            </w:r>
          </w:p>
        </w:tc>
        <w:tc>
          <w:tcPr>
            <w:tcW w:w="655" w:type="dxa"/>
          </w:tcPr>
          <w:p>
            <w:pPr>
              <w:pStyle w:val="TableParagraph"/>
              <w:jc w:val="left"/>
              <w:rPr>
                <w:rFonts w:ascii="Times New Roman"/>
                <w:sz w:val="16"/>
              </w:rPr>
            </w:pPr>
          </w:p>
          <w:p>
            <w:pPr>
              <w:pStyle w:val="TableParagraph"/>
              <w:ind w:left="64"/>
              <w:jc w:val="left"/>
              <w:rPr>
                <w:sz w:val="18"/>
              </w:rPr>
            </w:pPr>
            <w:r>
              <w:rPr>
                <w:sz w:val="18"/>
              </w:rPr>
              <w:t>PRI</w:t>
            </w:r>
          </w:p>
        </w:tc>
        <w:tc>
          <w:tcPr>
            <w:tcW w:w="655" w:type="dxa"/>
            <w:shd w:val="clear" w:color="auto" w:fill="FFFF00"/>
          </w:tcPr>
          <w:p>
            <w:pPr>
              <w:pStyle w:val="TableParagraph"/>
              <w:jc w:val="left"/>
              <w:rPr>
                <w:rFonts w:ascii="Times New Roman"/>
                <w:sz w:val="16"/>
              </w:rPr>
            </w:pPr>
          </w:p>
          <w:p>
            <w:pPr>
              <w:pStyle w:val="TableParagraph"/>
              <w:ind w:left="67"/>
              <w:jc w:val="left"/>
              <w:rPr>
                <w:sz w:val="18"/>
              </w:rPr>
            </w:pPr>
            <w:r>
              <w:rPr>
                <w:sz w:val="18"/>
              </w:rPr>
              <w:t>PRD</w:t>
            </w:r>
          </w:p>
        </w:tc>
        <w:tc>
          <w:tcPr>
            <w:tcW w:w="1604" w:type="dxa"/>
            <w:shd w:val="clear" w:color="auto" w:fill="FFFF00"/>
          </w:tcPr>
          <w:p>
            <w:pPr>
              <w:pStyle w:val="TableParagraph"/>
              <w:jc w:val="left"/>
              <w:rPr>
                <w:rFonts w:ascii="Times New Roman"/>
                <w:sz w:val="16"/>
              </w:rPr>
            </w:pPr>
          </w:p>
          <w:p>
            <w:pPr>
              <w:pStyle w:val="TableParagraph"/>
              <w:ind w:left="67"/>
              <w:jc w:val="left"/>
              <w:rPr>
                <w:sz w:val="18"/>
              </w:rPr>
            </w:pPr>
            <w:r>
              <w:rPr>
                <w:sz w:val="18"/>
              </w:rPr>
              <w:t>PRD</w:t>
            </w:r>
          </w:p>
        </w:tc>
        <w:tc>
          <w:tcPr>
            <w:tcW w:w="1733" w:type="dxa"/>
            <w:shd w:val="clear" w:color="auto" w:fill="FFFF00"/>
          </w:tcPr>
          <w:p>
            <w:pPr>
              <w:pStyle w:val="TableParagraph"/>
              <w:jc w:val="left"/>
              <w:rPr>
                <w:rFonts w:ascii="Times New Roman"/>
                <w:sz w:val="16"/>
              </w:rPr>
            </w:pPr>
          </w:p>
          <w:p>
            <w:pPr>
              <w:pStyle w:val="TableParagraph"/>
              <w:ind w:left="64"/>
              <w:jc w:val="left"/>
              <w:rPr>
                <w:sz w:val="18"/>
              </w:rPr>
            </w:pPr>
            <w:r>
              <w:rPr>
                <w:sz w:val="18"/>
              </w:rPr>
              <w:t>PRD</w:t>
            </w:r>
          </w:p>
        </w:tc>
        <w:tc>
          <w:tcPr>
            <w:tcW w:w="2062" w:type="dxa"/>
            <w:shd w:val="clear" w:color="auto" w:fill="FFFF00"/>
          </w:tcPr>
          <w:p>
            <w:pPr>
              <w:pStyle w:val="TableParagraph"/>
              <w:jc w:val="left"/>
              <w:rPr>
                <w:rFonts w:ascii="Times New Roman"/>
                <w:sz w:val="16"/>
              </w:rPr>
            </w:pPr>
          </w:p>
          <w:p>
            <w:pPr>
              <w:pStyle w:val="TableParagraph"/>
              <w:ind w:left="67" w:right="295"/>
              <w:jc w:val="left"/>
              <w:rPr>
                <w:sz w:val="18"/>
              </w:rPr>
            </w:pPr>
            <w:r>
              <w:rPr>
                <w:sz w:val="18"/>
              </w:rPr>
              <w:t>PRD</w:t>
            </w:r>
          </w:p>
        </w:tc>
        <w:tc>
          <w:tcPr>
            <w:tcW w:w="1397" w:type="dxa"/>
            <w:shd w:val="clear" w:color="auto" w:fill="FFFF00"/>
          </w:tcPr>
          <w:p>
            <w:pPr>
              <w:pStyle w:val="TableParagraph"/>
              <w:jc w:val="left"/>
              <w:rPr>
                <w:rFonts w:ascii="Times New Roman"/>
                <w:sz w:val="16"/>
              </w:rPr>
            </w:pPr>
          </w:p>
          <w:p>
            <w:pPr>
              <w:pStyle w:val="TableParagraph"/>
              <w:ind w:left="67"/>
              <w:jc w:val="left"/>
              <w:rPr>
                <w:sz w:val="18"/>
              </w:rPr>
            </w:pPr>
            <w:r>
              <w:rPr>
                <w:sz w:val="18"/>
              </w:rPr>
              <w:t>PRD-PT-MC</w:t>
            </w:r>
          </w:p>
        </w:tc>
      </w:tr>
      <w:tr>
        <w:trPr>
          <w:trHeight w:val="424" w:hRule="exact"/>
        </w:trPr>
        <w:tc>
          <w:tcPr>
            <w:tcW w:w="3882" w:type="dxa"/>
          </w:tcPr>
          <w:p>
            <w:pPr>
              <w:pStyle w:val="TableParagraph"/>
              <w:spacing w:before="97"/>
              <w:ind w:left="67"/>
              <w:jc w:val="left"/>
              <w:rPr>
                <w:b/>
                <w:sz w:val="18"/>
              </w:rPr>
            </w:pPr>
            <w:r>
              <w:rPr>
                <w:b/>
                <w:color w:val="333333"/>
                <w:sz w:val="18"/>
              </w:rPr>
              <w:t>TOLUCA</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shd w:val="clear" w:color="auto" w:fill="006FC0"/>
          </w:tcPr>
          <w:p>
            <w:pPr>
              <w:pStyle w:val="TableParagraph"/>
              <w:spacing w:before="10"/>
              <w:jc w:val="left"/>
              <w:rPr>
                <w:rFonts w:ascii="Times New Roman"/>
                <w:sz w:val="17"/>
              </w:rPr>
            </w:pPr>
          </w:p>
          <w:p>
            <w:pPr>
              <w:pStyle w:val="TableParagraph"/>
              <w:ind w:left="67"/>
              <w:jc w:val="left"/>
              <w:rPr>
                <w:sz w:val="18"/>
              </w:rPr>
            </w:pPr>
            <w:r>
              <w:rPr>
                <w:sz w:val="18"/>
              </w:rPr>
              <w:t>PAN</w:t>
            </w:r>
          </w:p>
        </w:tc>
        <w:tc>
          <w:tcPr>
            <w:tcW w:w="1604" w:type="dxa"/>
            <w:shd w:val="clear" w:color="auto" w:fill="006FC0"/>
          </w:tcPr>
          <w:p>
            <w:pPr>
              <w:pStyle w:val="TableParagraph"/>
              <w:spacing w:before="10"/>
              <w:jc w:val="left"/>
              <w:rPr>
                <w:rFonts w:ascii="Times New Roman"/>
                <w:sz w:val="17"/>
              </w:rPr>
            </w:pPr>
          </w:p>
          <w:p>
            <w:pPr>
              <w:pStyle w:val="TableParagraph"/>
              <w:ind w:left="67"/>
              <w:jc w:val="left"/>
              <w:rPr>
                <w:sz w:val="18"/>
              </w:rPr>
            </w:pPr>
            <w:r>
              <w:rPr>
                <w:sz w:val="18"/>
              </w:rPr>
              <w:t>PAN</w:t>
            </w:r>
          </w:p>
        </w:tc>
        <w:tc>
          <w:tcPr>
            <w:tcW w:w="1733" w:type="dxa"/>
            <w:shd w:val="clear" w:color="auto" w:fill="006FC0"/>
          </w:tcPr>
          <w:p>
            <w:pPr>
              <w:pStyle w:val="TableParagraph"/>
              <w:spacing w:before="10"/>
              <w:jc w:val="left"/>
              <w:rPr>
                <w:rFonts w:ascii="Times New Roman"/>
                <w:sz w:val="17"/>
              </w:rPr>
            </w:pPr>
          </w:p>
          <w:p>
            <w:pPr>
              <w:pStyle w:val="TableParagraph"/>
              <w:ind w:left="64"/>
              <w:jc w:val="left"/>
              <w:rPr>
                <w:sz w:val="18"/>
              </w:rPr>
            </w:pPr>
            <w:r>
              <w:rPr>
                <w:sz w:val="18"/>
              </w:rPr>
              <w:t>PAN</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00" w:hRule="exact"/>
        </w:trPr>
        <w:tc>
          <w:tcPr>
            <w:tcW w:w="3882" w:type="dxa"/>
          </w:tcPr>
          <w:p>
            <w:pPr>
              <w:pStyle w:val="TableParagraph"/>
              <w:spacing w:before="86"/>
              <w:ind w:left="67"/>
              <w:jc w:val="left"/>
              <w:rPr>
                <w:b/>
                <w:sz w:val="18"/>
              </w:rPr>
            </w:pPr>
            <w:r>
              <w:rPr>
                <w:b/>
                <w:color w:val="333333"/>
                <w:sz w:val="18"/>
              </w:rPr>
              <w:t>TONANITLA</w:t>
            </w:r>
          </w:p>
        </w:tc>
        <w:tc>
          <w:tcPr>
            <w:tcW w:w="655" w:type="dxa"/>
            <w:shd w:val="clear" w:color="auto" w:fill="A4A4A4"/>
          </w:tcPr>
          <w:p>
            <w:pPr/>
          </w:p>
        </w:tc>
        <w:tc>
          <w:tcPr>
            <w:tcW w:w="761" w:type="dxa"/>
            <w:shd w:val="clear" w:color="auto" w:fill="A4A4A4"/>
          </w:tcPr>
          <w:p>
            <w:pPr/>
          </w:p>
        </w:tc>
        <w:tc>
          <w:tcPr>
            <w:tcW w:w="655" w:type="dxa"/>
            <w:shd w:val="clear" w:color="auto" w:fill="A4A4A4"/>
          </w:tcPr>
          <w:p>
            <w:pPr/>
          </w:p>
        </w:tc>
        <w:tc>
          <w:tcPr>
            <w:tcW w:w="655" w:type="dxa"/>
            <w:shd w:val="clear" w:color="auto" w:fill="A4A4A4"/>
          </w:tcPr>
          <w:p>
            <w:pPr/>
          </w:p>
        </w:tc>
        <w:tc>
          <w:tcPr>
            <w:tcW w:w="1604" w:type="dxa"/>
            <w:shd w:val="clear" w:color="auto" w:fill="A4A4A4"/>
          </w:tcPr>
          <w:p>
            <w:pPr/>
          </w:p>
        </w:tc>
        <w:tc>
          <w:tcPr>
            <w:tcW w:w="1733" w:type="dxa"/>
            <w:shd w:val="clear" w:color="auto" w:fill="E26C09"/>
          </w:tcPr>
          <w:p>
            <w:pPr>
              <w:pStyle w:val="TableParagraph"/>
              <w:spacing w:before="10"/>
              <w:jc w:val="left"/>
              <w:rPr>
                <w:rFonts w:ascii="Times New Roman"/>
                <w:sz w:val="15"/>
              </w:rPr>
            </w:pPr>
          </w:p>
          <w:p>
            <w:pPr>
              <w:pStyle w:val="TableParagraph"/>
              <w:ind w:left="64"/>
              <w:jc w:val="left"/>
              <w:rPr>
                <w:sz w:val="18"/>
              </w:rPr>
            </w:pPr>
            <w:r>
              <w:rPr>
                <w:sz w:val="18"/>
              </w:rPr>
              <w:t>C-PT</w:t>
            </w:r>
          </w:p>
        </w:tc>
        <w:tc>
          <w:tcPr>
            <w:tcW w:w="2062" w:type="dxa"/>
            <w:shd w:val="clear" w:color="auto" w:fill="E26C09"/>
          </w:tcPr>
          <w:p>
            <w:pPr>
              <w:pStyle w:val="TableParagraph"/>
              <w:spacing w:before="10"/>
              <w:jc w:val="left"/>
              <w:rPr>
                <w:rFonts w:ascii="Times New Roman"/>
                <w:sz w:val="15"/>
              </w:rPr>
            </w:pPr>
          </w:p>
          <w:p>
            <w:pPr>
              <w:pStyle w:val="TableParagraph"/>
              <w:ind w:left="67" w:right="295"/>
              <w:jc w:val="left"/>
              <w:rPr>
                <w:sz w:val="18"/>
              </w:rPr>
            </w:pPr>
            <w:r>
              <w:rPr>
                <w:sz w:val="18"/>
              </w:rPr>
              <w:t>CONVERGENCIA</w:t>
            </w:r>
          </w:p>
        </w:tc>
        <w:tc>
          <w:tcPr>
            <w:tcW w:w="1397" w:type="dxa"/>
          </w:tcPr>
          <w:p>
            <w:pPr>
              <w:pStyle w:val="TableParagraph"/>
              <w:spacing w:before="10"/>
              <w:jc w:val="left"/>
              <w:rPr>
                <w:rFonts w:ascii="Times New Roman"/>
                <w:sz w:val="15"/>
              </w:rPr>
            </w:pPr>
          </w:p>
          <w:p>
            <w:pPr>
              <w:pStyle w:val="TableParagraph"/>
              <w:ind w:left="67"/>
              <w:jc w:val="left"/>
              <w:rPr>
                <w:sz w:val="18"/>
              </w:rPr>
            </w:pPr>
            <w:r>
              <w:rPr>
                <w:sz w:val="18"/>
              </w:rPr>
              <w:t>PRI-PVEM-NA</w:t>
            </w:r>
          </w:p>
        </w:tc>
      </w:tr>
      <w:tr>
        <w:trPr>
          <w:trHeight w:val="401" w:hRule="exact"/>
        </w:trPr>
        <w:tc>
          <w:tcPr>
            <w:tcW w:w="3882" w:type="dxa"/>
          </w:tcPr>
          <w:p>
            <w:pPr>
              <w:pStyle w:val="TableParagraph"/>
              <w:spacing w:before="85"/>
              <w:ind w:left="67"/>
              <w:jc w:val="left"/>
              <w:rPr>
                <w:b/>
                <w:sz w:val="18"/>
              </w:rPr>
            </w:pPr>
            <w:r>
              <w:rPr>
                <w:b/>
                <w:color w:val="333333"/>
                <w:sz w:val="18"/>
              </w:rPr>
              <w:t>TONATICO</w:t>
            </w:r>
          </w:p>
        </w:tc>
        <w:tc>
          <w:tcPr>
            <w:tcW w:w="655" w:type="dxa"/>
          </w:tcPr>
          <w:p>
            <w:pPr>
              <w:pStyle w:val="TableParagraph"/>
              <w:spacing w:before="11"/>
              <w:jc w:val="left"/>
              <w:rPr>
                <w:rFonts w:ascii="Times New Roman"/>
                <w:sz w:val="15"/>
              </w:rPr>
            </w:pPr>
          </w:p>
          <w:p>
            <w:pPr>
              <w:pStyle w:val="TableParagraph"/>
              <w:ind w:left="64"/>
              <w:jc w:val="left"/>
              <w:rPr>
                <w:sz w:val="18"/>
              </w:rPr>
            </w:pPr>
            <w:r>
              <w:rPr>
                <w:sz w:val="18"/>
              </w:rPr>
              <w:t>PRI</w:t>
            </w:r>
          </w:p>
        </w:tc>
        <w:tc>
          <w:tcPr>
            <w:tcW w:w="761" w:type="dxa"/>
          </w:tcPr>
          <w:p>
            <w:pPr>
              <w:pStyle w:val="TableParagraph"/>
              <w:spacing w:before="11"/>
              <w:jc w:val="left"/>
              <w:rPr>
                <w:rFonts w:ascii="Times New Roman"/>
                <w:sz w:val="15"/>
              </w:rPr>
            </w:pPr>
          </w:p>
          <w:p>
            <w:pPr>
              <w:pStyle w:val="TableParagraph"/>
              <w:ind w:left="67"/>
              <w:jc w:val="left"/>
              <w:rPr>
                <w:sz w:val="18"/>
              </w:rPr>
            </w:pPr>
            <w:r>
              <w:rPr>
                <w:sz w:val="18"/>
              </w:rPr>
              <w:t>PRI</w:t>
            </w:r>
          </w:p>
        </w:tc>
        <w:tc>
          <w:tcPr>
            <w:tcW w:w="655" w:type="dxa"/>
            <w:shd w:val="clear" w:color="auto" w:fill="FFFF00"/>
          </w:tcPr>
          <w:p>
            <w:pPr>
              <w:pStyle w:val="TableParagraph"/>
              <w:spacing w:before="11"/>
              <w:jc w:val="left"/>
              <w:rPr>
                <w:rFonts w:ascii="Times New Roman"/>
                <w:sz w:val="15"/>
              </w:rPr>
            </w:pPr>
          </w:p>
          <w:p>
            <w:pPr>
              <w:pStyle w:val="TableParagraph"/>
              <w:ind w:left="64"/>
              <w:jc w:val="left"/>
              <w:rPr>
                <w:sz w:val="18"/>
              </w:rPr>
            </w:pPr>
            <w:r>
              <w:rPr>
                <w:sz w:val="18"/>
              </w:rPr>
              <w:t>PRD</w:t>
            </w:r>
          </w:p>
        </w:tc>
        <w:tc>
          <w:tcPr>
            <w:tcW w:w="655" w:type="dxa"/>
          </w:tcPr>
          <w:p>
            <w:pPr>
              <w:pStyle w:val="TableParagraph"/>
              <w:spacing w:before="11"/>
              <w:jc w:val="left"/>
              <w:rPr>
                <w:rFonts w:ascii="Times New Roman"/>
                <w:sz w:val="15"/>
              </w:rPr>
            </w:pPr>
          </w:p>
          <w:p>
            <w:pPr>
              <w:pStyle w:val="TableParagraph"/>
              <w:ind w:left="67"/>
              <w:jc w:val="left"/>
              <w:rPr>
                <w:sz w:val="18"/>
              </w:rPr>
            </w:pPr>
            <w:r>
              <w:rPr>
                <w:sz w:val="18"/>
              </w:rPr>
              <w:t>PRI</w:t>
            </w:r>
          </w:p>
        </w:tc>
        <w:tc>
          <w:tcPr>
            <w:tcW w:w="1604" w:type="dxa"/>
            <w:shd w:val="clear" w:color="auto" w:fill="FFFF00"/>
          </w:tcPr>
          <w:p>
            <w:pPr>
              <w:pStyle w:val="TableParagraph"/>
              <w:spacing w:before="11"/>
              <w:jc w:val="left"/>
              <w:rPr>
                <w:rFonts w:ascii="Times New Roman"/>
                <w:sz w:val="15"/>
              </w:rPr>
            </w:pPr>
          </w:p>
          <w:p>
            <w:pPr>
              <w:pStyle w:val="TableParagraph"/>
              <w:ind w:left="67"/>
              <w:jc w:val="left"/>
              <w:rPr>
                <w:sz w:val="18"/>
              </w:rPr>
            </w:pPr>
            <w:r>
              <w:rPr>
                <w:sz w:val="18"/>
              </w:rPr>
              <w:t>PRD</w:t>
            </w:r>
          </w:p>
        </w:tc>
        <w:tc>
          <w:tcPr>
            <w:tcW w:w="1733" w:type="dxa"/>
          </w:tcPr>
          <w:p>
            <w:pPr>
              <w:pStyle w:val="TableParagraph"/>
              <w:spacing w:before="11"/>
              <w:jc w:val="left"/>
              <w:rPr>
                <w:rFonts w:ascii="Times New Roman"/>
                <w:sz w:val="15"/>
              </w:rPr>
            </w:pPr>
          </w:p>
          <w:p>
            <w:pPr>
              <w:pStyle w:val="TableParagraph"/>
              <w:ind w:left="64"/>
              <w:jc w:val="left"/>
              <w:rPr>
                <w:sz w:val="18"/>
              </w:rPr>
            </w:pPr>
            <w:r>
              <w:rPr>
                <w:sz w:val="18"/>
              </w:rPr>
              <w:t>PRI-PVEM</w:t>
            </w:r>
          </w:p>
        </w:tc>
        <w:tc>
          <w:tcPr>
            <w:tcW w:w="2062" w:type="dxa"/>
            <w:shd w:val="clear" w:color="auto" w:fill="006FC0"/>
          </w:tcPr>
          <w:p>
            <w:pPr>
              <w:pStyle w:val="TableParagraph"/>
              <w:spacing w:before="11"/>
              <w:jc w:val="left"/>
              <w:rPr>
                <w:rFonts w:ascii="Times New Roman"/>
                <w:sz w:val="15"/>
              </w:rPr>
            </w:pPr>
          </w:p>
          <w:p>
            <w:pPr>
              <w:pStyle w:val="TableParagraph"/>
              <w:ind w:left="67" w:right="295"/>
              <w:jc w:val="left"/>
              <w:rPr>
                <w:sz w:val="18"/>
              </w:rPr>
            </w:pPr>
            <w:r>
              <w:rPr>
                <w:sz w:val="18"/>
              </w:rPr>
              <w:t>PAN</w:t>
            </w:r>
          </w:p>
        </w:tc>
        <w:tc>
          <w:tcPr>
            <w:tcW w:w="1397" w:type="dxa"/>
            <w:shd w:val="clear" w:color="auto" w:fill="FFFF00"/>
          </w:tcPr>
          <w:p>
            <w:pPr>
              <w:pStyle w:val="TableParagraph"/>
              <w:spacing w:before="11"/>
              <w:jc w:val="left"/>
              <w:rPr>
                <w:rFonts w:ascii="Times New Roman"/>
                <w:sz w:val="15"/>
              </w:rPr>
            </w:pPr>
          </w:p>
          <w:p>
            <w:pPr>
              <w:pStyle w:val="TableParagraph"/>
              <w:ind w:left="67"/>
              <w:jc w:val="left"/>
              <w:rPr>
                <w:sz w:val="18"/>
              </w:rPr>
            </w:pPr>
            <w:r>
              <w:rPr>
                <w:sz w:val="18"/>
              </w:rPr>
              <w:t>PRD-PT</w:t>
            </w:r>
          </w:p>
        </w:tc>
      </w:tr>
      <w:tr>
        <w:trPr>
          <w:trHeight w:val="398" w:hRule="exact"/>
        </w:trPr>
        <w:tc>
          <w:tcPr>
            <w:tcW w:w="3882" w:type="dxa"/>
          </w:tcPr>
          <w:p>
            <w:pPr>
              <w:pStyle w:val="TableParagraph"/>
              <w:spacing w:before="85"/>
              <w:ind w:left="67"/>
              <w:jc w:val="left"/>
              <w:rPr>
                <w:b/>
                <w:sz w:val="18"/>
              </w:rPr>
            </w:pPr>
            <w:r>
              <w:rPr>
                <w:b/>
                <w:color w:val="333333"/>
                <w:sz w:val="18"/>
              </w:rPr>
              <w:t>TULTEPEC</w:t>
            </w:r>
          </w:p>
        </w:tc>
        <w:tc>
          <w:tcPr>
            <w:tcW w:w="655" w:type="dxa"/>
          </w:tcPr>
          <w:p>
            <w:pPr>
              <w:pStyle w:val="TableParagraph"/>
              <w:spacing w:before="9"/>
              <w:jc w:val="left"/>
              <w:rPr>
                <w:rFonts w:ascii="Times New Roman"/>
                <w:sz w:val="15"/>
              </w:rPr>
            </w:pPr>
          </w:p>
          <w:p>
            <w:pPr>
              <w:pStyle w:val="TableParagraph"/>
              <w:ind w:left="64"/>
              <w:jc w:val="left"/>
              <w:rPr>
                <w:sz w:val="18"/>
              </w:rPr>
            </w:pPr>
            <w:r>
              <w:rPr>
                <w:sz w:val="18"/>
              </w:rPr>
              <w:t>PRI</w:t>
            </w:r>
          </w:p>
        </w:tc>
        <w:tc>
          <w:tcPr>
            <w:tcW w:w="761" w:type="dxa"/>
          </w:tcPr>
          <w:p>
            <w:pPr>
              <w:pStyle w:val="TableParagraph"/>
              <w:spacing w:before="9"/>
              <w:jc w:val="left"/>
              <w:rPr>
                <w:rFonts w:ascii="Times New Roman"/>
                <w:sz w:val="15"/>
              </w:rPr>
            </w:pPr>
          </w:p>
          <w:p>
            <w:pPr>
              <w:pStyle w:val="TableParagraph"/>
              <w:ind w:left="67"/>
              <w:jc w:val="left"/>
              <w:rPr>
                <w:sz w:val="18"/>
              </w:rPr>
            </w:pPr>
            <w:r>
              <w:rPr>
                <w:sz w:val="18"/>
              </w:rPr>
              <w:t>PRI</w:t>
            </w:r>
          </w:p>
        </w:tc>
        <w:tc>
          <w:tcPr>
            <w:tcW w:w="655" w:type="dxa"/>
            <w:shd w:val="clear" w:color="auto" w:fill="FFFF00"/>
          </w:tcPr>
          <w:p>
            <w:pPr>
              <w:pStyle w:val="TableParagraph"/>
              <w:spacing w:before="9"/>
              <w:jc w:val="left"/>
              <w:rPr>
                <w:rFonts w:ascii="Times New Roman"/>
                <w:sz w:val="15"/>
              </w:rPr>
            </w:pPr>
          </w:p>
          <w:p>
            <w:pPr>
              <w:pStyle w:val="TableParagraph"/>
              <w:ind w:left="64"/>
              <w:jc w:val="left"/>
              <w:rPr>
                <w:sz w:val="18"/>
              </w:rPr>
            </w:pPr>
            <w:r>
              <w:rPr>
                <w:sz w:val="18"/>
              </w:rPr>
              <w:t>PRD</w:t>
            </w:r>
          </w:p>
        </w:tc>
        <w:tc>
          <w:tcPr>
            <w:tcW w:w="655" w:type="dxa"/>
          </w:tcPr>
          <w:p>
            <w:pPr>
              <w:pStyle w:val="TableParagraph"/>
              <w:spacing w:before="9"/>
              <w:jc w:val="left"/>
              <w:rPr>
                <w:rFonts w:ascii="Times New Roman"/>
                <w:sz w:val="15"/>
              </w:rPr>
            </w:pPr>
          </w:p>
          <w:p>
            <w:pPr>
              <w:pStyle w:val="TableParagraph"/>
              <w:ind w:left="67"/>
              <w:jc w:val="left"/>
              <w:rPr>
                <w:sz w:val="18"/>
              </w:rPr>
            </w:pPr>
            <w:r>
              <w:rPr>
                <w:sz w:val="18"/>
              </w:rPr>
              <w:t>PRI</w:t>
            </w:r>
          </w:p>
        </w:tc>
        <w:tc>
          <w:tcPr>
            <w:tcW w:w="1604" w:type="dxa"/>
            <w:shd w:val="clear" w:color="auto" w:fill="FFFF00"/>
          </w:tcPr>
          <w:p>
            <w:pPr>
              <w:pStyle w:val="TableParagraph"/>
              <w:spacing w:before="9"/>
              <w:jc w:val="left"/>
              <w:rPr>
                <w:rFonts w:ascii="Times New Roman"/>
                <w:sz w:val="15"/>
              </w:rPr>
            </w:pPr>
          </w:p>
          <w:p>
            <w:pPr>
              <w:pStyle w:val="TableParagraph"/>
              <w:ind w:left="67"/>
              <w:jc w:val="left"/>
              <w:rPr>
                <w:sz w:val="18"/>
              </w:rPr>
            </w:pPr>
            <w:r>
              <w:rPr>
                <w:sz w:val="18"/>
              </w:rPr>
              <w:t>PRD</w:t>
            </w:r>
          </w:p>
        </w:tc>
        <w:tc>
          <w:tcPr>
            <w:tcW w:w="1733" w:type="dxa"/>
            <w:shd w:val="clear" w:color="auto" w:fill="FFFF00"/>
          </w:tcPr>
          <w:p>
            <w:pPr>
              <w:pStyle w:val="TableParagraph"/>
              <w:spacing w:before="9"/>
              <w:jc w:val="left"/>
              <w:rPr>
                <w:rFonts w:ascii="Times New Roman"/>
                <w:sz w:val="15"/>
              </w:rPr>
            </w:pPr>
          </w:p>
          <w:p>
            <w:pPr>
              <w:pStyle w:val="TableParagraph"/>
              <w:ind w:left="64"/>
              <w:jc w:val="left"/>
              <w:rPr>
                <w:sz w:val="18"/>
              </w:rPr>
            </w:pPr>
            <w:r>
              <w:rPr>
                <w:sz w:val="18"/>
              </w:rPr>
              <w:t>PRD</w:t>
            </w:r>
          </w:p>
        </w:tc>
        <w:tc>
          <w:tcPr>
            <w:tcW w:w="2062" w:type="dxa"/>
            <w:shd w:val="clear" w:color="auto" w:fill="FFFF00"/>
          </w:tcPr>
          <w:p>
            <w:pPr>
              <w:pStyle w:val="TableParagraph"/>
              <w:spacing w:before="9"/>
              <w:jc w:val="left"/>
              <w:rPr>
                <w:rFonts w:ascii="Times New Roman"/>
                <w:sz w:val="15"/>
              </w:rPr>
            </w:pPr>
          </w:p>
          <w:p>
            <w:pPr>
              <w:pStyle w:val="TableParagraph"/>
              <w:ind w:left="67" w:right="295"/>
              <w:jc w:val="left"/>
              <w:rPr>
                <w:sz w:val="18"/>
              </w:rPr>
            </w:pPr>
            <w:r>
              <w:rPr>
                <w:sz w:val="18"/>
              </w:rPr>
              <w:t>PRD</w:t>
            </w:r>
          </w:p>
        </w:tc>
        <w:tc>
          <w:tcPr>
            <w:tcW w:w="1397" w:type="dxa"/>
            <w:shd w:val="clear" w:color="auto" w:fill="FFFF00"/>
          </w:tcPr>
          <w:p>
            <w:pPr>
              <w:pStyle w:val="TableParagraph"/>
              <w:spacing w:before="9"/>
              <w:jc w:val="left"/>
              <w:rPr>
                <w:rFonts w:ascii="Times New Roman"/>
                <w:sz w:val="15"/>
              </w:rPr>
            </w:pPr>
          </w:p>
          <w:p>
            <w:pPr>
              <w:pStyle w:val="TableParagraph"/>
              <w:ind w:left="67"/>
              <w:jc w:val="left"/>
              <w:rPr>
                <w:sz w:val="18"/>
              </w:rPr>
            </w:pPr>
            <w:r>
              <w:rPr>
                <w:sz w:val="18"/>
              </w:rPr>
              <w:t>PRD-MC</w:t>
            </w:r>
          </w:p>
        </w:tc>
      </w:tr>
      <w:tr>
        <w:trPr>
          <w:trHeight w:val="425" w:hRule="exact"/>
        </w:trPr>
        <w:tc>
          <w:tcPr>
            <w:tcW w:w="3882" w:type="dxa"/>
          </w:tcPr>
          <w:p>
            <w:pPr>
              <w:pStyle w:val="TableParagraph"/>
              <w:spacing w:before="100"/>
              <w:ind w:left="67"/>
              <w:jc w:val="left"/>
              <w:rPr>
                <w:b/>
                <w:sz w:val="18"/>
              </w:rPr>
            </w:pPr>
            <w:r>
              <w:rPr>
                <w:b/>
                <w:color w:val="333333"/>
                <w:sz w:val="18"/>
              </w:rPr>
              <w:t>TULTITLAN</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761"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655" w:type="dxa"/>
            <w:shd w:val="clear" w:color="auto" w:fill="006FC0"/>
          </w:tcPr>
          <w:p>
            <w:pPr>
              <w:pStyle w:val="TableParagraph"/>
              <w:jc w:val="left"/>
              <w:rPr>
                <w:rFonts w:ascii="Times New Roman"/>
                <w:sz w:val="18"/>
              </w:rPr>
            </w:pPr>
          </w:p>
          <w:p>
            <w:pPr>
              <w:pStyle w:val="TableParagraph"/>
              <w:spacing w:before="1"/>
              <w:ind w:left="67"/>
              <w:jc w:val="left"/>
              <w:rPr>
                <w:sz w:val="18"/>
              </w:rPr>
            </w:pPr>
            <w:r>
              <w:rPr>
                <w:sz w:val="18"/>
              </w:rPr>
              <w:t>PAN</w:t>
            </w:r>
          </w:p>
        </w:tc>
        <w:tc>
          <w:tcPr>
            <w:tcW w:w="1604" w:type="dxa"/>
            <w:shd w:val="clear" w:color="auto" w:fill="FFFF00"/>
          </w:tcPr>
          <w:p>
            <w:pPr>
              <w:pStyle w:val="TableParagraph"/>
              <w:jc w:val="left"/>
              <w:rPr>
                <w:rFonts w:ascii="Times New Roman"/>
                <w:sz w:val="18"/>
              </w:rPr>
            </w:pPr>
          </w:p>
          <w:p>
            <w:pPr>
              <w:pStyle w:val="TableParagraph"/>
              <w:spacing w:before="1"/>
              <w:ind w:left="67"/>
              <w:jc w:val="left"/>
              <w:rPr>
                <w:sz w:val="18"/>
              </w:rPr>
            </w:pPr>
            <w:r>
              <w:rPr>
                <w:sz w:val="18"/>
              </w:rPr>
              <w:t>PRD</w:t>
            </w:r>
          </w:p>
        </w:tc>
        <w:tc>
          <w:tcPr>
            <w:tcW w:w="1733" w:type="dxa"/>
            <w:shd w:val="clear" w:color="auto" w:fill="FFFF00"/>
          </w:tcPr>
          <w:p>
            <w:pPr>
              <w:pStyle w:val="TableParagraph"/>
              <w:jc w:val="left"/>
              <w:rPr>
                <w:rFonts w:ascii="Times New Roman"/>
                <w:sz w:val="18"/>
              </w:rPr>
            </w:pPr>
          </w:p>
          <w:p>
            <w:pPr>
              <w:pStyle w:val="TableParagraph"/>
              <w:spacing w:before="1"/>
              <w:ind w:left="64"/>
              <w:jc w:val="left"/>
              <w:rPr>
                <w:sz w:val="18"/>
              </w:rPr>
            </w:pPr>
            <w:r>
              <w:rPr>
                <w:sz w:val="18"/>
              </w:rPr>
              <w:t>PRD-PT</w:t>
            </w:r>
          </w:p>
        </w:tc>
        <w:tc>
          <w:tcPr>
            <w:tcW w:w="2062" w:type="dxa"/>
          </w:tcPr>
          <w:p>
            <w:pPr>
              <w:pStyle w:val="TableParagraph"/>
              <w:spacing w:before="1"/>
              <w:ind w:left="67" w:right="295"/>
              <w:jc w:val="left"/>
              <w:rPr>
                <w:sz w:val="18"/>
              </w:rPr>
            </w:pPr>
            <w:r>
              <w:rPr>
                <w:sz w:val="18"/>
              </w:rPr>
              <w:t>PRI-PVEM-NA-PSD- PFD</w:t>
            </w:r>
          </w:p>
        </w:tc>
        <w:tc>
          <w:tcPr>
            <w:tcW w:w="1397" w:type="dxa"/>
          </w:tcPr>
          <w:p>
            <w:pPr>
              <w:pStyle w:val="TableParagraph"/>
              <w:jc w:val="left"/>
              <w:rPr>
                <w:rFonts w:ascii="Times New Roman"/>
                <w:sz w:val="18"/>
              </w:rPr>
            </w:pPr>
          </w:p>
          <w:p>
            <w:pPr>
              <w:pStyle w:val="TableParagraph"/>
              <w:spacing w:before="1"/>
              <w:ind w:left="67"/>
              <w:jc w:val="left"/>
              <w:rPr>
                <w:sz w:val="18"/>
              </w:rPr>
            </w:pPr>
            <w:r>
              <w:rPr>
                <w:sz w:val="18"/>
              </w:rPr>
              <w:t>PRI-PVEM-NA</w:t>
            </w:r>
          </w:p>
        </w:tc>
      </w:tr>
      <w:tr>
        <w:trPr>
          <w:trHeight w:val="425" w:hRule="exact"/>
        </w:trPr>
        <w:tc>
          <w:tcPr>
            <w:tcW w:w="3882" w:type="dxa"/>
          </w:tcPr>
          <w:p>
            <w:pPr>
              <w:pStyle w:val="TableParagraph"/>
              <w:spacing w:before="98"/>
              <w:ind w:left="67"/>
              <w:jc w:val="left"/>
              <w:rPr>
                <w:b/>
                <w:sz w:val="18"/>
              </w:rPr>
            </w:pPr>
            <w:r>
              <w:rPr>
                <w:b/>
                <w:color w:val="333333"/>
                <w:sz w:val="18"/>
              </w:rPr>
              <w:t>VALLE DE BRAVO</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shd w:val="clear" w:color="auto" w:fill="006FC0"/>
          </w:tcPr>
          <w:p>
            <w:pPr>
              <w:pStyle w:val="TableParagraph"/>
              <w:spacing w:before="10"/>
              <w:jc w:val="left"/>
              <w:rPr>
                <w:rFonts w:ascii="Times New Roman"/>
                <w:sz w:val="17"/>
              </w:rPr>
            </w:pPr>
          </w:p>
          <w:p>
            <w:pPr>
              <w:pStyle w:val="TableParagraph"/>
              <w:ind w:left="64"/>
              <w:jc w:val="left"/>
              <w:rPr>
                <w:sz w:val="18"/>
              </w:rPr>
            </w:pPr>
            <w:r>
              <w:rPr>
                <w:sz w:val="18"/>
              </w:rPr>
              <w:t>PAN</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shd w:val="clear" w:color="auto" w:fill="006FC0"/>
          </w:tcPr>
          <w:p>
            <w:pPr>
              <w:pStyle w:val="TableParagraph"/>
              <w:spacing w:before="10"/>
              <w:jc w:val="left"/>
              <w:rPr>
                <w:rFonts w:ascii="Times New Roman"/>
                <w:sz w:val="17"/>
              </w:rPr>
            </w:pPr>
          </w:p>
          <w:p>
            <w:pPr>
              <w:pStyle w:val="TableParagraph"/>
              <w:ind w:left="67"/>
              <w:jc w:val="left"/>
              <w:rPr>
                <w:sz w:val="18"/>
              </w:rPr>
            </w:pPr>
            <w:r>
              <w:rPr>
                <w:sz w:val="18"/>
              </w:rPr>
              <w:t>PAN</w:t>
            </w:r>
          </w:p>
        </w:tc>
        <w:tc>
          <w:tcPr>
            <w:tcW w:w="1733" w:type="dxa"/>
          </w:tcPr>
          <w:p>
            <w:pPr>
              <w:pStyle w:val="TableParagraph"/>
              <w:spacing w:before="10"/>
              <w:jc w:val="left"/>
              <w:rPr>
                <w:rFonts w:ascii="Times New Roman"/>
                <w:sz w:val="17"/>
              </w:rPr>
            </w:pPr>
          </w:p>
          <w:p>
            <w:pPr>
              <w:pStyle w:val="TableParagraph"/>
              <w:ind w:left="64"/>
              <w:jc w:val="left"/>
              <w:rPr>
                <w:sz w:val="18"/>
              </w:rPr>
            </w:pPr>
            <w:r>
              <w:rPr>
                <w:sz w:val="18"/>
              </w:rPr>
              <w:t>PRI-PVEM</w:t>
            </w:r>
          </w:p>
        </w:tc>
        <w:tc>
          <w:tcPr>
            <w:tcW w:w="2062" w:type="dxa"/>
          </w:tcPr>
          <w:p>
            <w:pPr>
              <w:pStyle w:val="TableParagraph"/>
              <w:ind w:left="67" w:right="295"/>
              <w:jc w:val="left"/>
              <w:rPr>
                <w:sz w:val="18"/>
              </w:rPr>
            </w:pPr>
            <w:r>
              <w:rPr>
                <w:sz w:val="18"/>
              </w:rPr>
              <w:t>PRI-PVEM-NA-PSD- PFD</w:t>
            </w:r>
          </w:p>
        </w:tc>
        <w:tc>
          <w:tcPr>
            <w:tcW w:w="1397" w:type="dxa"/>
            <w:shd w:val="clear" w:color="auto" w:fill="006FC0"/>
          </w:tcPr>
          <w:p>
            <w:pPr>
              <w:pStyle w:val="TableParagraph"/>
              <w:spacing w:before="10"/>
              <w:jc w:val="left"/>
              <w:rPr>
                <w:rFonts w:ascii="Times New Roman"/>
                <w:sz w:val="17"/>
              </w:rPr>
            </w:pPr>
          </w:p>
          <w:p>
            <w:pPr>
              <w:pStyle w:val="TableParagraph"/>
              <w:ind w:left="67"/>
              <w:jc w:val="left"/>
              <w:rPr>
                <w:sz w:val="18"/>
              </w:rPr>
            </w:pPr>
            <w:r>
              <w:rPr>
                <w:sz w:val="18"/>
              </w:rPr>
              <w:t>PAN</w:t>
            </w:r>
          </w:p>
        </w:tc>
      </w:tr>
      <w:tr>
        <w:trPr>
          <w:trHeight w:val="425" w:hRule="exact"/>
        </w:trPr>
        <w:tc>
          <w:tcPr>
            <w:tcW w:w="3882" w:type="dxa"/>
          </w:tcPr>
          <w:p>
            <w:pPr>
              <w:pStyle w:val="TableParagraph"/>
              <w:spacing w:before="97"/>
              <w:ind w:left="67"/>
              <w:jc w:val="left"/>
              <w:rPr>
                <w:b/>
                <w:sz w:val="18"/>
              </w:rPr>
            </w:pPr>
            <w:r>
              <w:rPr>
                <w:b/>
                <w:color w:val="333333"/>
                <w:sz w:val="18"/>
              </w:rPr>
              <w:t>VALLE DE CHALCO SOLIDARIDAD</w:t>
            </w:r>
          </w:p>
        </w:tc>
        <w:tc>
          <w:tcPr>
            <w:tcW w:w="655" w:type="dxa"/>
            <w:shd w:val="clear" w:color="auto" w:fill="A4A4A4"/>
          </w:tcPr>
          <w:p>
            <w:pPr/>
          </w:p>
        </w:tc>
        <w:tc>
          <w:tcPr>
            <w:tcW w:w="761" w:type="dxa"/>
            <w:shd w:val="clear" w:color="auto" w:fill="A4A4A4"/>
          </w:tcPr>
          <w:p>
            <w:pP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shd w:val="clear" w:color="auto" w:fill="FFFF00"/>
          </w:tcPr>
          <w:p>
            <w:pPr>
              <w:pStyle w:val="TableParagraph"/>
              <w:spacing w:before="10"/>
              <w:jc w:val="left"/>
              <w:rPr>
                <w:rFonts w:ascii="Times New Roman"/>
                <w:sz w:val="17"/>
              </w:rPr>
            </w:pPr>
          </w:p>
          <w:p>
            <w:pPr>
              <w:pStyle w:val="TableParagraph"/>
              <w:ind w:left="67"/>
              <w:jc w:val="left"/>
              <w:rPr>
                <w:sz w:val="18"/>
              </w:rPr>
            </w:pPr>
            <w:r>
              <w:rPr>
                <w:sz w:val="18"/>
              </w:rPr>
              <w:t>PRD</w:t>
            </w:r>
          </w:p>
        </w:tc>
        <w:tc>
          <w:tcPr>
            <w:tcW w:w="1733" w:type="dxa"/>
            <w:shd w:val="clear" w:color="auto" w:fill="FFFF00"/>
          </w:tcPr>
          <w:p>
            <w:pPr>
              <w:pStyle w:val="TableParagraph"/>
              <w:spacing w:before="10"/>
              <w:jc w:val="left"/>
              <w:rPr>
                <w:rFonts w:ascii="Times New Roman"/>
                <w:sz w:val="17"/>
              </w:rPr>
            </w:pPr>
          </w:p>
          <w:p>
            <w:pPr>
              <w:pStyle w:val="TableParagraph"/>
              <w:ind w:left="64"/>
              <w:jc w:val="left"/>
              <w:rPr>
                <w:sz w:val="18"/>
              </w:rPr>
            </w:pPr>
            <w:r>
              <w:rPr>
                <w:sz w:val="18"/>
              </w:rPr>
              <w:t>PRD</w:t>
            </w:r>
          </w:p>
        </w:tc>
        <w:tc>
          <w:tcPr>
            <w:tcW w:w="2062" w:type="dxa"/>
          </w:tcPr>
          <w:p>
            <w:pPr>
              <w:pStyle w:val="TableParagraph"/>
              <w:ind w:left="67" w:right="295"/>
              <w:jc w:val="left"/>
              <w:rPr>
                <w:sz w:val="18"/>
              </w:rPr>
            </w:pPr>
            <w:r>
              <w:rPr>
                <w:sz w:val="18"/>
              </w:rPr>
              <w:t>PRI-PVEM-NA-PSD- PFD</w:t>
            </w:r>
          </w:p>
        </w:tc>
        <w:tc>
          <w:tcPr>
            <w:tcW w:w="1397" w:type="dxa"/>
            <w:shd w:val="clear" w:color="auto" w:fill="FFFF00"/>
          </w:tcPr>
          <w:p>
            <w:pPr>
              <w:pStyle w:val="TableParagraph"/>
              <w:spacing w:before="10"/>
              <w:jc w:val="left"/>
              <w:rPr>
                <w:rFonts w:ascii="Times New Roman"/>
                <w:sz w:val="17"/>
              </w:rPr>
            </w:pPr>
          </w:p>
          <w:p>
            <w:pPr>
              <w:pStyle w:val="TableParagraph"/>
              <w:ind w:left="67"/>
              <w:jc w:val="left"/>
              <w:rPr>
                <w:sz w:val="18"/>
              </w:rPr>
            </w:pPr>
            <w:r>
              <w:rPr>
                <w:sz w:val="18"/>
              </w:rPr>
              <w:t>PRD</w:t>
            </w:r>
          </w:p>
        </w:tc>
      </w:tr>
    </w:tbl>
    <w:p>
      <w:pPr>
        <w:spacing w:after="0"/>
        <w:jc w:val="left"/>
        <w:rPr>
          <w:sz w:val="18"/>
        </w:rPr>
        <w:sectPr>
          <w:pgSz w:w="15840" w:h="12240" w:orient="landscape"/>
          <w:pgMar w:header="0" w:footer="975" w:top="1140" w:bottom="1160" w:left="1300" w:right="900"/>
        </w:sectPr>
      </w:pPr>
    </w:p>
    <w:p>
      <w:pPr>
        <w:pStyle w:val="BodyText"/>
        <w:rPr>
          <w:rFonts w:ascii="Times New Roman"/>
          <w:sz w:val="20"/>
        </w:rPr>
      </w:pPr>
    </w:p>
    <w:p>
      <w:pPr>
        <w:pStyle w:val="BodyText"/>
        <w:spacing w:before="10"/>
        <w:rPr>
          <w:rFonts w:ascii="Times New Roman"/>
          <w:sz w:val="28"/>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82"/>
        <w:gridCol w:w="655"/>
        <w:gridCol w:w="761"/>
        <w:gridCol w:w="655"/>
        <w:gridCol w:w="655"/>
        <w:gridCol w:w="1604"/>
        <w:gridCol w:w="1733"/>
        <w:gridCol w:w="2062"/>
        <w:gridCol w:w="1397"/>
      </w:tblGrid>
      <w:tr>
        <w:trPr>
          <w:trHeight w:val="324" w:hRule="exact"/>
        </w:trPr>
        <w:tc>
          <w:tcPr>
            <w:tcW w:w="13404" w:type="dxa"/>
            <w:gridSpan w:val="9"/>
            <w:shd w:val="clear" w:color="auto" w:fill="92D050"/>
          </w:tcPr>
          <w:p>
            <w:pPr>
              <w:pStyle w:val="TableParagraph"/>
              <w:spacing w:before="102"/>
              <w:ind w:left="2018"/>
              <w:jc w:val="left"/>
              <w:rPr>
                <w:b/>
                <w:sz w:val="18"/>
              </w:rPr>
            </w:pPr>
            <w:r>
              <w:rPr>
                <w:b/>
                <w:sz w:val="18"/>
              </w:rPr>
              <w:t>Anexo 4. Alternancias políticas en los gobiernos municipales del Estado de México 1990-2015 (Continuación)</w:t>
            </w:r>
          </w:p>
        </w:tc>
      </w:tr>
      <w:tr>
        <w:trPr>
          <w:trHeight w:val="326" w:hRule="exact"/>
        </w:trPr>
        <w:tc>
          <w:tcPr>
            <w:tcW w:w="3882" w:type="dxa"/>
            <w:shd w:val="clear" w:color="auto" w:fill="92D050"/>
          </w:tcPr>
          <w:p>
            <w:pPr>
              <w:pStyle w:val="TableParagraph"/>
              <w:spacing w:before="102"/>
              <w:ind w:left="1497" w:right="1494"/>
              <w:rPr>
                <w:b/>
                <w:sz w:val="18"/>
              </w:rPr>
            </w:pPr>
            <w:r>
              <w:rPr>
                <w:b/>
                <w:sz w:val="18"/>
              </w:rPr>
              <w:t>Municipio</w:t>
            </w:r>
          </w:p>
        </w:tc>
        <w:tc>
          <w:tcPr>
            <w:tcW w:w="655" w:type="dxa"/>
            <w:shd w:val="clear" w:color="auto" w:fill="92D050"/>
          </w:tcPr>
          <w:p>
            <w:pPr>
              <w:pStyle w:val="TableParagraph"/>
              <w:spacing w:before="102"/>
              <w:ind w:left="122"/>
              <w:jc w:val="left"/>
              <w:rPr>
                <w:b/>
                <w:sz w:val="18"/>
              </w:rPr>
            </w:pPr>
            <w:r>
              <w:rPr>
                <w:b/>
                <w:sz w:val="18"/>
              </w:rPr>
              <w:t>1990</w:t>
            </w:r>
          </w:p>
        </w:tc>
        <w:tc>
          <w:tcPr>
            <w:tcW w:w="761" w:type="dxa"/>
            <w:shd w:val="clear" w:color="auto" w:fill="92D050"/>
          </w:tcPr>
          <w:p>
            <w:pPr>
              <w:pStyle w:val="TableParagraph"/>
              <w:spacing w:before="102"/>
              <w:ind w:left="175"/>
              <w:jc w:val="left"/>
              <w:rPr>
                <w:b/>
                <w:sz w:val="18"/>
              </w:rPr>
            </w:pPr>
            <w:r>
              <w:rPr>
                <w:b/>
                <w:sz w:val="18"/>
              </w:rPr>
              <w:t>1993</w:t>
            </w:r>
          </w:p>
        </w:tc>
        <w:tc>
          <w:tcPr>
            <w:tcW w:w="655" w:type="dxa"/>
            <w:shd w:val="clear" w:color="auto" w:fill="92D050"/>
          </w:tcPr>
          <w:p>
            <w:pPr>
              <w:pStyle w:val="TableParagraph"/>
              <w:spacing w:before="102"/>
              <w:ind w:left="122"/>
              <w:jc w:val="left"/>
              <w:rPr>
                <w:b/>
                <w:sz w:val="18"/>
              </w:rPr>
            </w:pPr>
            <w:r>
              <w:rPr>
                <w:b/>
                <w:sz w:val="18"/>
              </w:rPr>
              <w:t>1996</w:t>
            </w:r>
          </w:p>
        </w:tc>
        <w:tc>
          <w:tcPr>
            <w:tcW w:w="655" w:type="dxa"/>
            <w:shd w:val="clear" w:color="auto" w:fill="92D050"/>
          </w:tcPr>
          <w:p>
            <w:pPr>
              <w:pStyle w:val="TableParagraph"/>
              <w:spacing w:before="102"/>
              <w:ind w:left="124"/>
              <w:jc w:val="left"/>
              <w:rPr>
                <w:b/>
                <w:sz w:val="18"/>
              </w:rPr>
            </w:pPr>
            <w:r>
              <w:rPr>
                <w:b/>
                <w:sz w:val="18"/>
              </w:rPr>
              <w:t>2000</w:t>
            </w:r>
          </w:p>
        </w:tc>
        <w:tc>
          <w:tcPr>
            <w:tcW w:w="1604" w:type="dxa"/>
            <w:shd w:val="clear" w:color="auto" w:fill="92D050"/>
          </w:tcPr>
          <w:p>
            <w:pPr>
              <w:pStyle w:val="TableParagraph"/>
              <w:spacing w:before="102"/>
              <w:ind w:left="578" w:right="574"/>
              <w:rPr>
                <w:b/>
                <w:sz w:val="18"/>
              </w:rPr>
            </w:pPr>
            <w:r>
              <w:rPr>
                <w:b/>
                <w:sz w:val="18"/>
              </w:rPr>
              <w:t>2003</w:t>
            </w:r>
          </w:p>
        </w:tc>
        <w:tc>
          <w:tcPr>
            <w:tcW w:w="1733" w:type="dxa"/>
            <w:shd w:val="clear" w:color="auto" w:fill="92D050"/>
          </w:tcPr>
          <w:p>
            <w:pPr>
              <w:pStyle w:val="TableParagraph"/>
              <w:spacing w:before="102"/>
              <w:ind w:left="641" w:right="641"/>
              <w:rPr>
                <w:b/>
                <w:sz w:val="18"/>
              </w:rPr>
            </w:pPr>
            <w:r>
              <w:rPr>
                <w:b/>
                <w:sz w:val="18"/>
              </w:rPr>
              <w:t>2006</w:t>
            </w:r>
          </w:p>
        </w:tc>
        <w:tc>
          <w:tcPr>
            <w:tcW w:w="2062" w:type="dxa"/>
            <w:shd w:val="clear" w:color="auto" w:fill="92D050"/>
          </w:tcPr>
          <w:p>
            <w:pPr>
              <w:pStyle w:val="TableParagraph"/>
              <w:spacing w:before="102"/>
              <w:ind w:left="809" w:right="802"/>
              <w:rPr>
                <w:b/>
                <w:sz w:val="18"/>
              </w:rPr>
            </w:pPr>
            <w:r>
              <w:rPr>
                <w:b/>
                <w:sz w:val="18"/>
              </w:rPr>
              <w:t>2009</w:t>
            </w:r>
          </w:p>
        </w:tc>
        <w:tc>
          <w:tcPr>
            <w:tcW w:w="1397" w:type="dxa"/>
            <w:shd w:val="clear" w:color="auto" w:fill="92D050"/>
          </w:tcPr>
          <w:p>
            <w:pPr>
              <w:pStyle w:val="TableParagraph"/>
              <w:spacing w:before="102"/>
              <w:ind w:left="475" w:right="471"/>
              <w:rPr>
                <w:b/>
                <w:sz w:val="18"/>
              </w:rPr>
            </w:pPr>
            <w:r>
              <w:rPr>
                <w:b/>
                <w:sz w:val="18"/>
              </w:rPr>
              <w:t>2013</w:t>
            </w:r>
          </w:p>
        </w:tc>
      </w:tr>
      <w:tr>
        <w:trPr>
          <w:trHeight w:val="422" w:hRule="exact"/>
        </w:trPr>
        <w:tc>
          <w:tcPr>
            <w:tcW w:w="3882" w:type="dxa"/>
          </w:tcPr>
          <w:p>
            <w:pPr>
              <w:pStyle w:val="TableParagraph"/>
              <w:spacing w:before="97"/>
              <w:ind w:left="67"/>
              <w:jc w:val="left"/>
              <w:rPr>
                <w:b/>
                <w:sz w:val="18"/>
              </w:rPr>
            </w:pPr>
            <w:r>
              <w:rPr>
                <w:b/>
                <w:color w:val="333333"/>
                <w:sz w:val="18"/>
              </w:rPr>
              <w:t>VILLA DE ALLENDE</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shd w:val="clear" w:color="auto" w:fill="006FC0"/>
          </w:tcPr>
          <w:p>
            <w:pPr>
              <w:pStyle w:val="TableParagraph"/>
              <w:spacing w:before="10"/>
              <w:jc w:val="left"/>
              <w:rPr>
                <w:rFonts w:ascii="Times New Roman"/>
                <w:sz w:val="17"/>
              </w:rPr>
            </w:pPr>
          </w:p>
          <w:p>
            <w:pPr>
              <w:pStyle w:val="TableParagraph"/>
              <w:ind w:left="64"/>
              <w:jc w:val="left"/>
              <w:rPr>
                <w:sz w:val="18"/>
              </w:rPr>
            </w:pPr>
            <w:r>
              <w:rPr>
                <w:sz w:val="18"/>
              </w:rPr>
              <w:t>PAN-PT</w:t>
            </w:r>
          </w:p>
        </w:tc>
        <w:tc>
          <w:tcPr>
            <w:tcW w:w="2062" w:type="dxa"/>
          </w:tcPr>
          <w:p>
            <w:pPr>
              <w:pStyle w:val="TableParagraph"/>
              <w:ind w:left="67" w:right="295"/>
              <w:jc w:val="left"/>
              <w:rPr>
                <w:sz w:val="18"/>
              </w:rPr>
            </w:pPr>
            <w:r>
              <w:rPr>
                <w:sz w:val="18"/>
              </w:rPr>
              <w:t>PRI-PVEM-NA-PSD- PFD</w:t>
            </w:r>
          </w:p>
        </w:tc>
        <w:tc>
          <w:tcPr>
            <w:tcW w:w="1397" w:type="dxa"/>
            <w:shd w:val="clear" w:color="auto" w:fill="FFFF00"/>
          </w:tcPr>
          <w:p>
            <w:pPr>
              <w:pStyle w:val="TableParagraph"/>
              <w:spacing w:before="10"/>
              <w:jc w:val="left"/>
              <w:rPr>
                <w:rFonts w:ascii="Times New Roman"/>
                <w:sz w:val="17"/>
              </w:rPr>
            </w:pPr>
          </w:p>
          <w:p>
            <w:pPr>
              <w:pStyle w:val="TableParagraph"/>
              <w:ind w:left="67"/>
              <w:jc w:val="left"/>
              <w:rPr>
                <w:sz w:val="18"/>
              </w:rPr>
            </w:pPr>
            <w:r>
              <w:rPr>
                <w:sz w:val="18"/>
              </w:rPr>
              <w:t>PRD-PT</w:t>
            </w:r>
          </w:p>
        </w:tc>
      </w:tr>
      <w:tr>
        <w:trPr>
          <w:trHeight w:val="425" w:hRule="exact"/>
        </w:trPr>
        <w:tc>
          <w:tcPr>
            <w:tcW w:w="3882" w:type="dxa"/>
          </w:tcPr>
          <w:p>
            <w:pPr>
              <w:pStyle w:val="TableParagraph"/>
              <w:spacing w:before="100"/>
              <w:ind w:left="67"/>
              <w:jc w:val="left"/>
              <w:rPr>
                <w:b/>
                <w:sz w:val="18"/>
              </w:rPr>
            </w:pPr>
            <w:r>
              <w:rPr>
                <w:b/>
                <w:color w:val="333333"/>
                <w:sz w:val="18"/>
              </w:rPr>
              <w:t>VILLA DEL CARBON</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761"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655" w:type="dxa"/>
            <w:shd w:val="clear" w:color="auto" w:fill="006FC0"/>
          </w:tcPr>
          <w:p>
            <w:pPr>
              <w:pStyle w:val="TableParagraph"/>
              <w:jc w:val="left"/>
              <w:rPr>
                <w:rFonts w:ascii="Times New Roman"/>
                <w:sz w:val="18"/>
              </w:rPr>
            </w:pPr>
          </w:p>
          <w:p>
            <w:pPr>
              <w:pStyle w:val="TableParagraph"/>
              <w:spacing w:before="1"/>
              <w:ind w:left="64"/>
              <w:jc w:val="left"/>
              <w:rPr>
                <w:sz w:val="18"/>
              </w:rPr>
            </w:pPr>
            <w:r>
              <w:rPr>
                <w:sz w:val="18"/>
              </w:rPr>
              <w:t>PAN</w:t>
            </w:r>
          </w:p>
        </w:tc>
        <w:tc>
          <w:tcPr>
            <w:tcW w:w="655" w:type="dxa"/>
            <w:shd w:val="clear" w:color="auto" w:fill="006FC0"/>
          </w:tcPr>
          <w:p>
            <w:pPr>
              <w:pStyle w:val="TableParagraph"/>
              <w:jc w:val="left"/>
              <w:rPr>
                <w:rFonts w:ascii="Times New Roman"/>
                <w:sz w:val="18"/>
              </w:rPr>
            </w:pPr>
          </w:p>
          <w:p>
            <w:pPr>
              <w:pStyle w:val="TableParagraph"/>
              <w:spacing w:before="1"/>
              <w:ind w:left="67"/>
              <w:jc w:val="left"/>
              <w:rPr>
                <w:sz w:val="18"/>
              </w:rPr>
            </w:pPr>
            <w:r>
              <w:rPr>
                <w:sz w:val="18"/>
              </w:rPr>
              <w:t>PAN</w:t>
            </w:r>
          </w:p>
        </w:tc>
        <w:tc>
          <w:tcPr>
            <w:tcW w:w="1604" w:type="dxa"/>
            <w:shd w:val="clear" w:color="auto" w:fill="006FC0"/>
          </w:tcPr>
          <w:p>
            <w:pPr>
              <w:pStyle w:val="TableParagraph"/>
              <w:jc w:val="left"/>
              <w:rPr>
                <w:rFonts w:ascii="Times New Roman"/>
                <w:sz w:val="18"/>
              </w:rPr>
            </w:pPr>
          </w:p>
          <w:p>
            <w:pPr>
              <w:pStyle w:val="TableParagraph"/>
              <w:spacing w:before="1"/>
              <w:ind w:left="67"/>
              <w:jc w:val="left"/>
              <w:rPr>
                <w:sz w:val="18"/>
              </w:rPr>
            </w:pPr>
            <w:r>
              <w:rPr>
                <w:sz w:val="18"/>
              </w:rPr>
              <w:t>PAN</w:t>
            </w:r>
          </w:p>
        </w:tc>
        <w:tc>
          <w:tcPr>
            <w:tcW w:w="1733" w:type="dxa"/>
          </w:tcPr>
          <w:p>
            <w:pPr>
              <w:pStyle w:val="TableParagraph"/>
              <w:jc w:val="left"/>
              <w:rPr>
                <w:rFonts w:ascii="Times New Roman"/>
                <w:sz w:val="18"/>
              </w:rPr>
            </w:pPr>
          </w:p>
          <w:p>
            <w:pPr>
              <w:pStyle w:val="TableParagraph"/>
              <w:spacing w:before="1"/>
              <w:ind w:left="64"/>
              <w:jc w:val="left"/>
              <w:rPr>
                <w:sz w:val="18"/>
              </w:rPr>
            </w:pPr>
            <w:r>
              <w:rPr>
                <w:sz w:val="18"/>
              </w:rPr>
              <w:t>PRI-PVEM</w:t>
            </w:r>
          </w:p>
        </w:tc>
        <w:tc>
          <w:tcPr>
            <w:tcW w:w="2062" w:type="dxa"/>
          </w:tcPr>
          <w:p>
            <w:pPr>
              <w:pStyle w:val="TableParagraph"/>
              <w:ind w:left="67" w:right="295"/>
              <w:jc w:val="left"/>
              <w:rPr>
                <w:sz w:val="18"/>
              </w:rPr>
            </w:pPr>
            <w:r>
              <w:rPr>
                <w:sz w:val="18"/>
              </w:rPr>
              <w:t>PRI-PVEM-NA-PSD- PFD</w:t>
            </w:r>
          </w:p>
        </w:tc>
        <w:tc>
          <w:tcPr>
            <w:tcW w:w="1397" w:type="dxa"/>
          </w:tcPr>
          <w:p>
            <w:pPr>
              <w:pStyle w:val="TableParagraph"/>
              <w:jc w:val="left"/>
              <w:rPr>
                <w:rFonts w:ascii="Times New Roman"/>
                <w:sz w:val="18"/>
              </w:rPr>
            </w:pPr>
          </w:p>
          <w:p>
            <w:pPr>
              <w:pStyle w:val="TableParagraph"/>
              <w:spacing w:before="1"/>
              <w:ind w:left="67"/>
              <w:jc w:val="left"/>
              <w:rPr>
                <w:sz w:val="18"/>
              </w:rPr>
            </w:pPr>
            <w:r>
              <w:rPr>
                <w:sz w:val="18"/>
              </w:rPr>
              <w:t>PRI-PVEM-NA</w:t>
            </w:r>
          </w:p>
        </w:tc>
      </w:tr>
      <w:tr>
        <w:trPr>
          <w:trHeight w:val="401" w:hRule="exact"/>
        </w:trPr>
        <w:tc>
          <w:tcPr>
            <w:tcW w:w="3882" w:type="dxa"/>
          </w:tcPr>
          <w:p>
            <w:pPr>
              <w:pStyle w:val="TableParagraph"/>
              <w:spacing w:before="85"/>
              <w:ind w:left="67"/>
              <w:jc w:val="left"/>
              <w:rPr>
                <w:b/>
                <w:sz w:val="18"/>
              </w:rPr>
            </w:pPr>
            <w:r>
              <w:rPr>
                <w:b/>
                <w:color w:val="333333"/>
                <w:sz w:val="18"/>
              </w:rPr>
              <w:t>VILLA GUERRERO</w:t>
            </w:r>
          </w:p>
        </w:tc>
        <w:tc>
          <w:tcPr>
            <w:tcW w:w="655" w:type="dxa"/>
          </w:tcPr>
          <w:p>
            <w:pPr>
              <w:pStyle w:val="TableParagraph"/>
              <w:spacing w:before="9"/>
              <w:jc w:val="left"/>
              <w:rPr>
                <w:rFonts w:ascii="Times New Roman"/>
                <w:sz w:val="15"/>
              </w:rPr>
            </w:pPr>
          </w:p>
          <w:p>
            <w:pPr>
              <w:pStyle w:val="TableParagraph"/>
              <w:ind w:left="64"/>
              <w:jc w:val="left"/>
              <w:rPr>
                <w:sz w:val="18"/>
              </w:rPr>
            </w:pPr>
            <w:r>
              <w:rPr>
                <w:sz w:val="18"/>
              </w:rPr>
              <w:t>PRI</w:t>
            </w:r>
          </w:p>
        </w:tc>
        <w:tc>
          <w:tcPr>
            <w:tcW w:w="761" w:type="dxa"/>
            <w:shd w:val="clear" w:color="auto" w:fill="FF0000"/>
          </w:tcPr>
          <w:p>
            <w:pPr>
              <w:pStyle w:val="TableParagraph"/>
              <w:spacing w:before="9"/>
              <w:jc w:val="left"/>
              <w:rPr>
                <w:rFonts w:ascii="Times New Roman"/>
                <w:sz w:val="15"/>
              </w:rPr>
            </w:pPr>
          </w:p>
          <w:p>
            <w:pPr>
              <w:pStyle w:val="TableParagraph"/>
              <w:ind w:left="67"/>
              <w:jc w:val="left"/>
              <w:rPr>
                <w:sz w:val="18"/>
              </w:rPr>
            </w:pPr>
            <w:r>
              <w:rPr>
                <w:sz w:val="18"/>
              </w:rPr>
              <w:t>PFCRN</w:t>
            </w:r>
          </w:p>
        </w:tc>
        <w:tc>
          <w:tcPr>
            <w:tcW w:w="655" w:type="dxa"/>
          </w:tcPr>
          <w:p>
            <w:pPr>
              <w:pStyle w:val="TableParagraph"/>
              <w:spacing w:before="9"/>
              <w:jc w:val="left"/>
              <w:rPr>
                <w:rFonts w:ascii="Times New Roman"/>
                <w:sz w:val="15"/>
              </w:rPr>
            </w:pPr>
          </w:p>
          <w:p>
            <w:pPr>
              <w:pStyle w:val="TableParagraph"/>
              <w:ind w:left="64"/>
              <w:jc w:val="left"/>
              <w:rPr>
                <w:sz w:val="18"/>
              </w:rPr>
            </w:pPr>
            <w:r>
              <w:rPr>
                <w:sz w:val="18"/>
              </w:rPr>
              <w:t>PRI</w:t>
            </w:r>
          </w:p>
        </w:tc>
        <w:tc>
          <w:tcPr>
            <w:tcW w:w="655" w:type="dxa"/>
            <w:shd w:val="clear" w:color="auto" w:fill="FFFF00"/>
          </w:tcPr>
          <w:p>
            <w:pPr>
              <w:pStyle w:val="TableParagraph"/>
              <w:spacing w:before="9"/>
              <w:jc w:val="left"/>
              <w:rPr>
                <w:rFonts w:ascii="Times New Roman"/>
                <w:sz w:val="15"/>
              </w:rPr>
            </w:pPr>
          </w:p>
          <w:p>
            <w:pPr>
              <w:pStyle w:val="TableParagraph"/>
              <w:ind w:left="67"/>
              <w:jc w:val="left"/>
              <w:rPr>
                <w:sz w:val="18"/>
              </w:rPr>
            </w:pPr>
            <w:r>
              <w:rPr>
                <w:sz w:val="18"/>
              </w:rPr>
              <w:t>PRD</w:t>
            </w:r>
          </w:p>
        </w:tc>
        <w:tc>
          <w:tcPr>
            <w:tcW w:w="1604" w:type="dxa"/>
            <w:shd w:val="clear" w:color="auto" w:fill="FFFF00"/>
          </w:tcPr>
          <w:p>
            <w:pPr>
              <w:pStyle w:val="TableParagraph"/>
              <w:spacing w:before="9"/>
              <w:jc w:val="left"/>
              <w:rPr>
                <w:rFonts w:ascii="Times New Roman"/>
                <w:sz w:val="15"/>
              </w:rPr>
            </w:pPr>
          </w:p>
          <w:p>
            <w:pPr>
              <w:pStyle w:val="TableParagraph"/>
              <w:ind w:left="67"/>
              <w:jc w:val="left"/>
              <w:rPr>
                <w:sz w:val="18"/>
              </w:rPr>
            </w:pPr>
            <w:r>
              <w:rPr>
                <w:sz w:val="18"/>
              </w:rPr>
              <w:t>PRD</w:t>
            </w:r>
          </w:p>
        </w:tc>
        <w:tc>
          <w:tcPr>
            <w:tcW w:w="1733" w:type="dxa"/>
          </w:tcPr>
          <w:p>
            <w:pPr>
              <w:pStyle w:val="TableParagraph"/>
              <w:spacing w:before="9"/>
              <w:jc w:val="left"/>
              <w:rPr>
                <w:rFonts w:ascii="Times New Roman"/>
                <w:sz w:val="15"/>
              </w:rPr>
            </w:pPr>
          </w:p>
          <w:p>
            <w:pPr>
              <w:pStyle w:val="TableParagraph"/>
              <w:ind w:left="64"/>
              <w:jc w:val="left"/>
              <w:rPr>
                <w:sz w:val="18"/>
              </w:rPr>
            </w:pPr>
            <w:r>
              <w:rPr>
                <w:sz w:val="18"/>
              </w:rPr>
              <w:t>PRI-PVEM</w:t>
            </w:r>
          </w:p>
        </w:tc>
        <w:tc>
          <w:tcPr>
            <w:tcW w:w="2062" w:type="dxa"/>
            <w:shd w:val="clear" w:color="auto" w:fill="FFFF00"/>
          </w:tcPr>
          <w:p>
            <w:pPr>
              <w:pStyle w:val="TableParagraph"/>
              <w:spacing w:before="9"/>
              <w:jc w:val="left"/>
              <w:rPr>
                <w:rFonts w:ascii="Times New Roman"/>
                <w:sz w:val="15"/>
              </w:rPr>
            </w:pPr>
          </w:p>
          <w:p>
            <w:pPr>
              <w:pStyle w:val="TableParagraph"/>
              <w:ind w:left="67" w:right="295"/>
              <w:jc w:val="left"/>
              <w:rPr>
                <w:sz w:val="18"/>
              </w:rPr>
            </w:pPr>
            <w:r>
              <w:rPr>
                <w:sz w:val="18"/>
              </w:rPr>
              <w:t>PRD</w:t>
            </w:r>
          </w:p>
        </w:tc>
        <w:tc>
          <w:tcPr>
            <w:tcW w:w="1397" w:type="dxa"/>
          </w:tcPr>
          <w:p>
            <w:pPr>
              <w:pStyle w:val="TableParagraph"/>
              <w:spacing w:before="9"/>
              <w:jc w:val="left"/>
              <w:rPr>
                <w:rFonts w:ascii="Times New Roman"/>
                <w:sz w:val="15"/>
              </w:rPr>
            </w:pPr>
          </w:p>
          <w:p>
            <w:pPr>
              <w:pStyle w:val="TableParagraph"/>
              <w:ind w:left="67"/>
              <w:jc w:val="left"/>
              <w:rPr>
                <w:sz w:val="18"/>
              </w:rPr>
            </w:pPr>
            <w:r>
              <w:rPr>
                <w:sz w:val="18"/>
              </w:rPr>
              <w:t>PRI-PVEM-NA</w:t>
            </w:r>
          </w:p>
        </w:tc>
      </w:tr>
      <w:tr>
        <w:trPr>
          <w:trHeight w:val="423" w:hRule="exact"/>
        </w:trPr>
        <w:tc>
          <w:tcPr>
            <w:tcW w:w="3882" w:type="dxa"/>
          </w:tcPr>
          <w:p>
            <w:pPr>
              <w:pStyle w:val="TableParagraph"/>
              <w:spacing w:before="97"/>
              <w:ind w:left="67"/>
              <w:jc w:val="left"/>
              <w:rPr>
                <w:b/>
                <w:sz w:val="18"/>
              </w:rPr>
            </w:pPr>
            <w:r>
              <w:rPr>
                <w:b/>
                <w:color w:val="333333"/>
                <w:sz w:val="18"/>
              </w:rPr>
              <w:t>VILLA VICTORIA</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tcPr>
          <w:p>
            <w:pPr>
              <w:pStyle w:val="TableParagraph"/>
              <w:spacing w:before="10"/>
              <w:jc w:val="left"/>
              <w:rPr>
                <w:rFonts w:ascii="Times New Roman"/>
                <w:sz w:val="17"/>
              </w:rPr>
            </w:pPr>
          </w:p>
          <w:p>
            <w:pPr>
              <w:pStyle w:val="TableParagraph"/>
              <w:ind w:left="64"/>
              <w:jc w:val="left"/>
              <w:rPr>
                <w:sz w:val="18"/>
              </w:rPr>
            </w:pPr>
            <w:r>
              <w:rPr>
                <w:sz w:val="18"/>
              </w:rPr>
              <w:t>PRI-PVEM</w:t>
            </w:r>
          </w:p>
        </w:tc>
        <w:tc>
          <w:tcPr>
            <w:tcW w:w="2062" w:type="dxa"/>
          </w:tcPr>
          <w:p>
            <w:pPr>
              <w:pStyle w:val="TableParagraph"/>
              <w:ind w:left="67" w:right="295"/>
              <w:jc w:val="left"/>
              <w:rPr>
                <w:sz w:val="18"/>
              </w:rPr>
            </w:pPr>
            <w:r>
              <w:rPr>
                <w:sz w:val="18"/>
              </w:rPr>
              <w:t>PRI-PVEM-NA-PSD- PFD</w:t>
            </w:r>
          </w:p>
        </w:tc>
        <w:tc>
          <w:tcPr>
            <w:tcW w:w="1397" w:type="dxa"/>
          </w:tcPr>
          <w:p>
            <w:pPr>
              <w:pStyle w:val="TableParagraph"/>
              <w:spacing w:before="10"/>
              <w:jc w:val="left"/>
              <w:rPr>
                <w:rFonts w:ascii="Times New Roman"/>
                <w:sz w:val="17"/>
              </w:rPr>
            </w:pPr>
          </w:p>
          <w:p>
            <w:pPr>
              <w:pStyle w:val="TableParagraph"/>
              <w:ind w:left="67"/>
              <w:jc w:val="left"/>
              <w:rPr>
                <w:sz w:val="18"/>
              </w:rPr>
            </w:pPr>
            <w:r>
              <w:rPr>
                <w:sz w:val="18"/>
              </w:rPr>
              <w:t>PRI-PVEM-NA</w:t>
            </w:r>
          </w:p>
        </w:tc>
      </w:tr>
      <w:tr>
        <w:trPr>
          <w:trHeight w:val="425" w:hRule="exact"/>
        </w:trPr>
        <w:tc>
          <w:tcPr>
            <w:tcW w:w="3882" w:type="dxa"/>
          </w:tcPr>
          <w:p>
            <w:pPr>
              <w:pStyle w:val="TableParagraph"/>
              <w:spacing w:before="97"/>
              <w:ind w:left="67"/>
              <w:jc w:val="left"/>
              <w:rPr>
                <w:b/>
                <w:sz w:val="18"/>
              </w:rPr>
            </w:pPr>
            <w:r>
              <w:rPr>
                <w:b/>
                <w:color w:val="333333"/>
                <w:sz w:val="18"/>
              </w:rPr>
              <w:t>XALATLACO</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761"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655" w:type="dxa"/>
          </w:tcPr>
          <w:p>
            <w:pPr>
              <w:pStyle w:val="TableParagraph"/>
              <w:jc w:val="left"/>
              <w:rPr>
                <w:rFonts w:ascii="Times New Roman"/>
                <w:sz w:val="18"/>
              </w:rPr>
            </w:pPr>
          </w:p>
          <w:p>
            <w:pPr>
              <w:pStyle w:val="TableParagraph"/>
              <w:spacing w:before="1"/>
              <w:ind w:left="64"/>
              <w:jc w:val="left"/>
              <w:rPr>
                <w:sz w:val="18"/>
              </w:rPr>
            </w:pPr>
            <w:r>
              <w:rPr>
                <w:sz w:val="18"/>
              </w:rPr>
              <w:t>PRI</w:t>
            </w:r>
          </w:p>
        </w:tc>
        <w:tc>
          <w:tcPr>
            <w:tcW w:w="655" w:type="dxa"/>
          </w:tcPr>
          <w:p>
            <w:pPr>
              <w:pStyle w:val="TableParagraph"/>
              <w:jc w:val="left"/>
              <w:rPr>
                <w:rFonts w:ascii="Times New Roman"/>
                <w:sz w:val="18"/>
              </w:rPr>
            </w:pPr>
          </w:p>
          <w:p>
            <w:pPr>
              <w:pStyle w:val="TableParagraph"/>
              <w:spacing w:before="1"/>
              <w:ind w:left="67"/>
              <w:jc w:val="left"/>
              <w:rPr>
                <w:sz w:val="18"/>
              </w:rPr>
            </w:pPr>
            <w:r>
              <w:rPr>
                <w:sz w:val="18"/>
              </w:rPr>
              <w:t>PRI</w:t>
            </w:r>
          </w:p>
        </w:tc>
        <w:tc>
          <w:tcPr>
            <w:tcW w:w="1604" w:type="dxa"/>
          </w:tcPr>
          <w:p>
            <w:pPr>
              <w:pStyle w:val="TableParagraph"/>
              <w:jc w:val="left"/>
              <w:rPr>
                <w:rFonts w:ascii="Times New Roman"/>
                <w:sz w:val="18"/>
              </w:rPr>
            </w:pPr>
          </w:p>
          <w:p>
            <w:pPr>
              <w:pStyle w:val="TableParagraph"/>
              <w:spacing w:before="1"/>
              <w:ind w:left="67"/>
              <w:jc w:val="left"/>
              <w:rPr>
                <w:sz w:val="18"/>
              </w:rPr>
            </w:pPr>
            <w:r>
              <w:rPr>
                <w:sz w:val="18"/>
              </w:rPr>
              <w:t>PRI-PVEM</w:t>
            </w:r>
          </w:p>
        </w:tc>
        <w:tc>
          <w:tcPr>
            <w:tcW w:w="1733" w:type="dxa"/>
            <w:shd w:val="clear" w:color="auto" w:fill="FFC000"/>
          </w:tcPr>
          <w:p>
            <w:pPr>
              <w:pStyle w:val="TableParagraph"/>
              <w:ind w:left="64" w:right="179"/>
              <w:jc w:val="left"/>
              <w:rPr>
                <w:sz w:val="18"/>
              </w:rPr>
            </w:pPr>
            <w:r>
              <w:rPr>
                <w:sz w:val="18"/>
              </w:rPr>
              <w:t>PT- CONVERGENCIA</w:t>
            </w:r>
          </w:p>
        </w:tc>
        <w:tc>
          <w:tcPr>
            <w:tcW w:w="2062" w:type="dxa"/>
          </w:tcPr>
          <w:p>
            <w:pPr>
              <w:pStyle w:val="TableParagraph"/>
              <w:ind w:left="67" w:right="295"/>
              <w:jc w:val="left"/>
              <w:rPr>
                <w:sz w:val="18"/>
              </w:rPr>
            </w:pPr>
            <w:r>
              <w:rPr>
                <w:sz w:val="18"/>
              </w:rPr>
              <w:t>PRI-PVEM-NA-PSD- PFD</w:t>
            </w:r>
          </w:p>
        </w:tc>
        <w:tc>
          <w:tcPr>
            <w:tcW w:w="1397" w:type="dxa"/>
          </w:tcPr>
          <w:p>
            <w:pPr>
              <w:pStyle w:val="TableParagraph"/>
              <w:jc w:val="left"/>
              <w:rPr>
                <w:rFonts w:ascii="Times New Roman"/>
                <w:sz w:val="18"/>
              </w:rPr>
            </w:pPr>
          </w:p>
          <w:p>
            <w:pPr>
              <w:pStyle w:val="TableParagraph"/>
              <w:spacing w:before="1"/>
              <w:ind w:left="67"/>
              <w:jc w:val="left"/>
              <w:rPr>
                <w:sz w:val="18"/>
              </w:rPr>
            </w:pPr>
            <w:r>
              <w:rPr>
                <w:sz w:val="18"/>
              </w:rPr>
              <w:t>PRI-PVEM-NA</w:t>
            </w:r>
          </w:p>
        </w:tc>
      </w:tr>
      <w:tr>
        <w:trPr>
          <w:trHeight w:val="425" w:hRule="exact"/>
        </w:trPr>
        <w:tc>
          <w:tcPr>
            <w:tcW w:w="3882" w:type="dxa"/>
          </w:tcPr>
          <w:p>
            <w:pPr>
              <w:pStyle w:val="TableParagraph"/>
              <w:spacing w:before="97"/>
              <w:ind w:left="67"/>
              <w:jc w:val="left"/>
              <w:rPr>
                <w:b/>
                <w:sz w:val="18"/>
              </w:rPr>
            </w:pPr>
            <w:r>
              <w:rPr>
                <w:b/>
                <w:color w:val="333333"/>
                <w:sz w:val="18"/>
              </w:rPr>
              <w:t>XONACATLAN</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shd w:val="clear" w:color="auto" w:fill="FFFF00"/>
          </w:tcPr>
          <w:p>
            <w:pPr>
              <w:pStyle w:val="TableParagraph"/>
              <w:spacing w:before="10"/>
              <w:jc w:val="left"/>
              <w:rPr>
                <w:rFonts w:ascii="Times New Roman"/>
                <w:sz w:val="17"/>
              </w:rPr>
            </w:pPr>
          </w:p>
          <w:p>
            <w:pPr>
              <w:pStyle w:val="TableParagraph"/>
              <w:ind w:left="64"/>
              <w:jc w:val="left"/>
              <w:rPr>
                <w:sz w:val="18"/>
              </w:rPr>
            </w:pPr>
            <w:r>
              <w:rPr>
                <w:sz w:val="18"/>
              </w:rPr>
              <w:t>PRD</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shd w:val="clear" w:color="auto" w:fill="FFFF00"/>
          </w:tcPr>
          <w:p>
            <w:pPr>
              <w:pStyle w:val="TableParagraph"/>
              <w:spacing w:before="10"/>
              <w:jc w:val="left"/>
              <w:rPr>
                <w:rFonts w:ascii="Times New Roman"/>
                <w:sz w:val="17"/>
              </w:rPr>
            </w:pPr>
          </w:p>
          <w:p>
            <w:pPr>
              <w:pStyle w:val="TableParagraph"/>
              <w:ind w:left="67"/>
              <w:jc w:val="left"/>
              <w:rPr>
                <w:sz w:val="18"/>
              </w:rPr>
            </w:pPr>
            <w:r>
              <w:rPr>
                <w:sz w:val="18"/>
              </w:rPr>
              <w:t>PRD</w:t>
            </w:r>
          </w:p>
        </w:tc>
        <w:tc>
          <w:tcPr>
            <w:tcW w:w="1733" w:type="dxa"/>
            <w:shd w:val="clear" w:color="auto" w:fill="FFFF00"/>
          </w:tcPr>
          <w:p>
            <w:pPr>
              <w:pStyle w:val="TableParagraph"/>
              <w:spacing w:before="10"/>
              <w:jc w:val="left"/>
              <w:rPr>
                <w:rFonts w:ascii="Times New Roman"/>
                <w:sz w:val="17"/>
              </w:rPr>
            </w:pPr>
          </w:p>
          <w:p>
            <w:pPr>
              <w:pStyle w:val="TableParagraph"/>
              <w:ind w:left="64"/>
              <w:jc w:val="left"/>
              <w:rPr>
                <w:sz w:val="18"/>
              </w:rPr>
            </w:pPr>
            <w:r>
              <w:rPr>
                <w:sz w:val="18"/>
              </w:rPr>
              <w:t>PRD</w:t>
            </w:r>
          </w:p>
        </w:tc>
        <w:tc>
          <w:tcPr>
            <w:tcW w:w="2062" w:type="dxa"/>
          </w:tcPr>
          <w:p>
            <w:pPr>
              <w:pStyle w:val="TableParagraph"/>
              <w:ind w:left="67" w:right="295"/>
              <w:jc w:val="left"/>
              <w:rPr>
                <w:sz w:val="18"/>
              </w:rPr>
            </w:pPr>
            <w:r>
              <w:rPr>
                <w:sz w:val="18"/>
              </w:rPr>
              <w:t>PRI-PVEM-NA-PSD- PFD</w:t>
            </w:r>
          </w:p>
        </w:tc>
        <w:tc>
          <w:tcPr>
            <w:tcW w:w="1397" w:type="dxa"/>
            <w:shd w:val="clear" w:color="auto" w:fill="FFC000"/>
          </w:tcPr>
          <w:p>
            <w:pPr>
              <w:pStyle w:val="TableParagraph"/>
              <w:spacing w:before="10"/>
              <w:jc w:val="left"/>
              <w:rPr>
                <w:rFonts w:ascii="Times New Roman"/>
                <w:sz w:val="17"/>
              </w:rPr>
            </w:pPr>
          </w:p>
          <w:p>
            <w:pPr>
              <w:pStyle w:val="TableParagraph"/>
              <w:ind w:left="67"/>
              <w:jc w:val="left"/>
              <w:rPr>
                <w:sz w:val="18"/>
              </w:rPr>
            </w:pPr>
            <w:r>
              <w:rPr>
                <w:sz w:val="18"/>
              </w:rPr>
              <w:t>PT</w:t>
            </w:r>
          </w:p>
        </w:tc>
      </w:tr>
      <w:tr>
        <w:trPr>
          <w:trHeight w:val="398" w:hRule="exact"/>
        </w:trPr>
        <w:tc>
          <w:tcPr>
            <w:tcW w:w="3882" w:type="dxa"/>
          </w:tcPr>
          <w:p>
            <w:pPr>
              <w:pStyle w:val="TableParagraph"/>
              <w:spacing w:before="85"/>
              <w:ind w:left="67"/>
              <w:jc w:val="left"/>
              <w:rPr>
                <w:b/>
                <w:sz w:val="18"/>
              </w:rPr>
            </w:pPr>
            <w:r>
              <w:rPr>
                <w:b/>
                <w:color w:val="333333"/>
                <w:sz w:val="18"/>
              </w:rPr>
              <w:t>ZACAZONAPAN</w:t>
            </w:r>
          </w:p>
        </w:tc>
        <w:tc>
          <w:tcPr>
            <w:tcW w:w="655" w:type="dxa"/>
          </w:tcPr>
          <w:p>
            <w:pPr>
              <w:pStyle w:val="TableParagraph"/>
              <w:spacing w:before="9"/>
              <w:jc w:val="left"/>
              <w:rPr>
                <w:rFonts w:ascii="Times New Roman"/>
                <w:sz w:val="15"/>
              </w:rPr>
            </w:pPr>
          </w:p>
          <w:p>
            <w:pPr>
              <w:pStyle w:val="TableParagraph"/>
              <w:ind w:left="64"/>
              <w:jc w:val="left"/>
              <w:rPr>
                <w:sz w:val="18"/>
              </w:rPr>
            </w:pPr>
            <w:r>
              <w:rPr>
                <w:sz w:val="18"/>
              </w:rPr>
              <w:t>PRI</w:t>
            </w:r>
          </w:p>
        </w:tc>
        <w:tc>
          <w:tcPr>
            <w:tcW w:w="761" w:type="dxa"/>
          </w:tcPr>
          <w:p>
            <w:pPr>
              <w:pStyle w:val="TableParagraph"/>
              <w:spacing w:before="9"/>
              <w:jc w:val="left"/>
              <w:rPr>
                <w:rFonts w:ascii="Times New Roman"/>
                <w:sz w:val="15"/>
              </w:rPr>
            </w:pPr>
          </w:p>
          <w:p>
            <w:pPr>
              <w:pStyle w:val="TableParagraph"/>
              <w:ind w:left="67"/>
              <w:jc w:val="left"/>
              <w:rPr>
                <w:sz w:val="18"/>
              </w:rPr>
            </w:pPr>
            <w:r>
              <w:rPr>
                <w:sz w:val="18"/>
              </w:rPr>
              <w:t>PRI</w:t>
            </w:r>
          </w:p>
        </w:tc>
        <w:tc>
          <w:tcPr>
            <w:tcW w:w="655" w:type="dxa"/>
          </w:tcPr>
          <w:p>
            <w:pPr>
              <w:pStyle w:val="TableParagraph"/>
              <w:spacing w:before="9"/>
              <w:jc w:val="left"/>
              <w:rPr>
                <w:rFonts w:ascii="Times New Roman"/>
                <w:sz w:val="15"/>
              </w:rPr>
            </w:pPr>
          </w:p>
          <w:p>
            <w:pPr>
              <w:pStyle w:val="TableParagraph"/>
              <w:ind w:left="64"/>
              <w:jc w:val="left"/>
              <w:rPr>
                <w:sz w:val="18"/>
              </w:rPr>
            </w:pPr>
            <w:r>
              <w:rPr>
                <w:sz w:val="18"/>
              </w:rPr>
              <w:t>PRI</w:t>
            </w:r>
          </w:p>
        </w:tc>
        <w:tc>
          <w:tcPr>
            <w:tcW w:w="655" w:type="dxa"/>
            <w:shd w:val="clear" w:color="auto" w:fill="FFFF00"/>
          </w:tcPr>
          <w:p>
            <w:pPr>
              <w:pStyle w:val="TableParagraph"/>
              <w:spacing w:before="9"/>
              <w:jc w:val="left"/>
              <w:rPr>
                <w:rFonts w:ascii="Times New Roman"/>
                <w:sz w:val="15"/>
              </w:rPr>
            </w:pPr>
          </w:p>
          <w:p>
            <w:pPr>
              <w:pStyle w:val="TableParagraph"/>
              <w:ind w:left="67"/>
              <w:jc w:val="left"/>
              <w:rPr>
                <w:sz w:val="18"/>
              </w:rPr>
            </w:pPr>
            <w:r>
              <w:rPr>
                <w:sz w:val="18"/>
              </w:rPr>
              <w:t>PRD</w:t>
            </w:r>
          </w:p>
        </w:tc>
        <w:tc>
          <w:tcPr>
            <w:tcW w:w="1604" w:type="dxa"/>
            <w:shd w:val="clear" w:color="auto" w:fill="006FC0"/>
          </w:tcPr>
          <w:p>
            <w:pPr>
              <w:pStyle w:val="TableParagraph"/>
              <w:spacing w:before="9"/>
              <w:jc w:val="left"/>
              <w:rPr>
                <w:rFonts w:ascii="Times New Roman"/>
                <w:sz w:val="15"/>
              </w:rPr>
            </w:pPr>
          </w:p>
          <w:p>
            <w:pPr>
              <w:pStyle w:val="TableParagraph"/>
              <w:ind w:left="67"/>
              <w:jc w:val="left"/>
              <w:rPr>
                <w:sz w:val="18"/>
              </w:rPr>
            </w:pPr>
            <w:r>
              <w:rPr>
                <w:sz w:val="18"/>
              </w:rPr>
              <w:t>PAN</w:t>
            </w:r>
          </w:p>
        </w:tc>
        <w:tc>
          <w:tcPr>
            <w:tcW w:w="1733" w:type="dxa"/>
            <w:shd w:val="clear" w:color="auto" w:fill="006FC0"/>
          </w:tcPr>
          <w:p>
            <w:pPr>
              <w:pStyle w:val="TableParagraph"/>
              <w:spacing w:before="9"/>
              <w:jc w:val="left"/>
              <w:rPr>
                <w:rFonts w:ascii="Times New Roman"/>
                <w:sz w:val="15"/>
              </w:rPr>
            </w:pPr>
          </w:p>
          <w:p>
            <w:pPr>
              <w:pStyle w:val="TableParagraph"/>
              <w:ind w:left="64"/>
              <w:jc w:val="left"/>
              <w:rPr>
                <w:sz w:val="18"/>
              </w:rPr>
            </w:pPr>
            <w:r>
              <w:rPr>
                <w:sz w:val="18"/>
              </w:rPr>
              <w:t>PAN</w:t>
            </w:r>
          </w:p>
        </w:tc>
        <w:tc>
          <w:tcPr>
            <w:tcW w:w="2062" w:type="dxa"/>
            <w:shd w:val="clear" w:color="auto" w:fill="FFFF00"/>
          </w:tcPr>
          <w:p>
            <w:pPr>
              <w:pStyle w:val="TableParagraph"/>
              <w:spacing w:before="9"/>
              <w:jc w:val="left"/>
              <w:rPr>
                <w:rFonts w:ascii="Times New Roman"/>
                <w:sz w:val="15"/>
              </w:rPr>
            </w:pPr>
          </w:p>
          <w:p>
            <w:pPr>
              <w:pStyle w:val="TableParagraph"/>
              <w:ind w:left="67" w:right="295"/>
              <w:jc w:val="left"/>
              <w:rPr>
                <w:sz w:val="18"/>
              </w:rPr>
            </w:pPr>
            <w:r>
              <w:rPr>
                <w:sz w:val="18"/>
              </w:rPr>
              <w:t>PRD-PT</w:t>
            </w:r>
          </w:p>
        </w:tc>
        <w:tc>
          <w:tcPr>
            <w:tcW w:w="1397" w:type="dxa"/>
          </w:tcPr>
          <w:p>
            <w:pPr>
              <w:pStyle w:val="TableParagraph"/>
              <w:spacing w:before="9"/>
              <w:jc w:val="left"/>
              <w:rPr>
                <w:rFonts w:ascii="Times New Roman"/>
                <w:sz w:val="15"/>
              </w:rPr>
            </w:pPr>
          </w:p>
          <w:p>
            <w:pPr>
              <w:pStyle w:val="TableParagraph"/>
              <w:ind w:left="67"/>
              <w:jc w:val="left"/>
              <w:rPr>
                <w:sz w:val="18"/>
              </w:rPr>
            </w:pPr>
            <w:r>
              <w:rPr>
                <w:sz w:val="18"/>
              </w:rPr>
              <w:t>PRI-PVEM-NA</w:t>
            </w:r>
          </w:p>
        </w:tc>
      </w:tr>
      <w:tr>
        <w:trPr>
          <w:trHeight w:val="401" w:hRule="exact"/>
        </w:trPr>
        <w:tc>
          <w:tcPr>
            <w:tcW w:w="3882" w:type="dxa"/>
          </w:tcPr>
          <w:p>
            <w:pPr>
              <w:pStyle w:val="TableParagraph"/>
              <w:spacing w:before="85"/>
              <w:ind w:left="67"/>
              <w:jc w:val="left"/>
              <w:rPr>
                <w:b/>
                <w:sz w:val="18"/>
              </w:rPr>
            </w:pPr>
            <w:r>
              <w:rPr>
                <w:b/>
                <w:color w:val="333333"/>
                <w:sz w:val="18"/>
              </w:rPr>
              <w:t>ZACUALPAN</w:t>
            </w:r>
          </w:p>
        </w:tc>
        <w:tc>
          <w:tcPr>
            <w:tcW w:w="655" w:type="dxa"/>
          </w:tcPr>
          <w:p>
            <w:pPr>
              <w:pStyle w:val="TableParagraph"/>
              <w:spacing w:before="11"/>
              <w:jc w:val="left"/>
              <w:rPr>
                <w:rFonts w:ascii="Times New Roman"/>
                <w:sz w:val="15"/>
              </w:rPr>
            </w:pPr>
          </w:p>
          <w:p>
            <w:pPr>
              <w:pStyle w:val="TableParagraph"/>
              <w:ind w:left="64"/>
              <w:jc w:val="left"/>
              <w:rPr>
                <w:sz w:val="18"/>
              </w:rPr>
            </w:pPr>
            <w:r>
              <w:rPr>
                <w:sz w:val="18"/>
              </w:rPr>
              <w:t>PRI</w:t>
            </w:r>
          </w:p>
        </w:tc>
        <w:tc>
          <w:tcPr>
            <w:tcW w:w="761" w:type="dxa"/>
            <w:shd w:val="clear" w:color="auto" w:fill="006FC0"/>
          </w:tcPr>
          <w:p>
            <w:pPr>
              <w:pStyle w:val="TableParagraph"/>
              <w:spacing w:before="11"/>
              <w:jc w:val="left"/>
              <w:rPr>
                <w:rFonts w:ascii="Times New Roman"/>
                <w:sz w:val="15"/>
              </w:rPr>
            </w:pPr>
          </w:p>
          <w:p>
            <w:pPr>
              <w:pStyle w:val="TableParagraph"/>
              <w:ind w:left="67"/>
              <w:jc w:val="left"/>
              <w:rPr>
                <w:sz w:val="18"/>
              </w:rPr>
            </w:pPr>
            <w:r>
              <w:rPr>
                <w:sz w:val="18"/>
              </w:rPr>
              <w:t>PAN</w:t>
            </w:r>
          </w:p>
        </w:tc>
        <w:tc>
          <w:tcPr>
            <w:tcW w:w="655" w:type="dxa"/>
          </w:tcPr>
          <w:p>
            <w:pPr>
              <w:pStyle w:val="TableParagraph"/>
              <w:spacing w:before="11"/>
              <w:jc w:val="left"/>
              <w:rPr>
                <w:rFonts w:ascii="Times New Roman"/>
                <w:sz w:val="15"/>
              </w:rPr>
            </w:pPr>
          </w:p>
          <w:p>
            <w:pPr>
              <w:pStyle w:val="TableParagraph"/>
              <w:ind w:left="64"/>
              <w:jc w:val="left"/>
              <w:rPr>
                <w:sz w:val="18"/>
              </w:rPr>
            </w:pPr>
            <w:r>
              <w:rPr>
                <w:sz w:val="18"/>
              </w:rPr>
              <w:t>PRI</w:t>
            </w:r>
          </w:p>
        </w:tc>
        <w:tc>
          <w:tcPr>
            <w:tcW w:w="655" w:type="dxa"/>
          </w:tcPr>
          <w:p>
            <w:pPr>
              <w:pStyle w:val="TableParagraph"/>
              <w:spacing w:before="11"/>
              <w:jc w:val="left"/>
              <w:rPr>
                <w:rFonts w:ascii="Times New Roman"/>
                <w:sz w:val="15"/>
              </w:rPr>
            </w:pPr>
          </w:p>
          <w:p>
            <w:pPr>
              <w:pStyle w:val="TableParagraph"/>
              <w:ind w:left="67"/>
              <w:jc w:val="left"/>
              <w:rPr>
                <w:sz w:val="18"/>
              </w:rPr>
            </w:pPr>
            <w:r>
              <w:rPr>
                <w:sz w:val="18"/>
              </w:rPr>
              <w:t>PRI</w:t>
            </w:r>
          </w:p>
        </w:tc>
        <w:tc>
          <w:tcPr>
            <w:tcW w:w="1604" w:type="dxa"/>
          </w:tcPr>
          <w:p>
            <w:pPr>
              <w:pStyle w:val="TableParagraph"/>
              <w:spacing w:before="11"/>
              <w:jc w:val="left"/>
              <w:rPr>
                <w:rFonts w:ascii="Times New Roman"/>
                <w:sz w:val="15"/>
              </w:rPr>
            </w:pPr>
          </w:p>
          <w:p>
            <w:pPr>
              <w:pStyle w:val="TableParagraph"/>
              <w:ind w:left="67"/>
              <w:jc w:val="left"/>
              <w:rPr>
                <w:sz w:val="18"/>
              </w:rPr>
            </w:pPr>
            <w:r>
              <w:rPr>
                <w:sz w:val="18"/>
              </w:rPr>
              <w:t>PRI-PVEM</w:t>
            </w:r>
          </w:p>
        </w:tc>
        <w:tc>
          <w:tcPr>
            <w:tcW w:w="1733" w:type="dxa"/>
          </w:tcPr>
          <w:p>
            <w:pPr>
              <w:pStyle w:val="TableParagraph"/>
              <w:spacing w:before="11"/>
              <w:jc w:val="left"/>
              <w:rPr>
                <w:rFonts w:ascii="Times New Roman"/>
                <w:sz w:val="15"/>
              </w:rPr>
            </w:pPr>
          </w:p>
          <w:p>
            <w:pPr>
              <w:pStyle w:val="TableParagraph"/>
              <w:ind w:left="64"/>
              <w:jc w:val="left"/>
              <w:rPr>
                <w:sz w:val="18"/>
              </w:rPr>
            </w:pPr>
            <w:r>
              <w:rPr>
                <w:sz w:val="18"/>
              </w:rPr>
              <w:t>PRI-PVEM</w:t>
            </w:r>
          </w:p>
        </w:tc>
        <w:tc>
          <w:tcPr>
            <w:tcW w:w="2062" w:type="dxa"/>
            <w:shd w:val="clear" w:color="auto" w:fill="FFC000"/>
          </w:tcPr>
          <w:p>
            <w:pPr>
              <w:pStyle w:val="TableParagraph"/>
              <w:spacing w:before="11"/>
              <w:jc w:val="left"/>
              <w:rPr>
                <w:rFonts w:ascii="Times New Roman"/>
                <w:sz w:val="15"/>
              </w:rPr>
            </w:pPr>
          </w:p>
          <w:p>
            <w:pPr>
              <w:pStyle w:val="TableParagraph"/>
              <w:ind w:left="67"/>
              <w:jc w:val="left"/>
              <w:rPr>
                <w:sz w:val="18"/>
              </w:rPr>
            </w:pPr>
            <w:r>
              <w:rPr>
                <w:sz w:val="18"/>
              </w:rPr>
              <w:t>PT-CONVERGENCIA</w:t>
            </w:r>
          </w:p>
        </w:tc>
        <w:tc>
          <w:tcPr>
            <w:tcW w:w="1397" w:type="dxa"/>
            <w:shd w:val="clear" w:color="auto" w:fill="006FC0"/>
          </w:tcPr>
          <w:p>
            <w:pPr>
              <w:pStyle w:val="TableParagraph"/>
              <w:spacing w:before="11"/>
              <w:jc w:val="left"/>
              <w:rPr>
                <w:rFonts w:ascii="Times New Roman"/>
                <w:sz w:val="15"/>
              </w:rPr>
            </w:pPr>
          </w:p>
          <w:p>
            <w:pPr>
              <w:pStyle w:val="TableParagraph"/>
              <w:ind w:left="67"/>
              <w:jc w:val="left"/>
              <w:rPr>
                <w:sz w:val="18"/>
              </w:rPr>
            </w:pPr>
            <w:r>
              <w:rPr>
                <w:sz w:val="18"/>
              </w:rPr>
              <w:t>PAN</w:t>
            </w:r>
          </w:p>
        </w:tc>
      </w:tr>
      <w:tr>
        <w:trPr>
          <w:trHeight w:val="401" w:hRule="exact"/>
        </w:trPr>
        <w:tc>
          <w:tcPr>
            <w:tcW w:w="3882" w:type="dxa"/>
          </w:tcPr>
          <w:p>
            <w:pPr>
              <w:pStyle w:val="TableParagraph"/>
              <w:spacing w:before="85"/>
              <w:ind w:left="67"/>
              <w:jc w:val="left"/>
              <w:rPr>
                <w:b/>
                <w:sz w:val="18"/>
              </w:rPr>
            </w:pPr>
            <w:r>
              <w:rPr>
                <w:b/>
                <w:color w:val="333333"/>
                <w:sz w:val="18"/>
              </w:rPr>
              <w:t>ZINACANTEPEC</w:t>
            </w:r>
          </w:p>
        </w:tc>
        <w:tc>
          <w:tcPr>
            <w:tcW w:w="655" w:type="dxa"/>
          </w:tcPr>
          <w:p>
            <w:pPr>
              <w:pStyle w:val="TableParagraph"/>
              <w:spacing w:before="9"/>
              <w:jc w:val="left"/>
              <w:rPr>
                <w:rFonts w:ascii="Times New Roman"/>
                <w:sz w:val="15"/>
              </w:rPr>
            </w:pPr>
          </w:p>
          <w:p>
            <w:pPr>
              <w:pStyle w:val="TableParagraph"/>
              <w:ind w:left="64"/>
              <w:jc w:val="left"/>
              <w:rPr>
                <w:sz w:val="18"/>
              </w:rPr>
            </w:pPr>
            <w:r>
              <w:rPr>
                <w:sz w:val="18"/>
              </w:rPr>
              <w:t>PRI</w:t>
            </w:r>
          </w:p>
        </w:tc>
        <w:tc>
          <w:tcPr>
            <w:tcW w:w="761" w:type="dxa"/>
          </w:tcPr>
          <w:p>
            <w:pPr>
              <w:pStyle w:val="TableParagraph"/>
              <w:spacing w:before="9"/>
              <w:jc w:val="left"/>
              <w:rPr>
                <w:rFonts w:ascii="Times New Roman"/>
                <w:sz w:val="15"/>
              </w:rPr>
            </w:pPr>
          </w:p>
          <w:p>
            <w:pPr>
              <w:pStyle w:val="TableParagraph"/>
              <w:ind w:left="67"/>
              <w:jc w:val="left"/>
              <w:rPr>
                <w:sz w:val="18"/>
              </w:rPr>
            </w:pPr>
            <w:r>
              <w:rPr>
                <w:sz w:val="18"/>
              </w:rPr>
              <w:t>PRI</w:t>
            </w:r>
          </w:p>
        </w:tc>
        <w:tc>
          <w:tcPr>
            <w:tcW w:w="655" w:type="dxa"/>
          </w:tcPr>
          <w:p>
            <w:pPr>
              <w:pStyle w:val="TableParagraph"/>
              <w:spacing w:before="9"/>
              <w:jc w:val="left"/>
              <w:rPr>
                <w:rFonts w:ascii="Times New Roman"/>
                <w:sz w:val="15"/>
              </w:rPr>
            </w:pPr>
          </w:p>
          <w:p>
            <w:pPr>
              <w:pStyle w:val="TableParagraph"/>
              <w:ind w:left="64"/>
              <w:jc w:val="left"/>
              <w:rPr>
                <w:sz w:val="18"/>
              </w:rPr>
            </w:pPr>
            <w:r>
              <w:rPr>
                <w:sz w:val="18"/>
              </w:rPr>
              <w:t>PRI</w:t>
            </w:r>
          </w:p>
        </w:tc>
        <w:tc>
          <w:tcPr>
            <w:tcW w:w="655" w:type="dxa"/>
            <w:shd w:val="clear" w:color="auto" w:fill="006FC0"/>
          </w:tcPr>
          <w:p>
            <w:pPr>
              <w:pStyle w:val="TableParagraph"/>
              <w:spacing w:before="9"/>
              <w:jc w:val="left"/>
              <w:rPr>
                <w:rFonts w:ascii="Times New Roman"/>
                <w:sz w:val="15"/>
              </w:rPr>
            </w:pPr>
          </w:p>
          <w:p>
            <w:pPr>
              <w:pStyle w:val="TableParagraph"/>
              <w:ind w:left="67"/>
              <w:jc w:val="left"/>
              <w:rPr>
                <w:sz w:val="18"/>
              </w:rPr>
            </w:pPr>
            <w:r>
              <w:rPr>
                <w:sz w:val="18"/>
              </w:rPr>
              <w:t>PAN</w:t>
            </w:r>
          </w:p>
        </w:tc>
        <w:tc>
          <w:tcPr>
            <w:tcW w:w="1604" w:type="dxa"/>
          </w:tcPr>
          <w:p>
            <w:pPr>
              <w:pStyle w:val="TableParagraph"/>
              <w:spacing w:before="9"/>
              <w:jc w:val="left"/>
              <w:rPr>
                <w:rFonts w:ascii="Times New Roman"/>
                <w:sz w:val="15"/>
              </w:rPr>
            </w:pPr>
          </w:p>
          <w:p>
            <w:pPr>
              <w:pStyle w:val="TableParagraph"/>
              <w:ind w:left="67"/>
              <w:jc w:val="left"/>
              <w:rPr>
                <w:sz w:val="18"/>
              </w:rPr>
            </w:pPr>
            <w:r>
              <w:rPr>
                <w:sz w:val="18"/>
              </w:rPr>
              <w:t>PRI-PVEM</w:t>
            </w:r>
          </w:p>
        </w:tc>
        <w:tc>
          <w:tcPr>
            <w:tcW w:w="1733" w:type="dxa"/>
            <w:shd w:val="clear" w:color="auto" w:fill="006FC0"/>
          </w:tcPr>
          <w:p>
            <w:pPr>
              <w:pStyle w:val="TableParagraph"/>
              <w:spacing w:before="9"/>
              <w:jc w:val="left"/>
              <w:rPr>
                <w:rFonts w:ascii="Times New Roman"/>
                <w:sz w:val="15"/>
              </w:rPr>
            </w:pPr>
          </w:p>
          <w:p>
            <w:pPr>
              <w:pStyle w:val="TableParagraph"/>
              <w:ind w:left="64"/>
              <w:jc w:val="left"/>
              <w:rPr>
                <w:sz w:val="18"/>
              </w:rPr>
            </w:pPr>
            <w:r>
              <w:rPr>
                <w:sz w:val="18"/>
              </w:rPr>
              <w:t>PAN</w:t>
            </w:r>
          </w:p>
        </w:tc>
        <w:tc>
          <w:tcPr>
            <w:tcW w:w="2062" w:type="dxa"/>
            <w:shd w:val="clear" w:color="auto" w:fill="006FC0"/>
          </w:tcPr>
          <w:p>
            <w:pPr>
              <w:pStyle w:val="TableParagraph"/>
              <w:spacing w:before="9"/>
              <w:jc w:val="left"/>
              <w:rPr>
                <w:rFonts w:ascii="Times New Roman"/>
                <w:sz w:val="15"/>
              </w:rPr>
            </w:pPr>
          </w:p>
          <w:p>
            <w:pPr>
              <w:pStyle w:val="TableParagraph"/>
              <w:ind w:left="67" w:right="295"/>
              <w:jc w:val="left"/>
              <w:rPr>
                <w:sz w:val="18"/>
              </w:rPr>
            </w:pPr>
            <w:r>
              <w:rPr>
                <w:sz w:val="18"/>
              </w:rPr>
              <w:t>PAN</w:t>
            </w:r>
          </w:p>
        </w:tc>
        <w:tc>
          <w:tcPr>
            <w:tcW w:w="1397" w:type="dxa"/>
          </w:tcPr>
          <w:p>
            <w:pPr>
              <w:pStyle w:val="TableParagraph"/>
              <w:spacing w:before="9"/>
              <w:jc w:val="left"/>
              <w:rPr>
                <w:rFonts w:ascii="Times New Roman"/>
                <w:sz w:val="15"/>
              </w:rPr>
            </w:pPr>
          </w:p>
          <w:p>
            <w:pPr>
              <w:pStyle w:val="TableParagraph"/>
              <w:ind w:left="67"/>
              <w:jc w:val="left"/>
              <w:rPr>
                <w:sz w:val="18"/>
              </w:rPr>
            </w:pPr>
            <w:r>
              <w:rPr>
                <w:sz w:val="18"/>
              </w:rPr>
              <w:t>PRI-PVEM-NA</w:t>
            </w:r>
          </w:p>
        </w:tc>
      </w:tr>
      <w:tr>
        <w:trPr>
          <w:trHeight w:val="422" w:hRule="exact"/>
        </w:trPr>
        <w:tc>
          <w:tcPr>
            <w:tcW w:w="3882" w:type="dxa"/>
          </w:tcPr>
          <w:p>
            <w:pPr>
              <w:pStyle w:val="TableParagraph"/>
              <w:spacing w:before="97"/>
              <w:ind w:left="67"/>
              <w:jc w:val="left"/>
              <w:rPr>
                <w:b/>
                <w:sz w:val="18"/>
              </w:rPr>
            </w:pPr>
            <w:r>
              <w:rPr>
                <w:b/>
                <w:color w:val="333333"/>
                <w:sz w:val="18"/>
              </w:rPr>
              <w:t>ZUMPAHUACAN</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761"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4"/>
              <w:jc w:val="left"/>
              <w:rPr>
                <w:sz w:val="18"/>
              </w:rPr>
            </w:pPr>
            <w:r>
              <w:rPr>
                <w:sz w:val="18"/>
              </w:rPr>
              <w:t>PRI</w:t>
            </w:r>
          </w:p>
        </w:tc>
        <w:tc>
          <w:tcPr>
            <w:tcW w:w="655" w:type="dxa"/>
          </w:tcPr>
          <w:p>
            <w:pPr>
              <w:pStyle w:val="TableParagraph"/>
              <w:spacing w:before="10"/>
              <w:jc w:val="left"/>
              <w:rPr>
                <w:rFonts w:ascii="Times New Roman"/>
                <w:sz w:val="17"/>
              </w:rPr>
            </w:pPr>
          </w:p>
          <w:p>
            <w:pPr>
              <w:pStyle w:val="TableParagraph"/>
              <w:ind w:left="67"/>
              <w:jc w:val="left"/>
              <w:rPr>
                <w:sz w:val="18"/>
              </w:rPr>
            </w:pPr>
            <w:r>
              <w:rPr>
                <w:sz w:val="18"/>
              </w:rPr>
              <w:t>PRI</w:t>
            </w:r>
          </w:p>
        </w:tc>
        <w:tc>
          <w:tcPr>
            <w:tcW w:w="1604" w:type="dxa"/>
          </w:tcPr>
          <w:p>
            <w:pPr>
              <w:pStyle w:val="TableParagraph"/>
              <w:spacing w:before="10"/>
              <w:jc w:val="left"/>
              <w:rPr>
                <w:rFonts w:ascii="Times New Roman"/>
                <w:sz w:val="17"/>
              </w:rPr>
            </w:pPr>
          </w:p>
          <w:p>
            <w:pPr>
              <w:pStyle w:val="TableParagraph"/>
              <w:ind w:left="67"/>
              <w:jc w:val="left"/>
              <w:rPr>
                <w:sz w:val="18"/>
              </w:rPr>
            </w:pPr>
            <w:r>
              <w:rPr>
                <w:sz w:val="18"/>
              </w:rPr>
              <w:t>PRI-PVEM</w:t>
            </w:r>
          </w:p>
        </w:tc>
        <w:tc>
          <w:tcPr>
            <w:tcW w:w="1733" w:type="dxa"/>
          </w:tcPr>
          <w:p>
            <w:pPr>
              <w:pStyle w:val="TableParagraph"/>
              <w:spacing w:before="10"/>
              <w:jc w:val="left"/>
              <w:rPr>
                <w:rFonts w:ascii="Times New Roman"/>
                <w:sz w:val="17"/>
              </w:rPr>
            </w:pPr>
          </w:p>
          <w:p>
            <w:pPr>
              <w:pStyle w:val="TableParagraph"/>
              <w:ind w:left="64"/>
              <w:jc w:val="left"/>
              <w:rPr>
                <w:sz w:val="18"/>
              </w:rPr>
            </w:pPr>
            <w:r>
              <w:rPr>
                <w:sz w:val="18"/>
              </w:rPr>
              <w:t>PRI-PVEM</w:t>
            </w:r>
          </w:p>
        </w:tc>
        <w:tc>
          <w:tcPr>
            <w:tcW w:w="2062" w:type="dxa"/>
          </w:tcPr>
          <w:p>
            <w:pPr>
              <w:pStyle w:val="TableParagraph"/>
              <w:ind w:left="67" w:right="295"/>
              <w:jc w:val="left"/>
              <w:rPr>
                <w:sz w:val="18"/>
              </w:rPr>
            </w:pPr>
            <w:r>
              <w:rPr>
                <w:sz w:val="18"/>
              </w:rPr>
              <w:t>PRI-PVEM-NA-PSD- PFD</w:t>
            </w:r>
          </w:p>
        </w:tc>
        <w:tc>
          <w:tcPr>
            <w:tcW w:w="1397" w:type="dxa"/>
            <w:shd w:val="clear" w:color="auto" w:fill="006FC0"/>
          </w:tcPr>
          <w:p>
            <w:pPr>
              <w:pStyle w:val="TableParagraph"/>
              <w:spacing w:before="10"/>
              <w:jc w:val="left"/>
              <w:rPr>
                <w:rFonts w:ascii="Times New Roman"/>
                <w:sz w:val="17"/>
              </w:rPr>
            </w:pPr>
          </w:p>
          <w:p>
            <w:pPr>
              <w:pStyle w:val="TableParagraph"/>
              <w:ind w:left="67"/>
              <w:jc w:val="left"/>
              <w:rPr>
                <w:sz w:val="18"/>
              </w:rPr>
            </w:pPr>
            <w:r>
              <w:rPr>
                <w:sz w:val="18"/>
              </w:rPr>
              <w:t>PAN</w:t>
            </w:r>
          </w:p>
        </w:tc>
      </w:tr>
      <w:tr>
        <w:trPr>
          <w:trHeight w:val="401" w:hRule="exact"/>
        </w:trPr>
        <w:tc>
          <w:tcPr>
            <w:tcW w:w="3882" w:type="dxa"/>
          </w:tcPr>
          <w:p>
            <w:pPr>
              <w:pStyle w:val="TableParagraph"/>
              <w:spacing w:before="86"/>
              <w:ind w:left="67"/>
              <w:jc w:val="left"/>
              <w:rPr>
                <w:b/>
                <w:sz w:val="18"/>
              </w:rPr>
            </w:pPr>
            <w:r>
              <w:rPr>
                <w:b/>
                <w:color w:val="333333"/>
                <w:sz w:val="18"/>
              </w:rPr>
              <w:t>ZUMPANGO</w:t>
            </w:r>
          </w:p>
        </w:tc>
        <w:tc>
          <w:tcPr>
            <w:tcW w:w="655" w:type="dxa"/>
          </w:tcPr>
          <w:p>
            <w:pPr>
              <w:pStyle w:val="TableParagraph"/>
              <w:jc w:val="left"/>
              <w:rPr>
                <w:rFonts w:ascii="Times New Roman"/>
                <w:sz w:val="16"/>
              </w:rPr>
            </w:pPr>
          </w:p>
          <w:p>
            <w:pPr>
              <w:pStyle w:val="TableParagraph"/>
              <w:ind w:left="64"/>
              <w:jc w:val="left"/>
              <w:rPr>
                <w:sz w:val="18"/>
              </w:rPr>
            </w:pPr>
            <w:r>
              <w:rPr>
                <w:sz w:val="18"/>
              </w:rPr>
              <w:t>PRI</w:t>
            </w:r>
          </w:p>
        </w:tc>
        <w:tc>
          <w:tcPr>
            <w:tcW w:w="761" w:type="dxa"/>
            <w:shd w:val="clear" w:color="auto" w:fill="006FC0"/>
          </w:tcPr>
          <w:p>
            <w:pPr>
              <w:pStyle w:val="TableParagraph"/>
              <w:jc w:val="left"/>
              <w:rPr>
                <w:rFonts w:ascii="Times New Roman"/>
                <w:sz w:val="16"/>
              </w:rPr>
            </w:pPr>
          </w:p>
          <w:p>
            <w:pPr>
              <w:pStyle w:val="TableParagraph"/>
              <w:ind w:left="67"/>
              <w:jc w:val="left"/>
              <w:rPr>
                <w:sz w:val="18"/>
              </w:rPr>
            </w:pPr>
            <w:r>
              <w:rPr>
                <w:sz w:val="18"/>
              </w:rPr>
              <w:t>PAN</w:t>
            </w:r>
          </w:p>
        </w:tc>
        <w:tc>
          <w:tcPr>
            <w:tcW w:w="655" w:type="dxa"/>
            <w:shd w:val="clear" w:color="auto" w:fill="FFFF00"/>
          </w:tcPr>
          <w:p>
            <w:pPr>
              <w:pStyle w:val="TableParagraph"/>
              <w:jc w:val="left"/>
              <w:rPr>
                <w:rFonts w:ascii="Times New Roman"/>
                <w:sz w:val="16"/>
              </w:rPr>
            </w:pPr>
          </w:p>
          <w:p>
            <w:pPr>
              <w:pStyle w:val="TableParagraph"/>
              <w:ind w:left="64"/>
              <w:jc w:val="left"/>
              <w:rPr>
                <w:sz w:val="18"/>
              </w:rPr>
            </w:pPr>
            <w:r>
              <w:rPr>
                <w:sz w:val="18"/>
              </w:rPr>
              <w:t>PRD</w:t>
            </w:r>
          </w:p>
        </w:tc>
        <w:tc>
          <w:tcPr>
            <w:tcW w:w="655" w:type="dxa"/>
          </w:tcPr>
          <w:p>
            <w:pPr>
              <w:pStyle w:val="TableParagraph"/>
              <w:jc w:val="left"/>
              <w:rPr>
                <w:rFonts w:ascii="Times New Roman"/>
                <w:sz w:val="16"/>
              </w:rPr>
            </w:pPr>
          </w:p>
          <w:p>
            <w:pPr>
              <w:pStyle w:val="TableParagraph"/>
              <w:ind w:left="67"/>
              <w:jc w:val="left"/>
              <w:rPr>
                <w:sz w:val="18"/>
              </w:rPr>
            </w:pPr>
            <w:r>
              <w:rPr>
                <w:sz w:val="18"/>
              </w:rPr>
              <w:t>PRI</w:t>
            </w:r>
          </w:p>
        </w:tc>
        <w:tc>
          <w:tcPr>
            <w:tcW w:w="1604" w:type="dxa"/>
          </w:tcPr>
          <w:p>
            <w:pPr>
              <w:pStyle w:val="TableParagraph"/>
              <w:jc w:val="left"/>
              <w:rPr>
                <w:rFonts w:ascii="Times New Roman"/>
                <w:sz w:val="16"/>
              </w:rPr>
            </w:pPr>
          </w:p>
          <w:p>
            <w:pPr>
              <w:pStyle w:val="TableParagraph"/>
              <w:ind w:left="67"/>
              <w:jc w:val="left"/>
              <w:rPr>
                <w:sz w:val="18"/>
              </w:rPr>
            </w:pPr>
            <w:r>
              <w:rPr>
                <w:sz w:val="18"/>
              </w:rPr>
              <w:t>PRI-PVEM</w:t>
            </w:r>
          </w:p>
        </w:tc>
        <w:tc>
          <w:tcPr>
            <w:tcW w:w="1733" w:type="dxa"/>
          </w:tcPr>
          <w:p>
            <w:pPr>
              <w:pStyle w:val="TableParagraph"/>
              <w:jc w:val="left"/>
              <w:rPr>
                <w:rFonts w:ascii="Times New Roman"/>
                <w:sz w:val="16"/>
              </w:rPr>
            </w:pPr>
          </w:p>
          <w:p>
            <w:pPr>
              <w:pStyle w:val="TableParagraph"/>
              <w:ind w:left="64"/>
              <w:jc w:val="left"/>
              <w:rPr>
                <w:sz w:val="18"/>
              </w:rPr>
            </w:pPr>
            <w:r>
              <w:rPr>
                <w:sz w:val="18"/>
              </w:rPr>
              <w:t>PRI-PVEM</w:t>
            </w:r>
          </w:p>
        </w:tc>
        <w:tc>
          <w:tcPr>
            <w:tcW w:w="2062" w:type="dxa"/>
            <w:shd w:val="clear" w:color="auto" w:fill="006FC0"/>
          </w:tcPr>
          <w:p>
            <w:pPr>
              <w:pStyle w:val="TableParagraph"/>
              <w:jc w:val="left"/>
              <w:rPr>
                <w:rFonts w:ascii="Times New Roman"/>
                <w:sz w:val="16"/>
              </w:rPr>
            </w:pPr>
          </w:p>
          <w:p>
            <w:pPr>
              <w:pStyle w:val="TableParagraph"/>
              <w:ind w:left="67" w:right="295"/>
              <w:jc w:val="left"/>
              <w:rPr>
                <w:sz w:val="18"/>
              </w:rPr>
            </w:pPr>
            <w:r>
              <w:rPr>
                <w:sz w:val="18"/>
              </w:rPr>
              <w:t>PAN</w:t>
            </w:r>
          </w:p>
        </w:tc>
        <w:tc>
          <w:tcPr>
            <w:tcW w:w="1397" w:type="dxa"/>
          </w:tcPr>
          <w:p>
            <w:pPr>
              <w:pStyle w:val="TableParagraph"/>
              <w:jc w:val="left"/>
              <w:rPr>
                <w:rFonts w:ascii="Times New Roman"/>
                <w:sz w:val="16"/>
              </w:rPr>
            </w:pPr>
          </w:p>
          <w:p>
            <w:pPr>
              <w:pStyle w:val="TableParagraph"/>
              <w:ind w:left="67"/>
              <w:jc w:val="left"/>
              <w:rPr>
                <w:sz w:val="18"/>
              </w:rPr>
            </w:pPr>
            <w:r>
              <w:rPr>
                <w:sz w:val="18"/>
              </w:rPr>
              <w:t>PRI-PVEM-NA</w:t>
            </w:r>
          </w:p>
        </w:tc>
      </w:tr>
    </w:tbl>
    <w:p>
      <w:pPr>
        <w:spacing w:before="90"/>
        <w:ind w:left="192" w:right="0" w:firstLine="0"/>
        <w:jc w:val="left"/>
        <w:rPr>
          <w:sz w:val="18"/>
        </w:rPr>
      </w:pPr>
      <w:r>
        <w:rPr>
          <w:sz w:val="18"/>
        </w:rPr>
        <w:t>Fuente: Elaboración propia con datos del IEEM.</w:t>
      </w:r>
    </w:p>
    <w:p>
      <w:pPr>
        <w:spacing w:after="0"/>
        <w:jc w:val="left"/>
        <w:rPr>
          <w:sz w:val="18"/>
        </w:rPr>
        <w:sectPr>
          <w:pgSz w:w="15840" w:h="12240" w:orient="landscape"/>
          <w:pgMar w:header="0" w:footer="975" w:top="1140" w:bottom="1160" w:left="1300" w:right="900"/>
        </w:sectPr>
      </w:pPr>
    </w:p>
    <w:p>
      <w:pPr>
        <w:pStyle w:val="BodyText"/>
        <w:rPr>
          <w:sz w:val="20"/>
        </w:rPr>
      </w:pPr>
    </w:p>
    <w:p>
      <w:pPr>
        <w:pStyle w:val="BodyText"/>
        <w:spacing w:before="5"/>
        <w:rPr>
          <w:sz w:val="21"/>
        </w:rPr>
      </w:pPr>
    </w:p>
    <w:p>
      <w:pPr>
        <w:spacing w:before="77"/>
        <w:ind w:left="2678" w:right="0" w:firstLine="0"/>
        <w:jc w:val="left"/>
        <w:rPr>
          <w:b/>
          <w:sz w:val="18"/>
        </w:rPr>
      </w:pPr>
      <w:r>
        <w:rPr/>
        <w:drawing>
          <wp:anchor distT="0" distB="0" distL="0" distR="0" allowOverlap="1" layoutInCell="1" locked="0" behindDoc="0" simplePos="0" relativeHeight="8752">
            <wp:simplePos x="0" y="0"/>
            <wp:positionH relativeFrom="page">
              <wp:posOffset>1409700</wp:posOffset>
            </wp:positionH>
            <wp:positionV relativeFrom="paragraph">
              <wp:posOffset>230528</wp:posOffset>
            </wp:positionV>
            <wp:extent cx="7419463" cy="4840605"/>
            <wp:effectExtent l="0" t="0" r="0" b="0"/>
            <wp:wrapTopAndBottom/>
            <wp:docPr id="35" name="image81.jpeg" descr=""/>
            <wp:cNvGraphicFramePr>
              <a:graphicFrameLocks noChangeAspect="1"/>
            </wp:cNvGraphicFramePr>
            <a:graphic>
              <a:graphicData uri="http://schemas.openxmlformats.org/drawingml/2006/picture">
                <pic:pic>
                  <pic:nvPicPr>
                    <pic:cNvPr id="36" name="image81.jpeg"/>
                    <pic:cNvPicPr/>
                  </pic:nvPicPr>
                  <pic:blipFill>
                    <a:blip r:embed="rId188" cstate="print"/>
                    <a:stretch>
                      <a:fillRect/>
                    </a:stretch>
                  </pic:blipFill>
                  <pic:spPr>
                    <a:xfrm>
                      <a:off x="0" y="0"/>
                      <a:ext cx="7419463" cy="4840605"/>
                    </a:xfrm>
                    <a:prstGeom prst="rect">
                      <a:avLst/>
                    </a:prstGeom>
                  </pic:spPr>
                </pic:pic>
              </a:graphicData>
            </a:graphic>
          </wp:anchor>
        </w:drawing>
      </w:r>
      <w:r>
        <w:rPr>
          <w:b/>
          <w:sz w:val="18"/>
        </w:rPr>
        <w:t>Anexo 5. Mapa de la división territorial de los Estados Unidos Mexicanos</w:t>
      </w:r>
    </w:p>
    <w:p>
      <w:pPr>
        <w:spacing w:line="240" w:lineRule="auto" w:before="17"/>
        <w:ind w:left="148" w:right="0" w:firstLine="0"/>
        <w:jc w:val="left"/>
        <w:rPr>
          <w:sz w:val="18"/>
        </w:rPr>
      </w:pPr>
      <w:r>
        <w:rPr>
          <w:i/>
          <w:sz w:val="18"/>
        </w:rPr>
        <w:t>Fuente: </w:t>
      </w:r>
      <w:hyperlink r:id="rId189">
        <w:r>
          <w:rPr>
            <w:sz w:val="18"/>
          </w:rPr>
          <w:t>https://www.google.com.mx/search?q=imagenes&amp;espv=2&amp;biw=1280&amp;bih=918&amp;source=lnms&amp;tbm=isch&amp;sa=X&amp;ved=0ahUKEwiE_vegtNPQAhV</w:t>
        </w:r>
      </w:hyperlink>
      <w:r>
        <w:rPr>
          <w:sz w:val="18"/>
        </w:rPr>
        <w:t> </w:t>
      </w:r>
      <w:hyperlink r:id="rId189">
        <w:r>
          <w:rPr>
            <w:sz w:val="18"/>
          </w:rPr>
          <w:t>J4WMKHQISBpgQ_AUIBigB#tbm=isch&amp;q=estados+unidos+mexicanos+mapa&amp;imgrc=6QChRSijYOcBAM%3A</w:t>
        </w:r>
      </w:hyperlink>
      <w:r>
        <w:rPr>
          <w:sz w:val="18"/>
        </w:rPr>
        <w:t> [Consultado 10/12/2015]</w:t>
      </w:r>
    </w:p>
    <w:p>
      <w:pPr>
        <w:spacing w:after="0" w:line="240" w:lineRule="auto"/>
        <w:jc w:val="left"/>
        <w:rPr>
          <w:sz w:val="18"/>
        </w:rPr>
        <w:sectPr>
          <w:pgSz w:w="15840" w:h="12240" w:orient="landscape"/>
          <w:pgMar w:header="0" w:footer="975" w:top="1140" w:bottom="1220" w:left="2120" w:right="1880"/>
        </w:sectPr>
      </w:pPr>
    </w:p>
    <w:p>
      <w:pPr>
        <w:spacing w:line="256" w:lineRule="auto" w:before="50"/>
        <w:ind w:left="4268" w:right="447" w:hanging="3858"/>
        <w:jc w:val="left"/>
        <w:rPr>
          <w:b/>
          <w:sz w:val="18"/>
        </w:rPr>
      </w:pPr>
      <w:r>
        <w:rPr>
          <w:b/>
          <w:sz w:val="18"/>
        </w:rPr>
        <w:t>Anexo 6. Encuesta aplicada a los responsables de transparencia en los municipios del Estado de México</w:t>
      </w:r>
    </w:p>
    <w:p>
      <w:pPr>
        <w:pStyle w:val="BodyText"/>
        <w:rPr>
          <w:b/>
          <w:sz w:val="18"/>
        </w:rPr>
      </w:pPr>
    </w:p>
    <w:p>
      <w:pPr>
        <w:pStyle w:val="BodyText"/>
        <w:rPr>
          <w:b/>
          <w:sz w:val="18"/>
        </w:rPr>
      </w:pPr>
    </w:p>
    <w:p>
      <w:pPr>
        <w:pStyle w:val="BodyText"/>
        <w:spacing w:before="5"/>
        <w:rPr>
          <w:b/>
          <w:sz w:val="18"/>
        </w:rPr>
      </w:pPr>
    </w:p>
    <w:p>
      <w:pPr>
        <w:pStyle w:val="BodyText"/>
        <w:spacing w:line="259" w:lineRule="auto"/>
        <w:ind w:left="108" w:right="157"/>
        <w:jc w:val="both"/>
        <w:rPr>
          <w:rFonts w:ascii="Calibri" w:hAnsi="Calibri"/>
        </w:rPr>
      </w:pPr>
      <w:r>
        <w:rPr>
          <w:rFonts w:ascii="Calibri" w:hAnsi="Calibri"/>
        </w:rPr>
        <w:t>El presente documento tiene como objetivo recabar información que permita diagnosticar la situación que guardan el acceso a la información y la transparencia en los municipios del Estado de México. La información recabada será utilizada solamente con fines académicos.</w:t>
      </w:r>
    </w:p>
    <w:p>
      <w:pPr>
        <w:pStyle w:val="BodyText"/>
        <w:rPr>
          <w:rFonts w:ascii="Calibri"/>
          <w:sz w:val="20"/>
        </w:rPr>
      </w:pPr>
    </w:p>
    <w:p>
      <w:pPr>
        <w:pStyle w:val="BodyText"/>
        <w:spacing w:before="11"/>
        <w:rPr>
          <w:rFonts w:ascii="Calibri"/>
          <w:sz w:val="27"/>
        </w:rPr>
      </w:pPr>
    </w:p>
    <w:p>
      <w:pPr>
        <w:spacing w:after="0"/>
        <w:rPr>
          <w:rFonts w:ascii="Calibri"/>
          <w:sz w:val="27"/>
        </w:rPr>
        <w:sectPr>
          <w:footerReference w:type="default" r:id="rId190"/>
          <w:pgSz w:w="12240" w:h="15840"/>
          <w:pgMar w:footer="975" w:header="0" w:top="1360" w:bottom="1160" w:left="1500" w:right="1540"/>
          <w:pgNumType w:start="335"/>
        </w:sectPr>
      </w:pPr>
    </w:p>
    <w:p>
      <w:pPr>
        <w:pStyle w:val="Heading1"/>
        <w:numPr>
          <w:ilvl w:val="0"/>
          <w:numId w:val="69"/>
        </w:numPr>
        <w:tabs>
          <w:tab w:pos="392" w:val="left" w:leader="none"/>
          <w:tab w:pos="1350" w:val="left" w:leader="none"/>
        </w:tabs>
        <w:spacing w:line="240" w:lineRule="auto" w:before="51" w:after="0"/>
        <w:ind w:left="391" w:right="0" w:hanging="283"/>
        <w:jc w:val="left"/>
        <w:rPr>
          <w:rFonts w:ascii="Calibri"/>
        </w:rPr>
      </w:pPr>
      <w:r>
        <w:rPr>
          <w:rFonts w:ascii="Calibri"/>
        </w:rPr>
        <w:t>Edad</w:t>
      </w:r>
      <w:r>
        <w:rPr>
          <w:rFonts w:ascii="Calibri"/>
          <w:spacing w:val="1"/>
        </w:rPr>
        <w:t> </w:t>
      </w:r>
      <w:r>
        <w:rPr>
          <w:rFonts w:ascii="Calibri"/>
          <w:u w:val="single"/>
        </w:rPr>
        <w:t> </w:t>
        <w:tab/>
      </w:r>
    </w:p>
    <w:p>
      <w:pPr>
        <w:pStyle w:val="ListParagraph"/>
        <w:numPr>
          <w:ilvl w:val="0"/>
          <w:numId w:val="69"/>
        </w:numPr>
        <w:tabs>
          <w:tab w:pos="349" w:val="left" w:leader="none"/>
          <w:tab w:pos="2945" w:val="left" w:leader="none"/>
        </w:tabs>
        <w:spacing w:line="240" w:lineRule="auto" w:before="51" w:after="0"/>
        <w:ind w:left="348" w:right="0" w:hanging="240"/>
        <w:jc w:val="left"/>
        <w:rPr>
          <w:rFonts w:ascii="Calibri" w:hAnsi="Calibri"/>
          <w:sz w:val="24"/>
        </w:rPr>
      </w:pPr>
      <w:r>
        <w:rPr>
          <w:rFonts w:ascii="Calibri" w:hAnsi="Calibri"/>
          <w:b/>
          <w:sz w:val="24"/>
        </w:rPr>
        <w:br w:type="column"/>
        <w:t>Género</w:t>
      </w:r>
      <w:r>
        <w:rPr>
          <w:rFonts w:ascii="Calibri" w:hAnsi="Calibri"/>
          <w:sz w:val="24"/>
        </w:rPr>
        <w:t>:</w:t>
      </w:r>
      <w:r>
        <w:rPr>
          <w:rFonts w:ascii="Calibri" w:hAnsi="Calibri"/>
          <w:spacing w:val="-9"/>
          <w:sz w:val="24"/>
        </w:rPr>
        <w:t> </w:t>
      </w:r>
      <w:r>
        <w:rPr>
          <w:rFonts w:ascii="Calibri" w:hAnsi="Calibri"/>
          <w:sz w:val="24"/>
        </w:rPr>
        <w:t>Femenino</w:t>
      </w:r>
      <w:r>
        <w:rPr>
          <w:rFonts w:ascii="Calibri" w:hAnsi="Calibri"/>
          <w:sz w:val="24"/>
          <w:u w:val="single"/>
        </w:rPr>
        <w:t> </w:t>
        <w:tab/>
      </w:r>
    </w:p>
    <w:p>
      <w:pPr>
        <w:pStyle w:val="BodyText"/>
        <w:tabs>
          <w:tab w:pos="1931" w:val="left" w:leader="none"/>
        </w:tabs>
        <w:spacing w:before="51"/>
        <w:ind w:left="108"/>
        <w:rPr>
          <w:rFonts w:ascii="Calibri"/>
        </w:rPr>
      </w:pPr>
      <w:r>
        <w:rPr/>
        <w:br w:type="column"/>
      </w:r>
      <w:r>
        <w:rPr>
          <w:rFonts w:ascii="Calibri"/>
        </w:rPr>
        <w:t>Masculino</w:t>
      </w:r>
      <w:r>
        <w:rPr>
          <w:rFonts w:ascii="Calibri"/>
          <w:spacing w:val="-2"/>
        </w:rPr>
        <w:t> </w:t>
      </w:r>
      <w:r>
        <w:rPr>
          <w:rFonts w:ascii="Calibri"/>
          <w:u w:val="single"/>
        </w:rPr>
        <w:t> </w:t>
        <w:tab/>
      </w:r>
    </w:p>
    <w:p>
      <w:pPr>
        <w:spacing w:after="0"/>
        <w:rPr>
          <w:rFonts w:ascii="Calibri"/>
        </w:rPr>
        <w:sectPr>
          <w:type w:val="continuous"/>
          <w:pgSz w:w="12240" w:h="15840"/>
          <w:pgMar w:top="1500" w:bottom="1160" w:left="1500" w:right="1540"/>
          <w:cols w:num="3" w:equalWidth="0">
            <w:col w:w="1351" w:space="653"/>
            <w:col w:w="2946" w:space="223"/>
            <w:col w:w="4027"/>
          </w:cols>
        </w:sectPr>
      </w:pPr>
    </w:p>
    <w:p>
      <w:pPr>
        <w:pStyle w:val="BodyText"/>
        <w:rPr>
          <w:rFonts w:ascii="Calibri"/>
          <w:sz w:val="20"/>
        </w:rPr>
      </w:pPr>
    </w:p>
    <w:p>
      <w:pPr>
        <w:pStyle w:val="BodyText"/>
        <w:spacing w:before="10"/>
        <w:rPr>
          <w:rFonts w:ascii="Calibri"/>
          <w:sz w:val="29"/>
        </w:rPr>
      </w:pPr>
    </w:p>
    <w:p>
      <w:pPr>
        <w:pStyle w:val="Heading1"/>
        <w:numPr>
          <w:ilvl w:val="0"/>
          <w:numId w:val="69"/>
        </w:numPr>
        <w:tabs>
          <w:tab w:pos="536" w:val="left" w:leader="none"/>
        </w:tabs>
        <w:spacing w:line="240" w:lineRule="auto" w:before="52" w:after="0"/>
        <w:ind w:left="535" w:right="0" w:hanging="360"/>
        <w:jc w:val="left"/>
        <w:rPr>
          <w:rFonts w:ascii="Calibri"/>
        </w:rPr>
      </w:pPr>
      <w:r>
        <w:rPr>
          <w:rFonts w:ascii="Calibri"/>
        </w:rPr>
        <w:t>Nivel de</w:t>
      </w:r>
      <w:r>
        <w:rPr>
          <w:rFonts w:ascii="Calibri"/>
          <w:spacing w:val="-5"/>
        </w:rPr>
        <w:t> </w:t>
      </w:r>
      <w:r>
        <w:rPr>
          <w:rFonts w:ascii="Calibri"/>
        </w:rPr>
        <w:t>Estudios</w:t>
      </w:r>
    </w:p>
    <w:p>
      <w:pPr>
        <w:pStyle w:val="BodyText"/>
        <w:rPr>
          <w:rFonts w:ascii="Calibri"/>
          <w:b/>
          <w:sz w:val="20"/>
        </w:rPr>
      </w:pPr>
    </w:p>
    <w:p>
      <w:pPr>
        <w:pStyle w:val="BodyText"/>
        <w:spacing w:before="10"/>
        <w:rPr>
          <w:rFonts w:ascii="Calibri"/>
          <w:b/>
          <w:sz w:val="29"/>
        </w:rPr>
      </w:pPr>
    </w:p>
    <w:p>
      <w:pPr>
        <w:spacing w:after="0"/>
        <w:rPr>
          <w:rFonts w:ascii="Calibri"/>
          <w:sz w:val="29"/>
        </w:rPr>
        <w:sectPr>
          <w:type w:val="continuous"/>
          <w:pgSz w:w="12240" w:h="15840"/>
          <w:pgMar w:top="1500" w:bottom="1160" w:left="1500" w:right="1540"/>
        </w:sectPr>
      </w:pPr>
    </w:p>
    <w:p>
      <w:pPr>
        <w:pStyle w:val="ListParagraph"/>
        <w:numPr>
          <w:ilvl w:val="0"/>
          <w:numId w:val="70"/>
        </w:numPr>
        <w:tabs>
          <w:tab w:pos="351" w:val="left" w:leader="none"/>
          <w:tab w:pos="2390" w:val="left" w:leader="none"/>
        </w:tabs>
        <w:spacing w:line="240" w:lineRule="auto" w:before="51" w:after="0"/>
        <w:ind w:left="350" w:right="0" w:hanging="242"/>
        <w:jc w:val="left"/>
        <w:rPr>
          <w:rFonts w:ascii="Calibri"/>
          <w:sz w:val="24"/>
        </w:rPr>
      </w:pPr>
      <w:r>
        <w:rPr>
          <w:rFonts w:ascii="Calibri"/>
          <w:sz w:val="24"/>
        </w:rPr>
        <w:t>Preparatoria</w:t>
      </w:r>
      <w:r>
        <w:rPr>
          <w:rFonts w:ascii="Calibri"/>
          <w:spacing w:val="-11"/>
          <w:sz w:val="24"/>
        </w:rPr>
        <w:t> </w:t>
      </w:r>
      <w:r>
        <w:rPr>
          <w:rFonts w:ascii="Calibri"/>
          <w:sz w:val="24"/>
          <w:u w:val="single"/>
        </w:rPr>
        <w:t> </w:t>
        <w:tab/>
      </w:r>
    </w:p>
    <w:p>
      <w:pPr>
        <w:pStyle w:val="ListParagraph"/>
        <w:numPr>
          <w:ilvl w:val="0"/>
          <w:numId w:val="70"/>
        </w:numPr>
        <w:tabs>
          <w:tab w:pos="342" w:val="left" w:leader="none"/>
          <w:tab w:pos="2846" w:val="left" w:leader="none"/>
        </w:tabs>
        <w:spacing w:line="240" w:lineRule="auto" w:before="51" w:after="0"/>
        <w:ind w:left="341" w:right="0" w:hanging="233"/>
        <w:jc w:val="left"/>
        <w:rPr>
          <w:rFonts w:ascii="Calibri"/>
          <w:sz w:val="24"/>
        </w:rPr>
      </w:pPr>
      <w:r>
        <w:rPr>
          <w:rFonts w:ascii="Calibri"/>
          <w:spacing w:val="-1"/>
          <w:sz w:val="24"/>
        </w:rPr>
        <w:br w:type="column"/>
      </w:r>
      <w:r>
        <w:rPr>
          <w:rFonts w:ascii="Calibri"/>
          <w:sz w:val="24"/>
        </w:rPr>
        <w:t>Licenciatura</w:t>
      </w:r>
      <w:r>
        <w:rPr>
          <w:rFonts w:ascii="Calibri"/>
          <w:spacing w:val="-16"/>
          <w:sz w:val="24"/>
        </w:rPr>
        <w:t> </w:t>
      </w:r>
      <w:r>
        <w:rPr>
          <w:rFonts w:ascii="Calibri"/>
          <w:sz w:val="24"/>
        </w:rPr>
        <w:t>trunca</w:t>
      </w:r>
      <w:r>
        <w:rPr>
          <w:rFonts w:ascii="Calibri"/>
          <w:sz w:val="24"/>
          <w:u w:val="single"/>
        </w:rPr>
        <w:t> </w:t>
        <w:tab/>
      </w:r>
    </w:p>
    <w:p>
      <w:pPr>
        <w:pStyle w:val="ListParagraph"/>
        <w:numPr>
          <w:ilvl w:val="0"/>
          <w:numId w:val="70"/>
        </w:numPr>
        <w:tabs>
          <w:tab w:pos="339" w:val="left" w:leader="none"/>
          <w:tab w:pos="3345" w:val="left" w:leader="none"/>
        </w:tabs>
        <w:spacing w:line="240" w:lineRule="auto" w:before="51" w:after="0"/>
        <w:ind w:left="338" w:right="0" w:hanging="230"/>
        <w:jc w:val="left"/>
        <w:rPr>
          <w:rFonts w:ascii="Calibri"/>
          <w:sz w:val="24"/>
        </w:rPr>
      </w:pPr>
      <w:r>
        <w:rPr>
          <w:rFonts w:ascii="Calibri"/>
          <w:sz w:val="24"/>
        </w:rPr>
        <w:br w:type="column"/>
        <w:t>Pasante de</w:t>
      </w:r>
      <w:r>
        <w:rPr>
          <w:rFonts w:ascii="Calibri"/>
          <w:spacing w:val="-32"/>
          <w:sz w:val="24"/>
        </w:rPr>
        <w:t> </w:t>
      </w:r>
      <w:r>
        <w:rPr>
          <w:rFonts w:ascii="Calibri"/>
          <w:sz w:val="24"/>
        </w:rPr>
        <w:t>licenciatura</w:t>
      </w:r>
      <w:r>
        <w:rPr>
          <w:rFonts w:ascii="Calibri"/>
          <w:sz w:val="24"/>
          <w:u w:val="single"/>
        </w:rPr>
        <w:t> </w:t>
        <w:tab/>
      </w:r>
    </w:p>
    <w:p>
      <w:pPr>
        <w:spacing w:after="0" w:line="240" w:lineRule="auto"/>
        <w:jc w:val="left"/>
        <w:rPr>
          <w:rFonts w:ascii="Calibri"/>
          <w:sz w:val="24"/>
        </w:rPr>
        <w:sectPr>
          <w:type w:val="continuous"/>
          <w:pgSz w:w="12240" w:h="15840"/>
          <w:pgMar w:top="1500" w:bottom="1160" w:left="1500" w:right="1540"/>
          <w:cols w:num="3" w:equalWidth="0">
            <w:col w:w="2391" w:space="273"/>
            <w:col w:w="2847" w:space="233"/>
            <w:col w:w="3456"/>
          </w:cols>
        </w:sectPr>
      </w:pPr>
    </w:p>
    <w:p>
      <w:pPr>
        <w:pStyle w:val="BodyText"/>
        <w:spacing w:before="8"/>
        <w:rPr>
          <w:rFonts w:ascii="Calibri"/>
          <w:sz w:val="10"/>
        </w:rPr>
      </w:pPr>
    </w:p>
    <w:p>
      <w:pPr>
        <w:spacing w:after="0"/>
        <w:rPr>
          <w:rFonts w:ascii="Calibri"/>
          <w:sz w:val="10"/>
        </w:rPr>
        <w:sectPr>
          <w:type w:val="continuous"/>
          <w:pgSz w:w="12240" w:h="15840"/>
          <w:pgMar w:top="1500" w:bottom="1160" w:left="1500" w:right="1540"/>
        </w:sectPr>
      </w:pPr>
    </w:p>
    <w:p>
      <w:pPr>
        <w:pStyle w:val="ListParagraph"/>
        <w:numPr>
          <w:ilvl w:val="0"/>
          <w:numId w:val="70"/>
        </w:numPr>
        <w:tabs>
          <w:tab w:pos="372" w:val="left" w:leader="none"/>
          <w:tab w:pos="2318" w:val="left" w:leader="none"/>
        </w:tabs>
        <w:spacing w:line="240" w:lineRule="auto" w:before="52" w:after="0"/>
        <w:ind w:left="371" w:right="0" w:hanging="263"/>
        <w:jc w:val="left"/>
        <w:rPr>
          <w:rFonts w:ascii="Calibri"/>
          <w:sz w:val="24"/>
        </w:rPr>
      </w:pPr>
      <w:r>
        <w:rPr>
          <w:rFonts w:ascii="Calibri"/>
          <w:sz w:val="24"/>
        </w:rPr>
        <w:t>Licenciatura</w:t>
      </w:r>
      <w:r>
        <w:rPr>
          <w:rFonts w:ascii="Calibri"/>
          <w:sz w:val="24"/>
          <w:u w:val="single"/>
        </w:rPr>
        <w:t> </w:t>
        <w:tab/>
      </w:r>
    </w:p>
    <w:p>
      <w:pPr>
        <w:pStyle w:val="ListParagraph"/>
        <w:numPr>
          <w:ilvl w:val="0"/>
          <w:numId w:val="70"/>
        </w:numPr>
        <w:tabs>
          <w:tab w:pos="345" w:val="left" w:leader="none"/>
          <w:tab w:pos="1911" w:val="left" w:leader="none"/>
        </w:tabs>
        <w:spacing w:line="240" w:lineRule="auto" w:before="52" w:after="0"/>
        <w:ind w:left="344" w:right="0" w:hanging="236"/>
        <w:jc w:val="left"/>
        <w:rPr>
          <w:rFonts w:ascii="Calibri" w:hAnsi="Calibri"/>
          <w:sz w:val="24"/>
        </w:rPr>
      </w:pPr>
      <w:r>
        <w:rPr>
          <w:rFonts w:ascii="Calibri" w:hAnsi="Calibri"/>
          <w:sz w:val="24"/>
        </w:rPr>
        <w:br w:type="column"/>
        <w:t>Maestría</w:t>
      </w:r>
      <w:r>
        <w:rPr>
          <w:rFonts w:ascii="Calibri" w:hAnsi="Calibri"/>
          <w:spacing w:val="-2"/>
          <w:sz w:val="24"/>
        </w:rPr>
        <w:t> </w:t>
      </w:r>
      <w:r>
        <w:rPr>
          <w:rFonts w:ascii="Calibri" w:hAnsi="Calibri"/>
          <w:sz w:val="24"/>
          <w:u w:val="single"/>
        </w:rPr>
        <w:t> </w:t>
        <w:tab/>
      </w:r>
    </w:p>
    <w:p>
      <w:pPr>
        <w:pStyle w:val="ListParagraph"/>
        <w:numPr>
          <w:ilvl w:val="0"/>
          <w:numId w:val="70"/>
        </w:numPr>
        <w:tabs>
          <w:tab w:pos="334" w:val="left" w:leader="none"/>
          <w:tab w:pos="2013" w:val="left" w:leader="none"/>
        </w:tabs>
        <w:spacing w:line="240" w:lineRule="auto" w:before="52" w:after="0"/>
        <w:ind w:left="333" w:right="0" w:hanging="225"/>
        <w:jc w:val="left"/>
        <w:rPr>
          <w:rFonts w:ascii="Calibri"/>
          <w:sz w:val="24"/>
        </w:rPr>
      </w:pPr>
      <w:r>
        <w:rPr>
          <w:rFonts w:ascii="Calibri"/>
          <w:sz w:val="24"/>
        </w:rPr>
        <w:br w:type="column"/>
        <w:t>Doctorado</w:t>
      </w:r>
      <w:r>
        <w:rPr>
          <w:rFonts w:ascii="Calibri"/>
          <w:sz w:val="24"/>
          <w:u w:val="single"/>
        </w:rPr>
        <w:t> </w:t>
        <w:tab/>
      </w:r>
    </w:p>
    <w:p>
      <w:pPr>
        <w:spacing w:after="0" w:line="240" w:lineRule="auto"/>
        <w:jc w:val="left"/>
        <w:rPr>
          <w:rFonts w:ascii="Calibri"/>
          <w:sz w:val="24"/>
        </w:rPr>
        <w:sectPr>
          <w:type w:val="continuous"/>
          <w:pgSz w:w="12240" w:h="15840"/>
          <w:pgMar w:top="1500" w:bottom="1160" w:left="1500" w:right="1540"/>
          <w:cols w:num="3" w:equalWidth="0">
            <w:col w:w="2319" w:space="328"/>
            <w:col w:w="1912" w:space="494"/>
            <w:col w:w="4147"/>
          </w:cols>
        </w:sectPr>
      </w:pPr>
    </w:p>
    <w:p>
      <w:pPr>
        <w:pStyle w:val="BodyText"/>
        <w:spacing w:before="11"/>
        <w:rPr>
          <w:rFonts w:ascii="Calibri"/>
          <w:sz w:val="10"/>
        </w:rPr>
      </w:pPr>
    </w:p>
    <w:p>
      <w:pPr>
        <w:pStyle w:val="ListParagraph"/>
        <w:numPr>
          <w:ilvl w:val="0"/>
          <w:numId w:val="70"/>
        </w:numPr>
        <w:tabs>
          <w:tab w:pos="375" w:val="left" w:leader="none"/>
          <w:tab w:pos="5657" w:val="left" w:leader="none"/>
        </w:tabs>
        <w:spacing w:line="240" w:lineRule="auto" w:before="51" w:after="0"/>
        <w:ind w:left="374" w:right="0" w:hanging="266"/>
        <w:jc w:val="left"/>
        <w:rPr>
          <w:rFonts w:ascii="Calibri"/>
          <w:sz w:val="24"/>
        </w:rPr>
      </w:pPr>
      <w:r>
        <w:rPr>
          <w:rFonts w:ascii="Calibri"/>
          <w:sz w:val="24"/>
        </w:rPr>
        <w:t>Otro</w:t>
      </w:r>
      <w:r>
        <w:rPr>
          <w:rFonts w:ascii="Calibri"/>
          <w:sz w:val="24"/>
          <w:u w:val="single"/>
        </w:rPr>
        <w:t> </w:t>
        <w:tab/>
      </w:r>
    </w:p>
    <w:p>
      <w:pPr>
        <w:pStyle w:val="BodyText"/>
        <w:rPr>
          <w:rFonts w:ascii="Calibri"/>
          <w:sz w:val="20"/>
        </w:rPr>
      </w:pPr>
    </w:p>
    <w:p>
      <w:pPr>
        <w:pStyle w:val="BodyText"/>
        <w:spacing w:before="7"/>
        <w:rPr>
          <w:rFonts w:ascii="Calibri"/>
          <w:sz w:val="29"/>
        </w:rPr>
      </w:pPr>
    </w:p>
    <w:p>
      <w:pPr>
        <w:pStyle w:val="ListParagraph"/>
        <w:numPr>
          <w:ilvl w:val="0"/>
          <w:numId w:val="69"/>
        </w:numPr>
        <w:tabs>
          <w:tab w:pos="536" w:val="left" w:leader="none"/>
          <w:tab w:pos="6585" w:val="left" w:leader="none"/>
        </w:tabs>
        <w:spacing w:line="240" w:lineRule="auto" w:before="52" w:after="0"/>
        <w:ind w:left="535" w:right="0" w:hanging="360"/>
        <w:jc w:val="left"/>
        <w:rPr>
          <w:rFonts w:ascii="Calibri" w:hAnsi="Calibri"/>
          <w:sz w:val="24"/>
        </w:rPr>
      </w:pPr>
      <w:r>
        <w:rPr>
          <w:rFonts w:ascii="Calibri" w:hAnsi="Calibri"/>
          <w:sz w:val="24"/>
        </w:rPr>
        <w:t>¿Cuál es su ingreso</w:t>
      </w:r>
      <w:r>
        <w:rPr>
          <w:rFonts w:ascii="Calibri" w:hAnsi="Calibri"/>
          <w:spacing w:val="-11"/>
          <w:sz w:val="24"/>
        </w:rPr>
        <w:t> </w:t>
      </w:r>
      <w:r>
        <w:rPr>
          <w:rFonts w:ascii="Calibri" w:hAnsi="Calibri"/>
          <w:sz w:val="24"/>
        </w:rPr>
        <w:t>mensual? </w:t>
      </w:r>
      <w:r>
        <w:rPr>
          <w:rFonts w:ascii="Calibri" w:hAnsi="Calibri"/>
          <w:sz w:val="24"/>
          <w:u w:val="single"/>
        </w:rPr>
        <w:t> </w:t>
        <w:tab/>
      </w:r>
    </w:p>
    <w:p>
      <w:pPr>
        <w:pStyle w:val="ListParagraph"/>
        <w:numPr>
          <w:ilvl w:val="0"/>
          <w:numId w:val="69"/>
        </w:numPr>
        <w:tabs>
          <w:tab w:pos="536" w:val="left" w:leader="none"/>
          <w:tab w:pos="5536" w:val="left" w:leader="none"/>
        </w:tabs>
        <w:spacing w:line="240" w:lineRule="auto" w:before="24" w:after="0"/>
        <w:ind w:left="535" w:right="0" w:hanging="360"/>
        <w:jc w:val="left"/>
        <w:rPr>
          <w:rFonts w:ascii="Calibri" w:hAnsi="Calibri"/>
          <w:sz w:val="24"/>
        </w:rPr>
      </w:pPr>
      <w:r>
        <w:rPr>
          <w:rFonts w:ascii="Calibri" w:hAnsi="Calibri"/>
          <w:sz w:val="24"/>
        </w:rPr>
        <w:t>¿Qué antigüedad tiene en su</w:t>
      </w:r>
      <w:r>
        <w:rPr>
          <w:rFonts w:ascii="Calibri" w:hAnsi="Calibri"/>
          <w:spacing w:val="-16"/>
          <w:sz w:val="24"/>
        </w:rPr>
        <w:t> </w:t>
      </w:r>
      <w:r>
        <w:rPr>
          <w:rFonts w:ascii="Calibri" w:hAnsi="Calibri"/>
          <w:sz w:val="24"/>
        </w:rPr>
        <w:t>puesto?</w:t>
      </w:r>
      <w:r>
        <w:rPr>
          <w:rFonts w:ascii="Calibri" w:hAnsi="Calibri"/>
          <w:sz w:val="24"/>
          <w:u w:val="single"/>
        </w:rPr>
        <w:t> </w:t>
        <w:tab/>
      </w:r>
    </w:p>
    <w:p>
      <w:pPr>
        <w:pStyle w:val="ListParagraph"/>
        <w:numPr>
          <w:ilvl w:val="0"/>
          <w:numId w:val="69"/>
        </w:numPr>
        <w:tabs>
          <w:tab w:pos="536" w:val="left" w:leader="none"/>
          <w:tab w:pos="6275" w:val="left" w:leader="none"/>
        </w:tabs>
        <w:spacing w:line="240" w:lineRule="auto" w:before="24" w:after="0"/>
        <w:ind w:left="535" w:right="0" w:hanging="360"/>
        <w:jc w:val="left"/>
        <w:rPr>
          <w:rFonts w:ascii="Calibri" w:hAnsi="Calibri"/>
          <w:sz w:val="24"/>
        </w:rPr>
      </w:pPr>
      <w:r>
        <w:rPr>
          <w:rFonts w:ascii="Calibri" w:hAnsi="Calibri"/>
          <w:sz w:val="24"/>
        </w:rPr>
        <w:t>Número de personas que integran su área de</w:t>
      </w:r>
      <w:r>
        <w:rPr>
          <w:rFonts w:ascii="Calibri" w:hAnsi="Calibri"/>
          <w:spacing w:val="-20"/>
          <w:sz w:val="24"/>
        </w:rPr>
        <w:t> </w:t>
      </w:r>
      <w:r>
        <w:rPr>
          <w:rFonts w:ascii="Calibri" w:hAnsi="Calibri"/>
          <w:sz w:val="24"/>
        </w:rPr>
        <w:t>trabajo</w:t>
      </w:r>
      <w:r>
        <w:rPr>
          <w:rFonts w:ascii="Calibri" w:hAnsi="Calibri"/>
          <w:spacing w:val="1"/>
          <w:sz w:val="24"/>
        </w:rPr>
        <w:t> </w:t>
      </w:r>
      <w:r>
        <w:rPr>
          <w:rFonts w:ascii="Calibri" w:hAnsi="Calibri"/>
          <w:sz w:val="24"/>
          <w:u w:val="single"/>
        </w:rPr>
        <w:t> </w:t>
        <w:tab/>
      </w:r>
    </w:p>
    <w:p>
      <w:pPr>
        <w:pStyle w:val="ListParagraph"/>
        <w:numPr>
          <w:ilvl w:val="0"/>
          <w:numId w:val="69"/>
        </w:numPr>
        <w:tabs>
          <w:tab w:pos="536" w:val="left" w:leader="none"/>
          <w:tab w:pos="8282" w:val="left" w:leader="none"/>
        </w:tabs>
        <w:spacing w:line="240" w:lineRule="auto" w:before="24" w:after="0"/>
        <w:ind w:left="535" w:right="0" w:hanging="360"/>
        <w:jc w:val="left"/>
        <w:rPr>
          <w:rFonts w:ascii="Calibri" w:hAnsi="Calibri"/>
          <w:sz w:val="24"/>
        </w:rPr>
      </w:pPr>
      <w:r>
        <w:rPr>
          <w:rFonts w:ascii="Calibri" w:hAnsi="Calibri"/>
          <w:sz w:val="24"/>
        </w:rPr>
        <w:t>Número de equipos de cómputo con los que cuenta en su área de</w:t>
      </w:r>
      <w:r>
        <w:rPr>
          <w:rFonts w:ascii="Calibri" w:hAnsi="Calibri"/>
          <w:spacing w:val="-33"/>
          <w:sz w:val="24"/>
        </w:rPr>
        <w:t> </w:t>
      </w:r>
      <w:r>
        <w:rPr>
          <w:rFonts w:ascii="Calibri" w:hAnsi="Calibri"/>
          <w:sz w:val="24"/>
        </w:rPr>
        <w:t>trabajo</w:t>
      </w:r>
      <w:r>
        <w:rPr>
          <w:rFonts w:ascii="Calibri" w:hAnsi="Calibri"/>
          <w:spacing w:val="-1"/>
          <w:sz w:val="24"/>
        </w:rPr>
        <w:t> </w:t>
      </w:r>
      <w:r>
        <w:rPr>
          <w:rFonts w:ascii="Calibri" w:hAnsi="Calibri"/>
          <w:sz w:val="24"/>
          <w:u w:val="single"/>
        </w:rPr>
        <w:t> </w:t>
        <w:tab/>
      </w:r>
    </w:p>
    <w:p>
      <w:pPr>
        <w:pStyle w:val="BodyText"/>
        <w:spacing w:before="2"/>
        <w:rPr>
          <w:rFonts w:ascii="Calibri"/>
          <w:sz w:val="15"/>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367"/>
        <w:gridCol w:w="711"/>
        <w:gridCol w:w="751"/>
      </w:tblGrid>
      <w:tr>
        <w:trPr>
          <w:trHeight w:val="302" w:hRule="exact"/>
        </w:trPr>
        <w:tc>
          <w:tcPr>
            <w:tcW w:w="7367" w:type="dxa"/>
            <w:shd w:val="clear" w:color="auto" w:fill="92D050"/>
          </w:tcPr>
          <w:p>
            <w:pPr>
              <w:pStyle w:val="TableParagraph"/>
              <w:spacing w:line="292" w:lineRule="exact"/>
              <w:ind w:left="2520" w:right="2521"/>
              <w:rPr>
                <w:rFonts w:ascii="Calibri" w:hAnsi="Calibri"/>
                <w:b/>
                <w:sz w:val="24"/>
              </w:rPr>
            </w:pPr>
            <w:r>
              <w:rPr>
                <w:rFonts w:ascii="Calibri" w:hAnsi="Calibri"/>
                <w:b/>
                <w:sz w:val="24"/>
              </w:rPr>
              <w:t>En su área de trabajo…</w:t>
            </w:r>
          </w:p>
        </w:tc>
        <w:tc>
          <w:tcPr>
            <w:tcW w:w="711" w:type="dxa"/>
            <w:shd w:val="clear" w:color="auto" w:fill="92D050"/>
          </w:tcPr>
          <w:p>
            <w:pPr>
              <w:pStyle w:val="TableParagraph"/>
              <w:spacing w:line="292" w:lineRule="exact"/>
              <w:ind w:left="242" w:right="247"/>
              <w:rPr>
                <w:rFonts w:ascii="Calibri"/>
                <w:b/>
                <w:sz w:val="24"/>
              </w:rPr>
            </w:pPr>
            <w:r>
              <w:rPr>
                <w:rFonts w:ascii="Calibri"/>
                <w:b/>
                <w:sz w:val="24"/>
              </w:rPr>
              <w:t>Si</w:t>
            </w:r>
          </w:p>
        </w:tc>
        <w:tc>
          <w:tcPr>
            <w:tcW w:w="751" w:type="dxa"/>
            <w:shd w:val="clear" w:color="auto" w:fill="92D050"/>
          </w:tcPr>
          <w:p>
            <w:pPr>
              <w:pStyle w:val="TableParagraph"/>
              <w:spacing w:line="292" w:lineRule="exact"/>
              <w:ind w:left="227"/>
              <w:jc w:val="left"/>
              <w:rPr>
                <w:rFonts w:ascii="Calibri"/>
                <w:b/>
                <w:sz w:val="24"/>
              </w:rPr>
            </w:pPr>
            <w:r>
              <w:rPr>
                <w:rFonts w:ascii="Calibri"/>
                <w:b/>
                <w:sz w:val="24"/>
              </w:rPr>
              <w:t>No</w:t>
            </w:r>
          </w:p>
        </w:tc>
      </w:tr>
      <w:tr>
        <w:trPr>
          <w:trHeight w:val="305" w:hRule="exact"/>
        </w:trPr>
        <w:tc>
          <w:tcPr>
            <w:tcW w:w="7367" w:type="dxa"/>
          </w:tcPr>
          <w:p>
            <w:pPr>
              <w:pStyle w:val="TableParagraph"/>
              <w:spacing w:line="292" w:lineRule="exact"/>
              <w:ind w:left="196"/>
              <w:jc w:val="left"/>
              <w:rPr>
                <w:rFonts w:ascii="Calibri" w:hAnsi="Calibri"/>
                <w:sz w:val="24"/>
              </w:rPr>
            </w:pPr>
            <w:r>
              <w:rPr>
                <w:rFonts w:ascii="Calibri" w:hAnsi="Calibri"/>
                <w:sz w:val="24"/>
              </w:rPr>
              <w:t>8.   Además de la transparencia, ¿tiene otras funciones encomendadas?</w:t>
            </w:r>
          </w:p>
        </w:tc>
        <w:tc>
          <w:tcPr>
            <w:tcW w:w="711" w:type="dxa"/>
          </w:tcPr>
          <w:p>
            <w:pPr/>
          </w:p>
        </w:tc>
        <w:tc>
          <w:tcPr>
            <w:tcW w:w="751" w:type="dxa"/>
          </w:tcPr>
          <w:p>
            <w:pPr/>
          </w:p>
        </w:tc>
      </w:tr>
      <w:tr>
        <w:trPr>
          <w:trHeight w:val="302" w:hRule="exact"/>
        </w:trPr>
        <w:tc>
          <w:tcPr>
            <w:tcW w:w="7367" w:type="dxa"/>
          </w:tcPr>
          <w:p>
            <w:pPr>
              <w:pStyle w:val="TableParagraph"/>
              <w:spacing w:line="292" w:lineRule="exact"/>
              <w:ind w:left="196"/>
              <w:jc w:val="left"/>
              <w:rPr>
                <w:rFonts w:ascii="Calibri" w:hAnsi="Calibri"/>
                <w:sz w:val="24"/>
              </w:rPr>
            </w:pPr>
            <w:r>
              <w:rPr>
                <w:rFonts w:ascii="Calibri" w:hAnsi="Calibri"/>
                <w:sz w:val="24"/>
              </w:rPr>
              <w:t>9.   Antes de ocupar su puesto ¿Trabajaba en la Administración Pública?</w:t>
            </w:r>
          </w:p>
        </w:tc>
        <w:tc>
          <w:tcPr>
            <w:tcW w:w="711" w:type="dxa"/>
          </w:tcPr>
          <w:p>
            <w:pPr/>
          </w:p>
        </w:tc>
        <w:tc>
          <w:tcPr>
            <w:tcW w:w="751" w:type="dxa"/>
          </w:tcPr>
          <w:p>
            <w:pPr/>
          </w:p>
        </w:tc>
      </w:tr>
      <w:tr>
        <w:trPr>
          <w:trHeight w:val="302" w:hRule="exact"/>
        </w:trPr>
        <w:tc>
          <w:tcPr>
            <w:tcW w:w="7367" w:type="dxa"/>
          </w:tcPr>
          <w:p>
            <w:pPr>
              <w:pStyle w:val="TableParagraph"/>
              <w:spacing w:line="292" w:lineRule="exact"/>
              <w:ind w:left="196"/>
              <w:jc w:val="left"/>
              <w:rPr>
                <w:rFonts w:ascii="Calibri"/>
                <w:sz w:val="24"/>
              </w:rPr>
            </w:pPr>
            <w:r>
              <w:rPr>
                <w:rFonts w:ascii="Calibri"/>
                <w:sz w:val="24"/>
              </w:rPr>
              <w:t>10. Cuenta con scanner para desarrollar sus actividades.</w:t>
            </w:r>
          </w:p>
        </w:tc>
        <w:tc>
          <w:tcPr>
            <w:tcW w:w="711" w:type="dxa"/>
          </w:tcPr>
          <w:p>
            <w:pPr/>
          </w:p>
        </w:tc>
        <w:tc>
          <w:tcPr>
            <w:tcW w:w="751" w:type="dxa"/>
          </w:tcPr>
          <w:p>
            <w:pPr/>
          </w:p>
        </w:tc>
      </w:tr>
      <w:tr>
        <w:trPr>
          <w:trHeight w:val="302" w:hRule="exact"/>
        </w:trPr>
        <w:tc>
          <w:tcPr>
            <w:tcW w:w="7367" w:type="dxa"/>
          </w:tcPr>
          <w:p>
            <w:pPr>
              <w:pStyle w:val="TableParagraph"/>
              <w:spacing w:line="292" w:lineRule="exact"/>
              <w:ind w:left="196"/>
              <w:jc w:val="left"/>
              <w:rPr>
                <w:rFonts w:ascii="Calibri"/>
                <w:sz w:val="24"/>
              </w:rPr>
            </w:pPr>
            <w:r>
              <w:rPr>
                <w:rFonts w:ascii="Calibri"/>
                <w:sz w:val="24"/>
              </w:rPr>
              <w:t>11. Tiene acceso a internet para desarrollar sus actividades.</w:t>
            </w:r>
          </w:p>
        </w:tc>
        <w:tc>
          <w:tcPr>
            <w:tcW w:w="711" w:type="dxa"/>
          </w:tcPr>
          <w:p>
            <w:pPr/>
          </w:p>
        </w:tc>
        <w:tc>
          <w:tcPr>
            <w:tcW w:w="751" w:type="dxa"/>
          </w:tcPr>
          <w:p>
            <w:pPr/>
          </w:p>
        </w:tc>
      </w:tr>
      <w:tr>
        <w:trPr>
          <w:trHeight w:val="302" w:hRule="exact"/>
        </w:trPr>
        <w:tc>
          <w:tcPr>
            <w:tcW w:w="7367" w:type="dxa"/>
          </w:tcPr>
          <w:p>
            <w:pPr>
              <w:pStyle w:val="TableParagraph"/>
              <w:spacing w:line="292" w:lineRule="exact"/>
              <w:ind w:left="196"/>
              <w:jc w:val="left"/>
              <w:rPr>
                <w:rFonts w:ascii="Calibri" w:hAnsi="Calibri"/>
                <w:sz w:val="24"/>
              </w:rPr>
            </w:pPr>
            <w:r>
              <w:rPr>
                <w:rFonts w:ascii="Calibri" w:hAnsi="Calibri"/>
                <w:sz w:val="24"/>
              </w:rPr>
              <w:t>12. Cuenta con bases de datos de información de su municipio.</w:t>
            </w:r>
          </w:p>
        </w:tc>
        <w:tc>
          <w:tcPr>
            <w:tcW w:w="711" w:type="dxa"/>
          </w:tcPr>
          <w:p>
            <w:pPr/>
          </w:p>
        </w:tc>
        <w:tc>
          <w:tcPr>
            <w:tcW w:w="751" w:type="dxa"/>
          </w:tcPr>
          <w:p>
            <w:pPr/>
          </w:p>
        </w:tc>
      </w:tr>
      <w:tr>
        <w:trPr>
          <w:trHeight w:val="305" w:hRule="exact"/>
        </w:trPr>
        <w:tc>
          <w:tcPr>
            <w:tcW w:w="7367" w:type="dxa"/>
          </w:tcPr>
          <w:p>
            <w:pPr>
              <w:pStyle w:val="TableParagraph"/>
              <w:spacing w:before="2"/>
              <w:ind w:left="196"/>
              <w:jc w:val="left"/>
              <w:rPr>
                <w:rFonts w:ascii="Calibri" w:hAnsi="Calibri"/>
                <w:sz w:val="24"/>
              </w:rPr>
            </w:pPr>
            <w:r>
              <w:rPr>
                <w:rFonts w:ascii="Calibri" w:hAnsi="Calibri"/>
                <w:sz w:val="24"/>
              </w:rPr>
              <w:t>13. Hay programas para procesar información en su municipio.</w:t>
            </w:r>
          </w:p>
        </w:tc>
        <w:tc>
          <w:tcPr>
            <w:tcW w:w="711" w:type="dxa"/>
          </w:tcPr>
          <w:p>
            <w:pPr/>
          </w:p>
        </w:tc>
        <w:tc>
          <w:tcPr>
            <w:tcW w:w="751" w:type="dxa"/>
          </w:tcPr>
          <w:p>
            <w:pPr/>
          </w:p>
        </w:tc>
      </w:tr>
      <w:tr>
        <w:trPr>
          <w:trHeight w:val="302" w:hRule="exact"/>
        </w:trPr>
        <w:tc>
          <w:tcPr>
            <w:tcW w:w="7367" w:type="dxa"/>
          </w:tcPr>
          <w:p>
            <w:pPr>
              <w:pStyle w:val="TableParagraph"/>
              <w:spacing w:line="292" w:lineRule="exact"/>
              <w:ind w:left="196"/>
              <w:jc w:val="left"/>
              <w:rPr>
                <w:rFonts w:ascii="Calibri" w:hAnsi="Calibri"/>
                <w:sz w:val="24"/>
              </w:rPr>
            </w:pPr>
            <w:r>
              <w:rPr>
                <w:rFonts w:ascii="Calibri" w:hAnsi="Calibri"/>
                <w:sz w:val="24"/>
              </w:rPr>
              <w:t>14. Tiene información histórica que solicita la Ley de Transparencia.</w:t>
            </w:r>
          </w:p>
        </w:tc>
        <w:tc>
          <w:tcPr>
            <w:tcW w:w="711" w:type="dxa"/>
          </w:tcPr>
          <w:p>
            <w:pPr/>
          </w:p>
        </w:tc>
        <w:tc>
          <w:tcPr>
            <w:tcW w:w="751" w:type="dxa"/>
          </w:tcPr>
          <w:p>
            <w:pPr/>
          </w:p>
        </w:tc>
      </w:tr>
    </w:tbl>
    <w:p>
      <w:pPr>
        <w:spacing w:after="0"/>
        <w:sectPr>
          <w:type w:val="continuous"/>
          <w:pgSz w:w="12240" w:h="15840"/>
          <w:pgMar w:top="1500" w:bottom="1160" w:left="1500" w:right="1540"/>
        </w:sectPr>
      </w:pPr>
    </w:p>
    <w:p>
      <w:pPr>
        <w:pStyle w:val="Heading1"/>
        <w:spacing w:before="33"/>
        <w:ind w:left="108" w:firstLine="0"/>
        <w:jc w:val="left"/>
        <w:rPr>
          <w:rFonts w:ascii="Calibri" w:hAnsi="Calibri"/>
        </w:rPr>
      </w:pPr>
      <w:r>
        <w:rPr>
          <w:rFonts w:ascii="Calibri" w:hAnsi="Calibri"/>
        </w:rPr>
        <w:t>De acuerdo a su apreciación conteste las siguientes preguntas.</w:t>
      </w:r>
    </w:p>
    <w:p>
      <w:pPr>
        <w:pStyle w:val="BodyText"/>
        <w:spacing w:before="4" w:after="1"/>
        <w:rPr>
          <w:rFonts w:ascii="Calibri"/>
          <w:b/>
          <w:sz w:val="15"/>
        </w:rPr>
      </w:pPr>
    </w:p>
    <w:tbl>
      <w:tblPr>
        <w:tblW w:w="0" w:type="auto"/>
        <w:jc w:val="left"/>
        <w:tblInd w:w="1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9"/>
        <w:gridCol w:w="6085"/>
        <w:gridCol w:w="564"/>
        <w:gridCol w:w="567"/>
        <w:gridCol w:w="523"/>
        <w:gridCol w:w="521"/>
      </w:tblGrid>
      <w:tr>
        <w:trPr>
          <w:trHeight w:val="1872" w:hRule="exact"/>
        </w:trPr>
        <w:tc>
          <w:tcPr>
            <w:tcW w:w="569" w:type="dxa"/>
            <w:shd w:val="clear" w:color="auto" w:fill="92D050"/>
          </w:tcPr>
          <w:p>
            <w:pPr>
              <w:pStyle w:val="TableParagraph"/>
              <w:jc w:val="left"/>
              <w:rPr>
                <w:rFonts w:ascii="Calibri"/>
                <w:b/>
                <w:sz w:val="24"/>
              </w:rPr>
            </w:pPr>
          </w:p>
          <w:p>
            <w:pPr>
              <w:pStyle w:val="TableParagraph"/>
              <w:jc w:val="left"/>
              <w:rPr>
                <w:rFonts w:ascii="Calibri"/>
                <w:b/>
                <w:sz w:val="24"/>
              </w:rPr>
            </w:pPr>
          </w:p>
          <w:p>
            <w:pPr>
              <w:pStyle w:val="TableParagraph"/>
              <w:spacing w:before="11"/>
              <w:jc w:val="left"/>
              <w:rPr>
                <w:rFonts w:ascii="Calibri"/>
                <w:b/>
                <w:sz w:val="23"/>
              </w:rPr>
            </w:pPr>
          </w:p>
          <w:p>
            <w:pPr>
              <w:pStyle w:val="TableParagraph"/>
              <w:ind w:left="103"/>
              <w:jc w:val="left"/>
              <w:rPr>
                <w:rFonts w:ascii="Calibri"/>
                <w:b/>
                <w:sz w:val="24"/>
              </w:rPr>
            </w:pPr>
            <w:r>
              <w:rPr>
                <w:rFonts w:ascii="Calibri"/>
                <w:b/>
                <w:sz w:val="24"/>
              </w:rPr>
              <w:t>No.</w:t>
            </w:r>
          </w:p>
        </w:tc>
        <w:tc>
          <w:tcPr>
            <w:tcW w:w="6085" w:type="dxa"/>
            <w:shd w:val="clear" w:color="auto" w:fill="92D050"/>
          </w:tcPr>
          <w:p>
            <w:pPr>
              <w:pStyle w:val="TableParagraph"/>
              <w:jc w:val="left"/>
              <w:rPr>
                <w:rFonts w:ascii="Calibri"/>
                <w:b/>
                <w:sz w:val="24"/>
              </w:rPr>
            </w:pPr>
          </w:p>
          <w:p>
            <w:pPr>
              <w:pStyle w:val="TableParagraph"/>
              <w:jc w:val="left"/>
              <w:rPr>
                <w:rFonts w:ascii="Calibri"/>
                <w:b/>
                <w:sz w:val="24"/>
              </w:rPr>
            </w:pPr>
          </w:p>
          <w:p>
            <w:pPr>
              <w:pStyle w:val="TableParagraph"/>
              <w:spacing w:before="11"/>
              <w:jc w:val="left"/>
              <w:rPr>
                <w:rFonts w:ascii="Calibri"/>
                <w:b/>
                <w:sz w:val="23"/>
              </w:rPr>
            </w:pPr>
          </w:p>
          <w:p>
            <w:pPr>
              <w:pStyle w:val="TableParagraph"/>
              <w:ind w:left="2190" w:right="2189"/>
              <w:rPr>
                <w:rFonts w:ascii="Calibri" w:hAnsi="Calibri"/>
                <w:b/>
                <w:sz w:val="24"/>
              </w:rPr>
            </w:pPr>
            <w:r>
              <w:rPr>
                <w:rFonts w:ascii="Calibri" w:hAnsi="Calibri"/>
                <w:b/>
                <w:sz w:val="24"/>
              </w:rPr>
              <w:t>En qué medida…</w:t>
            </w:r>
          </w:p>
        </w:tc>
        <w:tc>
          <w:tcPr>
            <w:tcW w:w="564" w:type="dxa"/>
            <w:shd w:val="clear" w:color="auto" w:fill="92D050"/>
            <w:textDirection w:val="btLr"/>
          </w:tcPr>
          <w:p>
            <w:pPr>
              <w:pStyle w:val="TableParagraph"/>
              <w:spacing w:before="105"/>
              <w:ind w:left="112"/>
              <w:jc w:val="left"/>
              <w:rPr>
                <w:rFonts w:ascii="Calibri"/>
                <w:b/>
                <w:sz w:val="24"/>
              </w:rPr>
            </w:pPr>
            <w:r>
              <w:rPr>
                <w:rFonts w:ascii="Calibri"/>
                <w:b/>
                <w:sz w:val="24"/>
              </w:rPr>
              <w:t>N</w:t>
            </w:r>
            <w:r>
              <w:rPr>
                <w:rFonts w:ascii="Calibri"/>
                <w:b/>
                <w:spacing w:val="-1"/>
                <w:sz w:val="24"/>
              </w:rPr>
              <w:t>a</w:t>
            </w:r>
            <w:r>
              <w:rPr>
                <w:rFonts w:ascii="Calibri"/>
                <w:b/>
                <w:sz w:val="24"/>
              </w:rPr>
              <w:t>da</w:t>
            </w:r>
          </w:p>
        </w:tc>
        <w:tc>
          <w:tcPr>
            <w:tcW w:w="567" w:type="dxa"/>
            <w:shd w:val="clear" w:color="auto" w:fill="92D050"/>
            <w:textDirection w:val="btLr"/>
          </w:tcPr>
          <w:p>
            <w:pPr>
              <w:pStyle w:val="TableParagraph"/>
              <w:spacing w:before="107"/>
              <w:ind w:left="112"/>
              <w:jc w:val="left"/>
              <w:rPr>
                <w:rFonts w:ascii="Calibri"/>
                <w:b/>
                <w:sz w:val="24"/>
              </w:rPr>
            </w:pPr>
            <w:r>
              <w:rPr>
                <w:rFonts w:ascii="Calibri"/>
                <w:b/>
                <w:spacing w:val="-1"/>
                <w:sz w:val="24"/>
              </w:rPr>
              <w:t>L</w:t>
            </w:r>
            <w:r>
              <w:rPr>
                <w:rFonts w:ascii="Calibri"/>
                <w:b/>
                <w:sz w:val="24"/>
              </w:rPr>
              <w:t>o</w:t>
            </w:r>
            <w:r>
              <w:rPr>
                <w:rFonts w:ascii="Calibri"/>
                <w:b/>
                <w:spacing w:val="1"/>
                <w:sz w:val="24"/>
              </w:rPr>
              <w:t> </w:t>
            </w:r>
            <w:r>
              <w:rPr>
                <w:rFonts w:ascii="Calibri"/>
                <w:b/>
                <w:sz w:val="24"/>
              </w:rPr>
              <w:t>n</w:t>
            </w:r>
            <w:r>
              <w:rPr>
                <w:rFonts w:ascii="Calibri"/>
                <w:b/>
                <w:spacing w:val="-1"/>
                <w:sz w:val="24"/>
              </w:rPr>
              <w:t>ecesa</w:t>
            </w:r>
            <w:r>
              <w:rPr>
                <w:rFonts w:ascii="Calibri"/>
                <w:b/>
                <w:sz w:val="24"/>
              </w:rPr>
              <w:t>rio</w:t>
            </w:r>
          </w:p>
        </w:tc>
        <w:tc>
          <w:tcPr>
            <w:tcW w:w="523" w:type="dxa"/>
            <w:shd w:val="clear" w:color="auto" w:fill="92D050"/>
            <w:textDirection w:val="btLr"/>
          </w:tcPr>
          <w:p>
            <w:pPr>
              <w:pStyle w:val="TableParagraph"/>
              <w:spacing w:before="105"/>
              <w:ind w:left="112"/>
              <w:jc w:val="left"/>
              <w:rPr>
                <w:rFonts w:ascii="Calibri"/>
                <w:b/>
                <w:sz w:val="24"/>
              </w:rPr>
            </w:pPr>
            <w:r>
              <w:rPr>
                <w:rFonts w:ascii="Calibri"/>
                <w:b/>
                <w:spacing w:val="-1"/>
                <w:sz w:val="24"/>
              </w:rPr>
              <w:t>L</w:t>
            </w:r>
            <w:r>
              <w:rPr>
                <w:rFonts w:ascii="Calibri"/>
                <w:b/>
                <w:sz w:val="24"/>
              </w:rPr>
              <w:t>o</w:t>
            </w:r>
            <w:r>
              <w:rPr>
                <w:rFonts w:ascii="Calibri"/>
                <w:b/>
                <w:spacing w:val="1"/>
                <w:sz w:val="24"/>
              </w:rPr>
              <w:t> </w:t>
            </w:r>
            <w:r>
              <w:rPr>
                <w:rFonts w:ascii="Calibri"/>
                <w:b/>
                <w:sz w:val="24"/>
              </w:rPr>
              <w:t>su</w:t>
            </w:r>
            <w:r>
              <w:rPr>
                <w:rFonts w:ascii="Calibri"/>
                <w:b/>
                <w:spacing w:val="-2"/>
                <w:sz w:val="24"/>
              </w:rPr>
              <w:t>f</w:t>
            </w:r>
            <w:r>
              <w:rPr>
                <w:rFonts w:ascii="Calibri"/>
                <w:b/>
                <w:sz w:val="24"/>
              </w:rPr>
              <w:t>i</w:t>
            </w:r>
            <w:r>
              <w:rPr>
                <w:rFonts w:ascii="Calibri"/>
                <w:b/>
                <w:spacing w:val="-1"/>
                <w:sz w:val="24"/>
              </w:rPr>
              <w:t>c</w:t>
            </w:r>
            <w:r>
              <w:rPr>
                <w:rFonts w:ascii="Calibri"/>
                <w:b/>
                <w:spacing w:val="1"/>
                <w:sz w:val="24"/>
              </w:rPr>
              <w:t>i</w:t>
            </w:r>
            <w:r>
              <w:rPr>
                <w:rFonts w:ascii="Calibri"/>
                <w:b/>
                <w:spacing w:val="-1"/>
                <w:sz w:val="24"/>
              </w:rPr>
              <w:t>e</w:t>
            </w:r>
            <w:r>
              <w:rPr>
                <w:rFonts w:ascii="Calibri"/>
                <w:b/>
                <w:sz w:val="24"/>
              </w:rPr>
              <w:t>nte</w:t>
            </w:r>
          </w:p>
        </w:tc>
        <w:tc>
          <w:tcPr>
            <w:tcW w:w="521" w:type="dxa"/>
            <w:shd w:val="clear" w:color="auto" w:fill="92D050"/>
            <w:textDirection w:val="btLr"/>
          </w:tcPr>
          <w:p>
            <w:pPr>
              <w:pStyle w:val="TableParagraph"/>
              <w:spacing w:before="105"/>
              <w:ind w:left="112"/>
              <w:jc w:val="left"/>
              <w:rPr>
                <w:rFonts w:ascii="Calibri"/>
                <w:b/>
                <w:sz w:val="24"/>
              </w:rPr>
            </w:pPr>
            <w:r>
              <w:rPr>
                <w:rFonts w:ascii="Calibri"/>
                <w:b/>
                <w:spacing w:val="-1"/>
                <w:sz w:val="24"/>
              </w:rPr>
              <w:t>C</w:t>
            </w:r>
            <w:r>
              <w:rPr>
                <w:rFonts w:ascii="Calibri"/>
                <w:b/>
                <w:sz w:val="24"/>
              </w:rPr>
              <w:t>o</w:t>
            </w:r>
            <w:r>
              <w:rPr>
                <w:rFonts w:ascii="Calibri"/>
                <w:b/>
                <w:spacing w:val="-1"/>
                <w:sz w:val="24"/>
              </w:rPr>
              <w:t>m</w:t>
            </w:r>
            <w:r>
              <w:rPr>
                <w:rFonts w:ascii="Calibri"/>
                <w:b/>
                <w:sz w:val="24"/>
              </w:rPr>
              <w:t>pl</w:t>
            </w:r>
            <w:r>
              <w:rPr>
                <w:rFonts w:ascii="Calibri"/>
                <w:b/>
                <w:spacing w:val="-1"/>
                <w:sz w:val="24"/>
              </w:rPr>
              <w:t>e</w:t>
            </w:r>
            <w:r>
              <w:rPr>
                <w:rFonts w:ascii="Calibri"/>
                <w:b/>
                <w:sz w:val="24"/>
              </w:rPr>
              <w:t>ta</w:t>
            </w:r>
            <w:r>
              <w:rPr>
                <w:rFonts w:ascii="Calibri"/>
                <w:b/>
                <w:spacing w:val="-2"/>
                <w:sz w:val="24"/>
              </w:rPr>
              <w:t>m</w:t>
            </w:r>
            <w:r>
              <w:rPr>
                <w:rFonts w:ascii="Calibri"/>
                <w:b/>
                <w:spacing w:val="-1"/>
                <w:sz w:val="24"/>
              </w:rPr>
              <w:t>e</w:t>
            </w:r>
            <w:r>
              <w:rPr>
                <w:rFonts w:ascii="Calibri"/>
                <w:b/>
                <w:sz w:val="24"/>
              </w:rPr>
              <w:t>nte</w:t>
            </w:r>
          </w:p>
        </w:tc>
      </w:tr>
      <w:tr>
        <w:trPr>
          <w:trHeight w:val="598" w:hRule="exact"/>
        </w:trPr>
        <w:tc>
          <w:tcPr>
            <w:tcW w:w="569" w:type="dxa"/>
          </w:tcPr>
          <w:p>
            <w:pPr>
              <w:pStyle w:val="TableParagraph"/>
              <w:spacing w:line="292" w:lineRule="exact"/>
              <w:ind w:left="103"/>
              <w:jc w:val="left"/>
              <w:rPr>
                <w:rFonts w:ascii="Calibri"/>
                <w:sz w:val="24"/>
              </w:rPr>
            </w:pPr>
            <w:r>
              <w:rPr>
                <w:rFonts w:ascii="Calibri"/>
                <w:sz w:val="24"/>
              </w:rPr>
              <w:t>15</w:t>
            </w:r>
          </w:p>
        </w:tc>
        <w:tc>
          <w:tcPr>
            <w:tcW w:w="6085" w:type="dxa"/>
          </w:tcPr>
          <w:p>
            <w:pPr>
              <w:pStyle w:val="TableParagraph"/>
              <w:ind w:left="103" w:right="103"/>
              <w:jc w:val="left"/>
              <w:rPr>
                <w:rFonts w:ascii="Calibri" w:hAnsi="Calibri"/>
                <w:sz w:val="24"/>
              </w:rPr>
            </w:pPr>
            <w:r>
              <w:rPr>
                <w:rFonts w:ascii="Calibri" w:hAnsi="Calibri"/>
                <w:sz w:val="24"/>
              </w:rPr>
              <w:t>Usted conoce la Ley de Transparencia del Estado de México y Municipios.</w:t>
            </w:r>
          </w:p>
        </w:tc>
        <w:tc>
          <w:tcPr>
            <w:tcW w:w="564" w:type="dxa"/>
          </w:tcPr>
          <w:p>
            <w:pPr/>
          </w:p>
        </w:tc>
        <w:tc>
          <w:tcPr>
            <w:tcW w:w="567" w:type="dxa"/>
          </w:tcPr>
          <w:p>
            <w:pPr/>
          </w:p>
        </w:tc>
        <w:tc>
          <w:tcPr>
            <w:tcW w:w="523" w:type="dxa"/>
          </w:tcPr>
          <w:p>
            <w:pPr/>
          </w:p>
        </w:tc>
        <w:tc>
          <w:tcPr>
            <w:tcW w:w="521" w:type="dxa"/>
          </w:tcPr>
          <w:p>
            <w:pPr/>
          </w:p>
        </w:tc>
      </w:tr>
      <w:tr>
        <w:trPr>
          <w:trHeight w:val="595" w:hRule="exact"/>
        </w:trPr>
        <w:tc>
          <w:tcPr>
            <w:tcW w:w="569" w:type="dxa"/>
          </w:tcPr>
          <w:p>
            <w:pPr>
              <w:pStyle w:val="TableParagraph"/>
              <w:spacing w:line="292" w:lineRule="exact"/>
              <w:ind w:left="103"/>
              <w:jc w:val="left"/>
              <w:rPr>
                <w:rFonts w:ascii="Calibri"/>
                <w:sz w:val="24"/>
              </w:rPr>
            </w:pPr>
            <w:r>
              <w:rPr>
                <w:rFonts w:ascii="Calibri"/>
                <w:sz w:val="24"/>
              </w:rPr>
              <w:t>16</w:t>
            </w:r>
          </w:p>
        </w:tc>
        <w:tc>
          <w:tcPr>
            <w:tcW w:w="6085" w:type="dxa"/>
          </w:tcPr>
          <w:p>
            <w:pPr>
              <w:pStyle w:val="TableParagraph"/>
              <w:tabs>
                <w:tab w:pos="578" w:val="left" w:leader="none"/>
                <w:tab w:pos="1165" w:val="left" w:leader="none"/>
                <w:tab w:pos="1671" w:val="left" w:leader="none"/>
                <w:tab w:pos="3271" w:val="left" w:leader="none"/>
                <w:tab w:pos="4540" w:val="left" w:leader="none"/>
                <w:tab w:pos="5801" w:val="left" w:leader="none"/>
              </w:tabs>
              <w:ind w:left="103" w:right="103"/>
              <w:jc w:val="left"/>
              <w:rPr>
                <w:rFonts w:ascii="Calibri"/>
                <w:sz w:val="24"/>
              </w:rPr>
            </w:pPr>
            <w:r>
              <w:rPr>
                <w:rFonts w:ascii="Calibri"/>
                <w:sz w:val="24"/>
              </w:rPr>
              <w:t>La</w:t>
              <w:tab/>
              <w:t>Ley</w:t>
              <w:tab/>
              <w:t>de</w:t>
              <w:tab/>
              <w:t>transparencia</w:t>
              <w:tab/>
              <w:t>realmente</w:t>
              <w:tab/>
              <w:t>promueve</w:t>
              <w:tab/>
            </w:r>
            <w:r>
              <w:rPr>
                <w:rFonts w:ascii="Calibri"/>
                <w:spacing w:val="-1"/>
                <w:sz w:val="24"/>
              </w:rPr>
              <w:t>la </w:t>
            </w:r>
            <w:r>
              <w:rPr>
                <w:rFonts w:ascii="Calibri"/>
                <w:sz w:val="24"/>
              </w:rPr>
              <w:t>transparencia.</w:t>
            </w:r>
          </w:p>
        </w:tc>
        <w:tc>
          <w:tcPr>
            <w:tcW w:w="564" w:type="dxa"/>
          </w:tcPr>
          <w:p>
            <w:pPr/>
          </w:p>
        </w:tc>
        <w:tc>
          <w:tcPr>
            <w:tcW w:w="567" w:type="dxa"/>
          </w:tcPr>
          <w:p>
            <w:pPr/>
          </w:p>
        </w:tc>
        <w:tc>
          <w:tcPr>
            <w:tcW w:w="523" w:type="dxa"/>
          </w:tcPr>
          <w:p>
            <w:pPr/>
          </w:p>
        </w:tc>
        <w:tc>
          <w:tcPr>
            <w:tcW w:w="521" w:type="dxa"/>
          </w:tcPr>
          <w:p>
            <w:pPr/>
          </w:p>
        </w:tc>
      </w:tr>
      <w:tr>
        <w:trPr>
          <w:trHeight w:val="596" w:hRule="exact"/>
        </w:trPr>
        <w:tc>
          <w:tcPr>
            <w:tcW w:w="569" w:type="dxa"/>
          </w:tcPr>
          <w:p>
            <w:pPr>
              <w:pStyle w:val="TableParagraph"/>
              <w:ind w:left="103"/>
              <w:jc w:val="left"/>
              <w:rPr>
                <w:rFonts w:ascii="Calibri"/>
                <w:sz w:val="24"/>
              </w:rPr>
            </w:pPr>
            <w:r>
              <w:rPr>
                <w:rFonts w:ascii="Calibri"/>
                <w:sz w:val="24"/>
              </w:rPr>
              <w:t>17</w:t>
            </w:r>
          </w:p>
        </w:tc>
        <w:tc>
          <w:tcPr>
            <w:tcW w:w="6085" w:type="dxa"/>
          </w:tcPr>
          <w:p>
            <w:pPr>
              <w:pStyle w:val="TableParagraph"/>
              <w:ind w:left="103" w:right="103"/>
              <w:jc w:val="left"/>
              <w:rPr>
                <w:rFonts w:ascii="Calibri" w:hAnsi="Calibri"/>
                <w:sz w:val="24"/>
              </w:rPr>
            </w:pPr>
            <w:r>
              <w:rPr>
                <w:rFonts w:ascii="Calibri" w:hAnsi="Calibri"/>
                <w:sz w:val="24"/>
              </w:rPr>
              <w:t>Se cumple la ley de Transparencia del Estado de México y Municipios en su municipio.</w:t>
            </w:r>
          </w:p>
        </w:tc>
        <w:tc>
          <w:tcPr>
            <w:tcW w:w="564" w:type="dxa"/>
          </w:tcPr>
          <w:p>
            <w:pPr/>
          </w:p>
        </w:tc>
        <w:tc>
          <w:tcPr>
            <w:tcW w:w="567" w:type="dxa"/>
          </w:tcPr>
          <w:p>
            <w:pPr/>
          </w:p>
        </w:tc>
        <w:tc>
          <w:tcPr>
            <w:tcW w:w="523" w:type="dxa"/>
          </w:tcPr>
          <w:p>
            <w:pPr/>
          </w:p>
        </w:tc>
        <w:tc>
          <w:tcPr>
            <w:tcW w:w="521" w:type="dxa"/>
          </w:tcPr>
          <w:p>
            <w:pPr/>
          </w:p>
        </w:tc>
      </w:tr>
      <w:tr>
        <w:trPr>
          <w:trHeight w:val="595" w:hRule="exact"/>
        </w:trPr>
        <w:tc>
          <w:tcPr>
            <w:tcW w:w="569" w:type="dxa"/>
          </w:tcPr>
          <w:p>
            <w:pPr>
              <w:pStyle w:val="TableParagraph"/>
              <w:spacing w:line="292" w:lineRule="exact"/>
              <w:ind w:left="103"/>
              <w:jc w:val="left"/>
              <w:rPr>
                <w:rFonts w:ascii="Calibri"/>
                <w:sz w:val="24"/>
              </w:rPr>
            </w:pPr>
            <w:r>
              <w:rPr>
                <w:rFonts w:ascii="Calibri"/>
                <w:sz w:val="24"/>
              </w:rPr>
              <w:t>18</w:t>
            </w:r>
          </w:p>
        </w:tc>
        <w:tc>
          <w:tcPr>
            <w:tcW w:w="6085" w:type="dxa"/>
          </w:tcPr>
          <w:p>
            <w:pPr>
              <w:pStyle w:val="TableParagraph"/>
              <w:ind w:left="103" w:right="103"/>
              <w:jc w:val="left"/>
              <w:rPr>
                <w:rFonts w:ascii="Calibri"/>
                <w:sz w:val="24"/>
              </w:rPr>
            </w:pPr>
            <w:r>
              <w:rPr>
                <w:rFonts w:ascii="Calibri"/>
                <w:sz w:val="24"/>
              </w:rPr>
              <w:t>Las instituciones como el INFOEM contribuyen al desarrollo de la transparencia.</w:t>
            </w:r>
          </w:p>
        </w:tc>
        <w:tc>
          <w:tcPr>
            <w:tcW w:w="564" w:type="dxa"/>
          </w:tcPr>
          <w:p>
            <w:pPr/>
          </w:p>
        </w:tc>
        <w:tc>
          <w:tcPr>
            <w:tcW w:w="567" w:type="dxa"/>
          </w:tcPr>
          <w:p>
            <w:pPr/>
          </w:p>
        </w:tc>
        <w:tc>
          <w:tcPr>
            <w:tcW w:w="523" w:type="dxa"/>
          </w:tcPr>
          <w:p>
            <w:pPr/>
          </w:p>
        </w:tc>
        <w:tc>
          <w:tcPr>
            <w:tcW w:w="521" w:type="dxa"/>
          </w:tcPr>
          <w:p>
            <w:pPr/>
          </w:p>
        </w:tc>
      </w:tr>
      <w:tr>
        <w:trPr>
          <w:trHeight w:val="598" w:hRule="exact"/>
        </w:trPr>
        <w:tc>
          <w:tcPr>
            <w:tcW w:w="569" w:type="dxa"/>
          </w:tcPr>
          <w:p>
            <w:pPr>
              <w:pStyle w:val="TableParagraph"/>
              <w:spacing w:before="2"/>
              <w:ind w:left="103"/>
              <w:jc w:val="left"/>
              <w:rPr>
                <w:rFonts w:ascii="Calibri"/>
                <w:sz w:val="24"/>
              </w:rPr>
            </w:pPr>
            <w:r>
              <w:rPr>
                <w:rFonts w:ascii="Calibri"/>
                <w:sz w:val="24"/>
              </w:rPr>
              <w:t>19</w:t>
            </w:r>
          </w:p>
        </w:tc>
        <w:tc>
          <w:tcPr>
            <w:tcW w:w="6085" w:type="dxa"/>
          </w:tcPr>
          <w:p>
            <w:pPr>
              <w:pStyle w:val="TableParagraph"/>
              <w:spacing w:before="2"/>
              <w:ind w:left="103" w:right="103"/>
              <w:jc w:val="left"/>
              <w:rPr>
                <w:rFonts w:ascii="Calibri"/>
                <w:sz w:val="24"/>
              </w:rPr>
            </w:pPr>
            <w:r>
              <w:rPr>
                <w:rFonts w:ascii="Calibri"/>
                <w:sz w:val="24"/>
              </w:rPr>
              <w:t>Tiene libertad para dar cumplimiento a sus actividades de trabajo.</w:t>
            </w:r>
          </w:p>
        </w:tc>
        <w:tc>
          <w:tcPr>
            <w:tcW w:w="564" w:type="dxa"/>
          </w:tcPr>
          <w:p>
            <w:pPr/>
          </w:p>
        </w:tc>
        <w:tc>
          <w:tcPr>
            <w:tcW w:w="567" w:type="dxa"/>
          </w:tcPr>
          <w:p>
            <w:pPr/>
          </w:p>
        </w:tc>
        <w:tc>
          <w:tcPr>
            <w:tcW w:w="523" w:type="dxa"/>
          </w:tcPr>
          <w:p>
            <w:pPr/>
          </w:p>
        </w:tc>
        <w:tc>
          <w:tcPr>
            <w:tcW w:w="521" w:type="dxa"/>
          </w:tcPr>
          <w:p>
            <w:pPr/>
          </w:p>
        </w:tc>
      </w:tr>
      <w:tr>
        <w:trPr>
          <w:trHeight w:val="595" w:hRule="exact"/>
        </w:trPr>
        <w:tc>
          <w:tcPr>
            <w:tcW w:w="569" w:type="dxa"/>
          </w:tcPr>
          <w:p>
            <w:pPr>
              <w:pStyle w:val="TableParagraph"/>
              <w:spacing w:line="292" w:lineRule="exact"/>
              <w:ind w:left="103"/>
              <w:jc w:val="left"/>
              <w:rPr>
                <w:rFonts w:ascii="Calibri"/>
                <w:sz w:val="24"/>
              </w:rPr>
            </w:pPr>
            <w:r>
              <w:rPr>
                <w:rFonts w:ascii="Calibri"/>
                <w:sz w:val="24"/>
              </w:rPr>
              <w:t>20</w:t>
            </w:r>
          </w:p>
        </w:tc>
        <w:tc>
          <w:tcPr>
            <w:tcW w:w="6085" w:type="dxa"/>
          </w:tcPr>
          <w:p>
            <w:pPr>
              <w:pStyle w:val="TableParagraph"/>
              <w:ind w:left="103" w:right="103"/>
              <w:jc w:val="left"/>
              <w:rPr>
                <w:rFonts w:ascii="Calibri" w:hAnsi="Calibri"/>
                <w:sz w:val="24"/>
              </w:rPr>
            </w:pPr>
            <w:r>
              <w:rPr>
                <w:rFonts w:ascii="Calibri" w:hAnsi="Calibri"/>
                <w:sz w:val="24"/>
              </w:rPr>
              <w:t>En</w:t>
            </w:r>
            <w:r>
              <w:rPr>
                <w:rFonts w:ascii="Calibri" w:hAnsi="Calibri"/>
                <w:spacing w:val="-13"/>
                <w:sz w:val="24"/>
              </w:rPr>
              <w:t> </w:t>
            </w:r>
            <w:r>
              <w:rPr>
                <w:rFonts w:ascii="Calibri" w:hAnsi="Calibri"/>
                <w:sz w:val="24"/>
              </w:rPr>
              <w:t>su</w:t>
            </w:r>
            <w:r>
              <w:rPr>
                <w:rFonts w:ascii="Calibri" w:hAnsi="Calibri"/>
                <w:spacing w:val="-14"/>
                <w:sz w:val="24"/>
              </w:rPr>
              <w:t> </w:t>
            </w:r>
            <w:r>
              <w:rPr>
                <w:rFonts w:ascii="Calibri" w:hAnsi="Calibri"/>
                <w:sz w:val="24"/>
              </w:rPr>
              <w:t>municipio</w:t>
            </w:r>
            <w:r>
              <w:rPr>
                <w:rFonts w:ascii="Calibri" w:hAnsi="Calibri"/>
                <w:spacing w:val="-14"/>
                <w:sz w:val="24"/>
              </w:rPr>
              <w:t> </w:t>
            </w:r>
            <w:r>
              <w:rPr>
                <w:rFonts w:ascii="Calibri" w:hAnsi="Calibri"/>
                <w:sz w:val="24"/>
              </w:rPr>
              <w:t>se</w:t>
            </w:r>
            <w:r>
              <w:rPr>
                <w:rFonts w:ascii="Calibri" w:hAnsi="Calibri"/>
                <w:spacing w:val="-14"/>
                <w:sz w:val="24"/>
              </w:rPr>
              <w:t> </w:t>
            </w:r>
            <w:r>
              <w:rPr>
                <w:rFonts w:ascii="Calibri" w:hAnsi="Calibri"/>
                <w:sz w:val="24"/>
              </w:rPr>
              <w:t>promueve</w:t>
            </w:r>
            <w:r>
              <w:rPr>
                <w:rFonts w:ascii="Calibri" w:hAnsi="Calibri"/>
                <w:spacing w:val="-14"/>
                <w:sz w:val="24"/>
              </w:rPr>
              <w:t> </w:t>
            </w:r>
            <w:r>
              <w:rPr>
                <w:rFonts w:ascii="Calibri" w:hAnsi="Calibri"/>
                <w:sz w:val="24"/>
              </w:rPr>
              <w:t>la</w:t>
            </w:r>
            <w:r>
              <w:rPr>
                <w:rFonts w:ascii="Calibri" w:hAnsi="Calibri"/>
                <w:spacing w:val="-17"/>
                <w:sz w:val="24"/>
              </w:rPr>
              <w:t> </w:t>
            </w:r>
            <w:r>
              <w:rPr>
                <w:rFonts w:ascii="Calibri" w:hAnsi="Calibri"/>
                <w:sz w:val="24"/>
              </w:rPr>
              <w:t>participación</w:t>
            </w:r>
            <w:r>
              <w:rPr>
                <w:rFonts w:ascii="Calibri" w:hAnsi="Calibri"/>
                <w:spacing w:val="-13"/>
                <w:sz w:val="24"/>
              </w:rPr>
              <w:t> </w:t>
            </w:r>
            <w:r>
              <w:rPr>
                <w:rFonts w:ascii="Calibri" w:hAnsi="Calibri"/>
                <w:sz w:val="24"/>
              </w:rPr>
              <w:t>ciudadana</w:t>
            </w:r>
            <w:r>
              <w:rPr>
                <w:rFonts w:ascii="Calibri" w:hAnsi="Calibri"/>
                <w:spacing w:val="-17"/>
                <w:sz w:val="24"/>
              </w:rPr>
              <w:t> </w:t>
            </w:r>
            <w:r>
              <w:rPr>
                <w:rFonts w:ascii="Calibri" w:hAnsi="Calibri"/>
                <w:sz w:val="24"/>
              </w:rPr>
              <w:t>para mejorar la</w:t>
            </w:r>
            <w:r>
              <w:rPr>
                <w:rFonts w:ascii="Calibri" w:hAnsi="Calibri"/>
                <w:spacing w:val="-11"/>
                <w:sz w:val="24"/>
              </w:rPr>
              <w:t> </w:t>
            </w:r>
            <w:r>
              <w:rPr>
                <w:rFonts w:ascii="Calibri" w:hAnsi="Calibri"/>
                <w:sz w:val="24"/>
              </w:rPr>
              <w:t>transparencia.</w:t>
            </w:r>
          </w:p>
        </w:tc>
        <w:tc>
          <w:tcPr>
            <w:tcW w:w="564" w:type="dxa"/>
          </w:tcPr>
          <w:p>
            <w:pPr/>
          </w:p>
        </w:tc>
        <w:tc>
          <w:tcPr>
            <w:tcW w:w="567" w:type="dxa"/>
          </w:tcPr>
          <w:p>
            <w:pPr/>
          </w:p>
        </w:tc>
        <w:tc>
          <w:tcPr>
            <w:tcW w:w="523" w:type="dxa"/>
          </w:tcPr>
          <w:p>
            <w:pPr/>
          </w:p>
        </w:tc>
        <w:tc>
          <w:tcPr>
            <w:tcW w:w="521" w:type="dxa"/>
          </w:tcPr>
          <w:p>
            <w:pPr/>
          </w:p>
        </w:tc>
      </w:tr>
      <w:tr>
        <w:trPr>
          <w:trHeight w:val="595" w:hRule="exact"/>
        </w:trPr>
        <w:tc>
          <w:tcPr>
            <w:tcW w:w="569" w:type="dxa"/>
          </w:tcPr>
          <w:p>
            <w:pPr>
              <w:pStyle w:val="TableParagraph"/>
              <w:spacing w:line="292" w:lineRule="exact"/>
              <w:ind w:left="103"/>
              <w:jc w:val="left"/>
              <w:rPr>
                <w:rFonts w:ascii="Calibri"/>
                <w:sz w:val="24"/>
              </w:rPr>
            </w:pPr>
            <w:r>
              <w:rPr>
                <w:rFonts w:ascii="Calibri"/>
                <w:sz w:val="24"/>
              </w:rPr>
              <w:t>21</w:t>
            </w:r>
          </w:p>
        </w:tc>
        <w:tc>
          <w:tcPr>
            <w:tcW w:w="6085" w:type="dxa"/>
          </w:tcPr>
          <w:p>
            <w:pPr>
              <w:pStyle w:val="TableParagraph"/>
              <w:ind w:left="103" w:right="103"/>
              <w:jc w:val="left"/>
              <w:rPr>
                <w:rFonts w:ascii="Calibri"/>
                <w:sz w:val="24"/>
              </w:rPr>
            </w:pPr>
            <w:r>
              <w:rPr>
                <w:rFonts w:ascii="Calibri"/>
                <w:sz w:val="24"/>
              </w:rPr>
              <w:t>Los integrantes del gabinete (directores) cumplen la ley de transparencia en su municipio.</w:t>
            </w:r>
          </w:p>
        </w:tc>
        <w:tc>
          <w:tcPr>
            <w:tcW w:w="564" w:type="dxa"/>
          </w:tcPr>
          <w:p>
            <w:pPr/>
          </w:p>
        </w:tc>
        <w:tc>
          <w:tcPr>
            <w:tcW w:w="567" w:type="dxa"/>
          </w:tcPr>
          <w:p>
            <w:pPr/>
          </w:p>
        </w:tc>
        <w:tc>
          <w:tcPr>
            <w:tcW w:w="523" w:type="dxa"/>
          </w:tcPr>
          <w:p>
            <w:pPr/>
          </w:p>
        </w:tc>
        <w:tc>
          <w:tcPr>
            <w:tcW w:w="521" w:type="dxa"/>
          </w:tcPr>
          <w:p>
            <w:pPr/>
          </w:p>
        </w:tc>
      </w:tr>
      <w:tr>
        <w:trPr>
          <w:trHeight w:val="598" w:hRule="exact"/>
        </w:trPr>
        <w:tc>
          <w:tcPr>
            <w:tcW w:w="569" w:type="dxa"/>
          </w:tcPr>
          <w:p>
            <w:pPr>
              <w:pStyle w:val="TableParagraph"/>
              <w:spacing w:before="2"/>
              <w:ind w:left="103"/>
              <w:jc w:val="left"/>
              <w:rPr>
                <w:rFonts w:ascii="Calibri"/>
                <w:sz w:val="24"/>
              </w:rPr>
            </w:pPr>
            <w:r>
              <w:rPr>
                <w:rFonts w:ascii="Calibri"/>
                <w:sz w:val="24"/>
              </w:rPr>
              <w:t>22</w:t>
            </w:r>
          </w:p>
        </w:tc>
        <w:tc>
          <w:tcPr>
            <w:tcW w:w="6085" w:type="dxa"/>
          </w:tcPr>
          <w:p>
            <w:pPr>
              <w:pStyle w:val="TableParagraph"/>
              <w:spacing w:before="2"/>
              <w:ind w:left="103" w:right="103"/>
              <w:jc w:val="left"/>
              <w:rPr>
                <w:rFonts w:ascii="Calibri" w:hAnsi="Calibri"/>
                <w:sz w:val="24"/>
              </w:rPr>
            </w:pPr>
            <w:r>
              <w:rPr>
                <w:rFonts w:ascii="Calibri" w:hAnsi="Calibri"/>
                <w:sz w:val="24"/>
              </w:rPr>
              <w:t>Conoce la Ley de Responsabilidades de los Servidores Públicos.</w:t>
            </w:r>
          </w:p>
        </w:tc>
        <w:tc>
          <w:tcPr>
            <w:tcW w:w="564" w:type="dxa"/>
          </w:tcPr>
          <w:p>
            <w:pPr/>
          </w:p>
        </w:tc>
        <w:tc>
          <w:tcPr>
            <w:tcW w:w="567" w:type="dxa"/>
          </w:tcPr>
          <w:p>
            <w:pPr/>
          </w:p>
        </w:tc>
        <w:tc>
          <w:tcPr>
            <w:tcW w:w="523" w:type="dxa"/>
          </w:tcPr>
          <w:p>
            <w:pPr/>
          </w:p>
        </w:tc>
        <w:tc>
          <w:tcPr>
            <w:tcW w:w="521" w:type="dxa"/>
          </w:tcPr>
          <w:p>
            <w:pPr/>
          </w:p>
        </w:tc>
      </w:tr>
      <w:tr>
        <w:trPr>
          <w:trHeight w:val="596" w:hRule="exact"/>
        </w:trPr>
        <w:tc>
          <w:tcPr>
            <w:tcW w:w="569" w:type="dxa"/>
          </w:tcPr>
          <w:p>
            <w:pPr>
              <w:pStyle w:val="TableParagraph"/>
              <w:ind w:left="103"/>
              <w:jc w:val="left"/>
              <w:rPr>
                <w:rFonts w:ascii="Calibri"/>
                <w:sz w:val="24"/>
              </w:rPr>
            </w:pPr>
            <w:r>
              <w:rPr>
                <w:rFonts w:ascii="Calibri"/>
                <w:sz w:val="24"/>
              </w:rPr>
              <w:t>23</w:t>
            </w:r>
          </w:p>
        </w:tc>
        <w:tc>
          <w:tcPr>
            <w:tcW w:w="6085" w:type="dxa"/>
          </w:tcPr>
          <w:p>
            <w:pPr>
              <w:pStyle w:val="TableParagraph"/>
              <w:ind w:left="103" w:right="103"/>
              <w:jc w:val="left"/>
              <w:rPr>
                <w:rFonts w:ascii="Calibri" w:hAnsi="Calibri"/>
                <w:sz w:val="24"/>
              </w:rPr>
            </w:pPr>
            <w:r>
              <w:rPr>
                <w:rFonts w:ascii="Calibri" w:hAnsi="Calibri"/>
                <w:sz w:val="24"/>
              </w:rPr>
              <w:t>Se aplica la Ley de Responsabilidades de los Servidores Públicos en su municipio.</w:t>
            </w:r>
          </w:p>
        </w:tc>
        <w:tc>
          <w:tcPr>
            <w:tcW w:w="564" w:type="dxa"/>
          </w:tcPr>
          <w:p>
            <w:pPr/>
          </w:p>
        </w:tc>
        <w:tc>
          <w:tcPr>
            <w:tcW w:w="567" w:type="dxa"/>
          </w:tcPr>
          <w:p>
            <w:pPr/>
          </w:p>
        </w:tc>
        <w:tc>
          <w:tcPr>
            <w:tcW w:w="523" w:type="dxa"/>
          </w:tcPr>
          <w:p>
            <w:pPr/>
          </w:p>
        </w:tc>
        <w:tc>
          <w:tcPr>
            <w:tcW w:w="521" w:type="dxa"/>
          </w:tcPr>
          <w:p>
            <w:pPr/>
          </w:p>
        </w:tc>
      </w:tr>
      <w:tr>
        <w:trPr>
          <w:trHeight w:val="595" w:hRule="exact"/>
        </w:trPr>
        <w:tc>
          <w:tcPr>
            <w:tcW w:w="569" w:type="dxa"/>
          </w:tcPr>
          <w:p>
            <w:pPr>
              <w:pStyle w:val="TableParagraph"/>
              <w:spacing w:line="292" w:lineRule="exact"/>
              <w:ind w:left="103"/>
              <w:jc w:val="left"/>
              <w:rPr>
                <w:rFonts w:ascii="Calibri"/>
                <w:sz w:val="24"/>
              </w:rPr>
            </w:pPr>
            <w:r>
              <w:rPr>
                <w:rFonts w:ascii="Calibri"/>
                <w:sz w:val="24"/>
              </w:rPr>
              <w:t>24</w:t>
            </w:r>
          </w:p>
        </w:tc>
        <w:tc>
          <w:tcPr>
            <w:tcW w:w="6085" w:type="dxa"/>
          </w:tcPr>
          <w:p>
            <w:pPr>
              <w:pStyle w:val="TableParagraph"/>
              <w:ind w:left="103" w:right="103"/>
              <w:jc w:val="left"/>
              <w:rPr>
                <w:rFonts w:ascii="Calibri"/>
                <w:sz w:val="24"/>
              </w:rPr>
            </w:pPr>
            <w:r>
              <w:rPr>
                <w:rFonts w:ascii="Calibri"/>
                <w:sz w:val="24"/>
              </w:rPr>
              <w:t>Los integrantes del gabinete (directores) promueven la transparencia en su municipio</w:t>
            </w:r>
          </w:p>
        </w:tc>
        <w:tc>
          <w:tcPr>
            <w:tcW w:w="564" w:type="dxa"/>
          </w:tcPr>
          <w:p>
            <w:pPr/>
          </w:p>
        </w:tc>
        <w:tc>
          <w:tcPr>
            <w:tcW w:w="567" w:type="dxa"/>
          </w:tcPr>
          <w:p>
            <w:pPr/>
          </w:p>
        </w:tc>
        <w:tc>
          <w:tcPr>
            <w:tcW w:w="523" w:type="dxa"/>
          </w:tcPr>
          <w:p>
            <w:pPr/>
          </w:p>
        </w:tc>
        <w:tc>
          <w:tcPr>
            <w:tcW w:w="521" w:type="dxa"/>
          </w:tcPr>
          <w:p>
            <w:pPr/>
          </w:p>
        </w:tc>
      </w:tr>
      <w:tr>
        <w:trPr>
          <w:trHeight w:val="598" w:hRule="exact"/>
        </w:trPr>
        <w:tc>
          <w:tcPr>
            <w:tcW w:w="569" w:type="dxa"/>
          </w:tcPr>
          <w:p>
            <w:pPr>
              <w:pStyle w:val="TableParagraph"/>
              <w:spacing w:line="292" w:lineRule="exact"/>
              <w:ind w:left="103"/>
              <w:jc w:val="left"/>
              <w:rPr>
                <w:rFonts w:ascii="Calibri"/>
                <w:sz w:val="24"/>
              </w:rPr>
            </w:pPr>
            <w:r>
              <w:rPr>
                <w:rFonts w:ascii="Calibri"/>
                <w:sz w:val="24"/>
              </w:rPr>
              <w:t>25</w:t>
            </w:r>
          </w:p>
        </w:tc>
        <w:tc>
          <w:tcPr>
            <w:tcW w:w="6085" w:type="dxa"/>
          </w:tcPr>
          <w:p>
            <w:pPr>
              <w:pStyle w:val="TableParagraph"/>
              <w:spacing w:line="242" w:lineRule="auto"/>
              <w:ind w:left="103" w:right="103"/>
              <w:jc w:val="left"/>
              <w:rPr>
                <w:rFonts w:ascii="Calibri"/>
                <w:sz w:val="24"/>
              </w:rPr>
            </w:pPr>
            <w:r>
              <w:rPr>
                <w:rFonts w:ascii="Calibri"/>
                <w:sz w:val="24"/>
              </w:rPr>
              <w:t>El presidente municipal promueve la transparencia en su municipio.</w:t>
            </w:r>
          </w:p>
        </w:tc>
        <w:tc>
          <w:tcPr>
            <w:tcW w:w="564" w:type="dxa"/>
          </w:tcPr>
          <w:p>
            <w:pPr/>
          </w:p>
        </w:tc>
        <w:tc>
          <w:tcPr>
            <w:tcW w:w="567" w:type="dxa"/>
          </w:tcPr>
          <w:p>
            <w:pPr/>
          </w:p>
        </w:tc>
        <w:tc>
          <w:tcPr>
            <w:tcW w:w="523" w:type="dxa"/>
          </w:tcPr>
          <w:p>
            <w:pPr/>
          </w:p>
        </w:tc>
        <w:tc>
          <w:tcPr>
            <w:tcW w:w="521" w:type="dxa"/>
          </w:tcPr>
          <w:p>
            <w:pPr/>
          </w:p>
        </w:tc>
      </w:tr>
      <w:tr>
        <w:trPr>
          <w:trHeight w:val="595" w:hRule="exact"/>
        </w:trPr>
        <w:tc>
          <w:tcPr>
            <w:tcW w:w="569" w:type="dxa"/>
          </w:tcPr>
          <w:p>
            <w:pPr>
              <w:pStyle w:val="TableParagraph"/>
              <w:spacing w:line="292" w:lineRule="exact"/>
              <w:ind w:left="103"/>
              <w:jc w:val="left"/>
              <w:rPr>
                <w:rFonts w:ascii="Calibri"/>
                <w:sz w:val="24"/>
              </w:rPr>
            </w:pPr>
            <w:r>
              <w:rPr>
                <w:rFonts w:ascii="Calibri"/>
                <w:sz w:val="24"/>
              </w:rPr>
              <w:t>26</w:t>
            </w:r>
          </w:p>
        </w:tc>
        <w:tc>
          <w:tcPr>
            <w:tcW w:w="6085" w:type="dxa"/>
          </w:tcPr>
          <w:p>
            <w:pPr>
              <w:pStyle w:val="TableParagraph"/>
              <w:ind w:left="103" w:right="103"/>
              <w:jc w:val="left"/>
              <w:rPr>
                <w:rFonts w:ascii="Calibri"/>
                <w:sz w:val="24"/>
              </w:rPr>
            </w:pPr>
            <w:r>
              <w:rPr>
                <w:rFonts w:ascii="Calibri"/>
                <w:sz w:val="24"/>
              </w:rPr>
              <w:t>Las decisiones tomadas en administraciones pasadas han limitado la transparencia de su municipio.</w:t>
            </w:r>
          </w:p>
        </w:tc>
        <w:tc>
          <w:tcPr>
            <w:tcW w:w="564" w:type="dxa"/>
          </w:tcPr>
          <w:p>
            <w:pPr/>
          </w:p>
        </w:tc>
        <w:tc>
          <w:tcPr>
            <w:tcW w:w="567" w:type="dxa"/>
          </w:tcPr>
          <w:p>
            <w:pPr/>
          </w:p>
        </w:tc>
        <w:tc>
          <w:tcPr>
            <w:tcW w:w="523" w:type="dxa"/>
          </w:tcPr>
          <w:p>
            <w:pPr/>
          </w:p>
        </w:tc>
        <w:tc>
          <w:tcPr>
            <w:tcW w:w="521" w:type="dxa"/>
          </w:tcPr>
          <w:p>
            <w:pPr/>
          </w:p>
        </w:tc>
      </w:tr>
      <w:tr>
        <w:trPr>
          <w:trHeight w:val="595" w:hRule="exact"/>
        </w:trPr>
        <w:tc>
          <w:tcPr>
            <w:tcW w:w="569" w:type="dxa"/>
          </w:tcPr>
          <w:p>
            <w:pPr>
              <w:pStyle w:val="TableParagraph"/>
              <w:spacing w:line="292" w:lineRule="exact"/>
              <w:ind w:left="103"/>
              <w:jc w:val="left"/>
              <w:rPr>
                <w:rFonts w:ascii="Calibri"/>
                <w:sz w:val="24"/>
              </w:rPr>
            </w:pPr>
            <w:r>
              <w:rPr>
                <w:rFonts w:ascii="Calibri"/>
                <w:sz w:val="24"/>
              </w:rPr>
              <w:t>27</w:t>
            </w:r>
          </w:p>
        </w:tc>
        <w:tc>
          <w:tcPr>
            <w:tcW w:w="6085" w:type="dxa"/>
          </w:tcPr>
          <w:p>
            <w:pPr>
              <w:pStyle w:val="TableParagraph"/>
              <w:ind w:left="103" w:right="103"/>
              <w:jc w:val="left"/>
              <w:rPr>
                <w:rFonts w:ascii="Calibri" w:hAnsi="Calibri"/>
                <w:sz w:val="24"/>
              </w:rPr>
            </w:pPr>
            <w:r>
              <w:rPr>
                <w:rFonts w:ascii="Calibri" w:hAnsi="Calibri"/>
                <w:sz w:val="24"/>
              </w:rPr>
              <w:t>Considera que las prácticas en torno a la transparencia pueden limitar la corrupción en su municipio.</w:t>
            </w:r>
          </w:p>
        </w:tc>
        <w:tc>
          <w:tcPr>
            <w:tcW w:w="564" w:type="dxa"/>
          </w:tcPr>
          <w:p>
            <w:pPr/>
          </w:p>
        </w:tc>
        <w:tc>
          <w:tcPr>
            <w:tcW w:w="567" w:type="dxa"/>
          </w:tcPr>
          <w:p>
            <w:pPr/>
          </w:p>
        </w:tc>
        <w:tc>
          <w:tcPr>
            <w:tcW w:w="523" w:type="dxa"/>
          </w:tcPr>
          <w:p>
            <w:pPr/>
          </w:p>
        </w:tc>
        <w:tc>
          <w:tcPr>
            <w:tcW w:w="521" w:type="dxa"/>
          </w:tcPr>
          <w:p>
            <w:pPr/>
          </w:p>
        </w:tc>
      </w:tr>
      <w:tr>
        <w:trPr>
          <w:trHeight w:val="598" w:hRule="exact"/>
        </w:trPr>
        <w:tc>
          <w:tcPr>
            <w:tcW w:w="569" w:type="dxa"/>
            <w:tcBorders>
              <w:bottom w:val="single" w:sz="4" w:space="0" w:color="000000"/>
            </w:tcBorders>
          </w:tcPr>
          <w:p>
            <w:pPr>
              <w:pStyle w:val="TableParagraph"/>
              <w:spacing w:line="292" w:lineRule="exact"/>
              <w:ind w:left="103"/>
              <w:jc w:val="left"/>
              <w:rPr>
                <w:rFonts w:ascii="Calibri"/>
                <w:sz w:val="24"/>
              </w:rPr>
            </w:pPr>
            <w:r>
              <w:rPr>
                <w:rFonts w:ascii="Calibri"/>
                <w:sz w:val="24"/>
              </w:rPr>
              <w:t>28</w:t>
            </w:r>
          </w:p>
        </w:tc>
        <w:tc>
          <w:tcPr>
            <w:tcW w:w="6085" w:type="dxa"/>
            <w:tcBorders>
              <w:bottom w:val="single" w:sz="4" w:space="0" w:color="000000"/>
            </w:tcBorders>
          </w:tcPr>
          <w:p>
            <w:pPr>
              <w:pStyle w:val="TableParagraph"/>
              <w:tabs>
                <w:tab w:pos="688" w:val="left" w:leader="none"/>
                <w:tab w:pos="2062" w:val="left" w:leader="none"/>
                <w:tab w:pos="2624" w:val="left" w:leader="none"/>
                <w:tab w:pos="3593" w:val="left" w:leader="none"/>
                <w:tab w:pos="4922" w:val="left" w:leader="none"/>
                <w:tab w:pos="5797" w:val="left" w:leader="none"/>
              </w:tabs>
              <w:ind w:left="103" w:right="101"/>
              <w:jc w:val="left"/>
              <w:rPr>
                <w:rFonts w:ascii="Calibri"/>
                <w:sz w:val="24"/>
              </w:rPr>
            </w:pPr>
            <w:r>
              <w:rPr>
                <w:rFonts w:ascii="Calibri"/>
                <w:sz w:val="24"/>
              </w:rPr>
              <w:t>Los</w:t>
              <w:tab/>
              <w:t>integrantes</w:t>
              <w:tab/>
              <w:t>del</w:t>
              <w:tab/>
              <w:t>cabildo</w:t>
              <w:tab/>
              <w:t>(regidores)</w:t>
              <w:tab/>
              <w:t>fingen</w:t>
              <w:tab/>
              <w:t>el cumplimiento de la ley de transparencia en su</w:t>
            </w:r>
            <w:r>
              <w:rPr>
                <w:rFonts w:ascii="Calibri"/>
                <w:spacing w:val="-19"/>
                <w:sz w:val="24"/>
              </w:rPr>
              <w:t> </w:t>
            </w:r>
            <w:r>
              <w:rPr>
                <w:rFonts w:ascii="Calibri"/>
                <w:sz w:val="24"/>
              </w:rPr>
              <w:t>municipio.</w:t>
            </w:r>
          </w:p>
        </w:tc>
        <w:tc>
          <w:tcPr>
            <w:tcW w:w="564" w:type="dxa"/>
            <w:tcBorders>
              <w:bottom w:val="single" w:sz="4" w:space="0" w:color="000000"/>
            </w:tcBorders>
          </w:tcPr>
          <w:p>
            <w:pPr/>
          </w:p>
        </w:tc>
        <w:tc>
          <w:tcPr>
            <w:tcW w:w="567" w:type="dxa"/>
            <w:tcBorders>
              <w:bottom w:val="single" w:sz="4" w:space="0" w:color="000000"/>
            </w:tcBorders>
          </w:tcPr>
          <w:p>
            <w:pPr/>
          </w:p>
        </w:tc>
        <w:tc>
          <w:tcPr>
            <w:tcW w:w="523" w:type="dxa"/>
            <w:tcBorders>
              <w:bottom w:val="single" w:sz="4" w:space="0" w:color="000000"/>
            </w:tcBorders>
          </w:tcPr>
          <w:p>
            <w:pPr/>
          </w:p>
        </w:tc>
        <w:tc>
          <w:tcPr>
            <w:tcW w:w="521" w:type="dxa"/>
            <w:tcBorders>
              <w:bottom w:val="single" w:sz="4" w:space="0" w:color="000000"/>
            </w:tcBorders>
          </w:tcPr>
          <w:p>
            <w:pPr/>
          </w:p>
        </w:tc>
      </w:tr>
      <w:tr>
        <w:trPr>
          <w:trHeight w:val="425" w:hRule="exact"/>
        </w:trPr>
        <w:tc>
          <w:tcPr>
            <w:tcW w:w="569" w:type="dxa"/>
            <w:tcBorders>
              <w:top w:val="single" w:sz="4" w:space="0" w:color="000000"/>
            </w:tcBorders>
          </w:tcPr>
          <w:p>
            <w:pPr>
              <w:pStyle w:val="TableParagraph"/>
              <w:spacing w:line="292" w:lineRule="exact"/>
              <w:ind w:left="103"/>
              <w:jc w:val="left"/>
              <w:rPr>
                <w:rFonts w:ascii="Calibri"/>
                <w:sz w:val="24"/>
              </w:rPr>
            </w:pPr>
            <w:r>
              <w:rPr>
                <w:rFonts w:ascii="Calibri"/>
                <w:sz w:val="24"/>
              </w:rPr>
              <w:t>29</w:t>
            </w:r>
          </w:p>
        </w:tc>
        <w:tc>
          <w:tcPr>
            <w:tcW w:w="6085" w:type="dxa"/>
            <w:tcBorders>
              <w:top w:val="single" w:sz="4" w:space="0" w:color="000000"/>
            </w:tcBorders>
          </w:tcPr>
          <w:p>
            <w:pPr>
              <w:pStyle w:val="TableParagraph"/>
              <w:spacing w:line="292" w:lineRule="exact"/>
              <w:ind w:left="103" w:right="103"/>
              <w:jc w:val="left"/>
              <w:rPr>
                <w:rFonts w:ascii="Calibri" w:hAnsi="Calibri"/>
                <w:sz w:val="24"/>
              </w:rPr>
            </w:pPr>
            <w:r>
              <w:rPr>
                <w:rFonts w:ascii="Calibri" w:hAnsi="Calibri"/>
                <w:sz w:val="24"/>
              </w:rPr>
              <w:t>Es presionado por sus superiores para no dar información.</w:t>
            </w:r>
          </w:p>
        </w:tc>
        <w:tc>
          <w:tcPr>
            <w:tcW w:w="564" w:type="dxa"/>
            <w:tcBorders>
              <w:top w:val="single" w:sz="4" w:space="0" w:color="000000"/>
            </w:tcBorders>
          </w:tcPr>
          <w:p>
            <w:pPr/>
          </w:p>
        </w:tc>
        <w:tc>
          <w:tcPr>
            <w:tcW w:w="567" w:type="dxa"/>
            <w:tcBorders>
              <w:top w:val="single" w:sz="4" w:space="0" w:color="000000"/>
            </w:tcBorders>
          </w:tcPr>
          <w:p>
            <w:pPr/>
          </w:p>
        </w:tc>
        <w:tc>
          <w:tcPr>
            <w:tcW w:w="523" w:type="dxa"/>
            <w:tcBorders>
              <w:top w:val="single" w:sz="4" w:space="0" w:color="000000"/>
            </w:tcBorders>
          </w:tcPr>
          <w:p>
            <w:pPr/>
          </w:p>
        </w:tc>
        <w:tc>
          <w:tcPr>
            <w:tcW w:w="521" w:type="dxa"/>
            <w:tcBorders>
              <w:top w:val="single" w:sz="4" w:space="0" w:color="000000"/>
            </w:tcBorders>
          </w:tcPr>
          <w:p>
            <w:pPr/>
          </w:p>
        </w:tc>
      </w:tr>
      <w:tr>
        <w:trPr>
          <w:trHeight w:val="595" w:hRule="exact"/>
        </w:trPr>
        <w:tc>
          <w:tcPr>
            <w:tcW w:w="569" w:type="dxa"/>
          </w:tcPr>
          <w:p>
            <w:pPr>
              <w:pStyle w:val="TableParagraph"/>
              <w:spacing w:line="292" w:lineRule="exact"/>
              <w:ind w:left="103"/>
              <w:jc w:val="left"/>
              <w:rPr>
                <w:rFonts w:ascii="Calibri"/>
                <w:sz w:val="24"/>
              </w:rPr>
            </w:pPr>
            <w:r>
              <w:rPr>
                <w:rFonts w:ascii="Calibri"/>
                <w:sz w:val="24"/>
              </w:rPr>
              <w:t>30</w:t>
            </w:r>
          </w:p>
        </w:tc>
        <w:tc>
          <w:tcPr>
            <w:tcW w:w="6085" w:type="dxa"/>
          </w:tcPr>
          <w:p>
            <w:pPr>
              <w:pStyle w:val="TableParagraph"/>
              <w:ind w:left="103" w:right="103"/>
              <w:jc w:val="left"/>
              <w:rPr>
                <w:rFonts w:ascii="Calibri"/>
                <w:sz w:val="24"/>
              </w:rPr>
            </w:pPr>
            <w:r>
              <w:rPr>
                <w:rFonts w:ascii="Calibri"/>
                <w:sz w:val="24"/>
              </w:rPr>
              <w:t>Los mandos medios (Jefes de Departamento) promueven la transparencia en su municipio.</w:t>
            </w:r>
          </w:p>
        </w:tc>
        <w:tc>
          <w:tcPr>
            <w:tcW w:w="564" w:type="dxa"/>
          </w:tcPr>
          <w:p>
            <w:pPr/>
          </w:p>
        </w:tc>
        <w:tc>
          <w:tcPr>
            <w:tcW w:w="567" w:type="dxa"/>
          </w:tcPr>
          <w:p>
            <w:pPr/>
          </w:p>
        </w:tc>
        <w:tc>
          <w:tcPr>
            <w:tcW w:w="523" w:type="dxa"/>
          </w:tcPr>
          <w:p>
            <w:pPr/>
          </w:p>
        </w:tc>
        <w:tc>
          <w:tcPr>
            <w:tcW w:w="521" w:type="dxa"/>
          </w:tcPr>
          <w:p>
            <w:pPr/>
          </w:p>
        </w:tc>
      </w:tr>
    </w:tbl>
    <w:p>
      <w:pPr>
        <w:spacing w:after="0"/>
        <w:sectPr>
          <w:pgSz w:w="12240" w:h="15840"/>
          <w:pgMar w:header="0" w:footer="975" w:top="1380" w:bottom="1220" w:left="1500" w:right="1640"/>
        </w:sect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9"/>
        <w:gridCol w:w="6085"/>
        <w:gridCol w:w="564"/>
        <w:gridCol w:w="567"/>
        <w:gridCol w:w="523"/>
        <w:gridCol w:w="521"/>
      </w:tblGrid>
      <w:tr>
        <w:trPr>
          <w:trHeight w:val="1931" w:hRule="exact"/>
        </w:trPr>
        <w:tc>
          <w:tcPr>
            <w:tcW w:w="569" w:type="dxa"/>
            <w:shd w:val="clear" w:color="auto" w:fill="92D050"/>
          </w:tcPr>
          <w:p>
            <w:pPr>
              <w:pStyle w:val="TableParagraph"/>
              <w:jc w:val="left"/>
              <w:rPr>
                <w:rFonts w:ascii="Calibri"/>
                <w:b/>
                <w:sz w:val="24"/>
              </w:rPr>
            </w:pPr>
          </w:p>
          <w:p>
            <w:pPr>
              <w:pStyle w:val="TableParagraph"/>
              <w:jc w:val="left"/>
              <w:rPr>
                <w:rFonts w:ascii="Calibri"/>
                <w:b/>
                <w:sz w:val="24"/>
              </w:rPr>
            </w:pPr>
          </w:p>
          <w:p>
            <w:pPr>
              <w:pStyle w:val="TableParagraph"/>
              <w:spacing w:before="10"/>
              <w:jc w:val="left"/>
              <w:rPr>
                <w:rFonts w:ascii="Calibri"/>
                <w:b/>
                <w:sz w:val="23"/>
              </w:rPr>
            </w:pPr>
          </w:p>
          <w:p>
            <w:pPr>
              <w:pStyle w:val="TableParagraph"/>
              <w:ind w:left="103"/>
              <w:jc w:val="left"/>
              <w:rPr>
                <w:rFonts w:ascii="Calibri"/>
                <w:b/>
                <w:sz w:val="24"/>
              </w:rPr>
            </w:pPr>
            <w:r>
              <w:rPr>
                <w:rFonts w:ascii="Calibri"/>
                <w:b/>
                <w:sz w:val="24"/>
              </w:rPr>
              <w:t>No.</w:t>
            </w:r>
          </w:p>
        </w:tc>
        <w:tc>
          <w:tcPr>
            <w:tcW w:w="6085" w:type="dxa"/>
            <w:shd w:val="clear" w:color="auto" w:fill="92D050"/>
          </w:tcPr>
          <w:p>
            <w:pPr>
              <w:pStyle w:val="TableParagraph"/>
              <w:jc w:val="left"/>
              <w:rPr>
                <w:rFonts w:ascii="Calibri"/>
                <w:b/>
                <w:sz w:val="24"/>
              </w:rPr>
            </w:pPr>
          </w:p>
          <w:p>
            <w:pPr>
              <w:pStyle w:val="TableParagraph"/>
              <w:jc w:val="left"/>
              <w:rPr>
                <w:rFonts w:ascii="Calibri"/>
                <w:b/>
                <w:sz w:val="24"/>
              </w:rPr>
            </w:pPr>
          </w:p>
          <w:p>
            <w:pPr>
              <w:pStyle w:val="TableParagraph"/>
              <w:spacing w:before="10"/>
              <w:jc w:val="left"/>
              <w:rPr>
                <w:rFonts w:ascii="Calibri"/>
                <w:b/>
                <w:sz w:val="23"/>
              </w:rPr>
            </w:pPr>
          </w:p>
          <w:p>
            <w:pPr>
              <w:pStyle w:val="TableParagraph"/>
              <w:ind w:left="2190" w:right="2189"/>
              <w:rPr>
                <w:rFonts w:ascii="Calibri" w:hAnsi="Calibri"/>
                <w:b/>
                <w:sz w:val="24"/>
              </w:rPr>
            </w:pPr>
            <w:r>
              <w:rPr>
                <w:rFonts w:ascii="Calibri" w:hAnsi="Calibri"/>
                <w:b/>
                <w:sz w:val="24"/>
              </w:rPr>
              <w:t>En qué medida…</w:t>
            </w:r>
          </w:p>
        </w:tc>
        <w:tc>
          <w:tcPr>
            <w:tcW w:w="564" w:type="dxa"/>
            <w:shd w:val="clear" w:color="auto" w:fill="92D050"/>
            <w:textDirection w:val="btLr"/>
          </w:tcPr>
          <w:p>
            <w:pPr>
              <w:pStyle w:val="TableParagraph"/>
              <w:spacing w:before="105"/>
              <w:ind w:left="115"/>
              <w:jc w:val="left"/>
              <w:rPr>
                <w:rFonts w:ascii="Calibri"/>
                <w:b/>
                <w:sz w:val="24"/>
              </w:rPr>
            </w:pPr>
            <w:r>
              <w:rPr>
                <w:rFonts w:ascii="Calibri"/>
                <w:b/>
                <w:sz w:val="24"/>
              </w:rPr>
              <w:t>N</w:t>
            </w:r>
            <w:r>
              <w:rPr>
                <w:rFonts w:ascii="Calibri"/>
                <w:b/>
                <w:spacing w:val="-1"/>
                <w:sz w:val="24"/>
              </w:rPr>
              <w:t>a</w:t>
            </w:r>
            <w:r>
              <w:rPr>
                <w:rFonts w:ascii="Calibri"/>
                <w:b/>
                <w:sz w:val="24"/>
              </w:rPr>
              <w:t>da</w:t>
            </w:r>
          </w:p>
        </w:tc>
        <w:tc>
          <w:tcPr>
            <w:tcW w:w="567" w:type="dxa"/>
            <w:shd w:val="clear" w:color="auto" w:fill="92D050"/>
            <w:textDirection w:val="btLr"/>
          </w:tcPr>
          <w:p>
            <w:pPr>
              <w:pStyle w:val="TableParagraph"/>
              <w:spacing w:before="107"/>
              <w:ind w:left="115"/>
              <w:jc w:val="left"/>
              <w:rPr>
                <w:rFonts w:ascii="Calibri"/>
                <w:b/>
                <w:sz w:val="24"/>
              </w:rPr>
            </w:pPr>
            <w:r>
              <w:rPr>
                <w:rFonts w:ascii="Calibri"/>
                <w:b/>
                <w:spacing w:val="-1"/>
                <w:sz w:val="24"/>
              </w:rPr>
              <w:t>L</w:t>
            </w:r>
            <w:r>
              <w:rPr>
                <w:rFonts w:ascii="Calibri"/>
                <w:b/>
                <w:sz w:val="24"/>
              </w:rPr>
              <w:t>o</w:t>
            </w:r>
            <w:r>
              <w:rPr>
                <w:rFonts w:ascii="Calibri"/>
                <w:b/>
                <w:spacing w:val="1"/>
                <w:sz w:val="24"/>
              </w:rPr>
              <w:t> </w:t>
            </w:r>
            <w:r>
              <w:rPr>
                <w:rFonts w:ascii="Calibri"/>
                <w:b/>
                <w:sz w:val="24"/>
              </w:rPr>
              <w:t>n</w:t>
            </w:r>
            <w:r>
              <w:rPr>
                <w:rFonts w:ascii="Calibri"/>
                <w:b/>
                <w:spacing w:val="-1"/>
                <w:sz w:val="24"/>
              </w:rPr>
              <w:t>ecesa</w:t>
            </w:r>
            <w:r>
              <w:rPr>
                <w:rFonts w:ascii="Calibri"/>
                <w:b/>
                <w:sz w:val="24"/>
              </w:rPr>
              <w:t>rio</w:t>
            </w:r>
          </w:p>
        </w:tc>
        <w:tc>
          <w:tcPr>
            <w:tcW w:w="523" w:type="dxa"/>
            <w:shd w:val="clear" w:color="auto" w:fill="92D050"/>
            <w:textDirection w:val="btLr"/>
          </w:tcPr>
          <w:p>
            <w:pPr>
              <w:pStyle w:val="TableParagraph"/>
              <w:spacing w:before="105"/>
              <w:ind w:left="115"/>
              <w:jc w:val="left"/>
              <w:rPr>
                <w:rFonts w:ascii="Calibri"/>
                <w:b/>
                <w:sz w:val="24"/>
              </w:rPr>
            </w:pPr>
            <w:r>
              <w:rPr>
                <w:rFonts w:ascii="Calibri"/>
                <w:b/>
                <w:spacing w:val="-1"/>
                <w:sz w:val="24"/>
              </w:rPr>
              <w:t>L</w:t>
            </w:r>
            <w:r>
              <w:rPr>
                <w:rFonts w:ascii="Calibri"/>
                <w:b/>
                <w:sz w:val="24"/>
              </w:rPr>
              <w:t>o</w:t>
            </w:r>
            <w:r>
              <w:rPr>
                <w:rFonts w:ascii="Calibri"/>
                <w:b/>
                <w:spacing w:val="1"/>
                <w:sz w:val="24"/>
              </w:rPr>
              <w:t> </w:t>
            </w:r>
            <w:r>
              <w:rPr>
                <w:rFonts w:ascii="Calibri"/>
                <w:b/>
                <w:sz w:val="24"/>
              </w:rPr>
              <w:t>su</w:t>
            </w:r>
            <w:r>
              <w:rPr>
                <w:rFonts w:ascii="Calibri"/>
                <w:b/>
                <w:spacing w:val="-2"/>
                <w:sz w:val="24"/>
              </w:rPr>
              <w:t>f</w:t>
            </w:r>
            <w:r>
              <w:rPr>
                <w:rFonts w:ascii="Calibri"/>
                <w:b/>
                <w:sz w:val="24"/>
              </w:rPr>
              <w:t>i</w:t>
            </w:r>
            <w:r>
              <w:rPr>
                <w:rFonts w:ascii="Calibri"/>
                <w:b/>
                <w:spacing w:val="-1"/>
                <w:sz w:val="24"/>
              </w:rPr>
              <w:t>c</w:t>
            </w:r>
            <w:r>
              <w:rPr>
                <w:rFonts w:ascii="Calibri"/>
                <w:b/>
                <w:spacing w:val="1"/>
                <w:sz w:val="24"/>
              </w:rPr>
              <w:t>i</w:t>
            </w:r>
            <w:r>
              <w:rPr>
                <w:rFonts w:ascii="Calibri"/>
                <w:b/>
                <w:spacing w:val="-1"/>
                <w:sz w:val="24"/>
              </w:rPr>
              <w:t>e</w:t>
            </w:r>
            <w:r>
              <w:rPr>
                <w:rFonts w:ascii="Calibri"/>
                <w:b/>
                <w:sz w:val="24"/>
              </w:rPr>
              <w:t>nte</w:t>
            </w:r>
          </w:p>
        </w:tc>
        <w:tc>
          <w:tcPr>
            <w:tcW w:w="521" w:type="dxa"/>
            <w:shd w:val="clear" w:color="auto" w:fill="92D050"/>
            <w:textDirection w:val="btLr"/>
          </w:tcPr>
          <w:p>
            <w:pPr>
              <w:pStyle w:val="TableParagraph"/>
              <w:spacing w:before="105"/>
              <w:ind w:left="115"/>
              <w:jc w:val="left"/>
              <w:rPr>
                <w:rFonts w:ascii="Calibri"/>
                <w:b/>
                <w:sz w:val="24"/>
              </w:rPr>
            </w:pPr>
            <w:r>
              <w:rPr>
                <w:rFonts w:ascii="Calibri"/>
                <w:b/>
                <w:spacing w:val="-1"/>
                <w:sz w:val="24"/>
              </w:rPr>
              <w:t>C</w:t>
            </w:r>
            <w:r>
              <w:rPr>
                <w:rFonts w:ascii="Calibri"/>
                <w:b/>
                <w:sz w:val="24"/>
              </w:rPr>
              <w:t>o</w:t>
            </w:r>
            <w:r>
              <w:rPr>
                <w:rFonts w:ascii="Calibri"/>
                <w:b/>
                <w:spacing w:val="-1"/>
                <w:sz w:val="24"/>
              </w:rPr>
              <w:t>m</w:t>
            </w:r>
            <w:r>
              <w:rPr>
                <w:rFonts w:ascii="Calibri"/>
                <w:b/>
                <w:sz w:val="24"/>
              </w:rPr>
              <w:t>pl</w:t>
            </w:r>
            <w:r>
              <w:rPr>
                <w:rFonts w:ascii="Calibri"/>
                <w:b/>
                <w:spacing w:val="-1"/>
                <w:sz w:val="24"/>
              </w:rPr>
              <w:t>e</w:t>
            </w:r>
            <w:r>
              <w:rPr>
                <w:rFonts w:ascii="Calibri"/>
                <w:b/>
                <w:sz w:val="24"/>
              </w:rPr>
              <w:t>ta</w:t>
            </w:r>
            <w:r>
              <w:rPr>
                <w:rFonts w:ascii="Calibri"/>
                <w:b/>
                <w:spacing w:val="-2"/>
                <w:sz w:val="24"/>
              </w:rPr>
              <w:t>m</w:t>
            </w:r>
            <w:r>
              <w:rPr>
                <w:rFonts w:ascii="Calibri"/>
                <w:b/>
                <w:spacing w:val="-1"/>
                <w:sz w:val="24"/>
              </w:rPr>
              <w:t>e</w:t>
            </w:r>
            <w:r>
              <w:rPr>
                <w:rFonts w:ascii="Calibri"/>
                <w:b/>
                <w:sz w:val="24"/>
              </w:rPr>
              <w:t>nte</w:t>
            </w:r>
          </w:p>
        </w:tc>
      </w:tr>
      <w:tr>
        <w:trPr>
          <w:trHeight w:val="598" w:hRule="exact"/>
        </w:trPr>
        <w:tc>
          <w:tcPr>
            <w:tcW w:w="569" w:type="dxa"/>
          </w:tcPr>
          <w:p>
            <w:pPr>
              <w:pStyle w:val="TableParagraph"/>
              <w:spacing w:line="292" w:lineRule="exact"/>
              <w:ind w:left="103"/>
              <w:jc w:val="left"/>
              <w:rPr>
                <w:rFonts w:ascii="Calibri"/>
                <w:sz w:val="24"/>
              </w:rPr>
            </w:pPr>
            <w:r>
              <w:rPr>
                <w:rFonts w:ascii="Calibri"/>
                <w:sz w:val="24"/>
              </w:rPr>
              <w:t>31</w:t>
            </w:r>
          </w:p>
        </w:tc>
        <w:tc>
          <w:tcPr>
            <w:tcW w:w="6085" w:type="dxa"/>
          </w:tcPr>
          <w:p>
            <w:pPr>
              <w:pStyle w:val="TableParagraph"/>
              <w:ind w:left="103" w:right="103"/>
              <w:jc w:val="left"/>
              <w:rPr>
                <w:rFonts w:ascii="Calibri" w:hAnsi="Calibri"/>
                <w:sz w:val="24"/>
              </w:rPr>
            </w:pPr>
            <w:r>
              <w:rPr>
                <w:rFonts w:ascii="Calibri" w:hAnsi="Calibri"/>
                <w:sz w:val="24"/>
              </w:rPr>
              <w:t>Tiene libertad para modificar la página web que contiene la información pública de oficio (IPOMEX)</w:t>
            </w:r>
          </w:p>
        </w:tc>
        <w:tc>
          <w:tcPr>
            <w:tcW w:w="564" w:type="dxa"/>
          </w:tcPr>
          <w:p>
            <w:pPr/>
          </w:p>
        </w:tc>
        <w:tc>
          <w:tcPr>
            <w:tcW w:w="567" w:type="dxa"/>
          </w:tcPr>
          <w:p>
            <w:pPr/>
          </w:p>
        </w:tc>
        <w:tc>
          <w:tcPr>
            <w:tcW w:w="523" w:type="dxa"/>
          </w:tcPr>
          <w:p>
            <w:pPr/>
          </w:p>
        </w:tc>
        <w:tc>
          <w:tcPr>
            <w:tcW w:w="521" w:type="dxa"/>
          </w:tcPr>
          <w:p>
            <w:pPr/>
          </w:p>
        </w:tc>
      </w:tr>
      <w:tr>
        <w:trPr>
          <w:trHeight w:val="595" w:hRule="exact"/>
        </w:trPr>
        <w:tc>
          <w:tcPr>
            <w:tcW w:w="569" w:type="dxa"/>
          </w:tcPr>
          <w:p>
            <w:pPr>
              <w:pStyle w:val="TableParagraph"/>
              <w:spacing w:line="290" w:lineRule="exact"/>
              <w:ind w:left="103"/>
              <w:jc w:val="left"/>
              <w:rPr>
                <w:rFonts w:ascii="Calibri"/>
                <w:sz w:val="24"/>
              </w:rPr>
            </w:pPr>
            <w:r>
              <w:rPr>
                <w:rFonts w:ascii="Calibri"/>
                <w:sz w:val="24"/>
              </w:rPr>
              <w:t>32</w:t>
            </w:r>
          </w:p>
        </w:tc>
        <w:tc>
          <w:tcPr>
            <w:tcW w:w="6085" w:type="dxa"/>
          </w:tcPr>
          <w:p>
            <w:pPr>
              <w:pStyle w:val="TableParagraph"/>
              <w:ind w:left="103"/>
              <w:jc w:val="left"/>
              <w:rPr>
                <w:rFonts w:ascii="Calibri" w:hAnsi="Calibri"/>
                <w:sz w:val="24"/>
              </w:rPr>
            </w:pPr>
            <w:r>
              <w:rPr>
                <w:rFonts w:ascii="Calibri" w:hAnsi="Calibri"/>
                <w:sz w:val="24"/>
              </w:rPr>
              <w:t>Se realizan comités, asociaciones, consejos, entre otros para fomentar la participación ciudadana.</w:t>
            </w:r>
          </w:p>
        </w:tc>
        <w:tc>
          <w:tcPr>
            <w:tcW w:w="564" w:type="dxa"/>
          </w:tcPr>
          <w:p>
            <w:pPr/>
          </w:p>
        </w:tc>
        <w:tc>
          <w:tcPr>
            <w:tcW w:w="567" w:type="dxa"/>
          </w:tcPr>
          <w:p>
            <w:pPr/>
          </w:p>
        </w:tc>
        <w:tc>
          <w:tcPr>
            <w:tcW w:w="523" w:type="dxa"/>
          </w:tcPr>
          <w:p>
            <w:pPr/>
          </w:p>
        </w:tc>
        <w:tc>
          <w:tcPr>
            <w:tcW w:w="521" w:type="dxa"/>
          </w:tcPr>
          <w:p>
            <w:pPr/>
          </w:p>
        </w:tc>
      </w:tr>
      <w:tr>
        <w:trPr>
          <w:trHeight w:val="595" w:hRule="exact"/>
        </w:trPr>
        <w:tc>
          <w:tcPr>
            <w:tcW w:w="569" w:type="dxa"/>
          </w:tcPr>
          <w:p>
            <w:pPr>
              <w:pStyle w:val="TableParagraph"/>
              <w:spacing w:line="290" w:lineRule="exact"/>
              <w:ind w:left="103"/>
              <w:jc w:val="left"/>
              <w:rPr>
                <w:rFonts w:ascii="Calibri"/>
                <w:sz w:val="24"/>
              </w:rPr>
            </w:pPr>
            <w:r>
              <w:rPr>
                <w:rFonts w:ascii="Calibri"/>
                <w:sz w:val="24"/>
              </w:rPr>
              <w:t>33</w:t>
            </w:r>
          </w:p>
        </w:tc>
        <w:tc>
          <w:tcPr>
            <w:tcW w:w="6085" w:type="dxa"/>
          </w:tcPr>
          <w:p>
            <w:pPr>
              <w:pStyle w:val="TableParagraph"/>
              <w:ind w:left="103" w:right="103"/>
              <w:jc w:val="left"/>
              <w:rPr>
                <w:rFonts w:ascii="Calibri" w:hAnsi="Calibri"/>
                <w:sz w:val="24"/>
              </w:rPr>
            </w:pPr>
            <w:r>
              <w:rPr>
                <w:rFonts w:ascii="Calibri" w:hAnsi="Calibri"/>
                <w:sz w:val="24"/>
              </w:rPr>
              <w:t>Que la participación ciudadana contribuye a mejorar la transparencia en su municipio.</w:t>
            </w:r>
          </w:p>
        </w:tc>
        <w:tc>
          <w:tcPr>
            <w:tcW w:w="564" w:type="dxa"/>
          </w:tcPr>
          <w:p>
            <w:pPr/>
          </w:p>
        </w:tc>
        <w:tc>
          <w:tcPr>
            <w:tcW w:w="567" w:type="dxa"/>
          </w:tcPr>
          <w:p>
            <w:pPr/>
          </w:p>
        </w:tc>
        <w:tc>
          <w:tcPr>
            <w:tcW w:w="523" w:type="dxa"/>
          </w:tcPr>
          <w:p>
            <w:pPr/>
          </w:p>
        </w:tc>
        <w:tc>
          <w:tcPr>
            <w:tcW w:w="521" w:type="dxa"/>
          </w:tcPr>
          <w:p>
            <w:pPr/>
          </w:p>
        </w:tc>
      </w:tr>
      <w:tr>
        <w:trPr>
          <w:trHeight w:val="598" w:hRule="exact"/>
        </w:trPr>
        <w:tc>
          <w:tcPr>
            <w:tcW w:w="569" w:type="dxa"/>
          </w:tcPr>
          <w:p>
            <w:pPr>
              <w:pStyle w:val="TableParagraph"/>
              <w:spacing w:line="293" w:lineRule="exact"/>
              <w:ind w:left="103"/>
              <w:jc w:val="left"/>
              <w:rPr>
                <w:rFonts w:ascii="Calibri"/>
                <w:sz w:val="24"/>
              </w:rPr>
            </w:pPr>
            <w:r>
              <w:rPr>
                <w:rFonts w:ascii="Calibri"/>
                <w:sz w:val="24"/>
              </w:rPr>
              <w:t>34</w:t>
            </w:r>
          </w:p>
        </w:tc>
        <w:tc>
          <w:tcPr>
            <w:tcW w:w="6085" w:type="dxa"/>
          </w:tcPr>
          <w:p>
            <w:pPr>
              <w:pStyle w:val="TableParagraph"/>
              <w:ind w:left="103" w:right="103"/>
              <w:jc w:val="left"/>
              <w:rPr>
                <w:rFonts w:ascii="Calibri"/>
                <w:sz w:val="24"/>
              </w:rPr>
            </w:pPr>
            <w:r>
              <w:rPr>
                <w:rFonts w:ascii="Calibri"/>
                <w:sz w:val="24"/>
              </w:rPr>
              <w:t>Las decisiones tomadas en administraciones pasadas han influido en la transparencia de su municipio.</w:t>
            </w:r>
          </w:p>
        </w:tc>
        <w:tc>
          <w:tcPr>
            <w:tcW w:w="564" w:type="dxa"/>
          </w:tcPr>
          <w:p>
            <w:pPr/>
          </w:p>
        </w:tc>
        <w:tc>
          <w:tcPr>
            <w:tcW w:w="567" w:type="dxa"/>
          </w:tcPr>
          <w:p>
            <w:pPr/>
          </w:p>
        </w:tc>
        <w:tc>
          <w:tcPr>
            <w:tcW w:w="523" w:type="dxa"/>
          </w:tcPr>
          <w:p>
            <w:pPr/>
          </w:p>
        </w:tc>
        <w:tc>
          <w:tcPr>
            <w:tcW w:w="521" w:type="dxa"/>
          </w:tcPr>
          <w:p>
            <w:pPr/>
          </w:p>
        </w:tc>
      </w:tr>
      <w:tr>
        <w:trPr>
          <w:trHeight w:val="595" w:hRule="exact"/>
        </w:trPr>
        <w:tc>
          <w:tcPr>
            <w:tcW w:w="569" w:type="dxa"/>
          </w:tcPr>
          <w:p>
            <w:pPr>
              <w:pStyle w:val="TableParagraph"/>
              <w:spacing w:line="290" w:lineRule="exact"/>
              <w:ind w:left="103"/>
              <w:jc w:val="left"/>
              <w:rPr>
                <w:rFonts w:ascii="Calibri"/>
                <w:sz w:val="24"/>
              </w:rPr>
            </w:pPr>
            <w:r>
              <w:rPr>
                <w:rFonts w:ascii="Calibri"/>
                <w:sz w:val="24"/>
              </w:rPr>
              <w:t>35</w:t>
            </w:r>
          </w:p>
        </w:tc>
        <w:tc>
          <w:tcPr>
            <w:tcW w:w="6085" w:type="dxa"/>
          </w:tcPr>
          <w:p>
            <w:pPr>
              <w:pStyle w:val="TableParagraph"/>
              <w:ind w:left="103" w:right="103"/>
              <w:jc w:val="left"/>
              <w:rPr>
                <w:rFonts w:ascii="Calibri"/>
                <w:sz w:val="24"/>
              </w:rPr>
            </w:pPr>
            <w:r>
              <w:rPr>
                <w:rFonts w:ascii="Calibri"/>
                <w:sz w:val="24"/>
              </w:rPr>
              <w:t>La ley de transparencia limita la transparencia en su municipio.</w:t>
            </w:r>
          </w:p>
        </w:tc>
        <w:tc>
          <w:tcPr>
            <w:tcW w:w="564" w:type="dxa"/>
          </w:tcPr>
          <w:p>
            <w:pPr/>
          </w:p>
        </w:tc>
        <w:tc>
          <w:tcPr>
            <w:tcW w:w="567" w:type="dxa"/>
          </w:tcPr>
          <w:p>
            <w:pPr/>
          </w:p>
        </w:tc>
        <w:tc>
          <w:tcPr>
            <w:tcW w:w="523" w:type="dxa"/>
          </w:tcPr>
          <w:p>
            <w:pPr/>
          </w:p>
        </w:tc>
        <w:tc>
          <w:tcPr>
            <w:tcW w:w="521" w:type="dxa"/>
          </w:tcPr>
          <w:p>
            <w:pPr/>
          </w:p>
        </w:tc>
      </w:tr>
      <w:tr>
        <w:trPr>
          <w:trHeight w:val="595" w:hRule="exact"/>
        </w:trPr>
        <w:tc>
          <w:tcPr>
            <w:tcW w:w="569" w:type="dxa"/>
          </w:tcPr>
          <w:p>
            <w:pPr>
              <w:pStyle w:val="TableParagraph"/>
              <w:spacing w:line="290" w:lineRule="exact"/>
              <w:ind w:left="103"/>
              <w:jc w:val="left"/>
              <w:rPr>
                <w:rFonts w:ascii="Calibri"/>
                <w:sz w:val="24"/>
              </w:rPr>
            </w:pPr>
            <w:r>
              <w:rPr>
                <w:rFonts w:ascii="Calibri"/>
                <w:sz w:val="24"/>
              </w:rPr>
              <w:t>36</w:t>
            </w:r>
          </w:p>
        </w:tc>
        <w:tc>
          <w:tcPr>
            <w:tcW w:w="6085" w:type="dxa"/>
          </w:tcPr>
          <w:p>
            <w:pPr>
              <w:pStyle w:val="TableParagraph"/>
              <w:tabs>
                <w:tab w:pos="652" w:val="left" w:leader="none"/>
                <w:tab w:pos="1988" w:val="left" w:leader="none"/>
                <w:tab w:pos="2513" w:val="left" w:leader="none"/>
                <w:tab w:pos="3594" w:val="left" w:leader="none"/>
                <w:tab w:pos="4954" w:val="left" w:leader="none"/>
                <w:tab w:pos="5793" w:val="left" w:leader="none"/>
              </w:tabs>
              <w:ind w:left="103" w:right="104"/>
              <w:jc w:val="left"/>
              <w:rPr>
                <w:rFonts w:ascii="Calibri"/>
                <w:sz w:val="24"/>
              </w:rPr>
            </w:pPr>
            <w:r>
              <w:rPr>
                <w:rFonts w:ascii="Calibri"/>
                <w:sz w:val="24"/>
              </w:rPr>
              <w:t>Los</w:t>
              <w:tab/>
              <w:t>integrantes</w:t>
              <w:tab/>
              <w:t>del</w:t>
              <w:tab/>
              <w:t>gabinete</w:t>
              <w:tab/>
              <w:t>(directores)</w:t>
              <w:tab/>
              <w:t>fingen</w:t>
              <w:tab/>
              <w:t>el cumplimiento de la ley de transparencia en su</w:t>
            </w:r>
            <w:r>
              <w:rPr>
                <w:rFonts w:ascii="Calibri"/>
                <w:spacing w:val="-19"/>
                <w:sz w:val="24"/>
              </w:rPr>
              <w:t> </w:t>
            </w:r>
            <w:r>
              <w:rPr>
                <w:rFonts w:ascii="Calibri"/>
                <w:sz w:val="24"/>
              </w:rPr>
              <w:t>municipio.</w:t>
            </w:r>
          </w:p>
        </w:tc>
        <w:tc>
          <w:tcPr>
            <w:tcW w:w="564" w:type="dxa"/>
          </w:tcPr>
          <w:p>
            <w:pPr/>
          </w:p>
        </w:tc>
        <w:tc>
          <w:tcPr>
            <w:tcW w:w="567" w:type="dxa"/>
          </w:tcPr>
          <w:p>
            <w:pPr/>
          </w:p>
        </w:tc>
        <w:tc>
          <w:tcPr>
            <w:tcW w:w="523" w:type="dxa"/>
          </w:tcPr>
          <w:p>
            <w:pPr/>
          </w:p>
        </w:tc>
        <w:tc>
          <w:tcPr>
            <w:tcW w:w="521" w:type="dxa"/>
          </w:tcPr>
          <w:p>
            <w:pPr/>
          </w:p>
        </w:tc>
      </w:tr>
      <w:tr>
        <w:trPr>
          <w:trHeight w:val="598" w:hRule="exact"/>
        </w:trPr>
        <w:tc>
          <w:tcPr>
            <w:tcW w:w="569" w:type="dxa"/>
          </w:tcPr>
          <w:p>
            <w:pPr>
              <w:pStyle w:val="TableParagraph"/>
              <w:spacing w:line="290" w:lineRule="exact"/>
              <w:ind w:left="103"/>
              <w:jc w:val="left"/>
              <w:rPr>
                <w:rFonts w:ascii="Calibri"/>
                <w:sz w:val="24"/>
              </w:rPr>
            </w:pPr>
            <w:r>
              <w:rPr>
                <w:rFonts w:ascii="Calibri"/>
                <w:sz w:val="24"/>
              </w:rPr>
              <w:t>37</w:t>
            </w:r>
          </w:p>
        </w:tc>
        <w:tc>
          <w:tcPr>
            <w:tcW w:w="6085" w:type="dxa"/>
          </w:tcPr>
          <w:p>
            <w:pPr>
              <w:pStyle w:val="TableParagraph"/>
              <w:ind w:left="103" w:right="103"/>
              <w:jc w:val="left"/>
              <w:rPr>
                <w:rFonts w:ascii="Calibri"/>
                <w:sz w:val="24"/>
              </w:rPr>
            </w:pPr>
            <w:r>
              <w:rPr>
                <w:rFonts w:ascii="Calibri"/>
                <w:sz w:val="24"/>
              </w:rPr>
              <w:t>Usted puede cambiar la forma en que se promueve la transparencia en su municipio.</w:t>
            </w:r>
          </w:p>
        </w:tc>
        <w:tc>
          <w:tcPr>
            <w:tcW w:w="564" w:type="dxa"/>
          </w:tcPr>
          <w:p>
            <w:pPr/>
          </w:p>
        </w:tc>
        <w:tc>
          <w:tcPr>
            <w:tcW w:w="567" w:type="dxa"/>
          </w:tcPr>
          <w:p>
            <w:pPr/>
          </w:p>
        </w:tc>
        <w:tc>
          <w:tcPr>
            <w:tcW w:w="523" w:type="dxa"/>
          </w:tcPr>
          <w:p>
            <w:pPr/>
          </w:p>
        </w:tc>
        <w:tc>
          <w:tcPr>
            <w:tcW w:w="521" w:type="dxa"/>
          </w:tcPr>
          <w:p>
            <w:pPr/>
          </w:p>
        </w:tc>
      </w:tr>
      <w:tr>
        <w:trPr>
          <w:trHeight w:val="425" w:hRule="exact"/>
        </w:trPr>
        <w:tc>
          <w:tcPr>
            <w:tcW w:w="569" w:type="dxa"/>
          </w:tcPr>
          <w:p>
            <w:pPr>
              <w:pStyle w:val="TableParagraph"/>
              <w:spacing w:line="290" w:lineRule="exact"/>
              <w:ind w:left="103"/>
              <w:jc w:val="left"/>
              <w:rPr>
                <w:rFonts w:ascii="Calibri"/>
                <w:sz w:val="24"/>
              </w:rPr>
            </w:pPr>
            <w:r>
              <w:rPr>
                <w:rFonts w:ascii="Calibri"/>
                <w:sz w:val="24"/>
              </w:rPr>
              <w:t>38</w:t>
            </w:r>
          </w:p>
        </w:tc>
        <w:tc>
          <w:tcPr>
            <w:tcW w:w="6085" w:type="dxa"/>
          </w:tcPr>
          <w:p>
            <w:pPr>
              <w:pStyle w:val="TableParagraph"/>
              <w:spacing w:line="290" w:lineRule="exact"/>
              <w:ind w:left="103" w:right="103"/>
              <w:jc w:val="left"/>
              <w:rPr>
                <w:rFonts w:ascii="Calibri" w:hAnsi="Calibri"/>
                <w:sz w:val="24"/>
              </w:rPr>
            </w:pPr>
            <w:r>
              <w:rPr>
                <w:rFonts w:ascii="Calibri" w:hAnsi="Calibri"/>
                <w:sz w:val="24"/>
              </w:rPr>
              <w:t>Cuenta con políticas para el control de archivos.</w:t>
            </w:r>
          </w:p>
        </w:tc>
        <w:tc>
          <w:tcPr>
            <w:tcW w:w="564" w:type="dxa"/>
          </w:tcPr>
          <w:p>
            <w:pPr/>
          </w:p>
        </w:tc>
        <w:tc>
          <w:tcPr>
            <w:tcW w:w="567" w:type="dxa"/>
          </w:tcPr>
          <w:p>
            <w:pPr/>
          </w:p>
        </w:tc>
        <w:tc>
          <w:tcPr>
            <w:tcW w:w="523" w:type="dxa"/>
          </w:tcPr>
          <w:p>
            <w:pPr/>
          </w:p>
        </w:tc>
        <w:tc>
          <w:tcPr>
            <w:tcW w:w="521" w:type="dxa"/>
          </w:tcPr>
          <w:p>
            <w:pPr/>
          </w:p>
        </w:tc>
      </w:tr>
      <w:tr>
        <w:trPr>
          <w:trHeight w:val="425" w:hRule="exact"/>
        </w:trPr>
        <w:tc>
          <w:tcPr>
            <w:tcW w:w="569" w:type="dxa"/>
          </w:tcPr>
          <w:p>
            <w:pPr>
              <w:pStyle w:val="TableParagraph"/>
              <w:spacing w:line="290" w:lineRule="exact"/>
              <w:ind w:left="103"/>
              <w:jc w:val="left"/>
              <w:rPr>
                <w:rFonts w:ascii="Calibri"/>
                <w:sz w:val="24"/>
              </w:rPr>
            </w:pPr>
            <w:r>
              <w:rPr>
                <w:rFonts w:ascii="Calibri"/>
                <w:sz w:val="24"/>
              </w:rPr>
              <w:t>39</w:t>
            </w:r>
          </w:p>
        </w:tc>
        <w:tc>
          <w:tcPr>
            <w:tcW w:w="6085" w:type="dxa"/>
          </w:tcPr>
          <w:p>
            <w:pPr>
              <w:pStyle w:val="TableParagraph"/>
              <w:spacing w:line="290" w:lineRule="exact"/>
              <w:ind w:left="103" w:right="103"/>
              <w:jc w:val="left"/>
              <w:rPr>
                <w:rFonts w:ascii="Calibri" w:hAnsi="Calibri"/>
                <w:sz w:val="24"/>
              </w:rPr>
            </w:pPr>
            <w:r>
              <w:rPr>
                <w:rFonts w:ascii="Calibri" w:hAnsi="Calibri"/>
                <w:sz w:val="24"/>
              </w:rPr>
              <w:t>En su municipio se garantiza el acceso a la información.</w:t>
            </w:r>
          </w:p>
        </w:tc>
        <w:tc>
          <w:tcPr>
            <w:tcW w:w="564" w:type="dxa"/>
          </w:tcPr>
          <w:p>
            <w:pPr/>
          </w:p>
        </w:tc>
        <w:tc>
          <w:tcPr>
            <w:tcW w:w="567" w:type="dxa"/>
          </w:tcPr>
          <w:p>
            <w:pPr/>
          </w:p>
        </w:tc>
        <w:tc>
          <w:tcPr>
            <w:tcW w:w="523" w:type="dxa"/>
          </w:tcPr>
          <w:p>
            <w:pPr/>
          </w:p>
        </w:tc>
        <w:tc>
          <w:tcPr>
            <w:tcW w:w="521" w:type="dxa"/>
          </w:tcPr>
          <w:p>
            <w:pPr/>
          </w:p>
        </w:tc>
      </w:tr>
      <w:tr>
        <w:trPr>
          <w:trHeight w:val="596" w:hRule="exact"/>
        </w:trPr>
        <w:tc>
          <w:tcPr>
            <w:tcW w:w="569" w:type="dxa"/>
          </w:tcPr>
          <w:p>
            <w:pPr>
              <w:pStyle w:val="TableParagraph"/>
              <w:spacing w:line="290" w:lineRule="exact"/>
              <w:ind w:left="103"/>
              <w:jc w:val="left"/>
              <w:rPr>
                <w:rFonts w:ascii="Calibri"/>
                <w:sz w:val="24"/>
              </w:rPr>
            </w:pPr>
            <w:r>
              <w:rPr>
                <w:rFonts w:ascii="Calibri"/>
                <w:sz w:val="24"/>
              </w:rPr>
              <w:t>40</w:t>
            </w:r>
          </w:p>
        </w:tc>
        <w:tc>
          <w:tcPr>
            <w:tcW w:w="6085" w:type="dxa"/>
          </w:tcPr>
          <w:p>
            <w:pPr>
              <w:pStyle w:val="TableParagraph"/>
              <w:ind w:left="103" w:right="103"/>
              <w:jc w:val="left"/>
              <w:rPr>
                <w:rFonts w:ascii="Calibri"/>
                <w:sz w:val="24"/>
              </w:rPr>
            </w:pPr>
            <w:r>
              <w:rPr>
                <w:rFonts w:ascii="Calibri"/>
                <w:sz w:val="24"/>
              </w:rPr>
              <w:t>Los integrantes del cabildo (regidores) cumplen la ley de transparencia en su municipio.</w:t>
            </w:r>
          </w:p>
        </w:tc>
        <w:tc>
          <w:tcPr>
            <w:tcW w:w="564" w:type="dxa"/>
          </w:tcPr>
          <w:p>
            <w:pPr/>
          </w:p>
        </w:tc>
        <w:tc>
          <w:tcPr>
            <w:tcW w:w="567" w:type="dxa"/>
          </w:tcPr>
          <w:p>
            <w:pPr/>
          </w:p>
        </w:tc>
        <w:tc>
          <w:tcPr>
            <w:tcW w:w="523" w:type="dxa"/>
          </w:tcPr>
          <w:p>
            <w:pPr/>
          </w:p>
        </w:tc>
        <w:tc>
          <w:tcPr>
            <w:tcW w:w="521" w:type="dxa"/>
          </w:tcPr>
          <w:p>
            <w:pPr/>
          </w:p>
        </w:tc>
      </w:tr>
      <w:tr>
        <w:trPr>
          <w:trHeight w:val="888" w:hRule="exact"/>
        </w:trPr>
        <w:tc>
          <w:tcPr>
            <w:tcW w:w="569" w:type="dxa"/>
          </w:tcPr>
          <w:p>
            <w:pPr>
              <w:pStyle w:val="TableParagraph"/>
              <w:spacing w:line="290" w:lineRule="exact"/>
              <w:ind w:left="103"/>
              <w:jc w:val="left"/>
              <w:rPr>
                <w:rFonts w:ascii="Calibri"/>
                <w:sz w:val="24"/>
              </w:rPr>
            </w:pPr>
            <w:r>
              <w:rPr>
                <w:rFonts w:ascii="Calibri"/>
                <w:sz w:val="24"/>
              </w:rPr>
              <w:t>41</w:t>
            </w:r>
          </w:p>
        </w:tc>
        <w:tc>
          <w:tcPr>
            <w:tcW w:w="6085" w:type="dxa"/>
          </w:tcPr>
          <w:p>
            <w:pPr>
              <w:pStyle w:val="TableParagraph"/>
              <w:ind w:left="103" w:right="99"/>
              <w:jc w:val="both"/>
              <w:rPr>
                <w:rFonts w:ascii="Calibri" w:hAnsi="Calibri"/>
                <w:sz w:val="24"/>
              </w:rPr>
            </w:pPr>
            <w:r>
              <w:rPr>
                <w:rFonts w:ascii="Calibri" w:hAnsi="Calibri"/>
                <w:sz w:val="24"/>
              </w:rPr>
              <w:t>Considera que las prácticas en torno a la transparencia pueden contribuir a una rendición de cuentas en su municipio.</w:t>
            </w:r>
          </w:p>
        </w:tc>
        <w:tc>
          <w:tcPr>
            <w:tcW w:w="564" w:type="dxa"/>
          </w:tcPr>
          <w:p>
            <w:pPr/>
          </w:p>
        </w:tc>
        <w:tc>
          <w:tcPr>
            <w:tcW w:w="567" w:type="dxa"/>
          </w:tcPr>
          <w:p>
            <w:pPr/>
          </w:p>
        </w:tc>
        <w:tc>
          <w:tcPr>
            <w:tcW w:w="523" w:type="dxa"/>
          </w:tcPr>
          <w:p>
            <w:pPr/>
          </w:p>
        </w:tc>
        <w:tc>
          <w:tcPr>
            <w:tcW w:w="521" w:type="dxa"/>
          </w:tcPr>
          <w:p>
            <w:pPr/>
          </w:p>
        </w:tc>
      </w:tr>
      <w:tr>
        <w:trPr>
          <w:trHeight w:val="598" w:hRule="exact"/>
        </w:trPr>
        <w:tc>
          <w:tcPr>
            <w:tcW w:w="569" w:type="dxa"/>
          </w:tcPr>
          <w:p>
            <w:pPr>
              <w:pStyle w:val="TableParagraph"/>
              <w:spacing w:line="292" w:lineRule="exact"/>
              <w:ind w:left="103"/>
              <w:jc w:val="left"/>
              <w:rPr>
                <w:rFonts w:ascii="Calibri"/>
                <w:sz w:val="24"/>
              </w:rPr>
            </w:pPr>
            <w:r>
              <w:rPr>
                <w:rFonts w:ascii="Calibri"/>
                <w:sz w:val="24"/>
              </w:rPr>
              <w:t>42</w:t>
            </w:r>
          </w:p>
        </w:tc>
        <w:tc>
          <w:tcPr>
            <w:tcW w:w="6085" w:type="dxa"/>
          </w:tcPr>
          <w:p>
            <w:pPr>
              <w:pStyle w:val="TableParagraph"/>
              <w:ind w:left="103" w:right="103"/>
              <w:jc w:val="left"/>
              <w:rPr>
                <w:rFonts w:ascii="Calibri" w:hAnsi="Calibri"/>
                <w:sz w:val="24"/>
              </w:rPr>
            </w:pPr>
            <w:r>
              <w:rPr>
                <w:rFonts w:ascii="Calibri" w:hAnsi="Calibri"/>
                <w:sz w:val="24"/>
              </w:rPr>
              <w:t>Usted ha promovido la transparencia como una práctica cotidiana en su municipio</w:t>
            </w:r>
          </w:p>
        </w:tc>
        <w:tc>
          <w:tcPr>
            <w:tcW w:w="564" w:type="dxa"/>
          </w:tcPr>
          <w:p>
            <w:pPr/>
          </w:p>
        </w:tc>
        <w:tc>
          <w:tcPr>
            <w:tcW w:w="567" w:type="dxa"/>
          </w:tcPr>
          <w:p>
            <w:pPr/>
          </w:p>
        </w:tc>
        <w:tc>
          <w:tcPr>
            <w:tcW w:w="523" w:type="dxa"/>
          </w:tcPr>
          <w:p>
            <w:pPr/>
          </w:p>
        </w:tc>
        <w:tc>
          <w:tcPr>
            <w:tcW w:w="521" w:type="dxa"/>
          </w:tcPr>
          <w:p>
            <w:pPr/>
          </w:p>
        </w:tc>
      </w:tr>
      <w:tr>
        <w:trPr>
          <w:trHeight w:val="595" w:hRule="exact"/>
        </w:trPr>
        <w:tc>
          <w:tcPr>
            <w:tcW w:w="569" w:type="dxa"/>
          </w:tcPr>
          <w:p>
            <w:pPr>
              <w:pStyle w:val="TableParagraph"/>
              <w:spacing w:line="290" w:lineRule="exact"/>
              <w:ind w:left="103"/>
              <w:jc w:val="left"/>
              <w:rPr>
                <w:rFonts w:ascii="Calibri"/>
                <w:sz w:val="24"/>
              </w:rPr>
            </w:pPr>
            <w:r>
              <w:rPr>
                <w:rFonts w:ascii="Calibri"/>
                <w:sz w:val="24"/>
              </w:rPr>
              <w:t>43</w:t>
            </w:r>
          </w:p>
        </w:tc>
        <w:tc>
          <w:tcPr>
            <w:tcW w:w="6085" w:type="dxa"/>
          </w:tcPr>
          <w:p>
            <w:pPr>
              <w:pStyle w:val="TableParagraph"/>
              <w:ind w:left="103" w:right="103"/>
              <w:jc w:val="left"/>
              <w:rPr>
                <w:rFonts w:ascii="Calibri" w:hAnsi="Calibri"/>
                <w:sz w:val="24"/>
              </w:rPr>
            </w:pPr>
            <w:r>
              <w:rPr>
                <w:rFonts w:ascii="Calibri" w:hAnsi="Calibri"/>
                <w:sz w:val="24"/>
              </w:rPr>
              <w:t>Los</w:t>
            </w:r>
            <w:r>
              <w:rPr>
                <w:rFonts w:ascii="Calibri" w:hAnsi="Calibri"/>
                <w:spacing w:val="-15"/>
                <w:sz w:val="24"/>
              </w:rPr>
              <w:t> </w:t>
            </w:r>
            <w:r>
              <w:rPr>
                <w:rFonts w:ascii="Calibri" w:hAnsi="Calibri"/>
                <w:sz w:val="24"/>
              </w:rPr>
              <w:t>integrantes</w:t>
            </w:r>
            <w:r>
              <w:rPr>
                <w:rFonts w:ascii="Calibri" w:hAnsi="Calibri"/>
                <w:spacing w:val="-18"/>
                <w:sz w:val="24"/>
              </w:rPr>
              <w:t> </w:t>
            </w:r>
            <w:r>
              <w:rPr>
                <w:rFonts w:ascii="Calibri" w:hAnsi="Calibri"/>
                <w:sz w:val="24"/>
              </w:rPr>
              <w:t>del</w:t>
            </w:r>
            <w:r>
              <w:rPr>
                <w:rFonts w:ascii="Calibri" w:hAnsi="Calibri"/>
                <w:spacing w:val="-15"/>
                <w:sz w:val="24"/>
              </w:rPr>
              <w:t> </w:t>
            </w:r>
            <w:r>
              <w:rPr>
                <w:rFonts w:ascii="Calibri" w:hAnsi="Calibri"/>
                <w:sz w:val="24"/>
              </w:rPr>
              <w:t>gabinete</w:t>
            </w:r>
            <w:r>
              <w:rPr>
                <w:rFonts w:ascii="Calibri" w:hAnsi="Calibri"/>
                <w:spacing w:val="-15"/>
                <w:sz w:val="24"/>
              </w:rPr>
              <w:t> </w:t>
            </w:r>
            <w:r>
              <w:rPr>
                <w:rFonts w:ascii="Calibri" w:hAnsi="Calibri"/>
                <w:sz w:val="24"/>
              </w:rPr>
              <w:t>(directores)</w:t>
            </w:r>
            <w:r>
              <w:rPr>
                <w:rFonts w:ascii="Calibri" w:hAnsi="Calibri"/>
                <w:spacing w:val="-16"/>
                <w:sz w:val="24"/>
              </w:rPr>
              <w:t> </w:t>
            </w:r>
            <w:r>
              <w:rPr>
                <w:rFonts w:ascii="Calibri" w:hAnsi="Calibri"/>
                <w:sz w:val="24"/>
              </w:rPr>
              <w:t>fingen</w:t>
            </w:r>
            <w:r>
              <w:rPr>
                <w:rFonts w:ascii="Calibri" w:hAnsi="Calibri"/>
                <w:spacing w:val="-14"/>
                <w:sz w:val="24"/>
              </w:rPr>
              <w:t> </w:t>
            </w:r>
            <w:r>
              <w:rPr>
                <w:rFonts w:ascii="Calibri" w:hAnsi="Calibri"/>
                <w:sz w:val="24"/>
              </w:rPr>
              <w:t>la</w:t>
            </w:r>
            <w:r>
              <w:rPr>
                <w:rFonts w:ascii="Calibri" w:hAnsi="Calibri"/>
                <w:spacing w:val="-18"/>
                <w:sz w:val="24"/>
              </w:rPr>
              <w:t> </w:t>
            </w:r>
            <w:r>
              <w:rPr>
                <w:rFonts w:ascii="Calibri" w:hAnsi="Calibri"/>
                <w:sz w:val="24"/>
              </w:rPr>
              <w:t>promoción de la transparencia en su</w:t>
            </w:r>
            <w:r>
              <w:rPr>
                <w:rFonts w:ascii="Calibri" w:hAnsi="Calibri"/>
                <w:spacing w:val="-10"/>
                <w:sz w:val="24"/>
              </w:rPr>
              <w:t> </w:t>
            </w:r>
            <w:r>
              <w:rPr>
                <w:rFonts w:ascii="Calibri" w:hAnsi="Calibri"/>
                <w:sz w:val="24"/>
              </w:rPr>
              <w:t>municipio.</w:t>
            </w:r>
          </w:p>
        </w:tc>
        <w:tc>
          <w:tcPr>
            <w:tcW w:w="564" w:type="dxa"/>
          </w:tcPr>
          <w:p>
            <w:pPr/>
          </w:p>
        </w:tc>
        <w:tc>
          <w:tcPr>
            <w:tcW w:w="567" w:type="dxa"/>
          </w:tcPr>
          <w:p>
            <w:pPr/>
          </w:p>
        </w:tc>
        <w:tc>
          <w:tcPr>
            <w:tcW w:w="523" w:type="dxa"/>
          </w:tcPr>
          <w:p>
            <w:pPr/>
          </w:p>
        </w:tc>
        <w:tc>
          <w:tcPr>
            <w:tcW w:w="521" w:type="dxa"/>
          </w:tcPr>
          <w:p>
            <w:pPr/>
          </w:p>
        </w:tc>
      </w:tr>
      <w:tr>
        <w:trPr>
          <w:trHeight w:val="595" w:hRule="exact"/>
        </w:trPr>
        <w:tc>
          <w:tcPr>
            <w:tcW w:w="569" w:type="dxa"/>
          </w:tcPr>
          <w:p>
            <w:pPr>
              <w:pStyle w:val="TableParagraph"/>
              <w:spacing w:line="290" w:lineRule="exact"/>
              <w:ind w:left="103"/>
              <w:jc w:val="left"/>
              <w:rPr>
                <w:rFonts w:ascii="Calibri"/>
                <w:sz w:val="24"/>
              </w:rPr>
            </w:pPr>
            <w:r>
              <w:rPr>
                <w:rFonts w:ascii="Calibri"/>
                <w:sz w:val="24"/>
              </w:rPr>
              <w:t>44</w:t>
            </w:r>
          </w:p>
        </w:tc>
        <w:tc>
          <w:tcPr>
            <w:tcW w:w="6085" w:type="dxa"/>
          </w:tcPr>
          <w:p>
            <w:pPr>
              <w:pStyle w:val="TableParagraph"/>
              <w:ind w:left="103" w:right="103"/>
              <w:jc w:val="left"/>
              <w:rPr>
                <w:rFonts w:ascii="Calibri" w:hAnsi="Calibri"/>
                <w:sz w:val="24"/>
              </w:rPr>
            </w:pPr>
            <w:r>
              <w:rPr>
                <w:rFonts w:ascii="Calibri" w:hAnsi="Calibri"/>
                <w:sz w:val="24"/>
              </w:rPr>
              <w:t>Las acciones que realizó la administración anterior le sirvieron de base para el desarrollo de su trabajo.</w:t>
            </w:r>
          </w:p>
        </w:tc>
        <w:tc>
          <w:tcPr>
            <w:tcW w:w="564" w:type="dxa"/>
          </w:tcPr>
          <w:p>
            <w:pPr/>
          </w:p>
        </w:tc>
        <w:tc>
          <w:tcPr>
            <w:tcW w:w="567" w:type="dxa"/>
          </w:tcPr>
          <w:p>
            <w:pPr/>
          </w:p>
        </w:tc>
        <w:tc>
          <w:tcPr>
            <w:tcW w:w="523" w:type="dxa"/>
          </w:tcPr>
          <w:p>
            <w:pPr/>
          </w:p>
        </w:tc>
        <w:tc>
          <w:tcPr>
            <w:tcW w:w="521" w:type="dxa"/>
          </w:tcPr>
          <w:p>
            <w:pPr/>
          </w:p>
        </w:tc>
      </w:tr>
      <w:tr>
        <w:trPr>
          <w:trHeight w:val="598" w:hRule="exact"/>
        </w:trPr>
        <w:tc>
          <w:tcPr>
            <w:tcW w:w="569" w:type="dxa"/>
          </w:tcPr>
          <w:p>
            <w:pPr>
              <w:pStyle w:val="TableParagraph"/>
              <w:spacing w:line="292" w:lineRule="exact"/>
              <w:ind w:left="103"/>
              <w:jc w:val="left"/>
              <w:rPr>
                <w:rFonts w:ascii="Calibri"/>
                <w:sz w:val="24"/>
              </w:rPr>
            </w:pPr>
            <w:r>
              <w:rPr>
                <w:rFonts w:ascii="Calibri"/>
                <w:sz w:val="24"/>
              </w:rPr>
              <w:t>45</w:t>
            </w:r>
          </w:p>
        </w:tc>
        <w:tc>
          <w:tcPr>
            <w:tcW w:w="6085" w:type="dxa"/>
          </w:tcPr>
          <w:p>
            <w:pPr>
              <w:pStyle w:val="TableParagraph"/>
              <w:ind w:left="103" w:right="103"/>
              <w:jc w:val="left"/>
              <w:rPr>
                <w:rFonts w:ascii="Calibri" w:hAnsi="Calibri"/>
                <w:sz w:val="24"/>
              </w:rPr>
            </w:pPr>
            <w:r>
              <w:rPr>
                <w:rFonts w:ascii="Calibri" w:hAnsi="Calibri"/>
                <w:sz w:val="24"/>
              </w:rPr>
              <w:t>Los integrantes del cabildo (regidores) fingen la promoción de la transparencia en su municipio.</w:t>
            </w:r>
          </w:p>
        </w:tc>
        <w:tc>
          <w:tcPr>
            <w:tcW w:w="564" w:type="dxa"/>
          </w:tcPr>
          <w:p>
            <w:pPr/>
          </w:p>
        </w:tc>
        <w:tc>
          <w:tcPr>
            <w:tcW w:w="567" w:type="dxa"/>
          </w:tcPr>
          <w:p>
            <w:pPr/>
          </w:p>
        </w:tc>
        <w:tc>
          <w:tcPr>
            <w:tcW w:w="523" w:type="dxa"/>
          </w:tcPr>
          <w:p>
            <w:pPr/>
          </w:p>
        </w:tc>
        <w:tc>
          <w:tcPr>
            <w:tcW w:w="521" w:type="dxa"/>
          </w:tcPr>
          <w:p>
            <w:pPr/>
          </w:p>
        </w:tc>
      </w:tr>
      <w:tr>
        <w:trPr>
          <w:trHeight w:val="425" w:hRule="exact"/>
        </w:trPr>
        <w:tc>
          <w:tcPr>
            <w:tcW w:w="569" w:type="dxa"/>
          </w:tcPr>
          <w:p>
            <w:pPr>
              <w:pStyle w:val="TableParagraph"/>
              <w:spacing w:line="290" w:lineRule="exact"/>
              <w:ind w:left="103"/>
              <w:jc w:val="left"/>
              <w:rPr>
                <w:rFonts w:ascii="Calibri"/>
                <w:sz w:val="24"/>
              </w:rPr>
            </w:pPr>
            <w:r>
              <w:rPr>
                <w:rFonts w:ascii="Calibri"/>
                <w:sz w:val="24"/>
              </w:rPr>
              <w:t>46</w:t>
            </w:r>
          </w:p>
        </w:tc>
        <w:tc>
          <w:tcPr>
            <w:tcW w:w="6085" w:type="dxa"/>
          </w:tcPr>
          <w:p>
            <w:pPr>
              <w:pStyle w:val="TableParagraph"/>
              <w:spacing w:line="290" w:lineRule="exact"/>
              <w:ind w:left="103" w:right="103"/>
              <w:jc w:val="left"/>
              <w:rPr>
                <w:rFonts w:ascii="Calibri" w:hAnsi="Calibri"/>
                <w:sz w:val="24"/>
              </w:rPr>
            </w:pPr>
            <w:r>
              <w:rPr>
                <w:rFonts w:ascii="Calibri" w:hAnsi="Calibri"/>
                <w:sz w:val="24"/>
              </w:rPr>
              <w:t>Existen prácticas de opacidad en su municipio.</w:t>
            </w:r>
          </w:p>
        </w:tc>
        <w:tc>
          <w:tcPr>
            <w:tcW w:w="564" w:type="dxa"/>
          </w:tcPr>
          <w:p>
            <w:pPr/>
          </w:p>
        </w:tc>
        <w:tc>
          <w:tcPr>
            <w:tcW w:w="567" w:type="dxa"/>
          </w:tcPr>
          <w:p>
            <w:pPr/>
          </w:p>
        </w:tc>
        <w:tc>
          <w:tcPr>
            <w:tcW w:w="523" w:type="dxa"/>
          </w:tcPr>
          <w:p>
            <w:pPr/>
          </w:p>
        </w:tc>
        <w:tc>
          <w:tcPr>
            <w:tcW w:w="521" w:type="dxa"/>
          </w:tcPr>
          <w:p>
            <w:pPr/>
          </w:p>
        </w:tc>
      </w:tr>
    </w:tbl>
    <w:p>
      <w:pPr>
        <w:spacing w:after="0"/>
        <w:sectPr>
          <w:pgSz w:w="12240" w:h="15840"/>
          <w:pgMar w:header="0" w:footer="975" w:top="1420" w:bottom="1160" w:left="1540" w:right="1640"/>
        </w:sect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9"/>
        <w:gridCol w:w="6085"/>
        <w:gridCol w:w="564"/>
        <w:gridCol w:w="567"/>
        <w:gridCol w:w="523"/>
        <w:gridCol w:w="521"/>
      </w:tblGrid>
      <w:tr>
        <w:trPr>
          <w:trHeight w:val="1931" w:hRule="exact"/>
        </w:trPr>
        <w:tc>
          <w:tcPr>
            <w:tcW w:w="569" w:type="dxa"/>
            <w:shd w:val="clear" w:color="auto" w:fill="92D050"/>
          </w:tcPr>
          <w:p>
            <w:pPr>
              <w:pStyle w:val="TableParagraph"/>
              <w:jc w:val="left"/>
              <w:rPr>
                <w:rFonts w:ascii="Calibri"/>
                <w:b/>
                <w:sz w:val="24"/>
              </w:rPr>
            </w:pPr>
          </w:p>
          <w:p>
            <w:pPr>
              <w:pStyle w:val="TableParagraph"/>
              <w:jc w:val="left"/>
              <w:rPr>
                <w:rFonts w:ascii="Calibri"/>
                <w:b/>
                <w:sz w:val="24"/>
              </w:rPr>
            </w:pPr>
          </w:p>
          <w:p>
            <w:pPr>
              <w:pStyle w:val="TableParagraph"/>
              <w:spacing w:before="10"/>
              <w:jc w:val="left"/>
              <w:rPr>
                <w:rFonts w:ascii="Calibri"/>
                <w:b/>
                <w:sz w:val="23"/>
              </w:rPr>
            </w:pPr>
          </w:p>
          <w:p>
            <w:pPr>
              <w:pStyle w:val="TableParagraph"/>
              <w:ind w:left="103"/>
              <w:jc w:val="left"/>
              <w:rPr>
                <w:rFonts w:ascii="Calibri"/>
                <w:b/>
                <w:sz w:val="24"/>
              </w:rPr>
            </w:pPr>
            <w:r>
              <w:rPr>
                <w:rFonts w:ascii="Calibri"/>
                <w:b/>
                <w:sz w:val="24"/>
              </w:rPr>
              <w:t>No.</w:t>
            </w:r>
          </w:p>
        </w:tc>
        <w:tc>
          <w:tcPr>
            <w:tcW w:w="6085" w:type="dxa"/>
            <w:shd w:val="clear" w:color="auto" w:fill="92D050"/>
          </w:tcPr>
          <w:p>
            <w:pPr>
              <w:pStyle w:val="TableParagraph"/>
              <w:jc w:val="left"/>
              <w:rPr>
                <w:rFonts w:ascii="Calibri"/>
                <w:b/>
                <w:sz w:val="24"/>
              </w:rPr>
            </w:pPr>
          </w:p>
          <w:p>
            <w:pPr>
              <w:pStyle w:val="TableParagraph"/>
              <w:jc w:val="left"/>
              <w:rPr>
                <w:rFonts w:ascii="Calibri"/>
                <w:b/>
                <w:sz w:val="24"/>
              </w:rPr>
            </w:pPr>
          </w:p>
          <w:p>
            <w:pPr>
              <w:pStyle w:val="TableParagraph"/>
              <w:spacing w:before="10"/>
              <w:jc w:val="left"/>
              <w:rPr>
                <w:rFonts w:ascii="Calibri"/>
                <w:b/>
                <w:sz w:val="23"/>
              </w:rPr>
            </w:pPr>
          </w:p>
          <w:p>
            <w:pPr>
              <w:pStyle w:val="TableParagraph"/>
              <w:ind w:left="2190" w:right="2189"/>
              <w:rPr>
                <w:rFonts w:ascii="Calibri" w:hAnsi="Calibri"/>
                <w:b/>
                <w:sz w:val="24"/>
              </w:rPr>
            </w:pPr>
            <w:r>
              <w:rPr>
                <w:rFonts w:ascii="Calibri" w:hAnsi="Calibri"/>
                <w:b/>
                <w:sz w:val="24"/>
              </w:rPr>
              <w:t>En qué medida…</w:t>
            </w:r>
          </w:p>
        </w:tc>
        <w:tc>
          <w:tcPr>
            <w:tcW w:w="564" w:type="dxa"/>
            <w:shd w:val="clear" w:color="auto" w:fill="92D050"/>
            <w:textDirection w:val="btLr"/>
          </w:tcPr>
          <w:p>
            <w:pPr>
              <w:pStyle w:val="TableParagraph"/>
              <w:spacing w:before="105"/>
              <w:ind w:left="115"/>
              <w:jc w:val="left"/>
              <w:rPr>
                <w:rFonts w:ascii="Calibri"/>
                <w:b/>
                <w:sz w:val="24"/>
              </w:rPr>
            </w:pPr>
            <w:r>
              <w:rPr>
                <w:rFonts w:ascii="Calibri"/>
                <w:b/>
                <w:sz w:val="24"/>
              </w:rPr>
              <w:t>N</w:t>
            </w:r>
            <w:r>
              <w:rPr>
                <w:rFonts w:ascii="Calibri"/>
                <w:b/>
                <w:spacing w:val="-1"/>
                <w:sz w:val="24"/>
              </w:rPr>
              <w:t>a</w:t>
            </w:r>
            <w:r>
              <w:rPr>
                <w:rFonts w:ascii="Calibri"/>
                <w:b/>
                <w:sz w:val="24"/>
              </w:rPr>
              <w:t>da</w:t>
            </w:r>
          </w:p>
        </w:tc>
        <w:tc>
          <w:tcPr>
            <w:tcW w:w="567" w:type="dxa"/>
            <w:shd w:val="clear" w:color="auto" w:fill="92D050"/>
            <w:textDirection w:val="btLr"/>
          </w:tcPr>
          <w:p>
            <w:pPr>
              <w:pStyle w:val="TableParagraph"/>
              <w:spacing w:before="107"/>
              <w:ind w:left="115"/>
              <w:jc w:val="left"/>
              <w:rPr>
                <w:rFonts w:ascii="Calibri"/>
                <w:b/>
                <w:sz w:val="24"/>
              </w:rPr>
            </w:pPr>
            <w:r>
              <w:rPr>
                <w:rFonts w:ascii="Calibri"/>
                <w:b/>
                <w:spacing w:val="-1"/>
                <w:sz w:val="24"/>
              </w:rPr>
              <w:t>L</w:t>
            </w:r>
            <w:r>
              <w:rPr>
                <w:rFonts w:ascii="Calibri"/>
                <w:b/>
                <w:sz w:val="24"/>
              </w:rPr>
              <w:t>o</w:t>
            </w:r>
            <w:r>
              <w:rPr>
                <w:rFonts w:ascii="Calibri"/>
                <w:b/>
                <w:spacing w:val="1"/>
                <w:sz w:val="24"/>
              </w:rPr>
              <w:t> </w:t>
            </w:r>
            <w:r>
              <w:rPr>
                <w:rFonts w:ascii="Calibri"/>
                <w:b/>
                <w:sz w:val="24"/>
              </w:rPr>
              <w:t>n</w:t>
            </w:r>
            <w:r>
              <w:rPr>
                <w:rFonts w:ascii="Calibri"/>
                <w:b/>
                <w:spacing w:val="-1"/>
                <w:sz w:val="24"/>
              </w:rPr>
              <w:t>ecesa</w:t>
            </w:r>
            <w:r>
              <w:rPr>
                <w:rFonts w:ascii="Calibri"/>
                <w:b/>
                <w:sz w:val="24"/>
              </w:rPr>
              <w:t>rio</w:t>
            </w:r>
          </w:p>
        </w:tc>
        <w:tc>
          <w:tcPr>
            <w:tcW w:w="523" w:type="dxa"/>
            <w:shd w:val="clear" w:color="auto" w:fill="92D050"/>
            <w:textDirection w:val="btLr"/>
          </w:tcPr>
          <w:p>
            <w:pPr>
              <w:pStyle w:val="TableParagraph"/>
              <w:spacing w:before="105"/>
              <w:ind w:left="115"/>
              <w:jc w:val="left"/>
              <w:rPr>
                <w:rFonts w:ascii="Calibri"/>
                <w:b/>
                <w:sz w:val="24"/>
              </w:rPr>
            </w:pPr>
            <w:r>
              <w:rPr>
                <w:rFonts w:ascii="Calibri"/>
                <w:b/>
                <w:spacing w:val="-1"/>
                <w:sz w:val="24"/>
              </w:rPr>
              <w:t>L</w:t>
            </w:r>
            <w:r>
              <w:rPr>
                <w:rFonts w:ascii="Calibri"/>
                <w:b/>
                <w:sz w:val="24"/>
              </w:rPr>
              <w:t>o</w:t>
            </w:r>
            <w:r>
              <w:rPr>
                <w:rFonts w:ascii="Calibri"/>
                <w:b/>
                <w:spacing w:val="1"/>
                <w:sz w:val="24"/>
              </w:rPr>
              <w:t> </w:t>
            </w:r>
            <w:r>
              <w:rPr>
                <w:rFonts w:ascii="Calibri"/>
                <w:b/>
                <w:sz w:val="24"/>
              </w:rPr>
              <w:t>su</w:t>
            </w:r>
            <w:r>
              <w:rPr>
                <w:rFonts w:ascii="Calibri"/>
                <w:b/>
                <w:spacing w:val="-2"/>
                <w:sz w:val="24"/>
              </w:rPr>
              <w:t>f</w:t>
            </w:r>
            <w:r>
              <w:rPr>
                <w:rFonts w:ascii="Calibri"/>
                <w:b/>
                <w:sz w:val="24"/>
              </w:rPr>
              <w:t>i</w:t>
            </w:r>
            <w:r>
              <w:rPr>
                <w:rFonts w:ascii="Calibri"/>
                <w:b/>
                <w:spacing w:val="-1"/>
                <w:sz w:val="24"/>
              </w:rPr>
              <w:t>c</w:t>
            </w:r>
            <w:r>
              <w:rPr>
                <w:rFonts w:ascii="Calibri"/>
                <w:b/>
                <w:spacing w:val="1"/>
                <w:sz w:val="24"/>
              </w:rPr>
              <w:t>i</w:t>
            </w:r>
            <w:r>
              <w:rPr>
                <w:rFonts w:ascii="Calibri"/>
                <w:b/>
                <w:spacing w:val="-1"/>
                <w:sz w:val="24"/>
              </w:rPr>
              <w:t>e</w:t>
            </w:r>
            <w:r>
              <w:rPr>
                <w:rFonts w:ascii="Calibri"/>
                <w:b/>
                <w:sz w:val="24"/>
              </w:rPr>
              <w:t>nte</w:t>
            </w:r>
          </w:p>
        </w:tc>
        <w:tc>
          <w:tcPr>
            <w:tcW w:w="521" w:type="dxa"/>
            <w:shd w:val="clear" w:color="auto" w:fill="92D050"/>
            <w:textDirection w:val="btLr"/>
          </w:tcPr>
          <w:p>
            <w:pPr>
              <w:pStyle w:val="TableParagraph"/>
              <w:spacing w:before="105"/>
              <w:ind w:left="115"/>
              <w:jc w:val="left"/>
              <w:rPr>
                <w:rFonts w:ascii="Calibri"/>
                <w:b/>
                <w:sz w:val="24"/>
              </w:rPr>
            </w:pPr>
            <w:r>
              <w:rPr>
                <w:rFonts w:ascii="Calibri"/>
                <w:b/>
                <w:spacing w:val="-1"/>
                <w:sz w:val="24"/>
              </w:rPr>
              <w:t>C</w:t>
            </w:r>
            <w:r>
              <w:rPr>
                <w:rFonts w:ascii="Calibri"/>
                <w:b/>
                <w:sz w:val="24"/>
              </w:rPr>
              <w:t>o</w:t>
            </w:r>
            <w:r>
              <w:rPr>
                <w:rFonts w:ascii="Calibri"/>
                <w:b/>
                <w:spacing w:val="-1"/>
                <w:sz w:val="24"/>
              </w:rPr>
              <w:t>m</w:t>
            </w:r>
            <w:r>
              <w:rPr>
                <w:rFonts w:ascii="Calibri"/>
                <w:b/>
                <w:sz w:val="24"/>
              </w:rPr>
              <w:t>pl</w:t>
            </w:r>
            <w:r>
              <w:rPr>
                <w:rFonts w:ascii="Calibri"/>
                <w:b/>
                <w:spacing w:val="-1"/>
                <w:sz w:val="24"/>
              </w:rPr>
              <w:t>e</w:t>
            </w:r>
            <w:r>
              <w:rPr>
                <w:rFonts w:ascii="Calibri"/>
                <w:b/>
                <w:sz w:val="24"/>
              </w:rPr>
              <w:t>ta</w:t>
            </w:r>
            <w:r>
              <w:rPr>
                <w:rFonts w:ascii="Calibri"/>
                <w:b/>
                <w:spacing w:val="-2"/>
                <w:sz w:val="24"/>
              </w:rPr>
              <w:t>m</w:t>
            </w:r>
            <w:r>
              <w:rPr>
                <w:rFonts w:ascii="Calibri"/>
                <w:b/>
                <w:spacing w:val="-1"/>
                <w:sz w:val="24"/>
              </w:rPr>
              <w:t>e</w:t>
            </w:r>
            <w:r>
              <w:rPr>
                <w:rFonts w:ascii="Calibri"/>
                <w:b/>
                <w:sz w:val="24"/>
              </w:rPr>
              <w:t>nte</w:t>
            </w:r>
          </w:p>
        </w:tc>
      </w:tr>
      <w:tr>
        <w:trPr>
          <w:trHeight w:val="598" w:hRule="exact"/>
        </w:trPr>
        <w:tc>
          <w:tcPr>
            <w:tcW w:w="569" w:type="dxa"/>
          </w:tcPr>
          <w:p>
            <w:pPr>
              <w:pStyle w:val="TableParagraph"/>
              <w:spacing w:line="292" w:lineRule="exact"/>
              <w:ind w:left="103"/>
              <w:jc w:val="left"/>
              <w:rPr>
                <w:rFonts w:ascii="Calibri"/>
                <w:sz w:val="24"/>
              </w:rPr>
            </w:pPr>
            <w:r>
              <w:rPr>
                <w:rFonts w:ascii="Calibri"/>
                <w:sz w:val="24"/>
              </w:rPr>
              <w:t>47</w:t>
            </w:r>
          </w:p>
        </w:tc>
        <w:tc>
          <w:tcPr>
            <w:tcW w:w="6085" w:type="dxa"/>
          </w:tcPr>
          <w:p>
            <w:pPr>
              <w:pStyle w:val="TableParagraph"/>
              <w:ind w:left="103" w:right="103"/>
              <w:jc w:val="left"/>
              <w:rPr>
                <w:rFonts w:ascii="Calibri"/>
                <w:sz w:val="24"/>
              </w:rPr>
            </w:pPr>
            <w:r>
              <w:rPr>
                <w:rFonts w:ascii="Calibri"/>
                <w:sz w:val="24"/>
              </w:rPr>
              <w:t>Las decisiones tomadas en administraciones pasadas han favorecido la transparencia de su municipio.</w:t>
            </w:r>
          </w:p>
        </w:tc>
        <w:tc>
          <w:tcPr>
            <w:tcW w:w="564" w:type="dxa"/>
          </w:tcPr>
          <w:p>
            <w:pPr/>
          </w:p>
        </w:tc>
        <w:tc>
          <w:tcPr>
            <w:tcW w:w="567" w:type="dxa"/>
          </w:tcPr>
          <w:p>
            <w:pPr/>
          </w:p>
        </w:tc>
        <w:tc>
          <w:tcPr>
            <w:tcW w:w="523" w:type="dxa"/>
          </w:tcPr>
          <w:p>
            <w:pPr/>
          </w:p>
        </w:tc>
        <w:tc>
          <w:tcPr>
            <w:tcW w:w="521" w:type="dxa"/>
          </w:tcPr>
          <w:p>
            <w:pPr/>
          </w:p>
        </w:tc>
      </w:tr>
      <w:tr>
        <w:trPr>
          <w:trHeight w:val="595" w:hRule="exact"/>
        </w:trPr>
        <w:tc>
          <w:tcPr>
            <w:tcW w:w="569" w:type="dxa"/>
          </w:tcPr>
          <w:p>
            <w:pPr>
              <w:pStyle w:val="TableParagraph"/>
              <w:spacing w:line="290" w:lineRule="exact"/>
              <w:ind w:left="103"/>
              <w:jc w:val="left"/>
              <w:rPr>
                <w:rFonts w:ascii="Calibri"/>
                <w:sz w:val="24"/>
              </w:rPr>
            </w:pPr>
            <w:r>
              <w:rPr>
                <w:rFonts w:ascii="Calibri"/>
                <w:sz w:val="24"/>
              </w:rPr>
              <w:t>48</w:t>
            </w:r>
          </w:p>
        </w:tc>
        <w:tc>
          <w:tcPr>
            <w:tcW w:w="6085" w:type="dxa"/>
          </w:tcPr>
          <w:p>
            <w:pPr>
              <w:pStyle w:val="TableParagraph"/>
              <w:ind w:left="103"/>
              <w:jc w:val="left"/>
              <w:rPr>
                <w:rFonts w:ascii="Calibri"/>
                <w:sz w:val="24"/>
              </w:rPr>
            </w:pPr>
            <w:r>
              <w:rPr>
                <w:rFonts w:ascii="Calibri"/>
                <w:sz w:val="24"/>
              </w:rPr>
              <w:t>Los trabajadores operativos fingen el cumplimiento de la ley de transparencia en su municipio.</w:t>
            </w:r>
          </w:p>
        </w:tc>
        <w:tc>
          <w:tcPr>
            <w:tcW w:w="564" w:type="dxa"/>
          </w:tcPr>
          <w:p>
            <w:pPr/>
          </w:p>
        </w:tc>
        <w:tc>
          <w:tcPr>
            <w:tcW w:w="567" w:type="dxa"/>
          </w:tcPr>
          <w:p>
            <w:pPr/>
          </w:p>
        </w:tc>
        <w:tc>
          <w:tcPr>
            <w:tcW w:w="523" w:type="dxa"/>
          </w:tcPr>
          <w:p>
            <w:pPr/>
          </w:p>
        </w:tc>
        <w:tc>
          <w:tcPr>
            <w:tcW w:w="521" w:type="dxa"/>
          </w:tcPr>
          <w:p>
            <w:pPr/>
          </w:p>
        </w:tc>
      </w:tr>
      <w:tr>
        <w:trPr>
          <w:trHeight w:val="595" w:hRule="exact"/>
        </w:trPr>
        <w:tc>
          <w:tcPr>
            <w:tcW w:w="569" w:type="dxa"/>
          </w:tcPr>
          <w:p>
            <w:pPr>
              <w:pStyle w:val="TableParagraph"/>
              <w:spacing w:line="290" w:lineRule="exact"/>
              <w:ind w:left="103"/>
              <w:jc w:val="left"/>
              <w:rPr>
                <w:rFonts w:ascii="Calibri"/>
                <w:sz w:val="24"/>
              </w:rPr>
            </w:pPr>
            <w:r>
              <w:rPr>
                <w:rFonts w:ascii="Calibri"/>
                <w:sz w:val="24"/>
              </w:rPr>
              <w:t>49</w:t>
            </w:r>
          </w:p>
        </w:tc>
        <w:tc>
          <w:tcPr>
            <w:tcW w:w="6085" w:type="dxa"/>
          </w:tcPr>
          <w:p>
            <w:pPr>
              <w:pStyle w:val="TableParagraph"/>
              <w:ind w:left="103" w:right="103"/>
              <w:jc w:val="left"/>
              <w:rPr>
                <w:rFonts w:ascii="Calibri"/>
                <w:sz w:val="24"/>
              </w:rPr>
            </w:pPr>
            <w:r>
              <w:rPr>
                <w:rFonts w:ascii="Calibri"/>
                <w:sz w:val="24"/>
              </w:rPr>
              <w:t>El presidente municipal procura el cumplimiento de la ley transparencia en su municipio.</w:t>
            </w:r>
          </w:p>
        </w:tc>
        <w:tc>
          <w:tcPr>
            <w:tcW w:w="564" w:type="dxa"/>
          </w:tcPr>
          <w:p>
            <w:pPr/>
          </w:p>
        </w:tc>
        <w:tc>
          <w:tcPr>
            <w:tcW w:w="567" w:type="dxa"/>
          </w:tcPr>
          <w:p>
            <w:pPr/>
          </w:p>
        </w:tc>
        <w:tc>
          <w:tcPr>
            <w:tcW w:w="523" w:type="dxa"/>
          </w:tcPr>
          <w:p>
            <w:pPr/>
          </w:p>
        </w:tc>
        <w:tc>
          <w:tcPr>
            <w:tcW w:w="521" w:type="dxa"/>
          </w:tcPr>
          <w:p>
            <w:pPr/>
          </w:p>
        </w:tc>
      </w:tr>
      <w:tr>
        <w:trPr>
          <w:trHeight w:val="598" w:hRule="exact"/>
        </w:trPr>
        <w:tc>
          <w:tcPr>
            <w:tcW w:w="569" w:type="dxa"/>
          </w:tcPr>
          <w:p>
            <w:pPr>
              <w:pStyle w:val="TableParagraph"/>
              <w:spacing w:line="293" w:lineRule="exact"/>
              <w:ind w:left="103"/>
              <w:jc w:val="left"/>
              <w:rPr>
                <w:rFonts w:ascii="Calibri"/>
                <w:sz w:val="24"/>
              </w:rPr>
            </w:pPr>
            <w:r>
              <w:rPr>
                <w:rFonts w:ascii="Calibri"/>
                <w:sz w:val="24"/>
              </w:rPr>
              <w:t>50</w:t>
            </w:r>
          </w:p>
        </w:tc>
        <w:tc>
          <w:tcPr>
            <w:tcW w:w="6085" w:type="dxa"/>
          </w:tcPr>
          <w:p>
            <w:pPr>
              <w:pStyle w:val="TableParagraph"/>
              <w:ind w:left="103"/>
              <w:jc w:val="left"/>
              <w:rPr>
                <w:rFonts w:ascii="Calibri" w:hAnsi="Calibri"/>
                <w:sz w:val="24"/>
              </w:rPr>
            </w:pPr>
            <w:r>
              <w:rPr>
                <w:rFonts w:ascii="Calibri" w:hAnsi="Calibri"/>
                <w:sz w:val="24"/>
              </w:rPr>
              <w:t>Los servidores públicos de su municipio que incumplen la ley de transparencia son sancionados.</w:t>
            </w:r>
          </w:p>
        </w:tc>
        <w:tc>
          <w:tcPr>
            <w:tcW w:w="564" w:type="dxa"/>
          </w:tcPr>
          <w:p>
            <w:pPr/>
          </w:p>
        </w:tc>
        <w:tc>
          <w:tcPr>
            <w:tcW w:w="567" w:type="dxa"/>
          </w:tcPr>
          <w:p>
            <w:pPr/>
          </w:p>
        </w:tc>
        <w:tc>
          <w:tcPr>
            <w:tcW w:w="523" w:type="dxa"/>
          </w:tcPr>
          <w:p>
            <w:pPr/>
          </w:p>
        </w:tc>
        <w:tc>
          <w:tcPr>
            <w:tcW w:w="521" w:type="dxa"/>
          </w:tcPr>
          <w:p>
            <w:pPr/>
          </w:p>
        </w:tc>
      </w:tr>
      <w:tr>
        <w:trPr>
          <w:trHeight w:val="595" w:hRule="exact"/>
        </w:trPr>
        <w:tc>
          <w:tcPr>
            <w:tcW w:w="569" w:type="dxa"/>
          </w:tcPr>
          <w:p>
            <w:pPr>
              <w:pStyle w:val="TableParagraph"/>
              <w:spacing w:line="290" w:lineRule="exact"/>
              <w:ind w:left="103"/>
              <w:jc w:val="left"/>
              <w:rPr>
                <w:rFonts w:ascii="Calibri"/>
                <w:sz w:val="24"/>
              </w:rPr>
            </w:pPr>
            <w:r>
              <w:rPr>
                <w:rFonts w:ascii="Calibri"/>
                <w:sz w:val="24"/>
              </w:rPr>
              <w:t>51</w:t>
            </w:r>
          </w:p>
        </w:tc>
        <w:tc>
          <w:tcPr>
            <w:tcW w:w="6085" w:type="dxa"/>
          </w:tcPr>
          <w:p>
            <w:pPr>
              <w:pStyle w:val="TableParagraph"/>
              <w:ind w:left="103" w:right="103"/>
              <w:jc w:val="left"/>
              <w:rPr>
                <w:rFonts w:ascii="Calibri" w:hAnsi="Calibri"/>
                <w:sz w:val="24"/>
              </w:rPr>
            </w:pPr>
            <w:r>
              <w:rPr>
                <w:rFonts w:ascii="Calibri" w:hAnsi="Calibri"/>
                <w:sz w:val="24"/>
              </w:rPr>
              <w:t>Los trabajadores operativos fingen la promoción de la transparencia en su municipio.</w:t>
            </w:r>
          </w:p>
        </w:tc>
        <w:tc>
          <w:tcPr>
            <w:tcW w:w="564" w:type="dxa"/>
          </w:tcPr>
          <w:p>
            <w:pPr/>
          </w:p>
        </w:tc>
        <w:tc>
          <w:tcPr>
            <w:tcW w:w="567" w:type="dxa"/>
          </w:tcPr>
          <w:p>
            <w:pPr/>
          </w:p>
        </w:tc>
        <w:tc>
          <w:tcPr>
            <w:tcW w:w="523" w:type="dxa"/>
          </w:tcPr>
          <w:p>
            <w:pPr/>
          </w:p>
        </w:tc>
        <w:tc>
          <w:tcPr>
            <w:tcW w:w="521" w:type="dxa"/>
          </w:tcPr>
          <w:p>
            <w:pPr/>
          </w:p>
        </w:tc>
      </w:tr>
      <w:tr>
        <w:trPr>
          <w:trHeight w:val="595" w:hRule="exact"/>
        </w:trPr>
        <w:tc>
          <w:tcPr>
            <w:tcW w:w="569" w:type="dxa"/>
          </w:tcPr>
          <w:p>
            <w:pPr>
              <w:pStyle w:val="TableParagraph"/>
              <w:spacing w:line="290" w:lineRule="exact"/>
              <w:ind w:left="103"/>
              <w:jc w:val="left"/>
              <w:rPr>
                <w:rFonts w:ascii="Calibri"/>
                <w:sz w:val="24"/>
              </w:rPr>
            </w:pPr>
            <w:r>
              <w:rPr>
                <w:rFonts w:ascii="Calibri"/>
                <w:sz w:val="24"/>
              </w:rPr>
              <w:t>52</w:t>
            </w:r>
          </w:p>
        </w:tc>
        <w:tc>
          <w:tcPr>
            <w:tcW w:w="6085" w:type="dxa"/>
          </w:tcPr>
          <w:p>
            <w:pPr>
              <w:pStyle w:val="TableParagraph"/>
              <w:ind w:left="103" w:right="103"/>
              <w:jc w:val="left"/>
              <w:rPr>
                <w:rFonts w:ascii="Calibri" w:hAnsi="Calibri"/>
                <w:sz w:val="24"/>
              </w:rPr>
            </w:pPr>
            <w:r>
              <w:rPr>
                <w:rFonts w:ascii="Calibri" w:hAnsi="Calibri"/>
                <w:sz w:val="24"/>
              </w:rPr>
              <w:t>La transparencia puede limitar cotos de poder de quien posee la información.</w:t>
            </w:r>
          </w:p>
        </w:tc>
        <w:tc>
          <w:tcPr>
            <w:tcW w:w="564" w:type="dxa"/>
          </w:tcPr>
          <w:p>
            <w:pPr/>
          </w:p>
        </w:tc>
        <w:tc>
          <w:tcPr>
            <w:tcW w:w="567" w:type="dxa"/>
          </w:tcPr>
          <w:p>
            <w:pPr/>
          </w:p>
        </w:tc>
        <w:tc>
          <w:tcPr>
            <w:tcW w:w="523" w:type="dxa"/>
          </w:tcPr>
          <w:p>
            <w:pPr/>
          </w:p>
        </w:tc>
        <w:tc>
          <w:tcPr>
            <w:tcW w:w="521" w:type="dxa"/>
          </w:tcPr>
          <w:p>
            <w:pPr/>
          </w:p>
        </w:tc>
      </w:tr>
      <w:tr>
        <w:trPr>
          <w:trHeight w:val="598" w:hRule="exact"/>
        </w:trPr>
        <w:tc>
          <w:tcPr>
            <w:tcW w:w="569" w:type="dxa"/>
          </w:tcPr>
          <w:p>
            <w:pPr>
              <w:pStyle w:val="TableParagraph"/>
              <w:spacing w:line="290" w:lineRule="exact"/>
              <w:ind w:left="103"/>
              <w:jc w:val="left"/>
              <w:rPr>
                <w:rFonts w:ascii="Calibri"/>
                <w:sz w:val="24"/>
              </w:rPr>
            </w:pPr>
            <w:r>
              <w:rPr>
                <w:rFonts w:ascii="Calibri"/>
                <w:sz w:val="24"/>
              </w:rPr>
              <w:t>53</w:t>
            </w:r>
          </w:p>
        </w:tc>
        <w:tc>
          <w:tcPr>
            <w:tcW w:w="6085" w:type="dxa"/>
          </w:tcPr>
          <w:p>
            <w:pPr>
              <w:pStyle w:val="TableParagraph"/>
              <w:ind w:left="103" w:right="88"/>
              <w:jc w:val="left"/>
              <w:rPr>
                <w:rFonts w:ascii="Calibri"/>
                <w:sz w:val="24"/>
              </w:rPr>
            </w:pPr>
            <w:r>
              <w:rPr>
                <w:rFonts w:ascii="Calibri"/>
                <w:sz w:val="24"/>
              </w:rPr>
              <w:t>Los trabajadores operativos cumplen la ley transparencia en su municipio.</w:t>
            </w:r>
          </w:p>
        </w:tc>
        <w:tc>
          <w:tcPr>
            <w:tcW w:w="564" w:type="dxa"/>
          </w:tcPr>
          <w:p>
            <w:pPr/>
          </w:p>
        </w:tc>
        <w:tc>
          <w:tcPr>
            <w:tcW w:w="567" w:type="dxa"/>
          </w:tcPr>
          <w:p>
            <w:pPr/>
          </w:p>
        </w:tc>
        <w:tc>
          <w:tcPr>
            <w:tcW w:w="523" w:type="dxa"/>
          </w:tcPr>
          <w:p>
            <w:pPr/>
          </w:p>
        </w:tc>
        <w:tc>
          <w:tcPr>
            <w:tcW w:w="521" w:type="dxa"/>
          </w:tcPr>
          <w:p>
            <w:pPr/>
          </w:p>
        </w:tc>
      </w:tr>
      <w:tr>
        <w:trPr>
          <w:trHeight w:val="425" w:hRule="exact"/>
        </w:trPr>
        <w:tc>
          <w:tcPr>
            <w:tcW w:w="569" w:type="dxa"/>
          </w:tcPr>
          <w:p>
            <w:pPr>
              <w:pStyle w:val="TableParagraph"/>
              <w:spacing w:line="290" w:lineRule="exact"/>
              <w:ind w:left="103"/>
              <w:jc w:val="left"/>
              <w:rPr>
                <w:rFonts w:ascii="Calibri"/>
                <w:sz w:val="24"/>
              </w:rPr>
            </w:pPr>
            <w:r>
              <w:rPr>
                <w:rFonts w:ascii="Calibri"/>
                <w:sz w:val="24"/>
              </w:rPr>
              <w:t>54</w:t>
            </w:r>
          </w:p>
        </w:tc>
        <w:tc>
          <w:tcPr>
            <w:tcW w:w="6085" w:type="dxa"/>
          </w:tcPr>
          <w:p>
            <w:pPr>
              <w:pStyle w:val="TableParagraph"/>
              <w:spacing w:line="290" w:lineRule="exact"/>
              <w:ind w:left="103" w:right="103"/>
              <w:jc w:val="left"/>
              <w:rPr>
                <w:rFonts w:ascii="Calibri"/>
                <w:sz w:val="24"/>
              </w:rPr>
            </w:pPr>
            <w:r>
              <w:rPr>
                <w:rFonts w:ascii="Calibri"/>
                <w:sz w:val="24"/>
              </w:rPr>
              <w:t>En su municipio se garantiza la transparencia.</w:t>
            </w:r>
          </w:p>
        </w:tc>
        <w:tc>
          <w:tcPr>
            <w:tcW w:w="564" w:type="dxa"/>
          </w:tcPr>
          <w:p>
            <w:pPr/>
          </w:p>
        </w:tc>
        <w:tc>
          <w:tcPr>
            <w:tcW w:w="567" w:type="dxa"/>
          </w:tcPr>
          <w:p>
            <w:pPr/>
          </w:p>
        </w:tc>
        <w:tc>
          <w:tcPr>
            <w:tcW w:w="523" w:type="dxa"/>
          </w:tcPr>
          <w:p>
            <w:pPr/>
          </w:p>
        </w:tc>
        <w:tc>
          <w:tcPr>
            <w:tcW w:w="521" w:type="dxa"/>
          </w:tcPr>
          <w:p>
            <w:pPr/>
          </w:p>
        </w:tc>
      </w:tr>
      <w:tr>
        <w:trPr>
          <w:trHeight w:val="595" w:hRule="exact"/>
        </w:trPr>
        <w:tc>
          <w:tcPr>
            <w:tcW w:w="569" w:type="dxa"/>
          </w:tcPr>
          <w:p>
            <w:pPr>
              <w:pStyle w:val="TableParagraph"/>
              <w:spacing w:line="290" w:lineRule="exact"/>
              <w:ind w:left="103"/>
              <w:jc w:val="left"/>
              <w:rPr>
                <w:rFonts w:ascii="Calibri"/>
                <w:sz w:val="24"/>
              </w:rPr>
            </w:pPr>
            <w:r>
              <w:rPr>
                <w:rFonts w:ascii="Calibri"/>
                <w:sz w:val="24"/>
              </w:rPr>
              <w:t>55</w:t>
            </w:r>
          </w:p>
        </w:tc>
        <w:tc>
          <w:tcPr>
            <w:tcW w:w="6085" w:type="dxa"/>
          </w:tcPr>
          <w:p>
            <w:pPr>
              <w:pStyle w:val="TableParagraph"/>
              <w:ind w:left="103" w:right="103"/>
              <w:jc w:val="left"/>
              <w:rPr>
                <w:rFonts w:ascii="Calibri"/>
                <w:sz w:val="24"/>
              </w:rPr>
            </w:pPr>
            <w:r>
              <w:rPr>
                <w:rFonts w:ascii="Calibri"/>
                <w:sz w:val="24"/>
              </w:rPr>
              <w:t>Los integrantes del cabildo (regidores) promueven la transparencia en su municipio.</w:t>
            </w:r>
          </w:p>
        </w:tc>
        <w:tc>
          <w:tcPr>
            <w:tcW w:w="564" w:type="dxa"/>
          </w:tcPr>
          <w:p>
            <w:pPr/>
          </w:p>
        </w:tc>
        <w:tc>
          <w:tcPr>
            <w:tcW w:w="567" w:type="dxa"/>
          </w:tcPr>
          <w:p>
            <w:pPr/>
          </w:p>
        </w:tc>
        <w:tc>
          <w:tcPr>
            <w:tcW w:w="523" w:type="dxa"/>
          </w:tcPr>
          <w:p>
            <w:pPr/>
          </w:p>
        </w:tc>
        <w:tc>
          <w:tcPr>
            <w:tcW w:w="521" w:type="dxa"/>
          </w:tcPr>
          <w:p>
            <w:pPr/>
          </w:p>
        </w:tc>
      </w:tr>
      <w:tr>
        <w:trPr>
          <w:trHeight w:val="596" w:hRule="exact"/>
        </w:trPr>
        <w:tc>
          <w:tcPr>
            <w:tcW w:w="569" w:type="dxa"/>
          </w:tcPr>
          <w:p>
            <w:pPr>
              <w:pStyle w:val="TableParagraph"/>
              <w:spacing w:line="290" w:lineRule="exact"/>
              <w:ind w:left="103"/>
              <w:jc w:val="left"/>
              <w:rPr>
                <w:rFonts w:ascii="Calibri"/>
                <w:sz w:val="24"/>
              </w:rPr>
            </w:pPr>
            <w:r>
              <w:rPr>
                <w:rFonts w:ascii="Calibri"/>
                <w:sz w:val="24"/>
              </w:rPr>
              <w:t>56</w:t>
            </w:r>
          </w:p>
        </w:tc>
        <w:tc>
          <w:tcPr>
            <w:tcW w:w="6085" w:type="dxa"/>
          </w:tcPr>
          <w:p>
            <w:pPr>
              <w:pStyle w:val="TableParagraph"/>
              <w:ind w:left="103" w:right="103"/>
              <w:jc w:val="left"/>
              <w:rPr>
                <w:rFonts w:ascii="Calibri" w:hAnsi="Calibri"/>
                <w:sz w:val="24"/>
              </w:rPr>
            </w:pPr>
            <w:r>
              <w:rPr>
                <w:rFonts w:ascii="Calibri" w:hAnsi="Calibri"/>
                <w:sz w:val="24"/>
              </w:rPr>
              <w:t>Tiene usted libertad para actualizar los procedimientos en torno a la práctica de la transparencia.</w:t>
            </w:r>
          </w:p>
        </w:tc>
        <w:tc>
          <w:tcPr>
            <w:tcW w:w="564" w:type="dxa"/>
          </w:tcPr>
          <w:p>
            <w:pPr/>
          </w:p>
        </w:tc>
        <w:tc>
          <w:tcPr>
            <w:tcW w:w="567" w:type="dxa"/>
          </w:tcPr>
          <w:p>
            <w:pPr/>
          </w:p>
        </w:tc>
        <w:tc>
          <w:tcPr>
            <w:tcW w:w="523" w:type="dxa"/>
          </w:tcPr>
          <w:p>
            <w:pPr/>
          </w:p>
        </w:tc>
        <w:tc>
          <w:tcPr>
            <w:tcW w:w="521" w:type="dxa"/>
          </w:tcPr>
          <w:p>
            <w:pPr/>
          </w:p>
        </w:tc>
      </w:tr>
      <w:tr>
        <w:trPr>
          <w:trHeight w:val="598" w:hRule="exact"/>
        </w:trPr>
        <w:tc>
          <w:tcPr>
            <w:tcW w:w="569" w:type="dxa"/>
          </w:tcPr>
          <w:p>
            <w:pPr>
              <w:pStyle w:val="TableParagraph"/>
              <w:spacing w:line="290" w:lineRule="exact"/>
              <w:ind w:left="103"/>
              <w:jc w:val="left"/>
              <w:rPr>
                <w:rFonts w:ascii="Calibri"/>
                <w:sz w:val="24"/>
              </w:rPr>
            </w:pPr>
            <w:r>
              <w:rPr>
                <w:rFonts w:ascii="Calibri"/>
                <w:sz w:val="24"/>
              </w:rPr>
              <w:t>57</w:t>
            </w:r>
          </w:p>
        </w:tc>
        <w:tc>
          <w:tcPr>
            <w:tcW w:w="6085" w:type="dxa"/>
          </w:tcPr>
          <w:p>
            <w:pPr>
              <w:pStyle w:val="TableParagraph"/>
              <w:spacing w:line="242" w:lineRule="auto"/>
              <w:ind w:left="103" w:right="103"/>
              <w:jc w:val="left"/>
              <w:rPr>
                <w:rFonts w:ascii="Calibri" w:hAnsi="Calibri"/>
                <w:sz w:val="24"/>
              </w:rPr>
            </w:pPr>
            <w:r>
              <w:rPr>
                <w:rFonts w:ascii="Calibri" w:hAnsi="Calibri"/>
                <w:sz w:val="24"/>
              </w:rPr>
              <w:t>La no transparencia puede generar cotos de poder para quien posee información.</w:t>
            </w:r>
          </w:p>
        </w:tc>
        <w:tc>
          <w:tcPr>
            <w:tcW w:w="564" w:type="dxa"/>
          </w:tcPr>
          <w:p>
            <w:pPr/>
          </w:p>
        </w:tc>
        <w:tc>
          <w:tcPr>
            <w:tcW w:w="567" w:type="dxa"/>
          </w:tcPr>
          <w:p>
            <w:pPr/>
          </w:p>
        </w:tc>
        <w:tc>
          <w:tcPr>
            <w:tcW w:w="523" w:type="dxa"/>
          </w:tcPr>
          <w:p>
            <w:pPr/>
          </w:p>
        </w:tc>
        <w:tc>
          <w:tcPr>
            <w:tcW w:w="521" w:type="dxa"/>
          </w:tcPr>
          <w:p>
            <w:pPr/>
          </w:p>
        </w:tc>
      </w:tr>
      <w:tr>
        <w:trPr>
          <w:trHeight w:val="425" w:hRule="exact"/>
        </w:trPr>
        <w:tc>
          <w:tcPr>
            <w:tcW w:w="569" w:type="dxa"/>
          </w:tcPr>
          <w:p>
            <w:pPr>
              <w:pStyle w:val="TableParagraph"/>
              <w:spacing w:line="290" w:lineRule="exact"/>
              <w:ind w:left="103"/>
              <w:jc w:val="left"/>
              <w:rPr>
                <w:rFonts w:ascii="Calibri"/>
                <w:sz w:val="24"/>
              </w:rPr>
            </w:pPr>
            <w:r>
              <w:rPr>
                <w:rFonts w:ascii="Calibri"/>
                <w:sz w:val="24"/>
              </w:rPr>
              <w:t>58</w:t>
            </w:r>
          </w:p>
        </w:tc>
        <w:tc>
          <w:tcPr>
            <w:tcW w:w="6085" w:type="dxa"/>
          </w:tcPr>
          <w:p>
            <w:pPr>
              <w:pStyle w:val="TableParagraph"/>
              <w:spacing w:line="290" w:lineRule="exact"/>
              <w:ind w:left="103" w:right="103"/>
              <w:jc w:val="left"/>
              <w:rPr>
                <w:rFonts w:ascii="Calibri" w:hAnsi="Calibri"/>
                <w:sz w:val="24"/>
              </w:rPr>
            </w:pPr>
            <w:r>
              <w:rPr>
                <w:rFonts w:ascii="Calibri" w:hAnsi="Calibri"/>
                <w:sz w:val="24"/>
              </w:rPr>
              <w:t>Conoce la Ley de Protección de datos personales</w:t>
            </w:r>
          </w:p>
        </w:tc>
        <w:tc>
          <w:tcPr>
            <w:tcW w:w="564" w:type="dxa"/>
          </w:tcPr>
          <w:p>
            <w:pPr/>
          </w:p>
        </w:tc>
        <w:tc>
          <w:tcPr>
            <w:tcW w:w="567" w:type="dxa"/>
          </w:tcPr>
          <w:p>
            <w:pPr/>
          </w:p>
        </w:tc>
        <w:tc>
          <w:tcPr>
            <w:tcW w:w="523" w:type="dxa"/>
          </w:tcPr>
          <w:p>
            <w:pPr/>
          </w:p>
        </w:tc>
        <w:tc>
          <w:tcPr>
            <w:tcW w:w="521" w:type="dxa"/>
          </w:tcPr>
          <w:p>
            <w:pPr/>
          </w:p>
        </w:tc>
      </w:tr>
      <w:tr>
        <w:trPr>
          <w:trHeight w:val="595" w:hRule="exact"/>
        </w:trPr>
        <w:tc>
          <w:tcPr>
            <w:tcW w:w="569" w:type="dxa"/>
          </w:tcPr>
          <w:p>
            <w:pPr>
              <w:pStyle w:val="TableParagraph"/>
              <w:spacing w:line="290" w:lineRule="exact"/>
              <w:ind w:left="103"/>
              <w:jc w:val="left"/>
              <w:rPr>
                <w:rFonts w:ascii="Calibri"/>
                <w:sz w:val="24"/>
              </w:rPr>
            </w:pPr>
            <w:r>
              <w:rPr>
                <w:rFonts w:ascii="Calibri"/>
                <w:sz w:val="24"/>
              </w:rPr>
              <w:t>59</w:t>
            </w:r>
          </w:p>
        </w:tc>
        <w:tc>
          <w:tcPr>
            <w:tcW w:w="6085" w:type="dxa"/>
          </w:tcPr>
          <w:p>
            <w:pPr>
              <w:pStyle w:val="TableParagraph"/>
              <w:ind w:left="103" w:right="103"/>
              <w:jc w:val="left"/>
              <w:rPr>
                <w:rFonts w:ascii="Calibri" w:hAnsi="Calibri"/>
                <w:sz w:val="24"/>
              </w:rPr>
            </w:pPr>
            <w:r>
              <w:rPr>
                <w:rFonts w:ascii="Calibri" w:hAnsi="Calibri"/>
                <w:sz w:val="24"/>
              </w:rPr>
              <w:t>Se aplica la Ley de Protección de datos personales en su municipio.</w:t>
            </w:r>
          </w:p>
        </w:tc>
        <w:tc>
          <w:tcPr>
            <w:tcW w:w="564" w:type="dxa"/>
          </w:tcPr>
          <w:p>
            <w:pPr/>
          </w:p>
        </w:tc>
        <w:tc>
          <w:tcPr>
            <w:tcW w:w="567" w:type="dxa"/>
          </w:tcPr>
          <w:p>
            <w:pPr/>
          </w:p>
        </w:tc>
        <w:tc>
          <w:tcPr>
            <w:tcW w:w="523" w:type="dxa"/>
          </w:tcPr>
          <w:p>
            <w:pPr/>
          </w:p>
        </w:tc>
        <w:tc>
          <w:tcPr>
            <w:tcW w:w="521" w:type="dxa"/>
          </w:tcPr>
          <w:p>
            <w:pPr/>
          </w:p>
        </w:tc>
      </w:tr>
      <w:tr>
        <w:trPr>
          <w:trHeight w:val="595" w:hRule="exact"/>
        </w:trPr>
        <w:tc>
          <w:tcPr>
            <w:tcW w:w="569" w:type="dxa"/>
          </w:tcPr>
          <w:p>
            <w:pPr>
              <w:pStyle w:val="TableParagraph"/>
              <w:spacing w:line="290" w:lineRule="exact"/>
              <w:ind w:left="103"/>
              <w:jc w:val="left"/>
              <w:rPr>
                <w:rFonts w:ascii="Calibri"/>
                <w:sz w:val="24"/>
              </w:rPr>
            </w:pPr>
            <w:r>
              <w:rPr>
                <w:rFonts w:ascii="Calibri"/>
                <w:sz w:val="24"/>
              </w:rPr>
              <w:t>60</w:t>
            </w:r>
          </w:p>
        </w:tc>
        <w:tc>
          <w:tcPr>
            <w:tcW w:w="6085" w:type="dxa"/>
          </w:tcPr>
          <w:p>
            <w:pPr>
              <w:pStyle w:val="TableParagraph"/>
              <w:ind w:left="103" w:right="103"/>
              <w:jc w:val="left"/>
              <w:rPr>
                <w:rFonts w:ascii="Calibri"/>
                <w:sz w:val="24"/>
              </w:rPr>
            </w:pPr>
            <w:r>
              <w:rPr>
                <w:rFonts w:ascii="Calibri"/>
                <w:sz w:val="24"/>
              </w:rPr>
              <w:t>Usted puede cambiar la forma en que se practica la transparencia en su municipio.</w:t>
            </w:r>
          </w:p>
        </w:tc>
        <w:tc>
          <w:tcPr>
            <w:tcW w:w="564" w:type="dxa"/>
          </w:tcPr>
          <w:p>
            <w:pPr/>
          </w:p>
        </w:tc>
        <w:tc>
          <w:tcPr>
            <w:tcW w:w="567" w:type="dxa"/>
          </w:tcPr>
          <w:p>
            <w:pPr/>
          </w:p>
        </w:tc>
        <w:tc>
          <w:tcPr>
            <w:tcW w:w="523" w:type="dxa"/>
          </w:tcPr>
          <w:p>
            <w:pPr/>
          </w:p>
        </w:tc>
        <w:tc>
          <w:tcPr>
            <w:tcW w:w="521" w:type="dxa"/>
          </w:tcPr>
          <w:p>
            <w:pPr/>
          </w:p>
        </w:tc>
      </w:tr>
      <w:tr>
        <w:trPr>
          <w:trHeight w:val="598" w:hRule="exact"/>
        </w:trPr>
        <w:tc>
          <w:tcPr>
            <w:tcW w:w="569" w:type="dxa"/>
          </w:tcPr>
          <w:p>
            <w:pPr>
              <w:pStyle w:val="TableParagraph"/>
              <w:spacing w:line="290" w:lineRule="exact"/>
              <w:ind w:left="103"/>
              <w:jc w:val="left"/>
              <w:rPr>
                <w:rFonts w:ascii="Calibri"/>
                <w:sz w:val="24"/>
              </w:rPr>
            </w:pPr>
            <w:r>
              <w:rPr>
                <w:rFonts w:ascii="Calibri"/>
                <w:sz w:val="24"/>
              </w:rPr>
              <w:t>61</w:t>
            </w:r>
          </w:p>
        </w:tc>
        <w:tc>
          <w:tcPr>
            <w:tcW w:w="6085" w:type="dxa"/>
          </w:tcPr>
          <w:p>
            <w:pPr>
              <w:pStyle w:val="TableParagraph"/>
              <w:spacing w:line="242" w:lineRule="auto"/>
              <w:ind w:left="103" w:right="103"/>
              <w:jc w:val="left"/>
              <w:rPr>
                <w:rFonts w:ascii="Calibri"/>
                <w:sz w:val="24"/>
              </w:rPr>
            </w:pPr>
            <w:r>
              <w:rPr>
                <w:rFonts w:ascii="Calibri"/>
                <w:sz w:val="24"/>
              </w:rPr>
              <w:t>Las instituciones como el INFOEM limitan el desarrollo de la transparencia.</w:t>
            </w:r>
          </w:p>
        </w:tc>
        <w:tc>
          <w:tcPr>
            <w:tcW w:w="564" w:type="dxa"/>
          </w:tcPr>
          <w:p>
            <w:pPr/>
          </w:p>
        </w:tc>
        <w:tc>
          <w:tcPr>
            <w:tcW w:w="567" w:type="dxa"/>
          </w:tcPr>
          <w:p>
            <w:pPr/>
          </w:p>
        </w:tc>
        <w:tc>
          <w:tcPr>
            <w:tcW w:w="523" w:type="dxa"/>
          </w:tcPr>
          <w:p>
            <w:pPr/>
          </w:p>
        </w:tc>
        <w:tc>
          <w:tcPr>
            <w:tcW w:w="521" w:type="dxa"/>
          </w:tcPr>
          <w:p>
            <w:pPr/>
          </w:p>
        </w:tc>
      </w:tr>
      <w:tr>
        <w:trPr>
          <w:trHeight w:val="596" w:hRule="exact"/>
        </w:trPr>
        <w:tc>
          <w:tcPr>
            <w:tcW w:w="569" w:type="dxa"/>
          </w:tcPr>
          <w:p>
            <w:pPr>
              <w:pStyle w:val="TableParagraph"/>
              <w:spacing w:line="290" w:lineRule="exact"/>
              <w:ind w:left="103"/>
              <w:jc w:val="left"/>
              <w:rPr>
                <w:rFonts w:ascii="Calibri"/>
                <w:sz w:val="24"/>
              </w:rPr>
            </w:pPr>
            <w:r>
              <w:rPr>
                <w:rFonts w:ascii="Calibri"/>
                <w:sz w:val="24"/>
              </w:rPr>
              <w:t>62</w:t>
            </w:r>
          </w:p>
        </w:tc>
        <w:tc>
          <w:tcPr>
            <w:tcW w:w="6085" w:type="dxa"/>
          </w:tcPr>
          <w:p>
            <w:pPr>
              <w:pStyle w:val="TableParagraph"/>
              <w:ind w:left="103" w:right="101"/>
              <w:jc w:val="left"/>
              <w:rPr>
                <w:rFonts w:ascii="Calibri"/>
                <w:sz w:val="24"/>
              </w:rPr>
            </w:pPr>
            <w:r>
              <w:rPr>
                <w:rFonts w:ascii="Calibri"/>
                <w:sz w:val="24"/>
              </w:rPr>
              <w:t>Los mandos medios (Jefes de Departamento) cumplen la ley transparencia en su municipio.</w:t>
            </w:r>
          </w:p>
        </w:tc>
        <w:tc>
          <w:tcPr>
            <w:tcW w:w="564" w:type="dxa"/>
          </w:tcPr>
          <w:p>
            <w:pPr/>
          </w:p>
        </w:tc>
        <w:tc>
          <w:tcPr>
            <w:tcW w:w="567" w:type="dxa"/>
          </w:tcPr>
          <w:p>
            <w:pPr/>
          </w:p>
        </w:tc>
        <w:tc>
          <w:tcPr>
            <w:tcW w:w="523" w:type="dxa"/>
          </w:tcPr>
          <w:p>
            <w:pPr/>
          </w:p>
        </w:tc>
        <w:tc>
          <w:tcPr>
            <w:tcW w:w="521" w:type="dxa"/>
          </w:tcPr>
          <w:p>
            <w:pPr/>
          </w:p>
        </w:tc>
      </w:tr>
      <w:tr>
        <w:trPr>
          <w:trHeight w:val="425" w:hRule="exact"/>
        </w:trPr>
        <w:tc>
          <w:tcPr>
            <w:tcW w:w="569" w:type="dxa"/>
          </w:tcPr>
          <w:p>
            <w:pPr>
              <w:pStyle w:val="TableParagraph"/>
              <w:spacing w:line="290" w:lineRule="exact"/>
              <w:ind w:left="103"/>
              <w:jc w:val="left"/>
              <w:rPr>
                <w:rFonts w:ascii="Calibri"/>
                <w:sz w:val="24"/>
              </w:rPr>
            </w:pPr>
            <w:r>
              <w:rPr>
                <w:rFonts w:ascii="Calibri"/>
                <w:sz w:val="24"/>
              </w:rPr>
              <w:t>63</w:t>
            </w:r>
          </w:p>
        </w:tc>
        <w:tc>
          <w:tcPr>
            <w:tcW w:w="6085" w:type="dxa"/>
          </w:tcPr>
          <w:p>
            <w:pPr>
              <w:pStyle w:val="TableParagraph"/>
              <w:spacing w:line="290" w:lineRule="exact"/>
              <w:ind w:left="103" w:right="103"/>
              <w:jc w:val="left"/>
              <w:rPr>
                <w:rFonts w:ascii="Calibri" w:hAnsi="Calibri"/>
                <w:sz w:val="24"/>
              </w:rPr>
            </w:pPr>
            <w:r>
              <w:rPr>
                <w:rFonts w:ascii="Calibri" w:hAnsi="Calibri"/>
                <w:sz w:val="24"/>
              </w:rPr>
              <w:t>Se promueve la transparencia como una práctica cotidiana</w:t>
            </w:r>
          </w:p>
        </w:tc>
        <w:tc>
          <w:tcPr>
            <w:tcW w:w="564" w:type="dxa"/>
          </w:tcPr>
          <w:p>
            <w:pPr/>
          </w:p>
        </w:tc>
        <w:tc>
          <w:tcPr>
            <w:tcW w:w="567" w:type="dxa"/>
          </w:tcPr>
          <w:p>
            <w:pPr/>
          </w:p>
        </w:tc>
        <w:tc>
          <w:tcPr>
            <w:tcW w:w="523" w:type="dxa"/>
          </w:tcPr>
          <w:p>
            <w:pPr/>
          </w:p>
        </w:tc>
        <w:tc>
          <w:tcPr>
            <w:tcW w:w="521" w:type="dxa"/>
          </w:tcPr>
          <w:p>
            <w:pPr/>
          </w:p>
        </w:tc>
      </w:tr>
    </w:tbl>
    <w:p>
      <w:pPr>
        <w:spacing w:after="0"/>
        <w:sectPr>
          <w:pgSz w:w="12240" w:h="15840"/>
          <w:pgMar w:header="0" w:footer="975" w:top="1420" w:bottom="1160" w:left="1540" w:right="1640"/>
        </w:sect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9"/>
        <w:gridCol w:w="6085"/>
        <w:gridCol w:w="564"/>
        <w:gridCol w:w="567"/>
        <w:gridCol w:w="523"/>
        <w:gridCol w:w="521"/>
      </w:tblGrid>
      <w:tr>
        <w:trPr>
          <w:trHeight w:val="1931" w:hRule="exact"/>
        </w:trPr>
        <w:tc>
          <w:tcPr>
            <w:tcW w:w="569" w:type="dxa"/>
            <w:shd w:val="clear" w:color="auto" w:fill="92D050"/>
          </w:tcPr>
          <w:p>
            <w:pPr>
              <w:pStyle w:val="TableParagraph"/>
              <w:jc w:val="left"/>
              <w:rPr>
                <w:rFonts w:ascii="Calibri"/>
                <w:b/>
                <w:sz w:val="24"/>
              </w:rPr>
            </w:pPr>
          </w:p>
          <w:p>
            <w:pPr>
              <w:pStyle w:val="TableParagraph"/>
              <w:jc w:val="left"/>
              <w:rPr>
                <w:rFonts w:ascii="Calibri"/>
                <w:b/>
                <w:sz w:val="24"/>
              </w:rPr>
            </w:pPr>
          </w:p>
          <w:p>
            <w:pPr>
              <w:pStyle w:val="TableParagraph"/>
              <w:spacing w:before="10"/>
              <w:jc w:val="left"/>
              <w:rPr>
                <w:rFonts w:ascii="Calibri"/>
                <w:b/>
                <w:sz w:val="23"/>
              </w:rPr>
            </w:pPr>
          </w:p>
          <w:p>
            <w:pPr>
              <w:pStyle w:val="TableParagraph"/>
              <w:ind w:left="103"/>
              <w:jc w:val="left"/>
              <w:rPr>
                <w:rFonts w:ascii="Calibri"/>
                <w:b/>
                <w:sz w:val="24"/>
              </w:rPr>
            </w:pPr>
            <w:r>
              <w:rPr>
                <w:rFonts w:ascii="Calibri"/>
                <w:b/>
                <w:sz w:val="24"/>
              </w:rPr>
              <w:t>No.</w:t>
            </w:r>
          </w:p>
        </w:tc>
        <w:tc>
          <w:tcPr>
            <w:tcW w:w="6085" w:type="dxa"/>
            <w:shd w:val="clear" w:color="auto" w:fill="92D050"/>
          </w:tcPr>
          <w:p>
            <w:pPr>
              <w:pStyle w:val="TableParagraph"/>
              <w:jc w:val="left"/>
              <w:rPr>
                <w:rFonts w:ascii="Calibri"/>
                <w:b/>
                <w:sz w:val="24"/>
              </w:rPr>
            </w:pPr>
          </w:p>
          <w:p>
            <w:pPr>
              <w:pStyle w:val="TableParagraph"/>
              <w:jc w:val="left"/>
              <w:rPr>
                <w:rFonts w:ascii="Calibri"/>
                <w:b/>
                <w:sz w:val="24"/>
              </w:rPr>
            </w:pPr>
          </w:p>
          <w:p>
            <w:pPr>
              <w:pStyle w:val="TableParagraph"/>
              <w:spacing w:before="10"/>
              <w:jc w:val="left"/>
              <w:rPr>
                <w:rFonts w:ascii="Calibri"/>
                <w:b/>
                <w:sz w:val="23"/>
              </w:rPr>
            </w:pPr>
          </w:p>
          <w:p>
            <w:pPr>
              <w:pStyle w:val="TableParagraph"/>
              <w:ind w:left="2190" w:right="2189"/>
              <w:rPr>
                <w:rFonts w:ascii="Calibri" w:hAnsi="Calibri"/>
                <w:b/>
                <w:sz w:val="24"/>
              </w:rPr>
            </w:pPr>
            <w:r>
              <w:rPr>
                <w:rFonts w:ascii="Calibri" w:hAnsi="Calibri"/>
                <w:b/>
                <w:sz w:val="24"/>
              </w:rPr>
              <w:t>En qué medida…</w:t>
            </w:r>
          </w:p>
        </w:tc>
        <w:tc>
          <w:tcPr>
            <w:tcW w:w="564" w:type="dxa"/>
            <w:shd w:val="clear" w:color="auto" w:fill="92D050"/>
            <w:textDirection w:val="btLr"/>
          </w:tcPr>
          <w:p>
            <w:pPr>
              <w:pStyle w:val="TableParagraph"/>
              <w:spacing w:before="105"/>
              <w:ind w:left="115"/>
              <w:jc w:val="left"/>
              <w:rPr>
                <w:rFonts w:ascii="Calibri"/>
                <w:b/>
                <w:sz w:val="24"/>
              </w:rPr>
            </w:pPr>
            <w:r>
              <w:rPr>
                <w:rFonts w:ascii="Calibri"/>
                <w:b/>
                <w:sz w:val="24"/>
              </w:rPr>
              <w:t>N</w:t>
            </w:r>
            <w:r>
              <w:rPr>
                <w:rFonts w:ascii="Calibri"/>
                <w:b/>
                <w:spacing w:val="-1"/>
                <w:sz w:val="24"/>
              </w:rPr>
              <w:t>a</w:t>
            </w:r>
            <w:r>
              <w:rPr>
                <w:rFonts w:ascii="Calibri"/>
                <w:b/>
                <w:sz w:val="24"/>
              </w:rPr>
              <w:t>da</w:t>
            </w:r>
          </w:p>
        </w:tc>
        <w:tc>
          <w:tcPr>
            <w:tcW w:w="567" w:type="dxa"/>
            <w:shd w:val="clear" w:color="auto" w:fill="92D050"/>
            <w:textDirection w:val="btLr"/>
          </w:tcPr>
          <w:p>
            <w:pPr>
              <w:pStyle w:val="TableParagraph"/>
              <w:spacing w:before="107"/>
              <w:ind w:left="115"/>
              <w:jc w:val="left"/>
              <w:rPr>
                <w:rFonts w:ascii="Calibri"/>
                <w:b/>
                <w:sz w:val="24"/>
              </w:rPr>
            </w:pPr>
            <w:r>
              <w:rPr>
                <w:rFonts w:ascii="Calibri"/>
                <w:b/>
                <w:spacing w:val="-1"/>
                <w:sz w:val="24"/>
              </w:rPr>
              <w:t>L</w:t>
            </w:r>
            <w:r>
              <w:rPr>
                <w:rFonts w:ascii="Calibri"/>
                <w:b/>
                <w:sz w:val="24"/>
              </w:rPr>
              <w:t>o</w:t>
            </w:r>
            <w:r>
              <w:rPr>
                <w:rFonts w:ascii="Calibri"/>
                <w:b/>
                <w:spacing w:val="1"/>
                <w:sz w:val="24"/>
              </w:rPr>
              <w:t> </w:t>
            </w:r>
            <w:r>
              <w:rPr>
                <w:rFonts w:ascii="Calibri"/>
                <w:b/>
                <w:sz w:val="24"/>
              </w:rPr>
              <w:t>n</w:t>
            </w:r>
            <w:r>
              <w:rPr>
                <w:rFonts w:ascii="Calibri"/>
                <w:b/>
                <w:spacing w:val="-1"/>
                <w:sz w:val="24"/>
              </w:rPr>
              <w:t>ecesa</w:t>
            </w:r>
            <w:r>
              <w:rPr>
                <w:rFonts w:ascii="Calibri"/>
                <w:b/>
                <w:sz w:val="24"/>
              </w:rPr>
              <w:t>rio</w:t>
            </w:r>
          </w:p>
        </w:tc>
        <w:tc>
          <w:tcPr>
            <w:tcW w:w="523" w:type="dxa"/>
            <w:shd w:val="clear" w:color="auto" w:fill="92D050"/>
            <w:textDirection w:val="btLr"/>
          </w:tcPr>
          <w:p>
            <w:pPr>
              <w:pStyle w:val="TableParagraph"/>
              <w:spacing w:before="105"/>
              <w:ind w:left="115"/>
              <w:jc w:val="left"/>
              <w:rPr>
                <w:rFonts w:ascii="Calibri"/>
                <w:b/>
                <w:sz w:val="24"/>
              </w:rPr>
            </w:pPr>
            <w:r>
              <w:rPr>
                <w:rFonts w:ascii="Calibri"/>
                <w:b/>
                <w:spacing w:val="-1"/>
                <w:sz w:val="24"/>
              </w:rPr>
              <w:t>L</w:t>
            </w:r>
            <w:r>
              <w:rPr>
                <w:rFonts w:ascii="Calibri"/>
                <w:b/>
                <w:sz w:val="24"/>
              </w:rPr>
              <w:t>o</w:t>
            </w:r>
            <w:r>
              <w:rPr>
                <w:rFonts w:ascii="Calibri"/>
                <w:b/>
                <w:spacing w:val="1"/>
                <w:sz w:val="24"/>
              </w:rPr>
              <w:t> </w:t>
            </w:r>
            <w:r>
              <w:rPr>
                <w:rFonts w:ascii="Calibri"/>
                <w:b/>
                <w:sz w:val="24"/>
              </w:rPr>
              <w:t>su</w:t>
            </w:r>
            <w:r>
              <w:rPr>
                <w:rFonts w:ascii="Calibri"/>
                <w:b/>
                <w:spacing w:val="-2"/>
                <w:sz w:val="24"/>
              </w:rPr>
              <w:t>f</w:t>
            </w:r>
            <w:r>
              <w:rPr>
                <w:rFonts w:ascii="Calibri"/>
                <w:b/>
                <w:sz w:val="24"/>
              </w:rPr>
              <w:t>i</w:t>
            </w:r>
            <w:r>
              <w:rPr>
                <w:rFonts w:ascii="Calibri"/>
                <w:b/>
                <w:spacing w:val="-1"/>
                <w:sz w:val="24"/>
              </w:rPr>
              <w:t>c</w:t>
            </w:r>
            <w:r>
              <w:rPr>
                <w:rFonts w:ascii="Calibri"/>
                <w:b/>
                <w:spacing w:val="1"/>
                <w:sz w:val="24"/>
              </w:rPr>
              <w:t>i</w:t>
            </w:r>
            <w:r>
              <w:rPr>
                <w:rFonts w:ascii="Calibri"/>
                <w:b/>
                <w:spacing w:val="-1"/>
                <w:sz w:val="24"/>
              </w:rPr>
              <w:t>e</w:t>
            </w:r>
            <w:r>
              <w:rPr>
                <w:rFonts w:ascii="Calibri"/>
                <w:b/>
                <w:sz w:val="24"/>
              </w:rPr>
              <w:t>nte</w:t>
            </w:r>
          </w:p>
        </w:tc>
        <w:tc>
          <w:tcPr>
            <w:tcW w:w="521" w:type="dxa"/>
            <w:shd w:val="clear" w:color="auto" w:fill="92D050"/>
            <w:textDirection w:val="btLr"/>
          </w:tcPr>
          <w:p>
            <w:pPr>
              <w:pStyle w:val="TableParagraph"/>
              <w:spacing w:before="105"/>
              <w:ind w:left="115"/>
              <w:jc w:val="left"/>
              <w:rPr>
                <w:rFonts w:ascii="Calibri"/>
                <w:b/>
                <w:sz w:val="24"/>
              </w:rPr>
            </w:pPr>
            <w:r>
              <w:rPr>
                <w:rFonts w:ascii="Calibri"/>
                <w:b/>
                <w:spacing w:val="-1"/>
                <w:sz w:val="24"/>
              </w:rPr>
              <w:t>C</w:t>
            </w:r>
            <w:r>
              <w:rPr>
                <w:rFonts w:ascii="Calibri"/>
                <w:b/>
                <w:sz w:val="24"/>
              </w:rPr>
              <w:t>o</w:t>
            </w:r>
            <w:r>
              <w:rPr>
                <w:rFonts w:ascii="Calibri"/>
                <w:b/>
                <w:spacing w:val="-1"/>
                <w:sz w:val="24"/>
              </w:rPr>
              <w:t>m</w:t>
            </w:r>
            <w:r>
              <w:rPr>
                <w:rFonts w:ascii="Calibri"/>
                <w:b/>
                <w:sz w:val="24"/>
              </w:rPr>
              <w:t>pl</w:t>
            </w:r>
            <w:r>
              <w:rPr>
                <w:rFonts w:ascii="Calibri"/>
                <w:b/>
                <w:spacing w:val="-1"/>
                <w:sz w:val="24"/>
              </w:rPr>
              <w:t>e</w:t>
            </w:r>
            <w:r>
              <w:rPr>
                <w:rFonts w:ascii="Calibri"/>
                <w:b/>
                <w:sz w:val="24"/>
              </w:rPr>
              <w:t>ta</w:t>
            </w:r>
            <w:r>
              <w:rPr>
                <w:rFonts w:ascii="Calibri"/>
                <w:b/>
                <w:spacing w:val="-2"/>
                <w:sz w:val="24"/>
              </w:rPr>
              <w:t>m</w:t>
            </w:r>
            <w:r>
              <w:rPr>
                <w:rFonts w:ascii="Calibri"/>
                <w:b/>
                <w:spacing w:val="-1"/>
                <w:sz w:val="24"/>
              </w:rPr>
              <w:t>e</w:t>
            </w:r>
            <w:r>
              <w:rPr>
                <w:rFonts w:ascii="Calibri"/>
                <w:b/>
                <w:sz w:val="24"/>
              </w:rPr>
              <w:t>nte</w:t>
            </w:r>
          </w:p>
        </w:tc>
      </w:tr>
      <w:tr>
        <w:trPr>
          <w:trHeight w:val="598" w:hRule="exact"/>
        </w:trPr>
        <w:tc>
          <w:tcPr>
            <w:tcW w:w="569" w:type="dxa"/>
          </w:tcPr>
          <w:p>
            <w:pPr>
              <w:pStyle w:val="TableParagraph"/>
              <w:spacing w:line="292" w:lineRule="exact"/>
              <w:ind w:left="103"/>
              <w:jc w:val="left"/>
              <w:rPr>
                <w:rFonts w:ascii="Calibri"/>
                <w:sz w:val="24"/>
              </w:rPr>
            </w:pPr>
            <w:r>
              <w:rPr>
                <w:rFonts w:ascii="Calibri"/>
                <w:sz w:val="24"/>
              </w:rPr>
              <w:t>64</w:t>
            </w:r>
          </w:p>
        </w:tc>
        <w:tc>
          <w:tcPr>
            <w:tcW w:w="6085" w:type="dxa"/>
          </w:tcPr>
          <w:p>
            <w:pPr>
              <w:pStyle w:val="TableParagraph"/>
              <w:ind w:left="103" w:right="103"/>
              <w:jc w:val="left"/>
              <w:rPr>
                <w:rFonts w:ascii="Calibri"/>
                <w:sz w:val="24"/>
              </w:rPr>
            </w:pPr>
            <w:r>
              <w:rPr>
                <w:rFonts w:ascii="Calibri"/>
                <w:sz w:val="24"/>
              </w:rPr>
              <w:t>Los trabajadores operativos promueven la transparencia en su municipio.</w:t>
            </w:r>
          </w:p>
        </w:tc>
        <w:tc>
          <w:tcPr>
            <w:tcW w:w="564" w:type="dxa"/>
          </w:tcPr>
          <w:p>
            <w:pPr/>
          </w:p>
        </w:tc>
        <w:tc>
          <w:tcPr>
            <w:tcW w:w="567" w:type="dxa"/>
          </w:tcPr>
          <w:p>
            <w:pPr/>
          </w:p>
        </w:tc>
        <w:tc>
          <w:tcPr>
            <w:tcW w:w="523" w:type="dxa"/>
          </w:tcPr>
          <w:p>
            <w:pPr/>
          </w:p>
        </w:tc>
        <w:tc>
          <w:tcPr>
            <w:tcW w:w="521" w:type="dxa"/>
          </w:tcPr>
          <w:p>
            <w:pPr/>
          </w:p>
        </w:tc>
      </w:tr>
      <w:tr>
        <w:trPr>
          <w:trHeight w:val="595" w:hRule="exact"/>
        </w:trPr>
        <w:tc>
          <w:tcPr>
            <w:tcW w:w="569" w:type="dxa"/>
          </w:tcPr>
          <w:p>
            <w:pPr>
              <w:pStyle w:val="TableParagraph"/>
              <w:spacing w:line="290" w:lineRule="exact"/>
              <w:ind w:left="103"/>
              <w:jc w:val="left"/>
              <w:rPr>
                <w:rFonts w:ascii="Calibri"/>
                <w:sz w:val="24"/>
              </w:rPr>
            </w:pPr>
            <w:r>
              <w:rPr>
                <w:rFonts w:ascii="Calibri"/>
                <w:sz w:val="24"/>
              </w:rPr>
              <w:t>65</w:t>
            </w:r>
          </w:p>
        </w:tc>
        <w:tc>
          <w:tcPr>
            <w:tcW w:w="6085" w:type="dxa"/>
          </w:tcPr>
          <w:p>
            <w:pPr>
              <w:pStyle w:val="TableParagraph"/>
              <w:ind w:left="103" w:right="95"/>
              <w:jc w:val="left"/>
              <w:rPr>
                <w:rFonts w:ascii="Calibri" w:hAnsi="Calibri"/>
                <w:sz w:val="24"/>
              </w:rPr>
            </w:pPr>
            <w:r>
              <w:rPr>
                <w:rFonts w:ascii="Calibri" w:hAnsi="Calibri"/>
                <w:sz w:val="24"/>
              </w:rPr>
              <w:t>Se obliga a los servidores públicos de su municipio a cumplir la ley de transparencia.</w:t>
            </w:r>
          </w:p>
        </w:tc>
        <w:tc>
          <w:tcPr>
            <w:tcW w:w="564" w:type="dxa"/>
          </w:tcPr>
          <w:p>
            <w:pPr/>
          </w:p>
        </w:tc>
        <w:tc>
          <w:tcPr>
            <w:tcW w:w="567" w:type="dxa"/>
          </w:tcPr>
          <w:p>
            <w:pPr/>
          </w:p>
        </w:tc>
        <w:tc>
          <w:tcPr>
            <w:tcW w:w="523" w:type="dxa"/>
          </w:tcPr>
          <w:p>
            <w:pPr/>
          </w:p>
        </w:tc>
        <w:tc>
          <w:tcPr>
            <w:tcW w:w="521" w:type="dxa"/>
          </w:tcPr>
          <w:p>
            <w:pPr/>
          </w:p>
        </w:tc>
      </w:tr>
      <w:tr>
        <w:trPr>
          <w:trHeight w:val="598" w:hRule="exact"/>
        </w:trPr>
        <w:tc>
          <w:tcPr>
            <w:tcW w:w="569" w:type="dxa"/>
          </w:tcPr>
          <w:p>
            <w:pPr>
              <w:pStyle w:val="TableParagraph"/>
              <w:spacing w:line="290" w:lineRule="exact"/>
              <w:ind w:left="103"/>
              <w:jc w:val="left"/>
              <w:rPr>
                <w:rFonts w:ascii="Calibri"/>
                <w:sz w:val="24"/>
              </w:rPr>
            </w:pPr>
            <w:r>
              <w:rPr>
                <w:rFonts w:ascii="Calibri"/>
                <w:sz w:val="24"/>
              </w:rPr>
              <w:t>66</w:t>
            </w:r>
          </w:p>
        </w:tc>
        <w:tc>
          <w:tcPr>
            <w:tcW w:w="6085" w:type="dxa"/>
          </w:tcPr>
          <w:p>
            <w:pPr>
              <w:pStyle w:val="TableParagraph"/>
              <w:ind w:left="103" w:right="103"/>
              <w:jc w:val="left"/>
              <w:rPr>
                <w:rFonts w:ascii="Calibri" w:hAnsi="Calibri"/>
                <w:sz w:val="24"/>
              </w:rPr>
            </w:pPr>
            <w:r>
              <w:rPr>
                <w:rFonts w:ascii="Calibri" w:hAnsi="Calibri"/>
                <w:sz w:val="24"/>
              </w:rPr>
              <w:t>La administración siguiente podrá mejorar la transparencia en su municipio.</w:t>
            </w:r>
          </w:p>
        </w:tc>
        <w:tc>
          <w:tcPr>
            <w:tcW w:w="564" w:type="dxa"/>
          </w:tcPr>
          <w:p>
            <w:pPr/>
          </w:p>
        </w:tc>
        <w:tc>
          <w:tcPr>
            <w:tcW w:w="567" w:type="dxa"/>
          </w:tcPr>
          <w:p>
            <w:pPr/>
          </w:p>
        </w:tc>
        <w:tc>
          <w:tcPr>
            <w:tcW w:w="523" w:type="dxa"/>
          </w:tcPr>
          <w:p>
            <w:pPr/>
          </w:p>
        </w:tc>
        <w:tc>
          <w:tcPr>
            <w:tcW w:w="521" w:type="dxa"/>
          </w:tcPr>
          <w:p>
            <w:pPr/>
          </w:p>
        </w:tc>
      </w:tr>
    </w:tbl>
    <w:p>
      <w:pPr>
        <w:pStyle w:val="BodyText"/>
        <w:rPr>
          <w:rFonts w:ascii="Calibri"/>
          <w:b/>
          <w:sz w:val="20"/>
        </w:rPr>
      </w:pPr>
    </w:p>
    <w:p>
      <w:pPr>
        <w:pStyle w:val="BodyText"/>
        <w:spacing w:before="9"/>
        <w:rPr>
          <w:rFonts w:ascii="Calibri"/>
          <w:b/>
          <w:sz w:val="18"/>
        </w:rPr>
      </w:pPr>
    </w:p>
    <w:tbl>
      <w:tblPr>
        <w:tblW w:w="0" w:type="auto"/>
        <w:jc w:val="left"/>
        <w:tblInd w:w="1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9"/>
        <w:gridCol w:w="2528"/>
        <w:gridCol w:w="1293"/>
        <w:gridCol w:w="657"/>
        <w:gridCol w:w="940"/>
        <w:gridCol w:w="537"/>
        <w:gridCol w:w="566"/>
        <w:gridCol w:w="567"/>
        <w:gridCol w:w="521"/>
        <w:gridCol w:w="516"/>
      </w:tblGrid>
      <w:tr>
        <w:trPr>
          <w:trHeight w:val="1872" w:hRule="exact"/>
        </w:trPr>
        <w:tc>
          <w:tcPr>
            <w:tcW w:w="569" w:type="dxa"/>
            <w:shd w:val="clear" w:color="auto" w:fill="92D050"/>
          </w:tcPr>
          <w:p>
            <w:pPr>
              <w:pStyle w:val="TableParagraph"/>
              <w:jc w:val="left"/>
              <w:rPr>
                <w:rFonts w:ascii="Calibri"/>
                <w:b/>
                <w:sz w:val="24"/>
              </w:rPr>
            </w:pPr>
          </w:p>
          <w:p>
            <w:pPr>
              <w:pStyle w:val="TableParagraph"/>
              <w:jc w:val="left"/>
              <w:rPr>
                <w:rFonts w:ascii="Calibri"/>
                <w:b/>
                <w:sz w:val="24"/>
              </w:rPr>
            </w:pPr>
          </w:p>
          <w:p>
            <w:pPr>
              <w:pStyle w:val="TableParagraph"/>
              <w:spacing w:before="11"/>
              <w:jc w:val="left"/>
              <w:rPr>
                <w:rFonts w:ascii="Calibri"/>
                <w:b/>
                <w:sz w:val="23"/>
              </w:rPr>
            </w:pPr>
          </w:p>
          <w:p>
            <w:pPr>
              <w:pStyle w:val="TableParagraph"/>
              <w:ind w:left="103"/>
              <w:jc w:val="left"/>
              <w:rPr>
                <w:rFonts w:ascii="Calibri"/>
                <w:b/>
                <w:sz w:val="24"/>
              </w:rPr>
            </w:pPr>
            <w:r>
              <w:rPr>
                <w:rFonts w:ascii="Calibri"/>
                <w:b/>
                <w:sz w:val="24"/>
              </w:rPr>
              <w:t>No.</w:t>
            </w:r>
          </w:p>
        </w:tc>
        <w:tc>
          <w:tcPr>
            <w:tcW w:w="5955" w:type="dxa"/>
            <w:gridSpan w:val="5"/>
            <w:shd w:val="clear" w:color="auto" w:fill="92D050"/>
          </w:tcPr>
          <w:p>
            <w:pPr>
              <w:pStyle w:val="TableParagraph"/>
              <w:jc w:val="left"/>
              <w:rPr>
                <w:rFonts w:ascii="Calibri"/>
                <w:b/>
                <w:sz w:val="24"/>
              </w:rPr>
            </w:pPr>
          </w:p>
          <w:p>
            <w:pPr>
              <w:pStyle w:val="TableParagraph"/>
              <w:jc w:val="left"/>
              <w:rPr>
                <w:rFonts w:ascii="Calibri"/>
                <w:b/>
                <w:sz w:val="24"/>
              </w:rPr>
            </w:pPr>
          </w:p>
          <w:p>
            <w:pPr>
              <w:pStyle w:val="TableParagraph"/>
              <w:spacing w:before="11"/>
              <w:jc w:val="left"/>
              <w:rPr>
                <w:rFonts w:ascii="Calibri"/>
                <w:b/>
                <w:sz w:val="23"/>
              </w:rPr>
            </w:pPr>
          </w:p>
          <w:p>
            <w:pPr>
              <w:pStyle w:val="TableParagraph"/>
              <w:ind w:left="1930" w:right="95"/>
              <w:jc w:val="left"/>
              <w:rPr>
                <w:rFonts w:ascii="Calibri" w:hAnsi="Calibri"/>
                <w:b/>
                <w:sz w:val="24"/>
              </w:rPr>
            </w:pPr>
            <w:r>
              <w:rPr>
                <w:rFonts w:ascii="Calibri" w:hAnsi="Calibri"/>
                <w:b/>
                <w:sz w:val="24"/>
              </w:rPr>
              <w:t>Con qué frecuencia…</w:t>
            </w:r>
          </w:p>
        </w:tc>
        <w:tc>
          <w:tcPr>
            <w:tcW w:w="566" w:type="dxa"/>
            <w:shd w:val="clear" w:color="auto" w:fill="92D050"/>
            <w:textDirection w:val="btLr"/>
          </w:tcPr>
          <w:p>
            <w:pPr>
              <w:pStyle w:val="TableParagraph"/>
              <w:spacing w:before="102"/>
              <w:ind w:left="112"/>
              <w:jc w:val="left"/>
              <w:rPr>
                <w:rFonts w:ascii="Calibri"/>
                <w:b/>
                <w:sz w:val="24"/>
              </w:rPr>
            </w:pPr>
            <w:r>
              <w:rPr>
                <w:rFonts w:ascii="Calibri"/>
                <w:b/>
                <w:sz w:val="24"/>
              </w:rPr>
              <w:t>Nun</w:t>
            </w:r>
            <w:r>
              <w:rPr>
                <w:rFonts w:ascii="Calibri"/>
                <w:b/>
                <w:spacing w:val="-1"/>
                <w:sz w:val="24"/>
              </w:rPr>
              <w:t>ca</w:t>
            </w:r>
          </w:p>
        </w:tc>
        <w:tc>
          <w:tcPr>
            <w:tcW w:w="567" w:type="dxa"/>
            <w:shd w:val="clear" w:color="auto" w:fill="92D050"/>
            <w:textDirection w:val="btLr"/>
          </w:tcPr>
          <w:p>
            <w:pPr>
              <w:pStyle w:val="TableParagraph"/>
              <w:spacing w:before="105"/>
              <w:ind w:left="112"/>
              <w:jc w:val="left"/>
              <w:rPr>
                <w:rFonts w:ascii="Calibri"/>
                <w:b/>
                <w:sz w:val="24"/>
              </w:rPr>
            </w:pPr>
            <w:r>
              <w:rPr>
                <w:rFonts w:ascii="Calibri"/>
                <w:b/>
                <w:spacing w:val="-1"/>
                <w:sz w:val="24"/>
              </w:rPr>
              <w:t>Ca</w:t>
            </w:r>
            <w:r>
              <w:rPr>
                <w:rFonts w:ascii="Calibri"/>
                <w:b/>
                <w:sz w:val="24"/>
              </w:rPr>
              <w:t>si</w:t>
            </w:r>
            <w:r>
              <w:rPr>
                <w:rFonts w:ascii="Calibri"/>
                <w:b/>
                <w:spacing w:val="1"/>
                <w:sz w:val="24"/>
              </w:rPr>
              <w:t> </w:t>
            </w:r>
            <w:r>
              <w:rPr>
                <w:rFonts w:ascii="Calibri"/>
                <w:b/>
                <w:sz w:val="24"/>
              </w:rPr>
              <w:t>n</w:t>
            </w:r>
            <w:r>
              <w:rPr>
                <w:rFonts w:ascii="Calibri"/>
                <w:b/>
                <w:spacing w:val="-2"/>
                <w:sz w:val="24"/>
              </w:rPr>
              <w:t>u</w:t>
            </w:r>
            <w:r>
              <w:rPr>
                <w:rFonts w:ascii="Calibri"/>
                <w:b/>
                <w:sz w:val="24"/>
              </w:rPr>
              <w:t>n</w:t>
            </w:r>
            <w:r>
              <w:rPr>
                <w:rFonts w:ascii="Calibri"/>
                <w:b/>
                <w:spacing w:val="-1"/>
                <w:sz w:val="24"/>
              </w:rPr>
              <w:t>ca</w:t>
            </w:r>
          </w:p>
        </w:tc>
        <w:tc>
          <w:tcPr>
            <w:tcW w:w="521" w:type="dxa"/>
            <w:shd w:val="clear" w:color="auto" w:fill="92D050"/>
            <w:textDirection w:val="btLr"/>
          </w:tcPr>
          <w:p>
            <w:pPr>
              <w:pStyle w:val="TableParagraph"/>
              <w:spacing w:before="105"/>
              <w:ind w:left="112"/>
              <w:jc w:val="left"/>
              <w:rPr>
                <w:rFonts w:ascii="Calibri"/>
                <w:b/>
                <w:sz w:val="24"/>
              </w:rPr>
            </w:pPr>
            <w:r>
              <w:rPr>
                <w:rFonts w:ascii="Calibri"/>
                <w:b/>
                <w:spacing w:val="-1"/>
                <w:sz w:val="24"/>
              </w:rPr>
              <w:t>Ca</w:t>
            </w:r>
            <w:r>
              <w:rPr>
                <w:rFonts w:ascii="Calibri"/>
                <w:b/>
                <w:sz w:val="24"/>
              </w:rPr>
              <w:t>si</w:t>
            </w:r>
            <w:r>
              <w:rPr>
                <w:rFonts w:ascii="Calibri"/>
                <w:b/>
                <w:spacing w:val="1"/>
                <w:sz w:val="24"/>
              </w:rPr>
              <w:t> </w:t>
            </w:r>
            <w:r>
              <w:rPr>
                <w:rFonts w:ascii="Calibri"/>
                <w:b/>
                <w:sz w:val="24"/>
              </w:rPr>
              <w:t>s</w:t>
            </w:r>
            <w:r>
              <w:rPr>
                <w:rFonts w:ascii="Calibri"/>
                <w:b/>
                <w:spacing w:val="1"/>
                <w:sz w:val="24"/>
              </w:rPr>
              <w:t>i</w:t>
            </w:r>
            <w:r>
              <w:rPr>
                <w:rFonts w:ascii="Calibri"/>
                <w:b/>
                <w:spacing w:val="-1"/>
                <w:sz w:val="24"/>
              </w:rPr>
              <w:t>em</w:t>
            </w:r>
            <w:r>
              <w:rPr>
                <w:rFonts w:ascii="Calibri"/>
                <w:b/>
                <w:sz w:val="24"/>
              </w:rPr>
              <w:t>pre</w:t>
            </w:r>
          </w:p>
        </w:tc>
        <w:tc>
          <w:tcPr>
            <w:tcW w:w="516" w:type="dxa"/>
            <w:shd w:val="clear" w:color="auto" w:fill="92D050"/>
            <w:textDirection w:val="btLr"/>
          </w:tcPr>
          <w:p>
            <w:pPr>
              <w:pStyle w:val="TableParagraph"/>
              <w:spacing w:before="105"/>
              <w:ind w:left="112"/>
              <w:jc w:val="left"/>
              <w:rPr>
                <w:rFonts w:ascii="Calibri"/>
                <w:b/>
                <w:sz w:val="24"/>
              </w:rPr>
            </w:pPr>
            <w:r>
              <w:rPr>
                <w:rFonts w:ascii="Calibri"/>
                <w:b/>
                <w:sz w:val="24"/>
              </w:rPr>
              <w:t>Sie</w:t>
            </w:r>
            <w:r>
              <w:rPr>
                <w:rFonts w:ascii="Calibri"/>
                <w:b/>
                <w:spacing w:val="-2"/>
                <w:sz w:val="24"/>
              </w:rPr>
              <w:t>m</w:t>
            </w:r>
            <w:r>
              <w:rPr>
                <w:rFonts w:ascii="Calibri"/>
                <w:b/>
                <w:sz w:val="24"/>
              </w:rPr>
              <w:t>pre</w:t>
            </w:r>
          </w:p>
        </w:tc>
      </w:tr>
      <w:tr>
        <w:trPr>
          <w:trHeight w:val="598" w:hRule="exact"/>
        </w:trPr>
        <w:tc>
          <w:tcPr>
            <w:tcW w:w="569" w:type="dxa"/>
          </w:tcPr>
          <w:p>
            <w:pPr>
              <w:pStyle w:val="TableParagraph"/>
              <w:spacing w:line="292" w:lineRule="exact"/>
              <w:ind w:left="103"/>
              <w:jc w:val="left"/>
              <w:rPr>
                <w:rFonts w:ascii="Calibri"/>
                <w:sz w:val="24"/>
              </w:rPr>
            </w:pPr>
            <w:r>
              <w:rPr>
                <w:rFonts w:ascii="Calibri"/>
                <w:sz w:val="24"/>
              </w:rPr>
              <w:t>67</w:t>
            </w:r>
          </w:p>
        </w:tc>
        <w:tc>
          <w:tcPr>
            <w:tcW w:w="5955" w:type="dxa"/>
            <w:gridSpan w:val="5"/>
          </w:tcPr>
          <w:p>
            <w:pPr>
              <w:pStyle w:val="TableParagraph"/>
              <w:spacing w:line="242" w:lineRule="auto"/>
              <w:ind w:left="100" w:right="91"/>
              <w:jc w:val="left"/>
              <w:rPr>
                <w:rFonts w:ascii="Calibri"/>
                <w:sz w:val="24"/>
              </w:rPr>
            </w:pPr>
            <w:r>
              <w:rPr>
                <w:rFonts w:ascii="Calibri"/>
                <w:sz w:val="24"/>
              </w:rPr>
              <w:t>Cuenta con recursos humanos para realizar sus actividades laborales.</w:t>
            </w:r>
          </w:p>
        </w:tc>
        <w:tc>
          <w:tcPr>
            <w:tcW w:w="566" w:type="dxa"/>
          </w:tcPr>
          <w:p>
            <w:pPr/>
          </w:p>
        </w:tc>
        <w:tc>
          <w:tcPr>
            <w:tcW w:w="567" w:type="dxa"/>
          </w:tcPr>
          <w:p>
            <w:pPr/>
          </w:p>
        </w:tc>
        <w:tc>
          <w:tcPr>
            <w:tcW w:w="521" w:type="dxa"/>
          </w:tcPr>
          <w:p>
            <w:pPr/>
          </w:p>
        </w:tc>
        <w:tc>
          <w:tcPr>
            <w:tcW w:w="516" w:type="dxa"/>
          </w:tcPr>
          <w:p>
            <w:pPr/>
          </w:p>
        </w:tc>
      </w:tr>
      <w:tr>
        <w:trPr>
          <w:trHeight w:val="888" w:hRule="exact"/>
        </w:trPr>
        <w:tc>
          <w:tcPr>
            <w:tcW w:w="569" w:type="dxa"/>
          </w:tcPr>
          <w:p>
            <w:pPr>
              <w:pStyle w:val="TableParagraph"/>
              <w:spacing w:line="292" w:lineRule="exact"/>
              <w:ind w:left="103"/>
              <w:jc w:val="left"/>
              <w:rPr>
                <w:rFonts w:ascii="Calibri"/>
                <w:sz w:val="24"/>
              </w:rPr>
            </w:pPr>
            <w:r>
              <w:rPr>
                <w:rFonts w:ascii="Calibri"/>
                <w:sz w:val="24"/>
              </w:rPr>
              <w:t>68</w:t>
            </w:r>
          </w:p>
        </w:tc>
        <w:tc>
          <w:tcPr>
            <w:tcW w:w="5955" w:type="dxa"/>
            <w:gridSpan w:val="5"/>
          </w:tcPr>
          <w:p>
            <w:pPr>
              <w:pStyle w:val="TableParagraph"/>
              <w:ind w:left="100" w:right="106"/>
              <w:jc w:val="both"/>
              <w:rPr>
                <w:rFonts w:ascii="Calibri" w:hAnsi="Calibri"/>
                <w:sz w:val="24"/>
              </w:rPr>
            </w:pPr>
            <w:r>
              <w:rPr>
                <w:rFonts w:ascii="Calibri" w:hAnsi="Calibri"/>
                <w:sz w:val="24"/>
              </w:rPr>
              <w:t>Cuenta con recursos materiales (computadora, escritorio, archiveros, papelería, etc.) para realizar sus actividades laborales.</w:t>
            </w:r>
          </w:p>
        </w:tc>
        <w:tc>
          <w:tcPr>
            <w:tcW w:w="566" w:type="dxa"/>
          </w:tcPr>
          <w:p>
            <w:pPr/>
          </w:p>
        </w:tc>
        <w:tc>
          <w:tcPr>
            <w:tcW w:w="567" w:type="dxa"/>
          </w:tcPr>
          <w:p>
            <w:pPr/>
          </w:p>
        </w:tc>
        <w:tc>
          <w:tcPr>
            <w:tcW w:w="521" w:type="dxa"/>
          </w:tcPr>
          <w:p>
            <w:pPr/>
          </w:p>
        </w:tc>
        <w:tc>
          <w:tcPr>
            <w:tcW w:w="516" w:type="dxa"/>
          </w:tcPr>
          <w:p>
            <w:pPr/>
          </w:p>
        </w:tc>
      </w:tr>
      <w:tr>
        <w:trPr>
          <w:trHeight w:val="888" w:hRule="exact"/>
        </w:trPr>
        <w:tc>
          <w:tcPr>
            <w:tcW w:w="569" w:type="dxa"/>
          </w:tcPr>
          <w:p>
            <w:pPr>
              <w:pStyle w:val="TableParagraph"/>
              <w:spacing w:line="292" w:lineRule="exact"/>
              <w:ind w:left="103"/>
              <w:jc w:val="left"/>
              <w:rPr>
                <w:rFonts w:ascii="Calibri"/>
                <w:sz w:val="24"/>
              </w:rPr>
            </w:pPr>
            <w:r>
              <w:rPr>
                <w:rFonts w:ascii="Calibri"/>
                <w:sz w:val="24"/>
              </w:rPr>
              <w:t>69</w:t>
            </w:r>
          </w:p>
        </w:tc>
        <w:tc>
          <w:tcPr>
            <w:tcW w:w="5955" w:type="dxa"/>
            <w:gridSpan w:val="5"/>
          </w:tcPr>
          <w:p>
            <w:pPr>
              <w:pStyle w:val="TableParagraph"/>
              <w:ind w:left="100" w:right="103"/>
              <w:jc w:val="both"/>
              <w:rPr>
                <w:rFonts w:ascii="Calibri" w:hAnsi="Calibri"/>
                <w:sz w:val="24"/>
              </w:rPr>
            </w:pPr>
            <w:r>
              <w:rPr>
                <w:rFonts w:ascii="Calibri" w:hAnsi="Calibri"/>
                <w:sz w:val="24"/>
              </w:rPr>
              <w:t>Cuenta con recursos tecnológicos (internet, programas para almacenar información) para realizar sus actividades laborales.</w:t>
            </w:r>
          </w:p>
        </w:tc>
        <w:tc>
          <w:tcPr>
            <w:tcW w:w="566" w:type="dxa"/>
          </w:tcPr>
          <w:p>
            <w:pPr/>
          </w:p>
        </w:tc>
        <w:tc>
          <w:tcPr>
            <w:tcW w:w="567" w:type="dxa"/>
          </w:tcPr>
          <w:p>
            <w:pPr/>
          </w:p>
        </w:tc>
        <w:tc>
          <w:tcPr>
            <w:tcW w:w="521" w:type="dxa"/>
          </w:tcPr>
          <w:p>
            <w:pPr/>
          </w:p>
        </w:tc>
        <w:tc>
          <w:tcPr>
            <w:tcW w:w="516" w:type="dxa"/>
          </w:tcPr>
          <w:p>
            <w:pPr/>
          </w:p>
        </w:tc>
      </w:tr>
      <w:tr>
        <w:trPr>
          <w:trHeight w:val="598" w:hRule="exact"/>
        </w:trPr>
        <w:tc>
          <w:tcPr>
            <w:tcW w:w="569" w:type="dxa"/>
          </w:tcPr>
          <w:p>
            <w:pPr>
              <w:pStyle w:val="TableParagraph"/>
              <w:spacing w:before="2"/>
              <w:ind w:left="103"/>
              <w:jc w:val="left"/>
              <w:rPr>
                <w:rFonts w:ascii="Calibri"/>
                <w:sz w:val="24"/>
              </w:rPr>
            </w:pPr>
            <w:r>
              <w:rPr>
                <w:rFonts w:ascii="Calibri"/>
                <w:sz w:val="24"/>
              </w:rPr>
              <w:t>70</w:t>
            </w:r>
          </w:p>
        </w:tc>
        <w:tc>
          <w:tcPr>
            <w:tcW w:w="2528" w:type="dxa"/>
            <w:tcBorders>
              <w:right w:val="nil"/>
            </w:tcBorders>
          </w:tcPr>
          <w:p>
            <w:pPr>
              <w:pStyle w:val="TableParagraph"/>
              <w:tabs>
                <w:tab w:pos="1016" w:val="left" w:leader="none"/>
                <w:tab w:pos="1587" w:val="left" w:leader="none"/>
              </w:tabs>
              <w:spacing w:before="2"/>
              <w:ind w:left="100" w:right="105"/>
              <w:jc w:val="left"/>
              <w:rPr>
                <w:rFonts w:ascii="Calibri"/>
                <w:sz w:val="24"/>
              </w:rPr>
            </w:pPr>
            <w:r>
              <w:rPr>
                <w:rFonts w:ascii="Calibri"/>
                <w:sz w:val="24"/>
              </w:rPr>
              <w:t>Cuenta</w:t>
              <w:tab/>
              <w:t>con</w:t>
              <w:tab/>
              <w:t>recursos actividades</w:t>
            </w:r>
            <w:r>
              <w:rPr>
                <w:rFonts w:ascii="Calibri"/>
                <w:spacing w:val="-6"/>
                <w:sz w:val="24"/>
              </w:rPr>
              <w:t> </w:t>
            </w:r>
            <w:r>
              <w:rPr>
                <w:rFonts w:ascii="Calibri"/>
                <w:sz w:val="24"/>
              </w:rPr>
              <w:t>laborales.</w:t>
            </w:r>
          </w:p>
        </w:tc>
        <w:tc>
          <w:tcPr>
            <w:tcW w:w="1293" w:type="dxa"/>
            <w:tcBorders>
              <w:left w:val="nil"/>
              <w:right w:val="nil"/>
            </w:tcBorders>
          </w:tcPr>
          <w:p>
            <w:pPr>
              <w:pStyle w:val="TableParagraph"/>
              <w:spacing w:before="2"/>
              <w:ind w:left="107"/>
              <w:jc w:val="left"/>
              <w:rPr>
                <w:rFonts w:ascii="Calibri"/>
                <w:sz w:val="24"/>
              </w:rPr>
            </w:pPr>
            <w:r>
              <w:rPr>
                <w:rFonts w:ascii="Calibri"/>
                <w:sz w:val="24"/>
              </w:rPr>
              <w:t>financieros</w:t>
            </w:r>
          </w:p>
        </w:tc>
        <w:tc>
          <w:tcPr>
            <w:tcW w:w="657" w:type="dxa"/>
            <w:tcBorders>
              <w:left w:val="nil"/>
              <w:right w:val="nil"/>
            </w:tcBorders>
          </w:tcPr>
          <w:p>
            <w:pPr>
              <w:pStyle w:val="TableParagraph"/>
              <w:spacing w:before="2"/>
              <w:ind w:left="109"/>
              <w:jc w:val="left"/>
              <w:rPr>
                <w:rFonts w:ascii="Calibri"/>
                <w:sz w:val="24"/>
              </w:rPr>
            </w:pPr>
            <w:r>
              <w:rPr>
                <w:rFonts w:ascii="Calibri"/>
                <w:sz w:val="24"/>
              </w:rPr>
              <w:t>para</w:t>
            </w:r>
          </w:p>
        </w:tc>
        <w:tc>
          <w:tcPr>
            <w:tcW w:w="940" w:type="dxa"/>
            <w:tcBorders>
              <w:left w:val="nil"/>
              <w:right w:val="nil"/>
            </w:tcBorders>
          </w:tcPr>
          <w:p>
            <w:pPr>
              <w:pStyle w:val="TableParagraph"/>
              <w:spacing w:before="2"/>
              <w:ind w:left="109"/>
              <w:jc w:val="left"/>
              <w:rPr>
                <w:rFonts w:ascii="Calibri"/>
                <w:sz w:val="24"/>
              </w:rPr>
            </w:pPr>
            <w:r>
              <w:rPr>
                <w:rFonts w:ascii="Calibri"/>
                <w:sz w:val="24"/>
              </w:rPr>
              <w:t>realizar</w:t>
            </w:r>
          </w:p>
        </w:tc>
        <w:tc>
          <w:tcPr>
            <w:tcW w:w="537" w:type="dxa"/>
            <w:tcBorders>
              <w:left w:val="nil"/>
            </w:tcBorders>
          </w:tcPr>
          <w:p>
            <w:pPr>
              <w:pStyle w:val="TableParagraph"/>
              <w:spacing w:before="2"/>
              <w:ind w:left="109"/>
              <w:jc w:val="left"/>
              <w:rPr>
                <w:rFonts w:ascii="Calibri"/>
                <w:sz w:val="24"/>
              </w:rPr>
            </w:pPr>
            <w:r>
              <w:rPr>
                <w:rFonts w:ascii="Calibri"/>
                <w:sz w:val="24"/>
              </w:rPr>
              <w:t>sus</w:t>
            </w:r>
          </w:p>
        </w:tc>
        <w:tc>
          <w:tcPr>
            <w:tcW w:w="566" w:type="dxa"/>
          </w:tcPr>
          <w:p>
            <w:pPr/>
          </w:p>
        </w:tc>
        <w:tc>
          <w:tcPr>
            <w:tcW w:w="567" w:type="dxa"/>
          </w:tcPr>
          <w:p>
            <w:pPr/>
          </w:p>
        </w:tc>
        <w:tc>
          <w:tcPr>
            <w:tcW w:w="521" w:type="dxa"/>
          </w:tcPr>
          <w:p>
            <w:pPr/>
          </w:p>
        </w:tc>
        <w:tc>
          <w:tcPr>
            <w:tcW w:w="516" w:type="dxa"/>
          </w:tcPr>
          <w:p>
            <w:pPr/>
          </w:p>
        </w:tc>
      </w:tr>
      <w:tr>
        <w:trPr>
          <w:trHeight w:val="595" w:hRule="exact"/>
        </w:trPr>
        <w:tc>
          <w:tcPr>
            <w:tcW w:w="569" w:type="dxa"/>
          </w:tcPr>
          <w:p>
            <w:pPr>
              <w:pStyle w:val="TableParagraph"/>
              <w:spacing w:line="292" w:lineRule="exact"/>
              <w:ind w:left="103"/>
              <w:jc w:val="left"/>
              <w:rPr>
                <w:rFonts w:ascii="Calibri"/>
                <w:sz w:val="24"/>
              </w:rPr>
            </w:pPr>
            <w:r>
              <w:rPr>
                <w:rFonts w:ascii="Calibri"/>
                <w:sz w:val="24"/>
              </w:rPr>
              <w:t>71</w:t>
            </w:r>
          </w:p>
        </w:tc>
        <w:tc>
          <w:tcPr>
            <w:tcW w:w="5955" w:type="dxa"/>
            <w:gridSpan w:val="5"/>
          </w:tcPr>
          <w:p>
            <w:pPr>
              <w:pStyle w:val="TableParagraph"/>
              <w:ind w:left="100" w:right="38"/>
              <w:jc w:val="left"/>
              <w:rPr>
                <w:rFonts w:ascii="Calibri" w:hAnsi="Calibri"/>
                <w:sz w:val="24"/>
              </w:rPr>
            </w:pPr>
            <w:r>
              <w:rPr>
                <w:rFonts w:ascii="Calibri" w:hAnsi="Calibri"/>
                <w:sz w:val="24"/>
              </w:rPr>
              <w:t>Es presionado por su jefe inmediato para no dar respuestas a las solicitudes de información que llegan al municipio.</w:t>
            </w:r>
          </w:p>
        </w:tc>
        <w:tc>
          <w:tcPr>
            <w:tcW w:w="566" w:type="dxa"/>
          </w:tcPr>
          <w:p>
            <w:pPr/>
          </w:p>
        </w:tc>
        <w:tc>
          <w:tcPr>
            <w:tcW w:w="567" w:type="dxa"/>
          </w:tcPr>
          <w:p>
            <w:pPr/>
          </w:p>
        </w:tc>
        <w:tc>
          <w:tcPr>
            <w:tcW w:w="521" w:type="dxa"/>
          </w:tcPr>
          <w:p>
            <w:pPr/>
          </w:p>
        </w:tc>
        <w:tc>
          <w:tcPr>
            <w:tcW w:w="516" w:type="dxa"/>
          </w:tcPr>
          <w:p>
            <w:pPr/>
          </w:p>
        </w:tc>
      </w:tr>
      <w:tr>
        <w:trPr>
          <w:trHeight w:val="595" w:hRule="exact"/>
        </w:trPr>
        <w:tc>
          <w:tcPr>
            <w:tcW w:w="569" w:type="dxa"/>
          </w:tcPr>
          <w:p>
            <w:pPr>
              <w:pStyle w:val="TableParagraph"/>
              <w:spacing w:line="292" w:lineRule="exact"/>
              <w:ind w:left="103"/>
              <w:jc w:val="left"/>
              <w:rPr>
                <w:rFonts w:ascii="Calibri"/>
                <w:sz w:val="24"/>
              </w:rPr>
            </w:pPr>
            <w:r>
              <w:rPr>
                <w:rFonts w:ascii="Calibri"/>
                <w:sz w:val="24"/>
              </w:rPr>
              <w:t>72</w:t>
            </w:r>
          </w:p>
        </w:tc>
        <w:tc>
          <w:tcPr>
            <w:tcW w:w="5955" w:type="dxa"/>
            <w:gridSpan w:val="5"/>
          </w:tcPr>
          <w:p>
            <w:pPr>
              <w:pStyle w:val="TableParagraph"/>
              <w:ind w:left="100" w:right="38"/>
              <w:jc w:val="left"/>
              <w:rPr>
                <w:rFonts w:ascii="Calibri" w:hAnsi="Calibri"/>
                <w:sz w:val="24"/>
              </w:rPr>
            </w:pPr>
            <w:r>
              <w:rPr>
                <w:rFonts w:ascii="Calibri" w:hAnsi="Calibri"/>
                <w:sz w:val="24"/>
              </w:rPr>
              <w:t>Es presionado por otras instancias para no dar respuestas a las solicitudes de información que llegan al municipio.</w:t>
            </w:r>
          </w:p>
        </w:tc>
        <w:tc>
          <w:tcPr>
            <w:tcW w:w="566" w:type="dxa"/>
          </w:tcPr>
          <w:p>
            <w:pPr/>
          </w:p>
        </w:tc>
        <w:tc>
          <w:tcPr>
            <w:tcW w:w="567" w:type="dxa"/>
          </w:tcPr>
          <w:p>
            <w:pPr/>
          </w:p>
        </w:tc>
        <w:tc>
          <w:tcPr>
            <w:tcW w:w="521" w:type="dxa"/>
          </w:tcPr>
          <w:p>
            <w:pPr/>
          </w:p>
        </w:tc>
        <w:tc>
          <w:tcPr>
            <w:tcW w:w="516" w:type="dxa"/>
          </w:tcPr>
          <w:p>
            <w:pPr/>
          </w:p>
        </w:tc>
      </w:tr>
      <w:tr>
        <w:trPr>
          <w:trHeight w:val="425" w:hRule="exact"/>
        </w:trPr>
        <w:tc>
          <w:tcPr>
            <w:tcW w:w="569" w:type="dxa"/>
          </w:tcPr>
          <w:p>
            <w:pPr>
              <w:pStyle w:val="TableParagraph"/>
              <w:spacing w:line="292" w:lineRule="exact"/>
              <w:ind w:left="103"/>
              <w:jc w:val="left"/>
              <w:rPr>
                <w:rFonts w:ascii="Calibri"/>
                <w:sz w:val="24"/>
              </w:rPr>
            </w:pPr>
            <w:r>
              <w:rPr>
                <w:rFonts w:ascii="Calibri"/>
                <w:sz w:val="24"/>
              </w:rPr>
              <w:t>73</w:t>
            </w:r>
          </w:p>
        </w:tc>
        <w:tc>
          <w:tcPr>
            <w:tcW w:w="5955" w:type="dxa"/>
            <w:gridSpan w:val="5"/>
          </w:tcPr>
          <w:p>
            <w:pPr>
              <w:pStyle w:val="TableParagraph"/>
              <w:spacing w:line="292" w:lineRule="exact"/>
              <w:ind w:left="100" w:right="95"/>
              <w:jc w:val="left"/>
              <w:rPr>
                <w:rFonts w:ascii="Calibri" w:hAnsi="Calibri"/>
                <w:sz w:val="24"/>
              </w:rPr>
            </w:pPr>
            <w:r>
              <w:rPr>
                <w:rFonts w:ascii="Calibri" w:hAnsi="Calibri"/>
                <w:sz w:val="24"/>
              </w:rPr>
              <w:t>Se oculta u omite la información pública de oficio.</w:t>
            </w:r>
          </w:p>
        </w:tc>
        <w:tc>
          <w:tcPr>
            <w:tcW w:w="566" w:type="dxa"/>
          </w:tcPr>
          <w:p>
            <w:pPr/>
          </w:p>
        </w:tc>
        <w:tc>
          <w:tcPr>
            <w:tcW w:w="567" w:type="dxa"/>
          </w:tcPr>
          <w:p>
            <w:pPr/>
          </w:p>
        </w:tc>
        <w:tc>
          <w:tcPr>
            <w:tcW w:w="521" w:type="dxa"/>
          </w:tcPr>
          <w:p>
            <w:pPr/>
          </w:p>
        </w:tc>
        <w:tc>
          <w:tcPr>
            <w:tcW w:w="516" w:type="dxa"/>
          </w:tcPr>
          <w:p>
            <w:pPr/>
          </w:p>
        </w:tc>
      </w:tr>
      <w:tr>
        <w:trPr>
          <w:trHeight w:val="598" w:hRule="exact"/>
        </w:trPr>
        <w:tc>
          <w:tcPr>
            <w:tcW w:w="569" w:type="dxa"/>
          </w:tcPr>
          <w:p>
            <w:pPr>
              <w:pStyle w:val="TableParagraph"/>
              <w:spacing w:before="2"/>
              <w:ind w:left="103"/>
              <w:jc w:val="left"/>
              <w:rPr>
                <w:rFonts w:ascii="Calibri"/>
                <w:sz w:val="24"/>
              </w:rPr>
            </w:pPr>
            <w:r>
              <w:rPr>
                <w:rFonts w:ascii="Calibri"/>
                <w:sz w:val="24"/>
              </w:rPr>
              <w:t>74</w:t>
            </w:r>
          </w:p>
        </w:tc>
        <w:tc>
          <w:tcPr>
            <w:tcW w:w="5955" w:type="dxa"/>
            <w:gridSpan w:val="5"/>
          </w:tcPr>
          <w:p>
            <w:pPr>
              <w:pStyle w:val="TableParagraph"/>
              <w:spacing w:before="2"/>
              <w:ind w:left="100" w:right="95"/>
              <w:jc w:val="left"/>
              <w:rPr>
                <w:rFonts w:ascii="Calibri" w:hAnsi="Calibri"/>
                <w:sz w:val="24"/>
              </w:rPr>
            </w:pPr>
            <w:r>
              <w:rPr>
                <w:rFonts w:ascii="Calibri" w:hAnsi="Calibri"/>
                <w:sz w:val="24"/>
              </w:rPr>
              <w:t>Se da cumplimiento a las solicitudes de información que recibe.</w:t>
            </w:r>
          </w:p>
        </w:tc>
        <w:tc>
          <w:tcPr>
            <w:tcW w:w="566" w:type="dxa"/>
          </w:tcPr>
          <w:p>
            <w:pPr/>
          </w:p>
        </w:tc>
        <w:tc>
          <w:tcPr>
            <w:tcW w:w="567" w:type="dxa"/>
          </w:tcPr>
          <w:p>
            <w:pPr/>
          </w:p>
        </w:tc>
        <w:tc>
          <w:tcPr>
            <w:tcW w:w="521" w:type="dxa"/>
          </w:tcPr>
          <w:p>
            <w:pPr/>
          </w:p>
        </w:tc>
        <w:tc>
          <w:tcPr>
            <w:tcW w:w="516" w:type="dxa"/>
          </w:tcPr>
          <w:p>
            <w:pPr/>
          </w:p>
        </w:tc>
      </w:tr>
      <w:tr>
        <w:trPr>
          <w:trHeight w:val="425" w:hRule="exact"/>
        </w:trPr>
        <w:tc>
          <w:tcPr>
            <w:tcW w:w="569" w:type="dxa"/>
          </w:tcPr>
          <w:p>
            <w:pPr>
              <w:pStyle w:val="TableParagraph"/>
              <w:spacing w:line="292" w:lineRule="exact"/>
              <w:ind w:left="103"/>
              <w:jc w:val="left"/>
              <w:rPr>
                <w:rFonts w:ascii="Calibri"/>
                <w:sz w:val="24"/>
              </w:rPr>
            </w:pPr>
            <w:r>
              <w:rPr>
                <w:rFonts w:ascii="Calibri"/>
                <w:sz w:val="24"/>
              </w:rPr>
              <w:t>75</w:t>
            </w:r>
          </w:p>
        </w:tc>
        <w:tc>
          <w:tcPr>
            <w:tcW w:w="5955" w:type="dxa"/>
            <w:gridSpan w:val="5"/>
          </w:tcPr>
          <w:p>
            <w:pPr>
              <w:pStyle w:val="TableParagraph"/>
              <w:spacing w:line="292" w:lineRule="exact"/>
              <w:ind w:left="100" w:right="95"/>
              <w:jc w:val="left"/>
              <w:rPr>
                <w:rFonts w:ascii="Calibri" w:hAnsi="Calibri"/>
                <w:sz w:val="24"/>
              </w:rPr>
            </w:pPr>
            <w:r>
              <w:rPr>
                <w:rFonts w:ascii="Calibri" w:hAnsi="Calibri"/>
                <w:sz w:val="24"/>
              </w:rPr>
              <w:t>Recibe solicitudes de información de manera verbal.</w:t>
            </w:r>
          </w:p>
        </w:tc>
        <w:tc>
          <w:tcPr>
            <w:tcW w:w="566" w:type="dxa"/>
          </w:tcPr>
          <w:p>
            <w:pPr/>
          </w:p>
        </w:tc>
        <w:tc>
          <w:tcPr>
            <w:tcW w:w="567" w:type="dxa"/>
          </w:tcPr>
          <w:p>
            <w:pPr/>
          </w:p>
        </w:tc>
        <w:tc>
          <w:tcPr>
            <w:tcW w:w="521" w:type="dxa"/>
          </w:tcPr>
          <w:p>
            <w:pPr/>
          </w:p>
        </w:tc>
        <w:tc>
          <w:tcPr>
            <w:tcW w:w="516" w:type="dxa"/>
          </w:tcPr>
          <w:p>
            <w:pPr/>
          </w:p>
        </w:tc>
      </w:tr>
    </w:tbl>
    <w:p>
      <w:pPr>
        <w:spacing w:after="0"/>
        <w:sectPr>
          <w:pgSz w:w="12240" w:h="15840"/>
          <w:pgMar w:header="0" w:footer="975" w:top="1420" w:bottom="1160" w:left="1540" w:right="1640"/>
        </w:sectPr>
      </w:pPr>
    </w:p>
    <w:tbl>
      <w:tblPr>
        <w:tblW w:w="0" w:type="auto"/>
        <w:jc w:val="left"/>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9"/>
        <w:gridCol w:w="5955"/>
        <w:gridCol w:w="566"/>
        <w:gridCol w:w="567"/>
        <w:gridCol w:w="521"/>
        <w:gridCol w:w="516"/>
      </w:tblGrid>
      <w:tr>
        <w:trPr>
          <w:trHeight w:val="1648" w:hRule="exact"/>
        </w:trPr>
        <w:tc>
          <w:tcPr>
            <w:tcW w:w="569" w:type="dxa"/>
            <w:shd w:val="clear" w:color="auto" w:fill="92D050"/>
          </w:tcPr>
          <w:p>
            <w:pPr>
              <w:pStyle w:val="TableParagraph"/>
              <w:jc w:val="left"/>
              <w:rPr>
                <w:rFonts w:ascii="Calibri"/>
                <w:b/>
                <w:sz w:val="24"/>
              </w:rPr>
            </w:pPr>
          </w:p>
          <w:p>
            <w:pPr>
              <w:pStyle w:val="TableParagraph"/>
              <w:jc w:val="left"/>
              <w:rPr>
                <w:rFonts w:ascii="Calibri"/>
                <w:b/>
                <w:sz w:val="24"/>
              </w:rPr>
            </w:pPr>
          </w:p>
          <w:p>
            <w:pPr>
              <w:pStyle w:val="TableParagraph"/>
              <w:spacing w:before="10"/>
              <w:jc w:val="left"/>
              <w:rPr>
                <w:rFonts w:ascii="Calibri"/>
                <w:b/>
                <w:sz w:val="23"/>
              </w:rPr>
            </w:pPr>
          </w:p>
          <w:p>
            <w:pPr>
              <w:pStyle w:val="TableParagraph"/>
              <w:ind w:left="103"/>
              <w:jc w:val="left"/>
              <w:rPr>
                <w:rFonts w:ascii="Calibri"/>
                <w:b/>
                <w:sz w:val="24"/>
              </w:rPr>
            </w:pPr>
            <w:r>
              <w:rPr>
                <w:rFonts w:ascii="Calibri"/>
                <w:b/>
                <w:sz w:val="24"/>
              </w:rPr>
              <w:t>No.</w:t>
            </w:r>
          </w:p>
        </w:tc>
        <w:tc>
          <w:tcPr>
            <w:tcW w:w="5955" w:type="dxa"/>
            <w:shd w:val="clear" w:color="auto" w:fill="92D050"/>
          </w:tcPr>
          <w:p>
            <w:pPr>
              <w:pStyle w:val="TableParagraph"/>
              <w:jc w:val="left"/>
              <w:rPr>
                <w:rFonts w:ascii="Calibri"/>
                <w:b/>
                <w:sz w:val="24"/>
              </w:rPr>
            </w:pPr>
          </w:p>
          <w:p>
            <w:pPr>
              <w:pStyle w:val="TableParagraph"/>
              <w:jc w:val="left"/>
              <w:rPr>
                <w:rFonts w:ascii="Calibri"/>
                <w:b/>
                <w:sz w:val="24"/>
              </w:rPr>
            </w:pPr>
          </w:p>
          <w:p>
            <w:pPr>
              <w:pStyle w:val="TableParagraph"/>
              <w:spacing w:before="10"/>
              <w:jc w:val="left"/>
              <w:rPr>
                <w:rFonts w:ascii="Calibri"/>
                <w:b/>
                <w:sz w:val="23"/>
              </w:rPr>
            </w:pPr>
          </w:p>
          <w:p>
            <w:pPr>
              <w:pStyle w:val="TableParagraph"/>
              <w:ind w:left="1930" w:right="95"/>
              <w:jc w:val="left"/>
              <w:rPr>
                <w:rFonts w:ascii="Calibri" w:hAnsi="Calibri"/>
                <w:b/>
                <w:sz w:val="24"/>
              </w:rPr>
            </w:pPr>
            <w:r>
              <w:rPr>
                <w:rFonts w:ascii="Calibri" w:hAnsi="Calibri"/>
                <w:b/>
                <w:sz w:val="24"/>
              </w:rPr>
              <w:t>Con qué frecuencia…</w:t>
            </w:r>
          </w:p>
        </w:tc>
        <w:tc>
          <w:tcPr>
            <w:tcW w:w="566" w:type="dxa"/>
            <w:shd w:val="clear" w:color="auto" w:fill="92D050"/>
            <w:textDirection w:val="btLr"/>
          </w:tcPr>
          <w:p>
            <w:pPr>
              <w:pStyle w:val="TableParagraph"/>
              <w:spacing w:before="102"/>
              <w:ind w:left="115"/>
              <w:jc w:val="left"/>
              <w:rPr>
                <w:rFonts w:ascii="Calibri"/>
                <w:b/>
                <w:sz w:val="24"/>
              </w:rPr>
            </w:pPr>
            <w:r>
              <w:rPr>
                <w:rFonts w:ascii="Calibri"/>
                <w:b/>
                <w:sz w:val="24"/>
              </w:rPr>
              <w:t>Nun</w:t>
            </w:r>
            <w:r>
              <w:rPr>
                <w:rFonts w:ascii="Calibri"/>
                <w:b/>
                <w:spacing w:val="-1"/>
                <w:sz w:val="24"/>
              </w:rPr>
              <w:t>ca</w:t>
            </w:r>
          </w:p>
        </w:tc>
        <w:tc>
          <w:tcPr>
            <w:tcW w:w="567" w:type="dxa"/>
            <w:shd w:val="clear" w:color="auto" w:fill="92D050"/>
            <w:textDirection w:val="btLr"/>
          </w:tcPr>
          <w:p>
            <w:pPr>
              <w:pStyle w:val="TableParagraph"/>
              <w:spacing w:before="105"/>
              <w:ind w:left="115"/>
              <w:jc w:val="left"/>
              <w:rPr>
                <w:rFonts w:ascii="Calibri"/>
                <w:b/>
                <w:sz w:val="24"/>
              </w:rPr>
            </w:pPr>
            <w:r>
              <w:rPr>
                <w:rFonts w:ascii="Calibri"/>
                <w:b/>
                <w:spacing w:val="-1"/>
                <w:sz w:val="24"/>
              </w:rPr>
              <w:t>Ca</w:t>
            </w:r>
            <w:r>
              <w:rPr>
                <w:rFonts w:ascii="Calibri"/>
                <w:b/>
                <w:sz w:val="24"/>
              </w:rPr>
              <w:t>si</w:t>
            </w:r>
            <w:r>
              <w:rPr>
                <w:rFonts w:ascii="Calibri"/>
                <w:b/>
                <w:spacing w:val="1"/>
                <w:sz w:val="24"/>
              </w:rPr>
              <w:t> </w:t>
            </w:r>
            <w:r>
              <w:rPr>
                <w:rFonts w:ascii="Calibri"/>
                <w:b/>
                <w:sz w:val="24"/>
              </w:rPr>
              <w:t>n</w:t>
            </w:r>
            <w:r>
              <w:rPr>
                <w:rFonts w:ascii="Calibri"/>
                <w:b/>
                <w:spacing w:val="-2"/>
                <w:sz w:val="24"/>
              </w:rPr>
              <w:t>u</w:t>
            </w:r>
            <w:r>
              <w:rPr>
                <w:rFonts w:ascii="Calibri"/>
                <w:b/>
                <w:sz w:val="24"/>
              </w:rPr>
              <w:t>n</w:t>
            </w:r>
            <w:r>
              <w:rPr>
                <w:rFonts w:ascii="Calibri"/>
                <w:b/>
                <w:spacing w:val="-1"/>
                <w:sz w:val="24"/>
              </w:rPr>
              <w:t>ca</w:t>
            </w:r>
          </w:p>
        </w:tc>
        <w:tc>
          <w:tcPr>
            <w:tcW w:w="521" w:type="dxa"/>
            <w:shd w:val="clear" w:color="auto" w:fill="92D050"/>
            <w:textDirection w:val="btLr"/>
          </w:tcPr>
          <w:p>
            <w:pPr>
              <w:pStyle w:val="TableParagraph"/>
              <w:spacing w:before="105"/>
              <w:ind w:left="115"/>
              <w:jc w:val="left"/>
              <w:rPr>
                <w:rFonts w:ascii="Calibri"/>
                <w:b/>
                <w:sz w:val="24"/>
              </w:rPr>
            </w:pPr>
            <w:r>
              <w:rPr>
                <w:rFonts w:ascii="Calibri"/>
                <w:b/>
                <w:spacing w:val="-1"/>
                <w:sz w:val="24"/>
              </w:rPr>
              <w:t>Ca</w:t>
            </w:r>
            <w:r>
              <w:rPr>
                <w:rFonts w:ascii="Calibri"/>
                <w:b/>
                <w:sz w:val="24"/>
              </w:rPr>
              <w:t>si</w:t>
            </w:r>
            <w:r>
              <w:rPr>
                <w:rFonts w:ascii="Calibri"/>
                <w:b/>
                <w:spacing w:val="1"/>
                <w:sz w:val="24"/>
              </w:rPr>
              <w:t> </w:t>
            </w:r>
            <w:r>
              <w:rPr>
                <w:rFonts w:ascii="Calibri"/>
                <w:b/>
                <w:sz w:val="24"/>
              </w:rPr>
              <w:t>s</w:t>
            </w:r>
            <w:r>
              <w:rPr>
                <w:rFonts w:ascii="Calibri"/>
                <w:b/>
                <w:spacing w:val="1"/>
                <w:sz w:val="24"/>
              </w:rPr>
              <w:t>i</w:t>
            </w:r>
            <w:r>
              <w:rPr>
                <w:rFonts w:ascii="Calibri"/>
                <w:b/>
                <w:spacing w:val="-1"/>
                <w:sz w:val="24"/>
              </w:rPr>
              <w:t>em</w:t>
            </w:r>
            <w:r>
              <w:rPr>
                <w:rFonts w:ascii="Calibri"/>
                <w:b/>
                <w:sz w:val="24"/>
              </w:rPr>
              <w:t>pre</w:t>
            </w:r>
          </w:p>
        </w:tc>
        <w:tc>
          <w:tcPr>
            <w:tcW w:w="516" w:type="dxa"/>
            <w:shd w:val="clear" w:color="auto" w:fill="92D050"/>
            <w:textDirection w:val="btLr"/>
          </w:tcPr>
          <w:p>
            <w:pPr>
              <w:pStyle w:val="TableParagraph"/>
              <w:spacing w:before="105"/>
              <w:ind w:left="115"/>
              <w:jc w:val="left"/>
              <w:rPr>
                <w:rFonts w:ascii="Calibri"/>
                <w:b/>
                <w:sz w:val="24"/>
              </w:rPr>
            </w:pPr>
            <w:r>
              <w:rPr>
                <w:rFonts w:ascii="Calibri"/>
                <w:b/>
                <w:sz w:val="24"/>
              </w:rPr>
              <w:t>Sie</w:t>
            </w:r>
            <w:r>
              <w:rPr>
                <w:rFonts w:ascii="Calibri"/>
                <w:b/>
                <w:spacing w:val="-2"/>
                <w:sz w:val="24"/>
              </w:rPr>
              <w:t>m</w:t>
            </w:r>
            <w:r>
              <w:rPr>
                <w:rFonts w:ascii="Calibri"/>
                <w:b/>
                <w:sz w:val="24"/>
              </w:rPr>
              <w:t>pre</w:t>
            </w:r>
          </w:p>
        </w:tc>
      </w:tr>
      <w:tr>
        <w:trPr>
          <w:trHeight w:val="425" w:hRule="exact"/>
        </w:trPr>
        <w:tc>
          <w:tcPr>
            <w:tcW w:w="569" w:type="dxa"/>
          </w:tcPr>
          <w:p>
            <w:pPr>
              <w:pStyle w:val="TableParagraph"/>
              <w:spacing w:line="290" w:lineRule="exact"/>
              <w:ind w:left="103"/>
              <w:jc w:val="left"/>
              <w:rPr>
                <w:rFonts w:ascii="Calibri"/>
                <w:sz w:val="24"/>
              </w:rPr>
            </w:pPr>
            <w:r>
              <w:rPr>
                <w:rFonts w:ascii="Calibri"/>
                <w:sz w:val="24"/>
              </w:rPr>
              <w:t>76</w:t>
            </w:r>
          </w:p>
        </w:tc>
        <w:tc>
          <w:tcPr>
            <w:tcW w:w="5955" w:type="dxa"/>
          </w:tcPr>
          <w:p>
            <w:pPr>
              <w:pStyle w:val="TableParagraph"/>
              <w:spacing w:line="290" w:lineRule="exact"/>
              <w:ind w:left="100" w:right="95"/>
              <w:jc w:val="left"/>
              <w:rPr>
                <w:rFonts w:ascii="Calibri" w:hAnsi="Calibri"/>
                <w:sz w:val="24"/>
              </w:rPr>
            </w:pPr>
            <w:r>
              <w:rPr>
                <w:rFonts w:ascii="Calibri" w:hAnsi="Calibri"/>
                <w:sz w:val="24"/>
              </w:rPr>
              <w:t>Recibe solicitudes de información de manera escrita.</w:t>
            </w:r>
          </w:p>
        </w:tc>
        <w:tc>
          <w:tcPr>
            <w:tcW w:w="566" w:type="dxa"/>
          </w:tcPr>
          <w:p>
            <w:pPr/>
          </w:p>
        </w:tc>
        <w:tc>
          <w:tcPr>
            <w:tcW w:w="567" w:type="dxa"/>
          </w:tcPr>
          <w:p>
            <w:pPr/>
          </w:p>
        </w:tc>
        <w:tc>
          <w:tcPr>
            <w:tcW w:w="521" w:type="dxa"/>
          </w:tcPr>
          <w:p>
            <w:pPr/>
          </w:p>
        </w:tc>
        <w:tc>
          <w:tcPr>
            <w:tcW w:w="516" w:type="dxa"/>
          </w:tcPr>
          <w:p>
            <w:pPr/>
          </w:p>
        </w:tc>
      </w:tr>
      <w:tr>
        <w:trPr>
          <w:trHeight w:val="425" w:hRule="exact"/>
        </w:trPr>
        <w:tc>
          <w:tcPr>
            <w:tcW w:w="569" w:type="dxa"/>
          </w:tcPr>
          <w:p>
            <w:pPr>
              <w:pStyle w:val="TableParagraph"/>
              <w:spacing w:line="290" w:lineRule="exact"/>
              <w:ind w:left="103"/>
              <w:jc w:val="left"/>
              <w:rPr>
                <w:rFonts w:ascii="Calibri"/>
                <w:sz w:val="24"/>
              </w:rPr>
            </w:pPr>
            <w:r>
              <w:rPr>
                <w:rFonts w:ascii="Calibri"/>
                <w:sz w:val="24"/>
              </w:rPr>
              <w:t>77</w:t>
            </w:r>
          </w:p>
        </w:tc>
        <w:tc>
          <w:tcPr>
            <w:tcW w:w="5955" w:type="dxa"/>
          </w:tcPr>
          <w:p>
            <w:pPr>
              <w:pStyle w:val="TableParagraph"/>
              <w:spacing w:line="290" w:lineRule="exact"/>
              <w:ind w:left="100" w:right="95"/>
              <w:jc w:val="left"/>
              <w:rPr>
                <w:rFonts w:ascii="Calibri" w:hAnsi="Calibri"/>
                <w:sz w:val="24"/>
              </w:rPr>
            </w:pPr>
            <w:r>
              <w:rPr>
                <w:rFonts w:ascii="Calibri" w:hAnsi="Calibri"/>
                <w:sz w:val="24"/>
              </w:rPr>
              <w:t>Recibe solicitudes de información en la página IPOMEX.</w:t>
            </w:r>
          </w:p>
        </w:tc>
        <w:tc>
          <w:tcPr>
            <w:tcW w:w="566" w:type="dxa"/>
          </w:tcPr>
          <w:p>
            <w:pPr/>
          </w:p>
        </w:tc>
        <w:tc>
          <w:tcPr>
            <w:tcW w:w="567" w:type="dxa"/>
          </w:tcPr>
          <w:p>
            <w:pPr/>
          </w:p>
        </w:tc>
        <w:tc>
          <w:tcPr>
            <w:tcW w:w="521" w:type="dxa"/>
          </w:tcPr>
          <w:p>
            <w:pPr/>
          </w:p>
        </w:tc>
        <w:tc>
          <w:tcPr>
            <w:tcW w:w="516" w:type="dxa"/>
          </w:tcPr>
          <w:p>
            <w:pPr/>
          </w:p>
        </w:tc>
      </w:tr>
      <w:tr>
        <w:trPr>
          <w:trHeight w:val="598" w:hRule="exact"/>
        </w:trPr>
        <w:tc>
          <w:tcPr>
            <w:tcW w:w="569" w:type="dxa"/>
          </w:tcPr>
          <w:p>
            <w:pPr>
              <w:pStyle w:val="TableParagraph"/>
              <w:spacing w:line="290" w:lineRule="exact"/>
              <w:ind w:left="103"/>
              <w:jc w:val="left"/>
              <w:rPr>
                <w:rFonts w:ascii="Calibri"/>
                <w:sz w:val="24"/>
              </w:rPr>
            </w:pPr>
            <w:r>
              <w:rPr>
                <w:rFonts w:ascii="Calibri"/>
                <w:sz w:val="24"/>
              </w:rPr>
              <w:t>78</w:t>
            </w:r>
          </w:p>
        </w:tc>
        <w:tc>
          <w:tcPr>
            <w:tcW w:w="5955" w:type="dxa"/>
          </w:tcPr>
          <w:p>
            <w:pPr>
              <w:pStyle w:val="TableParagraph"/>
              <w:ind w:left="100" w:right="95"/>
              <w:jc w:val="left"/>
              <w:rPr>
                <w:rFonts w:ascii="Calibri" w:hAnsi="Calibri"/>
                <w:sz w:val="24"/>
              </w:rPr>
            </w:pPr>
            <w:r>
              <w:rPr>
                <w:rFonts w:ascii="Calibri" w:hAnsi="Calibri"/>
                <w:sz w:val="24"/>
              </w:rPr>
              <w:t>La transparencia es considerada como una práctica cotidiana.</w:t>
            </w:r>
          </w:p>
        </w:tc>
        <w:tc>
          <w:tcPr>
            <w:tcW w:w="566" w:type="dxa"/>
          </w:tcPr>
          <w:p>
            <w:pPr/>
          </w:p>
        </w:tc>
        <w:tc>
          <w:tcPr>
            <w:tcW w:w="567" w:type="dxa"/>
          </w:tcPr>
          <w:p>
            <w:pPr/>
          </w:p>
        </w:tc>
        <w:tc>
          <w:tcPr>
            <w:tcW w:w="521" w:type="dxa"/>
          </w:tcPr>
          <w:p>
            <w:pPr/>
          </w:p>
        </w:tc>
        <w:tc>
          <w:tcPr>
            <w:tcW w:w="516" w:type="dxa"/>
          </w:tcPr>
          <w:p>
            <w:pPr/>
          </w:p>
        </w:tc>
      </w:tr>
      <w:tr>
        <w:trPr>
          <w:trHeight w:val="595" w:hRule="exact"/>
        </w:trPr>
        <w:tc>
          <w:tcPr>
            <w:tcW w:w="569" w:type="dxa"/>
          </w:tcPr>
          <w:p>
            <w:pPr>
              <w:pStyle w:val="TableParagraph"/>
              <w:spacing w:line="290" w:lineRule="exact"/>
              <w:ind w:left="103"/>
              <w:jc w:val="left"/>
              <w:rPr>
                <w:rFonts w:ascii="Calibri"/>
                <w:sz w:val="24"/>
              </w:rPr>
            </w:pPr>
            <w:r>
              <w:rPr>
                <w:rFonts w:ascii="Calibri"/>
                <w:sz w:val="24"/>
              </w:rPr>
              <w:t>79</w:t>
            </w:r>
          </w:p>
        </w:tc>
        <w:tc>
          <w:tcPr>
            <w:tcW w:w="5955" w:type="dxa"/>
          </w:tcPr>
          <w:p>
            <w:pPr>
              <w:pStyle w:val="TableParagraph"/>
              <w:ind w:left="100" w:right="95"/>
              <w:jc w:val="left"/>
              <w:rPr>
                <w:rFonts w:ascii="Calibri"/>
                <w:sz w:val="24"/>
              </w:rPr>
            </w:pPr>
            <w:r>
              <w:rPr>
                <w:rFonts w:ascii="Calibri"/>
                <w:sz w:val="24"/>
              </w:rPr>
              <w:t>Se procura dar cumplimiento a lo establecido en la ley de transparencia.</w:t>
            </w:r>
          </w:p>
        </w:tc>
        <w:tc>
          <w:tcPr>
            <w:tcW w:w="566" w:type="dxa"/>
          </w:tcPr>
          <w:p>
            <w:pPr/>
          </w:p>
        </w:tc>
        <w:tc>
          <w:tcPr>
            <w:tcW w:w="567" w:type="dxa"/>
          </w:tcPr>
          <w:p>
            <w:pPr/>
          </w:p>
        </w:tc>
        <w:tc>
          <w:tcPr>
            <w:tcW w:w="521" w:type="dxa"/>
          </w:tcPr>
          <w:p>
            <w:pPr/>
          </w:p>
        </w:tc>
        <w:tc>
          <w:tcPr>
            <w:tcW w:w="516" w:type="dxa"/>
          </w:tcPr>
          <w:p>
            <w:pPr/>
          </w:p>
        </w:tc>
      </w:tr>
      <w:tr>
        <w:trPr>
          <w:trHeight w:val="596" w:hRule="exact"/>
        </w:trPr>
        <w:tc>
          <w:tcPr>
            <w:tcW w:w="569" w:type="dxa"/>
          </w:tcPr>
          <w:p>
            <w:pPr>
              <w:pStyle w:val="TableParagraph"/>
              <w:spacing w:line="290" w:lineRule="exact"/>
              <w:ind w:left="103"/>
              <w:jc w:val="left"/>
              <w:rPr>
                <w:rFonts w:ascii="Calibri"/>
                <w:sz w:val="24"/>
              </w:rPr>
            </w:pPr>
            <w:r>
              <w:rPr>
                <w:rFonts w:ascii="Calibri"/>
                <w:sz w:val="24"/>
              </w:rPr>
              <w:t>80</w:t>
            </w:r>
          </w:p>
        </w:tc>
        <w:tc>
          <w:tcPr>
            <w:tcW w:w="5955" w:type="dxa"/>
          </w:tcPr>
          <w:p>
            <w:pPr>
              <w:pStyle w:val="TableParagraph"/>
              <w:ind w:left="100" w:right="95"/>
              <w:jc w:val="left"/>
              <w:rPr>
                <w:rFonts w:ascii="Calibri" w:hAnsi="Calibri"/>
                <w:sz w:val="24"/>
              </w:rPr>
            </w:pPr>
            <w:r>
              <w:rPr>
                <w:rFonts w:ascii="Calibri" w:hAnsi="Calibri"/>
                <w:sz w:val="24"/>
              </w:rPr>
              <w:t>Se mantiene actualizada la información publicada en el sistema IPOMEX.</w:t>
            </w:r>
          </w:p>
        </w:tc>
        <w:tc>
          <w:tcPr>
            <w:tcW w:w="566" w:type="dxa"/>
          </w:tcPr>
          <w:p>
            <w:pPr/>
          </w:p>
        </w:tc>
        <w:tc>
          <w:tcPr>
            <w:tcW w:w="567" w:type="dxa"/>
          </w:tcPr>
          <w:p>
            <w:pPr/>
          </w:p>
        </w:tc>
        <w:tc>
          <w:tcPr>
            <w:tcW w:w="521" w:type="dxa"/>
          </w:tcPr>
          <w:p>
            <w:pPr/>
          </w:p>
        </w:tc>
        <w:tc>
          <w:tcPr>
            <w:tcW w:w="516" w:type="dxa"/>
          </w:tcPr>
          <w:p>
            <w:pPr/>
          </w:p>
        </w:tc>
      </w:tr>
      <w:tr>
        <w:trPr>
          <w:trHeight w:val="595" w:hRule="exact"/>
        </w:trPr>
        <w:tc>
          <w:tcPr>
            <w:tcW w:w="569" w:type="dxa"/>
          </w:tcPr>
          <w:p>
            <w:pPr>
              <w:pStyle w:val="TableParagraph"/>
              <w:spacing w:line="290" w:lineRule="exact"/>
              <w:ind w:left="103"/>
              <w:jc w:val="left"/>
              <w:rPr>
                <w:rFonts w:ascii="Calibri"/>
                <w:sz w:val="24"/>
              </w:rPr>
            </w:pPr>
            <w:r>
              <w:rPr>
                <w:rFonts w:ascii="Calibri"/>
                <w:sz w:val="24"/>
              </w:rPr>
              <w:t>81</w:t>
            </w:r>
          </w:p>
        </w:tc>
        <w:tc>
          <w:tcPr>
            <w:tcW w:w="5955" w:type="dxa"/>
          </w:tcPr>
          <w:p>
            <w:pPr>
              <w:pStyle w:val="TableParagraph"/>
              <w:ind w:left="100" w:right="95"/>
              <w:jc w:val="left"/>
              <w:rPr>
                <w:rFonts w:ascii="Calibri" w:hAnsi="Calibri"/>
                <w:sz w:val="24"/>
              </w:rPr>
            </w:pPr>
            <w:r>
              <w:rPr>
                <w:rFonts w:ascii="Calibri" w:hAnsi="Calibri"/>
                <w:sz w:val="24"/>
              </w:rPr>
              <w:t>La Ley de transparencia es contradictoria con la Ley de protección de datos personales.</w:t>
            </w:r>
          </w:p>
        </w:tc>
        <w:tc>
          <w:tcPr>
            <w:tcW w:w="566" w:type="dxa"/>
          </w:tcPr>
          <w:p>
            <w:pPr/>
          </w:p>
        </w:tc>
        <w:tc>
          <w:tcPr>
            <w:tcW w:w="567" w:type="dxa"/>
          </w:tcPr>
          <w:p>
            <w:pPr/>
          </w:p>
        </w:tc>
        <w:tc>
          <w:tcPr>
            <w:tcW w:w="521" w:type="dxa"/>
          </w:tcPr>
          <w:p>
            <w:pPr/>
          </w:p>
        </w:tc>
        <w:tc>
          <w:tcPr>
            <w:tcW w:w="516" w:type="dxa"/>
          </w:tcPr>
          <w:p>
            <w:pPr/>
          </w:p>
        </w:tc>
      </w:tr>
      <w:tr>
        <w:trPr>
          <w:trHeight w:val="598" w:hRule="exact"/>
        </w:trPr>
        <w:tc>
          <w:tcPr>
            <w:tcW w:w="569" w:type="dxa"/>
          </w:tcPr>
          <w:p>
            <w:pPr>
              <w:pStyle w:val="TableParagraph"/>
              <w:spacing w:line="292" w:lineRule="exact"/>
              <w:ind w:left="103"/>
              <w:jc w:val="left"/>
              <w:rPr>
                <w:rFonts w:ascii="Calibri"/>
                <w:sz w:val="24"/>
              </w:rPr>
            </w:pPr>
            <w:r>
              <w:rPr>
                <w:rFonts w:ascii="Calibri"/>
                <w:sz w:val="24"/>
              </w:rPr>
              <w:t>82</w:t>
            </w:r>
          </w:p>
        </w:tc>
        <w:tc>
          <w:tcPr>
            <w:tcW w:w="5955" w:type="dxa"/>
          </w:tcPr>
          <w:p>
            <w:pPr>
              <w:pStyle w:val="TableParagraph"/>
              <w:ind w:left="100" w:right="95"/>
              <w:jc w:val="left"/>
              <w:rPr>
                <w:rFonts w:ascii="Calibri" w:hAnsi="Calibri"/>
                <w:sz w:val="24"/>
              </w:rPr>
            </w:pPr>
            <w:r>
              <w:rPr>
                <w:rFonts w:ascii="Calibri" w:hAnsi="Calibri"/>
                <w:sz w:val="24"/>
              </w:rPr>
              <w:t>La normativa en función de la transparencia es suficiente para garantizar la transparencia en su municipio.</w:t>
            </w:r>
          </w:p>
        </w:tc>
        <w:tc>
          <w:tcPr>
            <w:tcW w:w="566" w:type="dxa"/>
          </w:tcPr>
          <w:p>
            <w:pPr/>
          </w:p>
        </w:tc>
        <w:tc>
          <w:tcPr>
            <w:tcW w:w="567" w:type="dxa"/>
          </w:tcPr>
          <w:p>
            <w:pPr/>
          </w:p>
        </w:tc>
        <w:tc>
          <w:tcPr>
            <w:tcW w:w="521" w:type="dxa"/>
          </w:tcPr>
          <w:p>
            <w:pPr/>
          </w:p>
        </w:tc>
        <w:tc>
          <w:tcPr>
            <w:tcW w:w="516" w:type="dxa"/>
          </w:tcPr>
          <w:p>
            <w:pPr/>
          </w:p>
        </w:tc>
      </w:tr>
      <w:tr>
        <w:trPr>
          <w:trHeight w:val="595" w:hRule="exact"/>
        </w:trPr>
        <w:tc>
          <w:tcPr>
            <w:tcW w:w="569" w:type="dxa"/>
          </w:tcPr>
          <w:p>
            <w:pPr>
              <w:pStyle w:val="TableParagraph"/>
              <w:spacing w:line="290" w:lineRule="exact"/>
              <w:ind w:left="103"/>
              <w:jc w:val="left"/>
              <w:rPr>
                <w:rFonts w:ascii="Calibri"/>
                <w:sz w:val="24"/>
              </w:rPr>
            </w:pPr>
            <w:r>
              <w:rPr>
                <w:rFonts w:ascii="Calibri"/>
                <w:sz w:val="24"/>
              </w:rPr>
              <w:t>83</w:t>
            </w:r>
          </w:p>
        </w:tc>
        <w:tc>
          <w:tcPr>
            <w:tcW w:w="5955" w:type="dxa"/>
          </w:tcPr>
          <w:p>
            <w:pPr>
              <w:pStyle w:val="TableParagraph"/>
              <w:ind w:left="100" w:right="43"/>
              <w:jc w:val="left"/>
              <w:rPr>
                <w:rFonts w:ascii="Calibri" w:hAnsi="Calibri"/>
                <w:sz w:val="24"/>
              </w:rPr>
            </w:pPr>
            <w:r>
              <w:rPr>
                <w:rFonts w:ascii="Calibri" w:hAnsi="Calibri"/>
                <w:sz w:val="24"/>
              </w:rPr>
              <w:t>Se promueve la participación ciudadana en su municipio en favor de la transparencia.</w:t>
            </w:r>
          </w:p>
        </w:tc>
        <w:tc>
          <w:tcPr>
            <w:tcW w:w="566" w:type="dxa"/>
          </w:tcPr>
          <w:p>
            <w:pPr/>
          </w:p>
        </w:tc>
        <w:tc>
          <w:tcPr>
            <w:tcW w:w="567" w:type="dxa"/>
          </w:tcPr>
          <w:p>
            <w:pPr/>
          </w:p>
        </w:tc>
        <w:tc>
          <w:tcPr>
            <w:tcW w:w="521" w:type="dxa"/>
          </w:tcPr>
          <w:p>
            <w:pPr/>
          </w:p>
        </w:tc>
        <w:tc>
          <w:tcPr>
            <w:tcW w:w="516" w:type="dxa"/>
          </w:tcPr>
          <w:p>
            <w:pPr/>
          </w:p>
        </w:tc>
      </w:tr>
      <w:tr>
        <w:trPr>
          <w:trHeight w:val="595" w:hRule="exact"/>
        </w:trPr>
        <w:tc>
          <w:tcPr>
            <w:tcW w:w="569" w:type="dxa"/>
          </w:tcPr>
          <w:p>
            <w:pPr>
              <w:pStyle w:val="TableParagraph"/>
              <w:spacing w:line="290" w:lineRule="exact"/>
              <w:ind w:left="103"/>
              <w:jc w:val="left"/>
              <w:rPr>
                <w:rFonts w:ascii="Calibri"/>
                <w:sz w:val="24"/>
              </w:rPr>
            </w:pPr>
            <w:r>
              <w:rPr>
                <w:rFonts w:ascii="Calibri"/>
                <w:sz w:val="24"/>
              </w:rPr>
              <w:t>84</w:t>
            </w:r>
          </w:p>
        </w:tc>
        <w:tc>
          <w:tcPr>
            <w:tcW w:w="5955" w:type="dxa"/>
          </w:tcPr>
          <w:p>
            <w:pPr>
              <w:pStyle w:val="TableParagraph"/>
              <w:ind w:left="100" w:right="95"/>
              <w:jc w:val="left"/>
              <w:rPr>
                <w:rFonts w:ascii="Calibri" w:hAnsi="Calibri"/>
                <w:sz w:val="24"/>
              </w:rPr>
            </w:pPr>
            <w:r>
              <w:rPr>
                <w:rFonts w:ascii="Calibri" w:hAnsi="Calibri"/>
                <w:sz w:val="24"/>
              </w:rPr>
              <w:t>Recibe recursos de revisión sobre la información que entregó a quienes solicitan información.</w:t>
            </w:r>
          </w:p>
        </w:tc>
        <w:tc>
          <w:tcPr>
            <w:tcW w:w="566" w:type="dxa"/>
          </w:tcPr>
          <w:p>
            <w:pPr/>
          </w:p>
        </w:tc>
        <w:tc>
          <w:tcPr>
            <w:tcW w:w="567" w:type="dxa"/>
          </w:tcPr>
          <w:p>
            <w:pPr/>
          </w:p>
        </w:tc>
        <w:tc>
          <w:tcPr>
            <w:tcW w:w="521" w:type="dxa"/>
          </w:tcPr>
          <w:p>
            <w:pPr/>
          </w:p>
        </w:tc>
        <w:tc>
          <w:tcPr>
            <w:tcW w:w="516" w:type="dxa"/>
          </w:tcPr>
          <w:p>
            <w:pPr/>
          </w:p>
        </w:tc>
      </w:tr>
      <w:tr>
        <w:trPr>
          <w:trHeight w:val="427" w:hRule="exact"/>
        </w:trPr>
        <w:tc>
          <w:tcPr>
            <w:tcW w:w="569" w:type="dxa"/>
          </w:tcPr>
          <w:p>
            <w:pPr>
              <w:pStyle w:val="TableParagraph"/>
              <w:spacing w:line="292" w:lineRule="exact"/>
              <w:ind w:left="103"/>
              <w:jc w:val="left"/>
              <w:rPr>
                <w:rFonts w:ascii="Calibri"/>
                <w:sz w:val="24"/>
              </w:rPr>
            </w:pPr>
            <w:r>
              <w:rPr>
                <w:rFonts w:ascii="Calibri"/>
                <w:sz w:val="24"/>
              </w:rPr>
              <w:t>85</w:t>
            </w:r>
          </w:p>
        </w:tc>
        <w:tc>
          <w:tcPr>
            <w:tcW w:w="5955" w:type="dxa"/>
          </w:tcPr>
          <w:p>
            <w:pPr>
              <w:pStyle w:val="TableParagraph"/>
              <w:spacing w:line="292" w:lineRule="exact"/>
              <w:ind w:left="100" w:right="95"/>
              <w:jc w:val="left"/>
              <w:rPr>
                <w:rFonts w:ascii="Calibri"/>
                <w:sz w:val="24"/>
              </w:rPr>
            </w:pPr>
            <w:r>
              <w:rPr>
                <w:rFonts w:ascii="Calibri"/>
                <w:sz w:val="24"/>
              </w:rPr>
              <w:t>Se sanciona a quienes incumplen la ley de transparencia.</w:t>
            </w:r>
          </w:p>
        </w:tc>
        <w:tc>
          <w:tcPr>
            <w:tcW w:w="566" w:type="dxa"/>
          </w:tcPr>
          <w:p>
            <w:pPr/>
          </w:p>
        </w:tc>
        <w:tc>
          <w:tcPr>
            <w:tcW w:w="567" w:type="dxa"/>
          </w:tcPr>
          <w:p>
            <w:pPr/>
          </w:p>
        </w:tc>
        <w:tc>
          <w:tcPr>
            <w:tcW w:w="521" w:type="dxa"/>
          </w:tcPr>
          <w:p>
            <w:pPr/>
          </w:p>
        </w:tc>
        <w:tc>
          <w:tcPr>
            <w:tcW w:w="516" w:type="dxa"/>
          </w:tcPr>
          <w:p>
            <w:pPr/>
          </w:p>
        </w:tc>
      </w:tr>
    </w:tbl>
    <w:p>
      <w:pPr>
        <w:pStyle w:val="BodyText"/>
        <w:rPr>
          <w:rFonts w:ascii="Calibri"/>
          <w:b/>
          <w:sz w:val="20"/>
        </w:rPr>
      </w:pPr>
    </w:p>
    <w:p>
      <w:pPr>
        <w:pStyle w:val="BodyText"/>
        <w:spacing w:before="5"/>
        <w:rPr>
          <w:rFonts w:ascii="Calibri"/>
          <w:b/>
          <w:sz w:val="18"/>
        </w:rPr>
      </w:pPr>
    </w:p>
    <w:p>
      <w:pPr>
        <w:pStyle w:val="ListParagraph"/>
        <w:numPr>
          <w:ilvl w:val="0"/>
          <w:numId w:val="71"/>
        </w:numPr>
        <w:tabs>
          <w:tab w:pos="540" w:val="left" w:leader="none"/>
        </w:tabs>
        <w:spacing w:line="259" w:lineRule="auto" w:before="1" w:after="0"/>
        <w:ind w:left="108" w:right="115" w:firstLine="0"/>
        <w:jc w:val="left"/>
        <w:rPr>
          <w:rFonts w:ascii="Calibri" w:hAnsi="Calibri"/>
          <w:sz w:val="24"/>
        </w:rPr>
      </w:pPr>
      <w:r>
        <w:rPr>
          <w:rFonts w:ascii="Calibri" w:hAnsi="Calibri"/>
          <w:sz w:val="24"/>
        </w:rPr>
        <w:t>Si usted fuera el presidente municipal qué acciones realizaría para garantizar la transparencia en su</w:t>
      </w:r>
      <w:r>
        <w:rPr>
          <w:rFonts w:ascii="Calibri" w:hAnsi="Calibri"/>
          <w:spacing w:val="-13"/>
          <w:sz w:val="24"/>
        </w:rPr>
        <w:t> </w:t>
      </w:r>
      <w:r>
        <w:rPr>
          <w:rFonts w:ascii="Calibri" w:hAnsi="Calibri"/>
          <w:sz w:val="24"/>
        </w:rPr>
        <w:t>municipio:</w:t>
      </w:r>
    </w:p>
    <w:p>
      <w:pPr>
        <w:spacing w:after="0" w:line="259" w:lineRule="auto"/>
        <w:jc w:val="left"/>
        <w:rPr>
          <w:rFonts w:ascii="Calibri" w:hAnsi="Calibri"/>
          <w:sz w:val="24"/>
        </w:rPr>
        <w:sectPr>
          <w:pgSz w:w="12240" w:h="15840"/>
          <w:pgMar w:header="0" w:footer="975" w:top="1420" w:bottom="1160" w:left="1500" w:right="1580"/>
        </w:sectPr>
      </w:pPr>
    </w:p>
    <w:p>
      <w:pPr>
        <w:spacing w:before="50"/>
        <w:ind w:left="112" w:right="0" w:firstLine="0"/>
        <w:jc w:val="left"/>
        <w:rPr>
          <w:b/>
          <w:sz w:val="18"/>
        </w:rPr>
      </w:pPr>
      <w:r>
        <w:rPr>
          <w:b/>
          <w:sz w:val="18"/>
        </w:rPr>
        <w:t>Anexo 7. Entrevista realizada a la responsable de transparencia del municipio de San Mateo Atenco</w:t>
      </w:r>
    </w:p>
    <w:p>
      <w:pPr>
        <w:pStyle w:val="BodyText"/>
        <w:rPr>
          <w:b/>
          <w:sz w:val="18"/>
        </w:rPr>
      </w:pPr>
    </w:p>
    <w:p>
      <w:pPr>
        <w:pStyle w:val="BodyText"/>
        <w:rPr>
          <w:b/>
          <w:sz w:val="18"/>
        </w:rPr>
      </w:pPr>
    </w:p>
    <w:p>
      <w:pPr>
        <w:pStyle w:val="BodyText"/>
        <w:rPr>
          <w:b/>
          <w:sz w:val="18"/>
        </w:rPr>
      </w:pPr>
    </w:p>
    <w:p>
      <w:pPr>
        <w:pStyle w:val="BodyText"/>
        <w:rPr>
          <w:b/>
          <w:sz w:val="19"/>
        </w:rPr>
      </w:pPr>
    </w:p>
    <w:p>
      <w:pPr>
        <w:spacing w:line="240" w:lineRule="auto" w:before="0"/>
        <w:ind w:left="474" w:right="408" w:firstLine="0"/>
        <w:jc w:val="both"/>
        <w:rPr>
          <w:sz w:val="18"/>
        </w:rPr>
      </w:pPr>
      <w:r>
        <w:rPr>
          <w:b/>
          <w:sz w:val="18"/>
        </w:rPr>
        <w:t>Gabriel: </w:t>
      </w:r>
      <w:r>
        <w:rPr>
          <w:sz w:val="18"/>
        </w:rPr>
        <w:t>Buenas Tardes hoy 28 de Mayo de 2015, me encuentro aquí con la responsable de transparencia del municipio de San Mateo Atenco, Licenciada muchas gracias. Si le parece bien pudiésemos</w:t>
      </w:r>
      <w:r>
        <w:rPr>
          <w:spacing w:val="-2"/>
          <w:sz w:val="18"/>
        </w:rPr>
        <w:t> </w:t>
      </w:r>
      <w:r>
        <w:rPr>
          <w:sz w:val="18"/>
        </w:rPr>
        <w:t>comenzar</w:t>
      </w:r>
      <w:r>
        <w:rPr>
          <w:spacing w:val="-3"/>
          <w:sz w:val="18"/>
        </w:rPr>
        <w:t> </w:t>
      </w:r>
      <w:r>
        <w:rPr>
          <w:sz w:val="18"/>
        </w:rPr>
        <w:t>con</w:t>
      </w:r>
      <w:r>
        <w:rPr>
          <w:spacing w:val="-5"/>
          <w:sz w:val="18"/>
        </w:rPr>
        <w:t> </w:t>
      </w:r>
      <w:r>
        <w:rPr>
          <w:sz w:val="18"/>
        </w:rPr>
        <w:t>datos</w:t>
      </w:r>
      <w:r>
        <w:rPr>
          <w:spacing w:val="-4"/>
          <w:sz w:val="18"/>
        </w:rPr>
        <w:t> </w:t>
      </w:r>
      <w:r>
        <w:rPr>
          <w:sz w:val="18"/>
        </w:rPr>
        <w:t>muy</w:t>
      </w:r>
      <w:r>
        <w:rPr>
          <w:spacing w:val="-5"/>
          <w:sz w:val="18"/>
        </w:rPr>
        <w:t> </w:t>
      </w:r>
      <w:r>
        <w:rPr>
          <w:sz w:val="18"/>
        </w:rPr>
        <w:t>básicos</w:t>
      </w:r>
      <w:r>
        <w:rPr>
          <w:spacing w:val="-5"/>
          <w:sz w:val="18"/>
        </w:rPr>
        <w:t> </w:t>
      </w:r>
      <w:r>
        <w:rPr>
          <w:sz w:val="18"/>
        </w:rPr>
        <w:t>como</w:t>
      </w:r>
      <w:r>
        <w:rPr>
          <w:spacing w:val="-5"/>
          <w:sz w:val="18"/>
        </w:rPr>
        <w:t> </w:t>
      </w:r>
      <w:r>
        <w:rPr>
          <w:sz w:val="18"/>
        </w:rPr>
        <w:t>su</w:t>
      </w:r>
      <w:r>
        <w:rPr>
          <w:spacing w:val="-3"/>
          <w:sz w:val="18"/>
        </w:rPr>
        <w:t> </w:t>
      </w:r>
      <w:r>
        <w:rPr>
          <w:sz w:val="18"/>
        </w:rPr>
        <w:t>nombre,</w:t>
      </w:r>
      <w:r>
        <w:rPr>
          <w:spacing w:val="-5"/>
          <w:sz w:val="18"/>
        </w:rPr>
        <w:t> </w:t>
      </w:r>
      <w:r>
        <w:rPr>
          <w:sz w:val="18"/>
        </w:rPr>
        <w:t>su</w:t>
      </w:r>
      <w:r>
        <w:rPr>
          <w:spacing w:val="-5"/>
          <w:sz w:val="18"/>
        </w:rPr>
        <w:t> </w:t>
      </w:r>
      <w:r>
        <w:rPr>
          <w:sz w:val="18"/>
        </w:rPr>
        <w:t>edad,</w:t>
      </w:r>
      <w:r>
        <w:rPr>
          <w:spacing w:val="-3"/>
          <w:sz w:val="18"/>
        </w:rPr>
        <w:t> </w:t>
      </w:r>
      <w:r>
        <w:rPr>
          <w:sz w:val="18"/>
        </w:rPr>
        <w:t>su</w:t>
      </w:r>
      <w:r>
        <w:rPr>
          <w:spacing w:val="-3"/>
          <w:sz w:val="18"/>
        </w:rPr>
        <w:t> </w:t>
      </w:r>
      <w:r>
        <w:rPr>
          <w:sz w:val="18"/>
        </w:rPr>
        <w:t>formación,</w:t>
      </w:r>
      <w:r>
        <w:rPr>
          <w:spacing w:val="-3"/>
          <w:sz w:val="18"/>
        </w:rPr>
        <w:t> </w:t>
      </w:r>
      <w:r>
        <w:rPr>
          <w:sz w:val="18"/>
        </w:rPr>
        <w:t>que</w:t>
      </w:r>
      <w:r>
        <w:rPr>
          <w:spacing w:val="-3"/>
          <w:sz w:val="18"/>
        </w:rPr>
        <w:t> </w:t>
      </w:r>
      <w:r>
        <w:rPr>
          <w:sz w:val="18"/>
        </w:rPr>
        <w:t>tiempo tiene aquí en el cargo y que otras funciones</w:t>
      </w:r>
      <w:r>
        <w:rPr>
          <w:spacing w:val="-22"/>
          <w:sz w:val="18"/>
        </w:rPr>
        <w:t> </w:t>
      </w:r>
      <w:r>
        <w:rPr>
          <w:sz w:val="18"/>
        </w:rPr>
        <w:t>realiza.</w:t>
      </w:r>
    </w:p>
    <w:p>
      <w:pPr>
        <w:pStyle w:val="BodyText"/>
        <w:rPr>
          <w:sz w:val="18"/>
        </w:rPr>
      </w:pPr>
    </w:p>
    <w:p>
      <w:pPr>
        <w:pStyle w:val="BodyText"/>
        <w:rPr>
          <w:sz w:val="18"/>
        </w:rPr>
      </w:pPr>
    </w:p>
    <w:p>
      <w:pPr>
        <w:spacing w:line="240" w:lineRule="auto" w:before="111"/>
        <w:ind w:left="474" w:right="404" w:firstLine="0"/>
        <w:jc w:val="both"/>
        <w:rPr>
          <w:sz w:val="18"/>
        </w:rPr>
      </w:pPr>
      <w:r>
        <w:rPr>
          <w:b/>
          <w:sz w:val="18"/>
        </w:rPr>
        <w:t>Responsable:</w:t>
      </w:r>
      <w:r>
        <w:rPr>
          <w:b/>
          <w:spacing w:val="-6"/>
          <w:sz w:val="18"/>
        </w:rPr>
        <w:t> </w:t>
      </w:r>
      <w:r>
        <w:rPr>
          <w:sz w:val="18"/>
        </w:rPr>
        <w:t>Muy</w:t>
      </w:r>
      <w:r>
        <w:rPr>
          <w:spacing w:val="-6"/>
          <w:sz w:val="18"/>
        </w:rPr>
        <w:t> </w:t>
      </w:r>
      <w:r>
        <w:rPr>
          <w:sz w:val="18"/>
        </w:rPr>
        <w:t>bien,</w:t>
      </w:r>
      <w:r>
        <w:rPr>
          <w:spacing w:val="-4"/>
          <w:sz w:val="18"/>
        </w:rPr>
        <w:t> </w:t>
      </w:r>
      <w:r>
        <w:rPr>
          <w:sz w:val="18"/>
        </w:rPr>
        <w:t>mi</w:t>
      </w:r>
      <w:r>
        <w:rPr>
          <w:spacing w:val="-4"/>
          <w:sz w:val="18"/>
        </w:rPr>
        <w:t> </w:t>
      </w:r>
      <w:r>
        <w:rPr>
          <w:sz w:val="18"/>
        </w:rPr>
        <w:t>nombre</w:t>
      </w:r>
      <w:r>
        <w:rPr>
          <w:spacing w:val="-6"/>
          <w:sz w:val="18"/>
        </w:rPr>
        <w:t> </w:t>
      </w:r>
      <w:r>
        <w:rPr>
          <w:sz w:val="18"/>
        </w:rPr>
        <w:t>es</w:t>
      </w:r>
      <w:r>
        <w:rPr>
          <w:spacing w:val="-3"/>
          <w:sz w:val="18"/>
        </w:rPr>
        <w:t> </w:t>
      </w:r>
      <w:r>
        <w:rPr>
          <w:sz w:val="18"/>
        </w:rPr>
        <w:t>Bertha</w:t>
      </w:r>
      <w:r>
        <w:rPr>
          <w:spacing w:val="-6"/>
          <w:sz w:val="18"/>
        </w:rPr>
        <w:t> </w:t>
      </w:r>
      <w:r>
        <w:rPr>
          <w:sz w:val="18"/>
        </w:rPr>
        <w:t>Lilia</w:t>
      </w:r>
      <w:r>
        <w:rPr>
          <w:spacing w:val="-4"/>
          <w:sz w:val="18"/>
        </w:rPr>
        <w:t> </w:t>
      </w:r>
      <w:r>
        <w:rPr>
          <w:sz w:val="18"/>
        </w:rPr>
        <w:t>Pérez</w:t>
      </w:r>
      <w:r>
        <w:rPr>
          <w:spacing w:val="-6"/>
          <w:sz w:val="18"/>
        </w:rPr>
        <w:t> </w:t>
      </w:r>
      <w:r>
        <w:rPr>
          <w:sz w:val="18"/>
        </w:rPr>
        <w:t>León,</w:t>
      </w:r>
      <w:r>
        <w:rPr>
          <w:spacing w:val="-7"/>
          <w:sz w:val="18"/>
        </w:rPr>
        <w:t> </w:t>
      </w:r>
      <w:r>
        <w:rPr>
          <w:sz w:val="18"/>
        </w:rPr>
        <w:t>soy</w:t>
      </w:r>
      <w:r>
        <w:rPr>
          <w:spacing w:val="-6"/>
          <w:sz w:val="18"/>
        </w:rPr>
        <w:t> </w:t>
      </w:r>
      <w:r>
        <w:rPr>
          <w:sz w:val="18"/>
        </w:rPr>
        <w:t>la</w:t>
      </w:r>
      <w:r>
        <w:rPr>
          <w:spacing w:val="-4"/>
          <w:sz w:val="18"/>
        </w:rPr>
        <w:t> </w:t>
      </w:r>
      <w:r>
        <w:rPr>
          <w:sz w:val="18"/>
        </w:rPr>
        <w:t>responsable</w:t>
      </w:r>
      <w:r>
        <w:rPr>
          <w:spacing w:val="-6"/>
          <w:sz w:val="18"/>
        </w:rPr>
        <w:t> </w:t>
      </w:r>
      <w:r>
        <w:rPr>
          <w:sz w:val="18"/>
        </w:rPr>
        <w:t>de</w:t>
      </w:r>
      <w:r>
        <w:rPr>
          <w:spacing w:val="-6"/>
          <w:sz w:val="18"/>
        </w:rPr>
        <w:t> </w:t>
      </w:r>
      <w:r>
        <w:rPr>
          <w:sz w:val="18"/>
        </w:rPr>
        <w:t>la</w:t>
      </w:r>
      <w:r>
        <w:rPr>
          <w:spacing w:val="-9"/>
          <w:sz w:val="18"/>
        </w:rPr>
        <w:t> </w:t>
      </w:r>
      <w:r>
        <w:rPr>
          <w:sz w:val="18"/>
        </w:rPr>
        <w:t>Unidad</w:t>
      </w:r>
      <w:r>
        <w:rPr>
          <w:spacing w:val="-6"/>
          <w:sz w:val="18"/>
        </w:rPr>
        <w:t> </w:t>
      </w:r>
      <w:r>
        <w:rPr>
          <w:sz w:val="18"/>
        </w:rPr>
        <w:t>de Información, Planeación, Programación y Evaluación, que tiene que ver más con la programación de</w:t>
      </w:r>
      <w:r>
        <w:rPr>
          <w:spacing w:val="-2"/>
          <w:sz w:val="18"/>
        </w:rPr>
        <w:t> </w:t>
      </w:r>
      <w:r>
        <w:rPr>
          <w:sz w:val="18"/>
        </w:rPr>
        <w:t>las</w:t>
      </w:r>
      <w:r>
        <w:rPr>
          <w:spacing w:val="-4"/>
          <w:sz w:val="18"/>
        </w:rPr>
        <w:t> </w:t>
      </w:r>
      <w:r>
        <w:rPr>
          <w:sz w:val="18"/>
        </w:rPr>
        <w:t>actividades</w:t>
      </w:r>
      <w:r>
        <w:rPr>
          <w:spacing w:val="-1"/>
          <w:sz w:val="18"/>
        </w:rPr>
        <w:t> </w:t>
      </w:r>
      <w:r>
        <w:rPr>
          <w:sz w:val="18"/>
        </w:rPr>
        <w:t>de</w:t>
      </w:r>
      <w:r>
        <w:rPr>
          <w:spacing w:val="-4"/>
          <w:sz w:val="18"/>
        </w:rPr>
        <w:t> </w:t>
      </w:r>
      <w:r>
        <w:rPr>
          <w:sz w:val="18"/>
        </w:rPr>
        <w:t>las</w:t>
      </w:r>
      <w:r>
        <w:rPr>
          <w:spacing w:val="-4"/>
          <w:sz w:val="18"/>
        </w:rPr>
        <w:t> </w:t>
      </w:r>
      <w:r>
        <w:rPr>
          <w:sz w:val="18"/>
        </w:rPr>
        <w:t>áreas.</w:t>
      </w:r>
      <w:r>
        <w:rPr>
          <w:spacing w:val="-2"/>
          <w:sz w:val="18"/>
        </w:rPr>
        <w:t> </w:t>
      </w:r>
      <w:r>
        <w:rPr>
          <w:sz w:val="18"/>
        </w:rPr>
        <w:t>No</w:t>
      </w:r>
      <w:r>
        <w:rPr>
          <w:spacing w:val="-4"/>
          <w:sz w:val="18"/>
        </w:rPr>
        <w:t> </w:t>
      </w:r>
      <w:r>
        <w:rPr>
          <w:sz w:val="18"/>
        </w:rPr>
        <w:t>obstante,</w:t>
      </w:r>
      <w:r>
        <w:rPr>
          <w:spacing w:val="-4"/>
          <w:sz w:val="18"/>
        </w:rPr>
        <w:t> </w:t>
      </w:r>
      <w:r>
        <w:rPr>
          <w:sz w:val="18"/>
        </w:rPr>
        <w:t>aquí</w:t>
      </w:r>
      <w:r>
        <w:rPr>
          <w:spacing w:val="-4"/>
          <w:sz w:val="18"/>
        </w:rPr>
        <w:t> </w:t>
      </w:r>
      <w:r>
        <w:rPr>
          <w:sz w:val="18"/>
        </w:rPr>
        <w:t>en</w:t>
      </w:r>
      <w:r>
        <w:rPr>
          <w:spacing w:val="-4"/>
          <w:sz w:val="18"/>
        </w:rPr>
        <w:t> </w:t>
      </w:r>
      <w:r>
        <w:rPr>
          <w:sz w:val="18"/>
        </w:rPr>
        <w:t>esta</w:t>
      </w:r>
      <w:r>
        <w:rPr>
          <w:spacing w:val="-4"/>
          <w:sz w:val="18"/>
        </w:rPr>
        <w:t> </w:t>
      </w:r>
      <w:r>
        <w:rPr>
          <w:sz w:val="18"/>
        </w:rPr>
        <w:t>área</w:t>
      </w:r>
      <w:r>
        <w:rPr>
          <w:spacing w:val="-4"/>
          <w:sz w:val="18"/>
        </w:rPr>
        <w:t> </w:t>
      </w:r>
      <w:r>
        <w:rPr>
          <w:sz w:val="18"/>
        </w:rPr>
        <w:t>manejamos</w:t>
      </w:r>
      <w:r>
        <w:rPr>
          <w:spacing w:val="-4"/>
          <w:sz w:val="18"/>
        </w:rPr>
        <w:t> </w:t>
      </w:r>
      <w:r>
        <w:rPr>
          <w:sz w:val="18"/>
        </w:rPr>
        <w:t>lo</w:t>
      </w:r>
      <w:r>
        <w:rPr>
          <w:spacing w:val="-2"/>
          <w:sz w:val="18"/>
        </w:rPr>
        <w:t> </w:t>
      </w:r>
      <w:r>
        <w:rPr>
          <w:sz w:val="18"/>
        </w:rPr>
        <w:t>que</w:t>
      </w:r>
      <w:r>
        <w:rPr>
          <w:spacing w:val="-4"/>
          <w:sz w:val="18"/>
        </w:rPr>
        <w:t> </w:t>
      </w:r>
      <w:r>
        <w:rPr>
          <w:sz w:val="18"/>
        </w:rPr>
        <w:t>es</w:t>
      </w:r>
      <w:r>
        <w:rPr>
          <w:spacing w:val="-4"/>
          <w:sz w:val="18"/>
        </w:rPr>
        <w:t> </w:t>
      </w:r>
      <w:r>
        <w:rPr>
          <w:sz w:val="18"/>
        </w:rPr>
        <w:t>la</w:t>
      </w:r>
      <w:r>
        <w:rPr>
          <w:spacing w:val="-4"/>
          <w:sz w:val="18"/>
        </w:rPr>
        <w:t> </w:t>
      </w:r>
      <w:r>
        <w:rPr>
          <w:sz w:val="18"/>
        </w:rPr>
        <w:t>cuestión</w:t>
      </w:r>
      <w:r>
        <w:rPr>
          <w:spacing w:val="-4"/>
          <w:sz w:val="18"/>
        </w:rPr>
        <w:t> </w:t>
      </w:r>
      <w:r>
        <w:rPr>
          <w:sz w:val="18"/>
        </w:rPr>
        <w:t>de transparencia y dar a conocer la información pública a la comunidad. Soy egresada de la Facultad de Ciencias Políticas y Administración Pública y estoy en el cargo desde el comienzo de la administración o sea a partir del 1ero. de enero del</w:t>
      </w:r>
      <w:r>
        <w:rPr>
          <w:spacing w:val="-24"/>
          <w:sz w:val="18"/>
        </w:rPr>
        <w:t> </w:t>
      </w:r>
      <w:r>
        <w:rPr>
          <w:sz w:val="18"/>
        </w:rPr>
        <w:t>2013.</w:t>
      </w:r>
    </w:p>
    <w:p>
      <w:pPr>
        <w:pStyle w:val="BodyText"/>
        <w:rPr>
          <w:sz w:val="18"/>
        </w:rPr>
      </w:pPr>
    </w:p>
    <w:p>
      <w:pPr>
        <w:pStyle w:val="BodyText"/>
        <w:rPr>
          <w:sz w:val="18"/>
        </w:rPr>
      </w:pPr>
    </w:p>
    <w:p>
      <w:pPr>
        <w:spacing w:before="111"/>
        <w:ind w:left="474" w:right="409" w:firstLine="0"/>
        <w:jc w:val="both"/>
        <w:rPr>
          <w:sz w:val="18"/>
        </w:rPr>
      </w:pPr>
      <w:r>
        <w:rPr>
          <w:b/>
          <w:sz w:val="18"/>
        </w:rPr>
        <w:t>Gabriel: </w:t>
      </w:r>
      <w:r>
        <w:rPr>
          <w:sz w:val="18"/>
        </w:rPr>
        <w:t>Correcto, Licenciada, para irnos introduciendo al tema. Desde su punto de vista, ¿Que es transparencia?</w:t>
      </w:r>
    </w:p>
    <w:p>
      <w:pPr>
        <w:pStyle w:val="BodyText"/>
        <w:rPr>
          <w:sz w:val="18"/>
        </w:rPr>
      </w:pPr>
    </w:p>
    <w:p>
      <w:pPr>
        <w:pStyle w:val="BodyText"/>
        <w:rPr>
          <w:sz w:val="18"/>
        </w:rPr>
      </w:pPr>
    </w:p>
    <w:p>
      <w:pPr>
        <w:spacing w:line="240" w:lineRule="auto" w:before="111"/>
        <w:ind w:left="474" w:right="404" w:firstLine="0"/>
        <w:jc w:val="both"/>
        <w:rPr>
          <w:sz w:val="18"/>
        </w:rPr>
      </w:pPr>
      <w:r>
        <w:rPr>
          <w:b/>
          <w:sz w:val="18"/>
        </w:rPr>
        <w:t>Bertha Lilia: </w:t>
      </w:r>
      <w:r>
        <w:rPr>
          <w:sz w:val="18"/>
        </w:rPr>
        <w:t>Transparencia, la verdad es que es un tema muy controversial, muy importante. Pero la transparencia es dar a conocer a la ciudadanía la información pública para darles de alguna manera cuales son las acciones gubernamentales que se están realizando y de alguna manera lo que nos interesa es que conozcan que hacemos y que participe la misma ciudadanía.</w:t>
      </w:r>
    </w:p>
    <w:p>
      <w:pPr>
        <w:pStyle w:val="BodyText"/>
        <w:rPr>
          <w:sz w:val="18"/>
        </w:rPr>
      </w:pPr>
    </w:p>
    <w:p>
      <w:pPr>
        <w:pStyle w:val="BodyText"/>
        <w:rPr>
          <w:sz w:val="18"/>
        </w:rPr>
      </w:pPr>
    </w:p>
    <w:p>
      <w:pPr>
        <w:spacing w:before="111"/>
        <w:ind w:left="474" w:right="0" w:firstLine="0"/>
        <w:jc w:val="both"/>
        <w:rPr>
          <w:sz w:val="18"/>
        </w:rPr>
      </w:pPr>
      <w:r>
        <w:rPr>
          <w:b/>
          <w:sz w:val="18"/>
        </w:rPr>
        <w:t>Gabriel: </w:t>
      </w:r>
      <w:r>
        <w:rPr>
          <w:sz w:val="18"/>
        </w:rPr>
        <w:t>Correcto, bueno  entonces  es  dar a conocer al  público, ¿qué marco normativo   tienen?,</w:t>
      </w:r>
    </w:p>
    <w:p>
      <w:pPr>
        <w:spacing w:line="204" w:lineRule="exact" w:before="10"/>
        <w:ind w:left="474" w:right="412" w:firstLine="0"/>
        <w:jc w:val="both"/>
        <w:rPr>
          <w:sz w:val="18"/>
        </w:rPr>
      </w:pPr>
      <w:r>
        <w:rPr>
          <w:sz w:val="18"/>
        </w:rPr>
        <w:t>¿quién los regula?, ¿qué leyes?, ¿qué reglamentos?, ¿qué procedimientos entorno a la transparencia?</w:t>
      </w:r>
    </w:p>
    <w:p>
      <w:pPr>
        <w:pStyle w:val="BodyText"/>
        <w:rPr>
          <w:sz w:val="18"/>
        </w:rPr>
      </w:pPr>
    </w:p>
    <w:p>
      <w:pPr>
        <w:pStyle w:val="BodyText"/>
        <w:rPr>
          <w:sz w:val="18"/>
        </w:rPr>
      </w:pPr>
    </w:p>
    <w:p>
      <w:pPr>
        <w:spacing w:line="240" w:lineRule="auto" w:before="108"/>
        <w:ind w:left="474" w:right="407" w:firstLine="0"/>
        <w:jc w:val="both"/>
        <w:rPr>
          <w:sz w:val="18"/>
        </w:rPr>
      </w:pPr>
      <w:r>
        <w:rPr>
          <w:b/>
          <w:sz w:val="18"/>
        </w:rPr>
        <w:t>Bertha</w:t>
      </w:r>
      <w:r>
        <w:rPr>
          <w:b/>
          <w:spacing w:val="-11"/>
          <w:sz w:val="18"/>
        </w:rPr>
        <w:t> </w:t>
      </w:r>
      <w:r>
        <w:rPr>
          <w:b/>
          <w:sz w:val="18"/>
        </w:rPr>
        <w:t>Lilia:</w:t>
      </w:r>
      <w:r>
        <w:rPr>
          <w:b/>
          <w:spacing w:val="-13"/>
          <w:sz w:val="18"/>
        </w:rPr>
        <w:t> </w:t>
      </w:r>
      <w:r>
        <w:rPr>
          <w:sz w:val="18"/>
        </w:rPr>
        <w:t>de</w:t>
      </w:r>
      <w:r>
        <w:rPr>
          <w:spacing w:val="-14"/>
          <w:sz w:val="18"/>
        </w:rPr>
        <w:t> </w:t>
      </w:r>
      <w:r>
        <w:rPr>
          <w:sz w:val="18"/>
        </w:rPr>
        <w:t>base,</w:t>
      </w:r>
      <w:r>
        <w:rPr>
          <w:spacing w:val="-14"/>
          <w:sz w:val="18"/>
        </w:rPr>
        <w:t> </w:t>
      </w:r>
      <w:r>
        <w:rPr>
          <w:sz w:val="18"/>
        </w:rPr>
        <w:t>la</w:t>
      </w:r>
      <w:r>
        <w:rPr>
          <w:spacing w:val="-13"/>
          <w:sz w:val="18"/>
        </w:rPr>
        <w:t> </w:t>
      </w:r>
      <w:r>
        <w:rPr>
          <w:sz w:val="18"/>
        </w:rPr>
        <w:t>ley</w:t>
      </w:r>
      <w:r>
        <w:rPr>
          <w:spacing w:val="-13"/>
          <w:sz w:val="18"/>
        </w:rPr>
        <w:t> </w:t>
      </w:r>
      <w:r>
        <w:rPr>
          <w:sz w:val="18"/>
        </w:rPr>
        <w:t>estatal</w:t>
      </w:r>
      <w:r>
        <w:rPr>
          <w:spacing w:val="-13"/>
          <w:sz w:val="18"/>
        </w:rPr>
        <w:t> </w:t>
      </w:r>
      <w:r>
        <w:rPr>
          <w:sz w:val="18"/>
        </w:rPr>
        <w:t>o</w:t>
      </w:r>
      <w:r>
        <w:rPr>
          <w:spacing w:val="-14"/>
          <w:sz w:val="18"/>
        </w:rPr>
        <w:t> </w:t>
      </w:r>
      <w:r>
        <w:rPr>
          <w:sz w:val="18"/>
        </w:rPr>
        <w:t>sea</w:t>
      </w:r>
      <w:r>
        <w:rPr>
          <w:spacing w:val="-11"/>
          <w:sz w:val="18"/>
        </w:rPr>
        <w:t> </w:t>
      </w:r>
      <w:r>
        <w:rPr>
          <w:sz w:val="18"/>
        </w:rPr>
        <w:t>a</w:t>
      </w:r>
      <w:r>
        <w:rPr>
          <w:spacing w:val="-13"/>
          <w:sz w:val="18"/>
        </w:rPr>
        <w:t> </w:t>
      </w:r>
      <w:r>
        <w:rPr>
          <w:sz w:val="18"/>
        </w:rPr>
        <w:t>nivel</w:t>
      </w:r>
      <w:r>
        <w:rPr>
          <w:spacing w:val="-11"/>
          <w:sz w:val="18"/>
        </w:rPr>
        <w:t> </w:t>
      </w:r>
      <w:r>
        <w:rPr>
          <w:sz w:val="18"/>
        </w:rPr>
        <w:t>nacional</w:t>
      </w:r>
      <w:r>
        <w:rPr>
          <w:spacing w:val="-11"/>
          <w:sz w:val="18"/>
        </w:rPr>
        <w:t> </w:t>
      </w:r>
      <w:r>
        <w:rPr>
          <w:sz w:val="18"/>
        </w:rPr>
        <w:t>también</w:t>
      </w:r>
      <w:r>
        <w:rPr>
          <w:spacing w:val="-13"/>
          <w:sz w:val="18"/>
        </w:rPr>
        <w:t> </w:t>
      </w:r>
      <w:r>
        <w:rPr>
          <w:sz w:val="18"/>
        </w:rPr>
        <w:t>tenemos</w:t>
      </w:r>
      <w:r>
        <w:rPr>
          <w:spacing w:val="-13"/>
          <w:sz w:val="18"/>
        </w:rPr>
        <w:t> </w:t>
      </w:r>
      <w:r>
        <w:rPr>
          <w:sz w:val="18"/>
        </w:rPr>
        <w:t>una</w:t>
      </w:r>
      <w:r>
        <w:rPr>
          <w:spacing w:val="-13"/>
          <w:sz w:val="18"/>
        </w:rPr>
        <w:t> </w:t>
      </w:r>
      <w:r>
        <w:rPr>
          <w:sz w:val="18"/>
        </w:rPr>
        <w:t>ley</w:t>
      </w:r>
      <w:r>
        <w:rPr>
          <w:spacing w:val="-15"/>
          <w:sz w:val="18"/>
        </w:rPr>
        <w:t> </w:t>
      </w:r>
      <w:r>
        <w:rPr>
          <w:sz w:val="18"/>
        </w:rPr>
        <w:t>de</w:t>
      </w:r>
      <w:r>
        <w:rPr>
          <w:spacing w:val="-13"/>
          <w:sz w:val="18"/>
        </w:rPr>
        <w:t> </w:t>
      </w:r>
      <w:r>
        <w:rPr>
          <w:sz w:val="18"/>
        </w:rPr>
        <w:t>transparencia. Pero nosotros también tenemos una ley de transparencia en el gobierno del Estado, la ley de transparencia</w:t>
      </w:r>
      <w:r>
        <w:rPr>
          <w:spacing w:val="-3"/>
          <w:sz w:val="18"/>
        </w:rPr>
        <w:t> </w:t>
      </w:r>
      <w:r>
        <w:rPr>
          <w:sz w:val="18"/>
        </w:rPr>
        <w:t>y</w:t>
      </w:r>
      <w:r>
        <w:rPr>
          <w:spacing w:val="-6"/>
          <w:sz w:val="18"/>
        </w:rPr>
        <w:t> </w:t>
      </w:r>
      <w:r>
        <w:rPr>
          <w:sz w:val="18"/>
        </w:rPr>
        <w:t>acceso</w:t>
      </w:r>
      <w:r>
        <w:rPr>
          <w:spacing w:val="-5"/>
          <w:sz w:val="18"/>
        </w:rPr>
        <w:t> </w:t>
      </w:r>
      <w:r>
        <w:rPr>
          <w:sz w:val="18"/>
        </w:rPr>
        <w:t>a</w:t>
      </w:r>
      <w:r>
        <w:rPr>
          <w:spacing w:val="-3"/>
          <w:sz w:val="18"/>
        </w:rPr>
        <w:t> </w:t>
      </w:r>
      <w:r>
        <w:rPr>
          <w:sz w:val="18"/>
        </w:rPr>
        <w:t>la</w:t>
      </w:r>
      <w:r>
        <w:rPr>
          <w:spacing w:val="-5"/>
          <w:sz w:val="18"/>
        </w:rPr>
        <w:t> </w:t>
      </w:r>
      <w:r>
        <w:rPr>
          <w:sz w:val="18"/>
        </w:rPr>
        <w:t>información</w:t>
      </w:r>
      <w:r>
        <w:rPr>
          <w:spacing w:val="-3"/>
          <w:sz w:val="18"/>
        </w:rPr>
        <w:t> </w:t>
      </w:r>
      <w:r>
        <w:rPr>
          <w:sz w:val="18"/>
        </w:rPr>
        <w:t>pública,</w:t>
      </w:r>
      <w:r>
        <w:rPr>
          <w:spacing w:val="-3"/>
          <w:sz w:val="18"/>
        </w:rPr>
        <w:t> </w:t>
      </w:r>
      <w:r>
        <w:rPr>
          <w:sz w:val="18"/>
        </w:rPr>
        <w:t>y</w:t>
      </w:r>
      <w:r>
        <w:rPr>
          <w:spacing w:val="-7"/>
          <w:sz w:val="18"/>
        </w:rPr>
        <w:t> </w:t>
      </w:r>
      <w:r>
        <w:rPr>
          <w:sz w:val="18"/>
        </w:rPr>
        <w:t>tiene</w:t>
      </w:r>
      <w:r>
        <w:rPr>
          <w:spacing w:val="-5"/>
          <w:sz w:val="18"/>
        </w:rPr>
        <w:t> </w:t>
      </w:r>
      <w:r>
        <w:rPr>
          <w:sz w:val="18"/>
        </w:rPr>
        <w:t>su</w:t>
      </w:r>
      <w:r>
        <w:rPr>
          <w:spacing w:val="-5"/>
          <w:sz w:val="18"/>
        </w:rPr>
        <w:t> </w:t>
      </w:r>
      <w:r>
        <w:rPr>
          <w:sz w:val="18"/>
        </w:rPr>
        <w:t>propio</w:t>
      </w:r>
      <w:r>
        <w:rPr>
          <w:spacing w:val="-5"/>
          <w:sz w:val="18"/>
        </w:rPr>
        <w:t> </w:t>
      </w:r>
      <w:r>
        <w:rPr>
          <w:sz w:val="18"/>
        </w:rPr>
        <w:t>reglamento</w:t>
      </w:r>
      <w:r>
        <w:rPr>
          <w:spacing w:val="-3"/>
          <w:sz w:val="18"/>
        </w:rPr>
        <w:t> </w:t>
      </w:r>
      <w:r>
        <w:rPr>
          <w:sz w:val="18"/>
        </w:rPr>
        <w:t>que</w:t>
      </w:r>
      <w:r>
        <w:rPr>
          <w:spacing w:val="-5"/>
          <w:sz w:val="18"/>
        </w:rPr>
        <w:t> </w:t>
      </w:r>
      <w:r>
        <w:rPr>
          <w:sz w:val="18"/>
        </w:rPr>
        <w:t>ahora</w:t>
      </w:r>
      <w:r>
        <w:rPr>
          <w:spacing w:val="-5"/>
          <w:sz w:val="18"/>
        </w:rPr>
        <w:t> </w:t>
      </w:r>
      <w:r>
        <w:rPr>
          <w:sz w:val="18"/>
        </w:rPr>
        <w:t>también</w:t>
      </w:r>
      <w:r>
        <w:rPr>
          <w:spacing w:val="-5"/>
          <w:sz w:val="18"/>
        </w:rPr>
        <w:t> </w:t>
      </w:r>
      <w:r>
        <w:rPr>
          <w:sz w:val="18"/>
        </w:rPr>
        <w:t>se está manejando la ley de datos</w:t>
      </w:r>
      <w:r>
        <w:rPr>
          <w:spacing w:val="-19"/>
          <w:sz w:val="18"/>
        </w:rPr>
        <w:t> </w:t>
      </w:r>
      <w:r>
        <w:rPr>
          <w:sz w:val="18"/>
        </w:rPr>
        <w:t>personales.</w:t>
      </w:r>
    </w:p>
    <w:p>
      <w:pPr>
        <w:pStyle w:val="BodyText"/>
        <w:rPr>
          <w:sz w:val="18"/>
        </w:rPr>
      </w:pPr>
    </w:p>
    <w:p>
      <w:pPr>
        <w:pStyle w:val="BodyText"/>
        <w:rPr>
          <w:sz w:val="18"/>
        </w:rPr>
      </w:pPr>
    </w:p>
    <w:p>
      <w:pPr>
        <w:spacing w:before="108"/>
        <w:ind w:left="474" w:right="0" w:firstLine="0"/>
        <w:jc w:val="both"/>
        <w:rPr>
          <w:sz w:val="18"/>
        </w:rPr>
      </w:pPr>
      <w:r>
        <w:rPr>
          <w:b/>
          <w:sz w:val="18"/>
        </w:rPr>
        <w:t>Gabriel: </w:t>
      </w:r>
      <w:r>
        <w:rPr>
          <w:sz w:val="18"/>
        </w:rPr>
        <w:t>¿En qué consiste esta ley?</w:t>
      </w:r>
    </w:p>
    <w:p>
      <w:pPr>
        <w:pStyle w:val="BodyText"/>
        <w:rPr>
          <w:sz w:val="18"/>
        </w:rPr>
      </w:pPr>
    </w:p>
    <w:p>
      <w:pPr>
        <w:pStyle w:val="BodyText"/>
        <w:rPr>
          <w:sz w:val="18"/>
        </w:rPr>
      </w:pPr>
    </w:p>
    <w:p>
      <w:pPr>
        <w:spacing w:line="240" w:lineRule="auto" w:before="113"/>
        <w:ind w:left="474" w:right="407" w:firstLine="0"/>
        <w:jc w:val="both"/>
        <w:rPr>
          <w:sz w:val="18"/>
        </w:rPr>
      </w:pPr>
      <w:r>
        <w:rPr>
          <w:b/>
          <w:sz w:val="18"/>
        </w:rPr>
        <w:t>Bertha Lilia: </w:t>
      </w:r>
      <w:r>
        <w:rPr>
          <w:sz w:val="18"/>
        </w:rPr>
        <w:t>La primera ley tiene que ver con la transparencia y el acceso a la información pública al igual que en su propio reglamento de alguna manera normar las actividades que tenemos que debemos realizar en cuestión de qué información podemos dar a conocer a la comunidad y qué información</w:t>
      </w:r>
      <w:r>
        <w:rPr>
          <w:spacing w:val="-5"/>
          <w:sz w:val="18"/>
        </w:rPr>
        <w:t> </w:t>
      </w:r>
      <w:r>
        <w:rPr>
          <w:sz w:val="18"/>
        </w:rPr>
        <w:t>podemos</w:t>
      </w:r>
      <w:r>
        <w:rPr>
          <w:spacing w:val="-2"/>
          <w:sz w:val="18"/>
        </w:rPr>
        <w:t> </w:t>
      </w:r>
      <w:r>
        <w:rPr>
          <w:sz w:val="18"/>
        </w:rPr>
        <w:t>reservar</w:t>
      </w:r>
      <w:r>
        <w:rPr>
          <w:spacing w:val="-3"/>
          <w:sz w:val="18"/>
        </w:rPr>
        <w:t> </w:t>
      </w:r>
      <w:r>
        <w:rPr>
          <w:sz w:val="18"/>
        </w:rPr>
        <w:t>cuando</w:t>
      </w:r>
      <w:r>
        <w:rPr>
          <w:spacing w:val="-5"/>
          <w:sz w:val="18"/>
        </w:rPr>
        <w:t> </w:t>
      </w:r>
      <w:r>
        <w:rPr>
          <w:sz w:val="18"/>
        </w:rPr>
        <w:t>es</w:t>
      </w:r>
      <w:r>
        <w:rPr>
          <w:spacing w:val="-5"/>
          <w:sz w:val="18"/>
        </w:rPr>
        <w:t> </w:t>
      </w:r>
      <w:r>
        <w:rPr>
          <w:sz w:val="18"/>
        </w:rPr>
        <w:t>información</w:t>
      </w:r>
      <w:r>
        <w:rPr>
          <w:spacing w:val="-5"/>
          <w:sz w:val="18"/>
        </w:rPr>
        <w:t> </w:t>
      </w:r>
      <w:r>
        <w:rPr>
          <w:sz w:val="18"/>
        </w:rPr>
        <w:t>como</w:t>
      </w:r>
      <w:r>
        <w:rPr>
          <w:spacing w:val="-5"/>
          <w:sz w:val="18"/>
        </w:rPr>
        <w:t> </w:t>
      </w:r>
      <w:r>
        <w:rPr>
          <w:sz w:val="18"/>
        </w:rPr>
        <w:t>reservada</w:t>
      </w:r>
      <w:r>
        <w:rPr>
          <w:spacing w:val="-5"/>
          <w:sz w:val="18"/>
        </w:rPr>
        <w:t> </w:t>
      </w:r>
      <w:r>
        <w:rPr>
          <w:sz w:val="18"/>
        </w:rPr>
        <w:t>o</w:t>
      </w:r>
      <w:r>
        <w:rPr>
          <w:spacing w:val="-5"/>
          <w:sz w:val="18"/>
        </w:rPr>
        <w:t> </w:t>
      </w:r>
      <w:r>
        <w:rPr>
          <w:sz w:val="18"/>
        </w:rPr>
        <w:t>confidencial.</w:t>
      </w:r>
      <w:r>
        <w:rPr>
          <w:spacing w:val="-3"/>
          <w:sz w:val="18"/>
        </w:rPr>
        <w:t> </w:t>
      </w:r>
      <w:r>
        <w:rPr>
          <w:sz w:val="18"/>
        </w:rPr>
        <w:t>Ahí</w:t>
      </w:r>
      <w:r>
        <w:rPr>
          <w:spacing w:val="-7"/>
          <w:sz w:val="18"/>
        </w:rPr>
        <w:t> </w:t>
      </w:r>
      <w:r>
        <w:rPr>
          <w:sz w:val="18"/>
        </w:rPr>
        <w:t>se</w:t>
      </w:r>
      <w:r>
        <w:rPr>
          <w:spacing w:val="-5"/>
          <w:sz w:val="18"/>
        </w:rPr>
        <w:t> </w:t>
      </w:r>
      <w:r>
        <w:rPr>
          <w:sz w:val="18"/>
        </w:rPr>
        <w:t>marca a los ciudadanos su derecho a la información. Si tenemos que dar información con respecto a las dependencias,</w:t>
      </w:r>
      <w:r>
        <w:rPr>
          <w:spacing w:val="-4"/>
          <w:sz w:val="18"/>
        </w:rPr>
        <w:t> </w:t>
      </w:r>
      <w:r>
        <w:rPr>
          <w:sz w:val="18"/>
        </w:rPr>
        <w:t>a</w:t>
      </w:r>
      <w:r>
        <w:rPr>
          <w:spacing w:val="-2"/>
          <w:sz w:val="18"/>
        </w:rPr>
        <w:t> </w:t>
      </w:r>
      <w:r>
        <w:rPr>
          <w:sz w:val="18"/>
        </w:rPr>
        <w:t>los</w:t>
      </w:r>
      <w:r>
        <w:rPr>
          <w:spacing w:val="-1"/>
          <w:sz w:val="18"/>
        </w:rPr>
        <w:t> </w:t>
      </w:r>
      <w:r>
        <w:rPr>
          <w:sz w:val="18"/>
        </w:rPr>
        <w:t>cargos,</w:t>
      </w:r>
      <w:r>
        <w:rPr>
          <w:spacing w:val="1"/>
          <w:sz w:val="18"/>
        </w:rPr>
        <w:t> </w:t>
      </w:r>
      <w:r>
        <w:rPr>
          <w:sz w:val="18"/>
        </w:rPr>
        <w:t>a</w:t>
      </w:r>
      <w:r>
        <w:rPr>
          <w:spacing w:val="-6"/>
          <w:sz w:val="18"/>
        </w:rPr>
        <w:t> </w:t>
      </w:r>
      <w:r>
        <w:rPr>
          <w:sz w:val="18"/>
        </w:rPr>
        <w:t>los</w:t>
      </w:r>
      <w:r>
        <w:rPr>
          <w:spacing w:val="-3"/>
          <w:sz w:val="18"/>
        </w:rPr>
        <w:t> </w:t>
      </w:r>
      <w:r>
        <w:rPr>
          <w:sz w:val="18"/>
        </w:rPr>
        <w:t>sueldos</w:t>
      </w:r>
      <w:r>
        <w:rPr>
          <w:spacing w:val="-1"/>
          <w:sz w:val="18"/>
        </w:rPr>
        <w:t> </w:t>
      </w:r>
      <w:r>
        <w:rPr>
          <w:sz w:val="18"/>
        </w:rPr>
        <w:t>que</w:t>
      </w:r>
      <w:r>
        <w:rPr>
          <w:spacing w:val="-2"/>
          <w:sz w:val="18"/>
        </w:rPr>
        <w:t> </w:t>
      </w:r>
      <w:r>
        <w:rPr>
          <w:sz w:val="18"/>
        </w:rPr>
        <w:t>es</w:t>
      </w:r>
      <w:r>
        <w:rPr>
          <w:spacing w:val="-1"/>
          <w:sz w:val="18"/>
        </w:rPr>
        <w:t> </w:t>
      </w:r>
      <w:r>
        <w:rPr>
          <w:sz w:val="18"/>
        </w:rPr>
        <w:t>muy</w:t>
      </w:r>
      <w:r>
        <w:rPr>
          <w:spacing w:val="-4"/>
          <w:sz w:val="18"/>
        </w:rPr>
        <w:t> </w:t>
      </w:r>
      <w:r>
        <w:rPr>
          <w:sz w:val="18"/>
        </w:rPr>
        <w:t>controversial</w:t>
      </w:r>
      <w:r>
        <w:rPr>
          <w:spacing w:val="-4"/>
          <w:sz w:val="18"/>
        </w:rPr>
        <w:t> </w:t>
      </w:r>
      <w:r>
        <w:rPr>
          <w:sz w:val="18"/>
        </w:rPr>
        <w:t>en</w:t>
      </w:r>
      <w:r>
        <w:rPr>
          <w:spacing w:val="-2"/>
          <w:sz w:val="18"/>
        </w:rPr>
        <w:t> </w:t>
      </w:r>
      <w:r>
        <w:rPr>
          <w:sz w:val="18"/>
        </w:rPr>
        <w:t>la</w:t>
      </w:r>
      <w:r>
        <w:rPr>
          <w:spacing w:val="-2"/>
          <w:sz w:val="18"/>
        </w:rPr>
        <w:t> </w:t>
      </w:r>
      <w:r>
        <w:rPr>
          <w:sz w:val="18"/>
        </w:rPr>
        <w:t>ley</w:t>
      </w:r>
      <w:r>
        <w:rPr>
          <w:spacing w:val="-4"/>
          <w:sz w:val="18"/>
        </w:rPr>
        <w:t> </w:t>
      </w:r>
      <w:r>
        <w:rPr>
          <w:sz w:val="18"/>
        </w:rPr>
        <w:t>ahí</w:t>
      </w:r>
      <w:r>
        <w:rPr>
          <w:spacing w:val="-4"/>
          <w:sz w:val="18"/>
        </w:rPr>
        <w:t> </w:t>
      </w:r>
      <w:r>
        <w:rPr>
          <w:sz w:val="18"/>
        </w:rPr>
        <w:t>mismo</w:t>
      </w:r>
      <w:r>
        <w:rPr>
          <w:spacing w:val="-4"/>
          <w:sz w:val="18"/>
        </w:rPr>
        <w:t> </w:t>
      </w:r>
      <w:r>
        <w:rPr>
          <w:sz w:val="18"/>
        </w:rPr>
        <w:t>se</w:t>
      </w:r>
      <w:r>
        <w:rPr>
          <w:spacing w:val="-4"/>
          <w:sz w:val="18"/>
        </w:rPr>
        <w:t> </w:t>
      </w:r>
      <w:r>
        <w:rPr>
          <w:sz w:val="18"/>
        </w:rPr>
        <w:t>marca.</w:t>
      </w:r>
    </w:p>
    <w:p>
      <w:pPr>
        <w:pStyle w:val="BodyText"/>
        <w:rPr>
          <w:sz w:val="18"/>
        </w:rPr>
      </w:pPr>
    </w:p>
    <w:p>
      <w:pPr>
        <w:pStyle w:val="BodyText"/>
        <w:rPr>
          <w:sz w:val="18"/>
        </w:rPr>
      </w:pPr>
    </w:p>
    <w:p>
      <w:pPr>
        <w:spacing w:line="244" w:lineRule="auto" w:before="108"/>
        <w:ind w:left="474" w:right="409" w:firstLine="0"/>
        <w:jc w:val="both"/>
        <w:rPr>
          <w:sz w:val="18"/>
        </w:rPr>
      </w:pPr>
      <w:r>
        <w:rPr>
          <w:b/>
          <w:sz w:val="18"/>
        </w:rPr>
        <w:t>Gabriel:</w:t>
      </w:r>
      <w:r>
        <w:rPr>
          <w:b/>
          <w:spacing w:val="-5"/>
          <w:sz w:val="18"/>
        </w:rPr>
        <w:t> </w:t>
      </w:r>
      <w:r>
        <w:rPr>
          <w:sz w:val="18"/>
        </w:rPr>
        <w:t>¿Pero</w:t>
      </w:r>
      <w:r>
        <w:rPr>
          <w:spacing w:val="-3"/>
          <w:sz w:val="18"/>
        </w:rPr>
        <w:t> </w:t>
      </w:r>
      <w:r>
        <w:rPr>
          <w:sz w:val="18"/>
        </w:rPr>
        <w:t>no</w:t>
      </w:r>
      <w:r>
        <w:rPr>
          <w:spacing w:val="-3"/>
          <w:sz w:val="18"/>
        </w:rPr>
        <w:t> </w:t>
      </w:r>
      <w:r>
        <w:rPr>
          <w:sz w:val="18"/>
        </w:rPr>
        <w:t>es</w:t>
      </w:r>
      <w:r>
        <w:rPr>
          <w:spacing w:val="-4"/>
          <w:sz w:val="18"/>
        </w:rPr>
        <w:t> </w:t>
      </w:r>
      <w:r>
        <w:rPr>
          <w:sz w:val="18"/>
        </w:rPr>
        <w:t>contradictorio</w:t>
      </w:r>
      <w:r>
        <w:rPr>
          <w:spacing w:val="-3"/>
          <w:sz w:val="18"/>
        </w:rPr>
        <w:t> </w:t>
      </w:r>
      <w:r>
        <w:rPr>
          <w:sz w:val="18"/>
        </w:rPr>
        <w:t>por</w:t>
      </w:r>
      <w:r>
        <w:rPr>
          <w:spacing w:val="-3"/>
          <w:sz w:val="18"/>
        </w:rPr>
        <w:t> </w:t>
      </w:r>
      <w:r>
        <w:rPr>
          <w:sz w:val="18"/>
        </w:rPr>
        <w:t>una</w:t>
      </w:r>
      <w:r>
        <w:rPr>
          <w:spacing w:val="-3"/>
          <w:sz w:val="18"/>
        </w:rPr>
        <w:t> </w:t>
      </w:r>
      <w:r>
        <w:rPr>
          <w:sz w:val="18"/>
        </w:rPr>
        <w:t>parte</w:t>
      </w:r>
      <w:r>
        <w:rPr>
          <w:spacing w:val="-5"/>
          <w:sz w:val="18"/>
        </w:rPr>
        <w:t> </w:t>
      </w:r>
      <w:r>
        <w:rPr>
          <w:sz w:val="18"/>
        </w:rPr>
        <w:t>tener</w:t>
      </w:r>
      <w:r>
        <w:rPr>
          <w:spacing w:val="-3"/>
          <w:sz w:val="18"/>
        </w:rPr>
        <w:t> </w:t>
      </w:r>
      <w:r>
        <w:rPr>
          <w:sz w:val="18"/>
        </w:rPr>
        <w:t>una</w:t>
      </w:r>
      <w:r>
        <w:rPr>
          <w:spacing w:val="-5"/>
          <w:sz w:val="18"/>
        </w:rPr>
        <w:t> </w:t>
      </w:r>
      <w:r>
        <w:rPr>
          <w:sz w:val="18"/>
        </w:rPr>
        <w:t>ley</w:t>
      </w:r>
      <w:r>
        <w:rPr>
          <w:spacing w:val="-5"/>
          <w:sz w:val="18"/>
        </w:rPr>
        <w:t> </w:t>
      </w:r>
      <w:r>
        <w:rPr>
          <w:sz w:val="18"/>
        </w:rPr>
        <w:t>de</w:t>
      </w:r>
      <w:r>
        <w:rPr>
          <w:spacing w:val="-5"/>
          <w:sz w:val="18"/>
        </w:rPr>
        <w:t> </w:t>
      </w:r>
      <w:r>
        <w:rPr>
          <w:sz w:val="18"/>
        </w:rPr>
        <w:t>transparencia</w:t>
      </w:r>
      <w:r>
        <w:rPr>
          <w:spacing w:val="-5"/>
          <w:sz w:val="18"/>
        </w:rPr>
        <w:t> </w:t>
      </w:r>
      <w:r>
        <w:rPr>
          <w:sz w:val="18"/>
        </w:rPr>
        <w:t>pública</w:t>
      </w:r>
      <w:r>
        <w:rPr>
          <w:spacing w:val="-3"/>
          <w:sz w:val="18"/>
        </w:rPr>
        <w:t> </w:t>
      </w:r>
      <w:r>
        <w:rPr>
          <w:sz w:val="18"/>
        </w:rPr>
        <w:t>que</w:t>
      </w:r>
      <w:r>
        <w:rPr>
          <w:spacing w:val="-3"/>
          <w:sz w:val="18"/>
        </w:rPr>
        <w:t> </w:t>
      </w:r>
      <w:r>
        <w:rPr>
          <w:sz w:val="18"/>
        </w:rPr>
        <w:t>obliga a publicar sobre asuntos gubernamentales y por el otro lado proteger la</w:t>
      </w:r>
      <w:r>
        <w:rPr>
          <w:spacing w:val="-34"/>
          <w:sz w:val="18"/>
        </w:rPr>
        <w:t> </w:t>
      </w:r>
      <w:r>
        <w:rPr>
          <w:sz w:val="18"/>
        </w:rPr>
        <w:t>información?</w:t>
      </w:r>
    </w:p>
    <w:p>
      <w:pPr>
        <w:pStyle w:val="BodyText"/>
        <w:rPr>
          <w:sz w:val="18"/>
        </w:rPr>
      </w:pPr>
    </w:p>
    <w:p>
      <w:pPr>
        <w:pStyle w:val="BodyText"/>
        <w:rPr>
          <w:sz w:val="18"/>
        </w:rPr>
      </w:pPr>
    </w:p>
    <w:p>
      <w:pPr>
        <w:spacing w:line="244" w:lineRule="auto" w:before="107"/>
        <w:ind w:left="474" w:right="408" w:firstLine="0"/>
        <w:jc w:val="both"/>
        <w:rPr>
          <w:sz w:val="18"/>
        </w:rPr>
      </w:pPr>
      <w:r>
        <w:rPr>
          <w:b/>
          <w:sz w:val="18"/>
        </w:rPr>
        <w:t>Bertha</w:t>
      </w:r>
      <w:r>
        <w:rPr>
          <w:b/>
          <w:spacing w:val="-9"/>
          <w:sz w:val="18"/>
        </w:rPr>
        <w:t> </w:t>
      </w:r>
      <w:r>
        <w:rPr>
          <w:b/>
          <w:sz w:val="18"/>
        </w:rPr>
        <w:t>Lilia:</w:t>
      </w:r>
      <w:r>
        <w:rPr>
          <w:b/>
          <w:spacing w:val="-11"/>
          <w:sz w:val="18"/>
        </w:rPr>
        <w:t> </w:t>
      </w:r>
      <w:r>
        <w:rPr>
          <w:sz w:val="18"/>
        </w:rPr>
        <w:t>bueno,</w:t>
      </w:r>
      <w:r>
        <w:rPr>
          <w:spacing w:val="-11"/>
          <w:sz w:val="18"/>
        </w:rPr>
        <w:t> </w:t>
      </w:r>
      <w:r>
        <w:rPr>
          <w:sz w:val="18"/>
        </w:rPr>
        <w:t>antes</w:t>
      </w:r>
      <w:r>
        <w:rPr>
          <w:spacing w:val="-11"/>
          <w:sz w:val="18"/>
        </w:rPr>
        <w:t> </w:t>
      </w:r>
      <w:r>
        <w:rPr>
          <w:sz w:val="18"/>
        </w:rPr>
        <w:t>de</w:t>
      </w:r>
      <w:r>
        <w:rPr>
          <w:spacing w:val="-11"/>
          <w:sz w:val="18"/>
        </w:rPr>
        <w:t> </w:t>
      </w:r>
      <w:r>
        <w:rPr>
          <w:sz w:val="18"/>
        </w:rPr>
        <w:t>que</w:t>
      </w:r>
      <w:r>
        <w:rPr>
          <w:spacing w:val="-11"/>
          <w:sz w:val="18"/>
        </w:rPr>
        <w:t> </w:t>
      </w:r>
      <w:r>
        <w:rPr>
          <w:sz w:val="18"/>
        </w:rPr>
        <w:t>te</w:t>
      </w:r>
      <w:r>
        <w:rPr>
          <w:spacing w:val="-11"/>
          <w:sz w:val="18"/>
        </w:rPr>
        <w:t> </w:t>
      </w:r>
      <w:r>
        <w:rPr>
          <w:sz w:val="18"/>
        </w:rPr>
        <w:t>responda</w:t>
      </w:r>
      <w:r>
        <w:rPr>
          <w:spacing w:val="-11"/>
          <w:sz w:val="18"/>
        </w:rPr>
        <w:t> </w:t>
      </w:r>
      <w:r>
        <w:rPr>
          <w:sz w:val="18"/>
        </w:rPr>
        <w:t>eso,</w:t>
      </w:r>
      <w:r>
        <w:rPr>
          <w:spacing w:val="-11"/>
          <w:sz w:val="18"/>
        </w:rPr>
        <w:t> </w:t>
      </w:r>
      <w:r>
        <w:rPr>
          <w:sz w:val="18"/>
        </w:rPr>
        <w:t>déjame</w:t>
      </w:r>
      <w:r>
        <w:rPr>
          <w:spacing w:val="-11"/>
          <w:sz w:val="18"/>
        </w:rPr>
        <w:t> </w:t>
      </w:r>
      <w:r>
        <w:rPr>
          <w:sz w:val="18"/>
        </w:rPr>
        <w:t>corregir</w:t>
      </w:r>
      <w:r>
        <w:rPr>
          <w:spacing w:val="-12"/>
          <w:sz w:val="18"/>
        </w:rPr>
        <w:t> </w:t>
      </w:r>
      <w:r>
        <w:rPr>
          <w:sz w:val="18"/>
        </w:rPr>
        <w:t>porque</w:t>
      </w:r>
      <w:r>
        <w:rPr>
          <w:spacing w:val="-13"/>
          <w:sz w:val="18"/>
        </w:rPr>
        <w:t> </w:t>
      </w:r>
      <w:r>
        <w:rPr>
          <w:sz w:val="18"/>
        </w:rPr>
        <w:t>me</w:t>
      </w:r>
      <w:r>
        <w:rPr>
          <w:spacing w:val="-11"/>
          <w:sz w:val="18"/>
        </w:rPr>
        <w:t> </w:t>
      </w:r>
      <w:r>
        <w:rPr>
          <w:sz w:val="18"/>
        </w:rPr>
        <w:t>estaba</w:t>
      </w:r>
      <w:r>
        <w:rPr>
          <w:spacing w:val="-11"/>
          <w:sz w:val="18"/>
        </w:rPr>
        <w:t> </w:t>
      </w:r>
      <w:r>
        <w:rPr>
          <w:sz w:val="18"/>
        </w:rPr>
        <w:t>confundiendo con</w:t>
      </w:r>
      <w:r>
        <w:rPr>
          <w:spacing w:val="26"/>
          <w:sz w:val="18"/>
        </w:rPr>
        <w:t> </w:t>
      </w:r>
      <w:r>
        <w:rPr>
          <w:sz w:val="18"/>
        </w:rPr>
        <w:t>la</w:t>
      </w:r>
      <w:r>
        <w:rPr>
          <w:spacing w:val="26"/>
          <w:sz w:val="18"/>
        </w:rPr>
        <w:t> </w:t>
      </w:r>
      <w:r>
        <w:rPr>
          <w:sz w:val="18"/>
        </w:rPr>
        <w:t>ley</w:t>
      </w:r>
      <w:r>
        <w:rPr>
          <w:spacing w:val="24"/>
          <w:sz w:val="18"/>
        </w:rPr>
        <w:t> </w:t>
      </w:r>
      <w:r>
        <w:rPr>
          <w:sz w:val="18"/>
        </w:rPr>
        <w:t>de</w:t>
      </w:r>
      <w:r>
        <w:rPr>
          <w:spacing w:val="26"/>
          <w:sz w:val="18"/>
        </w:rPr>
        <w:t> </w:t>
      </w:r>
      <w:r>
        <w:rPr>
          <w:sz w:val="18"/>
        </w:rPr>
        <w:t>planeación</w:t>
      </w:r>
      <w:r>
        <w:rPr>
          <w:spacing w:val="26"/>
          <w:sz w:val="18"/>
        </w:rPr>
        <w:t> </w:t>
      </w:r>
      <w:r>
        <w:rPr>
          <w:sz w:val="18"/>
        </w:rPr>
        <w:t>y</w:t>
      </w:r>
      <w:r>
        <w:rPr>
          <w:spacing w:val="24"/>
          <w:sz w:val="18"/>
        </w:rPr>
        <w:t> </w:t>
      </w:r>
      <w:r>
        <w:rPr>
          <w:sz w:val="18"/>
        </w:rPr>
        <w:t>no,</w:t>
      </w:r>
      <w:r>
        <w:rPr>
          <w:spacing w:val="26"/>
          <w:sz w:val="18"/>
        </w:rPr>
        <w:t> </w:t>
      </w:r>
      <w:r>
        <w:rPr>
          <w:sz w:val="18"/>
        </w:rPr>
        <w:t>es</w:t>
      </w:r>
      <w:r>
        <w:rPr>
          <w:spacing w:val="26"/>
          <w:sz w:val="18"/>
        </w:rPr>
        <w:t> </w:t>
      </w:r>
      <w:r>
        <w:rPr>
          <w:sz w:val="18"/>
        </w:rPr>
        <w:t>muy</w:t>
      </w:r>
      <w:r>
        <w:rPr>
          <w:spacing w:val="24"/>
          <w:sz w:val="18"/>
        </w:rPr>
        <w:t> </w:t>
      </w:r>
      <w:r>
        <w:rPr>
          <w:sz w:val="18"/>
        </w:rPr>
        <w:t>muy</w:t>
      </w:r>
      <w:r>
        <w:rPr>
          <w:spacing w:val="24"/>
          <w:sz w:val="18"/>
        </w:rPr>
        <w:t> </w:t>
      </w:r>
      <w:r>
        <w:rPr>
          <w:sz w:val="18"/>
        </w:rPr>
        <w:t>diferente.</w:t>
      </w:r>
      <w:r>
        <w:rPr>
          <w:spacing w:val="26"/>
          <w:sz w:val="18"/>
        </w:rPr>
        <w:t> </w:t>
      </w:r>
      <w:r>
        <w:rPr>
          <w:sz w:val="18"/>
        </w:rPr>
        <w:t>Es</w:t>
      </w:r>
      <w:r>
        <w:rPr>
          <w:spacing w:val="24"/>
          <w:sz w:val="18"/>
        </w:rPr>
        <w:t> </w:t>
      </w:r>
      <w:r>
        <w:rPr>
          <w:sz w:val="18"/>
        </w:rPr>
        <w:t>la</w:t>
      </w:r>
      <w:r>
        <w:rPr>
          <w:spacing w:val="26"/>
          <w:sz w:val="18"/>
        </w:rPr>
        <w:t> </w:t>
      </w:r>
      <w:r>
        <w:rPr>
          <w:sz w:val="18"/>
        </w:rPr>
        <w:t>ley</w:t>
      </w:r>
      <w:r>
        <w:rPr>
          <w:spacing w:val="24"/>
          <w:sz w:val="18"/>
        </w:rPr>
        <w:t> </w:t>
      </w:r>
      <w:r>
        <w:rPr>
          <w:sz w:val="18"/>
        </w:rPr>
        <w:t>de</w:t>
      </w:r>
      <w:r>
        <w:rPr>
          <w:spacing w:val="26"/>
          <w:sz w:val="18"/>
        </w:rPr>
        <w:t> </w:t>
      </w:r>
      <w:r>
        <w:rPr>
          <w:sz w:val="18"/>
        </w:rPr>
        <w:t>transparencia</w:t>
      </w:r>
      <w:r>
        <w:rPr>
          <w:spacing w:val="26"/>
          <w:sz w:val="18"/>
        </w:rPr>
        <w:t> </w:t>
      </w:r>
      <w:r>
        <w:rPr>
          <w:sz w:val="18"/>
        </w:rPr>
        <w:t>y</w:t>
      </w:r>
      <w:r>
        <w:rPr>
          <w:spacing w:val="24"/>
          <w:sz w:val="18"/>
        </w:rPr>
        <w:t> </w:t>
      </w:r>
      <w:r>
        <w:rPr>
          <w:sz w:val="18"/>
        </w:rPr>
        <w:t>acceso</w:t>
      </w:r>
      <w:r>
        <w:rPr>
          <w:spacing w:val="26"/>
          <w:sz w:val="18"/>
        </w:rPr>
        <w:t> </w:t>
      </w:r>
      <w:r>
        <w:rPr>
          <w:sz w:val="18"/>
        </w:rPr>
        <w:t>a</w:t>
      </w:r>
      <w:r>
        <w:rPr>
          <w:spacing w:val="26"/>
          <w:sz w:val="18"/>
        </w:rPr>
        <w:t> </w:t>
      </w:r>
      <w:r>
        <w:rPr>
          <w:sz w:val="18"/>
        </w:rPr>
        <w:t>la</w:t>
      </w:r>
    </w:p>
    <w:p>
      <w:pPr>
        <w:spacing w:after="0" w:line="244" w:lineRule="auto"/>
        <w:jc w:val="both"/>
        <w:rPr>
          <w:sz w:val="18"/>
        </w:rPr>
        <w:sectPr>
          <w:pgSz w:w="12240" w:h="15840"/>
          <w:pgMar w:header="0" w:footer="975" w:top="1360" w:bottom="1220" w:left="1700" w:right="1720"/>
        </w:sectPr>
      </w:pPr>
    </w:p>
    <w:p>
      <w:pPr>
        <w:spacing w:line="240" w:lineRule="auto" w:before="55"/>
        <w:ind w:left="454" w:right="404" w:firstLine="0"/>
        <w:jc w:val="both"/>
        <w:rPr>
          <w:sz w:val="18"/>
        </w:rPr>
      </w:pPr>
      <w:r>
        <w:rPr>
          <w:sz w:val="18"/>
        </w:rPr>
        <w:t>información</w:t>
      </w:r>
      <w:r>
        <w:rPr>
          <w:spacing w:val="-11"/>
          <w:sz w:val="18"/>
        </w:rPr>
        <w:t> </w:t>
      </w:r>
      <w:r>
        <w:rPr>
          <w:sz w:val="18"/>
        </w:rPr>
        <w:t>pública</w:t>
      </w:r>
      <w:r>
        <w:rPr>
          <w:spacing w:val="-11"/>
          <w:sz w:val="18"/>
        </w:rPr>
        <w:t> </w:t>
      </w:r>
      <w:r>
        <w:rPr>
          <w:sz w:val="18"/>
        </w:rPr>
        <w:t>y</w:t>
      </w:r>
      <w:r>
        <w:rPr>
          <w:spacing w:val="-13"/>
          <w:sz w:val="18"/>
        </w:rPr>
        <w:t> </w:t>
      </w:r>
      <w:r>
        <w:rPr>
          <w:sz w:val="18"/>
        </w:rPr>
        <w:t>no</w:t>
      </w:r>
      <w:r>
        <w:rPr>
          <w:spacing w:val="-11"/>
          <w:sz w:val="18"/>
        </w:rPr>
        <w:t> </w:t>
      </w:r>
      <w:r>
        <w:rPr>
          <w:sz w:val="18"/>
        </w:rPr>
        <w:t>tiene</w:t>
      </w:r>
      <w:r>
        <w:rPr>
          <w:spacing w:val="-11"/>
          <w:sz w:val="18"/>
        </w:rPr>
        <w:t> </w:t>
      </w:r>
      <w:r>
        <w:rPr>
          <w:sz w:val="18"/>
        </w:rPr>
        <w:t>un</w:t>
      </w:r>
      <w:r>
        <w:rPr>
          <w:spacing w:val="-11"/>
          <w:sz w:val="18"/>
        </w:rPr>
        <w:t> </w:t>
      </w:r>
      <w:r>
        <w:rPr>
          <w:sz w:val="18"/>
        </w:rPr>
        <w:t>reglamento</w:t>
      </w:r>
      <w:r>
        <w:rPr>
          <w:spacing w:val="-11"/>
          <w:sz w:val="18"/>
        </w:rPr>
        <w:t> </w:t>
      </w:r>
      <w:r>
        <w:rPr>
          <w:sz w:val="18"/>
        </w:rPr>
        <w:t>déjame</w:t>
      </w:r>
      <w:r>
        <w:rPr>
          <w:spacing w:val="-11"/>
          <w:sz w:val="18"/>
        </w:rPr>
        <w:t> </w:t>
      </w:r>
      <w:r>
        <w:rPr>
          <w:sz w:val="18"/>
        </w:rPr>
        <w:t>decirte</w:t>
      </w:r>
      <w:r>
        <w:rPr>
          <w:spacing w:val="-13"/>
          <w:sz w:val="18"/>
        </w:rPr>
        <w:t> </w:t>
      </w:r>
      <w:r>
        <w:rPr>
          <w:sz w:val="18"/>
        </w:rPr>
        <w:t>pero</w:t>
      </w:r>
      <w:r>
        <w:rPr>
          <w:spacing w:val="-4"/>
          <w:sz w:val="18"/>
        </w:rPr>
        <w:t> </w:t>
      </w:r>
      <w:r>
        <w:rPr>
          <w:sz w:val="18"/>
        </w:rPr>
        <w:t>de</w:t>
      </w:r>
      <w:r>
        <w:rPr>
          <w:spacing w:val="-11"/>
          <w:sz w:val="18"/>
        </w:rPr>
        <w:t> </w:t>
      </w:r>
      <w:r>
        <w:rPr>
          <w:sz w:val="18"/>
        </w:rPr>
        <w:t>alguna</w:t>
      </w:r>
      <w:r>
        <w:rPr>
          <w:spacing w:val="-11"/>
          <w:sz w:val="18"/>
        </w:rPr>
        <w:t> </w:t>
      </w:r>
      <w:r>
        <w:rPr>
          <w:sz w:val="18"/>
        </w:rPr>
        <w:t>manera</w:t>
      </w:r>
      <w:r>
        <w:rPr>
          <w:spacing w:val="-11"/>
          <w:sz w:val="18"/>
        </w:rPr>
        <w:t> </w:t>
      </w:r>
      <w:r>
        <w:rPr>
          <w:sz w:val="18"/>
        </w:rPr>
        <w:t>como</w:t>
      </w:r>
      <w:r>
        <w:rPr>
          <w:spacing w:val="-11"/>
          <w:sz w:val="18"/>
        </w:rPr>
        <w:t> </w:t>
      </w:r>
      <w:r>
        <w:rPr>
          <w:sz w:val="18"/>
        </w:rPr>
        <w:t>cada</w:t>
      </w:r>
      <w:r>
        <w:rPr>
          <w:spacing w:val="-11"/>
          <w:sz w:val="18"/>
        </w:rPr>
        <w:t> </w:t>
      </w:r>
      <w:r>
        <w:rPr>
          <w:sz w:val="18"/>
        </w:rPr>
        <w:t>área maneja</w:t>
      </w:r>
      <w:r>
        <w:rPr>
          <w:spacing w:val="-16"/>
          <w:sz w:val="18"/>
        </w:rPr>
        <w:t> </w:t>
      </w:r>
      <w:r>
        <w:rPr>
          <w:sz w:val="18"/>
        </w:rPr>
        <w:t>la</w:t>
      </w:r>
      <w:r>
        <w:rPr>
          <w:spacing w:val="-14"/>
          <w:sz w:val="18"/>
        </w:rPr>
        <w:t> </w:t>
      </w:r>
      <w:r>
        <w:rPr>
          <w:sz w:val="18"/>
        </w:rPr>
        <w:t>ley</w:t>
      </w:r>
      <w:r>
        <w:rPr>
          <w:spacing w:val="-15"/>
          <w:sz w:val="18"/>
        </w:rPr>
        <w:t> </w:t>
      </w:r>
      <w:r>
        <w:rPr>
          <w:sz w:val="18"/>
        </w:rPr>
        <w:t>pero</w:t>
      </w:r>
      <w:r>
        <w:rPr>
          <w:spacing w:val="-16"/>
          <w:sz w:val="18"/>
        </w:rPr>
        <w:t> </w:t>
      </w:r>
      <w:r>
        <w:rPr>
          <w:sz w:val="18"/>
        </w:rPr>
        <w:t>me</w:t>
      </w:r>
      <w:r>
        <w:rPr>
          <w:spacing w:val="-16"/>
          <w:sz w:val="18"/>
        </w:rPr>
        <w:t> </w:t>
      </w:r>
      <w:r>
        <w:rPr>
          <w:sz w:val="18"/>
        </w:rPr>
        <w:t>estaba</w:t>
      </w:r>
      <w:r>
        <w:rPr>
          <w:spacing w:val="-16"/>
          <w:sz w:val="18"/>
        </w:rPr>
        <w:t> </w:t>
      </w:r>
      <w:r>
        <w:rPr>
          <w:sz w:val="18"/>
        </w:rPr>
        <w:t>confundiendo</w:t>
      </w:r>
      <w:r>
        <w:rPr>
          <w:spacing w:val="-16"/>
          <w:sz w:val="18"/>
        </w:rPr>
        <w:t> </w:t>
      </w:r>
      <w:r>
        <w:rPr>
          <w:sz w:val="18"/>
        </w:rPr>
        <w:t>con</w:t>
      </w:r>
      <w:r>
        <w:rPr>
          <w:spacing w:val="-16"/>
          <w:sz w:val="18"/>
        </w:rPr>
        <w:t> </w:t>
      </w:r>
      <w:r>
        <w:rPr>
          <w:sz w:val="18"/>
        </w:rPr>
        <w:t>la</w:t>
      </w:r>
      <w:r>
        <w:rPr>
          <w:spacing w:val="-16"/>
          <w:sz w:val="18"/>
        </w:rPr>
        <w:t> </w:t>
      </w:r>
      <w:r>
        <w:rPr>
          <w:sz w:val="18"/>
        </w:rPr>
        <w:t>ley</w:t>
      </w:r>
      <w:r>
        <w:rPr>
          <w:spacing w:val="-15"/>
          <w:sz w:val="18"/>
        </w:rPr>
        <w:t> </w:t>
      </w:r>
      <w:r>
        <w:rPr>
          <w:sz w:val="18"/>
        </w:rPr>
        <w:t>de</w:t>
      </w:r>
      <w:r>
        <w:rPr>
          <w:spacing w:val="-16"/>
          <w:sz w:val="18"/>
        </w:rPr>
        <w:t> </w:t>
      </w:r>
      <w:r>
        <w:rPr>
          <w:sz w:val="18"/>
        </w:rPr>
        <w:t>planeación</w:t>
      </w:r>
      <w:r>
        <w:rPr>
          <w:spacing w:val="-16"/>
          <w:sz w:val="18"/>
        </w:rPr>
        <w:t> </w:t>
      </w:r>
      <w:r>
        <w:rPr>
          <w:sz w:val="18"/>
        </w:rPr>
        <w:t>pero</w:t>
      </w:r>
      <w:r>
        <w:rPr>
          <w:spacing w:val="-14"/>
          <w:sz w:val="18"/>
        </w:rPr>
        <w:t> </w:t>
      </w:r>
      <w:r>
        <w:rPr>
          <w:sz w:val="18"/>
        </w:rPr>
        <w:t>ya</w:t>
      </w:r>
      <w:r>
        <w:rPr>
          <w:spacing w:val="-16"/>
          <w:sz w:val="18"/>
        </w:rPr>
        <w:t> </w:t>
      </w:r>
      <w:r>
        <w:rPr>
          <w:sz w:val="18"/>
        </w:rPr>
        <w:t>la</w:t>
      </w:r>
      <w:r>
        <w:rPr>
          <w:spacing w:val="-16"/>
          <w:sz w:val="18"/>
        </w:rPr>
        <w:t> </w:t>
      </w:r>
      <w:r>
        <w:rPr>
          <w:sz w:val="18"/>
        </w:rPr>
        <w:t>expliqué.</w:t>
      </w:r>
      <w:r>
        <w:rPr>
          <w:spacing w:val="-14"/>
          <w:sz w:val="18"/>
        </w:rPr>
        <w:t> </w:t>
      </w:r>
      <w:r>
        <w:rPr>
          <w:sz w:val="18"/>
        </w:rPr>
        <w:t>Con</w:t>
      </w:r>
      <w:r>
        <w:rPr>
          <w:spacing w:val="-14"/>
          <w:sz w:val="18"/>
        </w:rPr>
        <w:t> </w:t>
      </w:r>
      <w:r>
        <w:rPr>
          <w:sz w:val="18"/>
        </w:rPr>
        <w:t>relación a tu siguiente pregunta, ¿a qué te</w:t>
      </w:r>
      <w:r>
        <w:rPr>
          <w:spacing w:val="-17"/>
          <w:sz w:val="18"/>
        </w:rPr>
        <w:t> </w:t>
      </w:r>
      <w:r>
        <w:rPr>
          <w:sz w:val="18"/>
        </w:rPr>
        <w:t>refieres?</w:t>
      </w:r>
    </w:p>
    <w:p>
      <w:pPr>
        <w:pStyle w:val="BodyText"/>
        <w:rPr>
          <w:sz w:val="18"/>
        </w:rPr>
      </w:pPr>
    </w:p>
    <w:p>
      <w:pPr>
        <w:pStyle w:val="BodyText"/>
        <w:rPr>
          <w:sz w:val="18"/>
        </w:rPr>
      </w:pPr>
    </w:p>
    <w:p>
      <w:pPr>
        <w:spacing w:line="240" w:lineRule="auto" w:before="111"/>
        <w:ind w:left="454" w:right="404" w:firstLine="0"/>
        <w:jc w:val="both"/>
        <w:rPr>
          <w:sz w:val="18"/>
        </w:rPr>
      </w:pPr>
      <w:r>
        <w:rPr>
          <w:b/>
          <w:sz w:val="18"/>
        </w:rPr>
        <w:t>Gabriel:</w:t>
      </w:r>
      <w:r>
        <w:rPr>
          <w:b/>
          <w:spacing w:val="-8"/>
          <w:sz w:val="18"/>
        </w:rPr>
        <w:t> </w:t>
      </w:r>
      <w:r>
        <w:rPr>
          <w:sz w:val="18"/>
        </w:rPr>
        <w:t>¿No</w:t>
      </w:r>
      <w:r>
        <w:rPr>
          <w:spacing w:val="-6"/>
          <w:sz w:val="18"/>
        </w:rPr>
        <w:t> </w:t>
      </w:r>
      <w:r>
        <w:rPr>
          <w:sz w:val="18"/>
        </w:rPr>
        <w:t>es</w:t>
      </w:r>
      <w:r>
        <w:rPr>
          <w:spacing w:val="-8"/>
          <w:sz w:val="18"/>
        </w:rPr>
        <w:t> </w:t>
      </w:r>
      <w:r>
        <w:rPr>
          <w:sz w:val="18"/>
        </w:rPr>
        <w:t>algo</w:t>
      </w:r>
      <w:r>
        <w:rPr>
          <w:spacing w:val="-6"/>
          <w:sz w:val="18"/>
        </w:rPr>
        <w:t> </w:t>
      </w:r>
      <w:r>
        <w:rPr>
          <w:sz w:val="18"/>
        </w:rPr>
        <w:t>contradictorio</w:t>
      </w:r>
      <w:r>
        <w:rPr>
          <w:spacing w:val="-6"/>
          <w:sz w:val="18"/>
        </w:rPr>
        <w:t> </w:t>
      </w:r>
      <w:r>
        <w:rPr>
          <w:sz w:val="18"/>
        </w:rPr>
        <w:t>por</w:t>
      </w:r>
      <w:r>
        <w:rPr>
          <w:spacing w:val="-9"/>
          <w:sz w:val="18"/>
        </w:rPr>
        <w:t> </w:t>
      </w:r>
      <w:r>
        <w:rPr>
          <w:sz w:val="18"/>
        </w:rPr>
        <w:t>una</w:t>
      </w:r>
      <w:r>
        <w:rPr>
          <w:spacing w:val="-6"/>
          <w:sz w:val="18"/>
        </w:rPr>
        <w:t> </w:t>
      </w:r>
      <w:r>
        <w:rPr>
          <w:sz w:val="18"/>
        </w:rPr>
        <w:t>parte</w:t>
      </w:r>
      <w:r>
        <w:rPr>
          <w:spacing w:val="-6"/>
          <w:sz w:val="18"/>
        </w:rPr>
        <w:t> </w:t>
      </w:r>
      <w:r>
        <w:rPr>
          <w:sz w:val="18"/>
        </w:rPr>
        <w:t>tener</w:t>
      </w:r>
      <w:r>
        <w:rPr>
          <w:spacing w:val="-9"/>
          <w:sz w:val="18"/>
        </w:rPr>
        <w:t> </w:t>
      </w:r>
      <w:r>
        <w:rPr>
          <w:sz w:val="18"/>
        </w:rPr>
        <w:t>una</w:t>
      </w:r>
      <w:r>
        <w:rPr>
          <w:spacing w:val="-9"/>
          <w:sz w:val="18"/>
        </w:rPr>
        <w:t> </w:t>
      </w:r>
      <w:r>
        <w:rPr>
          <w:sz w:val="18"/>
        </w:rPr>
        <w:t>ley</w:t>
      </w:r>
      <w:r>
        <w:rPr>
          <w:spacing w:val="-8"/>
          <w:sz w:val="18"/>
        </w:rPr>
        <w:t> </w:t>
      </w:r>
      <w:r>
        <w:rPr>
          <w:sz w:val="18"/>
        </w:rPr>
        <w:t>que</w:t>
      </w:r>
      <w:r>
        <w:rPr>
          <w:spacing w:val="-6"/>
          <w:sz w:val="18"/>
        </w:rPr>
        <w:t> </w:t>
      </w:r>
      <w:r>
        <w:rPr>
          <w:sz w:val="18"/>
        </w:rPr>
        <w:t>nos</w:t>
      </w:r>
      <w:r>
        <w:rPr>
          <w:spacing w:val="-8"/>
          <w:sz w:val="18"/>
        </w:rPr>
        <w:t> </w:t>
      </w:r>
      <w:r>
        <w:rPr>
          <w:sz w:val="18"/>
        </w:rPr>
        <w:t>pide</w:t>
      </w:r>
      <w:r>
        <w:rPr>
          <w:spacing w:val="-2"/>
          <w:sz w:val="18"/>
        </w:rPr>
        <w:t> </w:t>
      </w:r>
      <w:r>
        <w:rPr>
          <w:sz w:val="18"/>
        </w:rPr>
        <w:t>ser</w:t>
      </w:r>
      <w:r>
        <w:rPr>
          <w:spacing w:val="-7"/>
          <w:sz w:val="18"/>
        </w:rPr>
        <w:t> </w:t>
      </w:r>
      <w:r>
        <w:rPr>
          <w:sz w:val="18"/>
        </w:rPr>
        <w:t>transparentes</w:t>
      </w:r>
      <w:r>
        <w:rPr>
          <w:spacing w:val="-6"/>
          <w:sz w:val="18"/>
        </w:rPr>
        <w:t> </w:t>
      </w:r>
      <w:r>
        <w:rPr>
          <w:sz w:val="18"/>
        </w:rPr>
        <w:t>y</w:t>
      </w:r>
      <w:r>
        <w:rPr>
          <w:spacing w:val="-8"/>
          <w:sz w:val="18"/>
        </w:rPr>
        <w:t> </w:t>
      </w:r>
      <w:r>
        <w:rPr>
          <w:sz w:val="18"/>
        </w:rPr>
        <w:t>por el otro lado tener una ley que nos pide proteger datos personales? Cómo funciona en la práctica o somos transparentes o protegemos la</w:t>
      </w:r>
      <w:r>
        <w:rPr>
          <w:spacing w:val="-19"/>
          <w:sz w:val="18"/>
        </w:rPr>
        <w:t> </w:t>
      </w:r>
      <w:r>
        <w:rPr>
          <w:sz w:val="18"/>
        </w:rPr>
        <w:t>información.</w:t>
      </w:r>
    </w:p>
    <w:p>
      <w:pPr>
        <w:pStyle w:val="BodyText"/>
        <w:rPr>
          <w:sz w:val="18"/>
        </w:rPr>
      </w:pPr>
    </w:p>
    <w:p>
      <w:pPr>
        <w:pStyle w:val="BodyText"/>
        <w:rPr>
          <w:sz w:val="18"/>
        </w:rPr>
      </w:pPr>
    </w:p>
    <w:p>
      <w:pPr>
        <w:spacing w:line="240" w:lineRule="auto" w:before="111"/>
        <w:ind w:left="454" w:right="402" w:firstLine="0"/>
        <w:jc w:val="both"/>
        <w:rPr>
          <w:sz w:val="18"/>
        </w:rPr>
      </w:pPr>
      <w:r>
        <w:rPr>
          <w:b/>
          <w:sz w:val="18"/>
        </w:rPr>
        <w:t>Bertha</w:t>
      </w:r>
      <w:r>
        <w:rPr>
          <w:b/>
          <w:spacing w:val="-8"/>
          <w:sz w:val="18"/>
        </w:rPr>
        <w:t> </w:t>
      </w:r>
      <w:r>
        <w:rPr>
          <w:b/>
          <w:sz w:val="18"/>
        </w:rPr>
        <w:t>Lilia:</w:t>
      </w:r>
      <w:r>
        <w:rPr>
          <w:b/>
          <w:spacing w:val="-11"/>
          <w:sz w:val="18"/>
        </w:rPr>
        <w:t> </w:t>
      </w:r>
      <w:r>
        <w:rPr>
          <w:sz w:val="18"/>
        </w:rPr>
        <w:t>No,</w:t>
      </w:r>
      <w:r>
        <w:rPr>
          <w:spacing w:val="-9"/>
          <w:sz w:val="18"/>
        </w:rPr>
        <w:t> </w:t>
      </w:r>
      <w:r>
        <w:rPr>
          <w:sz w:val="18"/>
        </w:rPr>
        <w:t>la</w:t>
      </w:r>
      <w:r>
        <w:rPr>
          <w:spacing w:val="-9"/>
          <w:sz w:val="18"/>
        </w:rPr>
        <w:t> </w:t>
      </w:r>
      <w:r>
        <w:rPr>
          <w:sz w:val="18"/>
        </w:rPr>
        <w:t>verdad</w:t>
      </w:r>
      <w:r>
        <w:rPr>
          <w:spacing w:val="-9"/>
          <w:sz w:val="18"/>
        </w:rPr>
        <w:t> </w:t>
      </w:r>
      <w:r>
        <w:rPr>
          <w:sz w:val="18"/>
        </w:rPr>
        <w:t>es</w:t>
      </w:r>
      <w:r>
        <w:rPr>
          <w:spacing w:val="-11"/>
          <w:sz w:val="18"/>
        </w:rPr>
        <w:t> </w:t>
      </w:r>
      <w:r>
        <w:rPr>
          <w:sz w:val="18"/>
        </w:rPr>
        <w:t>que,</w:t>
      </w:r>
      <w:r>
        <w:rPr>
          <w:spacing w:val="-9"/>
          <w:sz w:val="18"/>
        </w:rPr>
        <w:t> </w:t>
      </w:r>
      <w:r>
        <w:rPr>
          <w:sz w:val="18"/>
        </w:rPr>
        <w:t>si</w:t>
      </w:r>
      <w:r>
        <w:rPr>
          <w:spacing w:val="-9"/>
          <w:sz w:val="18"/>
        </w:rPr>
        <w:t> </w:t>
      </w:r>
      <w:r>
        <w:rPr>
          <w:sz w:val="18"/>
        </w:rPr>
        <w:t>es</w:t>
      </w:r>
      <w:r>
        <w:rPr>
          <w:spacing w:val="-11"/>
          <w:sz w:val="18"/>
        </w:rPr>
        <w:t> </w:t>
      </w:r>
      <w:r>
        <w:rPr>
          <w:sz w:val="18"/>
        </w:rPr>
        <w:t>algo</w:t>
      </w:r>
      <w:r>
        <w:rPr>
          <w:spacing w:val="-9"/>
          <w:sz w:val="18"/>
        </w:rPr>
        <w:t> </w:t>
      </w:r>
      <w:r>
        <w:rPr>
          <w:sz w:val="18"/>
        </w:rPr>
        <w:t>contradictorio</w:t>
      </w:r>
      <w:r>
        <w:rPr>
          <w:spacing w:val="-9"/>
          <w:sz w:val="18"/>
        </w:rPr>
        <w:t> </w:t>
      </w:r>
      <w:r>
        <w:rPr>
          <w:sz w:val="18"/>
        </w:rPr>
        <w:t>porque</w:t>
      </w:r>
      <w:r>
        <w:rPr>
          <w:spacing w:val="-9"/>
          <w:sz w:val="18"/>
        </w:rPr>
        <w:t> </w:t>
      </w:r>
      <w:r>
        <w:rPr>
          <w:sz w:val="18"/>
        </w:rPr>
        <w:t>por</w:t>
      </w:r>
      <w:r>
        <w:rPr>
          <w:spacing w:val="-9"/>
          <w:sz w:val="18"/>
        </w:rPr>
        <w:t> </w:t>
      </w:r>
      <w:r>
        <w:rPr>
          <w:sz w:val="18"/>
        </w:rPr>
        <w:t>una</w:t>
      </w:r>
      <w:r>
        <w:rPr>
          <w:spacing w:val="-11"/>
          <w:sz w:val="18"/>
        </w:rPr>
        <w:t> </w:t>
      </w:r>
      <w:r>
        <w:rPr>
          <w:sz w:val="18"/>
        </w:rPr>
        <w:t>parte</w:t>
      </w:r>
      <w:r>
        <w:rPr>
          <w:spacing w:val="-4"/>
          <w:sz w:val="18"/>
        </w:rPr>
        <w:t> </w:t>
      </w:r>
      <w:r>
        <w:rPr>
          <w:sz w:val="18"/>
        </w:rPr>
        <w:t>damos</w:t>
      </w:r>
      <w:r>
        <w:rPr>
          <w:spacing w:val="-8"/>
          <w:sz w:val="18"/>
        </w:rPr>
        <w:t> </w:t>
      </w:r>
      <w:r>
        <w:rPr>
          <w:sz w:val="18"/>
        </w:rPr>
        <w:t>información y</w:t>
      </w:r>
      <w:r>
        <w:rPr>
          <w:spacing w:val="-13"/>
          <w:sz w:val="18"/>
        </w:rPr>
        <w:t> </w:t>
      </w:r>
      <w:r>
        <w:rPr>
          <w:sz w:val="18"/>
        </w:rPr>
        <w:t>por</w:t>
      </w:r>
      <w:r>
        <w:rPr>
          <w:spacing w:val="-12"/>
          <w:sz w:val="18"/>
        </w:rPr>
        <w:t> </w:t>
      </w:r>
      <w:r>
        <w:rPr>
          <w:sz w:val="18"/>
        </w:rPr>
        <w:t>otra</w:t>
      </w:r>
      <w:r>
        <w:rPr>
          <w:spacing w:val="-11"/>
          <w:sz w:val="18"/>
        </w:rPr>
        <w:t> </w:t>
      </w:r>
      <w:r>
        <w:rPr>
          <w:sz w:val="18"/>
        </w:rPr>
        <w:t>parte</w:t>
      </w:r>
      <w:r>
        <w:rPr>
          <w:spacing w:val="-11"/>
          <w:sz w:val="18"/>
        </w:rPr>
        <w:t> </w:t>
      </w:r>
      <w:r>
        <w:rPr>
          <w:sz w:val="18"/>
        </w:rPr>
        <w:t>se</w:t>
      </w:r>
      <w:r>
        <w:rPr>
          <w:spacing w:val="-11"/>
          <w:sz w:val="18"/>
        </w:rPr>
        <w:t> </w:t>
      </w:r>
      <w:r>
        <w:rPr>
          <w:sz w:val="18"/>
        </w:rPr>
        <w:t>supone</w:t>
      </w:r>
      <w:r>
        <w:rPr>
          <w:spacing w:val="-14"/>
          <w:sz w:val="18"/>
        </w:rPr>
        <w:t> </w:t>
      </w:r>
      <w:r>
        <w:rPr>
          <w:sz w:val="18"/>
        </w:rPr>
        <w:t>que</w:t>
      </w:r>
      <w:r>
        <w:rPr>
          <w:spacing w:val="-14"/>
          <w:sz w:val="18"/>
        </w:rPr>
        <w:t> </w:t>
      </w:r>
      <w:r>
        <w:rPr>
          <w:sz w:val="18"/>
        </w:rPr>
        <w:t>hay</w:t>
      </w:r>
      <w:r>
        <w:rPr>
          <w:spacing w:val="-13"/>
          <w:sz w:val="18"/>
        </w:rPr>
        <w:t> </w:t>
      </w:r>
      <w:r>
        <w:rPr>
          <w:sz w:val="18"/>
        </w:rPr>
        <w:t>información</w:t>
      </w:r>
      <w:r>
        <w:rPr>
          <w:spacing w:val="-14"/>
          <w:sz w:val="18"/>
        </w:rPr>
        <w:t> </w:t>
      </w:r>
      <w:r>
        <w:rPr>
          <w:sz w:val="18"/>
        </w:rPr>
        <w:t>que</w:t>
      </w:r>
      <w:r>
        <w:rPr>
          <w:spacing w:val="-11"/>
          <w:sz w:val="18"/>
        </w:rPr>
        <w:t> </w:t>
      </w:r>
      <w:r>
        <w:rPr>
          <w:sz w:val="18"/>
        </w:rPr>
        <w:t>debemos</w:t>
      </w:r>
      <w:r>
        <w:rPr>
          <w:spacing w:val="-13"/>
          <w:sz w:val="18"/>
        </w:rPr>
        <w:t> </w:t>
      </w:r>
      <w:r>
        <w:rPr>
          <w:sz w:val="18"/>
        </w:rPr>
        <w:t>de</w:t>
      </w:r>
      <w:r>
        <w:rPr>
          <w:spacing w:val="-11"/>
          <w:sz w:val="18"/>
        </w:rPr>
        <w:t> </w:t>
      </w:r>
      <w:r>
        <w:rPr>
          <w:sz w:val="18"/>
        </w:rPr>
        <w:t>proteger.</w:t>
      </w:r>
      <w:r>
        <w:rPr>
          <w:spacing w:val="-11"/>
          <w:sz w:val="18"/>
        </w:rPr>
        <w:t> </w:t>
      </w:r>
      <w:r>
        <w:rPr>
          <w:sz w:val="18"/>
        </w:rPr>
        <w:t>Si</w:t>
      </w:r>
      <w:r>
        <w:rPr>
          <w:spacing w:val="-11"/>
          <w:sz w:val="18"/>
        </w:rPr>
        <w:t> </w:t>
      </w:r>
      <w:r>
        <w:rPr>
          <w:sz w:val="18"/>
        </w:rPr>
        <w:t>guardamos</w:t>
      </w:r>
      <w:r>
        <w:rPr>
          <w:spacing w:val="-13"/>
          <w:sz w:val="18"/>
        </w:rPr>
        <w:t> </w:t>
      </w:r>
      <w:r>
        <w:rPr>
          <w:sz w:val="18"/>
        </w:rPr>
        <w:t>información en ocasiones que varios compañeros o servidores públicos nos comentan que información pueden reservar por su propia seguridad para no decir nada en cuestión de los sueldos, que es uno de los problemas que se dieron al principio publicar cuanto se gana o cuánto gana un servidor público por las cuestiones de la inseguridad que estamos viviendo actualmente. Ya en la cuestión de los datos personales pues finalmente digo si nos ayuda a proteger los datos personales, pero sí es un poco controversial.</w:t>
      </w:r>
    </w:p>
    <w:p>
      <w:pPr>
        <w:pStyle w:val="BodyText"/>
        <w:rPr>
          <w:sz w:val="18"/>
        </w:rPr>
      </w:pPr>
    </w:p>
    <w:p>
      <w:pPr>
        <w:pStyle w:val="BodyText"/>
        <w:rPr>
          <w:sz w:val="18"/>
        </w:rPr>
      </w:pPr>
    </w:p>
    <w:p>
      <w:pPr>
        <w:spacing w:before="111"/>
        <w:ind w:left="454" w:right="0" w:firstLine="0"/>
        <w:jc w:val="both"/>
        <w:rPr>
          <w:sz w:val="18"/>
        </w:rPr>
      </w:pPr>
      <w:r>
        <w:rPr>
          <w:b/>
          <w:sz w:val="18"/>
        </w:rPr>
        <w:t>Gabriel: </w:t>
      </w:r>
      <w:r>
        <w:rPr>
          <w:sz w:val="18"/>
        </w:rPr>
        <w:t>Correcto, ¿Qué hace aquí en San Mateo Atenco para ser un municipio transparente?</w:t>
      </w:r>
    </w:p>
    <w:p>
      <w:pPr>
        <w:spacing w:line="205" w:lineRule="exact" w:before="4"/>
        <w:ind w:left="454" w:right="0" w:firstLine="0"/>
        <w:jc w:val="both"/>
        <w:rPr>
          <w:sz w:val="18"/>
        </w:rPr>
      </w:pPr>
      <w:r>
        <w:rPr>
          <w:sz w:val="18"/>
        </w:rPr>
        <w:t>¿Cómo se practica la transparencia aquí? ¿Cómo le piden la información a los servidores públicos?</w:t>
      </w:r>
    </w:p>
    <w:p>
      <w:pPr>
        <w:spacing w:line="205" w:lineRule="exact" w:before="0"/>
        <w:ind w:left="454" w:right="0" w:firstLine="0"/>
        <w:jc w:val="both"/>
        <w:rPr>
          <w:sz w:val="18"/>
        </w:rPr>
      </w:pPr>
      <w:r>
        <w:rPr>
          <w:sz w:val="18"/>
        </w:rPr>
        <w:t>¿Cómo la publican?</w:t>
      </w:r>
    </w:p>
    <w:p>
      <w:pPr>
        <w:pStyle w:val="BodyText"/>
        <w:rPr>
          <w:sz w:val="18"/>
        </w:rPr>
      </w:pPr>
    </w:p>
    <w:p>
      <w:pPr>
        <w:pStyle w:val="BodyText"/>
        <w:rPr>
          <w:sz w:val="18"/>
        </w:rPr>
      </w:pPr>
    </w:p>
    <w:p>
      <w:pPr>
        <w:spacing w:line="240" w:lineRule="auto" w:before="111"/>
        <w:ind w:left="454" w:right="404" w:firstLine="0"/>
        <w:jc w:val="both"/>
        <w:rPr>
          <w:sz w:val="18"/>
        </w:rPr>
      </w:pPr>
      <w:r>
        <w:rPr>
          <w:b/>
          <w:sz w:val="18"/>
        </w:rPr>
        <w:t>Bertha Lilia: </w:t>
      </w:r>
      <w:r>
        <w:rPr>
          <w:sz w:val="18"/>
        </w:rPr>
        <w:t>Sí, cuando viene un ciudadano a la dependencia y solicita una información y tenemos la información a la mano en ese momento se la entregamos. De alguna manera, facilitamos la entrega de información cuando es pública. También contamos con el sistema INFOEM que maneja una página en la que se puede solicitar información. Lo que hacemos nosotros de alguna manera entregar</w:t>
      </w:r>
      <w:r>
        <w:rPr>
          <w:spacing w:val="-5"/>
          <w:sz w:val="18"/>
        </w:rPr>
        <w:t> </w:t>
      </w:r>
      <w:r>
        <w:rPr>
          <w:sz w:val="18"/>
        </w:rPr>
        <w:t>la</w:t>
      </w:r>
      <w:r>
        <w:rPr>
          <w:spacing w:val="-5"/>
          <w:sz w:val="18"/>
        </w:rPr>
        <w:t> </w:t>
      </w:r>
      <w:r>
        <w:rPr>
          <w:sz w:val="18"/>
        </w:rPr>
        <w:t>información,</w:t>
      </w:r>
      <w:r>
        <w:rPr>
          <w:spacing w:val="-5"/>
          <w:sz w:val="18"/>
        </w:rPr>
        <w:t> </w:t>
      </w:r>
      <w:r>
        <w:rPr>
          <w:sz w:val="18"/>
        </w:rPr>
        <w:t>no</w:t>
      </w:r>
      <w:r>
        <w:rPr>
          <w:spacing w:val="-5"/>
          <w:sz w:val="18"/>
        </w:rPr>
        <w:t> </w:t>
      </w:r>
      <w:r>
        <w:rPr>
          <w:sz w:val="18"/>
        </w:rPr>
        <w:t>utilizando</w:t>
      </w:r>
      <w:r>
        <w:rPr>
          <w:spacing w:val="-5"/>
          <w:sz w:val="18"/>
        </w:rPr>
        <w:t> </w:t>
      </w:r>
      <w:r>
        <w:rPr>
          <w:sz w:val="18"/>
        </w:rPr>
        <w:t>el</w:t>
      </w:r>
      <w:r>
        <w:rPr>
          <w:spacing w:val="-5"/>
          <w:sz w:val="18"/>
        </w:rPr>
        <w:t> </w:t>
      </w:r>
      <w:r>
        <w:rPr>
          <w:sz w:val="18"/>
        </w:rPr>
        <w:t>plano</w:t>
      </w:r>
      <w:r>
        <w:rPr>
          <w:spacing w:val="-5"/>
          <w:sz w:val="18"/>
        </w:rPr>
        <w:t> </w:t>
      </w:r>
      <w:r>
        <w:rPr>
          <w:sz w:val="18"/>
        </w:rPr>
        <w:t>que</w:t>
      </w:r>
      <w:r>
        <w:rPr>
          <w:spacing w:val="-7"/>
          <w:sz w:val="18"/>
        </w:rPr>
        <w:t> </w:t>
      </w:r>
      <w:r>
        <w:rPr>
          <w:sz w:val="18"/>
        </w:rPr>
        <w:t>solicita</w:t>
      </w:r>
      <w:r>
        <w:rPr>
          <w:spacing w:val="-7"/>
          <w:sz w:val="18"/>
        </w:rPr>
        <w:t> </w:t>
      </w:r>
      <w:r>
        <w:rPr>
          <w:sz w:val="18"/>
        </w:rPr>
        <w:t>sino</w:t>
      </w:r>
      <w:r>
        <w:rPr>
          <w:spacing w:val="-5"/>
          <w:sz w:val="18"/>
        </w:rPr>
        <w:t> </w:t>
      </w:r>
      <w:r>
        <w:rPr>
          <w:sz w:val="18"/>
        </w:rPr>
        <w:t>recortamos</w:t>
      </w:r>
      <w:r>
        <w:rPr>
          <w:spacing w:val="-4"/>
          <w:sz w:val="18"/>
        </w:rPr>
        <w:t> </w:t>
      </w:r>
      <w:r>
        <w:rPr>
          <w:sz w:val="18"/>
        </w:rPr>
        <w:t>los</w:t>
      </w:r>
      <w:r>
        <w:rPr>
          <w:spacing w:val="-2"/>
          <w:sz w:val="18"/>
        </w:rPr>
        <w:t> </w:t>
      </w:r>
      <w:r>
        <w:rPr>
          <w:sz w:val="18"/>
        </w:rPr>
        <w:t>tiempos</w:t>
      </w:r>
      <w:r>
        <w:rPr>
          <w:spacing w:val="-4"/>
          <w:sz w:val="18"/>
        </w:rPr>
        <w:t> </w:t>
      </w:r>
      <w:r>
        <w:rPr>
          <w:sz w:val="18"/>
        </w:rPr>
        <w:t>y</w:t>
      </w:r>
      <w:r>
        <w:rPr>
          <w:spacing w:val="-9"/>
          <w:sz w:val="18"/>
        </w:rPr>
        <w:t> </w:t>
      </w:r>
      <w:r>
        <w:rPr>
          <w:sz w:val="18"/>
        </w:rPr>
        <w:t>hacemos</w:t>
      </w:r>
      <w:r>
        <w:rPr>
          <w:spacing w:val="-7"/>
          <w:sz w:val="18"/>
        </w:rPr>
        <w:t> </w:t>
      </w:r>
      <w:r>
        <w:rPr>
          <w:sz w:val="18"/>
        </w:rPr>
        <w:t>la entrega de información de manera inmediata. Por otro lado, comúnmente tratamos de subir a la página de INFOEM la información que tiene que ver con el artículo 2 y el artículo 15 cuando se solicita la información que es pública para la ciudadanía. Pero, desafortunadamente no toda la información está en las páginas, pero bueno de alguna manera subimos información a nuestra página de transparencia del</w:t>
      </w:r>
      <w:r>
        <w:rPr>
          <w:spacing w:val="-21"/>
          <w:sz w:val="18"/>
        </w:rPr>
        <w:t> </w:t>
      </w:r>
      <w:r>
        <w:rPr>
          <w:sz w:val="18"/>
        </w:rPr>
        <w:t>ayuntamiento.</w:t>
      </w:r>
    </w:p>
    <w:p>
      <w:pPr>
        <w:pStyle w:val="BodyText"/>
        <w:rPr>
          <w:sz w:val="18"/>
        </w:rPr>
      </w:pPr>
    </w:p>
    <w:p>
      <w:pPr>
        <w:pStyle w:val="BodyText"/>
        <w:rPr>
          <w:sz w:val="18"/>
        </w:rPr>
      </w:pPr>
    </w:p>
    <w:p>
      <w:pPr>
        <w:spacing w:before="111"/>
        <w:ind w:left="454" w:right="406" w:firstLine="0"/>
        <w:jc w:val="both"/>
        <w:rPr>
          <w:sz w:val="18"/>
        </w:rPr>
      </w:pPr>
      <w:r>
        <w:rPr>
          <w:b/>
          <w:sz w:val="18"/>
        </w:rPr>
        <w:t>Gabriel: </w:t>
      </w:r>
      <w:r>
        <w:rPr>
          <w:sz w:val="18"/>
        </w:rPr>
        <w:t>Correcto, ¿Al interior como se solicita información a los compañeros cuando se pide algo para poder publicar?</w:t>
      </w:r>
    </w:p>
    <w:p>
      <w:pPr>
        <w:pStyle w:val="BodyText"/>
        <w:rPr>
          <w:sz w:val="18"/>
        </w:rPr>
      </w:pPr>
    </w:p>
    <w:p>
      <w:pPr>
        <w:pStyle w:val="BodyText"/>
        <w:rPr>
          <w:sz w:val="18"/>
        </w:rPr>
      </w:pPr>
    </w:p>
    <w:p>
      <w:pPr>
        <w:spacing w:line="240" w:lineRule="auto" w:before="111"/>
        <w:ind w:left="454" w:right="408" w:firstLine="0"/>
        <w:jc w:val="both"/>
        <w:rPr>
          <w:sz w:val="18"/>
        </w:rPr>
      </w:pPr>
      <w:r>
        <w:rPr>
          <w:b/>
          <w:sz w:val="18"/>
        </w:rPr>
        <w:t>Bertha Lilia: </w:t>
      </w:r>
      <w:r>
        <w:rPr>
          <w:sz w:val="18"/>
        </w:rPr>
        <w:t>OK, nosotros la solicitamos de manera de oficio cuando necesitamos alguna información para hacerla pública, este, en el caso del informe de la Presidenta municipal, que es lo que vamos a informar y también, lo hacemos de manera oficial. Redactamos el oficio de que información requerimos, este, manejamos la información y ya sea que la revisamos y que la trabajemos y todo lo subimos a la página. Ni siquiera manejamos un periódico ni siquiera lo publicamos físicamente o tenemos otro medio.</w:t>
      </w:r>
    </w:p>
    <w:p>
      <w:pPr>
        <w:pStyle w:val="BodyText"/>
        <w:rPr>
          <w:sz w:val="18"/>
        </w:rPr>
      </w:pPr>
    </w:p>
    <w:p>
      <w:pPr>
        <w:pStyle w:val="BodyText"/>
        <w:rPr>
          <w:sz w:val="18"/>
        </w:rPr>
      </w:pPr>
    </w:p>
    <w:p>
      <w:pPr>
        <w:spacing w:line="240" w:lineRule="auto" w:before="111"/>
        <w:ind w:left="454" w:right="410" w:firstLine="0"/>
        <w:jc w:val="both"/>
        <w:rPr>
          <w:sz w:val="18"/>
        </w:rPr>
      </w:pPr>
      <w:r>
        <w:rPr>
          <w:b/>
          <w:sz w:val="18"/>
        </w:rPr>
        <w:t>Gabriel: </w:t>
      </w:r>
      <w:r>
        <w:rPr>
          <w:sz w:val="18"/>
        </w:rPr>
        <w:t>Correcto, ¿Cuál es la actitud del personal ante la solicitud de esta información, el constantemente</w:t>
      </w:r>
      <w:r>
        <w:rPr>
          <w:spacing w:val="-5"/>
          <w:sz w:val="18"/>
        </w:rPr>
        <w:t> </w:t>
      </w:r>
      <w:r>
        <w:rPr>
          <w:sz w:val="18"/>
        </w:rPr>
        <w:t>estar</w:t>
      </w:r>
      <w:r>
        <w:rPr>
          <w:spacing w:val="-5"/>
          <w:sz w:val="18"/>
        </w:rPr>
        <w:t> </w:t>
      </w:r>
      <w:r>
        <w:rPr>
          <w:sz w:val="18"/>
        </w:rPr>
        <w:t>diciendo</w:t>
      </w:r>
      <w:r>
        <w:rPr>
          <w:spacing w:val="-5"/>
          <w:sz w:val="18"/>
        </w:rPr>
        <w:t> </w:t>
      </w:r>
      <w:r>
        <w:rPr>
          <w:sz w:val="18"/>
        </w:rPr>
        <w:t>mándenme</w:t>
      </w:r>
      <w:r>
        <w:rPr>
          <w:spacing w:val="-5"/>
          <w:sz w:val="18"/>
        </w:rPr>
        <w:t> </w:t>
      </w:r>
      <w:r>
        <w:rPr>
          <w:sz w:val="18"/>
        </w:rPr>
        <w:t>la</w:t>
      </w:r>
      <w:r>
        <w:rPr>
          <w:spacing w:val="-5"/>
          <w:sz w:val="18"/>
        </w:rPr>
        <w:t> </w:t>
      </w:r>
      <w:r>
        <w:rPr>
          <w:sz w:val="18"/>
        </w:rPr>
        <w:t>información</w:t>
      </w:r>
      <w:r>
        <w:rPr>
          <w:spacing w:val="-3"/>
          <w:sz w:val="18"/>
        </w:rPr>
        <w:t> </w:t>
      </w:r>
      <w:r>
        <w:rPr>
          <w:sz w:val="18"/>
        </w:rPr>
        <w:t>para</w:t>
      </w:r>
      <w:r>
        <w:rPr>
          <w:spacing w:val="-3"/>
          <w:sz w:val="18"/>
        </w:rPr>
        <w:t> </w:t>
      </w:r>
      <w:r>
        <w:rPr>
          <w:sz w:val="18"/>
        </w:rPr>
        <w:t>que</w:t>
      </w:r>
      <w:r>
        <w:rPr>
          <w:spacing w:val="-3"/>
          <w:sz w:val="18"/>
        </w:rPr>
        <w:t> </w:t>
      </w:r>
      <w:r>
        <w:rPr>
          <w:sz w:val="18"/>
        </w:rPr>
        <w:t>sea</w:t>
      </w:r>
      <w:r>
        <w:rPr>
          <w:spacing w:val="-5"/>
          <w:sz w:val="18"/>
        </w:rPr>
        <w:t> </w:t>
      </w:r>
      <w:r>
        <w:rPr>
          <w:sz w:val="18"/>
        </w:rPr>
        <w:t>publicada</w:t>
      </w:r>
      <w:r>
        <w:rPr>
          <w:spacing w:val="-5"/>
          <w:sz w:val="18"/>
        </w:rPr>
        <w:t> </w:t>
      </w:r>
      <w:r>
        <w:rPr>
          <w:sz w:val="18"/>
        </w:rPr>
        <w:t>o</w:t>
      </w:r>
      <w:r>
        <w:rPr>
          <w:spacing w:val="-5"/>
          <w:sz w:val="18"/>
        </w:rPr>
        <w:t> </w:t>
      </w:r>
      <w:r>
        <w:rPr>
          <w:sz w:val="18"/>
        </w:rPr>
        <w:t>la</w:t>
      </w:r>
      <w:r>
        <w:rPr>
          <w:spacing w:val="-3"/>
          <w:sz w:val="18"/>
        </w:rPr>
        <w:t> </w:t>
      </w:r>
      <w:r>
        <w:rPr>
          <w:sz w:val="18"/>
        </w:rPr>
        <w:t>necesito</w:t>
      </w:r>
      <w:r>
        <w:rPr>
          <w:spacing w:val="-5"/>
          <w:sz w:val="18"/>
        </w:rPr>
        <w:t> </w:t>
      </w:r>
      <w:r>
        <w:rPr>
          <w:sz w:val="18"/>
        </w:rPr>
        <w:t>en</w:t>
      </w:r>
      <w:r>
        <w:rPr>
          <w:spacing w:val="-3"/>
          <w:sz w:val="18"/>
        </w:rPr>
        <w:t> </w:t>
      </w:r>
      <w:r>
        <w:rPr>
          <w:sz w:val="18"/>
        </w:rPr>
        <w:t>x o y formato? ¿Qué actitud toma la gente? Y ¿cómo hubiera o no coopera? ¿Es</w:t>
      </w:r>
      <w:r>
        <w:rPr>
          <w:spacing w:val="-31"/>
          <w:sz w:val="18"/>
        </w:rPr>
        <w:t> </w:t>
      </w:r>
      <w:r>
        <w:rPr>
          <w:sz w:val="18"/>
        </w:rPr>
        <w:t>difícil?</w:t>
      </w:r>
    </w:p>
    <w:p>
      <w:pPr>
        <w:pStyle w:val="BodyText"/>
        <w:rPr>
          <w:sz w:val="18"/>
        </w:rPr>
      </w:pPr>
    </w:p>
    <w:p>
      <w:pPr>
        <w:pStyle w:val="BodyText"/>
        <w:rPr>
          <w:sz w:val="18"/>
        </w:rPr>
      </w:pPr>
    </w:p>
    <w:p>
      <w:pPr>
        <w:spacing w:line="242" w:lineRule="auto" w:before="111"/>
        <w:ind w:left="454" w:right="403" w:firstLine="0"/>
        <w:jc w:val="both"/>
        <w:rPr>
          <w:sz w:val="18"/>
        </w:rPr>
      </w:pPr>
      <w:r>
        <w:rPr>
          <w:b/>
          <w:sz w:val="18"/>
        </w:rPr>
        <w:t>Bertha Lilia: </w:t>
      </w:r>
      <w:r>
        <w:rPr>
          <w:sz w:val="18"/>
        </w:rPr>
        <w:t>Si coopera pero hay que está detrás de ellos. Desafortunadamente, la cuestión de transparencia o de entregar información es para ellos no es tan importante. Es como en segundo plano, pero que si lo entregan porque finalmente se solicita, es una actividad que tiene de alguna manera ellos que responder, pero si cuesta un poquito de trabajo que lo hagan en tiempo y que</w:t>
      </w:r>
    </w:p>
    <w:p>
      <w:pPr>
        <w:spacing w:after="0" w:line="242" w:lineRule="auto"/>
        <w:jc w:val="both"/>
        <w:rPr>
          <w:sz w:val="18"/>
        </w:rPr>
        <w:sectPr>
          <w:pgSz w:w="12240" w:h="15840"/>
          <w:pgMar w:header="0" w:footer="975" w:top="1360" w:bottom="1220" w:left="1720" w:right="1720"/>
        </w:sectPr>
      </w:pPr>
    </w:p>
    <w:p>
      <w:pPr>
        <w:spacing w:line="240" w:lineRule="auto" w:before="55"/>
        <w:ind w:left="454" w:right="404" w:firstLine="0"/>
        <w:jc w:val="both"/>
        <w:rPr>
          <w:sz w:val="18"/>
        </w:rPr>
      </w:pPr>
      <w:r>
        <w:rPr>
          <w:sz w:val="18"/>
        </w:rPr>
        <w:t>nosotros les podemos solicitar. No obstante, hay directores que de alguna manera independientemente de que les comentamos en donde se dice que tienen que entregar esa información.</w:t>
      </w:r>
      <w:r>
        <w:rPr>
          <w:spacing w:val="-4"/>
          <w:sz w:val="18"/>
        </w:rPr>
        <w:t> </w:t>
      </w:r>
      <w:r>
        <w:rPr>
          <w:sz w:val="18"/>
        </w:rPr>
        <w:t>Si</w:t>
      </w:r>
      <w:r>
        <w:rPr>
          <w:spacing w:val="-4"/>
          <w:sz w:val="18"/>
        </w:rPr>
        <w:t> </w:t>
      </w:r>
      <w:r>
        <w:rPr>
          <w:sz w:val="18"/>
        </w:rPr>
        <w:t>le</w:t>
      </w:r>
      <w:r>
        <w:rPr>
          <w:spacing w:val="-4"/>
          <w:sz w:val="18"/>
        </w:rPr>
        <w:t> </w:t>
      </w:r>
      <w:r>
        <w:rPr>
          <w:sz w:val="18"/>
        </w:rPr>
        <w:t>preguntan</w:t>
      </w:r>
      <w:r>
        <w:rPr>
          <w:spacing w:val="-4"/>
          <w:sz w:val="18"/>
        </w:rPr>
        <w:t> </w:t>
      </w:r>
      <w:r>
        <w:rPr>
          <w:sz w:val="18"/>
        </w:rPr>
        <w:t>a</w:t>
      </w:r>
      <w:r>
        <w:rPr>
          <w:spacing w:val="-6"/>
          <w:sz w:val="18"/>
        </w:rPr>
        <w:t> </w:t>
      </w:r>
      <w:r>
        <w:rPr>
          <w:sz w:val="18"/>
        </w:rPr>
        <w:t>la</w:t>
      </w:r>
      <w:r>
        <w:rPr>
          <w:spacing w:val="-4"/>
          <w:sz w:val="18"/>
        </w:rPr>
        <w:t> </w:t>
      </w:r>
      <w:r>
        <w:rPr>
          <w:sz w:val="18"/>
        </w:rPr>
        <w:t>presidenta,</w:t>
      </w:r>
      <w:r>
        <w:rPr>
          <w:spacing w:val="-7"/>
          <w:sz w:val="18"/>
        </w:rPr>
        <w:t> </w:t>
      </w:r>
      <w:r>
        <w:rPr>
          <w:sz w:val="18"/>
        </w:rPr>
        <w:t>oye</w:t>
      </w:r>
      <w:r>
        <w:rPr>
          <w:spacing w:val="-4"/>
          <w:sz w:val="18"/>
        </w:rPr>
        <w:t> </w:t>
      </w:r>
      <w:r>
        <w:rPr>
          <w:sz w:val="18"/>
        </w:rPr>
        <w:t>está</w:t>
      </w:r>
      <w:r>
        <w:rPr>
          <w:spacing w:val="-6"/>
          <w:sz w:val="18"/>
        </w:rPr>
        <w:t> </w:t>
      </w:r>
      <w:r>
        <w:rPr>
          <w:sz w:val="18"/>
        </w:rPr>
        <w:t>buscando</w:t>
      </w:r>
      <w:r>
        <w:rPr>
          <w:spacing w:val="-4"/>
          <w:sz w:val="18"/>
        </w:rPr>
        <w:t> </w:t>
      </w:r>
      <w:r>
        <w:rPr>
          <w:sz w:val="18"/>
        </w:rPr>
        <w:t>esto,</w:t>
      </w:r>
      <w:r>
        <w:rPr>
          <w:spacing w:val="-4"/>
          <w:sz w:val="18"/>
        </w:rPr>
        <w:t> </w:t>
      </w:r>
      <w:r>
        <w:rPr>
          <w:sz w:val="18"/>
        </w:rPr>
        <w:t>¿cómo</w:t>
      </w:r>
      <w:r>
        <w:rPr>
          <w:spacing w:val="-6"/>
          <w:sz w:val="18"/>
        </w:rPr>
        <w:t> </w:t>
      </w:r>
      <w:r>
        <w:rPr>
          <w:sz w:val="18"/>
        </w:rPr>
        <w:t>es?</w:t>
      </w:r>
      <w:r>
        <w:rPr>
          <w:spacing w:val="-4"/>
          <w:sz w:val="18"/>
        </w:rPr>
        <w:t> </w:t>
      </w:r>
      <w:r>
        <w:rPr>
          <w:sz w:val="18"/>
        </w:rPr>
        <w:t>Y</w:t>
      </w:r>
      <w:r>
        <w:rPr>
          <w:spacing w:val="-7"/>
          <w:sz w:val="18"/>
        </w:rPr>
        <w:t> </w:t>
      </w:r>
      <w:r>
        <w:rPr>
          <w:sz w:val="18"/>
        </w:rPr>
        <w:t>la</w:t>
      </w:r>
      <w:r>
        <w:rPr>
          <w:spacing w:val="-4"/>
          <w:sz w:val="18"/>
        </w:rPr>
        <w:t> </w:t>
      </w:r>
      <w:r>
        <w:rPr>
          <w:sz w:val="18"/>
        </w:rPr>
        <w:t>presidenta</w:t>
      </w:r>
      <w:r>
        <w:rPr>
          <w:spacing w:val="-4"/>
          <w:sz w:val="18"/>
        </w:rPr>
        <w:t> </w:t>
      </w:r>
      <w:r>
        <w:rPr>
          <w:sz w:val="18"/>
        </w:rPr>
        <w:t>de alguna manera se le instruye que se entregue o que se tome por medida. En el caso que de que pudiera afectar a los líderes del</w:t>
      </w:r>
      <w:r>
        <w:rPr>
          <w:spacing w:val="-23"/>
          <w:sz w:val="18"/>
        </w:rPr>
        <w:t> </w:t>
      </w:r>
      <w:r>
        <w:rPr>
          <w:sz w:val="18"/>
        </w:rPr>
        <w:t>ayuntamiento.</w:t>
      </w:r>
    </w:p>
    <w:p>
      <w:pPr>
        <w:pStyle w:val="BodyText"/>
        <w:rPr>
          <w:sz w:val="18"/>
        </w:rPr>
      </w:pPr>
    </w:p>
    <w:p>
      <w:pPr>
        <w:pStyle w:val="BodyText"/>
        <w:rPr>
          <w:sz w:val="18"/>
        </w:rPr>
      </w:pPr>
    </w:p>
    <w:p>
      <w:pPr>
        <w:spacing w:line="240" w:lineRule="auto" w:before="111"/>
        <w:ind w:left="454" w:right="402" w:firstLine="0"/>
        <w:jc w:val="both"/>
        <w:rPr>
          <w:sz w:val="18"/>
        </w:rPr>
      </w:pPr>
      <w:r>
        <w:rPr>
          <w:b/>
          <w:sz w:val="18"/>
        </w:rPr>
        <w:t>Gabriel: </w:t>
      </w:r>
      <w:r>
        <w:rPr>
          <w:sz w:val="18"/>
        </w:rPr>
        <w:t>Correcto, ¿Cuál es el personal con el que usted cuenta aquí que la apoyan en la transparencia y sus funciones? ¿Además de transparencia realizan otra actividad? Y si considera que cuenta con condiciones de infraestructura, oficinas, equipo y presupuesto que se reparte? ¿Es suficiente para elaborar las actas de transparencia? O ¿Qué haría falta? ¿La normatividad es suficiente o qué haría para cambiarla?</w:t>
      </w:r>
    </w:p>
    <w:p>
      <w:pPr>
        <w:pStyle w:val="BodyText"/>
        <w:rPr>
          <w:sz w:val="18"/>
        </w:rPr>
      </w:pPr>
    </w:p>
    <w:p>
      <w:pPr>
        <w:pStyle w:val="BodyText"/>
        <w:rPr>
          <w:sz w:val="18"/>
        </w:rPr>
      </w:pPr>
    </w:p>
    <w:p>
      <w:pPr>
        <w:spacing w:line="240" w:lineRule="auto" w:before="111"/>
        <w:ind w:left="454" w:right="404" w:firstLine="0"/>
        <w:jc w:val="both"/>
        <w:rPr>
          <w:sz w:val="18"/>
        </w:rPr>
      </w:pPr>
      <w:r>
        <w:rPr>
          <w:b/>
          <w:sz w:val="18"/>
        </w:rPr>
        <w:t>Bertha Lilia: </w:t>
      </w:r>
      <w:r>
        <w:rPr>
          <w:sz w:val="18"/>
        </w:rPr>
        <w:t>Yo creo que en la propia normatividad no hay ningún problema, a mí me parece que está de alguna manera completa en lo que debemos de hacer. Pero si, desafortunadamente no tenemos la misma infraestructura que en otros municipios. Que si hace falta personal y que si contamos con el equipo adecuado. Desafortunadamente aquí en el municipio solamente hay una persona</w:t>
      </w:r>
      <w:r>
        <w:rPr>
          <w:spacing w:val="-7"/>
          <w:sz w:val="18"/>
        </w:rPr>
        <w:t> </w:t>
      </w:r>
      <w:r>
        <w:rPr>
          <w:sz w:val="18"/>
        </w:rPr>
        <w:t>responsable</w:t>
      </w:r>
      <w:r>
        <w:rPr>
          <w:spacing w:val="-7"/>
          <w:sz w:val="18"/>
        </w:rPr>
        <w:t> </w:t>
      </w:r>
      <w:r>
        <w:rPr>
          <w:sz w:val="18"/>
        </w:rPr>
        <w:t>de</w:t>
      </w:r>
      <w:r>
        <w:rPr>
          <w:spacing w:val="-9"/>
          <w:sz w:val="18"/>
        </w:rPr>
        <w:t> </w:t>
      </w:r>
      <w:r>
        <w:rPr>
          <w:sz w:val="18"/>
        </w:rPr>
        <w:t>la</w:t>
      </w:r>
      <w:r>
        <w:rPr>
          <w:spacing w:val="-9"/>
          <w:sz w:val="18"/>
        </w:rPr>
        <w:t> </w:t>
      </w:r>
      <w:r>
        <w:rPr>
          <w:sz w:val="18"/>
        </w:rPr>
        <w:t>transparencia,</w:t>
      </w:r>
      <w:r>
        <w:rPr>
          <w:spacing w:val="-9"/>
          <w:sz w:val="18"/>
        </w:rPr>
        <w:t> </w:t>
      </w:r>
      <w:r>
        <w:rPr>
          <w:sz w:val="18"/>
        </w:rPr>
        <w:t>en</w:t>
      </w:r>
      <w:r>
        <w:rPr>
          <w:spacing w:val="-9"/>
          <w:sz w:val="18"/>
        </w:rPr>
        <w:t> </w:t>
      </w:r>
      <w:r>
        <w:rPr>
          <w:sz w:val="18"/>
        </w:rPr>
        <w:t>si</w:t>
      </w:r>
      <w:r>
        <w:rPr>
          <w:spacing w:val="-9"/>
          <w:sz w:val="18"/>
        </w:rPr>
        <w:t> </w:t>
      </w:r>
      <w:r>
        <w:rPr>
          <w:sz w:val="18"/>
        </w:rPr>
        <w:t>somos</w:t>
      </w:r>
      <w:r>
        <w:rPr>
          <w:spacing w:val="-7"/>
          <w:sz w:val="18"/>
        </w:rPr>
        <w:t> </w:t>
      </w:r>
      <w:r>
        <w:rPr>
          <w:sz w:val="18"/>
        </w:rPr>
        <w:t>dos</w:t>
      </w:r>
      <w:r>
        <w:rPr>
          <w:spacing w:val="-8"/>
          <w:sz w:val="18"/>
        </w:rPr>
        <w:t> </w:t>
      </w:r>
      <w:r>
        <w:rPr>
          <w:sz w:val="18"/>
        </w:rPr>
        <w:t>en</w:t>
      </w:r>
      <w:r>
        <w:rPr>
          <w:spacing w:val="-7"/>
          <w:sz w:val="18"/>
        </w:rPr>
        <w:t> </w:t>
      </w:r>
      <w:r>
        <w:rPr>
          <w:sz w:val="18"/>
        </w:rPr>
        <w:t>la</w:t>
      </w:r>
      <w:r>
        <w:rPr>
          <w:spacing w:val="-9"/>
          <w:sz w:val="18"/>
        </w:rPr>
        <w:t> </w:t>
      </w:r>
      <w:r>
        <w:rPr>
          <w:sz w:val="18"/>
        </w:rPr>
        <w:t>área</w:t>
      </w:r>
      <w:r>
        <w:rPr>
          <w:spacing w:val="-9"/>
          <w:sz w:val="18"/>
        </w:rPr>
        <w:t> </w:t>
      </w:r>
      <w:r>
        <w:rPr>
          <w:sz w:val="18"/>
        </w:rPr>
        <w:t>de</w:t>
      </w:r>
      <w:r>
        <w:rPr>
          <w:spacing w:val="-9"/>
          <w:sz w:val="18"/>
        </w:rPr>
        <w:t> </w:t>
      </w:r>
      <w:r>
        <w:rPr>
          <w:sz w:val="18"/>
        </w:rPr>
        <w:t>planeación</w:t>
      </w:r>
      <w:r>
        <w:rPr>
          <w:spacing w:val="-7"/>
          <w:sz w:val="18"/>
        </w:rPr>
        <w:t> </w:t>
      </w:r>
      <w:r>
        <w:rPr>
          <w:sz w:val="18"/>
        </w:rPr>
        <w:t>y</w:t>
      </w:r>
      <w:r>
        <w:rPr>
          <w:spacing w:val="-8"/>
          <w:sz w:val="18"/>
        </w:rPr>
        <w:t> </w:t>
      </w:r>
      <w:r>
        <w:rPr>
          <w:sz w:val="18"/>
        </w:rPr>
        <w:t>transparencia. En cuanto a la transparencia yo soy la responsable directa, entonces necesito alguien que este revisando la página o le dé seguimiento ¿no? porque en ocasiones no me da tiempo para hacer todo.</w:t>
      </w:r>
    </w:p>
    <w:p>
      <w:pPr>
        <w:pStyle w:val="BodyText"/>
        <w:rPr>
          <w:sz w:val="18"/>
        </w:rPr>
      </w:pPr>
    </w:p>
    <w:p>
      <w:pPr>
        <w:pStyle w:val="BodyText"/>
        <w:rPr>
          <w:sz w:val="18"/>
        </w:rPr>
      </w:pPr>
    </w:p>
    <w:p>
      <w:pPr>
        <w:spacing w:before="108"/>
        <w:ind w:left="454" w:right="0" w:firstLine="0"/>
        <w:jc w:val="both"/>
        <w:rPr>
          <w:sz w:val="18"/>
        </w:rPr>
      </w:pPr>
      <w:r>
        <w:rPr>
          <w:b/>
          <w:sz w:val="18"/>
        </w:rPr>
        <w:t>Gabriel: </w:t>
      </w:r>
      <w:r>
        <w:rPr>
          <w:sz w:val="18"/>
        </w:rPr>
        <w:t>¿Y en cuestiones de infraestructura?</w:t>
      </w:r>
    </w:p>
    <w:p>
      <w:pPr>
        <w:pStyle w:val="BodyText"/>
        <w:rPr>
          <w:sz w:val="18"/>
        </w:rPr>
      </w:pPr>
    </w:p>
    <w:p>
      <w:pPr>
        <w:pStyle w:val="BodyText"/>
        <w:rPr>
          <w:sz w:val="18"/>
        </w:rPr>
      </w:pPr>
    </w:p>
    <w:p>
      <w:pPr>
        <w:spacing w:line="240" w:lineRule="auto" w:before="113"/>
        <w:ind w:left="454" w:right="406" w:firstLine="0"/>
        <w:jc w:val="both"/>
        <w:rPr>
          <w:sz w:val="18"/>
        </w:rPr>
      </w:pPr>
      <w:r>
        <w:rPr>
          <w:b/>
          <w:sz w:val="18"/>
        </w:rPr>
        <w:t>Bertha Lilia: </w:t>
      </w:r>
      <w:r>
        <w:rPr>
          <w:sz w:val="18"/>
        </w:rPr>
        <w:t>Digo, tenemos un solo cubículo pero si la verdad es que yo creo que los municipios para que mejoren sus actividades de transparencia deben tener un titular y su propio equipo de trabajo,</w:t>
      </w:r>
      <w:r>
        <w:rPr>
          <w:spacing w:val="-9"/>
          <w:sz w:val="18"/>
        </w:rPr>
        <w:t> </w:t>
      </w:r>
      <w:r>
        <w:rPr>
          <w:sz w:val="18"/>
        </w:rPr>
        <w:t>o</w:t>
      </w:r>
      <w:r>
        <w:rPr>
          <w:spacing w:val="-9"/>
          <w:sz w:val="18"/>
        </w:rPr>
        <w:t> </w:t>
      </w:r>
      <w:r>
        <w:rPr>
          <w:sz w:val="18"/>
        </w:rPr>
        <w:t>sea,</w:t>
      </w:r>
      <w:r>
        <w:rPr>
          <w:spacing w:val="-9"/>
          <w:sz w:val="18"/>
        </w:rPr>
        <w:t> </w:t>
      </w:r>
      <w:r>
        <w:rPr>
          <w:sz w:val="18"/>
        </w:rPr>
        <w:t>no</w:t>
      </w:r>
      <w:r>
        <w:rPr>
          <w:spacing w:val="-9"/>
          <w:sz w:val="18"/>
        </w:rPr>
        <w:t> </w:t>
      </w:r>
      <w:r>
        <w:rPr>
          <w:sz w:val="18"/>
        </w:rPr>
        <w:t>compartir</w:t>
      </w:r>
      <w:r>
        <w:rPr>
          <w:spacing w:val="-9"/>
          <w:sz w:val="18"/>
        </w:rPr>
        <w:t> </w:t>
      </w:r>
      <w:r>
        <w:rPr>
          <w:sz w:val="18"/>
        </w:rPr>
        <w:t>el</w:t>
      </w:r>
      <w:r>
        <w:rPr>
          <w:spacing w:val="-11"/>
          <w:sz w:val="18"/>
        </w:rPr>
        <w:t> </w:t>
      </w:r>
      <w:r>
        <w:rPr>
          <w:sz w:val="18"/>
        </w:rPr>
        <w:t>área</w:t>
      </w:r>
      <w:r>
        <w:rPr>
          <w:spacing w:val="-9"/>
          <w:sz w:val="18"/>
        </w:rPr>
        <w:t> </w:t>
      </w:r>
      <w:r>
        <w:rPr>
          <w:sz w:val="18"/>
        </w:rPr>
        <w:t>de</w:t>
      </w:r>
      <w:r>
        <w:rPr>
          <w:spacing w:val="-9"/>
          <w:sz w:val="18"/>
        </w:rPr>
        <w:t> </w:t>
      </w:r>
      <w:r>
        <w:rPr>
          <w:sz w:val="18"/>
        </w:rPr>
        <w:t>transparencia</w:t>
      </w:r>
      <w:r>
        <w:rPr>
          <w:spacing w:val="-9"/>
          <w:sz w:val="18"/>
        </w:rPr>
        <w:t> </w:t>
      </w:r>
      <w:r>
        <w:rPr>
          <w:sz w:val="18"/>
        </w:rPr>
        <w:t>con</w:t>
      </w:r>
      <w:r>
        <w:rPr>
          <w:spacing w:val="-9"/>
          <w:sz w:val="18"/>
        </w:rPr>
        <w:t> </w:t>
      </w:r>
      <w:r>
        <w:rPr>
          <w:sz w:val="18"/>
        </w:rPr>
        <w:t>la</w:t>
      </w:r>
      <w:r>
        <w:rPr>
          <w:spacing w:val="-9"/>
          <w:sz w:val="18"/>
        </w:rPr>
        <w:t> </w:t>
      </w:r>
      <w:r>
        <w:rPr>
          <w:sz w:val="18"/>
        </w:rPr>
        <w:t>área</w:t>
      </w:r>
      <w:r>
        <w:rPr>
          <w:spacing w:val="-9"/>
          <w:sz w:val="18"/>
        </w:rPr>
        <w:t> </w:t>
      </w:r>
      <w:r>
        <w:rPr>
          <w:sz w:val="18"/>
        </w:rPr>
        <w:t>de</w:t>
      </w:r>
      <w:r>
        <w:rPr>
          <w:spacing w:val="-9"/>
          <w:sz w:val="18"/>
        </w:rPr>
        <w:t> </w:t>
      </w:r>
      <w:r>
        <w:rPr>
          <w:sz w:val="18"/>
        </w:rPr>
        <w:t>planeación,</w:t>
      </w:r>
      <w:r>
        <w:rPr>
          <w:spacing w:val="-9"/>
          <w:sz w:val="18"/>
        </w:rPr>
        <w:t> </w:t>
      </w:r>
      <w:r>
        <w:rPr>
          <w:sz w:val="18"/>
        </w:rPr>
        <w:t>que</w:t>
      </w:r>
      <w:r>
        <w:rPr>
          <w:spacing w:val="-9"/>
          <w:sz w:val="18"/>
        </w:rPr>
        <w:t> </w:t>
      </w:r>
      <w:r>
        <w:rPr>
          <w:sz w:val="18"/>
        </w:rPr>
        <w:t>no</w:t>
      </w:r>
      <w:r>
        <w:rPr>
          <w:spacing w:val="-11"/>
          <w:sz w:val="18"/>
        </w:rPr>
        <w:t> </w:t>
      </w:r>
      <w:r>
        <w:rPr>
          <w:sz w:val="18"/>
        </w:rPr>
        <w:t>sea</w:t>
      </w:r>
      <w:r>
        <w:rPr>
          <w:spacing w:val="-11"/>
          <w:sz w:val="18"/>
        </w:rPr>
        <w:t> </w:t>
      </w:r>
      <w:r>
        <w:rPr>
          <w:sz w:val="18"/>
        </w:rPr>
        <w:t>la</w:t>
      </w:r>
      <w:r>
        <w:rPr>
          <w:spacing w:val="-9"/>
          <w:sz w:val="18"/>
        </w:rPr>
        <w:t> </w:t>
      </w:r>
      <w:r>
        <w:rPr>
          <w:sz w:val="18"/>
        </w:rPr>
        <w:t>misma responsable. O que sea la contralora ¿no? Que haya un propio responsable de transparencia y de su misma área, Contraloría por</w:t>
      </w:r>
      <w:r>
        <w:rPr>
          <w:spacing w:val="-16"/>
          <w:sz w:val="18"/>
        </w:rPr>
        <w:t> </w:t>
      </w:r>
      <w:r>
        <w:rPr>
          <w:sz w:val="18"/>
        </w:rPr>
        <w:t>ejemplo.</w:t>
      </w:r>
    </w:p>
    <w:p>
      <w:pPr>
        <w:pStyle w:val="BodyText"/>
        <w:rPr>
          <w:sz w:val="18"/>
        </w:rPr>
      </w:pPr>
    </w:p>
    <w:p>
      <w:pPr>
        <w:pStyle w:val="BodyText"/>
        <w:rPr>
          <w:sz w:val="18"/>
        </w:rPr>
      </w:pPr>
    </w:p>
    <w:p>
      <w:pPr>
        <w:spacing w:before="109"/>
        <w:ind w:left="454" w:right="0" w:firstLine="0"/>
        <w:jc w:val="both"/>
        <w:rPr>
          <w:sz w:val="18"/>
        </w:rPr>
      </w:pPr>
      <w:r>
        <w:rPr>
          <w:b/>
          <w:sz w:val="18"/>
        </w:rPr>
        <w:t>Gabriel: </w:t>
      </w:r>
      <w:r>
        <w:rPr>
          <w:sz w:val="18"/>
        </w:rPr>
        <w:t>¿Aquí en San Mateo Atenco tienen ventanilla de atención respecto a la transparencia?</w:t>
      </w:r>
    </w:p>
    <w:p>
      <w:pPr>
        <w:pStyle w:val="BodyText"/>
        <w:rPr>
          <w:sz w:val="18"/>
        </w:rPr>
      </w:pPr>
    </w:p>
    <w:p>
      <w:pPr>
        <w:pStyle w:val="BodyText"/>
        <w:rPr>
          <w:sz w:val="18"/>
        </w:rPr>
      </w:pPr>
    </w:p>
    <w:p>
      <w:pPr>
        <w:spacing w:before="116"/>
        <w:ind w:left="454" w:right="406" w:firstLine="0"/>
        <w:jc w:val="both"/>
        <w:rPr>
          <w:sz w:val="18"/>
        </w:rPr>
      </w:pPr>
      <w:r>
        <w:rPr>
          <w:b/>
          <w:sz w:val="18"/>
        </w:rPr>
        <w:t>Bertha Lilia: </w:t>
      </w:r>
      <w:r>
        <w:rPr>
          <w:sz w:val="18"/>
        </w:rPr>
        <w:t>No, aquí no. Tiene que venir directamente a la oficina si necesitan información, les tomamos los datos y procedemos a entregarles la información.</w:t>
      </w:r>
    </w:p>
    <w:p>
      <w:pPr>
        <w:pStyle w:val="BodyText"/>
        <w:rPr>
          <w:sz w:val="18"/>
        </w:rPr>
      </w:pPr>
    </w:p>
    <w:p>
      <w:pPr>
        <w:pStyle w:val="BodyText"/>
        <w:rPr>
          <w:sz w:val="18"/>
        </w:rPr>
      </w:pPr>
    </w:p>
    <w:p>
      <w:pPr>
        <w:spacing w:line="240" w:lineRule="auto" w:before="111"/>
        <w:ind w:left="454" w:right="405" w:firstLine="0"/>
        <w:jc w:val="both"/>
        <w:rPr>
          <w:sz w:val="18"/>
        </w:rPr>
      </w:pPr>
      <w:r>
        <w:rPr>
          <w:b/>
          <w:sz w:val="18"/>
        </w:rPr>
        <w:t>Gabriel: </w:t>
      </w:r>
      <w:r>
        <w:rPr>
          <w:sz w:val="18"/>
        </w:rPr>
        <w:t>¿Cuáles son los métodos más utilizados aquí en el municipio de San Mateo Atenco para presentar información? ¿Viene la gente a pedir información físicamente o lo hacen a través de correos o a través de la página web? ¿Cómo lo solicita la gente?</w:t>
      </w:r>
    </w:p>
    <w:p>
      <w:pPr>
        <w:pStyle w:val="BodyText"/>
        <w:rPr>
          <w:sz w:val="18"/>
        </w:rPr>
      </w:pPr>
    </w:p>
    <w:p>
      <w:pPr>
        <w:pStyle w:val="BodyText"/>
        <w:rPr>
          <w:sz w:val="18"/>
        </w:rPr>
      </w:pPr>
    </w:p>
    <w:p>
      <w:pPr>
        <w:spacing w:line="240" w:lineRule="auto" w:before="111"/>
        <w:ind w:left="454" w:right="406" w:firstLine="0"/>
        <w:jc w:val="both"/>
        <w:rPr>
          <w:sz w:val="18"/>
        </w:rPr>
      </w:pPr>
      <w:r>
        <w:rPr>
          <w:b/>
          <w:sz w:val="18"/>
        </w:rPr>
        <w:t>Bertha Lilia: </w:t>
      </w:r>
      <w:r>
        <w:rPr>
          <w:sz w:val="18"/>
        </w:rPr>
        <w:t>Sí, la mayoría lo hace de manera personal viene aquí, no necesitan traer un oficio como requisito. Únicamente tomamos datos como nombre, dirección, posición, que es lo que requieren, un teléfono y correo electrónico, solamente eso únicamente. Les entregamos la información ya sea por medio electrónico, o sea no los pueden mandar por correo y luego se las mandamos. Si no, imprimimos la información y les mandamos copia del documento. En segundo lugar, utilizamos el sistema IFAIMEX donde nos manda la información de lo que requieren y como tercer lugar entre manera de correo electrónico. Ya en el cuarto lugar es verbal o por medio de un oficio, que es muy raro este caso.</w:t>
      </w:r>
    </w:p>
    <w:p>
      <w:pPr>
        <w:spacing w:after="0" w:line="240" w:lineRule="auto"/>
        <w:jc w:val="both"/>
        <w:rPr>
          <w:sz w:val="18"/>
        </w:rPr>
        <w:sectPr>
          <w:pgSz w:w="12240" w:h="15840"/>
          <w:pgMar w:header="0" w:footer="975" w:top="1360" w:bottom="1220" w:left="1720" w:right="1720"/>
        </w:sectPr>
      </w:pPr>
    </w:p>
    <w:p>
      <w:pPr>
        <w:spacing w:line="242" w:lineRule="auto" w:before="50"/>
        <w:ind w:left="454" w:right="407" w:firstLine="0"/>
        <w:jc w:val="both"/>
        <w:rPr>
          <w:sz w:val="18"/>
        </w:rPr>
      </w:pPr>
      <w:r>
        <w:rPr>
          <w:b/>
          <w:sz w:val="18"/>
        </w:rPr>
        <w:t>Gabriel:</w:t>
      </w:r>
      <w:r>
        <w:rPr>
          <w:b/>
          <w:spacing w:val="-6"/>
          <w:sz w:val="18"/>
        </w:rPr>
        <w:t> </w:t>
      </w:r>
      <w:r>
        <w:rPr>
          <w:sz w:val="18"/>
        </w:rPr>
        <w:t>Correcto,</w:t>
      </w:r>
      <w:r>
        <w:rPr>
          <w:spacing w:val="-7"/>
          <w:sz w:val="18"/>
        </w:rPr>
        <w:t> </w:t>
      </w:r>
      <w:r>
        <w:rPr>
          <w:sz w:val="18"/>
        </w:rPr>
        <w:t>sobre</w:t>
      </w:r>
      <w:r>
        <w:rPr>
          <w:spacing w:val="-5"/>
          <w:sz w:val="18"/>
        </w:rPr>
        <w:t> </w:t>
      </w:r>
      <w:r>
        <w:rPr>
          <w:sz w:val="18"/>
        </w:rPr>
        <w:t>la</w:t>
      </w:r>
      <w:r>
        <w:rPr>
          <w:spacing w:val="-6"/>
          <w:sz w:val="18"/>
        </w:rPr>
        <w:t> </w:t>
      </w:r>
      <w:r>
        <w:rPr>
          <w:sz w:val="18"/>
        </w:rPr>
        <w:t>página</w:t>
      </w:r>
      <w:r>
        <w:rPr>
          <w:spacing w:val="-6"/>
          <w:sz w:val="18"/>
        </w:rPr>
        <w:t> </w:t>
      </w:r>
      <w:r>
        <w:rPr>
          <w:sz w:val="18"/>
        </w:rPr>
        <w:t>web</w:t>
      </w:r>
      <w:r>
        <w:rPr>
          <w:spacing w:val="-5"/>
          <w:sz w:val="18"/>
        </w:rPr>
        <w:t> </w:t>
      </w:r>
      <w:r>
        <w:rPr>
          <w:sz w:val="18"/>
        </w:rPr>
        <w:t>¿Considera</w:t>
      </w:r>
      <w:r>
        <w:rPr>
          <w:spacing w:val="-6"/>
          <w:sz w:val="18"/>
        </w:rPr>
        <w:t> </w:t>
      </w:r>
      <w:r>
        <w:rPr>
          <w:sz w:val="18"/>
        </w:rPr>
        <w:t>usted</w:t>
      </w:r>
      <w:r>
        <w:rPr>
          <w:spacing w:val="-6"/>
          <w:sz w:val="18"/>
        </w:rPr>
        <w:t> </w:t>
      </w:r>
      <w:r>
        <w:rPr>
          <w:sz w:val="18"/>
        </w:rPr>
        <w:t>que</w:t>
      </w:r>
      <w:r>
        <w:rPr>
          <w:spacing w:val="-5"/>
          <w:sz w:val="18"/>
        </w:rPr>
        <w:t> </w:t>
      </w:r>
      <w:r>
        <w:rPr>
          <w:sz w:val="18"/>
        </w:rPr>
        <w:t>es</w:t>
      </w:r>
      <w:r>
        <w:rPr>
          <w:spacing w:val="-4"/>
          <w:sz w:val="18"/>
        </w:rPr>
        <w:t> </w:t>
      </w:r>
      <w:r>
        <w:rPr>
          <w:sz w:val="18"/>
        </w:rPr>
        <w:t>el</w:t>
      </w:r>
      <w:r>
        <w:rPr>
          <w:spacing w:val="-6"/>
          <w:sz w:val="18"/>
        </w:rPr>
        <w:t> </w:t>
      </w:r>
      <w:r>
        <w:rPr>
          <w:sz w:val="18"/>
        </w:rPr>
        <w:t>medio</w:t>
      </w:r>
      <w:r>
        <w:rPr>
          <w:spacing w:val="-6"/>
          <w:sz w:val="18"/>
        </w:rPr>
        <w:t> </w:t>
      </w:r>
      <w:r>
        <w:rPr>
          <w:sz w:val="18"/>
        </w:rPr>
        <w:t>adecuado</w:t>
      </w:r>
      <w:r>
        <w:rPr>
          <w:spacing w:val="-6"/>
          <w:sz w:val="18"/>
        </w:rPr>
        <w:t> </w:t>
      </w:r>
      <w:r>
        <w:rPr>
          <w:sz w:val="18"/>
        </w:rPr>
        <w:t>para</w:t>
      </w:r>
      <w:r>
        <w:rPr>
          <w:spacing w:val="-6"/>
          <w:sz w:val="18"/>
        </w:rPr>
        <w:t> </w:t>
      </w:r>
      <w:r>
        <w:rPr>
          <w:sz w:val="18"/>
        </w:rPr>
        <w:t>mantener la transparencia a la sociedad o en otro caso como veo sería más bien la obligación de publicar la información?</w:t>
      </w:r>
    </w:p>
    <w:p>
      <w:pPr>
        <w:pStyle w:val="BodyText"/>
        <w:rPr>
          <w:sz w:val="18"/>
        </w:rPr>
      </w:pPr>
    </w:p>
    <w:p>
      <w:pPr>
        <w:pStyle w:val="BodyText"/>
        <w:rPr>
          <w:sz w:val="18"/>
        </w:rPr>
      </w:pPr>
    </w:p>
    <w:p>
      <w:pPr>
        <w:spacing w:line="240" w:lineRule="auto" w:before="109"/>
        <w:ind w:left="454" w:right="402" w:firstLine="0"/>
        <w:jc w:val="both"/>
        <w:rPr>
          <w:sz w:val="18"/>
        </w:rPr>
      </w:pPr>
      <w:r>
        <w:rPr>
          <w:b/>
          <w:sz w:val="18"/>
        </w:rPr>
        <w:t>Bertha Lilia: </w:t>
      </w:r>
      <w:r>
        <w:rPr>
          <w:sz w:val="18"/>
        </w:rPr>
        <w:t>Si hay ayuda el sistema de información de Internet, siempre y cuando la información no</w:t>
      </w:r>
      <w:r>
        <w:rPr>
          <w:spacing w:val="-6"/>
          <w:sz w:val="18"/>
        </w:rPr>
        <w:t> </w:t>
      </w:r>
      <w:r>
        <w:rPr>
          <w:sz w:val="18"/>
        </w:rPr>
        <w:t>sobrepase</w:t>
      </w:r>
      <w:r>
        <w:rPr>
          <w:spacing w:val="-9"/>
          <w:sz w:val="18"/>
        </w:rPr>
        <w:t> </w:t>
      </w:r>
      <w:r>
        <w:rPr>
          <w:sz w:val="18"/>
        </w:rPr>
        <w:t>el</w:t>
      </w:r>
      <w:r>
        <w:rPr>
          <w:spacing w:val="-6"/>
          <w:sz w:val="18"/>
        </w:rPr>
        <w:t> </w:t>
      </w:r>
      <w:r>
        <w:rPr>
          <w:sz w:val="18"/>
        </w:rPr>
        <w:t>tiempo</w:t>
      </w:r>
      <w:r>
        <w:rPr>
          <w:spacing w:val="-6"/>
          <w:sz w:val="18"/>
        </w:rPr>
        <w:t> </w:t>
      </w:r>
      <w:r>
        <w:rPr>
          <w:sz w:val="18"/>
        </w:rPr>
        <w:t>para</w:t>
      </w:r>
      <w:r>
        <w:rPr>
          <w:spacing w:val="-9"/>
          <w:sz w:val="18"/>
        </w:rPr>
        <w:t> </w:t>
      </w:r>
      <w:r>
        <w:rPr>
          <w:sz w:val="18"/>
        </w:rPr>
        <w:t>mandarlo</w:t>
      </w:r>
      <w:r>
        <w:rPr>
          <w:spacing w:val="-6"/>
          <w:sz w:val="18"/>
        </w:rPr>
        <w:t> </w:t>
      </w:r>
      <w:r>
        <w:rPr>
          <w:sz w:val="18"/>
        </w:rPr>
        <w:t>y</w:t>
      </w:r>
      <w:r>
        <w:rPr>
          <w:spacing w:val="-8"/>
          <w:sz w:val="18"/>
        </w:rPr>
        <w:t> </w:t>
      </w:r>
      <w:r>
        <w:rPr>
          <w:sz w:val="18"/>
        </w:rPr>
        <w:t>responderlo.</w:t>
      </w:r>
      <w:r>
        <w:rPr>
          <w:spacing w:val="-7"/>
          <w:sz w:val="18"/>
        </w:rPr>
        <w:t> </w:t>
      </w:r>
      <w:r>
        <w:rPr>
          <w:sz w:val="18"/>
        </w:rPr>
        <w:t>Pero,</w:t>
      </w:r>
      <w:r>
        <w:rPr>
          <w:spacing w:val="-9"/>
          <w:sz w:val="18"/>
        </w:rPr>
        <w:t> </w:t>
      </w:r>
      <w:r>
        <w:rPr>
          <w:sz w:val="18"/>
        </w:rPr>
        <w:t>yo</w:t>
      </w:r>
      <w:r>
        <w:rPr>
          <w:spacing w:val="-6"/>
          <w:sz w:val="18"/>
        </w:rPr>
        <w:t> </w:t>
      </w:r>
      <w:r>
        <w:rPr>
          <w:sz w:val="18"/>
        </w:rPr>
        <w:t>creo</w:t>
      </w:r>
      <w:r>
        <w:rPr>
          <w:spacing w:val="-6"/>
          <w:sz w:val="18"/>
        </w:rPr>
        <w:t> </w:t>
      </w:r>
      <w:r>
        <w:rPr>
          <w:sz w:val="18"/>
        </w:rPr>
        <w:t>que</w:t>
      </w:r>
      <w:r>
        <w:rPr>
          <w:spacing w:val="-6"/>
          <w:sz w:val="18"/>
        </w:rPr>
        <w:t> </w:t>
      </w:r>
      <w:r>
        <w:rPr>
          <w:sz w:val="18"/>
        </w:rPr>
        <w:t>si</w:t>
      </w:r>
      <w:r>
        <w:rPr>
          <w:spacing w:val="-6"/>
          <w:sz w:val="18"/>
        </w:rPr>
        <w:t> </w:t>
      </w:r>
      <w:r>
        <w:rPr>
          <w:sz w:val="18"/>
        </w:rPr>
        <w:t>es</w:t>
      </w:r>
      <w:r>
        <w:rPr>
          <w:spacing w:val="-6"/>
          <w:sz w:val="18"/>
        </w:rPr>
        <w:t> </w:t>
      </w:r>
      <w:r>
        <w:rPr>
          <w:sz w:val="18"/>
        </w:rPr>
        <w:t>buscar</w:t>
      </w:r>
      <w:r>
        <w:rPr>
          <w:spacing w:val="-9"/>
          <w:sz w:val="18"/>
        </w:rPr>
        <w:t> </w:t>
      </w:r>
      <w:r>
        <w:rPr>
          <w:sz w:val="18"/>
        </w:rPr>
        <w:t>una</w:t>
      </w:r>
      <w:r>
        <w:rPr>
          <w:spacing w:val="-9"/>
          <w:sz w:val="18"/>
        </w:rPr>
        <w:t> </w:t>
      </w:r>
      <w:r>
        <w:rPr>
          <w:sz w:val="18"/>
        </w:rPr>
        <w:t>manera</w:t>
      </w:r>
      <w:r>
        <w:rPr>
          <w:spacing w:val="-6"/>
          <w:sz w:val="18"/>
        </w:rPr>
        <w:t> </w:t>
      </w:r>
      <w:r>
        <w:rPr>
          <w:sz w:val="18"/>
        </w:rPr>
        <w:t>de tratar de hacer un mecanismo que pudiera hacer más cercano el trato con la gente, que no se tiene porque ni siquiera nosotros nos acercamos a hablar de la transparencia y ellos tienen que venir a solicitarnos ya que ni siquiera tenemos la sensibilidad como servidores públicos de ¿cómo les doy información? Es muy raro, no se</w:t>
      </w:r>
      <w:r>
        <w:rPr>
          <w:spacing w:val="-16"/>
          <w:sz w:val="18"/>
        </w:rPr>
        <w:t> </w:t>
      </w:r>
      <w:r>
        <w:rPr>
          <w:sz w:val="18"/>
        </w:rPr>
        <w:t>tiene.</w:t>
      </w:r>
    </w:p>
    <w:p>
      <w:pPr>
        <w:pStyle w:val="BodyText"/>
        <w:rPr>
          <w:sz w:val="18"/>
        </w:rPr>
      </w:pPr>
    </w:p>
    <w:p>
      <w:pPr>
        <w:pStyle w:val="BodyText"/>
        <w:rPr>
          <w:sz w:val="18"/>
        </w:rPr>
      </w:pPr>
    </w:p>
    <w:p>
      <w:pPr>
        <w:spacing w:before="111"/>
        <w:ind w:left="454" w:right="0" w:firstLine="0"/>
        <w:jc w:val="both"/>
        <w:rPr>
          <w:sz w:val="18"/>
        </w:rPr>
      </w:pPr>
      <w:r>
        <w:rPr>
          <w:b/>
          <w:sz w:val="18"/>
        </w:rPr>
        <w:t>Gabriel: </w:t>
      </w:r>
      <w:r>
        <w:rPr>
          <w:sz w:val="18"/>
        </w:rPr>
        <w:t>Correcto, ¿qué mecanismos tienen los ciudadanos para participar en la transparencia?</w:t>
      </w:r>
    </w:p>
    <w:p>
      <w:pPr>
        <w:spacing w:before="2"/>
        <w:ind w:left="454" w:right="0" w:firstLine="0"/>
        <w:jc w:val="both"/>
        <w:rPr>
          <w:sz w:val="18"/>
        </w:rPr>
      </w:pPr>
      <w:r>
        <w:rPr>
          <w:sz w:val="18"/>
        </w:rPr>
        <w:t>¿Cómo se enteran, como los invitan a participar o no se les invita?</w:t>
      </w:r>
    </w:p>
    <w:p>
      <w:pPr>
        <w:pStyle w:val="BodyText"/>
        <w:rPr>
          <w:sz w:val="18"/>
        </w:rPr>
      </w:pPr>
    </w:p>
    <w:p>
      <w:pPr>
        <w:pStyle w:val="BodyText"/>
        <w:rPr>
          <w:sz w:val="18"/>
        </w:rPr>
      </w:pPr>
    </w:p>
    <w:p>
      <w:pPr>
        <w:spacing w:line="240" w:lineRule="auto" w:before="111"/>
        <w:ind w:left="454" w:right="405" w:firstLine="0"/>
        <w:jc w:val="both"/>
        <w:rPr>
          <w:sz w:val="18"/>
        </w:rPr>
      </w:pPr>
      <w:r>
        <w:rPr>
          <w:b/>
          <w:sz w:val="18"/>
        </w:rPr>
        <w:t>Bertha Lilia: </w:t>
      </w:r>
      <w:r>
        <w:rPr>
          <w:sz w:val="18"/>
        </w:rPr>
        <w:t>Es lo que te decía, el ciudadano tiene que venir cuando requiere alguna información, ni siquiera nosotros despertamos este interés. Si tienen alguna pregunta o algún cuestionamiento que</w:t>
      </w:r>
      <w:r>
        <w:rPr>
          <w:spacing w:val="-11"/>
          <w:sz w:val="18"/>
        </w:rPr>
        <w:t> </w:t>
      </w:r>
      <w:r>
        <w:rPr>
          <w:sz w:val="18"/>
        </w:rPr>
        <w:t>sea</w:t>
      </w:r>
      <w:r>
        <w:rPr>
          <w:spacing w:val="-11"/>
          <w:sz w:val="18"/>
        </w:rPr>
        <w:t> </w:t>
      </w:r>
      <w:r>
        <w:rPr>
          <w:sz w:val="18"/>
        </w:rPr>
        <w:t>académico</w:t>
      </w:r>
      <w:r>
        <w:rPr>
          <w:spacing w:val="-11"/>
          <w:sz w:val="18"/>
        </w:rPr>
        <w:t> </w:t>
      </w:r>
      <w:r>
        <w:rPr>
          <w:sz w:val="18"/>
        </w:rPr>
        <w:t>o</w:t>
      </w:r>
      <w:r>
        <w:rPr>
          <w:spacing w:val="-11"/>
          <w:sz w:val="18"/>
        </w:rPr>
        <w:t> </w:t>
      </w:r>
      <w:r>
        <w:rPr>
          <w:sz w:val="18"/>
        </w:rPr>
        <w:t>es</w:t>
      </w:r>
      <w:r>
        <w:rPr>
          <w:spacing w:val="-13"/>
          <w:sz w:val="18"/>
        </w:rPr>
        <w:t> </w:t>
      </w:r>
      <w:r>
        <w:rPr>
          <w:sz w:val="18"/>
        </w:rPr>
        <w:t>cuestión</w:t>
      </w:r>
      <w:r>
        <w:rPr>
          <w:spacing w:val="-11"/>
          <w:sz w:val="18"/>
        </w:rPr>
        <w:t> </w:t>
      </w:r>
      <w:r>
        <w:rPr>
          <w:sz w:val="18"/>
        </w:rPr>
        <w:t>política</w:t>
      </w:r>
      <w:r>
        <w:rPr>
          <w:spacing w:val="-11"/>
          <w:sz w:val="18"/>
        </w:rPr>
        <w:t> </w:t>
      </w:r>
      <w:r>
        <w:rPr>
          <w:sz w:val="18"/>
        </w:rPr>
        <w:t>o</w:t>
      </w:r>
      <w:r>
        <w:rPr>
          <w:spacing w:val="-11"/>
          <w:sz w:val="18"/>
        </w:rPr>
        <w:t> </w:t>
      </w:r>
      <w:r>
        <w:rPr>
          <w:sz w:val="18"/>
        </w:rPr>
        <w:t>es</w:t>
      </w:r>
      <w:r>
        <w:rPr>
          <w:spacing w:val="-13"/>
          <w:sz w:val="18"/>
        </w:rPr>
        <w:t> </w:t>
      </w:r>
      <w:r>
        <w:rPr>
          <w:sz w:val="18"/>
        </w:rPr>
        <w:t>cuestión</w:t>
      </w:r>
      <w:r>
        <w:rPr>
          <w:spacing w:val="-11"/>
          <w:sz w:val="18"/>
        </w:rPr>
        <w:t> </w:t>
      </w:r>
      <w:r>
        <w:rPr>
          <w:sz w:val="18"/>
        </w:rPr>
        <w:t>de</w:t>
      </w:r>
      <w:r>
        <w:rPr>
          <w:spacing w:val="-11"/>
          <w:sz w:val="18"/>
        </w:rPr>
        <w:t> </w:t>
      </w:r>
      <w:r>
        <w:rPr>
          <w:sz w:val="18"/>
        </w:rPr>
        <w:t>planeación</w:t>
      </w:r>
      <w:r>
        <w:rPr>
          <w:spacing w:val="-11"/>
          <w:sz w:val="18"/>
        </w:rPr>
        <w:t> </w:t>
      </w:r>
      <w:r>
        <w:rPr>
          <w:sz w:val="18"/>
        </w:rPr>
        <w:t>o</w:t>
      </w:r>
      <w:r>
        <w:rPr>
          <w:spacing w:val="-14"/>
          <w:sz w:val="18"/>
        </w:rPr>
        <w:t> </w:t>
      </w:r>
      <w:r>
        <w:rPr>
          <w:sz w:val="18"/>
        </w:rPr>
        <w:t>cuando</w:t>
      </w:r>
      <w:r>
        <w:rPr>
          <w:spacing w:val="-11"/>
          <w:sz w:val="18"/>
        </w:rPr>
        <w:t> </w:t>
      </w:r>
      <w:r>
        <w:rPr>
          <w:sz w:val="18"/>
        </w:rPr>
        <w:t>se</w:t>
      </w:r>
      <w:r>
        <w:rPr>
          <w:spacing w:val="-11"/>
          <w:sz w:val="18"/>
        </w:rPr>
        <w:t> </w:t>
      </w:r>
      <w:r>
        <w:rPr>
          <w:sz w:val="18"/>
        </w:rPr>
        <w:t>habla</w:t>
      </w:r>
      <w:r>
        <w:rPr>
          <w:spacing w:val="-11"/>
          <w:sz w:val="18"/>
        </w:rPr>
        <w:t> </w:t>
      </w:r>
      <w:r>
        <w:rPr>
          <w:sz w:val="18"/>
        </w:rPr>
        <w:t>de</w:t>
      </w:r>
      <w:r>
        <w:rPr>
          <w:spacing w:val="-11"/>
          <w:sz w:val="18"/>
        </w:rPr>
        <w:t> </w:t>
      </w:r>
      <w:r>
        <w:rPr>
          <w:sz w:val="18"/>
        </w:rPr>
        <w:t>los</w:t>
      </w:r>
      <w:r>
        <w:rPr>
          <w:spacing w:val="-11"/>
          <w:sz w:val="18"/>
        </w:rPr>
        <w:t> </w:t>
      </w:r>
      <w:r>
        <w:rPr>
          <w:sz w:val="18"/>
        </w:rPr>
        <w:t>útiles escolares de los niños es cuando se despertaba de la transparencia. Mientras está dormida, no la usamos</w:t>
      </w:r>
      <w:r>
        <w:rPr>
          <w:spacing w:val="-12"/>
          <w:sz w:val="18"/>
        </w:rPr>
        <w:t> </w:t>
      </w:r>
      <w:r>
        <w:rPr>
          <w:sz w:val="18"/>
        </w:rPr>
        <w:t>no</w:t>
      </w:r>
      <w:r>
        <w:rPr>
          <w:spacing w:val="-10"/>
          <w:sz w:val="18"/>
        </w:rPr>
        <w:t> </w:t>
      </w:r>
      <w:r>
        <w:rPr>
          <w:sz w:val="18"/>
        </w:rPr>
        <w:t>la</w:t>
      </w:r>
      <w:r>
        <w:rPr>
          <w:spacing w:val="-10"/>
          <w:sz w:val="18"/>
        </w:rPr>
        <w:t> </w:t>
      </w:r>
      <w:r>
        <w:rPr>
          <w:sz w:val="18"/>
        </w:rPr>
        <w:t>aplicamos,</w:t>
      </w:r>
      <w:r>
        <w:rPr>
          <w:spacing w:val="-10"/>
          <w:sz w:val="18"/>
        </w:rPr>
        <w:t> </w:t>
      </w:r>
      <w:r>
        <w:rPr>
          <w:sz w:val="18"/>
        </w:rPr>
        <w:t>únicamente</w:t>
      </w:r>
      <w:r>
        <w:rPr>
          <w:spacing w:val="-10"/>
          <w:sz w:val="18"/>
        </w:rPr>
        <w:t> </w:t>
      </w:r>
      <w:r>
        <w:rPr>
          <w:sz w:val="18"/>
        </w:rPr>
        <w:t>lo</w:t>
      </w:r>
      <w:r>
        <w:rPr>
          <w:spacing w:val="-12"/>
          <w:sz w:val="18"/>
        </w:rPr>
        <w:t> </w:t>
      </w:r>
      <w:r>
        <w:rPr>
          <w:sz w:val="18"/>
        </w:rPr>
        <w:t>que</w:t>
      </w:r>
      <w:r>
        <w:rPr>
          <w:spacing w:val="-10"/>
          <w:sz w:val="18"/>
        </w:rPr>
        <w:t> </w:t>
      </w:r>
      <w:r>
        <w:rPr>
          <w:sz w:val="18"/>
        </w:rPr>
        <w:t>hacemos</w:t>
      </w:r>
      <w:r>
        <w:rPr>
          <w:spacing w:val="-9"/>
          <w:sz w:val="18"/>
        </w:rPr>
        <w:t> </w:t>
      </w:r>
      <w:r>
        <w:rPr>
          <w:sz w:val="18"/>
        </w:rPr>
        <w:t>aquí</w:t>
      </w:r>
      <w:r>
        <w:rPr>
          <w:spacing w:val="-10"/>
          <w:sz w:val="18"/>
        </w:rPr>
        <w:t> </w:t>
      </w:r>
      <w:r>
        <w:rPr>
          <w:sz w:val="18"/>
        </w:rPr>
        <w:t>es</w:t>
      </w:r>
      <w:r>
        <w:rPr>
          <w:spacing w:val="-12"/>
          <w:sz w:val="18"/>
        </w:rPr>
        <w:t> </w:t>
      </w:r>
      <w:r>
        <w:rPr>
          <w:sz w:val="18"/>
        </w:rPr>
        <w:t>entre</w:t>
      </w:r>
      <w:r>
        <w:rPr>
          <w:spacing w:val="-9"/>
          <w:sz w:val="18"/>
        </w:rPr>
        <w:t> </w:t>
      </w:r>
      <w:r>
        <w:rPr>
          <w:sz w:val="18"/>
        </w:rPr>
        <w:t>nosotros</w:t>
      </w:r>
      <w:r>
        <w:rPr>
          <w:spacing w:val="-9"/>
          <w:sz w:val="18"/>
        </w:rPr>
        <w:t> </w:t>
      </w:r>
      <w:r>
        <w:rPr>
          <w:sz w:val="18"/>
        </w:rPr>
        <w:t>recopilar</w:t>
      </w:r>
      <w:r>
        <w:rPr>
          <w:spacing w:val="-10"/>
          <w:sz w:val="18"/>
        </w:rPr>
        <w:t> </w:t>
      </w:r>
      <w:r>
        <w:rPr>
          <w:sz w:val="18"/>
        </w:rPr>
        <w:t>la</w:t>
      </w:r>
      <w:r>
        <w:rPr>
          <w:spacing w:val="-12"/>
          <w:sz w:val="18"/>
        </w:rPr>
        <w:t> </w:t>
      </w:r>
      <w:r>
        <w:rPr>
          <w:sz w:val="18"/>
        </w:rPr>
        <w:t>información para</w:t>
      </w:r>
      <w:r>
        <w:rPr>
          <w:spacing w:val="-6"/>
          <w:sz w:val="18"/>
        </w:rPr>
        <w:t> </w:t>
      </w:r>
      <w:r>
        <w:rPr>
          <w:sz w:val="18"/>
        </w:rPr>
        <w:t>la</w:t>
      </w:r>
      <w:r>
        <w:rPr>
          <w:spacing w:val="-6"/>
          <w:sz w:val="18"/>
        </w:rPr>
        <w:t> </w:t>
      </w:r>
      <w:r>
        <w:rPr>
          <w:sz w:val="18"/>
        </w:rPr>
        <w:t>página</w:t>
      </w:r>
      <w:r>
        <w:rPr>
          <w:spacing w:val="-6"/>
          <w:sz w:val="18"/>
        </w:rPr>
        <w:t> </w:t>
      </w:r>
      <w:r>
        <w:rPr>
          <w:sz w:val="18"/>
        </w:rPr>
        <w:t>y</w:t>
      </w:r>
      <w:r>
        <w:rPr>
          <w:spacing w:val="-8"/>
          <w:sz w:val="18"/>
        </w:rPr>
        <w:t> </w:t>
      </w:r>
      <w:r>
        <w:rPr>
          <w:sz w:val="18"/>
        </w:rPr>
        <w:t>cosas</w:t>
      </w:r>
      <w:r>
        <w:rPr>
          <w:spacing w:val="-6"/>
          <w:sz w:val="18"/>
        </w:rPr>
        <w:t> </w:t>
      </w:r>
      <w:r>
        <w:rPr>
          <w:sz w:val="18"/>
        </w:rPr>
        <w:t>que</w:t>
      </w:r>
      <w:r>
        <w:rPr>
          <w:spacing w:val="-6"/>
          <w:sz w:val="18"/>
        </w:rPr>
        <w:t> </w:t>
      </w:r>
      <w:r>
        <w:rPr>
          <w:sz w:val="18"/>
        </w:rPr>
        <w:t>creemos</w:t>
      </w:r>
      <w:r>
        <w:rPr>
          <w:spacing w:val="-6"/>
          <w:sz w:val="18"/>
        </w:rPr>
        <w:t> </w:t>
      </w:r>
      <w:r>
        <w:rPr>
          <w:sz w:val="18"/>
        </w:rPr>
        <w:t>que</w:t>
      </w:r>
      <w:r>
        <w:rPr>
          <w:spacing w:val="-9"/>
          <w:sz w:val="18"/>
        </w:rPr>
        <w:t> </w:t>
      </w:r>
      <w:r>
        <w:rPr>
          <w:sz w:val="18"/>
        </w:rPr>
        <w:t>son</w:t>
      </w:r>
      <w:r>
        <w:rPr>
          <w:spacing w:val="-6"/>
          <w:sz w:val="18"/>
        </w:rPr>
        <w:t> </w:t>
      </w:r>
      <w:r>
        <w:rPr>
          <w:sz w:val="18"/>
        </w:rPr>
        <w:t>de</w:t>
      </w:r>
      <w:r>
        <w:rPr>
          <w:spacing w:val="-6"/>
          <w:sz w:val="18"/>
        </w:rPr>
        <w:t> </w:t>
      </w:r>
      <w:r>
        <w:rPr>
          <w:sz w:val="18"/>
        </w:rPr>
        <w:t>interés</w:t>
      </w:r>
      <w:r>
        <w:rPr>
          <w:spacing w:val="-6"/>
          <w:sz w:val="18"/>
        </w:rPr>
        <w:t> </w:t>
      </w:r>
      <w:r>
        <w:rPr>
          <w:sz w:val="18"/>
        </w:rPr>
        <w:t>general.</w:t>
      </w:r>
      <w:r>
        <w:rPr>
          <w:spacing w:val="-7"/>
          <w:sz w:val="18"/>
        </w:rPr>
        <w:t> </w:t>
      </w:r>
      <w:r>
        <w:rPr>
          <w:sz w:val="18"/>
        </w:rPr>
        <w:t>Es</w:t>
      </w:r>
      <w:r>
        <w:rPr>
          <w:spacing w:val="-6"/>
          <w:sz w:val="18"/>
        </w:rPr>
        <w:t> </w:t>
      </w:r>
      <w:r>
        <w:rPr>
          <w:sz w:val="18"/>
        </w:rPr>
        <w:t>lo</w:t>
      </w:r>
      <w:r>
        <w:rPr>
          <w:spacing w:val="-6"/>
          <w:sz w:val="18"/>
        </w:rPr>
        <w:t> </w:t>
      </w:r>
      <w:r>
        <w:rPr>
          <w:sz w:val="18"/>
        </w:rPr>
        <w:t>que</w:t>
      </w:r>
      <w:r>
        <w:rPr>
          <w:spacing w:val="-6"/>
          <w:sz w:val="18"/>
        </w:rPr>
        <w:t> </w:t>
      </w:r>
      <w:r>
        <w:rPr>
          <w:sz w:val="18"/>
        </w:rPr>
        <w:t>hacemos.</w:t>
      </w:r>
      <w:r>
        <w:rPr>
          <w:spacing w:val="-7"/>
          <w:sz w:val="18"/>
        </w:rPr>
        <w:t> </w:t>
      </w:r>
      <w:r>
        <w:rPr>
          <w:sz w:val="18"/>
        </w:rPr>
        <w:t>Yo</w:t>
      </w:r>
      <w:r>
        <w:rPr>
          <w:spacing w:val="-6"/>
          <w:sz w:val="18"/>
        </w:rPr>
        <w:t> </w:t>
      </w:r>
      <w:r>
        <w:rPr>
          <w:sz w:val="18"/>
        </w:rPr>
        <w:t>creo</w:t>
      </w:r>
      <w:r>
        <w:rPr>
          <w:spacing w:val="-6"/>
          <w:sz w:val="18"/>
        </w:rPr>
        <w:t> </w:t>
      </w:r>
      <w:r>
        <w:rPr>
          <w:sz w:val="18"/>
        </w:rPr>
        <w:t>que</w:t>
      </w:r>
      <w:r>
        <w:rPr>
          <w:spacing w:val="-6"/>
          <w:sz w:val="18"/>
        </w:rPr>
        <w:t> </w:t>
      </w:r>
      <w:r>
        <w:rPr>
          <w:sz w:val="18"/>
        </w:rPr>
        <w:t>es también por falta de tiempo porque no puedes enfocarte, yo como responsable del área de transparencia junto con la área de información y la de planeación realmente médico, a la área de planeación que a la unidad de</w:t>
      </w:r>
      <w:r>
        <w:rPr>
          <w:spacing w:val="-20"/>
          <w:sz w:val="18"/>
        </w:rPr>
        <w:t> </w:t>
      </w:r>
      <w:r>
        <w:rPr>
          <w:sz w:val="18"/>
        </w:rPr>
        <w:t>información.</w:t>
      </w:r>
    </w:p>
    <w:p>
      <w:pPr>
        <w:pStyle w:val="BodyText"/>
        <w:rPr>
          <w:sz w:val="18"/>
        </w:rPr>
      </w:pPr>
    </w:p>
    <w:p>
      <w:pPr>
        <w:pStyle w:val="BodyText"/>
        <w:rPr>
          <w:sz w:val="18"/>
        </w:rPr>
      </w:pPr>
    </w:p>
    <w:p>
      <w:pPr>
        <w:spacing w:before="111"/>
        <w:ind w:left="454" w:right="406" w:firstLine="0"/>
        <w:jc w:val="both"/>
        <w:rPr>
          <w:sz w:val="18"/>
        </w:rPr>
      </w:pPr>
      <w:r>
        <w:rPr>
          <w:b/>
          <w:sz w:val="18"/>
        </w:rPr>
        <w:t>Gabriel: </w:t>
      </w:r>
      <w:r>
        <w:rPr>
          <w:sz w:val="18"/>
        </w:rPr>
        <w:t>Correcto, OK, ¿dentro de esa información que se le solicita que tema son los más recurrentes? ¿Finanzas, presupuesto, indicadores, que es lo que más les piden?</w:t>
      </w:r>
    </w:p>
    <w:p>
      <w:pPr>
        <w:pStyle w:val="BodyText"/>
        <w:rPr>
          <w:sz w:val="18"/>
        </w:rPr>
      </w:pPr>
    </w:p>
    <w:p>
      <w:pPr>
        <w:pStyle w:val="BodyText"/>
        <w:rPr>
          <w:sz w:val="18"/>
        </w:rPr>
      </w:pPr>
    </w:p>
    <w:p>
      <w:pPr>
        <w:spacing w:line="240" w:lineRule="auto" w:before="111"/>
        <w:ind w:left="454" w:right="409" w:firstLine="0"/>
        <w:jc w:val="both"/>
        <w:rPr>
          <w:sz w:val="18"/>
        </w:rPr>
      </w:pPr>
      <w:r>
        <w:rPr>
          <w:b/>
          <w:sz w:val="18"/>
        </w:rPr>
        <w:t>Bertha Lilia: </w:t>
      </w:r>
      <w:r>
        <w:rPr>
          <w:sz w:val="18"/>
        </w:rPr>
        <w:t>Sí, nos piden información económica, por ejemplo, gasto realizado, cuestiones administrativas, por ejemplo, cuanto, que tiene que ver con recursos humanos, cuánto gana un servidor</w:t>
      </w:r>
      <w:r>
        <w:rPr>
          <w:spacing w:val="-6"/>
          <w:sz w:val="18"/>
        </w:rPr>
        <w:t> </w:t>
      </w:r>
      <w:r>
        <w:rPr>
          <w:sz w:val="18"/>
        </w:rPr>
        <w:t>público,</w:t>
      </w:r>
      <w:r>
        <w:rPr>
          <w:spacing w:val="-5"/>
          <w:sz w:val="18"/>
        </w:rPr>
        <w:t> </w:t>
      </w:r>
      <w:r>
        <w:rPr>
          <w:sz w:val="18"/>
        </w:rPr>
        <w:t>principalmente</w:t>
      </w:r>
      <w:r>
        <w:rPr>
          <w:spacing w:val="-3"/>
          <w:sz w:val="18"/>
        </w:rPr>
        <w:t> </w:t>
      </w:r>
      <w:r>
        <w:rPr>
          <w:sz w:val="18"/>
        </w:rPr>
        <w:t>cuestiones</w:t>
      </w:r>
      <w:r>
        <w:rPr>
          <w:spacing w:val="-5"/>
          <w:sz w:val="18"/>
        </w:rPr>
        <w:t> </w:t>
      </w:r>
      <w:r>
        <w:rPr>
          <w:sz w:val="18"/>
        </w:rPr>
        <w:t>de</w:t>
      </w:r>
      <w:r>
        <w:rPr>
          <w:spacing w:val="-5"/>
          <w:sz w:val="18"/>
        </w:rPr>
        <w:t> </w:t>
      </w:r>
      <w:r>
        <w:rPr>
          <w:sz w:val="18"/>
        </w:rPr>
        <w:t>Tesorería,</w:t>
      </w:r>
      <w:r>
        <w:rPr>
          <w:spacing w:val="-3"/>
          <w:sz w:val="18"/>
        </w:rPr>
        <w:t> </w:t>
      </w:r>
      <w:r>
        <w:rPr>
          <w:sz w:val="18"/>
        </w:rPr>
        <w:t>facturas,</w:t>
      </w:r>
      <w:r>
        <w:rPr>
          <w:spacing w:val="-5"/>
          <w:sz w:val="18"/>
        </w:rPr>
        <w:t> </w:t>
      </w:r>
      <w:r>
        <w:rPr>
          <w:sz w:val="18"/>
        </w:rPr>
        <w:t>convenios,</w:t>
      </w:r>
      <w:r>
        <w:rPr>
          <w:spacing w:val="-5"/>
          <w:sz w:val="18"/>
        </w:rPr>
        <w:t> </w:t>
      </w:r>
      <w:r>
        <w:rPr>
          <w:sz w:val="18"/>
        </w:rPr>
        <w:t>contratos,</w:t>
      </w:r>
      <w:r>
        <w:rPr>
          <w:spacing w:val="-5"/>
          <w:sz w:val="18"/>
        </w:rPr>
        <w:t> </w:t>
      </w:r>
      <w:r>
        <w:rPr>
          <w:sz w:val="18"/>
        </w:rPr>
        <w:t>pagos</w:t>
      </w:r>
      <w:r>
        <w:rPr>
          <w:spacing w:val="-4"/>
          <w:sz w:val="18"/>
        </w:rPr>
        <w:t> </w:t>
      </w:r>
      <w:r>
        <w:rPr>
          <w:sz w:val="18"/>
        </w:rPr>
        <w:t>que tienen que ver con la administración, nombre de los servidores públicos y del cabildo. Es como lo más común.</w:t>
      </w:r>
    </w:p>
    <w:p>
      <w:pPr>
        <w:pStyle w:val="BodyText"/>
        <w:rPr>
          <w:sz w:val="18"/>
        </w:rPr>
      </w:pPr>
    </w:p>
    <w:p>
      <w:pPr>
        <w:pStyle w:val="BodyText"/>
        <w:rPr>
          <w:sz w:val="18"/>
        </w:rPr>
      </w:pPr>
    </w:p>
    <w:p>
      <w:pPr>
        <w:spacing w:line="240" w:lineRule="auto" w:before="108"/>
        <w:ind w:left="454" w:right="404" w:firstLine="0"/>
        <w:jc w:val="both"/>
        <w:rPr>
          <w:sz w:val="18"/>
        </w:rPr>
      </w:pPr>
      <w:r>
        <w:rPr>
          <w:b/>
          <w:sz w:val="18"/>
        </w:rPr>
        <w:t>Gabriel: </w:t>
      </w:r>
      <w:r>
        <w:rPr>
          <w:sz w:val="18"/>
        </w:rPr>
        <w:t>Correcto, ¿dentro de esas solicitudes han identificado quiénes son los solicitantes? ¿Qué perfil</w:t>
      </w:r>
      <w:r>
        <w:rPr>
          <w:spacing w:val="-4"/>
          <w:sz w:val="18"/>
        </w:rPr>
        <w:t> </w:t>
      </w:r>
      <w:r>
        <w:rPr>
          <w:sz w:val="18"/>
        </w:rPr>
        <w:t>tienen</w:t>
      </w:r>
      <w:r>
        <w:rPr>
          <w:spacing w:val="-4"/>
          <w:sz w:val="18"/>
        </w:rPr>
        <w:t> </w:t>
      </w:r>
      <w:r>
        <w:rPr>
          <w:sz w:val="18"/>
        </w:rPr>
        <w:t>los</w:t>
      </w:r>
      <w:r>
        <w:rPr>
          <w:spacing w:val="-3"/>
          <w:sz w:val="18"/>
        </w:rPr>
        <w:t> </w:t>
      </w:r>
      <w:r>
        <w:rPr>
          <w:sz w:val="18"/>
        </w:rPr>
        <w:t>solicitantes,</w:t>
      </w:r>
      <w:r>
        <w:rPr>
          <w:spacing w:val="-4"/>
          <w:sz w:val="18"/>
        </w:rPr>
        <w:t> </w:t>
      </w:r>
      <w:r>
        <w:rPr>
          <w:sz w:val="18"/>
        </w:rPr>
        <w:t>si</w:t>
      </w:r>
      <w:r>
        <w:rPr>
          <w:spacing w:val="-6"/>
          <w:sz w:val="18"/>
        </w:rPr>
        <w:t> </w:t>
      </w:r>
      <w:r>
        <w:rPr>
          <w:sz w:val="18"/>
        </w:rPr>
        <w:t>son</w:t>
      </w:r>
      <w:r>
        <w:rPr>
          <w:spacing w:val="-4"/>
          <w:sz w:val="18"/>
        </w:rPr>
        <w:t> </w:t>
      </w:r>
      <w:r>
        <w:rPr>
          <w:sz w:val="18"/>
        </w:rPr>
        <w:t>académicos</w:t>
      </w:r>
      <w:r>
        <w:rPr>
          <w:spacing w:val="-3"/>
          <w:sz w:val="18"/>
        </w:rPr>
        <w:t> </w:t>
      </w:r>
      <w:r>
        <w:rPr>
          <w:sz w:val="18"/>
        </w:rPr>
        <w:t>si</w:t>
      </w:r>
      <w:r>
        <w:rPr>
          <w:spacing w:val="-4"/>
          <w:sz w:val="18"/>
        </w:rPr>
        <w:t> </w:t>
      </w:r>
      <w:r>
        <w:rPr>
          <w:sz w:val="18"/>
        </w:rPr>
        <w:t>son</w:t>
      </w:r>
      <w:r>
        <w:rPr>
          <w:spacing w:val="-4"/>
          <w:sz w:val="18"/>
        </w:rPr>
        <w:t> </w:t>
      </w:r>
      <w:r>
        <w:rPr>
          <w:sz w:val="18"/>
        </w:rPr>
        <w:t>ciudadanos</w:t>
      </w:r>
      <w:r>
        <w:rPr>
          <w:spacing w:val="-3"/>
          <w:sz w:val="18"/>
        </w:rPr>
        <w:t> </w:t>
      </w:r>
      <w:r>
        <w:rPr>
          <w:sz w:val="18"/>
        </w:rPr>
        <w:t>en</w:t>
      </w:r>
      <w:r>
        <w:rPr>
          <w:spacing w:val="-4"/>
          <w:sz w:val="18"/>
        </w:rPr>
        <w:t> </w:t>
      </w:r>
      <w:r>
        <w:rPr>
          <w:sz w:val="18"/>
        </w:rPr>
        <w:t>general</w:t>
      </w:r>
      <w:r>
        <w:rPr>
          <w:spacing w:val="-4"/>
          <w:sz w:val="18"/>
        </w:rPr>
        <w:t> </w:t>
      </w:r>
      <w:r>
        <w:rPr>
          <w:sz w:val="18"/>
        </w:rPr>
        <w:t>o</w:t>
      </w:r>
      <w:r>
        <w:rPr>
          <w:spacing w:val="-6"/>
          <w:sz w:val="18"/>
        </w:rPr>
        <w:t> </w:t>
      </w:r>
      <w:r>
        <w:rPr>
          <w:sz w:val="18"/>
        </w:rPr>
        <w:t>si</w:t>
      </w:r>
      <w:r>
        <w:rPr>
          <w:spacing w:val="-4"/>
          <w:sz w:val="18"/>
        </w:rPr>
        <w:t> </w:t>
      </w:r>
      <w:r>
        <w:rPr>
          <w:sz w:val="18"/>
        </w:rPr>
        <w:t>son</w:t>
      </w:r>
      <w:r>
        <w:rPr>
          <w:spacing w:val="-4"/>
          <w:sz w:val="18"/>
        </w:rPr>
        <w:t> </w:t>
      </w:r>
      <w:r>
        <w:rPr>
          <w:sz w:val="18"/>
        </w:rPr>
        <w:t>a</w:t>
      </w:r>
      <w:r>
        <w:rPr>
          <w:spacing w:val="-4"/>
          <w:sz w:val="18"/>
        </w:rPr>
        <w:t> </w:t>
      </w:r>
      <w:r>
        <w:rPr>
          <w:sz w:val="18"/>
        </w:rPr>
        <w:t>veces</w:t>
      </w:r>
      <w:r>
        <w:rPr>
          <w:spacing w:val="-3"/>
          <w:sz w:val="18"/>
        </w:rPr>
        <w:t> </w:t>
      </w:r>
      <w:r>
        <w:rPr>
          <w:sz w:val="18"/>
        </w:rPr>
        <w:t>por</w:t>
      </w:r>
      <w:r>
        <w:rPr>
          <w:spacing w:val="-4"/>
          <w:sz w:val="18"/>
        </w:rPr>
        <w:t> </w:t>
      </w:r>
      <w:r>
        <w:rPr>
          <w:sz w:val="18"/>
        </w:rPr>
        <w:t>el tipo de información que requieren son del sector empresarial? ¿Quiénes son los que solicitan información?</w:t>
      </w:r>
    </w:p>
    <w:p>
      <w:pPr>
        <w:pStyle w:val="BodyText"/>
        <w:rPr>
          <w:sz w:val="18"/>
        </w:rPr>
      </w:pPr>
    </w:p>
    <w:p>
      <w:pPr>
        <w:pStyle w:val="BodyText"/>
        <w:rPr>
          <w:sz w:val="18"/>
        </w:rPr>
      </w:pPr>
    </w:p>
    <w:p>
      <w:pPr>
        <w:spacing w:line="240" w:lineRule="auto" w:before="111"/>
        <w:ind w:left="454" w:right="405" w:firstLine="0"/>
        <w:jc w:val="both"/>
        <w:rPr>
          <w:sz w:val="18"/>
        </w:rPr>
      </w:pPr>
      <w:r>
        <w:rPr>
          <w:b/>
          <w:sz w:val="18"/>
        </w:rPr>
        <w:t>Bertha Lilia: </w:t>
      </w:r>
      <w:r>
        <w:rPr>
          <w:sz w:val="18"/>
        </w:rPr>
        <w:t>Sí, recientemente tuvimos una solicitud que tiene que ver con una empresa fue un poco fuera de lo común por las preguntas y las cosas que se solicitaron en total. Pero finalmente cuando</w:t>
      </w:r>
      <w:r>
        <w:rPr>
          <w:spacing w:val="-11"/>
          <w:sz w:val="18"/>
        </w:rPr>
        <w:t> </w:t>
      </w:r>
      <w:r>
        <w:rPr>
          <w:sz w:val="18"/>
        </w:rPr>
        <w:t>la</w:t>
      </w:r>
      <w:r>
        <w:rPr>
          <w:spacing w:val="-12"/>
          <w:sz w:val="18"/>
        </w:rPr>
        <w:t> </w:t>
      </w:r>
      <w:r>
        <w:rPr>
          <w:sz w:val="18"/>
        </w:rPr>
        <w:t>mayoría</w:t>
      </w:r>
      <w:r>
        <w:rPr>
          <w:spacing w:val="-9"/>
          <w:sz w:val="18"/>
        </w:rPr>
        <w:t> </w:t>
      </w:r>
      <w:r>
        <w:rPr>
          <w:sz w:val="18"/>
        </w:rPr>
        <w:t>vienen</w:t>
      </w:r>
      <w:r>
        <w:rPr>
          <w:spacing w:val="-12"/>
          <w:sz w:val="18"/>
        </w:rPr>
        <w:t> </w:t>
      </w:r>
      <w:r>
        <w:rPr>
          <w:sz w:val="18"/>
        </w:rPr>
        <w:t>a</w:t>
      </w:r>
      <w:r>
        <w:rPr>
          <w:spacing w:val="-12"/>
          <w:sz w:val="18"/>
        </w:rPr>
        <w:t> </w:t>
      </w:r>
      <w:r>
        <w:rPr>
          <w:sz w:val="18"/>
        </w:rPr>
        <w:t>solicitar</w:t>
      </w:r>
      <w:r>
        <w:rPr>
          <w:spacing w:val="-13"/>
          <w:sz w:val="18"/>
        </w:rPr>
        <w:t> </w:t>
      </w:r>
      <w:r>
        <w:rPr>
          <w:sz w:val="18"/>
        </w:rPr>
        <w:t>información</w:t>
      </w:r>
      <w:r>
        <w:rPr>
          <w:spacing w:val="-12"/>
          <w:sz w:val="18"/>
        </w:rPr>
        <w:t> </w:t>
      </w:r>
      <w:r>
        <w:rPr>
          <w:sz w:val="18"/>
        </w:rPr>
        <w:t>sabemos</w:t>
      </w:r>
      <w:r>
        <w:rPr>
          <w:spacing w:val="-12"/>
          <w:sz w:val="18"/>
        </w:rPr>
        <w:t> </w:t>
      </w:r>
      <w:r>
        <w:rPr>
          <w:sz w:val="18"/>
        </w:rPr>
        <w:t>que</w:t>
      </w:r>
      <w:r>
        <w:rPr>
          <w:spacing w:val="-10"/>
          <w:sz w:val="18"/>
        </w:rPr>
        <w:t> </w:t>
      </w:r>
      <w:r>
        <w:rPr>
          <w:sz w:val="18"/>
        </w:rPr>
        <w:t>son</w:t>
      </w:r>
      <w:r>
        <w:rPr>
          <w:spacing w:val="-12"/>
          <w:sz w:val="18"/>
        </w:rPr>
        <w:t> </w:t>
      </w:r>
      <w:r>
        <w:rPr>
          <w:sz w:val="18"/>
        </w:rPr>
        <w:t>estudiantes</w:t>
      </w:r>
      <w:r>
        <w:rPr>
          <w:spacing w:val="-12"/>
          <w:sz w:val="18"/>
        </w:rPr>
        <w:t> </w:t>
      </w:r>
      <w:r>
        <w:rPr>
          <w:sz w:val="18"/>
        </w:rPr>
        <w:t>pero</w:t>
      </w:r>
      <w:r>
        <w:rPr>
          <w:spacing w:val="-12"/>
          <w:sz w:val="18"/>
        </w:rPr>
        <w:t> </w:t>
      </w:r>
      <w:r>
        <w:rPr>
          <w:sz w:val="18"/>
        </w:rPr>
        <w:t>cuando</w:t>
      </w:r>
      <w:r>
        <w:rPr>
          <w:spacing w:val="-12"/>
          <w:sz w:val="18"/>
        </w:rPr>
        <w:t> </w:t>
      </w:r>
      <w:r>
        <w:rPr>
          <w:sz w:val="18"/>
        </w:rPr>
        <w:t>solicitan información podemos identificar por la forma estructurada de las preguntas. Pero la mayoría de las solicitudes no lo sabemos porque es anónimo. Digo la mayoría de </w:t>
      </w:r>
      <w:r>
        <w:rPr>
          <w:spacing w:val="2"/>
          <w:sz w:val="18"/>
        </w:rPr>
        <w:t>las </w:t>
      </w:r>
      <w:r>
        <w:rPr>
          <w:sz w:val="18"/>
        </w:rPr>
        <w:t>veces intuimos por la información</w:t>
      </w:r>
      <w:r>
        <w:rPr>
          <w:spacing w:val="-4"/>
          <w:sz w:val="18"/>
        </w:rPr>
        <w:t> </w:t>
      </w:r>
      <w:r>
        <w:rPr>
          <w:sz w:val="18"/>
        </w:rPr>
        <w:t>que</w:t>
      </w:r>
      <w:r>
        <w:rPr>
          <w:spacing w:val="-4"/>
          <w:sz w:val="18"/>
        </w:rPr>
        <w:t> </w:t>
      </w:r>
      <w:r>
        <w:rPr>
          <w:sz w:val="18"/>
        </w:rPr>
        <w:t>nos</w:t>
      </w:r>
      <w:r>
        <w:rPr>
          <w:spacing w:val="-3"/>
          <w:sz w:val="18"/>
        </w:rPr>
        <w:t> </w:t>
      </w:r>
      <w:r>
        <w:rPr>
          <w:sz w:val="18"/>
        </w:rPr>
        <w:t>piden</w:t>
      </w:r>
      <w:r>
        <w:rPr>
          <w:spacing w:val="-4"/>
          <w:sz w:val="18"/>
        </w:rPr>
        <w:t> </w:t>
      </w:r>
      <w:r>
        <w:rPr>
          <w:sz w:val="18"/>
        </w:rPr>
        <w:t>pero</w:t>
      </w:r>
      <w:r>
        <w:rPr>
          <w:spacing w:val="-4"/>
          <w:sz w:val="18"/>
        </w:rPr>
        <w:t> </w:t>
      </w:r>
      <w:r>
        <w:rPr>
          <w:sz w:val="18"/>
        </w:rPr>
        <w:t>no</w:t>
      </w:r>
      <w:r>
        <w:rPr>
          <w:spacing w:val="-4"/>
          <w:sz w:val="18"/>
        </w:rPr>
        <w:t> </w:t>
      </w:r>
      <w:r>
        <w:rPr>
          <w:sz w:val="18"/>
        </w:rPr>
        <w:t>sabemos</w:t>
      </w:r>
      <w:r>
        <w:rPr>
          <w:spacing w:val="-6"/>
          <w:sz w:val="18"/>
        </w:rPr>
        <w:t> </w:t>
      </w:r>
      <w:r>
        <w:rPr>
          <w:sz w:val="18"/>
        </w:rPr>
        <w:t>si</w:t>
      </w:r>
      <w:r>
        <w:rPr>
          <w:spacing w:val="-4"/>
          <w:sz w:val="18"/>
        </w:rPr>
        <w:t> </w:t>
      </w:r>
      <w:r>
        <w:rPr>
          <w:sz w:val="18"/>
        </w:rPr>
        <w:t>son</w:t>
      </w:r>
      <w:r>
        <w:rPr>
          <w:spacing w:val="-4"/>
          <w:sz w:val="18"/>
        </w:rPr>
        <w:t> </w:t>
      </w:r>
      <w:r>
        <w:rPr>
          <w:sz w:val="18"/>
        </w:rPr>
        <w:t>académicos</w:t>
      </w:r>
      <w:r>
        <w:rPr>
          <w:spacing w:val="-3"/>
          <w:sz w:val="18"/>
        </w:rPr>
        <w:t> </w:t>
      </w:r>
      <w:r>
        <w:rPr>
          <w:sz w:val="18"/>
        </w:rPr>
        <w:t>o</w:t>
      </w:r>
      <w:r>
        <w:rPr>
          <w:spacing w:val="-6"/>
          <w:sz w:val="18"/>
        </w:rPr>
        <w:t> </w:t>
      </w:r>
      <w:r>
        <w:rPr>
          <w:sz w:val="18"/>
        </w:rPr>
        <w:t>son</w:t>
      </w:r>
      <w:r>
        <w:rPr>
          <w:spacing w:val="-6"/>
          <w:sz w:val="18"/>
        </w:rPr>
        <w:t> </w:t>
      </w:r>
      <w:r>
        <w:rPr>
          <w:sz w:val="18"/>
        </w:rPr>
        <w:t>empresas</w:t>
      </w:r>
      <w:r>
        <w:rPr>
          <w:spacing w:val="-3"/>
          <w:sz w:val="18"/>
        </w:rPr>
        <w:t> </w:t>
      </w:r>
      <w:r>
        <w:rPr>
          <w:sz w:val="18"/>
        </w:rPr>
        <w:t>pero</w:t>
      </w:r>
      <w:r>
        <w:rPr>
          <w:spacing w:val="-4"/>
          <w:sz w:val="18"/>
        </w:rPr>
        <w:t> </w:t>
      </w:r>
      <w:r>
        <w:rPr>
          <w:sz w:val="18"/>
        </w:rPr>
        <w:t>no</w:t>
      </w:r>
      <w:r>
        <w:rPr>
          <w:spacing w:val="-4"/>
          <w:sz w:val="18"/>
        </w:rPr>
        <w:t> </w:t>
      </w:r>
      <w:r>
        <w:rPr>
          <w:sz w:val="18"/>
        </w:rPr>
        <w:t>nos</w:t>
      </w:r>
      <w:r>
        <w:rPr>
          <w:spacing w:val="-3"/>
          <w:sz w:val="18"/>
        </w:rPr>
        <w:t> </w:t>
      </w:r>
      <w:r>
        <w:rPr>
          <w:sz w:val="18"/>
        </w:rPr>
        <w:t>queda claro. Siempre cuando vienen aquí hay sí sabemos porque les pedimos que se registren en un formato, pero en internet no sabemos si la persona que se registra realmente</w:t>
      </w:r>
      <w:r>
        <w:rPr>
          <w:spacing w:val="-31"/>
          <w:sz w:val="18"/>
        </w:rPr>
        <w:t> </w:t>
      </w:r>
      <w:r>
        <w:rPr>
          <w:sz w:val="18"/>
        </w:rPr>
        <w:t>existe.</w:t>
      </w:r>
    </w:p>
    <w:p>
      <w:pPr>
        <w:pStyle w:val="BodyText"/>
        <w:rPr>
          <w:sz w:val="18"/>
        </w:rPr>
      </w:pPr>
    </w:p>
    <w:p>
      <w:pPr>
        <w:pStyle w:val="BodyText"/>
        <w:rPr>
          <w:sz w:val="18"/>
        </w:rPr>
      </w:pPr>
    </w:p>
    <w:p>
      <w:pPr>
        <w:spacing w:line="242" w:lineRule="auto" w:before="108"/>
        <w:ind w:left="454" w:right="408" w:firstLine="0"/>
        <w:jc w:val="both"/>
        <w:rPr>
          <w:sz w:val="18"/>
        </w:rPr>
      </w:pPr>
      <w:r>
        <w:rPr>
          <w:b/>
          <w:sz w:val="18"/>
        </w:rPr>
        <w:t>Gabriel: </w:t>
      </w:r>
      <w:r>
        <w:rPr>
          <w:sz w:val="18"/>
        </w:rPr>
        <w:t>Correcto, ahora, ¿La estadística refleja que en los periodos electorales se incrementa la participación? ¿Confía usted que esto puede ser por partidos de oposición que han tratado de publicar información de esto o simplemente es por silencio?</w:t>
      </w:r>
    </w:p>
    <w:p>
      <w:pPr>
        <w:spacing w:after="0" w:line="242" w:lineRule="auto"/>
        <w:jc w:val="both"/>
        <w:rPr>
          <w:sz w:val="18"/>
        </w:rPr>
        <w:sectPr>
          <w:pgSz w:w="12240" w:h="15840"/>
          <w:pgMar w:header="0" w:footer="975" w:top="1360" w:bottom="1220" w:left="1720" w:right="1720"/>
        </w:sectPr>
      </w:pPr>
    </w:p>
    <w:p>
      <w:pPr>
        <w:pStyle w:val="BodyText"/>
        <w:spacing w:before="5"/>
        <w:rPr>
          <w:sz w:val="17"/>
        </w:rPr>
      </w:pPr>
    </w:p>
    <w:p>
      <w:pPr>
        <w:spacing w:line="240" w:lineRule="auto" w:before="77"/>
        <w:ind w:left="454" w:right="404" w:firstLine="0"/>
        <w:jc w:val="both"/>
        <w:rPr>
          <w:sz w:val="18"/>
        </w:rPr>
      </w:pPr>
      <w:r>
        <w:rPr>
          <w:b/>
          <w:sz w:val="18"/>
        </w:rPr>
        <w:t>Bertha Lilia: </w:t>
      </w:r>
      <w:r>
        <w:rPr>
          <w:sz w:val="18"/>
        </w:rPr>
        <w:t>Mire, yo creo que aún no nos ha pasado pero en los próximos meses yo creo que si va a ver este tipo de escenarios para de alguna manera dejar al partido gobernante fuera. Apenas llevamos un año y medio quién estuviera a cargo de esa área le preocupa que se les vaya alguna información que sobre un partido político no vaya a afectar o a favorecer.</w:t>
      </w:r>
    </w:p>
    <w:p>
      <w:pPr>
        <w:pStyle w:val="BodyText"/>
        <w:rPr>
          <w:sz w:val="18"/>
        </w:rPr>
      </w:pPr>
    </w:p>
    <w:p>
      <w:pPr>
        <w:pStyle w:val="BodyText"/>
        <w:rPr>
          <w:sz w:val="18"/>
        </w:rPr>
      </w:pPr>
    </w:p>
    <w:p>
      <w:pPr>
        <w:spacing w:before="111"/>
        <w:ind w:left="454" w:right="409" w:firstLine="0"/>
        <w:jc w:val="both"/>
        <w:rPr>
          <w:sz w:val="18"/>
        </w:rPr>
      </w:pPr>
      <w:r>
        <w:rPr>
          <w:b/>
          <w:sz w:val="18"/>
        </w:rPr>
        <w:t>Gabriel: </w:t>
      </w:r>
      <w:r>
        <w:rPr>
          <w:sz w:val="18"/>
        </w:rPr>
        <w:t>Correcto, ¿Considera usted que el partido político ha hecho algo importante para definir quiénes son transparentes y si otros partidos como el PAN PRD promueven la transparencia?</w:t>
      </w:r>
    </w:p>
    <w:p>
      <w:pPr>
        <w:pStyle w:val="BodyText"/>
        <w:rPr>
          <w:sz w:val="18"/>
        </w:rPr>
      </w:pPr>
    </w:p>
    <w:p>
      <w:pPr>
        <w:pStyle w:val="BodyText"/>
        <w:rPr>
          <w:sz w:val="18"/>
        </w:rPr>
      </w:pPr>
    </w:p>
    <w:p>
      <w:pPr>
        <w:spacing w:line="240" w:lineRule="auto" w:before="111"/>
        <w:ind w:left="454" w:right="402" w:firstLine="0"/>
        <w:jc w:val="both"/>
        <w:rPr>
          <w:sz w:val="18"/>
        </w:rPr>
      </w:pPr>
      <w:r>
        <w:rPr>
          <w:b/>
          <w:sz w:val="18"/>
        </w:rPr>
        <w:t>Bertha Lilia: </w:t>
      </w:r>
      <w:r>
        <w:rPr>
          <w:sz w:val="18"/>
        </w:rPr>
        <w:t>No yo creo que no debería de influir, no importaría si yo fuera del PAN o del PRD yo creo</w:t>
      </w:r>
      <w:r>
        <w:rPr>
          <w:spacing w:val="-6"/>
          <w:sz w:val="18"/>
        </w:rPr>
        <w:t> </w:t>
      </w:r>
      <w:r>
        <w:rPr>
          <w:sz w:val="18"/>
        </w:rPr>
        <w:t>que</w:t>
      </w:r>
      <w:r>
        <w:rPr>
          <w:spacing w:val="-6"/>
          <w:sz w:val="18"/>
        </w:rPr>
        <w:t> </w:t>
      </w:r>
      <w:r>
        <w:rPr>
          <w:sz w:val="18"/>
        </w:rPr>
        <w:t>seguiría</w:t>
      </w:r>
      <w:r>
        <w:rPr>
          <w:spacing w:val="-6"/>
          <w:sz w:val="18"/>
        </w:rPr>
        <w:t> </w:t>
      </w:r>
      <w:r>
        <w:rPr>
          <w:sz w:val="18"/>
        </w:rPr>
        <w:t>siendo</w:t>
      </w:r>
      <w:r>
        <w:rPr>
          <w:spacing w:val="-4"/>
          <w:sz w:val="18"/>
        </w:rPr>
        <w:t> </w:t>
      </w:r>
      <w:r>
        <w:rPr>
          <w:sz w:val="18"/>
        </w:rPr>
        <w:t>igual.</w:t>
      </w:r>
      <w:r>
        <w:rPr>
          <w:spacing w:val="-6"/>
          <w:sz w:val="18"/>
        </w:rPr>
        <w:t> </w:t>
      </w:r>
      <w:r>
        <w:rPr>
          <w:sz w:val="18"/>
        </w:rPr>
        <w:t>En</w:t>
      </w:r>
      <w:r>
        <w:rPr>
          <w:spacing w:val="-6"/>
          <w:sz w:val="18"/>
        </w:rPr>
        <w:t> </w:t>
      </w:r>
      <w:r>
        <w:rPr>
          <w:sz w:val="18"/>
        </w:rPr>
        <w:t>ese</w:t>
      </w:r>
      <w:r>
        <w:rPr>
          <w:spacing w:val="-6"/>
          <w:sz w:val="18"/>
        </w:rPr>
        <w:t> </w:t>
      </w:r>
      <w:r>
        <w:rPr>
          <w:sz w:val="18"/>
        </w:rPr>
        <w:t>aspecto</w:t>
      </w:r>
      <w:r>
        <w:rPr>
          <w:spacing w:val="-6"/>
          <w:sz w:val="18"/>
        </w:rPr>
        <w:t> </w:t>
      </w:r>
      <w:r>
        <w:rPr>
          <w:sz w:val="18"/>
        </w:rPr>
        <w:t>yo</w:t>
      </w:r>
      <w:r>
        <w:rPr>
          <w:spacing w:val="-4"/>
          <w:sz w:val="18"/>
        </w:rPr>
        <w:t> </w:t>
      </w:r>
      <w:r>
        <w:rPr>
          <w:sz w:val="18"/>
        </w:rPr>
        <w:t>creo</w:t>
      </w:r>
      <w:r>
        <w:rPr>
          <w:spacing w:val="-6"/>
          <w:sz w:val="18"/>
        </w:rPr>
        <w:t> </w:t>
      </w:r>
      <w:r>
        <w:rPr>
          <w:sz w:val="18"/>
        </w:rPr>
        <w:t>que</w:t>
      </w:r>
      <w:r>
        <w:rPr>
          <w:spacing w:val="-6"/>
          <w:sz w:val="18"/>
        </w:rPr>
        <w:t> </w:t>
      </w:r>
      <w:r>
        <w:rPr>
          <w:sz w:val="18"/>
        </w:rPr>
        <w:t>no</w:t>
      </w:r>
      <w:r>
        <w:rPr>
          <w:spacing w:val="-4"/>
          <w:sz w:val="18"/>
        </w:rPr>
        <w:t> </w:t>
      </w:r>
      <w:r>
        <w:rPr>
          <w:sz w:val="18"/>
        </w:rPr>
        <w:t>debería</w:t>
      </w:r>
      <w:r>
        <w:rPr>
          <w:spacing w:val="-6"/>
          <w:sz w:val="18"/>
        </w:rPr>
        <w:t> </w:t>
      </w:r>
      <w:r>
        <w:rPr>
          <w:sz w:val="18"/>
        </w:rPr>
        <w:t>afectar</w:t>
      </w:r>
      <w:r>
        <w:rPr>
          <w:spacing w:val="-4"/>
          <w:sz w:val="18"/>
        </w:rPr>
        <w:t> </w:t>
      </w:r>
      <w:r>
        <w:rPr>
          <w:sz w:val="18"/>
        </w:rPr>
        <w:t>el</w:t>
      </w:r>
      <w:r>
        <w:rPr>
          <w:spacing w:val="2"/>
          <w:sz w:val="18"/>
        </w:rPr>
        <w:t> </w:t>
      </w:r>
      <w:r>
        <w:rPr>
          <w:sz w:val="18"/>
        </w:rPr>
        <w:t>partido</w:t>
      </w:r>
      <w:r>
        <w:rPr>
          <w:spacing w:val="-6"/>
          <w:sz w:val="18"/>
        </w:rPr>
        <w:t> </w:t>
      </w:r>
      <w:r>
        <w:rPr>
          <w:sz w:val="18"/>
        </w:rPr>
        <w:t>político</w:t>
      </w:r>
      <w:r>
        <w:rPr>
          <w:spacing w:val="-6"/>
          <w:sz w:val="18"/>
        </w:rPr>
        <w:t> </w:t>
      </w:r>
      <w:r>
        <w:rPr>
          <w:sz w:val="18"/>
        </w:rPr>
        <w:t>a</w:t>
      </w:r>
      <w:r>
        <w:rPr>
          <w:spacing w:val="-6"/>
          <w:sz w:val="18"/>
        </w:rPr>
        <w:t> </w:t>
      </w:r>
      <w:r>
        <w:rPr>
          <w:sz w:val="18"/>
        </w:rPr>
        <w:t>lo mejor ahí va publicar que no debiera o viceversa sobre qué información debería ser pública. De ahí va</w:t>
      </w:r>
      <w:r>
        <w:rPr>
          <w:spacing w:val="-3"/>
          <w:sz w:val="18"/>
        </w:rPr>
        <w:t> </w:t>
      </w:r>
      <w:r>
        <w:rPr>
          <w:sz w:val="18"/>
        </w:rPr>
        <w:t>a</w:t>
      </w:r>
      <w:r>
        <w:rPr>
          <w:spacing w:val="-3"/>
          <w:sz w:val="18"/>
        </w:rPr>
        <w:t> </w:t>
      </w:r>
      <w:r>
        <w:rPr>
          <w:sz w:val="18"/>
        </w:rPr>
        <w:t>depender</w:t>
      </w:r>
      <w:r>
        <w:rPr>
          <w:spacing w:val="-6"/>
          <w:sz w:val="18"/>
        </w:rPr>
        <w:t> </w:t>
      </w:r>
      <w:r>
        <w:rPr>
          <w:sz w:val="18"/>
        </w:rPr>
        <w:t>del</w:t>
      </w:r>
      <w:r>
        <w:rPr>
          <w:spacing w:val="-5"/>
          <w:sz w:val="18"/>
        </w:rPr>
        <w:t> </w:t>
      </w:r>
      <w:r>
        <w:rPr>
          <w:sz w:val="18"/>
        </w:rPr>
        <w:t>interés</w:t>
      </w:r>
      <w:r>
        <w:rPr>
          <w:spacing w:val="-2"/>
          <w:sz w:val="18"/>
        </w:rPr>
        <w:t> </w:t>
      </w:r>
      <w:r>
        <w:rPr>
          <w:sz w:val="18"/>
        </w:rPr>
        <w:t>del</w:t>
      </w:r>
      <w:r>
        <w:rPr>
          <w:spacing w:val="-3"/>
          <w:sz w:val="18"/>
        </w:rPr>
        <w:t> </w:t>
      </w:r>
      <w:r>
        <w:rPr>
          <w:sz w:val="18"/>
        </w:rPr>
        <w:t>titulado</w:t>
      </w:r>
      <w:r>
        <w:rPr>
          <w:spacing w:val="-3"/>
          <w:sz w:val="18"/>
        </w:rPr>
        <w:t> </w:t>
      </w:r>
      <w:r>
        <w:rPr>
          <w:sz w:val="18"/>
        </w:rPr>
        <w:t>del</w:t>
      </w:r>
      <w:r>
        <w:rPr>
          <w:spacing w:val="-3"/>
          <w:sz w:val="18"/>
        </w:rPr>
        <w:t> </w:t>
      </w:r>
      <w:r>
        <w:rPr>
          <w:sz w:val="18"/>
        </w:rPr>
        <w:t>Presidente</w:t>
      </w:r>
      <w:r>
        <w:rPr>
          <w:spacing w:val="-3"/>
          <w:sz w:val="18"/>
        </w:rPr>
        <w:t> </w:t>
      </w:r>
      <w:r>
        <w:rPr>
          <w:sz w:val="18"/>
        </w:rPr>
        <w:t>o</w:t>
      </w:r>
      <w:r>
        <w:rPr>
          <w:spacing w:val="-3"/>
          <w:sz w:val="18"/>
        </w:rPr>
        <w:t> </w:t>
      </w:r>
      <w:r>
        <w:rPr>
          <w:sz w:val="18"/>
        </w:rPr>
        <w:t>Presidenta</w:t>
      </w:r>
      <w:r>
        <w:rPr>
          <w:spacing w:val="-5"/>
          <w:sz w:val="18"/>
        </w:rPr>
        <w:t> </w:t>
      </w:r>
      <w:r>
        <w:rPr>
          <w:sz w:val="18"/>
        </w:rPr>
        <w:t>municipal.</w:t>
      </w:r>
    </w:p>
    <w:p>
      <w:pPr>
        <w:pStyle w:val="BodyText"/>
        <w:rPr>
          <w:sz w:val="18"/>
        </w:rPr>
      </w:pPr>
    </w:p>
    <w:p>
      <w:pPr>
        <w:pStyle w:val="BodyText"/>
        <w:rPr>
          <w:sz w:val="18"/>
        </w:rPr>
      </w:pPr>
    </w:p>
    <w:p>
      <w:pPr>
        <w:spacing w:line="240" w:lineRule="auto" w:before="109"/>
        <w:ind w:left="454" w:right="403" w:firstLine="0"/>
        <w:jc w:val="both"/>
        <w:rPr>
          <w:sz w:val="18"/>
        </w:rPr>
      </w:pPr>
      <w:r>
        <w:rPr>
          <w:b/>
          <w:sz w:val="18"/>
        </w:rPr>
        <w:t>Gabriel:</w:t>
      </w:r>
      <w:r>
        <w:rPr>
          <w:b/>
          <w:spacing w:val="-4"/>
          <w:sz w:val="18"/>
        </w:rPr>
        <w:t> </w:t>
      </w:r>
      <w:r>
        <w:rPr>
          <w:sz w:val="18"/>
        </w:rPr>
        <w:t>Correcto,</w:t>
      </w:r>
      <w:r>
        <w:rPr>
          <w:spacing w:val="-4"/>
          <w:sz w:val="18"/>
        </w:rPr>
        <w:t> </w:t>
      </w:r>
      <w:r>
        <w:rPr>
          <w:sz w:val="18"/>
        </w:rPr>
        <w:t>¿en</w:t>
      </w:r>
      <w:r>
        <w:rPr>
          <w:spacing w:val="-4"/>
          <w:sz w:val="18"/>
        </w:rPr>
        <w:t> </w:t>
      </w:r>
      <w:r>
        <w:rPr>
          <w:sz w:val="18"/>
        </w:rPr>
        <w:t>su</w:t>
      </w:r>
      <w:r>
        <w:rPr>
          <w:spacing w:val="-4"/>
          <w:sz w:val="18"/>
        </w:rPr>
        <w:t> </w:t>
      </w:r>
      <w:r>
        <w:rPr>
          <w:sz w:val="18"/>
        </w:rPr>
        <w:t>año</w:t>
      </w:r>
      <w:r>
        <w:rPr>
          <w:spacing w:val="-4"/>
          <w:sz w:val="18"/>
        </w:rPr>
        <w:t> </w:t>
      </w:r>
      <w:r>
        <w:rPr>
          <w:sz w:val="18"/>
        </w:rPr>
        <w:t>y</w:t>
      </w:r>
      <w:r>
        <w:rPr>
          <w:spacing w:val="-3"/>
          <w:sz w:val="18"/>
        </w:rPr>
        <w:t> </w:t>
      </w:r>
      <w:r>
        <w:rPr>
          <w:sz w:val="18"/>
        </w:rPr>
        <w:t>medio</w:t>
      </w:r>
      <w:r>
        <w:rPr>
          <w:spacing w:val="-4"/>
          <w:sz w:val="18"/>
        </w:rPr>
        <w:t> </w:t>
      </w:r>
      <w:r>
        <w:rPr>
          <w:sz w:val="18"/>
        </w:rPr>
        <w:t>que</w:t>
      </w:r>
      <w:r>
        <w:rPr>
          <w:spacing w:val="-4"/>
          <w:sz w:val="18"/>
        </w:rPr>
        <w:t> </w:t>
      </w:r>
      <w:r>
        <w:rPr>
          <w:sz w:val="18"/>
        </w:rPr>
        <w:t>tienen</w:t>
      </w:r>
      <w:r>
        <w:rPr>
          <w:spacing w:val="-4"/>
          <w:sz w:val="18"/>
        </w:rPr>
        <w:t> </w:t>
      </w:r>
      <w:r>
        <w:rPr>
          <w:sz w:val="18"/>
        </w:rPr>
        <w:t>experiencia</w:t>
      </w:r>
      <w:r>
        <w:rPr>
          <w:spacing w:val="-2"/>
          <w:sz w:val="18"/>
        </w:rPr>
        <w:t> </w:t>
      </w:r>
      <w:r>
        <w:rPr>
          <w:sz w:val="18"/>
        </w:rPr>
        <w:t>en</w:t>
      </w:r>
      <w:r>
        <w:rPr>
          <w:spacing w:val="-4"/>
          <w:sz w:val="18"/>
        </w:rPr>
        <w:t> </w:t>
      </w:r>
      <w:r>
        <w:rPr>
          <w:sz w:val="18"/>
        </w:rPr>
        <w:t>esta</w:t>
      </w:r>
      <w:r>
        <w:rPr>
          <w:spacing w:val="-4"/>
          <w:sz w:val="18"/>
        </w:rPr>
        <w:t> </w:t>
      </w:r>
      <w:r>
        <w:rPr>
          <w:sz w:val="18"/>
        </w:rPr>
        <w:t>unidad?</w:t>
      </w:r>
      <w:r>
        <w:rPr>
          <w:spacing w:val="-4"/>
          <w:sz w:val="18"/>
        </w:rPr>
        <w:t> </w:t>
      </w:r>
      <w:r>
        <w:rPr>
          <w:sz w:val="18"/>
        </w:rPr>
        <w:t>¿qué</w:t>
      </w:r>
      <w:r>
        <w:rPr>
          <w:spacing w:val="-2"/>
          <w:sz w:val="18"/>
        </w:rPr>
        <w:t> </w:t>
      </w:r>
      <w:r>
        <w:rPr>
          <w:sz w:val="18"/>
        </w:rPr>
        <w:t>ha</w:t>
      </w:r>
      <w:r>
        <w:rPr>
          <w:spacing w:val="-4"/>
          <w:sz w:val="18"/>
        </w:rPr>
        <w:t> </w:t>
      </w:r>
      <w:r>
        <w:rPr>
          <w:sz w:val="18"/>
        </w:rPr>
        <w:t>notado</w:t>
      </w:r>
      <w:r>
        <w:rPr>
          <w:spacing w:val="-4"/>
          <w:sz w:val="18"/>
        </w:rPr>
        <w:t> </w:t>
      </w:r>
      <w:r>
        <w:rPr>
          <w:sz w:val="18"/>
        </w:rPr>
        <w:t>que se ha hecho en la administración pasada? ¿Qué se ha hecho en esta administración y la pasada con</w:t>
      </w:r>
      <w:r>
        <w:rPr>
          <w:spacing w:val="-6"/>
          <w:sz w:val="18"/>
        </w:rPr>
        <w:t> </w:t>
      </w:r>
      <w:r>
        <w:rPr>
          <w:sz w:val="18"/>
        </w:rPr>
        <w:t>relación</w:t>
      </w:r>
      <w:r>
        <w:rPr>
          <w:spacing w:val="-9"/>
          <w:sz w:val="18"/>
        </w:rPr>
        <w:t> </w:t>
      </w:r>
      <w:r>
        <w:rPr>
          <w:sz w:val="18"/>
        </w:rPr>
        <w:t>a</w:t>
      </w:r>
      <w:r>
        <w:rPr>
          <w:spacing w:val="-6"/>
          <w:sz w:val="18"/>
        </w:rPr>
        <w:t> </w:t>
      </w:r>
      <w:r>
        <w:rPr>
          <w:sz w:val="18"/>
        </w:rPr>
        <w:t>la</w:t>
      </w:r>
      <w:r>
        <w:rPr>
          <w:spacing w:val="-9"/>
          <w:sz w:val="18"/>
        </w:rPr>
        <w:t> </w:t>
      </w:r>
      <w:r>
        <w:rPr>
          <w:sz w:val="18"/>
        </w:rPr>
        <w:t>transparencia?,</w:t>
      </w:r>
      <w:r>
        <w:rPr>
          <w:spacing w:val="-7"/>
          <w:sz w:val="18"/>
        </w:rPr>
        <w:t> </w:t>
      </w:r>
      <w:r>
        <w:rPr>
          <w:sz w:val="18"/>
        </w:rPr>
        <w:t>¿Qué</w:t>
      </w:r>
      <w:r>
        <w:rPr>
          <w:spacing w:val="-6"/>
          <w:sz w:val="18"/>
        </w:rPr>
        <w:t> </w:t>
      </w:r>
      <w:r>
        <w:rPr>
          <w:sz w:val="18"/>
        </w:rPr>
        <w:t>está</w:t>
      </w:r>
      <w:r>
        <w:rPr>
          <w:spacing w:val="-6"/>
          <w:sz w:val="18"/>
        </w:rPr>
        <w:t> </w:t>
      </w:r>
      <w:r>
        <w:rPr>
          <w:sz w:val="18"/>
        </w:rPr>
        <w:t>haciendo</w:t>
      </w:r>
      <w:r>
        <w:rPr>
          <w:spacing w:val="-6"/>
          <w:sz w:val="18"/>
        </w:rPr>
        <w:t> </w:t>
      </w:r>
      <w:r>
        <w:rPr>
          <w:sz w:val="18"/>
        </w:rPr>
        <w:t>usted</w:t>
      </w:r>
      <w:r>
        <w:rPr>
          <w:spacing w:val="-9"/>
          <w:sz w:val="18"/>
        </w:rPr>
        <w:t> </w:t>
      </w:r>
      <w:r>
        <w:rPr>
          <w:sz w:val="18"/>
        </w:rPr>
        <w:t>con</w:t>
      </w:r>
      <w:r>
        <w:rPr>
          <w:spacing w:val="-6"/>
          <w:sz w:val="18"/>
        </w:rPr>
        <w:t> </w:t>
      </w:r>
      <w:r>
        <w:rPr>
          <w:sz w:val="18"/>
        </w:rPr>
        <w:t>relación</w:t>
      </w:r>
      <w:r>
        <w:rPr>
          <w:spacing w:val="-6"/>
          <w:sz w:val="18"/>
        </w:rPr>
        <w:t> </w:t>
      </w:r>
      <w:r>
        <w:rPr>
          <w:sz w:val="18"/>
        </w:rPr>
        <w:t>a</w:t>
      </w:r>
      <w:r>
        <w:rPr>
          <w:spacing w:val="-9"/>
          <w:sz w:val="18"/>
        </w:rPr>
        <w:t> </w:t>
      </w:r>
      <w:r>
        <w:rPr>
          <w:sz w:val="18"/>
        </w:rPr>
        <w:t>la</w:t>
      </w:r>
      <w:r>
        <w:rPr>
          <w:spacing w:val="-6"/>
          <w:sz w:val="18"/>
        </w:rPr>
        <w:t> </w:t>
      </w:r>
      <w:r>
        <w:rPr>
          <w:sz w:val="18"/>
        </w:rPr>
        <w:t>transparencia?</w:t>
      </w:r>
      <w:r>
        <w:rPr>
          <w:spacing w:val="-9"/>
          <w:sz w:val="18"/>
        </w:rPr>
        <w:t> </w:t>
      </w:r>
      <w:r>
        <w:rPr>
          <w:sz w:val="18"/>
        </w:rPr>
        <w:t>y</w:t>
      </w:r>
      <w:r>
        <w:rPr>
          <w:spacing w:val="-8"/>
          <w:sz w:val="18"/>
        </w:rPr>
        <w:t> </w:t>
      </w:r>
      <w:r>
        <w:rPr>
          <w:sz w:val="18"/>
        </w:rPr>
        <w:t>¿Qué prevé</w:t>
      </w:r>
      <w:r>
        <w:rPr>
          <w:spacing w:val="-6"/>
          <w:sz w:val="18"/>
        </w:rPr>
        <w:t> </w:t>
      </w:r>
      <w:r>
        <w:rPr>
          <w:sz w:val="18"/>
        </w:rPr>
        <w:t>que</w:t>
      </w:r>
      <w:r>
        <w:rPr>
          <w:spacing w:val="-6"/>
          <w:sz w:val="18"/>
        </w:rPr>
        <w:t> </w:t>
      </w:r>
      <w:r>
        <w:rPr>
          <w:sz w:val="18"/>
        </w:rPr>
        <w:t>se</w:t>
      </w:r>
      <w:r>
        <w:rPr>
          <w:spacing w:val="-6"/>
          <w:sz w:val="18"/>
        </w:rPr>
        <w:t> </w:t>
      </w:r>
      <w:r>
        <w:rPr>
          <w:sz w:val="18"/>
        </w:rPr>
        <w:t>tendría</w:t>
      </w:r>
      <w:r>
        <w:rPr>
          <w:spacing w:val="-6"/>
          <w:sz w:val="18"/>
        </w:rPr>
        <w:t> </w:t>
      </w:r>
      <w:r>
        <w:rPr>
          <w:sz w:val="18"/>
        </w:rPr>
        <w:t>que</w:t>
      </w:r>
      <w:r>
        <w:rPr>
          <w:spacing w:val="-4"/>
          <w:sz w:val="18"/>
        </w:rPr>
        <w:t> </w:t>
      </w:r>
      <w:r>
        <w:rPr>
          <w:sz w:val="18"/>
        </w:rPr>
        <w:t>hacer</w:t>
      </w:r>
      <w:r>
        <w:rPr>
          <w:spacing w:val="-7"/>
          <w:sz w:val="18"/>
        </w:rPr>
        <w:t> </w:t>
      </w:r>
      <w:r>
        <w:rPr>
          <w:sz w:val="18"/>
        </w:rPr>
        <w:t>en</w:t>
      </w:r>
      <w:r>
        <w:rPr>
          <w:spacing w:val="-6"/>
          <w:sz w:val="18"/>
        </w:rPr>
        <w:t> </w:t>
      </w:r>
      <w:r>
        <w:rPr>
          <w:sz w:val="18"/>
        </w:rPr>
        <w:t>caso</w:t>
      </w:r>
      <w:r>
        <w:rPr>
          <w:spacing w:val="-6"/>
          <w:sz w:val="18"/>
        </w:rPr>
        <w:t> </w:t>
      </w:r>
      <w:r>
        <w:rPr>
          <w:sz w:val="18"/>
        </w:rPr>
        <w:t>de</w:t>
      </w:r>
      <w:r>
        <w:rPr>
          <w:spacing w:val="-6"/>
          <w:sz w:val="18"/>
        </w:rPr>
        <w:t> </w:t>
      </w:r>
      <w:r>
        <w:rPr>
          <w:sz w:val="18"/>
        </w:rPr>
        <w:t>que</w:t>
      </w:r>
      <w:r>
        <w:rPr>
          <w:spacing w:val="-6"/>
          <w:sz w:val="18"/>
        </w:rPr>
        <w:t> </w:t>
      </w:r>
      <w:r>
        <w:rPr>
          <w:sz w:val="18"/>
        </w:rPr>
        <w:t>usted</w:t>
      </w:r>
      <w:r>
        <w:rPr>
          <w:spacing w:val="-6"/>
          <w:sz w:val="18"/>
        </w:rPr>
        <w:t> </w:t>
      </w:r>
      <w:r>
        <w:rPr>
          <w:sz w:val="18"/>
        </w:rPr>
        <w:t>no</w:t>
      </w:r>
      <w:r>
        <w:rPr>
          <w:spacing w:val="-6"/>
          <w:sz w:val="18"/>
        </w:rPr>
        <w:t> </w:t>
      </w:r>
      <w:r>
        <w:rPr>
          <w:sz w:val="18"/>
        </w:rPr>
        <w:t>estuviera</w:t>
      </w:r>
      <w:r>
        <w:rPr>
          <w:spacing w:val="-6"/>
          <w:sz w:val="18"/>
        </w:rPr>
        <w:t> </w:t>
      </w:r>
      <w:r>
        <w:rPr>
          <w:sz w:val="18"/>
        </w:rPr>
        <w:t>aquí</w:t>
      </w:r>
      <w:r>
        <w:rPr>
          <w:spacing w:val="-7"/>
          <w:sz w:val="18"/>
        </w:rPr>
        <w:t> </w:t>
      </w:r>
      <w:r>
        <w:rPr>
          <w:sz w:val="18"/>
        </w:rPr>
        <w:t>para</w:t>
      </w:r>
      <w:r>
        <w:rPr>
          <w:spacing w:val="-6"/>
          <w:sz w:val="18"/>
        </w:rPr>
        <w:t> </w:t>
      </w:r>
      <w:r>
        <w:rPr>
          <w:sz w:val="18"/>
        </w:rPr>
        <w:t>consolidar</w:t>
      </w:r>
      <w:r>
        <w:rPr>
          <w:spacing w:val="-7"/>
          <w:sz w:val="18"/>
        </w:rPr>
        <w:t> </w:t>
      </w:r>
      <w:r>
        <w:rPr>
          <w:sz w:val="18"/>
        </w:rPr>
        <w:t>este</w:t>
      </w:r>
      <w:r>
        <w:rPr>
          <w:spacing w:val="-8"/>
          <w:sz w:val="18"/>
        </w:rPr>
        <w:t> </w:t>
      </w:r>
      <w:r>
        <w:rPr>
          <w:sz w:val="18"/>
        </w:rPr>
        <w:t>camino de la</w:t>
      </w:r>
      <w:r>
        <w:rPr>
          <w:spacing w:val="-8"/>
          <w:sz w:val="18"/>
        </w:rPr>
        <w:t> </w:t>
      </w:r>
      <w:r>
        <w:rPr>
          <w:sz w:val="18"/>
        </w:rPr>
        <w:t>transparencia?</w:t>
      </w:r>
    </w:p>
    <w:p>
      <w:pPr>
        <w:pStyle w:val="BodyText"/>
        <w:rPr>
          <w:sz w:val="18"/>
        </w:rPr>
      </w:pPr>
    </w:p>
    <w:p>
      <w:pPr>
        <w:pStyle w:val="BodyText"/>
        <w:rPr>
          <w:sz w:val="18"/>
        </w:rPr>
      </w:pPr>
    </w:p>
    <w:p>
      <w:pPr>
        <w:spacing w:line="240" w:lineRule="auto" w:before="111"/>
        <w:ind w:left="454" w:right="400" w:firstLine="0"/>
        <w:jc w:val="both"/>
        <w:rPr>
          <w:sz w:val="18"/>
        </w:rPr>
      </w:pPr>
      <w:r>
        <w:rPr>
          <w:b/>
          <w:sz w:val="18"/>
        </w:rPr>
        <w:t>Bertha Lilia: </w:t>
      </w:r>
      <w:r>
        <w:rPr>
          <w:sz w:val="18"/>
        </w:rPr>
        <w:t>Yo creo que, no ha mejorado mucho o sea aunque me pese decirlo. Yo creo que no hemos</w:t>
      </w:r>
      <w:r>
        <w:rPr>
          <w:spacing w:val="-3"/>
          <w:sz w:val="18"/>
        </w:rPr>
        <w:t> </w:t>
      </w:r>
      <w:r>
        <w:rPr>
          <w:sz w:val="18"/>
        </w:rPr>
        <w:t>hecho</w:t>
      </w:r>
      <w:r>
        <w:rPr>
          <w:spacing w:val="-4"/>
          <w:sz w:val="18"/>
        </w:rPr>
        <w:t> </w:t>
      </w:r>
      <w:r>
        <w:rPr>
          <w:sz w:val="18"/>
        </w:rPr>
        <w:t>lo</w:t>
      </w:r>
      <w:r>
        <w:rPr>
          <w:spacing w:val="-4"/>
          <w:sz w:val="18"/>
        </w:rPr>
        <w:t> </w:t>
      </w:r>
      <w:r>
        <w:rPr>
          <w:sz w:val="18"/>
        </w:rPr>
        <w:t>que</w:t>
      </w:r>
      <w:r>
        <w:rPr>
          <w:spacing w:val="-4"/>
          <w:sz w:val="18"/>
        </w:rPr>
        <w:t> </w:t>
      </w:r>
      <w:r>
        <w:rPr>
          <w:sz w:val="18"/>
        </w:rPr>
        <w:t>han</w:t>
      </w:r>
      <w:r>
        <w:rPr>
          <w:spacing w:val="-4"/>
          <w:sz w:val="18"/>
        </w:rPr>
        <w:t> </w:t>
      </w:r>
      <w:r>
        <w:rPr>
          <w:sz w:val="18"/>
        </w:rPr>
        <w:t>hecho</w:t>
      </w:r>
      <w:r>
        <w:rPr>
          <w:spacing w:val="-4"/>
          <w:sz w:val="18"/>
        </w:rPr>
        <w:t> </w:t>
      </w:r>
      <w:r>
        <w:rPr>
          <w:sz w:val="18"/>
        </w:rPr>
        <w:t>las</w:t>
      </w:r>
      <w:r>
        <w:rPr>
          <w:spacing w:val="-3"/>
          <w:sz w:val="18"/>
        </w:rPr>
        <w:t> </w:t>
      </w:r>
      <w:r>
        <w:rPr>
          <w:sz w:val="18"/>
        </w:rPr>
        <w:t>anteriores</w:t>
      </w:r>
      <w:r>
        <w:rPr>
          <w:spacing w:val="-6"/>
          <w:sz w:val="18"/>
        </w:rPr>
        <w:t> </w:t>
      </w:r>
      <w:r>
        <w:rPr>
          <w:sz w:val="18"/>
        </w:rPr>
        <w:t>que</w:t>
      </w:r>
      <w:r>
        <w:rPr>
          <w:spacing w:val="-4"/>
          <w:sz w:val="18"/>
        </w:rPr>
        <w:t> </w:t>
      </w:r>
      <w:r>
        <w:rPr>
          <w:sz w:val="18"/>
        </w:rPr>
        <w:t>nos</w:t>
      </w:r>
      <w:r>
        <w:rPr>
          <w:spacing w:val="-3"/>
          <w:sz w:val="18"/>
        </w:rPr>
        <w:t> </w:t>
      </w:r>
      <w:r>
        <w:rPr>
          <w:sz w:val="18"/>
        </w:rPr>
        <w:t>decían</w:t>
      </w:r>
      <w:r>
        <w:rPr>
          <w:spacing w:val="-4"/>
          <w:sz w:val="18"/>
        </w:rPr>
        <w:t> </w:t>
      </w:r>
      <w:r>
        <w:rPr>
          <w:sz w:val="18"/>
        </w:rPr>
        <w:t>de</w:t>
      </w:r>
      <w:r>
        <w:rPr>
          <w:spacing w:val="-4"/>
          <w:sz w:val="18"/>
        </w:rPr>
        <w:t> </w:t>
      </w:r>
      <w:r>
        <w:rPr>
          <w:sz w:val="18"/>
        </w:rPr>
        <w:t>lo</w:t>
      </w:r>
      <w:r>
        <w:rPr>
          <w:spacing w:val="-4"/>
          <w:sz w:val="18"/>
        </w:rPr>
        <w:t> </w:t>
      </w:r>
      <w:r>
        <w:rPr>
          <w:sz w:val="18"/>
        </w:rPr>
        <w:t>que</w:t>
      </w:r>
      <w:r>
        <w:rPr>
          <w:spacing w:val="-4"/>
          <w:sz w:val="18"/>
        </w:rPr>
        <w:t> </w:t>
      </w:r>
      <w:r>
        <w:rPr>
          <w:sz w:val="18"/>
        </w:rPr>
        <w:t>debemos</w:t>
      </w:r>
      <w:r>
        <w:rPr>
          <w:spacing w:val="-3"/>
          <w:sz w:val="18"/>
        </w:rPr>
        <w:t> </w:t>
      </w:r>
      <w:r>
        <w:rPr>
          <w:sz w:val="18"/>
        </w:rPr>
        <w:t>de</w:t>
      </w:r>
      <w:r>
        <w:rPr>
          <w:spacing w:val="-4"/>
          <w:sz w:val="18"/>
        </w:rPr>
        <w:t> </w:t>
      </w:r>
      <w:r>
        <w:rPr>
          <w:sz w:val="18"/>
        </w:rPr>
        <w:t>hacer,</w:t>
      </w:r>
      <w:r>
        <w:rPr>
          <w:spacing w:val="-4"/>
          <w:sz w:val="18"/>
        </w:rPr>
        <w:t> </w:t>
      </w:r>
      <w:r>
        <w:rPr>
          <w:sz w:val="18"/>
        </w:rPr>
        <w:t>pero</w:t>
      </w:r>
      <w:r>
        <w:rPr>
          <w:spacing w:val="-1"/>
          <w:sz w:val="18"/>
        </w:rPr>
        <w:t> </w:t>
      </w:r>
      <w:r>
        <w:rPr>
          <w:sz w:val="18"/>
        </w:rPr>
        <w:t>de alguna</w:t>
      </w:r>
      <w:r>
        <w:rPr>
          <w:spacing w:val="-7"/>
          <w:sz w:val="18"/>
        </w:rPr>
        <w:t> </w:t>
      </w:r>
      <w:r>
        <w:rPr>
          <w:sz w:val="18"/>
        </w:rPr>
        <w:t>manera</w:t>
      </w:r>
      <w:r>
        <w:rPr>
          <w:spacing w:val="-10"/>
          <w:sz w:val="18"/>
        </w:rPr>
        <w:t> </w:t>
      </w:r>
      <w:r>
        <w:rPr>
          <w:sz w:val="18"/>
        </w:rPr>
        <w:t>hicimos</w:t>
      </w:r>
      <w:r>
        <w:rPr>
          <w:spacing w:val="-7"/>
          <w:sz w:val="18"/>
        </w:rPr>
        <w:t> </w:t>
      </w:r>
      <w:r>
        <w:rPr>
          <w:sz w:val="18"/>
        </w:rPr>
        <w:t>un</w:t>
      </w:r>
      <w:r>
        <w:rPr>
          <w:spacing w:val="-7"/>
          <w:sz w:val="18"/>
        </w:rPr>
        <w:t> </w:t>
      </w:r>
      <w:r>
        <w:rPr>
          <w:sz w:val="18"/>
        </w:rPr>
        <w:t>poquito</w:t>
      </w:r>
      <w:r>
        <w:rPr>
          <w:spacing w:val="-9"/>
          <w:sz w:val="18"/>
        </w:rPr>
        <w:t> </w:t>
      </w:r>
      <w:r>
        <w:rPr>
          <w:sz w:val="18"/>
        </w:rPr>
        <w:t>más</w:t>
      </w:r>
      <w:r>
        <w:rPr>
          <w:spacing w:val="-9"/>
          <w:sz w:val="18"/>
        </w:rPr>
        <w:t> </w:t>
      </w:r>
      <w:r>
        <w:rPr>
          <w:sz w:val="18"/>
        </w:rPr>
        <w:t>transparente</w:t>
      </w:r>
      <w:r>
        <w:rPr>
          <w:spacing w:val="-9"/>
          <w:sz w:val="18"/>
        </w:rPr>
        <w:t> </w:t>
      </w:r>
      <w:r>
        <w:rPr>
          <w:sz w:val="18"/>
        </w:rPr>
        <w:t>la</w:t>
      </w:r>
      <w:r>
        <w:rPr>
          <w:spacing w:val="-7"/>
          <w:sz w:val="18"/>
        </w:rPr>
        <w:t> </w:t>
      </w:r>
      <w:r>
        <w:rPr>
          <w:sz w:val="18"/>
        </w:rPr>
        <w:t>oficina</w:t>
      </w:r>
      <w:r>
        <w:rPr>
          <w:spacing w:val="-7"/>
          <w:sz w:val="18"/>
        </w:rPr>
        <w:t> </w:t>
      </w:r>
      <w:r>
        <w:rPr>
          <w:sz w:val="18"/>
        </w:rPr>
        <w:t>porque</w:t>
      </w:r>
      <w:r>
        <w:rPr>
          <w:spacing w:val="-7"/>
          <w:sz w:val="18"/>
        </w:rPr>
        <w:t> </w:t>
      </w:r>
      <w:r>
        <w:rPr>
          <w:sz w:val="18"/>
        </w:rPr>
        <w:t>antes</w:t>
      </w:r>
      <w:r>
        <w:rPr>
          <w:spacing w:val="-7"/>
          <w:sz w:val="18"/>
        </w:rPr>
        <w:t> </w:t>
      </w:r>
      <w:r>
        <w:rPr>
          <w:sz w:val="18"/>
        </w:rPr>
        <w:t>estaba</w:t>
      </w:r>
      <w:r>
        <w:rPr>
          <w:spacing w:val="-7"/>
          <w:sz w:val="18"/>
        </w:rPr>
        <w:t> </w:t>
      </w:r>
      <w:r>
        <w:rPr>
          <w:sz w:val="18"/>
        </w:rPr>
        <w:t>cubierta</w:t>
      </w:r>
      <w:r>
        <w:rPr>
          <w:spacing w:val="-7"/>
          <w:sz w:val="18"/>
        </w:rPr>
        <w:t> </w:t>
      </w:r>
      <w:r>
        <w:rPr>
          <w:sz w:val="18"/>
        </w:rPr>
        <w:t>nuestra oficina, ni siquiera había un letrero que diga Unidad de Información o acércate al sistema tal, o sea nada. Entonces, lo que hicimos nosotros finalmente fue informar a los compañeritos que de alguna manera</w:t>
      </w:r>
      <w:r>
        <w:rPr>
          <w:spacing w:val="-10"/>
          <w:sz w:val="18"/>
        </w:rPr>
        <w:t> </w:t>
      </w:r>
      <w:r>
        <w:rPr>
          <w:sz w:val="18"/>
        </w:rPr>
        <w:t>había</w:t>
      </w:r>
      <w:r>
        <w:rPr>
          <w:spacing w:val="-10"/>
          <w:sz w:val="18"/>
        </w:rPr>
        <w:t> </w:t>
      </w:r>
      <w:r>
        <w:rPr>
          <w:sz w:val="18"/>
        </w:rPr>
        <w:t>una</w:t>
      </w:r>
      <w:r>
        <w:rPr>
          <w:spacing w:val="-10"/>
          <w:sz w:val="18"/>
        </w:rPr>
        <w:t> </w:t>
      </w:r>
      <w:r>
        <w:rPr>
          <w:sz w:val="18"/>
        </w:rPr>
        <w:t>unidad</w:t>
      </w:r>
      <w:r>
        <w:rPr>
          <w:spacing w:val="-10"/>
          <w:sz w:val="18"/>
        </w:rPr>
        <w:t> </w:t>
      </w:r>
      <w:r>
        <w:rPr>
          <w:sz w:val="18"/>
        </w:rPr>
        <w:t>de</w:t>
      </w:r>
      <w:r>
        <w:rPr>
          <w:spacing w:val="-10"/>
          <w:sz w:val="18"/>
        </w:rPr>
        <w:t> </w:t>
      </w:r>
      <w:r>
        <w:rPr>
          <w:sz w:val="18"/>
        </w:rPr>
        <w:t>información</w:t>
      </w:r>
      <w:r>
        <w:rPr>
          <w:spacing w:val="-10"/>
          <w:sz w:val="18"/>
        </w:rPr>
        <w:t> </w:t>
      </w:r>
      <w:r>
        <w:rPr>
          <w:sz w:val="18"/>
        </w:rPr>
        <w:t>que</w:t>
      </w:r>
      <w:r>
        <w:rPr>
          <w:spacing w:val="-10"/>
          <w:sz w:val="18"/>
        </w:rPr>
        <w:t> </w:t>
      </w:r>
      <w:r>
        <w:rPr>
          <w:sz w:val="18"/>
        </w:rPr>
        <w:t>somos</w:t>
      </w:r>
      <w:r>
        <w:rPr>
          <w:spacing w:val="-9"/>
          <w:sz w:val="18"/>
        </w:rPr>
        <w:t> </w:t>
      </w:r>
      <w:r>
        <w:rPr>
          <w:sz w:val="18"/>
        </w:rPr>
        <w:t>nosotros,</w:t>
      </w:r>
      <w:r>
        <w:rPr>
          <w:spacing w:val="-10"/>
          <w:sz w:val="18"/>
        </w:rPr>
        <w:t> </w:t>
      </w:r>
      <w:r>
        <w:rPr>
          <w:sz w:val="18"/>
        </w:rPr>
        <w:t>que</w:t>
      </w:r>
      <w:r>
        <w:rPr>
          <w:spacing w:val="-10"/>
          <w:sz w:val="18"/>
        </w:rPr>
        <w:t> </w:t>
      </w:r>
      <w:r>
        <w:rPr>
          <w:sz w:val="18"/>
        </w:rPr>
        <w:t>existe</w:t>
      </w:r>
      <w:r>
        <w:rPr>
          <w:spacing w:val="-9"/>
          <w:sz w:val="18"/>
        </w:rPr>
        <w:t> </w:t>
      </w:r>
      <w:r>
        <w:rPr>
          <w:sz w:val="18"/>
        </w:rPr>
        <w:t>un</w:t>
      </w:r>
      <w:r>
        <w:rPr>
          <w:spacing w:val="-10"/>
          <w:sz w:val="18"/>
        </w:rPr>
        <w:t> </w:t>
      </w:r>
      <w:r>
        <w:rPr>
          <w:sz w:val="18"/>
        </w:rPr>
        <w:t>Comité</w:t>
      </w:r>
      <w:r>
        <w:rPr>
          <w:spacing w:val="-10"/>
          <w:sz w:val="18"/>
        </w:rPr>
        <w:t> </w:t>
      </w:r>
      <w:r>
        <w:rPr>
          <w:sz w:val="18"/>
        </w:rPr>
        <w:t>de</w:t>
      </w:r>
      <w:r>
        <w:rPr>
          <w:spacing w:val="-10"/>
          <w:sz w:val="18"/>
        </w:rPr>
        <w:t> </w:t>
      </w:r>
      <w:r>
        <w:rPr>
          <w:sz w:val="18"/>
        </w:rPr>
        <w:t>información, que ayuda al información y transparencia, este, en ese aspecto y de alguna manera bueno hacer más ágil el proceso y responder de una manera más pronta al ciudadano porque así para entregar la información en el momento evitamos quejas y perdón lo que hacemos y no se hacía llevar un concentrado</w:t>
      </w:r>
      <w:r>
        <w:rPr>
          <w:spacing w:val="-9"/>
          <w:sz w:val="18"/>
        </w:rPr>
        <w:t> </w:t>
      </w:r>
      <w:r>
        <w:rPr>
          <w:sz w:val="18"/>
        </w:rPr>
        <w:t>yo</w:t>
      </w:r>
      <w:r>
        <w:rPr>
          <w:spacing w:val="-11"/>
          <w:sz w:val="18"/>
        </w:rPr>
        <w:t> </w:t>
      </w:r>
      <w:r>
        <w:rPr>
          <w:sz w:val="18"/>
        </w:rPr>
        <w:t>creo</w:t>
      </w:r>
      <w:r>
        <w:rPr>
          <w:spacing w:val="-9"/>
          <w:sz w:val="18"/>
        </w:rPr>
        <w:t> </w:t>
      </w:r>
      <w:r>
        <w:rPr>
          <w:sz w:val="18"/>
        </w:rPr>
        <w:t>que</w:t>
      </w:r>
      <w:r>
        <w:rPr>
          <w:spacing w:val="-9"/>
          <w:sz w:val="18"/>
        </w:rPr>
        <w:t> </w:t>
      </w:r>
      <w:r>
        <w:rPr>
          <w:sz w:val="18"/>
        </w:rPr>
        <w:t>ya</w:t>
      </w:r>
      <w:r>
        <w:rPr>
          <w:spacing w:val="-9"/>
          <w:sz w:val="18"/>
        </w:rPr>
        <w:t> </w:t>
      </w:r>
      <w:r>
        <w:rPr>
          <w:sz w:val="18"/>
        </w:rPr>
        <w:t>en</w:t>
      </w:r>
      <w:r>
        <w:rPr>
          <w:spacing w:val="-11"/>
          <w:sz w:val="18"/>
        </w:rPr>
        <w:t> </w:t>
      </w:r>
      <w:r>
        <w:rPr>
          <w:sz w:val="18"/>
        </w:rPr>
        <w:t>el</w:t>
      </w:r>
      <w:r>
        <w:rPr>
          <w:spacing w:val="-9"/>
          <w:sz w:val="18"/>
        </w:rPr>
        <w:t> </w:t>
      </w:r>
      <w:r>
        <w:rPr>
          <w:sz w:val="18"/>
        </w:rPr>
        <w:t>archivo</w:t>
      </w:r>
      <w:r>
        <w:rPr>
          <w:spacing w:val="-9"/>
          <w:sz w:val="18"/>
        </w:rPr>
        <w:t> </w:t>
      </w:r>
      <w:r>
        <w:rPr>
          <w:sz w:val="18"/>
        </w:rPr>
        <w:t>revisando</w:t>
      </w:r>
      <w:r>
        <w:rPr>
          <w:spacing w:val="-9"/>
          <w:sz w:val="18"/>
        </w:rPr>
        <w:t> </w:t>
      </w:r>
      <w:r>
        <w:rPr>
          <w:sz w:val="18"/>
        </w:rPr>
        <w:t>pues</w:t>
      </w:r>
      <w:r>
        <w:rPr>
          <w:spacing w:val="-8"/>
          <w:sz w:val="18"/>
        </w:rPr>
        <w:t> </w:t>
      </w:r>
      <w:r>
        <w:rPr>
          <w:sz w:val="18"/>
        </w:rPr>
        <w:t>no</w:t>
      </w:r>
      <w:r>
        <w:rPr>
          <w:spacing w:val="-9"/>
          <w:sz w:val="18"/>
        </w:rPr>
        <w:t> </w:t>
      </w:r>
      <w:r>
        <w:rPr>
          <w:sz w:val="18"/>
        </w:rPr>
        <w:t>llevan</w:t>
      </w:r>
      <w:r>
        <w:rPr>
          <w:spacing w:val="-3"/>
          <w:sz w:val="18"/>
        </w:rPr>
        <w:t> </w:t>
      </w:r>
      <w:r>
        <w:rPr>
          <w:sz w:val="18"/>
        </w:rPr>
        <w:t>un</w:t>
      </w:r>
      <w:r>
        <w:rPr>
          <w:spacing w:val="-9"/>
          <w:sz w:val="18"/>
        </w:rPr>
        <w:t> </w:t>
      </w:r>
      <w:r>
        <w:rPr>
          <w:sz w:val="18"/>
        </w:rPr>
        <w:t>concentrado,</w:t>
      </w:r>
      <w:r>
        <w:rPr>
          <w:spacing w:val="-11"/>
          <w:sz w:val="18"/>
        </w:rPr>
        <w:t> </w:t>
      </w:r>
      <w:r>
        <w:rPr>
          <w:sz w:val="18"/>
        </w:rPr>
        <w:t>pues</w:t>
      </w:r>
      <w:r>
        <w:rPr>
          <w:spacing w:val="-8"/>
          <w:sz w:val="18"/>
        </w:rPr>
        <w:t> </w:t>
      </w:r>
      <w:r>
        <w:rPr>
          <w:sz w:val="18"/>
        </w:rPr>
        <w:t>no</w:t>
      </w:r>
      <w:r>
        <w:rPr>
          <w:spacing w:val="-11"/>
          <w:sz w:val="18"/>
        </w:rPr>
        <w:t> </w:t>
      </w:r>
      <w:r>
        <w:rPr>
          <w:sz w:val="18"/>
        </w:rPr>
        <w:t>sé,</w:t>
      </w:r>
      <w:r>
        <w:rPr>
          <w:spacing w:val="-9"/>
          <w:sz w:val="18"/>
        </w:rPr>
        <w:t> </w:t>
      </w:r>
      <w:r>
        <w:rPr>
          <w:sz w:val="18"/>
        </w:rPr>
        <w:t>creo es</w:t>
      </w:r>
      <w:r>
        <w:rPr>
          <w:spacing w:val="-14"/>
          <w:sz w:val="18"/>
        </w:rPr>
        <w:t> </w:t>
      </w:r>
      <w:r>
        <w:rPr>
          <w:sz w:val="18"/>
        </w:rPr>
        <w:t>eso</w:t>
      </w:r>
      <w:r>
        <w:rPr>
          <w:spacing w:val="-14"/>
          <w:sz w:val="18"/>
        </w:rPr>
        <w:t> </w:t>
      </w:r>
      <w:r>
        <w:rPr>
          <w:sz w:val="18"/>
        </w:rPr>
        <w:t>la</w:t>
      </w:r>
      <w:r>
        <w:rPr>
          <w:spacing w:val="-12"/>
          <w:sz w:val="18"/>
        </w:rPr>
        <w:t> </w:t>
      </w:r>
      <w:r>
        <w:rPr>
          <w:sz w:val="18"/>
        </w:rPr>
        <w:t>difusión</w:t>
      </w:r>
      <w:r>
        <w:rPr>
          <w:spacing w:val="-12"/>
          <w:sz w:val="18"/>
        </w:rPr>
        <w:t> </w:t>
      </w:r>
      <w:r>
        <w:rPr>
          <w:sz w:val="18"/>
        </w:rPr>
        <w:t>que</w:t>
      </w:r>
      <w:r>
        <w:rPr>
          <w:spacing w:val="-14"/>
          <w:sz w:val="18"/>
        </w:rPr>
        <w:t> </w:t>
      </w:r>
      <w:r>
        <w:rPr>
          <w:sz w:val="18"/>
        </w:rPr>
        <w:t>existe</w:t>
      </w:r>
      <w:r>
        <w:rPr>
          <w:spacing w:val="-12"/>
          <w:sz w:val="18"/>
        </w:rPr>
        <w:t> </w:t>
      </w:r>
      <w:r>
        <w:rPr>
          <w:sz w:val="18"/>
        </w:rPr>
        <w:t>esta</w:t>
      </w:r>
      <w:r>
        <w:rPr>
          <w:spacing w:val="-12"/>
          <w:sz w:val="18"/>
        </w:rPr>
        <w:t> </w:t>
      </w:r>
      <w:r>
        <w:rPr>
          <w:sz w:val="18"/>
        </w:rPr>
        <w:t>unidad.</w:t>
      </w:r>
      <w:r>
        <w:rPr>
          <w:spacing w:val="-12"/>
          <w:sz w:val="18"/>
        </w:rPr>
        <w:t> </w:t>
      </w:r>
      <w:r>
        <w:rPr>
          <w:sz w:val="18"/>
        </w:rPr>
        <w:t>Bueno,</w:t>
      </w:r>
      <w:r>
        <w:rPr>
          <w:spacing w:val="-15"/>
          <w:sz w:val="18"/>
        </w:rPr>
        <w:t> </w:t>
      </w:r>
      <w:r>
        <w:rPr>
          <w:sz w:val="18"/>
        </w:rPr>
        <w:t>pero</w:t>
      </w:r>
      <w:r>
        <w:rPr>
          <w:spacing w:val="-14"/>
          <w:sz w:val="18"/>
        </w:rPr>
        <w:t> </w:t>
      </w:r>
      <w:r>
        <w:rPr>
          <w:sz w:val="18"/>
        </w:rPr>
        <w:t>desafortunadamente</w:t>
      </w:r>
      <w:r>
        <w:rPr>
          <w:spacing w:val="-14"/>
          <w:sz w:val="18"/>
        </w:rPr>
        <w:t> </w:t>
      </w:r>
      <w:r>
        <w:rPr>
          <w:sz w:val="18"/>
        </w:rPr>
        <w:t>no</w:t>
      </w:r>
      <w:r>
        <w:rPr>
          <w:spacing w:val="-14"/>
          <w:sz w:val="18"/>
        </w:rPr>
        <w:t> </w:t>
      </w:r>
      <w:r>
        <w:rPr>
          <w:sz w:val="18"/>
        </w:rPr>
        <w:t>hemos</w:t>
      </w:r>
      <w:r>
        <w:rPr>
          <w:spacing w:val="-12"/>
          <w:sz w:val="18"/>
        </w:rPr>
        <w:t> </w:t>
      </w:r>
      <w:r>
        <w:rPr>
          <w:sz w:val="18"/>
        </w:rPr>
        <w:t>hecho</w:t>
      </w:r>
      <w:r>
        <w:rPr>
          <w:spacing w:val="-15"/>
          <w:sz w:val="18"/>
        </w:rPr>
        <w:t> </w:t>
      </w:r>
      <w:r>
        <w:rPr>
          <w:sz w:val="18"/>
        </w:rPr>
        <w:t>muchas cosas con relación a la transparencia desafortunadamente</w:t>
      </w:r>
      <w:r>
        <w:rPr>
          <w:spacing w:val="-31"/>
          <w:sz w:val="18"/>
        </w:rPr>
        <w:t> </w:t>
      </w:r>
      <w:r>
        <w:rPr>
          <w:sz w:val="18"/>
        </w:rPr>
        <w:t>NO.</w:t>
      </w:r>
    </w:p>
    <w:p>
      <w:pPr>
        <w:pStyle w:val="BodyText"/>
        <w:rPr>
          <w:sz w:val="18"/>
        </w:rPr>
      </w:pPr>
    </w:p>
    <w:p>
      <w:pPr>
        <w:pStyle w:val="BodyText"/>
        <w:rPr>
          <w:sz w:val="18"/>
        </w:rPr>
      </w:pPr>
    </w:p>
    <w:p>
      <w:pPr>
        <w:spacing w:before="111"/>
        <w:ind w:left="454" w:right="406" w:firstLine="0"/>
        <w:jc w:val="both"/>
        <w:rPr>
          <w:sz w:val="18"/>
        </w:rPr>
      </w:pPr>
      <w:r>
        <w:rPr>
          <w:b/>
          <w:sz w:val="18"/>
        </w:rPr>
        <w:t>Gabriel: </w:t>
      </w:r>
      <w:r>
        <w:rPr>
          <w:sz w:val="18"/>
        </w:rPr>
        <w:t>¿Qué es lo que tendría que hacer en la siguiente administración para mejorar la transparencia?</w:t>
      </w:r>
    </w:p>
    <w:p>
      <w:pPr>
        <w:pStyle w:val="BodyText"/>
        <w:rPr>
          <w:sz w:val="18"/>
        </w:rPr>
      </w:pPr>
    </w:p>
    <w:p>
      <w:pPr>
        <w:pStyle w:val="BodyText"/>
        <w:rPr>
          <w:sz w:val="18"/>
        </w:rPr>
      </w:pPr>
    </w:p>
    <w:p>
      <w:pPr>
        <w:spacing w:line="240" w:lineRule="auto" w:before="111"/>
        <w:ind w:left="454" w:right="410" w:firstLine="0"/>
        <w:jc w:val="both"/>
        <w:rPr>
          <w:sz w:val="18"/>
        </w:rPr>
      </w:pPr>
      <w:r>
        <w:rPr>
          <w:b/>
          <w:sz w:val="18"/>
        </w:rPr>
        <w:t>Bertha Lilia: </w:t>
      </w:r>
      <w:r>
        <w:rPr>
          <w:sz w:val="18"/>
        </w:rPr>
        <w:t>Yo creo que, no sé yo creo que acercarse o invitar a la comunidad a informarse en algún</w:t>
      </w:r>
      <w:r>
        <w:rPr>
          <w:spacing w:val="-7"/>
          <w:sz w:val="18"/>
        </w:rPr>
        <w:t> </w:t>
      </w:r>
      <w:r>
        <w:rPr>
          <w:sz w:val="18"/>
        </w:rPr>
        <w:t>medio</w:t>
      </w:r>
      <w:r>
        <w:rPr>
          <w:spacing w:val="-7"/>
          <w:sz w:val="18"/>
        </w:rPr>
        <w:t> </w:t>
      </w:r>
      <w:r>
        <w:rPr>
          <w:sz w:val="18"/>
        </w:rPr>
        <w:t>que</w:t>
      </w:r>
      <w:r>
        <w:rPr>
          <w:spacing w:val="-5"/>
          <w:sz w:val="18"/>
        </w:rPr>
        <w:t> </w:t>
      </w:r>
      <w:r>
        <w:rPr>
          <w:sz w:val="18"/>
        </w:rPr>
        <w:t>posiblemente</w:t>
      </w:r>
      <w:r>
        <w:rPr>
          <w:spacing w:val="-7"/>
          <w:sz w:val="18"/>
        </w:rPr>
        <w:t> </w:t>
      </w:r>
      <w:r>
        <w:rPr>
          <w:sz w:val="18"/>
        </w:rPr>
        <w:t>podría</w:t>
      </w:r>
      <w:r>
        <w:rPr>
          <w:spacing w:val="-5"/>
          <w:sz w:val="18"/>
        </w:rPr>
        <w:t> </w:t>
      </w:r>
      <w:r>
        <w:rPr>
          <w:sz w:val="18"/>
        </w:rPr>
        <w:t>ser</w:t>
      </w:r>
      <w:r>
        <w:rPr>
          <w:spacing w:val="-5"/>
          <w:sz w:val="18"/>
        </w:rPr>
        <w:t> </w:t>
      </w:r>
      <w:r>
        <w:rPr>
          <w:sz w:val="18"/>
        </w:rPr>
        <w:t>nosotros</w:t>
      </w:r>
      <w:r>
        <w:rPr>
          <w:spacing w:val="-7"/>
          <w:sz w:val="18"/>
        </w:rPr>
        <w:t> </w:t>
      </w:r>
      <w:r>
        <w:rPr>
          <w:sz w:val="18"/>
        </w:rPr>
        <w:t>digo</w:t>
      </w:r>
      <w:r>
        <w:rPr>
          <w:spacing w:val="-5"/>
          <w:sz w:val="18"/>
        </w:rPr>
        <w:t> </w:t>
      </w:r>
      <w:r>
        <w:rPr>
          <w:sz w:val="18"/>
        </w:rPr>
        <w:t>no</w:t>
      </w:r>
      <w:r>
        <w:rPr>
          <w:spacing w:val="-7"/>
          <w:sz w:val="18"/>
        </w:rPr>
        <w:t> </w:t>
      </w:r>
      <w:r>
        <w:rPr>
          <w:sz w:val="18"/>
        </w:rPr>
        <w:t>hemos</w:t>
      </w:r>
      <w:r>
        <w:rPr>
          <w:spacing w:val="-4"/>
          <w:sz w:val="18"/>
        </w:rPr>
        <w:t> </w:t>
      </w:r>
      <w:r>
        <w:rPr>
          <w:sz w:val="18"/>
        </w:rPr>
        <w:t>concluido</w:t>
      </w:r>
      <w:r>
        <w:rPr>
          <w:spacing w:val="-7"/>
          <w:sz w:val="18"/>
        </w:rPr>
        <w:t> </w:t>
      </w:r>
      <w:r>
        <w:rPr>
          <w:sz w:val="18"/>
        </w:rPr>
        <w:t>con</w:t>
      </w:r>
      <w:r>
        <w:rPr>
          <w:spacing w:val="-7"/>
          <w:sz w:val="18"/>
        </w:rPr>
        <w:t> </w:t>
      </w:r>
      <w:r>
        <w:rPr>
          <w:sz w:val="18"/>
        </w:rPr>
        <w:t>la</w:t>
      </w:r>
      <w:r>
        <w:rPr>
          <w:spacing w:val="-7"/>
          <w:sz w:val="18"/>
        </w:rPr>
        <w:t> </w:t>
      </w:r>
      <w:r>
        <w:rPr>
          <w:sz w:val="18"/>
        </w:rPr>
        <w:t>administración</w:t>
      </w:r>
      <w:r>
        <w:rPr>
          <w:spacing w:val="-5"/>
          <w:sz w:val="18"/>
        </w:rPr>
        <w:t> </w:t>
      </w:r>
      <w:r>
        <w:rPr>
          <w:sz w:val="18"/>
        </w:rPr>
        <w:t>y que si hemos pensado no lo hemos aterrizado en a lo mejor hacer un pequeño yo creo que un proyecto o en los eventos “conoce tu municipio” o solicitar información, la transparencia es importante y yo creo para que informar a la comunidad la unidad de transparencia que tienen el derecho a estar</w:t>
      </w:r>
      <w:r>
        <w:rPr>
          <w:spacing w:val="-11"/>
          <w:sz w:val="18"/>
        </w:rPr>
        <w:t> </w:t>
      </w:r>
      <w:r>
        <w:rPr>
          <w:sz w:val="18"/>
        </w:rPr>
        <w:t>informados.</w:t>
      </w:r>
    </w:p>
    <w:p>
      <w:pPr>
        <w:pStyle w:val="BodyText"/>
        <w:rPr>
          <w:sz w:val="18"/>
        </w:rPr>
      </w:pPr>
    </w:p>
    <w:p>
      <w:pPr>
        <w:pStyle w:val="BodyText"/>
        <w:rPr>
          <w:sz w:val="18"/>
        </w:rPr>
      </w:pPr>
    </w:p>
    <w:p>
      <w:pPr>
        <w:spacing w:before="108"/>
        <w:ind w:left="454" w:right="0" w:firstLine="0"/>
        <w:jc w:val="both"/>
        <w:rPr>
          <w:sz w:val="18"/>
        </w:rPr>
      </w:pPr>
      <w:r>
        <w:rPr>
          <w:b/>
          <w:sz w:val="18"/>
        </w:rPr>
        <w:t>Gabriel: </w:t>
      </w:r>
      <w:r>
        <w:rPr>
          <w:sz w:val="18"/>
        </w:rPr>
        <w:t>Correcto</w:t>
      </w:r>
    </w:p>
    <w:p>
      <w:pPr>
        <w:pStyle w:val="BodyText"/>
        <w:rPr>
          <w:sz w:val="18"/>
        </w:rPr>
      </w:pPr>
    </w:p>
    <w:p>
      <w:pPr>
        <w:pStyle w:val="BodyText"/>
        <w:rPr>
          <w:sz w:val="18"/>
        </w:rPr>
      </w:pPr>
    </w:p>
    <w:p>
      <w:pPr>
        <w:spacing w:before="116"/>
        <w:ind w:left="454" w:right="412" w:firstLine="0"/>
        <w:jc w:val="both"/>
        <w:rPr>
          <w:sz w:val="18"/>
        </w:rPr>
      </w:pPr>
      <w:r>
        <w:rPr>
          <w:b/>
          <w:sz w:val="18"/>
        </w:rPr>
        <w:t>Bertha Lilia: </w:t>
      </w:r>
      <w:r>
        <w:rPr>
          <w:sz w:val="18"/>
        </w:rPr>
        <w:t>Yo creo que a partir de esta entrevista nos haces reflexionar sobre lo que nos hace falta.</w:t>
      </w:r>
    </w:p>
    <w:p>
      <w:pPr>
        <w:spacing w:after="0"/>
        <w:jc w:val="both"/>
        <w:rPr>
          <w:sz w:val="18"/>
        </w:rPr>
        <w:sectPr>
          <w:pgSz w:w="12240" w:h="15840"/>
          <w:pgMar w:header="0" w:footer="975" w:top="1500" w:bottom="1220" w:left="1720" w:right="1720"/>
        </w:sectPr>
      </w:pPr>
    </w:p>
    <w:p>
      <w:pPr>
        <w:spacing w:line="244" w:lineRule="auto" w:before="50"/>
        <w:ind w:left="454" w:right="405" w:firstLine="0"/>
        <w:jc w:val="both"/>
        <w:rPr>
          <w:sz w:val="18"/>
        </w:rPr>
      </w:pPr>
      <w:r>
        <w:rPr>
          <w:b/>
          <w:sz w:val="18"/>
        </w:rPr>
        <w:t>Gabriel: </w:t>
      </w:r>
      <w:r>
        <w:rPr>
          <w:sz w:val="18"/>
        </w:rPr>
        <w:t>Correcto, ¿cuáles son las actuales dificultades que han tenido en este camino a la transparencia y cuáles son los logros que se han obtenido en el ejercicio de transparencia?</w:t>
      </w:r>
    </w:p>
    <w:p>
      <w:pPr>
        <w:pStyle w:val="BodyText"/>
        <w:rPr>
          <w:sz w:val="18"/>
        </w:rPr>
      </w:pPr>
    </w:p>
    <w:p>
      <w:pPr>
        <w:pStyle w:val="BodyText"/>
        <w:rPr>
          <w:sz w:val="18"/>
        </w:rPr>
      </w:pPr>
    </w:p>
    <w:p>
      <w:pPr>
        <w:spacing w:line="240" w:lineRule="auto" w:before="104"/>
        <w:ind w:left="454" w:right="405" w:firstLine="0"/>
        <w:jc w:val="both"/>
        <w:rPr>
          <w:sz w:val="18"/>
        </w:rPr>
      </w:pPr>
      <w:r>
        <w:rPr>
          <w:b/>
          <w:sz w:val="18"/>
        </w:rPr>
        <w:t>Bertha Lilia: </w:t>
      </w:r>
      <w:r>
        <w:rPr>
          <w:sz w:val="18"/>
        </w:rPr>
        <w:t>si, yo creo que pues si de alguna manera incluye la visión del propio proyecto al no querer comprobar la información por temor de que se pudiera a lo mejor que, no sé, que pudiera afectar al ayuntamiento. Aún existe este temor por parte de nosotros como servidores públicos de entregar la información y de que no pasa nada. Y el siguiente yo porque tenemos el reto de difundir más las funciones y la información que pudiera tener una unidad de información y lo que hace falta es alguien que se dedique exclusivamente a la transparencia para lograrlo.</w:t>
      </w:r>
    </w:p>
    <w:p>
      <w:pPr>
        <w:pStyle w:val="BodyText"/>
        <w:rPr>
          <w:sz w:val="18"/>
        </w:rPr>
      </w:pPr>
    </w:p>
    <w:p>
      <w:pPr>
        <w:pStyle w:val="BodyText"/>
        <w:rPr>
          <w:sz w:val="18"/>
        </w:rPr>
      </w:pPr>
    </w:p>
    <w:p>
      <w:pPr>
        <w:spacing w:before="108"/>
        <w:ind w:left="454" w:right="0" w:firstLine="0"/>
        <w:jc w:val="both"/>
        <w:rPr>
          <w:sz w:val="18"/>
        </w:rPr>
      </w:pPr>
      <w:r>
        <w:rPr>
          <w:b/>
          <w:sz w:val="18"/>
        </w:rPr>
        <w:t>Gabriel: </w:t>
      </w:r>
      <w:r>
        <w:rPr>
          <w:sz w:val="18"/>
        </w:rPr>
        <w:t>Correcto</w:t>
      </w:r>
    </w:p>
    <w:p>
      <w:pPr>
        <w:pStyle w:val="BodyText"/>
        <w:rPr>
          <w:sz w:val="18"/>
        </w:rPr>
      </w:pPr>
    </w:p>
    <w:p>
      <w:pPr>
        <w:pStyle w:val="BodyText"/>
        <w:rPr>
          <w:sz w:val="18"/>
        </w:rPr>
      </w:pPr>
    </w:p>
    <w:p>
      <w:pPr>
        <w:spacing w:before="111"/>
        <w:ind w:left="454" w:right="0" w:firstLine="0"/>
        <w:jc w:val="both"/>
        <w:rPr>
          <w:sz w:val="18"/>
        </w:rPr>
      </w:pPr>
      <w:r>
        <w:rPr>
          <w:b/>
          <w:sz w:val="18"/>
        </w:rPr>
        <w:t>Bertha Lilia: </w:t>
      </w:r>
      <w:r>
        <w:rPr>
          <w:sz w:val="18"/>
        </w:rPr>
        <w:t>¿Y qué?</w:t>
      </w:r>
    </w:p>
    <w:p>
      <w:pPr>
        <w:pStyle w:val="BodyText"/>
        <w:rPr>
          <w:sz w:val="18"/>
        </w:rPr>
      </w:pPr>
    </w:p>
    <w:p>
      <w:pPr>
        <w:pStyle w:val="BodyText"/>
        <w:rPr>
          <w:sz w:val="18"/>
        </w:rPr>
      </w:pPr>
    </w:p>
    <w:p>
      <w:pPr>
        <w:spacing w:before="114"/>
        <w:ind w:left="454" w:right="0" w:firstLine="0"/>
        <w:jc w:val="both"/>
        <w:rPr>
          <w:sz w:val="18"/>
        </w:rPr>
      </w:pPr>
      <w:r>
        <w:rPr>
          <w:b/>
          <w:sz w:val="18"/>
        </w:rPr>
        <w:t>Gabriel: </w:t>
      </w:r>
      <w:r>
        <w:rPr>
          <w:sz w:val="18"/>
        </w:rPr>
        <w:t>Los logros, ¿cuáles han sido los logros de transparencia?</w:t>
      </w:r>
    </w:p>
    <w:p>
      <w:pPr>
        <w:pStyle w:val="BodyText"/>
        <w:rPr>
          <w:sz w:val="18"/>
        </w:rPr>
      </w:pPr>
    </w:p>
    <w:p>
      <w:pPr>
        <w:pStyle w:val="BodyText"/>
        <w:rPr>
          <w:sz w:val="18"/>
        </w:rPr>
      </w:pPr>
    </w:p>
    <w:p>
      <w:pPr>
        <w:spacing w:line="240" w:lineRule="auto" w:before="116"/>
        <w:ind w:left="454" w:right="404" w:firstLine="0"/>
        <w:jc w:val="both"/>
        <w:rPr>
          <w:sz w:val="18"/>
        </w:rPr>
      </w:pPr>
      <w:r>
        <w:rPr>
          <w:b/>
          <w:sz w:val="18"/>
        </w:rPr>
        <w:t>Bertha Lilia: </w:t>
      </w:r>
      <w:r>
        <w:rPr>
          <w:sz w:val="18"/>
        </w:rPr>
        <w:t>Los logros que hemos tenido, híjole, la verdad es que es poco, es únicamente hacer la</w:t>
      </w:r>
      <w:r>
        <w:rPr>
          <w:spacing w:val="-9"/>
          <w:sz w:val="18"/>
        </w:rPr>
        <w:t> </w:t>
      </w:r>
      <w:r>
        <w:rPr>
          <w:sz w:val="18"/>
        </w:rPr>
        <w:t>entrega</w:t>
      </w:r>
      <w:r>
        <w:rPr>
          <w:spacing w:val="-9"/>
          <w:sz w:val="18"/>
        </w:rPr>
        <w:t> </w:t>
      </w:r>
      <w:r>
        <w:rPr>
          <w:sz w:val="18"/>
        </w:rPr>
        <w:t>de</w:t>
      </w:r>
      <w:r>
        <w:rPr>
          <w:spacing w:val="-9"/>
          <w:sz w:val="18"/>
        </w:rPr>
        <w:t> </w:t>
      </w:r>
      <w:r>
        <w:rPr>
          <w:sz w:val="18"/>
        </w:rPr>
        <w:t>la</w:t>
      </w:r>
      <w:r>
        <w:rPr>
          <w:spacing w:val="-9"/>
          <w:sz w:val="18"/>
        </w:rPr>
        <w:t> </w:t>
      </w:r>
      <w:r>
        <w:rPr>
          <w:sz w:val="18"/>
        </w:rPr>
        <w:t>información,</w:t>
      </w:r>
      <w:r>
        <w:rPr>
          <w:spacing w:val="-9"/>
          <w:sz w:val="18"/>
        </w:rPr>
        <w:t> </w:t>
      </w:r>
      <w:r>
        <w:rPr>
          <w:sz w:val="18"/>
        </w:rPr>
        <w:t>yo</w:t>
      </w:r>
      <w:r>
        <w:rPr>
          <w:spacing w:val="-9"/>
          <w:sz w:val="18"/>
        </w:rPr>
        <w:t> </w:t>
      </w:r>
      <w:r>
        <w:rPr>
          <w:sz w:val="18"/>
        </w:rPr>
        <w:t>creo</w:t>
      </w:r>
      <w:r>
        <w:rPr>
          <w:spacing w:val="-9"/>
          <w:sz w:val="18"/>
        </w:rPr>
        <w:t> </w:t>
      </w:r>
      <w:r>
        <w:rPr>
          <w:sz w:val="18"/>
        </w:rPr>
        <w:t>que</w:t>
      </w:r>
      <w:r>
        <w:rPr>
          <w:spacing w:val="-9"/>
          <w:sz w:val="18"/>
        </w:rPr>
        <w:t> </w:t>
      </w:r>
      <w:r>
        <w:rPr>
          <w:sz w:val="18"/>
        </w:rPr>
        <w:t>es</w:t>
      </w:r>
      <w:r>
        <w:rPr>
          <w:spacing w:val="-8"/>
          <w:sz w:val="18"/>
        </w:rPr>
        <w:t> </w:t>
      </w:r>
      <w:r>
        <w:rPr>
          <w:sz w:val="18"/>
        </w:rPr>
        <w:t>el</w:t>
      </w:r>
      <w:r>
        <w:rPr>
          <w:spacing w:val="-9"/>
          <w:sz w:val="18"/>
        </w:rPr>
        <w:t> </w:t>
      </w:r>
      <w:r>
        <w:rPr>
          <w:sz w:val="18"/>
        </w:rPr>
        <w:t>único</w:t>
      </w:r>
      <w:r>
        <w:rPr>
          <w:spacing w:val="-9"/>
          <w:sz w:val="18"/>
        </w:rPr>
        <w:t> </w:t>
      </w:r>
      <w:r>
        <w:rPr>
          <w:sz w:val="18"/>
        </w:rPr>
        <w:t>logro.</w:t>
      </w:r>
      <w:r>
        <w:rPr>
          <w:spacing w:val="-2"/>
          <w:sz w:val="18"/>
        </w:rPr>
        <w:t> </w:t>
      </w:r>
      <w:r>
        <w:rPr>
          <w:sz w:val="18"/>
        </w:rPr>
        <w:t>Algo</w:t>
      </w:r>
      <w:r>
        <w:rPr>
          <w:spacing w:val="-9"/>
          <w:sz w:val="18"/>
        </w:rPr>
        <w:t> </w:t>
      </w:r>
      <w:r>
        <w:rPr>
          <w:sz w:val="18"/>
        </w:rPr>
        <w:t>muy</w:t>
      </w:r>
      <w:r>
        <w:rPr>
          <w:spacing w:val="-11"/>
          <w:sz w:val="18"/>
        </w:rPr>
        <w:t> </w:t>
      </w:r>
      <w:r>
        <w:rPr>
          <w:sz w:val="18"/>
        </w:rPr>
        <w:t>importante</w:t>
      </w:r>
      <w:r>
        <w:rPr>
          <w:spacing w:val="-8"/>
          <w:sz w:val="18"/>
        </w:rPr>
        <w:t> </w:t>
      </w:r>
      <w:r>
        <w:rPr>
          <w:sz w:val="18"/>
        </w:rPr>
        <w:t>es</w:t>
      </w:r>
      <w:r>
        <w:rPr>
          <w:spacing w:val="-8"/>
          <w:sz w:val="18"/>
        </w:rPr>
        <w:t> </w:t>
      </w:r>
      <w:r>
        <w:rPr>
          <w:sz w:val="18"/>
        </w:rPr>
        <w:t>darle</w:t>
      </w:r>
      <w:r>
        <w:rPr>
          <w:spacing w:val="-9"/>
          <w:sz w:val="18"/>
        </w:rPr>
        <w:t> </w:t>
      </w:r>
      <w:r>
        <w:rPr>
          <w:sz w:val="18"/>
        </w:rPr>
        <w:t>importancia a nuestra página de transparencia, nuestra página del municipio, porque la Presidenta ha instruido que</w:t>
      </w:r>
      <w:r>
        <w:rPr>
          <w:spacing w:val="-9"/>
          <w:sz w:val="18"/>
        </w:rPr>
        <w:t> </w:t>
      </w:r>
      <w:r>
        <w:rPr>
          <w:sz w:val="18"/>
        </w:rPr>
        <w:t>sea</w:t>
      </w:r>
      <w:r>
        <w:rPr>
          <w:spacing w:val="-9"/>
          <w:sz w:val="18"/>
        </w:rPr>
        <w:t> </w:t>
      </w:r>
      <w:r>
        <w:rPr>
          <w:sz w:val="18"/>
        </w:rPr>
        <w:t>un</w:t>
      </w:r>
      <w:r>
        <w:rPr>
          <w:spacing w:val="-9"/>
          <w:sz w:val="18"/>
        </w:rPr>
        <w:t> </w:t>
      </w:r>
      <w:r>
        <w:rPr>
          <w:sz w:val="18"/>
        </w:rPr>
        <w:t>medio</w:t>
      </w:r>
      <w:r>
        <w:rPr>
          <w:spacing w:val="-6"/>
          <w:sz w:val="18"/>
        </w:rPr>
        <w:t> </w:t>
      </w:r>
      <w:r>
        <w:rPr>
          <w:sz w:val="18"/>
        </w:rPr>
        <w:t>vivo,</w:t>
      </w:r>
      <w:r>
        <w:rPr>
          <w:spacing w:val="-9"/>
          <w:sz w:val="18"/>
        </w:rPr>
        <w:t> </w:t>
      </w:r>
      <w:r>
        <w:rPr>
          <w:sz w:val="18"/>
        </w:rPr>
        <w:t>de</w:t>
      </w:r>
      <w:r>
        <w:rPr>
          <w:spacing w:val="-9"/>
          <w:sz w:val="18"/>
        </w:rPr>
        <w:t> </w:t>
      </w:r>
      <w:r>
        <w:rPr>
          <w:sz w:val="18"/>
        </w:rPr>
        <w:t>hecho</w:t>
      </w:r>
      <w:r>
        <w:rPr>
          <w:spacing w:val="-6"/>
          <w:sz w:val="18"/>
        </w:rPr>
        <w:t> </w:t>
      </w:r>
      <w:r>
        <w:rPr>
          <w:sz w:val="18"/>
        </w:rPr>
        <w:t>también</w:t>
      </w:r>
      <w:r>
        <w:rPr>
          <w:spacing w:val="-9"/>
          <w:sz w:val="18"/>
        </w:rPr>
        <w:t> </w:t>
      </w:r>
      <w:r>
        <w:rPr>
          <w:sz w:val="18"/>
        </w:rPr>
        <w:t>a</w:t>
      </w:r>
      <w:r>
        <w:rPr>
          <w:spacing w:val="-6"/>
          <w:sz w:val="18"/>
        </w:rPr>
        <w:t> </w:t>
      </w:r>
      <w:r>
        <w:rPr>
          <w:sz w:val="18"/>
        </w:rPr>
        <w:t>través</w:t>
      </w:r>
      <w:r>
        <w:rPr>
          <w:spacing w:val="-6"/>
          <w:sz w:val="18"/>
        </w:rPr>
        <w:t> </w:t>
      </w:r>
      <w:r>
        <w:rPr>
          <w:sz w:val="18"/>
        </w:rPr>
        <w:t>de</w:t>
      </w:r>
      <w:r>
        <w:rPr>
          <w:spacing w:val="-6"/>
          <w:sz w:val="18"/>
        </w:rPr>
        <w:t> </w:t>
      </w:r>
      <w:r>
        <w:rPr>
          <w:sz w:val="18"/>
        </w:rPr>
        <w:t>Facebook</w:t>
      </w:r>
      <w:r>
        <w:rPr>
          <w:spacing w:val="-6"/>
          <w:sz w:val="18"/>
        </w:rPr>
        <w:t> </w:t>
      </w:r>
      <w:r>
        <w:rPr>
          <w:sz w:val="18"/>
        </w:rPr>
        <w:t>ya</w:t>
      </w:r>
      <w:r>
        <w:rPr>
          <w:spacing w:val="-6"/>
          <w:sz w:val="18"/>
        </w:rPr>
        <w:t> </w:t>
      </w:r>
      <w:r>
        <w:rPr>
          <w:sz w:val="18"/>
        </w:rPr>
        <w:t>publica</w:t>
      </w:r>
      <w:r>
        <w:rPr>
          <w:spacing w:val="-9"/>
          <w:sz w:val="18"/>
        </w:rPr>
        <w:t> </w:t>
      </w:r>
      <w:r>
        <w:rPr>
          <w:sz w:val="18"/>
        </w:rPr>
        <w:t>lo</w:t>
      </w:r>
      <w:r>
        <w:rPr>
          <w:spacing w:val="-9"/>
          <w:sz w:val="18"/>
        </w:rPr>
        <w:t> </w:t>
      </w:r>
      <w:r>
        <w:rPr>
          <w:sz w:val="18"/>
        </w:rPr>
        <w:t>que</w:t>
      </w:r>
      <w:r>
        <w:rPr>
          <w:spacing w:val="-6"/>
          <w:sz w:val="18"/>
        </w:rPr>
        <w:t> </w:t>
      </w:r>
      <w:r>
        <w:rPr>
          <w:sz w:val="18"/>
        </w:rPr>
        <w:t>estamos</w:t>
      </w:r>
      <w:r>
        <w:rPr>
          <w:spacing w:val="-8"/>
          <w:sz w:val="18"/>
        </w:rPr>
        <w:t> </w:t>
      </w:r>
      <w:r>
        <w:rPr>
          <w:sz w:val="18"/>
        </w:rPr>
        <w:t>haciendo (los logros) de alguna manera como te comento estamos subiendo información a la página. De hecho, se maneja lo que es una página electrónica que falta difundirla porque no siempre es conveniente, por ejemplo si la Presidenta va a una inauguración pero la página mucha gente no la conoce</w:t>
      </w:r>
      <w:r>
        <w:rPr>
          <w:spacing w:val="-2"/>
          <w:sz w:val="18"/>
        </w:rPr>
        <w:t> </w:t>
      </w:r>
      <w:r>
        <w:rPr>
          <w:sz w:val="18"/>
        </w:rPr>
        <w:t>y</w:t>
      </w:r>
      <w:r>
        <w:rPr>
          <w:spacing w:val="-5"/>
          <w:sz w:val="18"/>
        </w:rPr>
        <w:t> </w:t>
      </w:r>
      <w:r>
        <w:rPr>
          <w:sz w:val="18"/>
        </w:rPr>
        <w:t>es</w:t>
      </w:r>
      <w:r>
        <w:rPr>
          <w:spacing w:val="-3"/>
          <w:sz w:val="18"/>
        </w:rPr>
        <w:t> </w:t>
      </w:r>
      <w:r>
        <w:rPr>
          <w:sz w:val="18"/>
        </w:rPr>
        <w:t>falta</w:t>
      </w:r>
      <w:r>
        <w:rPr>
          <w:spacing w:val="-2"/>
          <w:sz w:val="18"/>
        </w:rPr>
        <w:t> </w:t>
      </w:r>
      <w:r>
        <w:rPr>
          <w:sz w:val="18"/>
        </w:rPr>
        <w:t>de</w:t>
      </w:r>
      <w:r>
        <w:rPr>
          <w:spacing w:val="-2"/>
          <w:sz w:val="18"/>
        </w:rPr>
        <w:t> </w:t>
      </w:r>
      <w:r>
        <w:rPr>
          <w:sz w:val="18"/>
        </w:rPr>
        <w:t>difusión</w:t>
      </w:r>
      <w:r>
        <w:rPr>
          <w:spacing w:val="-4"/>
          <w:sz w:val="18"/>
        </w:rPr>
        <w:t> </w:t>
      </w:r>
      <w:r>
        <w:rPr>
          <w:sz w:val="18"/>
        </w:rPr>
        <w:t>por</w:t>
      </w:r>
      <w:r>
        <w:rPr>
          <w:spacing w:val="-2"/>
          <w:sz w:val="18"/>
        </w:rPr>
        <w:t> </w:t>
      </w:r>
      <w:r>
        <w:rPr>
          <w:sz w:val="18"/>
        </w:rPr>
        <w:t>parte</w:t>
      </w:r>
      <w:r>
        <w:rPr>
          <w:spacing w:val="-2"/>
          <w:sz w:val="18"/>
        </w:rPr>
        <w:t> </w:t>
      </w:r>
      <w:r>
        <w:rPr>
          <w:sz w:val="18"/>
        </w:rPr>
        <w:t>nuestra</w:t>
      </w:r>
      <w:r>
        <w:rPr>
          <w:spacing w:val="-2"/>
          <w:sz w:val="18"/>
        </w:rPr>
        <w:t> </w:t>
      </w:r>
      <w:r>
        <w:rPr>
          <w:sz w:val="18"/>
        </w:rPr>
        <w:t>y</w:t>
      </w:r>
      <w:r>
        <w:rPr>
          <w:spacing w:val="-3"/>
          <w:sz w:val="18"/>
        </w:rPr>
        <w:t> </w:t>
      </w:r>
      <w:r>
        <w:rPr>
          <w:sz w:val="18"/>
        </w:rPr>
        <w:t>para</w:t>
      </w:r>
      <w:r>
        <w:rPr>
          <w:spacing w:val="-4"/>
          <w:sz w:val="18"/>
        </w:rPr>
        <w:t> </w:t>
      </w:r>
      <w:r>
        <w:rPr>
          <w:sz w:val="18"/>
        </w:rPr>
        <w:t>que</w:t>
      </w:r>
      <w:r>
        <w:rPr>
          <w:spacing w:val="-4"/>
          <w:sz w:val="18"/>
        </w:rPr>
        <w:t> </w:t>
      </w:r>
      <w:r>
        <w:rPr>
          <w:sz w:val="18"/>
        </w:rPr>
        <w:t>la</w:t>
      </w:r>
      <w:r>
        <w:rPr>
          <w:spacing w:val="-4"/>
          <w:sz w:val="18"/>
        </w:rPr>
        <w:t> </w:t>
      </w:r>
      <w:r>
        <w:rPr>
          <w:sz w:val="18"/>
        </w:rPr>
        <w:t>ciudadanía</w:t>
      </w:r>
      <w:r>
        <w:rPr>
          <w:spacing w:val="-4"/>
          <w:sz w:val="18"/>
        </w:rPr>
        <w:t> </w:t>
      </w:r>
      <w:r>
        <w:rPr>
          <w:sz w:val="18"/>
        </w:rPr>
        <w:t>aproveche</w:t>
      </w:r>
      <w:r>
        <w:rPr>
          <w:spacing w:val="-4"/>
          <w:sz w:val="18"/>
        </w:rPr>
        <w:t> </w:t>
      </w:r>
      <w:r>
        <w:rPr>
          <w:sz w:val="18"/>
        </w:rPr>
        <w:t>este</w:t>
      </w:r>
      <w:r>
        <w:rPr>
          <w:spacing w:val="-2"/>
          <w:sz w:val="18"/>
        </w:rPr>
        <w:t> </w:t>
      </w:r>
      <w:r>
        <w:rPr>
          <w:sz w:val="18"/>
        </w:rPr>
        <w:t>medio</w:t>
      </w:r>
      <w:r>
        <w:rPr>
          <w:spacing w:val="-4"/>
          <w:sz w:val="18"/>
        </w:rPr>
        <w:t> </w:t>
      </w:r>
      <w:r>
        <w:rPr>
          <w:sz w:val="18"/>
        </w:rPr>
        <w:t>para poder acompañar la Presidenta alguno de sus eventos o para que pueda participar en alguna actividad.</w:t>
      </w:r>
    </w:p>
    <w:p>
      <w:pPr>
        <w:pStyle w:val="BodyText"/>
        <w:rPr>
          <w:sz w:val="18"/>
        </w:rPr>
      </w:pPr>
    </w:p>
    <w:p>
      <w:pPr>
        <w:pStyle w:val="BodyText"/>
        <w:rPr>
          <w:sz w:val="18"/>
        </w:rPr>
      </w:pPr>
    </w:p>
    <w:p>
      <w:pPr>
        <w:spacing w:line="240" w:lineRule="auto" w:before="111"/>
        <w:ind w:left="454" w:right="407" w:firstLine="0"/>
        <w:jc w:val="both"/>
        <w:rPr>
          <w:sz w:val="18"/>
        </w:rPr>
      </w:pPr>
      <w:r>
        <w:rPr>
          <w:b/>
          <w:sz w:val="18"/>
        </w:rPr>
        <w:t>Gabriel: </w:t>
      </w:r>
      <w:r>
        <w:rPr>
          <w:sz w:val="18"/>
        </w:rPr>
        <w:t>Correcto, ahora ¿Cuándo generalmente le solicita una información, en escala del 1 al 100 en qué porcentaje ustedes como unidad de transparencia cuentan con esta información, con frecuencia se tiene la información y en su caso, como se hace esta información?</w:t>
      </w:r>
    </w:p>
    <w:p>
      <w:pPr>
        <w:pStyle w:val="BodyText"/>
        <w:rPr>
          <w:sz w:val="18"/>
        </w:rPr>
      </w:pPr>
    </w:p>
    <w:p>
      <w:pPr>
        <w:pStyle w:val="BodyText"/>
        <w:rPr>
          <w:sz w:val="18"/>
        </w:rPr>
      </w:pPr>
    </w:p>
    <w:p>
      <w:pPr>
        <w:spacing w:line="240" w:lineRule="auto" w:before="111"/>
        <w:ind w:left="454" w:right="406" w:firstLine="0"/>
        <w:jc w:val="both"/>
        <w:rPr>
          <w:sz w:val="18"/>
        </w:rPr>
      </w:pPr>
      <w:r>
        <w:rPr>
          <w:b/>
          <w:sz w:val="18"/>
        </w:rPr>
        <w:t>Bertha Lilia: </w:t>
      </w:r>
      <w:r>
        <w:rPr>
          <w:sz w:val="18"/>
        </w:rPr>
        <w:t>Yo creo que realmente entregamos la información a un 70%, lo investigamos ya sea que</w:t>
      </w:r>
      <w:r>
        <w:rPr>
          <w:spacing w:val="-6"/>
          <w:sz w:val="18"/>
        </w:rPr>
        <w:t> </w:t>
      </w:r>
      <w:r>
        <w:rPr>
          <w:sz w:val="18"/>
        </w:rPr>
        <w:t>se</w:t>
      </w:r>
      <w:r>
        <w:rPr>
          <w:spacing w:val="-9"/>
          <w:sz w:val="18"/>
        </w:rPr>
        <w:t> </w:t>
      </w:r>
      <w:r>
        <w:rPr>
          <w:sz w:val="18"/>
        </w:rPr>
        <w:t>cuente</w:t>
      </w:r>
      <w:r>
        <w:rPr>
          <w:spacing w:val="-6"/>
          <w:sz w:val="18"/>
        </w:rPr>
        <w:t> </w:t>
      </w:r>
      <w:r>
        <w:rPr>
          <w:sz w:val="18"/>
        </w:rPr>
        <w:t>con</w:t>
      </w:r>
      <w:r>
        <w:rPr>
          <w:spacing w:val="-6"/>
          <w:sz w:val="18"/>
        </w:rPr>
        <w:t> </w:t>
      </w:r>
      <w:r>
        <w:rPr>
          <w:sz w:val="18"/>
        </w:rPr>
        <w:t>la</w:t>
      </w:r>
      <w:r>
        <w:rPr>
          <w:spacing w:val="-6"/>
          <w:sz w:val="18"/>
        </w:rPr>
        <w:t> </w:t>
      </w:r>
      <w:r>
        <w:rPr>
          <w:sz w:val="18"/>
        </w:rPr>
        <w:t>información,</w:t>
      </w:r>
      <w:r>
        <w:rPr>
          <w:spacing w:val="-7"/>
          <w:sz w:val="18"/>
        </w:rPr>
        <w:t> </w:t>
      </w:r>
      <w:r>
        <w:rPr>
          <w:sz w:val="18"/>
        </w:rPr>
        <w:t>la</w:t>
      </w:r>
      <w:r>
        <w:rPr>
          <w:spacing w:val="-6"/>
          <w:sz w:val="18"/>
        </w:rPr>
        <w:t> </w:t>
      </w:r>
      <w:r>
        <w:rPr>
          <w:sz w:val="18"/>
        </w:rPr>
        <w:t>solicitamos</w:t>
      </w:r>
      <w:r>
        <w:rPr>
          <w:spacing w:val="-1"/>
          <w:sz w:val="18"/>
        </w:rPr>
        <w:t> </w:t>
      </w:r>
      <w:r>
        <w:rPr>
          <w:sz w:val="18"/>
        </w:rPr>
        <w:t>sino</w:t>
      </w:r>
      <w:r>
        <w:rPr>
          <w:spacing w:val="-6"/>
          <w:sz w:val="18"/>
        </w:rPr>
        <w:t> </w:t>
      </w:r>
      <w:r>
        <w:rPr>
          <w:sz w:val="18"/>
        </w:rPr>
        <w:t>recurrimos</w:t>
      </w:r>
      <w:r>
        <w:rPr>
          <w:spacing w:val="-6"/>
          <w:sz w:val="18"/>
        </w:rPr>
        <w:t> </w:t>
      </w:r>
      <w:r>
        <w:rPr>
          <w:sz w:val="18"/>
        </w:rPr>
        <w:t>a</w:t>
      </w:r>
      <w:r>
        <w:rPr>
          <w:spacing w:val="-6"/>
          <w:sz w:val="18"/>
        </w:rPr>
        <w:t> </w:t>
      </w:r>
      <w:r>
        <w:rPr>
          <w:sz w:val="18"/>
        </w:rPr>
        <w:t>alguien</w:t>
      </w:r>
      <w:r>
        <w:rPr>
          <w:spacing w:val="-6"/>
          <w:sz w:val="18"/>
        </w:rPr>
        <w:t> </w:t>
      </w:r>
      <w:r>
        <w:rPr>
          <w:sz w:val="18"/>
        </w:rPr>
        <w:t>más</w:t>
      </w:r>
      <w:r>
        <w:rPr>
          <w:spacing w:val="-6"/>
          <w:sz w:val="18"/>
        </w:rPr>
        <w:t> </w:t>
      </w:r>
      <w:r>
        <w:rPr>
          <w:sz w:val="18"/>
        </w:rPr>
        <w:t>o</w:t>
      </w:r>
      <w:r>
        <w:rPr>
          <w:spacing w:val="-6"/>
          <w:sz w:val="18"/>
        </w:rPr>
        <w:t> </w:t>
      </w:r>
      <w:r>
        <w:rPr>
          <w:sz w:val="18"/>
        </w:rPr>
        <w:t>si</w:t>
      </w:r>
      <w:r>
        <w:rPr>
          <w:spacing w:val="-6"/>
          <w:sz w:val="18"/>
        </w:rPr>
        <w:t> </w:t>
      </w:r>
      <w:r>
        <w:rPr>
          <w:sz w:val="18"/>
        </w:rPr>
        <w:t>no</w:t>
      </w:r>
      <w:r>
        <w:rPr>
          <w:spacing w:val="-6"/>
          <w:sz w:val="18"/>
        </w:rPr>
        <w:t> </w:t>
      </w:r>
      <w:r>
        <w:rPr>
          <w:sz w:val="18"/>
        </w:rPr>
        <w:t>híjole</w:t>
      </w:r>
      <w:r>
        <w:rPr>
          <w:spacing w:val="-6"/>
          <w:sz w:val="18"/>
        </w:rPr>
        <w:t> </w:t>
      </w:r>
      <w:r>
        <w:rPr>
          <w:sz w:val="18"/>
        </w:rPr>
        <w:t>a</w:t>
      </w:r>
      <w:r>
        <w:rPr>
          <w:spacing w:val="-6"/>
          <w:sz w:val="18"/>
        </w:rPr>
        <w:t> </w:t>
      </w:r>
      <w:r>
        <w:rPr>
          <w:sz w:val="18"/>
        </w:rPr>
        <w:t>veces si</w:t>
      </w:r>
      <w:r>
        <w:rPr>
          <w:spacing w:val="-6"/>
          <w:sz w:val="18"/>
        </w:rPr>
        <w:t> </w:t>
      </w:r>
      <w:r>
        <w:rPr>
          <w:sz w:val="18"/>
        </w:rPr>
        <w:t>lo</w:t>
      </w:r>
      <w:r>
        <w:rPr>
          <w:spacing w:val="-6"/>
          <w:sz w:val="18"/>
        </w:rPr>
        <w:t> </w:t>
      </w:r>
      <w:r>
        <w:rPr>
          <w:sz w:val="18"/>
        </w:rPr>
        <w:t>hacemos,</w:t>
      </w:r>
      <w:r>
        <w:rPr>
          <w:spacing w:val="-7"/>
          <w:sz w:val="18"/>
        </w:rPr>
        <w:t> </w:t>
      </w:r>
      <w:r>
        <w:rPr>
          <w:sz w:val="18"/>
        </w:rPr>
        <w:t>a</w:t>
      </w:r>
      <w:r>
        <w:rPr>
          <w:spacing w:val="-9"/>
          <w:sz w:val="18"/>
        </w:rPr>
        <w:t> </w:t>
      </w:r>
      <w:r>
        <w:rPr>
          <w:sz w:val="18"/>
        </w:rPr>
        <w:t>veces,</w:t>
      </w:r>
      <w:r>
        <w:rPr>
          <w:spacing w:val="-7"/>
          <w:sz w:val="18"/>
        </w:rPr>
        <w:t> </w:t>
      </w:r>
      <w:r>
        <w:rPr>
          <w:sz w:val="18"/>
        </w:rPr>
        <w:t>que</w:t>
      </w:r>
      <w:r>
        <w:rPr>
          <w:spacing w:val="-9"/>
          <w:sz w:val="18"/>
        </w:rPr>
        <w:t> </w:t>
      </w:r>
      <w:r>
        <w:rPr>
          <w:sz w:val="18"/>
        </w:rPr>
        <w:t>entramos</w:t>
      </w:r>
      <w:r>
        <w:rPr>
          <w:spacing w:val="-6"/>
          <w:sz w:val="18"/>
        </w:rPr>
        <w:t> </w:t>
      </w:r>
      <w:r>
        <w:rPr>
          <w:sz w:val="18"/>
        </w:rPr>
        <w:t>a</w:t>
      </w:r>
      <w:r>
        <w:rPr>
          <w:spacing w:val="-9"/>
          <w:sz w:val="18"/>
        </w:rPr>
        <w:t> </w:t>
      </w:r>
      <w:r>
        <w:rPr>
          <w:sz w:val="18"/>
        </w:rPr>
        <w:t>la</w:t>
      </w:r>
      <w:r>
        <w:rPr>
          <w:spacing w:val="-9"/>
          <w:sz w:val="18"/>
        </w:rPr>
        <w:t> </w:t>
      </w:r>
      <w:r>
        <w:rPr>
          <w:sz w:val="18"/>
        </w:rPr>
        <w:t>página</w:t>
      </w:r>
      <w:r>
        <w:rPr>
          <w:spacing w:val="-9"/>
          <w:sz w:val="18"/>
        </w:rPr>
        <w:t> </w:t>
      </w:r>
      <w:r>
        <w:rPr>
          <w:sz w:val="18"/>
        </w:rPr>
        <w:t>les</w:t>
      </w:r>
      <w:r>
        <w:rPr>
          <w:spacing w:val="-6"/>
          <w:sz w:val="18"/>
        </w:rPr>
        <w:t> </w:t>
      </w:r>
      <w:r>
        <w:rPr>
          <w:sz w:val="18"/>
        </w:rPr>
        <w:t>ayudamos</w:t>
      </w:r>
      <w:r>
        <w:rPr>
          <w:spacing w:val="-6"/>
          <w:sz w:val="18"/>
        </w:rPr>
        <w:t> </w:t>
      </w:r>
      <w:r>
        <w:rPr>
          <w:sz w:val="18"/>
        </w:rPr>
        <w:t>a</w:t>
      </w:r>
      <w:r>
        <w:rPr>
          <w:spacing w:val="-9"/>
          <w:sz w:val="18"/>
        </w:rPr>
        <w:t> </w:t>
      </w:r>
      <w:r>
        <w:rPr>
          <w:sz w:val="18"/>
        </w:rPr>
        <w:t>ingresar</w:t>
      </w:r>
      <w:r>
        <w:rPr>
          <w:spacing w:val="-7"/>
          <w:sz w:val="18"/>
        </w:rPr>
        <w:t> </w:t>
      </w:r>
      <w:r>
        <w:rPr>
          <w:sz w:val="18"/>
        </w:rPr>
        <w:t>pero</w:t>
      </w:r>
      <w:r>
        <w:rPr>
          <w:spacing w:val="-6"/>
          <w:sz w:val="18"/>
        </w:rPr>
        <w:t> </w:t>
      </w:r>
      <w:r>
        <w:rPr>
          <w:sz w:val="18"/>
        </w:rPr>
        <w:t>tampoco</w:t>
      </w:r>
      <w:r>
        <w:rPr>
          <w:spacing w:val="-9"/>
          <w:sz w:val="18"/>
        </w:rPr>
        <w:t> </w:t>
      </w:r>
      <w:r>
        <w:rPr>
          <w:sz w:val="18"/>
        </w:rPr>
        <w:t>le</w:t>
      </w:r>
      <w:r>
        <w:rPr>
          <w:spacing w:val="-11"/>
          <w:sz w:val="18"/>
        </w:rPr>
        <w:t> </w:t>
      </w:r>
      <w:r>
        <w:rPr>
          <w:sz w:val="18"/>
        </w:rPr>
        <w:t>decimos no</w:t>
      </w:r>
      <w:r>
        <w:rPr>
          <w:spacing w:val="-6"/>
          <w:sz w:val="18"/>
        </w:rPr>
        <w:t> </w:t>
      </w:r>
      <w:r>
        <w:rPr>
          <w:sz w:val="18"/>
        </w:rPr>
        <w:t>está,</w:t>
      </w:r>
      <w:r>
        <w:rPr>
          <w:spacing w:val="-7"/>
          <w:sz w:val="18"/>
        </w:rPr>
        <w:t> </w:t>
      </w:r>
      <w:r>
        <w:rPr>
          <w:sz w:val="18"/>
        </w:rPr>
        <w:t>yo</w:t>
      </w:r>
      <w:r>
        <w:rPr>
          <w:spacing w:val="-9"/>
          <w:sz w:val="18"/>
        </w:rPr>
        <w:t> </w:t>
      </w:r>
      <w:r>
        <w:rPr>
          <w:sz w:val="18"/>
        </w:rPr>
        <w:t>creo</w:t>
      </w:r>
      <w:r>
        <w:rPr>
          <w:spacing w:val="-9"/>
          <w:sz w:val="18"/>
        </w:rPr>
        <w:t> </w:t>
      </w:r>
      <w:r>
        <w:rPr>
          <w:sz w:val="18"/>
        </w:rPr>
        <w:t>que</w:t>
      </w:r>
      <w:r>
        <w:rPr>
          <w:spacing w:val="-9"/>
          <w:sz w:val="18"/>
        </w:rPr>
        <w:t> </w:t>
      </w:r>
      <w:r>
        <w:rPr>
          <w:sz w:val="18"/>
        </w:rPr>
        <w:t>hasta</w:t>
      </w:r>
      <w:r>
        <w:rPr>
          <w:spacing w:val="-8"/>
          <w:sz w:val="18"/>
        </w:rPr>
        <w:t> </w:t>
      </w:r>
      <w:r>
        <w:rPr>
          <w:sz w:val="18"/>
        </w:rPr>
        <w:t>un</w:t>
      </w:r>
      <w:r>
        <w:rPr>
          <w:spacing w:val="-11"/>
          <w:sz w:val="18"/>
        </w:rPr>
        <w:t> </w:t>
      </w:r>
      <w:r>
        <w:rPr>
          <w:sz w:val="18"/>
        </w:rPr>
        <w:t>80%,</w:t>
      </w:r>
      <w:r>
        <w:rPr>
          <w:spacing w:val="-9"/>
          <w:sz w:val="18"/>
        </w:rPr>
        <w:t> </w:t>
      </w:r>
      <w:r>
        <w:rPr>
          <w:sz w:val="18"/>
        </w:rPr>
        <w:t>no.</w:t>
      </w:r>
      <w:r>
        <w:rPr>
          <w:spacing w:val="-9"/>
          <w:sz w:val="18"/>
        </w:rPr>
        <w:t> </w:t>
      </w:r>
      <w:r>
        <w:rPr>
          <w:sz w:val="18"/>
        </w:rPr>
        <w:t>Si</w:t>
      </w:r>
      <w:r>
        <w:rPr>
          <w:spacing w:val="-9"/>
          <w:sz w:val="18"/>
        </w:rPr>
        <w:t> </w:t>
      </w:r>
      <w:r>
        <w:rPr>
          <w:sz w:val="18"/>
        </w:rPr>
        <w:t>porque</w:t>
      </w:r>
      <w:r>
        <w:rPr>
          <w:spacing w:val="-9"/>
          <w:sz w:val="18"/>
        </w:rPr>
        <w:t> </w:t>
      </w:r>
      <w:r>
        <w:rPr>
          <w:sz w:val="18"/>
        </w:rPr>
        <w:t>un</w:t>
      </w:r>
      <w:r>
        <w:rPr>
          <w:spacing w:val="-6"/>
          <w:sz w:val="18"/>
        </w:rPr>
        <w:t> </w:t>
      </w:r>
      <w:r>
        <w:rPr>
          <w:sz w:val="18"/>
        </w:rPr>
        <w:t>20%</w:t>
      </w:r>
      <w:r>
        <w:rPr>
          <w:spacing w:val="-9"/>
          <w:sz w:val="18"/>
        </w:rPr>
        <w:t> </w:t>
      </w:r>
      <w:r>
        <w:rPr>
          <w:sz w:val="18"/>
        </w:rPr>
        <w:t>así</w:t>
      </w:r>
      <w:r>
        <w:rPr>
          <w:spacing w:val="-9"/>
          <w:sz w:val="18"/>
        </w:rPr>
        <w:t> </w:t>
      </w:r>
      <w:r>
        <w:rPr>
          <w:sz w:val="18"/>
        </w:rPr>
        <w:t>como</w:t>
      </w:r>
      <w:r>
        <w:rPr>
          <w:spacing w:val="-9"/>
          <w:sz w:val="18"/>
        </w:rPr>
        <w:t> </w:t>
      </w:r>
      <w:r>
        <w:rPr>
          <w:sz w:val="18"/>
        </w:rPr>
        <w:t>que</w:t>
      </w:r>
      <w:r>
        <w:rPr>
          <w:spacing w:val="-9"/>
          <w:sz w:val="18"/>
        </w:rPr>
        <w:t> </w:t>
      </w:r>
      <w:r>
        <w:rPr>
          <w:sz w:val="18"/>
        </w:rPr>
        <w:t>hay</w:t>
      </w:r>
      <w:r>
        <w:rPr>
          <w:spacing w:val="-8"/>
          <w:sz w:val="18"/>
        </w:rPr>
        <w:t> </w:t>
      </w:r>
      <w:r>
        <w:rPr>
          <w:sz w:val="18"/>
        </w:rPr>
        <w:t>que</w:t>
      </w:r>
      <w:r>
        <w:rPr>
          <w:spacing w:val="-9"/>
          <w:sz w:val="18"/>
        </w:rPr>
        <w:t> </w:t>
      </w:r>
      <w:r>
        <w:rPr>
          <w:sz w:val="18"/>
        </w:rPr>
        <w:t>ayudarles</w:t>
      </w:r>
      <w:r>
        <w:rPr>
          <w:spacing w:val="-11"/>
          <w:sz w:val="18"/>
        </w:rPr>
        <w:t> </w:t>
      </w:r>
      <w:r>
        <w:rPr>
          <w:sz w:val="18"/>
        </w:rPr>
        <w:t>a</w:t>
      </w:r>
      <w:r>
        <w:rPr>
          <w:spacing w:val="-6"/>
          <w:sz w:val="18"/>
        </w:rPr>
        <w:t> </w:t>
      </w:r>
      <w:r>
        <w:rPr>
          <w:sz w:val="18"/>
        </w:rPr>
        <w:t>buscar.</w:t>
      </w:r>
    </w:p>
    <w:p>
      <w:pPr>
        <w:pStyle w:val="BodyText"/>
        <w:rPr>
          <w:sz w:val="18"/>
        </w:rPr>
      </w:pPr>
    </w:p>
    <w:p>
      <w:pPr>
        <w:pStyle w:val="BodyText"/>
        <w:rPr>
          <w:sz w:val="18"/>
        </w:rPr>
      </w:pPr>
    </w:p>
    <w:p>
      <w:pPr>
        <w:spacing w:line="242" w:lineRule="auto" w:before="111"/>
        <w:ind w:left="454" w:right="405" w:firstLine="0"/>
        <w:jc w:val="both"/>
        <w:rPr>
          <w:sz w:val="18"/>
        </w:rPr>
      </w:pPr>
      <w:r>
        <w:rPr>
          <w:b/>
          <w:sz w:val="18"/>
        </w:rPr>
        <w:t>Gabriel:</w:t>
      </w:r>
      <w:r>
        <w:rPr>
          <w:b/>
          <w:spacing w:val="-8"/>
          <w:sz w:val="18"/>
        </w:rPr>
        <w:t> </w:t>
      </w:r>
      <w:r>
        <w:rPr>
          <w:sz w:val="18"/>
        </w:rPr>
        <w:t>Correcto,</w:t>
      </w:r>
      <w:r>
        <w:rPr>
          <w:spacing w:val="-7"/>
          <w:sz w:val="18"/>
        </w:rPr>
        <w:t> </w:t>
      </w:r>
      <w:r>
        <w:rPr>
          <w:sz w:val="18"/>
        </w:rPr>
        <w:t>ahora,</w:t>
      </w:r>
      <w:r>
        <w:rPr>
          <w:spacing w:val="-9"/>
          <w:sz w:val="18"/>
        </w:rPr>
        <w:t> </w:t>
      </w:r>
      <w:r>
        <w:rPr>
          <w:sz w:val="18"/>
        </w:rPr>
        <w:t>¿En</w:t>
      </w:r>
      <w:r>
        <w:rPr>
          <w:spacing w:val="-8"/>
          <w:sz w:val="18"/>
        </w:rPr>
        <w:t> </w:t>
      </w:r>
      <w:r>
        <w:rPr>
          <w:sz w:val="18"/>
        </w:rPr>
        <w:t>esta</w:t>
      </w:r>
      <w:r>
        <w:rPr>
          <w:spacing w:val="-6"/>
          <w:sz w:val="18"/>
        </w:rPr>
        <w:t> </w:t>
      </w:r>
      <w:r>
        <w:rPr>
          <w:sz w:val="18"/>
        </w:rPr>
        <w:t>información</w:t>
      </w:r>
      <w:r>
        <w:rPr>
          <w:spacing w:val="-5"/>
          <w:sz w:val="18"/>
        </w:rPr>
        <w:t> </w:t>
      </w:r>
      <w:r>
        <w:rPr>
          <w:sz w:val="18"/>
        </w:rPr>
        <w:t>de</w:t>
      </w:r>
      <w:r>
        <w:rPr>
          <w:spacing w:val="-6"/>
          <w:sz w:val="18"/>
        </w:rPr>
        <w:t> </w:t>
      </w:r>
      <w:r>
        <w:rPr>
          <w:sz w:val="18"/>
        </w:rPr>
        <w:t>la</w:t>
      </w:r>
      <w:r>
        <w:rPr>
          <w:spacing w:val="-6"/>
          <w:sz w:val="18"/>
        </w:rPr>
        <w:t> </w:t>
      </w:r>
      <w:r>
        <w:rPr>
          <w:sz w:val="18"/>
        </w:rPr>
        <w:t>que</w:t>
      </w:r>
      <w:r>
        <w:rPr>
          <w:spacing w:val="-6"/>
          <w:sz w:val="18"/>
        </w:rPr>
        <w:t> </w:t>
      </w:r>
      <w:r>
        <w:rPr>
          <w:sz w:val="18"/>
        </w:rPr>
        <w:t>se</w:t>
      </w:r>
      <w:r>
        <w:rPr>
          <w:spacing w:val="-9"/>
          <w:sz w:val="18"/>
        </w:rPr>
        <w:t> </w:t>
      </w:r>
      <w:r>
        <w:rPr>
          <w:sz w:val="18"/>
        </w:rPr>
        <w:t>dispone</w:t>
      </w:r>
      <w:r>
        <w:rPr>
          <w:spacing w:val="-9"/>
          <w:sz w:val="18"/>
        </w:rPr>
        <w:t> </w:t>
      </w:r>
      <w:r>
        <w:rPr>
          <w:sz w:val="18"/>
        </w:rPr>
        <w:t>manejan</w:t>
      </w:r>
      <w:r>
        <w:rPr>
          <w:spacing w:val="-6"/>
          <w:sz w:val="18"/>
        </w:rPr>
        <w:t> </w:t>
      </w:r>
      <w:r>
        <w:rPr>
          <w:sz w:val="18"/>
        </w:rPr>
        <w:t>alguna</w:t>
      </w:r>
      <w:r>
        <w:rPr>
          <w:spacing w:val="-9"/>
          <w:sz w:val="18"/>
        </w:rPr>
        <w:t> </w:t>
      </w:r>
      <w:r>
        <w:rPr>
          <w:sz w:val="18"/>
        </w:rPr>
        <w:t>base</w:t>
      </w:r>
      <w:r>
        <w:rPr>
          <w:spacing w:val="-9"/>
          <w:sz w:val="18"/>
        </w:rPr>
        <w:t> </w:t>
      </w:r>
      <w:r>
        <w:rPr>
          <w:sz w:val="18"/>
        </w:rPr>
        <w:t>de</w:t>
      </w:r>
      <w:r>
        <w:rPr>
          <w:spacing w:val="-6"/>
          <w:sz w:val="18"/>
        </w:rPr>
        <w:t> </w:t>
      </w:r>
      <w:r>
        <w:rPr>
          <w:sz w:val="18"/>
        </w:rPr>
        <w:t>datos para</w:t>
      </w:r>
      <w:r>
        <w:rPr>
          <w:spacing w:val="-5"/>
          <w:sz w:val="18"/>
        </w:rPr>
        <w:t> </w:t>
      </w:r>
      <w:r>
        <w:rPr>
          <w:sz w:val="18"/>
        </w:rPr>
        <w:t>tenerla</w:t>
      </w:r>
      <w:r>
        <w:rPr>
          <w:spacing w:val="-5"/>
          <w:sz w:val="18"/>
        </w:rPr>
        <w:t> </w:t>
      </w:r>
      <w:r>
        <w:rPr>
          <w:sz w:val="18"/>
        </w:rPr>
        <w:t>ahí</w:t>
      </w:r>
      <w:r>
        <w:rPr>
          <w:spacing w:val="-5"/>
          <w:sz w:val="18"/>
        </w:rPr>
        <w:t> </w:t>
      </w:r>
      <w:r>
        <w:rPr>
          <w:sz w:val="18"/>
        </w:rPr>
        <w:t>en</w:t>
      </w:r>
      <w:r>
        <w:rPr>
          <w:spacing w:val="-5"/>
          <w:sz w:val="18"/>
        </w:rPr>
        <w:t> </w:t>
      </w:r>
      <w:r>
        <w:rPr>
          <w:sz w:val="18"/>
        </w:rPr>
        <w:t>algún</w:t>
      </w:r>
      <w:r>
        <w:rPr>
          <w:spacing w:val="-5"/>
          <w:sz w:val="18"/>
        </w:rPr>
        <w:t> </w:t>
      </w:r>
      <w:r>
        <w:rPr>
          <w:sz w:val="18"/>
        </w:rPr>
        <w:t>formato,</w:t>
      </w:r>
      <w:r>
        <w:rPr>
          <w:spacing w:val="-8"/>
          <w:sz w:val="18"/>
        </w:rPr>
        <w:t> </w:t>
      </w:r>
      <w:r>
        <w:rPr>
          <w:sz w:val="18"/>
        </w:rPr>
        <w:t>como</w:t>
      </w:r>
      <w:r>
        <w:rPr>
          <w:spacing w:val="-5"/>
          <w:sz w:val="18"/>
        </w:rPr>
        <w:t> </w:t>
      </w:r>
      <w:r>
        <w:rPr>
          <w:sz w:val="18"/>
        </w:rPr>
        <w:t>lo</w:t>
      </w:r>
      <w:r>
        <w:rPr>
          <w:spacing w:val="-5"/>
          <w:sz w:val="18"/>
        </w:rPr>
        <w:t> </w:t>
      </w:r>
      <w:r>
        <w:rPr>
          <w:sz w:val="18"/>
        </w:rPr>
        <w:t>agregan,</w:t>
      </w:r>
      <w:r>
        <w:rPr>
          <w:spacing w:val="-4"/>
          <w:sz w:val="18"/>
        </w:rPr>
        <w:t> </w:t>
      </w:r>
      <w:r>
        <w:rPr>
          <w:sz w:val="18"/>
        </w:rPr>
        <w:t>como</w:t>
      </w:r>
      <w:r>
        <w:rPr>
          <w:spacing w:val="-5"/>
          <w:sz w:val="18"/>
        </w:rPr>
        <w:t> </w:t>
      </w:r>
      <w:r>
        <w:rPr>
          <w:sz w:val="18"/>
        </w:rPr>
        <w:t>la</w:t>
      </w:r>
      <w:r>
        <w:rPr>
          <w:spacing w:val="-7"/>
          <w:sz w:val="18"/>
        </w:rPr>
        <w:t> </w:t>
      </w:r>
      <w:r>
        <w:rPr>
          <w:sz w:val="18"/>
        </w:rPr>
        <w:t>organizan</w:t>
      </w:r>
      <w:r>
        <w:rPr>
          <w:spacing w:val="-3"/>
          <w:sz w:val="18"/>
        </w:rPr>
        <w:t> </w:t>
      </w:r>
      <w:r>
        <w:rPr>
          <w:sz w:val="18"/>
        </w:rPr>
        <w:t>para</w:t>
      </w:r>
      <w:r>
        <w:rPr>
          <w:spacing w:val="-5"/>
          <w:sz w:val="18"/>
        </w:rPr>
        <w:t> </w:t>
      </w:r>
      <w:r>
        <w:rPr>
          <w:sz w:val="18"/>
        </w:rPr>
        <w:t>prever</w:t>
      </w:r>
      <w:r>
        <w:rPr>
          <w:spacing w:val="-5"/>
          <w:sz w:val="18"/>
        </w:rPr>
        <w:t> </w:t>
      </w:r>
      <w:r>
        <w:rPr>
          <w:sz w:val="18"/>
        </w:rPr>
        <w:t>porque</w:t>
      </w:r>
      <w:r>
        <w:rPr>
          <w:spacing w:val="-10"/>
          <w:sz w:val="18"/>
        </w:rPr>
        <w:t> </w:t>
      </w:r>
      <w:r>
        <w:rPr>
          <w:sz w:val="18"/>
        </w:rPr>
        <w:t>yo</w:t>
      </w:r>
      <w:r>
        <w:rPr>
          <w:spacing w:val="-5"/>
          <w:sz w:val="18"/>
        </w:rPr>
        <w:t> </w:t>
      </w:r>
      <w:r>
        <w:rPr>
          <w:sz w:val="18"/>
        </w:rPr>
        <w:t>no</w:t>
      </w:r>
      <w:r>
        <w:rPr>
          <w:spacing w:val="-5"/>
          <w:sz w:val="18"/>
        </w:rPr>
        <w:t> </w:t>
      </w:r>
      <w:r>
        <w:rPr>
          <w:sz w:val="18"/>
        </w:rPr>
        <w:t>sé si</w:t>
      </w:r>
      <w:r>
        <w:rPr>
          <w:spacing w:val="-4"/>
          <w:sz w:val="18"/>
        </w:rPr>
        <w:t> </w:t>
      </w:r>
      <w:r>
        <w:rPr>
          <w:sz w:val="18"/>
        </w:rPr>
        <w:t>prevean</w:t>
      </w:r>
      <w:r>
        <w:rPr>
          <w:spacing w:val="-4"/>
          <w:sz w:val="18"/>
        </w:rPr>
        <w:t> </w:t>
      </w:r>
      <w:r>
        <w:rPr>
          <w:sz w:val="18"/>
        </w:rPr>
        <w:t>o</w:t>
      </w:r>
      <w:r>
        <w:rPr>
          <w:spacing w:val="-4"/>
          <w:sz w:val="18"/>
        </w:rPr>
        <w:t> </w:t>
      </w:r>
      <w:r>
        <w:rPr>
          <w:sz w:val="18"/>
        </w:rPr>
        <w:t>revisen</w:t>
      </w:r>
      <w:r>
        <w:rPr>
          <w:spacing w:val="-4"/>
          <w:sz w:val="18"/>
        </w:rPr>
        <w:t> </w:t>
      </w:r>
      <w:r>
        <w:rPr>
          <w:sz w:val="18"/>
        </w:rPr>
        <w:t>cuál</w:t>
      </w:r>
      <w:r>
        <w:rPr>
          <w:spacing w:val="-4"/>
          <w:sz w:val="18"/>
        </w:rPr>
        <w:t> </w:t>
      </w:r>
      <w:r>
        <w:rPr>
          <w:sz w:val="18"/>
        </w:rPr>
        <w:t>es</w:t>
      </w:r>
      <w:r>
        <w:rPr>
          <w:spacing w:val="-6"/>
          <w:sz w:val="18"/>
        </w:rPr>
        <w:t> </w:t>
      </w:r>
      <w:r>
        <w:rPr>
          <w:sz w:val="18"/>
        </w:rPr>
        <w:t>la</w:t>
      </w:r>
      <w:r>
        <w:rPr>
          <w:spacing w:val="-6"/>
          <w:sz w:val="18"/>
        </w:rPr>
        <w:t> </w:t>
      </w:r>
      <w:r>
        <w:rPr>
          <w:sz w:val="18"/>
        </w:rPr>
        <w:t>información</w:t>
      </w:r>
      <w:r>
        <w:rPr>
          <w:spacing w:val="-4"/>
          <w:sz w:val="18"/>
        </w:rPr>
        <w:t> </w:t>
      </w:r>
      <w:r>
        <w:rPr>
          <w:sz w:val="18"/>
        </w:rPr>
        <w:t>más</w:t>
      </w:r>
      <w:r>
        <w:rPr>
          <w:spacing w:val="-3"/>
          <w:sz w:val="18"/>
        </w:rPr>
        <w:t> </w:t>
      </w:r>
      <w:r>
        <w:rPr>
          <w:sz w:val="18"/>
        </w:rPr>
        <w:t>frecuente</w:t>
      </w:r>
      <w:r>
        <w:rPr>
          <w:spacing w:val="-4"/>
          <w:sz w:val="18"/>
        </w:rPr>
        <w:t> </w:t>
      </w:r>
      <w:r>
        <w:rPr>
          <w:sz w:val="18"/>
        </w:rPr>
        <w:t>que</w:t>
      </w:r>
      <w:r>
        <w:rPr>
          <w:spacing w:val="-4"/>
          <w:sz w:val="18"/>
        </w:rPr>
        <w:t> </w:t>
      </w:r>
      <w:r>
        <w:rPr>
          <w:sz w:val="18"/>
        </w:rPr>
        <w:t>le</w:t>
      </w:r>
      <w:r>
        <w:rPr>
          <w:spacing w:val="-4"/>
          <w:sz w:val="18"/>
        </w:rPr>
        <w:t> </w:t>
      </w:r>
      <w:r>
        <w:rPr>
          <w:sz w:val="18"/>
        </w:rPr>
        <w:t>solicitan</w:t>
      </w:r>
      <w:r>
        <w:rPr>
          <w:spacing w:val="-4"/>
          <w:sz w:val="18"/>
        </w:rPr>
        <w:t> </w:t>
      </w:r>
      <w:r>
        <w:rPr>
          <w:sz w:val="18"/>
        </w:rPr>
        <w:t>y</w:t>
      </w:r>
      <w:r>
        <w:rPr>
          <w:spacing w:val="-6"/>
          <w:sz w:val="18"/>
        </w:rPr>
        <w:t> </w:t>
      </w:r>
      <w:r>
        <w:rPr>
          <w:sz w:val="18"/>
        </w:rPr>
        <w:t>que</w:t>
      </w:r>
      <w:r>
        <w:rPr>
          <w:spacing w:val="-4"/>
          <w:sz w:val="18"/>
        </w:rPr>
        <w:t> </w:t>
      </w:r>
      <w:r>
        <w:rPr>
          <w:sz w:val="18"/>
        </w:rPr>
        <w:t>traten</w:t>
      </w:r>
      <w:r>
        <w:rPr>
          <w:spacing w:val="-4"/>
          <w:sz w:val="18"/>
        </w:rPr>
        <w:t> </w:t>
      </w:r>
      <w:r>
        <w:rPr>
          <w:sz w:val="18"/>
        </w:rPr>
        <w:t>de</w:t>
      </w:r>
      <w:r>
        <w:rPr>
          <w:spacing w:val="-4"/>
          <w:sz w:val="18"/>
        </w:rPr>
        <w:t> </w:t>
      </w:r>
      <w:r>
        <w:rPr>
          <w:sz w:val="18"/>
        </w:rPr>
        <w:t>realizarla?</w:t>
      </w:r>
    </w:p>
    <w:p>
      <w:pPr>
        <w:spacing w:line="205" w:lineRule="exact" w:before="0"/>
        <w:ind w:left="454" w:right="0" w:firstLine="0"/>
        <w:jc w:val="both"/>
        <w:rPr>
          <w:sz w:val="18"/>
        </w:rPr>
      </w:pPr>
      <w:r>
        <w:rPr>
          <w:sz w:val="18"/>
        </w:rPr>
        <w:t>¿Cómo lo hacen?</w:t>
      </w:r>
    </w:p>
    <w:p>
      <w:pPr>
        <w:pStyle w:val="BodyText"/>
        <w:rPr>
          <w:sz w:val="18"/>
        </w:rPr>
      </w:pPr>
    </w:p>
    <w:p>
      <w:pPr>
        <w:pStyle w:val="BodyText"/>
        <w:rPr>
          <w:sz w:val="18"/>
        </w:rPr>
      </w:pPr>
    </w:p>
    <w:p>
      <w:pPr>
        <w:spacing w:line="240" w:lineRule="auto" w:before="108"/>
        <w:ind w:left="454" w:right="401" w:firstLine="0"/>
        <w:jc w:val="both"/>
        <w:rPr>
          <w:sz w:val="18"/>
        </w:rPr>
      </w:pPr>
      <w:r>
        <w:rPr>
          <w:b/>
          <w:sz w:val="18"/>
        </w:rPr>
        <w:t>Bertha Lilia: </w:t>
      </w:r>
      <w:r>
        <w:rPr>
          <w:sz w:val="18"/>
        </w:rPr>
        <w:t>Porque, la tenemos en una carpeta comúnmente, cuando es digital entonces empezamos a reunir información y luego la mandamos por correo, y ahí la tenemos en una carpeta que diga “solicitudes” porque ha coincidido que se nos ha pedido información con la mayoría de estos puntos o aproximada pero ya únicamente empezamos a rescatar información. Pero como la tenemos en una carpetita cuando por ejemplo hacemos el plan de desarrollo municipal, lo tenemos en memoria, este, pues les comentamos que se puede ver a través de la página o le sacamos una copia no sé, lo escaneamos.</w:t>
      </w:r>
    </w:p>
    <w:p>
      <w:pPr>
        <w:spacing w:after="0" w:line="240" w:lineRule="auto"/>
        <w:jc w:val="both"/>
        <w:rPr>
          <w:sz w:val="18"/>
        </w:rPr>
        <w:sectPr>
          <w:pgSz w:w="12240" w:h="15840"/>
          <w:pgMar w:header="0" w:footer="975" w:top="1360" w:bottom="1220" w:left="1720" w:right="1720"/>
        </w:sectPr>
      </w:pPr>
    </w:p>
    <w:p>
      <w:pPr>
        <w:pStyle w:val="BodyText"/>
        <w:spacing w:before="5"/>
        <w:rPr>
          <w:sz w:val="17"/>
        </w:rPr>
      </w:pPr>
    </w:p>
    <w:p>
      <w:pPr>
        <w:spacing w:line="244" w:lineRule="auto" w:before="77"/>
        <w:ind w:left="454" w:right="408" w:firstLine="0"/>
        <w:jc w:val="both"/>
        <w:rPr>
          <w:sz w:val="18"/>
        </w:rPr>
      </w:pPr>
      <w:r>
        <w:rPr>
          <w:b/>
          <w:sz w:val="18"/>
        </w:rPr>
        <w:t>Gabriel: </w:t>
      </w:r>
      <w:r>
        <w:rPr>
          <w:sz w:val="18"/>
        </w:rPr>
        <w:t>Correcto, ahora, desde su punto de vista ¿ser transparente en que beneficia al gobierno a los ciudadanos, ustedes como servidores del municipio que beneficios han obtenido?</w:t>
      </w:r>
    </w:p>
    <w:p>
      <w:pPr>
        <w:pStyle w:val="BodyText"/>
        <w:rPr>
          <w:sz w:val="18"/>
        </w:rPr>
      </w:pPr>
    </w:p>
    <w:p>
      <w:pPr>
        <w:pStyle w:val="BodyText"/>
        <w:rPr>
          <w:sz w:val="18"/>
        </w:rPr>
      </w:pPr>
    </w:p>
    <w:p>
      <w:pPr>
        <w:spacing w:line="240" w:lineRule="auto" w:before="104"/>
        <w:ind w:left="454" w:right="403" w:firstLine="0"/>
        <w:jc w:val="both"/>
        <w:rPr>
          <w:sz w:val="18"/>
        </w:rPr>
      </w:pPr>
      <w:r>
        <w:rPr>
          <w:b/>
          <w:sz w:val="18"/>
        </w:rPr>
        <w:t>Bertha Lilia: </w:t>
      </w:r>
      <w:r>
        <w:rPr>
          <w:sz w:val="18"/>
        </w:rPr>
        <w:t>Yo creo que mucho, mucho, el hecho de que la comunidad, de alguna manera sabe, que cuando pide información la puede tener a la mano puede conocer sobre algunas actividades sobre</w:t>
      </w:r>
      <w:r>
        <w:rPr>
          <w:spacing w:val="-6"/>
          <w:sz w:val="18"/>
        </w:rPr>
        <w:t> </w:t>
      </w:r>
      <w:r>
        <w:rPr>
          <w:sz w:val="18"/>
        </w:rPr>
        <w:t>un</w:t>
      </w:r>
      <w:r>
        <w:rPr>
          <w:spacing w:val="-6"/>
          <w:sz w:val="18"/>
        </w:rPr>
        <w:t> </w:t>
      </w:r>
      <w:r>
        <w:rPr>
          <w:sz w:val="18"/>
        </w:rPr>
        <w:t>proceso</w:t>
      </w:r>
      <w:r>
        <w:rPr>
          <w:spacing w:val="-4"/>
          <w:sz w:val="18"/>
        </w:rPr>
        <w:t> </w:t>
      </w:r>
      <w:r>
        <w:rPr>
          <w:sz w:val="18"/>
        </w:rPr>
        <w:t>que</w:t>
      </w:r>
      <w:r>
        <w:rPr>
          <w:spacing w:val="-6"/>
          <w:sz w:val="18"/>
        </w:rPr>
        <w:t> </w:t>
      </w:r>
      <w:r>
        <w:rPr>
          <w:sz w:val="18"/>
        </w:rPr>
        <w:t>por</w:t>
      </w:r>
      <w:r>
        <w:rPr>
          <w:spacing w:val="-7"/>
          <w:sz w:val="18"/>
        </w:rPr>
        <w:t> </w:t>
      </w:r>
      <w:r>
        <w:rPr>
          <w:sz w:val="18"/>
        </w:rPr>
        <w:t>ejemplo</w:t>
      </w:r>
      <w:r>
        <w:rPr>
          <w:spacing w:val="-6"/>
          <w:sz w:val="18"/>
        </w:rPr>
        <w:t> </w:t>
      </w:r>
      <w:r>
        <w:rPr>
          <w:sz w:val="18"/>
        </w:rPr>
        <w:t>necesita</w:t>
      </w:r>
      <w:r>
        <w:rPr>
          <w:spacing w:val="-6"/>
          <w:sz w:val="18"/>
        </w:rPr>
        <w:t> </w:t>
      </w:r>
      <w:r>
        <w:rPr>
          <w:sz w:val="18"/>
        </w:rPr>
        <w:t>ayuda</w:t>
      </w:r>
      <w:r>
        <w:rPr>
          <w:spacing w:val="-6"/>
          <w:sz w:val="18"/>
        </w:rPr>
        <w:t> </w:t>
      </w:r>
      <w:r>
        <w:rPr>
          <w:sz w:val="18"/>
        </w:rPr>
        <w:t>en</w:t>
      </w:r>
      <w:r>
        <w:rPr>
          <w:spacing w:val="-6"/>
          <w:sz w:val="18"/>
        </w:rPr>
        <w:t> </w:t>
      </w:r>
      <w:r>
        <w:rPr>
          <w:sz w:val="18"/>
        </w:rPr>
        <w:t>programas</w:t>
      </w:r>
      <w:r>
        <w:rPr>
          <w:spacing w:val="-4"/>
          <w:sz w:val="18"/>
        </w:rPr>
        <w:t> </w:t>
      </w:r>
      <w:r>
        <w:rPr>
          <w:sz w:val="18"/>
        </w:rPr>
        <w:t>sociales,</w:t>
      </w:r>
      <w:r>
        <w:rPr>
          <w:spacing w:val="-7"/>
          <w:sz w:val="18"/>
        </w:rPr>
        <w:t> </w:t>
      </w:r>
      <w:r>
        <w:rPr>
          <w:sz w:val="18"/>
        </w:rPr>
        <w:t>puede</w:t>
      </w:r>
      <w:r>
        <w:rPr>
          <w:spacing w:val="-5"/>
          <w:sz w:val="18"/>
        </w:rPr>
        <w:t> </w:t>
      </w:r>
      <w:r>
        <w:rPr>
          <w:sz w:val="18"/>
        </w:rPr>
        <w:t>ayudar</w:t>
      </w:r>
      <w:r>
        <w:rPr>
          <w:spacing w:val="-7"/>
          <w:sz w:val="18"/>
        </w:rPr>
        <w:t> </w:t>
      </w:r>
      <w:r>
        <w:rPr>
          <w:sz w:val="18"/>
        </w:rPr>
        <w:t>muchísimo y más en la cuestión de que lo puede obtener de su municipios y que no se vea alternante, y que damos una rendición de cuentas también ese aspecto de ser transparente y qué es lo que estamos haciendo, dando a conocer los logros y porque no a veces los portales sobre los obstáculos que tienen la misma administración, de alguna manera se puede se puede conocer porque no se ha hecho</w:t>
      </w:r>
      <w:r>
        <w:rPr>
          <w:spacing w:val="-14"/>
          <w:sz w:val="18"/>
        </w:rPr>
        <w:t> </w:t>
      </w:r>
      <w:r>
        <w:rPr>
          <w:sz w:val="18"/>
        </w:rPr>
        <w:t>esto</w:t>
      </w:r>
      <w:r>
        <w:rPr>
          <w:spacing w:val="-16"/>
          <w:sz w:val="18"/>
        </w:rPr>
        <w:t> </w:t>
      </w:r>
      <w:r>
        <w:rPr>
          <w:sz w:val="18"/>
        </w:rPr>
        <w:t>para</w:t>
      </w:r>
      <w:r>
        <w:rPr>
          <w:spacing w:val="-16"/>
          <w:sz w:val="18"/>
        </w:rPr>
        <w:t> </w:t>
      </w:r>
      <w:r>
        <w:rPr>
          <w:sz w:val="18"/>
        </w:rPr>
        <w:t>poder</w:t>
      </w:r>
      <w:r>
        <w:rPr>
          <w:spacing w:val="-14"/>
          <w:sz w:val="18"/>
        </w:rPr>
        <w:t> </w:t>
      </w:r>
      <w:r>
        <w:rPr>
          <w:sz w:val="18"/>
        </w:rPr>
        <w:t>lograr.</w:t>
      </w:r>
      <w:r>
        <w:rPr>
          <w:spacing w:val="-15"/>
          <w:sz w:val="18"/>
        </w:rPr>
        <w:t> </w:t>
      </w:r>
      <w:r>
        <w:rPr>
          <w:sz w:val="18"/>
        </w:rPr>
        <w:t>Pero</w:t>
      </w:r>
      <w:r>
        <w:rPr>
          <w:spacing w:val="-14"/>
          <w:sz w:val="18"/>
        </w:rPr>
        <w:t> </w:t>
      </w:r>
      <w:r>
        <w:rPr>
          <w:sz w:val="18"/>
        </w:rPr>
        <w:t>si</w:t>
      </w:r>
      <w:r>
        <w:rPr>
          <w:spacing w:val="-13"/>
          <w:sz w:val="18"/>
        </w:rPr>
        <w:t> </w:t>
      </w:r>
      <w:r>
        <w:rPr>
          <w:sz w:val="18"/>
        </w:rPr>
        <w:t>ellos</w:t>
      </w:r>
      <w:r>
        <w:rPr>
          <w:spacing w:val="-13"/>
          <w:sz w:val="18"/>
        </w:rPr>
        <w:t> </w:t>
      </w:r>
      <w:r>
        <w:rPr>
          <w:sz w:val="18"/>
        </w:rPr>
        <w:t>no</w:t>
      </w:r>
      <w:r>
        <w:rPr>
          <w:spacing w:val="-14"/>
          <w:sz w:val="18"/>
        </w:rPr>
        <w:t> </w:t>
      </w:r>
      <w:r>
        <w:rPr>
          <w:sz w:val="18"/>
        </w:rPr>
        <w:t>vienen</w:t>
      </w:r>
      <w:r>
        <w:rPr>
          <w:spacing w:val="-14"/>
          <w:sz w:val="18"/>
        </w:rPr>
        <w:t> </w:t>
      </w:r>
      <w:r>
        <w:rPr>
          <w:sz w:val="18"/>
        </w:rPr>
        <w:t>nosotros</w:t>
      </w:r>
      <w:r>
        <w:rPr>
          <w:spacing w:val="-13"/>
          <w:sz w:val="18"/>
        </w:rPr>
        <w:t> </w:t>
      </w:r>
      <w:r>
        <w:rPr>
          <w:sz w:val="18"/>
        </w:rPr>
        <w:t>no</w:t>
      </w:r>
      <w:r>
        <w:rPr>
          <w:spacing w:val="-16"/>
          <w:sz w:val="18"/>
        </w:rPr>
        <w:t> </w:t>
      </w:r>
      <w:r>
        <w:rPr>
          <w:sz w:val="18"/>
        </w:rPr>
        <w:t>hacemos</w:t>
      </w:r>
      <w:r>
        <w:rPr>
          <w:spacing w:val="-15"/>
          <w:sz w:val="18"/>
        </w:rPr>
        <w:t> </w:t>
      </w:r>
      <w:r>
        <w:rPr>
          <w:sz w:val="18"/>
        </w:rPr>
        <w:t>nada,</w:t>
      </w:r>
      <w:r>
        <w:rPr>
          <w:spacing w:val="-14"/>
          <w:sz w:val="18"/>
        </w:rPr>
        <w:t> </w:t>
      </w:r>
      <w:r>
        <w:rPr>
          <w:sz w:val="18"/>
        </w:rPr>
        <w:t>tratamos</w:t>
      </w:r>
      <w:r>
        <w:rPr>
          <w:spacing w:val="-18"/>
          <w:sz w:val="18"/>
        </w:rPr>
        <w:t> </w:t>
      </w:r>
      <w:r>
        <w:rPr>
          <w:sz w:val="18"/>
        </w:rPr>
        <w:t>de</w:t>
      </w:r>
      <w:r>
        <w:rPr>
          <w:spacing w:val="-14"/>
          <w:sz w:val="18"/>
        </w:rPr>
        <w:t> </w:t>
      </w:r>
      <w:r>
        <w:rPr>
          <w:sz w:val="18"/>
        </w:rPr>
        <w:t>hacerlo hasta que un ciudadano viene a solicitar información, y que se vaya contento porque se le ayudó, o que lo ayudamos para que obtenga la información que requiere, de alguna manera también habla bien ¿no? De nuestro</w:t>
      </w:r>
      <w:r>
        <w:rPr>
          <w:spacing w:val="-10"/>
          <w:sz w:val="18"/>
        </w:rPr>
        <w:t> </w:t>
      </w:r>
      <w:r>
        <w:rPr>
          <w:sz w:val="18"/>
        </w:rPr>
        <w:t>trabajo.</w:t>
      </w:r>
    </w:p>
    <w:p>
      <w:pPr>
        <w:pStyle w:val="BodyText"/>
        <w:rPr>
          <w:sz w:val="18"/>
        </w:rPr>
      </w:pPr>
    </w:p>
    <w:p>
      <w:pPr>
        <w:pStyle w:val="BodyText"/>
        <w:rPr>
          <w:sz w:val="18"/>
        </w:rPr>
      </w:pPr>
    </w:p>
    <w:p>
      <w:pPr>
        <w:spacing w:line="240" w:lineRule="auto" w:before="111"/>
        <w:ind w:left="454" w:right="407" w:firstLine="0"/>
        <w:jc w:val="both"/>
        <w:rPr>
          <w:sz w:val="18"/>
        </w:rPr>
      </w:pPr>
      <w:r>
        <w:rPr>
          <w:b/>
          <w:sz w:val="18"/>
        </w:rPr>
        <w:t>Gabriel: </w:t>
      </w:r>
      <w:r>
        <w:rPr>
          <w:sz w:val="18"/>
        </w:rPr>
        <w:t>Correcto, de las siguientes variables que le voy a mencionar ¿Podría indicarme cuál es el principal obstáculo para hacer a un municipio transparente? Primero la falta de presupuesto de las que</w:t>
      </w:r>
      <w:r>
        <w:rPr>
          <w:spacing w:val="-7"/>
          <w:sz w:val="18"/>
        </w:rPr>
        <w:t> </w:t>
      </w:r>
      <w:r>
        <w:rPr>
          <w:sz w:val="18"/>
        </w:rPr>
        <w:t>disponen</w:t>
      </w:r>
      <w:r>
        <w:rPr>
          <w:spacing w:val="-7"/>
          <w:sz w:val="18"/>
        </w:rPr>
        <w:t> </w:t>
      </w:r>
      <w:r>
        <w:rPr>
          <w:sz w:val="18"/>
        </w:rPr>
        <w:t>las</w:t>
      </w:r>
      <w:r>
        <w:rPr>
          <w:spacing w:val="-7"/>
          <w:sz w:val="18"/>
        </w:rPr>
        <w:t> </w:t>
      </w:r>
      <w:r>
        <w:rPr>
          <w:sz w:val="18"/>
        </w:rPr>
        <w:t>unidades,</w:t>
      </w:r>
      <w:r>
        <w:rPr>
          <w:spacing w:val="-8"/>
          <w:sz w:val="18"/>
        </w:rPr>
        <w:t> </w:t>
      </w:r>
      <w:r>
        <w:rPr>
          <w:sz w:val="18"/>
        </w:rPr>
        <w:t>segundo</w:t>
      </w:r>
      <w:r>
        <w:rPr>
          <w:spacing w:val="-7"/>
          <w:sz w:val="18"/>
        </w:rPr>
        <w:t> </w:t>
      </w:r>
      <w:r>
        <w:rPr>
          <w:sz w:val="18"/>
        </w:rPr>
        <w:t>la</w:t>
      </w:r>
      <w:r>
        <w:rPr>
          <w:spacing w:val="-5"/>
          <w:sz w:val="18"/>
        </w:rPr>
        <w:t> </w:t>
      </w:r>
      <w:r>
        <w:rPr>
          <w:sz w:val="18"/>
        </w:rPr>
        <w:t>falta</w:t>
      </w:r>
      <w:r>
        <w:rPr>
          <w:spacing w:val="-7"/>
          <w:sz w:val="18"/>
        </w:rPr>
        <w:t> </w:t>
      </w:r>
      <w:r>
        <w:rPr>
          <w:sz w:val="18"/>
        </w:rPr>
        <w:t>de</w:t>
      </w:r>
      <w:r>
        <w:rPr>
          <w:spacing w:val="-7"/>
          <w:sz w:val="18"/>
        </w:rPr>
        <w:t> </w:t>
      </w:r>
      <w:r>
        <w:rPr>
          <w:sz w:val="18"/>
        </w:rPr>
        <w:t>personal,</w:t>
      </w:r>
      <w:r>
        <w:rPr>
          <w:spacing w:val="-7"/>
          <w:sz w:val="18"/>
        </w:rPr>
        <w:t> </w:t>
      </w:r>
      <w:r>
        <w:rPr>
          <w:sz w:val="18"/>
        </w:rPr>
        <w:t>tercero</w:t>
      </w:r>
      <w:r>
        <w:rPr>
          <w:spacing w:val="-5"/>
          <w:sz w:val="18"/>
        </w:rPr>
        <w:t> </w:t>
      </w:r>
      <w:r>
        <w:rPr>
          <w:sz w:val="18"/>
        </w:rPr>
        <w:t>la</w:t>
      </w:r>
      <w:r>
        <w:rPr>
          <w:spacing w:val="-5"/>
          <w:sz w:val="18"/>
        </w:rPr>
        <w:t> </w:t>
      </w:r>
      <w:r>
        <w:rPr>
          <w:sz w:val="18"/>
        </w:rPr>
        <w:t>falta</w:t>
      </w:r>
      <w:r>
        <w:rPr>
          <w:spacing w:val="-7"/>
          <w:sz w:val="18"/>
        </w:rPr>
        <w:t> </w:t>
      </w:r>
      <w:r>
        <w:rPr>
          <w:sz w:val="18"/>
        </w:rPr>
        <w:t>de</w:t>
      </w:r>
      <w:r>
        <w:rPr>
          <w:spacing w:val="-7"/>
          <w:sz w:val="18"/>
        </w:rPr>
        <w:t> </w:t>
      </w:r>
      <w:r>
        <w:rPr>
          <w:sz w:val="18"/>
        </w:rPr>
        <w:t>infraestructura,</w:t>
      </w:r>
      <w:r>
        <w:rPr>
          <w:spacing w:val="-8"/>
          <w:sz w:val="18"/>
        </w:rPr>
        <w:t> </w:t>
      </w:r>
      <w:r>
        <w:rPr>
          <w:sz w:val="18"/>
        </w:rPr>
        <w:t>cuatro</w:t>
      </w:r>
      <w:r>
        <w:rPr>
          <w:spacing w:val="-5"/>
          <w:sz w:val="18"/>
        </w:rPr>
        <w:t> </w:t>
      </w:r>
      <w:r>
        <w:rPr>
          <w:sz w:val="18"/>
        </w:rPr>
        <w:t>la falta de información que tiene disponible, cinco la voluntad política, seis la misma competencia que tiene el responsable de transparencia. De estas variables ¿Cuál cree usted que es la principal limitante para poder ser</w:t>
      </w:r>
      <w:r>
        <w:rPr>
          <w:spacing w:val="-19"/>
          <w:sz w:val="18"/>
        </w:rPr>
        <w:t> </w:t>
      </w:r>
      <w:r>
        <w:rPr>
          <w:sz w:val="18"/>
        </w:rPr>
        <w:t>transparente?</w:t>
      </w:r>
    </w:p>
    <w:p>
      <w:pPr>
        <w:pStyle w:val="BodyText"/>
        <w:rPr>
          <w:sz w:val="18"/>
        </w:rPr>
      </w:pPr>
    </w:p>
    <w:p>
      <w:pPr>
        <w:pStyle w:val="BodyText"/>
        <w:rPr>
          <w:sz w:val="18"/>
        </w:rPr>
      </w:pPr>
    </w:p>
    <w:p>
      <w:pPr>
        <w:spacing w:line="240" w:lineRule="auto" w:before="111"/>
        <w:ind w:left="454" w:right="401" w:firstLine="0"/>
        <w:jc w:val="both"/>
        <w:rPr>
          <w:sz w:val="18"/>
        </w:rPr>
      </w:pPr>
      <w:r>
        <w:rPr>
          <w:b/>
          <w:sz w:val="18"/>
        </w:rPr>
        <w:t>Bertha</w:t>
      </w:r>
      <w:r>
        <w:rPr>
          <w:b/>
          <w:spacing w:val="-6"/>
          <w:sz w:val="18"/>
        </w:rPr>
        <w:t> </w:t>
      </w:r>
      <w:r>
        <w:rPr>
          <w:b/>
          <w:sz w:val="18"/>
        </w:rPr>
        <w:t>Lilia:</w:t>
      </w:r>
      <w:r>
        <w:rPr>
          <w:b/>
          <w:spacing w:val="-9"/>
          <w:sz w:val="18"/>
        </w:rPr>
        <w:t> </w:t>
      </w:r>
      <w:r>
        <w:rPr>
          <w:sz w:val="18"/>
        </w:rPr>
        <w:t>Yo</w:t>
      </w:r>
      <w:r>
        <w:rPr>
          <w:spacing w:val="-6"/>
          <w:sz w:val="18"/>
        </w:rPr>
        <w:t> </w:t>
      </w:r>
      <w:r>
        <w:rPr>
          <w:sz w:val="18"/>
        </w:rPr>
        <w:t>creo</w:t>
      </w:r>
      <w:r>
        <w:rPr>
          <w:spacing w:val="-9"/>
          <w:sz w:val="18"/>
        </w:rPr>
        <w:t> </w:t>
      </w:r>
      <w:r>
        <w:rPr>
          <w:sz w:val="18"/>
        </w:rPr>
        <w:t>que,</w:t>
      </w:r>
      <w:r>
        <w:rPr>
          <w:spacing w:val="-9"/>
          <w:sz w:val="18"/>
        </w:rPr>
        <w:t> </w:t>
      </w:r>
      <w:r>
        <w:rPr>
          <w:sz w:val="18"/>
        </w:rPr>
        <w:t>la</w:t>
      </w:r>
      <w:r>
        <w:rPr>
          <w:spacing w:val="-9"/>
          <w:sz w:val="18"/>
        </w:rPr>
        <w:t> </w:t>
      </w:r>
      <w:r>
        <w:rPr>
          <w:sz w:val="18"/>
        </w:rPr>
        <w:t>ideología</w:t>
      </w:r>
      <w:r>
        <w:rPr>
          <w:spacing w:val="-8"/>
          <w:sz w:val="18"/>
        </w:rPr>
        <w:t> </w:t>
      </w:r>
      <w:r>
        <w:rPr>
          <w:sz w:val="18"/>
        </w:rPr>
        <w:t>de</w:t>
      </w:r>
      <w:r>
        <w:rPr>
          <w:spacing w:val="-9"/>
          <w:sz w:val="18"/>
        </w:rPr>
        <w:t> </w:t>
      </w:r>
      <w:r>
        <w:rPr>
          <w:sz w:val="18"/>
        </w:rPr>
        <w:t>la</w:t>
      </w:r>
      <w:r>
        <w:rPr>
          <w:spacing w:val="-9"/>
          <w:sz w:val="18"/>
        </w:rPr>
        <w:t> </w:t>
      </w:r>
      <w:r>
        <w:rPr>
          <w:sz w:val="18"/>
        </w:rPr>
        <w:t>voluntad</w:t>
      </w:r>
      <w:r>
        <w:rPr>
          <w:spacing w:val="-9"/>
          <w:sz w:val="18"/>
        </w:rPr>
        <w:t> </w:t>
      </w:r>
      <w:r>
        <w:rPr>
          <w:sz w:val="18"/>
        </w:rPr>
        <w:t>política</w:t>
      </w:r>
      <w:r>
        <w:rPr>
          <w:spacing w:val="-6"/>
          <w:sz w:val="18"/>
        </w:rPr>
        <w:t> </w:t>
      </w:r>
      <w:r>
        <w:rPr>
          <w:sz w:val="18"/>
        </w:rPr>
        <w:t>al</w:t>
      </w:r>
      <w:r>
        <w:rPr>
          <w:spacing w:val="-9"/>
          <w:sz w:val="18"/>
        </w:rPr>
        <w:t> </w:t>
      </w:r>
      <w:r>
        <w:rPr>
          <w:sz w:val="18"/>
        </w:rPr>
        <w:t>no</w:t>
      </w:r>
      <w:r>
        <w:rPr>
          <w:spacing w:val="-9"/>
          <w:sz w:val="18"/>
        </w:rPr>
        <w:t> </w:t>
      </w:r>
      <w:r>
        <w:rPr>
          <w:sz w:val="18"/>
        </w:rPr>
        <w:t>querer</w:t>
      </w:r>
      <w:r>
        <w:rPr>
          <w:spacing w:val="-9"/>
          <w:sz w:val="18"/>
        </w:rPr>
        <w:t> </w:t>
      </w:r>
      <w:r>
        <w:rPr>
          <w:sz w:val="18"/>
        </w:rPr>
        <w:t>entregar</w:t>
      </w:r>
      <w:r>
        <w:rPr>
          <w:spacing w:val="-9"/>
          <w:sz w:val="18"/>
        </w:rPr>
        <w:t> </w:t>
      </w:r>
      <w:r>
        <w:rPr>
          <w:sz w:val="18"/>
        </w:rPr>
        <w:t>las</w:t>
      </w:r>
      <w:r>
        <w:rPr>
          <w:spacing w:val="-8"/>
          <w:sz w:val="18"/>
        </w:rPr>
        <w:t> </w:t>
      </w:r>
      <w:r>
        <w:rPr>
          <w:sz w:val="18"/>
        </w:rPr>
        <w:t>cosas</w:t>
      </w:r>
      <w:r>
        <w:rPr>
          <w:spacing w:val="-6"/>
          <w:sz w:val="18"/>
        </w:rPr>
        <w:t> </w:t>
      </w:r>
      <w:r>
        <w:rPr>
          <w:sz w:val="18"/>
        </w:rPr>
        <w:t>que</w:t>
      </w:r>
      <w:r>
        <w:rPr>
          <w:spacing w:val="-9"/>
          <w:sz w:val="18"/>
        </w:rPr>
        <w:t> </w:t>
      </w:r>
      <w:r>
        <w:rPr>
          <w:sz w:val="18"/>
        </w:rPr>
        <w:t>les pedimos</w:t>
      </w:r>
      <w:r>
        <w:rPr>
          <w:spacing w:val="-6"/>
          <w:sz w:val="18"/>
        </w:rPr>
        <w:t> </w:t>
      </w:r>
      <w:r>
        <w:rPr>
          <w:sz w:val="18"/>
        </w:rPr>
        <w:t>y</w:t>
      </w:r>
      <w:r>
        <w:rPr>
          <w:spacing w:val="-6"/>
          <w:sz w:val="18"/>
        </w:rPr>
        <w:t> </w:t>
      </w:r>
      <w:r>
        <w:rPr>
          <w:sz w:val="18"/>
        </w:rPr>
        <w:t>yo</w:t>
      </w:r>
      <w:r>
        <w:rPr>
          <w:spacing w:val="-6"/>
          <w:sz w:val="18"/>
        </w:rPr>
        <w:t> </w:t>
      </w:r>
      <w:r>
        <w:rPr>
          <w:sz w:val="18"/>
        </w:rPr>
        <w:t>creo</w:t>
      </w:r>
      <w:r>
        <w:rPr>
          <w:spacing w:val="-4"/>
          <w:sz w:val="18"/>
        </w:rPr>
        <w:t> </w:t>
      </w:r>
      <w:r>
        <w:rPr>
          <w:sz w:val="18"/>
        </w:rPr>
        <w:t>que</w:t>
      </w:r>
      <w:r>
        <w:rPr>
          <w:spacing w:val="-6"/>
          <w:sz w:val="18"/>
        </w:rPr>
        <w:t> </w:t>
      </w:r>
      <w:r>
        <w:rPr>
          <w:sz w:val="18"/>
        </w:rPr>
        <w:t>la</w:t>
      </w:r>
      <w:r>
        <w:rPr>
          <w:spacing w:val="-6"/>
          <w:sz w:val="18"/>
        </w:rPr>
        <w:t> </w:t>
      </w:r>
      <w:r>
        <w:rPr>
          <w:sz w:val="18"/>
        </w:rPr>
        <w:t>segunda</w:t>
      </w:r>
      <w:r>
        <w:rPr>
          <w:spacing w:val="-6"/>
          <w:sz w:val="18"/>
        </w:rPr>
        <w:t> </w:t>
      </w:r>
      <w:r>
        <w:rPr>
          <w:sz w:val="18"/>
        </w:rPr>
        <w:t>es</w:t>
      </w:r>
      <w:r>
        <w:rPr>
          <w:spacing w:val="-6"/>
          <w:sz w:val="18"/>
        </w:rPr>
        <w:t> </w:t>
      </w:r>
      <w:r>
        <w:rPr>
          <w:sz w:val="18"/>
        </w:rPr>
        <w:t>la</w:t>
      </w:r>
      <w:r>
        <w:rPr>
          <w:spacing w:val="-6"/>
          <w:sz w:val="18"/>
        </w:rPr>
        <w:t> </w:t>
      </w:r>
      <w:r>
        <w:rPr>
          <w:sz w:val="18"/>
        </w:rPr>
        <w:t>falta</w:t>
      </w:r>
      <w:r>
        <w:rPr>
          <w:spacing w:val="-6"/>
          <w:sz w:val="18"/>
        </w:rPr>
        <w:t> </w:t>
      </w:r>
      <w:r>
        <w:rPr>
          <w:sz w:val="18"/>
        </w:rPr>
        <w:t>de</w:t>
      </w:r>
      <w:r>
        <w:rPr>
          <w:spacing w:val="-6"/>
          <w:sz w:val="18"/>
        </w:rPr>
        <w:t> </w:t>
      </w:r>
      <w:r>
        <w:rPr>
          <w:sz w:val="18"/>
        </w:rPr>
        <w:t>infraestructura</w:t>
      </w:r>
      <w:r>
        <w:rPr>
          <w:spacing w:val="-4"/>
          <w:sz w:val="18"/>
        </w:rPr>
        <w:t> </w:t>
      </w:r>
      <w:r>
        <w:rPr>
          <w:sz w:val="18"/>
        </w:rPr>
        <w:t>que</w:t>
      </w:r>
      <w:r>
        <w:rPr>
          <w:spacing w:val="-6"/>
          <w:sz w:val="18"/>
        </w:rPr>
        <w:t> </w:t>
      </w:r>
      <w:r>
        <w:rPr>
          <w:sz w:val="18"/>
        </w:rPr>
        <w:t>pudiera</w:t>
      </w:r>
      <w:r>
        <w:rPr>
          <w:spacing w:val="-6"/>
          <w:sz w:val="18"/>
        </w:rPr>
        <w:t> </w:t>
      </w:r>
      <w:r>
        <w:rPr>
          <w:sz w:val="18"/>
        </w:rPr>
        <w:t>incluirse</w:t>
      </w:r>
      <w:r>
        <w:rPr>
          <w:spacing w:val="-6"/>
          <w:sz w:val="18"/>
        </w:rPr>
        <w:t> </w:t>
      </w:r>
      <w:r>
        <w:rPr>
          <w:sz w:val="18"/>
        </w:rPr>
        <w:t>en</w:t>
      </w:r>
      <w:r>
        <w:rPr>
          <w:spacing w:val="-4"/>
          <w:sz w:val="18"/>
        </w:rPr>
        <w:t> </w:t>
      </w:r>
      <w:r>
        <w:rPr>
          <w:sz w:val="18"/>
        </w:rPr>
        <w:t>los</w:t>
      </w:r>
      <w:r>
        <w:rPr>
          <w:spacing w:val="-6"/>
          <w:sz w:val="18"/>
        </w:rPr>
        <w:t> </w:t>
      </w:r>
      <w:r>
        <w:rPr>
          <w:sz w:val="18"/>
        </w:rPr>
        <w:t>recursos humanos, materiales y tecnológicos porque desafortunadamente y platicando con otros compañeritos de otros municipios no hay área culpable como tal. Siempre se comparten con otras. Yo</w:t>
      </w:r>
      <w:r>
        <w:rPr>
          <w:spacing w:val="-5"/>
          <w:sz w:val="18"/>
        </w:rPr>
        <w:t> </w:t>
      </w:r>
      <w:r>
        <w:rPr>
          <w:sz w:val="18"/>
        </w:rPr>
        <w:t>creo</w:t>
      </w:r>
      <w:r>
        <w:rPr>
          <w:spacing w:val="-5"/>
          <w:sz w:val="18"/>
        </w:rPr>
        <w:t> </w:t>
      </w:r>
      <w:r>
        <w:rPr>
          <w:sz w:val="18"/>
        </w:rPr>
        <w:t>que</w:t>
      </w:r>
      <w:r>
        <w:rPr>
          <w:spacing w:val="-5"/>
          <w:sz w:val="18"/>
        </w:rPr>
        <w:t> </w:t>
      </w:r>
      <w:r>
        <w:rPr>
          <w:sz w:val="18"/>
        </w:rPr>
        <w:t>es</w:t>
      </w:r>
      <w:r>
        <w:rPr>
          <w:spacing w:val="-7"/>
          <w:sz w:val="18"/>
        </w:rPr>
        <w:t> </w:t>
      </w:r>
      <w:r>
        <w:rPr>
          <w:sz w:val="18"/>
        </w:rPr>
        <w:t>la</w:t>
      </w:r>
      <w:r>
        <w:rPr>
          <w:spacing w:val="-7"/>
          <w:sz w:val="18"/>
        </w:rPr>
        <w:t> </w:t>
      </w:r>
      <w:r>
        <w:rPr>
          <w:sz w:val="18"/>
        </w:rPr>
        <w:t>falta</w:t>
      </w:r>
      <w:r>
        <w:rPr>
          <w:spacing w:val="-5"/>
          <w:sz w:val="18"/>
        </w:rPr>
        <w:t> </w:t>
      </w:r>
      <w:r>
        <w:rPr>
          <w:sz w:val="18"/>
        </w:rPr>
        <w:t>de</w:t>
      </w:r>
      <w:r>
        <w:rPr>
          <w:spacing w:val="-7"/>
          <w:sz w:val="18"/>
        </w:rPr>
        <w:t> </w:t>
      </w:r>
      <w:r>
        <w:rPr>
          <w:sz w:val="18"/>
        </w:rPr>
        <w:t>recursos</w:t>
      </w:r>
      <w:r>
        <w:rPr>
          <w:spacing w:val="-7"/>
          <w:sz w:val="18"/>
        </w:rPr>
        <w:t> </w:t>
      </w:r>
      <w:r>
        <w:rPr>
          <w:sz w:val="18"/>
        </w:rPr>
        <w:t>presupuestarios</w:t>
      </w:r>
      <w:r>
        <w:rPr>
          <w:spacing w:val="-4"/>
          <w:sz w:val="18"/>
        </w:rPr>
        <w:t> </w:t>
      </w:r>
      <w:r>
        <w:rPr>
          <w:sz w:val="18"/>
        </w:rPr>
        <w:t>porque</w:t>
      </w:r>
      <w:r>
        <w:rPr>
          <w:spacing w:val="-7"/>
          <w:sz w:val="18"/>
        </w:rPr>
        <w:t> </w:t>
      </w:r>
      <w:r>
        <w:rPr>
          <w:sz w:val="18"/>
        </w:rPr>
        <w:t>los</w:t>
      </w:r>
      <w:r>
        <w:rPr>
          <w:spacing w:val="-4"/>
          <w:sz w:val="18"/>
        </w:rPr>
        <w:t> </w:t>
      </w:r>
      <w:r>
        <w:rPr>
          <w:sz w:val="18"/>
        </w:rPr>
        <w:t>responsables</w:t>
      </w:r>
      <w:r>
        <w:rPr>
          <w:spacing w:val="-4"/>
          <w:sz w:val="18"/>
        </w:rPr>
        <w:t> </w:t>
      </w:r>
      <w:r>
        <w:rPr>
          <w:sz w:val="18"/>
        </w:rPr>
        <w:t>llevamos</w:t>
      </w:r>
      <w:r>
        <w:rPr>
          <w:spacing w:val="-4"/>
          <w:sz w:val="18"/>
        </w:rPr>
        <w:t> </w:t>
      </w:r>
      <w:r>
        <w:rPr>
          <w:sz w:val="18"/>
        </w:rPr>
        <w:t>otras</w:t>
      </w:r>
      <w:r>
        <w:rPr>
          <w:spacing w:val="3"/>
          <w:sz w:val="18"/>
        </w:rPr>
        <w:t> </w:t>
      </w:r>
      <w:r>
        <w:rPr>
          <w:sz w:val="18"/>
        </w:rPr>
        <w:t>áreas</w:t>
      </w:r>
      <w:r>
        <w:rPr>
          <w:spacing w:val="-4"/>
          <w:sz w:val="18"/>
        </w:rPr>
        <w:t> </w:t>
      </w:r>
      <w:r>
        <w:rPr>
          <w:sz w:val="18"/>
        </w:rPr>
        <w:t>y no</w:t>
      </w:r>
      <w:r>
        <w:rPr>
          <w:spacing w:val="-9"/>
          <w:sz w:val="18"/>
        </w:rPr>
        <w:t> </w:t>
      </w:r>
      <w:r>
        <w:rPr>
          <w:sz w:val="18"/>
        </w:rPr>
        <w:t>le</w:t>
      </w:r>
      <w:r>
        <w:rPr>
          <w:spacing w:val="-11"/>
          <w:sz w:val="18"/>
        </w:rPr>
        <w:t> </w:t>
      </w:r>
      <w:r>
        <w:rPr>
          <w:sz w:val="18"/>
        </w:rPr>
        <w:t>dedicamos</w:t>
      </w:r>
      <w:r>
        <w:rPr>
          <w:spacing w:val="-11"/>
          <w:sz w:val="18"/>
        </w:rPr>
        <w:t> </w:t>
      </w:r>
      <w:r>
        <w:rPr>
          <w:sz w:val="18"/>
        </w:rPr>
        <w:t>mucho</w:t>
      </w:r>
      <w:r>
        <w:rPr>
          <w:spacing w:val="-11"/>
          <w:sz w:val="18"/>
        </w:rPr>
        <w:t> </w:t>
      </w:r>
      <w:r>
        <w:rPr>
          <w:sz w:val="18"/>
        </w:rPr>
        <w:t>a</w:t>
      </w:r>
      <w:r>
        <w:rPr>
          <w:spacing w:val="-9"/>
          <w:sz w:val="18"/>
        </w:rPr>
        <w:t> </w:t>
      </w:r>
      <w:r>
        <w:rPr>
          <w:sz w:val="18"/>
        </w:rPr>
        <w:t>la</w:t>
      </w:r>
      <w:r>
        <w:rPr>
          <w:spacing w:val="-9"/>
          <w:sz w:val="18"/>
        </w:rPr>
        <w:t> </w:t>
      </w:r>
      <w:r>
        <w:rPr>
          <w:sz w:val="18"/>
        </w:rPr>
        <w:t>transparencia</w:t>
      </w:r>
      <w:r>
        <w:rPr>
          <w:spacing w:val="-11"/>
          <w:sz w:val="18"/>
        </w:rPr>
        <w:t> </w:t>
      </w:r>
      <w:r>
        <w:rPr>
          <w:sz w:val="18"/>
        </w:rPr>
        <w:t>porque</w:t>
      </w:r>
      <w:r>
        <w:rPr>
          <w:spacing w:val="-11"/>
          <w:sz w:val="18"/>
        </w:rPr>
        <w:t> </w:t>
      </w:r>
      <w:r>
        <w:rPr>
          <w:sz w:val="18"/>
        </w:rPr>
        <w:t>a</w:t>
      </w:r>
      <w:r>
        <w:rPr>
          <w:spacing w:val="-9"/>
          <w:sz w:val="18"/>
        </w:rPr>
        <w:t> </w:t>
      </w:r>
      <w:r>
        <w:rPr>
          <w:sz w:val="18"/>
        </w:rPr>
        <w:t>lo</w:t>
      </w:r>
      <w:r>
        <w:rPr>
          <w:spacing w:val="-9"/>
          <w:sz w:val="18"/>
        </w:rPr>
        <w:t> </w:t>
      </w:r>
      <w:r>
        <w:rPr>
          <w:sz w:val="18"/>
        </w:rPr>
        <w:t>mejor</w:t>
      </w:r>
      <w:r>
        <w:rPr>
          <w:spacing w:val="-14"/>
          <w:sz w:val="18"/>
        </w:rPr>
        <w:t> </w:t>
      </w:r>
      <w:r>
        <w:rPr>
          <w:sz w:val="18"/>
        </w:rPr>
        <w:t>se</w:t>
      </w:r>
      <w:r>
        <w:rPr>
          <w:spacing w:val="-9"/>
          <w:sz w:val="18"/>
        </w:rPr>
        <w:t> </w:t>
      </w:r>
      <w:r>
        <w:rPr>
          <w:sz w:val="18"/>
        </w:rPr>
        <w:t>pudiera</w:t>
      </w:r>
      <w:r>
        <w:rPr>
          <w:spacing w:val="-9"/>
          <w:sz w:val="18"/>
        </w:rPr>
        <w:t> </w:t>
      </w:r>
      <w:r>
        <w:rPr>
          <w:sz w:val="18"/>
        </w:rPr>
        <w:t>tener</w:t>
      </w:r>
      <w:r>
        <w:rPr>
          <w:spacing w:val="-12"/>
          <w:sz w:val="18"/>
        </w:rPr>
        <w:t> </w:t>
      </w:r>
      <w:r>
        <w:rPr>
          <w:sz w:val="18"/>
        </w:rPr>
        <w:t>una</w:t>
      </w:r>
      <w:r>
        <w:rPr>
          <w:spacing w:val="-11"/>
          <w:sz w:val="18"/>
        </w:rPr>
        <w:t> </w:t>
      </w:r>
      <w:r>
        <w:rPr>
          <w:sz w:val="18"/>
        </w:rPr>
        <w:t>área</w:t>
      </w:r>
      <w:r>
        <w:rPr>
          <w:spacing w:val="-11"/>
          <w:sz w:val="18"/>
        </w:rPr>
        <w:t> </w:t>
      </w:r>
      <w:r>
        <w:rPr>
          <w:sz w:val="18"/>
        </w:rPr>
        <w:t>especial</w:t>
      </w:r>
      <w:r>
        <w:rPr>
          <w:spacing w:val="-9"/>
          <w:sz w:val="18"/>
        </w:rPr>
        <w:t> </w:t>
      </w:r>
      <w:r>
        <w:rPr>
          <w:sz w:val="18"/>
        </w:rPr>
        <w:t>pero hay</w:t>
      </w:r>
      <w:r>
        <w:rPr>
          <w:spacing w:val="-4"/>
          <w:sz w:val="18"/>
        </w:rPr>
        <w:t> </w:t>
      </w:r>
      <w:r>
        <w:rPr>
          <w:sz w:val="18"/>
        </w:rPr>
        <w:t>que</w:t>
      </w:r>
      <w:r>
        <w:rPr>
          <w:spacing w:val="-4"/>
          <w:sz w:val="18"/>
        </w:rPr>
        <w:t> </w:t>
      </w:r>
      <w:r>
        <w:rPr>
          <w:sz w:val="18"/>
        </w:rPr>
        <w:t>contratar</w:t>
      </w:r>
      <w:r>
        <w:rPr>
          <w:spacing w:val="-4"/>
          <w:sz w:val="18"/>
        </w:rPr>
        <w:t> </w:t>
      </w:r>
      <w:r>
        <w:rPr>
          <w:sz w:val="18"/>
        </w:rPr>
        <w:t>personal,</w:t>
      </w:r>
      <w:r>
        <w:rPr>
          <w:spacing w:val="-2"/>
          <w:sz w:val="18"/>
        </w:rPr>
        <w:t> </w:t>
      </w:r>
      <w:r>
        <w:rPr>
          <w:sz w:val="18"/>
        </w:rPr>
        <w:t>tener</w:t>
      </w:r>
      <w:r>
        <w:rPr>
          <w:spacing w:val="-2"/>
          <w:sz w:val="18"/>
        </w:rPr>
        <w:t> </w:t>
      </w:r>
      <w:r>
        <w:rPr>
          <w:sz w:val="18"/>
        </w:rPr>
        <w:t>oficina,</w:t>
      </w:r>
      <w:r>
        <w:rPr>
          <w:spacing w:val="-4"/>
          <w:sz w:val="18"/>
        </w:rPr>
        <w:t> </w:t>
      </w:r>
      <w:r>
        <w:rPr>
          <w:sz w:val="18"/>
        </w:rPr>
        <w:t>etc.</w:t>
      </w:r>
      <w:r>
        <w:rPr>
          <w:spacing w:val="-4"/>
          <w:sz w:val="18"/>
        </w:rPr>
        <w:t> </w:t>
      </w:r>
      <w:r>
        <w:rPr>
          <w:sz w:val="18"/>
        </w:rPr>
        <w:t>y</w:t>
      </w:r>
      <w:r>
        <w:rPr>
          <w:spacing w:val="-3"/>
          <w:sz w:val="18"/>
        </w:rPr>
        <w:t> </w:t>
      </w:r>
      <w:r>
        <w:rPr>
          <w:sz w:val="18"/>
        </w:rPr>
        <w:t>no</w:t>
      </w:r>
      <w:r>
        <w:rPr>
          <w:spacing w:val="-2"/>
          <w:sz w:val="18"/>
        </w:rPr>
        <w:t> </w:t>
      </w:r>
      <w:r>
        <w:rPr>
          <w:sz w:val="18"/>
        </w:rPr>
        <w:t>se</w:t>
      </w:r>
      <w:r>
        <w:rPr>
          <w:spacing w:val="-2"/>
          <w:sz w:val="18"/>
        </w:rPr>
        <w:t> </w:t>
      </w:r>
      <w:r>
        <w:rPr>
          <w:sz w:val="18"/>
        </w:rPr>
        <w:t>tiene</w:t>
      </w:r>
      <w:r>
        <w:rPr>
          <w:spacing w:val="-4"/>
          <w:sz w:val="18"/>
        </w:rPr>
        <w:t> </w:t>
      </w:r>
      <w:r>
        <w:rPr>
          <w:sz w:val="18"/>
        </w:rPr>
        <w:t>presupuesto</w:t>
      </w:r>
      <w:r>
        <w:rPr>
          <w:spacing w:val="-2"/>
          <w:sz w:val="18"/>
        </w:rPr>
        <w:t> </w:t>
      </w:r>
      <w:r>
        <w:rPr>
          <w:sz w:val="18"/>
        </w:rPr>
        <w:t>para</w:t>
      </w:r>
      <w:r>
        <w:rPr>
          <w:spacing w:val="-2"/>
          <w:sz w:val="18"/>
        </w:rPr>
        <w:t> </w:t>
      </w:r>
      <w:r>
        <w:rPr>
          <w:sz w:val="18"/>
        </w:rPr>
        <w:t>ello.</w:t>
      </w:r>
    </w:p>
    <w:p>
      <w:pPr>
        <w:pStyle w:val="BodyText"/>
        <w:rPr>
          <w:sz w:val="18"/>
        </w:rPr>
      </w:pPr>
    </w:p>
    <w:p>
      <w:pPr>
        <w:pStyle w:val="BodyText"/>
        <w:rPr>
          <w:sz w:val="18"/>
        </w:rPr>
      </w:pPr>
    </w:p>
    <w:p>
      <w:pPr>
        <w:spacing w:line="240" w:lineRule="auto" w:before="111"/>
        <w:ind w:left="454" w:right="407" w:firstLine="0"/>
        <w:jc w:val="both"/>
        <w:rPr>
          <w:sz w:val="18"/>
        </w:rPr>
      </w:pPr>
      <w:r>
        <w:rPr>
          <w:b/>
          <w:sz w:val="18"/>
        </w:rPr>
        <w:t>Gabriel: </w:t>
      </w:r>
      <w:r>
        <w:rPr>
          <w:sz w:val="18"/>
        </w:rPr>
        <w:t>Correcto, dos preguntas más para finalizar ¿En escala del uno al 10 donde el uno es un municipio muy opaco y el 10 es un municipio muy transparente, desde su punto de vista donde encontramos al municipio de San Mateo Atenco?</w:t>
      </w:r>
    </w:p>
    <w:p>
      <w:pPr>
        <w:pStyle w:val="BodyText"/>
        <w:rPr>
          <w:sz w:val="18"/>
        </w:rPr>
      </w:pPr>
    </w:p>
    <w:p>
      <w:pPr>
        <w:pStyle w:val="BodyText"/>
        <w:rPr>
          <w:sz w:val="18"/>
        </w:rPr>
      </w:pPr>
    </w:p>
    <w:p>
      <w:pPr>
        <w:spacing w:line="240" w:lineRule="auto" w:before="111"/>
        <w:ind w:left="454" w:right="404" w:firstLine="0"/>
        <w:jc w:val="both"/>
        <w:rPr>
          <w:sz w:val="18"/>
        </w:rPr>
      </w:pPr>
      <w:r>
        <w:rPr>
          <w:b/>
          <w:sz w:val="18"/>
        </w:rPr>
        <w:t>Bertha Lilia: </w:t>
      </w:r>
      <w:r>
        <w:rPr>
          <w:sz w:val="18"/>
        </w:rPr>
        <w:t>Yo creo que el número ocho, número ocho. Porque nos falta hacer actividades para ser un municipio más transparente por ejemplo: Apenas el viernes se nos pasó el tiempo, no checamos</w:t>
      </w:r>
      <w:r>
        <w:rPr>
          <w:spacing w:val="-5"/>
          <w:sz w:val="18"/>
        </w:rPr>
        <w:t> </w:t>
      </w:r>
      <w:r>
        <w:rPr>
          <w:sz w:val="18"/>
        </w:rPr>
        <w:t>una</w:t>
      </w:r>
      <w:r>
        <w:rPr>
          <w:spacing w:val="-5"/>
          <w:sz w:val="18"/>
        </w:rPr>
        <w:t> </w:t>
      </w:r>
      <w:r>
        <w:rPr>
          <w:sz w:val="18"/>
        </w:rPr>
        <w:t>información</w:t>
      </w:r>
      <w:r>
        <w:rPr>
          <w:spacing w:val="-5"/>
          <w:sz w:val="18"/>
        </w:rPr>
        <w:t> </w:t>
      </w:r>
      <w:r>
        <w:rPr>
          <w:sz w:val="18"/>
        </w:rPr>
        <w:t>que</w:t>
      </w:r>
      <w:r>
        <w:rPr>
          <w:spacing w:val="-3"/>
          <w:sz w:val="18"/>
        </w:rPr>
        <w:t> </w:t>
      </w:r>
      <w:r>
        <w:rPr>
          <w:sz w:val="18"/>
        </w:rPr>
        <w:t>teníamos</w:t>
      </w:r>
      <w:r>
        <w:rPr>
          <w:spacing w:val="-4"/>
          <w:sz w:val="18"/>
        </w:rPr>
        <w:t> </w:t>
      </w:r>
      <w:r>
        <w:rPr>
          <w:sz w:val="18"/>
        </w:rPr>
        <w:t>que</w:t>
      </w:r>
      <w:r>
        <w:rPr>
          <w:spacing w:val="-5"/>
          <w:sz w:val="18"/>
        </w:rPr>
        <w:t> </w:t>
      </w:r>
      <w:r>
        <w:rPr>
          <w:sz w:val="18"/>
        </w:rPr>
        <w:t>entregar</w:t>
      </w:r>
      <w:r>
        <w:rPr>
          <w:spacing w:val="-5"/>
          <w:sz w:val="18"/>
        </w:rPr>
        <w:t> </w:t>
      </w:r>
      <w:r>
        <w:rPr>
          <w:sz w:val="18"/>
        </w:rPr>
        <w:t>por</w:t>
      </w:r>
      <w:r>
        <w:rPr>
          <w:spacing w:val="-5"/>
          <w:sz w:val="18"/>
        </w:rPr>
        <w:t> </w:t>
      </w:r>
      <w:r>
        <w:rPr>
          <w:sz w:val="18"/>
        </w:rPr>
        <w:t>las</w:t>
      </w:r>
      <w:r>
        <w:rPr>
          <w:spacing w:val="-2"/>
          <w:sz w:val="18"/>
        </w:rPr>
        <w:t> </w:t>
      </w:r>
      <w:r>
        <w:rPr>
          <w:sz w:val="18"/>
        </w:rPr>
        <w:t>actividades</w:t>
      </w:r>
      <w:r>
        <w:rPr>
          <w:spacing w:val="-4"/>
          <w:sz w:val="18"/>
        </w:rPr>
        <w:t> </w:t>
      </w:r>
      <w:r>
        <w:rPr>
          <w:sz w:val="18"/>
        </w:rPr>
        <w:t>que</w:t>
      </w:r>
      <w:r>
        <w:rPr>
          <w:spacing w:val="-5"/>
          <w:sz w:val="18"/>
        </w:rPr>
        <w:t> </w:t>
      </w:r>
      <w:r>
        <w:rPr>
          <w:sz w:val="18"/>
        </w:rPr>
        <w:t>tenemos</w:t>
      </w:r>
      <w:r>
        <w:rPr>
          <w:spacing w:val="-2"/>
          <w:sz w:val="18"/>
        </w:rPr>
        <w:t> </w:t>
      </w:r>
      <w:r>
        <w:rPr>
          <w:sz w:val="18"/>
        </w:rPr>
        <w:t>del</w:t>
      </w:r>
      <w:r>
        <w:rPr>
          <w:spacing w:val="-3"/>
          <w:sz w:val="18"/>
        </w:rPr>
        <w:t> </w:t>
      </w:r>
      <w:r>
        <w:rPr>
          <w:sz w:val="18"/>
        </w:rPr>
        <w:t>área</w:t>
      </w:r>
      <w:r>
        <w:rPr>
          <w:spacing w:val="-5"/>
          <w:sz w:val="18"/>
        </w:rPr>
        <w:t> </w:t>
      </w:r>
      <w:r>
        <w:rPr>
          <w:sz w:val="18"/>
        </w:rPr>
        <w:t>de Planeación</w:t>
      </w:r>
      <w:r>
        <w:rPr>
          <w:spacing w:val="-4"/>
          <w:sz w:val="18"/>
        </w:rPr>
        <w:t> </w:t>
      </w:r>
      <w:r>
        <w:rPr>
          <w:sz w:val="18"/>
        </w:rPr>
        <w:t>y</w:t>
      </w:r>
      <w:r>
        <w:rPr>
          <w:spacing w:val="-6"/>
          <w:sz w:val="18"/>
        </w:rPr>
        <w:t> </w:t>
      </w:r>
      <w:r>
        <w:rPr>
          <w:sz w:val="18"/>
        </w:rPr>
        <w:t>no,</w:t>
      </w:r>
      <w:r>
        <w:rPr>
          <w:spacing w:val="-6"/>
          <w:sz w:val="18"/>
        </w:rPr>
        <w:t> </w:t>
      </w:r>
      <w:r>
        <w:rPr>
          <w:sz w:val="18"/>
        </w:rPr>
        <w:t>no,</w:t>
      </w:r>
      <w:r>
        <w:rPr>
          <w:spacing w:val="-6"/>
          <w:sz w:val="18"/>
        </w:rPr>
        <w:t> </w:t>
      </w:r>
      <w:r>
        <w:rPr>
          <w:sz w:val="18"/>
        </w:rPr>
        <w:t>no</w:t>
      </w:r>
      <w:r>
        <w:rPr>
          <w:spacing w:val="-6"/>
          <w:sz w:val="18"/>
        </w:rPr>
        <w:t> </w:t>
      </w:r>
      <w:r>
        <w:rPr>
          <w:sz w:val="18"/>
        </w:rPr>
        <w:t>estaba</w:t>
      </w:r>
      <w:r>
        <w:rPr>
          <w:spacing w:val="-4"/>
          <w:sz w:val="18"/>
        </w:rPr>
        <w:t> </w:t>
      </w:r>
      <w:r>
        <w:rPr>
          <w:sz w:val="18"/>
        </w:rPr>
        <w:t>súper</w:t>
      </w:r>
      <w:r>
        <w:rPr>
          <w:spacing w:val="-4"/>
          <w:sz w:val="18"/>
        </w:rPr>
        <w:t> </w:t>
      </w:r>
      <w:r>
        <w:rPr>
          <w:sz w:val="18"/>
        </w:rPr>
        <w:t>preocupadísima</w:t>
      </w:r>
      <w:r>
        <w:rPr>
          <w:spacing w:val="-6"/>
          <w:sz w:val="18"/>
        </w:rPr>
        <w:t> </w:t>
      </w:r>
      <w:r>
        <w:rPr>
          <w:sz w:val="18"/>
        </w:rPr>
        <w:t>y</w:t>
      </w:r>
      <w:r>
        <w:rPr>
          <w:spacing w:val="-6"/>
          <w:sz w:val="18"/>
        </w:rPr>
        <w:t> </w:t>
      </w:r>
      <w:r>
        <w:rPr>
          <w:sz w:val="18"/>
        </w:rPr>
        <w:t>porque</w:t>
      </w:r>
      <w:r>
        <w:rPr>
          <w:spacing w:val="-4"/>
          <w:sz w:val="18"/>
        </w:rPr>
        <w:t> </w:t>
      </w:r>
      <w:r>
        <w:rPr>
          <w:sz w:val="18"/>
        </w:rPr>
        <w:t>de</w:t>
      </w:r>
      <w:r>
        <w:rPr>
          <w:spacing w:val="-4"/>
          <w:sz w:val="18"/>
        </w:rPr>
        <w:t> </w:t>
      </w:r>
      <w:r>
        <w:rPr>
          <w:sz w:val="18"/>
        </w:rPr>
        <w:t>alguna</w:t>
      </w:r>
      <w:r>
        <w:rPr>
          <w:spacing w:val="-4"/>
          <w:sz w:val="18"/>
        </w:rPr>
        <w:t> </w:t>
      </w:r>
      <w:r>
        <w:rPr>
          <w:sz w:val="18"/>
        </w:rPr>
        <w:t>manera</w:t>
      </w:r>
      <w:r>
        <w:rPr>
          <w:spacing w:val="-6"/>
          <w:sz w:val="18"/>
        </w:rPr>
        <w:t> </w:t>
      </w:r>
      <w:r>
        <w:rPr>
          <w:sz w:val="18"/>
        </w:rPr>
        <w:t>siempre</w:t>
      </w:r>
      <w:r>
        <w:rPr>
          <w:spacing w:val="-4"/>
          <w:sz w:val="18"/>
        </w:rPr>
        <w:t> </w:t>
      </w:r>
      <w:r>
        <w:rPr>
          <w:sz w:val="18"/>
        </w:rPr>
        <w:t>vamos</w:t>
      </w:r>
      <w:r>
        <w:rPr>
          <w:spacing w:val="-3"/>
          <w:sz w:val="18"/>
        </w:rPr>
        <w:t> </w:t>
      </w:r>
      <w:r>
        <w:rPr>
          <w:sz w:val="18"/>
        </w:rPr>
        <w:t>a responderle al ciudadano, la ley de transparencia dice que para entregar la información para que ellos sean el conducto para entregarle al ciudadano porque no nos dejan sus datos, su correo, teléfono, ni una disculpa por haberte entregado el documento después de tiempo, pero de alguna manera si estamos preocupados para</w:t>
      </w:r>
      <w:r>
        <w:rPr>
          <w:spacing w:val="-18"/>
          <w:sz w:val="18"/>
        </w:rPr>
        <w:t> </w:t>
      </w:r>
      <w:r>
        <w:rPr>
          <w:sz w:val="18"/>
        </w:rPr>
        <w:t>entregarla.</w:t>
      </w:r>
    </w:p>
    <w:p>
      <w:pPr>
        <w:pStyle w:val="BodyText"/>
        <w:rPr>
          <w:sz w:val="18"/>
        </w:rPr>
      </w:pPr>
    </w:p>
    <w:p>
      <w:pPr>
        <w:pStyle w:val="BodyText"/>
        <w:rPr>
          <w:sz w:val="18"/>
        </w:rPr>
      </w:pPr>
    </w:p>
    <w:p>
      <w:pPr>
        <w:spacing w:line="240" w:lineRule="auto" w:before="111"/>
        <w:ind w:left="454" w:right="407" w:firstLine="0"/>
        <w:jc w:val="both"/>
        <w:rPr>
          <w:sz w:val="18"/>
        </w:rPr>
      </w:pPr>
      <w:r>
        <w:rPr>
          <w:b/>
          <w:sz w:val="18"/>
        </w:rPr>
        <w:t>Gabriel:</w:t>
      </w:r>
      <w:r>
        <w:rPr>
          <w:b/>
          <w:spacing w:val="-4"/>
          <w:sz w:val="18"/>
        </w:rPr>
        <w:t> </w:t>
      </w:r>
      <w:r>
        <w:rPr>
          <w:sz w:val="18"/>
        </w:rPr>
        <w:t>correcto,</w:t>
      </w:r>
      <w:r>
        <w:rPr>
          <w:spacing w:val="-4"/>
          <w:sz w:val="18"/>
        </w:rPr>
        <w:t> </w:t>
      </w:r>
      <w:r>
        <w:rPr>
          <w:sz w:val="18"/>
        </w:rPr>
        <w:t>ahí</w:t>
      </w:r>
      <w:r>
        <w:rPr>
          <w:spacing w:val="-2"/>
          <w:sz w:val="18"/>
        </w:rPr>
        <w:t> </w:t>
      </w:r>
      <w:r>
        <w:rPr>
          <w:sz w:val="18"/>
        </w:rPr>
        <w:t>por</w:t>
      </w:r>
      <w:r>
        <w:rPr>
          <w:spacing w:val="-4"/>
          <w:sz w:val="18"/>
        </w:rPr>
        <w:t> </w:t>
      </w:r>
      <w:r>
        <w:rPr>
          <w:sz w:val="18"/>
        </w:rPr>
        <w:t>ejemplo</w:t>
      </w:r>
      <w:r>
        <w:rPr>
          <w:spacing w:val="-4"/>
          <w:sz w:val="18"/>
        </w:rPr>
        <w:t> </w:t>
      </w:r>
      <w:r>
        <w:rPr>
          <w:sz w:val="18"/>
        </w:rPr>
        <w:t>tengo</w:t>
      </w:r>
      <w:r>
        <w:rPr>
          <w:spacing w:val="-4"/>
          <w:sz w:val="18"/>
        </w:rPr>
        <w:t> </w:t>
      </w:r>
      <w:r>
        <w:rPr>
          <w:sz w:val="18"/>
        </w:rPr>
        <w:t>una</w:t>
      </w:r>
      <w:r>
        <w:rPr>
          <w:spacing w:val="-4"/>
          <w:sz w:val="18"/>
        </w:rPr>
        <w:t> </w:t>
      </w:r>
      <w:r>
        <w:rPr>
          <w:sz w:val="18"/>
        </w:rPr>
        <w:t>pregunta</w:t>
      </w:r>
      <w:r>
        <w:rPr>
          <w:spacing w:val="-4"/>
          <w:sz w:val="18"/>
        </w:rPr>
        <w:t> </w:t>
      </w:r>
      <w:r>
        <w:rPr>
          <w:sz w:val="18"/>
        </w:rPr>
        <w:t>¿qué</w:t>
      </w:r>
      <w:r>
        <w:rPr>
          <w:spacing w:val="-2"/>
          <w:sz w:val="18"/>
        </w:rPr>
        <w:t> </w:t>
      </w:r>
      <w:r>
        <w:rPr>
          <w:sz w:val="18"/>
        </w:rPr>
        <w:t>es</w:t>
      </w:r>
      <w:r>
        <w:rPr>
          <w:spacing w:val="-3"/>
          <w:sz w:val="18"/>
        </w:rPr>
        <w:t> </w:t>
      </w:r>
      <w:r>
        <w:rPr>
          <w:sz w:val="18"/>
        </w:rPr>
        <w:t>lo</w:t>
      </w:r>
      <w:r>
        <w:rPr>
          <w:spacing w:val="-4"/>
          <w:sz w:val="18"/>
        </w:rPr>
        <w:t> </w:t>
      </w:r>
      <w:r>
        <w:rPr>
          <w:sz w:val="18"/>
        </w:rPr>
        <w:t>que</w:t>
      </w:r>
      <w:r>
        <w:rPr>
          <w:spacing w:val="-4"/>
          <w:sz w:val="18"/>
        </w:rPr>
        <w:t> </w:t>
      </w:r>
      <w:r>
        <w:rPr>
          <w:sz w:val="18"/>
        </w:rPr>
        <w:t>pasa</w:t>
      </w:r>
      <w:r>
        <w:rPr>
          <w:spacing w:val="-4"/>
          <w:sz w:val="18"/>
        </w:rPr>
        <w:t> </w:t>
      </w:r>
      <w:r>
        <w:rPr>
          <w:sz w:val="18"/>
        </w:rPr>
        <w:t>si</w:t>
      </w:r>
      <w:r>
        <w:rPr>
          <w:spacing w:val="-4"/>
          <w:sz w:val="18"/>
        </w:rPr>
        <w:t> </w:t>
      </w:r>
      <w:r>
        <w:rPr>
          <w:sz w:val="18"/>
        </w:rPr>
        <w:t>uno</w:t>
      </w:r>
      <w:r>
        <w:rPr>
          <w:spacing w:val="-4"/>
          <w:sz w:val="18"/>
        </w:rPr>
        <w:t> </w:t>
      </w:r>
      <w:r>
        <w:rPr>
          <w:sz w:val="18"/>
        </w:rPr>
        <w:t>no</w:t>
      </w:r>
      <w:r>
        <w:rPr>
          <w:spacing w:val="-4"/>
          <w:sz w:val="18"/>
        </w:rPr>
        <w:t> </w:t>
      </w:r>
      <w:r>
        <w:rPr>
          <w:sz w:val="18"/>
        </w:rPr>
        <w:t>cumple</w:t>
      </w:r>
      <w:r>
        <w:rPr>
          <w:spacing w:val="-4"/>
          <w:sz w:val="18"/>
        </w:rPr>
        <w:t> </w:t>
      </w:r>
      <w:r>
        <w:rPr>
          <w:sz w:val="18"/>
        </w:rPr>
        <w:t>con</w:t>
      </w:r>
      <w:r>
        <w:rPr>
          <w:spacing w:val="-4"/>
          <w:sz w:val="18"/>
        </w:rPr>
        <w:t> </w:t>
      </w:r>
      <w:r>
        <w:rPr>
          <w:sz w:val="18"/>
        </w:rPr>
        <w:t>la transparencia?, ¿Si no cumple con unas solicitud información de un ciudadano? ¿Qué sanciones recibe?</w:t>
      </w:r>
    </w:p>
    <w:p>
      <w:pPr>
        <w:pStyle w:val="BodyText"/>
        <w:rPr>
          <w:sz w:val="18"/>
        </w:rPr>
      </w:pPr>
    </w:p>
    <w:p>
      <w:pPr>
        <w:pStyle w:val="BodyText"/>
        <w:rPr>
          <w:sz w:val="18"/>
        </w:rPr>
      </w:pPr>
    </w:p>
    <w:p>
      <w:pPr>
        <w:spacing w:line="244" w:lineRule="auto" w:before="111"/>
        <w:ind w:left="454" w:right="409" w:firstLine="0"/>
        <w:jc w:val="both"/>
        <w:rPr>
          <w:sz w:val="18"/>
        </w:rPr>
      </w:pPr>
      <w:r>
        <w:rPr>
          <w:b/>
          <w:sz w:val="18"/>
        </w:rPr>
        <w:t>Bertha Lilia: </w:t>
      </w:r>
      <w:r>
        <w:rPr>
          <w:sz w:val="18"/>
        </w:rPr>
        <w:t>Híjole, sabemos que a través de IPOMEX si no cumplimos con la información de acuerdo</w:t>
      </w:r>
      <w:r>
        <w:rPr>
          <w:spacing w:val="-9"/>
          <w:sz w:val="18"/>
        </w:rPr>
        <w:t> </w:t>
      </w:r>
      <w:r>
        <w:rPr>
          <w:sz w:val="18"/>
        </w:rPr>
        <w:t>con</w:t>
      </w:r>
      <w:r>
        <w:rPr>
          <w:spacing w:val="-6"/>
          <w:sz w:val="18"/>
        </w:rPr>
        <w:t> </w:t>
      </w:r>
      <w:r>
        <w:rPr>
          <w:sz w:val="18"/>
        </w:rPr>
        <w:t>el</w:t>
      </w:r>
      <w:r>
        <w:rPr>
          <w:spacing w:val="-9"/>
          <w:sz w:val="18"/>
        </w:rPr>
        <w:t> </w:t>
      </w:r>
      <w:r>
        <w:rPr>
          <w:sz w:val="18"/>
        </w:rPr>
        <w:t>sistema</w:t>
      </w:r>
      <w:r>
        <w:rPr>
          <w:spacing w:val="-6"/>
          <w:sz w:val="18"/>
        </w:rPr>
        <w:t> </w:t>
      </w:r>
      <w:r>
        <w:rPr>
          <w:sz w:val="18"/>
        </w:rPr>
        <w:t>y</w:t>
      </w:r>
      <w:r>
        <w:rPr>
          <w:spacing w:val="-11"/>
          <w:sz w:val="18"/>
        </w:rPr>
        <w:t> </w:t>
      </w:r>
      <w:r>
        <w:rPr>
          <w:sz w:val="18"/>
        </w:rPr>
        <w:t>con</w:t>
      </w:r>
      <w:r>
        <w:rPr>
          <w:spacing w:val="-9"/>
          <w:sz w:val="18"/>
        </w:rPr>
        <w:t> </w:t>
      </w:r>
      <w:r>
        <w:rPr>
          <w:sz w:val="18"/>
        </w:rPr>
        <w:t>la</w:t>
      </w:r>
      <w:r>
        <w:rPr>
          <w:spacing w:val="-6"/>
          <w:sz w:val="18"/>
        </w:rPr>
        <w:t> </w:t>
      </w:r>
      <w:r>
        <w:rPr>
          <w:sz w:val="18"/>
        </w:rPr>
        <w:t>ley</w:t>
      </w:r>
      <w:r>
        <w:rPr>
          <w:spacing w:val="-11"/>
          <w:sz w:val="18"/>
        </w:rPr>
        <w:t> </w:t>
      </w:r>
      <w:r>
        <w:rPr>
          <w:sz w:val="18"/>
        </w:rPr>
        <w:t>de</w:t>
      </w:r>
      <w:r>
        <w:rPr>
          <w:spacing w:val="-9"/>
          <w:sz w:val="18"/>
        </w:rPr>
        <w:t> </w:t>
      </w:r>
      <w:r>
        <w:rPr>
          <w:sz w:val="18"/>
        </w:rPr>
        <w:t>transparencia</w:t>
      </w:r>
      <w:r>
        <w:rPr>
          <w:spacing w:val="-9"/>
          <w:sz w:val="18"/>
        </w:rPr>
        <w:t> </w:t>
      </w:r>
      <w:r>
        <w:rPr>
          <w:sz w:val="18"/>
        </w:rPr>
        <w:t>y</w:t>
      </w:r>
      <w:r>
        <w:rPr>
          <w:spacing w:val="-8"/>
          <w:sz w:val="18"/>
        </w:rPr>
        <w:t> </w:t>
      </w:r>
      <w:r>
        <w:rPr>
          <w:sz w:val="18"/>
        </w:rPr>
        <w:t>acceso</w:t>
      </w:r>
      <w:r>
        <w:rPr>
          <w:spacing w:val="-6"/>
          <w:sz w:val="18"/>
        </w:rPr>
        <w:t> </w:t>
      </w:r>
      <w:r>
        <w:rPr>
          <w:sz w:val="18"/>
        </w:rPr>
        <w:t>a</w:t>
      </w:r>
      <w:r>
        <w:rPr>
          <w:spacing w:val="-9"/>
          <w:sz w:val="18"/>
        </w:rPr>
        <w:t> </w:t>
      </w:r>
      <w:r>
        <w:rPr>
          <w:sz w:val="18"/>
        </w:rPr>
        <w:t>la</w:t>
      </w:r>
      <w:r>
        <w:rPr>
          <w:spacing w:val="-9"/>
          <w:sz w:val="18"/>
        </w:rPr>
        <w:t> </w:t>
      </w:r>
      <w:r>
        <w:rPr>
          <w:sz w:val="18"/>
        </w:rPr>
        <w:t>información</w:t>
      </w:r>
      <w:r>
        <w:rPr>
          <w:spacing w:val="-9"/>
          <w:sz w:val="18"/>
        </w:rPr>
        <w:t> </w:t>
      </w:r>
      <w:r>
        <w:rPr>
          <w:sz w:val="18"/>
        </w:rPr>
        <w:t>pública,</w:t>
      </w:r>
      <w:r>
        <w:rPr>
          <w:spacing w:val="-9"/>
          <w:sz w:val="18"/>
        </w:rPr>
        <w:t> </w:t>
      </w:r>
      <w:r>
        <w:rPr>
          <w:sz w:val="18"/>
        </w:rPr>
        <w:t>podemos</w:t>
      </w:r>
      <w:r>
        <w:rPr>
          <w:spacing w:val="-8"/>
          <w:sz w:val="18"/>
        </w:rPr>
        <w:t> </w:t>
      </w:r>
      <w:r>
        <w:rPr>
          <w:sz w:val="18"/>
        </w:rPr>
        <w:t>ser</w:t>
      </w:r>
    </w:p>
    <w:p>
      <w:pPr>
        <w:spacing w:after="0" w:line="244" w:lineRule="auto"/>
        <w:jc w:val="both"/>
        <w:rPr>
          <w:sz w:val="18"/>
        </w:rPr>
        <w:sectPr>
          <w:pgSz w:w="12240" w:h="15840"/>
          <w:pgMar w:header="0" w:footer="975" w:top="1500" w:bottom="1220" w:left="1720" w:right="1720"/>
        </w:sectPr>
      </w:pPr>
    </w:p>
    <w:p>
      <w:pPr>
        <w:spacing w:before="55"/>
        <w:ind w:left="454" w:right="413" w:firstLine="0"/>
        <w:jc w:val="both"/>
        <w:rPr>
          <w:sz w:val="18"/>
        </w:rPr>
      </w:pPr>
      <w:r>
        <w:rPr>
          <w:sz w:val="18"/>
        </w:rPr>
        <w:t>acreedores de sanciones, los servidores públicos una sanción siempre y cuando haya pasado una serie de procedimientos de contra revisión, de que haya amparos, una serie de amparos etc.</w:t>
      </w:r>
    </w:p>
    <w:p>
      <w:pPr>
        <w:pStyle w:val="BodyText"/>
        <w:rPr>
          <w:sz w:val="18"/>
        </w:rPr>
      </w:pPr>
    </w:p>
    <w:p>
      <w:pPr>
        <w:pStyle w:val="BodyText"/>
        <w:rPr>
          <w:sz w:val="18"/>
        </w:rPr>
      </w:pPr>
    </w:p>
    <w:p>
      <w:pPr>
        <w:spacing w:before="106"/>
        <w:ind w:left="454" w:right="0" w:firstLine="0"/>
        <w:jc w:val="both"/>
        <w:rPr>
          <w:sz w:val="18"/>
        </w:rPr>
      </w:pPr>
      <w:r>
        <w:rPr>
          <w:b/>
          <w:sz w:val="18"/>
        </w:rPr>
        <w:t>Gabriel: </w:t>
      </w:r>
      <w:r>
        <w:rPr>
          <w:sz w:val="18"/>
        </w:rPr>
        <w:t>¿Pero qué sanciones que reciben en caso de no cumplir?</w:t>
      </w:r>
    </w:p>
    <w:p>
      <w:pPr>
        <w:pStyle w:val="BodyText"/>
        <w:rPr>
          <w:sz w:val="18"/>
        </w:rPr>
      </w:pPr>
    </w:p>
    <w:p>
      <w:pPr>
        <w:pStyle w:val="BodyText"/>
        <w:rPr>
          <w:sz w:val="18"/>
        </w:rPr>
      </w:pPr>
    </w:p>
    <w:p>
      <w:pPr>
        <w:spacing w:line="240" w:lineRule="auto" w:before="116"/>
        <w:ind w:left="454" w:right="402" w:firstLine="0"/>
        <w:jc w:val="both"/>
        <w:rPr>
          <w:sz w:val="18"/>
        </w:rPr>
      </w:pPr>
      <w:r>
        <w:rPr>
          <w:b/>
          <w:sz w:val="18"/>
        </w:rPr>
        <w:t>Bertha Lilia: </w:t>
      </w:r>
      <w:r>
        <w:rPr>
          <w:sz w:val="18"/>
        </w:rPr>
        <w:t>Pueden ser tanto una económica hasta una destitución del puesto pero ésta ya en última</w:t>
      </w:r>
      <w:r>
        <w:rPr>
          <w:spacing w:val="-11"/>
          <w:sz w:val="18"/>
        </w:rPr>
        <w:t> </w:t>
      </w:r>
      <w:r>
        <w:rPr>
          <w:sz w:val="18"/>
        </w:rPr>
        <w:t>instancia.</w:t>
      </w:r>
      <w:r>
        <w:rPr>
          <w:spacing w:val="-9"/>
          <w:sz w:val="18"/>
        </w:rPr>
        <w:t> </w:t>
      </w:r>
      <w:r>
        <w:rPr>
          <w:sz w:val="18"/>
        </w:rPr>
        <w:t>Pero</w:t>
      </w:r>
      <w:r>
        <w:rPr>
          <w:spacing w:val="-9"/>
          <w:sz w:val="18"/>
        </w:rPr>
        <w:t> </w:t>
      </w:r>
      <w:r>
        <w:rPr>
          <w:sz w:val="18"/>
        </w:rPr>
        <w:t>ya</w:t>
      </w:r>
      <w:r>
        <w:rPr>
          <w:spacing w:val="-11"/>
          <w:sz w:val="18"/>
        </w:rPr>
        <w:t> </w:t>
      </w:r>
      <w:r>
        <w:rPr>
          <w:sz w:val="18"/>
        </w:rPr>
        <w:t>en</w:t>
      </w:r>
      <w:r>
        <w:rPr>
          <w:spacing w:val="-11"/>
          <w:sz w:val="18"/>
        </w:rPr>
        <w:t> </w:t>
      </w:r>
      <w:r>
        <w:rPr>
          <w:sz w:val="18"/>
        </w:rPr>
        <w:t>últimos</w:t>
      </w:r>
      <w:r>
        <w:rPr>
          <w:spacing w:val="-11"/>
          <w:sz w:val="18"/>
        </w:rPr>
        <w:t> </w:t>
      </w:r>
      <w:r>
        <w:rPr>
          <w:sz w:val="18"/>
        </w:rPr>
        <w:t>extremos.</w:t>
      </w:r>
      <w:r>
        <w:rPr>
          <w:spacing w:val="-6"/>
          <w:sz w:val="18"/>
        </w:rPr>
        <w:t> </w:t>
      </w:r>
      <w:r>
        <w:rPr>
          <w:sz w:val="18"/>
        </w:rPr>
        <w:t>Que</w:t>
      </w:r>
      <w:r>
        <w:rPr>
          <w:spacing w:val="-11"/>
          <w:sz w:val="18"/>
        </w:rPr>
        <w:t> </w:t>
      </w:r>
      <w:r>
        <w:rPr>
          <w:sz w:val="18"/>
        </w:rPr>
        <w:t>no</w:t>
      </w:r>
      <w:r>
        <w:rPr>
          <w:spacing w:val="-11"/>
          <w:sz w:val="18"/>
        </w:rPr>
        <w:t> </w:t>
      </w:r>
      <w:r>
        <w:rPr>
          <w:sz w:val="18"/>
        </w:rPr>
        <w:t>creo</w:t>
      </w:r>
      <w:r>
        <w:rPr>
          <w:spacing w:val="-11"/>
          <w:sz w:val="18"/>
        </w:rPr>
        <w:t> </w:t>
      </w:r>
      <w:r>
        <w:rPr>
          <w:sz w:val="18"/>
        </w:rPr>
        <w:t>que</w:t>
      </w:r>
      <w:r>
        <w:rPr>
          <w:spacing w:val="-9"/>
          <w:sz w:val="18"/>
        </w:rPr>
        <w:t> </w:t>
      </w:r>
      <w:r>
        <w:rPr>
          <w:sz w:val="18"/>
        </w:rPr>
        <w:t>pase</w:t>
      </w:r>
      <w:r>
        <w:rPr>
          <w:spacing w:val="-11"/>
          <w:sz w:val="18"/>
        </w:rPr>
        <w:t> </w:t>
      </w:r>
      <w:r>
        <w:rPr>
          <w:sz w:val="18"/>
        </w:rPr>
        <w:t>en</w:t>
      </w:r>
      <w:r>
        <w:rPr>
          <w:spacing w:val="-11"/>
          <w:sz w:val="18"/>
        </w:rPr>
        <w:t> </w:t>
      </w:r>
      <w:r>
        <w:rPr>
          <w:sz w:val="18"/>
        </w:rPr>
        <w:t>San</w:t>
      </w:r>
      <w:r>
        <w:rPr>
          <w:spacing w:val="-11"/>
          <w:sz w:val="18"/>
        </w:rPr>
        <w:t> </w:t>
      </w:r>
      <w:r>
        <w:rPr>
          <w:sz w:val="18"/>
        </w:rPr>
        <w:t>Mateo</w:t>
      </w:r>
      <w:r>
        <w:rPr>
          <w:spacing w:val="-9"/>
          <w:sz w:val="18"/>
        </w:rPr>
        <w:t> </w:t>
      </w:r>
      <w:r>
        <w:rPr>
          <w:sz w:val="18"/>
        </w:rPr>
        <w:t>Atenco</w:t>
      </w:r>
      <w:r>
        <w:rPr>
          <w:spacing w:val="-11"/>
          <w:sz w:val="18"/>
        </w:rPr>
        <w:t> </w:t>
      </w:r>
      <w:r>
        <w:rPr>
          <w:sz w:val="18"/>
        </w:rPr>
        <w:t>la</w:t>
      </w:r>
      <w:r>
        <w:rPr>
          <w:spacing w:val="-9"/>
          <w:sz w:val="18"/>
        </w:rPr>
        <w:t> </w:t>
      </w:r>
      <w:r>
        <w:rPr>
          <w:sz w:val="18"/>
        </w:rPr>
        <w:t>verdad o</w:t>
      </w:r>
      <w:r>
        <w:rPr>
          <w:spacing w:val="-4"/>
          <w:sz w:val="18"/>
        </w:rPr>
        <w:t> </w:t>
      </w:r>
      <w:r>
        <w:rPr>
          <w:sz w:val="18"/>
        </w:rPr>
        <w:t>sea</w:t>
      </w:r>
      <w:r>
        <w:rPr>
          <w:spacing w:val="-4"/>
          <w:sz w:val="18"/>
        </w:rPr>
        <w:t> </w:t>
      </w:r>
      <w:r>
        <w:rPr>
          <w:sz w:val="18"/>
        </w:rPr>
        <w:t>es</w:t>
      </w:r>
      <w:r>
        <w:rPr>
          <w:spacing w:val="-3"/>
          <w:sz w:val="18"/>
        </w:rPr>
        <w:t> </w:t>
      </w:r>
      <w:r>
        <w:rPr>
          <w:sz w:val="18"/>
        </w:rPr>
        <w:t>que</w:t>
      </w:r>
      <w:r>
        <w:rPr>
          <w:spacing w:val="-6"/>
          <w:sz w:val="18"/>
        </w:rPr>
        <w:t> </w:t>
      </w:r>
      <w:r>
        <w:rPr>
          <w:sz w:val="18"/>
        </w:rPr>
        <w:t>las</w:t>
      </w:r>
      <w:r>
        <w:rPr>
          <w:spacing w:val="-3"/>
          <w:sz w:val="18"/>
        </w:rPr>
        <w:t> </w:t>
      </w:r>
      <w:r>
        <w:rPr>
          <w:sz w:val="18"/>
        </w:rPr>
        <w:t>personas</w:t>
      </w:r>
      <w:r>
        <w:rPr>
          <w:spacing w:val="-3"/>
          <w:sz w:val="18"/>
        </w:rPr>
        <w:t> </w:t>
      </w:r>
      <w:r>
        <w:rPr>
          <w:sz w:val="18"/>
        </w:rPr>
        <w:t>que</w:t>
      </w:r>
      <w:r>
        <w:rPr>
          <w:spacing w:val="-6"/>
          <w:sz w:val="18"/>
        </w:rPr>
        <w:t> </w:t>
      </w:r>
      <w:r>
        <w:rPr>
          <w:sz w:val="18"/>
        </w:rPr>
        <w:t>hemos</w:t>
      </w:r>
      <w:r>
        <w:rPr>
          <w:spacing w:val="-3"/>
          <w:sz w:val="18"/>
        </w:rPr>
        <w:t> </w:t>
      </w:r>
      <w:r>
        <w:rPr>
          <w:sz w:val="18"/>
        </w:rPr>
        <w:t>tenido</w:t>
      </w:r>
      <w:r>
        <w:rPr>
          <w:spacing w:val="-4"/>
          <w:sz w:val="18"/>
        </w:rPr>
        <w:t> </w:t>
      </w:r>
      <w:r>
        <w:rPr>
          <w:sz w:val="18"/>
        </w:rPr>
        <w:t>y</w:t>
      </w:r>
      <w:r>
        <w:rPr>
          <w:spacing w:val="-6"/>
          <w:sz w:val="18"/>
        </w:rPr>
        <w:t> </w:t>
      </w:r>
      <w:r>
        <w:rPr>
          <w:sz w:val="18"/>
        </w:rPr>
        <w:t>solicitan</w:t>
      </w:r>
      <w:r>
        <w:rPr>
          <w:spacing w:val="-4"/>
          <w:sz w:val="18"/>
        </w:rPr>
        <w:t> </w:t>
      </w:r>
      <w:r>
        <w:rPr>
          <w:sz w:val="18"/>
        </w:rPr>
        <w:t>información,</w:t>
      </w:r>
      <w:r>
        <w:rPr>
          <w:spacing w:val="-7"/>
          <w:sz w:val="18"/>
        </w:rPr>
        <w:t> </w:t>
      </w:r>
      <w:r>
        <w:rPr>
          <w:sz w:val="18"/>
        </w:rPr>
        <w:t>siempre</w:t>
      </w:r>
      <w:r>
        <w:rPr>
          <w:spacing w:val="-6"/>
          <w:sz w:val="18"/>
        </w:rPr>
        <w:t> </w:t>
      </w:r>
      <w:r>
        <w:rPr>
          <w:sz w:val="18"/>
        </w:rPr>
        <w:t>se</w:t>
      </w:r>
      <w:r>
        <w:rPr>
          <w:spacing w:val="-4"/>
          <w:sz w:val="18"/>
        </w:rPr>
        <w:t> </w:t>
      </w:r>
      <w:r>
        <w:rPr>
          <w:sz w:val="18"/>
        </w:rPr>
        <w:t>les</w:t>
      </w:r>
      <w:r>
        <w:rPr>
          <w:spacing w:val="-3"/>
          <w:sz w:val="18"/>
        </w:rPr>
        <w:t> </w:t>
      </w:r>
      <w:r>
        <w:rPr>
          <w:sz w:val="18"/>
        </w:rPr>
        <w:t>la</w:t>
      </w:r>
      <w:r>
        <w:rPr>
          <w:spacing w:val="-4"/>
          <w:sz w:val="18"/>
        </w:rPr>
        <w:t> </w:t>
      </w:r>
      <w:r>
        <w:rPr>
          <w:sz w:val="18"/>
        </w:rPr>
        <w:t>ha</w:t>
      </w:r>
      <w:r>
        <w:rPr>
          <w:spacing w:val="-4"/>
          <w:sz w:val="18"/>
        </w:rPr>
        <w:t> </w:t>
      </w:r>
      <w:r>
        <w:rPr>
          <w:sz w:val="18"/>
        </w:rPr>
        <w:t>entregado la</w:t>
      </w:r>
      <w:r>
        <w:rPr>
          <w:spacing w:val="-6"/>
          <w:sz w:val="18"/>
        </w:rPr>
        <w:t> </w:t>
      </w:r>
      <w:r>
        <w:rPr>
          <w:sz w:val="18"/>
        </w:rPr>
        <w:t>información.</w:t>
      </w:r>
    </w:p>
    <w:p>
      <w:pPr>
        <w:pStyle w:val="BodyText"/>
        <w:rPr>
          <w:sz w:val="18"/>
        </w:rPr>
      </w:pPr>
    </w:p>
    <w:p>
      <w:pPr>
        <w:pStyle w:val="BodyText"/>
        <w:rPr>
          <w:sz w:val="18"/>
        </w:rPr>
      </w:pPr>
    </w:p>
    <w:p>
      <w:pPr>
        <w:spacing w:before="111"/>
        <w:ind w:left="454" w:right="410" w:firstLine="0"/>
        <w:jc w:val="both"/>
        <w:rPr>
          <w:sz w:val="18"/>
        </w:rPr>
      </w:pPr>
      <w:r>
        <w:rPr>
          <w:b/>
          <w:sz w:val="18"/>
        </w:rPr>
        <w:t>Gabriel: </w:t>
      </w:r>
      <w:r>
        <w:rPr>
          <w:sz w:val="18"/>
        </w:rPr>
        <w:t>Correcto, por último, si usted fuera presidenta municipal de San Mateo Atenco ¿qué acciones haría para decir que San Mateo Atenco ya está al 100% en torno a la transparencia?</w:t>
      </w:r>
    </w:p>
    <w:p>
      <w:pPr>
        <w:pStyle w:val="BodyText"/>
        <w:rPr>
          <w:sz w:val="18"/>
        </w:rPr>
      </w:pPr>
    </w:p>
    <w:p>
      <w:pPr>
        <w:pStyle w:val="BodyText"/>
        <w:rPr>
          <w:sz w:val="18"/>
        </w:rPr>
      </w:pPr>
    </w:p>
    <w:p>
      <w:pPr>
        <w:spacing w:line="240" w:lineRule="auto" w:before="111"/>
        <w:ind w:left="454" w:right="401" w:firstLine="0"/>
        <w:jc w:val="both"/>
        <w:rPr>
          <w:sz w:val="18"/>
        </w:rPr>
      </w:pPr>
      <w:r>
        <w:rPr>
          <w:b/>
          <w:sz w:val="18"/>
        </w:rPr>
        <w:t>Bertha Lilia: </w:t>
      </w:r>
      <w:r>
        <w:rPr>
          <w:sz w:val="18"/>
        </w:rPr>
        <w:t>Si, yo creo que debería de poner atención especial para cuestiones municipales aunque sea de sesiones cabildo para que realice lo que lo que se está acordando y marca la ley yo porque</w:t>
      </w:r>
      <w:r>
        <w:rPr>
          <w:spacing w:val="-8"/>
          <w:sz w:val="18"/>
        </w:rPr>
        <w:t> </w:t>
      </w:r>
      <w:r>
        <w:rPr>
          <w:sz w:val="18"/>
        </w:rPr>
        <w:t>lo</w:t>
      </w:r>
      <w:r>
        <w:rPr>
          <w:spacing w:val="-8"/>
          <w:sz w:val="18"/>
        </w:rPr>
        <w:t> </w:t>
      </w:r>
      <w:r>
        <w:rPr>
          <w:sz w:val="18"/>
        </w:rPr>
        <w:t>estoy</w:t>
      </w:r>
      <w:r>
        <w:rPr>
          <w:spacing w:val="-10"/>
          <w:sz w:val="18"/>
        </w:rPr>
        <w:t> </w:t>
      </w:r>
      <w:r>
        <w:rPr>
          <w:sz w:val="18"/>
        </w:rPr>
        <w:t>viviendo</w:t>
      </w:r>
      <w:r>
        <w:rPr>
          <w:spacing w:val="-5"/>
          <w:sz w:val="18"/>
        </w:rPr>
        <w:t> </w:t>
      </w:r>
      <w:r>
        <w:rPr>
          <w:sz w:val="18"/>
        </w:rPr>
        <w:t>¿no?</w:t>
      </w:r>
      <w:r>
        <w:rPr>
          <w:spacing w:val="-10"/>
          <w:sz w:val="18"/>
        </w:rPr>
        <w:t> </w:t>
      </w:r>
      <w:r>
        <w:rPr>
          <w:sz w:val="18"/>
        </w:rPr>
        <w:t>A</w:t>
      </w:r>
      <w:r>
        <w:rPr>
          <w:spacing w:val="-8"/>
          <w:sz w:val="18"/>
        </w:rPr>
        <w:t> </w:t>
      </w:r>
      <w:r>
        <w:rPr>
          <w:sz w:val="18"/>
        </w:rPr>
        <w:t>poner</w:t>
      </w:r>
      <w:r>
        <w:rPr>
          <w:spacing w:val="-8"/>
          <w:sz w:val="18"/>
        </w:rPr>
        <w:t> </w:t>
      </w:r>
      <w:r>
        <w:rPr>
          <w:sz w:val="18"/>
        </w:rPr>
        <w:t>a</w:t>
      </w:r>
      <w:r>
        <w:rPr>
          <w:spacing w:val="-8"/>
          <w:sz w:val="18"/>
        </w:rPr>
        <w:t> </w:t>
      </w:r>
      <w:r>
        <w:rPr>
          <w:sz w:val="18"/>
        </w:rPr>
        <w:t>una</w:t>
      </w:r>
      <w:r>
        <w:rPr>
          <w:spacing w:val="-8"/>
          <w:sz w:val="18"/>
        </w:rPr>
        <w:t> </w:t>
      </w:r>
      <w:r>
        <w:rPr>
          <w:sz w:val="18"/>
        </w:rPr>
        <w:t>persona</w:t>
      </w:r>
      <w:r>
        <w:rPr>
          <w:spacing w:val="-8"/>
          <w:sz w:val="18"/>
        </w:rPr>
        <w:t> </w:t>
      </w:r>
      <w:r>
        <w:rPr>
          <w:sz w:val="18"/>
        </w:rPr>
        <w:t>que</w:t>
      </w:r>
      <w:r>
        <w:rPr>
          <w:spacing w:val="-8"/>
          <w:sz w:val="18"/>
        </w:rPr>
        <w:t> </w:t>
      </w:r>
      <w:r>
        <w:rPr>
          <w:sz w:val="18"/>
        </w:rPr>
        <w:t>se</w:t>
      </w:r>
      <w:r>
        <w:rPr>
          <w:spacing w:val="-10"/>
          <w:sz w:val="18"/>
        </w:rPr>
        <w:t> </w:t>
      </w:r>
      <w:r>
        <w:rPr>
          <w:sz w:val="18"/>
        </w:rPr>
        <w:t>encargue</w:t>
      </w:r>
      <w:r>
        <w:rPr>
          <w:spacing w:val="-8"/>
          <w:sz w:val="18"/>
        </w:rPr>
        <w:t> </w:t>
      </w:r>
      <w:r>
        <w:rPr>
          <w:sz w:val="18"/>
        </w:rPr>
        <w:t>exclusivamente</w:t>
      </w:r>
      <w:r>
        <w:rPr>
          <w:spacing w:val="-7"/>
          <w:sz w:val="18"/>
        </w:rPr>
        <w:t> </w:t>
      </w:r>
      <w:r>
        <w:rPr>
          <w:sz w:val="18"/>
        </w:rPr>
        <w:t>a</w:t>
      </w:r>
      <w:r>
        <w:rPr>
          <w:spacing w:val="-8"/>
          <w:sz w:val="18"/>
        </w:rPr>
        <w:t> </w:t>
      </w:r>
      <w:r>
        <w:rPr>
          <w:sz w:val="18"/>
        </w:rPr>
        <w:t>la</w:t>
      </w:r>
      <w:r>
        <w:rPr>
          <w:spacing w:val="-10"/>
          <w:sz w:val="18"/>
        </w:rPr>
        <w:t> </w:t>
      </w:r>
      <w:r>
        <w:rPr>
          <w:sz w:val="18"/>
        </w:rPr>
        <w:t>atención de las cuestiones de transparencia, crear mecanismos y estrategias para informar a la comunidad que</w:t>
      </w:r>
      <w:r>
        <w:rPr>
          <w:spacing w:val="-14"/>
          <w:sz w:val="18"/>
        </w:rPr>
        <w:t> </w:t>
      </w:r>
      <w:r>
        <w:rPr>
          <w:sz w:val="18"/>
        </w:rPr>
        <w:t>estamos</w:t>
      </w:r>
      <w:r>
        <w:rPr>
          <w:spacing w:val="-13"/>
          <w:sz w:val="18"/>
        </w:rPr>
        <w:t> </w:t>
      </w:r>
      <w:r>
        <w:rPr>
          <w:sz w:val="18"/>
        </w:rPr>
        <w:t>haciendo</w:t>
      </w:r>
      <w:r>
        <w:rPr>
          <w:spacing w:val="-13"/>
          <w:sz w:val="18"/>
        </w:rPr>
        <w:t> </w:t>
      </w:r>
      <w:r>
        <w:rPr>
          <w:sz w:val="18"/>
        </w:rPr>
        <w:t>de</w:t>
      </w:r>
      <w:r>
        <w:rPr>
          <w:spacing w:val="-13"/>
          <w:sz w:val="18"/>
        </w:rPr>
        <w:t> </w:t>
      </w:r>
      <w:r>
        <w:rPr>
          <w:sz w:val="18"/>
        </w:rPr>
        <w:t>manera</w:t>
      </w:r>
      <w:r>
        <w:rPr>
          <w:spacing w:val="-14"/>
          <w:sz w:val="18"/>
        </w:rPr>
        <w:t> </w:t>
      </w:r>
      <w:r>
        <w:rPr>
          <w:sz w:val="18"/>
        </w:rPr>
        <w:t>constante</w:t>
      </w:r>
      <w:r>
        <w:rPr>
          <w:spacing w:val="-9"/>
          <w:sz w:val="18"/>
        </w:rPr>
        <w:t> </w:t>
      </w:r>
      <w:r>
        <w:rPr>
          <w:sz w:val="18"/>
        </w:rPr>
        <w:t>¿no?</w:t>
      </w:r>
      <w:r>
        <w:rPr>
          <w:spacing w:val="-13"/>
          <w:sz w:val="18"/>
        </w:rPr>
        <w:t> </w:t>
      </w:r>
      <w:r>
        <w:rPr>
          <w:sz w:val="18"/>
        </w:rPr>
        <w:t>Eso</w:t>
      </w:r>
      <w:r>
        <w:rPr>
          <w:spacing w:val="-14"/>
          <w:sz w:val="18"/>
        </w:rPr>
        <w:t> </w:t>
      </w:r>
      <w:r>
        <w:rPr>
          <w:sz w:val="18"/>
        </w:rPr>
        <w:t>sería,</w:t>
      </w:r>
      <w:r>
        <w:rPr>
          <w:spacing w:val="-14"/>
          <w:sz w:val="18"/>
        </w:rPr>
        <w:t> </w:t>
      </w:r>
      <w:r>
        <w:rPr>
          <w:sz w:val="18"/>
        </w:rPr>
        <w:t>este,</w:t>
      </w:r>
      <w:r>
        <w:rPr>
          <w:spacing w:val="-14"/>
          <w:sz w:val="18"/>
        </w:rPr>
        <w:t> </w:t>
      </w:r>
      <w:r>
        <w:rPr>
          <w:sz w:val="18"/>
        </w:rPr>
        <w:t>el</w:t>
      </w:r>
      <w:r>
        <w:rPr>
          <w:spacing w:val="-11"/>
          <w:sz w:val="18"/>
        </w:rPr>
        <w:t> </w:t>
      </w:r>
      <w:r>
        <w:rPr>
          <w:sz w:val="18"/>
        </w:rPr>
        <w:t>punto</w:t>
      </w:r>
      <w:r>
        <w:rPr>
          <w:spacing w:val="-13"/>
          <w:sz w:val="18"/>
        </w:rPr>
        <w:t> </w:t>
      </w:r>
      <w:r>
        <w:rPr>
          <w:sz w:val="18"/>
        </w:rPr>
        <w:t>número</w:t>
      </w:r>
      <w:r>
        <w:rPr>
          <w:spacing w:val="-11"/>
          <w:sz w:val="18"/>
        </w:rPr>
        <w:t> </w:t>
      </w:r>
      <w:r>
        <w:rPr>
          <w:sz w:val="18"/>
        </w:rPr>
        <w:t>uno.</w:t>
      </w:r>
      <w:r>
        <w:rPr>
          <w:spacing w:val="-14"/>
          <w:sz w:val="18"/>
        </w:rPr>
        <w:t> </w:t>
      </w:r>
      <w:r>
        <w:rPr>
          <w:sz w:val="18"/>
        </w:rPr>
        <w:t>Como</w:t>
      </w:r>
      <w:r>
        <w:rPr>
          <w:spacing w:val="-14"/>
          <w:sz w:val="18"/>
        </w:rPr>
        <w:t> </w:t>
      </w:r>
      <w:r>
        <w:rPr>
          <w:sz w:val="18"/>
        </w:rPr>
        <w:t>punto número dos obligaría a los servidores públicos a que la información se entregue, siempre y cuando sea una información clasificada como</w:t>
      </w:r>
      <w:r>
        <w:rPr>
          <w:spacing w:val="-21"/>
          <w:sz w:val="18"/>
        </w:rPr>
        <w:t> </w:t>
      </w:r>
      <w:r>
        <w:rPr>
          <w:sz w:val="18"/>
        </w:rPr>
        <w:t>pública.</w:t>
      </w:r>
    </w:p>
    <w:p>
      <w:pPr>
        <w:pStyle w:val="BodyText"/>
        <w:rPr>
          <w:sz w:val="18"/>
        </w:rPr>
      </w:pPr>
    </w:p>
    <w:p>
      <w:pPr>
        <w:pStyle w:val="BodyText"/>
        <w:rPr>
          <w:sz w:val="18"/>
        </w:rPr>
      </w:pPr>
    </w:p>
    <w:p>
      <w:pPr>
        <w:spacing w:before="108"/>
        <w:ind w:left="454" w:right="0" w:firstLine="0"/>
        <w:jc w:val="both"/>
        <w:rPr>
          <w:sz w:val="18"/>
        </w:rPr>
      </w:pPr>
      <w:r>
        <w:rPr>
          <w:b/>
          <w:sz w:val="18"/>
        </w:rPr>
        <w:t>Gabriel: </w:t>
      </w:r>
      <w:r>
        <w:rPr>
          <w:sz w:val="18"/>
        </w:rPr>
        <w:t>¿Porque con tener la página no se garantiza se tendrá transparencia? Se sube lo que sea</w:t>
      </w:r>
    </w:p>
    <w:p>
      <w:pPr>
        <w:pStyle w:val="BodyText"/>
        <w:rPr>
          <w:sz w:val="18"/>
        </w:rPr>
      </w:pPr>
    </w:p>
    <w:p>
      <w:pPr>
        <w:pStyle w:val="BodyText"/>
        <w:rPr>
          <w:sz w:val="18"/>
        </w:rPr>
      </w:pPr>
    </w:p>
    <w:p>
      <w:pPr>
        <w:spacing w:before="116"/>
        <w:ind w:left="454" w:right="403" w:firstLine="0"/>
        <w:jc w:val="both"/>
        <w:rPr>
          <w:sz w:val="18"/>
        </w:rPr>
      </w:pPr>
      <w:r>
        <w:rPr>
          <w:b/>
          <w:sz w:val="18"/>
        </w:rPr>
        <w:t>Bertha Lilia: </w:t>
      </w:r>
      <w:r>
        <w:rPr>
          <w:sz w:val="18"/>
        </w:rPr>
        <w:t>Y como la ciudadanía no conoce ni se interesa subimos todo la información para cumplir.</w:t>
      </w:r>
    </w:p>
    <w:p>
      <w:pPr>
        <w:pStyle w:val="BodyText"/>
        <w:rPr>
          <w:sz w:val="18"/>
        </w:rPr>
      </w:pPr>
    </w:p>
    <w:p>
      <w:pPr>
        <w:pStyle w:val="BodyText"/>
        <w:rPr>
          <w:sz w:val="18"/>
        </w:rPr>
      </w:pPr>
    </w:p>
    <w:p>
      <w:pPr>
        <w:spacing w:before="109"/>
        <w:ind w:left="454" w:right="0" w:firstLine="0"/>
        <w:jc w:val="both"/>
        <w:rPr>
          <w:sz w:val="18"/>
        </w:rPr>
      </w:pPr>
      <w:r>
        <w:rPr>
          <w:b/>
          <w:sz w:val="18"/>
        </w:rPr>
        <w:t>Gabriel: </w:t>
      </w:r>
      <w:r>
        <w:rPr>
          <w:sz w:val="18"/>
        </w:rPr>
        <w:t>¿Y el INFOEM no te dice nada? ¿No te dice esta no es la información que se te pidió?</w:t>
      </w:r>
    </w:p>
    <w:p>
      <w:pPr>
        <w:pStyle w:val="BodyText"/>
        <w:rPr>
          <w:sz w:val="18"/>
        </w:rPr>
      </w:pPr>
    </w:p>
    <w:p>
      <w:pPr>
        <w:pStyle w:val="BodyText"/>
        <w:rPr>
          <w:sz w:val="18"/>
        </w:rPr>
      </w:pPr>
    </w:p>
    <w:p>
      <w:pPr>
        <w:spacing w:before="113"/>
        <w:ind w:left="454" w:right="0" w:firstLine="0"/>
        <w:jc w:val="both"/>
        <w:rPr>
          <w:sz w:val="18"/>
        </w:rPr>
      </w:pPr>
      <w:r>
        <w:rPr>
          <w:b/>
          <w:sz w:val="18"/>
        </w:rPr>
        <w:t>Bertha Lilia: </w:t>
      </w:r>
      <w:r>
        <w:rPr>
          <w:sz w:val="18"/>
        </w:rPr>
        <w:t>No, solo revisan que haya información y ya.</w:t>
      </w:r>
    </w:p>
    <w:p>
      <w:pPr>
        <w:pStyle w:val="BodyText"/>
        <w:rPr>
          <w:sz w:val="18"/>
        </w:rPr>
      </w:pPr>
    </w:p>
    <w:p>
      <w:pPr>
        <w:pStyle w:val="BodyText"/>
        <w:rPr>
          <w:sz w:val="18"/>
        </w:rPr>
      </w:pPr>
    </w:p>
    <w:p>
      <w:pPr>
        <w:spacing w:line="240" w:lineRule="auto" w:before="116"/>
        <w:ind w:left="454" w:right="403" w:firstLine="0"/>
        <w:jc w:val="both"/>
        <w:rPr>
          <w:sz w:val="18"/>
        </w:rPr>
      </w:pPr>
      <w:r>
        <w:rPr>
          <w:b/>
          <w:sz w:val="18"/>
        </w:rPr>
        <w:t>Gabriel: </w:t>
      </w:r>
      <w:r>
        <w:rPr>
          <w:sz w:val="18"/>
        </w:rPr>
        <w:t>Porque me llama la atención ya que he visto el marco normativo que, se supone, es el actuar del municipio y muchos no tienen el bando municipal y en casi todos no está la ley orgánica de la administración pública municipal que son de las bases y también que pusieran también la cuestión del código administrativo del Estado de México siendo que este es un documento base, sobre</w:t>
      </w:r>
      <w:r>
        <w:rPr>
          <w:spacing w:val="-10"/>
          <w:sz w:val="18"/>
        </w:rPr>
        <w:t> </w:t>
      </w:r>
      <w:r>
        <w:rPr>
          <w:sz w:val="18"/>
        </w:rPr>
        <w:t>todo</w:t>
      </w:r>
      <w:r>
        <w:rPr>
          <w:spacing w:val="-10"/>
          <w:sz w:val="18"/>
        </w:rPr>
        <w:t> </w:t>
      </w:r>
      <w:r>
        <w:rPr>
          <w:sz w:val="18"/>
        </w:rPr>
        <w:t>para</w:t>
      </w:r>
      <w:r>
        <w:rPr>
          <w:spacing w:val="-10"/>
          <w:sz w:val="18"/>
        </w:rPr>
        <w:t> </w:t>
      </w:r>
      <w:r>
        <w:rPr>
          <w:sz w:val="18"/>
        </w:rPr>
        <w:t>su</w:t>
      </w:r>
      <w:r>
        <w:rPr>
          <w:spacing w:val="-10"/>
          <w:sz w:val="18"/>
        </w:rPr>
        <w:t> </w:t>
      </w:r>
      <w:r>
        <w:rPr>
          <w:sz w:val="18"/>
        </w:rPr>
        <w:t>vinculación</w:t>
      </w:r>
      <w:r>
        <w:rPr>
          <w:spacing w:val="-11"/>
          <w:sz w:val="18"/>
        </w:rPr>
        <w:t> </w:t>
      </w:r>
      <w:r>
        <w:rPr>
          <w:sz w:val="18"/>
        </w:rPr>
        <w:t>con</w:t>
      </w:r>
      <w:r>
        <w:rPr>
          <w:spacing w:val="-10"/>
          <w:sz w:val="18"/>
        </w:rPr>
        <w:t> </w:t>
      </w:r>
      <w:r>
        <w:rPr>
          <w:sz w:val="18"/>
        </w:rPr>
        <w:t>los</w:t>
      </w:r>
      <w:r>
        <w:rPr>
          <w:spacing w:val="-9"/>
          <w:sz w:val="18"/>
        </w:rPr>
        <w:t> </w:t>
      </w:r>
      <w:r>
        <w:rPr>
          <w:sz w:val="18"/>
        </w:rPr>
        <w:t>trámites</w:t>
      </w:r>
      <w:r>
        <w:rPr>
          <w:spacing w:val="-9"/>
          <w:sz w:val="18"/>
        </w:rPr>
        <w:t> </w:t>
      </w:r>
      <w:r>
        <w:rPr>
          <w:sz w:val="18"/>
        </w:rPr>
        <w:t>con</w:t>
      </w:r>
      <w:r>
        <w:rPr>
          <w:spacing w:val="-10"/>
          <w:sz w:val="18"/>
        </w:rPr>
        <w:t> </w:t>
      </w:r>
      <w:r>
        <w:rPr>
          <w:sz w:val="18"/>
        </w:rPr>
        <w:t>el</w:t>
      </w:r>
      <w:r>
        <w:rPr>
          <w:spacing w:val="-11"/>
          <w:sz w:val="18"/>
        </w:rPr>
        <w:t> </w:t>
      </w:r>
      <w:r>
        <w:rPr>
          <w:sz w:val="18"/>
        </w:rPr>
        <w:t>gobierno</w:t>
      </w:r>
      <w:r>
        <w:rPr>
          <w:spacing w:val="-10"/>
          <w:sz w:val="18"/>
        </w:rPr>
        <w:t> </w:t>
      </w:r>
      <w:r>
        <w:rPr>
          <w:sz w:val="18"/>
        </w:rPr>
        <w:t>del</w:t>
      </w:r>
      <w:r>
        <w:rPr>
          <w:spacing w:val="-10"/>
          <w:sz w:val="18"/>
        </w:rPr>
        <w:t> </w:t>
      </w:r>
      <w:r>
        <w:rPr>
          <w:sz w:val="18"/>
        </w:rPr>
        <w:t>estado.</w:t>
      </w:r>
      <w:r>
        <w:rPr>
          <w:spacing w:val="-10"/>
          <w:sz w:val="18"/>
        </w:rPr>
        <w:t> </w:t>
      </w:r>
      <w:r>
        <w:rPr>
          <w:sz w:val="18"/>
        </w:rPr>
        <w:t>Estos</w:t>
      </w:r>
      <w:r>
        <w:rPr>
          <w:spacing w:val="-9"/>
          <w:sz w:val="18"/>
        </w:rPr>
        <w:t> </w:t>
      </w:r>
      <w:r>
        <w:rPr>
          <w:sz w:val="18"/>
        </w:rPr>
        <w:t>documentos</w:t>
      </w:r>
      <w:r>
        <w:rPr>
          <w:spacing w:val="-9"/>
          <w:sz w:val="18"/>
        </w:rPr>
        <w:t> </w:t>
      </w:r>
      <w:r>
        <w:rPr>
          <w:sz w:val="18"/>
        </w:rPr>
        <w:t>desde mi punto de vista son tres básicos en cuestión de</w:t>
      </w:r>
      <w:r>
        <w:rPr>
          <w:spacing w:val="-28"/>
          <w:sz w:val="18"/>
        </w:rPr>
        <w:t> </w:t>
      </w:r>
      <w:r>
        <w:rPr>
          <w:sz w:val="18"/>
        </w:rPr>
        <w:t>normatividad.</w:t>
      </w:r>
    </w:p>
    <w:p>
      <w:pPr>
        <w:pStyle w:val="BodyText"/>
        <w:rPr>
          <w:sz w:val="18"/>
        </w:rPr>
      </w:pPr>
    </w:p>
    <w:p>
      <w:pPr>
        <w:pStyle w:val="BodyText"/>
        <w:rPr>
          <w:sz w:val="18"/>
        </w:rPr>
      </w:pPr>
    </w:p>
    <w:p>
      <w:pPr>
        <w:spacing w:before="111"/>
        <w:ind w:left="454" w:right="406" w:firstLine="0"/>
        <w:jc w:val="both"/>
        <w:rPr>
          <w:sz w:val="18"/>
        </w:rPr>
      </w:pPr>
      <w:r>
        <w:rPr>
          <w:b/>
          <w:sz w:val="18"/>
        </w:rPr>
        <w:t>Bertha</w:t>
      </w:r>
      <w:r>
        <w:rPr>
          <w:b/>
          <w:spacing w:val="-8"/>
          <w:sz w:val="18"/>
        </w:rPr>
        <w:t> </w:t>
      </w:r>
      <w:r>
        <w:rPr>
          <w:b/>
          <w:sz w:val="18"/>
        </w:rPr>
        <w:t>Lilia:</w:t>
      </w:r>
      <w:r>
        <w:rPr>
          <w:b/>
          <w:spacing w:val="-11"/>
          <w:sz w:val="18"/>
        </w:rPr>
        <w:t> </w:t>
      </w:r>
      <w:r>
        <w:rPr>
          <w:sz w:val="18"/>
        </w:rPr>
        <w:t>Si,</w:t>
      </w:r>
      <w:r>
        <w:rPr>
          <w:spacing w:val="-9"/>
          <w:sz w:val="18"/>
        </w:rPr>
        <w:t> </w:t>
      </w:r>
      <w:r>
        <w:rPr>
          <w:sz w:val="18"/>
        </w:rPr>
        <w:t>yo</w:t>
      </w:r>
      <w:r>
        <w:rPr>
          <w:spacing w:val="-11"/>
          <w:sz w:val="18"/>
        </w:rPr>
        <w:t> </w:t>
      </w:r>
      <w:r>
        <w:rPr>
          <w:sz w:val="18"/>
        </w:rPr>
        <w:t>creo</w:t>
      </w:r>
      <w:r>
        <w:rPr>
          <w:spacing w:val="-11"/>
          <w:sz w:val="18"/>
        </w:rPr>
        <w:t> </w:t>
      </w:r>
      <w:r>
        <w:rPr>
          <w:sz w:val="18"/>
        </w:rPr>
        <w:t>que</w:t>
      </w:r>
      <w:r>
        <w:rPr>
          <w:spacing w:val="-11"/>
          <w:sz w:val="18"/>
        </w:rPr>
        <w:t> </w:t>
      </w:r>
      <w:r>
        <w:rPr>
          <w:sz w:val="18"/>
        </w:rPr>
        <w:t>subimos</w:t>
      </w:r>
      <w:r>
        <w:rPr>
          <w:spacing w:val="-11"/>
          <w:sz w:val="18"/>
        </w:rPr>
        <w:t> </w:t>
      </w:r>
      <w:r>
        <w:rPr>
          <w:sz w:val="18"/>
        </w:rPr>
        <w:t>información</w:t>
      </w:r>
      <w:r>
        <w:rPr>
          <w:spacing w:val="-11"/>
          <w:sz w:val="18"/>
        </w:rPr>
        <w:t> </w:t>
      </w:r>
      <w:r>
        <w:rPr>
          <w:sz w:val="18"/>
        </w:rPr>
        <w:t>que</w:t>
      </w:r>
      <w:r>
        <w:rPr>
          <w:spacing w:val="-11"/>
          <w:sz w:val="18"/>
        </w:rPr>
        <w:t> </w:t>
      </w:r>
      <w:r>
        <w:rPr>
          <w:sz w:val="18"/>
        </w:rPr>
        <w:t>nos</w:t>
      </w:r>
      <w:r>
        <w:rPr>
          <w:spacing w:val="-8"/>
          <w:sz w:val="18"/>
        </w:rPr>
        <w:t> </w:t>
      </w:r>
      <w:r>
        <w:rPr>
          <w:sz w:val="18"/>
        </w:rPr>
        <w:t>pide</w:t>
      </w:r>
      <w:r>
        <w:rPr>
          <w:spacing w:val="-9"/>
          <w:sz w:val="18"/>
        </w:rPr>
        <w:t> </w:t>
      </w:r>
      <w:r>
        <w:rPr>
          <w:sz w:val="18"/>
        </w:rPr>
        <w:t>el</w:t>
      </w:r>
      <w:r>
        <w:rPr>
          <w:spacing w:val="-9"/>
          <w:sz w:val="18"/>
        </w:rPr>
        <w:t> </w:t>
      </w:r>
      <w:r>
        <w:rPr>
          <w:sz w:val="18"/>
        </w:rPr>
        <w:t>INFOEM</w:t>
      </w:r>
      <w:r>
        <w:rPr>
          <w:spacing w:val="-13"/>
          <w:sz w:val="18"/>
        </w:rPr>
        <w:t> </w:t>
      </w:r>
      <w:r>
        <w:rPr>
          <w:sz w:val="18"/>
        </w:rPr>
        <w:t>sobre</w:t>
      </w:r>
      <w:r>
        <w:rPr>
          <w:spacing w:val="-11"/>
          <w:sz w:val="18"/>
        </w:rPr>
        <w:t> </w:t>
      </w:r>
      <w:r>
        <w:rPr>
          <w:sz w:val="18"/>
        </w:rPr>
        <w:t>normatividad,</w:t>
      </w:r>
      <w:r>
        <w:rPr>
          <w:spacing w:val="-11"/>
          <w:sz w:val="18"/>
        </w:rPr>
        <w:t> </w:t>
      </w:r>
      <w:r>
        <w:rPr>
          <w:sz w:val="18"/>
        </w:rPr>
        <w:t>pero uno sube lo que considera</w:t>
      </w:r>
      <w:r>
        <w:rPr>
          <w:spacing w:val="-14"/>
          <w:sz w:val="18"/>
        </w:rPr>
        <w:t> </w:t>
      </w:r>
      <w:r>
        <w:rPr>
          <w:sz w:val="18"/>
        </w:rPr>
        <w:t>necesario.</w:t>
      </w:r>
    </w:p>
    <w:p>
      <w:pPr>
        <w:pStyle w:val="BodyText"/>
        <w:rPr>
          <w:sz w:val="18"/>
        </w:rPr>
      </w:pPr>
    </w:p>
    <w:p>
      <w:pPr>
        <w:pStyle w:val="BodyText"/>
        <w:rPr>
          <w:sz w:val="18"/>
        </w:rPr>
      </w:pPr>
    </w:p>
    <w:p>
      <w:pPr>
        <w:spacing w:line="240" w:lineRule="auto" w:before="111"/>
        <w:ind w:left="454" w:right="403" w:firstLine="0"/>
        <w:jc w:val="both"/>
        <w:rPr>
          <w:sz w:val="18"/>
        </w:rPr>
      </w:pPr>
      <w:r>
        <w:rPr>
          <w:b/>
          <w:sz w:val="18"/>
        </w:rPr>
        <w:t>Gabriel: </w:t>
      </w:r>
      <w:r>
        <w:rPr>
          <w:sz w:val="18"/>
        </w:rPr>
        <w:t>Y entonces bueno, mi pregunta, mi cuestionamiento es que se tenga notó que una pagina y</w:t>
      </w:r>
      <w:r>
        <w:rPr>
          <w:spacing w:val="-13"/>
          <w:sz w:val="18"/>
        </w:rPr>
        <w:t> </w:t>
      </w:r>
      <w:r>
        <w:rPr>
          <w:sz w:val="18"/>
        </w:rPr>
        <w:t>que</w:t>
      </w:r>
      <w:r>
        <w:rPr>
          <w:spacing w:val="-14"/>
          <w:sz w:val="18"/>
        </w:rPr>
        <w:t> </w:t>
      </w:r>
      <w:r>
        <w:rPr>
          <w:sz w:val="18"/>
        </w:rPr>
        <w:t>se</w:t>
      </w:r>
      <w:r>
        <w:rPr>
          <w:spacing w:val="-13"/>
          <w:sz w:val="18"/>
        </w:rPr>
        <w:t> </w:t>
      </w:r>
      <w:r>
        <w:rPr>
          <w:sz w:val="18"/>
        </w:rPr>
        <w:t>subas</w:t>
      </w:r>
      <w:r>
        <w:rPr>
          <w:spacing w:val="-13"/>
          <w:sz w:val="18"/>
        </w:rPr>
        <w:t> </w:t>
      </w:r>
      <w:r>
        <w:rPr>
          <w:sz w:val="18"/>
        </w:rPr>
        <w:t>información</w:t>
      </w:r>
      <w:r>
        <w:rPr>
          <w:spacing w:val="-13"/>
          <w:sz w:val="18"/>
        </w:rPr>
        <w:t> </w:t>
      </w:r>
      <w:r>
        <w:rPr>
          <w:sz w:val="18"/>
        </w:rPr>
        <w:t>y</w:t>
      </w:r>
      <w:r>
        <w:rPr>
          <w:spacing w:val="-13"/>
          <w:sz w:val="18"/>
        </w:rPr>
        <w:t> </w:t>
      </w:r>
      <w:r>
        <w:rPr>
          <w:sz w:val="18"/>
        </w:rPr>
        <w:t>que</w:t>
      </w:r>
      <w:r>
        <w:rPr>
          <w:spacing w:val="-11"/>
          <w:sz w:val="18"/>
        </w:rPr>
        <w:t> </w:t>
      </w:r>
      <w:r>
        <w:rPr>
          <w:sz w:val="18"/>
        </w:rPr>
        <w:t>diga</w:t>
      </w:r>
      <w:r>
        <w:rPr>
          <w:spacing w:val="-13"/>
          <w:sz w:val="18"/>
        </w:rPr>
        <w:t> </w:t>
      </w:r>
      <w:r>
        <w:rPr>
          <w:sz w:val="18"/>
        </w:rPr>
        <w:t>que</w:t>
      </w:r>
      <w:r>
        <w:rPr>
          <w:spacing w:val="-11"/>
          <w:sz w:val="18"/>
        </w:rPr>
        <w:t> </w:t>
      </w:r>
      <w:r>
        <w:rPr>
          <w:sz w:val="18"/>
        </w:rPr>
        <w:t>es</w:t>
      </w:r>
      <w:r>
        <w:rPr>
          <w:spacing w:val="-13"/>
          <w:sz w:val="18"/>
        </w:rPr>
        <w:t> </w:t>
      </w:r>
      <w:r>
        <w:rPr>
          <w:sz w:val="18"/>
        </w:rPr>
        <w:t>transparente.</w:t>
      </w:r>
      <w:r>
        <w:rPr>
          <w:spacing w:val="-14"/>
          <w:sz w:val="18"/>
        </w:rPr>
        <w:t> </w:t>
      </w:r>
      <w:r>
        <w:rPr>
          <w:sz w:val="18"/>
        </w:rPr>
        <w:t>La</w:t>
      </w:r>
      <w:r>
        <w:rPr>
          <w:spacing w:val="-11"/>
          <w:sz w:val="18"/>
        </w:rPr>
        <w:t> </w:t>
      </w:r>
      <w:r>
        <w:rPr>
          <w:sz w:val="18"/>
        </w:rPr>
        <w:t>otra,</w:t>
      </w:r>
      <w:r>
        <w:rPr>
          <w:spacing w:val="-14"/>
          <w:sz w:val="18"/>
        </w:rPr>
        <w:t> </w:t>
      </w:r>
      <w:r>
        <w:rPr>
          <w:sz w:val="18"/>
        </w:rPr>
        <w:t>muchas</w:t>
      </w:r>
      <w:r>
        <w:rPr>
          <w:spacing w:val="-11"/>
          <w:sz w:val="18"/>
        </w:rPr>
        <w:t> </w:t>
      </w:r>
      <w:r>
        <w:rPr>
          <w:sz w:val="18"/>
        </w:rPr>
        <w:t>veces</w:t>
      </w:r>
      <w:r>
        <w:rPr>
          <w:spacing w:val="-13"/>
          <w:sz w:val="18"/>
        </w:rPr>
        <w:t> </w:t>
      </w:r>
      <w:r>
        <w:rPr>
          <w:sz w:val="18"/>
        </w:rPr>
        <w:t>uno</w:t>
      </w:r>
      <w:r>
        <w:rPr>
          <w:spacing w:val="-13"/>
          <w:sz w:val="18"/>
        </w:rPr>
        <w:t> </w:t>
      </w:r>
      <w:r>
        <w:rPr>
          <w:sz w:val="18"/>
        </w:rPr>
        <w:t>como</w:t>
      </w:r>
      <w:r>
        <w:rPr>
          <w:spacing w:val="-11"/>
          <w:sz w:val="18"/>
        </w:rPr>
        <w:t> </w:t>
      </w:r>
      <w:r>
        <w:rPr>
          <w:sz w:val="18"/>
        </w:rPr>
        <w:t>usuario solicita</w:t>
      </w:r>
      <w:r>
        <w:rPr>
          <w:spacing w:val="-11"/>
          <w:sz w:val="18"/>
        </w:rPr>
        <w:t> </w:t>
      </w:r>
      <w:r>
        <w:rPr>
          <w:sz w:val="18"/>
        </w:rPr>
        <w:t>información</w:t>
      </w:r>
      <w:r>
        <w:rPr>
          <w:spacing w:val="-11"/>
          <w:sz w:val="18"/>
        </w:rPr>
        <w:t> </w:t>
      </w:r>
      <w:r>
        <w:rPr>
          <w:sz w:val="18"/>
        </w:rPr>
        <w:t>y</w:t>
      </w:r>
      <w:r>
        <w:rPr>
          <w:spacing w:val="-13"/>
          <w:sz w:val="18"/>
        </w:rPr>
        <w:t> </w:t>
      </w:r>
      <w:r>
        <w:rPr>
          <w:sz w:val="18"/>
        </w:rPr>
        <w:t>te</w:t>
      </w:r>
      <w:r>
        <w:rPr>
          <w:spacing w:val="-13"/>
          <w:sz w:val="18"/>
        </w:rPr>
        <w:t> </w:t>
      </w:r>
      <w:r>
        <w:rPr>
          <w:sz w:val="18"/>
        </w:rPr>
        <w:t>mandan</w:t>
      </w:r>
      <w:r>
        <w:rPr>
          <w:spacing w:val="-11"/>
          <w:sz w:val="18"/>
        </w:rPr>
        <w:t> </w:t>
      </w:r>
      <w:r>
        <w:rPr>
          <w:sz w:val="18"/>
        </w:rPr>
        <w:t>una</w:t>
      </w:r>
      <w:r>
        <w:rPr>
          <w:spacing w:val="-14"/>
          <w:sz w:val="18"/>
        </w:rPr>
        <w:t> </w:t>
      </w:r>
      <w:r>
        <w:rPr>
          <w:sz w:val="18"/>
        </w:rPr>
        <w:t>información</w:t>
      </w:r>
      <w:r>
        <w:rPr>
          <w:spacing w:val="-13"/>
          <w:sz w:val="18"/>
        </w:rPr>
        <w:t> </w:t>
      </w:r>
      <w:r>
        <w:rPr>
          <w:sz w:val="18"/>
        </w:rPr>
        <w:t>que</w:t>
      </w:r>
      <w:r>
        <w:rPr>
          <w:spacing w:val="-14"/>
          <w:sz w:val="18"/>
        </w:rPr>
        <w:t> </w:t>
      </w:r>
      <w:r>
        <w:rPr>
          <w:sz w:val="18"/>
        </w:rPr>
        <w:t>no</w:t>
      </w:r>
      <w:r>
        <w:rPr>
          <w:spacing w:val="-11"/>
          <w:sz w:val="18"/>
        </w:rPr>
        <w:t> </w:t>
      </w:r>
      <w:r>
        <w:rPr>
          <w:sz w:val="18"/>
        </w:rPr>
        <w:t>es</w:t>
      </w:r>
      <w:r>
        <w:rPr>
          <w:spacing w:val="-11"/>
          <w:sz w:val="18"/>
        </w:rPr>
        <w:t> </w:t>
      </w:r>
      <w:r>
        <w:rPr>
          <w:sz w:val="18"/>
        </w:rPr>
        <w:t>lo</w:t>
      </w:r>
      <w:r>
        <w:rPr>
          <w:spacing w:val="-14"/>
          <w:sz w:val="18"/>
        </w:rPr>
        <w:t> </w:t>
      </w:r>
      <w:r>
        <w:rPr>
          <w:sz w:val="18"/>
        </w:rPr>
        <w:t>que</w:t>
      </w:r>
      <w:r>
        <w:rPr>
          <w:spacing w:val="-11"/>
          <w:sz w:val="18"/>
        </w:rPr>
        <w:t> </w:t>
      </w:r>
      <w:r>
        <w:rPr>
          <w:sz w:val="18"/>
        </w:rPr>
        <w:t>tu</w:t>
      </w:r>
      <w:r>
        <w:rPr>
          <w:spacing w:val="-13"/>
          <w:sz w:val="18"/>
        </w:rPr>
        <w:t> </w:t>
      </w:r>
      <w:r>
        <w:rPr>
          <w:sz w:val="18"/>
        </w:rPr>
        <w:t>pediste</w:t>
      </w:r>
      <w:r>
        <w:rPr>
          <w:spacing w:val="-13"/>
          <w:sz w:val="18"/>
        </w:rPr>
        <w:t> </w:t>
      </w:r>
      <w:r>
        <w:rPr>
          <w:sz w:val="18"/>
        </w:rPr>
        <w:t>y</w:t>
      </w:r>
      <w:r>
        <w:rPr>
          <w:spacing w:val="-13"/>
          <w:sz w:val="18"/>
        </w:rPr>
        <w:t> </w:t>
      </w:r>
      <w:r>
        <w:rPr>
          <w:sz w:val="18"/>
        </w:rPr>
        <w:t>te</w:t>
      </w:r>
      <w:r>
        <w:rPr>
          <w:spacing w:val="-11"/>
          <w:sz w:val="18"/>
        </w:rPr>
        <w:t> </w:t>
      </w:r>
      <w:r>
        <w:rPr>
          <w:sz w:val="18"/>
        </w:rPr>
        <w:t>ponen</w:t>
      </w:r>
      <w:r>
        <w:rPr>
          <w:spacing w:val="-11"/>
          <w:sz w:val="18"/>
        </w:rPr>
        <w:t> </w:t>
      </w:r>
      <w:r>
        <w:rPr>
          <w:sz w:val="18"/>
        </w:rPr>
        <w:t>el</w:t>
      </w:r>
      <w:r>
        <w:rPr>
          <w:spacing w:val="-11"/>
          <w:sz w:val="18"/>
        </w:rPr>
        <w:t> </w:t>
      </w:r>
      <w:r>
        <w:rPr>
          <w:sz w:val="18"/>
        </w:rPr>
        <w:t>argumento de que de acuerdo con el artículo tal de la ley no estoy facultado para procesar la información entonces ¿dónde está la transparencia? entonces ¿ya no somos</w:t>
      </w:r>
      <w:r>
        <w:rPr>
          <w:spacing w:val="-27"/>
          <w:sz w:val="18"/>
        </w:rPr>
        <w:t> </w:t>
      </w:r>
      <w:r>
        <w:rPr>
          <w:sz w:val="18"/>
        </w:rPr>
        <w:t>transparentes?</w:t>
      </w:r>
    </w:p>
    <w:p>
      <w:pPr>
        <w:spacing w:after="0" w:line="240" w:lineRule="auto"/>
        <w:jc w:val="both"/>
        <w:rPr>
          <w:sz w:val="18"/>
        </w:rPr>
        <w:sectPr>
          <w:pgSz w:w="12240" w:h="15840"/>
          <w:pgMar w:header="0" w:footer="975" w:top="1360" w:bottom="1220" w:left="1720" w:right="1720"/>
        </w:sectPr>
      </w:pPr>
    </w:p>
    <w:p>
      <w:pPr>
        <w:pStyle w:val="BodyText"/>
        <w:spacing w:before="5"/>
        <w:rPr>
          <w:sz w:val="17"/>
        </w:rPr>
      </w:pPr>
    </w:p>
    <w:p>
      <w:pPr>
        <w:spacing w:line="242" w:lineRule="auto" w:before="77"/>
        <w:ind w:left="674" w:right="548" w:firstLine="0"/>
        <w:jc w:val="both"/>
        <w:rPr>
          <w:sz w:val="18"/>
        </w:rPr>
      </w:pPr>
      <w:r>
        <w:rPr>
          <w:b/>
          <w:sz w:val="18"/>
        </w:rPr>
        <w:t>Bertha</w:t>
      </w:r>
      <w:r>
        <w:rPr>
          <w:b/>
          <w:spacing w:val="-7"/>
          <w:sz w:val="18"/>
        </w:rPr>
        <w:t> </w:t>
      </w:r>
      <w:r>
        <w:rPr>
          <w:b/>
          <w:sz w:val="18"/>
        </w:rPr>
        <w:t>Lilia</w:t>
      </w:r>
      <w:r>
        <w:rPr>
          <w:sz w:val="18"/>
        </w:rPr>
        <w:t>:</w:t>
      </w:r>
      <w:r>
        <w:rPr>
          <w:spacing w:val="-9"/>
          <w:sz w:val="18"/>
        </w:rPr>
        <w:t> </w:t>
      </w:r>
      <w:r>
        <w:rPr>
          <w:sz w:val="18"/>
        </w:rPr>
        <w:t>Si,</w:t>
      </w:r>
      <w:r>
        <w:rPr>
          <w:spacing w:val="-9"/>
          <w:sz w:val="18"/>
        </w:rPr>
        <w:t> </w:t>
      </w:r>
      <w:r>
        <w:rPr>
          <w:sz w:val="18"/>
        </w:rPr>
        <w:t>mira,</w:t>
      </w:r>
      <w:r>
        <w:rPr>
          <w:spacing w:val="-9"/>
          <w:sz w:val="18"/>
        </w:rPr>
        <w:t> </w:t>
      </w:r>
      <w:r>
        <w:rPr>
          <w:sz w:val="18"/>
        </w:rPr>
        <w:t>propón</w:t>
      </w:r>
      <w:r>
        <w:rPr>
          <w:spacing w:val="-9"/>
          <w:sz w:val="18"/>
        </w:rPr>
        <w:t> </w:t>
      </w:r>
      <w:r>
        <w:rPr>
          <w:sz w:val="18"/>
        </w:rPr>
        <w:t>también</w:t>
      </w:r>
      <w:r>
        <w:rPr>
          <w:spacing w:val="-9"/>
          <w:sz w:val="18"/>
        </w:rPr>
        <w:t> </w:t>
      </w:r>
      <w:r>
        <w:rPr>
          <w:sz w:val="18"/>
        </w:rPr>
        <w:t>que</w:t>
      </w:r>
      <w:r>
        <w:rPr>
          <w:spacing w:val="-9"/>
          <w:sz w:val="18"/>
        </w:rPr>
        <w:t> </w:t>
      </w:r>
      <w:r>
        <w:rPr>
          <w:sz w:val="18"/>
        </w:rPr>
        <w:t>se</w:t>
      </w:r>
      <w:r>
        <w:rPr>
          <w:spacing w:val="-9"/>
          <w:sz w:val="18"/>
        </w:rPr>
        <w:t> </w:t>
      </w:r>
      <w:r>
        <w:rPr>
          <w:sz w:val="18"/>
        </w:rPr>
        <w:t>necesita</w:t>
      </w:r>
      <w:r>
        <w:rPr>
          <w:spacing w:val="-8"/>
          <w:sz w:val="18"/>
        </w:rPr>
        <w:t> </w:t>
      </w:r>
      <w:r>
        <w:rPr>
          <w:sz w:val="18"/>
        </w:rPr>
        <w:t>elementos</w:t>
      </w:r>
      <w:r>
        <w:rPr>
          <w:spacing w:val="-8"/>
          <w:sz w:val="18"/>
        </w:rPr>
        <w:t> </w:t>
      </w:r>
      <w:r>
        <w:rPr>
          <w:sz w:val="18"/>
        </w:rPr>
        <w:t>conjuntos</w:t>
      </w:r>
      <w:r>
        <w:rPr>
          <w:spacing w:val="-7"/>
          <w:sz w:val="18"/>
        </w:rPr>
        <w:t> </w:t>
      </w:r>
      <w:r>
        <w:rPr>
          <w:sz w:val="18"/>
        </w:rPr>
        <w:t>y</w:t>
      </w:r>
      <w:r>
        <w:rPr>
          <w:spacing w:val="-11"/>
          <w:sz w:val="18"/>
        </w:rPr>
        <w:t> </w:t>
      </w:r>
      <w:r>
        <w:rPr>
          <w:sz w:val="18"/>
        </w:rPr>
        <w:t>que</w:t>
      </w:r>
      <w:r>
        <w:rPr>
          <w:spacing w:val="-9"/>
          <w:sz w:val="18"/>
        </w:rPr>
        <w:t> </w:t>
      </w:r>
      <w:r>
        <w:rPr>
          <w:sz w:val="18"/>
        </w:rPr>
        <w:t>se</w:t>
      </w:r>
      <w:r>
        <w:rPr>
          <w:spacing w:val="-7"/>
          <w:sz w:val="18"/>
        </w:rPr>
        <w:t> </w:t>
      </w:r>
      <w:r>
        <w:rPr>
          <w:sz w:val="18"/>
        </w:rPr>
        <w:t>debe</w:t>
      </w:r>
      <w:r>
        <w:rPr>
          <w:spacing w:val="-9"/>
          <w:sz w:val="18"/>
        </w:rPr>
        <w:t> </w:t>
      </w:r>
      <w:r>
        <w:rPr>
          <w:sz w:val="18"/>
        </w:rPr>
        <w:t>conceder un</w:t>
      </w:r>
      <w:r>
        <w:rPr>
          <w:spacing w:val="-10"/>
          <w:sz w:val="18"/>
        </w:rPr>
        <w:t> </w:t>
      </w:r>
      <w:r>
        <w:rPr>
          <w:sz w:val="18"/>
        </w:rPr>
        <w:t>arrendamiento</w:t>
      </w:r>
      <w:r>
        <w:rPr>
          <w:spacing w:val="-9"/>
          <w:sz w:val="18"/>
        </w:rPr>
        <w:t> </w:t>
      </w:r>
      <w:r>
        <w:rPr>
          <w:sz w:val="18"/>
        </w:rPr>
        <w:t>porque</w:t>
      </w:r>
      <w:r>
        <w:rPr>
          <w:spacing w:val="-11"/>
          <w:sz w:val="18"/>
        </w:rPr>
        <w:t> </w:t>
      </w:r>
      <w:r>
        <w:rPr>
          <w:sz w:val="18"/>
        </w:rPr>
        <w:t>un</w:t>
      </w:r>
      <w:r>
        <w:rPr>
          <w:spacing w:val="-10"/>
          <w:sz w:val="18"/>
        </w:rPr>
        <w:t> </w:t>
      </w:r>
      <w:r>
        <w:rPr>
          <w:sz w:val="18"/>
        </w:rPr>
        <w:t>documento</w:t>
      </w:r>
      <w:r>
        <w:rPr>
          <w:spacing w:val="-10"/>
          <w:sz w:val="18"/>
        </w:rPr>
        <w:t> </w:t>
      </w:r>
      <w:r>
        <w:rPr>
          <w:sz w:val="18"/>
        </w:rPr>
        <w:t>impreso</w:t>
      </w:r>
      <w:r>
        <w:rPr>
          <w:spacing w:val="-10"/>
          <w:sz w:val="18"/>
        </w:rPr>
        <w:t> </w:t>
      </w:r>
      <w:r>
        <w:rPr>
          <w:sz w:val="18"/>
        </w:rPr>
        <w:t>para</w:t>
      </w:r>
      <w:r>
        <w:rPr>
          <w:spacing w:val="-10"/>
          <w:sz w:val="18"/>
        </w:rPr>
        <w:t> </w:t>
      </w:r>
      <w:r>
        <w:rPr>
          <w:sz w:val="18"/>
        </w:rPr>
        <w:t>difundir</w:t>
      </w:r>
      <w:r>
        <w:rPr>
          <w:spacing w:val="-10"/>
          <w:sz w:val="18"/>
        </w:rPr>
        <w:t> </w:t>
      </w:r>
      <w:r>
        <w:rPr>
          <w:sz w:val="18"/>
        </w:rPr>
        <w:t>o</w:t>
      </w:r>
      <w:r>
        <w:rPr>
          <w:spacing w:val="-10"/>
          <w:sz w:val="18"/>
        </w:rPr>
        <w:t> </w:t>
      </w:r>
      <w:r>
        <w:rPr>
          <w:sz w:val="18"/>
        </w:rPr>
        <w:t>un</w:t>
      </w:r>
      <w:r>
        <w:rPr>
          <w:spacing w:val="-10"/>
          <w:sz w:val="18"/>
        </w:rPr>
        <w:t> </w:t>
      </w:r>
      <w:r>
        <w:rPr>
          <w:sz w:val="18"/>
        </w:rPr>
        <w:t>medio</w:t>
      </w:r>
      <w:r>
        <w:rPr>
          <w:spacing w:val="-11"/>
          <w:sz w:val="18"/>
        </w:rPr>
        <w:t> </w:t>
      </w:r>
      <w:r>
        <w:rPr>
          <w:sz w:val="18"/>
        </w:rPr>
        <w:t>de</w:t>
      </w:r>
      <w:r>
        <w:rPr>
          <w:spacing w:val="-10"/>
          <w:sz w:val="18"/>
        </w:rPr>
        <w:t> </w:t>
      </w:r>
      <w:r>
        <w:rPr>
          <w:sz w:val="18"/>
        </w:rPr>
        <w:t>difusión,</w:t>
      </w:r>
      <w:r>
        <w:rPr>
          <w:spacing w:val="-10"/>
          <w:sz w:val="18"/>
        </w:rPr>
        <w:t> </w:t>
      </w:r>
      <w:r>
        <w:rPr>
          <w:sz w:val="18"/>
        </w:rPr>
        <w:t>no</w:t>
      </w:r>
      <w:r>
        <w:rPr>
          <w:spacing w:val="-11"/>
          <w:sz w:val="18"/>
        </w:rPr>
        <w:t> </w:t>
      </w:r>
      <w:r>
        <w:rPr>
          <w:sz w:val="18"/>
        </w:rPr>
        <w:t>se</w:t>
      </w:r>
      <w:r>
        <w:rPr>
          <w:spacing w:val="-11"/>
          <w:sz w:val="18"/>
        </w:rPr>
        <w:t> </w:t>
      </w:r>
      <w:r>
        <w:rPr>
          <w:sz w:val="18"/>
        </w:rPr>
        <w:t>que</w:t>
      </w:r>
      <w:r>
        <w:rPr>
          <w:spacing w:val="-10"/>
          <w:sz w:val="18"/>
        </w:rPr>
        <w:t> </w:t>
      </w:r>
      <w:r>
        <w:rPr>
          <w:sz w:val="18"/>
        </w:rPr>
        <w:t>sea diferente al internet no respondes</w:t>
      </w:r>
      <w:r>
        <w:rPr>
          <w:spacing w:val="-16"/>
          <w:sz w:val="18"/>
        </w:rPr>
        <w:t> </w:t>
      </w:r>
      <w:r>
        <w:rPr>
          <w:sz w:val="18"/>
        </w:rPr>
        <w:t>nada.</w:t>
      </w:r>
    </w:p>
    <w:p>
      <w:pPr>
        <w:pStyle w:val="BodyText"/>
        <w:rPr>
          <w:sz w:val="18"/>
        </w:rPr>
      </w:pPr>
    </w:p>
    <w:p>
      <w:pPr>
        <w:pStyle w:val="BodyText"/>
        <w:rPr>
          <w:sz w:val="18"/>
        </w:rPr>
      </w:pPr>
    </w:p>
    <w:p>
      <w:pPr>
        <w:spacing w:before="109"/>
        <w:ind w:left="674" w:right="551" w:firstLine="0"/>
        <w:jc w:val="both"/>
        <w:rPr>
          <w:sz w:val="18"/>
        </w:rPr>
      </w:pPr>
      <w:r>
        <w:rPr>
          <w:b/>
          <w:sz w:val="18"/>
        </w:rPr>
        <w:t>Gabriel: </w:t>
      </w:r>
      <w:r>
        <w:rPr>
          <w:sz w:val="18"/>
        </w:rPr>
        <w:t>Ok, en esa parte de la solicitud de información, en promedio, ¿cómo cuantas solicitudes reciben al mes?</w:t>
      </w:r>
    </w:p>
    <w:p>
      <w:pPr>
        <w:pStyle w:val="BodyText"/>
        <w:rPr>
          <w:sz w:val="18"/>
        </w:rPr>
      </w:pPr>
    </w:p>
    <w:p>
      <w:pPr>
        <w:pStyle w:val="BodyText"/>
        <w:rPr>
          <w:sz w:val="18"/>
        </w:rPr>
      </w:pPr>
    </w:p>
    <w:p>
      <w:pPr>
        <w:spacing w:line="240" w:lineRule="auto" w:before="111"/>
        <w:ind w:left="674" w:right="542" w:firstLine="0"/>
        <w:jc w:val="both"/>
        <w:rPr>
          <w:sz w:val="18"/>
        </w:rPr>
      </w:pPr>
      <w:r>
        <w:rPr>
          <w:b/>
          <w:sz w:val="18"/>
        </w:rPr>
        <w:t>Bertha</w:t>
      </w:r>
      <w:r>
        <w:rPr>
          <w:b/>
          <w:spacing w:val="-7"/>
          <w:sz w:val="18"/>
        </w:rPr>
        <w:t> </w:t>
      </w:r>
      <w:r>
        <w:rPr>
          <w:b/>
          <w:sz w:val="18"/>
        </w:rPr>
        <w:t>Lilia:</w:t>
      </w:r>
      <w:r>
        <w:rPr>
          <w:b/>
          <w:spacing w:val="-10"/>
          <w:sz w:val="18"/>
        </w:rPr>
        <w:t> </w:t>
      </w:r>
      <w:r>
        <w:rPr>
          <w:sz w:val="18"/>
        </w:rPr>
        <w:t>este,</w:t>
      </w:r>
      <w:r>
        <w:rPr>
          <w:spacing w:val="-8"/>
          <w:sz w:val="18"/>
        </w:rPr>
        <w:t> </w:t>
      </w:r>
      <w:r>
        <w:rPr>
          <w:sz w:val="18"/>
        </w:rPr>
        <w:t>híjole,</w:t>
      </w:r>
      <w:r>
        <w:rPr>
          <w:spacing w:val="-10"/>
          <w:sz w:val="18"/>
        </w:rPr>
        <w:t> </w:t>
      </w:r>
      <w:r>
        <w:rPr>
          <w:sz w:val="18"/>
        </w:rPr>
        <w:t>ahorita</w:t>
      </w:r>
      <w:r>
        <w:rPr>
          <w:spacing w:val="-7"/>
          <w:sz w:val="18"/>
        </w:rPr>
        <w:t> </w:t>
      </w:r>
      <w:r>
        <w:rPr>
          <w:sz w:val="18"/>
        </w:rPr>
        <w:t>que</w:t>
      </w:r>
      <w:r>
        <w:rPr>
          <w:spacing w:val="-7"/>
          <w:sz w:val="18"/>
        </w:rPr>
        <w:t> </w:t>
      </w:r>
      <w:r>
        <w:rPr>
          <w:sz w:val="18"/>
        </w:rPr>
        <w:t>estamos</w:t>
      </w:r>
      <w:r>
        <w:rPr>
          <w:spacing w:val="-7"/>
          <w:sz w:val="18"/>
        </w:rPr>
        <w:t> </w:t>
      </w:r>
      <w:r>
        <w:rPr>
          <w:sz w:val="18"/>
        </w:rPr>
        <w:t>iniciando,</w:t>
      </w:r>
      <w:r>
        <w:rPr>
          <w:spacing w:val="-6"/>
          <w:sz w:val="18"/>
        </w:rPr>
        <w:t> </w:t>
      </w:r>
      <w:r>
        <w:rPr>
          <w:sz w:val="18"/>
        </w:rPr>
        <w:t>el</w:t>
      </w:r>
      <w:r>
        <w:rPr>
          <w:spacing w:val="-10"/>
          <w:sz w:val="18"/>
        </w:rPr>
        <w:t> </w:t>
      </w:r>
      <w:r>
        <w:rPr>
          <w:sz w:val="18"/>
        </w:rPr>
        <w:t>año</w:t>
      </w:r>
      <w:r>
        <w:rPr>
          <w:spacing w:val="-7"/>
          <w:sz w:val="18"/>
        </w:rPr>
        <w:t> </w:t>
      </w:r>
      <w:r>
        <w:rPr>
          <w:sz w:val="18"/>
        </w:rPr>
        <w:t>pasado</w:t>
      </w:r>
      <w:r>
        <w:rPr>
          <w:spacing w:val="-7"/>
          <w:sz w:val="18"/>
        </w:rPr>
        <w:t> </w:t>
      </w:r>
      <w:r>
        <w:rPr>
          <w:sz w:val="18"/>
        </w:rPr>
        <w:t>atendimos</w:t>
      </w:r>
      <w:r>
        <w:rPr>
          <w:spacing w:val="-9"/>
          <w:sz w:val="18"/>
        </w:rPr>
        <w:t> </w:t>
      </w:r>
      <w:r>
        <w:rPr>
          <w:sz w:val="18"/>
        </w:rPr>
        <w:t>unas</w:t>
      </w:r>
      <w:r>
        <w:rPr>
          <w:spacing w:val="-9"/>
          <w:sz w:val="18"/>
        </w:rPr>
        <w:t> </w:t>
      </w:r>
      <w:r>
        <w:rPr>
          <w:sz w:val="18"/>
        </w:rPr>
        <w:t>cuatro,</w:t>
      </w:r>
      <w:r>
        <w:rPr>
          <w:spacing w:val="-8"/>
          <w:sz w:val="18"/>
        </w:rPr>
        <w:t> </w:t>
      </w:r>
      <w:r>
        <w:rPr>
          <w:sz w:val="18"/>
        </w:rPr>
        <w:t>pero ahora que estamos iniciando yo creo que unas 2, ha bajado. Ahora en los procesos electorales a lo mejor aumenta esta cifra, eso refleja que la comunidad que no le interesa lo que estamos haciendo o</w:t>
      </w:r>
      <w:r>
        <w:rPr>
          <w:spacing w:val="-7"/>
          <w:sz w:val="18"/>
        </w:rPr>
        <w:t> </w:t>
      </w:r>
      <w:r>
        <w:rPr>
          <w:sz w:val="18"/>
        </w:rPr>
        <w:t>como</w:t>
      </w:r>
      <w:r>
        <w:rPr>
          <w:spacing w:val="-9"/>
          <w:sz w:val="18"/>
        </w:rPr>
        <w:t> </w:t>
      </w:r>
      <w:r>
        <w:rPr>
          <w:sz w:val="18"/>
        </w:rPr>
        <w:t>lo</w:t>
      </w:r>
      <w:r>
        <w:rPr>
          <w:spacing w:val="-9"/>
          <w:sz w:val="18"/>
        </w:rPr>
        <w:t> </w:t>
      </w:r>
      <w:r>
        <w:rPr>
          <w:sz w:val="18"/>
        </w:rPr>
        <w:t>que</w:t>
      </w:r>
      <w:r>
        <w:rPr>
          <w:spacing w:val="-7"/>
          <w:sz w:val="18"/>
        </w:rPr>
        <w:t> </w:t>
      </w:r>
      <w:r>
        <w:rPr>
          <w:sz w:val="18"/>
        </w:rPr>
        <w:t>te</w:t>
      </w:r>
      <w:r>
        <w:rPr>
          <w:spacing w:val="-7"/>
          <w:sz w:val="18"/>
        </w:rPr>
        <w:t> </w:t>
      </w:r>
      <w:r>
        <w:rPr>
          <w:sz w:val="18"/>
        </w:rPr>
        <w:t>comentaba</w:t>
      </w:r>
      <w:r>
        <w:rPr>
          <w:spacing w:val="-7"/>
          <w:sz w:val="18"/>
        </w:rPr>
        <w:t> </w:t>
      </w:r>
      <w:r>
        <w:rPr>
          <w:sz w:val="18"/>
        </w:rPr>
        <w:t>tratar</w:t>
      </w:r>
      <w:r>
        <w:rPr>
          <w:spacing w:val="-8"/>
          <w:sz w:val="18"/>
        </w:rPr>
        <w:t> </w:t>
      </w:r>
      <w:r>
        <w:rPr>
          <w:sz w:val="18"/>
        </w:rPr>
        <w:t>de</w:t>
      </w:r>
      <w:r>
        <w:rPr>
          <w:spacing w:val="-7"/>
          <w:sz w:val="18"/>
        </w:rPr>
        <w:t> </w:t>
      </w:r>
      <w:r>
        <w:rPr>
          <w:sz w:val="18"/>
        </w:rPr>
        <w:t>hacer</w:t>
      </w:r>
      <w:r>
        <w:rPr>
          <w:spacing w:val="-8"/>
          <w:sz w:val="18"/>
        </w:rPr>
        <w:t> </w:t>
      </w:r>
      <w:r>
        <w:rPr>
          <w:sz w:val="18"/>
        </w:rPr>
        <w:t>un</w:t>
      </w:r>
      <w:r>
        <w:rPr>
          <w:spacing w:val="-7"/>
          <w:sz w:val="18"/>
        </w:rPr>
        <w:t> </w:t>
      </w:r>
      <w:r>
        <w:rPr>
          <w:sz w:val="18"/>
        </w:rPr>
        <w:t>acercamiento</w:t>
      </w:r>
      <w:r>
        <w:rPr>
          <w:spacing w:val="-9"/>
          <w:sz w:val="18"/>
        </w:rPr>
        <w:t> </w:t>
      </w:r>
      <w:r>
        <w:rPr>
          <w:sz w:val="18"/>
        </w:rPr>
        <w:t>para</w:t>
      </w:r>
      <w:r>
        <w:rPr>
          <w:spacing w:val="-9"/>
          <w:sz w:val="18"/>
        </w:rPr>
        <w:t> </w:t>
      </w:r>
      <w:r>
        <w:rPr>
          <w:sz w:val="18"/>
        </w:rPr>
        <w:t>comentarles</w:t>
      </w:r>
      <w:r>
        <w:rPr>
          <w:spacing w:val="-8"/>
          <w:sz w:val="18"/>
        </w:rPr>
        <w:t> </w:t>
      </w:r>
      <w:r>
        <w:rPr>
          <w:sz w:val="18"/>
        </w:rPr>
        <w:t>de</w:t>
      </w:r>
      <w:r>
        <w:rPr>
          <w:spacing w:val="-9"/>
          <w:sz w:val="18"/>
        </w:rPr>
        <w:t> </w:t>
      </w:r>
      <w:r>
        <w:rPr>
          <w:sz w:val="18"/>
        </w:rPr>
        <w:t>que</w:t>
      </w:r>
      <w:r>
        <w:rPr>
          <w:spacing w:val="-9"/>
          <w:sz w:val="18"/>
        </w:rPr>
        <w:t> </w:t>
      </w:r>
      <w:r>
        <w:rPr>
          <w:sz w:val="18"/>
        </w:rPr>
        <w:t>pueden</w:t>
      </w:r>
      <w:r>
        <w:rPr>
          <w:spacing w:val="-7"/>
          <w:sz w:val="18"/>
        </w:rPr>
        <w:t> </w:t>
      </w:r>
      <w:r>
        <w:rPr>
          <w:sz w:val="18"/>
        </w:rPr>
        <w:t>tener ese</w:t>
      </w:r>
      <w:r>
        <w:rPr>
          <w:spacing w:val="-5"/>
          <w:sz w:val="18"/>
        </w:rPr>
        <w:t> </w:t>
      </w:r>
      <w:r>
        <w:rPr>
          <w:sz w:val="18"/>
        </w:rPr>
        <w:t>acercamiento.</w:t>
      </w:r>
      <w:r>
        <w:rPr>
          <w:spacing w:val="-3"/>
          <w:sz w:val="18"/>
        </w:rPr>
        <w:t> </w:t>
      </w:r>
      <w:r>
        <w:rPr>
          <w:sz w:val="18"/>
        </w:rPr>
        <w:t>Bueno</w:t>
      </w:r>
      <w:r>
        <w:rPr>
          <w:spacing w:val="-5"/>
          <w:sz w:val="18"/>
        </w:rPr>
        <w:t> </w:t>
      </w:r>
      <w:r>
        <w:rPr>
          <w:sz w:val="18"/>
        </w:rPr>
        <w:t>en</w:t>
      </w:r>
      <w:r>
        <w:rPr>
          <w:spacing w:val="-5"/>
          <w:sz w:val="18"/>
        </w:rPr>
        <w:t> </w:t>
      </w:r>
      <w:r>
        <w:rPr>
          <w:sz w:val="18"/>
        </w:rPr>
        <w:t>ese</w:t>
      </w:r>
      <w:r>
        <w:rPr>
          <w:spacing w:val="-3"/>
          <w:sz w:val="18"/>
        </w:rPr>
        <w:t> </w:t>
      </w:r>
      <w:r>
        <w:rPr>
          <w:sz w:val="18"/>
        </w:rPr>
        <w:t>aspecto,</w:t>
      </w:r>
      <w:r>
        <w:rPr>
          <w:spacing w:val="-5"/>
          <w:sz w:val="18"/>
        </w:rPr>
        <w:t> </w:t>
      </w:r>
      <w:r>
        <w:rPr>
          <w:sz w:val="18"/>
        </w:rPr>
        <w:t>los</w:t>
      </w:r>
      <w:r>
        <w:rPr>
          <w:spacing w:val="-2"/>
          <w:sz w:val="18"/>
        </w:rPr>
        <w:t> </w:t>
      </w:r>
      <w:r>
        <w:rPr>
          <w:sz w:val="18"/>
        </w:rPr>
        <w:t>que</w:t>
      </w:r>
      <w:r>
        <w:rPr>
          <w:spacing w:val="-3"/>
          <w:sz w:val="18"/>
        </w:rPr>
        <w:t> </w:t>
      </w:r>
      <w:r>
        <w:rPr>
          <w:sz w:val="18"/>
        </w:rPr>
        <w:t>envían</w:t>
      </w:r>
      <w:r>
        <w:rPr>
          <w:spacing w:val="-3"/>
          <w:sz w:val="18"/>
        </w:rPr>
        <w:t> </w:t>
      </w:r>
      <w:r>
        <w:rPr>
          <w:sz w:val="18"/>
        </w:rPr>
        <w:t>solicitudes</w:t>
      </w:r>
      <w:r>
        <w:rPr>
          <w:spacing w:val="-2"/>
          <w:sz w:val="18"/>
        </w:rPr>
        <w:t> </w:t>
      </w:r>
      <w:r>
        <w:rPr>
          <w:sz w:val="18"/>
        </w:rPr>
        <w:t>a</w:t>
      </w:r>
      <w:r>
        <w:rPr>
          <w:spacing w:val="-5"/>
          <w:sz w:val="18"/>
        </w:rPr>
        <w:t> </w:t>
      </w:r>
      <w:r>
        <w:rPr>
          <w:sz w:val="18"/>
        </w:rPr>
        <w:t>esta</w:t>
      </w:r>
      <w:r>
        <w:rPr>
          <w:spacing w:val="-3"/>
          <w:sz w:val="18"/>
        </w:rPr>
        <w:t> </w:t>
      </w:r>
      <w:r>
        <w:rPr>
          <w:sz w:val="18"/>
        </w:rPr>
        <w:t>unidad</w:t>
      </w:r>
      <w:r>
        <w:rPr>
          <w:spacing w:val="-5"/>
          <w:sz w:val="18"/>
        </w:rPr>
        <w:t> </w:t>
      </w:r>
      <w:r>
        <w:rPr>
          <w:sz w:val="18"/>
        </w:rPr>
        <w:t>de</w:t>
      </w:r>
      <w:r>
        <w:rPr>
          <w:spacing w:val="-5"/>
          <w:sz w:val="18"/>
        </w:rPr>
        <w:t> </w:t>
      </w:r>
      <w:r>
        <w:rPr>
          <w:sz w:val="18"/>
        </w:rPr>
        <w:t>información.</w:t>
      </w:r>
    </w:p>
    <w:p>
      <w:pPr>
        <w:pStyle w:val="BodyText"/>
        <w:rPr>
          <w:sz w:val="18"/>
        </w:rPr>
      </w:pPr>
    </w:p>
    <w:p>
      <w:pPr>
        <w:pStyle w:val="BodyText"/>
        <w:rPr>
          <w:sz w:val="18"/>
        </w:rPr>
      </w:pPr>
    </w:p>
    <w:p>
      <w:pPr>
        <w:spacing w:line="244" w:lineRule="auto" w:before="109"/>
        <w:ind w:left="674" w:right="551" w:firstLine="0"/>
        <w:jc w:val="both"/>
        <w:rPr>
          <w:sz w:val="18"/>
        </w:rPr>
      </w:pPr>
      <w:r>
        <w:rPr>
          <w:b/>
          <w:sz w:val="18"/>
        </w:rPr>
        <w:t>Gabriel:</w:t>
      </w:r>
      <w:r>
        <w:rPr>
          <w:b/>
          <w:spacing w:val="-10"/>
          <w:sz w:val="18"/>
        </w:rPr>
        <w:t> </w:t>
      </w:r>
      <w:r>
        <w:rPr>
          <w:sz w:val="18"/>
        </w:rPr>
        <w:t>Correcto,</w:t>
      </w:r>
      <w:r>
        <w:rPr>
          <w:spacing w:val="-8"/>
          <w:sz w:val="18"/>
        </w:rPr>
        <w:t> </w:t>
      </w:r>
      <w:r>
        <w:rPr>
          <w:sz w:val="18"/>
        </w:rPr>
        <w:t>Ahora</w:t>
      </w:r>
      <w:r>
        <w:rPr>
          <w:spacing w:val="-8"/>
          <w:sz w:val="18"/>
        </w:rPr>
        <w:t> </w:t>
      </w:r>
      <w:r>
        <w:rPr>
          <w:sz w:val="18"/>
        </w:rPr>
        <w:t>¿De</w:t>
      </w:r>
      <w:r>
        <w:rPr>
          <w:spacing w:val="-10"/>
          <w:sz w:val="18"/>
        </w:rPr>
        <w:t> </w:t>
      </w:r>
      <w:r>
        <w:rPr>
          <w:sz w:val="18"/>
        </w:rPr>
        <w:t>estas</w:t>
      </w:r>
      <w:r>
        <w:rPr>
          <w:spacing w:val="-7"/>
          <w:sz w:val="18"/>
        </w:rPr>
        <w:t> </w:t>
      </w:r>
      <w:r>
        <w:rPr>
          <w:sz w:val="18"/>
        </w:rPr>
        <w:t>que</w:t>
      </w:r>
      <w:r>
        <w:rPr>
          <w:spacing w:val="-8"/>
          <w:sz w:val="18"/>
        </w:rPr>
        <w:t> </w:t>
      </w:r>
      <w:r>
        <w:rPr>
          <w:sz w:val="18"/>
        </w:rPr>
        <w:t>llegan</w:t>
      </w:r>
      <w:r>
        <w:rPr>
          <w:spacing w:val="-8"/>
          <w:sz w:val="18"/>
        </w:rPr>
        <w:t> </w:t>
      </w:r>
      <w:r>
        <w:rPr>
          <w:sz w:val="18"/>
        </w:rPr>
        <w:t>cuantas</w:t>
      </w:r>
      <w:r>
        <w:rPr>
          <w:spacing w:val="-7"/>
          <w:sz w:val="18"/>
        </w:rPr>
        <w:t> </w:t>
      </w:r>
      <w:r>
        <w:rPr>
          <w:sz w:val="18"/>
        </w:rPr>
        <w:t>se</w:t>
      </w:r>
      <w:r>
        <w:rPr>
          <w:spacing w:val="-8"/>
          <w:sz w:val="18"/>
        </w:rPr>
        <w:t> </w:t>
      </w:r>
      <w:r>
        <w:rPr>
          <w:sz w:val="18"/>
        </w:rPr>
        <w:t>cumplen</w:t>
      </w:r>
      <w:r>
        <w:rPr>
          <w:spacing w:val="-8"/>
          <w:sz w:val="18"/>
        </w:rPr>
        <w:t> </w:t>
      </w:r>
      <w:r>
        <w:rPr>
          <w:sz w:val="18"/>
        </w:rPr>
        <w:t>a</w:t>
      </w:r>
      <w:r>
        <w:rPr>
          <w:spacing w:val="-8"/>
          <w:sz w:val="18"/>
        </w:rPr>
        <w:t> </w:t>
      </w:r>
      <w:r>
        <w:rPr>
          <w:sz w:val="18"/>
        </w:rPr>
        <w:t>tiempo</w:t>
      </w:r>
      <w:r>
        <w:rPr>
          <w:spacing w:val="-8"/>
          <w:sz w:val="18"/>
        </w:rPr>
        <w:t> </w:t>
      </w:r>
      <w:r>
        <w:rPr>
          <w:sz w:val="18"/>
        </w:rPr>
        <w:t>y</w:t>
      </w:r>
      <w:r>
        <w:rPr>
          <w:spacing w:val="-10"/>
          <w:sz w:val="18"/>
        </w:rPr>
        <w:t> </w:t>
      </w:r>
      <w:r>
        <w:rPr>
          <w:sz w:val="18"/>
        </w:rPr>
        <w:t>cuantas</w:t>
      </w:r>
      <w:r>
        <w:rPr>
          <w:spacing w:val="-7"/>
          <w:sz w:val="18"/>
        </w:rPr>
        <w:t> </w:t>
      </w:r>
      <w:r>
        <w:rPr>
          <w:sz w:val="18"/>
        </w:rPr>
        <w:t>de</w:t>
      </w:r>
      <w:r>
        <w:rPr>
          <w:spacing w:val="-8"/>
          <w:sz w:val="18"/>
        </w:rPr>
        <w:t> </w:t>
      </w:r>
      <w:r>
        <w:rPr>
          <w:sz w:val="18"/>
        </w:rPr>
        <w:t>estas</w:t>
      </w:r>
      <w:r>
        <w:rPr>
          <w:spacing w:val="-10"/>
          <w:sz w:val="18"/>
        </w:rPr>
        <w:t> </w:t>
      </w:r>
      <w:r>
        <w:rPr>
          <w:sz w:val="18"/>
        </w:rPr>
        <w:t>son satisfactorias para los</w:t>
      </w:r>
      <w:r>
        <w:rPr>
          <w:spacing w:val="-10"/>
          <w:sz w:val="18"/>
        </w:rPr>
        <w:t> </w:t>
      </w:r>
      <w:r>
        <w:rPr>
          <w:sz w:val="18"/>
        </w:rPr>
        <w:t>solicitantes?</w:t>
      </w:r>
    </w:p>
    <w:p>
      <w:pPr>
        <w:pStyle w:val="BodyText"/>
        <w:rPr>
          <w:sz w:val="18"/>
        </w:rPr>
      </w:pPr>
    </w:p>
    <w:p>
      <w:pPr>
        <w:pStyle w:val="BodyText"/>
        <w:rPr>
          <w:sz w:val="18"/>
        </w:rPr>
      </w:pPr>
    </w:p>
    <w:p>
      <w:pPr>
        <w:spacing w:before="107"/>
        <w:ind w:left="674" w:right="555" w:firstLine="0"/>
        <w:jc w:val="both"/>
        <w:rPr>
          <w:sz w:val="18"/>
        </w:rPr>
      </w:pPr>
      <w:r>
        <w:rPr>
          <w:b/>
          <w:sz w:val="18"/>
        </w:rPr>
        <w:t>Bertha Lilia: </w:t>
      </w:r>
      <w:r>
        <w:rPr>
          <w:sz w:val="18"/>
        </w:rPr>
        <w:t>eh, el 90% afortunadamente se hace la entrega de información y ya no nos comenta nada el ciudadano ya que está satisfecho con lo que le mandamos.</w:t>
      </w:r>
    </w:p>
    <w:p>
      <w:pPr>
        <w:pStyle w:val="BodyText"/>
        <w:rPr>
          <w:sz w:val="18"/>
        </w:rPr>
      </w:pPr>
    </w:p>
    <w:p>
      <w:pPr>
        <w:pStyle w:val="BodyText"/>
        <w:rPr>
          <w:sz w:val="18"/>
        </w:rPr>
      </w:pPr>
    </w:p>
    <w:p>
      <w:pPr>
        <w:spacing w:before="111"/>
        <w:ind w:left="674" w:right="543" w:firstLine="0"/>
        <w:jc w:val="both"/>
        <w:rPr>
          <w:sz w:val="18"/>
        </w:rPr>
      </w:pPr>
      <w:r>
        <w:rPr>
          <w:b/>
          <w:sz w:val="18"/>
        </w:rPr>
        <w:t>Gabriel: </w:t>
      </w:r>
      <w:r>
        <w:rPr>
          <w:sz w:val="18"/>
        </w:rPr>
        <w:t>Bueno licenciada, no me resta más que agradecer su disponibilidad para esta entrevista que sin duda, aportará cosas muy interesantes a mi investigación. Muchas gracias.</w:t>
      </w:r>
    </w:p>
    <w:p>
      <w:pPr>
        <w:pStyle w:val="BodyText"/>
        <w:rPr>
          <w:sz w:val="18"/>
        </w:rPr>
      </w:pPr>
    </w:p>
    <w:p>
      <w:pPr>
        <w:pStyle w:val="BodyText"/>
        <w:rPr>
          <w:sz w:val="18"/>
        </w:rPr>
      </w:pPr>
    </w:p>
    <w:p>
      <w:pPr>
        <w:spacing w:before="108"/>
        <w:ind w:left="674" w:right="0" w:firstLine="0"/>
        <w:jc w:val="both"/>
        <w:rPr>
          <w:sz w:val="18"/>
        </w:rPr>
      </w:pPr>
      <w:r>
        <w:rPr>
          <w:b/>
          <w:sz w:val="18"/>
        </w:rPr>
        <w:t>Bertha Lilia: </w:t>
      </w:r>
      <w:r>
        <w:rPr>
          <w:sz w:val="18"/>
        </w:rPr>
        <w:t>De nada, lo que se te ofrezca.</w:t>
      </w:r>
    </w:p>
    <w:p>
      <w:pPr>
        <w:pStyle w:val="BodyText"/>
        <w:rPr>
          <w:sz w:val="18"/>
        </w:rPr>
      </w:pPr>
    </w:p>
    <w:p>
      <w:pPr>
        <w:pStyle w:val="BodyText"/>
        <w:rPr>
          <w:sz w:val="18"/>
        </w:rPr>
      </w:pPr>
    </w:p>
    <w:p>
      <w:pPr>
        <w:pStyle w:val="BodyText"/>
        <w:spacing w:before="3"/>
        <w:rPr>
          <w:sz w:val="16"/>
        </w:rPr>
      </w:pPr>
    </w:p>
    <w:p>
      <w:pPr>
        <w:pStyle w:val="Heading1"/>
        <w:ind w:left="108" w:firstLine="0"/>
      </w:pPr>
      <w:r>
        <w:rPr/>
        <w:t>Interpretación de la entrevista</w:t>
      </w:r>
    </w:p>
    <w:p>
      <w:pPr>
        <w:pStyle w:val="BodyText"/>
        <w:spacing w:before="10"/>
        <w:rPr>
          <w:b/>
          <w:sz w:val="25"/>
        </w:rPr>
      </w:pPr>
    </w:p>
    <w:p>
      <w:pPr>
        <w:pStyle w:val="BodyText"/>
        <w:spacing w:line="360" w:lineRule="auto"/>
        <w:ind w:left="108" w:right="123"/>
        <w:jc w:val="both"/>
      </w:pPr>
      <w:r>
        <w:rPr/>
        <w:t>La entrevista es una estrategia de recolección de información relevante para esta investigación que como parte del proceso comunicativo permite la valoración de elementos subjetivos a través de las expresiones no verbales que refleja el entrevistado y que no se ven reflejados en las encuestas que se aplicaron. Esa comunicación no verbal, refleja una realidad alterna que muchas veces no coincide con la realidad que se plantea verbalmente.</w:t>
      </w:r>
    </w:p>
    <w:p>
      <w:pPr>
        <w:pStyle w:val="BodyText"/>
      </w:pPr>
    </w:p>
    <w:p>
      <w:pPr>
        <w:pStyle w:val="BodyText"/>
      </w:pPr>
    </w:p>
    <w:p>
      <w:pPr>
        <w:pStyle w:val="BodyText"/>
        <w:spacing w:line="360" w:lineRule="auto" w:before="186"/>
        <w:ind w:left="108" w:right="117"/>
        <w:jc w:val="both"/>
      </w:pPr>
      <w:r>
        <w:rPr/>
        <w:t>El</w:t>
      </w:r>
      <w:r>
        <w:rPr>
          <w:spacing w:val="-11"/>
        </w:rPr>
        <w:t> </w:t>
      </w:r>
      <w:r>
        <w:rPr/>
        <w:t>diseño</w:t>
      </w:r>
      <w:r>
        <w:rPr>
          <w:spacing w:val="-12"/>
        </w:rPr>
        <w:t> </w:t>
      </w:r>
      <w:r>
        <w:rPr/>
        <w:t>del</w:t>
      </w:r>
      <w:r>
        <w:rPr>
          <w:spacing w:val="-11"/>
        </w:rPr>
        <w:t> </w:t>
      </w:r>
      <w:r>
        <w:rPr/>
        <w:t>guion</w:t>
      </w:r>
      <w:r>
        <w:rPr>
          <w:spacing w:val="-9"/>
        </w:rPr>
        <w:t> </w:t>
      </w:r>
      <w:r>
        <w:rPr/>
        <w:t>de</w:t>
      </w:r>
      <w:r>
        <w:rPr>
          <w:spacing w:val="-12"/>
        </w:rPr>
        <w:t> </w:t>
      </w:r>
      <w:r>
        <w:rPr/>
        <w:t>entrevista</w:t>
      </w:r>
      <w:r>
        <w:rPr>
          <w:spacing w:val="-9"/>
        </w:rPr>
        <w:t> </w:t>
      </w:r>
      <w:r>
        <w:rPr/>
        <w:t>siguió</w:t>
      </w:r>
      <w:r>
        <w:rPr>
          <w:spacing w:val="-10"/>
        </w:rPr>
        <w:t> </w:t>
      </w:r>
      <w:r>
        <w:rPr/>
        <w:t>el</w:t>
      </w:r>
      <w:r>
        <w:rPr>
          <w:spacing w:val="-13"/>
        </w:rPr>
        <w:t> </w:t>
      </w:r>
      <w:r>
        <w:rPr/>
        <w:t>mismo</w:t>
      </w:r>
      <w:r>
        <w:rPr>
          <w:spacing w:val="-12"/>
        </w:rPr>
        <w:t> </w:t>
      </w:r>
      <w:r>
        <w:rPr/>
        <w:t>procedimiento</w:t>
      </w:r>
      <w:r>
        <w:rPr>
          <w:spacing w:val="-11"/>
        </w:rPr>
        <w:t> </w:t>
      </w:r>
      <w:r>
        <w:rPr/>
        <w:t>de</w:t>
      </w:r>
      <w:r>
        <w:rPr>
          <w:spacing w:val="-9"/>
        </w:rPr>
        <w:t> </w:t>
      </w:r>
      <w:r>
        <w:rPr/>
        <w:t>la</w:t>
      </w:r>
      <w:r>
        <w:rPr>
          <w:spacing w:val="-9"/>
        </w:rPr>
        <w:t> </w:t>
      </w:r>
      <w:r>
        <w:rPr/>
        <w:t>encuesta.</w:t>
      </w:r>
      <w:r>
        <w:rPr>
          <w:spacing w:val="-12"/>
        </w:rPr>
        <w:t> </w:t>
      </w:r>
      <w:r>
        <w:rPr/>
        <w:t>Para procesar la información se utilizó el programa Atlas TI 7, que permitió agrupar la información en diversas categorías relacionadas con la práctica de la</w:t>
      </w:r>
      <w:r>
        <w:rPr>
          <w:spacing w:val="-35"/>
        </w:rPr>
        <w:t> </w:t>
      </w:r>
      <w:r>
        <w:rPr/>
        <w:t>transparencia. Las cuales se describen a</w:t>
      </w:r>
      <w:r>
        <w:rPr>
          <w:spacing w:val="-14"/>
        </w:rPr>
        <w:t> </w:t>
      </w:r>
      <w:r>
        <w:rPr/>
        <w:t>continuación:</w:t>
      </w:r>
    </w:p>
    <w:p>
      <w:pPr>
        <w:spacing w:after="0" w:line="360" w:lineRule="auto"/>
        <w:jc w:val="both"/>
        <w:sectPr>
          <w:pgSz w:w="12240" w:h="15840"/>
          <w:pgMar w:header="0" w:footer="975" w:top="1500" w:bottom="1220" w:left="1500" w:right="1580"/>
        </w:sectPr>
      </w:pPr>
    </w:p>
    <w:p>
      <w:pPr>
        <w:pStyle w:val="BodyText"/>
        <w:ind w:left="203"/>
        <w:rPr>
          <w:sz w:val="20"/>
        </w:rPr>
      </w:pPr>
      <w:r>
        <w:rPr>
          <w:sz w:val="20"/>
        </w:rPr>
        <w:drawing>
          <wp:inline distT="0" distB="0" distL="0" distR="0">
            <wp:extent cx="5270030" cy="8286750"/>
            <wp:effectExtent l="0" t="0" r="0" b="0"/>
            <wp:docPr id="37" name="image82.jpeg" descr=""/>
            <wp:cNvGraphicFramePr>
              <a:graphicFrameLocks noChangeAspect="1"/>
            </wp:cNvGraphicFramePr>
            <a:graphic>
              <a:graphicData uri="http://schemas.openxmlformats.org/drawingml/2006/picture">
                <pic:pic>
                  <pic:nvPicPr>
                    <pic:cNvPr id="38" name="image82.jpeg"/>
                    <pic:cNvPicPr/>
                  </pic:nvPicPr>
                  <pic:blipFill>
                    <a:blip r:embed="rId191" cstate="print"/>
                    <a:stretch>
                      <a:fillRect/>
                    </a:stretch>
                  </pic:blipFill>
                  <pic:spPr>
                    <a:xfrm>
                      <a:off x="0" y="0"/>
                      <a:ext cx="5270030" cy="8286750"/>
                    </a:xfrm>
                    <a:prstGeom prst="rect">
                      <a:avLst/>
                    </a:prstGeom>
                  </pic:spPr>
                </pic:pic>
              </a:graphicData>
            </a:graphic>
          </wp:inline>
        </w:drawing>
      </w:r>
      <w:r>
        <w:rPr>
          <w:sz w:val="20"/>
        </w:rPr>
      </w:r>
    </w:p>
    <w:p>
      <w:pPr>
        <w:spacing w:after="0"/>
        <w:rPr>
          <w:sz w:val="20"/>
        </w:rPr>
        <w:sectPr>
          <w:pgSz w:w="12240" w:h="15840"/>
          <w:pgMar w:header="0" w:footer="975" w:top="1420" w:bottom="1160" w:left="1720" w:right="1720"/>
        </w:sectPr>
      </w:pPr>
    </w:p>
    <w:p>
      <w:pPr>
        <w:pStyle w:val="Heading1"/>
        <w:numPr>
          <w:ilvl w:val="1"/>
          <w:numId w:val="71"/>
        </w:numPr>
        <w:tabs>
          <w:tab w:pos="817" w:val="left" w:leader="none"/>
        </w:tabs>
        <w:spacing w:line="240" w:lineRule="auto" w:before="54" w:after="0"/>
        <w:ind w:left="816" w:right="0" w:hanging="312"/>
        <w:jc w:val="left"/>
      </w:pPr>
      <w:r>
        <w:rPr/>
        <w:t>Identificación del marco normativo de la</w:t>
      </w:r>
      <w:r>
        <w:rPr>
          <w:spacing w:val="-19"/>
        </w:rPr>
        <w:t> </w:t>
      </w:r>
      <w:r>
        <w:rPr/>
        <w:t>Transparencia</w:t>
      </w:r>
    </w:p>
    <w:p>
      <w:pPr>
        <w:pStyle w:val="BodyText"/>
        <w:rPr>
          <w:b/>
        </w:rPr>
      </w:pPr>
    </w:p>
    <w:p>
      <w:pPr>
        <w:pStyle w:val="BodyText"/>
        <w:rPr>
          <w:b/>
        </w:rPr>
      </w:pPr>
    </w:p>
    <w:p>
      <w:pPr>
        <w:pStyle w:val="BodyText"/>
        <w:spacing w:line="360" w:lineRule="auto" w:before="161"/>
        <w:ind w:left="108" w:right="98"/>
        <w:jc w:val="both"/>
      </w:pPr>
      <w:r>
        <w:rPr/>
        <w:t>La entrevistada referenció que el marco normativo que rige su actividad laboral se basa fundamentalmente en tres documentos: La Ley Federal de Transparencia y Acceso</w:t>
      </w:r>
      <w:r>
        <w:rPr>
          <w:spacing w:val="-8"/>
        </w:rPr>
        <w:t> </w:t>
      </w:r>
      <w:r>
        <w:rPr/>
        <w:t>a</w:t>
      </w:r>
      <w:r>
        <w:rPr>
          <w:spacing w:val="-6"/>
        </w:rPr>
        <w:t> </w:t>
      </w:r>
      <w:r>
        <w:rPr/>
        <w:t>la</w:t>
      </w:r>
      <w:r>
        <w:rPr>
          <w:spacing w:val="-9"/>
        </w:rPr>
        <w:t> </w:t>
      </w:r>
      <w:r>
        <w:rPr/>
        <w:t>Información</w:t>
      </w:r>
      <w:r>
        <w:rPr>
          <w:spacing w:val="-6"/>
        </w:rPr>
        <w:t> </w:t>
      </w:r>
      <w:r>
        <w:rPr/>
        <w:t>Pública,</w:t>
      </w:r>
      <w:r>
        <w:rPr>
          <w:spacing w:val="-9"/>
        </w:rPr>
        <w:t> </w:t>
      </w:r>
      <w:r>
        <w:rPr/>
        <w:t>La</w:t>
      </w:r>
      <w:r>
        <w:rPr>
          <w:spacing w:val="-8"/>
        </w:rPr>
        <w:t> </w:t>
      </w:r>
      <w:r>
        <w:rPr/>
        <w:t>Ley</w:t>
      </w:r>
      <w:r>
        <w:rPr>
          <w:spacing w:val="-9"/>
        </w:rPr>
        <w:t> </w:t>
      </w:r>
      <w:r>
        <w:rPr/>
        <w:t>de</w:t>
      </w:r>
      <w:r>
        <w:rPr>
          <w:spacing w:val="-8"/>
        </w:rPr>
        <w:t> </w:t>
      </w:r>
      <w:r>
        <w:rPr/>
        <w:t>Transparencia</w:t>
      </w:r>
      <w:r>
        <w:rPr>
          <w:spacing w:val="-9"/>
        </w:rPr>
        <w:t> </w:t>
      </w:r>
      <w:r>
        <w:rPr/>
        <w:t>del</w:t>
      </w:r>
      <w:r>
        <w:rPr>
          <w:spacing w:val="-10"/>
        </w:rPr>
        <w:t> </w:t>
      </w:r>
      <w:r>
        <w:rPr/>
        <w:t>Estado</w:t>
      </w:r>
      <w:r>
        <w:rPr>
          <w:spacing w:val="-6"/>
        </w:rPr>
        <w:t> </w:t>
      </w:r>
      <w:r>
        <w:rPr/>
        <w:t>de</w:t>
      </w:r>
      <w:r>
        <w:rPr>
          <w:spacing w:val="-6"/>
        </w:rPr>
        <w:t> </w:t>
      </w:r>
      <w:r>
        <w:rPr/>
        <w:t>México</w:t>
      </w:r>
      <w:r>
        <w:rPr>
          <w:spacing w:val="-6"/>
        </w:rPr>
        <w:t> </w:t>
      </w:r>
      <w:r>
        <w:rPr/>
        <w:t>y</w:t>
      </w:r>
      <w:r>
        <w:rPr>
          <w:spacing w:val="-9"/>
        </w:rPr>
        <w:t> </w:t>
      </w:r>
      <w:r>
        <w:rPr/>
        <w:t>la Ley de Protección de Datos</w:t>
      </w:r>
      <w:r>
        <w:rPr>
          <w:spacing w:val="-14"/>
        </w:rPr>
        <w:t> </w:t>
      </w:r>
      <w:r>
        <w:rPr/>
        <w:t>Personales.</w:t>
      </w:r>
    </w:p>
    <w:p>
      <w:pPr>
        <w:pStyle w:val="BodyText"/>
      </w:pPr>
    </w:p>
    <w:p>
      <w:pPr>
        <w:pStyle w:val="BodyText"/>
      </w:pPr>
    </w:p>
    <w:p>
      <w:pPr>
        <w:pStyle w:val="BodyText"/>
        <w:spacing w:line="360" w:lineRule="auto" w:before="185"/>
        <w:ind w:left="108" w:right="100"/>
        <w:jc w:val="both"/>
      </w:pPr>
      <w:r>
        <w:rPr/>
        <w:t>En esta situación cabe hacer la precisión que no mencionó la Constitución Política de los Estados Unidos Mexicanos, la Constitución Política del Estado Libre y Soberano de México, ni la Ley de Responsabilidades de los Servidores Públicos</w:t>
      </w:r>
      <w:r>
        <w:rPr>
          <w:spacing w:val="-40"/>
        </w:rPr>
        <w:t> </w:t>
      </w:r>
      <w:r>
        <w:rPr/>
        <w:t>del Estado de México y Municipios. Pero el fundamento base de la trasparencia si lo conocía.</w:t>
      </w:r>
    </w:p>
    <w:p>
      <w:pPr>
        <w:pStyle w:val="BodyText"/>
      </w:pPr>
    </w:p>
    <w:p>
      <w:pPr>
        <w:pStyle w:val="BodyText"/>
      </w:pPr>
    </w:p>
    <w:p>
      <w:pPr>
        <w:pStyle w:val="BodyText"/>
        <w:spacing w:before="185"/>
        <w:ind w:left="108"/>
        <w:jc w:val="both"/>
      </w:pPr>
      <w:r>
        <w:rPr/>
        <w:t>También señaló que</w:t>
      </w:r>
    </w:p>
    <w:p>
      <w:pPr>
        <w:pStyle w:val="BodyText"/>
      </w:pPr>
    </w:p>
    <w:p>
      <w:pPr>
        <w:pStyle w:val="BodyText"/>
      </w:pPr>
    </w:p>
    <w:p>
      <w:pPr>
        <w:pStyle w:val="BodyText"/>
        <w:spacing w:before="9"/>
        <w:rPr>
          <w:sz w:val="27"/>
        </w:rPr>
      </w:pPr>
    </w:p>
    <w:p>
      <w:pPr>
        <w:pStyle w:val="BodyText"/>
        <w:spacing w:line="360" w:lineRule="auto"/>
        <w:ind w:left="1241" w:right="1095" w:firstLine="67"/>
        <w:jc w:val="both"/>
      </w:pPr>
      <w:r>
        <w:rPr/>
        <w:t>“No, la verdad es que, si es algo contradictorio porque por una parte damos información y por otra parte se supone que hay información que debemos de proteger”.</w:t>
      </w:r>
    </w:p>
    <w:p>
      <w:pPr>
        <w:pStyle w:val="BodyText"/>
      </w:pPr>
    </w:p>
    <w:p>
      <w:pPr>
        <w:pStyle w:val="BodyText"/>
      </w:pPr>
    </w:p>
    <w:p>
      <w:pPr>
        <w:pStyle w:val="BodyText"/>
        <w:spacing w:before="187"/>
        <w:ind w:left="108"/>
        <w:jc w:val="both"/>
      </w:pPr>
      <w:r>
        <w:rPr/>
        <w:t>Asimismo, señaló que la transparencia no solo es cuestión de leyes</w:t>
      </w:r>
    </w:p>
    <w:p>
      <w:pPr>
        <w:pStyle w:val="BodyText"/>
      </w:pPr>
    </w:p>
    <w:p>
      <w:pPr>
        <w:pStyle w:val="BodyText"/>
      </w:pPr>
    </w:p>
    <w:p>
      <w:pPr>
        <w:pStyle w:val="BodyText"/>
        <w:spacing w:before="8"/>
        <w:rPr>
          <w:sz w:val="27"/>
        </w:rPr>
      </w:pPr>
    </w:p>
    <w:p>
      <w:pPr>
        <w:pStyle w:val="BodyText"/>
        <w:spacing w:line="360" w:lineRule="auto"/>
        <w:ind w:left="1241" w:right="1097"/>
        <w:jc w:val="both"/>
      </w:pPr>
      <w:r>
        <w:rPr/>
        <w:t>“más que una actualización de la norma nos hace falta infraestructura, personal y equipo adecuado”</w:t>
      </w:r>
    </w:p>
    <w:p>
      <w:pPr>
        <w:pStyle w:val="BodyText"/>
      </w:pPr>
    </w:p>
    <w:p>
      <w:pPr>
        <w:pStyle w:val="BodyText"/>
      </w:pPr>
    </w:p>
    <w:p>
      <w:pPr>
        <w:pStyle w:val="BodyText"/>
        <w:spacing w:line="360" w:lineRule="auto" w:before="187"/>
        <w:ind w:left="108" w:right="106"/>
        <w:jc w:val="both"/>
      </w:pPr>
      <w:r>
        <w:rPr/>
        <w:t>Destacó que dentro del marco normativo de la transparencia hay sanciones para quienes incumplen la ley</w:t>
      </w:r>
    </w:p>
    <w:p>
      <w:pPr>
        <w:spacing w:after="0" w:line="360" w:lineRule="auto"/>
        <w:jc w:val="both"/>
        <w:sectPr>
          <w:pgSz w:w="12240" w:h="15840"/>
          <w:pgMar w:header="0" w:footer="975" w:top="1360" w:bottom="1160" w:left="1500" w:right="1600"/>
        </w:sectPr>
      </w:pPr>
    </w:p>
    <w:p>
      <w:pPr>
        <w:pStyle w:val="BodyText"/>
        <w:rPr>
          <w:sz w:val="20"/>
        </w:rPr>
      </w:pPr>
    </w:p>
    <w:p>
      <w:pPr>
        <w:pStyle w:val="BodyText"/>
        <w:spacing w:before="7"/>
        <w:rPr>
          <w:sz w:val="16"/>
        </w:rPr>
      </w:pPr>
    </w:p>
    <w:p>
      <w:pPr>
        <w:pStyle w:val="BodyText"/>
        <w:spacing w:line="360" w:lineRule="auto" w:before="69"/>
        <w:ind w:left="1241" w:right="1044"/>
      </w:pPr>
      <w:r>
        <w:rPr/>
        <w:t>"las sanciones para quienes incumplen la ley son: multa económica y en el caso extremo la destitución del funcionario"</w:t>
      </w:r>
    </w:p>
    <w:p>
      <w:pPr>
        <w:pStyle w:val="BodyText"/>
      </w:pPr>
    </w:p>
    <w:p>
      <w:pPr>
        <w:pStyle w:val="BodyText"/>
      </w:pPr>
    </w:p>
    <w:p>
      <w:pPr>
        <w:pStyle w:val="BodyText"/>
        <w:spacing w:line="360" w:lineRule="auto" w:before="185"/>
        <w:ind w:left="108" w:right="117"/>
        <w:jc w:val="both"/>
      </w:pPr>
      <w:r>
        <w:rPr/>
        <w:t>Esta</w:t>
      </w:r>
      <w:r>
        <w:rPr>
          <w:spacing w:val="-17"/>
        </w:rPr>
        <w:t> </w:t>
      </w:r>
      <w:r>
        <w:rPr/>
        <w:t>afirmación</w:t>
      </w:r>
      <w:r>
        <w:rPr>
          <w:spacing w:val="-17"/>
        </w:rPr>
        <w:t> </w:t>
      </w:r>
      <w:r>
        <w:rPr/>
        <w:t>permite</w:t>
      </w:r>
      <w:r>
        <w:rPr>
          <w:spacing w:val="-16"/>
        </w:rPr>
        <w:t> </w:t>
      </w:r>
      <w:r>
        <w:rPr/>
        <w:t>ver</w:t>
      </w:r>
      <w:r>
        <w:rPr>
          <w:spacing w:val="-17"/>
        </w:rPr>
        <w:t> </w:t>
      </w:r>
      <w:r>
        <w:rPr/>
        <w:t>como</w:t>
      </w:r>
      <w:r>
        <w:rPr>
          <w:spacing w:val="-18"/>
        </w:rPr>
        <w:t> </w:t>
      </w:r>
      <w:r>
        <w:rPr/>
        <w:t>dentro</w:t>
      </w:r>
      <w:r>
        <w:rPr>
          <w:spacing w:val="-20"/>
        </w:rPr>
        <w:t> </w:t>
      </w:r>
      <w:r>
        <w:rPr/>
        <w:t>de</w:t>
      </w:r>
      <w:r>
        <w:rPr>
          <w:spacing w:val="-18"/>
        </w:rPr>
        <w:t> </w:t>
      </w:r>
      <w:r>
        <w:rPr/>
        <w:t>la</w:t>
      </w:r>
      <w:r>
        <w:rPr>
          <w:spacing w:val="-18"/>
        </w:rPr>
        <w:t> </w:t>
      </w:r>
      <w:r>
        <w:rPr/>
        <w:t>ley</w:t>
      </w:r>
      <w:r>
        <w:rPr>
          <w:spacing w:val="-18"/>
        </w:rPr>
        <w:t> </w:t>
      </w:r>
      <w:r>
        <w:rPr/>
        <w:t>se</w:t>
      </w:r>
      <w:r>
        <w:rPr>
          <w:spacing w:val="-18"/>
        </w:rPr>
        <w:t> </w:t>
      </w:r>
      <w:r>
        <w:rPr/>
        <w:t>da</w:t>
      </w:r>
      <w:r>
        <w:rPr>
          <w:spacing w:val="-18"/>
        </w:rPr>
        <w:t> </w:t>
      </w:r>
      <w:r>
        <w:rPr/>
        <w:t>el</w:t>
      </w:r>
      <w:r>
        <w:rPr>
          <w:spacing w:val="-19"/>
        </w:rPr>
        <w:t> </w:t>
      </w:r>
      <w:r>
        <w:rPr/>
        <w:t>espacio</w:t>
      </w:r>
      <w:r>
        <w:rPr>
          <w:spacing w:val="-18"/>
        </w:rPr>
        <w:t> </w:t>
      </w:r>
      <w:r>
        <w:rPr/>
        <w:t>para</w:t>
      </w:r>
      <w:r>
        <w:rPr>
          <w:spacing w:val="-16"/>
        </w:rPr>
        <w:t> </w:t>
      </w:r>
      <w:r>
        <w:rPr/>
        <w:t>cierto</w:t>
      </w:r>
      <w:r>
        <w:rPr>
          <w:spacing w:val="-20"/>
        </w:rPr>
        <w:t> </w:t>
      </w:r>
      <w:r>
        <w:rPr/>
        <w:t>margen de</w:t>
      </w:r>
      <w:r>
        <w:rPr>
          <w:spacing w:val="-7"/>
        </w:rPr>
        <w:t> </w:t>
      </w:r>
      <w:r>
        <w:rPr/>
        <w:t>corrupción</w:t>
      </w:r>
      <w:r>
        <w:rPr>
          <w:spacing w:val="-9"/>
        </w:rPr>
        <w:t> </w:t>
      </w:r>
      <w:r>
        <w:rPr/>
        <w:t>e</w:t>
      </w:r>
      <w:r>
        <w:rPr>
          <w:spacing w:val="-9"/>
        </w:rPr>
        <w:t> </w:t>
      </w:r>
      <w:r>
        <w:rPr/>
        <w:t>impunidad,</w:t>
      </w:r>
      <w:r>
        <w:rPr>
          <w:spacing w:val="-10"/>
        </w:rPr>
        <w:t> </w:t>
      </w:r>
      <w:r>
        <w:rPr/>
        <w:t>a</w:t>
      </w:r>
      <w:r>
        <w:rPr>
          <w:spacing w:val="-9"/>
        </w:rPr>
        <w:t> </w:t>
      </w:r>
      <w:r>
        <w:rPr/>
        <w:t>través</w:t>
      </w:r>
      <w:r>
        <w:rPr>
          <w:spacing w:val="-10"/>
        </w:rPr>
        <w:t> </w:t>
      </w:r>
      <w:r>
        <w:rPr/>
        <w:t>del</w:t>
      </w:r>
      <w:r>
        <w:rPr>
          <w:spacing w:val="-8"/>
        </w:rPr>
        <w:t> </w:t>
      </w:r>
      <w:r>
        <w:rPr/>
        <w:t>incumplimiento</w:t>
      </w:r>
      <w:r>
        <w:rPr>
          <w:spacing w:val="-9"/>
        </w:rPr>
        <w:t> </w:t>
      </w:r>
      <w:r>
        <w:rPr/>
        <w:t>de</w:t>
      </w:r>
      <w:r>
        <w:rPr>
          <w:spacing w:val="-7"/>
        </w:rPr>
        <w:t> </w:t>
      </w:r>
      <w:r>
        <w:rPr/>
        <w:t>la</w:t>
      </w:r>
      <w:r>
        <w:rPr>
          <w:spacing w:val="-2"/>
        </w:rPr>
        <w:t> </w:t>
      </w:r>
      <w:r>
        <w:rPr/>
        <w:t>ley.</w:t>
      </w:r>
      <w:r>
        <w:rPr>
          <w:spacing w:val="-7"/>
        </w:rPr>
        <w:t> </w:t>
      </w:r>
      <w:r>
        <w:rPr/>
        <w:t>Información</w:t>
      </w:r>
      <w:r>
        <w:rPr>
          <w:spacing w:val="-7"/>
        </w:rPr>
        <w:t> </w:t>
      </w:r>
      <w:r>
        <w:rPr/>
        <w:t>que</w:t>
      </w:r>
      <w:r>
        <w:rPr>
          <w:spacing w:val="-9"/>
        </w:rPr>
        <w:t> </w:t>
      </w:r>
      <w:r>
        <w:rPr/>
        <w:t>es congruente con al encuestad realizada ya que los datos reflejaron ciertos márgenes de no sanción a los funcionarios que incumplen la ley. Se puede reiterar aquí las afirmaciones reiteradas con anterioridad de que la normativa es </w:t>
      </w:r>
      <w:r>
        <w:rPr>
          <w:spacing w:val="3"/>
        </w:rPr>
        <w:t>una </w:t>
      </w:r>
      <w:r>
        <w:rPr/>
        <w:t>condición fundamental y básica para la transparencia, más no suficiente para</w:t>
      </w:r>
      <w:r>
        <w:rPr>
          <w:spacing w:val="-33"/>
        </w:rPr>
        <w:t> </w:t>
      </w:r>
      <w:r>
        <w:rPr/>
        <w:t>garantizarla.</w:t>
      </w:r>
    </w:p>
    <w:p>
      <w:pPr>
        <w:pStyle w:val="BodyText"/>
      </w:pPr>
    </w:p>
    <w:p>
      <w:pPr>
        <w:pStyle w:val="BodyText"/>
      </w:pPr>
    </w:p>
    <w:p>
      <w:pPr>
        <w:pStyle w:val="Heading1"/>
        <w:numPr>
          <w:ilvl w:val="1"/>
          <w:numId w:val="71"/>
        </w:numPr>
        <w:tabs>
          <w:tab w:pos="817" w:val="left" w:leader="none"/>
        </w:tabs>
        <w:spacing w:line="240" w:lineRule="auto" w:before="185" w:after="0"/>
        <w:ind w:left="816" w:right="0" w:hanging="379"/>
        <w:jc w:val="left"/>
      </w:pPr>
      <w:r>
        <w:rPr/>
        <w:t>Estrategias utilizadas para el control de</w:t>
      </w:r>
      <w:r>
        <w:rPr>
          <w:spacing w:val="-20"/>
        </w:rPr>
        <w:t> </w:t>
      </w:r>
      <w:r>
        <w:rPr/>
        <w:t>archivos</w:t>
      </w:r>
    </w:p>
    <w:p>
      <w:pPr>
        <w:pStyle w:val="BodyText"/>
        <w:rPr>
          <w:b/>
        </w:rPr>
      </w:pPr>
    </w:p>
    <w:p>
      <w:pPr>
        <w:pStyle w:val="BodyText"/>
        <w:rPr>
          <w:b/>
        </w:rPr>
      </w:pPr>
    </w:p>
    <w:p>
      <w:pPr>
        <w:pStyle w:val="BodyText"/>
        <w:spacing w:before="161"/>
        <w:ind w:left="108"/>
        <w:jc w:val="both"/>
      </w:pPr>
      <w:r>
        <w:rPr/>
        <w:t>Cuando se realizó la pregunta de cómo organiza la información ella respondió:</w:t>
      </w:r>
    </w:p>
    <w:p>
      <w:pPr>
        <w:pStyle w:val="BodyText"/>
      </w:pPr>
    </w:p>
    <w:p>
      <w:pPr>
        <w:pStyle w:val="BodyText"/>
      </w:pPr>
    </w:p>
    <w:p>
      <w:pPr>
        <w:pStyle w:val="BodyText"/>
        <w:spacing w:before="9"/>
        <w:rPr>
          <w:sz w:val="27"/>
        </w:rPr>
      </w:pPr>
    </w:p>
    <w:p>
      <w:pPr>
        <w:pStyle w:val="BodyText"/>
        <w:spacing w:line="360" w:lineRule="auto"/>
        <w:ind w:left="1241" w:right="1044"/>
      </w:pPr>
      <w:r>
        <w:rPr/>
        <w:t>“La información se organiza en una carpeta que guardo en ese archivero”</w:t>
      </w:r>
    </w:p>
    <w:p>
      <w:pPr>
        <w:pStyle w:val="BodyText"/>
      </w:pPr>
    </w:p>
    <w:p>
      <w:pPr>
        <w:pStyle w:val="BodyText"/>
      </w:pPr>
    </w:p>
    <w:p>
      <w:pPr>
        <w:pStyle w:val="BodyText"/>
        <w:spacing w:line="360" w:lineRule="auto" w:before="185"/>
        <w:ind w:left="108" w:right="121"/>
        <w:jc w:val="both"/>
      </w:pPr>
      <w:r>
        <w:rPr/>
        <w:t>Esta situación evidencia la falta de TIC para la realización de su función. Asimismo, la</w:t>
      </w:r>
      <w:r>
        <w:rPr>
          <w:spacing w:val="-7"/>
        </w:rPr>
        <w:t> </w:t>
      </w:r>
      <w:r>
        <w:rPr/>
        <w:t>falta</w:t>
      </w:r>
      <w:r>
        <w:rPr>
          <w:spacing w:val="-7"/>
        </w:rPr>
        <w:t> </w:t>
      </w:r>
      <w:r>
        <w:rPr/>
        <w:t>de</w:t>
      </w:r>
      <w:r>
        <w:rPr>
          <w:spacing w:val="-7"/>
        </w:rPr>
        <w:t> </w:t>
      </w:r>
      <w:r>
        <w:rPr/>
        <w:t>tecnología</w:t>
      </w:r>
      <w:r>
        <w:rPr>
          <w:spacing w:val="-5"/>
        </w:rPr>
        <w:t> </w:t>
      </w:r>
      <w:r>
        <w:rPr/>
        <w:t>para</w:t>
      </w:r>
      <w:r>
        <w:rPr>
          <w:spacing w:val="-5"/>
        </w:rPr>
        <w:t> </w:t>
      </w:r>
      <w:r>
        <w:rPr/>
        <w:t>cuando</w:t>
      </w:r>
      <w:r>
        <w:rPr>
          <w:spacing w:val="-7"/>
        </w:rPr>
        <w:t> </w:t>
      </w:r>
      <w:r>
        <w:rPr/>
        <w:t>se</w:t>
      </w:r>
      <w:r>
        <w:rPr>
          <w:spacing w:val="-7"/>
        </w:rPr>
        <w:t> </w:t>
      </w:r>
      <w:r>
        <w:rPr/>
        <w:t>pide</w:t>
      </w:r>
      <w:r>
        <w:rPr>
          <w:spacing w:val="-5"/>
        </w:rPr>
        <w:t> </w:t>
      </w:r>
      <w:r>
        <w:rPr/>
        <w:t>la</w:t>
      </w:r>
      <w:r>
        <w:rPr>
          <w:spacing w:val="-7"/>
        </w:rPr>
        <w:t> </w:t>
      </w:r>
      <w:r>
        <w:rPr/>
        <w:t>información</w:t>
      </w:r>
      <w:r>
        <w:rPr>
          <w:spacing w:val="-6"/>
        </w:rPr>
        <w:t> </w:t>
      </w:r>
      <w:r>
        <w:rPr/>
        <w:t>en</w:t>
      </w:r>
      <w:r>
        <w:rPr>
          <w:spacing w:val="-5"/>
        </w:rPr>
        <w:t> </w:t>
      </w:r>
      <w:r>
        <w:rPr/>
        <w:t>vía</w:t>
      </w:r>
      <w:r>
        <w:rPr>
          <w:spacing w:val="-5"/>
        </w:rPr>
        <w:t> </w:t>
      </w:r>
      <w:r>
        <w:rPr/>
        <w:t>electrónica.</w:t>
      </w:r>
      <w:r>
        <w:rPr>
          <w:spacing w:val="-7"/>
        </w:rPr>
        <w:t> </w:t>
      </w:r>
      <w:r>
        <w:rPr/>
        <w:t>De</w:t>
      </w:r>
      <w:r>
        <w:rPr>
          <w:spacing w:val="-5"/>
        </w:rPr>
        <w:t> </w:t>
      </w:r>
      <w:r>
        <w:rPr/>
        <w:t>igual manera, la falta tiempo, interés o recursos para emigrar la información física a la parte</w:t>
      </w:r>
      <w:r>
        <w:rPr>
          <w:spacing w:val="-5"/>
        </w:rPr>
        <w:t> </w:t>
      </w:r>
      <w:r>
        <w:rPr/>
        <w:t>digital.</w:t>
      </w:r>
    </w:p>
    <w:p>
      <w:pPr>
        <w:pStyle w:val="BodyText"/>
      </w:pPr>
    </w:p>
    <w:p>
      <w:pPr>
        <w:pStyle w:val="BodyText"/>
      </w:pPr>
    </w:p>
    <w:p>
      <w:pPr>
        <w:pStyle w:val="BodyText"/>
      </w:pPr>
    </w:p>
    <w:p>
      <w:pPr>
        <w:pStyle w:val="BodyText"/>
      </w:pPr>
    </w:p>
    <w:p>
      <w:pPr>
        <w:pStyle w:val="Heading1"/>
        <w:numPr>
          <w:ilvl w:val="1"/>
          <w:numId w:val="71"/>
        </w:numPr>
        <w:tabs>
          <w:tab w:pos="817" w:val="left" w:leader="none"/>
        </w:tabs>
        <w:spacing w:line="240" w:lineRule="auto" w:before="210" w:after="0"/>
        <w:ind w:left="816" w:right="0" w:hanging="446"/>
        <w:jc w:val="left"/>
      </w:pPr>
      <w:r>
        <w:rPr/>
        <w:t>Procedimiento para publicar</w:t>
      </w:r>
      <w:r>
        <w:rPr>
          <w:spacing w:val="-7"/>
        </w:rPr>
        <w:t> </w:t>
      </w:r>
      <w:r>
        <w:rPr/>
        <w:t>información</w:t>
      </w:r>
    </w:p>
    <w:p>
      <w:pPr>
        <w:spacing w:after="0" w:line="240" w:lineRule="auto"/>
        <w:jc w:val="left"/>
        <w:sectPr>
          <w:pgSz w:w="12240" w:h="15840"/>
          <w:pgMar w:header="0" w:footer="975" w:top="1500" w:bottom="1220" w:left="1500" w:right="1580"/>
        </w:sectPr>
      </w:pPr>
    </w:p>
    <w:p>
      <w:pPr>
        <w:pStyle w:val="BodyText"/>
        <w:spacing w:line="362" w:lineRule="auto" w:before="54"/>
        <w:ind w:left="108" w:right="106"/>
        <w:jc w:val="both"/>
      </w:pPr>
      <w:r>
        <w:rPr/>
        <w:t>Cuando se le preguntó cuál es el procedimiento para publicar información que le solicitan respondió lo siguiente:</w:t>
      </w:r>
    </w:p>
    <w:p>
      <w:pPr>
        <w:pStyle w:val="BodyText"/>
      </w:pPr>
    </w:p>
    <w:p>
      <w:pPr>
        <w:pStyle w:val="BodyText"/>
      </w:pPr>
    </w:p>
    <w:p>
      <w:pPr>
        <w:pStyle w:val="BodyText"/>
        <w:spacing w:line="360" w:lineRule="auto" w:before="182"/>
        <w:ind w:left="1241" w:right="1089"/>
        <w:jc w:val="both"/>
      </w:pPr>
      <w:r>
        <w:rPr/>
        <w:t>“Se recibe una solicitud a través del portal del SAIMEX, luego elaboro oficio al área responsable para que me mande la información, se procesa y finalmente se publica”</w:t>
      </w:r>
    </w:p>
    <w:p>
      <w:pPr>
        <w:pStyle w:val="BodyText"/>
      </w:pPr>
    </w:p>
    <w:p>
      <w:pPr>
        <w:pStyle w:val="BodyText"/>
      </w:pPr>
    </w:p>
    <w:p>
      <w:pPr>
        <w:pStyle w:val="BodyText"/>
        <w:spacing w:line="360" w:lineRule="auto" w:before="185"/>
        <w:ind w:left="108" w:right="98"/>
        <w:jc w:val="both"/>
      </w:pPr>
      <w:r>
        <w:rPr/>
        <w:t>Es de notar que cuando referenció “se procesa” su rostro reflejó expresiones de angustia.</w:t>
      </w:r>
      <w:r>
        <w:rPr>
          <w:spacing w:val="-7"/>
        </w:rPr>
        <w:t> </w:t>
      </w:r>
      <w:r>
        <w:rPr/>
        <w:t>Seguramente</w:t>
      </w:r>
      <w:r>
        <w:rPr>
          <w:spacing w:val="-6"/>
        </w:rPr>
        <w:t> </w:t>
      </w:r>
      <w:r>
        <w:rPr/>
        <w:t>porque</w:t>
      </w:r>
      <w:r>
        <w:rPr>
          <w:spacing w:val="-6"/>
        </w:rPr>
        <w:t> </w:t>
      </w:r>
      <w:r>
        <w:rPr/>
        <w:t>no</w:t>
      </w:r>
      <w:r>
        <w:rPr>
          <w:spacing w:val="-6"/>
        </w:rPr>
        <w:t> </w:t>
      </w:r>
      <w:r>
        <w:rPr/>
        <w:t>cuenta</w:t>
      </w:r>
      <w:r>
        <w:rPr>
          <w:spacing w:val="-6"/>
        </w:rPr>
        <w:t> </w:t>
      </w:r>
      <w:r>
        <w:rPr/>
        <w:t>con</w:t>
      </w:r>
      <w:r>
        <w:rPr>
          <w:spacing w:val="-6"/>
        </w:rPr>
        <w:t> </w:t>
      </w:r>
      <w:r>
        <w:rPr/>
        <w:t>la</w:t>
      </w:r>
      <w:r>
        <w:rPr>
          <w:spacing w:val="-3"/>
        </w:rPr>
        <w:t> </w:t>
      </w:r>
      <w:r>
        <w:rPr/>
        <w:t>tecnología</w:t>
      </w:r>
      <w:r>
        <w:rPr>
          <w:spacing w:val="-6"/>
        </w:rPr>
        <w:t> </w:t>
      </w:r>
      <w:r>
        <w:rPr/>
        <w:t>para</w:t>
      </w:r>
      <w:r>
        <w:rPr>
          <w:spacing w:val="-8"/>
        </w:rPr>
        <w:t> </w:t>
      </w:r>
      <w:r>
        <w:rPr/>
        <w:t>hacerlo</w:t>
      </w:r>
      <w:r>
        <w:rPr>
          <w:spacing w:val="-6"/>
        </w:rPr>
        <w:t> </w:t>
      </w:r>
      <w:r>
        <w:rPr/>
        <w:t>o</w:t>
      </w:r>
      <w:r>
        <w:rPr>
          <w:spacing w:val="-7"/>
        </w:rPr>
        <w:t> </w:t>
      </w:r>
      <w:r>
        <w:rPr/>
        <w:t>porque</w:t>
      </w:r>
      <w:r>
        <w:rPr>
          <w:spacing w:val="-7"/>
        </w:rPr>
        <w:t> </w:t>
      </w:r>
      <w:r>
        <w:rPr/>
        <w:t>la información</w:t>
      </w:r>
      <w:r>
        <w:rPr>
          <w:spacing w:val="-6"/>
        </w:rPr>
        <w:t> </w:t>
      </w:r>
      <w:r>
        <w:rPr/>
        <w:t>que</w:t>
      </w:r>
      <w:r>
        <w:rPr>
          <w:spacing w:val="-8"/>
        </w:rPr>
        <w:t> </w:t>
      </w:r>
      <w:r>
        <w:rPr/>
        <w:t>le</w:t>
      </w:r>
      <w:r>
        <w:rPr>
          <w:spacing w:val="-6"/>
        </w:rPr>
        <w:t> </w:t>
      </w:r>
      <w:r>
        <w:rPr/>
        <w:t>dan</w:t>
      </w:r>
      <w:r>
        <w:rPr>
          <w:spacing w:val="-8"/>
        </w:rPr>
        <w:t> </w:t>
      </w:r>
      <w:r>
        <w:rPr/>
        <w:t>las</w:t>
      </w:r>
      <w:r>
        <w:rPr>
          <w:spacing w:val="-6"/>
        </w:rPr>
        <w:t> </w:t>
      </w:r>
      <w:r>
        <w:rPr/>
        <w:t>áreas</w:t>
      </w:r>
      <w:r>
        <w:rPr>
          <w:spacing w:val="-9"/>
        </w:rPr>
        <w:t> </w:t>
      </w:r>
      <w:r>
        <w:rPr/>
        <w:t>correspondientes</w:t>
      </w:r>
      <w:r>
        <w:rPr>
          <w:spacing w:val="-9"/>
        </w:rPr>
        <w:t> </w:t>
      </w:r>
      <w:r>
        <w:rPr/>
        <w:t>no</w:t>
      </w:r>
      <w:r>
        <w:rPr>
          <w:spacing w:val="-8"/>
        </w:rPr>
        <w:t> </w:t>
      </w:r>
      <w:r>
        <w:rPr/>
        <w:t>está</w:t>
      </w:r>
      <w:r>
        <w:rPr>
          <w:spacing w:val="-8"/>
        </w:rPr>
        <w:t> </w:t>
      </w:r>
      <w:r>
        <w:rPr/>
        <w:t>ordenada</w:t>
      </w:r>
      <w:r>
        <w:rPr>
          <w:spacing w:val="-6"/>
        </w:rPr>
        <w:t> </w:t>
      </w:r>
      <w:r>
        <w:rPr/>
        <w:t>y</w:t>
      </w:r>
      <w:r>
        <w:rPr>
          <w:spacing w:val="-9"/>
        </w:rPr>
        <w:t> </w:t>
      </w:r>
      <w:r>
        <w:rPr/>
        <w:t>ella</w:t>
      </w:r>
      <w:r>
        <w:rPr>
          <w:spacing w:val="-6"/>
        </w:rPr>
        <w:t> </w:t>
      </w:r>
      <w:r>
        <w:rPr/>
        <w:t>tiene</w:t>
      </w:r>
      <w:r>
        <w:rPr>
          <w:spacing w:val="-8"/>
        </w:rPr>
        <w:t> </w:t>
      </w:r>
      <w:r>
        <w:rPr/>
        <w:t>que hacer</w:t>
      </w:r>
      <w:r>
        <w:rPr>
          <w:spacing w:val="-7"/>
        </w:rPr>
        <w:t> </w:t>
      </w:r>
      <w:r>
        <w:rPr/>
        <w:t>el</w:t>
      </w:r>
      <w:r>
        <w:rPr>
          <w:spacing w:val="-5"/>
        </w:rPr>
        <w:t> </w:t>
      </w:r>
      <w:r>
        <w:rPr/>
        <w:t>trabajo</w:t>
      </w:r>
      <w:r>
        <w:rPr>
          <w:spacing w:val="-6"/>
        </w:rPr>
        <w:t> </w:t>
      </w:r>
      <w:r>
        <w:rPr/>
        <w:t>de</w:t>
      </w:r>
      <w:r>
        <w:rPr>
          <w:spacing w:val="-4"/>
        </w:rPr>
        <w:t> </w:t>
      </w:r>
      <w:r>
        <w:rPr/>
        <w:t>los</w:t>
      </w:r>
      <w:r>
        <w:rPr>
          <w:spacing w:val="-9"/>
        </w:rPr>
        <w:t> </w:t>
      </w:r>
      <w:r>
        <w:rPr/>
        <w:t>responsables</w:t>
      </w:r>
      <w:r>
        <w:rPr>
          <w:spacing w:val="-6"/>
        </w:rPr>
        <w:t> </w:t>
      </w:r>
      <w:r>
        <w:rPr/>
        <w:t>de</w:t>
      </w:r>
      <w:r>
        <w:rPr>
          <w:spacing w:val="-6"/>
        </w:rPr>
        <w:t> </w:t>
      </w:r>
      <w:r>
        <w:rPr/>
        <w:t>brindar</w:t>
      </w:r>
      <w:r>
        <w:rPr>
          <w:spacing w:val="-5"/>
        </w:rPr>
        <w:t> </w:t>
      </w:r>
      <w:r>
        <w:rPr/>
        <w:t>la</w:t>
      </w:r>
      <w:r>
        <w:rPr>
          <w:spacing w:val="-4"/>
        </w:rPr>
        <w:t> </w:t>
      </w:r>
      <w:r>
        <w:rPr/>
        <w:t>información.</w:t>
      </w:r>
      <w:r>
        <w:rPr>
          <w:spacing w:val="-4"/>
        </w:rPr>
        <w:t> </w:t>
      </w:r>
      <w:r>
        <w:rPr/>
        <w:t>Ya</w:t>
      </w:r>
      <w:r>
        <w:rPr>
          <w:spacing w:val="-4"/>
        </w:rPr>
        <w:t> </w:t>
      </w:r>
      <w:r>
        <w:rPr/>
        <w:t>que</w:t>
      </w:r>
      <w:r>
        <w:rPr>
          <w:spacing w:val="-6"/>
        </w:rPr>
        <w:t> </w:t>
      </w:r>
      <w:r>
        <w:rPr/>
        <w:t>más</w:t>
      </w:r>
      <w:r>
        <w:rPr>
          <w:spacing w:val="-7"/>
        </w:rPr>
        <w:t> </w:t>
      </w:r>
      <w:r>
        <w:rPr/>
        <w:t>adelante referenció</w:t>
      </w:r>
      <w:r>
        <w:rPr>
          <w:spacing w:val="-3"/>
        </w:rPr>
        <w:t> </w:t>
      </w:r>
      <w:r>
        <w:rPr/>
        <w:t>que</w:t>
      </w:r>
    </w:p>
    <w:p>
      <w:pPr>
        <w:pStyle w:val="BodyText"/>
      </w:pPr>
    </w:p>
    <w:p>
      <w:pPr>
        <w:pStyle w:val="BodyText"/>
      </w:pPr>
    </w:p>
    <w:p>
      <w:pPr>
        <w:pStyle w:val="BodyText"/>
        <w:spacing w:before="187"/>
        <w:ind w:left="845" w:right="6"/>
      </w:pPr>
      <w:r>
        <w:rPr/>
        <w:t>“solamente se entrega entre un 70 u 80% de la información solicitada”</w:t>
      </w:r>
    </w:p>
    <w:p>
      <w:pPr>
        <w:pStyle w:val="BodyText"/>
      </w:pPr>
    </w:p>
    <w:p>
      <w:pPr>
        <w:pStyle w:val="BodyText"/>
      </w:pPr>
    </w:p>
    <w:p>
      <w:pPr>
        <w:pStyle w:val="BodyText"/>
        <w:spacing w:before="9"/>
        <w:rPr>
          <w:sz w:val="27"/>
        </w:rPr>
      </w:pPr>
    </w:p>
    <w:p>
      <w:pPr>
        <w:pStyle w:val="BodyText"/>
        <w:spacing w:line="360" w:lineRule="auto"/>
        <w:ind w:left="108" w:right="104"/>
        <w:jc w:val="both"/>
      </w:pPr>
      <w:r>
        <w:rPr/>
        <w:t>En</w:t>
      </w:r>
      <w:r>
        <w:rPr>
          <w:spacing w:val="-9"/>
        </w:rPr>
        <w:t> </w:t>
      </w:r>
      <w:r>
        <w:rPr/>
        <w:t>el</w:t>
      </w:r>
      <w:r>
        <w:rPr>
          <w:spacing w:val="-12"/>
        </w:rPr>
        <w:t> </w:t>
      </w:r>
      <w:r>
        <w:rPr/>
        <w:t>municipio</w:t>
      </w:r>
      <w:r>
        <w:rPr>
          <w:spacing w:val="-11"/>
        </w:rPr>
        <w:t> </w:t>
      </w:r>
      <w:r>
        <w:rPr/>
        <w:t>se</w:t>
      </w:r>
      <w:r>
        <w:rPr>
          <w:spacing w:val="-9"/>
        </w:rPr>
        <w:t> </w:t>
      </w:r>
      <w:r>
        <w:rPr/>
        <w:t>refleja</w:t>
      </w:r>
      <w:r>
        <w:rPr>
          <w:spacing w:val="-9"/>
        </w:rPr>
        <w:t> </w:t>
      </w:r>
      <w:r>
        <w:rPr/>
        <w:t>también</w:t>
      </w:r>
      <w:r>
        <w:rPr>
          <w:spacing w:val="-11"/>
        </w:rPr>
        <w:t> </w:t>
      </w:r>
      <w:r>
        <w:rPr/>
        <w:t>poco</w:t>
      </w:r>
      <w:r>
        <w:rPr>
          <w:spacing w:val="-11"/>
        </w:rPr>
        <w:t> </w:t>
      </w:r>
      <w:r>
        <w:rPr/>
        <w:t>compromiso</w:t>
      </w:r>
      <w:r>
        <w:rPr>
          <w:spacing w:val="-11"/>
        </w:rPr>
        <w:t> </w:t>
      </w:r>
      <w:r>
        <w:rPr/>
        <w:t>por</w:t>
      </w:r>
      <w:r>
        <w:rPr>
          <w:spacing w:val="-12"/>
        </w:rPr>
        <w:t> </w:t>
      </w:r>
      <w:r>
        <w:rPr/>
        <w:t>parte</w:t>
      </w:r>
      <w:r>
        <w:rPr>
          <w:spacing w:val="-9"/>
        </w:rPr>
        <w:t> </w:t>
      </w:r>
      <w:r>
        <w:rPr/>
        <w:t>de</w:t>
      </w:r>
      <w:r>
        <w:rPr>
          <w:spacing w:val="-9"/>
        </w:rPr>
        <w:t> </w:t>
      </w:r>
      <w:r>
        <w:rPr/>
        <w:t>los</w:t>
      </w:r>
      <w:r>
        <w:rPr>
          <w:spacing w:val="-13"/>
        </w:rPr>
        <w:t> </w:t>
      </w:r>
      <w:r>
        <w:rPr/>
        <w:t>funcionarios,</w:t>
      </w:r>
      <w:r>
        <w:rPr>
          <w:spacing w:val="-9"/>
        </w:rPr>
        <w:t> </w:t>
      </w:r>
      <w:r>
        <w:rPr/>
        <w:t>ya que la responsable señaló que hay resistencia para entregar la información que les solicitan:</w:t>
      </w:r>
    </w:p>
    <w:p>
      <w:pPr>
        <w:pStyle w:val="BodyText"/>
      </w:pPr>
    </w:p>
    <w:p>
      <w:pPr>
        <w:pStyle w:val="BodyText"/>
      </w:pPr>
    </w:p>
    <w:p>
      <w:pPr>
        <w:spacing w:line="360" w:lineRule="auto" w:before="183"/>
        <w:ind w:left="674" w:right="713" w:firstLine="0"/>
        <w:jc w:val="both"/>
        <w:rPr>
          <w:i/>
          <w:sz w:val="24"/>
        </w:rPr>
      </w:pPr>
      <w:r>
        <w:rPr>
          <w:sz w:val="24"/>
        </w:rPr>
        <w:t>“</w:t>
      </w:r>
      <w:r>
        <w:rPr>
          <w:i/>
          <w:sz w:val="24"/>
        </w:rPr>
        <w:t>Si coopera pero hay que está detrás de ellos. Desafortunadamente, la </w:t>
      </w:r>
      <w:r>
        <w:rPr>
          <w:i/>
          <w:sz w:val="24"/>
        </w:rPr>
        <w:t>cuestión de transparencia o de entregar información para ellos no es tan importante. Es como en segundo plano, pero que si lo entregan porque finalmente se solicita, es una actividad que tiene de alguna manera ellos que responder, pero si cuesta un poquito de trabajo que lo hagan en tiempo y que nosotros les podemos solicitar. No obstante, hay directores que de alguna manera independientemente de que les comentamos en donde se dice que tienen que entregar esa información. Si le  preguntan</w:t>
      </w:r>
    </w:p>
    <w:p>
      <w:pPr>
        <w:spacing w:after="0" w:line="360" w:lineRule="auto"/>
        <w:jc w:val="both"/>
        <w:rPr>
          <w:sz w:val="24"/>
        </w:rPr>
        <w:sectPr>
          <w:pgSz w:w="12240" w:h="15840"/>
          <w:pgMar w:header="0" w:footer="975" w:top="1360" w:bottom="1220" w:left="1500" w:right="1600"/>
        </w:sectPr>
      </w:pPr>
    </w:p>
    <w:p>
      <w:pPr>
        <w:spacing w:line="360" w:lineRule="auto" w:before="51"/>
        <w:ind w:left="674" w:right="717" w:firstLine="0"/>
        <w:jc w:val="both"/>
        <w:rPr>
          <w:i/>
          <w:sz w:val="24"/>
        </w:rPr>
      </w:pPr>
      <w:r>
        <w:rPr>
          <w:i/>
          <w:sz w:val="24"/>
        </w:rPr>
        <w:t>a la presidenta, oye está buscando esto, ¿cómo es? Y la presidenta de </w:t>
      </w:r>
      <w:r>
        <w:rPr>
          <w:i/>
          <w:sz w:val="24"/>
        </w:rPr>
        <w:t>alguna</w:t>
      </w:r>
      <w:r>
        <w:rPr>
          <w:i/>
          <w:spacing w:val="-6"/>
          <w:sz w:val="24"/>
        </w:rPr>
        <w:t> </w:t>
      </w:r>
      <w:r>
        <w:rPr>
          <w:i/>
          <w:sz w:val="24"/>
        </w:rPr>
        <w:t>manera</w:t>
      </w:r>
      <w:r>
        <w:rPr>
          <w:i/>
          <w:spacing w:val="-7"/>
          <w:sz w:val="24"/>
        </w:rPr>
        <w:t> </w:t>
      </w:r>
      <w:r>
        <w:rPr>
          <w:i/>
          <w:sz w:val="24"/>
        </w:rPr>
        <w:t>se</w:t>
      </w:r>
      <w:r>
        <w:rPr>
          <w:i/>
          <w:spacing w:val="-6"/>
          <w:sz w:val="24"/>
        </w:rPr>
        <w:t> </w:t>
      </w:r>
      <w:r>
        <w:rPr>
          <w:i/>
          <w:sz w:val="24"/>
        </w:rPr>
        <w:t>le</w:t>
      </w:r>
      <w:r>
        <w:rPr>
          <w:i/>
          <w:spacing w:val="-6"/>
          <w:sz w:val="24"/>
        </w:rPr>
        <w:t> </w:t>
      </w:r>
      <w:r>
        <w:rPr>
          <w:i/>
          <w:sz w:val="24"/>
        </w:rPr>
        <w:t>instruye</w:t>
      </w:r>
      <w:r>
        <w:rPr>
          <w:i/>
          <w:spacing w:val="-6"/>
          <w:sz w:val="24"/>
        </w:rPr>
        <w:t> </w:t>
      </w:r>
      <w:r>
        <w:rPr>
          <w:i/>
          <w:sz w:val="24"/>
        </w:rPr>
        <w:t>que</w:t>
      </w:r>
      <w:r>
        <w:rPr>
          <w:i/>
          <w:spacing w:val="-6"/>
          <w:sz w:val="24"/>
        </w:rPr>
        <w:t> </w:t>
      </w:r>
      <w:r>
        <w:rPr>
          <w:i/>
          <w:sz w:val="24"/>
        </w:rPr>
        <w:t>se</w:t>
      </w:r>
      <w:r>
        <w:rPr>
          <w:i/>
          <w:spacing w:val="-8"/>
          <w:sz w:val="24"/>
        </w:rPr>
        <w:t> </w:t>
      </w:r>
      <w:r>
        <w:rPr>
          <w:i/>
          <w:sz w:val="24"/>
        </w:rPr>
        <w:t>entregue</w:t>
      </w:r>
      <w:r>
        <w:rPr>
          <w:i/>
          <w:spacing w:val="-8"/>
          <w:sz w:val="24"/>
        </w:rPr>
        <w:t> </w:t>
      </w:r>
      <w:r>
        <w:rPr>
          <w:i/>
          <w:sz w:val="24"/>
        </w:rPr>
        <w:t>o</w:t>
      </w:r>
      <w:r>
        <w:rPr>
          <w:i/>
          <w:spacing w:val="-6"/>
          <w:sz w:val="24"/>
        </w:rPr>
        <w:t> </w:t>
      </w:r>
      <w:r>
        <w:rPr>
          <w:i/>
          <w:sz w:val="24"/>
        </w:rPr>
        <w:t>que</w:t>
      </w:r>
      <w:r>
        <w:rPr>
          <w:i/>
          <w:spacing w:val="-6"/>
          <w:sz w:val="24"/>
        </w:rPr>
        <w:t> </w:t>
      </w:r>
      <w:r>
        <w:rPr>
          <w:i/>
          <w:sz w:val="24"/>
        </w:rPr>
        <w:t>se</w:t>
      </w:r>
      <w:r>
        <w:rPr>
          <w:i/>
          <w:spacing w:val="-6"/>
          <w:sz w:val="24"/>
        </w:rPr>
        <w:t> </w:t>
      </w:r>
      <w:r>
        <w:rPr>
          <w:i/>
          <w:sz w:val="24"/>
        </w:rPr>
        <w:t>tome</w:t>
      </w:r>
      <w:r>
        <w:rPr>
          <w:i/>
          <w:spacing w:val="-6"/>
          <w:sz w:val="24"/>
        </w:rPr>
        <w:t> </w:t>
      </w:r>
      <w:r>
        <w:rPr>
          <w:i/>
          <w:sz w:val="24"/>
        </w:rPr>
        <w:t>por</w:t>
      </w:r>
      <w:r>
        <w:rPr>
          <w:i/>
          <w:spacing w:val="-7"/>
          <w:sz w:val="24"/>
        </w:rPr>
        <w:t> </w:t>
      </w:r>
      <w:r>
        <w:rPr>
          <w:i/>
          <w:sz w:val="24"/>
        </w:rPr>
        <w:t>medida. En el caso que de que pudiera afectar a los líderes del</w:t>
      </w:r>
      <w:r>
        <w:rPr>
          <w:i/>
          <w:spacing w:val="-27"/>
          <w:sz w:val="24"/>
        </w:rPr>
        <w:t> </w:t>
      </w:r>
      <w:r>
        <w:rPr>
          <w:i/>
          <w:sz w:val="24"/>
        </w:rPr>
        <w:t>ayuntamiento.”</w:t>
      </w:r>
    </w:p>
    <w:p>
      <w:pPr>
        <w:pStyle w:val="BodyText"/>
        <w:spacing w:line="360" w:lineRule="auto" w:before="168"/>
        <w:ind w:left="108" w:right="259"/>
      </w:pPr>
      <w:r>
        <w:rPr/>
        <w:t>En este párrafo se puede apreciar el gran poder que tiene la presidenta municipal, ya que incluso se puede omitir el cumplimiento de la ley si ella no autoriza la publicación de la información que pudiera generarle problemas.</w:t>
      </w:r>
    </w:p>
    <w:p>
      <w:pPr>
        <w:pStyle w:val="BodyText"/>
      </w:pPr>
    </w:p>
    <w:p>
      <w:pPr>
        <w:pStyle w:val="BodyText"/>
      </w:pPr>
    </w:p>
    <w:p>
      <w:pPr>
        <w:pStyle w:val="Heading1"/>
        <w:numPr>
          <w:ilvl w:val="1"/>
          <w:numId w:val="71"/>
        </w:numPr>
        <w:tabs>
          <w:tab w:pos="817" w:val="left" w:leader="none"/>
        </w:tabs>
        <w:spacing w:line="240" w:lineRule="auto" w:before="185" w:after="0"/>
        <w:ind w:left="816" w:right="0" w:hanging="446"/>
        <w:jc w:val="left"/>
      </w:pPr>
      <w:r>
        <w:rPr/>
        <w:t>Información más</w:t>
      </w:r>
      <w:r>
        <w:rPr>
          <w:spacing w:val="-5"/>
        </w:rPr>
        <w:t> </w:t>
      </w:r>
      <w:r>
        <w:rPr/>
        <w:t>solicitada</w:t>
      </w:r>
    </w:p>
    <w:p>
      <w:pPr>
        <w:pStyle w:val="BodyText"/>
        <w:rPr>
          <w:b/>
        </w:rPr>
      </w:pPr>
    </w:p>
    <w:p>
      <w:pPr>
        <w:pStyle w:val="BodyText"/>
        <w:rPr>
          <w:b/>
        </w:rPr>
      </w:pPr>
    </w:p>
    <w:p>
      <w:pPr>
        <w:pStyle w:val="BodyText"/>
        <w:spacing w:before="159"/>
        <w:ind w:left="108" w:right="6"/>
      </w:pPr>
      <w:r>
        <w:rPr/>
        <w:t>Dentro de la información más solicitada referenció que se encuentra la siguiente:</w:t>
      </w:r>
    </w:p>
    <w:p>
      <w:pPr>
        <w:pStyle w:val="BodyText"/>
      </w:pPr>
    </w:p>
    <w:p>
      <w:pPr>
        <w:pStyle w:val="BodyText"/>
      </w:pPr>
    </w:p>
    <w:p>
      <w:pPr>
        <w:pStyle w:val="BodyText"/>
        <w:spacing w:before="11"/>
        <w:rPr>
          <w:sz w:val="27"/>
        </w:rPr>
      </w:pPr>
    </w:p>
    <w:p>
      <w:pPr>
        <w:pStyle w:val="BodyText"/>
        <w:spacing w:line="360" w:lineRule="auto"/>
        <w:ind w:left="1241" w:right="1097"/>
        <w:jc w:val="both"/>
      </w:pPr>
      <w:r>
        <w:rPr/>
        <w:t>“la información más solicitada al municipio es: gasto público, trámites, recursos humanos, salarios, aspectos de la tesorería municipal, convenios, contratos, pagos, nombre de servidores públicos”</w:t>
      </w:r>
    </w:p>
    <w:p>
      <w:pPr>
        <w:pStyle w:val="BodyText"/>
      </w:pPr>
    </w:p>
    <w:p>
      <w:pPr>
        <w:pStyle w:val="BodyText"/>
      </w:pPr>
    </w:p>
    <w:p>
      <w:pPr>
        <w:pStyle w:val="BodyText"/>
        <w:spacing w:line="360" w:lineRule="auto" w:before="188"/>
        <w:ind w:left="108" w:right="104"/>
        <w:jc w:val="both"/>
      </w:pPr>
      <w:r>
        <w:rPr/>
        <w:t>Es de destacar que cuando contestaba a esta pregunta su rostro reflejaba molestia, ya que toda esta información está en la página web del municipio, es considerada pública</w:t>
      </w:r>
      <w:r>
        <w:rPr>
          <w:spacing w:val="-11"/>
        </w:rPr>
        <w:t> </w:t>
      </w:r>
      <w:r>
        <w:rPr/>
        <w:t>de</w:t>
      </w:r>
      <w:r>
        <w:rPr>
          <w:spacing w:val="-11"/>
        </w:rPr>
        <w:t> </w:t>
      </w:r>
      <w:r>
        <w:rPr/>
        <w:t>oficio</w:t>
      </w:r>
      <w:r>
        <w:rPr>
          <w:spacing w:val="-11"/>
        </w:rPr>
        <w:t> </w:t>
      </w:r>
      <w:r>
        <w:rPr/>
        <w:t>y</w:t>
      </w:r>
      <w:r>
        <w:rPr>
          <w:spacing w:val="-14"/>
        </w:rPr>
        <w:t> </w:t>
      </w:r>
      <w:r>
        <w:rPr/>
        <w:t>se</w:t>
      </w:r>
      <w:r>
        <w:rPr>
          <w:spacing w:val="-11"/>
        </w:rPr>
        <w:t> </w:t>
      </w:r>
      <w:r>
        <w:rPr/>
        <w:t>encuentra</w:t>
      </w:r>
      <w:r>
        <w:rPr>
          <w:spacing w:val="-11"/>
        </w:rPr>
        <w:t> </w:t>
      </w:r>
      <w:r>
        <w:rPr/>
        <w:t>a</w:t>
      </w:r>
      <w:r>
        <w:rPr>
          <w:spacing w:val="-11"/>
        </w:rPr>
        <w:t> </w:t>
      </w:r>
      <w:r>
        <w:rPr/>
        <w:t>disposición</w:t>
      </w:r>
      <w:r>
        <w:rPr>
          <w:spacing w:val="-13"/>
        </w:rPr>
        <w:t> </w:t>
      </w:r>
      <w:r>
        <w:rPr/>
        <w:t>de</w:t>
      </w:r>
      <w:r>
        <w:rPr>
          <w:spacing w:val="-11"/>
        </w:rPr>
        <w:t> </w:t>
      </w:r>
      <w:r>
        <w:rPr/>
        <w:t>todo</w:t>
      </w:r>
      <w:r>
        <w:rPr>
          <w:spacing w:val="-11"/>
        </w:rPr>
        <w:t> </w:t>
      </w:r>
      <w:r>
        <w:rPr/>
        <w:t>el</w:t>
      </w:r>
      <w:r>
        <w:rPr>
          <w:spacing w:val="-12"/>
        </w:rPr>
        <w:t> </w:t>
      </w:r>
      <w:r>
        <w:rPr/>
        <w:t>público.</w:t>
      </w:r>
      <w:r>
        <w:rPr>
          <w:spacing w:val="-11"/>
        </w:rPr>
        <w:t> </w:t>
      </w:r>
      <w:r>
        <w:rPr/>
        <w:t>Por</w:t>
      </w:r>
      <w:r>
        <w:rPr>
          <w:spacing w:val="-12"/>
        </w:rPr>
        <w:t> </w:t>
      </w:r>
      <w:r>
        <w:rPr/>
        <w:t>lo</w:t>
      </w:r>
      <w:r>
        <w:rPr>
          <w:spacing w:val="-11"/>
        </w:rPr>
        <w:t> </w:t>
      </w:r>
      <w:r>
        <w:rPr/>
        <w:t>que</w:t>
      </w:r>
      <w:r>
        <w:rPr>
          <w:spacing w:val="-11"/>
        </w:rPr>
        <w:t> </w:t>
      </w:r>
      <w:r>
        <w:rPr/>
        <w:t>no</w:t>
      </w:r>
      <w:r>
        <w:rPr>
          <w:spacing w:val="-11"/>
        </w:rPr>
        <w:t> </w:t>
      </w:r>
      <w:r>
        <w:rPr/>
        <w:t>habría necesidad de solicitarla por la vía del</w:t>
      </w:r>
      <w:r>
        <w:rPr>
          <w:spacing w:val="-17"/>
        </w:rPr>
        <w:t> </w:t>
      </w:r>
      <w:r>
        <w:rPr/>
        <w:t>SAIMEX.</w:t>
      </w: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Heading1"/>
        <w:numPr>
          <w:ilvl w:val="1"/>
          <w:numId w:val="71"/>
        </w:numPr>
        <w:tabs>
          <w:tab w:pos="817" w:val="left" w:leader="none"/>
        </w:tabs>
        <w:spacing w:line="240" w:lineRule="auto" w:before="0" w:after="0"/>
        <w:ind w:left="816" w:right="0" w:hanging="379"/>
        <w:jc w:val="left"/>
      </w:pPr>
      <w:r>
        <w:rPr/>
        <w:t>Perfil de los solicitantes de</w:t>
      </w:r>
      <w:r>
        <w:rPr>
          <w:spacing w:val="-9"/>
        </w:rPr>
        <w:t> </w:t>
      </w:r>
      <w:r>
        <w:rPr/>
        <w:t>información</w:t>
      </w:r>
    </w:p>
    <w:p>
      <w:pPr>
        <w:spacing w:after="0" w:line="240" w:lineRule="auto"/>
        <w:jc w:val="left"/>
        <w:sectPr>
          <w:pgSz w:w="12240" w:h="15840"/>
          <w:pgMar w:header="0" w:footer="975" w:top="1360" w:bottom="1220" w:left="1500" w:right="1600"/>
        </w:sectPr>
      </w:pPr>
    </w:p>
    <w:p>
      <w:pPr>
        <w:pStyle w:val="BodyText"/>
        <w:spacing w:line="360" w:lineRule="auto" w:before="54"/>
        <w:ind w:left="108" w:right="6"/>
      </w:pPr>
      <w:r>
        <w:rPr/>
        <w:t>Señaló que solamente se puede identificar cuando acuden personalmente al municipio ya que se ve si es hombre o mujer, adulto o joven. Cuando es vía electrónica señaló:</w:t>
      </w:r>
    </w:p>
    <w:p>
      <w:pPr>
        <w:pStyle w:val="BodyText"/>
      </w:pPr>
    </w:p>
    <w:p>
      <w:pPr>
        <w:pStyle w:val="BodyText"/>
      </w:pPr>
    </w:p>
    <w:p>
      <w:pPr>
        <w:pStyle w:val="BodyText"/>
        <w:spacing w:line="360" w:lineRule="auto" w:before="187"/>
        <w:ind w:left="1241" w:right="1117"/>
        <w:jc w:val="both"/>
      </w:pPr>
      <w:r>
        <w:rPr/>
        <w:t>“No se puede saber quién es el solicitante porque es anónimo, tenemos solicitudes de Batman, Superman, Felipe Calderón, Enrique Peña Nieto o incluso de la misma presidenta municipal…en ocasiones podemos inferir que son grupos de oposición por la información tan particular que solicitan”</w:t>
      </w:r>
    </w:p>
    <w:p>
      <w:pPr>
        <w:pStyle w:val="BodyText"/>
      </w:pPr>
    </w:p>
    <w:p>
      <w:pPr>
        <w:pStyle w:val="BodyText"/>
      </w:pPr>
    </w:p>
    <w:p>
      <w:pPr>
        <w:pStyle w:val="BodyText"/>
        <w:spacing w:line="360" w:lineRule="auto" w:before="185"/>
        <w:ind w:left="108" w:right="117"/>
        <w:jc w:val="both"/>
      </w:pPr>
      <w:r>
        <w:rPr/>
        <w:t>Esta afirmación nos permite referenciar que de manera contraria a lo que establece al CPEUM sobre el anonimato de quienes solicitan información resultaría más ventajoso que se identificaran para poder respuesta a sus peticiones ya que más adelante la entrevistada referenció</w:t>
      </w:r>
    </w:p>
    <w:p>
      <w:pPr>
        <w:pStyle w:val="BodyText"/>
      </w:pPr>
    </w:p>
    <w:p>
      <w:pPr>
        <w:pStyle w:val="BodyText"/>
      </w:pPr>
    </w:p>
    <w:p>
      <w:pPr>
        <w:pStyle w:val="BodyText"/>
        <w:spacing w:line="360" w:lineRule="auto" w:before="188"/>
        <w:ind w:left="1241" w:right="1117"/>
        <w:jc w:val="both"/>
      </w:pPr>
      <w:r>
        <w:rPr/>
        <w:t>“no siempre se puede dar respuesta, ya que no hay correos, teléfonos o nombre verdaderos para poder hacerlo”</w:t>
      </w:r>
    </w:p>
    <w:p>
      <w:pPr>
        <w:pStyle w:val="BodyText"/>
      </w:pPr>
    </w:p>
    <w:p>
      <w:pPr>
        <w:pStyle w:val="BodyText"/>
      </w:pPr>
    </w:p>
    <w:p>
      <w:pPr>
        <w:pStyle w:val="BodyText"/>
        <w:spacing w:line="360" w:lineRule="auto" w:before="185"/>
        <w:ind w:left="108" w:right="123"/>
        <w:jc w:val="both"/>
      </w:pPr>
      <w:r>
        <w:rPr/>
        <w:t>Esta situación puede generar bajo cumplimiento de la ley y en este sentido de manera injusta ya que es el usuario quien no permite la comunicación asertiva al proporcionar datos incorrectos.</w:t>
      </w:r>
    </w:p>
    <w:p>
      <w:pPr>
        <w:pStyle w:val="BodyText"/>
      </w:pPr>
    </w:p>
    <w:p>
      <w:pPr>
        <w:pStyle w:val="BodyText"/>
      </w:pPr>
    </w:p>
    <w:p>
      <w:pPr>
        <w:pStyle w:val="BodyText"/>
        <w:spacing w:line="360" w:lineRule="auto" w:before="188"/>
        <w:ind w:left="108" w:right="187"/>
      </w:pPr>
      <w:r>
        <w:rPr/>
        <w:t>Por otra parte, es importante destacar que si no se identifica bien al usuario, no se pueden identificar claramente sus intereses, perfiles y necesidades de información. Actividades básicas para mejorar la calidad del servicio que se ofrece.</w:t>
      </w:r>
    </w:p>
    <w:p>
      <w:pPr>
        <w:pStyle w:val="Heading1"/>
        <w:numPr>
          <w:ilvl w:val="1"/>
          <w:numId w:val="71"/>
        </w:numPr>
        <w:tabs>
          <w:tab w:pos="817" w:val="left" w:leader="none"/>
        </w:tabs>
        <w:spacing w:line="240" w:lineRule="auto" w:before="163" w:after="0"/>
        <w:ind w:left="816" w:right="0" w:hanging="446"/>
        <w:jc w:val="left"/>
      </w:pPr>
      <w:r>
        <w:rPr/>
        <w:t>Actitud del personal hacia la</w:t>
      </w:r>
      <w:r>
        <w:rPr>
          <w:spacing w:val="-15"/>
        </w:rPr>
        <w:t> </w:t>
      </w:r>
      <w:r>
        <w:rPr/>
        <w:t>transparencia</w:t>
      </w:r>
    </w:p>
    <w:p>
      <w:pPr>
        <w:spacing w:after="0" w:line="240" w:lineRule="auto"/>
        <w:jc w:val="left"/>
        <w:sectPr>
          <w:pgSz w:w="12240" w:h="15840"/>
          <w:pgMar w:header="0" w:footer="975" w:top="1360" w:bottom="1220" w:left="1500" w:right="1580"/>
        </w:sectPr>
      </w:pPr>
    </w:p>
    <w:p>
      <w:pPr>
        <w:pStyle w:val="BodyText"/>
        <w:spacing w:line="360" w:lineRule="auto" w:before="54"/>
        <w:ind w:left="108" w:right="120"/>
        <w:jc w:val="both"/>
      </w:pPr>
      <w:r>
        <w:rPr/>
        <w:t>La responsable de transparencia señaló que se vive un escenario de temor por el uso que se le vaya a dar a la información. No solo de efectos partidistas sino de seguridad de los mismos funcionarios. Es por ello que la no participación de la sociedad favorece la opacidad del gobierno.</w:t>
      </w:r>
    </w:p>
    <w:p>
      <w:pPr>
        <w:pStyle w:val="BodyText"/>
      </w:pPr>
    </w:p>
    <w:p>
      <w:pPr>
        <w:pStyle w:val="BodyText"/>
      </w:pPr>
    </w:p>
    <w:p>
      <w:pPr>
        <w:pStyle w:val="BodyText"/>
        <w:spacing w:line="360" w:lineRule="auto" w:before="185"/>
        <w:ind w:left="1241" w:right="1113"/>
        <w:jc w:val="both"/>
      </w:pPr>
      <w:r>
        <w:rPr/>
        <w:t>“No yo creo que no debería de influir, no importaría si yo fuera del PAN o del PRD yo creo que seguiría siendo igual. En ese aspecto yo creo que no debería afectar el partido político a lo mejor ahí va publicar que no debiera o viceversa sobre qué información</w:t>
      </w:r>
      <w:r>
        <w:rPr>
          <w:spacing w:val="-18"/>
        </w:rPr>
        <w:t> </w:t>
      </w:r>
      <w:r>
        <w:rPr/>
        <w:t>debería</w:t>
      </w:r>
      <w:r>
        <w:rPr>
          <w:spacing w:val="-18"/>
        </w:rPr>
        <w:t> </w:t>
      </w:r>
      <w:r>
        <w:rPr/>
        <w:t>ser</w:t>
      </w:r>
      <w:r>
        <w:rPr>
          <w:spacing w:val="-19"/>
        </w:rPr>
        <w:t> </w:t>
      </w:r>
      <w:r>
        <w:rPr/>
        <w:t>pública.</w:t>
      </w:r>
      <w:r>
        <w:rPr>
          <w:spacing w:val="-18"/>
        </w:rPr>
        <w:t> </w:t>
      </w:r>
      <w:r>
        <w:rPr/>
        <w:t>De</w:t>
      </w:r>
      <w:r>
        <w:rPr>
          <w:spacing w:val="-18"/>
        </w:rPr>
        <w:t> </w:t>
      </w:r>
      <w:r>
        <w:rPr/>
        <w:t>ahí</w:t>
      </w:r>
      <w:r>
        <w:rPr>
          <w:spacing w:val="-21"/>
        </w:rPr>
        <w:t> </w:t>
      </w:r>
      <w:r>
        <w:rPr/>
        <w:t>va</w:t>
      </w:r>
      <w:r>
        <w:rPr>
          <w:spacing w:val="-18"/>
        </w:rPr>
        <w:t> </w:t>
      </w:r>
      <w:r>
        <w:rPr/>
        <w:t>a</w:t>
      </w:r>
      <w:r>
        <w:rPr>
          <w:spacing w:val="-18"/>
        </w:rPr>
        <w:t> </w:t>
      </w:r>
      <w:r>
        <w:rPr/>
        <w:t>depender</w:t>
      </w:r>
      <w:r>
        <w:rPr>
          <w:spacing w:val="-19"/>
        </w:rPr>
        <w:t> </w:t>
      </w:r>
      <w:r>
        <w:rPr/>
        <w:t>del</w:t>
      </w:r>
      <w:r>
        <w:rPr>
          <w:spacing w:val="-19"/>
        </w:rPr>
        <w:t> </w:t>
      </w:r>
      <w:r>
        <w:rPr/>
        <w:t>interés del Presidente o Presidenta</w:t>
      </w:r>
      <w:r>
        <w:rPr>
          <w:spacing w:val="-15"/>
        </w:rPr>
        <w:t> </w:t>
      </w:r>
      <w:r>
        <w:rPr/>
        <w:t>municipal”</w:t>
      </w:r>
    </w:p>
    <w:p>
      <w:pPr>
        <w:pStyle w:val="BodyText"/>
      </w:pPr>
    </w:p>
    <w:p>
      <w:pPr>
        <w:pStyle w:val="BodyText"/>
      </w:pPr>
    </w:p>
    <w:p>
      <w:pPr>
        <w:pStyle w:val="BodyText"/>
        <w:spacing w:line="360" w:lineRule="auto" w:before="185"/>
        <w:ind w:left="108" w:right="116"/>
        <w:jc w:val="both"/>
      </w:pPr>
      <w:r>
        <w:rPr/>
        <w:t>En este contexto tiene pertinencia la reflexión de Michels (1992) cuando señala que la</w:t>
      </w:r>
      <w:r>
        <w:rPr>
          <w:spacing w:val="-17"/>
        </w:rPr>
        <w:t> </w:t>
      </w:r>
      <w:r>
        <w:rPr/>
        <w:t>organización</w:t>
      </w:r>
      <w:r>
        <w:rPr>
          <w:spacing w:val="-19"/>
        </w:rPr>
        <w:t> </w:t>
      </w:r>
      <w:r>
        <w:rPr/>
        <w:t>es</w:t>
      </w:r>
      <w:r>
        <w:rPr>
          <w:spacing w:val="-17"/>
        </w:rPr>
        <w:t> </w:t>
      </w:r>
      <w:r>
        <w:rPr/>
        <w:t>reflejo</w:t>
      </w:r>
      <w:r>
        <w:rPr>
          <w:spacing w:val="-17"/>
        </w:rPr>
        <w:t> </w:t>
      </w:r>
      <w:r>
        <w:rPr/>
        <w:t>de</w:t>
      </w:r>
      <w:r>
        <w:rPr>
          <w:spacing w:val="-17"/>
        </w:rPr>
        <w:t> </w:t>
      </w:r>
      <w:r>
        <w:rPr/>
        <w:t>su</w:t>
      </w:r>
      <w:r>
        <w:rPr>
          <w:spacing w:val="-17"/>
        </w:rPr>
        <w:t> </w:t>
      </w:r>
      <w:r>
        <w:rPr/>
        <w:t>líder</w:t>
      </w:r>
      <w:r>
        <w:rPr>
          <w:spacing w:val="-18"/>
        </w:rPr>
        <w:t> </w:t>
      </w:r>
      <w:r>
        <w:rPr/>
        <w:t>ya</w:t>
      </w:r>
      <w:r>
        <w:rPr>
          <w:spacing w:val="-19"/>
        </w:rPr>
        <w:t> </w:t>
      </w:r>
      <w:r>
        <w:rPr/>
        <w:t>que</w:t>
      </w:r>
      <w:r>
        <w:rPr>
          <w:spacing w:val="-19"/>
        </w:rPr>
        <w:t> </w:t>
      </w:r>
      <w:r>
        <w:rPr/>
        <w:t>de</w:t>
      </w:r>
      <w:r>
        <w:rPr>
          <w:spacing w:val="-21"/>
        </w:rPr>
        <w:t> </w:t>
      </w:r>
      <w:r>
        <w:rPr/>
        <w:t>acuerdo</w:t>
      </w:r>
      <w:r>
        <w:rPr>
          <w:spacing w:val="-19"/>
        </w:rPr>
        <w:t> </w:t>
      </w:r>
      <w:r>
        <w:rPr/>
        <w:t>a</w:t>
      </w:r>
      <w:r>
        <w:rPr>
          <w:spacing w:val="-17"/>
        </w:rPr>
        <w:t> </w:t>
      </w:r>
      <w:r>
        <w:rPr/>
        <w:t>lo</w:t>
      </w:r>
      <w:r>
        <w:rPr>
          <w:spacing w:val="-19"/>
        </w:rPr>
        <w:t> </w:t>
      </w:r>
      <w:r>
        <w:rPr/>
        <w:t>que</w:t>
      </w:r>
      <w:r>
        <w:rPr>
          <w:spacing w:val="-19"/>
        </w:rPr>
        <w:t> </w:t>
      </w:r>
      <w:r>
        <w:rPr/>
        <w:t>afirma</w:t>
      </w:r>
      <w:r>
        <w:rPr>
          <w:spacing w:val="-17"/>
        </w:rPr>
        <w:t> </w:t>
      </w:r>
      <w:r>
        <w:rPr/>
        <w:t>la</w:t>
      </w:r>
      <w:r>
        <w:rPr>
          <w:spacing w:val="-19"/>
        </w:rPr>
        <w:t> </w:t>
      </w:r>
      <w:r>
        <w:rPr/>
        <w:t>responsable la transparencia no es cuestión del partido, sino voluntad política de la presidenta municipal.</w:t>
      </w:r>
      <w:r>
        <w:rPr>
          <w:spacing w:val="-9"/>
        </w:rPr>
        <w:t> </w:t>
      </w:r>
      <w:r>
        <w:rPr/>
        <w:t>La</w:t>
      </w:r>
      <w:r>
        <w:rPr>
          <w:spacing w:val="-9"/>
        </w:rPr>
        <w:t> </w:t>
      </w:r>
      <w:r>
        <w:rPr/>
        <w:t>cual</w:t>
      </w:r>
      <w:r>
        <w:rPr>
          <w:spacing w:val="-10"/>
        </w:rPr>
        <w:t> </w:t>
      </w:r>
      <w:r>
        <w:rPr/>
        <w:t>se</w:t>
      </w:r>
      <w:r>
        <w:rPr>
          <w:spacing w:val="-9"/>
        </w:rPr>
        <w:t> </w:t>
      </w:r>
      <w:r>
        <w:rPr/>
        <w:t>debe</w:t>
      </w:r>
      <w:r>
        <w:rPr>
          <w:spacing w:val="-9"/>
        </w:rPr>
        <w:t> </w:t>
      </w:r>
      <w:r>
        <w:rPr/>
        <w:t>traducir</w:t>
      </w:r>
      <w:r>
        <w:rPr>
          <w:spacing w:val="-10"/>
        </w:rPr>
        <w:t> </w:t>
      </w:r>
      <w:r>
        <w:rPr/>
        <w:t>en</w:t>
      </w:r>
      <w:r>
        <w:rPr>
          <w:spacing w:val="-9"/>
        </w:rPr>
        <w:t> </w:t>
      </w:r>
      <w:r>
        <w:rPr/>
        <w:t>infraestructura,</w:t>
      </w:r>
      <w:r>
        <w:rPr>
          <w:spacing w:val="-9"/>
        </w:rPr>
        <w:t> </w:t>
      </w:r>
      <w:r>
        <w:rPr/>
        <w:t>recursos</w:t>
      </w:r>
      <w:r>
        <w:rPr>
          <w:spacing w:val="-9"/>
        </w:rPr>
        <w:t> </w:t>
      </w:r>
      <w:r>
        <w:rPr/>
        <w:t>humanos,</w:t>
      </w:r>
      <w:r>
        <w:rPr>
          <w:spacing w:val="-9"/>
        </w:rPr>
        <w:t> </w:t>
      </w:r>
      <w:r>
        <w:rPr/>
        <w:t>materiales y tecnológicos para el desarrollo de la</w:t>
      </w:r>
      <w:r>
        <w:rPr>
          <w:spacing w:val="-19"/>
        </w:rPr>
        <w:t> </w:t>
      </w:r>
      <w:r>
        <w:rPr/>
        <w:t>transparencia.</w:t>
      </w:r>
    </w:p>
    <w:p>
      <w:pPr>
        <w:pStyle w:val="BodyText"/>
      </w:pPr>
    </w:p>
    <w:p>
      <w:pPr>
        <w:pStyle w:val="BodyText"/>
      </w:pPr>
    </w:p>
    <w:p>
      <w:pPr>
        <w:pStyle w:val="Heading1"/>
        <w:numPr>
          <w:ilvl w:val="1"/>
          <w:numId w:val="71"/>
        </w:numPr>
        <w:tabs>
          <w:tab w:pos="817" w:val="left" w:leader="none"/>
        </w:tabs>
        <w:spacing w:line="240" w:lineRule="auto" w:before="185" w:after="0"/>
        <w:ind w:left="816" w:right="0" w:hanging="514"/>
        <w:jc w:val="left"/>
      </w:pPr>
      <w:r>
        <w:rPr/>
        <w:t>Participación ciudadana en relación a la</w:t>
      </w:r>
      <w:r>
        <w:rPr>
          <w:spacing w:val="-18"/>
        </w:rPr>
        <w:t> </w:t>
      </w:r>
      <w:r>
        <w:rPr/>
        <w:t>transparencia</w:t>
      </w:r>
    </w:p>
    <w:p>
      <w:pPr>
        <w:pStyle w:val="BodyText"/>
        <w:rPr>
          <w:b/>
        </w:rPr>
      </w:pPr>
    </w:p>
    <w:p>
      <w:pPr>
        <w:pStyle w:val="BodyText"/>
        <w:rPr>
          <w:b/>
        </w:rPr>
      </w:pPr>
    </w:p>
    <w:p>
      <w:pPr>
        <w:pStyle w:val="BodyText"/>
        <w:spacing w:line="360" w:lineRule="auto" w:before="161"/>
        <w:ind w:left="108" w:right="119"/>
        <w:jc w:val="both"/>
      </w:pPr>
      <w:r>
        <w:rPr/>
        <w:t>Contrario a lo que señala el INFOEM que la ciudadanía se interesa más en la transparencia porque se ha registrado un incremento de solicitudes importante, pasando de 572 solicitudes recibidas en 2005 a 8,314 en el año 2014, teniendo incrementos considerables en los años 2009, 2011 y 2013. Se puede señalar que este incremento se solicitudes de información podría deberse a cuestiones electorales</w:t>
      </w:r>
      <w:r>
        <w:rPr>
          <w:spacing w:val="-19"/>
        </w:rPr>
        <w:t> </w:t>
      </w:r>
      <w:r>
        <w:rPr/>
        <w:t>y</w:t>
      </w:r>
      <w:r>
        <w:rPr>
          <w:spacing w:val="-21"/>
        </w:rPr>
        <w:t> </w:t>
      </w:r>
      <w:r>
        <w:rPr/>
        <w:t>no</w:t>
      </w:r>
      <w:r>
        <w:rPr>
          <w:spacing w:val="-18"/>
        </w:rPr>
        <w:t> </w:t>
      </w:r>
      <w:r>
        <w:rPr/>
        <w:t>al</w:t>
      </w:r>
      <w:r>
        <w:rPr>
          <w:spacing w:val="-19"/>
        </w:rPr>
        <w:t> </w:t>
      </w:r>
      <w:r>
        <w:rPr/>
        <w:t>interés</w:t>
      </w:r>
      <w:r>
        <w:rPr>
          <w:spacing w:val="-19"/>
        </w:rPr>
        <w:t> </w:t>
      </w:r>
      <w:r>
        <w:rPr/>
        <w:t>de</w:t>
      </w:r>
      <w:r>
        <w:rPr>
          <w:spacing w:val="-18"/>
        </w:rPr>
        <w:t> </w:t>
      </w:r>
      <w:r>
        <w:rPr/>
        <w:t>la</w:t>
      </w:r>
      <w:r>
        <w:rPr>
          <w:spacing w:val="-18"/>
        </w:rPr>
        <w:t> </w:t>
      </w:r>
      <w:r>
        <w:rPr/>
        <w:t>ciudadanía</w:t>
      </w:r>
      <w:r>
        <w:rPr>
          <w:spacing w:val="-18"/>
        </w:rPr>
        <w:t> </w:t>
      </w:r>
      <w:r>
        <w:rPr/>
        <w:t>tal</w:t>
      </w:r>
      <w:r>
        <w:rPr>
          <w:spacing w:val="-19"/>
        </w:rPr>
        <w:t> </w:t>
      </w:r>
      <w:r>
        <w:rPr/>
        <w:t>como</w:t>
      </w:r>
      <w:r>
        <w:rPr>
          <w:spacing w:val="-20"/>
        </w:rPr>
        <w:t> </w:t>
      </w:r>
      <w:r>
        <w:rPr/>
        <w:t>afirma</w:t>
      </w:r>
      <w:r>
        <w:rPr>
          <w:spacing w:val="-18"/>
        </w:rPr>
        <w:t> </w:t>
      </w:r>
      <w:r>
        <w:rPr/>
        <w:t>Bertha</w:t>
      </w:r>
      <w:r>
        <w:rPr>
          <w:spacing w:val="-18"/>
        </w:rPr>
        <w:t> </w:t>
      </w:r>
      <w:r>
        <w:rPr/>
        <w:t>Lilia</w:t>
      </w:r>
      <w:r>
        <w:rPr>
          <w:spacing w:val="-18"/>
        </w:rPr>
        <w:t> </w:t>
      </w:r>
      <w:r>
        <w:rPr/>
        <w:t>cuando</w:t>
      </w:r>
      <w:r>
        <w:rPr>
          <w:spacing w:val="-18"/>
        </w:rPr>
        <w:t> </w:t>
      </w:r>
      <w:r>
        <w:rPr/>
        <w:t>señala lo</w:t>
      </w:r>
      <w:r>
        <w:rPr>
          <w:spacing w:val="-1"/>
        </w:rPr>
        <w:t> </w:t>
      </w:r>
      <w:r>
        <w:rPr/>
        <w:t>siguiente:</w:t>
      </w:r>
    </w:p>
    <w:p>
      <w:pPr>
        <w:spacing w:after="0" w:line="360" w:lineRule="auto"/>
        <w:jc w:val="both"/>
        <w:sectPr>
          <w:pgSz w:w="12240" w:h="15840"/>
          <w:pgMar w:header="0" w:footer="975" w:top="1360" w:bottom="1220" w:left="1500" w:right="1580"/>
        </w:sectPr>
      </w:pPr>
    </w:p>
    <w:p>
      <w:pPr>
        <w:spacing w:line="360" w:lineRule="auto" w:before="51"/>
        <w:ind w:left="1241" w:right="1280" w:firstLine="0"/>
        <w:jc w:val="both"/>
        <w:rPr>
          <w:sz w:val="24"/>
        </w:rPr>
      </w:pPr>
      <w:r>
        <w:rPr>
          <w:sz w:val="24"/>
        </w:rPr>
        <w:t>“</w:t>
      </w:r>
      <w:r>
        <w:rPr>
          <w:i/>
          <w:sz w:val="24"/>
        </w:rPr>
        <w:t>el año pasado atendimos unas cuatro, pero ahora que </w:t>
      </w:r>
      <w:r>
        <w:rPr>
          <w:i/>
          <w:sz w:val="24"/>
        </w:rPr>
        <w:t>estamos</w:t>
      </w:r>
      <w:r>
        <w:rPr>
          <w:i/>
          <w:spacing w:val="-9"/>
          <w:sz w:val="24"/>
        </w:rPr>
        <w:t> </w:t>
      </w:r>
      <w:r>
        <w:rPr>
          <w:i/>
          <w:sz w:val="24"/>
        </w:rPr>
        <w:t>iniciando</w:t>
      </w:r>
      <w:r>
        <w:rPr>
          <w:i/>
          <w:spacing w:val="-8"/>
          <w:sz w:val="24"/>
        </w:rPr>
        <w:t> </w:t>
      </w:r>
      <w:r>
        <w:rPr>
          <w:i/>
          <w:sz w:val="24"/>
        </w:rPr>
        <w:t>yo</w:t>
      </w:r>
      <w:r>
        <w:rPr>
          <w:i/>
          <w:spacing w:val="-11"/>
          <w:sz w:val="24"/>
        </w:rPr>
        <w:t> </w:t>
      </w:r>
      <w:r>
        <w:rPr>
          <w:i/>
          <w:sz w:val="24"/>
        </w:rPr>
        <w:t>creo</w:t>
      </w:r>
      <w:r>
        <w:rPr>
          <w:i/>
          <w:spacing w:val="-8"/>
          <w:sz w:val="24"/>
        </w:rPr>
        <w:t> </w:t>
      </w:r>
      <w:r>
        <w:rPr>
          <w:i/>
          <w:sz w:val="24"/>
        </w:rPr>
        <w:t>que</w:t>
      </w:r>
      <w:r>
        <w:rPr>
          <w:i/>
          <w:spacing w:val="-11"/>
          <w:sz w:val="24"/>
        </w:rPr>
        <w:t> </w:t>
      </w:r>
      <w:r>
        <w:rPr>
          <w:i/>
          <w:sz w:val="24"/>
        </w:rPr>
        <w:t>unas</w:t>
      </w:r>
      <w:r>
        <w:rPr>
          <w:i/>
          <w:spacing w:val="-9"/>
          <w:sz w:val="24"/>
        </w:rPr>
        <w:t> </w:t>
      </w:r>
      <w:r>
        <w:rPr>
          <w:i/>
          <w:sz w:val="24"/>
        </w:rPr>
        <w:t>2,</w:t>
      </w:r>
      <w:r>
        <w:rPr>
          <w:i/>
          <w:spacing w:val="-11"/>
          <w:sz w:val="24"/>
        </w:rPr>
        <w:t> </w:t>
      </w:r>
      <w:r>
        <w:rPr>
          <w:i/>
          <w:sz w:val="24"/>
        </w:rPr>
        <w:t>ha</w:t>
      </w:r>
      <w:r>
        <w:rPr>
          <w:i/>
          <w:spacing w:val="-8"/>
          <w:sz w:val="24"/>
        </w:rPr>
        <w:t> </w:t>
      </w:r>
      <w:r>
        <w:rPr>
          <w:i/>
          <w:sz w:val="24"/>
        </w:rPr>
        <w:t>bajado.</w:t>
      </w:r>
      <w:r>
        <w:rPr>
          <w:i/>
          <w:spacing w:val="-11"/>
          <w:sz w:val="24"/>
        </w:rPr>
        <w:t> </w:t>
      </w:r>
      <w:r>
        <w:rPr>
          <w:i/>
          <w:sz w:val="24"/>
        </w:rPr>
        <w:t>Ahora</w:t>
      </w:r>
      <w:r>
        <w:rPr>
          <w:i/>
          <w:spacing w:val="-11"/>
          <w:sz w:val="24"/>
        </w:rPr>
        <w:t> </w:t>
      </w:r>
      <w:r>
        <w:rPr>
          <w:i/>
          <w:sz w:val="24"/>
        </w:rPr>
        <w:t>en</w:t>
      </w:r>
      <w:r>
        <w:rPr>
          <w:i/>
          <w:spacing w:val="-8"/>
          <w:sz w:val="24"/>
        </w:rPr>
        <w:t> </w:t>
      </w:r>
      <w:r>
        <w:rPr>
          <w:i/>
          <w:sz w:val="24"/>
        </w:rPr>
        <w:t>los procesos electorales a lo mejor aumenta esta cifra, eso refleja que</w:t>
      </w:r>
      <w:r>
        <w:rPr>
          <w:i/>
          <w:spacing w:val="-8"/>
          <w:sz w:val="24"/>
        </w:rPr>
        <w:t> </w:t>
      </w:r>
      <w:r>
        <w:rPr>
          <w:i/>
          <w:sz w:val="24"/>
        </w:rPr>
        <w:t>la</w:t>
      </w:r>
      <w:r>
        <w:rPr>
          <w:i/>
          <w:spacing w:val="-10"/>
          <w:sz w:val="24"/>
        </w:rPr>
        <w:t> </w:t>
      </w:r>
      <w:r>
        <w:rPr>
          <w:i/>
          <w:sz w:val="24"/>
        </w:rPr>
        <w:t>comunidad</w:t>
      </w:r>
      <w:r>
        <w:rPr>
          <w:i/>
          <w:spacing w:val="-10"/>
          <w:sz w:val="24"/>
        </w:rPr>
        <w:t> </w:t>
      </w:r>
      <w:r>
        <w:rPr>
          <w:i/>
          <w:sz w:val="24"/>
        </w:rPr>
        <w:t>que</w:t>
      </w:r>
      <w:r>
        <w:rPr>
          <w:i/>
          <w:spacing w:val="-10"/>
          <w:sz w:val="24"/>
        </w:rPr>
        <w:t> </w:t>
      </w:r>
      <w:r>
        <w:rPr>
          <w:i/>
          <w:sz w:val="24"/>
        </w:rPr>
        <w:t>no</w:t>
      </w:r>
      <w:r>
        <w:rPr>
          <w:i/>
          <w:spacing w:val="-8"/>
          <w:sz w:val="24"/>
        </w:rPr>
        <w:t> </w:t>
      </w:r>
      <w:r>
        <w:rPr>
          <w:i/>
          <w:sz w:val="24"/>
        </w:rPr>
        <w:t>le</w:t>
      </w:r>
      <w:r>
        <w:rPr>
          <w:i/>
          <w:spacing w:val="-9"/>
          <w:sz w:val="24"/>
        </w:rPr>
        <w:t> </w:t>
      </w:r>
      <w:r>
        <w:rPr>
          <w:i/>
          <w:sz w:val="24"/>
        </w:rPr>
        <w:t>interesa</w:t>
      </w:r>
      <w:r>
        <w:rPr>
          <w:i/>
          <w:spacing w:val="-9"/>
          <w:sz w:val="24"/>
        </w:rPr>
        <w:t> </w:t>
      </w:r>
      <w:r>
        <w:rPr>
          <w:i/>
          <w:sz w:val="24"/>
        </w:rPr>
        <w:t>lo</w:t>
      </w:r>
      <w:r>
        <w:rPr>
          <w:i/>
          <w:spacing w:val="-9"/>
          <w:sz w:val="24"/>
        </w:rPr>
        <w:t> </w:t>
      </w:r>
      <w:r>
        <w:rPr>
          <w:i/>
          <w:sz w:val="24"/>
        </w:rPr>
        <w:t>que</w:t>
      </w:r>
      <w:r>
        <w:rPr>
          <w:i/>
          <w:spacing w:val="-10"/>
          <w:sz w:val="24"/>
        </w:rPr>
        <w:t> </w:t>
      </w:r>
      <w:r>
        <w:rPr>
          <w:i/>
          <w:sz w:val="24"/>
        </w:rPr>
        <w:t>estamos</w:t>
      </w:r>
      <w:r>
        <w:rPr>
          <w:i/>
          <w:spacing w:val="-9"/>
          <w:sz w:val="24"/>
        </w:rPr>
        <w:t> </w:t>
      </w:r>
      <w:r>
        <w:rPr>
          <w:i/>
          <w:sz w:val="24"/>
        </w:rPr>
        <w:t>haciendo</w:t>
      </w:r>
      <w:r>
        <w:rPr>
          <w:sz w:val="24"/>
        </w:rPr>
        <w:t>”</w:t>
      </w:r>
    </w:p>
    <w:p>
      <w:pPr>
        <w:pStyle w:val="BodyText"/>
      </w:pPr>
    </w:p>
    <w:p>
      <w:pPr>
        <w:pStyle w:val="BodyText"/>
      </w:pPr>
    </w:p>
    <w:p>
      <w:pPr>
        <w:pStyle w:val="BodyText"/>
        <w:spacing w:line="360" w:lineRule="auto" w:before="187"/>
        <w:ind w:left="108" w:right="98"/>
        <w:jc w:val="both"/>
      </w:pPr>
      <w:r>
        <w:rPr/>
        <w:t>Esta afirmación que hace la responsable de transparencia es importante debido a tres</w:t>
      </w:r>
      <w:r>
        <w:rPr>
          <w:spacing w:val="-9"/>
        </w:rPr>
        <w:t> </w:t>
      </w:r>
      <w:r>
        <w:rPr/>
        <w:t>elementos:</w:t>
      </w:r>
      <w:r>
        <w:rPr>
          <w:spacing w:val="-10"/>
        </w:rPr>
        <w:t> </w:t>
      </w:r>
      <w:r>
        <w:rPr/>
        <w:t>primero,</w:t>
      </w:r>
      <w:r>
        <w:rPr>
          <w:spacing w:val="-9"/>
        </w:rPr>
        <w:t> </w:t>
      </w:r>
      <w:r>
        <w:rPr/>
        <w:t>ella</w:t>
      </w:r>
      <w:r>
        <w:rPr>
          <w:spacing w:val="-8"/>
        </w:rPr>
        <w:t> </w:t>
      </w:r>
      <w:r>
        <w:rPr/>
        <w:t>tiene</w:t>
      </w:r>
      <w:r>
        <w:rPr>
          <w:spacing w:val="-11"/>
        </w:rPr>
        <w:t> </w:t>
      </w:r>
      <w:r>
        <w:rPr/>
        <w:t>formación</w:t>
      </w:r>
      <w:r>
        <w:rPr>
          <w:spacing w:val="-11"/>
        </w:rPr>
        <w:t> </w:t>
      </w:r>
      <w:r>
        <w:rPr/>
        <w:t>de</w:t>
      </w:r>
      <w:r>
        <w:rPr>
          <w:spacing w:val="-8"/>
        </w:rPr>
        <w:t> </w:t>
      </w:r>
      <w:r>
        <w:rPr/>
        <w:t>politóloga</w:t>
      </w:r>
      <w:r>
        <w:rPr>
          <w:spacing w:val="-8"/>
        </w:rPr>
        <w:t> </w:t>
      </w:r>
      <w:r>
        <w:rPr/>
        <w:t>y</w:t>
      </w:r>
      <w:r>
        <w:rPr>
          <w:spacing w:val="-12"/>
        </w:rPr>
        <w:t> </w:t>
      </w:r>
      <w:r>
        <w:rPr/>
        <w:t>es</w:t>
      </w:r>
      <w:r>
        <w:rPr>
          <w:spacing w:val="-9"/>
        </w:rPr>
        <w:t> </w:t>
      </w:r>
      <w:r>
        <w:rPr/>
        <w:t>consciente</w:t>
      </w:r>
      <w:r>
        <w:rPr>
          <w:spacing w:val="-10"/>
        </w:rPr>
        <w:t> </w:t>
      </w:r>
      <w:r>
        <w:rPr/>
        <w:t>de</w:t>
      </w:r>
      <w:r>
        <w:rPr>
          <w:spacing w:val="-8"/>
        </w:rPr>
        <w:t> </w:t>
      </w:r>
      <w:r>
        <w:rPr/>
        <w:t>que</w:t>
      </w:r>
      <w:r>
        <w:rPr>
          <w:spacing w:val="-8"/>
        </w:rPr>
        <w:t> </w:t>
      </w:r>
      <w:r>
        <w:rPr/>
        <w:t>en esos periodos en que se incrementaron las solicitudes se desarrollaron elecciones de Presidente de la República (2012), Gobernador del Estado de México (2011) y Presidentes Municipales (2009 y 2012) y la demanda de solicitudes de información baja cuando terminan los periodos electorales en el año 2012. En este escenario tiene pertinencia la afirmación de Goffman (1981), cuando señala que los</w:t>
      </w:r>
      <w:r>
        <w:rPr>
          <w:spacing w:val="-38"/>
        </w:rPr>
        <w:t> </w:t>
      </w:r>
      <w:r>
        <w:rPr/>
        <w:t>individuos constantemente</w:t>
      </w:r>
      <w:r>
        <w:rPr>
          <w:spacing w:val="-18"/>
        </w:rPr>
        <w:t> </w:t>
      </w:r>
      <w:r>
        <w:rPr/>
        <w:t>estamos</w:t>
      </w:r>
      <w:r>
        <w:rPr>
          <w:spacing w:val="-17"/>
        </w:rPr>
        <w:t> </w:t>
      </w:r>
      <w:r>
        <w:rPr/>
        <w:t>cambiando</w:t>
      </w:r>
      <w:r>
        <w:rPr>
          <w:spacing w:val="-19"/>
        </w:rPr>
        <w:t> </w:t>
      </w:r>
      <w:r>
        <w:rPr/>
        <w:t>de</w:t>
      </w:r>
      <w:r>
        <w:rPr>
          <w:spacing w:val="-18"/>
        </w:rPr>
        <w:t> </w:t>
      </w:r>
      <w:r>
        <w:rPr/>
        <w:t>máscara</w:t>
      </w:r>
      <w:r>
        <w:rPr>
          <w:spacing w:val="-17"/>
        </w:rPr>
        <w:t> </w:t>
      </w:r>
      <w:r>
        <w:rPr/>
        <w:t>según</w:t>
      </w:r>
      <w:r>
        <w:rPr>
          <w:spacing w:val="-17"/>
        </w:rPr>
        <w:t> </w:t>
      </w:r>
      <w:r>
        <w:rPr/>
        <w:t>la</w:t>
      </w:r>
      <w:r>
        <w:rPr>
          <w:spacing w:val="-19"/>
        </w:rPr>
        <w:t> </w:t>
      </w:r>
      <w:r>
        <w:rPr/>
        <w:t>situación.</w:t>
      </w:r>
      <w:r>
        <w:rPr>
          <w:spacing w:val="-19"/>
        </w:rPr>
        <w:t> </w:t>
      </w:r>
      <w:r>
        <w:rPr/>
        <w:t>En</w:t>
      </w:r>
      <w:r>
        <w:rPr>
          <w:spacing w:val="-19"/>
        </w:rPr>
        <w:t> </w:t>
      </w:r>
      <w:r>
        <w:rPr/>
        <w:t>este</w:t>
      </w:r>
      <w:r>
        <w:rPr>
          <w:spacing w:val="-18"/>
        </w:rPr>
        <w:t> </w:t>
      </w:r>
      <w:r>
        <w:rPr/>
        <w:t>sentido, durante los periodos electorales se crea un escenario teatral que presenta hechos ficticios</w:t>
      </w:r>
      <w:r>
        <w:rPr>
          <w:spacing w:val="-4"/>
        </w:rPr>
        <w:t> </w:t>
      </w:r>
      <w:r>
        <w:rPr/>
        <w:t>(promesas</w:t>
      </w:r>
      <w:r>
        <w:rPr>
          <w:spacing w:val="-4"/>
        </w:rPr>
        <w:t> </w:t>
      </w:r>
      <w:r>
        <w:rPr/>
        <w:t>de</w:t>
      </w:r>
      <w:r>
        <w:rPr>
          <w:spacing w:val="-6"/>
        </w:rPr>
        <w:t> </w:t>
      </w:r>
      <w:r>
        <w:rPr/>
        <w:t>campaña)</w:t>
      </w:r>
      <w:r>
        <w:rPr>
          <w:spacing w:val="-5"/>
        </w:rPr>
        <w:t> </w:t>
      </w:r>
      <w:r>
        <w:rPr/>
        <w:t>y</w:t>
      </w:r>
      <w:r>
        <w:rPr>
          <w:spacing w:val="-7"/>
        </w:rPr>
        <w:t> </w:t>
      </w:r>
      <w:r>
        <w:rPr/>
        <w:t>el</w:t>
      </w:r>
      <w:r>
        <w:rPr>
          <w:spacing w:val="-5"/>
        </w:rPr>
        <w:t> </w:t>
      </w:r>
      <w:r>
        <w:rPr/>
        <w:t>papel</w:t>
      </w:r>
      <w:r>
        <w:rPr>
          <w:spacing w:val="-5"/>
        </w:rPr>
        <w:t> </w:t>
      </w:r>
      <w:r>
        <w:rPr/>
        <w:t>que</w:t>
      </w:r>
      <w:r>
        <w:rPr>
          <w:spacing w:val="-4"/>
        </w:rPr>
        <w:t> </w:t>
      </w:r>
      <w:r>
        <w:rPr/>
        <w:t>desempeña</w:t>
      </w:r>
      <w:r>
        <w:rPr>
          <w:spacing w:val="-6"/>
        </w:rPr>
        <w:t> </w:t>
      </w:r>
      <w:r>
        <w:rPr/>
        <w:t>un</w:t>
      </w:r>
      <w:r>
        <w:rPr>
          <w:spacing w:val="-4"/>
        </w:rPr>
        <w:t> </w:t>
      </w:r>
      <w:r>
        <w:rPr/>
        <w:t>individuo</w:t>
      </w:r>
      <w:r>
        <w:rPr>
          <w:spacing w:val="-4"/>
        </w:rPr>
        <w:t> </w:t>
      </w:r>
      <w:r>
        <w:rPr/>
        <w:t>(candidato) se ajusta a los papeles representados por los otros individuos presentes (grupos de interés), pero una vez que esos candidatos llegan al poder, utilizan la información para</w:t>
      </w:r>
      <w:r>
        <w:rPr>
          <w:spacing w:val="-9"/>
        </w:rPr>
        <w:t> </w:t>
      </w:r>
      <w:r>
        <w:rPr/>
        <w:t>que</w:t>
      </w:r>
      <w:r>
        <w:rPr>
          <w:spacing w:val="-8"/>
        </w:rPr>
        <w:t> </w:t>
      </w:r>
      <w:r>
        <w:rPr/>
        <w:t>ésta</w:t>
      </w:r>
      <w:r>
        <w:rPr>
          <w:spacing w:val="-8"/>
        </w:rPr>
        <w:t> </w:t>
      </w:r>
      <w:r>
        <w:rPr/>
        <w:t>sólo</w:t>
      </w:r>
      <w:r>
        <w:rPr>
          <w:spacing w:val="-9"/>
        </w:rPr>
        <w:t> </w:t>
      </w:r>
      <w:r>
        <w:rPr/>
        <w:t>evidencie</w:t>
      </w:r>
      <w:r>
        <w:rPr>
          <w:spacing w:val="-9"/>
        </w:rPr>
        <w:t> </w:t>
      </w:r>
      <w:r>
        <w:rPr/>
        <w:t>los</w:t>
      </w:r>
      <w:r>
        <w:rPr>
          <w:spacing w:val="-9"/>
        </w:rPr>
        <w:t> </w:t>
      </w:r>
      <w:r>
        <w:rPr/>
        <w:t>logros</w:t>
      </w:r>
      <w:r>
        <w:rPr>
          <w:spacing w:val="-9"/>
        </w:rPr>
        <w:t> </w:t>
      </w:r>
      <w:r>
        <w:rPr/>
        <w:t>obtenidos</w:t>
      </w:r>
      <w:r>
        <w:rPr>
          <w:spacing w:val="-9"/>
        </w:rPr>
        <w:t> </w:t>
      </w:r>
      <w:r>
        <w:rPr/>
        <w:t>durante</w:t>
      </w:r>
      <w:r>
        <w:rPr>
          <w:spacing w:val="-8"/>
        </w:rPr>
        <w:t> </w:t>
      </w:r>
      <w:r>
        <w:rPr/>
        <w:t>su</w:t>
      </w:r>
      <w:r>
        <w:rPr>
          <w:spacing w:val="-8"/>
        </w:rPr>
        <w:t> </w:t>
      </w:r>
      <w:r>
        <w:rPr/>
        <w:t>gestión</w:t>
      </w:r>
      <w:r>
        <w:rPr>
          <w:spacing w:val="-8"/>
        </w:rPr>
        <w:t> </w:t>
      </w:r>
      <w:r>
        <w:rPr/>
        <w:t>y</w:t>
      </w:r>
      <w:r>
        <w:rPr>
          <w:spacing w:val="-12"/>
        </w:rPr>
        <w:t> </w:t>
      </w:r>
      <w:r>
        <w:rPr/>
        <w:t>se</w:t>
      </w:r>
      <w:r>
        <w:rPr>
          <w:spacing w:val="-8"/>
        </w:rPr>
        <w:t> </w:t>
      </w:r>
      <w:r>
        <w:rPr/>
        <w:t>ocultan</w:t>
      </w:r>
      <w:r>
        <w:rPr>
          <w:spacing w:val="-8"/>
        </w:rPr>
        <w:t> </w:t>
      </w:r>
      <w:r>
        <w:rPr/>
        <w:t>los rezagos, problemas y corrupción que se generan en su periodo de gobierno. La transparencia</w:t>
      </w:r>
      <w:r>
        <w:rPr>
          <w:spacing w:val="-6"/>
        </w:rPr>
        <w:t> </w:t>
      </w:r>
      <w:r>
        <w:rPr/>
        <w:t>entonces,</w:t>
      </w:r>
      <w:r>
        <w:rPr>
          <w:spacing w:val="-6"/>
        </w:rPr>
        <w:t> </w:t>
      </w:r>
      <w:r>
        <w:rPr/>
        <w:t>cumple</w:t>
      </w:r>
      <w:r>
        <w:rPr>
          <w:spacing w:val="-6"/>
        </w:rPr>
        <w:t> </w:t>
      </w:r>
      <w:r>
        <w:rPr/>
        <w:t>la</w:t>
      </w:r>
      <w:r>
        <w:rPr>
          <w:spacing w:val="-9"/>
        </w:rPr>
        <w:t> </w:t>
      </w:r>
      <w:r>
        <w:rPr/>
        <w:t>función</w:t>
      </w:r>
      <w:r>
        <w:rPr>
          <w:spacing w:val="-6"/>
        </w:rPr>
        <w:t> </w:t>
      </w:r>
      <w:r>
        <w:rPr/>
        <w:t>de</w:t>
      </w:r>
      <w:r>
        <w:rPr>
          <w:spacing w:val="-8"/>
        </w:rPr>
        <w:t> </w:t>
      </w:r>
      <w:r>
        <w:rPr/>
        <w:t>hacer</w:t>
      </w:r>
      <w:r>
        <w:rPr>
          <w:spacing w:val="-7"/>
        </w:rPr>
        <w:t> </w:t>
      </w:r>
      <w:r>
        <w:rPr/>
        <w:t>públicos</w:t>
      </w:r>
      <w:r>
        <w:rPr>
          <w:spacing w:val="-7"/>
        </w:rPr>
        <w:t> </w:t>
      </w:r>
      <w:r>
        <w:rPr/>
        <w:t>ambas</w:t>
      </w:r>
      <w:r>
        <w:rPr>
          <w:spacing w:val="-9"/>
        </w:rPr>
        <w:t> </w:t>
      </w:r>
      <w:r>
        <w:rPr/>
        <w:t>cosas,</w:t>
      </w:r>
      <w:r>
        <w:rPr>
          <w:spacing w:val="-6"/>
        </w:rPr>
        <w:t> </w:t>
      </w:r>
      <w:r>
        <w:rPr/>
        <w:t>lo</w:t>
      </w:r>
      <w:r>
        <w:rPr>
          <w:spacing w:val="-9"/>
        </w:rPr>
        <w:t> </w:t>
      </w:r>
      <w:r>
        <w:rPr/>
        <w:t>bueno y lo malo de la gestión</w:t>
      </w:r>
      <w:r>
        <w:rPr>
          <w:spacing w:val="-12"/>
        </w:rPr>
        <w:t> </w:t>
      </w:r>
      <w:r>
        <w:rPr/>
        <w:t>pública.</w:t>
      </w: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Heading1"/>
        <w:numPr>
          <w:ilvl w:val="1"/>
          <w:numId w:val="71"/>
        </w:numPr>
        <w:tabs>
          <w:tab w:pos="817" w:val="left" w:leader="none"/>
        </w:tabs>
        <w:spacing w:line="240" w:lineRule="auto" w:before="0" w:after="0"/>
        <w:ind w:left="816" w:right="0" w:hanging="578"/>
        <w:jc w:val="left"/>
      </w:pPr>
      <w:r>
        <w:rPr/>
        <w:t>Limitantes de la</w:t>
      </w:r>
      <w:r>
        <w:rPr>
          <w:spacing w:val="-7"/>
        </w:rPr>
        <w:t> </w:t>
      </w:r>
      <w:r>
        <w:rPr/>
        <w:t>transparencia</w:t>
      </w:r>
    </w:p>
    <w:p>
      <w:pPr>
        <w:pStyle w:val="BodyText"/>
        <w:rPr>
          <w:b/>
        </w:rPr>
      </w:pPr>
    </w:p>
    <w:p>
      <w:pPr>
        <w:pStyle w:val="BodyText"/>
        <w:rPr>
          <w:b/>
        </w:rPr>
      </w:pPr>
    </w:p>
    <w:p>
      <w:pPr>
        <w:pStyle w:val="BodyText"/>
        <w:spacing w:line="360" w:lineRule="auto" w:before="161"/>
        <w:ind w:left="108" w:right="180"/>
        <w:jc w:val="both"/>
      </w:pPr>
      <w:r>
        <w:rPr/>
        <w:t>Dentro de las principales limitantes que señaló la entrevistada para el desarrollo de sus funciones se encuentran las siguientes:</w:t>
      </w:r>
    </w:p>
    <w:p>
      <w:pPr>
        <w:spacing w:after="0" w:line="360" w:lineRule="auto"/>
        <w:jc w:val="both"/>
        <w:sectPr>
          <w:pgSz w:w="12240" w:h="15840"/>
          <w:pgMar w:header="0" w:footer="975" w:top="1360" w:bottom="1220" w:left="1500" w:right="1600"/>
        </w:sectPr>
      </w:pPr>
    </w:p>
    <w:p>
      <w:pPr>
        <w:pStyle w:val="BodyText"/>
        <w:rPr>
          <w:sz w:val="20"/>
        </w:rPr>
      </w:pPr>
    </w:p>
    <w:p>
      <w:pPr>
        <w:pStyle w:val="BodyText"/>
        <w:spacing w:before="7"/>
        <w:rPr>
          <w:sz w:val="16"/>
        </w:rPr>
      </w:pPr>
    </w:p>
    <w:p>
      <w:pPr>
        <w:pStyle w:val="BodyText"/>
        <w:spacing w:line="360" w:lineRule="auto" w:before="69"/>
        <w:ind w:left="1241" w:right="1111"/>
        <w:jc w:val="both"/>
      </w:pPr>
      <w:r>
        <w:rPr/>
        <w:t>“Limitantes,</w:t>
      </w:r>
      <w:r>
        <w:rPr>
          <w:spacing w:val="-11"/>
        </w:rPr>
        <w:t> </w:t>
      </w:r>
      <w:r>
        <w:rPr/>
        <w:t>yo</w:t>
      </w:r>
      <w:r>
        <w:rPr>
          <w:spacing w:val="-11"/>
        </w:rPr>
        <w:t> </w:t>
      </w:r>
      <w:r>
        <w:rPr/>
        <w:t>creo</w:t>
      </w:r>
      <w:r>
        <w:rPr>
          <w:spacing w:val="-11"/>
        </w:rPr>
        <w:t> </w:t>
      </w:r>
      <w:r>
        <w:rPr/>
        <w:t>que,</w:t>
      </w:r>
      <w:r>
        <w:rPr>
          <w:spacing w:val="-11"/>
        </w:rPr>
        <w:t> </w:t>
      </w:r>
      <w:r>
        <w:rPr/>
        <w:t>la</w:t>
      </w:r>
      <w:r>
        <w:rPr>
          <w:spacing w:val="-11"/>
        </w:rPr>
        <w:t> </w:t>
      </w:r>
      <w:r>
        <w:rPr/>
        <w:t>ideología</w:t>
      </w:r>
      <w:r>
        <w:rPr>
          <w:spacing w:val="-11"/>
        </w:rPr>
        <w:t> </w:t>
      </w:r>
      <w:r>
        <w:rPr/>
        <w:t>de</w:t>
      </w:r>
      <w:r>
        <w:rPr>
          <w:spacing w:val="-11"/>
        </w:rPr>
        <w:t> </w:t>
      </w:r>
      <w:r>
        <w:rPr/>
        <w:t>la</w:t>
      </w:r>
      <w:r>
        <w:rPr>
          <w:spacing w:val="-11"/>
        </w:rPr>
        <w:t> </w:t>
      </w:r>
      <w:r>
        <w:rPr/>
        <w:t>voluntad</w:t>
      </w:r>
      <w:r>
        <w:rPr>
          <w:spacing w:val="-11"/>
        </w:rPr>
        <w:t> </w:t>
      </w:r>
      <w:r>
        <w:rPr/>
        <w:t>política</w:t>
      </w:r>
      <w:r>
        <w:rPr>
          <w:spacing w:val="-11"/>
        </w:rPr>
        <w:t> </w:t>
      </w:r>
      <w:r>
        <w:rPr/>
        <w:t>al</w:t>
      </w:r>
      <w:r>
        <w:rPr>
          <w:spacing w:val="-12"/>
        </w:rPr>
        <w:t> </w:t>
      </w:r>
      <w:r>
        <w:rPr/>
        <w:t>no querer entregar las cosas que les pedimos y yo creo que la segunda es la falta de infraestructura que pudiera incluirse en los recursos humanos, materiales y tecnológicos porque desafortunadamente y platicando con otros compañeritos de otros municipios no hay área culpable como tal. Siempre se comparten con otras. Yo creo que es la falta de recursos presupuestarios</w:t>
      </w:r>
      <w:r>
        <w:rPr>
          <w:spacing w:val="-10"/>
        </w:rPr>
        <w:t> </w:t>
      </w:r>
      <w:r>
        <w:rPr/>
        <w:t>porque</w:t>
      </w:r>
      <w:r>
        <w:rPr>
          <w:spacing w:val="-9"/>
        </w:rPr>
        <w:t> </w:t>
      </w:r>
      <w:r>
        <w:rPr/>
        <w:t>los</w:t>
      </w:r>
      <w:r>
        <w:rPr>
          <w:spacing w:val="-10"/>
        </w:rPr>
        <w:t> </w:t>
      </w:r>
      <w:r>
        <w:rPr/>
        <w:t>responsables</w:t>
      </w:r>
      <w:r>
        <w:rPr>
          <w:spacing w:val="-13"/>
        </w:rPr>
        <w:t> </w:t>
      </w:r>
      <w:r>
        <w:rPr/>
        <w:t>llevamos</w:t>
      </w:r>
      <w:r>
        <w:rPr>
          <w:spacing w:val="-13"/>
        </w:rPr>
        <w:t> </w:t>
      </w:r>
      <w:r>
        <w:rPr/>
        <w:t>otras</w:t>
      </w:r>
      <w:r>
        <w:rPr>
          <w:spacing w:val="-13"/>
        </w:rPr>
        <w:t> </w:t>
      </w:r>
      <w:r>
        <w:rPr/>
        <w:t>áreas</w:t>
      </w:r>
      <w:r>
        <w:rPr>
          <w:spacing w:val="-10"/>
        </w:rPr>
        <w:t> </w:t>
      </w:r>
      <w:r>
        <w:rPr/>
        <w:t>y no le dedicamos mucho a la transparencia porque a lo mejor se pudiera</w:t>
      </w:r>
      <w:r>
        <w:rPr>
          <w:spacing w:val="-16"/>
        </w:rPr>
        <w:t> </w:t>
      </w:r>
      <w:r>
        <w:rPr/>
        <w:t>tener</w:t>
      </w:r>
      <w:r>
        <w:rPr>
          <w:spacing w:val="-15"/>
        </w:rPr>
        <w:t> </w:t>
      </w:r>
      <w:r>
        <w:rPr/>
        <w:t>una</w:t>
      </w:r>
      <w:r>
        <w:rPr>
          <w:spacing w:val="-13"/>
        </w:rPr>
        <w:t> </w:t>
      </w:r>
      <w:r>
        <w:rPr/>
        <w:t>área</w:t>
      </w:r>
      <w:r>
        <w:rPr>
          <w:spacing w:val="-16"/>
        </w:rPr>
        <w:t> </w:t>
      </w:r>
      <w:r>
        <w:rPr/>
        <w:t>especial</w:t>
      </w:r>
      <w:r>
        <w:rPr>
          <w:spacing w:val="-16"/>
        </w:rPr>
        <w:t> </w:t>
      </w:r>
      <w:r>
        <w:rPr/>
        <w:t>pero</w:t>
      </w:r>
      <w:r>
        <w:rPr>
          <w:spacing w:val="-16"/>
        </w:rPr>
        <w:t> </w:t>
      </w:r>
      <w:r>
        <w:rPr/>
        <w:t>hay</w:t>
      </w:r>
      <w:r>
        <w:rPr>
          <w:spacing w:val="-16"/>
        </w:rPr>
        <w:t> </w:t>
      </w:r>
      <w:r>
        <w:rPr/>
        <w:t>que</w:t>
      </w:r>
      <w:r>
        <w:rPr>
          <w:spacing w:val="-16"/>
        </w:rPr>
        <w:t> </w:t>
      </w:r>
      <w:r>
        <w:rPr/>
        <w:t>contratar</w:t>
      </w:r>
      <w:r>
        <w:rPr>
          <w:spacing w:val="-15"/>
        </w:rPr>
        <w:t> </w:t>
      </w:r>
      <w:r>
        <w:rPr/>
        <w:t>personal, tener oficina, etc. y no se tiene presupuesto para</w:t>
      </w:r>
      <w:r>
        <w:rPr>
          <w:spacing w:val="-18"/>
        </w:rPr>
        <w:t> </w:t>
      </w:r>
      <w:r>
        <w:rPr/>
        <w:t>ello”</w:t>
      </w:r>
    </w:p>
    <w:p>
      <w:pPr>
        <w:pStyle w:val="BodyText"/>
      </w:pPr>
    </w:p>
    <w:p>
      <w:pPr>
        <w:pStyle w:val="BodyText"/>
      </w:pPr>
    </w:p>
    <w:p>
      <w:pPr>
        <w:pStyle w:val="BodyText"/>
        <w:spacing w:line="360" w:lineRule="auto" w:before="187"/>
        <w:ind w:left="108" w:right="116"/>
        <w:jc w:val="both"/>
      </w:pPr>
      <w:r>
        <w:rPr/>
        <w:t>Es importante destacar que cuando mencionó en primer lugar la voluntad política mostró un rostro de desconcierto, como asintiendo que delataba la falta de compromiso de su presidenta municipal. Ya que después abordó la situación de recursos tangibles y cerró su comentario reforzando ese comentario, haciendo alusión a la falta de presupuesto y la carga de trabajo que ella tiene.</w:t>
      </w:r>
    </w:p>
    <w:p>
      <w:pPr>
        <w:spacing w:after="0" w:line="360" w:lineRule="auto"/>
        <w:jc w:val="both"/>
        <w:sectPr>
          <w:pgSz w:w="12240" w:h="15840"/>
          <w:pgMar w:header="0" w:footer="975" w:top="1500" w:bottom="1220" w:left="1500" w:right="1580"/>
        </w:sectPr>
      </w:pPr>
    </w:p>
    <w:p>
      <w:pPr>
        <w:pStyle w:val="BodyText"/>
        <w:spacing w:before="9"/>
        <w:rPr>
          <w:sz w:val="28"/>
        </w:rPr>
      </w:pPr>
    </w:p>
    <w:tbl>
      <w:tblPr>
        <w:tblW w:w="0" w:type="auto"/>
        <w:jc w:val="left"/>
        <w:tblInd w:w="4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10"/>
        <w:gridCol w:w="5051"/>
      </w:tblGrid>
      <w:tr>
        <w:trPr>
          <w:trHeight w:val="319" w:hRule="exact"/>
        </w:trPr>
        <w:tc>
          <w:tcPr>
            <w:tcW w:w="7761" w:type="dxa"/>
            <w:gridSpan w:val="2"/>
            <w:shd w:val="clear" w:color="auto" w:fill="92D050"/>
          </w:tcPr>
          <w:p>
            <w:pPr>
              <w:pStyle w:val="TableParagraph"/>
              <w:spacing w:line="201" w:lineRule="exact"/>
              <w:ind w:left="988"/>
              <w:jc w:val="left"/>
              <w:rPr>
                <w:b/>
                <w:sz w:val="18"/>
              </w:rPr>
            </w:pPr>
            <w:r>
              <w:rPr>
                <w:b/>
                <w:sz w:val="18"/>
              </w:rPr>
              <w:t>Anexo 8. Entidades federativas que cuentan con página web propia</w:t>
            </w:r>
          </w:p>
        </w:tc>
      </w:tr>
      <w:tr>
        <w:trPr>
          <w:trHeight w:val="322" w:hRule="exact"/>
        </w:trPr>
        <w:tc>
          <w:tcPr>
            <w:tcW w:w="2710" w:type="dxa"/>
            <w:shd w:val="clear" w:color="auto" w:fill="92D050"/>
          </w:tcPr>
          <w:p>
            <w:pPr>
              <w:pStyle w:val="TableParagraph"/>
              <w:spacing w:line="204" w:lineRule="exact"/>
              <w:ind w:left="542"/>
              <w:jc w:val="left"/>
              <w:rPr>
                <w:b/>
                <w:sz w:val="18"/>
              </w:rPr>
            </w:pPr>
            <w:r>
              <w:rPr>
                <w:b/>
                <w:sz w:val="18"/>
              </w:rPr>
              <w:t>Entidad Federativa</w:t>
            </w:r>
          </w:p>
        </w:tc>
        <w:tc>
          <w:tcPr>
            <w:tcW w:w="5051" w:type="dxa"/>
            <w:shd w:val="clear" w:color="auto" w:fill="92D050"/>
          </w:tcPr>
          <w:p>
            <w:pPr>
              <w:pStyle w:val="TableParagraph"/>
              <w:spacing w:line="204" w:lineRule="exact"/>
              <w:ind w:left="2004" w:right="2005"/>
              <w:rPr>
                <w:b/>
                <w:sz w:val="18"/>
              </w:rPr>
            </w:pPr>
            <w:r>
              <w:rPr>
                <w:b/>
                <w:sz w:val="18"/>
              </w:rPr>
              <w:t>Página web</w:t>
            </w:r>
          </w:p>
        </w:tc>
      </w:tr>
      <w:tr>
        <w:trPr>
          <w:trHeight w:val="319" w:hRule="exact"/>
        </w:trPr>
        <w:tc>
          <w:tcPr>
            <w:tcW w:w="2710" w:type="dxa"/>
          </w:tcPr>
          <w:p>
            <w:pPr>
              <w:pStyle w:val="TableParagraph"/>
              <w:spacing w:line="206" w:lineRule="exact"/>
              <w:ind w:left="64"/>
              <w:jc w:val="left"/>
              <w:rPr>
                <w:sz w:val="18"/>
              </w:rPr>
            </w:pPr>
            <w:r>
              <w:rPr>
                <w:sz w:val="18"/>
              </w:rPr>
              <w:t>AGUASCALIENTES</w:t>
            </w:r>
          </w:p>
        </w:tc>
        <w:tc>
          <w:tcPr>
            <w:tcW w:w="5051" w:type="dxa"/>
          </w:tcPr>
          <w:p>
            <w:pPr>
              <w:pStyle w:val="TableParagraph"/>
              <w:spacing w:line="206" w:lineRule="exact"/>
              <w:ind w:left="64"/>
              <w:jc w:val="left"/>
              <w:rPr>
                <w:sz w:val="18"/>
              </w:rPr>
            </w:pPr>
            <w:hyperlink r:id="rId192">
              <w:r>
                <w:rPr>
                  <w:sz w:val="18"/>
                  <w:u w:val="single"/>
                </w:rPr>
                <w:t>http://www.aguascalientes.gob.mx/</w:t>
              </w:r>
            </w:hyperlink>
          </w:p>
        </w:tc>
      </w:tr>
      <w:tr>
        <w:trPr>
          <w:trHeight w:val="322" w:hRule="exact"/>
        </w:trPr>
        <w:tc>
          <w:tcPr>
            <w:tcW w:w="2710" w:type="dxa"/>
          </w:tcPr>
          <w:p>
            <w:pPr>
              <w:pStyle w:val="TableParagraph"/>
              <w:spacing w:before="1"/>
              <w:ind w:left="64"/>
              <w:jc w:val="left"/>
              <w:rPr>
                <w:sz w:val="18"/>
              </w:rPr>
            </w:pPr>
            <w:r>
              <w:rPr>
                <w:sz w:val="18"/>
              </w:rPr>
              <w:t>BAJA CALIFORNIA</w:t>
            </w:r>
          </w:p>
        </w:tc>
        <w:tc>
          <w:tcPr>
            <w:tcW w:w="5051" w:type="dxa"/>
          </w:tcPr>
          <w:p>
            <w:pPr>
              <w:pStyle w:val="TableParagraph"/>
              <w:spacing w:before="1"/>
              <w:ind w:left="64"/>
              <w:jc w:val="left"/>
              <w:rPr>
                <w:sz w:val="18"/>
              </w:rPr>
            </w:pPr>
            <w:hyperlink r:id="rId193">
              <w:r>
                <w:rPr>
                  <w:sz w:val="18"/>
                  <w:u w:val="single"/>
                </w:rPr>
                <w:t>http://www.bajacalifornia.gob.mx/portal/site.jsp</w:t>
              </w:r>
            </w:hyperlink>
          </w:p>
        </w:tc>
      </w:tr>
      <w:tr>
        <w:trPr>
          <w:trHeight w:val="322" w:hRule="exact"/>
        </w:trPr>
        <w:tc>
          <w:tcPr>
            <w:tcW w:w="2710" w:type="dxa"/>
          </w:tcPr>
          <w:p>
            <w:pPr>
              <w:pStyle w:val="TableParagraph"/>
              <w:spacing w:line="206" w:lineRule="exact"/>
              <w:ind w:left="64"/>
              <w:jc w:val="left"/>
              <w:rPr>
                <w:sz w:val="18"/>
              </w:rPr>
            </w:pPr>
            <w:r>
              <w:rPr>
                <w:sz w:val="18"/>
              </w:rPr>
              <w:t>BAJA CALIFORNIA SUR</w:t>
            </w:r>
          </w:p>
        </w:tc>
        <w:tc>
          <w:tcPr>
            <w:tcW w:w="5051" w:type="dxa"/>
          </w:tcPr>
          <w:p>
            <w:pPr>
              <w:pStyle w:val="TableParagraph"/>
              <w:spacing w:line="206" w:lineRule="exact"/>
              <w:ind w:left="64"/>
              <w:jc w:val="left"/>
              <w:rPr>
                <w:sz w:val="18"/>
              </w:rPr>
            </w:pPr>
            <w:hyperlink r:id="rId193">
              <w:r>
                <w:rPr>
                  <w:sz w:val="18"/>
                  <w:u w:val="single"/>
                </w:rPr>
                <w:t>http://www.bajacalifornia.gob.mx/portal/site.jsp</w:t>
              </w:r>
            </w:hyperlink>
          </w:p>
        </w:tc>
      </w:tr>
      <w:tr>
        <w:trPr>
          <w:trHeight w:val="319" w:hRule="exact"/>
        </w:trPr>
        <w:tc>
          <w:tcPr>
            <w:tcW w:w="2710" w:type="dxa"/>
          </w:tcPr>
          <w:p>
            <w:pPr>
              <w:pStyle w:val="TableParagraph"/>
              <w:spacing w:line="206" w:lineRule="exact"/>
              <w:ind w:left="64"/>
              <w:jc w:val="left"/>
              <w:rPr>
                <w:sz w:val="18"/>
              </w:rPr>
            </w:pPr>
            <w:r>
              <w:rPr>
                <w:sz w:val="18"/>
              </w:rPr>
              <w:t>CAMPECHE</w:t>
            </w:r>
          </w:p>
        </w:tc>
        <w:tc>
          <w:tcPr>
            <w:tcW w:w="5051" w:type="dxa"/>
          </w:tcPr>
          <w:p>
            <w:pPr>
              <w:pStyle w:val="TableParagraph"/>
              <w:spacing w:line="206" w:lineRule="exact"/>
              <w:ind w:left="64"/>
              <w:jc w:val="left"/>
              <w:rPr>
                <w:sz w:val="18"/>
              </w:rPr>
            </w:pPr>
            <w:hyperlink r:id="rId194">
              <w:r>
                <w:rPr>
                  <w:sz w:val="18"/>
                  <w:u w:val="single"/>
                </w:rPr>
                <w:t>http://www.campeche.gob.mx/</w:t>
              </w:r>
            </w:hyperlink>
          </w:p>
        </w:tc>
      </w:tr>
      <w:tr>
        <w:trPr>
          <w:trHeight w:val="322" w:hRule="exact"/>
        </w:trPr>
        <w:tc>
          <w:tcPr>
            <w:tcW w:w="2710" w:type="dxa"/>
          </w:tcPr>
          <w:p>
            <w:pPr>
              <w:pStyle w:val="TableParagraph"/>
              <w:spacing w:line="206" w:lineRule="exact"/>
              <w:ind w:left="64"/>
              <w:jc w:val="left"/>
              <w:rPr>
                <w:sz w:val="18"/>
              </w:rPr>
            </w:pPr>
            <w:r>
              <w:rPr>
                <w:sz w:val="18"/>
              </w:rPr>
              <w:t>COAHUILA</w:t>
            </w:r>
          </w:p>
        </w:tc>
        <w:tc>
          <w:tcPr>
            <w:tcW w:w="5051" w:type="dxa"/>
          </w:tcPr>
          <w:p>
            <w:pPr>
              <w:pStyle w:val="TableParagraph"/>
              <w:spacing w:line="206" w:lineRule="exact"/>
              <w:ind w:left="64"/>
              <w:jc w:val="left"/>
              <w:rPr>
                <w:sz w:val="18"/>
              </w:rPr>
            </w:pPr>
            <w:hyperlink r:id="rId195">
              <w:r>
                <w:rPr>
                  <w:sz w:val="18"/>
                  <w:u w:val="single"/>
                </w:rPr>
                <w:t>http://coahuila.gob.mx/</w:t>
              </w:r>
            </w:hyperlink>
          </w:p>
        </w:tc>
      </w:tr>
      <w:tr>
        <w:trPr>
          <w:trHeight w:val="319" w:hRule="exact"/>
        </w:trPr>
        <w:tc>
          <w:tcPr>
            <w:tcW w:w="2710" w:type="dxa"/>
          </w:tcPr>
          <w:p>
            <w:pPr>
              <w:pStyle w:val="TableParagraph"/>
              <w:spacing w:line="206" w:lineRule="exact"/>
              <w:ind w:left="64"/>
              <w:jc w:val="left"/>
              <w:rPr>
                <w:sz w:val="18"/>
              </w:rPr>
            </w:pPr>
            <w:r>
              <w:rPr>
                <w:sz w:val="18"/>
              </w:rPr>
              <w:t>COLIMA</w:t>
            </w:r>
          </w:p>
        </w:tc>
        <w:tc>
          <w:tcPr>
            <w:tcW w:w="5051" w:type="dxa"/>
          </w:tcPr>
          <w:p>
            <w:pPr>
              <w:pStyle w:val="TableParagraph"/>
              <w:spacing w:line="206" w:lineRule="exact"/>
              <w:ind w:left="64"/>
              <w:jc w:val="left"/>
              <w:rPr>
                <w:sz w:val="18"/>
              </w:rPr>
            </w:pPr>
            <w:hyperlink r:id="rId196">
              <w:r>
                <w:rPr>
                  <w:sz w:val="18"/>
                  <w:u w:val="single"/>
                </w:rPr>
                <w:t>http://www.colima-estado.gob.mx/</w:t>
              </w:r>
            </w:hyperlink>
          </w:p>
        </w:tc>
      </w:tr>
      <w:tr>
        <w:trPr>
          <w:trHeight w:val="322" w:hRule="exact"/>
        </w:trPr>
        <w:tc>
          <w:tcPr>
            <w:tcW w:w="2710" w:type="dxa"/>
          </w:tcPr>
          <w:p>
            <w:pPr>
              <w:pStyle w:val="TableParagraph"/>
              <w:spacing w:line="206" w:lineRule="exact"/>
              <w:ind w:left="64"/>
              <w:jc w:val="left"/>
              <w:rPr>
                <w:sz w:val="18"/>
              </w:rPr>
            </w:pPr>
            <w:r>
              <w:rPr>
                <w:sz w:val="18"/>
              </w:rPr>
              <w:t>CHIAPAS</w:t>
            </w:r>
          </w:p>
        </w:tc>
        <w:tc>
          <w:tcPr>
            <w:tcW w:w="5051" w:type="dxa"/>
          </w:tcPr>
          <w:p>
            <w:pPr>
              <w:pStyle w:val="TableParagraph"/>
              <w:spacing w:line="206" w:lineRule="exact"/>
              <w:ind w:left="64"/>
              <w:jc w:val="left"/>
              <w:rPr>
                <w:sz w:val="18"/>
              </w:rPr>
            </w:pPr>
            <w:hyperlink r:id="rId197">
              <w:r>
                <w:rPr>
                  <w:sz w:val="18"/>
                  <w:u w:val="single"/>
                </w:rPr>
                <w:t>http://www.chiapas.gob.mx/</w:t>
              </w:r>
            </w:hyperlink>
          </w:p>
        </w:tc>
      </w:tr>
      <w:tr>
        <w:trPr>
          <w:trHeight w:val="319" w:hRule="exact"/>
        </w:trPr>
        <w:tc>
          <w:tcPr>
            <w:tcW w:w="2710" w:type="dxa"/>
          </w:tcPr>
          <w:p>
            <w:pPr>
              <w:pStyle w:val="TableParagraph"/>
              <w:spacing w:line="206" w:lineRule="exact"/>
              <w:ind w:left="64"/>
              <w:jc w:val="left"/>
              <w:rPr>
                <w:sz w:val="18"/>
              </w:rPr>
            </w:pPr>
            <w:r>
              <w:rPr>
                <w:sz w:val="18"/>
              </w:rPr>
              <w:t>CHIHUAHUA</w:t>
            </w:r>
          </w:p>
        </w:tc>
        <w:tc>
          <w:tcPr>
            <w:tcW w:w="5051" w:type="dxa"/>
          </w:tcPr>
          <w:p>
            <w:pPr>
              <w:pStyle w:val="TableParagraph"/>
              <w:spacing w:line="206" w:lineRule="exact"/>
              <w:ind w:left="64"/>
              <w:jc w:val="left"/>
              <w:rPr>
                <w:sz w:val="18"/>
              </w:rPr>
            </w:pPr>
            <w:hyperlink r:id="rId198">
              <w:r>
                <w:rPr>
                  <w:sz w:val="18"/>
                  <w:u w:val="single"/>
                </w:rPr>
                <w:t>http://www.chihuahua.gob.mx/</w:t>
              </w:r>
            </w:hyperlink>
          </w:p>
        </w:tc>
      </w:tr>
      <w:tr>
        <w:trPr>
          <w:trHeight w:val="322" w:hRule="exact"/>
        </w:trPr>
        <w:tc>
          <w:tcPr>
            <w:tcW w:w="2710" w:type="dxa"/>
          </w:tcPr>
          <w:p>
            <w:pPr>
              <w:pStyle w:val="TableParagraph"/>
              <w:spacing w:line="207" w:lineRule="exact"/>
              <w:ind w:left="64"/>
              <w:jc w:val="left"/>
              <w:rPr>
                <w:sz w:val="18"/>
              </w:rPr>
            </w:pPr>
            <w:r>
              <w:rPr>
                <w:sz w:val="18"/>
              </w:rPr>
              <w:t>CIUDAD DE MÉXICO</w:t>
            </w:r>
          </w:p>
        </w:tc>
        <w:tc>
          <w:tcPr>
            <w:tcW w:w="5051" w:type="dxa"/>
          </w:tcPr>
          <w:p>
            <w:pPr>
              <w:pStyle w:val="TableParagraph"/>
              <w:spacing w:line="207" w:lineRule="exact"/>
              <w:ind w:left="64"/>
              <w:jc w:val="left"/>
              <w:rPr>
                <w:sz w:val="18"/>
              </w:rPr>
            </w:pPr>
            <w:hyperlink r:id="rId199">
              <w:r>
                <w:rPr>
                  <w:sz w:val="18"/>
                  <w:u w:val="single"/>
                </w:rPr>
                <w:t>http://www.df.gob.mx/</w:t>
              </w:r>
            </w:hyperlink>
          </w:p>
        </w:tc>
      </w:tr>
      <w:tr>
        <w:trPr>
          <w:trHeight w:val="319" w:hRule="exact"/>
        </w:trPr>
        <w:tc>
          <w:tcPr>
            <w:tcW w:w="2710" w:type="dxa"/>
          </w:tcPr>
          <w:p>
            <w:pPr>
              <w:pStyle w:val="TableParagraph"/>
              <w:spacing w:line="206" w:lineRule="exact"/>
              <w:ind w:left="64"/>
              <w:jc w:val="left"/>
              <w:rPr>
                <w:sz w:val="18"/>
              </w:rPr>
            </w:pPr>
            <w:r>
              <w:rPr>
                <w:sz w:val="18"/>
              </w:rPr>
              <w:t>DURANGO</w:t>
            </w:r>
          </w:p>
        </w:tc>
        <w:tc>
          <w:tcPr>
            <w:tcW w:w="5051" w:type="dxa"/>
          </w:tcPr>
          <w:p>
            <w:pPr>
              <w:pStyle w:val="TableParagraph"/>
              <w:spacing w:line="206" w:lineRule="exact"/>
              <w:ind w:left="64"/>
              <w:jc w:val="left"/>
              <w:rPr>
                <w:sz w:val="18"/>
              </w:rPr>
            </w:pPr>
            <w:hyperlink r:id="rId200">
              <w:r>
                <w:rPr>
                  <w:sz w:val="18"/>
                  <w:u w:val="single"/>
                </w:rPr>
                <w:t>http://www.durango.gob.mx/</w:t>
              </w:r>
            </w:hyperlink>
          </w:p>
        </w:tc>
      </w:tr>
      <w:tr>
        <w:trPr>
          <w:trHeight w:val="322" w:hRule="exact"/>
        </w:trPr>
        <w:tc>
          <w:tcPr>
            <w:tcW w:w="2710" w:type="dxa"/>
          </w:tcPr>
          <w:p>
            <w:pPr>
              <w:pStyle w:val="TableParagraph"/>
              <w:spacing w:line="206" w:lineRule="exact"/>
              <w:ind w:left="64"/>
              <w:jc w:val="left"/>
              <w:rPr>
                <w:sz w:val="18"/>
              </w:rPr>
            </w:pPr>
            <w:r>
              <w:rPr>
                <w:sz w:val="18"/>
              </w:rPr>
              <w:t>GUANAJUATO</w:t>
            </w:r>
          </w:p>
        </w:tc>
        <w:tc>
          <w:tcPr>
            <w:tcW w:w="5051" w:type="dxa"/>
          </w:tcPr>
          <w:p>
            <w:pPr>
              <w:pStyle w:val="TableParagraph"/>
              <w:spacing w:line="206" w:lineRule="exact"/>
              <w:ind w:left="64"/>
              <w:jc w:val="left"/>
              <w:rPr>
                <w:sz w:val="18"/>
              </w:rPr>
            </w:pPr>
            <w:hyperlink r:id="rId201">
              <w:r>
                <w:rPr>
                  <w:sz w:val="18"/>
                  <w:u w:val="single"/>
                </w:rPr>
                <w:t>http://www.guanajuato.gob.mx/</w:t>
              </w:r>
            </w:hyperlink>
          </w:p>
        </w:tc>
      </w:tr>
      <w:tr>
        <w:trPr>
          <w:trHeight w:val="319" w:hRule="exact"/>
        </w:trPr>
        <w:tc>
          <w:tcPr>
            <w:tcW w:w="2710" w:type="dxa"/>
          </w:tcPr>
          <w:p>
            <w:pPr>
              <w:pStyle w:val="TableParagraph"/>
              <w:spacing w:line="206" w:lineRule="exact"/>
              <w:ind w:left="64"/>
              <w:jc w:val="left"/>
              <w:rPr>
                <w:sz w:val="18"/>
              </w:rPr>
            </w:pPr>
            <w:r>
              <w:rPr>
                <w:sz w:val="18"/>
              </w:rPr>
              <w:t>GUERRERO</w:t>
            </w:r>
          </w:p>
        </w:tc>
        <w:tc>
          <w:tcPr>
            <w:tcW w:w="5051" w:type="dxa"/>
          </w:tcPr>
          <w:p>
            <w:pPr>
              <w:pStyle w:val="TableParagraph"/>
              <w:spacing w:line="206" w:lineRule="exact"/>
              <w:ind w:left="64"/>
              <w:jc w:val="left"/>
              <w:rPr>
                <w:sz w:val="18"/>
              </w:rPr>
            </w:pPr>
            <w:hyperlink r:id="rId202">
              <w:r>
                <w:rPr>
                  <w:sz w:val="18"/>
                  <w:u w:val="single"/>
                </w:rPr>
                <w:t>http://guerrero.gob.mx/</w:t>
              </w:r>
            </w:hyperlink>
          </w:p>
        </w:tc>
      </w:tr>
      <w:tr>
        <w:trPr>
          <w:trHeight w:val="322" w:hRule="exact"/>
        </w:trPr>
        <w:tc>
          <w:tcPr>
            <w:tcW w:w="2710" w:type="dxa"/>
          </w:tcPr>
          <w:p>
            <w:pPr>
              <w:pStyle w:val="TableParagraph"/>
              <w:spacing w:line="206" w:lineRule="exact"/>
              <w:ind w:left="64"/>
              <w:jc w:val="left"/>
              <w:rPr>
                <w:sz w:val="18"/>
              </w:rPr>
            </w:pPr>
            <w:r>
              <w:rPr>
                <w:sz w:val="18"/>
              </w:rPr>
              <w:t>HIDALGO</w:t>
            </w:r>
          </w:p>
        </w:tc>
        <w:tc>
          <w:tcPr>
            <w:tcW w:w="5051" w:type="dxa"/>
          </w:tcPr>
          <w:p>
            <w:pPr>
              <w:pStyle w:val="TableParagraph"/>
              <w:spacing w:line="206" w:lineRule="exact"/>
              <w:ind w:left="64"/>
              <w:jc w:val="left"/>
              <w:rPr>
                <w:sz w:val="18"/>
              </w:rPr>
            </w:pPr>
            <w:hyperlink r:id="rId203">
              <w:r>
                <w:rPr>
                  <w:sz w:val="18"/>
                  <w:u w:val="single"/>
                </w:rPr>
                <w:t>http://www.hidalgo.gob.mx/</w:t>
              </w:r>
            </w:hyperlink>
          </w:p>
        </w:tc>
      </w:tr>
      <w:tr>
        <w:trPr>
          <w:trHeight w:val="319" w:hRule="exact"/>
        </w:trPr>
        <w:tc>
          <w:tcPr>
            <w:tcW w:w="2710" w:type="dxa"/>
          </w:tcPr>
          <w:p>
            <w:pPr>
              <w:pStyle w:val="TableParagraph"/>
              <w:spacing w:line="206" w:lineRule="exact"/>
              <w:ind w:left="64"/>
              <w:jc w:val="left"/>
              <w:rPr>
                <w:sz w:val="18"/>
              </w:rPr>
            </w:pPr>
            <w:r>
              <w:rPr>
                <w:sz w:val="18"/>
              </w:rPr>
              <w:t>JALISCO</w:t>
            </w:r>
          </w:p>
        </w:tc>
        <w:tc>
          <w:tcPr>
            <w:tcW w:w="5051" w:type="dxa"/>
          </w:tcPr>
          <w:p>
            <w:pPr>
              <w:pStyle w:val="TableParagraph"/>
              <w:spacing w:line="206" w:lineRule="exact"/>
              <w:ind w:left="64"/>
              <w:jc w:val="left"/>
              <w:rPr>
                <w:sz w:val="18"/>
              </w:rPr>
            </w:pPr>
            <w:hyperlink r:id="rId204">
              <w:r>
                <w:rPr>
                  <w:sz w:val="18"/>
                  <w:u w:val="single"/>
                </w:rPr>
                <w:t>http://www.jalisco.gob.mx/</w:t>
              </w:r>
            </w:hyperlink>
          </w:p>
        </w:tc>
      </w:tr>
      <w:tr>
        <w:trPr>
          <w:trHeight w:val="322" w:hRule="exact"/>
        </w:trPr>
        <w:tc>
          <w:tcPr>
            <w:tcW w:w="2710" w:type="dxa"/>
          </w:tcPr>
          <w:p>
            <w:pPr>
              <w:pStyle w:val="TableParagraph"/>
              <w:spacing w:before="1"/>
              <w:ind w:left="64"/>
              <w:jc w:val="left"/>
              <w:rPr>
                <w:sz w:val="18"/>
              </w:rPr>
            </w:pPr>
            <w:r>
              <w:rPr>
                <w:sz w:val="18"/>
              </w:rPr>
              <w:t>MÉXICO</w:t>
            </w:r>
          </w:p>
        </w:tc>
        <w:tc>
          <w:tcPr>
            <w:tcW w:w="5051" w:type="dxa"/>
          </w:tcPr>
          <w:p>
            <w:pPr>
              <w:pStyle w:val="TableParagraph"/>
              <w:spacing w:before="1"/>
              <w:ind w:left="64"/>
              <w:jc w:val="left"/>
              <w:rPr>
                <w:sz w:val="18"/>
              </w:rPr>
            </w:pPr>
            <w:hyperlink r:id="rId205">
              <w:r>
                <w:rPr>
                  <w:sz w:val="18"/>
                  <w:u w:val="single"/>
                </w:rPr>
                <w:t>http://portal2.edomex.gob.mx/edomex/inicio/index.htm</w:t>
              </w:r>
            </w:hyperlink>
          </w:p>
        </w:tc>
      </w:tr>
      <w:tr>
        <w:trPr>
          <w:trHeight w:val="319" w:hRule="exact"/>
        </w:trPr>
        <w:tc>
          <w:tcPr>
            <w:tcW w:w="2710" w:type="dxa"/>
          </w:tcPr>
          <w:p>
            <w:pPr>
              <w:pStyle w:val="TableParagraph"/>
              <w:spacing w:line="206" w:lineRule="exact"/>
              <w:ind w:left="64"/>
              <w:jc w:val="left"/>
              <w:rPr>
                <w:sz w:val="18"/>
              </w:rPr>
            </w:pPr>
            <w:r>
              <w:rPr>
                <w:sz w:val="18"/>
              </w:rPr>
              <w:t>MICHOACAN</w:t>
            </w:r>
          </w:p>
        </w:tc>
        <w:tc>
          <w:tcPr>
            <w:tcW w:w="5051" w:type="dxa"/>
          </w:tcPr>
          <w:p>
            <w:pPr>
              <w:pStyle w:val="TableParagraph"/>
              <w:spacing w:line="206" w:lineRule="exact"/>
              <w:ind w:left="64"/>
              <w:jc w:val="left"/>
              <w:rPr>
                <w:sz w:val="18"/>
              </w:rPr>
            </w:pPr>
            <w:hyperlink r:id="rId206">
              <w:r>
                <w:rPr>
                  <w:sz w:val="18"/>
                  <w:u w:val="single"/>
                </w:rPr>
                <w:t>http://michoacan.gob.mx/</w:t>
              </w:r>
            </w:hyperlink>
          </w:p>
        </w:tc>
      </w:tr>
      <w:tr>
        <w:trPr>
          <w:trHeight w:val="322" w:hRule="exact"/>
        </w:trPr>
        <w:tc>
          <w:tcPr>
            <w:tcW w:w="2710" w:type="dxa"/>
          </w:tcPr>
          <w:p>
            <w:pPr>
              <w:pStyle w:val="TableParagraph"/>
              <w:spacing w:before="1"/>
              <w:ind w:left="64"/>
              <w:jc w:val="left"/>
              <w:rPr>
                <w:sz w:val="18"/>
              </w:rPr>
            </w:pPr>
            <w:r>
              <w:rPr>
                <w:sz w:val="18"/>
              </w:rPr>
              <w:t>MORELOS</w:t>
            </w:r>
          </w:p>
        </w:tc>
        <w:tc>
          <w:tcPr>
            <w:tcW w:w="5051" w:type="dxa"/>
          </w:tcPr>
          <w:p>
            <w:pPr>
              <w:pStyle w:val="TableParagraph"/>
              <w:spacing w:before="1"/>
              <w:ind w:left="64"/>
              <w:jc w:val="left"/>
              <w:rPr>
                <w:sz w:val="18"/>
              </w:rPr>
            </w:pPr>
            <w:hyperlink r:id="rId207">
              <w:r>
                <w:rPr>
                  <w:sz w:val="18"/>
                  <w:u w:val="single"/>
                </w:rPr>
                <w:t>http://www2.morelos.gob.mx/</w:t>
              </w:r>
            </w:hyperlink>
          </w:p>
        </w:tc>
      </w:tr>
      <w:tr>
        <w:trPr>
          <w:trHeight w:val="322" w:hRule="exact"/>
        </w:trPr>
        <w:tc>
          <w:tcPr>
            <w:tcW w:w="2710" w:type="dxa"/>
          </w:tcPr>
          <w:p>
            <w:pPr>
              <w:pStyle w:val="TableParagraph"/>
              <w:spacing w:line="206" w:lineRule="exact"/>
              <w:ind w:left="64"/>
              <w:jc w:val="left"/>
              <w:rPr>
                <w:sz w:val="18"/>
              </w:rPr>
            </w:pPr>
            <w:r>
              <w:rPr>
                <w:sz w:val="18"/>
              </w:rPr>
              <w:t>NAYARIT</w:t>
            </w:r>
          </w:p>
        </w:tc>
        <w:tc>
          <w:tcPr>
            <w:tcW w:w="5051" w:type="dxa"/>
          </w:tcPr>
          <w:p>
            <w:pPr>
              <w:pStyle w:val="TableParagraph"/>
              <w:spacing w:line="206" w:lineRule="exact"/>
              <w:ind w:left="64"/>
              <w:jc w:val="left"/>
              <w:rPr>
                <w:sz w:val="18"/>
              </w:rPr>
            </w:pPr>
            <w:hyperlink r:id="rId208">
              <w:r>
                <w:rPr>
                  <w:sz w:val="18"/>
                  <w:u w:val="single"/>
                </w:rPr>
                <w:t>http://www.nayarit.gob.mx/</w:t>
              </w:r>
            </w:hyperlink>
          </w:p>
        </w:tc>
      </w:tr>
      <w:tr>
        <w:trPr>
          <w:trHeight w:val="319" w:hRule="exact"/>
        </w:trPr>
        <w:tc>
          <w:tcPr>
            <w:tcW w:w="2710" w:type="dxa"/>
          </w:tcPr>
          <w:p>
            <w:pPr>
              <w:pStyle w:val="TableParagraph"/>
              <w:spacing w:line="206" w:lineRule="exact"/>
              <w:ind w:left="64"/>
              <w:jc w:val="left"/>
              <w:rPr>
                <w:sz w:val="18"/>
              </w:rPr>
            </w:pPr>
            <w:r>
              <w:rPr>
                <w:sz w:val="18"/>
              </w:rPr>
              <w:t>NUEVO LEÓN</w:t>
            </w:r>
          </w:p>
        </w:tc>
        <w:tc>
          <w:tcPr>
            <w:tcW w:w="5051" w:type="dxa"/>
          </w:tcPr>
          <w:p>
            <w:pPr>
              <w:pStyle w:val="TableParagraph"/>
              <w:spacing w:line="206" w:lineRule="exact"/>
              <w:ind w:left="64"/>
              <w:jc w:val="left"/>
              <w:rPr>
                <w:sz w:val="18"/>
              </w:rPr>
            </w:pPr>
            <w:hyperlink r:id="rId209">
              <w:r>
                <w:rPr>
                  <w:sz w:val="18"/>
                  <w:u w:val="single"/>
                </w:rPr>
                <w:t>http://www.nl.gob.mx/</w:t>
              </w:r>
            </w:hyperlink>
          </w:p>
        </w:tc>
      </w:tr>
      <w:tr>
        <w:trPr>
          <w:trHeight w:val="322" w:hRule="exact"/>
        </w:trPr>
        <w:tc>
          <w:tcPr>
            <w:tcW w:w="2710" w:type="dxa"/>
          </w:tcPr>
          <w:p>
            <w:pPr>
              <w:pStyle w:val="TableParagraph"/>
              <w:spacing w:line="207" w:lineRule="exact"/>
              <w:ind w:left="64"/>
              <w:jc w:val="left"/>
              <w:rPr>
                <w:sz w:val="18"/>
              </w:rPr>
            </w:pPr>
            <w:r>
              <w:rPr>
                <w:sz w:val="18"/>
              </w:rPr>
              <w:t>OAXACA</w:t>
            </w:r>
          </w:p>
        </w:tc>
        <w:tc>
          <w:tcPr>
            <w:tcW w:w="5051" w:type="dxa"/>
          </w:tcPr>
          <w:p>
            <w:pPr>
              <w:pStyle w:val="TableParagraph"/>
              <w:spacing w:line="207" w:lineRule="exact"/>
              <w:ind w:left="64"/>
              <w:jc w:val="left"/>
              <w:rPr>
                <w:sz w:val="18"/>
              </w:rPr>
            </w:pPr>
            <w:hyperlink r:id="rId210">
              <w:r>
                <w:rPr>
                  <w:sz w:val="18"/>
                  <w:u w:val="single"/>
                </w:rPr>
                <w:t>http://www.oaxaca.gob.mx/</w:t>
              </w:r>
            </w:hyperlink>
          </w:p>
        </w:tc>
      </w:tr>
      <w:tr>
        <w:trPr>
          <w:trHeight w:val="319" w:hRule="exact"/>
        </w:trPr>
        <w:tc>
          <w:tcPr>
            <w:tcW w:w="2710" w:type="dxa"/>
          </w:tcPr>
          <w:p>
            <w:pPr>
              <w:pStyle w:val="TableParagraph"/>
              <w:spacing w:line="206" w:lineRule="exact"/>
              <w:ind w:left="64"/>
              <w:jc w:val="left"/>
              <w:rPr>
                <w:sz w:val="18"/>
              </w:rPr>
            </w:pPr>
            <w:r>
              <w:rPr>
                <w:sz w:val="18"/>
              </w:rPr>
              <w:t>PUEBLA</w:t>
            </w:r>
          </w:p>
        </w:tc>
        <w:tc>
          <w:tcPr>
            <w:tcW w:w="5051" w:type="dxa"/>
          </w:tcPr>
          <w:p>
            <w:pPr>
              <w:pStyle w:val="TableParagraph"/>
              <w:spacing w:line="206" w:lineRule="exact"/>
              <w:ind w:left="64"/>
              <w:jc w:val="left"/>
              <w:rPr>
                <w:sz w:val="18"/>
              </w:rPr>
            </w:pPr>
            <w:hyperlink r:id="rId211">
              <w:r>
                <w:rPr>
                  <w:sz w:val="18"/>
                  <w:u w:val="single"/>
                </w:rPr>
                <w:t>http://www.puebla.gob.mx/</w:t>
              </w:r>
            </w:hyperlink>
          </w:p>
        </w:tc>
      </w:tr>
      <w:tr>
        <w:trPr>
          <w:trHeight w:val="322" w:hRule="exact"/>
        </w:trPr>
        <w:tc>
          <w:tcPr>
            <w:tcW w:w="2710" w:type="dxa"/>
          </w:tcPr>
          <w:p>
            <w:pPr>
              <w:pStyle w:val="TableParagraph"/>
              <w:spacing w:line="206" w:lineRule="exact"/>
              <w:ind w:left="64"/>
              <w:jc w:val="left"/>
              <w:rPr>
                <w:sz w:val="18"/>
              </w:rPr>
            </w:pPr>
            <w:r>
              <w:rPr>
                <w:sz w:val="18"/>
              </w:rPr>
              <w:t>QUERETARO</w:t>
            </w:r>
          </w:p>
        </w:tc>
        <w:tc>
          <w:tcPr>
            <w:tcW w:w="5051" w:type="dxa"/>
          </w:tcPr>
          <w:p>
            <w:pPr>
              <w:pStyle w:val="TableParagraph"/>
              <w:spacing w:line="206" w:lineRule="exact"/>
              <w:ind w:left="64"/>
              <w:jc w:val="left"/>
              <w:rPr>
                <w:sz w:val="18"/>
              </w:rPr>
            </w:pPr>
            <w:hyperlink r:id="rId212">
              <w:r>
                <w:rPr>
                  <w:sz w:val="18"/>
                  <w:u w:val="single"/>
                </w:rPr>
                <w:t>http://www.queretaro.gob.mx/</w:t>
              </w:r>
            </w:hyperlink>
          </w:p>
        </w:tc>
      </w:tr>
      <w:tr>
        <w:trPr>
          <w:trHeight w:val="319" w:hRule="exact"/>
        </w:trPr>
        <w:tc>
          <w:tcPr>
            <w:tcW w:w="2710" w:type="dxa"/>
          </w:tcPr>
          <w:p>
            <w:pPr>
              <w:pStyle w:val="TableParagraph"/>
              <w:spacing w:line="206" w:lineRule="exact"/>
              <w:ind w:left="64"/>
              <w:jc w:val="left"/>
              <w:rPr>
                <w:sz w:val="18"/>
              </w:rPr>
            </w:pPr>
            <w:r>
              <w:rPr>
                <w:sz w:val="18"/>
              </w:rPr>
              <w:t>QUINTANA ROO</w:t>
            </w:r>
          </w:p>
        </w:tc>
        <w:tc>
          <w:tcPr>
            <w:tcW w:w="5051" w:type="dxa"/>
          </w:tcPr>
          <w:p>
            <w:pPr>
              <w:pStyle w:val="TableParagraph"/>
              <w:spacing w:line="206" w:lineRule="exact"/>
              <w:ind w:left="64"/>
              <w:jc w:val="left"/>
              <w:rPr>
                <w:sz w:val="18"/>
              </w:rPr>
            </w:pPr>
            <w:hyperlink r:id="rId213">
              <w:r>
                <w:rPr>
                  <w:sz w:val="18"/>
                  <w:u w:val="single"/>
                </w:rPr>
                <w:t>http://www.qroo.gob.mx/qroo/index.php</w:t>
              </w:r>
            </w:hyperlink>
          </w:p>
        </w:tc>
      </w:tr>
      <w:tr>
        <w:trPr>
          <w:trHeight w:val="322" w:hRule="exact"/>
        </w:trPr>
        <w:tc>
          <w:tcPr>
            <w:tcW w:w="2710" w:type="dxa"/>
          </w:tcPr>
          <w:p>
            <w:pPr>
              <w:pStyle w:val="TableParagraph"/>
              <w:spacing w:line="206" w:lineRule="exact"/>
              <w:ind w:left="64"/>
              <w:jc w:val="left"/>
              <w:rPr>
                <w:sz w:val="18"/>
              </w:rPr>
            </w:pPr>
            <w:r>
              <w:rPr>
                <w:sz w:val="18"/>
              </w:rPr>
              <w:t>SAN LUIS POTOSI</w:t>
            </w:r>
          </w:p>
        </w:tc>
        <w:tc>
          <w:tcPr>
            <w:tcW w:w="5051" w:type="dxa"/>
          </w:tcPr>
          <w:p>
            <w:pPr>
              <w:pStyle w:val="TableParagraph"/>
              <w:spacing w:line="206" w:lineRule="exact"/>
              <w:ind w:left="64"/>
              <w:jc w:val="left"/>
              <w:rPr>
                <w:sz w:val="18"/>
              </w:rPr>
            </w:pPr>
            <w:hyperlink r:id="rId214">
              <w:r>
                <w:rPr>
                  <w:sz w:val="18"/>
                  <w:u w:val="single"/>
                </w:rPr>
                <w:t>http://www.slp.gob.mx/</w:t>
              </w:r>
            </w:hyperlink>
          </w:p>
        </w:tc>
      </w:tr>
      <w:tr>
        <w:trPr>
          <w:trHeight w:val="319" w:hRule="exact"/>
        </w:trPr>
        <w:tc>
          <w:tcPr>
            <w:tcW w:w="2710" w:type="dxa"/>
          </w:tcPr>
          <w:p>
            <w:pPr>
              <w:pStyle w:val="TableParagraph"/>
              <w:spacing w:line="206" w:lineRule="exact"/>
              <w:ind w:left="64"/>
              <w:jc w:val="left"/>
              <w:rPr>
                <w:sz w:val="18"/>
              </w:rPr>
            </w:pPr>
            <w:r>
              <w:rPr>
                <w:sz w:val="18"/>
              </w:rPr>
              <w:t>SINALOA</w:t>
            </w:r>
          </w:p>
        </w:tc>
        <w:tc>
          <w:tcPr>
            <w:tcW w:w="5051" w:type="dxa"/>
          </w:tcPr>
          <w:p>
            <w:pPr>
              <w:pStyle w:val="TableParagraph"/>
              <w:spacing w:line="206" w:lineRule="exact"/>
              <w:ind w:left="64"/>
              <w:jc w:val="left"/>
              <w:rPr>
                <w:sz w:val="18"/>
              </w:rPr>
            </w:pPr>
            <w:hyperlink r:id="rId215">
              <w:r>
                <w:rPr>
                  <w:sz w:val="18"/>
                  <w:u w:val="single"/>
                </w:rPr>
                <w:t>http://www.sinaloa.gob.mx/</w:t>
              </w:r>
            </w:hyperlink>
          </w:p>
        </w:tc>
      </w:tr>
      <w:tr>
        <w:trPr>
          <w:trHeight w:val="322" w:hRule="exact"/>
        </w:trPr>
        <w:tc>
          <w:tcPr>
            <w:tcW w:w="2710" w:type="dxa"/>
          </w:tcPr>
          <w:p>
            <w:pPr>
              <w:pStyle w:val="TableParagraph"/>
              <w:spacing w:line="206" w:lineRule="exact"/>
              <w:ind w:left="64"/>
              <w:jc w:val="left"/>
              <w:rPr>
                <w:sz w:val="18"/>
              </w:rPr>
            </w:pPr>
            <w:r>
              <w:rPr>
                <w:sz w:val="18"/>
              </w:rPr>
              <w:t>SONORA</w:t>
            </w:r>
          </w:p>
        </w:tc>
        <w:tc>
          <w:tcPr>
            <w:tcW w:w="5051" w:type="dxa"/>
          </w:tcPr>
          <w:p>
            <w:pPr>
              <w:pStyle w:val="TableParagraph"/>
              <w:spacing w:line="206" w:lineRule="exact"/>
              <w:ind w:left="64"/>
              <w:jc w:val="left"/>
              <w:rPr>
                <w:sz w:val="18"/>
              </w:rPr>
            </w:pPr>
            <w:hyperlink r:id="rId216">
              <w:r>
                <w:rPr>
                  <w:sz w:val="18"/>
                  <w:u w:val="single"/>
                </w:rPr>
                <w:t>http://www.sonora.gob.mx/swb/</w:t>
              </w:r>
            </w:hyperlink>
          </w:p>
        </w:tc>
      </w:tr>
      <w:tr>
        <w:trPr>
          <w:trHeight w:val="319" w:hRule="exact"/>
        </w:trPr>
        <w:tc>
          <w:tcPr>
            <w:tcW w:w="2710" w:type="dxa"/>
          </w:tcPr>
          <w:p>
            <w:pPr>
              <w:pStyle w:val="TableParagraph"/>
              <w:spacing w:line="206" w:lineRule="exact"/>
              <w:ind w:left="64"/>
              <w:jc w:val="left"/>
              <w:rPr>
                <w:sz w:val="18"/>
              </w:rPr>
            </w:pPr>
            <w:r>
              <w:rPr>
                <w:sz w:val="18"/>
              </w:rPr>
              <w:t>TABASCO</w:t>
            </w:r>
          </w:p>
        </w:tc>
        <w:tc>
          <w:tcPr>
            <w:tcW w:w="5051" w:type="dxa"/>
          </w:tcPr>
          <w:p>
            <w:pPr>
              <w:pStyle w:val="TableParagraph"/>
              <w:spacing w:line="206" w:lineRule="exact"/>
              <w:ind w:left="64"/>
              <w:jc w:val="left"/>
              <w:rPr>
                <w:sz w:val="18"/>
              </w:rPr>
            </w:pPr>
            <w:hyperlink r:id="rId217">
              <w:r>
                <w:rPr>
                  <w:sz w:val="18"/>
                  <w:u w:val="single"/>
                </w:rPr>
                <w:t>http://www.tabasco.gob.mx/</w:t>
              </w:r>
            </w:hyperlink>
          </w:p>
        </w:tc>
      </w:tr>
      <w:tr>
        <w:trPr>
          <w:trHeight w:val="322" w:hRule="exact"/>
        </w:trPr>
        <w:tc>
          <w:tcPr>
            <w:tcW w:w="2710" w:type="dxa"/>
          </w:tcPr>
          <w:p>
            <w:pPr>
              <w:pStyle w:val="TableParagraph"/>
              <w:spacing w:line="206" w:lineRule="exact"/>
              <w:ind w:left="64"/>
              <w:jc w:val="left"/>
              <w:rPr>
                <w:sz w:val="18"/>
              </w:rPr>
            </w:pPr>
            <w:r>
              <w:rPr>
                <w:sz w:val="18"/>
              </w:rPr>
              <w:t>TAMAULIPAS</w:t>
            </w:r>
          </w:p>
        </w:tc>
        <w:tc>
          <w:tcPr>
            <w:tcW w:w="5051" w:type="dxa"/>
          </w:tcPr>
          <w:p>
            <w:pPr>
              <w:pStyle w:val="TableParagraph"/>
              <w:spacing w:line="206" w:lineRule="exact"/>
              <w:ind w:left="64"/>
              <w:jc w:val="left"/>
              <w:rPr>
                <w:sz w:val="18"/>
              </w:rPr>
            </w:pPr>
            <w:hyperlink r:id="rId218">
              <w:r>
                <w:rPr>
                  <w:sz w:val="18"/>
                  <w:u w:val="single"/>
                </w:rPr>
                <w:t>http://tamaulipas.gob.mx/</w:t>
              </w:r>
            </w:hyperlink>
          </w:p>
        </w:tc>
      </w:tr>
      <w:tr>
        <w:trPr>
          <w:trHeight w:val="319" w:hRule="exact"/>
        </w:trPr>
        <w:tc>
          <w:tcPr>
            <w:tcW w:w="2710" w:type="dxa"/>
          </w:tcPr>
          <w:p>
            <w:pPr>
              <w:pStyle w:val="TableParagraph"/>
              <w:spacing w:line="206" w:lineRule="exact"/>
              <w:ind w:left="64"/>
              <w:jc w:val="left"/>
              <w:rPr>
                <w:sz w:val="18"/>
              </w:rPr>
            </w:pPr>
            <w:r>
              <w:rPr>
                <w:sz w:val="18"/>
              </w:rPr>
              <w:t>TLAXCALA</w:t>
            </w:r>
          </w:p>
        </w:tc>
        <w:tc>
          <w:tcPr>
            <w:tcW w:w="5051" w:type="dxa"/>
          </w:tcPr>
          <w:p>
            <w:pPr>
              <w:pStyle w:val="TableParagraph"/>
              <w:spacing w:line="206" w:lineRule="exact"/>
              <w:ind w:left="64"/>
              <w:jc w:val="left"/>
              <w:rPr>
                <w:sz w:val="18"/>
              </w:rPr>
            </w:pPr>
            <w:hyperlink r:id="rId219">
              <w:r>
                <w:rPr>
                  <w:sz w:val="18"/>
                  <w:u w:val="single"/>
                </w:rPr>
                <w:t>http://www.tlaxcala.gob.mx/</w:t>
              </w:r>
            </w:hyperlink>
          </w:p>
        </w:tc>
      </w:tr>
      <w:tr>
        <w:trPr>
          <w:trHeight w:val="322" w:hRule="exact"/>
        </w:trPr>
        <w:tc>
          <w:tcPr>
            <w:tcW w:w="2710" w:type="dxa"/>
          </w:tcPr>
          <w:p>
            <w:pPr>
              <w:pStyle w:val="TableParagraph"/>
              <w:spacing w:before="1"/>
              <w:ind w:left="64"/>
              <w:jc w:val="left"/>
              <w:rPr>
                <w:sz w:val="18"/>
              </w:rPr>
            </w:pPr>
            <w:r>
              <w:rPr>
                <w:sz w:val="18"/>
              </w:rPr>
              <w:t>VERACRUZ</w:t>
            </w:r>
          </w:p>
        </w:tc>
        <w:tc>
          <w:tcPr>
            <w:tcW w:w="5051" w:type="dxa"/>
          </w:tcPr>
          <w:p>
            <w:pPr>
              <w:pStyle w:val="TableParagraph"/>
              <w:spacing w:before="1"/>
              <w:ind w:left="64"/>
              <w:jc w:val="left"/>
              <w:rPr>
                <w:sz w:val="18"/>
              </w:rPr>
            </w:pPr>
            <w:hyperlink r:id="rId220">
              <w:r>
                <w:rPr>
                  <w:sz w:val="18"/>
                  <w:u w:val="single"/>
                </w:rPr>
                <w:t>http://www.veracruz.gob.mx/</w:t>
              </w:r>
            </w:hyperlink>
          </w:p>
        </w:tc>
      </w:tr>
      <w:tr>
        <w:trPr>
          <w:trHeight w:val="320" w:hRule="exact"/>
        </w:trPr>
        <w:tc>
          <w:tcPr>
            <w:tcW w:w="2710" w:type="dxa"/>
          </w:tcPr>
          <w:p>
            <w:pPr>
              <w:pStyle w:val="TableParagraph"/>
              <w:spacing w:line="207" w:lineRule="exact"/>
              <w:ind w:left="64"/>
              <w:jc w:val="left"/>
              <w:rPr>
                <w:sz w:val="18"/>
              </w:rPr>
            </w:pPr>
            <w:r>
              <w:rPr>
                <w:sz w:val="18"/>
              </w:rPr>
              <w:t>YUCATAN</w:t>
            </w:r>
          </w:p>
        </w:tc>
        <w:tc>
          <w:tcPr>
            <w:tcW w:w="5051" w:type="dxa"/>
          </w:tcPr>
          <w:p>
            <w:pPr>
              <w:pStyle w:val="TableParagraph"/>
              <w:spacing w:line="207" w:lineRule="exact"/>
              <w:ind w:left="64"/>
              <w:jc w:val="left"/>
              <w:rPr>
                <w:sz w:val="18"/>
              </w:rPr>
            </w:pPr>
            <w:hyperlink r:id="rId221">
              <w:r>
                <w:rPr>
                  <w:sz w:val="18"/>
                  <w:u w:val="single"/>
                </w:rPr>
                <w:t>http://www.yucatan.gob.mx/</w:t>
              </w:r>
            </w:hyperlink>
          </w:p>
        </w:tc>
      </w:tr>
      <w:tr>
        <w:trPr>
          <w:trHeight w:val="322" w:hRule="exact"/>
        </w:trPr>
        <w:tc>
          <w:tcPr>
            <w:tcW w:w="2710" w:type="dxa"/>
          </w:tcPr>
          <w:p>
            <w:pPr>
              <w:pStyle w:val="TableParagraph"/>
              <w:spacing w:before="1"/>
              <w:ind w:left="64"/>
              <w:jc w:val="left"/>
              <w:rPr>
                <w:sz w:val="18"/>
              </w:rPr>
            </w:pPr>
            <w:r>
              <w:rPr>
                <w:sz w:val="18"/>
              </w:rPr>
              <w:t>ZACATECAS</w:t>
            </w:r>
          </w:p>
        </w:tc>
        <w:tc>
          <w:tcPr>
            <w:tcW w:w="5051" w:type="dxa"/>
          </w:tcPr>
          <w:p>
            <w:pPr>
              <w:pStyle w:val="TableParagraph"/>
              <w:spacing w:before="1"/>
              <w:ind w:left="64"/>
              <w:jc w:val="left"/>
              <w:rPr>
                <w:sz w:val="18"/>
              </w:rPr>
            </w:pPr>
            <w:hyperlink r:id="rId222">
              <w:r>
                <w:rPr>
                  <w:sz w:val="18"/>
                  <w:u w:val="single"/>
                </w:rPr>
                <w:t>http://www.zacatecas.gob.mx/</w:t>
              </w:r>
            </w:hyperlink>
          </w:p>
        </w:tc>
      </w:tr>
    </w:tbl>
    <w:p>
      <w:pPr>
        <w:spacing w:line="360" w:lineRule="auto" w:before="0"/>
        <w:ind w:left="543" w:right="552" w:firstLine="0"/>
        <w:jc w:val="left"/>
        <w:rPr>
          <w:sz w:val="16"/>
        </w:rPr>
      </w:pPr>
      <w:r>
        <w:rPr>
          <w:sz w:val="16"/>
        </w:rPr>
        <w:t>Fuente: Elaboración propia con base en la revisión de portales web de los gobiernos municipales del Estado de México realizada el día 30 de octubre de 2013</w:t>
      </w:r>
    </w:p>
    <w:p>
      <w:pPr>
        <w:spacing w:after="0" w:line="360" w:lineRule="auto"/>
        <w:jc w:val="left"/>
        <w:rPr>
          <w:sz w:val="16"/>
        </w:rPr>
        <w:sectPr>
          <w:pgSz w:w="12240" w:h="15840"/>
          <w:pgMar w:header="0" w:footer="975" w:top="1500" w:bottom="1220" w:left="1720" w:right="1720"/>
        </w:sectPr>
      </w:pPr>
    </w:p>
    <w:p>
      <w:pPr>
        <w:pStyle w:val="BodyText"/>
        <w:rPr>
          <w:rFonts w:ascii="Times New Roman"/>
          <w:sz w:val="20"/>
        </w:rPr>
      </w:pPr>
    </w:p>
    <w:p>
      <w:pPr>
        <w:pStyle w:val="BodyText"/>
        <w:spacing w:before="10"/>
        <w:rPr>
          <w:rFonts w:ascii="Times New Roman"/>
          <w:sz w:val="15"/>
        </w:rPr>
      </w:pPr>
    </w:p>
    <w:tbl>
      <w:tblPr>
        <w:tblW w:w="0" w:type="auto"/>
        <w:jc w:val="left"/>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61"/>
        <w:gridCol w:w="5391"/>
      </w:tblGrid>
      <w:tr>
        <w:trPr>
          <w:trHeight w:val="322" w:hRule="exact"/>
        </w:trPr>
        <w:tc>
          <w:tcPr>
            <w:tcW w:w="8452" w:type="dxa"/>
            <w:gridSpan w:val="2"/>
            <w:shd w:val="clear" w:color="auto" w:fill="92D050"/>
          </w:tcPr>
          <w:p>
            <w:pPr>
              <w:pStyle w:val="TableParagraph"/>
              <w:spacing w:line="201" w:lineRule="exact"/>
              <w:ind w:left="854"/>
              <w:jc w:val="left"/>
              <w:rPr>
                <w:b/>
                <w:sz w:val="18"/>
              </w:rPr>
            </w:pPr>
            <w:r>
              <w:rPr>
                <w:b/>
                <w:sz w:val="18"/>
              </w:rPr>
              <w:t>Anexo 9. Municipios del Estado de México que cuentan con página web propia</w:t>
            </w:r>
          </w:p>
        </w:tc>
      </w:tr>
      <w:tr>
        <w:trPr>
          <w:trHeight w:val="319" w:hRule="exact"/>
        </w:trPr>
        <w:tc>
          <w:tcPr>
            <w:tcW w:w="3061" w:type="dxa"/>
            <w:shd w:val="clear" w:color="auto" w:fill="92D050"/>
          </w:tcPr>
          <w:p>
            <w:pPr>
              <w:pStyle w:val="TableParagraph"/>
              <w:spacing w:line="201" w:lineRule="exact"/>
              <w:ind w:left="991"/>
              <w:jc w:val="left"/>
              <w:rPr>
                <w:b/>
                <w:sz w:val="18"/>
              </w:rPr>
            </w:pPr>
            <w:r>
              <w:rPr>
                <w:b/>
                <w:sz w:val="18"/>
              </w:rPr>
              <w:t>MUNICIPIOS</w:t>
            </w:r>
          </w:p>
        </w:tc>
        <w:tc>
          <w:tcPr>
            <w:tcW w:w="5391" w:type="dxa"/>
            <w:shd w:val="clear" w:color="auto" w:fill="92D050"/>
          </w:tcPr>
          <w:p>
            <w:pPr>
              <w:pStyle w:val="TableParagraph"/>
              <w:spacing w:line="201" w:lineRule="exact"/>
              <w:ind w:left="2134" w:right="2134"/>
              <w:rPr>
                <w:b/>
                <w:sz w:val="18"/>
              </w:rPr>
            </w:pPr>
            <w:r>
              <w:rPr>
                <w:b/>
                <w:sz w:val="18"/>
              </w:rPr>
              <w:t>PAGINA</w:t>
            </w:r>
          </w:p>
        </w:tc>
      </w:tr>
      <w:tr>
        <w:trPr>
          <w:trHeight w:val="322" w:hRule="exact"/>
        </w:trPr>
        <w:tc>
          <w:tcPr>
            <w:tcW w:w="3061" w:type="dxa"/>
          </w:tcPr>
          <w:p>
            <w:pPr>
              <w:pStyle w:val="TableParagraph"/>
              <w:spacing w:before="1"/>
              <w:ind w:left="67"/>
              <w:jc w:val="left"/>
              <w:rPr>
                <w:sz w:val="18"/>
              </w:rPr>
            </w:pPr>
            <w:r>
              <w:rPr>
                <w:sz w:val="18"/>
              </w:rPr>
              <w:t>ACAMBAY</w:t>
            </w:r>
          </w:p>
        </w:tc>
        <w:tc>
          <w:tcPr>
            <w:tcW w:w="5391" w:type="dxa"/>
          </w:tcPr>
          <w:p>
            <w:pPr>
              <w:pStyle w:val="TableParagraph"/>
              <w:spacing w:before="1"/>
              <w:ind w:left="67"/>
              <w:jc w:val="left"/>
              <w:rPr>
                <w:sz w:val="18"/>
              </w:rPr>
            </w:pPr>
            <w:hyperlink r:id="rId223">
              <w:r>
                <w:rPr>
                  <w:sz w:val="18"/>
                  <w:u w:val="single"/>
                </w:rPr>
                <w:t>http://ayuntamientoacambay2.wix.com/2013-2015</w:t>
              </w:r>
            </w:hyperlink>
          </w:p>
        </w:tc>
      </w:tr>
      <w:tr>
        <w:trPr>
          <w:trHeight w:val="319" w:hRule="exact"/>
        </w:trPr>
        <w:tc>
          <w:tcPr>
            <w:tcW w:w="3061" w:type="dxa"/>
          </w:tcPr>
          <w:p>
            <w:pPr>
              <w:pStyle w:val="TableParagraph"/>
              <w:spacing w:line="206" w:lineRule="exact"/>
              <w:ind w:left="67"/>
              <w:jc w:val="left"/>
              <w:rPr>
                <w:sz w:val="18"/>
              </w:rPr>
            </w:pPr>
            <w:r>
              <w:rPr>
                <w:sz w:val="18"/>
              </w:rPr>
              <w:t>ACOLMAN</w:t>
            </w:r>
          </w:p>
        </w:tc>
        <w:tc>
          <w:tcPr>
            <w:tcW w:w="5391" w:type="dxa"/>
          </w:tcPr>
          <w:p>
            <w:pPr>
              <w:pStyle w:val="TableParagraph"/>
              <w:spacing w:line="206" w:lineRule="exact"/>
              <w:ind w:left="67"/>
              <w:jc w:val="left"/>
              <w:rPr>
                <w:sz w:val="18"/>
              </w:rPr>
            </w:pPr>
            <w:hyperlink r:id="rId224">
              <w:r>
                <w:rPr>
                  <w:sz w:val="18"/>
                  <w:u w:val="single"/>
                </w:rPr>
                <w:t>http://www.acolman.gob.mx/</w:t>
              </w:r>
            </w:hyperlink>
          </w:p>
        </w:tc>
      </w:tr>
      <w:tr>
        <w:trPr>
          <w:trHeight w:val="322" w:hRule="exact"/>
        </w:trPr>
        <w:tc>
          <w:tcPr>
            <w:tcW w:w="3061" w:type="dxa"/>
          </w:tcPr>
          <w:p>
            <w:pPr>
              <w:pStyle w:val="TableParagraph"/>
              <w:spacing w:before="1"/>
              <w:ind w:left="67"/>
              <w:jc w:val="left"/>
              <w:rPr>
                <w:sz w:val="18"/>
              </w:rPr>
            </w:pPr>
            <w:r>
              <w:rPr>
                <w:sz w:val="18"/>
              </w:rPr>
              <w:t>ACULCO*</w:t>
            </w:r>
          </w:p>
        </w:tc>
        <w:tc>
          <w:tcPr>
            <w:tcW w:w="5391" w:type="dxa"/>
          </w:tcPr>
          <w:p>
            <w:pPr>
              <w:pStyle w:val="TableParagraph"/>
              <w:spacing w:before="1"/>
              <w:ind w:left="67"/>
              <w:jc w:val="left"/>
              <w:rPr>
                <w:sz w:val="18"/>
              </w:rPr>
            </w:pPr>
            <w:hyperlink r:id="rId225">
              <w:r>
                <w:rPr>
                  <w:sz w:val="18"/>
                </w:rPr>
                <w:t>http://aculco.gob.mx/</w:t>
              </w:r>
            </w:hyperlink>
          </w:p>
        </w:tc>
      </w:tr>
      <w:tr>
        <w:trPr>
          <w:trHeight w:val="319" w:hRule="exact"/>
        </w:trPr>
        <w:tc>
          <w:tcPr>
            <w:tcW w:w="3061" w:type="dxa"/>
          </w:tcPr>
          <w:p>
            <w:pPr>
              <w:pStyle w:val="TableParagraph"/>
              <w:spacing w:line="206" w:lineRule="exact"/>
              <w:ind w:left="67"/>
              <w:jc w:val="left"/>
              <w:rPr>
                <w:sz w:val="18"/>
              </w:rPr>
            </w:pPr>
            <w:r>
              <w:rPr>
                <w:sz w:val="18"/>
              </w:rPr>
              <w:t>ALMOLOYA DE ALQUISIRAS*</w:t>
            </w:r>
          </w:p>
        </w:tc>
        <w:tc>
          <w:tcPr>
            <w:tcW w:w="5391" w:type="dxa"/>
          </w:tcPr>
          <w:p>
            <w:pPr>
              <w:pStyle w:val="TableParagraph"/>
              <w:spacing w:line="206" w:lineRule="exact"/>
              <w:ind w:left="67"/>
              <w:jc w:val="left"/>
              <w:rPr>
                <w:sz w:val="18"/>
              </w:rPr>
            </w:pPr>
            <w:hyperlink r:id="rId226">
              <w:r>
                <w:rPr>
                  <w:sz w:val="18"/>
                </w:rPr>
                <w:t>http://www.almoloyaalquisiras.com.mx/</w:t>
              </w:r>
            </w:hyperlink>
          </w:p>
        </w:tc>
      </w:tr>
      <w:tr>
        <w:trPr>
          <w:trHeight w:val="322" w:hRule="exact"/>
        </w:trPr>
        <w:tc>
          <w:tcPr>
            <w:tcW w:w="3061" w:type="dxa"/>
          </w:tcPr>
          <w:p>
            <w:pPr>
              <w:pStyle w:val="TableParagraph"/>
              <w:spacing w:before="1"/>
              <w:ind w:left="67"/>
              <w:jc w:val="left"/>
              <w:rPr>
                <w:sz w:val="18"/>
              </w:rPr>
            </w:pPr>
            <w:r>
              <w:rPr>
                <w:sz w:val="18"/>
              </w:rPr>
              <w:t>ALMOLOYA DE JUAREZ*</w:t>
            </w:r>
          </w:p>
        </w:tc>
        <w:tc>
          <w:tcPr>
            <w:tcW w:w="5391" w:type="dxa"/>
          </w:tcPr>
          <w:p>
            <w:pPr>
              <w:pStyle w:val="TableParagraph"/>
              <w:spacing w:before="1"/>
              <w:ind w:left="67"/>
              <w:jc w:val="left"/>
              <w:rPr>
                <w:sz w:val="18"/>
              </w:rPr>
            </w:pPr>
            <w:hyperlink r:id="rId227">
              <w:r>
                <w:rPr>
                  <w:sz w:val="18"/>
                </w:rPr>
                <w:t>http://almoloyadejuarez.gob.mx/turistico/inicio.php</w:t>
              </w:r>
            </w:hyperlink>
          </w:p>
        </w:tc>
      </w:tr>
      <w:tr>
        <w:trPr>
          <w:trHeight w:val="322" w:hRule="exact"/>
        </w:trPr>
        <w:tc>
          <w:tcPr>
            <w:tcW w:w="3061" w:type="dxa"/>
          </w:tcPr>
          <w:p>
            <w:pPr>
              <w:pStyle w:val="TableParagraph"/>
              <w:spacing w:line="206" w:lineRule="exact"/>
              <w:ind w:left="67"/>
              <w:jc w:val="left"/>
              <w:rPr>
                <w:sz w:val="18"/>
              </w:rPr>
            </w:pPr>
            <w:r>
              <w:rPr>
                <w:sz w:val="18"/>
              </w:rPr>
              <w:t>ALMOLOYA DEL RIO</w:t>
            </w:r>
          </w:p>
        </w:tc>
        <w:tc>
          <w:tcPr>
            <w:tcW w:w="5391" w:type="dxa"/>
          </w:tcPr>
          <w:p>
            <w:pPr>
              <w:pStyle w:val="TableParagraph"/>
              <w:spacing w:line="206" w:lineRule="exact"/>
              <w:ind w:left="67"/>
              <w:jc w:val="left"/>
              <w:rPr>
                <w:sz w:val="18"/>
              </w:rPr>
            </w:pPr>
            <w:hyperlink r:id="rId228">
              <w:r>
                <w:rPr>
                  <w:sz w:val="18"/>
                  <w:u w:val="single"/>
                </w:rPr>
                <w:t>http://www.almoloyadelrio.gob.mx/web/</w:t>
              </w:r>
            </w:hyperlink>
          </w:p>
        </w:tc>
      </w:tr>
      <w:tr>
        <w:trPr>
          <w:trHeight w:val="319" w:hRule="exact"/>
        </w:trPr>
        <w:tc>
          <w:tcPr>
            <w:tcW w:w="3061" w:type="dxa"/>
          </w:tcPr>
          <w:p>
            <w:pPr>
              <w:pStyle w:val="TableParagraph"/>
              <w:spacing w:line="206" w:lineRule="exact"/>
              <w:ind w:left="67"/>
              <w:jc w:val="left"/>
              <w:rPr>
                <w:sz w:val="18"/>
              </w:rPr>
            </w:pPr>
            <w:r>
              <w:rPr>
                <w:sz w:val="18"/>
              </w:rPr>
              <w:t>AMANALCO</w:t>
            </w:r>
          </w:p>
        </w:tc>
        <w:tc>
          <w:tcPr>
            <w:tcW w:w="5391" w:type="dxa"/>
          </w:tcPr>
          <w:p>
            <w:pPr>
              <w:pStyle w:val="TableParagraph"/>
              <w:spacing w:line="206" w:lineRule="exact"/>
              <w:ind w:left="67"/>
              <w:jc w:val="left"/>
              <w:rPr>
                <w:sz w:val="18"/>
              </w:rPr>
            </w:pPr>
            <w:hyperlink r:id="rId229">
              <w:r>
                <w:rPr>
                  <w:sz w:val="18"/>
                  <w:u w:val="single"/>
                </w:rPr>
                <w:t>http://www.amanalco.gob.mx/</w:t>
              </w:r>
            </w:hyperlink>
          </w:p>
        </w:tc>
      </w:tr>
      <w:tr>
        <w:trPr>
          <w:trHeight w:val="322" w:hRule="exact"/>
        </w:trPr>
        <w:tc>
          <w:tcPr>
            <w:tcW w:w="3061" w:type="dxa"/>
          </w:tcPr>
          <w:p>
            <w:pPr>
              <w:pStyle w:val="TableParagraph"/>
              <w:spacing w:line="206" w:lineRule="exact"/>
              <w:ind w:left="67"/>
              <w:jc w:val="left"/>
              <w:rPr>
                <w:sz w:val="18"/>
              </w:rPr>
            </w:pPr>
            <w:r>
              <w:rPr>
                <w:sz w:val="18"/>
              </w:rPr>
              <w:t>AMATEPEC</w:t>
            </w:r>
          </w:p>
        </w:tc>
        <w:tc>
          <w:tcPr>
            <w:tcW w:w="5391" w:type="dxa"/>
          </w:tcPr>
          <w:p>
            <w:pPr>
              <w:pStyle w:val="TableParagraph"/>
              <w:spacing w:line="206" w:lineRule="exact"/>
              <w:ind w:left="67"/>
              <w:jc w:val="left"/>
              <w:rPr>
                <w:sz w:val="18"/>
              </w:rPr>
            </w:pPr>
            <w:hyperlink r:id="rId230">
              <w:r>
                <w:rPr>
                  <w:sz w:val="18"/>
                  <w:u w:val="single"/>
                </w:rPr>
                <w:t>http://www.amatepec.gob.mx/web/</w:t>
              </w:r>
            </w:hyperlink>
          </w:p>
        </w:tc>
      </w:tr>
      <w:tr>
        <w:trPr>
          <w:trHeight w:val="320" w:hRule="exact"/>
        </w:trPr>
        <w:tc>
          <w:tcPr>
            <w:tcW w:w="3061" w:type="dxa"/>
          </w:tcPr>
          <w:p>
            <w:pPr>
              <w:pStyle w:val="TableParagraph"/>
              <w:spacing w:line="207" w:lineRule="exact"/>
              <w:ind w:left="67"/>
              <w:jc w:val="left"/>
              <w:rPr>
                <w:sz w:val="18"/>
              </w:rPr>
            </w:pPr>
            <w:r>
              <w:rPr>
                <w:sz w:val="18"/>
              </w:rPr>
              <w:t>AMECAMECA</w:t>
            </w:r>
          </w:p>
        </w:tc>
        <w:tc>
          <w:tcPr>
            <w:tcW w:w="5391" w:type="dxa"/>
          </w:tcPr>
          <w:p>
            <w:pPr>
              <w:pStyle w:val="TableParagraph"/>
              <w:spacing w:line="207" w:lineRule="exact"/>
              <w:ind w:left="67"/>
              <w:jc w:val="left"/>
              <w:rPr>
                <w:sz w:val="18"/>
              </w:rPr>
            </w:pPr>
            <w:hyperlink r:id="rId231">
              <w:r>
                <w:rPr>
                  <w:sz w:val="18"/>
                  <w:u w:val="single"/>
                </w:rPr>
                <w:t>http://amecameca.gob.mx/web/</w:t>
              </w:r>
            </w:hyperlink>
          </w:p>
        </w:tc>
      </w:tr>
      <w:tr>
        <w:trPr>
          <w:trHeight w:val="322" w:hRule="exact"/>
        </w:trPr>
        <w:tc>
          <w:tcPr>
            <w:tcW w:w="3061" w:type="dxa"/>
          </w:tcPr>
          <w:p>
            <w:pPr>
              <w:pStyle w:val="TableParagraph"/>
              <w:spacing w:line="206" w:lineRule="exact"/>
              <w:ind w:left="67"/>
              <w:jc w:val="left"/>
              <w:rPr>
                <w:sz w:val="18"/>
              </w:rPr>
            </w:pPr>
            <w:r>
              <w:rPr>
                <w:sz w:val="18"/>
              </w:rPr>
              <w:t>APAXCO</w:t>
            </w:r>
          </w:p>
        </w:tc>
        <w:tc>
          <w:tcPr>
            <w:tcW w:w="5391" w:type="dxa"/>
          </w:tcPr>
          <w:p>
            <w:pPr>
              <w:pStyle w:val="TableParagraph"/>
              <w:spacing w:line="206" w:lineRule="exact"/>
              <w:ind w:left="67"/>
              <w:jc w:val="left"/>
              <w:rPr>
                <w:sz w:val="18"/>
              </w:rPr>
            </w:pPr>
            <w:hyperlink r:id="rId232">
              <w:r>
                <w:rPr>
                  <w:sz w:val="18"/>
                  <w:u w:val="single"/>
                </w:rPr>
                <w:t>http://www.apaxco.gob.mx/</w:t>
              </w:r>
            </w:hyperlink>
          </w:p>
        </w:tc>
      </w:tr>
      <w:tr>
        <w:trPr>
          <w:trHeight w:val="319" w:hRule="exact"/>
        </w:trPr>
        <w:tc>
          <w:tcPr>
            <w:tcW w:w="3061" w:type="dxa"/>
          </w:tcPr>
          <w:p>
            <w:pPr>
              <w:pStyle w:val="TableParagraph"/>
              <w:spacing w:line="206" w:lineRule="exact"/>
              <w:ind w:left="67"/>
              <w:jc w:val="left"/>
              <w:rPr>
                <w:sz w:val="18"/>
              </w:rPr>
            </w:pPr>
            <w:r>
              <w:rPr>
                <w:sz w:val="18"/>
              </w:rPr>
              <w:t>ATENCO*</w:t>
            </w:r>
          </w:p>
        </w:tc>
        <w:tc>
          <w:tcPr>
            <w:tcW w:w="5391" w:type="dxa"/>
          </w:tcPr>
          <w:p>
            <w:pPr>
              <w:pStyle w:val="TableParagraph"/>
              <w:spacing w:line="206" w:lineRule="exact"/>
              <w:ind w:left="67"/>
              <w:jc w:val="left"/>
              <w:rPr>
                <w:sz w:val="18"/>
              </w:rPr>
            </w:pPr>
            <w:hyperlink r:id="rId233">
              <w:r>
                <w:rPr>
                  <w:sz w:val="18"/>
                </w:rPr>
                <w:t>http://atencoedomex.gob.mx/</w:t>
              </w:r>
            </w:hyperlink>
          </w:p>
        </w:tc>
      </w:tr>
      <w:tr>
        <w:trPr>
          <w:trHeight w:val="322" w:hRule="exact"/>
        </w:trPr>
        <w:tc>
          <w:tcPr>
            <w:tcW w:w="3061" w:type="dxa"/>
          </w:tcPr>
          <w:p>
            <w:pPr>
              <w:pStyle w:val="TableParagraph"/>
              <w:spacing w:line="206" w:lineRule="exact"/>
              <w:ind w:left="67"/>
              <w:jc w:val="left"/>
              <w:rPr>
                <w:sz w:val="18"/>
              </w:rPr>
            </w:pPr>
            <w:r>
              <w:rPr>
                <w:sz w:val="18"/>
              </w:rPr>
              <w:t>(SANTA CRUZ) ATIZAPAN*</w:t>
            </w:r>
          </w:p>
        </w:tc>
        <w:tc>
          <w:tcPr>
            <w:tcW w:w="5391" w:type="dxa"/>
          </w:tcPr>
          <w:p>
            <w:pPr>
              <w:pStyle w:val="TableParagraph"/>
              <w:spacing w:line="206" w:lineRule="exact"/>
              <w:ind w:left="67"/>
              <w:jc w:val="left"/>
              <w:rPr>
                <w:sz w:val="18"/>
              </w:rPr>
            </w:pPr>
            <w:hyperlink r:id="rId234">
              <w:r>
                <w:rPr>
                  <w:sz w:val="18"/>
                </w:rPr>
                <w:t>http://atizapansantacruz.gob.mx/web/inicio.php</w:t>
              </w:r>
            </w:hyperlink>
          </w:p>
        </w:tc>
      </w:tr>
      <w:tr>
        <w:trPr>
          <w:trHeight w:val="319" w:hRule="exact"/>
        </w:trPr>
        <w:tc>
          <w:tcPr>
            <w:tcW w:w="3061" w:type="dxa"/>
          </w:tcPr>
          <w:p>
            <w:pPr>
              <w:pStyle w:val="TableParagraph"/>
              <w:spacing w:line="206" w:lineRule="exact"/>
              <w:ind w:left="67"/>
              <w:jc w:val="left"/>
              <w:rPr>
                <w:sz w:val="18"/>
              </w:rPr>
            </w:pPr>
            <w:r>
              <w:rPr>
                <w:sz w:val="18"/>
              </w:rPr>
              <w:t>ATIZAPAN DE ZARAGOSA</w:t>
            </w:r>
          </w:p>
        </w:tc>
        <w:tc>
          <w:tcPr>
            <w:tcW w:w="5391" w:type="dxa"/>
          </w:tcPr>
          <w:p>
            <w:pPr>
              <w:pStyle w:val="TableParagraph"/>
              <w:spacing w:line="206" w:lineRule="exact"/>
              <w:ind w:left="67"/>
              <w:jc w:val="left"/>
              <w:rPr>
                <w:sz w:val="18"/>
              </w:rPr>
            </w:pPr>
            <w:hyperlink r:id="rId235">
              <w:r>
                <w:rPr>
                  <w:sz w:val="18"/>
                  <w:u w:val="single"/>
                </w:rPr>
                <w:t>http://www.atizapan.gob.mx/site/</w:t>
              </w:r>
            </w:hyperlink>
          </w:p>
        </w:tc>
      </w:tr>
      <w:tr>
        <w:trPr>
          <w:trHeight w:val="322" w:hRule="exact"/>
        </w:trPr>
        <w:tc>
          <w:tcPr>
            <w:tcW w:w="3061" w:type="dxa"/>
          </w:tcPr>
          <w:p>
            <w:pPr>
              <w:pStyle w:val="TableParagraph"/>
              <w:spacing w:line="206" w:lineRule="exact"/>
              <w:ind w:left="67"/>
              <w:jc w:val="left"/>
              <w:rPr>
                <w:sz w:val="18"/>
              </w:rPr>
            </w:pPr>
            <w:r>
              <w:rPr>
                <w:sz w:val="18"/>
              </w:rPr>
              <w:t>ATLACOMULCO</w:t>
            </w:r>
          </w:p>
        </w:tc>
        <w:tc>
          <w:tcPr>
            <w:tcW w:w="5391" w:type="dxa"/>
          </w:tcPr>
          <w:p>
            <w:pPr>
              <w:pStyle w:val="TableParagraph"/>
              <w:spacing w:line="206" w:lineRule="exact"/>
              <w:ind w:left="67"/>
              <w:jc w:val="left"/>
              <w:rPr>
                <w:sz w:val="18"/>
              </w:rPr>
            </w:pPr>
            <w:hyperlink r:id="rId236">
              <w:r>
                <w:rPr>
                  <w:sz w:val="18"/>
                  <w:u w:val="single"/>
                </w:rPr>
                <w:t>http://www.atlacomulco.gob.mx/</w:t>
              </w:r>
            </w:hyperlink>
          </w:p>
        </w:tc>
      </w:tr>
      <w:tr>
        <w:trPr>
          <w:trHeight w:val="319" w:hRule="exact"/>
        </w:trPr>
        <w:tc>
          <w:tcPr>
            <w:tcW w:w="3061" w:type="dxa"/>
          </w:tcPr>
          <w:p>
            <w:pPr>
              <w:pStyle w:val="TableParagraph"/>
              <w:spacing w:line="206" w:lineRule="exact"/>
              <w:ind w:left="67"/>
              <w:jc w:val="left"/>
              <w:rPr>
                <w:sz w:val="18"/>
              </w:rPr>
            </w:pPr>
            <w:r>
              <w:rPr>
                <w:sz w:val="18"/>
              </w:rPr>
              <w:t>ATLAUTLA</w:t>
            </w:r>
          </w:p>
        </w:tc>
        <w:tc>
          <w:tcPr>
            <w:tcW w:w="5391" w:type="dxa"/>
          </w:tcPr>
          <w:p>
            <w:pPr>
              <w:pStyle w:val="TableParagraph"/>
              <w:spacing w:line="206" w:lineRule="exact"/>
              <w:ind w:left="67"/>
              <w:jc w:val="left"/>
              <w:rPr>
                <w:sz w:val="18"/>
              </w:rPr>
            </w:pPr>
            <w:hyperlink r:id="rId237">
              <w:r>
                <w:rPr>
                  <w:sz w:val="18"/>
                  <w:u w:val="single"/>
                </w:rPr>
                <w:t>http://atlautla.edomex.gob.mx/</w:t>
              </w:r>
            </w:hyperlink>
          </w:p>
        </w:tc>
      </w:tr>
      <w:tr>
        <w:trPr>
          <w:trHeight w:val="322" w:hRule="exact"/>
        </w:trPr>
        <w:tc>
          <w:tcPr>
            <w:tcW w:w="3061" w:type="dxa"/>
          </w:tcPr>
          <w:p>
            <w:pPr>
              <w:pStyle w:val="TableParagraph"/>
              <w:spacing w:line="206" w:lineRule="exact"/>
              <w:ind w:left="67"/>
              <w:jc w:val="left"/>
              <w:rPr>
                <w:sz w:val="18"/>
              </w:rPr>
            </w:pPr>
            <w:r>
              <w:rPr>
                <w:sz w:val="18"/>
              </w:rPr>
              <w:t>AXAPUSCO</w:t>
            </w:r>
          </w:p>
        </w:tc>
        <w:tc>
          <w:tcPr>
            <w:tcW w:w="5391" w:type="dxa"/>
          </w:tcPr>
          <w:p>
            <w:pPr>
              <w:pStyle w:val="TableParagraph"/>
              <w:spacing w:line="206" w:lineRule="exact"/>
              <w:ind w:left="67"/>
              <w:jc w:val="left"/>
              <w:rPr>
                <w:sz w:val="18"/>
              </w:rPr>
            </w:pPr>
            <w:hyperlink r:id="rId238">
              <w:r>
                <w:rPr>
                  <w:sz w:val="18"/>
                  <w:u w:val="single"/>
                </w:rPr>
                <w:t>http://www.axapusco.gob.mx/</w:t>
              </w:r>
            </w:hyperlink>
          </w:p>
        </w:tc>
      </w:tr>
      <w:tr>
        <w:trPr>
          <w:trHeight w:val="319" w:hRule="exact"/>
        </w:trPr>
        <w:tc>
          <w:tcPr>
            <w:tcW w:w="3061" w:type="dxa"/>
          </w:tcPr>
          <w:p>
            <w:pPr>
              <w:pStyle w:val="TableParagraph"/>
              <w:spacing w:line="206" w:lineRule="exact"/>
              <w:ind w:left="67"/>
              <w:jc w:val="left"/>
              <w:rPr>
                <w:sz w:val="18"/>
              </w:rPr>
            </w:pPr>
            <w:r>
              <w:rPr>
                <w:sz w:val="18"/>
              </w:rPr>
              <w:t>AYAPANGO</w:t>
            </w:r>
          </w:p>
        </w:tc>
        <w:tc>
          <w:tcPr>
            <w:tcW w:w="5391" w:type="dxa"/>
          </w:tcPr>
          <w:p>
            <w:pPr>
              <w:pStyle w:val="TableParagraph"/>
              <w:spacing w:line="206" w:lineRule="exact"/>
              <w:ind w:left="67"/>
              <w:jc w:val="left"/>
              <w:rPr>
                <w:sz w:val="18"/>
              </w:rPr>
            </w:pPr>
            <w:hyperlink r:id="rId239">
              <w:r>
                <w:rPr>
                  <w:sz w:val="18"/>
                  <w:u w:val="single"/>
                </w:rPr>
                <w:t>http://www.ayapango.gob.mx/web/</w:t>
              </w:r>
            </w:hyperlink>
          </w:p>
        </w:tc>
      </w:tr>
      <w:tr>
        <w:trPr>
          <w:trHeight w:val="322" w:hRule="exact"/>
        </w:trPr>
        <w:tc>
          <w:tcPr>
            <w:tcW w:w="3061" w:type="dxa"/>
          </w:tcPr>
          <w:p>
            <w:pPr>
              <w:pStyle w:val="TableParagraph"/>
              <w:spacing w:before="1"/>
              <w:ind w:left="67"/>
              <w:jc w:val="left"/>
              <w:rPr>
                <w:sz w:val="18"/>
              </w:rPr>
            </w:pPr>
            <w:r>
              <w:rPr>
                <w:sz w:val="18"/>
              </w:rPr>
              <w:t>CALIMAYA</w:t>
            </w:r>
          </w:p>
        </w:tc>
        <w:tc>
          <w:tcPr>
            <w:tcW w:w="5391" w:type="dxa"/>
          </w:tcPr>
          <w:p>
            <w:pPr>
              <w:pStyle w:val="TableParagraph"/>
              <w:spacing w:before="1"/>
              <w:ind w:left="67"/>
              <w:jc w:val="left"/>
              <w:rPr>
                <w:sz w:val="18"/>
              </w:rPr>
            </w:pPr>
            <w:hyperlink r:id="rId240">
              <w:r>
                <w:rPr>
                  <w:sz w:val="18"/>
                  <w:u w:val="single"/>
                </w:rPr>
                <w:t>http://calimaya.gob.mx/web/</w:t>
              </w:r>
            </w:hyperlink>
          </w:p>
        </w:tc>
      </w:tr>
      <w:tr>
        <w:trPr>
          <w:trHeight w:val="319" w:hRule="exact"/>
        </w:trPr>
        <w:tc>
          <w:tcPr>
            <w:tcW w:w="3061" w:type="dxa"/>
            <w:tcBorders>
              <w:bottom w:val="single" w:sz="4" w:space="0" w:color="000000"/>
            </w:tcBorders>
          </w:tcPr>
          <w:p>
            <w:pPr>
              <w:pStyle w:val="TableParagraph"/>
              <w:spacing w:line="206" w:lineRule="exact"/>
              <w:ind w:left="67"/>
              <w:jc w:val="left"/>
              <w:rPr>
                <w:sz w:val="18"/>
              </w:rPr>
            </w:pPr>
            <w:r>
              <w:rPr>
                <w:sz w:val="18"/>
              </w:rPr>
              <w:t>CAPULHUAC</w:t>
            </w:r>
          </w:p>
        </w:tc>
        <w:tc>
          <w:tcPr>
            <w:tcW w:w="5391" w:type="dxa"/>
            <w:tcBorders>
              <w:bottom w:val="single" w:sz="4" w:space="0" w:color="000000"/>
            </w:tcBorders>
          </w:tcPr>
          <w:p>
            <w:pPr>
              <w:pStyle w:val="TableParagraph"/>
              <w:spacing w:line="206" w:lineRule="exact"/>
              <w:ind w:left="67"/>
              <w:jc w:val="left"/>
              <w:rPr>
                <w:sz w:val="18"/>
              </w:rPr>
            </w:pPr>
            <w:hyperlink r:id="rId241">
              <w:r>
                <w:rPr>
                  <w:sz w:val="18"/>
                  <w:u w:val="single"/>
                </w:rPr>
                <w:t>http://www.capulhuac.gob.mx/web/</w:t>
              </w:r>
            </w:hyperlink>
          </w:p>
        </w:tc>
      </w:tr>
      <w:tr>
        <w:trPr>
          <w:trHeight w:val="322" w:hRule="exact"/>
        </w:trPr>
        <w:tc>
          <w:tcPr>
            <w:tcW w:w="3061" w:type="dxa"/>
            <w:tcBorders>
              <w:top w:val="single" w:sz="4" w:space="0" w:color="000000"/>
            </w:tcBorders>
          </w:tcPr>
          <w:p>
            <w:pPr>
              <w:pStyle w:val="TableParagraph"/>
              <w:spacing w:before="1"/>
              <w:ind w:left="67"/>
              <w:jc w:val="left"/>
              <w:rPr>
                <w:sz w:val="18"/>
              </w:rPr>
            </w:pPr>
            <w:r>
              <w:rPr>
                <w:sz w:val="18"/>
              </w:rPr>
              <w:t>COACALCO DE BERRIOZABAL</w:t>
            </w:r>
          </w:p>
        </w:tc>
        <w:tc>
          <w:tcPr>
            <w:tcW w:w="5391" w:type="dxa"/>
            <w:tcBorders>
              <w:top w:val="single" w:sz="4" w:space="0" w:color="000000"/>
            </w:tcBorders>
          </w:tcPr>
          <w:p>
            <w:pPr>
              <w:pStyle w:val="TableParagraph"/>
              <w:spacing w:before="1"/>
              <w:ind w:left="67"/>
              <w:jc w:val="left"/>
              <w:rPr>
                <w:sz w:val="18"/>
              </w:rPr>
            </w:pPr>
            <w:hyperlink r:id="rId242">
              <w:r>
                <w:rPr>
                  <w:sz w:val="18"/>
                  <w:u w:val="single"/>
                </w:rPr>
                <w:t>http://coacalco.gob.mx/portal/</w:t>
              </w:r>
            </w:hyperlink>
          </w:p>
        </w:tc>
      </w:tr>
      <w:tr>
        <w:trPr>
          <w:trHeight w:val="319" w:hRule="exact"/>
        </w:trPr>
        <w:tc>
          <w:tcPr>
            <w:tcW w:w="3061" w:type="dxa"/>
          </w:tcPr>
          <w:p>
            <w:pPr>
              <w:pStyle w:val="TableParagraph"/>
              <w:spacing w:line="206" w:lineRule="exact"/>
              <w:ind w:left="67"/>
              <w:jc w:val="left"/>
              <w:rPr>
                <w:sz w:val="18"/>
              </w:rPr>
            </w:pPr>
            <w:r>
              <w:rPr>
                <w:sz w:val="18"/>
              </w:rPr>
              <w:t>COATEPEC HARINAS</w:t>
            </w:r>
          </w:p>
        </w:tc>
        <w:tc>
          <w:tcPr>
            <w:tcW w:w="5391" w:type="dxa"/>
          </w:tcPr>
          <w:p>
            <w:pPr>
              <w:pStyle w:val="TableParagraph"/>
              <w:spacing w:line="206" w:lineRule="exact"/>
              <w:ind w:left="67"/>
              <w:jc w:val="left"/>
              <w:rPr>
                <w:sz w:val="18"/>
              </w:rPr>
            </w:pPr>
            <w:hyperlink r:id="rId243">
              <w:r>
                <w:rPr>
                  <w:sz w:val="18"/>
                  <w:u w:val="single"/>
                </w:rPr>
                <w:t>http://www.coatepech.gob.mx/</w:t>
              </w:r>
            </w:hyperlink>
          </w:p>
        </w:tc>
      </w:tr>
      <w:tr>
        <w:trPr>
          <w:trHeight w:val="322" w:hRule="exact"/>
        </w:trPr>
        <w:tc>
          <w:tcPr>
            <w:tcW w:w="3061" w:type="dxa"/>
          </w:tcPr>
          <w:p>
            <w:pPr>
              <w:pStyle w:val="TableParagraph"/>
              <w:spacing w:before="1"/>
              <w:ind w:left="67"/>
              <w:jc w:val="left"/>
              <w:rPr>
                <w:sz w:val="18"/>
              </w:rPr>
            </w:pPr>
            <w:r>
              <w:rPr>
                <w:sz w:val="18"/>
              </w:rPr>
              <w:t>COCOTITLAN</w:t>
            </w:r>
          </w:p>
        </w:tc>
        <w:tc>
          <w:tcPr>
            <w:tcW w:w="5391" w:type="dxa"/>
          </w:tcPr>
          <w:p>
            <w:pPr>
              <w:pStyle w:val="TableParagraph"/>
              <w:spacing w:before="1"/>
              <w:ind w:left="67"/>
              <w:jc w:val="left"/>
              <w:rPr>
                <w:sz w:val="18"/>
              </w:rPr>
            </w:pPr>
            <w:hyperlink r:id="rId244">
              <w:r>
                <w:rPr>
                  <w:sz w:val="18"/>
                  <w:u w:val="single"/>
                </w:rPr>
                <w:t>http://www.cocotitlan.gob.mx/web/</w:t>
              </w:r>
            </w:hyperlink>
          </w:p>
        </w:tc>
      </w:tr>
      <w:tr>
        <w:trPr>
          <w:trHeight w:val="322" w:hRule="exact"/>
        </w:trPr>
        <w:tc>
          <w:tcPr>
            <w:tcW w:w="3061" w:type="dxa"/>
          </w:tcPr>
          <w:p>
            <w:pPr>
              <w:pStyle w:val="TableParagraph"/>
              <w:spacing w:line="206" w:lineRule="exact"/>
              <w:ind w:left="67"/>
              <w:jc w:val="left"/>
              <w:rPr>
                <w:sz w:val="18"/>
              </w:rPr>
            </w:pPr>
            <w:r>
              <w:rPr>
                <w:sz w:val="18"/>
              </w:rPr>
              <w:t>COYOTEPEC</w:t>
            </w:r>
          </w:p>
        </w:tc>
        <w:tc>
          <w:tcPr>
            <w:tcW w:w="5391" w:type="dxa"/>
          </w:tcPr>
          <w:p>
            <w:pPr>
              <w:pStyle w:val="TableParagraph"/>
              <w:spacing w:line="206" w:lineRule="exact"/>
              <w:ind w:left="67"/>
              <w:jc w:val="left"/>
              <w:rPr>
                <w:sz w:val="18"/>
              </w:rPr>
            </w:pPr>
            <w:hyperlink r:id="rId245">
              <w:r>
                <w:rPr>
                  <w:sz w:val="18"/>
                  <w:u w:val="single"/>
                </w:rPr>
                <w:t>http://www.coyotepecmx.gob.mx/paginas/trans/trasparencia.html</w:t>
              </w:r>
            </w:hyperlink>
          </w:p>
        </w:tc>
      </w:tr>
      <w:tr>
        <w:trPr>
          <w:trHeight w:val="319" w:hRule="exact"/>
        </w:trPr>
        <w:tc>
          <w:tcPr>
            <w:tcW w:w="3061" w:type="dxa"/>
          </w:tcPr>
          <w:p>
            <w:pPr>
              <w:pStyle w:val="TableParagraph"/>
              <w:spacing w:line="206" w:lineRule="exact"/>
              <w:ind w:left="67"/>
              <w:jc w:val="left"/>
              <w:rPr>
                <w:sz w:val="18"/>
              </w:rPr>
            </w:pPr>
            <w:r>
              <w:rPr>
                <w:sz w:val="18"/>
              </w:rPr>
              <w:t>CUAUTITLAN</w:t>
            </w:r>
          </w:p>
        </w:tc>
        <w:tc>
          <w:tcPr>
            <w:tcW w:w="5391" w:type="dxa"/>
          </w:tcPr>
          <w:p>
            <w:pPr>
              <w:pStyle w:val="TableParagraph"/>
              <w:spacing w:line="206" w:lineRule="exact"/>
              <w:ind w:left="67"/>
              <w:jc w:val="left"/>
              <w:rPr>
                <w:sz w:val="18"/>
              </w:rPr>
            </w:pPr>
            <w:hyperlink r:id="rId246">
              <w:r>
                <w:rPr>
                  <w:sz w:val="18"/>
                  <w:u w:val="single"/>
                </w:rPr>
                <w:t>http://www.cuautitlan.gob.mx/web/</w:t>
              </w:r>
            </w:hyperlink>
          </w:p>
        </w:tc>
      </w:tr>
      <w:tr>
        <w:trPr>
          <w:trHeight w:val="322" w:hRule="exact"/>
        </w:trPr>
        <w:tc>
          <w:tcPr>
            <w:tcW w:w="3061" w:type="dxa"/>
          </w:tcPr>
          <w:p>
            <w:pPr>
              <w:pStyle w:val="TableParagraph"/>
              <w:spacing w:line="206" w:lineRule="exact"/>
              <w:ind w:left="67"/>
              <w:jc w:val="left"/>
              <w:rPr>
                <w:sz w:val="18"/>
              </w:rPr>
            </w:pPr>
            <w:r>
              <w:rPr>
                <w:sz w:val="18"/>
              </w:rPr>
              <w:t>CHALCO</w:t>
            </w:r>
          </w:p>
        </w:tc>
        <w:tc>
          <w:tcPr>
            <w:tcW w:w="5391" w:type="dxa"/>
          </w:tcPr>
          <w:p>
            <w:pPr>
              <w:pStyle w:val="TableParagraph"/>
              <w:spacing w:line="206" w:lineRule="exact"/>
              <w:ind w:left="67"/>
              <w:jc w:val="left"/>
              <w:rPr>
                <w:sz w:val="18"/>
              </w:rPr>
            </w:pPr>
            <w:hyperlink r:id="rId247">
              <w:r>
                <w:rPr>
                  <w:sz w:val="18"/>
                  <w:u w:val="single"/>
                </w:rPr>
                <w:t>http://www.municipiodechalco.gob.mx/</w:t>
              </w:r>
            </w:hyperlink>
          </w:p>
        </w:tc>
      </w:tr>
      <w:tr>
        <w:trPr>
          <w:trHeight w:val="319" w:hRule="exact"/>
        </w:trPr>
        <w:tc>
          <w:tcPr>
            <w:tcW w:w="3061" w:type="dxa"/>
          </w:tcPr>
          <w:p>
            <w:pPr>
              <w:pStyle w:val="TableParagraph"/>
              <w:spacing w:line="206" w:lineRule="exact"/>
              <w:ind w:left="67"/>
              <w:jc w:val="left"/>
              <w:rPr>
                <w:sz w:val="18"/>
              </w:rPr>
            </w:pPr>
            <w:r>
              <w:rPr>
                <w:sz w:val="18"/>
              </w:rPr>
              <w:t>CHAPA DE MOTA</w:t>
            </w:r>
          </w:p>
        </w:tc>
        <w:tc>
          <w:tcPr>
            <w:tcW w:w="5391" w:type="dxa"/>
          </w:tcPr>
          <w:p>
            <w:pPr>
              <w:pStyle w:val="TableParagraph"/>
              <w:spacing w:line="206" w:lineRule="exact"/>
              <w:ind w:left="67"/>
              <w:jc w:val="left"/>
              <w:rPr>
                <w:sz w:val="18"/>
              </w:rPr>
            </w:pPr>
            <w:hyperlink r:id="rId248">
              <w:r>
                <w:rPr>
                  <w:sz w:val="18"/>
                  <w:u w:val="single"/>
                </w:rPr>
                <w:t>http://www.chapademota.gob.mx/</w:t>
              </w:r>
            </w:hyperlink>
          </w:p>
        </w:tc>
      </w:tr>
      <w:tr>
        <w:trPr>
          <w:trHeight w:val="322" w:hRule="exact"/>
        </w:trPr>
        <w:tc>
          <w:tcPr>
            <w:tcW w:w="3061" w:type="dxa"/>
          </w:tcPr>
          <w:p>
            <w:pPr>
              <w:pStyle w:val="TableParagraph"/>
              <w:spacing w:line="206" w:lineRule="exact"/>
              <w:ind w:left="67"/>
              <w:jc w:val="left"/>
              <w:rPr>
                <w:sz w:val="18"/>
              </w:rPr>
            </w:pPr>
            <w:r>
              <w:rPr>
                <w:sz w:val="18"/>
              </w:rPr>
              <w:t>CHAPULTEPEC</w:t>
            </w:r>
          </w:p>
        </w:tc>
        <w:tc>
          <w:tcPr>
            <w:tcW w:w="5391" w:type="dxa"/>
          </w:tcPr>
          <w:p>
            <w:pPr>
              <w:pStyle w:val="TableParagraph"/>
              <w:spacing w:line="206" w:lineRule="exact"/>
              <w:ind w:left="67"/>
              <w:jc w:val="left"/>
              <w:rPr>
                <w:sz w:val="18"/>
              </w:rPr>
            </w:pPr>
            <w:hyperlink r:id="rId249">
              <w:r>
                <w:rPr>
                  <w:sz w:val="18"/>
                  <w:u w:val="single"/>
                </w:rPr>
                <w:t>http://chapultepec.gob.mx/</w:t>
              </w:r>
            </w:hyperlink>
          </w:p>
        </w:tc>
      </w:tr>
      <w:tr>
        <w:trPr>
          <w:trHeight w:val="319" w:hRule="exact"/>
        </w:trPr>
        <w:tc>
          <w:tcPr>
            <w:tcW w:w="3061" w:type="dxa"/>
          </w:tcPr>
          <w:p>
            <w:pPr>
              <w:pStyle w:val="TableParagraph"/>
              <w:spacing w:line="206" w:lineRule="exact"/>
              <w:ind w:left="67"/>
              <w:jc w:val="left"/>
              <w:rPr>
                <w:sz w:val="18"/>
              </w:rPr>
            </w:pPr>
            <w:r>
              <w:rPr>
                <w:sz w:val="18"/>
              </w:rPr>
              <w:t>CHIAUTLA</w:t>
            </w:r>
          </w:p>
        </w:tc>
        <w:tc>
          <w:tcPr>
            <w:tcW w:w="5391" w:type="dxa"/>
          </w:tcPr>
          <w:p>
            <w:pPr>
              <w:pStyle w:val="TableParagraph"/>
              <w:spacing w:line="206" w:lineRule="exact"/>
              <w:ind w:left="67"/>
              <w:jc w:val="left"/>
              <w:rPr>
                <w:sz w:val="18"/>
              </w:rPr>
            </w:pPr>
            <w:hyperlink r:id="rId250">
              <w:r>
                <w:rPr>
                  <w:sz w:val="18"/>
                  <w:u w:val="single"/>
                </w:rPr>
                <w:t>http://www.chiautlaedomex.gob.mx/chiautla_historia.html</w:t>
              </w:r>
            </w:hyperlink>
          </w:p>
        </w:tc>
      </w:tr>
      <w:tr>
        <w:trPr>
          <w:trHeight w:val="322" w:hRule="exact"/>
        </w:trPr>
        <w:tc>
          <w:tcPr>
            <w:tcW w:w="3061" w:type="dxa"/>
          </w:tcPr>
          <w:p>
            <w:pPr>
              <w:pStyle w:val="TableParagraph"/>
              <w:spacing w:line="206" w:lineRule="exact"/>
              <w:ind w:left="67"/>
              <w:jc w:val="left"/>
              <w:rPr>
                <w:sz w:val="18"/>
              </w:rPr>
            </w:pPr>
            <w:r>
              <w:rPr>
                <w:sz w:val="18"/>
              </w:rPr>
              <w:t>CHICOLOAPAN*</w:t>
            </w:r>
          </w:p>
        </w:tc>
        <w:tc>
          <w:tcPr>
            <w:tcW w:w="5391" w:type="dxa"/>
          </w:tcPr>
          <w:p>
            <w:pPr>
              <w:pStyle w:val="TableParagraph"/>
              <w:spacing w:line="206" w:lineRule="exact"/>
              <w:ind w:left="67"/>
              <w:jc w:val="left"/>
              <w:rPr>
                <w:sz w:val="18"/>
              </w:rPr>
            </w:pPr>
            <w:hyperlink r:id="rId251">
              <w:r>
                <w:rPr>
                  <w:sz w:val="18"/>
                </w:rPr>
                <w:t>http://www.chicoloapan.gob.mx/</w:t>
              </w:r>
            </w:hyperlink>
          </w:p>
        </w:tc>
      </w:tr>
      <w:tr>
        <w:trPr>
          <w:trHeight w:val="320" w:hRule="exact"/>
        </w:trPr>
        <w:tc>
          <w:tcPr>
            <w:tcW w:w="3061" w:type="dxa"/>
          </w:tcPr>
          <w:p>
            <w:pPr>
              <w:pStyle w:val="TableParagraph"/>
              <w:spacing w:line="206" w:lineRule="exact"/>
              <w:ind w:left="67"/>
              <w:jc w:val="left"/>
              <w:rPr>
                <w:sz w:val="18"/>
              </w:rPr>
            </w:pPr>
            <w:r>
              <w:rPr>
                <w:sz w:val="18"/>
              </w:rPr>
              <w:t>CHICONCUAC</w:t>
            </w:r>
          </w:p>
        </w:tc>
        <w:tc>
          <w:tcPr>
            <w:tcW w:w="5391" w:type="dxa"/>
          </w:tcPr>
          <w:p>
            <w:pPr>
              <w:pStyle w:val="TableParagraph"/>
              <w:spacing w:line="206" w:lineRule="exact"/>
              <w:ind w:left="67"/>
              <w:jc w:val="left"/>
              <w:rPr>
                <w:sz w:val="18"/>
              </w:rPr>
            </w:pPr>
            <w:hyperlink r:id="rId252">
              <w:r>
                <w:rPr>
                  <w:sz w:val="18"/>
                  <w:u w:val="single"/>
                </w:rPr>
                <w:t>http://www.chiconcuac.gob.mx/web/</w:t>
              </w:r>
            </w:hyperlink>
          </w:p>
        </w:tc>
      </w:tr>
      <w:tr>
        <w:trPr>
          <w:trHeight w:val="322" w:hRule="exact"/>
        </w:trPr>
        <w:tc>
          <w:tcPr>
            <w:tcW w:w="3061" w:type="dxa"/>
          </w:tcPr>
          <w:p>
            <w:pPr>
              <w:pStyle w:val="TableParagraph"/>
              <w:spacing w:line="206" w:lineRule="exact"/>
              <w:ind w:left="67"/>
              <w:jc w:val="left"/>
              <w:rPr>
                <w:sz w:val="18"/>
              </w:rPr>
            </w:pPr>
            <w:r>
              <w:rPr>
                <w:sz w:val="18"/>
              </w:rPr>
              <w:t>CHIMALHUACAN</w:t>
            </w:r>
          </w:p>
        </w:tc>
        <w:tc>
          <w:tcPr>
            <w:tcW w:w="5391" w:type="dxa"/>
          </w:tcPr>
          <w:p>
            <w:pPr>
              <w:pStyle w:val="TableParagraph"/>
              <w:spacing w:line="206" w:lineRule="exact"/>
              <w:ind w:left="67"/>
              <w:jc w:val="left"/>
              <w:rPr>
                <w:sz w:val="18"/>
              </w:rPr>
            </w:pPr>
            <w:hyperlink r:id="rId253">
              <w:r>
                <w:rPr>
                  <w:sz w:val="18"/>
                  <w:u w:val="single"/>
                </w:rPr>
                <w:t>http://www.chimalhuacan.gob.mx/</w:t>
              </w:r>
            </w:hyperlink>
          </w:p>
        </w:tc>
      </w:tr>
      <w:tr>
        <w:trPr>
          <w:trHeight w:val="319" w:hRule="exact"/>
        </w:trPr>
        <w:tc>
          <w:tcPr>
            <w:tcW w:w="3061" w:type="dxa"/>
          </w:tcPr>
          <w:p>
            <w:pPr>
              <w:pStyle w:val="TableParagraph"/>
              <w:spacing w:line="206" w:lineRule="exact"/>
              <w:ind w:left="67"/>
              <w:jc w:val="left"/>
              <w:rPr>
                <w:sz w:val="18"/>
              </w:rPr>
            </w:pPr>
            <w:r>
              <w:rPr>
                <w:sz w:val="18"/>
              </w:rPr>
              <w:t>DONATO GUERRA</w:t>
            </w:r>
          </w:p>
        </w:tc>
        <w:tc>
          <w:tcPr>
            <w:tcW w:w="5391" w:type="dxa"/>
          </w:tcPr>
          <w:p>
            <w:pPr>
              <w:pStyle w:val="TableParagraph"/>
              <w:spacing w:line="206" w:lineRule="exact"/>
              <w:ind w:left="67"/>
              <w:jc w:val="left"/>
              <w:rPr>
                <w:sz w:val="18"/>
              </w:rPr>
            </w:pPr>
            <w:hyperlink r:id="rId254">
              <w:r>
                <w:rPr>
                  <w:sz w:val="18"/>
                  <w:u w:val="single"/>
                </w:rPr>
                <w:t>http://www.donatoguerra.gob.mx/</w:t>
              </w:r>
            </w:hyperlink>
          </w:p>
        </w:tc>
      </w:tr>
      <w:tr>
        <w:trPr>
          <w:trHeight w:val="322" w:hRule="exact"/>
        </w:trPr>
        <w:tc>
          <w:tcPr>
            <w:tcW w:w="3061" w:type="dxa"/>
          </w:tcPr>
          <w:p>
            <w:pPr>
              <w:pStyle w:val="TableParagraph"/>
              <w:spacing w:line="206" w:lineRule="exact"/>
              <w:ind w:left="67"/>
              <w:jc w:val="left"/>
              <w:rPr>
                <w:sz w:val="18"/>
              </w:rPr>
            </w:pPr>
            <w:r>
              <w:rPr>
                <w:sz w:val="18"/>
              </w:rPr>
              <w:t>ECATEPEC DE MORELOS</w:t>
            </w:r>
          </w:p>
        </w:tc>
        <w:tc>
          <w:tcPr>
            <w:tcW w:w="5391" w:type="dxa"/>
          </w:tcPr>
          <w:p>
            <w:pPr>
              <w:pStyle w:val="TableParagraph"/>
              <w:spacing w:line="206" w:lineRule="exact"/>
              <w:ind w:left="67"/>
              <w:jc w:val="left"/>
              <w:rPr>
                <w:sz w:val="18"/>
              </w:rPr>
            </w:pPr>
            <w:hyperlink r:id="rId255">
              <w:r>
                <w:rPr>
                  <w:sz w:val="18"/>
                  <w:u w:val="single"/>
                </w:rPr>
                <w:t>http://www.ecatepec.gob.mx/</w:t>
              </w:r>
            </w:hyperlink>
          </w:p>
        </w:tc>
      </w:tr>
      <w:tr>
        <w:trPr>
          <w:trHeight w:val="319" w:hRule="exact"/>
        </w:trPr>
        <w:tc>
          <w:tcPr>
            <w:tcW w:w="3061" w:type="dxa"/>
          </w:tcPr>
          <w:p>
            <w:pPr>
              <w:pStyle w:val="TableParagraph"/>
              <w:spacing w:line="206" w:lineRule="exact"/>
              <w:ind w:left="67"/>
              <w:jc w:val="left"/>
              <w:rPr>
                <w:sz w:val="18"/>
              </w:rPr>
            </w:pPr>
            <w:r>
              <w:rPr>
                <w:sz w:val="18"/>
              </w:rPr>
              <w:t>ECATZINGO*</w:t>
            </w:r>
          </w:p>
        </w:tc>
        <w:tc>
          <w:tcPr>
            <w:tcW w:w="5391" w:type="dxa"/>
          </w:tcPr>
          <w:p>
            <w:pPr>
              <w:pStyle w:val="TableParagraph"/>
              <w:spacing w:line="206" w:lineRule="exact"/>
              <w:ind w:left="67"/>
              <w:jc w:val="left"/>
              <w:rPr>
                <w:sz w:val="18"/>
              </w:rPr>
            </w:pPr>
            <w:hyperlink r:id="rId256">
              <w:r>
                <w:rPr>
                  <w:sz w:val="18"/>
                </w:rPr>
                <w:t>http://ecatzingo.gob.mx/web/inicio.php</w:t>
              </w:r>
            </w:hyperlink>
          </w:p>
        </w:tc>
      </w:tr>
      <w:tr>
        <w:trPr>
          <w:trHeight w:val="322" w:hRule="exact"/>
        </w:trPr>
        <w:tc>
          <w:tcPr>
            <w:tcW w:w="3061" w:type="dxa"/>
          </w:tcPr>
          <w:p>
            <w:pPr>
              <w:pStyle w:val="TableParagraph"/>
              <w:spacing w:before="1"/>
              <w:ind w:left="67"/>
              <w:jc w:val="left"/>
              <w:rPr>
                <w:sz w:val="18"/>
              </w:rPr>
            </w:pPr>
            <w:r>
              <w:rPr>
                <w:sz w:val="18"/>
              </w:rPr>
              <w:t>HUEHUETOCA</w:t>
            </w:r>
          </w:p>
        </w:tc>
        <w:tc>
          <w:tcPr>
            <w:tcW w:w="5391" w:type="dxa"/>
          </w:tcPr>
          <w:p>
            <w:pPr>
              <w:pStyle w:val="TableParagraph"/>
              <w:spacing w:before="1"/>
              <w:ind w:left="67"/>
              <w:jc w:val="left"/>
              <w:rPr>
                <w:sz w:val="18"/>
              </w:rPr>
            </w:pPr>
            <w:hyperlink r:id="rId257">
              <w:r>
                <w:rPr>
                  <w:sz w:val="18"/>
                  <w:u w:val="single"/>
                </w:rPr>
                <w:t>http://www.huehuetoca.gob.mx/web/</w:t>
              </w:r>
            </w:hyperlink>
          </w:p>
        </w:tc>
      </w:tr>
    </w:tbl>
    <w:p>
      <w:pPr>
        <w:spacing w:after="0"/>
        <w:jc w:val="left"/>
        <w:rPr>
          <w:sz w:val="18"/>
        </w:rPr>
        <w:sectPr>
          <w:pgSz w:w="12240" w:h="15840"/>
          <w:pgMar w:header="0" w:footer="975" w:top="1500" w:bottom="1160" w:left="1720" w:right="1720"/>
        </w:sectPr>
      </w:pPr>
    </w:p>
    <w:tbl>
      <w:tblPr>
        <w:tblW w:w="0" w:type="auto"/>
        <w:jc w:val="left"/>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61"/>
        <w:gridCol w:w="5391"/>
      </w:tblGrid>
      <w:tr>
        <w:trPr>
          <w:trHeight w:val="319" w:hRule="exact"/>
        </w:trPr>
        <w:tc>
          <w:tcPr>
            <w:tcW w:w="8452" w:type="dxa"/>
            <w:gridSpan w:val="2"/>
            <w:tcBorders>
              <w:bottom w:val="single" w:sz="4" w:space="0" w:color="000000"/>
            </w:tcBorders>
            <w:shd w:val="clear" w:color="auto" w:fill="92D050"/>
          </w:tcPr>
          <w:p>
            <w:pPr>
              <w:pStyle w:val="TableParagraph"/>
              <w:spacing w:line="201" w:lineRule="exact"/>
              <w:ind w:left="268"/>
              <w:jc w:val="left"/>
              <w:rPr>
                <w:b/>
                <w:sz w:val="16"/>
              </w:rPr>
            </w:pPr>
            <w:r>
              <w:rPr>
                <w:b/>
                <w:sz w:val="18"/>
              </w:rPr>
              <w:t>Anexo 9. Municipios del Estado de México que cuentan con página web propia </w:t>
            </w:r>
            <w:r>
              <w:rPr>
                <w:b/>
                <w:sz w:val="16"/>
              </w:rPr>
              <w:t>(Continuación)</w:t>
            </w:r>
          </w:p>
        </w:tc>
      </w:tr>
      <w:tr>
        <w:trPr>
          <w:trHeight w:val="322" w:hRule="exact"/>
        </w:trPr>
        <w:tc>
          <w:tcPr>
            <w:tcW w:w="3061" w:type="dxa"/>
            <w:tcBorders>
              <w:top w:val="single" w:sz="4" w:space="0" w:color="000000"/>
            </w:tcBorders>
            <w:shd w:val="clear" w:color="auto" w:fill="92D050"/>
          </w:tcPr>
          <w:p>
            <w:pPr>
              <w:pStyle w:val="TableParagraph"/>
              <w:spacing w:line="204" w:lineRule="exact"/>
              <w:ind w:left="991"/>
              <w:jc w:val="left"/>
              <w:rPr>
                <w:b/>
                <w:sz w:val="18"/>
              </w:rPr>
            </w:pPr>
            <w:r>
              <w:rPr>
                <w:b/>
                <w:sz w:val="18"/>
              </w:rPr>
              <w:t>MUNICIPIOS</w:t>
            </w:r>
          </w:p>
        </w:tc>
        <w:tc>
          <w:tcPr>
            <w:tcW w:w="5391" w:type="dxa"/>
            <w:tcBorders>
              <w:top w:val="single" w:sz="4" w:space="0" w:color="000000"/>
            </w:tcBorders>
            <w:shd w:val="clear" w:color="auto" w:fill="92D050"/>
          </w:tcPr>
          <w:p>
            <w:pPr>
              <w:pStyle w:val="TableParagraph"/>
              <w:spacing w:line="204" w:lineRule="exact"/>
              <w:ind w:left="2134" w:right="2134"/>
              <w:rPr>
                <w:b/>
                <w:sz w:val="18"/>
              </w:rPr>
            </w:pPr>
            <w:r>
              <w:rPr>
                <w:b/>
                <w:sz w:val="18"/>
              </w:rPr>
              <w:t>MUNICIPIOS</w:t>
            </w:r>
          </w:p>
        </w:tc>
      </w:tr>
      <w:tr>
        <w:trPr>
          <w:trHeight w:val="319" w:hRule="exact"/>
        </w:trPr>
        <w:tc>
          <w:tcPr>
            <w:tcW w:w="3061" w:type="dxa"/>
          </w:tcPr>
          <w:p>
            <w:pPr>
              <w:pStyle w:val="TableParagraph"/>
              <w:spacing w:line="206" w:lineRule="exact"/>
              <w:ind w:left="67"/>
              <w:jc w:val="left"/>
              <w:rPr>
                <w:sz w:val="18"/>
              </w:rPr>
            </w:pPr>
            <w:r>
              <w:rPr>
                <w:sz w:val="18"/>
              </w:rPr>
              <w:t>HUEYPOXTLA</w:t>
            </w:r>
          </w:p>
        </w:tc>
        <w:tc>
          <w:tcPr>
            <w:tcW w:w="5391" w:type="dxa"/>
          </w:tcPr>
          <w:p>
            <w:pPr>
              <w:pStyle w:val="TableParagraph"/>
              <w:spacing w:line="206" w:lineRule="exact"/>
              <w:ind w:left="67"/>
              <w:jc w:val="left"/>
              <w:rPr>
                <w:sz w:val="18"/>
              </w:rPr>
            </w:pPr>
            <w:hyperlink r:id="rId258">
              <w:r>
                <w:rPr>
                  <w:sz w:val="18"/>
                  <w:u w:val="single"/>
                </w:rPr>
                <w:t>http://www.hueypoxtla.gob.mx/</w:t>
              </w:r>
            </w:hyperlink>
          </w:p>
        </w:tc>
      </w:tr>
      <w:tr>
        <w:trPr>
          <w:trHeight w:val="322" w:hRule="exact"/>
        </w:trPr>
        <w:tc>
          <w:tcPr>
            <w:tcW w:w="3061" w:type="dxa"/>
          </w:tcPr>
          <w:p>
            <w:pPr>
              <w:pStyle w:val="TableParagraph"/>
              <w:spacing w:before="1"/>
              <w:ind w:left="67"/>
              <w:jc w:val="left"/>
              <w:rPr>
                <w:sz w:val="18"/>
              </w:rPr>
            </w:pPr>
            <w:r>
              <w:rPr>
                <w:sz w:val="18"/>
              </w:rPr>
              <w:t>HUIXQUILUCAN</w:t>
            </w:r>
          </w:p>
        </w:tc>
        <w:tc>
          <w:tcPr>
            <w:tcW w:w="5391" w:type="dxa"/>
          </w:tcPr>
          <w:p>
            <w:pPr>
              <w:pStyle w:val="TableParagraph"/>
              <w:spacing w:before="1"/>
              <w:ind w:left="67"/>
              <w:jc w:val="left"/>
              <w:rPr>
                <w:sz w:val="18"/>
              </w:rPr>
            </w:pPr>
            <w:hyperlink r:id="rId258">
              <w:r>
                <w:rPr>
                  <w:sz w:val="18"/>
                  <w:u w:val="single"/>
                </w:rPr>
                <w:t>http://www.hueypoxtla.gob.mx/</w:t>
              </w:r>
            </w:hyperlink>
          </w:p>
        </w:tc>
      </w:tr>
      <w:tr>
        <w:trPr>
          <w:trHeight w:val="319" w:hRule="exact"/>
        </w:trPr>
        <w:tc>
          <w:tcPr>
            <w:tcW w:w="3061" w:type="dxa"/>
          </w:tcPr>
          <w:p>
            <w:pPr>
              <w:pStyle w:val="TableParagraph"/>
              <w:spacing w:line="206" w:lineRule="exact"/>
              <w:ind w:left="67"/>
              <w:jc w:val="left"/>
              <w:rPr>
                <w:sz w:val="18"/>
              </w:rPr>
            </w:pPr>
            <w:r>
              <w:rPr>
                <w:sz w:val="18"/>
              </w:rPr>
              <w:t>ISIDRO FABELA</w:t>
            </w:r>
          </w:p>
        </w:tc>
        <w:tc>
          <w:tcPr>
            <w:tcW w:w="5391" w:type="dxa"/>
          </w:tcPr>
          <w:p>
            <w:pPr>
              <w:pStyle w:val="TableParagraph"/>
              <w:spacing w:line="206" w:lineRule="exact"/>
              <w:ind w:left="67"/>
              <w:jc w:val="left"/>
              <w:rPr>
                <w:sz w:val="18"/>
              </w:rPr>
            </w:pPr>
            <w:hyperlink r:id="rId259">
              <w:r>
                <w:rPr>
                  <w:sz w:val="18"/>
                  <w:u w:val="single"/>
                </w:rPr>
                <w:t>http://www.isidrofabela.gob.mx/</w:t>
              </w:r>
            </w:hyperlink>
          </w:p>
        </w:tc>
      </w:tr>
      <w:tr>
        <w:trPr>
          <w:trHeight w:val="322" w:hRule="exact"/>
        </w:trPr>
        <w:tc>
          <w:tcPr>
            <w:tcW w:w="3061" w:type="dxa"/>
          </w:tcPr>
          <w:p>
            <w:pPr>
              <w:pStyle w:val="TableParagraph"/>
              <w:spacing w:before="1"/>
              <w:ind w:left="67"/>
              <w:jc w:val="left"/>
              <w:rPr>
                <w:sz w:val="18"/>
              </w:rPr>
            </w:pPr>
            <w:r>
              <w:rPr>
                <w:sz w:val="18"/>
              </w:rPr>
              <w:t>IXTAPALUCA</w:t>
            </w:r>
          </w:p>
        </w:tc>
        <w:tc>
          <w:tcPr>
            <w:tcW w:w="5391" w:type="dxa"/>
          </w:tcPr>
          <w:p>
            <w:pPr>
              <w:pStyle w:val="TableParagraph"/>
              <w:spacing w:before="1"/>
              <w:ind w:left="67"/>
              <w:jc w:val="left"/>
              <w:rPr>
                <w:sz w:val="18"/>
              </w:rPr>
            </w:pPr>
            <w:hyperlink r:id="rId260">
              <w:r>
                <w:rPr>
                  <w:sz w:val="18"/>
                  <w:u w:val="single"/>
                </w:rPr>
                <w:t>http://www.ixtapaluca.gob.mx/</w:t>
              </w:r>
            </w:hyperlink>
          </w:p>
        </w:tc>
      </w:tr>
      <w:tr>
        <w:trPr>
          <w:trHeight w:val="322" w:hRule="exact"/>
        </w:trPr>
        <w:tc>
          <w:tcPr>
            <w:tcW w:w="3061" w:type="dxa"/>
          </w:tcPr>
          <w:p>
            <w:pPr>
              <w:pStyle w:val="TableParagraph"/>
              <w:spacing w:line="206" w:lineRule="exact"/>
              <w:ind w:left="67"/>
              <w:jc w:val="left"/>
              <w:rPr>
                <w:sz w:val="18"/>
              </w:rPr>
            </w:pPr>
            <w:r>
              <w:rPr>
                <w:sz w:val="18"/>
              </w:rPr>
              <w:t>IXTAPAN DE LA SAL</w:t>
            </w:r>
          </w:p>
        </w:tc>
        <w:tc>
          <w:tcPr>
            <w:tcW w:w="5391" w:type="dxa"/>
          </w:tcPr>
          <w:p>
            <w:pPr>
              <w:pStyle w:val="TableParagraph"/>
              <w:spacing w:line="206" w:lineRule="exact"/>
              <w:ind w:left="67"/>
              <w:jc w:val="left"/>
              <w:rPr>
                <w:sz w:val="18"/>
              </w:rPr>
            </w:pPr>
            <w:hyperlink r:id="rId261">
              <w:r>
                <w:rPr>
                  <w:sz w:val="18"/>
                  <w:u w:val="single"/>
                </w:rPr>
                <w:t>http://www.ixtapandelasal.gob.mx/web/</w:t>
              </w:r>
            </w:hyperlink>
          </w:p>
        </w:tc>
      </w:tr>
      <w:tr>
        <w:trPr>
          <w:trHeight w:val="319" w:hRule="exact"/>
        </w:trPr>
        <w:tc>
          <w:tcPr>
            <w:tcW w:w="3061" w:type="dxa"/>
          </w:tcPr>
          <w:p>
            <w:pPr>
              <w:pStyle w:val="TableParagraph"/>
              <w:spacing w:line="206" w:lineRule="exact"/>
              <w:ind w:left="67"/>
              <w:jc w:val="left"/>
              <w:rPr>
                <w:sz w:val="18"/>
              </w:rPr>
            </w:pPr>
            <w:r>
              <w:rPr>
                <w:sz w:val="18"/>
              </w:rPr>
              <w:t>IXTAPAN DEL ORO</w:t>
            </w:r>
          </w:p>
        </w:tc>
        <w:tc>
          <w:tcPr>
            <w:tcW w:w="5391" w:type="dxa"/>
          </w:tcPr>
          <w:p>
            <w:pPr>
              <w:pStyle w:val="TableParagraph"/>
              <w:spacing w:line="206" w:lineRule="exact"/>
              <w:ind w:left="67"/>
              <w:jc w:val="left"/>
              <w:rPr>
                <w:sz w:val="18"/>
              </w:rPr>
            </w:pPr>
            <w:hyperlink r:id="rId262">
              <w:r>
                <w:rPr>
                  <w:sz w:val="18"/>
                  <w:u w:val="single"/>
                </w:rPr>
                <w:t>http://www.ixtapandeloro.gob.mx/web/</w:t>
              </w:r>
            </w:hyperlink>
          </w:p>
        </w:tc>
      </w:tr>
      <w:tr>
        <w:trPr>
          <w:trHeight w:val="322" w:hRule="exact"/>
        </w:trPr>
        <w:tc>
          <w:tcPr>
            <w:tcW w:w="3061" w:type="dxa"/>
          </w:tcPr>
          <w:p>
            <w:pPr>
              <w:pStyle w:val="TableParagraph"/>
              <w:spacing w:line="206" w:lineRule="exact"/>
              <w:ind w:left="67"/>
              <w:jc w:val="left"/>
              <w:rPr>
                <w:sz w:val="18"/>
              </w:rPr>
            </w:pPr>
            <w:r>
              <w:rPr>
                <w:sz w:val="18"/>
              </w:rPr>
              <w:t>IXTLAHUACA</w:t>
            </w:r>
          </w:p>
        </w:tc>
        <w:tc>
          <w:tcPr>
            <w:tcW w:w="5391" w:type="dxa"/>
          </w:tcPr>
          <w:p>
            <w:pPr>
              <w:pStyle w:val="TableParagraph"/>
              <w:spacing w:line="206" w:lineRule="exact"/>
              <w:ind w:left="67"/>
              <w:jc w:val="left"/>
              <w:rPr>
                <w:sz w:val="18"/>
              </w:rPr>
            </w:pPr>
            <w:hyperlink r:id="rId262">
              <w:r>
                <w:rPr>
                  <w:sz w:val="18"/>
                  <w:u w:val="single"/>
                </w:rPr>
                <w:t>http://www.ixtapandeloro.gob.mx/web/</w:t>
              </w:r>
            </w:hyperlink>
          </w:p>
        </w:tc>
      </w:tr>
      <w:tr>
        <w:trPr>
          <w:trHeight w:val="319" w:hRule="exact"/>
        </w:trPr>
        <w:tc>
          <w:tcPr>
            <w:tcW w:w="3061" w:type="dxa"/>
          </w:tcPr>
          <w:p>
            <w:pPr>
              <w:pStyle w:val="TableParagraph"/>
              <w:spacing w:line="206" w:lineRule="exact"/>
              <w:ind w:left="67"/>
              <w:jc w:val="left"/>
              <w:rPr>
                <w:sz w:val="18"/>
              </w:rPr>
            </w:pPr>
            <w:r>
              <w:rPr>
                <w:sz w:val="18"/>
              </w:rPr>
              <w:t>XALATLACO</w:t>
            </w:r>
          </w:p>
        </w:tc>
        <w:tc>
          <w:tcPr>
            <w:tcW w:w="5391" w:type="dxa"/>
          </w:tcPr>
          <w:p>
            <w:pPr>
              <w:pStyle w:val="TableParagraph"/>
              <w:spacing w:line="206" w:lineRule="exact"/>
              <w:ind w:left="67"/>
              <w:jc w:val="left"/>
              <w:rPr>
                <w:sz w:val="18"/>
              </w:rPr>
            </w:pPr>
            <w:hyperlink r:id="rId262">
              <w:r>
                <w:rPr>
                  <w:sz w:val="18"/>
                  <w:u w:val="single"/>
                </w:rPr>
                <w:t>http://www.ixtapandeloro.gob.mx/web/</w:t>
              </w:r>
            </w:hyperlink>
          </w:p>
        </w:tc>
      </w:tr>
      <w:tr>
        <w:trPr>
          <w:trHeight w:val="322" w:hRule="exact"/>
        </w:trPr>
        <w:tc>
          <w:tcPr>
            <w:tcW w:w="3061" w:type="dxa"/>
          </w:tcPr>
          <w:p>
            <w:pPr>
              <w:pStyle w:val="TableParagraph"/>
              <w:spacing w:line="206" w:lineRule="exact"/>
              <w:ind w:left="67"/>
              <w:jc w:val="left"/>
              <w:rPr>
                <w:sz w:val="18"/>
              </w:rPr>
            </w:pPr>
            <w:r>
              <w:rPr>
                <w:sz w:val="18"/>
              </w:rPr>
              <w:t>JALTENCO</w:t>
            </w:r>
          </w:p>
        </w:tc>
        <w:tc>
          <w:tcPr>
            <w:tcW w:w="5391" w:type="dxa"/>
          </w:tcPr>
          <w:p>
            <w:pPr>
              <w:pStyle w:val="TableParagraph"/>
              <w:spacing w:line="206" w:lineRule="exact"/>
              <w:ind w:left="67"/>
              <w:jc w:val="left"/>
              <w:rPr>
                <w:sz w:val="18"/>
              </w:rPr>
            </w:pPr>
            <w:hyperlink r:id="rId263">
              <w:r>
                <w:rPr>
                  <w:sz w:val="18"/>
                  <w:u w:val="single"/>
                </w:rPr>
                <w:t>http://www.jaltenco.gob.mx/web/</w:t>
              </w:r>
            </w:hyperlink>
          </w:p>
        </w:tc>
      </w:tr>
      <w:tr>
        <w:trPr>
          <w:trHeight w:val="320" w:hRule="exact"/>
        </w:trPr>
        <w:tc>
          <w:tcPr>
            <w:tcW w:w="3061" w:type="dxa"/>
          </w:tcPr>
          <w:p>
            <w:pPr>
              <w:pStyle w:val="TableParagraph"/>
              <w:spacing w:line="206" w:lineRule="exact"/>
              <w:ind w:left="67"/>
              <w:jc w:val="left"/>
              <w:rPr>
                <w:sz w:val="18"/>
              </w:rPr>
            </w:pPr>
            <w:r>
              <w:rPr>
                <w:sz w:val="18"/>
              </w:rPr>
              <w:t>JILOTEPEC</w:t>
            </w:r>
          </w:p>
        </w:tc>
        <w:tc>
          <w:tcPr>
            <w:tcW w:w="5391" w:type="dxa"/>
          </w:tcPr>
          <w:p>
            <w:pPr>
              <w:pStyle w:val="TableParagraph"/>
              <w:spacing w:line="206" w:lineRule="exact"/>
              <w:ind w:left="67"/>
              <w:jc w:val="left"/>
              <w:rPr>
                <w:sz w:val="18"/>
              </w:rPr>
            </w:pPr>
            <w:hyperlink r:id="rId264">
              <w:r>
                <w:rPr>
                  <w:sz w:val="18"/>
                  <w:u w:val="single"/>
                </w:rPr>
                <w:t>http://www.jilotepec-edomex.gob.mx/</w:t>
              </w:r>
            </w:hyperlink>
          </w:p>
        </w:tc>
      </w:tr>
      <w:tr>
        <w:trPr>
          <w:trHeight w:val="322" w:hRule="exact"/>
        </w:trPr>
        <w:tc>
          <w:tcPr>
            <w:tcW w:w="3061" w:type="dxa"/>
          </w:tcPr>
          <w:p>
            <w:pPr>
              <w:pStyle w:val="TableParagraph"/>
              <w:spacing w:line="206" w:lineRule="exact"/>
              <w:ind w:left="67"/>
              <w:jc w:val="left"/>
              <w:rPr>
                <w:sz w:val="18"/>
              </w:rPr>
            </w:pPr>
            <w:r>
              <w:rPr>
                <w:sz w:val="18"/>
              </w:rPr>
              <w:t>JILOTZINGO*</w:t>
            </w:r>
          </w:p>
        </w:tc>
        <w:tc>
          <w:tcPr>
            <w:tcW w:w="5391" w:type="dxa"/>
          </w:tcPr>
          <w:p>
            <w:pPr>
              <w:pStyle w:val="TableParagraph"/>
              <w:spacing w:line="206" w:lineRule="exact"/>
              <w:ind w:left="67"/>
              <w:jc w:val="left"/>
              <w:rPr>
                <w:sz w:val="18"/>
              </w:rPr>
            </w:pPr>
            <w:hyperlink r:id="rId265">
              <w:r>
                <w:rPr>
                  <w:sz w:val="18"/>
                </w:rPr>
                <w:t>http://jilotzingo.gob.mx/web/inicio.php</w:t>
              </w:r>
            </w:hyperlink>
          </w:p>
        </w:tc>
      </w:tr>
      <w:tr>
        <w:trPr>
          <w:trHeight w:val="319" w:hRule="exact"/>
        </w:trPr>
        <w:tc>
          <w:tcPr>
            <w:tcW w:w="3061" w:type="dxa"/>
          </w:tcPr>
          <w:p>
            <w:pPr>
              <w:pStyle w:val="TableParagraph"/>
              <w:spacing w:line="206" w:lineRule="exact"/>
              <w:ind w:left="67"/>
              <w:jc w:val="left"/>
              <w:rPr>
                <w:sz w:val="18"/>
              </w:rPr>
            </w:pPr>
            <w:r>
              <w:rPr>
                <w:sz w:val="18"/>
              </w:rPr>
              <w:t>JIQUIPILCO</w:t>
            </w:r>
          </w:p>
        </w:tc>
        <w:tc>
          <w:tcPr>
            <w:tcW w:w="5391" w:type="dxa"/>
          </w:tcPr>
          <w:p>
            <w:pPr>
              <w:pStyle w:val="TableParagraph"/>
              <w:spacing w:line="206" w:lineRule="exact"/>
              <w:ind w:left="67"/>
              <w:jc w:val="left"/>
              <w:rPr>
                <w:sz w:val="18"/>
              </w:rPr>
            </w:pPr>
            <w:hyperlink r:id="rId266">
              <w:r>
                <w:rPr>
                  <w:sz w:val="18"/>
                  <w:u w:val="single"/>
                </w:rPr>
                <w:t>http://www.jiquipilco.gob.mx/</w:t>
              </w:r>
            </w:hyperlink>
          </w:p>
        </w:tc>
      </w:tr>
      <w:tr>
        <w:trPr>
          <w:trHeight w:val="322" w:hRule="exact"/>
        </w:trPr>
        <w:tc>
          <w:tcPr>
            <w:tcW w:w="3061" w:type="dxa"/>
          </w:tcPr>
          <w:p>
            <w:pPr>
              <w:pStyle w:val="TableParagraph"/>
              <w:spacing w:line="206" w:lineRule="exact"/>
              <w:ind w:left="67"/>
              <w:jc w:val="left"/>
              <w:rPr>
                <w:sz w:val="18"/>
              </w:rPr>
            </w:pPr>
            <w:r>
              <w:rPr>
                <w:sz w:val="18"/>
              </w:rPr>
              <w:t>JOCOTITLAN</w:t>
            </w:r>
          </w:p>
        </w:tc>
        <w:tc>
          <w:tcPr>
            <w:tcW w:w="5391" w:type="dxa"/>
          </w:tcPr>
          <w:p>
            <w:pPr>
              <w:pStyle w:val="TableParagraph"/>
              <w:spacing w:line="206" w:lineRule="exact"/>
              <w:ind w:left="67"/>
              <w:jc w:val="left"/>
              <w:rPr>
                <w:sz w:val="18"/>
              </w:rPr>
            </w:pPr>
            <w:hyperlink r:id="rId267">
              <w:r>
                <w:rPr>
                  <w:sz w:val="18"/>
                  <w:u w:val="single"/>
                </w:rPr>
                <w:t>http://www.jocotitlan.gob.mx/</w:t>
              </w:r>
            </w:hyperlink>
          </w:p>
        </w:tc>
      </w:tr>
      <w:tr>
        <w:trPr>
          <w:trHeight w:val="319" w:hRule="exact"/>
        </w:trPr>
        <w:tc>
          <w:tcPr>
            <w:tcW w:w="3061" w:type="dxa"/>
          </w:tcPr>
          <w:p>
            <w:pPr>
              <w:pStyle w:val="TableParagraph"/>
              <w:spacing w:line="206" w:lineRule="exact"/>
              <w:ind w:left="67"/>
              <w:jc w:val="left"/>
              <w:rPr>
                <w:sz w:val="18"/>
              </w:rPr>
            </w:pPr>
            <w:r>
              <w:rPr>
                <w:sz w:val="18"/>
              </w:rPr>
              <w:t>JOQUICINGO</w:t>
            </w:r>
          </w:p>
        </w:tc>
        <w:tc>
          <w:tcPr>
            <w:tcW w:w="5391" w:type="dxa"/>
          </w:tcPr>
          <w:p>
            <w:pPr>
              <w:pStyle w:val="TableParagraph"/>
              <w:spacing w:line="206" w:lineRule="exact"/>
              <w:ind w:left="67"/>
              <w:jc w:val="left"/>
              <w:rPr>
                <w:sz w:val="18"/>
              </w:rPr>
            </w:pPr>
            <w:hyperlink r:id="rId268">
              <w:r>
                <w:rPr>
                  <w:sz w:val="18"/>
                  <w:u w:val="single"/>
                </w:rPr>
                <w:t>http://www.joquicingo.gob.mx/</w:t>
              </w:r>
            </w:hyperlink>
          </w:p>
        </w:tc>
      </w:tr>
      <w:tr>
        <w:trPr>
          <w:trHeight w:val="322" w:hRule="exact"/>
        </w:trPr>
        <w:tc>
          <w:tcPr>
            <w:tcW w:w="3061" w:type="dxa"/>
          </w:tcPr>
          <w:p>
            <w:pPr>
              <w:pStyle w:val="TableParagraph"/>
              <w:spacing w:line="206" w:lineRule="exact"/>
              <w:ind w:left="67"/>
              <w:jc w:val="left"/>
              <w:rPr>
                <w:sz w:val="18"/>
              </w:rPr>
            </w:pPr>
            <w:r>
              <w:rPr>
                <w:sz w:val="18"/>
              </w:rPr>
              <w:t>JUCHITEPEC*</w:t>
            </w:r>
          </w:p>
        </w:tc>
        <w:tc>
          <w:tcPr>
            <w:tcW w:w="5391" w:type="dxa"/>
          </w:tcPr>
          <w:p>
            <w:pPr>
              <w:pStyle w:val="TableParagraph"/>
              <w:spacing w:line="206" w:lineRule="exact"/>
              <w:ind w:left="67"/>
              <w:jc w:val="left"/>
              <w:rPr>
                <w:sz w:val="18"/>
              </w:rPr>
            </w:pPr>
            <w:hyperlink r:id="rId269">
              <w:r>
                <w:rPr>
                  <w:sz w:val="18"/>
                </w:rPr>
                <w:t>http://juchitepec.gob.mx/</w:t>
              </w:r>
            </w:hyperlink>
          </w:p>
        </w:tc>
      </w:tr>
      <w:tr>
        <w:trPr>
          <w:trHeight w:val="319" w:hRule="exact"/>
        </w:trPr>
        <w:tc>
          <w:tcPr>
            <w:tcW w:w="3061" w:type="dxa"/>
          </w:tcPr>
          <w:p>
            <w:pPr>
              <w:pStyle w:val="TableParagraph"/>
              <w:spacing w:line="206" w:lineRule="exact"/>
              <w:ind w:left="67"/>
              <w:jc w:val="left"/>
              <w:rPr>
                <w:sz w:val="18"/>
              </w:rPr>
            </w:pPr>
            <w:r>
              <w:rPr>
                <w:sz w:val="18"/>
              </w:rPr>
              <w:t>LERMA</w:t>
            </w:r>
          </w:p>
        </w:tc>
        <w:tc>
          <w:tcPr>
            <w:tcW w:w="5391" w:type="dxa"/>
          </w:tcPr>
          <w:p>
            <w:pPr>
              <w:pStyle w:val="TableParagraph"/>
              <w:spacing w:line="206" w:lineRule="exact"/>
              <w:ind w:left="67"/>
              <w:jc w:val="left"/>
              <w:rPr>
                <w:sz w:val="18"/>
              </w:rPr>
            </w:pPr>
            <w:hyperlink r:id="rId270">
              <w:r>
                <w:rPr>
                  <w:sz w:val="18"/>
                  <w:u w:val="single"/>
                </w:rPr>
                <w:t>http://www.lerma.gob.mx/sitio/</w:t>
              </w:r>
            </w:hyperlink>
          </w:p>
        </w:tc>
      </w:tr>
      <w:tr>
        <w:trPr>
          <w:trHeight w:val="322" w:hRule="exact"/>
        </w:trPr>
        <w:tc>
          <w:tcPr>
            <w:tcW w:w="3061" w:type="dxa"/>
          </w:tcPr>
          <w:p>
            <w:pPr>
              <w:pStyle w:val="TableParagraph"/>
              <w:spacing w:before="1"/>
              <w:ind w:left="67"/>
              <w:jc w:val="left"/>
              <w:rPr>
                <w:sz w:val="18"/>
              </w:rPr>
            </w:pPr>
            <w:r>
              <w:rPr>
                <w:sz w:val="18"/>
              </w:rPr>
              <w:t>MALINALCO*</w:t>
            </w:r>
          </w:p>
        </w:tc>
        <w:tc>
          <w:tcPr>
            <w:tcW w:w="5391" w:type="dxa"/>
          </w:tcPr>
          <w:p>
            <w:pPr>
              <w:pStyle w:val="TableParagraph"/>
              <w:spacing w:before="1"/>
              <w:ind w:left="67"/>
              <w:jc w:val="left"/>
              <w:rPr>
                <w:sz w:val="18"/>
              </w:rPr>
            </w:pPr>
            <w:hyperlink r:id="rId271">
              <w:r>
                <w:rPr>
                  <w:sz w:val="18"/>
                </w:rPr>
                <w:t>http://malinalco.gob.mx/2016/category/municipio/</w:t>
              </w:r>
            </w:hyperlink>
          </w:p>
        </w:tc>
      </w:tr>
      <w:tr>
        <w:trPr>
          <w:trHeight w:val="319" w:hRule="exact"/>
        </w:trPr>
        <w:tc>
          <w:tcPr>
            <w:tcW w:w="3061" w:type="dxa"/>
          </w:tcPr>
          <w:p>
            <w:pPr>
              <w:pStyle w:val="TableParagraph"/>
              <w:spacing w:line="206" w:lineRule="exact"/>
              <w:ind w:left="67"/>
              <w:jc w:val="left"/>
              <w:rPr>
                <w:sz w:val="18"/>
              </w:rPr>
            </w:pPr>
            <w:r>
              <w:rPr>
                <w:sz w:val="18"/>
              </w:rPr>
              <w:t>MELCHOR OCAMPO</w:t>
            </w:r>
          </w:p>
        </w:tc>
        <w:tc>
          <w:tcPr>
            <w:tcW w:w="5391" w:type="dxa"/>
          </w:tcPr>
          <w:p>
            <w:pPr>
              <w:pStyle w:val="TableParagraph"/>
              <w:spacing w:line="206" w:lineRule="exact"/>
              <w:ind w:left="67"/>
              <w:jc w:val="left"/>
              <w:rPr>
                <w:sz w:val="18"/>
              </w:rPr>
            </w:pPr>
            <w:hyperlink r:id="rId272">
              <w:r>
                <w:rPr>
                  <w:sz w:val="18"/>
                  <w:u w:val="single"/>
                </w:rPr>
                <w:t>http://www.melchor-ocampo.gob.mx/web/</w:t>
              </w:r>
            </w:hyperlink>
          </w:p>
        </w:tc>
      </w:tr>
      <w:tr>
        <w:trPr>
          <w:trHeight w:val="322" w:hRule="exact"/>
        </w:trPr>
        <w:tc>
          <w:tcPr>
            <w:tcW w:w="3061" w:type="dxa"/>
          </w:tcPr>
          <w:p>
            <w:pPr>
              <w:pStyle w:val="TableParagraph"/>
              <w:spacing w:before="1"/>
              <w:ind w:left="67"/>
              <w:jc w:val="left"/>
              <w:rPr>
                <w:sz w:val="18"/>
              </w:rPr>
            </w:pPr>
            <w:r>
              <w:rPr>
                <w:sz w:val="18"/>
              </w:rPr>
              <w:t>METEPEC</w:t>
            </w:r>
          </w:p>
        </w:tc>
        <w:tc>
          <w:tcPr>
            <w:tcW w:w="5391" w:type="dxa"/>
          </w:tcPr>
          <w:p>
            <w:pPr>
              <w:pStyle w:val="TableParagraph"/>
              <w:spacing w:before="1"/>
              <w:ind w:left="67"/>
              <w:jc w:val="left"/>
              <w:rPr>
                <w:sz w:val="18"/>
              </w:rPr>
            </w:pPr>
            <w:hyperlink r:id="rId273">
              <w:r>
                <w:rPr>
                  <w:sz w:val="18"/>
                  <w:u w:val="single"/>
                </w:rPr>
                <w:t>http://www.metepec.gob.mx/</w:t>
              </w:r>
            </w:hyperlink>
          </w:p>
        </w:tc>
      </w:tr>
      <w:tr>
        <w:trPr>
          <w:trHeight w:val="322" w:hRule="exact"/>
        </w:trPr>
        <w:tc>
          <w:tcPr>
            <w:tcW w:w="3061" w:type="dxa"/>
          </w:tcPr>
          <w:p>
            <w:pPr>
              <w:pStyle w:val="TableParagraph"/>
              <w:spacing w:line="206" w:lineRule="exact"/>
              <w:ind w:left="67"/>
              <w:jc w:val="left"/>
              <w:rPr>
                <w:sz w:val="18"/>
              </w:rPr>
            </w:pPr>
            <w:r>
              <w:rPr>
                <w:sz w:val="18"/>
              </w:rPr>
              <w:t>MEXICALTZINGO</w:t>
            </w:r>
          </w:p>
        </w:tc>
        <w:tc>
          <w:tcPr>
            <w:tcW w:w="5391" w:type="dxa"/>
          </w:tcPr>
          <w:p>
            <w:pPr>
              <w:pStyle w:val="TableParagraph"/>
              <w:spacing w:line="206" w:lineRule="exact"/>
              <w:ind w:left="67"/>
              <w:jc w:val="left"/>
              <w:rPr>
                <w:sz w:val="18"/>
              </w:rPr>
            </w:pPr>
            <w:hyperlink r:id="rId274">
              <w:r>
                <w:rPr>
                  <w:sz w:val="18"/>
                  <w:u w:val="single"/>
                </w:rPr>
                <w:t>http://www.mexicaltzingo.gob.mx/</w:t>
              </w:r>
            </w:hyperlink>
          </w:p>
        </w:tc>
      </w:tr>
      <w:tr>
        <w:trPr>
          <w:trHeight w:val="320" w:hRule="exact"/>
        </w:trPr>
        <w:tc>
          <w:tcPr>
            <w:tcW w:w="3061" w:type="dxa"/>
          </w:tcPr>
          <w:p>
            <w:pPr>
              <w:pStyle w:val="TableParagraph"/>
              <w:spacing w:line="206" w:lineRule="exact"/>
              <w:ind w:left="67"/>
              <w:jc w:val="left"/>
              <w:rPr>
                <w:sz w:val="18"/>
              </w:rPr>
            </w:pPr>
            <w:r>
              <w:rPr>
                <w:sz w:val="18"/>
              </w:rPr>
              <w:t>MORELOS</w:t>
            </w:r>
          </w:p>
        </w:tc>
        <w:tc>
          <w:tcPr>
            <w:tcW w:w="5391" w:type="dxa"/>
          </w:tcPr>
          <w:p>
            <w:pPr>
              <w:pStyle w:val="TableParagraph"/>
              <w:spacing w:line="206" w:lineRule="exact"/>
              <w:ind w:left="67"/>
              <w:jc w:val="left"/>
              <w:rPr>
                <w:sz w:val="18"/>
              </w:rPr>
            </w:pPr>
            <w:hyperlink r:id="rId275">
              <w:r>
                <w:rPr>
                  <w:sz w:val="18"/>
                  <w:u w:val="single"/>
                </w:rPr>
                <w:t>http://www.mpiomorelos.gob.mx/</w:t>
              </w:r>
            </w:hyperlink>
          </w:p>
        </w:tc>
      </w:tr>
      <w:tr>
        <w:trPr>
          <w:trHeight w:val="322" w:hRule="exact"/>
        </w:trPr>
        <w:tc>
          <w:tcPr>
            <w:tcW w:w="3061" w:type="dxa"/>
          </w:tcPr>
          <w:p>
            <w:pPr>
              <w:pStyle w:val="TableParagraph"/>
              <w:spacing w:line="206" w:lineRule="exact"/>
              <w:ind w:left="67"/>
              <w:jc w:val="left"/>
              <w:rPr>
                <w:sz w:val="18"/>
              </w:rPr>
            </w:pPr>
            <w:r>
              <w:rPr>
                <w:sz w:val="18"/>
              </w:rPr>
              <w:t>NAUCALPAN DE JUAREZ</w:t>
            </w:r>
          </w:p>
        </w:tc>
        <w:tc>
          <w:tcPr>
            <w:tcW w:w="5391" w:type="dxa"/>
          </w:tcPr>
          <w:p>
            <w:pPr>
              <w:pStyle w:val="TableParagraph"/>
              <w:spacing w:line="206" w:lineRule="exact"/>
              <w:ind w:left="67"/>
              <w:jc w:val="left"/>
              <w:rPr>
                <w:sz w:val="18"/>
              </w:rPr>
            </w:pPr>
            <w:hyperlink r:id="rId276">
              <w:r>
                <w:rPr>
                  <w:sz w:val="18"/>
                  <w:u w:val="single"/>
                </w:rPr>
                <w:t>http://www.naucalpan.gob.mx/</w:t>
              </w:r>
            </w:hyperlink>
          </w:p>
        </w:tc>
      </w:tr>
      <w:tr>
        <w:trPr>
          <w:trHeight w:val="319" w:hRule="exact"/>
        </w:trPr>
        <w:tc>
          <w:tcPr>
            <w:tcW w:w="3061" w:type="dxa"/>
          </w:tcPr>
          <w:p>
            <w:pPr>
              <w:pStyle w:val="TableParagraph"/>
              <w:spacing w:line="206" w:lineRule="exact"/>
              <w:ind w:left="67"/>
              <w:jc w:val="left"/>
              <w:rPr>
                <w:sz w:val="18"/>
              </w:rPr>
            </w:pPr>
            <w:r>
              <w:rPr>
                <w:sz w:val="18"/>
              </w:rPr>
              <w:t>NEZAHUALCOYOTL</w:t>
            </w:r>
          </w:p>
        </w:tc>
        <w:tc>
          <w:tcPr>
            <w:tcW w:w="5391" w:type="dxa"/>
          </w:tcPr>
          <w:p>
            <w:pPr>
              <w:pStyle w:val="TableParagraph"/>
              <w:spacing w:line="206" w:lineRule="exact"/>
              <w:ind w:left="67"/>
              <w:jc w:val="left"/>
              <w:rPr>
                <w:sz w:val="18"/>
              </w:rPr>
            </w:pPr>
            <w:hyperlink r:id="rId277">
              <w:r>
                <w:rPr>
                  <w:sz w:val="18"/>
                  <w:u w:val="single"/>
                </w:rPr>
                <w:t>http://www.neza.gob.mx/</w:t>
              </w:r>
            </w:hyperlink>
          </w:p>
        </w:tc>
      </w:tr>
      <w:tr>
        <w:trPr>
          <w:trHeight w:val="322" w:hRule="exact"/>
        </w:trPr>
        <w:tc>
          <w:tcPr>
            <w:tcW w:w="3061" w:type="dxa"/>
          </w:tcPr>
          <w:p>
            <w:pPr>
              <w:pStyle w:val="TableParagraph"/>
              <w:spacing w:line="206" w:lineRule="exact"/>
              <w:ind w:left="67"/>
              <w:jc w:val="left"/>
              <w:rPr>
                <w:sz w:val="18"/>
              </w:rPr>
            </w:pPr>
            <w:r>
              <w:rPr>
                <w:sz w:val="18"/>
              </w:rPr>
              <w:t>NEXTLALPAN*</w:t>
            </w:r>
          </w:p>
        </w:tc>
        <w:tc>
          <w:tcPr>
            <w:tcW w:w="5391" w:type="dxa"/>
          </w:tcPr>
          <w:p>
            <w:pPr>
              <w:pStyle w:val="TableParagraph"/>
              <w:spacing w:line="206" w:lineRule="exact"/>
              <w:ind w:left="67"/>
              <w:jc w:val="left"/>
              <w:rPr>
                <w:sz w:val="18"/>
              </w:rPr>
            </w:pPr>
            <w:hyperlink r:id="rId278">
              <w:r>
                <w:rPr>
                  <w:sz w:val="18"/>
                </w:rPr>
                <w:t>http://www.santotomas.gob.mx/</w:t>
              </w:r>
            </w:hyperlink>
          </w:p>
        </w:tc>
      </w:tr>
      <w:tr>
        <w:trPr>
          <w:trHeight w:val="319" w:hRule="exact"/>
        </w:trPr>
        <w:tc>
          <w:tcPr>
            <w:tcW w:w="3061" w:type="dxa"/>
          </w:tcPr>
          <w:p>
            <w:pPr>
              <w:pStyle w:val="TableParagraph"/>
              <w:spacing w:line="206" w:lineRule="exact"/>
              <w:ind w:left="67"/>
              <w:jc w:val="left"/>
              <w:rPr>
                <w:sz w:val="18"/>
              </w:rPr>
            </w:pPr>
            <w:r>
              <w:rPr>
                <w:sz w:val="18"/>
              </w:rPr>
              <w:t>NICOLAS ROMERO</w:t>
            </w:r>
          </w:p>
        </w:tc>
        <w:tc>
          <w:tcPr>
            <w:tcW w:w="5391" w:type="dxa"/>
          </w:tcPr>
          <w:p>
            <w:pPr>
              <w:pStyle w:val="TableParagraph"/>
              <w:spacing w:line="206" w:lineRule="exact"/>
              <w:ind w:left="67"/>
              <w:jc w:val="left"/>
              <w:rPr>
                <w:sz w:val="18"/>
              </w:rPr>
            </w:pPr>
            <w:hyperlink r:id="rId279">
              <w:r>
                <w:rPr>
                  <w:sz w:val="18"/>
                  <w:u w:val="single"/>
                </w:rPr>
                <w:t>http://www.nicolasromero.gob.mx/</w:t>
              </w:r>
            </w:hyperlink>
          </w:p>
        </w:tc>
      </w:tr>
      <w:tr>
        <w:trPr>
          <w:trHeight w:val="322" w:hRule="exact"/>
        </w:trPr>
        <w:tc>
          <w:tcPr>
            <w:tcW w:w="3061" w:type="dxa"/>
          </w:tcPr>
          <w:p>
            <w:pPr>
              <w:pStyle w:val="TableParagraph"/>
              <w:spacing w:line="206" w:lineRule="exact"/>
              <w:ind w:left="67"/>
              <w:jc w:val="left"/>
              <w:rPr>
                <w:sz w:val="18"/>
              </w:rPr>
            </w:pPr>
            <w:r>
              <w:rPr>
                <w:sz w:val="18"/>
              </w:rPr>
              <w:t>NOPALTEPEC</w:t>
            </w:r>
          </w:p>
        </w:tc>
        <w:tc>
          <w:tcPr>
            <w:tcW w:w="5391" w:type="dxa"/>
          </w:tcPr>
          <w:p>
            <w:pPr>
              <w:pStyle w:val="TableParagraph"/>
              <w:spacing w:line="206" w:lineRule="exact"/>
              <w:ind w:left="67"/>
              <w:jc w:val="left"/>
              <w:rPr>
                <w:sz w:val="18"/>
              </w:rPr>
            </w:pPr>
            <w:hyperlink r:id="rId280">
              <w:r>
                <w:rPr>
                  <w:sz w:val="18"/>
                  <w:u w:val="single"/>
                </w:rPr>
                <w:t>http://www.nopaltepec.gob.mx/inicio.html</w:t>
              </w:r>
            </w:hyperlink>
          </w:p>
        </w:tc>
      </w:tr>
      <w:tr>
        <w:trPr>
          <w:trHeight w:val="319" w:hRule="exact"/>
        </w:trPr>
        <w:tc>
          <w:tcPr>
            <w:tcW w:w="3061" w:type="dxa"/>
          </w:tcPr>
          <w:p>
            <w:pPr>
              <w:pStyle w:val="TableParagraph"/>
              <w:spacing w:line="206" w:lineRule="exact"/>
              <w:ind w:left="67"/>
              <w:jc w:val="left"/>
              <w:rPr>
                <w:sz w:val="18"/>
              </w:rPr>
            </w:pPr>
            <w:r>
              <w:rPr>
                <w:sz w:val="18"/>
              </w:rPr>
              <w:t>OCOYOACAC</w:t>
            </w:r>
          </w:p>
        </w:tc>
        <w:tc>
          <w:tcPr>
            <w:tcW w:w="5391" w:type="dxa"/>
          </w:tcPr>
          <w:p>
            <w:pPr>
              <w:pStyle w:val="TableParagraph"/>
              <w:spacing w:line="206" w:lineRule="exact"/>
              <w:ind w:left="67"/>
              <w:jc w:val="left"/>
              <w:rPr>
                <w:sz w:val="18"/>
              </w:rPr>
            </w:pPr>
            <w:hyperlink r:id="rId281">
              <w:r>
                <w:rPr>
                  <w:sz w:val="18"/>
                  <w:u w:val="single"/>
                </w:rPr>
                <w:t>http://www.ocoyoacac.gob.mx/web/</w:t>
              </w:r>
            </w:hyperlink>
          </w:p>
        </w:tc>
      </w:tr>
      <w:tr>
        <w:trPr>
          <w:trHeight w:val="322" w:hRule="exact"/>
        </w:trPr>
        <w:tc>
          <w:tcPr>
            <w:tcW w:w="3061" w:type="dxa"/>
          </w:tcPr>
          <w:p>
            <w:pPr>
              <w:pStyle w:val="TableParagraph"/>
              <w:spacing w:line="206" w:lineRule="exact"/>
              <w:ind w:left="67"/>
              <w:jc w:val="left"/>
              <w:rPr>
                <w:sz w:val="18"/>
              </w:rPr>
            </w:pPr>
            <w:r>
              <w:rPr>
                <w:sz w:val="18"/>
              </w:rPr>
              <w:t>OCUILAN</w:t>
            </w:r>
          </w:p>
        </w:tc>
        <w:tc>
          <w:tcPr>
            <w:tcW w:w="5391" w:type="dxa"/>
          </w:tcPr>
          <w:p>
            <w:pPr>
              <w:pStyle w:val="TableParagraph"/>
              <w:spacing w:line="206" w:lineRule="exact"/>
              <w:ind w:left="67"/>
              <w:jc w:val="left"/>
              <w:rPr>
                <w:sz w:val="18"/>
              </w:rPr>
            </w:pPr>
            <w:hyperlink r:id="rId282">
              <w:r>
                <w:rPr>
                  <w:sz w:val="18"/>
                  <w:u w:val="single"/>
                </w:rPr>
                <w:t>http://www.ocuilan.gob.mx/web/</w:t>
              </w:r>
            </w:hyperlink>
          </w:p>
        </w:tc>
      </w:tr>
      <w:tr>
        <w:trPr>
          <w:trHeight w:val="319" w:hRule="exact"/>
        </w:trPr>
        <w:tc>
          <w:tcPr>
            <w:tcW w:w="3061" w:type="dxa"/>
          </w:tcPr>
          <w:p>
            <w:pPr>
              <w:pStyle w:val="TableParagraph"/>
              <w:spacing w:line="206" w:lineRule="exact"/>
              <w:ind w:left="67"/>
              <w:jc w:val="left"/>
              <w:rPr>
                <w:sz w:val="18"/>
              </w:rPr>
            </w:pPr>
            <w:r>
              <w:rPr>
                <w:sz w:val="18"/>
              </w:rPr>
              <w:t>EL ORO</w:t>
            </w:r>
          </w:p>
        </w:tc>
        <w:tc>
          <w:tcPr>
            <w:tcW w:w="5391" w:type="dxa"/>
          </w:tcPr>
          <w:p>
            <w:pPr>
              <w:pStyle w:val="TableParagraph"/>
              <w:spacing w:line="206" w:lineRule="exact"/>
              <w:ind w:left="67"/>
              <w:jc w:val="left"/>
              <w:rPr>
                <w:sz w:val="18"/>
              </w:rPr>
            </w:pPr>
            <w:hyperlink r:id="rId283">
              <w:r>
                <w:rPr>
                  <w:sz w:val="18"/>
                  <w:u w:val="single"/>
                </w:rPr>
                <w:t>http://www.eloromexico.gob.mx/municipio.html</w:t>
              </w:r>
            </w:hyperlink>
          </w:p>
        </w:tc>
      </w:tr>
      <w:tr>
        <w:trPr>
          <w:trHeight w:val="322" w:hRule="exact"/>
        </w:trPr>
        <w:tc>
          <w:tcPr>
            <w:tcW w:w="3061" w:type="dxa"/>
          </w:tcPr>
          <w:p>
            <w:pPr>
              <w:pStyle w:val="TableParagraph"/>
              <w:spacing w:line="206" w:lineRule="exact"/>
              <w:ind w:left="67"/>
              <w:jc w:val="left"/>
              <w:rPr>
                <w:sz w:val="18"/>
              </w:rPr>
            </w:pPr>
            <w:r>
              <w:rPr>
                <w:sz w:val="18"/>
              </w:rPr>
              <w:t>OTUMBA</w:t>
            </w:r>
          </w:p>
        </w:tc>
        <w:tc>
          <w:tcPr>
            <w:tcW w:w="5391" w:type="dxa"/>
          </w:tcPr>
          <w:p>
            <w:pPr>
              <w:pStyle w:val="TableParagraph"/>
              <w:spacing w:line="206" w:lineRule="exact"/>
              <w:ind w:left="67"/>
              <w:jc w:val="left"/>
              <w:rPr>
                <w:sz w:val="18"/>
              </w:rPr>
            </w:pPr>
            <w:hyperlink r:id="rId284">
              <w:r>
                <w:rPr>
                  <w:sz w:val="18"/>
                  <w:u w:val="single"/>
                </w:rPr>
                <w:t>http://www.otumba.gob.mx/</w:t>
              </w:r>
            </w:hyperlink>
          </w:p>
        </w:tc>
      </w:tr>
      <w:tr>
        <w:trPr>
          <w:trHeight w:val="319" w:hRule="exact"/>
        </w:trPr>
        <w:tc>
          <w:tcPr>
            <w:tcW w:w="3061" w:type="dxa"/>
          </w:tcPr>
          <w:p>
            <w:pPr>
              <w:pStyle w:val="TableParagraph"/>
              <w:spacing w:line="206" w:lineRule="exact"/>
              <w:ind w:left="67"/>
              <w:jc w:val="left"/>
              <w:rPr>
                <w:sz w:val="18"/>
              </w:rPr>
            </w:pPr>
            <w:r>
              <w:rPr>
                <w:sz w:val="18"/>
              </w:rPr>
              <w:t>OTZOLOAPAN</w:t>
            </w:r>
          </w:p>
        </w:tc>
        <w:tc>
          <w:tcPr>
            <w:tcW w:w="5391" w:type="dxa"/>
          </w:tcPr>
          <w:p>
            <w:pPr>
              <w:pStyle w:val="TableParagraph"/>
              <w:spacing w:line="206" w:lineRule="exact"/>
              <w:ind w:left="67"/>
              <w:jc w:val="left"/>
              <w:rPr>
                <w:sz w:val="18"/>
              </w:rPr>
            </w:pPr>
            <w:hyperlink r:id="rId285">
              <w:r>
                <w:rPr>
                  <w:sz w:val="18"/>
                  <w:u w:val="single"/>
                </w:rPr>
                <w:t>http://www.otzoloapan.gob.mx/web/</w:t>
              </w:r>
            </w:hyperlink>
          </w:p>
        </w:tc>
      </w:tr>
      <w:tr>
        <w:trPr>
          <w:trHeight w:val="322" w:hRule="exact"/>
        </w:trPr>
        <w:tc>
          <w:tcPr>
            <w:tcW w:w="3061" w:type="dxa"/>
          </w:tcPr>
          <w:p>
            <w:pPr>
              <w:pStyle w:val="TableParagraph"/>
              <w:spacing w:before="2"/>
              <w:ind w:left="67"/>
              <w:jc w:val="left"/>
              <w:rPr>
                <w:sz w:val="18"/>
              </w:rPr>
            </w:pPr>
            <w:r>
              <w:rPr>
                <w:sz w:val="18"/>
              </w:rPr>
              <w:t>OTZOLOTEPEC</w:t>
            </w:r>
          </w:p>
        </w:tc>
        <w:tc>
          <w:tcPr>
            <w:tcW w:w="5391" w:type="dxa"/>
          </w:tcPr>
          <w:p>
            <w:pPr>
              <w:pStyle w:val="TableParagraph"/>
              <w:spacing w:before="2"/>
              <w:ind w:left="67"/>
              <w:jc w:val="left"/>
              <w:rPr>
                <w:sz w:val="18"/>
              </w:rPr>
            </w:pPr>
            <w:hyperlink r:id="rId286">
              <w:r>
                <w:rPr>
                  <w:sz w:val="18"/>
                  <w:u w:val="single"/>
                </w:rPr>
                <w:t>http://otzolotepec.edomex.gob.mx/</w:t>
              </w:r>
            </w:hyperlink>
          </w:p>
        </w:tc>
      </w:tr>
      <w:tr>
        <w:trPr>
          <w:trHeight w:val="319" w:hRule="exact"/>
        </w:trPr>
        <w:tc>
          <w:tcPr>
            <w:tcW w:w="3061" w:type="dxa"/>
          </w:tcPr>
          <w:p>
            <w:pPr>
              <w:pStyle w:val="TableParagraph"/>
              <w:spacing w:line="206" w:lineRule="exact"/>
              <w:ind w:left="67"/>
              <w:jc w:val="left"/>
              <w:rPr>
                <w:sz w:val="18"/>
              </w:rPr>
            </w:pPr>
            <w:r>
              <w:rPr>
                <w:sz w:val="18"/>
              </w:rPr>
              <w:t>OZUMBA</w:t>
            </w:r>
          </w:p>
        </w:tc>
        <w:tc>
          <w:tcPr>
            <w:tcW w:w="5391" w:type="dxa"/>
          </w:tcPr>
          <w:p>
            <w:pPr>
              <w:pStyle w:val="TableParagraph"/>
              <w:spacing w:line="206" w:lineRule="exact"/>
              <w:ind w:left="67"/>
              <w:jc w:val="left"/>
              <w:rPr>
                <w:sz w:val="18"/>
              </w:rPr>
            </w:pPr>
            <w:hyperlink r:id="rId287">
              <w:r>
                <w:rPr>
                  <w:sz w:val="18"/>
                  <w:u w:val="single"/>
                </w:rPr>
                <w:t>http://www.ozumba.gob.mx/</w:t>
              </w:r>
            </w:hyperlink>
          </w:p>
        </w:tc>
      </w:tr>
      <w:tr>
        <w:trPr>
          <w:trHeight w:val="322" w:hRule="exact"/>
        </w:trPr>
        <w:tc>
          <w:tcPr>
            <w:tcW w:w="3061" w:type="dxa"/>
          </w:tcPr>
          <w:p>
            <w:pPr>
              <w:pStyle w:val="TableParagraph"/>
              <w:spacing w:before="1"/>
              <w:ind w:left="67"/>
              <w:jc w:val="left"/>
              <w:rPr>
                <w:sz w:val="18"/>
              </w:rPr>
            </w:pPr>
            <w:r>
              <w:rPr>
                <w:sz w:val="18"/>
              </w:rPr>
              <w:t>PAPALOTLA</w:t>
            </w:r>
          </w:p>
        </w:tc>
        <w:tc>
          <w:tcPr>
            <w:tcW w:w="5391" w:type="dxa"/>
          </w:tcPr>
          <w:p>
            <w:pPr>
              <w:pStyle w:val="TableParagraph"/>
              <w:spacing w:before="1"/>
              <w:ind w:left="67"/>
              <w:jc w:val="left"/>
              <w:rPr>
                <w:sz w:val="18"/>
              </w:rPr>
            </w:pPr>
            <w:hyperlink r:id="rId288">
              <w:r>
                <w:rPr>
                  <w:sz w:val="18"/>
                  <w:u w:val="single"/>
                </w:rPr>
                <w:t>http://www.papalotlaedomex.gob.mx/</w:t>
              </w:r>
            </w:hyperlink>
          </w:p>
        </w:tc>
      </w:tr>
      <w:tr>
        <w:trPr>
          <w:trHeight w:val="319" w:hRule="exact"/>
        </w:trPr>
        <w:tc>
          <w:tcPr>
            <w:tcW w:w="3061" w:type="dxa"/>
          </w:tcPr>
          <w:p>
            <w:pPr>
              <w:pStyle w:val="TableParagraph"/>
              <w:spacing w:line="206" w:lineRule="exact"/>
              <w:ind w:left="67"/>
              <w:jc w:val="left"/>
              <w:rPr>
                <w:sz w:val="18"/>
              </w:rPr>
            </w:pPr>
            <w:r>
              <w:rPr>
                <w:sz w:val="18"/>
              </w:rPr>
              <w:t>LA PAZ</w:t>
            </w:r>
          </w:p>
        </w:tc>
        <w:tc>
          <w:tcPr>
            <w:tcW w:w="5391" w:type="dxa"/>
          </w:tcPr>
          <w:p>
            <w:pPr>
              <w:pStyle w:val="TableParagraph"/>
              <w:spacing w:line="206" w:lineRule="exact"/>
              <w:ind w:left="67"/>
              <w:jc w:val="left"/>
              <w:rPr>
                <w:sz w:val="18"/>
              </w:rPr>
            </w:pPr>
            <w:hyperlink r:id="rId289">
              <w:r>
                <w:rPr>
                  <w:sz w:val="18"/>
                  <w:u w:val="single"/>
                </w:rPr>
                <w:t>http://www.lapaz.gob.mx/</w:t>
              </w:r>
            </w:hyperlink>
          </w:p>
        </w:tc>
      </w:tr>
      <w:tr>
        <w:trPr>
          <w:trHeight w:val="322" w:hRule="exact"/>
        </w:trPr>
        <w:tc>
          <w:tcPr>
            <w:tcW w:w="3061" w:type="dxa"/>
          </w:tcPr>
          <w:p>
            <w:pPr>
              <w:pStyle w:val="TableParagraph"/>
              <w:spacing w:before="1"/>
              <w:ind w:left="67"/>
              <w:jc w:val="left"/>
              <w:rPr>
                <w:sz w:val="18"/>
              </w:rPr>
            </w:pPr>
            <w:r>
              <w:rPr>
                <w:sz w:val="18"/>
              </w:rPr>
              <w:t>POLOTITLAN*</w:t>
            </w:r>
          </w:p>
        </w:tc>
        <w:tc>
          <w:tcPr>
            <w:tcW w:w="5391" w:type="dxa"/>
          </w:tcPr>
          <w:p>
            <w:pPr>
              <w:pStyle w:val="TableParagraph"/>
              <w:spacing w:before="1"/>
              <w:ind w:left="67"/>
              <w:jc w:val="left"/>
              <w:rPr>
                <w:sz w:val="18"/>
              </w:rPr>
            </w:pPr>
            <w:hyperlink r:id="rId290">
              <w:r>
                <w:rPr>
                  <w:sz w:val="18"/>
                </w:rPr>
                <w:t>http://polotitlan.gob.mx/web/inicio.php?seccion=1</w:t>
              </w:r>
            </w:hyperlink>
          </w:p>
        </w:tc>
      </w:tr>
    </w:tbl>
    <w:p>
      <w:pPr>
        <w:spacing w:after="0"/>
        <w:jc w:val="left"/>
        <w:rPr>
          <w:sz w:val="18"/>
        </w:rPr>
        <w:sectPr>
          <w:pgSz w:w="12240" w:h="15840"/>
          <w:pgMar w:header="0" w:footer="975" w:top="1400" w:bottom="1160" w:left="1720" w:right="1720"/>
        </w:sectPr>
      </w:pPr>
    </w:p>
    <w:p>
      <w:pPr>
        <w:pStyle w:val="BodyText"/>
        <w:spacing w:before="7" w:after="1"/>
        <w:rPr>
          <w:rFonts w:ascii="Times New Roman"/>
          <w:sz w:val="22"/>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61"/>
        <w:gridCol w:w="5564"/>
      </w:tblGrid>
      <w:tr>
        <w:trPr>
          <w:trHeight w:val="320" w:hRule="exact"/>
        </w:trPr>
        <w:tc>
          <w:tcPr>
            <w:tcW w:w="8625" w:type="dxa"/>
            <w:gridSpan w:val="2"/>
            <w:shd w:val="clear" w:color="auto" w:fill="92D050"/>
          </w:tcPr>
          <w:p>
            <w:pPr>
              <w:pStyle w:val="TableParagraph"/>
              <w:spacing w:line="203" w:lineRule="exact"/>
              <w:ind w:left="280"/>
              <w:jc w:val="left"/>
              <w:rPr>
                <w:b/>
                <w:sz w:val="18"/>
              </w:rPr>
            </w:pPr>
            <w:r>
              <w:rPr>
                <w:b/>
                <w:sz w:val="18"/>
              </w:rPr>
              <w:t>Anexo 9. Municipios del Estado de México que cuentan con página web propia (Continuación)</w:t>
            </w:r>
          </w:p>
        </w:tc>
      </w:tr>
      <w:tr>
        <w:trPr>
          <w:trHeight w:val="319" w:hRule="exact"/>
        </w:trPr>
        <w:tc>
          <w:tcPr>
            <w:tcW w:w="3061" w:type="dxa"/>
            <w:shd w:val="clear" w:color="auto" w:fill="92D050"/>
          </w:tcPr>
          <w:p>
            <w:pPr>
              <w:pStyle w:val="TableParagraph"/>
              <w:spacing w:line="201" w:lineRule="exact"/>
              <w:ind w:left="988"/>
              <w:jc w:val="left"/>
              <w:rPr>
                <w:b/>
                <w:sz w:val="18"/>
              </w:rPr>
            </w:pPr>
            <w:r>
              <w:rPr>
                <w:b/>
                <w:sz w:val="18"/>
              </w:rPr>
              <w:t>MUNICIPIOS</w:t>
            </w:r>
          </w:p>
        </w:tc>
        <w:tc>
          <w:tcPr>
            <w:tcW w:w="5564" w:type="dxa"/>
            <w:shd w:val="clear" w:color="auto" w:fill="92D050"/>
          </w:tcPr>
          <w:p>
            <w:pPr>
              <w:pStyle w:val="TableParagraph"/>
              <w:spacing w:line="201" w:lineRule="exact"/>
              <w:ind w:left="2222" w:right="2222"/>
              <w:rPr>
                <w:b/>
                <w:sz w:val="18"/>
              </w:rPr>
            </w:pPr>
            <w:r>
              <w:rPr>
                <w:b/>
                <w:sz w:val="18"/>
              </w:rPr>
              <w:t>MUNICIPIOS</w:t>
            </w:r>
          </w:p>
        </w:tc>
      </w:tr>
      <w:tr>
        <w:trPr>
          <w:trHeight w:val="322" w:hRule="exact"/>
        </w:trPr>
        <w:tc>
          <w:tcPr>
            <w:tcW w:w="3061" w:type="dxa"/>
          </w:tcPr>
          <w:p>
            <w:pPr>
              <w:pStyle w:val="TableParagraph"/>
              <w:spacing w:before="1"/>
              <w:ind w:left="64"/>
              <w:jc w:val="left"/>
              <w:rPr>
                <w:sz w:val="18"/>
              </w:rPr>
            </w:pPr>
            <w:r>
              <w:rPr>
                <w:sz w:val="18"/>
              </w:rPr>
              <w:t>RAYON</w:t>
            </w:r>
          </w:p>
        </w:tc>
        <w:tc>
          <w:tcPr>
            <w:tcW w:w="5564" w:type="dxa"/>
          </w:tcPr>
          <w:p>
            <w:pPr>
              <w:pStyle w:val="TableParagraph"/>
              <w:spacing w:before="1"/>
              <w:ind w:left="64"/>
              <w:jc w:val="left"/>
              <w:rPr>
                <w:sz w:val="18"/>
              </w:rPr>
            </w:pPr>
            <w:hyperlink r:id="rId291">
              <w:r>
                <w:rPr>
                  <w:sz w:val="18"/>
                  <w:u w:val="single"/>
                </w:rPr>
                <w:t>http://www.rayon.gob.mx/web/</w:t>
              </w:r>
            </w:hyperlink>
          </w:p>
        </w:tc>
      </w:tr>
      <w:tr>
        <w:trPr>
          <w:trHeight w:val="319" w:hRule="exact"/>
        </w:trPr>
        <w:tc>
          <w:tcPr>
            <w:tcW w:w="3061" w:type="dxa"/>
          </w:tcPr>
          <w:p>
            <w:pPr>
              <w:pStyle w:val="TableParagraph"/>
              <w:spacing w:line="206" w:lineRule="exact"/>
              <w:ind w:left="64"/>
              <w:jc w:val="left"/>
              <w:rPr>
                <w:sz w:val="18"/>
              </w:rPr>
            </w:pPr>
            <w:r>
              <w:rPr>
                <w:sz w:val="18"/>
              </w:rPr>
              <w:t>SAN ANTONIO LA ISLA</w:t>
            </w:r>
          </w:p>
        </w:tc>
        <w:tc>
          <w:tcPr>
            <w:tcW w:w="5564" w:type="dxa"/>
          </w:tcPr>
          <w:p>
            <w:pPr>
              <w:pStyle w:val="TableParagraph"/>
              <w:spacing w:line="206" w:lineRule="exact"/>
              <w:ind w:left="64"/>
              <w:jc w:val="left"/>
              <w:rPr>
                <w:sz w:val="18"/>
              </w:rPr>
            </w:pPr>
            <w:hyperlink r:id="rId292">
              <w:r>
                <w:rPr>
                  <w:sz w:val="18"/>
                  <w:u w:val="single"/>
                </w:rPr>
                <w:t>http://sanantoniolaisla.edomex.gob.mx/</w:t>
              </w:r>
            </w:hyperlink>
          </w:p>
        </w:tc>
      </w:tr>
      <w:tr>
        <w:trPr>
          <w:trHeight w:val="322" w:hRule="exact"/>
        </w:trPr>
        <w:tc>
          <w:tcPr>
            <w:tcW w:w="3061" w:type="dxa"/>
          </w:tcPr>
          <w:p>
            <w:pPr>
              <w:pStyle w:val="TableParagraph"/>
              <w:spacing w:before="1"/>
              <w:ind w:left="64"/>
              <w:jc w:val="left"/>
              <w:rPr>
                <w:sz w:val="18"/>
              </w:rPr>
            </w:pPr>
            <w:r>
              <w:rPr>
                <w:sz w:val="18"/>
              </w:rPr>
              <w:t>SAN FELIPE DEL PROGRESO</w:t>
            </w:r>
          </w:p>
        </w:tc>
        <w:tc>
          <w:tcPr>
            <w:tcW w:w="5564" w:type="dxa"/>
          </w:tcPr>
          <w:p>
            <w:pPr>
              <w:pStyle w:val="TableParagraph"/>
              <w:spacing w:before="1"/>
              <w:ind w:left="64"/>
              <w:jc w:val="left"/>
              <w:rPr>
                <w:sz w:val="18"/>
              </w:rPr>
            </w:pPr>
            <w:hyperlink r:id="rId293">
              <w:r>
                <w:rPr>
                  <w:sz w:val="18"/>
                  <w:u w:val="single"/>
                </w:rPr>
                <w:t>http://www.sanfelipedelprogreso.gob.mx/</w:t>
              </w:r>
            </w:hyperlink>
          </w:p>
        </w:tc>
      </w:tr>
      <w:tr>
        <w:trPr>
          <w:trHeight w:val="322" w:hRule="exact"/>
        </w:trPr>
        <w:tc>
          <w:tcPr>
            <w:tcW w:w="3061" w:type="dxa"/>
          </w:tcPr>
          <w:p>
            <w:pPr>
              <w:pStyle w:val="TableParagraph"/>
              <w:spacing w:line="206" w:lineRule="exact"/>
              <w:ind w:left="64"/>
              <w:jc w:val="left"/>
              <w:rPr>
                <w:sz w:val="18"/>
              </w:rPr>
            </w:pPr>
            <w:r>
              <w:rPr>
                <w:sz w:val="18"/>
              </w:rPr>
              <w:t>SAN MARTIN DE LAS PIRAMIDES</w:t>
            </w:r>
          </w:p>
        </w:tc>
        <w:tc>
          <w:tcPr>
            <w:tcW w:w="5564" w:type="dxa"/>
          </w:tcPr>
          <w:p>
            <w:pPr>
              <w:pStyle w:val="TableParagraph"/>
              <w:spacing w:line="206" w:lineRule="exact"/>
              <w:ind w:left="64"/>
              <w:jc w:val="left"/>
              <w:rPr>
                <w:sz w:val="18"/>
              </w:rPr>
            </w:pPr>
            <w:hyperlink r:id="rId294">
              <w:r>
                <w:rPr>
                  <w:sz w:val="18"/>
                  <w:u w:val="single"/>
                </w:rPr>
                <w:t>http://www.sanmartindelaspiramides.gob.mx/</w:t>
              </w:r>
            </w:hyperlink>
          </w:p>
        </w:tc>
      </w:tr>
      <w:tr>
        <w:trPr>
          <w:trHeight w:val="319" w:hRule="exact"/>
        </w:trPr>
        <w:tc>
          <w:tcPr>
            <w:tcW w:w="3061" w:type="dxa"/>
          </w:tcPr>
          <w:p>
            <w:pPr>
              <w:pStyle w:val="TableParagraph"/>
              <w:spacing w:line="206" w:lineRule="exact"/>
              <w:ind w:left="64"/>
              <w:jc w:val="left"/>
              <w:rPr>
                <w:sz w:val="18"/>
              </w:rPr>
            </w:pPr>
            <w:r>
              <w:rPr>
                <w:sz w:val="18"/>
              </w:rPr>
              <w:t>SAN MATEO ATENCO</w:t>
            </w:r>
          </w:p>
        </w:tc>
        <w:tc>
          <w:tcPr>
            <w:tcW w:w="5564" w:type="dxa"/>
          </w:tcPr>
          <w:p>
            <w:pPr>
              <w:pStyle w:val="TableParagraph"/>
              <w:spacing w:line="206" w:lineRule="exact"/>
              <w:ind w:left="64"/>
              <w:jc w:val="left"/>
              <w:rPr>
                <w:sz w:val="18"/>
              </w:rPr>
            </w:pPr>
            <w:hyperlink r:id="rId295">
              <w:r>
                <w:rPr>
                  <w:sz w:val="18"/>
                  <w:u w:val="single"/>
                </w:rPr>
                <w:t>http://www.sanmateoatenco.gob.mx/web/</w:t>
              </w:r>
            </w:hyperlink>
          </w:p>
        </w:tc>
      </w:tr>
      <w:tr>
        <w:trPr>
          <w:trHeight w:val="322" w:hRule="exact"/>
        </w:trPr>
        <w:tc>
          <w:tcPr>
            <w:tcW w:w="3061" w:type="dxa"/>
          </w:tcPr>
          <w:p>
            <w:pPr>
              <w:pStyle w:val="TableParagraph"/>
              <w:spacing w:line="206" w:lineRule="exact"/>
              <w:ind w:left="64"/>
              <w:jc w:val="left"/>
              <w:rPr>
                <w:sz w:val="18"/>
              </w:rPr>
            </w:pPr>
            <w:r>
              <w:rPr>
                <w:sz w:val="18"/>
              </w:rPr>
              <w:t>SAN SIMON DE GUERRERO*</w:t>
            </w:r>
          </w:p>
        </w:tc>
        <w:tc>
          <w:tcPr>
            <w:tcW w:w="5564" w:type="dxa"/>
          </w:tcPr>
          <w:p>
            <w:pPr>
              <w:pStyle w:val="TableParagraph"/>
              <w:spacing w:line="206" w:lineRule="exact"/>
              <w:ind w:left="64"/>
              <w:jc w:val="left"/>
              <w:rPr>
                <w:sz w:val="18"/>
              </w:rPr>
            </w:pPr>
            <w:hyperlink r:id="rId296">
              <w:r>
                <w:rPr>
                  <w:sz w:val="18"/>
                </w:rPr>
                <w:t>http://sansimondeguerrero.gob.mx/web/inicio.php</w:t>
              </w:r>
            </w:hyperlink>
          </w:p>
        </w:tc>
      </w:tr>
      <w:tr>
        <w:trPr>
          <w:trHeight w:val="319" w:hRule="exact"/>
        </w:trPr>
        <w:tc>
          <w:tcPr>
            <w:tcW w:w="3061" w:type="dxa"/>
          </w:tcPr>
          <w:p>
            <w:pPr>
              <w:pStyle w:val="TableParagraph"/>
              <w:spacing w:line="206" w:lineRule="exact"/>
              <w:ind w:left="64"/>
              <w:jc w:val="left"/>
              <w:rPr>
                <w:sz w:val="18"/>
              </w:rPr>
            </w:pPr>
            <w:r>
              <w:rPr>
                <w:sz w:val="18"/>
              </w:rPr>
              <w:t>SANTO TOMAS*</w:t>
            </w:r>
          </w:p>
        </w:tc>
        <w:tc>
          <w:tcPr>
            <w:tcW w:w="5564" w:type="dxa"/>
          </w:tcPr>
          <w:p>
            <w:pPr>
              <w:pStyle w:val="TableParagraph"/>
              <w:spacing w:line="206" w:lineRule="exact"/>
              <w:ind w:left="64"/>
              <w:jc w:val="left"/>
              <w:rPr>
                <w:sz w:val="18"/>
              </w:rPr>
            </w:pPr>
            <w:hyperlink r:id="rId278">
              <w:r>
                <w:rPr>
                  <w:sz w:val="18"/>
                </w:rPr>
                <w:t>http://www.santotomas.gob.mx/</w:t>
              </w:r>
            </w:hyperlink>
          </w:p>
        </w:tc>
      </w:tr>
      <w:tr>
        <w:trPr>
          <w:trHeight w:val="322" w:hRule="exact"/>
        </w:trPr>
        <w:tc>
          <w:tcPr>
            <w:tcW w:w="3061" w:type="dxa"/>
          </w:tcPr>
          <w:p>
            <w:pPr>
              <w:pStyle w:val="TableParagraph"/>
              <w:spacing w:line="206" w:lineRule="exact"/>
              <w:ind w:left="64"/>
              <w:jc w:val="left"/>
              <w:rPr>
                <w:sz w:val="18"/>
              </w:rPr>
            </w:pPr>
            <w:r>
              <w:rPr>
                <w:sz w:val="18"/>
              </w:rPr>
              <w:t>SOYANIQUILPAN DE JUAREZ</w:t>
            </w:r>
          </w:p>
        </w:tc>
        <w:tc>
          <w:tcPr>
            <w:tcW w:w="5564" w:type="dxa"/>
          </w:tcPr>
          <w:p>
            <w:pPr>
              <w:pStyle w:val="TableParagraph"/>
              <w:spacing w:line="206" w:lineRule="exact"/>
              <w:ind w:left="64"/>
              <w:jc w:val="left"/>
              <w:rPr>
                <w:sz w:val="18"/>
              </w:rPr>
            </w:pPr>
            <w:hyperlink r:id="rId297">
              <w:r>
                <w:rPr>
                  <w:sz w:val="18"/>
                  <w:u w:val="single"/>
                </w:rPr>
                <w:t>http://www.edomexico.gob.mx/soyaniquilpan/</w:t>
              </w:r>
            </w:hyperlink>
          </w:p>
        </w:tc>
      </w:tr>
      <w:tr>
        <w:trPr>
          <w:trHeight w:val="320" w:hRule="exact"/>
        </w:trPr>
        <w:tc>
          <w:tcPr>
            <w:tcW w:w="3061" w:type="dxa"/>
          </w:tcPr>
          <w:p>
            <w:pPr>
              <w:pStyle w:val="TableParagraph"/>
              <w:spacing w:line="206" w:lineRule="exact"/>
              <w:ind w:left="64"/>
              <w:jc w:val="left"/>
              <w:rPr>
                <w:sz w:val="18"/>
              </w:rPr>
            </w:pPr>
            <w:r>
              <w:rPr>
                <w:sz w:val="18"/>
              </w:rPr>
              <w:t>SULTEPEC</w:t>
            </w:r>
          </w:p>
        </w:tc>
        <w:tc>
          <w:tcPr>
            <w:tcW w:w="5564" w:type="dxa"/>
          </w:tcPr>
          <w:p>
            <w:pPr>
              <w:pStyle w:val="TableParagraph"/>
              <w:spacing w:line="206" w:lineRule="exact"/>
              <w:ind w:left="64"/>
              <w:jc w:val="left"/>
              <w:rPr>
                <w:sz w:val="18"/>
              </w:rPr>
            </w:pPr>
            <w:hyperlink r:id="rId298">
              <w:r>
                <w:rPr>
                  <w:sz w:val="18"/>
                  <w:u w:val="single"/>
                </w:rPr>
                <w:t>http://www.sultepec.gob.mx/</w:t>
              </w:r>
            </w:hyperlink>
          </w:p>
        </w:tc>
      </w:tr>
      <w:tr>
        <w:trPr>
          <w:trHeight w:val="322" w:hRule="exact"/>
        </w:trPr>
        <w:tc>
          <w:tcPr>
            <w:tcW w:w="3061" w:type="dxa"/>
          </w:tcPr>
          <w:p>
            <w:pPr>
              <w:pStyle w:val="TableParagraph"/>
              <w:spacing w:line="206" w:lineRule="exact"/>
              <w:ind w:left="64"/>
              <w:jc w:val="left"/>
              <w:rPr>
                <w:sz w:val="18"/>
              </w:rPr>
            </w:pPr>
            <w:r>
              <w:rPr>
                <w:sz w:val="18"/>
              </w:rPr>
              <w:t>TECAMAC</w:t>
            </w:r>
          </w:p>
        </w:tc>
        <w:tc>
          <w:tcPr>
            <w:tcW w:w="5564" w:type="dxa"/>
          </w:tcPr>
          <w:p>
            <w:pPr>
              <w:pStyle w:val="TableParagraph"/>
              <w:spacing w:line="206" w:lineRule="exact"/>
              <w:ind w:left="64"/>
              <w:jc w:val="left"/>
              <w:rPr>
                <w:sz w:val="18"/>
              </w:rPr>
            </w:pPr>
            <w:hyperlink r:id="rId299">
              <w:r>
                <w:rPr>
                  <w:sz w:val="18"/>
                  <w:u w:val="single"/>
                </w:rPr>
                <w:t>http://www.tecamac.gob.mx/</w:t>
              </w:r>
            </w:hyperlink>
          </w:p>
        </w:tc>
      </w:tr>
      <w:tr>
        <w:trPr>
          <w:trHeight w:val="319" w:hRule="exact"/>
        </w:trPr>
        <w:tc>
          <w:tcPr>
            <w:tcW w:w="3061" w:type="dxa"/>
          </w:tcPr>
          <w:p>
            <w:pPr>
              <w:pStyle w:val="TableParagraph"/>
              <w:spacing w:line="206" w:lineRule="exact"/>
              <w:ind w:left="64"/>
              <w:jc w:val="left"/>
              <w:rPr>
                <w:sz w:val="18"/>
              </w:rPr>
            </w:pPr>
            <w:r>
              <w:rPr>
                <w:sz w:val="18"/>
              </w:rPr>
              <w:t>TEJUPILCO</w:t>
            </w:r>
          </w:p>
        </w:tc>
        <w:tc>
          <w:tcPr>
            <w:tcW w:w="5564" w:type="dxa"/>
          </w:tcPr>
          <w:p>
            <w:pPr>
              <w:pStyle w:val="TableParagraph"/>
              <w:spacing w:line="206" w:lineRule="exact"/>
              <w:ind w:left="64"/>
              <w:jc w:val="left"/>
              <w:rPr>
                <w:sz w:val="18"/>
              </w:rPr>
            </w:pPr>
            <w:hyperlink r:id="rId300">
              <w:r>
                <w:rPr>
                  <w:sz w:val="18"/>
                  <w:u w:val="single"/>
                </w:rPr>
                <w:t>http://www.tejupilco.gob.mx/web/</w:t>
              </w:r>
            </w:hyperlink>
          </w:p>
        </w:tc>
      </w:tr>
      <w:tr>
        <w:trPr>
          <w:trHeight w:val="322" w:hRule="exact"/>
        </w:trPr>
        <w:tc>
          <w:tcPr>
            <w:tcW w:w="3061" w:type="dxa"/>
          </w:tcPr>
          <w:p>
            <w:pPr>
              <w:pStyle w:val="TableParagraph"/>
              <w:spacing w:line="206" w:lineRule="exact"/>
              <w:ind w:left="64"/>
              <w:jc w:val="left"/>
              <w:rPr>
                <w:sz w:val="18"/>
              </w:rPr>
            </w:pPr>
            <w:r>
              <w:rPr>
                <w:sz w:val="18"/>
              </w:rPr>
              <w:t>TEMAMATLA*</w:t>
            </w:r>
          </w:p>
        </w:tc>
        <w:tc>
          <w:tcPr>
            <w:tcW w:w="5564" w:type="dxa"/>
          </w:tcPr>
          <w:p>
            <w:pPr>
              <w:pStyle w:val="TableParagraph"/>
              <w:spacing w:line="206" w:lineRule="exact"/>
              <w:ind w:left="64"/>
              <w:jc w:val="left"/>
              <w:rPr>
                <w:sz w:val="18"/>
              </w:rPr>
            </w:pPr>
            <w:hyperlink r:id="rId301">
              <w:r>
                <w:rPr>
                  <w:sz w:val="18"/>
                </w:rPr>
                <w:t>http://temamatla.gob.mx/turistico/inicio.php</w:t>
              </w:r>
            </w:hyperlink>
          </w:p>
        </w:tc>
      </w:tr>
      <w:tr>
        <w:trPr>
          <w:trHeight w:val="319" w:hRule="exact"/>
        </w:trPr>
        <w:tc>
          <w:tcPr>
            <w:tcW w:w="3061" w:type="dxa"/>
          </w:tcPr>
          <w:p>
            <w:pPr>
              <w:pStyle w:val="TableParagraph"/>
              <w:spacing w:line="206" w:lineRule="exact"/>
              <w:ind w:left="64"/>
              <w:jc w:val="left"/>
              <w:rPr>
                <w:sz w:val="18"/>
              </w:rPr>
            </w:pPr>
            <w:r>
              <w:rPr>
                <w:sz w:val="18"/>
              </w:rPr>
              <w:t>TEMASCALAPA</w:t>
            </w:r>
          </w:p>
        </w:tc>
        <w:tc>
          <w:tcPr>
            <w:tcW w:w="5564" w:type="dxa"/>
          </w:tcPr>
          <w:p>
            <w:pPr>
              <w:pStyle w:val="TableParagraph"/>
              <w:spacing w:line="206" w:lineRule="exact"/>
              <w:ind w:left="64"/>
              <w:jc w:val="left"/>
              <w:rPr>
                <w:sz w:val="18"/>
              </w:rPr>
            </w:pPr>
            <w:hyperlink r:id="rId302">
              <w:r>
                <w:rPr>
                  <w:sz w:val="18"/>
                  <w:u w:val="single"/>
                </w:rPr>
                <w:t>http://www.temascalapa.gob.mx/</w:t>
              </w:r>
            </w:hyperlink>
          </w:p>
        </w:tc>
      </w:tr>
      <w:tr>
        <w:trPr>
          <w:trHeight w:val="322" w:hRule="exact"/>
        </w:trPr>
        <w:tc>
          <w:tcPr>
            <w:tcW w:w="3061" w:type="dxa"/>
          </w:tcPr>
          <w:p>
            <w:pPr>
              <w:pStyle w:val="TableParagraph"/>
              <w:spacing w:line="206" w:lineRule="exact"/>
              <w:ind w:left="64"/>
              <w:jc w:val="left"/>
              <w:rPr>
                <w:sz w:val="18"/>
              </w:rPr>
            </w:pPr>
            <w:r>
              <w:rPr>
                <w:sz w:val="18"/>
              </w:rPr>
              <w:t>TEMASCALCINGO</w:t>
            </w:r>
          </w:p>
        </w:tc>
        <w:tc>
          <w:tcPr>
            <w:tcW w:w="5564" w:type="dxa"/>
          </w:tcPr>
          <w:p>
            <w:pPr>
              <w:pStyle w:val="TableParagraph"/>
              <w:spacing w:line="206" w:lineRule="exact"/>
              <w:ind w:left="64"/>
              <w:jc w:val="left"/>
              <w:rPr>
                <w:sz w:val="18"/>
              </w:rPr>
            </w:pPr>
            <w:hyperlink r:id="rId303">
              <w:r>
                <w:rPr>
                  <w:sz w:val="18"/>
                  <w:u w:val="single"/>
                </w:rPr>
                <w:t>http://www.temascalcingo.gob.mx/</w:t>
              </w:r>
            </w:hyperlink>
          </w:p>
        </w:tc>
      </w:tr>
      <w:tr>
        <w:trPr>
          <w:trHeight w:val="319" w:hRule="exact"/>
        </w:trPr>
        <w:tc>
          <w:tcPr>
            <w:tcW w:w="3061" w:type="dxa"/>
          </w:tcPr>
          <w:p>
            <w:pPr>
              <w:pStyle w:val="TableParagraph"/>
              <w:spacing w:line="206" w:lineRule="exact"/>
              <w:ind w:left="64"/>
              <w:jc w:val="left"/>
              <w:rPr>
                <w:sz w:val="18"/>
              </w:rPr>
            </w:pPr>
            <w:r>
              <w:rPr>
                <w:sz w:val="18"/>
              </w:rPr>
              <w:t>TEMASCALTEPEC</w:t>
            </w:r>
          </w:p>
        </w:tc>
        <w:tc>
          <w:tcPr>
            <w:tcW w:w="5564" w:type="dxa"/>
          </w:tcPr>
          <w:p>
            <w:pPr>
              <w:pStyle w:val="TableParagraph"/>
              <w:spacing w:line="206" w:lineRule="exact"/>
              <w:ind w:left="64"/>
              <w:jc w:val="left"/>
              <w:rPr>
                <w:sz w:val="18"/>
              </w:rPr>
            </w:pPr>
            <w:hyperlink r:id="rId304">
              <w:r>
                <w:rPr>
                  <w:sz w:val="18"/>
                  <w:u w:val="single"/>
                </w:rPr>
                <w:t>http://temascaltepec.gob.mx/</w:t>
              </w:r>
            </w:hyperlink>
          </w:p>
        </w:tc>
      </w:tr>
      <w:tr>
        <w:trPr>
          <w:trHeight w:val="322" w:hRule="exact"/>
        </w:trPr>
        <w:tc>
          <w:tcPr>
            <w:tcW w:w="3061" w:type="dxa"/>
          </w:tcPr>
          <w:p>
            <w:pPr>
              <w:pStyle w:val="TableParagraph"/>
              <w:spacing w:before="1"/>
              <w:ind w:left="64"/>
              <w:jc w:val="left"/>
              <w:rPr>
                <w:sz w:val="18"/>
              </w:rPr>
            </w:pPr>
            <w:r>
              <w:rPr>
                <w:sz w:val="18"/>
              </w:rPr>
              <w:t>TEMOAYA</w:t>
            </w:r>
          </w:p>
        </w:tc>
        <w:tc>
          <w:tcPr>
            <w:tcW w:w="5564" w:type="dxa"/>
          </w:tcPr>
          <w:p>
            <w:pPr>
              <w:pStyle w:val="TableParagraph"/>
              <w:spacing w:before="1"/>
              <w:ind w:left="64"/>
              <w:jc w:val="left"/>
              <w:rPr>
                <w:sz w:val="18"/>
              </w:rPr>
            </w:pPr>
            <w:hyperlink r:id="rId305">
              <w:r>
                <w:rPr>
                  <w:sz w:val="18"/>
                  <w:u w:val="single"/>
                </w:rPr>
                <w:t>http://www.temoaya.gob.mx/</w:t>
              </w:r>
            </w:hyperlink>
          </w:p>
        </w:tc>
      </w:tr>
      <w:tr>
        <w:trPr>
          <w:trHeight w:val="319" w:hRule="exact"/>
        </w:trPr>
        <w:tc>
          <w:tcPr>
            <w:tcW w:w="3061" w:type="dxa"/>
          </w:tcPr>
          <w:p>
            <w:pPr>
              <w:pStyle w:val="TableParagraph"/>
              <w:spacing w:line="206" w:lineRule="exact"/>
              <w:ind w:left="64"/>
              <w:jc w:val="left"/>
              <w:rPr>
                <w:sz w:val="18"/>
              </w:rPr>
            </w:pPr>
            <w:r>
              <w:rPr>
                <w:sz w:val="18"/>
              </w:rPr>
              <w:t>TENANCINGO*</w:t>
            </w:r>
          </w:p>
        </w:tc>
        <w:tc>
          <w:tcPr>
            <w:tcW w:w="5564" w:type="dxa"/>
          </w:tcPr>
          <w:p>
            <w:pPr>
              <w:pStyle w:val="TableParagraph"/>
              <w:spacing w:line="206" w:lineRule="exact"/>
              <w:ind w:left="64"/>
              <w:jc w:val="left"/>
              <w:rPr>
                <w:sz w:val="18"/>
              </w:rPr>
            </w:pPr>
            <w:hyperlink r:id="rId306">
              <w:r>
                <w:rPr>
                  <w:sz w:val="18"/>
                </w:rPr>
                <w:t>http://tenancingo.gob.mx/turistico/inicio.php</w:t>
              </w:r>
            </w:hyperlink>
          </w:p>
        </w:tc>
      </w:tr>
      <w:tr>
        <w:trPr>
          <w:trHeight w:val="322" w:hRule="exact"/>
        </w:trPr>
        <w:tc>
          <w:tcPr>
            <w:tcW w:w="3061" w:type="dxa"/>
          </w:tcPr>
          <w:p>
            <w:pPr>
              <w:pStyle w:val="TableParagraph"/>
              <w:spacing w:before="1"/>
              <w:ind w:left="64"/>
              <w:jc w:val="left"/>
              <w:rPr>
                <w:sz w:val="18"/>
              </w:rPr>
            </w:pPr>
            <w:r>
              <w:rPr>
                <w:sz w:val="18"/>
              </w:rPr>
              <w:t>TENANGO DEL AIRE</w:t>
            </w:r>
          </w:p>
        </w:tc>
        <w:tc>
          <w:tcPr>
            <w:tcW w:w="5564" w:type="dxa"/>
          </w:tcPr>
          <w:p>
            <w:pPr>
              <w:pStyle w:val="TableParagraph"/>
              <w:spacing w:before="1"/>
              <w:ind w:left="64"/>
              <w:jc w:val="left"/>
              <w:rPr>
                <w:sz w:val="18"/>
              </w:rPr>
            </w:pPr>
            <w:hyperlink r:id="rId307">
              <w:r>
                <w:rPr>
                  <w:sz w:val="18"/>
                  <w:u w:val="single"/>
                </w:rPr>
                <w:t>http://www.tenangodelaire.gob.mx/web/</w:t>
              </w:r>
            </w:hyperlink>
          </w:p>
        </w:tc>
      </w:tr>
      <w:tr>
        <w:trPr>
          <w:trHeight w:val="319" w:hRule="exact"/>
        </w:trPr>
        <w:tc>
          <w:tcPr>
            <w:tcW w:w="3061" w:type="dxa"/>
          </w:tcPr>
          <w:p>
            <w:pPr>
              <w:pStyle w:val="TableParagraph"/>
              <w:spacing w:line="206" w:lineRule="exact"/>
              <w:ind w:left="64"/>
              <w:jc w:val="left"/>
              <w:rPr>
                <w:sz w:val="18"/>
              </w:rPr>
            </w:pPr>
            <w:r>
              <w:rPr>
                <w:sz w:val="18"/>
              </w:rPr>
              <w:t>TENANGO DEL VALLE</w:t>
            </w:r>
          </w:p>
        </w:tc>
        <w:tc>
          <w:tcPr>
            <w:tcW w:w="5564" w:type="dxa"/>
          </w:tcPr>
          <w:p>
            <w:pPr>
              <w:pStyle w:val="TableParagraph"/>
              <w:spacing w:line="206" w:lineRule="exact"/>
              <w:ind w:left="64"/>
              <w:jc w:val="left"/>
              <w:rPr>
                <w:sz w:val="18"/>
              </w:rPr>
            </w:pPr>
            <w:hyperlink r:id="rId308">
              <w:r>
                <w:rPr>
                  <w:sz w:val="18"/>
                  <w:u w:val="single"/>
                </w:rPr>
                <w:t>http://www.tenangodelvalle.gob.mx/</w:t>
              </w:r>
            </w:hyperlink>
          </w:p>
        </w:tc>
      </w:tr>
      <w:tr>
        <w:trPr>
          <w:trHeight w:val="322" w:hRule="exact"/>
        </w:trPr>
        <w:tc>
          <w:tcPr>
            <w:tcW w:w="3061" w:type="dxa"/>
          </w:tcPr>
          <w:p>
            <w:pPr>
              <w:pStyle w:val="TableParagraph"/>
              <w:spacing w:before="2"/>
              <w:ind w:left="64"/>
              <w:jc w:val="left"/>
              <w:rPr>
                <w:sz w:val="18"/>
              </w:rPr>
            </w:pPr>
            <w:r>
              <w:rPr>
                <w:sz w:val="18"/>
              </w:rPr>
              <w:t>TEOLOYUCAN</w:t>
            </w:r>
          </w:p>
        </w:tc>
        <w:tc>
          <w:tcPr>
            <w:tcW w:w="5564" w:type="dxa"/>
          </w:tcPr>
          <w:p>
            <w:pPr>
              <w:pStyle w:val="TableParagraph"/>
              <w:spacing w:before="2"/>
              <w:ind w:left="64"/>
              <w:jc w:val="left"/>
              <w:rPr>
                <w:sz w:val="18"/>
              </w:rPr>
            </w:pPr>
            <w:hyperlink r:id="rId309">
              <w:r>
                <w:rPr>
                  <w:sz w:val="18"/>
                  <w:u w:val="single"/>
                </w:rPr>
                <w:t>http://www.teoloyucan.gob.mx/</w:t>
              </w:r>
            </w:hyperlink>
          </w:p>
        </w:tc>
      </w:tr>
      <w:tr>
        <w:trPr>
          <w:trHeight w:val="322" w:hRule="exact"/>
        </w:trPr>
        <w:tc>
          <w:tcPr>
            <w:tcW w:w="3061" w:type="dxa"/>
          </w:tcPr>
          <w:p>
            <w:pPr>
              <w:pStyle w:val="TableParagraph"/>
              <w:spacing w:line="206" w:lineRule="exact"/>
              <w:ind w:left="64"/>
              <w:jc w:val="left"/>
              <w:rPr>
                <w:sz w:val="18"/>
              </w:rPr>
            </w:pPr>
            <w:r>
              <w:rPr>
                <w:sz w:val="18"/>
              </w:rPr>
              <w:t>TEOTIHUACAN</w:t>
            </w:r>
          </w:p>
        </w:tc>
        <w:tc>
          <w:tcPr>
            <w:tcW w:w="5564" w:type="dxa"/>
          </w:tcPr>
          <w:p>
            <w:pPr>
              <w:pStyle w:val="TableParagraph"/>
              <w:spacing w:line="206" w:lineRule="exact"/>
              <w:ind w:left="64"/>
              <w:jc w:val="left"/>
              <w:rPr>
                <w:sz w:val="18"/>
              </w:rPr>
            </w:pPr>
            <w:hyperlink r:id="rId310">
              <w:r>
                <w:rPr>
                  <w:sz w:val="18"/>
                  <w:u w:val="single"/>
                </w:rPr>
                <w:t>http://www.teotihuacan.gob.mx/</w:t>
              </w:r>
            </w:hyperlink>
          </w:p>
        </w:tc>
      </w:tr>
      <w:tr>
        <w:trPr>
          <w:trHeight w:val="319" w:hRule="exact"/>
        </w:trPr>
        <w:tc>
          <w:tcPr>
            <w:tcW w:w="3061" w:type="dxa"/>
          </w:tcPr>
          <w:p>
            <w:pPr>
              <w:pStyle w:val="TableParagraph"/>
              <w:spacing w:line="206" w:lineRule="exact"/>
              <w:ind w:left="64"/>
              <w:jc w:val="left"/>
              <w:rPr>
                <w:sz w:val="18"/>
              </w:rPr>
            </w:pPr>
            <w:r>
              <w:rPr>
                <w:sz w:val="18"/>
              </w:rPr>
              <w:t>TEPETLAOXTOC</w:t>
            </w:r>
          </w:p>
        </w:tc>
        <w:tc>
          <w:tcPr>
            <w:tcW w:w="5564" w:type="dxa"/>
          </w:tcPr>
          <w:p>
            <w:pPr>
              <w:pStyle w:val="TableParagraph"/>
              <w:spacing w:line="206" w:lineRule="exact"/>
              <w:ind w:left="64"/>
              <w:jc w:val="left"/>
              <w:rPr>
                <w:sz w:val="18"/>
              </w:rPr>
            </w:pPr>
            <w:hyperlink r:id="rId311">
              <w:r>
                <w:rPr>
                  <w:sz w:val="18"/>
                  <w:u w:val="single"/>
                </w:rPr>
                <w:t>http://www.tepetlaoxtoc.gob.mx/</w:t>
              </w:r>
            </w:hyperlink>
          </w:p>
        </w:tc>
      </w:tr>
      <w:tr>
        <w:trPr>
          <w:trHeight w:val="322" w:hRule="exact"/>
        </w:trPr>
        <w:tc>
          <w:tcPr>
            <w:tcW w:w="3061" w:type="dxa"/>
          </w:tcPr>
          <w:p>
            <w:pPr>
              <w:pStyle w:val="TableParagraph"/>
              <w:spacing w:line="206" w:lineRule="exact"/>
              <w:ind w:left="64"/>
              <w:jc w:val="left"/>
              <w:rPr>
                <w:sz w:val="18"/>
              </w:rPr>
            </w:pPr>
            <w:r>
              <w:rPr>
                <w:sz w:val="18"/>
              </w:rPr>
              <w:t>TEPETLIXPA</w:t>
            </w:r>
          </w:p>
        </w:tc>
        <w:tc>
          <w:tcPr>
            <w:tcW w:w="5564" w:type="dxa"/>
          </w:tcPr>
          <w:p>
            <w:pPr>
              <w:pStyle w:val="TableParagraph"/>
              <w:spacing w:line="206" w:lineRule="exact"/>
              <w:ind w:left="64"/>
              <w:jc w:val="left"/>
              <w:rPr>
                <w:sz w:val="18"/>
              </w:rPr>
            </w:pPr>
            <w:hyperlink r:id="rId312">
              <w:r>
                <w:rPr>
                  <w:sz w:val="18"/>
                  <w:u w:val="single"/>
                </w:rPr>
                <w:t>http://www.tepetlixpa.gob.mx/web/</w:t>
              </w:r>
            </w:hyperlink>
          </w:p>
        </w:tc>
      </w:tr>
      <w:tr>
        <w:trPr>
          <w:trHeight w:val="319" w:hRule="exact"/>
        </w:trPr>
        <w:tc>
          <w:tcPr>
            <w:tcW w:w="3061" w:type="dxa"/>
          </w:tcPr>
          <w:p>
            <w:pPr>
              <w:pStyle w:val="TableParagraph"/>
              <w:spacing w:line="206" w:lineRule="exact"/>
              <w:ind w:left="64"/>
              <w:jc w:val="left"/>
              <w:rPr>
                <w:sz w:val="18"/>
              </w:rPr>
            </w:pPr>
            <w:r>
              <w:rPr>
                <w:sz w:val="18"/>
              </w:rPr>
              <w:t>TEPOTZOTLAN*</w:t>
            </w:r>
          </w:p>
        </w:tc>
        <w:tc>
          <w:tcPr>
            <w:tcW w:w="5564" w:type="dxa"/>
          </w:tcPr>
          <w:p>
            <w:pPr>
              <w:pStyle w:val="TableParagraph"/>
              <w:spacing w:line="206" w:lineRule="exact"/>
              <w:ind w:left="64"/>
              <w:jc w:val="left"/>
              <w:rPr>
                <w:sz w:val="18"/>
              </w:rPr>
            </w:pPr>
            <w:hyperlink r:id="rId313">
              <w:r>
                <w:rPr>
                  <w:sz w:val="18"/>
                </w:rPr>
                <w:t>http://tepotzotlan.gob.mx/turistico/inicio.php</w:t>
              </w:r>
            </w:hyperlink>
          </w:p>
        </w:tc>
      </w:tr>
      <w:tr>
        <w:trPr>
          <w:trHeight w:val="322" w:hRule="exact"/>
        </w:trPr>
        <w:tc>
          <w:tcPr>
            <w:tcW w:w="3061" w:type="dxa"/>
          </w:tcPr>
          <w:p>
            <w:pPr>
              <w:pStyle w:val="TableParagraph"/>
              <w:spacing w:line="206" w:lineRule="exact"/>
              <w:ind w:left="64"/>
              <w:jc w:val="left"/>
              <w:rPr>
                <w:sz w:val="18"/>
              </w:rPr>
            </w:pPr>
            <w:r>
              <w:rPr>
                <w:sz w:val="18"/>
              </w:rPr>
              <w:t>TEQUIXQUIAC</w:t>
            </w:r>
          </w:p>
        </w:tc>
        <w:tc>
          <w:tcPr>
            <w:tcW w:w="5564" w:type="dxa"/>
          </w:tcPr>
          <w:p>
            <w:pPr>
              <w:pStyle w:val="TableParagraph"/>
              <w:spacing w:line="206" w:lineRule="exact"/>
              <w:ind w:left="64"/>
              <w:jc w:val="left"/>
              <w:rPr>
                <w:sz w:val="18"/>
              </w:rPr>
            </w:pPr>
            <w:hyperlink r:id="rId314">
              <w:r>
                <w:rPr>
                  <w:sz w:val="18"/>
                  <w:u w:val="single"/>
                </w:rPr>
                <w:t>http://www.tequixquiac.gob.mx/#</w:t>
              </w:r>
            </w:hyperlink>
          </w:p>
        </w:tc>
      </w:tr>
      <w:tr>
        <w:trPr>
          <w:trHeight w:val="319" w:hRule="exact"/>
        </w:trPr>
        <w:tc>
          <w:tcPr>
            <w:tcW w:w="3061" w:type="dxa"/>
          </w:tcPr>
          <w:p>
            <w:pPr>
              <w:pStyle w:val="TableParagraph"/>
              <w:spacing w:line="206" w:lineRule="exact"/>
              <w:ind w:left="64"/>
              <w:jc w:val="left"/>
              <w:rPr>
                <w:sz w:val="18"/>
              </w:rPr>
            </w:pPr>
            <w:r>
              <w:rPr>
                <w:sz w:val="18"/>
              </w:rPr>
              <w:t>TEXCALTITLAN</w:t>
            </w:r>
          </w:p>
        </w:tc>
        <w:tc>
          <w:tcPr>
            <w:tcW w:w="5564" w:type="dxa"/>
          </w:tcPr>
          <w:p>
            <w:pPr>
              <w:pStyle w:val="TableParagraph"/>
              <w:spacing w:line="206" w:lineRule="exact"/>
              <w:ind w:left="64"/>
              <w:jc w:val="left"/>
              <w:rPr>
                <w:sz w:val="18"/>
              </w:rPr>
            </w:pPr>
            <w:hyperlink r:id="rId315">
              <w:r>
                <w:rPr>
                  <w:sz w:val="18"/>
                  <w:u w:val="single"/>
                </w:rPr>
                <w:t>http://www.texcaltitlan.gob.mx/web/</w:t>
              </w:r>
            </w:hyperlink>
          </w:p>
        </w:tc>
      </w:tr>
      <w:tr>
        <w:trPr>
          <w:trHeight w:val="322" w:hRule="exact"/>
        </w:trPr>
        <w:tc>
          <w:tcPr>
            <w:tcW w:w="3061" w:type="dxa"/>
          </w:tcPr>
          <w:p>
            <w:pPr>
              <w:pStyle w:val="TableParagraph"/>
              <w:spacing w:line="206" w:lineRule="exact"/>
              <w:ind w:left="64"/>
              <w:jc w:val="left"/>
              <w:rPr>
                <w:sz w:val="18"/>
              </w:rPr>
            </w:pPr>
            <w:r>
              <w:rPr>
                <w:sz w:val="18"/>
              </w:rPr>
              <w:t>TEXCALYACAC</w:t>
            </w:r>
          </w:p>
        </w:tc>
        <w:tc>
          <w:tcPr>
            <w:tcW w:w="5564" w:type="dxa"/>
          </w:tcPr>
          <w:p>
            <w:pPr>
              <w:pStyle w:val="TableParagraph"/>
              <w:spacing w:line="206" w:lineRule="exact"/>
              <w:ind w:left="64"/>
              <w:jc w:val="left"/>
              <w:rPr>
                <w:sz w:val="18"/>
              </w:rPr>
            </w:pPr>
            <w:hyperlink r:id="rId316">
              <w:r>
                <w:rPr>
                  <w:sz w:val="18"/>
                  <w:u w:val="single"/>
                </w:rPr>
                <w:t>http://www.edomex.gob.mx/portal/page/portal/texcalyacac/municipio</w:t>
              </w:r>
            </w:hyperlink>
          </w:p>
        </w:tc>
      </w:tr>
      <w:tr>
        <w:trPr>
          <w:trHeight w:val="319" w:hRule="exact"/>
        </w:trPr>
        <w:tc>
          <w:tcPr>
            <w:tcW w:w="3061" w:type="dxa"/>
          </w:tcPr>
          <w:p>
            <w:pPr>
              <w:pStyle w:val="TableParagraph"/>
              <w:spacing w:line="206" w:lineRule="exact"/>
              <w:ind w:left="64"/>
              <w:jc w:val="left"/>
              <w:rPr>
                <w:sz w:val="18"/>
              </w:rPr>
            </w:pPr>
            <w:r>
              <w:rPr>
                <w:sz w:val="18"/>
              </w:rPr>
              <w:t>TEXCOCO</w:t>
            </w:r>
          </w:p>
        </w:tc>
        <w:tc>
          <w:tcPr>
            <w:tcW w:w="5564" w:type="dxa"/>
          </w:tcPr>
          <w:p>
            <w:pPr>
              <w:pStyle w:val="TableParagraph"/>
              <w:spacing w:line="206" w:lineRule="exact"/>
              <w:ind w:left="64"/>
              <w:jc w:val="left"/>
              <w:rPr>
                <w:sz w:val="18"/>
              </w:rPr>
            </w:pPr>
            <w:hyperlink r:id="rId317">
              <w:r>
                <w:rPr>
                  <w:sz w:val="18"/>
                  <w:u w:val="single"/>
                </w:rPr>
                <w:t>http://www.texcoco.gob.mx/</w:t>
              </w:r>
            </w:hyperlink>
          </w:p>
        </w:tc>
      </w:tr>
      <w:tr>
        <w:trPr>
          <w:trHeight w:val="322" w:hRule="exact"/>
        </w:trPr>
        <w:tc>
          <w:tcPr>
            <w:tcW w:w="3061" w:type="dxa"/>
          </w:tcPr>
          <w:p>
            <w:pPr>
              <w:pStyle w:val="TableParagraph"/>
              <w:spacing w:line="206" w:lineRule="exact"/>
              <w:ind w:left="64"/>
              <w:jc w:val="left"/>
              <w:rPr>
                <w:sz w:val="18"/>
              </w:rPr>
            </w:pPr>
            <w:r>
              <w:rPr>
                <w:sz w:val="18"/>
              </w:rPr>
              <w:t>TEZOYUCA</w:t>
            </w:r>
          </w:p>
        </w:tc>
        <w:tc>
          <w:tcPr>
            <w:tcW w:w="5564" w:type="dxa"/>
          </w:tcPr>
          <w:p>
            <w:pPr>
              <w:pStyle w:val="TableParagraph"/>
              <w:spacing w:line="206" w:lineRule="exact"/>
              <w:ind w:left="64"/>
              <w:jc w:val="left"/>
              <w:rPr>
                <w:sz w:val="18"/>
              </w:rPr>
            </w:pPr>
            <w:hyperlink r:id="rId318">
              <w:r>
                <w:rPr>
                  <w:sz w:val="18"/>
                  <w:u w:val="single"/>
                </w:rPr>
                <w:t>http://www.tezoyuca.gob.mx/</w:t>
              </w:r>
            </w:hyperlink>
          </w:p>
        </w:tc>
      </w:tr>
      <w:tr>
        <w:trPr>
          <w:trHeight w:val="319" w:hRule="exact"/>
        </w:trPr>
        <w:tc>
          <w:tcPr>
            <w:tcW w:w="3061" w:type="dxa"/>
          </w:tcPr>
          <w:p>
            <w:pPr>
              <w:pStyle w:val="TableParagraph"/>
              <w:spacing w:line="206" w:lineRule="exact"/>
              <w:ind w:left="64"/>
              <w:jc w:val="left"/>
              <w:rPr>
                <w:sz w:val="18"/>
              </w:rPr>
            </w:pPr>
            <w:r>
              <w:rPr>
                <w:sz w:val="18"/>
              </w:rPr>
              <w:t>TIANGUISTENCO*</w:t>
            </w:r>
          </w:p>
        </w:tc>
        <w:tc>
          <w:tcPr>
            <w:tcW w:w="5564" w:type="dxa"/>
          </w:tcPr>
          <w:p>
            <w:pPr>
              <w:pStyle w:val="TableParagraph"/>
              <w:spacing w:line="206" w:lineRule="exact"/>
              <w:ind w:left="64"/>
              <w:jc w:val="left"/>
              <w:rPr>
                <w:sz w:val="18"/>
              </w:rPr>
            </w:pPr>
            <w:hyperlink r:id="rId319">
              <w:r>
                <w:rPr>
                  <w:sz w:val="18"/>
                </w:rPr>
                <w:t>http://tianguistenco.gob.mx/web/inicio.php</w:t>
              </w:r>
            </w:hyperlink>
          </w:p>
        </w:tc>
      </w:tr>
      <w:tr>
        <w:trPr>
          <w:trHeight w:val="322" w:hRule="exact"/>
        </w:trPr>
        <w:tc>
          <w:tcPr>
            <w:tcW w:w="3061" w:type="dxa"/>
          </w:tcPr>
          <w:p>
            <w:pPr>
              <w:pStyle w:val="TableParagraph"/>
              <w:spacing w:line="207" w:lineRule="exact"/>
              <w:ind w:left="64"/>
              <w:jc w:val="left"/>
              <w:rPr>
                <w:sz w:val="18"/>
              </w:rPr>
            </w:pPr>
            <w:r>
              <w:rPr>
                <w:sz w:val="18"/>
              </w:rPr>
              <w:t>TIMILPAN*</w:t>
            </w:r>
          </w:p>
        </w:tc>
        <w:tc>
          <w:tcPr>
            <w:tcW w:w="5564" w:type="dxa"/>
          </w:tcPr>
          <w:p>
            <w:pPr>
              <w:pStyle w:val="TableParagraph"/>
              <w:spacing w:line="207" w:lineRule="exact"/>
              <w:ind w:left="64"/>
              <w:jc w:val="left"/>
              <w:rPr>
                <w:sz w:val="18"/>
              </w:rPr>
            </w:pPr>
            <w:hyperlink r:id="rId320">
              <w:r>
                <w:rPr>
                  <w:sz w:val="18"/>
                </w:rPr>
                <w:t>http://timilpan.org.mx/inicio.html</w:t>
              </w:r>
            </w:hyperlink>
          </w:p>
        </w:tc>
      </w:tr>
      <w:tr>
        <w:trPr>
          <w:trHeight w:val="319" w:hRule="exact"/>
        </w:trPr>
        <w:tc>
          <w:tcPr>
            <w:tcW w:w="3061" w:type="dxa"/>
          </w:tcPr>
          <w:p>
            <w:pPr>
              <w:pStyle w:val="TableParagraph"/>
              <w:spacing w:line="206" w:lineRule="exact"/>
              <w:ind w:left="64"/>
              <w:jc w:val="left"/>
              <w:rPr>
                <w:sz w:val="18"/>
              </w:rPr>
            </w:pPr>
            <w:r>
              <w:rPr>
                <w:sz w:val="18"/>
              </w:rPr>
              <w:t>TLALMANALCO</w:t>
            </w:r>
          </w:p>
        </w:tc>
        <w:tc>
          <w:tcPr>
            <w:tcW w:w="5564" w:type="dxa"/>
          </w:tcPr>
          <w:p>
            <w:pPr>
              <w:pStyle w:val="TableParagraph"/>
              <w:spacing w:line="206" w:lineRule="exact"/>
              <w:ind w:left="64"/>
              <w:jc w:val="left"/>
              <w:rPr>
                <w:sz w:val="18"/>
              </w:rPr>
            </w:pPr>
            <w:hyperlink r:id="rId321">
              <w:r>
                <w:rPr>
                  <w:sz w:val="18"/>
                  <w:u w:val="single"/>
                </w:rPr>
                <w:t>http://www.ayuntamientodetlalmanalco.gob.mx/</w:t>
              </w:r>
            </w:hyperlink>
          </w:p>
        </w:tc>
      </w:tr>
      <w:tr>
        <w:trPr>
          <w:trHeight w:val="322" w:hRule="exact"/>
        </w:trPr>
        <w:tc>
          <w:tcPr>
            <w:tcW w:w="3061" w:type="dxa"/>
          </w:tcPr>
          <w:p>
            <w:pPr>
              <w:pStyle w:val="TableParagraph"/>
              <w:spacing w:before="1"/>
              <w:ind w:left="64"/>
              <w:jc w:val="left"/>
              <w:rPr>
                <w:sz w:val="18"/>
              </w:rPr>
            </w:pPr>
            <w:r>
              <w:rPr>
                <w:sz w:val="18"/>
              </w:rPr>
              <w:t>TLANEPANTLA DE BAZ</w:t>
            </w:r>
          </w:p>
        </w:tc>
        <w:tc>
          <w:tcPr>
            <w:tcW w:w="5564" w:type="dxa"/>
          </w:tcPr>
          <w:p>
            <w:pPr>
              <w:pStyle w:val="TableParagraph"/>
              <w:spacing w:before="1"/>
              <w:ind w:left="64"/>
              <w:jc w:val="left"/>
              <w:rPr>
                <w:sz w:val="18"/>
              </w:rPr>
            </w:pPr>
            <w:hyperlink r:id="rId322">
              <w:r>
                <w:rPr>
                  <w:sz w:val="18"/>
                  <w:u w:val="single"/>
                </w:rPr>
                <w:t>http://www.tlalnepantla.gob.mx/portal/</w:t>
              </w:r>
            </w:hyperlink>
          </w:p>
        </w:tc>
      </w:tr>
      <w:tr>
        <w:trPr>
          <w:trHeight w:val="319" w:hRule="exact"/>
        </w:trPr>
        <w:tc>
          <w:tcPr>
            <w:tcW w:w="3061" w:type="dxa"/>
          </w:tcPr>
          <w:p>
            <w:pPr>
              <w:pStyle w:val="TableParagraph"/>
              <w:spacing w:line="206" w:lineRule="exact"/>
              <w:ind w:left="64"/>
              <w:jc w:val="left"/>
              <w:rPr>
                <w:sz w:val="18"/>
              </w:rPr>
            </w:pPr>
            <w:r>
              <w:rPr>
                <w:sz w:val="18"/>
              </w:rPr>
              <w:t>TLATLAYA</w:t>
            </w:r>
          </w:p>
        </w:tc>
        <w:tc>
          <w:tcPr>
            <w:tcW w:w="5564" w:type="dxa"/>
          </w:tcPr>
          <w:p>
            <w:pPr>
              <w:pStyle w:val="TableParagraph"/>
              <w:spacing w:line="206" w:lineRule="exact"/>
              <w:ind w:left="64"/>
              <w:jc w:val="left"/>
              <w:rPr>
                <w:sz w:val="18"/>
              </w:rPr>
            </w:pPr>
            <w:hyperlink r:id="rId323">
              <w:r>
                <w:rPr>
                  <w:sz w:val="18"/>
                  <w:u w:val="single"/>
                </w:rPr>
                <w:t>http://tlatlaya.gob.mx/web/</w:t>
              </w:r>
            </w:hyperlink>
          </w:p>
        </w:tc>
      </w:tr>
      <w:tr>
        <w:trPr>
          <w:trHeight w:val="322" w:hRule="exact"/>
        </w:trPr>
        <w:tc>
          <w:tcPr>
            <w:tcW w:w="3061" w:type="dxa"/>
          </w:tcPr>
          <w:p>
            <w:pPr>
              <w:pStyle w:val="TableParagraph"/>
              <w:spacing w:before="1"/>
              <w:ind w:left="64"/>
              <w:jc w:val="left"/>
              <w:rPr>
                <w:sz w:val="18"/>
              </w:rPr>
            </w:pPr>
            <w:r>
              <w:rPr>
                <w:sz w:val="18"/>
              </w:rPr>
              <w:t>TOLUCA</w:t>
            </w:r>
          </w:p>
        </w:tc>
        <w:tc>
          <w:tcPr>
            <w:tcW w:w="5564" w:type="dxa"/>
          </w:tcPr>
          <w:p>
            <w:pPr>
              <w:pStyle w:val="TableParagraph"/>
              <w:spacing w:before="1"/>
              <w:ind w:left="64"/>
              <w:jc w:val="left"/>
              <w:rPr>
                <w:sz w:val="18"/>
              </w:rPr>
            </w:pPr>
            <w:hyperlink r:id="rId324">
              <w:r>
                <w:rPr>
                  <w:sz w:val="18"/>
                  <w:u w:val="single"/>
                </w:rPr>
                <w:t>http://www.toluca.gob.mx/</w:t>
              </w:r>
            </w:hyperlink>
          </w:p>
        </w:tc>
      </w:tr>
      <w:tr>
        <w:trPr>
          <w:trHeight w:val="322" w:hRule="exact"/>
        </w:trPr>
        <w:tc>
          <w:tcPr>
            <w:tcW w:w="3061" w:type="dxa"/>
          </w:tcPr>
          <w:p>
            <w:pPr>
              <w:pStyle w:val="TableParagraph"/>
              <w:spacing w:line="206" w:lineRule="exact"/>
              <w:ind w:left="64"/>
              <w:jc w:val="left"/>
              <w:rPr>
                <w:sz w:val="18"/>
              </w:rPr>
            </w:pPr>
            <w:r>
              <w:rPr>
                <w:sz w:val="18"/>
              </w:rPr>
              <w:t>TONATICO</w:t>
            </w:r>
          </w:p>
        </w:tc>
        <w:tc>
          <w:tcPr>
            <w:tcW w:w="5564" w:type="dxa"/>
          </w:tcPr>
          <w:p>
            <w:pPr>
              <w:pStyle w:val="TableParagraph"/>
              <w:spacing w:line="206" w:lineRule="exact"/>
              <w:ind w:left="64"/>
              <w:jc w:val="left"/>
              <w:rPr>
                <w:sz w:val="18"/>
              </w:rPr>
            </w:pPr>
            <w:hyperlink r:id="rId325">
              <w:r>
                <w:rPr>
                  <w:sz w:val="18"/>
                  <w:u w:val="single"/>
                </w:rPr>
                <w:t>http://www.tonatico.gob.mx/</w:t>
              </w:r>
            </w:hyperlink>
          </w:p>
        </w:tc>
      </w:tr>
    </w:tbl>
    <w:p>
      <w:pPr>
        <w:spacing w:after="0" w:line="206" w:lineRule="exact"/>
        <w:jc w:val="left"/>
        <w:rPr>
          <w:sz w:val="18"/>
        </w:rPr>
        <w:sectPr>
          <w:pgSz w:w="12240" w:h="15840"/>
          <w:pgMar w:header="0" w:footer="975" w:top="1500" w:bottom="1160" w:left="1640" w:right="1720"/>
        </w:sectPr>
      </w:pPr>
    </w:p>
    <w:p>
      <w:pPr>
        <w:pStyle w:val="BodyText"/>
        <w:spacing w:before="7" w:after="1"/>
        <w:rPr>
          <w:rFonts w:ascii="Times New Roman"/>
          <w:sz w:val="22"/>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61"/>
        <w:gridCol w:w="5391"/>
      </w:tblGrid>
      <w:tr>
        <w:trPr>
          <w:trHeight w:val="320" w:hRule="exact"/>
        </w:trPr>
        <w:tc>
          <w:tcPr>
            <w:tcW w:w="8452" w:type="dxa"/>
            <w:gridSpan w:val="2"/>
            <w:shd w:val="clear" w:color="auto" w:fill="92D050"/>
          </w:tcPr>
          <w:p>
            <w:pPr>
              <w:pStyle w:val="TableParagraph"/>
              <w:spacing w:line="203" w:lineRule="exact"/>
              <w:ind w:left="275"/>
              <w:jc w:val="left"/>
              <w:rPr>
                <w:b/>
                <w:sz w:val="16"/>
              </w:rPr>
            </w:pPr>
            <w:r>
              <w:rPr>
                <w:b/>
                <w:sz w:val="18"/>
              </w:rPr>
              <w:t>Anexo 9. Municipios del Estado de México que cuentan con página web propia </w:t>
            </w:r>
            <w:r>
              <w:rPr>
                <w:b/>
                <w:sz w:val="16"/>
              </w:rPr>
              <w:t>(Finaliza tabla)</w:t>
            </w:r>
          </w:p>
        </w:tc>
      </w:tr>
      <w:tr>
        <w:trPr>
          <w:trHeight w:val="319" w:hRule="exact"/>
        </w:trPr>
        <w:tc>
          <w:tcPr>
            <w:tcW w:w="3061" w:type="dxa"/>
            <w:shd w:val="clear" w:color="auto" w:fill="92D050"/>
          </w:tcPr>
          <w:p>
            <w:pPr>
              <w:pStyle w:val="TableParagraph"/>
              <w:spacing w:line="201" w:lineRule="exact"/>
              <w:ind w:left="988"/>
              <w:jc w:val="left"/>
              <w:rPr>
                <w:b/>
                <w:sz w:val="18"/>
              </w:rPr>
            </w:pPr>
            <w:r>
              <w:rPr>
                <w:b/>
                <w:sz w:val="18"/>
              </w:rPr>
              <w:t>MUNICIPIOS</w:t>
            </w:r>
          </w:p>
        </w:tc>
        <w:tc>
          <w:tcPr>
            <w:tcW w:w="5391" w:type="dxa"/>
            <w:shd w:val="clear" w:color="auto" w:fill="92D050"/>
          </w:tcPr>
          <w:p>
            <w:pPr>
              <w:pStyle w:val="TableParagraph"/>
              <w:spacing w:line="201" w:lineRule="exact"/>
              <w:ind w:left="2132" w:right="2135"/>
              <w:rPr>
                <w:b/>
                <w:sz w:val="18"/>
              </w:rPr>
            </w:pPr>
            <w:r>
              <w:rPr>
                <w:b/>
                <w:sz w:val="18"/>
              </w:rPr>
              <w:t>MUNICIPIOS</w:t>
            </w:r>
          </w:p>
        </w:tc>
      </w:tr>
      <w:tr>
        <w:trPr>
          <w:trHeight w:val="322" w:hRule="exact"/>
        </w:trPr>
        <w:tc>
          <w:tcPr>
            <w:tcW w:w="3061" w:type="dxa"/>
          </w:tcPr>
          <w:p>
            <w:pPr>
              <w:pStyle w:val="TableParagraph"/>
              <w:spacing w:before="1"/>
              <w:ind w:left="64"/>
              <w:jc w:val="left"/>
              <w:rPr>
                <w:sz w:val="18"/>
              </w:rPr>
            </w:pPr>
            <w:r>
              <w:rPr>
                <w:sz w:val="18"/>
              </w:rPr>
              <w:t>TULTEPEC</w:t>
            </w:r>
          </w:p>
        </w:tc>
        <w:tc>
          <w:tcPr>
            <w:tcW w:w="5391" w:type="dxa"/>
          </w:tcPr>
          <w:p>
            <w:pPr>
              <w:pStyle w:val="TableParagraph"/>
              <w:spacing w:before="1"/>
              <w:ind w:left="64"/>
              <w:jc w:val="left"/>
              <w:rPr>
                <w:sz w:val="18"/>
              </w:rPr>
            </w:pPr>
            <w:hyperlink r:id="rId326">
              <w:r>
                <w:rPr>
                  <w:sz w:val="18"/>
                  <w:u w:val="single"/>
                </w:rPr>
                <w:t>http://www.tultepec.gob.mx/</w:t>
              </w:r>
            </w:hyperlink>
          </w:p>
        </w:tc>
      </w:tr>
      <w:tr>
        <w:trPr>
          <w:trHeight w:val="319" w:hRule="exact"/>
        </w:trPr>
        <w:tc>
          <w:tcPr>
            <w:tcW w:w="3061" w:type="dxa"/>
          </w:tcPr>
          <w:p>
            <w:pPr>
              <w:pStyle w:val="TableParagraph"/>
              <w:spacing w:line="206" w:lineRule="exact"/>
              <w:ind w:left="64"/>
              <w:jc w:val="left"/>
              <w:rPr>
                <w:sz w:val="18"/>
              </w:rPr>
            </w:pPr>
            <w:r>
              <w:rPr>
                <w:sz w:val="18"/>
              </w:rPr>
              <w:t>TULTITLAN</w:t>
            </w:r>
          </w:p>
        </w:tc>
        <w:tc>
          <w:tcPr>
            <w:tcW w:w="5391" w:type="dxa"/>
          </w:tcPr>
          <w:p>
            <w:pPr>
              <w:pStyle w:val="TableParagraph"/>
              <w:spacing w:line="206" w:lineRule="exact"/>
              <w:ind w:left="64"/>
              <w:jc w:val="left"/>
              <w:rPr>
                <w:sz w:val="18"/>
              </w:rPr>
            </w:pPr>
            <w:hyperlink r:id="rId327">
              <w:r>
                <w:rPr>
                  <w:sz w:val="18"/>
                  <w:u w:val="single"/>
                </w:rPr>
                <w:t>http://www.tultitlan.gob.mx/</w:t>
              </w:r>
            </w:hyperlink>
          </w:p>
        </w:tc>
      </w:tr>
      <w:tr>
        <w:trPr>
          <w:trHeight w:val="322" w:hRule="exact"/>
        </w:trPr>
        <w:tc>
          <w:tcPr>
            <w:tcW w:w="3061" w:type="dxa"/>
          </w:tcPr>
          <w:p>
            <w:pPr>
              <w:pStyle w:val="TableParagraph"/>
              <w:spacing w:before="1"/>
              <w:ind w:left="64"/>
              <w:jc w:val="left"/>
              <w:rPr>
                <w:sz w:val="18"/>
              </w:rPr>
            </w:pPr>
            <w:r>
              <w:rPr>
                <w:sz w:val="18"/>
              </w:rPr>
              <w:t>VALLE DE BRAVO</w:t>
            </w:r>
          </w:p>
        </w:tc>
        <w:tc>
          <w:tcPr>
            <w:tcW w:w="5391" w:type="dxa"/>
          </w:tcPr>
          <w:p>
            <w:pPr>
              <w:pStyle w:val="TableParagraph"/>
              <w:spacing w:before="1"/>
              <w:ind w:left="64"/>
              <w:jc w:val="left"/>
              <w:rPr>
                <w:sz w:val="18"/>
              </w:rPr>
            </w:pPr>
            <w:hyperlink r:id="rId328">
              <w:r>
                <w:rPr>
                  <w:sz w:val="18"/>
                  <w:u w:val="single"/>
                </w:rPr>
                <w:t>http://valledebravo.gob.mx/</w:t>
              </w:r>
            </w:hyperlink>
          </w:p>
        </w:tc>
      </w:tr>
      <w:tr>
        <w:trPr>
          <w:trHeight w:val="322" w:hRule="exact"/>
        </w:trPr>
        <w:tc>
          <w:tcPr>
            <w:tcW w:w="3061" w:type="dxa"/>
          </w:tcPr>
          <w:p>
            <w:pPr>
              <w:pStyle w:val="TableParagraph"/>
              <w:spacing w:line="206" w:lineRule="exact"/>
              <w:ind w:left="64"/>
              <w:jc w:val="left"/>
              <w:rPr>
                <w:sz w:val="18"/>
              </w:rPr>
            </w:pPr>
            <w:r>
              <w:rPr>
                <w:sz w:val="18"/>
              </w:rPr>
              <w:t>VILLA DE ALLENDE</w:t>
            </w:r>
          </w:p>
        </w:tc>
        <w:tc>
          <w:tcPr>
            <w:tcW w:w="5391" w:type="dxa"/>
          </w:tcPr>
          <w:p>
            <w:pPr>
              <w:pStyle w:val="TableParagraph"/>
              <w:spacing w:line="206" w:lineRule="exact"/>
              <w:ind w:left="64"/>
              <w:jc w:val="left"/>
              <w:rPr>
                <w:sz w:val="18"/>
              </w:rPr>
            </w:pPr>
            <w:hyperlink r:id="rId329">
              <w:r>
                <w:rPr>
                  <w:sz w:val="18"/>
                  <w:u w:val="single"/>
                </w:rPr>
                <w:t>http://www.villadeallende.gob.mx/web/</w:t>
              </w:r>
            </w:hyperlink>
          </w:p>
        </w:tc>
      </w:tr>
      <w:tr>
        <w:trPr>
          <w:trHeight w:val="319" w:hRule="exact"/>
        </w:trPr>
        <w:tc>
          <w:tcPr>
            <w:tcW w:w="3061" w:type="dxa"/>
          </w:tcPr>
          <w:p>
            <w:pPr>
              <w:pStyle w:val="TableParagraph"/>
              <w:spacing w:line="206" w:lineRule="exact"/>
              <w:ind w:left="64"/>
              <w:jc w:val="left"/>
              <w:rPr>
                <w:sz w:val="18"/>
              </w:rPr>
            </w:pPr>
            <w:r>
              <w:rPr>
                <w:sz w:val="18"/>
              </w:rPr>
              <w:t>VILLA DEL CARBON</w:t>
            </w:r>
          </w:p>
        </w:tc>
        <w:tc>
          <w:tcPr>
            <w:tcW w:w="5391" w:type="dxa"/>
          </w:tcPr>
          <w:p>
            <w:pPr>
              <w:pStyle w:val="TableParagraph"/>
              <w:spacing w:line="206" w:lineRule="exact"/>
              <w:ind w:left="64"/>
              <w:jc w:val="left"/>
              <w:rPr>
                <w:sz w:val="18"/>
              </w:rPr>
            </w:pPr>
            <w:hyperlink r:id="rId330">
              <w:r>
                <w:rPr>
                  <w:sz w:val="18"/>
                  <w:u w:val="single"/>
                </w:rPr>
                <w:t>http://www.villadelcarbon.gob.mx/</w:t>
              </w:r>
            </w:hyperlink>
          </w:p>
        </w:tc>
      </w:tr>
      <w:tr>
        <w:trPr>
          <w:trHeight w:val="322" w:hRule="exact"/>
        </w:trPr>
        <w:tc>
          <w:tcPr>
            <w:tcW w:w="3061" w:type="dxa"/>
          </w:tcPr>
          <w:p>
            <w:pPr>
              <w:pStyle w:val="TableParagraph"/>
              <w:spacing w:line="206" w:lineRule="exact"/>
              <w:ind w:left="64"/>
              <w:jc w:val="left"/>
              <w:rPr>
                <w:sz w:val="18"/>
              </w:rPr>
            </w:pPr>
            <w:r>
              <w:rPr>
                <w:sz w:val="18"/>
              </w:rPr>
              <w:t>VILLA GUERRERO</w:t>
            </w:r>
          </w:p>
        </w:tc>
        <w:tc>
          <w:tcPr>
            <w:tcW w:w="5391" w:type="dxa"/>
          </w:tcPr>
          <w:p>
            <w:pPr>
              <w:pStyle w:val="TableParagraph"/>
              <w:spacing w:line="206" w:lineRule="exact"/>
              <w:ind w:left="64"/>
              <w:jc w:val="left"/>
              <w:rPr>
                <w:sz w:val="18"/>
              </w:rPr>
            </w:pPr>
            <w:hyperlink r:id="rId331">
              <w:r>
                <w:rPr>
                  <w:sz w:val="18"/>
                  <w:u w:val="single"/>
                </w:rPr>
                <w:t>http://www.villaguerrero.gob.mx/web/</w:t>
              </w:r>
            </w:hyperlink>
          </w:p>
        </w:tc>
      </w:tr>
      <w:tr>
        <w:trPr>
          <w:trHeight w:val="319" w:hRule="exact"/>
        </w:trPr>
        <w:tc>
          <w:tcPr>
            <w:tcW w:w="3061" w:type="dxa"/>
          </w:tcPr>
          <w:p>
            <w:pPr>
              <w:pStyle w:val="TableParagraph"/>
              <w:spacing w:line="206" w:lineRule="exact"/>
              <w:ind w:left="64"/>
              <w:jc w:val="left"/>
              <w:rPr>
                <w:sz w:val="18"/>
              </w:rPr>
            </w:pPr>
            <w:r>
              <w:rPr>
                <w:sz w:val="18"/>
              </w:rPr>
              <w:t>VILLA VICTORIA</w:t>
            </w:r>
          </w:p>
        </w:tc>
        <w:tc>
          <w:tcPr>
            <w:tcW w:w="5391" w:type="dxa"/>
          </w:tcPr>
          <w:p>
            <w:pPr>
              <w:pStyle w:val="TableParagraph"/>
              <w:spacing w:line="206" w:lineRule="exact"/>
              <w:ind w:left="64"/>
              <w:jc w:val="left"/>
              <w:rPr>
                <w:sz w:val="18"/>
              </w:rPr>
            </w:pPr>
            <w:hyperlink r:id="rId332">
              <w:r>
                <w:rPr>
                  <w:sz w:val="18"/>
                  <w:u w:val="single"/>
                </w:rPr>
                <w:t>http://www.villavictoria.gob.mx/web/</w:t>
              </w:r>
            </w:hyperlink>
          </w:p>
        </w:tc>
      </w:tr>
      <w:tr>
        <w:trPr>
          <w:trHeight w:val="322" w:hRule="exact"/>
        </w:trPr>
        <w:tc>
          <w:tcPr>
            <w:tcW w:w="3061" w:type="dxa"/>
          </w:tcPr>
          <w:p>
            <w:pPr>
              <w:pStyle w:val="TableParagraph"/>
              <w:spacing w:line="206" w:lineRule="exact"/>
              <w:ind w:left="64"/>
              <w:jc w:val="left"/>
              <w:rPr>
                <w:sz w:val="18"/>
              </w:rPr>
            </w:pPr>
            <w:r>
              <w:rPr>
                <w:sz w:val="18"/>
              </w:rPr>
              <w:t>XONACATLAN</w:t>
            </w:r>
          </w:p>
        </w:tc>
        <w:tc>
          <w:tcPr>
            <w:tcW w:w="5391" w:type="dxa"/>
          </w:tcPr>
          <w:p>
            <w:pPr>
              <w:pStyle w:val="TableParagraph"/>
              <w:spacing w:line="206" w:lineRule="exact"/>
              <w:ind w:left="64"/>
              <w:jc w:val="left"/>
              <w:rPr>
                <w:sz w:val="18"/>
              </w:rPr>
            </w:pPr>
            <w:hyperlink r:id="rId333">
              <w:r>
                <w:rPr>
                  <w:sz w:val="18"/>
                  <w:u w:val="single"/>
                </w:rPr>
                <w:t>http://www.xonacatlan.gob.mx/</w:t>
              </w:r>
            </w:hyperlink>
          </w:p>
        </w:tc>
      </w:tr>
      <w:tr>
        <w:trPr>
          <w:trHeight w:val="320" w:hRule="exact"/>
        </w:trPr>
        <w:tc>
          <w:tcPr>
            <w:tcW w:w="3061" w:type="dxa"/>
          </w:tcPr>
          <w:p>
            <w:pPr>
              <w:pStyle w:val="TableParagraph"/>
              <w:spacing w:line="206" w:lineRule="exact"/>
              <w:ind w:left="64"/>
              <w:jc w:val="left"/>
              <w:rPr>
                <w:sz w:val="18"/>
              </w:rPr>
            </w:pPr>
            <w:r>
              <w:rPr>
                <w:sz w:val="18"/>
              </w:rPr>
              <w:t>ZACAZONAPAN</w:t>
            </w:r>
          </w:p>
        </w:tc>
        <w:tc>
          <w:tcPr>
            <w:tcW w:w="5391" w:type="dxa"/>
          </w:tcPr>
          <w:p>
            <w:pPr>
              <w:pStyle w:val="TableParagraph"/>
              <w:spacing w:line="206" w:lineRule="exact"/>
              <w:ind w:left="64"/>
              <w:jc w:val="left"/>
              <w:rPr>
                <w:sz w:val="18"/>
              </w:rPr>
            </w:pPr>
            <w:hyperlink r:id="rId334">
              <w:r>
                <w:rPr>
                  <w:sz w:val="18"/>
                  <w:u w:val="single"/>
                </w:rPr>
                <w:t>http://zacazonapan.gob.mx/Portal/</w:t>
              </w:r>
            </w:hyperlink>
          </w:p>
        </w:tc>
      </w:tr>
      <w:tr>
        <w:trPr>
          <w:trHeight w:val="322" w:hRule="exact"/>
        </w:trPr>
        <w:tc>
          <w:tcPr>
            <w:tcW w:w="3061" w:type="dxa"/>
          </w:tcPr>
          <w:p>
            <w:pPr>
              <w:pStyle w:val="TableParagraph"/>
              <w:spacing w:line="206" w:lineRule="exact"/>
              <w:ind w:left="64"/>
              <w:jc w:val="left"/>
              <w:rPr>
                <w:sz w:val="18"/>
              </w:rPr>
            </w:pPr>
            <w:r>
              <w:rPr>
                <w:sz w:val="18"/>
              </w:rPr>
              <w:t>ZACUALPAN</w:t>
            </w:r>
          </w:p>
        </w:tc>
        <w:tc>
          <w:tcPr>
            <w:tcW w:w="5391" w:type="dxa"/>
          </w:tcPr>
          <w:p>
            <w:pPr>
              <w:pStyle w:val="TableParagraph"/>
              <w:spacing w:line="206" w:lineRule="exact"/>
              <w:ind w:left="64"/>
              <w:jc w:val="left"/>
              <w:rPr>
                <w:sz w:val="18"/>
              </w:rPr>
            </w:pPr>
            <w:hyperlink r:id="rId335">
              <w:r>
                <w:rPr>
                  <w:sz w:val="18"/>
                  <w:u w:val="single"/>
                </w:rPr>
                <w:t>http://www.municipiozacualpandeamilpas.gob.mx/</w:t>
              </w:r>
            </w:hyperlink>
          </w:p>
        </w:tc>
      </w:tr>
      <w:tr>
        <w:trPr>
          <w:trHeight w:val="319" w:hRule="exact"/>
        </w:trPr>
        <w:tc>
          <w:tcPr>
            <w:tcW w:w="3061" w:type="dxa"/>
          </w:tcPr>
          <w:p>
            <w:pPr>
              <w:pStyle w:val="TableParagraph"/>
              <w:spacing w:line="206" w:lineRule="exact"/>
              <w:ind w:left="64"/>
              <w:jc w:val="left"/>
              <w:rPr>
                <w:sz w:val="18"/>
              </w:rPr>
            </w:pPr>
            <w:r>
              <w:rPr>
                <w:sz w:val="18"/>
              </w:rPr>
              <w:t>ZINACANTEPEC</w:t>
            </w:r>
          </w:p>
        </w:tc>
        <w:tc>
          <w:tcPr>
            <w:tcW w:w="5391" w:type="dxa"/>
          </w:tcPr>
          <w:p>
            <w:pPr>
              <w:pStyle w:val="TableParagraph"/>
              <w:spacing w:line="206" w:lineRule="exact"/>
              <w:ind w:left="64"/>
              <w:jc w:val="left"/>
              <w:rPr>
                <w:sz w:val="18"/>
              </w:rPr>
            </w:pPr>
            <w:hyperlink r:id="rId336">
              <w:r>
                <w:rPr>
                  <w:sz w:val="18"/>
                  <w:u w:val="single"/>
                </w:rPr>
                <w:t>http://www.zinacantepec.gob.mx/index.html</w:t>
              </w:r>
            </w:hyperlink>
          </w:p>
        </w:tc>
      </w:tr>
      <w:tr>
        <w:trPr>
          <w:trHeight w:val="322" w:hRule="exact"/>
        </w:trPr>
        <w:tc>
          <w:tcPr>
            <w:tcW w:w="3061" w:type="dxa"/>
          </w:tcPr>
          <w:p>
            <w:pPr>
              <w:pStyle w:val="TableParagraph"/>
              <w:spacing w:line="206" w:lineRule="exact"/>
              <w:ind w:left="64"/>
              <w:jc w:val="left"/>
              <w:rPr>
                <w:sz w:val="18"/>
              </w:rPr>
            </w:pPr>
            <w:r>
              <w:rPr>
                <w:sz w:val="18"/>
              </w:rPr>
              <w:t>ZUMPAHUACAN</w:t>
            </w:r>
          </w:p>
        </w:tc>
        <w:tc>
          <w:tcPr>
            <w:tcW w:w="5391" w:type="dxa"/>
          </w:tcPr>
          <w:p>
            <w:pPr>
              <w:pStyle w:val="TableParagraph"/>
              <w:spacing w:line="206" w:lineRule="exact"/>
              <w:ind w:left="64"/>
              <w:jc w:val="left"/>
              <w:rPr>
                <w:sz w:val="18"/>
              </w:rPr>
            </w:pPr>
            <w:hyperlink r:id="rId337">
              <w:r>
                <w:rPr>
                  <w:sz w:val="18"/>
                  <w:u w:val="single"/>
                </w:rPr>
                <w:t>http://www.zumpahuacan.gob.mx/web/</w:t>
              </w:r>
            </w:hyperlink>
          </w:p>
        </w:tc>
      </w:tr>
      <w:tr>
        <w:trPr>
          <w:trHeight w:val="319" w:hRule="exact"/>
        </w:trPr>
        <w:tc>
          <w:tcPr>
            <w:tcW w:w="3061" w:type="dxa"/>
          </w:tcPr>
          <w:p>
            <w:pPr>
              <w:pStyle w:val="TableParagraph"/>
              <w:spacing w:line="206" w:lineRule="exact"/>
              <w:ind w:left="64"/>
              <w:jc w:val="left"/>
              <w:rPr>
                <w:sz w:val="18"/>
              </w:rPr>
            </w:pPr>
            <w:r>
              <w:rPr>
                <w:sz w:val="18"/>
              </w:rPr>
              <w:t>ZUMPANGO</w:t>
            </w:r>
          </w:p>
        </w:tc>
        <w:tc>
          <w:tcPr>
            <w:tcW w:w="5391" w:type="dxa"/>
          </w:tcPr>
          <w:p>
            <w:pPr>
              <w:pStyle w:val="TableParagraph"/>
              <w:spacing w:line="206" w:lineRule="exact"/>
              <w:ind w:left="64"/>
              <w:jc w:val="left"/>
              <w:rPr>
                <w:sz w:val="18"/>
              </w:rPr>
            </w:pPr>
            <w:hyperlink r:id="rId338">
              <w:r>
                <w:rPr>
                  <w:sz w:val="18"/>
                  <w:u w:val="single"/>
                </w:rPr>
                <w:t>http://zumpango.gob.mx/</w:t>
              </w:r>
            </w:hyperlink>
          </w:p>
        </w:tc>
      </w:tr>
      <w:tr>
        <w:trPr>
          <w:trHeight w:val="322" w:hRule="exact"/>
        </w:trPr>
        <w:tc>
          <w:tcPr>
            <w:tcW w:w="3061" w:type="dxa"/>
          </w:tcPr>
          <w:p>
            <w:pPr>
              <w:pStyle w:val="TableParagraph"/>
              <w:spacing w:line="206" w:lineRule="exact"/>
              <w:ind w:left="64"/>
              <w:jc w:val="left"/>
              <w:rPr>
                <w:sz w:val="18"/>
              </w:rPr>
            </w:pPr>
            <w:r>
              <w:rPr>
                <w:sz w:val="18"/>
              </w:rPr>
              <w:t>CUALTITLAN IZCALLI</w:t>
            </w:r>
          </w:p>
        </w:tc>
        <w:tc>
          <w:tcPr>
            <w:tcW w:w="5391" w:type="dxa"/>
          </w:tcPr>
          <w:p>
            <w:pPr>
              <w:pStyle w:val="TableParagraph"/>
              <w:spacing w:line="206" w:lineRule="exact"/>
              <w:ind w:left="64"/>
              <w:jc w:val="left"/>
              <w:rPr>
                <w:sz w:val="18"/>
              </w:rPr>
            </w:pPr>
            <w:hyperlink r:id="rId339">
              <w:r>
                <w:rPr>
                  <w:sz w:val="18"/>
                  <w:u w:val="single"/>
                </w:rPr>
                <w:t>http://www.cuautitlanizcalli.gob.mx/</w:t>
              </w:r>
            </w:hyperlink>
          </w:p>
        </w:tc>
      </w:tr>
      <w:tr>
        <w:trPr>
          <w:trHeight w:val="631" w:hRule="exact"/>
        </w:trPr>
        <w:tc>
          <w:tcPr>
            <w:tcW w:w="3061" w:type="dxa"/>
          </w:tcPr>
          <w:p>
            <w:pPr>
              <w:pStyle w:val="TableParagraph"/>
              <w:spacing w:line="360" w:lineRule="auto"/>
              <w:ind w:left="64" w:right="1306"/>
              <w:jc w:val="left"/>
              <w:rPr>
                <w:sz w:val="18"/>
              </w:rPr>
            </w:pPr>
            <w:r>
              <w:rPr>
                <w:sz w:val="18"/>
              </w:rPr>
              <w:t>VALLE DE CHALCO SOLIDARIDAD</w:t>
            </w:r>
          </w:p>
        </w:tc>
        <w:tc>
          <w:tcPr>
            <w:tcW w:w="5391" w:type="dxa"/>
          </w:tcPr>
          <w:p>
            <w:pPr>
              <w:pStyle w:val="TableParagraph"/>
              <w:spacing w:before="9"/>
              <w:jc w:val="left"/>
              <w:rPr>
                <w:rFonts w:ascii="Times New Roman"/>
                <w:sz w:val="26"/>
              </w:rPr>
            </w:pPr>
          </w:p>
          <w:p>
            <w:pPr>
              <w:pStyle w:val="TableParagraph"/>
              <w:ind w:left="64"/>
              <w:jc w:val="left"/>
              <w:rPr>
                <w:sz w:val="18"/>
              </w:rPr>
            </w:pPr>
            <w:hyperlink r:id="rId340">
              <w:r>
                <w:rPr>
                  <w:sz w:val="18"/>
                  <w:u w:val="single"/>
                </w:rPr>
                <w:t>http://valledechalco.edomex.gob.mx/</w:t>
              </w:r>
            </w:hyperlink>
          </w:p>
        </w:tc>
      </w:tr>
      <w:tr>
        <w:trPr>
          <w:trHeight w:val="319" w:hRule="exact"/>
        </w:trPr>
        <w:tc>
          <w:tcPr>
            <w:tcW w:w="3061" w:type="dxa"/>
          </w:tcPr>
          <w:p>
            <w:pPr>
              <w:pStyle w:val="TableParagraph"/>
              <w:spacing w:line="206" w:lineRule="exact"/>
              <w:ind w:left="64"/>
              <w:jc w:val="left"/>
              <w:rPr>
                <w:sz w:val="18"/>
              </w:rPr>
            </w:pPr>
            <w:r>
              <w:rPr>
                <w:sz w:val="18"/>
              </w:rPr>
              <w:t>LUVIANOS</w:t>
            </w:r>
          </w:p>
        </w:tc>
        <w:tc>
          <w:tcPr>
            <w:tcW w:w="5391" w:type="dxa"/>
          </w:tcPr>
          <w:p>
            <w:pPr>
              <w:pStyle w:val="TableParagraph"/>
              <w:spacing w:line="206" w:lineRule="exact"/>
              <w:ind w:left="64"/>
              <w:jc w:val="left"/>
              <w:rPr>
                <w:sz w:val="18"/>
              </w:rPr>
            </w:pPr>
            <w:hyperlink r:id="rId341">
              <w:r>
                <w:rPr>
                  <w:sz w:val="18"/>
                  <w:u w:val="single"/>
                </w:rPr>
                <w:t>http://www.luvianos.gob.mx/web/</w:t>
              </w:r>
            </w:hyperlink>
          </w:p>
        </w:tc>
      </w:tr>
      <w:tr>
        <w:trPr>
          <w:trHeight w:val="322" w:hRule="exact"/>
        </w:trPr>
        <w:tc>
          <w:tcPr>
            <w:tcW w:w="3061" w:type="dxa"/>
          </w:tcPr>
          <w:p>
            <w:pPr>
              <w:pStyle w:val="TableParagraph"/>
              <w:spacing w:line="206" w:lineRule="exact"/>
              <w:ind w:left="64"/>
              <w:jc w:val="left"/>
              <w:rPr>
                <w:sz w:val="18"/>
              </w:rPr>
            </w:pPr>
            <w:r>
              <w:rPr>
                <w:sz w:val="18"/>
              </w:rPr>
              <w:t>SAN JOSE DEL RINCON</w:t>
            </w:r>
          </w:p>
        </w:tc>
        <w:tc>
          <w:tcPr>
            <w:tcW w:w="5391" w:type="dxa"/>
          </w:tcPr>
          <w:p>
            <w:pPr>
              <w:pStyle w:val="TableParagraph"/>
              <w:spacing w:line="206" w:lineRule="exact"/>
              <w:ind w:left="64"/>
              <w:jc w:val="left"/>
              <w:rPr>
                <w:sz w:val="18"/>
              </w:rPr>
            </w:pPr>
            <w:hyperlink r:id="rId342">
              <w:r>
                <w:rPr>
                  <w:sz w:val="18"/>
                  <w:u w:val="single"/>
                </w:rPr>
                <w:t>http://www.sanjosedelrincon.gob.mx/</w:t>
              </w:r>
            </w:hyperlink>
          </w:p>
        </w:tc>
      </w:tr>
      <w:tr>
        <w:trPr>
          <w:trHeight w:val="319" w:hRule="exact"/>
        </w:trPr>
        <w:tc>
          <w:tcPr>
            <w:tcW w:w="3061" w:type="dxa"/>
          </w:tcPr>
          <w:p>
            <w:pPr>
              <w:pStyle w:val="TableParagraph"/>
              <w:spacing w:line="206" w:lineRule="exact"/>
              <w:ind w:left="64"/>
              <w:jc w:val="left"/>
              <w:rPr>
                <w:sz w:val="18"/>
              </w:rPr>
            </w:pPr>
            <w:r>
              <w:rPr>
                <w:sz w:val="18"/>
              </w:rPr>
              <w:t>TONANITLA</w:t>
            </w:r>
          </w:p>
        </w:tc>
        <w:tc>
          <w:tcPr>
            <w:tcW w:w="5391" w:type="dxa"/>
          </w:tcPr>
          <w:p>
            <w:pPr>
              <w:pStyle w:val="TableParagraph"/>
              <w:spacing w:line="206" w:lineRule="exact"/>
              <w:ind w:left="64"/>
              <w:jc w:val="left"/>
              <w:rPr>
                <w:sz w:val="18"/>
              </w:rPr>
            </w:pPr>
            <w:hyperlink r:id="rId343">
              <w:r>
                <w:rPr>
                  <w:sz w:val="18"/>
                  <w:u w:val="single"/>
                </w:rPr>
                <w:t>http://www.tonanitla.gob.mx/web/</w:t>
              </w:r>
            </w:hyperlink>
          </w:p>
        </w:tc>
      </w:tr>
    </w:tbl>
    <w:p>
      <w:pPr>
        <w:spacing w:line="242" w:lineRule="auto" w:before="0"/>
        <w:ind w:left="193" w:right="0" w:firstLine="0"/>
        <w:jc w:val="left"/>
        <w:rPr>
          <w:sz w:val="16"/>
        </w:rPr>
      </w:pPr>
      <w:r>
        <w:rPr>
          <w:sz w:val="16"/>
        </w:rPr>
        <w:t>Fuente:</w:t>
      </w:r>
      <w:r>
        <w:rPr>
          <w:spacing w:val="-11"/>
          <w:sz w:val="16"/>
        </w:rPr>
        <w:t> </w:t>
      </w:r>
      <w:r>
        <w:rPr>
          <w:sz w:val="16"/>
        </w:rPr>
        <w:t>Elaboración</w:t>
      </w:r>
      <w:r>
        <w:rPr>
          <w:spacing w:val="-12"/>
          <w:sz w:val="16"/>
        </w:rPr>
        <w:t> </w:t>
      </w:r>
      <w:r>
        <w:rPr>
          <w:sz w:val="16"/>
        </w:rPr>
        <w:t>propia</w:t>
      </w:r>
      <w:r>
        <w:rPr>
          <w:spacing w:val="-12"/>
          <w:sz w:val="16"/>
        </w:rPr>
        <w:t> </w:t>
      </w:r>
      <w:r>
        <w:rPr>
          <w:sz w:val="16"/>
        </w:rPr>
        <w:t>con</w:t>
      </w:r>
      <w:r>
        <w:rPr>
          <w:spacing w:val="-11"/>
          <w:sz w:val="16"/>
        </w:rPr>
        <w:t> </w:t>
      </w:r>
      <w:r>
        <w:rPr>
          <w:sz w:val="16"/>
        </w:rPr>
        <w:t>base</w:t>
      </w:r>
      <w:r>
        <w:rPr>
          <w:spacing w:val="-12"/>
          <w:sz w:val="16"/>
        </w:rPr>
        <w:t> </w:t>
      </w:r>
      <w:r>
        <w:rPr>
          <w:sz w:val="16"/>
        </w:rPr>
        <w:t>en</w:t>
      </w:r>
      <w:r>
        <w:rPr>
          <w:spacing w:val="-10"/>
          <w:sz w:val="16"/>
        </w:rPr>
        <w:t> </w:t>
      </w:r>
      <w:r>
        <w:rPr>
          <w:sz w:val="16"/>
        </w:rPr>
        <w:t>la</w:t>
      </w:r>
      <w:r>
        <w:rPr>
          <w:spacing w:val="-12"/>
          <w:sz w:val="16"/>
        </w:rPr>
        <w:t> </w:t>
      </w:r>
      <w:r>
        <w:rPr>
          <w:sz w:val="16"/>
        </w:rPr>
        <w:t>revisión</w:t>
      </w:r>
      <w:r>
        <w:rPr>
          <w:spacing w:val="-12"/>
          <w:sz w:val="16"/>
        </w:rPr>
        <w:t> </w:t>
      </w:r>
      <w:r>
        <w:rPr>
          <w:sz w:val="16"/>
        </w:rPr>
        <w:t>de</w:t>
      </w:r>
      <w:r>
        <w:rPr>
          <w:spacing w:val="-10"/>
          <w:sz w:val="16"/>
        </w:rPr>
        <w:t> </w:t>
      </w:r>
      <w:r>
        <w:rPr>
          <w:sz w:val="16"/>
        </w:rPr>
        <w:t>portales</w:t>
      </w:r>
      <w:r>
        <w:rPr>
          <w:spacing w:val="-11"/>
          <w:sz w:val="16"/>
        </w:rPr>
        <w:t> </w:t>
      </w:r>
      <w:r>
        <w:rPr>
          <w:sz w:val="16"/>
        </w:rPr>
        <w:t>web</w:t>
      </w:r>
      <w:r>
        <w:rPr>
          <w:spacing w:val="-10"/>
          <w:sz w:val="16"/>
        </w:rPr>
        <w:t> </w:t>
      </w:r>
      <w:r>
        <w:rPr>
          <w:sz w:val="16"/>
        </w:rPr>
        <w:t>de</w:t>
      </w:r>
      <w:r>
        <w:rPr>
          <w:spacing w:val="-10"/>
          <w:sz w:val="16"/>
        </w:rPr>
        <w:t> </w:t>
      </w:r>
      <w:r>
        <w:rPr>
          <w:sz w:val="16"/>
        </w:rPr>
        <w:t>los</w:t>
      </w:r>
      <w:r>
        <w:rPr>
          <w:spacing w:val="-11"/>
          <w:sz w:val="16"/>
        </w:rPr>
        <w:t> </w:t>
      </w:r>
      <w:r>
        <w:rPr>
          <w:sz w:val="16"/>
        </w:rPr>
        <w:t>gobiernos</w:t>
      </w:r>
      <w:r>
        <w:rPr>
          <w:spacing w:val="-12"/>
          <w:sz w:val="16"/>
        </w:rPr>
        <w:t> </w:t>
      </w:r>
      <w:r>
        <w:rPr>
          <w:sz w:val="16"/>
        </w:rPr>
        <w:t>municipales</w:t>
      </w:r>
      <w:r>
        <w:rPr>
          <w:spacing w:val="-11"/>
          <w:sz w:val="16"/>
        </w:rPr>
        <w:t> </w:t>
      </w:r>
      <w:r>
        <w:rPr>
          <w:sz w:val="16"/>
        </w:rPr>
        <w:t>del</w:t>
      </w:r>
      <w:r>
        <w:rPr>
          <w:spacing w:val="-12"/>
          <w:sz w:val="16"/>
        </w:rPr>
        <w:t> </w:t>
      </w:r>
      <w:r>
        <w:rPr>
          <w:sz w:val="16"/>
        </w:rPr>
        <w:t>Estado</w:t>
      </w:r>
      <w:r>
        <w:rPr>
          <w:spacing w:val="-10"/>
          <w:sz w:val="16"/>
        </w:rPr>
        <w:t> </w:t>
      </w:r>
      <w:r>
        <w:rPr>
          <w:sz w:val="16"/>
        </w:rPr>
        <w:t>de</w:t>
      </w:r>
      <w:r>
        <w:rPr>
          <w:spacing w:val="-12"/>
          <w:sz w:val="16"/>
        </w:rPr>
        <w:t> </w:t>
      </w:r>
      <w:r>
        <w:rPr>
          <w:sz w:val="16"/>
        </w:rPr>
        <w:t>México realizada el día 30 de octubre de 2013 y actualizada el 12 de diciembre de</w:t>
      </w:r>
      <w:r>
        <w:rPr>
          <w:spacing w:val="-26"/>
          <w:sz w:val="16"/>
        </w:rPr>
        <w:t> </w:t>
      </w:r>
      <w:r>
        <w:rPr>
          <w:sz w:val="16"/>
        </w:rPr>
        <w:t>2016.</w:t>
      </w:r>
    </w:p>
    <w:p>
      <w:pPr>
        <w:spacing w:line="183" w:lineRule="exact" w:before="0"/>
        <w:ind w:left="193" w:right="552" w:firstLine="0"/>
        <w:jc w:val="left"/>
        <w:rPr>
          <w:sz w:val="16"/>
        </w:rPr>
      </w:pPr>
      <w:r>
        <w:rPr>
          <w:sz w:val="16"/>
        </w:rPr>
        <w:t>* Municipios que en la primera revisión no tenían página web o estaba fuera de servicio.</w:t>
      </w:r>
    </w:p>
    <w:p>
      <w:pPr>
        <w:spacing w:after="0" w:line="183" w:lineRule="exact"/>
        <w:jc w:val="left"/>
        <w:rPr>
          <w:sz w:val="16"/>
        </w:rPr>
        <w:sectPr>
          <w:pgSz w:w="12240" w:h="15840"/>
          <w:pgMar w:header="0" w:footer="975" w:top="1500" w:bottom="1160" w:left="1720" w:right="1720"/>
        </w:sectPr>
      </w:pPr>
    </w:p>
    <w:p>
      <w:pPr>
        <w:pStyle w:val="BodyText"/>
        <w:rPr>
          <w:rFonts w:ascii="Times New Roman"/>
          <w:sz w:val="20"/>
        </w:rPr>
      </w:pPr>
    </w:p>
    <w:p>
      <w:pPr>
        <w:pStyle w:val="BodyText"/>
        <w:spacing w:before="9"/>
        <w:rPr>
          <w:rFonts w:ascii="Times New Roman"/>
          <w:sz w:val="22"/>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01"/>
        <w:gridCol w:w="601"/>
        <w:gridCol w:w="600"/>
        <w:gridCol w:w="600"/>
        <w:gridCol w:w="600"/>
        <w:gridCol w:w="600"/>
        <w:gridCol w:w="600"/>
        <w:gridCol w:w="600"/>
        <w:gridCol w:w="600"/>
        <w:gridCol w:w="600"/>
        <w:gridCol w:w="601"/>
        <w:gridCol w:w="600"/>
        <w:gridCol w:w="607"/>
      </w:tblGrid>
      <w:tr>
        <w:trPr>
          <w:trHeight w:val="319" w:hRule="exact"/>
        </w:trPr>
        <w:tc>
          <w:tcPr>
            <w:tcW w:w="10010" w:type="dxa"/>
            <w:gridSpan w:val="13"/>
            <w:shd w:val="clear" w:color="auto" w:fill="92D050"/>
          </w:tcPr>
          <w:p>
            <w:pPr>
              <w:pStyle w:val="TableParagraph"/>
              <w:spacing w:line="201" w:lineRule="exact"/>
              <w:ind w:left="970"/>
              <w:jc w:val="left"/>
              <w:rPr>
                <w:b/>
                <w:sz w:val="18"/>
              </w:rPr>
            </w:pPr>
            <w:r>
              <w:rPr>
                <w:b/>
                <w:sz w:val="18"/>
              </w:rPr>
              <w:t>Anexo 10. Solicitudes de información recibidas anualmente por los municipios de 2005 a 2015</w:t>
            </w:r>
          </w:p>
        </w:tc>
      </w:tr>
      <w:tr>
        <w:trPr>
          <w:trHeight w:val="322" w:hRule="exact"/>
        </w:trPr>
        <w:tc>
          <w:tcPr>
            <w:tcW w:w="2801" w:type="dxa"/>
            <w:shd w:val="clear" w:color="auto" w:fill="92D050"/>
          </w:tcPr>
          <w:p>
            <w:pPr>
              <w:pStyle w:val="TableParagraph"/>
              <w:spacing w:line="201" w:lineRule="exact"/>
              <w:ind w:left="955" w:right="955"/>
              <w:rPr>
                <w:b/>
                <w:sz w:val="18"/>
              </w:rPr>
            </w:pPr>
            <w:r>
              <w:rPr>
                <w:b/>
                <w:sz w:val="18"/>
              </w:rPr>
              <w:t>Municipio</w:t>
            </w:r>
          </w:p>
        </w:tc>
        <w:tc>
          <w:tcPr>
            <w:tcW w:w="1201" w:type="dxa"/>
            <w:gridSpan w:val="2"/>
            <w:shd w:val="clear" w:color="auto" w:fill="92D050"/>
          </w:tcPr>
          <w:p>
            <w:pPr>
              <w:pStyle w:val="TableParagraph"/>
              <w:spacing w:line="201" w:lineRule="exact"/>
              <w:ind w:left="93"/>
              <w:jc w:val="left"/>
              <w:rPr>
                <w:b/>
                <w:sz w:val="18"/>
              </w:rPr>
            </w:pPr>
            <w:r>
              <w:rPr>
                <w:b/>
                <w:sz w:val="18"/>
              </w:rPr>
              <w:t>2005   2006</w:t>
            </w:r>
          </w:p>
        </w:tc>
        <w:tc>
          <w:tcPr>
            <w:tcW w:w="600" w:type="dxa"/>
            <w:shd w:val="clear" w:color="auto" w:fill="92D050"/>
          </w:tcPr>
          <w:p>
            <w:pPr>
              <w:pStyle w:val="TableParagraph"/>
              <w:spacing w:line="201" w:lineRule="exact"/>
              <w:ind w:left="75" w:right="75"/>
              <w:rPr>
                <w:b/>
                <w:sz w:val="18"/>
              </w:rPr>
            </w:pPr>
            <w:r>
              <w:rPr>
                <w:b/>
                <w:sz w:val="18"/>
              </w:rPr>
              <w:t>2007</w:t>
            </w:r>
          </w:p>
        </w:tc>
        <w:tc>
          <w:tcPr>
            <w:tcW w:w="600" w:type="dxa"/>
            <w:shd w:val="clear" w:color="auto" w:fill="92D050"/>
          </w:tcPr>
          <w:p>
            <w:pPr>
              <w:pStyle w:val="TableParagraph"/>
              <w:spacing w:line="201" w:lineRule="exact"/>
              <w:ind w:left="75" w:right="75"/>
              <w:rPr>
                <w:b/>
                <w:sz w:val="18"/>
              </w:rPr>
            </w:pPr>
            <w:r>
              <w:rPr>
                <w:b/>
                <w:sz w:val="18"/>
              </w:rPr>
              <w:t>2008</w:t>
            </w:r>
          </w:p>
        </w:tc>
        <w:tc>
          <w:tcPr>
            <w:tcW w:w="600" w:type="dxa"/>
            <w:shd w:val="clear" w:color="auto" w:fill="92D050"/>
          </w:tcPr>
          <w:p>
            <w:pPr>
              <w:pStyle w:val="TableParagraph"/>
              <w:spacing w:line="201" w:lineRule="exact"/>
              <w:ind w:left="75" w:right="75"/>
              <w:rPr>
                <w:b/>
                <w:sz w:val="18"/>
              </w:rPr>
            </w:pPr>
            <w:r>
              <w:rPr>
                <w:b/>
                <w:sz w:val="18"/>
              </w:rPr>
              <w:t>2009</w:t>
            </w:r>
          </w:p>
        </w:tc>
        <w:tc>
          <w:tcPr>
            <w:tcW w:w="600" w:type="dxa"/>
            <w:shd w:val="clear" w:color="auto" w:fill="92D050"/>
          </w:tcPr>
          <w:p>
            <w:pPr>
              <w:pStyle w:val="TableParagraph"/>
              <w:spacing w:line="201" w:lineRule="exact"/>
              <w:ind w:left="75" w:right="75"/>
              <w:rPr>
                <w:b/>
                <w:sz w:val="18"/>
              </w:rPr>
            </w:pPr>
            <w:r>
              <w:rPr>
                <w:b/>
                <w:sz w:val="18"/>
              </w:rPr>
              <w:t>2010</w:t>
            </w:r>
          </w:p>
        </w:tc>
        <w:tc>
          <w:tcPr>
            <w:tcW w:w="600" w:type="dxa"/>
            <w:shd w:val="clear" w:color="auto" w:fill="92D050"/>
          </w:tcPr>
          <w:p>
            <w:pPr>
              <w:pStyle w:val="TableParagraph"/>
              <w:spacing w:line="201" w:lineRule="exact"/>
              <w:ind w:left="75" w:right="75"/>
              <w:rPr>
                <w:b/>
                <w:sz w:val="18"/>
              </w:rPr>
            </w:pPr>
            <w:r>
              <w:rPr>
                <w:b/>
                <w:sz w:val="18"/>
              </w:rPr>
              <w:t>2011</w:t>
            </w:r>
          </w:p>
        </w:tc>
        <w:tc>
          <w:tcPr>
            <w:tcW w:w="600" w:type="dxa"/>
            <w:shd w:val="clear" w:color="auto" w:fill="92D050"/>
          </w:tcPr>
          <w:p>
            <w:pPr>
              <w:pStyle w:val="TableParagraph"/>
              <w:spacing w:line="201" w:lineRule="exact"/>
              <w:ind w:left="75" w:right="75"/>
              <w:rPr>
                <w:b/>
                <w:sz w:val="18"/>
              </w:rPr>
            </w:pPr>
            <w:r>
              <w:rPr>
                <w:b/>
                <w:sz w:val="18"/>
              </w:rPr>
              <w:t>2012</w:t>
            </w:r>
          </w:p>
        </w:tc>
        <w:tc>
          <w:tcPr>
            <w:tcW w:w="600" w:type="dxa"/>
            <w:shd w:val="clear" w:color="auto" w:fill="92D050"/>
          </w:tcPr>
          <w:p>
            <w:pPr>
              <w:pStyle w:val="TableParagraph"/>
              <w:spacing w:line="201" w:lineRule="exact"/>
              <w:ind w:left="75" w:right="75"/>
              <w:rPr>
                <w:b/>
                <w:sz w:val="18"/>
              </w:rPr>
            </w:pPr>
            <w:r>
              <w:rPr>
                <w:b/>
                <w:sz w:val="18"/>
              </w:rPr>
              <w:t>2013</w:t>
            </w:r>
          </w:p>
        </w:tc>
        <w:tc>
          <w:tcPr>
            <w:tcW w:w="601" w:type="dxa"/>
            <w:shd w:val="clear" w:color="auto" w:fill="92D050"/>
          </w:tcPr>
          <w:p>
            <w:pPr>
              <w:pStyle w:val="TableParagraph"/>
              <w:spacing w:line="201" w:lineRule="exact"/>
              <w:ind w:left="75" w:right="75"/>
              <w:rPr>
                <w:b/>
                <w:sz w:val="18"/>
              </w:rPr>
            </w:pPr>
            <w:r>
              <w:rPr>
                <w:b/>
                <w:sz w:val="18"/>
              </w:rPr>
              <w:t>2014</w:t>
            </w:r>
          </w:p>
        </w:tc>
        <w:tc>
          <w:tcPr>
            <w:tcW w:w="600" w:type="dxa"/>
            <w:shd w:val="clear" w:color="auto" w:fill="92D050"/>
          </w:tcPr>
          <w:p>
            <w:pPr>
              <w:pStyle w:val="TableParagraph"/>
              <w:spacing w:line="201" w:lineRule="exact"/>
              <w:ind w:left="75" w:right="75"/>
              <w:rPr>
                <w:b/>
                <w:sz w:val="18"/>
              </w:rPr>
            </w:pPr>
            <w:r>
              <w:rPr>
                <w:b/>
                <w:sz w:val="18"/>
              </w:rPr>
              <w:t>2015</w:t>
            </w:r>
          </w:p>
        </w:tc>
        <w:tc>
          <w:tcPr>
            <w:tcW w:w="607" w:type="dxa"/>
            <w:shd w:val="clear" w:color="auto" w:fill="92D050"/>
          </w:tcPr>
          <w:p>
            <w:pPr>
              <w:pStyle w:val="TableParagraph"/>
              <w:spacing w:line="201" w:lineRule="exact"/>
              <w:ind w:left="84"/>
              <w:jc w:val="left"/>
              <w:rPr>
                <w:b/>
                <w:sz w:val="18"/>
              </w:rPr>
            </w:pPr>
            <w:r>
              <w:rPr>
                <w:b/>
                <w:sz w:val="18"/>
              </w:rPr>
              <w:t>Total</w:t>
            </w:r>
          </w:p>
        </w:tc>
      </w:tr>
      <w:tr>
        <w:trPr>
          <w:trHeight w:val="319" w:hRule="exact"/>
        </w:trPr>
        <w:tc>
          <w:tcPr>
            <w:tcW w:w="2801" w:type="dxa"/>
          </w:tcPr>
          <w:p>
            <w:pPr>
              <w:pStyle w:val="TableParagraph"/>
              <w:spacing w:line="206" w:lineRule="exact"/>
              <w:ind w:left="64"/>
              <w:jc w:val="left"/>
              <w:rPr>
                <w:sz w:val="18"/>
              </w:rPr>
            </w:pPr>
            <w:r>
              <w:rPr>
                <w:color w:val="333333"/>
                <w:sz w:val="18"/>
              </w:rPr>
              <w:t>ACAMBAY</w:t>
            </w:r>
          </w:p>
        </w:tc>
        <w:tc>
          <w:tcPr>
            <w:tcW w:w="601" w:type="dxa"/>
          </w:tcPr>
          <w:p>
            <w:pPr>
              <w:pStyle w:val="TableParagraph"/>
              <w:spacing w:line="206" w:lineRule="exact"/>
              <w:rPr>
                <w:sz w:val="18"/>
              </w:rPr>
            </w:pPr>
            <w:r>
              <w:rPr>
                <w:color w:val="333333"/>
                <w:w w:val="99"/>
                <w:sz w:val="18"/>
              </w:rPr>
              <w:t>4</w:t>
            </w:r>
          </w:p>
        </w:tc>
        <w:tc>
          <w:tcPr>
            <w:tcW w:w="600" w:type="dxa"/>
          </w:tcPr>
          <w:p>
            <w:pPr>
              <w:pStyle w:val="TableParagraph"/>
              <w:spacing w:line="206" w:lineRule="exact"/>
              <w:ind w:right="243"/>
              <w:jc w:val="right"/>
              <w:rPr>
                <w:sz w:val="18"/>
              </w:rPr>
            </w:pPr>
            <w:r>
              <w:rPr>
                <w:color w:val="333333"/>
                <w:w w:val="99"/>
                <w:sz w:val="18"/>
              </w:rPr>
              <w:t>9</w:t>
            </w:r>
          </w:p>
        </w:tc>
        <w:tc>
          <w:tcPr>
            <w:tcW w:w="600" w:type="dxa"/>
          </w:tcPr>
          <w:p>
            <w:pPr>
              <w:pStyle w:val="TableParagraph"/>
              <w:spacing w:line="206" w:lineRule="exact"/>
              <w:ind w:left="75" w:right="75"/>
              <w:rPr>
                <w:sz w:val="18"/>
              </w:rPr>
            </w:pPr>
            <w:r>
              <w:rPr>
                <w:color w:val="333333"/>
                <w:sz w:val="18"/>
              </w:rPr>
              <w:t>54</w:t>
            </w:r>
          </w:p>
        </w:tc>
        <w:tc>
          <w:tcPr>
            <w:tcW w:w="600" w:type="dxa"/>
          </w:tcPr>
          <w:p>
            <w:pPr>
              <w:pStyle w:val="TableParagraph"/>
              <w:spacing w:line="206" w:lineRule="exact"/>
              <w:ind w:left="75" w:right="75"/>
              <w:rPr>
                <w:sz w:val="18"/>
              </w:rPr>
            </w:pPr>
            <w:r>
              <w:rPr>
                <w:color w:val="333333"/>
                <w:sz w:val="18"/>
              </w:rPr>
              <w:t>78</w:t>
            </w:r>
          </w:p>
        </w:tc>
        <w:tc>
          <w:tcPr>
            <w:tcW w:w="600" w:type="dxa"/>
          </w:tcPr>
          <w:p>
            <w:pPr>
              <w:pStyle w:val="TableParagraph"/>
              <w:spacing w:line="206" w:lineRule="exact"/>
              <w:ind w:left="75" w:right="75"/>
              <w:rPr>
                <w:sz w:val="18"/>
              </w:rPr>
            </w:pPr>
            <w:r>
              <w:rPr>
                <w:color w:val="333333"/>
                <w:sz w:val="18"/>
              </w:rPr>
              <w:t>75</w:t>
            </w:r>
          </w:p>
        </w:tc>
        <w:tc>
          <w:tcPr>
            <w:tcW w:w="600" w:type="dxa"/>
          </w:tcPr>
          <w:p>
            <w:pPr>
              <w:pStyle w:val="TableParagraph"/>
              <w:spacing w:line="206" w:lineRule="exact"/>
              <w:ind w:left="75" w:right="75"/>
              <w:rPr>
                <w:sz w:val="18"/>
              </w:rPr>
            </w:pPr>
            <w:r>
              <w:rPr>
                <w:color w:val="333333"/>
                <w:sz w:val="18"/>
              </w:rPr>
              <w:t>108</w:t>
            </w:r>
          </w:p>
        </w:tc>
        <w:tc>
          <w:tcPr>
            <w:tcW w:w="600" w:type="dxa"/>
          </w:tcPr>
          <w:p>
            <w:pPr>
              <w:pStyle w:val="TableParagraph"/>
              <w:spacing w:line="206" w:lineRule="exact"/>
              <w:ind w:left="75" w:right="75"/>
              <w:rPr>
                <w:sz w:val="18"/>
              </w:rPr>
            </w:pPr>
            <w:r>
              <w:rPr>
                <w:color w:val="333333"/>
                <w:sz w:val="18"/>
              </w:rPr>
              <w:t>46</w:t>
            </w:r>
          </w:p>
        </w:tc>
        <w:tc>
          <w:tcPr>
            <w:tcW w:w="600" w:type="dxa"/>
          </w:tcPr>
          <w:p>
            <w:pPr>
              <w:pStyle w:val="TableParagraph"/>
              <w:spacing w:line="206" w:lineRule="exact"/>
              <w:ind w:left="75" w:right="75"/>
              <w:rPr>
                <w:sz w:val="18"/>
              </w:rPr>
            </w:pPr>
            <w:r>
              <w:rPr>
                <w:color w:val="333333"/>
                <w:sz w:val="18"/>
              </w:rPr>
              <w:t>39</w:t>
            </w:r>
          </w:p>
        </w:tc>
        <w:tc>
          <w:tcPr>
            <w:tcW w:w="600" w:type="dxa"/>
          </w:tcPr>
          <w:p>
            <w:pPr>
              <w:pStyle w:val="TableParagraph"/>
              <w:spacing w:line="206" w:lineRule="exact"/>
              <w:ind w:left="75" w:right="75"/>
              <w:rPr>
                <w:sz w:val="18"/>
              </w:rPr>
            </w:pPr>
            <w:r>
              <w:rPr>
                <w:color w:val="333333"/>
                <w:sz w:val="18"/>
              </w:rPr>
              <w:t>199</w:t>
            </w:r>
          </w:p>
        </w:tc>
        <w:tc>
          <w:tcPr>
            <w:tcW w:w="601" w:type="dxa"/>
          </w:tcPr>
          <w:p>
            <w:pPr>
              <w:pStyle w:val="TableParagraph"/>
              <w:spacing w:line="206" w:lineRule="exact"/>
              <w:ind w:left="75" w:right="75"/>
              <w:rPr>
                <w:sz w:val="18"/>
              </w:rPr>
            </w:pPr>
            <w:r>
              <w:rPr>
                <w:color w:val="333333"/>
                <w:sz w:val="18"/>
              </w:rPr>
              <w:t>99</w:t>
            </w:r>
          </w:p>
        </w:tc>
        <w:tc>
          <w:tcPr>
            <w:tcW w:w="600" w:type="dxa"/>
          </w:tcPr>
          <w:p>
            <w:pPr>
              <w:pStyle w:val="TableParagraph"/>
              <w:spacing w:line="206" w:lineRule="exact"/>
              <w:ind w:left="75" w:right="75"/>
              <w:rPr>
                <w:sz w:val="18"/>
              </w:rPr>
            </w:pPr>
            <w:r>
              <w:rPr>
                <w:color w:val="333333"/>
                <w:sz w:val="18"/>
              </w:rPr>
              <w:t>144</w:t>
            </w:r>
          </w:p>
        </w:tc>
        <w:tc>
          <w:tcPr>
            <w:tcW w:w="607" w:type="dxa"/>
          </w:tcPr>
          <w:p>
            <w:pPr>
              <w:pStyle w:val="TableParagraph"/>
              <w:spacing w:line="201" w:lineRule="exact"/>
              <w:ind w:left="148"/>
              <w:jc w:val="left"/>
              <w:rPr>
                <w:b/>
                <w:sz w:val="18"/>
              </w:rPr>
            </w:pPr>
            <w:r>
              <w:rPr>
                <w:b/>
                <w:sz w:val="18"/>
              </w:rPr>
              <w:t>855</w:t>
            </w:r>
          </w:p>
        </w:tc>
      </w:tr>
      <w:tr>
        <w:trPr>
          <w:trHeight w:val="322" w:hRule="exact"/>
        </w:trPr>
        <w:tc>
          <w:tcPr>
            <w:tcW w:w="2801" w:type="dxa"/>
          </w:tcPr>
          <w:p>
            <w:pPr>
              <w:pStyle w:val="TableParagraph"/>
              <w:spacing w:line="206" w:lineRule="exact"/>
              <w:ind w:left="64"/>
              <w:jc w:val="left"/>
              <w:rPr>
                <w:sz w:val="18"/>
              </w:rPr>
            </w:pPr>
            <w:r>
              <w:rPr>
                <w:color w:val="333333"/>
                <w:sz w:val="18"/>
              </w:rPr>
              <w:t>ACOLMAN</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2</w:t>
            </w:r>
          </w:p>
        </w:tc>
        <w:tc>
          <w:tcPr>
            <w:tcW w:w="600" w:type="dxa"/>
          </w:tcPr>
          <w:p>
            <w:pPr>
              <w:pStyle w:val="TableParagraph"/>
              <w:spacing w:line="206" w:lineRule="exact"/>
              <w:ind w:left="75" w:right="75"/>
              <w:rPr>
                <w:sz w:val="18"/>
              </w:rPr>
            </w:pPr>
            <w:r>
              <w:rPr>
                <w:color w:val="333333"/>
                <w:sz w:val="18"/>
              </w:rPr>
              <w:t>10</w:t>
            </w:r>
          </w:p>
        </w:tc>
        <w:tc>
          <w:tcPr>
            <w:tcW w:w="600" w:type="dxa"/>
          </w:tcPr>
          <w:p>
            <w:pPr>
              <w:pStyle w:val="TableParagraph"/>
              <w:spacing w:line="206" w:lineRule="exact"/>
              <w:ind w:left="75" w:right="75"/>
              <w:rPr>
                <w:sz w:val="18"/>
              </w:rPr>
            </w:pPr>
            <w:r>
              <w:rPr>
                <w:color w:val="333333"/>
                <w:sz w:val="18"/>
              </w:rPr>
              <w:t>20</w:t>
            </w:r>
          </w:p>
        </w:tc>
        <w:tc>
          <w:tcPr>
            <w:tcW w:w="600" w:type="dxa"/>
          </w:tcPr>
          <w:p>
            <w:pPr>
              <w:pStyle w:val="TableParagraph"/>
              <w:spacing w:line="206" w:lineRule="exact"/>
              <w:ind w:left="75" w:right="75"/>
              <w:rPr>
                <w:sz w:val="18"/>
              </w:rPr>
            </w:pPr>
            <w:r>
              <w:rPr>
                <w:color w:val="333333"/>
                <w:sz w:val="18"/>
              </w:rPr>
              <w:t>31</w:t>
            </w:r>
          </w:p>
        </w:tc>
        <w:tc>
          <w:tcPr>
            <w:tcW w:w="600" w:type="dxa"/>
          </w:tcPr>
          <w:p>
            <w:pPr>
              <w:pStyle w:val="TableParagraph"/>
              <w:spacing w:line="206" w:lineRule="exact"/>
              <w:ind w:left="75" w:right="75"/>
              <w:rPr>
                <w:sz w:val="18"/>
              </w:rPr>
            </w:pPr>
            <w:r>
              <w:rPr>
                <w:color w:val="333333"/>
                <w:sz w:val="18"/>
              </w:rPr>
              <w:t>45</w:t>
            </w:r>
          </w:p>
        </w:tc>
        <w:tc>
          <w:tcPr>
            <w:tcW w:w="600" w:type="dxa"/>
          </w:tcPr>
          <w:p>
            <w:pPr>
              <w:pStyle w:val="TableParagraph"/>
              <w:spacing w:line="206" w:lineRule="exact"/>
              <w:ind w:left="75" w:right="75"/>
              <w:rPr>
                <w:sz w:val="18"/>
              </w:rPr>
            </w:pPr>
            <w:r>
              <w:rPr>
                <w:color w:val="333333"/>
                <w:sz w:val="18"/>
              </w:rPr>
              <w:t>46</w:t>
            </w:r>
          </w:p>
        </w:tc>
        <w:tc>
          <w:tcPr>
            <w:tcW w:w="600" w:type="dxa"/>
          </w:tcPr>
          <w:p>
            <w:pPr>
              <w:pStyle w:val="TableParagraph"/>
              <w:spacing w:line="206" w:lineRule="exact"/>
              <w:ind w:left="75" w:right="75"/>
              <w:rPr>
                <w:sz w:val="18"/>
              </w:rPr>
            </w:pPr>
            <w:r>
              <w:rPr>
                <w:color w:val="333333"/>
                <w:sz w:val="18"/>
              </w:rPr>
              <w:t>80</w:t>
            </w:r>
          </w:p>
        </w:tc>
        <w:tc>
          <w:tcPr>
            <w:tcW w:w="601" w:type="dxa"/>
          </w:tcPr>
          <w:p>
            <w:pPr>
              <w:pStyle w:val="TableParagraph"/>
              <w:spacing w:line="206" w:lineRule="exact"/>
              <w:ind w:left="75" w:right="75"/>
              <w:rPr>
                <w:sz w:val="18"/>
              </w:rPr>
            </w:pPr>
            <w:r>
              <w:rPr>
                <w:color w:val="333333"/>
                <w:sz w:val="18"/>
              </w:rPr>
              <w:t>36</w:t>
            </w:r>
          </w:p>
        </w:tc>
        <w:tc>
          <w:tcPr>
            <w:tcW w:w="600" w:type="dxa"/>
          </w:tcPr>
          <w:p>
            <w:pPr>
              <w:pStyle w:val="TableParagraph"/>
              <w:spacing w:line="206" w:lineRule="exact"/>
              <w:ind w:left="75" w:right="75"/>
              <w:rPr>
                <w:sz w:val="18"/>
              </w:rPr>
            </w:pPr>
            <w:r>
              <w:rPr>
                <w:color w:val="333333"/>
                <w:sz w:val="18"/>
              </w:rPr>
              <w:t>46</w:t>
            </w:r>
          </w:p>
        </w:tc>
        <w:tc>
          <w:tcPr>
            <w:tcW w:w="607" w:type="dxa"/>
          </w:tcPr>
          <w:p>
            <w:pPr>
              <w:pStyle w:val="TableParagraph"/>
              <w:spacing w:line="201" w:lineRule="exact"/>
              <w:ind w:left="148"/>
              <w:jc w:val="left"/>
              <w:rPr>
                <w:b/>
                <w:sz w:val="18"/>
              </w:rPr>
            </w:pPr>
            <w:r>
              <w:rPr>
                <w:b/>
                <w:sz w:val="18"/>
              </w:rPr>
              <w:t>316</w:t>
            </w:r>
          </w:p>
        </w:tc>
      </w:tr>
      <w:tr>
        <w:trPr>
          <w:trHeight w:val="319" w:hRule="exact"/>
        </w:trPr>
        <w:tc>
          <w:tcPr>
            <w:tcW w:w="2801" w:type="dxa"/>
          </w:tcPr>
          <w:p>
            <w:pPr>
              <w:pStyle w:val="TableParagraph"/>
              <w:spacing w:line="206" w:lineRule="exact"/>
              <w:ind w:left="64"/>
              <w:jc w:val="left"/>
              <w:rPr>
                <w:sz w:val="18"/>
              </w:rPr>
            </w:pPr>
            <w:r>
              <w:rPr>
                <w:color w:val="333333"/>
                <w:sz w:val="18"/>
              </w:rPr>
              <w:t>ACULCO</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1</w:t>
            </w:r>
          </w:p>
        </w:tc>
        <w:tc>
          <w:tcPr>
            <w:tcW w:w="600" w:type="dxa"/>
          </w:tcPr>
          <w:p>
            <w:pPr>
              <w:pStyle w:val="TableParagraph"/>
              <w:spacing w:line="206" w:lineRule="exact"/>
              <w:ind w:left="75" w:right="75"/>
              <w:rPr>
                <w:sz w:val="18"/>
              </w:rPr>
            </w:pPr>
            <w:r>
              <w:rPr>
                <w:color w:val="333333"/>
                <w:sz w:val="18"/>
              </w:rPr>
              <w:t>12</w:t>
            </w:r>
          </w:p>
        </w:tc>
        <w:tc>
          <w:tcPr>
            <w:tcW w:w="600" w:type="dxa"/>
          </w:tcPr>
          <w:p>
            <w:pPr>
              <w:pStyle w:val="TableParagraph"/>
              <w:spacing w:line="206" w:lineRule="exact"/>
              <w:ind w:left="75" w:right="75"/>
              <w:rPr>
                <w:sz w:val="18"/>
              </w:rPr>
            </w:pPr>
            <w:r>
              <w:rPr>
                <w:color w:val="333333"/>
                <w:sz w:val="18"/>
              </w:rPr>
              <w:t>42</w:t>
            </w:r>
          </w:p>
        </w:tc>
        <w:tc>
          <w:tcPr>
            <w:tcW w:w="600" w:type="dxa"/>
          </w:tcPr>
          <w:p>
            <w:pPr>
              <w:pStyle w:val="TableParagraph"/>
              <w:spacing w:line="206" w:lineRule="exact"/>
              <w:ind w:left="75" w:right="75"/>
              <w:rPr>
                <w:sz w:val="18"/>
              </w:rPr>
            </w:pPr>
            <w:r>
              <w:rPr>
                <w:color w:val="333333"/>
                <w:sz w:val="18"/>
              </w:rPr>
              <w:t>23</w:t>
            </w:r>
          </w:p>
        </w:tc>
        <w:tc>
          <w:tcPr>
            <w:tcW w:w="600" w:type="dxa"/>
          </w:tcPr>
          <w:p>
            <w:pPr>
              <w:pStyle w:val="TableParagraph"/>
              <w:spacing w:line="206" w:lineRule="exact"/>
              <w:ind w:left="75" w:right="75"/>
              <w:rPr>
                <w:sz w:val="18"/>
              </w:rPr>
            </w:pPr>
            <w:r>
              <w:rPr>
                <w:color w:val="333333"/>
                <w:sz w:val="18"/>
              </w:rPr>
              <w:t>21</w:t>
            </w:r>
          </w:p>
        </w:tc>
        <w:tc>
          <w:tcPr>
            <w:tcW w:w="600" w:type="dxa"/>
          </w:tcPr>
          <w:p>
            <w:pPr>
              <w:pStyle w:val="TableParagraph"/>
              <w:spacing w:line="206" w:lineRule="exact"/>
              <w:ind w:left="75" w:right="75"/>
              <w:rPr>
                <w:sz w:val="18"/>
              </w:rPr>
            </w:pPr>
            <w:r>
              <w:rPr>
                <w:color w:val="333333"/>
                <w:sz w:val="18"/>
              </w:rPr>
              <w:t>27</w:t>
            </w:r>
          </w:p>
        </w:tc>
        <w:tc>
          <w:tcPr>
            <w:tcW w:w="600" w:type="dxa"/>
          </w:tcPr>
          <w:p>
            <w:pPr>
              <w:pStyle w:val="TableParagraph"/>
              <w:spacing w:line="206" w:lineRule="exact"/>
              <w:ind w:left="75" w:right="75"/>
              <w:rPr>
                <w:sz w:val="18"/>
              </w:rPr>
            </w:pPr>
            <w:r>
              <w:rPr>
                <w:color w:val="333333"/>
                <w:sz w:val="18"/>
              </w:rPr>
              <w:t>31</w:t>
            </w:r>
          </w:p>
        </w:tc>
        <w:tc>
          <w:tcPr>
            <w:tcW w:w="601" w:type="dxa"/>
          </w:tcPr>
          <w:p>
            <w:pPr>
              <w:pStyle w:val="TableParagraph"/>
              <w:spacing w:line="206" w:lineRule="exact"/>
              <w:ind w:left="75" w:right="75"/>
              <w:rPr>
                <w:sz w:val="18"/>
              </w:rPr>
            </w:pPr>
            <w:r>
              <w:rPr>
                <w:color w:val="333333"/>
                <w:sz w:val="18"/>
              </w:rPr>
              <w:t>13</w:t>
            </w:r>
          </w:p>
        </w:tc>
        <w:tc>
          <w:tcPr>
            <w:tcW w:w="600" w:type="dxa"/>
          </w:tcPr>
          <w:p>
            <w:pPr>
              <w:pStyle w:val="TableParagraph"/>
              <w:spacing w:line="206" w:lineRule="exact"/>
              <w:ind w:left="75" w:right="75"/>
              <w:rPr>
                <w:sz w:val="18"/>
              </w:rPr>
            </w:pPr>
            <w:r>
              <w:rPr>
                <w:color w:val="333333"/>
                <w:sz w:val="18"/>
              </w:rPr>
              <w:t>25</w:t>
            </w:r>
          </w:p>
        </w:tc>
        <w:tc>
          <w:tcPr>
            <w:tcW w:w="607" w:type="dxa"/>
          </w:tcPr>
          <w:p>
            <w:pPr>
              <w:pStyle w:val="TableParagraph"/>
              <w:spacing w:line="201" w:lineRule="exact"/>
              <w:ind w:left="148"/>
              <w:jc w:val="left"/>
              <w:rPr>
                <w:b/>
                <w:sz w:val="18"/>
              </w:rPr>
            </w:pPr>
            <w:r>
              <w:rPr>
                <w:b/>
                <w:sz w:val="18"/>
              </w:rPr>
              <w:t>195</w:t>
            </w:r>
          </w:p>
        </w:tc>
      </w:tr>
      <w:tr>
        <w:trPr>
          <w:trHeight w:val="322" w:hRule="exact"/>
        </w:trPr>
        <w:tc>
          <w:tcPr>
            <w:tcW w:w="2801" w:type="dxa"/>
          </w:tcPr>
          <w:p>
            <w:pPr>
              <w:pStyle w:val="TableParagraph"/>
              <w:spacing w:line="206" w:lineRule="exact"/>
              <w:ind w:left="64"/>
              <w:jc w:val="left"/>
              <w:rPr>
                <w:sz w:val="18"/>
              </w:rPr>
            </w:pPr>
            <w:r>
              <w:rPr>
                <w:color w:val="333333"/>
                <w:sz w:val="18"/>
              </w:rPr>
              <w:t>ALMOLOYA DE ALQUISIRAS</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9</w:t>
            </w:r>
          </w:p>
        </w:tc>
        <w:tc>
          <w:tcPr>
            <w:tcW w:w="600" w:type="dxa"/>
          </w:tcPr>
          <w:p>
            <w:pPr>
              <w:pStyle w:val="TableParagraph"/>
              <w:spacing w:line="206" w:lineRule="exact"/>
              <w:ind w:left="75" w:right="75"/>
              <w:rPr>
                <w:sz w:val="18"/>
              </w:rPr>
            </w:pPr>
            <w:r>
              <w:rPr>
                <w:color w:val="333333"/>
                <w:sz w:val="18"/>
              </w:rPr>
              <w:t>12</w:t>
            </w:r>
          </w:p>
        </w:tc>
        <w:tc>
          <w:tcPr>
            <w:tcW w:w="600" w:type="dxa"/>
          </w:tcPr>
          <w:p>
            <w:pPr>
              <w:pStyle w:val="TableParagraph"/>
              <w:spacing w:line="206" w:lineRule="exact"/>
              <w:ind w:left="75" w:right="75"/>
              <w:rPr>
                <w:sz w:val="18"/>
              </w:rPr>
            </w:pPr>
            <w:r>
              <w:rPr>
                <w:color w:val="333333"/>
                <w:sz w:val="18"/>
              </w:rPr>
              <w:t>31</w:t>
            </w:r>
          </w:p>
        </w:tc>
        <w:tc>
          <w:tcPr>
            <w:tcW w:w="600" w:type="dxa"/>
          </w:tcPr>
          <w:p>
            <w:pPr>
              <w:pStyle w:val="TableParagraph"/>
              <w:spacing w:line="206" w:lineRule="exact"/>
              <w:ind w:left="75" w:right="75"/>
              <w:rPr>
                <w:sz w:val="18"/>
              </w:rPr>
            </w:pPr>
            <w:r>
              <w:rPr>
                <w:color w:val="333333"/>
                <w:sz w:val="18"/>
              </w:rPr>
              <w:t>43</w:t>
            </w:r>
          </w:p>
        </w:tc>
        <w:tc>
          <w:tcPr>
            <w:tcW w:w="600" w:type="dxa"/>
          </w:tcPr>
          <w:p>
            <w:pPr>
              <w:pStyle w:val="TableParagraph"/>
              <w:spacing w:line="206" w:lineRule="exact"/>
              <w:ind w:left="75" w:right="75"/>
              <w:rPr>
                <w:sz w:val="18"/>
              </w:rPr>
            </w:pPr>
            <w:r>
              <w:rPr>
                <w:color w:val="333333"/>
                <w:sz w:val="18"/>
              </w:rPr>
              <w:t>27</w:t>
            </w:r>
          </w:p>
        </w:tc>
        <w:tc>
          <w:tcPr>
            <w:tcW w:w="600" w:type="dxa"/>
          </w:tcPr>
          <w:p>
            <w:pPr>
              <w:pStyle w:val="TableParagraph"/>
              <w:spacing w:line="206" w:lineRule="exact"/>
              <w:ind w:left="75" w:right="75"/>
              <w:rPr>
                <w:sz w:val="18"/>
              </w:rPr>
            </w:pPr>
            <w:r>
              <w:rPr>
                <w:color w:val="333333"/>
                <w:sz w:val="18"/>
              </w:rPr>
              <w:t>21</w:t>
            </w:r>
          </w:p>
        </w:tc>
        <w:tc>
          <w:tcPr>
            <w:tcW w:w="601" w:type="dxa"/>
          </w:tcPr>
          <w:p>
            <w:pPr>
              <w:pStyle w:val="TableParagraph"/>
              <w:spacing w:line="206" w:lineRule="exact"/>
              <w:ind w:left="75" w:right="75"/>
              <w:rPr>
                <w:sz w:val="18"/>
              </w:rPr>
            </w:pPr>
            <w:r>
              <w:rPr>
                <w:color w:val="333333"/>
                <w:sz w:val="18"/>
              </w:rPr>
              <w:t>11</w:t>
            </w:r>
          </w:p>
        </w:tc>
        <w:tc>
          <w:tcPr>
            <w:tcW w:w="600" w:type="dxa"/>
          </w:tcPr>
          <w:p>
            <w:pPr>
              <w:pStyle w:val="TableParagraph"/>
              <w:spacing w:line="206" w:lineRule="exact"/>
              <w:ind w:left="75" w:right="75"/>
              <w:rPr>
                <w:sz w:val="18"/>
              </w:rPr>
            </w:pPr>
            <w:r>
              <w:rPr>
                <w:color w:val="333333"/>
                <w:sz w:val="18"/>
              </w:rPr>
              <w:t>18</w:t>
            </w:r>
          </w:p>
        </w:tc>
        <w:tc>
          <w:tcPr>
            <w:tcW w:w="607" w:type="dxa"/>
          </w:tcPr>
          <w:p>
            <w:pPr>
              <w:pStyle w:val="TableParagraph"/>
              <w:spacing w:line="201" w:lineRule="exact"/>
              <w:ind w:left="148"/>
              <w:jc w:val="left"/>
              <w:rPr>
                <w:b/>
                <w:sz w:val="18"/>
              </w:rPr>
            </w:pPr>
            <w:r>
              <w:rPr>
                <w:b/>
                <w:sz w:val="18"/>
              </w:rPr>
              <w:t>172</w:t>
            </w:r>
          </w:p>
        </w:tc>
      </w:tr>
      <w:tr>
        <w:trPr>
          <w:trHeight w:val="319" w:hRule="exact"/>
        </w:trPr>
        <w:tc>
          <w:tcPr>
            <w:tcW w:w="2801" w:type="dxa"/>
          </w:tcPr>
          <w:p>
            <w:pPr>
              <w:pStyle w:val="TableParagraph"/>
              <w:spacing w:line="206" w:lineRule="exact"/>
              <w:ind w:left="64"/>
              <w:jc w:val="left"/>
              <w:rPr>
                <w:sz w:val="18"/>
              </w:rPr>
            </w:pPr>
            <w:r>
              <w:rPr>
                <w:color w:val="333333"/>
                <w:sz w:val="18"/>
              </w:rPr>
              <w:t>ALMOLOYA DE JUAREZ</w:t>
            </w:r>
          </w:p>
        </w:tc>
        <w:tc>
          <w:tcPr>
            <w:tcW w:w="601" w:type="dxa"/>
          </w:tcPr>
          <w:p>
            <w:pPr>
              <w:pStyle w:val="TableParagraph"/>
              <w:spacing w:line="206" w:lineRule="exact"/>
              <w:ind w:left="75" w:right="75"/>
              <w:rPr>
                <w:sz w:val="18"/>
              </w:rPr>
            </w:pPr>
            <w:r>
              <w:rPr>
                <w:color w:val="333333"/>
                <w:sz w:val="18"/>
              </w:rPr>
              <w:t>27</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4</w:t>
            </w:r>
          </w:p>
        </w:tc>
        <w:tc>
          <w:tcPr>
            <w:tcW w:w="600" w:type="dxa"/>
          </w:tcPr>
          <w:p>
            <w:pPr>
              <w:pStyle w:val="TableParagraph"/>
              <w:spacing w:line="206" w:lineRule="exact"/>
              <w:ind w:left="75" w:right="75"/>
              <w:rPr>
                <w:sz w:val="18"/>
              </w:rPr>
            </w:pPr>
            <w:r>
              <w:rPr>
                <w:color w:val="333333"/>
                <w:sz w:val="18"/>
              </w:rPr>
              <w:t>21</w:t>
            </w:r>
          </w:p>
        </w:tc>
        <w:tc>
          <w:tcPr>
            <w:tcW w:w="600" w:type="dxa"/>
          </w:tcPr>
          <w:p>
            <w:pPr>
              <w:pStyle w:val="TableParagraph"/>
              <w:spacing w:line="206" w:lineRule="exact"/>
              <w:ind w:left="75" w:right="75"/>
              <w:rPr>
                <w:sz w:val="18"/>
              </w:rPr>
            </w:pPr>
            <w:r>
              <w:rPr>
                <w:color w:val="333333"/>
                <w:sz w:val="18"/>
              </w:rPr>
              <w:t>28</w:t>
            </w:r>
          </w:p>
        </w:tc>
        <w:tc>
          <w:tcPr>
            <w:tcW w:w="600" w:type="dxa"/>
          </w:tcPr>
          <w:p>
            <w:pPr>
              <w:pStyle w:val="TableParagraph"/>
              <w:spacing w:line="206" w:lineRule="exact"/>
              <w:ind w:left="75" w:right="75"/>
              <w:rPr>
                <w:sz w:val="18"/>
              </w:rPr>
            </w:pPr>
            <w:r>
              <w:rPr>
                <w:color w:val="333333"/>
                <w:sz w:val="18"/>
              </w:rPr>
              <w:t>93</w:t>
            </w:r>
          </w:p>
        </w:tc>
        <w:tc>
          <w:tcPr>
            <w:tcW w:w="600" w:type="dxa"/>
          </w:tcPr>
          <w:p>
            <w:pPr>
              <w:pStyle w:val="TableParagraph"/>
              <w:spacing w:line="206" w:lineRule="exact"/>
              <w:ind w:left="75" w:right="75"/>
              <w:rPr>
                <w:sz w:val="18"/>
              </w:rPr>
            </w:pPr>
            <w:r>
              <w:rPr>
                <w:color w:val="333333"/>
                <w:sz w:val="18"/>
              </w:rPr>
              <w:t>81</w:t>
            </w:r>
          </w:p>
        </w:tc>
        <w:tc>
          <w:tcPr>
            <w:tcW w:w="600" w:type="dxa"/>
          </w:tcPr>
          <w:p>
            <w:pPr>
              <w:pStyle w:val="TableParagraph"/>
              <w:spacing w:line="206" w:lineRule="exact"/>
              <w:ind w:left="75" w:right="75"/>
              <w:rPr>
                <w:sz w:val="18"/>
              </w:rPr>
            </w:pPr>
            <w:r>
              <w:rPr>
                <w:color w:val="333333"/>
                <w:sz w:val="18"/>
              </w:rPr>
              <w:t>96</w:t>
            </w:r>
          </w:p>
        </w:tc>
        <w:tc>
          <w:tcPr>
            <w:tcW w:w="600" w:type="dxa"/>
          </w:tcPr>
          <w:p>
            <w:pPr>
              <w:pStyle w:val="TableParagraph"/>
              <w:spacing w:line="206" w:lineRule="exact"/>
              <w:ind w:left="75" w:right="75"/>
              <w:rPr>
                <w:sz w:val="18"/>
              </w:rPr>
            </w:pPr>
            <w:r>
              <w:rPr>
                <w:color w:val="333333"/>
                <w:sz w:val="18"/>
              </w:rPr>
              <w:t>81</w:t>
            </w:r>
          </w:p>
        </w:tc>
        <w:tc>
          <w:tcPr>
            <w:tcW w:w="601" w:type="dxa"/>
          </w:tcPr>
          <w:p>
            <w:pPr>
              <w:pStyle w:val="TableParagraph"/>
              <w:spacing w:line="206" w:lineRule="exact"/>
              <w:ind w:left="75" w:right="75"/>
              <w:rPr>
                <w:sz w:val="18"/>
              </w:rPr>
            </w:pPr>
            <w:r>
              <w:rPr>
                <w:color w:val="333333"/>
                <w:sz w:val="18"/>
              </w:rPr>
              <w:t>46</w:t>
            </w:r>
          </w:p>
        </w:tc>
        <w:tc>
          <w:tcPr>
            <w:tcW w:w="600" w:type="dxa"/>
          </w:tcPr>
          <w:p>
            <w:pPr>
              <w:pStyle w:val="TableParagraph"/>
              <w:spacing w:line="206" w:lineRule="exact"/>
              <w:ind w:left="75" w:right="75"/>
              <w:rPr>
                <w:sz w:val="18"/>
              </w:rPr>
            </w:pPr>
            <w:r>
              <w:rPr>
                <w:color w:val="333333"/>
                <w:sz w:val="18"/>
              </w:rPr>
              <w:t>43</w:t>
            </w:r>
          </w:p>
        </w:tc>
        <w:tc>
          <w:tcPr>
            <w:tcW w:w="607" w:type="dxa"/>
          </w:tcPr>
          <w:p>
            <w:pPr>
              <w:pStyle w:val="TableParagraph"/>
              <w:spacing w:line="201" w:lineRule="exact"/>
              <w:ind w:left="148"/>
              <w:jc w:val="left"/>
              <w:rPr>
                <w:b/>
                <w:sz w:val="18"/>
              </w:rPr>
            </w:pPr>
            <w:r>
              <w:rPr>
                <w:b/>
                <w:sz w:val="18"/>
              </w:rPr>
              <w:t>520</w:t>
            </w:r>
          </w:p>
        </w:tc>
      </w:tr>
      <w:tr>
        <w:trPr>
          <w:trHeight w:val="322" w:hRule="exact"/>
        </w:trPr>
        <w:tc>
          <w:tcPr>
            <w:tcW w:w="2801" w:type="dxa"/>
          </w:tcPr>
          <w:p>
            <w:pPr>
              <w:pStyle w:val="TableParagraph"/>
              <w:spacing w:line="206" w:lineRule="exact"/>
              <w:ind w:left="64"/>
              <w:jc w:val="left"/>
              <w:rPr>
                <w:sz w:val="18"/>
              </w:rPr>
            </w:pPr>
            <w:r>
              <w:rPr>
                <w:color w:val="333333"/>
                <w:sz w:val="18"/>
              </w:rPr>
              <w:t>ALMOLOYA DEL RIO</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2</w:t>
            </w:r>
          </w:p>
        </w:tc>
        <w:tc>
          <w:tcPr>
            <w:tcW w:w="600" w:type="dxa"/>
          </w:tcPr>
          <w:p>
            <w:pPr>
              <w:pStyle w:val="TableParagraph"/>
              <w:spacing w:line="206" w:lineRule="exact"/>
              <w:rPr>
                <w:sz w:val="18"/>
              </w:rPr>
            </w:pPr>
            <w:r>
              <w:rPr>
                <w:color w:val="333333"/>
                <w:w w:val="99"/>
                <w:sz w:val="18"/>
              </w:rPr>
              <w:t>8</w:t>
            </w:r>
          </w:p>
        </w:tc>
        <w:tc>
          <w:tcPr>
            <w:tcW w:w="600" w:type="dxa"/>
          </w:tcPr>
          <w:p>
            <w:pPr>
              <w:pStyle w:val="TableParagraph"/>
              <w:spacing w:line="206" w:lineRule="exact"/>
              <w:ind w:left="75" w:right="75"/>
              <w:rPr>
                <w:sz w:val="18"/>
              </w:rPr>
            </w:pPr>
            <w:r>
              <w:rPr>
                <w:color w:val="333333"/>
                <w:sz w:val="18"/>
              </w:rPr>
              <w:t>15</w:t>
            </w:r>
          </w:p>
        </w:tc>
        <w:tc>
          <w:tcPr>
            <w:tcW w:w="600" w:type="dxa"/>
          </w:tcPr>
          <w:p>
            <w:pPr>
              <w:pStyle w:val="TableParagraph"/>
              <w:spacing w:line="206" w:lineRule="exact"/>
              <w:ind w:left="75" w:right="75"/>
              <w:rPr>
                <w:sz w:val="18"/>
              </w:rPr>
            </w:pPr>
            <w:r>
              <w:rPr>
                <w:color w:val="333333"/>
                <w:sz w:val="18"/>
              </w:rPr>
              <w:t>44</w:t>
            </w:r>
          </w:p>
        </w:tc>
        <w:tc>
          <w:tcPr>
            <w:tcW w:w="600" w:type="dxa"/>
          </w:tcPr>
          <w:p>
            <w:pPr>
              <w:pStyle w:val="TableParagraph"/>
              <w:spacing w:line="206" w:lineRule="exact"/>
              <w:ind w:left="75" w:right="75"/>
              <w:rPr>
                <w:sz w:val="18"/>
              </w:rPr>
            </w:pPr>
            <w:r>
              <w:rPr>
                <w:color w:val="333333"/>
                <w:sz w:val="18"/>
              </w:rPr>
              <w:t>41</w:t>
            </w:r>
          </w:p>
        </w:tc>
        <w:tc>
          <w:tcPr>
            <w:tcW w:w="600" w:type="dxa"/>
          </w:tcPr>
          <w:p>
            <w:pPr>
              <w:pStyle w:val="TableParagraph"/>
              <w:spacing w:line="206" w:lineRule="exact"/>
              <w:ind w:left="75" w:right="75"/>
              <w:rPr>
                <w:sz w:val="18"/>
              </w:rPr>
            </w:pPr>
            <w:r>
              <w:rPr>
                <w:color w:val="333333"/>
                <w:sz w:val="18"/>
              </w:rPr>
              <w:t>25</w:t>
            </w:r>
          </w:p>
        </w:tc>
        <w:tc>
          <w:tcPr>
            <w:tcW w:w="600" w:type="dxa"/>
          </w:tcPr>
          <w:p>
            <w:pPr>
              <w:pStyle w:val="TableParagraph"/>
              <w:spacing w:line="206" w:lineRule="exact"/>
              <w:ind w:left="75" w:right="75"/>
              <w:rPr>
                <w:sz w:val="18"/>
              </w:rPr>
            </w:pPr>
            <w:r>
              <w:rPr>
                <w:color w:val="333333"/>
                <w:sz w:val="18"/>
              </w:rPr>
              <w:t>26</w:t>
            </w:r>
          </w:p>
        </w:tc>
        <w:tc>
          <w:tcPr>
            <w:tcW w:w="601" w:type="dxa"/>
          </w:tcPr>
          <w:p>
            <w:pPr>
              <w:pStyle w:val="TableParagraph"/>
              <w:spacing w:line="206" w:lineRule="exact"/>
              <w:rPr>
                <w:sz w:val="18"/>
              </w:rPr>
            </w:pPr>
            <w:r>
              <w:rPr>
                <w:color w:val="333333"/>
                <w:w w:val="99"/>
                <w:sz w:val="18"/>
              </w:rPr>
              <w:t>9</w:t>
            </w:r>
          </w:p>
        </w:tc>
        <w:tc>
          <w:tcPr>
            <w:tcW w:w="600" w:type="dxa"/>
          </w:tcPr>
          <w:p>
            <w:pPr>
              <w:pStyle w:val="TableParagraph"/>
              <w:spacing w:line="206" w:lineRule="exact"/>
              <w:ind w:left="75" w:right="75"/>
              <w:rPr>
                <w:sz w:val="18"/>
              </w:rPr>
            </w:pPr>
            <w:r>
              <w:rPr>
                <w:color w:val="333333"/>
                <w:sz w:val="18"/>
              </w:rPr>
              <w:t>28</w:t>
            </w:r>
          </w:p>
        </w:tc>
        <w:tc>
          <w:tcPr>
            <w:tcW w:w="607" w:type="dxa"/>
          </w:tcPr>
          <w:p>
            <w:pPr>
              <w:pStyle w:val="TableParagraph"/>
              <w:spacing w:line="201" w:lineRule="exact"/>
              <w:ind w:left="148"/>
              <w:jc w:val="left"/>
              <w:rPr>
                <w:b/>
                <w:sz w:val="18"/>
              </w:rPr>
            </w:pPr>
            <w:r>
              <w:rPr>
                <w:b/>
                <w:sz w:val="18"/>
              </w:rPr>
              <w:t>198</w:t>
            </w:r>
          </w:p>
        </w:tc>
      </w:tr>
      <w:tr>
        <w:trPr>
          <w:trHeight w:val="319" w:hRule="exact"/>
        </w:trPr>
        <w:tc>
          <w:tcPr>
            <w:tcW w:w="2801" w:type="dxa"/>
          </w:tcPr>
          <w:p>
            <w:pPr>
              <w:pStyle w:val="TableParagraph"/>
              <w:spacing w:line="206" w:lineRule="exact"/>
              <w:ind w:left="64"/>
              <w:jc w:val="left"/>
              <w:rPr>
                <w:sz w:val="18"/>
              </w:rPr>
            </w:pPr>
            <w:r>
              <w:rPr>
                <w:color w:val="333333"/>
                <w:sz w:val="18"/>
              </w:rPr>
              <w:t>AMANALCO</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2</w:t>
            </w:r>
          </w:p>
        </w:tc>
        <w:tc>
          <w:tcPr>
            <w:tcW w:w="600" w:type="dxa"/>
          </w:tcPr>
          <w:p>
            <w:pPr>
              <w:pStyle w:val="TableParagraph"/>
              <w:spacing w:line="206" w:lineRule="exact"/>
              <w:ind w:left="75" w:right="75"/>
              <w:rPr>
                <w:sz w:val="18"/>
              </w:rPr>
            </w:pPr>
            <w:r>
              <w:rPr>
                <w:color w:val="333333"/>
                <w:sz w:val="18"/>
              </w:rPr>
              <w:t>18</w:t>
            </w:r>
          </w:p>
        </w:tc>
        <w:tc>
          <w:tcPr>
            <w:tcW w:w="600" w:type="dxa"/>
          </w:tcPr>
          <w:p>
            <w:pPr>
              <w:pStyle w:val="TableParagraph"/>
              <w:spacing w:line="206" w:lineRule="exact"/>
              <w:ind w:left="75" w:right="75"/>
              <w:rPr>
                <w:sz w:val="18"/>
              </w:rPr>
            </w:pPr>
            <w:r>
              <w:rPr>
                <w:color w:val="333333"/>
                <w:sz w:val="18"/>
              </w:rPr>
              <w:t>31</w:t>
            </w:r>
          </w:p>
        </w:tc>
        <w:tc>
          <w:tcPr>
            <w:tcW w:w="600" w:type="dxa"/>
          </w:tcPr>
          <w:p>
            <w:pPr>
              <w:pStyle w:val="TableParagraph"/>
              <w:spacing w:line="206" w:lineRule="exact"/>
              <w:ind w:left="75" w:right="75"/>
              <w:rPr>
                <w:sz w:val="18"/>
              </w:rPr>
            </w:pPr>
            <w:r>
              <w:rPr>
                <w:color w:val="333333"/>
                <w:sz w:val="18"/>
              </w:rPr>
              <w:t>35</w:t>
            </w:r>
          </w:p>
        </w:tc>
        <w:tc>
          <w:tcPr>
            <w:tcW w:w="600" w:type="dxa"/>
          </w:tcPr>
          <w:p>
            <w:pPr>
              <w:pStyle w:val="TableParagraph"/>
              <w:spacing w:line="206" w:lineRule="exact"/>
              <w:ind w:left="75" w:right="75"/>
              <w:rPr>
                <w:sz w:val="18"/>
              </w:rPr>
            </w:pPr>
            <w:r>
              <w:rPr>
                <w:color w:val="333333"/>
                <w:sz w:val="18"/>
              </w:rPr>
              <w:t>16</w:t>
            </w:r>
          </w:p>
        </w:tc>
        <w:tc>
          <w:tcPr>
            <w:tcW w:w="600" w:type="dxa"/>
          </w:tcPr>
          <w:p>
            <w:pPr>
              <w:pStyle w:val="TableParagraph"/>
              <w:spacing w:line="206" w:lineRule="exact"/>
              <w:ind w:left="75" w:right="75"/>
              <w:rPr>
                <w:sz w:val="18"/>
              </w:rPr>
            </w:pPr>
            <w:r>
              <w:rPr>
                <w:color w:val="333333"/>
                <w:sz w:val="18"/>
              </w:rPr>
              <w:t>28</w:t>
            </w:r>
          </w:p>
        </w:tc>
        <w:tc>
          <w:tcPr>
            <w:tcW w:w="600" w:type="dxa"/>
          </w:tcPr>
          <w:p>
            <w:pPr>
              <w:pStyle w:val="TableParagraph"/>
              <w:spacing w:line="206" w:lineRule="exact"/>
              <w:ind w:left="75" w:right="75"/>
              <w:rPr>
                <w:sz w:val="18"/>
              </w:rPr>
            </w:pPr>
            <w:r>
              <w:rPr>
                <w:color w:val="333333"/>
                <w:sz w:val="18"/>
              </w:rPr>
              <w:t>21</w:t>
            </w:r>
          </w:p>
        </w:tc>
        <w:tc>
          <w:tcPr>
            <w:tcW w:w="601" w:type="dxa"/>
          </w:tcPr>
          <w:p>
            <w:pPr>
              <w:pStyle w:val="TableParagraph"/>
              <w:spacing w:line="206" w:lineRule="exact"/>
              <w:rPr>
                <w:sz w:val="18"/>
              </w:rPr>
            </w:pPr>
            <w:r>
              <w:rPr>
                <w:color w:val="333333"/>
                <w:w w:val="99"/>
                <w:sz w:val="18"/>
              </w:rPr>
              <w:t>9</w:t>
            </w:r>
          </w:p>
        </w:tc>
        <w:tc>
          <w:tcPr>
            <w:tcW w:w="600" w:type="dxa"/>
          </w:tcPr>
          <w:p>
            <w:pPr>
              <w:pStyle w:val="TableParagraph"/>
              <w:spacing w:line="206" w:lineRule="exact"/>
              <w:ind w:left="75" w:right="75"/>
              <w:rPr>
                <w:sz w:val="18"/>
              </w:rPr>
            </w:pPr>
            <w:r>
              <w:rPr>
                <w:color w:val="333333"/>
                <w:sz w:val="18"/>
              </w:rPr>
              <w:t>14</w:t>
            </w:r>
          </w:p>
        </w:tc>
        <w:tc>
          <w:tcPr>
            <w:tcW w:w="607" w:type="dxa"/>
          </w:tcPr>
          <w:p>
            <w:pPr>
              <w:pStyle w:val="TableParagraph"/>
              <w:spacing w:line="201" w:lineRule="exact"/>
              <w:ind w:left="148"/>
              <w:jc w:val="left"/>
              <w:rPr>
                <w:b/>
                <w:sz w:val="18"/>
              </w:rPr>
            </w:pPr>
            <w:r>
              <w:rPr>
                <w:b/>
                <w:sz w:val="18"/>
              </w:rPr>
              <w:t>174</w:t>
            </w:r>
          </w:p>
        </w:tc>
      </w:tr>
      <w:tr>
        <w:trPr>
          <w:trHeight w:val="322" w:hRule="exact"/>
        </w:trPr>
        <w:tc>
          <w:tcPr>
            <w:tcW w:w="2801" w:type="dxa"/>
          </w:tcPr>
          <w:p>
            <w:pPr>
              <w:pStyle w:val="TableParagraph"/>
              <w:spacing w:before="1"/>
              <w:ind w:left="64"/>
              <w:jc w:val="left"/>
              <w:rPr>
                <w:sz w:val="18"/>
              </w:rPr>
            </w:pPr>
            <w:r>
              <w:rPr>
                <w:color w:val="333333"/>
                <w:sz w:val="18"/>
              </w:rPr>
              <w:t>AMATEPEC</w:t>
            </w:r>
          </w:p>
        </w:tc>
        <w:tc>
          <w:tcPr>
            <w:tcW w:w="601" w:type="dxa"/>
          </w:tcPr>
          <w:p>
            <w:pPr>
              <w:pStyle w:val="TableParagraph"/>
              <w:spacing w:before="1"/>
              <w:rPr>
                <w:sz w:val="18"/>
              </w:rPr>
            </w:pPr>
            <w:r>
              <w:rPr>
                <w:color w:val="333333"/>
                <w:w w:val="99"/>
                <w:sz w:val="18"/>
              </w:rPr>
              <w:t>0</w:t>
            </w:r>
          </w:p>
        </w:tc>
        <w:tc>
          <w:tcPr>
            <w:tcW w:w="600" w:type="dxa"/>
          </w:tcPr>
          <w:p>
            <w:pPr>
              <w:pStyle w:val="TableParagraph"/>
              <w:spacing w:before="1"/>
              <w:ind w:right="243"/>
              <w:jc w:val="right"/>
              <w:rPr>
                <w:sz w:val="18"/>
              </w:rPr>
            </w:pPr>
            <w:r>
              <w:rPr>
                <w:color w:val="333333"/>
                <w:w w:val="99"/>
                <w:sz w:val="18"/>
              </w:rPr>
              <w:t>0</w:t>
            </w:r>
          </w:p>
        </w:tc>
        <w:tc>
          <w:tcPr>
            <w:tcW w:w="600" w:type="dxa"/>
          </w:tcPr>
          <w:p>
            <w:pPr>
              <w:pStyle w:val="TableParagraph"/>
              <w:spacing w:before="1"/>
              <w:rPr>
                <w:sz w:val="18"/>
              </w:rPr>
            </w:pPr>
            <w:r>
              <w:rPr>
                <w:color w:val="333333"/>
                <w:w w:val="99"/>
                <w:sz w:val="18"/>
              </w:rPr>
              <w:t>0</w:t>
            </w:r>
          </w:p>
        </w:tc>
        <w:tc>
          <w:tcPr>
            <w:tcW w:w="600" w:type="dxa"/>
          </w:tcPr>
          <w:p>
            <w:pPr>
              <w:pStyle w:val="TableParagraph"/>
              <w:spacing w:before="1"/>
              <w:rPr>
                <w:sz w:val="18"/>
              </w:rPr>
            </w:pPr>
            <w:r>
              <w:rPr>
                <w:color w:val="333333"/>
                <w:w w:val="99"/>
                <w:sz w:val="18"/>
              </w:rPr>
              <w:t>9</w:t>
            </w:r>
          </w:p>
        </w:tc>
        <w:tc>
          <w:tcPr>
            <w:tcW w:w="600" w:type="dxa"/>
          </w:tcPr>
          <w:p>
            <w:pPr>
              <w:pStyle w:val="TableParagraph"/>
              <w:spacing w:before="1"/>
              <w:ind w:left="75" w:right="75"/>
              <w:rPr>
                <w:sz w:val="18"/>
              </w:rPr>
            </w:pPr>
            <w:r>
              <w:rPr>
                <w:color w:val="333333"/>
                <w:sz w:val="18"/>
              </w:rPr>
              <w:t>19</w:t>
            </w:r>
          </w:p>
        </w:tc>
        <w:tc>
          <w:tcPr>
            <w:tcW w:w="600" w:type="dxa"/>
          </w:tcPr>
          <w:p>
            <w:pPr>
              <w:pStyle w:val="TableParagraph"/>
              <w:spacing w:before="1"/>
              <w:ind w:left="75" w:right="75"/>
              <w:rPr>
                <w:sz w:val="18"/>
              </w:rPr>
            </w:pPr>
            <w:r>
              <w:rPr>
                <w:color w:val="333333"/>
                <w:sz w:val="18"/>
              </w:rPr>
              <w:t>27</w:t>
            </w:r>
          </w:p>
        </w:tc>
        <w:tc>
          <w:tcPr>
            <w:tcW w:w="600" w:type="dxa"/>
          </w:tcPr>
          <w:p>
            <w:pPr>
              <w:pStyle w:val="TableParagraph"/>
              <w:spacing w:before="1"/>
              <w:ind w:left="75" w:right="75"/>
              <w:rPr>
                <w:sz w:val="18"/>
              </w:rPr>
            </w:pPr>
            <w:r>
              <w:rPr>
                <w:color w:val="333333"/>
                <w:sz w:val="18"/>
              </w:rPr>
              <w:t>17</w:t>
            </w:r>
          </w:p>
        </w:tc>
        <w:tc>
          <w:tcPr>
            <w:tcW w:w="600" w:type="dxa"/>
          </w:tcPr>
          <w:p>
            <w:pPr>
              <w:pStyle w:val="TableParagraph"/>
              <w:spacing w:before="1"/>
              <w:ind w:left="75" w:right="75"/>
              <w:rPr>
                <w:sz w:val="18"/>
              </w:rPr>
            </w:pPr>
            <w:r>
              <w:rPr>
                <w:color w:val="333333"/>
                <w:sz w:val="18"/>
              </w:rPr>
              <w:t>23</w:t>
            </w:r>
          </w:p>
        </w:tc>
        <w:tc>
          <w:tcPr>
            <w:tcW w:w="600" w:type="dxa"/>
          </w:tcPr>
          <w:p>
            <w:pPr>
              <w:pStyle w:val="TableParagraph"/>
              <w:spacing w:before="1"/>
              <w:ind w:left="75" w:right="75"/>
              <w:rPr>
                <w:sz w:val="18"/>
              </w:rPr>
            </w:pPr>
            <w:r>
              <w:rPr>
                <w:color w:val="333333"/>
                <w:sz w:val="18"/>
              </w:rPr>
              <w:t>22</w:t>
            </w:r>
          </w:p>
        </w:tc>
        <w:tc>
          <w:tcPr>
            <w:tcW w:w="601" w:type="dxa"/>
          </w:tcPr>
          <w:p>
            <w:pPr>
              <w:pStyle w:val="TableParagraph"/>
              <w:spacing w:before="1"/>
              <w:rPr>
                <w:sz w:val="18"/>
              </w:rPr>
            </w:pPr>
            <w:r>
              <w:rPr>
                <w:color w:val="333333"/>
                <w:w w:val="99"/>
                <w:sz w:val="18"/>
              </w:rPr>
              <w:t>7</w:t>
            </w:r>
          </w:p>
        </w:tc>
        <w:tc>
          <w:tcPr>
            <w:tcW w:w="600" w:type="dxa"/>
          </w:tcPr>
          <w:p>
            <w:pPr>
              <w:pStyle w:val="TableParagraph"/>
              <w:spacing w:before="1"/>
              <w:ind w:left="75" w:right="75"/>
              <w:rPr>
                <w:sz w:val="18"/>
              </w:rPr>
            </w:pPr>
            <w:r>
              <w:rPr>
                <w:color w:val="333333"/>
                <w:sz w:val="18"/>
              </w:rPr>
              <w:t>16</w:t>
            </w:r>
          </w:p>
        </w:tc>
        <w:tc>
          <w:tcPr>
            <w:tcW w:w="607" w:type="dxa"/>
          </w:tcPr>
          <w:p>
            <w:pPr>
              <w:pStyle w:val="TableParagraph"/>
              <w:spacing w:line="204" w:lineRule="exact"/>
              <w:ind w:left="148"/>
              <w:jc w:val="left"/>
              <w:rPr>
                <w:b/>
                <w:sz w:val="18"/>
              </w:rPr>
            </w:pPr>
            <w:r>
              <w:rPr>
                <w:b/>
                <w:sz w:val="18"/>
              </w:rPr>
              <w:t>140</w:t>
            </w:r>
          </w:p>
        </w:tc>
      </w:tr>
      <w:tr>
        <w:trPr>
          <w:trHeight w:val="319" w:hRule="exact"/>
        </w:trPr>
        <w:tc>
          <w:tcPr>
            <w:tcW w:w="2801" w:type="dxa"/>
          </w:tcPr>
          <w:p>
            <w:pPr>
              <w:pStyle w:val="TableParagraph"/>
              <w:spacing w:line="206" w:lineRule="exact"/>
              <w:ind w:left="64"/>
              <w:jc w:val="left"/>
              <w:rPr>
                <w:sz w:val="18"/>
              </w:rPr>
            </w:pPr>
            <w:r>
              <w:rPr>
                <w:color w:val="333333"/>
                <w:sz w:val="18"/>
              </w:rPr>
              <w:t>AMECAMECA</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192"/>
              <w:jc w:val="right"/>
              <w:rPr>
                <w:sz w:val="18"/>
              </w:rPr>
            </w:pPr>
            <w:r>
              <w:rPr>
                <w:color w:val="333333"/>
                <w:w w:val="95"/>
                <w:sz w:val="18"/>
              </w:rPr>
              <w:t>21</w:t>
            </w:r>
          </w:p>
        </w:tc>
        <w:tc>
          <w:tcPr>
            <w:tcW w:w="600" w:type="dxa"/>
          </w:tcPr>
          <w:p>
            <w:pPr>
              <w:pStyle w:val="TableParagraph"/>
              <w:spacing w:line="206" w:lineRule="exact"/>
              <w:rPr>
                <w:sz w:val="18"/>
              </w:rPr>
            </w:pPr>
            <w:r>
              <w:rPr>
                <w:color w:val="333333"/>
                <w:w w:val="99"/>
                <w:sz w:val="18"/>
              </w:rPr>
              <w:t>6</w:t>
            </w:r>
          </w:p>
        </w:tc>
        <w:tc>
          <w:tcPr>
            <w:tcW w:w="600" w:type="dxa"/>
          </w:tcPr>
          <w:p>
            <w:pPr>
              <w:pStyle w:val="TableParagraph"/>
              <w:spacing w:line="206" w:lineRule="exact"/>
              <w:ind w:left="75" w:right="75"/>
              <w:rPr>
                <w:sz w:val="18"/>
              </w:rPr>
            </w:pPr>
            <w:r>
              <w:rPr>
                <w:color w:val="333333"/>
                <w:sz w:val="18"/>
              </w:rPr>
              <w:t>19</w:t>
            </w:r>
          </w:p>
        </w:tc>
        <w:tc>
          <w:tcPr>
            <w:tcW w:w="600" w:type="dxa"/>
          </w:tcPr>
          <w:p>
            <w:pPr>
              <w:pStyle w:val="TableParagraph"/>
              <w:spacing w:line="206" w:lineRule="exact"/>
              <w:ind w:left="75" w:right="75"/>
              <w:rPr>
                <w:sz w:val="18"/>
              </w:rPr>
            </w:pPr>
            <w:r>
              <w:rPr>
                <w:color w:val="333333"/>
                <w:sz w:val="18"/>
              </w:rPr>
              <w:t>40</w:t>
            </w:r>
          </w:p>
        </w:tc>
        <w:tc>
          <w:tcPr>
            <w:tcW w:w="600" w:type="dxa"/>
          </w:tcPr>
          <w:p>
            <w:pPr>
              <w:pStyle w:val="TableParagraph"/>
              <w:spacing w:line="206" w:lineRule="exact"/>
              <w:ind w:left="75" w:right="75"/>
              <w:rPr>
                <w:sz w:val="18"/>
              </w:rPr>
            </w:pPr>
            <w:r>
              <w:rPr>
                <w:color w:val="333333"/>
                <w:sz w:val="18"/>
              </w:rPr>
              <w:t>43</w:t>
            </w:r>
          </w:p>
        </w:tc>
        <w:tc>
          <w:tcPr>
            <w:tcW w:w="600" w:type="dxa"/>
          </w:tcPr>
          <w:p>
            <w:pPr>
              <w:pStyle w:val="TableParagraph"/>
              <w:spacing w:line="206" w:lineRule="exact"/>
              <w:ind w:left="75" w:right="75"/>
              <w:rPr>
                <w:sz w:val="18"/>
              </w:rPr>
            </w:pPr>
            <w:r>
              <w:rPr>
                <w:color w:val="333333"/>
                <w:sz w:val="18"/>
              </w:rPr>
              <w:t>67</w:t>
            </w:r>
          </w:p>
        </w:tc>
        <w:tc>
          <w:tcPr>
            <w:tcW w:w="600" w:type="dxa"/>
          </w:tcPr>
          <w:p>
            <w:pPr>
              <w:pStyle w:val="TableParagraph"/>
              <w:spacing w:line="206" w:lineRule="exact"/>
              <w:ind w:left="75" w:right="75"/>
              <w:rPr>
                <w:sz w:val="18"/>
              </w:rPr>
            </w:pPr>
            <w:r>
              <w:rPr>
                <w:color w:val="333333"/>
                <w:sz w:val="18"/>
              </w:rPr>
              <w:t>30</w:t>
            </w:r>
          </w:p>
        </w:tc>
        <w:tc>
          <w:tcPr>
            <w:tcW w:w="600" w:type="dxa"/>
          </w:tcPr>
          <w:p>
            <w:pPr>
              <w:pStyle w:val="TableParagraph"/>
              <w:spacing w:line="206" w:lineRule="exact"/>
              <w:ind w:left="75" w:right="75"/>
              <w:rPr>
                <w:sz w:val="18"/>
              </w:rPr>
            </w:pPr>
            <w:r>
              <w:rPr>
                <w:color w:val="333333"/>
                <w:sz w:val="18"/>
              </w:rPr>
              <w:t>80</w:t>
            </w:r>
          </w:p>
        </w:tc>
        <w:tc>
          <w:tcPr>
            <w:tcW w:w="601" w:type="dxa"/>
          </w:tcPr>
          <w:p>
            <w:pPr>
              <w:pStyle w:val="TableParagraph"/>
              <w:spacing w:line="206" w:lineRule="exact"/>
              <w:ind w:left="75" w:right="75"/>
              <w:rPr>
                <w:sz w:val="18"/>
              </w:rPr>
            </w:pPr>
            <w:r>
              <w:rPr>
                <w:color w:val="333333"/>
                <w:sz w:val="18"/>
              </w:rPr>
              <w:t>35</w:t>
            </w:r>
          </w:p>
        </w:tc>
        <w:tc>
          <w:tcPr>
            <w:tcW w:w="600" w:type="dxa"/>
          </w:tcPr>
          <w:p>
            <w:pPr>
              <w:pStyle w:val="TableParagraph"/>
              <w:spacing w:line="206" w:lineRule="exact"/>
              <w:ind w:left="75" w:right="75"/>
              <w:rPr>
                <w:sz w:val="18"/>
              </w:rPr>
            </w:pPr>
            <w:r>
              <w:rPr>
                <w:color w:val="333333"/>
                <w:sz w:val="18"/>
              </w:rPr>
              <w:t>25</w:t>
            </w:r>
          </w:p>
        </w:tc>
        <w:tc>
          <w:tcPr>
            <w:tcW w:w="607" w:type="dxa"/>
          </w:tcPr>
          <w:p>
            <w:pPr>
              <w:pStyle w:val="TableParagraph"/>
              <w:spacing w:line="201" w:lineRule="exact"/>
              <w:ind w:left="148"/>
              <w:jc w:val="left"/>
              <w:rPr>
                <w:b/>
                <w:sz w:val="18"/>
              </w:rPr>
            </w:pPr>
            <w:r>
              <w:rPr>
                <w:b/>
                <w:sz w:val="18"/>
              </w:rPr>
              <w:t>366</w:t>
            </w:r>
          </w:p>
        </w:tc>
      </w:tr>
      <w:tr>
        <w:trPr>
          <w:trHeight w:val="322" w:hRule="exact"/>
        </w:trPr>
        <w:tc>
          <w:tcPr>
            <w:tcW w:w="2801" w:type="dxa"/>
          </w:tcPr>
          <w:p>
            <w:pPr>
              <w:pStyle w:val="TableParagraph"/>
              <w:spacing w:before="1"/>
              <w:ind w:left="64"/>
              <w:jc w:val="left"/>
              <w:rPr>
                <w:sz w:val="18"/>
              </w:rPr>
            </w:pPr>
            <w:r>
              <w:rPr>
                <w:color w:val="333333"/>
                <w:sz w:val="18"/>
              </w:rPr>
              <w:t>APAXCO</w:t>
            </w:r>
          </w:p>
        </w:tc>
        <w:tc>
          <w:tcPr>
            <w:tcW w:w="601" w:type="dxa"/>
          </w:tcPr>
          <w:p>
            <w:pPr>
              <w:pStyle w:val="TableParagraph"/>
              <w:spacing w:before="1"/>
              <w:rPr>
                <w:sz w:val="18"/>
              </w:rPr>
            </w:pPr>
            <w:r>
              <w:rPr>
                <w:color w:val="333333"/>
                <w:w w:val="99"/>
                <w:sz w:val="18"/>
              </w:rPr>
              <w:t>0</w:t>
            </w:r>
          </w:p>
        </w:tc>
        <w:tc>
          <w:tcPr>
            <w:tcW w:w="600" w:type="dxa"/>
          </w:tcPr>
          <w:p>
            <w:pPr>
              <w:pStyle w:val="TableParagraph"/>
              <w:spacing w:before="1"/>
              <w:ind w:right="243"/>
              <w:jc w:val="right"/>
              <w:rPr>
                <w:sz w:val="18"/>
              </w:rPr>
            </w:pPr>
            <w:r>
              <w:rPr>
                <w:color w:val="333333"/>
                <w:w w:val="99"/>
                <w:sz w:val="18"/>
              </w:rPr>
              <w:t>0</w:t>
            </w:r>
          </w:p>
        </w:tc>
        <w:tc>
          <w:tcPr>
            <w:tcW w:w="600" w:type="dxa"/>
          </w:tcPr>
          <w:p>
            <w:pPr>
              <w:pStyle w:val="TableParagraph"/>
              <w:spacing w:before="1"/>
              <w:rPr>
                <w:sz w:val="18"/>
              </w:rPr>
            </w:pPr>
            <w:r>
              <w:rPr>
                <w:color w:val="333333"/>
                <w:w w:val="99"/>
                <w:sz w:val="18"/>
              </w:rPr>
              <w:t>2</w:t>
            </w:r>
          </w:p>
        </w:tc>
        <w:tc>
          <w:tcPr>
            <w:tcW w:w="600" w:type="dxa"/>
          </w:tcPr>
          <w:p>
            <w:pPr>
              <w:pStyle w:val="TableParagraph"/>
              <w:spacing w:before="1"/>
              <w:ind w:left="75" w:right="75"/>
              <w:rPr>
                <w:sz w:val="18"/>
              </w:rPr>
            </w:pPr>
            <w:r>
              <w:rPr>
                <w:color w:val="333333"/>
                <w:sz w:val="18"/>
              </w:rPr>
              <w:t>13</w:t>
            </w:r>
          </w:p>
        </w:tc>
        <w:tc>
          <w:tcPr>
            <w:tcW w:w="600" w:type="dxa"/>
          </w:tcPr>
          <w:p>
            <w:pPr>
              <w:pStyle w:val="TableParagraph"/>
              <w:spacing w:before="1"/>
              <w:ind w:left="75" w:right="75"/>
              <w:rPr>
                <w:sz w:val="18"/>
              </w:rPr>
            </w:pPr>
            <w:r>
              <w:rPr>
                <w:color w:val="333333"/>
                <w:sz w:val="18"/>
              </w:rPr>
              <w:t>26</w:t>
            </w:r>
          </w:p>
        </w:tc>
        <w:tc>
          <w:tcPr>
            <w:tcW w:w="600" w:type="dxa"/>
          </w:tcPr>
          <w:p>
            <w:pPr>
              <w:pStyle w:val="TableParagraph"/>
              <w:spacing w:before="1"/>
              <w:ind w:left="75" w:right="75"/>
              <w:rPr>
                <w:sz w:val="18"/>
              </w:rPr>
            </w:pPr>
            <w:r>
              <w:rPr>
                <w:color w:val="333333"/>
                <w:sz w:val="18"/>
              </w:rPr>
              <w:t>33</w:t>
            </w:r>
          </w:p>
        </w:tc>
        <w:tc>
          <w:tcPr>
            <w:tcW w:w="600" w:type="dxa"/>
          </w:tcPr>
          <w:p>
            <w:pPr>
              <w:pStyle w:val="TableParagraph"/>
              <w:spacing w:before="1"/>
              <w:ind w:left="75" w:right="75"/>
              <w:rPr>
                <w:sz w:val="18"/>
              </w:rPr>
            </w:pPr>
            <w:r>
              <w:rPr>
                <w:color w:val="333333"/>
                <w:sz w:val="18"/>
              </w:rPr>
              <w:t>27</w:t>
            </w:r>
          </w:p>
        </w:tc>
        <w:tc>
          <w:tcPr>
            <w:tcW w:w="600" w:type="dxa"/>
          </w:tcPr>
          <w:p>
            <w:pPr>
              <w:pStyle w:val="TableParagraph"/>
              <w:spacing w:before="1"/>
              <w:ind w:left="75" w:right="75"/>
              <w:rPr>
                <w:sz w:val="18"/>
              </w:rPr>
            </w:pPr>
            <w:r>
              <w:rPr>
                <w:color w:val="333333"/>
                <w:sz w:val="18"/>
              </w:rPr>
              <w:t>19</w:t>
            </w:r>
          </w:p>
        </w:tc>
        <w:tc>
          <w:tcPr>
            <w:tcW w:w="600" w:type="dxa"/>
          </w:tcPr>
          <w:p>
            <w:pPr>
              <w:pStyle w:val="TableParagraph"/>
              <w:spacing w:before="1"/>
              <w:ind w:left="75" w:right="75"/>
              <w:rPr>
                <w:sz w:val="18"/>
              </w:rPr>
            </w:pPr>
            <w:r>
              <w:rPr>
                <w:color w:val="333333"/>
                <w:sz w:val="18"/>
              </w:rPr>
              <w:t>20</w:t>
            </w:r>
          </w:p>
        </w:tc>
        <w:tc>
          <w:tcPr>
            <w:tcW w:w="601" w:type="dxa"/>
          </w:tcPr>
          <w:p>
            <w:pPr>
              <w:pStyle w:val="TableParagraph"/>
              <w:spacing w:before="1"/>
              <w:rPr>
                <w:sz w:val="18"/>
              </w:rPr>
            </w:pPr>
            <w:r>
              <w:rPr>
                <w:color w:val="333333"/>
                <w:w w:val="99"/>
                <w:sz w:val="18"/>
              </w:rPr>
              <w:t>7</w:t>
            </w:r>
          </w:p>
        </w:tc>
        <w:tc>
          <w:tcPr>
            <w:tcW w:w="600" w:type="dxa"/>
          </w:tcPr>
          <w:p>
            <w:pPr>
              <w:pStyle w:val="TableParagraph"/>
              <w:spacing w:before="1"/>
              <w:ind w:left="75" w:right="75"/>
              <w:rPr>
                <w:sz w:val="18"/>
              </w:rPr>
            </w:pPr>
            <w:r>
              <w:rPr>
                <w:color w:val="333333"/>
                <w:sz w:val="18"/>
              </w:rPr>
              <w:t>19</w:t>
            </w:r>
          </w:p>
        </w:tc>
        <w:tc>
          <w:tcPr>
            <w:tcW w:w="607" w:type="dxa"/>
          </w:tcPr>
          <w:p>
            <w:pPr>
              <w:pStyle w:val="TableParagraph"/>
              <w:spacing w:line="204" w:lineRule="exact"/>
              <w:ind w:left="148"/>
              <w:jc w:val="left"/>
              <w:rPr>
                <w:b/>
                <w:sz w:val="18"/>
              </w:rPr>
            </w:pPr>
            <w:r>
              <w:rPr>
                <w:b/>
                <w:sz w:val="18"/>
              </w:rPr>
              <w:t>166</w:t>
            </w:r>
          </w:p>
        </w:tc>
      </w:tr>
      <w:tr>
        <w:trPr>
          <w:trHeight w:val="319" w:hRule="exact"/>
        </w:trPr>
        <w:tc>
          <w:tcPr>
            <w:tcW w:w="2801" w:type="dxa"/>
          </w:tcPr>
          <w:p>
            <w:pPr>
              <w:pStyle w:val="TableParagraph"/>
              <w:spacing w:line="206" w:lineRule="exact"/>
              <w:ind w:left="64"/>
              <w:jc w:val="left"/>
              <w:rPr>
                <w:sz w:val="18"/>
              </w:rPr>
            </w:pPr>
            <w:r>
              <w:rPr>
                <w:color w:val="333333"/>
                <w:sz w:val="18"/>
              </w:rPr>
              <w:t>ATENCO</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1</w:t>
            </w:r>
          </w:p>
        </w:tc>
        <w:tc>
          <w:tcPr>
            <w:tcW w:w="600" w:type="dxa"/>
          </w:tcPr>
          <w:p>
            <w:pPr>
              <w:pStyle w:val="TableParagraph"/>
              <w:spacing w:line="206" w:lineRule="exact"/>
              <w:ind w:left="75" w:right="75"/>
              <w:rPr>
                <w:sz w:val="18"/>
              </w:rPr>
            </w:pPr>
            <w:r>
              <w:rPr>
                <w:color w:val="333333"/>
                <w:sz w:val="18"/>
              </w:rPr>
              <w:t>11</w:t>
            </w:r>
          </w:p>
        </w:tc>
        <w:tc>
          <w:tcPr>
            <w:tcW w:w="600" w:type="dxa"/>
          </w:tcPr>
          <w:p>
            <w:pPr>
              <w:pStyle w:val="TableParagraph"/>
              <w:spacing w:line="206" w:lineRule="exact"/>
              <w:ind w:left="75" w:right="75"/>
              <w:rPr>
                <w:sz w:val="18"/>
              </w:rPr>
            </w:pPr>
            <w:r>
              <w:rPr>
                <w:color w:val="333333"/>
                <w:sz w:val="18"/>
              </w:rPr>
              <w:t>29</w:t>
            </w:r>
          </w:p>
        </w:tc>
        <w:tc>
          <w:tcPr>
            <w:tcW w:w="600" w:type="dxa"/>
          </w:tcPr>
          <w:p>
            <w:pPr>
              <w:pStyle w:val="TableParagraph"/>
              <w:spacing w:line="206" w:lineRule="exact"/>
              <w:ind w:left="75" w:right="75"/>
              <w:rPr>
                <w:sz w:val="18"/>
              </w:rPr>
            </w:pPr>
            <w:r>
              <w:rPr>
                <w:color w:val="333333"/>
                <w:sz w:val="18"/>
              </w:rPr>
              <w:t>53</w:t>
            </w:r>
          </w:p>
        </w:tc>
        <w:tc>
          <w:tcPr>
            <w:tcW w:w="600" w:type="dxa"/>
          </w:tcPr>
          <w:p>
            <w:pPr>
              <w:pStyle w:val="TableParagraph"/>
              <w:spacing w:line="206" w:lineRule="exact"/>
              <w:ind w:left="75" w:right="75"/>
              <w:rPr>
                <w:sz w:val="18"/>
              </w:rPr>
            </w:pPr>
            <w:r>
              <w:rPr>
                <w:color w:val="333333"/>
                <w:sz w:val="18"/>
              </w:rPr>
              <w:t>34</w:t>
            </w:r>
          </w:p>
        </w:tc>
        <w:tc>
          <w:tcPr>
            <w:tcW w:w="600" w:type="dxa"/>
          </w:tcPr>
          <w:p>
            <w:pPr>
              <w:pStyle w:val="TableParagraph"/>
              <w:spacing w:line="206" w:lineRule="exact"/>
              <w:ind w:left="75" w:right="75"/>
              <w:rPr>
                <w:sz w:val="18"/>
              </w:rPr>
            </w:pPr>
            <w:r>
              <w:rPr>
                <w:color w:val="333333"/>
                <w:sz w:val="18"/>
              </w:rPr>
              <w:t>52</w:t>
            </w:r>
          </w:p>
        </w:tc>
        <w:tc>
          <w:tcPr>
            <w:tcW w:w="600" w:type="dxa"/>
          </w:tcPr>
          <w:p>
            <w:pPr>
              <w:pStyle w:val="TableParagraph"/>
              <w:spacing w:line="206" w:lineRule="exact"/>
              <w:ind w:left="75" w:right="75"/>
              <w:rPr>
                <w:sz w:val="18"/>
              </w:rPr>
            </w:pPr>
            <w:r>
              <w:rPr>
                <w:color w:val="333333"/>
                <w:sz w:val="18"/>
              </w:rPr>
              <w:t>28</w:t>
            </w:r>
          </w:p>
        </w:tc>
        <w:tc>
          <w:tcPr>
            <w:tcW w:w="600" w:type="dxa"/>
          </w:tcPr>
          <w:p>
            <w:pPr>
              <w:pStyle w:val="TableParagraph"/>
              <w:spacing w:line="206" w:lineRule="exact"/>
              <w:ind w:left="75" w:right="75"/>
              <w:rPr>
                <w:sz w:val="18"/>
              </w:rPr>
            </w:pPr>
            <w:r>
              <w:rPr>
                <w:color w:val="333333"/>
                <w:sz w:val="18"/>
              </w:rPr>
              <w:t>48</w:t>
            </w:r>
          </w:p>
        </w:tc>
        <w:tc>
          <w:tcPr>
            <w:tcW w:w="601" w:type="dxa"/>
          </w:tcPr>
          <w:p>
            <w:pPr>
              <w:pStyle w:val="TableParagraph"/>
              <w:spacing w:line="206" w:lineRule="exact"/>
              <w:ind w:left="75" w:right="75"/>
              <w:rPr>
                <w:sz w:val="18"/>
              </w:rPr>
            </w:pPr>
            <w:r>
              <w:rPr>
                <w:color w:val="333333"/>
                <w:sz w:val="18"/>
              </w:rPr>
              <w:t>20</w:t>
            </w:r>
          </w:p>
        </w:tc>
        <w:tc>
          <w:tcPr>
            <w:tcW w:w="600" w:type="dxa"/>
          </w:tcPr>
          <w:p>
            <w:pPr>
              <w:pStyle w:val="TableParagraph"/>
              <w:spacing w:line="206" w:lineRule="exact"/>
              <w:ind w:left="75" w:right="75"/>
              <w:rPr>
                <w:sz w:val="18"/>
              </w:rPr>
            </w:pPr>
            <w:r>
              <w:rPr>
                <w:color w:val="333333"/>
                <w:sz w:val="18"/>
              </w:rPr>
              <w:t>20</w:t>
            </w:r>
          </w:p>
        </w:tc>
        <w:tc>
          <w:tcPr>
            <w:tcW w:w="607" w:type="dxa"/>
          </w:tcPr>
          <w:p>
            <w:pPr>
              <w:pStyle w:val="TableParagraph"/>
              <w:spacing w:line="201" w:lineRule="exact"/>
              <w:ind w:left="148"/>
              <w:jc w:val="left"/>
              <w:rPr>
                <w:b/>
                <w:sz w:val="18"/>
              </w:rPr>
            </w:pPr>
            <w:r>
              <w:rPr>
                <w:b/>
                <w:sz w:val="18"/>
              </w:rPr>
              <w:t>296</w:t>
            </w:r>
          </w:p>
        </w:tc>
      </w:tr>
      <w:tr>
        <w:trPr>
          <w:trHeight w:val="322" w:hRule="exact"/>
        </w:trPr>
        <w:tc>
          <w:tcPr>
            <w:tcW w:w="2801" w:type="dxa"/>
          </w:tcPr>
          <w:p>
            <w:pPr>
              <w:pStyle w:val="TableParagraph"/>
              <w:spacing w:before="1"/>
              <w:ind w:left="64"/>
              <w:jc w:val="left"/>
              <w:rPr>
                <w:sz w:val="18"/>
              </w:rPr>
            </w:pPr>
            <w:r>
              <w:rPr>
                <w:color w:val="333333"/>
                <w:sz w:val="18"/>
              </w:rPr>
              <w:t>ATIZAPAN</w:t>
            </w:r>
          </w:p>
        </w:tc>
        <w:tc>
          <w:tcPr>
            <w:tcW w:w="601" w:type="dxa"/>
          </w:tcPr>
          <w:p>
            <w:pPr>
              <w:pStyle w:val="TableParagraph"/>
              <w:spacing w:before="1"/>
              <w:rPr>
                <w:sz w:val="18"/>
              </w:rPr>
            </w:pPr>
            <w:r>
              <w:rPr>
                <w:color w:val="333333"/>
                <w:w w:val="99"/>
                <w:sz w:val="18"/>
              </w:rPr>
              <w:t>0</w:t>
            </w:r>
          </w:p>
        </w:tc>
        <w:tc>
          <w:tcPr>
            <w:tcW w:w="600" w:type="dxa"/>
          </w:tcPr>
          <w:p>
            <w:pPr>
              <w:pStyle w:val="TableParagraph"/>
              <w:spacing w:before="1"/>
              <w:ind w:right="243"/>
              <w:jc w:val="right"/>
              <w:rPr>
                <w:sz w:val="18"/>
              </w:rPr>
            </w:pPr>
            <w:r>
              <w:rPr>
                <w:color w:val="333333"/>
                <w:w w:val="99"/>
                <w:sz w:val="18"/>
              </w:rPr>
              <w:t>0</w:t>
            </w:r>
          </w:p>
        </w:tc>
        <w:tc>
          <w:tcPr>
            <w:tcW w:w="600" w:type="dxa"/>
          </w:tcPr>
          <w:p>
            <w:pPr>
              <w:pStyle w:val="TableParagraph"/>
              <w:spacing w:before="1"/>
              <w:ind w:left="75" w:right="75"/>
              <w:rPr>
                <w:sz w:val="18"/>
              </w:rPr>
            </w:pPr>
            <w:r>
              <w:rPr>
                <w:color w:val="333333"/>
                <w:sz w:val="18"/>
              </w:rPr>
              <w:t>15</w:t>
            </w:r>
          </w:p>
        </w:tc>
        <w:tc>
          <w:tcPr>
            <w:tcW w:w="600" w:type="dxa"/>
          </w:tcPr>
          <w:p>
            <w:pPr>
              <w:pStyle w:val="TableParagraph"/>
              <w:spacing w:before="1"/>
              <w:ind w:left="75" w:right="75"/>
              <w:rPr>
                <w:sz w:val="18"/>
              </w:rPr>
            </w:pPr>
            <w:r>
              <w:rPr>
                <w:color w:val="333333"/>
                <w:sz w:val="18"/>
              </w:rPr>
              <w:t>12</w:t>
            </w:r>
          </w:p>
        </w:tc>
        <w:tc>
          <w:tcPr>
            <w:tcW w:w="600" w:type="dxa"/>
          </w:tcPr>
          <w:p>
            <w:pPr>
              <w:pStyle w:val="TableParagraph"/>
              <w:spacing w:before="1"/>
              <w:ind w:left="75" w:right="75"/>
              <w:rPr>
                <w:sz w:val="18"/>
              </w:rPr>
            </w:pPr>
            <w:r>
              <w:rPr>
                <w:color w:val="333333"/>
                <w:sz w:val="18"/>
              </w:rPr>
              <w:t>42</w:t>
            </w:r>
          </w:p>
        </w:tc>
        <w:tc>
          <w:tcPr>
            <w:tcW w:w="600" w:type="dxa"/>
          </w:tcPr>
          <w:p>
            <w:pPr>
              <w:pStyle w:val="TableParagraph"/>
              <w:spacing w:before="1"/>
              <w:ind w:left="75" w:right="75"/>
              <w:rPr>
                <w:sz w:val="18"/>
              </w:rPr>
            </w:pPr>
            <w:r>
              <w:rPr>
                <w:color w:val="333333"/>
                <w:sz w:val="18"/>
              </w:rPr>
              <w:t>51</w:t>
            </w:r>
          </w:p>
        </w:tc>
        <w:tc>
          <w:tcPr>
            <w:tcW w:w="600" w:type="dxa"/>
          </w:tcPr>
          <w:p>
            <w:pPr>
              <w:pStyle w:val="TableParagraph"/>
              <w:spacing w:before="1"/>
              <w:ind w:left="75" w:right="75"/>
              <w:rPr>
                <w:sz w:val="18"/>
              </w:rPr>
            </w:pPr>
            <w:r>
              <w:rPr>
                <w:color w:val="333333"/>
                <w:sz w:val="18"/>
              </w:rPr>
              <w:t>53</w:t>
            </w:r>
          </w:p>
        </w:tc>
        <w:tc>
          <w:tcPr>
            <w:tcW w:w="600" w:type="dxa"/>
          </w:tcPr>
          <w:p>
            <w:pPr>
              <w:pStyle w:val="TableParagraph"/>
              <w:spacing w:before="1"/>
              <w:ind w:left="75" w:right="75"/>
              <w:rPr>
                <w:sz w:val="18"/>
              </w:rPr>
            </w:pPr>
            <w:r>
              <w:rPr>
                <w:color w:val="333333"/>
                <w:sz w:val="18"/>
              </w:rPr>
              <w:t>29</w:t>
            </w:r>
          </w:p>
        </w:tc>
        <w:tc>
          <w:tcPr>
            <w:tcW w:w="600" w:type="dxa"/>
          </w:tcPr>
          <w:p>
            <w:pPr>
              <w:pStyle w:val="TableParagraph"/>
              <w:spacing w:before="1"/>
              <w:ind w:left="75" w:right="75"/>
              <w:rPr>
                <w:sz w:val="18"/>
              </w:rPr>
            </w:pPr>
            <w:r>
              <w:rPr>
                <w:color w:val="333333"/>
                <w:sz w:val="18"/>
              </w:rPr>
              <w:t>55</w:t>
            </w:r>
          </w:p>
        </w:tc>
        <w:tc>
          <w:tcPr>
            <w:tcW w:w="601" w:type="dxa"/>
          </w:tcPr>
          <w:p>
            <w:pPr>
              <w:pStyle w:val="TableParagraph"/>
              <w:spacing w:before="1"/>
              <w:ind w:left="75" w:right="75"/>
              <w:rPr>
                <w:sz w:val="18"/>
              </w:rPr>
            </w:pPr>
            <w:r>
              <w:rPr>
                <w:color w:val="333333"/>
                <w:sz w:val="18"/>
              </w:rPr>
              <w:t>41</w:t>
            </w:r>
          </w:p>
        </w:tc>
        <w:tc>
          <w:tcPr>
            <w:tcW w:w="600" w:type="dxa"/>
          </w:tcPr>
          <w:p>
            <w:pPr>
              <w:pStyle w:val="TableParagraph"/>
              <w:spacing w:before="1"/>
              <w:ind w:left="75" w:right="75"/>
              <w:rPr>
                <w:sz w:val="18"/>
              </w:rPr>
            </w:pPr>
            <w:r>
              <w:rPr>
                <w:color w:val="333333"/>
                <w:sz w:val="18"/>
              </w:rPr>
              <w:t>38</w:t>
            </w:r>
          </w:p>
        </w:tc>
        <w:tc>
          <w:tcPr>
            <w:tcW w:w="607" w:type="dxa"/>
          </w:tcPr>
          <w:p>
            <w:pPr>
              <w:pStyle w:val="TableParagraph"/>
              <w:spacing w:line="204" w:lineRule="exact"/>
              <w:ind w:left="148"/>
              <w:jc w:val="left"/>
              <w:rPr>
                <w:b/>
                <w:sz w:val="18"/>
              </w:rPr>
            </w:pPr>
            <w:r>
              <w:rPr>
                <w:b/>
                <w:sz w:val="18"/>
              </w:rPr>
              <w:t>336</w:t>
            </w:r>
          </w:p>
        </w:tc>
      </w:tr>
      <w:tr>
        <w:trPr>
          <w:trHeight w:val="322" w:hRule="exact"/>
        </w:trPr>
        <w:tc>
          <w:tcPr>
            <w:tcW w:w="2801" w:type="dxa"/>
          </w:tcPr>
          <w:p>
            <w:pPr>
              <w:pStyle w:val="TableParagraph"/>
              <w:spacing w:line="206" w:lineRule="exact"/>
              <w:ind w:left="64"/>
              <w:jc w:val="left"/>
              <w:rPr>
                <w:sz w:val="18"/>
              </w:rPr>
            </w:pPr>
            <w:r>
              <w:rPr>
                <w:color w:val="333333"/>
                <w:sz w:val="18"/>
              </w:rPr>
              <w:t>ATIZAPAN DE ZARAGOZA</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ind w:left="75" w:right="75"/>
              <w:rPr>
                <w:sz w:val="18"/>
              </w:rPr>
            </w:pPr>
            <w:r>
              <w:rPr>
                <w:color w:val="333333"/>
                <w:sz w:val="18"/>
              </w:rPr>
              <w:t>15</w:t>
            </w:r>
          </w:p>
        </w:tc>
        <w:tc>
          <w:tcPr>
            <w:tcW w:w="600" w:type="dxa"/>
          </w:tcPr>
          <w:p>
            <w:pPr>
              <w:pStyle w:val="TableParagraph"/>
              <w:spacing w:line="206" w:lineRule="exact"/>
              <w:ind w:left="75" w:right="75"/>
              <w:rPr>
                <w:sz w:val="18"/>
              </w:rPr>
            </w:pPr>
            <w:r>
              <w:rPr>
                <w:color w:val="333333"/>
                <w:sz w:val="18"/>
              </w:rPr>
              <w:t>210</w:t>
            </w:r>
          </w:p>
        </w:tc>
        <w:tc>
          <w:tcPr>
            <w:tcW w:w="600" w:type="dxa"/>
          </w:tcPr>
          <w:p>
            <w:pPr>
              <w:pStyle w:val="TableParagraph"/>
              <w:spacing w:line="206" w:lineRule="exact"/>
              <w:ind w:left="75" w:right="75"/>
              <w:rPr>
                <w:sz w:val="18"/>
              </w:rPr>
            </w:pPr>
            <w:r>
              <w:rPr>
                <w:color w:val="333333"/>
                <w:sz w:val="18"/>
              </w:rPr>
              <w:t>227</w:t>
            </w:r>
          </w:p>
        </w:tc>
        <w:tc>
          <w:tcPr>
            <w:tcW w:w="600" w:type="dxa"/>
          </w:tcPr>
          <w:p>
            <w:pPr>
              <w:pStyle w:val="TableParagraph"/>
              <w:spacing w:line="206" w:lineRule="exact"/>
              <w:ind w:left="75" w:right="75"/>
              <w:rPr>
                <w:sz w:val="18"/>
              </w:rPr>
            </w:pPr>
            <w:r>
              <w:rPr>
                <w:color w:val="333333"/>
                <w:sz w:val="18"/>
              </w:rPr>
              <w:t>234</w:t>
            </w:r>
          </w:p>
        </w:tc>
        <w:tc>
          <w:tcPr>
            <w:tcW w:w="600" w:type="dxa"/>
          </w:tcPr>
          <w:p>
            <w:pPr>
              <w:pStyle w:val="TableParagraph"/>
              <w:spacing w:line="206" w:lineRule="exact"/>
              <w:ind w:left="75" w:right="75"/>
              <w:rPr>
                <w:sz w:val="18"/>
              </w:rPr>
            </w:pPr>
            <w:r>
              <w:rPr>
                <w:color w:val="333333"/>
                <w:sz w:val="18"/>
              </w:rPr>
              <w:t>254</w:t>
            </w:r>
          </w:p>
        </w:tc>
        <w:tc>
          <w:tcPr>
            <w:tcW w:w="600" w:type="dxa"/>
          </w:tcPr>
          <w:p>
            <w:pPr>
              <w:pStyle w:val="TableParagraph"/>
              <w:spacing w:line="206" w:lineRule="exact"/>
              <w:ind w:left="75" w:right="75"/>
              <w:rPr>
                <w:sz w:val="18"/>
              </w:rPr>
            </w:pPr>
            <w:r>
              <w:rPr>
                <w:color w:val="333333"/>
                <w:sz w:val="18"/>
              </w:rPr>
              <w:t>187</w:t>
            </w:r>
          </w:p>
        </w:tc>
        <w:tc>
          <w:tcPr>
            <w:tcW w:w="600" w:type="dxa"/>
          </w:tcPr>
          <w:p>
            <w:pPr>
              <w:pStyle w:val="TableParagraph"/>
              <w:spacing w:line="206" w:lineRule="exact"/>
              <w:ind w:left="75" w:right="75"/>
              <w:rPr>
                <w:sz w:val="18"/>
              </w:rPr>
            </w:pPr>
            <w:r>
              <w:rPr>
                <w:color w:val="333333"/>
                <w:sz w:val="18"/>
              </w:rPr>
              <w:t>375</w:t>
            </w:r>
          </w:p>
        </w:tc>
        <w:tc>
          <w:tcPr>
            <w:tcW w:w="601" w:type="dxa"/>
          </w:tcPr>
          <w:p>
            <w:pPr>
              <w:pStyle w:val="TableParagraph"/>
              <w:spacing w:line="206" w:lineRule="exact"/>
              <w:ind w:left="75" w:right="75"/>
              <w:rPr>
                <w:sz w:val="18"/>
              </w:rPr>
            </w:pPr>
            <w:r>
              <w:rPr>
                <w:color w:val="333333"/>
                <w:sz w:val="18"/>
              </w:rPr>
              <w:t>240</w:t>
            </w:r>
          </w:p>
        </w:tc>
        <w:tc>
          <w:tcPr>
            <w:tcW w:w="600" w:type="dxa"/>
          </w:tcPr>
          <w:p>
            <w:pPr>
              <w:pStyle w:val="TableParagraph"/>
              <w:spacing w:line="206" w:lineRule="exact"/>
              <w:ind w:left="75" w:right="75"/>
              <w:rPr>
                <w:sz w:val="18"/>
              </w:rPr>
            </w:pPr>
            <w:r>
              <w:rPr>
                <w:color w:val="333333"/>
                <w:sz w:val="18"/>
              </w:rPr>
              <w:t>338</w:t>
            </w:r>
          </w:p>
        </w:tc>
        <w:tc>
          <w:tcPr>
            <w:tcW w:w="607" w:type="dxa"/>
          </w:tcPr>
          <w:p>
            <w:pPr>
              <w:pStyle w:val="TableParagraph"/>
              <w:spacing w:line="201" w:lineRule="exact"/>
              <w:ind w:left="98"/>
              <w:jc w:val="left"/>
              <w:rPr>
                <w:b/>
                <w:sz w:val="18"/>
              </w:rPr>
            </w:pPr>
            <w:r>
              <w:rPr>
                <w:b/>
                <w:sz w:val="18"/>
              </w:rPr>
              <w:t>2080</w:t>
            </w:r>
          </w:p>
        </w:tc>
      </w:tr>
      <w:tr>
        <w:trPr>
          <w:trHeight w:val="319" w:hRule="exact"/>
        </w:trPr>
        <w:tc>
          <w:tcPr>
            <w:tcW w:w="2801" w:type="dxa"/>
          </w:tcPr>
          <w:p>
            <w:pPr>
              <w:pStyle w:val="TableParagraph"/>
              <w:spacing w:line="206" w:lineRule="exact"/>
              <w:ind w:left="64"/>
              <w:jc w:val="left"/>
              <w:rPr>
                <w:sz w:val="18"/>
              </w:rPr>
            </w:pPr>
            <w:r>
              <w:rPr>
                <w:color w:val="333333"/>
                <w:sz w:val="18"/>
              </w:rPr>
              <w:t>ATLACOMULCO</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3</w:t>
            </w:r>
          </w:p>
        </w:tc>
        <w:tc>
          <w:tcPr>
            <w:tcW w:w="600" w:type="dxa"/>
          </w:tcPr>
          <w:p>
            <w:pPr>
              <w:pStyle w:val="TableParagraph"/>
              <w:spacing w:line="206" w:lineRule="exact"/>
              <w:ind w:left="75" w:right="75"/>
              <w:rPr>
                <w:sz w:val="18"/>
              </w:rPr>
            </w:pPr>
            <w:r>
              <w:rPr>
                <w:color w:val="333333"/>
                <w:sz w:val="18"/>
              </w:rPr>
              <w:t>30</w:t>
            </w:r>
          </w:p>
        </w:tc>
        <w:tc>
          <w:tcPr>
            <w:tcW w:w="600" w:type="dxa"/>
          </w:tcPr>
          <w:p>
            <w:pPr>
              <w:pStyle w:val="TableParagraph"/>
              <w:spacing w:line="206" w:lineRule="exact"/>
              <w:ind w:left="75" w:right="75"/>
              <w:rPr>
                <w:sz w:val="18"/>
              </w:rPr>
            </w:pPr>
            <w:r>
              <w:rPr>
                <w:color w:val="333333"/>
                <w:sz w:val="18"/>
              </w:rPr>
              <w:t>42</w:t>
            </w:r>
          </w:p>
        </w:tc>
        <w:tc>
          <w:tcPr>
            <w:tcW w:w="600" w:type="dxa"/>
          </w:tcPr>
          <w:p>
            <w:pPr>
              <w:pStyle w:val="TableParagraph"/>
              <w:spacing w:line="206" w:lineRule="exact"/>
              <w:ind w:left="75" w:right="75"/>
              <w:rPr>
                <w:sz w:val="18"/>
              </w:rPr>
            </w:pPr>
            <w:r>
              <w:rPr>
                <w:color w:val="333333"/>
                <w:sz w:val="18"/>
              </w:rPr>
              <w:t>53</w:t>
            </w:r>
          </w:p>
        </w:tc>
        <w:tc>
          <w:tcPr>
            <w:tcW w:w="600" w:type="dxa"/>
          </w:tcPr>
          <w:p>
            <w:pPr>
              <w:pStyle w:val="TableParagraph"/>
              <w:spacing w:line="206" w:lineRule="exact"/>
              <w:ind w:left="75" w:right="75"/>
              <w:rPr>
                <w:sz w:val="18"/>
              </w:rPr>
            </w:pPr>
            <w:r>
              <w:rPr>
                <w:color w:val="333333"/>
                <w:sz w:val="18"/>
              </w:rPr>
              <w:t>46</w:t>
            </w:r>
          </w:p>
        </w:tc>
        <w:tc>
          <w:tcPr>
            <w:tcW w:w="600" w:type="dxa"/>
          </w:tcPr>
          <w:p>
            <w:pPr>
              <w:pStyle w:val="TableParagraph"/>
              <w:spacing w:line="206" w:lineRule="exact"/>
              <w:ind w:left="75" w:right="75"/>
              <w:rPr>
                <w:sz w:val="18"/>
              </w:rPr>
            </w:pPr>
            <w:r>
              <w:rPr>
                <w:color w:val="333333"/>
                <w:sz w:val="18"/>
              </w:rPr>
              <w:t>36</w:t>
            </w:r>
          </w:p>
        </w:tc>
        <w:tc>
          <w:tcPr>
            <w:tcW w:w="600" w:type="dxa"/>
          </w:tcPr>
          <w:p>
            <w:pPr>
              <w:pStyle w:val="TableParagraph"/>
              <w:spacing w:line="206" w:lineRule="exact"/>
              <w:ind w:left="75" w:right="75"/>
              <w:rPr>
                <w:sz w:val="18"/>
              </w:rPr>
            </w:pPr>
            <w:r>
              <w:rPr>
                <w:color w:val="333333"/>
                <w:sz w:val="18"/>
              </w:rPr>
              <w:t>38</w:t>
            </w:r>
          </w:p>
        </w:tc>
        <w:tc>
          <w:tcPr>
            <w:tcW w:w="601" w:type="dxa"/>
          </w:tcPr>
          <w:p>
            <w:pPr>
              <w:pStyle w:val="TableParagraph"/>
              <w:spacing w:line="206" w:lineRule="exact"/>
              <w:ind w:left="75" w:right="75"/>
              <w:rPr>
                <w:sz w:val="18"/>
              </w:rPr>
            </w:pPr>
            <w:r>
              <w:rPr>
                <w:color w:val="333333"/>
                <w:sz w:val="18"/>
              </w:rPr>
              <w:t>38</w:t>
            </w:r>
          </w:p>
        </w:tc>
        <w:tc>
          <w:tcPr>
            <w:tcW w:w="600" w:type="dxa"/>
          </w:tcPr>
          <w:p>
            <w:pPr>
              <w:pStyle w:val="TableParagraph"/>
              <w:spacing w:line="206" w:lineRule="exact"/>
              <w:ind w:left="75" w:right="75"/>
              <w:rPr>
                <w:sz w:val="18"/>
              </w:rPr>
            </w:pPr>
            <w:r>
              <w:rPr>
                <w:color w:val="333333"/>
                <w:sz w:val="18"/>
              </w:rPr>
              <w:t>27</w:t>
            </w:r>
          </w:p>
        </w:tc>
        <w:tc>
          <w:tcPr>
            <w:tcW w:w="607" w:type="dxa"/>
          </w:tcPr>
          <w:p>
            <w:pPr>
              <w:pStyle w:val="TableParagraph"/>
              <w:spacing w:line="201" w:lineRule="exact"/>
              <w:ind w:left="148"/>
              <w:jc w:val="left"/>
              <w:rPr>
                <w:b/>
                <w:sz w:val="18"/>
              </w:rPr>
            </w:pPr>
            <w:r>
              <w:rPr>
                <w:b/>
                <w:sz w:val="18"/>
              </w:rPr>
              <w:t>313</w:t>
            </w:r>
          </w:p>
        </w:tc>
      </w:tr>
      <w:tr>
        <w:trPr>
          <w:trHeight w:val="322" w:hRule="exact"/>
        </w:trPr>
        <w:tc>
          <w:tcPr>
            <w:tcW w:w="2801" w:type="dxa"/>
          </w:tcPr>
          <w:p>
            <w:pPr>
              <w:pStyle w:val="TableParagraph"/>
              <w:spacing w:line="206" w:lineRule="exact"/>
              <w:ind w:left="64"/>
              <w:jc w:val="left"/>
              <w:rPr>
                <w:sz w:val="18"/>
              </w:rPr>
            </w:pPr>
            <w:r>
              <w:rPr>
                <w:color w:val="333333"/>
                <w:sz w:val="18"/>
              </w:rPr>
              <w:t>ATLAUTLA</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7</w:t>
            </w:r>
          </w:p>
        </w:tc>
        <w:tc>
          <w:tcPr>
            <w:tcW w:w="600" w:type="dxa"/>
          </w:tcPr>
          <w:p>
            <w:pPr>
              <w:pStyle w:val="TableParagraph"/>
              <w:spacing w:line="206" w:lineRule="exact"/>
              <w:ind w:left="75" w:right="75"/>
              <w:rPr>
                <w:sz w:val="18"/>
              </w:rPr>
            </w:pPr>
            <w:r>
              <w:rPr>
                <w:color w:val="333333"/>
                <w:sz w:val="18"/>
              </w:rPr>
              <w:t>62</w:t>
            </w:r>
          </w:p>
        </w:tc>
        <w:tc>
          <w:tcPr>
            <w:tcW w:w="600" w:type="dxa"/>
          </w:tcPr>
          <w:p>
            <w:pPr>
              <w:pStyle w:val="TableParagraph"/>
              <w:spacing w:line="206" w:lineRule="exact"/>
              <w:ind w:left="75" w:right="75"/>
              <w:rPr>
                <w:sz w:val="18"/>
              </w:rPr>
            </w:pPr>
            <w:r>
              <w:rPr>
                <w:color w:val="333333"/>
                <w:sz w:val="18"/>
              </w:rPr>
              <w:t>52</w:t>
            </w:r>
          </w:p>
        </w:tc>
        <w:tc>
          <w:tcPr>
            <w:tcW w:w="600" w:type="dxa"/>
          </w:tcPr>
          <w:p>
            <w:pPr>
              <w:pStyle w:val="TableParagraph"/>
              <w:spacing w:line="206" w:lineRule="exact"/>
              <w:ind w:left="75" w:right="75"/>
              <w:rPr>
                <w:sz w:val="18"/>
              </w:rPr>
            </w:pPr>
            <w:r>
              <w:rPr>
                <w:color w:val="333333"/>
                <w:sz w:val="18"/>
              </w:rPr>
              <w:t>53</w:t>
            </w:r>
          </w:p>
        </w:tc>
        <w:tc>
          <w:tcPr>
            <w:tcW w:w="600" w:type="dxa"/>
          </w:tcPr>
          <w:p>
            <w:pPr>
              <w:pStyle w:val="TableParagraph"/>
              <w:spacing w:line="206" w:lineRule="exact"/>
              <w:ind w:left="75" w:right="75"/>
              <w:rPr>
                <w:sz w:val="18"/>
              </w:rPr>
            </w:pPr>
            <w:r>
              <w:rPr>
                <w:color w:val="333333"/>
                <w:sz w:val="18"/>
              </w:rPr>
              <w:t>25</w:t>
            </w:r>
          </w:p>
        </w:tc>
        <w:tc>
          <w:tcPr>
            <w:tcW w:w="600" w:type="dxa"/>
          </w:tcPr>
          <w:p>
            <w:pPr>
              <w:pStyle w:val="TableParagraph"/>
              <w:spacing w:line="206" w:lineRule="exact"/>
              <w:ind w:left="75" w:right="75"/>
              <w:rPr>
                <w:sz w:val="18"/>
              </w:rPr>
            </w:pPr>
            <w:r>
              <w:rPr>
                <w:color w:val="333333"/>
                <w:sz w:val="18"/>
              </w:rPr>
              <w:t>34</w:t>
            </w:r>
          </w:p>
        </w:tc>
        <w:tc>
          <w:tcPr>
            <w:tcW w:w="601" w:type="dxa"/>
          </w:tcPr>
          <w:p>
            <w:pPr>
              <w:pStyle w:val="TableParagraph"/>
              <w:spacing w:line="206" w:lineRule="exact"/>
              <w:ind w:left="75" w:right="75"/>
              <w:rPr>
                <w:sz w:val="18"/>
              </w:rPr>
            </w:pPr>
            <w:r>
              <w:rPr>
                <w:color w:val="333333"/>
                <w:sz w:val="18"/>
              </w:rPr>
              <w:t>17</w:t>
            </w:r>
          </w:p>
        </w:tc>
        <w:tc>
          <w:tcPr>
            <w:tcW w:w="600" w:type="dxa"/>
          </w:tcPr>
          <w:p>
            <w:pPr>
              <w:pStyle w:val="TableParagraph"/>
              <w:spacing w:line="206" w:lineRule="exact"/>
              <w:ind w:left="75" w:right="75"/>
              <w:rPr>
                <w:sz w:val="18"/>
              </w:rPr>
            </w:pPr>
            <w:r>
              <w:rPr>
                <w:color w:val="333333"/>
                <w:sz w:val="18"/>
              </w:rPr>
              <w:t>15</w:t>
            </w:r>
          </w:p>
        </w:tc>
        <w:tc>
          <w:tcPr>
            <w:tcW w:w="607" w:type="dxa"/>
          </w:tcPr>
          <w:p>
            <w:pPr>
              <w:pStyle w:val="TableParagraph"/>
              <w:spacing w:line="201" w:lineRule="exact"/>
              <w:ind w:left="148"/>
              <w:jc w:val="left"/>
              <w:rPr>
                <w:b/>
                <w:sz w:val="18"/>
              </w:rPr>
            </w:pPr>
            <w:r>
              <w:rPr>
                <w:b/>
                <w:sz w:val="18"/>
              </w:rPr>
              <w:t>265</w:t>
            </w:r>
          </w:p>
        </w:tc>
      </w:tr>
      <w:tr>
        <w:trPr>
          <w:trHeight w:val="319" w:hRule="exact"/>
        </w:trPr>
        <w:tc>
          <w:tcPr>
            <w:tcW w:w="2801" w:type="dxa"/>
          </w:tcPr>
          <w:p>
            <w:pPr>
              <w:pStyle w:val="TableParagraph"/>
              <w:spacing w:line="206" w:lineRule="exact"/>
              <w:ind w:left="64"/>
              <w:jc w:val="left"/>
              <w:rPr>
                <w:sz w:val="18"/>
              </w:rPr>
            </w:pPr>
            <w:r>
              <w:rPr>
                <w:color w:val="333333"/>
                <w:sz w:val="18"/>
              </w:rPr>
              <w:t>AXAPUSCO</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6</w:t>
            </w:r>
          </w:p>
        </w:tc>
        <w:tc>
          <w:tcPr>
            <w:tcW w:w="600" w:type="dxa"/>
          </w:tcPr>
          <w:p>
            <w:pPr>
              <w:pStyle w:val="TableParagraph"/>
              <w:spacing w:line="206" w:lineRule="exact"/>
              <w:ind w:left="75" w:right="75"/>
              <w:rPr>
                <w:sz w:val="18"/>
              </w:rPr>
            </w:pPr>
            <w:r>
              <w:rPr>
                <w:color w:val="333333"/>
                <w:sz w:val="18"/>
              </w:rPr>
              <w:t>12</w:t>
            </w:r>
          </w:p>
        </w:tc>
        <w:tc>
          <w:tcPr>
            <w:tcW w:w="600" w:type="dxa"/>
          </w:tcPr>
          <w:p>
            <w:pPr>
              <w:pStyle w:val="TableParagraph"/>
              <w:spacing w:line="206" w:lineRule="exact"/>
              <w:ind w:left="75" w:right="75"/>
              <w:rPr>
                <w:sz w:val="18"/>
              </w:rPr>
            </w:pPr>
            <w:r>
              <w:rPr>
                <w:color w:val="333333"/>
                <w:sz w:val="18"/>
              </w:rPr>
              <w:t>18</w:t>
            </w:r>
          </w:p>
        </w:tc>
        <w:tc>
          <w:tcPr>
            <w:tcW w:w="600" w:type="dxa"/>
          </w:tcPr>
          <w:p>
            <w:pPr>
              <w:pStyle w:val="TableParagraph"/>
              <w:spacing w:line="206" w:lineRule="exact"/>
              <w:ind w:left="75" w:right="75"/>
              <w:rPr>
                <w:sz w:val="18"/>
              </w:rPr>
            </w:pPr>
            <w:r>
              <w:rPr>
                <w:color w:val="333333"/>
                <w:sz w:val="18"/>
              </w:rPr>
              <w:t>19</w:t>
            </w:r>
          </w:p>
        </w:tc>
        <w:tc>
          <w:tcPr>
            <w:tcW w:w="600" w:type="dxa"/>
          </w:tcPr>
          <w:p>
            <w:pPr>
              <w:pStyle w:val="TableParagraph"/>
              <w:spacing w:line="206" w:lineRule="exact"/>
              <w:ind w:left="75" w:right="75"/>
              <w:rPr>
                <w:sz w:val="18"/>
              </w:rPr>
            </w:pPr>
            <w:r>
              <w:rPr>
                <w:color w:val="333333"/>
                <w:sz w:val="18"/>
              </w:rPr>
              <w:t>42</w:t>
            </w:r>
          </w:p>
        </w:tc>
        <w:tc>
          <w:tcPr>
            <w:tcW w:w="600" w:type="dxa"/>
          </w:tcPr>
          <w:p>
            <w:pPr>
              <w:pStyle w:val="TableParagraph"/>
              <w:spacing w:line="206" w:lineRule="exact"/>
              <w:ind w:left="75" w:right="75"/>
              <w:rPr>
                <w:sz w:val="18"/>
              </w:rPr>
            </w:pPr>
            <w:r>
              <w:rPr>
                <w:color w:val="333333"/>
                <w:sz w:val="18"/>
              </w:rPr>
              <w:t>21</w:t>
            </w:r>
          </w:p>
        </w:tc>
        <w:tc>
          <w:tcPr>
            <w:tcW w:w="601" w:type="dxa"/>
          </w:tcPr>
          <w:p>
            <w:pPr>
              <w:pStyle w:val="TableParagraph"/>
              <w:spacing w:line="206" w:lineRule="exact"/>
              <w:ind w:left="75" w:right="75"/>
              <w:rPr>
                <w:sz w:val="18"/>
              </w:rPr>
            </w:pPr>
            <w:r>
              <w:rPr>
                <w:color w:val="333333"/>
                <w:sz w:val="18"/>
              </w:rPr>
              <w:t>11</w:t>
            </w:r>
          </w:p>
        </w:tc>
        <w:tc>
          <w:tcPr>
            <w:tcW w:w="600" w:type="dxa"/>
          </w:tcPr>
          <w:p>
            <w:pPr>
              <w:pStyle w:val="TableParagraph"/>
              <w:spacing w:line="206" w:lineRule="exact"/>
              <w:ind w:left="75" w:right="75"/>
              <w:rPr>
                <w:sz w:val="18"/>
              </w:rPr>
            </w:pPr>
            <w:r>
              <w:rPr>
                <w:color w:val="333333"/>
                <w:sz w:val="18"/>
              </w:rPr>
              <w:t>21</w:t>
            </w:r>
          </w:p>
        </w:tc>
        <w:tc>
          <w:tcPr>
            <w:tcW w:w="607" w:type="dxa"/>
          </w:tcPr>
          <w:p>
            <w:pPr>
              <w:pStyle w:val="TableParagraph"/>
              <w:spacing w:line="201" w:lineRule="exact"/>
              <w:ind w:left="148"/>
              <w:jc w:val="left"/>
              <w:rPr>
                <w:b/>
                <w:sz w:val="18"/>
              </w:rPr>
            </w:pPr>
            <w:r>
              <w:rPr>
                <w:b/>
                <w:sz w:val="18"/>
              </w:rPr>
              <w:t>150</w:t>
            </w:r>
          </w:p>
        </w:tc>
      </w:tr>
      <w:tr>
        <w:trPr>
          <w:trHeight w:val="322" w:hRule="exact"/>
        </w:trPr>
        <w:tc>
          <w:tcPr>
            <w:tcW w:w="2801" w:type="dxa"/>
          </w:tcPr>
          <w:p>
            <w:pPr>
              <w:pStyle w:val="TableParagraph"/>
              <w:spacing w:line="206" w:lineRule="exact"/>
              <w:ind w:left="64"/>
              <w:jc w:val="left"/>
              <w:rPr>
                <w:sz w:val="18"/>
              </w:rPr>
            </w:pPr>
            <w:r>
              <w:rPr>
                <w:color w:val="333333"/>
                <w:sz w:val="18"/>
              </w:rPr>
              <w:t>AYAPANGO</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4</w:t>
            </w:r>
          </w:p>
        </w:tc>
        <w:tc>
          <w:tcPr>
            <w:tcW w:w="600" w:type="dxa"/>
          </w:tcPr>
          <w:p>
            <w:pPr>
              <w:pStyle w:val="TableParagraph"/>
              <w:spacing w:line="206" w:lineRule="exact"/>
              <w:ind w:left="75" w:right="75"/>
              <w:rPr>
                <w:sz w:val="18"/>
              </w:rPr>
            </w:pPr>
            <w:r>
              <w:rPr>
                <w:color w:val="333333"/>
                <w:sz w:val="18"/>
              </w:rPr>
              <w:t>26</w:t>
            </w:r>
          </w:p>
        </w:tc>
        <w:tc>
          <w:tcPr>
            <w:tcW w:w="600" w:type="dxa"/>
          </w:tcPr>
          <w:p>
            <w:pPr>
              <w:pStyle w:val="TableParagraph"/>
              <w:spacing w:line="206" w:lineRule="exact"/>
              <w:ind w:left="75" w:right="75"/>
              <w:rPr>
                <w:sz w:val="18"/>
              </w:rPr>
            </w:pPr>
            <w:r>
              <w:rPr>
                <w:color w:val="333333"/>
                <w:sz w:val="18"/>
              </w:rPr>
              <w:t>65</w:t>
            </w:r>
          </w:p>
        </w:tc>
        <w:tc>
          <w:tcPr>
            <w:tcW w:w="600" w:type="dxa"/>
          </w:tcPr>
          <w:p>
            <w:pPr>
              <w:pStyle w:val="TableParagraph"/>
              <w:spacing w:line="206" w:lineRule="exact"/>
              <w:ind w:left="75" w:right="75"/>
              <w:rPr>
                <w:sz w:val="18"/>
              </w:rPr>
            </w:pPr>
            <w:r>
              <w:rPr>
                <w:color w:val="333333"/>
                <w:sz w:val="18"/>
              </w:rPr>
              <w:t>62</w:t>
            </w:r>
          </w:p>
        </w:tc>
        <w:tc>
          <w:tcPr>
            <w:tcW w:w="600" w:type="dxa"/>
          </w:tcPr>
          <w:p>
            <w:pPr>
              <w:pStyle w:val="TableParagraph"/>
              <w:spacing w:line="206" w:lineRule="exact"/>
              <w:ind w:left="75" w:right="75"/>
              <w:rPr>
                <w:sz w:val="18"/>
              </w:rPr>
            </w:pPr>
            <w:r>
              <w:rPr>
                <w:color w:val="333333"/>
                <w:sz w:val="18"/>
              </w:rPr>
              <w:t>38</w:t>
            </w:r>
          </w:p>
        </w:tc>
        <w:tc>
          <w:tcPr>
            <w:tcW w:w="600" w:type="dxa"/>
          </w:tcPr>
          <w:p>
            <w:pPr>
              <w:pStyle w:val="TableParagraph"/>
              <w:spacing w:line="206" w:lineRule="exact"/>
              <w:ind w:left="75" w:right="75"/>
              <w:rPr>
                <w:sz w:val="18"/>
              </w:rPr>
            </w:pPr>
            <w:r>
              <w:rPr>
                <w:color w:val="333333"/>
                <w:sz w:val="18"/>
              </w:rPr>
              <w:t>21</w:t>
            </w:r>
          </w:p>
        </w:tc>
        <w:tc>
          <w:tcPr>
            <w:tcW w:w="600" w:type="dxa"/>
          </w:tcPr>
          <w:p>
            <w:pPr>
              <w:pStyle w:val="TableParagraph"/>
              <w:spacing w:line="206" w:lineRule="exact"/>
              <w:ind w:left="75" w:right="75"/>
              <w:rPr>
                <w:sz w:val="18"/>
              </w:rPr>
            </w:pPr>
            <w:r>
              <w:rPr>
                <w:color w:val="333333"/>
                <w:sz w:val="18"/>
              </w:rPr>
              <w:t>28</w:t>
            </w:r>
          </w:p>
        </w:tc>
        <w:tc>
          <w:tcPr>
            <w:tcW w:w="601" w:type="dxa"/>
          </w:tcPr>
          <w:p>
            <w:pPr>
              <w:pStyle w:val="TableParagraph"/>
              <w:spacing w:line="206" w:lineRule="exact"/>
              <w:ind w:left="75" w:right="75"/>
              <w:rPr>
                <w:sz w:val="18"/>
              </w:rPr>
            </w:pPr>
            <w:r>
              <w:rPr>
                <w:color w:val="333333"/>
                <w:sz w:val="18"/>
              </w:rPr>
              <w:t>11</w:t>
            </w:r>
          </w:p>
        </w:tc>
        <w:tc>
          <w:tcPr>
            <w:tcW w:w="600" w:type="dxa"/>
          </w:tcPr>
          <w:p>
            <w:pPr>
              <w:pStyle w:val="TableParagraph"/>
              <w:spacing w:line="206" w:lineRule="exact"/>
              <w:ind w:left="75" w:right="75"/>
              <w:rPr>
                <w:sz w:val="18"/>
              </w:rPr>
            </w:pPr>
            <w:r>
              <w:rPr>
                <w:color w:val="333333"/>
                <w:sz w:val="18"/>
              </w:rPr>
              <w:t>21</w:t>
            </w:r>
          </w:p>
        </w:tc>
        <w:tc>
          <w:tcPr>
            <w:tcW w:w="607" w:type="dxa"/>
          </w:tcPr>
          <w:p>
            <w:pPr>
              <w:pStyle w:val="TableParagraph"/>
              <w:spacing w:line="201" w:lineRule="exact"/>
              <w:ind w:left="148"/>
              <w:jc w:val="left"/>
              <w:rPr>
                <w:b/>
                <w:sz w:val="18"/>
              </w:rPr>
            </w:pPr>
            <w:r>
              <w:rPr>
                <w:b/>
                <w:sz w:val="18"/>
              </w:rPr>
              <w:t>276</w:t>
            </w:r>
          </w:p>
        </w:tc>
      </w:tr>
      <w:tr>
        <w:trPr>
          <w:trHeight w:val="319" w:hRule="exact"/>
        </w:trPr>
        <w:tc>
          <w:tcPr>
            <w:tcW w:w="2801" w:type="dxa"/>
          </w:tcPr>
          <w:p>
            <w:pPr>
              <w:pStyle w:val="TableParagraph"/>
              <w:spacing w:line="206" w:lineRule="exact"/>
              <w:ind w:left="64"/>
              <w:jc w:val="left"/>
              <w:rPr>
                <w:sz w:val="18"/>
              </w:rPr>
            </w:pPr>
            <w:r>
              <w:rPr>
                <w:color w:val="333333"/>
                <w:sz w:val="18"/>
              </w:rPr>
              <w:t>CALIMAYA</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left="75" w:right="75"/>
              <w:rPr>
                <w:sz w:val="18"/>
              </w:rPr>
            </w:pPr>
            <w:r>
              <w:rPr>
                <w:color w:val="333333"/>
                <w:sz w:val="18"/>
              </w:rPr>
              <w:t>12</w:t>
            </w:r>
          </w:p>
        </w:tc>
        <w:tc>
          <w:tcPr>
            <w:tcW w:w="600" w:type="dxa"/>
          </w:tcPr>
          <w:p>
            <w:pPr>
              <w:pStyle w:val="TableParagraph"/>
              <w:spacing w:line="206" w:lineRule="exact"/>
              <w:ind w:left="75" w:right="75"/>
              <w:rPr>
                <w:sz w:val="18"/>
              </w:rPr>
            </w:pPr>
            <w:r>
              <w:rPr>
                <w:color w:val="333333"/>
                <w:sz w:val="18"/>
              </w:rPr>
              <w:t>50</w:t>
            </w:r>
          </w:p>
        </w:tc>
        <w:tc>
          <w:tcPr>
            <w:tcW w:w="600" w:type="dxa"/>
          </w:tcPr>
          <w:p>
            <w:pPr>
              <w:pStyle w:val="TableParagraph"/>
              <w:spacing w:line="206" w:lineRule="exact"/>
              <w:ind w:left="75" w:right="75"/>
              <w:rPr>
                <w:sz w:val="18"/>
              </w:rPr>
            </w:pPr>
            <w:r>
              <w:rPr>
                <w:color w:val="333333"/>
                <w:sz w:val="18"/>
              </w:rPr>
              <w:t>41</w:t>
            </w:r>
          </w:p>
        </w:tc>
        <w:tc>
          <w:tcPr>
            <w:tcW w:w="600" w:type="dxa"/>
          </w:tcPr>
          <w:p>
            <w:pPr>
              <w:pStyle w:val="TableParagraph"/>
              <w:spacing w:line="206" w:lineRule="exact"/>
              <w:ind w:left="75" w:right="75"/>
              <w:rPr>
                <w:sz w:val="18"/>
              </w:rPr>
            </w:pPr>
            <w:r>
              <w:rPr>
                <w:color w:val="333333"/>
                <w:sz w:val="18"/>
              </w:rPr>
              <w:t>35</w:t>
            </w:r>
          </w:p>
        </w:tc>
        <w:tc>
          <w:tcPr>
            <w:tcW w:w="600" w:type="dxa"/>
          </w:tcPr>
          <w:p>
            <w:pPr>
              <w:pStyle w:val="TableParagraph"/>
              <w:spacing w:line="206" w:lineRule="exact"/>
              <w:ind w:left="75" w:right="75"/>
              <w:rPr>
                <w:sz w:val="18"/>
              </w:rPr>
            </w:pPr>
            <w:r>
              <w:rPr>
                <w:color w:val="333333"/>
                <w:sz w:val="18"/>
              </w:rPr>
              <w:t>36</w:t>
            </w:r>
          </w:p>
        </w:tc>
        <w:tc>
          <w:tcPr>
            <w:tcW w:w="600" w:type="dxa"/>
          </w:tcPr>
          <w:p>
            <w:pPr>
              <w:pStyle w:val="TableParagraph"/>
              <w:spacing w:line="206" w:lineRule="exact"/>
              <w:ind w:left="75" w:right="75"/>
              <w:rPr>
                <w:sz w:val="18"/>
              </w:rPr>
            </w:pPr>
            <w:r>
              <w:rPr>
                <w:color w:val="333333"/>
                <w:sz w:val="18"/>
              </w:rPr>
              <w:t>33</w:t>
            </w:r>
          </w:p>
        </w:tc>
        <w:tc>
          <w:tcPr>
            <w:tcW w:w="601" w:type="dxa"/>
          </w:tcPr>
          <w:p>
            <w:pPr>
              <w:pStyle w:val="TableParagraph"/>
              <w:spacing w:line="206" w:lineRule="exact"/>
              <w:ind w:left="75" w:right="75"/>
              <w:rPr>
                <w:sz w:val="18"/>
              </w:rPr>
            </w:pPr>
            <w:r>
              <w:rPr>
                <w:color w:val="333333"/>
                <w:sz w:val="18"/>
              </w:rPr>
              <w:t>20</w:t>
            </w:r>
          </w:p>
        </w:tc>
        <w:tc>
          <w:tcPr>
            <w:tcW w:w="600" w:type="dxa"/>
          </w:tcPr>
          <w:p>
            <w:pPr>
              <w:pStyle w:val="TableParagraph"/>
              <w:spacing w:line="206" w:lineRule="exact"/>
              <w:ind w:left="75" w:right="75"/>
              <w:rPr>
                <w:sz w:val="18"/>
              </w:rPr>
            </w:pPr>
            <w:r>
              <w:rPr>
                <w:color w:val="333333"/>
                <w:sz w:val="18"/>
              </w:rPr>
              <w:t>62</w:t>
            </w:r>
          </w:p>
        </w:tc>
        <w:tc>
          <w:tcPr>
            <w:tcW w:w="607" w:type="dxa"/>
          </w:tcPr>
          <w:p>
            <w:pPr>
              <w:pStyle w:val="TableParagraph"/>
              <w:spacing w:line="201" w:lineRule="exact"/>
              <w:ind w:left="148"/>
              <w:jc w:val="left"/>
              <w:rPr>
                <w:b/>
                <w:sz w:val="18"/>
              </w:rPr>
            </w:pPr>
            <w:r>
              <w:rPr>
                <w:b/>
                <w:sz w:val="18"/>
              </w:rPr>
              <w:t>289</w:t>
            </w:r>
          </w:p>
        </w:tc>
      </w:tr>
      <w:tr>
        <w:trPr>
          <w:trHeight w:val="322" w:hRule="exact"/>
        </w:trPr>
        <w:tc>
          <w:tcPr>
            <w:tcW w:w="2801" w:type="dxa"/>
          </w:tcPr>
          <w:p>
            <w:pPr>
              <w:pStyle w:val="TableParagraph"/>
              <w:spacing w:line="206" w:lineRule="exact"/>
              <w:ind w:left="64"/>
              <w:jc w:val="left"/>
              <w:rPr>
                <w:sz w:val="18"/>
              </w:rPr>
            </w:pPr>
            <w:r>
              <w:rPr>
                <w:color w:val="333333"/>
                <w:sz w:val="18"/>
              </w:rPr>
              <w:t>CAPULHUAC</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2</w:t>
            </w:r>
          </w:p>
        </w:tc>
        <w:tc>
          <w:tcPr>
            <w:tcW w:w="600" w:type="dxa"/>
          </w:tcPr>
          <w:p>
            <w:pPr>
              <w:pStyle w:val="TableParagraph"/>
              <w:spacing w:line="206" w:lineRule="exact"/>
              <w:ind w:left="75" w:right="75"/>
              <w:rPr>
                <w:sz w:val="18"/>
              </w:rPr>
            </w:pPr>
            <w:r>
              <w:rPr>
                <w:color w:val="333333"/>
                <w:sz w:val="18"/>
              </w:rPr>
              <w:t>19</w:t>
            </w:r>
          </w:p>
        </w:tc>
        <w:tc>
          <w:tcPr>
            <w:tcW w:w="600" w:type="dxa"/>
          </w:tcPr>
          <w:p>
            <w:pPr>
              <w:pStyle w:val="TableParagraph"/>
              <w:spacing w:line="206" w:lineRule="exact"/>
              <w:ind w:left="75" w:right="75"/>
              <w:rPr>
                <w:sz w:val="18"/>
              </w:rPr>
            </w:pPr>
            <w:r>
              <w:rPr>
                <w:color w:val="333333"/>
                <w:sz w:val="18"/>
              </w:rPr>
              <w:t>58</w:t>
            </w:r>
          </w:p>
        </w:tc>
        <w:tc>
          <w:tcPr>
            <w:tcW w:w="600" w:type="dxa"/>
          </w:tcPr>
          <w:p>
            <w:pPr>
              <w:pStyle w:val="TableParagraph"/>
              <w:spacing w:line="206" w:lineRule="exact"/>
              <w:ind w:left="75" w:right="75"/>
              <w:rPr>
                <w:sz w:val="18"/>
              </w:rPr>
            </w:pPr>
            <w:r>
              <w:rPr>
                <w:color w:val="333333"/>
                <w:sz w:val="18"/>
              </w:rPr>
              <w:t>43</w:t>
            </w:r>
          </w:p>
        </w:tc>
        <w:tc>
          <w:tcPr>
            <w:tcW w:w="600" w:type="dxa"/>
          </w:tcPr>
          <w:p>
            <w:pPr>
              <w:pStyle w:val="TableParagraph"/>
              <w:spacing w:line="206" w:lineRule="exact"/>
              <w:ind w:left="75" w:right="75"/>
              <w:rPr>
                <w:sz w:val="18"/>
              </w:rPr>
            </w:pPr>
            <w:r>
              <w:rPr>
                <w:color w:val="333333"/>
                <w:sz w:val="18"/>
              </w:rPr>
              <w:t>27</w:t>
            </w:r>
          </w:p>
        </w:tc>
        <w:tc>
          <w:tcPr>
            <w:tcW w:w="600" w:type="dxa"/>
          </w:tcPr>
          <w:p>
            <w:pPr>
              <w:pStyle w:val="TableParagraph"/>
              <w:spacing w:line="206" w:lineRule="exact"/>
              <w:ind w:left="75" w:right="75"/>
              <w:rPr>
                <w:sz w:val="18"/>
              </w:rPr>
            </w:pPr>
            <w:r>
              <w:rPr>
                <w:color w:val="333333"/>
                <w:sz w:val="18"/>
              </w:rPr>
              <w:t>22</w:t>
            </w:r>
          </w:p>
        </w:tc>
        <w:tc>
          <w:tcPr>
            <w:tcW w:w="600" w:type="dxa"/>
          </w:tcPr>
          <w:p>
            <w:pPr>
              <w:pStyle w:val="TableParagraph"/>
              <w:spacing w:line="206" w:lineRule="exact"/>
              <w:ind w:left="75" w:right="75"/>
              <w:rPr>
                <w:sz w:val="18"/>
              </w:rPr>
            </w:pPr>
            <w:r>
              <w:rPr>
                <w:color w:val="333333"/>
                <w:sz w:val="18"/>
              </w:rPr>
              <w:t>26</w:t>
            </w:r>
          </w:p>
        </w:tc>
        <w:tc>
          <w:tcPr>
            <w:tcW w:w="601" w:type="dxa"/>
          </w:tcPr>
          <w:p>
            <w:pPr>
              <w:pStyle w:val="TableParagraph"/>
              <w:spacing w:line="206" w:lineRule="exact"/>
              <w:ind w:left="75" w:right="75"/>
              <w:rPr>
                <w:sz w:val="18"/>
              </w:rPr>
            </w:pPr>
            <w:r>
              <w:rPr>
                <w:color w:val="333333"/>
                <w:sz w:val="18"/>
              </w:rPr>
              <w:t>14</w:t>
            </w:r>
          </w:p>
        </w:tc>
        <w:tc>
          <w:tcPr>
            <w:tcW w:w="600" w:type="dxa"/>
          </w:tcPr>
          <w:p>
            <w:pPr>
              <w:pStyle w:val="TableParagraph"/>
              <w:spacing w:line="206" w:lineRule="exact"/>
              <w:ind w:left="75" w:right="75"/>
              <w:rPr>
                <w:sz w:val="18"/>
              </w:rPr>
            </w:pPr>
            <w:r>
              <w:rPr>
                <w:color w:val="333333"/>
                <w:sz w:val="18"/>
              </w:rPr>
              <w:t>22</w:t>
            </w:r>
          </w:p>
        </w:tc>
        <w:tc>
          <w:tcPr>
            <w:tcW w:w="607" w:type="dxa"/>
          </w:tcPr>
          <w:p>
            <w:pPr>
              <w:pStyle w:val="TableParagraph"/>
              <w:spacing w:line="201" w:lineRule="exact"/>
              <w:ind w:left="148"/>
              <w:jc w:val="left"/>
              <w:rPr>
                <w:b/>
                <w:sz w:val="18"/>
              </w:rPr>
            </w:pPr>
            <w:r>
              <w:rPr>
                <w:b/>
                <w:sz w:val="18"/>
              </w:rPr>
              <w:t>233</w:t>
            </w:r>
          </w:p>
        </w:tc>
      </w:tr>
      <w:tr>
        <w:trPr>
          <w:trHeight w:val="319" w:hRule="exact"/>
        </w:trPr>
        <w:tc>
          <w:tcPr>
            <w:tcW w:w="2801" w:type="dxa"/>
          </w:tcPr>
          <w:p>
            <w:pPr>
              <w:pStyle w:val="TableParagraph"/>
              <w:spacing w:line="206" w:lineRule="exact"/>
              <w:ind w:left="64"/>
              <w:jc w:val="left"/>
              <w:rPr>
                <w:sz w:val="18"/>
              </w:rPr>
            </w:pPr>
            <w:r>
              <w:rPr>
                <w:color w:val="333333"/>
                <w:sz w:val="18"/>
              </w:rPr>
              <w:t>CHALCO</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ind w:left="75" w:right="75"/>
              <w:rPr>
                <w:sz w:val="18"/>
              </w:rPr>
            </w:pPr>
            <w:r>
              <w:rPr>
                <w:color w:val="333333"/>
                <w:sz w:val="18"/>
              </w:rPr>
              <w:t>69</w:t>
            </w:r>
          </w:p>
        </w:tc>
        <w:tc>
          <w:tcPr>
            <w:tcW w:w="600" w:type="dxa"/>
          </w:tcPr>
          <w:p>
            <w:pPr>
              <w:pStyle w:val="TableParagraph"/>
              <w:spacing w:line="206" w:lineRule="exact"/>
              <w:ind w:left="75" w:right="75"/>
              <w:rPr>
                <w:sz w:val="18"/>
              </w:rPr>
            </w:pPr>
            <w:r>
              <w:rPr>
                <w:color w:val="333333"/>
                <w:sz w:val="18"/>
              </w:rPr>
              <w:t>146</w:t>
            </w:r>
          </w:p>
        </w:tc>
        <w:tc>
          <w:tcPr>
            <w:tcW w:w="600" w:type="dxa"/>
          </w:tcPr>
          <w:p>
            <w:pPr>
              <w:pStyle w:val="TableParagraph"/>
              <w:spacing w:line="206" w:lineRule="exact"/>
              <w:ind w:left="75" w:right="75"/>
              <w:rPr>
                <w:sz w:val="18"/>
              </w:rPr>
            </w:pPr>
            <w:r>
              <w:rPr>
                <w:color w:val="333333"/>
                <w:sz w:val="18"/>
              </w:rPr>
              <w:t>174</w:t>
            </w:r>
          </w:p>
        </w:tc>
        <w:tc>
          <w:tcPr>
            <w:tcW w:w="600" w:type="dxa"/>
          </w:tcPr>
          <w:p>
            <w:pPr>
              <w:pStyle w:val="TableParagraph"/>
              <w:spacing w:line="206" w:lineRule="exact"/>
              <w:ind w:left="75" w:right="75"/>
              <w:rPr>
                <w:sz w:val="18"/>
              </w:rPr>
            </w:pPr>
            <w:r>
              <w:rPr>
                <w:color w:val="333333"/>
                <w:sz w:val="18"/>
              </w:rPr>
              <w:t>253</w:t>
            </w:r>
          </w:p>
        </w:tc>
        <w:tc>
          <w:tcPr>
            <w:tcW w:w="600" w:type="dxa"/>
          </w:tcPr>
          <w:p>
            <w:pPr>
              <w:pStyle w:val="TableParagraph"/>
              <w:spacing w:line="206" w:lineRule="exact"/>
              <w:ind w:left="75" w:right="75"/>
              <w:rPr>
                <w:sz w:val="18"/>
              </w:rPr>
            </w:pPr>
            <w:r>
              <w:rPr>
                <w:color w:val="333333"/>
                <w:sz w:val="18"/>
              </w:rPr>
              <w:t>230</w:t>
            </w:r>
          </w:p>
        </w:tc>
        <w:tc>
          <w:tcPr>
            <w:tcW w:w="600" w:type="dxa"/>
          </w:tcPr>
          <w:p>
            <w:pPr>
              <w:pStyle w:val="TableParagraph"/>
              <w:spacing w:line="206" w:lineRule="exact"/>
              <w:ind w:left="75" w:right="75"/>
              <w:rPr>
                <w:sz w:val="18"/>
              </w:rPr>
            </w:pPr>
            <w:r>
              <w:rPr>
                <w:color w:val="333333"/>
                <w:sz w:val="18"/>
              </w:rPr>
              <w:t>148</w:t>
            </w:r>
          </w:p>
        </w:tc>
        <w:tc>
          <w:tcPr>
            <w:tcW w:w="600" w:type="dxa"/>
          </w:tcPr>
          <w:p>
            <w:pPr>
              <w:pStyle w:val="TableParagraph"/>
              <w:spacing w:line="206" w:lineRule="exact"/>
              <w:ind w:left="75" w:right="75"/>
              <w:rPr>
                <w:sz w:val="18"/>
              </w:rPr>
            </w:pPr>
            <w:r>
              <w:rPr>
                <w:color w:val="333333"/>
                <w:sz w:val="18"/>
              </w:rPr>
              <w:t>181</w:t>
            </w:r>
          </w:p>
        </w:tc>
        <w:tc>
          <w:tcPr>
            <w:tcW w:w="601" w:type="dxa"/>
          </w:tcPr>
          <w:p>
            <w:pPr>
              <w:pStyle w:val="TableParagraph"/>
              <w:spacing w:line="206" w:lineRule="exact"/>
              <w:ind w:left="75" w:right="75"/>
              <w:rPr>
                <w:sz w:val="18"/>
              </w:rPr>
            </w:pPr>
            <w:r>
              <w:rPr>
                <w:color w:val="333333"/>
                <w:sz w:val="18"/>
              </w:rPr>
              <w:t>116</w:t>
            </w:r>
          </w:p>
        </w:tc>
        <w:tc>
          <w:tcPr>
            <w:tcW w:w="600" w:type="dxa"/>
          </w:tcPr>
          <w:p>
            <w:pPr>
              <w:pStyle w:val="TableParagraph"/>
              <w:spacing w:line="206" w:lineRule="exact"/>
              <w:ind w:left="75" w:right="75"/>
              <w:rPr>
                <w:sz w:val="18"/>
              </w:rPr>
            </w:pPr>
            <w:r>
              <w:rPr>
                <w:color w:val="333333"/>
                <w:sz w:val="18"/>
              </w:rPr>
              <w:t>91</w:t>
            </w:r>
          </w:p>
        </w:tc>
        <w:tc>
          <w:tcPr>
            <w:tcW w:w="607" w:type="dxa"/>
          </w:tcPr>
          <w:p>
            <w:pPr>
              <w:pStyle w:val="TableParagraph"/>
              <w:spacing w:line="201" w:lineRule="exact"/>
              <w:ind w:left="98"/>
              <w:jc w:val="left"/>
              <w:rPr>
                <w:b/>
                <w:sz w:val="18"/>
              </w:rPr>
            </w:pPr>
            <w:r>
              <w:rPr>
                <w:b/>
                <w:sz w:val="18"/>
              </w:rPr>
              <w:t>1408</w:t>
            </w:r>
          </w:p>
        </w:tc>
      </w:tr>
      <w:tr>
        <w:trPr>
          <w:trHeight w:val="322" w:hRule="exact"/>
        </w:trPr>
        <w:tc>
          <w:tcPr>
            <w:tcW w:w="2801" w:type="dxa"/>
          </w:tcPr>
          <w:p>
            <w:pPr>
              <w:pStyle w:val="TableParagraph"/>
              <w:spacing w:line="206" w:lineRule="exact"/>
              <w:ind w:left="64"/>
              <w:jc w:val="left"/>
              <w:rPr>
                <w:sz w:val="18"/>
              </w:rPr>
            </w:pPr>
            <w:r>
              <w:rPr>
                <w:color w:val="333333"/>
                <w:sz w:val="18"/>
              </w:rPr>
              <w:t>CHAPA DE MOTA</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left="75" w:right="75"/>
              <w:rPr>
                <w:sz w:val="18"/>
              </w:rPr>
            </w:pPr>
            <w:r>
              <w:rPr>
                <w:color w:val="333333"/>
                <w:sz w:val="18"/>
              </w:rPr>
              <w:t>11</w:t>
            </w:r>
          </w:p>
        </w:tc>
        <w:tc>
          <w:tcPr>
            <w:tcW w:w="600" w:type="dxa"/>
          </w:tcPr>
          <w:p>
            <w:pPr>
              <w:pStyle w:val="TableParagraph"/>
              <w:spacing w:line="206" w:lineRule="exact"/>
              <w:ind w:left="75" w:right="75"/>
              <w:rPr>
                <w:sz w:val="18"/>
              </w:rPr>
            </w:pPr>
            <w:r>
              <w:rPr>
                <w:color w:val="333333"/>
                <w:sz w:val="18"/>
              </w:rPr>
              <w:t>34</w:t>
            </w:r>
          </w:p>
        </w:tc>
        <w:tc>
          <w:tcPr>
            <w:tcW w:w="600" w:type="dxa"/>
          </w:tcPr>
          <w:p>
            <w:pPr>
              <w:pStyle w:val="TableParagraph"/>
              <w:spacing w:line="206" w:lineRule="exact"/>
              <w:ind w:left="75" w:right="75"/>
              <w:rPr>
                <w:sz w:val="18"/>
              </w:rPr>
            </w:pPr>
            <w:r>
              <w:rPr>
                <w:color w:val="333333"/>
                <w:sz w:val="18"/>
              </w:rPr>
              <w:t>22</w:t>
            </w:r>
          </w:p>
        </w:tc>
        <w:tc>
          <w:tcPr>
            <w:tcW w:w="600" w:type="dxa"/>
          </w:tcPr>
          <w:p>
            <w:pPr>
              <w:pStyle w:val="TableParagraph"/>
              <w:spacing w:line="206" w:lineRule="exact"/>
              <w:ind w:left="75" w:right="75"/>
              <w:rPr>
                <w:sz w:val="18"/>
              </w:rPr>
            </w:pPr>
            <w:r>
              <w:rPr>
                <w:color w:val="333333"/>
                <w:sz w:val="18"/>
              </w:rPr>
              <w:t>22</w:t>
            </w:r>
          </w:p>
        </w:tc>
        <w:tc>
          <w:tcPr>
            <w:tcW w:w="600" w:type="dxa"/>
          </w:tcPr>
          <w:p>
            <w:pPr>
              <w:pStyle w:val="TableParagraph"/>
              <w:spacing w:line="206" w:lineRule="exact"/>
              <w:ind w:left="75" w:right="75"/>
              <w:rPr>
                <w:sz w:val="18"/>
              </w:rPr>
            </w:pPr>
            <w:r>
              <w:rPr>
                <w:color w:val="333333"/>
                <w:sz w:val="18"/>
              </w:rPr>
              <w:t>28</w:t>
            </w:r>
          </w:p>
        </w:tc>
        <w:tc>
          <w:tcPr>
            <w:tcW w:w="600" w:type="dxa"/>
          </w:tcPr>
          <w:p>
            <w:pPr>
              <w:pStyle w:val="TableParagraph"/>
              <w:spacing w:line="206" w:lineRule="exact"/>
              <w:ind w:left="75" w:right="75"/>
              <w:rPr>
                <w:sz w:val="18"/>
              </w:rPr>
            </w:pPr>
            <w:r>
              <w:rPr>
                <w:color w:val="333333"/>
                <w:sz w:val="18"/>
              </w:rPr>
              <w:t>21</w:t>
            </w:r>
          </w:p>
        </w:tc>
        <w:tc>
          <w:tcPr>
            <w:tcW w:w="601" w:type="dxa"/>
          </w:tcPr>
          <w:p>
            <w:pPr>
              <w:pStyle w:val="TableParagraph"/>
              <w:spacing w:line="206" w:lineRule="exact"/>
              <w:rPr>
                <w:sz w:val="18"/>
              </w:rPr>
            </w:pPr>
            <w:r>
              <w:rPr>
                <w:color w:val="333333"/>
                <w:w w:val="99"/>
                <w:sz w:val="18"/>
              </w:rPr>
              <w:t>5</w:t>
            </w:r>
          </w:p>
        </w:tc>
        <w:tc>
          <w:tcPr>
            <w:tcW w:w="600" w:type="dxa"/>
          </w:tcPr>
          <w:p>
            <w:pPr>
              <w:pStyle w:val="TableParagraph"/>
              <w:spacing w:line="206" w:lineRule="exact"/>
              <w:ind w:left="75" w:right="75"/>
              <w:rPr>
                <w:sz w:val="18"/>
              </w:rPr>
            </w:pPr>
            <w:r>
              <w:rPr>
                <w:color w:val="333333"/>
                <w:sz w:val="18"/>
              </w:rPr>
              <w:t>17</w:t>
            </w:r>
          </w:p>
        </w:tc>
        <w:tc>
          <w:tcPr>
            <w:tcW w:w="607" w:type="dxa"/>
          </w:tcPr>
          <w:p>
            <w:pPr>
              <w:pStyle w:val="TableParagraph"/>
              <w:spacing w:line="201" w:lineRule="exact"/>
              <w:ind w:left="148"/>
              <w:jc w:val="left"/>
              <w:rPr>
                <w:b/>
                <w:sz w:val="18"/>
              </w:rPr>
            </w:pPr>
            <w:r>
              <w:rPr>
                <w:b/>
                <w:sz w:val="18"/>
              </w:rPr>
              <w:t>160</w:t>
            </w:r>
          </w:p>
        </w:tc>
      </w:tr>
      <w:tr>
        <w:trPr>
          <w:trHeight w:val="319" w:hRule="exact"/>
        </w:trPr>
        <w:tc>
          <w:tcPr>
            <w:tcW w:w="2801" w:type="dxa"/>
          </w:tcPr>
          <w:p>
            <w:pPr>
              <w:pStyle w:val="TableParagraph"/>
              <w:spacing w:line="206" w:lineRule="exact"/>
              <w:ind w:left="64"/>
              <w:jc w:val="left"/>
              <w:rPr>
                <w:sz w:val="18"/>
              </w:rPr>
            </w:pPr>
            <w:r>
              <w:rPr>
                <w:color w:val="333333"/>
                <w:sz w:val="18"/>
              </w:rPr>
              <w:t>CHAPULTEPEC</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1</w:t>
            </w:r>
          </w:p>
        </w:tc>
        <w:tc>
          <w:tcPr>
            <w:tcW w:w="600" w:type="dxa"/>
          </w:tcPr>
          <w:p>
            <w:pPr>
              <w:pStyle w:val="TableParagraph"/>
              <w:spacing w:line="206" w:lineRule="exact"/>
              <w:rPr>
                <w:sz w:val="18"/>
              </w:rPr>
            </w:pPr>
            <w:r>
              <w:rPr>
                <w:color w:val="333333"/>
                <w:w w:val="99"/>
                <w:sz w:val="18"/>
              </w:rPr>
              <w:t>7</w:t>
            </w:r>
          </w:p>
        </w:tc>
        <w:tc>
          <w:tcPr>
            <w:tcW w:w="600" w:type="dxa"/>
          </w:tcPr>
          <w:p>
            <w:pPr>
              <w:pStyle w:val="TableParagraph"/>
              <w:spacing w:line="206" w:lineRule="exact"/>
              <w:ind w:left="75" w:right="75"/>
              <w:rPr>
                <w:sz w:val="18"/>
              </w:rPr>
            </w:pPr>
            <w:r>
              <w:rPr>
                <w:color w:val="333333"/>
                <w:sz w:val="18"/>
              </w:rPr>
              <w:t>17</w:t>
            </w:r>
          </w:p>
        </w:tc>
        <w:tc>
          <w:tcPr>
            <w:tcW w:w="600" w:type="dxa"/>
          </w:tcPr>
          <w:p>
            <w:pPr>
              <w:pStyle w:val="TableParagraph"/>
              <w:spacing w:line="206" w:lineRule="exact"/>
              <w:ind w:left="75" w:right="75"/>
              <w:rPr>
                <w:sz w:val="18"/>
              </w:rPr>
            </w:pPr>
            <w:r>
              <w:rPr>
                <w:color w:val="333333"/>
                <w:sz w:val="18"/>
              </w:rPr>
              <w:t>29</w:t>
            </w:r>
          </w:p>
        </w:tc>
        <w:tc>
          <w:tcPr>
            <w:tcW w:w="600" w:type="dxa"/>
          </w:tcPr>
          <w:p>
            <w:pPr>
              <w:pStyle w:val="TableParagraph"/>
              <w:spacing w:line="206" w:lineRule="exact"/>
              <w:ind w:left="75" w:right="75"/>
              <w:rPr>
                <w:sz w:val="18"/>
              </w:rPr>
            </w:pPr>
            <w:r>
              <w:rPr>
                <w:color w:val="333333"/>
                <w:sz w:val="18"/>
              </w:rPr>
              <w:t>21</w:t>
            </w:r>
          </w:p>
        </w:tc>
        <w:tc>
          <w:tcPr>
            <w:tcW w:w="600" w:type="dxa"/>
          </w:tcPr>
          <w:p>
            <w:pPr>
              <w:pStyle w:val="TableParagraph"/>
              <w:spacing w:line="206" w:lineRule="exact"/>
              <w:ind w:left="75" w:right="75"/>
              <w:rPr>
                <w:sz w:val="18"/>
              </w:rPr>
            </w:pPr>
            <w:r>
              <w:rPr>
                <w:color w:val="333333"/>
                <w:sz w:val="18"/>
              </w:rPr>
              <w:t>25</w:t>
            </w:r>
          </w:p>
        </w:tc>
        <w:tc>
          <w:tcPr>
            <w:tcW w:w="600" w:type="dxa"/>
          </w:tcPr>
          <w:p>
            <w:pPr>
              <w:pStyle w:val="TableParagraph"/>
              <w:spacing w:line="206" w:lineRule="exact"/>
              <w:ind w:left="75" w:right="75"/>
              <w:rPr>
                <w:sz w:val="18"/>
              </w:rPr>
            </w:pPr>
            <w:r>
              <w:rPr>
                <w:color w:val="333333"/>
                <w:sz w:val="18"/>
              </w:rPr>
              <w:t>16</w:t>
            </w:r>
          </w:p>
        </w:tc>
        <w:tc>
          <w:tcPr>
            <w:tcW w:w="601" w:type="dxa"/>
          </w:tcPr>
          <w:p>
            <w:pPr>
              <w:pStyle w:val="TableParagraph"/>
              <w:spacing w:line="206" w:lineRule="exact"/>
              <w:ind w:left="75" w:right="75"/>
              <w:rPr>
                <w:sz w:val="18"/>
              </w:rPr>
            </w:pPr>
            <w:r>
              <w:rPr>
                <w:color w:val="333333"/>
                <w:sz w:val="18"/>
              </w:rPr>
              <w:t>183</w:t>
            </w:r>
          </w:p>
        </w:tc>
        <w:tc>
          <w:tcPr>
            <w:tcW w:w="600" w:type="dxa"/>
          </w:tcPr>
          <w:p>
            <w:pPr>
              <w:pStyle w:val="TableParagraph"/>
              <w:spacing w:line="206" w:lineRule="exact"/>
              <w:ind w:left="75" w:right="75"/>
              <w:rPr>
                <w:sz w:val="18"/>
              </w:rPr>
            </w:pPr>
            <w:r>
              <w:rPr>
                <w:color w:val="333333"/>
                <w:sz w:val="18"/>
              </w:rPr>
              <w:t>46</w:t>
            </w:r>
          </w:p>
        </w:tc>
        <w:tc>
          <w:tcPr>
            <w:tcW w:w="607" w:type="dxa"/>
          </w:tcPr>
          <w:p>
            <w:pPr>
              <w:pStyle w:val="TableParagraph"/>
              <w:spacing w:line="201" w:lineRule="exact"/>
              <w:ind w:left="148"/>
              <w:jc w:val="left"/>
              <w:rPr>
                <w:b/>
                <w:sz w:val="18"/>
              </w:rPr>
            </w:pPr>
            <w:r>
              <w:rPr>
                <w:b/>
                <w:sz w:val="18"/>
              </w:rPr>
              <w:t>345</w:t>
            </w:r>
          </w:p>
        </w:tc>
      </w:tr>
      <w:tr>
        <w:trPr>
          <w:trHeight w:val="322" w:hRule="exact"/>
        </w:trPr>
        <w:tc>
          <w:tcPr>
            <w:tcW w:w="2801" w:type="dxa"/>
          </w:tcPr>
          <w:p>
            <w:pPr>
              <w:pStyle w:val="TableParagraph"/>
              <w:spacing w:line="206" w:lineRule="exact"/>
              <w:ind w:left="64"/>
              <w:jc w:val="left"/>
              <w:rPr>
                <w:sz w:val="18"/>
              </w:rPr>
            </w:pPr>
            <w:r>
              <w:rPr>
                <w:color w:val="333333"/>
                <w:sz w:val="18"/>
              </w:rPr>
              <w:t>CHIAUTLA</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8</w:t>
            </w:r>
          </w:p>
        </w:tc>
        <w:tc>
          <w:tcPr>
            <w:tcW w:w="600" w:type="dxa"/>
          </w:tcPr>
          <w:p>
            <w:pPr>
              <w:pStyle w:val="TableParagraph"/>
              <w:spacing w:line="206" w:lineRule="exact"/>
              <w:ind w:left="75" w:right="75"/>
              <w:rPr>
                <w:sz w:val="18"/>
              </w:rPr>
            </w:pPr>
            <w:r>
              <w:rPr>
                <w:color w:val="333333"/>
                <w:sz w:val="18"/>
              </w:rPr>
              <w:t>21</w:t>
            </w:r>
          </w:p>
        </w:tc>
        <w:tc>
          <w:tcPr>
            <w:tcW w:w="600" w:type="dxa"/>
          </w:tcPr>
          <w:p>
            <w:pPr>
              <w:pStyle w:val="TableParagraph"/>
              <w:spacing w:line="206" w:lineRule="exact"/>
              <w:ind w:left="75" w:right="75"/>
              <w:rPr>
                <w:sz w:val="18"/>
              </w:rPr>
            </w:pPr>
            <w:r>
              <w:rPr>
                <w:color w:val="333333"/>
                <w:sz w:val="18"/>
              </w:rPr>
              <w:t>36</w:t>
            </w:r>
          </w:p>
        </w:tc>
        <w:tc>
          <w:tcPr>
            <w:tcW w:w="600" w:type="dxa"/>
          </w:tcPr>
          <w:p>
            <w:pPr>
              <w:pStyle w:val="TableParagraph"/>
              <w:spacing w:line="206" w:lineRule="exact"/>
              <w:ind w:left="75" w:right="75"/>
              <w:rPr>
                <w:sz w:val="18"/>
              </w:rPr>
            </w:pPr>
            <w:r>
              <w:rPr>
                <w:color w:val="333333"/>
                <w:sz w:val="18"/>
              </w:rPr>
              <w:t>28</w:t>
            </w:r>
          </w:p>
        </w:tc>
        <w:tc>
          <w:tcPr>
            <w:tcW w:w="600" w:type="dxa"/>
          </w:tcPr>
          <w:p>
            <w:pPr>
              <w:pStyle w:val="TableParagraph"/>
              <w:spacing w:line="206" w:lineRule="exact"/>
              <w:ind w:left="75" w:right="75"/>
              <w:rPr>
                <w:sz w:val="18"/>
              </w:rPr>
            </w:pPr>
            <w:r>
              <w:rPr>
                <w:color w:val="333333"/>
                <w:sz w:val="18"/>
              </w:rPr>
              <w:t>19</w:t>
            </w:r>
          </w:p>
        </w:tc>
        <w:tc>
          <w:tcPr>
            <w:tcW w:w="600" w:type="dxa"/>
          </w:tcPr>
          <w:p>
            <w:pPr>
              <w:pStyle w:val="TableParagraph"/>
              <w:spacing w:line="206" w:lineRule="exact"/>
              <w:ind w:left="75" w:right="75"/>
              <w:rPr>
                <w:sz w:val="18"/>
              </w:rPr>
            </w:pPr>
            <w:r>
              <w:rPr>
                <w:color w:val="333333"/>
                <w:sz w:val="18"/>
              </w:rPr>
              <w:t>34</w:t>
            </w:r>
          </w:p>
        </w:tc>
        <w:tc>
          <w:tcPr>
            <w:tcW w:w="601" w:type="dxa"/>
          </w:tcPr>
          <w:p>
            <w:pPr>
              <w:pStyle w:val="TableParagraph"/>
              <w:spacing w:line="206" w:lineRule="exact"/>
              <w:ind w:left="75" w:right="75"/>
              <w:rPr>
                <w:sz w:val="18"/>
              </w:rPr>
            </w:pPr>
            <w:r>
              <w:rPr>
                <w:color w:val="333333"/>
                <w:sz w:val="18"/>
              </w:rPr>
              <w:t>22</w:t>
            </w:r>
          </w:p>
        </w:tc>
        <w:tc>
          <w:tcPr>
            <w:tcW w:w="600" w:type="dxa"/>
          </w:tcPr>
          <w:p>
            <w:pPr>
              <w:pStyle w:val="TableParagraph"/>
              <w:spacing w:line="206" w:lineRule="exact"/>
              <w:ind w:left="75" w:right="75"/>
              <w:rPr>
                <w:sz w:val="18"/>
              </w:rPr>
            </w:pPr>
            <w:r>
              <w:rPr>
                <w:color w:val="333333"/>
                <w:sz w:val="18"/>
              </w:rPr>
              <w:t>17</w:t>
            </w:r>
          </w:p>
        </w:tc>
        <w:tc>
          <w:tcPr>
            <w:tcW w:w="607" w:type="dxa"/>
          </w:tcPr>
          <w:p>
            <w:pPr>
              <w:pStyle w:val="TableParagraph"/>
              <w:spacing w:line="201" w:lineRule="exact"/>
              <w:ind w:left="148"/>
              <w:jc w:val="left"/>
              <w:rPr>
                <w:b/>
                <w:sz w:val="18"/>
              </w:rPr>
            </w:pPr>
            <w:r>
              <w:rPr>
                <w:b/>
                <w:sz w:val="18"/>
              </w:rPr>
              <w:t>185</w:t>
            </w:r>
          </w:p>
        </w:tc>
      </w:tr>
      <w:tr>
        <w:trPr>
          <w:trHeight w:val="319" w:hRule="exact"/>
        </w:trPr>
        <w:tc>
          <w:tcPr>
            <w:tcW w:w="2801" w:type="dxa"/>
          </w:tcPr>
          <w:p>
            <w:pPr>
              <w:pStyle w:val="TableParagraph"/>
              <w:spacing w:line="206" w:lineRule="exact"/>
              <w:ind w:left="64"/>
              <w:jc w:val="left"/>
              <w:rPr>
                <w:sz w:val="18"/>
              </w:rPr>
            </w:pPr>
            <w:r>
              <w:rPr>
                <w:color w:val="333333"/>
                <w:sz w:val="18"/>
              </w:rPr>
              <w:t>CHICOLOAPAN</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5</w:t>
            </w:r>
          </w:p>
        </w:tc>
        <w:tc>
          <w:tcPr>
            <w:tcW w:w="600" w:type="dxa"/>
          </w:tcPr>
          <w:p>
            <w:pPr>
              <w:pStyle w:val="TableParagraph"/>
              <w:spacing w:line="206" w:lineRule="exact"/>
              <w:ind w:left="75" w:right="75"/>
              <w:rPr>
                <w:sz w:val="18"/>
              </w:rPr>
            </w:pPr>
            <w:r>
              <w:rPr>
                <w:color w:val="333333"/>
                <w:sz w:val="18"/>
              </w:rPr>
              <w:t>23</w:t>
            </w:r>
          </w:p>
        </w:tc>
        <w:tc>
          <w:tcPr>
            <w:tcW w:w="600" w:type="dxa"/>
          </w:tcPr>
          <w:p>
            <w:pPr>
              <w:pStyle w:val="TableParagraph"/>
              <w:spacing w:line="206" w:lineRule="exact"/>
              <w:ind w:left="75" w:right="75"/>
              <w:rPr>
                <w:sz w:val="18"/>
              </w:rPr>
            </w:pPr>
            <w:r>
              <w:rPr>
                <w:color w:val="333333"/>
                <w:sz w:val="18"/>
              </w:rPr>
              <w:t>44</w:t>
            </w:r>
          </w:p>
        </w:tc>
        <w:tc>
          <w:tcPr>
            <w:tcW w:w="600" w:type="dxa"/>
          </w:tcPr>
          <w:p>
            <w:pPr>
              <w:pStyle w:val="TableParagraph"/>
              <w:spacing w:line="206" w:lineRule="exact"/>
              <w:ind w:left="75" w:right="75"/>
              <w:rPr>
                <w:sz w:val="18"/>
              </w:rPr>
            </w:pPr>
            <w:r>
              <w:rPr>
                <w:color w:val="333333"/>
                <w:sz w:val="18"/>
              </w:rPr>
              <w:t>338</w:t>
            </w:r>
          </w:p>
        </w:tc>
        <w:tc>
          <w:tcPr>
            <w:tcW w:w="600" w:type="dxa"/>
          </w:tcPr>
          <w:p>
            <w:pPr>
              <w:pStyle w:val="TableParagraph"/>
              <w:spacing w:line="206" w:lineRule="exact"/>
              <w:ind w:left="75" w:right="75"/>
              <w:rPr>
                <w:sz w:val="18"/>
              </w:rPr>
            </w:pPr>
            <w:r>
              <w:rPr>
                <w:color w:val="333333"/>
                <w:sz w:val="18"/>
              </w:rPr>
              <w:t>40</w:t>
            </w:r>
          </w:p>
        </w:tc>
        <w:tc>
          <w:tcPr>
            <w:tcW w:w="600" w:type="dxa"/>
          </w:tcPr>
          <w:p>
            <w:pPr>
              <w:pStyle w:val="TableParagraph"/>
              <w:spacing w:line="206" w:lineRule="exact"/>
              <w:ind w:left="75" w:right="75"/>
              <w:rPr>
                <w:sz w:val="18"/>
              </w:rPr>
            </w:pPr>
            <w:r>
              <w:rPr>
                <w:color w:val="333333"/>
                <w:sz w:val="18"/>
              </w:rPr>
              <w:t>38</w:t>
            </w:r>
          </w:p>
        </w:tc>
        <w:tc>
          <w:tcPr>
            <w:tcW w:w="600" w:type="dxa"/>
          </w:tcPr>
          <w:p>
            <w:pPr>
              <w:pStyle w:val="TableParagraph"/>
              <w:spacing w:line="206" w:lineRule="exact"/>
              <w:ind w:left="75" w:right="75"/>
              <w:rPr>
                <w:sz w:val="18"/>
              </w:rPr>
            </w:pPr>
            <w:r>
              <w:rPr>
                <w:color w:val="333333"/>
                <w:sz w:val="18"/>
              </w:rPr>
              <w:t>86</w:t>
            </w:r>
          </w:p>
        </w:tc>
        <w:tc>
          <w:tcPr>
            <w:tcW w:w="601" w:type="dxa"/>
          </w:tcPr>
          <w:p>
            <w:pPr>
              <w:pStyle w:val="TableParagraph"/>
              <w:spacing w:line="206" w:lineRule="exact"/>
              <w:ind w:left="75" w:right="75"/>
              <w:rPr>
                <w:sz w:val="18"/>
              </w:rPr>
            </w:pPr>
            <w:r>
              <w:rPr>
                <w:color w:val="333333"/>
                <w:sz w:val="18"/>
              </w:rPr>
              <w:t>84</w:t>
            </w:r>
          </w:p>
        </w:tc>
        <w:tc>
          <w:tcPr>
            <w:tcW w:w="600" w:type="dxa"/>
          </w:tcPr>
          <w:p>
            <w:pPr>
              <w:pStyle w:val="TableParagraph"/>
              <w:spacing w:line="206" w:lineRule="exact"/>
              <w:ind w:left="75" w:right="75"/>
              <w:rPr>
                <w:sz w:val="18"/>
              </w:rPr>
            </w:pPr>
            <w:r>
              <w:rPr>
                <w:color w:val="333333"/>
                <w:sz w:val="18"/>
              </w:rPr>
              <w:t>74</w:t>
            </w:r>
          </w:p>
        </w:tc>
        <w:tc>
          <w:tcPr>
            <w:tcW w:w="607" w:type="dxa"/>
          </w:tcPr>
          <w:p>
            <w:pPr>
              <w:pStyle w:val="TableParagraph"/>
              <w:spacing w:line="201" w:lineRule="exact"/>
              <w:ind w:left="148"/>
              <w:jc w:val="left"/>
              <w:rPr>
                <w:b/>
                <w:sz w:val="18"/>
              </w:rPr>
            </w:pPr>
            <w:r>
              <w:rPr>
                <w:b/>
                <w:sz w:val="18"/>
              </w:rPr>
              <w:t>732</w:t>
            </w:r>
          </w:p>
        </w:tc>
      </w:tr>
      <w:tr>
        <w:trPr>
          <w:trHeight w:val="322" w:hRule="exact"/>
        </w:trPr>
        <w:tc>
          <w:tcPr>
            <w:tcW w:w="2801" w:type="dxa"/>
          </w:tcPr>
          <w:p>
            <w:pPr>
              <w:pStyle w:val="TableParagraph"/>
              <w:spacing w:before="1"/>
              <w:ind w:left="64"/>
              <w:jc w:val="left"/>
              <w:rPr>
                <w:sz w:val="18"/>
              </w:rPr>
            </w:pPr>
            <w:r>
              <w:rPr>
                <w:color w:val="333333"/>
                <w:sz w:val="18"/>
              </w:rPr>
              <w:t>CHICONCUAC</w:t>
            </w:r>
          </w:p>
        </w:tc>
        <w:tc>
          <w:tcPr>
            <w:tcW w:w="601" w:type="dxa"/>
          </w:tcPr>
          <w:p>
            <w:pPr>
              <w:pStyle w:val="TableParagraph"/>
              <w:spacing w:before="1"/>
              <w:rPr>
                <w:sz w:val="18"/>
              </w:rPr>
            </w:pPr>
            <w:r>
              <w:rPr>
                <w:color w:val="333333"/>
                <w:w w:val="99"/>
                <w:sz w:val="18"/>
              </w:rPr>
              <w:t>0</w:t>
            </w:r>
          </w:p>
        </w:tc>
        <w:tc>
          <w:tcPr>
            <w:tcW w:w="600" w:type="dxa"/>
          </w:tcPr>
          <w:p>
            <w:pPr>
              <w:pStyle w:val="TableParagraph"/>
              <w:spacing w:before="1"/>
              <w:ind w:right="243"/>
              <w:jc w:val="right"/>
              <w:rPr>
                <w:sz w:val="18"/>
              </w:rPr>
            </w:pPr>
            <w:r>
              <w:rPr>
                <w:color w:val="333333"/>
                <w:w w:val="99"/>
                <w:sz w:val="18"/>
              </w:rPr>
              <w:t>0</w:t>
            </w:r>
          </w:p>
        </w:tc>
        <w:tc>
          <w:tcPr>
            <w:tcW w:w="600" w:type="dxa"/>
          </w:tcPr>
          <w:p>
            <w:pPr>
              <w:pStyle w:val="TableParagraph"/>
              <w:spacing w:before="1"/>
              <w:rPr>
                <w:sz w:val="18"/>
              </w:rPr>
            </w:pPr>
            <w:r>
              <w:rPr>
                <w:color w:val="333333"/>
                <w:w w:val="99"/>
                <w:sz w:val="18"/>
              </w:rPr>
              <w:t>1</w:t>
            </w:r>
          </w:p>
        </w:tc>
        <w:tc>
          <w:tcPr>
            <w:tcW w:w="600" w:type="dxa"/>
          </w:tcPr>
          <w:p>
            <w:pPr>
              <w:pStyle w:val="TableParagraph"/>
              <w:spacing w:before="1"/>
              <w:ind w:left="75" w:right="75"/>
              <w:rPr>
                <w:sz w:val="18"/>
              </w:rPr>
            </w:pPr>
            <w:r>
              <w:rPr>
                <w:color w:val="333333"/>
                <w:sz w:val="18"/>
              </w:rPr>
              <w:t>11</w:t>
            </w:r>
          </w:p>
        </w:tc>
        <w:tc>
          <w:tcPr>
            <w:tcW w:w="600" w:type="dxa"/>
          </w:tcPr>
          <w:p>
            <w:pPr>
              <w:pStyle w:val="TableParagraph"/>
              <w:spacing w:before="1"/>
              <w:ind w:left="75" w:right="75"/>
              <w:rPr>
                <w:sz w:val="18"/>
              </w:rPr>
            </w:pPr>
            <w:r>
              <w:rPr>
                <w:color w:val="333333"/>
                <w:sz w:val="18"/>
              </w:rPr>
              <w:t>41</w:t>
            </w:r>
          </w:p>
        </w:tc>
        <w:tc>
          <w:tcPr>
            <w:tcW w:w="600" w:type="dxa"/>
          </w:tcPr>
          <w:p>
            <w:pPr>
              <w:pStyle w:val="TableParagraph"/>
              <w:spacing w:before="1"/>
              <w:ind w:left="75" w:right="75"/>
              <w:rPr>
                <w:sz w:val="18"/>
              </w:rPr>
            </w:pPr>
            <w:r>
              <w:rPr>
                <w:color w:val="333333"/>
                <w:sz w:val="18"/>
              </w:rPr>
              <w:t>26</w:t>
            </w:r>
          </w:p>
        </w:tc>
        <w:tc>
          <w:tcPr>
            <w:tcW w:w="600" w:type="dxa"/>
          </w:tcPr>
          <w:p>
            <w:pPr>
              <w:pStyle w:val="TableParagraph"/>
              <w:spacing w:before="1"/>
              <w:ind w:left="75" w:right="75"/>
              <w:rPr>
                <w:sz w:val="18"/>
              </w:rPr>
            </w:pPr>
            <w:r>
              <w:rPr>
                <w:color w:val="333333"/>
                <w:sz w:val="18"/>
              </w:rPr>
              <w:t>42</w:t>
            </w:r>
          </w:p>
        </w:tc>
        <w:tc>
          <w:tcPr>
            <w:tcW w:w="600" w:type="dxa"/>
          </w:tcPr>
          <w:p>
            <w:pPr>
              <w:pStyle w:val="TableParagraph"/>
              <w:spacing w:before="1"/>
              <w:ind w:left="75" w:right="75"/>
              <w:rPr>
                <w:sz w:val="18"/>
              </w:rPr>
            </w:pPr>
            <w:r>
              <w:rPr>
                <w:color w:val="333333"/>
                <w:sz w:val="18"/>
              </w:rPr>
              <w:t>38</w:t>
            </w:r>
          </w:p>
        </w:tc>
        <w:tc>
          <w:tcPr>
            <w:tcW w:w="600" w:type="dxa"/>
          </w:tcPr>
          <w:p>
            <w:pPr>
              <w:pStyle w:val="TableParagraph"/>
              <w:spacing w:before="1"/>
              <w:ind w:left="75" w:right="75"/>
              <w:rPr>
                <w:sz w:val="18"/>
              </w:rPr>
            </w:pPr>
            <w:r>
              <w:rPr>
                <w:color w:val="333333"/>
                <w:sz w:val="18"/>
              </w:rPr>
              <w:t>240</w:t>
            </w:r>
          </w:p>
        </w:tc>
        <w:tc>
          <w:tcPr>
            <w:tcW w:w="601" w:type="dxa"/>
          </w:tcPr>
          <w:p>
            <w:pPr>
              <w:pStyle w:val="TableParagraph"/>
              <w:spacing w:before="1"/>
              <w:ind w:left="75" w:right="75"/>
              <w:rPr>
                <w:sz w:val="18"/>
              </w:rPr>
            </w:pPr>
            <w:r>
              <w:rPr>
                <w:color w:val="333333"/>
                <w:sz w:val="18"/>
              </w:rPr>
              <w:t>75</w:t>
            </w:r>
          </w:p>
        </w:tc>
        <w:tc>
          <w:tcPr>
            <w:tcW w:w="600" w:type="dxa"/>
          </w:tcPr>
          <w:p>
            <w:pPr>
              <w:pStyle w:val="TableParagraph"/>
              <w:spacing w:before="1"/>
              <w:ind w:left="75" w:right="75"/>
              <w:rPr>
                <w:sz w:val="18"/>
              </w:rPr>
            </w:pPr>
            <w:r>
              <w:rPr>
                <w:color w:val="333333"/>
                <w:sz w:val="18"/>
              </w:rPr>
              <w:t>18</w:t>
            </w:r>
          </w:p>
        </w:tc>
        <w:tc>
          <w:tcPr>
            <w:tcW w:w="607" w:type="dxa"/>
          </w:tcPr>
          <w:p>
            <w:pPr>
              <w:pStyle w:val="TableParagraph"/>
              <w:spacing w:line="204" w:lineRule="exact"/>
              <w:ind w:left="148"/>
              <w:jc w:val="left"/>
              <w:rPr>
                <w:b/>
                <w:sz w:val="18"/>
              </w:rPr>
            </w:pPr>
            <w:r>
              <w:rPr>
                <w:b/>
                <w:sz w:val="18"/>
              </w:rPr>
              <w:t>492</w:t>
            </w:r>
          </w:p>
        </w:tc>
      </w:tr>
      <w:tr>
        <w:trPr>
          <w:trHeight w:val="319" w:hRule="exact"/>
        </w:trPr>
        <w:tc>
          <w:tcPr>
            <w:tcW w:w="2801" w:type="dxa"/>
          </w:tcPr>
          <w:p>
            <w:pPr>
              <w:pStyle w:val="TableParagraph"/>
              <w:spacing w:line="206" w:lineRule="exact"/>
              <w:ind w:left="64"/>
              <w:jc w:val="left"/>
              <w:rPr>
                <w:sz w:val="18"/>
              </w:rPr>
            </w:pPr>
            <w:r>
              <w:rPr>
                <w:color w:val="333333"/>
                <w:sz w:val="18"/>
              </w:rPr>
              <w:t>CHIMALHUACAN</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6</w:t>
            </w:r>
          </w:p>
        </w:tc>
        <w:tc>
          <w:tcPr>
            <w:tcW w:w="600" w:type="dxa"/>
          </w:tcPr>
          <w:p>
            <w:pPr>
              <w:pStyle w:val="TableParagraph"/>
              <w:spacing w:line="206" w:lineRule="exact"/>
              <w:ind w:left="75" w:right="75"/>
              <w:rPr>
                <w:sz w:val="18"/>
              </w:rPr>
            </w:pPr>
            <w:r>
              <w:rPr>
                <w:color w:val="333333"/>
                <w:sz w:val="18"/>
              </w:rPr>
              <w:t>37</w:t>
            </w:r>
          </w:p>
        </w:tc>
        <w:tc>
          <w:tcPr>
            <w:tcW w:w="600" w:type="dxa"/>
          </w:tcPr>
          <w:p>
            <w:pPr>
              <w:pStyle w:val="TableParagraph"/>
              <w:spacing w:line="206" w:lineRule="exact"/>
              <w:ind w:left="75" w:right="75"/>
              <w:rPr>
                <w:sz w:val="18"/>
              </w:rPr>
            </w:pPr>
            <w:r>
              <w:rPr>
                <w:color w:val="333333"/>
                <w:sz w:val="18"/>
              </w:rPr>
              <w:t>51</w:t>
            </w:r>
          </w:p>
        </w:tc>
        <w:tc>
          <w:tcPr>
            <w:tcW w:w="600" w:type="dxa"/>
          </w:tcPr>
          <w:p>
            <w:pPr>
              <w:pStyle w:val="TableParagraph"/>
              <w:spacing w:line="206" w:lineRule="exact"/>
              <w:ind w:left="75" w:right="75"/>
              <w:rPr>
                <w:sz w:val="18"/>
              </w:rPr>
            </w:pPr>
            <w:r>
              <w:rPr>
                <w:color w:val="333333"/>
                <w:sz w:val="18"/>
              </w:rPr>
              <w:t>135</w:t>
            </w:r>
          </w:p>
        </w:tc>
        <w:tc>
          <w:tcPr>
            <w:tcW w:w="600" w:type="dxa"/>
          </w:tcPr>
          <w:p>
            <w:pPr>
              <w:pStyle w:val="TableParagraph"/>
              <w:spacing w:line="206" w:lineRule="exact"/>
              <w:ind w:left="75" w:right="75"/>
              <w:rPr>
                <w:sz w:val="18"/>
              </w:rPr>
            </w:pPr>
            <w:r>
              <w:rPr>
                <w:color w:val="333333"/>
                <w:sz w:val="18"/>
              </w:rPr>
              <w:t>119</w:t>
            </w:r>
          </w:p>
        </w:tc>
        <w:tc>
          <w:tcPr>
            <w:tcW w:w="600" w:type="dxa"/>
          </w:tcPr>
          <w:p>
            <w:pPr>
              <w:pStyle w:val="TableParagraph"/>
              <w:spacing w:line="206" w:lineRule="exact"/>
              <w:ind w:left="75" w:right="75"/>
              <w:rPr>
                <w:sz w:val="18"/>
              </w:rPr>
            </w:pPr>
            <w:r>
              <w:rPr>
                <w:color w:val="333333"/>
                <w:sz w:val="18"/>
              </w:rPr>
              <w:t>106</w:t>
            </w:r>
          </w:p>
        </w:tc>
        <w:tc>
          <w:tcPr>
            <w:tcW w:w="600" w:type="dxa"/>
          </w:tcPr>
          <w:p>
            <w:pPr>
              <w:pStyle w:val="TableParagraph"/>
              <w:spacing w:line="206" w:lineRule="exact"/>
              <w:ind w:left="75" w:right="75"/>
              <w:rPr>
                <w:sz w:val="18"/>
              </w:rPr>
            </w:pPr>
            <w:r>
              <w:rPr>
                <w:color w:val="333333"/>
                <w:sz w:val="18"/>
              </w:rPr>
              <w:t>96</w:t>
            </w:r>
          </w:p>
        </w:tc>
        <w:tc>
          <w:tcPr>
            <w:tcW w:w="601" w:type="dxa"/>
          </w:tcPr>
          <w:p>
            <w:pPr>
              <w:pStyle w:val="TableParagraph"/>
              <w:spacing w:line="206" w:lineRule="exact"/>
              <w:ind w:left="75" w:right="75"/>
              <w:rPr>
                <w:sz w:val="18"/>
              </w:rPr>
            </w:pPr>
            <w:r>
              <w:rPr>
                <w:color w:val="333333"/>
                <w:sz w:val="18"/>
              </w:rPr>
              <w:t>293</w:t>
            </w:r>
          </w:p>
        </w:tc>
        <w:tc>
          <w:tcPr>
            <w:tcW w:w="600" w:type="dxa"/>
          </w:tcPr>
          <w:p>
            <w:pPr>
              <w:pStyle w:val="TableParagraph"/>
              <w:spacing w:line="206" w:lineRule="exact"/>
              <w:ind w:left="75" w:right="75"/>
              <w:rPr>
                <w:sz w:val="18"/>
              </w:rPr>
            </w:pPr>
            <w:r>
              <w:rPr>
                <w:color w:val="333333"/>
                <w:sz w:val="18"/>
              </w:rPr>
              <w:t>115</w:t>
            </w:r>
          </w:p>
        </w:tc>
        <w:tc>
          <w:tcPr>
            <w:tcW w:w="607" w:type="dxa"/>
          </w:tcPr>
          <w:p>
            <w:pPr>
              <w:pStyle w:val="TableParagraph"/>
              <w:spacing w:line="201" w:lineRule="exact"/>
              <w:ind w:left="148"/>
              <w:jc w:val="left"/>
              <w:rPr>
                <w:b/>
                <w:sz w:val="18"/>
              </w:rPr>
            </w:pPr>
            <w:r>
              <w:rPr>
                <w:b/>
                <w:sz w:val="18"/>
              </w:rPr>
              <w:t>958</w:t>
            </w:r>
          </w:p>
        </w:tc>
      </w:tr>
      <w:tr>
        <w:trPr>
          <w:trHeight w:val="322" w:hRule="exact"/>
        </w:trPr>
        <w:tc>
          <w:tcPr>
            <w:tcW w:w="2801" w:type="dxa"/>
          </w:tcPr>
          <w:p>
            <w:pPr>
              <w:pStyle w:val="TableParagraph"/>
              <w:spacing w:before="1"/>
              <w:ind w:left="64"/>
              <w:jc w:val="left"/>
              <w:rPr>
                <w:sz w:val="18"/>
              </w:rPr>
            </w:pPr>
            <w:r>
              <w:rPr>
                <w:color w:val="333333"/>
                <w:sz w:val="18"/>
              </w:rPr>
              <w:t>COACALCO DE BERRIOZABAL</w:t>
            </w:r>
          </w:p>
        </w:tc>
        <w:tc>
          <w:tcPr>
            <w:tcW w:w="601" w:type="dxa"/>
          </w:tcPr>
          <w:p>
            <w:pPr>
              <w:pStyle w:val="TableParagraph"/>
              <w:spacing w:before="1"/>
              <w:rPr>
                <w:sz w:val="18"/>
              </w:rPr>
            </w:pPr>
            <w:r>
              <w:rPr>
                <w:color w:val="333333"/>
                <w:w w:val="99"/>
                <w:sz w:val="18"/>
              </w:rPr>
              <w:t>0</w:t>
            </w:r>
          </w:p>
        </w:tc>
        <w:tc>
          <w:tcPr>
            <w:tcW w:w="600" w:type="dxa"/>
          </w:tcPr>
          <w:p>
            <w:pPr>
              <w:pStyle w:val="TableParagraph"/>
              <w:spacing w:before="1"/>
              <w:ind w:right="243"/>
              <w:jc w:val="right"/>
              <w:rPr>
                <w:sz w:val="18"/>
              </w:rPr>
            </w:pPr>
            <w:r>
              <w:rPr>
                <w:color w:val="333333"/>
                <w:w w:val="99"/>
                <w:sz w:val="18"/>
              </w:rPr>
              <w:t>0</w:t>
            </w:r>
          </w:p>
        </w:tc>
        <w:tc>
          <w:tcPr>
            <w:tcW w:w="600" w:type="dxa"/>
          </w:tcPr>
          <w:p>
            <w:pPr>
              <w:pStyle w:val="TableParagraph"/>
              <w:spacing w:before="1"/>
              <w:rPr>
                <w:sz w:val="18"/>
              </w:rPr>
            </w:pPr>
            <w:r>
              <w:rPr>
                <w:color w:val="333333"/>
                <w:w w:val="99"/>
                <w:sz w:val="18"/>
              </w:rPr>
              <w:t>8</w:t>
            </w:r>
          </w:p>
        </w:tc>
        <w:tc>
          <w:tcPr>
            <w:tcW w:w="600" w:type="dxa"/>
          </w:tcPr>
          <w:p>
            <w:pPr>
              <w:pStyle w:val="TableParagraph"/>
              <w:spacing w:before="1"/>
              <w:ind w:left="75" w:right="75"/>
              <w:rPr>
                <w:sz w:val="18"/>
              </w:rPr>
            </w:pPr>
            <w:r>
              <w:rPr>
                <w:color w:val="333333"/>
                <w:sz w:val="18"/>
              </w:rPr>
              <w:t>81</w:t>
            </w:r>
          </w:p>
        </w:tc>
        <w:tc>
          <w:tcPr>
            <w:tcW w:w="600" w:type="dxa"/>
          </w:tcPr>
          <w:p>
            <w:pPr>
              <w:pStyle w:val="TableParagraph"/>
              <w:spacing w:before="1"/>
              <w:ind w:left="75" w:right="75"/>
              <w:rPr>
                <w:sz w:val="18"/>
              </w:rPr>
            </w:pPr>
            <w:r>
              <w:rPr>
                <w:color w:val="333333"/>
                <w:sz w:val="18"/>
              </w:rPr>
              <w:t>237</w:t>
            </w:r>
          </w:p>
        </w:tc>
        <w:tc>
          <w:tcPr>
            <w:tcW w:w="600" w:type="dxa"/>
          </w:tcPr>
          <w:p>
            <w:pPr>
              <w:pStyle w:val="TableParagraph"/>
              <w:spacing w:before="1"/>
              <w:ind w:left="75" w:right="75"/>
              <w:rPr>
                <w:sz w:val="18"/>
              </w:rPr>
            </w:pPr>
            <w:r>
              <w:rPr>
                <w:color w:val="333333"/>
                <w:sz w:val="18"/>
              </w:rPr>
              <w:t>198</w:t>
            </w:r>
          </w:p>
        </w:tc>
        <w:tc>
          <w:tcPr>
            <w:tcW w:w="600" w:type="dxa"/>
          </w:tcPr>
          <w:p>
            <w:pPr>
              <w:pStyle w:val="TableParagraph"/>
              <w:spacing w:before="1"/>
              <w:ind w:left="75" w:right="75"/>
              <w:rPr>
                <w:sz w:val="18"/>
              </w:rPr>
            </w:pPr>
            <w:r>
              <w:rPr>
                <w:color w:val="333333"/>
                <w:sz w:val="18"/>
              </w:rPr>
              <w:t>101</w:t>
            </w:r>
          </w:p>
        </w:tc>
        <w:tc>
          <w:tcPr>
            <w:tcW w:w="600" w:type="dxa"/>
          </w:tcPr>
          <w:p>
            <w:pPr>
              <w:pStyle w:val="TableParagraph"/>
              <w:spacing w:before="1"/>
              <w:ind w:left="75" w:right="75"/>
              <w:rPr>
                <w:sz w:val="18"/>
              </w:rPr>
            </w:pPr>
            <w:r>
              <w:rPr>
                <w:color w:val="333333"/>
                <w:sz w:val="18"/>
              </w:rPr>
              <w:t>108</w:t>
            </w:r>
          </w:p>
        </w:tc>
        <w:tc>
          <w:tcPr>
            <w:tcW w:w="600" w:type="dxa"/>
          </w:tcPr>
          <w:p>
            <w:pPr>
              <w:pStyle w:val="TableParagraph"/>
              <w:spacing w:before="1"/>
              <w:ind w:left="75" w:right="75"/>
              <w:rPr>
                <w:sz w:val="18"/>
              </w:rPr>
            </w:pPr>
            <w:r>
              <w:rPr>
                <w:color w:val="333333"/>
                <w:sz w:val="18"/>
              </w:rPr>
              <w:t>355</w:t>
            </w:r>
          </w:p>
        </w:tc>
        <w:tc>
          <w:tcPr>
            <w:tcW w:w="601" w:type="dxa"/>
          </w:tcPr>
          <w:p>
            <w:pPr>
              <w:pStyle w:val="TableParagraph"/>
              <w:spacing w:before="1"/>
              <w:ind w:left="75" w:right="75"/>
              <w:rPr>
                <w:sz w:val="18"/>
              </w:rPr>
            </w:pPr>
            <w:r>
              <w:rPr>
                <w:color w:val="333333"/>
                <w:sz w:val="18"/>
              </w:rPr>
              <w:t>113</w:t>
            </w:r>
          </w:p>
        </w:tc>
        <w:tc>
          <w:tcPr>
            <w:tcW w:w="600" w:type="dxa"/>
          </w:tcPr>
          <w:p>
            <w:pPr>
              <w:pStyle w:val="TableParagraph"/>
              <w:spacing w:before="1"/>
              <w:ind w:left="75" w:right="75"/>
              <w:rPr>
                <w:sz w:val="18"/>
              </w:rPr>
            </w:pPr>
            <w:r>
              <w:rPr>
                <w:color w:val="333333"/>
                <w:sz w:val="18"/>
              </w:rPr>
              <w:t>75</w:t>
            </w:r>
          </w:p>
        </w:tc>
        <w:tc>
          <w:tcPr>
            <w:tcW w:w="607" w:type="dxa"/>
          </w:tcPr>
          <w:p>
            <w:pPr>
              <w:pStyle w:val="TableParagraph"/>
              <w:spacing w:line="204" w:lineRule="exact"/>
              <w:ind w:left="98"/>
              <w:jc w:val="left"/>
              <w:rPr>
                <w:b/>
                <w:sz w:val="18"/>
              </w:rPr>
            </w:pPr>
            <w:r>
              <w:rPr>
                <w:b/>
                <w:sz w:val="18"/>
              </w:rPr>
              <w:t>1276</w:t>
            </w:r>
          </w:p>
        </w:tc>
      </w:tr>
      <w:tr>
        <w:trPr>
          <w:trHeight w:val="319" w:hRule="exact"/>
        </w:trPr>
        <w:tc>
          <w:tcPr>
            <w:tcW w:w="2801" w:type="dxa"/>
          </w:tcPr>
          <w:p>
            <w:pPr>
              <w:pStyle w:val="TableParagraph"/>
              <w:spacing w:line="206" w:lineRule="exact"/>
              <w:ind w:left="64"/>
              <w:jc w:val="left"/>
              <w:rPr>
                <w:sz w:val="18"/>
              </w:rPr>
            </w:pPr>
            <w:r>
              <w:rPr>
                <w:color w:val="333333"/>
                <w:sz w:val="18"/>
              </w:rPr>
              <w:t>COATEPEC HARINAS</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7</w:t>
            </w:r>
          </w:p>
        </w:tc>
        <w:tc>
          <w:tcPr>
            <w:tcW w:w="600" w:type="dxa"/>
          </w:tcPr>
          <w:p>
            <w:pPr>
              <w:pStyle w:val="TableParagraph"/>
              <w:spacing w:line="206" w:lineRule="exact"/>
              <w:ind w:left="75" w:right="75"/>
              <w:rPr>
                <w:sz w:val="18"/>
              </w:rPr>
            </w:pPr>
            <w:r>
              <w:rPr>
                <w:color w:val="333333"/>
                <w:sz w:val="18"/>
              </w:rPr>
              <w:t>12</w:t>
            </w:r>
          </w:p>
        </w:tc>
        <w:tc>
          <w:tcPr>
            <w:tcW w:w="600" w:type="dxa"/>
          </w:tcPr>
          <w:p>
            <w:pPr>
              <w:pStyle w:val="TableParagraph"/>
              <w:spacing w:line="206" w:lineRule="exact"/>
              <w:ind w:left="75" w:right="75"/>
              <w:rPr>
                <w:sz w:val="18"/>
              </w:rPr>
            </w:pPr>
            <w:r>
              <w:rPr>
                <w:color w:val="333333"/>
                <w:sz w:val="18"/>
              </w:rPr>
              <w:t>59</w:t>
            </w:r>
          </w:p>
        </w:tc>
        <w:tc>
          <w:tcPr>
            <w:tcW w:w="600" w:type="dxa"/>
          </w:tcPr>
          <w:p>
            <w:pPr>
              <w:pStyle w:val="TableParagraph"/>
              <w:spacing w:line="206" w:lineRule="exact"/>
              <w:ind w:left="75" w:right="75"/>
              <w:rPr>
                <w:sz w:val="18"/>
              </w:rPr>
            </w:pPr>
            <w:r>
              <w:rPr>
                <w:color w:val="333333"/>
                <w:sz w:val="18"/>
              </w:rPr>
              <w:t>41</w:t>
            </w:r>
          </w:p>
        </w:tc>
        <w:tc>
          <w:tcPr>
            <w:tcW w:w="600" w:type="dxa"/>
          </w:tcPr>
          <w:p>
            <w:pPr>
              <w:pStyle w:val="TableParagraph"/>
              <w:spacing w:line="206" w:lineRule="exact"/>
              <w:ind w:left="75" w:right="75"/>
              <w:rPr>
                <w:sz w:val="18"/>
              </w:rPr>
            </w:pPr>
            <w:r>
              <w:rPr>
                <w:color w:val="333333"/>
                <w:sz w:val="18"/>
              </w:rPr>
              <w:t>20</w:t>
            </w:r>
          </w:p>
        </w:tc>
        <w:tc>
          <w:tcPr>
            <w:tcW w:w="600" w:type="dxa"/>
          </w:tcPr>
          <w:p>
            <w:pPr>
              <w:pStyle w:val="TableParagraph"/>
              <w:spacing w:line="206" w:lineRule="exact"/>
              <w:ind w:left="75" w:right="75"/>
              <w:rPr>
                <w:sz w:val="18"/>
              </w:rPr>
            </w:pPr>
            <w:r>
              <w:rPr>
                <w:color w:val="333333"/>
                <w:sz w:val="18"/>
              </w:rPr>
              <w:t>32</w:t>
            </w:r>
          </w:p>
        </w:tc>
        <w:tc>
          <w:tcPr>
            <w:tcW w:w="600" w:type="dxa"/>
          </w:tcPr>
          <w:p>
            <w:pPr>
              <w:pStyle w:val="TableParagraph"/>
              <w:spacing w:line="206" w:lineRule="exact"/>
              <w:ind w:left="75" w:right="75"/>
              <w:rPr>
                <w:sz w:val="18"/>
              </w:rPr>
            </w:pPr>
            <w:r>
              <w:rPr>
                <w:color w:val="333333"/>
                <w:sz w:val="18"/>
              </w:rPr>
              <w:t>20</w:t>
            </w:r>
          </w:p>
        </w:tc>
        <w:tc>
          <w:tcPr>
            <w:tcW w:w="601" w:type="dxa"/>
          </w:tcPr>
          <w:p>
            <w:pPr>
              <w:pStyle w:val="TableParagraph"/>
              <w:spacing w:line="206" w:lineRule="exact"/>
              <w:rPr>
                <w:sz w:val="18"/>
              </w:rPr>
            </w:pPr>
            <w:r>
              <w:rPr>
                <w:color w:val="333333"/>
                <w:w w:val="99"/>
                <w:sz w:val="18"/>
              </w:rPr>
              <w:t>6</w:t>
            </w:r>
          </w:p>
        </w:tc>
        <w:tc>
          <w:tcPr>
            <w:tcW w:w="600" w:type="dxa"/>
          </w:tcPr>
          <w:p>
            <w:pPr>
              <w:pStyle w:val="TableParagraph"/>
              <w:spacing w:line="206" w:lineRule="exact"/>
              <w:ind w:left="75" w:right="75"/>
              <w:rPr>
                <w:sz w:val="18"/>
              </w:rPr>
            </w:pPr>
            <w:r>
              <w:rPr>
                <w:color w:val="333333"/>
                <w:sz w:val="18"/>
              </w:rPr>
              <w:t>13</w:t>
            </w:r>
          </w:p>
        </w:tc>
        <w:tc>
          <w:tcPr>
            <w:tcW w:w="607" w:type="dxa"/>
          </w:tcPr>
          <w:p>
            <w:pPr>
              <w:pStyle w:val="TableParagraph"/>
              <w:spacing w:line="201" w:lineRule="exact"/>
              <w:ind w:left="148"/>
              <w:jc w:val="left"/>
              <w:rPr>
                <w:b/>
                <w:sz w:val="18"/>
              </w:rPr>
            </w:pPr>
            <w:r>
              <w:rPr>
                <w:b/>
                <w:sz w:val="18"/>
              </w:rPr>
              <w:t>210</w:t>
            </w:r>
          </w:p>
        </w:tc>
      </w:tr>
      <w:tr>
        <w:trPr>
          <w:trHeight w:val="322" w:hRule="exact"/>
        </w:trPr>
        <w:tc>
          <w:tcPr>
            <w:tcW w:w="2801" w:type="dxa"/>
          </w:tcPr>
          <w:p>
            <w:pPr>
              <w:pStyle w:val="TableParagraph"/>
              <w:spacing w:before="1"/>
              <w:ind w:left="64"/>
              <w:jc w:val="left"/>
              <w:rPr>
                <w:sz w:val="18"/>
              </w:rPr>
            </w:pPr>
            <w:r>
              <w:rPr>
                <w:color w:val="333333"/>
                <w:sz w:val="18"/>
              </w:rPr>
              <w:t>COCOTITLAN</w:t>
            </w:r>
          </w:p>
        </w:tc>
        <w:tc>
          <w:tcPr>
            <w:tcW w:w="601" w:type="dxa"/>
          </w:tcPr>
          <w:p>
            <w:pPr>
              <w:pStyle w:val="TableParagraph"/>
              <w:spacing w:before="1"/>
              <w:rPr>
                <w:sz w:val="18"/>
              </w:rPr>
            </w:pPr>
            <w:r>
              <w:rPr>
                <w:color w:val="333333"/>
                <w:w w:val="99"/>
                <w:sz w:val="18"/>
              </w:rPr>
              <w:t>0</w:t>
            </w:r>
          </w:p>
        </w:tc>
        <w:tc>
          <w:tcPr>
            <w:tcW w:w="600" w:type="dxa"/>
          </w:tcPr>
          <w:p>
            <w:pPr>
              <w:pStyle w:val="TableParagraph"/>
              <w:spacing w:before="1"/>
              <w:ind w:right="243"/>
              <w:jc w:val="right"/>
              <w:rPr>
                <w:sz w:val="18"/>
              </w:rPr>
            </w:pPr>
            <w:r>
              <w:rPr>
                <w:color w:val="333333"/>
                <w:w w:val="99"/>
                <w:sz w:val="18"/>
              </w:rPr>
              <w:t>0</w:t>
            </w:r>
          </w:p>
        </w:tc>
        <w:tc>
          <w:tcPr>
            <w:tcW w:w="600" w:type="dxa"/>
          </w:tcPr>
          <w:p>
            <w:pPr>
              <w:pStyle w:val="TableParagraph"/>
              <w:spacing w:before="1"/>
              <w:rPr>
                <w:sz w:val="18"/>
              </w:rPr>
            </w:pPr>
            <w:r>
              <w:rPr>
                <w:color w:val="333333"/>
                <w:w w:val="99"/>
                <w:sz w:val="18"/>
              </w:rPr>
              <w:t>3</w:t>
            </w:r>
          </w:p>
        </w:tc>
        <w:tc>
          <w:tcPr>
            <w:tcW w:w="600" w:type="dxa"/>
          </w:tcPr>
          <w:p>
            <w:pPr>
              <w:pStyle w:val="TableParagraph"/>
              <w:spacing w:before="1"/>
              <w:ind w:left="75" w:right="75"/>
              <w:rPr>
                <w:sz w:val="18"/>
              </w:rPr>
            </w:pPr>
            <w:r>
              <w:rPr>
                <w:color w:val="333333"/>
                <w:sz w:val="18"/>
              </w:rPr>
              <w:t>67</w:t>
            </w:r>
          </w:p>
        </w:tc>
        <w:tc>
          <w:tcPr>
            <w:tcW w:w="600" w:type="dxa"/>
          </w:tcPr>
          <w:p>
            <w:pPr>
              <w:pStyle w:val="TableParagraph"/>
              <w:spacing w:before="1"/>
              <w:ind w:left="75" w:right="75"/>
              <w:rPr>
                <w:sz w:val="18"/>
              </w:rPr>
            </w:pPr>
            <w:r>
              <w:rPr>
                <w:color w:val="333333"/>
                <w:sz w:val="18"/>
              </w:rPr>
              <w:t>123</w:t>
            </w:r>
          </w:p>
        </w:tc>
        <w:tc>
          <w:tcPr>
            <w:tcW w:w="600" w:type="dxa"/>
          </w:tcPr>
          <w:p>
            <w:pPr>
              <w:pStyle w:val="TableParagraph"/>
              <w:spacing w:before="1"/>
              <w:ind w:left="75" w:right="75"/>
              <w:rPr>
                <w:sz w:val="18"/>
              </w:rPr>
            </w:pPr>
            <w:r>
              <w:rPr>
                <w:color w:val="333333"/>
                <w:sz w:val="18"/>
              </w:rPr>
              <w:t>80</w:t>
            </w:r>
          </w:p>
        </w:tc>
        <w:tc>
          <w:tcPr>
            <w:tcW w:w="600" w:type="dxa"/>
          </w:tcPr>
          <w:p>
            <w:pPr>
              <w:pStyle w:val="TableParagraph"/>
              <w:spacing w:before="1"/>
              <w:ind w:left="75" w:right="75"/>
              <w:rPr>
                <w:sz w:val="18"/>
              </w:rPr>
            </w:pPr>
            <w:r>
              <w:rPr>
                <w:color w:val="333333"/>
                <w:sz w:val="18"/>
              </w:rPr>
              <w:t>24</w:t>
            </w:r>
          </w:p>
        </w:tc>
        <w:tc>
          <w:tcPr>
            <w:tcW w:w="600" w:type="dxa"/>
          </w:tcPr>
          <w:p>
            <w:pPr>
              <w:pStyle w:val="TableParagraph"/>
              <w:spacing w:before="1"/>
              <w:ind w:left="75" w:right="75"/>
              <w:rPr>
                <w:sz w:val="18"/>
              </w:rPr>
            </w:pPr>
            <w:r>
              <w:rPr>
                <w:color w:val="333333"/>
                <w:sz w:val="18"/>
              </w:rPr>
              <w:t>18</w:t>
            </w:r>
          </w:p>
        </w:tc>
        <w:tc>
          <w:tcPr>
            <w:tcW w:w="600" w:type="dxa"/>
          </w:tcPr>
          <w:p>
            <w:pPr>
              <w:pStyle w:val="TableParagraph"/>
              <w:spacing w:before="1"/>
              <w:ind w:left="75" w:right="75"/>
              <w:rPr>
                <w:sz w:val="18"/>
              </w:rPr>
            </w:pPr>
            <w:r>
              <w:rPr>
                <w:color w:val="333333"/>
                <w:sz w:val="18"/>
              </w:rPr>
              <w:t>23</w:t>
            </w:r>
          </w:p>
        </w:tc>
        <w:tc>
          <w:tcPr>
            <w:tcW w:w="601" w:type="dxa"/>
          </w:tcPr>
          <w:p>
            <w:pPr>
              <w:pStyle w:val="TableParagraph"/>
              <w:spacing w:before="1"/>
              <w:ind w:left="75" w:right="75"/>
              <w:rPr>
                <w:sz w:val="18"/>
              </w:rPr>
            </w:pPr>
            <w:r>
              <w:rPr>
                <w:color w:val="333333"/>
                <w:sz w:val="18"/>
              </w:rPr>
              <w:t>10</w:t>
            </w:r>
          </w:p>
        </w:tc>
        <w:tc>
          <w:tcPr>
            <w:tcW w:w="600" w:type="dxa"/>
          </w:tcPr>
          <w:p>
            <w:pPr>
              <w:pStyle w:val="TableParagraph"/>
              <w:spacing w:before="1"/>
              <w:ind w:left="75" w:right="75"/>
              <w:rPr>
                <w:sz w:val="18"/>
              </w:rPr>
            </w:pPr>
            <w:r>
              <w:rPr>
                <w:color w:val="333333"/>
                <w:sz w:val="18"/>
              </w:rPr>
              <w:t>14</w:t>
            </w:r>
          </w:p>
        </w:tc>
        <w:tc>
          <w:tcPr>
            <w:tcW w:w="607" w:type="dxa"/>
          </w:tcPr>
          <w:p>
            <w:pPr>
              <w:pStyle w:val="TableParagraph"/>
              <w:spacing w:line="204" w:lineRule="exact"/>
              <w:ind w:left="148"/>
              <w:jc w:val="left"/>
              <w:rPr>
                <w:b/>
                <w:sz w:val="18"/>
              </w:rPr>
            </w:pPr>
            <w:r>
              <w:rPr>
                <w:b/>
                <w:sz w:val="18"/>
              </w:rPr>
              <w:t>362</w:t>
            </w:r>
          </w:p>
        </w:tc>
      </w:tr>
      <w:tr>
        <w:trPr>
          <w:trHeight w:val="322" w:hRule="exact"/>
        </w:trPr>
        <w:tc>
          <w:tcPr>
            <w:tcW w:w="2801" w:type="dxa"/>
          </w:tcPr>
          <w:p>
            <w:pPr>
              <w:pStyle w:val="TableParagraph"/>
              <w:spacing w:line="206" w:lineRule="exact"/>
              <w:ind w:left="64"/>
              <w:jc w:val="left"/>
              <w:rPr>
                <w:sz w:val="18"/>
              </w:rPr>
            </w:pPr>
            <w:r>
              <w:rPr>
                <w:color w:val="333333"/>
                <w:sz w:val="18"/>
              </w:rPr>
              <w:t>COYOTEPEC</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3</w:t>
            </w:r>
          </w:p>
        </w:tc>
        <w:tc>
          <w:tcPr>
            <w:tcW w:w="600" w:type="dxa"/>
          </w:tcPr>
          <w:p>
            <w:pPr>
              <w:pStyle w:val="TableParagraph"/>
              <w:spacing w:line="206" w:lineRule="exact"/>
              <w:ind w:left="75" w:right="75"/>
              <w:rPr>
                <w:sz w:val="18"/>
              </w:rPr>
            </w:pPr>
            <w:r>
              <w:rPr>
                <w:color w:val="333333"/>
                <w:sz w:val="18"/>
              </w:rPr>
              <w:t>42</w:t>
            </w:r>
          </w:p>
        </w:tc>
        <w:tc>
          <w:tcPr>
            <w:tcW w:w="600" w:type="dxa"/>
          </w:tcPr>
          <w:p>
            <w:pPr>
              <w:pStyle w:val="TableParagraph"/>
              <w:spacing w:line="206" w:lineRule="exact"/>
              <w:ind w:left="75" w:right="75"/>
              <w:rPr>
                <w:sz w:val="18"/>
              </w:rPr>
            </w:pPr>
            <w:r>
              <w:rPr>
                <w:color w:val="333333"/>
                <w:sz w:val="18"/>
              </w:rPr>
              <w:t>107</w:t>
            </w:r>
          </w:p>
        </w:tc>
        <w:tc>
          <w:tcPr>
            <w:tcW w:w="600" w:type="dxa"/>
          </w:tcPr>
          <w:p>
            <w:pPr>
              <w:pStyle w:val="TableParagraph"/>
              <w:spacing w:line="206" w:lineRule="exact"/>
              <w:ind w:left="75" w:right="75"/>
              <w:rPr>
                <w:sz w:val="18"/>
              </w:rPr>
            </w:pPr>
            <w:r>
              <w:rPr>
                <w:color w:val="333333"/>
                <w:sz w:val="18"/>
              </w:rPr>
              <w:t>122</w:t>
            </w:r>
          </w:p>
        </w:tc>
        <w:tc>
          <w:tcPr>
            <w:tcW w:w="600" w:type="dxa"/>
          </w:tcPr>
          <w:p>
            <w:pPr>
              <w:pStyle w:val="TableParagraph"/>
              <w:spacing w:line="206" w:lineRule="exact"/>
              <w:ind w:left="75" w:right="75"/>
              <w:rPr>
                <w:sz w:val="18"/>
              </w:rPr>
            </w:pPr>
            <w:r>
              <w:rPr>
                <w:color w:val="333333"/>
                <w:sz w:val="18"/>
              </w:rPr>
              <w:t>85</w:t>
            </w:r>
          </w:p>
        </w:tc>
        <w:tc>
          <w:tcPr>
            <w:tcW w:w="600" w:type="dxa"/>
          </w:tcPr>
          <w:p>
            <w:pPr>
              <w:pStyle w:val="TableParagraph"/>
              <w:spacing w:line="206" w:lineRule="exact"/>
              <w:ind w:left="75" w:right="75"/>
              <w:rPr>
                <w:sz w:val="18"/>
              </w:rPr>
            </w:pPr>
            <w:r>
              <w:rPr>
                <w:color w:val="333333"/>
                <w:sz w:val="18"/>
              </w:rPr>
              <w:t>69</w:t>
            </w:r>
          </w:p>
        </w:tc>
        <w:tc>
          <w:tcPr>
            <w:tcW w:w="600" w:type="dxa"/>
          </w:tcPr>
          <w:p>
            <w:pPr>
              <w:pStyle w:val="TableParagraph"/>
              <w:spacing w:line="206" w:lineRule="exact"/>
              <w:ind w:left="75" w:right="75"/>
              <w:rPr>
                <w:sz w:val="18"/>
              </w:rPr>
            </w:pPr>
            <w:r>
              <w:rPr>
                <w:color w:val="333333"/>
                <w:sz w:val="18"/>
              </w:rPr>
              <w:t>81</w:t>
            </w:r>
          </w:p>
        </w:tc>
        <w:tc>
          <w:tcPr>
            <w:tcW w:w="601" w:type="dxa"/>
          </w:tcPr>
          <w:p>
            <w:pPr>
              <w:pStyle w:val="TableParagraph"/>
              <w:spacing w:line="206" w:lineRule="exact"/>
              <w:ind w:left="75" w:right="75"/>
              <w:rPr>
                <w:sz w:val="18"/>
              </w:rPr>
            </w:pPr>
            <w:r>
              <w:rPr>
                <w:color w:val="333333"/>
                <w:sz w:val="18"/>
              </w:rPr>
              <w:t>48</w:t>
            </w:r>
          </w:p>
        </w:tc>
        <w:tc>
          <w:tcPr>
            <w:tcW w:w="600" w:type="dxa"/>
          </w:tcPr>
          <w:p>
            <w:pPr>
              <w:pStyle w:val="TableParagraph"/>
              <w:spacing w:line="206" w:lineRule="exact"/>
              <w:ind w:left="75" w:right="75"/>
              <w:rPr>
                <w:sz w:val="18"/>
              </w:rPr>
            </w:pPr>
            <w:r>
              <w:rPr>
                <w:color w:val="333333"/>
                <w:sz w:val="18"/>
              </w:rPr>
              <w:t>40</w:t>
            </w:r>
          </w:p>
        </w:tc>
        <w:tc>
          <w:tcPr>
            <w:tcW w:w="607" w:type="dxa"/>
          </w:tcPr>
          <w:p>
            <w:pPr>
              <w:pStyle w:val="TableParagraph"/>
              <w:spacing w:line="201" w:lineRule="exact"/>
              <w:ind w:left="148"/>
              <w:jc w:val="left"/>
              <w:rPr>
                <w:b/>
                <w:sz w:val="18"/>
              </w:rPr>
            </w:pPr>
            <w:r>
              <w:rPr>
                <w:b/>
                <w:sz w:val="18"/>
              </w:rPr>
              <w:t>597</w:t>
            </w:r>
          </w:p>
        </w:tc>
      </w:tr>
      <w:tr>
        <w:trPr>
          <w:trHeight w:val="319" w:hRule="exact"/>
        </w:trPr>
        <w:tc>
          <w:tcPr>
            <w:tcW w:w="2801" w:type="dxa"/>
          </w:tcPr>
          <w:p>
            <w:pPr>
              <w:pStyle w:val="TableParagraph"/>
              <w:spacing w:line="206" w:lineRule="exact"/>
              <w:ind w:left="64"/>
              <w:jc w:val="left"/>
              <w:rPr>
                <w:sz w:val="18"/>
              </w:rPr>
            </w:pPr>
            <w:r>
              <w:rPr>
                <w:color w:val="333333"/>
                <w:sz w:val="18"/>
              </w:rPr>
              <w:t>CUAUTITLAN</w:t>
            </w:r>
          </w:p>
        </w:tc>
        <w:tc>
          <w:tcPr>
            <w:tcW w:w="601" w:type="dxa"/>
          </w:tcPr>
          <w:p>
            <w:pPr>
              <w:pStyle w:val="TableParagraph"/>
              <w:spacing w:line="206" w:lineRule="exact"/>
              <w:ind w:left="75" w:right="75"/>
              <w:rPr>
                <w:sz w:val="18"/>
              </w:rPr>
            </w:pPr>
            <w:r>
              <w:rPr>
                <w:color w:val="333333"/>
                <w:sz w:val="18"/>
              </w:rPr>
              <w:t>10</w:t>
            </w:r>
          </w:p>
        </w:tc>
        <w:tc>
          <w:tcPr>
            <w:tcW w:w="600" w:type="dxa"/>
          </w:tcPr>
          <w:p>
            <w:pPr>
              <w:pStyle w:val="TableParagraph"/>
              <w:spacing w:line="206" w:lineRule="exact"/>
              <w:ind w:right="192"/>
              <w:jc w:val="right"/>
              <w:rPr>
                <w:sz w:val="18"/>
              </w:rPr>
            </w:pPr>
            <w:r>
              <w:rPr>
                <w:color w:val="333333"/>
                <w:w w:val="95"/>
                <w:sz w:val="18"/>
              </w:rPr>
              <w:t>24</w:t>
            </w:r>
          </w:p>
        </w:tc>
        <w:tc>
          <w:tcPr>
            <w:tcW w:w="600" w:type="dxa"/>
          </w:tcPr>
          <w:p>
            <w:pPr>
              <w:pStyle w:val="TableParagraph"/>
              <w:spacing w:line="206" w:lineRule="exact"/>
              <w:ind w:left="75" w:right="75"/>
              <w:rPr>
                <w:sz w:val="18"/>
              </w:rPr>
            </w:pPr>
            <w:r>
              <w:rPr>
                <w:color w:val="333333"/>
                <w:sz w:val="18"/>
              </w:rPr>
              <w:t>56</w:t>
            </w:r>
          </w:p>
        </w:tc>
        <w:tc>
          <w:tcPr>
            <w:tcW w:w="600" w:type="dxa"/>
          </w:tcPr>
          <w:p>
            <w:pPr>
              <w:pStyle w:val="TableParagraph"/>
              <w:spacing w:line="206" w:lineRule="exact"/>
              <w:ind w:left="75" w:right="75"/>
              <w:rPr>
                <w:sz w:val="18"/>
              </w:rPr>
            </w:pPr>
            <w:r>
              <w:rPr>
                <w:color w:val="333333"/>
                <w:sz w:val="18"/>
              </w:rPr>
              <w:t>168</w:t>
            </w:r>
          </w:p>
        </w:tc>
        <w:tc>
          <w:tcPr>
            <w:tcW w:w="600" w:type="dxa"/>
          </w:tcPr>
          <w:p>
            <w:pPr>
              <w:pStyle w:val="TableParagraph"/>
              <w:spacing w:line="206" w:lineRule="exact"/>
              <w:ind w:left="75" w:right="75"/>
              <w:rPr>
                <w:sz w:val="18"/>
              </w:rPr>
            </w:pPr>
            <w:r>
              <w:rPr>
                <w:color w:val="333333"/>
                <w:sz w:val="18"/>
              </w:rPr>
              <w:t>111</w:t>
            </w:r>
          </w:p>
        </w:tc>
        <w:tc>
          <w:tcPr>
            <w:tcW w:w="600" w:type="dxa"/>
          </w:tcPr>
          <w:p>
            <w:pPr>
              <w:pStyle w:val="TableParagraph"/>
              <w:spacing w:line="206" w:lineRule="exact"/>
              <w:ind w:left="75" w:right="75"/>
              <w:rPr>
                <w:sz w:val="18"/>
              </w:rPr>
            </w:pPr>
            <w:r>
              <w:rPr>
                <w:color w:val="333333"/>
                <w:sz w:val="18"/>
              </w:rPr>
              <w:t>128</w:t>
            </w:r>
          </w:p>
        </w:tc>
        <w:tc>
          <w:tcPr>
            <w:tcW w:w="600" w:type="dxa"/>
          </w:tcPr>
          <w:p>
            <w:pPr>
              <w:pStyle w:val="TableParagraph"/>
              <w:spacing w:line="206" w:lineRule="exact"/>
              <w:ind w:left="75" w:right="75"/>
              <w:rPr>
                <w:sz w:val="18"/>
              </w:rPr>
            </w:pPr>
            <w:r>
              <w:rPr>
                <w:color w:val="333333"/>
                <w:sz w:val="18"/>
              </w:rPr>
              <w:t>70</w:t>
            </w:r>
          </w:p>
        </w:tc>
        <w:tc>
          <w:tcPr>
            <w:tcW w:w="600" w:type="dxa"/>
          </w:tcPr>
          <w:p>
            <w:pPr>
              <w:pStyle w:val="TableParagraph"/>
              <w:spacing w:line="206" w:lineRule="exact"/>
              <w:ind w:left="75" w:right="75"/>
              <w:rPr>
                <w:sz w:val="18"/>
              </w:rPr>
            </w:pPr>
            <w:r>
              <w:rPr>
                <w:color w:val="333333"/>
                <w:sz w:val="18"/>
              </w:rPr>
              <w:t>80</w:t>
            </w:r>
          </w:p>
        </w:tc>
        <w:tc>
          <w:tcPr>
            <w:tcW w:w="600" w:type="dxa"/>
          </w:tcPr>
          <w:p>
            <w:pPr>
              <w:pStyle w:val="TableParagraph"/>
              <w:spacing w:line="206" w:lineRule="exact"/>
              <w:ind w:left="75" w:right="75"/>
              <w:rPr>
                <w:sz w:val="18"/>
              </w:rPr>
            </w:pPr>
            <w:r>
              <w:rPr>
                <w:color w:val="333333"/>
                <w:sz w:val="18"/>
              </w:rPr>
              <w:t>150</w:t>
            </w:r>
          </w:p>
        </w:tc>
        <w:tc>
          <w:tcPr>
            <w:tcW w:w="601" w:type="dxa"/>
          </w:tcPr>
          <w:p>
            <w:pPr>
              <w:pStyle w:val="TableParagraph"/>
              <w:spacing w:line="206" w:lineRule="exact"/>
              <w:ind w:left="75" w:right="75"/>
              <w:rPr>
                <w:sz w:val="18"/>
              </w:rPr>
            </w:pPr>
            <w:r>
              <w:rPr>
                <w:color w:val="333333"/>
                <w:sz w:val="18"/>
              </w:rPr>
              <w:t>114</w:t>
            </w:r>
          </w:p>
        </w:tc>
        <w:tc>
          <w:tcPr>
            <w:tcW w:w="600" w:type="dxa"/>
          </w:tcPr>
          <w:p>
            <w:pPr>
              <w:pStyle w:val="TableParagraph"/>
              <w:spacing w:line="206" w:lineRule="exact"/>
              <w:ind w:left="75" w:right="75"/>
              <w:rPr>
                <w:sz w:val="18"/>
              </w:rPr>
            </w:pPr>
            <w:r>
              <w:rPr>
                <w:color w:val="333333"/>
                <w:sz w:val="18"/>
              </w:rPr>
              <w:t>164</w:t>
            </w:r>
          </w:p>
        </w:tc>
        <w:tc>
          <w:tcPr>
            <w:tcW w:w="607" w:type="dxa"/>
          </w:tcPr>
          <w:p>
            <w:pPr>
              <w:pStyle w:val="TableParagraph"/>
              <w:spacing w:line="201" w:lineRule="exact"/>
              <w:ind w:left="98"/>
              <w:jc w:val="left"/>
              <w:rPr>
                <w:b/>
                <w:sz w:val="18"/>
              </w:rPr>
            </w:pPr>
            <w:r>
              <w:rPr>
                <w:b/>
                <w:sz w:val="18"/>
              </w:rPr>
              <w:t>1075</w:t>
            </w:r>
          </w:p>
        </w:tc>
      </w:tr>
      <w:tr>
        <w:trPr>
          <w:trHeight w:val="322" w:hRule="exact"/>
        </w:trPr>
        <w:tc>
          <w:tcPr>
            <w:tcW w:w="2801" w:type="dxa"/>
          </w:tcPr>
          <w:p>
            <w:pPr>
              <w:pStyle w:val="TableParagraph"/>
              <w:spacing w:line="206" w:lineRule="exact"/>
              <w:ind w:left="64"/>
              <w:jc w:val="left"/>
              <w:rPr>
                <w:sz w:val="18"/>
              </w:rPr>
            </w:pPr>
            <w:r>
              <w:rPr>
                <w:color w:val="333333"/>
                <w:sz w:val="18"/>
              </w:rPr>
              <w:t>CUAUTITLAN IZCALLI</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left="75" w:right="75"/>
              <w:rPr>
                <w:sz w:val="18"/>
              </w:rPr>
            </w:pPr>
            <w:r>
              <w:rPr>
                <w:color w:val="333333"/>
                <w:sz w:val="18"/>
              </w:rPr>
              <w:t>107</w:t>
            </w:r>
          </w:p>
        </w:tc>
        <w:tc>
          <w:tcPr>
            <w:tcW w:w="600" w:type="dxa"/>
          </w:tcPr>
          <w:p>
            <w:pPr>
              <w:pStyle w:val="TableParagraph"/>
              <w:spacing w:line="206" w:lineRule="exact"/>
              <w:ind w:left="75" w:right="75"/>
              <w:rPr>
                <w:sz w:val="18"/>
              </w:rPr>
            </w:pPr>
            <w:r>
              <w:rPr>
                <w:color w:val="333333"/>
                <w:sz w:val="18"/>
              </w:rPr>
              <w:t>1132</w:t>
            </w:r>
          </w:p>
        </w:tc>
        <w:tc>
          <w:tcPr>
            <w:tcW w:w="600" w:type="dxa"/>
          </w:tcPr>
          <w:p>
            <w:pPr>
              <w:pStyle w:val="TableParagraph"/>
              <w:spacing w:line="206" w:lineRule="exact"/>
              <w:ind w:left="75" w:right="75"/>
              <w:rPr>
                <w:sz w:val="18"/>
              </w:rPr>
            </w:pPr>
            <w:r>
              <w:rPr>
                <w:color w:val="333333"/>
                <w:sz w:val="18"/>
              </w:rPr>
              <w:t>415</w:t>
            </w:r>
          </w:p>
        </w:tc>
        <w:tc>
          <w:tcPr>
            <w:tcW w:w="600" w:type="dxa"/>
          </w:tcPr>
          <w:p>
            <w:pPr>
              <w:pStyle w:val="TableParagraph"/>
              <w:spacing w:line="206" w:lineRule="exact"/>
              <w:ind w:left="75" w:right="75"/>
              <w:rPr>
                <w:sz w:val="18"/>
              </w:rPr>
            </w:pPr>
            <w:r>
              <w:rPr>
                <w:color w:val="333333"/>
                <w:sz w:val="18"/>
              </w:rPr>
              <w:t>391</w:t>
            </w:r>
          </w:p>
        </w:tc>
        <w:tc>
          <w:tcPr>
            <w:tcW w:w="600" w:type="dxa"/>
          </w:tcPr>
          <w:p>
            <w:pPr>
              <w:pStyle w:val="TableParagraph"/>
              <w:spacing w:line="206" w:lineRule="exact"/>
              <w:ind w:left="75" w:right="75"/>
              <w:rPr>
                <w:sz w:val="18"/>
              </w:rPr>
            </w:pPr>
            <w:r>
              <w:rPr>
                <w:color w:val="333333"/>
                <w:sz w:val="18"/>
              </w:rPr>
              <w:t>481</w:t>
            </w:r>
          </w:p>
        </w:tc>
        <w:tc>
          <w:tcPr>
            <w:tcW w:w="600" w:type="dxa"/>
          </w:tcPr>
          <w:p>
            <w:pPr>
              <w:pStyle w:val="TableParagraph"/>
              <w:spacing w:line="206" w:lineRule="exact"/>
              <w:ind w:left="75" w:right="75"/>
              <w:rPr>
                <w:sz w:val="18"/>
              </w:rPr>
            </w:pPr>
            <w:r>
              <w:rPr>
                <w:color w:val="333333"/>
                <w:sz w:val="18"/>
              </w:rPr>
              <w:t>920</w:t>
            </w:r>
          </w:p>
        </w:tc>
        <w:tc>
          <w:tcPr>
            <w:tcW w:w="601" w:type="dxa"/>
          </w:tcPr>
          <w:p>
            <w:pPr>
              <w:pStyle w:val="TableParagraph"/>
              <w:spacing w:line="206" w:lineRule="exact"/>
              <w:ind w:left="75" w:right="75"/>
              <w:rPr>
                <w:sz w:val="18"/>
              </w:rPr>
            </w:pPr>
            <w:r>
              <w:rPr>
                <w:color w:val="333333"/>
                <w:sz w:val="18"/>
              </w:rPr>
              <w:t>551</w:t>
            </w:r>
          </w:p>
        </w:tc>
        <w:tc>
          <w:tcPr>
            <w:tcW w:w="600" w:type="dxa"/>
          </w:tcPr>
          <w:p>
            <w:pPr>
              <w:pStyle w:val="TableParagraph"/>
              <w:spacing w:line="206" w:lineRule="exact"/>
              <w:ind w:left="75" w:right="75"/>
              <w:rPr>
                <w:sz w:val="18"/>
              </w:rPr>
            </w:pPr>
            <w:r>
              <w:rPr>
                <w:color w:val="333333"/>
                <w:sz w:val="18"/>
              </w:rPr>
              <w:t>491</w:t>
            </w:r>
          </w:p>
        </w:tc>
        <w:tc>
          <w:tcPr>
            <w:tcW w:w="607" w:type="dxa"/>
          </w:tcPr>
          <w:p>
            <w:pPr>
              <w:pStyle w:val="TableParagraph"/>
              <w:spacing w:line="201" w:lineRule="exact"/>
              <w:ind w:left="98"/>
              <w:jc w:val="left"/>
              <w:rPr>
                <w:b/>
                <w:sz w:val="18"/>
              </w:rPr>
            </w:pPr>
            <w:r>
              <w:rPr>
                <w:b/>
                <w:sz w:val="18"/>
              </w:rPr>
              <w:t>4488</w:t>
            </w:r>
          </w:p>
        </w:tc>
      </w:tr>
      <w:tr>
        <w:trPr>
          <w:trHeight w:val="319" w:hRule="exact"/>
        </w:trPr>
        <w:tc>
          <w:tcPr>
            <w:tcW w:w="2801" w:type="dxa"/>
          </w:tcPr>
          <w:p>
            <w:pPr>
              <w:pStyle w:val="TableParagraph"/>
              <w:spacing w:line="206" w:lineRule="exact"/>
              <w:ind w:left="64"/>
              <w:jc w:val="left"/>
              <w:rPr>
                <w:sz w:val="18"/>
              </w:rPr>
            </w:pPr>
            <w:r>
              <w:rPr>
                <w:color w:val="333333"/>
                <w:sz w:val="18"/>
              </w:rPr>
              <w:t>DONATO GUERRA</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left="75" w:right="75"/>
              <w:rPr>
                <w:sz w:val="18"/>
              </w:rPr>
            </w:pPr>
            <w:r>
              <w:rPr>
                <w:color w:val="333333"/>
                <w:sz w:val="18"/>
              </w:rPr>
              <w:t>15</w:t>
            </w:r>
          </w:p>
        </w:tc>
        <w:tc>
          <w:tcPr>
            <w:tcW w:w="600" w:type="dxa"/>
          </w:tcPr>
          <w:p>
            <w:pPr>
              <w:pStyle w:val="TableParagraph"/>
              <w:spacing w:line="206" w:lineRule="exact"/>
              <w:ind w:left="75" w:right="75"/>
              <w:rPr>
                <w:sz w:val="18"/>
              </w:rPr>
            </w:pPr>
            <w:r>
              <w:rPr>
                <w:color w:val="333333"/>
                <w:sz w:val="18"/>
              </w:rPr>
              <w:t>46</w:t>
            </w:r>
          </w:p>
        </w:tc>
        <w:tc>
          <w:tcPr>
            <w:tcW w:w="600" w:type="dxa"/>
          </w:tcPr>
          <w:p>
            <w:pPr>
              <w:pStyle w:val="TableParagraph"/>
              <w:spacing w:line="206" w:lineRule="exact"/>
              <w:ind w:left="75" w:right="75"/>
              <w:rPr>
                <w:sz w:val="18"/>
              </w:rPr>
            </w:pPr>
            <w:r>
              <w:rPr>
                <w:color w:val="333333"/>
                <w:sz w:val="18"/>
              </w:rPr>
              <w:t>19</w:t>
            </w:r>
          </w:p>
        </w:tc>
        <w:tc>
          <w:tcPr>
            <w:tcW w:w="600" w:type="dxa"/>
          </w:tcPr>
          <w:p>
            <w:pPr>
              <w:pStyle w:val="TableParagraph"/>
              <w:spacing w:line="206" w:lineRule="exact"/>
              <w:ind w:left="75" w:right="75"/>
              <w:rPr>
                <w:sz w:val="18"/>
              </w:rPr>
            </w:pPr>
            <w:r>
              <w:rPr>
                <w:color w:val="333333"/>
                <w:sz w:val="18"/>
              </w:rPr>
              <w:t>33</w:t>
            </w:r>
          </w:p>
        </w:tc>
        <w:tc>
          <w:tcPr>
            <w:tcW w:w="600" w:type="dxa"/>
          </w:tcPr>
          <w:p>
            <w:pPr>
              <w:pStyle w:val="TableParagraph"/>
              <w:spacing w:line="206" w:lineRule="exact"/>
              <w:ind w:left="75" w:right="75"/>
              <w:rPr>
                <w:sz w:val="18"/>
              </w:rPr>
            </w:pPr>
            <w:r>
              <w:rPr>
                <w:color w:val="333333"/>
                <w:sz w:val="18"/>
              </w:rPr>
              <w:t>29</w:t>
            </w:r>
          </w:p>
        </w:tc>
        <w:tc>
          <w:tcPr>
            <w:tcW w:w="600" w:type="dxa"/>
          </w:tcPr>
          <w:p>
            <w:pPr>
              <w:pStyle w:val="TableParagraph"/>
              <w:spacing w:line="206" w:lineRule="exact"/>
              <w:ind w:left="75" w:right="75"/>
              <w:rPr>
                <w:sz w:val="18"/>
              </w:rPr>
            </w:pPr>
            <w:r>
              <w:rPr>
                <w:color w:val="333333"/>
                <w:sz w:val="18"/>
              </w:rPr>
              <w:t>20</w:t>
            </w:r>
          </w:p>
        </w:tc>
        <w:tc>
          <w:tcPr>
            <w:tcW w:w="601" w:type="dxa"/>
          </w:tcPr>
          <w:p>
            <w:pPr>
              <w:pStyle w:val="TableParagraph"/>
              <w:spacing w:line="206" w:lineRule="exact"/>
              <w:ind w:left="75" w:right="75"/>
              <w:rPr>
                <w:sz w:val="18"/>
              </w:rPr>
            </w:pPr>
            <w:r>
              <w:rPr>
                <w:color w:val="333333"/>
                <w:sz w:val="18"/>
              </w:rPr>
              <w:t>10</w:t>
            </w:r>
          </w:p>
        </w:tc>
        <w:tc>
          <w:tcPr>
            <w:tcW w:w="600" w:type="dxa"/>
          </w:tcPr>
          <w:p>
            <w:pPr>
              <w:pStyle w:val="TableParagraph"/>
              <w:spacing w:line="206" w:lineRule="exact"/>
              <w:ind w:left="75" w:right="75"/>
              <w:rPr>
                <w:sz w:val="18"/>
              </w:rPr>
            </w:pPr>
            <w:r>
              <w:rPr>
                <w:color w:val="333333"/>
                <w:sz w:val="18"/>
              </w:rPr>
              <w:t>15</w:t>
            </w:r>
          </w:p>
        </w:tc>
        <w:tc>
          <w:tcPr>
            <w:tcW w:w="607" w:type="dxa"/>
          </w:tcPr>
          <w:p>
            <w:pPr>
              <w:pStyle w:val="TableParagraph"/>
              <w:spacing w:line="201" w:lineRule="exact"/>
              <w:ind w:left="148"/>
              <w:jc w:val="left"/>
              <w:rPr>
                <w:b/>
                <w:sz w:val="18"/>
              </w:rPr>
            </w:pPr>
            <w:r>
              <w:rPr>
                <w:b/>
                <w:sz w:val="18"/>
              </w:rPr>
              <w:t>187</w:t>
            </w:r>
          </w:p>
        </w:tc>
      </w:tr>
      <w:tr>
        <w:trPr>
          <w:trHeight w:val="322" w:hRule="exact"/>
        </w:trPr>
        <w:tc>
          <w:tcPr>
            <w:tcW w:w="2801" w:type="dxa"/>
          </w:tcPr>
          <w:p>
            <w:pPr>
              <w:pStyle w:val="TableParagraph"/>
              <w:spacing w:line="206" w:lineRule="exact"/>
              <w:ind w:left="64"/>
              <w:jc w:val="left"/>
              <w:rPr>
                <w:sz w:val="18"/>
              </w:rPr>
            </w:pPr>
            <w:r>
              <w:rPr>
                <w:color w:val="333333"/>
                <w:sz w:val="18"/>
              </w:rPr>
              <w:t>ECATEPEC DE MORELOS</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ind w:left="75" w:right="75"/>
              <w:rPr>
                <w:sz w:val="18"/>
              </w:rPr>
            </w:pPr>
            <w:r>
              <w:rPr>
                <w:color w:val="333333"/>
                <w:sz w:val="18"/>
              </w:rPr>
              <w:t>129</w:t>
            </w:r>
          </w:p>
        </w:tc>
        <w:tc>
          <w:tcPr>
            <w:tcW w:w="600" w:type="dxa"/>
          </w:tcPr>
          <w:p>
            <w:pPr>
              <w:pStyle w:val="TableParagraph"/>
              <w:spacing w:line="206" w:lineRule="exact"/>
              <w:ind w:left="75" w:right="75"/>
              <w:rPr>
                <w:sz w:val="18"/>
              </w:rPr>
            </w:pPr>
            <w:r>
              <w:rPr>
                <w:color w:val="333333"/>
                <w:sz w:val="18"/>
              </w:rPr>
              <w:t>179</w:t>
            </w:r>
          </w:p>
        </w:tc>
        <w:tc>
          <w:tcPr>
            <w:tcW w:w="600" w:type="dxa"/>
          </w:tcPr>
          <w:p>
            <w:pPr>
              <w:pStyle w:val="TableParagraph"/>
              <w:spacing w:line="206" w:lineRule="exact"/>
              <w:ind w:left="75" w:right="75"/>
              <w:rPr>
                <w:sz w:val="18"/>
              </w:rPr>
            </w:pPr>
            <w:r>
              <w:rPr>
                <w:color w:val="333333"/>
                <w:sz w:val="18"/>
              </w:rPr>
              <w:t>1364</w:t>
            </w:r>
          </w:p>
        </w:tc>
        <w:tc>
          <w:tcPr>
            <w:tcW w:w="600" w:type="dxa"/>
          </w:tcPr>
          <w:p>
            <w:pPr>
              <w:pStyle w:val="TableParagraph"/>
              <w:spacing w:line="206" w:lineRule="exact"/>
              <w:ind w:left="75" w:right="75"/>
              <w:rPr>
                <w:sz w:val="18"/>
              </w:rPr>
            </w:pPr>
            <w:r>
              <w:rPr>
                <w:color w:val="333333"/>
                <w:sz w:val="18"/>
              </w:rPr>
              <w:t>907</w:t>
            </w:r>
          </w:p>
        </w:tc>
        <w:tc>
          <w:tcPr>
            <w:tcW w:w="600" w:type="dxa"/>
          </w:tcPr>
          <w:p>
            <w:pPr>
              <w:pStyle w:val="TableParagraph"/>
              <w:spacing w:line="206" w:lineRule="exact"/>
              <w:ind w:left="75" w:right="75"/>
              <w:rPr>
                <w:sz w:val="18"/>
              </w:rPr>
            </w:pPr>
            <w:r>
              <w:rPr>
                <w:color w:val="333333"/>
                <w:sz w:val="18"/>
              </w:rPr>
              <w:t>1464</w:t>
            </w:r>
          </w:p>
        </w:tc>
        <w:tc>
          <w:tcPr>
            <w:tcW w:w="600" w:type="dxa"/>
          </w:tcPr>
          <w:p>
            <w:pPr>
              <w:pStyle w:val="TableParagraph"/>
              <w:spacing w:line="206" w:lineRule="exact"/>
              <w:ind w:left="75" w:right="75"/>
              <w:rPr>
                <w:sz w:val="18"/>
              </w:rPr>
            </w:pPr>
            <w:r>
              <w:rPr>
                <w:color w:val="333333"/>
                <w:sz w:val="18"/>
              </w:rPr>
              <w:t>384</w:t>
            </w:r>
          </w:p>
        </w:tc>
        <w:tc>
          <w:tcPr>
            <w:tcW w:w="600" w:type="dxa"/>
          </w:tcPr>
          <w:p>
            <w:pPr>
              <w:pStyle w:val="TableParagraph"/>
              <w:spacing w:line="206" w:lineRule="exact"/>
              <w:ind w:left="75" w:right="75"/>
              <w:rPr>
                <w:sz w:val="18"/>
              </w:rPr>
            </w:pPr>
            <w:r>
              <w:rPr>
                <w:color w:val="333333"/>
                <w:sz w:val="18"/>
              </w:rPr>
              <w:t>347</w:t>
            </w:r>
          </w:p>
        </w:tc>
        <w:tc>
          <w:tcPr>
            <w:tcW w:w="601" w:type="dxa"/>
          </w:tcPr>
          <w:p>
            <w:pPr>
              <w:pStyle w:val="TableParagraph"/>
              <w:spacing w:line="206" w:lineRule="exact"/>
              <w:ind w:left="75" w:right="75"/>
              <w:rPr>
                <w:sz w:val="18"/>
              </w:rPr>
            </w:pPr>
            <w:r>
              <w:rPr>
                <w:color w:val="333333"/>
                <w:sz w:val="18"/>
              </w:rPr>
              <w:t>314</w:t>
            </w:r>
          </w:p>
        </w:tc>
        <w:tc>
          <w:tcPr>
            <w:tcW w:w="600" w:type="dxa"/>
          </w:tcPr>
          <w:p>
            <w:pPr>
              <w:pStyle w:val="TableParagraph"/>
              <w:spacing w:line="206" w:lineRule="exact"/>
              <w:ind w:left="75" w:right="75"/>
              <w:rPr>
                <w:sz w:val="18"/>
              </w:rPr>
            </w:pPr>
            <w:r>
              <w:rPr>
                <w:color w:val="333333"/>
                <w:sz w:val="18"/>
              </w:rPr>
              <w:t>234</w:t>
            </w:r>
          </w:p>
        </w:tc>
        <w:tc>
          <w:tcPr>
            <w:tcW w:w="607" w:type="dxa"/>
          </w:tcPr>
          <w:p>
            <w:pPr>
              <w:pStyle w:val="TableParagraph"/>
              <w:spacing w:line="201" w:lineRule="exact"/>
              <w:ind w:left="98"/>
              <w:jc w:val="left"/>
              <w:rPr>
                <w:b/>
                <w:sz w:val="18"/>
              </w:rPr>
            </w:pPr>
            <w:r>
              <w:rPr>
                <w:b/>
                <w:sz w:val="18"/>
              </w:rPr>
              <w:t>5322</w:t>
            </w:r>
          </w:p>
        </w:tc>
      </w:tr>
    </w:tbl>
    <w:p>
      <w:pPr>
        <w:spacing w:after="0" w:line="201" w:lineRule="exact"/>
        <w:jc w:val="left"/>
        <w:rPr>
          <w:sz w:val="18"/>
        </w:rPr>
        <w:sectPr>
          <w:pgSz w:w="12240" w:h="15840"/>
          <w:pgMar w:header="0" w:footer="975" w:top="1500" w:bottom="1160" w:left="960" w:right="1040"/>
        </w:sect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01"/>
        <w:gridCol w:w="601"/>
        <w:gridCol w:w="600"/>
        <w:gridCol w:w="600"/>
        <w:gridCol w:w="600"/>
        <w:gridCol w:w="600"/>
        <w:gridCol w:w="600"/>
        <w:gridCol w:w="600"/>
        <w:gridCol w:w="600"/>
        <w:gridCol w:w="600"/>
        <w:gridCol w:w="601"/>
        <w:gridCol w:w="600"/>
        <w:gridCol w:w="607"/>
      </w:tblGrid>
      <w:tr>
        <w:trPr>
          <w:trHeight w:val="321" w:hRule="exact"/>
        </w:trPr>
        <w:tc>
          <w:tcPr>
            <w:tcW w:w="10010" w:type="dxa"/>
            <w:gridSpan w:val="13"/>
            <w:shd w:val="clear" w:color="auto" w:fill="92D050"/>
          </w:tcPr>
          <w:p>
            <w:pPr>
              <w:pStyle w:val="TableParagraph"/>
              <w:spacing w:line="200" w:lineRule="exact"/>
              <w:ind w:left="310"/>
              <w:jc w:val="left"/>
              <w:rPr>
                <w:b/>
                <w:sz w:val="18"/>
              </w:rPr>
            </w:pPr>
            <w:r>
              <w:rPr>
                <w:b/>
                <w:sz w:val="18"/>
              </w:rPr>
              <w:t>Anexo 10. Solicitudes de información recibidas anualmente por los municipios de 2005 a 2015 (Continuación)</w:t>
            </w:r>
          </w:p>
        </w:tc>
      </w:tr>
      <w:tr>
        <w:trPr>
          <w:trHeight w:val="319" w:hRule="exact"/>
        </w:trPr>
        <w:tc>
          <w:tcPr>
            <w:tcW w:w="2801" w:type="dxa"/>
            <w:shd w:val="clear" w:color="auto" w:fill="92D050"/>
          </w:tcPr>
          <w:p>
            <w:pPr>
              <w:pStyle w:val="TableParagraph"/>
              <w:spacing w:line="199" w:lineRule="exact"/>
              <w:ind w:left="955" w:right="955"/>
              <w:rPr>
                <w:b/>
                <w:sz w:val="18"/>
              </w:rPr>
            </w:pPr>
            <w:r>
              <w:rPr>
                <w:b/>
                <w:sz w:val="18"/>
              </w:rPr>
              <w:t>Municipio</w:t>
            </w:r>
          </w:p>
        </w:tc>
        <w:tc>
          <w:tcPr>
            <w:tcW w:w="1201" w:type="dxa"/>
            <w:gridSpan w:val="2"/>
            <w:shd w:val="clear" w:color="auto" w:fill="92D050"/>
          </w:tcPr>
          <w:p>
            <w:pPr>
              <w:pStyle w:val="TableParagraph"/>
              <w:spacing w:line="199" w:lineRule="exact"/>
              <w:ind w:left="93"/>
              <w:jc w:val="left"/>
              <w:rPr>
                <w:b/>
                <w:sz w:val="18"/>
              </w:rPr>
            </w:pPr>
            <w:r>
              <w:rPr>
                <w:b/>
                <w:sz w:val="18"/>
              </w:rPr>
              <w:t>2005   2006</w:t>
            </w:r>
          </w:p>
        </w:tc>
        <w:tc>
          <w:tcPr>
            <w:tcW w:w="600" w:type="dxa"/>
            <w:shd w:val="clear" w:color="auto" w:fill="92D050"/>
          </w:tcPr>
          <w:p>
            <w:pPr>
              <w:pStyle w:val="TableParagraph"/>
              <w:spacing w:line="199" w:lineRule="exact"/>
              <w:ind w:left="75" w:right="75"/>
              <w:rPr>
                <w:b/>
                <w:sz w:val="18"/>
              </w:rPr>
            </w:pPr>
            <w:r>
              <w:rPr>
                <w:b/>
                <w:sz w:val="18"/>
              </w:rPr>
              <w:t>2007</w:t>
            </w:r>
          </w:p>
        </w:tc>
        <w:tc>
          <w:tcPr>
            <w:tcW w:w="600" w:type="dxa"/>
            <w:shd w:val="clear" w:color="auto" w:fill="92D050"/>
          </w:tcPr>
          <w:p>
            <w:pPr>
              <w:pStyle w:val="TableParagraph"/>
              <w:spacing w:line="199" w:lineRule="exact"/>
              <w:ind w:left="75" w:right="75"/>
              <w:rPr>
                <w:b/>
                <w:sz w:val="18"/>
              </w:rPr>
            </w:pPr>
            <w:r>
              <w:rPr>
                <w:b/>
                <w:sz w:val="18"/>
              </w:rPr>
              <w:t>2008</w:t>
            </w:r>
          </w:p>
        </w:tc>
        <w:tc>
          <w:tcPr>
            <w:tcW w:w="600" w:type="dxa"/>
            <w:shd w:val="clear" w:color="auto" w:fill="92D050"/>
          </w:tcPr>
          <w:p>
            <w:pPr>
              <w:pStyle w:val="TableParagraph"/>
              <w:spacing w:line="199" w:lineRule="exact"/>
              <w:ind w:left="75" w:right="75"/>
              <w:rPr>
                <w:b/>
                <w:sz w:val="18"/>
              </w:rPr>
            </w:pPr>
            <w:r>
              <w:rPr>
                <w:b/>
                <w:sz w:val="18"/>
              </w:rPr>
              <w:t>2009</w:t>
            </w:r>
          </w:p>
        </w:tc>
        <w:tc>
          <w:tcPr>
            <w:tcW w:w="600" w:type="dxa"/>
            <w:shd w:val="clear" w:color="auto" w:fill="92D050"/>
          </w:tcPr>
          <w:p>
            <w:pPr>
              <w:pStyle w:val="TableParagraph"/>
              <w:spacing w:line="199" w:lineRule="exact"/>
              <w:ind w:left="75" w:right="75"/>
              <w:rPr>
                <w:b/>
                <w:sz w:val="18"/>
              </w:rPr>
            </w:pPr>
            <w:r>
              <w:rPr>
                <w:b/>
                <w:sz w:val="18"/>
              </w:rPr>
              <w:t>2010</w:t>
            </w:r>
          </w:p>
        </w:tc>
        <w:tc>
          <w:tcPr>
            <w:tcW w:w="600" w:type="dxa"/>
            <w:shd w:val="clear" w:color="auto" w:fill="92D050"/>
          </w:tcPr>
          <w:p>
            <w:pPr>
              <w:pStyle w:val="TableParagraph"/>
              <w:spacing w:line="199" w:lineRule="exact"/>
              <w:ind w:left="75" w:right="75"/>
              <w:rPr>
                <w:b/>
                <w:sz w:val="18"/>
              </w:rPr>
            </w:pPr>
            <w:r>
              <w:rPr>
                <w:b/>
                <w:sz w:val="18"/>
              </w:rPr>
              <w:t>2011</w:t>
            </w:r>
          </w:p>
        </w:tc>
        <w:tc>
          <w:tcPr>
            <w:tcW w:w="600" w:type="dxa"/>
            <w:shd w:val="clear" w:color="auto" w:fill="92D050"/>
          </w:tcPr>
          <w:p>
            <w:pPr>
              <w:pStyle w:val="TableParagraph"/>
              <w:spacing w:line="199" w:lineRule="exact"/>
              <w:ind w:left="75" w:right="75"/>
              <w:rPr>
                <w:b/>
                <w:sz w:val="18"/>
              </w:rPr>
            </w:pPr>
            <w:r>
              <w:rPr>
                <w:b/>
                <w:sz w:val="18"/>
              </w:rPr>
              <w:t>2012</w:t>
            </w:r>
          </w:p>
        </w:tc>
        <w:tc>
          <w:tcPr>
            <w:tcW w:w="600" w:type="dxa"/>
            <w:shd w:val="clear" w:color="auto" w:fill="92D050"/>
          </w:tcPr>
          <w:p>
            <w:pPr>
              <w:pStyle w:val="TableParagraph"/>
              <w:spacing w:line="199" w:lineRule="exact"/>
              <w:ind w:left="75" w:right="75"/>
              <w:rPr>
                <w:b/>
                <w:sz w:val="18"/>
              </w:rPr>
            </w:pPr>
            <w:r>
              <w:rPr>
                <w:b/>
                <w:sz w:val="18"/>
              </w:rPr>
              <w:t>2013</w:t>
            </w:r>
          </w:p>
        </w:tc>
        <w:tc>
          <w:tcPr>
            <w:tcW w:w="601" w:type="dxa"/>
            <w:shd w:val="clear" w:color="auto" w:fill="92D050"/>
          </w:tcPr>
          <w:p>
            <w:pPr>
              <w:pStyle w:val="TableParagraph"/>
              <w:spacing w:line="199" w:lineRule="exact"/>
              <w:ind w:left="75" w:right="75"/>
              <w:rPr>
                <w:b/>
                <w:sz w:val="18"/>
              </w:rPr>
            </w:pPr>
            <w:r>
              <w:rPr>
                <w:b/>
                <w:sz w:val="18"/>
              </w:rPr>
              <w:t>2014</w:t>
            </w:r>
          </w:p>
        </w:tc>
        <w:tc>
          <w:tcPr>
            <w:tcW w:w="600" w:type="dxa"/>
            <w:shd w:val="clear" w:color="auto" w:fill="92D050"/>
          </w:tcPr>
          <w:p>
            <w:pPr>
              <w:pStyle w:val="TableParagraph"/>
              <w:spacing w:line="199" w:lineRule="exact"/>
              <w:ind w:left="75" w:right="75"/>
              <w:rPr>
                <w:b/>
                <w:sz w:val="18"/>
              </w:rPr>
            </w:pPr>
            <w:r>
              <w:rPr>
                <w:b/>
                <w:sz w:val="18"/>
              </w:rPr>
              <w:t>2015</w:t>
            </w:r>
          </w:p>
        </w:tc>
        <w:tc>
          <w:tcPr>
            <w:tcW w:w="607" w:type="dxa"/>
            <w:shd w:val="clear" w:color="auto" w:fill="92D050"/>
          </w:tcPr>
          <w:p>
            <w:pPr>
              <w:pStyle w:val="TableParagraph"/>
              <w:spacing w:line="199" w:lineRule="exact"/>
              <w:ind w:left="84"/>
              <w:jc w:val="left"/>
              <w:rPr>
                <w:b/>
                <w:sz w:val="18"/>
              </w:rPr>
            </w:pPr>
            <w:r>
              <w:rPr>
                <w:b/>
                <w:sz w:val="18"/>
              </w:rPr>
              <w:t>Total</w:t>
            </w:r>
          </w:p>
        </w:tc>
      </w:tr>
      <w:tr>
        <w:trPr>
          <w:trHeight w:val="322" w:hRule="exact"/>
        </w:trPr>
        <w:tc>
          <w:tcPr>
            <w:tcW w:w="2801" w:type="dxa"/>
          </w:tcPr>
          <w:p>
            <w:pPr>
              <w:pStyle w:val="TableParagraph"/>
              <w:spacing w:line="206" w:lineRule="exact"/>
              <w:ind w:left="64"/>
              <w:jc w:val="left"/>
              <w:rPr>
                <w:sz w:val="18"/>
              </w:rPr>
            </w:pPr>
            <w:r>
              <w:rPr>
                <w:color w:val="333333"/>
                <w:sz w:val="18"/>
              </w:rPr>
              <w:t>ECATZINGO</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left="75" w:right="75"/>
              <w:rPr>
                <w:sz w:val="18"/>
              </w:rPr>
            </w:pPr>
            <w:r>
              <w:rPr>
                <w:color w:val="333333"/>
                <w:sz w:val="18"/>
              </w:rPr>
              <w:t>14</w:t>
            </w:r>
          </w:p>
        </w:tc>
        <w:tc>
          <w:tcPr>
            <w:tcW w:w="600" w:type="dxa"/>
          </w:tcPr>
          <w:p>
            <w:pPr>
              <w:pStyle w:val="TableParagraph"/>
              <w:spacing w:line="206" w:lineRule="exact"/>
              <w:ind w:left="74" w:right="75"/>
              <w:rPr>
                <w:sz w:val="18"/>
              </w:rPr>
            </w:pPr>
            <w:r>
              <w:rPr>
                <w:color w:val="333333"/>
                <w:sz w:val="18"/>
              </w:rPr>
              <w:t>48</w:t>
            </w:r>
          </w:p>
        </w:tc>
        <w:tc>
          <w:tcPr>
            <w:tcW w:w="600" w:type="dxa"/>
          </w:tcPr>
          <w:p>
            <w:pPr>
              <w:pStyle w:val="TableParagraph"/>
              <w:spacing w:line="206" w:lineRule="exact"/>
              <w:ind w:left="75" w:right="75"/>
              <w:rPr>
                <w:sz w:val="18"/>
              </w:rPr>
            </w:pPr>
            <w:r>
              <w:rPr>
                <w:color w:val="333333"/>
                <w:sz w:val="18"/>
              </w:rPr>
              <w:t>25</w:t>
            </w:r>
          </w:p>
        </w:tc>
        <w:tc>
          <w:tcPr>
            <w:tcW w:w="600" w:type="dxa"/>
          </w:tcPr>
          <w:p>
            <w:pPr>
              <w:pStyle w:val="TableParagraph"/>
              <w:spacing w:line="206" w:lineRule="exact"/>
              <w:ind w:left="75" w:right="75"/>
              <w:rPr>
                <w:sz w:val="18"/>
              </w:rPr>
            </w:pPr>
            <w:r>
              <w:rPr>
                <w:color w:val="333333"/>
                <w:sz w:val="18"/>
              </w:rPr>
              <w:t>32</w:t>
            </w:r>
          </w:p>
        </w:tc>
        <w:tc>
          <w:tcPr>
            <w:tcW w:w="600" w:type="dxa"/>
          </w:tcPr>
          <w:p>
            <w:pPr>
              <w:pStyle w:val="TableParagraph"/>
              <w:spacing w:line="206" w:lineRule="exact"/>
              <w:ind w:left="75" w:right="75"/>
              <w:rPr>
                <w:sz w:val="18"/>
              </w:rPr>
            </w:pPr>
            <w:r>
              <w:rPr>
                <w:color w:val="333333"/>
                <w:sz w:val="18"/>
              </w:rPr>
              <w:t>19</w:t>
            </w:r>
          </w:p>
        </w:tc>
        <w:tc>
          <w:tcPr>
            <w:tcW w:w="600" w:type="dxa"/>
          </w:tcPr>
          <w:p>
            <w:pPr>
              <w:pStyle w:val="TableParagraph"/>
              <w:spacing w:line="206" w:lineRule="exact"/>
              <w:ind w:left="75" w:right="75"/>
              <w:rPr>
                <w:sz w:val="18"/>
              </w:rPr>
            </w:pPr>
            <w:r>
              <w:rPr>
                <w:color w:val="333333"/>
                <w:sz w:val="18"/>
              </w:rPr>
              <w:t>16</w:t>
            </w:r>
          </w:p>
        </w:tc>
        <w:tc>
          <w:tcPr>
            <w:tcW w:w="601" w:type="dxa"/>
          </w:tcPr>
          <w:p>
            <w:pPr>
              <w:pStyle w:val="TableParagraph"/>
              <w:spacing w:line="206" w:lineRule="exact"/>
              <w:rPr>
                <w:sz w:val="18"/>
              </w:rPr>
            </w:pPr>
            <w:r>
              <w:rPr>
                <w:color w:val="333333"/>
                <w:w w:val="99"/>
                <w:sz w:val="18"/>
              </w:rPr>
              <w:t>9</w:t>
            </w:r>
          </w:p>
        </w:tc>
        <w:tc>
          <w:tcPr>
            <w:tcW w:w="600" w:type="dxa"/>
          </w:tcPr>
          <w:p>
            <w:pPr>
              <w:pStyle w:val="TableParagraph"/>
              <w:spacing w:line="206" w:lineRule="exact"/>
              <w:ind w:left="75" w:right="75"/>
              <w:rPr>
                <w:sz w:val="18"/>
              </w:rPr>
            </w:pPr>
            <w:r>
              <w:rPr>
                <w:color w:val="333333"/>
                <w:sz w:val="18"/>
              </w:rPr>
              <w:t>18</w:t>
            </w:r>
          </w:p>
        </w:tc>
        <w:tc>
          <w:tcPr>
            <w:tcW w:w="607" w:type="dxa"/>
          </w:tcPr>
          <w:p>
            <w:pPr>
              <w:pStyle w:val="TableParagraph"/>
              <w:spacing w:line="201" w:lineRule="exact"/>
              <w:ind w:left="148"/>
              <w:jc w:val="left"/>
              <w:rPr>
                <w:b/>
                <w:sz w:val="18"/>
              </w:rPr>
            </w:pPr>
            <w:r>
              <w:rPr>
                <w:b/>
                <w:sz w:val="18"/>
              </w:rPr>
              <w:t>181</w:t>
            </w:r>
          </w:p>
        </w:tc>
      </w:tr>
      <w:tr>
        <w:trPr>
          <w:trHeight w:val="322" w:hRule="exact"/>
        </w:trPr>
        <w:tc>
          <w:tcPr>
            <w:tcW w:w="2801" w:type="dxa"/>
          </w:tcPr>
          <w:p>
            <w:pPr>
              <w:pStyle w:val="TableParagraph"/>
              <w:spacing w:line="203" w:lineRule="exact"/>
              <w:ind w:left="64"/>
              <w:jc w:val="left"/>
              <w:rPr>
                <w:sz w:val="18"/>
              </w:rPr>
            </w:pPr>
            <w:r>
              <w:rPr>
                <w:color w:val="333333"/>
                <w:sz w:val="18"/>
              </w:rPr>
              <w:t>EL ORO</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4</w:t>
            </w:r>
          </w:p>
        </w:tc>
        <w:tc>
          <w:tcPr>
            <w:tcW w:w="600" w:type="dxa"/>
          </w:tcPr>
          <w:p>
            <w:pPr>
              <w:pStyle w:val="TableParagraph"/>
              <w:spacing w:line="203" w:lineRule="exact"/>
              <w:ind w:left="75" w:right="75"/>
              <w:rPr>
                <w:sz w:val="18"/>
              </w:rPr>
            </w:pPr>
            <w:r>
              <w:rPr>
                <w:color w:val="333333"/>
                <w:sz w:val="18"/>
              </w:rPr>
              <w:t>15</w:t>
            </w:r>
          </w:p>
        </w:tc>
        <w:tc>
          <w:tcPr>
            <w:tcW w:w="600" w:type="dxa"/>
          </w:tcPr>
          <w:p>
            <w:pPr>
              <w:pStyle w:val="TableParagraph"/>
              <w:spacing w:line="203" w:lineRule="exact"/>
              <w:ind w:left="75" w:right="75"/>
              <w:rPr>
                <w:sz w:val="18"/>
              </w:rPr>
            </w:pPr>
            <w:r>
              <w:rPr>
                <w:color w:val="333333"/>
                <w:sz w:val="18"/>
              </w:rPr>
              <w:t>47</w:t>
            </w:r>
          </w:p>
        </w:tc>
        <w:tc>
          <w:tcPr>
            <w:tcW w:w="600" w:type="dxa"/>
          </w:tcPr>
          <w:p>
            <w:pPr>
              <w:pStyle w:val="TableParagraph"/>
              <w:spacing w:line="203" w:lineRule="exact"/>
              <w:ind w:left="75" w:right="75"/>
              <w:rPr>
                <w:sz w:val="18"/>
              </w:rPr>
            </w:pPr>
            <w:r>
              <w:rPr>
                <w:color w:val="333333"/>
                <w:sz w:val="18"/>
              </w:rPr>
              <w:t>27</w:t>
            </w:r>
          </w:p>
        </w:tc>
        <w:tc>
          <w:tcPr>
            <w:tcW w:w="600" w:type="dxa"/>
          </w:tcPr>
          <w:p>
            <w:pPr>
              <w:pStyle w:val="TableParagraph"/>
              <w:spacing w:line="203" w:lineRule="exact"/>
              <w:ind w:left="75" w:right="75"/>
              <w:rPr>
                <w:sz w:val="18"/>
              </w:rPr>
            </w:pPr>
            <w:r>
              <w:rPr>
                <w:color w:val="333333"/>
                <w:sz w:val="18"/>
              </w:rPr>
              <w:t>28</w:t>
            </w:r>
          </w:p>
        </w:tc>
        <w:tc>
          <w:tcPr>
            <w:tcW w:w="600" w:type="dxa"/>
          </w:tcPr>
          <w:p>
            <w:pPr>
              <w:pStyle w:val="TableParagraph"/>
              <w:spacing w:line="203" w:lineRule="exact"/>
              <w:ind w:left="75" w:right="75"/>
              <w:rPr>
                <w:sz w:val="18"/>
              </w:rPr>
            </w:pPr>
            <w:r>
              <w:rPr>
                <w:color w:val="333333"/>
                <w:sz w:val="18"/>
              </w:rPr>
              <w:t>24</w:t>
            </w:r>
          </w:p>
        </w:tc>
        <w:tc>
          <w:tcPr>
            <w:tcW w:w="600" w:type="dxa"/>
          </w:tcPr>
          <w:p>
            <w:pPr>
              <w:pStyle w:val="TableParagraph"/>
              <w:spacing w:line="203" w:lineRule="exact"/>
              <w:ind w:left="75" w:right="75"/>
              <w:rPr>
                <w:sz w:val="18"/>
              </w:rPr>
            </w:pPr>
            <w:r>
              <w:rPr>
                <w:color w:val="333333"/>
                <w:sz w:val="18"/>
              </w:rPr>
              <w:t>22</w:t>
            </w:r>
          </w:p>
        </w:tc>
        <w:tc>
          <w:tcPr>
            <w:tcW w:w="601" w:type="dxa"/>
          </w:tcPr>
          <w:p>
            <w:pPr>
              <w:pStyle w:val="TableParagraph"/>
              <w:spacing w:line="203" w:lineRule="exact"/>
              <w:ind w:left="75" w:right="75"/>
              <w:rPr>
                <w:sz w:val="18"/>
              </w:rPr>
            </w:pPr>
            <w:r>
              <w:rPr>
                <w:color w:val="333333"/>
                <w:sz w:val="18"/>
              </w:rPr>
              <w:t>10</w:t>
            </w:r>
          </w:p>
        </w:tc>
        <w:tc>
          <w:tcPr>
            <w:tcW w:w="600" w:type="dxa"/>
          </w:tcPr>
          <w:p>
            <w:pPr>
              <w:pStyle w:val="TableParagraph"/>
              <w:spacing w:line="203" w:lineRule="exact"/>
              <w:ind w:left="75" w:right="75"/>
              <w:rPr>
                <w:sz w:val="18"/>
              </w:rPr>
            </w:pPr>
            <w:r>
              <w:rPr>
                <w:color w:val="333333"/>
                <w:sz w:val="18"/>
              </w:rPr>
              <w:t>19</w:t>
            </w:r>
          </w:p>
        </w:tc>
        <w:tc>
          <w:tcPr>
            <w:tcW w:w="607" w:type="dxa"/>
          </w:tcPr>
          <w:p>
            <w:pPr>
              <w:pStyle w:val="TableParagraph"/>
              <w:spacing w:line="199" w:lineRule="exact"/>
              <w:ind w:left="148"/>
              <w:jc w:val="left"/>
              <w:rPr>
                <w:b/>
                <w:sz w:val="18"/>
              </w:rPr>
            </w:pPr>
            <w:r>
              <w:rPr>
                <w:b/>
                <w:sz w:val="18"/>
              </w:rPr>
              <w:t>196</w:t>
            </w:r>
          </w:p>
        </w:tc>
      </w:tr>
      <w:tr>
        <w:trPr>
          <w:trHeight w:val="319" w:hRule="exact"/>
        </w:trPr>
        <w:tc>
          <w:tcPr>
            <w:tcW w:w="2801" w:type="dxa"/>
          </w:tcPr>
          <w:p>
            <w:pPr>
              <w:pStyle w:val="TableParagraph"/>
              <w:spacing w:line="203" w:lineRule="exact"/>
              <w:ind w:left="64"/>
              <w:jc w:val="left"/>
              <w:rPr>
                <w:sz w:val="18"/>
              </w:rPr>
            </w:pPr>
            <w:r>
              <w:rPr>
                <w:color w:val="333333"/>
                <w:sz w:val="18"/>
              </w:rPr>
              <w:t>HUEHUETOCA</w:t>
            </w:r>
          </w:p>
        </w:tc>
        <w:tc>
          <w:tcPr>
            <w:tcW w:w="601" w:type="dxa"/>
          </w:tcPr>
          <w:p>
            <w:pPr>
              <w:pStyle w:val="TableParagraph"/>
              <w:spacing w:line="203" w:lineRule="exact"/>
              <w:rPr>
                <w:sz w:val="18"/>
              </w:rPr>
            </w:pPr>
            <w:r>
              <w:rPr>
                <w:color w:val="333333"/>
                <w:w w:val="99"/>
                <w:sz w:val="18"/>
              </w:rPr>
              <w:t>6</w:t>
            </w:r>
          </w:p>
        </w:tc>
        <w:tc>
          <w:tcPr>
            <w:tcW w:w="600" w:type="dxa"/>
          </w:tcPr>
          <w:p>
            <w:pPr>
              <w:pStyle w:val="TableParagraph"/>
              <w:spacing w:line="203" w:lineRule="exact"/>
              <w:ind w:right="243"/>
              <w:jc w:val="right"/>
              <w:rPr>
                <w:sz w:val="18"/>
              </w:rPr>
            </w:pPr>
            <w:r>
              <w:rPr>
                <w:color w:val="333333"/>
                <w:w w:val="99"/>
                <w:sz w:val="18"/>
              </w:rPr>
              <w:t>2</w:t>
            </w:r>
          </w:p>
        </w:tc>
        <w:tc>
          <w:tcPr>
            <w:tcW w:w="600" w:type="dxa"/>
          </w:tcPr>
          <w:p>
            <w:pPr>
              <w:pStyle w:val="TableParagraph"/>
              <w:spacing w:line="203" w:lineRule="exact"/>
              <w:ind w:left="75" w:right="75"/>
              <w:rPr>
                <w:sz w:val="18"/>
              </w:rPr>
            </w:pPr>
            <w:r>
              <w:rPr>
                <w:color w:val="333333"/>
                <w:sz w:val="18"/>
              </w:rPr>
              <w:t>22</w:t>
            </w:r>
          </w:p>
        </w:tc>
        <w:tc>
          <w:tcPr>
            <w:tcW w:w="600" w:type="dxa"/>
          </w:tcPr>
          <w:p>
            <w:pPr>
              <w:pStyle w:val="TableParagraph"/>
              <w:spacing w:line="203" w:lineRule="exact"/>
              <w:ind w:left="75" w:right="75"/>
              <w:rPr>
                <w:sz w:val="18"/>
              </w:rPr>
            </w:pPr>
            <w:r>
              <w:rPr>
                <w:color w:val="333333"/>
                <w:sz w:val="18"/>
              </w:rPr>
              <w:t>32</w:t>
            </w:r>
          </w:p>
        </w:tc>
        <w:tc>
          <w:tcPr>
            <w:tcW w:w="600" w:type="dxa"/>
          </w:tcPr>
          <w:p>
            <w:pPr>
              <w:pStyle w:val="TableParagraph"/>
              <w:spacing w:line="203" w:lineRule="exact"/>
              <w:ind w:left="75" w:right="75"/>
              <w:rPr>
                <w:sz w:val="18"/>
              </w:rPr>
            </w:pPr>
            <w:r>
              <w:rPr>
                <w:color w:val="333333"/>
                <w:sz w:val="18"/>
              </w:rPr>
              <w:t>57</w:t>
            </w:r>
          </w:p>
        </w:tc>
        <w:tc>
          <w:tcPr>
            <w:tcW w:w="600" w:type="dxa"/>
          </w:tcPr>
          <w:p>
            <w:pPr>
              <w:pStyle w:val="TableParagraph"/>
              <w:spacing w:line="203" w:lineRule="exact"/>
              <w:ind w:left="75" w:right="75"/>
              <w:rPr>
                <w:sz w:val="18"/>
              </w:rPr>
            </w:pPr>
            <w:r>
              <w:rPr>
                <w:color w:val="333333"/>
                <w:sz w:val="18"/>
              </w:rPr>
              <w:t>72</w:t>
            </w:r>
          </w:p>
        </w:tc>
        <w:tc>
          <w:tcPr>
            <w:tcW w:w="600" w:type="dxa"/>
          </w:tcPr>
          <w:p>
            <w:pPr>
              <w:pStyle w:val="TableParagraph"/>
              <w:spacing w:line="203" w:lineRule="exact"/>
              <w:ind w:left="75" w:right="75"/>
              <w:rPr>
                <w:sz w:val="18"/>
              </w:rPr>
            </w:pPr>
            <w:r>
              <w:rPr>
                <w:color w:val="333333"/>
                <w:sz w:val="18"/>
              </w:rPr>
              <w:t>39</w:t>
            </w:r>
          </w:p>
        </w:tc>
        <w:tc>
          <w:tcPr>
            <w:tcW w:w="600" w:type="dxa"/>
          </w:tcPr>
          <w:p>
            <w:pPr>
              <w:pStyle w:val="TableParagraph"/>
              <w:spacing w:line="203" w:lineRule="exact"/>
              <w:ind w:left="75" w:right="75"/>
              <w:rPr>
                <w:sz w:val="18"/>
              </w:rPr>
            </w:pPr>
            <w:r>
              <w:rPr>
                <w:color w:val="333333"/>
                <w:sz w:val="18"/>
              </w:rPr>
              <w:t>37</w:t>
            </w:r>
          </w:p>
        </w:tc>
        <w:tc>
          <w:tcPr>
            <w:tcW w:w="600" w:type="dxa"/>
          </w:tcPr>
          <w:p>
            <w:pPr>
              <w:pStyle w:val="TableParagraph"/>
              <w:spacing w:line="203" w:lineRule="exact"/>
              <w:ind w:left="75" w:right="75"/>
              <w:rPr>
                <w:sz w:val="18"/>
              </w:rPr>
            </w:pPr>
            <w:r>
              <w:rPr>
                <w:color w:val="333333"/>
                <w:sz w:val="18"/>
              </w:rPr>
              <w:t>90</w:t>
            </w:r>
          </w:p>
        </w:tc>
        <w:tc>
          <w:tcPr>
            <w:tcW w:w="601" w:type="dxa"/>
          </w:tcPr>
          <w:p>
            <w:pPr>
              <w:pStyle w:val="TableParagraph"/>
              <w:spacing w:line="203" w:lineRule="exact"/>
              <w:ind w:left="75" w:right="75"/>
              <w:rPr>
                <w:sz w:val="18"/>
              </w:rPr>
            </w:pPr>
            <w:r>
              <w:rPr>
                <w:color w:val="333333"/>
                <w:sz w:val="18"/>
              </w:rPr>
              <w:t>37</w:t>
            </w:r>
          </w:p>
        </w:tc>
        <w:tc>
          <w:tcPr>
            <w:tcW w:w="600" w:type="dxa"/>
          </w:tcPr>
          <w:p>
            <w:pPr>
              <w:pStyle w:val="TableParagraph"/>
              <w:spacing w:line="203" w:lineRule="exact"/>
              <w:ind w:left="75" w:right="75"/>
              <w:rPr>
                <w:sz w:val="18"/>
              </w:rPr>
            </w:pPr>
            <w:r>
              <w:rPr>
                <w:color w:val="333333"/>
                <w:sz w:val="18"/>
              </w:rPr>
              <w:t>39</w:t>
            </w:r>
          </w:p>
        </w:tc>
        <w:tc>
          <w:tcPr>
            <w:tcW w:w="607" w:type="dxa"/>
          </w:tcPr>
          <w:p>
            <w:pPr>
              <w:pStyle w:val="TableParagraph"/>
              <w:spacing w:line="199" w:lineRule="exact"/>
              <w:ind w:left="148"/>
              <w:jc w:val="left"/>
              <w:rPr>
                <w:b/>
                <w:sz w:val="18"/>
              </w:rPr>
            </w:pPr>
            <w:r>
              <w:rPr>
                <w:b/>
                <w:sz w:val="18"/>
              </w:rPr>
              <w:t>433</w:t>
            </w:r>
          </w:p>
        </w:tc>
      </w:tr>
      <w:tr>
        <w:trPr>
          <w:trHeight w:val="322" w:hRule="exact"/>
        </w:trPr>
        <w:tc>
          <w:tcPr>
            <w:tcW w:w="2801" w:type="dxa"/>
          </w:tcPr>
          <w:p>
            <w:pPr>
              <w:pStyle w:val="TableParagraph"/>
              <w:spacing w:line="203" w:lineRule="exact"/>
              <w:ind w:left="64"/>
              <w:jc w:val="left"/>
              <w:rPr>
                <w:sz w:val="18"/>
              </w:rPr>
            </w:pPr>
            <w:r>
              <w:rPr>
                <w:color w:val="333333"/>
                <w:sz w:val="18"/>
              </w:rPr>
              <w:t>HUEYPOXTLA</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left="75" w:right="75"/>
              <w:rPr>
                <w:sz w:val="18"/>
              </w:rPr>
            </w:pPr>
            <w:r>
              <w:rPr>
                <w:color w:val="333333"/>
                <w:sz w:val="18"/>
              </w:rPr>
              <w:t>13</w:t>
            </w:r>
          </w:p>
        </w:tc>
        <w:tc>
          <w:tcPr>
            <w:tcW w:w="600" w:type="dxa"/>
          </w:tcPr>
          <w:p>
            <w:pPr>
              <w:pStyle w:val="TableParagraph"/>
              <w:spacing w:line="203" w:lineRule="exact"/>
              <w:ind w:left="75" w:right="75"/>
              <w:rPr>
                <w:sz w:val="18"/>
              </w:rPr>
            </w:pPr>
            <w:r>
              <w:rPr>
                <w:color w:val="333333"/>
                <w:sz w:val="18"/>
              </w:rPr>
              <w:t>14</w:t>
            </w:r>
          </w:p>
        </w:tc>
        <w:tc>
          <w:tcPr>
            <w:tcW w:w="600" w:type="dxa"/>
          </w:tcPr>
          <w:p>
            <w:pPr>
              <w:pStyle w:val="TableParagraph"/>
              <w:spacing w:line="203" w:lineRule="exact"/>
              <w:ind w:left="75" w:right="75"/>
              <w:rPr>
                <w:sz w:val="18"/>
              </w:rPr>
            </w:pPr>
            <w:r>
              <w:rPr>
                <w:color w:val="333333"/>
                <w:sz w:val="18"/>
              </w:rPr>
              <w:t>19</w:t>
            </w:r>
          </w:p>
        </w:tc>
        <w:tc>
          <w:tcPr>
            <w:tcW w:w="600" w:type="dxa"/>
          </w:tcPr>
          <w:p>
            <w:pPr>
              <w:pStyle w:val="TableParagraph"/>
              <w:spacing w:line="203" w:lineRule="exact"/>
              <w:ind w:left="75" w:right="75"/>
              <w:rPr>
                <w:sz w:val="18"/>
              </w:rPr>
            </w:pPr>
            <w:r>
              <w:rPr>
                <w:color w:val="333333"/>
                <w:sz w:val="18"/>
              </w:rPr>
              <w:t>24</w:t>
            </w:r>
          </w:p>
        </w:tc>
        <w:tc>
          <w:tcPr>
            <w:tcW w:w="600" w:type="dxa"/>
          </w:tcPr>
          <w:p>
            <w:pPr>
              <w:pStyle w:val="TableParagraph"/>
              <w:spacing w:line="203" w:lineRule="exact"/>
              <w:ind w:left="75" w:right="75"/>
              <w:rPr>
                <w:sz w:val="18"/>
              </w:rPr>
            </w:pPr>
            <w:r>
              <w:rPr>
                <w:color w:val="333333"/>
                <w:sz w:val="18"/>
              </w:rPr>
              <w:t>19</w:t>
            </w:r>
          </w:p>
        </w:tc>
        <w:tc>
          <w:tcPr>
            <w:tcW w:w="600" w:type="dxa"/>
          </w:tcPr>
          <w:p>
            <w:pPr>
              <w:pStyle w:val="TableParagraph"/>
              <w:spacing w:line="203" w:lineRule="exact"/>
              <w:ind w:left="75" w:right="75"/>
              <w:rPr>
                <w:sz w:val="18"/>
              </w:rPr>
            </w:pPr>
            <w:r>
              <w:rPr>
                <w:color w:val="333333"/>
                <w:sz w:val="18"/>
              </w:rPr>
              <w:t>20</w:t>
            </w:r>
          </w:p>
        </w:tc>
        <w:tc>
          <w:tcPr>
            <w:tcW w:w="601" w:type="dxa"/>
          </w:tcPr>
          <w:p>
            <w:pPr>
              <w:pStyle w:val="TableParagraph"/>
              <w:spacing w:line="203" w:lineRule="exact"/>
              <w:ind w:left="75" w:right="75"/>
              <w:rPr>
                <w:sz w:val="18"/>
              </w:rPr>
            </w:pPr>
            <w:r>
              <w:rPr>
                <w:color w:val="333333"/>
                <w:sz w:val="18"/>
              </w:rPr>
              <w:t>30</w:t>
            </w:r>
          </w:p>
        </w:tc>
        <w:tc>
          <w:tcPr>
            <w:tcW w:w="600" w:type="dxa"/>
          </w:tcPr>
          <w:p>
            <w:pPr>
              <w:pStyle w:val="TableParagraph"/>
              <w:spacing w:line="203" w:lineRule="exact"/>
              <w:ind w:left="75" w:right="75"/>
              <w:rPr>
                <w:sz w:val="18"/>
              </w:rPr>
            </w:pPr>
            <w:r>
              <w:rPr>
                <w:color w:val="333333"/>
                <w:sz w:val="18"/>
              </w:rPr>
              <w:t>22</w:t>
            </w:r>
          </w:p>
        </w:tc>
        <w:tc>
          <w:tcPr>
            <w:tcW w:w="607" w:type="dxa"/>
          </w:tcPr>
          <w:p>
            <w:pPr>
              <w:pStyle w:val="TableParagraph"/>
              <w:spacing w:line="199" w:lineRule="exact"/>
              <w:ind w:left="148"/>
              <w:jc w:val="left"/>
              <w:rPr>
                <w:b/>
                <w:sz w:val="18"/>
              </w:rPr>
            </w:pPr>
            <w:r>
              <w:rPr>
                <w:b/>
                <w:sz w:val="18"/>
              </w:rPr>
              <w:t>161</w:t>
            </w:r>
          </w:p>
        </w:tc>
      </w:tr>
      <w:tr>
        <w:trPr>
          <w:trHeight w:val="319" w:hRule="exact"/>
        </w:trPr>
        <w:tc>
          <w:tcPr>
            <w:tcW w:w="2801" w:type="dxa"/>
          </w:tcPr>
          <w:p>
            <w:pPr>
              <w:pStyle w:val="TableParagraph"/>
              <w:spacing w:line="203" w:lineRule="exact"/>
              <w:ind w:left="64"/>
              <w:jc w:val="left"/>
              <w:rPr>
                <w:sz w:val="18"/>
              </w:rPr>
            </w:pPr>
            <w:r>
              <w:rPr>
                <w:color w:val="333333"/>
                <w:sz w:val="18"/>
              </w:rPr>
              <w:t>HUIXQUILUCAN</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ind w:left="75" w:right="75"/>
              <w:rPr>
                <w:sz w:val="18"/>
              </w:rPr>
            </w:pPr>
            <w:r>
              <w:rPr>
                <w:color w:val="333333"/>
                <w:sz w:val="18"/>
              </w:rPr>
              <w:t>41</w:t>
            </w:r>
          </w:p>
        </w:tc>
        <w:tc>
          <w:tcPr>
            <w:tcW w:w="600" w:type="dxa"/>
          </w:tcPr>
          <w:p>
            <w:pPr>
              <w:pStyle w:val="TableParagraph"/>
              <w:spacing w:line="203" w:lineRule="exact"/>
              <w:ind w:left="75" w:right="75"/>
              <w:rPr>
                <w:sz w:val="18"/>
              </w:rPr>
            </w:pPr>
            <w:r>
              <w:rPr>
                <w:color w:val="333333"/>
                <w:sz w:val="18"/>
              </w:rPr>
              <w:t>141</w:t>
            </w:r>
          </w:p>
        </w:tc>
        <w:tc>
          <w:tcPr>
            <w:tcW w:w="600" w:type="dxa"/>
          </w:tcPr>
          <w:p>
            <w:pPr>
              <w:pStyle w:val="TableParagraph"/>
              <w:spacing w:line="203" w:lineRule="exact"/>
              <w:ind w:left="75" w:right="75"/>
              <w:rPr>
                <w:sz w:val="18"/>
              </w:rPr>
            </w:pPr>
            <w:r>
              <w:rPr>
                <w:color w:val="333333"/>
                <w:sz w:val="18"/>
              </w:rPr>
              <w:t>147</w:t>
            </w:r>
          </w:p>
        </w:tc>
        <w:tc>
          <w:tcPr>
            <w:tcW w:w="600" w:type="dxa"/>
          </w:tcPr>
          <w:p>
            <w:pPr>
              <w:pStyle w:val="TableParagraph"/>
              <w:spacing w:line="203" w:lineRule="exact"/>
              <w:ind w:left="75" w:right="75"/>
              <w:rPr>
                <w:sz w:val="18"/>
              </w:rPr>
            </w:pPr>
            <w:r>
              <w:rPr>
                <w:color w:val="333333"/>
                <w:sz w:val="18"/>
              </w:rPr>
              <w:t>237</w:t>
            </w:r>
          </w:p>
        </w:tc>
        <w:tc>
          <w:tcPr>
            <w:tcW w:w="600" w:type="dxa"/>
          </w:tcPr>
          <w:p>
            <w:pPr>
              <w:pStyle w:val="TableParagraph"/>
              <w:spacing w:line="203" w:lineRule="exact"/>
              <w:ind w:left="75" w:right="75"/>
              <w:rPr>
                <w:sz w:val="18"/>
              </w:rPr>
            </w:pPr>
            <w:r>
              <w:rPr>
                <w:color w:val="333333"/>
                <w:sz w:val="18"/>
              </w:rPr>
              <w:t>1602</w:t>
            </w:r>
          </w:p>
        </w:tc>
        <w:tc>
          <w:tcPr>
            <w:tcW w:w="600" w:type="dxa"/>
          </w:tcPr>
          <w:p>
            <w:pPr>
              <w:pStyle w:val="TableParagraph"/>
              <w:spacing w:line="203" w:lineRule="exact"/>
              <w:ind w:left="75" w:right="75"/>
              <w:rPr>
                <w:sz w:val="18"/>
              </w:rPr>
            </w:pPr>
            <w:r>
              <w:rPr>
                <w:color w:val="333333"/>
                <w:sz w:val="18"/>
              </w:rPr>
              <w:t>730</w:t>
            </w:r>
          </w:p>
        </w:tc>
        <w:tc>
          <w:tcPr>
            <w:tcW w:w="600" w:type="dxa"/>
          </w:tcPr>
          <w:p>
            <w:pPr>
              <w:pStyle w:val="TableParagraph"/>
              <w:spacing w:line="203" w:lineRule="exact"/>
              <w:ind w:left="75" w:right="75"/>
              <w:rPr>
                <w:sz w:val="18"/>
              </w:rPr>
            </w:pPr>
            <w:r>
              <w:rPr>
                <w:color w:val="333333"/>
                <w:sz w:val="18"/>
              </w:rPr>
              <w:t>475</w:t>
            </w:r>
          </w:p>
        </w:tc>
        <w:tc>
          <w:tcPr>
            <w:tcW w:w="601" w:type="dxa"/>
          </w:tcPr>
          <w:p>
            <w:pPr>
              <w:pStyle w:val="TableParagraph"/>
              <w:spacing w:line="203" w:lineRule="exact"/>
              <w:ind w:left="75" w:right="75"/>
              <w:rPr>
                <w:sz w:val="18"/>
              </w:rPr>
            </w:pPr>
            <w:r>
              <w:rPr>
                <w:color w:val="333333"/>
                <w:sz w:val="18"/>
              </w:rPr>
              <w:t>253</w:t>
            </w:r>
          </w:p>
        </w:tc>
        <w:tc>
          <w:tcPr>
            <w:tcW w:w="600" w:type="dxa"/>
          </w:tcPr>
          <w:p>
            <w:pPr>
              <w:pStyle w:val="TableParagraph"/>
              <w:spacing w:line="203" w:lineRule="exact"/>
              <w:ind w:left="75" w:right="75"/>
              <w:rPr>
                <w:sz w:val="18"/>
              </w:rPr>
            </w:pPr>
            <w:r>
              <w:rPr>
                <w:color w:val="333333"/>
                <w:sz w:val="18"/>
              </w:rPr>
              <w:t>199</w:t>
            </w:r>
          </w:p>
        </w:tc>
        <w:tc>
          <w:tcPr>
            <w:tcW w:w="607" w:type="dxa"/>
          </w:tcPr>
          <w:p>
            <w:pPr>
              <w:pStyle w:val="TableParagraph"/>
              <w:spacing w:line="199" w:lineRule="exact"/>
              <w:ind w:left="98"/>
              <w:jc w:val="left"/>
              <w:rPr>
                <w:b/>
                <w:sz w:val="18"/>
              </w:rPr>
            </w:pPr>
            <w:r>
              <w:rPr>
                <w:b/>
                <w:sz w:val="18"/>
              </w:rPr>
              <w:t>3825</w:t>
            </w:r>
          </w:p>
        </w:tc>
      </w:tr>
      <w:tr>
        <w:trPr>
          <w:trHeight w:val="322" w:hRule="exact"/>
        </w:trPr>
        <w:tc>
          <w:tcPr>
            <w:tcW w:w="2801" w:type="dxa"/>
          </w:tcPr>
          <w:p>
            <w:pPr>
              <w:pStyle w:val="TableParagraph"/>
              <w:spacing w:line="203" w:lineRule="exact"/>
              <w:ind w:left="64"/>
              <w:jc w:val="left"/>
              <w:rPr>
                <w:sz w:val="18"/>
              </w:rPr>
            </w:pPr>
            <w:r>
              <w:rPr>
                <w:color w:val="333333"/>
                <w:sz w:val="18"/>
              </w:rPr>
              <w:t>ISIDRO FABELA</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1</w:t>
            </w:r>
          </w:p>
        </w:tc>
        <w:tc>
          <w:tcPr>
            <w:tcW w:w="600" w:type="dxa"/>
          </w:tcPr>
          <w:p>
            <w:pPr>
              <w:pStyle w:val="TableParagraph"/>
              <w:spacing w:line="203" w:lineRule="exact"/>
              <w:rPr>
                <w:sz w:val="18"/>
              </w:rPr>
            </w:pPr>
            <w:r>
              <w:rPr>
                <w:color w:val="333333"/>
                <w:w w:val="99"/>
                <w:sz w:val="18"/>
              </w:rPr>
              <w:t>9</w:t>
            </w:r>
          </w:p>
        </w:tc>
        <w:tc>
          <w:tcPr>
            <w:tcW w:w="600" w:type="dxa"/>
          </w:tcPr>
          <w:p>
            <w:pPr>
              <w:pStyle w:val="TableParagraph"/>
              <w:spacing w:line="203" w:lineRule="exact"/>
              <w:ind w:left="75" w:right="75"/>
              <w:rPr>
                <w:sz w:val="18"/>
              </w:rPr>
            </w:pPr>
            <w:r>
              <w:rPr>
                <w:color w:val="333333"/>
                <w:sz w:val="18"/>
              </w:rPr>
              <w:t>16</w:t>
            </w:r>
          </w:p>
        </w:tc>
        <w:tc>
          <w:tcPr>
            <w:tcW w:w="600" w:type="dxa"/>
          </w:tcPr>
          <w:p>
            <w:pPr>
              <w:pStyle w:val="TableParagraph"/>
              <w:spacing w:line="203" w:lineRule="exact"/>
              <w:ind w:left="75" w:right="75"/>
              <w:rPr>
                <w:sz w:val="18"/>
              </w:rPr>
            </w:pPr>
            <w:r>
              <w:rPr>
                <w:color w:val="333333"/>
                <w:sz w:val="18"/>
              </w:rPr>
              <w:t>18</w:t>
            </w:r>
          </w:p>
        </w:tc>
        <w:tc>
          <w:tcPr>
            <w:tcW w:w="600" w:type="dxa"/>
          </w:tcPr>
          <w:p>
            <w:pPr>
              <w:pStyle w:val="TableParagraph"/>
              <w:spacing w:line="203" w:lineRule="exact"/>
              <w:ind w:left="75" w:right="75"/>
              <w:rPr>
                <w:sz w:val="18"/>
              </w:rPr>
            </w:pPr>
            <w:r>
              <w:rPr>
                <w:color w:val="333333"/>
                <w:sz w:val="18"/>
              </w:rPr>
              <w:t>21</w:t>
            </w:r>
          </w:p>
        </w:tc>
        <w:tc>
          <w:tcPr>
            <w:tcW w:w="600" w:type="dxa"/>
          </w:tcPr>
          <w:p>
            <w:pPr>
              <w:pStyle w:val="TableParagraph"/>
              <w:spacing w:line="203" w:lineRule="exact"/>
              <w:ind w:left="75" w:right="75"/>
              <w:rPr>
                <w:sz w:val="18"/>
              </w:rPr>
            </w:pPr>
            <w:r>
              <w:rPr>
                <w:color w:val="333333"/>
                <w:sz w:val="18"/>
              </w:rPr>
              <w:t>18</w:t>
            </w:r>
          </w:p>
        </w:tc>
        <w:tc>
          <w:tcPr>
            <w:tcW w:w="600" w:type="dxa"/>
          </w:tcPr>
          <w:p>
            <w:pPr>
              <w:pStyle w:val="TableParagraph"/>
              <w:spacing w:line="203" w:lineRule="exact"/>
              <w:ind w:left="75" w:right="75"/>
              <w:rPr>
                <w:sz w:val="18"/>
              </w:rPr>
            </w:pPr>
            <w:r>
              <w:rPr>
                <w:color w:val="333333"/>
                <w:sz w:val="18"/>
              </w:rPr>
              <w:t>23</w:t>
            </w:r>
          </w:p>
        </w:tc>
        <w:tc>
          <w:tcPr>
            <w:tcW w:w="601" w:type="dxa"/>
          </w:tcPr>
          <w:p>
            <w:pPr>
              <w:pStyle w:val="TableParagraph"/>
              <w:spacing w:line="203" w:lineRule="exact"/>
              <w:ind w:left="75" w:right="75"/>
              <w:rPr>
                <w:sz w:val="18"/>
              </w:rPr>
            </w:pPr>
            <w:r>
              <w:rPr>
                <w:color w:val="333333"/>
                <w:sz w:val="18"/>
              </w:rPr>
              <w:t>12</w:t>
            </w:r>
          </w:p>
        </w:tc>
        <w:tc>
          <w:tcPr>
            <w:tcW w:w="600" w:type="dxa"/>
          </w:tcPr>
          <w:p>
            <w:pPr>
              <w:pStyle w:val="TableParagraph"/>
              <w:spacing w:line="203" w:lineRule="exact"/>
              <w:ind w:left="75" w:right="75"/>
              <w:rPr>
                <w:sz w:val="18"/>
              </w:rPr>
            </w:pPr>
            <w:r>
              <w:rPr>
                <w:color w:val="333333"/>
                <w:sz w:val="18"/>
              </w:rPr>
              <w:t>15</w:t>
            </w:r>
          </w:p>
        </w:tc>
        <w:tc>
          <w:tcPr>
            <w:tcW w:w="607" w:type="dxa"/>
          </w:tcPr>
          <w:p>
            <w:pPr>
              <w:pStyle w:val="TableParagraph"/>
              <w:spacing w:line="199" w:lineRule="exact"/>
              <w:ind w:left="148"/>
              <w:jc w:val="left"/>
              <w:rPr>
                <w:b/>
                <w:sz w:val="18"/>
              </w:rPr>
            </w:pPr>
            <w:r>
              <w:rPr>
                <w:b/>
                <w:sz w:val="18"/>
              </w:rPr>
              <w:t>133</w:t>
            </w:r>
          </w:p>
        </w:tc>
      </w:tr>
      <w:tr>
        <w:trPr>
          <w:trHeight w:val="319" w:hRule="exact"/>
        </w:trPr>
        <w:tc>
          <w:tcPr>
            <w:tcW w:w="2801" w:type="dxa"/>
          </w:tcPr>
          <w:p>
            <w:pPr>
              <w:pStyle w:val="TableParagraph"/>
              <w:spacing w:line="203" w:lineRule="exact"/>
              <w:ind w:left="64"/>
              <w:jc w:val="left"/>
              <w:rPr>
                <w:sz w:val="18"/>
              </w:rPr>
            </w:pPr>
            <w:r>
              <w:rPr>
                <w:color w:val="333333"/>
                <w:sz w:val="18"/>
              </w:rPr>
              <w:t>IXTAPALUCA</w:t>
            </w:r>
          </w:p>
        </w:tc>
        <w:tc>
          <w:tcPr>
            <w:tcW w:w="601" w:type="dxa"/>
          </w:tcPr>
          <w:p>
            <w:pPr>
              <w:pStyle w:val="TableParagraph"/>
              <w:spacing w:line="203" w:lineRule="exact"/>
              <w:rPr>
                <w:sz w:val="18"/>
              </w:rPr>
            </w:pPr>
            <w:r>
              <w:rPr>
                <w:color w:val="333333"/>
                <w:w w:val="99"/>
                <w:sz w:val="18"/>
              </w:rPr>
              <w:t>2</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ind w:left="75" w:right="75"/>
              <w:rPr>
                <w:sz w:val="18"/>
              </w:rPr>
            </w:pPr>
            <w:r>
              <w:rPr>
                <w:color w:val="333333"/>
                <w:sz w:val="18"/>
              </w:rPr>
              <w:t>14</w:t>
            </w:r>
          </w:p>
        </w:tc>
        <w:tc>
          <w:tcPr>
            <w:tcW w:w="600" w:type="dxa"/>
          </w:tcPr>
          <w:p>
            <w:pPr>
              <w:pStyle w:val="TableParagraph"/>
              <w:spacing w:line="203" w:lineRule="exact"/>
              <w:ind w:left="75" w:right="75"/>
              <w:rPr>
                <w:sz w:val="18"/>
              </w:rPr>
            </w:pPr>
            <w:r>
              <w:rPr>
                <w:color w:val="333333"/>
                <w:sz w:val="18"/>
              </w:rPr>
              <w:t>44</w:t>
            </w:r>
          </w:p>
        </w:tc>
        <w:tc>
          <w:tcPr>
            <w:tcW w:w="600" w:type="dxa"/>
          </w:tcPr>
          <w:p>
            <w:pPr>
              <w:pStyle w:val="TableParagraph"/>
              <w:spacing w:line="203" w:lineRule="exact"/>
              <w:ind w:left="75" w:right="75"/>
              <w:rPr>
                <w:sz w:val="18"/>
              </w:rPr>
            </w:pPr>
            <w:r>
              <w:rPr>
                <w:color w:val="333333"/>
                <w:sz w:val="18"/>
              </w:rPr>
              <w:t>89</w:t>
            </w:r>
          </w:p>
        </w:tc>
        <w:tc>
          <w:tcPr>
            <w:tcW w:w="600" w:type="dxa"/>
          </w:tcPr>
          <w:p>
            <w:pPr>
              <w:pStyle w:val="TableParagraph"/>
              <w:spacing w:line="203" w:lineRule="exact"/>
              <w:ind w:left="75" w:right="75"/>
              <w:rPr>
                <w:sz w:val="18"/>
              </w:rPr>
            </w:pPr>
            <w:r>
              <w:rPr>
                <w:color w:val="333333"/>
                <w:sz w:val="18"/>
              </w:rPr>
              <w:t>122</w:t>
            </w:r>
          </w:p>
        </w:tc>
        <w:tc>
          <w:tcPr>
            <w:tcW w:w="600" w:type="dxa"/>
          </w:tcPr>
          <w:p>
            <w:pPr>
              <w:pStyle w:val="TableParagraph"/>
              <w:spacing w:line="203" w:lineRule="exact"/>
              <w:ind w:left="75" w:right="75"/>
              <w:rPr>
                <w:sz w:val="18"/>
              </w:rPr>
            </w:pPr>
            <w:r>
              <w:rPr>
                <w:color w:val="333333"/>
                <w:sz w:val="18"/>
              </w:rPr>
              <w:t>175</w:t>
            </w:r>
          </w:p>
        </w:tc>
        <w:tc>
          <w:tcPr>
            <w:tcW w:w="600" w:type="dxa"/>
          </w:tcPr>
          <w:p>
            <w:pPr>
              <w:pStyle w:val="TableParagraph"/>
              <w:spacing w:line="203" w:lineRule="exact"/>
              <w:ind w:left="75" w:right="75"/>
              <w:rPr>
                <w:sz w:val="18"/>
              </w:rPr>
            </w:pPr>
            <w:r>
              <w:rPr>
                <w:color w:val="333333"/>
                <w:sz w:val="18"/>
              </w:rPr>
              <w:t>93</w:t>
            </w:r>
          </w:p>
        </w:tc>
        <w:tc>
          <w:tcPr>
            <w:tcW w:w="600" w:type="dxa"/>
          </w:tcPr>
          <w:p>
            <w:pPr>
              <w:pStyle w:val="TableParagraph"/>
              <w:spacing w:line="203" w:lineRule="exact"/>
              <w:ind w:left="75" w:right="75"/>
              <w:rPr>
                <w:sz w:val="18"/>
              </w:rPr>
            </w:pPr>
            <w:r>
              <w:rPr>
                <w:color w:val="333333"/>
                <w:sz w:val="18"/>
              </w:rPr>
              <w:t>120</w:t>
            </w:r>
          </w:p>
        </w:tc>
        <w:tc>
          <w:tcPr>
            <w:tcW w:w="601" w:type="dxa"/>
          </w:tcPr>
          <w:p>
            <w:pPr>
              <w:pStyle w:val="TableParagraph"/>
              <w:spacing w:line="203" w:lineRule="exact"/>
              <w:ind w:left="75" w:right="75"/>
              <w:rPr>
                <w:sz w:val="18"/>
              </w:rPr>
            </w:pPr>
            <w:r>
              <w:rPr>
                <w:color w:val="333333"/>
                <w:sz w:val="18"/>
              </w:rPr>
              <w:t>86</w:t>
            </w:r>
          </w:p>
        </w:tc>
        <w:tc>
          <w:tcPr>
            <w:tcW w:w="600" w:type="dxa"/>
          </w:tcPr>
          <w:p>
            <w:pPr>
              <w:pStyle w:val="TableParagraph"/>
              <w:spacing w:line="203" w:lineRule="exact"/>
              <w:ind w:left="75" w:right="75"/>
              <w:rPr>
                <w:sz w:val="18"/>
              </w:rPr>
            </w:pPr>
            <w:r>
              <w:rPr>
                <w:color w:val="333333"/>
                <w:sz w:val="18"/>
              </w:rPr>
              <w:t>74</w:t>
            </w:r>
          </w:p>
        </w:tc>
        <w:tc>
          <w:tcPr>
            <w:tcW w:w="607" w:type="dxa"/>
          </w:tcPr>
          <w:p>
            <w:pPr>
              <w:pStyle w:val="TableParagraph"/>
              <w:spacing w:line="199" w:lineRule="exact"/>
              <w:ind w:left="148"/>
              <w:jc w:val="left"/>
              <w:rPr>
                <w:b/>
                <w:sz w:val="18"/>
              </w:rPr>
            </w:pPr>
            <w:r>
              <w:rPr>
                <w:b/>
                <w:sz w:val="18"/>
              </w:rPr>
              <w:t>819</w:t>
            </w:r>
          </w:p>
        </w:tc>
      </w:tr>
      <w:tr>
        <w:trPr>
          <w:trHeight w:val="322" w:hRule="exact"/>
        </w:trPr>
        <w:tc>
          <w:tcPr>
            <w:tcW w:w="2801" w:type="dxa"/>
          </w:tcPr>
          <w:p>
            <w:pPr>
              <w:pStyle w:val="TableParagraph"/>
              <w:spacing w:line="203" w:lineRule="exact"/>
              <w:ind w:left="64"/>
              <w:jc w:val="left"/>
              <w:rPr>
                <w:sz w:val="18"/>
              </w:rPr>
            </w:pPr>
            <w:r>
              <w:rPr>
                <w:color w:val="333333"/>
                <w:sz w:val="18"/>
              </w:rPr>
              <w:t>IXTAPAN DE LA SAL</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4</w:t>
            </w:r>
          </w:p>
        </w:tc>
        <w:tc>
          <w:tcPr>
            <w:tcW w:w="600" w:type="dxa"/>
          </w:tcPr>
          <w:p>
            <w:pPr>
              <w:pStyle w:val="TableParagraph"/>
              <w:spacing w:line="203" w:lineRule="exact"/>
              <w:ind w:left="75" w:right="75"/>
              <w:rPr>
                <w:sz w:val="18"/>
              </w:rPr>
            </w:pPr>
            <w:r>
              <w:rPr>
                <w:color w:val="333333"/>
                <w:sz w:val="18"/>
              </w:rPr>
              <w:t>14</w:t>
            </w:r>
          </w:p>
        </w:tc>
        <w:tc>
          <w:tcPr>
            <w:tcW w:w="600" w:type="dxa"/>
          </w:tcPr>
          <w:p>
            <w:pPr>
              <w:pStyle w:val="TableParagraph"/>
              <w:spacing w:line="203" w:lineRule="exact"/>
              <w:ind w:left="75" w:right="75"/>
              <w:rPr>
                <w:sz w:val="18"/>
              </w:rPr>
            </w:pPr>
            <w:r>
              <w:rPr>
                <w:color w:val="333333"/>
                <w:sz w:val="18"/>
              </w:rPr>
              <w:t>13</w:t>
            </w:r>
          </w:p>
        </w:tc>
        <w:tc>
          <w:tcPr>
            <w:tcW w:w="600" w:type="dxa"/>
          </w:tcPr>
          <w:p>
            <w:pPr>
              <w:pStyle w:val="TableParagraph"/>
              <w:spacing w:line="203" w:lineRule="exact"/>
              <w:ind w:left="75" w:right="75"/>
              <w:rPr>
                <w:sz w:val="18"/>
              </w:rPr>
            </w:pPr>
            <w:r>
              <w:rPr>
                <w:color w:val="333333"/>
                <w:sz w:val="18"/>
              </w:rPr>
              <w:t>23</w:t>
            </w:r>
          </w:p>
        </w:tc>
        <w:tc>
          <w:tcPr>
            <w:tcW w:w="600" w:type="dxa"/>
          </w:tcPr>
          <w:p>
            <w:pPr>
              <w:pStyle w:val="TableParagraph"/>
              <w:spacing w:line="203" w:lineRule="exact"/>
              <w:ind w:left="75" w:right="75"/>
              <w:rPr>
                <w:sz w:val="18"/>
              </w:rPr>
            </w:pPr>
            <w:r>
              <w:rPr>
                <w:color w:val="333333"/>
                <w:sz w:val="18"/>
              </w:rPr>
              <w:t>23</w:t>
            </w:r>
          </w:p>
        </w:tc>
        <w:tc>
          <w:tcPr>
            <w:tcW w:w="600" w:type="dxa"/>
          </w:tcPr>
          <w:p>
            <w:pPr>
              <w:pStyle w:val="TableParagraph"/>
              <w:spacing w:line="203" w:lineRule="exact"/>
              <w:ind w:left="75" w:right="75"/>
              <w:rPr>
                <w:sz w:val="18"/>
              </w:rPr>
            </w:pPr>
            <w:r>
              <w:rPr>
                <w:color w:val="333333"/>
                <w:sz w:val="18"/>
              </w:rPr>
              <w:t>22</w:t>
            </w:r>
          </w:p>
        </w:tc>
        <w:tc>
          <w:tcPr>
            <w:tcW w:w="600" w:type="dxa"/>
          </w:tcPr>
          <w:p>
            <w:pPr>
              <w:pStyle w:val="TableParagraph"/>
              <w:spacing w:line="203" w:lineRule="exact"/>
              <w:ind w:left="75" w:right="75"/>
              <w:rPr>
                <w:sz w:val="18"/>
              </w:rPr>
            </w:pPr>
            <w:r>
              <w:rPr>
                <w:color w:val="333333"/>
                <w:sz w:val="18"/>
              </w:rPr>
              <w:t>38</w:t>
            </w:r>
          </w:p>
        </w:tc>
        <w:tc>
          <w:tcPr>
            <w:tcW w:w="601" w:type="dxa"/>
          </w:tcPr>
          <w:p>
            <w:pPr>
              <w:pStyle w:val="TableParagraph"/>
              <w:spacing w:line="203" w:lineRule="exact"/>
              <w:ind w:left="75" w:right="75"/>
              <w:rPr>
                <w:sz w:val="18"/>
              </w:rPr>
            </w:pPr>
            <w:r>
              <w:rPr>
                <w:color w:val="333333"/>
                <w:sz w:val="18"/>
              </w:rPr>
              <w:t>42</w:t>
            </w:r>
          </w:p>
        </w:tc>
        <w:tc>
          <w:tcPr>
            <w:tcW w:w="600" w:type="dxa"/>
          </w:tcPr>
          <w:p>
            <w:pPr>
              <w:pStyle w:val="TableParagraph"/>
              <w:spacing w:line="203" w:lineRule="exact"/>
              <w:ind w:left="75" w:right="75"/>
              <w:rPr>
                <w:sz w:val="18"/>
              </w:rPr>
            </w:pPr>
            <w:r>
              <w:rPr>
                <w:color w:val="333333"/>
                <w:sz w:val="18"/>
              </w:rPr>
              <w:t>25</w:t>
            </w:r>
          </w:p>
        </w:tc>
        <w:tc>
          <w:tcPr>
            <w:tcW w:w="607" w:type="dxa"/>
          </w:tcPr>
          <w:p>
            <w:pPr>
              <w:pStyle w:val="TableParagraph"/>
              <w:spacing w:line="199" w:lineRule="exact"/>
              <w:ind w:left="148"/>
              <w:jc w:val="left"/>
              <w:rPr>
                <w:b/>
                <w:sz w:val="18"/>
              </w:rPr>
            </w:pPr>
            <w:r>
              <w:rPr>
                <w:b/>
                <w:sz w:val="18"/>
              </w:rPr>
              <w:t>204</w:t>
            </w:r>
          </w:p>
        </w:tc>
      </w:tr>
      <w:tr>
        <w:trPr>
          <w:trHeight w:val="319" w:hRule="exact"/>
        </w:trPr>
        <w:tc>
          <w:tcPr>
            <w:tcW w:w="2801" w:type="dxa"/>
          </w:tcPr>
          <w:p>
            <w:pPr>
              <w:pStyle w:val="TableParagraph"/>
              <w:spacing w:line="203" w:lineRule="exact"/>
              <w:ind w:left="64"/>
              <w:jc w:val="left"/>
              <w:rPr>
                <w:sz w:val="18"/>
              </w:rPr>
            </w:pPr>
            <w:r>
              <w:rPr>
                <w:color w:val="333333"/>
                <w:sz w:val="18"/>
              </w:rPr>
              <w:t>IXTAPAN DEL ORO</w:t>
            </w:r>
          </w:p>
        </w:tc>
        <w:tc>
          <w:tcPr>
            <w:tcW w:w="601" w:type="dxa"/>
          </w:tcPr>
          <w:p>
            <w:pPr>
              <w:pStyle w:val="TableParagraph"/>
              <w:spacing w:line="203" w:lineRule="exact"/>
              <w:rPr>
                <w:sz w:val="18"/>
              </w:rPr>
            </w:pPr>
            <w:r>
              <w:rPr>
                <w:color w:val="333333"/>
                <w:w w:val="99"/>
                <w:sz w:val="18"/>
              </w:rPr>
              <w:t>1</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1</w:t>
            </w:r>
          </w:p>
        </w:tc>
        <w:tc>
          <w:tcPr>
            <w:tcW w:w="600" w:type="dxa"/>
          </w:tcPr>
          <w:p>
            <w:pPr>
              <w:pStyle w:val="TableParagraph"/>
              <w:spacing w:line="203" w:lineRule="exact"/>
              <w:ind w:left="75" w:right="75"/>
              <w:rPr>
                <w:sz w:val="18"/>
              </w:rPr>
            </w:pPr>
            <w:r>
              <w:rPr>
                <w:color w:val="333333"/>
                <w:sz w:val="18"/>
              </w:rPr>
              <w:t>20</w:t>
            </w:r>
          </w:p>
        </w:tc>
        <w:tc>
          <w:tcPr>
            <w:tcW w:w="600" w:type="dxa"/>
          </w:tcPr>
          <w:p>
            <w:pPr>
              <w:pStyle w:val="TableParagraph"/>
              <w:spacing w:line="203" w:lineRule="exact"/>
              <w:ind w:left="75" w:right="75"/>
              <w:rPr>
                <w:sz w:val="18"/>
              </w:rPr>
            </w:pPr>
            <w:r>
              <w:rPr>
                <w:color w:val="333333"/>
                <w:sz w:val="18"/>
              </w:rPr>
              <w:t>56</w:t>
            </w:r>
          </w:p>
        </w:tc>
        <w:tc>
          <w:tcPr>
            <w:tcW w:w="600" w:type="dxa"/>
          </w:tcPr>
          <w:p>
            <w:pPr>
              <w:pStyle w:val="TableParagraph"/>
              <w:spacing w:line="203" w:lineRule="exact"/>
              <w:ind w:left="75" w:right="75"/>
              <w:rPr>
                <w:sz w:val="18"/>
              </w:rPr>
            </w:pPr>
            <w:r>
              <w:rPr>
                <w:color w:val="333333"/>
                <w:sz w:val="18"/>
              </w:rPr>
              <w:t>18</w:t>
            </w:r>
          </w:p>
        </w:tc>
        <w:tc>
          <w:tcPr>
            <w:tcW w:w="600" w:type="dxa"/>
          </w:tcPr>
          <w:p>
            <w:pPr>
              <w:pStyle w:val="TableParagraph"/>
              <w:spacing w:line="203" w:lineRule="exact"/>
              <w:ind w:left="75" w:right="75"/>
              <w:rPr>
                <w:sz w:val="18"/>
              </w:rPr>
            </w:pPr>
            <w:r>
              <w:rPr>
                <w:color w:val="333333"/>
                <w:sz w:val="18"/>
              </w:rPr>
              <w:t>26</w:t>
            </w:r>
          </w:p>
        </w:tc>
        <w:tc>
          <w:tcPr>
            <w:tcW w:w="600" w:type="dxa"/>
          </w:tcPr>
          <w:p>
            <w:pPr>
              <w:pStyle w:val="TableParagraph"/>
              <w:spacing w:line="203" w:lineRule="exact"/>
              <w:ind w:left="75" w:right="75"/>
              <w:rPr>
                <w:sz w:val="18"/>
              </w:rPr>
            </w:pPr>
            <w:r>
              <w:rPr>
                <w:color w:val="333333"/>
                <w:sz w:val="18"/>
              </w:rPr>
              <w:t>23</w:t>
            </w:r>
          </w:p>
        </w:tc>
        <w:tc>
          <w:tcPr>
            <w:tcW w:w="600" w:type="dxa"/>
          </w:tcPr>
          <w:p>
            <w:pPr>
              <w:pStyle w:val="TableParagraph"/>
              <w:spacing w:line="203" w:lineRule="exact"/>
              <w:ind w:left="75" w:right="75"/>
              <w:rPr>
                <w:sz w:val="18"/>
              </w:rPr>
            </w:pPr>
            <w:r>
              <w:rPr>
                <w:color w:val="333333"/>
                <w:sz w:val="18"/>
              </w:rPr>
              <w:t>17</w:t>
            </w:r>
          </w:p>
        </w:tc>
        <w:tc>
          <w:tcPr>
            <w:tcW w:w="601" w:type="dxa"/>
          </w:tcPr>
          <w:p>
            <w:pPr>
              <w:pStyle w:val="TableParagraph"/>
              <w:spacing w:line="203" w:lineRule="exact"/>
              <w:rPr>
                <w:sz w:val="18"/>
              </w:rPr>
            </w:pPr>
            <w:r>
              <w:rPr>
                <w:color w:val="333333"/>
                <w:w w:val="99"/>
                <w:sz w:val="18"/>
              </w:rPr>
              <w:t>7</w:t>
            </w:r>
          </w:p>
        </w:tc>
        <w:tc>
          <w:tcPr>
            <w:tcW w:w="600" w:type="dxa"/>
          </w:tcPr>
          <w:p>
            <w:pPr>
              <w:pStyle w:val="TableParagraph"/>
              <w:spacing w:line="203" w:lineRule="exact"/>
              <w:ind w:left="75" w:right="75"/>
              <w:rPr>
                <w:sz w:val="18"/>
              </w:rPr>
            </w:pPr>
            <w:r>
              <w:rPr>
                <w:color w:val="333333"/>
                <w:sz w:val="18"/>
              </w:rPr>
              <w:t>26</w:t>
            </w:r>
          </w:p>
        </w:tc>
        <w:tc>
          <w:tcPr>
            <w:tcW w:w="607" w:type="dxa"/>
          </w:tcPr>
          <w:p>
            <w:pPr>
              <w:pStyle w:val="TableParagraph"/>
              <w:spacing w:line="199" w:lineRule="exact"/>
              <w:ind w:left="148"/>
              <w:jc w:val="left"/>
              <w:rPr>
                <w:b/>
                <w:sz w:val="18"/>
              </w:rPr>
            </w:pPr>
            <w:r>
              <w:rPr>
                <w:b/>
                <w:sz w:val="18"/>
              </w:rPr>
              <w:t>195</w:t>
            </w:r>
          </w:p>
        </w:tc>
      </w:tr>
      <w:tr>
        <w:trPr>
          <w:trHeight w:val="322" w:hRule="exact"/>
        </w:trPr>
        <w:tc>
          <w:tcPr>
            <w:tcW w:w="2801" w:type="dxa"/>
          </w:tcPr>
          <w:p>
            <w:pPr>
              <w:pStyle w:val="TableParagraph"/>
              <w:spacing w:line="203" w:lineRule="exact"/>
              <w:ind w:left="64"/>
              <w:jc w:val="left"/>
              <w:rPr>
                <w:sz w:val="18"/>
              </w:rPr>
            </w:pPr>
            <w:r>
              <w:rPr>
                <w:color w:val="333333"/>
                <w:sz w:val="18"/>
              </w:rPr>
              <w:t>IXTLAHUACA</w:t>
            </w:r>
          </w:p>
        </w:tc>
        <w:tc>
          <w:tcPr>
            <w:tcW w:w="601" w:type="dxa"/>
          </w:tcPr>
          <w:p>
            <w:pPr>
              <w:pStyle w:val="TableParagraph"/>
              <w:spacing w:line="203" w:lineRule="exact"/>
              <w:ind w:left="75" w:right="75"/>
              <w:rPr>
                <w:sz w:val="18"/>
              </w:rPr>
            </w:pPr>
            <w:r>
              <w:rPr>
                <w:color w:val="333333"/>
                <w:sz w:val="18"/>
              </w:rPr>
              <w:t>25</w:t>
            </w:r>
          </w:p>
        </w:tc>
        <w:tc>
          <w:tcPr>
            <w:tcW w:w="600" w:type="dxa"/>
          </w:tcPr>
          <w:p>
            <w:pPr>
              <w:pStyle w:val="TableParagraph"/>
              <w:spacing w:line="203" w:lineRule="exact"/>
              <w:ind w:right="192"/>
              <w:jc w:val="right"/>
              <w:rPr>
                <w:sz w:val="18"/>
              </w:rPr>
            </w:pPr>
            <w:r>
              <w:rPr>
                <w:color w:val="333333"/>
                <w:w w:val="95"/>
                <w:sz w:val="18"/>
              </w:rPr>
              <w:t>38</w:t>
            </w:r>
          </w:p>
        </w:tc>
        <w:tc>
          <w:tcPr>
            <w:tcW w:w="600" w:type="dxa"/>
          </w:tcPr>
          <w:p>
            <w:pPr>
              <w:pStyle w:val="TableParagraph"/>
              <w:spacing w:line="203" w:lineRule="exact"/>
              <w:rPr>
                <w:sz w:val="18"/>
              </w:rPr>
            </w:pPr>
            <w:r>
              <w:rPr>
                <w:color w:val="333333"/>
                <w:w w:val="99"/>
                <w:sz w:val="18"/>
              </w:rPr>
              <w:t>7</w:t>
            </w:r>
          </w:p>
        </w:tc>
        <w:tc>
          <w:tcPr>
            <w:tcW w:w="600" w:type="dxa"/>
          </w:tcPr>
          <w:p>
            <w:pPr>
              <w:pStyle w:val="TableParagraph"/>
              <w:spacing w:line="203" w:lineRule="exact"/>
              <w:ind w:left="75" w:right="75"/>
              <w:rPr>
                <w:sz w:val="18"/>
              </w:rPr>
            </w:pPr>
            <w:r>
              <w:rPr>
                <w:color w:val="333333"/>
                <w:sz w:val="18"/>
              </w:rPr>
              <w:t>21</w:t>
            </w:r>
          </w:p>
        </w:tc>
        <w:tc>
          <w:tcPr>
            <w:tcW w:w="600" w:type="dxa"/>
          </w:tcPr>
          <w:p>
            <w:pPr>
              <w:pStyle w:val="TableParagraph"/>
              <w:spacing w:line="203" w:lineRule="exact"/>
              <w:ind w:left="75" w:right="75"/>
              <w:rPr>
                <w:sz w:val="18"/>
              </w:rPr>
            </w:pPr>
            <w:r>
              <w:rPr>
                <w:color w:val="333333"/>
                <w:sz w:val="18"/>
              </w:rPr>
              <w:t>19</w:t>
            </w:r>
          </w:p>
        </w:tc>
        <w:tc>
          <w:tcPr>
            <w:tcW w:w="600" w:type="dxa"/>
          </w:tcPr>
          <w:p>
            <w:pPr>
              <w:pStyle w:val="TableParagraph"/>
              <w:spacing w:line="203" w:lineRule="exact"/>
              <w:ind w:left="75" w:right="75"/>
              <w:rPr>
                <w:sz w:val="18"/>
              </w:rPr>
            </w:pPr>
            <w:r>
              <w:rPr>
                <w:color w:val="333333"/>
                <w:sz w:val="18"/>
              </w:rPr>
              <w:t>58</w:t>
            </w:r>
          </w:p>
        </w:tc>
        <w:tc>
          <w:tcPr>
            <w:tcW w:w="600" w:type="dxa"/>
          </w:tcPr>
          <w:p>
            <w:pPr>
              <w:pStyle w:val="TableParagraph"/>
              <w:spacing w:line="203" w:lineRule="exact"/>
              <w:ind w:left="75" w:right="75"/>
              <w:rPr>
                <w:sz w:val="18"/>
              </w:rPr>
            </w:pPr>
            <w:r>
              <w:rPr>
                <w:color w:val="333333"/>
                <w:sz w:val="18"/>
              </w:rPr>
              <w:t>40</w:t>
            </w:r>
          </w:p>
        </w:tc>
        <w:tc>
          <w:tcPr>
            <w:tcW w:w="600" w:type="dxa"/>
          </w:tcPr>
          <w:p>
            <w:pPr>
              <w:pStyle w:val="TableParagraph"/>
              <w:spacing w:line="203" w:lineRule="exact"/>
              <w:ind w:left="75" w:right="75"/>
              <w:rPr>
                <w:sz w:val="18"/>
              </w:rPr>
            </w:pPr>
            <w:r>
              <w:rPr>
                <w:color w:val="333333"/>
                <w:sz w:val="18"/>
              </w:rPr>
              <w:t>33</w:t>
            </w:r>
          </w:p>
        </w:tc>
        <w:tc>
          <w:tcPr>
            <w:tcW w:w="600" w:type="dxa"/>
          </w:tcPr>
          <w:p>
            <w:pPr>
              <w:pStyle w:val="TableParagraph"/>
              <w:spacing w:line="203" w:lineRule="exact"/>
              <w:ind w:left="75" w:right="75"/>
              <w:rPr>
                <w:sz w:val="18"/>
              </w:rPr>
            </w:pPr>
            <w:r>
              <w:rPr>
                <w:color w:val="333333"/>
                <w:sz w:val="18"/>
              </w:rPr>
              <w:t>54</w:t>
            </w:r>
          </w:p>
        </w:tc>
        <w:tc>
          <w:tcPr>
            <w:tcW w:w="601" w:type="dxa"/>
          </w:tcPr>
          <w:p>
            <w:pPr>
              <w:pStyle w:val="TableParagraph"/>
              <w:spacing w:line="203" w:lineRule="exact"/>
              <w:ind w:left="75" w:right="75"/>
              <w:rPr>
                <w:sz w:val="18"/>
              </w:rPr>
            </w:pPr>
            <w:r>
              <w:rPr>
                <w:color w:val="333333"/>
                <w:sz w:val="18"/>
              </w:rPr>
              <w:t>47</w:t>
            </w:r>
          </w:p>
        </w:tc>
        <w:tc>
          <w:tcPr>
            <w:tcW w:w="600" w:type="dxa"/>
          </w:tcPr>
          <w:p>
            <w:pPr>
              <w:pStyle w:val="TableParagraph"/>
              <w:spacing w:line="203" w:lineRule="exact"/>
              <w:ind w:left="75" w:right="75"/>
              <w:rPr>
                <w:sz w:val="18"/>
              </w:rPr>
            </w:pPr>
            <w:r>
              <w:rPr>
                <w:color w:val="333333"/>
                <w:sz w:val="18"/>
              </w:rPr>
              <w:t>25</w:t>
            </w:r>
          </w:p>
        </w:tc>
        <w:tc>
          <w:tcPr>
            <w:tcW w:w="607" w:type="dxa"/>
          </w:tcPr>
          <w:p>
            <w:pPr>
              <w:pStyle w:val="TableParagraph"/>
              <w:spacing w:line="199" w:lineRule="exact"/>
              <w:ind w:left="148"/>
              <w:jc w:val="left"/>
              <w:rPr>
                <w:b/>
                <w:sz w:val="18"/>
              </w:rPr>
            </w:pPr>
            <w:r>
              <w:rPr>
                <w:b/>
                <w:sz w:val="18"/>
              </w:rPr>
              <w:t>367</w:t>
            </w:r>
          </w:p>
        </w:tc>
      </w:tr>
      <w:tr>
        <w:trPr>
          <w:trHeight w:val="319" w:hRule="exact"/>
        </w:trPr>
        <w:tc>
          <w:tcPr>
            <w:tcW w:w="2801" w:type="dxa"/>
          </w:tcPr>
          <w:p>
            <w:pPr>
              <w:pStyle w:val="TableParagraph"/>
              <w:spacing w:line="203" w:lineRule="exact"/>
              <w:ind w:left="64"/>
              <w:jc w:val="left"/>
              <w:rPr>
                <w:sz w:val="18"/>
              </w:rPr>
            </w:pPr>
            <w:r>
              <w:rPr>
                <w:color w:val="333333"/>
                <w:sz w:val="18"/>
              </w:rPr>
              <w:t>JALTENCO</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1</w:t>
            </w:r>
          </w:p>
        </w:tc>
        <w:tc>
          <w:tcPr>
            <w:tcW w:w="600" w:type="dxa"/>
          </w:tcPr>
          <w:p>
            <w:pPr>
              <w:pStyle w:val="TableParagraph"/>
              <w:spacing w:line="203" w:lineRule="exact"/>
              <w:ind w:left="75" w:right="75"/>
              <w:rPr>
                <w:sz w:val="18"/>
              </w:rPr>
            </w:pPr>
            <w:r>
              <w:rPr>
                <w:color w:val="333333"/>
                <w:sz w:val="18"/>
              </w:rPr>
              <w:t>21</w:t>
            </w:r>
          </w:p>
        </w:tc>
        <w:tc>
          <w:tcPr>
            <w:tcW w:w="600" w:type="dxa"/>
          </w:tcPr>
          <w:p>
            <w:pPr>
              <w:pStyle w:val="TableParagraph"/>
              <w:spacing w:line="203" w:lineRule="exact"/>
              <w:ind w:left="75" w:right="75"/>
              <w:rPr>
                <w:sz w:val="18"/>
              </w:rPr>
            </w:pPr>
            <w:r>
              <w:rPr>
                <w:color w:val="333333"/>
                <w:sz w:val="18"/>
              </w:rPr>
              <w:t>45</w:t>
            </w:r>
          </w:p>
        </w:tc>
        <w:tc>
          <w:tcPr>
            <w:tcW w:w="600" w:type="dxa"/>
          </w:tcPr>
          <w:p>
            <w:pPr>
              <w:pStyle w:val="TableParagraph"/>
              <w:spacing w:line="203" w:lineRule="exact"/>
              <w:ind w:left="75" w:right="75"/>
              <w:rPr>
                <w:sz w:val="18"/>
              </w:rPr>
            </w:pPr>
            <w:r>
              <w:rPr>
                <w:color w:val="333333"/>
                <w:sz w:val="18"/>
              </w:rPr>
              <w:t>17</w:t>
            </w:r>
          </w:p>
        </w:tc>
        <w:tc>
          <w:tcPr>
            <w:tcW w:w="600" w:type="dxa"/>
          </w:tcPr>
          <w:p>
            <w:pPr>
              <w:pStyle w:val="TableParagraph"/>
              <w:spacing w:line="203" w:lineRule="exact"/>
              <w:ind w:left="75" w:right="75"/>
              <w:rPr>
                <w:sz w:val="18"/>
              </w:rPr>
            </w:pPr>
            <w:r>
              <w:rPr>
                <w:color w:val="333333"/>
                <w:sz w:val="18"/>
              </w:rPr>
              <w:t>36</w:t>
            </w:r>
          </w:p>
        </w:tc>
        <w:tc>
          <w:tcPr>
            <w:tcW w:w="600" w:type="dxa"/>
          </w:tcPr>
          <w:p>
            <w:pPr>
              <w:pStyle w:val="TableParagraph"/>
              <w:spacing w:line="203" w:lineRule="exact"/>
              <w:ind w:left="75" w:right="75"/>
              <w:rPr>
                <w:sz w:val="18"/>
              </w:rPr>
            </w:pPr>
            <w:r>
              <w:rPr>
                <w:color w:val="333333"/>
                <w:sz w:val="18"/>
              </w:rPr>
              <w:t>18</w:t>
            </w:r>
          </w:p>
        </w:tc>
        <w:tc>
          <w:tcPr>
            <w:tcW w:w="600" w:type="dxa"/>
          </w:tcPr>
          <w:p>
            <w:pPr>
              <w:pStyle w:val="TableParagraph"/>
              <w:spacing w:line="203" w:lineRule="exact"/>
              <w:ind w:left="75" w:right="75"/>
              <w:rPr>
                <w:sz w:val="18"/>
              </w:rPr>
            </w:pPr>
            <w:r>
              <w:rPr>
                <w:color w:val="333333"/>
                <w:sz w:val="18"/>
              </w:rPr>
              <w:t>51</w:t>
            </w:r>
          </w:p>
        </w:tc>
        <w:tc>
          <w:tcPr>
            <w:tcW w:w="601" w:type="dxa"/>
          </w:tcPr>
          <w:p>
            <w:pPr>
              <w:pStyle w:val="TableParagraph"/>
              <w:spacing w:line="203" w:lineRule="exact"/>
              <w:ind w:left="75" w:right="75"/>
              <w:rPr>
                <w:sz w:val="18"/>
              </w:rPr>
            </w:pPr>
            <w:r>
              <w:rPr>
                <w:color w:val="333333"/>
                <w:sz w:val="18"/>
              </w:rPr>
              <w:t>57</w:t>
            </w:r>
          </w:p>
        </w:tc>
        <w:tc>
          <w:tcPr>
            <w:tcW w:w="600" w:type="dxa"/>
          </w:tcPr>
          <w:p>
            <w:pPr>
              <w:pStyle w:val="TableParagraph"/>
              <w:spacing w:line="203" w:lineRule="exact"/>
              <w:ind w:left="75" w:right="75"/>
              <w:rPr>
                <w:sz w:val="18"/>
              </w:rPr>
            </w:pPr>
            <w:r>
              <w:rPr>
                <w:color w:val="333333"/>
                <w:sz w:val="18"/>
              </w:rPr>
              <w:t>28</w:t>
            </w:r>
          </w:p>
        </w:tc>
        <w:tc>
          <w:tcPr>
            <w:tcW w:w="607" w:type="dxa"/>
          </w:tcPr>
          <w:p>
            <w:pPr>
              <w:pStyle w:val="TableParagraph"/>
              <w:spacing w:line="199" w:lineRule="exact"/>
              <w:ind w:left="148"/>
              <w:jc w:val="left"/>
              <w:rPr>
                <w:b/>
                <w:sz w:val="18"/>
              </w:rPr>
            </w:pPr>
            <w:r>
              <w:rPr>
                <w:b/>
                <w:sz w:val="18"/>
              </w:rPr>
              <w:t>274</w:t>
            </w:r>
          </w:p>
        </w:tc>
      </w:tr>
      <w:tr>
        <w:trPr>
          <w:trHeight w:val="322" w:hRule="exact"/>
        </w:trPr>
        <w:tc>
          <w:tcPr>
            <w:tcW w:w="2801" w:type="dxa"/>
          </w:tcPr>
          <w:p>
            <w:pPr>
              <w:pStyle w:val="TableParagraph"/>
              <w:spacing w:line="203" w:lineRule="exact"/>
              <w:ind w:left="64"/>
              <w:jc w:val="left"/>
              <w:rPr>
                <w:sz w:val="18"/>
              </w:rPr>
            </w:pPr>
            <w:r>
              <w:rPr>
                <w:color w:val="333333"/>
                <w:sz w:val="18"/>
              </w:rPr>
              <w:t>JILOTEPEC</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2</w:t>
            </w:r>
          </w:p>
        </w:tc>
        <w:tc>
          <w:tcPr>
            <w:tcW w:w="600" w:type="dxa"/>
          </w:tcPr>
          <w:p>
            <w:pPr>
              <w:pStyle w:val="TableParagraph"/>
              <w:spacing w:line="203" w:lineRule="exact"/>
              <w:ind w:left="75" w:right="75"/>
              <w:rPr>
                <w:sz w:val="18"/>
              </w:rPr>
            </w:pPr>
            <w:r>
              <w:rPr>
                <w:color w:val="333333"/>
                <w:sz w:val="18"/>
              </w:rPr>
              <w:t>29</w:t>
            </w:r>
          </w:p>
        </w:tc>
        <w:tc>
          <w:tcPr>
            <w:tcW w:w="600" w:type="dxa"/>
          </w:tcPr>
          <w:p>
            <w:pPr>
              <w:pStyle w:val="TableParagraph"/>
              <w:spacing w:line="203" w:lineRule="exact"/>
              <w:ind w:left="75" w:right="75"/>
              <w:rPr>
                <w:sz w:val="18"/>
              </w:rPr>
            </w:pPr>
            <w:r>
              <w:rPr>
                <w:color w:val="333333"/>
                <w:sz w:val="18"/>
              </w:rPr>
              <w:t>49</w:t>
            </w:r>
          </w:p>
        </w:tc>
        <w:tc>
          <w:tcPr>
            <w:tcW w:w="600" w:type="dxa"/>
          </w:tcPr>
          <w:p>
            <w:pPr>
              <w:pStyle w:val="TableParagraph"/>
              <w:spacing w:line="203" w:lineRule="exact"/>
              <w:ind w:left="75" w:right="75"/>
              <w:rPr>
                <w:sz w:val="18"/>
              </w:rPr>
            </w:pPr>
            <w:r>
              <w:rPr>
                <w:color w:val="333333"/>
                <w:sz w:val="18"/>
              </w:rPr>
              <w:t>29</w:t>
            </w:r>
          </w:p>
        </w:tc>
        <w:tc>
          <w:tcPr>
            <w:tcW w:w="600" w:type="dxa"/>
          </w:tcPr>
          <w:p>
            <w:pPr>
              <w:pStyle w:val="TableParagraph"/>
              <w:spacing w:line="203" w:lineRule="exact"/>
              <w:ind w:left="75" w:right="75"/>
              <w:rPr>
                <w:sz w:val="18"/>
              </w:rPr>
            </w:pPr>
            <w:r>
              <w:rPr>
                <w:color w:val="333333"/>
                <w:sz w:val="18"/>
              </w:rPr>
              <w:t>28</w:t>
            </w:r>
          </w:p>
        </w:tc>
        <w:tc>
          <w:tcPr>
            <w:tcW w:w="600" w:type="dxa"/>
          </w:tcPr>
          <w:p>
            <w:pPr>
              <w:pStyle w:val="TableParagraph"/>
              <w:spacing w:line="203" w:lineRule="exact"/>
              <w:ind w:left="75" w:right="75"/>
              <w:rPr>
                <w:sz w:val="18"/>
              </w:rPr>
            </w:pPr>
            <w:r>
              <w:rPr>
                <w:color w:val="333333"/>
                <w:sz w:val="18"/>
              </w:rPr>
              <w:t>36</w:t>
            </w:r>
          </w:p>
        </w:tc>
        <w:tc>
          <w:tcPr>
            <w:tcW w:w="600" w:type="dxa"/>
          </w:tcPr>
          <w:p>
            <w:pPr>
              <w:pStyle w:val="TableParagraph"/>
              <w:spacing w:line="203" w:lineRule="exact"/>
              <w:ind w:left="75" w:right="75"/>
              <w:rPr>
                <w:sz w:val="18"/>
              </w:rPr>
            </w:pPr>
            <w:r>
              <w:rPr>
                <w:color w:val="333333"/>
                <w:sz w:val="18"/>
              </w:rPr>
              <w:t>22</w:t>
            </w:r>
          </w:p>
        </w:tc>
        <w:tc>
          <w:tcPr>
            <w:tcW w:w="601" w:type="dxa"/>
          </w:tcPr>
          <w:p>
            <w:pPr>
              <w:pStyle w:val="TableParagraph"/>
              <w:spacing w:line="203" w:lineRule="exact"/>
              <w:ind w:left="75" w:right="75"/>
              <w:rPr>
                <w:sz w:val="18"/>
              </w:rPr>
            </w:pPr>
            <w:r>
              <w:rPr>
                <w:color w:val="333333"/>
                <w:sz w:val="18"/>
              </w:rPr>
              <w:t>19</w:t>
            </w:r>
          </w:p>
        </w:tc>
        <w:tc>
          <w:tcPr>
            <w:tcW w:w="600" w:type="dxa"/>
          </w:tcPr>
          <w:p>
            <w:pPr>
              <w:pStyle w:val="TableParagraph"/>
              <w:spacing w:line="203" w:lineRule="exact"/>
              <w:ind w:left="75" w:right="75"/>
              <w:rPr>
                <w:sz w:val="18"/>
              </w:rPr>
            </w:pPr>
            <w:r>
              <w:rPr>
                <w:color w:val="333333"/>
                <w:sz w:val="18"/>
              </w:rPr>
              <w:t>24</w:t>
            </w:r>
          </w:p>
        </w:tc>
        <w:tc>
          <w:tcPr>
            <w:tcW w:w="607" w:type="dxa"/>
          </w:tcPr>
          <w:p>
            <w:pPr>
              <w:pStyle w:val="TableParagraph"/>
              <w:spacing w:line="199" w:lineRule="exact"/>
              <w:ind w:left="148"/>
              <w:jc w:val="left"/>
              <w:rPr>
                <w:b/>
                <w:sz w:val="18"/>
              </w:rPr>
            </w:pPr>
            <w:r>
              <w:rPr>
                <w:b/>
                <w:sz w:val="18"/>
              </w:rPr>
              <w:t>238</w:t>
            </w:r>
          </w:p>
        </w:tc>
      </w:tr>
      <w:tr>
        <w:trPr>
          <w:trHeight w:val="319" w:hRule="exact"/>
        </w:trPr>
        <w:tc>
          <w:tcPr>
            <w:tcW w:w="2801" w:type="dxa"/>
          </w:tcPr>
          <w:p>
            <w:pPr>
              <w:pStyle w:val="TableParagraph"/>
              <w:spacing w:line="203" w:lineRule="exact"/>
              <w:ind w:left="64"/>
              <w:jc w:val="left"/>
              <w:rPr>
                <w:sz w:val="18"/>
              </w:rPr>
            </w:pPr>
            <w:r>
              <w:rPr>
                <w:color w:val="333333"/>
                <w:sz w:val="18"/>
              </w:rPr>
              <w:t>JILOTZINGO</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2</w:t>
            </w:r>
          </w:p>
        </w:tc>
        <w:tc>
          <w:tcPr>
            <w:tcW w:w="600" w:type="dxa"/>
          </w:tcPr>
          <w:p>
            <w:pPr>
              <w:pStyle w:val="TableParagraph"/>
              <w:spacing w:line="203" w:lineRule="exact"/>
              <w:ind w:left="75" w:right="75"/>
              <w:rPr>
                <w:sz w:val="18"/>
              </w:rPr>
            </w:pPr>
            <w:r>
              <w:rPr>
                <w:color w:val="333333"/>
                <w:sz w:val="18"/>
              </w:rPr>
              <w:t>16</w:t>
            </w:r>
          </w:p>
        </w:tc>
        <w:tc>
          <w:tcPr>
            <w:tcW w:w="600" w:type="dxa"/>
          </w:tcPr>
          <w:p>
            <w:pPr>
              <w:pStyle w:val="TableParagraph"/>
              <w:spacing w:line="203" w:lineRule="exact"/>
              <w:ind w:left="75" w:right="75"/>
              <w:rPr>
                <w:sz w:val="18"/>
              </w:rPr>
            </w:pPr>
            <w:r>
              <w:rPr>
                <w:color w:val="333333"/>
                <w:sz w:val="18"/>
              </w:rPr>
              <w:t>42</w:t>
            </w:r>
          </w:p>
        </w:tc>
        <w:tc>
          <w:tcPr>
            <w:tcW w:w="600" w:type="dxa"/>
          </w:tcPr>
          <w:p>
            <w:pPr>
              <w:pStyle w:val="TableParagraph"/>
              <w:spacing w:line="203" w:lineRule="exact"/>
              <w:ind w:left="75" w:right="75"/>
              <w:rPr>
                <w:sz w:val="18"/>
              </w:rPr>
            </w:pPr>
            <w:r>
              <w:rPr>
                <w:color w:val="333333"/>
                <w:sz w:val="18"/>
              </w:rPr>
              <w:t>17</w:t>
            </w:r>
          </w:p>
        </w:tc>
        <w:tc>
          <w:tcPr>
            <w:tcW w:w="600" w:type="dxa"/>
          </w:tcPr>
          <w:p>
            <w:pPr>
              <w:pStyle w:val="TableParagraph"/>
              <w:spacing w:line="203" w:lineRule="exact"/>
              <w:ind w:left="75" w:right="75"/>
              <w:rPr>
                <w:sz w:val="18"/>
              </w:rPr>
            </w:pPr>
            <w:r>
              <w:rPr>
                <w:color w:val="333333"/>
                <w:sz w:val="18"/>
              </w:rPr>
              <w:t>18</w:t>
            </w:r>
          </w:p>
        </w:tc>
        <w:tc>
          <w:tcPr>
            <w:tcW w:w="600" w:type="dxa"/>
          </w:tcPr>
          <w:p>
            <w:pPr>
              <w:pStyle w:val="TableParagraph"/>
              <w:spacing w:line="203" w:lineRule="exact"/>
              <w:ind w:left="75" w:right="75"/>
              <w:rPr>
                <w:sz w:val="18"/>
              </w:rPr>
            </w:pPr>
            <w:r>
              <w:rPr>
                <w:color w:val="333333"/>
                <w:sz w:val="18"/>
              </w:rPr>
              <w:t>14</w:t>
            </w:r>
          </w:p>
        </w:tc>
        <w:tc>
          <w:tcPr>
            <w:tcW w:w="600" w:type="dxa"/>
          </w:tcPr>
          <w:p>
            <w:pPr>
              <w:pStyle w:val="TableParagraph"/>
              <w:spacing w:line="203" w:lineRule="exact"/>
              <w:ind w:left="75" w:right="75"/>
              <w:rPr>
                <w:sz w:val="18"/>
              </w:rPr>
            </w:pPr>
            <w:r>
              <w:rPr>
                <w:color w:val="333333"/>
                <w:sz w:val="18"/>
              </w:rPr>
              <w:t>20</w:t>
            </w:r>
          </w:p>
        </w:tc>
        <w:tc>
          <w:tcPr>
            <w:tcW w:w="601" w:type="dxa"/>
          </w:tcPr>
          <w:p>
            <w:pPr>
              <w:pStyle w:val="TableParagraph"/>
              <w:spacing w:line="203" w:lineRule="exact"/>
              <w:ind w:left="75" w:right="75"/>
              <w:rPr>
                <w:sz w:val="18"/>
              </w:rPr>
            </w:pPr>
            <w:r>
              <w:rPr>
                <w:color w:val="333333"/>
                <w:sz w:val="18"/>
              </w:rPr>
              <w:t>12</w:t>
            </w:r>
          </w:p>
        </w:tc>
        <w:tc>
          <w:tcPr>
            <w:tcW w:w="600" w:type="dxa"/>
          </w:tcPr>
          <w:p>
            <w:pPr>
              <w:pStyle w:val="TableParagraph"/>
              <w:spacing w:line="203" w:lineRule="exact"/>
              <w:ind w:left="75" w:right="75"/>
              <w:rPr>
                <w:sz w:val="18"/>
              </w:rPr>
            </w:pPr>
            <w:r>
              <w:rPr>
                <w:color w:val="333333"/>
                <w:sz w:val="18"/>
              </w:rPr>
              <w:t>26</w:t>
            </w:r>
          </w:p>
        </w:tc>
        <w:tc>
          <w:tcPr>
            <w:tcW w:w="607" w:type="dxa"/>
          </w:tcPr>
          <w:p>
            <w:pPr>
              <w:pStyle w:val="TableParagraph"/>
              <w:spacing w:line="199" w:lineRule="exact"/>
              <w:ind w:left="148"/>
              <w:jc w:val="left"/>
              <w:rPr>
                <w:b/>
                <w:sz w:val="18"/>
              </w:rPr>
            </w:pPr>
            <w:r>
              <w:rPr>
                <w:b/>
                <w:sz w:val="18"/>
              </w:rPr>
              <w:t>167</w:t>
            </w:r>
          </w:p>
        </w:tc>
      </w:tr>
      <w:tr>
        <w:trPr>
          <w:trHeight w:val="322" w:hRule="exact"/>
        </w:trPr>
        <w:tc>
          <w:tcPr>
            <w:tcW w:w="2801" w:type="dxa"/>
          </w:tcPr>
          <w:p>
            <w:pPr>
              <w:pStyle w:val="TableParagraph"/>
              <w:spacing w:line="206" w:lineRule="exact"/>
              <w:ind w:left="64"/>
              <w:jc w:val="left"/>
              <w:rPr>
                <w:sz w:val="18"/>
              </w:rPr>
            </w:pPr>
            <w:r>
              <w:rPr>
                <w:color w:val="333333"/>
                <w:sz w:val="18"/>
              </w:rPr>
              <w:t>JIQUIPILCO</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2</w:t>
            </w:r>
          </w:p>
        </w:tc>
        <w:tc>
          <w:tcPr>
            <w:tcW w:w="600" w:type="dxa"/>
          </w:tcPr>
          <w:p>
            <w:pPr>
              <w:pStyle w:val="TableParagraph"/>
              <w:spacing w:line="206" w:lineRule="exact"/>
              <w:ind w:left="75" w:right="75"/>
              <w:rPr>
                <w:sz w:val="18"/>
              </w:rPr>
            </w:pPr>
            <w:r>
              <w:rPr>
                <w:color w:val="333333"/>
                <w:sz w:val="18"/>
              </w:rPr>
              <w:t>15</w:t>
            </w:r>
          </w:p>
        </w:tc>
        <w:tc>
          <w:tcPr>
            <w:tcW w:w="600" w:type="dxa"/>
          </w:tcPr>
          <w:p>
            <w:pPr>
              <w:pStyle w:val="TableParagraph"/>
              <w:spacing w:line="206" w:lineRule="exact"/>
              <w:ind w:left="75" w:right="75"/>
              <w:rPr>
                <w:sz w:val="18"/>
              </w:rPr>
            </w:pPr>
            <w:r>
              <w:rPr>
                <w:color w:val="333333"/>
                <w:sz w:val="18"/>
              </w:rPr>
              <w:t>53</w:t>
            </w:r>
          </w:p>
        </w:tc>
        <w:tc>
          <w:tcPr>
            <w:tcW w:w="600" w:type="dxa"/>
          </w:tcPr>
          <w:p>
            <w:pPr>
              <w:pStyle w:val="TableParagraph"/>
              <w:spacing w:line="206" w:lineRule="exact"/>
              <w:ind w:left="75" w:right="75"/>
              <w:rPr>
                <w:sz w:val="18"/>
              </w:rPr>
            </w:pPr>
            <w:r>
              <w:rPr>
                <w:color w:val="333333"/>
                <w:sz w:val="18"/>
              </w:rPr>
              <w:t>26</w:t>
            </w:r>
          </w:p>
        </w:tc>
        <w:tc>
          <w:tcPr>
            <w:tcW w:w="600" w:type="dxa"/>
          </w:tcPr>
          <w:p>
            <w:pPr>
              <w:pStyle w:val="TableParagraph"/>
              <w:spacing w:line="206" w:lineRule="exact"/>
              <w:ind w:left="75" w:right="75"/>
              <w:rPr>
                <w:sz w:val="18"/>
              </w:rPr>
            </w:pPr>
            <w:r>
              <w:rPr>
                <w:color w:val="333333"/>
                <w:sz w:val="18"/>
              </w:rPr>
              <w:t>29</w:t>
            </w:r>
          </w:p>
        </w:tc>
        <w:tc>
          <w:tcPr>
            <w:tcW w:w="600" w:type="dxa"/>
          </w:tcPr>
          <w:p>
            <w:pPr>
              <w:pStyle w:val="TableParagraph"/>
              <w:spacing w:line="206" w:lineRule="exact"/>
              <w:ind w:left="75" w:right="75"/>
              <w:rPr>
                <w:sz w:val="18"/>
              </w:rPr>
            </w:pPr>
            <w:r>
              <w:rPr>
                <w:color w:val="333333"/>
                <w:sz w:val="18"/>
              </w:rPr>
              <w:t>32</w:t>
            </w:r>
          </w:p>
        </w:tc>
        <w:tc>
          <w:tcPr>
            <w:tcW w:w="600" w:type="dxa"/>
          </w:tcPr>
          <w:p>
            <w:pPr>
              <w:pStyle w:val="TableParagraph"/>
              <w:spacing w:line="206" w:lineRule="exact"/>
              <w:ind w:left="75" w:right="75"/>
              <w:rPr>
                <w:sz w:val="18"/>
              </w:rPr>
            </w:pPr>
            <w:r>
              <w:rPr>
                <w:color w:val="333333"/>
                <w:sz w:val="18"/>
              </w:rPr>
              <w:t>34</w:t>
            </w:r>
          </w:p>
        </w:tc>
        <w:tc>
          <w:tcPr>
            <w:tcW w:w="601" w:type="dxa"/>
          </w:tcPr>
          <w:p>
            <w:pPr>
              <w:pStyle w:val="TableParagraph"/>
              <w:spacing w:line="206" w:lineRule="exact"/>
              <w:ind w:left="75" w:right="75"/>
              <w:rPr>
                <w:sz w:val="18"/>
              </w:rPr>
            </w:pPr>
            <w:r>
              <w:rPr>
                <w:color w:val="333333"/>
                <w:sz w:val="18"/>
              </w:rPr>
              <w:t>23</w:t>
            </w:r>
          </w:p>
        </w:tc>
        <w:tc>
          <w:tcPr>
            <w:tcW w:w="600" w:type="dxa"/>
          </w:tcPr>
          <w:p>
            <w:pPr>
              <w:pStyle w:val="TableParagraph"/>
              <w:spacing w:line="206" w:lineRule="exact"/>
              <w:ind w:left="75" w:right="75"/>
              <w:rPr>
                <w:sz w:val="18"/>
              </w:rPr>
            </w:pPr>
            <w:r>
              <w:rPr>
                <w:color w:val="333333"/>
                <w:sz w:val="18"/>
              </w:rPr>
              <w:t>50</w:t>
            </w:r>
          </w:p>
        </w:tc>
        <w:tc>
          <w:tcPr>
            <w:tcW w:w="607" w:type="dxa"/>
          </w:tcPr>
          <w:p>
            <w:pPr>
              <w:pStyle w:val="TableParagraph"/>
              <w:spacing w:line="201" w:lineRule="exact"/>
              <w:ind w:left="148"/>
              <w:jc w:val="left"/>
              <w:rPr>
                <w:b/>
                <w:sz w:val="18"/>
              </w:rPr>
            </w:pPr>
            <w:r>
              <w:rPr>
                <w:b/>
                <w:sz w:val="18"/>
              </w:rPr>
              <w:t>264</w:t>
            </w:r>
          </w:p>
        </w:tc>
      </w:tr>
      <w:tr>
        <w:trPr>
          <w:trHeight w:val="319" w:hRule="exact"/>
        </w:trPr>
        <w:tc>
          <w:tcPr>
            <w:tcW w:w="2801" w:type="dxa"/>
          </w:tcPr>
          <w:p>
            <w:pPr>
              <w:pStyle w:val="TableParagraph"/>
              <w:spacing w:line="203" w:lineRule="exact"/>
              <w:ind w:left="64"/>
              <w:jc w:val="left"/>
              <w:rPr>
                <w:sz w:val="18"/>
              </w:rPr>
            </w:pPr>
            <w:r>
              <w:rPr>
                <w:color w:val="333333"/>
                <w:sz w:val="18"/>
              </w:rPr>
              <w:t>JOCOTITLAN</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1</w:t>
            </w:r>
          </w:p>
        </w:tc>
        <w:tc>
          <w:tcPr>
            <w:tcW w:w="600" w:type="dxa"/>
          </w:tcPr>
          <w:p>
            <w:pPr>
              <w:pStyle w:val="TableParagraph"/>
              <w:spacing w:line="203" w:lineRule="exact"/>
              <w:ind w:left="75" w:right="75"/>
              <w:rPr>
                <w:sz w:val="18"/>
              </w:rPr>
            </w:pPr>
            <w:r>
              <w:rPr>
                <w:color w:val="333333"/>
                <w:sz w:val="18"/>
              </w:rPr>
              <w:t>16</w:t>
            </w:r>
          </w:p>
        </w:tc>
        <w:tc>
          <w:tcPr>
            <w:tcW w:w="600" w:type="dxa"/>
          </w:tcPr>
          <w:p>
            <w:pPr>
              <w:pStyle w:val="TableParagraph"/>
              <w:spacing w:line="203" w:lineRule="exact"/>
              <w:ind w:left="75" w:right="75"/>
              <w:rPr>
                <w:sz w:val="18"/>
              </w:rPr>
            </w:pPr>
            <w:r>
              <w:rPr>
                <w:color w:val="333333"/>
                <w:sz w:val="18"/>
              </w:rPr>
              <w:t>17</w:t>
            </w:r>
          </w:p>
        </w:tc>
        <w:tc>
          <w:tcPr>
            <w:tcW w:w="600" w:type="dxa"/>
          </w:tcPr>
          <w:p>
            <w:pPr>
              <w:pStyle w:val="TableParagraph"/>
              <w:spacing w:line="203" w:lineRule="exact"/>
              <w:ind w:left="75" w:right="75"/>
              <w:rPr>
                <w:sz w:val="18"/>
              </w:rPr>
            </w:pPr>
            <w:r>
              <w:rPr>
                <w:color w:val="333333"/>
                <w:sz w:val="18"/>
              </w:rPr>
              <w:t>49</w:t>
            </w:r>
          </w:p>
        </w:tc>
        <w:tc>
          <w:tcPr>
            <w:tcW w:w="600" w:type="dxa"/>
          </w:tcPr>
          <w:p>
            <w:pPr>
              <w:pStyle w:val="TableParagraph"/>
              <w:spacing w:line="203" w:lineRule="exact"/>
              <w:ind w:left="75" w:right="75"/>
              <w:rPr>
                <w:sz w:val="18"/>
              </w:rPr>
            </w:pPr>
            <w:r>
              <w:rPr>
                <w:color w:val="333333"/>
                <w:sz w:val="18"/>
              </w:rPr>
              <w:t>20</w:t>
            </w:r>
          </w:p>
        </w:tc>
        <w:tc>
          <w:tcPr>
            <w:tcW w:w="600" w:type="dxa"/>
          </w:tcPr>
          <w:p>
            <w:pPr>
              <w:pStyle w:val="TableParagraph"/>
              <w:spacing w:line="203" w:lineRule="exact"/>
              <w:ind w:left="75" w:right="75"/>
              <w:rPr>
                <w:sz w:val="18"/>
              </w:rPr>
            </w:pPr>
            <w:r>
              <w:rPr>
                <w:color w:val="333333"/>
                <w:sz w:val="18"/>
              </w:rPr>
              <w:t>15</w:t>
            </w:r>
          </w:p>
        </w:tc>
        <w:tc>
          <w:tcPr>
            <w:tcW w:w="600" w:type="dxa"/>
          </w:tcPr>
          <w:p>
            <w:pPr>
              <w:pStyle w:val="TableParagraph"/>
              <w:spacing w:line="203" w:lineRule="exact"/>
              <w:ind w:left="75" w:right="75"/>
              <w:rPr>
                <w:sz w:val="18"/>
              </w:rPr>
            </w:pPr>
            <w:r>
              <w:rPr>
                <w:color w:val="333333"/>
                <w:sz w:val="18"/>
              </w:rPr>
              <w:t>15</w:t>
            </w:r>
          </w:p>
        </w:tc>
        <w:tc>
          <w:tcPr>
            <w:tcW w:w="601" w:type="dxa"/>
          </w:tcPr>
          <w:p>
            <w:pPr>
              <w:pStyle w:val="TableParagraph"/>
              <w:spacing w:line="203" w:lineRule="exact"/>
              <w:rPr>
                <w:sz w:val="18"/>
              </w:rPr>
            </w:pPr>
            <w:r>
              <w:rPr>
                <w:color w:val="333333"/>
                <w:w w:val="99"/>
                <w:sz w:val="18"/>
              </w:rPr>
              <w:t>9</w:t>
            </w:r>
          </w:p>
        </w:tc>
        <w:tc>
          <w:tcPr>
            <w:tcW w:w="600" w:type="dxa"/>
          </w:tcPr>
          <w:p>
            <w:pPr>
              <w:pStyle w:val="TableParagraph"/>
              <w:spacing w:line="203" w:lineRule="exact"/>
              <w:ind w:left="75" w:right="75"/>
              <w:rPr>
                <w:sz w:val="18"/>
              </w:rPr>
            </w:pPr>
            <w:r>
              <w:rPr>
                <w:color w:val="333333"/>
                <w:sz w:val="18"/>
              </w:rPr>
              <w:t>23</w:t>
            </w:r>
          </w:p>
        </w:tc>
        <w:tc>
          <w:tcPr>
            <w:tcW w:w="607" w:type="dxa"/>
          </w:tcPr>
          <w:p>
            <w:pPr>
              <w:pStyle w:val="TableParagraph"/>
              <w:spacing w:line="199" w:lineRule="exact"/>
              <w:ind w:left="148"/>
              <w:jc w:val="left"/>
              <w:rPr>
                <w:b/>
                <w:sz w:val="18"/>
              </w:rPr>
            </w:pPr>
            <w:r>
              <w:rPr>
                <w:b/>
                <w:sz w:val="18"/>
              </w:rPr>
              <w:t>165</w:t>
            </w:r>
          </w:p>
        </w:tc>
      </w:tr>
      <w:tr>
        <w:trPr>
          <w:trHeight w:val="322" w:hRule="exact"/>
        </w:trPr>
        <w:tc>
          <w:tcPr>
            <w:tcW w:w="2801" w:type="dxa"/>
          </w:tcPr>
          <w:p>
            <w:pPr>
              <w:pStyle w:val="TableParagraph"/>
              <w:spacing w:line="206" w:lineRule="exact"/>
              <w:ind w:left="64"/>
              <w:jc w:val="left"/>
              <w:rPr>
                <w:sz w:val="18"/>
              </w:rPr>
            </w:pPr>
            <w:r>
              <w:rPr>
                <w:color w:val="333333"/>
                <w:sz w:val="18"/>
              </w:rPr>
              <w:t>JOQUICINGO</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5</w:t>
            </w:r>
          </w:p>
        </w:tc>
        <w:tc>
          <w:tcPr>
            <w:tcW w:w="600" w:type="dxa"/>
          </w:tcPr>
          <w:p>
            <w:pPr>
              <w:pStyle w:val="TableParagraph"/>
              <w:spacing w:line="206" w:lineRule="exact"/>
              <w:ind w:right="1"/>
              <w:rPr>
                <w:sz w:val="18"/>
              </w:rPr>
            </w:pPr>
            <w:r>
              <w:rPr>
                <w:color w:val="333333"/>
                <w:w w:val="99"/>
                <w:sz w:val="18"/>
              </w:rPr>
              <w:t>9</w:t>
            </w:r>
          </w:p>
        </w:tc>
        <w:tc>
          <w:tcPr>
            <w:tcW w:w="600" w:type="dxa"/>
          </w:tcPr>
          <w:p>
            <w:pPr>
              <w:pStyle w:val="TableParagraph"/>
              <w:spacing w:line="206" w:lineRule="exact"/>
              <w:ind w:left="75" w:right="75"/>
              <w:rPr>
                <w:sz w:val="18"/>
              </w:rPr>
            </w:pPr>
            <w:r>
              <w:rPr>
                <w:color w:val="333333"/>
                <w:sz w:val="18"/>
              </w:rPr>
              <w:t>20</w:t>
            </w:r>
          </w:p>
        </w:tc>
        <w:tc>
          <w:tcPr>
            <w:tcW w:w="600" w:type="dxa"/>
          </w:tcPr>
          <w:p>
            <w:pPr>
              <w:pStyle w:val="TableParagraph"/>
              <w:spacing w:line="206" w:lineRule="exact"/>
              <w:ind w:left="75" w:right="75"/>
              <w:rPr>
                <w:sz w:val="18"/>
              </w:rPr>
            </w:pPr>
            <w:r>
              <w:rPr>
                <w:color w:val="333333"/>
                <w:sz w:val="18"/>
              </w:rPr>
              <w:t>17</w:t>
            </w:r>
          </w:p>
        </w:tc>
        <w:tc>
          <w:tcPr>
            <w:tcW w:w="600" w:type="dxa"/>
          </w:tcPr>
          <w:p>
            <w:pPr>
              <w:pStyle w:val="TableParagraph"/>
              <w:spacing w:line="206" w:lineRule="exact"/>
              <w:ind w:left="75" w:right="75"/>
              <w:rPr>
                <w:sz w:val="18"/>
              </w:rPr>
            </w:pPr>
            <w:r>
              <w:rPr>
                <w:color w:val="333333"/>
                <w:sz w:val="18"/>
              </w:rPr>
              <w:t>12</w:t>
            </w:r>
          </w:p>
        </w:tc>
        <w:tc>
          <w:tcPr>
            <w:tcW w:w="600" w:type="dxa"/>
          </w:tcPr>
          <w:p>
            <w:pPr>
              <w:pStyle w:val="TableParagraph"/>
              <w:spacing w:line="206" w:lineRule="exact"/>
              <w:ind w:left="75" w:right="75"/>
              <w:rPr>
                <w:sz w:val="18"/>
              </w:rPr>
            </w:pPr>
            <w:r>
              <w:rPr>
                <w:color w:val="333333"/>
                <w:sz w:val="18"/>
              </w:rPr>
              <w:t>14</w:t>
            </w:r>
          </w:p>
        </w:tc>
        <w:tc>
          <w:tcPr>
            <w:tcW w:w="601" w:type="dxa"/>
          </w:tcPr>
          <w:p>
            <w:pPr>
              <w:pStyle w:val="TableParagraph"/>
              <w:spacing w:line="206" w:lineRule="exact"/>
              <w:ind w:left="75" w:right="75"/>
              <w:rPr>
                <w:sz w:val="18"/>
              </w:rPr>
            </w:pPr>
            <w:r>
              <w:rPr>
                <w:color w:val="333333"/>
                <w:sz w:val="18"/>
              </w:rPr>
              <w:t>15</w:t>
            </w:r>
          </w:p>
        </w:tc>
        <w:tc>
          <w:tcPr>
            <w:tcW w:w="600" w:type="dxa"/>
          </w:tcPr>
          <w:p>
            <w:pPr>
              <w:pStyle w:val="TableParagraph"/>
              <w:spacing w:line="206" w:lineRule="exact"/>
              <w:ind w:left="75" w:right="75"/>
              <w:rPr>
                <w:sz w:val="18"/>
              </w:rPr>
            </w:pPr>
            <w:r>
              <w:rPr>
                <w:color w:val="333333"/>
                <w:sz w:val="18"/>
              </w:rPr>
              <w:t>13</w:t>
            </w:r>
          </w:p>
        </w:tc>
        <w:tc>
          <w:tcPr>
            <w:tcW w:w="607" w:type="dxa"/>
          </w:tcPr>
          <w:p>
            <w:pPr>
              <w:pStyle w:val="TableParagraph"/>
              <w:spacing w:line="201" w:lineRule="exact"/>
              <w:ind w:left="148"/>
              <w:jc w:val="left"/>
              <w:rPr>
                <w:b/>
                <w:sz w:val="18"/>
              </w:rPr>
            </w:pPr>
            <w:r>
              <w:rPr>
                <w:b/>
                <w:sz w:val="18"/>
              </w:rPr>
              <w:t>105</w:t>
            </w:r>
          </w:p>
        </w:tc>
      </w:tr>
      <w:tr>
        <w:trPr>
          <w:trHeight w:val="322" w:hRule="exact"/>
        </w:trPr>
        <w:tc>
          <w:tcPr>
            <w:tcW w:w="2801" w:type="dxa"/>
          </w:tcPr>
          <w:p>
            <w:pPr>
              <w:pStyle w:val="TableParagraph"/>
              <w:spacing w:line="203" w:lineRule="exact"/>
              <w:ind w:left="64"/>
              <w:jc w:val="left"/>
              <w:rPr>
                <w:sz w:val="18"/>
              </w:rPr>
            </w:pPr>
            <w:r>
              <w:rPr>
                <w:color w:val="333333"/>
                <w:sz w:val="18"/>
              </w:rPr>
              <w:t>JUCHITEPEC</w:t>
            </w:r>
          </w:p>
        </w:tc>
        <w:tc>
          <w:tcPr>
            <w:tcW w:w="601" w:type="dxa"/>
          </w:tcPr>
          <w:p>
            <w:pPr>
              <w:pStyle w:val="TableParagraph"/>
              <w:spacing w:line="203" w:lineRule="exact"/>
              <w:ind w:left="75" w:right="75"/>
              <w:rPr>
                <w:sz w:val="18"/>
              </w:rPr>
            </w:pPr>
            <w:r>
              <w:rPr>
                <w:color w:val="333333"/>
                <w:sz w:val="18"/>
              </w:rPr>
              <w:t>13</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3</w:t>
            </w:r>
          </w:p>
        </w:tc>
        <w:tc>
          <w:tcPr>
            <w:tcW w:w="600" w:type="dxa"/>
          </w:tcPr>
          <w:p>
            <w:pPr>
              <w:pStyle w:val="TableParagraph"/>
              <w:spacing w:line="203" w:lineRule="exact"/>
              <w:ind w:left="75" w:right="75"/>
              <w:rPr>
                <w:sz w:val="18"/>
              </w:rPr>
            </w:pPr>
            <w:r>
              <w:rPr>
                <w:color w:val="333333"/>
                <w:sz w:val="18"/>
              </w:rPr>
              <w:t>26</w:t>
            </w:r>
          </w:p>
        </w:tc>
        <w:tc>
          <w:tcPr>
            <w:tcW w:w="600" w:type="dxa"/>
          </w:tcPr>
          <w:p>
            <w:pPr>
              <w:pStyle w:val="TableParagraph"/>
              <w:spacing w:line="203" w:lineRule="exact"/>
              <w:ind w:left="75" w:right="75"/>
              <w:rPr>
                <w:sz w:val="18"/>
              </w:rPr>
            </w:pPr>
            <w:r>
              <w:rPr>
                <w:color w:val="333333"/>
                <w:sz w:val="18"/>
              </w:rPr>
              <w:t>39</w:t>
            </w:r>
          </w:p>
        </w:tc>
        <w:tc>
          <w:tcPr>
            <w:tcW w:w="600" w:type="dxa"/>
          </w:tcPr>
          <w:p>
            <w:pPr>
              <w:pStyle w:val="TableParagraph"/>
              <w:spacing w:line="203" w:lineRule="exact"/>
              <w:ind w:left="75" w:right="75"/>
              <w:rPr>
                <w:sz w:val="18"/>
              </w:rPr>
            </w:pPr>
            <w:r>
              <w:rPr>
                <w:color w:val="333333"/>
                <w:sz w:val="18"/>
              </w:rPr>
              <w:t>33</w:t>
            </w:r>
          </w:p>
        </w:tc>
        <w:tc>
          <w:tcPr>
            <w:tcW w:w="600" w:type="dxa"/>
          </w:tcPr>
          <w:p>
            <w:pPr>
              <w:pStyle w:val="TableParagraph"/>
              <w:spacing w:line="203" w:lineRule="exact"/>
              <w:ind w:left="75" w:right="75"/>
              <w:rPr>
                <w:sz w:val="18"/>
              </w:rPr>
            </w:pPr>
            <w:r>
              <w:rPr>
                <w:color w:val="333333"/>
                <w:sz w:val="18"/>
              </w:rPr>
              <w:t>23</w:t>
            </w:r>
          </w:p>
        </w:tc>
        <w:tc>
          <w:tcPr>
            <w:tcW w:w="600" w:type="dxa"/>
          </w:tcPr>
          <w:p>
            <w:pPr>
              <w:pStyle w:val="TableParagraph"/>
              <w:spacing w:line="203" w:lineRule="exact"/>
              <w:ind w:left="75" w:right="75"/>
              <w:rPr>
                <w:sz w:val="18"/>
              </w:rPr>
            </w:pPr>
            <w:r>
              <w:rPr>
                <w:color w:val="333333"/>
                <w:sz w:val="18"/>
              </w:rPr>
              <w:t>15</w:t>
            </w:r>
          </w:p>
        </w:tc>
        <w:tc>
          <w:tcPr>
            <w:tcW w:w="600" w:type="dxa"/>
          </w:tcPr>
          <w:p>
            <w:pPr>
              <w:pStyle w:val="TableParagraph"/>
              <w:spacing w:line="203" w:lineRule="exact"/>
              <w:ind w:left="75" w:right="75"/>
              <w:rPr>
                <w:sz w:val="18"/>
              </w:rPr>
            </w:pPr>
            <w:r>
              <w:rPr>
                <w:color w:val="333333"/>
                <w:sz w:val="18"/>
              </w:rPr>
              <w:t>55</w:t>
            </w:r>
          </w:p>
        </w:tc>
        <w:tc>
          <w:tcPr>
            <w:tcW w:w="601" w:type="dxa"/>
          </w:tcPr>
          <w:p>
            <w:pPr>
              <w:pStyle w:val="TableParagraph"/>
              <w:spacing w:line="203" w:lineRule="exact"/>
              <w:ind w:left="75" w:right="75"/>
              <w:rPr>
                <w:sz w:val="18"/>
              </w:rPr>
            </w:pPr>
            <w:r>
              <w:rPr>
                <w:color w:val="333333"/>
                <w:sz w:val="18"/>
              </w:rPr>
              <w:t>18</w:t>
            </w:r>
          </w:p>
        </w:tc>
        <w:tc>
          <w:tcPr>
            <w:tcW w:w="600" w:type="dxa"/>
          </w:tcPr>
          <w:p>
            <w:pPr>
              <w:pStyle w:val="TableParagraph"/>
              <w:spacing w:line="203" w:lineRule="exact"/>
              <w:ind w:left="75" w:right="75"/>
              <w:rPr>
                <w:sz w:val="18"/>
              </w:rPr>
            </w:pPr>
            <w:r>
              <w:rPr>
                <w:color w:val="333333"/>
                <w:sz w:val="18"/>
              </w:rPr>
              <w:t>17</w:t>
            </w:r>
          </w:p>
        </w:tc>
        <w:tc>
          <w:tcPr>
            <w:tcW w:w="607" w:type="dxa"/>
          </w:tcPr>
          <w:p>
            <w:pPr>
              <w:pStyle w:val="TableParagraph"/>
              <w:spacing w:line="199" w:lineRule="exact"/>
              <w:ind w:left="148"/>
              <w:jc w:val="left"/>
              <w:rPr>
                <w:b/>
                <w:sz w:val="18"/>
              </w:rPr>
            </w:pPr>
            <w:r>
              <w:rPr>
                <w:b/>
                <w:sz w:val="18"/>
              </w:rPr>
              <w:t>242</w:t>
            </w:r>
          </w:p>
        </w:tc>
      </w:tr>
      <w:tr>
        <w:trPr>
          <w:trHeight w:val="319" w:hRule="exact"/>
        </w:trPr>
        <w:tc>
          <w:tcPr>
            <w:tcW w:w="2801" w:type="dxa"/>
          </w:tcPr>
          <w:p>
            <w:pPr>
              <w:pStyle w:val="TableParagraph"/>
              <w:spacing w:line="203" w:lineRule="exact"/>
              <w:ind w:left="64"/>
              <w:jc w:val="left"/>
              <w:rPr>
                <w:sz w:val="18"/>
              </w:rPr>
            </w:pPr>
            <w:r>
              <w:rPr>
                <w:color w:val="333333"/>
                <w:sz w:val="18"/>
              </w:rPr>
              <w:t>LA PAZ</w:t>
            </w:r>
          </w:p>
        </w:tc>
        <w:tc>
          <w:tcPr>
            <w:tcW w:w="601" w:type="dxa"/>
          </w:tcPr>
          <w:p>
            <w:pPr>
              <w:pStyle w:val="TableParagraph"/>
              <w:spacing w:line="203" w:lineRule="exact"/>
              <w:rPr>
                <w:sz w:val="18"/>
              </w:rPr>
            </w:pPr>
            <w:r>
              <w:rPr>
                <w:color w:val="333333"/>
                <w:w w:val="99"/>
                <w:sz w:val="18"/>
              </w:rPr>
              <w:t>1</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8</w:t>
            </w:r>
          </w:p>
        </w:tc>
        <w:tc>
          <w:tcPr>
            <w:tcW w:w="600" w:type="dxa"/>
          </w:tcPr>
          <w:p>
            <w:pPr>
              <w:pStyle w:val="TableParagraph"/>
              <w:spacing w:line="203" w:lineRule="exact"/>
              <w:ind w:left="75" w:right="75"/>
              <w:rPr>
                <w:sz w:val="18"/>
              </w:rPr>
            </w:pPr>
            <w:r>
              <w:rPr>
                <w:color w:val="333333"/>
                <w:sz w:val="18"/>
              </w:rPr>
              <w:t>35</w:t>
            </w:r>
          </w:p>
        </w:tc>
        <w:tc>
          <w:tcPr>
            <w:tcW w:w="600" w:type="dxa"/>
          </w:tcPr>
          <w:p>
            <w:pPr>
              <w:pStyle w:val="TableParagraph"/>
              <w:spacing w:line="203" w:lineRule="exact"/>
              <w:ind w:left="75" w:right="75"/>
              <w:rPr>
                <w:sz w:val="18"/>
              </w:rPr>
            </w:pPr>
            <w:r>
              <w:rPr>
                <w:color w:val="333333"/>
                <w:sz w:val="18"/>
              </w:rPr>
              <w:t>64</w:t>
            </w:r>
          </w:p>
        </w:tc>
        <w:tc>
          <w:tcPr>
            <w:tcW w:w="600" w:type="dxa"/>
          </w:tcPr>
          <w:p>
            <w:pPr>
              <w:pStyle w:val="TableParagraph"/>
              <w:spacing w:line="203" w:lineRule="exact"/>
              <w:ind w:left="75" w:right="75"/>
              <w:rPr>
                <w:sz w:val="18"/>
              </w:rPr>
            </w:pPr>
            <w:r>
              <w:rPr>
                <w:color w:val="333333"/>
                <w:sz w:val="18"/>
              </w:rPr>
              <w:t>123</w:t>
            </w:r>
          </w:p>
        </w:tc>
        <w:tc>
          <w:tcPr>
            <w:tcW w:w="600" w:type="dxa"/>
          </w:tcPr>
          <w:p>
            <w:pPr>
              <w:pStyle w:val="TableParagraph"/>
              <w:spacing w:line="203" w:lineRule="exact"/>
              <w:ind w:left="75" w:right="75"/>
              <w:rPr>
                <w:sz w:val="18"/>
              </w:rPr>
            </w:pPr>
            <w:r>
              <w:rPr>
                <w:color w:val="333333"/>
                <w:sz w:val="18"/>
              </w:rPr>
              <w:t>74</w:t>
            </w:r>
          </w:p>
        </w:tc>
        <w:tc>
          <w:tcPr>
            <w:tcW w:w="600" w:type="dxa"/>
          </w:tcPr>
          <w:p>
            <w:pPr>
              <w:pStyle w:val="TableParagraph"/>
              <w:spacing w:line="203" w:lineRule="exact"/>
              <w:ind w:left="75" w:right="75"/>
              <w:rPr>
                <w:sz w:val="18"/>
              </w:rPr>
            </w:pPr>
            <w:r>
              <w:rPr>
                <w:color w:val="333333"/>
                <w:sz w:val="18"/>
              </w:rPr>
              <w:t>45</w:t>
            </w:r>
          </w:p>
        </w:tc>
        <w:tc>
          <w:tcPr>
            <w:tcW w:w="600" w:type="dxa"/>
          </w:tcPr>
          <w:p>
            <w:pPr>
              <w:pStyle w:val="TableParagraph"/>
              <w:spacing w:line="203" w:lineRule="exact"/>
              <w:ind w:left="75" w:right="75"/>
              <w:rPr>
                <w:sz w:val="18"/>
              </w:rPr>
            </w:pPr>
            <w:r>
              <w:rPr>
                <w:color w:val="333333"/>
                <w:sz w:val="18"/>
              </w:rPr>
              <w:t>170</w:t>
            </w:r>
          </w:p>
        </w:tc>
        <w:tc>
          <w:tcPr>
            <w:tcW w:w="601" w:type="dxa"/>
          </w:tcPr>
          <w:p>
            <w:pPr>
              <w:pStyle w:val="TableParagraph"/>
              <w:spacing w:line="203" w:lineRule="exact"/>
              <w:ind w:left="75" w:right="75"/>
              <w:rPr>
                <w:sz w:val="18"/>
              </w:rPr>
            </w:pPr>
            <w:r>
              <w:rPr>
                <w:color w:val="333333"/>
                <w:sz w:val="18"/>
              </w:rPr>
              <w:t>136</w:t>
            </w:r>
          </w:p>
        </w:tc>
        <w:tc>
          <w:tcPr>
            <w:tcW w:w="600" w:type="dxa"/>
          </w:tcPr>
          <w:p>
            <w:pPr>
              <w:pStyle w:val="TableParagraph"/>
              <w:spacing w:line="203" w:lineRule="exact"/>
              <w:ind w:left="75" w:right="75"/>
              <w:rPr>
                <w:sz w:val="18"/>
              </w:rPr>
            </w:pPr>
            <w:r>
              <w:rPr>
                <w:color w:val="333333"/>
                <w:sz w:val="18"/>
              </w:rPr>
              <w:t>55</w:t>
            </w:r>
          </w:p>
        </w:tc>
        <w:tc>
          <w:tcPr>
            <w:tcW w:w="607" w:type="dxa"/>
          </w:tcPr>
          <w:p>
            <w:pPr>
              <w:pStyle w:val="TableParagraph"/>
              <w:spacing w:line="199" w:lineRule="exact"/>
              <w:ind w:left="148"/>
              <w:jc w:val="left"/>
              <w:rPr>
                <w:b/>
                <w:sz w:val="18"/>
              </w:rPr>
            </w:pPr>
            <w:r>
              <w:rPr>
                <w:b/>
                <w:sz w:val="18"/>
              </w:rPr>
              <w:t>711</w:t>
            </w:r>
          </w:p>
        </w:tc>
      </w:tr>
      <w:tr>
        <w:trPr>
          <w:trHeight w:val="322" w:hRule="exact"/>
        </w:trPr>
        <w:tc>
          <w:tcPr>
            <w:tcW w:w="2801" w:type="dxa"/>
          </w:tcPr>
          <w:p>
            <w:pPr>
              <w:pStyle w:val="TableParagraph"/>
              <w:spacing w:line="203" w:lineRule="exact"/>
              <w:ind w:left="64"/>
              <w:jc w:val="left"/>
              <w:rPr>
                <w:sz w:val="18"/>
              </w:rPr>
            </w:pPr>
            <w:r>
              <w:rPr>
                <w:color w:val="333333"/>
                <w:sz w:val="18"/>
              </w:rPr>
              <w:t>LERMA</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left="75" w:right="75"/>
              <w:rPr>
                <w:sz w:val="18"/>
              </w:rPr>
            </w:pPr>
            <w:r>
              <w:rPr>
                <w:color w:val="333333"/>
                <w:sz w:val="18"/>
              </w:rPr>
              <w:t>24</w:t>
            </w:r>
          </w:p>
        </w:tc>
        <w:tc>
          <w:tcPr>
            <w:tcW w:w="600" w:type="dxa"/>
          </w:tcPr>
          <w:p>
            <w:pPr>
              <w:pStyle w:val="TableParagraph"/>
              <w:spacing w:line="203" w:lineRule="exact"/>
              <w:ind w:left="75" w:right="75"/>
              <w:rPr>
                <w:sz w:val="18"/>
              </w:rPr>
            </w:pPr>
            <w:r>
              <w:rPr>
                <w:color w:val="333333"/>
                <w:sz w:val="18"/>
              </w:rPr>
              <w:t>55</w:t>
            </w:r>
          </w:p>
        </w:tc>
        <w:tc>
          <w:tcPr>
            <w:tcW w:w="600" w:type="dxa"/>
          </w:tcPr>
          <w:p>
            <w:pPr>
              <w:pStyle w:val="TableParagraph"/>
              <w:spacing w:line="203" w:lineRule="exact"/>
              <w:ind w:left="75" w:right="75"/>
              <w:rPr>
                <w:sz w:val="18"/>
              </w:rPr>
            </w:pPr>
            <w:r>
              <w:rPr>
                <w:color w:val="333333"/>
                <w:sz w:val="18"/>
              </w:rPr>
              <w:t>118</w:t>
            </w:r>
          </w:p>
        </w:tc>
        <w:tc>
          <w:tcPr>
            <w:tcW w:w="600" w:type="dxa"/>
          </w:tcPr>
          <w:p>
            <w:pPr>
              <w:pStyle w:val="TableParagraph"/>
              <w:spacing w:line="203" w:lineRule="exact"/>
              <w:ind w:left="75" w:right="75"/>
              <w:rPr>
                <w:sz w:val="18"/>
              </w:rPr>
            </w:pPr>
            <w:r>
              <w:rPr>
                <w:color w:val="333333"/>
                <w:sz w:val="18"/>
              </w:rPr>
              <w:t>83</w:t>
            </w:r>
          </w:p>
        </w:tc>
        <w:tc>
          <w:tcPr>
            <w:tcW w:w="600" w:type="dxa"/>
          </w:tcPr>
          <w:p>
            <w:pPr>
              <w:pStyle w:val="TableParagraph"/>
              <w:spacing w:line="203" w:lineRule="exact"/>
              <w:ind w:left="75" w:right="75"/>
              <w:rPr>
                <w:sz w:val="18"/>
              </w:rPr>
            </w:pPr>
            <w:r>
              <w:rPr>
                <w:color w:val="333333"/>
                <w:sz w:val="18"/>
              </w:rPr>
              <w:t>56</w:t>
            </w:r>
          </w:p>
        </w:tc>
        <w:tc>
          <w:tcPr>
            <w:tcW w:w="600" w:type="dxa"/>
          </w:tcPr>
          <w:p>
            <w:pPr>
              <w:pStyle w:val="TableParagraph"/>
              <w:spacing w:line="203" w:lineRule="exact"/>
              <w:ind w:left="75" w:right="75"/>
              <w:rPr>
                <w:sz w:val="18"/>
              </w:rPr>
            </w:pPr>
            <w:r>
              <w:rPr>
                <w:color w:val="333333"/>
                <w:sz w:val="18"/>
              </w:rPr>
              <w:t>60</w:t>
            </w:r>
          </w:p>
        </w:tc>
        <w:tc>
          <w:tcPr>
            <w:tcW w:w="601" w:type="dxa"/>
          </w:tcPr>
          <w:p>
            <w:pPr>
              <w:pStyle w:val="TableParagraph"/>
              <w:spacing w:line="203" w:lineRule="exact"/>
              <w:ind w:left="75" w:right="75"/>
              <w:rPr>
                <w:sz w:val="18"/>
              </w:rPr>
            </w:pPr>
            <w:r>
              <w:rPr>
                <w:color w:val="333333"/>
                <w:sz w:val="18"/>
              </w:rPr>
              <w:t>57</w:t>
            </w:r>
          </w:p>
        </w:tc>
        <w:tc>
          <w:tcPr>
            <w:tcW w:w="600" w:type="dxa"/>
          </w:tcPr>
          <w:p>
            <w:pPr>
              <w:pStyle w:val="TableParagraph"/>
              <w:spacing w:line="203" w:lineRule="exact"/>
              <w:ind w:left="75" w:right="75"/>
              <w:rPr>
                <w:sz w:val="18"/>
              </w:rPr>
            </w:pPr>
            <w:r>
              <w:rPr>
                <w:color w:val="333333"/>
                <w:sz w:val="18"/>
              </w:rPr>
              <w:t>67</w:t>
            </w:r>
          </w:p>
        </w:tc>
        <w:tc>
          <w:tcPr>
            <w:tcW w:w="607" w:type="dxa"/>
          </w:tcPr>
          <w:p>
            <w:pPr>
              <w:pStyle w:val="TableParagraph"/>
              <w:spacing w:line="199" w:lineRule="exact"/>
              <w:ind w:left="148"/>
              <w:jc w:val="left"/>
              <w:rPr>
                <w:b/>
                <w:sz w:val="18"/>
              </w:rPr>
            </w:pPr>
            <w:r>
              <w:rPr>
                <w:b/>
                <w:sz w:val="18"/>
              </w:rPr>
              <w:t>520</w:t>
            </w:r>
          </w:p>
        </w:tc>
      </w:tr>
      <w:tr>
        <w:trPr>
          <w:trHeight w:val="319" w:hRule="exact"/>
        </w:trPr>
        <w:tc>
          <w:tcPr>
            <w:tcW w:w="2801" w:type="dxa"/>
          </w:tcPr>
          <w:p>
            <w:pPr>
              <w:pStyle w:val="TableParagraph"/>
              <w:spacing w:line="203" w:lineRule="exact"/>
              <w:ind w:left="64"/>
              <w:jc w:val="left"/>
              <w:rPr>
                <w:sz w:val="18"/>
              </w:rPr>
            </w:pPr>
            <w:r>
              <w:rPr>
                <w:color w:val="333333"/>
                <w:sz w:val="18"/>
              </w:rPr>
              <w:t>LUVIANOS</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2</w:t>
            </w:r>
          </w:p>
        </w:tc>
        <w:tc>
          <w:tcPr>
            <w:tcW w:w="600" w:type="dxa"/>
          </w:tcPr>
          <w:p>
            <w:pPr>
              <w:pStyle w:val="TableParagraph"/>
              <w:spacing w:line="203" w:lineRule="exact"/>
              <w:ind w:left="75" w:right="75"/>
              <w:rPr>
                <w:sz w:val="18"/>
              </w:rPr>
            </w:pPr>
            <w:r>
              <w:rPr>
                <w:color w:val="333333"/>
                <w:sz w:val="18"/>
              </w:rPr>
              <w:t>13</w:t>
            </w:r>
          </w:p>
        </w:tc>
        <w:tc>
          <w:tcPr>
            <w:tcW w:w="600" w:type="dxa"/>
          </w:tcPr>
          <w:p>
            <w:pPr>
              <w:pStyle w:val="TableParagraph"/>
              <w:spacing w:line="203" w:lineRule="exact"/>
              <w:ind w:left="75" w:right="75"/>
              <w:rPr>
                <w:sz w:val="18"/>
              </w:rPr>
            </w:pPr>
            <w:r>
              <w:rPr>
                <w:color w:val="333333"/>
                <w:sz w:val="18"/>
              </w:rPr>
              <w:t>14</w:t>
            </w:r>
          </w:p>
        </w:tc>
        <w:tc>
          <w:tcPr>
            <w:tcW w:w="600" w:type="dxa"/>
          </w:tcPr>
          <w:p>
            <w:pPr>
              <w:pStyle w:val="TableParagraph"/>
              <w:spacing w:line="203" w:lineRule="exact"/>
              <w:ind w:left="75" w:right="75"/>
              <w:rPr>
                <w:sz w:val="18"/>
              </w:rPr>
            </w:pPr>
            <w:r>
              <w:rPr>
                <w:color w:val="333333"/>
                <w:sz w:val="18"/>
              </w:rPr>
              <w:t>20</w:t>
            </w:r>
          </w:p>
        </w:tc>
        <w:tc>
          <w:tcPr>
            <w:tcW w:w="600" w:type="dxa"/>
          </w:tcPr>
          <w:p>
            <w:pPr>
              <w:pStyle w:val="TableParagraph"/>
              <w:spacing w:line="203" w:lineRule="exact"/>
              <w:ind w:left="75" w:right="75"/>
              <w:rPr>
                <w:sz w:val="18"/>
              </w:rPr>
            </w:pPr>
            <w:r>
              <w:rPr>
                <w:color w:val="333333"/>
                <w:sz w:val="18"/>
              </w:rPr>
              <w:t>17</w:t>
            </w:r>
          </w:p>
        </w:tc>
        <w:tc>
          <w:tcPr>
            <w:tcW w:w="600" w:type="dxa"/>
          </w:tcPr>
          <w:p>
            <w:pPr>
              <w:pStyle w:val="TableParagraph"/>
              <w:spacing w:line="203" w:lineRule="exact"/>
              <w:ind w:left="75" w:right="75"/>
              <w:rPr>
                <w:sz w:val="18"/>
              </w:rPr>
            </w:pPr>
            <w:r>
              <w:rPr>
                <w:color w:val="333333"/>
                <w:sz w:val="18"/>
              </w:rPr>
              <w:t>20</w:t>
            </w:r>
          </w:p>
        </w:tc>
        <w:tc>
          <w:tcPr>
            <w:tcW w:w="600" w:type="dxa"/>
          </w:tcPr>
          <w:p>
            <w:pPr>
              <w:pStyle w:val="TableParagraph"/>
              <w:spacing w:line="203" w:lineRule="exact"/>
              <w:ind w:left="75" w:right="75"/>
              <w:rPr>
                <w:sz w:val="18"/>
              </w:rPr>
            </w:pPr>
            <w:r>
              <w:rPr>
                <w:color w:val="333333"/>
                <w:sz w:val="18"/>
              </w:rPr>
              <w:t>17</w:t>
            </w:r>
          </w:p>
        </w:tc>
        <w:tc>
          <w:tcPr>
            <w:tcW w:w="601" w:type="dxa"/>
          </w:tcPr>
          <w:p>
            <w:pPr>
              <w:pStyle w:val="TableParagraph"/>
              <w:spacing w:line="203" w:lineRule="exact"/>
              <w:rPr>
                <w:sz w:val="18"/>
              </w:rPr>
            </w:pPr>
            <w:r>
              <w:rPr>
                <w:color w:val="333333"/>
                <w:w w:val="99"/>
                <w:sz w:val="18"/>
              </w:rPr>
              <w:t>5</w:t>
            </w:r>
          </w:p>
        </w:tc>
        <w:tc>
          <w:tcPr>
            <w:tcW w:w="600" w:type="dxa"/>
          </w:tcPr>
          <w:p>
            <w:pPr>
              <w:pStyle w:val="TableParagraph"/>
              <w:spacing w:line="203" w:lineRule="exact"/>
              <w:ind w:left="75" w:right="75"/>
              <w:rPr>
                <w:sz w:val="18"/>
              </w:rPr>
            </w:pPr>
            <w:r>
              <w:rPr>
                <w:color w:val="333333"/>
                <w:sz w:val="18"/>
              </w:rPr>
              <w:t>12</w:t>
            </w:r>
          </w:p>
        </w:tc>
        <w:tc>
          <w:tcPr>
            <w:tcW w:w="607" w:type="dxa"/>
          </w:tcPr>
          <w:p>
            <w:pPr>
              <w:pStyle w:val="TableParagraph"/>
              <w:spacing w:line="199" w:lineRule="exact"/>
              <w:ind w:left="148"/>
              <w:jc w:val="left"/>
              <w:rPr>
                <w:b/>
                <w:sz w:val="18"/>
              </w:rPr>
            </w:pPr>
            <w:r>
              <w:rPr>
                <w:b/>
                <w:sz w:val="18"/>
              </w:rPr>
              <w:t>120</w:t>
            </w:r>
          </w:p>
        </w:tc>
      </w:tr>
      <w:tr>
        <w:trPr>
          <w:trHeight w:val="322" w:hRule="exact"/>
        </w:trPr>
        <w:tc>
          <w:tcPr>
            <w:tcW w:w="2801" w:type="dxa"/>
          </w:tcPr>
          <w:p>
            <w:pPr>
              <w:pStyle w:val="TableParagraph"/>
              <w:spacing w:line="203" w:lineRule="exact"/>
              <w:ind w:left="64"/>
              <w:jc w:val="left"/>
              <w:rPr>
                <w:sz w:val="18"/>
              </w:rPr>
            </w:pPr>
            <w:r>
              <w:rPr>
                <w:color w:val="333333"/>
                <w:sz w:val="18"/>
              </w:rPr>
              <w:t>MALINALCO</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3</w:t>
            </w:r>
          </w:p>
        </w:tc>
        <w:tc>
          <w:tcPr>
            <w:tcW w:w="600" w:type="dxa"/>
          </w:tcPr>
          <w:p>
            <w:pPr>
              <w:pStyle w:val="TableParagraph"/>
              <w:spacing w:line="203" w:lineRule="exact"/>
              <w:rPr>
                <w:sz w:val="18"/>
              </w:rPr>
            </w:pPr>
            <w:r>
              <w:rPr>
                <w:color w:val="333333"/>
                <w:w w:val="99"/>
                <w:sz w:val="18"/>
              </w:rPr>
              <w:t>8</w:t>
            </w:r>
          </w:p>
        </w:tc>
        <w:tc>
          <w:tcPr>
            <w:tcW w:w="600" w:type="dxa"/>
          </w:tcPr>
          <w:p>
            <w:pPr>
              <w:pStyle w:val="TableParagraph"/>
              <w:spacing w:line="203" w:lineRule="exact"/>
              <w:ind w:left="75" w:right="75"/>
              <w:rPr>
                <w:sz w:val="18"/>
              </w:rPr>
            </w:pPr>
            <w:r>
              <w:rPr>
                <w:color w:val="333333"/>
                <w:sz w:val="18"/>
              </w:rPr>
              <w:t>10</w:t>
            </w:r>
          </w:p>
        </w:tc>
        <w:tc>
          <w:tcPr>
            <w:tcW w:w="600" w:type="dxa"/>
          </w:tcPr>
          <w:p>
            <w:pPr>
              <w:pStyle w:val="TableParagraph"/>
              <w:spacing w:line="203" w:lineRule="exact"/>
              <w:ind w:left="75" w:right="75"/>
              <w:rPr>
                <w:sz w:val="18"/>
              </w:rPr>
            </w:pPr>
            <w:r>
              <w:rPr>
                <w:color w:val="333333"/>
                <w:sz w:val="18"/>
              </w:rPr>
              <w:t>25</w:t>
            </w:r>
          </w:p>
        </w:tc>
        <w:tc>
          <w:tcPr>
            <w:tcW w:w="600" w:type="dxa"/>
          </w:tcPr>
          <w:p>
            <w:pPr>
              <w:pStyle w:val="TableParagraph"/>
              <w:spacing w:line="203" w:lineRule="exact"/>
              <w:ind w:left="75" w:right="75"/>
              <w:rPr>
                <w:sz w:val="18"/>
              </w:rPr>
            </w:pPr>
            <w:r>
              <w:rPr>
                <w:color w:val="333333"/>
                <w:sz w:val="18"/>
              </w:rPr>
              <w:t>30</w:t>
            </w:r>
          </w:p>
        </w:tc>
        <w:tc>
          <w:tcPr>
            <w:tcW w:w="600" w:type="dxa"/>
          </w:tcPr>
          <w:p>
            <w:pPr>
              <w:pStyle w:val="TableParagraph"/>
              <w:spacing w:line="203" w:lineRule="exact"/>
              <w:ind w:left="75" w:right="75"/>
              <w:rPr>
                <w:sz w:val="18"/>
              </w:rPr>
            </w:pPr>
            <w:r>
              <w:rPr>
                <w:color w:val="333333"/>
                <w:sz w:val="18"/>
              </w:rPr>
              <w:t>20</w:t>
            </w:r>
          </w:p>
        </w:tc>
        <w:tc>
          <w:tcPr>
            <w:tcW w:w="600" w:type="dxa"/>
          </w:tcPr>
          <w:p>
            <w:pPr>
              <w:pStyle w:val="TableParagraph"/>
              <w:spacing w:line="203" w:lineRule="exact"/>
              <w:ind w:left="75" w:right="75"/>
              <w:rPr>
                <w:sz w:val="18"/>
              </w:rPr>
            </w:pPr>
            <w:r>
              <w:rPr>
                <w:color w:val="333333"/>
                <w:sz w:val="18"/>
              </w:rPr>
              <w:t>21</w:t>
            </w:r>
          </w:p>
        </w:tc>
        <w:tc>
          <w:tcPr>
            <w:tcW w:w="601" w:type="dxa"/>
          </w:tcPr>
          <w:p>
            <w:pPr>
              <w:pStyle w:val="TableParagraph"/>
              <w:spacing w:line="203" w:lineRule="exact"/>
              <w:ind w:left="75" w:right="75"/>
              <w:rPr>
                <w:sz w:val="18"/>
              </w:rPr>
            </w:pPr>
            <w:r>
              <w:rPr>
                <w:color w:val="333333"/>
                <w:sz w:val="18"/>
              </w:rPr>
              <w:t>13</w:t>
            </w:r>
          </w:p>
        </w:tc>
        <w:tc>
          <w:tcPr>
            <w:tcW w:w="600" w:type="dxa"/>
          </w:tcPr>
          <w:p>
            <w:pPr>
              <w:pStyle w:val="TableParagraph"/>
              <w:spacing w:line="203" w:lineRule="exact"/>
              <w:ind w:left="75" w:right="75"/>
              <w:rPr>
                <w:sz w:val="18"/>
              </w:rPr>
            </w:pPr>
            <w:r>
              <w:rPr>
                <w:color w:val="333333"/>
                <w:sz w:val="18"/>
              </w:rPr>
              <w:t>19</w:t>
            </w:r>
          </w:p>
        </w:tc>
        <w:tc>
          <w:tcPr>
            <w:tcW w:w="607" w:type="dxa"/>
          </w:tcPr>
          <w:p>
            <w:pPr>
              <w:pStyle w:val="TableParagraph"/>
              <w:spacing w:line="199" w:lineRule="exact"/>
              <w:ind w:left="148"/>
              <w:jc w:val="left"/>
              <w:rPr>
                <w:b/>
                <w:sz w:val="18"/>
              </w:rPr>
            </w:pPr>
            <w:r>
              <w:rPr>
                <w:b/>
                <w:sz w:val="18"/>
              </w:rPr>
              <w:t>149</w:t>
            </w:r>
          </w:p>
        </w:tc>
      </w:tr>
      <w:tr>
        <w:trPr>
          <w:trHeight w:val="319" w:hRule="exact"/>
        </w:trPr>
        <w:tc>
          <w:tcPr>
            <w:tcW w:w="2801" w:type="dxa"/>
          </w:tcPr>
          <w:p>
            <w:pPr>
              <w:pStyle w:val="TableParagraph"/>
              <w:spacing w:line="203" w:lineRule="exact"/>
              <w:ind w:left="64"/>
              <w:jc w:val="left"/>
              <w:rPr>
                <w:sz w:val="18"/>
              </w:rPr>
            </w:pPr>
            <w:r>
              <w:rPr>
                <w:color w:val="333333"/>
                <w:sz w:val="18"/>
              </w:rPr>
              <w:t>MELCHOR OCAMPO</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8</w:t>
            </w:r>
          </w:p>
        </w:tc>
        <w:tc>
          <w:tcPr>
            <w:tcW w:w="600" w:type="dxa"/>
          </w:tcPr>
          <w:p>
            <w:pPr>
              <w:pStyle w:val="TableParagraph"/>
              <w:spacing w:line="203" w:lineRule="exact"/>
              <w:ind w:left="75" w:right="75"/>
              <w:rPr>
                <w:sz w:val="18"/>
              </w:rPr>
            </w:pPr>
            <w:r>
              <w:rPr>
                <w:color w:val="333333"/>
                <w:sz w:val="18"/>
              </w:rPr>
              <w:t>15</w:t>
            </w:r>
          </w:p>
        </w:tc>
        <w:tc>
          <w:tcPr>
            <w:tcW w:w="600" w:type="dxa"/>
          </w:tcPr>
          <w:p>
            <w:pPr>
              <w:pStyle w:val="TableParagraph"/>
              <w:spacing w:line="203" w:lineRule="exact"/>
              <w:ind w:left="75" w:right="75"/>
              <w:rPr>
                <w:sz w:val="18"/>
              </w:rPr>
            </w:pPr>
            <w:r>
              <w:rPr>
                <w:color w:val="333333"/>
                <w:sz w:val="18"/>
              </w:rPr>
              <w:t>42</w:t>
            </w:r>
          </w:p>
        </w:tc>
        <w:tc>
          <w:tcPr>
            <w:tcW w:w="600" w:type="dxa"/>
          </w:tcPr>
          <w:p>
            <w:pPr>
              <w:pStyle w:val="TableParagraph"/>
              <w:spacing w:line="203" w:lineRule="exact"/>
              <w:ind w:left="75" w:right="75"/>
              <w:rPr>
                <w:sz w:val="18"/>
              </w:rPr>
            </w:pPr>
            <w:r>
              <w:rPr>
                <w:color w:val="333333"/>
                <w:sz w:val="18"/>
              </w:rPr>
              <w:t>39</w:t>
            </w:r>
          </w:p>
        </w:tc>
        <w:tc>
          <w:tcPr>
            <w:tcW w:w="600" w:type="dxa"/>
          </w:tcPr>
          <w:p>
            <w:pPr>
              <w:pStyle w:val="TableParagraph"/>
              <w:spacing w:line="203" w:lineRule="exact"/>
              <w:ind w:left="75" w:right="75"/>
              <w:rPr>
                <w:sz w:val="18"/>
              </w:rPr>
            </w:pPr>
            <w:r>
              <w:rPr>
                <w:color w:val="333333"/>
                <w:sz w:val="18"/>
              </w:rPr>
              <w:t>34</w:t>
            </w:r>
          </w:p>
        </w:tc>
        <w:tc>
          <w:tcPr>
            <w:tcW w:w="600" w:type="dxa"/>
          </w:tcPr>
          <w:p>
            <w:pPr>
              <w:pStyle w:val="TableParagraph"/>
              <w:spacing w:line="203" w:lineRule="exact"/>
              <w:ind w:left="75" w:right="75"/>
              <w:rPr>
                <w:sz w:val="18"/>
              </w:rPr>
            </w:pPr>
            <w:r>
              <w:rPr>
                <w:color w:val="333333"/>
                <w:sz w:val="18"/>
              </w:rPr>
              <w:t>40</w:t>
            </w:r>
          </w:p>
        </w:tc>
        <w:tc>
          <w:tcPr>
            <w:tcW w:w="600" w:type="dxa"/>
          </w:tcPr>
          <w:p>
            <w:pPr>
              <w:pStyle w:val="TableParagraph"/>
              <w:spacing w:line="203" w:lineRule="exact"/>
              <w:ind w:left="75" w:right="75"/>
              <w:rPr>
                <w:sz w:val="18"/>
              </w:rPr>
            </w:pPr>
            <w:r>
              <w:rPr>
                <w:color w:val="333333"/>
                <w:sz w:val="18"/>
              </w:rPr>
              <w:t>51</w:t>
            </w:r>
          </w:p>
        </w:tc>
        <w:tc>
          <w:tcPr>
            <w:tcW w:w="601" w:type="dxa"/>
          </w:tcPr>
          <w:p>
            <w:pPr>
              <w:pStyle w:val="TableParagraph"/>
              <w:spacing w:line="203" w:lineRule="exact"/>
              <w:ind w:left="75" w:right="75"/>
              <w:rPr>
                <w:sz w:val="18"/>
              </w:rPr>
            </w:pPr>
            <w:r>
              <w:rPr>
                <w:color w:val="333333"/>
                <w:sz w:val="18"/>
              </w:rPr>
              <w:t>21</w:t>
            </w:r>
          </w:p>
        </w:tc>
        <w:tc>
          <w:tcPr>
            <w:tcW w:w="600" w:type="dxa"/>
          </w:tcPr>
          <w:p>
            <w:pPr>
              <w:pStyle w:val="TableParagraph"/>
              <w:spacing w:line="203" w:lineRule="exact"/>
              <w:ind w:left="75" w:right="75"/>
              <w:rPr>
                <w:sz w:val="18"/>
              </w:rPr>
            </w:pPr>
            <w:r>
              <w:rPr>
                <w:color w:val="333333"/>
                <w:sz w:val="18"/>
              </w:rPr>
              <w:t>35</w:t>
            </w:r>
          </w:p>
        </w:tc>
        <w:tc>
          <w:tcPr>
            <w:tcW w:w="607" w:type="dxa"/>
          </w:tcPr>
          <w:p>
            <w:pPr>
              <w:pStyle w:val="TableParagraph"/>
              <w:spacing w:line="199" w:lineRule="exact"/>
              <w:ind w:left="148"/>
              <w:jc w:val="left"/>
              <w:rPr>
                <w:b/>
                <w:sz w:val="18"/>
              </w:rPr>
            </w:pPr>
            <w:r>
              <w:rPr>
                <w:b/>
                <w:sz w:val="18"/>
              </w:rPr>
              <w:t>285</w:t>
            </w:r>
          </w:p>
        </w:tc>
      </w:tr>
      <w:tr>
        <w:trPr>
          <w:trHeight w:val="322" w:hRule="exact"/>
        </w:trPr>
        <w:tc>
          <w:tcPr>
            <w:tcW w:w="2801" w:type="dxa"/>
          </w:tcPr>
          <w:p>
            <w:pPr>
              <w:pStyle w:val="TableParagraph"/>
              <w:spacing w:line="203" w:lineRule="exact"/>
              <w:ind w:left="64"/>
              <w:jc w:val="left"/>
              <w:rPr>
                <w:sz w:val="18"/>
              </w:rPr>
            </w:pPr>
            <w:r>
              <w:rPr>
                <w:color w:val="333333"/>
                <w:sz w:val="18"/>
              </w:rPr>
              <w:t>METEPEC</w:t>
            </w:r>
          </w:p>
        </w:tc>
        <w:tc>
          <w:tcPr>
            <w:tcW w:w="601" w:type="dxa"/>
          </w:tcPr>
          <w:p>
            <w:pPr>
              <w:pStyle w:val="TableParagraph"/>
              <w:spacing w:line="203" w:lineRule="exact"/>
              <w:ind w:left="75" w:right="75"/>
              <w:rPr>
                <w:sz w:val="18"/>
              </w:rPr>
            </w:pPr>
            <w:r>
              <w:rPr>
                <w:color w:val="333333"/>
                <w:sz w:val="18"/>
              </w:rPr>
              <w:t>80</w:t>
            </w:r>
          </w:p>
        </w:tc>
        <w:tc>
          <w:tcPr>
            <w:tcW w:w="600" w:type="dxa"/>
          </w:tcPr>
          <w:p>
            <w:pPr>
              <w:pStyle w:val="TableParagraph"/>
              <w:spacing w:line="203" w:lineRule="exact"/>
              <w:ind w:right="192"/>
              <w:jc w:val="right"/>
              <w:rPr>
                <w:sz w:val="18"/>
              </w:rPr>
            </w:pPr>
            <w:r>
              <w:rPr>
                <w:color w:val="333333"/>
                <w:w w:val="95"/>
                <w:sz w:val="18"/>
              </w:rPr>
              <w:t>61</w:t>
            </w:r>
          </w:p>
        </w:tc>
        <w:tc>
          <w:tcPr>
            <w:tcW w:w="600" w:type="dxa"/>
          </w:tcPr>
          <w:p>
            <w:pPr>
              <w:pStyle w:val="TableParagraph"/>
              <w:spacing w:line="203" w:lineRule="exact"/>
              <w:ind w:left="75" w:right="75"/>
              <w:rPr>
                <w:sz w:val="18"/>
              </w:rPr>
            </w:pPr>
            <w:r>
              <w:rPr>
                <w:color w:val="333333"/>
                <w:sz w:val="18"/>
              </w:rPr>
              <w:t>69</w:t>
            </w:r>
          </w:p>
        </w:tc>
        <w:tc>
          <w:tcPr>
            <w:tcW w:w="600" w:type="dxa"/>
          </w:tcPr>
          <w:p>
            <w:pPr>
              <w:pStyle w:val="TableParagraph"/>
              <w:spacing w:line="203" w:lineRule="exact"/>
              <w:ind w:left="75" w:right="75"/>
              <w:rPr>
                <w:sz w:val="18"/>
              </w:rPr>
            </w:pPr>
            <w:r>
              <w:rPr>
                <w:color w:val="333333"/>
                <w:sz w:val="18"/>
              </w:rPr>
              <w:t>132</w:t>
            </w:r>
          </w:p>
        </w:tc>
        <w:tc>
          <w:tcPr>
            <w:tcW w:w="600" w:type="dxa"/>
          </w:tcPr>
          <w:p>
            <w:pPr>
              <w:pStyle w:val="TableParagraph"/>
              <w:spacing w:line="203" w:lineRule="exact"/>
              <w:ind w:left="75" w:right="75"/>
              <w:rPr>
                <w:sz w:val="18"/>
              </w:rPr>
            </w:pPr>
            <w:r>
              <w:rPr>
                <w:color w:val="333333"/>
                <w:sz w:val="18"/>
              </w:rPr>
              <w:t>157</w:t>
            </w:r>
          </w:p>
        </w:tc>
        <w:tc>
          <w:tcPr>
            <w:tcW w:w="600" w:type="dxa"/>
          </w:tcPr>
          <w:p>
            <w:pPr>
              <w:pStyle w:val="TableParagraph"/>
              <w:spacing w:line="203" w:lineRule="exact"/>
              <w:ind w:left="75" w:right="75"/>
              <w:rPr>
                <w:sz w:val="18"/>
              </w:rPr>
            </w:pPr>
            <w:r>
              <w:rPr>
                <w:color w:val="333333"/>
                <w:sz w:val="18"/>
              </w:rPr>
              <w:t>224</w:t>
            </w:r>
          </w:p>
        </w:tc>
        <w:tc>
          <w:tcPr>
            <w:tcW w:w="600" w:type="dxa"/>
          </w:tcPr>
          <w:p>
            <w:pPr>
              <w:pStyle w:val="TableParagraph"/>
              <w:spacing w:line="203" w:lineRule="exact"/>
              <w:ind w:left="75" w:right="75"/>
              <w:rPr>
                <w:sz w:val="18"/>
              </w:rPr>
            </w:pPr>
            <w:r>
              <w:rPr>
                <w:color w:val="333333"/>
                <w:sz w:val="18"/>
              </w:rPr>
              <w:t>172</w:t>
            </w:r>
          </w:p>
        </w:tc>
        <w:tc>
          <w:tcPr>
            <w:tcW w:w="600" w:type="dxa"/>
          </w:tcPr>
          <w:p>
            <w:pPr>
              <w:pStyle w:val="TableParagraph"/>
              <w:spacing w:line="203" w:lineRule="exact"/>
              <w:ind w:left="75" w:right="75"/>
              <w:rPr>
                <w:sz w:val="18"/>
              </w:rPr>
            </w:pPr>
            <w:r>
              <w:rPr>
                <w:color w:val="333333"/>
                <w:sz w:val="18"/>
              </w:rPr>
              <w:t>111</w:t>
            </w:r>
          </w:p>
        </w:tc>
        <w:tc>
          <w:tcPr>
            <w:tcW w:w="600" w:type="dxa"/>
          </w:tcPr>
          <w:p>
            <w:pPr>
              <w:pStyle w:val="TableParagraph"/>
              <w:spacing w:line="203" w:lineRule="exact"/>
              <w:ind w:left="75" w:right="75"/>
              <w:rPr>
                <w:sz w:val="18"/>
              </w:rPr>
            </w:pPr>
            <w:r>
              <w:rPr>
                <w:color w:val="333333"/>
                <w:sz w:val="18"/>
              </w:rPr>
              <w:t>156</w:t>
            </w:r>
          </w:p>
        </w:tc>
        <w:tc>
          <w:tcPr>
            <w:tcW w:w="601" w:type="dxa"/>
          </w:tcPr>
          <w:p>
            <w:pPr>
              <w:pStyle w:val="TableParagraph"/>
              <w:spacing w:line="203" w:lineRule="exact"/>
              <w:ind w:left="75" w:right="75"/>
              <w:rPr>
                <w:sz w:val="18"/>
              </w:rPr>
            </w:pPr>
            <w:r>
              <w:rPr>
                <w:color w:val="333333"/>
                <w:sz w:val="18"/>
              </w:rPr>
              <w:t>182</w:t>
            </w:r>
          </w:p>
        </w:tc>
        <w:tc>
          <w:tcPr>
            <w:tcW w:w="600" w:type="dxa"/>
          </w:tcPr>
          <w:p>
            <w:pPr>
              <w:pStyle w:val="TableParagraph"/>
              <w:spacing w:line="203" w:lineRule="exact"/>
              <w:ind w:left="75" w:right="75"/>
              <w:rPr>
                <w:sz w:val="18"/>
              </w:rPr>
            </w:pPr>
            <w:r>
              <w:rPr>
                <w:color w:val="333333"/>
                <w:sz w:val="18"/>
              </w:rPr>
              <w:t>142</w:t>
            </w:r>
          </w:p>
        </w:tc>
        <w:tc>
          <w:tcPr>
            <w:tcW w:w="607" w:type="dxa"/>
          </w:tcPr>
          <w:p>
            <w:pPr>
              <w:pStyle w:val="TableParagraph"/>
              <w:spacing w:line="199" w:lineRule="exact"/>
              <w:ind w:left="98"/>
              <w:jc w:val="left"/>
              <w:rPr>
                <w:b/>
                <w:sz w:val="18"/>
              </w:rPr>
            </w:pPr>
            <w:r>
              <w:rPr>
                <w:b/>
                <w:sz w:val="18"/>
              </w:rPr>
              <w:t>1486</w:t>
            </w:r>
          </w:p>
        </w:tc>
      </w:tr>
      <w:tr>
        <w:trPr>
          <w:trHeight w:val="319" w:hRule="exact"/>
        </w:trPr>
        <w:tc>
          <w:tcPr>
            <w:tcW w:w="2801" w:type="dxa"/>
          </w:tcPr>
          <w:p>
            <w:pPr>
              <w:pStyle w:val="TableParagraph"/>
              <w:spacing w:line="203" w:lineRule="exact"/>
              <w:ind w:left="64"/>
              <w:jc w:val="left"/>
              <w:rPr>
                <w:sz w:val="18"/>
              </w:rPr>
            </w:pPr>
            <w:r>
              <w:rPr>
                <w:color w:val="333333"/>
                <w:sz w:val="18"/>
              </w:rPr>
              <w:t>MEXICALTCINGO</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8</w:t>
            </w:r>
          </w:p>
        </w:tc>
        <w:tc>
          <w:tcPr>
            <w:tcW w:w="600" w:type="dxa"/>
          </w:tcPr>
          <w:p>
            <w:pPr>
              <w:pStyle w:val="TableParagraph"/>
              <w:spacing w:line="203" w:lineRule="exact"/>
              <w:ind w:left="75" w:right="75"/>
              <w:rPr>
                <w:sz w:val="18"/>
              </w:rPr>
            </w:pPr>
            <w:r>
              <w:rPr>
                <w:color w:val="333333"/>
                <w:sz w:val="18"/>
              </w:rPr>
              <w:t>12</w:t>
            </w:r>
          </w:p>
        </w:tc>
        <w:tc>
          <w:tcPr>
            <w:tcW w:w="600" w:type="dxa"/>
          </w:tcPr>
          <w:p>
            <w:pPr>
              <w:pStyle w:val="TableParagraph"/>
              <w:spacing w:line="203" w:lineRule="exact"/>
              <w:ind w:left="75" w:right="75"/>
              <w:rPr>
                <w:sz w:val="18"/>
              </w:rPr>
            </w:pPr>
            <w:r>
              <w:rPr>
                <w:color w:val="333333"/>
                <w:sz w:val="18"/>
              </w:rPr>
              <w:t>37</w:t>
            </w:r>
          </w:p>
        </w:tc>
        <w:tc>
          <w:tcPr>
            <w:tcW w:w="600" w:type="dxa"/>
          </w:tcPr>
          <w:p>
            <w:pPr>
              <w:pStyle w:val="TableParagraph"/>
              <w:spacing w:line="203" w:lineRule="exact"/>
              <w:ind w:left="75" w:right="75"/>
              <w:rPr>
                <w:sz w:val="18"/>
              </w:rPr>
            </w:pPr>
            <w:r>
              <w:rPr>
                <w:color w:val="333333"/>
                <w:sz w:val="18"/>
              </w:rPr>
              <w:t>28</w:t>
            </w:r>
          </w:p>
        </w:tc>
        <w:tc>
          <w:tcPr>
            <w:tcW w:w="600" w:type="dxa"/>
          </w:tcPr>
          <w:p>
            <w:pPr>
              <w:pStyle w:val="TableParagraph"/>
              <w:spacing w:line="203" w:lineRule="exact"/>
              <w:ind w:left="75" w:right="75"/>
              <w:rPr>
                <w:sz w:val="18"/>
              </w:rPr>
            </w:pPr>
            <w:r>
              <w:rPr>
                <w:color w:val="333333"/>
                <w:sz w:val="18"/>
              </w:rPr>
              <w:t>13</w:t>
            </w:r>
          </w:p>
        </w:tc>
        <w:tc>
          <w:tcPr>
            <w:tcW w:w="600" w:type="dxa"/>
          </w:tcPr>
          <w:p>
            <w:pPr>
              <w:pStyle w:val="TableParagraph"/>
              <w:spacing w:line="203" w:lineRule="exact"/>
              <w:ind w:left="75" w:right="75"/>
              <w:rPr>
                <w:sz w:val="18"/>
              </w:rPr>
            </w:pPr>
            <w:r>
              <w:rPr>
                <w:color w:val="333333"/>
                <w:sz w:val="18"/>
              </w:rPr>
              <w:t>15</w:t>
            </w:r>
          </w:p>
        </w:tc>
        <w:tc>
          <w:tcPr>
            <w:tcW w:w="601" w:type="dxa"/>
          </w:tcPr>
          <w:p>
            <w:pPr>
              <w:pStyle w:val="TableParagraph"/>
              <w:spacing w:line="203" w:lineRule="exact"/>
              <w:ind w:left="75" w:right="75"/>
              <w:rPr>
                <w:sz w:val="18"/>
              </w:rPr>
            </w:pPr>
            <w:r>
              <w:rPr>
                <w:color w:val="333333"/>
                <w:sz w:val="18"/>
              </w:rPr>
              <w:t>13</w:t>
            </w:r>
          </w:p>
        </w:tc>
        <w:tc>
          <w:tcPr>
            <w:tcW w:w="600" w:type="dxa"/>
          </w:tcPr>
          <w:p>
            <w:pPr>
              <w:pStyle w:val="TableParagraph"/>
              <w:spacing w:line="203" w:lineRule="exact"/>
              <w:ind w:left="75" w:right="75"/>
              <w:rPr>
                <w:sz w:val="18"/>
              </w:rPr>
            </w:pPr>
            <w:r>
              <w:rPr>
                <w:color w:val="333333"/>
                <w:sz w:val="18"/>
              </w:rPr>
              <w:t>21</w:t>
            </w:r>
          </w:p>
        </w:tc>
        <w:tc>
          <w:tcPr>
            <w:tcW w:w="607" w:type="dxa"/>
          </w:tcPr>
          <w:p>
            <w:pPr>
              <w:pStyle w:val="TableParagraph"/>
              <w:spacing w:line="199" w:lineRule="exact"/>
              <w:ind w:left="148"/>
              <w:jc w:val="left"/>
              <w:rPr>
                <w:b/>
                <w:sz w:val="18"/>
              </w:rPr>
            </w:pPr>
            <w:r>
              <w:rPr>
                <w:b/>
                <w:sz w:val="18"/>
              </w:rPr>
              <w:t>147</w:t>
            </w:r>
          </w:p>
        </w:tc>
      </w:tr>
      <w:tr>
        <w:trPr>
          <w:trHeight w:val="322" w:hRule="exact"/>
        </w:trPr>
        <w:tc>
          <w:tcPr>
            <w:tcW w:w="2801" w:type="dxa"/>
          </w:tcPr>
          <w:p>
            <w:pPr>
              <w:pStyle w:val="TableParagraph"/>
              <w:spacing w:line="203" w:lineRule="exact"/>
              <w:ind w:left="64"/>
              <w:jc w:val="left"/>
              <w:rPr>
                <w:sz w:val="18"/>
              </w:rPr>
            </w:pPr>
            <w:r>
              <w:rPr>
                <w:color w:val="333333"/>
                <w:sz w:val="18"/>
              </w:rPr>
              <w:t>MORELOS</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3</w:t>
            </w:r>
          </w:p>
        </w:tc>
        <w:tc>
          <w:tcPr>
            <w:tcW w:w="600" w:type="dxa"/>
          </w:tcPr>
          <w:p>
            <w:pPr>
              <w:pStyle w:val="TableParagraph"/>
              <w:spacing w:line="203" w:lineRule="exact"/>
              <w:ind w:left="75" w:right="75"/>
              <w:rPr>
                <w:sz w:val="18"/>
              </w:rPr>
            </w:pPr>
            <w:r>
              <w:rPr>
                <w:color w:val="333333"/>
                <w:sz w:val="18"/>
              </w:rPr>
              <w:t>19</w:t>
            </w:r>
          </w:p>
        </w:tc>
        <w:tc>
          <w:tcPr>
            <w:tcW w:w="600" w:type="dxa"/>
          </w:tcPr>
          <w:p>
            <w:pPr>
              <w:pStyle w:val="TableParagraph"/>
              <w:spacing w:line="203" w:lineRule="exact"/>
              <w:ind w:left="75" w:right="75"/>
              <w:rPr>
                <w:sz w:val="18"/>
              </w:rPr>
            </w:pPr>
            <w:r>
              <w:rPr>
                <w:color w:val="333333"/>
                <w:sz w:val="18"/>
              </w:rPr>
              <w:t>46</w:t>
            </w:r>
          </w:p>
        </w:tc>
        <w:tc>
          <w:tcPr>
            <w:tcW w:w="600" w:type="dxa"/>
          </w:tcPr>
          <w:p>
            <w:pPr>
              <w:pStyle w:val="TableParagraph"/>
              <w:spacing w:line="203" w:lineRule="exact"/>
              <w:ind w:left="75" w:right="75"/>
              <w:rPr>
                <w:sz w:val="18"/>
              </w:rPr>
            </w:pPr>
            <w:r>
              <w:rPr>
                <w:color w:val="333333"/>
                <w:sz w:val="18"/>
              </w:rPr>
              <w:t>24</w:t>
            </w:r>
          </w:p>
        </w:tc>
        <w:tc>
          <w:tcPr>
            <w:tcW w:w="600" w:type="dxa"/>
          </w:tcPr>
          <w:p>
            <w:pPr>
              <w:pStyle w:val="TableParagraph"/>
              <w:spacing w:line="203" w:lineRule="exact"/>
              <w:ind w:left="75" w:right="75"/>
              <w:rPr>
                <w:sz w:val="18"/>
              </w:rPr>
            </w:pPr>
            <w:r>
              <w:rPr>
                <w:color w:val="333333"/>
                <w:sz w:val="18"/>
              </w:rPr>
              <w:t>21</w:t>
            </w:r>
          </w:p>
        </w:tc>
        <w:tc>
          <w:tcPr>
            <w:tcW w:w="600" w:type="dxa"/>
          </w:tcPr>
          <w:p>
            <w:pPr>
              <w:pStyle w:val="TableParagraph"/>
              <w:spacing w:line="203" w:lineRule="exact"/>
              <w:ind w:left="75" w:right="75"/>
              <w:rPr>
                <w:sz w:val="18"/>
              </w:rPr>
            </w:pPr>
            <w:r>
              <w:rPr>
                <w:color w:val="333333"/>
                <w:sz w:val="18"/>
              </w:rPr>
              <w:t>22</w:t>
            </w:r>
          </w:p>
        </w:tc>
        <w:tc>
          <w:tcPr>
            <w:tcW w:w="600" w:type="dxa"/>
          </w:tcPr>
          <w:p>
            <w:pPr>
              <w:pStyle w:val="TableParagraph"/>
              <w:spacing w:line="203" w:lineRule="exact"/>
              <w:ind w:left="75" w:right="75"/>
              <w:rPr>
                <w:sz w:val="18"/>
              </w:rPr>
            </w:pPr>
            <w:r>
              <w:rPr>
                <w:color w:val="333333"/>
                <w:sz w:val="18"/>
              </w:rPr>
              <w:t>26</w:t>
            </w:r>
          </w:p>
        </w:tc>
        <w:tc>
          <w:tcPr>
            <w:tcW w:w="601" w:type="dxa"/>
          </w:tcPr>
          <w:p>
            <w:pPr>
              <w:pStyle w:val="TableParagraph"/>
              <w:spacing w:line="203" w:lineRule="exact"/>
              <w:ind w:left="75" w:right="75"/>
              <w:rPr>
                <w:sz w:val="18"/>
              </w:rPr>
            </w:pPr>
            <w:r>
              <w:rPr>
                <w:color w:val="333333"/>
                <w:sz w:val="18"/>
              </w:rPr>
              <w:t>10</w:t>
            </w:r>
          </w:p>
        </w:tc>
        <w:tc>
          <w:tcPr>
            <w:tcW w:w="600" w:type="dxa"/>
          </w:tcPr>
          <w:p>
            <w:pPr>
              <w:pStyle w:val="TableParagraph"/>
              <w:spacing w:line="203" w:lineRule="exact"/>
              <w:ind w:left="75" w:right="75"/>
              <w:rPr>
                <w:sz w:val="18"/>
              </w:rPr>
            </w:pPr>
            <w:r>
              <w:rPr>
                <w:color w:val="333333"/>
                <w:sz w:val="18"/>
              </w:rPr>
              <w:t>13</w:t>
            </w:r>
          </w:p>
        </w:tc>
        <w:tc>
          <w:tcPr>
            <w:tcW w:w="607" w:type="dxa"/>
          </w:tcPr>
          <w:p>
            <w:pPr>
              <w:pStyle w:val="TableParagraph"/>
              <w:spacing w:line="199" w:lineRule="exact"/>
              <w:ind w:left="148"/>
              <w:jc w:val="left"/>
              <w:rPr>
                <w:b/>
                <w:sz w:val="18"/>
              </w:rPr>
            </w:pPr>
            <w:r>
              <w:rPr>
                <w:b/>
                <w:sz w:val="18"/>
              </w:rPr>
              <w:t>184</w:t>
            </w:r>
          </w:p>
        </w:tc>
      </w:tr>
      <w:tr>
        <w:trPr>
          <w:trHeight w:val="319" w:hRule="exact"/>
        </w:trPr>
        <w:tc>
          <w:tcPr>
            <w:tcW w:w="2801" w:type="dxa"/>
          </w:tcPr>
          <w:p>
            <w:pPr>
              <w:pStyle w:val="TableParagraph"/>
              <w:spacing w:line="203" w:lineRule="exact"/>
              <w:ind w:left="64"/>
              <w:jc w:val="left"/>
              <w:rPr>
                <w:sz w:val="18"/>
              </w:rPr>
            </w:pPr>
            <w:r>
              <w:rPr>
                <w:color w:val="333333"/>
                <w:sz w:val="18"/>
              </w:rPr>
              <w:t>NAUCALPAN DE JUAREZ</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3</w:t>
            </w:r>
          </w:p>
        </w:tc>
        <w:tc>
          <w:tcPr>
            <w:tcW w:w="600" w:type="dxa"/>
          </w:tcPr>
          <w:p>
            <w:pPr>
              <w:pStyle w:val="TableParagraph"/>
              <w:spacing w:line="203" w:lineRule="exact"/>
              <w:ind w:left="75" w:right="75"/>
              <w:rPr>
                <w:sz w:val="18"/>
              </w:rPr>
            </w:pPr>
            <w:r>
              <w:rPr>
                <w:color w:val="333333"/>
                <w:sz w:val="18"/>
              </w:rPr>
              <w:t>80</w:t>
            </w:r>
          </w:p>
        </w:tc>
        <w:tc>
          <w:tcPr>
            <w:tcW w:w="600" w:type="dxa"/>
          </w:tcPr>
          <w:p>
            <w:pPr>
              <w:pStyle w:val="TableParagraph"/>
              <w:spacing w:line="203" w:lineRule="exact"/>
              <w:ind w:left="75" w:right="75"/>
              <w:rPr>
                <w:sz w:val="18"/>
              </w:rPr>
            </w:pPr>
            <w:r>
              <w:rPr>
                <w:color w:val="333333"/>
                <w:sz w:val="18"/>
              </w:rPr>
              <w:t>244</w:t>
            </w:r>
          </w:p>
        </w:tc>
        <w:tc>
          <w:tcPr>
            <w:tcW w:w="600" w:type="dxa"/>
          </w:tcPr>
          <w:p>
            <w:pPr>
              <w:pStyle w:val="TableParagraph"/>
              <w:spacing w:line="203" w:lineRule="exact"/>
              <w:ind w:left="75" w:right="75"/>
              <w:rPr>
                <w:sz w:val="18"/>
              </w:rPr>
            </w:pPr>
            <w:r>
              <w:rPr>
                <w:color w:val="333333"/>
                <w:sz w:val="18"/>
              </w:rPr>
              <w:t>389</w:t>
            </w:r>
          </w:p>
        </w:tc>
        <w:tc>
          <w:tcPr>
            <w:tcW w:w="600" w:type="dxa"/>
          </w:tcPr>
          <w:p>
            <w:pPr>
              <w:pStyle w:val="TableParagraph"/>
              <w:spacing w:line="203" w:lineRule="exact"/>
              <w:ind w:left="75" w:right="75"/>
              <w:rPr>
                <w:sz w:val="18"/>
              </w:rPr>
            </w:pPr>
            <w:r>
              <w:rPr>
                <w:color w:val="333333"/>
                <w:sz w:val="18"/>
              </w:rPr>
              <w:t>317</w:t>
            </w:r>
          </w:p>
        </w:tc>
        <w:tc>
          <w:tcPr>
            <w:tcW w:w="600" w:type="dxa"/>
          </w:tcPr>
          <w:p>
            <w:pPr>
              <w:pStyle w:val="TableParagraph"/>
              <w:spacing w:line="203" w:lineRule="exact"/>
              <w:ind w:left="75" w:right="75"/>
              <w:rPr>
                <w:sz w:val="18"/>
              </w:rPr>
            </w:pPr>
            <w:r>
              <w:rPr>
                <w:color w:val="333333"/>
                <w:sz w:val="18"/>
              </w:rPr>
              <w:t>314</w:t>
            </w:r>
          </w:p>
        </w:tc>
        <w:tc>
          <w:tcPr>
            <w:tcW w:w="600" w:type="dxa"/>
          </w:tcPr>
          <w:p>
            <w:pPr>
              <w:pStyle w:val="TableParagraph"/>
              <w:spacing w:line="203" w:lineRule="exact"/>
              <w:ind w:left="75" w:right="75"/>
              <w:rPr>
                <w:sz w:val="18"/>
              </w:rPr>
            </w:pPr>
            <w:r>
              <w:rPr>
                <w:color w:val="333333"/>
                <w:sz w:val="18"/>
              </w:rPr>
              <w:t>512</w:t>
            </w:r>
          </w:p>
        </w:tc>
        <w:tc>
          <w:tcPr>
            <w:tcW w:w="601" w:type="dxa"/>
          </w:tcPr>
          <w:p>
            <w:pPr>
              <w:pStyle w:val="TableParagraph"/>
              <w:spacing w:line="203" w:lineRule="exact"/>
              <w:ind w:left="75" w:right="75"/>
              <w:rPr>
                <w:sz w:val="18"/>
              </w:rPr>
            </w:pPr>
            <w:r>
              <w:rPr>
                <w:color w:val="333333"/>
                <w:sz w:val="18"/>
              </w:rPr>
              <w:t>498</w:t>
            </w:r>
          </w:p>
        </w:tc>
        <w:tc>
          <w:tcPr>
            <w:tcW w:w="600" w:type="dxa"/>
          </w:tcPr>
          <w:p>
            <w:pPr>
              <w:pStyle w:val="TableParagraph"/>
              <w:spacing w:line="203" w:lineRule="exact"/>
              <w:ind w:left="75" w:right="75"/>
              <w:rPr>
                <w:sz w:val="18"/>
              </w:rPr>
            </w:pPr>
            <w:r>
              <w:rPr>
                <w:color w:val="333333"/>
                <w:sz w:val="18"/>
              </w:rPr>
              <w:t>314</w:t>
            </w:r>
          </w:p>
        </w:tc>
        <w:tc>
          <w:tcPr>
            <w:tcW w:w="607" w:type="dxa"/>
          </w:tcPr>
          <w:p>
            <w:pPr>
              <w:pStyle w:val="TableParagraph"/>
              <w:spacing w:line="199" w:lineRule="exact"/>
              <w:ind w:left="98"/>
              <w:jc w:val="left"/>
              <w:rPr>
                <w:b/>
                <w:sz w:val="18"/>
              </w:rPr>
            </w:pPr>
            <w:r>
              <w:rPr>
                <w:b/>
                <w:sz w:val="18"/>
              </w:rPr>
              <w:t>2671</w:t>
            </w:r>
          </w:p>
        </w:tc>
      </w:tr>
      <w:tr>
        <w:trPr>
          <w:trHeight w:val="322" w:hRule="exact"/>
        </w:trPr>
        <w:tc>
          <w:tcPr>
            <w:tcW w:w="2801" w:type="dxa"/>
          </w:tcPr>
          <w:p>
            <w:pPr>
              <w:pStyle w:val="TableParagraph"/>
              <w:spacing w:line="203" w:lineRule="exact"/>
              <w:ind w:left="64"/>
              <w:jc w:val="left"/>
              <w:rPr>
                <w:sz w:val="18"/>
              </w:rPr>
            </w:pPr>
            <w:r>
              <w:rPr>
                <w:color w:val="333333"/>
                <w:sz w:val="18"/>
              </w:rPr>
              <w:t>NEXTLALPAN</w:t>
            </w:r>
          </w:p>
        </w:tc>
        <w:tc>
          <w:tcPr>
            <w:tcW w:w="601" w:type="dxa"/>
          </w:tcPr>
          <w:p>
            <w:pPr>
              <w:pStyle w:val="TableParagraph"/>
              <w:spacing w:line="203" w:lineRule="exact"/>
              <w:rPr>
                <w:sz w:val="18"/>
              </w:rPr>
            </w:pPr>
            <w:r>
              <w:rPr>
                <w:color w:val="333333"/>
                <w:w w:val="99"/>
                <w:sz w:val="18"/>
              </w:rPr>
              <w:t>2</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1</w:t>
            </w:r>
          </w:p>
        </w:tc>
        <w:tc>
          <w:tcPr>
            <w:tcW w:w="600" w:type="dxa"/>
          </w:tcPr>
          <w:p>
            <w:pPr>
              <w:pStyle w:val="TableParagraph"/>
              <w:spacing w:line="203" w:lineRule="exact"/>
              <w:rPr>
                <w:sz w:val="18"/>
              </w:rPr>
            </w:pPr>
            <w:r>
              <w:rPr>
                <w:color w:val="333333"/>
                <w:w w:val="99"/>
                <w:sz w:val="18"/>
              </w:rPr>
              <w:t>6</w:t>
            </w:r>
          </w:p>
        </w:tc>
        <w:tc>
          <w:tcPr>
            <w:tcW w:w="600" w:type="dxa"/>
          </w:tcPr>
          <w:p>
            <w:pPr>
              <w:pStyle w:val="TableParagraph"/>
              <w:spacing w:line="203" w:lineRule="exact"/>
              <w:ind w:left="75" w:right="75"/>
              <w:rPr>
                <w:sz w:val="18"/>
              </w:rPr>
            </w:pPr>
            <w:r>
              <w:rPr>
                <w:color w:val="333333"/>
                <w:sz w:val="18"/>
              </w:rPr>
              <w:t>26</w:t>
            </w:r>
          </w:p>
        </w:tc>
        <w:tc>
          <w:tcPr>
            <w:tcW w:w="600" w:type="dxa"/>
          </w:tcPr>
          <w:p>
            <w:pPr>
              <w:pStyle w:val="TableParagraph"/>
              <w:spacing w:line="203" w:lineRule="exact"/>
              <w:ind w:left="75" w:right="75"/>
              <w:rPr>
                <w:sz w:val="18"/>
              </w:rPr>
            </w:pPr>
            <w:r>
              <w:rPr>
                <w:color w:val="333333"/>
                <w:sz w:val="18"/>
              </w:rPr>
              <w:t>37</w:t>
            </w:r>
          </w:p>
        </w:tc>
        <w:tc>
          <w:tcPr>
            <w:tcW w:w="600" w:type="dxa"/>
          </w:tcPr>
          <w:p>
            <w:pPr>
              <w:pStyle w:val="TableParagraph"/>
              <w:spacing w:line="203" w:lineRule="exact"/>
              <w:ind w:left="75" w:right="75"/>
              <w:rPr>
                <w:sz w:val="18"/>
              </w:rPr>
            </w:pPr>
            <w:r>
              <w:rPr>
                <w:color w:val="333333"/>
                <w:sz w:val="18"/>
              </w:rPr>
              <w:t>49</w:t>
            </w:r>
          </w:p>
        </w:tc>
        <w:tc>
          <w:tcPr>
            <w:tcW w:w="600" w:type="dxa"/>
          </w:tcPr>
          <w:p>
            <w:pPr>
              <w:pStyle w:val="TableParagraph"/>
              <w:spacing w:line="203" w:lineRule="exact"/>
              <w:ind w:left="75" w:right="75"/>
              <w:rPr>
                <w:sz w:val="18"/>
              </w:rPr>
            </w:pPr>
            <w:r>
              <w:rPr>
                <w:color w:val="333333"/>
                <w:sz w:val="18"/>
              </w:rPr>
              <w:t>74</w:t>
            </w:r>
          </w:p>
        </w:tc>
        <w:tc>
          <w:tcPr>
            <w:tcW w:w="600" w:type="dxa"/>
          </w:tcPr>
          <w:p>
            <w:pPr>
              <w:pStyle w:val="TableParagraph"/>
              <w:spacing w:line="203" w:lineRule="exact"/>
              <w:ind w:left="75" w:right="75"/>
              <w:rPr>
                <w:sz w:val="18"/>
              </w:rPr>
            </w:pPr>
            <w:r>
              <w:rPr>
                <w:color w:val="333333"/>
                <w:sz w:val="18"/>
              </w:rPr>
              <w:t>110</w:t>
            </w:r>
          </w:p>
        </w:tc>
        <w:tc>
          <w:tcPr>
            <w:tcW w:w="601" w:type="dxa"/>
          </w:tcPr>
          <w:p>
            <w:pPr>
              <w:pStyle w:val="TableParagraph"/>
              <w:spacing w:line="203" w:lineRule="exact"/>
              <w:ind w:left="75" w:right="75"/>
              <w:rPr>
                <w:sz w:val="18"/>
              </w:rPr>
            </w:pPr>
            <w:r>
              <w:rPr>
                <w:color w:val="333333"/>
                <w:sz w:val="18"/>
              </w:rPr>
              <w:t>64</w:t>
            </w:r>
          </w:p>
        </w:tc>
        <w:tc>
          <w:tcPr>
            <w:tcW w:w="600" w:type="dxa"/>
          </w:tcPr>
          <w:p>
            <w:pPr>
              <w:pStyle w:val="TableParagraph"/>
              <w:spacing w:line="203" w:lineRule="exact"/>
              <w:ind w:left="75" w:right="75"/>
              <w:rPr>
                <w:sz w:val="18"/>
              </w:rPr>
            </w:pPr>
            <w:r>
              <w:rPr>
                <w:color w:val="333333"/>
                <w:sz w:val="18"/>
              </w:rPr>
              <w:t>44</w:t>
            </w:r>
          </w:p>
        </w:tc>
        <w:tc>
          <w:tcPr>
            <w:tcW w:w="607" w:type="dxa"/>
          </w:tcPr>
          <w:p>
            <w:pPr>
              <w:pStyle w:val="TableParagraph"/>
              <w:spacing w:line="199" w:lineRule="exact"/>
              <w:ind w:left="148"/>
              <w:jc w:val="left"/>
              <w:rPr>
                <w:b/>
                <w:sz w:val="18"/>
              </w:rPr>
            </w:pPr>
            <w:r>
              <w:rPr>
                <w:b/>
                <w:sz w:val="18"/>
              </w:rPr>
              <w:t>413</w:t>
            </w:r>
          </w:p>
        </w:tc>
      </w:tr>
      <w:tr>
        <w:trPr>
          <w:trHeight w:val="319" w:hRule="exact"/>
        </w:trPr>
        <w:tc>
          <w:tcPr>
            <w:tcW w:w="2801" w:type="dxa"/>
          </w:tcPr>
          <w:p>
            <w:pPr>
              <w:pStyle w:val="TableParagraph"/>
              <w:spacing w:line="203" w:lineRule="exact"/>
              <w:ind w:left="64"/>
              <w:jc w:val="left"/>
              <w:rPr>
                <w:sz w:val="18"/>
              </w:rPr>
            </w:pPr>
            <w:r>
              <w:rPr>
                <w:color w:val="333333"/>
                <w:sz w:val="18"/>
              </w:rPr>
              <w:t>NEZAHUALCOYOTL</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left="75" w:right="75"/>
              <w:rPr>
                <w:sz w:val="18"/>
              </w:rPr>
            </w:pPr>
            <w:r>
              <w:rPr>
                <w:color w:val="333333"/>
                <w:sz w:val="18"/>
              </w:rPr>
              <w:t>55</w:t>
            </w:r>
          </w:p>
        </w:tc>
        <w:tc>
          <w:tcPr>
            <w:tcW w:w="600" w:type="dxa"/>
          </w:tcPr>
          <w:p>
            <w:pPr>
              <w:pStyle w:val="TableParagraph"/>
              <w:spacing w:line="203" w:lineRule="exact"/>
              <w:ind w:left="75" w:right="75"/>
              <w:rPr>
                <w:sz w:val="18"/>
              </w:rPr>
            </w:pPr>
            <w:r>
              <w:rPr>
                <w:color w:val="333333"/>
                <w:sz w:val="18"/>
              </w:rPr>
              <w:t>151</w:t>
            </w:r>
          </w:p>
        </w:tc>
        <w:tc>
          <w:tcPr>
            <w:tcW w:w="600" w:type="dxa"/>
          </w:tcPr>
          <w:p>
            <w:pPr>
              <w:pStyle w:val="TableParagraph"/>
              <w:spacing w:line="203" w:lineRule="exact"/>
              <w:ind w:left="75" w:right="75"/>
              <w:rPr>
                <w:sz w:val="18"/>
              </w:rPr>
            </w:pPr>
            <w:r>
              <w:rPr>
                <w:color w:val="333333"/>
                <w:sz w:val="18"/>
              </w:rPr>
              <w:t>902</w:t>
            </w:r>
          </w:p>
        </w:tc>
        <w:tc>
          <w:tcPr>
            <w:tcW w:w="600" w:type="dxa"/>
          </w:tcPr>
          <w:p>
            <w:pPr>
              <w:pStyle w:val="TableParagraph"/>
              <w:spacing w:line="203" w:lineRule="exact"/>
              <w:ind w:left="75" w:right="75"/>
              <w:rPr>
                <w:sz w:val="18"/>
              </w:rPr>
            </w:pPr>
            <w:r>
              <w:rPr>
                <w:color w:val="333333"/>
                <w:sz w:val="18"/>
              </w:rPr>
              <w:t>915</w:t>
            </w:r>
          </w:p>
        </w:tc>
        <w:tc>
          <w:tcPr>
            <w:tcW w:w="600" w:type="dxa"/>
          </w:tcPr>
          <w:p>
            <w:pPr>
              <w:pStyle w:val="TableParagraph"/>
              <w:spacing w:line="203" w:lineRule="exact"/>
              <w:ind w:left="75" w:right="75"/>
              <w:rPr>
                <w:sz w:val="18"/>
              </w:rPr>
            </w:pPr>
            <w:r>
              <w:rPr>
                <w:color w:val="333333"/>
                <w:sz w:val="18"/>
              </w:rPr>
              <w:t>434</w:t>
            </w:r>
          </w:p>
        </w:tc>
        <w:tc>
          <w:tcPr>
            <w:tcW w:w="600" w:type="dxa"/>
          </w:tcPr>
          <w:p>
            <w:pPr>
              <w:pStyle w:val="TableParagraph"/>
              <w:spacing w:line="203" w:lineRule="exact"/>
              <w:ind w:left="75" w:right="75"/>
              <w:rPr>
                <w:sz w:val="18"/>
              </w:rPr>
            </w:pPr>
            <w:r>
              <w:rPr>
                <w:color w:val="333333"/>
                <w:sz w:val="18"/>
              </w:rPr>
              <w:t>390</w:t>
            </w:r>
          </w:p>
        </w:tc>
        <w:tc>
          <w:tcPr>
            <w:tcW w:w="601" w:type="dxa"/>
          </w:tcPr>
          <w:p>
            <w:pPr>
              <w:pStyle w:val="TableParagraph"/>
              <w:spacing w:line="203" w:lineRule="exact"/>
              <w:ind w:left="75" w:right="75"/>
              <w:rPr>
                <w:sz w:val="18"/>
              </w:rPr>
            </w:pPr>
            <w:r>
              <w:rPr>
                <w:color w:val="333333"/>
                <w:sz w:val="18"/>
              </w:rPr>
              <w:t>596</w:t>
            </w:r>
          </w:p>
        </w:tc>
        <w:tc>
          <w:tcPr>
            <w:tcW w:w="600" w:type="dxa"/>
          </w:tcPr>
          <w:p>
            <w:pPr>
              <w:pStyle w:val="TableParagraph"/>
              <w:spacing w:line="203" w:lineRule="exact"/>
              <w:ind w:left="75" w:right="75"/>
              <w:rPr>
                <w:sz w:val="18"/>
              </w:rPr>
            </w:pPr>
            <w:r>
              <w:rPr>
                <w:color w:val="333333"/>
                <w:sz w:val="18"/>
              </w:rPr>
              <w:t>295</w:t>
            </w:r>
          </w:p>
        </w:tc>
        <w:tc>
          <w:tcPr>
            <w:tcW w:w="607" w:type="dxa"/>
          </w:tcPr>
          <w:p>
            <w:pPr>
              <w:pStyle w:val="TableParagraph"/>
              <w:spacing w:line="199" w:lineRule="exact"/>
              <w:ind w:left="98"/>
              <w:jc w:val="left"/>
              <w:rPr>
                <w:b/>
                <w:sz w:val="18"/>
              </w:rPr>
            </w:pPr>
            <w:r>
              <w:rPr>
                <w:b/>
                <w:sz w:val="18"/>
              </w:rPr>
              <w:t>3738</w:t>
            </w:r>
          </w:p>
        </w:tc>
      </w:tr>
      <w:tr>
        <w:trPr>
          <w:trHeight w:val="322" w:hRule="exact"/>
        </w:trPr>
        <w:tc>
          <w:tcPr>
            <w:tcW w:w="2801" w:type="dxa"/>
          </w:tcPr>
          <w:p>
            <w:pPr>
              <w:pStyle w:val="TableParagraph"/>
              <w:spacing w:line="206" w:lineRule="exact"/>
              <w:ind w:left="64"/>
              <w:jc w:val="left"/>
              <w:rPr>
                <w:sz w:val="18"/>
              </w:rPr>
            </w:pPr>
            <w:r>
              <w:rPr>
                <w:color w:val="333333"/>
                <w:sz w:val="18"/>
              </w:rPr>
              <w:t>NICOLAS ROMERO</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ind w:left="75" w:right="75"/>
              <w:rPr>
                <w:sz w:val="18"/>
              </w:rPr>
            </w:pPr>
            <w:r>
              <w:rPr>
                <w:color w:val="333333"/>
                <w:sz w:val="18"/>
              </w:rPr>
              <w:t>298</w:t>
            </w:r>
          </w:p>
        </w:tc>
        <w:tc>
          <w:tcPr>
            <w:tcW w:w="600" w:type="dxa"/>
          </w:tcPr>
          <w:p>
            <w:pPr>
              <w:pStyle w:val="TableParagraph"/>
              <w:spacing w:line="206" w:lineRule="exact"/>
              <w:ind w:left="75" w:right="75"/>
              <w:rPr>
                <w:sz w:val="18"/>
              </w:rPr>
            </w:pPr>
            <w:r>
              <w:rPr>
                <w:color w:val="333333"/>
                <w:sz w:val="18"/>
              </w:rPr>
              <w:t>96</w:t>
            </w:r>
          </w:p>
        </w:tc>
        <w:tc>
          <w:tcPr>
            <w:tcW w:w="600" w:type="dxa"/>
          </w:tcPr>
          <w:p>
            <w:pPr>
              <w:pStyle w:val="TableParagraph"/>
              <w:spacing w:line="206" w:lineRule="exact"/>
              <w:ind w:left="75" w:right="75"/>
              <w:rPr>
                <w:sz w:val="18"/>
              </w:rPr>
            </w:pPr>
            <w:r>
              <w:rPr>
                <w:color w:val="333333"/>
                <w:sz w:val="18"/>
              </w:rPr>
              <w:t>53</w:t>
            </w:r>
          </w:p>
        </w:tc>
        <w:tc>
          <w:tcPr>
            <w:tcW w:w="600" w:type="dxa"/>
          </w:tcPr>
          <w:p>
            <w:pPr>
              <w:pStyle w:val="TableParagraph"/>
              <w:spacing w:line="206" w:lineRule="exact"/>
              <w:ind w:left="75" w:right="75"/>
              <w:rPr>
                <w:sz w:val="18"/>
              </w:rPr>
            </w:pPr>
            <w:r>
              <w:rPr>
                <w:color w:val="333333"/>
                <w:sz w:val="18"/>
              </w:rPr>
              <w:t>326</w:t>
            </w:r>
          </w:p>
        </w:tc>
        <w:tc>
          <w:tcPr>
            <w:tcW w:w="600" w:type="dxa"/>
          </w:tcPr>
          <w:p>
            <w:pPr>
              <w:pStyle w:val="TableParagraph"/>
              <w:spacing w:line="206" w:lineRule="exact"/>
              <w:ind w:left="75" w:right="75"/>
              <w:rPr>
                <w:sz w:val="18"/>
              </w:rPr>
            </w:pPr>
            <w:r>
              <w:rPr>
                <w:color w:val="333333"/>
                <w:sz w:val="18"/>
              </w:rPr>
              <w:t>147</w:t>
            </w:r>
          </w:p>
        </w:tc>
        <w:tc>
          <w:tcPr>
            <w:tcW w:w="600" w:type="dxa"/>
          </w:tcPr>
          <w:p>
            <w:pPr>
              <w:pStyle w:val="TableParagraph"/>
              <w:spacing w:line="206" w:lineRule="exact"/>
              <w:ind w:left="75" w:right="75"/>
              <w:rPr>
                <w:sz w:val="18"/>
              </w:rPr>
            </w:pPr>
            <w:r>
              <w:rPr>
                <w:color w:val="333333"/>
                <w:sz w:val="18"/>
              </w:rPr>
              <w:t>130</w:t>
            </w:r>
          </w:p>
        </w:tc>
        <w:tc>
          <w:tcPr>
            <w:tcW w:w="600" w:type="dxa"/>
          </w:tcPr>
          <w:p>
            <w:pPr>
              <w:pStyle w:val="TableParagraph"/>
              <w:spacing w:line="206" w:lineRule="exact"/>
              <w:ind w:left="75" w:right="75"/>
              <w:rPr>
                <w:sz w:val="18"/>
              </w:rPr>
            </w:pPr>
            <w:r>
              <w:rPr>
                <w:color w:val="333333"/>
                <w:sz w:val="18"/>
              </w:rPr>
              <w:t>196</w:t>
            </w:r>
          </w:p>
        </w:tc>
        <w:tc>
          <w:tcPr>
            <w:tcW w:w="601" w:type="dxa"/>
          </w:tcPr>
          <w:p>
            <w:pPr>
              <w:pStyle w:val="TableParagraph"/>
              <w:spacing w:line="206" w:lineRule="exact"/>
              <w:ind w:left="75" w:right="75"/>
              <w:rPr>
                <w:sz w:val="18"/>
              </w:rPr>
            </w:pPr>
            <w:r>
              <w:rPr>
                <w:color w:val="333333"/>
                <w:sz w:val="18"/>
              </w:rPr>
              <w:t>143</w:t>
            </w:r>
          </w:p>
        </w:tc>
        <w:tc>
          <w:tcPr>
            <w:tcW w:w="600" w:type="dxa"/>
          </w:tcPr>
          <w:p>
            <w:pPr>
              <w:pStyle w:val="TableParagraph"/>
              <w:spacing w:line="206" w:lineRule="exact"/>
              <w:ind w:left="75" w:right="75"/>
              <w:rPr>
                <w:sz w:val="18"/>
              </w:rPr>
            </w:pPr>
            <w:r>
              <w:rPr>
                <w:color w:val="333333"/>
                <w:sz w:val="18"/>
              </w:rPr>
              <w:t>78</w:t>
            </w:r>
          </w:p>
        </w:tc>
        <w:tc>
          <w:tcPr>
            <w:tcW w:w="607" w:type="dxa"/>
          </w:tcPr>
          <w:p>
            <w:pPr>
              <w:pStyle w:val="TableParagraph"/>
              <w:spacing w:line="201" w:lineRule="exact"/>
              <w:ind w:left="98"/>
              <w:jc w:val="left"/>
              <w:rPr>
                <w:b/>
                <w:sz w:val="18"/>
              </w:rPr>
            </w:pPr>
            <w:r>
              <w:rPr>
                <w:b/>
                <w:sz w:val="18"/>
              </w:rPr>
              <w:t>1467</w:t>
            </w:r>
          </w:p>
        </w:tc>
      </w:tr>
      <w:tr>
        <w:trPr>
          <w:trHeight w:val="319" w:hRule="exact"/>
        </w:trPr>
        <w:tc>
          <w:tcPr>
            <w:tcW w:w="2801" w:type="dxa"/>
          </w:tcPr>
          <w:p>
            <w:pPr>
              <w:pStyle w:val="TableParagraph"/>
              <w:spacing w:line="203" w:lineRule="exact"/>
              <w:ind w:left="64"/>
              <w:jc w:val="left"/>
              <w:rPr>
                <w:sz w:val="18"/>
              </w:rPr>
            </w:pPr>
            <w:r>
              <w:rPr>
                <w:color w:val="333333"/>
                <w:sz w:val="18"/>
              </w:rPr>
              <w:t>NOPALTEPEC</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9</w:t>
            </w:r>
          </w:p>
        </w:tc>
        <w:tc>
          <w:tcPr>
            <w:tcW w:w="600" w:type="dxa"/>
          </w:tcPr>
          <w:p>
            <w:pPr>
              <w:pStyle w:val="TableParagraph"/>
              <w:spacing w:line="203" w:lineRule="exact"/>
              <w:ind w:left="75" w:right="75"/>
              <w:rPr>
                <w:sz w:val="18"/>
              </w:rPr>
            </w:pPr>
            <w:r>
              <w:rPr>
                <w:color w:val="333333"/>
                <w:sz w:val="18"/>
              </w:rPr>
              <w:t>31</w:t>
            </w:r>
          </w:p>
        </w:tc>
        <w:tc>
          <w:tcPr>
            <w:tcW w:w="600" w:type="dxa"/>
          </w:tcPr>
          <w:p>
            <w:pPr>
              <w:pStyle w:val="TableParagraph"/>
              <w:spacing w:line="203" w:lineRule="exact"/>
              <w:ind w:left="75" w:right="75"/>
              <w:rPr>
                <w:sz w:val="18"/>
              </w:rPr>
            </w:pPr>
            <w:r>
              <w:rPr>
                <w:color w:val="333333"/>
                <w:sz w:val="18"/>
              </w:rPr>
              <w:t>22</w:t>
            </w:r>
          </w:p>
        </w:tc>
        <w:tc>
          <w:tcPr>
            <w:tcW w:w="600" w:type="dxa"/>
          </w:tcPr>
          <w:p>
            <w:pPr>
              <w:pStyle w:val="TableParagraph"/>
              <w:spacing w:line="203" w:lineRule="exact"/>
              <w:ind w:left="75" w:right="75"/>
              <w:rPr>
                <w:sz w:val="18"/>
              </w:rPr>
            </w:pPr>
            <w:r>
              <w:rPr>
                <w:color w:val="333333"/>
                <w:sz w:val="18"/>
              </w:rPr>
              <w:t>22</w:t>
            </w:r>
          </w:p>
        </w:tc>
        <w:tc>
          <w:tcPr>
            <w:tcW w:w="600" w:type="dxa"/>
          </w:tcPr>
          <w:p>
            <w:pPr>
              <w:pStyle w:val="TableParagraph"/>
              <w:spacing w:line="203" w:lineRule="exact"/>
              <w:ind w:left="75" w:right="75"/>
              <w:rPr>
                <w:sz w:val="18"/>
              </w:rPr>
            </w:pPr>
            <w:r>
              <w:rPr>
                <w:color w:val="333333"/>
                <w:sz w:val="18"/>
              </w:rPr>
              <w:t>15</w:t>
            </w:r>
          </w:p>
        </w:tc>
        <w:tc>
          <w:tcPr>
            <w:tcW w:w="600" w:type="dxa"/>
          </w:tcPr>
          <w:p>
            <w:pPr>
              <w:pStyle w:val="TableParagraph"/>
              <w:spacing w:line="203" w:lineRule="exact"/>
              <w:ind w:left="75" w:right="75"/>
              <w:rPr>
                <w:sz w:val="18"/>
              </w:rPr>
            </w:pPr>
            <w:r>
              <w:rPr>
                <w:color w:val="333333"/>
                <w:sz w:val="18"/>
              </w:rPr>
              <w:t>13</w:t>
            </w:r>
          </w:p>
        </w:tc>
        <w:tc>
          <w:tcPr>
            <w:tcW w:w="601" w:type="dxa"/>
          </w:tcPr>
          <w:p>
            <w:pPr>
              <w:pStyle w:val="TableParagraph"/>
              <w:spacing w:line="203" w:lineRule="exact"/>
              <w:rPr>
                <w:sz w:val="18"/>
              </w:rPr>
            </w:pPr>
            <w:r>
              <w:rPr>
                <w:color w:val="333333"/>
                <w:w w:val="99"/>
                <w:sz w:val="18"/>
              </w:rPr>
              <w:t>6</w:t>
            </w:r>
          </w:p>
        </w:tc>
        <w:tc>
          <w:tcPr>
            <w:tcW w:w="600" w:type="dxa"/>
          </w:tcPr>
          <w:p>
            <w:pPr>
              <w:pStyle w:val="TableParagraph"/>
              <w:spacing w:line="203" w:lineRule="exact"/>
              <w:ind w:left="75" w:right="75"/>
              <w:rPr>
                <w:sz w:val="18"/>
              </w:rPr>
            </w:pPr>
            <w:r>
              <w:rPr>
                <w:color w:val="333333"/>
                <w:sz w:val="18"/>
              </w:rPr>
              <w:t>20</w:t>
            </w:r>
          </w:p>
        </w:tc>
        <w:tc>
          <w:tcPr>
            <w:tcW w:w="607" w:type="dxa"/>
          </w:tcPr>
          <w:p>
            <w:pPr>
              <w:pStyle w:val="TableParagraph"/>
              <w:spacing w:line="199" w:lineRule="exact"/>
              <w:ind w:left="148"/>
              <w:jc w:val="left"/>
              <w:rPr>
                <w:b/>
                <w:sz w:val="18"/>
              </w:rPr>
            </w:pPr>
            <w:r>
              <w:rPr>
                <w:b/>
                <w:sz w:val="18"/>
              </w:rPr>
              <w:t>138</w:t>
            </w:r>
          </w:p>
        </w:tc>
      </w:tr>
      <w:tr>
        <w:trPr>
          <w:trHeight w:val="322" w:hRule="exact"/>
        </w:trPr>
        <w:tc>
          <w:tcPr>
            <w:tcW w:w="2801" w:type="dxa"/>
          </w:tcPr>
          <w:p>
            <w:pPr>
              <w:pStyle w:val="TableParagraph"/>
              <w:spacing w:line="206" w:lineRule="exact"/>
              <w:ind w:left="64"/>
              <w:jc w:val="left"/>
              <w:rPr>
                <w:sz w:val="18"/>
              </w:rPr>
            </w:pPr>
            <w:r>
              <w:rPr>
                <w:color w:val="333333"/>
                <w:sz w:val="18"/>
              </w:rPr>
              <w:t>OCOYOACAC</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5</w:t>
            </w:r>
          </w:p>
        </w:tc>
        <w:tc>
          <w:tcPr>
            <w:tcW w:w="600" w:type="dxa"/>
          </w:tcPr>
          <w:p>
            <w:pPr>
              <w:pStyle w:val="TableParagraph"/>
              <w:spacing w:line="206" w:lineRule="exact"/>
              <w:ind w:left="75" w:right="75"/>
              <w:rPr>
                <w:sz w:val="18"/>
              </w:rPr>
            </w:pPr>
            <w:r>
              <w:rPr>
                <w:color w:val="333333"/>
                <w:sz w:val="18"/>
              </w:rPr>
              <w:t>10</w:t>
            </w:r>
          </w:p>
        </w:tc>
        <w:tc>
          <w:tcPr>
            <w:tcW w:w="600" w:type="dxa"/>
          </w:tcPr>
          <w:p>
            <w:pPr>
              <w:pStyle w:val="TableParagraph"/>
              <w:spacing w:line="206" w:lineRule="exact"/>
              <w:ind w:left="75" w:right="75"/>
              <w:rPr>
                <w:sz w:val="18"/>
              </w:rPr>
            </w:pPr>
            <w:r>
              <w:rPr>
                <w:color w:val="333333"/>
                <w:sz w:val="18"/>
              </w:rPr>
              <w:t>21</w:t>
            </w:r>
          </w:p>
        </w:tc>
        <w:tc>
          <w:tcPr>
            <w:tcW w:w="600" w:type="dxa"/>
          </w:tcPr>
          <w:p>
            <w:pPr>
              <w:pStyle w:val="TableParagraph"/>
              <w:spacing w:line="206" w:lineRule="exact"/>
              <w:ind w:left="75" w:right="75"/>
              <w:rPr>
                <w:sz w:val="18"/>
              </w:rPr>
            </w:pPr>
            <w:r>
              <w:rPr>
                <w:color w:val="333333"/>
                <w:sz w:val="18"/>
              </w:rPr>
              <w:t>50</w:t>
            </w:r>
          </w:p>
        </w:tc>
        <w:tc>
          <w:tcPr>
            <w:tcW w:w="600" w:type="dxa"/>
          </w:tcPr>
          <w:p>
            <w:pPr>
              <w:pStyle w:val="TableParagraph"/>
              <w:spacing w:line="206" w:lineRule="exact"/>
              <w:ind w:left="75" w:right="75"/>
              <w:rPr>
                <w:sz w:val="18"/>
              </w:rPr>
            </w:pPr>
            <w:r>
              <w:rPr>
                <w:color w:val="333333"/>
                <w:sz w:val="18"/>
              </w:rPr>
              <w:t>42</w:t>
            </w:r>
          </w:p>
        </w:tc>
        <w:tc>
          <w:tcPr>
            <w:tcW w:w="600" w:type="dxa"/>
          </w:tcPr>
          <w:p>
            <w:pPr>
              <w:pStyle w:val="TableParagraph"/>
              <w:spacing w:line="206" w:lineRule="exact"/>
              <w:ind w:left="75" w:right="75"/>
              <w:rPr>
                <w:sz w:val="18"/>
              </w:rPr>
            </w:pPr>
            <w:r>
              <w:rPr>
                <w:color w:val="333333"/>
                <w:sz w:val="18"/>
              </w:rPr>
              <w:t>21</w:t>
            </w:r>
          </w:p>
        </w:tc>
        <w:tc>
          <w:tcPr>
            <w:tcW w:w="600" w:type="dxa"/>
          </w:tcPr>
          <w:p>
            <w:pPr>
              <w:pStyle w:val="TableParagraph"/>
              <w:spacing w:line="206" w:lineRule="exact"/>
              <w:ind w:left="75" w:right="75"/>
              <w:rPr>
                <w:sz w:val="18"/>
              </w:rPr>
            </w:pPr>
            <w:r>
              <w:rPr>
                <w:color w:val="333333"/>
                <w:sz w:val="18"/>
              </w:rPr>
              <w:t>29</w:t>
            </w:r>
          </w:p>
        </w:tc>
        <w:tc>
          <w:tcPr>
            <w:tcW w:w="601" w:type="dxa"/>
          </w:tcPr>
          <w:p>
            <w:pPr>
              <w:pStyle w:val="TableParagraph"/>
              <w:spacing w:line="206" w:lineRule="exact"/>
              <w:ind w:left="75" w:right="75"/>
              <w:rPr>
                <w:sz w:val="18"/>
              </w:rPr>
            </w:pPr>
            <w:r>
              <w:rPr>
                <w:color w:val="333333"/>
                <w:sz w:val="18"/>
              </w:rPr>
              <w:t>24</w:t>
            </w:r>
          </w:p>
        </w:tc>
        <w:tc>
          <w:tcPr>
            <w:tcW w:w="600" w:type="dxa"/>
          </w:tcPr>
          <w:p>
            <w:pPr>
              <w:pStyle w:val="TableParagraph"/>
              <w:spacing w:line="206" w:lineRule="exact"/>
              <w:ind w:left="75" w:right="75"/>
              <w:rPr>
                <w:sz w:val="18"/>
              </w:rPr>
            </w:pPr>
            <w:r>
              <w:rPr>
                <w:color w:val="333333"/>
                <w:sz w:val="18"/>
              </w:rPr>
              <w:t>24</w:t>
            </w:r>
          </w:p>
        </w:tc>
        <w:tc>
          <w:tcPr>
            <w:tcW w:w="607" w:type="dxa"/>
          </w:tcPr>
          <w:p>
            <w:pPr>
              <w:pStyle w:val="TableParagraph"/>
              <w:spacing w:line="201" w:lineRule="exact"/>
              <w:ind w:left="148"/>
              <w:jc w:val="left"/>
              <w:rPr>
                <w:b/>
                <w:sz w:val="18"/>
              </w:rPr>
            </w:pPr>
            <w:r>
              <w:rPr>
                <w:b/>
                <w:sz w:val="18"/>
              </w:rPr>
              <w:t>226</w:t>
            </w:r>
          </w:p>
        </w:tc>
      </w:tr>
      <w:tr>
        <w:trPr>
          <w:trHeight w:val="320" w:hRule="exact"/>
        </w:trPr>
        <w:tc>
          <w:tcPr>
            <w:tcW w:w="2801" w:type="dxa"/>
          </w:tcPr>
          <w:p>
            <w:pPr>
              <w:pStyle w:val="TableParagraph"/>
              <w:spacing w:line="204" w:lineRule="exact"/>
              <w:ind w:left="64"/>
              <w:jc w:val="left"/>
              <w:rPr>
                <w:sz w:val="18"/>
              </w:rPr>
            </w:pPr>
            <w:r>
              <w:rPr>
                <w:color w:val="333333"/>
                <w:sz w:val="18"/>
              </w:rPr>
              <w:t>OCUILAN</w:t>
            </w:r>
          </w:p>
        </w:tc>
        <w:tc>
          <w:tcPr>
            <w:tcW w:w="601" w:type="dxa"/>
          </w:tcPr>
          <w:p>
            <w:pPr>
              <w:pStyle w:val="TableParagraph"/>
              <w:spacing w:line="204" w:lineRule="exact"/>
              <w:rPr>
                <w:sz w:val="18"/>
              </w:rPr>
            </w:pPr>
            <w:r>
              <w:rPr>
                <w:color w:val="333333"/>
                <w:w w:val="99"/>
                <w:sz w:val="18"/>
              </w:rPr>
              <w:t>0</w:t>
            </w:r>
          </w:p>
        </w:tc>
        <w:tc>
          <w:tcPr>
            <w:tcW w:w="600" w:type="dxa"/>
          </w:tcPr>
          <w:p>
            <w:pPr>
              <w:pStyle w:val="TableParagraph"/>
              <w:spacing w:line="204" w:lineRule="exact"/>
              <w:ind w:right="243"/>
              <w:jc w:val="right"/>
              <w:rPr>
                <w:sz w:val="18"/>
              </w:rPr>
            </w:pPr>
            <w:r>
              <w:rPr>
                <w:color w:val="333333"/>
                <w:w w:val="99"/>
                <w:sz w:val="18"/>
              </w:rPr>
              <w:t>0</w:t>
            </w:r>
          </w:p>
        </w:tc>
        <w:tc>
          <w:tcPr>
            <w:tcW w:w="600" w:type="dxa"/>
          </w:tcPr>
          <w:p>
            <w:pPr>
              <w:pStyle w:val="TableParagraph"/>
              <w:spacing w:line="204" w:lineRule="exact"/>
              <w:rPr>
                <w:sz w:val="18"/>
              </w:rPr>
            </w:pPr>
            <w:r>
              <w:rPr>
                <w:color w:val="333333"/>
                <w:w w:val="99"/>
                <w:sz w:val="18"/>
              </w:rPr>
              <w:t>1</w:t>
            </w:r>
          </w:p>
        </w:tc>
        <w:tc>
          <w:tcPr>
            <w:tcW w:w="600" w:type="dxa"/>
          </w:tcPr>
          <w:p>
            <w:pPr>
              <w:pStyle w:val="TableParagraph"/>
              <w:spacing w:line="204" w:lineRule="exact"/>
              <w:ind w:left="75" w:right="75"/>
              <w:rPr>
                <w:sz w:val="18"/>
              </w:rPr>
            </w:pPr>
            <w:r>
              <w:rPr>
                <w:color w:val="333333"/>
                <w:sz w:val="18"/>
              </w:rPr>
              <w:t>15</w:t>
            </w:r>
          </w:p>
        </w:tc>
        <w:tc>
          <w:tcPr>
            <w:tcW w:w="600" w:type="dxa"/>
          </w:tcPr>
          <w:p>
            <w:pPr>
              <w:pStyle w:val="TableParagraph"/>
              <w:spacing w:line="204" w:lineRule="exact"/>
              <w:ind w:right="1"/>
              <w:rPr>
                <w:sz w:val="18"/>
              </w:rPr>
            </w:pPr>
            <w:r>
              <w:rPr>
                <w:color w:val="333333"/>
                <w:w w:val="99"/>
                <w:sz w:val="18"/>
              </w:rPr>
              <w:t>9</w:t>
            </w:r>
          </w:p>
        </w:tc>
        <w:tc>
          <w:tcPr>
            <w:tcW w:w="600" w:type="dxa"/>
          </w:tcPr>
          <w:p>
            <w:pPr>
              <w:pStyle w:val="TableParagraph"/>
              <w:spacing w:line="204" w:lineRule="exact"/>
              <w:ind w:left="75" w:right="75"/>
              <w:rPr>
                <w:sz w:val="18"/>
              </w:rPr>
            </w:pPr>
            <w:r>
              <w:rPr>
                <w:color w:val="333333"/>
                <w:sz w:val="18"/>
              </w:rPr>
              <w:t>24</w:t>
            </w:r>
          </w:p>
        </w:tc>
        <w:tc>
          <w:tcPr>
            <w:tcW w:w="600" w:type="dxa"/>
          </w:tcPr>
          <w:p>
            <w:pPr>
              <w:pStyle w:val="TableParagraph"/>
              <w:spacing w:line="204" w:lineRule="exact"/>
              <w:ind w:left="75" w:right="75"/>
              <w:rPr>
                <w:sz w:val="18"/>
              </w:rPr>
            </w:pPr>
            <w:r>
              <w:rPr>
                <w:color w:val="333333"/>
                <w:sz w:val="18"/>
              </w:rPr>
              <w:t>23</w:t>
            </w:r>
          </w:p>
        </w:tc>
        <w:tc>
          <w:tcPr>
            <w:tcW w:w="600" w:type="dxa"/>
          </w:tcPr>
          <w:p>
            <w:pPr>
              <w:pStyle w:val="TableParagraph"/>
              <w:spacing w:line="204" w:lineRule="exact"/>
              <w:ind w:left="75" w:right="75"/>
              <w:rPr>
                <w:sz w:val="18"/>
              </w:rPr>
            </w:pPr>
            <w:r>
              <w:rPr>
                <w:color w:val="333333"/>
                <w:sz w:val="18"/>
              </w:rPr>
              <w:t>16</w:t>
            </w:r>
          </w:p>
        </w:tc>
        <w:tc>
          <w:tcPr>
            <w:tcW w:w="600" w:type="dxa"/>
          </w:tcPr>
          <w:p>
            <w:pPr>
              <w:pStyle w:val="TableParagraph"/>
              <w:spacing w:line="204" w:lineRule="exact"/>
              <w:ind w:left="75" w:right="75"/>
              <w:rPr>
                <w:sz w:val="18"/>
              </w:rPr>
            </w:pPr>
            <w:r>
              <w:rPr>
                <w:color w:val="333333"/>
                <w:sz w:val="18"/>
              </w:rPr>
              <w:t>16</w:t>
            </w:r>
          </w:p>
        </w:tc>
        <w:tc>
          <w:tcPr>
            <w:tcW w:w="601" w:type="dxa"/>
          </w:tcPr>
          <w:p>
            <w:pPr>
              <w:pStyle w:val="TableParagraph"/>
              <w:spacing w:line="204" w:lineRule="exact"/>
              <w:ind w:left="75" w:right="75"/>
              <w:rPr>
                <w:sz w:val="18"/>
              </w:rPr>
            </w:pPr>
            <w:r>
              <w:rPr>
                <w:color w:val="333333"/>
                <w:sz w:val="18"/>
              </w:rPr>
              <w:t>10</w:t>
            </w:r>
          </w:p>
        </w:tc>
        <w:tc>
          <w:tcPr>
            <w:tcW w:w="600" w:type="dxa"/>
          </w:tcPr>
          <w:p>
            <w:pPr>
              <w:pStyle w:val="TableParagraph"/>
              <w:spacing w:line="204" w:lineRule="exact"/>
              <w:ind w:left="75" w:right="75"/>
              <w:rPr>
                <w:sz w:val="18"/>
              </w:rPr>
            </w:pPr>
            <w:r>
              <w:rPr>
                <w:color w:val="333333"/>
                <w:sz w:val="18"/>
              </w:rPr>
              <w:t>12</w:t>
            </w:r>
          </w:p>
        </w:tc>
        <w:tc>
          <w:tcPr>
            <w:tcW w:w="607" w:type="dxa"/>
          </w:tcPr>
          <w:p>
            <w:pPr>
              <w:pStyle w:val="TableParagraph"/>
              <w:spacing w:line="199" w:lineRule="exact"/>
              <w:ind w:left="148"/>
              <w:jc w:val="left"/>
              <w:rPr>
                <w:b/>
                <w:sz w:val="18"/>
              </w:rPr>
            </w:pPr>
            <w:r>
              <w:rPr>
                <w:b/>
                <w:sz w:val="18"/>
              </w:rPr>
              <w:t>126</w:t>
            </w:r>
          </w:p>
        </w:tc>
      </w:tr>
      <w:tr>
        <w:trPr>
          <w:trHeight w:val="322" w:hRule="exact"/>
        </w:trPr>
        <w:tc>
          <w:tcPr>
            <w:tcW w:w="2801" w:type="dxa"/>
          </w:tcPr>
          <w:p>
            <w:pPr>
              <w:pStyle w:val="TableParagraph"/>
              <w:spacing w:line="206" w:lineRule="exact"/>
              <w:ind w:left="64"/>
              <w:jc w:val="left"/>
              <w:rPr>
                <w:sz w:val="18"/>
              </w:rPr>
            </w:pPr>
            <w:r>
              <w:rPr>
                <w:color w:val="333333"/>
                <w:sz w:val="18"/>
              </w:rPr>
              <w:t>OTUMBA</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2</w:t>
            </w:r>
          </w:p>
        </w:tc>
        <w:tc>
          <w:tcPr>
            <w:tcW w:w="600" w:type="dxa"/>
          </w:tcPr>
          <w:p>
            <w:pPr>
              <w:pStyle w:val="TableParagraph"/>
              <w:spacing w:line="206" w:lineRule="exact"/>
              <w:ind w:left="75" w:right="75"/>
              <w:rPr>
                <w:sz w:val="18"/>
              </w:rPr>
            </w:pPr>
            <w:r>
              <w:rPr>
                <w:color w:val="333333"/>
                <w:sz w:val="18"/>
              </w:rPr>
              <w:t>14</w:t>
            </w:r>
          </w:p>
        </w:tc>
        <w:tc>
          <w:tcPr>
            <w:tcW w:w="600" w:type="dxa"/>
          </w:tcPr>
          <w:p>
            <w:pPr>
              <w:pStyle w:val="TableParagraph"/>
              <w:spacing w:line="206" w:lineRule="exact"/>
              <w:ind w:left="75" w:right="75"/>
              <w:rPr>
                <w:sz w:val="18"/>
              </w:rPr>
            </w:pPr>
            <w:r>
              <w:rPr>
                <w:color w:val="333333"/>
                <w:sz w:val="18"/>
              </w:rPr>
              <w:t>10</w:t>
            </w:r>
          </w:p>
        </w:tc>
        <w:tc>
          <w:tcPr>
            <w:tcW w:w="600" w:type="dxa"/>
          </w:tcPr>
          <w:p>
            <w:pPr>
              <w:pStyle w:val="TableParagraph"/>
              <w:spacing w:line="206" w:lineRule="exact"/>
              <w:ind w:left="75" w:right="75"/>
              <w:rPr>
                <w:sz w:val="18"/>
              </w:rPr>
            </w:pPr>
            <w:r>
              <w:rPr>
                <w:color w:val="333333"/>
                <w:sz w:val="18"/>
              </w:rPr>
              <w:t>17</w:t>
            </w:r>
          </w:p>
        </w:tc>
        <w:tc>
          <w:tcPr>
            <w:tcW w:w="600" w:type="dxa"/>
          </w:tcPr>
          <w:p>
            <w:pPr>
              <w:pStyle w:val="TableParagraph"/>
              <w:spacing w:line="206" w:lineRule="exact"/>
              <w:ind w:left="75" w:right="75"/>
              <w:rPr>
                <w:sz w:val="18"/>
              </w:rPr>
            </w:pPr>
            <w:r>
              <w:rPr>
                <w:color w:val="333333"/>
                <w:sz w:val="18"/>
              </w:rPr>
              <w:t>19</w:t>
            </w:r>
          </w:p>
        </w:tc>
        <w:tc>
          <w:tcPr>
            <w:tcW w:w="600" w:type="dxa"/>
          </w:tcPr>
          <w:p>
            <w:pPr>
              <w:pStyle w:val="TableParagraph"/>
              <w:spacing w:line="206" w:lineRule="exact"/>
              <w:ind w:left="75" w:right="75"/>
              <w:rPr>
                <w:sz w:val="18"/>
              </w:rPr>
            </w:pPr>
            <w:r>
              <w:rPr>
                <w:color w:val="333333"/>
                <w:sz w:val="18"/>
              </w:rPr>
              <w:t>18</w:t>
            </w:r>
          </w:p>
        </w:tc>
        <w:tc>
          <w:tcPr>
            <w:tcW w:w="600" w:type="dxa"/>
          </w:tcPr>
          <w:p>
            <w:pPr>
              <w:pStyle w:val="TableParagraph"/>
              <w:spacing w:line="206" w:lineRule="exact"/>
              <w:ind w:left="75" w:right="75"/>
              <w:rPr>
                <w:sz w:val="18"/>
              </w:rPr>
            </w:pPr>
            <w:r>
              <w:rPr>
                <w:color w:val="333333"/>
                <w:sz w:val="18"/>
              </w:rPr>
              <w:t>33</w:t>
            </w:r>
          </w:p>
        </w:tc>
        <w:tc>
          <w:tcPr>
            <w:tcW w:w="601" w:type="dxa"/>
          </w:tcPr>
          <w:p>
            <w:pPr>
              <w:pStyle w:val="TableParagraph"/>
              <w:spacing w:line="206" w:lineRule="exact"/>
              <w:rPr>
                <w:sz w:val="18"/>
              </w:rPr>
            </w:pPr>
            <w:r>
              <w:rPr>
                <w:color w:val="333333"/>
                <w:w w:val="99"/>
                <w:sz w:val="18"/>
              </w:rPr>
              <w:t>9</w:t>
            </w:r>
          </w:p>
        </w:tc>
        <w:tc>
          <w:tcPr>
            <w:tcW w:w="600" w:type="dxa"/>
          </w:tcPr>
          <w:p>
            <w:pPr>
              <w:pStyle w:val="TableParagraph"/>
              <w:spacing w:line="206" w:lineRule="exact"/>
              <w:ind w:left="75" w:right="75"/>
              <w:rPr>
                <w:sz w:val="18"/>
              </w:rPr>
            </w:pPr>
            <w:r>
              <w:rPr>
                <w:color w:val="333333"/>
                <w:sz w:val="18"/>
              </w:rPr>
              <w:t>20</w:t>
            </w:r>
          </w:p>
        </w:tc>
        <w:tc>
          <w:tcPr>
            <w:tcW w:w="607" w:type="dxa"/>
          </w:tcPr>
          <w:p>
            <w:pPr>
              <w:pStyle w:val="TableParagraph"/>
              <w:spacing w:line="201" w:lineRule="exact"/>
              <w:ind w:left="148"/>
              <w:jc w:val="left"/>
              <w:rPr>
                <w:b/>
                <w:sz w:val="18"/>
              </w:rPr>
            </w:pPr>
            <w:r>
              <w:rPr>
                <w:b/>
                <w:sz w:val="18"/>
              </w:rPr>
              <w:t>142</w:t>
            </w:r>
          </w:p>
        </w:tc>
      </w:tr>
      <w:tr>
        <w:trPr>
          <w:trHeight w:val="322" w:hRule="exact"/>
        </w:trPr>
        <w:tc>
          <w:tcPr>
            <w:tcW w:w="2801" w:type="dxa"/>
          </w:tcPr>
          <w:p>
            <w:pPr>
              <w:pStyle w:val="TableParagraph"/>
              <w:spacing w:line="203" w:lineRule="exact"/>
              <w:ind w:left="64"/>
              <w:jc w:val="left"/>
              <w:rPr>
                <w:sz w:val="18"/>
              </w:rPr>
            </w:pPr>
            <w:r>
              <w:rPr>
                <w:color w:val="333333"/>
                <w:sz w:val="18"/>
              </w:rPr>
              <w:t>OTZOLOAPAN</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2</w:t>
            </w:r>
          </w:p>
        </w:tc>
        <w:tc>
          <w:tcPr>
            <w:tcW w:w="600" w:type="dxa"/>
          </w:tcPr>
          <w:p>
            <w:pPr>
              <w:pStyle w:val="TableParagraph"/>
              <w:spacing w:line="203" w:lineRule="exact"/>
              <w:ind w:left="75" w:right="75"/>
              <w:rPr>
                <w:sz w:val="18"/>
              </w:rPr>
            </w:pPr>
            <w:r>
              <w:rPr>
                <w:color w:val="333333"/>
                <w:sz w:val="18"/>
              </w:rPr>
              <w:t>13</w:t>
            </w:r>
          </w:p>
        </w:tc>
        <w:tc>
          <w:tcPr>
            <w:tcW w:w="600" w:type="dxa"/>
          </w:tcPr>
          <w:p>
            <w:pPr>
              <w:pStyle w:val="TableParagraph"/>
              <w:spacing w:line="203" w:lineRule="exact"/>
              <w:ind w:left="75" w:right="75"/>
              <w:rPr>
                <w:sz w:val="18"/>
              </w:rPr>
            </w:pPr>
            <w:r>
              <w:rPr>
                <w:color w:val="333333"/>
                <w:sz w:val="18"/>
              </w:rPr>
              <w:t>13</w:t>
            </w:r>
          </w:p>
        </w:tc>
        <w:tc>
          <w:tcPr>
            <w:tcW w:w="600" w:type="dxa"/>
          </w:tcPr>
          <w:p>
            <w:pPr>
              <w:pStyle w:val="TableParagraph"/>
              <w:spacing w:line="203" w:lineRule="exact"/>
              <w:ind w:left="75" w:right="75"/>
              <w:rPr>
                <w:sz w:val="18"/>
              </w:rPr>
            </w:pPr>
            <w:r>
              <w:rPr>
                <w:color w:val="333333"/>
                <w:sz w:val="18"/>
              </w:rPr>
              <w:t>13</w:t>
            </w:r>
          </w:p>
        </w:tc>
        <w:tc>
          <w:tcPr>
            <w:tcW w:w="600" w:type="dxa"/>
          </w:tcPr>
          <w:p>
            <w:pPr>
              <w:pStyle w:val="TableParagraph"/>
              <w:spacing w:line="203" w:lineRule="exact"/>
              <w:ind w:left="75" w:right="75"/>
              <w:rPr>
                <w:sz w:val="18"/>
              </w:rPr>
            </w:pPr>
            <w:r>
              <w:rPr>
                <w:color w:val="333333"/>
                <w:sz w:val="18"/>
              </w:rPr>
              <w:t>16</w:t>
            </w:r>
          </w:p>
        </w:tc>
        <w:tc>
          <w:tcPr>
            <w:tcW w:w="600" w:type="dxa"/>
          </w:tcPr>
          <w:p>
            <w:pPr>
              <w:pStyle w:val="TableParagraph"/>
              <w:spacing w:line="203" w:lineRule="exact"/>
              <w:ind w:left="75" w:right="75"/>
              <w:rPr>
                <w:sz w:val="18"/>
              </w:rPr>
            </w:pPr>
            <w:r>
              <w:rPr>
                <w:color w:val="333333"/>
                <w:sz w:val="18"/>
              </w:rPr>
              <w:t>17</w:t>
            </w:r>
          </w:p>
        </w:tc>
        <w:tc>
          <w:tcPr>
            <w:tcW w:w="600" w:type="dxa"/>
          </w:tcPr>
          <w:p>
            <w:pPr>
              <w:pStyle w:val="TableParagraph"/>
              <w:spacing w:line="203" w:lineRule="exact"/>
              <w:rPr>
                <w:sz w:val="18"/>
              </w:rPr>
            </w:pPr>
            <w:r>
              <w:rPr>
                <w:color w:val="333333"/>
                <w:w w:val="99"/>
                <w:sz w:val="18"/>
              </w:rPr>
              <w:t>9</w:t>
            </w:r>
          </w:p>
        </w:tc>
        <w:tc>
          <w:tcPr>
            <w:tcW w:w="601" w:type="dxa"/>
          </w:tcPr>
          <w:p>
            <w:pPr>
              <w:pStyle w:val="TableParagraph"/>
              <w:spacing w:line="203" w:lineRule="exact"/>
              <w:rPr>
                <w:sz w:val="18"/>
              </w:rPr>
            </w:pPr>
            <w:r>
              <w:rPr>
                <w:color w:val="333333"/>
                <w:w w:val="99"/>
                <w:sz w:val="18"/>
              </w:rPr>
              <w:t>4</w:t>
            </w:r>
          </w:p>
        </w:tc>
        <w:tc>
          <w:tcPr>
            <w:tcW w:w="600" w:type="dxa"/>
          </w:tcPr>
          <w:p>
            <w:pPr>
              <w:pStyle w:val="TableParagraph"/>
              <w:spacing w:line="203" w:lineRule="exact"/>
              <w:ind w:left="75" w:right="75"/>
              <w:rPr>
                <w:sz w:val="18"/>
              </w:rPr>
            </w:pPr>
            <w:r>
              <w:rPr>
                <w:color w:val="333333"/>
                <w:sz w:val="18"/>
              </w:rPr>
              <w:t>15</w:t>
            </w:r>
          </w:p>
        </w:tc>
        <w:tc>
          <w:tcPr>
            <w:tcW w:w="607" w:type="dxa"/>
          </w:tcPr>
          <w:p>
            <w:pPr>
              <w:pStyle w:val="TableParagraph"/>
              <w:spacing w:line="199" w:lineRule="exact"/>
              <w:ind w:left="148"/>
              <w:jc w:val="left"/>
              <w:rPr>
                <w:b/>
                <w:sz w:val="18"/>
              </w:rPr>
            </w:pPr>
            <w:r>
              <w:rPr>
                <w:b/>
                <w:sz w:val="18"/>
              </w:rPr>
              <w:t>102</w:t>
            </w:r>
          </w:p>
        </w:tc>
      </w:tr>
      <w:tr>
        <w:trPr>
          <w:trHeight w:val="319" w:hRule="exact"/>
        </w:trPr>
        <w:tc>
          <w:tcPr>
            <w:tcW w:w="2801" w:type="dxa"/>
          </w:tcPr>
          <w:p>
            <w:pPr>
              <w:pStyle w:val="TableParagraph"/>
              <w:spacing w:line="203" w:lineRule="exact"/>
              <w:ind w:left="64"/>
              <w:jc w:val="left"/>
              <w:rPr>
                <w:sz w:val="18"/>
              </w:rPr>
            </w:pPr>
            <w:r>
              <w:rPr>
                <w:color w:val="333333"/>
                <w:sz w:val="18"/>
              </w:rPr>
              <w:t>OTZOLOTEPEC</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left="75" w:right="75"/>
              <w:rPr>
                <w:sz w:val="18"/>
              </w:rPr>
            </w:pPr>
            <w:r>
              <w:rPr>
                <w:color w:val="333333"/>
                <w:sz w:val="18"/>
              </w:rPr>
              <w:t>11</w:t>
            </w:r>
          </w:p>
        </w:tc>
        <w:tc>
          <w:tcPr>
            <w:tcW w:w="600" w:type="dxa"/>
          </w:tcPr>
          <w:p>
            <w:pPr>
              <w:pStyle w:val="TableParagraph"/>
              <w:spacing w:line="203" w:lineRule="exact"/>
              <w:ind w:left="75" w:right="75"/>
              <w:rPr>
                <w:sz w:val="18"/>
              </w:rPr>
            </w:pPr>
            <w:r>
              <w:rPr>
                <w:color w:val="333333"/>
                <w:sz w:val="18"/>
              </w:rPr>
              <w:t>23</w:t>
            </w:r>
          </w:p>
        </w:tc>
        <w:tc>
          <w:tcPr>
            <w:tcW w:w="600" w:type="dxa"/>
          </w:tcPr>
          <w:p>
            <w:pPr>
              <w:pStyle w:val="TableParagraph"/>
              <w:spacing w:line="203" w:lineRule="exact"/>
              <w:ind w:left="75" w:right="75"/>
              <w:rPr>
                <w:sz w:val="18"/>
              </w:rPr>
            </w:pPr>
            <w:r>
              <w:rPr>
                <w:color w:val="333333"/>
                <w:sz w:val="18"/>
              </w:rPr>
              <w:t>24</w:t>
            </w:r>
          </w:p>
        </w:tc>
        <w:tc>
          <w:tcPr>
            <w:tcW w:w="600" w:type="dxa"/>
          </w:tcPr>
          <w:p>
            <w:pPr>
              <w:pStyle w:val="TableParagraph"/>
              <w:spacing w:line="203" w:lineRule="exact"/>
              <w:ind w:left="75" w:right="75"/>
              <w:rPr>
                <w:sz w:val="18"/>
              </w:rPr>
            </w:pPr>
            <w:r>
              <w:rPr>
                <w:color w:val="333333"/>
                <w:sz w:val="18"/>
              </w:rPr>
              <w:t>40</w:t>
            </w:r>
          </w:p>
        </w:tc>
        <w:tc>
          <w:tcPr>
            <w:tcW w:w="600" w:type="dxa"/>
          </w:tcPr>
          <w:p>
            <w:pPr>
              <w:pStyle w:val="TableParagraph"/>
              <w:spacing w:line="203" w:lineRule="exact"/>
              <w:ind w:left="75" w:right="75"/>
              <w:rPr>
                <w:sz w:val="18"/>
              </w:rPr>
            </w:pPr>
            <w:r>
              <w:rPr>
                <w:color w:val="333333"/>
                <w:sz w:val="18"/>
              </w:rPr>
              <w:t>36</w:t>
            </w:r>
          </w:p>
        </w:tc>
        <w:tc>
          <w:tcPr>
            <w:tcW w:w="600" w:type="dxa"/>
          </w:tcPr>
          <w:p>
            <w:pPr>
              <w:pStyle w:val="TableParagraph"/>
              <w:spacing w:line="203" w:lineRule="exact"/>
              <w:ind w:left="75" w:right="75"/>
              <w:rPr>
                <w:sz w:val="18"/>
              </w:rPr>
            </w:pPr>
            <w:r>
              <w:rPr>
                <w:color w:val="333333"/>
                <w:sz w:val="18"/>
              </w:rPr>
              <w:t>37</w:t>
            </w:r>
          </w:p>
        </w:tc>
        <w:tc>
          <w:tcPr>
            <w:tcW w:w="601" w:type="dxa"/>
          </w:tcPr>
          <w:p>
            <w:pPr>
              <w:pStyle w:val="TableParagraph"/>
              <w:spacing w:line="203" w:lineRule="exact"/>
              <w:ind w:left="75" w:right="75"/>
              <w:rPr>
                <w:sz w:val="18"/>
              </w:rPr>
            </w:pPr>
            <w:r>
              <w:rPr>
                <w:color w:val="333333"/>
                <w:sz w:val="18"/>
              </w:rPr>
              <w:t>27</w:t>
            </w:r>
          </w:p>
        </w:tc>
        <w:tc>
          <w:tcPr>
            <w:tcW w:w="600" w:type="dxa"/>
          </w:tcPr>
          <w:p>
            <w:pPr>
              <w:pStyle w:val="TableParagraph"/>
              <w:spacing w:line="203" w:lineRule="exact"/>
              <w:ind w:left="75" w:right="75"/>
              <w:rPr>
                <w:sz w:val="18"/>
              </w:rPr>
            </w:pPr>
            <w:r>
              <w:rPr>
                <w:color w:val="333333"/>
                <w:sz w:val="18"/>
              </w:rPr>
              <w:t>40</w:t>
            </w:r>
          </w:p>
        </w:tc>
        <w:tc>
          <w:tcPr>
            <w:tcW w:w="607" w:type="dxa"/>
          </w:tcPr>
          <w:p>
            <w:pPr>
              <w:pStyle w:val="TableParagraph"/>
              <w:spacing w:line="199" w:lineRule="exact"/>
              <w:ind w:left="148"/>
              <w:jc w:val="left"/>
              <w:rPr>
                <w:b/>
                <w:sz w:val="18"/>
              </w:rPr>
            </w:pPr>
            <w:r>
              <w:rPr>
                <w:b/>
                <w:sz w:val="18"/>
              </w:rPr>
              <w:t>238</w:t>
            </w:r>
          </w:p>
        </w:tc>
      </w:tr>
      <w:tr>
        <w:trPr>
          <w:trHeight w:val="322" w:hRule="exact"/>
        </w:trPr>
        <w:tc>
          <w:tcPr>
            <w:tcW w:w="2801" w:type="dxa"/>
          </w:tcPr>
          <w:p>
            <w:pPr>
              <w:pStyle w:val="TableParagraph"/>
              <w:spacing w:line="203" w:lineRule="exact"/>
              <w:ind w:left="64"/>
              <w:jc w:val="left"/>
              <w:rPr>
                <w:sz w:val="18"/>
              </w:rPr>
            </w:pPr>
            <w:r>
              <w:rPr>
                <w:color w:val="333333"/>
                <w:sz w:val="18"/>
              </w:rPr>
              <w:t>OZUMBA</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left="75" w:right="75"/>
              <w:rPr>
                <w:sz w:val="18"/>
              </w:rPr>
            </w:pPr>
            <w:r>
              <w:rPr>
                <w:color w:val="333333"/>
                <w:sz w:val="18"/>
              </w:rPr>
              <w:t>14</w:t>
            </w:r>
          </w:p>
        </w:tc>
        <w:tc>
          <w:tcPr>
            <w:tcW w:w="600" w:type="dxa"/>
          </w:tcPr>
          <w:p>
            <w:pPr>
              <w:pStyle w:val="TableParagraph"/>
              <w:spacing w:line="203" w:lineRule="exact"/>
              <w:ind w:left="75" w:right="75"/>
              <w:rPr>
                <w:sz w:val="18"/>
              </w:rPr>
            </w:pPr>
            <w:r>
              <w:rPr>
                <w:color w:val="333333"/>
                <w:sz w:val="18"/>
              </w:rPr>
              <w:t>42</w:t>
            </w:r>
          </w:p>
        </w:tc>
        <w:tc>
          <w:tcPr>
            <w:tcW w:w="600" w:type="dxa"/>
          </w:tcPr>
          <w:p>
            <w:pPr>
              <w:pStyle w:val="TableParagraph"/>
              <w:spacing w:line="203" w:lineRule="exact"/>
              <w:ind w:left="75" w:right="75"/>
              <w:rPr>
                <w:sz w:val="18"/>
              </w:rPr>
            </w:pPr>
            <w:r>
              <w:rPr>
                <w:color w:val="333333"/>
                <w:sz w:val="18"/>
              </w:rPr>
              <w:t>65</w:t>
            </w:r>
          </w:p>
        </w:tc>
        <w:tc>
          <w:tcPr>
            <w:tcW w:w="600" w:type="dxa"/>
          </w:tcPr>
          <w:p>
            <w:pPr>
              <w:pStyle w:val="TableParagraph"/>
              <w:spacing w:line="203" w:lineRule="exact"/>
              <w:ind w:left="75" w:right="75"/>
              <w:rPr>
                <w:sz w:val="18"/>
              </w:rPr>
            </w:pPr>
            <w:r>
              <w:rPr>
                <w:color w:val="333333"/>
                <w:sz w:val="18"/>
              </w:rPr>
              <w:t>58</w:t>
            </w:r>
          </w:p>
        </w:tc>
        <w:tc>
          <w:tcPr>
            <w:tcW w:w="600" w:type="dxa"/>
          </w:tcPr>
          <w:p>
            <w:pPr>
              <w:pStyle w:val="TableParagraph"/>
              <w:spacing w:line="203" w:lineRule="exact"/>
              <w:ind w:left="75" w:right="75"/>
              <w:rPr>
                <w:sz w:val="18"/>
              </w:rPr>
            </w:pPr>
            <w:r>
              <w:rPr>
                <w:color w:val="333333"/>
                <w:sz w:val="18"/>
              </w:rPr>
              <w:t>26</w:t>
            </w:r>
          </w:p>
        </w:tc>
        <w:tc>
          <w:tcPr>
            <w:tcW w:w="600" w:type="dxa"/>
          </w:tcPr>
          <w:p>
            <w:pPr>
              <w:pStyle w:val="TableParagraph"/>
              <w:spacing w:line="203" w:lineRule="exact"/>
              <w:ind w:left="75" w:right="75"/>
              <w:rPr>
                <w:sz w:val="18"/>
              </w:rPr>
            </w:pPr>
            <w:r>
              <w:rPr>
                <w:color w:val="333333"/>
                <w:sz w:val="18"/>
              </w:rPr>
              <w:t>43</w:t>
            </w:r>
          </w:p>
        </w:tc>
        <w:tc>
          <w:tcPr>
            <w:tcW w:w="601" w:type="dxa"/>
          </w:tcPr>
          <w:p>
            <w:pPr>
              <w:pStyle w:val="TableParagraph"/>
              <w:spacing w:line="203" w:lineRule="exact"/>
              <w:ind w:left="75" w:right="75"/>
              <w:rPr>
                <w:sz w:val="18"/>
              </w:rPr>
            </w:pPr>
            <w:r>
              <w:rPr>
                <w:color w:val="333333"/>
                <w:sz w:val="18"/>
              </w:rPr>
              <w:t>27</w:t>
            </w:r>
          </w:p>
        </w:tc>
        <w:tc>
          <w:tcPr>
            <w:tcW w:w="600" w:type="dxa"/>
          </w:tcPr>
          <w:p>
            <w:pPr>
              <w:pStyle w:val="TableParagraph"/>
              <w:spacing w:line="203" w:lineRule="exact"/>
              <w:ind w:left="75" w:right="75"/>
              <w:rPr>
                <w:sz w:val="18"/>
              </w:rPr>
            </w:pPr>
            <w:r>
              <w:rPr>
                <w:color w:val="333333"/>
                <w:sz w:val="18"/>
              </w:rPr>
              <w:t>30</w:t>
            </w:r>
          </w:p>
        </w:tc>
        <w:tc>
          <w:tcPr>
            <w:tcW w:w="607" w:type="dxa"/>
          </w:tcPr>
          <w:p>
            <w:pPr>
              <w:pStyle w:val="TableParagraph"/>
              <w:spacing w:line="199" w:lineRule="exact"/>
              <w:ind w:left="148"/>
              <w:jc w:val="left"/>
              <w:rPr>
                <w:b/>
                <w:sz w:val="18"/>
              </w:rPr>
            </w:pPr>
            <w:r>
              <w:rPr>
                <w:b/>
                <w:sz w:val="18"/>
              </w:rPr>
              <w:t>305</w:t>
            </w:r>
          </w:p>
        </w:tc>
      </w:tr>
      <w:tr>
        <w:trPr>
          <w:trHeight w:val="319" w:hRule="exact"/>
        </w:trPr>
        <w:tc>
          <w:tcPr>
            <w:tcW w:w="2801" w:type="dxa"/>
          </w:tcPr>
          <w:p>
            <w:pPr>
              <w:pStyle w:val="TableParagraph"/>
              <w:spacing w:line="203" w:lineRule="exact"/>
              <w:ind w:left="64"/>
              <w:jc w:val="left"/>
              <w:rPr>
                <w:sz w:val="18"/>
              </w:rPr>
            </w:pPr>
            <w:r>
              <w:rPr>
                <w:color w:val="333333"/>
                <w:sz w:val="18"/>
              </w:rPr>
              <w:t>PAPALOTLA</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left="75" w:right="75"/>
              <w:rPr>
                <w:sz w:val="18"/>
              </w:rPr>
            </w:pPr>
            <w:r>
              <w:rPr>
                <w:color w:val="333333"/>
                <w:sz w:val="18"/>
              </w:rPr>
              <w:t>27</w:t>
            </w:r>
          </w:p>
        </w:tc>
        <w:tc>
          <w:tcPr>
            <w:tcW w:w="600" w:type="dxa"/>
          </w:tcPr>
          <w:p>
            <w:pPr>
              <w:pStyle w:val="TableParagraph"/>
              <w:spacing w:line="203" w:lineRule="exact"/>
              <w:ind w:left="75" w:right="75"/>
              <w:rPr>
                <w:sz w:val="18"/>
              </w:rPr>
            </w:pPr>
            <w:r>
              <w:rPr>
                <w:color w:val="333333"/>
                <w:sz w:val="18"/>
              </w:rPr>
              <w:t>40</w:t>
            </w:r>
          </w:p>
        </w:tc>
        <w:tc>
          <w:tcPr>
            <w:tcW w:w="600" w:type="dxa"/>
          </w:tcPr>
          <w:p>
            <w:pPr>
              <w:pStyle w:val="TableParagraph"/>
              <w:spacing w:line="203" w:lineRule="exact"/>
              <w:ind w:left="75" w:right="75"/>
              <w:rPr>
                <w:sz w:val="18"/>
              </w:rPr>
            </w:pPr>
            <w:r>
              <w:rPr>
                <w:color w:val="333333"/>
                <w:sz w:val="18"/>
              </w:rPr>
              <w:t>39</w:t>
            </w:r>
          </w:p>
        </w:tc>
        <w:tc>
          <w:tcPr>
            <w:tcW w:w="600" w:type="dxa"/>
          </w:tcPr>
          <w:p>
            <w:pPr>
              <w:pStyle w:val="TableParagraph"/>
              <w:spacing w:line="203" w:lineRule="exact"/>
              <w:ind w:left="75" w:right="75"/>
              <w:rPr>
                <w:sz w:val="18"/>
              </w:rPr>
            </w:pPr>
            <w:r>
              <w:rPr>
                <w:color w:val="333333"/>
                <w:sz w:val="18"/>
              </w:rPr>
              <w:t>75</w:t>
            </w:r>
          </w:p>
        </w:tc>
        <w:tc>
          <w:tcPr>
            <w:tcW w:w="600" w:type="dxa"/>
          </w:tcPr>
          <w:p>
            <w:pPr>
              <w:pStyle w:val="TableParagraph"/>
              <w:spacing w:line="203" w:lineRule="exact"/>
              <w:ind w:left="75" w:right="75"/>
              <w:rPr>
                <w:sz w:val="18"/>
              </w:rPr>
            </w:pPr>
            <w:r>
              <w:rPr>
                <w:color w:val="333333"/>
                <w:sz w:val="18"/>
              </w:rPr>
              <w:t>65</w:t>
            </w:r>
          </w:p>
        </w:tc>
        <w:tc>
          <w:tcPr>
            <w:tcW w:w="600" w:type="dxa"/>
          </w:tcPr>
          <w:p>
            <w:pPr>
              <w:pStyle w:val="TableParagraph"/>
              <w:spacing w:line="203" w:lineRule="exact"/>
              <w:ind w:left="75" w:right="75"/>
              <w:rPr>
                <w:sz w:val="18"/>
              </w:rPr>
            </w:pPr>
            <w:r>
              <w:rPr>
                <w:color w:val="333333"/>
                <w:sz w:val="18"/>
              </w:rPr>
              <w:t>52</w:t>
            </w:r>
          </w:p>
        </w:tc>
        <w:tc>
          <w:tcPr>
            <w:tcW w:w="601" w:type="dxa"/>
          </w:tcPr>
          <w:p>
            <w:pPr>
              <w:pStyle w:val="TableParagraph"/>
              <w:spacing w:line="203" w:lineRule="exact"/>
              <w:ind w:left="75" w:right="75"/>
              <w:rPr>
                <w:sz w:val="18"/>
              </w:rPr>
            </w:pPr>
            <w:r>
              <w:rPr>
                <w:color w:val="333333"/>
                <w:sz w:val="18"/>
              </w:rPr>
              <w:t>36</w:t>
            </w:r>
          </w:p>
        </w:tc>
        <w:tc>
          <w:tcPr>
            <w:tcW w:w="600" w:type="dxa"/>
          </w:tcPr>
          <w:p>
            <w:pPr>
              <w:pStyle w:val="TableParagraph"/>
              <w:spacing w:line="203" w:lineRule="exact"/>
              <w:ind w:left="75" w:right="75"/>
              <w:rPr>
                <w:sz w:val="18"/>
              </w:rPr>
            </w:pPr>
            <w:r>
              <w:rPr>
                <w:color w:val="333333"/>
                <w:sz w:val="18"/>
              </w:rPr>
              <w:t>26</w:t>
            </w:r>
          </w:p>
        </w:tc>
        <w:tc>
          <w:tcPr>
            <w:tcW w:w="607" w:type="dxa"/>
          </w:tcPr>
          <w:p>
            <w:pPr>
              <w:pStyle w:val="TableParagraph"/>
              <w:spacing w:line="199" w:lineRule="exact"/>
              <w:ind w:left="148"/>
              <w:jc w:val="left"/>
              <w:rPr>
                <w:b/>
                <w:sz w:val="18"/>
              </w:rPr>
            </w:pPr>
            <w:r>
              <w:rPr>
                <w:b/>
                <w:sz w:val="18"/>
              </w:rPr>
              <w:t>360</w:t>
            </w:r>
          </w:p>
        </w:tc>
      </w:tr>
    </w:tbl>
    <w:p>
      <w:pPr>
        <w:spacing w:after="0" w:line="199" w:lineRule="exact"/>
        <w:jc w:val="left"/>
        <w:rPr>
          <w:sz w:val="18"/>
        </w:rPr>
        <w:sectPr>
          <w:pgSz w:w="12240" w:h="15840"/>
          <w:pgMar w:header="0" w:footer="975" w:top="1420" w:bottom="1160" w:left="960" w:right="1040"/>
        </w:sect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01"/>
        <w:gridCol w:w="601"/>
        <w:gridCol w:w="600"/>
        <w:gridCol w:w="600"/>
        <w:gridCol w:w="600"/>
        <w:gridCol w:w="600"/>
        <w:gridCol w:w="600"/>
        <w:gridCol w:w="600"/>
        <w:gridCol w:w="600"/>
        <w:gridCol w:w="600"/>
        <w:gridCol w:w="601"/>
        <w:gridCol w:w="600"/>
        <w:gridCol w:w="607"/>
      </w:tblGrid>
      <w:tr>
        <w:trPr>
          <w:trHeight w:val="321" w:hRule="exact"/>
        </w:trPr>
        <w:tc>
          <w:tcPr>
            <w:tcW w:w="10010" w:type="dxa"/>
            <w:gridSpan w:val="13"/>
            <w:shd w:val="clear" w:color="auto" w:fill="92D050"/>
          </w:tcPr>
          <w:p>
            <w:pPr>
              <w:pStyle w:val="TableParagraph"/>
              <w:spacing w:line="200" w:lineRule="exact"/>
              <w:ind w:left="310"/>
              <w:jc w:val="left"/>
              <w:rPr>
                <w:b/>
                <w:sz w:val="18"/>
              </w:rPr>
            </w:pPr>
            <w:r>
              <w:rPr>
                <w:b/>
                <w:sz w:val="18"/>
              </w:rPr>
              <w:t>Anexo 10. Solicitudes de información recibidas anualmente por los municipios de 2005 a 2015 (Continuación)</w:t>
            </w:r>
          </w:p>
        </w:tc>
      </w:tr>
      <w:tr>
        <w:trPr>
          <w:trHeight w:val="319" w:hRule="exact"/>
        </w:trPr>
        <w:tc>
          <w:tcPr>
            <w:tcW w:w="2801" w:type="dxa"/>
            <w:shd w:val="clear" w:color="auto" w:fill="92D050"/>
          </w:tcPr>
          <w:p>
            <w:pPr>
              <w:pStyle w:val="TableParagraph"/>
              <w:spacing w:line="199" w:lineRule="exact"/>
              <w:ind w:left="955" w:right="955"/>
              <w:rPr>
                <w:b/>
                <w:sz w:val="18"/>
              </w:rPr>
            </w:pPr>
            <w:r>
              <w:rPr>
                <w:b/>
                <w:sz w:val="18"/>
              </w:rPr>
              <w:t>Municipio</w:t>
            </w:r>
          </w:p>
        </w:tc>
        <w:tc>
          <w:tcPr>
            <w:tcW w:w="1201" w:type="dxa"/>
            <w:gridSpan w:val="2"/>
            <w:shd w:val="clear" w:color="auto" w:fill="92D050"/>
          </w:tcPr>
          <w:p>
            <w:pPr>
              <w:pStyle w:val="TableParagraph"/>
              <w:spacing w:line="199" w:lineRule="exact"/>
              <w:ind w:left="93"/>
              <w:jc w:val="left"/>
              <w:rPr>
                <w:b/>
                <w:sz w:val="18"/>
              </w:rPr>
            </w:pPr>
            <w:r>
              <w:rPr>
                <w:b/>
                <w:sz w:val="18"/>
              </w:rPr>
              <w:t>2005   2006</w:t>
            </w:r>
          </w:p>
        </w:tc>
        <w:tc>
          <w:tcPr>
            <w:tcW w:w="600" w:type="dxa"/>
            <w:shd w:val="clear" w:color="auto" w:fill="92D050"/>
          </w:tcPr>
          <w:p>
            <w:pPr>
              <w:pStyle w:val="TableParagraph"/>
              <w:spacing w:line="199" w:lineRule="exact"/>
              <w:ind w:left="75" w:right="75"/>
              <w:rPr>
                <w:b/>
                <w:sz w:val="18"/>
              </w:rPr>
            </w:pPr>
            <w:r>
              <w:rPr>
                <w:b/>
                <w:sz w:val="18"/>
              </w:rPr>
              <w:t>2007</w:t>
            </w:r>
          </w:p>
        </w:tc>
        <w:tc>
          <w:tcPr>
            <w:tcW w:w="600" w:type="dxa"/>
            <w:shd w:val="clear" w:color="auto" w:fill="92D050"/>
          </w:tcPr>
          <w:p>
            <w:pPr>
              <w:pStyle w:val="TableParagraph"/>
              <w:spacing w:line="199" w:lineRule="exact"/>
              <w:ind w:left="75" w:right="75"/>
              <w:rPr>
                <w:b/>
                <w:sz w:val="18"/>
              </w:rPr>
            </w:pPr>
            <w:r>
              <w:rPr>
                <w:b/>
                <w:sz w:val="18"/>
              </w:rPr>
              <w:t>2008</w:t>
            </w:r>
          </w:p>
        </w:tc>
        <w:tc>
          <w:tcPr>
            <w:tcW w:w="600" w:type="dxa"/>
            <w:shd w:val="clear" w:color="auto" w:fill="92D050"/>
          </w:tcPr>
          <w:p>
            <w:pPr>
              <w:pStyle w:val="TableParagraph"/>
              <w:spacing w:line="199" w:lineRule="exact"/>
              <w:ind w:left="75" w:right="75"/>
              <w:rPr>
                <w:b/>
                <w:sz w:val="18"/>
              </w:rPr>
            </w:pPr>
            <w:r>
              <w:rPr>
                <w:b/>
                <w:sz w:val="18"/>
              </w:rPr>
              <w:t>2009</w:t>
            </w:r>
          </w:p>
        </w:tc>
        <w:tc>
          <w:tcPr>
            <w:tcW w:w="600" w:type="dxa"/>
            <w:shd w:val="clear" w:color="auto" w:fill="92D050"/>
          </w:tcPr>
          <w:p>
            <w:pPr>
              <w:pStyle w:val="TableParagraph"/>
              <w:spacing w:line="199" w:lineRule="exact"/>
              <w:ind w:left="75" w:right="75"/>
              <w:rPr>
                <w:b/>
                <w:sz w:val="18"/>
              </w:rPr>
            </w:pPr>
            <w:r>
              <w:rPr>
                <w:b/>
                <w:sz w:val="18"/>
              </w:rPr>
              <w:t>2010</w:t>
            </w:r>
          </w:p>
        </w:tc>
        <w:tc>
          <w:tcPr>
            <w:tcW w:w="600" w:type="dxa"/>
            <w:shd w:val="clear" w:color="auto" w:fill="92D050"/>
          </w:tcPr>
          <w:p>
            <w:pPr>
              <w:pStyle w:val="TableParagraph"/>
              <w:spacing w:line="199" w:lineRule="exact"/>
              <w:ind w:left="75" w:right="75"/>
              <w:rPr>
                <w:b/>
                <w:sz w:val="18"/>
              </w:rPr>
            </w:pPr>
            <w:r>
              <w:rPr>
                <w:b/>
                <w:sz w:val="18"/>
              </w:rPr>
              <w:t>2011</w:t>
            </w:r>
          </w:p>
        </w:tc>
        <w:tc>
          <w:tcPr>
            <w:tcW w:w="600" w:type="dxa"/>
            <w:shd w:val="clear" w:color="auto" w:fill="92D050"/>
          </w:tcPr>
          <w:p>
            <w:pPr>
              <w:pStyle w:val="TableParagraph"/>
              <w:spacing w:line="199" w:lineRule="exact"/>
              <w:ind w:left="75" w:right="75"/>
              <w:rPr>
                <w:b/>
                <w:sz w:val="18"/>
              </w:rPr>
            </w:pPr>
            <w:r>
              <w:rPr>
                <w:b/>
                <w:sz w:val="18"/>
              </w:rPr>
              <w:t>2012</w:t>
            </w:r>
          </w:p>
        </w:tc>
        <w:tc>
          <w:tcPr>
            <w:tcW w:w="600" w:type="dxa"/>
            <w:shd w:val="clear" w:color="auto" w:fill="92D050"/>
          </w:tcPr>
          <w:p>
            <w:pPr>
              <w:pStyle w:val="TableParagraph"/>
              <w:spacing w:line="199" w:lineRule="exact"/>
              <w:ind w:left="75" w:right="75"/>
              <w:rPr>
                <w:b/>
                <w:sz w:val="18"/>
              </w:rPr>
            </w:pPr>
            <w:r>
              <w:rPr>
                <w:b/>
                <w:sz w:val="18"/>
              </w:rPr>
              <w:t>2013</w:t>
            </w:r>
          </w:p>
        </w:tc>
        <w:tc>
          <w:tcPr>
            <w:tcW w:w="601" w:type="dxa"/>
            <w:shd w:val="clear" w:color="auto" w:fill="92D050"/>
          </w:tcPr>
          <w:p>
            <w:pPr>
              <w:pStyle w:val="TableParagraph"/>
              <w:spacing w:line="199" w:lineRule="exact"/>
              <w:ind w:left="75" w:right="75"/>
              <w:rPr>
                <w:b/>
                <w:sz w:val="18"/>
              </w:rPr>
            </w:pPr>
            <w:r>
              <w:rPr>
                <w:b/>
                <w:sz w:val="18"/>
              </w:rPr>
              <w:t>2014</w:t>
            </w:r>
          </w:p>
        </w:tc>
        <w:tc>
          <w:tcPr>
            <w:tcW w:w="600" w:type="dxa"/>
            <w:shd w:val="clear" w:color="auto" w:fill="92D050"/>
          </w:tcPr>
          <w:p>
            <w:pPr>
              <w:pStyle w:val="TableParagraph"/>
              <w:spacing w:line="199" w:lineRule="exact"/>
              <w:ind w:left="75" w:right="75"/>
              <w:rPr>
                <w:b/>
                <w:sz w:val="18"/>
              </w:rPr>
            </w:pPr>
            <w:r>
              <w:rPr>
                <w:b/>
                <w:sz w:val="18"/>
              </w:rPr>
              <w:t>2015</w:t>
            </w:r>
          </w:p>
        </w:tc>
        <w:tc>
          <w:tcPr>
            <w:tcW w:w="607" w:type="dxa"/>
            <w:shd w:val="clear" w:color="auto" w:fill="92D050"/>
          </w:tcPr>
          <w:p>
            <w:pPr>
              <w:pStyle w:val="TableParagraph"/>
              <w:spacing w:line="199" w:lineRule="exact"/>
              <w:ind w:left="64" w:right="63"/>
              <w:rPr>
                <w:b/>
                <w:sz w:val="18"/>
              </w:rPr>
            </w:pPr>
            <w:r>
              <w:rPr>
                <w:b/>
                <w:sz w:val="18"/>
              </w:rPr>
              <w:t>Total</w:t>
            </w:r>
          </w:p>
        </w:tc>
      </w:tr>
      <w:tr>
        <w:trPr>
          <w:trHeight w:val="322" w:hRule="exact"/>
        </w:trPr>
        <w:tc>
          <w:tcPr>
            <w:tcW w:w="2801" w:type="dxa"/>
          </w:tcPr>
          <w:p>
            <w:pPr>
              <w:pStyle w:val="TableParagraph"/>
              <w:spacing w:line="206" w:lineRule="exact"/>
              <w:ind w:left="64"/>
              <w:jc w:val="left"/>
              <w:rPr>
                <w:sz w:val="18"/>
              </w:rPr>
            </w:pPr>
            <w:r>
              <w:rPr>
                <w:color w:val="333333"/>
                <w:sz w:val="18"/>
              </w:rPr>
              <w:t>POLOTITLAN</w:t>
            </w:r>
          </w:p>
        </w:tc>
        <w:tc>
          <w:tcPr>
            <w:tcW w:w="601" w:type="dxa"/>
          </w:tcPr>
          <w:p>
            <w:pPr>
              <w:pStyle w:val="TableParagraph"/>
              <w:spacing w:line="206" w:lineRule="exact"/>
              <w:ind w:left="75" w:right="75"/>
              <w:rPr>
                <w:sz w:val="18"/>
              </w:rPr>
            </w:pPr>
            <w:r>
              <w:rPr>
                <w:color w:val="333333"/>
                <w:sz w:val="18"/>
              </w:rPr>
              <w:t>16</w:t>
            </w:r>
          </w:p>
        </w:tc>
        <w:tc>
          <w:tcPr>
            <w:tcW w:w="600" w:type="dxa"/>
          </w:tcPr>
          <w:p>
            <w:pPr>
              <w:pStyle w:val="TableParagraph"/>
              <w:spacing w:line="206" w:lineRule="exact"/>
              <w:ind w:right="243"/>
              <w:jc w:val="right"/>
              <w:rPr>
                <w:sz w:val="18"/>
              </w:rPr>
            </w:pPr>
            <w:r>
              <w:rPr>
                <w:color w:val="333333"/>
                <w:w w:val="99"/>
                <w:sz w:val="18"/>
              </w:rPr>
              <w:t>9</w:t>
            </w:r>
          </w:p>
        </w:tc>
        <w:tc>
          <w:tcPr>
            <w:tcW w:w="600" w:type="dxa"/>
          </w:tcPr>
          <w:p>
            <w:pPr>
              <w:pStyle w:val="TableParagraph"/>
              <w:spacing w:line="206" w:lineRule="exact"/>
              <w:rPr>
                <w:sz w:val="18"/>
              </w:rPr>
            </w:pPr>
            <w:r>
              <w:rPr>
                <w:color w:val="333333"/>
                <w:w w:val="99"/>
                <w:sz w:val="18"/>
              </w:rPr>
              <w:t>5</w:t>
            </w:r>
          </w:p>
        </w:tc>
        <w:tc>
          <w:tcPr>
            <w:tcW w:w="600" w:type="dxa"/>
          </w:tcPr>
          <w:p>
            <w:pPr>
              <w:pStyle w:val="TableParagraph"/>
              <w:spacing w:line="206" w:lineRule="exact"/>
              <w:rPr>
                <w:sz w:val="18"/>
              </w:rPr>
            </w:pPr>
            <w:r>
              <w:rPr>
                <w:color w:val="333333"/>
                <w:w w:val="99"/>
                <w:sz w:val="18"/>
              </w:rPr>
              <w:t>8</w:t>
            </w:r>
          </w:p>
        </w:tc>
        <w:tc>
          <w:tcPr>
            <w:tcW w:w="600" w:type="dxa"/>
          </w:tcPr>
          <w:p>
            <w:pPr>
              <w:pStyle w:val="TableParagraph"/>
              <w:spacing w:line="206" w:lineRule="exact"/>
              <w:ind w:right="1"/>
              <w:rPr>
                <w:sz w:val="18"/>
              </w:rPr>
            </w:pPr>
            <w:r>
              <w:rPr>
                <w:color w:val="333333"/>
                <w:w w:val="99"/>
                <w:sz w:val="18"/>
              </w:rPr>
              <w:t>9</w:t>
            </w:r>
          </w:p>
        </w:tc>
        <w:tc>
          <w:tcPr>
            <w:tcW w:w="600" w:type="dxa"/>
          </w:tcPr>
          <w:p>
            <w:pPr>
              <w:pStyle w:val="TableParagraph"/>
              <w:spacing w:line="206" w:lineRule="exact"/>
              <w:ind w:left="75" w:right="75"/>
              <w:rPr>
                <w:sz w:val="18"/>
              </w:rPr>
            </w:pPr>
            <w:r>
              <w:rPr>
                <w:color w:val="333333"/>
                <w:sz w:val="18"/>
              </w:rPr>
              <w:t>12</w:t>
            </w:r>
          </w:p>
        </w:tc>
        <w:tc>
          <w:tcPr>
            <w:tcW w:w="600" w:type="dxa"/>
          </w:tcPr>
          <w:p>
            <w:pPr>
              <w:pStyle w:val="TableParagraph"/>
              <w:spacing w:line="206" w:lineRule="exact"/>
              <w:ind w:left="75" w:right="75"/>
              <w:rPr>
                <w:sz w:val="18"/>
              </w:rPr>
            </w:pPr>
            <w:r>
              <w:rPr>
                <w:color w:val="333333"/>
                <w:sz w:val="18"/>
              </w:rPr>
              <w:t>15</w:t>
            </w:r>
          </w:p>
        </w:tc>
        <w:tc>
          <w:tcPr>
            <w:tcW w:w="600" w:type="dxa"/>
          </w:tcPr>
          <w:p>
            <w:pPr>
              <w:pStyle w:val="TableParagraph"/>
              <w:spacing w:line="206" w:lineRule="exact"/>
              <w:ind w:left="75" w:right="75"/>
              <w:rPr>
                <w:sz w:val="18"/>
              </w:rPr>
            </w:pPr>
            <w:r>
              <w:rPr>
                <w:color w:val="333333"/>
                <w:sz w:val="18"/>
              </w:rPr>
              <w:t>16</w:t>
            </w:r>
          </w:p>
        </w:tc>
        <w:tc>
          <w:tcPr>
            <w:tcW w:w="600" w:type="dxa"/>
          </w:tcPr>
          <w:p>
            <w:pPr>
              <w:pStyle w:val="TableParagraph"/>
              <w:spacing w:line="206" w:lineRule="exact"/>
              <w:ind w:left="75" w:right="75"/>
              <w:rPr>
                <w:sz w:val="18"/>
              </w:rPr>
            </w:pPr>
            <w:r>
              <w:rPr>
                <w:color w:val="333333"/>
                <w:sz w:val="18"/>
              </w:rPr>
              <w:t>14</w:t>
            </w:r>
          </w:p>
        </w:tc>
        <w:tc>
          <w:tcPr>
            <w:tcW w:w="601" w:type="dxa"/>
          </w:tcPr>
          <w:p>
            <w:pPr>
              <w:pStyle w:val="TableParagraph"/>
              <w:spacing w:line="206" w:lineRule="exact"/>
              <w:rPr>
                <w:sz w:val="18"/>
              </w:rPr>
            </w:pPr>
            <w:r>
              <w:rPr>
                <w:color w:val="333333"/>
                <w:w w:val="99"/>
                <w:sz w:val="18"/>
              </w:rPr>
              <w:t>5</w:t>
            </w:r>
          </w:p>
        </w:tc>
        <w:tc>
          <w:tcPr>
            <w:tcW w:w="600" w:type="dxa"/>
          </w:tcPr>
          <w:p>
            <w:pPr>
              <w:pStyle w:val="TableParagraph"/>
              <w:spacing w:line="206" w:lineRule="exact"/>
              <w:ind w:left="75" w:right="75"/>
              <w:rPr>
                <w:sz w:val="18"/>
              </w:rPr>
            </w:pPr>
            <w:r>
              <w:rPr>
                <w:color w:val="333333"/>
                <w:sz w:val="18"/>
              </w:rPr>
              <w:t>10</w:t>
            </w:r>
          </w:p>
        </w:tc>
        <w:tc>
          <w:tcPr>
            <w:tcW w:w="607" w:type="dxa"/>
          </w:tcPr>
          <w:p>
            <w:pPr>
              <w:pStyle w:val="TableParagraph"/>
              <w:spacing w:line="201" w:lineRule="exact"/>
              <w:ind w:left="64" w:right="62"/>
              <w:rPr>
                <w:b/>
                <w:sz w:val="18"/>
              </w:rPr>
            </w:pPr>
            <w:r>
              <w:rPr>
                <w:b/>
                <w:sz w:val="18"/>
              </w:rPr>
              <w:t>119</w:t>
            </w:r>
          </w:p>
        </w:tc>
      </w:tr>
      <w:tr>
        <w:trPr>
          <w:trHeight w:val="322" w:hRule="exact"/>
        </w:trPr>
        <w:tc>
          <w:tcPr>
            <w:tcW w:w="2801" w:type="dxa"/>
          </w:tcPr>
          <w:p>
            <w:pPr>
              <w:pStyle w:val="TableParagraph"/>
              <w:spacing w:line="203" w:lineRule="exact"/>
              <w:ind w:left="64"/>
              <w:jc w:val="left"/>
              <w:rPr>
                <w:sz w:val="18"/>
              </w:rPr>
            </w:pPr>
            <w:r>
              <w:rPr>
                <w:color w:val="333333"/>
                <w:sz w:val="18"/>
              </w:rPr>
              <w:t>RAYON</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2</w:t>
            </w:r>
          </w:p>
        </w:tc>
        <w:tc>
          <w:tcPr>
            <w:tcW w:w="600" w:type="dxa"/>
          </w:tcPr>
          <w:p>
            <w:pPr>
              <w:pStyle w:val="TableParagraph"/>
              <w:spacing w:line="203" w:lineRule="exact"/>
              <w:ind w:left="75" w:right="75"/>
              <w:rPr>
                <w:sz w:val="18"/>
              </w:rPr>
            </w:pPr>
            <w:r>
              <w:rPr>
                <w:color w:val="333333"/>
                <w:sz w:val="18"/>
              </w:rPr>
              <w:t>11</w:t>
            </w:r>
          </w:p>
        </w:tc>
        <w:tc>
          <w:tcPr>
            <w:tcW w:w="600" w:type="dxa"/>
          </w:tcPr>
          <w:p>
            <w:pPr>
              <w:pStyle w:val="TableParagraph"/>
              <w:spacing w:line="203" w:lineRule="exact"/>
              <w:ind w:left="75" w:right="75"/>
              <w:rPr>
                <w:sz w:val="18"/>
              </w:rPr>
            </w:pPr>
            <w:r>
              <w:rPr>
                <w:color w:val="333333"/>
                <w:sz w:val="18"/>
              </w:rPr>
              <w:t>31</w:t>
            </w:r>
          </w:p>
        </w:tc>
        <w:tc>
          <w:tcPr>
            <w:tcW w:w="600" w:type="dxa"/>
          </w:tcPr>
          <w:p>
            <w:pPr>
              <w:pStyle w:val="TableParagraph"/>
              <w:spacing w:line="203" w:lineRule="exact"/>
              <w:ind w:left="75" w:right="75"/>
              <w:rPr>
                <w:sz w:val="18"/>
              </w:rPr>
            </w:pPr>
            <w:r>
              <w:rPr>
                <w:color w:val="333333"/>
                <w:sz w:val="18"/>
              </w:rPr>
              <w:t>27</w:t>
            </w:r>
          </w:p>
        </w:tc>
        <w:tc>
          <w:tcPr>
            <w:tcW w:w="600" w:type="dxa"/>
          </w:tcPr>
          <w:p>
            <w:pPr>
              <w:pStyle w:val="TableParagraph"/>
              <w:spacing w:line="203" w:lineRule="exact"/>
              <w:ind w:left="75" w:right="75"/>
              <w:rPr>
                <w:sz w:val="18"/>
              </w:rPr>
            </w:pPr>
            <w:r>
              <w:rPr>
                <w:color w:val="333333"/>
                <w:sz w:val="18"/>
              </w:rPr>
              <w:t>18</w:t>
            </w:r>
          </w:p>
        </w:tc>
        <w:tc>
          <w:tcPr>
            <w:tcW w:w="600" w:type="dxa"/>
          </w:tcPr>
          <w:p>
            <w:pPr>
              <w:pStyle w:val="TableParagraph"/>
              <w:spacing w:line="203" w:lineRule="exact"/>
              <w:ind w:left="75" w:right="75"/>
              <w:rPr>
                <w:sz w:val="18"/>
              </w:rPr>
            </w:pPr>
            <w:r>
              <w:rPr>
                <w:color w:val="333333"/>
                <w:sz w:val="18"/>
              </w:rPr>
              <w:t>14</w:t>
            </w:r>
          </w:p>
        </w:tc>
        <w:tc>
          <w:tcPr>
            <w:tcW w:w="600" w:type="dxa"/>
          </w:tcPr>
          <w:p>
            <w:pPr>
              <w:pStyle w:val="TableParagraph"/>
              <w:spacing w:line="203" w:lineRule="exact"/>
              <w:ind w:left="75" w:right="75"/>
              <w:rPr>
                <w:sz w:val="18"/>
              </w:rPr>
            </w:pPr>
            <w:r>
              <w:rPr>
                <w:color w:val="333333"/>
                <w:sz w:val="18"/>
              </w:rPr>
              <w:t>10</w:t>
            </w:r>
          </w:p>
        </w:tc>
        <w:tc>
          <w:tcPr>
            <w:tcW w:w="601" w:type="dxa"/>
          </w:tcPr>
          <w:p>
            <w:pPr>
              <w:pStyle w:val="TableParagraph"/>
              <w:spacing w:line="203" w:lineRule="exact"/>
              <w:ind w:left="75" w:right="75"/>
              <w:rPr>
                <w:sz w:val="18"/>
              </w:rPr>
            </w:pPr>
            <w:r>
              <w:rPr>
                <w:color w:val="333333"/>
                <w:sz w:val="18"/>
              </w:rPr>
              <w:t>16</w:t>
            </w:r>
          </w:p>
        </w:tc>
        <w:tc>
          <w:tcPr>
            <w:tcW w:w="600" w:type="dxa"/>
          </w:tcPr>
          <w:p>
            <w:pPr>
              <w:pStyle w:val="TableParagraph"/>
              <w:spacing w:line="203" w:lineRule="exact"/>
              <w:ind w:left="75" w:right="75"/>
              <w:rPr>
                <w:sz w:val="18"/>
              </w:rPr>
            </w:pPr>
            <w:r>
              <w:rPr>
                <w:color w:val="333333"/>
                <w:sz w:val="18"/>
              </w:rPr>
              <w:t>20</w:t>
            </w:r>
          </w:p>
        </w:tc>
        <w:tc>
          <w:tcPr>
            <w:tcW w:w="607" w:type="dxa"/>
          </w:tcPr>
          <w:p>
            <w:pPr>
              <w:pStyle w:val="TableParagraph"/>
              <w:spacing w:line="199" w:lineRule="exact"/>
              <w:ind w:left="64" w:right="62"/>
              <w:rPr>
                <w:b/>
                <w:sz w:val="18"/>
              </w:rPr>
            </w:pPr>
            <w:r>
              <w:rPr>
                <w:b/>
                <w:sz w:val="18"/>
              </w:rPr>
              <w:t>149</w:t>
            </w:r>
          </w:p>
        </w:tc>
      </w:tr>
      <w:tr>
        <w:trPr>
          <w:trHeight w:val="319" w:hRule="exact"/>
        </w:trPr>
        <w:tc>
          <w:tcPr>
            <w:tcW w:w="2801" w:type="dxa"/>
          </w:tcPr>
          <w:p>
            <w:pPr>
              <w:pStyle w:val="TableParagraph"/>
              <w:spacing w:line="203" w:lineRule="exact"/>
              <w:ind w:left="64"/>
              <w:jc w:val="left"/>
              <w:rPr>
                <w:sz w:val="18"/>
              </w:rPr>
            </w:pPr>
            <w:r>
              <w:rPr>
                <w:color w:val="333333"/>
                <w:sz w:val="18"/>
              </w:rPr>
              <w:t>SAN ANTONIO LA ISLA</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2</w:t>
            </w:r>
          </w:p>
        </w:tc>
        <w:tc>
          <w:tcPr>
            <w:tcW w:w="600" w:type="dxa"/>
          </w:tcPr>
          <w:p>
            <w:pPr>
              <w:pStyle w:val="TableParagraph"/>
              <w:spacing w:line="203" w:lineRule="exact"/>
              <w:rPr>
                <w:sz w:val="18"/>
              </w:rPr>
            </w:pPr>
            <w:r>
              <w:rPr>
                <w:color w:val="333333"/>
                <w:w w:val="99"/>
                <w:sz w:val="18"/>
              </w:rPr>
              <w:t>8</w:t>
            </w:r>
          </w:p>
        </w:tc>
        <w:tc>
          <w:tcPr>
            <w:tcW w:w="600" w:type="dxa"/>
          </w:tcPr>
          <w:p>
            <w:pPr>
              <w:pStyle w:val="TableParagraph"/>
              <w:spacing w:line="203" w:lineRule="exact"/>
              <w:ind w:left="75" w:right="75"/>
              <w:rPr>
                <w:sz w:val="18"/>
              </w:rPr>
            </w:pPr>
            <w:r>
              <w:rPr>
                <w:color w:val="333333"/>
                <w:sz w:val="18"/>
              </w:rPr>
              <w:t>10</w:t>
            </w:r>
          </w:p>
        </w:tc>
        <w:tc>
          <w:tcPr>
            <w:tcW w:w="600" w:type="dxa"/>
          </w:tcPr>
          <w:p>
            <w:pPr>
              <w:pStyle w:val="TableParagraph"/>
              <w:spacing w:line="203" w:lineRule="exact"/>
              <w:ind w:left="75" w:right="75"/>
              <w:rPr>
                <w:sz w:val="18"/>
              </w:rPr>
            </w:pPr>
            <w:r>
              <w:rPr>
                <w:color w:val="333333"/>
                <w:sz w:val="18"/>
              </w:rPr>
              <w:t>18</w:t>
            </w:r>
          </w:p>
        </w:tc>
        <w:tc>
          <w:tcPr>
            <w:tcW w:w="600" w:type="dxa"/>
          </w:tcPr>
          <w:p>
            <w:pPr>
              <w:pStyle w:val="TableParagraph"/>
              <w:spacing w:line="203" w:lineRule="exact"/>
              <w:ind w:left="75" w:right="75"/>
              <w:rPr>
                <w:sz w:val="18"/>
              </w:rPr>
            </w:pPr>
            <w:r>
              <w:rPr>
                <w:color w:val="333333"/>
                <w:sz w:val="18"/>
              </w:rPr>
              <w:t>25</w:t>
            </w:r>
          </w:p>
        </w:tc>
        <w:tc>
          <w:tcPr>
            <w:tcW w:w="600" w:type="dxa"/>
          </w:tcPr>
          <w:p>
            <w:pPr>
              <w:pStyle w:val="TableParagraph"/>
              <w:spacing w:line="203" w:lineRule="exact"/>
              <w:ind w:left="75" w:right="75"/>
              <w:rPr>
                <w:sz w:val="18"/>
              </w:rPr>
            </w:pPr>
            <w:r>
              <w:rPr>
                <w:color w:val="333333"/>
                <w:sz w:val="18"/>
              </w:rPr>
              <w:t>14</w:t>
            </w:r>
          </w:p>
        </w:tc>
        <w:tc>
          <w:tcPr>
            <w:tcW w:w="600" w:type="dxa"/>
          </w:tcPr>
          <w:p>
            <w:pPr>
              <w:pStyle w:val="TableParagraph"/>
              <w:spacing w:line="203" w:lineRule="exact"/>
              <w:ind w:left="75" w:right="75"/>
              <w:rPr>
                <w:sz w:val="18"/>
              </w:rPr>
            </w:pPr>
            <w:r>
              <w:rPr>
                <w:color w:val="333333"/>
                <w:sz w:val="18"/>
              </w:rPr>
              <w:t>13</w:t>
            </w:r>
          </w:p>
        </w:tc>
        <w:tc>
          <w:tcPr>
            <w:tcW w:w="601" w:type="dxa"/>
          </w:tcPr>
          <w:p>
            <w:pPr>
              <w:pStyle w:val="TableParagraph"/>
              <w:spacing w:line="203" w:lineRule="exact"/>
              <w:ind w:left="75" w:right="75"/>
              <w:rPr>
                <w:sz w:val="18"/>
              </w:rPr>
            </w:pPr>
            <w:r>
              <w:rPr>
                <w:color w:val="333333"/>
                <w:sz w:val="18"/>
              </w:rPr>
              <w:t>18</w:t>
            </w:r>
          </w:p>
        </w:tc>
        <w:tc>
          <w:tcPr>
            <w:tcW w:w="600" w:type="dxa"/>
          </w:tcPr>
          <w:p>
            <w:pPr>
              <w:pStyle w:val="TableParagraph"/>
              <w:spacing w:line="203" w:lineRule="exact"/>
              <w:ind w:left="75" w:right="75"/>
              <w:rPr>
                <w:sz w:val="18"/>
              </w:rPr>
            </w:pPr>
            <w:r>
              <w:rPr>
                <w:color w:val="333333"/>
                <w:sz w:val="18"/>
              </w:rPr>
              <w:t>22</w:t>
            </w:r>
          </w:p>
        </w:tc>
        <w:tc>
          <w:tcPr>
            <w:tcW w:w="607" w:type="dxa"/>
          </w:tcPr>
          <w:p>
            <w:pPr>
              <w:pStyle w:val="TableParagraph"/>
              <w:spacing w:line="199" w:lineRule="exact"/>
              <w:ind w:left="64" w:right="62"/>
              <w:rPr>
                <w:b/>
                <w:sz w:val="18"/>
              </w:rPr>
            </w:pPr>
            <w:r>
              <w:rPr>
                <w:b/>
                <w:sz w:val="18"/>
              </w:rPr>
              <w:t>130</w:t>
            </w:r>
          </w:p>
        </w:tc>
      </w:tr>
      <w:tr>
        <w:trPr>
          <w:trHeight w:val="322" w:hRule="exact"/>
        </w:trPr>
        <w:tc>
          <w:tcPr>
            <w:tcW w:w="2801" w:type="dxa"/>
          </w:tcPr>
          <w:p>
            <w:pPr>
              <w:pStyle w:val="TableParagraph"/>
              <w:spacing w:line="203" w:lineRule="exact"/>
              <w:ind w:left="64"/>
              <w:jc w:val="left"/>
              <w:rPr>
                <w:sz w:val="18"/>
              </w:rPr>
            </w:pPr>
            <w:r>
              <w:rPr>
                <w:color w:val="333333"/>
                <w:sz w:val="18"/>
              </w:rPr>
              <w:t>SAN FELIPE DEL PROGRESO</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3</w:t>
            </w:r>
          </w:p>
        </w:tc>
        <w:tc>
          <w:tcPr>
            <w:tcW w:w="600" w:type="dxa"/>
          </w:tcPr>
          <w:p>
            <w:pPr>
              <w:pStyle w:val="TableParagraph"/>
              <w:spacing w:line="203" w:lineRule="exact"/>
              <w:ind w:left="75" w:right="75"/>
              <w:rPr>
                <w:sz w:val="18"/>
              </w:rPr>
            </w:pPr>
            <w:r>
              <w:rPr>
                <w:color w:val="333333"/>
                <w:sz w:val="18"/>
              </w:rPr>
              <w:t>14</w:t>
            </w:r>
          </w:p>
        </w:tc>
        <w:tc>
          <w:tcPr>
            <w:tcW w:w="600" w:type="dxa"/>
          </w:tcPr>
          <w:p>
            <w:pPr>
              <w:pStyle w:val="TableParagraph"/>
              <w:spacing w:line="203" w:lineRule="exact"/>
              <w:ind w:left="75" w:right="75"/>
              <w:rPr>
                <w:sz w:val="18"/>
              </w:rPr>
            </w:pPr>
            <w:r>
              <w:rPr>
                <w:color w:val="333333"/>
                <w:sz w:val="18"/>
              </w:rPr>
              <w:t>29</w:t>
            </w:r>
          </w:p>
        </w:tc>
        <w:tc>
          <w:tcPr>
            <w:tcW w:w="600" w:type="dxa"/>
          </w:tcPr>
          <w:p>
            <w:pPr>
              <w:pStyle w:val="TableParagraph"/>
              <w:spacing w:line="203" w:lineRule="exact"/>
              <w:ind w:left="75" w:right="75"/>
              <w:rPr>
                <w:sz w:val="18"/>
              </w:rPr>
            </w:pPr>
            <w:r>
              <w:rPr>
                <w:color w:val="333333"/>
                <w:sz w:val="18"/>
              </w:rPr>
              <w:t>27</w:t>
            </w:r>
          </w:p>
        </w:tc>
        <w:tc>
          <w:tcPr>
            <w:tcW w:w="600" w:type="dxa"/>
          </w:tcPr>
          <w:p>
            <w:pPr>
              <w:pStyle w:val="TableParagraph"/>
              <w:spacing w:line="203" w:lineRule="exact"/>
              <w:ind w:left="75" w:right="75"/>
              <w:rPr>
                <w:sz w:val="18"/>
              </w:rPr>
            </w:pPr>
            <w:r>
              <w:rPr>
                <w:color w:val="333333"/>
                <w:sz w:val="18"/>
              </w:rPr>
              <w:t>47</w:t>
            </w:r>
          </w:p>
        </w:tc>
        <w:tc>
          <w:tcPr>
            <w:tcW w:w="600" w:type="dxa"/>
          </w:tcPr>
          <w:p>
            <w:pPr>
              <w:pStyle w:val="TableParagraph"/>
              <w:spacing w:line="203" w:lineRule="exact"/>
              <w:ind w:left="75" w:right="75"/>
              <w:rPr>
                <w:sz w:val="18"/>
              </w:rPr>
            </w:pPr>
            <w:r>
              <w:rPr>
                <w:color w:val="333333"/>
                <w:sz w:val="18"/>
              </w:rPr>
              <w:t>23</w:t>
            </w:r>
          </w:p>
        </w:tc>
        <w:tc>
          <w:tcPr>
            <w:tcW w:w="600" w:type="dxa"/>
          </w:tcPr>
          <w:p>
            <w:pPr>
              <w:pStyle w:val="TableParagraph"/>
              <w:spacing w:line="203" w:lineRule="exact"/>
              <w:ind w:left="75" w:right="75"/>
              <w:rPr>
                <w:sz w:val="18"/>
              </w:rPr>
            </w:pPr>
            <w:r>
              <w:rPr>
                <w:color w:val="333333"/>
                <w:sz w:val="18"/>
              </w:rPr>
              <w:t>17</w:t>
            </w:r>
          </w:p>
        </w:tc>
        <w:tc>
          <w:tcPr>
            <w:tcW w:w="601" w:type="dxa"/>
          </w:tcPr>
          <w:p>
            <w:pPr>
              <w:pStyle w:val="TableParagraph"/>
              <w:spacing w:line="203" w:lineRule="exact"/>
              <w:ind w:left="75" w:right="75"/>
              <w:rPr>
                <w:sz w:val="18"/>
              </w:rPr>
            </w:pPr>
            <w:r>
              <w:rPr>
                <w:color w:val="333333"/>
                <w:sz w:val="18"/>
              </w:rPr>
              <w:t>12</w:t>
            </w:r>
          </w:p>
        </w:tc>
        <w:tc>
          <w:tcPr>
            <w:tcW w:w="600" w:type="dxa"/>
          </w:tcPr>
          <w:p>
            <w:pPr>
              <w:pStyle w:val="TableParagraph"/>
              <w:spacing w:line="203" w:lineRule="exact"/>
              <w:ind w:left="75" w:right="75"/>
              <w:rPr>
                <w:sz w:val="18"/>
              </w:rPr>
            </w:pPr>
            <w:r>
              <w:rPr>
                <w:color w:val="333333"/>
                <w:sz w:val="18"/>
              </w:rPr>
              <w:t>18</w:t>
            </w:r>
          </w:p>
        </w:tc>
        <w:tc>
          <w:tcPr>
            <w:tcW w:w="607" w:type="dxa"/>
          </w:tcPr>
          <w:p>
            <w:pPr>
              <w:pStyle w:val="TableParagraph"/>
              <w:spacing w:line="199" w:lineRule="exact"/>
              <w:ind w:left="64" w:right="62"/>
              <w:rPr>
                <w:b/>
                <w:sz w:val="18"/>
              </w:rPr>
            </w:pPr>
            <w:r>
              <w:rPr>
                <w:b/>
                <w:sz w:val="18"/>
              </w:rPr>
              <w:t>190</w:t>
            </w:r>
          </w:p>
        </w:tc>
      </w:tr>
      <w:tr>
        <w:trPr>
          <w:trHeight w:val="319" w:hRule="exact"/>
        </w:trPr>
        <w:tc>
          <w:tcPr>
            <w:tcW w:w="2801" w:type="dxa"/>
          </w:tcPr>
          <w:p>
            <w:pPr>
              <w:pStyle w:val="TableParagraph"/>
              <w:spacing w:line="203" w:lineRule="exact"/>
              <w:ind w:left="64"/>
              <w:jc w:val="left"/>
              <w:rPr>
                <w:sz w:val="18"/>
              </w:rPr>
            </w:pPr>
            <w:r>
              <w:rPr>
                <w:color w:val="333333"/>
                <w:sz w:val="18"/>
              </w:rPr>
              <w:t>SAN JOSE DEL RINCON</w:t>
            </w:r>
          </w:p>
        </w:tc>
        <w:tc>
          <w:tcPr>
            <w:tcW w:w="601" w:type="dxa"/>
          </w:tcPr>
          <w:p>
            <w:pPr>
              <w:pStyle w:val="TableParagraph"/>
              <w:spacing w:line="203" w:lineRule="exact"/>
              <w:rPr>
                <w:sz w:val="18"/>
              </w:rPr>
            </w:pPr>
            <w:r>
              <w:rPr>
                <w:color w:val="333333"/>
                <w:w w:val="99"/>
                <w:sz w:val="18"/>
              </w:rPr>
              <w:t>2</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1</w:t>
            </w:r>
          </w:p>
        </w:tc>
        <w:tc>
          <w:tcPr>
            <w:tcW w:w="600" w:type="dxa"/>
          </w:tcPr>
          <w:p>
            <w:pPr>
              <w:pStyle w:val="TableParagraph"/>
              <w:spacing w:line="203" w:lineRule="exact"/>
              <w:ind w:left="75" w:right="75"/>
              <w:rPr>
                <w:sz w:val="18"/>
              </w:rPr>
            </w:pPr>
            <w:r>
              <w:rPr>
                <w:color w:val="333333"/>
                <w:sz w:val="18"/>
              </w:rPr>
              <w:t>21</w:t>
            </w:r>
          </w:p>
        </w:tc>
        <w:tc>
          <w:tcPr>
            <w:tcW w:w="600" w:type="dxa"/>
          </w:tcPr>
          <w:p>
            <w:pPr>
              <w:pStyle w:val="TableParagraph"/>
              <w:spacing w:line="203" w:lineRule="exact"/>
              <w:ind w:left="75" w:right="75"/>
              <w:rPr>
                <w:sz w:val="18"/>
              </w:rPr>
            </w:pPr>
            <w:r>
              <w:rPr>
                <w:color w:val="333333"/>
                <w:sz w:val="18"/>
              </w:rPr>
              <w:t>20</w:t>
            </w:r>
          </w:p>
        </w:tc>
        <w:tc>
          <w:tcPr>
            <w:tcW w:w="600" w:type="dxa"/>
          </w:tcPr>
          <w:p>
            <w:pPr>
              <w:pStyle w:val="TableParagraph"/>
              <w:spacing w:line="203" w:lineRule="exact"/>
              <w:ind w:left="75" w:right="75"/>
              <w:rPr>
                <w:sz w:val="18"/>
              </w:rPr>
            </w:pPr>
            <w:r>
              <w:rPr>
                <w:color w:val="333333"/>
                <w:sz w:val="18"/>
              </w:rPr>
              <w:t>36</w:t>
            </w:r>
          </w:p>
        </w:tc>
        <w:tc>
          <w:tcPr>
            <w:tcW w:w="600" w:type="dxa"/>
          </w:tcPr>
          <w:p>
            <w:pPr>
              <w:pStyle w:val="TableParagraph"/>
              <w:spacing w:line="203" w:lineRule="exact"/>
              <w:ind w:left="75" w:right="75"/>
              <w:rPr>
                <w:sz w:val="18"/>
              </w:rPr>
            </w:pPr>
            <w:r>
              <w:rPr>
                <w:color w:val="333333"/>
                <w:sz w:val="18"/>
              </w:rPr>
              <w:t>26</w:t>
            </w:r>
          </w:p>
        </w:tc>
        <w:tc>
          <w:tcPr>
            <w:tcW w:w="600" w:type="dxa"/>
          </w:tcPr>
          <w:p>
            <w:pPr>
              <w:pStyle w:val="TableParagraph"/>
              <w:spacing w:line="203" w:lineRule="exact"/>
              <w:ind w:left="75" w:right="75"/>
              <w:rPr>
                <w:sz w:val="18"/>
              </w:rPr>
            </w:pPr>
            <w:r>
              <w:rPr>
                <w:color w:val="333333"/>
                <w:sz w:val="18"/>
              </w:rPr>
              <w:t>26</w:t>
            </w:r>
          </w:p>
        </w:tc>
        <w:tc>
          <w:tcPr>
            <w:tcW w:w="600" w:type="dxa"/>
          </w:tcPr>
          <w:p>
            <w:pPr>
              <w:pStyle w:val="TableParagraph"/>
              <w:spacing w:line="203" w:lineRule="exact"/>
              <w:ind w:left="75" w:right="75"/>
              <w:rPr>
                <w:sz w:val="18"/>
              </w:rPr>
            </w:pPr>
            <w:r>
              <w:rPr>
                <w:color w:val="333333"/>
                <w:sz w:val="18"/>
              </w:rPr>
              <w:t>24</w:t>
            </w:r>
          </w:p>
        </w:tc>
        <w:tc>
          <w:tcPr>
            <w:tcW w:w="601" w:type="dxa"/>
          </w:tcPr>
          <w:p>
            <w:pPr>
              <w:pStyle w:val="TableParagraph"/>
              <w:spacing w:line="203" w:lineRule="exact"/>
              <w:ind w:left="75" w:right="75"/>
              <w:rPr>
                <w:sz w:val="18"/>
              </w:rPr>
            </w:pPr>
            <w:r>
              <w:rPr>
                <w:color w:val="333333"/>
                <w:sz w:val="18"/>
              </w:rPr>
              <w:t>13</w:t>
            </w:r>
          </w:p>
        </w:tc>
        <w:tc>
          <w:tcPr>
            <w:tcW w:w="600" w:type="dxa"/>
          </w:tcPr>
          <w:p>
            <w:pPr>
              <w:pStyle w:val="TableParagraph"/>
              <w:spacing w:line="203" w:lineRule="exact"/>
              <w:ind w:left="75" w:right="75"/>
              <w:rPr>
                <w:sz w:val="18"/>
              </w:rPr>
            </w:pPr>
            <w:r>
              <w:rPr>
                <w:color w:val="333333"/>
                <w:sz w:val="18"/>
              </w:rPr>
              <w:t>15</w:t>
            </w:r>
          </w:p>
        </w:tc>
        <w:tc>
          <w:tcPr>
            <w:tcW w:w="607" w:type="dxa"/>
          </w:tcPr>
          <w:p>
            <w:pPr>
              <w:pStyle w:val="TableParagraph"/>
              <w:spacing w:line="199" w:lineRule="exact"/>
              <w:ind w:left="64" w:right="62"/>
              <w:rPr>
                <w:b/>
                <w:sz w:val="18"/>
              </w:rPr>
            </w:pPr>
            <w:r>
              <w:rPr>
                <w:b/>
                <w:sz w:val="18"/>
              </w:rPr>
              <w:t>184</w:t>
            </w:r>
          </w:p>
        </w:tc>
      </w:tr>
      <w:tr>
        <w:trPr>
          <w:trHeight w:val="631" w:hRule="exact"/>
        </w:trPr>
        <w:tc>
          <w:tcPr>
            <w:tcW w:w="2801" w:type="dxa"/>
          </w:tcPr>
          <w:p>
            <w:pPr>
              <w:pStyle w:val="TableParagraph"/>
              <w:spacing w:line="362" w:lineRule="auto"/>
              <w:ind w:left="64" w:right="907"/>
              <w:jc w:val="left"/>
              <w:rPr>
                <w:sz w:val="18"/>
              </w:rPr>
            </w:pPr>
            <w:r>
              <w:rPr>
                <w:color w:val="333333"/>
                <w:sz w:val="18"/>
              </w:rPr>
              <w:t>SAN MARTÍN DE LAS PIRAMIDES</w:t>
            </w:r>
          </w:p>
        </w:tc>
        <w:tc>
          <w:tcPr>
            <w:tcW w:w="601" w:type="dxa"/>
          </w:tcPr>
          <w:p>
            <w:pPr>
              <w:pStyle w:val="TableParagraph"/>
              <w:spacing w:before="152"/>
              <w:rPr>
                <w:sz w:val="18"/>
              </w:rPr>
            </w:pPr>
            <w:r>
              <w:rPr>
                <w:color w:val="333333"/>
                <w:w w:val="99"/>
                <w:sz w:val="18"/>
              </w:rPr>
              <w:t>0</w:t>
            </w:r>
          </w:p>
        </w:tc>
        <w:tc>
          <w:tcPr>
            <w:tcW w:w="600" w:type="dxa"/>
          </w:tcPr>
          <w:p>
            <w:pPr>
              <w:pStyle w:val="TableParagraph"/>
              <w:spacing w:before="152"/>
              <w:ind w:right="243"/>
              <w:jc w:val="right"/>
              <w:rPr>
                <w:sz w:val="18"/>
              </w:rPr>
            </w:pPr>
            <w:r>
              <w:rPr>
                <w:color w:val="333333"/>
                <w:w w:val="99"/>
                <w:sz w:val="18"/>
              </w:rPr>
              <w:t>0</w:t>
            </w:r>
          </w:p>
        </w:tc>
        <w:tc>
          <w:tcPr>
            <w:tcW w:w="600" w:type="dxa"/>
          </w:tcPr>
          <w:p>
            <w:pPr>
              <w:pStyle w:val="TableParagraph"/>
              <w:spacing w:before="152"/>
              <w:rPr>
                <w:sz w:val="18"/>
              </w:rPr>
            </w:pPr>
            <w:r>
              <w:rPr>
                <w:color w:val="333333"/>
                <w:w w:val="99"/>
                <w:sz w:val="18"/>
              </w:rPr>
              <w:t>3</w:t>
            </w:r>
          </w:p>
        </w:tc>
        <w:tc>
          <w:tcPr>
            <w:tcW w:w="600" w:type="dxa"/>
          </w:tcPr>
          <w:p>
            <w:pPr>
              <w:pStyle w:val="TableParagraph"/>
              <w:spacing w:before="152"/>
              <w:ind w:left="75" w:right="75"/>
              <w:rPr>
                <w:sz w:val="18"/>
              </w:rPr>
            </w:pPr>
            <w:r>
              <w:rPr>
                <w:color w:val="333333"/>
                <w:sz w:val="18"/>
              </w:rPr>
              <w:t>19</w:t>
            </w:r>
          </w:p>
        </w:tc>
        <w:tc>
          <w:tcPr>
            <w:tcW w:w="600" w:type="dxa"/>
          </w:tcPr>
          <w:p>
            <w:pPr>
              <w:pStyle w:val="TableParagraph"/>
              <w:spacing w:before="152"/>
              <w:ind w:left="75" w:right="75"/>
              <w:rPr>
                <w:sz w:val="18"/>
              </w:rPr>
            </w:pPr>
            <w:r>
              <w:rPr>
                <w:color w:val="333333"/>
                <w:sz w:val="18"/>
              </w:rPr>
              <w:t>43</w:t>
            </w:r>
          </w:p>
        </w:tc>
        <w:tc>
          <w:tcPr>
            <w:tcW w:w="600" w:type="dxa"/>
          </w:tcPr>
          <w:p>
            <w:pPr>
              <w:pStyle w:val="TableParagraph"/>
              <w:spacing w:before="152"/>
              <w:ind w:left="75" w:right="75"/>
              <w:rPr>
                <w:sz w:val="18"/>
              </w:rPr>
            </w:pPr>
            <w:r>
              <w:rPr>
                <w:color w:val="333333"/>
                <w:sz w:val="18"/>
              </w:rPr>
              <w:t>16</w:t>
            </w:r>
          </w:p>
        </w:tc>
        <w:tc>
          <w:tcPr>
            <w:tcW w:w="600" w:type="dxa"/>
          </w:tcPr>
          <w:p>
            <w:pPr>
              <w:pStyle w:val="TableParagraph"/>
              <w:spacing w:before="152"/>
              <w:ind w:left="75" w:right="75"/>
              <w:rPr>
                <w:sz w:val="18"/>
              </w:rPr>
            </w:pPr>
            <w:r>
              <w:rPr>
                <w:color w:val="333333"/>
                <w:sz w:val="18"/>
              </w:rPr>
              <w:t>20</w:t>
            </w:r>
          </w:p>
        </w:tc>
        <w:tc>
          <w:tcPr>
            <w:tcW w:w="600" w:type="dxa"/>
          </w:tcPr>
          <w:p>
            <w:pPr>
              <w:pStyle w:val="TableParagraph"/>
              <w:spacing w:before="152"/>
              <w:ind w:left="75" w:right="75"/>
              <w:rPr>
                <w:sz w:val="18"/>
              </w:rPr>
            </w:pPr>
            <w:r>
              <w:rPr>
                <w:color w:val="333333"/>
                <w:sz w:val="18"/>
              </w:rPr>
              <w:t>19</w:t>
            </w:r>
          </w:p>
        </w:tc>
        <w:tc>
          <w:tcPr>
            <w:tcW w:w="600" w:type="dxa"/>
          </w:tcPr>
          <w:p>
            <w:pPr>
              <w:pStyle w:val="TableParagraph"/>
              <w:spacing w:before="152"/>
              <w:ind w:left="75" w:right="75"/>
              <w:rPr>
                <w:sz w:val="18"/>
              </w:rPr>
            </w:pPr>
            <w:r>
              <w:rPr>
                <w:color w:val="333333"/>
                <w:sz w:val="18"/>
              </w:rPr>
              <w:t>25</w:t>
            </w:r>
          </w:p>
        </w:tc>
        <w:tc>
          <w:tcPr>
            <w:tcW w:w="601" w:type="dxa"/>
          </w:tcPr>
          <w:p>
            <w:pPr>
              <w:pStyle w:val="TableParagraph"/>
              <w:spacing w:before="152"/>
              <w:ind w:left="75" w:right="75"/>
              <w:rPr>
                <w:sz w:val="18"/>
              </w:rPr>
            </w:pPr>
            <w:r>
              <w:rPr>
                <w:color w:val="333333"/>
                <w:sz w:val="18"/>
              </w:rPr>
              <w:t>14</w:t>
            </w:r>
          </w:p>
        </w:tc>
        <w:tc>
          <w:tcPr>
            <w:tcW w:w="600" w:type="dxa"/>
          </w:tcPr>
          <w:p>
            <w:pPr>
              <w:pStyle w:val="TableParagraph"/>
              <w:spacing w:before="152"/>
              <w:ind w:left="75" w:right="75"/>
              <w:rPr>
                <w:sz w:val="18"/>
              </w:rPr>
            </w:pPr>
            <w:r>
              <w:rPr>
                <w:color w:val="333333"/>
                <w:sz w:val="18"/>
              </w:rPr>
              <w:t>18</w:t>
            </w:r>
          </w:p>
        </w:tc>
        <w:tc>
          <w:tcPr>
            <w:tcW w:w="607" w:type="dxa"/>
          </w:tcPr>
          <w:p>
            <w:pPr>
              <w:pStyle w:val="TableParagraph"/>
              <w:spacing w:before="4"/>
              <w:jc w:val="left"/>
              <w:rPr>
                <w:rFonts w:ascii="Times New Roman"/>
                <w:sz w:val="26"/>
              </w:rPr>
            </w:pPr>
          </w:p>
          <w:p>
            <w:pPr>
              <w:pStyle w:val="TableParagraph"/>
              <w:ind w:left="64" w:right="62"/>
              <w:rPr>
                <w:b/>
                <w:sz w:val="18"/>
              </w:rPr>
            </w:pPr>
            <w:r>
              <w:rPr>
                <w:b/>
                <w:sz w:val="18"/>
              </w:rPr>
              <w:t>177</w:t>
            </w:r>
          </w:p>
        </w:tc>
      </w:tr>
      <w:tr>
        <w:trPr>
          <w:trHeight w:val="322" w:hRule="exact"/>
        </w:trPr>
        <w:tc>
          <w:tcPr>
            <w:tcW w:w="2801" w:type="dxa"/>
          </w:tcPr>
          <w:p>
            <w:pPr>
              <w:pStyle w:val="TableParagraph"/>
              <w:spacing w:line="203" w:lineRule="exact"/>
              <w:ind w:left="64"/>
              <w:jc w:val="left"/>
              <w:rPr>
                <w:sz w:val="18"/>
              </w:rPr>
            </w:pPr>
            <w:r>
              <w:rPr>
                <w:color w:val="333333"/>
                <w:sz w:val="18"/>
              </w:rPr>
              <w:t>SAN MATEO ATENCO</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3</w:t>
            </w:r>
          </w:p>
        </w:tc>
        <w:tc>
          <w:tcPr>
            <w:tcW w:w="600" w:type="dxa"/>
          </w:tcPr>
          <w:p>
            <w:pPr>
              <w:pStyle w:val="TableParagraph"/>
              <w:spacing w:line="203" w:lineRule="exact"/>
              <w:ind w:left="75" w:right="75"/>
              <w:rPr>
                <w:sz w:val="18"/>
              </w:rPr>
            </w:pPr>
            <w:r>
              <w:rPr>
                <w:color w:val="333333"/>
                <w:sz w:val="18"/>
              </w:rPr>
              <w:t>13</w:t>
            </w:r>
          </w:p>
        </w:tc>
        <w:tc>
          <w:tcPr>
            <w:tcW w:w="600" w:type="dxa"/>
          </w:tcPr>
          <w:p>
            <w:pPr>
              <w:pStyle w:val="TableParagraph"/>
              <w:spacing w:line="203" w:lineRule="exact"/>
              <w:ind w:left="75" w:right="75"/>
              <w:rPr>
                <w:sz w:val="18"/>
              </w:rPr>
            </w:pPr>
            <w:r>
              <w:rPr>
                <w:color w:val="333333"/>
                <w:sz w:val="18"/>
              </w:rPr>
              <w:t>23</w:t>
            </w:r>
          </w:p>
        </w:tc>
        <w:tc>
          <w:tcPr>
            <w:tcW w:w="600" w:type="dxa"/>
          </w:tcPr>
          <w:p>
            <w:pPr>
              <w:pStyle w:val="TableParagraph"/>
              <w:spacing w:line="203" w:lineRule="exact"/>
              <w:ind w:left="75" w:right="75"/>
              <w:rPr>
                <w:sz w:val="18"/>
              </w:rPr>
            </w:pPr>
            <w:r>
              <w:rPr>
                <w:color w:val="333333"/>
                <w:sz w:val="18"/>
              </w:rPr>
              <w:t>71</w:t>
            </w:r>
          </w:p>
        </w:tc>
        <w:tc>
          <w:tcPr>
            <w:tcW w:w="600" w:type="dxa"/>
          </w:tcPr>
          <w:p>
            <w:pPr>
              <w:pStyle w:val="TableParagraph"/>
              <w:spacing w:line="203" w:lineRule="exact"/>
              <w:ind w:left="75" w:right="75"/>
              <w:rPr>
                <w:sz w:val="18"/>
              </w:rPr>
            </w:pPr>
            <w:r>
              <w:rPr>
                <w:color w:val="333333"/>
                <w:sz w:val="18"/>
              </w:rPr>
              <w:t>37</w:t>
            </w:r>
          </w:p>
        </w:tc>
        <w:tc>
          <w:tcPr>
            <w:tcW w:w="600" w:type="dxa"/>
          </w:tcPr>
          <w:p>
            <w:pPr>
              <w:pStyle w:val="TableParagraph"/>
              <w:spacing w:line="203" w:lineRule="exact"/>
              <w:ind w:left="75" w:right="75"/>
              <w:rPr>
                <w:sz w:val="18"/>
              </w:rPr>
            </w:pPr>
            <w:r>
              <w:rPr>
                <w:color w:val="333333"/>
                <w:sz w:val="18"/>
              </w:rPr>
              <w:t>42</w:t>
            </w:r>
          </w:p>
        </w:tc>
        <w:tc>
          <w:tcPr>
            <w:tcW w:w="600" w:type="dxa"/>
          </w:tcPr>
          <w:p>
            <w:pPr>
              <w:pStyle w:val="TableParagraph"/>
              <w:spacing w:line="203" w:lineRule="exact"/>
              <w:ind w:left="75" w:right="75"/>
              <w:rPr>
                <w:sz w:val="18"/>
              </w:rPr>
            </w:pPr>
            <w:r>
              <w:rPr>
                <w:color w:val="333333"/>
                <w:sz w:val="18"/>
              </w:rPr>
              <w:t>36</w:t>
            </w:r>
          </w:p>
        </w:tc>
        <w:tc>
          <w:tcPr>
            <w:tcW w:w="601" w:type="dxa"/>
          </w:tcPr>
          <w:p>
            <w:pPr>
              <w:pStyle w:val="TableParagraph"/>
              <w:spacing w:line="203" w:lineRule="exact"/>
              <w:ind w:left="75" w:right="75"/>
              <w:rPr>
                <w:sz w:val="18"/>
              </w:rPr>
            </w:pPr>
            <w:r>
              <w:rPr>
                <w:color w:val="333333"/>
                <w:sz w:val="18"/>
              </w:rPr>
              <w:t>33</w:t>
            </w:r>
          </w:p>
        </w:tc>
        <w:tc>
          <w:tcPr>
            <w:tcW w:w="600" w:type="dxa"/>
          </w:tcPr>
          <w:p>
            <w:pPr>
              <w:pStyle w:val="TableParagraph"/>
              <w:spacing w:line="203" w:lineRule="exact"/>
              <w:ind w:left="75" w:right="75"/>
              <w:rPr>
                <w:sz w:val="18"/>
              </w:rPr>
            </w:pPr>
            <w:r>
              <w:rPr>
                <w:color w:val="333333"/>
                <w:sz w:val="18"/>
              </w:rPr>
              <w:t>34</w:t>
            </w:r>
          </w:p>
        </w:tc>
        <w:tc>
          <w:tcPr>
            <w:tcW w:w="607" w:type="dxa"/>
          </w:tcPr>
          <w:p>
            <w:pPr>
              <w:pStyle w:val="TableParagraph"/>
              <w:spacing w:line="199" w:lineRule="exact"/>
              <w:ind w:left="64" w:right="62"/>
              <w:rPr>
                <w:b/>
                <w:sz w:val="18"/>
              </w:rPr>
            </w:pPr>
            <w:r>
              <w:rPr>
                <w:b/>
                <w:sz w:val="18"/>
              </w:rPr>
              <w:t>292</w:t>
            </w:r>
          </w:p>
        </w:tc>
      </w:tr>
      <w:tr>
        <w:trPr>
          <w:trHeight w:val="319" w:hRule="exact"/>
        </w:trPr>
        <w:tc>
          <w:tcPr>
            <w:tcW w:w="2801" w:type="dxa"/>
          </w:tcPr>
          <w:p>
            <w:pPr>
              <w:pStyle w:val="TableParagraph"/>
              <w:spacing w:line="203" w:lineRule="exact"/>
              <w:ind w:left="64"/>
              <w:jc w:val="left"/>
              <w:rPr>
                <w:sz w:val="18"/>
              </w:rPr>
            </w:pPr>
            <w:r>
              <w:rPr>
                <w:color w:val="333333"/>
                <w:sz w:val="18"/>
              </w:rPr>
              <w:t>SAN SIMON DE GUERRERO</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5</w:t>
            </w:r>
          </w:p>
        </w:tc>
        <w:tc>
          <w:tcPr>
            <w:tcW w:w="600" w:type="dxa"/>
          </w:tcPr>
          <w:p>
            <w:pPr>
              <w:pStyle w:val="TableParagraph"/>
              <w:spacing w:line="203" w:lineRule="exact"/>
              <w:ind w:left="75" w:right="75"/>
              <w:rPr>
                <w:sz w:val="18"/>
              </w:rPr>
            </w:pPr>
            <w:r>
              <w:rPr>
                <w:color w:val="333333"/>
                <w:sz w:val="18"/>
              </w:rPr>
              <w:t>13</w:t>
            </w:r>
          </w:p>
        </w:tc>
        <w:tc>
          <w:tcPr>
            <w:tcW w:w="600" w:type="dxa"/>
          </w:tcPr>
          <w:p>
            <w:pPr>
              <w:pStyle w:val="TableParagraph"/>
              <w:spacing w:line="203" w:lineRule="exact"/>
              <w:ind w:left="75" w:right="75"/>
              <w:rPr>
                <w:sz w:val="18"/>
              </w:rPr>
            </w:pPr>
            <w:r>
              <w:rPr>
                <w:color w:val="333333"/>
                <w:sz w:val="18"/>
              </w:rPr>
              <w:t>18</w:t>
            </w:r>
          </w:p>
        </w:tc>
        <w:tc>
          <w:tcPr>
            <w:tcW w:w="600" w:type="dxa"/>
          </w:tcPr>
          <w:p>
            <w:pPr>
              <w:pStyle w:val="TableParagraph"/>
              <w:spacing w:line="203" w:lineRule="exact"/>
              <w:ind w:left="75" w:right="75"/>
              <w:rPr>
                <w:sz w:val="18"/>
              </w:rPr>
            </w:pPr>
            <w:r>
              <w:rPr>
                <w:color w:val="333333"/>
                <w:sz w:val="18"/>
              </w:rPr>
              <w:t>14</w:t>
            </w:r>
          </w:p>
        </w:tc>
        <w:tc>
          <w:tcPr>
            <w:tcW w:w="600" w:type="dxa"/>
          </w:tcPr>
          <w:p>
            <w:pPr>
              <w:pStyle w:val="TableParagraph"/>
              <w:spacing w:line="203" w:lineRule="exact"/>
              <w:ind w:left="75" w:right="75"/>
              <w:rPr>
                <w:sz w:val="18"/>
              </w:rPr>
            </w:pPr>
            <w:r>
              <w:rPr>
                <w:color w:val="333333"/>
                <w:sz w:val="18"/>
              </w:rPr>
              <w:t>16</w:t>
            </w:r>
          </w:p>
        </w:tc>
        <w:tc>
          <w:tcPr>
            <w:tcW w:w="600" w:type="dxa"/>
          </w:tcPr>
          <w:p>
            <w:pPr>
              <w:pStyle w:val="TableParagraph"/>
              <w:spacing w:line="203" w:lineRule="exact"/>
              <w:ind w:left="75" w:right="75"/>
              <w:rPr>
                <w:sz w:val="18"/>
              </w:rPr>
            </w:pPr>
            <w:r>
              <w:rPr>
                <w:color w:val="333333"/>
                <w:sz w:val="18"/>
              </w:rPr>
              <w:t>12</w:t>
            </w:r>
          </w:p>
        </w:tc>
        <w:tc>
          <w:tcPr>
            <w:tcW w:w="601" w:type="dxa"/>
          </w:tcPr>
          <w:p>
            <w:pPr>
              <w:pStyle w:val="TableParagraph"/>
              <w:spacing w:line="203" w:lineRule="exact"/>
              <w:rPr>
                <w:sz w:val="18"/>
              </w:rPr>
            </w:pPr>
            <w:r>
              <w:rPr>
                <w:color w:val="333333"/>
                <w:w w:val="99"/>
                <w:sz w:val="18"/>
              </w:rPr>
              <w:t>5</w:t>
            </w:r>
          </w:p>
        </w:tc>
        <w:tc>
          <w:tcPr>
            <w:tcW w:w="600" w:type="dxa"/>
          </w:tcPr>
          <w:p>
            <w:pPr>
              <w:pStyle w:val="TableParagraph"/>
              <w:spacing w:line="203" w:lineRule="exact"/>
              <w:ind w:left="75" w:right="75"/>
              <w:rPr>
                <w:sz w:val="18"/>
              </w:rPr>
            </w:pPr>
            <w:r>
              <w:rPr>
                <w:color w:val="333333"/>
                <w:sz w:val="18"/>
              </w:rPr>
              <w:t>14</w:t>
            </w:r>
          </w:p>
        </w:tc>
        <w:tc>
          <w:tcPr>
            <w:tcW w:w="607" w:type="dxa"/>
          </w:tcPr>
          <w:p>
            <w:pPr>
              <w:pStyle w:val="TableParagraph"/>
              <w:spacing w:line="199" w:lineRule="exact"/>
              <w:ind w:left="64" w:right="62"/>
              <w:rPr>
                <w:b/>
                <w:sz w:val="18"/>
              </w:rPr>
            </w:pPr>
            <w:r>
              <w:rPr>
                <w:b/>
                <w:sz w:val="18"/>
              </w:rPr>
              <w:t>97</w:t>
            </w:r>
          </w:p>
        </w:tc>
      </w:tr>
      <w:tr>
        <w:trPr>
          <w:trHeight w:val="322" w:hRule="exact"/>
        </w:trPr>
        <w:tc>
          <w:tcPr>
            <w:tcW w:w="2801" w:type="dxa"/>
          </w:tcPr>
          <w:p>
            <w:pPr>
              <w:pStyle w:val="TableParagraph"/>
              <w:spacing w:line="203" w:lineRule="exact"/>
              <w:ind w:left="64"/>
              <w:jc w:val="left"/>
              <w:rPr>
                <w:sz w:val="18"/>
              </w:rPr>
            </w:pPr>
            <w:r>
              <w:rPr>
                <w:color w:val="333333"/>
                <w:sz w:val="18"/>
              </w:rPr>
              <w:t>SANTO TOMAS</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left="75" w:right="75"/>
              <w:rPr>
                <w:sz w:val="18"/>
              </w:rPr>
            </w:pPr>
            <w:r>
              <w:rPr>
                <w:color w:val="333333"/>
                <w:sz w:val="18"/>
              </w:rPr>
              <w:t>16</w:t>
            </w:r>
          </w:p>
        </w:tc>
        <w:tc>
          <w:tcPr>
            <w:tcW w:w="600" w:type="dxa"/>
          </w:tcPr>
          <w:p>
            <w:pPr>
              <w:pStyle w:val="TableParagraph"/>
              <w:spacing w:line="203" w:lineRule="exact"/>
              <w:ind w:left="75" w:right="75"/>
              <w:rPr>
                <w:sz w:val="18"/>
              </w:rPr>
            </w:pPr>
            <w:r>
              <w:rPr>
                <w:color w:val="333333"/>
                <w:sz w:val="18"/>
              </w:rPr>
              <w:t>54</w:t>
            </w:r>
          </w:p>
        </w:tc>
        <w:tc>
          <w:tcPr>
            <w:tcW w:w="600" w:type="dxa"/>
          </w:tcPr>
          <w:p>
            <w:pPr>
              <w:pStyle w:val="TableParagraph"/>
              <w:spacing w:line="203" w:lineRule="exact"/>
              <w:ind w:left="75" w:right="75"/>
              <w:rPr>
                <w:sz w:val="18"/>
              </w:rPr>
            </w:pPr>
            <w:r>
              <w:rPr>
                <w:color w:val="333333"/>
                <w:sz w:val="18"/>
              </w:rPr>
              <w:t>13</w:t>
            </w:r>
          </w:p>
        </w:tc>
        <w:tc>
          <w:tcPr>
            <w:tcW w:w="600" w:type="dxa"/>
          </w:tcPr>
          <w:p>
            <w:pPr>
              <w:pStyle w:val="TableParagraph"/>
              <w:spacing w:line="203" w:lineRule="exact"/>
              <w:ind w:left="75" w:right="75"/>
              <w:rPr>
                <w:sz w:val="18"/>
              </w:rPr>
            </w:pPr>
            <w:r>
              <w:rPr>
                <w:color w:val="333333"/>
                <w:sz w:val="18"/>
              </w:rPr>
              <w:t>30</w:t>
            </w:r>
          </w:p>
        </w:tc>
        <w:tc>
          <w:tcPr>
            <w:tcW w:w="600" w:type="dxa"/>
          </w:tcPr>
          <w:p>
            <w:pPr>
              <w:pStyle w:val="TableParagraph"/>
              <w:spacing w:line="203" w:lineRule="exact"/>
              <w:ind w:left="75" w:right="75"/>
              <w:rPr>
                <w:sz w:val="18"/>
              </w:rPr>
            </w:pPr>
            <w:r>
              <w:rPr>
                <w:color w:val="333333"/>
                <w:sz w:val="18"/>
              </w:rPr>
              <w:t>18</w:t>
            </w:r>
          </w:p>
        </w:tc>
        <w:tc>
          <w:tcPr>
            <w:tcW w:w="600" w:type="dxa"/>
          </w:tcPr>
          <w:p>
            <w:pPr>
              <w:pStyle w:val="TableParagraph"/>
              <w:spacing w:line="203" w:lineRule="exact"/>
              <w:ind w:left="75" w:right="75"/>
              <w:rPr>
                <w:sz w:val="18"/>
              </w:rPr>
            </w:pPr>
            <w:r>
              <w:rPr>
                <w:color w:val="333333"/>
                <w:sz w:val="18"/>
              </w:rPr>
              <w:t>16</w:t>
            </w:r>
          </w:p>
        </w:tc>
        <w:tc>
          <w:tcPr>
            <w:tcW w:w="601" w:type="dxa"/>
          </w:tcPr>
          <w:p>
            <w:pPr>
              <w:pStyle w:val="TableParagraph"/>
              <w:spacing w:line="203" w:lineRule="exact"/>
              <w:ind w:left="75" w:right="75"/>
              <w:rPr>
                <w:sz w:val="18"/>
              </w:rPr>
            </w:pPr>
            <w:r>
              <w:rPr>
                <w:color w:val="333333"/>
                <w:sz w:val="18"/>
              </w:rPr>
              <w:t>11</w:t>
            </w:r>
          </w:p>
        </w:tc>
        <w:tc>
          <w:tcPr>
            <w:tcW w:w="600" w:type="dxa"/>
          </w:tcPr>
          <w:p>
            <w:pPr>
              <w:pStyle w:val="TableParagraph"/>
              <w:spacing w:line="203" w:lineRule="exact"/>
              <w:ind w:left="75" w:right="75"/>
              <w:rPr>
                <w:sz w:val="18"/>
              </w:rPr>
            </w:pPr>
            <w:r>
              <w:rPr>
                <w:color w:val="333333"/>
                <w:sz w:val="18"/>
              </w:rPr>
              <w:t>14</w:t>
            </w:r>
          </w:p>
        </w:tc>
        <w:tc>
          <w:tcPr>
            <w:tcW w:w="607" w:type="dxa"/>
          </w:tcPr>
          <w:p>
            <w:pPr>
              <w:pStyle w:val="TableParagraph"/>
              <w:spacing w:line="199" w:lineRule="exact"/>
              <w:ind w:left="64" w:right="62"/>
              <w:rPr>
                <w:b/>
                <w:sz w:val="18"/>
              </w:rPr>
            </w:pPr>
            <w:r>
              <w:rPr>
                <w:b/>
                <w:sz w:val="18"/>
              </w:rPr>
              <w:t>172</w:t>
            </w:r>
          </w:p>
        </w:tc>
      </w:tr>
      <w:tr>
        <w:trPr>
          <w:trHeight w:val="319" w:hRule="exact"/>
        </w:trPr>
        <w:tc>
          <w:tcPr>
            <w:tcW w:w="2801" w:type="dxa"/>
          </w:tcPr>
          <w:p>
            <w:pPr>
              <w:pStyle w:val="TableParagraph"/>
              <w:spacing w:line="203" w:lineRule="exact"/>
              <w:ind w:left="64"/>
              <w:jc w:val="left"/>
              <w:rPr>
                <w:sz w:val="18"/>
              </w:rPr>
            </w:pPr>
            <w:r>
              <w:rPr>
                <w:color w:val="333333"/>
                <w:sz w:val="18"/>
              </w:rPr>
              <w:t>SOYANIQUILPAN DE JUAREZ</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7</w:t>
            </w:r>
          </w:p>
        </w:tc>
        <w:tc>
          <w:tcPr>
            <w:tcW w:w="600" w:type="dxa"/>
          </w:tcPr>
          <w:p>
            <w:pPr>
              <w:pStyle w:val="TableParagraph"/>
              <w:spacing w:line="203" w:lineRule="exact"/>
              <w:ind w:right="1"/>
              <w:rPr>
                <w:sz w:val="18"/>
              </w:rPr>
            </w:pPr>
            <w:r>
              <w:rPr>
                <w:color w:val="333333"/>
                <w:w w:val="99"/>
                <w:sz w:val="18"/>
              </w:rPr>
              <w:t>6</w:t>
            </w:r>
          </w:p>
        </w:tc>
        <w:tc>
          <w:tcPr>
            <w:tcW w:w="600" w:type="dxa"/>
          </w:tcPr>
          <w:p>
            <w:pPr>
              <w:pStyle w:val="TableParagraph"/>
              <w:spacing w:line="203" w:lineRule="exact"/>
              <w:ind w:left="75" w:right="75"/>
              <w:rPr>
                <w:sz w:val="18"/>
              </w:rPr>
            </w:pPr>
            <w:r>
              <w:rPr>
                <w:color w:val="333333"/>
                <w:sz w:val="18"/>
              </w:rPr>
              <w:t>11</w:t>
            </w:r>
          </w:p>
        </w:tc>
        <w:tc>
          <w:tcPr>
            <w:tcW w:w="600" w:type="dxa"/>
          </w:tcPr>
          <w:p>
            <w:pPr>
              <w:pStyle w:val="TableParagraph"/>
              <w:spacing w:line="203" w:lineRule="exact"/>
              <w:ind w:left="75" w:right="75"/>
              <w:rPr>
                <w:sz w:val="18"/>
              </w:rPr>
            </w:pPr>
            <w:r>
              <w:rPr>
                <w:color w:val="333333"/>
                <w:sz w:val="18"/>
              </w:rPr>
              <w:t>15</w:t>
            </w:r>
          </w:p>
        </w:tc>
        <w:tc>
          <w:tcPr>
            <w:tcW w:w="600" w:type="dxa"/>
          </w:tcPr>
          <w:p>
            <w:pPr>
              <w:pStyle w:val="TableParagraph"/>
              <w:spacing w:line="203" w:lineRule="exact"/>
              <w:ind w:left="75" w:right="75"/>
              <w:rPr>
                <w:sz w:val="18"/>
              </w:rPr>
            </w:pPr>
            <w:r>
              <w:rPr>
                <w:color w:val="333333"/>
                <w:sz w:val="18"/>
              </w:rPr>
              <w:t>12</w:t>
            </w:r>
          </w:p>
        </w:tc>
        <w:tc>
          <w:tcPr>
            <w:tcW w:w="600" w:type="dxa"/>
          </w:tcPr>
          <w:p>
            <w:pPr>
              <w:pStyle w:val="TableParagraph"/>
              <w:spacing w:line="203" w:lineRule="exact"/>
              <w:rPr>
                <w:sz w:val="18"/>
              </w:rPr>
            </w:pPr>
            <w:r>
              <w:rPr>
                <w:color w:val="333333"/>
                <w:w w:val="99"/>
                <w:sz w:val="18"/>
              </w:rPr>
              <w:t>8</w:t>
            </w:r>
          </w:p>
        </w:tc>
        <w:tc>
          <w:tcPr>
            <w:tcW w:w="601" w:type="dxa"/>
          </w:tcPr>
          <w:p>
            <w:pPr>
              <w:pStyle w:val="TableParagraph"/>
              <w:spacing w:line="203" w:lineRule="exact"/>
              <w:rPr>
                <w:sz w:val="18"/>
              </w:rPr>
            </w:pPr>
            <w:r>
              <w:rPr>
                <w:color w:val="333333"/>
                <w:w w:val="99"/>
                <w:sz w:val="18"/>
              </w:rPr>
              <w:t>8</w:t>
            </w:r>
          </w:p>
        </w:tc>
        <w:tc>
          <w:tcPr>
            <w:tcW w:w="600" w:type="dxa"/>
          </w:tcPr>
          <w:p>
            <w:pPr>
              <w:pStyle w:val="TableParagraph"/>
              <w:spacing w:line="203" w:lineRule="exact"/>
              <w:ind w:left="75" w:right="75"/>
              <w:rPr>
                <w:sz w:val="18"/>
              </w:rPr>
            </w:pPr>
            <w:r>
              <w:rPr>
                <w:color w:val="333333"/>
                <w:sz w:val="18"/>
              </w:rPr>
              <w:t>14</w:t>
            </w:r>
          </w:p>
        </w:tc>
        <w:tc>
          <w:tcPr>
            <w:tcW w:w="607" w:type="dxa"/>
          </w:tcPr>
          <w:p>
            <w:pPr>
              <w:pStyle w:val="TableParagraph"/>
              <w:spacing w:line="199" w:lineRule="exact"/>
              <w:ind w:left="64" w:right="62"/>
              <w:rPr>
                <w:b/>
                <w:sz w:val="18"/>
              </w:rPr>
            </w:pPr>
            <w:r>
              <w:rPr>
                <w:b/>
                <w:sz w:val="18"/>
              </w:rPr>
              <w:t>81</w:t>
            </w:r>
          </w:p>
        </w:tc>
      </w:tr>
      <w:tr>
        <w:trPr>
          <w:trHeight w:val="322" w:hRule="exact"/>
        </w:trPr>
        <w:tc>
          <w:tcPr>
            <w:tcW w:w="2801" w:type="dxa"/>
          </w:tcPr>
          <w:p>
            <w:pPr>
              <w:pStyle w:val="TableParagraph"/>
              <w:spacing w:line="203" w:lineRule="exact"/>
              <w:ind w:left="64"/>
              <w:jc w:val="left"/>
              <w:rPr>
                <w:sz w:val="18"/>
              </w:rPr>
            </w:pPr>
            <w:r>
              <w:rPr>
                <w:color w:val="333333"/>
                <w:sz w:val="18"/>
              </w:rPr>
              <w:t>SULTEPEC</w:t>
            </w:r>
          </w:p>
        </w:tc>
        <w:tc>
          <w:tcPr>
            <w:tcW w:w="601" w:type="dxa"/>
          </w:tcPr>
          <w:p>
            <w:pPr>
              <w:pStyle w:val="TableParagraph"/>
              <w:spacing w:line="203" w:lineRule="exact"/>
              <w:rPr>
                <w:sz w:val="18"/>
              </w:rPr>
            </w:pPr>
            <w:r>
              <w:rPr>
                <w:color w:val="333333"/>
                <w:w w:val="99"/>
                <w:sz w:val="18"/>
              </w:rPr>
              <w:t>1</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2</w:t>
            </w:r>
          </w:p>
        </w:tc>
        <w:tc>
          <w:tcPr>
            <w:tcW w:w="600" w:type="dxa"/>
          </w:tcPr>
          <w:p>
            <w:pPr>
              <w:pStyle w:val="TableParagraph"/>
              <w:spacing w:line="203" w:lineRule="exact"/>
              <w:rPr>
                <w:sz w:val="18"/>
              </w:rPr>
            </w:pPr>
            <w:r>
              <w:rPr>
                <w:color w:val="333333"/>
                <w:w w:val="99"/>
                <w:sz w:val="18"/>
              </w:rPr>
              <w:t>7</w:t>
            </w:r>
          </w:p>
        </w:tc>
        <w:tc>
          <w:tcPr>
            <w:tcW w:w="600" w:type="dxa"/>
          </w:tcPr>
          <w:p>
            <w:pPr>
              <w:pStyle w:val="TableParagraph"/>
              <w:spacing w:line="203" w:lineRule="exact"/>
              <w:ind w:left="75" w:right="75"/>
              <w:rPr>
                <w:sz w:val="18"/>
              </w:rPr>
            </w:pPr>
            <w:r>
              <w:rPr>
                <w:color w:val="333333"/>
                <w:sz w:val="18"/>
              </w:rPr>
              <w:t>11</w:t>
            </w:r>
          </w:p>
        </w:tc>
        <w:tc>
          <w:tcPr>
            <w:tcW w:w="600" w:type="dxa"/>
          </w:tcPr>
          <w:p>
            <w:pPr>
              <w:pStyle w:val="TableParagraph"/>
              <w:spacing w:line="203" w:lineRule="exact"/>
              <w:ind w:left="75" w:right="75"/>
              <w:rPr>
                <w:sz w:val="18"/>
              </w:rPr>
            </w:pPr>
            <w:r>
              <w:rPr>
                <w:color w:val="333333"/>
                <w:sz w:val="18"/>
              </w:rPr>
              <w:t>30</w:t>
            </w:r>
          </w:p>
        </w:tc>
        <w:tc>
          <w:tcPr>
            <w:tcW w:w="600" w:type="dxa"/>
          </w:tcPr>
          <w:p>
            <w:pPr>
              <w:pStyle w:val="TableParagraph"/>
              <w:spacing w:line="203" w:lineRule="exact"/>
              <w:ind w:left="75" w:right="75"/>
              <w:rPr>
                <w:sz w:val="18"/>
              </w:rPr>
            </w:pPr>
            <w:r>
              <w:rPr>
                <w:color w:val="333333"/>
                <w:sz w:val="18"/>
              </w:rPr>
              <w:t>136</w:t>
            </w:r>
          </w:p>
        </w:tc>
        <w:tc>
          <w:tcPr>
            <w:tcW w:w="600" w:type="dxa"/>
          </w:tcPr>
          <w:p>
            <w:pPr>
              <w:pStyle w:val="TableParagraph"/>
              <w:spacing w:line="203" w:lineRule="exact"/>
              <w:ind w:left="75" w:right="75"/>
              <w:rPr>
                <w:sz w:val="18"/>
              </w:rPr>
            </w:pPr>
            <w:r>
              <w:rPr>
                <w:color w:val="333333"/>
                <w:sz w:val="18"/>
              </w:rPr>
              <w:t>20</w:t>
            </w:r>
          </w:p>
        </w:tc>
        <w:tc>
          <w:tcPr>
            <w:tcW w:w="600" w:type="dxa"/>
          </w:tcPr>
          <w:p>
            <w:pPr>
              <w:pStyle w:val="TableParagraph"/>
              <w:spacing w:line="203" w:lineRule="exact"/>
              <w:ind w:left="75" w:right="75"/>
              <w:rPr>
                <w:sz w:val="18"/>
              </w:rPr>
            </w:pPr>
            <w:r>
              <w:rPr>
                <w:color w:val="333333"/>
                <w:sz w:val="18"/>
              </w:rPr>
              <w:t>38</w:t>
            </w:r>
          </w:p>
        </w:tc>
        <w:tc>
          <w:tcPr>
            <w:tcW w:w="601" w:type="dxa"/>
          </w:tcPr>
          <w:p>
            <w:pPr>
              <w:pStyle w:val="TableParagraph"/>
              <w:spacing w:line="203" w:lineRule="exact"/>
              <w:ind w:left="75" w:right="75"/>
              <w:rPr>
                <w:sz w:val="18"/>
              </w:rPr>
            </w:pPr>
            <w:r>
              <w:rPr>
                <w:color w:val="333333"/>
                <w:sz w:val="18"/>
              </w:rPr>
              <w:t>10</w:t>
            </w:r>
          </w:p>
        </w:tc>
        <w:tc>
          <w:tcPr>
            <w:tcW w:w="600" w:type="dxa"/>
          </w:tcPr>
          <w:p>
            <w:pPr>
              <w:pStyle w:val="TableParagraph"/>
              <w:spacing w:line="203" w:lineRule="exact"/>
              <w:ind w:left="75" w:right="75"/>
              <w:rPr>
                <w:sz w:val="18"/>
              </w:rPr>
            </w:pPr>
            <w:r>
              <w:rPr>
                <w:color w:val="333333"/>
                <w:sz w:val="18"/>
              </w:rPr>
              <w:t>14</w:t>
            </w:r>
          </w:p>
        </w:tc>
        <w:tc>
          <w:tcPr>
            <w:tcW w:w="607" w:type="dxa"/>
          </w:tcPr>
          <w:p>
            <w:pPr>
              <w:pStyle w:val="TableParagraph"/>
              <w:spacing w:line="199" w:lineRule="exact"/>
              <w:ind w:left="64" w:right="62"/>
              <w:rPr>
                <w:b/>
                <w:sz w:val="18"/>
              </w:rPr>
            </w:pPr>
            <w:r>
              <w:rPr>
                <w:b/>
                <w:sz w:val="18"/>
              </w:rPr>
              <w:t>269</w:t>
            </w:r>
          </w:p>
        </w:tc>
      </w:tr>
      <w:tr>
        <w:trPr>
          <w:trHeight w:val="319" w:hRule="exact"/>
        </w:trPr>
        <w:tc>
          <w:tcPr>
            <w:tcW w:w="2801" w:type="dxa"/>
          </w:tcPr>
          <w:p>
            <w:pPr>
              <w:pStyle w:val="TableParagraph"/>
              <w:spacing w:line="203" w:lineRule="exact"/>
              <w:ind w:left="64"/>
              <w:jc w:val="left"/>
              <w:rPr>
                <w:sz w:val="18"/>
              </w:rPr>
            </w:pPr>
            <w:r>
              <w:rPr>
                <w:color w:val="333333"/>
                <w:sz w:val="18"/>
              </w:rPr>
              <w:t>TECAMAC</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left="75" w:right="75"/>
              <w:rPr>
                <w:sz w:val="18"/>
              </w:rPr>
            </w:pPr>
            <w:r>
              <w:rPr>
                <w:color w:val="333333"/>
                <w:sz w:val="18"/>
              </w:rPr>
              <w:t>43</w:t>
            </w:r>
          </w:p>
        </w:tc>
        <w:tc>
          <w:tcPr>
            <w:tcW w:w="600" w:type="dxa"/>
          </w:tcPr>
          <w:p>
            <w:pPr>
              <w:pStyle w:val="TableParagraph"/>
              <w:spacing w:line="203" w:lineRule="exact"/>
              <w:ind w:left="75" w:right="75"/>
              <w:rPr>
                <w:sz w:val="18"/>
              </w:rPr>
            </w:pPr>
            <w:r>
              <w:rPr>
                <w:color w:val="333333"/>
                <w:sz w:val="18"/>
              </w:rPr>
              <w:t>117</w:t>
            </w:r>
          </w:p>
        </w:tc>
        <w:tc>
          <w:tcPr>
            <w:tcW w:w="600" w:type="dxa"/>
          </w:tcPr>
          <w:p>
            <w:pPr>
              <w:pStyle w:val="TableParagraph"/>
              <w:spacing w:line="203" w:lineRule="exact"/>
              <w:ind w:left="75" w:right="75"/>
              <w:rPr>
                <w:sz w:val="18"/>
              </w:rPr>
            </w:pPr>
            <w:r>
              <w:rPr>
                <w:color w:val="333333"/>
                <w:sz w:val="18"/>
              </w:rPr>
              <w:t>133</w:t>
            </w:r>
          </w:p>
        </w:tc>
        <w:tc>
          <w:tcPr>
            <w:tcW w:w="600" w:type="dxa"/>
          </w:tcPr>
          <w:p>
            <w:pPr>
              <w:pStyle w:val="TableParagraph"/>
              <w:spacing w:line="203" w:lineRule="exact"/>
              <w:ind w:left="75" w:right="75"/>
              <w:rPr>
                <w:sz w:val="18"/>
              </w:rPr>
            </w:pPr>
            <w:r>
              <w:rPr>
                <w:color w:val="333333"/>
                <w:sz w:val="18"/>
              </w:rPr>
              <w:t>110</w:t>
            </w:r>
          </w:p>
        </w:tc>
        <w:tc>
          <w:tcPr>
            <w:tcW w:w="600" w:type="dxa"/>
          </w:tcPr>
          <w:p>
            <w:pPr>
              <w:pStyle w:val="TableParagraph"/>
              <w:spacing w:line="203" w:lineRule="exact"/>
              <w:ind w:left="75" w:right="75"/>
              <w:rPr>
                <w:sz w:val="18"/>
              </w:rPr>
            </w:pPr>
            <w:r>
              <w:rPr>
                <w:color w:val="333333"/>
                <w:sz w:val="18"/>
              </w:rPr>
              <w:t>71</w:t>
            </w:r>
          </w:p>
        </w:tc>
        <w:tc>
          <w:tcPr>
            <w:tcW w:w="600" w:type="dxa"/>
          </w:tcPr>
          <w:p>
            <w:pPr>
              <w:pStyle w:val="TableParagraph"/>
              <w:spacing w:line="203" w:lineRule="exact"/>
              <w:ind w:left="75" w:right="75"/>
              <w:rPr>
                <w:sz w:val="18"/>
              </w:rPr>
            </w:pPr>
            <w:r>
              <w:rPr>
                <w:color w:val="333333"/>
                <w:sz w:val="18"/>
              </w:rPr>
              <w:t>286</w:t>
            </w:r>
          </w:p>
        </w:tc>
        <w:tc>
          <w:tcPr>
            <w:tcW w:w="601" w:type="dxa"/>
          </w:tcPr>
          <w:p>
            <w:pPr>
              <w:pStyle w:val="TableParagraph"/>
              <w:spacing w:line="203" w:lineRule="exact"/>
              <w:ind w:left="75" w:right="75"/>
              <w:rPr>
                <w:sz w:val="18"/>
              </w:rPr>
            </w:pPr>
            <w:r>
              <w:rPr>
                <w:color w:val="333333"/>
                <w:sz w:val="18"/>
              </w:rPr>
              <w:t>136</w:t>
            </w:r>
          </w:p>
        </w:tc>
        <w:tc>
          <w:tcPr>
            <w:tcW w:w="600" w:type="dxa"/>
          </w:tcPr>
          <w:p>
            <w:pPr>
              <w:pStyle w:val="TableParagraph"/>
              <w:spacing w:line="203" w:lineRule="exact"/>
              <w:ind w:left="75" w:right="75"/>
              <w:rPr>
                <w:sz w:val="18"/>
              </w:rPr>
            </w:pPr>
            <w:r>
              <w:rPr>
                <w:color w:val="333333"/>
                <w:sz w:val="18"/>
              </w:rPr>
              <w:t>63</w:t>
            </w:r>
          </w:p>
        </w:tc>
        <w:tc>
          <w:tcPr>
            <w:tcW w:w="607" w:type="dxa"/>
          </w:tcPr>
          <w:p>
            <w:pPr>
              <w:pStyle w:val="TableParagraph"/>
              <w:spacing w:line="199" w:lineRule="exact"/>
              <w:ind w:left="64" w:right="62"/>
              <w:rPr>
                <w:b/>
                <w:sz w:val="18"/>
              </w:rPr>
            </w:pPr>
            <w:r>
              <w:rPr>
                <w:b/>
                <w:sz w:val="18"/>
              </w:rPr>
              <w:t>959</w:t>
            </w:r>
          </w:p>
        </w:tc>
      </w:tr>
      <w:tr>
        <w:trPr>
          <w:trHeight w:val="322" w:hRule="exact"/>
        </w:trPr>
        <w:tc>
          <w:tcPr>
            <w:tcW w:w="2801" w:type="dxa"/>
          </w:tcPr>
          <w:p>
            <w:pPr>
              <w:pStyle w:val="TableParagraph"/>
              <w:spacing w:line="203" w:lineRule="exact"/>
              <w:ind w:left="64"/>
              <w:jc w:val="left"/>
              <w:rPr>
                <w:sz w:val="18"/>
              </w:rPr>
            </w:pPr>
            <w:r>
              <w:rPr>
                <w:color w:val="333333"/>
                <w:sz w:val="18"/>
              </w:rPr>
              <w:t>TEJUPILCO</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3</w:t>
            </w:r>
          </w:p>
        </w:tc>
        <w:tc>
          <w:tcPr>
            <w:tcW w:w="600" w:type="dxa"/>
          </w:tcPr>
          <w:p>
            <w:pPr>
              <w:pStyle w:val="TableParagraph"/>
              <w:spacing w:line="203" w:lineRule="exact"/>
              <w:ind w:left="75" w:right="75"/>
              <w:rPr>
                <w:sz w:val="18"/>
              </w:rPr>
            </w:pPr>
            <w:r>
              <w:rPr>
                <w:color w:val="333333"/>
                <w:sz w:val="18"/>
              </w:rPr>
              <w:t>17</w:t>
            </w:r>
          </w:p>
        </w:tc>
        <w:tc>
          <w:tcPr>
            <w:tcW w:w="600" w:type="dxa"/>
          </w:tcPr>
          <w:p>
            <w:pPr>
              <w:pStyle w:val="TableParagraph"/>
              <w:spacing w:line="203" w:lineRule="exact"/>
              <w:ind w:left="75" w:right="75"/>
              <w:rPr>
                <w:sz w:val="18"/>
              </w:rPr>
            </w:pPr>
            <w:r>
              <w:rPr>
                <w:color w:val="333333"/>
                <w:sz w:val="18"/>
              </w:rPr>
              <w:t>20</w:t>
            </w:r>
          </w:p>
        </w:tc>
        <w:tc>
          <w:tcPr>
            <w:tcW w:w="600" w:type="dxa"/>
          </w:tcPr>
          <w:p>
            <w:pPr>
              <w:pStyle w:val="TableParagraph"/>
              <w:spacing w:line="203" w:lineRule="exact"/>
              <w:ind w:left="75" w:right="75"/>
              <w:rPr>
                <w:sz w:val="18"/>
              </w:rPr>
            </w:pPr>
            <w:r>
              <w:rPr>
                <w:color w:val="333333"/>
                <w:sz w:val="18"/>
              </w:rPr>
              <w:t>34</w:t>
            </w:r>
          </w:p>
        </w:tc>
        <w:tc>
          <w:tcPr>
            <w:tcW w:w="600" w:type="dxa"/>
          </w:tcPr>
          <w:p>
            <w:pPr>
              <w:pStyle w:val="TableParagraph"/>
              <w:spacing w:line="203" w:lineRule="exact"/>
              <w:ind w:left="75" w:right="75"/>
              <w:rPr>
                <w:sz w:val="18"/>
              </w:rPr>
            </w:pPr>
            <w:r>
              <w:rPr>
                <w:color w:val="333333"/>
                <w:sz w:val="18"/>
              </w:rPr>
              <w:t>35</w:t>
            </w:r>
          </w:p>
        </w:tc>
        <w:tc>
          <w:tcPr>
            <w:tcW w:w="600" w:type="dxa"/>
          </w:tcPr>
          <w:p>
            <w:pPr>
              <w:pStyle w:val="TableParagraph"/>
              <w:spacing w:line="203" w:lineRule="exact"/>
              <w:ind w:left="75" w:right="75"/>
              <w:rPr>
                <w:sz w:val="18"/>
              </w:rPr>
            </w:pPr>
            <w:r>
              <w:rPr>
                <w:color w:val="333333"/>
                <w:sz w:val="18"/>
              </w:rPr>
              <w:t>29</w:t>
            </w:r>
          </w:p>
        </w:tc>
        <w:tc>
          <w:tcPr>
            <w:tcW w:w="600" w:type="dxa"/>
          </w:tcPr>
          <w:p>
            <w:pPr>
              <w:pStyle w:val="TableParagraph"/>
              <w:spacing w:line="203" w:lineRule="exact"/>
              <w:ind w:left="75" w:right="75"/>
              <w:rPr>
                <w:sz w:val="18"/>
              </w:rPr>
            </w:pPr>
            <w:r>
              <w:rPr>
                <w:color w:val="333333"/>
                <w:sz w:val="18"/>
              </w:rPr>
              <w:t>24</w:t>
            </w:r>
          </w:p>
        </w:tc>
        <w:tc>
          <w:tcPr>
            <w:tcW w:w="601" w:type="dxa"/>
          </w:tcPr>
          <w:p>
            <w:pPr>
              <w:pStyle w:val="TableParagraph"/>
              <w:spacing w:line="203" w:lineRule="exact"/>
              <w:ind w:left="75" w:right="75"/>
              <w:rPr>
                <w:sz w:val="18"/>
              </w:rPr>
            </w:pPr>
            <w:r>
              <w:rPr>
                <w:color w:val="333333"/>
                <w:sz w:val="18"/>
              </w:rPr>
              <w:t>22</w:t>
            </w:r>
          </w:p>
        </w:tc>
        <w:tc>
          <w:tcPr>
            <w:tcW w:w="600" w:type="dxa"/>
          </w:tcPr>
          <w:p>
            <w:pPr>
              <w:pStyle w:val="TableParagraph"/>
              <w:spacing w:line="203" w:lineRule="exact"/>
              <w:ind w:left="75" w:right="75"/>
              <w:rPr>
                <w:sz w:val="18"/>
              </w:rPr>
            </w:pPr>
            <w:r>
              <w:rPr>
                <w:color w:val="333333"/>
                <w:sz w:val="18"/>
              </w:rPr>
              <w:t>20</w:t>
            </w:r>
          </w:p>
        </w:tc>
        <w:tc>
          <w:tcPr>
            <w:tcW w:w="607" w:type="dxa"/>
          </w:tcPr>
          <w:p>
            <w:pPr>
              <w:pStyle w:val="TableParagraph"/>
              <w:spacing w:line="199" w:lineRule="exact"/>
              <w:ind w:left="64" w:right="62"/>
              <w:rPr>
                <w:b/>
                <w:sz w:val="18"/>
              </w:rPr>
            </w:pPr>
            <w:r>
              <w:rPr>
                <w:b/>
                <w:sz w:val="18"/>
              </w:rPr>
              <w:t>204</w:t>
            </w:r>
          </w:p>
        </w:tc>
      </w:tr>
      <w:tr>
        <w:trPr>
          <w:trHeight w:val="319" w:hRule="exact"/>
        </w:trPr>
        <w:tc>
          <w:tcPr>
            <w:tcW w:w="2801" w:type="dxa"/>
          </w:tcPr>
          <w:p>
            <w:pPr>
              <w:pStyle w:val="TableParagraph"/>
              <w:spacing w:line="203" w:lineRule="exact"/>
              <w:ind w:left="64"/>
              <w:jc w:val="left"/>
              <w:rPr>
                <w:sz w:val="18"/>
              </w:rPr>
            </w:pPr>
            <w:r>
              <w:rPr>
                <w:color w:val="333333"/>
                <w:sz w:val="18"/>
              </w:rPr>
              <w:t>TEMAMATLA</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6</w:t>
            </w:r>
          </w:p>
        </w:tc>
        <w:tc>
          <w:tcPr>
            <w:tcW w:w="600" w:type="dxa"/>
          </w:tcPr>
          <w:p>
            <w:pPr>
              <w:pStyle w:val="TableParagraph"/>
              <w:spacing w:line="203" w:lineRule="exact"/>
              <w:ind w:left="75" w:right="75"/>
              <w:rPr>
                <w:sz w:val="18"/>
              </w:rPr>
            </w:pPr>
            <w:r>
              <w:rPr>
                <w:color w:val="333333"/>
                <w:sz w:val="18"/>
              </w:rPr>
              <w:t>33</w:t>
            </w:r>
          </w:p>
        </w:tc>
        <w:tc>
          <w:tcPr>
            <w:tcW w:w="600" w:type="dxa"/>
          </w:tcPr>
          <w:p>
            <w:pPr>
              <w:pStyle w:val="TableParagraph"/>
              <w:spacing w:line="203" w:lineRule="exact"/>
              <w:ind w:left="75" w:right="75"/>
              <w:rPr>
                <w:sz w:val="18"/>
              </w:rPr>
            </w:pPr>
            <w:r>
              <w:rPr>
                <w:color w:val="333333"/>
                <w:sz w:val="18"/>
              </w:rPr>
              <w:t>31</w:t>
            </w:r>
          </w:p>
        </w:tc>
        <w:tc>
          <w:tcPr>
            <w:tcW w:w="600" w:type="dxa"/>
          </w:tcPr>
          <w:p>
            <w:pPr>
              <w:pStyle w:val="TableParagraph"/>
              <w:spacing w:line="203" w:lineRule="exact"/>
              <w:ind w:left="75" w:right="75"/>
              <w:rPr>
                <w:sz w:val="18"/>
              </w:rPr>
            </w:pPr>
            <w:r>
              <w:rPr>
                <w:color w:val="333333"/>
                <w:sz w:val="18"/>
              </w:rPr>
              <w:t>25</w:t>
            </w:r>
          </w:p>
        </w:tc>
        <w:tc>
          <w:tcPr>
            <w:tcW w:w="600" w:type="dxa"/>
          </w:tcPr>
          <w:p>
            <w:pPr>
              <w:pStyle w:val="TableParagraph"/>
              <w:spacing w:line="203" w:lineRule="exact"/>
              <w:ind w:left="75" w:right="75"/>
              <w:rPr>
                <w:sz w:val="18"/>
              </w:rPr>
            </w:pPr>
            <w:r>
              <w:rPr>
                <w:color w:val="333333"/>
                <w:sz w:val="18"/>
              </w:rPr>
              <w:t>14</w:t>
            </w:r>
          </w:p>
        </w:tc>
        <w:tc>
          <w:tcPr>
            <w:tcW w:w="600" w:type="dxa"/>
          </w:tcPr>
          <w:p>
            <w:pPr>
              <w:pStyle w:val="TableParagraph"/>
              <w:spacing w:line="203" w:lineRule="exact"/>
              <w:ind w:left="75" w:right="75"/>
              <w:rPr>
                <w:sz w:val="18"/>
              </w:rPr>
            </w:pPr>
            <w:r>
              <w:rPr>
                <w:color w:val="333333"/>
                <w:sz w:val="18"/>
              </w:rPr>
              <w:t>26</w:t>
            </w:r>
          </w:p>
        </w:tc>
        <w:tc>
          <w:tcPr>
            <w:tcW w:w="601" w:type="dxa"/>
          </w:tcPr>
          <w:p>
            <w:pPr>
              <w:pStyle w:val="TableParagraph"/>
              <w:spacing w:line="203" w:lineRule="exact"/>
              <w:ind w:left="75" w:right="75"/>
              <w:rPr>
                <w:sz w:val="18"/>
              </w:rPr>
            </w:pPr>
            <w:r>
              <w:rPr>
                <w:color w:val="333333"/>
                <w:sz w:val="18"/>
              </w:rPr>
              <w:t>16</w:t>
            </w:r>
          </w:p>
        </w:tc>
        <w:tc>
          <w:tcPr>
            <w:tcW w:w="600" w:type="dxa"/>
          </w:tcPr>
          <w:p>
            <w:pPr>
              <w:pStyle w:val="TableParagraph"/>
              <w:spacing w:line="203" w:lineRule="exact"/>
              <w:ind w:left="75" w:right="75"/>
              <w:rPr>
                <w:sz w:val="18"/>
              </w:rPr>
            </w:pPr>
            <w:r>
              <w:rPr>
                <w:color w:val="333333"/>
                <w:sz w:val="18"/>
              </w:rPr>
              <w:t>13</w:t>
            </w:r>
          </w:p>
        </w:tc>
        <w:tc>
          <w:tcPr>
            <w:tcW w:w="607" w:type="dxa"/>
          </w:tcPr>
          <w:p>
            <w:pPr>
              <w:pStyle w:val="TableParagraph"/>
              <w:spacing w:line="199" w:lineRule="exact"/>
              <w:ind w:left="64" w:right="62"/>
              <w:rPr>
                <w:b/>
                <w:sz w:val="18"/>
              </w:rPr>
            </w:pPr>
            <w:r>
              <w:rPr>
                <w:b/>
                <w:sz w:val="18"/>
              </w:rPr>
              <w:t>164</w:t>
            </w:r>
          </w:p>
        </w:tc>
      </w:tr>
      <w:tr>
        <w:trPr>
          <w:trHeight w:val="322" w:hRule="exact"/>
        </w:trPr>
        <w:tc>
          <w:tcPr>
            <w:tcW w:w="2801" w:type="dxa"/>
          </w:tcPr>
          <w:p>
            <w:pPr>
              <w:pStyle w:val="TableParagraph"/>
              <w:spacing w:line="203" w:lineRule="exact"/>
              <w:ind w:left="64"/>
              <w:jc w:val="left"/>
              <w:rPr>
                <w:sz w:val="18"/>
              </w:rPr>
            </w:pPr>
            <w:r>
              <w:rPr>
                <w:color w:val="333333"/>
                <w:sz w:val="18"/>
              </w:rPr>
              <w:t>TEMASCALAPA</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7</w:t>
            </w:r>
          </w:p>
        </w:tc>
        <w:tc>
          <w:tcPr>
            <w:tcW w:w="600" w:type="dxa"/>
          </w:tcPr>
          <w:p>
            <w:pPr>
              <w:pStyle w:val="TableParagraph"/>
              <w:spacing w:line="203" w:lineRule="exact"/>
              <w:ind w:left="75" w:right="75"/>
              <w:rPr>
                <w:sz w:val="18"/>
              </w:rPr>
            </w:pPr>
            <w:r>
              <w:rPr>
                <w:color w:val="333333"/>
                <w:sz w:val="18"/>
              </w:rPr>
              <w:t>15</w:t>
            </w:r>
          </w:p>
        </w:tc>
        <w:tc>
          <w:tcPr>
            <w:tcW w:w="600" w:type="dxa"/>
          </w:tcPr>
          <w:p>
            <w:pPr>
              <w:pStyle w:val="TableParagraph"/>
              <w:spacing w:line="203" w:lineRule="exact"/>
              <w:ind w:left="75" w:right="75"/>
              <w:rPr>
                <w:sz w:val="18"/>
              </w:rPr>
            </w:pPr>
            <w:r>
              <w:rPr>
                <w:color w:val="333333"/>
                <w:sz w:val="18"/>
              </w:rPr>
              <w:t>21</w:t>
            </w:r>
          </w:p>
        </w:tc>
        <w:tc>
          <w:tcPr>
            <w:tcW w:w="600" w:type="dxa"/>
          </w:tcPr>
          <w:p>
            <w:pPr>
              <w:pStyle w:val="TableParagraph"/>
              <w:spacing w:line="203" w:lineRule="exact"/>
              <w:ind w:left="75" w:right="75"/>
              <w:rPr>
                <w:sz w:val="18"/>
              </w:rPr>
            </w:pPr>
            <w:r>
              <w:rPr>
                <w:color w:val="333333"/>
                <w:sz w:val="18"/>
              </w:rPr>
              <w:t>27</w:t>
            </w:r>
          </w:p>
        </w:tc>
        <w:tc>
          <w:tcPr>
            <w:tcW w:w="600" w:type="dxa"/>
          </w:tcPr>
          <w:p>
            <w:pPr>
              <w:pStyle w:val="TableParagraph"/>
              <w:spacing w:line="203" w:lineRule="exact"/>
              <w:ind w:left="75" w:right="75"/>
              <w:rPr>
                <w:sz w:val="18"/>
              </w:rPr>
            </w:pPr>
            <w:r>
              <w:rPr>
                <w:color w:val="333333"/>
                <w:sz w:val="18"/>
              </w:rPr>
              <w:t>25</w:t>
            </w:r>
          </w:p>
        </w:tc>
        <w:tc>
          <w:tcPr>
            <w:tcW w:w="600" w:type="dxa"/>
          </w:tcPr>
          <w:p>
            <w:pPr>
              <w:pStyle w:val="TableParagraph"/>
              <w:spacing w:line="203" w:lineRule="exact"/>
              <w:ind w:left="75" w:right="75"/>
              <w:rPr>
                <w:sz w:val="18"/>
              </w:rPr>
            </w:pPr>
            <w:r>
              <w:rPr>
                <w:color w:val="333333"/>
                <w:sz w:val="18"/>
              </w:rPr>
              <w:t>49</w:t>
            </w:r>
          </w:p>
        </w:tc>
        <w:tc>
          <w:tcPr>
            <w:tcW w:w="601" w:type="dxa"/>
          </w:tcPr>
          <w:p>
            <w:pPr>
              <w:pStyle w:val="TableParagraph"/>
              <w:spacing w:line="203" w:lineRule="exact"/>
              <w:ind w:left="75" w:right="75"/>
              <w:rPr>
                <w:sz w:val="18"/>
              </w:rPr>
            </w:pPr>
            <w:r>
              <w:rPr>
                <w:color w:val="333333"/>
                <w:sz w:val="18"/>
              </w:rPr>
              <w:t>63</w:t>
            </w:r>
          </w:p>
        </w:tc>
        <w:tc>
          <w:tcPr>
            <w:tcW w:w="600" w:type="dxa"/>
          </w:tcPr>
          <w:p>
            <w:pPr>
              <w:pStyle w:val="TableParagraph"/>
              <w:spacing w:line="203" w:lineRule="exact"/>
              <w:ind w:left="75" w:right="75"/>
              <w:rPr>
                <w:sz w:val="18"/>
              </w:rPr>
            </w:pPr>
            <w:r>
              <w:rPr>
                <w:color w:val="333333"/>
                <w:sz w:val="18"/>
              </w:rPr>
              <w:t>18</w:t>
            </w:r>
          </w:p>
        </w:tc>
        <w:tc>
          <w:tcPr>
            <w:tcW w:w="607" w:type="dxa"/>
          </w:tcPr>
          <w:p>
            <w:pPr>
              <w:pStyle w:val="TableParagraph"/>
              <w:spacing w:line="199" w:lineRule="exact"/>
              <w:ind w:left="64" w:right="62"/>
              <w:rPr>
                <w:b/>
                <w:sz w:val="18"/>
              </w:rPr>
            </w:pPr>
            <w:r>
              <w:rPr>
                <w:b/>
                <w:sz w:val="18"/>
              </w:rPr>
              <w:t>225</w:t>
            </w:r>
          </w:p>
        </w:tc>
      </w:tr>
      <w:tr>
        <w:trPr>
          <w:trHeight w:val="319" w:hRule="exact"/>
        </w:trPr>
        <w:tc>
          <w:tcPr>
            <w:tcW w:w="2801" w:type="dxa"/>
          </w:tcPr>
          <w:p>
            <w:pPr>
              <w:pStyle w:val="TableParagraph"/>
              <w:spacing w:line="203" w:lineRule="exact"/>
              <w:ind w:left="64"/>
              <w:jc w:val="left"/>
              <w:rPr>
                <w:sz w:val="18"/>
              </w:rPr>
            </w:pPr>
            <w:r>
              <w:rPr>
                <w:color w:val="333333"/>
                <w:sz w:val="18"/>
              </w:rPr>
              <w:t>TEMASCALCINGO</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2</w:t>
            </w:r>
          </w:p>
        </w:tc>
        <w:tc>
          <w:tcPr>
            <w:tcW w:w="600" w:type="dxa"/>
          </w:tcPr>
          <w:p>
            <w:pPr>
              <w:pStyle w:val="TableParagraph"/>
              <w:spacing w:line="203" w:lineRule="exact"/>
              <w:ind w:left="75" w:right="75"/>
              <w:rPr>
                <w:sz w:val="18"/>
              </w:rPr>
            </w:pPr>
            <w:r>
              <w:rPr>
                <w:color w:val="333333"/>
                <w:sz w:val="18"/>
              </w:rPr>
              <w:t>10</w:t>
            </w:r>
          </w:p>
        </w:tc>
        <w:tc>
          <w:tcPr>
            <w:tcW w:w="600" w:type="dxa"/>
          </w:tcPr>
          <w:p>
            <w:pPr>
              <w:pStyle w:val="TableParagraph"/>
              <w:spacing w:line="203" w:lineRule="exact"/>
              <w:ind w:left="75" w:right="75"/>
              <w:rPr>
                <w:sz w:val="18"/>
              </w:rPr>
            </w:pPr>
            <w:r>
              <w:rPr>
                <w:color w:val="333333"/>
                <w:sz w:val="18"/>
              </w:rPr>
              <w:t>15</w:t>
            </w:r>
          </w:p>
        </w:tc>
        <w:tc>
          <w:tcPr>
            <w:tcW w:w="600" w:type="dxa"/>
          </w:tcPr>
          <w:p>
            <w:pPr>
              <w:pStyle w:val="TableParagraph"/>
              <w:spacing w:line="203" w:lineRule="exact"/>
              <w:ind w:left="75" w:right="75"/>
              <w:rPr>
                <w:sz w:val="18"/>
              </w:rPr>
            </w:pPr>
            <w:r>
              <w:rPr>
                <w:color w:val="333333"/>
                <w:sz w:val="18"/>
              </w:rPr>
              <w:t>30</w:t>
            </w:r>
          </w:p>
        </w:tc>
        <w:tc>
          <w:tcPr>
            <w:tcW w:w="600" w:type="dxa"/>
          </w:tcPr>
          <w:p>
            <w:pPr>
              <w:pStyle w:val="TableParagraph"/>
              <w:spacing w:line="203" w:lineRule="exact"/>
              <w:ind w:left="75" w:right="75"/>
              <w:rPr>
                <w:sz w:val="18"/>
              </w:rPr>
            </w:pPr>
            <w:r>
              <w:rPr>
                <w:color w:val="333333"/>
                <w:sz w:val="18"/>
              </w:rPr>
              <w:t>21</w:t>
            </w:r>
          </w:p>
        </w:tc>
        <w:tc>
          <w:tcPr>
            <w:tcW w:w="600" w:type="dxa"/>
          </w:tcPr>
          <w:p>
            <w:pPr>
              <w:pStyle w:val="TableParagraph"/>
              <w:spacing w:line="203" w:lineRule="exact"/>
              <w:ind w:left="75" w:right="75"/>
              <w:rPr>
                <w:sz w:val="18"/>
              </w:rPr>
            </w:pPr>
            <w:r>
              <w:rPr>
                <w:color w:val="333333"/>
                <w:sz w:val="18"/>
              </w:rPr>
              <w:t>22</w:t>
            </w:r>
          </w:p>
        </w:tc>
        <w:tc>
          <w:tcPr>
            <w:tcW w:w="600" w:type="dxa"/>
          </w:tcPr>
          <w:p>
            <w:pPr>
              <w:pStyle w:val="TableParagraph"/>
              <w:spacing w:line="203" w:lineRule="exact"/>
              <w:ind w:left="75" w:right="75"/>
              <w:rPr>
                <w:sz w:val="18"/>
              </w:rPr>
            </w:pPr>
            <w:r>
              <w:rPr>
                <w:color w:val="333333"/>
                <w:sz w:val="18"/>
              </w:rPr>
              <w:t>26</w:t>
            </w:r>
          </w:p>
        </w:tc>
        <w:tc>
          <w:tcPr>
            <w:tcW w:w="601" w:type="dxa"/>
          </w:tcPr>
          <w:p>
            <w:pPr>
              <w:pStyle w:val="TableParagraph"/>
              <w:spacing w:line="203" w:lineRule="exact"/>
              <w:ind w:left="75" w:right="75"/>
              <w:rPr>
                <w:sz w:val="18"/>
              </w:rPr>
            </w:pPr>
            <w:r>
              <w:rPr>
                <w:color w:val="333333"/>
                <w:sz w:val="18"/>
              </w:rPr>
              <w:t>17</w:t>
            </w:r>
          </w:p>
        </w:tc>
        <w:tc>
          <w:tcPr>
            <w:tcW w:w="600" w:type="dxa"/>
          </w:tcPr>
          <w:p>
            <w:pPr>
              <w:pStyle w:val="TableParagraph"/>
              <w:spacing w:line="203" w:lineRule="exact"/>
              <w:ind w:left="75" w:right="75"/>
              <w:rPr>
                <w:sz w:val="18"/>
              </w:rPr>
            </w:pPr>
            <w:r>
              <w:rPr>
                <w:color w:val="333333"/>
                <w:sz w:val="18"/>
              </w:rPr>
              <w:t>25</w:t>
            </w:r>
          </w:p>
        </w:tc>
        <w:tc>
          <w:tcPr>
            <w:tcW w:w="607" w:type="dxa"/>
          </w:tcPr>
          <w:p>
            <w:pPr>
              <w:pStyle w:val="TableParagraph"/>
              <w:spacing w:line="199" w:lineRule="exact"/>
              <w:ind w:left="64" w:right="62"/>
              <w:rPr>
                <w:b/>
                <w:sz w:val="18"/>
              </w:rPr>
            </w:pPr>
            <w:r>
              <w:rPr>
                <w:b/>
                <w:sz w:val="18"/>
              </w:rPr>
              <w:t>168</w:t>
            </w:r>
          </w:p>
        </w:tc>
      </w:tr>
      <w:tr>
        <w:trPr>
          <w:trHeight w:val="322" w:hRule="exact"/>
        </w:trPr>
        <w:tc>
          <w:tcPr>
            <w:tcW w:w="2801" w:type="dxa"/>
          </w:tcPr>
          <w:p>
            <w:pPr>
              <w:pStyle w:val="TableParagraph"/>
              <w:spacing w:line="206" w:lineRule="exact"/>
              <w:ind w:left="64"/>
              <w:jc w:val="left"/>
              <w:rPr>
                <w:sz w:val="18"/>
              </w:rPr>
            </w:pPr>
            <w:r>
              <w:rPr>
                <w:color w:val="333333"/>
                <w:sz w:val="18"/>
              </w:rPr>
              <w:t>TEMASCALTEPEC</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1</w:t>
            </w:r>
          </w:p>
        </w:tc>
        <w:tc>
          <w:tcPr>
            <w:tcW w:w="600" w:type="dxa"/>
          </w:tcPr>
          <w:p>
            <w:pPr>
              <w:pStyle w:val="TableParagraph"/>
              <w:spacing w:line="206" w:lineRule="exact"/>
              <w:ind w:left="75" w:right="75"/>
              <w:rPr>
                <w:sz w:val="18"/>
              </w:rPr>
            </w:pPr>
            <w:r>
              <w:rPr>
                <w:color w:val="333333"/>
                <w:sz w:val="18"/>
              </w:rPr>
              <w:t>17</w:t>
            </w:r>
          </w:p>
        </w:tc>
        <w:tc>
          <w:tcPr>
            <w:tcW w:w="600" w:type="dxa"/>
          </w:tcPr>
          <w:p>
            <w:pPr>
              <w:pStyle w:val="TableParagraph"/>
              <w:spacing w:line="206" w:lineRule="exact"/>
              <w:ind w:left="75" w:right="75"/>
              <w:rPr>
                <w:sz w:val="18"/>
              </w:rPr>
            </w:pPr>
            <w:r>
              <w:rPr>
                <w:color w:val="333333"/>
                <w:sz w:val="18"/>
              </w:rPr>
              <w:t>18</w:t>
            </w:r>
          </w:p>
        </w:tc>
        <w:tc>
          <w:tcPr>
            <w:tcW w:w="600" w:type="dxa"/>
          </w:tcPr>
          <w:p>
            <w:pPr>
              <w:pStyle w:val="TableParagraph"/>
              <w:spacing w:line="206" w:lineRule="exact"/>
              <w:ind w:left="75" w:right="75"/>
              <w:rPr>
                <w:sz w:val="18"/>
              </w:rPr>
            </w:pPr>
            <w:r>
              <w:rPr>
                <w:color w:val="333333"/>
                <w:sz w:val="18"/>
              </w:rPr>
              <w:t>24</w:t>
            </w:r>
          </w:p>
        </w:tc>
        <w:tc>
          <w:tcPr>
            <w:tcW w:w="600" w:type="dxa"/>
          </w:tcPr>
          <w:p>
            <w:pPr>
              <w:pStyle w:val="TableParagraph"/>
              <w:spacing w:line="206" w:lineRule="exact"/>
              <w:ind w:left="75" w:right="75"/>
              <w:rPr>
                <w:sz w:val="18"/>
              </w:rPr>
            </w:pPr>
            <w:r>
              <w:rPr>
                <w:color w:val="333333"/>
                <w:sz w:val="18"/>
              </w:rPr>
              <w:t>18</w:t>
            </w:r>
          </w:p>
        </w:tc>
        <w:tc>
          <w:tcPr>
            <w:tcW w:w="600" w:type="dxa"/>
          </w:tcPr>
          <w:p>
            <w:pPr>
              <w:pStyle w:val="TableParagraph"/>
              <w:spacing w:line="206" w:lineRule="exact"/>
              <w:ind w:left="75" w:right="75"/>
              <w:rPr>
                <w:sz w:val="18"/>
              </w:rPr>
            </w:pPr>
            <w:r>
              <w:rPr>
                <w:color w:val="333333"/>
                <w:sz w:val="18"/>
              </w:rPr>
              <w:t>19</w:t>
            </w:r>
          </w:p>
        </w:tc>
        <w:tc>
          <w:tcPr>
            <w:tcW w:w="600" w:type="dxa"/>
          </w:tcPr>
          <w:p>
            <w:pPr>
              <w:pStyle w:val="TableParagraph"/>
              <w:spacing w:line="206" w:lineRule="exact"/>
              <w:ind w:left="75" w:right="75"/>
              <w:rPr>
                <w:sz w:val="18"/>
              </w:rPr>
            </w:pPr>
            <w:r>
              <w:rPr>
                <w:color w:val="333333"/>
                <w:sz w:val="18"/>
              </w:rPr>
              <w:t>15</w:t>
            </w:r>
          </w:p>
        </w:tc>
        <w:tc>
          <w:tcPr>
            <w:tcW w:w="601" w:type="dxa"/>
          </w:tcPr>
          <w:p>
            <w:pPr>
              <w:pStyle w:val="TableParagraph"/>
              <w:spacing w:line="206" w:lineRule="exact"/>
              <w:ind w:left="75" w:right="75"/>
              <w:rPr>
                <w:sz w:val="18"/>
              </w:rPr>
            </w:pPr>
            <w:r>
              <w:rPr>
                <w:color w:val="333333"/>
                <w:sz w:val="18"/>
              </w:rPr>
              <w:t>11</w:t>
            </w:r>
          </w:p>
        </w:tc>
        <w:tc>
          <w:tcPr>
            <w:tcW w:w="600" w:type="dxa"/>
          </w:tcPr>
          <w:p>
            <w:pPr>
              <w:pStyle w:val="TableParagraph"/>
              <w:spacing w:line="206" w:lineRule="exact"/>
              <w:ind w:left="75" w:right="75"/>
              <w:rPr>
                <w:sz w:val="18"/>
              </w:rPr>
            </w:pPr>
            <w:r>
              <w:rPr>
                <w:color w:val="333333"/>
                <w:sz w:val="18"/>
              </w:rPr>
              <w:t>12</w:t>
            </w:r>
          </w:p>
        </w:tc>
        <w:tc>
          <w:tcPr>
            <w:tcW w:w="607" w:type="dxa"/>
          </w:tcPr>
          <w:p>
            <w:pPr>
              <w:pStyle w:val="TableParagraph"/>
              <w:spacing w:line="201" w:lineRule="exact"/>
              <w:ind w:left="64" w:right="62"/>
              <w:rPr>
                <w:b/>
                <w:sz w:val="18"/>
              </w:rPr>
            </w:pPr>
            <w:r>
              <w:rPr>
                <w:b/>
                <w:sz w:val="18"/>
              </w:rPr>
              <w:t>135</w:t>
            </w:r>
          </w:p>
        </w:tc>
      </w:tr>
      <w:tr>
        <w:trPr>
          <w:trHeight w:val="319" w:hRule="exact"/>
        </w:trPr>
        <w:tc>
          <w:tcPr>
            <w:tcW w:w="2801" w:type="dxa"/>
          </w:tcPr>
          <w:p>
            <w:pPr>
              <w:pStyle w:val="TableParagraph"/>
              <w:spacing w:line="203" w:lineRule="exact"/>
              <w:ind w:left="64"/>
              <w:jc w:val="left"/>
              <w:rPr>
                <w:sz w:val="18"/>
              </w:rPr>
            </w:pPr>
            <w:r>
              <w:rPr>
                <w:color w:val="333333"/>
                <w:sz w:val="18"/>
              </w:rPr>
              <w:t>TEMOAYA</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3</w:t>
            </w:r>
          </w:p>
        </w:tc>
        <w:tc>
          <w:tcPr>
            <w:tcW w:w="600" w:type="dxa"/>
          </w:tcPr>
          <w:p>
            <w:pPr>
              <w:pStyle w:val="TableParagraph"/>
              <w:spacing w:line="203" w:lineRule="exact"/>
              <w:ind w:left="75" w:right="75"/>
              <w:rPr>
                <w:sz w:val="18"/>
              </w:rPr>
            </w:pPr>
            <w:r>
              <w:rPr>
                <w:color w:val="333333"/>
                <w:sz w:val="18"/>
              </w:rPr>
              <w:t>13</w:t>
            </w:r>
          </w:p>
        </w:tc>
        <w:tc>
          <w:tcPr>
            <w:tcW w:w="600" w:type="dxa"/>
          </w:tcPr>
          <w:p>
            <w:pPr>
              <w:pStyle w:val="TableParagraph"/>
              <w:spacing w:line="203" w:lineRule="exact"/>
              <w:ind w:left="75" w:right="75"/>
              <w:rPr>
                <w:sz w:val="18"/>
              </w:rPr>
            </w:pPr>
            <w:r>
              <w:rPr>
                <w:color w:val="333333"/>
                <w:sz w:val="18"/>
              </w:rPr>
              <w:t>25</w:t>
            </w:r>
          </w:p>
        </w:tc>
        <w:tc>
          <w:tcPr>
            <w:tcW w:w="600" w:type="dxa"/>
          </w:tcPr>
          <w:p>
            <w:pPr>
              <w:pStyle w:val="TableParagraph"/>
              <w:spacing w:line="203" w:lineRule="exact"/>
              <w:ind w:left="75" w:right="75"/>
              <w:rPr>
                <w:sz w:val="18"/>
              </w:rPr>
            </w:pPr>
            <w:r>
              <w:rPr>
                <w:color w:val="333333"/>
                <w:sz w:val="18"/>
              </w:rPr>
              <w:t>25</w:t>
            </w:r>
          </w:p>
        </w:tc>
        <w:tc>
          <w:tcPr>
            <w:tcW w:w="600" w:type="dxa"/>
          </w:tcPr>
          <w:p>
            <w:pPr>
              <w:pStyle w:val="TableParagraph"/>
              <w:spacing w:line="203" w:lineRule="exact"/>
              <w:ind w:left="75" w:right="75"/>
              <w:rPr>
                <w:sz w:val="18"/>
              </w:rPr>
            </w:pPr>
            <w:r>
              <w:rPr>
                <w:color w:val="333333"/>
                <w:sz w:val="18"/>
              </w:rPr>
              <w:t>24</w:t>
            </w:r>
          </w:p>
        </w:tc>
        <w:tc>
          <w:tcPr>
            <w:tcW w:w="600" w:type="dxa"/>
          </w:tcPr>
          <w:p>
            <w:pPr>
              <w:pStyle w:val="TableParagraph"/>
              <w:spacing w:line="203" w:lineRule="exact"/>
              <w:ind w:left="75" w:right="75"/>
              <w:rPr>
                <w:sz w:val="18"/>
              </w:rPr>
            </w:pPr>
            <w:r>
              <w:rPr>
                <w:color w:val="333333"/>
                <w:sz w:val="18"/>
              </w:rPr>
              <w:t>28</w:t>
            </w:r>
          </w:p>
        </w:tc>
        <w:tc>
          <w:tcPr>
            <w:tcW w:w="600" w:type="dxa"/>
          </w:tcPr>
          <w:p>
            <w:pPr>
              <w:pStyle w:val="TableParagraph"/>
              <w:spacing w:line="203" w:lineRule="exact"/>
              <w:ind w:left="75" w:right="75"/>
              <w:rPr>
                <w:sz w:val="18"/>
              </w:rPr>
            </w:pPr>
            <w:r>
              <w:rPr>
                <w:color w:val="333333"/>
                <w:sz w:val="18"/>
              </w:rPr>
              <w:t>35</w:t>
            </w:r>
          </w:p>
        </w:tc>
        <w:tc>
          <w:tcPr>
            <w:tcW w:w="601" w:type="dxa"/>
          </w:tcPr>
          <w:p>
            <w:pPr>
              <w:pStyle w:val="TableParagraph"/>
              <w:spacing w:line="203" w:lineRule="exact"/>
              <w:ind w:left="75" w:right="75"/>
              <w:rPr>
                <w:sz w:val="18"/>
              </w:rPr>
            </w:pPr>
            <w:r>
              <w:rPr>
                <w:color w:val="333333"/>
                <w:sz w:val="18"/>
              </w:rPr>
              <w:t>40</w:t>
            </w:r>
          </w:p>
        </w:tc>
        <w:tc>
          <w:tcPr>
            <w:tcW w:w="600" w:type="dxa"/>
          </w:tcPr>
          <w:p>
            <w:pPr>
              <w:pStyle w:val="TableParagraph"/>
              <w:spacing w:line="203" w:lineRule="exact"/>
              <w:ind w:left="75" w:right="75"/>
              <w:rPr>
                <w:sz w:val="18"/>
              </w:rPr>
            </w:pPr>
            <w:r>
              <w:rPr>
                <w:color w:val="333333"/>
                <w:sz w:val="18"/>
              </w:rPr>
              <w:t>30</w:t>
            </w:r>
          </w:p>
        </w:tc>
        <w:tc>
          <w:tcPr>
            <w:tcW w:w="607" w:type="dxa"/>
          </w:tcPr>
          <w:p>
            <w:pPr>
              <w:pStyle w:val="TableParagraph"/>
              <w:spacing w:line="199" w:lineRule="exact"/>
              <w:ind w:left="64" w:right="62"/>
              <w:rPr>
                <w:b/>
                <w:sz w:val="18"/>
              </w:rPr>
            </w:pPr>
            <w:r>
              <w:rPr>
                <w:b/>
                <w:sz w:val="18"/>
              </w:rPr>
              <w:t>223</w:t>
            </w:r>
          </w:p>
        </w:tc>
      </w:tr>
      <w:tr>
        <w:trPr>
          <w:trHeight w:val="322" w:hRule="exact"/>
        </w:trPr>
        <w:tc>
          <w:tcPr>
            <w:tcW w:w="2801" w:type="dxa"/>
          </w:tcPr>
          <w:p>
            <w:pPr>
              <w:pStyle w:val="TableParagraph"/>
              <w:spacing w:line="206" w:lineRule="exact"/>
              <w:ind w:left="64"/>
              <w:jc w:val="left"/>
              <w:rPr>
                <w:sz w:val="18"/>
              </w:rPr>
            </w:pPr>
            <w:r>
              <w:rPr>
                <w:color w:val="333333"/>
                <w:sz w:val="18"/>
              </w:rPr>
              <w:t>TENANCINGO</w:t>
            </w:r>
          </w:p>
        </w:tc>
        <w:tc>
          <w:tcPr>
            <w:tcW w:w="601" w:type="dxa"/>
          </w:tcPr>
          <w:p>
            <w:pPr>
              <w:pStyle w:val="TableParagraph"/>
              <w:spacing w:line="206" w:lineRule="exact"/>
              <w:ind w:left="75" w:right="75"/>
              <w:rPr>
                <w:sz w:val="18"/>
              </w:rPr>
            </w:pPr>
            <w:r>
              <w:rPr>
                <w:color w:val="333333"/>
                <w:sz w:val="18"/>
              </w:rPr>
              <w:t>17</w:t>
            </w:r>
          </w:p>
        </w:tc>
        <w:tc>
          <w:tcPr>
            <w:tcW w:w="600" w:type="dxa"/>
          </w:tcPr>
          <w:p>
            <w:pPr>
              <w:pStyle w:val="TableParagraph"/>
              <w:spacing w:line="206" w:lineRule="exact"/>
              <w:ind w:right="192"/>
              <w:jc w:val="right"/>
              <w:rPr>
                <w:sz w:val="18"/>
              </w:rPr>
            </w:pPr>
            <w:r>
              <w:rPr>
                <w:color w:val="333333"/>
                <w:w w:val="95"/>
                <w:sz w:val="18"/>
              </w:rPr>
              <w:t>11</w:t>
            </w:r>
          </w:p>
        </w:tc>
        <w:tc>
          <w:tcPr>
            <w:tcW w:w="600" w:type="dxa"/>
          </w:tcPr>
          <w:p>
            <w:pPr>
              <w:pStyle w:val="TableParagraph"/>
              <w:spacing w:line="206" w:lineRule="exact"/>
              <w:ind w:left="75" w:right="75"/>
              <w:rPr>
                <w:sz w:val="18"/>
              </w:rPr>
            </w:pPr>
            <w:r>
              <w:rPr>
                <w:color w:val="333333"/>
                <w:sz w:val="18"/>
              </w:rPr>
              <w:t>61</w:t>
            </w:r>
          </w:p>
        </w:tc>
        <w:tc>
          <w:tcPr>
            <w:tcW w:w="600" w:type="dxa"/>
          </w:tcPr>
          <w:p>
            <w:pPr>
              <w:pStyle w:val="TableParagraph"/>
              <w:spacing w:line="206" w:lineRule="exact"/>
              <w:ind w:left="75" w:right="75"/>
              <w:rPr>
                <w:sz w:val="18"/>
              </w:rPr>
            </w:pPr>
            <w:r>
              <w:rPr>
                <w:color w:val="333333"/>
                <w:sz w:val="18"/>
              </w:rPr>
              <w:t>70</w:t>
            </w:r>
          </w:p>
        </w:tc>
        <w:tc>
          <w:tcPr>
            <w:tcW w:w="600" w:type="dxa"/>
          </w:tcPr>
          <w:p>
            <w:pPr>
              <w:pStyle w:val="TableParagraph"/>
              <w:spacing w:line="206" w:lineRule="exact"/>
              <w:ind w:left="75" w:right="75"/>
              <w:rPr>
                <w:sz w:val="18"/>
              </w:rPr>
            </w:pPr>
            <w:r>
              <w:rPr>
                <w:color w:val="333333"/>
                <w:sz w:val="18"/>
              </w:rPr>
              <w:t>39</w:t>
            </w:r>
          </w:p>
        </w:tc>
        <w:tc>
          <w:tcPr>
            <w:tcW w:w="600" w:type="dxa"/>
          </w:tcPr>
          <w:p>
            <w:pPr>
              <w:pStyle w:val="TableParagraph"/>
              <w:spacing w:line="206" w:lineRule="exact"/>
              <w:ind w:left="75" w:right="75"/>
              <w:rPr>
                <w:sz w:val="18"/>
              </w:rPr>
            </w:pPr>
            <w:r>
              <w:rPr>
                <w:color w:val="333333"/>
                <w:sz w:val="18"/>
              </w:rPr>
              <w:t>46</w:t>
            </w:r>
          </w:p>
        </w:tc>
        <w:tc>
          <w:tcPr>
            <w:tcW w:w="600" w:type="dxa"/>
          </w:tcPr>
          <w:p>
            <w:pPr>
              <w:pStyle w:val="TableParagraph"/>
              <w:spacing w:line="206" w:lineRule="exact"/>
              <w:ind w:left="75" w:right="75"/>
              <w:rPr>
                <w:sz w:val="18"/>
              </w:rPr>
            </w:pPr>
            <w:r>
              <w:rPr>
                <w:color w:val="333333"/>
                <w:sz w:val="18"/>
              </w:rPr>
              <w:t>41</w:t>
            </w:r>
          </w:p>
        </w:tc>
        <w:tc>
          <w:tcPr>
            <w:tcW w:w="600" w:type="dxa"/>
          </w:tcPr>
          <w:p>
            <w:pPr>
              <w:pStyle w:val="TableParagraph"/>
              <w:spacing w:line="206" w:lineRule="exact"/>
              <w:ind w:left="75" w:right="75"/>
              <w:rPr>
                <w:sz w:val="18"/>
              </w:rPr>
            </w:pPr>
            <w:r>
              <w:rPr>
                <w:color w:val="333333"/>
                <w:sz w:val="18"/>
              </w:rPr>
              <w:t>24</w:t>
            </w:r>
          </w:p>
        </w:tc>
        <w:tc>
          <w:tcPr>
            <w:tcW w:w="600" w:type="dxa"/>
          </w:tcPr>
          <w:p>
            <w:pPr>
              <w:pStyle w:val="TableParagraph"/>
              <w:spacing w:line="206" w:lineRule="exact"/>
              <w:ind w:left="75" w:right="75"/>
              <w:rPr>
                <w:sz w:val="18"/>
              </w:rPr>
            </w:pPr>
            <w:r>
              <w:rPr>
                <w:color w:val="333333"/>
                <w:sz w:val="18"/>
              </w:rPr>
              <w:t>21</w:t>
            </w:r>
          </w:p>
        </w:tc>
        <w:tc>
          <w:tcPr>
            <w:tcW w:w="601" w:type="dxa"/>
          </w:tcPr>
          <w:p>
            <w:pPr>
              <w:pStyle w:val="TableParagraph"/>
              <w:spacing w:line="206" w:lineRule="exact"/>
              <w:ind w:left="75" w:right="75"/>
              <w:rPr>
                <w:sz w:val="18"/>
              </w:rPr>
            </w:pPr>
            <w:r>
              <w:rPr>
                <w:color w:val="333333"/>
                <w:sz w:val="18"/>
              </w:rPr>
              <w:t>19</w:t>
            </w:r>
          </w:p>
        </w:tc>
        <w:tc>
          <w:tcPr>
            <w:tcW w:w="600" w:type="dxa"/>
          </w:tcPr>
          <w:p>
            <w:pPr>
              <w:pStyle w:val="TableParagraph"/>
              <w:spacing w:line="206" w:lineRule="exact"/>
              <w:ind w:left="75" w:right="75"/>
              <w:rPr>
                <w:sz w:val="18"/>
              </w:rPr>
            </w:pPr>
            <w:r>
              <w:rPr>
                <w:color w:val="333333"/>
                <w:sz w:val="18"/>
              </w:rPr>
              <w:t>20</w:t>
            </w:r>
          </w:p>
        </w:tc>
        <w:tc>
          <w:tcPr>
            <w:tcW w:w="607" w:type="dxa"/>
          </w:tcPr>
          <w:p>
            <w:pPr>
              <w:pStyle w:val="TableParagraph"/>
              <w:spacing w:line="201" w:lineRule="exact"/>
              <w:ind w:left="64" w:right="62"/>
              <w:rPr>
                <w:b/>
                <w:sz w:val="18"/>
              </w:rPr>
            </w:pPr>
            <w:r>
              <w:rPr>
                <w:b/>
                <w:sz w:val="18"/>
              </w:rPr>
              <w:t>369</w:t>
            </w:r>
          </w:p>
        </w:tc>
      </w:tr>
      <w:tr>
        <w:trPr>
          <w:trHeight w:val="320" w:hRule="exact"/>
        </w:trPr>
        <w:tc>
          <w:tcPr>
            <w:tcW w:w="2801" w:type="dxa"/>
          </w:tcPr>
          <w:p>
            <w:pPr>
              <w:pStyle w:val="TableParagraph"/>
              <w:spacing w:line="203" w:lineRule="exact"/>
              <w:ind w:left="64"/>
              <w:jc w:val="left"/>
              <w:rPr>
                <w:sz w:val="18"/>
              </w:rPr>
            </w:pPr>
            <w:r>
              <w:rPr>
                <w:color w:val="333333"/>
                <w:sz w:val="18"/>
              </w:rPr>
              <w:t>TENANGO DEL AIRE</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2</w:t>
            </w:r>
          </w:p>
        </w:tc>
        <w:tc>
          <w:tcPr>
            <w:tcW w:w="600" w:type="dxa"/>
          </w:tcPr>
          <w:p>
            <w:pPr>
              <w:pStyle w:val="TableParagraph"/>
              <w:spacing w:line="203" w:lineRule="exact"/>
              <w:ind w:left="75" w:right="75"/>
              <w:rPr>
                <w:sz w:val="18"/>
              </w:rPr>
            </w:pPr>
            <w:r>
              <w:rPr>
                <w:color w:val="333333"/>
                <w:sz w:val="18"/>
              </w:rPr>
              <w:t>19</w:t>
            </w:r>
          </w:p>
        </w:tc>
        <w:tc>
          <w:tcPr>
            <w:tcW w:w="600" w:type="dxa"/>
          </w:tcPr>
          <w:p>
            <w:pPr>
              <w:pStyle w:val="TableParagraph"/>
              <w:spacing w:line="203" w:lineRule="exact"/>
              <w:ind w:left="75" w:right="75"/>
              <w:rPr>
                <w:sz w:val="18"/>
              </w:rPr>
            </w:pPr>
            <w:r>
              <w:rPr>
                <w:color w:val="333333"/>
                <w:sz w:val="18"/>
              </w:rPr>
              <w:t>39</w:t>
            </w:r>
          </w:p>
        </w:tc>
        <w:tc>
          <w:tcPr>
            <w:tcW w:w="600" w:type="dxa"/>
          </w:tcPr>
          <w:p>
            <w:pPr>
              <w:pStyle w:val="TableParagraph"/>
              <w:spacing w:line="203" w:lineRule="exact"/>
              <w:ind w:left="75" w:right="75"/>
              <w:rPr>
                <w:sz w:val="18"/>
              </w:rPr>
            </w:pPr>
            <w:r>
              <w:rPr>
                <w:color w:val="333333"/>
                <w:sz w:val="18"/>
              </w:rPr>
              <w:t>37</w:t>
            </w:r>
          </w:p>
        </w:tc>
        <w:tc>
          <w:tcPr>
            <w:tcW w:w="600" w:type="dxa"/>
          </w:tcPr>
          <w:p>
            <w:pPr>
              <w:pStyle w:val="TableParagraph"/>
              <w:spacing w:line="203" w:lineRule="exact"/>
              <w:ind w:left="75" w:right="75"/>
              <w:rPr>
                <w:sz w:val="18"/>
              </w:rPr>
            </w:pPr>
            <w:r>
              <w:rPr>
                <w:color w:val="333333"/>
                <w:sz w:val="18"/>
              </w:rPr>
              <w:t>35</w:t>
            </w:r>
          </w:p>
        </w:tc>
        <w:tc>
          <w:tcPr>
            <w:tcW w:w="600" w:type="dxa"/>
          </w:tcPr>
          <w:p>
            <w:pPr>
              <w:pStyle w:val="TableParagraph"/>
              <w:spacing w:line="203" w:lineRule="exact"/>
              <w:ind w:left="75" w:right="75"/>
              <w:rPr>
                <w:sz w:val="18"/>
              </w:rPr>
            </w:pPr>
            <w:r>
              <w:rPr>
                <w:color w:val="333333"/>
                <w:sz w:val="18"/>
              </w:rPr>
              <w:t>18</w:t>
            </w:r>
          </w:p>
        </w:tc>
        <w:tc>
          <w:tcPr>
            <w:tcW w:w="600" w:type="dxa"/>
          </w:tcPr>
          <w:p>
            <w:pPr>
              <w:pStyle w:val="TableParagraph"/>
              <w:spacing w:line="203" w:lineRule="exact"/>
              <w:ind w:left="75" w:right="75"/>
              <w:rPr>
                <w:sz w:val="18"/>
              </w:rPr>
            </w:pPr>
            <w:r>
              <w:rPr>
                <w:color w:val="333333"/>
                <w:sz w:val="18"/>
              </w:rPr>
              <w:t>21</w:t>
            </w:r>
          </w:p>
        </w:tc>
        <w:tc>
          <w:tcPr>
            <w:tcW w:w="601" w:type="dxa"/>
          </w:tcPr>
          <w:p>
            <w:pPr>
              <w:pStyle w:val="TableParagraph"/>
              <w:spacing w:line="203" w:lineRule="exact"/>
              <w:ind w:left="75" w:right="75"/>
              <w:rPr>
                <w:sz w:val="18"/>
              </w:rPr>
            </w:pPr>
            <w:r>
              <w:rPr>
                <w:color w:val="333333"/>
                <w:sz w:val="18"/>
              </w:rPr>
              <w:t>12</w:t>
            </w:r>
          </w:p>
        </w:tc>
        <w:tc>
          <w:tcPr>
            <w:tcW w:w="600" w:type="dxa"/>
          </w:tcPr>
          <w:p>
            <w:pPr>
              <w:pStyle w:val="TableParagraph"/>
              <w:spacing w:line="203" w:lineRule="exact"/>
              <w:ind w:left="75" w:right="75"/>
              <w:rPr>
                <w:sz w:val="18"/>
              </w:rPr>
            </w:pPr>
            <w:r>
              <w:rPr>
                <w:color w:val="333333"/>
                <w:sz w:val="18"/>
              </w:rPr>
              <w:t>13</w:t>
            </w:r>
          </w:p>
        </w:tc>
        <w:tc>
          <w:tcPr>
            <w:tcW w:w="607" w:type="dxa"/>
          </w:tcPr>
          <w:p>
            <w:pPr>
              <w:pStyle w:val="TableParagraph"/>
              <w:spacing w:line="199" w:lineRule="exact"/>
              <w:ind w:left="64" w:right="62"/>
              <w:rPr>
                <w:b/>
                <w:sz w:val="18"/>
              </w:rPr>
            </w:pPr>
            <w:r>
              <w:rPr>
                <w:b/>
                <w:sz w:val="18"/>
              </w:rPr>
              <w:t>196</w:t>
            </w:r>
          </w:p>
        </w:tc>
      </w:tr>
      <w:tr>
        <w:trPr>
          <w:trHeight w:val="322" w:hRule="exact"/>
        </w:trPr>
        <w:tc>
          <w:tcPr>
            <w:tcW w:w="2801" w:type="dxa"/>
          </w:tcPr>
          <w:p>
            <w:pPr>
              <w:pStyle w:val="TableParagraph"/>
              <w:spacing w:line="206" w:lineRule="exact"/>
              <w:ind w:left="64"/>
              <w:jc w:val="left"/>
              <w:rPr>
                <w:sz w:val="18"/>
              </w:rPr>
            </w:pPr>
            <w:r>
              <w:rPr>
                <w:color w:val="333333"/>
                <w:sz w:val="18"/>
              </w:rPr>
              <w:t>TENANGO DEL VALLE</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2</w:t>
            </w:r>
          </w:p>
        </w:tc>
        <w:tc>
          <w:tcPr>
            <w:tcW w:w="600" w:type="dxa"/>
          </w:tcPr>
          <w:p>
            <w:pPr>
              <w:pStyle w:val="TableParagraph"/>
              <w:spacing w:line="206" w:lineRule="exact"/>
              <w:ind w:left="75" w:right="75"/>
              <w:rPr>
                <w:sz w:val="18"/>
              </w:rPr>
            </w:pPr>
            <w:r>
              <w:rPr>
                <w:color w:val="333333"/>
                <w:sz w:val="18"/>
              </w:rPr>
              <w:t>17</w:t>
            </w:r>
          </w:p>
        </w:tc>
        <w:tc>
          <w:tcPr>
            <w:tcW w:w="600" w:type="dxa"/>
          </w:tcPr>
          <w:p>
            <w:pPr>
              <w:pStyle w:val="TableParagraph"/>
              <w:spacing w:line="206" w:lineRule="exact"/>
              <w:ind w:left="75" w:right="75"/>
              <w:rPr>
                <w:sz w:val="18"/>
              </w:rPr>
            </w:pPr>
            <w:r>
              <w:rPr>
                <w:color w:val="333333"/>
                <w:sz w:val="18"/>
              </w:rPr>
              <w:t>49</w:t>
            </w:r>
          </w:p>
        </w:tc>
        <w:tc>
          <w:tcPr>
            <w:tcW w:w="600" w:type="dxa"/>
          </w:tcPr>
          <w:p>
            <w:pPr>
              <w:pStyle w:val="TableParagraph"/>
              <w:spacing w:line="206" w:lineRule="exact"/>
              <w:ind w:left="75" w:right="75"/>
              <w:rPr>
                <w:sz w:val="18"/>
              </w:rPr>
            </w:pPr>
            <w:r>
              <w:rPr>
                <w:color w:val="333333"/>
                <w:sz w:val="18"/>
              </w:rPr>
              <w:t>42</w:t>
            </w:r>
          </w:p>
        </w:tc>
        <w:tc>
          <w:tcPr>
            <w:tcW w:w="600" w:type="dxa"/>
          </w:tcPr>
          <w:p>
            <w:pPr>
              <w:pStyle w:val="TableParagraph"/>
              <w:spacing w:line="206" w:lineRule="exact"/>
              <w:ind w:left="75" w:right="75"/>
              <w:rPr>
                <w:sz w:val="18"/>
              </w:rPr>
            </w:pPr>
            <w:r>
              <w:rPr>
                <w:color w:val="333333"/>
                <w:sz w:val="18"/>
              </w:rPr>
              <w:t>32</w:t>
            </w:r>
          </w:p>
        </w:tc>
        <w:tc>
          <w:tcPr>
            <w:tcW w:w="600" w:type="dxa"/>
          </w:tcPr>
          <w:p>
            <w:pPr>
              <w:pStyle w:val="TableParagraph"/>
              <w:spacing w:line="206" w:lineRule="exact"/>
              <w:ind w:left="75" w:right="75"/>
              <w:rPr>
                <w:sz w:val="18"/>
              </w:rPr>
            </w:pPr>
            <w:r>
              <w:rPr>
                <w:color w:val="333333"/>
                <w:sz w:val="18"/>
              </w:rPr>
              <w:t>23</w:t>
            </w:r>
          </w:p>
        </w:tc>
        <w:tc>
          <w:tcPr>
            <w:tcW w:w="600" w:type="dxa"/>
          </w:tcPr>
          <w:p>
            <w:pPr>
              <w:pStyle w:val="TableParagraph"/>
              <w:spacing w:line="206" w:lineRule="exact"/>
              <w:ind w:left="75" w:right="75"/>
              <w:rPr>
                <w:sz w:val="18"/>
              </w:rPr>
            </w:pPr>
            <w:r>
              <w:rPr>
                <w:color w:val="333333"/>
                <w:sz w:val="18"/>
              </w:rPr>
              <w:t>20</w:t>
            </w:r>
          </w:p>
        </w:tc>
        <w:tc>
          <w:tcPr>
            <w:tcW w:w="601" w:type="dxa"/>
          </w:tcPr>
          <w:p>
            <w:pPr>
              <w:pStyle w:val="TableParagraph"/>
              <w:spacing w:line="206" w:lineRule="exact"/>
              <w:ind w:left="75" w:right="75"/>
              <w:rPr>
                <w:sz w:val="18"/>
              </w:rPr>
            </w:pPr>
            <w:r>
              <w:rPr>
                <w:color w:val="333333"/>
                <w:sz w:val="18"/>
              </w:rPr>
              <w:t>28</w:t>
            </w:r>
          </w:p>
        </w:tc>
        <w:tc>
          <w:tcPr>
            <w:tcW w:w="600" w:type="dxa"/>
          </w:tcPr>
          <w:p>
            <w:pPr>
              <w:pStyle w:val="TableParagraph"/>
              <w:spacing w:line="206" w:lineRule="exact"/>
              <w:ind w:left="75" w:right="75"/>
              <w:rPr>
                <w:sz w:val="18"/>
              </w:rPr>
            </w:pPr>
            <w:r>
              <w:rPr>
                <w:color w:val="333333"/>
                <w:sz w:val="18"/>
              </w:rPr>
              <w:t>27</w:t>
            </w:r>
          </w:p>
        </w:tc>
        <w:tc>
          <w:tcPr>
            <w:tcW w:w="607" w:type="dxa"/>
          </w:tcPr>
          <w:p>
            <w:pPr>
              <w:pStyle w:val="TableParagraph"/>
              <w:spacing w:line="201" w:lineRule="exact"/>
              <w:ind w:left="64" w:right="62"/>
              <w:rPr>
                <w:b/>
                <w:sz w:val="18"/>
              </w:rPr>
            </w:pPr>
            <w:r>
              <w:rPr>
                <w:b/>
                <w:sz w:val="18"/>
              </w:rPr>
              <w:t>240</w:t>
            </w:r>
          </w:p>
        </w:tc>
      </w:tr>
      <w:tr>
        <w:trPr>
          <w:trHeight w:val="322" w:hRule="exact"/>
        </w:trPr>
        <w:tc>
          <w:tcPr>
            <w:tcW w:w="2801" w:type="dxa"/>
          </w:tcPr>
          <w:p>
            <w:pPr>
              <w:pStyle w:val="TableParagraph"/>
              <w:spacing w:line="203" w:lineRule="exact"/>
              <w:ind w:left="64"/>
              <w:jc w:val="left"/>
              <w:rPr>
                <w:sz w:val="18"/>
              </w:rPr>
            </w:pPr>
            <w:r>
              <w:rPr>
                <w:color w:val="333333"/>
                <w:sz w:val="18"/>
              </w:rPr>
              <w:t>TEOLOYUCAN</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left="75" w:right="75"/>
              <w:rPr>
                <w:sz w:val="18"/>
              </w:rPr>
            </w:pPr>
            <w:r>
              <w:rPr>
                <w:color w:val="333333"/>
                <w:sz w:val="18"/>
              </w:rPr>
              <w:t>21</w:t>
            </w:r>
          </w:p>
        </w:tc>
        <w:tc>
          <w:tcPr>
            <w:tcW w:w="600" w:type="dxa"/>
          </w:tcPr>
          <w:p>
            <w:pPr>
              <w:pStyle w:val="TableParagraph"/>
              <w:spacing w:line="203" w:lineRule="exact"/>
              <w:ind w:left="75" w:right="75"/>
              <w:rPr>
                <w:sz w:val="18"/>
              </w:rPr>
            </w:pPr>
            <w:r>
              <w:rPr>
                <w:color w:val="333333"/>
                <w:sz w:val="18"/>
              </w:rPr>
              <w:t>41</w:t>
            </w:r>
          </w:p>
        </w:tc>
        <w:tc>
          <w:tcPr>
            <w:tcW w:w="600" w:type="dxa"/>
          </w:tcPr>
          <w:p>
            <w:pPr>
              <w:pStyle w:val="TableParagraph"/>
              <w:spacing w:line="203" w:lineRule="exact"/>
              <w:ind w:left="75" w:right="75"/>
              <w:rPr>
                <w:sz w:val="18"/>
              </w:rPr>
            </w:pPr>
            <w:r>
              <w:rPr>
                <w:color w:val="333333"/>
                <w:sz w:val="18"/>
              </w:rPr>
              <w:t>126</w:t>
            </w:r>
          </w:p>
        </w:tc>
        <w:tc>
          <w:tcPr>
            <w:tcW w:w="600" w:type="dxa"/>
          </w:tcPr>
          <w:p>
            <w:pPr>
              <w:pStyle w:val="TableParagraph"/>
              <w:spacing w:line="203" w:lineRule="exact"/>
              <w:ind w:left="75" w:right="75"/>
              <w:rPr>
                <w:sz w:val="18"/>
              </w:rPr>
            </w:pPr>
            <w:r>
              <w:rPr>
                <w:color w:val="333333"/>
                <w:sz w:val="18"/>
              </w:rPr>
              <w:t>64</w:t>
            </w:r>
          </w:p>
        </w:tc>
        <w:tc>
          <w:tcPr>
            <w:tcW w:w="600" w:type="dxa"/>
          </w:tcPr>
          <w:p>
            <w:pPr>
              <w:pStyle w:val="TableParagraph"/>
              <w:spacing w:line="203" w:lineRule="exact"/>
              <w:ind w:left="75" w:right="75"/>
              <w:rPr>
                <w:sz w:val="18"/>
              </w:rPr>
            </w:pPr>
            <w:r>
              <w:rPr>
                <w:color w:val="333333"/>
                <w:sz w:val="18"/>
              </w:rPr>
              <w:t>39</w:t>
            </w:r>
          </w:p>
        </w:tc>
        <w:tc>
          <w:tcPr>
            <w:tcW w:w="600" w:type="dxa"/>
          </w:tcPr>
          <w:p>
            <w:pPr>
              <w:pStyle w:val="TableParagraph"/>
              <w:spacing w:line="203" w:lineRule="exact"/>
              <w:ind w:left="75" w:right="75"/>
              <w:rPr>
                <w:sz w:val="18"/>
              </w:rPr>
            </w:pPr>
            <w:r>
              <w:rPr>
                <w:color w:val="333333"/>
                <w:sz w:val="18"/>
              </w:rPr>
              <w:t>67</w:t>
            </w:r>
          </w:p>
        </w:tc>
        <w:tc>
          <w:tcPr>
            <w:tcW w:w="601" w:type="dxa"/>
          </w:tcPr>
          <w:p>
            <w:pPr>
              <w:pStyle w:val="TableParagraph"/>
              <w:spacing w:line="203" w:lineRule="exact"/>
              <w:ind w:left="75" w:right="75"/>
              <w:rPr>
                <w:sz w:val="18"/>
              </w:rPr>
            </w:pPr>
            <w:r>
              <w:rPr>
                <w:color w:val="333333"/>
                <w:sz w:val="18"/>
              </w:rPr>
              <w:t>43</w:t>
            </w:r>
          </w:p>
        </w:tc>
        <w:tc>
          <w:tcPr>
            <w:tcW w:w="600" w:type="dxa"/>
          </w:tcPr>
          <w:p>
            <w:pPr>
              <w:pStyle w:val="TableParagraph"/>
              <w:spacing w:line="203" w:lineRule="exact"/>
              <w:ind w:left="75" w:right="75"/>
              <w:rPr>
                <w:sz w:val="18"/>
              </w:rPr>
            </w:pPr>
            <w:r>
              <w:rPr>
                <w:color w:val="333333"/>
                <w:sz w:val="18"/>
              </w:rPr>
              <w:t>38</w:t>
            </w:r>
          </w:p>
        </w:tc>
        <w:tc>
          <w:tcPr>
            <w:tcW w:w="607" w:type="dxa"/>
          </w:tcPr>
          <w:p>
            <w:pPr>
              <w:pStyle w:val="TableParagraph"/>
              <w:spacing w:line="199" w:lineRule="exact"/>
              <w:ind w:left="64" w:right="62"/>
              <w:rPr>
                <w:b/>
                <w:sz w:val="18"/>
              </w:rPr>
            </w:pPr>
            <w:r>
              <w:rPr>
                <w:b/>
                <w:sz w:val="18"/>
              </w:rPr>
              <w:t>439</w:t>
            </w:r>
          </w:p>
        </w:tc>
      </w:tr>
      <w:tr>
        <w:trPr>
          <w:trHeight w:val="319" w:hRule="exact"/>
        </w:trPr>
        <w:tc>
          <w:tcPr>
            <w:tcW w:w="2801" w:type="dxa"/>
          </w:tcPr>
          <w:p>
            <w:pPr>
              <w:pStyle w:val="TableParagraph"/>
              <w:spacing w:line="203" w:lineRule="exact"/>
              <w:ind w:left="64"/>
              <w:jc w:val="left"/>
              <w:rPr>
                <w:sz w:val="18"/>
              </w:rPr>
            </w:pPr>
            <w:r>
              <w:rPr>
                <w:color w:val="333333"/>
                <w:sz w:val="18"/>
              </w:rPr>
              <w:t>TEOTIHUACAN</w:t>
            </w:r>
          </w:p>
        </w:tc>
        <w:tc>
          <w:tcPr>
            <w:tcW w:w="601" w:type="dxa"/>
          </w:tcPr>
          <w:p>
            <w:pPr>
              <w:pStyle w:val="TableParagraph"/>
              <w:spacing w:line="203" w:lineRule="exact"/>
              <w:ind w:left="75" w:right="75"/>
              <w:rPr>
                <w:sz w:val="18"/>
              </w:rPr>
            </w:pPr>
            <w:r>
              <w:rPr>
                <w:color w:val="333333"/>
                <w:sz w:val="18"/>
              </w:rPr>
              <w:t>29</w:t>
            </w:r>
          </w:p>
        </w:tc>
        <w:tc>
          <w:tcPr>
            <w:tcW w:w="600" w:type="dxa"/>
          </w:tcPr>
          <w:p>
            <w:pPr>
              <w:pStyle w:val="TableParagraph"/>
              <w:spacing w:line="203" w:lineRule="exact"/>
              <w:ind w:right="192"/>
              <w:jc w:val="right"/>
              <w:rPr>
                <w:sz w:val="18"/>
              </w:rPr>
            </w:pPr>
            <w:r>
              <w:rPr>
                <w:color w:val="333333"/>
                <w:w w:val="95"/>
                <w:sz w:val="18"/>
              </w:rPr>
              <w:t>98</w:t>
            </w:r>
          </w:p>
        </w:tc>
        <w:tc>
          <w:tcPr>
            <w:tcW w:w="600" w:type="dxa"/>
          </w:tcPr>
          <w:p>
            <w:pPr>
              <w:pStyle w:val="TableParagraph"/>
              <w:spacing w:line="203" w:lineRule="exact"/>
              <w:ind w:left="75" w:right="75"/>
              <w:rPr>
                <w:sz w:val="18"/>
              </w:rPr>
            </w:pPr>
            <w:r>
              <w:rPr>
                <w:color w:val="333333"/>
                <w:sz w:val="18"/>
              </w:rPr>
              <w:t>56</w:t>
            </w:r>
          </w:p>
        </w:tc>
        <w:tc>
          <w:tcPr>
            <w:tcW w:w="600" w:type="dxa"/>
          </w:tcPr>
          <w:p>
            <w:pPr>
              <w:pStyle w:val="TableParagraph"/>
              <w:spacing w:line="203" w:lineRule="exact"/>
              <w:ind w:left="75" w:right="75"/>
              <w:rPr>
                <w:sz w:val="18"/>
              </w:rPr>
            </w:pPr>
            <w:r>
              <w:rPr>
                <w:color w:val="333333"/>
                <w:sz w:val="18"/>
              </w:rPr>
              <w:t>120</w:t>
            </w:r>
          </w:p>
        </w:tc>
        <w:tc>
          <w:tcPr>
            <w:tcW w:w="600" w:type="dxa"/>
          </w:tcPr>
          <w:p>
            <w:pPr>
              <w:pStyle w:val="TableParagraph"/>
              <w:spacing w:line="203" w:lineRule="exact"/>
              <w:ind w:left="75" w:right="75"/>
              <w:rPr>
                <w:sz w:val="18"/>
              </w:rPr>
            </w:pPr>
            <w:r>
              <w:rPr>
                <w:color w:val="333333"/>
                <w:sz w:val="18"/>
              </w:rPr>
              <w:t>128</w:t>
            </w:r>
          </w:p>
        </w:tc>
        <w:tc>
          <w:tcPr>
            <w:tcW w:w="600" w:type="dxa"/>
          </w:tcPr>
          <w:p>
            <w:pPr>
              <w:pStyle w:val="TableParagraph"/>
              <w:spacing w:line="203" w:lineRule="exact"/>
              <w:ind w:left="75" w:right="75"/>
              <w:rPr>
                <w:sz w:val="18"/>
              </w:rPr>
            </w:pPr>
            <w:r>
              <w:rPr>
                <w:color w:val="333333"/>
                <w:sz w:val="18"/>
              </w:rPr>
              <w:t>152</w:t>
            </w:r>
          </w:p>
        </w:tc>
        <w:tc>
          <w:tcPr>
            <w:tcW w:w="600" w:type="dxa"/>
          </w:tcPr>
          <w:p>
            <w:pPr>
              <w:pStyle w:val="TableParagraph"/>
              <w:spacing w:line="203" w:lineRule="exact"/>
              <w:ind w:left="75" w:right="75"/>
              <w:rPr>
                <w:sz w:val="18"/>
              </w:rPr>
            </w:pPr>
            <w:r>
              <w:rPr>
                <w:color w:val="333333"/>
                <w:sz w:val="18"/>
              </w:rPr>
              <w:t>161</w:t>
            </w:r>
          </w:p>
        </w:tc>
        <w:tc>
          <w:tcPr>
            <w:tcW w:w="600" w:type="dxa"/>
          </w:tcPr>
          <w:p>
            <w:pPr>
              <w:pStyle w:val="TableParagraph"/>
              <w:spacing w:line="203" w:lineRule="exact"/>
              <w:ind w:left="75" w:right="75"/>
              <w:rPr>
                <w:sz w:val="18"/>
              </w:rPr>
            </w:pPr>
            <w:r>
              <w:rPr>
                <w:color w:val="333333"/>
                <w:sz w:val="18"/>
              </w:rPr>
              <w:t>160</w:t>
            </w:r>
          </w:p>
        </w:tc>
        <w:tc>
          <w:tcPr>
            <w:tcW w:w="600" w:type="dxa"/>
          </w:tcPr>
          <w:p>
            <w:pPr>
              <w:pStyle w:val="TableParagraph"/>
              <w:spacing w:line="203" w:lineRule="exact"/>
              <w:ind w:left="75" w:right="75"/>
              <w:rPr>
                <w:sz w:val="18"/>
              </w:rPr>
            </w:pPr>
            <w:r>
              <w:rPr>
                <w:color w:val="333333"/>
                <w:sz w:val="18"/>
              </w:rPr>
              <w:t>221</w:t>
            </w:r>
          </w:p>
        </w:tc>
        <w:tc>
          <w:tcPr>
            <w:tcW w:w="601" w:type="dxa"/>
          </w:tcPr>
          <w:p>
            <w:pPr>
              <w:pStyle w:val="TableParagraph"/>
              <w:spacing w:line="203" w:lineRule="exact"/>
              <w:ind w:left="75" w:right="75"/>
              <w:rPr>
                <w:sz w:val="18"/>
              </w:rPr>
            </w:pPr>
            <w:r>
              <w:rPr>
                <w:color w:val="333333"/>
                <w:sz w:val="18"/>
              </w:rPr>
              <w:t>162</w:t>
            </w:r>
          </w:p>
        </w:tc>
        <w:tc>
          <w:tcPr>
            <w:tcW w:w="600" w:type="dxa"/>
          </w:tcPr>
          <w:p>
            <w:pPr>
              <w:pStyle w:val="TableParagraph"/>
              <w:spacing w:line="203" w:lineRule="exact"/>
              <w:ind w:left="75" w:right="75"/>
              <w:rPr>
                <w:sz w:val="18"/>
              </w:rPr>
            </w:pPr>
            <w:r>
              <w:rPr>
                <w:color w:val="333333"/>
                <w:sz w:val="18"/>
              </w:rPr>
              <w:t>89</w:t>
            </w:r>
          </w:p>
        </w:tc>
        <w:tc>
          <w:tcPr>
            <w:tcW w:w="607" w:type="dxa"/>
          </w:tcPr>
          <w:p>
            <w:pPr>
              <w:pStyle w:val="TableParagraph"/>
              <w:spacing w:line="199" w:lineRule="exact"/>
              <w:ind w:left="64" w:right="62"/>
              <w:rPr>
                <w:b/>
                <w:sz w:val="18"/>
              </w:rPr>
            </w:pPr>
            <w:r>
              <w:rPr>
                <w:b/>
                <w:sz w:val="18"/>
              </w:rPr>
              <w:t>1376</w:t>
            </w:r>
          </w:p>
        </w:tc>
      </w:tr>
      <w:tr>
        <w:trPr>
          <w:trHeight w:val="322" w:hRule="exact"/>
        </w:trPr>
        <w:tc>
          <w:tcPr>
            <w:tcW w:w="2801" w:type="dxa"/>
          </w:tcPr>
          <w:p>
            <w:pPr>
              <w:pStyle w:val="TableParagraph"/>
              <w:spacing w:line="203" w:lineRule="exact"/>
              <w:ind w:left="64"/>
              <w:jc w:val="left"/>
              <w:rPr>
                <w:sz w:val="18"/>
              </w:rPr>
            </w:pPr>
            <w:r>
              <w:rPr>
                <w:color w:val="333333"/>
                <w:sz w:val="18"/>
              </w:rPr>
              <w:t>TEPETLAOXTOC</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5</w:t>
            </w:r>
          </w:p>
        </w:tc>
        <w:tc>
          <w:tcPr>
            <w:tcW w:w="600" w:type="dxa"/>
          </w:tcPr>
          <w:p>
            <w:pPr>
              <w:pStyle w:val="TableParagraph"/>
              <w:spacing w:line="203" w:lineRule="exact"/>
              <w:ind w:left="75" w:right="75"/>
              <w:rPr>
                <w:sz w:val="18"/>
              </w:rPr>
            </w:pPr>
            <w:r>
              <w:rPr>
                <w:color w:val="333333"/>
                <w:sz w:val="18"/>
              </w:rPr>
              <w:t>10</w:t>
            </w:r>
          </w:p>
        </w:tc>
        <w:tc>
          <w:tcPr>
            <w:tcW w:w="600" w:type="dxa"/>
          </w:tcPr>
          <w:p>
            <w:pPr>
              <w:pStyle w:val="TableParagraph"/>
              <w:spacing w:line="203" w:lineRule="exact"/>
              <w:ind w:left="75" w:right="75"/>
              <w:rPr>
                <w:sz w:val="18"/>
              </w:rPr>
            </w:pPr>
            <w:r>
              <w:rPr>
                <w:color w:val="333333"/>
                <w:sz w:val="18"/>
              </w:rPr>
              <w:t>25</w:t>
            </w:r>
          </w:p>
        </w:tc>
        <w:tc>
          <w:tcPr>
            <w:tcW w:w="600" w:type="dxa"/>
          </w:tcPr>
          <w:p>
            <w:pPr>
              <w:pStyle w:val="TableParagraph"/>
              <w:spacing w:line="203" w:lineRule="exact"/>
              <w:ind w:left="75" w:right="75"/>
              <w:rPr>
                <w:sz w:val="18"/>
              </w:rPr>
            </w:pPr>
            <w:r>
              <w:rPr>
                <w:color w:val="333333"/>
                <w:sz w:val="18"/>
              </w:rPr>
              <w:t>18</w:t>
            </w:r>
          </w:p>
        </w:tc>
        <w:tc>
          <w:tcPr>
            <w:tcW w:w="600" w:type="dxa"/>
          </w:tcPr>
          <w:p>
            <w:pPr>
              <w:pStyle w:val="TableParagraph"/>
              <w:spacing w:line="203" w:lineRule="exact"/>
              <w:ind w:left="75" w:right="75"/>
              <w:rPr>
                <w:sz w:val="18"/>
              </w:rPr>
            </w:pPr>
            <w:r>
              <w:rPr>
                <w:color w:val="333333"/>
                <w:sz w:val="18"/>
              </w:rPr>
              <w:t>16</w:t>
            </w:r>
          </w:p>
        </w:tc>
        <w:tc>
          <w:tcPr>
            <w:tcW w:w="600" w:type="dxa"/>
          </w:tcPr>
          <w:p>
            <w:pPr>
              <w:pStyle w:val="TableParagraph"/>
              <w:spacing w:line="203" w:lineRule="exact"/>
              <w:ind w:left="75" w:right="75"/>
              <w:rPr>
                <w:sz w:val="18"/>
              </w:rPr>
            </w:pPr>
            <w:r>
              <w:rPr>
                <w:color w:val="333333"/>
                <w:sz w:val="18"/>
              </w:rPr>
              <w:t>33</w:t>
            </w:r>
          </w:p>
        </w:tc>
        <w:tc>
          <w:tcPr>
            <w:tcW w:w="601" w:type="dxa"/>
          </w:tcPr>
          <w:p>
            <w:pPr>
              <w:pStyle w:val="TableParagraph"/>
              <w:spacing w:line="203" w:lineRule="exact"/>
              <w:ind w:left="75" w:right="75"/>
              <w:rPr>
                <w:sz w:val="18"/>
              </w:rPr>
            </w:pPr>
            <w:r>
              <w:rPr>
                <w:color w:val="333333"/>
                <w:sz w:val="18"/>
              </w:rPr>
              <w:t>20</w:t>
            </w:r>
          </w:p>
        </w:tc>
        <w:tc>
          <w:tcPr>
            <w:tcW w:w="600" w:type="dxa"/>
          </w:tcPr>
          <w:p>
            <w:pPr>
              <w:pStyle w:val="TableParagraph"/>
              <w:spacing w:line="203" w:lineRule="exact"/>
              <w:ind w:left="75" w:right="75"/>
              <w:rPr>
                <w:sz w:val="18"/>
              </w:rPr>
            </w:pPr>
            <w:r>
              <w:rPr>
                <w:color w:val="333333"/>
                <w:sz w:val="18"/>
              </w:rPr>
              <w:t>15</w:t>
            </w:r>
          </w:p>
        </w:tc>
        <w:tc>
          <w:tcPr>
            <w:tcW w:w="607" w:type="dxa"/>
          </w:tcPr>
          <w:p>
            <w:pPr>
              <w:pStyle w:val="TableParagraph"/>
              <w:spacing w:line="199" w:lineRule="exact"/>
              <w:ind w:left="64" w:right="62"/>
              <w:rPr>
                <w:b/>
                <w:sz w:val="18"/>
              </w:rPr>
            </w:pPr>
            <w:r>
              <w:rPr>
                <w:b/>
                <w:sz w:val="18"/>
              </w:rPr>
              <w:t>142</w:t>
            </w:r>
          </w:p>
        </w:tc>
      </w:tr>
      <w:tr>
        <w:trPr>
          <w:trHeight w:val="319" w:hRule="exact"/>
        </w:trPr>
        <w:tc>
          <w:tcPr>
            <w:tcW w:w="2801" w:type="dxa"/>
          </w:tcPr>
          <w:p>
            <w:pPr>
              <w:pStyle w:val="TableParagraph"/>
              <w:spacing w:line="203" w:lineRule="exact"/>
              <w:ind w:left="64"/>
              <w:jc w:val="left"/>
              <w:rPr>
                <w:sz w:val="18"/>
              </w:rPr>
            </w:pPr>
            <w:r>
              <w:rPr>
                <w:color w:val="333333"/>
                <w:sz w:val="18"/>
              </w:rPr>
              <w:t>TEPETLIXPA</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left="75" w:right="75"/>
              <w:rPr>
                <w:sz w:val="18"/>
              </w:rPr>
            </w:pPr>
            <w:r>
              <w:rPr>
                <w:color w:val="333333"/>
                <w:sz w:val="18"/>
              </w:rPr>
              <w:t>13</w:t>
            </w:r>
          </w:p>
        </w:tc>
        <w:tc>
          <w:tcPr>
            <w:tcW w:w="600" w:type="dxa"/>
          </w:tcPr>
          <w:p>
            <w:pPr>
              <w:pStyle w:val="TableParagraph"/>
              <w:spacing w:line="203" w:lineRule="exact"/>
              <w:ind w:left="75" w:right="75"/>
              <w:rPr>
                <w:sz w:val="18"/>
              </w:rPr>
            </w:pPr>
            <w:r>
              <w:rPr>
                <w:color w:val="333333"/>
                <w:sz w:val="18"/>
              </w:rPr>
              <w:t>34</w:t>
            </w:r>
          </w:p>
        </w:tc>
        <w:tc>
          <w:tcPr>
            <w:tcW w:w="600" w:type="dxa"/>
          </w:tcPr>
          <w:p>
            <w:pPr>
              <w:pStyle w:val="TableParagraph"/>
              <w:spacing w:line="203" w:lineRule="exact"/>
              <w:ind w:left="75" w:right="75"/>
              <w:rPr>
                <w:sz w:val="18"/>
              </w:rPr>
            </w:pPr>
            <w:r>
              <w:rPr>
                <w:color w:val="333333"/>
                <w:sz w:val="18"/>
              </w:rPr>
              <w:t>42</w:t>
            </w:r>
          </w:p>
        </w:tc>
        <w:tc>
          <w:tcPr>
            <w:tcW w:w="600" w:type="dxa"/>
          </w:tcPr>
          <w:p>
            <w:pPr>
              <w:pStyle w:val="TableParagraph"/>
              <w:spacing w:line="203" w:lineRule="exact"/>
              <w:ind w:left="75" w:right="75"/>
              <w:rPr>
                <w:sz w:val="18"/>
              </w:rPr>
            </w:pPr>
            <w:r>
              <w:rPr>
                <w:color w:val="333333"/>
                <w:sz w:val="18"/>
              </w:rPr>
              <w:t>52</w:t>
            </w:r>
          </w:p>
        </w:tc>
        <w:tc>
          <w:tcPr>
            <w:tcW w:w="600" w:type="dxa"/>
          </w:tcPr>
          <w:p>
            <w:pPr>
              <w:pStyle w:val="TableParagraph"/>
              <w:spacing w:line="203" w:lineRule="exact"/>
              <w:ind w:left="75" w:right="75"/>
              <w:rPr>
                <w:sz w:val="18"/>
              </w:rPr>
            </w:pPr>
            <w:r>
              <w:rPr>
                <w:color w:val="333333"/>
                <w:sz w:val="18"/>
              </w:rPr>
              <w:t>11</w:t>
            </w:r>
          </w:p>
        </w:tc>
        <w:tc>
          <w:tcPr>
            <w:tcW w:w="600" w:type="dxa"/>
          </w:tcPr>
          <w:p>
            <w:pPr>
              <w:pStyle w:val="TableParagraph"/>
              <w:spacing w:line="203" w:lineRule="exact"/>
              <w:ind w:left="75" w:right="75"/>
              <w:rPr>
                <w:sz w:val="18"/>
              </w:rPr>
            </w:pPr>
            <w:r>
              <w:rPr>
                <w:color w:val="333333"/>
                <w:sz w:val="18"/>
              </w:rPr>
              <w:t>13</w:t>
            </w:r>
          </w:p>
        </w:tc>
        <w:tc>
          <w:tcPr>
            <w:tcW w:w="601" w:type="dxa"/>
          </w:tcPr>
          <w:p>
            <w:pPr>
              <w:pStyle w:val="TableParagraph"/>
              <w:spacing w:line="203" w:lineRule="exact"/>
              <w:ind w:left="75" w:right="75"/>
              <w:rPr>
                <w:sz w:val="18"/>
              </w:rPr>
            </w:pPr>
            <w:r>
              <w:rPr>
                <w:color w:val="333333"/>
                <w:sz w:val="18"/>
              </w:rPr>
              <w:t>13</w:t>
            </w:r>
          </w:p>
        </w:tc>
        <w:tc>
          <w:tcPr>
            <w:tcW w:w="600" w:type="dxa"/>
          </w:tcPr>
          <w:p>
            <w:pPr>
              <w:pStyle w:val="TableParagraph"/>
              <w:spacing w:line="203" w:lineRule="exact"/>
              <w:ind w:left="75" w:right="75"/>
              <w:rPr>
                <w:sz w:val="18"/>
              </w:rPr>
            </w:pPr>
            <w:r>
              <w:rPr>
                <w:color w:val="333333"/>
                <w:sz w:val="18"/>
              </w:rPr>
              <w:t>22</w:t>
            </w:r>
          </w:p>
        </w:tc>
        <w:tc>
          <w:tcPr>
            <w:tcW w:w="607" w:type="dxa"/>
          </w:tcPr>
          <w:p>
            <w:pPr>
              <w:pStyle w:val="TableParagraph"/>
              <w:spacing w:line="199" w:lineRule="exact"/>
              <w:ind w:left="64" w:right="62"/>
              <w:rPr>
                <w:b/>
                <w:sz w:val="18"/>
              </w:rPr>
            </w:pPr>
            <w:r>
              <w:rPr>
                <w:b/>
                <w:sz w:val="18"/>
              </w:rPr>
              <w:t>200</w:t>
            </w:r>
          </w:p>
        </w:tc>
      </w:tr>
      <w:tr>
        <w:trPr>
          <w:trHeight w:val="322" w:hRule="exact"/>
        </w:trPr>
        <w:tc>
          <w:tcPr>
            <w:tcW w:w="2801" w:type="dxa"/>
          </w:tcPr>
          <w:p>
            <w:pPr>
              <w:pStyle w:val="TableParagraph"/>
              <w:spacing w:line="203" w:lineRule="exact"/>
              <w:ind w:left="64"/>
              <w:jc w:val="left"/>
              <w:rPr>
                <w:sz w:val="18"/>
              </w:rPr>
            </w:pPr>
            <w:r>
              <w:rPr>
                <w:color w:val="333333"/>
                <w:sz w:val="18"/>
              </w:rPr>
              <w:t>TEPOTZOTLAN</w:t>
            </w:r>
          </w:p>
        </w:tc>
        <w:tc>
          <w:tcPr>
            <w:tcW w:w="601" w:type="dxa"/>
          </w:tcPr>
          <w:p>
            <w:pPr>
              <w:pStyle w:val="TableParagraph"/>
              <w:spacing w:line="203" w:lineRule="exact"/>
              <w:rPr>
                <w:sz w:val="18"/>
              </w:rPr>
            </w:pPr>
            <w:r>
              <w:rPr>
                <w:color w:val="333333"/>
                <w:w w:val="99"/>
                <w:sz w:val="18"/>
              </w:rPr>
              <w:t>1</w:t>
            </w:r>
          </w:p>
        </w:tc>
        <w:tc>
          <w:tcPr>
            <w:tcW w:w="600" w:type="dxa"/>
          </w:tcPr>
          <w:p>
            <w:pPr>
              <w:pStyle w:val="TableParagraph"/>
              <w:spacing w:line="203" w:lineRule="exact"/>
              <w:ind w:right="243"/>
              <w:jc w:val="right"/>
              <w:rPr>
                <w:sz w:val="18"/>
              </w:rPr>
            </w:pPr>
            <w:r>
              <w:rPr>
                <w:color w:val="333333"/>
                <w:w w:val="99"/>
                <w:sz w:val="18"/>
              </w:rPr>
              <w:t>2</w:t>
            </w:r>
          </w:p>
        </w:tc>
        <w:tc>
          <w:tcPr>
            <w:tcW w:w="600" w:type="dxa"/>
          </w:tcPr>
          <w:p>
            <w:pPr>
              <w:pStyle w:val="TableParagraph"/>
              <w:spacing w:line="203" w:lineRule="exact"/>
              <w:ind w:left="75" w:right="75"/>
              <w:rPr>
                <w:sz w:val="18"/>
              </w:rPr>
            </w:pPr>
            <w:r>
              <w:rPr>
                <w:color w:val="333333"/>
                <w:sz w:val="18"/>
              </w:rPr>
              <w:t>15</w:t>
            </w:r>
          </w:p>
        </w:tc>
        <w:tc>
          <w:tcPr>
            <w:tcW w:w="600" w:type="dxa"/>
          </w:tcPr>
          <w:p>
            <w:pPr>
              <w:pStyle w:val="TableParagraph"/>
              <w:spacing w:line="203" w:lineRule="exact"/>
              <w:ind w:left="75" w:right="75"/>
              <w:rPr>
                <w:sz w:val="18"/>
              </w:rPr>
            </w:pPr>
            <w:r>
              <w:rPr>
                <w:color w:val="333333"/>
                <w:sz w:val="18"/>
              </w:rPr>
              <w:t>80</w:t>
            </w:r>
          </w:p>
        </w:tc>
        <w:tc>
          <w:tcPr>
            <w:tcW w:w="600" w:type="dxa"/>
          </w:tcPr>
          <w:p>
            <w:pPr>
              <w:pStyle w:val="TableParagraph"/>
              <w:spacing w:line="203" w:lineRule="exact"/>
              <w:ind w:left="75" w:right="75"/>
              <w:rPr>
                <w:sz w:val="18"/>
              </w:rPr>
            </w:pPr>
            <w:r>
              <w:rPr>
                <w:color w:val="333333"/>
                <w:sz w:val="18"/>
              </w:rPr>
              <w:t>52</w:t>
            </w:r>
          </w:p>
        </w:tc>
        <w:tc>
          <w:tcPr>
            <w:tcW w:w="600" w:type="dxa"/>
          </w:tcPr>
          <w:p>
            <w:pPr>
              <w:pStyle w:val="TableParagraph"/>
              <w:spacing w:line="203" w:lineRule="exact"/>
              <w:ind w:left="75" w:right="75"/>
              <w:rPr>
                <w:sz w:val="18"/>
              </w:rPr>
            </w:pPr>
            <w:r>
              <w:rPr>
                <w:color w:val="333333"/>
                <w:sz w:val="18"/>
              </w:rPr>
              <w:t>63</w:t>
            </w:r>
          </w:p>
        </w:tc>
        <w:tc>
          <w:tcPr>
            <w:tcW w:w="600" w:type="dxa"/>
          </w:tcPr>
          <w:p>
            <w:pPr>
              <w:pStyle w:val="TableParagraph"/>
              <w:spacing w:line="203" w:lineRule="exact"/>
              <w:ind w:left="75" w:right="75"/>
              <w:rPr>
                <w:sz w:val="18"/>
              </w:rPr>
            </w:pPr>
            <w:r>
              <w:rPr>
                <w:color w:val="333333"/>
                <w:sz w:val="18"/>
              </w:rPr>
              <w:t>61</w:t>
            </w:r>
          </w:p>
        </w:tc>
        <w:tc>
          <w:tcPr>
            <w:tcW w:w="600" w:type="dxa"/>
          </w:tcPr>
          <w:p>
            <w:pPr>
              <w:pStyle w:val="TableParagraph"/>
              <w:spacing w:line="203" w:lineRule="exact"/>
              <w:ind w:left="75" w:right="75"/>
              <w:rPr>
                <w:sz w:val="18"/>
              </w:rPr>
            </w:pPr>
            <w:r>
              <w:rPr>
                <w:color w:val="333333"/>
                <w:sz w:val="18"/>
              </w:rPr>
              <w:t>54</w:t>
            </w:r>
          </w:p>
        </w:tc>
        <w:tc>
          <w:tcPr>
            <w:tcW w:w="600" w:type="dxa"/>
          </w:tcPr>
          <w:p>
            <w:pPr>
              <w:pStyle w:val="TableParagraph"/>
              <w:spacing w:line="203" w:lineRule="exact"/>
              <w:ind w:left="75" w:right="75"/>
              <w:rPr>
                <w:sz w:val="18"/>
              </w:rPr>
            </w:pPr>
            <w:r>
              <w:rPr>
                <w:color w:val="333333"/>
                <w:sz w:val="18"/>
              </w:rPr>
              <w:t>93</w:t>
            </w:r>
          </w:p>
        </w:tc>
        <w:tc>
          <w:tcPr>
            <w:tcW w:w="601" w:type="dxa"/>
          </w:tcPr>
          <w:p>
            <w:pPr>
              <w:pStyle w:val="TableParagraph"/>
              <w:spacing w:line="203" w:lineRule="exact"/>
              <w:ind w:left="75" w:right="75"/>
              <w:rPr>
                <w:sz w:val="18"/>
              </w:rPr>
            </w:pPr>
            <w:r>
              <w:rPr>
                <w:color w:val="333333"/>
                <w:sz w:val="18"/>
              </w:rPr>
              <w:t>105</w:t>
            </w:r>
          </w:p>
        </w:tc>
        <w:tc>
          <w:tcPr>
            <w:tcW w:w="600" w:type="dxa"/>
          </w:tcPr>
          <w:p>
            <w:pPr>
              <w:pStyle w:val="TableParagraph"/>
              <w:spacing w:line="203" w:lineRule="exact"/>
              <w:ind w:left="75" w:right="75"/>
              <w:rPr>
                <w:sz w:val="18"/>
              </w:rPr>
            </w:pPr>
            <w:r>
              <w:rPr>
                <w:color w:val="333333"/>
                <w:sz w:val="18"/>
              </w:rPr>
              <w:t>39</w:t>
            </w:r>
          </w:p>
        </w:tc>
        <w:tc>
          <w:tcPr>
            <w:tcW w:w="607" w:type="dxa"/>
          </w:tcPr>
          <w:p>
            <w:pPr>
              <w:pStyle w:val="TableParagraph"/>
              <w:spacing w:line="199" w:lineRule="exact"/>
              <w:ind w:left="64" w:right="62"/>
              <w:rPr>
                <w:b/>
                <w:sz w:val="18"/>
              </w:rPr>
            </w:pPr>
            <w:r>
              <w:rPr>
                <w:b/>
                <w:sz w:val="18"/>
              </w:rPr>
              <w:t>565</w:t>
            </w:r>
          </w:p>
        </w:tc>
      </w:tr>
      <w:tr>
        <w:trPr>
          <w:trHeight w:val="319" w:hRule="exact"/>
        </w:trPr>
        <w:tc>
          <w:tcPr>
            <w:tcW w:w="2801" w:type="dxa"/>
          </w:tcPr>
          <w:p>
            <w:pPr>
              <w:pStyle w:val="TableParagraph"/>
              <w:spacing w:line="203" w:lineRule="exact"/>
              <w:ind w:left="64"/>
              <w:jc w:val="left"/>
              <w:rPr>
                <w:sz w:val="18"/>
              </w:rPr>
            </w:pPr>
            <w:r>
              <w:rPr>
                <w:color w:val="333333"/>
                <w:sz w:val="18"/>
              </w:rPr>
              <w:t>TEQUIXQUIAC</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7</w:t>
            </w:r>
          </w:p>
        </w:tc>
        <w:tc>
          <w:tcPr>
            <w:tcW w:w="600" w:type="dxa"/>
          </w:tcPr>
          <w:p>
            <w:pPr>
              <w:pStyle w:val="TableParagraph"/>
              <w:spacing w:line="203" w:lineRule="exact"/>
              <w:ind w:left="75" w:right="75"/>
              <w:rPr>
                <w:sz w:val="18"/>
              </w:rPr>
            </w:pPr>
            <w:r>
              <w:rPr>
                <w:color w:val="333333"/>
                <w:sz w:val="18"/>
              </w:rPr>
              <w:t>11</w:t>
            </w:r>
          </w:p>
        </w:tc>
        <w:tc>
          <w:tcPr>
            <w:tcW w:w="600" w:type="dxa"/>
          </w:tcPr>
          <w:p>
            <w:pPr>
              <w:pStyle w:val="TableParagraph"/>
              <w:spacing w:line="203" w:lineRule="exact"/>
              <w:ind w:left="75" w:right="75"/>
              <w:rPr>
                <w:sz w:val="18"/>
              </w:rPr>
            </w:pPr>
            <w:r>
              <w:rPr>
                <w:color w:val="333333"/>
                <w:sz w:val="18"/>
              </w:rPr>
              <w:t>26</w:t>
            </w:r>
          </w:p>
        </w:tc>
        <w:tc>
          <w:tcPr>
            <w:tcW w:w="600" w:type="dxa"/>
          </w:tcPr>
          <w:p>
            <w:pPr>
              <w:pStyle w:val="TableParagraph"/>
              <w:spacing w:line="203" w:lineRule="exact"/>
              <w:ind w:left="75" w:right="75"/>
              <w:rPr>
                <w:sz w:val="18"/>
              </w:rPr>
            </w:pPr>
            <w:r>
              <w:rPr>
                <w:color w:val="333333"/>
                <w:sz w:val="18"/>
              </w:rPr>
              <w:t>21</w:t>
            </w:r>
          </w:p>
        </w:tc>
        <w:tc>
          <w:tcPr>
            <w:tcW w:w="600" w:type="dxa"/>
          </w:tcPr>
          <w:p>
            <w:pPr>
              <w:pStyle w:val="TableParagraph"/>
              <w:spacing w:line="203" w:lineRule="exact"/>
              <w:ind w:left="75" w:right="75"/>
              <w:rPr>
                <w:sz w:val="18"/>
              </w:rPr>
            </w:pPr>
            <w:r>
              <w:rPr>
                <w:color w:val="333333"/>
                <w:sz w:val="18"/>
              </w:rPr>
              <w:t>17</w:t>
            </w:r>
          </w:p>
        </w:tc>
        <w:tc>
          <w:tcPr>
            <w:tcW w:w="600" w:type="dxa"/>
          </w:tcPr>
          <w:p>
            <w:pPr>
              <w:pStyle w:val="TableParagraph"/>
              <w:spacing w:line="203" w:lineRule="exact"/>
              <w:ind w:left="75" w:right="75"/>
              <w:rPr>
                <w:sz w:val="18"/>
              </w:rPr>
            </w:pPr>
            <w:r>
              <w:rPr>
                <w:color w:val="333333"/>
                <w:sz w:val="18"/>
              </w:rPr>
              <w:t>12</w:t>
            </w:r>
          </w:p>
        </w:tc>
        <w:tc>
          <w:tcPr>
            <w:tcW w:w="601" w:type="dxa"/>
          </w:tcPr>
          <w:p>
            <w:pPr>
              <w:pStyle w:val="TableParagraph"/>
              <w:spacing w:line="203" w:lineRule="exact"/>
              <w:rPr>
                <w:sz w:val="18"/>
              </w:rPr>
            </w:pPr>
            <w:r>
              <w:rPr>
                <w:color w:val="333333"/>
                <w:w w:val="99"/>
                <w:sz w:val="18"/>
              </w:rPr>
              <w:t>7</w:t>
            </w:r>
          </w:p>
        </w:tc>
        <w:tc>
          <w:tcPr>
            <w:tcW w:w="600" w:type="dxa"/>
          </w:tcPr>
          <w:p>
            <w:pPr>
              <w:pStyle w:val="TableParagraph"/>
              <w:spacing w:line="203" w:lineRule="exact"/>
              <w:rPr>
                <w:sz w:val="18"/>
              </w:rPr>
            </w:pPr>
            <w:r>
              <w:rPr>
                <w:color w:val="333333"/>
                <w:w w:val="99"/>
                <w:sz w:val="18"/>
              </w:rPr>
              <w:t>9</w:t>
            </w:r>
          </w:p>
        </w:tc>
        <w:tc>
          <w:tcPr>
            <w:tcW w:w="607" w:type="dxa"/>
          </w:tcPr>
          <w:p>
            <w:pPr>
              <w:pStyle w:val="TableParagraph"/>
              <w:spacing w:line="199" w:lineRule="exact"/>
              <w:ind w:left="64" w:right="62"/>
              <w:rPr>
                <w:b/>
                <w:sz w:val="18"/>
              </w:rPr>
            </w:pPr>
            <w:r>
              <w:rPr>
                <w:b/>
                <w:sz w:val="18"/>
              </w:rPr>
              <w:t>110</w:t>
            </w:r>
          </w:p>
        </w:tc>
      </w:tr>
      <w:tr>
        <w:trPr>
          <w:trHeight w:val="322" w:hRule="exact"/>
        </w:trPr>
        <w:tc>
          <w:tcPr>
            <w:tcW w:w="2801" w:type="dxa"/>
          </w:tcPr>
          <w:p>
            <w:pPr>
              <w:pStyle w:val="TableParagraph"/>
              <w:spacing w:line="203" w:lineRule="exact"/>
              <w:ind w:left="64"/>
              <w:jc w:val="left"/>
              <w:rPr>
                <w:sz w:val="18"/>
              </w:rPr>
            </w:pPr>
            <w:r>
              <w:rPr>
                <w:color w:val="333333"/>
                <w:sz w:val="18"/>
              </w:rPr>
              <w:t>TEXCALTITLÁN</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1</w:t>
            </w:r>
          </w:p>
        </w:tc>
        <w:tc>
          <w:tcPr>
            <w:tcW w:w="600" w:type="dxa"/>
          </w:tcPr>
          <w:p>
            <w:pPr>
              <w:pStyle w:val="TableParagraph"/>
              <w:spacing w:line="203" w:lineRule="exact"/>
              <w:rPr>
                <w:sz w:val="18"/>
              </w:rPr>
            </w:pPr>
            <w:r>
              <w:rPr>
                <w:color w:val="333333"/>
                <w:w w:val="99"/>
                <w:sz w:val="18"/>
              </w:rPr>
              <w:t>5</w:t>
            </w:r>
          </w:p>
        </w:tc>
        <w:tc>
          <w:tcPr>
            <w:tcW w:w="600" w:type="dxa"/>
          </w:tcPr>
          <w:p>
            <w:pPr>
              <w:pStyle w:val="TableParagraph"/>
              <w:spacing w:line="203" w:lineRule="exact"/>
              <w:ind w:right="1"/>
              <w:rPr>
                <w:sz w:val="18"/>
              </w:rPr>
            </w:pPr>
            <w:r>
              <w:rPr>
                <w:color w:val="333333"/>
                <w:w w:val="99"/>
                <w:sz w:val="18"/>
              </w:rPr>
              <w:t>9</w:t>
            </w:r>
          </w:p>
        </w:tc>
        <w:tc>
          <w:tcPr>
            <w:tcW w:w="600" w:type="dxa"/>
          </w:tcPr>
          <w:p>
            <w:pPr>
              <w:pStyle w:val="TableParagraph"/>
              <w:spacing w:line="203" w:lineRule="exact"/>
              <w:ind w:left="75" w:right="75"/>
              <w:rPr>
                <w:sz w:val="18"/>
              </w:rPr>
            </w:pPr>
            <w:r>
              <w:rPr>
                <w:color w:val="333333"/>
                <w:sz w:val="18"/>
              </w:rPr>
              <w:t>21</w:t>
            </w:r>
          </w:p>
        </w:tc>
        <w:tc>
          <w:tcPr>
            <w:tcW w:w="600" w:type="dxa"/>
          </w:tcPr>
          <w:p>
            <w:pPr>
              <w:pStyle w:val="TableParagraph"/>
              <w:spacing w:line="203" w:lineRule="exact"/>
              <w:ind w:left="75" w:right="75"/>
              <w:rPr>
                <w:sz w:val="18"/>
              </w:rPr>
            </w:pPr>
            <w:r>
              <w:rPr>
                <w:color w:val="333333"/>
                <w:sz w:val="18"/>
              </w:rPr>
              <w:t>19</w:t>
            </w:r>
          </w:p>
        </w:tc>
        <w:tc>
          <w:tcPr>
            <w:tcW w:w="600" w:type="dxa"/>
          </w:tcPr>
          <w:p>
            <w:pPr>
              <w:pStyle w:val="TableParagraph"/>
              <w:spacing w:line="203" w:lineRule="exact"/>
              <w:ind w:left="75" w:right="75"/>
              <w:rPr>
                <w:sz w:val="18"/>
              </w:rPr>
            </w:pPr>
            <w:r>
              <w:rPr>
                <w:color w:val="333333"/>
                <w:sz w:val="18"/>
              </w:rPr>
              <w:t>15</w:t>
            </w:r>
          </w:p>
        </w:tc>
        <w:tc>
          <w:tcPr>
            <w:tcW w:w="600" w:type="dxa"/>
          </w:tcPr>
          <w:p>
            <w:pPr>
              <w:pStyle w:val="TableParagraph"/>
              <w:spacing w:line="203" w:lineRule="exact"/>
              <w:ind w:left="75" w:right="75"/>
              <w:rPr>
                <w:sz w:val="18"/>
              </w:rPr>
            </w:pPr>
            <w:r>
              <w:rPr>
                <w:color w:val="333333"/>
                <w:sz w:val="18"/>
              </w:rPr>
              <w:t>12</w:t>
            </w:r>
          </w:p>
        </w:tc>
        <w:tc>
          <w:tcPr>
            <w:tcW w:w="601" w:type="dxa"/>
          </w:tcPr>
          <w:p>
            <w:pPr>
              <w:pStyle w:val="TableParagraph"/>
              <w:spacing w:line="203" w:lineRule="exact"/>
              <w:rPr>
                <w:sz w:val="18"/>
              </w:rPr>
            </w:pPr>
            <w:r>
              <w:rPr>
                <w:color w:val="333333"/>
                <w:w w:val="99"/>
                <w:sz w:val="18"/>
              </w:rPr>
              <w:t>9</w:t>
            </w:r>
          </w:p>
        </w:tc>
        <w:tc>
          <w:tcPr>
            <w:tcW w:w="600" w:type="dxa"/>
          </w:tcPr>
          <w:p>
            <w:pPr>
              <w:pStyle w:val="TableParagraph"/>
              <w:spacing w:line="203" w:lineRule="exact"/>
              <w:ind w:left="75" w:right="75"/>
              <w:rPr>
                <w:sz w:val="18"/>
              </w:rPr>
            </w:pPr>
            <w:r>
              <w:rPr>
                <w:color w:val="333333"/>
                <w:sz w:val="18"/>
              </w:rPr>
              <w:t>13</w:t>
            </w:r>
          </w:p>
        </w:tc>
        <w:tc>
          <w:tcPr>
            <w:tcW w:w="607" w:type="dxa"/>
          </w:tcPr>
          <w:p>
            <w:pPr>
              <w:pStyle w:val="TableParagraph"/>
              <w:spacing w:line="199" w:lineRule="exact"/>
              <w:ind w:left="64" w:right="62"/>
              <w:rPr>
                <w:b/>
                <w:sz w:val="18"/>
              </w:rPr>
            </w:pPr>
            <w:r>
              <w:rPr>
                <w:b/>
                <w:sz w:val="18"/>
              </w:rPr>
              <w:t>104</w:t>
            </w:r>
          </w:p>
        </w:tc>
      </w:tr>
      <w:tr>
        <w:trPr>
          <w:trHeight w:val="319" w:hRule="exact"/>
        </w:trPr>
        <w:tc>
          <w:tcPr>
            <w:tcW w:w="2801" w:type="dxa"/>
          </w:tcPr>
          <w:p>
            <w:pPr>
              <w:pStyle w:val="TableParagraph"/>
              <w:spacing w:line="203" w:lineRule="exact"/>
              <w:ind w:left="64"/>
              <w:jc w:val="left"/>
              <w:rPr>
                <w:sz w:val="18"/>
              </w:rPr>
            </w:pPr>
            <w:r>
              <w:rPr>
                <w:color w:val="333333"/>
                <w:sz w:val="18"/>
              </w:rPr>
              <w:t>TEXCALYACAC</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left="75" w:right="75"/>
              <w:rPr>
                <w:sz w:val="18"/>
              </w:rPr>
            </w:pPr>
            <w:r>
              <w:rPr>
                <w:color w:val="333333"/>
                <w:sz w:val="18"/>
              </w:rPr>
              <w:t>13</w:t>
            </w:r>
          </w:p>
        </w:tc>
        <w:tc>
          <w:tcPr>
            <w:tcW w:w="600" w:type="dxa"/>
          </w:tcPr>
          <w:p>
            <w:pPr>
              <w:pStyle w:val="TableParagraph"/>
              <w:spacing w:line="203" w:lineRule="exact"/>
              <w:ind w:left="75" w:right="75"/>
              <w:rPr>
                <w:sz w:val="18"/>
              </w:rPr>
            </w:pPr>
            <w:r>
              <w:rPr>
                <w:color w:val="333333"/>
                <w:sz w:val="18"/>
              </w:rPr>
              <w:t>11</w:t>
            </w:r>
          </w:p>
        </w:tc>
        <w:tc>
          <w:tcPr>
            <w:tcW w:w="600" w:type="dxa"/>
          </w:tcPr>
          <w:p>
            <w:pPr>
              <w:pStyle w:val="TableParagraph"/>
              <w:spacing w:line="203" w:lineRule="exact"/>
              <w:ind w:left="75" w:right="75"/>
              <w:rPr>
                <w:sz w:val="18"/>
              </w:rPr>
            </w:pPr>
            <w:r>
              <w:rPr>
                <w:color w:val="333333"/>
                <w:sz w:val="18"/>
              </w:rPr>
              <w:t>23</w:t>
            </w:r>
          </w:p>
        </w:tc>
        <w:tc>
          <w:tcPr>
            <w:tcW w:w="600" w:type="dxa"/>
          </w:tcPr>
          <w:p>
            <w:pPr>
              <w:pStyle w:val="TableParagraph"/>
              <w:spacing w:line="203" w:lineRule="exact"/>
              <w:ind w:left="75" w:right="75"/>
              <w:rPr>
                <w:sz w:val="18"/>
              </w:rPr>
            </w:pPr>
            <w:r>
              <w:rPr>
                <w:color w:val="333333"/>
                <w:sz w:val="18"/>
              </w:rPr>
              <w:t>19</w:t>
            </w:r>
          </w:p>
        </w:tc>
        <w:tc>
          <w:tcPr>
            <w:tcW w:w="600" w:type="dxa"/>
          </w:tcPr>
          <w:p>
            <w:pPr>
              <w:pStyle w:val="TableParagraph"/>
              <w:spacing w:line="203" w:lineRule="exact"/>
              <w:ind w:left="75" w:right="75"/>
              <w:rPr>
                <w:sz w:val="18"/>
              </w:rPr>
            </w:pPr>
            <w:r>
              <w:rPr>
                <w:color w:val="333333"/>
                <w:sz w:val="18"/>
              </w:rPr>
              <w:t>11</w:t>
            </w:r>
          </w:p>
        </w:tc>
        <w:tc>
          <w:tcPr>
            <w:tcW w:w="600" w:type="dxa"/>
          </w:tcPr>
          <w:p>
            <w:pPr>
              <w:pStyle w:val="TableParagraph"/>
              <w:spacing w:line="203" w:lineRule="exact"/>
              <w:ind w:left="75" w:right="75"/>
              <w:rPr>
                <w:sz w:val="18"/>
              </w:rPr>
            </w:pPr>
            <w:r>
              <w:rPr>
                <w:color w:val="333333"/>
                <w:sz w:val="18"/>
              </w:rPr>
              <w:t>11</w:t>
            </w:r>
          </w:p>
        </w:tc>
        <w:tc>
          <w:tcPr>
            <w:tcW w:w="601" w:type="dxa"/>
          </w:tcPr>
          <w:p>
            <w:pPr>
              <w:pStyle w:val="TableParagraph"/>
              <w:spacing w:line="203" w:lineRule="exact"/>
              <w:rPr>
                <w:sz w:val="18"/>
              </w:rPr>
            </w:pPr>
            <w:r>
              <w:rPr>
                <w:color w:val="333333"/>
                <w:w w:val="99"/>
                <w:sz w:val="18"/>
              </w:rPr>
              <w:t>5</w:t>
            </w:r>
          </w:p>
        </w:tc>
        <w:tc>
          <w:tcPr>
            <w:tcW w:w="600" w:type="dxa"/>
          </w:tcPr>
          <w:p>
            <w:pPr>
              <w:pStyle w:val="TableParagraph"/>
              <w:spacing w:line="203" w:lineRule="exact"/>
              <w:ind w:left="75" w:right="75"/>
              <w:rPr>
                <w:sz w:val="18"/>
              </w:rPr>
            </w:pPr>
            <w:r>
              <w:rPr>
                <w:color w:val="333333"/>
                <w:sz w:val="18"/>
              </w:rPr>
              <w:t>19</w:t>
            </w:r>
          </w:p>
        </w:tc>
        <w:tc>
          <w:tcPr>
            <w:tcW w:w="607" w:type="dxa"/>
          </w:tcPr>
          <w:p>
            <w:pPr>
              <w:pStyle w:val="TableParagraph"/>
              <w:spacing w:line="199" w:lineRule="exact"/>
              <w:ind w:left="64" w:right="62"/>
              <w:rPr>
                <w:b/>
                <w:sz w:val="18"/>
              </w:rPr>
            </w:pPr>
            <w:r>
              <w:rPr>
                <w:b/>
                <w:sz w:val="18"/>
              </w:rPr>
              <w:t>112</w:t>
            </w:r>
          </w:p>
        </w:tc>
      </w:tr>
      <w:tr>
        <w:trPr>
          <w:trHeight w:val="322" w:hRule="exact"/>
        </w:trPr>
        <w:tc>
          <w:tcPr>
            <w:tcW w:w="2801" w:type="dxa"/>
          </w:tcPr>
          <w:p>
            <w:pPr>
              <w:pStyle w:val="TableParagraph"/>
              <w:spacing w:line="203" w:lineRule="exact"/>
              <w:ind w:left="64"/>
              <w:jc w:val="left"/>
              <w:rPr>
                <w:sz w:val="18"/>
              </w:rPr>
            </w:pPr>
            <w:r>
              <w:rPr>
                <w:color w:val="333333"/>
                <w:sz w:val="18"/>
              </w:rPr>
              <w:t>TEXCOCO</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left="75" w:right="75"/>
              <w:rPr>
                <w:sz w:val="18"/>
              </w:rPr>
            </w:pPr>
            <w:r>
              <w:rPr>
                <w:color w:val="333333"/>
                <w:sz w:val="18"/>
              </w:rPr>
              <w:t>36</w:t>
            </w:r>
          </w:p>
        </w:tc>
        <w:tc>
          <w:tcPr>
            <w:tcW w:w="600" w:type="dxa"/>
          </w:tcPr>
          <w:p>
            <w:pPr>
              <w:pStyle w:val="TableParagraph"/>
              <w:spacing w:line="203" w:lineRule="exact"/>
              <w:ind w:left="75" w:right="75"/>
              <w:rPr>
                <w:sz w:val="18"/>
              </w:rPr>
            </w:pPr>
            <w:r>
              <w:rPr>
                <w:color w:val="333333"/>
                <w:sz w:val="18"/>
              </w:rPr>
              <w:t>164</w:t>
            </w:r>
          </w:p>
        </w:tc>
        <w:tc>
          <w:tcPr>
            <w:tcW w:w="600" w:type="dxa"/>
          </w:tcPr>
          <w:p>
            <w:pPr>
              <w:pStyle w:val="TableParagraph"/>
              <w:spacing w:line="203" w:lineRule="exact"/>
              <w:ind w:left="75" w:right="75"/>
              <w:rPr>
                <w:sz w:val="18"/>
              </w:rPr>
            </w:pPr>
            <w:r>
              <w:rPr>
                <w:color w:val="333333"/>
                <w:sz w:val="18"/>
              </w:rPr>
              <w:t>473</w:t>
            </w:r>
          </w:p>
        </w:tc>
        <w:tc>
          <w:tcPr>
            <w:tcW w:w="600" w:type="dxa"/>
          </w:tcPr>
          <w:p>
            <w:pPr>
              <w:pStyle w:val="TableParagraph"/>
              <w:spacing w:line="203" w:lineRule="exact"/>
              <w:ind w:left="75" w:right="75"/>
              <w:rPr>
                <w:sz w:val="18"/>
              </w:rPr>
            </w:pPr>
            <w:r>
              <w:rPr>
                <w:color w:val="333333"/>
                <w:sz w:val="18"/>
              </w:rPr>
              <w:t>442</w:t>
            </w:r>
          </w:p>
        </w:tc>
        <w:tc>
          <w:tcPr>
            <w:tcW w:w="600" w:type="dxa"/>
          </w:tcPr>
          <w:p>
            <w:pPr>
              <w:pStyle w:val="TableParagraph"/>
              <w:spacing w:line="203" w:lineRule="exact"/>
              <w:ind w:left="75" w:right="75"/>
              <w:rPr>
                <w:sz w:val="18"/>
              </w:rPr>
            </w:pPr>
            <w:r>
              <w:rPr>
                <w:color w:val="333333"/>
                <w:sz w:val="18"/>
              </w:rPr>
              <w:t>236</w:t>
            </w:r>
          </w:p>
        </w:tc>
        <w:tc>
          <w:tcPr>
            <w:tcW w:w="600" w:type="dxa"/>
          </w:tcPr>
          <w:p>
            <w:pPr>
              <w:pStyle w:val="TableParagraph"/>
              <w:spacing w:line="203" w:lineRule="exact"/>
              <w:ind w:left="75" w:right="75"/>
              <w:rPr>
                <w:sz w:val="18"/>
              </w:rPr>
            </w:pPr>
            <w:r>
              <w:rPr>
                <w:color w:val="333333"/>
                <w:sz w:val="18"/>
              </w:rPr>
              <w:t>242</w:t>
            </w:r>
          </w:p>
        </w:tc>
        <w:tc>
          <w:tcPr>
            <w:tcW w:w="601" w:type="dxa"/>
          </w:tcPr>
          <w:p>
            <w:pPr>
              <w:pStyle w:val="TableParagraph"/>
              <w:spacing w:line="203" w:lineRule="exact"/>
              <w:ind w:left="75" w:right="75"/>
              <w:rPr>
                <w:sz w:val="18"/>
              </w:rPr>
            </w:pPr>
            <w:r>
              <w:rPr>
                <w:color w:val="333333"/>
                <w:sz w:val="18"/>
              </w:rPr>
              <w:t>191</w:t>
            </w:r>
          </w:p>
        </w:tc>
        <w:tc>
          <w:tcPr>
            <w:tcW w:w="600" w:type="dxa"/>
          </w:tcPr>
          <w:p>
            <w:pPr>
              <w:pStyle w:val="TableParagraph"/>
              <w:spacing w:line="203" w:lineRule="exact"/>
              <w:ind w:left="75" w:right="75"/>
              <w:rPr>
                <w:sz w:val="18"/>
              </w:rPr>
            </w:pPr>
            <w:r>
              <w:rPr>
                <w:color w:val="333333"/>
                <w:sz w:val="18"/>
              </w:rPr>
              <w:t>169</w:t>
            </w:r>
          </w:p>
        </w:tc>
        <w:tc>
          <w:tcPr>
            <w:tcW w:w="607" w:type="dxa"/>
          </w:tcPr>
          <w:p>
            <w:pPr>
              <w:pStyle w:val="TableParagraph"/>
              <w:spacing w:line="199" w:lineRule="exact"/>
              <w:ind w:left="64" w:right="62"/>
              <w:rPr>
                <w:b/>
                <w:sz w:val="18"/>
              </w:rPr>
            </w:pPr>
            <w:r>
              <w:rPr>
                <w:b/>
                <w:sz w:val="18"/>
              </w:rPr>
              <w:t>1953</w:t>
            </w:r>
          </w:p>
        </w:tc>
      </w:tr>
      <w:tr>
        <w:trPr>
          <w:trHeight w:val="320" w:hRule="exact"/>
        </w:trPr>
        <w:tc>
          <w:tcPr>
            <w:tcW w:w="2801" w:type="dxa"/>
          </w:tcPr>
          <w:p>
            <w:pPr>
              <w:pStyle w:val="TableParagraph"/>
              <w:spacing w:line="204" w:lineRule="exact"/>
              <w:ind w:left="64"/>
              <w:jc w:val="left"/>
              <w:rPr>
                <w:sz w:val="18"/>
              </w:rPr>
            </w:pPr>
            <w:r>
              <w:rPr>
                <w:color w:val="333333"/>
                <w:sz w:val="18"/>
              </w:rPr>
              <w:t>TEZOYUCA</w:t>
            </w:r>
          </w:p>
        </w:tc>
        <w:tc>
          <w:tcPr>
            <w:tcW w:w="601" w:type="dxa"/>
          </w:tcPr>
          <w:p>
            <w:pPr>
              <w:pStyle w:val="TableParagraph"/>
              <w:spacing w:line="204" w:lineRule="exact"/>
              <w:rPr>
                <w:sz w:val="18"/>
              </w:rPr>
            </w:pPr>
            <w:r>
              <w:rPr>
                <w:color w:val="333333"/>
                <w:w w:val="99"/>
                <w:sz w:val="18"/>
              </w:rPr>
              <w:t>0</w:t>
            </w:r>
          </w:p>
        </w:tc>
        <w:tc>
          <w:tcPr>
            <w:tcW w:w="600" w:type="dxa"/>
          </w:tcPr>
          <w:p>
            <w:pPr>
              <w:pStyle w:val="TableParagraph"/>
              <w:spacing w:line="204" w:lineRule="exact"/>
              <w:ind w:right="243"/>
              <w:jc w:val="right"/>
              <w:rPr>
                <w:sz w:val="18"/>
              </w:rPr>
            </w:pPr>
            <w:r>
              <w:rPr>
                <w:color w:val="333333"/>
                <w:w w:val="99"/>
                <w:sz w:val="18"/>
              </w:rPr>
              <w:t>0</w:t>
            </w:r>
          </w:p>
        </w:tc>
        <w:tc>
          <w:tcPr>
            <w:tcW w:w="600" w:type="dxa"/>
          </w:tcPr>
          <w:p>
            <w:pPr>
              <w:pStyle w:val="TableParagraph"/>
              <w:spacing w:line="204" w:lineRule="exact"/>
              <w:rPr>
                <w:sz w:val="18"/>
              </w:rPr>
            </w:pPr>
            <w:r>
              <w:rPr>
                <w:color w:val="333333"/>
                <w:w w:val="99"/>
                <w:sz w:val="18"/>
              </w:rPr>
              <w:t>1</w:t>
            </w:r>
          </w:p>
        </w:tc>
        <w:tc>
          <w:tcPr>
            <w:tcW w:w="600" w:type="dxa"/>
          </w:tcPr>
          <w:p>
            <w:pPr>
              <w:pStyle w:val="TableParagraph"/>
              <w:spacing w:line="204" w:lineRule="exact"/>
              <w:ind w:left="75" w:right="75"/>
              <w:rPr>
                <w:sz w:val="18"/>
              </w:rPr>
            </w:pPr>
            <w:r>
              <w:rPr>
                <w:color w:val="333333"/>
                <w:sz w:val="18"/>
              </w:rPr>
              <w:t>13</w:t>
            </w:r>
          </w:p>
        </w:tc>
        <w:tc>
          <w:tcPr>
            <w:tcW w:w="600" w:type="dxa"/>
          </w:tcPr>
          <w:p>
            <w:pPr>
              <w:pStyle w:val="TableParagraph"/>
              <w:spacing w:line="204" w:lineRule="exact"/>
              <w:ind w:left="75" w:right="75"/>
              <w:rPr>
                <w:sz w:val="18"/>
              </w:rPr>
            </w:pPr>
            <w:r>
              <w:rPr>
                <w:color w:val="333333"/>
                <w:sz w:val="18"/>
              </w:rPr>
              <w:t>20</w:t>
            </w:r>
          </w:p>
        </w:tc>
        <w:tc>
          <w:tcPr>
            <w:tcW w:w="600" w:type="dxa"/>
          </w:tcPr>
          <w:p>
            <w:pPr>
              <w:pStyle w:val="TableParagraph"/>
              <w:spacing w:line="204" w:lineRule="exact"/>
              <w:ind w:left="75" w:right="75"/>
              <w:rPr>
                <w:sz w:val="18"/>
              </w:rPr>
            </w:pPr>
            <w:r>
              <w:rPr>
                <w:color w:val="333333"/>
                <w:sz w:val="18"/>
              </w:rPr>
              <w:t>313</w:t>
            </w:r>
          </w:p>
        </w:tc>
        <w:tc>
          <w:tcPr>
            <w:tcW w:w="600" w:type="dxa"/>
          </w:tcPr>
          <w:p>
            <w:pPr>
              <w:pStyle w:val="TableParagraph"/>
              <w:spacing w:line="204" w:lineRule="exact"/>
              <w:ind w:left="75" w:right="75"/>
              <w:rPr>
                <w:sz w:val="18"/>
              </w:rPr>
            </w:pPr>
            <w:r>
              <w:rPr>
                <w:color w:val="333333"/>
                <w:sz w:val="18"/>
              </w:rPr>
              <w:t>48</w:t>
            </w:r>
          </w:p>
        </w:tc>
        <w:tc>
          <w:tcPr>
            <w:tcW w:w="600" w:type="dxa"/>
          </w:tcPr>
          <w:p>
            <w:pPr>
              <w:pStyle w:val="TableParagraph"/>
              <w:spacing w:line="204" w:lineRule="exact"/>
              <w:ind w:left="75" w:right="75"/>
              <w:rPr>
                <w:sz w:val="18"/>
              </w:rPr>
            </w:pPr>
            <w:r>
              <w:rPr>
                <w:color w:val="333333"/>
                <w:sz w:val="18"/>
              </w:rPr>
              <w:t>18</w:t>
            </w:r>
          </w:p>
        </w:tc>
        <w:tc>
          <w:tcPr>
            <w:tcW w:w="600" w:type="dxa"/>
          </w:tcPr>
          <w:p>
            <w:pPr>
              <w:pStyle w:val="TableParagraph"/>
              <w:spacing w:line="204" w:lineRule="exact"/>
              <w:ind w:left="75" w:right="75"/>
              <w:rPr>
                <w:sz w:val="18"/>
              </w:rPr>
            </w:pPr>
            <w:r>
              <w:rPr>
                <w:color w:val="333333"/>
                <w:sz w:val="18"/>
              </w:rPr>
              <w:t>51</w:t>
            </w:r>
          </w:p>
        </w:tc>
        <w:tc>
          <w:tcPr>
            <w:tcW w:w="601" w:type="dxa"/>
          </w:tcPr>
          <w:p>
            <w:pPr>
              <w:pStyle w:val="TableParagraph"/>
              <w:spacing w:line="204" w:lineRule="exact"/>
              <w:ind w:left="75" w:right="75"/>
              <w:rPr>
                <w:sz w:val="18"/>
              </w:rPr>
            </w:pPr>
            <w:r>
              <w:rPr>
                <w:color w:val="333333"/>
                <w:sz w:val="18"/>
              </w:rPr>
              <w:t>19</w:t>
            </w:r>
          </w:p>
        </w:tc>
        <w:tc>
          <w:tcPr>
            <w:tcW w:w="600" w:type="dxa"/>
          </w:tcPr>
          <w:p>
            <w:pPr>
              <w:pStyle w:val="TableParagraph"/>
              <w:spacing w:line="204" w:lineRule="exact"/>
              <w:ind w:left="75" w:right="75"/>
              <w:rPr>
                <w:sz w:val="18"/>
              </w:rPr>
            </w:pPr>
            <w:r>
              <w:rPr>
                <w:color w:val="333333"/>
                <w:sz w:val="18"/>
              </w:rPr>
              <w:t>21</w:t>
            </w:r>
          </w:p>
        </w:tc>
        <w:tc>
          <w:tcPr>
            <w:tcW w:w="607" w:type="dxa"/>
          </w:tcPr>
          <w:p>
            <w:pPr>
              <w:pStyle w:val="TableParagraph"/>
              <w:spacing w:line="199" w:lineRule="exact"/>
              <w:ind w:left="64" w:right="62"/>
              <w:rPr>
                <w:b/>
                <w:sz w:val="18"/>
              </w:rPr>
            </w:pPr>
            <w:r>
              <w:rPr>
                <w:b/>
                <w:sz w:val="18"/>
              </w:rPr>
              <w:t>504</w:t>
            </w:r>
          </w:p>
        </w:tc>
      </w:tr>
      <w:tr>
        <w:trPr>
          <w:trHeight w:val="322" w:hRule="exact"/>
        </w:trPr>
        <w:tc>
          <w:tcPr>
            <w:tcW w:w="2801" w:type="dxa"/>
          </w:tcPr>
          <w:p>
            <w:pPr>
              <w:pStyle w:val="TableParagraph"/>
              <w:spacing w:line="203" w:lineRule="exact"/>
              <w:ind w:left="64"/>
              <w:jc w:val="left"/>
              <w:rPr>
                <w:sz w:val="18"/>
              </w:rPr>
            </w:pPr>
            <w:r>
              <w:rPr>
                <w:color w:val="333333"/>
                <w:sz w:val="18"/>
              </w:rPr>
              <w:t>TIANGUISTENCO</w:t>
            </w:r>
          </w:p>
        </w:tc>
        <w:tc>
          <w:tcPr>
            <w:tcW w:w="601" w:type="dxa"/>
          </w:tcPr>
          <w:p>
            <w:pPr>
              <w:pStyle w:val="TableParagraph"/>
              <w:spacing w:line="203" w:lineRule="exact"/>
              <w:rPr>
                <w:sz w:val="18"/>
              </w:rPr>
            </w:pPr>
            <w:r>
              <w:rPr>
                <w:color w:val="333333"/>
                <w:w w:val="99"/>
                <w:sz w:val="18"/>
              </w:rPr>
              <w:t>1</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4</w:t>
            </w:r>
          </w:p>
        </w:tc>
        <w:tc>
          <w:tcPr>
            <w:tcW w:w="600" w:type="dxa"/>
          </w:tcPr>
          <w:p>
            <w:pPr>
              <w:pStyle w:val="TableParagraph"/>
              <w:spacing w:line="203" w:lineRule="exact"/>
              <w:ind w:left="75" w:right="75"/>
              <w:rPr>
                <w:sz w:val="18"/>
              </w:rPr>
            </w:pPr>
            <w:r>
              <w:rPr>
                <w:color w:val="333333"/>
                <w:sz w:val="18"/>
              </w:rPr>
              <w:t>20</w:t>
            </w:r>
          </w:p>
        </w:tc>
        <w:tc>
          <w:tcPr>
            <w:tcW w:w="600" w:type="dxa"/>
          </w:tcPr>
          <w:p>
            <w:pPr>
              <w:pStyle w:val="TableParagraph"/>
              <w:spacing w:line="203" w:lineRule="exact"/>
              <w:ind w:left="75" w:right="75"/>
              <w:rPr>
                <w:sz w:val="18"/>
              </w:rPr>
            </w:pPr>
            <w:r>
              <w:rPr>
                <w:color w:val="333333"/>
                <w:sz w:val="18"/>
              </w:rPr>
              <w:t>42</w:t>
            </w:r>
          </w:p>
        </w:tc>
        <w:tc>
          <w:tcPr>
            <w:tcW w:w="600" w:type="dxa"/>
          </w:tcPr>
          <w:p>
            <w:pPr>
              <w:pStyle w:val="TableParagraph"/>
              <w:spacing w:line="203" w:lineRule="exact"/>
              <w:ind w:left="75" w:right="75"/>
              <w:rPr>
                <w:sz w:val="18"/>
              </w:rPr>
            </w:pPr>
            <w:r>
              <w:rPr>
                <w:color w:val="333333"/>
                <w:sz w:val="18"/>
              </w:rPr>
              <w:t>130</w:t>
            </w:r>
          </w:p>
        </w:tc>
        <w:tc>
          <w:tcPr>
            <w:tcW w:w="600" w:type="dxa"/>
          </w:tcPr>
          <w:p>
            <w:pPr>
              <w:pStyle w:val="TableParagraph"/>
              <w:spacing w:line="203" w:lineRule="exact"/>
              <w:ind w:left="75" w:right="75"/>
              <w:rPr>
                <w:sz w:val="18"/>
              </w:rPr>
            </w:pPr>
            <w:r>
              <w:rPr>
                <w:color w:val="333333"/>
                <w:sz w:val="18"/>
              </w:rPr>
              <w:t>141</w:t>
            </w:r>
          </w:p>
        </w:tc>
        <w:tc>
          <w:tcPr>
            <w:tcW w:w="600" w:type="dxa"/>
          </w:tcPr>
          <w:p>
            <w:pPr>
              <w:pStyle w:val="TableParagraph"/>
              <w:spacing w:line="203" w:lineRule="exact"/>
              <w:ind w:left="75" w:right="75"/>
              <w:rPr>
                <w:sz w:val="18"/>
              </w:rPr>
            </w:pPr>
            <w:r>
              <w:rPr>
                <w:color w:val="333333"/>
                <w:sz w:val="18"/>
              </w:rPr>
              <w:t>138</w:t>
            </w:r>
          </w:p>
        </w:tc>
        <w:tc>
          <w:tcPr>
            <w:tcW w:w="600" w:type="dxa"/>
          </w:tcPr>
          <w:p>
            <w:pPr>
              <w:pStyle w:val="TableParagraph"/>
              <w:spacing w:line="203" w:lineRule="exact"/>
              <w:ind w:left="75" w:right="75"/>
              <w:rPr>
                <w:sz w:val="18"/>
              </w:rPr>
            </w:pPr>
            <w:r>
              <w:rPr>
                <w:color w:val="333333"/>
                <w:sz w:val="18"/>
              </w:rPr>
              <w:t>109</w:t>
            </w:r>
          </w:p>
        </w:tc>
        <w:tc>
          <w:tcPr>
            <w:tcW w:w="601" w:type="dxa"/>
          </w:tcPr>
          <w:p>
            <w:pPr>
              <w:pStyle w:val="TableParagraph"/>
              <w:spacing w:line="203" w:lineRule="exact"/>
              <w:ind w:left="75" w:right="75"/>
              <w:rPr>
                <w:sz w:val="18"/>
              </w:rPr>
            </w:pPr>
            <w:r>
              <w:rPr>
                <w:color w:val="333333"/>
                <w:sz w:val="18"/>
              </w:rPr>
              <w:t>120</w:t>
            </w:r>
          </w:p>
        </w:tc>
        <w:tc>
          <w:tcPr>
            <w:tcW w:w="600" w:type="dxa"/>
          </w:tcPr>
          <w:p>
            <w:pPr>
              <w:pStyle w:val="TableParagraph"/>
              <w:spacing w:line="203" w:lineRule="exact"/>
              <w:ind w:left="75" w:right="75"/>
              <w:rPr>
                <w:sz w:val="18"/>
              </w:rPr>
            </w:pPr>
            <w:r>
              <w:rPr>
                <w:color w:val="333333"/>
                <w:sz w:val="18"/>
              </w:rPr>
              <w:t>94</w:t>
            </w:r>
          </w:p>
        </w:tc>
        <w:tc>
          <w:tcPr>
            <w:tcW w:w="607" w:type="dxa"/>
          </w:tcPr>
          <w:p>
            <w:pPr>
              <w:pStyle w:val="TableParagraph"/>
              <w:spacing w:line="199" w:lineRule="exact"/>
              <w:ind w:left="64" w:right="62"/>
              <w:rPr>
                <w:b/>
                <w:sz w:val="18"/>
              </w:rPr>
            </w:pPr>
            <w:r>
              <w:rPr>
                <w:b/>
                <w:sz w:val="18"/>
              </w:rPr>
              <w:t>799</w:t>
            </w:r>
          </w:p>
        </w:tc>
      </w:tr>
      <w:tr>
        <w:trPr>
          <w:trHeight w:val="319" w:hRule="exact"/>
        </w:trPr>
        <w:tc>
          <w:tcPr>
            <w:tcW w:w="2801" w:type="dxa"/>
          </w:tcPr>
          <w:p>
            <w:pPr>
              <w:pStyle w:val="TableParagraph"/>
              <w:spacing w:line="203" w:lineRule="exact"/>
              <w:ind w:left="64"/>
              <w:jc w:val="left"/>
              <w:rPr>
                <w:sz w:val="18"/>
              </w:rPr>
            </w:pPr>
            <w:r>
              <w:rPr>
                <w:color w:val="333333"/>
                <w:sz w:val="18"/>
              </w:rPr>
              <w:t>TIMILPAN</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rPr>
                <w:sz w:val="18"/>
              </w:rPr>
            </w:pPr>
            <w:r>
              <w:rPr>
                <w:color w:val="333333"/>
                <w:w w:val="99"/>
                <w:sz w:val="18"/>
              </w:rPr>
              <w:t>1</w:t>
            </w:r>
          </w:p>
        </w:tc>
        <w:tc>
          <w:tcPr>
            <w:tcW w:w="600" w:type="dxa"/>
          </w:tcPr>
          <w:p>
            <w:pPr>
              <w:pStyle w:val="TableParagraph"/>
              <w:spacing w:line="203" w:lineRule="exact"/>
              <w:rPr>
                <w:sz w:val="18"/>
              </w:rPr>
            </w:pPr>
            <w:r>
              <w:rPr>
                <w:color w:val="333333"/>
                <w:w w:val="99"/>
                <w:sz w:val="18"/>
              </w:rPr>
              <w:t>7</w:t>
            </w:r>
          </w:p>
        </w:tc>
        <w:tc>
          <w:tcPr>
            <w:tcW w:w="600" w:type="dxa"/>
          </w:tcPr>
          <w:p>
            <w:pPr>
              <w:pStyle w:val="TableParagraph"/>
              <w:spacing w:line="203" w:lineRule="exact"/>
              <w:ind w:right="1"/>
              <w:rPr>
                <w:sz w:val="18"/>
              </w:rPr>
            </w:pPr>
            <w:r>
              <w:rPr>
                <w:color w:val="333333"/>
                <w:w w:val="99"/>
                <w:sz w:val="18"/>
              </w:rPr>
              <w:t>8</w:t>
            </w:r>
          </w:p>
        </w:tc>
        <w:tc>
          <w:tcPr>
            <w:tcW w:w="600" w:type="dxa"/>
          </w:tcPr>
          <w:p>
            <w:pPr>
              <w:pStyle w:val="TableParagraph"/>
              <w:spacing w:line="203" w:lineRule="exact"/>
              <w:ind w:left="75" w:right="75"/>
              <w:rPr>
                <w:sz w:val="18"/>
              </w:rPr>
            </w:pPr>
            <w:r>
              <w:rPr>
                <w:color w:val="333333"/>
                <w:sz w:val="18"/>
              </w:rPr>
              <w:t>19</w:t>
            </w:r>
          </w:p>
        </w:tc>
        <w:tc>
          <w:tcPr>
            <w:tcW w:w="600" w:type="dxa"/>
          </w:tcPr>
          <w:p>
            <w:pPr>
              <w:pStyle w:val="TableParagraph"/>
              <w:spacing w:line="203" w:lineRule="exact"/>
              <w:ind w:left="75" w:right="75"/>
              <w:rPr>
                <w:sz w:val="18"/>
              </w:rPr>
            </w:pPr>
            <w:r>
              <w:rPr>
                <w:color w:val="333333"/>
                <w:sz w:val="18"/>
              </w:rPr>
              <w:t>23</w:t>
            </w:r>
          </w:p>
        </w:tc>
        <w:tc>
          <w:tcPr>
            <w:tcW w:w="600" w:type="dxa"/>
          </w:tcPr>
          <w:p>
            <w:pPr>
              <w:pStyle w:val="TableParagraph"/>
              <w:spacing w:line="203" w:lineRule="exact"/>
              <w:ind w:left="75" w:right="75"/>
              <w:rPr>
                <w:sz w:val="18"/>
              </w:rPr>
            </w:pPr>
            <w:r>
              <w:rPr>
                <w:color w:val="333333"/>
                <w:sz w:val="18"/>
              </w:rPr>
              <w:t>10</w:t>
            </w:r>
          </w:p>
        </w:tc>
        <w:tc>
          <w:tcPr>
            <w:tcW w:w="600" w:type="dxa"/>
          </w:tcPr>
          <w:p>
            <w:pPr>
              <w:pStyle w:val="TableParagraph"/>
              <w:spacing w:line="203" w:lineRule="exact"/>
              <w:ind w:left="75" w:right="75"/>
              <w:rPr>
                <w:sz w:val="18"/>
              </w:rPr>
            </w:pPr>
            <w:r>
              <w:rPr>
                <w:color w:val="333333"/>
                <w:sz w:val="18"/>
              </w:rPr>
              <w:t>11</w:t>
            </w:r>
          </w:p>
        </w:tc>
        <w:tc>
          <w:tcPr>
            <w:tcW w:w="601" w:type="dxa"/>
          </w:tcPr>
          <w:p>
            <w:pPr>
              <w:pStyle w:val="TableParagraph"/>
              <w:spacing w:line="203" w:lineRule="exact"/>
              <w:ind w:left="75" w:right="75"/>
              <w:rPr>
                <w:sz w:val="18"/>
              </w:rPr>
            </w:pPr>
            <w:r>
              <w:rPr>
                <w:color w:val="333333"/>
                <w:sz w:val="18"/>
              </w:rPr>
              <w:t>13</w:t>
            </w:r>
          </w:p>
        </w:tc>
        <w:tc>
          <w:tcPr>
            <w:tcW w:w="600" w:type="dxa"/>
          </w:tcPr>
          <w:p>
            <w:pPr>
              <w:pStyle w:val="TableParagraph"/>
              <w:spacing w:line="203" w:lineRule="exact"/>
              <w:ind w:left="75" w:right="75"/>
              <w:rPr>
                <w:sz w:val="18"/>
              </w:rPr>
            </w:pPr>
            <w:r>
              <w:rPr>
                <w:color w:val="333333"/>
                <w:sz w:val="18"/>
              </w:rPr>
              <w:t>15</w:t>
            </w:r>
          </w:p>
        </w:tc>
        <w:tc>
          <w:tcPr>
            <w:tcW w:w="607" w:type="dxa"/>
          </w:tcPr>
          <w:p>
            <w:pPr>
              <w:pStyle w:val="TableParagraph"/>
              <w:spacing w:line="199" w:lineRule="exact"/>
              <w:ind w:left="64" w:right="62"/>
              <w:rPr>
                <w:b/>
                <w:sz w:val="18"/>
              </w:rPr>
            </w:pPr>
            <w:r>
              <w:rPr>
                <w:b/>
                <w:sz w:val="18"/>
              </w:rPr>
              <w:t>107</w:t>
            </w:r>
          </w:p>
        </w:tc>
      </w:tr>
      <w:tr>
        <w:trPr>
          <w:trHeight w:val="322" w:hRule="exact"/>
        </w:trPr>
        <w:tc>
          <w:tcPr>
            <w:tcW w:w="2801" w:type="dxa"/>
          </w:tcPr>
          <w:p>
            <w:pPr>
              <w:pStyle w:val="TableParagraph"/>
              <w:spacing w:line="206" w:lineRule="exact"/>
              <w:ind w:left="64"/>
              <w:jc w:val="left"/>
              <w:rPr>
                <w:sz w:val="18"/>
              </w:rPr>
            </w:pPr>
            <w:r>
              <w:rPr>
                <w:color w:val="333333"/>
                <w:sz w:val="18"/>
              </w:rPr>
              <w:t>TLALMANALCO</w:t>
            </w:r>
          </w:p>
        </w:tc>
        <w:tc>
          <w:tcPr>
            <w:tcW w:w="601" w:type="dxa"/>
          </w:tcPr>
          <w:p>
            <w:pPr>
              <w:pStyle w:val="TableParagraph"/>
              <w:spacing w:line="206" w:lineRule="exact"/>
              <w:rPr>
                <w:sz w:val="18"/>
              </w:rPr>
            </w:pPr>
            <w:r>
              <w:rPr>
                <w:color w:val="333333"/>
                <w:w w:val="99"/>
                <w:sz w:val="18"/>
              </w:rPr>
              <w:t>1</w:t>
            </w:r>
          </w:p>
        </w:tc>
        <w:tc>
          <w:tcPr>
            <w:tcW w:w="600" w:type="dxa"/>
          </w:tcPr>
          <w:p>
            <w:pPr>
              <w:pStyle w:val="TableParagraph"/>
              <w:spacing w:line="206" w:lineRule="exact"/>
              <w:ind w:right="192"/>
              <w:jc w:val="right"/>
              <w:rPr>
                <w:sz w:val="18"/>
              </w:rPr>
            </w:pPr>
            <w:r>
              <w:rPr>
                <w:color w:val="333333"/>
                <w:w w:val="95"/>
                <w:sz w:val="18"/>
              </w:rPr>
              <w:t>10</w:t>
            </w:r>
          </w:p>
        </w:tc>
        <w:tc>
          <w:tcPr>
            <w:tcW w:w="600" w:type="dxa"/>
          </w:tcPr>
          <w:p>
            <w:pPr>
              <w:pStyle w:val="TableParagraph"/>
              <w:spacing w:line="206" w:lineRule="exact"/>
              <w:rPr>
                <w:sz w:val="18"/>
              </w:rPr>
            </w:pPr>
            <w:r>
              <w:rPr>
                <w:color w:val="333333"/>
                <w:w w:val="99"/>
                <w:sz w:val="18"/>
              </w:rPr>
              <w:t>5</w:t>
            </w:r>
          </w:p>
        </w:tc>
        <w:tc>
          <w:tcPr>
            <w:tcW w:w="600" w:type="dxa"/>
          </w:tcPr>
          <w:p>
            <w:pPr>
              <w:pStyle w:val="TableParagraph"/>
              <w:spacing w:line="206" w:lineRule="exact"/>
              <w:ind w:left="75" w:right="75"/>
              <w:rPr>
                <w:sz w:val="18"/>
              </w:rPr>
            </w:pPr>
            <w:r>
              <w:rPr>
                <w:color w:val="333333"/>
                <w:sz w:val="18"/>
              </w:rPr>
              <w:t>23</w:t>
            </w:r>
          </w:p>
        </w:tc>
        <w:tc>
          <w:tcPr>
            <w:tcW w:w="600" w:type="dxa"/>
          </w:tcPr>
          <w:p>
            <w:pPr>
              <w:pStyle w:val="TableParagraph"/>
              <w:spacing w:line="206" w:lineRule="exact"/>
              <w:ind w:left="75" w:right="75"/>
              <w:rPr>
                <w:sz w:val="18"/>
              </w:rPr>
            </w:pPr>
            <w:r>
              <w:rPr>
                <w:color w:val="333333"/>
                <w:sz w:val="18"/>
              </w:rPr>
              <w:t>50</w:t>
            </w:r>
          </w:p>
        </w:tc>
        <w:tc>
          <w:tcPr>
            <w:tcW w:w="600" w:type="dxa"/>
          </w:tcPr>
          <w:p>
            <w:pPr>
              <w:pStyle w:val="TableParagraph"/>
              <w:spacing w:line="206" w:lineRule="exact"/>
              <w:ind w:left="75" w:right="75"/>
              <w:rPr>
                <w:sz w:val="18"/>
              </w:rPr>
            </w:pPr>
            <w:r>
              <w:rPr>
                <w:color w:val="333333"/>
                <w:sz w:val="18"/>
              </w:rPr>
              <w:t>59</w:t>
            </w:r>
          </w:p>
        </w:tc>
        <w:tc>
          <w:tcPr>
            <w:tcW w:w="600" w:type="dxa"/>
          </w:tcPr>
          <w:p>
            <w:pPr>
              <w:pStyle w:val="TableParagraph"/>
              <w:spacing w:line="206" w:lineRule="exact"/>
              <w:ind w:left="75" w:right="75"/>
              <w:rPr>
                <w:sz w:val="18"/>
              </w:rPr>
            </w:pPr>
            <w:r>
              <w:rPr>
                <w:color w:val="333333"/>
                <w:sz w:val="18"/>
              </w:rPr>
              <w:t>54</w:t>
            </w:r>
          </w:p>
        </w:tc>
        <w:tc>
          <w:tcPr>
            <w:tcW w:w="600" w:type="dxa"/>
          </w:tcPr>
          <w:p>
            <w:pPr>
              <w:pStyle w:val="TableParagraph"/>
              <w:spacing w:line="206" w:lineRule="exact"/>
              <w:ind w:left="75" w:right="75"/>
              <w:rPr>
                <w:sz w:val="18"/>
              </w:rPr>
            </w:pPr>
            <w:r>
              <w:rPr>
                <w:color w:val="333333"/>
                <w:sz w:val="18"/>
              </w:rPr>
              <w:t>21</w:t>
            </w:r>
          </w:p>
        </w:tc>
        <w:tc>
          <w:tcPr>
            <w:tcW w:w="600" w:type="dxa"/>
          </w:tcPr>
          <w:p>
            <w:pPr>
              <w:pStyle w:val="TableParagraph"/>
              <w:spacing w:line="206" w:lineRule="exact"/>
              <w:ind w:left="75" w:right="75"/>
              <w:rPr>
                <w:sz w:val="18"/>
              </w:rPr>
            </w:pPr>
            <w:r>
              <w:rPr>
                <w:color w:val="333333"/>
                <w:sz w:val="18"/>
              </w:rPr>
              <w:t>33</w:t>
            </w:r>
          </w:p>
        </w:tc>
        <w:tc>
          <w:tcPr>
            <w:tcW w:w="601" w:type="dxa"/>
          </w:tcPr>
          <w:p>
            <w:pPr>
              <w:pStyle w:val="TableParagraph"/>
              <w:spacing w:line="206" w:lineRule="exact"/>
              <w:ind w:left="75" w:right="75"/>
              <w:rPr>
                <w:sz w:val="18"/>
              </w:rPr>
            </w:pPr>
            <w:r>
              <w:rPr>
                <w:color w:val="333333"/>
                <w:sz w:val="18"/>
              </w:rPr>
              <w:t>20</w:t>
            </w:r>
          </w:p>
        </w:tc>
        <w:tc>
          <w:tcPr>
            <w:tcW w:w="600" w:type="dxa"/>
          </w:tcPr>
          <w:p>
            <w:pPr>
              <w:pStyle w:val="TableParagraph"/>
              <w:spacing w:line="206" w:lineRule="exact"/>
              <w:ind w:left="75" w:right="75"/>
              <w:rPr>
                <w:sz w:val="18"/>
              </w:rPr>
            </w:pPr>
            <w:r>
              <w:rPr>
                <w:color w:val="333333"/>
                <w:sz w:val="18"/>
              </w:rPr>
              <w:t>16</w:t>
            </w:r>
          </w:p>
        </w:tc>
        <w:tc>
          <w:tcPr>
            <w:tcW w:w="607" w:type="dxa"/>
          </w:tcPr>
          <w:p>
            <w:pPr>
              <w:pStyle w:val="TableParagraph"/>
              <w:spacing w:line="201" w:lineRule="exact"/>
              <w:ind w:left="64" w:right="62"/>
              <w:rPr>
                <w:b/>
                <w:sz w:val="18"/>
              </w:rPr>
            </w:pPr>
            <w:r>
              <w:rPr>
                <w:b/>
                <w:sz w:val="18"/>
              </w:rPr>
              <w:t>292</w:t>
            </w:r>
          </w:p>
        </w:tc>
      </w:tr>
      <w:tr>
        <w:trPr>
          <w:trHeight w:val="319" w:hRule="exact"/>
        </w:trPr>
        <w:tc>
          <w:tcPr>
            <w:tcW w:w="2801" w:type="dxa"/>
          </w:tcPr>
          <w:p>
            <w:pPr>
              <w:pStyle w:val="TableParagraph"/>
              <w:spacing w:line="203" w:lineRule="exact"/>
              <w:ind w:left="64"/>
              <w:jc w:val="left"/>
              <w:rPr>
                <w:sz w:val="18"/>
              </w:rPr>
            </w:pPr>
            <w:r>
              <w:rPr>
                <w:color w:val="333333"/>
                <w:sz w:val="18"/>
              </w:rPr>
              <w:t>TLALNEPANTLA DE BAZ</w:t>
            </w:r>
          </w:p>
        </w:tc>
        <w:tc>
          <w:tcPr>
            <w:tcW w:w="601" w:type="dxa"/>
          </w:tcPr>
          <w:p>
            <w:pPr>
              <w:pStyle w:val="TableParagraph"/>
              <w:spacing w:line="203" w:lineRule="exact"/>
              <w:rPr>
                <w:sz w:val="18"/>
              </w:rPr>
            </w:pPr>
            <w:r>
              <w:rPr>
                <w:color w:val="333333"/>
                <w:w w:val="99"/>
                <w:sz w:val="18"/>
              </w:rPr>
              <w:t>0</w:t>
            </w:r>
          </w:p>
        </w:tc>
        <w:tc>
          <w:tcPr>
            <w:tcW w:w="600" w:type="dxa"/>
          </w:tcPr>
          <w:p>
            <w:pPr>
              <w:pStyle w:val="TableParagraph"/>
              <w:spacing w:line="203" w:lineRule="exact"/>
              <w:ind w:right="243"/>
              <w:jc w:val="right"/>
              <w:rPr>
                <w:sz w:val="18"/>
              </w:rPr>
            </w:pPr>
            <w:r>
              <w:rPr>
                <w:color w:val="333333"/>
                <w:w w:val="99"/>
                <w:sz w:val="18"/>
              </w:rPr>
              <w:t>0</w:t>
            </w:r>
          </w:p>
        </w:tc>
        <w:tc>
          <w:tcPr>
            <w:tcW w:w="600" w:type="dxa"/>
          </w:tcPr>
          <w:p>
            <w:pPr>
              <w:pStyle w:val="TableParagraph"/>
              <w:spacing w:line="203" w:lineRule="exact"/>
              <w:ind w:left="75" w:right="75"/>
              <w:rPr>
                <w:sz w:val="18"/>
              </w:rPr>
            </w:pPr>
            <w:r>
              <w:rPr>
                <w:color w:val="333333"/>
                <w:sz w:val="18"/>
              </w:rPr>
              <w:t>29</w:t>
            </w:r>
          </w:p>
        </w:tc>
        <w:tc>
          <w:tcPr>
            <w:tcW w:w="600" w:type="dxa"/>
          </w:tcPr>
          <w:p>
            <w:pPr>
              <w:pStyle w:val="TableParagraph"/>
              <w:spacing w:line="203" w:lineRule="exact"/>
              <w:ind w:left="75" w:right="75"/>
              <w:rPr>
                <w:sz w:val="18"/>
              </w:rPr>
            </w:pPr>
            <w:r>
              <w:rPr>
                <w:color w:val="333333"/>
                <w:sz w:val="18"/>
              </w:rPr>
              <w:t>146</w:t>
            </w:r>
          </w:p>
        </w:tc>
        <w:tc>
          <w:tcPr>
            <w:tcW w:w="600" w:type="dxa"/>
          </w:tcPr>
          <w:p>
            <w:pPr>
              <w:pStyle w:val="TableParagraph"/>
              <w:spacing w:line="203" w:lineRule="exact"/>
              <w:ind w:left="75" w:right="75"/>
              <w:rPr>
                <w:sz w:val="18"/>
              </w:rPr>
            </w:pPr>
            <w:r>
              <w:rPr>
                <w:color w:val="333333"/>
                <w:sz w:val="18"/>
              </w:rPr>
              <w:t>285</w:t>
            </w:r>
          </w:p>
        </w:tc>
        <w:tc>
          <w:tcPr>
            <w:tcW w:w="600" w:type="dxa"/>
          </w:tcPr>
          <w:p>
            <w:pPr>
              <w:pStyle w:val="TableParagraph"/>
              <w:spacing w:line="203" w:lineRule="exact"/>
              <w:ind w:left="75" w:right="75"/>
              <w:rPr>
                <w:sz w:val="18"/>
              </w:rPr>
            </w:pPr>
            <w:r>
              <w:rPr>
                <w:color w:val="333333"/>
                <w:sz w:val="18"/>
              </w:rPr>
              <w:t>367</w:t>
            </w:r>
          </w:p>
        </w:tc>
        <w:tc>
          <w:tcPr>
            <w:tcW w:w="600" w:type="dxa"/>
          </w:tcPr>
          <w:p>
            <w:pPr>
              <w:pStyle w:val="TableParagraph"/>
              <w:spacing w:line="203" w:lineRule="exact"/>
              <w:ind w:left="75" w:right="75"/>
              <w:rPr>
                <w:sz w:val="18"/>
              </w:rPr>
            </w:pPr>
            <w:r>
              <w:rPr>
                <w:color w:val="333333"/>
                <w:sz w:val="18"/>
              </w:rPr>
              <w:t>520</w:t>
            </w:r>
          </w:p>
        </w:tc>
        <w:tc>
          <w:tcPr>
            <w:tcW w:w="600" w:type="dxa"/>
          </w:tcPr>
          <w:p>
            <w:pPr>
              <w:pStyle w:val="TableParagraph"/>
              <w:spacing w:line="203" w:lineRule="exact"/>
              <w:ind w:left="75" w:right="75"/>
              <w:rPr>
                <w:sz w:val="18"/>
              </w:rPr>
            </w:pPr>
            <w:r>
              <w:rPr>
                <w:color w:val="333333"/>
                <w:sz w:val="18"/>
              </w:rPr>
              <w:t>487</w:t>
            </w:r>
          </w:p>
        </w:tc>
        <w:tc>
          <w:tcPr>
            <w:tcW w:w="600" w:type="dxa"/>
          </w:tcPr>
          <w:p>
            <w:pPr>
              <w:pStyle w:val="TableParagraph"/>
              <w:spacing w:line="203" w:lineRule="exact"/>
              <w:ind w:left="75" w:right="75"/>
              <w:rPr>
                <w:sz w:val="18"/>
              </w:rPr>
            </w:pPr>
            <w:r>
              <w:rPr>
                <w:color w:val="333333"/>
                <w:sz w:val="18"/>
              </w:rPr>
              <w:t>636</w:t>
            </w:r>
          </w:p>
        </w:tc>
        <w:tc>
          <w:tcPr>
            <w:tcW w:w="601" w:type="dxa"/>
          </w:tcPr>
          <w:p>
            <w:pPr>
              <w:pStyle w:val="TableParagraph"/>
              <w:spacing w:line="203" w:lineRule="exact"/>
              <w:ind w:left="75" w:right="75"/>
              <w:rPr>
                <w:sz w:val="18"/>
              </w:rPr>
            </w:pPr>
            <w:r>
              <w:rPr>
                <w:color w:val="333333"/>
                <w:sz w:val="18"/>
              </w:rPr>
              <w:t>778</w:t>
            </w:r>
          </w:p>
        </w:tc>
        <w:tc>
          <w:tcPr>
            <w:tcW w:w="600" w:type="dxa"/>
          </w:tcPr>
          <w:p>
            <w:pPr>
              <w:pStyle w:val="TableParagraph"/>
              <w:spacing w:line="203" w:lineRule="exact"/>
              <w:ind w:left="75" w:right="75"/>
              <w:rPr>
                <w:sz w:val="18"/>
              </w:rPr>
            </w:pPr>
            <w:r>
              <w:rPr>
                <w:color w:val="333333"/>
                <w:sz w:val="18"/>
              </w:rPr>
              <w:t>651</w:t>
            </w:r>
          </w:p>
        </w:tc>
        <w:tc>
          <w:tcPr>
            <w:tcW w:w="607" w:type="dxa"/>
          </w:tcPr>
          <w:p>
            <w:pPr>
              <w:pStyle w:val="TableParagraph"/>
              <w:spacing w:line="199" w:lineRule="exact"/>
              <w:ind w:left="64" w:right="62"/>
              <w:rPr>
                <w:b/>
                <w:sz w:val="18"/>
              </w:rPr>
            </w:pPr>
            <w:r>
              <w:rPr>
                <w:b/>
                <w:sz w:val="18"/>
              </w:rPr>
              <w:t>3899</w:t>
            </w:r>
          </w:p>
        </w:tc>
      </w:tr>
      <w:tr>
        <w:trPr>
          <w:trHeight w:val="322" w:hRule="exact"/>
        </w:trPr>
        <w:tc>
          <w:tcPr>
            <w:tcW w:w="2801" w:type="dxa"/>
          </w:tcPr>
          <w:p>
            <w:pPr>
              <w:pStyle w:val="TableParagraph"/>
              <w:spacing w:line="206" w:lineRule="exact"/>
              <w:ind w:left="64"/>
              <w:jc w:val="left"/>
              <w:rPr>
                <w:sz w:val="18"/>
              </w:rPr>
            </w:pPr>
            <w:r>
              <w:rPr>
                <w:color w:val="333333"/>
                <w:sz w:val="18"/>
              </w:rPr>
              <w:t>TLATLAYA</w:t>
            </w:r>
          </w:p>
        </w:tc>
        <w:tc>
          <w:tcPr>
            <w:tcW w:w="601" w:type="dxa"/>
          </w:tcPr>
          <w:p>
            <w:pPr>
              <w:pStyle w:val="TableParagraph"/>
              <w:spacing w:line="206" w:lineRule="exact"/>
              <w:rPr>
                <w:sz w:val="18"/>
              </w:rPr>
            </w:pPr>
            <w:r>
              <w:rPr>
                <w:color w:val="333333"/>
                <w:w w:val="99"/>
                <w:sz w:val="18"/>
              </w:rPr>
              <w:t>0</w:t>
            </w:r>
          </w:p>
        </w:tc>
        <w:tc>
          <w:tcPr>
            <w:tcW w:w="600" w:type="dxa"/>
          </w:tcPr>
          <w:p>
            <w:pPr>
              <w:pStyle w:val="TableParagraph"/>
              <w:spacing w:line="206" w:lineRule="exact"/>
              <w:ind w:right="243"/>
              <w:jc w:val="right"/>
              <w:rPr>
                <w:sz w:val="18"/>
              </w:rPr>
            </w:pPr>
            <w:r>
              <w:rPr>
                <w:color w:val="333333"/>
                <w:w w:val="99"/>
                <w:sz w:val="18"/>
              </w:rPr>
              <w:t>0</w:t>
            </w:r>
          </w:p>
        </w:tc>
        <w:tc>
          <w:tcPr>
            <w:tcW w:w="600" w:type="dxa"/>
          </w:tcPr>
          <w:p>
            <w:pPr>
              <w:pStyle w:val="TableParagraph"/>
              <w:spacing w:line="206" w:lineRule="exact"/>
              <w:rPr>
                <w:sz w:val="18"/>
              </w:rPr>
            </w:pPr>
            <w:r>
              <w:rPr>
                <w:color w:val="333333"/>
                <w:w w:val="99"/>
                <w:sz w:val="18"/>
              </w:rPr>
              <w:t>1</w:t>
            </w:r>
          </w:p>
        </w:tc>
        <w:tc>
          <w:tcPr>
            <w:tcW w:w="600" w:type="dxa"/>
          </w:tcPr>
          <w:p>
            <w:pPr>
              <w:pStyle w:val="TableParagraph"/>
              <w:spacing w:line="206" w:lineRule="exact"/>
              <w:ind w:left="75" w:right="75"/>
              <w:rPr>
                <w:sz w:val="18"/>
              </w:rPr>
            </w:pPr>
            <w:r>
              <w:rPr>
                <w:color w:val="333333"/>
                <w:sz w:val="18"/>
              </w:rPr>
              <w:t>19</w:t>
            </w:r>
          </w:p>
        </w:tc>
        <w:tc>
          <w:tcPr>
            <w:tcW w:w="600" w:type="dxa"/>
          </w:tcPr>
          <w:p>
            <w:pPr>
              <w:pStyle w:val="TableParagraph"/>
              <w:spacing w:line="206" w:lineRule="exact"/>
              <w:ind w:left="75" w:right="75"/>
              <w:rPr>
                <w:sz w:val="18"/>
              </w:rPr>
            </w:pPr>
            <w:r>
              <w:rPr>
                <w:color w:val="333333"/>
                <w:sz w:val="18"/>
              </w:rPr>
              <w:t>10</w:t>
            </w:r>
          </w:p>
        </w:tc>
        <w:tc>
          <w:tcPr>
            <w:tcW w:w="600" w:type="dxa"/>
          </w:tcPr>
          <w:p>
            <w:pPr>
              <w:pStyle w:val="TableParagraph"/>
              <w:spacing w:line="206" w:lineRule="exact"/>
              <w:ind w:left="75" w:right="75"/>
              <w:rPr>
                <w:sz w:val="18"/>
              </w:rPr>
            </w:pPr>
            <w:r>
              <w:rPr>
                <w:color w:val="333333"/>
                <w:sz w:val="18"/>
              </w:rPr>
              <w:t>21</w:t>
            </w:r>
          </w:p>
        </w:tc>
        <w:tc>
          <w:tcPr>
            <w:tcW w:w="600" w:type="dxa"/>
          </w:tcPr>
          <w:p>
            <w:pPr>
              <w:pStyle w:val="TableParagraph"/>
              <w:spacing w:line="206" w:lineRule="exact"/>
              <w:ind w:left="75" w:right="75"/>
              <w:rPr>
                <w:sz w:val="18"/>
              </w:rPr>
            </w:pPr>
            <w:r>
              <w:rPr>
                <w:color w:val="333333"/>
                <w:sz w:val="18"/>
              </w:rPr>
              <w:t>19</w:t>
            </w:r>
          </w:p>
        </w:tc>
        <w:tc>
          <w:tcPr>
            <w:tcW w:w="600" w:type="dxa"/>
          </w:tcPr>
          <w:p>
            <w:pPr>
              <w:pStyle w:val="TableParagraph"/>
              <w:spacing w:line="206" w:lineRule="exact"/>
              <w:ind w:left="75" w:right="75"/>
              <w:rPr>
                <w:sz w:val="18"/>
              </w:rPr>
            </w:pPr>
            <w:r>
              <w:rPr>
                <w:color w:val="333333"/>
                <w:sz w:val="18"/>
              </w:rPr>
              <w:t>15</w:t>
            </w:r>
          </w:p>
        </w:tc>
        <w:tc>
          <w:tcPr>
            <w:tcW w:w="600" w:type="dxa"/>
          </w:tcPr>
          <w:p>
            <w:pPr>
              <w:pStyle w:val="TableParagraph"/>
              <w:spacing w:line="206" w:lineRule="exact"/>
              <w:ind w:left="75" w:right="75"/>
              <w:rPr>
                <w:sz w:val="18"/>
              </w:rPr>
            </w:pPr>
            <w:r>
              <w:rPr>
                <w:color w:val="333333"/>
                <w:sz w:val="18"/>
              </w:rPr>
              <w:t>17</w:t>
            </w:r>
          </w:p>
        </w:tc>
        <w:tc>
          <w:tcPr>
            <w:tcW w:w="601" w:type="dxa"/>
          </w:tcPr>
          <w:p>
            <w:pPr>
              <w:pStyle w:val="TableParagraph"/>
              <w:spacing w:line="206" w:lineRule="exact"/>
              <w:rPr>
                <w:sz w:val="18"/>
              </w:rPr>
            </w:pPr>
            <w:r>
              <w:rPr>
                <w:color w:val="333333"/>
                <w:w w:val="99"/>
                <w:sz w:val="18"/>
              </w:rPr>
              <w:t>5</w:t>
            </w:r>
          </w:p>
        </w:tc>
        <w:tc>
          <w:tcPr>
            <w:tcW w:w="600" w:type="dxa"/>
          </w:tcPr>
          <w:p>
            <w:pPr>
              <w:pStyle w:val="TableParagraph"/>
              <w:spacing w:line="206" w:lineRule="exact"/>
              <w:ind w:left="75" w:right="75"/>
              <w:rPr>
                <w:sz w:val="18"/>
              </w:rPr>
            </w:pPr>
            <w:r>
              <w:rPr>
                <w:color w:val="333333"/>
                <w:sz w:val="18"/>
              </w:rPr>
              <w:t>13</w:t>
            </w:r>
          </w:p>
        </w:tc>
        <w:tc>
          <w:tcPr>
            <w:tcW w:w="607" w:type="dxa"/>
          </w:tcPr>
          <w:p>
            <w:pPr>
              <w:pStyle w:val="TableParagraph"/>
              <w:spacing w:line="201" w:lineRule="exact"/>
              <w:ind w:left="64" w:right="62"/>
              <w:rPr>
                <w:b/>
                <w:sz w:val="18"/>
              </w:rPr>
            </w:pPr>
            <w:r>
              <w:rPr>
                <w:b/>
                <w:sz w:val="18"/>
              </w:rPr>
              <w:t>120</w:t>
            </w:r>
          </w:p>
        </w:tc>
      </w:tr>
    </w:tbl>
    <w:p>
      <w:pPr>
        <w:spacing w:after="0" w:line="201" w:lineRule="exact"/>
        <w:rPr>
          <w:sz w:val="18"/>
        </w:rPr>
        <w:sectPr>
          <w:pgSz w:w="12240" w:h="15840"/>
          <w:pgMar w:header="0" w:footer="975" w:top="1420" w:bottom="1160" w:left="960" w:right="1040"/>
        </w:sect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81"/>
        <w:gridCol w:w="542"/>
        <w:gridCol w:w="567"/>
        <w:gridCol w:w="641"/>
        <w:gridCol w:w="545"/>
        <w:gridCol w:w="694"/>
        <w:gridCol w:w="713"/>
        <w:gridCol w:w="708"/>
        <w:gridCol w:w="708"/>
        <w:gridCol w:w="641"/>
        <w:gridCol w:w="673"/>
        <w:gridCol w:w="686"/>
        <w:gridCol w:w="641"/>
      </w:tblGrid>
      <w:tr>
        <w:trPr>
          <w:trHeight w:val="321" w:hRule="exact"/>
        </w:trPr>
        <w:tc>
          <w:tcPr>
            <w:tcW w:w="10140" w:type="dxa"/>
            <w:gridSpan w:val="13"/>
            <w:shd w:val="clear" w:color="auto" w:fill="92D050"/>
          </w:tcPr>
          <w:p>
            <w:pPr>
              <w:pStyle w:val="TableParagraph"/>
              <w:spacing w:line="200" w:lineRule="exact"/>
              <w:ind w:left="365"/>
              <w:jc w:val="left"/>
              <w:rPr>
                <w:b/>
                <w:sz w:val="18"/>
              </w:rPr>
            </w:pPr>
            <w:r>
              <w:rPr>
                <w:b/>
                <w:sz w:val="18"/>
              </w:rPr>
              <w:t>Anexo 10. Solicitudes de información recibidas anualmente por los municipios de 2005 a 2015 (Termina tabla)</w:t>
            </w:r>
          </w:p>
        </w:tc>
      </w:tr>
      <w:tr>
        <w:trPr>
          <w:trHeight w:val="319" w:hRule="exact"/>
        </w:trPr>
        <w:tc>
          <w:tcPr>
            <w:tcW w:w="2381" w:type="dxa"/>
            <w:shd w:val="clear" w:color="auto" w:fill="92D050"/>
          </w:tcPr>
          <w:p>
            <w:pPr>
              <w:pStyle w:val="TableParagraph"/>
              <w:spacing w:line="199" w:lineRule="exact"/>
              <w:ind w:left="766" w:right="627"/>
              <w:jc w:val="left"/>
              <w:rPr>
                <w:b/>
                <w:sz w:val="18"/>
              </w:rPr>
            </w:pPr>
            <w:r>
              <w:rPr>
                <w:b/>
                <w:sz w:val="18"/>
              </w:rPr>
              <w:t>Municipio</w:t>
            </w:r>
          </w:p>
        </w:tc>
        <w:tc>
          <w:tcPr>
            <w:tcW w:w="1109" w:type="dxa"/>
            <w:gridSpan w:val="2"/>
            <w:shd w:val="clear" w:color="auto" w:fill="92D050"/>
          </w:tcPr>
          <w:p>
            <w:pPr>
              <w:pStyle w:val="TableParagraph"/>
              <w:spacing w:line="199" w:lineRule="exact"/>
              <w:ind w:left="64"/>
              <w:jc w:val="left"/>
              <w:rPr>
                <w:b/>
                <w:sz w:val="18"/>
              </w:rPr>
            </w:pPr>
            <w:r>
              <w:rPr>
                <w:b/>
                <w:sz w:val="18"/>
              </w:rPr>
              <w:t>2005  2006</w:t>
            </w:r>
          </w:p>
        </w:tc>
        <w:tc>
          <w:tcPr>
            <w:tcW w:w="641" w:type="dxa"/>
            <w:shd w:val="clear" w:color="auto" w:fill="92D050"/>
          </w:tcPr>
          <w:p>
            <w:pPr>
              <w:pStyle w:val="TableParagraph"/>
              <w:spacing w:line="199" w:lineRule="exact"/>
              <w:ind w:left="44" w:right="44"/>
              <w:rPr>
                <w:b/>
                <w:sz w:val="18"/>
              </w:rPr>
            </w:pPr>
            <w:r>
              <w:rPr>
                <w:b/>
                <w:sz w:val="18"/>
              </w:rPr>
              <w:t>2007</w:t>
            </w:r>
          </w:p>
        </w:tc>
        <w:tc>
          <w:tcPr>
            <w:tcW w:w="545" w:type="dxa"/>
            <w:shd w:val="clear" w:color="auto" w:fill="92D050"/>
          </w:tcPr>
          <w:p>
            <w:pPr>
              <w:pStyle w:val="TableParagraph"/>
              <w:spacing w:line="199" w:lineRule="exact"/>
              <w:ind w:left="47" w:right="47"/>
              <w:rPr>
                <w:b/>
                <w:sz w:val="18"/>
              </w:rPr>
            </w:pPr>
            <w:r>
              <w:rPr>
                <w:b/>
                <w:sz w:val="18"/>
              </w:rPr>
              <w:t>2008</w:t>
            </w:r>
          </w:p>
        </w:tc>
        <w:tc>
          <w:tcPr>
            <w:tcW w:w="694" w:type="dxa"/>
            <w:shd w:val="clear" w:color="auto" w:fill="92D050"/>
          </w:tcPr>
          <w:p>
            <w:pPr>
              <w:pStyle w:val="TableParagraph"/>
              <w:spacing w:line="199" w:lineRule="exact"/>
              <w:ind w:right="137"/>
              <w:jc w:val="right"/>
              <w:rPr>
                <w:b/>
                <w:sz w:val="18"/>
              </w:rPr>
            </w:pPr>
            <w:r>
              <w:rPr>
                <w:b/>
                <w:w w:val="95"/>
                <w:sz w:val="18"/>
              </w:rPr>
              <w:t>2009</w:t>
            </w:r>
          </w:p>
        </w:tc>
        <w:tc>
          <w:tcPr>
            <w:tcW w:w="713" w:type="dxa"/>
            <w:shd w:val="clear" w:color="auto" w:fill="92D050"/>
          </w:tcPr>
          <w:p>
            <w:pPr>
              <w:pStyle w:val="TableParagraph"/>
              <w:spacing w:line="199" w:lineRule="exact"/>
              <w:ind w:left="81" w:right="81"/>
              <w:rPr>
                <w:b/>
                <w:sz w:val="18"/>
              </w:rPr>
            </w:pPr>
            <w:r>
              <w:rPr>
                <w:b/>
                <w:sz w:val="18"/>
              </w:rPr>
              <w:t>2010</w:t>
            </w:r>
          </w:p>
        </w:tc>
        <w:tc>
          <w:tcPr>
            <w:tcW w:w="708" w:type="dxa"/>
            <w:shd w:val="clear" w:color="auto" w:fill="92D050"/>
          </w:tcPr>
          <w:p>
            <w:pPr>
              <w:pStyle w:val="TableParagraph"/>
              <w:spacing w:line="199" w:lineRule="exact"/>
              <w:ind w:left="78" w:right="77"/>
              <w:rPr>
                <w:b/>
                <w:sz w:val="18"/>
              </w:rPr>
            </w:pPr>
            <w:r>
              <w:rPr>
                <w:b/>
                <w:sz w:val="18"/>
              </w:rPr>
              <w:t>2011</w:t>
            </w:r>
          </w:p>
        </w:tc>
        <w:tc>
          <w:tcPr>
            <w:tcW w:w="708" w:type="dxa"/>
            <w:shd w:val="clear" w:color="auto" w:fill="92D050"/>
          </w:tcPr>
          <w:p>
            <w:pPr>
              <w:pStyle w:val="TableParagraph"/>
              <w:spacing w:line="199" w:lineRule="exact"/>
              <w:ind w:left="79" w:right="77"/>
              <w:rPr>
                <w:b/>
                <w:sz w:val="18"/>
              </w:rPr>
            </w:pPr>
            <w:r>
              <w:rPr>
                <w:b/>
                <w:sz w:val="18"/>
              </w:rPr>
              <w:t>2012</w:t>
            </w:r>
          </w:p>
        </w:tc>
        <w:tc>
          <w:tcPr>
            <w:tcW w:w="641" w:type="dxa"/>
            <w:shd w:val="clear" w:color="auto" w:fill="92D050"/>
          </w:tcPr>
          <w:p>
            <w:pPr>
              <w:pStyle w:val="TableParagraph"/>
              <w:spacing w:line="199" w:lineRule="exact"/>
              <w:ind w:left="46" w:right="44"/>
              <w:rPr>
                <w:b/>
                <w:sz w:val="18"/>
              </w:rPr>
            </w:pPr>
            <w:r>
              <w:rPr>
                <w:b/>
                <w:sz w:val="18"/>
              </w:rPr>
              <w:t>2013</w:t>
            </w:r>
          </w:p>
        </w:tc>
        <w:tc>
          <w:tcPr>
            <w:tcW w:w="673" w:type="dxa"/>
            <w:shd w:val="clear" w:color="auto" w:fill="92D050"/>
          </w:tcPr>
          <w:p>
            <w:pPr>
              <w:pStyle w:val="TableParagraph"/>
              <w:spacing w:line="199" w:lineRule="exact"/>
              <w:ind w:left="111" w:right="111"/>
              <w:rPr>
                <w:b/>
                <w:sz w:val="18"/>
              </w:rPr>
            </w:pPr>
            <w:r>
              <w:rPr>
                <w:b/>
                <w:sz w:val="18"/>
              </w:rPr>
              <w:t>2014</w:t>
            </w:r>
          </w:p>
        </w:tc>
        <w:tc>
          <w:tcPr>
            <w:tcW w:w="686" w:type="dxa"/>
            <w:shd w:val="clear" w:color="auto" w:fill="92D050"/>
          </w:tcPr>
          <w:p>
            <w:pPr>
              <w:pStyle w:val="TableParagraph"/>
              <w:spacing w:line="199" w:lineRule="exact"/>
              <w:ind w:left="118" w:right="118"/>
              <w:rPr>
                <w:b/>
                <w:sz w:val="18"/>
              </w:rPr>
            </w:pPr>
            <w:r>
              <w:rPr>
                <w:b/>
                <w:sz w:val="18"/>
              </w:rPr>
              <w:t>2015</w:t>
            </w:r>
          </w:p>
        </w:tc>
        <w:tc>
          <w:tcPr>
            <w:tcW w:w="641" w:type="dxa"/>
            <w:shd w:val="clear" w:color="auto" w:fill="92D050"/>
          </w:tcPr>
          <w:p>
            <w:pPr>
              <w:pStyle w:val="TableParagraph"/>
              <w:spacing w:line="199" w:lineRule="exact"/>
              <w:ind w:left="45" w:right="44"/>
              <w:rPr>
                <w:b/>
                <w:sz w:val="18"/>
              </w:rPr>
            </w:pPr>
            <w:r>
              <w:rPr>
                <w:b/>
                <w:sz w:val="18"/>
              </w:rPr>
              <w:t>Total</w:t>
            </w:r>
          </w:p>
        </w:tc>
      </w:tr>
      <w:tr>
        <w:trPr>
          <w:trHeight w:val="322" w:hRule="exact"/>
        </w:trPr>
        <w:tc>
          <w:tcPr>
            <w:tcW w:w="2381" w:type="dxa"/>
          </w:tcPr>
          <w:p>
            <w:pPr>
              <w:pStyle w:val="TableParagraph"/>
              <w:spacing w:line="206" w:lineRule="exact"/>
              <w:ind w:left="64" w:right="627"/>
              <w:jc w:val="left"/>
              <w:rPr>
                <w:sz w:val="18"/>
              </w:rPr>
            </w:pPr>
            <w:r>
              <w:rPr>
                <w:color w:val="333333"/>
                <w:sz w:val="18"/>
              </w:rPr>
              <w:t>TOLUCA</w:t>
            </w:r>
          </w:p>
        </w:tc>
        <w:tc>
          <w:tcPr>
            <w:tcW w:w="542" w:type="dxa"/>
          </w:tcPr>
          <w:p>
            <w:pPr>
              <w:pStyle w:val="TableParagraph"/>
              <w:spacing w:line="206" w:lineRule="exact"/>
              <w:ind w:right="3"/>
              <w:rPr>
                <w:sz w:val="18"/>
              </w:rPr>
            </w:pPr>
            <w:r>
              <w:rPr>
                <w:color w:val="333333"/>
                <w:w w:val="99"/>
                <w:sz w:val="18"/>
              </w:rPr>
              <w:t>0</w:t>
            </w:r>
          </w:p>
        </w:tc>
        <w:tc>
          <w:tcPr>
            <w:tcW w:w="567" w:type="dxa"/>
          </w:tcPr>
          <w:p>
            <w:pPr>
              <w:pStyle w:val="TableParagraph"/>
              <w:spacing w:line="206" w:lineRule="exact"/>
              <w:ind w:right="2"/>
              <w:rPr>
                <w:sz w:val="18"/>
              </w:rPr>
            </w:pPr>
            <w:r>
              <w:rPr>
                <w:color w:val="333333"/>
                <w:w w:val="99"/>
                <w:sz w:val="18"/>
              </w:rPr>
              <w:t>0</w:t>
            </w:r>
          </w:p>
        </w:tc>
        <w:tc>
          <w:tcPr>
            <w:tcW w:w="641" w:type="dxa"/>
          </w:tcPr>
          <w:p>
            <w:pPr>
              <w:pStyle w:val="TableParagraph"/>
              <w:spacing w:line="206" w:lineRule="exact"/>
              <w:ind w:left="44" w:right="44"/>
              <w:rPr>
                <w:sz w:val="18"/>
              </w:rPr>
            </w:pPr>
            <w:r>
              <w:rPr>
                <w:color w:val="333333"/>
                <w:sz w:val="18"/>
              </w:rPr>
              <w:t>132</w:t>
            </w:r>
          </w:p>
        </w:tc>
        <w:tc>
          <w:tcPr>
            <w:tcW w:w="545" w:type="dxa"/>
          </w:tcPr>
          <w:p>
            <w:pPr>
              <w:pStyle w:val="TableParagraph"/>
              <w:spacing w:line="206" w:lineRule="exact"/>
              <w:ind w:left="47" w:right="47"/>
              <w:rPr>
                <w:sz w:val="18"/>
              </w:rPr>
            </w:pPr>
            <w:r>
              <w:rPr>
                <w:color w:val="333333"/>
                <w:sz w:val="18"/>
              </w:rPr>
              <w:t>316</w:t>
            </w:r>
          </w:p>
        </w:tc>
        <w:tc>
          <w:tcPr>
            <w:tcW w:w="694" w:type="dxa"/>
          </w:tcPr>
          <w:p>
            <w:pPr>
              <w:pStyle w:val="TableParagraph"/>
              <w:spacing w:line="206" w:lineRule="exact"/>
              <w:ind w:right="187"/>
              <w:jc w:val="right"/>
              <w:rPr>
                <w:sz w:val="18"/>
              </w:rPr>
            </w:pPr>
            <w:r>
              <w:rPr>
                <w:color w:val="333333"/>
                <w:w w:val="95"/>
                <w:sz w:val="18"/>
              </w:rPr>
              <w:t>371</w:t>
            </w:r>
          </w:p>
        </w:tc>
        <w:tc>
          <w:tcPr>
            <w:tcW w:w="713" w:type="dxa"/>
          </w:tcPr>
          <w:p>
            <w:pPr>
              <w:pStyle w:val="TableParagraph"/>
              <w:spacing w:line="206" w:lineRule="exact"/>
              <w:ind w:left="81" w:right="81"/>
              <w:rPr>
                <w:sz w:val="18"/>
              </w:rPr>
            </w:pPr>
            <w:r>
              <w:rPr>
                <w:color w:val="333333"/>
                <w:sz w:val="18"/>
              </w:rPr>
              <w:t>642</w:t>
            </w:r>
          </w:p>
        </w:tc>
        <w:tc>
          <w:tcPr>
            <w:tcW w:w="708" w:type="dxa"/>
          </w:tcPr>
          <w:p>
            <w:pPr>
              <w:pStyle w:val="TableParagraph"/>
              <w:spacing w:line="206" w:lineRule="exact"/>
              <w:ind w:left="79" w:right="77"/>
              <w:rPr>
                <w:sz w:val="18"/>
              </w:rPr>
            </w:pPr>
            <w:r>
              <w:rPr>
                <w:color w:val="333333"/>
                <w:sz w:val="18"/>
              </w:rPr>
              <w:t>598</w:t>
            </w:r>
          </w:p>
        </w:tc>
        <w:tc>
          <w:tcPr>
            <w:tcW w:w="708" w:type="dxa"/>
          </w:tcPr>
          <w:p>
            <w:pPr>
              <w:pStyle w:val="TableParagraph"/>
              <w:spacing w:line="206" w:lineRule="exact"/>
              <w:ind w:left="79" w:right="77"/>
              <w:rPr>
                <w:sz w:val="18"/>
              </w:rPr>
            </w:pPr>
            <w:r>
              <w:rPr>
                <w:color w:val="333333"/>
                <w:sz w:val="18"/>
              </w:rPr>
              <w:t>378</w:t>
            </w:r>
          </w:p>
        </w:tc>
        <w:tc>
          <w:tcPr>
            <w:tcW w:w="641" w:type="dxa"/>
          </w:tcPr>
          <w:p>
            <w:pPr>
              <w:pStyle w:val="TableParagraph"/>
              <w:spacing w:line="206" w:lineRule="exact"/>
              <w:ind w:left="46" w:right="44"/>
              <w:rPr>
                <w:sz w:val="18"/>
              </w:rPr>
            </w:pPr>
            <w:r>
              <w:rPr>
                <w:color w:val="333333"/>
                <w:sz w:val="18"/>
              </w:rPr>
              <w:t>1200</w:t>
            </w:r>
          </w:p>
        </w:tc>
        <w:tc>
          <w:tcPr>
            <w:tcW w:w="673" w:type="dxa"/>
          </w:tcPr>
          <w:p>
            <w:pPr>
              <w:pStyle w:val="TableParagraph"/>
              <w:spacing w:line="206" w:lineRule="exact"/>
              <w:ind w:left="111" w:right="111"/>
              <w:rPr>
                <w:sz w:val="18"/>
              </w:rPr>
            </w:pPr>
            <w:r>
              <w:rPr>
                <w:color w:val="333333"/>
                <w:sz w:val="18"/>
              </w:rPr>
              <w:t>779</w:t>
            </w:r>
          </w:p>
        </w:tc>
        <w:tc>
          <w:tcPr>
            <w:tcW w:w="686" w:type="dxa"/>
          </w:tcPr>
          <w:p>
            <w:pPr>
              <w:pStyle w:val="TableParagraph"/>
              <w:spacing w:line="206" w:lineRule="exact"/>
              <w:ind w:left="118" w:right="118"/>
              <w:rPr>
                <w:sz w:val="18"/>
              </w:rPr>
            </w:pPr>
            <w:r>
              <w:rPr>
                <w:color w:val="333333"/>
                <w:sz w:val="18"/>
              </w:rPr>
              <w:t>318</w:t>
            </w:r>
          </w:p>
        </w:tc>
        <w:tc>
          <w:tcPr>
            <w:tcW w:w="641" w:type="dxa"/>
          </w:tcPr>
          <w:p>
            <w:pPr>
              <w:pStyle w:val="TableParagraph"/>
              <w:spacing w:line="201" w:lineRule="exact"/>
              <w:ind w:left="46" w:right="44"/>
              <w:rPr>
                <w:b/>
                <w:sz w:val="18"/>
              </w:rPr>
            </w:pPr>
            <w:r>
              <w:rPr>
                <w:b/>
                <w:sz w:val="18"/>
              </w:rPr>
              <w:t>4734</w:t>
            </w:r>
          </w:p>
        </w:tc>
      </w:tr>
      <w:tr>
        <w:trPr>
          <w:trHeight w:val="322" w:hRule="exact"/>
        </w:trPr>
        <w:tc>
          <w:tcPr>
            <w:tcW w:w="2381" w:type="dxa"/>
          </w:tcPr>
          <w:p>
            <w:pPr>
              <w:pStyle w:val="TableParagraph"/>
              <w:spacing w:line="203" w:lineRule="exact"/>
              <w:ind w:left="64" w:right="627"/>
              <w:jc w:val="left"/>
              <w:rPr>
                <w:sz w:val="18"/>
              </w:rPr>
            </w:pPr>
            <w:r>
              <w:rPr>
                <w:color w:val="333333"/>
                <w:sz w:val="18"/>
              </w:rPr>
              <w:t>TONANITLA</w:t>
            </w:r>
          </w:p>
        </w:tc>
        <w:tc>
          <w:tcPr>
            <w:tcW w:w="542" w:type="dxa"/>
          </w:tcPr>
          <w:p>
            <w:pPr>
              <w:pStyle w:val="TableParagraph"/>
              <w:spacing w:line="203" w:lineRule="exact"/>
              <w:ind w:right="3"/>
              <w:rPr>
                <w:sz w:val="18"/>
              </w:rPr>
            </w:pPr>
            <w:r>
              <w:rPr>
                <w:color w:val="333333"/>
                <w:w w:val="99"/>
                <w:sz w:val="18"/>
              </w:rPr>
              <w:t>0</w:t>
            </w:r>
          </w:p>
        </w:tc>
        <w:tc>
          <w:tcPr>
            <w:tcW w:w="567" w:type="dxa"/>
          </w:tcPr>
          <w:p>
            <w:pPr>
              <w:pStyle w:val="TableParagraph"/>
              <w:spacing w:line="203" w:lineRule="exact"/>
              <w:ind w:right="2"/>
              <w:rPr>
                <w:sz w:val="18"/>
              </w:rPr>
            </w:pPr>
            <w:r>
              <w:rPr>
                <w:color w:val="333333"/>
                <w:w w:val="99"/>
                <w:sz w:val="18"/>
              </w:rPr>
              <w:t>0</w:t>
            </w:r>
          </w:p>
        </w:tc>
        <w:tc>
          <w:tcPr>
            <w:tcW w:w="641" w:type="dxa"/>
          </w:tcPr>
          <w:p>
            <w:pPr>
              <w:pStyle w:val="TableParagraph"/>
              <w:spacing w:line="203" w:lineRule="exact"/>
              <w:ind w:right="1"/>
              <w:rPr>
                <w:sz w:val="18"/>
              </w:rPr>
            </w:pPr>
            <w:r>
              <w:rPr>
                <w:color w:val="333333"/>
                <w:w w:val="99"/>
                <w:sz w:val="18"/>
              </w:rPr>
              <w:t>0</w:t>
            </w:r>
          </w:p>
        </w:tc>
        <w:tc>
          <w:tcPr>
            <w:tcW w:w="545" w:type="dxa"/>
          </w:tcPr>
          <w:p>
            <w:pPr>
              <w:pStyle w:val="TableParagraph"/>
              <w:spacing w:line="203" w:lineRule="exact"/>
              <w:ind w:right="5"/>
              <w:rPr>
                <w:sz w:val="18"/>
              </w:rPr>
            </w:pPr>
            <w:r>
              <w:rPr>
                <w:color w:val="333333"/>
                <w:w w:val="99"/>
                <w:sz w:val="18"/>
              </w:rPr>
              <w:t>9</w:t>
            </w:r>
          </w:p>
        </w:tc>
        <w:tc>
          <w:tcPr>
            <w:tcW w:w="694" w:type="dxa"/>
          </w:tcPr>
          <w:p>
            <w:pPr>
              <w:pStyle w:val="TableParagraph"/>
              <w:spacing w:line="203" w:lineRule="exact"/>
              <w:ind w:right="239"/>
              <w:jc w:val="right"/>
              <w:rPr>
                <w:sz w:val="18"/>
              </w:rPr>
            </w:pPr>
            <w:r>
              <w:rPr>
                <w:color w:val="333333"/>
                <w:w w:val="95"/>
                <w:sz w:val="18"/>
              </w:rPr>
              <w:t>17</w:t>
            </w:r>
          </w:p>
        </w:tc>
        <w:tc>
          <w:tcPr>
            <w:tcW w:w="713" w:type="dxa"/>
          </w:tcPr>
          <w:p>
            <w:pPr>
              <w:pStyle w:val="TableParagraph"/>
              <w:spacing w:line="203" w:lineRule="exact"/>
              <w:ind w:left="81" w:right="81"/>
              <w:rPr>
                <w:sz w:val="18"/>
              </w:rPr>
            </w:pPr>
            <w:r>
              <w:rPr>
                <w:color w:val="333333"/>
                <w:sz w:val="18"/>
              </w:rPr>
              <w:t>23</w:t>
            </w:r>
          </w:p>
        </w:tc>
        <w:tc>
          <w:tcPr>
            <w:tcW w:w="708" w:type="dxa"/>
          </w:tcPr>
          <w:p>
            <w:pPr>
              <w:pStyle w:val="TableParagraph"/>
              <w:spacing w:line="203" w:lineRule="exact"/>
              <w:ind w:left="79" w:right="77"/>
              <w:rPr>
                <w:sz w:val="18"/>
              </w:rPr>
            </w:pPr>
            <w:r>
              <w:rPr>
                <w:color w:val="333333"/>
                <w:sz w:val="18"/>
              </w:rPr>
              <w:t>18</w:t>
            </w:r>
          </w:p>
        </w:tc>
        <w:tc>
          <w:tcPr>
            <w:tcW w:w="708" w:type="dxa"/>
          </w:tcPr>
          <w:p>
            <w:pPr>
              <w:pStyle w:val="TableParagraph"/>
              <w:spacing w:line="203" w:lineRule="exact"/>
              <w:ind w:left="79" w:right="77"/>
              <w:rPr>
                <w:sz w:val="18"/>
              </w:rPr>
            </w:pPr>
            <w:r>
              <w:rPr>
                <w:color w:val="333333"/>
                <w:sz w:val="18"/>
              </w:rPr>
              <w:t>33</w:t>
            </w:r>
          </w:p>
        </w:tc>
        <w:tc>
          <w:tcPr>
            <w:tcW w:w="641" w:type="dxa"/>
          </w:tcPr>
          <w:p>
            <w:pPr>
              <w:pStyle w:val="TableParagraph"/>
              <w:spacing w:line="203" w:lineRule="exact"/>
              <w:ind w:left="46" w:right="44"/>
              <w:rPr>
                <w:sz w:val="18"/>
              </w:rPr>
            </w:pPr>
            <w:r>
              <w:rPr>
                <w:color w:val="333333"/>
                <w:sz w:val="18"/>
              </w:rPr>
              <w:t>28</w:t>
            </w:r>
          </w:p>
        </w:tc>
        <w:tc>
          <w:tcPr>
            <w:tcW w:w="673" w:type="dxa"/>
          </w:tcPr>
          <w:p>
            <w:pPr>
              <w:pStyle w:val="TableParagraph"/>
              <w:spacing w:line="203" w:lineRule="exact"/>
              <w:rPr>
                <w:sz w:val="18"/>
              </w:rPr>
            </w:pPr>
            <w:r>
              <w:rPr>
                <w:color w:val="333333"/>
                <w:w w:val="99"/>
                <w:sz w:val="18"/>
              </w:rPr>
              <w:t>9</w:t>
            </w:r>
          </w:p>
        </w:tc>
        <w:tc>
          <w:tcPr>
            <w:tcW w:w="686" w:type="dxa"/>
          </w:tcPr>
          <w:p>
            <w:pPr>
              <w:pStyle w:val="TableParagraph"/>
              <w:spacing w:line="203" w:lineRule="exact"/>
              <w:ind w:left="118" w:right="118"/>
              <w:rPr>
                <w:sz w:val="18"/>
              </w:rPr>
            </w:pPr>
            <w:r>
              <w:rPr>
                <w:color w:val="333333"/>
                <w:sz w:val="18"/>
              </w:rPr>
              <w:t>12</w:t>
            </w:r>
          </w:p>
        </w:tc>
        <w:tc>
          <w:tcPr>
            <w:tcW w:w="641" w:type="dxa"/>
          </w:tcPr>
          <w:p>
            <w:pPr>
              <w:pStyle w:val="TableParagraph"/>
              <w:spacing w:line="199" w:lineRule="exact"/>
              <w:ind w:left="46" w:right="44"/>
              <w:rPr>
                <w:b/>
                <w:sz w:val="18"/>
              </w:rPr>
            </w:pPr>
            <w:r>
              <w:rPr>
                <w:b/>
                <w:sz w:val="18"/>
              </w:rPr>
              <w:t>149</w:t>
            </w:r>
          </w:p>
        </w:tc>
      </w:tr>
      <w:tr>
        <w:trPr>
          <w:trHeight w:val="319" w:hRule="exact"/>
        </w:trPr>
        <w:tc>
          <w:tcPr>
            <w:tcW w:w="2381" w:type="dxa"/>
          </w:tcPr>
          <w:p>
            <w:pPr>
              <w:pStyle w:val="TableParagraph"/>
              <w:spacing w:line="203" w:lineRule="exact"/>
              <w:ind w:left="64" w:right="627"/>
              <w:jc w:val="left"/>
              <w:rPr>
                <w:sz w:val="18"/>
              </w:rPr>
            </w:pPr>
            <w:r>
              <w:rPr>
                <w:color w:val="333333"/>
                <w:sz w:val="18"/>
              </w:rPr>
              <w:t>TONATICO</w:t>
            </w:r>
          </w:p>
        </w:tc>
        <w:tc>
          <w:tcPr>
            <w:tcW w:w="542" w:type="dxa"/>
          </w:tcPr>
          <w:p>
            <w:pPr>
              <w:pStyle w:val="TableParagraph"/>
              <w:spacing w:line="203" w:lineRule="exact"/>
              <w:ind w:right="3"/>
              <w:rPr>
                <w:sz w:val="18"/>
              </w:rPr>
            </w:pPr>
            <w:r>
              <w:rPr>
                <w:color w:val="333333"/>
                <w:w w:val="99"/>
                <w:sz w:val="18"/>
              </w:rPr>
              <w:t>0</w:t>
            </w:r>
          </w:p>
        </w:tc>
        <w:tc>
          <w:tcPr>
            <w:tcW w:w="567" w:type="dxa"/>
          </w:tcPr>
          <w:p>
            <w:pPr>
              <w:pStyle w:val="TableParagraph"/>
              <w:spacing w:line="203" w:lineRule="exact"/>
              <w:ind w:right="2"/>
              <w:rPr>
                <w:sz w:val="18"/>
              </w:rPr>
            </w:pPr>
            <w:r>
              <w:rPr>
                <w:color w:val="333333"/>
                <w:w w:val="99"/>
                <w:sz w:val="18"/>
              </w:rPr>
              <w:t>0</w:t>
            </w:r>
          </w:p>
        </w:tc>
        <w:tc>
          <w:tcPr>
            <w:tcW w:w="641" w:type="dxa"/>
          </w:tcPr>
          <w:p>
            <w:pPr>
              <w:pStyle w:val="TableParagraph"/>
              <w:spacing w:line="203" w:lineRule="exact"/>
              <w:ind w:right="1"/>
              <w:rPr>
                <w:sz w:val="18"/>
              </w:rPr>
            </w:pPr>
            <w:r>
              <w:rPr>
                <w:color w:val="333333"/>
                <w:w w:val="99"/>
                <w:sz w:val="18"/>
              </w:rPr>
              <w:t>0</w:t>
            </w:r>
          </w:p>
        </w:tc>
        <w:tc>
          <w:tcPr>
            <w:tcW w:w="545" w:type="dxa"/>
          </w:tcPr>
          <w:p>
            <w:pPr>
              <w:pStyle w:val="TableParagraph"/>
              <w:spacing w:line="203" w:lineRule="exact"/>
              <w:ind w:right="5"/>
              <w:rPr>
                <w:sz w:val="18"/>
              </w:rPr>
            </w:pPr>
            <w:r>
              <w:rPr>
                <w:color w:val="333333"/>
                <w:w w:val="99"/>
                <w:sz w:val="18"/>
              </w:rPr>
              <w:t>9</w:t>
            </w:r>
          </w:p>
        </w:tc>
        <w:tc>
          <w:tcPr>
            <w:tcW w:w="694" w:type="dxa"/>
          </w:tcPr>
          <w:p>
            <w:pPr>
              <w:pStyle w:val="TableParagraph"/>
              <w:spacing w:line="203" w:lineRule="exact"/>
              <w:ind w:right="1"/>
              <w:rPr>
                <w:sz w:val="18"/>
              </w:rPr>
            </w:pPr>
            <w:r>
              <w:rPr>
                <w:color w:val="333333"/>
                <w:w w:val="99"/>
                <w:sz w:val="18"/>
              </w:rPr>
              <w:t>8</w:t>
            </w:r>
          </w:p>
        </w:tc>
        <w:tc>
          <w:tcPr>
            <w:tcW w:w="713" w:type="dxa"/>
          </w:tcPr>
          <w:p>
            <w:pPr>
              <w:pStyle w:val="TableParagraph"/>
              <w:spacing w:line="203" w:lineRule="exact"/>
              <w:ind w:left="81" w:right="81"/>
              <w:rPr>
                <w:sz w:val="18"/>
              </w:rPr>
            </w:pPr>
            <w:r>
              <w:rPr>
                <w:color w:val="333333"/>
                <w:sz w:val="18"/>
              </w:rPr>
              <w:t>31</w:t>
            </w:r>
          </w:p>
        </w:tc>
        <w:tc>
          <w:tcPr>
            <w:tcW w:w="708" w:type="dxa"/>
          </w:tcPr>
          <w:p>
            <w:pPr>
              <w:pStyle w:val="TableParagraph"/>
              <w:spacing w:line="203" w:lineRule="exact"/>
              <w:ind w:left="79" w:right="77"/>
              <w:rPr>
                <w:sz w:val="18"/>
              </w:rPr>
            </w:pPr>
            <w:r>
              <w:rPr>
                <w:color w:val="333333"/>
                <w:sz w:val="18"/>
              </w:rPr>
              <w:t>28</w:t>
            </w:r>
          </w:p>
        </w:tc>
        <w:tc>
          <w:tcPr>
            <w:tcW w:w="708" w:type="dxa"/>
          </w:tcPr>
          <w:p>
            <w:pPr>
              <w:pStyle w:val="TableParagraph"/>
              <w:spacing w:line="203" w:lineRule="exact"/>
              <w:ind w:left="79" w:right="77"/>
              <w:rPr>
                <w:sz w:val="18"/>
              </w:rPr>
            </w:pPr>
            <w:r>
              <w:rPr>
                <w:color w:val="333333"/>
                <w:sz w:val="18"/>
              </w:rPr>
              <w:t>15</w:t>
            </w:r>
          </w:p>
        </w:tc>
        <w:tc>
          <w:tcPr>
            <w:tcW w:w="641" w:type="dxa"/>
          </w:tcPr>
          <w:p>
            <w:pPr>
              <w:pStyle w:val="TableParagraph"/>
              <w:spacing w:line="203" w:lineRule="exact"/>
              <w:ind w:left="46" w:right="44"/>
              <w:rPr>
                <w:sz w:val="18"/>
              </w:rPr>
            </w:pPr>
            <w:r>
              <w:rPr>
                <w:color w:val="333333"/>
                <w:sz w:val="18"/>
              </w:rPr>
              <w:t>23</w:t>
            </w:r>
          </w:p>
        </w:tc>
        <w:tc>
          <w:tcPr>
            <w:tcW w:w="673" w:type="dxa"/>
          </w:tcPr>
          <w:p>
            <w:pPr>
              <w:pStyle w:val="TableParagraph"/>
              <w:spacing w:line="203" w:lineRule="exact"/>
              <w:ind w:left="111" w:right="111"/>
              <w:rPr>
                <w:sz w:val="18"/>
              </w:rPr>
            </w:pPr>
            <w:r>
              <w:rPr>
                <w:color w:val="333333"/>
                <w:sz w:val="18"/>
              </w:rPr>
              <w:t>15</w:t>
            </w:r>
          </w:p>
        </w:tc>
        <w:tc>
          <w:tcPr>
            <w:tcW w:w="686" w:type="dxa"/>
          </w:tcPr>
          <w:p>
            <w:pPr>
              <w:pStyle w:val="TableParagraph"/>
              <w:spacing w:line="203" w:lineRule="exact"/>
              <w:ind w:left="118" w:right="118"/>
              <w:rPr>
                <w:sz w:val="18"/>
              </w:rPr>
            </w:pPr>
            <w:r>
              <w:rPr>
                <w:color w:val="333333"/>
                <w:sz w:val="18"/>
              </w:rPr>
              <w:t>10</w:t>
            </w:r>
          </w:p>
        </w:tc>
        <w:tc>
          <w:tcPr>
            <w:tcW w:w="641" w:type="dxa"/>
          </w:tcPr>
          <w:p>
            <w:pPr>
              <w:pStyle w:val="TableParagraph"/>
              <w:spacing w:line="199" w:lineRule="exact"/>
              <w:ind w:left="46" w:right="44"/>
              <w:rPr>
                <w:b/>
                <w:sz w:val="18"/>
              </w:rPr>
            </w:pPr>
            <w:r>
              <w:rPr>
                <w:b/>
                <w:sz w:val="18"/>
              </w:rPr>
              <w:t>139</w:t>
            </w:r>
          </w:p>
        </w:tc>
      </w:tr>
      <w:tr>
        <w:trPr>
          <w:trHeight w:val="322" w:hRule="exact"/>
        </w:trPr>
        <w:tc>
          <w:tcPr>
            <w:tcW w:w="2381" w:type="dxa"/>
          </w:tcPr>
          <w:p>
            <w:pPr>
              <w:pStyle w:val="TableParagraph"/>
              <w:spacing w:line="203" w:lineRule="exact"/>
              <w:ind w:left="64" w:right="627"/>
              <w:jc w:val="left"/>
              <w:rPr>
                <w:sz w:val="18"/>
              </w:rPr>
            </w:pPr>
            <w:r>
              <w:rPr>
                <w:color w:val="333333"/>
                <w:sz w:val="18"/>
              </w:rPr>
              <w:t>TULTEPEC</w:t>
            </w:r>
          </w:p>
        </w:tc>
        <w:tc>
          <w:tcPr>
            <w:tcW w:w="542" w:type="dxa"/>
          </w:tcPr>
          <w:p>
            <w:pPr>
              <w:pStyle w:val="TableParagraph"/>
              <w:spacing w:line="203" w:lineRule="exact"/>
              <w:ind w:right="3"/>
              <w:rPr>
                <w:sz w:val="18"/>
              </w:rPr>
            </w:pPr>
            <w:r>
              <w:rPr>
                <w:color w:val="333333"/>
                <w:w w:val="99"/>
                <w:sz w:val="18"/>
              </w:rPr>
              <w:t>0</w:t>
            </w:r>
          </w:p>
        </w:tc>
        <w:tc>
          <w:tcPr>
            <w:tcW w:w="567" w:type="dxa"/>
          </w:tcPr>
          <w:p>
            <w:pPr>
              <w:pStyle w:val="TableParagraph"/>
              <w:spacing w:line="203" w:lineRule="exact"/>
              <w:ind w:right="2"/>
              <w:rPr>
                <w:sz w:val="18"/>
              </w:rPr>
            </w:pPr>
            <w:r>
              <w:rPr>
                <w:color w:val="333333"/>
                <w:w w:val="99"/>
                <w:sz w:val="18"/>
              </w:rPr>
              <w:t>0</w:t>
            </w:r>
          </w:p>
        </w:tc>
        <w:tc>
          <w:tcPr>
            <w:tcW w:w="641" w:type="dxa"/>
          </w:tcPr>
          <w:p>
            <w:pPr>
              <w:pStyle w:val="TableParagraph"/>
              <w:spacing w:line="203" w:lineRule="exact"/>
              <w:ind w:right="1"/>
              <w:rPr>
                <w:sz w:val="18"/>
              </w:rPr>
            </w:pPr>
            <w:r>
              <w:rPr>
                <w:color w:val="333333"/>
                <w:w w:val="99"/>
                <w:sz w:val="18"/>
              </w:rPr>
              <w:t>0</w:t>
            </w:r>
          </w:p>
        </w:tc>
        <w:tc>
          <w:tcPr>
            <w:tcW w:w="545" w:type="dxa"/>
          </w:tcPr>
          <w:p>
            <w:pPr>
              <w:pStyle w:val="TableParagraph"/>
              <w:spacing w:line="203" w:lineRule="exact"/>
              <w:ind w:left="47" w:right="47"/>
              <w:rPr>
                <w:sz w:val="18"/>
              </w:rPr>
            </w:pPr>
            <w:r>
              <w:rPr>
                <w:color w:val="333333"/>
                <w:sz w:val="18"/>
              </w:rPr>
              <w:t>21</w:t>
            </w:r>
          </w:p>
        </w:tc>
        <w:tc>
          <w:tcPr>
            <w:tcW w:w="694" w:type="dxa"/>
          </w:tcPr>
          <w:p>
            <w:pPr>
              <w:pStyle w:val="TableParagraph"/>
              <w:spacing w:line="203" w:lineRule="exact"/>
              <w:ind w:right="239"/>
              <w:jc w:val="right"/>
              <w:rPr>
                <w:sz w:val="18"/>
              </w:rPr>
            </w:pPr>
            <w:r>
              <w:rPr>
                <w:color w:val="333333"/>
                <w:w w:val="95"/>
                <w:sz w:val="18"/>
              </w:rPr>
              <w:t>12</w:t>
            </w:r>
          </w:p>
        </w:tc>
        <w:tc>
          <w:tcPr>
            <w:tcW w:w="713" w:type="dxa"/>
          </w:tcPr>
          <w:p>
            <w:pPr>
              <w:pStyle w:val="TableParagraph"/>
              <w:spacing w:line="203" w:lineRule="exact"/>
              <w:ind w:left="81" w:right="81"/>
              <w:rPr>
                <w:sz w:val="18"/>
              </w:rPr>
            </w:pPr>
            <w:r>
              <w:rPr>
                <w:color w:val="333333"/>
                <w:sz w:val="18"/>
              </w:rPr>
              <w:t>24</w:t>
            </w:r>
          </w:p>
        </w:tc>
        <w:tc>
          <w:tcPr>
            <w:tcW w:w="708" w:type="dxa"/>
          </w:tcPr>
          <w:p>
            <w:pPr>
              <w:pStyle w:val="TableParagraph"/>
              <w:spacing w:line="203" w:lineRule="exact"/>
              <w:ind w:left="79" w:right="77"/>
              <w:rPr>
                <w:sz w:val="18"/>
              </w:rPr>
            </w:pPr>
            <w:r>
              <w:rPr>
                <w:color w:val="333333"/>
                <w:sz w:val="18"/>
              </w:rPr>
              <w:t>40</w:t>
            </w:r>
          </w:p>
        </w:tc>
        <w:tc>
          <w:tcPr>
            <w:tcW w:w="708" w:type="dxa"/>
          </w:tcPr>
          <w:p>
            <w:pPr>
              <w:pStyle w:val="TableParagraph"/>
              <w:spacing w:line="203" w:lineRule="exact"/>
              <w:ind w:left="79" w:right="77"/>
              <w:rPr>
                <w:sz w:val="18"/>
              </w:rPr>
            </w:pPr>
            <w:r>
              <w:rPr>
                <w:color w:val="333333"/>
                <w:sz w:val="18"/>
              </w:rPr>
              <w:t>45</w:t>
            </w:r>
          </w:p>
        </w:tc>
        <w:tc>
          <w:tcPr>
            <w:tcW w:w="641" w:type="dxa"/>
          </w:tcPr>
          <w:p>
            <w:pPr>
              <w:pStyle w:val="TableParagraph"/>
              <w:spacing w:line="203" w:lineRule="exact"/>
              <w:ind w:left="46" w:right="44"/>
              <w:rPr>
                <w:sz w:val="18"/>
              </w:rPr>
            </w:pPr>
            <w:r>
              <w:rPr>
                <w:color w:val="333333"/>
                <w:sz w:val="18"/>
              </w:rPr>
              <w:t>61</w:t>
            </w:r>
          </w:p>
        </w:tc>
        <w:tc>
          <w:tcPr>
            <w:tcW w:w="673" w:type="dxa"/>
          </w:tcPr>
          <w:p>
            <w:pPr>
              <w:pStyle w:val="TableParagraph"/>
              <w:spacing w:line="203" w:lineRule="exact"/>
              <w:ind w:left="111" w:right="111"/>
              <w:rPr>
                <w:sz w:val="18"/>
              </w:rPr>
            </w:pPr>
            <w:r>
              <w:rPr>
                <w:color w:val="333333"/>
                <w:sz w:val="18"/>
              </w:rPr>
              <w:t>35</w:t>
            </w:r>
          </w:p>
        </w:tc>
        <w:tc>
          <w:tcPr>
            <w:tcW w:w="686" w:type="dxa"/>
          </w:tcPr>
          <w:p>
            <w:pPr>
              <w:pStyle w:val="TableParagraph"/>
              <w:spacing w:line="203" w:lineRule="exact"/>
              <w:ind w:left="118" w:right="118"/>
              <w:rPr>
                <w:sz w:val="18"/>
              </w:rPr>
            </w:pPr>
            <w:r>
              <w:rPr>
                <w:color w:val="333333"/>
                <w:sz w:val="18"/>
              </w:rPr>
              <w:t>25</w:t>
            </w:r>
          </w:p>
        </w:tc>
        <w:tc>
          <w:tcPr>
            <w:tcW w:w="641" w:type="dxa"/>
          </w:tcPr>
          <w:p>
            <w:pPr>
              <w:pStyle w:val="TableParagraph"/>
              <w:spacing w:line="199" w:lineRule="exact"/>
              <w:ind w:left="46" w:right="44"/>
              <w:rPr>
                <w:b/>
                <w:sz w:val="18"/>
              </w:rPr>
            </w:pPr>
            <w:r>
              <w:rPr>
                <w:b/>
                <w:sz w:val="18"/>
              </w:rPr>
              <w:t>263</w:t>
            </w:r>
          </w:p>
        </w:tc>
      </w:tr>
      <w:tr>
        <w:trPr>
          <w:trHeight w:val="319" w:hRule="exact"/>
        </w:trPr>
        <w:tc>
          <w:tcPr>
            <w:tcW w:w="2381" w:type="dxa"/>
          </w:tcPr>
          <w:p>
            <w:pPr>
              <w:pStyle w:val="TableParagraph"/>
              <w:spacing w:line="203" w:lineRule="exact"/>
              <w:ind w:left="64" w:right="627"/>
              <w:jc w:val="left"/>
              <w:rPr>
                <w:sz w:val="18"/>
              </w:rPr>
            </w:pPr>
            <w:r>
              <w:rPr>
                <w:color w:val="333333"/>
                <w:sz w:val="18"/>
              </w:rPr>
              <w:t>TULTITLAN</w:t>
            </w:r>
          </w:p>
        </w:tc>
        <w:tc>
          <w:tcPr>
            <w:tcW w:w="542" w:type="dxa"/>
          </w:tcPr>
          <w:p>
            <w:pPr>
              <w:pStyle w:val="TableParagraph"/>
              <w:spacing w:line="203" w:lineRule="exact"/>
              <w:ind w:right="3"/>
              <w:rPr>
                <w:sz w:val="18"/>
              </w:rPr>
            </w:pPr>
            <w:r>
              <w:rPr>
                <w:color w:val="333333"/>
                <w:w w:val="99"/>
                <w:sz w:val="18"/>
              </w:rPr>
              <w:t>0</w:t>
            </w:r>
          </w:p>
        </w:tc>
        <w:tc>
          <w:tcPr>
            <w:tcW w:w="567" w:type="dxa"/>
          </w:tcPr>
          <w:p>
            <w:pPr>
              <w:pStyle w:val="TableParagraph"/>
              <w:spacing w:line="203" w:lineRule="exact"/>
              <w:ind w:right="2"/>
              <w:rPr>
                <w:sz w:val="18"/>
              </w:rPr>
            </w:pPr>
            <w:r>
              <w:rPr>
                <w:color w:val="333333"/>
                <w:w w:val="99"/>
                <w:sz w:val="18"/>
              </w:rPr>
              <w:t>0</w:t>
            </w:r>
          </w:p>
        </w:tc>
        <w:tc>
          <w:tcPr>
            <w:tcW w:w="641" w:type="dxa"/>
          </w:tcPr>
          <w:p>
            <w:pPr>
              <w:pStyle w:val="TableParagraph"/>
              <w:spacing w:line="203" w:lineRule="exact"/>
              <w:ind w:left="44" w:right="44"/>
              <w:rPr>
                <w:sz w:val="18"/>
              </w:rPr>
            </w:pPr>
            <w:r>
              <w:rPr>
                <w:color w:val="333333"/>
                <w:sz w:val="18"/>
              </w:rPr>
              <w:t>15</w:t>
            </w:r>
          </w:p>
        </w:tc>
        <w:tc>
          <w:tcPr>
            <w:tcW w:w="545" w:type="dxa"/>
          </w:tcPr>
          <w:p>
            <w:pPr>
              <w:pStyle w:val="TableParagraph"/>
              <w:spacing w:line="203" w:lineRule="exact"/>
              <w:ind w:left="47" w:right="47"/>
              <w:rPr>
                <w:sz w:val="18"/>
              </w:rPr>
            </w:pPr>
            <w:r>
              <w:rPr>
                <w:color w:val="333333"/>
                <w:sz w:val="18"/>
              </w:rPr>
              <w:t>94</w:t>
            </w:r>
          </w:p>
        </w:tc>
        <w:tc>
          <w:tcPr>
            <w:tcW w:w="694" w:type="dxa"/>
          </w:tcPr>
          <w:p>
            <w:pPr>
              <w:pStyle w:val="TableParagraph"/>
              <w:spacing w:line="203" w:lineRule="exact"/>
              <w:ind w:right="187"/>
              <w:jc w:val="right"/>
              <w:rPr>
                <w:sz w:val="18"/>
              </w:rPr>
            </w:pPr>
            <w:r>
              <w:rPr>
                <w:color w:val="333333"/>
                <w:w w:val="95"/>
                <w:sz w:val="18"/>
              </w:rPr>
              <w:t>105</w:t>
            </w:r>
          </w:p>
        </w:tc>
        <w:tc>
          <w:tcPr>
            <w:tcW w:w="713" w:type="dxa"/>
          </w:tcPr>
          <w:p>
            <w:pPr>
              <w:pStyle w:val="TableParagraph"/>
              <w:spacing w:line="203" w:lineRule="exact"/>
              <w:ind w:left="81" w:right="81"/>
              <w:rPr>
                <w:sz w:val="18"/>
              </w:rPr>
            </w:pPr>
            <w:r>
              <w:rPr>
                <w:color w:val="333333"/>
                <w:sz w:val="18"/>
              </w:rPr>
              <w:t>142</w:t>
            </w:r>
          </w:p>
        </w:tc>
        <w:tc>
          <w:tcPr>
            <w:tcW w:w="708" w:type="dxa"/>
          </w:tcPr>
          <w:p>
            <w:pPr>
              <w:pStyle w:val="TableParagraph"/>
              <w:spacing w:line="203" w:lineRule="exact"/>
              <w:ind w:left="79" w:right="77"/>
              <w:rPr>
                <w:sz w:val="18"/>
              </w:rPr>
            </w:pPr>
            <w:r>
              <w:rPr>
                <w:color w:val="333333"/>
                <w:sz w:val="18"/>
              </w:rPr>
              <w:t>192</w:t>
            </w:r>
          </w:p>
        </w:tc>
        <w:tc>
          <w:tcPr>
            <w:tcW w:w="708" w:type="dxa"/>
          </w:tcPr>
          <w:p>
            <w:pPr>
              <w:pStyle w:val="TableParagraph"/>
              <w:spacing w:line="203" w:lineRule="exact"/>
              <w:ind w:left="79" w:right="77"/>
              <w:rPr>
                <w:sz w:val="18"/>
              </w:rPr>
            </w:pPr>
            <w:r>
              <w:rPr>
                <w:color w:val="333333"/>
                <w:sz w:val="18"/>
              </w:rPr>
              <w:t>138</w:t>
            </w:r>
          </w:p>
        </w:tc>
        <w:tc>
          <w:tcPr>
            <w:tcW w:w="641" w:type="dxa"/>
          </w:tcPr>
          <w:p>
            <w:pPr>
              <w:pStyle w:val="TableParagraph"/>
              <w:spacing w:line="203" w:lineRule="exact"/>
              <w:ind w:left="46" w:right="44"/>
              <w:rPr>
                <w:sz w:val="18"/>
              </w:rPr>
            </w:pPr>
            <w:r>
              <w:rPr>
                <w:color w:val="333333"/>
                <w:sz w:val="18"/>
              </w:rPr>
              <w:t>251</w:t>
            </w:r>
          </w:p>
        </w:tc>
        <w:tc>
          <w:tcPr>
            <w:tcW w:w="673" w:type="dxa"/>
          </w:tcPr>
          <w:p>
            <w:pPr>
              <w:pStyle w:val="TableParagraph"/>
              <w:spacing w:line="203" w:lineRule="exact"/>
              <w:ind w:left="111" w:right="111"/>
              <w:rPr>
                <w:sz w:val="18"/>
              </w:rPr>
            </w:pPr>
            <w:r>
              <w:rPr>
                <w:color w:val="333333"/>
                <w:sz w:val="18"/>
              </w:rPr>
              <w:t>144</w:t>
            </w:r>
          </w:p>
        </w:tc>
        <w:tc>
          <w:tcPr>
            <w:tcW w:w="686" w:type="dxa"/>
          </w:tcPr>
          <w:p>
            <w:pPr>
              <w:pStyle w:val="TableParagraph"/>
              <w:spacing w:line="203" w:lineRule="exact"/>
              <w:ind w:left="118" w:right="118"/>
              <w:rPr>
                <w:sz w:val="18"/>
              </w:rPr>
            </w:pPr>
            <w:r>
              <w:rPr>
                <w:color w:val="333333"/>
                <w:sz w:val="18"/>
              </w:rPr>
              <w:t>117</w:t>
            </w:r>
          </w:p>
        </w:tc>
        <w:tc>
          <w:tcPr>
            <w:tcW w:w="641" w:type="dxa"/>
          </w:tcPr>
          <w:p>
            <w:pPr>
              <w:pStyle w:val="TableParagraph"/>
              <w:spacing w:line="199" w:lineRule="exact"/>
              <w:ind w:left="46" w:right="44"/>
              <w:rPr>
                <w:b/>
                <w:sz w:val="18"/>
              </w:rPr>
            </w:pPr>
            <w:r>
              <w:rPr>
                <w:b/>
                <w:sz w:val="18"/>
              </w:rPr>
              <w:t>1198</w:t>
            </w:r>
          </w:p>
        </w:tc>
      </w:tr>
      <w:tr>
        <w:trPr>
          <w:trHeight w:val="322" w:hRule="exact"/>
        </w:trPr>
        <w:tc>
          <w:tcPr>
            <w:tcW w:w="2381" w:type="dxa"/>
          </w:tcPr>
          <w:p>
            <w:pPr>
              <w:pStyle w:val="TableParagraph"/>
              <w:spacing w:line="203" w:lineRule="exact"/>
              <w:ind w:left="64" w:right="627"/>
              <w:jc w:val="left"/>
              <w:rPr>
                <w:sz w:val="18"/>
              </w:rPr>
            </w:pPr>
            <w:r>
              <w:rPr>
                <w:color w:val="333333"/>
                <w:sz w:val="18"/>
              </w:rPr>
              <w:t>VALLE DE BRAVO</w:t>
            </w:r>
          </w:p>
        </w:tc>
        <w:tc>
          <w:tcPr>
            <w:tcW w:w="542" w:type="dxa"/>
          </w:tcPr>
          <w:p>
            <w:pPr>
              <w:pStyle w:val="TableParagraph"/>
              <w:spacing w:line="203" w:lineRule="exact"/>
              <w:ind w:right="3"/>
              <w:rPr>
                <w:sz w:val="18"/>
              </w:rPr>
            </w:pPr>
            <w:r>
              <w:rPr>
                <w:color w:val="333333"/>
                <w:w w:val="99"/>
                <w:sz w:val="18"/>
              </w:rPr>
              <w:t>0</w:t>
            </w:r>
          </w:p>
        </w:tc>
        <w:tc>
          <w:tcPr>
            <w:tcW w:w="567" w:type="dxa"/>
          </w:tcPr>
          <w:p>
            <w:pPr>
              <w:pStyle w:val="TableParagraph"/>
              <w:spacing w:line="203" w:lineRule="exact"/>
              <w:ind w:right="2"/>
              <w:rPr>
                <w:sz w:val="18"/>
              </w:rPr>
            </w:pPr>
            <w:r>
              <w:rPr>
                <w:color w:val="333333"/>
                <w:w w:val="99"/>
                <w:sz w:val="18"/>
              </w:rPr>
              <w:t>0</w:t>
            </w:r>
          </w:p>
        </w:tc>
        <w:tc>
          <w:tcPr>
            <w:tcW w:w="641" w:type="dxa"/>
          </w:tcPr>
          <w:p>
            <w:pPr>
              <w:pStyle w:val="TableParagraph"/>
              <w:spacing w:line="203" w:lineRule="exact"/>
              <w:ind w:right="1"/>
              <w:rPr>
                <w:sz w:val="18"/>
              </w:rPr>
            </w:pPr>
            <w:r>
              <w:rPr>
                <w:color w:val="333333"/>
                <w:w w:val="99"/>
                <w:sz w:val="18"/>
              </w:rPr>
              <w:t>4</w:t>
            </w:r>
          </w:p>
        </w:tc>
        <w:tc>
          <w:tcPr>
            <w:tcW w:w="545" w:type="dxa"/>
          </w:tcPr>
          <w:p>
            <w:pPr>
              <w:pStyle w:val="TableParagraph"/>
              <w:spacing w:line="203" w:lineRule="exact"/>
              <w:ind w:left="47" w:right="47"/>
              <w:rPr>
                <w:sz w:val="18"/>
              </w:rPr>
            </w:pPr>
            <w:r>
              <w:rPr>
                <w:color w:val="333333"/>
                <w:sz w:val="18"/>
              </w:rPr>
              <w:t>29</w:t>
            </w:r>
          </w:p>
        </w:tc>
        <w:tc>
          <w:tcPr>
            <w:tcW w:w="694" w:type="dxa"/>
          </w:tcPr>
          <w:p>
            <w:pPr>
              <w:pStyle w:val="TableParagraph"/>
              <w:spacing w:line="203" w:lineRule="exact"/>
              <w:ind w:right="239"/>
              <w:jc w:val="right"/>
              <w:rPr>
                <w:sz w:val="18"/>
              </w:rPr>
            </w:pPr>
            <w:r>
              <w:rPr>
                <w:color w:val="333333"/>
                <w:w w:val="95"/>
                <w:sz w:val="18"/>
              </w:rPr>
              <w:t>53</w:t>
            </w:r>
          </w:p>
        </w:tc>
        <w:tc>
          <w:tcPr>
            <w:tcW w:w="713" w:type="dxa"/>
          </w:tcPr>
          <w:p>
            <w:pPr>
              <w:pStyle w:val="TableParagraph"/>
              <w:spacing w:line="203" w:lineRule="exact"/>
              <w:ind w:left="81" w:right="81"/>
              <w:rPr>
                <w:sz w:val="18"/>
              </w:rPr>
            </w:pPr>
            <w:r>
              <w:rPr>
                <w:color w:val="333333"/>
                <w:sz w:val="18"/>
              </w:rPr>
              <w:t>80</w:t>
            </w:r>
          </w:p>
        </w:tc>
        <w:tc>
          <w:tcPr>
            <w:tcW w:w="708" w:type="dxa"/>
          </w:tcPr>
          <w:p>
            <w:pPr>
              <w:pStyle w:val="TableParagraph"/>
              <w:spacing w:line="203" w:lineRule="exact"/>
              <w:ind w:left="79" w:right="77"/>
              <w:rPr>
                <w:sz w:val="18"/>
              </w:rPr>
            </w:pPr>
            <w:r>
              <w:rPr>
                <w:color w:val="333333"/>
                <w:sz w:val="18"/>
              </w:rPr>
              <w:t>107</w:t>
            </w:r>
          </w:p>
        </w:tc>
        <w:tc>
          <w:tcPr>
            <w:tcW w:w="708" w:type="dxa"/>
          </w:tcPr>
          <w:p>
            <w:pPr>
              <w:pStyle w:val="TableParagraph"/>
              <w:spacing w:line="203" w:lineRule="exact"/>
              <w:ind w:left="79" w:right="77"/>
              <w:rPr>
                <w:sz w:val="18"/>
              </w:rPr>
            </w:pPr>
            <w:r>
              <w:rPr>
                <w:color w:val="333333"/>
                <w:sz w:val="18"/>
              </w:rPr>
              <w:t>91</w:t>
            </w:r>
          </w:p>
        </w:tc>
        <w:tc>
          <w:tcPr>
            <w:tcW w:w="641" w:type="dxa"/>
          </w:tcPr>
          <w:p>
            <w:pPr>
              <w:pStyle w:val="TableParagraph"/>
              <w:spacing w:line="203" w:lineRule="exact"/>
              <w:ind w:left="46" w:right="44"/>
              <w:rPr>
                <w:sz w:val="18"/>
              </w:rPr>
            </w:pPr>
            <w:r>
              <w:rPr>
                <w:color w:val="333333"/>
                <w:sz w:val="18"/>
              </w:rPr>
              <w:t>120</w:t>
            </w:r>
          </w:p>
        </w:tc>
        <w:tc>
          <w:tcPr>
            <w:tcW w:w="673" w:type="dxa"/>
          </w:tcPr>
          <w:p>
            <w:pPr>
              <w:pStyle w:val="TableParagraph"/>
              <w:spacing w:line="203" w:lineRule="exact"/>
              <w:ind w:left="111" w:right="111"/>
              <w:rPr>
                <w:sz w:val="18"/>
              </w:rPr>
            </w:pPr>
            <w:r>
              <w:rPr>
                <w:color w:val="333333"/>
                <w:sz w:val="18"/>
              </w:rPr>
              <w:t>90</w:t>
            </w:r>
          </w:p>
        </w:tc>
        <w:tc>
          <w:tcPr>
            <w:tcW w:w="686" w:type="dxa"/>
          </w:tcPr>
          <w:p>
            <w:pPr>
              <w:pStyle w:val="TableParagraph"/>
              <w:spacing w:line="203" w:lineRule="exact"/>
              <w:ind w:left="118" w:right="118"/>
              <w:rPr>
                <w:sz w:val="18"/>
              </w:rPr>
            </w:pPr>
            <w:r>
              <w:rPr>
                <w:color w:val="333333"/>
                <w:sz w:val="18"/>
              </w:rPr>
              <w:t>78</w:t>
            </w:r>
          </w:p>
        </w:tc>
        <w:tc>
          <w:tcPr>
            <w:tcW w:w="641" w:type="dxa"/>
          </w:tcPr>
          <w:p>
            <w:pPr>
              <w:pStyle w:val="TableParagraph"/>
              <w:spacing w:line="199" w:lineRule="exact"/>
              <w:ind w:left="46" w:right="44"/>
              <w:rPr>
                <w:b/>
                <w:sz w:val="18"/>
              </w:rPr>
            </w:pPr>
            <w:r>
              <w:rPr>
                <w:b/>
                <w:sz w:val="18"/>
              </w:rPr>
              <w:t>652</w:t>
            </w:r>
          </w:p>
        </w:tc>
      </w:tr>
      <w:tr>
        <w:trPr>
          <w:trHeight w:val="631" w:hRule="exact"/>
        </w:trPr>
        <w:tc>
          <w:tcPr>
            <w:tcW w:w="2381" w:type="dxa"/>
          </w:tcPr>
          <w:p>
            <w:pPr>
              <w:pStyle w:val="TableParagraph"/>
              <w:spacing w:line="360" w:lineRule="auto"/>
              <w:ind w:left="64" w:right="627"/>
              <w:jc w:val="left"/>
              <w:rPr>
                <w:sz w:val="18"/>
              </w:rPr>
            </w:pPr>
            <w:r>
              <w:rPr>
                <w:color w:val="333333"/>
                <w:sz w:val="18"/>
              </w:rPr>
              <w:t>VALLE DE CHALCO SOLIDARIDAD</w:t>
            </w:r>
          </w:p>
        </w:tc>
        <w:tc>
          <w:tcPr>
            <w:tcW w:w="542" w:type="dxa"/>
          </w:tcPr>
          <w:p>
            <w:pPr>
              <w:pStyle w:val="TableParagraph"/>
              <w:spacing w:before="152"/>
              <w:ind w:right="3"/>
              <w:rPr>
                <w:sz w:val="18"/>
              </w:rPr>
            </w:pPr>
            <w:r>
              <w:rPr>
                <w:color w:val="333333"/>
                <w:w w:val="99"/>
                <w:sz w:val="18"/>
              </w:rPr>
              <w:t>0</w:t>
            </w:r>
          </w:p>
        </w:tc>
        <w:tc>
          <w:tcPr>
            <w:tcW w:w="567" w:type="dxa"/>
          </w:tcPr>
          <w:p>
            <w:pPr>
              <w:pStyle w:val="TableParagraph"/>
              <w:spacing w:before="152"/>
              <w:ind w:right="2"/>
              <w:rPr>
                <w:sz w:val="18"/>
              </w:rPr>
            </w:pPr>
            <w:r>
              <w:rPr>
                <w:color w:val="333333"/>
                <w:w w:val="99"/>
                <w:sz w:val="18"/>
              </w:rPr>
              <w:t>0</w:t>
            </w:r>
          </w:p>
        </w:tc>
        <w:tc>
          <w:tcPr>
            <w:tcW w:w="641" w:type="dxa"/>
          </w:tcPr>
          <w:p>
            <w:pPr>
              <w:pStyle w:val="TableParagraph"/>
              <w:spacing w:before="152"/>
              <w:ind w:right="1"/>
              <w:rPr>
                <w:sz w:val="18"/>
              </w:rPr>
            </w:pPr>
            <w:r>
              <w:rPr>
                <w:color w:val="333333"/>
                <w:w w:val="99"/>
                <w:sz w:val="18"/>
              </w:rPr>
              <w:t>8</w:t>
            </w:r>
          </w:p>
        </w:tc>
        <w:tc>
          <w:tcPr>
            <w:tcW w:w="545" w:type="dxa"/>
          </w:tcPr>
          <w:p>
            <w:pPr>
              <w:pStyle w:val="TableParagraph"/>
              <w:spacing w:before="152"/>
              <w:ind w:left="47" w:right="47"/>
              <w:rPr>
                <w:sz w:val="18"/>
              </w:rPr>
            </w:pPr>
            <w:r>
              <w:rPr>
                <w:color w:val="333333"/>
                <w:sz w:val="18"/>
              </w:rPr>
              <w:t>35</w:t>
            </w:r>
          </w:p>
        </w:tc>
        <w:tc>
          <w:tcPr>
            <w:tcW w:w="694" w:type="dxa"/>
          </w:tcPr>
          <w:p>
            <w:pPr>
              <w:pStyle w:val="TableParagraph"/>
              <w:spacing w:before="152"/>
              <w:ind w:right="187"/>
              <w:jc w:val="right"/>
              <w:rPr>
                <w:sz w:val="18"/>
              </w:rPr>
            </w:pPr>
            <w:r>
              <w:rPr>
                <w:color w:val="333333"/>
                <w:w w:val="95"/>
                <w:sz w:val="18"/>
              </w:rPr>
              <w:t>128</w:t>
            </w:r>
          </w:p>
        </w:tc>
        <w:tc>
          <w:tcPr>
            <w:tcW w:w="713" w:type="dxa"/>
          </w:tcPr>
          <w:p>
            <w:pPr>
              <w:pStyle w:val="TableParagraph"/>
              <w:spacing w:before="152"/>
              <w:ind w:left="81" w:right="81"/>
              <w:rPr>
                <w:sz w:val="18"/>
              </w:rPr>
            </w:pPr>
            <w:r>
              <w:rPr>
                <w:color w:val="333333"/>
                <w:sz w:val="18"/>
              </w:rPr>
              <w:t>80</w:t>
            </w:r>
          </w:p>
        </w:tc>
        <w:tc>
          <w:tcPr>
            <w:tcW w:w="708" w:type="dxa"/>
          </w:tcPr>
          <w:p>
            <w:pPr>
              <w:pStyle w:val="TableParagraph"/>
              <w:spacing w:before="152"/>
              <w:ind w:left="79" w:right="77"/>
              <w:rPr>
                <w:sz w:val="18"/>
              </w:rPr>
            </w:pPr>
            <w:r>
              <w:rPr>
                <w:color w:val="333333"/>
                <w:sz w:val="18"/>
              </w:rPr>
              <w:t>74</w:t>
            </w:r>
          </w:p>
        </w:tc>
        <w:tc>
          <w:tcPr>
            <w:tcW w:w="708" w:type="dxa"/>
          </w:tcPr>
          <w:p>
            <w:pPr>
              <w:pStyle w:val="TableParagraph"/>
              <w:spacing w:before="152"/>
              <w:ind w:left="79" w:right="77"/>
              <w:rPr>
                <w:sz w:val="18"/>
              </w:rPr>
            </w:pPr>
            <w:r>
              <w:rPr>
                <w:color w:val="333333"/>
                <w:sz w:val="18"/>
              </w:rPr>
              <w:t>68</w:t>
            </w:r>
          </w:p>
        </w:tc>
        <w:tc>
          <w:tcPr>
            <w:tcW w:w="641" w:type="dxa"/>
          </w:tcPr>
          <w:p>
            <w:pPr>
              <w:pStyle w:val="TableParagraph"/>
              <w:spacing w:before="152"/>
              <w:ind w:left="46" w:right="44"/>
              <w:rPr>
                <w:sz w:val="18"/>
              </w:rPr>
            </w:pPr>
            <w:r>
              <w:rPr>
                <w:color w:val="333333"/>
                <w:sz w:val="18"/>
              </w:rPr>
              <w:t>133</w:t>
            </w:r>
          </w:p>
        </w:tc>
        <w:tc>
          <w:tcPr>
            <w:tcW w:w="673" w:type="dxa"/>
          </w:tcPr>
          <w:p>
            <w:pPr>
              <w:pStyle w:val="TableParagraph"/>
              <w:spacing w:before="152"/>
              <w:ind w:left="111" w:right="111"/>
              <w:rPr>
                <w:sz w:val="18"/>
              </w:rPr>
            </w:pPr>
            <w:r>
              <w:rPr>
                <w:color w:val="333333"/>
                <w:sz w:val="18"/>
              </w:rPr>
              <w:t>152</w:t>
            </w:r>
          </w:p>
        </w:tc>
        <w:tc>
          <w:tcPr>
            <w:tcW w:w="686" w:type="dxa"/>
          </w:tcPr>
          <w:p>
            <w:pPr>
              <w:pStyle w:val="TableParagraph"/>
              <w:spacing w:before="152"/>
              <w:ind w:left="118" w:right="118"/>
              <w:rPr>
                <w:sz w:val="18"/>
              </w:rPr>
            </w:pPr>
            <w:r>
              <w:rPr>
                <w:color w:val="333333"/>
                <w:sz w:val="18"/>
              </w:rPr>
              <w:t>131</w:t>
            </w:r>
          </w:p>
        </w:tc>
        <w:tc>
          <w:tcPr>
            <w:tcW w:w="641" w:type="dxa"/>
          </w:tcPr>
          <w:p>
            <w:pPr>
              <w:pStyle w:val="TableParagraph"/>
              <w:spacing w:before="2"/>
              <w:jc w:val="left"/>
              <w:rPr>
                <w:rFonts w:ascii="Times New Roman"/>
                <w:sz w:val="26"/>
              </w:rPr>
            </w:pPr>
          </w:p>
          <w:p>
            <w:pPr>
              <w:pStyle w:val="TableParagraph"/>
              <w:ind w:left="46" w:right="44"/>
              <w:rPr>
                <w:b/>
                <w:sz w:val="18"/>
              </w:rPr>
            </w:pPr>
            <w:r>
              <w:rPr>
                <w:b/>
                <w:sz w:val="18"/>
              </w:rPr>
              <w:t>809</w:t>
            </w:r>
          </w:p>
        </w:tc>
      </w:tr>
      <w:tr>
        <w:trPr>
          <w:trHeight w:val="319" w:hRule="exact"/>
        </w:trPr>
        <w:tc>
          <w:tcPr>
            <w:tcW w:w="2381" w:type="dxa"/>
          </w:tcPr>
          <w:p>
            <w:pPr>
              <w:pStyle w:val="TableParagraph"/>
              <w:spacing w:line="203" w:lineRule="exact"/>
              <w:ind w:left="64" w:right="159"/>
              <w:jc w:val="left"/>
              <w:rPr>
                <w:sz w:val="18"/>
              </w:rPr>
            </w:pPr>
            <w:r>
              <w:rPr>
                <w:color w:val="333333"/>
                <w:sz w:val="18"/>
              </w:rPr>
              <w:t>VILLA DE ALLENDE</w:t>
            </w:r>
          </w:p>
        </w:tc>
        <w:tc>
          <w:tcPr>
            <w:tcW w:w="542" w:type="dxa"/>
          </w:tcPr>
          <w:p>
            <w:pPr>
              <w:pStyle w:val="TableParagraph"/>
              <w:spacing w:line="203" w:lineRule="exact"/>
              <w:ind w:right="3"/>
              <w:rPr>
                <w:sz w:val="18"/>
              </w:rPr>
            </w:pPr>
            <w:r>
              <w:rPr>
                <w:color w:val="333333"/>
                <w:w w:val="99"/>
                <w:sz w:val="18"/>
              </w:rPr>
              <w:t>0</w:t>
            </w:r>
          </w:p>
        </w:tc>
        <w:tc>
          <w:tcPr>
            <w:tcW w:w="567" w:type="dxa"/>
          </w:tcPr>
          <w:p>
            <w:pPr>
              <w:pStyle w:val="TableParagraph"/>
              <w:spacing w:line="203" w:lineRule="exact"/>
              <w:ind w:right="2"/>
              <w:rPr>
                <w:sz w:val="18"/>
              </w:rPr>
            </w:pPr>
            <w:r>
              <w:rPr>
                <w:color w:val="333333"/>
                <w:w w:val="99"/>
                <w:sz w:val="18"/>
              </w:rPr>
              <w:t>0</w:t>
            </w:r>
          </w:p>
        </w:tc>
        <w:tc>
          <w:tcPr>
            <w:tcW w:w="641" w:type="dxa"/>
          </w:tcPr>
          <w:p>
            <w:pPr>
              <w:pStyle w:val="TableParagraph"/>
              <w:spacing w:line="203" w:lineRule="exact"/>
              <w:ind w:right="1"/>
              <w:rPr>
                <w:sz w:val="18"/>
              </w:rPr>
            </w:pPr>
            <w:r>
              <w:rPr>
                <w:color w:val="333333"/>
                <w:w w:val="99"/>
                <w:sz w:val="18"/>
              </w:rPr>
              <w:t>1</w:t>
            </w:r>
          </w:p>
        </w:tc>
        <w:tc>
          <w:tcPr>
            <w:tcW w:w="545" w:type="dxa"/>
          </w:tcPr>
          <w:p>
            <w:pPr>
              <w:pStyle w:val="TableParagraph"/>
              <w:spacing w:line="203" w:lineRule="exact"/>
              <w:ind w:right="5"/>
              <w:rPr>
                <w:sz w:val="18"/>
              </w:rPr>
            </w:pPr>
            <w:r>
              <w:rPr>
                <w:color w:val="333333"/>
                <w:w w:val="99"/>
                <w:sz w:val="18"/>
              </w:rPr>
              <w:t>8</w:t>
            </w:r>
          </w:p>
        </w:tc>
        <w:tc>
          <w:tcPr>
            <w:tcW w:w="694" w:type="dxa"/>
          </w:tcPr>
          <w:p>
            <w:pPr>
              <w:pStyle w:val="TableParagraph"/>
              <w:spacing w:line="203" w:lineRule="exact"/>
              <w:ind w:right="239"/>
              <w:jc w:val="right"/>
              <w:rPr>
                <w:sz w:val="18"/>
              </w:rPr>
            </w:pPr>
            <w:r>
              <w:rPr>
                <w:color w:val="333333"/>
                <w:w w:val="95"/>
                <w:sz w:val="18"/>
              </w:rPr>
              <w:t>60</w:t>
            </w:r>
          </w:p>
        </w:tc>
        <w:tc>
          <w:tcPr>
            <w:tcW w:w="713" w:type="dxa"/>
          </w:tcPr>
          <w:p>
            <w:pPr>
              <w:pStyle w:val="TableParagraph"/>
              <w:spacing w:line="203" w:lineRule="exact"/>
              <w:ind w:left="81" w:right="81"/>
              <w:rPr>
                <w:sz w:val="18"/>
              </w:rPr>
            </w:pPr>
            <w:r>
              <w:rPr>
                <w:color w:val="333333"/>
                <w:sz w:val="18"/>
              </w:rPr>
              <w:t>27</w:t>
            </w:r>
          </w:p>
        </w:tc>
        <w:tc>
          <w:tcPr>
            <w:tcW w:w="708" w:type="dxa"/>
          </w:tcPr>
          <w:p>
            <w:pPr>
              <w:pStyle w:val="TableParagraph"/>
              <w:spacing w:line="203" w:lineRule="exact"/>
              <w:ind w:left="79" w:right="77"/>
              <w:rPr>
                <w:sz w:val="18"/>
              </w:rPr>
            </w:pPr>
            <w:r>
              <w:rPr>
                <w:color w:val="333333"/>
                <w:sz w:val="18"/>
              </w:rPr>
              <w:t>25</w:t>
            </w:r>
          </w:p>
        </w:tc>
        <w:tc>
          <w:tcPr>
            <w:tcW w:w="708" w:type="dxa"/>
          </w:tcPr>
          <w:p>
            <w:pPr>
              <w:pStyle w:val="TableParagraph"/>
              <w:spacing w:line="203" w:lineRule="exact"/>
              <w:ind w:left="79" w:right="77"/>
              <w:rPr>
                <w:sz w:val="18"/>
              </w:rPr>
            </w:pPr>
            <w:r>
              <w:rPr>
                <w:color w:val="333333"/>
                <w:sz w:val="18"/>
              </w:rPr>
              <w:t>21</w:t>
            </w:r>
          </w:p>
        </w:tc>
        <w:tc>
          <w:tcPr>
            <w:tcW w:w="641" w:type="dxa"/>
          </w:tcPr>
          <w:p>
            <w:pPr>
              <w:pStyle w:val="TableParagraph"/>
              <w:spacing w:line="203" w:lineRule="exact"/>
              <w:ind w:left="46" w:right="44"/>
              <w:rPr>
                <w:sz w:val="18"/>
              </w:rPr>
            </w:pPr>
            <w:r>
              <w:rPr>
                <w:color w:val="333333"/>
                <w:sz w:val="18"/>
              </w:rPr>
              <w:t>14</w:t>
            </w:r>
          </w:p>
        </w:tc>
        <w:tc>
          <w:tcPr>
            <w:tcW w:w="673" w:type="dxa"/>
          </w:tcPr>
          <w:p>
            <w:pPr>
              <w:pStyle w:val="TableParagraph"/>
              <w:spacing w:line="203" w:lineRule="exact"/>
              <w:rPr>
                <w:sz w:val="18"/>
              </w:rPr>
            </w:pPr>
            <w:r>
              <w:rPr>
                <w:color w:val="333333"/>
                <w:w w:val="99"/>
                <w:sz w:val="18"/>
              </w:rPr>
              <w:t>9</w:t>
            </w:r>
          </w:p>
        </w:tc>
        <w:tc>
          <w:tcPr>
            <w:tcW w:w="686" w:type="dxa"/>
          </w:tcPr>
          <w:p>
            <w:pPr>
              <w:pStyle w:val="TableParagraph"/>
              <w:spacing w:line="203" w:lineRule="exact"/>
              <w:ind w:left="118" w:right="118"/>
              <w:rPr>
                <w:sz w:val="18"/>
              </w:rPr>
            </w:pPr>
            <w:r>
              <w:rPr>
                <w:color w:val="333333"/>
                <w:sz w:val="18"/>
              </w:rPr>
              <w:t>10</w:t>
            </w:r>
          </w:p>
        </w:tc>
        <w:tc>
          <w:tcPr>
            <w:tcW w:w="641" w:type="dxa"/>
          </w:tcPr>
          <w:p>
            <w:pPr>
              <w:pStyle w:val="TableParagraph"/>
              <w:spacing w:line="199" w:lineRule="exact"/>
              <w:ind w:left="46" w:right="44"/>
              <w:rPr>
                <w:b/>
                <w:sz w:val="18"/>
              </w:rPr>
            </w:pPr>
            <w:r>
              <w:rPr>
                <w:b/>
                <w:sz w:val="18"/>
              </w:rPr>
              <w:t>175</w:t>
            </w:r>
          </w:p>
        </w:tc>
      </w:tr>
      <w:tr>
        <w:trPr>
          <w:trHeight w:val="322" w:hRule="exact"/>
        </w:trPr>
        <w:tc>
          <w:tcPr>
            <w:tcW w:w="2381" w:type="dxa"/>
          </w:tcPr>
          <w:p>
            <w:pPr>
              <w:pStyle w:val="TableParagraph"/>
              <w:spacing w:line="203" w:lineRule="exact"/>
              <w:ind w:left="64" w:right="159"/>
              <w:jc w:val="left"/>
              <w:rPr>
                <w:sz w:val="18"/>
              </w:rPr>
            </w:pPr>
            <w:r>
              <w:rPr>
                <w:color w:val="333333"/>
                <w:sz w:val="18"/>
              </w:rPr>
              <w:t>VILLA DEL CARBON</w:t>
            </w:r>
          </w:p>
        </w:tc>
        <w:tc>
          <w:tcPr>
            <w:tcW w:w="542" w:type="dxa"/>
          </w:tcPr>
          <w:p>
            <w:pPr>
              <w:pStyle w:val="TableParagraph"/>
              <w:spacing w:line="203" w:lineRule="exact"/>
              <w:ind w:right="3"/>
              <w:rPr>
                <w:sz w:val="18"/>
              </w:rPr>
            </w:pPr>
            <w:r>
              <w:rPr>
                <w:color w:val="333333"/>
                <w:w w:val="99"/>
                <w:sz w:val="18"/>
              </w:rPr>
              <w:t>0</w:t>
            </w:r>
          </w:p>
        </w:tc>
        <w:tc>
          <w:tcPr>
            <w:tcW w:w="567" w:type="dxa"/>
          </w:tcPr>
          <w:p>
            <w:pPr>
              <w:pStyle w:val="TableParagraph"/>
              <w:spacing w:line="203" w:lineRule="exact"/>
              <w:ind w:right="2"/>
              <w:rPr>
                <w:sz w:val="18"/>
              </w:rPr>
            </w:pPr>
            <w:r>
              <w:rPr>
                <w:color w:val="333333"/>
                <w:w w:val="99"/>
                <w:sz w:val="18"/>
              </w:rPr>
              <w:t>0</w:t>
            </w:r>
          </w:p>
        </w:tc>
        <w:tc>
          <w:tcPr>
            <w:tcW w:w="641" w:type="dxa"/>
          </w:tcPr>
          <w:p>
            <w:pPr>
              <w:pStyle w:val="TableParagraph"/>
              <w:spacing w:line="203" w:lineRule="exact"/>
              <w:ind w:right="1"/>
              <w:rPr>
                <w:sz w:val="18"/>
              </w:rPr>
            </w:pPr>
            <w:r>
              <w:rPr>
                <w:color w:val="333333"/>
                <w:w w:val="99"/>
                <w:sz w:val="18"/>
              </w:rPr>
              <w:t>1</w:t>
            </w:r>
          </w:p>
        </w:tc>
        <w:tc>
          <w:tcPr>
            <w:tcW w:w="545" w:type="dxa"/>
          </w:tcPr>
          <w:p>
            <w:pPr>
              <w:pStyle w:val="TableParagraph"/>
              <w:spacing w:line="203" w:lineRule="exact"/>
              <w:ind w:left="47" w:right="47"/>
              <w:rPr>
                <w:sz w:val="18"/>
              </w:rPr>
            </w:pPr>
            <w:r>
              <w:rPr>
                <w:color w:val="333333"/>
                <w:sz w:val="18"/>
              </w:rPr>
              <w:t>24</w:t>
            </w:r>
          </w:p>
        </w:tc>
        <w:tc>
          <w:tcPr>
            <w:tcW w:w="694" w:type="dxa"/>
          </w:tcPr>
          <w:p>
            <w:pPr>
              <w:pStyle w:val="TableParagraph"/>
              <w:spacing w:line="203" w:lineRule="exact"/>
              <w:ind w:right="239"/>
              <w:jc w:val="right"/>
              <w:rPr>
                <w:sz w:val="18"/>
              </w:rPr>
            </w:pPr>
            <w:r>
              <w:rPr>
                <w:color w:val="333333"/>
                <w:w w:val="95"/>
                <w:sz w:val="18"/>
              </w:rPr>
              <w:t>50</w:t>
            </w:r>
          </w:p>
        </w:tc>
        <w:tc>
          <w:tcPr>
            <w:tcW w:w="713" w:type="dxa"/>
          </w:tcPr>
          <w:p>
            <w:pPr>
              <w:pStyle w:val="TableParagraph"/>
              <w:spacing w:line="203" w:lineRule="exact"/>
              <w:ind w:left="81" w:right="81"/>
              <w:rPr>
                <w:sz w:val="18"/>
              </w:rPr>
            </w:pPr>
            <w:r>
              <w:rPr>
                <w:color w:val="333333"/>
                <w:sz w:val="18"/>
              </w:rPr>
              <w:t>44</w:t>
            </w:r>
          </w:p>
        </w:tc>
        <w:tc>
          <w:tcPr>
            <w:tcW w:w="708" w:type="dxa"/>
          </w:tcPr>
          <w:p>
            <w:pPr>
              <w:pStyle w:val="TableParagraph"/>
              <w:spacing w:line="203" w:lineRule="exact"/>
              <w:ind w:left="79" w:right="77"/>
              <w:rPr>
                <w:sz w:val="18"/>
              </w:rPr>
            </w:pPr>
            <w:r>
              <w:rPr>
                <w:color w:val="333333"/>
                <w:sz w:val="18"/>
              </w:rPr>
              <w:t>32</w:t>
            </w:r>
          </w:p>
        </w:tc>
        <w:tc>
          <w:tcPr>
            <w:tcW w:w="708" w:type="dxa"/>
          </w:tcPr>
          <w:p>
            <w:pPr>
              <w:pStyle w:val="TableParagraph"/>
              <w:spacing w:line="203" w:lineRule="exact"/>
              <w:ind w:left="79" w:right="77"/>
              <w:rPr>
                <w:sz w:val="18"/>
              </w:rPr>
            </w:pPr>
            <w:r>
              <w:rPr>
                <w:color w:val="333333"/>
                <w:sz w:val="18"/>
              </w:rPr>
              <w:t>26</w:t>
            </w:r>
          </w:p>
        </w:tc>
        <w:tc>
          <w:tcPr>
            <w:tcW w:w="641" w:type="dxa"/>
          </w:tcPr>
          <w:p>
            <w:pPr>
              <w:pStyle w:val="TableParagraph"/>
              <w:spacing w:line="203" w:lineRule="exact"/>
              <w:ind w:left="46" w:right="44"/>
              <w:rPr>
                <w:sz w:val="18"/>
              </w:rPr>
            </w:pPr>
            <w:r>
              <w:rPr>
                <w:color w:val="333333"/>
                <w:sz w:val="18"/>
              </w:rPr>
              <w:t>28</w:t>
            </w:r>
          </w:p>
        </w:tc>
        <w:tc>
          <w:tcPr>
            <w:tcW w:w="673" w:type="dxa"/>
          </w:tcPr>
          <w:p>
            <w:pPr>
              <w:pStyle w:val="TableParagraph"/>
              <w:spacing w:line="203" w:lineRule="exact"/>
              <w:ind w:left="111" w:right="111"/>
              <w:rPr>
                <w:sz w:val="18"/>
              </w:rPr>
            </w:pPr>
            <w:r>
              <w:rPr>
                <w:color w:val="333333"/>
                <w:sz w:val="18"/>
              </w:rPr>
              <w:t>27</w:t>
            </w:r>
          </w:p>
        </w:tc>
        <w:tc>
          <w:tcPr>
            <w:tcW w:w="686" w:type="dxa"/>
          </w:tcPr>
          <w:p>
            <w:pPr>
              <w:pStyle w:val="TableParagraph"/>
              <w:spacing w:line="203" w:lineRule="exact"/>
              <w:ind w:left="118" w:right="118"/>
              <w:rPr>
                <w:sz w:val="18"/>
              </w:rPr>
            </w:pPr>
            <w:r>
              <w:rPr>
                <w:color w:val="333333"/>
                <w:sz w:val="18"/>
              </w:rPr>
              <w:t>20</w:t>
            </w:r>
          </w:p>
        </w:tc>
        <w:tc>
          <w:tcPr>
            <w:tcW w:w="641" w:type="dxa"/>
          </w:tcPr>
          <w:p>
            <w:pPr>
              <w:pStyle w:val="TableParagraph"/>
              <w:spacing w:line="199" w:lineRule="exact"/>
              <w:ind w:left="46" w:right="44"/>
              <w:rPr>
                <w:b/>
                <w:sz w:val="18"/>
              </w:rPr>
            </w:pPr>
            <w:r>
              <w:rPr>
                <w:b/>
                <w:sz w:val="18"/>
              </w:rPr>
              <w:t>252</w:t>
            </w:r>
          </w:p>
        </w:tc>
      </w:tr>
      <w:tr>
        <w:trPr>
          <w:trHeight w:val="319" w:hRule="exact"/>
        </w:trPr>
        <w:tc>
          <w:tcPr>
            <w:tcW w:w="2381" w:type="dxa"/>
          </w:tcPr>
          <w:p>
            <w:pPr>
              <w:pStyle w:val="TableParagraph"/>
              <w:spacing w:line="203" w:lineRule="exact"/>
              <w:ind w:left="64" w:right="627"/>
              <w:jc w:val="left"/>
              <w:rPr>
                <w:sz w:val="18"/>
              </w:rPr>
            </w:pPr>
            <w:r>
              <w:rPr>
                <w:color w:val="333333"/>
                <w:sz w:val="18"/>
              </w:rPr>
              <w:t>VILLA GUERRERO</w:t>
            </w:r>
          </w:p>
        </w:tc>
        <w:tc>
          <w:tcPr>
            <w:tcW w:w="542" w:type="dxa"/>
          </w:tcPr>
          <w:p>
            <w:pPr>
              <w:pStyle w:val="TableParagraph"/>
              <w:spacing w:line="203" w:lineRule="exact"/>
              <w:ind w:right="3"/>
              <w:rPr>
                <w:sz w:val="18"/>
              </w:rPr>
            </w:pPr>
            <w:r>
              <w:rPr>
                <w:color w:val="333333"/>
                <w:w w:val="99"/>
                <w:sz w:val="18"/>
              </w:rPr>
              <w:t>0</w:t>
            </w:r>
          </w:p>
        </w:tc>
        <w:tc>
          <w:tcPr>
            <w:tcW w:w="567" w:type="dxa"/>
          </w:tcPr>
          <w:p>
            <w:pPr>
              <w:pStyle w:val="TableParagraph"/>
              <w:spacing w:line="203" w:lineRule="exact"/>
              <w:ind w:right="2"/>
              <w:rPr>
                <w:sz w:val="18"/>
              </w:rPr>
            </w:pPr>
            <w:r>
              <w:rPr>
                <w:color w:val="333333"/>
                <w:w w:val="99"/>
                <w:sz w:val="18"/>
              </w:rPr>
              <w:t>0</w:t>
            </w:r>
          </w:p>
        </w:tc>
        <w:tc>
          <w:tcPr>
            <w:tcW w:w="641" w:type="dxa"/>
          </w:tcPr>
          <w:p>
            <w:pPr>
              <w:pStyle w:val="TableParagraph"/>
              <w:spacing w:line="203" w:lineRule="exact"/>
              <w:ind w:right="1"/>
              <w:rPr>
                <w:sz w:val="18"/>
              </w:rPr>
            </w:pPr>
            <w:r>
              <w:rPr>
                <w:color w:val="333333"/>
                <w:w w:val="99"/>
                <w:sz w:val="18"/>
              </w:rPr>
              <w:t>2</w:t>
            </w:r>
          </w:p>
        </w:tc>
        <w:tc>
          <w:tcPr>
            <w:tcW w:w="545" w:type="dxa"/>
          </w:tcPr>
          <w:p>
            <w:pPr>
              <w:pStyle w:val="TableParagraph"/>
              <w:spacing w:line="203" w:lineRule="exact"/>
              <w:ind w:right="5"/>
              <w:rPr>
                <w:sz w:val="18"/>
              </w:rPr>
            </w:pPr>
            <w:r>
              <w:rPr>
                <w:color w:val="333333"/>
                <w:w w:val="99"/>
                <w:sz w:val="18"/>
              </w:rPr>
              <w:t>5</w:t>
            </w:r>
          </w:p>
        </w:tc>
        <w:tc>
          <w:tcPr>
            <w:tcW w:w="694" w:type="dxa"/>
          </w:tcPr>
          <w:p>
            <w:pPr>
              <w:pStyle w:val="TableParagraph"/>
              <w:spacing w:line="203" w:lineRule="exact"/>
              <w:ind w:right="239"/>
              <w:jc w:val="right"/>
              <w:rPr>
                <w:sz w:val="18"/>
              </w:rPr>
            </w:pPr>
            <w:r>
              <w:rPr>
                <w:color w:val="333333"/>
                <w:w w:val="95"/>
                <w:sz w:val="18"/>
              </w:rPr>
              <w:t>26</w:t>
            </w:r>
          </w:p>
        </w:tc>
        <w:tc>
          <w:tcPr>
            <w:tcW w:w="713" w:type="dxa"/>
          </w:tcPr>
          <w:p>
            <w:pPr>
              <w:pStyle w:val="TableParagraph"/>
              <w:spacing w:line="203" w:lineRule="exact"/>
              <w:ind w:left="81" w:right="81"/>
              <w:rPr>
                <w:sz w:val="18"/>
              </w:rPr>
            </w:pPr>
            <w:r>
              <w:rPr>
                <w:color w:val="333333"/>
                <w:sz w:val="18"/>
              </w:rPr>
              <w:t>19</w:t>
            </w:r>
          </w:p>
        </w:tc>
        <w:tc>
          <w:tcPr>
            <w:tcW w:w="708" w:type="dxa"/>
          </w:tcPr>
          <w:p>
            <w:pPr>
              <w:pStyle w:val="TableParagraph"/>
              <w:spacing w:line="203" w:lineRule="exact"/>
              <w:ind w:left="79" w:right="77"/>
              <w:rPr>
                <w:sz w:val="18"/>
              </w:rPr>
            </w:pPr>
            <w:r>
              <w:rPr>
                <w:color w:val="333333"/>
                <w:sz w:val="18"/>
              </w:rPr>
              <w:t>26</w:t>
            </w:r>
          </w:p>
        </w:tc>
        <w:tc>
          <w:tcPr>
            <w:tcW w:w="708" w:type="dxa"/>
          </w:tcPr>
          <w:p>
            <w:pPr>
              <w:pStyle w:val="TableParagraph"/>
              <w:spacing w:line="203" w:lineRule="exact"/>
              <w:ind w:left="79" w:right="77"/>
              <w:rPr>
                <w:sz w:val="18"/>
              </w:rPr>
            </w:pPr>
            <w:r>
              <w:rPr>
                <w:color w:val="333333"/>
                <w:sz w:val="18"/>
              </w:rPr>
              <w:t>15</w:t>
            </w:r>
          </w:p>
        </w:tc>
        <w:tc>
          <w:tcPr>
            <w:tcW w:w="641" w:type="dxa"/>
          </w:tcPr>
          <w:p>
            <w:pPr>
              <w:pStyle w:val="TableParagraph"/>
              <w:spacing w:line="203" w:lineRule="exact"/>
              <w:ind w:left="46" w:right="44"/>
              <w:rPr>
                <w:sz w:val="18"/>
              </w:rPr>
            </w:pPr>
            <w:r>
              <w:rPr>
                <w:color w:val="333333"/>
                <w:sz w:val="18"/>
              </w:rPr>
              <w:t>19</w:t>
            </w:r>
          </w:p>
        </w:tc>
        <w:tc>
          <w:tcPr>
            <w:tcW w:w="673" w:type="dxa"/>
          </w:tcPr>
          <w:p>
            <w:pPr>
              <w:pStyle w:val="TableParagraph"/>
              <w:spacing w:line="203" w:lineRule="exact"/>
              <w:ind w:left="111" w:right="111"/>
              <w:rPr>
                <w:sz w:val="18"/>
              </w:rPr>
            </w:pPr>
            <w:r>
              <w:rPr>
                <w:color w:val="333333"/>
                <w:sz w:val="18"/>
              </w:rPr>
              <w:t>20</w:t>
            </w:r>
          </w:p>
        </w:tc>
        <w:tc>
          <w:tcPr>
            <w:tcW w:w="686" w:type="dxa"/>
          </w:tcPr>
          <w:p>
            <w:pPr>
              <w:pStyle w:val="TableParagraph"/>
              <w:spacing w:line="203" w:lineRule="exact"/>
              <w:ind w:left="118" w:right="118"/>
              <w:rPr>
                <w:sz w:val="18"/>
              </w:rPr>
            </w:pPr>
            <w:r>
              <w:rPr>
                <w:color w:val="333333"/>
                <w:sz w:val="18"/>
              </w:rPr>
              <w:t>17</w:t>
            </w:r>
          </w:p>
        </w:tc>
        <w:tc>
          <w:tcPr>
            <w:tcW w:w="641" w:type="dxa"/>
          </w:tcPr>
          <w:p>
            <w:pPr>
              <w:pStyle w:val="TableParagraph"/>
              <w:spacing w:line="199" w:lineRule="exact"/>
              <w:ind w:left="46" w:right="44"/>
              <w:rPr>
                <w:b/>
                <w:sz w:val="18"/>
              </w:rPr>
            </w:pPr>
            <w:r>
              <w:rPr>
                <w:b/>
                <w:sz w:val="18"/>
              </w:rPr>
              <w:t>149</w:t>
            </w:r>
          </w:p>
        </w:tc>
      </w:tr>
      <w:tr>
        <w:trPr>
          <w:trHeight w:val="322" w:hRule="exact"/>
        </w:trPr>
        <w:tc>
          <w:tcPr>
            <w:tcW w:w="2381" w:type="dxa"/>
          </w:tcPr>
          <w:p>
            <w:pPr>
              <w:pStyle w:val="TableParagraph"/>
              <w:spacing w:line="203" w:lineRule="exact"/>
              <w:ind w:left="64" w:right="627"/>
              <w:jc w:val="left"/>
              <w:rPr>
                <w:sz w:val="18"/>
              </w:rPr>
            </w:pPr>
            <w:r>
              <w:rPr>
                <w:color w:val="333333"/>
                <w:sz w:val="18"/>
              </w:rPr>
              <w:t>VILLA VICTORIA</w:t>
            </w:r>
          </w:p>
        </w:tc>
        <w:tc>
          <w:tcPr>
            <w:tcW w:w="542" w:type="dxa"/>
          </w:tcPr>
          <w:p>
            <w:pPr>
              <w:pStyle w:val="TableParagraph"/>
              <w:spacing w:line="203" w:lineRule="exact"/>
              <w:ind w:right="3"/>
              <w:rPr>
                <w:sz w:val="18"/>
              </w:rPr>
            </w:pPr>
            <w:r>
              <w:rPr>
                <w:color w:val="333333"/>
                <w:w w:val="99"/>
                <w:sz w:val="18"/>
              </w:rPr>
              <w:t>0</w:t>
            </w:r>
          </w:p>
        </w:tc>
        <w:tc>
          <w:tcPr>
            <w:tcW w:w="567" w:type="dxa"/>
          </w:tcPr>
          <w:p>
            <w:pPr>
              <w:pStyle w:val="TableParagraph"/>
              <w:spacing w:line="203" w:lineRule="exact"/>
              <w:ind w:right="2"/>
              <w:rPr>
                <w:sz w:val="18"/>
              </w:rPr>
            </w:pPr>
            <w:r>
              <w:rPr>
                <w:color w:val="333333"/>
                <w:w w:val="99"/>
                <w:sz w:val="18"/>
              </w:rPr>
              <w:t>0</w:t>
            </w:r>
          </w:p>
        </w:tc>
        <w:tc>
          <w:tcPr>
            <w:tcW w:w="641" w:type="dxa"/>
          </w:tcPr>
          <w:p>
            <w:pPr>
              <w:pStyle w:val="TableParagraph"/>
              <w:spacing w:line="203" w:lineRule="exact"/>
              <w:ind w:right="1"/>
              <w:rPr>
                <w:sz w:val="18"/>
              </w:rPr>
            </w:pPr>
            <w:r>
              <w:rPr>
                <w:color w:val="333333"/>
                <w:w w:val="99"/>
                <w:sz w:val="18"/>
              </w:rPr>
              <w:t>3</w:t>
            </w:r>
          </w:p>
        </w:tc>
        <w:tc>
          <w:tcPr>
            <w:tcW w:w="545" w:type="dxa"/>
          </w:tcPr>
          <w:p>
            <w:pPr>
              <w:pStyle w:val="TableParagraph"/>
              <w:spacing w:line="203" w:lineRule="exact"/>
              <w:ind w:left="47" w:right="47"/>
              <w:rPr>
                <w:sz w:val="18"/>
              </w:rPr>
            </w:pPr>
            <w:r>
              <w:rPr>
                <w:color w:val="333333"/>
                <w:sz w:val="18"/>
              </w:rPr>
              <w:t>13</w:t>
            </w:r>
          </w:p>
        </w:tc>
        <w:tc>
          <w:tcPr>
            <w:tcW w:w="694" w:type="dxa"/>
          </w:tcPr>
          <w:p>
            <w:pPr>
              <w:pStyle w:val="TableParagraph"/>
              <w:spacing w:line="203" w:lineRule="exact"/>
              <w:ind w:right="239"/>
              <w:jc w:val="right"/>
              <w:rPr>
                <w:sz w:val="18"/>
              </w:rPr>
            </w:pPr>
            <w:r>
              <w:rPr>
                <w:color w:val="333333"/>
                <w:w w:val="95"/>
                <w:sz w:val="18"/>
              </w:rPr>
              <w:t>19</w:t>
            </w:r>
          </w:p>
        </w:tc>
        <w:tc>
          <w:tcPr>
            <w:tcW w:w="713" w:type="dxa"/>
          </w:tcPr>
          <w:p>
            <w:pPr>
              <w:pStyle w:val="TableParagraph"/>
              <w:spacing w:line="203" w:lineRule="exact"/>
              <w:ind w:left="81" w:right="81"/>
              <w:rPr>
                <w:sz w:val="18"/>
              </w:rPr>
            </w:pPr>
            <w:r>
              <w:rPr>
                <w:color w:val="333333"/>
                <w:sz w:val="18"/>
              </w:rPr>
              <w:t>45</w:t>
            </w:r>
          </w:p>
        </w:tc>
        <w:tc>
          <w:tcPr>
            <w:tcW w:w="708" w:type="dxa"/>
          </w:tcPr>
          <w:p>
            <w:pPr>
              <w:pStyle w:val="TableParagraph"/>
              <w:spacing w:line="203" w:lineRule="exact"/>
              <w:ind w:left="79" w:right="77"/>
              <w:rPr>
                <w:sz w:val="18"/>
              </w:rPr>
            </w:pPr>
            <w:r>
              <w:rPr>
                <w:color w:val="333333"/>
                <w:sz w:val="18"/>
              </w:rPr>
              <w:t>21</w:t>
            </w:r>
          </w:p>
        </w:tc>
        <w:tc>
          <w:tcPr>
            <w:tcW w:w="708" w:type="dxa"/>
          </w:tcPr>
          <w:p>
            <w:pPr>
              <w:pStyle w:val="TableParagraph"/>
              <w:spacing w:line="203" w:lineRule="exact"/>
              <w:ind w:left="79" w:right="77"/>
              <w:rPr>
                <w:sz w:val="18"/>
              </w:rPr>
            </w:pPr>
            <w:r>
              <w:rPr>
                <w:color w:val="333333"/>
                <w:sz w:val="18"/>
              </w:rPr>
              <w:t>29</w:t>
            </w:r>
          </w:p>
        </w:tc>
        <w:tc>
          <w:tcPr>
            <w:tcW w:w="641" w:type="dxa"/>
          </w:tcPr>
          <w:p>
            <w:pPr>
              <w:pStyle w:val="TableParagraph"/>
              <w:spacing w:line="203" w:lineRule="exact"/>
              <w:ind w:left="46" w:right="44"/>
              <w:rPr>
                <w:sz w:val="18"/>
              </w:rPr>
            </w:pPr>
            <w:r>
              <w:rPr>
                <w:color w:val="333333"/>
                <w:sz w:val="18"/>
              </w:rPr>
              <w:t>24</w:t>
            </w:r>
          </w:p>
        </w:tc>
        <w:tc>
          <w:tcPr>
            <w:tcW w:w="673" w:type="dxa"/>
          </w:tcPr>
          <w:p>
            <w:pPr>
              <w:pStyle w:val="TableParagraph"/>
              <w:spacing w:line="203" w:lineRule="exact"/>
              <w:ind w:left="111" w:right="111"/>
              <w:rPr>
                <w:sz w:val="18"/>
              </w:rPr>
            </w:pPr>
            <w:r>
              <w:rPr>
                <w:color w:val="333333"/>
                <w:sz w:val="18"/>
              </w:rPr>
              <w:t>12</w:t>
            </w:r>
          </w:p>
        </w:tc>
        <w:tc>
          <w:tcPr>
            <w:tcW w:w="686" w:type="dxa"/>
          </w:tcPr>
          <w:p>
            <w:pPr>
              <w:pStyle w:val="TableParagraph"/>
              <w:spacing w:line="203" w:lineRule="exact"/>
              <w:ind w:left="118" w:right="118"/>
              <w:rPr>
                <w:sz w:val="18"/>
              </w:rPr>
            </w:pPr>
            <w:r>
              <w:rPr>
                <w:color w:val="333333"/>
                <w:sz w:val="18"/>
              </w:rPr>
              <w:t>13</w:t>
            </w:r>
          </w:p>
        </w:tc>
        <w:tc>
          <w:tcPr>
            <w:tcW w:w="641" w:type="dxa"/>
          </w:tcPr>
          <w:p>
            <w:pPr>
              <w:pStyle w:val="TableParagraph"/>
              <w:spacing w:line="199" w:lineRule="exact"/>
              <w:ind w:left="46" w:right="44"/>
              <w:rPr>
                <w:b/>
                <w:sz w:val="18"/>
              </w:rPr>
            </w:pPr>
            <w:r>
              <w:rPr>
                <w:b/>
                <w:sz w:val="18"/>
              </w:rPr>
              <w:t>179</w:t>
            </w:r>
          </w:p>
        </w:tc>
      </w:tr>
      <w:tr>
        <w:trPr>
          <w:trHeight w:val="319" w:hRule="exact"/>
        </w:trPr>
        <w:tc>
          <w:tcPr>
            <w:tcW w:w="2381" w:type="dxa"/>
          </w:tcPr>
          <w:p>
            <w:pPr>
              <w:pStyle w:val="TableParagraph"/>
              <w:spacing w:line="203" w:lineRule="exact"/>
              <w:ind w:left="64" w:right="627"/>
              <w:jc w:val="left"/>
              <w:rPr>
                <w:sz w:val="18"/>
              </w:rPr>
            </w:pPr>
            <w:r>
              <w:rPr>
                <w:color w:val="333333"/>
                <w:sz w:val="18"/>
              </w:rPr>
              <w:t>XALATLACO</w:t>
            </w:r>
          </w:p>
        </w:tc>
        <w:tc>
          <w:tcPr>
            <w:tcW w:w="542" w:type="dxa"/>
          </w:tcPr>
          <w:p>
            <w:pPr>
              <w:pStyle w:val="TableParagraph"/>
              <w:spacing w:line="203" w:lineRule="exact"/>
              <w:ind w:right="3"/>
              <w:rPr>
                <w:sz w:val="18"/>
              </w:rPr>
            </w:pPr>
            <w:r>
              <w:rPr>
                <w:color w:val="333333"/>
                <w:w w:val="99"/>
                <w:sz w:val="18"/>
              </w:rPr>
              <w:t>0</w:t>
            </w:r>
          </w:p>
        </w:tc>
        <w:tc>
          <w:tcPr>
            <w:tcW w:w="567" w:type="dxa"/>
          </w:tcPr>
          <w:p>
            <w:pPr>
              <w:pStyle w:val="TableParagraph"/>
              <w:spacing w:line="203" w:lineRule="exact"/>
              <w:ind w:right="2"/>
              <w:rPr>
                <w:sz w:val="18"/>
              </w:rPr>
            </w:pPr>
            <w:r>
              <w:rPr>
                <w:color w:val="333333"/>
                <w:w w:val="99"/>
                <w:sz w:val="18"/>
              </w:rPr>
              <w:t>0</w:t>
            </w:r>
          </w:p>
        </w:tc>
        <w:tc>
          <w:tcPr>
            <w:tcW w:w="641" w:type="dxa"/>
          </w:tcPr>
          <w:p>
            <w:pPr>
              <w:pStyle w:val="TableParagraph"/>
              <w:spacing w:line="203" w:lineRule="exact"/>
              <w:ind w:right="1"/>
              <w:rPr>
                <w:sz w:val="18"/>
              </w:rPr>
            </w:pPr>
            <w:r>
              <w:rPr>
                <w:color w:val="333333"/>
                <w:w w:val="99"/>
                <w:sz w:val="18"/>
              </w:rPr>
              <w:t>1</w:t>
            </w:r>
          </w:p>
        </w:tc>
        <w:tc>
          <w:tcPr>
            <w:tcW w:w="545" w:type="dxa"/>
          </w:tcPr>
          <w:p>
            <w:pPr>
              <w:pStyle w:val="TableParagraph"/>
              <w:spacing w:line="203" w:lineRule="exact"/>
              <w:ind w:right="5"/>
              <w:rPr>
                <w:sz w:val="18"/>
              </w:rPr>
            </w:pPr>
            <w:r>
              <w:rPr>
                <w:color w:val="333333"/>
                <w:w w:val="99"/>
                <w:sz w:val="18"/>
              </w:rPr>
              <w:t>7</w:t>
            </w:r>
          </w:p>
        </w:tc>
        <w:tc>
          <w:tcPr>
            <w:tcW w:w="694" w:type="dxa"/>
          </w:tcPr>
          <w:p>
            <w:pPr>
              <w:pStyle w:val="TableParagraph"/>
              <w:spacing w:line="203" w:lineRule="exact"/>
              <w:ind w:right="239"/>
              <w:jc w:val="right"/>
              <w:rPr>
                <w:sz w:val="18"/>
              </w:rPr>
            </w:pPr>
            <w:r>
              <w:rPr>
                <w:color w:val="333333"/>
                <w:w w:val="95"/>
                <w:sz w:val="18"/>
              </w:rPr>
              <w:t>36</w:t>
            </w:r>
          </w:p>
        </w:tc>
        <w:tc>
          <w:tcPr>
            <w:tcW w:w="713" w:type="dxa"/>
          </w:tcPr>
          <w:p>
            <w:pPr>
              <w:pStyle w:val="TableParagraph"/>
              <w:spacing w:line="203" w:lineRule="exact"/>
              <w:ind w:left="81" w:right="81"/>
              <w:rPr>
                <w:sz w:val="18"/>
              </w:rPr>
            </w:pPr>
            <w:r>
              <w:rPr>
                <w:color w:val="333333"/>
                <w:sz w:val="18"/>
              </w:rPr>
              <w:t>37</w:t>
            </w:r>
          </w:p>
        </w:tc>
        <w:tc>
          <w:tcPr>
            <w:tcW w:w="708" w:type="dxa"/>
          </w:tcPr>
          <w:p>
            <w:pPr>
              <w:pStyle w:val="TableParagraph"/>
              <w:spacing w:line="203" w:lineRule="exact"/>
              <w:ind w:left="79" w:right="77"/>
              <w:rPr>
                <w:sz w:val="18"/>
              </w:rPr>
            </w:pPr>
            <w:r>
              <w:rPr>
                <w:color w:val="333333"/>
                <w:sz w:val="18"/>
              </w:rPr>
              <w:t>44</w:t>
            </w:r>
          </w:p>
        </w:tc>
        <w:tc>
          <w:tcPr>
            <w:tcW w:w="708" w:type="dxa"/>
          </w:tcPr>
          <w:p>
            <w:pPr>
              <w:pStyle w:val="TableParagraph"/>
              <w:spacing w:line="203" w:lineRule="exact"/>
              <w:ind w:left="79" w:right="77"/>
              <w:rPr>
                <w:sz w:val="18"/>
              </w:rPr>
            </w:pPr>
            <w:r>
              <w:rPr>
                <w:color w:val="333333"/>
                <w:sz w:val="18"/>
              </w:rPr>
              <w:t>18</w:t>
            </w:r>
          </w:p>
        </w:tc>
        <w:tc>
          <w:tcPr>
            <w:tcW w:w="641" w:type="dxa"/>
          </w:tcPr>
          <w:p>
            <w:pPr>
              <w:pStyle w:val="TableParagraph"/>
              <w:spacing w:line="203" w:lineRule="exact"/>
              <w:ind w:left="46" w:right="44"/>
              <w:rPr>
                <w:sz w:val="18"/>
              </w:rPr>
            </w:pPr>
            <w:r>
              <w:rPr>
                <w:color w:val="333333"/>
                <w:sz w:val="18"/>
              </w:rPr>
              <w:t>15</w:t>
            </w:r>
          </w:p>
        </w:tc>
        <w:tc>
          <w:tcPr>
            <w:tcW w:w="673" w:type="dxa"/>
          </w:tcPr>
          <w:p>
            <w:pPr>
              <w:pStyle w:val="TableParagraph"/>
              <w:spacing w:line="203" w:lineRule="exact"/>
              <w:rPr>
                <w:sz w:val="18"/>
              </w:rPr>
            </w:pPr>
            <w:r>
              <w:rPr>
                <w:color w:val="333333"/>
                <w:w w:val="99"/>
                <w:sz w:val="18"/>
              </w:rPr>
              <w:t>8</w:t>
            </w:r>
          </w:p>
        </w:tc>
        <w:tc>
          <w:tcPr>
            <w:tcW w:w="686" w:type="dxa"/>
          </w:tcPr>
          <w:p>
            <w:pPr>
              <w:pStyle w:val="TableParagraph"/>
              <w:spacing w:line="203" w:lineRule="exact"/>
              <w:ind w:left="118" w:right="118"/>
              <w:rPr>
                <w:sz w:val="18"/>
              </w:rPr>
            </w:pPr>
            <w:r>
              <w:rPr>
                <w:color w:val="333333"/>
                <w:sz w:val="18"/>
              </w:rPr>
              <w:t>18</w:t>
            </w:r>
          </w:p>
        </w:tc>
        <w:tc>
          <w:tcPr>
            <w:tcW w:w="641" w:type="dxa"/>
          </w:tcPr>
          <w:p>
            <w:pPr>
              <w:pStyle w:val="TableParagraph"/>
              <w:spacing w:line="199" w:lineRule="exact"/>
              <w:ind w:left="46" w:right="44"/>
              <w:rPr>
                <w:b/>
                <w:sz w:val="18"/>
              </w:rPr>
            </w:pPr>
            <w:r>
              <w:rPr>
                <w:b/>
                <w:sz w:val="18"/>
              </w:rPr>
              <w:t>184</w:t>
            </w:r>
          </w:p>
        </w:tc>
      </w:tr>
      <w:tr>
        <w:trPr>
          <w:trHeight w:val="322" w:hRule="exact"/>
        </w:trPr>
        <w:tc>
          <w:tcPr>
            <w:tcW w:w="2381" w:type="dxa"/>
          </w:tcPr>
          <w:p>
            <w:pPr>
              <w:pStyle w:val="TableParagraph"/>
              <w:spacing w:line="203" w:lineRule="exact"/>
              <w:ind w:left="64" w:right="627"/>
              <w:jc w:val="left"/>
              <w:rPr>
                <w:sz w:val="18"/>
              </w:rPr>
            </w:pPr>
            <w:r>
              <w:rPr>
                <w:color w:val="333333"/>
                <w:sz w:val="18"/>
              </w:rPr>
              <w:t>XONACATLAN</w:t>
            </w:r>
          </w:p>
        </w:tc>
        <w:tc>
          <w:tcPr>
            <w:tcW w:w="542" w:type="dxa"/>
          </w:tcPr>
          <w:p>
            <w:pPr>
              <w:pStyle w:val="TableParagraph"/>
              <w:spacing w:line="203" w:lineRule="exact"/>
              <w:ind w:right="3"/>
              <w:rPr>
                <w:sz w:val="18"/>
              </w:rPr>
            </w:pPr>
            <w:r>
              <w:rPr>
                <w:color w:val="333333"/>
                <w:w w:val="99"/>
                <w:sz w:val="18"/>
              </w:rPr>
              <w:t>0</w:t>
            </w:r>
          </w:p>
        </w:tc>
        <w:tc>
          <w:tcPr>
            <w:tcW w:w="567" w:type="dxa"/>
          </w:tcPr>
          <w:p>
            <w:pPr>
              <w:pStyle w:val="TableParagraph"/>
              <w:spacing w:line="203" w:lineRule="exact"/>
              <w:ind w:right="2"/>
              <w:rPr>
                <w:sz w:val="18"/>
              </w:rPr>
            </w:pPr>
            <w:r>
              <w:rPr>
                <w:color w:val="333333"/>
                <w:w w:val="99"/>
                <w:sz w:val="18"/>
              </w:rPr>
              <w:t>0</w:t>
            </w:r>
          </w:p>
        </w:tc>
        <w:tc>
          <w:tcPr>
            <w:tcW w:w="641" w:type="dxa"/>
          </w:tcPr>
          <w:p>
            <w:pPr>
              <w:pStyle w:val="TableParagraph"/>
              <w:spacing w:line="203" w:lineRule="exact"/>
              <w:ind w:right="1"/>
              <w:rPr>
                <w:sz w:val="18"/>
              </w:rPr>
            </w:pPr>
            <w:r>
              <w:rPr>
                <w:color w:val="333333"/>
                <w:w w:val="99"/>
                <w:sz w:val="18"/>
              </w:rPr>
              <w:t>1</w:t>
            </w:r>
          </w:p>
        </w:tc>
        <w:tc>
          <w:tcPr>
            <w:tcW w:w="545" w:type="dxa"/>
          </w:tcPr>
          <w:p>
            <w:pPr>
              <w:pStyle w:val="TableParagraph"/>
              <w:spacing w:line="203" w:lineRule="exact"/>
              <w:ind w:left="47" w:right="47"/>
              <w:rPr>
                <w:sz w:val="18"/>
              </w:rPr>
            </w:pPr>
            <w:r>
              <w:rPr>
                <w:color w:val="333333"/>
                <w:sz w:val="18"/>
              </w:rPr>
              <w:t>25</w:t>
            </w:r>
          </w:p>
        </w:tc>
        <w:tc>
          <w:tcPr>
            <w:tcW w:w="694" w:type="dxa"/>
          </w:tcPr>
          <w:p>
            <w:pPr>
              <w:pStyle w:val="TableParagraph"/>
              <w:spacing w:line="203" w:lineRule="exact"/>
              <w:ind w:right="239"/>
              <w:jc w:val="right"/>
              <w:rPr>
                <w:sz w:val="18"/>
              </w:rPr>
            </w:pPr>
            <w:r>
              <w:rPr>
                <w:color w:val="333333"/>
                <w:w w:val="95"/>
                <w:sz w:val="18"/>
              </w:rPr>
              <w:t>26</w:t>
            </w:r>
          </w:p>
        </w:tc>
        <w:tc>
          <w:tcPr>
            <w:tcW w:w="713" w:type="dxa"/>
          </w:tcPr>
          <w:p>
            <w:pPr>
              <w:pStyle w:val="TableParagraph"/>
              <w:spacing w:line="203" w:lineRule="exact"/>
              <w:ind w:left="81" w:right="81"/>
              <w:rPr>
                <w:sz w:val="18"/>
              </w:rPr>
            </w:pPr>
            <w:r>
              <w:rPr>
                <w:color w:val="333333"/>
                <w:sz w:val="18"/>
              </w:rPr>
              <w:t>25</w:t>
            </w:r>
          </w:p>
        </w:tc>
        <w:tc>
          <w:tcPr>
            <w:tcW w:w="708" w:type="dxa"/>
          </w:tcPr>
          <w:p>
            <w:pPr>
              <w:pStyle w:val="TableParagraph"/>
              <w:spacing w:line="203" w:lineRule="exact"/>
              <w:ind w:left="79" w:right="77"/>
              <w:rPr>
                <w:sz w:val="18"/>
              </w:rPr>
            </w:pPr>
            <w:r>
              <w:rPr>
                <w:color w:val="333333"/>
                <w:sz w:val="18"/>
              </w:rPr>
              <w:t>36</w:t>
            </w:r>
          </w:p>
        </w:tc>
        <w:tc>
          <w:tcPr>
            <w:tcW w:w="708" w:type="dxa"/>
          </w:tcPr>
          <w:p>
            <w:pPr>
              <w:pStyle w:val="TableParagraph"/>
              <w:spacing w:line="203" w:lineRule="exact"/>
              <w:ind w:left="79" w:right="77"/>
              <w:rPr>
                <w:sz w:val="18"/>
              </w:rPr>
            </w:pPr>
            <w:r>
              <w:rPr>
                <w:color w:val="333333"/>
                <w:sz w:val="18"/>
              </w:rPr>
              <w:t>32</w:t>
            </w:r>
          </w:p>
        </w:tc>
        <w:tc>
          <w:tcPr>
            <w:tcW w:w="641" w:type="dxa"/>
          </w:tcPr>
          <w:p>
            <w:pPr>
              <w:pStyle w:val="TableParagraph"/>
              <w:spacing w:line="203" w:lineRule="exact"/>
              <w:ind w:left="46" w:right="44"/>
              <w:rPr>
                <w:sz w:val="18"/>
              </w:rPr>
            </w:pPr>
            <w:r>
              <w:rPr>
                <w:color w:val="333333"/>
                <w:sz w:val="18"/>
              </w:rPr>
              <w:t>45</w:t>
            </w:r>
          </w:p>
        </w:tc>
        <w:tc>
          <w:tcPr>
            <w:tcW w:w="673" w:type="dxa"/>
          </w:tcPr>
          <w:p>
            <w:pPr>
              <w:pStyle w:val="TableParagraph"/>
              <w:spacing w:line="203" w:lineRule="exact"/>
              <w:ind w:left="111" w:right="111"/>
              <w:rPr>
                <w:sz w:val="18"/>
              </w:rPr>
            </w:pPr>
            <w:r>
              <w:rPr>
                <w:color w:val="333333"/>
                <w:sz w:val="18"/>
              </w:rPr>
              <w:t>38</w:t>
            </w:r>
          </w:p>
        </w:tc>
        <w:tc>
          <w:tcPr>
            <w:tcW w:w="686" w:type="dxa"/>
          </w:tcPr>
          <w:p>
            <w:pPr>
              <w:pStyle w:val="TableParagraph"/>
              <w:spacing w:line="203" w:lineRule="exact"/>
              <w:ind w:left="118" w:right="118"/>
              <w:rPr>
                <w:sz w:val="18"/>
              </w:rPr>
            </w:pPr>
            <w:r>
              <w:rPr>
                <w:color w:val="333333"/>
                <w:sz w:val="18"/>
              </w:rPr>
              <w:t>36</w:t>
            </w:r>
          </w:p>
        </w:tc>
        <w:tc>
          <w:tcPr>
            <w:tcW w:w="641" w:type="dxa"/>
          </w:tcPr>
          <w:p>
            <w:pPr>
              <w:pStyle w:val="TableParagraph"/>
              <w:spacing w:line="199" w:lineRule="exact"/>
              <w:ind w:left="46" w:right="44"/>
              <w:rPr>
                <w:b/>
                <w:sz w:val="18"/>
              </w:rPr>
            </w:pPr>
            <w:r>
              <w:rPr>
                <w:b/>
                <w:sz w:val="18"/>
              </w:rPr>
              <w:t>264</w:t>
            </w:r>
          </w:p>
        </w:tc>
      </w:tr>
      <w:tr>
        <w:trPr>
          <w:trHeight w:val="319" w:hRule="exact"/>
        </w:trPr>
        <w:tc>
          <w:tcPr>
            <w:tcW w:w="2381" w:type="dxa"/>
          </w:tcPr>
          <w:p>
            <w:pPr>
              <w:pStyle w:val="TableParagraph"/>
              <w:spacing w:line="203" w:lineRule="exact"/>
              <w:ind w:left="64" w:right="627"/>
              <w:jc w:val="left"/>
              <w:rPr>
                <w:sz w:val="18"/>
              </w:rPr>
            </w:pPr>
            <w:r>
              <w:rPr>
                <w:color w:val="333333"/>
                <w:sz w:val="18"/>
              </w:rPr>
              <w:t>ZACAZONAPAN</w:t>
            </w:r>
          </w:p>
        </w:tc>
        <w:tc>
          <w:tcPr>
            <w:tcW w:w="542" w:type="dxa"/>
          </w:tcPr>
          <w:p>
            <w:pPr>
              <w:pStyle w:val="TableParagraph"/>
              <w:spacing w:line="203" w:lineRule="exact"/>
              <w:ind w:right="3"/>
              <w:rPr>
                <w:sz w:val="18"/>
              </w:rPr>
            </w:pPr>
            <w:r>
              <w:rPr>
                <w:color w:val="333333"/>
                <w:w w:val="99"/>
                <w:sz w:val="18"/>
              </w:rPr>
              <w:t>0</w:t>
            </w:r>
          </w:p>
        </w:tc>
        <w:tc>
          <w:tcPr>
            <w:tcW w:w="567" w:type="dxa"/>
          </w:tcPr>
          <w:p>
            <w:pPr>
              <w:pStyle w:val="TableParagraph"/>
              <w:spacing w:line="203" w:lineRule="exact"/>
              <w:ind w:right="2"/>
              <w:rPr>
                <w:sz w:val="18"/>
              </w:rPr>
            </w:pPr>
            <w:r>
              <w:rPr>
                <w:color w:val="333333"/>
                <w:w w:val="99"/>
                <w:sz w:val="18"/>
              </w:rPr>
              <w:t>0</w:t>
            </w:r>
          </w:p>
        </w:tc>
        <w:tc>
          <w:tcPr>
            <w:tcW w:w="641" w:type="dxa"/>
          </w:tcPr>
          <w:p>
            <w:pPr>
              <w:pStyle w:val="TableParagraph"/>
              <w:spacing w:line="203" w:lineRule="exact"/>
              <w:ind w:right="1"/>
              <w:rPr>
                <w:sz w:val="18"/>
              </w:rPr>
            </w:pPr>
            <w:r>
              <w:rPr>
                <w:color w:val="333333"/>
                <w:w w:val="99"/>
                <w:sz w:val="18"/>
              </w:rPr>
              <w:t>1</w:t>
            </w:r>
          </w:p>
        </w:tc>
        <w:tc>
          <w:tcPr>
            <w:tcW w:w="545" w:type="dxa"/>
          </w:tcPr>
          <w:p>
            <w:pPr>
              <w:pStyle w:val="TableParagraph"/>
              <w:spacing w:line="203" w:lineRule="exact"/>
              <w:ind w:left="47" w:right="47"/>
              <w:rPr>
                <w:sz w:val="18"/>
              </w:rPr>
            </w:pPr>
            <w:r>
              <w:rPr>
                <w:color w:val="333333"/>
                <w:sz w:val="18"/>
              </w:rPr>
              <w:t>19</w:t>
            </w:r>
          </w:p>
        </w:tc>
        <w:tc>
          <w:tcPr>
            <w:tcW w:w="694" w:type="dxa"/>
          </w:tcPr>
          <w:p>
            <w:pPr>
              <w:pStyle w:val="TableParagraph"/>
              <w:spacing w:line="203" w:lineRule="exact"/>
              <w:ind w:right="239"/>
              <w:jc w:val="right"/>
              <w:rPr>
                <w:sz w:val="18"/>
              </w:rPr>
            </w:pPr>
            <w:r>
              <w:rPr>
                <w:color w:val="333333"/>
                <w:w w:val="95"/>
                <w:sz w:val="18"/>
              </w:rPr>
              <w:t>43</w:t>
            </w:r>
          </w:p>
        </w:tc>
        <w:tc>
          <w:tcPr>
            <w:tcW w:w="713" w:type="dxa"/>
          </w:tcPr>
          <w:p>
            <w:pPr>
              <w:pStyle w:val="TableParagraph"/>
              <w:spacing w:line="203" w:lineRule="exact"/>
              <w:ind w:left="81" w:right="81"/>
              <w:rPr>
                <w:sz w:val="18"/>
              </w:rPr>
            </w:pPr>
            <w:r>
              <w:rPr>
                <w:color w:val="333333"/>
                <w:sz w:val="18"/>
              </w:rPr>
              <w:t>14</w:t>
            </w:r>
          </w:p>
        </w:tc>
        <w:tc>
          <w:tcPr>
            <w:tcW w:w="708" w:type="dxa"/>
          </w:tcPr>
          <w:p>
            <w:pPr>
              <w:pStyle w:val="TableParagraph"/>
              <w:spacing w:line="203" w:lineRule="exact"/>
              <w:ind w:left="79" w:right="77"/>
              <w:rPr>
                <w:sz w:val="18"/>
              </w:rPr>
            </w:pPr>
            <w:r>
              <w:rPr>
                <w:color w:val="333333"/>
                <w:sz w:val="18"/>
              </w:rPr>
              <w:t>17</w:t>
            </w:r>
          </w:p>
        </w:tc>
        <w:tc>
          <w:tcPr>
            <w:tcW w:w="708" w:type="dxa"/>
          </w:tcPr>
          <w:p>
            <w:pPr>
              <w:pStyle w:val="TableParagraph"/>
              <w:spacing w:line="203" w:lineRule="exact"/>
              <w:ind w:left="79" w:right="77"/>
              <w:rPr>
                <w:sz w:val="18"/>
              </w:rPr>
            </w:pPr>
            <w:r>
              <w:rPr>
                <w:color w:val="333333"/>
                <w:sz w:val="18"/>
              </w:rPr>
              <w:t>11</w:t>
            </w:r>
          </w:p>
        </w:tc>
        <w:tc>
          <w:tcPr>
            <w:tcW w:w="641" w:type="dxa"/>
          </w:tcPr>
          <w:p>
            <w:pPr>
              <w:pStyle w:val="TableParagraph"/>
              <w:spacing w:line="203" w:lineRule="exact"/>
              <w:ind w:left="46" w:right="44"/>
              <w:rPr>
                <w:sz w:val="18"/>
              </w:rPr>
            </w:pPr>
            <w:r>
              <w:rPr>
                <w:color w:val="333333"/>
                <w:sz w:val="18"/>
              </w:rPr>
              <w:t>13</w:t>
            </w:r>
          </w:p>
        </w:tc>
        <w:tc>
          <w:tcPr>
            <w:tcW w:w="673" w:type="dxa"/>
          </w:tcPr>
          <w:p>
            <w:pPr>
              <w:pStyle w:val="TableParagraph"/>
              <w:spacing w:line="203" w:lineRule="exact"/>
              <w:rPr>
                <w:sz w:val="18"/>
              </w:rPr>
            </w:pPr>
            <w:r>
              <w:rPr>
                <w:color w:val="333333"/>
                <w:w w:val="99"/>
                <w:sz w:val="18"/>
              </w:rPr>
              <w:t>4</w:t>
            </w:r>
          </w:p>
        </w:tc>
        <w:tc>
          <w:tcPr>
            <w:tcW w:w="686" w:type="dxa"/>
          </w:tcPr>
          <w:p>
            <w:pPr>
              <w:pStyle w:val="TableParagraph"/>
              <w:spacing w:line="203" w:lineRule="exact"/>
              <w:ind w:left="118" w:right="118"/>
              <w:rPr>
                <w:sz w:val="18"/>
              </w:rPr>
            </w:pPr>
            <w:r>
              <w:rPr>
                <w:color w:val="333333"/>
                <w:sz w:val="18"/>
              </w:rPr>
              <w:t>23</w:t>
            </w:r>
          </w:p>
        </w:tc>
        <w:tc>
          <w:tcPr>
            <w:tcW w:w="641" w:type="dxa"/>
          </w:tcPr>
          <w:p>
            <w:pPr>
              <w:pStyle w:val="TableParagraph"/>
              <w:spacing w:line="199" w:lineRule="exact"/>
              <w:ind w:left="46" w:right="44"/>
              <w:rPr>
                <w:b/>
                <w:sz w:val="18"/>
              </w:rPr>
            </w:pPr>
            <w:r>
              <w:rPr>
                <w:b/>
                <w:sz w:val="18"/>
              </w:rPr>
              <w:t>145</w:t>
            </w:r>
          </w:p>
        </w:tc>
      </w:tr>
      <w:tr>
        <w:trPr>
          <w:trHeight w:val="322" w:hRule="exact"/>
        </w:trPr>
        <w:tc>
          <w:tcPr>
            <w:tcW w:w="2381" w:type="dxa"/>
          </w:tcPr>
          <w:p>
            <w:pPr>
              <w:pStyle w:val="TableParagraph"/>
              <w:spacing w:line="203" w:lineRule="exact"/>
              <w:ind w:left="64" w:right="627"/>
              <w:jc w:val="left"/>
              <w:rPr>
                <w:sz w:val="18"/>
              </w:rPr>
            </w:pPr>
            <w:r>
              <w:rPr>
                <w:color w:val="333333"/>
                <w:sz w:val="18"/>
              </w:rPr>
              <w:t>ZACUALPAN</w:t>
            </w:r>
          </w:p>
        </w:tc>
        <w:tc>
          <w:tcPr>
            <w:tcW w:w="542" w:type="dxa"/>
          </w:tcPr>
          <w:p>
            <w:pPr>
              <w:pStyle w:val="TableParagraph"/>
              <w:spacing w:line="203" w:lineRule="exact"/>
              <w:ind w:right="3"/>
              <w:rPr>
                <w:sz w:val="18"/>
              </w:rPr>
            </w:pPr>
            <w:r>
              <w:rPr>
                <w:color w:val="333333"/>
                <w:w w:val="99"/>
                <w:sz w:val="18"/>
              </w:rPr>
              <w:t>0</w:t>
            </w:r>
          </w:p>
        </w:tc>
        <w:tc>
          <w:tcPr>
            <w:tcW w:w="567" w:type="dxa"/>
          </w:tcPr>
          <w:p>
            <w:pPr>
              <w:pStyle w:val="TableParagraph"/>
              <w:spacing w:line="203" w:lineRule="exact"/>
              <w:ind w:right="2"/>
              <w:rPr>
                <w:sz w:val="18"/>
              </w:rPr>
            </w:pPr>
            <w:r>
              <w:rPr>
                <w:color w:val="333333"/>
                <w:w w:val="99"/>
                <w:sz w:val="18"/>
              </w:rPr>
              <w:t>0</w:t>
            </w:r>
          </w:p>
        </w:tc>
        <w:tc>
          <w:tcPr>
            <w:tcW w:w="641" w:type="dxa"/>
          </w:tcPr>
          <w:p>
            <w:pPr>
              <w:pStyle w:val="TableParagraph"/>
              <w:spacing w:line="203" w:lineRule="exact"/>
              <w:ind w:right="1"/>
              <w:rPr>
                <w:sz w:val="18"/>
              </w:rPr>
            </w:pPr>
            <w:r>
              <w:rPr>
                <w:color w:val="333333"/>
                <w:w w:val="99"/>
                <w:sz w:val="18"/>
              </w:rPr>
              <w:t>0</w:t>
            </w:r>
          </w:p>
        </w:tc>
        <w:tc>
          <w:tcPr>
            <w:tcW w:w="545" w:type="dxa"/>
          </w:tcPr>
          <w:p>
            <w:pPr>
              <w:pStyle w:val="TableParagraph"/>
              <w:spacing w:line="203" w:lineRule="exact"/>
              <w:ind w:right="5"/>
              <w:rPr>
                <w:sz w:val="18"/>
              </w:rPr>
            </w:pPr>
            <w:r>
              <w:rPr>
                <w:color w:val="333333"/>
                <w:w w:val="99"/>
                <w:sz w:val="18"/>
              </w:rPr>
              <w:t>4</w:t>
            </w:r>
          </w:p>
        </w:tc>
        <w:tc>
          <w:tcPr>
            <w:tcW w:w="694" w:type="dxa"/>
          </w:tcPr>
          <w:p>
            <w:pPr>
              <w:pStyle w:val="TableParagraph"/>
              <w:spacing w:line="203" w:lineRule="exact"/>
              <w:ind w:right="1"/>
              <w:rPr>
                <w:sz w:val="18"/>
              </w:rPr>
            </w:pPr>
            <w:r>
              <w:rPr>
                <w:color w:val="333333"/>
                <w:w w:val="99"/>
                <w:sz w:val="18"/>
              </w:rPr>
              <w:t>9</w:t>
            </w:r>
          </w:p>
        </w:tc>
        <w:tc>
          <w:tcPr>
            <w:tcW w:w="713" w:type="dxa"/>
          </w:tcPr>
          <w:p>
            <w:pPr>
              <w:pStyle w:val="TableParagraph"/>
              <w:spacing w:line="203" w:lineRule="exact"/>
              <w:ind w:left="81" w:right="81"/>
              <w:rPr>
                <w:sz w:val="18"/>
              </w:rPr>
            </w:pPr>
            <w:r>
              <w:rPr>
                <w:color w:val="333333"/>
                <w:sz w:val="18"/>
              </w:rPr>
              <w:t>71</w:t>
            </w:r>
          </w:p>
        </w:tc>
        <w:tc>
          <w:tcPr>
            <w:tcW w:w="708" w:type="dxa"/>
          </w:tcPr>
          <w:p>
            <w:pPr>
              <w:pStyle w:val="TableParagraph"/>
              <w:spacing w:line="203" w:lineRule="exact"/>
              <w:ind w:left="79" w:right="77"/>
              <w:rPr>
                <w:sz w:val="18"/>
              </w:rPr>
            </w:pPr>
            <w:r>
              <w:rPr>
                <w:color w:val="333333"/>
                <w:sz w:val="18"/>
              </w:rPr>
              <w:t>47</w:t>
            </w:r>
          </w:p>
        </w:tc>
        <w:tc>
          <w:tcPr>
            <w:tcW w:w="708" w:type="dxa"/>
          </w:tcPr>
          <w:p>
            <w:pPr>
              <w:pStyle w:val="TableParagraph"/>
              <w:spacing w:line="203" w:lineRule="exact"/>
              <w:ind w:left="79" w:right="77"/>
              <w:rPr>
                <w:sz w:val="18"/>
              </w:rPr>
            </w:pPr>
            <w:r>
              <w:rPr>
                <w:color w:val="333333"/>
                <w:sz w:val="18"/>
              </w:rPr>
              <w:t>80</w:t>
            </w:r>
          </w:p>
        </w:tc>
        <w:tc>
          <w:tcPr>
            <w:tcW w:w="641" w:type="dxa"/>
          </w:tcPr>
          <w:p>
            <w:pPr>
              <w:pStyle w:val="TableParagraph"/>
              <w:spacing w:line="203" w:lineRule="exact"/>
              <w:ind w:left="46" w:right="44"/>
              <w:rPr>
                <w:sz w:val="18"/>
              </w:rPr>
            </w:pPr>
            <w:r>
              <w:rPr>
                <w:color w:val="333333"/>
                <w:sz w:val="18"/>
              </w:rPr>
              <w:t>34</w:t>
            </w:r>
          </w:p>
        </w:tc>
        <w:tc>
          <w:tcPr>
            <w:tcW w:w="673" w:type="dxa"/>
          </w:tcPr>
          <w:p>
            <w:pPr>
              <w:pStyle w:val="TableParagraph"/>
              <w:spacing w:line="203" w:lineRule="exact"/>
              <w:ind w:left="111" w:right="111"/>
              <w:rPr>
                <w:sz w:val="18"/>
              </w:rPr>
            </w:pPr>
            <w:r>
              <w:rPr>
                <w:color w:val="333333"/>
                <w:sz w:val="18"/>
              </w:rPr>
              <w:t>28</w:t>
            </w:r>
          </w:p>
        </w:tc>
        <w:tc>
          <w:tcPr>
            <w:tcW w:w="686" w:type="dxa"/>
          </w:tcPr>
          <w:p>
            <w:pPr>
              <w:pStyle w:val="TableParagraph"/>
              <w:spacing w:line="203" w:lineRule="exact"/>
              <w:ind w:left="118" w:right="118"/>
              <w:rPr>
                <w:sz w:val="18"/>
              </w:rPr>
            </w:pPr>
            <w:r>
              <w:rPr>
                <w:color w:val="333333"/>
                <w:sz w:val="18"/>
              </w:rPr>
              <w:t>15</w:t>
            </w:r>
          </w:p>
        </w:tc>
        <w:tc>
          <w:tcPr>
            <w:tcW w:w="641" w:type="dxa"/>
          </w:tcPr>
          <w:p>
            <w:pPr>
              <w:pStyle w:val="TableParagraph"/>
              <w:spacing w:line="199" w:lineRule="exact"/>
              <w:ind w:left="46" w:right="44"/>
              <w:rPr>
                <w:b/>
                <w:sz w:val="18"/>
              </w:rPr>
            </w:pPr>
            <w:r>
              <w:rPr>
                <w:b/>
                <w:sz w:val="18"/>
              </w:rPr>
              <w:t>288</w:t>
            </w:r>
          </w:p>
        </w:tc>
      </w:tr>
      <w:tr>
        <w:trPr>
          <w:trHeight w:val="319" w:hRule="exact"/>
        </w:trPr>
        <w:tc>
          <w:tcPr>
            <w:tcW w:w="2381" w:type="dxa"/>
          </w:tcPr>
          <w:p>
            <w:pPr>
              <w:pStyle w:val="TableParagraph"/>
              <w:spacing w:line="203" w:lineRule="exact"/>
              <w:ind w:left="64" w:right="627"/>
              <w:jc w:val="left"/>
              <w:rPr>
                <w:sz w:val="18"/>
              </w:rPr>
            </w:pPr>
            <w:r>
              <w:rPr>
                <w:color w:val="333333"/>
                <w:sz w:val="18"/>
              </w:rPr>
              <w:t>ZINACANTEPEC</w:t>
            </w:r>
          </w:p>
        </w:tc>
        <w:tc>
          <w:tcPr>
            <w:tcW w:w="542" w:type="dxa"/>
          </w:tcPr>
          <w:p>
            <w:pPr>
              <w:pStyle w:val="TableParagraph"/>
              <w:spacing w:line="203" w:lineRule="exact"/>
              <w:ind w:right="3"/>
              <w:rPr>
                <w:sz w:val="18"/>
              </w:rPr>
            </w:pPr>
            <w:r>
              <w:rPr>
                <w:color w:val="333333"/>
                <w:w w:val="99"/>
                <w:sz w:val="18"/>
              </w:rPr>
              <w:t>1</w:t>
            </w:r>
          </w:p>
        </w:tc>
        <w:tc>
          <w:tcPr>
            <w:tcW w:w="567" w:type="dxa"/>
          </w:tcPr>
          <w:p>
            <w:pPr>
              <w:pStyle w:val="TableParagraph"/>
              <w:spacing w:line="203" w:lineRule="exact"/>
              <w:ind w:right="2"/>
              <w:rPr>
                <w:sz w:val="18"/>
              </w:rPr>
            </w:pPr>
            <w:r>
              <w:rPr>
                <w:color w:val="333333"/>
                <w:w w:val="99"/>
                <w:sz w:val="18"/>
              </w:rPr>
              <w:t>3</w:t>
            </w:r>
          </w:p>
        </w:tc>
        <w:tc>
          <w:tcPr>
            <w:tcW w:w="641" w:type="dxa"/>
          </w:tcPr>
          <w:p>
            <w:pPr>
              <w:pStyle w:val="TableParagraph"/>
              <w:spacing w:line="203" w:lineRule="exact"/>
              <w:ind w:right="1"/>
              <w:rPr>
                <w:sz w:val="18"/>
              </w:rPr>
            </w:pPr>
            <w:r>
              <w:rPr>
                <w:color w:val="333333"/>
                <w:w w:val="99"/>
                <w:sz w:val="18"/>
              </w:rPr>
              <w:t>7</w:t>
            </w:r>
          </w:p>
        </w:tc>
        <w:tc>
          <w:tcPr>
            <w:tcW w:w="545" w:type="dxa"/>
          </w:tcPr>
          <w:p>
            <w:pPr>
              <w:pStyle w:val="TableParagraph"/>
              <w:spacing w:line="203" w:lineRule="exact"/>
              <w:ind w:left="47" w:right="47"/>
              <w:rPr>
                <w:sz w:val="18"/>
              </w:rPr>
            </w:pPr>
            <w:r>
              <w:rPr>
                <w:color w:val="333333"/>
                <w:sz w:val="18"/>
              </w:rPr>
              <w:t>40</w:t>
            </w:r>
          </w:p>
        </w:tc>
        <w:tc>
          <w:tcPr>
            <w:tcW w:w="694" w:type="dxa"/>
          </w:tcPr>
          <w:p>
            <w:pPr>
              <w:pStyle w:val="TableParagraph"/>
              <w:spacing w:line="203" w:lineRule="exact"/>
              <w:ind w:right="187"/>
              <w:jc w:val="right"/>
              <w:rPr>
                <w:sz w:val="18"/>
              </w:rPr>
            </w:pPr>
            <w:r>
              <w:rPr>
                <w:color w:val="333333"/>
                <w:w w:val="95"/>
                <w:sz w:val="18"/>
              </w:rPr>
              <w:t>183</w:t>
            </w:r>
          </w:p>
        </w:tc>
        <w:tc>
          <w:tcPr>
            <w:tcW w:w="713" w:type="dxa"/>
          </w:tcPr>
          <w:p>
            <w:pPr>
              <w:pStyle w:val="TableParagraph"/>
              <w:spacing w:line="203" w:lineRule="exact"/>
              <w:ind w:left="81" w:right="81"/>
              <w:rPr>
                <w:sz w:val="18"/>
              </w:rPr>
            </w:pPr>
            <w:r>
              <w:rPr>
                <w:color w:val="333333"/>
                <w:sz w:val="18"/>
              </w:rPr>
              <w:t>206</w:t>
            </w:r>
          </w:p>
        </w:tc>
        <w:tc>
          <w:tcPr>
            <w:tcW w:w="708" w:type="dxa"/>
          </w:tcPr>
          <w:p>
            <w:pPr>
              <w:pStyle w:val="TableParagraph"/>
              <w:spacing w:line="203" w:lineRule="exact"/>
              <w:ind w:left="79" w:right="77"/>
              <w:rPr>
                <w:sz w:val="18"/>
              </w:rPr>
            </w:pPr>
            <w:r>
              <w:rPr>
                <w:color w:val="333333"/>
                <w:sz w:val="18"/>
              </w:rPr>
              <w:t>95</w:t>
            </w:r>
          </w:p>
        </w:tc>
        <w:tc>
          <w:tcPr>
            <w:tcW w:w="708" w:type="dxa"/>
          </w:tcPr>
          <w:p>
            <w:pPr>
              <w:pStyle w:val="TableParagraph"/>
              <w:spacing w:line="203" w:lineRule="exact"/>
              <w:ind w:left="79" w:right="77"/>
              <w:rPr>
                <w:sz w:val="18"/>
              </w:rPr>
            </w:pPr>
            <w:r>
              <w:rPr>
                <w:color w:val="333333"/>
                <w:sz w:val="18"/>
              </w:rPr>
              <w:t>67</w:t>
            </w:r>
          </w:p>
        </w:tc>
        <w:tc>
          <w:tcPr>
            <w:tcW w:w="641" w:type="dxa"/>
          </w:tcPr>
          <w:p>
            <w:pPr>
              <w:pStyle w:val="TableParagraph"/>
              <w:spacing w:line="203" w:lineRule="exact"/>
              <w:ind w:left="46" w:right="44"/>
              <w:rPr>
                <w:sz w:val="18"/>
              </w:rPr>
            </w:pPr>
            <w:r>
              <w:rPr>
                <w:color w:val="333333"/>
                <w:sz w:val="18"/>
              </w:rPr>
              <w:t>89</w:t>
            </w:r>
          </w:p>
        </w:tc>
        <w:tc>
          <w:tcPr>
            <w:tcW w:w="673" w:type="dxa"/>
          </w:tcPr>
          <w:p>
            <w:pPr>
              <w:pStyle w:val="TableParagraph"/>
              <w:spacing w:line="203" w:lineRule="exact"/>
              <w:ind w:left="111" w:right="111"/>
              <w:rPr>
                <w:sz w:val="18"/>
              </w:rPr>
            </w:pPr>
            <w:r>
              <w:rPr>
                <w:color w:val="333333"/>
                <w:sz w:val="18"/>
              </w:rPr>
              <w:t>54</w:t>
            </w:r>
          </w:p>
        </w:tc>
        <w:tc>
          <w:tcPr>
            <w:tcW w:w="686" w:type="dxa"/>
          </w:tcPr>
          <w:p>
            <w:pPr>
              <w:pStyle w:val="TableParagraph"/>
              <w:spacing w:line="203" w:lineRule="exact"/>
              <w:ind w:left="118" w:right="118"/>
              <w:rPr>
                <w:sz w:val="18"/>
              </w:rPr>
            </w:pPr>
            <w:r>
              <w:rPr>
                <w:color w:val="333333"/>
                <w:sz w:val="18"/>
              </w:rPr>
              <w:t>43</w:t>
            </w:r>
          </w:p>
        </w:tc>
        <w:tc>
          <w:tcPr>
            <w:tcW w:w="641" w:type="dxa"/>
          </w:tcPr>
          <w:p>
            <w:pPr>
              <w:pStyle w:val="TableParagraph"/>
              <w:spacing w:line="199" w:lineRule="exact"/>
              <w:ind w:left="46" w:right="44"/>
              <w:rPr>
                <w:b/>
                <w:sz w:val="18"/>
              </w:rPr>
            </w:pPr>
            <w:r>
              <w:rPr>
                <w:b/>
                <w:sz w:val="18"/>
              </w:rPr>
              <w:t>788</w:t>
            </w:r>
          </w:p>
        </w:tc>
      </w:tr>
      <w:tr>
        <w:trPr>
          <w:trHeight w:val="322" w:hRule="exact"/>
        </w:trPr>
        <w:tc>
          <w:tcPr>
            <w:tcW w:w="2381" w:type="dxa"/>
          </w:tcPr>
          <w:p>
            <w:pPr>
              <w:pStyle w:val="TableParagraph"/>
              <w:spacing w:line="206" w:lineRule="exact"/>
              <w:ind w:left="64" w:right="627"/>
              <w:jc w:val="left"/>
              <w:rPr>
                <w:sz w:val="18"/>
              </w:rPr>
            </w:pPr>
            <w:r>
              <w:rPr>
                <w:color w:val="333333"/>
                <w:sz w:val="18"/>
              </w:rPr>
              <w:t>ZUMPAHUACAN</w:t>
            </w:r>
          </w:p>
        </w:tc>
        <w:tc>
          <w:tcPr>
            <w:tcW w:w="542" w:type="dxa"/>
          </w:tcPr>
          <w:p>
            <w:pPr>
              <w:pStyle w:val="TableParagraph"/>
              <w:spacing w:line="206" w:lineRule="exact"/>
              <w:ind w:right="3"/>
              <w:rPr>
                <w:sz w:val="18"/>
              </w:rPr>
            </w:pPr>
            <w:r>
              <w:rPr>
                <w:color w:val="333333"/>
                <w:w w:val="99"/>
                <w:sz w:val="18"/>
              </w:rPr>
              <w:t>0</w:t>
            </w:r>
          </w:p>
        </w:tc>
        <w:tc>
          <w:tcPr>
            <w:tcW w:w="567" w:type="dxa"/>
          </w:tcPr>
          <w:p>
            <w:pPr>
              <w:pStyle w:val="TableParagraph"/>
              <w:spacing w:line="206" w:lineRule="exact"/>
              <w:ind w:right="2"/>
              <w:rPr>
                <w:sz w:val="18"/>
              </w:rPr>
            </w:pPr>
            <w:r>
              <w:rPr>
                <w:color w:val="333333"/>
                <w:w w:val="99"/>
                <w:sz w:val="18"/>
              </w:rPr>
              <w:t>0</w:t>
            </w:r>
          </w:p>
        </w:tc>
        <w:tc>
          <w:tcPr>
            <w:tcW w:w="641" w:type="dxa"/>
          </w:tcPr>
          <w:p>
            <w:pPr>
              <w:pStyle w:val="TableParagraph"/>
              <w:spacing w:line="206" w:lineRule="exact"/>
              <w:ind w:right="1"/>
              <w:rPr>
                <w:sz w:val="18"/>
              </w:rPr>
            </w:pPr>
            <w:r>
              <w:rPr>
                <w:color w:val="333333"/>
                <w:w w:val="99"/>
                <w:sz w:val="18"/>
              </w:rPr>
              <w:t>1</w:t>
            </w:r>
          </w:p>
        </w:tc>
        <w:tc>
          <w:tcPr>
            <w:tcW w:w="545" w:type="dxa"/>
          </w:tcPr>
          <w:p>
            <w:pPr>
              <w:pStyle w:val="TableParagraph"/>
              <w:spacing w:line="206" w:lineRule="exact"/>
              <w:ind w:right="5"/>
              <w:rPr>
                <w:sz w:val="18"/>
              </w:rPr>
            </w:pPr>
            <w:r>
              <w:rPr>
                <w:color w:val="333333"/>
                <w:w w:val="99"/>
                <w:sz w:val="18"/>
              </w:rPr>
              <w:t>7</w:t>
            </w:r>
          </w:p>
        </w:tc>
        <w:tc>
          <w:tcPr>
            <w:tcW w:w="694" w:type="dxa"/>
          </w:tcPr>
          <w:p>
            <w:pPr>
              <w:pStyle w:val="TableParagraph"/>
              <w:spacing w:line="206" w:lineRule="exact"/>
              <w:ind w:right="1"/>
              <w:rPr>
                <w:sz w:val="18"/>
              </w:rPr>
            </w:pPr>
            <w:r>
              <w:rPr>
                <w:color w:val="333333"/>
                <w:w w:val="99"/>
                <w:sz w:val="18"/>
              </w:rPr>
              <w:t>7</w:t>
            </w:r>
          </w:p>
        </w:tc>
        <w:tc>
          <w:tcPr>
            <w:tcW w:w="713" w:type="dxa"/>
          </w:tcPr>
          <w:p>
            <w:pPr>
              <w:pStyle w:val="TableParagraph"/>
              <w:spacing w:line="206" w:lineRule="exact"/>
              <w:ind w:left="81" w:right="81"/>
              <w:rPr>
                <w:sz w:val="18"/>
              </w:rPr>
            </w:pPr>
            <w:r>
              <w:rPr>
                <w:color w:val="333333"/>
                <w:sz w:val="18"/>
              </w:rPr>
              <w:t>13</w:t>
            </w:r>
          </w:p>
        </w:tc>
        <w:tc>
          <w:tcPr>
            <w:tcW w:w="708" w:type="dxa"/>
          </w:tcPr>
          <w:p>
            <w:pPr>
              <w:pStyle w:val="TableParagraph"/>
              <w:spacing w:line="206" w:lineRule="exact"/>
              <w:ind w:left="79" w:right="77"/>
              <w:rPr>
                <w:sz w:val="18"/>
              </w:rPr>
            </w:pPr>
            <w:r>
              <w:rPr>
                <w:color w:val="333333"/>
                <w:sz w:val="18"/>
              </w:rPr>
              <w:t>18</w:t>
            </w:r>
          </w:p>
        </w:tc>
        <w:tc>
          <w:tcPr>
            <w:tcW w:w="708" w:type="dxa"/>
          </w:tcPr>
          <w:p>
            <w:pPr>
              <w:pStyle w:val="TableParagraph"/>
              <w:spacing w:line="206" w:lineRule="exact"/>
              <w:ind w:left="79" w:right="77"/>
              <w:rPr>
                <w:sz w:val="18"/>
              </w:rPr>
            </w:pPr>
            <w:r>
              <w:rPr>
                <w:color w:val="333333"/>
                <w:sz w:val="18"/>
              </w:rPr>
              <w:t>17</w:t>
            </w:r>
          </w:p>
        </w:tc>
        <w:tc>
          <w:tcPr>
            <w:tcW w:w="641" w:type="dxa"/>
          </w:tcPr>
          <w:p>
            <w:pPr>
              <w:pStyle w:val="TableParagraph"/>
              <w:spacing w:line="206" w:lineRule="exact"/>
              <w:ind w:left="46" w:right="44"/>
              <w:rPr>
                <w:sz w:val="18"/>
              </w:rPr>
            </w:pPr>
            <w:r>
              <w:rPr>
                <w:color w:val="333333"/>
                <w:sz w:val="18"/>
              </w:rPr>
              <w:t>14</w:t>
            </w:r>
          </w:p>
        </w:tc>
        <w:tc>
          <w:tcPr>
            <w:tcW w:w="673" w:type="dxa"/>
          </w:tcPr>
          <w:p>
            <w:pPr>
              <w:pStyle w:val="TableParagraph"/>
              <w:spacing w:line="206" w:lineRule="exact"/>
              <w:rPr>
                <w:sz w:val="18"/>
              </w:rPr>
            </w:pPr>
            <w:r>
              <w:rPr>
                <w:color w:val="333333"/>
                <w:w w:val="99"/>
                <w:sz w:val="18"/>
              </w:rPr>
              <w:t>7</w:t>
            </w:r>
          </w:p>
        </w:tc>
        <w:tc>
          <w:tcPr>
            <w:tcW w:w="686" w:type="dxa"/>
          </w:tcPr>
          <w:p>
            <w:pPr>
              <w:pStyle w:val="TableParagraph"/>
              <w:spacing w:line="206" w:lineRule="exact"/>
              <w:ind w:left="118" w:right="118"/>
              <w:rPr>
                <w:sz w:val="18"/>
              </w:rPr>
            </w:pPr>
            <w:r>
              <w:rPr>
                <w:color w:val="333333"/>
                <w:sz w:val="18"/>
              </w:rPr>
              <w:t>18</w:t>
            </w:r>
          </w:p>
        </w:tc>
        <w:tc>
          <w:tcPr>
            <w:tcW w:w="641" w:type="dxa"/>
          </w:tcPr>
          <w:p>
            <w:pPr>
              <w:pStyle w:val="TableParagraph"/>
              <w:spacing w:line="201" w:lineRule="exact"/>
              <w:ind w:left="46" w:right="44"/>
              <w:rPr>
                <w:b/>
                <w:sz w:val="18"/>
              </w:rPr>
            </w:pPr>
            <w:r>
              <w:rPr>
                <w:b/>
                <w:sz w:val="18"/>
              </w:rPr>
              <w:t>102</w:t>
            </w:r>
          </w:p>
        </w:tc>
      </w:tr>
      <w:tr>
        <w:trPr>
          <w:trHeight w:val="320" w:hRule="exact"/>
        </w:trPr>
        <w:tc>
          <w:tcPr>
            <w:tcW w:w="2381" w:type="dxa"/>
          </w:tcPr>
          <w:p>
            <w:pPr>
              <w:pStyle w:val="TableParagraph"/>
              <w:spacing w:line="203" w:lineRule="exact"/>
              <w:ind w:left="64" w:right="627"/>
              <w:jc w:val="left"/>
              <w:rPr>
                <w:sz w:val="18"/>
              </w:rPr>
            </w:pPr>
            <w:r>
              <w:rPr>
                <w:color w:val="333333"/>
                <w:sz w:val="18"/>
              </w:rPr>
              <w:t>ZUMPANGO</w:t>
            </w:r>
          </w:p>
        </w:tc>
        <w:tc>
          <w:tcPr>
            <w:tcW w:w="542" w:type="dxa"/>
          </w:tcPr>
          <w:p>
            <w:pPr>
              <w:pStyle w:val="TableParagraph"/>
              <w:spacing w:line="203" w:lineRule="exact"/>
              <w:ind w:right="3"/>
              <w:rPr>
                <w:sz w:val="18"/>
              </w:rPr>
            </w:pPr>
            <w:r>
              <w:rPr>
                <w:color w:val="333333"/>
                <w:w w:val="99"/>
                <w:sz w:val="18"/>
              </w:rPr>
              <w:t>5</w:t>
            </w:r>
          </w:p>
        </w:tc>
        <w:tc>
          <w:tcPr>
            <w:tcW w:w="567" w:type="dxa"/>
          </w:tcPr>
          <w:p>
            <w:pPr>
              <w:pStyle w:val="TableParagraph"/>
              <w:spacing w:line="203" w:lineRule="exact"/>
              <w:ind w:right="2"/>
              <w:rPr>
                <w:sz w:val="18"/>
              </w:rPr>
            </w:pPr>
            <w:r>
              <w:rPr>
                <w:color w:val="333333"/>
                <w:w w:val="99"/>
                <w:sz w:val="18"/>
              </w:rPr>
              <w:t>2</w:t>
            </w:r>
          </w:p>
        </w:tc>
        <w:tc>
          <w:tcPr>
            <w:tcW w:w="641" w:type="dxa"/>
          </w:tcPr>
          <w:p>
            <w:pPr>
              <w:pStyle w:val="TableParagraph"/>
              <w:spacing w:line="203" w:lineRule="exact"/>
              <w:ind w:right="1"/>
              <w:rPr>
                <w:sz w:val="18"/>
              </w:rPr>
            </w:pPr>
            <w:r>
              <w:rPr>
                <w:color w:val="333333"/>
                <w:w w:val="99"/>
                <w:sz w:val="18"/>
              </w:rPr>
              <w:t>7</w:t>
            </w:r>
          </w:p>
        </w:tc>
        <w:tc>
          <w:tcPr>
            <w:tcW w:w="545" w:type="dxa"/>
          </w:tcPr>
          <w:p>
            <w:pPr>
              <w:pStyle w:val="TableParagraph"/>
              <w:spacing w:line="203" w:lineRule="exact"/>
              <w:ind w:left="47" w:right="47"/>
              <w:rPr>
                <w:sz w:val="18"/>
              </w:rPr>
            </w:pPr>
            <w:r>
              <w:rPr>
                <w:color w:val="333333"/>
                <w:sz w:val="18"/>
              </w:rPr>
              <w:t>35</w:t>
            </w:r>
          </w:p>
        </w:tc>
        <w:tc>
          <w:tcPr>
            <w:tcW w:w="694" w:type="dxa"/>
          </w:tcPr>
          <w:p>
            <w:pPr>
              <w:pStyle w:val="TableParagraph"/>
              <w:spacing w:line="203" w:lineRule="exact"/>
              <w:ind w:right="187"/>
              <w:jc w:val="right"/>
              <w:rPr>
                <w:sz w:val="18"/>
              </w:rPr>
            </w:pPr>
            <w:r>
              <w:rPr>
                <w:color w:val="333333"/>
                <w:w w:val="95"/>
                <w:sz w:val="18"/>
              </w:rPr>
              <w:t>112</w:t>
            </w:r>
          </w:p>
        </w:tc>
        <w:tc>
          <w:tcPr>
            <w:tcW w:w="713" w:type="dxa"/>
          </w:tcPr>
          <w:p>
            <w:pPr>
              <w:pStyle w:val="TableParagraph"/>
              <w:spacing w:line="203" w:lineRule="exact"/>
              <w:ind w:left="81" w:right="81"/>
              <w:rPr>
                <w:sz w:val="18"/>
              </w:rPr>
            </w:pPr>
            <w:r>
              <w:rPr>
                <w:color w:val="333333"/>
                <w:sz w:val="18"/>
              </w:rPr>
              <w:t>147</w:t>
            </w:r>
          </w:p>
        </w:tc>
        <w:tc>
          <w:tcPr>
            <w:tcW w:w="708" w:type="dxa"/>
          </w:tcPr>
          <w:p>
            <w:pPr>
              <w:pStyle w:val="TableParagraph"/>
              <w:spacing w:line="203" w:lineRule="exact"/>
              <w:ind w:left="79" w:right="77"/>
              <w:rPr>
                <w:sz w:val="18"/>
              </w:rPr>
            </w:pPr>
            <w:r>
              <w:rPr>
                <w:color w:val="333333"/>
                <w:sz w:val="18"/>
              </w:rPr>
              <w:t>102</w:t>
            </w:r>
          </w:p>
        </w:tc>
        <w:tc>
          <w:tcPr>
            <w:tcW w:w="708" w:type="dxa"/>
          </w:tcPr>
          <w:p>
            <w:pPr>
              <w:pStyle w:val="TableParagraph"/>
              <w:spacing w:line="203" w:lineRule="exact"/>
              <w:ind w:left="79" w:right="77"/>
              <w:rPr>
                <w:sz w:val="18"/>
              </w:rPr>
            </w:pPr>
            <w:r>
              <w:rPr>
                <w:color w:val="333333"/>
                <w:sz w:val="18"/>
              </w:rPr>
              <w:t>114</w:t>
            </w:r>
          </w:p>
        </w:tc>
        <w:tc>
          <w:tcPr>
            <w:tcW w:w="641" w:type="dxa"/>
          </w:tcPr>
          <w:p>
            <w:pPr>
              <w:pStyle w:val="TableParagraph"/>
              <w:spacing w:line="203" w:lineRule="exact"/>
              <w:ind w:left="46" w:right="44"/>
              <w:rPr>
                <w:sz w:val="18"/>
              </w:rPr>
            </w:pPr>
            <w:r>
              <w:rPr>
                <w:color w:val="333333"/>
                <w:sz w:val="18"/>
              </w:rPr>
              <w:t>146</w:t>
            </w:r>
          </w:p>
        </w:tc>
        <w:tc>
          <w:tcPr>
            <w:tcW w:w="673" w:type="dxa"/>
          </w:tcPr>
          <w:p>
            <w:pPr>
              <w:pStyle w:val="TableParagraph"/>
              <w:spacing w:line="203" w:lineRule="exact"/>
              <w:ind w:left="111" w:right="111"/>
              <w:rPr>
                <w:sz w:val="18"/>
              </w:rPr>
            </w:pPr>
            <w:r>
              <w:rPr>
                <w:color w:val="333333"/>
                <w:sz w:val="18"/>
              </w:rPr>
              <w:t>143</w:t>
            </w:r>
          </w:p>
        </w:tc>
        <w:tc>
          <w:tcPr>
            <w:tcW w:w="686" w:type="dxa"/>
          </w:tcPr>
          <w:p>
            <w:pPr>
              <w:pStyle w:val="TableParagraph"/>
              <w:spacing w:line="203" w:lineRule="exact"/>
              <w:ind w:left="118" w:right="118"/>
              <w:rPr>
                <w:sz w:val="18"/>
              </w:rPr>
            </w:pPr>
            <w:r>
              <w:rPr>
                <w:color w:val="333333"/>
                <w:sz w:val="18"/>
              </w:rPr>
              <w:t>128</w:t>
            </w:r>
          </w:p>
        </w:tc>
        <w:tc>
          <w:tcPr>
            <w:tcW w:w="641" w:type="dxa"/>
          </w:tcPr>
          <w:p>
            <w:pPr>
              <w:pStyle w:val="TableParagraph"/>
              <w:spacing w:line="199" w:lineRule="exact"/>
              <w:ind w:left="46" w:right="44"/>
              <w:rPr>
                <w:b/>
                <w:sz w:val="18"/>
              </w:rPr>
            </w:pPr>
            <w:r>
              <w:rPr>
                <w:b/>
                <w:sz w:val="18"/>
              </w:rPr>
              <w:t>941</w:t>
            </w:r>
          </w:p>
        </w:tc>
      </w:tr>
      <w:tr>
        <w:trPr>
          <w:trHeight w:val="630" w:hRule="exact"/>
        </w:trPr>
        <w:tc>
          <w:tcPr>
            <w:tcW w:w="2381" w:type="dxa"/>
            <w:shd w:val="clear" w:color="auto" w:fill="92D050"/>
          </w:tcPr>
          <w:p>
            <w:pPr>
              <w:pStyle w:val="TableParagraph"/>
              <w:spacing w:line="360" w:lineRule="auto"/>
              <w:ind w:left="1025" w:right="159" w:hanging="853"/>
              <w:jc w:val="left"/>
              <w:rPr>
                <w:b/>
                <w:sz w:val="18"/>
              </w:rPr>
            </w:pPr>
            <w:r>
              <w:rPr>
                <w:b/>
                <w:color w:val="333333"/>
                <w:sz w:val="18"/>
              </w:rPr>
              <w:t>Total de solicitudes por año</w:t>
            </w:r>
          </w:p>
        </w:tc>
        <w:tc>
          <w:tcPr>
            <w:tcW w:w="542" w:type="dxa"/>
            <w:shd w:val="clear" w:color="auto" w:fill="92D050"/>
          </w:tcPr>
          <w:p>
            <w:pPr>
              <w:pStyle w:val="TableParagraph"/>
              <w:spacing w:before="3"/>
              <w:jc w:val="left"/>
              <w:rPr>
                <w:rFonts w:ascii="Times New Roman"/>
                <w:sz w:val="26"/>
              </w:rPr>
            </w:pPr>
          </w:p>
          <w:p>
            <w:pPr>
              <w:pStyle w:val="TableParagraph"/>
              <w:ind w:left="44" w:right="44"/>
              <w:rPr>
                <w:b/>
                <w:sz w:val="18"/>
              </w:rPr>
            </w:pPr>
            <w:r>
              <w:rPr>
                <w:b/>
                <w:sz w:val="18"/>
              </w:rPr>
              <w:t>245</w:t>
            </w:r>
          </w:p>
        </w:tc>
        <w:tc>
          <w:tcPr>
            <w:tcW w:w="567" w:type="dxa"/>
            <w:shd w:val="clear" w:color="auto" w:fill="92D050"/>
          </w:tcPr>
          <w:p>
            <w:pPr>
              <w:pStyle w:val="TableParagraph"/>
              <w:spacing w:before="3"/>
              <w:jc w:val="left"/>
              <w:rPr>
                <w:rFonts w:ascii="Times New Roman"/>
                <w:sz w:val="26"/>
              </w:rPr>
            </w:pPr>
          </w:p>
          <w:p>
            <w:pPr>
              <w:pStyle w:val="TableParagraph"/>
              <w:ind w:left="107" w:right="109"/>
              <w:rPr>
                <w:b/>
                <w:sz w:val="18"/>
              </w:rPr>
            </w:pPr>
            <w:r>
              <w:rPr>
                <w:b/>
                <w:sz w:val="18"/>
              </w:rPr>
              <w:t>291</w:t>
            </w:r>
          </w:p>
        </w:tc>
        <w:tc>
          <w:tcPr>
            <w:tcW w:w="641" w:type="dxa"/>
            <w:shd w:val="clear" w:color="auto" w:fill="92D050"/>
          </w:tcPr>
          <w:p>
            <w:pPr>
              <w:pStyle w:val="TableParagraph"/>
              <w:spacing w:before="3"/>
              <w:jc w:val="left"/>
              <w:rPr>
                <w:rFonts w:ascii="Times New Roman"/>
                <w:sz w:val="26"/>
              </w:rPr>
            </w:pPr>
          </w:p>
          <w:p>
            <w:pPr>
              <w:pStyle w:val="TableParagraph"/>
              <w:ind w:left="44" w:right="44"/>
              <w:rPr>
                <w:b/>
                <w:sz w:val="18"/>
              </w:rPr>
            </w:pPr>
            <w:r>
              <w:rPr>
                <w:b/>
                <w:sz w:val="18"/>
              </w:rPr>
              <w:t>1313</w:t>
            </w:r>
          </w:p>
        </w:tc>
        <w:tc>
          <w:tcPr>
            <w:tcW w:w="545" w:type="dxa"/>
            <w:shd w:val="clear" w:color="auto" w:fill="92D050"/>
          </w:tcPr>
          <w:p>
            <w:pPr>
              <w:pStyle w:val="TableParagraph"/>
              <w:spacing w:before="3"/>
              <w:jc w:val="left"/>
              <w:rPr>
                <w:rFonts w:ascii="Times New Roman"/>
                <w:sz w:val="26"/>
              </w:rPr>
            </w:pPr>
          </w:p>
          <w:p>
            <w:pPr>
              <w:pStyle w:val="TableParagraph"/>
              <w:ind w:left="47" w:right="47"/>
              <w:rPr>
                <w:b/>
                <w:sz w:val="18"/>
              </w:rPr>
            </w:pPr>
            <w:r>
              <w:rPr>
                <w:b/>
                <w:sz w:val="18"/>
              </w:rPr>
              <w:t>4093</w:t>
            </w:r>
          </w:p>
        </w:tc>
        <w:tc>
          <w:tcPr>
            <w:tcW w:w="694" w:type="dxa"/>
            <w:shd w:val="clear" w:color="auto" w:fill="92D050"/>
          </w:tcPr>
          <w:p>
            <w:pPr>
              <w:pStyle w:val="TableParagraph"/>
              <w:spacing w:before="3"/>
              <w:jc w:val="left"/>
              <w:rPr>
                <w:rFonts w:ascii="Times New Roman"/>
                <w:sz w:val="26"/>
              </w:rPr>
            </w:pPr>
          </w:p>
          <w:p>
            <w:pPr>
              <w:pStyle w:val="TableParagraph"/>
              <w:ind w:right="137"/>
              <w:jc w:val="right"/>
              <w:rPr>
                <w:b/>
                <w:sz w:val="18"/>
              </w:rPr>
            </w:pPr>
            <w:r>
              <w:rPr>
                <w:b/>
                <w:w w:val="95"/>
                <w:sz w:val="18"/>
              </w:rPr>
              <w:t>9062</w:t>
            </w:r>
          </w:p>
        </w:tc>
        <w:tc>
          <w:tcPr>
            <w:tcW w:w="713" w:type="dxa"/>
            <w:shd w:val="clear" w:color="auto" w:fill="92D050"/>
          </w:tcPr>
          <w:p>
            <w:pPr>
              <w:pStyle w:val="TableParagraph"/>
              <w:spacing w:before="3"/>
              <w:jc w:val="left"/>
              <w:rPr>
                <w:rFonts w:ascii="Times New Roman"/>
                <w:sz w:val="26"/>
              </w:rPr>
            </w:pPr>
          </w:p>
          <w:p>
            <w:pPr>
              <w:pStyle w:val="TableParagraph"/>
              <w:ind w:left="81" w:right="81"/>
              <w:rPr>
                <w:b/>
                <w:sz w:val="18"/>
              </w:rPr>
            </w:pPr>
            <w:r>
              <w:rPr>
                <w:b/>
                <w:sz w:val="18"/>
              </w:rPr>
              <w:t>11365</w:t>
            </w:r>
          </w:p>
        </w:tc>
        <w:tc>
          <w:tcPr>
            <w:tcW w:w="708" w:type="dxa"/>
            <w:shd w:val="clear" w:color="auto" w:fill="92D050"/>
          </w:tcPr>
          <w:p>
            <w:pPr>
              <w:pStyle w:val="TableParagraph"/>
              <w:spacing w:before="3"/>
              <w:jc w:val="left"/>
              <w:rPr>
                <w:rFonts w:ascii="Times New Roman"/>
                <w:sz w:val="26"/>
              </w:rPr>
            </w:pPr>
          </w:p>
          <w:p>
            <w:pPr>
              <w:pStyle w:val="TableParagraph"/>
              <w:ind w:left="79" w:right="77"/>
              <w:rPr>
                <w:b/>
                <w:sz w:val="18"/>
              </w:rPr>
            </w:pPr>
            <w:r>
              <w:rPr>
                <w:b/>
                <w:sz w:val="18"/>
              </w:rPr>
              <w:t>11967</w:t>
            </w:r>
          </w:p>
        </w:tc>
        <w:tc>
          <w:tcPr>
            <w:tcW w:w="708" w:type="dxa"/>
            <w:shd w:val="clear" w:color="auto" w:fill="92D050"/>
          </w:tcPr>
          <w:p>
            <w:pPr>
              <w:pStyle w:val="TableParagraph"/>
              <w:spacing w:before="3"/>
              <w:jc w:val="left"/>
              <w:rPr>
                <w:rFonts w:ascii="Times New Roman"/>
                <w:sz w:val="26"/>
              </w:rPr>
            </w:pPr>
          </w:p>
          <w:p>
            <w:pPr>
              <w:pStyle w:val="TableParagraph"/>
              <w:ind w:left="79" w:right="77"/>
              <w:rPr>
                <w:b/>
                <w:sz w:val="18"/>
              </w:rPr>
            </w:pPr>
            <w:r>
              <w:rPr>
                <w:b/>
                <w:sz w:val="18"/>
              </w:rPr>
              <w:t>7981</w:t>
            </w:r>
          </w:p>
        </w:tc>
        <w:tc>
          <w:tcPr>
            <w:tcW w:w="641" w:type="dxa"/>
            <w:shd w:val="clear" w:color="auto" w:fill="92D050"/>
          </w:tcPr>
          <w:p>
            <w:pPr>
              <w:pStyle w:val="TableParagraph"/>
              <w:spacing w:before="3"/>
              <w:jc w:val="left"/>
              <w:rPr>
                <w:rFonts w:ascii="Times New Roman"/>
                <w:sz w:val="26"/>
              </w:rPr>
            </w:pPr>
          </w:p>
          <w:p>
            <w:pPr>
              <w:pStyle w:val="TableParagraph"/>
              <w:ind w:left="46" w:right="44"/>
              <w:rPr>
                <w:b/>
                <w:sz w:val="18"/>
              </w:rPr>
            </w:pPr>
            <w:r>
              <w:rPr>
                <w:b/>
                <w:sz w:val="18"/>
              </w:rPr>
              <w:t>11425</w:t>
            </w:r>
          </w:p>
        </w:tc>
        <w:tc>
          <w:tcPr>
            <w:tcW w:w="673" w:type="dxa"/>
            <w:shd w:val="clear" w:color="auto" w:fill="92D050"/>
          </w:tcPr>
          <w:p>
            <w:pPr>
              <w:pStyle w:val="TableParagraph"/>
              <w:spacing w:before="3"/>
              <w:jc w:val="left"/>
              <w:rPr>
                <w:rFonts w:ascii="Times New Roman"/>
                <w:sz w:val="26"/>
              </w:rPr>
            </w:pPr>
          </w:p>
          <w:p>
            <w:pPr>
              <w:pStyle w:val="TableParagraph"/>
              <w:ind w:left="111" w:right="111"/>
              <w:rPr>
                <w:b/>
                <w:sz w:val="18"/>
              </w:rPr>
            </w:pPr>
            <w:r>
              <w:rPr>
                <w:b/>
                <w:sz w:val="18"/>
              </w:rPr>
              <w:t>8788</w:t>
            </w:r>
          </w:p>
        </w:tc>
        <w:tc>
          <w:tcPr>
            <w:tcW w:w="686" w:type="dxa"/>
            <w:shd w:val="clear" w:color="auto" w:fill="92D050"/>
          </w:tcPr>
          <w:p>
            <w:pPr>
              <w:pStyle w:val="TableParagraph"/>
              <w:spacing w:before="3"/>
              <w:jc w:val="left"/>
              <w:rPr>
                <w:rFonts w:ascii="Times New Roman"/>
                <w:sz w:val="26"/>
              </w:rPr>
            </w:pPr>
          </w:p>
          <w:p>
            <w:pPr>
              <w:pStyle w:val="TableParagraph"/>
              <w:ind w:left="118" w:right="118"/>
              <w:rPr>
                <w:b/>
                <w:sz w:val="18"/>
              </w:rPr>
            </w:pPr>
            <w:r>
              <w:rPr>
                <w:b/>
                <w:sz w:val="18"/>
              </w:rPr>
              <w:t>6980</w:t>
            </w:r>
          </w:p>
        </w:tc>
        <w:tc>
          <w:tcPr>
            <w:tcW w:w="641" w:type="dxa"/>
            <w:shd w:val="clear" w:color="auto" w:fill="92D050"/>
          </w:tcPr>
          <w:p>
            <w:pPr>
              <w:pStyle w:val="TableParagraph"/>
              <w:spacing w:before="3"/>
              <w:jc w:val="left"/>
              <w:rPr>
                <w:rFonts w:ascii="Times New Roman"/>
                <w:sz w:val="26"/>
              </w:rPr>
            </w:pPr>
          </w:p>
          <w:p>
            <w:pPr>
              <w:pStyle w:val="TableParagraph"/>
              <w:ind w:left="46" w:right="44"/>
              <w:rPr>
                <w:b/>
                <w:sz w:val="18"/>
              </w:rPr>
            </w:pPr>
            <w:r>
              <w:rPr>
                <w:b/>
                <w:sz w:val="18"/>
              </w:rPr>
              <w:t>73510</w:t>
            </w:r>
          </w:p>
        </w:tc>
      </w:tr>
    </w:tbl>
    <w:p>
      <w:pPr>
        <w:spacing w:line="177" w:lineRule="exact" w:before="0"/>
        <w:ind w:left="175" w:right="0" w:firstLine="0"/>
        <w:jc w:val="left"/>
        <w:rPr>
          <w:sz w:val="16"/>
        </w:rPr>
      </w:pPr>
      <w:r>
        <w:rPr>
          <w:sz w:val="16"/>
        </w:rPr>
        <w:t>Fuente: Elaboración propia con datos del INFOEM.</w:t>
      </w:r>
    </w:p>
    <w:p>
      <w:pPr>
        <w:spacing w:after="0" w:line="177" w:lineRule="exact"/>
        <w:jc w:val="left"/>
        <w:rPr>
          <w:sz w:val="16"/>
        </w:rPr>
        <w:sectPr>
          <w:pgSz w:w="12240" w:h="15840"/>
          <w:pgMar w:header="0" w:footer="975" w:top="1420" w:bottom="1160" w:left="900" w:right="980"/>
        </w:sectPr>
      </w:pPr>
    </w:p>
    <w:tbl>
      <w:tblPr>
        <w:tblW w:w="0" w:type="auto"/>
        <w:jc w:val="left"/>
        <w:tblInd w:w="1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273"/>
        <w:gridCol w:w="905"/>
        <w:gridCol w:w="2530"/>
        <w:gridCol w:w="1577"/>
        <w:gridCol w:w="1364"/>
      </w:tblGrid>
      <w:tr>
        <w:trPr>
          <w:trHeight w:val="335" w:hRule="exact"/>
        </w:trPr>
        <w:tc>
          <w:tcPr>
            <w:tcW w:w="8649" w:type="dxa"/>
            <w:gridSpan w:val="5"/>
            <w:shd w:val="clear" w:color="auto" w:fill="92D050"/>
          </w:tcPr>
          <w:p>
            <w:pPr>
              <w:pStyle w:val="TableParagraph"/>
              <w:spacing w:before="100"/>
              <w:ind w:left="530"/>
              <w:jc w:val="left"/>
              <w:rPr>
                <w:b/>
                <w:sz w:val="18"/>
              </w:rPr>
            </w:pPr>
            <w:r>
              <w:rPr>
                <w:b/>
                <w:sz w:val="18"/>
              </w:rPr>
              <w:t>Anexo 11. Cumplimiento de la ley de transparencia vs partido gobernante en el año 2012</w:t>
            </w:r>
          </w:p>
        </w:tc>
      </w:tr>
      <w:tr>
        <w:trPr>
          <w:trHeight w:val="559" w:hRule="exact"/>
        </w:trPr>
        <w:tc>
          <w:tcPr>
            <w:tcW w:w="2273" w:type="dxa"/>
            <w:shd w:val="clear" w:color="auto" w:fill="92D050"/>
          </w:tcPr>
          <w:p>
            <w:pPr>
              <w:pStyle w:val="TableParagraph"/>
              <w:jc w:val="left"/>
              <w:rPr>
                <w:sz w:val="18"/>
              </w:rPr>
            </w:pPr>
          </w:p>
          <w:p>
            <w:pPr>
              <w:pStyle w:val="TableParagraph"/>
              <w:spacing w:before="118"/>
              <w:ind w:left="798" w:right="795"/>
              <w:rPr>
                <w:b/>
                <w:sz w:val="18"/>
              </w:rPr>
            </w:pPr>
            <w:r>
              <w:rPr>
                <w:b/>
                <w:sz w:val="18"/>
              </w:rPr>
              <w:t>Partido</w:t>
            </w:r>
          </w:p>
        </w:tc>
        <w:tc>
          <w:tcPr>
            <w:tcW w:w="905" w:type="dxa"/>
            <w:shd w:val="clear" w:color="auto" w:fill="92D050"/>
          </w:tcPr>
          <w:p>
            <w:pPr>
              <w:pStyle w:val="TableParagraph"/>
              <w:jc w:val="left"/>
              <w:rPr>
                <w:sz w:val="18"/>
              </w:rPr>
            </w:pPr>
          </w:p>
          <w:p>
            <w:pPr>
              <w:pStyle w:val="TableParagraph"/>
              <w:spacing w:before="114"/>
              <w:ind w:left="40" w:right="41"/>
              <w:rPr>
                <w:b/>
                <w:sz w:val="12"/>
              </w:rPr>
            </w:pPr>
            <w:r>
              <w:rPr>
                <w:b/>
                <w:sz w:val="18"/>
              </w:rPr>
              <w:t>Genero</w:t>
            </w:r>
            <w:r>
              <w:rPr>
                <w:b/>
                <w:position w:val="6"/>
                <w:sz w:val="12"/>
              </w:rPr>
              <w:t>38</w:t>
            </w:r>
          </w:p>
        </w:tc>
        <w:tc>
          <w:tcPr>
            <w:tcW w:w="2530" w:type="dxa"/>
            <w:shd w:val="clear" w:color="auto" w:fill="92D050"/>
          </w:tcPr>
          <w:p>
            <w:pPr>
              <w:pStyle w:val="TableParagraph"/>
              <w:jc w:val="left"/>
              <w:rPr>
                <w:sz w:val="18"/>
              </w:rPr>
            </w:pPr>
          </w:p>
          <w:p>
            <w:pPr>
              <w:pStyle w:val="TableParagraph"/>
              <w:spacing w:before="118"/>
              <w:ind w:left="60"/>
              <w:jc w:val="left"/>
              <w:rPr>
                <w:b/>
                <w:sz w:val="18"/>
              </w:rPr>
            </w:pPr>
            <w:r>
              <w:rPr>
                <w:b/>
                <w:sz w:val="18"/>
              </w:rPr>
              <w:t>Municipio gobernado</w:t>
            </w:r>
          </w:p>
        </w:tc>
        <w:tc>
          <w:tcPr>
            <w:tcW w:w="1577" w:type="dxa"/>
            <w:shd w:val="clear" w:color="auto" w:fill="92D050"/>
          </w:tcPr>
          <w:p>
            <w:pPr>
              <w:pStyle w:val="TableParagraph"/>
              <w:spacing w:before="56"/>
              <w:ind w:left="191" w:right="176" w:firstLine="376"/>
              <w:jc w:val="left"/>
              <w:rPr>
                <w:b/>
                <w:sz w:val="18"/>
              </w:rPr>
            </w:pPr>
            <w:r>
              <w:rPr>
                <w:b/>
                <w:sz w:val="18"/>
              </w:rPr>
              <w:t>% de cumplimiento</w:t>
            </w:r>
          </w:p>
        </w:tc>
        <w:tc>
          <w:tcPr>
            <w:tcW w:w="1364" w:type="dxa"/>
            <w:shd w:val="clear" w:color="auto" w:fill="92D050"/>
          </w:tcPr>
          <w:p>
            <w:pPr>
              <w:pStyle w:val="TableParagraph"/>
              <w:spacing w:before="56"/>
              <w:ind w:left="86" w:right="68" w:firstLine="40"/>
              <w:jc w:val="left"/>
              <w:rPr>
                <w:b/>
                <w:sz w:val="18"/>
              </w:rPr>
            </w:pPr>
            <w:r>
              <w:rPr>
                <w:b/>
                <w:sz w:val="18"/>
              </w:rPr>
              <w:t>Promedio de cumplimiento</w:t>
            </w:r>
          </w:p>
        </w:tc>
      </w:tr>
      <w:tr>
        <w:trPr>
          <w:trHeight w:val="317" w:hRule="exact"/>
        </w:trPr>
        <w:tc>
          <w:tcPr>
            <w:tcW w:w="2273" w:type="dxa"/>
            <w:vMerge w:val="restart"/>
            <w:tcBorders>
              <w:right w:val="single" w:sz="4" w:space="0" w:color="000000"/>
            </w:tcBorders>
          </w:tcPr>
          <w:p>
            <w:pPr>
              <w:pStyle w:val="TableParagraph"/>
              <w:spacing w:before="5"/>
              <w:jc w:val="left"/>
              <w:rPr>
                <w:sz w:val="18"/>
              </w:rPr>
            </w:pPr>
          </w:p>
          <w:p>
            <w:pPr>
              <w:pStyle w:val="TableParagraph"/>
              <w:ind w:left="398"/>
              <w:jc w:val="left"/>
              <w:rPr>
                <w:sz w:val="18"/>
              </w:rPr>
            </w:pPr>
            <w:r>
              <w:rPr>
                <w:sz w:val="18"/>
              </w:rPr>
              <w:t>CONVERGENCIA</w:t>
            </w:r>
          </w:p>
        </w:tc>
        <w:tc>
          <w:tcPr>
            <w:tcW w:w="905" w:type="dxa"/>
            <w:tcBorders>
              <w:left w:val="single" w:sz="4" w:space="0" w:color="000000"/>
              <w:bottom w:val="single" w:sz="4" w:space="0" w:color="000000"/>
              <w:right w:val="single" w:sz="4" w:space="0" w:color="000000"/>
            </w:tcBorders>
          </w:tcPr>
          <w:p>
            <w:pPr>
              <w:pStyle w:val="TableParagraph"/>
              <w:spacing w:before="44"/>
              <w:rPr>
                <w:sz w:val="18"/>
              </w:rPr>
            </w:pPr>
            <w:r>
              <w:rPr>
                <w:w w:val="99"/>
                <w:sz w:val="18"/>
              </w:rPr>
              <w:t>1</w:t>
            </w:r>
          </w:p>
        </w:tc>
        <w:tc>
          <w:tcPr>
            <w:tcW w:w="2530" w:type="dxa"/>
            <w:tcBorders>
              <w:left w:val="single" w:sz="4" w:space="0" w:color="000000"/>
              <w:bottom w:val="single" w:sz="4" w:space="0" w:color="000000"/>
              <w:right w:val="single" w:sz="4" w:space="0" w:color="000000"/>
            </w:tcBorders>
          </w:tcPr>
          <w:p>
            <w:pPr>
              <w:pStyle w:val="TableParagraph"/>
              <w:spacing w:before="85"/>
              <w:ind w:left="64"/>
              <w:jc w:val="left"/>
              <w:rPr>
                <w:b/>
                <w:sz w:val="18"/>
              </w:rPr>
            </w:pPr>
            <w:r>
              <w:rPr>
                <w:b/>
                <w:color w:val="181818"/>
                <w:sz w:val="18"/>
              </w:rPr>
              <w:t>Isidro Fabela</w:t>
            </w:r>
          </w:p>
        </w:tc>
        <w:tc>
          <w:tcPr>
            <w:tcW w:w="1577" w:type="dxa"/>
            <w:tcBorders>
              <w:left w:val="single" w:sz="4" w:space="0" w:color="000000"/>
              <w:bottom w:val="single" w:sz="4" w:space="0" w:color="000000"/>
              <w:right w:val="single" w:sz="4" w:space="0" w:color="000000"/>
            </w:tcBorders>
          </w:tcPr>
          <w:p>
            <w:pPr>
              <w:pStyle w:val="TableParagraph"/>
              <w:spacing w:before="44"/>
              <w:ind w:left="407" w:right="408"/>
              <w:rPr>
                <w:sz w:val="18"/>
              </w:rPr>
            </w:pPr>
            <w:r>
              <w:rPr>
                <w:color w:val="181818"/>
                <w:sz w:val="18"/>
              </w:rPr>
              <w:t>29.90%</w:t>
            </w:r>
          </w:p>
        </w:tc>
        <w:tc>
          <w:tcPr>
            <w:tcW w:w="1364" w:type="dxa"/>
            <w:vMerge w:val="restart"/>
            <w:tcBorders>
              <w:left w:val="single" w:sz="4" w:space="0" w:color="000000"/>
            </w:tcBorders>
          </w:tcPr>
          <w:p>
            <w:pPr>
              <w:pStyle w:val="TableParagraph"/>
              <w:spacing w:before="5"/>
              <w:jc w:val="left"/>
              <w:rPr>
                <w:sz w:val="18"/>
              </w:rPr>
            </w:pPr>
          </w:p>
          <w:p>
            <w:pPr>
              <w:pStyle w:val="TableParagraph"/>
              <w:ind w:left="372"/>
              <w:jc w:val="left"/>
              <w:rPr>
                <w:sz w:val="18"/>
              </w:rPr>
            </w:pPr>
            <w:r>
              <w:rPr>
                <w:sz w:val="18"/>
              </w:rPr>
              <w:t>24.55%</w:t>
            </w:r>
          </w:p>
        </w:tc>
      </w:tr>
      <w:tr>
        <w:trPr>
          <w:trHeight w:val="338" w:hRule="exact"/>
        </w:trPr>
        <w:tc>
          <w:tcPr>
            <w:tcW w:w="2273" w:type="dxa"/>
            <w:vMerge/>
            <w:tcBorders>
              <w:right w:val="single" w:sz="4" w:space="0" w:color="000000"/>
            </w:tcBorders>
          </w:tcPr>
          <w:p>
            <w:pPr/>
          </w:p>
        </w:tc>
        <w:tc>
          <w:tcPr>
            <w:tcW w:w="905" w:type="dxa"/>
            <w:tcBorders>
              <w:top w:val="single" w:sz="4" w:space="0" w:color="000000"/>
              <w:left w:val="single" w:sz="4" w:space="0" w:color="000000"/>
              <w:right w:val="single" w:sz="4" w:space="0" w:color="000000"/>
            </w:tcBorders>
          </w:tcPr>
          <w:p>
            <w:pPr>
              <w:pStyle w:val="TableParagraph"/>
              <w:spacing w:before="61"/>
              <w:rPr>
                <w:sz w:val="18"/>
              </w:rPr>
            </w:pPr>
            <w:r>
              <w:rPr>
                <w:w w:val="99"/>
                <w:sz w:val="18"/>
              </w:rPr>
              <w:t>1</w:t>
            </w:r>
          </w:p>
        </w:tc>
        <w:tc>
          <w:tcPr>
            <w:tcW w:w="2530" w:type="dxa"/>
            <w:tcBorders>
              <w:top w:val="single" w:sz="4" w:space="0" w:color="000000"/>
              <w:left w:val="single" w:sz="4" w:space="0" w:color="000000"/>
              <w:right w:val="single" w:sz="4" w:space="0" w:color="000000"/>
            </w:tcBorders>
          </w:tcPr>
          <w:p>
            <w:pPr>
              <w:pStyle w:val="TableParagraph"/>
              <w:spacing w:before="56"/>
              <w:ind w:left="64"/>
              <w:jc w:val="left"/>
              <w:rPr>
                <w:b/>
                <w:sz w:val="18"/>
              </w:rPr>
            </w:pPr>
            <w:r>
              <w:rPr>
                <w:b/>
                <w:color w:val="181818"/>
                <w:sz w:val="18"/>
              </w:rPr>
              <w:t>Tonanitla</w:t>
            </w:r>
          </w:p>
        </w:tc>
        <w:tc>
          <w:tcPr>
            <w:tcW w:w="1577" w:type="dxa"/>
            <w:tcBorders>
              <w:top w:val="single" w:sz="4" w:space="0" w:color="000000"/>
              <w:left w:val="single" w:sz="4" w:space="0" w:color="000000"/>
              <w:right w:val="single" w:sz="4" w:space="0" w:color="000000"/>
            </w:tcBorders>
          </w:tcPr>
          <w:p>
            <w:pPr>
              <w:pStyle w:val="TableParagraph"/>
              <w:spacing w:before="61"/>
              <w:ind w:left="407" w:right="408"/>
              <w:rPr>
                <w:sz w:val="18"/>
              </w:rPr>
            </w:pPr>
            <w:r>
              <w:rPr>
                <w:color w:val="181818"/>
                <w:sz w:val="18"/>
              </w:rPr>
              <w:t>19.20%</w:t>
            </w:r>
          </w:p>
        </w:tc>
        <w:tc>
          <w:tcPr>
            <w:tcW w:w="1364" w:type="dxa"/>
            <w:vMerge/>
            <w:tcBorders>
              <w:left w:val="single" w:sz="4" w:space="0" w:color="000000"/>
            </w:tcBorders>
          </w:tcPr>
          <w:p>
            <w:pPr/>
          </w:p>
        </w:tc>
      </w:tr>
      <w:tr>
        <w:trPr>
          <w:trHeight w:val="317" w:hRule="exact"/>
        </w:trPr>
        <w:tc>
          <w:tcPr>
            <w:tcW w:w="2273" w:type="dxa"/>
            <w:vMerge w:val="restart"/>
            <w:tcBorders>
              <w:right w:val="single" w:sz="4" w:space="0" w:color="000000"/>
            </w:tcBorders>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155"/>
              <w:ind w:left="772" w:right="772"/>
              <w:rPr>
                <w:sz w:val="18"/>
              </w:rPr>
            </w:pPr>
            <w:r>
              <w:rPr>
                <w:sz w:val="18"/>
              </w:rPr>
              <w:t>PAN</w:t>
            </w:r>
          </w:p>
        </w:tc>
        <w:tc>
          <w:tcPr>
            <w:tcW w:w="905" w:type="dxa"/>
            <w:tcBorders>
              <w:left w:val="single" w:sz="4" w:space="0" w:color="000000"/>
              <w:bottom w:val="single" w:sz="4" w:space="0" w:color="000000"/>
              <w:right w:val="single" w:sz="4" w:space="0" w:color="000000"/>
            </w:tcBorders>
          </w:tcPr>
          <w:p>
            <w:pPr>
              <w:pStyle w:val="TableParagraph"/>
              <w:spacing w:before="44"/>
              <w:rPr>
                <w:sz w:val="18"/>
              </w:rPr>
            </w:pPr>
            <w:r>
              <w:rPr>
                <w:w w:val="99"/>
                <w:sz w:val="18"/>
              </w:rPr>
              <w:t>1</w:t>
            </w:r>
          </w:p>
        </w:tc>
        <w:tc>
          <w:tcPr>
            <w:tcW w:w="2530" w:type="dxa"/>
            <w:tcBorders>
              <w:left w:val="single" w:sz="4" w:space="0" w:color="000000"/>
              <w:bottom w:val="single" w:sz="4" w:space="0" w:color="000000"/>
              <w:right w:val="single" w:sz="4" w:space="0" w:color="000000"/>
            </w:tcBorders>
          </w:tcPr>
          <w:p>
            <w:pPr>
              <w:pStyle w:val="TableParagraph"/>
              <w:spacing w:before="90"/>
              <w:ind w:left="64"/>
              <w:jc w:val="left"/>
              <w:rPr>
                <w:sz w:val="18"/>
              </w:rPr>
            </w:pPr>
            <w:r>
              <w:rPr>
                <w:color w:val="181818"/>
                <w:sz w:val="18"/>
              </w:rPr>
              <w:t>Almoloya de Alquisiras</w:t>
            </w:r>
          </w:p>
        </w:tc>
        <w:tc>
          <w:tcPr>
            <w:tcW w:w="1577" w:type="dxa"/>
            <w:tcBorders>
              <w:left w:val="single" w:sz="4" w:space="0" w:color="000000"/>
              <w:bottom w:val="single" w:sz="4" w:space="0" w:color="000000"/>
              <w:right w:val="single" w:sz="4" w:space="0" w:color="000000"/>
            </w:tcBorders>
          </w:tcPr>
          <w:p>
            <w:pPr/>
          </w:p>
        </w:tc>
        <w:tc>
          <w:tcPr>
            <w:tcW w:w="1364" w:type="dxa"/>
            <w:vMerge w:val="restart"/>
            <w:tcBorders>
              <w:left w:val="single" w:sz="4" w:space="0" w:color="000000"/>
            </w:tcBorders>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155"/>
              <w:ind w:left="372"/>
              <w:jc w:val="left"/>
              <w:rPr>
                <w:sz w:val="18"/>
              </w:rPr>
            </w:pPr>
            <w:r>
              <w:rPr>
                <w:sz w:val="18"/>
              </w:rPr>
              <w:t>29.96%</w:t>
            </w:r>
          </w:p>
        </w:tc>
      </w:tr>
      <w:tr>
        <w:trPr>
          <w:trHeight w:val="319" w:hRule="exact"/>
        </w:trPr>
        <w:tc>
          <w:tcPr>
            <w:tcW w:w="2273" w:type="dxa"/>
            <w:vMerge/>
            <w:tcBorders>
              <w:right w:val="single" w:sz="4" w:space="0" w:color="000000"/>
            </w:tcBorders>
          </w:tcPr>
          <w:p>
            <w:pP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before="51"/>
              <w:rPr>
                <w:sz w:val="18"/>
              </w:rPr>
            </w:pPr>
            <w:r>
              <w:rPr>
                <w:w w:val="99"/>
                <w:sz w:val="18"/>
              </w:rPr>
              <w:t>1</w:t>
            </w:r>
          </w:p>
        </w:tc>
        <w:tc>
          <w:tcPr>
            <w:tcW w:w="2530" w:type="dxa"/>
            <w:tcBorders>
              <w:top w:val="single" w:sz="4" w:space="0" w:color="000000"/>
              <w:left w:val="single" w:sz="4" w:space="0" w:color="000000"/>
              <w:bottom w:val="single" w:sz="4" w:space="0" w:color="000000"/>
              <w:right w:val="single" w:sz="4" w:space="0" w:color="000000"/>
            </w:tcBorders>
          </w:tcPr>
          <w:p>
            <w:pPr>
              <w:pStyle w:val="TableParagraph"/>
              <w:spacing w:before="94"/>
              <w:ind w:left="64"/>
              <w:jc w:val="left"/>
              <w:rPr>
                <w:b/>
                <w:sz w:val="18"/>
              </w:rPr>
            </w:pPr>
            <w:r>
              <w:rPr>
                <w:b/>
                <w:color w:val="181818"/>
                <w:sz w:val="18"/>
              </w:rPr>
              <w:t>Apaxco</w:t>
            </w:r>
          </w:p>
        </w:tc>
        <w:tc>
          <w:tcPr>
            <w:tcW w:w="1577" w:type="dxa"/>
            <w:tcBorders>
              <w:top w:val="single" w:sz="4" w:space="0" w:color="000000"/>
              <w:left w:val="single" w:sz="4" w:space="0" w:color="000000"/>
              <w:bottom w:val="single" w:sz="4" w:space="0" w:color="000000"/>
              <w:right w:val="single" w:sz="4" w:space="0" w:color="000000"/>
            </w:tcBorders>
          </w:tcPr>
          <w:p>
            <w:pPr>
              <w:pStyle w:val="TableParagraph"/>
              <w:spacing w:before="99"/>
              <w:ind w:left="407" w:right="408"/>
              <w:rPr>
                <w:sz w:val="18"/>
              </w:rPr>
            </w:pPr>
            <w:r>
              <w:rPr>
                <w:color w:val="333333"/>
                <w:sz w:val="18"/>
              </w:rPr>
              <w:t>11.50%</w:t>
            </w:r>
          </w:p>
        </w:tc>
        <w:tc>
          <w:tcPr>
            <w:tcW w:w="1364" w:type="dxa"/>
            <w:vMerge/>
            <w:tcBorders>
              <w:left w:val="single" w:sz="4" w:space="0" w:color="000000"/>
            </w:tcBorders>
          </w:tcPr>
          <w:p>
            <w:pPr/>
          </w:p>
        </w:tc>
      </w:tr>
      <w:tr>
        <w:trPr>
          <w:trHeight w:val="319" w:hRule="exact"/>
        </w:trPr>
        <w:tc>
          <w:tcPr>
            <w:tcW w:w="2273" w:type="dxa"/>
            <w:vMerge/>
            <w:tcBorders>
              <w:right w:val="single" w:sz="4" w:space="0" w:color="000000"/>
            </w:tcBorders>
          </w:tcPr>
          <w:p>
            <w:pP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before="54"/>
              <w:rPr>
                <w:sz w:val="18"/>
              </w:rPr>
            </w:pPr>
            <w:r>
              <w:rPr>
                <w:w w:val="99"/>
                <w:sz w:val="18"/>
              </w:rPr>
              <w:t>1</w:t>
            </w:r>
          </w:p>
        </w:tc>
        <w:tc>
          <w:tcPr>
            <w:tcW w:w="2530" w:type="dxa"/>
            <w:tcBorders>
              <w:top w:val="single" w:sz="4" w:space="0" w:color="000000"/>
              <w:left w:val="single" w:sz="4" w:space="0" w:color="000000"/>
              <w:bottom w:val="single" w:sz="4" w:space="0" w:color="000000"/>
              <w:right w:val="single" w:sz="4" w:space="0" w:color="000000"/>
            </w:tcBorders>
          </w:tcPr>
          <w:p>
            <w:pPr>
              <w:pStyle w:val="TableParagraph"/>
              <w:spacing w:before="99"/>
              <w:ind w:left="64"/>
              <w:jc w:val="left"/>
              <w:rPr>
                <w:sz w:val="18"/>
              </w:rPr>
            </w:pPr>
            <w:r>
              <w:rPr>
                <w:color w:val="181818"/>
                <w:sz w:val="18"/>
              </w:rPr>
              <w:t>Axapusco</w:t>
            </w:r>
          </w:p>
        </w:tc>
        <w:tc>
          <w:tcPr>
            <w:tcW w:w="1577" w:type="dxa"/>
            <w:tcBorders>
              <w:top w:val="single" w:sz="4" w:space="0" w:color="000000"/>
              <w:left w:val="single" w:sz="4" w:space="0" w:color="000000"/>
              <w:bottom w:val="single" w:sz="4" w:space="0" w:color="000000"/>
              <w:right w:val="single" w:sz="4" w:space="0" w:color="000000"/>
            </w:tcBorders>
          </w:tcPr>
          <w:p>
            <w:pPr/>
          </w:p>
        </w:tc>
        <w:tc>
          <w:tcPr>
            <w:tcW w:w="1364" w:type="dxa"/>
            <w:vMerge/>
            <w:tcBorders>
              <w:left w:val="single" w:sz="4" w:space="0" w:color="000000"/>
            </w:tcBorders>
          </w:tcPr>
          <w:p>
            <w:pPr/>
          </w:p>
        </w:tc>
      </w:tr>
      <w:tr>
        <w:trPr>
          <w:trHeight w:val="322" w:hRule="exact"/>
        </w:trPr>
        <w:tc>
          <w:tcPr>
            <w:tcW w:w="2273" w:type="dxa"/>
            <w:vMerge/>
            <w:tcBorders>
              <w:right w:val="single" w:sz="4" w:space="0" w:color="000000"/>
            </w:tcBorders>
          </w:tcPr>
          <w:p>
            <w:pP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before="54"/>
              <w:rPr>
                <w:sz w:val="18"/>
              </w:rPr>
            </w:pPr>
            <w:r>
              <w:rPr>
                <w:w w:val="99"/>
                <w:sz w:val="18"/>
              </w:rPr>
              <w:t>1</w:t>
            </w:r>
          </w:p>
        </w:tc>
        <w:tc>
          <w:tcPr>
            <w:tcW w:w="2530" w:type="dxa"/>
            <w:tcBorders>
              <w:top w:val="single" w:sz="4" w:space="0" w:color="000000"/>
              <w:left w:val="single" w:sz="4" w:space="0" w:color="000000"/>
              <w:bottom w:val="single" w:sz="4" w:space="0" w:color="000000"/>
              <w:right w:val="single" w:sz="4" w:space="0" w:color="000000"/>
            </w:tcBorders>
          </w:tcPr>
          <w:p>
            <w:pPr>
              <w:pStyle w:val="TableParagraph"/>
              <w:spacing w:before="99"/>
              <w:ind w:left="64"/>
              <w:jc w:val="left"/>
              <w:rPr>
                <w:sz w:val="18"/>
              </w:rPr>
            </w:pPr>
            <w:r>
              <w:rPr>
                <w:color w:val="181818"/>
                <w:sz w:val="18"/>
              </w:rPr>
              <w:t>Cocotitlán</w:t>
            </w:r>
          </w:p>
        </w:tc>
        <w:tc>
          <w:tcPr>
            <w:tcW w:w="1577" w:type="dxa"/>
            <w:tcBorders>
              <w:top w:val="single" w:sz="4" w:space="0" w:color="000000"/>
              <w:left w:val="single" w:sz="4" w:space="0" w:color="000000"/>
              <w:bottom w:val="single" w:sz="4" w:space="0" w:color="000000"/>
              <w:right w:val="single" w:sz="4" w:space="0" w:color="000000"/>
            </w:tcBorders>
          </w:tcPr>
          <w:p>
            <w:pPr/>
          </w:p>
        </w:tc>
        <w:tc>
          <w:tcPr>
            <w:tcW w:w="1364" w:type="dxa"/>
            <w:vMerge/>
            <w:tcBorders>
              <w:left w:val="single" w:sz="4" w:space="0" w:color="000000"/>
            </w:tcBorders>
          </w:tcPr>
          <w:p>
            <w:pPr/>
          </w:p>
        </w:tc>
      </w:tr>
      <w:tr>
        <w:trPr>
          <w:trHeight w:val="319" w:hRule="exact"/>
        </w:trPr>
        <w:tc>
          <w:tcPr>
            <w:tcW w:w="2273" w:type="dxa"/>
            <w:vMerge/>
            <w:tcBorders>
              <w:right w:val="single" w:sz="4" w:space="0" w:color="000000"/>
            </w:tcBorders>
          </w:tcPr>
          <w:p>
            <w:pP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before="51"/>
              <w:rPr>
                <w:sz w:val="18"/>
              </w:rPr>
            </w:pPr>
            <w:r>
              <w:rPr>
                <w:w w:val="99"/>
                <w:sz w:val="18"/>
              </w:rPr>
              <w:t>1</w:t>
            </w:r>
          </w:p>
        </w:tc>
        <w:tc>
          <w:tcPr>
            <w:tcW w:w="2530" w:type="dxa"/>
            <w:tcBorders>
              <w:top w:val="single" w:sz="4" w:space="0" w:color="000000"/>
              <w:left w:val="single" w:sz="4" w:space="0" w:color="000000"/>
              <w:bottom w:val="single" w:sz="4" w:space="0" w:color="000000"/>
              <w:right w:val="single" w:sz="4" w:space="0" w:color="000000"/>
            </w:tcBorders>
          </w:tcPr>
          <w:p>
            <w:pPr>
              <w:pStyle w:val="TableParagraph"/>
              <w:spacing w:before="94"/>
              <w:ind w:left="64"/>
              <w:jc w:val="left"/>
              <w:rPr>
                <w:b/>
                <w:sz w:val="18"/>
              </w:rPr>
            </w:pPr>
            <w:r>
              <w:rPr>
                <w:b/>
                <w:color w:val="181818"/>
                <w:sz w:val="18"/>
              </w:rPr>
              <w:t>Nopaltepec</w:t>
            </w:r>
          </w:p>
        </w:tc>
        <w:tc>
          <w:tcPr>
            <w:tcW w:w="1577" w:type="dxa"/>
            <w:tcBorders>
              <w:top w:val="single" w:sz="4" w:space="0" w:color="000000"/>
              <w:left w:val="single" w:sz="4" w:space="0" w:color="000000"/>
              <w:bottom w:val="single" w:sz="4" w:space="0" w:color="000000"/>
              <w:right w:val="single" w:sz="4" w:space="0" w:color="000000"/>
            </w:tcBorders>
          </w:tcPr>
          <w:p>
            <w:pPr>
              <w:pStyle w:val="TableParagraph"/>
              <w:spacing w:before="99"/>
              <w:ind w:left="407" w:right="408"/>
              <w:rPr>
                <w:sz w:val="18"/>
              </w:rPr>
            </w:pPr>
            <w:r>
              <w:rPr>
                <w:color w:val="333333"/>
                <w:sz w:val="18"/>
              </w:rPr>
              <w:t>15.30%</w:t>
            </w:r>
          </w:p>
        </w:tc>
        <w:tc>
          <w:tcPr>
            <w:tcW w:w="1364" w:type="dxa"/>
            <w:vMerge/>
            <w:tcBorders>
              <w:left w:val="single" w:sz="4" w:space="0" w:color="000000"/>
            </w:tcBorders>
          </w:tcPr>
          <w:p>
            <w:pPr/>
          </w:p>
        </w:tc>
      </w:tr>
      <w:tr>
        <w:trPr>
          <w:trHeight w:val="319" w:hRule="exact"/>
        </w:trPr>
        <w:tc>
          <w:tcPr>
            <w:tcW w:w="2273" w:type="dxa"/>
            <w:vMerge/>
            <w:tcBorders>
              <w:right w:val="single" w:sz="4" w:space="0" w:color="000000"/>
            </w:tcBorders>
          </w:tcPr>
          <w:p>
            <w:pP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before="54"/>
              <w:rPr>
                <w:sz w:val="18"/>
              </w:rPr>
            </w:pPr>
            <w:r>
              <w:rPr>
                <w:w w:val="99"/>
                <w:sz w:val="18"/>
              </w:rPr>
              <w:t>1</w:t>
            </w:r>
          </w:p>
        </w:tc>
        <w:tc>
          <w:tcPr>
            <w:tcW w:w="2530" w:type="dxa"/>
            <w:tcBorders>
              <w:top w:val="single" w:sz="4" w:space="0" w:color="000000"/>
              <w:left w:val="single" w:sz="4" w:space="0" w:color="000000"/>
              <w:bottom w:val="single" w:sz="4" w:space="0" w:color="000000"/>
              <w:right w:val="single" w:sz="4" w:space="0" w:color="000000"/>
            </w:tcBorders>
          </w:tcPr>
          <w:p>
            <w:pPr>
              <w:pStyle w:val="TableParagraph"/>
              <w:spacing w:before="94"/>
              <w:ind w:left="64"/>
              <w:jc w:val="left"/>
              <w:rPr>
                <w:b/>
                <w:sz w:val="18"/>
              </w:rPr>
            </w:pPr>
            <w:r>
              <w:rPr>
                <w:b/>
                <w:color w:val="181818"/>
                <w:sz w:val="18"/>
              </w:rPr>
              <w:t>San Mateo Atenco</w:t>
            </w:r>
          </w:p>
        </w:tc>
        <w:tc>
          <w:tcPr>
            <w:tcW w:w="1577" w:type="dxa"/>
            <w:tcBorders>
              <w:top w:val="single" w:sz="4" w:space="0" w:color="000000"/>
              <w:left w:val="single" w:sz="4" w:space="0" w:color="000000"/>
              <w:bottom w:val="single" w:sz="4" w:space="0" w:color="000000"/>
              <w:right w:val="single" w:sz="4" w:space="0" w:color="000000"/>
            </w:tcBorders>
          </w:tcPr>
          <w:p>
            <w:pPr>
              <w:pStyle w:val="TableParagraph"/>
              <w:spacing w:before="99"/>
              <w:ind w:left="407" w:right="408"/>
              <w:rPr>
                <w:sz w:val="18"/>
              </w:rPr>
            </w:pPr>
            <w:r>
              <w:rPr>
                <w:color w:val="333333"/>
                <w:sz w:val="18"/>
              </w:rPr>
              <w:t>80.76%</w:t>
            </w:r>
          </w:p>
        </w:tc>
        <w:tc>
          <w:tcPr>
            <w:tcW w:w="1364" w:type="dxa"/>
            <w:vMerge/>
            <w:tcBorders>
              <w:left w:val="single" w:sz="4" w:space="0" w:color="000000"/>
            </w:tcBorders>
          </w:tcPr>
          <w:p>
            <w:pPr/>
          </w:p>
        </w:tc>
      </w:tr>
      <w:tr>
        <w:trPr>
          <w:trHeight w:val="322" w:hRule="exact"/>
        </w:trPr>
        <w:tc>
          <w:tcPr>
            <w:tcW w:w="2273" w:type="dxa"/>
            <w:vMerge/>
            <w:tcBorders>
              <w:right w:val="single" w:sz="4" w:space="0" w:color="000000"/>
            </w:tcBorders>
          </w:tcPr>
          <w:p>
            <w:pP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before="54"/>
              <w:rPr>
                <w:sz w:val="18"/>
              </w:rPr>
            </w:pPr>
            <w:r>
              <w:rPr>
                <w:w w:val="99"/>
                <w:sz w:val="18"/>
              </w:rPr>
              <w:t>1</w:t>
            </w:r>
          </w:p>
        </w:tc>
        <w:tc>
          <w:tcPr>
            <w:tcW w:w="2530" w:type="dxa"/>
            <w:tcBorders>
              <w:top w:val="single" w:sz="4" w:space="0" w:color="000000"/>
              <w:left w:val="single" w:sz="4" w:space="0" w:color="000000"/>
              <w:bottom w:val="single" w:sz="4" w:space="0" w:color="000000"/>
              <w:right w:val="single" w:sz="4" w:space="0" w:color="000000"/>
            </w:tcBorders>
          </w:tcPr>
          <w:p>
            <w:pPr>
              <w:pStyle w:val="TableParagraph"/>
              <w:spacing w:before="99"/>
              <w:ind w:left="64"/>
              <w:jc w:val="left"/>
              <w:rPr>
                <w:sz w:val="18"/>
              </w:rPr>
            </w:pPr>
            <w:r>
              <w:rPr>
                <w:color w:val="181818"/>
                <w:sz w:val="18"/>
              </w:rPr>
              <w:t>Soyaniquilpan de Juárez</w:t>
            </w:r>
          </w:p>
        </w:tc>
        <w:tc>
          <w:tcPr>
            <w:tcW w:w="1577" w:type="dxa"/>
            <w:tcBorders>
              <w:top w:val="single" w:sz="4" w:space="0" w:color="000000"/>
              <w:left w:val="single" w:sz="4" w:space="0" w:color="000000"/>
              <w:bottom w:val="single" w:sz="4" w:space="0" w:color="000000"/>
              <w:right w:val="single" w:sz="4" w:space="0" w:color="000000"/>
            </w:tcBorders>
          </w:tcPr>
          <w:p>
            <w:pPr/>
          </w:p>
        </w:tc>
        <w:tc>
          <w:tcPr>
            <w:tcW w:w="1364" w:type="dxa"/>
            <w:vMerge/>
            <w:tcBorders>
              <w:left w:val="single" w:sz="4" w:space="0" w:color="000000"/>
            </w:tcBorders>
          </w:tcPr>
          <w:p>
            <w:pPr/>
          </w:p>
        </w:tc>
      </w:tr>
      <w:tr>
        <w:trPr>
          <w:trHeight w:val="319" w:hRule="exact"/>
        </w:trPr>
        <w:tc>
          <w:tcPr>
            <w:tcW w:w="2273" w:type="dxa"/>
            <w:vMerge/>
            <w:tcBorders>
              <w:right w:val="single" w:sz="4" w:space="0" w:color="000000"/>
            </w:tcBorders>
          </w:tcPr>
          <w:p>
            <w:pP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before="51"/>
              <w:rPr>
                <w:sz w:val="18"/>
              </w:rPr>
            </w:pPr>
            <w:r>
              <w:rPr>
                <w:w w:val="99"/>
                <w:sz w:val="18"/>
              </w:rPr>
              <w:t>1</w:t>
            </w:r>
          </w:p>
        </w:tc>
        <w:tc>
          <w:tcPr>
            <w:tcW w:w="2530" w:type="dxa"/>
            <w:tcBorders>
              <w:top w:val="single" w:sz="4" w:space="0" w:color="000000"/>
              <w:left w:val="single" w:sz="4" w:space="0" w:color="000000"/>
              <w:bottom w:val="single" w:sz="4" w:space="0" w:color="000000"/>
              <w:right w:val="single" w:sz="4" w:space="0" w:color="000000"/>
            </w:tcBorders>
          </w:tcPr>
          <w:p>
            <w:pPr>
              <w:pStyle w:val="TableParagraph"/>
              <w:spacing w:before="94"/>
              <w:ind w:left="64"/>
              <w:jc w:val="left"/>
              <w:rPr>
                <w:b/>
                <w:sz w:val="18"/>
              </w:rPr>
            </w:pPr>
            <w:r>
              <w:rPr>
                <w:b/>
                <w:color w:val="181818"/>
                <w:sz w:val="18"/>
              </w:rPr>
              <w:t>Sultepec</w:t>
            </w:r>
          </w:p>
        </w:tc>
        <w:tc>
          <w:tcPr>
            <w:tcW w:w="1577" w:type="dxa"/>
            <w:tcBorders>
              <w:top w:val="single" w:sz="4" w:space="0" w:color="000000"/>
              <w:left w:val="single" w:sz="4" w:space="0" w:color="000000"/>
              <w:bottom w:val="single" w:sz="4" w:space="0" w:color="000000"/>
              <w:right w:val="single" w:sz="4" w:space="0" w:color="000000"/>
            </w:tcBorders>
          </w:tcPr>
          <w:p>
            <w:pPr>
              <w:pStyle w:val="TableParagraph"/>
              <w:spacing w:before="99"/>
              <w:ind w:left="407" w:right="408"/>
              <w:rPr>
                <w:sz w:val="18"/>
              </w:rPr>
            </w:pPr>
            <w:r>
              <w:rPr>
                <w:color w:val="333333"/>
                <w:sz w:val="18"/>
              </w:rPr>
              <w:t>19.20%</w:t>
            </w:r>
          </w:p>
        </w:tc>
        <w:tc>
          <w:tcPr>
            <w:tcW w:w="1364" w:type="dxa"/>
            <w:vMerge/>
            <w:tcBorders>
              <w:left w:val="single" w:sz="4" w:space="0" w:color="000000"/>
            </w:tcBorders>
          </w:tcPr>
          <w:p>
            <w:pPr/>
          </w:p>
        </w:tc>
      </w:tr>
      <w:tr>
        <w:trPr>
          <w:trHeight w:val="319" w:hRule="exact"/>
        </w:trPr>
        <w:tc>
          <w:tcPr>
            <w:tcW w:w="2273" w:type="dxa"/>
            <w:vMerge/>
            <w:tcBorders>
              <w:right w:val="single" w:sz="4" w:space="0" w:color="000000"/>
            </w:tcBorders>
          </w:tcPr>
          <w:p>
            <w:pP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before="54"/>
              <w:rPr>
                <w:sz w:val="18"/>
              </w:rPr>
            </w:pPr>
            <w:r>
              <w:rPr>
                <w:w w:val="99"/>
                <w:sz w:val="18"/>
              </w:rPr>
              <w:t>1</w:t>
            </w:r>
          </w:p>
        </w:tc>
        <w:tc>
          <w:tcPr>
            <w:tcW w:w="2530" w:type="dxa"/>
            <w:tcBorders>
              <w:top w:val="single" w:sz="4" w:space="0" w:color="000000"/>
              <w:left w:val="single" w:sz="4" w:space="0" w:color="000000"/>
              <w:bottom w:val="single" w:sz="4" w:space="0" w:color="000000"/>
              <w:right w:val="single" w:sz="4" w:space="0" w:color="000000"/>
            </w:tcBorders>
          </w:tcPr>
          <w:p>
            <w:pPr>
              <w:pStyle w:val="TableParagraph"/>
              <w:spacing w:before="54"/>
              <w:ind w:left="64"/>
              <w:jc w:val="left"/>
              <w:rPr>
                <w:sz w:val="18"/>
              </w:rPr>
            </w:pPr>
            <w:r>
              <w:rPr>
                <w:color w:val="181818"/>
                <w:sz w:val="18"/>
              </w:rPr>
              <w:t>Texcaltitlán</w:t>
            </w:r>
          </w:p>
        </w:tc>
        <w:tc>
          <w:tcPr>
            <w:tcW w:w="1577" w:type="dxa"/>
            <w:tcBorders>
              <w:top w:val="single" w:sz="4" w:space="0" w:color="000000"/>
              <w:left w:val="single" w:sz="4" w:space="0" w:color="000000"/>
              <w:bottom w:val="single" w:sz="4" w:space="0" w:color="000000"/>
              <w:right w:val="single" w:sz="4" w:space="0" w:color="000000"/>
            </w:tcBorders>
          </w:tcPr>
          <w:p>
            <w:pPr/>
          </w:p>
        </w:tc>
        <w:tc>
          <w:tcPr>
            <w:tcW w:w="1364" w:type="dxa"/>
            <w:vMerge/>
            <w:tcBorders>
              <w:left w:val="single" w:sz="4" w:space="0" w:color="000000"/>
            </w:tcBorders>
          </w:tcPr>
          <w:p>
            <w:pPr/>
          </w:p>
        </w:tc>
      </w:tr>
      <w:tr>
        <w:trPr>
          <w:trHeight w:val="322" w:hRule="exact"/>
        </w:trPr>
        <w:tc>
          <w:tcPr>
            <w:tcW w:w="2273" w:type="dxa"/>
            <w:vMerge/>
            <w:tcBorders>
              <w:right w:val="single" w:sz="4" w:space="0" w:color="000000"/>
            </w:tcBorders>
          </w:tcPr>
          <w:p>
            <w:pP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before="54"/>
              <w:rPr>
                <w:sz w:val="18"/>
              </w:rPr>
            </w:pPr>
            <w:r>
              <w:rPr>
                <w:w w:val="99"/>
                <w:sz w:val="18"/>
              </w:rPr>
              <w:t>1</w:t>
            </w:r>
          </w:p>
        </w:tc>
        <w:tc>
          <w:tcPr>
            <w:tcW w:w="2530" w:type="dxa"/>
            <w:tcBorders>
              <w:top w:val="single" w:sz="4" w:space="0" w:color="000000"/>
              <w:left w:val="single" w:sz="4" w:space="0" w:color="000000"/>
              <w:bottom w:val="single" w:sz="4" w:space="0" w:color="000000"/>
              <w:right w:val="single" w:sz="4" w:space="0" w:color="000000"/>
            </w:tcBorders>
          </w:tcPr>
          <w:p>
            <w:pPr>
              <w:pStyle w:val="TableParagraph"/>
              <w:spacing w:before="49"/>
              <w:ind w:left="64"/>
              <w:jc w:val="left"/>
              <w:rPr>
                <w:b/>
                <w:sz w:val="18"/>
              </w:rPr>
            </w:pPr>
            <w:r>
              <w:rPr>
                <w:b/>
                <w:color w:val="181818"/>
                <w:sz w:val="18"/>
              </w:rPr>
              <w:t>Tonatico</w:t>
            </w:r>
          </w:p>
        </w:tc>
        <w:tc>
          <w:tcPr>
            <w:tcW w:w="1577" w:type="dxa"/>
            <w:tcBorders>
              <w:top w:val="single" w:sz="4" w:space="0" w:color="000000"/>
              <w:left w:val="single" w:sz="4" w:space="0" w:color="000000"/>
              <w:bottom w:val="single" w:sz="4" w:space="0" w:color="000000"/>
              <w:right w:val="single" w:sz="4" w:space="0" w:color="000000"/>
            </w:tcBorders>
          </w:tcPr>
          <w:p>
            <w:pPr>
              <w:pStyle w:val="TableParagraph"/>
              <w:spacing w:before="99"/>
              <w:ind w:left="407" w:right="406"/>
              <w:rPr>
                <w:sz w:val="18"/>
              </w:rPr>
            </w:pPr>
            <w:r>
              <w:rPr>
                <w:color w:val="333333"/>
                <w:sz w:val="18"/>
              </w:rPr>
              <w:t>3.80%</w:t>
            </w:r>
          </w:p>
        </w:tc>
        <w:tc>
          <w:tcPr>
            <w:tcW w:w="1364" w:type="dxa"/>
            <w:vMerge/>
            <w:tcBorders>
              <w:left w:val="single" w:sz="4" w:space="0" w:color="000000"/>
            </w:tcBorders>
          </w:tcPr>
          <w:p>
            <w:pPr/>
          </w:p>
        </w:tc>
      </w:tr>
      <w:tr>
        <w:trPr>
          <w:trHeight w:val="319" w:hRule="exact"/>
        </w:trPr>
        <w:tc>
          <w:tcPr>
            <w:tcW w:w="2273" w:type="dxa"/>
            <w:vMerge/>
            <w:tcBorders>
              <w:right w:val="single" w:sz="4" w:space="0" w:color="000000"/>
            </w:tcBorders>
          </w:tcPr>
          <w:p>
            <w:pP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before="51"/>
              <w:rPr>
                <w:sz w:val="18"/>
              </w:rPr>
            </w:pPr>
            <w:r>
              <w:rPr>
                <w:w w:val="99"/>
                <w:sz w:val="18"/>
              </w:rPr>
              <w:t>1</w:t>
            </w:r>
          </w:p>
        </w:tc>
        <w:tc>
          <w:tcPr>
            <w:tcW w:w="2530" w:type="dxa"/>
            <w:tcBorders>
              <w:top w:val="single" w:sz="4" w:space="0" w:color="000000"/>
              <w:left w:val="single" w:sz="4" w:space="0" w:color="000000"/>
              <w:bottom w:val="single" w:sz="4" w:space="0" w:color="000000"/>
              <w:right w:val="single" w:sz="4" w:space="0" w:color="000000"/>
            </w:tcBorders>
          </w:tcPr>
          <w:p>
            <w:pPr>
              <w:pStyle w:val="TableParagraph"/>
              <w:spacing w:before="46"/>
              <w:ind w:left="64"/>
              <w:jc w:val="left"/>
              <w:rPr>
                <w:b/>
                <w:sz w:val="18"/>
              </w:rPr>
            </w:pPr>
            <w:r>
              <w:rPr>
                <w:b/>
                <w:color w:val="181818"/>
                <w:sz w:val="18"/>
              </w:rPr>
              <w:t>Zinacantepec</w:t>
            </w:r>
          </w:p>
        </w:tc>
        <w:tc>
          <w:tcPr>
            <w:tcW w:w="1577" w:type="dxa"/>
            <w:tcBorders>
              <w:top w:val="single" w:sz="4" w:space="0" w:color="000000"/>
              <w:left w:val="single" w:sz="4" w:space="0" w:color="000000"/>
              <w:bottom w:val="single" w:sz="4" w:space="0" w:color="000000"/>
              <w:right w:val="single" w:sz="4" w:space="0" w:color="000000"/>
            </w:tcBorders>
          </w:tcPr>
          <w:p>
            <w:pPr>
              <w:pStyle w:val="TableParagraph"/>
              <w:spacing w:before="99"/>
              <w:ind w:left="407" w:right="408"/>
              <w:rPr>
                <w:sz w:val="18"/>
              </w:rPr>
            </w:pPr>
            <w:r>
              <w:rPr>
                <w:color w:val="333333"/>
                <w:sz w:val="18"/>
              </w:rPr>
              <w:t>42.30%</w:t>
            </w:r>
          </w:p>
        </w:tc>
        <w:tc>
          <w:tcPr>
            <w:tcW w:w="1364" w:type="dxa"/>
            <w:vMerge/>
            <w:tcBorders>
              <w:left w:val="single" w:sz="4" w:space="0" w:color="000000"/>
            </w:tcBorders>
          </w:tcPr>
          <w:p>
            <w:pPr/>
          </w:p>
        </w:tc>
      </w:tr>
      <w:tr>
        <w:trPr>
          <w:trHeight w:val="341" w:hRule="exact"/>
        </w:trPr>
        <w:tc>
          <w:tcPr>
            <w:tcW w:w="2273" w:type="dxa"/>
            <w:vMerge/>
            <w:tcBorders>
              <w:right w:val="single" w:sz="4" w:space="0" w:color="000000"/>
            </w:tcBorders>
          </w:tcPr>
          <w:p>
            <w:pPr/>
          </w:p>
        </w:tc>
        <w:tc>
          <w:tcPr>
            <w:tcW w:w="905" w:type="dxa"/>
            <w:tcBorders>
              <w:top w:val="single" w:sz="4" w:space="0" w:color="000000"/>
              <w:left w:val="single" w:sz="4" w:space="0" w:color="000000"/>
              <w:right w:val="single" w:sz="4" w:space="0" w:color="000000"/>
            </w:tcBorders>
          </w:tcPr>
          <w:p>
            <w:pPr>
              <w:pStyle w:val="TableParagraph"/>
              <w:spacing w:before="61"/>
              <w:rPr>
                <w:sz w:val="18"/>
              </w:rPr>
            </w:pPr>
            <w:r>
              <w:rPr>
                <w:w w:val="99"/>
                <w:sz w:val="18"/>
              </w:rPr>
              <w:t>1</w:t>
            </w:r>
          </w:p>
        </w:tc>
        <w:tc>
          <w:tcPr>
            <w:tcW w:w="2530" w:type="dxa"/>
            <w:tcBorders>
              <w:top w:val="single" w:sz="4" w:space="0" w:color="000000"/>
              <w:left w:val="single" w:sz="4" w:space="0" w:color="000000"/>
              <w:right w:val="single" w:sz="4" w:space="0" w:color="000000"/>
            </w:tcBorders>
          </w:tcPr>
          <w:p>
            <w:pPr>
              <w:pStyle w:val="TableParagraph"/>
              <w:spacing w:before="56"/>
              <w:ind w:left="64"/>
              <w:jc w:val="left"/>
              <w:rPr>
                <w:b/>
                <w:sz w:val="18"/>
              </w:rPr>
            </w:pPr>
            <w:r>
              <w:rPr>
                <w:b/>
                <w:color w:val="181818"/>
                <w:sz w:val="18"/>
              </w:rPr>
              <w:t>Zumpango</w:t>
            </w:r>
          </w:p>
        </w:tc>
        <w:tc>
          <w:tcPr>
            <w:tcW w:w="1577" w:type="dxa"/>
            <w:tcBorders>
              <w:top w:val="single" w:sz="4" w:space="0" w:color="000000"/>
              <w:left w:val="single" w:sz="4" w:space="0" w:color="000000"/>
              <w:right w:val="single" w:sz="4" w:space="0" w:color="000000"/>
            </w:tcBorders>
          </w:tcPr>
          <w:p>
            <w:pPr>
              <w:pStyle w:val="TableParagraph"/>
              <w:spacing w:before="114"/>
              <w:ind w:left="407" w:right="408"/>
              <w:rPr>
                <w:sz w:val="18"/>
              </w:rPr>
            </w:pPr>
            <w:r>
              <w:rPr>
                <w:color w:val="333333"/>
                <w:sz w:val="18"/>
              </w:rPr>
              <w:t>36.84%</w:t>
            </w:r>
          </w:p>
        </w:tc>
        <w:tc>
          <w:tcPr>
            <w:tcW w:w="1364" w:type="dxa"/>
            <w:vMerge/>
            <w:tcBorders>
              <w:left w:val="single" w:sz="4" w:space="0" w:color="000000"/>
            </w:tcBorders>
          </w:tcPr>
          <w:p>
            <w:pPr/>
          </w:p>
        </w:tc>
      </w:tr>
      <w:tr>
        <w:trPr>
          <w:trHeight w:val="334" w:hRule="exact"/>
        </w:trPr>
        <w:tc>
          <w:tcPr>
            <w:tcW w:w="2273" w:type="dxa"/>
            <w:tcBorders>
              <w:right w:val="single" w:sz="4" w:space="0" w:color="000000"/>
            </w:tcBorders>
          </w:tcPr>
          <w:p>
            <w:pPr>
              <w:pStyle w:val="TableParagraph"/>
              <w:spacing w:before="104"/>
              <w:ind w:left="62"/>
              <w:jc w:val="left"/>
              <w:rPr>
                <w:sz w:val="18"/>
              </w:rPr>
            </w:pPr>
            <w:r>
              <w:rPr>
                <w:sz w:val="18"/>
              </w:rPr>
              <w:t>PAN-CONVERGENCIA</w:t>
            </w:r>
          </w:p>
        </w:tc>
        <w:tc>
          <w:tcPr>
            <w:tcW w:w="905" w:type="dxa"/>
            <w:tcBorders>
              <w:left w:val="single" w:sz="4" w:space="0" w:color="000000"/>
              <w:right w:val="single" w:sz="4" w:space="0" w:color="000000"/>
            </w:tcBorders>
          </w:tcPr>
          <w:p>
            <w:pPr>
              <w:pStyle w:val="TableParagraph"/>
              <w:spacing w:before="49"/>
              <w:rPr>
                <w:sz w:val="18"/>
              </w:rPr>
            </w:pPr>
            <w:r>
              <w:rPr>
                <w:w w:val="99"/>
                <w:sz w:val="18"/>
              </w:rPr>
              <w:t>1</w:t>
            </w:r>
          </w:p>
        </w:tc>
        <w:tc>
          <w:tcPr>
            <w:tcW w:w="2530" w:type="dxa"/>
            <w:tcBorders>
              <w:left w:val="single" w:sz="4" w:space="0" w:color="000000"/>
              <w:right w:val="single" w:sz="4" w:space="0" w:color="000000"/>
            </w:tcBorders>
          </w:tcPr>
          <w:p>
            <w:pPr>
              <w:pStyle w:val="TableParagraph"/>
              <w:spacing w:before="99"/>
              <w:ind w:left="64"/>
              <w:jc w:val="left"/>
              <w:rPr>
                <w:b/>
                <w:sz w:val="18"/>
              </w:rPr>
            </w:pPr>
            <w:r>
              <w:rPr>
                <w:b/>
                <w:color w:val="181818"/>
                <w:sz w:val="18"/>
              </w:rPr>
              <w:t>Mexicaltzingo</w:t>
            </w:r>
          </w:p>
        </w:tc>
        <w:tc>
          <w:tcPr>
            <w:tcW w:w="1577" w:type="dxa"/>
            <w:tcBorders>
              <w:left w:val="single" w:sz="4" w:space="0" w:color="000000"/>
              <w:right w:val="single" w:sz="4" w:space="0" w:color="000000"/>
            </w:tcBorders>
          </w:tcPr>
          <w:p>
            <w:pPr>
              <w:pStyle w:val="TableParagraph"/>
              <w:spacing w:before="104"/>
              <w:ind w:left="407" w:right="406"/>
              <w:rPr>
                <w:sz w:val="18"/>
              </w:rPr>
            </w:pPr>
            <w:r>
              <w:rPr>
                <w:color w:val="333333"/>
                <w:sz w:val="18"/>
              </w:rPr>
              <w:t>3.80%</w:t>
            </w:r>
          </w:p>
        </w:tc>
        <w:tc>
          <w:tcPr>
            <w:tcW w:w="1364" w:type="dxa"/>
            <w:tcBorders>
              <w:left w:val="single" w:sz="4" w:space="0" w:color="000000"/>
            </w:tcBorders>
          </w:tcPr>
          <w:p>
            <w:pPr>
              <w:pStyle w:val="TableParagraph"/>
              <w:spacing w:before="49"/>
              <w:ind w:left="423"/>
              <w:jc w:val="left"/>
              <w:rPr>
                <w:sz w:val="18"/>
              </w:rPr>
            </w:pPr>
            <w:r>
              <w:rPr>
                <w:sz w:val="18"/>
              </w:rPr>
              <w:t>3.80%</w:t>
            </w:r>
          </w:p>
        </w:tc>
      </w:tr>
      <w:tr>
        <w:trPr>
          <w:trHeight w:val="314" w:hRule="exact"/>
        </w:trPr>
        <w:tc>
          <w:tcPr>
            <w:tcW w:w="2273" w:type="dxa"/>
            <w:vMerge w:val="restart"/>
            <w:tcBorders>
              <w:right w:val="single" w:sz="4" w:space="0" w:color="000000"/>
            </w:tcBorders>
          </w:tcPr>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11"/>
              <w:jc w:val="left"/>
              <w:rPr>
                <w:sz w:val="19"/>
              </w:rPr>
            </w:pPr>
          </w:p>
          <w:p>
            <w:pPr>
              <w:pStyle w:val="TableParagraph"/>
              <w:ind w:left="772" w:right="773"/>
              <w:rPr>
                <w:sz w:val="18"/>
              </w:rPr>
            </w:pPr>
            <w:r>
              <w:rPr>
                <w:sz w:val="18"/>
              </w:rPr>
              <w:t>PRD</w:t>
            </w:r>
          </w:p>
        </w:tc>
        <w:tc>
          <w:tcPr>
            <w:tcW w:w="905" w:type="dxa"/>
            <w:tcBorders>
              <w:left w:val="single" w:sz="4" w:space="0" w:color="000000"/>
              <w:bottom w:val="single" w:sz="4" w:space="0" w:color="000000"/>
              <w:right w:val="single" w:sz="4" w:space="0" w:color="000000"/>
            </w:tcBorders>
          </w:tcPr>
          <w:p>
            <w:pPr>
              <w:pStyle w:val="TableParagraph"/>
              <w:spacing w:before="90"/>
              <w:rPr>
                <w:sz w:val="18"/>
              </w:rPr>
            </w:pPr>
            <w:r>
              <w:rPr>
                <w:w w:val="99"/>
                <w:sz w:val="18"/>
              </w:rPr>
              <w:t>1</w:t>
            </w:r>
          </w:p>
        </w:tc>
        <w:tc>
          <w:tcPr>
            <w:tcW w:w="2530" w:type="dxa"/>
            <w:tcBorders>
              <w:left w:val="single" w:sz="4" w:space="0" w:color="000000"/>
              <w:bottom w:val="single" w:sz="4" w:space="0" w:color="000000"/>
              <w:right w:val="single" w:sz="4" w:space="0" w:color="000000"/>
            </w:tcBorders>
          </w:tcPr>
          <w:p>
            <w:pPr>
              <w:pStyle w:val="TableParagraph"/>
              <w:spacing w:before="90"/>
              <w:ind w:left="64"/>
              <w:jc w:val="left"/>
              <w:rPr>
                <w:sz w:val="18"/>
              </w:rPr>
            </w:pPr>
            <w:r>
              <w:rPr>
                <w:color w:val="181818"/>
                <w:sz w:val="18"/>
              </w:rPr>
              <w:t>Ocoyoacac</w:t>
            </w:r>
          </w:p>
        </w:tc>
        <w:tc>
          <w:tcPr>
            <w:tcW w:w="1577" w:type="dxa"/>
            <w:tcBorders>
              <w:left w:val="single" w:sz="4" w:space="0" w:color="000000"/>
              <w:bottom w:val="single" w:sz="4" w:space="0" w:color="000000"/>
              <w:right w:val="single" w:sz="4" w:space="0" w:color="000000"/>
            </w:tcBorders>
          </w:tcPr>
          <w:p>
            <w:pPr/>
          </w:p>
        </w:tc>
        <w:tc>
          <w:tcPr>
            <w:tcW w:w="1364" w:type="dxa"/>
            <w:vMerge w:val="restart"/>
            <w:tcBorders>
              <w:left w:val="single" w:sz="4" w:space="0" w:color="000000"/>
            </w:tcBorders>
          </w:tcPr>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11"/>
              <w:jc w:val="left"/>
              <w:rPr>
                <w:sz w:val="19"/>
              </w:rPr>
            </w:pPr>
          </w:p>
          <w:p>
            <w:pPr>
              <w:pStyle w:val="TableParagraph"/>
              <w:ind w:left="372"/>
              <w:jc w:val="left"/>
              <w:rPr>
                <w:sz w:val="18"/>
              </w:rPr>
            </w:pPr>
            <w:r>
              <w:rPr>
                <w:sz w:val="18"/>
              </w:rPr>
              <w:t>11.50%</w:t>
            </w:r>
          </w:p>
        </w:tc>
      </w:tr>
      <w:tr>
        <w:trPr>
          <w:trHeight w:val="322" w:hRule="exact"/>
        </w:trPr>
        <w:tc>
          <w:tcPr>
            <w:tcW w:w="2273" w:type="dxa"/>
            <w:vMerge/>
            <w:tcBorders>
              <w:right w:val="single" w:sz="4" w:space="0" w:color="000000"/>
            </w:tcBorders>
          </w:tcPr>
          <w:p>
            <w:pP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before="102"/>
              <w:rPr>
                <w:sz w:val="18"/>
              </w:rPr>
            </w:pPr>
            <w:r>
              <w:rPr>
                <w:w w:val="99"/>
                <w:sz w:val="18"/>
              </w:rPr>
              <w:t>1</w:t>
            </w:r>
          </w:p>
        </w:tc>
        <w:tc>
          <w:tcPr>
            <w:tcW w:w="2530" w:type="dxa"/>
            <w:tcBorders>
              <w:top w:val="single" w:sz="4" w:space="0" w:color="000000"/>
              <w:left w:val="single" w:sz="4" w:space="0" w:color="000000"/>
              <w:bottom w:val="single" w:sz="4" w:space="0" w:color="000000"/>
              <w:right w:val="single" w:sz="4" w:space="0" w:color="000000"/>
            </w:tcBorders>
          </w:tcPr>
          <w:p>
            <w:pPr>
              <w:pStyle w:val="TableParagraph"/>
              <w:spacing w:before="54"/>
              <w:ind w:left="64"/>
              <w:jc w:val="left"/>
              <w:rPr>
                <w:sz w:val="18"/>
              </w:rPr>
            </w:pPr>
            <w:r>
              <w:rPr>
                <w:color w:val="181818"/>
                <w:sz w:val="18"/>
              </w:rPr>
              <w:t>Tepetlaoxtoc</w:t>
            </w:r>
          </w:p>
        </w:tc>
        <w:tc>
          <w:tcPr>
            <w:tcW w:w="1577" w:type="dxa"/>
            <w:tcBorders>
              <w:top w:val="single" w:sz="4" w:space="0" w:color="000000"/>
              <w:left w:val="single" w:sz="4" w:space="0" w:color="000000"/>
              <w:bottom w:val="single" w:sz="4" w:space="0" w:color="000000"/>
              <w:right w:val="single" w:sz="4" w:space="0" w:color="000000"/>
            </w:tcBorders>
          </w:tcPr>
          <w:p>
            <w:pPr/>
          </w:p>
        </w:tc>
        <w:tc>
          <w:tcPr>
            <w:tcW w:w="1364" w:type="dxa"/>
            <w:vMerge/>
            <w:tcBorders>
              <w:left w:val="single" w:sz="4" w:space="0" w:color="000000"/>
            </w:tcBorders>
          </w:tcPr>
          <w:p>
            <w:pPr/>
          </w:p>
        </w:tc>
      </w:tr>
      <w:tr>
        <w:trPr>
          <w:trHeight w:val="319" w:hRule="exact"/>
        </w:trPr>
        <w:tc>
          <w:tcPr>
            <w:tcW w:w="2273" w:type="dxa"/>
            <w:vMerge/>
            <w:tcBorders>
              <w:right w:val="single" w:sz="4" w:space="0" w:color="000000"/>
            </w:tcBorders>
          </w:tcPr>
          <w:p>
            <w:pP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before="99"/>
              <w:rPr>
                <w:sz w:val="18"/>
              </w:rPr>
            </w:pPr>
            <w:r>
              <w:rPr>
                <w:w w:val="99"/>
                <w:sz w:val="18"/>
              </w:rPr>
              <w:t>1</w:t>
            </w:r>
          </w:p>
        </w:tc>
        <w:tc>
          <w:tcPr>
            <w:tcW w:w="2530" w:type="dxa"/>
            <w:tcBorders>
              <w:top w:val="single" w:sz="4" w:space="0" w:color="000000"/>
              <w:left w:val="single" w:sz="4" w:space="0" w:color="000000"/>
              <w:bottom w:val="single" w:sz="4" w:space="0" w:color="000000"/>
              <w:right w:val="single" w:sz="4" w:space="0" w:color="000000"/>
            </w:tcBorders>
          </w:tcPr>
          <w:p>
            <w:pPr>
              <w:pStyle w:val="TableParagraph"/>
              <w:spacing w:before="51"/>
              <w:ind w:left="64"/>
              <w:jc w:val="left"/>
              <w:rPr>
                <w:sz w:val="18"/>
              </w:rPr>
            </w:pPr>
            <w:r>
              <w:rPr>
                <w:color w:val="181818"/>
                <w:sz w:val="18"/>
              </w:rPr>
              <w:t>Tlatlaya</w:t>
            </w:r>
          </w:p>
        </w:tc>
        <w:tc>
          <w:tcPr>
            <w:tcW w:w="1577" w:type="dxa"/>
            <w:tcBorders>
              <w:top w:val="single" w:sz="4" w:space="0" w:color="000000"/>
              <w:left w:val="single" w:sz="4" w:space="0" w:color="000000"/>
              <w:bottom w:val="single" w:sz="4" w:space="0" w:color="000000"/>
              <w:right w:val="single" w:sz="4" w:space="0" w:color="000000"/>
            </w:tcBorders>
          </w:tcPr>
          <w:p>
            <w:pPr/>
          </w:p>
        </w:tc>
        <w:tc>
          <w:tcPr>
            <w:tcW w:w="1364" w:type="dxa"/>
            <w:vMerge/>
            <w:tcBorders>
              <w:left w:val="single" w:sz="4" w:space="0" w:color="000000"/>
            </w:tcBorders>
          </w:tcPr>
          <w:p>
            <w:pPr/>
          </w:p>
        </w:tc>
      </w:tr>
      <w:tr>
        <w:trPr>
          <w:trHeight w:val="319" w:hRule="exact"/>
        </w:trPr>
        <w:tc>
          <w:tcPr>
            <w:tcW w:w="2273" w:type="dxa"/>
            <w:vMerge/>
            <w:tcBorders>
              <w:right w:val="single" w:sz="4" w:space="0" w:color="000000"/>
            </w:tcBorders>
          </w:tcPr>
          <w:p>
            <w:pP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before="99"/>
              <w:rPr>
                <w:sz w:val="18"/>
              </w:rPr>
            </w:pPr>
            <w:r>
              <w:rPr>
                <w:w w:val="99"/>
                <w:sz w:val="18"/>
              </w:rPr>
              <w:t>1</w:t>
            </w:r>
          </w:p>
        </w:tc>
        <w:tc>
          <w:tcPr>
            <w:tcW w:w="2530" w:type="dxa"/>
            <w:tcBorders>
              <w:top w:val="single" w:sz="4" w:space="0" w:color="000000"/>
              <w:left w:val="single" w:sz="4" w:space="0" w:color="000000"/>
              <w:bottom w:val="single" w:sz="4" w:space="0" w:color="000000"/>
              <w:right w:val="single" w:sz="4" w:space="0" w:color="000000"/>
            </w:tcBorders>
          </w:tcPr>
          <w:p>
            <w:pPr>
              <w:pStyle w:val="TableParagraph"/>
              <w:spacing w:before="54"/>
              <w:ind w:left="64"/>
              <w:jc w:val="left"/>
              <w:rPr>
                <w:sz w:val="18"/>
              </w:rPr>
            </w:pPr>
            <w:r>
              <w:rPr>
                <w:color w:val="181818"/>
                <w:sz w:val="18"/>
              </w:rPr>
              <w:t>Tultepec</w:t>
            </w:r>
          </w:p>
        </w:tc>
        <w:tc>
          <w:tcPr>
            <w:tcW w:w="1577" w:type="dxa"/>
            <w:tcBorders>
              <w:top w:val="single" w:sz="4" w:space="0" w:color="000000"/>
              <w:left w:val="single" w:sz="4" w:space="0" w:color="000000"/>
              <w:bottom w:val="single" w:sz="4" w:space="0" w:color="000000"/>
              <w:right w:val="single" w:sz="4" w:space="0" w:color="000000"/>
            </w:tcBorders>
          </w:tcPr>
          <w:p>
            <w:pPr/>
          </w:p>
        </w:tc>
        <w:tc>
          <w:tcPr>
            <w:tcW w:w="1364" w:type="dxa"/>
            <w:vMerge/>
            <w:tcBorders>
              <w:left w:val="single" w:sz="4" w:space="0" w:color="000000"/>
            </w:tcBorders>
          </w:tcPr>
          <w:p>
            <w:pPr/>
          </w:p>
        </w:tc>
      </w:tr>
      <w:tr>
        <w:trPr>
          <w:trHeight w:val="322" w:hRule="exact"/>
        </w:trPr>
        <w:tc>
          <w:tcPr>
            <w:tcW w:w="2273" w:type="dxa"/>
            <w:vMerge/>
            <w:tcBorders>
              <w:right w:val="single" w:sz="4" w:space="0" w:color="000000"/>
            </w:tcBorders>
          </w:tcPr>
          <w:p>
            <w:pP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before="102"/>
              <w:rPr>
                <w:sz w:val="18"/>
              </w:rPr>
            </w:pPr>
            <w:r>
              <w:rPr>
                <w:w w:val="99"/>
                <w:sz w:val="18"/>
              </w:rPr>
              <w:t>1</w:t>
            </w:r>
          </w:p>
        </w:tc>
        <w:tc>
          <w:tcPr>
            <w:tcW w:w="2530" w:type="dxa"/>
            <w:tcBorders>
              <w:top w:val="single" w:sz="4" w:space="0" w:color="000000"/>
              <w:left w:val="single" w:sz="4" w:space="0" w:color="000000"/>
              <w:bottom w:val="single" w:sz="4" w:space="0" w:color="000000"/>
              <w:right w:val="single" w:sz="4" w:space="0" w:color="000000"/>
            </w:tcBorders>
          </w:tcPr>
          <w:p>
            <w:pPr>
              <w:pStyle w:val="TableParagraph"/>
              <w:spacing w:before="49"/>
              <w:ind w:left="64"/>
              <w:jc w:val="left"/>
              <w:rPr>
                <w:b/>
                <w:sz w:val="18"/>
              </w:rPr>
            </w:pPr>
            <w:r>
              <w:rPr>
                <w:b/>
                <w:color w:val="181818"/>
                <w:sz w:val="18"/>
              </w:rPr>
              <w:t>Villa Guerrero</w:t>
            </w:r>
          </w:p>
        </w:tc>
        <w:tc>
          <w:tcPr>
            <w:tcW w:w="1577" w:type="dxa"/>
            <w:tcBorders>
              <w:top w:val="single" w:sz="4" w:space="0" w:color="000000"/>
              <w:left w:val="single" w:sz="4" w:space="0" w:color="000000"/>
              <w:bottom w:val="single" w:sz="4" w:space="0" w:color="000000"/>
              <w:right w:val="single" w:sz="4" w:space="0" w:color="000000"/>
            </w:tcBorders>
          </w:tcPr>
          <w:p>
            <w:pPr>
              <w:pStyle w:val="TableParagraph"/>
              <w:spacing w:before="102"/>
              <w:ind w:left="407" w:right="408"/>
              <w:rPr>
                <w:sz w:val="18"/>
              </w:rPr>
            </w:pPr>
            <w:r>
              <w:rPr>
                <w:color w:val="333333"/>
                <w:sz w:val="18"/>
              </w:rPr>
              <w:t>11.50%</w:t>
            </w:r>
          </w:p>
        </w:tc>
        <w:tc>
          <w:tcPr>
            <w:tcW w:w="1364" w:type="dxa"/>
            <w:vMerge/>
            <w:tcBorders>
              <w:left w:val="single" w:sz="4" w:space="0" w:color="000000"/>
            </w:tcBorders>
          </w:tcPr>
          <w:p>
            <w:pPr/>
          </w:p>
        </w:tc>
      </w:tr>
      <w:tr>
        <w:trPr>
          <w:trHeight w:val="338" w:hRule="exact"/>
        </w:trPr>
        <w:tc>
          <w:tcPr>
            <w:tcW w:w="2273" w:type="dxa"/>
            <w:vMerge/>
            <w:tcBorders>
              <w:right w:val="single" w:sz="4" w:space="0" w:color="000000"/>
            </w:tcBorders>
          </w:tcPr>
          <w:p>
            <w:pPr/>
          </w:p>
        </w:tc>
        <w:tc>
          <w:tcPr>
            <w:tcW w:w="905" w:type="dxa"/>
            <w:tcBorders>
              <w:top w:val="single" w:sz="4" w:space="0" w:color="000000"/>
              <w:left w:val="single" w:sz="4" w:space="0" w:color="000000"/>
              <w:right w:val="single" w:sz="4" w:space="0" w:color="000000"/>
            </w:tcBorders>
          </w:tcPr>
          <w:p>
            <w:pPr>
              <w:pStyle w:val="TableParagraph"/>
              <w:spacing w:before="114"/>
              <w:rPr>
                <w:sz w:val="18"/>
              </w:rPr>
            </w:pPr>
            <w:r>
              <w:rPr>
                <w:w w:val="99"/>
                <w:sz w:val="18"/>
              </w:rPr>
              <w:t>1</w:t>
            </w:r>
          </w:p>
        </w:tc>
        <w:tc>
          <w:tcPr>
            <w:tcW w:w="2530" w:type="dxa"/>
            <w:tcBorders>
              <w:top w:val="single" w:sz="4" w:space="0" w:color="000000"/>
              <w:left w:val="single" w:sz="4" w:space="0" w:color="000000"/>
              <w:right w:val="single" w:sz="4" w:space="0" w:color="000000"/>
            </w:tcBorders>
          </w:tcPr>
          <w:p>
            <w:pPr>
              <w:pStyle w:val="TableParagraph"/>
              <w:spacing w:before="61"/>
              <w:ind w:left="64"/>
              <w:jc w:val="left"/>
              <w:rPr>
                <w:sz w:val="18"/>
              </w:rPr>
            </w:pPr>
            <w:r>
              <w:rPr>
                <w:color w:val="181818"/>
                <w:sz w:val="18"/>
              </w:rPr>
              <w:t>Luvianos</w:t>
            </w:r>
          </w:p>
        </w:tc>
        <w:tc>
          <w:tcPr>
            <w:tcW w:w="1577" w:type="dxa"/>
            <w:tcBorders>
              <w:top w:val="single" w:sz="4" w:space="0" w:color="000000"/>
              <w:left w:val="single" w:sz="4" w:space="0" w:color="000000"/>
              <w:right w:val="single" w:sz="4" w:space="0" w:color="000000"/>
            </w:tcBorders>
          </w:tcPr>
          <w:p>
            <w:pPr/>
          </w:p>
        </w:tc>
        <w:tc>
          <w:tcPr>
            <w:tcW w:w="1364" w:type="dxa"/>
            <w:vMerge/>
            <w:tcBorders>
              <w:left w:val="single" w:sz="4" w:space="0" w:color="000000"/>
            </w:tcBorders>
          </w:tcPr>
          <w:p>
            <w:pPr/>
          </w:p>
        </w:tc>
      </w:tr>
      <w:tr>
        <w:trPr>
          <w:trHeight w:val="317" w:hRule="exact"/>
        </w:trPr>
        <w:tc>
          <w:tcPr>
            <w:tcW w:w="2273" w:type="dxa"/>
            <w:vMerge w:val="restart"/>
            <w:tcBorders>
              <w:right w:val="single" w:sz="4" w:space="0" w:color="000000"/>
            </w:tcBorders>
          </w:tcPr>
          <w:p>
            <w:pPr>
              <w:pStyle w:val="TableParagraph"/>
              <w:jc w:val="left"/>
              <w:rPr>
                <w:sz w:val="18"/>
              </w:rPr>
            </w:pPr>
          </w:p>
          <w:p>
            <w:pPr>
              <w:pStyle w:val="TableParagraph"/>
              <w:spacing w:before="5"/>
              <w:jc w:val="left"/>
              <w:rPr>
                <w:sz w:val="14"/>
              </w:rPr>
            </w:pPr>
          </w:p>
          <w:p>
            <w:pPr>
              <w:pStyle w:val="TableParagraph"/>
              <w:ind w:left="772" w:right="775"/>
              <w:rPr>
                <w:sz w:val="18"/>
              </w:rPr>
            </w:pPr>
            <w:r>
              <w:rPr>
                <w:sz w:val="18"/>
              </w:rPr>
              <w:t>PRD-PT</w:t>
            </w:r>
          </w:p>
        </w:tc>
        <w:tc>
          <w:tcPr>
            <w:tcW w:w="905" w:type="dxa"/>
            <w:tcBorders>
              <w:left w:val="single" w:sz="4" w:space="0" w:color="000000"/>
              <w:bottom w:val="single" w:sz="4" w:space="0" w:color="000000"/>
              <w:right w:val="single" w:sz="4" w:space="0" w:color="000000"/>
            </w:tcBorders>
          </w:tcPr>
          <w:p>
            <w:pPr>
              <w:pStyle w:val="TableParagraph"/>
              <w:spacing w:before="90"/>
              <w:rPr>
                <w:sz w:val="18"/>
              </w:rPr>
            </w:pPr>
            <w:r>
              <w:rPr>
                <w:w w:val="99"/>
                <w:sz w:val="18"/>
              </w:rPr>
              <w:t>1</w:t>
            </w:r>
          </w:p>
        </w:tc>
        <w:tc>
          <w:tcPr>
            <w:tcW w:w="2530" w:type="dxa"/>
            <w:tcBorders>
              <w:left w:val="single" w:sz="4" w:space="0" w:color="000000"/>
              <w:bottom w:val="single" w:sz="4" w:space="0" w:color="000000"/>
              <w:right w:val="single" w:sz="4" w:space="0" w:color="000000"/>
            </w:tcBorders>
          </w:tcPr>
          <w:p>
            <w:pPr>
              <w:pStyle w:val="TableParagraph"/>
              <w:spacing w:before="85"/>
              <w:ind w:left="64"/>
              <w:jc w:val="left"/>
              <w:rPr>
                <w:b/>
                <w:sz w:val="18"/>
              </w:rPr>
            </w:pPr>
            <w:r>
              <w:rPr>
                <w:b/>
                <w:color w:val="181818"/>
                <w:sz w:val="18"/>
              </w:rPr>
              <w:t>Chicoloapan</w:t>
            </w:r>
          </w:p>
        </w:tc>
        <w:tc>
          <w:tcPr>
            <w:tcW w:w="1577" w:type="dxa"/>
            <w:tcBorders>
              <w:left w:val="single" w:sz="4" w:space="0" w:color="000000"/>
              <w:bottom w:val="single" w:sz="4" w:space="0" w:color="000000"/>
              <w:right w:val="single" w:sz="4" w:space="0" w:color="000000"/>
            </w:tcBorders>
          </w:tcPr>
          <w:p>
            <w:pPr>
              <w:pStyle w:val="TableParagraph"/>
              <w:spacing w:before="90"/>
              <w:ind w:left="407" w:right="406"/>
              <w:rPr>
                <w:sz w:val="18"/>
              </w:rPr>
            </w:pPr>
            <w:r>
              <w:rPr>
                <w:color w:val="333333"/>
                <w:sz w:val="18"/>
              </w:rPr>
              <w:t>3.80%</w:t>
            </w:r>
          </w:p>
        </w:tc>
        <w:tc>
          <w:tcPr>
            <w:tcW w:w="1364" w:type="dxa"/>
            <w:vMerge w:val="restart"/>
            <w:tcBorders>
              <w:left w:val="single" w:sz="4" w:space="0" w:color="000000"/>
            </w:tcBorders>
          </w:tcPr>
          <w:p>
            <w:pPr>
              <w:pStyle w:val="TableParagraph"/>
              <w:jc w:val="left"/>
              <w:rPr>
                <w:sz w:val="18"/>
              </w:rPr>
            </w:pPr>
          </w:p>
          <w:p>
            <w:pPr>
              <w:pStyle w:val="TableParagraph"/>
              <w:spacing w:before="5"/>
              <w:jc w:val="left"/>
              <w:rPr>
                <w:sz w:val="14"/>
              </w:rPr>
            </w:pPr>
          </w:p>
          <w:p>
            <w:pPr>
              <w:pStyle w:val="TableParagraph"/>
              <w:ind w:left="423"/>
              <w:jc w:val="left"/>
              <w:rPr>
                <w:sz w:val="18"/>
              </w:rPr>
            </w:pPr>
            <w:r>
              <w:rPr>
                <w:sz w:val="18"/>
              </w:rPr>
              <w:t>3.80%</w:t>
            </w:r>
          </w:p>
        </w:tc>
      </w:tr>
      <w:tr>
        <w:trPr>
          <w:trHeight w:val="319" w:hRule="exact"/>
        </w:trPr>
        <w:tc>
          <w:tcPr>
            <w:tcW w:w="2273" w:type="dxa"/>
            <w:vMerge/>
            <w:tcBorders>
              <w:right w:val="single" w:sz="4" w:space="0" w:color="000000"/>
            </w:tcBorders>
          </w:tcPr>
          <w:p>
            <w:pP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before="99"/>
              <w:rPr>
                <w:sz w:val="18"/>
              </w:rPr>
            </w:pPr>
            <w:r>
              <w:rPr>
                <w:w w:val="99"/>
                <w:sz w:val="18"/>
              </w:rPr>
              <w:t>1</w:t>
            </w:r>
          </w:p>
        </w:tc>
        <w:tc>
          <w:tcPr>
            <w:tcW w:w="2530" w:type="dxa"/>
            <w:tcBorders>
              <w:top w:val="single" w:sz="4" w:space="0" w:color="000000"/>
              <w:left w:val="single" w:sz="4" w:space="0" w:color="000000"/>
              <w:bottom w:val="single" w:sz="4" w:space="0" w:color="000000"/>
              <w:right w:val="single" w:sz="4" w:space="0" w:color="000000"/>
            </w:tcBorders>
          </w:tcPr>
          <w:p>
            <w:pPr>
              <w:pStyle w:val="TableParagraph"/>
              <w:spacing w:before="99"/>
              <w:ind w:left="64"/>
              <w:jc w:val="left"/>
              <w:rPr>
                <w:sz w:val="18"/>
              </w:rPr>
            </w:pPr>
            <w:r>
              <w:rPr>
                <w:color w:val="181818"/>
                <w:sz w:val="18"/>
              </w:rPr>
              <w:t>San Simón de Guerrero</w:t>
            </w:r>
          </w:p>
        </w:tc>
        <w:tc>
          <w:tcPr>
            <w:tcW w:w="1577" w:type="dxa"/>
            <w:tcBorders>
              <w:top w:val="single" w:sz="4" w:space="0" w:color="000000"/>
              <w:left w:val="single" w:sz="4" w:space="0" w:color="000000"/>
              <w:bottom w:val="single" w:sz="4" w:space="0" w:color="000000"/>
              <w:right w:val="single" w:sz="4" w:space="0" w:color="000000"/>
            </w:tcBorders>
          </w:tcPr>
          <w:p>
            <w:pPr/>
          </w:p>
        </w:tc>
        <w:tc>
          <w:tcPr>
            <w:tcW w:w="1364" w:type="dxa"/>
            <w:vMerge/>
            <w:tcBorders>
              <w:left w:val="single" w:sz="4" w:space="0" w:color="000000"/>
            </w:tcBorders>
          </w:tcPr>
          <w:p>
            <w:pPr/>
          </w:p>
        </w:tc>
      </w:tr>
      <w:tr>
        <w:trPr>
          <w:trHeight w:val="336" w:hRule="exact"/>
        </w:trPr>
        <w:tc>
          <w:tcPr>
            <w:tcW w:w="2273" w:type="dxa"/>
            <w:vMerge/>
            <w:tcBorders>
              <w:bottom w:val="single" w:sz="4" w:space="0" w:color="000000"/>
              <w:right w:val="single" w:sz="4" w:space="0" w:color="000000"/>
            </w:tcBorders>
          </w:tcPr>
          <w:p>
            <w:pP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before="114"/>
              <w:rPr>
                <w:sz w:val="18"/>
              </w:rPr>
            </w:pPr>
            <w:r>
              <w:rPr>
                <w:w w:val="99"/>
                <w:sz w:val="18"/>
              </w:rPr>
              <w:t>1</w:t>
            </w:r>
          </w:p>
        </w:tc>
        <w:tc>
          <w:tcPr>
            <w:tcW w:w="2530" w:type="dxa"/>
            <w:tcBorders>
              <w:top w:val="single" w:sz="4" w:space="0" w:color="000000"/>
              <w:left w:val="single" w:sz="4" w:space="0" w:color="000000"/>
              <w:bottom w:val="single" w:sz="4" w:space="0" w:color="000000"/>
              <w:right w:val="single" w:sz="4" w:space="0" w:color="000000"/>
            </w:tcBorders>
          </w:tcPr>
          <w:p>
            <w:pPr>
              <w:pStyle w:val="TableParagraph"/>
              <w:spacing w:before="61"/>
              <w:ind w:left="64"/>
              <w:jc w:val="left"/>
              <w:rPr>
                <w:sz w:val="18"/>
              </w:rPr>
            </w:pPr>
            <w:r>
              <w:rPr>
                <w:color w:val="181818"/>
                <w:sz w:val="18"/>
              </w:rPr>
              <w:t>Zacazonapan</w:t>
            </w:r>
          </w:p>
        </w:tc>
        <w:tc>
          <w:tcPr>
            <w:tcW w:w="1577" w:type="dxa"/>
            <w:tcBorders>
              <w:top w:val="single" w:sz="4" w:space="0" w:color="000000"/>
              <w:left w:val="single" w:sz="4" w:space="0" w:color="000000"/>
              <w:bottom w:val="single" w:sz="4" w:space="0" w:color="000000"/>
              <w:right w:val="single" w:sz="4" w:space="0" w:color="000000"/>
            </w:tcBorders>
          </w:tcPr>
          <w:p>
            <w:pPr/>
          </w:p>
        </w:tc>
        <w:tc>
          <w:tcPr>
            <w:tcW w:w="1364" w:type="dxa"/>
            <w:vMerge/>
            <w:tcBorders>
              <w:left w:val="single" w:sz="4" w:space="0" w:color="000000"/>
              <w:bottom w:val="single" w:sz="4" w:space="0" w:color="000000"/>
            </w:tcBorders>
          </w:tcPr>
          <w:p>
            <w:pPr/>
          </w:p>
        </w:tc>
      </w:tr>
      <w:tr>
        <w:trPr>
          <w:trHeight w:val="310" w:hRule="exact"/>
        </w:trPr>
        <w:tc>
          <w:tcPr>
            <w:tcW w:w="2273" w:type="dxa"/>
            <w:vMerge w:val="restart"/>
            <w:tcBorders>
              <w:top w:val="single" w:sz="4" w:space="0" w:color="000000"/>
              <w:right w:val="single" w:sz="4" w:space="0" w:color="000000"/>
            </w:tcBorders>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7"/>
              </w:rPr>
            </w:pPr>
          </w:p>
          <w:p>
            <w:pPr>
              <w:pStyle w:val="TableParagraph"/>
              <w:ind w:left="112"/>
              <w:jc w:val="left"/>
              <w:rPr>
                <w:sz w:val="18"/>
              </w:rPr>
            </w:pPr>
            <w:r>
              <w:rPr>
                <w:sz w:val="18"/>
              </w:rPr>
              <w:t>PRI-PVEM-NA-PSD-PFD</w:t>
            </w: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before="90"/>
              <w:rPr>
                <w:sz w:val="18"/>
              </w:rPr>
            </w:pPr>
            <w:r>
              <w:rPr>
                <w:w w:val="99"/>
                <w:sz w:val="18"/>
              </w:rPr>
              <w:t>1</w:t>
            </w:r>
          </w:p>
        </w:tc>
        <w:tc>
          <w:tcPr>
            <w:tcW w:w="2530" w:type="dxa"/>
            <w:tcBorders>
              <w:top w:val="single" w:sz="4" w:space="0" w:color="000000"/>
              <w:left w:val="single" w:sz="4" w:space="0" w:color="000000"/>
              <w:bottom w:val="single" w:sz="4" w:space="0" w:color="000000"/>
              <w:right w:val="single" w:sz="4" w:space="0" w:color="000000"/>
            </w:tcBorders>
          </w:tcPr>
          <w:p>
            <w:pPr>
              <w:pStyle w:val="TableParagraph"/>
              <w:spacing w:before="85"/>
              <w:ind w:left="64"/>
              <w:jc w:val="left"/>
              <w:rPr>
                <w:b/>
                <w:sz w:val="18"/>
              </w:rPr>
            </w:pPr>
            <w:r>
              <w:rPr>
                <w:b/>
                <w:color w:val="181818"/>
                <w:sz w:val="18"/>
              </w:rPr>
              <w:t>Acambay</w:t>
            </w:r>
          </w:p>
        </w:tc>
        <w:tc>
          <w:tcPr>
            <w:tcW w:w="1577" w:type="dxa"/>
            <w:tcBorders>
              <w:top w:val="single" w:sz="4" w:space="0" w:color="000000"/>
              <w:left w:val="single" w:sz="4" w:space="0" w:color="000000"/>
              <w:bottom w:val="single" w:sz="4" w:space="0" w:color="000000"/>
              <w:right w:val="single" w:sz="4" w:space="0" w:color="000000"/>
            </w:tcBorders>
          </w:tcPr>
          <w:p>
            <w:pPr>
              <w:pStyle w:val="TableParagraph"/>
              <w:spacing w:before="90"/>
              <w:ind w:left="407" w:right="406"/>
              <w:rPr>
                <w:sz w:val="18"/>
              </w:rPr>
            </w:pPr>
            <w:r>
              <w:rPr>
                <w:sz w:val="18"/>
              </w:rPr>
              <w:t>7.60%</w:t>
            </w:r>
          </w:p>
        </w:tc>
        <w:tc>
          <w:tcPr>
            <w:tcW w:w="1364" w:type="dxa"/>
            <w:vMerge w:val="restart"/>
            <w:tcBorders>
              <w:top w:val="single" w:sz="4" w:space="0" w:color="000000"/>
              <w:left w:val="single" w:sz="4" w:space="0" w:color="000000"/>
            </w:tcBorders>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7"/>
              </w:rPr>
            </w:pPr>
          </w:p>
          <w:p>
            <w:pPr>
              <w:pStyle w:val="TableParagraph"/>
              <w:ind w:left="372"/>
              <w:jc w:val="left"/>
              <w:rPr>
                <w:sz w:val="18"/>
              </w:rPr>
            </w:pPr>
            <w:r>
              <w:rPr>
                <w:sz w:val="18"/>
              </w:rPr>
              <w:t>28.09%</w:t>
            </w:r>
          </w:p>
        </w:tc>
      </w:tr>
      <w:tr>
        <w:trPr>
          <w:trHeight w:val="319" w:hRule="exact"/>
        </w:trPr>
        <w:tc>
          <w:tcPr>
            <w:tcW w:w="2273" w:type="dxa"/>
            <w:vMerge/>
            <w:tcBorders>
              <w:right w:val="single" w:sz="4" w:space="0" w:color="000000"/>
            </w:tcBorders>
          </w:tcPr>
          <w:p>
            <w:pP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53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Acolman</w:t>
            </w:r>
          </w:p>
        </w:tc>
        <w:tc>
          <w:tcPr>
            <w:tcW w:w="1577" w:type="dxa"/>
            <w:tcBorders>
              <w:top w:val="single" w:sz="4" w:space="0" w:color="000000"/>
              <w:left w:val="single" w:sz="4" w:space="0" w:color="000000"/>
              <w:bottom w:val="single" w:sz="4" w:space="0" w:color="000000"/>
              <w:right w:val="single" w:sz="4" w:space="0" w:color="000000"/>
            </w:tcBorders>
          </w:tcPr>
          <w:p>
            <w:pPr/>
          </w:p>
        </w:tc>
        <w:tc>
          <w:tcPr>
            <w:tcW w:w="1364" w:type="dxa"/>
            <w:vMerge/>
            <w:tcBorders>
              <w:left w:val="single" w:sz="4" w:space="0" w:color="000000"/>
            </w:tcBorders>
          </w:tcPr>
          <w:p>
            <w:pPr/>
          </w:p>
        </w:tc>
      </w:tr>
      <w:tr>
        <w:trPr>
          <w:trHeight w:val="322" w:hRule="exact"/>
        </w:trPr>
        <w:tc>
          <w:tcPr>
            <w:tcW w:w="2273" w:type="dxa"/>
            <w:vMerge/>
            <w:tcBorders>
              <w:right w:val="single" w:sz="4" w:space="0" w:color="000000"/>
            </w:tcBorders>
          </w:tcPr>
          <w:p>
            <w:pP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53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4"/>
              <w:jc w:val="left"/>
              <w:rPr>
                <w:b/>
                <w:sz w:val="18"/>
              </w:rPr>
            </w:pPr>
            <w:r>
              <w:rPr>
                <w:b/>
                <w:color w:val="181818"/>
                <w:sz w:val="18"/>
              </w:rPr>
              <w:t>Aculco</w:t>
            </w:r>
          </w:p>
        </w:tc>
        <w:tc>
          <w:tcPr>
            <w:tcW w:w="1577"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407" w:right="408"/>
              <w:rPr>
                <w:sz w:val="18"/>
              </w:rPr>
            </w:pPr>
            <w:r>
              <w:rPr>
                <w:color w:val="333333"/>
                <w:sz w:val="18"/>
              </w:rPr>
              <w:t>19.20%</w:t>
            </w:r>
          </w:p>
        </w:tc>
        <w:tc>
          <w:tcPr>
            <w:tcW w:w="1364" w:type="dxa"/>
            <w:vMerge/>
            <w:tcBorders>
              <w:left w:val="single" w:sz="4" w:space="0" w:color="000000"/>
            </w:tcBorders>
          </w:tcPr>
          <w:p>
            <w:pPr/>
          </w:p>
        </w:tc>
      </w:tr>
      <w:tr>
        <w:trPr>
          <w:trHeight w:val="319" w:hRule="exact"/>
        </w:trPr>
        <w:tc>
          <w:tcPr>
            <w:tcW w:w="2273" w:type="dxa"/>
            <w:vMerge/>
            <w:tcBorders>
              <w:right w:val="single" w:sz="4" w:space="0" w:color="000000"/>
            </w:tcBorders>
          </w:tcPr>
          <w:p>
            <w:pP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2</w:t>
            </w:r>
          </w:p>
        </w:tc>
        <w:tc>
          <w:tcPr>
            <w:tcW w:w="253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4"/>
              <w:jc w:val="left"/>
              <w:rPr>
                <w:b/>
                <w:sz w:val="18"/>
              </w:rPr>
            </w:pPr>
            <w:r>
              <w:rPr>
                <w:b/>
                <w:color w:val="181818"/>
                <w:sz w:val="18"/>
              </w:rPr>
              <w:t>Almoloya de Juárez</w:t>
            </w:r>
          </w:p>
        </w:tc>
        <w:tc>
          <w:tcPr>
            <w:tcW w:w="1577"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407" w:right="408"/>
              <w:rPr>
                <w:sz w:val="18"/>
              </w:rPr>
            </w:pPr>
            <w:r>
              <w:rPr>
                <w:color w:val="333333"/>
                <w:sz w:val="18"/>
              </w:rPr>
              <w:t>76.90%</w:t>
            </w:r>
          </w:p>
        </w:tc>
        <w:tc>
          <w:tcPr>
            <w:tcW w:w="1364" w:type="dxa"/>
            <w:vMerge/>
            <w:tcBorders>
              <w:left w:val="single" w:sz="4" w:space="0" w:color="000000"/>
            </w:tcBorders>
          </w:tcPr>
          <w:p>
            <w:pPr/>
          </w:p>
        </w:tc>
      </w:tr>
      <w:tr>
        <w:trPr>
          <w:trHeight w:val="322" w:hRule="exact"/>
        </w:trPr>
        <w:tc>
          <w:tcPr>
            <w:tcW w:w="2273" w:type="dxa"/>
            <w:vMerge/>
            <w:tcBorders>
              <w:right w:val="single" w:sz="4" w:space="0" w:color="000000"/>
            </w:tcBorders>
          </w:tcPr>
          <w:p>
            <w:pP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253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4"/>
              <w:jc w:val="left"/>
              <w:rPr>
                <w:b/>
                <w:sz w:val="18"/>
              </w:rPr>
            </w:pPr>
            <w:r>
              <w:rPr>
                <w:b/>
                <w:color w:val="181818"/>
                <w:sz w:val="18"/>
              </w:rPr>
              <w:t>Amanalco</w:t>
            </w:r>
          </w:p>
        </w:tc>
        <w:tc>
          <w:tcPr>
            <w:tcW w:w="157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07" w:right="408"/>
              <w:rPr>
                <w:sz w:val="18"/>
              </w:rPr>
            </w:pPr>
            <w:r>
              <w:rPr>
                <w:color w:val="333333"/>
                <w:sz w:val="18"/>
              </w:rPr>
              <w:t>19.23%</w:t>
            </w:r>
          </w:p>
        </w:tc>
        <w:tc>
          <w:tcPr>
            <w:tcW w:w="1364" w:type="dxa"/>
            <w:vMerge/>
            <w:tcBorders>
              <w:left w:val="single" w:sz="4" w:space="0" w:color="000000"/>
            </w:tcBorders>
          </w:tcPr>
          <w:p>
            <w:pPr/>
          </w:p>
        </w:tc>
      </w:tr>
      <w:tr>
        <w:trPr>
          <w:trHeight w:val="319" w:hRule="exact"/>
        </w:trPr>
        <w:tc>
          <w:tcPr>
            <w:tcW w:w="2273" w:type="dxa"/>
            <w:vMerge/>
            <w:tcBorders>
              <w:right w:val="single" w:sz="4" w:space="0" w:color="000000"/>
            </w:tcBorders>
          </w:tcPr>
          <w:p>
            <w:pP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53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Amatepec</w:t>
            </w:r>
          </w:p>
        </w:tc>
        <w:tc>
          <w:tcPr>
            <w:tcW w:w="1577" w:type="dxa"/>
            <w:tcBorders>
              <w:top w:val="single" w:sz="4" w:space="0" w:color="000000"/>
              <w:left w:val="single" w:sz="4" w:space="0" w:color="000000"/>
              <w:bottom w:val="single" w:sz="4" w:space="0" w:color="000000"/>
              <w:right w:val="single" w:sz="4" w:space="0" w:color="000000"/>
            </w:tcBorders>
          </w:tcPr>
          <w:p>
            <w:pPr/>
          </w:p>
        </w:tc>
        <w:tc>
          <w:tcPr>
            <w:tcW w:w="1364" w:type="dxa"/>
            <w:vMerge/>
            <w:tcBorders>
              <w:left w:val="single" w:sz="4" w:space="0" w:color="000000"/>
            </w:tcBorders>
          </w:tcPr>
          <w:p>
            <w:pPr/>
          </w:p>
        </w:tc>
      </w:tr>
      <w:tr>
        <w:trPr>
          <w:trHeight w:val="322" w:hRule="exact"/>
        </w:trPr>
        <w:tc>
          <w:tcPr>
            <w:tcW w:w="2273" w:type="dxa"/>
            <w:vMerge/>
            <w:tcBorders>
              <w:right w:val="single" w:sz="4" w:space="0" w:color="000000"/>
            </w:tcBorders>
          </w:tcPr>
          <w:p>
            <w:pP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253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4"/>
              <w:jc w:val="left"/>
              <w:rPr>
                <w:sz w:val="18"/>
              </w:rPr>
            </w:pPr>
            <w:r>
              <w:rPr>
                <w:color w:val="181818"/>
                <w:sz w:val="18"/>
              </w:rPr>
              <w:t>Amecameca</w:t>
            </w:r>
          </w:p>
        </w:tc>
        <w:tc>
          <w:tcPr>
            <w:tcW w:w="1577" w:type="dxa"/>
            <w:tcBorders>
              <w:top w:val="single" w:sz="4" w:space="0" w:color="000000"/>
              <w:left w:val="single" w:sz="4" w:space="0" w:color="000000"/>
              <w:bottom w:val="single" w:sz="4" w:space="0" w:color="000000"/>
              <w:right w:val="single" w:sz="4" w:space="0" w:color="000000"/>
            </w:tcBorders>
          </w:tcPr>
          <w:p>
            <w:pPr/>
          </w:p>
        </w:tc>
        <w:tc>
          <w:tcPr>
            <w:tcW w:w="1364" w:type="dxa"/>
            <w:vMerge/>
            <w:tcBorders>
              <w:left w:val="single" w:sz="4" w:space="0" w:color="000000"/>
            </w:tcBorders>
          </w:tcPr>
          <w:p>
            <w:pPr/>
          </w:p>
        </w:tc>
      </w:tr>
      <w:tr>
        <w:trPr>
          <w:trHeight w:val="319" w:hRule="exact"/>
        </w:trPr>
        <w:tc>
          <w:tcPr>
            <w:tcW w:w="2273" w:type="dxa"/>
            <w:vMerge/>
            <w:tcBorders>
              <w:right w:val="single" w:sz="4" w:space="0" w:color="000000"/>
            </w:tcBorders>
          </w:tcPr>
          <w:p>
            <w:pP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53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Atenco</w:t>
            </w:r>
          </w:p>
        </w:tc>
        <w:tc>
          <w:tcPr>
            <w:tcW w:w="1577" w:type="dxa"/>
            <w:tcBorders>
              <w:top w:val="single" w:sz="4" w:space="0" w:color="000000"/>
              <w:left w:val="single" w:sz="4" w:space="0" w:color="000000"/>
              <w:bottom w:val="single" w:sz="4" w:space="0" w:color="000000"/>
              <w:right w:val="single" w:sz="4" w:space="0" w:color="000000"/>
            </w:tcBorders>
          </w:tcPr>
          <w:p>
            <w:pPr/>
          </w:p>
        </w:tc>
        <w:tc>
          <w:tcPr>
            <w:tcW w:w="1364" w:type="dxa"/>
            <w:vMerge/>
            <w:tcBorders>
              <w:left w:val="single" w:sz="4" w:space="0" w:color="000000"/>
            </w:tcBorders>
          </w:tcPr>
          <w:p>
            <w:pPr/>
          </w:p>
        </w:tc>
      </w:tr>
      <w:tr>
        <w:trPr>
          <w:trHeight w:val="322" w:hRule="exact"/>
        </w:trPr>
        <w:tc>
          <w:tcPr>
            <w:tcW w:w="2273" w:type="dxa"/>
            <w:vMerge/>
            <w:tcBorders>
              <w:right w:val="single" w:sz="4" w:space="0" w:color="000000"/>
            </w:tcBorders>
          </w:tcPr>
          <w:p>
            <w:pP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253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4"/>
              <w:jc w:val="left"/>
              <w:rPr>
                <w:sz w:val="18"/>
              </w:rPr>
            </w:pPr>
            <w:r>
              <w:rPr>
                <w:color w:val="181818"/>
                <w:sz w:val="18"/>
              </w:rPr>
              <w:t>Atizapán</w:t>
            </w:r>
          </w:p>
        </w:tc>
        <w:tc>
          <w:tcPr>
            <w:tcW w:w="1577" w:type="dxa"/>
            <w:tcBorders>
              <w:top w:val="single" w:sz="4" w:space="0" w:color="000000"/>
              <w:left w:val="single" w:sz="4" w:space="0" w:color="000000"/>
              <w:bottom w:val="single" w:sz="4" w:space="0" w:color="000000"/>
              <w:right w:val="single" w:sz="4" w:space="0" w:color="000000"/>
            </w:tcBorders>
          </w:tcPr>
          <w:p>
            <w:pPr/>
          </w:p>
        </w:tc>
        <w:tc>
          <w:tcPr>
            <w:tcW w:w="1364" w:type="dxa"/>
            <w:vMerge/>
            <w:tcBorders>
              <w:left w:val="single" w:sz="4" w:space="0" w:color="000000"/>
            </w:tcBorders>
          </w:tcPr>
          <w:p>
            <w:pPr/>
          </w:p>
        </w:tc>
      </w:tr>
      <w:tr>
        <w:trPr>
          <w:trHeight w:val="322" w:hRule="exact"/>
        </w:trPr>
        <w:tc>
          <w:tcPr>
            <w:tcW w:w="2273" w:type="dxa"/>
            <w:vMerge/>
            <w:tcBorders>
              <w:right w:val="single" w:sz="4" w:space="0" w:color="000000"/>
            </w:tcBorders>
          </w:tcPr>
          <w:p>
            <w:pP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53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4"/>
              <w:jc w:val="left"/>
              <w:rPr>
                <w:b/>
                <w:sz w:val="18"/>
              </w:rPr>
            </w:pPr>
            <w:r>
              <w:rPr>
                <w:b/>
                <w:color w:val="181818"/>
                <w:sz w:val="18"/>
              </w:rPr>
              <w:t>Atizapán de Zaragoza</w:t>
            </w:r>
          </w:p>
        </w:tc>
        <w:tc>
          <w:tcPr>
            <w:tcW w:w="1577"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407" w:right="408"/>
              <w:rPr>
                <w:sz w:val="18"/>
              </w:rPr>
            </w:pPr>
            <w:r>
              <w:rPr>
                <w:color w:val="333333"/>
                <w:sz w:val="18"/>
              </w:rPr>
              <w:t>25.00%</w:t>
            </w:r>
          </w:p>
        </w:tc>
        <w:tc>
          <w:tcPr>
            <w:tcW w:w="1364" w:type="dxa"/>
            <w:vMerge/>
            <w:tcBorders>
              <w:left w:val="single" w:sz="4" w:space="0" w:color="000000"/>
            </w:tcBorders>
          </w:tcPr>
          <w:p>
            <w:pPr/>
          </w:p>
        </w:tc>
      </w:tr>
      <w:tr>
        <w:trPr>
          <w:trHeight w:val="319" w:hRule="exact"/>
        </w:trPr>
        <w:tc>
          <w:tcPr>
            <w:tcW w:w="2273" w:type="dxa"/>
            <w:vMerge/>
            <w:tcBorders>
              <w:bottom w:val="nil"/>
              <w:right w:val="single" w:sz="4" w:space="0" w:color="000000"/>
            </w:tcBorders>
          </w:tcPr>
          <w:p>
            <w:pP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53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4"/>
              <w:jc w:val="left"/>
              <w:rPr>
                <w:b/>
                <w:sz w:val="18"/>
              </w:rPr>
            </w:pPr>
            <w:r>
              <w:rPr>
                <w:b/>
                <w:color w:val="181818"/>
                <w:sz w:val="18"/>
              </w:rPr>
              <w:t>Atlacomulco</w:t>
            </w:r>
          </w:p>
        </w:tc>
        <w:tc>
          <w:tcPr>
            <w:tcW w:w="1577"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407" w:right="408"/>
              <w:rPr>
                <w:sz w:val="18"/>
              </w:rPr>
            </w:pPr>
            <w:r>
              <w:rPr>
                <w:color w:val="333333"/>
                <w:sz w:val="18"/>
              </w:rPr>
              <w:t>38.40%</w:t>
            </w:r>
          </w:p>
        </w:tc>
        <w:tc>
          <w:tcPr>
            <w:tcW w:w="1364" w:type="dxa"/>
            <w:vMerge/>
            <w:tcBorders>
              <w:left w:val="single" w:sz="4" w:space="0" w:color="000000"/>
              <w:bottom w:val="nil"/>
            </w:tcBorders>
          </w:tcPr>
          <w:p>
            <w:pPr/>
          </w:p>
        </w:tc>
      </w:tr>
    </w:tbl>
    <w:p>
      <w:pPr>
        <w:pStyle w:val="BodyText"/>
        <w:rPr>
          <w:sz w:val="20"/>
        </w:rPr>
      </w:pPr>
    </w:p>
    <w:p>
      <w:pPr>
        <w:pStyle w:val="BodyText"/>
        <w:spacing w:before="11"/>
        <w:rPr>
          <w:sz w:val="20"/>
        </w:rPr>
      </w:pPr>
      <w:r>
        <w:rPr/>
        <w:pict>
          <v:line style="position:absolute;mso-position-horizontal-relative:page;mso-position-vertical-relative:paragraph;z-index:8776;mso-wrap-distance-left:0;mso-wrap-distance-right:0" from="80.424004pt,14.394941pt" to="224.444004pt,14.394941pt" stroked="true" strokeweight=".72003pt" strokecolor="#000000">
            <w10:wrap type="topAndBottom"/>
          </v:line>
        </w:pict>
      </w:r>
    </w:p>
    <w:p>
      <w:pPr>
        <w:spacing w:before="72"/>
        <w:ind w:left="108" w:right="0" w:firstLine="0"/>
        <w:jc w:val="left"/>
        <w:rPr>
          <w:rFonts w:ascii="Calibri" w:hAnsi="Calibri"/>
          <w:sz w:val="16"/>
        </w:rPr>
      </w:pPr>
      <w:r>
        <w:rPr>
          <w:rFonts w:ascii="Calibri" w:hAnsi="Calibri"/>
          <w:position w:val="5"/>
          <w:sz w:val="10"/>
        </w:rPr>
        <w:t>38 </w:t>
      </w:r>
      <w:r>
        <w:rPr>
          <w:rFonts w:ascii="Calibri" w:hAnsi="Calibri"/>
          <w:sz w:val="16"/>
        </w:rPr>
        <w:t>En lo sucesivo el número 1 se refiere a personas del género masculino y el número 2 a las del género femenino.</w:t>
      </w:r>
    </w:p>
    <w:p>
      <w:pPr>
        <w:spacing w:after="0"/>
        <w:jc w:val="left"/>
        <w:rPr>
          <w:rFonts w:ascii="Calibri" w:hAnsi="Calibri"/>
          <w:sz w:val="16"/>
        </w:rPr>
        <w:sectPr>
          <w:pgSz w:w="12240" w:h="15840"/>
          <w:pgMar w:header="0" w:footer="975" w:top="1420" w:bottom="1220" w:left="1500" w:right="172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73"/>
        <w:gridCol w:w="905"/>
        <w:gridCol w:w="2530"/>
        <w:gridCol w:w="1577"/>
        <w:gridCol w:w="1364"/>
      </w:tblGrid>
      <w:tr>
        <w:trPr>
          <w:trHeight w:val="424" w:hRule="exact"/>
        </w:trPr>
        <w:tc>
          <w:tcPr>
            <w:tcW w:w="8649" w:type="dxa"/>
            <w:gridSpan w:val="5"/>
            <w:shd w:val="clear" w:color="auto" w:fill="92D050"/>
          </w:tcPr>
          <w:p>
            <w:pPr>
              <w:pStyle w:val="TableParagraph"/>
              <w:ind w:left="3684" w:hanging="3152"/>
              <w:jc w:val="left"/>
              <w:rPr>
                <w:b/>
                <w:sz w:val="18"/>
              </w:rPr>
            </w:pPr>
            <w:r>
              <w:rPr>
                <w:b/>
                <w:sz w:val="18"/>
              </w:rPr>
              <w:t>Anexo 11. Cumplimiento de la ley de transparencia vs partido gobernante en el año 2012 (Continuación)</w:t>
            </w:r>
          </w:p>
        </w:tc>
      </w:tr>
      <w:tr>
        <w:trPr>
          <w:trHeight w:val="425" w:hRule="exact"/>
        </w:trPr>
        <w:tc>
          <w:tcPr>
            <w:tcW w:w="2273" w:type="dxa"/>
            <w:shd w:val="clear" w:color="auto" w:fill="92D050"/>
          </w:tcPr>
          <w:p>
            <w:pPr>
              <w:pStyle w:val="TableParagraph"/>
              <w:spacing w:before="2"/>
              <w:jc w:val="left"/>
              <w:rPr>
                <w:rFonts w:ascii="Calibri"/>
                <w:sz w:val="16"/>
              </w:rPr>
            </w:pPr>
          </w:p>
          <w:p>
            <w:pPr>
              <w:pStyle w:val="TableParagraph"/>
              <w:ind w:left="803" w:right="800"/>
              <w:rPr>
                <w:b/>
                <w:sz w:val="18"/>
              </w:rPr>
            </w:pPr>
            <w:r>
              <w:rPr>
                <w:b/>
                <w:sz w:val="18"/>
              </w:rPr>
              <w:t>Partido</w:t>
            </w:r>
          </w:p>
        </w:tc>
        <w:tc>
          <w:tcPr>
            <w:tcW w:w="905" w:type="dxa"/>
            <w:shd w:val="clear" w:color="auto" w:fill="92D050"/>
          </w:tcPr>
          <w:p>
            <w:pPr>
              <w:pStyle w:val="TableParagraph"/>
              <w:spacing w:before="2"/>
              <w:jc w:val="left"/>
              <w:rPr>
                <w:rFonts w:ascii="Calibri"/>
                <w:sz w:val="16"/>
              </w:rPr>
            </w:pPr>
          </w:p>
          <w:p>
            <w:pPr>
              <w:pStyle w:val="TableParagraph"/>
              <w:ind w:left="111" w:right="113"/>
              <w:rPr>
                <w:b/>
                <w:sz w:val="18"/>
              </w:rPr>
            </w:pPr>
            <w:r>
              <w:rPr>
                <w:b/>
                <w:sz w:val="18"/>
              </w:rPr>
              <w:t>Genero</w:t>
            </w:r>
          </w:p>
        </w:tc>
        <w:tc>
          <w:tcPr>
            <w:tcW w:w="2530" w:type="dxa"/>
            <w:shd w:val="clear" w:color="auto" w:fill="92D050"/>
          </w:tcPr>
          <w:p>
            <w:pPr>
              <w:pStyle w:val="TableParagraph"/>
              <w:spacing w:before="2"/>
              <w:jc w:val="left"/>
              <w:rPr>
                <w:rFonts w:ascii="Calibri"/>
                <w:sz w:val="16"/>
              </w:rPr>
            </w:pPr>
          </w:p>
          <w:p>
            <w:pPr>
              <w:pStyle w:val="TableParagraph"/>
              <w:ind w:left="350"/>
              <w:jc w:val="left"/>
              <w:rPr>
                <w:b/>
                <w:sz w:val="18"/>
              </w:rPr>
            </w:pPr>
            <w:r>
              <w:rPr>
                <w:b/>
                <w:sz w:val="18"/>
              </w:rPr>
              <w:t>Municipio gobernado</w:t>
            </w:r>
          </w:p>
        </w:tc>
        <w:tc>
          <w:tcPr>
            <w:tcW w:w="1577" w:type="dxa"/>
            <w:shd w:val="clear" w:color="auto" w:fill="92D050"/>
          </w:tcPr>
          <w:p>
            <w:pPr>
              <w:pStyle w:val="TableParagraph"/>
              <w:ind w:left="196" w:right="181" w:firstLine="376"/>
              <w:jc w:val="left"/>
              <w:rPr>
                <w:b/>
                <w:sz w:val="18"/>
              </w:rPr>
            </w:pPr>
            <w:r>
              <w:rPr>
                <w:b/>
                <w:sz w:val="18"/>
              </w:rPr>
              <w:t>% de cumplimiento</w:t>
            </w:r>
          </w:p>
        </w:tc>
        <w:tc>
          <w:tcPr>
            <w:tcW w:w="1364" w:type="dxa"/>
            <w:shd w:val="clear" w:color="auto" w:fill="92D050"/>
          </w:tcPr>
          <w:p>
            <w:pPr>
              <w:pStyle w:val="TableParagraph"/>
              <w:ind w:left="91" w:right="73" w:firstLine="40"/>
              <w:jc w:val="left"/>
              <w:rPr>
                <w:b/>
                <w:sz w:val="18"/>
              </w:rPr>
            </w:pPr>
            <w:r>
              <w:rPr>
                <w:b/>
                <w:sz w:val="18"/>
              </w:rPr>
              <w:t>Promedio de cumplimiento</w:t>
            </w:r>
          </w:p>
        </w:tc>
      </w:tr>
      <w:tr>
        <w:trPr>
          <w:trHeight w:val="310" w:hRule="exact"/>
        </w:trPr>
        <w:tc>
          <w:tcPr>
            <w:tcW w:w="2273" w:type="dxa"/>
            <w:vMerge w:val="restart"/>
          </w:tcPr>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7"/>
              </w:rPr>
            </w:pPr>
          </w:p>
          <w:p>
            <w:pPr>
              <w:pStyle w:val="TableParagraph"/>
              <w:ind w:left="117"/>
              <w:jc w:val="left"/>
              <w:rPr>
                <w:sz w:val="18"/>
              </w:rPr>
            </w:pPr>
            <w:r>
              <w:rPr>
                <w:sz w:val="18"/>
              </w:rPr>
              <w:t>PRI-PVEM-NA-PSD-PFD</w:t>
            </w:r>
          </w:p>
        </w:tc>
        <w:tc>
          <w:tcPr>
            <w:tcW w:w="905" w:type="dxa"/>
          </w:tcPr>
          <w:p>
            <w:pPr>
              <w:pStyle w:val="TableParagraph"/>
              <w:spacing w:before="90"/>
              <w:rPr>
                <w:sz w:val="18"/>
              </w:rPr>
            </w:pPr>
            <w:r>
              <w:rPr>
                <w:w w:val="99"/>
                <w:sz w:val="18"/>
              </w:rPr>
              <w:t>2</w:t>
            </w:r>
          </w:p>
        </w:tc>
        <w:tc>
          <w:tcPr>
            <w:tcW w:w="2530" w:type="dxa"/>
          </w:tcPr>
          <w:p>
            <w:pPr>
              <w:pStyle w:val="TableParagraph"/>
              <w:spacing w:before="85"/>
              <w:ind w:left="832" w:right="833"/>
              <w:rPr>
                <w:b/>
                <w:sz w:val="18"/>
              </w:rPr>
            </w:pPr>
            <w:r>
              <w:rPr>
                <w:b/>
                <w:color w:val="181818"/>
                <w:sz w:val="18"/>
              </w:rPr>
              <w:t>Atlautla</w:t>
            </w:r>
          </w:p>
        </w:tc>
        <w:tc>
          <w:tcPr>
            <w:tcW w:w="1577" w:type="dxa"/>
          </w:tcPr>
          <w:p>
            <w:pPr>
              <w:pStyle w:val="TableParagraph"/>
              <w:spacing w:before="90"/>
              <w:ind w:left="407" w:right="406"/>
              <w:rPr>
                <w:sz w:val="18"/>
              </w:rPr>
            </w:pPr>
            <w:r>
              <w:rPr>
                <w:color w:val="333333"/>
                <w:sz w:val="18"/>
              </w:rPr>
              <w:t>7.69%</w:t>
            </w:r>
          </w:p>
        </w:tc>
        <w:tc>
          <w:tcPr>
            <w:tcW w:w="1364" w:type="dxa"/>
            <w:vMerge w:val="restart"/>
          </w:tcPr>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spacing w:before="2"/>
              <w:jc w:val="left"/>
              <w:rPr>
                <w:rFonts w:ascii="Calibri"/>
                <w:sz w:val="26"/>
              </w:rPr>
            </w:pPr>
          </w:p>
          <w:p>
            <w:pPr>
              <w:pStyle w:val="TableParagraph"/>
              <w:spacing w:before="1"/>
              <w:ind w:left="372" w:right="73"/>
              <w:jc w:val="left"/>
              <w:rPr>
                <w:sz w:val="18"/>
              </w:rPr>
            </w:pPr>
            <w:r>
              <w:rPr>
                <w:sz w:val="18"/>
              </w:rPr>
              <w:t>28.09%</w:t>
            </w:r>
          </w:p>
        </w:tc>
      </w:tr>
      <w:tr>
        <w:trPr>
          <w:trHeight w:val="310" w:hRule="exact"/>
        </w:trPr>
        <w:tc>
          <w:tcPr>
            <w:tcW w:w="2273" w:type="dxa"/>
            <w:vMerge/>
          </w:tcPr>
          <w:p>
            <w:pPr/>
          </w:p>
        </w:tc>
        <w:tc>
          <w:tcPr>
            <w:tcW w:w="905" w:type="dxa"/>
          </w:tcPr>
          <w:p>
            <w:pPr>
              <w:pStyle w:val="TableParagraph"/>
              <w:spacing w:before="90"/>
              <w:rPr>
                <w:sz w:val="18"/>
              </w:rPr>
            </w:pPr>
            <w:r>
              <w:rPr>
                <w:w w:val="99"/>
                <w:sz w:val="18"/>
              </w:rPr>
              <w:t>1</w:t>
            </w:r>
          </w:p>
        </w:tc>
        <w:tc>
          <w:tcPr>
            <w:tcW w:w="2530" w:type="dxa"/>
          </w:tcPr>
          <w:p>
            <w:pPr>
              <w:pStyle w:val="TableParagraph"/>
              <w:spacing w:before="90"/>
              <w:ind w:left="835" w:right="833"/>
              <w:rPr>
                <w:sz w:val="18"/>
              </w:rPr>
            </w:pPr>
            <w:r>
              <w:rPr>
                <w:color w:val="181818"/>
                <w:sz w:val="18"/>
              </w:rPr>
              <w:t>Ayapango</w:t>
            </w:r>
          </w:p>
        </w:tc>
        <w:tc>
          <w:tcPr>
            <w:tcW w:w="1577" w:type="dxa"/>
          </w:tcPr>
          <w:p>
            <w:pPr/>
          </w:p>
        </w:tc>
        <w:tc>
          <w:tcPr>
            <w:tcW w:w="1364" w:type="dxa"/>
            <w:vMerge/>
          </w:tcPr>
          <w:p>
            <w:pPr/>
          </w:p>
        </w:tc>
      </w:tr>
      <w:tr>
        <w:trPr>
          <w:trHeight w:val="322" w:hRule="exact"/>
        </w:trPr>
        <w:tc>
          <w:tcPr>
            <w:tcW w:w="2273" w:type="dxa"/>
            <w:vMerge/>
          </w:tcPr>
          <w:p>
            <w:pPr/>
          </w:p>
        </w:tc>
        <w:tc>
          <w:tcPr>
            <w:tcW w:w="905" w:type="dxa"/>
          </w:tcPr>
          <w:p>
            <w:pPr>
              <w:pStyle w:val="TableParagraph"/>
              <w:spacing w:line="203" w:lineRule="exact"/>
              <w:rPr>
                <w:sz w:val="18"/>
              </w:rPr>
            </w:pPr>
            <w:r>
              <w:rPr>
                <w:w w:val="99"/>
                <w:sz w:val="18"/>
              </w:rPr>
              <w:t>1</w:t>
            </w:r>
          </w:p>
        </w:tc>
        <w:tc>
          <w:tcPr>
            <w:tcW w:w="2530" w:type="dxa"/>
          </w:tcPr>
          <w:p>
            <w:pPr>
              <w:pStyle w:val="TableParagraph"/>
              <w:spacing w:line="199" w:lineRule="exact"/>
              <w:ind w:left="64"/>
              <w:jc w:val="left"/>
              <w:rPr>
                <w:b/>
                <w:sz w:val="18"/>
              </w:rPr>
            </w:pPr>
            <w:r>
              <w:rPr>
                <w:b/>
                <w:color w:val="181818"/>
                <w:sz w:val="18"/>
              </w:rPr>
              <w:t>Calimaya</w:t>
            </w:r>
          </w:p>
        </w:tc>
        <w:tc>
          <w:tcPr>
            <w:tcW w:w="1577" w:type="dxa"/>
          </w:tcPr>
          <w:p>
            <w:pPr>
              <w:pStyle w:val="TableParagraph"/>
              <w:spacing w:line="203" w:lineRule="exact"/>
              <w:ind w:left="407" w:right="406"/>
              <w:rPr>
                <w:sz w:val="18"/>
              </w:rPr>
            </w:pPr>
            <w:r>
              <w:rPr>
                <w:color w:val="333333"/>
                <w:sz w:val="18"/>
              </w:rPr>
              <w:t>3.80%</w:t>
            </w:r>
          </w:p>
        </w:tc>
        <w:tc>
          <w:tcPr>
            <w:tcW w:w="1364" w:type="dxa"/>
            <w:vMerge/>
          </w:tcPr>
          <w:p>
            <w:pPr/>
          </w:p>
        </w:tc>
      </w:tr>
      <w:tr>
        <w:trPr>
          <w:trHeight w:val="319" w:hRule="exact"/>
        </w:trPr>
        <w:tc>
          <w:tcPr>
            <w:tcW w:w="2273" w:type="dxa"/>
            <w:vMerge/>
          </w:tcPr>
          <w:p>
            <w:pPr/>
          </w:p>
        </w:tc>
        <w:tc>
          <w:tcPr>
            <w:tcW w:w="905" w:type="dxa"/>
          </w:tcPr>
          <w:p>
            <w:pPr>
              <w:pStyle w:val="TableParagraph"/>
              <w:spacing w:line="203" w:lineRule="exact"/>
              <w:rPr>
                <w:sz w:val="18"/>
              </w:rPr>
            </w:pPr>
            <w:r>
              <w:rPr>
                <w:w w:val="99"/>
                <w:sz w:val="18"/>
              </w:rPr>
              <w:t>1</w:t>
            </w:r>
          </w:p>
        </w:tc>
        <w:tc>
          <w:tcPr>
            <w:tcW w:w="2530" w:type="dxa"/>
          </w:tcPr>
          <w:p>
            <w:pPr>
              <w:pStyle w:val="TableParagraph"/>
              <w:spacing w:line="203" w:lineRule="exact"/>
              <w:ind w:left="64"/>
              <w:jc w:val="left"/>
              <w:rPr>
                <w:sz w:val="18"/>
              </w:rPr>
            </w:pPr>
            <w:r>
              <w:rPr>
                <w:color w:val="181818"/>
                <w:sz w:val="18"/>
              </w:rPr>
              <w:t>Coacalco de Berriozábal</w:t>
            </w:r>
          </w:p>
        </w:tc>
        <w:tc>
          <w:tcPr>
            <w:tcW w:w="1577" w:type="dxa"/>
          </w:tcPr>
          <w:p>
            <w:pPr/>
          </w:p>
        </w:tc>
        <w:tc>
          <w:tcPr>
            <w:tcW w:w="1364" w:type="dxa"/>
            <w:vMerge/>
          </w:tcPr>
          <w:p>
            <w:pPr/>
          </w:p>
        </w:tc>
      </w:tr>
      <w:tr>
        <w:trPr>
          <w:trHeight w:val="322" w:hRule="exact"/>
        </w:trPr>
        <w:tc>
          <w:tcPr>
            <w:tcW w:w="2273" w:type="dxa"/>
            <w:vMerge/>
          </w:tcPr>
          <w:p>
            <w:pPr/>
          </w:p>
        </w:tc>
        <w:tc>
          <w:tcPr>
            <w:tcW w:w="905" w:type="dxa"/>
          </w:tcPr>
          <w:p>
            <w:pPr>
              <w:pStyle w:val="TableParagraph"/>
              <w:spacing w:line="203" w:lineRule="exact"/>
              <w:rPr>
                <w:sz w:val="18"/>
              </w:rPr>
            </w:pPr>
            <w:r>
              <w:rPr>
                <w:w w:val="99"/>
                <w:sz w:val="18"/>
              </w:rPr>
              <w:t>1</w:t>
            </w:r>
          </w:p>
        </w:tc>
        <w:tc>
          <w:tcPr>
            <w:tcW w:w="2530" w:type="dxa"/>
          </w:tcPr>
          <w:p>
            <w:pPr>
              <w:pStyle w:val="TableParagraph"/>
              <w:spacing w:line="199" w:lineRule="exact"/>
              <w:ind w:left="64"/>
              <w:jc w:val="left"/>
              <w:rPr>
                <w:b/>
                <w:sz w:val="18"/>
              </w:rPr>
            </w:pPr>
            <w:r>
              <w:rPr>
                <w:b/>
                <w:color w:val="181818"/>
                <w:sz w:val="18"/>
              </w:rPr>
              <w:t>Coatepec Harinas</w:t>
            </w:r>
          </w:p>
        </w:tc>
        <w:tc>
          <w:tcPr>
            <w:tcW w:w="1577" w:type="dxa"/>
          </w:tcPr>
          <w:p>
            <w:pPr>
              <w:pStyle w:val="TableParagraph"/>
              <w:spacing w:line="203" w:lineRule="exact"/>
              <w:ind w:left="407" w:right="406"/>
              <w:rPr>
                <w:sz w:val="18"/>
              </w:rPr>
            </w:pPr>
            <w:r>
              <w:rPr>
                <w:color w:val="333333"/>
                <w:sz w:val="18"/>
              </w:rPr>
              <w:t>3.80%</w:t>
            </w:r>
          </w:p>
        </w:tc>
        <w:tc>
          <w:tcPr>
            <w:tcW w:w="1364" w:type="dxa"/>
            <w:vMerge/>
          </w:tcPr>
          <w:p>
            <w:pPr/>
          </w:p>
        </w:tc>
      </w:tr>
      <w:tr>
        <w:trPr>
          <w:trHeight w:val="319" w:hRule="exact"/>
        </w:trPr>
        <w:tc>
          <w:tcPr>
            <w:tcW w:w="2273" w:type="dxa"/>
            <w:vMerge/>
          </w:tcPr>
          <w:p>
            <w:pPr/>
          </w:p>
        </w:tc>
        <w:tc>
          <w:tcPr>
            <w:tcW w:w="905" w:type="dxa"/>
          </w:tcPr>
          <w:p>
            <w:pPr>
              <w:pStyle w:val="TableParagraph"/>
              <w:spacing w:line="203" w:lineRule="exact"/>
              <w:rPr>
                <w:sz w:val="18"/>
              </w:rPr>
            </w:pPr>
            <w:r>
              <w:rPr>
                <w:w w:val="99"/>
                <w:sz w:val="18"/>
              </w:rPr>
              <w:t>1</w:t>
            </w:r>
          </w:p>
        </w:tc>
        <w:tc>
          <w:tcPr>
            <w:tcW w:w="2530" w:type="dxa"/>
          </w:tcPr>
          <w:p>
            <w:pPr>
              <w:pStyle w:val="TableParagraph"/>
              <w:spacing w:line="199" w:lineRule="exact"/>
              <w:ind w:left="64"/>
              <w:jc w:val="left"/>
              <w:rPr>
                <w:b/>
                <w:sz w:val="18"/>
              </w:rPr>
            </w:pPr>
            <w:r>
              <w:rPr>
                <w:b/>
                <w:color w:val="181818"/>
                <w:sz w:val="18"/>
              </w:rPr>
              <w:t>Coyotepec</w:t>
            </w:r>
          </w:p>
        </w:tc>
        <w:tc>
          <w:tcPr>
            <w:tcW w:w="1577" w:type="dxa"/>
          </w:tcPr>
          <w:p>
            <w:pPr>
              <w:pStyle w:val="TableParagraph"/>
              <w:spacing w:line="203" w:lineRule="exact"/>
              <w:ind w:left="407" w:right="406"/>
              <w:rPr>
                <w:sz w:val="18"/>
              </w:rPr>
            </w:pPr>
            <w:r>
              <w:rPr>
                <w:color w:val="333333"/>
                <w:sz w:val="18"/>
              </w:rPr>
              <w:t>7.60%</w:t>
            </w:r>
          </w:p>
        </w:tc>
        <w:tc>
          <w:tcPr>
            <w:tcW w:w="1364" w:type="dxa"/>
            <w:vMerge/>
          </w:tcPr>
          <w:p>
            <w:pPr/>
          </w:p>
        </w:tc>
      </w:tr>
      <w:tr>
        <w:trPr>
          <w:trHeight w:val="322" w:hRule="exact"/>
        </w:trPr>
        <w:tc>
          <w:tcPr>
            <w:tcW w:w="2273" w:type="dxa"/>
            <w:vMerge/>
          </w:tcPr>
          <w:p>
            <w:pPr/>
          </w:p>
        </w:tc>
        <w:tc>
          <w:tcPr>
            <w:tcW w:w="905" w:type="dxa"/>
          </w:tcPr>
          <w:p>
            <w:pPr>
              <w:pStyle w:val="TableParagraph"/>
              <w:spacing w:line="203" w:lineRule="exact"/>
              <w:rPr>
                <w:sz w:val="18"/>
              </w:rPr>
            </w:pPr>
            <w:r>
              <w:rPr>
                <w:w w:val="99"/>
                <w:sz w:val="18"/>
              </w:rPr>
              <w:t>1</w:t>
            </w:r>
          </w:p>
        </w:tc>
        <w:tc>
          <w:tcPr>
            <w:tcW w:w="2530" w:type="dxa"/>
          </w:tcPr>
          <w:p>
            <w:pPr>
              <w:pStyle w:val="TableParagraph"/>
              <w:spacing w:line="203" w:lineRule="exact"/>
              <w:ind w:left="64"/>
              <w:jc w:val="left"/>
              <w:rPr>
                <w:sz w:val="18"/>
              </w:rPr>
            </w:pPr>
            <w:r>
              <w:rPr>
                <w:color w:val="181818"/>
                <w:sz w:val="18"/>
              </w:rPr>
              <w:t>Cuautitlán</w:t>
            </w:r>
          </w:p>
        </w:tc>
        <w:tc>
          <w:tcPr>
            <w:tcW w:w="1577" w:type="dxa"/>
          </w:tcPr>
          <w:p>
            <w:pPr/>
          </w:p>
        </w:tc>
        <w:tc>
          <w:tcPr>
            <w:tcW w:w="1364" w:type="dxa"/>
            <w:vMerge/>
          </w:tcPr>
          <w:p>
            <w:pPr/>
          </w:p>
        </w:tc>
      </w:tr>
      <w:tr>
        <w:trPr>
          <w:trHeight w:val="319" w:hRule="exact"/>
        </w:trPr>
        <w:tc>
          <w:tcPr>
            <w:tcW w:w="2273" w:type="dxa"/>
            <w:vMerge/>
          </w:tcPr>
          <w:p>
            <w:pPr/>
          </w:p>
        </w:tc>
        <w:tc>
          <w:tcPr>
            <w:tcW w:w="905" w:type="dxa"/>
          </w:tcPr>
          <w:p>
            <w:pPr>
              <w:pStyle w:val="TableParagraph"/>
              <w:spacing w:line="203" w:lineRule="exact"/>
              <w:rPr>
                <w:sz w:val="18"/>
              </w:rPr>
            </w:pPr>
            <w:r>
              <w:rPr>
                <w:w w:val="99"/>
                <w:sz w:val="18"/>
              </w:rPr>
              <w:t>1</w:t>
            </w:r>
          </w:p>
        </w:tc>
        <w:tc>
          <w:tcPr>
            <w:tcW w:w="2530" w:type="dxa"/>
          </w:tcPr>
          <w:p>
            <w:pPr>
              <w:pStyle w:val="TableParagraph"/>
              <w:spacing w:line="199" w:lineRule="exact"/>
              <w:ind w:left="64"/>
              <w:jc w:val="left"/>
              <w:rPr>
                <w:b/>
                <w:sz w:val="18"/>
              </w:rPr>
            </w:pPr>
            <w:r>
              <w:rPr>
                <w:b/>
                <w:color w:val="181818"/>
                <w:sz w:val="18"/>
              </w:rPr>
              <w:t>Chalco</w:t>
            </w:r>
          </w:p>
        </w:tc>
        <w:tc>
          <w:tcPr>
            <w:tcW w:w="1577" w:type="dxa"/>
          </w:tcPr>
          <w:p>
            <w:pPr>
              <w:pStyle w:val="TableParagraph"/>
              <w:spacing w:line="203" w:lineRule="exact"/>
              <w:ind w:left="407" w:right="408"/>
              <w:rPr>
                <w:sz w:val="18"/>
              </w:rPr>
            </w:pPr>
            <w:r>
              <w:rPr>
                <w:color w:val="333333"/>
                <w:sz w:val="18"/>
              </w:rPr>
              <w:t>34.60%</w:t>
            </w:r>
          </w:p>
        </w:tc>
        <w:tc>
          <w:tcPr>
            <w:tcW w:w="1364" w:type="dxa"/>
            <w:vMerge/>
          </w:tcPr>
          <w:p>
            <w:pPr/>
          </w:p>
        </w:tc>
      </w:tr>
      <w:tr>
        <w:trPr>
          <w:trHeight w:val="322" w:hRule="exact"/>
        </w:trPr>
        <w:tc>
          <w:tcPr>
            <w:tcW w:w="2273" w:type="dxa"/>
            <w:vMerge/>
          </w:tcPr>
          <w:p>
            <w:pPr/>
          </w:p>
        </w:tc>
        <w:tc>
          <w:tcPr>
            <w:tcW w:w="905" w:type="dxa"/>
          </w:tcPr>
          <w:p>
            <w:pPr>
              <w:pStyle w:val="TableParagraph"/>
              <w:spacing w:line="203" w:lineRule="exact"/>
              <w:rPr>
                <w:sz w:val="18"/>
              </w:rPr>
            </w:pPr>
            <w:r>
              <w:rPr>
                <w:w w:val="99"/>
                <w:sz w:val="18"/>
              </w:rPr>
              <w:t>1</w:t>
            </w:r>
          </w:p>
        </w:tc>
        <w:tc>
          <w:tcPr>
            <w:tcW w:w="2530" w:type="dxa"/>
          </w:tcPr>
          <w:p>
            <w:pPr>
              <w:pStyle w:val="TableParagraph"/>
              <w:spacing w:line="199" w:lineRule="exact"/>
              <w:ind w:left="64"/>
              <w:jc w:val="left"/>
              <w:rPr>
                <w:b/>
                <w:sz w:val="18"/>
              </w:rPr>
            </w:pPr>
            <w:r>
              <w:rPr>
                <w:b/>
                <w:color w:val="181818"/>
                <w:sz w:val="18"/>
              </w:rPr>
              <w:t>Chapa de Mota</w:t>
            </w:r>
          </w:p>
        </w:tc>
        <w:tc>
          <w:tcPr>
            <w:tcW w:w="1577" w:type="dxa"/>
          </w:tcPr>
          <w:p>
            <w:pPr>
              <w:pStyle w:val="TableParagraph"/>
              <w:spacing w:line="203" w:lineRule="exact"/>
              <w:ind w:left="407" w:right="406"/>
              <w:rPr>
                <w:sz w:val="18"/>
              </w:rPr>
            </w:pPr>
            <w:r>
              <w:rPr>
                <w:color w:val="333333"/>
                <w:sz w:val="18"/>
              </w:rPr>
              <w:t>7.60%</w:t>
            </w:r>
          </w:p>
        </w:tc>
        <w:tc>
          <w:tcPr>
            <w:tcW w:w="1364" w:type="dxa"/>
            <w:vMerge/>
          </w:tcPr>
          <w:p>
            <w:pPr/>
          </w:p>
        </w:tc>
      </w:tr>
      <w:tr>
        <w:trPr>
          <w:trHeight w:val="320" w:hRule="exact"/>
        </w:trPr>
        <w:tc>
          <w:tcPr>
            <w:tcW w:w="2273" w:type="dxa"/>
            <w:vMerge/>
          </w:tcPr>
          <w:p>
            <w:pPr/>
          </w:p>
        </w:tc>
        <w:tc>
          <w:tcPr>
            <w:tcW w:w="905" w:type="dxa"/>
          </w:tcPr>
          <w:p>
            <w:pPr>
              <w:pStyle w:val="TableParagraph"/>
              <w:spacing w:line="204" w:lineRule="exact"/>
              <w:rPr>
                <w:sz w:val="18"/>
              </w:rPr>
            </w:pPr>
            <w:r>
              <w:rPr>
                <w:w w:val="99"/>
                <w:sz w:val="18"/>
              </w:rPr>
              <w:t>1</w:t>
            </w:r>
          </w:p>
        </w:tc>
        <w:tc>
          <w:tcPr>
            <w:tcW w:w="2530" w:type="dxa"/>
          </w:tcPr>
          <w:p>
            <w:pPr>
              <w:pStyle w:val="TableParagraph"/>
              <w:spacing w:line="204" w:lineRule="exact"/>
              <w:ind w:left="64"/>
              <w:jc w:val="left"/>
              <w:rPr>
                <w:sz w:val="18"/>
              </w:rPr>
            </w:pPr>
            <w:r>
              <w:rPr>
                <w:color w:val="181818"/>
                <w:sz w:val="18"/>
              </w:rPr>
              <w:t>Chapultepec</w:t>
            </w:r>
          </w:p>
        </w:tc>
        <w:tc>
          <w:tcPr>
            <w:tcW w:w="1577" w:type="dxa"/>
          </w:tcPr>
          <w:p>
            <w:pPr/>
          </w:p>
        </w:tc>
        <w:tc>
          <w:tcPr>
            <w:tcW w:w="1364" w:type="dxa"/>
            <w:vMerge/>
          </w:tcPr>
          <w:p>
            <w:pPr/>
          </w:p>
        </w:tc>
      </w:tr>
      <w:tr>
        <w:trPr>
          <w:trHeight w:val="322" w:hRule="exact"/>
        </w:trPr>
        <w:tc>
          <w:tcPr>
            <w:tcW w:w="2273" w:type="dxa"/>
            <w:vMerge/>
          </w:tcPr>
          <w:p>
            <w:pPr/>
          </w:p>
        </w:tc>
        <w:tc>
          <w:tcPr>
            <w:tcW w:w="905" w:type="dxa"/>
          </w:tcPr>
          <w:p>
            <w:pPr>
              <w:pStyle w:val="TableParagraph"/>
              <w:spacing w:line="203" w:lineRule="exact"/>
              <w:rPr>
                <w:sz w:val="18"/>
              </w:rPr>
            </w:pPr>
            <w:r>
              <w:rPr>
                <w:w w:val="99"/>
                <w:sz w:val="18"/>
              </w:rPr>
              <w:t>1</w:t>
            </w:r>
          </w:p>
        </w:tc>
        <w:tc>
          <w:tcPr>
            <w:tcW w:w="2530" w:type="dxa"/>
          </w:tcPr>
          <w:p>
            <w:pPr>
              <w:pStyle w:val="TableParagraph"/>
              <w:spacing w:line="199" w:lineRule="exact"/>
              <w:ind w:left="64"/>
              <w:jc w:val="left"/>
              <w:rPr>
                <w:b/>
                <w:sz w:val="18"/>
              </w:rPr>
            </w:pPr>
            <w:r>
              <w:rPr>
                <w:b/>
                <w:color w:val="181818"/>
                <w:sz w:val="18"/>
              </w:rPr>
              <w:t>Chiautla</w:t>
            </w:r>
          </w:p>
        </w:tc>
        <w:tc>
          <w:tcPr>
            <w:tcW w:w="1577" w:type="dxa"/>
          </w:tcPr>
          <w:p>
            <w:pPr>
              <w:pStyle w:val="TableParagraph"/>
              <w:spacing w:line="203" w:lineRule="exact"/>
              <w:ind w:left="407" w:right="406"/>
              <w:rPr>
                <w:sz w:val="18"/>
              </w:rPr>
            </w:pPr>
            <w:r>
              <w:rPr>
                <w:color w:val="333333"/>
                <w:sz w:val="18"/>
              </w:rPr>
              <w:t>7.60%</w:t>
            </w:r>
          </w:p>
        </w:tc>
        <w:tc>
          <w:tcPr>
            <w:tcW w:w="1364" w:type="dxa"/>
            <w:vMerge/>
          </w:tcPr>
          <w:p>
            <w:pPr/>
          </w:p>
        </w:tc>
      </w:tr>
      <w:tr>
        <w:trPr>
          <w:trHeight w:val="319" w:hRule="exact"/>
        </w:trPr>
        <w:tc>
          <w:tcPr>
            <w:tcW w:w="2273" w:type="dxa"/>
            <w:vMerge/>
          </w:tcPr>
          <w:p>
            <w:pPr/>
          </w:p>
        </w:tc>
        <w:tc>
          <w:tcPr>
            <w:tcW w:w="905" w:type="dxa"/>
          </w:tcPr>
          <w:p>
            <w:pPr>
              <w:pStyle w:val="TableParagraph"/>
              <w:spacing w:line="203" w:lineRule="exact"/>
              <w:rPr>
                <w:sz w:val="18"/>
              </w:rPr>
            </w:pPr>
            <w:r>
              <w:rPr>
                <w:w w:val="99"/>
                <w:sz w:val="18"/>
              </w:rPr>
              <w:t>1</w:t>
            </w:r>
          </w:p>
        </w:tc>
        <w:tc>
          <w:tcPr>
            <w:tcW w:w="2530" w:type="dxa"/>
          </w:tcPr>
          <w:p>
            <w:pPr>
              <w:pStyle w:val="TableParagraph"/>
              <w:spacing w:line="199" w:lineRule="exact"/>
              <w:ind w:left="64"/>
              <w:jc w:val="left"/>
              <w:rPr>
                <w:b/>
                <w:sz w:val="18"/>
              </w:rPr>
            </w:pPr>
            <w:r>
              <w:rPr>
                <w:b/>
                <w:color w:val="181818"/>
                <w:sz w:val="18"/>
              </w:rPr>
              <w:t>Chiconcuac</w:t>
            </w:r>
          </w:p>
        </w:tc>
        <w:tc>
          <w:tcPr>
            <w:tcW w:w="1577" w:type="dxa"/>
          </w:tcPr>
          <w:p>
            <w:pPr>
              <w:pStyle w:val="TableParagraph"/>
              <w:spacing w:line="203" w:lineRule="exact"/>
              <w:ind w:left="407" w:right="406"/>
              <w:rPr>
                <w:sz w:val="18"/>
              </w:rPr>
            </w:pPr>
            <w:r>
              <w:rPr>
                <w:color w:val="333333"/>
                <w:sz w:val="18"/>
              </w:rPr>
              <w:t>3.80%</w:t>
            </w:r>
          </w:p>
        </w:tc>
        <w:tc>
          <w:tcPr>
            <w:tcW w:w="1364" w:type="dxa"/>
            <w:vMerge/>
          </w:tcPr>
          <w:p>
            <w:pPr/>
          </w:p>
        </w:tc>
      </w:tr>
      <w:tr>
        <w:trPr>
          <w:trHeight w:val="322" w:hRule="exact"/>
        </w:trPr>
        <w:tc>
          <w:tcPr>
            <w:tcW w:w="2273" w:type="dxa"/>
            <w:vMerge/>
          </w:tcPr>
          <w:p>
            <w:pPr/>
          </w:p>
        </w:tc>
        <w:tc>
          <w:tcPr>
            <w:tcW w:w="905" w:type="dxa"/>
          </w:tcPr>
          <w:p>
            <w:pPr>
              <w:pStyle w:val="TableParagraph"/>
              <w:spacing w:line="206" w:lineRule="exact"/>
              <w:rPr>
                <w:sz w:val="18"/>
              </w:rPr>
            </w:pPr>
            <w:r>
              <w:rPr>
                <w:w w:val="99"/>
                <w:sz w:val="18"/>
              </w:rPr>
              <w:t>2</w:t>
            </w:r>
          </w:p>
        </w:tc>
        <w:tc>
          <w:tcPr>
            <w:tcW w:w="2530" w:type="dxa"/>
          </w:tcPr>
          <w:p>
            <w:pPr>
              <w:pStyle w:val="TableParagraph"/>
              <w:spacing w:line="201" w:lineRule="exact"/>
              <w:ind w:left="64"/>
              <w:jc w:val="left"/>
              <w:rPr>
                <w:b/>
                <w:sz w:val="18"/>
              </w:rPr>
            </w:pPr>
            <w:r>
              <w:rPr>
                <w:b/>
                <w:color w:val="181818"/>
                <w:sz w:val="18"/>
              </w:rPr>
              <w:t>Chimalhuacán</w:t>
            </w:r>
          </w:p>
        </w:tc>
        <w:tc>
          <w:tcPr>
            <w:tcW w:w="1577" w:type="dxa"/>
          </w:tcPr>
          <w:p>
            <w:pPr>
              <w:pStyle w:val="TableParagraph"/>
              <w:spacing w:line="206" w:lineRule="exact"/>
              <w:ind w:left="407" w:right="406"/>
              <w:rPr>
                <w:sz w:val="18"/>
              </w:rPr>
            </w:pPr>
            <w:r>
              <w:rPr>
                <w:color w:val="333333"/>
                <w:sz w:val="18"/>
              </w:rPr>
              <w:t>3.80%</w:t>
            </w:r>
          </w:p>
        </w:tc>
        <w:tc>
          <w:tcPr>
            <w:tcW w:w="1364" w:type="dxa"/>
            <w:vMerge/>
          </w:tcPr>
          <w:p>
            <w:pPr/>
          </w:p>
        </w:tc>
      </w:tr>
      <w:tr>
        <w:trPr>
          <w:trHeight w:val="319" w:hRule="exact"/>
        </w:trPr>
        <w:tc>
          <w:tcPr>
            <w:tcW w:w="2273" w:type="dxa"/>
            <w:vMerge/>
          </w:tcPr>
          <w:p>
            <w:pPr/>
          </w:p>
        </w:tc>
        <w:tc>
          <w:tcPr>
            <w:tcW w:w="905" w:type="dxa"/>
          </w:tcPr>
          <w:p>
            <w:pPr>
              <w:pStyle w:val="TableParagraph"/>
              <w:spacing w:line="203" w:lineRule="exact"/>
              <w:rPr>
                <w:sz w:val="18"/>
              </w:rPr>
            </w:pPr>
            <w:r>
              <w:rPr>
                <w:w w:val="99"/>
                <w:sz w:val="18"/>
              </w:rPr>
              <w:t>1</w:t>
            </w:r>
          </w:p>
        </w:tc>
        <w:tc>
          <w:tcPr>
            <w:tcW w:w="2530" w:type="dxa"/>
          </w:tcPr>
          <w:p>
            <w:pPr>
              <w:pStyle w:val="TableParagraph"/>
              <w:spacing w:line="203" w:lineRule="exact"/>
              <w:ind w:left="64"/>
              <w:jc w:val="left"/>
              <w:rPr>
                <w:sz w:val="18"/>
              </w:rPr>
            </w:pPr>
            <w:r>
              <w:rPr>
                <w:color w:val="181818"/>
                <w:sz w:val="18"/>
              </w:rPr>
              <w:t>Donato Guerra</w:t>
            </w:r>
          </w:p>
        </w:tc>
        <w:tc>
          <w:tcPr>
            <w:tcW w:w="1577" w:type="dxa"/>
          </w:tcPr>
          <w:p>
            <w:pPr/>
          </w:p>
        </w:tc>
        <w:tc>
          <w:tcPr>
            <w:tcW w:w="1364" w:type="dxa"/>
            <w:vMerge/>
          </w:tcPr>
          <w:p>
            <w:pPr/>
          </w:p>
        </w:tc>
      </w:tr>
      <w:tr>
        <w:trPr>
          <w:trHeight w:val="322" w:hRule="exact"/>
        </w:trPr>
        <w:tc>
          <w:tcPr>
            <w:tcW w:w="2273" w:type="dxa"/>
            <w:vMerge/>
          </w:tcPr>
          <w:p>
            <w:pPr/>
          </w:p>
        </w:tc>
        <w:tc>
          <w:tcPr>
            <w:tcW w:w="905" w:type="dxa"/>
          </w:tcPr>
          <w:p>
            <w:pPr>
              <w:pStyle w:val="TableParagraph"/>
              <w:spacing w:line="206" w:lineRule="exact"/>
              <w:rPr>
                <w:sz w:val="18"/>
              </w:rPr>
            </w:pPr>
            <w:r>
              <w:rPr>
                <w:w w:val="99"/>
                <w:sz w:val="18"/>
              </w:rPr>
              <w:t>1</w:t>
            </w:r>
          </w:p>
        </w:tc>
        <w:tc>
          <w:tcPr>
            <w:tcW w:w="2530" w:type="dxa"/>
          </w:tcPr>
          <w:p>
            <w:pPr>
              <w:pStyle w:val="TableParagraph"/>
              <w:spacing w:line="201" w:lineRule="exact"/>
              <w:ind w:left="64"/>
              <w:jc w:val="left"/>
              <w:rPr>
                <w:b/>
                <w:sz w:val="18"/>
              </w:rPr>
            </w:pPr>
            <w:r>
              <w:rPr>
                <w:b/>
                <w:color w:val="181818"/>
                <w:sz w:val="18"/>
              </w:rPr>
              <w:t>Ecatepec de Morelos</w:t>
            </w:r>
          </w:p>
        </w:tc>
        <w:tc>
          <w:tcPr>
            <w:tcW w:w="1577" w:type="dxa"/>
          </w:tcPr>
          <w:p>
            <w:pPr>
              <w:pStyle w:val="TableParagraph"/>
              <w:spacing w:line="206" w:lineRule="exact"/>
              <w:ind w:left="407" w:right="408"/>
              <w:rPr>
                <w:sz w:val="18"/>
              </w:rPr>
            </w:pPr>
            <w:r>
              <w:rPr>
                <w:color w:val="333333"/>
                <w:sz w:val="18"/>
              </w:rPr>
              <w:t>42.30%</w:t>
            </w:r>
          </w:p>
        </w:tc>
        <w:tc>
          <w:tcPr>
            <w:tcW w:w="1364" w:type="dxa"/>
            <w:vMerge/>
          </w:tcPr>
          <w:p>
            <w:pPr/>
          </w:p>
        </w:tc>
      </w:tr>
      <w:tr>
        <w:trPr>
          <w:trHeight w:val="319" w:hRule="exact"/>
        </w:trPr>
        <w:tc>
          <w:tcPr>
            <w:tcW w:w="2273" w:type="dxa"/>
            <w:vMerge/>
          </w:tcPr>
          <w:p>
            <w:pPr/>
          </w:p>
        </w:tc>
        <w:tc>
          <w:tcPr>
            <w:tcW w:w="905" w:type="dxa"/>
          </w:tcPr>
          <w:p>
            <w:pPr>
              <w:pStyle w:val="TableParagraph"/>
              <w:spacing w:line="203" w:lineRule="exact"/>
              <w:rPr>
                <w:sz w:val="18"/>
              </w:rPr>
            </w:pPr>
            <w:r>
              <w:rPr>
                <w:w w:val="99"/>
                <w:sz w:val="18"/>
              </w:rPr>
              <w:t>1</w:t>
            </w:r>
          </w:p>
        </w:tc>
        <w:tc>
          <w:tcPr>
            <w:tcW w:w="2530" w:type="dxa"/>
          </w:tcPr>
          <w:p>
            <w:pPr>
              <w:pStyle w:val="TableParagraph"/>
              <w:spacing w:line="203" w:lineRule="exact"/>
              <w:ind w:left="64"/>
              <w:jc w:val="left"/>
              <w:rPr>
                <w:sz w:val="18"/>
              </w:rPr>
            </w:pPr>
            <w:r>
              <w:rPr>
                <w:color w:val="181818"/>
                <w:sz w:val="18"/>
              </w:rPr>
              <w:t>Ecatzingo</w:t>
            </w:r>
          </w:p>
        </w:tc>
        <w:tc>
          <w:tcPr>
            <w:tcW w:w="1577" w:type="dxa"/>
          </w:tcPr>
          <w:p>
            <w:pPr/>
          </w:p>
        </w:tc>
        <w:tc>
          <w:tcPr>
            <w:tcW w:w="1364" w:type="dxa"/>
            <w:vMerge/>
          </w:tcPr>
          <w:p>
            <w:pPr/>
          </w:p>
        </w:tc>
      </w:tr>
      <w:tr>
        <w:trPr>
          <w:trHeight w:val="322" w:hRule="exact"/>
        </w:trPr>
        <w:tc>
          <w:tcPr>
            <w:tcW w:w="2273" w:type="dxa"/>
            <w:vMerge/>
          </w:tcPr>
          <w:p>
            <w:pPr/>
          </w:p>
        </w:tc>
        <w:tc>
          <w:tcPr>
            <w:tcW w:w="905" w:type="dxa"/>
          </w:tcPr>
          <w:p>
            <w:pPr>
              <w:pStyle w:val="TableParagraph"/>
              <w:spacing w:line="206" w:lineRule="exact"/>
              <w:rPr>
                <w:sz w:val="18"/>
              </w:rPr>
            </w:pPr>
            <w:r>
              <w:rPr>
                <w:w w:val="99"/>
                <w:sz w:val="18"/>
              </w:rPr>
              <w:t>1</w:t>
            </w:r>
          </w:p>
        </w:tc>
        <w:tc>
          <w:tcPr>
            <w:tcW w:w="2530" w:type="dxa"/>
          </w:tcPr>
          <w:p>
            <w:pPr>
              <w:pStyle w:val="TableParagraph"/>
              <w:spacing w:line="201" w:lineRule="exact"/>
              <w:ind w:left="64"/>
              <w:jc w:val="left"/>
              <w:rPr>
                <w:b/>
                <w:sz w:val="18"/>
              </w:rPr>
            </w:pPr>
            <w:r>
              <w:rPr>
                <w:b/>
                <w:color w:val="181818"/>
                <w:sz w:val="18"/>
              </w:rPr>
              <w:t>Huehuetoca</w:t>
            </w:r>
          </w:p>
        </w:tc>
        <w:tc>
          <w:tcPr>
            <w:tcW w:w="1577" w:type="dxa"/>
          </w:tcPr>
          <w:p>
            <w:pPr>
              <w:pStyle w:val="TableParagraph"/>
              <w:spacing w:line="206" w:lineRule="exact"/>
              <w:ind w:left="407" w:right="408"/>
              <w:rPr>
                <w:sz w:val="18"/>
              </w:rPr>
            </w:pPr>
            <w:r>
              <w:rPr>
                <w:color w:val="333333"/>
                <w:sz w:val="18"/>
              </w:rPr>
              <w:t>38.40%</w:t>
            </w:r>
          </w:p>
        </w:tc>
        <w:tc>
          <w:tcPr>
            <w:tcW w:w="1364" w:type="dxa"/>
            <w:vMerge/>
          </w:tcPr>
          <w:p>
            <w:pPr/>
          </w:p>
        </w:tc>
      </w:tr>
      <w:tr>
        <w:trPr>
          <w:trHeight w:val="322" w:hRule="exact"/>
        </w:trPr>
        <w:tc>
          <w:tcPr>
            <w:tcW w:w="2273" w:type="dxa"/>
            <w:vMerge/>
          </w:tcPr>
          <w:p>
            <w:pPr/>
          </w:p>
        </w:tc>
        <w:tc>
          <w:tcPr>
            <w:tcW w:w="905" w:type="dxa"/>
          </w:tcPr>
          <w:p>
            <w:pPr>
              <w:pStyle w:val="TableParagraph"/>
              <w:spacing w:line="203" w:lineRule="exact"/>
              <w:rPr>
                <w:sz w:val="18"/>
              </w:rPr>
            </w:pPr>
            <w:r>
              <w:rPr>
                <w:w w:val="99"/>
                <w:sz w:val="18"/>
              </w:rPr>
              <w:t>1</w:t>
            </w:r>
          </w:p>
        </w:tc>
        <w:tc>
          <w:tcPr>
            <w:tcW w:w="2530" w:type="dxa"/>
          </w:tcPr>
          <w:p>
            <w:pPr>
              <w:pStyle w:val="TableParagraph"/>
              <w:spacing w:line="199" w:lineRule="exact"/>
              <w:ind w:left="64"/>
              <w:jc w:val="left"/>
              <w:rPr>
                <w:b/>
                <w:sz w:val="18"/>
              </w:rPr>
            </w:pPr>
            <w:r>
              <w:rPr>
                <w:b/>
                <w:color w:val="181818"/>
                <w:sz w:val="18"/>
              </w:rPr>
              <w:t>Hueypoxtla</w:t>
            </w:r>
          </w:p>
        </w:tc>
        <w:tc>
          <w:tcPr>
            <w:tcW w:w="1577" w:type="dxa"/>
          </w:tcPr>
          <w:p>
            <w:pPr>
              <w:pStyle w:val="TableParagraph"/>
              <w:spacing w:line="203" w:lineRule="exact"/>
              <w:ind w:left="407" w:right="406"/>
              <w:rPr>
                <w:sz w:val="18"/>
              </w:rPr>
            </w:pPr>
            <w:r>
              <w:rPr>
                <w:color w:val="333333"/>
                <w:sz w:val="18"/>
              </w:rPr>
              <w:t>3.80%</w:t>
            </w:r>
          </w:p>
        </w:tc>
        <w:tc>
          <w:tcPr>
            <w:tcW w:w="1364" w:type="dxa"/>
            <w:vMerge/>
          </w:tcPr>
          <w:p>
            <w:pPr/>
          </w:p>
        </w:tc>
      </w:tr>
      <w:tr>
        <w:trPr>
          <w:trHeight w:val="319" w:hRule="exact"/>
        </w:trPr>
        <w:tc>
          <w:tcPr>
            <w:tcW w:w="2273" w:type="dxa"/>
            <w:vMerge/>
          </w:tcPr>
          <w:p>
            <w:pPr/>
          </w:p>
        </w:tc>
        <w:tc>
          <w:tcPr>
            <w:tcW w:w="905" w:type="dxa"/>
          </w:tcPr>
          <w:p>
            <w:pPr>
              <w:pStyle w:val="TableParagraph"/>
              <w:spacing w:line="203" w:lineRule="exact"/>
              <w:rPr>
                <w:sz w:val="18"/>
              </w:rPr>
            </w:pPr>
            <w:r>
              <w:rPr>
                <w:w w:val="99"/>
                <w:sz w:val="18"/>
              </w:rPr>
              <w:t>1</w:t>
            </w:r>
          </w:p>
        </w:tc>
        <w:tc>
          <w:tcPr>
            <w:tcW w:w="2530" w:type="dxa"/>
          </w:tcPr>
          <w:p>
            <w:pPr>
              <w:pStyle w:val="TableParagraph"/>
              <w:spacing w:line="199" w:lineRule="exact"/>
              <w:ind w:left="64"/>
              <w:jc w:val="left"/>
              <w:rPr>
                <w:b/>
                <w:sz w:val="18"/>
              </w:rPr>
            </w:pPr>
            <w:r>
              <w:rPr>
                <w:b/>
                <w:color w:val="181818"/>
                <w:sz w:val="18"/>
              </w:rPr>
              <w:t>Huixquilucan</w:t>
            </w:r>
          </w:p>
        </w:tc>
        <w:tc>
          <w:tcPr>
            <w:tcW w:w="1577" w:type="dxa"/>
          </w:tcPr>
          <w:p>
            <w:pPr>
              <w:pStyle w:val="TableParagraph"/>
              <w:spacing w:line="203" w:lineRule="exact"/>
              <w:ind w:left="407" w:right="408"/>
              <w:rPr>
                <w:sz w:val="18"/>
              </w:rPr>
            </w:pPr>
            <w:r>
              <w:rPr>
                <w:color w:val="333333"/>
                <w:sz w:val="18"/>
              </w:rPr>
              <w:t>96.10%</w:t>
            </w:r>
          </w:p>
        </w:tc>
        <w:tc>
          <w:tcPr>
            <w:tcW w:w="1364" w:type="dxa"/>
            <w:vMerge/>
          </w:tcPr>
          <w:p>
            <w:pPr/>
          </w:p>
        </w:tc>
      </w:tr>
      <w:tr>
        <w:trPr>
          <w:trHeight w:val="322" w:hRule="exact"/>
        </w:trPr>
        <w:tc>
          <w:tcPr>
            <w:tcW w:w="2273" w:type="dxa"/>
            <w:vMerge/>
          </w:tcPr>
          <w:p>
            <w:pPr/>
          </w:p>
        </w:tc>
        <w:tc>
          <w:tcPr>
            <w:tcW w:w="905" w:type="dxa"/>
          </w:tcPr>
          <w:p>
            <w:pPr>
              <w:pStyle w:val="TableParagraph"/>
              <w:spacing w:line="203" w:lineRule="exact"/>
              <w:rPr>
                <w:sz w:val="18"/>
              </w:rPr>
            </w:pPr>
            <w:r>
              <w:rPr>
                <w:w w:val="99"/>
                <w:sz w:val="18"/>
              </w:rPr>
              <w:t>1</w:t>
            </w:r>
          </w:p>
        </w:tc>
        <w:tc>
          <w:tcPr>
            <w:tcW w:w="2530" w:type="dxa"/>
          </w:tcPr>
          <w:p>
            <w:pPr>
              <w:pStyle w:val="TableParagraph"/>
              <w:spacing w:line="199" w:lineRule="exact"/>
              <w:ind w:left="64"/>
              <w:jc w:val="left"/>
              <w:rPr>
                <w:b/>
                <w:sz w:val="18"/>
              </w:rPr>
            </w:pPr>
            <w:r>
              <w:rPr>
                <w:b/>
                <w:color w:val="181818"/>
                <w:sz w:val="18"/>
              </w:rPr>
              <w:t>Ixtapaluca</w:t>
            </w:r>
          </w:p>
        </w:tc>
        <w:tc>
          <w:tcPr>
            <w:tcW w:w="1577" w:type="dxa"/>
          </w:tcPr>
          <w:p>
            <w:pPr>
              <w:pStyle w:val="TableParagraph"/>
              <w:spacing w:line="203" w:lineRule="exact"/>
              <w:ind w:left="407" w:right="408"/>
              <w:rPr>
                <w:sz w:val="18"/>
              </w:rPr>
            </w:pPr>
            <w:r>
              <w:rPr>
                <w:color w:val="333333"/>
                <w:sz w:val="18"/>
              </w:rPr>
              <w:t>26.90%</w:t>
            </w:r>
          </w:p>
        </w:tc>
        <w:tc>
          <w:tcPr>
            <w:tcW w:w="1364" w:type="dxa"/>
            <w:vMerge/>
          </w:tcPr>
          <w:p>
            <w:pPr/>
          </w:p>
        </w:tc>
      </w:tr>
      <w:tr>
        <w:trPr>
          <w:trHeight w:val="319" w:hRule="exact"/>
        </w:trPr>
        <w:tc>
          <w:tcPr>
            <w:tcW w:w="2273" w:type="dxa"/>
            <w:vMerge/>
          </w:tcPr>
          <w:p>
            <w:pPr/>
          </w:p>
        </w:tc>
        <w:tc>
          <w:tcPr>
            <w:tcW w:w="905" w:type="dxa"/>
          </w:tcPr>
          <w:p>
            <w:pPr>
              <w:pStyle w:val="TableParagraph"/>
              <w:spacing w:line="203" w:lineRule="exact"/>
              <w:rPr>
                <w:sz w:val="18"/>
              </w:rPr>
            </w:pPr>
            <w:r>
              <w:rPr>
                <w:w w:val="99"/>
                <w:sz w:val="18"/>
              </w:rPr>
              <w:t>1</w:t>
            </w:r>
          </w:p>
        </w:tc>
        <w:tc>
          <w:tcPr>
            <w:tcW w:w="2530" w:type="dxa"/>
          </w:tcPr>
          <w:p>
            <w:pPr>
              <w:pStyle w:val="TableParagraph"/>
              <w:spacing w:line="199" w:lineRule="exact"/>
              <w:ind w:left="64"/>
              <w:jc w:val="left"/>
              <w:rPr>
                <w:b/>
                <w:sz w:val="18"/>
              </w:rPr>
            </w:pPr>
            <w:r>
              <w:rPr>
                <w:b/>
                <w:color w:val="181818"/>
                <w:sz w:val="18"/>
              </w:rPr>
              <w:t>Ixtapan de la Sal</w:t>
            </w:r>
          </w:p>
        </w:tc>
        <w:tc>
          <w:tcPr>
            <w:tcW w:w="1577" w:type="dxa"/>
          </w:tcPr>
          <w:p>
            <w:pPr>
              <w:pStyle w:val="TableParagraph"/>
              <w:spacing w:line="203" w:lineRule="exact"/>
              <w:ind w:left="407" w:right="408"/>
              <w:rPr>
                <w:sz w:val="18"/>
              </w:rPr>
            </w:pPr>
            <w:r>
              <w:rPr>
                <w:color w:val="333333"/>
                <w:sz w:val="18"/>
              </w:rPr>
              <w:t>38.46%</w:t>
            </w:r>
          </w:p>
        </w:tc>
        <w:tc>
          <w:tcPr>
            <w:tcW w:w="1364" w:type="dxa"/>
            <w:vMerge/>
          </w:tcPr>
          <w:p>
            <w:pPr/>
          </w:p>
        </w:tc>
      </w:tr>
      <w:tr>
        <w:trPr>
          <w:trHeight w:val="322" w:hRule="exact"/>
        </w:trPr>
        <w:tc>
          <w:tcPr>
            <w:tcW w:w="2273" w:type="dxa"/>
            <w:vMerge/>
          </w:tcPr>
          <w:p>
            <w:pPr/>
          </w:p>
        </w:tc>
        <w:tc>
          <w:tcPr>
            <w:tcW w:w="905" w:type="dxa"/>
          </w:tcPr>
          <w:p>
            <w:pPr>
              <w:pStyle w:val="TableParagraph"/>
              <w:spacing w:line="203" w:lineRule="exact"/>
              <w:rPr>
                <w:sz w:val="18"/>
              </w:rPr>
            </w:pPr>
            <w:r>
              <w:rPr>
                <w:w w:val="99"/>
                <w:sz w:val="18"/>
              </w:rPr>
              <w:t>1</w:t>
            </w:r>
          </w:p>
        </w:tc>
        <w:tc>
          <w:tcPr>
            <w:tcW w:w="2530" w:type="dxa"/>
          </w:tcPr>
          <w:p>
            <w:pPr>
              <w:pStyle w:val="TableParagraph"/>
              <w:spacing w:line="203" w:lineRule="exact"/>
              <w:ind w:left="64"/>
              <w:jc w:val="left"/>
              <w:rPr>
                <w:sz w:val="18"/>
              </w:rPr>
            </w:pPr>
            <w:r>
              <w:rPr>
                <w:color w:val="181818"/>
                <w:sz w:val="18"/>
              </w:rPr>
              <w:t>Ixtapan del Oro</w:t>
            </w:r>
          </w:p>
        </w:tc>
        <w:tc>
          <w:tcPr>
            <w:tcW w:w="1577" w:type="dxa"/>
          </w:tcPr>
          <w:p>
            <w:pPr/>
          </w:p>
        </w:tc>
        <w:tc>
          <w:tcPr>
            <w:tcW w:w="1364" w:type="dxa"/>
            <w:vMerge/>
          </w:tcPr>
          <w:p>
            <w:pPr/>
          </w:p>
        </w:tc>
      </w:tr>
      <w:tr>
        <w:trPr>
          <w:trHeight w:val="319" w:hRule="exact"/>
        </w:trPr>
        <w:tc>
          <w:tcPr>
            <w:tcW w:w="2273" w:type="dxa"/>
            <w:vMerge/>
          </w:tcPr>
          <w:p>
            <w:pPr/>
          </w:p>
        </w:tc>
        <w:tc>
          <w:tcPr>
            <w:tcW w:w="905" w:type="dxa"/>
          </w:tcPr>
          <w:p>
            <w:pPr>
              <w:pStyle w:val="TableParagraph"/>
              <w:spacing w:line="203" w:lineRule="exact"/>
              <w:rPr>
                <w:sz w:val="18"/>
              </w:rPr>
            </w:pPr>
            <w:r>
              <w:rPr>
                <w:w w:val="99"/>
                <w:sz w:val="18"/>
              </w:rPr>
              <w:t>2</w:t>
            </w:r>
          </w:p>
        </w:tc>
        <w:tc>
          <w:tcPr>
            <w:tcW w:w="2530" w:type="dxa"/>
          </w:tcPr>
          <w:p>
            <w:pPr>
              <w:pStyle w:val="TableParagraph"/>
              <w:spacing w:line="199" w:lineRule="exact"/>
              <w:ind w:left="64"/>
              <w:jc w:val="left"/>
              <w:rPr>
                <w:b/>
                <w:sz w:val="18"/>
              </w:rPr>
            </w:pPr>
            <w:r>
              <w:rPr>
                <w:b/>
                <w:color w:val="181818"/>
                <w:sz w:val="18"/>
              </w:rPr>
              <w:t>Ixtlahuaca</w:t>
            </w:r>
          </w:p>
        </w:tc>
        <w:tc>
          <w:tcPr>
            <w:tcW w:w="1577" w:type="dxa"/>
          </w:tcPr>
          <w:p>
            <w:pPr>
              <w:pStyle w:val="TableParagraph"/>
              <w:spacing w:line="203" w:lineRule="exact"/>
              <w:ind w:left="407" w:right="408"/>
              <w:rPr>
                <w:sz w:val="18"/>
              </w:rPr>
            </w:pPr>
            <w:r>
              <w:rPr>
                <w:color w:val="333333"/>
                <w:sz w:val="18"/>
              </w:rPr>
              <w:t>23.60%</w:t>
            </w:r>
          </w:p>
        </w:tc>
        <w:tc>
          <w:tcPr>
            <w:tcW w:w="1364" w:type="dxa"/>
            <w:vMerge/>
          </w:tcPr>
          <w:p>
            <w:pPr/>
          </w:p>
        </w:tc>
      </w:tr>
      <w:tr>
        <w:trPr>
          <w:trHeight w:val="322" w:hRule="exact"/>
        </w:trPr>
        <w:tc>
          <w:tcPr>
            <w:tcW w:w="2273" w:type="dxa"/>
            <w:vMerge/>
          </w:tcPr>
          <w:p>
            <w:pPr/>
          </w:p>
        </w:tc>
        <w:tc>
          <w:tcPr>
            <w:tcW w:w="905" w:type="dxa"/>
          </w:tcPr>
          <w:p>
            <w:pPr>
              <w:pStyle w:val="TableParagraph"/>
              <w:spacing w:line="203" w:lineRule="exact"/>
              <w:rPr>
                <w:sz w:val="18"/>
              </w:rPr>
            </w:pPr>
            <w:r>
              <w:rPr>
                <w:w w:val="99"/>
                <w:sz w:val="18"/>
              </w:rPr>
              <w:t>1</w:t>
            </w:r>
          </w:p>
        </w:tc>
        <w:tc>
          <w:tcPr>
            <w:tcW w:w="2530" w:type="dxa"/>
          </w:tcPr>
          <w:p>
            <w:pPr>
              <w:pStyle w:val="TableParagraph"/>
              <w:spacing w:line="203" w:lineRule="exact"/>
              <w:ind w:left="64"/>
              <w:jc w:val="left"/>
              <w:rPr>
                <w:sz w:val="18"/>
              </w:rPr>
            </w:pPr>
            <w:r>
              <w:rPr>
                <w:color w:val="181818"/>
                <w:sz w:val="18"/>
              </w:rPr>
              <w:t>Xalatlaco</w:t>
            </w:r>
          </w:p>
        </w:tc>
        <w:tc>
          <w:tcPr>
            <w:tcW w:w="1577" w:type="dxa"/>
          </w:tcPr>
          <w:p>
            <w:pPr/>
          </w:p>
        </w:tc>
        <w:tc>
          <w:tcPr>
            <w:tcW w:w="1364" w:type="dxa"/>
            <w:vMerge/>
          </w:tcPr>
          <w:p>
            <w:pPr/>
          </w:p>
        </w:tc>
      </w:tr>
      <w:tr>
        <w:trPr>
          <w:trHeight w:val="319" w:hRule="exact"/>
        </w:trPr>
        <w:tc>
          <w:tcPr>
            <w:tcW w:w="2273" w:type="dxa"/>
            <w:vMerge/>
          </w:tcPr>
          <w:p>
            <w:pPr/>
          </w:p>
        </w:tc>
        <w:tc>
          <w:tcPr>
            <w:tcW w:w="905" w:type="dxa"/>
          </w:tcPr>
          <w:p>
            <w:pPr>
              <w:pStyle w:val="TableParagraph"/>
              <w:spacing w:line="203" w:lineRule="exact"/>
              <w:rPr>
                <w:sz w:val="18"/>
              </w:rPr>
            </w:pPr>
            <w:r>
              <w:rPr>
                <w:w w:val="99"/>
                <w:sz w:val="18"/>
              </w:rPr>
              <w:t>1</w:t>
            </w:r>
          </w:p>
        </w:tc>
        <w:tc>
          <w:tcPr>
            <w:tcW w:w="2530" w:type="dxa"/>
          </w:tcPr>
          <w:p>
            <w:pPr>
              <w:pStyle w:val="TableParagraph"/>
              <w:spacing w:line="203" w:lineRule="exact"/>
              <w:ind w:left="64"/>
              <w:jc w:val="left"/>
              <w:rPr>
                <w:sz w:val="18"/>
              </w:rPr>
            </w:pPr>
            <w:r>
              <w:rPr>
                <w:color w:val="181818"/>
                <w:sz w:val="18"/>
              </w:rPr>
              <w:t>Jaltenco</w:t>
            </w:r>
          </w:p>
        </w:tc>
        <w:tc>
          <w:tcPr>
            <w:tcW w:w="1577" w:type="dxa"/>
          </w:tcPr>
          <w:p>
            <w:pPr/>
          </w:p>
        </w:tc>
        <w:tc>
          <w:tcPr>
            <w:tcW w:w="1364" w:type="dxa"/>
            <w:vMerge/>
          </w:tcPr>
          <w:p>
            <w:pPr/>
          </w:p>
        </w:tc>
      </w:tr>
      <w:tr>
        <w:trPr>
          <w:trHeight w:val="322" w:hRule="exact"/>
        </w:trPr>
        <w:tc>
          <w:tcPr>
            <w:tcW w:w="2273" w:type="dxa"/>
            <w:vMerge/>
          </w:tcPr>
          <w:p>
            <w:pPr/>
          </w:p>
        </w:tc>
        <w:tc>
          <w:tcPr>
            <w:tcW w:w="905" w:type="dxa"/>
          </w:tcPr>
          <w:p>
            <w:pPr>
              <w:pStyle w:val="TableParagraph"/>
              <w:spacing w:line="203" w:lineRule="exact"/>
              <w:rPr>
                <w:sz w:val="18"/>
              </w:rPr>
            </w:pPr>
            <w:r>
              <w:rPr>
                <w:w w:val="99"/>
                <w:sz w:val="18"/>
              </w:rPr>
              <w:t>1</w:t>
            </w:r>
          </w:p>
        </w:tc>
        <w:tc>
          <w:tcPr>
            <w:tcW w:w="2530" w:type="dxa"/>
          </w:tcPr>
          <w:p>
            <w:pPr>
              <w:pStyle w:val="TableParagraph"/>
              <w:spacing w:line="199" w:lineRule="exact"/>
              <w:ind w:left="64"/>
              <w:jc w:val="left"/>
              <w:rPr>
                <w:b/>
                <w:sz w:val="18"/>
              </w:rPr>
            </w:pPr>
            <w:r>
              <w:rPr>
                <w:b/>
                <w:color w:val="181818"/>
                <w:sz w:val="18"/>
              </w:rPr>
              <w:t>Jilotepec</w:t>
            </w:r>
          </w:p>
        </w:tc>
        <w:tc>
          <w:tcPr>
            <w:tcW w:w="1577" w:type="dxa"/>
          </w:tcPr>
          <w:p>
            <w:pPr>
              <w:pStyle w:val="TableParagraph"/>
              <w:spacing w:line="203" w:lineRule="exact"/>
              <w:ind w:left="407" w:right="408"/>
              <w:rPr>
                <w:sz w:val="18"/>
              </w:rPr>
            </w:pPr>
            <w:r>
              <w:rPr>
                <w:color w:val="333333"/>
                <w:sz w:val="18"/>
              </w:rPr>
              <w:t>50.00%</w:t>
            </w:r>
          </w:p>
        </w:tc>
        <w:tc>
          <w:tcPr>
            <w:tcW w:w="1364" w:type="dxa"/>
            <w:vMerge/>
          </w:tcPr>
          <w:p>
            <w:pPr/>
          </w:p>
        </w:tc>
      </w:tr>
      <w:tr>
        <w:trPr>
          <w:trHeight w:val="319" w:hRule="exact"/>
        </w:trPr>
        <w:tc>
          <w:tcPr>
            <w:tcW w:w="2273" w:type="dxa"/>
            <w:vMerge/>
          </w:tcPr>
          <w:p>
            <w:pPr/>
          </w:p>
        </w:tc>
        <w:tc>
          <w:tcPr>
            <w:tcW w:w="905" w:type="dxa"/>
          </w:tcPr>
          <w:p>
            <w:pPr>
              <w:pStyle w:val="TableParagraph"/>
              <w:spacing w:line="203" w:lineRule="exact"/>
              <w:rPr>
                <w:sz w:val="18"/>
              </w:rPr>
            </w:pPr>
            <w:r>
              <w:rPr>
                <w:w w:val="99"/>
                <w:sz w:val="18"/>
              </w:rPr>
              <w:t>2</w:t>
            </w:r>
          </w:p>
        </w:tc>
        <w:tc>
          <w:tcPr>
            <w:tcW w:w="2530" w:type="dxa"/>
          </w:tcPr>
          <w:p>
            <w:pPr>
              <w:pStyle w:val="TableParagraph"/>
              <w:spacing w:line="203" w:lineRule="exact"/>
              <w:ind w:left="64"/>
              <w:jc w:val="left"/>
              <w:rPr>
                <w:sz w:val="18"/>
              </w:rPr>
            </w:pPr>
            <w:r>
              <w:rPr>
                <w:color w:val="181818"/>
                <w:sz w:val="18"/>
              </w:rPr>
              <w:t>Jilotzingo</w:t>
            </w:r>
          </w:p>
        </w:tc>
        <w:tc>
          <w:tcPr>
            <w:tcW w:w="1577" w:type="dxa"/>
          </w:tcPr>
          <w:p>
            <w:pPr/>
          </w:p>
        </w:tc>
        <w:tc>
          <w:tcPr>
            <w:tcW w:w="1364" w:type="dxa"/>
            <w:vMerge/>
          </w:tcPr>
          <w:p>
            <w:pPr/>
          </w:p>
        </w:tc>
      </w:tr>
      <w:tr>
        <w:trPr>
          <w:trHeight w:val="322" w:hRule="exact"/>
        </w:trPr>
        <w:tc>
          <w:tcPr>
            <w:tcW w:w="2273" w:type="dxa"/>
            <w:vMerge/>
          </w:tcPr>
          <w:p>
            <w:pPr/>
          </w:p>
        </w:tc>
        <w:tc>
          <w:tcPr>
            <w:tcW w:w="905" w:type="dxa"/>
          </w:tcPr>
          <w:p>
            <w:pPr>
              <w:pStyle w:val="TableParagraph"/>
              <w:spacing w:line="203" w:lineRule="exact"/>
              <w:rPr>
                <w:sz w:val="18"/>
              </w:rPr>
            </w:pPr>
            <w:r>
              <w:rPr>
                <w:w w:val="99"/>
                <w:sz w:val="18"/>
              </w:rPr>
              <w:t>1</w:t>
            </w:r>
          </w:p>
        </w:tc>
        <w:tc>
          <w:tcPr>
            <w:tcW w:w="2530" w:type="dxa"/>
          </w:tcPr>
          <w:p>
            <w:pPr>
              <w:pStyle w:val="TableParagraph"/>
              <w:spacing w:line="199" w:lineRule="exact"/>
              <w:ind w:left="64"/>
              <w:jc w:val="left"/>
              <w:rPr>
                <w:b/>
                <w:sz w:val="18"/>
              </w:rPr>
            </w:pPr>
            <w:r>
              <w:rPr>
                <w:b/>
                <w:color w:val="181818"/>
                <w:sz w:val="18"/>
              </w:rPr>
              <w:t>Jiquipilco</w:t>
            </w:r>
          </w:p>
        </w:tc>
        <w:tc>
          <w:tcPr>
            <w:tcW w:w="1577" w:type="dxa"/>
          </w:tcPr>
          <w:p>
            <w:pPr>
              <w:pStyle w:val="TableParagraph"/>
              <w:spacing w:line="203" w:lineRule="exact"/>
              <w:ind w:left="407" w:right="408"/>
              <w:rPr>
                <w:sz w:val="18"/>
              </w:rPr>
            </w:pPr>
            <w:r>
              <w:rPr>
                <w:color w:val="333333"/>
                <w:sz w:val="18"/>
              </w:rPr>
              <w:t>11.50%</w:t>
            </w:r>
          </w:p>
        </w:tc>
        <w:tc>
          <w:tcPr>
            <w:tcW w:w="1364" w:type="dxa"/>
            <w:vMerge/>
          </w:tcPr>
          <w:p>
            <w:pPr/>
          </w:p>
        </w:tc>
      </w:tr>
      <w:tr>
        <w:trPr>
          <w:trHeight w:val="319" w:hRule="exact"/>
        </w:trPr>
        <w:tc>
          <w:tcPr>
            <w:tcW w:w="2273" w:type="dxa"/>
            <w:vMerge/>
          </w:tcPr>
          <w:p>
            <w:pPr/>
          </w:p>
        </w:tc>
        <w:tc>
          <w:tcPr>
            <w:tcW w:w="905" w:type="dxa"/>
          </w:tcPr>
          <w:p>
            <w:pPr>
              <w:pStyle w:val="TableParagraph"/>
              <w:spacing w:line="203" w:lineRule="exact"/>
              <w:rPr>
                <w:sz w:val="18"/>
              </w:rPr>
            </w:pPr>
            <w:r>
              <w:rPr>
                <w:w w:val="99"/>
                <w:sz w:val="18"/>
              </w:rPr>
              <w:t>1</w:t>
            </w:r>
          </w:p>
        </w:tc>
        <w:tc>
          <w:tcPr>
            <w:tcW w:w="2530" w:type="dxa"/>
          </w:tcPr>
          <w:p>
            <w:pPr>
              <w:pStyle w:val="TableParagraph"/>
              <w:spacing w:line="199" w:lineRule="exact"/>
              <w:ind w:left="64"/>
              <w:jc w:val="left"/>
              <w:rPr>
                <w:b/>
                <w:sz w:val="18"/>
              </w:rPr>
            </w:pPr>
            <w:r>
              <w:rPr>
                <w:b/>
                <w:color w:val="181818"/>
                <w:sz w:val="18"/>
              </w:rPr>
              <w:t>Jocotitlán</w:t>
            </w:r>
          </w:p>
        </w:tc>
        <w:tc>
          <w:tcPr>
            <w:tcW w:w="1577" w:type="dxa"/>
          </w:tcPr>
          <w:p>
            <w:pPr>
              <w:pStyle w:val="TableParagraph"/>
              <w:spacing w:line="203" w:lineRule="exact"/>
              <w:ind w:left="407" w:right="406"/>
              <w:rPr>
                <w:sz w:val="18"/>
              </w:rPr>
            </w:pPr>
            <w:r>
              <w:rPr>
                <w:color w:val="333333"/>
                <w:sz w:val="18"/>
              </w:rPr>
              <w:t>3.80%</w:t>
            </w:r>
          </w:p>
        </w:tc>
        <w:tc>
          <w:tcPr>
            <w:tcW w:w="1364" w:type="dxa"/>
            <w:vMerge/>
          </w:tcPr>
          <w:p>
            <w:pPr/>
          </w:p>
        </w:tc>
      </w:tr>
      <w:tr>
        <w:trPr>
          <w:trHeight w:val="322" w:hRule="exact"/>
        </w:trPr>
        <w:tc>
          <w:tcPr>
            <w:tcW w:w="2273" w:type="dxa"/>
            <w:vMerge/>
          </w:tcPr>
          <w:p>
            <w:pPr/>
          </w:p>
        </w:tc>
        <w:tc>
          <w:tcPr>
            <w:tcW w:w="905" w:type="dxa"/>
          </w:tcPr>
          <w:p>
            <w:pPr>
              <w:pStyle w:val="TableParagraph"/>
              <w:spacing w:line="206" w:lineRule="exact"/>
              <w:rPr>
                <w:sz w:val="18"/>
              </w:rPr>
            </w:pPr>
            <w:r>
              <w:rPr>
                <w:w w:val="99"/>
                <w:sz w:val="18"/>
              </w:rPr>
              <w:t>1</w:t>
            </w:r>
          </w:p>
        </w:tc>
        <w:tc>
          <w:tcPr>
            <w:tcW w:w="2530" w:type="dxa"/>
          </w:tcPr>
          <w:p>
            <w:pPr>
              <w:pStyle w:val="TableParagraph"/>
              <w:spacing w:line="206" w:lineRule="exact"/>
              <w:ind w:left="64"/>
              <w:jc w:val="left"/>
              <w:rPr>
                <w:sz w:val="18"/>
              </w:rPr>
            </w:pPr>
            <w:r>
              <w:rPr>
                <w:color w:val="181818"/>
                <w:sz w:val="18"/>
              </w:rPr>
              <w:t>Joquicingo</w:t>
            </w:r>
          </w:p>
        </w:tc>
        <w:tc>
          <w:tcPr>
            <w:tcW w:w="1577" w:type="dxa"/>
          </w:tcPr>
          <w:p>
            <w:pPr/>
          </w:p>
        </w:tc>
        <w:tc>
          <w:tcPr>
            <w:tcW w:w="1364" w:type="dxa"/>
            <w:vMerge/>
          </w:tcPr>
          <w:p>
            <w:pPr/>
          </w:p>
        </w:tc>
      </w:tr>
      <w:tr>
        <w:trPr>
          <w:trHeight w:val="320" w:hRule="exact"/>
        </w:trPr>
        <w:tc>
          <w:tcPr>
            <w:tcW w:w="2273" w:type="dxa"/>
            <w:vMerge/>
          </w:tcPr>
          <w:p>
            <w:pPr/>
          </w:p>
        </w:tc>
        <w:tc>
          <w:tcPr>
            <w:tcW w:w="905" w:type="dxa"/>
          </w:tcPr>
          <w:p>
            <w:pPr>
              <w:pStyle w:val="TableParagraph"/>
              <w:spacing w:line="203" w:lineRule="exact"/>
              <w:rPr>
                <w:sz w:val="18"/>
              </w:rPr>
            </w:pPr>
            <w:r>
              <w:rPr>
                <w:w w:val="99"/>
                <w:sz w:val="18"/>
              </w:rPr>
              <w:t>1</w:t>
            </w:r>
          </w:p>
        </w:tc>
        <w:tc>
          <w:tcPr>
            <w:tcW w:w="2530" w:type="dxa"/>
          </w:tcPr>
          <w:p>
            <w:pPr>
              <w:pStyle w:val="TableParagraph"/>
              <w:spacing w:line="203" w:lineRule="exact"/>
              <w:ind w:left="64"/>
              <w:jc w:val="left"/>
              <w:rPr>
                <w:sz w:val="18"/>
              </w:rPr>
            </w:pPr>
            <w:r>
              <w:rPr>
                <w:color w:val="181818"/>
                <w:sz w:val="18"/>
              </w:rPr>
              <w:t>Juchitepec</w:t>
            </w:r>
          </w:p>
        </w:tc>
        <w:tc>
          <w:tcPr>
            <w:tcW w:w="1577" w:type="dxa"/>
          </w:tcPr>
          <w:p>
            <w:pPr/>
          </w:p>
        </w:tc>
        <w:tc>
          <w:tcPr>
            <w:tcW w:w="1364" w:type="dxa"/>
            <w:vMerge/>
          </w:tcPr>
          <w:p>
            <w:pPr/>
          </w:p>
        </w:tc>
      </w:tr>
      <w:tr>
        <w:trPr>
          <w:trHeight w:val="322" w:hRule="exact"/>
        </w:trPr>
        <w:tc>
          <w:tcPr>
            <w:tcW w:w="2273" w:type="dxa"/>
            <w:vMerge/>
          </w:tcPr>
          <w:p>
            <w:pPr/>
          </w:p>
        </w:tc>
        <w:tc>
          <w:tcPr>
            <w:tcW w:w="905" w:type="dxa"/>
          </w:tcPr>
          <w:p>
            <w:pPr>
              <w:pStyle w:val="TableParagraph"/>
              <w:spacing w:line="206" w:lineRule="exact"/>
              <w:rPr>
                <w:sz w:val="18"/>
              </w:rPr>
            </w:pPr>
            <w:r>
              <w:rPr>
                <w:w w:val="99"/>
                <w:sz w:val="18"/>
              </w:rPr>
              <w:t>1</w:t>
            </w:r>
          </w:p>
        </w:tc>
        <w:tc>
          <w:tcPr>
            <w:tcW w:w="2530" w:type="dxa"/>
          </w:tcPr>
          <w:p>
            <w:pPr>
              <w:pStyle w:val="TableParagraph"/>
              <w:spacing w:line="206" w:lineRule="exact"/>
              <w:ind w:left="64"/>
              <w:jc w:val="left"/>
              <w:rPr>
                <w:sz w:val="18"/>
              </w:rPr>
            </w:pPr>
            <w:r>
              <w:rPr>
                <w:color w:val="181818"/>
                <w:sz w:val="18"/>
              </w:rPr>
              <w:t>Lerma</w:t>
            </w:r>
          </w:p>
        </w:tc>
        <w:tc>
          <w:tcPr>
            <w:tcW w:w="1577" w:type="dxa"/>
          </w:tcPr>
          <w:p>
            <w:pPr/>
          </w:p>
        </w:tc>
        <w:tc>
          <w:tcPr>
            <w:tcW w:w="1364" w:type="dxa"/>
            <w:vMerge/>
          </w:tcPr>
          <w:p>
            <w:pPr/>
          </w:p>
        </w:tc>
      </w:tr>
      <w:tr>
        <w:trPr>
          <w:trHeight w:val="322" w:hRule="exact"/>
        </w:trPr>
        <w:tc>
          <w:tcPr>
            <w:tcW w:w="2273" w:type="dxa"/>
            <w:vMerge/>
          </w:tcPr>
          <w:p>
            <w:pPr/>
          </w:p>
        </w:tc>
        <w:tc>
          <w:tcPr>
            <w:tcW w:w="905" w:type="dxa"/>
          </w:tcPr>
          <w:p>
            <w:pPr>
              <w:pStyle w:val="TableParagraph"/>
              <w:spacing w:line="203" w:lineRule="exact"/>
              <w:rPr>
                <w:sz w:val="18"/>
              </w:rPr>
            </w:pPr>
            <w:r>
              <w:rPr>
                <w:w w:val="99"/>
                <w:sz w:val="18"/>
              </w:rPr>
              <w:t>1</w:t>
            </w:r>
          </w:p>
        </w:tc>
        <w:tc>
          <w:tcPr>
            <w:tcW w:w="2530" w:type="dxa"/>
          </w:tcPr>
          <w:p>
            <w:pPr>
              <w:pStyle w:val="TableParagraph"/>
              <w:spacing w:line="199" w:lineRule="exact"/>
              <w:ind w:left="64"/>
              <w:jc w:val="left"/>
              <w:rPr>
                <w:b/>
                <w:sz w:val="18"/>
              </w:rPr>
            </w:pPr>
            <w:r>
              <w:rPr>
                <w:b/>
                <w:color w:val="181818"/>
                <w:sz w:val="18"/>
              </w:rPr>
              <w:t>Malinalco</w:t>
            </w:r>
          </w:p>
        </w:tc>
        <w:tc>
          <w:tcPr>
            <w:tcW w:w="1577" w:type="dxa"/>
          </w:tcPr>
          <w:p>
            <w:pPr>
              <w:pStyle w:val="TableParagraph"/>
              <w:spacing w:line="203" w:lineRule="exact"/>
              <w:ind w:left="407" w:right="408"/>
              <w:rPr>
                <w:sz w:val="18"/>
              </w:rPr>
            </w:pPr>
            <w:r>
              <w:rPr>
                <w:color w:val="333333"/>
                <w:sz w:val="18"/>
              </w:rPr>
              <w:t>11.50%</w:t>
            </w:r>
          </w:p>
        </w:tc>
        <w:tc>
          <w:tcPr>
            <w:tcW w:w="1364" w:type="dxa"/>
            <w:vMerge/>
          </w:tcPr>
          <w:p>
            <w:pPr/>
          </w:p>
        </w:tc>
      </w:tr>
      <w:tr>
        <w:trPr>
          <w:trHeight w:val="319" w:hRule="exact"/>
        </w:trPr>
        <w:tc>
          <w:tcPr>
            <w:tcW w:w="2273" w:type="dxa"/>
            <w:vMerge/>
          </w:tcPr>
          <w:p>
            <w:pPr/>
          </w:p>
        </w:tc>
        <w:tc>
          <w:tcPr>
            <w:tcW w:w="905" w:type="dxa"/>
          </w:tcPr>
          <w:p>
            <w:pPr>
              <w:pStyle w:val="TableParagraph"/>
              <w:spacing w:line="203" w:lineRule="exact"/>
              <w:rPr>
                <w:sz w:val="18"/>
              </w:rPr>
            </w:pPr>
            <w:r>
              <w:rPr>
                <w:w w:val="99"/>
                <w:sz w:val="18"/>
              </w:rPr>
              <w:t>1</w:t>
            </w:r>
          </w:p>
        </w:tc>
        <w:tc>
          <w:tcPr>
            <w:tcW w:w="2530" w:type="dxa"/>
          </w:tcPr>
          <w:p>
            <w:pPr>
              <w:pStyle w:val="TableParagraph"/>
              <w:spacing w:line="203" w:lineRule="exact"/>
              <w:ind w:left="64"/>
              <w:jc w:val="left"/>
              <w:rPr>
                <w:sz w:val="18"/>
              </w:rPr>
            </w:pPr>
            <w:r>
              <w:rPr>
                <w:color w:val="181818"/>
                <w:sz w:val="18"/>
              </w:rPr>
              <w:t>Melchor Ocampo</w:t>
            </w:r>
          </w:p>
        </w:tc>
        <w:tc>
          <w:tcPr>
            <w:tcW w:w="1577" w:type="dxa"/>
          </w:tcPr>
          <w:p>
            <w:pPr/>
          </w:p>
        </w:tc>
        <w:tc>
          <w:tcPr>
            <w:tcW w:w="1364" w:type="dxa"/>
            <w:vMerge/>
          </w:tcPr>
          <w:p>
            <w:pPr/>
          </w:p>
        </w:tc>
      </w:tr>
      <w:tr>
        <w:trPr>
          <w:trHeight w:val="322" w:hRule="exact"/>
        </w:trPr>
        <w:tc>
          <w:tcPr>
            <w:tcW w:w="2273" w:type="dxa"/>
            <w:vMerge/>
          </w:tcPr>
          <w:p>
            <w:pPr/>
          </w:p>
        </w:tc>
        <w:tc>
          <w:tcPr>
            <w:tcW w:w="905" w:type="dxa"/>
          </w:tcPr>
          <w:p>
            <w:pPr>
              <w:pStyle w:val="TableParagraph"/>
              <w:spacing w:line="203" w:lineRule="exact"/>
              <w:rPr>
                <w:sz w:val="18"/>
              </w:rPr>
            </w:pPr>
            <w:r>
              <w:rPr>
                <w:w w:val="99"/>
                <w:sz w:val="18"/>
              </w:rPr>
              <w:t>2</w:t>
            </w:r>
          </w:p>
        </w:tc>
        <w:tc>
          <w:tcPr>
            <w:tcW w:w="2530" w:type="dxa"/>
          </w:tcPr>
          <w:p>
            <w:pPr>
              <w:pStyle w:val="TableParagraph"/>
              <w:spacing w:line="199" w:lineRule="exact"/>
              <w:ind w:left="64"/>
              <w:jc w:val="left"/>
              <w:rPr>
                <w:b/>
                <w:sz w:val="18"/>
              </w:rPr>
            </w:pPr>
            <w:r>
              <w:rPr>
                <w:b/>
                <w:color w:val="181818"/>
                <w:sz w:val="18"/>
              </w:rPr>
              <w:t>Metepec</w:t>
            </w:r>
          </w:p>
        </w:tc>
        <w:tc>
          <w:tcPr>
            <w:tcW w:w="1577" w:type="dxa"/>
          </w:tcPr>
          <w:p>
            <w:pPr>
              <w:pStyle w:val="TableParagraph"/>
              <w:spacing w:line="203" w:lineRule="exact"/>
              <w:ind w:left="407" w:right="408"/>
              <w:rPr>
                <w:sz w:val="18"/>
              </w:rPr>
            </w:pPr>
            <w:r>
              <w:rPr>
                <w:color w:val="333333"/>
                <w:sz w:val="18"/>
              </w:rPr>
              <w:t>34.60%</w:t>
            </w:r>
          </w:p>
        </w:tc>
        <w:tc>
          <w:tcPr>
            <w:tcW w:w="1364" w:type="dxa"/>
            <w:vMerge/>
          </w:tcPr>
          <w:p>
            <w:pPr/>
          </w:p>
        </w:tc>
      </w:tr>
      <w:tr>
        <w:trPr>
          <w:trHeight w:val="319" w:hRule="exact"/>
        </w:trPr>
        <w:tc>
          <w:tcPr>
            <w:tcW w:w="2273" w:type="dxa"/>
            <w:vMerge/>
          </w:tcPr>
          <w:p>
            <w:pPr/>
          </w:p>
        </w:tc>
        <w:tc>
          <w:tcPr>
            <w:tcW w:w="905" w:type="dxa"/>
          </w:tcPr>
          <w:p>
            <w:pPr>
              <w:pStyle w:val="TableParagraph"/>
              <w:spacing w:line="203" w:lineRule="exact"/>
              <w:rPr>
                <w:sz w:val="18"/>
              </w:rPr>
            </w:pPr>
            <w:r>
              <w:rPr>
                <w:w w:val="99"/>
                <w:sz w:val="18"/>
              </w:rPr>
              <w:t>1</w:t>
            </w:r>
          </w:p>
        </w:tc>
        <w:tc>
          <w:tcPr>
            <w:tcW w:w="2530" w:type="dxa"/>
          </w:tcPr>
          <w:p>
            <w:pPr>
              <w:pStyle w:val="TableParagraph"/>
              <w:spacing w:line="203" w:lineRule="exact"/>
              <w:ind w:left="64"/>
              <w:jc w:val="left"/>
              <w:rPr>
                <w:sz w:val="18"/>
              </w:rPr>
            </w:pPr>
            <w:r>
              <w:rPr>
                <w:color w:val="181818"/>
                <w:sz w:val="18"/>
              </w:rPr>
              <w:t>Morelos</w:t>
            </w:r>
          </w:p>
        </w:tc>
        <w:tc>
          <w:tcPr>
            <w:tcW w:w="1577" w:type="dxa"/>
          </w:tcPr>
          <w:p>
            <w:pPr/>
          </w:p>
        </w:tc>
        <w:tc>
          <w:tcPr>
            <w:tcW w:w="1364" w:type="dxa"/>
            <w:vMerge/>
          </w:tcPr>
          <w:p>
            <w:pPr/>
          </w:p>
        </w:tc>
      </w:tr>
    </w:tbl>
    <w:p>
      <w:pPr>
        <w:spacing w:after="0"/>
        <w:sectPr>
          <w:pgSz w:w="12240" w:h="15840"/>
          <w:pgMar w:header="0" w:footer="975" w:top="1420" w:bottom="1160" w:left="1580" w:right="172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70"/>
        <w:gridCol w:w="773"/>
        <w:gridCol w:w="2528"/>
        <w:gridCol w:w="1577"/>
        <w:gridCol w:w="1493"/>
      </w:tblGrid>
      <w:tr>
        <w:trPr>
          <w:trHeight w:val="424" w:hRule="exact"/>
        </w:trPr>
        <w:tc>
          <w:tcPr>
            <w:tcW w:w="8642" w:type="dxa"/>
            <w:gridSpan w:val="5"/>
            <w:shd w:val="clear" w:color="auto" w:fill="92D050"/>
          </w:tcPr>
          <w:p>
            <w:pPr>
              <w:pStyle w:val="TableParagraph"/>
              <w:ind w:left="3682" w:right="123" w:hanging="3152"/>
              <w:jc w:val="left"/>
              <w:rPr>
                <w:b/>
                <w:sz w:val="18"/>
              </w:rPr>
            </w:pPr>
            <w:r>
              <w:rPr>
                <w:b/>
                <w:sz w:val="18"/>
              </w:rPr>
              <w:t>Anexo 11. Cumplimiento de la ley de transparencia vs partido gobernante en el año 2012 (Continuación)</w:t>
            </w:r>
          </w:p>
        </w:tc>
      </w:tr>
      <w:tr>
        <w:trPr>
          <w:trHeight w:val="425" w:hRule="exact"/>
        </w:trPr>
        <w:tc>
          <w:tcPr>
            <w:tcW w:w="2270" w:type="dxa"/>
            <w:shd w:val="clear" w:color="auto" w:fill="92D050"/>
          </w:tcPr>
          <w:p>
            <w:pPr>
              <w:pStyle w:val="TableParagraph"/>
              <w:spacing w:before="2"/>
              <w:jc w:val="left"/>
              <w:rPr>
                <w:rFonts w:ascii="Calibri"/>
                <w:sz w:val="16"/>
              </w:rPr>
            </w:pPr>
          </w:p>
          <w:p>
            <w:pPr>
              <w:pStyle w:val="TableParagraph"/>
              <w:ind w:left="803" w:right="797"/>
              <w:rPr>
                <w:b/>
                <w:sz w:val="18"/>
              </w:rPr>
            </w:pPr>
            <w:r>
              <w:rPr>
                <w:b/>
                <w:sz w:val="18"/>
              </w:rPr>
              <w:t>Partido</w:t>
            </w:r>
          </w:p>
        </w:tc>
        <w:tc>
          <w:tcPr>
            <w:tcW w:w="773" w:type="dxa"/>
            <w:shd w:val="clear" w:color="auto" w:fill="92D050"/>
          </w:tcPr>
          <w:p>
            <w:pPr>
              <w:pStyle w:val="TableParagraph"/>
              <w:spacing w:before="2"/>
              <w:jc w:val="left"/>
              <w:rPr>
                <w:rFonts w:ascii="Calibri"/>
                <w:sz w:val="16"/>
              </w:rPr>
            </w:pPr>
          </w:p>
          <w:p>
            <w:pPr>
              <w:pStyle w:val="TableParagraph"/>
              <w:ind w:left="46" w:right="46"/>
              <w:rPr>
                <w:b/>
                <w:sz w:val="18"/>
              </w:rPr>
            </w:pPr>
            <w:r>
              <w:rPr>
                <w:b/>
                <w:sz w:val="18"/>
              </w:rPr>
              <w:t>Genero</w:t>
            </w:r>
          </w:p>
        </w:tc>
        <w:tc>
          <w:tcPr>
            <w:tcW w:w="2528" w:type="dxa"/>
            <w:shd w:val="clear" w:color="auto" w:fill="92D050"/>
          </w:tcPr>
          <w:p>
            <w:pPr>
              <w:pStyle w:val="TableParagraph"/>
              <w:spacing w:before="2"/>
              <w:jc w:val="left"/>
              <w:rPr>
                <w:rFonts w:ascii="Calibri"/>
                <w:sz w:val="16"/>
              </w:rPr>
            </w:pPr>
          </w:p>
          <w:p>
            <w:pPr>
              <w:pStyle w:val="TableParagraph"/>
              <w:ind w:right="348"/>
              <w:jc w:val="right"/>
              <w:rPr>
                <w:b/>
                <w:sz w:val="18"/>
              </w:rPr>
            </w:pPr>
            <w:r>
              <w:rPr>
                <w:b/>
                <w:sz w:val="18"/>
              </w:rPr>
              <w:t>Municipio gobernado</w:t>
            </w:r>
          </w:p>
        </w:tc>
        <w:tc>
          <w:tcPr>
            <w:tcW w:w="1577" w:type="dxa"/>
            <w:shd w:val="clear" w:color="auto" w:fill="92D050"/>
          </w:tcPr>
          <w:p>
            <w:pPr>
              <w:pStyle w:val="TableParagraph"/>
              <w:ind w:left="196" w:right="181" w:firstLine="376"/>
              <w:jc w:val="left"/>
              <w:rPr>
                <w:b/>
                <w:sz w:val="18"/>
              </w:rPr>
            </w:pPr>
            <w:r>
              <w:rPr>
                <w:b/>
                <w:sz w:val="18"/>
              </w:rPr>
              <w:t>% de cumplimiento</w:t>
            </w:r>
          </w:p>
        </w:tc>
        <w:tc>
          <w:tcPr>
            <w:tcW w:w="1493" w:type="dxa"/>
            <w:shd w:val="clear" w:color="auto" w:fill="92D050"/>
          </w:tcPr>
          <w:p>
            <w:pPr>
              <w:pStyle w:val="TableParagraph"/>
              <w:ind w:left="158" w:right="135" w:firstLine="38"/>
              <w:jc w:val="left"/>
              <w:rPr>
                <w:b/>
                <w:sz w:val="18"/>
              </w:rPr>
            </w:pPr>
            <w:r>
              <w:rPr>
                <w:b/>
                <w:sz w:val="18"/>
              </w:rPr>
              <w:t>Promedio de cumplimiento</w:t>
            </w:r>
          </w:p>
        </w:tc>
      </w:tr>
      <w:tr>
        <w:trPr>
          <w:trHeight w:val="310" w:hRule="exact"/>
        </w:trPr>
        <w:tc>
          <w:tcPr>
            <w:tcW w:w="2270" w:type="dxa"/>
            <w:vMerge w:val="restart"/>
          </w:tcPr>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spacing w:before="8"/>
              <w:jc w:val="left"/>
              <w:rPr>
                <w:rFonts w:ascii="Calibri"/>
                <w:sz w:val="14"/>
              </w:rPr>
            </w:pPr>
          </w:p>
          <w:p>
            <w:pPr>
              <w:pStyle w:val="TableParagraph"/>
              <w:ind w:left="67"/>
              <w:jc w:val="left"/>
              <w:rPr>
                <w:sz w:val="18"/>
              </w:rPr>
            </w:pPr>
            <w:r>
              <w:rPr>
                <w:sz w:val="18"/>
              </w:rPr>
              <w:t>PRI-PVEM-NA-PSD-PFD</w:t>
            </w:r>
          </w:p>
        </w:tc>
        <w:tc>
          <w:tcPr>
            <w:tcW w:w="773" w:type="dxa"/>
          </w:tcPr>
          <w:p>
            <w:pPr>
              <w:pStyle w:val="TableParagraph"/>
              <w:spacing w:before="90"/>
              <w:ind w:right="2"/>
              <w:rPr>
                <w:sz w:val="18"/>
              </w:rPr>
            </w:pPr>
            <w:r>
              <w:rPr>
                <w:w w:val="99"/>
                <w:sz w:val="18"/>
              </w:rPr>
              <w:t>2</w:t>
            </w:r>
          </w:p>
        </w:tc>
        <w:tc>
          <w:tcPr>
            <w:tcW w:w="2528" w:type="dxa"/>
          </w:tcPr>
          <w:p>
            <w:pPr>
              <w:pStyle w:val="TableParagraph"/>
              <w:spacing w:before="85"/>
              <w:ind w:right="363"/>
              <w:jc w:val="right"/>
              <w:rPr>
                <w:b/>
                <w:sz w:val="18"/>
              </w:rPr>
            </w:pPr>
            <w:r>
              <w:rPr>
                <w:b/>
                <w:color w:val="181818"/>
                <w:sz w:val="18"/>
              </w:rPr>
              <w:t>Naucalpan de Juárez</w:t>
            </w:r>
          </w:p>
        </w:tc>
        <w:tc>
          <w:tcPr>
            <w:tcW w:w="1577" w:type="dxa"/>
          </w:tcPr>
          <w:p>
            <w:pPr>
              <w:pStyle w:val="TableParagraph"/>
              <w:spacing w:before="90"/>
              <w:ind w:left="527" w:right="181"/>
              <w:jc w:val="left"/>
              <w:rPr>
                <w:sz w:val="18"/>
              </w:rPr>
            </w:pPr>
            <w:r>
              <w:rPr>
                <w:color w:val="333333"/>
                <w:sz w:val="18"/>
              </w:rPr>
              <w:t>7.60%</w:t>
            </w:r>
          </w:p>
        </w:tc>
        <w:tc>
          <w:tcPr>
            <w:tcW w:w="1493" w:type="dxa"/>
            <w:vMerge w:val="restart"/>
          </w:tcPr>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spacing w:before="2"/>
              <w:jc w:val="left"/>
              <w:rPr>
                <w:rFonts w:ascii="Calibri"/>
                <w:sz w:val="16"/>
              </w:rPr>
            </w:pPr>
          </w:p>
          <w:p>
            <w:pPr>
              <w:pStyle w:val="TableParagraph"/>
              <w:ind w:left="439" w:right="135"/>
              <w:jc w:val="left"/>
              <w:rPr>
                <w:sz w:val="18"/>
              </w:rPr>
            </w:pPr>
            <w:r>
              <w:rPr>
                <w:sz w:val="18"/>
              </w:rPr>
              <w:t>28.09%</w:t>
            </w:r>
          </w:p>
        </w:tc>
      </w:tr>
      <w:tr>
        <w:trPr>
          <w:trHeight w:val="310" w:hRule="exact"/>
        </w:trPr>
        <w:tc>
          <w:tcPr>
            <w:tcW w:w="2270" w:type="dxa"/>
            <w:vMerge/>
          </w:tcPr>
          <w:p>
            <w:pPr/>
          </w:p>
        </w:tc>
        <w:tc>
          <w:tcPr>
            <w:tcW w:w="773" w:type="dxa"/>
          </w:tcPr>
          <w:p>
            <w:pPr>
              <w:pStyle w:val="TableParagraph"/>
              <w:spacing w:before="90"/>
              <w:ind w:right="2"/>
              <w:rPr>
                <w:sz w:val="18"/>
              </w:rPr>
            </w:pPr>
            <w:r>
              <w:rPr>
                <w:w w:val="99"/>
                <w:sz w:val="18"/>
              </w:rPr>
              <w:t>1</w:t>
            </w:r>
          </w:p>
        </w:tc>
        <w:tc>
          <w:tcPr>
            <w:tcW w:w="2528" w:type="dxa"/>
          </w:tcPr>
          <w:p>
            <w:pPr>
              <w:pStyle w:val="TableParagraph"/>
              <w:spacing w:before="85"/>
              <w:ind w:left="597"/>
              <w:jc w:val="left"/>
              <w:rPr>
                <w:b/>
                <w:sz w:val="18"/>
              </w:rPr>
            </w:pPr>
            <w:r>
              <w:rPr>
                <w:b/>
                <w:color w:val="181818"/>
                <w:sz w:val="18"/>
              </w:rPr>
              <w:t>Nezahualcóyotl</w:t>
            </w:r>
          </w:p>
        </w:tc>
        <w:tc>
          <w:tcPr>
            <w:tcW w:w="1577" w:type="dxa"/>
          </w:tcPr>
          <w:p>
            <w:pPr>
              <w:pStyle w:val="TableParagraph"/>
              <w:spacing w:before="90"/>
              <w:ind w:left="477" w:right="181"/>
              <w:jc w:val="left"/>
              <w:rPr>
                <w:sz w:val="18"/>
              </w:rPr>
            </w:pPr>
            <w:r>
              <w:rPr>
                <w:color w:val="333333"/>
                <w:sz w:val="18"/>
              </w:rPr>
              <w:t>38.46%</w:t>
            </w:r>
          </w:p>
        </w:tc>
        <w:tc>
          <w:tcPr>
            <w:tcW w:w="1493" w:type="dxa"/>
            <w:vMerge/>
          </w:tcPr>
          <w:p>
            <w:pPr/>
          </w:p>
        </w:tc>
      </w:tr>
      <w:tr>
        <w:trPr>
          <w:trHeight w:val="322" w:hRule="exact"/>
        </w:trPr>
        <w:tc>
          <w:tcPr>
            <w:tcW w:w="2270" w:type="dxa"/>
            <w:vMerge/>
          </w:tcPr>
          <w:p>
            <w:pPr/>
          </w:p>
        </w:tc>
        <w:tc>
          <w:tcPr>
            <w:tcW w:w="773" w:type="dxa"/>
          </w:tcPr>
          <w:p>
            <w:pPr>
              <w:pStyle w:val="TableParagraph"/>
              <w:spacing w:line="203" w:lineRule="exact"/>
              <w:ind w:right="2"/>
              <w:rPr>
                <w:sz w:val="18"/>
              </w:rPr>
            </w:pPr>
            <w:r>
              <w:rPr>
                <w:w w:val="99"/>
                <w:sz w:val="18"/>
              </w:rPr>
              <w:t>1</w:t>
            </w:r>
          </w:p>
        </w:tc>
        <w:tc>
          <w:tcPr>
            <w:tcW w:w="2528" w:type="dxa"/>
          </w:tcPr>
          <w:p>
            <w:pPr>
              <w:pStyle w:val="TableParagraph"/>
              <w:spacing w:line="203" w:lineRule="exact"/>
              <w:ind w:left="64"/>
              <w:jc w:val="left"/>
              <w:rPr>
                <w:sz w:val="18"/>
              </w:rPr>
            </w:pPr>
            <w:r>
              <w:rPr>
                <w:color w:val="181818"/>
                <w:sz w:val="18"/>
              </w:rPr>
              <w:t>Nicolás Romero</w:t>
            </w:r>
          </w:p>
        </w:tc>
        <w:tc>
          <w:tcPr>
            <w:tcW w:w="1577" w:type="dxa"/>
          </w:tcPr>
          <w:p>
            <w:pPr/>
          </w:p>
        </w:tc>
        <w:tc>
          <w:tcPr>
            <w:tcW w:w="1493" w:type="dxa"/>
            <w:vMerge/>
          </w:tcPr>
          <w:p>
            <w:pPr/>
          </w:p>
        </w:tc>
      </w:tr>
      <w:tr>
        <w:trPr>
          <w:trHeight w:val="319" w:hRule="exact"/>
        </w:trPr>
        <w:tc>
          <w:tcPr>
            <w:tcW w:w="2270" w:type="dxa"/>
            <w:vMerge/>
          </w:tcPr>
          <w:p>
            <w:pPr/>
          </w:p>
        </w:tc>
        <w:tc>
          <w:tcPr>
            <w:tcW w:w="773" w:type="dxa"/>
          </w:tcPr>
          <w:p>
            <w:pPr>
              <w:pStyle w:val="TableParagraph"/>
              <w:spacing w:line="203" w:lineRule="exact"/>
              <w:ind w:right="2"/>
              <w:rPr>
                <w:sz w:val="18"/>
              </w:rPr>
            </w:pPr>
            <w:r>
              <w:rPr>
                <w:w w:val="99"/>
                <w:sz w:val="18"/>
              </w:rPr>
              <w:t>1</w:t>
            </w:r>
          </w:p>
        </w:tc>
        <w:tc>
          <w:tcPr>
            <w:tcW w:w="2528" w:type="dxa"/>
          </w:tcPr>
          <w:p>
            <w:pPr>
              <w:pStyle w:val="TableParagraph"/>
              <w:spacing w:line="203" w:lineRule="exact"/>
              <w:ind w:left="64"/>
              <w:jc w:val="left"/>
              <w:rPr>
                <w:sz w:val="18"/>
              </w:rPr>
            </w:pPr>
            <w:r>
              <w:rPr>
                <w:color w:val="181818"/>
                <w:sz w:val="18"/>
              </w:rPr>
              <w:t>Ocuilan</w:t>
            </w:r>
          </w:p>
        </w:tc>
        <w:tc>
          <w:tcPr>
            <w:tcW w:w="1577" w:type="dxa"/>
          </w:tcPr>
          <w:p>
            <w:pPr/>
          </w:p>
        </w:tc>
        <w:tc>
          <w:tcPr>
            <w:tcW w:w="1493" w:type="dxa"/>
            <w:vMerge/>
          </w:tcPr>
          <w:p>
            <w:pPr/>
          </w:p>
        </w:tc>
      </w:tr>
      <w:tr>
        <w:trPr>
          <w:trHeight w:val="322" w:hRule="exact"/>
        </w:trPr>
        <w:tc>
          <w:tcPr>
            <w:tcW w:w="2270" w:type="dxa"/>
            <w:vMerge/>
          </w:tcPr>
          <w:p>
            <w:pPr/>
          </w:p>
        </w:tc>
        <w:tc>
          <w:tcPr>
            <w:tcW w:w="773" w:type="dxa"/>
          </w:tcPr>
          <w:p>
            <w:pPr>
              <w:pStyle w:val="TableParagraph"/>
              <w:spacing w:line="203" w:lineRule="exact"/>
              <w:ind w:right="2"/>
              <w:rPr>
                <w:sz w:val="18"/>
              </w:rPr>
            </w:pPr>
            <w:r>
              <w:rPr>
                <w:w w:val="99"/>
                <w:sz w:val="18"/>
              </w:rPr>
              <w:t>1</w:t>
            </w:r>
          </w:p>
        </w:tc>
        <w:tc>
          <w:tcPr>
            <w:tcW w:w="2528" w:type="dxa"/>
          </w:tcPr>
          <w:p>
            <w:pPr>
              <w:pStyle w:val="TableParagraph"/>
              <w:spacing w:line="199" w:lineRule="exact"/>
              <w:ind w:left="64"/>
              <w:jc w:val="left"/>
              <w:rPr>
                <w:b/>
                <w:sz w:val="18"/>
              </w:rPr>
            </w:pPr>
            <w:r>
              <w:rPr>
                <w:b/>
                <w:color w:val="181818"/>
                <w:sz w:val="18"/>
              </w:rPr>
              <w:t>El Oro</w:t>
            </w:r>
          </w:p>
        </w:tc>
        <w:tc>
          <w:tcPr>
            <w:tcW w:w="1577" w:type="dxa"/>
          </w:tcPr>
          <w:p>
            <w:pPr>
              <w:pStyle w:val="TableParagraph"/>
              <w:spacing w:line="203" w:lineRule="exact"/>
              <w:ind w:left="477" w:right="181"/>
              <w:jc w:val="left"/>
              <w:rPr>
                <w:sz w:val="18"/>
              </w:rPr>
            </w:pPr>
            <w:r>
              <w:rPr>
                <w:color w:val="333333"/>
                <w:sz w:val="18"/>
              </w:rPr>
              <w:t>50.00%</w:t>
            </w:r>
          </w:p>
        </w:tc>
        <w:tc>
          <w:tcPr>
            <w:tcW w:w="1493" w:type="dxa"/>
            <w:vMerge/>
          </w:tcPr>
          <w:p>
            <w:pPr/>
          </w:p>
        </w:tc>
      </w:tr>
      <w:tr>
        <w:trPr>
          <w:trHeight w:val="319" w:hRule="exact"/>
        </w:trPr>
        <w:tc>
          <w:tcPr>
            <w:tcW w:w="2270" w:type="dxa"/>
            <w:vMerge/>
          </w:tcPr>
          <w:p>
            <w:pPr/>
          </w:p>
        </w:tc>
        <w:tc>
          <w:tcPr>
            <w:tcW w:w="773" w:type="dxa"/>
          </w:tcPr>
          <w:p>
            <w:pPr>
              <w:pStyle w:val="TableParagraph"/>
              <w:spacing w:line="203" w:lineRule="exact"/>
              <w:ind w:right="2"/>
              <w:rPr>
                <w:sz w:val="18"/>
              </w:rPr>
            </w:pPr>
            <w:r>
              <w:rPr>
                <w:w w:val="99"/>
                <w:sz w:val="18"/>
              </w:rPr>
              <w:t>1</w:t>
            </w:r>
          </w:p>
        </w:tc>
        <w:tc>
          <w:tcPr>
            <w:tcW w:w="2528" w:type="dxa"/>
          </w:tcPr>
          <w:p>
            <w:pPr>
              <w:pStyle w:val="TableParagraph"/>
              <w:spacing w:line="203" w:lineRule="exact"/>
              <w:ind w:left="64"/>
              <w:jc w:val="left"/>
              <w:rPr>
                <w:sz w:val="18"/>
              </w:rPr>
            </w:pPr>
            <w:r>
              <w:rPr>
                <w:color w:val="181818"/>
                <w:sz w:val="18"/>
              </w:rPr>
              <w:t>Otumba</w:t>
            </w:r>
          </w:p>
        </w:tc>
        <w:tc>
          <w:tcPr>
            <w:tcW w:w="1577" w:type="dxa"/>
          </w:tcPr>
          <w:p>
            <w:pPr/>
          </w:p>
        </w:tc>
        <w:tc>
          <w:tcPr>
            <w:tcW w:w="1493" w:type="dxa"/>
            <w:vMerge/>
          </w:tcPr>
          <w:p>
            <w:pPr/>
          </w:p>
        </w:tc>
      </w:tr>
      <w:tr>
        <w:trPr>
          <w:trHeight w:val="322" w:hRule="exact"/>
        </w:trPr>
        <w:tc>
          <w:tcPr>
            <w:tcW w:w="2270" w:type="dxa"/>
            <w:vMerge/>
          </w:tcPr>
          <w:p>
            <w:pPr/>
          </w:p>
        </w:tc>
        <w:tc>
          <w:tcPr>
            <w:tcW w:w="773" w:type="dxa"/>
          </w:tcPr>
          <w:p>
            <w:pPr>
              <w:pStyle w:val="TableParagraph"/>
              <w:spacing w:line="203" w:lineRule="exact"/>
              <w:ind w:right="2"/>
              <w:rPr>
                <w:sz w:val="18"/>
              </w:rPr>
            </w:pPr>
            <w:r>
              <w:rPr>
                <w:w w:val="99"/>
                <w:sz w:val="18"/>
              </w:rPr>
              <w:t>1</w:t>
            </w:r>
          </w:p>
        </w:tc>
        <w:tc>
          <w:tcPr>
            <w:tcW w:w="2528" w:type="dxa"/>
          </w:tcPr>
          <w:p>
            <w:pPr>
              <w:pStyle w:val="TableParagraph"/>
              <w:spacing w:line="203" w:lineRule="exact"/>
              <w:ind w:left="64"/>
              <w:jc w:val="left"/>
              <w:rPr>
                <w:sz w:val="18"/>
              </w:rPr>
            </w:pPr>
            <w:r>
              <w:rPr>
                <w:color w:val="181818"/>
                <w:sz w:val="18"/>
              </w:rPr>
              <w:t>Otzoloapan</w:t>
            </w:r>
          </w:p>
        </w:tc>
        <w:tc>
          <w:tcPr>
            <w:tcW w:w="1577" w:type="dxa"/>
          </w:tcPr>
          <w:p>
            <w:pPr/>
          </w:p>
        </w:tc>
        <w:tc>
          <w:tcPr>
            <w:tcW w:w="1493" w:type="dxa"/>
            <w:vMerge/>
          </w:tcPr>
          <w:p>
            <w:pPr/>
          </w:p>
        </w:tc>
      </w:tr>
      <w:tr>
        <w:trPr>
          <w:trHeight w:val="319" w:hRule="exact"/>
        </w:trPr>
        <w:tc>
          <w:tcPr>
            <w:tcW w:w="2270" w:type="dxa"/>
            <w:vMerge/>
          </w:tcPr>
          <w:p>
            <w:pPr/>
          </w:p>
        </w:tc>
        <w:tc>
          <w:tcPr>
            <w:tcW w:w="773" w:type="dxa"/>
          </w:tcPr>
          <w:p>
            <w:pPr>
              <w:pStyle w:val="TableParagraph"/>
              <w:spacing w:line="203" w:lineRule="exact"/>
              <w:ind w:right="2"/>
              <w:rPr>
                <w:sz w:val="18"/>
              </w:rPr>
            </w:pPr>
            <w:r>
              <w:rPr>
                <w:w w:val="99"/>
                <w:sz w:val="18"/>
              </w:rPr>
              <w:t>1</w:t>
            </w:r>
          </w:p>
        </w:tc>
        <w:tc>
          <w:tcPr>
            <w:tcW w:w="2528" w:type="dxa"/>
          </w:tcPr>
          <w:p>
            <w:pPr>
              <w:pStyle w:val="TableParagraph"/>
              <w:spacing w:line="199" w:lineRule="exact"/>
              <w:ind w:left="64"/>
              <w:jc w:val="left"/>
              <w:rPr>
                <w:b/>
                <w:sz w:val="18"/>
              </w:rPr>
            </w:pPr>
            <w:r>
              <w:rPr>
                <w:b/>
                <w:color w:val="181818"/>
                <w:sz w:val="18"/>
              </w:rPr>
              <w:t>Otzolotepec</w:t>
            </w:r>
          </w:p>
        </w:tc>
        <w:tc>
          <w:tcPr>
            <w:tcW w:w="1577" w:type="dxa"/>
          </w:tcPr>
          <w:p>
            <w:pPr>
              <w:pStyle w:val="TableParagraph"/>
              <w:spacing w:line="203" w:lineRule="exact"/>
              <w:ind w:left="527" w:right="181"/>
              <w:jc w:val="left"/>
              <w:rPr>
                <w:sz w:val="18"/>
              </w:rPr>
            </w:pPr>
            <w:r>
              <w:rPr>
                <w:color w:val="333333"/>
                <w:sz w:val="18"/>
              </w:rPr>
              <w:t>7.69%</w:t>
            </w:r>
          </w:p>
        </w:tc>
        <w:tc>
          <w:tcPr>
            <w:tcW w:w="1493" w:type="dxa"/>
            <w:vMerge/>
          </w:tcPr>
          <w:p>
            <w:pPr/>
          </w:p>
        </w:tc>
      </w:tr>
      <w:tr>
        <w:trPr>
          <w:trHeight w:val="322" w:hRule="exact"/>
        </w:trPr>
        <w:tc>
          <w:tcPr>
            <w:tcW w:w="2270" w:type="dxa"/>
            <w:vMerge/>
          </w:tcPr>
          <w:p>
            <w:pPr/>
          </w:p>
        </w:tc>
        <w:tc>
          <w:tcPr>
            <w:tcW w:w="773" w:type="dxa"/>
          </w:tcPr>
          <w:p>
            <w:pPr>
              <w:pStyle w:val="TableParagraph"/>
              <w:spacing w:line="203" w:lineRule="exact"/>
              <w:ind w:right="2"/>
              <w:rPr>
                <w:sz w:val="18"/>
              </w:rPr>
            </w:pPr>
            <w:r>
              <w:rPr>
                <w:w w:val="99"/>
                <w:sz w:val="18"/>
              </w:rPr>
              <w:t>1</w:t>
            </w:r>
          </w:p>
        </w:tc>
        <w:tc>
          <w:tcPr>
            <w:tcW w:w="2528" w:type="dxa"/>
          </w:tcPr>
          <w:p>
            <w:pPr>
              <w:pStyle w:val="TableParagraph"/>
              <w:spacing w:line="203" w:lineRule="exact"/>
              <w:ind w:left="64"/>
              <w:jc w:val="left"/>
              <w:rPr>
                <w:sz w:val="18"/>
              </w:rPr>
            </w:pPr>
            <w:r>
              <w:rPr>
                <w:color w:val="181818"/>
                <w:sz w:val="18"/>
              </w:rPr>
              <w:t>Ozumba</w:t>
            </w:r>
          </w:p>
        </w:tc>
        <w:tc>
          <w:tcPr>
            <w:tcW w:w="1577" w:type="dxa"/>
          </w:tcPr>
          <w:p>
            <w:pPr/>
          </w:p>
        </w:tc>
        <w:tc>
          <w:tcPr>
            <w:tcW w:w="1493" w:type="dxa"/>
            <w:vMerge/>
          </w:tcPr>
          <w:p>
            <w:pPr/>
          </w:p>
        </w:tc>
      </w:tr>
      <w:tr>
        <w:trPr>
          <w:trHeight w:val="320" w:hRule="exact"/>
        </w:trPr>
        <w:tc>
          <w:tcPr>
            <w:tcW w:w="2270" w:type="dxa"/>
            <w:vMerge/>
          </w:tcPr>
          <w:p>
            <w:pPr/>
          </w:p>
        </w:tc>
        <w:tc>
          <w:tcPr>
            <w:tcW w:w="773" w:type="dxa"/>
          </w:tcPr>
          <w:p>
            <w:pPr>
              <w:pStyle w:val="TableParagraph"/>
              <w:spacing w:line="204" w:lineRule="exact"/>
              <w:ind w:right="2"/>
              <w:rPr>
                <w:sz w:val="18"/>
              </w:rPr>
            </w:pPr>
            <w:r>
              <w:rPr>
                <w:w w:val="99"/>
                <w:sz w:val="18"/>
              </w:rPr>
              <w:t>1</w:t>
            </w:r>
          </w:p>
        </w:tc>
        <w:tc>
          <w:tcPr>
            <w:tcW w:w="2528" w:type="dxa"/>
          </w:tcPr>
          <w:p>
            <w:pPr>
              <w:pStyle w:val="TableParagraph"/>
              <w:spacing w:line="204" w:lineRule="exact"/>
              <w:ind w:left="64"/>
              <w:jc w:val="left"/>
              <w:rPr>
                <w:sz w:val="18"/>
              </w:rPr>
            </w:pPr>
            <w:r>
              <w:rPr>
                <w:color w:val="181818"/>
                <w:sz w:val="18"/>
              </w:rPr>
              <w:t>Papalotla</w:t>
            </w:r>
          </w:p>
        </w:tc>
        <w:tc>
          <w:tcPr>
            <w:tcW w:w="1577" w:type="dxa"/>
          </w:tcPr>
          <w:p>
            <w:pPr/>
          </w:p>
        </w:tc>
        <w:tc>
          <w:tcPr>
            <w:tcW w:w="1493" w:type="dxa"/>
            <w:vMerge/>
          </w:tcPr>
          <w:p>
            <w:pPr/>
          </w:p>
        </w:tc>
      </w:tr>
      <w:tr>
        <w:trPr>
          <w:trHeight w:val="322" w:hRule="exact"/>
        </w:trPr>
        <w:tc>
          <w:tcPr>
            <w:tcW w:w="2270" w:type="dxa"/>
            <w:vMerge/>
          </w:tcPr>
          <w:p>
            <w:pPr/>
          </w:p>
        </w:tc>
        <w:tc>
          <w:tcPr>
            <w:tcW w:w="773" w:type="dxa"/>
          </w:tcPr>
          <w:p>
            <w:pPr>
              <w:pStyle w:val="TableParagraph"/>
              <w:spacing w:line="203" w:lineRule="exact"/>
              <w:ind w:right="2"/>
              <w:rPr>
                <w:sz w:val="18"/>
              </w:rPr>
            </w:pPr>
            <w:r>
              <w:rPr>
                <w:w w:val="99"/>
                <w:sz w:val="18"/>
              </w:rPr>
              <w:t>1</w:t>
            </w:r>
          </w:p>
        </w:tc>
        <w:tc>
          <w:tcPr>
            <w:tcW w:w="2528" w:type="dxa"/>
          </w:tcPr>
          <w:p>
            <w:pPr>
              <w:pStyle w:val="TableParagraph"/>
              <w:spacing w:line="203" w:lineRule="exact"/>
              <w:ind w:left="64"/>
              <w:jc w:val="left"/>
              <w:rPr>
                <w:sz w:val="18"/>
              </w:rPr>
            </w:pPr>
            <w:r>
              <w:rPr>
                <w:color w:val="181818"/>
                <w:sz w:val="18"/>
              </w:rPr>
              <w:t>La Paz</w:t>
            </w:r>
          </w:p>
        </w:tc>
        <w:tc>
          <w:tcPr>
            <w:tcW w:w="1577" w:type="dxa"/>
          </w:tcPr>
          <w:p>
            <w:pPr/>
          </w:p>
        </w:tc>
        <w:tc>
          <w:tcPr>
            <w:tcW w:w="1493" w:type="dxa"/>
            <w:vMerge/>
          </w:tcPr>
          <w:p>
            <w:pPr/>
          </w:p>
        </w:tc>
      </w:tr>
      <w:tr>
        <w:trPr>
          <w:trHeight w:val="319" w:hRule="exact"/>
        </w:trPr>
        <w:tc>
          <w:tcPr>
            <w:tcW w:w="2270" w:type="dxa"/>
            <w:vMerge/>
          </w:tcPr>
          <w:p>
            <w:pPr/>
          </w:p>
        </w:tc>
        <w:tc>
          <w:tcPr>
            <w:tcW w:w="773" w:type="dxa"/>
          </w:tcPr>
          <w:p>
            <w:pPr>
              <w:pStyle w:val="TableParagraph"/>
              <w:spacing w:line="203" w:lineRule="exact"/>
              <w:ind w:right="2"/>
              <w:rPr>
                <w:sz w:val="18"/>
              </w:rPr>
            </w:pPr>
            <w:r>
              <w:rPr>
                <w:w w:val="99"/>
                <w:sz w:val="18"/>
              </w:rPr>
              <w:t>1</w:t>
            </w:r>
          </w:p>
        </w:tc>
        <w:tc>
          <w:tcPr>
            <w:tcW w:w="2528" w:type="dxa"/>
          </w:tcPr>
          <w:p>
            <w:pPr>
              <w:pStyle w:val="TableParagraph"/>
              <w:spacing w:line="199" w:lineRule="exact"/>
              <w:ind w:left="64"/>
              <w:jc w:val="left"/>
              <w:rPr>
                <w:b/>
                <w:sz w:val="18"/>
              </w:rPr>
            </w:pPr>
            <w:r>
              <w:rPr>
                <w:b/>
                <w:color w:val="181818"/>
                <w:sz w:val="18"/>
              </w:rPr>
              <w:t>Polotitlán</w:t>
            </w:r>
          </w:p>
        </w:tc>
        <w:tc>
          <w:tcPr>
            <w:tcW w:w="1577" w:type="dxa"/>
          </w:tcPr>
          <w:p>
            <w:pPr>
              <w:pStyle w:val="TableParagraph"/>
              <w:spacing w:line="203" w:lineRule="exact"/>
              <w:ind w:left="477" w:right="181"/>
              <w:jc w:val="left"/>
              <w:rPr>
                <w:sz w:val="18"/>
              </w:rPr>
            </w:pPr>
            <w:r>
              <w:rPr>
                <w:color w:val="333333"/>
                <w:sz w:val="18"/>
              </w:rPr>
              <w:t>61.53%</w:t>
            </w:r>
          </w:p>
        </w:tc>
        <w:tc>
          <w:tcPr>
            <w:tcW w:w="1493" w:type="dxa"/>
            <w:vMerge/>
          </w:tcPr>
          <w:p>
            <w:pPr/>
          </w:p>
        </w:tc>
      </w:tr>
      <w:tr>
        <w:trPr>
          <w:trHeight w:val="322" w:hRule="exact"/>
        </w:trPr>
        <w:tc>
          <w:tcPr>
            <w:tcW w:w="2270" w:type="dxa"/>
            <w:vMerge/>
          </w:tcPr>
          <w:p>
            <w:pPr/>
          </w:p>
        </w:tc>
        <w:tc>
          <w:tcPr>
            <w:tcW w:w="773" w:type="dxa"/>
          </w:tcPr>
          <w:p>
            <w:pPr>
              <w:pStyle w:val="TableParagraph"/>
              <w:spacing w:line="206" w:lineRule="exact"/>
              <w:ind w:right="2"/>
              <w:rPr>
                <w:sz w:val="18"/>
              </w:rPr>
            </w:pPr>
            <w:r>
              <w:rPr>
                <w:w w:val="99"/>
                <w:sz w:val="18"/>
              </w:rPr>
              <w:t>1</w:t>
            </w:r>
          </w:p>
        </w:tc>
        <w:tc>
          <w:tcPr>
            <w:tcW w:w="2528" w:type="dxa"/>
          </w:tcPr>
          <w:p>
            <w:pPr>
              <w:pStyle w:val="TableParagraph"/>
              <w:spacing w:line="206" w:lineRule="exact"/>
              <w:ind w:left="64"/>
              <w:jc w:val="left"/>
              <w:rPr>
                <w:sz w:val="18"/>
              </w:rPr>
            </w:pPr>
            <w:r>
              <w:rPr>
                <w:color w:val="181818"/>
                <w:sz w:val="18"/>
              </w:rPr>
              <w:t>Rayón</w:t>
            </w:r>
          </w:p>
        </w:tc>
        <w:tc>
          <w:tcPr>
            <w:tcW w:w="1577" w:type="dxa"/>
          </w:tcPr>
          <w:p>
            <w:pPr/>
          </w:p>
        </w:tc>
        <w:tc>
          <w:tcPr>
            <w:tcW w:w="1493" w:type="dxa"/>
            <w:vMerge/>
          </w:tcPr>
          <w:p>
            <w:pPr/>
          </w:p>
        </w:tc>
      </w:tr>
      <w:tr>
        <w:trPr>
          <w:trHeight w:val="319" w:hRule="exact"/>
        </w:trPr>
        <w:tc>
          <w:tcPr>
            <w:tcW w:w="2270" w:type="dxa"/>
            <w:vMerge/>
          </w:tcPr>
          <w:p>
            <w:pPr/>
          </w:p>
        </w:tc>
        <w:tc>
          <w:tcPr>
            <w:tcW w:w="773" w:type="dxa"/>
          </w:tcPr>
          <w:p>
            <w:pPr>
              <w:pStyle w:val="TableParagraph"/>
              <w:spacing w:line="203" w:lineRule="exact"/>
              <w:ind w:right="2"/>
              <w:rPr>
                <w:sz w:val="18"/>
              </w:rPr>
            </w:pPr>
            <w:r>
              <w:rPr>
                <w:w w:val="99"/>
                <w:sz w:val="18"/>
              </w:rPr>
              <w:t>2</w:t>
            </w:r>
          </w:p>
        </w:tc>
        <w:tc>
          <w:tcPr>
            <w:tcW w:w="2528" w:type="dxa"/>
          </w:tcPr>
          <w:p>
            <w:pPr>
              <w:pStyle w:val="TableParagraph"/>
              <w:spacing w:line="199" w:lineRule="exact"/>
              <w:ind w:left="64"/>
              <w:jc w:val="left"/>
              <w:rPr>
                <w:b/>
                <w:sz w:val="18"/>
              </w:rPr>
            </w:pPr>
            <w:r>
              <w:rPr>
                <w:b/>
                <w:color w:val="181818"/>
                <w:sz w:val="18"/>
              </w:rPr>
              <w:t>San Antonio la Isla</w:t>
            </w:r>
          </w:p>
        </w:tc>
        <w:tc>
          <w:tcPr>
            <w:tcW w:w="1577" w:type="dxa"/>
          </w:tcPr>
          <w:p>
            <w:pPr>
              <w:pStyle w:val="TableParagraph"/>
              <w:spacing w:line="203" w:lineRule="exact"/>
              <w:ind w:left="477" w:right="181"/>
              <w:jc w:val="left"/>
              <w:rPr>
                <w:sz w:val="18"/>
              </w:rPr>
            </w:pPr>
            <w:r>
              <w:rPr>
                <w:color w:val="333333"/>
                <w:sz w:val="18"/>
              </w:rPr>
              <w:t>46.15%</w:t>
            </w:r>
          </w:p>
        </w:tc>
        <w:tc>
          <w:tcPr>
            <w:tcW w:w="1493" w:type="dxa"/>
            <w:vMerge/>
          </w:tcPr>
          <w:p>
            <w:pPr/>
          </w:p>
        </w:tc>
      </w:tr>
      <w:tr>
        <w:trPr>
          <w:trHeight w:val="322" w:hRule="exact"/>
        </w:trPr>
        <w:tc>
          <w:tcPr>
            <w:tcW w:w="2270" w:type="dxa"/>
            <w:vMerge/>
          </w:tcPr>
          <w:p>
            <w:pPr/>
          </w:p>
        </w:tc>
        <w:tc>
          <w:tcPr>
            <w:tcW w:w="773" w:type="dxa"/>
          </w:tcPr>
          <w:p>
            <w:pPr>
              <w:pStyle w:val="TableParagraph"/>
              <w:spacing w:line="206" w:lineRule="exact"/>
              <w:ind w:right="2"/>
              <w:rPr>
                <w:sz w:val="18"/>
              </w:rPr>
            </w:pPr>
            <w:r>
              <w:rPr>
                <w:w w:val="99"/>
                <w:sz w:val="18"/>
              </w:rPr>
              <w:t>1</w:t>
            </w:r>
          </w:p>
        </w:tc>
        <w:tc>
          <w:tcPr>
            <w:tcW w:w="2528" w:type="dxa"/>
          </w:tcPr>
          <w:p>
            <w:pPr>
              <w:pStyle w:val="TableParagraph"/>
              <w:spacing w:line="206" w:lineRule="exact"/>
              <w:ind w:left="64"/>
              <w:jc w:val="left"/>
              <w:rPr>
                <w:sz w:val="18"/>
              </w:rPr>
            </w:pPr>
            <w:r>
              <w:rPr>
                <w:color w:val="181818"/>
                <w:sz w:val="18"/>
              </w:rPr>
              <w:t>San Felipe del Progreso</w:t>
            </w:r>
          </w:p>
        </w:tc>
        <w:tc>
          <w:tcPr>
            <w:tcW w:w="1577" w:type="dxa"/>
          </w:tcPr>
          <w:p>
            <w:pPr/>
          </w:p>
        </w:tc>
        <w:tc>
          <w:tcPr>
            <w:tcW w:w="1493" w:type="dxa"/>
            <w:vMerge/>
          </w:tcPr>
          <w:p>
            <w:pPr/>
          </w:p>
        </w:tc>
      </w:tr>
      <w:tr>
        <w:trPr>
          <w:trHeight w:val="631" w:hRule="exact"/>
        </w:trPr>
        <w:tc>
          <w:tcPr>
            <w:tcW w:w="2270" w:type="dxa"/>
            <w:vMerge/>
          </w:tcPr>
          <w:p>
            <w:pPr/>
          </w:p>
        </w:tc>
        <w:tc>
          <w:tcPr>
            <w:tcW w:w="773" w:type="dxa"/>
          </w:tcPr>
          <w:p>
            <w:pPr>
              <w:pStyle w:val="TableParagraph"/>
              <w:jc w:val="left"/>
              <w:rPr>
                <w:rFonts w:ascii="Calibri"/>
                <w:sz w:val="25"/>
              </w:rPr>
            </w:pPr>
          </w:p>
          <w:p>
            <w:pPr>
              <w:pStyle w:val="TableParagraph"/>
              <w:ind w:right="2"/>
              <w:rPr>
                <w:sz w:val="18"/>
              </w:rPr>
            </w:pPr>
            <w:r>
              <w:rPr>
                <w:w w:val="99"/>
                <w:sz w:val="18"/>
              </w:rPr>
              <w:t>1</w:t>
            </w:r>
          </w:p>
        </w:tc>
        <w:tc>
          <w:tcPr>
            <w:tcW w:w="2528" w:type="dxa"/>
          </w:tcPr>
          <w:p>
            <w:pPr>
              <w:pStyle w:val="TableParagraph"/>
              <w:spacing w:line="360" w:lineRule="auto"/>
              <w:ind w:left="64" w:right="953"/>
              <w:jc w:val="left"/>
              <w:rPr>
                <w:b/>
                <w:sz w:val="18"/>
              </w:rPr>
            </w:pPr>
            <w:r>
              <w:rPr>
                <w:b/>
                <w:color w:val="181818"/>
                <w:sz w:val="18"/>
              </w:rPr>
              <w:t>San Martín de las Pirámides</w:t>
            </w:r>
          </w:p>
        </w:tc>
        <w:tc>
          <w:tcPr>
            <w:tcW w:w="1577" w:type="dxa"/>
          </w:tcPr>
          <w:p>
            <w:pPr>
              <w:pStyle w:val="TableParagraph"/>
              <w:jc w:val="left"/>
              <w:rPr>
                <w:rFonts w:ascii="Calibri"/>
                <w:sz w:val="25"/>
              </w:rPr>
            </w:pPr>
          </w:p>
          <w:p>
            <w:pPr>
              <w:pStyle w:val="TableParagraph"/>
              <w:ind w:left="527" w:right="181"/>
              <w:jc w:val="left"/>
              <w:rPr>
                <w:sz w:val="18"/>
              </w:rPr>
            </w:pPr>
            <w:r>
              <w:rPr>
                <w:color w:val="333333"/>
                <w:sz w:val="18"/>
              </w:rPr>
              <w:t>7.69%</w:t>
            </w:r>
          </w:p>
        </w:tc>
        <w:tc>
          <w:tcPr>
            <w:tcW w:w="1493" w:type="dxa"/>
            <w:vMerge/>
          </w:tcPr>
          <w:p>
            <w:pPr/>
          </w:p>
        </w:tc>
      </w:tr>
      <w:tr>
        <w:trPr>
          <w:trHeight w:val="319" w:hRule="exact"/>
        </w:trPr>
        <w:tc>
          <w:tcPr>
            <w:tcW w:w="2270" w:type="dxa"/>
            <w:vMerge/>
          </w:tcPr>
          <w:p>
            <w:pPr/>
          </w:p>
        </w:tc>
        <w:tc>
          <w:tcPr>
            <w:tcW w:w="773" w:type="dxa"/>
          </w:tcPr>
          <w:p>
            <w:pPr>
              <w:pStyle w:val="TableParagraph"/>
              <w:spacing w:line="203" w:lineRule="exact"/>
              <w:ind w:right="2"/>
              <w:rPr>
                <w:sz w:val="18"/>
              </w:rPr>
            </w:pPr>
            <w:r>
              <w:rPr>
                <w:w w:val="99"/>
                <w:sz w:val="18"/>
              </w:rPr>
              <w:t>1</w:t>
            </w:r>
          </w:p>
        </w:tc>
        <w:tc>
          <w:tcPr>
            <w:tcW w:w="2528" w:type="dxa"/>
          </w:tcPr>
          <w:p>
            <w:pPr>
              <w:pStyle w:val="TableParagraph"/>
              <w:spacing w:line="203" w:lineRule="exact"/>
              <w:ind w:left="64"/>
              <w:jc w:val="left"/>
              <w:rPr>
                <w:sz w:val="18"/>
              </w:rPr>
            </w:pPr>
            <w:r>
              <w:rPr>
                <w:color w:val="181818"/>
                <w:sz w:val="18"/>
              </w:rPr>
              <w:t>Santo Tomás</w:t>
            </w:r>
          </w:p>
        </w:tc>
        <w:tc>
          <w:tcPr>
            <w:tcW w:w="1577" w:type="dxa"/>
          </w:tcPr>
          <w:p>
            <w:pPr/>
          </w:p>
        </w:tc>
        <w:tc>
          <w:tcPr>
            <w:tcW w:w="1493" w:type="dxa"/>
            <w:vMerge/>
          </w:tcPr>
          <w:p>
            <w:pPr/>
          </w:p>
        </w:tc>
      </w:tr>
      <w:tr>
        <w:trPr>
          <w:trHeight w:val="322" w:hRule="exact"/>
        </w:trPr>
        <w:tc>
          <w:tcPr>
            <w:tcW w:w="2270" w:type="dxa"/>
            <w:vMerge/>
          </w:tcPr>
          <w:p>
            <w:pPr/>
          </w:p>
        </w:tc>
        <w:tc>
          <w:tcPr>
            <w:tcW w:w="773" w:type="dxa"/>
          </w:tcPr>
          <w:p>
            <w:pPr>
              <w:pStyle w:val="TableParagraph"/>
              <w:spacing w:line="206" w:lineRule="exact"/>
              <w:ind w:right="2"/>
              <w:rPr>
                <w:sz w:val="18"/>
              </w:rPr>
            </w:pPr>
            <w:r>
              <w:rPr>
                <w:w w:val="99"/>
                <w:sz w:val="18"/>
              </w:rPr>
              <w:t>1</w:t>
            </w:r>
          </w:p>
        </w:tc>
        <w:tc>
          <w:tcPr>
            <w:tcW w:w="2528" w:type="dxa"/>
          </w:tcPr>
          <w:p>
            <w:pPr>
              <w:pStyle w:val="TableParagraph"/>
              <w:spacing w:line="201" w:lineRule="exact"/>
              <w:ind w:left="64"/>
              <w:jc w:val="left"/>
              <w:rPr>
                <w:b/>
                <w:sz w:val="18"/>
              </w:rPr>
            </w:pPr>
            <w:r>
              <w:rPr>
                <w:b/>
                <w:color w:val="181818"/>
                <w:sz w:val="18"/>
              </w:rPr>
              <w:t>Tecámac</w:t>
            </w:r>
          </w:p>
        </w:tc>
        <w:tc>
          <w:tcPr>
            <w:tcW w:w="1577" w:type="dxa"/>
          </w:tcPr>
          <w:p>
            <w:pPr>
              <w:pStyle w:val="TableParagraph"/>
              <w:spacing w:line="206" w:lineRule="exact"/>
              <w:ind w:left="527" w:right="181"/>
              <w:jc w:val="left"/>
              <w:rPr>
                <w:sz w:val="18"/>
              </w:rPr>
            </w:pPr>
            <w:r>
              <w:rPr>
                <w:color w:val="333333"/>
                <w:sz w:val="18"/>
              </w:rPr>
              <w:t>7.60%</w:t>
            </w:r>
          </w:p>
        </w:tc>
        <w:tc>
          <w:tcPr>
            <w:tcW w:w="1493" w:type="dxa"/>
            <w:vMerge/>
          </w:tcPr>
          <w:p>
            <w:pPr/>
          </w:p>
        </w:tc>
      </w:tr>
      <w:tr>
        <w:trPr>
          <w:trHeight w:val="319" w:hRule="exact"/>
        </w:trPr>
        <w:tc>
          <w:tcPr>
            <w:tcW w:w="2270" w:type="dxa"/>
            <w:vMerge/>
          </w:tcPr>
          <w:p>
            <w:pPr/>
          </w:p>
        </w:tc>
        <w:tc>
          <w:tcPr>
            <w:tcW w:w="773" w:type="dxa"/>
            <w:tcBorders>
              <w:bottom w:val="single" w:sz="4" w:space="0" w:color="000000"/>
            </w:tcBorders>
          </w:tcPr>
          <w:p>
            <w:pPr>
              <w:pStyle w:val="TableParagraph"/>
              <w:spacing w:line="203" w:lineRule="exact"/>
              <w:ind w:right="2"/>
              <w:rPr>
                <w:sz w:val="18"/>
              </w:rPr>
            </w:pPr>
            <w:r>
              <w:rPr>
                <w:w w:val="99"/>
                <w:sz w:val="18"/>
              </w:rPr>
              <w:t>1</w:t>
            </w:r>
          </w:p>
        </w:tc>
        <w:tc>
          <w:tcPr>
            <w:tcW w:w="2528" w:type="dxa"/>
            <w:tcBorders>
              <w:bottom w:val="single" w:sz="4" w:space="0" w:color="000000"/>
            </w:tcBorders>
          </w:tcPr>
          <w:p>
            <w:pPr>
              <w:pStyle w:val="TableParagraph"/>
              <w:spacing w:line="199" w:lineRule="exact"/>
              <w:ind w:left="64"/>
              <w:jc w:val="left"/>
              <w:rPr>
                <w:b/>
                <w:sz w:val="18"/>
              </w:rPr>
            </w:pPr>
            <w:r>
              <w:rPr>
                <w:b/>
                <w:color w:val="181818"/>
                <w:sz w:val="18"/>
              </w:rPr>
              <w:t>Tejupilco</w:t>
            </w:r>
          </w:p>
        </w:tc>
        <w:tc>
          <w:tcPr>
            <w:tcW w:w="1577" w:type="dxa"/>
            <w:tcBorders>
              <w:bottom w:val="single" w:sz="4" w:space="0" w:color="000000"/>
            </w:tcBorders>
          </w:tcPr>
          <w:p>
            <w:pPr>
              <w:pStyle w:val="TableParagraph"/>
              <w:spacing w:line="203" w:lineRule="exact"/>
              <w:ind w:left="527" w:right="181"/>
              <w:jc w:val="left"/>
              <w:rPr>
                <w:sz w:val="18"/>
              </w:rPr>
            </w:pPr>
            <w:r>
              <w:rPr>
                <w:color w:val="333333"/>
                <w:sz w:val="18"/>
              </w:rPr>
              <w:t>6.10%</w:t>
            </w:r>
          </w:p>
        </w:tc>
        <w:tc>
          <w:tcPr>
            <w:tcW w:w="1493" w:type="dxa"/>
            <w:vMerge/>
          </w:tcPr>
          <w:p>
            <w:pPr/>
          </w:p>
        </w:tc>
      </w:tr>
      <w:tr>
        <w:trPr>
          <w:trHeight w:val="322" w:hRule="exact"/>
        </w:trPr>
        <w:tc>
          <w:tcPr>
            <w:tcW w:w="2270" w:type="dxa"/>
            <w:vMerge/>
          </w:tcPr>
          <w:p>
            <w:pPr/>
          </w:p>
        </w:tc>
        <w:tc>
          <w:tcPr>
            <w:tcW w:w="773" w:type="dxa"/>
            <w:tcBorders>
              <w:top w:val="single" w:sz="4" w:space="0" w:color="000000"/>
            </w:tcBorders>
          </w:tcPr>
          <w:p>
            <w:pPr>
              <w:pStyle w:val="TableParagraph"/>
              <w:spacing w:line="206" w:lineRule="exact"/>
              <w:ind w:right="2"/>
              <w:rPr>
                <w:sz w:val="18"/>
              </w:rPr>
            </w:pPr>
            <w:r>
              <w:rPr>
                <w:w w:val="99"/>
                <w:sz w:val="18"/>
              </w:rPr>
              <w:t>1</w:t>
            </w:r>
          </w:p>
        </w:tc>
        <w:tc>
          <w:tcPr>
            <w:tcW w:w="2528" w:type="dxa"/>
            <w:tcBorders>
              <w:top w:val="single" w:sz="4" w:space="0" w:color="000000"/>
            </w:tcBorders>
          </w:tcPr>
          <w:p>
            <w:pPr>
              <w:pStyle w:val="TableParagraph"/>
              <w:spacing w:line="206" w:lineRule="exact"/>
              <w:ind w:left="64"/>
              <w:jc w:val="left"/>
              <w:rPr>
                <w:sz w:val="18"/>
              </w:rPr>
            </w:pPr>
            <w:r>
              <w:rPr>
                <w:color w:val="181818"/>
                <w:sz w:val="18"/>
              </w:rPr>
              <w:t>Temamatla</w:t>
            </w:r>
          </w:p>
        </w:tc>
        <w:tc>
          <w:tcPr>
            <w:tcW w:w="1577" w:type="dxa"/>
            <w:tcBorders>
              <w:top w:val="single" w:sz="4" w:space="0" w:color="000000"/>
            </w:tcBorders>
          </w:tcPr>
          <w:p>
            <w:pPr/>
          </w:p>
        </w:tc>
        <w:tc>
          <w:tcPr>
            <w:tcW w:w="1493" w:type="dxa"/>
            <w:vMerge/>
          </w:tcPr>
          <w:p>
            <w:pPr/>
          </w:p>
        </w:tc>
      </w:tr>
      <w:tr>
        <w:trPr>
          <w:trHeight w:val="322" w:hRule="exact"/>
        </w:trPr>
        <w:tc>
          <w:tcPr>
            <w:tcW w:w="2270" w:type="dxa"/>
            <w:vMerge/>
          </w:tcPr>
          <w:p>
            <w:pPr/>
          </w:p>
        </w:tc>
        <w:tc>
          <w:tcPr>
            <w:tcW w:w="773" w:type="dxa"/>
          </w:tcPr>
          <w:p>
            <w:pPr>
              <w:pStyle w:val="TableParagraph"/>
              <w:spacing w:line="203" w:lineRule="exact"/>
              <w:ind w:right="2"/>
              <w:rPr>
                <w:sz w:val="18"/>
              </w:rPr>
            </w:pPr>
            <w:r>
              <w:rPr>
                <w:w w:val="99"/>
                <w:sz w:val="18"/>
              </w:rPr>
              <w:t>1</w:t>
            </w:r>
          </w:p>
        </w:tc>
        <w:tc>
          <w:tcPr>
            <w:tcW w:w="2528" w:type="dxa"/>
          </w:tcPr>
          <w:p>
            <w:pPr>
              <w:pStyle w:val="TableParagraph"/>
              <w:spacing w:line="199" w:lineRule="exact"/>
              <w:ind w:left="64"/>
              <w:jc w:val="left"/>
              <w:rPr>
                <w:b/>
                <w:sz w:val="18"/>
              </w:rPr>
            </w:pPr>
            <w:r>
              <w:rPr>
                <w:b/>
                <w:color w:val="181818"/>
                <w:sz w:val="18"/>
              </w:rPr>
              <w:t>Temascalapa</w:t>
            </w:r>
          </w:p>
        </w:tc>
        <w:tc>
          <w:tcPr>
            <w:tcW w:w="1577" w:type="dxa"/>
          </w:tcPr>
          <w:p>
            <w:pPr>
              <w:pStyle w:val="TableParagraph"/>
              <w:spacing w:line="203" w:lineRule="exact"/>
              <w:ind w:left="477" w:right="181"/>
              <w:jc w:val="left"/>
              <w:rPr>
                <w:sz w:val="18"/>
              </w:rPr>
            </w:pPr>
            <w:r>
              <w:rPr>
                <w:color w:val="333333"/>
                <w:sz w:val="18"/>
              </w:rPr>
              <w:t>11.50%</w:t>
            </w:r>
          </w:p>
        </w:tc>
        <w:tc>
          <w:tcPr>
            <w:tcW w:w="1493" w:type="dxa"/>
            <w:vMerge/>
          </w:tcPr>
          <w:p>
            <w:pPr/>
          </w:p>
        </w:tc>
      </w:tr>
      <w:tr>
        <w:trPr>
          <w:trHeight w:val="319" w:hRule="exact"/>
        </w:trPr>
        <w:tc>
          <w:tcPr>
            <w:tcW w:w="2270" w:type="dxa"/>
            <w:vMerge/>
          </w:tcPr>
          <w:p>
            <w:pPr/>
          </w:p>
        </w:tc>
        <w:tc>
          <w:tcPr>
            <w:tcW w:w="773" w:type="dxa"/>
          </w:tcPr>
          <w:p>
            <w:pPr>
              <w:pStyle w:val="TableParagraph"/>
              <w:spacing w:line="203" w:lineRule="exact"/>
              <w:ind w:right="2"/>
              <w:rPr>
                <w:sz w:val="18"/>
              </w:rPr>
            </w:pPr>
            <w:r>
              <w:rPr>
                <w:w w:val="99"/>
                <w:sz w:val="18"/>
              </w:rPr>
              <w:t>1</w:t>
            </w:r>
          </w:p>
        </w:tc>
        <w:tc>
          <w:tcPr>
            <w:tcW w:w="2528" w:type="dxa"/>
          </w:tcPr>
          <w:p>
            <w:pPr>
              <w:pStyle w:val="TableParagraph"/>
              <w:spacing w:line="199" w:lineRule="exact"/>
              <w:ind w:left="64"/>
              <w:jc w:val="left"/>
              <w:rPr>
                <w:b/>
                <w:sz w:val="18"/>
              </w:rPr>
            </w:pPr>
            <w:r>
              <w:rPr>
                <w:b/>
                <w:color w:val="181818"/>
                <w:sz w:val="18"/>
              </w:rPr>
              <w:t>Temascalcingo</w:t>
            </w:r>
          </w:p>
        </w:tc>
        <w:tc>
          <w:tcPr>
            <w:tcW w:w="1577" w:type="dxa"/>
          </w:tcPr>
          <w:p>
            <w:pPr>
              <w:pStyle w:val="TableParagraph"/>
              <w:spacing w:line="203" w:lineRule="exact"/>
              <w:ind w:left="477" w:right="181"/>
              <w:jc w:val="left"/>
              <w:rPr>
                <w:sz w:val="18"/>
              </w:rPr>
            </w:pPr>
            <w:r>
              <w:rPr>
                <w:color w:val="333333"/>
                <w:sz w:val="18"/>
              </w:rPr>
              <w:t>30.70%</w:t>
            </w:r>
          </w:p>
        </w:tc>
        <w:tc>
          <w:tcPr>
            <w:tcW w:w="1493" w:type="dxa"/>
            <w:vMerge/>
          </w:tcPr>
          <w:p>
            <w:pPr/>
          </w:p>
        </w:tc>
      </w:tr>
      <w:tr>
        <w:trPr>
          <w:trHeight w:val="322" w:hRule="exact"/>
        </w:trPr>
        <w:tc>
          <w:tcPr>
            <w:tcW w:w="2270" w:type="dxa"/>
            <w:vMerge/>
          </w:tcPr>
          <w:p>
            <w:pPr/>
          </w:p>
        </w:tc>
        <w:tc>
          <w:tcPr>
            <w:tcW w:w="773" w:type="dxa"/>
          </w:tcPr>
          <w:p>
            <w:pPr>
              <w:pStyle w:val="TableParagraph"/>
              <w:spacing w:line="203" w:lineRule="exact"/>
              <w:ind w:right="2"/>
              <w:rPr>
                <w:sz w:val="18"/>
              </w:rPr>
            </w:pPr>
            <w:r>
              <w:rPr>
                <w:w w:val="99"/>
                <w:sz w:val="18"/>
              </w:rPr>
              <w:t>1</w:t>
            </w:r>
          </w:p>
        </w:tc>
        <w:tc>
          <w:tcPr>
            <w:tcW w:w="2528" w:type="dxa"/>
          </w:tcPr>
          <w:p>
            <w:pPr>
              <w:pStyle w:val="TableParagraph"/>
              <w:spacing w:line="203" w:lineRule="exact"/>
              <w:ind w:left="64"/>
              <w:jc w:val="left"/>
              <w:rPr>
                <w:sz w:val="18"/>
              </w:rPr>
            </w:pPr>
            <w:r>
              <w:rPr>
                <w:color w:val="181818"/>
                <w:sz w:val="18"/>
              </w:rPr>
              <w:t>Temascaltepec</w:t>
            </w:r>
          </w:p>
        </w:tc>
        <w:tc>
          <w:tcPr>
            <w:tcW w:w="1577" w:type="dxa"/>
          </w:tcPr>
          <w:p>
            <w:pPr/>
          </w:p>
        </w:tc>
        <w:tc>
          <w:tcPr>
            <w:tcW w:w="1493" w:type="dxa"/>
            <w:vMerge/>
          </w:tcPr>
          <w:p>
            <w:pPr/>
          </w:p>
        </w:tc>
      </w:tr>
      <w:tr>
        <w:trPr>
          <w:trHeight w:val="319" w:hRule="exact"/>
        </w:trPr>
        <w:tc>
          <w:tcPr>
            <w:tcW w:w="2270" w:type="dxa"/>
            <w:vMerge/>
          </w:tcPr>
          <w:p>
            <w:pPr/>
          </w:p>
        </w:tc>
        <w:tc>
          <w:tcPr>
            <w:tcW w:w="773" w:type="dxa"/>
          </w:tcPr>
          <w:p>
            <w:pPr>
              <w:pStyle w:val="TableParagraph"/>
              <w:spacing w:line="203" w:lineRule="exact"/>
              <w:ind w:right="2"/>
              <w:rPr>
                <w:sz w:val="18"/>
              </w:rPr>
            </w:pPr>
            <w:r>
              <w:rPr>
                <w:w w:val="99"/>
                <w:sz w:val="18"/>
              </w:rPr>
              <w:t>1</w:t>
            </w:r>
          </w:p>
        </w:tc>
        <w:tc>
          <w:tcPr>
            <w:tcW w:w="2528" w:type="dxa"/>
          </w:tcPr>
          <w:p>
            <w:pPr>
              <w:pStyle w:val="TableParagraph"/>
              <w:spacing w:line="203" w:lineRule="exact"/>
              <w:ind w:left="64"/>
              <w:jc w:val="left"/>
              <w:rPr>
                <w:sz w:val="18"/>
              </w:rPr>
            </w:pPr>
            <w:r>
              <w:rPr>
                <w:color w:val="181818"/>
                <w:sz w:val="18"/>
              </w:rPr>
              <w:t>Temoaya</w:t>
            </w:r>
          </w:p>
        </w:tc>
        <w:tc>
          <w:tcPr>
            <w:tcW w:w="1577" w:type="dxa"/>
          </w:tcPr>
          <w:p>
            <w:pPr/>
          </w:p>
        </w:tc>
        <w:tc>
          <w:tcPr>
            <w:tcW w:w="1493" w:type="dxa"/>
            <w:vMerge/>
          </w:tcPr>
          <w:p>
            <w:pPr/>
          </w:p>
        </w:tc>
      </w:tr>
      <w:tr>
        <w:trPr>
          <w:trHeight w:val="322" w:hRule="exact"/>
        </w:trPr>
        <w:tc>
          <w:tcPr>
            <w:tcW w:w="2270" w:type="dxa"/>
            <w:vMerge/>
          </w:tcPr>
          <w:p>
            <w:pPr/>
          </w:p>
        </w:tc>
        <w:tc>
          <w:tcPr>
            <w:tcW w:w="773" w:type="dxa"/>
          </w:tcPr>
          <w:p>
            <w:pPr>
              <w:pStyle w:val="TableParagraph"/>
              <w:spacing w:line="203" w:lineRule="exact"/>
              <w:ind w:right="2"/>
              <w:rPr>
                <w:sz w:val="18"/>
              </w:rPr>
            </w:pPr>
            <w:r>
              <w:rPr>
                <w:w w:val="99"/>
                <w:sz w:val="18"/>
              </w:rPr>
              <w:t>2</w:t>
            </w:r>
          </w:p>
        </w:tc>
        <w:tc>
          <w:tcPr>
            <w:tcW w:w="2528" w:type="dxa"/>
          </w:tcPr>
          <w:p>
            <w:pPr>
              <w:pStyle w:val="TableParagraph"/>
              <w:spacing w:line="199" w:lineRule="exact"/>
              <w:ind w:left="64"/>
              <w:jc w:val="left"/>
              <w:rPr>
                <w:b/>
                <w:sz w:val="18"/>
              </w:rPr>
            </w:pPr>
            <w:r>
              <w:rPr>
                <w:b/>
                <w:color w:val="181818"/>
                <w:sz w:val="18"/>
              </w:rPr>
              <w:t>Tenancingo</w:t>
            </w:r>
          </w:p>
        </w:tc>
        <w:tc>
          <w:tcPr>
            <w:tcW w:w="1577" w:type="dxa"/>
          </w:tcPr>
          <w:p>
            <w:pPr>
              <w:pStyle w:val="TableParagraph"/>
              <w:spacing w:line="203" w:lineRule="exact"/>
              <w:ind w:left="477" w:right="181"/>
              <w:jc w:val="left"/>
              <w:rPr>
                <w:sz w:val="18"/>
              </w:rPr>
            </w:pPr>
            <w:r>
              <w:rPr>
                <w:color w:val="333333"/>
                <w:sz w:val="18"/>
              </w:rPr>
              <w:t>11.53%</w:t>
            </w:r>
          </w:p>
        </w:tc>
        <w:tc>
          <w:tcPr>
            <w:tcW w:w="1493" w:type="dxa"/>
            <w:vMerge/>
          </w:tcPr>
          <w:p>
            <w:pPr/>
          </w:p>
        </w:tc>
      </w:tr>
      <w:tr>
        <w:trPr>
          <w:trHeight w:val="319" w:hRule="exact"/>
        </w:trPr>
        <w:tc>
          <w:tcPr>
            <w:tcW w:w="2270" w:type="dxa"/>
            <w:vMerge/>
          </w:tcPr>
          <w:p>
            <w:pPr/>
          </w:p>
        </w:tc>
        <w:tc>
          <w:tcPr>
            <w:tcW w:w="773" w:type="dxa"/>
          </w:tcPr>
          <w:p>
            <w:pPr>
              <w:pStyle w:val="TableParagraph"/>
              <w:spacing w:line="203" w:lineRule="exact"/>
              <w:ind w:right="2"/>
              <w:rPr>
                <w:sz w:val="18"/>
              </w:rPr>
            </w:pPr>
            <w:r>
              <w:rPr>
                <w:w w:val="99"/>
                <w:sz w:val="18"/>
              </w:rPr>
              <w:t>1</w:t>
            </w:r>
          </w:p>
        </w:tc>
        <w:tc>
          <w:tcPr>
            <w:tcW w:w="2528" w:type="dxa"/>
          </w:tcPr>
          <w:p>
            <w:pPr>
              <w:pStyle w:val="TableParagraph"/>
              <w:spacing w:line="203" w:lineRule="exact"/>
              <w:ind w:left="64"/>
              <w:jc w:val="left"/>
              <w:rPr>
                <w:sz w:val="18"/>
              </w:rPr>
            </w:pPr>
            <w:r>
              <w:rPr>
                <w:color w:val="181818"/>
                <w:sz w:val="18"/>
              </w:rPr>
              <w:t>Tenango del Aire</w:t>
            </w:r>
          </w:p>
        </w:tc>
        <w:tc>
          <w:tcPr>
            <w:tcW w:w="1577" w:type="dxa"/>
          </w:tcPr>
          <w:p>
            <w:pPr/>
          </w:p>
        </w:tc>
        <w:tc>
          <w:tcPr>
            <w:tcW w:w="1493" w:type="dxa"/>
            <w:vMerge/>
          </w:tcPr>
          <w:p>
            <w:pPr/>
          </w:p>
        </w:tc>
      </w:tr>
      <w:tr>
        <w:trPr>
          <w:trHeight w:val="322" w:hRule="exact"/>
        </w:trPr>
        <w:tc>
          <w:tcPr>
            <w:tcW w:w="2270" w:type="dxa"/>
            <w:vMerge/>
          </w:tcPr>
          <w:p>
            <w:pPr/>
          </w:p>
        </w:tc>
        <w:tc>
          <w:tcPr>
            <w:tcW w:w="773" w:type="dxa"/>
          </w:tcPr>
          <w:p>
            <w:pPr>
              <w:pStyle w:val="TableParagraph"/>
              <w:spacing w:line="203" w:lineRule="exact"/>
              <w:ind w:right="2"/>
              <w:rPr>
                <w:sz w:val="18"/>
              </w:rPr>
            </w:pPr>
            <w:r>
              <w:rPr>
                <w:w w:val="99"/>
                <w:sz w:val="18"/>
              </w:rPr>
              <w:t>1</w:t>
            </w:r>
          </w:p>
        </w:tc>
        <w:tc>
          <w:tcPr>
            <w:tcW w:w="2528" w:type="dxa"/>
          </w:tcPr>
          <w:p>
            <w:pPr>
              <w:pStyle w:val="TableParagraph"/>
              <w:spacing w:line="203" w:lineRule="exact"/>
              <w:ind w:left="64"/>
              <w:jc w:val="left"/>
              <w:rPr>
                <w:sz w:val="18"/>
              </w:rPr>
            </w:pPr>
            <w:r>
              <w:rPr>
                <w:color w:val="181818"/>
                <w:sz w:val="18"/>
              </w:rPr>
              <w:t>Tenango del Valle</w:t>
            </w:r>
          </w:p>
        </w:tc>
        <w:tc>
          <w:tcPr>
            <w:tcW w:w="1577" w:type="dxa"/>
          </w:tcPr>
          <w:p>
            <w:pPr/>
          </w:p>
        </w:tc>
        <w:tc>
          <w:tcPr>
            <w:tcW w:w="1493" w:type="dxa"/>
            <w:vMerge/>
          </w:tcPr>
          <w:p>
            <w:pPr/>
          </w:p>
        </w:tc>
      </w:tr>
      <w:tr>
        <w:trPr>
          <w:trHeight w:val="319" w:hRule="exact"/>
        </w:trPr>
        <w:tc>
          <w:tcPr>
            <w:tcW w:w="2270" w:type="dxa"/>
            <w:vMerge/>
          </w:tcPr>
          <w:p>
            <w:pPr/>
          </w:p>
        </w:tc>
        <w:tc>
          <w:tcPr>
            <w:tcW w:w="773" w:type="dxa"/>
          </w:tcPr>
          <w:p>
            <w:pPr>
              <w:pStyle w:val="TableParagraph"/>
              <w:spacing w:line="203" w:lineRule="exact"/>
              <w:ind w:right="2"/>
              <w:rPr>
                <w:sz w:val="18"/>
              </w:rPr>
            </w:pPr>
            <w:r>
              <w:rPr>
                <w:w w:val="99"/>
                <w:sz w:val="18"/>
              </w:rPr>
              <w:t>1</w:t>
            </w:r>
          </w:p>
        </w:tc>
        <w:tc>
          <w:tcPr>
            <w:tcW w:w="2528" w:type="dxa"/>
          </w:tcPr>
          <w:p>
            <w:pPr>
              <w:pStyle w:val="TableParagraph"/>
              <w:spacing w:line="203" w:lineRule="exact"/>
              <w:ind w:left="64"/>
              <w:jc w:val="left"/>
              <w:rPr>
                <w:sz w:val="18"/>
              </w:rPr>
            </w:pPr>
            <w:r>
              <w:rPr>
                <w:color w:val="181818"/>
                <w:sz w:val="18"/>
              </w:rPr>
              <w:t>Teoloyucán</w:t>
            </w:r>
          </w:p>
        </w:tc>
        <w:tc>
          <w:tcPr>
            <w:tcW w:w="1577" w:type="dxa"/>
          </w:tcPr>
          <w:p>
            <w:pPr/>
          </w:p>
        </w:tc>
        <w:tc>
          <w:tcPr>
            <w:tcW w:w="1493" w:type="dxa"/>
            <w:vMerge/>
          </w:tcPr>
          <w:p>
            <w:pPr/>
          </w:p>
        </w:tc>
      </w:tr>
      <w:tr>
        <w:trPr>
          <w:trHeight w:val="322" w:hRule="exact"/>
        </w:trPr>
        <w:tc>
          <w:tcPr>
            <w:tcW w:w="2270" w:type="dxa"/>
            <w:vMerge/>
          </w:tcPr>
          <w:p>
            <w:pPr/>
          </w:p>
        </w:tc>
        <w:tc>
          <w:tcPr>
            <w:tcW w:w="773" w:type="dxa"/>
          </w:tcPr>
          <w:p>
            <w:pPr>
              <w:pStyle w:val="TableParagraph"/>
              <w:spacing w:line="203" w:lineRule="exact"/>
              <w:ind w:right="2"/>
              <w:rPr>
                <w:sz w:val="18"/>
              </w:rPr>
            </w:pPr>
            <w:r>
              <w:rPr>
                <w:w w:val="99"/>
                <w:sz w:val="18"/>
              </w:rPr>
              <w:t>1</w:t>
            </w:r>
          </w:p>
        </w:tc>
        <w:tc>
          <w:tcPr>
            <w:tcW w:w="2528" w:type="dxa"/>
          </w:tcPr>
          <w:p>
            <w:pPr>
              <w:pStyle w:val="TableParagraph"/>
              <w:spacing w:line="199" w:lineRule="exact"/>
              <w:ind w:left="64"/>
              <w:jc w:val="left"/>
              <w:rPr>
                <w:b/>
                <w:sz w:val="18"/>
              </w:rPr>
            </w:pPr>
            <w:r>
              <w:rPr>
                <w:b/>
                <w:color w:val="181818"/>
                <w:sz w:val="18"/>
              </w:rPr>
              <w:t>Teotihuacán</w:t>
            </w:r>
          </w:p>
        </w:tc>
        <w:tc>
          <w:tcPr>
            <w:tcW w:w="1577" w:type="dxa"/>
          </w:tcPr>
          <w:p>
            <w:pPr>
              <w:pStyle w:val="TableParagraph"/>
              <w:spacing w:line="203" w:lineRule="exact"/>
              <w:ind w:left="477" w:right="181"/>
              <w:jc w:val="left"/>
              <w:rPr>
                <w:sz w:val="18"/>
              </w:rPr>
            </w:pPr>
            <w:r>
              <w:rPr>
                <w:sz w:val="18"/>
              </w:rPr>
              <w:t>34.60%</w:t>
            </w:r>
          </w:p>
        </w:tc>
        <w:tc>
          <w:tcPr>
            <w:tcW w:w="1493" w:type="dxa"/>
            <w:vMerge/>
          </w:tcPr>
          <w:p>
            <w:pPr/>
          </w:p>
        </w:tc>
      </w:tr>
      <w:tr>
        <w:trPr>
          <w:trHeight w:val="320" w:hRule="exact"/>
        </w:trPr>
        <w:tc>
          <w:tcPr>
            <w:tcW w:w="2270" w:type="dxa"/>
            <w:vMerge/>
          </w:tcPr>
          <w:p>
            <w:pPr/>
          </w:p>
        </w:tc>
        <w:tc>
          <w:tcPr>
            <w:tcW w:w="773" w:type="dxa"/>
          </w:tcPr>
          <w:p>
            <w:pPr>
              <w:pStyle w:val="TableParagraph"/>
              <w:spacing w:line="203" w:lineRule="exact"/>
              <w:ind w:right="2"/>
              <w:rPr>
                <w:sz w:val="18"/>
              </w:rPr>
            </w:pPr>
            <w:r>
              <w:rPr>
                <w:w w:val="99"/>
                <w:sz w:val="18"/>
              </w:rPr>
              <w:t>1</w:t>
            </w:r>
          </w:p>
        </w:tc>
        <w:tc>
          <w:tcPr>
            <w:tcW w:w="2528" w:type="dxa"/>
          </w:tcPr>
          <w:p>
            <w:pPr>
              <w:pStyle w:val="TableParagraph"/>
              <w:spacing w:line="203" w:lineRule="exact"/>
              <w:ind w:left="64"/>
              <w:jc w:val="left"/>
              <w:rPr>
                <w:sz w:val="18"/>
              </w:rPr>
            </w:pPr>
            <w:r>
              <w:rPr>
                <w:color w:val="181818"/>
                <w:sz w:val="18"/>
              </w:rPr>
              <w:t>Tepetlixpa</w:t>
            </w:r>
          </w:p>
        </w:tc>
        <w:tc>
          <w:tcPr>
            <w:tcW w:w="1577" w:type="dxa"/>
          </w:tcPr>
          <w:p>
            <w:pPr/>
          </w:p>
        </w:tc>
        <w:tc>
          <w:tcPr>
            <w:tcW w:w="1493" w:type="dxa"/>
            <w:vMerge/>
          </w:tcPr>
          <w:p>
            <w:pPr/>
          </w:p>
        </w:tc>
      </w:tr>
      <w:tr>
        <w:trPr>
          <w:trHeight w:val="322" w:hRule="exact"/>
        </w:trPr>
        <w:tc>
          <w:tcPr>
            <w:tcW w:w="2270" w:type="dxa"/>
            <w:vMerge/>
          </w:tcPr>
          <w:p>
            <w:pPr/>
          </w:p>
        </w:tc>
        <w:tc>
          <w:tcPr>
            <w:tcW w:w="773" w:type="dxa"/>
          </w:tcPr>
          <w:p>
            <w:pPr>
              <w:pStyle w:val="TableParagraph"/>
              <w:spacing w:line="203" w:lineRule="exact"/>
              <w:ind w:right="2"/>
              <w:rPr>
                <w:sz w:val="18"/>
              </w:rPr>
            </w:pPr>
            <w:r>
              <w:rPr>
                <w:w w:val="99"/>
                <w:sz w:val="18"/>
              </w:rPr>
              <w:t>1</w:t>
            </w:r>
          </w:p>
        </w:tc>
        <w:tc>
          <w:tcPr>
            <w:tcW w:w="2528" w:type="dxa"/>
          </w:tcPr>
          <w:p>
            <w:pPr>
              <w:pStyle w:val="TableParagraph"/>
              <w:spacing w:line="203" w:lineRule="exact"/>
              <w:ind w:left="64"/>
              <w:jc w:val="left"/>
              <w:rPr>
                <w:sz w:val="18"/>
              </w:rPr>
            </w:pPr>
            <w:r>
              <w:rPr>
                <w:color w:val="181818"/>
                <w:sz w:val="18"/>
              </w:rPr>
              <w:t>Tepotzotlán</w:t>
            </w:r>
          </w:p>
        </w:tc>
        <w:tc>
          <w:tcPr>
            <w:tcW w:w="1577" w:type="dxa"/>
          </w:tcPr>
          <w:p>
            <w:pPr/>
          </w:p>
        </w:tc>
        <w:tc>
          <w:tcPr>
            <w:tcW w:w="1493" w:type="dxa"/>
            <w:vMerge/>
          </w:tcPr>
          <w:p>
            <w:pPr/>
          </w:p>
        </w:tc>
      </w:tr>
      <w:tr>
        <w:trPr>
          <w:trHeight w:val="319" w:hRule="exact"/>
        </w:trPr>
        <w:tc>
          <w:tcPr>
            <w:tcW w:w="2270" w:type="dxa"/>
            <w:vMerge/>
          </w:tcPr>
          <w:p>
            <w:pPr/>
          </w:p>
        </w:tc>
        <w:tc>
          <w:tcPr>
            <w:tcW w:w="773" w:type="dxa"/>
          </w:tcPr>
          <w:p>
            <w:pPr>
              <w:pStyle w:val="TableParagraph"/>
              <w:spacing w:line="203" w:lineRule="exact"/>
              <w:ind w:right="2"/>
              <w:rPr>
                <w:sz w:val="18"/>
              </w:rPr>
            </w:pPr>
            <w:r>
              <w:rPr>
                <w:w w:val="99"/>
                <w:sz w:val="18"/>
              </w:rPr>
              <w:t>2</w:t>
            </w:r>
          </w:p>
        </w:tc>
        <w:tc>
          <w:tcPr>
            <w:tcW w:w="2528" w:type="dxa"/>
          </w:tcPr>
          <w:p>
            <w:pPr>
              <w:pStyle w:val="TableParagraph"/>
              <w:spacing w:line="203" w:lineRule="exact"/>
              <w:ind w:left="64"/>
              <w:jc w:val="left"/>
              <w:rPr>
                <w:sz w:val="18"/>
              </w:rPr>
            </w:pPr>
            <w:r>
              <w:rPr>
                <w:color w:val="181818"/>
                <w:sz w:val="18"/>
              </w:rPr>
              <w:t>Tequixquiac</w:t>
            </w:r>
          </w:p>
        </w:tc>
        <w:tc>
          <w:tcPr>
            <w:tcW w:w="1577" w:type="dxa"/>
          </w:tcPr>
          <w:p>
            <w:pPr/>
          </w:p>
        </w:tc>
        <w:tc>
          <w:tcPr>
            <w:tcW w:w="1493" w:type="dxa"/>
            <w:vMerge/>
          </w:tcPr>
          <w:p>
            <w:pPr/>
          </w:p>
        </w:tc>
      </w:tr>
      <w:tr>
        <w:trPr>
          <w:trHeight w:val="322" w:hRule="exact"/>
        </w:trPr>
        <w:tc>
          <w:tcPr>
            <w:tcW w:w="2270" w:type="dxa"/>
            <w:vMerge/>
          </w:tcPr>
          <w:p>
            <w:pPr/>
          </w:p>
        </w:tc>
        <w:tc>
          <w:tcPr>
            <w:tcW w:w="773" w:type="dxa"/>
          </w:tcPr>
          <w:p>
            <w:pPr>
              <w:pStyle w:val="TableParagraph"/>
              <w:spacing w:line="206" w:lineRule="exact"/>
              <w:ind w:right="2"/>
              <w:rPr>
                <w:sz w:val="18"/>
              </w:rPr>
            </w:pPr>
            <w:r>
              <w:rPr>
                <w:w w:val="99"/>
                <w:sz w:val="18"/>
              </w:rPr>
              <w:t>1</w:t>
            </w:r>
          </w:p>
        </w:tc>
        <w:tc>
          <w:tcPr>
            <w:tcW w:w="2528" w:type="dxa"/>
          </w:tcPr>
          <w:p>
            <w:pPr>
              <w:pStyle w:val="TableParagraph"/>
              <w:spacing w:line="206" w:lineRule="exact"/>
              <w:ind w:left="64"/>
              <w:jc w:val="left"/>
              <w:rPr>
                <w:sz w:val="18"/>
              </w:rPr>
            </w:pPr>
            <w:r>
              <w:rPr>
                <w:color w:val="181818"/>
                <w:sz w:val="18"/>
              </w:rPr>
              <w:t>Texcalyacac</w:t>
            </w:r>
          </w:p>
        </w:tc>
        <w:tc>
          <w:tcPr>
            <w:tcW w:w="1577" w:type="dxa"/>
          </w:tcPr>
          <w:p>
            <w:pPr/>
          </w:p>
        </w:tc>
        <w:tc>
          <w:tcPr>
            <w:tcW w:w="1493" w:type="dxa"/>
            <w:vMerge/>
          </w:tcPr>
          <w:p>
            <w:pPr/>
          </w:p>
        </w:tc>
      </w:tr>
      <w:tr>
        <w:trPr>
          <w:trHeight w:val="319" w:hRule="exact"/>
        </w:trPr>
        <w:tc>
          <w:tcPr>
            <w:tcW w:w="2270" w:type="dxa"/>
            <w:vMerge/>
          </w:tcPr>
          <w:p>
            <w:pPr/>
          </w:p>
        </w:tc>
        <w:tc>
          <w:tcPr>
            <w:tcW w:w="773" w:type="dxa"/>
          </w:tcPr>
          <w:p>
            <w:pPr>
              <w:pStyle w:val="TableParagraph"/>
              <w:spacing w:line="203" w:lineRule="exact"/>
              <w:ind w:right="2"/>
              <w:rPr>
                <w:sz w:val="18"/>
              </w:rPr>
            </w:pPr>
            <w:r>
              <w:rPr>
                <w:w w:val="99"/>
                <w:sz w:val="18"/>
              </w:rPr>
              <w:t>1</w:t>
            </w:r>
          </w:p>
        </w:tc>
        <w:tc>
          <w:tcPr>
            <w:tcW w:w="2528" w:type="dxa"/>
          </w:tcPr>
          <w:p>
            <w:pPr>
              <w:pStyle w:val="TableParagraph"/>
              <w:spacing w:line="199" w:lineRule="exact"/>
              <w:ind w:left="64"/>
              <w:jc w:val="left"/>
              <w:rPr>
                <w:b/>
                <w:sz w:val="18"/>
              </w:rPr>
            </w:pPr>
            <w:r>
              <w:rPr>
                <w:b/>
                <w:color w:val="181818"/>
                <w:sz w:val="18"/>
              </w:rPr>
              <w:t>Texcoco</w:t>
            </w:r>
          </w:p>
        </w:tc>
        <w:tc>
          <w:tcPr>
            <w:tcW w:w="1577" w:type="dxa"/>
          </w:tcPr>
          <w:p>
            <w:pPr>
              <w:pStyle w:val="TableParagraph"/>
              <w:spacing w:line="203" w:lineRule="exact"/>
              <w:ind w:left="477" w:right="181"/>
              <w:jc w:val="left"/>
              <w:rPr>
                <w:sz w:val="18"/>
              </w:rPr>
            </w:pPr>
            <w:r>
              <w:rPr>
                <w:color w:val="333333"/>
                <w:sz w:val="18"/>
              </w:rPr>
              <w:t>11.50%</w:t>
            </w:r>
          </w:p>
        </w:tc>
        <w:tc>
          <w:tcPr>
            <w:tcW w:w="1493" w:type="dxa"/>
            <w:vMerge/>
          </w:tcPr>
          <w:p>
            <w:pPr/>
          </w:p>
        </w:tc>
      </w:tr>
      <w:tr>
        <w:trPr>
          <w:trHeight w:val="322" w:hRule="exact"/>
        </w:trPr>
        <w:tc>
          <w:tcPr>
            <w:tcW w:w="2270" w:type="dxa"/>
            <w:vMerge/>
          </w:tcPr>
          <w:p>
            <w:pPr/>
          </w:p>
        </w:tc>
        <w:tc>
          <w:tcPr>
            <w:tcW w:w="773" w:type="dxa"/>
          </w:tcPr>
          <w:p>
            <w:pPr>
              <w:pStyle w:val="TableParagraph"/>
              <w:spacing w:line="206" w:lineRule="exact"/>
              <w:ind w:right="2"/>
              <w:rPr>
                <w:sz w:val="18"/>
              </w:rPr>
            </w:pPr>
            <w:r>
              <w:rPr>
                <w:w w:val="99"/>
                <w:sz w:val="18"/>
              </w:rPr>
              <w:t>1</w:t>
            </w:r>
          </w:p>
        </w:tc>
        <w:tc>
          <w:tcPr>
            <w:tcW w:w="2528" w:type="dxa"/>
          </w:tcPr>
          <w:p>
            <w:pPr>
              <w:pStyle w:val="TableParagraph"/>
              <w:spacing w:line="201" w:lineRule="exact"/>
              <w:ind w:left="64"/>
              <w:jc w:val="left"/>
              <w:rPr>
                <w:b/>
                <w:sz w:val="18"/>
              </w:rPr>
            </w:pPr>
            <w:r>
              <w:rPr>
                <w:b/>
                <w:color w:val="181818"/>
                <w:sz w:val="18"/>
              </w:rPr>
              <w:t>Tezoyuca</w:t>
            </w:r>
          </w:p>
        </w:tc>
        <w:tc>
          <w:tcPr>
            <w:tcW w:w="1577" w:type="dxa"/>
          </w:tcPr>
          <w:p>
            <w:pPr>
              <w:pStyle w:val="TableParagraph"/>
              <w:spacing w:line="206" w:lineRule="exact"/>
              <w:ind w:left="477" w:right="181"/>
              <w:jc w:val="left"/>
              <w:rPr>
                <w:sz w:val="18"/>
              </w:rPr>
            </w:pPr>
            <w:r>
              <w:rPr>
                <w:color w:val="333333"/>
                <w:sz w:val="18"/>
              </w:rPr>
              <w:t>11.50%</w:t>
            </w:r>
          </w:p>
        </w:tc>
        <w:tc>
          <w:tcPr>
            <w:tcW w:w="1493" w:type="dxa"/>
            <w:vMerge/>
          </w:tcPr>
          <w:p>
            <w:pPr/>
          </w:p>
        </w:tc>
      </w:tr>
      <w:tr>
        <w:trPr>
          <w:trHeight w:val="319" w:hRule="exact"/>
        </w:trPr>
        <w:tc>
          <w:tcPr>
            <w:tcW w:w="2270" w:type="dxa"/>
            <w:vMerge/>
          </w:tcPr>
          <w:p>
            <w:pPr/>
          </w:p>
        </w:tc>
        <w:tc>
          <w:tcPr>
            <w:tcW w:w="773" w:type="dxa"/>
          </w:tcPr>
          <w:p>
            <w:pPr>
              <w:pStyle w:val="TableParagraph"/>
              <w:spacing w:line="203" w:lineRule="exact"/>
              <w:ind w:right="2"/>
              <w:rPr>
                <w:sz w:val="18"/>
              </w:rPr>
            </w:pPr>
            <w:r>
              <w:rPr>
                <w:w w:val="99"/>
                <w:sz w:val="18"/>
              </w:rPr>
              <w:t>1</w:t>
            </w:r>
          </w:p>
        </w:tc>
        <w:tc>
          <w:tcPr>
            <w:tcW w:w="2528" w:type="dxa"/>
          </w:tcPr>
          <w:p>
            <w:pPr>
              <w:pStyle w:val="TableParagraph"/>
              <w:spacing w:line="203" w:lineRule="exact"/>
              <w:ind w:left="64"/>
              <w:jc w:val="left"/>
              <w:rPr>
                <w:sz w:val="18"/>
              </w:rPr>
            </w:pPr>
            <w:r>
              <w:rPr>
                <w:color w:val="181818"/>
                <w:sz w:val="18"/>
              </w:rPr>
              <w:t>Tianguistenco</w:t>
            </w:r>
          </w:p>
        </w:tc>
        <w:tc>
          <w:tcPr>
            <w:tcW w:w="1577" w:type="dxa"/>
          </w:tcPr>
          <w:p>
            <w:pPr/>
          </w:p>
        </w:tc>
        <w:tc>
          <w:tcPr>
            <w:tcW w:w="1493" w:type="dxa"/>
            <w:vMerge/>
          </w:tcPr>
          <w:p>
            <w:pPr/>
          </w:p>
        </w:tc>
      </w:tr>
      <w:tr>
        <w:trPr>
          <w:trHeight w:val="322" w:hRule="exact"/>
        </w:trPr>
        <w:tc>
          <w:tcPr>
            <w:tcW w:w="2270" w:type="dxa"/>
            <w:vMerge/>
          </w:tcPr>
          <w:p>
            <w:pPr/>
          </w:p>
        </w:tc>
        <w:tc>
          <w:tcPr>
            <w:tcW w:w="773" w:type="dxa"/>
          </w:tcPr>
          <w:p>
            <w:pPr>
              <w:pStyle w:val="TableParagraph"/>
              <w:spacing w:line="206" w:lineRule="exact"/>
              <w:ind w:right="2"/>
              <w:rPr>
                <w:sz w:val="18"/>
              </w:rPr>
            </w:pPr>
            <w:r>
              <w:rPr>
                <w:w w:val="99"/>
                <w:sz w:val="18"/>
              </w:rPr>
              <w:t>1</w:t>
            </w:r>
          </w:p>
        </w:tc>
        <w:tc>
          <w:tcPr>
            <w:tcW w:w="2528" w:type="dxa"/>
          </w:tcPr>
          <w:p>
            <w:pPr>
              <w:pStyle w:val="TableParagraph"/>
              <w:spacing w:line="201" w:lineRule="exact"/>
              <w:ind w:left="64"/>
              <w:jc w:val="left"/>
              <w:rPr>
                <w:b/>
                <w:sz w:val="18"/>
              </w:rPr>
            </w:pPr>
            <w:r>
              <w:rPr>
                <w:b/>
                <w:color w:val="181818"/>
                <w:sz w:val="18"/>
              </w:rPr>
              <w:t>Timilpan</w:t>
            </w:r>
          </w:p>
        </w:tc>
        <w:tc>
          <w:tcPr>
            <w:tcW w:w="1577" w:type="dxa"/>
          </w:tcPr>
          <w:p>
            <w:pPr>
              <w:pStyle w:val="TableParagraph"/>
              <w:spacing w:line="206" w:lineRule="exact"/>
              <w:ind w:left="477" w:right="181"/>
              <w:jc w:val="left"/>
              <w:rPr>
                <w:sz w:val="18"/>
              </w:rPr>
            </w:pPr>
            <w:r>
              <w:rPr>
                <w:color w:val="333333"/>
                <w:sz w:val="18"/>
              </w:rPr>
              <w:t>34.61%</w:t>
            </w:r>
          </w:p>
        </w:tc>
        <w:tc>
          <w:tcPr>
            <w:tcW w:w="1493" w:type="dxa"/>
            <w:vMerge/>
          </w:tcPr>
          <w:p>
            <w:pPr/>
          </w:p>
        </w:tc>
      </w:tr>
    </w:tbl>
    <w:p>
      <w:pPr>
        <w:spacing w:after="0"/>
        <w:sectPr>
          <w:pgSz w:w="12240" w:h="15840"/>
          <w:pgMar w:header="0" w:footer="975" w:top="1420" w:bottom="1160" w:left="1580" w:right="1720"/>
        </w:sectPr>
      </w:pPr>
    </w:p>
    <w:p>
      <w:pPr>
        <w:pStyle w:val="BodyText"/>
        <w:rPr>
          <w:rFonts w:ascii="Calibri"/>
          <w:sz w:val="20"/>
        </w:rPr>
      </w:pPr>
    </w:p>
    <w:p>
      <w:pPr>
        <w:pStyle w:val="BodyText"/>
        <w:spacing w:before="1"/>
        <w:rPr>
          <w:rFonts w:ascii="Calibri"/>
          <w:sz w:val="10"/>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70"/>
        <w:gridCol w:w="773"/>
        <w:gridCol w:w="2528"/>
        <w:gridCol w:w="1577"/>
        <w:gridCol w:w="1493"/>
      </w:tblGrid>
      <w:tr>
        <w:trPr>
          <w:trHeight w:val="422" w:hRule="exact"/>
        </w:trPr>
        <w:tc>
          <w:tcPr>
            <w:tcW w:w="8642" w:type="dxa"/>
            <w:gridSpan w:val="5"/>
            <w:shd w:val="clear" w:color="auto" w:fill="92D050"/>
          </w:tcPr>
          <w:p>
            <w:pPr>
              <w:pStyle w:val="TableParagraph"/>
              <w:ind w:left="4078" w:right="123" w:hanging="3932"/>
              <w:jc w:val="left"/>
              <w:rPr>
                <w:b/>
                <w:sz w:val="18"/>
              </w:rPr>
            </w:pPr>
            <w:r>
              <w:rPr>
                <w:b/>
                <w:sz w:val="18"/>
              </w:rPr>
              <w:t>Anexo 11. Cumplimiento de la ley de transparencia vs partido gobernante en el año 2012 (Finaliza tabla)</w:t>
            </w:r>
          </w:p>
        </w:tc>
      </w:tr>
      <w:tr>
        <w:trPr>
          <w:trHeight w:val="425" w:hRule="exact"/>
        </w:trPr>
        <w:tc>
          <w:tcPr>
            <w:tcW w:w="2270" w:type="dxa"/>
            <w:shd w:val="clear" w:color="auto" w:fill="92D050"/>
          </w:tcPr>
          <w:p>
            <w:pPr>
              <w:pStyle w:val="TableParagraph"/>
              <w:spacing w:before="7"/>
              <w:jc w:val="left"/>
              <w:rPr>
                <w:rFonts w:ascii="Calibri"/>
                <w:sz w:val="16"/>
              </w:rPr>
            </w:pPr>
          </w:p>
          <w:p>
            <w:pPr>
              <w:pStyle w:val="TableParagraph"/>
              <w:spacing w:before="1"/>
              <w:ind w:left="803" w:right="797"/>
              <w:rPr>
                <w:b/>
                <w:sz w:val="18"/>
              </w:rPr>
            </w:pPr>
            <w:r>
              <w:rPr>
                <w:b/>
                <w:sz w:val="18"/>
              </w:rPr>
              <w:t>Partido</w:t>
            </w:r>
          </w:p>
        </w:tc>
        <w:tc>
          <w:tcPr>
            <w:tcW w:w="773" w:type="dxa"/>
            <w:shd w:val="clear" w:color="auto" w:fill="92D050"/>
          </w:tcPr>
          <w:p>
            <w:pPr>
              <w:pStyle w:val="TableParagraph"/>
              <w:spacing w:before="7"/>
              <w:jc w:val="left"/>
              <w:rPr>
                <w:rFonts w:ascii="Calibri"/>
                <w:sz w:val="16"/>
              </w:rPr>
            </w:pPr>
          </w:p>
          <w:p>
            <w:pPr>
              <w:pStyle w:val="TableParagraph"/>
              <w:spacing w:before="1"/>
              <w:ind w:left="46" w:right="46"/>
              <w:rPr>
                <w:b/>
                <w:sz w:val="18"/>
              </w:rPr>
            </w:pPr>
            <w:r>
              <w:rPr>
                <w:b/>
                <w:sz w:val="18"/>
              </w:rPr>
              <w:t>Genero</w:t>
            </w:r>
          </w:p>
        </w:tc>
        <w:tc>
          <w:tcPr>
            <w:tcW w:w="2528" w:type="dxa"/>
            <w:shd w:val="clear" w:color="auto" w:fill="92D050"/>
          </w:tcPr>
          <w:p>
            <w:pPr>
              <w:pStyle w:val="TableParagraph"/>
              <w:spacing w:before="7"/>
              <w:jc w:val="left"/>
              <w:rPr>
                <w:rFonts w:ascii="Calibri"/>
                <w:sz w:val="16"/>
              </w:rPr>
            </w:pPr>
          </w:p>
          <w:p>
            <w:pPr>
              <w:pStyle w:val="TableParagraph"/>
              <w:spacing w:before="1"/>
              <w:ind w:left="347"/>
              <w:jc w:val="left"/>
              <w:rPr>
                <w:b/>
                <w:sz w:val="18"/>
              </w:rPr>
            </w:pPr>
            <w:r>
              <w:rPr>
                <w:b/>
                <w:sz w:val="18"/>
              </w:rPr>
              <w:t>Municipio gobernado</w:t>
            </w:r>
          </w:p>
        </w:tc>
        <w:tc>
          <w:tcPr>
            <w:tcW w:w="1577" w:type="dxa"/>
            <w:shd w:val="clear" w:color="auto" w:fill="92D050"/>
          </w:tcPr>
          <w:p>
            <w:pPr>
              <w:pStyle w:val="TableParagraph"/>
              <w:spacing w:line="206" w:lineRule="exact" w:before="1"/>
              <w:ind w:left="196" w:right="181" w:firstLine="376"/>
              <w:jc w:val="left"/>
              <w:rPr>
                <w:b/>
                <w:sz w:val="18"/>
              </w:rPr>
            </w:pPr>
            <w:r>
              <w:rPr>
                <w:b/>
                <w:sz w:val="18"/>
              </w:rPr>
              <w:t>% de cumplimiento</w:t>
            </w:r>
          </w:p>
        </w:tc>
        <w:tc>
          <w:tcPr>
            <w:tcW w:w="1493" w:type="dxa"/>
            <w:shd w:val="clear" w:color="auto" w:fill="92D050"/>
          </w:tcPr>
          <w:p>
            <w:pPr>
              <w:pStyle w:val="TableParagraph"/>
              <w:spacing w:line="206" w:lineRule="exact" w:before="1"/>
              <w:ind w:left="158" w:right="135" w:firstLine="38"/>
              <w:jc w:val="left"/>
              <w:rPr>
                <w:b/>
                <w:sz w:val="18"/>
              </w:rPr>
            </w:pPr>
            <w:r>
              <w:rPr>
                <w:b/>
                <w:sz w:val="18"/>
              </w:rPr>
              <w:t>Promedio de cumplimiento</w:t>
            </w:r>
          </w:p>
        </w:tc>
      </w:tr>
      <w:tr>
        <w:trPr>
          <w:trHeight w:val="322" w:hRule="exact"/>
        </w:trPr>
        <w:tc>
          <w:tcPr>
            <w:tcW w:w="2270" w:type="dxa"/>
            <w:vMerge w:val="restart"/>
          </w:tcPr>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spacing w:before="7"/>
              <w:jc w:val="left"/>
              <w:rPr>
                <w:rFonts w:ascii="Calibri"/>
                <w:sz w:val="13"/>
              </w:rPr>
            </w:pPr>
          </w:p>
          <w:p>
            <w:pPr>
              <w:pStyle w:val="TableParagraph"/>
              <w:ind w:left="117"/>
              <w:jc w:val="left"/>
              <w:rPr>
                <w:sz w:val="18"/>
              </w:rPr>
            </w:pPr>
            <w:r>
              <w:rPr>
                <w:sz w:val="18"/>
              </w:rPr>
              <w:t>PRI-PVEM-NA-PSD-PFD</w:t>
            </w:r>
          </w:p>
        </w:tc>
        <w:tc>
          <w:tcPr>
            <w:tcW w:w="773" w:type="dxa"/>
          </w:tcPr>
          <w:p>
            <w:pPr>
              <w:pStyle w:val="TableParagraph"/>
              <w:spacing w:line="206" w:lineRule="exact"/>
              <w:ind w:right="2"/>
              <w:rPr>
                <w:sz w:val="18"/>
              </w:rPr>
            </w:pPr>
            <w:r>
              <w:rPr>
                <w:w w:val="99"/>
                <w:sz w:val="18"/>
              </w:rPr>
              <w:t>1</w:t>
            </w:r>
          </w:p>
        </w:tc>
        <w:tc>
          <w:tcPr>
            <w:tcW w:w="2528" w:type="dxa"/>
          </w:tcPr>
          <w:p>
            <w:pPr>
              <w:pStyle w:val="TableParagraph"/>
              <w:spacing w:line="201" w:lineRule="exact"/>
              <w:ind w:left="64"/>
              <w:jc w:val="left"/>
              <w:rPr>
                <w:b/>
                <w:sz w:val="18"/>
              </w:rPr>
            </w:pPr>
            <w:r>
              <w:rPr>
                <w:b/>
                <w:color w:val="181818"/>
                <w:sz w:val="18"/>
              </w:rPr>
              <w:t>Tlalmanalco</w:t>
            </w:r>
          </w:p>
        </w:tc>
        <w:tc>
          <w:tcPr>
            <w:tcW w:w="1577" w:type="dxa"/>
          </w:tcPr>
          <w:p>
            <w:pPr>
              <w:pStyle w:val="TableParagraph"/>
              <w:spacing w:line="206" w:lineRule="exact"/>
              <w:ind w:left="407" w:right="406"/>
              <w:rPr>
                <w:sz w:val="18"/>
              </w:rPr>
            </w:pPr>
            <w:r>
              <w:rPr>
                <w:color w:val="333333"/>
                <w:sz w:val="18"/>
              </w:rPr>
              <w:t>3.80%</w:t>
            </w:r>
          </w:p>
        </w:tc>
        <w:tc>
          <w:tcPr>
            <w:tcW w:w="1493" w:type="dxa"/>
            <w:vMerge w:val="restart"/>
          </w:tcPr>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jc w:val="left"/>
              <w:rPr>
                <w:rFonts w:ascii="Calibri"/>
                <w:sz w:val="18"/>
              </w:rPr>
            </w:pPr>
          </w:p>
          <w:p>
            <w:pPr>
              <w:pStyle w:val="TableParagraph"/>
              <w:spacing w:before="7"/>
              <w:jc w:val="left"/>
              <w:rPr>
                <w:rFonts w:ascii="Calibri"/>
                <w:sz w:val="13"/>
              </w:rPr>
            </w:pPr>
          </w:p>
          <w:p>
            <w:pPr>
              <w:pStyle w:val="TableParagraph"/>
              <w:ind w:left="439" w:right="135"/>
              <w:jc w:val="left"/>
              <w:rPr>
                <w:sz w:val="18"/>
              </w:rPr>
            </w:pPr>
            <w:r>
              <w:rPr>
                <w:sz w:val="18"/>
              </w:rPr>
              <w:t>28.09%</w:t>
            </w:r>
          </w:p>
        </w:tc>
      </w:tr>
      <w:tr>
        <w:trPr>
          <w:trHeight w:val="319" w:hRule="exact"/>
        </w:trPr>
        <w:tc>
          <w:tcPr>
            <w:tcW w:w="2270" w:type="dxa"/>
            <w:vMerge/>
          </w:tcPr>
          <w:p>
            <w:pPr/>
          </w:p>
        </w:tc>
        <w:tc>
          <w:tcPr>
            <w:tcW w:w="773" w:type="dxa"/>
          </w:tcPr>
          <w:p>
            <w:pPr>
              <w:pStyle w:val="TableParagraph"/>
              <w:spacing w:line="206" w:lineRule="exact"/>
              <w:ind w:right="2"/>
              <w:rPr>
                <w:sz w:val="18"/>
              </w:rPr>
            </w:pPr>
            <w:r>
              <w:rPr>
                <w:w w:val="99"/>
                <w:sz w:val="18"/>
              </w:rPr>
              <w:t>1</w:t>
            </w:r>
          </w:p>
        </w:tc>
        <w:tc>
          <w:tcPr>
            <w:tcW w:w="2528" w:type="dxa"/>
          </w:tcPr>
          <w:p>
            <w:pPr>
              <w:pStyle w:val="TableParagraph"/>
              <w:spacing w:line="201" w:lineRule="exact"/>
              <w:ind w:left="64"/>
              <w:jc w:val="left"/>
              <w:rPr>
                <w:b/>
                <w:sz w:val="18"/>
              </w:rPr>
            </w:pPr>
            <w:r>
              <w:rPr>
                <w:b/>
                <w:color w:val="181818"/>
                <w:sz w:val="18"/>
              </w:rPr>
              <w:t>Tlalnepantla de Baz</w:t>
            </w:r>
          </w:p>
        </w:tc>
        <w:tc>
          <w:tcPr>
            <w:tcW w:w="1577" w:type="dxa"/>
          </w:tcPr>
          <w:p>
            <w:pPr>
              <w:pStyle w:val="TableParagraph"/>
              <w:spacing w:line="206" w:lineRule="exact"/>
              <w:ind w:left="407" w:right="408"/>
              <w:rPr>
                <w:sz w:val="18"/>
              </w:rPr>
            </w:pPr>
            <w:r>
              <w:rPr>
                <w:color w:val="333333"/>
                <w:sz w:val="18"/>
              </w:rPr>
              <w:t>88.46%</w:t>
            </w:r>
          </w:p>
        </w:tc>
        <w:tc>
          <w:tcPr>
            <w:tcW w:w="1493" w:type="dxa"/>
            <w:vMerge/>
          </w:tcPr>
          <w:p>
            <w:pPr/>
          </w:p>
        </w:tc>
      </w:tr>
      <w:tr>
        <w:trPr>
          <w:trHeight w:val="322" w:hRule="exact"/>
        </w:trPr>
        <w:tc>
          <w:tcPr>
            <w:tcW w:w="2270" w:type="dxa"/>
            <w:vMerge/>
          </w:tcPr>
          <w:p>
            <w:pPr/>
          </w:p>
        </w:tc>
        <w:tc>
          <w:tcPr>
            <w:tcW w:w="773" w:type="dxa"/>
          </w:tcPr>
          <w:p>
            <w:pPr>
              <w:pStyle w:val="TableParagraph"/>
              <w:spacing w:line="206" w:lineRule="exact"/>
              <w:ind w:right="2"/>
              <w:rPr>
                <w:sz w:val="18"/>
              </w:rPr>
            </w:pPr>
            <w:r>
              <w:rPr>
                <w:w w:val="99"/>
                <w:sz w:val="18"/>
              </w:rPr>
              <w:t>2</w:t>
            </w:r>
          </w:p>
        </w:tc>
        <w:tc>
          <w:tcPr>
            <w:tcW w:w="2528" w:type="dxa"/>
          </w:tcPr>
          <w:p>
            <w:pPr>
              <w:pStyle w:val="TableParagraph"/>
              <w:spacing w:line="201" w:lineRule="exact"/>
              <w:ind w:left="64"/>
              <w:jc w:val="left"/>
              <w:rPr>
                <w:b/>
                <w:sz w:val="18"/>
              </w:rPr>
            </w:pPr>
            <w:r>
              <w:rPr>
                <w:b/>
                <w:color w:val="181818"/>
                <w:sz w:val="18"/>
              </w:rPr>
              <w:t>Toluca</w:t>
            </w:r>
          </w:p>
        </w:tc>
        <w:tc>
          <w:tcPr>
            <w:tcW w:w="1577" w:type="dxa"/>
          </w:tcPr>
          <w:p>
            <w:pPr>
              <w:pStyle w:val="TableParagraph"/>
              <w:spacing w:line="206" w:lineRule="exact"/>
              <w:ind w:left="407" w:right="408"/>
              <w:rPr>
                <w:sz w:val="18"/>
              </w:rPr>
            </w:pPr>
            <w:r>
              <w:rPr>
                <w:color w:val="333333"/>
                <w:sz w:val="18"/>
              </w:rPr>
              <w:t>100.00%</w:t>
            </w:r>
          </w:p>
        </w:tc>
        <w:tc>
          <w:tcPr>
            <w:tcW w:w="1493" w:type="dxa"/>
            <w:vMerge/>
          </w:tcPr>
          <w:p>
            <w:pPr/>
          </w:p>
        </w:tc>
      </w:tr>
      <w:tr>
        <w:trPr>
          <w:trHeight w:val="319" w:hRule="exact"/>
        </w:trPr>
        <w:tc>
          <w:tcPr>
            <w:tcW w:w="2270" w:type="dxa"/>
            <w:vMerge/>
          </w:tcPr>
          <w:p>
            <w:pPr/>
          </w:p>
        </w:tc>
        <w:tc>
          <w:tcPr>
            <w:tcW w:w="773" w:type="dxa"/>
          </w:tcPr>
          <w:p>
            <w:pPr>
              <w:pStyle w:val="TableParagraph"/>
              <w:spacing w:line="206" w:lineRule="exact"/>
              <w:ind w:right="2"/>
              <w:rPr>
                <w:sz w:val="18"/>
              </w:rPr>
            </w:pPr>
            <w:r>
              <w:rPr>
                <w:w w:val="99"/>
                <w:sz w:val="18"/>
              </w:rPr>
              <w:t>1</w:t>
            </w:r>
          </w:p>
        </w:tc>
        <w:tc>
          <w:tcPr>
            <w:tcW w:w="2528" w:type="dxa"/>
          </w:tcPr>
          <w:p>
            <w:pPr>
              <w:pStyle w:val="TableParagraph"/>
              <w:spacing w:line="201" w:lineRule="exact"/>
              <w:ind w:left="64"/>
              <w:jc w:val="left"/>
              <w:rPr>
                <w:b/>
                <w:sz w:val="18"/>
              </w:rPr>
            </w:pPr>
            <w:r>
              <w:rPr>
                <w:b/>
                <w:color w:val="181818"/>
                <w:sz w:val="18"/>
              </w:rPr>
              <w:t>Tultitlán</w:t>
            </w:r>
          </w:p>
        </w:tc>
        <w:tc>
          <w:tcPr>
            <w:tcW w:w="1577" w:type="dxa"/>
          </w:tcPr>
          <w:p>
            <w:pPr>
              <w:pStyle w:val="TableParagraph"/>
              <w:spacing w:line="206" w:lineRule="exact"/>
              <w:ind w:left="407" w:right="408"/>
              <w:rPr>
                <w:sz w:val="18"/>
              </w:rPr>
            </w:pPr>
            <w:r>
              <w:rPr>
                <w:color w:val="333333"/>
                <w:sz w:val="18"/>
              </w:rPr>
              <w:t>69.23%</w:t>
            </w:r>
          </w:p>
        </w:tc>
        <w:tc>
          <w:tcPr>
            <w:tcW w:w="1493" w:type="dxa"/>
            <w:vMerge/>
          </w:tcPr>
          <w:p>
            <w:pPr/>
          </w:p>
        </w:tc>
      </w:tr>
      <w:tr>
        <w:trPr>
          <w:trHeight w:val="322" w:hRule="exact"/>
        </w:trPr>
        <w:tc>
          <w:tcPr>
            <w:tcW w:w="2270" w:type="dxa"/>
            <w:vMerge/>
          </w:tcPr>
          <w:p>
            <w:pPr/>
          </w:p>
        </w:tc>
        <w:tc>
          <w:tcPr>
            <w:tcW w:w="773" w:type="dxa"/>
          </w:tcPr>
          <w:p>
            <w:pPr>
              <w:pStyle w:val="TableParagraph"/>
              <w:spacing w:line="206" w:lineRule="exact"/>
              <w:ind w:right="2"/>
              <w:rPr>
                <w:sz w:val="18"/>
              </w:rPr>
            </w:pPr>
            <w:r>
              <w:rPr>
                <w:w w:val="99"/>
                <w:sz w:val="18"/>
              </w:rPr>
              <w:t>1</w:t>
            </w:r>
          </w:p>
        </w:tc>
        <w:tc>
          <w:tcPr>
            <w:tcW w:w="2528" w:type="dxa"/>
          </w:tcPr>
          <w:p>
            <w:pPr>
              <w:pStyle w:val="TableParagraph"/>
              <w:spacing w:line="201" w:lineRule="exact"/>
              <w:ind w:left="64"/>
              <w:jc w:val="left"/>
              <w:rPr>
                <w:b/>
                <w:sz w:val="18"/>
              </w:rPr>
            </w:pPr>
            <w:r>
              <w:rPr>
                <w:b/>
                <w:color w:val="181818"/>
                <w:sz w:val="18"/>
              </w:rPr>
              <w:t>Valle de Bravo</w:t>
            </w:r>
          </w:p>
        </w:tc>
        <w:tc>
          <w:tcPr>
            <w:tcW w:w="1577" w:type="dxa"/>
          </w:tcPr>
          <w:p>
            <w:pPr>
              <w:pStyle w:val="TableParagraph"/>
              <w:spacing w:line="206" w:lineRule="exact"/>
              <w:ind w:left="407" w:right="408"/>
              <w:rPr>
                <w:sz w:val="18"/>
              </w:rPr>
            </w:pPr>
            <w:r>
              <w:rPr>
                <w:color w:val="333333"/>
                <w:sz w:val="18"/>
              </w:rPr>
              <w:t>11.53%</w:t>
            </w:r>
          </w:p>
        </w:tc>
        <w:tc>
          <w:tcPr>
            <w:tcW w:w="1493" w:type="dxa"/>
            <w:vMerge/>
          </w:tcPr>
          <w:p>
            <w:pPr/>
          </w:p>
        </w:tc>
      </w:tr>
      <w:tr>
        <w:trPr>
          <w:trHeight w:val="319" w:hRule="exact"/>
        </w:trPr>
        <w:tc>
          <w:tcPr>
            <w:tcW w:w="2270" w:type="dxa"/>
            <w:vMerge/>
          </w:tcPr>
          <w:p>
            <w:pPr/>
          </w:p>
        </w:tc>
        <w:tc>
          <w:tcPr>
            <w:tcW w:w="773" w:type="dxa"/>
          </w:tcPr>
          <w:p>
            <w:pPr>
              <w:pStyle w:val="TableParagraph"/>
              <w:spacing w:line="206" w:lineRule="exact"/>
              <w:ind w:right="2"/>
              <w:rPr>
                <w:sz w:val="18"/>
              </w:rPr>
            </w:pPr>
            <w:r>
              <w:rPr>
                <w:w w:val="99"/>
                <w:sz w:val="18"/>
              </w:rPr>
              <w:t>1</w:t>
            </w:r>
          </w:p>
        </w:tc>
        <w:tc>
          <w:tcPr>
            <w:tcW w:w="2528" w:type="dxa"/>
          </w:tcPr>
          <w:p>
            <w:pPr>
              <w:pStyle w:val="TableParagraph"/>
              <w:spacing w:line="206" w:lineRule="exact"/>
              <w:ind w:left="64"/>
              <w:jc w:val="left"/>
              <w:rPr>
                <w:sz w:val="18"/>
              </w:rPr>
            </w:pPr>
            <w:r>
              <w:rPr>
                <w:color w:val="181818"/>
                <w:sz w:val="18"/>
              </w:rPr>
              <w:t>Villa de Allende</w:t>
            </w:r>
          </w:p>
        </w:tc>
        <w:tc>
          <w:tcPr>
            <w:tcW w:w="1577" w:type="dxa"/>
          </w:tcPr>
          <w:p>
            <w:pPr/>
          </w:p>
        </w:tc>
        <w:tc>
          <w:tcPr>
            <w:tcW w:w="1493" w:type="dxa"/>
            <w:vMerge/>
          </w:tcPr>
          <w:p>
            <w:pPr/>
          </w:p>
        </w:tc>
      </w:tr>
      <w:tr>
        <w:trPr>
          <w:trHeight w:val="322" w:hRule="exact"/>
        </w:trPr>
        <w:tc>
          <w:tcPr>
            <w:tcW w:w="2270" w:type="dxa"/>
            <w:vMerge/>
          </w:tcPr>
          <w:p>
            <w:pPr/>
          </w:p>
        </w:tc>
        <w:tc>
          <w:tcPr>
            <w:tcW w:w="773" w:type="dxa"/>
          </w:tcPr>
          <w:p>
            <w:pPr>
              <w:pStyle w:val="TableParagraph"/>
              <w:spacing w:line="206" w:lineRule="exact"/>
              <w:ind w:right="2"/>
              <w:rPr>
                <w:sz w:val="18"/>
              </w:rPr>
            </w:pPr>
            <w:r>
              <w:rPr>
                <w:w w:val="99"/>
                <w:sz w:val="18"/>
              </w:rPr>
              <w:t>1</w:t>
            </w:r>
          </w:p>
        </w:tc>
        <w:tc>
          <w:tcPr>
            <w:tcW w:w="2528" w:type="dxa"/>
          </w:tcPr>
          <w:p>
            <w:pPr>
              <w:pStyle w:val="TableParagraph"/>
              <w:spacing w:line="206" w:lineRule="exact"/>
              <w:ind w:left="64"/>
              <w:jc w:val="left"/>
              <w:rPr>
                <w:sz w:val="18"/>
              </w:rPr>
            </w:pPr>
            <w:r>
              <w:rPr>
                <w:color w:val="181818"/>
                <w:sz w:val="18"/>
              </w:rPr>
              <w:t>Villa del Carbón</w:t>
            </w:r>
          </w:p>
        </w:tc>
        <w:tc>
          <w:tcPr>
            <w:tcW w:w="1577" w:type="dxa"/>
          </w:tcPr>
          <w:p>
            <w:pPr/>
          </w:p>
        </w:tc>
        <w:tc>
          <w:tcPr>
            <w:tcW w:w="1493" w:type="dxa"/>
            <w:vMerge/>
          </w:tcPr>
          <w:p>
            <w:pPr/>
          </w:p>
        </w:tc>
      </w:tr>
      <w:tr>
        <w:trPr>
          <w:trHeight w:val="320" w:hRule="exact"/>
        </w:trPr>
        <w:tc>
          <w:tcPr>
            <w:tcW w:w="2270" w:type="dxa"/>
            <w:vMerge/>
          </w:tcPr>
          <w:p>
            <w:pPr/>
          </w:p>
        </w:tc>
        <w:tc>
          <w:tcPr>
            <w:tcW w:w="773" w:type="dxa"/>
          </w:tcPr>
          <w:p>
            <w:pPr>
              <w:pStyle w:val="TableParagraph"/>
              <w:spacing w:line="206" w:lineRule="exact"/>
              <w:ind w:right="2"/>
              <w:rPr>
                <w:sz w:val="18"/>
              </w:rPr>
            </w:pPr>
            <w:r>
              <w:rPr>
                <w:w w:val="99"/>
                <w:sz w:val="18"/>
              </w:rPr>
              <w:t>1</w:t>
            </w:r>
          </w:p>
        </w:tc>
        <w:tc>
          <w:tcPr>
            <w:tcW w:w="2528" w:type="dxa"/>
          </w:tcPr>
          <w:p>
            <w:pPr>
              <w:pStyle w:val="TableParagraph"/>
              <w:spacing w:line="201" w:lineRule="exact"/>
              <w:ind w:left="64"/>
              <w:jc w:val="left"/>
              <w:rPr>
                <w:b/>
                <w:sz w:val="18"/>
              </w:rPr>
            </w:pPr>
            <w:r>
              <w:rPr>
                <w:b/>
                <w:color w:val="181818"/>
                <w:sz w:val="18"/>
              </w:rPr>
              <w:t>Villa Victoria</w:t>
            </w:r>
          </w:p>
        </w:tc>
        <w:tc>
          <w:tcPr>
            <w:tcW w:w="1577" w:type="dxa"/>
          </w:tcPr>
          <w:p>
            <w:pPr>
              <w:pStyle w:val="TableParagraph"/>
              <w:spacing w:line="206" w:lineRule="exact"/>
              <w:ind w:left="407" w:right="408"/>
              <w:rPr>
                <w:sz w:val="18"/>
              </w:rPr>
            </w:pPr>
            <w:r>
              <w:rPr>
                <w:color w:val="333333"/>
                <w:sz w:val="18"/>
              </w:rPr>
              <w:t>26.90%</w:t>
            </w:r>
          </w:p>
        </w:tc>
        <w:tc>
          <w:tcPr>
            <w:tcW w:w="1493" w:type="dxa"/>
            <w:vMerge/>
          </w:tcPr>
          <w:p>
            <w:pPr/>
          </w:p>
        </w:tc>
      </w:tr>
      <w:tr>
        <w:trPr>
          <w:trHeight w:val="322" w:hRule="exact"/>
        </w:trPr>
        <w:tc>
          <w:tcPr>
            <w:tcW w:w="2270" w:type="dxa"/>
            <w:vMerge/>
          </w:tcPr>
          <w:p>
            <w:pPr/>
          </w:p>
        </w:tc>
        <w:tc>
          <w:tcPr>
            <w:tcW w:w="773" w:type="dxa"/>
          </w:tcPr>
          <w:p>
            <w:pPr>
              <w:pStyle w:val="TableParagraph"/>
              <w:spacing w:before="1"/>
              <w:ind w:right="2"/>
              <w:rPr>
                <w:sz w:val="18"/>
              </w:rPr>
            </w:pPr>
            <w:r>
              <w:rPr>
                <w:w w:val="99"/>
                <w:sz w:val="18"/>
              </w:rPr>
              <w:t>1</w:t>
            </w:r>
          </w:p>
        </w:tc>
        <w:tc>
          <w:tcPr>
            <w:tcW w:w="2528" w:type="dxa"/>
          </w:tcPr>
          <w:p>
            <w:pPr>
              <w:pStyle w:val="TableParagraph"/>
              <w:spacing w:before="1"/>
              <w:ind w:left="64"/>
              <w:jc w:val="left"/>
              <w:rPr>
                <w:sz w:val="18"/>
              </w:rPr>
            </w:pPr>
            <w:r>
              <w:rPr>
                <w:color w:val="181818"/>
                <w:sz w:val="18"/>
              </w:rPr>
              <w:t>Xonacatlán</w:t>
            </w:r>
          </w:p>
        </w:tc>
        <w:tc>
          <w:tcPr>
            <w:tcW w:w="1577" w:type="dxa"/>
          </w:tcPr>
          <w:p>
            <w:pPr/>
          </w:p>
        </w:tc>
        <w:tc>
          <w:tcPr>
            <w:tcW w:w="1493" w:type="dxa"/>
            <w:vMerge/>
          </w:tcPr>
          <w:p>
            <w:pPr/>
          </w:p>
        </w:tc>
      </w:tr>
      <w:tr>
        <w:trPr>
          <w:trHeight w:val="319" w:hRule="exact"/>
        </w:trPr>
        <w:tc>
          <w:tcPr>
            <w:tcW w:w="2270" w:type="dxa"/>
            <w:vMerge/>
          </w:tcPr>
          <w:p>
            <w:pPr/>
          </w:p>
        </w:tc>
        <w:tc>
          <w:tcPr>
            <w:tcW w:w="773" w:type="dxa"/>
          </w:tcPr>
          <w:p>
            <w:pPr>
              <w:pStyle w:val="TableParagraph"/>
              <w:spacing w:line="206" w:lineRule="exact"/>
              <w:ind w:right="2"/>
              <w:rPr>
                <w:sz w:val="18"/>
              </w:rPr>
            </w:pPr>
            <w:r>
              <w:rPr>
                <w:w w:val="99"/>
                <w:sz w:val="18"/>
              </w:rPr>
              <w:t>1</w:t>
            </w:r>
          </w:p>
        </w:tc>
        <w:tc>
          <w:tcPr>
            <w:tcW w:w="2528" w:type="dxa"/>
          </w:tcPr>
          <w:p>
            <w:pPr>
              <w:pStyle w:val="TableParagraph"/>
              <w:spacing w:line="206" w:lineRule="exact"/>
              <w:ind w:left="64"/>
              <w:jc w:val="left"/>
              <w:rPr>
                <w:sz w:val="18"/>
              </w:rPr>
            </w:pPr>
            <w:r>
              <w:rPr>
                <w:color w:val="181818"/>
                <w:sz w:val="18"/>
              </w:rPr>
              <w:t>Zumpahuacán</w:t>
            </w:r>
          </w:p>
        </w:tc>
        <w:tc>
          <w:tcPr>
            <w:tcW w:w="1577" w:type="dxa"/>
          </w:tcPr>
          <w:p>
            <w:pPr/>
          </w:p>
        </w:tc>
        <w:tc>
          <w:tcPr>
            <w:tcW w:w="1493" w:type="dxa"/>
            <w:vMerge/>
          </w:tcPr>
          <w:p>
            <w:pPr/>
          </w:p>
        </w:tc>
      </w:tr>
      <w:tr>
        <w:trPr>
          <w:trHeight w:val="322" w:hRule="exact"/>
        </w:trPr>
        <w:tc>
          <w:tcPr>
            <w:tcW w:w="2270" w:type="dxa"/>
            <w:vMerge/>
          </w:tcPr>
          <w:p>
            <w:pPr/>
          </w:p>
        </w:tc>
        <w:tc>
          <w:tcPr>
            <w:tcW w:w="773" w:type="dxa"/>
          </w:tcPr>
          <w:p>
            <w:pPr>
              <w:pStyle w:val="TableParagraph"/>
              <w:spacing w:before="1"/>
              <w:ind w:right="2"/>
              <w:rPr>
                <w:sz w:val="18"/>
              </w:rPr>
            </w:pPr>
            <w:r>
              <w:rPr>
                <w:w w:val="99"/>
                <w:sz w:val="18"/>
              </w:rPr>
              <w:t>2</w:t>
            </w:r>
          </w:p>
        </w:tc>
        <w:tc>
          <w:tcPr>
            <w:tcW w:w="2528" w:type="dxa"/>
          </w:tcPr>
          <w:p>
            <w:pPr>
              <w:pStyle w:val="TableParagraph"/>
              <w:spacing w:line="204" w:lineRule="exact"/>
              <w:ind w:left="64"/>
              <w:jc w:val="left"/>
              <w:rPr>
                <w:b/>
                <w:sz w:val="18"/>
              </w:rPr>
            </w:pPr>
            <w:r>
              <w:rPr>
                <w:b/>
                <w:color w:val="181818"/>
                <w:sz w:val="18"/>
              </w:rPr>
              <w:t>Cuautitlán Izcalli</w:t>
            </w:r>
          </w:p>
        </w:tc>
        <w:tc>
          <w:tcPr>
            <w:tcW w:w="1577" w:type="dxa"/>
          </w:tcPr>
          <w:p>
            <w:pPr>
              <w:pStyle w:val="TableParagraph"/>
              <w:spacing w:before="1"/>
              <w:ind w:left="407" w:right="408"/>
              <w:rPr>
                <w:sz w:val="18"/>
              </w:rPr>
            </w:pPr>
            <w:r>
              <w:rPr>
                <w:color w:val="333333"/>
                <w:sz w:val="18"/>
              </w:rPr>
              <w:t>65.30%</w:t>
            </w:r>
          </w:p>
        </w:tc>
        <w:tc>
          <w:tcPr>
            <w:tcW w:w="1493" w:type="dxa"/>
            <w:vMerge/>
          </w:tcPr>
          <w:p>
            <w:pPr/>
          </w:p>
        </w:tc>
      </w:tr>
      <w:tr>
        <w:trPr>
          <w:trHeight w:val="322" w:hRule="exact"/>
        </w:trPr>
        <w:tc>
          <w:tcPr>
            <w:tcW w:w="2270" w:type="dxa"/>
            <w:vMerge/>
          </w:tcPr>
          <w:p>
            <w:pPr/>
          </w:p>
        </w:tc>
        <w:tc>
          <w:tcPr>
            <w:tcW w:w="773" w:type="dxa"/>
          </w:tcPr>
          <w:p>
            <w:pPr>
              <w:pStyle w:val="TableParagraph"/>
              <w:spacing w:line="206" w:lineRule="exact"/>
              <w:ind w:right="2"/>
              <w:rPr>
                <w:sz w:val="18"/>
              </w:rPr>
            </w:pPr>
            <w:r>
              <w:rPr>
                <w:w w:val="99"/>
                <w:sz w:val="18"/>
              </w:rPr>
              <w:t>1</w:t>
            </w:r>
          </w:p>
        </w:tc>
        <w:tc>
          <w:tcPr>
            <w:tcW w:w="2528" w:type="dxa"/>
          </w:tcPr>
          <w:p>
            <w:pPr>
              <w:pStyle w:val="TableParagraph"/>
              <w:spacing w:line="201" w:lineRule="exact"/>
              <w:ind w:left="64"/>
              <w:jc w:val="left"/>
              <w:rPr>
                <w:b/>
                <w:sz w:val="18"/>
              </w:rPr>
            </w:pPr>
            <w:r>
              <w:rPr>
                <w:b/>
                <w:color w:val="181818"/>
                <w:sz w:val="18"/>
              </w:rPr>
              <w:t>Valle de Chalco Solidaridad</w:t>
            </w:r>
          </w:p>
        </w:tc>
        <w:tc>
          <w:tcPr>
            <w:tcW w:w="1577" w:type="dxa"/>
          </w:tcPr>
          <w:p>
            <w:pPr>
              <w:pStyle w:val="TableParagraph"/>
              <w:spacing w:line="206" w:lineRule="exact"/>
              <w:ind w:left="407" w:right="406"/>
              <w:rPr>
                <w:sz w:val="18"/>
              </w:rPr>
            </w:pPr>
            <w:r>
              <w:rPr>
                <w:color w:val="333333"/>
                <w:sz w:val="18"/>
              </w:rPr>
              <w:t>7.60%</w:t>
            </w:r>
          </w:p>
        </w:tc>
        <w:tc>
          <w:tcPr>
            <w:tcW w:w="1493" w:type="dxa"/>
            <w:vMerge/>
          </w:tcPr>
          <w:p>
            <w:pPr/>
          </w:p>
        </w:tc>
      </w:tr>
      <w:tr>
        <w:trPr>
          <w:trHeight w:val="324" w:hRule="exact"/>
        </w:trPr>
        <w:tc>
          <w:tcPr>
            <w:tcW w:w="2270" w:type="dxa"/>
            <w:vMerge/>
          </w:tcPr>
          <w:p>
            <w:pPr/>
          </w:p>
        </w:tc>
        <w:tc>
          <w:tcPr>
            <w:tcW w:w="773" w:type="dxa"/>
          </w:tcPr>
          <w:p>
            <w:pPr>
              <w:pStyle w:val="TableParagraph"/>
              <w:spacing w:before="4"/>
              <w:ind w:right="2"/>
              <w:rPr>
                <w:sz w:val="18"/>
              </w:rPr>
            </w:pPr>
            <w:r>
              <w:rPr>
                <w:w w:val="99"/>
                <w:sz w:val="18"/>
              </w:rPr>
              <w:t>1</w:t>
            </w:r>
          </w:p>
        </w:tc>
        <w:tc>
          <w:tcPr>
            <w:tcW w:w="2528" w:type="dxa"/>
          </w:tcPr>
          <w:p>
            <w:pPr>
              <w:pStyle w:val="TableParagraph"/>
              <w:spacing w:line="204" w:lineRule="exact"/>
              <w:ind w:left="64"/>
              <w:jc w:val="left"/>
              <w:rPr>
                <w:b/>
                <w:sz w:val="18"/>
              </w:rPr>
            </w:pPr>
            <w:r>
              <w:rPr>
                <w:b/>
                <w:color w:val="181818"/>
                <w:sz w:val="18"/>
              </w:rPr>
              <w:t>San José del Rincón</w:t>
            </w:r>
          </w:p>
        </w:tc>
        <w:tc>
          <w:tcPr>
            <w:tcW w:w="1577" w:type="dxa"/>
          </w:tcPr>
          <w:p>
            <w:pPr>
              <w:pStyle w:val="TableParagraph"/>
              <w:spacing w:before="4"/>
              <w:ind w:left="407" w:right="408"/>
              <w:rPr>
                <w:sz w:val="18"/>
              </w:rPr>
            </w:pPr>
            <w:r>
              <w:rPr>
                <w:color w:val="333333"/>
                <w:sz w:val="18"/>
              </w:rPr>
              <w:t>61.53%</w:t>
            </w:r>
          </w:p>
        </w:tc>
        <w:tc>
          <w:tcPr>
            <w:tcW w:w="1493" w:type="dxa"/>
            <w:vMerge/>
          </w:tcPr>
          <w:p>
            <w:pPr/>
          </w:p>
        </w:tc>
      </w:tr>
      <w:tr>
        <w:trPr>
          <w:trHeight w:val="319" w:hRule="exact"/>
        </w:trPr>
        <w:tc>
          <w:tcPr>
            <w:tcW w:w="2270" w:type="dxa"/>
            <w:vMerge w:val="restart"/>
          </w:tcPr>
          <w:p>
            <w:pPr>
              <w:pStyle w:val="TableParagraph"/>
              <w:spacing w:before="3"/>
              <w:jc w:val="left"/>
              <w:rPr>
                <w:rFonts w:ascii="Calibri"/>
                <w:sz w:val="13"/>
              </w:rPr>
            </w:pPr>
          </w:p>
          <w:p>
            <w:pPr>
              <w:pStyle w:val="TableParagraph"/>
              <w:ind w:left="801" w:right="797"/>
              <w:rPr>
                <w:sz w:val="18"/>
              </w:rPr>
            </w:pPr>
            <w:r>
              <w:rPr>
                <w:sz w:val="18"/>
              </w:rPr>
              <w:t>PT</w:t>
            </w:r>
          </w:p>
        </w:tc>
        <w:tc>
          <w:tcPr>
            <w:tcW w:w="773" w:type="dxa"/>
          </w:tcPr>
          <w:p>
            <w:pPr>
              <w:pStyle w:val="TableParagraph"/>
              <w:spacing w:line="206" w:lineRule="exact"/>
              <w:ind w:right="2"/>
              <w:rPr>
                <w:sz w:val="18"/>
              </w:rPr>
            </w:pPr>
            <w:r>
              <w:rPr>
                <w:w w:val="99"/>
                <w:sz w:val="18"/>
              </w:rPr>
              <w:t>1</w:t>
            </w:r>
          </w:p>
        </w:tc>
        <w:tc>
          <w:tcPr>
            <w:tcW w:w="2528" w:type="dxa"/>
          </w:tcPr>
          <w:p>
            <w:pPr>
              <w:pStyle w:val="TableParagraph"/>
              <w:spacing w:line="201" w:lineRule="exact"/>
              <w:ind w:left="64"/>
              <w:jc w:val="left"/>
              <w:rPr>
                <w:b/>
                <w:sz w:val="18"/>
              </w:rPr>
            </w:pPr>
            <w:r>
              <w:rPr>
                <w:b/>
                <w:color w:val="181818"/>
                <w:sz w:val="18"/>
              </w:rPr>
              <w:t>Almoloya del Río</w:t>
            </w:r>
          </w:p>
        </w:tc>
        <w:tc>
          <w:tcPr>
            <w:tcW w:w="1577" w:type="dxa"/>
          </w:tcPr>
          <w:p>
            <w:pPr>
              <w:pStyle w:val="TableParagraph"/>
              <w:spacing w:line="206" w:lineRule="exact"/>
              <w:ind w:left="407" w:right="408"/>
              <w:rPr>
                <w:sz w:val="18"/>
              </w:rPr>
            </w:pPr>
            <w:r>
              <w:rPr>
                <w:color w:val="333333"/>
                <w:sz w:val="18"/>
              </w:rPr>
              <w:t>11.50%</w:t>
            </w:r>
          </w:p>
        </w:tc>
        <w:tc>
          <w:tcPr>
            <w:tcW w:w="1493" w:type="dxa"/>
            <w:vMerge w:val="restart"/>
          </w:tcPr>
          <w:p>
            <w:pPr>
              <w:pStyle w:val="TableParagraph"/>
              <w:spacing w:before="3"/>
              <w:jc w:val="left"/>
              <w:rPr>
                <w:rFonts w:ascii="Calibri"/>
                <w:sz w:val="13"/>
              </w:rPr>
            </w:pPr>
          </w:p>
          <w:p>
            <w:pPr>
              <w:pStyle w:val="TableParagraph"/>
              <w:ind w:left="439" w:right="135"/>
              <w:jc w:val="left"/>
              <w:rPr>
                <w:sz w:val="18"/>
              </w:rPr>
            </w:pPr>
            <w:r>
              <w:rPr>
                <w:sz w:val="18"/>
              </w:rPr>
              <w:t>11.50%</w:t>
            </w:r>
          </w:p>
        </w:tc>
      </w:tr>
      <w:tr>
        <w:trPr>
          <w:trHeight w:val="326" w:hRule="exact"/>
        </w:trPr>
        <w:tc>
          <w:tcPr>
            <w:tcW w:w="2270" w:type="dxa"/>
            <w:vMerge/>
          </w:tcPr>
          <w:p>
            <w:pPr/>
          </w:p>
        </w:tc>
        <w:tc>
          <w:tcPr>
            <w:tcW w:w="773" w:type="dxa"/>
          </w:tcPr>
          <w:p>
            <w:pPr>
              <w:pStyle w:val="TableParagraph"/>
              <w:spacing w:before="6"/>
              <w:ind w:right="2"/>
              <w:rPr>
                <w:sz w:val="18"/>
              </w:rPr>
            </w:pPr>
            <w:r>
              <w:rPr>
                <w:w w:val="99"/>
                <w:sz w:val="18"/>
              </w:rPr>
              <w:t>1</w:t>
            </w:r>
          </w:p>
        </w:tc>
        <w:tc>
          <w:tcPr>
            <w:tcW w:w="2528" w:type="dxa"/>
          </w:tcPr>
          <w:p>
            <w:pPr>
              <w:pStyle w:val="TableParagraph"/>
              <w:spacing w:before="6"/>
              <w:ind w:left="64"/>
              <w:jc w:val="left"/>
              <w:rPr>
                <w:sz w:val="18"/>
              </w:rPr>
            </w:pPr>
            <w:r>
              <w:rPr>
                <w:color w:val="181818"/>
                <w:sz w:val="18"/>
              </w:rPr>
              <w:t>Capulhuac</w:t>
            </w:r>
          </w:p>
        </w:tc>
        <w:tc>
          <w:tcPr>
            <w:tcW w:w="1577" w:type="dxa"/>
          </w:tcPr>
          <w:p>
            <w:pPr/>
          </w:p>
        </w:tc>
        <w:tc>
          <w:tcPr>
            <w:tcW w:w="1493" w:type="dxa"/>
            <w:vMerge/>
          </w:tcPr>
          <w:p>
            <w:pPr/>
          </w:p>
        </w:tc>
      </w:tr>
      <w:tr>
        <w:trPr>
          <w:trHeight w:val="319" w:hRule="exact"/>
        </w:trPr>
        <w:tc>
          <w:tcPr>
            <w:tcW w:w="2270" w:type="dxa"/>
            <w:vMerge w:val="restart"/>
          </w:tcPr>
          <w:p>
            <w:pPr>
              <w:pStyle w:val="TableParagraph"/>
              <w:spacing w:before="3"/>
              <w:jc w:val="left"/>
              <w:rPr>
                <w:rFonts w:ascii="Calibri"/>
                <w:sz w:val="13"/>
              </w:rPr>
            </w:pPr>
          </w:p>
          <w:p>
            <w:pPr>
              <w:pStyle w:val="TableParagraph"/>
              <w:ind w:left="256"/>
              <w:jc w:val="left"/>
              <w:rPr>
                <w:sz w:val="18"/>
              </w:rPr>
            </w:pPr>
            <w:r>
              <w:rPr>
                <w:sz w:val="18"/>
              </w:rPr>
              <w:t>PT-CONVERGENCIA</w:t>
            </w:r>
          </w:p>
        </w:tc>
        <w:tc>
          <w:tcPr>
            <w:tcW w:w="773" w:type="dxa"/>
          </w:tcPr>
          <w:p>
            <w:pPr>
              <w:pStyle w:val="TableParagraph"/>
              <w:spacing w:line="206" w:lineRule="exact"/>
              <w:ind w:right="2"/>
              <w:rPr>
                <w:sz w:val="18"/>
              </w:rPr>
            </w:pPr>
            <w:r>
              <w:rPr>
                <w:w w:val="99"/>
                <w:sz w:val="18"/>
              </w:rPr>
              <w:t>1</w:t>
            </w:r>
          </w:p>
        </w:tc>
        <w:tc>
          <w:tcPr>
            <w:tcW w:w="2528" w:type="dxa"/>
          </w:tcPr>
          <w:p>
            <w:pPr>
              <w:pStyle w:val="TableParagraph"/>
              <w:spacing w:line="206" w:lineRule="exact"/>
              <w:ind w:left="64"/>
              <w:jc w:val="left"/>
              <w:rPr>
                <w:sz w:val="18"/>
              </w:rPr>
            </w:pPr>
            <w:r>
              <w:rPr>
                <w:color w:val="181818"/>
                <w:sz w:val="18"/>
              </w:rPr>
              <w:t>Nextlalpan</w:t>
            </w:r>
          </w:p>
        </w:tc>
        <w:tc>
          <w:tcPr>
            <w:tcW w:w="1577" w:type="dxa"/>
          </w:tcPr>
          <w:p>
            <w:pPr/>
          </w:p>
        </w:tc>
        <w:tc>
          <w:tcPr>
            <w:tcW w:w="1493" w:type="dxa"/>
            <w:vMerge w:val="restart"/>
          </w:tcPr>
          <w:p>
            <w:pPr>
              <w:pStyle w:val="TableParagraph"/>
              <w:spacing w:before="3"/>
              <w:jc w:val="left"/>
              <w:rPr>
                <w:rFonts w:ascii="Calibri"/>
                <w:sz w:val="13"/>
              </w:rPr>
            </w:pPr>
          </w:p>
          <w:p>
            <w:pPr>
              <w:pStyle w:val="TableParagraph"/>
              <w:ind w:left="45" w:right="42"/>
              <w:rPr>
                <w:sz w:val="18"/>
              </w:rPr>
            </w:pPr>
            <w:r>
              <w:rPr>
                <w:sz w:val="18"/>
              </w:rPr>
              <w:t>N/A</w:t>
            </w:r>
          </w:p>
        </w:tc>
      </w:tr>
      <w:tr>
        <w:trPr>
          <w:trHeight w:val="326" w:hRule="exact"/>
        </w:trPr>
        <w:tc>
          <w:tcPr>
            <w:tcW w:w="2270" w:type="dxa"/>
            <w:vMerge/>
          </w:tcPr>
          <w:p>
            <w:pPr/>
          </w:p>
        </w:tc>
        <w:tc>
          <w:tcPr>
            <w:tcW w:w="773" w:type="dxa"/>
          </w:tcPr>
          <w:p>
            <w:pPr>
              <w:pStyle w:val="TableParagraph"/>
              <w:spacing w:before="4"/>
              <w:ind w:right="2"/>
              <w:rPr>
                <w:sz w:val="18"/>
              </w:rPr>
            </w:pPr>
            <w:r>
              <w:rPr>
                <w:w w:val="99"/>
                <w:sz w:val="18"/>
              </w:rPr>
              <w:t>1</w:t>
            </w:r>
          </w:p>
        </w:tc>
        <w:tc>
          <w:tcPr>
            <w:tcW w:w="2528" w:type="dxa"/>
          </w:tcPr>
          <w:p>
            <w:pPr>
              <w:pStyle w:val="TableParagraph"/>
              <w:spacing w:before="4"/>
              <w:ind w:left="64"/>
              <w:jc w:val="left"/>
              <w:rPr>
                <w:sz w:val="18"/>
              </w:rPr>
            </w:pPr>
            <w:r>
              <w:rPr>
                <w:color w:val="181818"/>
                <w:sz w:val="18"/>
              </w:rPr>
              <w:t>Zacualpan</w:t>
            </w:r>
          </w:p>
        </w:tc>
        <w:tc>
          <w:tcPr>
            <w:tcW w:w="1577" w:type="dxa"/>
          </w:tcPr>
          <w:p>
            <w:pPr/>
          </w:p>
        </w:tc>
        <w:tc>
          <w:tcPr>
            <w:tcW w:w="1493" w:type="dxa"/>
            <w:vMerge/>
          </w:tcPr>
          <w:p>
            <w:pPr/>
          </w:p>
        </w:tc>
      </w:tr>
    </w:tbl>
    <w:p>
      <w:pPr>
        <w:spacing w:before="1"/>
        <w:ind w:left="184" w:right="0" w:firstLine="0"/>
        <w:jc w:val="left"/>
        <w:rPr>
          <w:sz w:val="18"/>
        </w:rPr>
      </w:pPr>
      <w:r>
        <w:rPr>
          <w:sz w:val="18"/>
        </w:rPr>
        <w:t>Fuente: Elaboración propia con datos del INFOEM y del IEEM.</w:t>
      </w:r>
    </w:p>
    <w:p>
      <w:pPr>
        <w:spacing w:after="0"/>
        <w:jc w:val="left"/>
        <w:rPr>
          <w:sz w:val="18"/>
        </w:rPr>
        <w:sectPr>
          <w:pgSz w:w="12240" w:h="15840"/>
          <w:pgMar w:header="0" w:footer="975" w:top="1500" w:bottom="1160" w:left="1580" w:right="172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36"/>
        <w:gridCol w:w="862"/>
        <w:gridCol w:w="2792"/>
        <w:gridCol w:w="1673"/>
        <w:gridCol w:w="1882"/>
      </w:tblGrid>
      <w:tr>
        <w:trPr>
          <w:trHeight w:val="280" w:hRule="exact"/>
        </w:trPr>
        <w:tc>
          <w:tcPr>
            <w:tcW w:w="8745" w:type="dxa"/>
            <w:gridSpan w:val="5"/>
            <w:shd w:val="clear" w:color="auto" w:fill="92D050"/>
          </w:tcPr>
          <w:p>
            <w:pPr>
              <w:pStyle w:val="TableParagraph"/>
              <w:spacing w:before="52"/>
              <w:ind w:left="751"/>
              <w:jc w:val="left"/>
              <w:rPr>
                <w:b/>
                <w:sz w:val="18"/>
              </w:rPr>
            </w:pPr>
            <w:r>
              <w:rPr>
                <w:b/>
                <w:sz w:val="18"/>
              </w:rPr>
              <w:t>Anexo 12. Porcentaje de cumplimiento por municipio y por partido político Año 2013</w:t>
            </w:r>
          </w:p>
        </w:tc>
      </w:tr>
      <w:tr>
        <w:trPr>
          <w:trHeight w:val="629" w:hRule="exact"/>
        </w:trPr>
        <w:tc>
          <w:tcPr>
            <w:tcW w:w="1536" w:type="dxa"/>
            <w:shd w:val="clear" w:color="auto" w:fill="92D050"/>
          </w:tcPr>
          <w:p>
            <w:pPr>
              <w:pStyle w:val="TableParagraph"/>
              <w:jc w:val="left"/>
              <w:rPr>
                <w:sz w:val="17"/>
              </w:rPr>
            </w:pPr>
          </w:p>
          <w:p>
            <w:pPr>
              <w:pStyle w:val="TableParagraph"/>
              <w:ind w:left="433" w:right="432"/>
              <w:rPr>
                <w:b/>
                <w:sz w:val="18"/>
              </w:rPr>
            </w:pPr>
            <w:r>
              <w:rPr>
                <w:b/>
                <w:sz w:val="18"/>
              </w:rPr>
              <w:t>Partido</w:t>
            </w:r>
          </w:p>
        </w:tc>
        <w:tc>
          <w:tcPr>
            <w:tcW w:w="862" w:type="dxa"/>
            <w:tcBorders>
              <w:bottom w:val="single" w:sz="8" w:space="0" w:color="000000"/>
              <w:right w:val="single" w:sz="8" w:space="0" w:color="000000"/>
            </w:tcBorders>
            <w:shd w:val="clear" w:color="auto" w:fill="92D050"/>
          </w:tcPr>
          <w:p>
            <w:pPr>
              <w:pStyle w:val="TableParagraph"/>
              <w:jc w:val="left"/>
              <w:rPr>
                <w:sz w:val="17"/>
              </w:rPr>
            </w:pPr>
          </w:p>
          <w:p>
            <w:pPr>
              <w:pStyle w:val="TableParagraph"/>
              <w:ind w:left="90" w:right="87"/>
              <w:rPr>
                <w:b/>
                <w:sz w:val="18"/>
              </w:rPr>
            </w:pPr>
            <w:r>
              <w:rPr>
                <w:b/>
                <w:sz w:val="18"/>
              </w:rPr>
              <w:t>Genero</w:t>
            </w:r>
          </w:p>
        </w:tc>
        <w:tc>
          <w:tcPr>
            <w:tcW w:w="2792" w:type="dxa"/>
            <w:tcBorders>
              <w:left w:val="single" w:sz="8" w:space="0" w:color="000000"/>
              <w:bottom w:val="single" w:sz="8" w:space="0" w:color="000000"/>
              <w:right w:val="single" w:sz="8" w:space="0" w:color="000000"/>
            </w:tcBorders>
            <w:shd w:val="clear" w:color="auto" w:fill="92D050"/>
          </w:tcPr>
          <w:p>
            <w:pPr>
              <w:pStyle w:val="TableParagraph"/>
              <w:jc w:val="left"/>
              <w:rPr>
                <w:sz w:val="17"/>
              </w:rPr>
            </w:pPr>
          </w:p>
          <w:p>
            <w:pPr>
              <w:pStyle w:val="TableParagraph"/>
              <w:ind w:left="475"/>
              <w:jc w:val="left"/>
              <w:rPr>
                <w:b/>
                <w:sz w:val="18"/>
              </w:rPr>
            </w:pPr>
            <w:r>
              <w:rPr>
                <w:b/>
                <w:sz w:val="18"/>
              </w:rPr>
              <w:t>Municipio gobernado</w:t>
            </w:r>
          </w:p>
        </w:tc>
        <w:tc>
          <w:tcPr>
            <w:tcW w:w="1673" w:type="dxa"/>
            <w:tcBorders>
              <w:left w:val="single" w:sz="8" w:space="0" w:color="000000"/>
              <w:bottom w:val="single" w:sz="8" w:space="0" w:color="000000"/>
              <w:right w:val="single" w:sz="8" w:space="0" w:color="000000"/>
            </w:tcBorders>
            <w:shd w:val="clear" w:color="auto" w:fill="92D050"/>
          </w:tcPr>
          <w:p>
            <w:pPr>
              <w:pStyle w:val="TableParagraph"/>
              <w:spacing w:before="92"/>
              <w:ind w:left="239" w:right="224" w:firstLine="376"/>
              <w:jc w:val="left"/>
              <w:rPr>
                <w:b/>
                <w:sz w:val="18"/>
              </w:rPr>
            </w:pPr>
            <w:r>
              <w:rPr>
                <w:b/>
                <w:sz w:val="18"/>
              </w:rPr>
              <w:t>% de cumplimiento</w:t>
            </w:r>
          </w:p>
        </w:tc>
        <w:tc>
          <w:tcPr>
            <w:tcW w:w="1882" w:type="dxa"/>
            <w:tcBorders>
              <w:left w:val="single" w:sz="8" w:space="0" w:color="000000"/>
              <w:bottom w:val="single" w:sz="8" w:space="0" w:color="000000"/>
              <w:right w:val="single" w:sz="8" w:space="0" w:color="000000"/>
            </w:tcBorders>
            <w:shd w:val="clear" w:color="auto" w:fill="92D050"/>
          </w:tcPr>
          <w:p>
            <w:pPr>
              <w:pStyle w:val="TableParagraph"/>
              <w:spacing w:before="92"/>
              <w:ind w:left="343" w:right="329" w:firstLine="14"/>
              <w:jc w:val="left"/>
              <w:rPr>
                <w:b/>
                <w:sz w:val="18"/>
              </w:rPr>
            </w:pPr>
            <w:r>
              <w:rPr>
                <w:b/>
                <w:sz w:val="18"/>
              </w:rPr>
              <w:t>Promedio del cumplimiento</w:t>
            </w:r>
          </w:p>
        </w:tc>
      </w:tr>
      <w:tr>
        <w:trPr>
          <w:trHeight w:val="326" w:hRule="exact"/>
        </w:trPr>
        <w:tc>
          <w:tcPr>
            <w:tcW w:w="1536" w:type="dxa"/>
            <w:vMerge w:val="restart"/>
            <w:tcBorders>
              <w:left w:val="single" w:sz="8" w:space="0" w:color="000000"/>
            </w:tcBorders>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10"/>
              <w:jc w:val="left"/>
              <w:rPr>
                <w:sz w:val="17"/>
              </w:rPr>
            </w:pPr>
          </w:p>
          <w:p>
            <w:pPr>
              <w:pStyle w:val="TableParagraph"/>
              <w:ind w:left="234" w:right="236"/>
              <w:rPr>
                <w:sz w:val="18"/>
              </w:rPr>
            </w:pPr>
            <w:r>
              <w:rPr>
                <w:sz w:val="18"/>
              </w:rPr>
              <w:t>PAN</w:t>
            </w:r>
          </w:p>
        </w:tc>
        <w:tc>
          <w:tcPr>
            <w:tcW w:w="862" w:type="dxa"/>
            <w:tcBorders>
              <w:top w:val="single" w:sz="8" w:space="0" w:color="000000"/>
            </w:tcBorders>
          </w:tcPr>
          <w:p>
            <w:pPr>
              <w:pStyle w:val="TableParagraph"/>
              <w:spacing w:line="203" w:lineRule="exact"/>
              <w:ind w:right="1"/>
              <w:rPr>
                <w:sz w:val="18"/>
              </w:rPr>
            </w:pPr>
            <w:r>
              <w:rPr>
                <w:color w:val="181818"/>
                <w:w w:val="99"/>
                <w:sz w:val="18"/>
              </w:rPr>
              <w:t>1</w:t>
            </w:r>
          </w:p>
        </w:tc>
        <w:tc>
          <w:tcPr>
            <w:tcW w:w="2792" w:type="dxa"/>
            <w:tcBorders>
              <w:top w:val="single" w:sz="8" w:space="0" w:color="000000"/>
            </w:tcBorders>
          </w:tcPr>
          <w:p>
            <w:pPr>
              <w:pStyle w:val="TableParagraph"/>
              <w:spacing w:line="203" w:lineRule="exact"/>
              <w:ind w:left="64"/>
              <w:jc w:val="left"/>
              <w:rPr>
                <w:sz w:val="18"/>
              </w:rPr>
            </w:pPr>
            <w:r>
              <w:rPr>
                <w:color w:val="181818"/>
                <w:sz w:val="18"/>
              </w:rPr>
              <w:t>Apaxco</w:t>
            </w:r>
          </w:p>
        </w:tc>
        <w:tc>
          <w:tcPr>
            <w:tcW w:w="1673" w:type="dxa"/>
            <w:tcBorders>
              <w:top w:val="single" w:sz="8" w:space="0" w:color="000000"/>
            </w:tcBorders>
          </w:tcPr>
          <w:p>
            <w:pPr/>
          </w:p>
        </w:tc>
        <w:tc>
          <w:tcPr>
            <w:tcW w:w="1882" w:type="dxa"/>
            <w:vMerge w:val="restart"/>
            <w:tcBorders>
              <w:top w:val="single" w:sz="8" w:space="0" w:color="000000"/>
              <w:right w:val="single" w:sz="8" w:space="0" w:color="000000"/>
            </w:tcBorders>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5"/>
              <w:jc w:val="left"/>
              <w:rPr>
                <w:sz w:val="17"/>
              </w:rPr>
            </w:pPr>
          </w:p>
          <w:p>
            <w:pPr>
              <w:pStyle w:val="TableParagraph"/>
              <w:ind w:left="608" w:right="605"/>
              <w:rPr>
                <w:sz w:val="18"/>
              </w:rPr>
            </w:pPr>
            <w:r>
              <w:rPr>
                <w:sz w:val="18"/>
              </w:rPr>
              <w:t>N/A</w:t>
            </w:r>
          </w:p>
        </w:tc>
      </w:tr>
      <w:tr>
        <w:trPr>
          <w:trHeight w:val="329" w:hRule="exact"/>
        </w:trPr>
        <w:tc>
          <w:tcPr>
            <w:tcW w:w="1536" w:type="dxa"/>
            <w:vMerge/>
            <w:tcBorders>
              <w:left w:val="single" w:sz="8" w:space="0" w:color="000000"/>
            </w:tcBorders>
          </w:tcPr>
          <w:p>
            <w:pPr/>
          </w:p>
        </w:tc>
        <w:tc>
          <w:tcPr>
            <w:tcW w:w="862" w:type="dxa"/>
          </w:tcPr>
          <w:p>
            <w:pPr>
              <w:pStyle w:val="TableParagraph"/>
              <w:spacing w:before="6"/>
              <w:ind w:right="1"/>
              <w:rPr>
                <w:sz w:val="18"/>
              </w:rPr>
            </w:pPr>
            <w:r>
              <w:rPr>
                <w:color w:val="181818"/>
                <w:w w:val="99"/>
                <w:sz w:val="18"/>
              </w:rPr>
              <w:t>1</w:t>
            </w:r>
          </w:p>
        </w:tc>
        <w:tc>
          <w:tcPr>
            <w:tcW w:w="2792" w:type="dxa"/>
          </w:tcPr>
          <w:p>
            <w:pPr>
              <w:pStyle w:val="TableParagraph"/>
              <w:spacing w:before="6"/>
              <w:ind w:left="64"/>
              <w:jc w:val="left"/>
              <w:rPr>
                <w:sz w:val="18"/>
              </w:rPr>
            </w:pPr>
            <w:r>
              <w:rPr>
                <w:color w:val="181818"/>
                <w:sz w:val="18"/>
              </w:rPr>
              <w:t>Atizapán de Zaragoza</w:t>
            </w:r>
          </w:p>
        </w:tc>
        <w:tc>
          <w:tcPr>
            <w:tcW w:w="1673" w:type="dxa"/>
          </w:tcPr>
          <w:p>
            <w:pPr/>
          </w:p>
        </w:tc>
        <w:tc>
          <w:tcPr>
            <w:tcW w:w="1882" w:type="dxa"/>
            <w:vMerge/>
            <w:tcBorders>
              <w:right w:val="single" w:sz="8" w:space="0" w:color="000000"/>
            </w:tcBorders>
          </w:tcPr>
          <w:p>
            <w:pPr/>
          </w:p>
        </w:tc>
      </w:tr>
      <w:tr>
        <w:trPr>
          <w:trHeight w:val="331" w:hRule="exact"/>
        </w:trPr>
        <w:tc>
          <w:tcPr>
            <w:tcW w:w="1536" w:type="dxa"/>
            <w:vMerge/>
            <w:tcBorders>
              <w:left w:val="single" w:sz="8" w:space="0" w:color="000000"/>
            </w:tcBorders>
          </w:tcPr>
          <w:p>
            <w:pPr/>
          </w:p>
        </w:tc>
        <w:tc>
          <w:tcPr>
            <w:tcW w:w="862" w:type="dxa"/>
          </w:tcPr>
          <w:p>
            <w:pPr>
              <w:pStyle w:val="TableParagraph"/>
              <w:spacing w:before="8"/>
              <w:ind w:right="1"/>
              <w:rPr>
                <w:sz w:val="18"/>
              </w:rPr>
            </w:pPr>
            <w:r>
              <w:rPr>
                <w:color w:val="181818"/>
                <w:w w:val="99"/>
                <w:sz w:val="18"/>
              </w:rPr>
              <w:t>1</w:t>
            </w:r>
          </w:p>
        </w:tc>
        <w:tc>
          <w:tcPr>
            <w:tcW w:w="2792" w:type="dxa"/>
          </w:tcPr>
          <w:p>
            <w:pPr>
              <w:pStyle w:val="TableParagraph"/>
              <w:spacing w:before="8"/>
              <w:ind w:left="64"/>
              <w:jc w:val="left"/>
              <w:rPr>
                <w:sz w:val="18"/>
              </w:rPr>
            </w:pPr>
            <w:r>
              <w:rPr>
                <w:color w:val="181818"/>
                <w:sz w:val="18"/>
              </w:rPr>
              <w:t>Atlautla</w:t>
            </w:r>
          </w:p>
        </w:tc>
        <w:tc>
          <w:tcPr>
            <w:tcW w:w="1673" w:type="dxa"/>
          </w:tcPr>
          <w:p>
            <w:pPr/>
          </w:p>
        </w:tc>
        <w:tc>
          <w:tcPr>
            <w:tcW w:w="1882" w:type="dxa"/>
            <w:vMerge/>
            <w:tcBorders>
              <w:right w:val="single" w:sz="8" w:space="0" w:color="000000"/>
            </w:tcBorders>
          </w:tcPr>
          <w:p>
            <w:pPr/>
          </w:p>
        </w:tc>
      </w:tr>
      <w:tr>
        <w:trPr>
          <w:trHeight w:val="331" w:hRule="exact"/>
        </w:trPr>
        <w:tc>
          <w:tcPr>
            <w:tcW w:w="1536" w:type="dxa"/>
            <w:vMerge/>
            <w:tcBorders>
              <w:left w:val="single" w:sz="8" w:space="0" w:color="000000"/>
            </w:tcBorders>
          </w:tcPr>
          <w:p>
            <w:pPr/>
          </w:p>
        </w:tc>
        <w:tc>
          <w:tcPr>
            <w:tcW w:w="862" w:type="dxa"/>
          </w:tcPr>
          <w:p>
            <w:pPr>
              <w:pStyle w:val="TableParagraph"/>
              <w:spacing w:before="8"/>
              <w:ind w:right="1"/>
              <w:rPr>
                <w:sz w:val="18"/>
              </w:rPr>
            </w:pPr>
            <w:r>
              <w:rPr>
                <w:color w:val="181818"/>
                <w:w w:val="99"/>
                <w:sz w:val="18"/>
              </w:rPr>
              <w:t>1</w:t>
            </w:r>
          </w:p>
        </w:tc>
        <w:tc>
          <w:tcPr>
            <w:tcW w:w="2792" w:type="dxa"/>
          </w:tcPr>
          <w:p>
            <w:pPr>
              <w:pStyle w:val="TableParagraph"/>
              <w:spacing w:before="8"/>
              <w:ind w:left="64"/>
              <w:jc w:val="left"/>
              <w:rPr>
                <w:sz w:val="18"/>
              </w:rPr>
            </w:pPr>
            <w:r>
              <w:rPr>
                <w:color w:val="181818"/>
                <w:sz w:val="18"/>
              </w:rPr>
              <w:t>Coatepec Harinas</w:t>
            </w:r>
          </w:p>
        </w:tc>
        <w:tc>
          <w:tcPr>
            <w:tcW w:w="1673" w:type="dxa"/>
          </w:tcPr>
          <w:p>
            <w:pPr/>
          </w:p>
        </w:tc>
        <w:tc>
          <w:tcPr>
            <w:tcW w:w="1882" w:type="dxa"/>
            <w:vMerge/>
            <w:tcBorders>
              <w:right w:val="single" w:sz="8" w:space="0" w:color="000000"/>
            </w:tcBorders>
          </w:tcPr>
          <w:p>
            <w:pPr/>
          </w:p>
        </w:tc>
      </w:tr>
      <w:tr>
        <w:trPr>
          <w:trHeight w:val="331" w:hRule="exact"/>
        </w:trPr>
        <w:tc>
          <w:tcPr>
            <w:tcW w:w="1536" w:type="dxa"/>
            <w:vMerge/>
            <w:tcBorders>
              <w:left w:val="single" w:sz="8" w:space="0" w:color="000000"/>
            </w:tcBorders>
          </w:tcPr>
          <w:p>
            <w:pPr/>
          </w:p>
        </w:tc>
        <w:tc>
          <w:tcPr>
            <w:tcW w:w="862" w:type="dxa"/>
          </w:tcPr>
          <w:p>
            <w:pPr>
              <w:pStyle w:val="TableParagraph"/>
              <w:spacing w:before="6"/>
              <w:ind w:right="1"/>
              <w:rPr>
                <w:sz w:val="18"/>
              </w:rPr>
            </w:pPr>
            <w:r>
              <w:rPr>
                <w:color w:val="181818"/>
                <w:w w:val="99"/>
                <w:sz w:val="18"/>
              </w:rPr>
              <w:t>1</w:t>
            </w:r>
          </w:p>
        </w:tc>
        <w:tc>
          <w:tcPr>
            <w:tcW w:w="2792" w:type="dxa"/>
          </w:tcPr>
          <w:p>
            <w:pPr>
              <w:pStyle w:val="TableParagraph"/>
              <w:spacing w:before="6"/>
              <w:ind w:left="64"/>
              <w:jc w:val="left"/>
              <w:rPr>
                <w:sz w:val="18"/>
              </w:rPr>
            </w:pPr>
            <w:r>
              <w:rPr>
                <w:color w:val="181818"/>
                <w:sz w:val="18"/>
              </w:rPr>
              <w:t>Chapa de Mota</w:t>
            </w:r>
          </w:p>
        </w:tc>
        <w:tc>
          <w:tcPr>
            <w:tcW w:w="1673" w:type="dxa"/>
          </w:tcPr>
          <w:p>
            <w:pPr/>
          </w:p>
        </w:tc>
        <w:tc>
          <w:tcPr>
            <w:tcW w:w="1882" w:type="dxa"/>
            <w:vMerge/>
            <w:tcBorders>
              <w:right w:val="single" w:sz="8" w:space="0" w:color="000000"/>
            </w:tcBorders>
          </w:tcPr>
          <w:p>
            <w:pPr/>
          </w:p>
        </w:tc>
      </w:tr>
      <w:tr>
        <w:trPr>
          <w:trHeight w:val="329" w:hRule="exact"/>
        </w:trPr>
        <w:tc>
          <w:tcPr>
            <w:tcW w:w="1536" w:type="dxa"/>
            <w:vMerge/>
            <w:tcBorders>
              <w:left w:val="single" w:sz="8" w:space="0" w:color="000000"/>
            </w:tcBorders>
          </w:tcPr>
          <w:p>
            <w:pPr/>
          </w:p>
        </w:tc>
        <w:tc>
          <w:tcPr>
            <w:tcW w:w="862" w:type="dxa"/>
          </w:tcPr>
          <w:p>
            <w:pPr>
              <w:pStyle w:val="TableParagraph"/>
              <w:spacing w:before="6"/>
              <w:ind w:right="1"/>
              <w:rPr>
                <w:sz w:val="18"/>
              </w:rPr>
            </w:pPr>
            <w:r>
              <w:rPr>
                <w:color w:val="181818"/>
                <w:w w:val="99"/>
                <w:sz w:val="18"/>
              </w:rPr>
              <w:t>1</w:t>
            </w:r>
          </w:p>
        </w:tc>
        <w:tc>
          <w:tcPr>
            <w:tcW w:w="2792" w:type="dxa"/>
          </w:tcPr>
          <w:p>
            <w:pPr>
              <w:pStyle w:val="TableParagraph"/>
              <w:spacing w:before="6"/>
              <w:ind w:left="64"/>
              <w:jc w:val="left"/>
              <w:rPr>
                <w:sz w:val="18"/>
              </w:rPr>
            </w:pPr>
            <w:r>
              <w:rPr>
                <w:color w:val="181818"/>
                <w:sz w:val="18"/>
              </w:rPr>
              <w:t>Chiconcuac</w:t>
            </w:r>
          </w:p>
        </w:tc>
        <w:tc>
          <w:tcPr>
            <w:tcW w:w="1673" w:type="dxa"/>
          </w:tcPr>
          <w:p>
            <w:pPr/>
          </w:p>
        </w:tc>
        <w:tc>
          <w:tcPr>
            <w:tcW w:w="1882" w:type="dxa"/>
            <w:vMerge/>
            <w:tcBorders>
              <w:right w:val="single" w:sz="8" w:space="0" w:color="000000"/>
            </w:tcBorders>
          </w:tcPr>
          <w:p>
            <w:pPr/>
          </w:p>
        </w:tc>
      </w:tr>
      <w:tr>
        <w:trPr>
          <w:trHeight w:val="331" w:hRule="exact"/>
        </w:trPr>
        <w:tc>
          <w:tcPr>
            <w:tcW w:w="1536" w:type="dxa"/>
            <w:vMerge/>
            <w:tcBorders>
              <w:left w:val="single" w:sz="8" w:space="0" w:color="000000"/>
            </w:tcBorders>
          </w:tcPr>
          <w:p>
            <w:pPr/>
          </w:p>
        </w:tc>
        <w:tc>
          <w:tcPr>
            <w:tcW w:w="862" w:type="dxa"/>
          </w:tcPr>
          <w:p>
            <w:pPr>
              <w:pStyle w:val="TableParagraph"/>
              <w:spacing w:before="8"/>
              <w:ind w:right="1"/>
              <w:rPr>
                <w:sz w:val="18"/>
              </w:rPr>
            </w:pPr>
            <w:r>
              <w:rPr>
                <w:color w:val="181818"/>
                <w:w w:val="99"/>
                <w:sz w:val="18"/>
              </w:rPr>
              <w:t>1</w:t>
            </w:r>
          </w:p>
        </w:tc>
        <w:tc>
          <w:tcPr>
            <w:tcW w:w="2792" w:type="dxa"/>
          </w:tcPr>
          <w:p>
            <w:pPr>
              <w:pStyle w:val="TableParagraph"/>
              <w:spacing w:before="8"/>
              <w:ind w:left="64"/>
              <w:jc w:val="left"/>
              <w:rPr>
                <w:sz w:val="18"/>
              </w:rPr>
            </w:pPr>
            <w:r>
              <w:rPr>
                <w:color w:val="181818"/>
                <w:sz w:val="18"/>
              </w:rPr>
              <w:t>Huehuetoca</w:t>
            </w:r>
          </w:p>
        </w:tc>
        <w:tc>
          <w:tcPr>
            <w:tcW w:w="1673" w:type="dxa"/>
          </w:tcPr>
          <w:p>
            <w:pPr/>
          </w:p>
        </w:tc>
        <w:tc>
          <w:tcPr>
            <w:tcW w:w="1882" w:type="dxa"/>
            <w:vMerge/>
            <w:tcBorders>
              <w:right w:val="single" w:sz="8" w:space="0" w:color="000000"/>
            </w:tcBorders>
          </w:tcPr>
          <w:p>
            <w:pPr/>
          </w:p>
        </w:tc>
      </w:tr>
      <w:tr>
        <w:trPr>
          <w:trHeight w:val="331" w:hRule="exact"/>
        </w:trPr>
        <w:tc>
          <w:tcPr>
            <w:tcW w:w="1536" w:type="dxa"/>
            <w:vMerge/>
            <w:tcBorders>
              <w:left w:val="single" w:sz="8" w:space="0" w:color="000000"/>
            </w:tcBorders>
          </w:tcPr>
          <w:p>
            <w:pPr/>
          </w:p>
        </w:tc>
        <w:tc>
          <w:tcPr>
            <w:tcW w:w="862" w:type="dxa"/>
          </w:tcPr>
          <w:p>
            <w:pPr>
              <w:pStyle w:val="TableParagraph"/>
              <w:spacing w:before="6"/>
              <w:ind w:right="1"/>
              <w:rPr>
                <w:sz w:val="18"/>
              </w:rPr>
            </w:pPr>
            <w:r>
              <w:rPr>
                <w:color w:val="181818"/>
                <w:w w:val="99"/>
                <w:sz w:val="18"/>
              </w:rPr>
              <w:t>1</w:t>
            </w:r>
          </w:p>
        </w:tc>
        <w:tc>
          <w:tcPr>
            <w:tcW w:w="2792" w:type="dxa"/>
          </w:tcPr>
          <w:p>
            <w:pPr>
              <w:pStyle w:val="TableParagraph"/>
              <w:spacing w:before="6"/>
              <w:ind w:left="64"/>
              <w:jc w:val="left"/>
              <w:rPr>
                <w:sz w:val="18"/>
              </w:rPr>
            </w:pPr>
            <w:r>
              <w:rPr>
                <w:color w:val="181818"/>
                <w:sz w:val="18"/>
              </w:rPr>
              <w:t>Hueypoxtla</w:t>
            </w:r>
          </w:p>
        </w:tc>
        <w:tc>
          <w:tcPr>
            <w:tcW w:w="1673" w:type="dxa"/>
          </w:tcPr>
          <w:p>
            <w:pPr/>
          </w:p>
        </w:tc>
        <w:tc>
          <w:tcPr>
            <w:tcW w:w="1882" w:type="dxa"/>
            <w:vMerge/>
            <w:tcBorders>
              <w:right w:val="single" w:sz="8" w:space="0" w:color="000000"/>
            </w:tcBorders>
          </w:tcPr>
          <w:p>
            <w:pPr/>
          </w:p>
        </w:tc>
      </w:tr>
      <w:tr>
        <w:trPr>
          <w:trHeight w:val="329" w:hRule="exact"/>
        </w:trPr>
        <w:tc>
          <w:tcPr>
            <w:tcW w:w="1536" w:type="dxa"/>
            <w:vMerge/>
            <w:tcBorders>
              <w:left w:val="single" w:sz="8" w:space="0" w:color="000000"/>
            </w:tcBorders>
          </w:tcPr>
          <w:p>
            <w:pPr/>
          </w:p>
        </w:tc>
        <w:tc>
          <w:tcPr>
            <w:tcW w:w="862" w:type="dxa"/>
          </w:tcPr>
          <w:p>
            <w:pPr>
              <w:pStyle w:val="TableParagraph"/>
              <w:spacing w:before="6"/>
              <w:ind w:right="1"/>
              <w:rPr>
                <w:sz w:val="18"/>
              </w:rPr>
            </w:pPr>
            <w:r>
              <w:rPr>
                <w:color w:val="181818"/>
                <w:w w:val="99"/>
                <w:sz w:val="18"/>
              </w:rPr>
              <w:t>1</w:t>
            </w:r>
          </w:p>
        </w:tc>
        <w:tc>
          <w:tcPr>
            <w:tcW w:w="2792" w:type="dxa"/>
          </w:tcPr>
          <w:p>
            <w:pPr>
              <w:pStyle w:val="TableParagraph"/>
              <w:spacing w:before="6"/>
              <w:ind w:left="64"/>
              <w:jc w:val="left"/>
              <w:rPr>
                <w:sz w:val="18"/>
              </w:rPr>
            </w:pPr>
            <w:r>
              <w:rPr>
                <w:color w:val="181818"/>
                <w:sz w:val="18"/>
              </w:rPr>
              <w:t>Joquicingo</w:t>
            </w:r>
          </w:p>
        </w:tc>
        <w:tc>
          <w:tcPr>
            <w:tcW w:w="1673" w:type="dxa"/>
          </w:tcPr>
          <w:p>
            <w:pPr/>
          </w:p>
        </w:tc>
        <w:tc>
          <w:tcPr>
            <w:tcW w:w="1882" w:type="dxa"/>
            <w:vMerge/>
            <w:tcBorders>
              <w:right w:val="single" w:sz="8" w:space="0" w:color="000000"/>
            </w:tcBorders>
          </w:tcPr>
          <w:p>
            <w:pPr/>
          </w:p>
        </w:tc>
      </w:tr>
      <w:tr>
        <w:trPr>
          <w:trHeight w:val="331" w:hRule="exact"/>
        </w:trPr>
        <w:tc>
          <w:tcPr>
            <w:tcW w:w="1536" w:type="dxa"/>
            <w:vMerge/>
            <w:tcBorders>
              <w:left w:val="single" w:sz="8" w:space="0" w:color="000000"/>
            </w:tcBorders>
          </w:tcPr>
          <w:p>
            <w:pPr/>
          </w:p>
        </w:tc>
        <w:tc>
          <w:tcPr>
            <w:tcW w:w="862" w:type="dxa"/>
          </w:tcPr>
          <w:p>
            <w:pPr>
              <w:pStyle w:val="TableParagraph"/>
              <w:spacing w:before="8"/>
              <w:ind w:right="1"/>
              <w:rPr>
                <w:sz w:val="18"/>
              </w:rPr>
            </w:pPr>
            <w:r>
              <w:rPr>
                <w:color w:val="181818"/>
                <w:w w:val="99"/>
                <w:sz w:val="18"/>
              </w:rPr>
              <w:t>1</w:t>
            </w:r>
          </w:p>
        </w:tc>
        <w:tc>
          <w:tcPr>
            <w:tcW w:w="2792" w:type="dxa"/>
          </w:tcPr>
          <w:p>
            <w:pPr>
              <w:pStyle w:val="TableParagraph"/>
              <w:spacing w:before="8"/>
              <w:ind w:left="64"/>
              <w:jc w:val="left"/>
              <w:rPr>
                <w:sz w:val="18"/>
              </w:rPr>
            </w:pPr>
            <w:r>
              <w:rPr>
                <w:color w:val="181818"/>
                <w:sz w:val="18"/>
              </w:rPr>
              <w:t>Nextlalpan</w:t>
            </w:r>
          </w:p>
        </w:tc>
        <w:tc>
          <w:tcPr>
            <w:tcW w:w="1673" w:type="dxa"/>
          </w:tcPr>
          <w:p>
            <w:pPr/>
          </w:p>
        </w:tc>
        <w:tc>
          <w:tcPr>
            <w:tcW w:w="1882" w:type="dxa"/>
            <w:vMerge/>
            <w:tcBorders>
              <w:right w:val="single" w:sz="8" w:space="0" w:color="000000"/>
            </w:tcBorders>
          </w:tcPr>
          <w:p>
            <w:pPr/>
          </w:p>
        </w:tc>
      </w:tr>
      <w:tr>
        <w:trPr>
          <w:trHeight w:val="331" w:hRule="exact"/>
        </w:trPr>
        <w:tc>
          <w:tcPr>
            <w:tcW w:w="1536" w:type="dxa"/>
            <w:vMerge/>
            <w:tcBorders>
              <w:left w:val="single" w:sz="8" w:space="0" w:color="000000"/>
            </w:tcBorders>
          </w:tcPr>
          <w:p>
            <w:pPr/>
          </w:p>
        </w:tc>
        <w:tc>
          <w:tcPr>
            <w:tcW w:w="862" w:type="dxa"/>
          </w:tcPr>
          <w:p>
            <w:pPr>
              <w:pStyle w:val="TableParagraph"/>
              <w:spacing w:before="6"/>
              <w:ind w:right="1"/>
              <w:rPr>
                <w:sz w:val="18"/>
              </w:rPr>
            </w:pPr>
            <w:r>
              <w:rPr>
                <w:color w:val="181818"/>
                <w:w w:val="99"/>
                <w:sz w:val="18"/>
              </w:rPr>
              <w:t>1</w:t>
            </w:r>
          </w:p>
        </w:tc>
        <w:tc>
          <w:tcPr>
            <w:tcW w:w="2792" w:type="dxa"/>
          </w:tcPr>
          <w:p>
            <w:pPr>
              <w:pStyle w:val="TableParagraph"/>
              <w:spacing w:before="6"/>
              <w:ind w:left="64"/>
              <w:jc w:val="left"/>
              <w:rPr>
                <w:sz w:val="18"/>
              </w:rPr>
            </w:pPr>
            <w:r>
              <w:rPr>
                <w:color w:val="181818"/>
                <w:sz w:val="18"/>
              </w:rPr>
              <w:t>Otumba</w:t>
            </w:r>
          </w:p>
        </w:tc>
        <w:tc>
          <w:tcPr>
            <w:tcW w:w="1673" w:type="dxa"/>
          </w:tcPr>
          <w:p>
            <w:pPr/>
          </w:p>
        </w:tc>
        <w:tc>
          <w:tcPr>
            <w:tcW w:w="1882" w:type="dxa"/>
            <w:vMerge/>
            <w:tcBorders>
              <w:right w:val="single" w:sz="8" w:space="0" w:color="000000"/>
            </w:tcBorders>
          </w:tcPr>
          <w:p>
            <w:pPr/>
          </w:p>
        </w:tc>
      </w:tr>
      <w:tr>
        <w:trPr>
          <w:trHeight w:val="329" w:hRule="exact"/>
        </w:trPr>
        <w:tc>
          <w:tcPr>
            <w:tcW w:w="1536" w:type="dxa"/>
            <w:vMerge/>
            <w:tcBorders>
              <w:left w:val="single" w:sz="8" w:space="0" w:color="000000"/>
            </w:tcBorders>
          </w:tcPr>
          <w:p>
            <w:pPr/>
          </w:p>
        </w:tc>
        <w:tc>
          <w:tcPr>
            <w:tcW w:w="862" w:type="dxa"/>
          </w:tcPr>
          <w:p>
            <w:pPr>
              <w:pStyle w:val="TableParagraph"/>
              <w:spacing w:before="6"/>
              <w:ind w:right="1"/>
              <w:rPr>
                <w:sz w:val="18"/>
              </w:rPr>
            </w:pPr>
            <w:r>
              <w:rPr>
                <w:color w:val="181818"/>
                <w:w w:val="99"/>
                <w:sz w:val="18"/>
              </w:rPr>
              <w:t>1</w:t>
            </w:r>
          </w:p>
        </w:tc>
        <w:tc>
          <w:tcPr>
            <w:tcW w:w="2792" w:type="dxa"/>
          </w:tcPr>
          <w:p>
            <w:pPr>
              <w:pStyle w:val="TableParagraph"/>
              <w:spacing w:before="6"/>
              <w:ind w:left="64"/>
              <w:jc w:val="left"/>
              <w:rPr>
                <w:sz w:val="18"/>
              </w:rPr>
            </w:pPr>
            <w:r>
              <w:rPr>
                <w:color w:val="181818"/>
                <w:sz w:val="18"/>
              </w:rPr>
              <w:t>Tequixquiac</w:t>
            </w:r>
          </w:p>
        </w:tc>
        <w:tc>
          <w:tcPr>
            <w:tcW w:w="1673" w:type="dxa"/>
          </w:tcPr>
          <w:p>
            <w:pPr/>
          </w:p>
        </w:tc>
        <w:tc>
          <w:tcPr>
            <w:tcW w:w="1882" w:type="dxa"/>
            <w:vMerge/>
            <w:tcBorders>
              <w:right w:val="single" w:sz="8" w:space="0" w:color="000000"/>
            </w:tcBorders>
          </w:tcPr>
          <w:p>
            <w:pPr/>
          </w:p>
        </w:tc>
      </w:tr>
      <w:tr>
        <w:trPr>
          <w:trHeight w:val="331" w:hRule="exact"/>
        </w:trPr>
        <w:tc>
          <w:tcPr>
            <w:tcW w:w="1536" w:type="dxa"/>
            <w:vMerge/>
            <w:tcBorders>
              <w:left w:val="single" w:sz="8" w:space="0" w:color="000000"/>
            </w:tcBorders>
          </w:tcPr>
          <w:p>
            <w:pPr/>
          </w:p>
        </w:tc>
        <w:tc>
          <w:tcPr>
            <w:tcW w:w="862" w:type="dxa"/>
          </w:tcPr>
          <w:p>
            <w:pPr>
              <w:pStyle w:val="TableParagraph"/>
              <w:spacing w:before="8"/>
              <w:ind w:right="1"/>
              <w:rPr>
                <w:sz w:val="18"/>
              </w:rPr>
            </w:pPr>
            <w:r>
              <w:rPr>
                <w:color w:val="181818"/>
                <w:w w:val="99"/>
                <w:sz w:val="18"/>
              </w:rPr>
              <w:t>1</w:t>
            </w:r>
          </w:p>
        </w:tc>
        <w:tc>
          <w:tcPr>
            <w:tcW w:w="2792" w:type="dxa"/>
          </w:tcPr>
          <w:p>
            <w:pPr>
              <w:pStyle w:val="TableParagraph"/>
              <w:spacing w:before="8"/>
              <w:ind w:left="64"/>
              <w:jc w:val="left"/>
              <w:rPr>
                <w:sz w:val="18"/>
              </w:rPr>
            </w:pPr>
            <w:r>
              <w:rPr>
                <w:color w:val="181818"/>
                <w:sz w:val="18"/>
              </w:rPr>
              <w:t>Texcaltitlán</w:t>
            </w:r>
          </w:p>
        </w:tc>
        <w:tc>
          <w:tcPr>
            <w:tcW w:w="1673" w:type="dxa"/>
          </w:tcPr>
          <w:p>
            <w:pPr/>
          </w:p>
        </w:tc>
        <w:tc>
          <w:tcPr>
            <w:tcW w:w="1882" w:type="dxa"/>
            <w:vMerge/>
            <w:tcBorders>
              <w:right w:val="single" w:sz="8" w:space="0" w:color="000000"/>
            </w:tcBorders>
          </w:tcPr>
          <w:p>
            <w:pPr/>
          </w:p>
        </w:tc>
      </w:tr>
      <w:tr>
        <w:trPr>
          <w:trHeight w:val="331" w:hRule="exact"/>
        </w:trPr>
        <w:tc>
          <w:tcPr>
            <w:tcW w:w="1536" w:type="dxa"/>
            <w:vMerge/>
            <w:tcBorders>
              <w:left w:val="single" w:sz="8" w:space="0" w:color="000000"/>
            </w:tcBorders>
          </w:tcPr>
          <w:p>
            <w:pPr/>
          </w:p>
        </w:tc>
        <w:tc>
          <w:tcPr>
            <w:tcW w:w="862" w:type="dxa"/>
          </w:tcPr>
          <w:p>
            <w:pPr>
              <w:pStyle w:val="TableParagraph"/>
              <w:spacing w:before="6"/>
              <w:ind w:right="1"/>
              <w:rPr>
                <w:sz w:val="18"/>
              </w:rPr>
            </w:pPr>
            <w:r>
              <w:rPr>
                <w:color w:val="181818"/>
                <w:w w:val="99"/>
                <w:sz w:val="18"/>
              </w:rPr>
              <w:t>1</w:t>
            </w:r>
          </w:p>
        </w:tc>
        <w:tc>
          <w:tcPr>
            <w:tcW w:w="2792" w:type="dxa"/>
          </w:tcPr>
          <w:p>
            <w:pPr>
              <w:pStyle w:val="TableParagraph"/>
              <w:spacing w:before="6"/>
              <w:ind w:left="64"/>
              <w:jc w:val="left"/>
              <w:rPr>
                <w:sz w:val="18"/>
              </w:rPr>
            </w:pPr>
            <w:r>
              <w:rPr>
                <w:color w:val="181818"/>
                <w:sz w:val="18"/>
              </w:rPr>
              <w:t>Valle de Bravo</w:t>
            </w:r>
          </w:p>
        </w:tc>
        <w:tc>
          <w:tcPr>
            <w:tcW w:w="1673" w:type="dxa"/>
          </w:tcPr>
          <w:p>
            <w:pPr/>
          </w:p>
        </w:tc>
        <w:tc>
          <w:tcPr>
            <w:tcW w:w="1882" w:type="dxa"/>
            <w:vMerge/>
            <w:tcBorders>
              <w:right w:val="single" w:sz="8" w:space="0" w:color="000000"/>
            </w:tcBorders>
          </w:tcPr>
          <w:p>
            <w:pPr/>
          </w:p>
        </w:tc>
      </w:tr>
      <w:tr>
        <w:trPr>
          <w:trHeight w:val="331" w:hRule="exact"/>
        </w:trPr>
        <w:tc>
          <w:tcPr>
            <w:tcW w:w="1536" w:type="dxa"/>
            <w:vMerge/>
            <w:tcBorders>
              <w:left w:val="single" w:sz="8" w:space="0" w:color="000000"/>
            </w:tcBorders>
          </w:tcPr>
          <w:p>
            <w:pPr/>
          </w:p>
        </w:tc>
        <w:tc>
          <w:tcPr>
            <w:tcW w:w="862" w:type="dxa"/>
          </w:tcPr>
          <w:p>
            <w:pPr>
              <w:pStyle w:val="TableParagraph"/>
              <w:spacing w:before="6"/>
              <w:ind w:right="1"/>
              <w:rPr>
                <w:sz w:val="18"/>
              </w:rPr>
            </w:pPr>
            <w:r>
              <w:rPr>
                <w:color w:val="181818"/>
                <w:w w:val="99"/>
                <w:sz w:val="18"/>
              </w:rPr>
              <w:t>1</w:t>
            </w:r>
          </w:p>
        </w:tc>
        <w:tc>
          <w:tcPr>
            <w:tcW w:w="2792" w:type="dxa"/>
          </w:tcPr>
          <w:p>
            <w:pPr>
              <w:pStyle w:val="TableParagraph"/>
              <w:spacing w:before="6"/>
              <w:ind w:left="64"/>
              <w:jc w:val="left"/>
              <w:rPr>
                <w:sz w:val="18"/>
              </w:rPr>
            </w:pPr>
            <w:r>
              <w:rPr>
                <w:color w:val="181818"/>
                <w:sz w:val="18"/>
              </w:rPr>
              <w:t>Zacualpan</w:t>
            </w:r>
          </w:p>
        </w:tc>
        <w:tc>
          <w:tcPr>
            <w:tcW w:w="1673" w:type="dxa"/>
          </w:tcPr>
          <w:p>
            <w:pPr/>
          </w:p>
        </w:tc>
        <w:tc>
          <w:tcPr>
            <w:tcW w:w="1882" w:type="dxa"/>
            <w:vMerge/>
            <w:tcBorders>
              <w:right w:val="single" w:sz="8" w:space="0" w:color="000000"/>
            </w:tcBorders>
          </w:tcPr>
          <w:p>
            <w:pPr/>
          </w:p>
        </w:tc>
      </w:tr>
      <w:tr>
        <w:trPr>
          <w:trHeight w:val="338" w:hRule="exact"/>
        </w:trPr>
        <w:tc>
          <w:tcPr>
            <w:tcW w:w="1536" w:type="dxa"/>
            <w:vMerge/>
            <w:tcBorders>
              <w:left w:val="single" w:sz="8" w:space="0" w:color="000000"/>
              <w:bottom w:val="single" w:sz="8" w:space="0" w:color="000000"/>
            </w:tcBorders>
          </w:tcPr>
          <w:p>
            <w:pPr/>
          </w:p>
        </w:tc>
        <w:tc>
          <w:tcPr>
            <w:tcW w:w="862" w:type="dxa"/>
            <w:tcBorders>
              <w:bottom w:val="single" w:sz="8" w:space="0" w:color="000000"/>
            </w:tcBorders>
          </w:tcPr>
          <w:p>
            <w:pPr>
              <w:pStyle w:val="TableParagraph"/>
              <w:spacing w:before="8"/>
              <w:ind w:right="1"/>
              <w:rPr>
                <w:sz w:val="18"/>
              </w:rPr>
            </w:pPr>
            <w:r>
              <w:rPr>
                <w:color w:val="181818"/>
                <w:w w:val="99"/>
                <w:sz w:val="18"/>
              </w:rPr>
              <w:t>1</w:t>
            </w:r>
          </w:p>
        </w:tc>
        <w:tc>
          <w:tcPr>
            <w:tcW w:w="2792" w:type="dxa"/>
            <w:tcBorders>
              <w:bottom w:val="single" w:sz="8" w:space="0" w:color="000000"/>
            </w:tcBorders>
          </w:tcPr>
          <w:p>
            <w:pPr>
              <w:pStyle w:val="TableParagraph"/>
              <w:spacing w:before="8"/>
              <w:ind w:left="64"/>
              <w:jc w:val="left"/>
              <w:rPr>
                <w:sz w:val="18"/>
              </w:rPr>
            </w:pPr>
            <w:r>
              <w:rPr>
                <w:color w:val="181818"/>
                <w:sz w:val="18"/>
              </w:rPr>
              <w:t>Zumpahuacán</w:t>
            </w:r>
          </w:p>
        </w:tc>
        <w:tc>
          <w:tcPr>
            <w:tcW w:w="1673" w:type="dxa"/>
            <w:tcBorders>
              <w:bottom w:val="single" w:sz="8" w:space="0" w:color="000000"/>
            </w:tcBorders>
          </w:tcPr>
          <w:p>
            <w:pPr/>
          </w:p>
        </w:tc>
        <w:tc>
          <w:tcPr>
            <w:tcW w:w="1882" w:type="dxa"/>
            <w:vMerge/>
            <w:tcBorders>
              <w:bottom w:val="single" w:sz="8" w:space="0" w:color="000000"/>
              <w:right w:val="single" w:sz="8" w:space="0" w:color="000000"/>
            </w:tcBorders>
          </w:tcPr>
          <w:p>
            <w:pPr/>
          </w:p>
        </w:tc>
      </w:tr>
      <w:tr>
        <w:trPr>
          <w:trHeight w:val="326" w:hRule="exact"/>
        </w:trPr>
        <w:tc>
          <w:tcPr>
            <w:tcW w:w="1536" w:type="dxa"/>
            <w:vMerge w:val="restart"/>
            <w:tcBorders>
              <w:top w:val="single" w:sz="8" w:space="0" w:color="000000"/>
              <w:left w:val="single" w:sz="8" w:space="0" w:color="000000"/>
            </w:tcBorders>
          </w:tcPr>
          <w:p>
            <w:pPr>
              <w:pStyle w:val="TableParagraph"/>
              <w:jc w:val="left"/>
              <w:rPr>
                <w:sz w:val="18"/>
              </w:rPr>
            </w:pPr>
          </w:p>
          <w:p>
            <w:pPr>
              <w:pStyle w:val="TableParagraph"/>
              <w:spacing w:before="123"/>
              <w:ind w:left="234" w:right="236"/>
              <w:rPr>
                <w:sz w:val="18"/>
              </w:rPr>
            </w:pPr>
            <w:r>
              <w:rPr>
                <w:sz w:val="18"/>
              </w:rPr>
              <w:t>PRD</w:t>
            </w:r>
          </w:p>
        </w:tc>
        <w:tc>
          <w:tcPr>
            <w:tcW w:w="862" w:type="dxa"/>
            <w:tcBorders>
              <w:top w:val="single" w:sz="8" w:space="0" w:color="000000"/>
            </w:tcBorders>
          </w:tcPr>
          <w:p>
            <w:pPr>
              <w:pStyle w:val="TableParagraph"/>
              <w:spacing w:line="203" w:lineRule="exact"/>
              <w:ind w:right="1"/>
              <w:rPr>
                <w:sz w:val="18"/>
              </w:rPr>
            </w:pPr>
            <w:r>
              <w:rPr>
                <w:color w:val="181818"/>
                <w:w w:val="99"/>
                <w:sz w:val="18"/>
              </w:rPr>
              <w:t>1</w:t>
            </w:r>
          </w:p>
        </w:tc>
        <w:tc>
          <w:tcPr>
            <w:tcW w:w="2792" w:type="dxa"/>
            <w:tcBorders>
              <w:top w:val="single" w:sz="8" w:space="0" w:color="000000"/>
            </w:tcBorders>
          </w:tcPr>
          <w:p>
            <w:pPr>
              <w:pStyle w:val="TableParagraph"/>
              <w:spacing w:line="203" w:lineRule="exact"/>
              <w:ind w:left="64"/>
              <w:jc w:val="left"/>
              <w:rPr>
                <w:sz w:val="18"/>
              </w:rPr>
            </w:pPr>
            <w:r>
              <w:rPr>
                <w:color w:val="181818"/>
                <w:sz w:val="18"/>
              </w:rPr>
              <w:t>Nezahualcóyotl</w:t>
            </w:r>
          </w:p>
        </w:tc>
        <w:tc>
          <w:tcPr>
            <w:tcW w:w="1673" w:type="dxa"/>
            <w:tcBorders>
              <w:top w:val="single" w:sz="8" w:space="0" w:color="000000"/>
            </w:tcBorders>
          </w:tcPr>
          <w:p>
            <w:pPr/>
          </w:p>
        </w:tc>
        <w:tc>
          <w:tcPr>
            <w:tcW w:w="1882" w:type="dxa"/>
            <w:vMerge w:val="restart"/>
            <w:tcBorders>
              <w:top w:val="single" w:sz="8" w:space="0" w:color="000000"/>
              <w:right w:val="single" w:sz="8" w:space="0" w:color="000000"/>
            </w:tcBorders>
          </w:tcPr>
          <w:p>
            <w:pPr>
              <w:pStyle w:val="TableParagraph"/>
              <w:jc w:val="left"/>
              <w:rPr>
                <w:sz w:val="18"/>
              </w:rPr>
            </w:pPr>
          </w:p>
          <w:p>
            <w:pPr>
              <w:pStyle w:val="TableParagraph"/>
              <w:spacing w:before="123"/>
              <w:ind w:left="608" w:right="605"/>
              <w:rPr>
                <w:sz w:val="18"/>
              </w:rPr>
            </w:pPr>
            <w:r>
              <w:rPr>
                <w:sz w:val="18"/>
              </w:rPr>
              <w:t>N/A</w:t>
            </w:r>
          </w:p>
        </w:tc>
      </w:tr>
      <w:tr>
        <w:trPr>
          <w:trHeight w:val="331" w:hRule="exact"/>
        </w:trPr>
        <w:tc>
          <w:tcPr>
            <w:tcW w:w="1536" w:type="dxa"/>
            <w:vMerge/>
            <w:tcBorders>
              <w:left w:val="single" w:sz="8" w:space="0" w:color="000000"/>
            </w:tcBorders>
          </w:tcPr>
          <w:p>
            <w:pPr/>
          </w:p>
        </w:tc>
        <w:tc>
          <w:tcPr>
            <w:tcW w:w="862" w:type="dxa"/>
          </w:tcPr>
          <w:p>
            <w:pPr>
              <w:pStyle w:val="TableParagraph"/>
              <w:spacing w:before="6"/>
              <w:ind w:right="1"/>
              <w:rPr>
                <w:sz w:val="18"/>
              </w:rPr>
            </w:pPr>
            <w:r>
              <w:rPr>
                <w:color w:val="181818"/>
                <w:w w:val="99"/>
                <w:sz w:val="18"/>
              </w:rPr>
              <w:t>1</w:t>
            </w:r>
          </w:p>
        </w:tc>
        <w:tc>
          <w:tcPr>
            <w:tcW w:w="2792" w:type="dxa"/>
          </w:tcPr>
          <w:p>
            <w:pPr>
              <w:pStyle w:val="TableParagraph"/>
              <w:spacing w:before="6"/>
              <w:ind w:left="64"/>
              <w:jc w:val="left"/>
              <w:rPr>
                <w:sz w:val="18"/>
              </w:rPr>
            </w:pPr>
            <w:r>
              <w:rPr>
                <w:color w:val="181818"/>
                <w:sz w:val="18"/>
              </w:rPr>
              <w:t>Teotihuacán</w:t>
            </w:r>
          </w:p>
        </w:tc>
        <w:tc>
          <w:tcPr>
            <w:tcW w:w="1673" w:type="dxa"/>
          </w:tcPr>
          <w:p>
            <w:pPr/>
          </w:p>
        </w:tc>
        <w:tc>
          <w:tcPr>
            <w:tcW w:w="1882" w:type="dxa"/>
            <w:vMerge/>
            <w:tcBorders>
              <w:right w:val="single" w:sz="8" w:space="0" w:color="000000"/>
            </w:tcBorders>
          </w:tcPr>
          <w:p>
            <w:pPr/>
          </w:p>
        </w:tc>
      </w:tr>
      <w:tr>
        <w:trPr>
          <w:trHeight w:val="338" w:hRule="exact"/>
        </w:trPr>
        <w:tc>
          <w:tcPr>
            <w:tcW w:w="1536" w:type="dxa"/>
            <w:vMerge/>
            <w:tcBorders>
              <w:left w:val="single" w:sz="8" w:space="0" w:color="000000"/>
              <w:bottom w:val="single" w:sz="8" w:space="0" w:color="000000"/>
            </w:tcBorders>
          </w:tcPr>
          <w:p>
            <w:pPr/>
          </w:p>
        </w:tc>
        <w:tc>
          <w:tcPr>
            <w:tcW w:w="862" w:type="dxa"/>
            <w:tcBorders>
              <w:bottom w:val="single" w:sz="8" w:space="0" w:color="000000"/>
            </w:tcBorders>
          </w:tcPr>
          <w:p>
            <w:pPr>
              <w:pStyle w:val="TableParagraph"/>
              <w:spacing w:before="8"/>
              <w:ind w:right="1"/>
              <w:rPr>
                <w:sz w:val="18"/>
              </w:rPr>
            </w:pPr>
            <w:r>
              <w:rPr>
                <w:color w:val="181818"/>
                <w:w w:val="99"/>
                <w:sz w:val="18"/>
              </w:rPr>
              <w:t>1</w:t>
            </w:r>
          </w:p>
        </w:tc>
        <w:tc>
          <w:tcPr>
            <w:tcW w:w="2792" w:type="dxa"/>
            <w:tcBorders>
              <w:bottom w:val="single" w:sz="8" w:space="0" w:color="000000"/>
            </w:tcBorders>
          </w:tcPr>
          <w:p>
            <w:pPr>
              <w:pStyle w:val="TableParagraph"/>
              <w:spacing w:before="8"/>
              <w:ind w:left="64"/>
              <w:jc w:val="left"/>
              <w:rPr>
                <w:sz w:val="18"/>
              </w:rPr>
            </w:pPr>
            <w:r>
              <w:rPr>
                <w:color w:val="181818"/>
                <w:sz w:val="18"/>
              </w:rPr>
              <w:t>Valle de Chalco Solidaridad</w:t>
            </w:r>
          </w:p>
        </w:tc>
        <w:tc>
          <w:tcPr>
            <w:tcW w:w="1673" w:type="dxa"/>
            <w:tcBorders>
              <w:bottom w:val="single" w:sz="8" w:space="0" w:color="000000"/>
            </w:tcBorders>
          </w:tcPr>
          <w:p>
            <w:pPr/>
          </w:p>
        </w:tc>
        <w:tc>
          <w:tcPr>
            <w:tcW w:w="1882" w:type="dxa"/>
            <w:vMerge/>
            <w:tcBorders>
              <w:bottom w:val="single" w:sz="8" w:space="0" w:color="000000"/>
              <w:right w:val="single" w:sz="8" w:space="0" w:color="000000"/>
            </w:tcBorders>
          </w:tcPr>
          <w:p>
            <w:pPr/>
          </w:p>
        </w:tc>
      </w:tr>
      <w:tr>
        <w:trPr>
          <w:trHeight w:val="336" w:hRule="exact"/>
        </w:trPr>
        <w:tc>
          <w:tcPr>
            <w:tcW w:w="1536" w:type="dxa"/>
            <w:tcBorders>
              <w:top w:val="single" w:sz="8" w:space="0" w:color="000000"/>
              <w:left w:val="single" w:sz="8" w:space="0" w:color="000000"/>
              <w:bottom w:val="single" w:sz="8" w:space="0" w:color="000000"/>
            </w:tcBorders>
          </w:tcPr>
          <w:p>
            <w:pPr>
              <w:pStyle w:val="TableParagraph"/>
              <w:spacing w:line="206" w:lineRule="exact"/>
              <w:ind w:left="229" w:right="237"/>
              <w:rPr>
                <w:sz w:val="18"/>
              </w:rPr>
            </w:pPr>
            <w:r>
              <w:rPr>
                <w:sz w:val="18"/>
              </w:rPr>
              <w:t>PRD-MC</w:t>
            </w:r>
          </w:p>
        </w:tc>
        <w:tc>
          <w:tcPr>
            <w:tcW w:w="862" w:type="dxa"/>
            <w:tcBorders>
              <w:top w:val="single" w:sz="8" w:space="0" w:color="000000"/>
              <w:bottom w:val="single" w:sz="8" w:space="0" w:color="000000"/>
            </w:tcBorders>
          </w:tcPr>
          <w:p>
            <w:pPr>
              <w:pStyle w:val="TableParagraph"/>
              <w:spacing w:line="206" w:lineRule="exact"/>
              <w:ind w:right="1"/>
              <w:rPr>
                <w:sz w:val="18"/>
              </w:rPr>
            </w:pPr>
            <w:r>
              <w:rPr>
                <w:w w:val="99"/>
                <w:sz w:val="18"/>
              </w:rPr>
              <w:t>1</w:t>
            </w:r>
          </w:p>
        </w:tc>
        <w:tc>
          <w:tcPr>
            <w:tcW w:w="2792" w:type="dxa"/>
            <w:tcBorders>
              <w:top w:val="single" w:sz="8" w:space="0" w:color="000000"/>
              <w:bottom w:val="single" w:sz="8" w:space="0" w:color="000000"/>
            </w:tcBorders>
          </w:tcPr>
          <w:p>
            <w:pPr>
              <w:pStyle w:val="TableParagraph"/>
              <w:spacing w:line="206" w:lineRule="exact"/>
              <w:ind w:left="64"/>
              <w:jc w:val="left"/>
              <w:rPr>
                <w:sz w:val="18"/>
              </w:rPr>
            </w:pPr>
            <w:r>
              <w:rPr>
                <w:color w:val="181818"/>
                <w:sz w:val="18"/>
              </w:rPr>
              <w:t>Tultepec</w:t>
            </w:r>
          </w:p>
        </w:tc>
        <w:tc>
          <w:tcPr>
            <w:tcW w:w="1673" w:type="dxa"/>
            <w:tcBorders>
              <w:top w:val="single" w:sz="8" w:space="0" w:color="000000"/>
              <w:bottom w:val="single" w:sz="8" w:space="0" w:color="000000"/>
            </w:tcBorders>
          </w:tcPr>
          <w:p>
            <w:pPr/>
          </w:p>
        </w:tc>
        <w:tc>
          <w:tcPr>
            <w:tcW w:w="1882" w:type="dxa"/>
            <w:tcBorders>
              <w:top w:val="single" w:sz="8" w:space="0" w:color="000000"/>
              <w:bottom w:val="single" w:sz="8" w:space="0" w:color="000000"/>
              <w:right w:val="single" w:sz="8" w:space="0" w:color="000000"/>
            </w:tcBorders>
          </w:tcPr>
          <w:p>
            <w:pPr>
              <w:pStyle w:val="TableParagraph"/>
              <w:spacing w:line="206" w:lineRule="exact"/>
              <w:ind w:right="780"/>
              <w:jc w:val="right"/>
              <w:rPr>
                <w:sz w:val="18"/>
              </w:rPr>
            </w:pPr>
            <w:r>
              <w:rPr>
                <w:sz w:val="18"/>
              </w:rPr>
              <w:t>N/A</w:t>
            </w:r>
          </w:p>
        </w:tc>
      </w:tr>
      <w:tr>
        <w:trPr>
          <w:trHeight w:val="324" w:hRule="exact"/>
        </w:trPr>
        <w:tc>
          <w:tcPr>
            <w:tcW w:w="1536" w:type="dxa"/>
            <w:vMerge w:val="restart"/>
            <w:tcBorders>
              <w:top w:val="single" w:sz="8" w:space="0" w:color="000000"/>
              <w:left w:val="single" w:sz="8" w:space="0" w:color="000000"/>
            </w:tcBorders>
          </w:tcPr>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7"/>
              <w:jc w:val="left"/>
              <w:rPr>
                <w:sz w:val="17"/>
              </w:rPr>
            </w:pPr>
          </w:p>
          <w:p>
            <w:pPr>
              <w:pStyle w:val="TableParagraph"/>
              <w:spacing w:before="1"/>
              <w:ind w:left="424"/>
              <w:jc w:val="left"/>
              <w:rPr>
                <w:sz w:val="18"/>
              </w:rPr>
            </w:pPr>
            <w:r>
              <w:rPr>
                <w:sz w:val="18"/>
              </w:rPr>
              <w:t>PRD-PT</w:t>
            </w:r>
          </w:p>
        </w:tc>
        <w:tc>
          <w:tcPr>
            <w:tcW w:w="862" w:type="dxa"/>
            <w:tcBorders>
              <w:top w:val="single" w:sz="8" w:space="0" w:color="000000"/>
            </w:tcBorders>
          </w:tcPr>
          <w:p>
            <w:pPr>
              <w:pStyle w:val="TableParagraph"/>
              <w:spacing w:line="203" w:lineRule="exact"/>
              <w:ind w:right="1"/>
              <w:rPr>
                <w:sz w:val="18"/>
              </w:rPr>
            </w:pPr>
            <w:r>
              <w:rPr>
                <w:color w:val="181818"/>
                <w:w w:val="99"/>
                <w:sz w:val="18"/>
              </w:rPr>
              <w:t>1</w:t>
            </w:r>
          </w:p>
        </w:tc>
        <w:tc>
          <w:tcPr>
            <w:tcW w:w="2792" w:type="dxa"/>
            <w:tcBorders>
              <w:top w:val="single" w:sz="8" w:space="0" w:color="000000"/>
            </w:tcBorders>
          </w:tcPr>
          <w:p>
            <w:pPr>
              <w:pStyle w:val="TableParagraph"/>
              <w:spacing w:line="203" w:lineRule="exact"/>
              <w:ind w:left="64"/>
              <w:jc w:val="left"/>
              <w:rPr>
                <w:sz w:val="18"/>
              </w:rPr>
            </w:pPr>
            <w:r>
              <w:rPr>
                <w:color w:val="181818"/>
                <w:sz w:val="18"/>
              </w:rPr>
              <w:t>Ixtapan de la Sal</w:t>
            </w:r>
          </w:p>
        </w:tc>
        <w:tc>
          <w:tcPr>
            <w:tcW w:w="1673" w:type="dxa"/>
            <w:tcBorders>
              <w:top w:val="single" w:sz="8" w:space="0" w:color="000000"/>
            </w:tcBorders>
          </w:tcPr>
          <w:p>
            <w:pPr/>
          </w:p>
        </w:tc>
        <w:tc>
          <w:tcPr>
            <w:tcW w:w="1882" w:type="dxa"/>
            <w:vMerge w:val="restart"/>
            <w:tcBorders>
              <w:top w:val="single" w:sz="8" w:space="0" w:color="000000"/>
              <w:right w:val="single" w:sz="8" w:space="0" w:color="000000"/>
            </w:tcBorders>
          </w:tcPr>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7"/>
              <w:jc w:val="left"/>
              <w:rPr>
                <w:sz w:val="17"/>
              </w:rPr>
            </w:pPr>
          </w:p>
          <w:p>
            <w:pPr>
              <w:pStyle w:val="TableParagraph"/>
              <w:spacing w:before="1"/>
              <w:ind w:left="608" w:right="608"/>
              <w:rPr>
                <w:sz w:val="18"/>
              </w:rPr>
            </w:pPr>
            <w:r>
              <w:rPr>
                <w:sz w:val="18"/>
              </w:rPr>
              <w:t>16.40%</w:t>
            </w:r>
          </w:p>
        </w:tc>
      </w:tr>
      <w:tr>
        <w:trPr>
          <w:trHeight w:val="331" w:hRule="exact"/>
        </w:trPr>
        <w:tc>
          <w:tcPr>
            <w:tcW w:w="1536" w:type="dxa"/>
            <w:vMerge/>
            <w:tcBorders>
              <w:left w:val="single" w:sz="8" w:space="0" w:color="000000"/>
            </w:tcBorders>
          </w:tcPr>
          <w:p>
            <w:pPr/>
          </w:p>
        </w:tc>
        <w:tc>
          <w:tcPr>
            <w:tcW w:w="862" w:type="dxa"/>
          </w:tcPr>
          <w:p>
            <w:pPr>
              <w:pStyle w:val="TableParagraph"/>
              <w:spacing w:before="8"/>
              <w:ind w:right="1"/>
              <w:rPr>
                <w:sz w:val="18"/>
              </w:rPr>
            </w:pPr>
            <w:r>
              <w:rPr>
                <w:color w:val="181818"/>
                <w:w w:val="99"/>
                <w:sz w:val="18"/>
              </w:rPr>
              <w:t>1</w:t>
            </w:r>
          </w:p>
        </w:tc>
        <w:tc>
          <w:tcPr>
            <w:tcW w:w="2792" w:type="dxa"/>
          </w:tcPr>
          <w:p>
            <w:pPr>
              <w:pStyle w:val="TableParagraph"/>
              <w:spacing w:before="8"/>
              <w:ind w:left="64"/>
              <w:jc w:val="left"/>
              <w:rPr>
                <w:sz w:val="18"/>
              </w:rPr>
            </w:pPr>
            <w:r>
              <w:rPr>
                <w:color w:val="181818"/>
                <w:sz w:val="18"/>
              </w:rPr>
              <w:t>San Simón de Guerrero</w:t>
            </w:r>
          </w:p>
        </w:tc>
        <w:tc>
          <w:tcPr>
            <w:tcW w:w="1673" w:type="dxa"/>
          </w:tcPr>
          <w:p>
            <w:pPr/>
          </w:p>
        </w:tc>
        <w:tc>
          <w:tcPr>
            <w:tcW w:w="1882" w:type="dxa"/>
            <w:vMerge/>
            <w:tcBorders>
              <w:right w:val="single" w:sz="8" w:space="0" w:color="000000"/>
            </w:tcBorders>
          </w:tcPr>
          <w:p>
            <w:pPr/>
          </w:p>
        </w:tc>
      </w:tr>
      <w:tr>
        <w:trPr>
          <w:trHeight w:val="331" w:hRule="exact"/>
        </w:trPr>
        <w:tc>
          <w:tcPr>
            <w:tcW w:w="1536" w:type="dxa"/>
            <w:vMerge/>
            <w:tcBorders>
              <w:left w:val="single" w:sz="8" w:space="0" w:color="000000"/>
            </w:tcBorders>
          </w:tcPr>
          <w:p>
            <w:pPr/>
          </w:p>
        </w:tc>
        <w:tc>
          <w:tcPr>
            <w:tcW w:w="862" w:type="dxa"/>
          </w:tcPr>
          <w:p>
            <w:pPr>
              <w:pStyle w:val="TableParagraph"/>
              <w:spacing w:before="6"/>
              <w:ind w:right="1"/>
              <w:rPr>
                <w:sz w:val="18"/>
              </w:rPr>
            </w:pPr>
            <w:r>
              <w:rPr>
                <w:color w:val="181818"/>
                <w:w w:val="99"/>
                <w:sz w:val="18"/>
              </w:rPr>
              <w:t>1</w:t>
            </w:r>
          </w:p>
        </w:tc>
        <w:tc>
          <w:tcPr>
            <w:tcW w:w="2792" w:type="dxa"/>
          </w:tcPr>
          <w:p>
            <w:pPr>
              <w:pStyle w:val="TableParagraph"/>
              <w:spacing w:before="6"/>
              <w:ind w:left="64"/>
              <w:jc w:val="left"/>
              <w:rPr>
                <w:sz w:val="18"/>
              </w:rPr>
            </w:pPr>
            <w:r>
              <w:rPr>
                <w:color w:val="181818"/>
                <w:sz w:val="18"/>
              </w:rPr>
              <w:t>Santo Tomás</w:t>
            </w:r>
          </w:p>
        </w:tc>
        <w:tc>
          <w:tcPr>
            <w:tcW w:w="1673" w:type="dxa"/>
          </w:tcPr>
          <w:p>
            <w:pPr/>
          </w:p>
        </w:tc>
        <w:tc>
          <w:tcPr>
            <w:tcW w:w="1882" w:type="dxa"/>
            <w:vMerge/>
            <w:tcBorders>
              <w:right w:val="single" w:sz="8" w:space="0" w:color="000000"/>
            </w:tcBorders>
          </w:tcPr>
          <w:p>
            <w:pPr/>
          </w:p>
        </w:tc>
      </w:tr>
      <w:tr>
        <w:trPr>
          <w:trHeight w:val="329" w:hRule="exact"/>
        </w:trPr>
        <w:tc>
          <w:tcPr>
            <w:tcW w:w="1536" w:type="dxa"/>
            <w:vMerge/>
            <w:tcBorders>
              <w:left w:val="single" w:sz="8" w:space="0" w:color="000000"/>
            </w:tcBorders>
          </w:tcPr>
          <w:p>
            <w:pPr/>
          </w:p>
        </w:tc>
        <w:tc>
          <w:tcPr>
            <w:tcW w:w="862" w:type="dxa"/>
          </w:tcPr>
          <w:p>
            <w:pPr>
              <w:pStyle w:val="TableParagraph"/>
              <w:spacing w:before="6"/>
              <w:ind w:right="1"/>
              <w:rPr>
                <w:sz w:val="18"/>
              </w:rPr>
            </w:pPr>
            <w:r>
              <w:rPr>
                <w:color w:val="181818"/>
                <w:w w:val="99"/>
                <w:sz w:val="18"/>
              </w:rPr>
              <w:t>1</w:t>
            </w:r>
          </w:p>
        </w:tc>
        <w:tc>
          <w:tcPr>
            <w:tcW w:w="2792" w:type="dxa"/>
          </w:tcPr>
          <w:p>
            <w:pPr>
              <w:pStyle w:val="TableParagraph"/>
              <w:spacing w:before="6"/>
              <w:ind w:left="64"/>
              <w:jc w:val="left"/>
              <w:rPr>
                <w:sz w:val="18"/>
              </w:rPr>
            </w:pPr>
            <w:r>
              <w:rPr>
                <w:color w:val="181818"/>
                <w:sz w:val="18"/>
              </w:rPr>
              <w:t>Tonatico</w:t>
            </w:r>
          </w:p>
        </w:tc>
        <w:tc>
          <w:tcPr>
            <w:tcW w:w="1673" w:type="dxa"/>
          </w:tcPr>
          <w:p>
            <w:pPr/>
          </w:p>
        </w:tc>
        <w:tc>
          <w:tcPr>
            <w:tcW w:w="1882" w:type="dxa"/>
            <w:vMerge/>
            <w:tcBorders>
              <w:right w:val="single" w:sz="8" w:space="0" w:color="000000"/>
            </w:tcBorders>
          </w:tcPr>
          <w:p>
            <w:pPr/>
          </w:p>
        </w:tc>
      </w:tr>
      <w:tr>
        <w:trPr>
          <w:trHeight w:val="331" w:hRule="exact"/>
        </w:trPr>
        <w:tc>
          <w:tcPr>
            <w:tcW w:w="1536" w:type="dxa"/>
            <w:vMerge/>
            <w:tcBorders>
              <w:left w:val="single" w:sz="8" w:space="0" w:color="000000"/>
            </w:tcBorders>
          </w:tcPr>
          <w:p>
            <w:pPr/>
          </w:p>
        </w:tc>
        <w:tc>
          <w:tcPr>
            <w:tcW w:w="862" w:type="dxa"/>
          </w:tcPr>
          <w:p>
            <w:pPr>
              <w:pStyle w:val="TableParagraph"/>
              <w:spacing w:before="8"/>
              <w:ind w:right="1"/>
              <w:rPr>
                <w:sz w:val="18"/>
              </w:rPr>
            </w:pPr>
            <w:r>
              <w:rPr>
                <w:color w:val="181818"/>
                <w:w w:val="99"/>
                <w:sz w:val="18"/>
              </w:rPr>
              <w:t>1</w:t>
            </w:r>
          </w:p>
        </w:tc>
        <w:tc>
          <w:tcPr>
            <w:tcW w:w="2792" w:type="dxa"/>
          </w:tcPr>
          <w:p>
            <w:pPr>
              <w:pStyle w:val="TableParagraph"/>
              <w:spacing w:before="3"/>
              <w:ind w:left="64"/>
              <w:jc w:val="left"/>
              <w:rPr>
                <w:b/>
                <w:sz w:val="18"/>
              </w:rPr>
            </w:pPr>
            <w:r>
              <w:rPr>
                <w:b/>
                <w:color w:val="181818"/>
                <w:sz w:val="18"/>
              </w:rPr>
              <w:t>Villa de Allende</w:t>
            </w:r>
          </w:p>
        </w:tc>
        <w:tc>
          <w:tcPr>
            <w:tcW w:w="1673" w:type="dxa"/>
          </w:tcPr>
          <w:p>
            <w:pPr>
              <w:pStyle w:val="TableParagraph"/>
              <w:spacing w:before="8"/>
              <w:ind w:left="505" w:right="506"/>
              <w:rPr>
                <w:sz w:val="18"/>
              </w:rPr>
            </w:pPr>
            <w:r>
              <w:rPr>
                <w:sz w:val="18"/>
              </w:rPr>
              <w:t>16.40%</w:t>
            </w:r>
          </w:p>
        </w:tc>
        <w:tc>
          <w:tcPr>
            <w:tcW w:w="1882" w:type="dxa"/>
            <w:vMerge/>
            <w:tcBorders>
              <w:right w:val="single" w:sz="8" w:space="0" w:color="000000"/>
            </w:tcBorders>
          </w:tcPr>
          <w:p>
            <w:pPr/>
          </w:p>
        </w:tc>
      </w:tr>
      <w:tr>
        <w:trPr>
          <w:trHeight w:val="341" w:hRule="exact"/>
        </w:trPr>
        <w:tc>
          <w:tcPr>
            <w:tcW w:w="1536" w:type="dxa"/>
            <w:vMerge/>
            <w:tcBorders>
              <w:left w:val="single" w:sz="8" w:space="0" w:color="000000"/>
              <w:bottom w:val="single" w:sz="8" w:space="0" w:color="000000"/>
            </w:tcBorders>
          </w:tcPr>
          <w:p>
            <w:pPr/>
          </w:p>
        </w:tc>
        <w:tc>
          <w:tcPr>
            <w:tcW w:w="862" w:type="dxa"/>
            <w:tcBorders>
              <w:bottom w:val="single" w:sz="8" w:space="0" w:color="000000"/>
            </w:tcBorders>
          </w:tcPr>
          <w:p>
            <w:pPr>
              <w:pStyle w:val="TableParagraph"/>
              <w:spacing w:before="8"/>
              <w:ind w:right="1"/>
              <w:rPr>
                <w:sz w:val="18"/>
              </w:rPr>
            </w:pPr>
            <w:r>
              <w:rPr>
                <w:color w:val="181818"/>
                <w:w w:val="99"/>
                <w:sz w:val="18"/>
              </w:rPr>
              <w:t>1</w:t>
            </w:r>
          </w:p>
        </w:tc>
        <w:tc>
          <w:tcPr>
            <w:tcW w:w="2792" w:type="dxa"/>
            <w:tcBorders>
              <w:bottom w:val="single" w:sz="8" w:space="0" w:color="000000"/>
            </w:tcBorders>
          </w:tcPr>
          <w:p>
            <w:pPr>
              <w:pStyle w:val="TableParagraph"/>
              <w:spacing w:before="8"/>
              <w:ind w:left="64"/>
              <w:jc w:val="left"/>
              <w:rPr>
                <w:sz w:val="18"/>
              </w:rPr>
            </w:pPr>
            <w:r>
              <w:rPr>
                <w:color w:val="181818"/>
                <w:sz w:val="18"/>
              </w:rPr>
              <w:t>Luvianos</w:t>
            </w:r>
          </w:p>
        </w:tc>
        <w:tc>
          <w:tcPr>
            <w:tcW w:w="1673" w:type="dxa"/>
            <w:tcBorders>
              <w:bottom w:val="single" w:sz="8" w:space="0" w:color="000000"/>
            </w:tcBorders>
          </w:tcPr>
          <w:p>
            <w:pPr/>
          </w:p>
        </w:tc>
        <w:tc>
          <w:tcPr>
            <w:tcW w:w="1882" w:type="dxa"/>
            <w:vMerge/>
            <w:tcBorders>
              <w:bottom w:val="single" w:sz="8" w:space="0" w:color="000000"/>
              <w:right w:val="single" w:sz="8" w:space="0" w:color="000000"/>
            </w:tcBorders>
          </w:tcPr>
          <w:p>
            <w:pPr/>
          </w:p>
        </w:tc>
      </w:tr>
      <w:tr>
        <w:trPr>
          <w:trHeight w:val="329" w:hRule="exact"/>
        </w:trPr>
        <w:tc>
          <w:tcPr>
            <w:tcW w:w="1536" w:type="dxa"/>
            <w:tcBorders>
              <w:top w:val="single" w:sz="8" w:space="0" w:color="000000"/>
              <w:left w:val="single" w:sz="8" w:space="0" w:color="000000"/>
            </w:tcBorders>
          </w:tcPr>
          <w:p>
            <w:pPr>
              <w:pStyle w:val="TableParagraph"/>
              <w:spacing w:line="206" w:lineRule="exact"/>
              <w:ind w:left="234" w:right="237"/>
              <w:rPr>
                <w:sz w:val="18"/>
              </w:rPr>
            </w:pPr>
            <w:r>
              <w:rPr>
                <w:sz w:val="18"/>
              </w:rPr>
              <w:t>PRD-PT-MC</w:t>
            </w:r>
          </w:p>
        </w:tc>
        <w:tc>
          <w:tcPr>
            <w:tcW w:w="862" w:type="dxa"/>
            <w:tcBorders>
              <w:top w:val="single" w:sz="8" w:space="0" w:color="000000"/>
            </w:tcBorders>
          </w:tcPr>
          <w:p>
            <w:pPr>
              <w:pStyle w:val="TableParagraph"/>
              <w:spacing w:line="206" w:lineRule="exact"/>
              <w:ind w:right="1"/>
              <w:rPr>
                <w:sz w:val="18"/>
              </w:rPr>
            </w:pPr>
            <w:r>
              <w:rPr>
                <w:w w:val="99"/>
                <w:sz w:val="18"/>
              </w:rPr>
              <w:t>1</w:t>
            </w:r>
          </w:p>
        </w:tc>
        <w:tc>
          <w:tcPr>
            <w:tcW w:w="2792" w:type="dxa"/>
            <w:tcBorders>
              <w:top w:val="single" w:sz="8" w:space="0" w:color="000000"/>
            </w:tcBorders>
          </w:tcPr>
          <w:p>
            <w:pPr>
              <w:pStyle w:val="TableParagraph"/>
              <w:spacing w:line="206" w:lineRule="exact"/>
              <w:ind w:left="64"/>
              <w:jc w:val="left"/>
              <w:rPr>
                <w:sz w:val="18"/>
              </w:rPr>
            </w:pPr>
            <w:r>
              <w:rPr>
                <w:color w:val="181818"/>
                <w:sz w:val="18"/>
              </w:rPr>
              <w:t>Tlatlaya</w:t>
            </w:r>
          </w:p>
        </w:tc>
        <w:tc>
          <w:tcPr>
            <w:tcW w:w="1673" w:type="dxa"/>
            <w:tcBorders>
              <w:top w:val="single" w:sz="8" w:space="0" w:color="000000"/>
            </w:tcBorders>
          </w:tcPr>
          <w:p>
            <w:pPr/>
          </w:p>
        </w:tc>
        <w:tc>
          <w:tcPr>
            <w:tcW w:w="1882" w:type="dxa"/>
            <w:tcBorders>
              <w:top w:val="single" w:sz="8" w:space="0" w:color="000000"/>
              <w:right w:val="single" w:sz="8" w:space="0" w:color="000000"/>
            </w:tcBorders>
          </w:tcPr>
          <w:p>
            <w:pPr>
              <w:pStyle w:val="TableParagraph"/>
              <w:spacing w:line="206" w:lineRule="exact"/>
              <w:ind w:right="780"/>
              <w:jc w:val="right"/>
              <w:rPr>
                <w:sz w:val="18"/>
              </w:rPr>
            </w:pPr>
            <w:r>
              <w:rPr>
                <w:sz w:val="18"/>
              </w:rPr>
              <w:t>N/A</w:t>
            </w:r>
          </w:p>
        </w:tc>
      </w:tr>
      <w:tr>
        <w:trPr>
          <w:trHeight w:val="322" w:hRule="exact"/>
        </w:trPr>
        <w:tc>
          <w:tcPr>
            <w:tcW w:w="1536" w:type="dxa"/>
            <w:vMerge w:val="restart"/>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4"/>
              <w:jc w:val="left"/>
              <w:rPr>
                <w:sz w:val="25"/>
              </w:rPr>
            </w:pPr>
          </w:p>
          <w:p>
            <w:pPr>
              <w:pStyle w:val="TableParagraph"/>
              <w:ind w:left="172"/>
              <w:jc w:val="left"/>
              <w:rPr>
                <w:sz w:val="18"/>
              </w:rPr>
            </w:pPr>
            <w:r>
              <w:rPr>
                <w:sz w:val="18"/>
              </w:rPr>
              <w:t>PRI-PVEM-NA</w:t>
            </w:r>
          </w:p>
        </w:tc>
        <w:tc>
          <w:tcPr>
            <w:tcW w:w="862" w:type="dxa"/>
          </w:tcPr>
          <w:p>
            <w:pPr>
              <w:pStyle w:val="TableParagraph"/>
              <w:spacing w:line="206" w:lineRule="exact"/>
              <w:ind w:right="1"/>
              <w:rPr>
                <w:sz w:val="18"/>
              </w:rPr>
            </w:pPr>
            <w:r>
              <w:rPr>
                <w:w w:val="99"/>
                <w:sz w:val="18"/>
              </w:rPr>
              <w:t>1</w:t>
            </w:r>
          </w:p>
        </w:tc>
        <w:tc>
          <w:tcPr>
            <w:tcW w:w="2792" w:type="dxa"/>
          </w:tcPr>
          <w:p>
            <w:pPr>
              <w:pStyle w:val="TableParagraph"/>
              <w:spacing w:line="201" w:lineRule="exact"/>
              <w:ind w:left="64"/>
              <w:jc w:val="left"/>
              <w:rPr>
                <w:b/>
                <w:sz w:val="18"/>
              </w:rPr>
            </w:pPr>
            <w:r>
              <w:rPr>
                <w:b/>
                <w:color w:val="181818"/>
                <w:sz w:val="18"/>
              </w:rPr>
              <w:t>Acambay</w:t>
            </w:r>
          </w:p>
        </w:tc>
        <w:tc>
          <w:tcPr>
            <w:tcW w:w="1673" w:type="dxa"/>
          </w:tcPr>
          <w:p>
            <w:pPr>
              <w:pStyle w:val="TableParagraph"/>
              <w:spacing w:line="206" w:lineRule="exact"/>
              <w:ind w:left="505" w:right="506"/>
              <w:rPr>
                <w:sz w:val="18"/>
              </w:rPr>
            </w:pPr>
            <w:r>
              <w:rPr>
                <w:sz w:val="18"/>
              </w:rPr>
              <w:t>78.52%</w:t>
            </w:r>
          </w:p>
        </w:tc>
        <w:tc>
          <w:tcPr>
            <w:tcW w:w="1882" w:type="dxa"/>
            <w:vMerge w:val="restart"/>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4"/>
              <w:jc w:val="left"/>
              <w:rPr>
                <w:sz w:val="25"/>
              </w:rPr>
            </w:pPr>
          </w:p>
          <w:p>
            <w:pPr>
              <w:pStyle w:val="TableParagraph"/>
              <w:ind w:left="610" w:right="612"/>
              <w:rPr>
                <w:sz w:val="18"/>
              </w:rPr>
            </w:pPr>
            <w:r>
              <w:rPr>
                <w:sz w:val="18"/>
              </w:rPr>
              <w:t>91.91%</w:t>
            </w: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Acolman</w:t>
            </w:r>
          </w:p>
        </w:tc>
        <w:tc>
          <w:tcPr>
            <w:tcW w:w="1673" w:type="dxa"/>
          </w:tcPr>
          <w:p>
            <w:pPr/>
          </w:p>
        </w:tc>
        <w:tc>
          <w:tcPr>
            <w:tcW w:w="1882" w:type="dxa"/>
            <w:vMerge/>
          </w:tcPr>
          <w:p>
            <w:pPr/>
          </w:p>
        </w:tc>
      </w:tr>
      <w:tr>
        <w:trPr>
          <w:trHeight w:val="322" w:hRule="exact"/>
        </w:trPr>
        <w:tc>
          <w:tcPr>
            <w:tcW w:w="1536" w:type="dxa"/>
            <w:vMerge/>
          </w:tcPr>
          <w:p>
            <w:pPr/>
          </w:p>
        </w:tc>
        <w:tc>
          <w:tcPr>
            <w:tcW w:w="862" w:type="dxa"/>
          </w:tcPr>
          <w:p>
            <w:pPr>
              <w:pStyle w:val="TableParagraph"/>
              <w:spacing w:line="206" w:lineRule="exact"/>
              <w:ind w:right="1"/>
              <w:rPr>
                <w:sz w:val="18"/>
              </w:rPr>
            </w:pPr>
            <w:r>
              <w:rPr>
                <w:color w:val="181818"/>
                <w:w w:val="99"/>
                <w:sz w:val="18"/>
              </w:rPr>
              <w:t>1</w:t>
            </w:r>
          </w:p>
        </w:tc>
        <w:tc>
          <w:tcPr>
            <w:tcW w:w="2792" w:type="dxa"/>
          </w:tcPr>
          <w:p>
            <w:pPr>
              <w:pStyle w:val="TableParagraph"/>
              <w:spacing w:line="206" w:lineRule="exact"/>
              <w:ind w:left="64"/>
              <w:jc w:val="left"/>
              <w:rPr>
                <w:sz w:val="18"/>
              </w:rPr>
            </w:pPr>
            <w:r>
              <w:rPr>
                <w:color w:val="181818"/>
                <w:sz w:val="18"/>
              </w:rPr>
              <w:t>Aculco</w:t>
            </w:r>
          </w:p>
        </w:tc>
        <w:tc>
          <w:tcPr>
            <w:tcW w:w="1673" w:type="dxa"/>
          </w:tcPr>
          <w:p>
            <w:pPr/>
          </w:p>
        </w:tc>
        <w:tc>
          <w:tcPr>
            <w:tcW w:w="1882"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Almoloya de Alquisiras</w:t>
            </w:r>
          </w:p>
        </w:tc>
        <w:tc>
          <w:tcPr>
            <w:tcW w:w="1673" w:type="dxa"/>
          </w:tcPr>
          <w:p>
            <w:pPr/>
          </w:p>
        </w:tc>
        <w:tc>
          <w:tcPr>
            <w:tcW w:w="1882" w:type="dxa"/>
            <w:vMerge/>
          </w:tcPr>
          <w:p>
            <w:pPr/>
          </w:p>
        </w:tc>
      </w:tr>
      <w:tr>
        <w:trPr>
          <w:trHeight w:val="322" w:hRule="exact"/>
        </w:trPr>
        <w:tc>
          <w:tcPr>
            <w:tcW w:w="1536" w:type="dxa"/>
            <w:vMerge/>
          </w:tcPr>
          <w:p>
            <w:pPr/>
          </w:p>
        </w:tc>
        <w:tc>
          <w:tcPr>
            <w:tcW w:w="862" w:type="dxa"/>
          </w:tcPr>
          <w:p>
            <w:pPr>
              <w:pStyle w:val="TableParagraph"/>
              <w:spacing w:line="206" w:lineRule="exact"/>
              <w:ind w:right="1"/>
              <w:rPr>
                <w:sz w:val="18"/>
              </w:rPr>
            </w:pPr>
            <w:r>
              <w:rPr>
                <w:color w:val="181818"/>
                <w:w w:val="99"/>
                <w:sz w:val="18"/>
              </w:rPr>
              <w:t>1</w:t>
            </w:r>
          </w:p>
        </w:tc>
        <w:tc>
          <w:tcPr>
            <w:tcW w:w="2792" w:type="dxa"/>
          </w:tcPr>
          <w:p>
            <w:pPr>
              <w:pStyle w:val="TableParagraph"/>
              <w:spacing w:line="206" w:lineRule="exact"/>
              <w:ind w:left="64"/>
              <w:jc w:val="left"/>
              <w:rPr>
                <w:sz w:val="18"/>
              </w:rPr>
            </w:pPr>
            <w:r>
              <w:rPr>
                <w:color w:val="181818"/>
                <w:sz w:val="18"/>
              </w:rPr>
              <w:t>Almoloya de Juárez</w:t>
            </w:r>
          </w:p>
        </w:tc>
        <w:tc>
          <w:tcPr>
            <w:tcW w:w="1673" w:type="dxa"/>
          </w:tcPr>
          <w:p>
            <w:pPr/>
          </w:p>
        </w:tc>
        <w:tc>
          <w:tcPr>
            <w:tcW w:w="1882" w:type="dxa"/>
            <w:vMerge/>
          </w:tcPr>
          <w:p>
            <w:pPr/>
          </w:p>
        </w:tc>
      </w:tr>
      <w:tr>
        <w:trPr>
          <w:trHeight w:val="322"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Almoloya del Río</w:t>
            </w:r>
          </w:p>
        </w:tc>
        <w:tc>
          <w:tcPr>
            <w:tcW w:w="1673" w:type="dxa"/>
          </w:tcPr>
          <w:p>
            <w:pPr/>
          </w:p>
        </w:tc>
        <w:tc>
          <w:tcPr>
            <w:tcW w:w="1882"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Amanalco</w:t>
            </w:r>
          </w:p>
        </w:tc>
        <w:tc>
          <w:tcPr>
            <w:tcW w:w="1673" w:type="dxa"/>
          </w:tcPr>
          <w:p>
            <w:pPr/>
          </w:p>
        </w:tc>
        <w:tc>
          <w:tcPr>
            <w:tcW w:w="1882" w:type="dxa"/>
            <w:vMerge/>
          </w:tcPr>
          <w:p>
            <w:pPr/>
          </w:p>
        </w:tc>
      </w:tr>
      <w:tr>
        <w:trPr>
          <w:trHeight w:val="322"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Amatepec</w:t>
            </w:r>
          </w:p>
        </w:tc>
        <w:tc>
          <w:tcPr>
            <w:tcW w:w="1673" w:type="dxa"/>
          </w:tcPr>
          <w:p>
            <w:pPr/>
          </w:p>
        </w:tc>
        <w:tc>
          <w:tcPr>
            <w:tcW w:w="1882" w:type="dxa"/>
            <w:vMerge/>
          </w:tcPr>
          <w:p>
            <w:pPr/>
          </w:p>
        </w:tc>
      </w:tr>
    </w:tbl>
    <w:p>
      <w:pPr>
        <w:spacing w:after="0"/>
        <w:sectPr>
          <w:pgSz w:w="12240" w:h="15840"/>
          <w:pgMar w:header="0" w:footer="975" w:top="1420" w:bottom="1160" w:left="1580" w:right="168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36"/>
        <w:gridCol w:w="862"/>
        <w:gridCol w:w="2792"/>
        <w:gridCol w:w="1673"/>
        <w:gridCol w:w="1880"/>
      </w:tblGrid>
      <w:tr>
        <w:trPr>
          <w:trHeight w:val="311" w:hRule="exact"/>
        </w:trPr>
        <w:tc>
          <w:tcPr>
            <w:tcW w:w="8742" w:type="dxa"/>
            <w:gridSpan w:val="5"/>
            <w:tcBorders>
              <w:bottom w:val="single" w:sz="4" w:space="0" w:color="000000"/>
            </w:tcBorders>
            <w:shd w:val="clear" w:color="auto" w:fill="92D050"/>
          </w:tcPr>
          <w:p>
            <w:pPr>
              <w:pStyle w:val="TableParagraph"/>
              <w:spacing w:before="38"/>
              <w:ind w:left="88"/>
              <w:jc w:val="left"/>
              <w:rPr>
                <w:b/>
                <w:sz w:val="18"/>
              </w:rPr>
            </w:pPr>
            <w:r>
              <w:rPr>
                <w:b/>
                <w:sz w:val="18"/>
              </w:rPr>
              <w:t>Anexo 12. Porcentaje de cumplimiento por municipio y por partido político Año 2013 (Continuación)</w:t>
            </w:r>
          </w:p>
        </w:tc>
      </w:tr>
      <w:tr>
        <w:trPr>
          <w:trHeight w:val="423" w:hRule="exact"/>
        </w:trPr>
        <w:tc>
          <w:tcPr>
            <w:tcW w:w="1536" w:type="dxa"/>
            <w:tcBorders>
              <w:top w:val="single" w:sz="4" w:space="0" w:color="000000"/>
            </w:tcBorders>
            <w:shd w:val="clear" w:color="auto" w:fill="92D050"/>
          </w:tcPr>
          <w:p>
            <w:pPr>
              <w:pStyle w:val="TableParagraph"/>
              <w:spacing w:before="94"/>
              <w:ind w:left="64"/>
              <w:jc w:val="left"/>
              <w:rPr>
                <w:b/>
                <w:sz w:val="18"/>
              </w:rPr>
            </w:pPr>
            <w:r>
              <w:rPr>
                <w:b/>
                <w:sz w:val="18"/>
              </w:rPr>
              <w:t>Partido</w:t>
            </w:r>
          </w:p>
        </w:tc>
        <w:tc>
          <w:tcPr>
            <w:tcW w:w="862" w:type="dxa"/>
            <w:tcBorders>
              <w:top w:val="single" w:sz="4" w:space="0" w:color="000000"/>
            </w:tcBorders>
            <w:shd w:val="clear" w:color="auto" w:fill="92D050"/>
          </w:tcPr>
          <w:p>
            <w:pPr>
              <w:pStyle w:val="TableParagraph"/>
              <w:spacing w:before="94"/>
              <w:ind w:left="90" w:right="91"/>
              <w:rPr>
                <w:b/>
                <w:sz w:val="18"/>
              </w:rPr>
            </w:pPr>
            <w:r>
              <w:rPr>
                <w:b/>
                <w:sz w:val="18"/>
              </w:rPr>
              <w:t>Genero</w:t>
            </w:r>
          </w:p>
        </w:tc>
        <w:tc>
          <w:tcPr>
            <w:tcW w:w="2792" w:type="dxa"/>
            <w:tcBorders>
              <w:top w:val="single" w:sz="4" w:space="0" w:color="000000"/>
            </w:tcBorders>
            <w:shd w:val="clear" w:color="auto" w:fill="92D050"/>
          </w:tcPr>
          <w:p>
            <w:pPr>
              <w:pStyle w:val="TableParagraph"/>
              <w:spacing w:before="94"/>
              <w:ind w:left="64"/>
              <w:jc w:val="left"/>
              <w:rPr>
                <w:b/>
                <w:sz w:val="18"/>
              </w:rPr>
            </w:pPr>
            <w:r>
              <w:rPr>
                <w:b/>
                <w:sz w:val="18"/>
              </w:rPr>
              <w:t>Municipio gobernado</w:t>
            </w:r>
          </w:p>
        </w:tc>
        <w:tc>
          <w:tcPr>
            <w:tcW w:w="1673" w:type="dxa"/>
            <w:tcBorders>
              <w:top w:val="single" w:sz="4" w:space="0" w:color="000000"/>
            </w:tcBorders>
            <w:shd w:val="clear" w:color="auto" w:fill="92D050"/>
          </w:tcPr>
          <w:p>
            <w:pPr>
              <w:pStyle w:val="TableParagraph"/>
              <w:ind w:left="244" w:right="229" w:firstLine="376"/>
              <w:jc w:val="left"/>
              <w:rPr>
                <w:b/>
                <w:sz w:val="18"/>
              </w:rPr>
            </w:pPr>
            <w:r>
              <w:rPr>
                <w:b/>
                <w:sz w:val="18"/>
              </w:rPr>
              <w:t>% de cumplimiento</w:t>
            </w:r>
          </w:p>
        </w:tc>
        <w:tc>
          <w:tcPr>
            <w:tcW w:w="1880" w:type="dxa"/>
            <w:tcBorders>
              <w:top w:val="single" w:sz="4" w:space="0" w:color="000000"/>
            </w:tcBorders>
            <w:shd w:val="clear" w:color="auto" w:fill="92D050"/>
          </w:tcPr>
          <w:p>
            <w:pPr>
              <w:pStyle w:val="TableParagraph"/>
              <w:ind w:left="347" w:right="333" w:firstLine="14"/>
              <w:jc w:val="left"/>
              <w:rPr>
                <w:b/>
                <w:sz w:val="18"/>
              </w:rPr>
            </w:pPr>
            <w:r>
              <w:rPr>
                <w:b/>
                <w:sz w:val="18"/>
              </w:rPr>
              <w:t>Promedio del cumplimiento</w:t>
            </w:r>
          </w:p>
        </w:tc>
      </w:tr>
      <w:tr>
        <w:trPr>
          <w:trHeight w:val="322" w:hRule="exact"/>
        </w:trPr>
        <w:tc>
          <w:tcPr>
            <w:tcW w:w="1536" w:type="dxa"/>
            <w:vMerge w:val="restart"/>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5"/>
              <w:jc w:val="left"/>
              <w:rPr>
                <w:sz w:val="19"/>
              </w:rPr>
            </w:pPr>
          </w:p>
          <w:p>
            <w:pPr>
              <w:pStyle w:val="TableParagraph"/>
              <w:ind w:left="64"/>
              <w:jc w:val="left"/>
              <w:rPr>
                <w:sz w:val="18"/>
              </w:rPr>
            </w:pPr>
            <w:r>
              <w:rPr>
                <w:sz w:val="18"/>
              </w:rPr>
              <w:t>PRI-PVEM-NA</w:t>
            </w: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Amecameca</w:t>
            </w:r>
          </w:p>
        </w:tc>
        <w:tc>
          <w:tcPr>
            <w:tcW w:w="1673" w:type="dxa"/>
          </w:tcPr>
          <w:p>
            <w:pPr/>
          </w:p>
        </w:tc>
        <w:tc>
          <w:tcPr>
            <w:tcW w:w="1880" w:type="dxa"/>
            <w:vMerge w:val="restart"/>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5"/>
              <w:jc w:val="left"/>
              <w:rPr>
                <w:sz w:val="19"/>
              </w:rPr>
            </w:pPr>
          </w:p>
          <w:p>
            <w:pPr>
              <w:pStyle w:val="TableParagraph"/>
              <w:ind w:left="609" w:right="610"/>
              <w:rPr>
                <w:sz w:val="18"/>
              </w:rPr>
            </w:pPr>
            <w:r>
              <w:rPr>
                <w:sz w:val="18"/>
              </w:rPr>
              <w:t>91.91%</w:t>
            </w: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Atenco</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Atizapán</w:t>
            </w:r>
          </w:p>
        </w:tc>
        <w:tc>
          <w:tcPr>
            <w:tcW w:w="1673" w:type="dxa"/>
          </w:tcPr>
          <w:p>
            <w:pPr/>
          </w:p>
        </w:tc>
        <w:tc>
          <w:tcPr>
            <w:tcW w:w="1880"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Atlacomulco</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6" w:lineRule="exact"/>
              <w:ind w:right="1"/>
              <w:rPr>
                <w:sz w:val="18"/>
              </w:rPr>
            </w:pPr>
            <w:r>
              <w:rPr>
                <w:color w:val="181818"/>
                <w:w w:val="99"/>
                <w:sz w:val="18"/>
              </w:rPr>
              <w:t>1</w:t>
            </w:r>
          </w:p>
        </w:tc>
        <w:tc>
          <w:tcPr>
            <w:tcW w:w="2792" w:type="dxa"/>
          </w:tcPr>
          <w:p>
            <w:pPr>
              <w:pStyle w:val="TableParagraph"/>
              <w:spacing w:line="206" w:lineRule="exact"/>
              <w:ind w:left="64"/>
              <w:jc w:val="left"/>
              <w:rPr>
                <w:sz w:val="18"/>
              </w:rPr>
            </w:pPr>
            <w:r>
              <w:rPr>
                <w:color w:val="181818"/>
                <w:sz w:val="18"/>
              </w:rPr>
              <w:t>Axapusco</w:t>
            </w:r>
          </w:p>
        </w:tc>
        <w:tc>
          <w:tcPr>
            <w:tcW w:w="1673" w:type="dxa"/>
          </w:tcPr>
          <w:p>
            <w:pPr/>
          </w:p>
        </w:tc>
        <w:tc>
          <w:tcPr>
            <w:tcW w:w="1880"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Ayapango</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6" w:lineRule="exact"/>
              <w:ind w:right="1"/>
              <w:rPr>
                <w:sz w:val="18"/>
              </w:rPr>
            </w:pPr>
            <w:r>
              <w:rPr>
                <w:color w:val="181818"/>
                <w:w w:val="99"/>
                <w:sz w:val="18"/>
              </w:rPr>
              <w:t>2</w:t>
            </w:r>
          </w:p>
        </w:tc>
        <w:tc>
          <w:tcPr>
            <w:tcW w:w="2792" w:type="dxa"/>
          </w:tcPr>
          <w:p>
            <w:pPr>
              <w:pStyle w:val="TableParagraph"/>
              <w:spacing w:line="206" w:lineRule="exact"/>
              <w:ind w:left="64"/>
              <w:jc w:val="left"/>
              <w:rPr>
                <w:sz w:val="18"/>
              </w:rPr>
            </w:pPr>
            <w:r>
              <w:rPr>
                <w:color w:val="181818"/>
                <w:sz w:val="18"/>
              </w:rPr>
              <w:t>Capulhuac</w:t>
            </w:r>
          </w:p>
        </w:tc>
        <w:tc>
          <w:tcPr>
            <w:tcW w:w="1673" w:type="dxa"/>
          </w:tcPr>
          <w:p>
            <w:pPr/>
          </w:p>
        </w:tc>
        <w:tc>
          <w:tcPr>
            <w:tcW w:w="1880"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Coacalco de Berriozábal</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6" w:lineRule="exact"/>
              <w:ind w:right="1"/>
              <w:rPr>
                <w:sz w:val="18"/>
              </w:rPr>
            </w:pPr>
            <w:r>
              <w:rPr>
                <w:color w:val="181818"/>
                <w:w w:val="99"/>
                <w:sz w:val="18"/>
              </w:rPr>
              <w:t>1</w:t>
            </w:r>
          </w:p>
        </w:tc>
        <w:tc>
          <w:tcPr>
            <w:tcW w:w="2792" w:type="dxa"/>
          </w:tcPr>
          <w:p>
            <w:pPr>
              <w:pStyle w:val="TableParagraph"/>
              <w:spacing w:line="206" w:lineRule="exact"/>
              <w:ind w:left="64"/>
              <w:jc w:val="left"/>
              <w:rPr>
                <w:sz w:val="18"/>
              </w:rPr>
            </w:pPr>
            <w:r>
              <w:rPr>
                <w:color w:val="181818"/>
                <w:sz w:val="18"/>
              </w:rPr>
              <w:t>Cocotitlán</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4" w:lineRule="exact"/>
              <w:ind w:right="1"/>
              <w:rPr>
                <w:sz w:val="18"/>
              </w:rPr>
            </w:pPr>
            <w:r>
              <w:rPr>
                <w:color w:val="181818"/>
                <w:w w:val="99"/>
                <w:sz w:val="18"/>
              </w:rPr>
              <w:t>1</w:t>
            </w:r>
          </w:p>
        </w:tc>
        <w:tc>
          <w:tcPr>
            <w:tcW w:w="2792" w:type="dxa"/>
          </w:tcPr>
          <w:p>
            <w:pPr>
              <w:pStyle w:val="TableParagraph"/>
              <w:spacing w:line="204" w:lineRule="exact"/>
              <w:ind w:left="64"/>
              <w:jc w:val="left"/>
              <w:rPr>
                <w:sz w:val="18"/>
              </w:rPr>
            </w:pPr>
            <w:r>
              <w:rPr>
                <w:color w:val="181818"/>
                <w:sz w:val="18"/>
              </w:rPr>
              <w:t>Coyotepec</w:t>
            </w:r>
          </w:p>
        </w:tc>
        <w:tc>
          <w:tcPr>
            <w:tcW w:w="1673" w:type="dxa"/>
          </w:tcPr>
          <w:p>
            <w:pPr/>
          </w:p>
        </w:tc>
        <w:tc>
          <w:tcPr>
            <w:tcW w:w="1880"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Cuautitlán</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Chalco</w:t>
            </w:r>
          </w:p>
        </w:tc>
        <w:tc>
          <w:tcPr>
            <w:tcW w:w="1673" w:type="dxa"/>
          </w:tcPr>
          <w:p>
            <w:pPr/>
          </w:p>
        </w:tc>
        <w:tc>
          <w:tcPr>
            <w:tcW w:w="1880"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Chapultepec</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Chiautla</w:t>
            </w:r>
          </w:p>
        </w:tc>
        <w:tc>
          <w:tcPr>
            <w:tcW w:w="1673" w:type="dxa"/>
          </w:tcPr>
          <w:p>
            <w:pPr/>
          </w:p>
        </w:tc>
        <w:tc>
          <w:tcPr>
            <w:tcW w:w="1880"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Chicoloapan</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Chimalhuacán</w:t>
            </w:r>
          </w:p>
        </w:tc>
        <w:tc>
          <w:tcPr>
            <w:tcW w:w="1673" w:type="dxa"/>
          </w:tcPr>
          <w:p>
            <w:pPr/>
          </w:p>
        </w:tc>
        <w:tc>
          <w:tcPr>
            <w:tcW w:w="1880"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Donato Guerra</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Ecatepec de Morelos</w:t>
            </w:r>
          </w:p>
        </w:tc>
        <w:tc>
          <w:tcPr>
            <w:tcW w:w="1673" w:type="dxa"/>
          </w:tcPr>
          <w:p>
            <w:pPr/>
          </w:p>
        </w:tc>
        <w:tc>
          <w:tcPr>
            <w:tcW w:w="1880"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Ecatzingo</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199" w:lineRule="exact"/>
              <w:ind w:left="64"/>
              <w:jc w:val="left"/>
              <w:rPr>
                <w:b/>
                <w:sz w:val="18"/>
              </w:rPr>
            </w:pPr>
            <w:r>
              <w:rPr>
                <w:b/>
                <w:color w:val="181818"/>
                <w:sz w:val="18"/>
              </w:rPr>
              <w:t>Huixquilucan</w:t>
            </w:r>
          </w:p>
        </w:tc>
        <w:tc>
          <w:tcPr>
            <w:tcW w:w="1673" w:type="dxa"/>
          </w:tcPr>
          <w:p>
            <w:pPr>
              <w:pStyle w:val="TableParagraph"/>
              <w:spacing w:line="203" w:lineRule="exact"/>
              <w:ind w:right="474"/>
              <w:jc w:val="right"/>
              <w:rPr>
                <w:sz w:val="18"/>
              </w:rPr>
            </w:pPr>
            <w:r>
              <w:rPr>
                <w:sz w:val="18"/>
              </w:rPr>
              <w:t>100.00%</w:t>
            </w:r>
          </w:p>
        </w:tc>
        <w:tc>
          <w:tcPr>
            <w:tcW w:w="1880" w:type="dxa"/>
            <w:vMerge/>
          </w:tcPr>
          <w:p>
            <w:pPr/>
          </w:p>
        </w:tc>
      </w:tr>
      <w:tr>
        <w:trPr>
          <w:trHeight w:val="320" w:hRule="exact"/>
        </w:trPr>
        <w:tc>
          <w:tcPr>
            <w:tcW w:w="1536" w:type="dxa"/>
            <w:vMerge/>
          </w:tcPr>
          <w:p>
            <w:pPr/>
          </w:p>
        </w:tc>
        <w:tc>
          <w:tcPr>
            <w:tcW w:w="862" w:type="dxa"/>
          </w:tcPr>
          <w:p>
            <w:pPr>
              <w:pStyle w:val="TableParagraph"/>
              <w:spacing w:line="204" w:lineRule="exact"/>
              <w:ind w:right="1"/>
              <w:rPr>
                <w:sz w:val="18"/>
              </w:rPr>
            </w:pPr>
            <w:r>
              <w:rPr>
                <w:color w:val="181818"/>
                <w:w w:val="99"/>
                <w:sz w:val="18"/>
              </w:rPr>
              <w:t>1</w:t>
            </w:r>
          </w:p>
        </w:tc>
        <w:tc>
          <w:tcPr>
            <w:tcW w:w="2792" w:type="dxa"/>
          </w:tcPr>
          <w:p>
            <w:pPr>
              <w:pStyle w:val="TableParagraph"/>
              <w:spacing w:line="204" w:lineRule="exact"/>
              <w:ind w:left="64"/>
              <w:jc w:val="left"/>
              <w:rPr>
                <w:sz w:val="18"/>
              </w:rPr>
            </w:pPr>
            <w:r>
              <w:rPr>
                <w:color w:val="181818"/>
                <w:sz w:val="18"/>
              </w:rPr>
              <w:t>Isidro Fabela</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6" w:lineRule="exact"/>
              <w:ind w:right="1"/>
              <w:rPr>
                <w:sz w:val="18"/>
              </w:rPr>
            </w:pPr>
            <w:r>
              <w:rPr>
                <w:color w:val="181818"/>
                <w:w w:val="99"/>
                <w:sz w:val="18"/>
              </w:rPr>
              <w:t>2</w:t>
            </w:r>
          </w:p>
        </w:tc>
        <w:tc>
          <w:tcPr>
            <w:tcW w:w="2792" w:type="dxa"/>
          </w:tcPr>
          <w:p>
            <w:pPr>
              <w:pStyle w:val="TableParagraph"/>
              <w:spacing w:line="206" w:lineRule="exact"/>
              <w:ind w:left="64"/>
              <w:jc w:val="left"/>
              <w:rPr>
                <w:sz w:val="18"/>
              </w:rPr>
            </w:pPr>
            <w:r>
              <w:rPr>
                <w:color w:val="181818"/>
                <w:sz w:val="18"/>
              </w:rPr>
              <w:t>Ixtapaluca</w:t>
            </w:r>
          </w:p>
        </w:tc>
        <w:tc>
          <w:tcPr>
            <w:tcW w:w="1673" w:type="dxa"/>
          </w:tcPr>
          <w:p>
            <w:pPr/>
          </w:p>
        </w:tc>
        <w:tc>
          <w:tcPr>
            <w:tcW w:w="1880"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Ixtapan del Oro</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6" w:lineRule="exact"/>
              <w:ind w:right="1"/>
              <w:rPr>
                <w:sz w:val="18"/>
              </w:rPr>
            </w:pPr>
            <w:r>
              <w:rPr>
                <w:color w:val="181818"/>
                <w:w w:val="99"/>
                <w:sz w:val="18"/>
              </w:rPr>
              <w:t>1</w:t>
            </w:r>
          </w:p>
        </w:tc>
        <w:tc>
          <w:tcPr>
            <w:tcW w:w="2792" w:type="dxa"/>
          </w:tcPr>
          <w:p>
            <w:pPr>
              <w:pStyle w:val="TableParagraph"/>
              <w:spacing w:line="206" w:lineRule="exact"/>
              <w:ind w:left="64"/>
              <w:jc w:val="left"/>
              <w:rPr>
                <w:sz w:val="18"/>
              </w:rPr>
            </w:pPr>
            <w:r>
              <w:rPr>
                <w:color w:val="181818"/>
                <w:sz w:val="18"/>
              </w:rPr>
              <w:t>Ixtlahuaca</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Xalatlaco</w:t>
            </w:r>
          </w:p>
        </w:tc>
        <w:tc>
          <w:tcPr>
            <w:tcW w:w="1673" w:type="dxa"/>
          </w:tcPr>
          <w:p>
            <w:pPr/>
          </w:p>
        </w:tc>
        <w:tc>
          <w:tcPr>
            <w:tcW w:w="1880"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Jaltenco</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Jilotepec</w:t>
            </w:r>
          </w:p>
        </w:tc>
        <w:tc>
          <w:tcPr>
            <w:tcW w:w="1673" w:type="dxa"/>
          </w:tcPr>
          <w:p>
            <w:pPr/>
          </w:p>
        </w:tc>
        <w:tc>
          <w:tcPr>
            <w:tcW w:w="1880"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Jilotzingo</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Jiquipilco</w:t>
            </w:r>
          </w:p>
        </w:tc>
        <w:tc>
          <w:tcPr>
            <w:tcW w:w="1673" w:type="dxa"/>
          </w:tcPr>
          <w:p>
            <w:pPr/>
          </w:p>
        </w:tc>
        <w:tc>
          <w:tcPr>
            <w:tcW w:w="1880"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Jocotitlán</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Juchitepec</w:t>
            </w:r>
          </w:p>
        </w:tc>
        <w:tc>
          <w:tcPr>
            <w:tcW w:w="1673" w:type="dxa"/>
          </w:tcPr>
          <w:p>
            <w:pPr/>
          </w:p>
        </w:tc>
        <w:tc>
          <w:tcPr>
            <w:tcW w:w="1880" w:type="dxa"/>
            <w:vMerge/>
          </w:tcPr>
          <w:p>
            <w:pPr/>
          </w:p>
        </w:tc>
      </w:tr>
      <w:tr>
        <w:trPr>
          <w:trHeight w:val="320" w:hRule="exact"/>
        </w:trPr>
        <w:tc>
          <w:tcPr>
            <w:tcW w:w="1536" w:type="dxa"/>
            <w:vMerge/>
          </w:tcPr>
          <w:p>
            <w:pPr/>
          </w:p>
        </w:tc>
        <w:tc>
          <w:tcPr>
            <w:tcW w:w="862" w:type="dxa"/>
          </w:tcPr>
          <w:p>
            <w:pPr>
              <w:pStyle w:val="TableParagraph"/>
              <w:spacing w:line="204" w:lineRule="exact"/>
              <w:ind w:right="1"/>
              <w:rPr>
                <w:sz w:val="18"/>
              </w:rPr>
            </w:pPr>
            <w:r>
              <w:rPr>
                <w:color w:val="181818"/>
                <w:w w:val="99"/>
                <w:sz w:val="18"/>
              </w:rPr>
              <w:t>1</w:t>
            </w:r>
          </w:p>
        </w:tc>
        <w:tc>
          <w:tcPr>
            <w:tcW w:w="2792" w:type="dxa"/>
          </w:tcPr>
          <w:p>
            <w:pPr>
              <w:pStyle w:val="TableParagraph"/>
              <w:spacing w:line="204" w:lineRule="exact"/>
              <w:ind w:left="64"/>
              <w:jc w:val="left"/>
              <w:rPr>
                <w:sz w:val="18"/>
              </w:rPr>
            </w:pPr>
            <w:r>
              <w:rPr>
                <w:color w:val="181818"/>
                <w:sz w:val="18"/>
              </w:rPr>
              <w:t>Lerma</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Malinalco</w:t>
            </w:r>
          </w:p>
        </w:tc>
        <w:tc>
          <w:tcPr>
            <w:tcW w:w="1673" w:type="dxa"/>
          </w:tcPr>
          <w:p>
            <w:pPr/>
          </w:p>
        </w:tc>
        <w:tc>
          <w:tcPr>
            <w:tcW w:w="1880"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Melchor Ocampo</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3" w:lineRule="exact"/>
              <w:ind w:right="1"/>
              <w:rPr>
                <w:sz w:val="18"/>
              </w:rPr>
            </w:pPr>
            <w:r>
              <w:rPr>
                <w:color w:val="181818"/>
                <w:w w:val="99"/>
                <w:sz w:val="18"/>
              </w:rPr>
              <w:t>2</w:t>
            </w:r>
          </w:p>
        </w:tc>
        <w:tc>
          <w:tcPr>
            <w:tcW w:w="2792" w:type="dxa"/>
          </w:tcPr>
          <w:p>
            <w:pPr>
              <w:pStyle w:val="TableParagraph"/>
              <w:spacing w:line="199" w:lineRule="exact"/>
              <w:ind w:left="64"/>
              <w:jc w:val="left"/>
              <w:rPr>
                <w:b/>
                <w:sz w:val="18"/>
              </w:rPr>
            </w:pPr>
            <w:r>
              <w:rPr>
                <w:b/>
                <w:color w:val="181818"/>
                <w:sz w:val="18"/>
              </w:rPr>
              <w:t>Metepec</w:t>
            </w:r>
          </w:p>
        </w:tc>
        <w:tc>
          <w:tcPr>
            <w:tcW w:w="1673" w:type="dxa"/>
          </w:tcPr>
          <w:p>
            <w:pPr>
              <w:pStyle w:val="TableParagraph"/>
              <w:spacing w:line="203" w:lineRule="exact"/>
              <w:ind w:right="524"/>
              <w:jc w:val="right"/>
              <w:rPr>
                <w:sz w:val="18"/>
              </w:rPr>
            </w:pPr>
            <w:r>
              <w:rPr>
                <w:sz w:val="18"/>
              </w:rPr>
              <w:t>91.60%</w:t>
            </w:r>
          </w:p>
        </w:tc>
        <w:tc>
          <w:tcPr>
            <w:tcW w:w="1880" w:type="dxa"/>
            <w:vMerge/>
          </w:tcPr>
          <w:p>
            <w:pPr/>
          </w:p>
        </w:tc>
      </w:tr>
      <w:tr>
        <w:trPr>
          <w:trHeight w:val="322"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Mexicaltzingo</w:t>
            </w:r>
          </w:p>
        </w:tc>
        <w:tc>
          <w:tcPr>
            <w:tcW w:w="1673" w:type="dxa"/>
          </w:tcPr>
          <w:p>
            <w:pPr/>
          </w:p>
        </w:tc>
        <w:tc>
          <w:tcPr>
            <w:tcW w:w="1880" w:type="dxa"/>
            <w:vMerge/>
          </w:tcPr>
          <w:p>
            <w:pPr/>
          </w:p>
        </w:tc>
      </w:tr>
    </w:tbl>
    <w:p>
      <w:pPr>
        <w:spacing w:after="0"/>
        <w:sectPr>
          <w:pgSz w:w="12240" w:h="15840"/>
          <w:pgMar w:header="0" w:footer="975" w:top="1420" w:bottom="1160" w:left="1580" w:right="170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36"/>
        <w:gridCol w:w="862"/>
        <w:gridCol w:w="2792"/>
        <w:gridCol w:w="1673"/>
        <w:gridCol w:w="1880"/>
      </w:tblGrid>
      <w:tr>
        <w:trPr>
          <w:trHeight w:val="321" w:hRule="exact"/>
        </w:trPr>
        <w:tc>
          <w:tcPr>
            <w:tcW w:w="8742" w:type="dxa"/>
            <w:gridSpan w:val="5"/>
            <w:shd w:val="clear" w:color="auto" w:fill="92D050"/>
          </w:tcPr>
          <w:p>
            <w:pPr>
              <w:pStyle w:val="TableParagraph"/>
              <w:spacing w:line="200" w:lineRule="exact"/>
              <w:ind w:left="88"/>
              <w:jc w:val="left"/>
              <w:rPr>
                <w:b/>
                <w:sz w:val="18"/>
              </w:rPr>
            </w:pPr>
            <w:r>
              <w:rPr>
                <w:b/>
                <w:sz w:val="18"/>
              </w:rPr>
              <w:t>Anexo 12. Porcentaje de cumplimiento por municipio y por partido político Año 2013 (Continuación)</w:t>
            </w:r>
          </w:p>
        </w:tc>
      </w:tr>
      <w:tr>
        <w:trPr>
          <w:trHeight w:val="631" w:hRule="exact"/>
        </w:trPr>
        <w:tc>
          <w:tcPr>
            <w:tcW w:w="1536" w:type="dxa"/>
            <w:shd w:val="clear" w:color="auto" w:fill="92D050"/>
          </w:tcPr>
          <w:p>
            <w:pPr>
              <w:pStyle w:val="TableParagraph"/>
              <w:spacing w:before="147"/>
              <w:ind w:left="451"/>
              <w:jc w:val="left"/>
              <w:rPr>
                <w:b/>
                <w:sz w:val="18"/>
              </w:rPr>
            </w:pPr>
            <w:r>
              <w:rPr>
                <w:b/>
                <w:sz w:val="18"/>
              </w:rPr>
              <w:t>Partido</w:t>
            </w:r>
          </w:p>
        </w:tc>
        <w:tc>
          <w:tcPr>
            <w:tcW w:w="862" w:type="dxa"/>
            <w:shd w:val="clear" w:color="auto" w:fill="92D050"/>
          </w:tcPr>
          <w:p>
            <w:pPr>
              <w:pStyle w:val="TableParagraph"/>
              <w:spacing w:before="147"/>
              <w:ind w:left="90" w:right="91"/>
              <w:rPr>
                <w:b/>
                <w:sz w:val="18"/>
              </w:rPr>
            </w:pPr>
            <w:r>
              <w:rPr>
                <w:b/>
                <w:sz w:val="18"/>
              </w:rPr>
              <w:t>Genero</w:t>
            </w:r>
          </w:p>
        </w:tc>
        <w:tc>
          <w:tcPr>
            <w:tcW w:w="2792" w:type="dxa"/>
            <w:shd w:val="clear" w:color="auto" w:fill="92D050"/>
          </w:tcPr>
          <w:p>
            <w:pPr>
              <w:pStyle w:val="TableParagraph"/>
              <w:spacing w:before="147"/>
              <w:ind w:left="479"/>
              <w:jc w:val="left"/>
              <w:rPr>
                <w:b/>
                <w:sz w:val="18"/>
              </w:rPr>
            </w:pPr>
            <w:r>
              <w:rPr>
                <w:b/>
                <w:sz w:val="18"/>
              </w:rPr>
              <w:t>Municipio gobernado</w:t>
            </w:r>
          </w:p>
        </w:tc>
        <w:tc>
          <w:tcPr>
            <w:tcW w:w="1673" w:type="dxa"/>
            <w:shd w:val="clear" w:color="auto" w:fill="92D050"/>
          </w:tcPr>
          <w:p>
            <w:pPr>
              <w:pStyle w:val="TableParagraph"/>
              <w:spacing w:line="360" w:lineRule="auto"/>
              <w:ind w:left="244" w:right="229" w:firstLine="376"/>
              <w:jc w:val="left"/>
              <w:rPr>
                <w:b/>
                <w:sz w:val="18"/>
              </w:rPr>
            </w:pPr>
            <w:r>
              <w:rPr>
                <w:b/>
                <w:sz w:val="18"/>
              </w:rPr>
              <w:t>% de cumplimiento</w:t>
            </w:r>
          </w:p>
        </w:tc>
        <w:tc>
          <w:tcPr>
            <w:tcW w:w="1880" w:type="dxa"/>
            <w:shd w:val="clear" w:color="auto" w:fill="92D050"/>
          </w:tcPr>
          <w:p>
            <w:pPr>
              <w:pStyle w:val="TableParagraph"/>
              <w:spacing w:line="360" w:lineRule="auto"/>
              <w:ind w:left="347" w:right="333" w:firstLine="14"/>
              <w:jc w:val="left"/>
              <w:rPr>
                <w:b/>
                <w:sz w:val="18"/>
              </w:rPr>
            </w:pPr>
            <w:r>
              <w:rPr>
                <w:b/>
                <w:sz w:val="18"/>
              </w:rPr>
              <w:t>Promedio del cumplimiento</w:t>
            </w:r>
          </w:p>
        </w:tc>
      </w:tr>
      <w:tr>
        <w:trPr>
          <w:trHeight w:val="319" w:hRule="exact"/>
        </w:trPr>
        <w:tc>
          <w:tcPr>
            <w:tcW w:w="1536" w:type="dxa"/>
            <w:vMerge w:val="restart"/>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5"/>
              <w:jc w:val="left"/>
              <w:rPr>
                <w:sz w:val="19"/>
              </w:rPr>
            </w:pPr>
          </w:p>
          <w:p>
            <w:pPr>
              <w:pStyle w:val="TableParagraph"/>
              <w:ind w:left="64"/>
              <w:jc w:val="left"/>
              <w:rPr>
                <w:sz w:val="18"/>
              </w:rPr>
            </w:pPr>
            <w:r>
              <w:rPr>
                <w:sz w:val="18"/>
              </w:rPr>
              <w:t>PRI-PVEM-NA</w:t>
            </w: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Naucalpan de Juárez</w:t>
            </w:r>
          </w:p>
        </w:tc>
        <w:tc>
          <w:tcPr>
            <w:tcW w:w="1673" w:type="dxa"/>
          </w:tcPr>
          <w:p>
            <w:pPr/>
          </w:p>
        </w:tc>
        <w:tc>
          <w:tcPr>
            <w:tcW w:w="1880" w:type="dxa"/>
            <w:vMerge w:val="restart"/>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5"/>
              <w:jc w:val="left"/>
              <w:rPr>
                <w:sz w:val="19"/>
              </w:rPr>
            </w:pPr>
          </w:p>
          <w:p>
            <w:pPr>
              <w:pStyle w:val="TableParagraph"/>
              <w:ind w:left="609" w:right="610"/>
              <w:rPr>
                <w:sz w:val="18"/>
              </w:rPr>
            </w:pPr>
            <w:r>
              <w:rPr>
                <w:sz w:val="18"/>
              </w:rPr>
              <w:t>91.91%</w:t>
            </w:r>
          </w:p>
        </w:tc>
      </w:tr>
      <w:tr>
        <w:trPr>
          <w:trHeight w:val="322" w:hRule="exact"/>
        </w:trPr>
        <w:tc>
          <w:tcPr>
            <w:tcW w:w="1536" w:type="dxa"/>
            <w:vMerge/>
          </w:tcPr>
          <w:p>
            <w:pPr/>
          </w:p>
        </w:tc>
        <w:tc>
          <w:tcPr>
            <w:tcW w:w="862" w:type="dxa"/>
          </w:tcPr>
          <w:p>
            <w:pPr>
              <w:pStyle w:val="TableParagraph"/>
              <w:spacing w:line="206" w:lineRule="exact"/>
              <w:ind w:right="1"/>
              <w:rPr>
                <w:sz w:val="18"/>
              </w:rPr>
            </w:pPr>
            <w:r>
              <w:rPr>
                <w:color w:val="181818"/>
                <w:w w:val="99"/>
                <w:sz w:val="18"/>
              </w:rPr>
              <w:t>1</w:t>
            </w:r>
          </w:p>
        </w:tc>
        <w:tc>
          <w:tcPr>
            <w:tcW w:w="2792" w:type="dxa"/>
          </w:tcPr>
          <w:p>
            <w:pPr>
              <w:pStyle w:val="TableParagraph"/>
              <w:spacing w:line="206" w:lineRule="exact"/>
              <w:ind w:left="64"/>
              <w:jc w:val="left"/>
              <w:rPr>
                <w:sz w:val="18"/>
              </w:rPr>
            </w:pPr>
            <w:r>
              <w:rPr>
                <w:color w:val="181818"/>
                <w:sz w:val="18"/>
              </w:rPr>
              <w:t>Nicolás Romero</w:t>
            </w:r>
          </w:p>
        </w:tc>
        <w:tc>
          <w:tcPr>
            <w:tcW w:w="1673" w:type="dxa"/>
          </w:tcPr>
          <w:p>
            <w:pPr/>
          </w:p>
        </w:tc>
        <w:tc>
          <w:tcPr>
            <w:tcW w:w="1880"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Nopaltepec</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6" w:lineRule="exact"/>
              <w:ind w:right="1"/>
              <w:rPr>
                <w:sz w:val="18"/>
              </w:rPr>
            </w:pPr>
            <w:r>
              <w:rPr>
                <w:color w:val="181818"/>
                <w:w w:val="99"/>
                <w:sz w:val="18"/>
              </w:rPr>
              <w:t>1</w:t>
            </w:r>
          </w:p>
        </w:tc>
        <w:tc>
          <w:tcPr>
            <w:tcW w:w="2792" w:type="dxa"/>
          </w:tcPr>
          <w:p>
            <w:pPr>
              <w:pStyle w:val="TableParagraph"/>
              <w:spacing w:line="206" w:lineRule="exact"/>
              <w:ind w:left="64"/>
              <w:jc w:val="left"/>
              <w:rPr>
                <w:sz w:val="18"/>
              </w:rPr>
            </w:pPr>
            <w:r>
              <w:rPr>
                <w:color w:val="181818"/>
                <w:sz w:val="18"/>
              </w:rPr>
              <w:t>Ocoyoacac</w:t>
            </w:r>
          </w:p>
        </w:tc>
        <w:tc>
          <w:tcPr>
            <w:tcW w:w="1673" w:type="dxa"/>
          </w:tcPr>
          <w:p>
            <w:pPr/>
          </w:p>
        </w:tc>
        <w:tc>
          <w:tcPr>
            <w:tcW w:w="1880"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Ocuilan</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6" w:lineRule="exact"/>
              <w:ind w:right="1"/>
              <w:rPr>
                <w:sz w:val="18"/>
              </w:rPr>
            </w:pPr>
            <w:r>
              <w:rPr>
                <w:color w:val="181818"/>
                <w:w w:val="99"/>
                <w:sz w:val="18"/>
              </w:rPr>
              <w:t>1</w:t>
            </w:r>
          </w:p>
        </w:tc>
        <w:tc>
          <w:tcPr>
            <w:tcW w:w="2792" w:type="dxa"/>
          </w:tcPr>
          <w:p>
            <w:pPr>
              <w:pStyle w:val="TableParagraph"/>
              <w:spacing w:line="206" w:lineRule="exact"/>
              <w:ind w:left="64"/>
              <w:jc w:val="left"/>
              <w:rPr>
                <w:sz w:val="18"/>
              </w:rPr>
            </w:pPr>
            <w:r>
              <w:rPr>
                <w:color w:val="181818"/>
                <w:sz w:val="18"/>
              </w:rPr>
              <w:t>El Oro</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Otzoloapan</w:t>
            </w:r>
          </w:p>
        </w:tc>
        <w:tc>
          <w:tcPr>
            <w:tcW w:w="1673" w:type="dxa"/>
          </w:tcPr>
          <w:p>
            <w:pPr/>
          </w:p>
        </w:tc>
        <w:tc>
          <w:tcPr>
            <w:tcW w:w="1880"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Otzolotepec</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Ozumba</w:t>
            </w:r>
          </w:p>
        </w:tc>
        <w:tc>
          <w:tcPr>
            <w:tcW w:w="1673" w:type="dxa"/>
          </w:tcPr>
          <w:p>
            <w:pPr/>
          </w:p>
        </w:tc>
        <w:tc>
          <w:tcPr>
            <w:tcW w:w="1880"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Papalotla</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La Paz</w:t>
            </w:r>
          </w:p>
        </w:tc>
        <w:tc>
          <w:tcPr>
            <w:tcW w:w="1673" w:type="dxa"/>
          </w:tcPr>
          <w:p>
            <w:pPr/>
          </w:p>
        </w:tc>
        <w:tc>
          <w:tcPr>
            <w:tcW w:w="1880"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2</w:t>
            </w:r>
          </w:p>
        </w:tc>
        <w:tc>
          <w:tcPr>
            <w:tcW w:w="2792" w:type="dxa"/>
          </w:tcPr>
          <w:p>
            <w:pPr>
              <w:pStyle w:val="TableParagraph"/>
              <w:spacing w:line="203" w:lineRule="exact"/>
              <w:ind w:left="64"/>
              <w:jc w:val="left"/>
              <w:rPr>
                <w:sz w:val="18"/>
              </w:rPr>
            </w:pPr>
            <w:r>
              <w:rPr>
                <w:color w:val="181818"/>
                <w:sz w:val="18"/>
              </w:rPr>
              <w:t>Polotitlán</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Rayón</w:t>
            </w:r>
          </w:p>
        </w:tc>
        <w:tc>
          <w:tcPr>
            <w:tcW w:w="1673" w:type="dxa"/>
          </w:tcPr>
          <w:p>
            <w:pPr/>
          </w:p>
        </w:tc>
        <w:tc>
          <w:tcPr>
            <w:tcW w:w="1880"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San Antonio la Isla</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San Felipe del Progreso</w:t>
            </w:r>
          </w:p>
        </w:tc>
        <w:tc>
          <w:tcPr>
            <w:tcW w:w="1673" w:type="dxa"/>
          </w:tcPr>
          <w:p>
            <w:pPr/>
          </w:p>
        </w:tc>
        <w:tc>
          <w:tcPr>
            <w:tcW w:w="1880"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San Martín de las Pirámides</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6" w:lineRule="exact"/>
              <w:ind w:right="1"/>
              <w:rPr>
                <w:sz w:val="18"/>
              </w:rPr>
            </w:pPr>
            <w:r>
              <w:rPr>
                <w:color w:val="181818"/>
                <w:w w:val="99"/>
                <w:sz w:val="18"/>
              </w:rPr>
              <w:t>2</w:t>
            </w:r>
          </w:p>
        </w:tc>
        <w:tc>
          <w:tcPr>
            <w:tcW w:w="2792" w:type="dxa"/>
          </w:tcPr>
          <w:p>
            <w:pPr>
              <w:pStyle w:val="TableParagraph"/>
              <w:spacing w:line="206" w:lineRule="exact"/>
              <w:ind w:left="64"/>
              <w:jc w:val="left"/>
              <w:rPr>
                <w:sz w:val="18"/>
              </w:rPr>
            </w:pPr>
            <w:r>
              <w:rPr>
                <w:color w:val="181818"/>
                <w:sz w:val="18"/>
              </w:rPr>
              <w:t>San Mateo Atenco</w:t>
            </w:r>
          </w:p>
        </w:tc>
        <w:tc>
          <w:tcPr>
            <w:tcW w:w="1673" w:type="dxa"/>
          </w:tcPr>
          <w:p>
            <w:pPr/>
          </w:p>
        </w:tc>
        <w:tc>
          <w:tcPr>
            <w:tcW w:w="1880"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Soyaniquilpan de Juárez</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6" w:lineRule="exact"/>
              <w:ind w:right="1"/>
              <w:rPr>
                <w:sz w:val="18"/>
              </w:rPr>
            </w:pPr>
            <w:r>
              <w:rPr>
                <w:color w:val="181818"/>
                <w:w w:val="99"/>
                <w:sz w:val="18"/>
              </w:rPr>
              <w:t>1</w:t>
            </w:r>
          </w:p>
        </w:tc>
        <w:tc>
          <w:tcPr>
            <w:tcW w:w="2792" w:type="dxa"/>
          </w:tcPr>
          <w:p>
            <w:pPr>
              <w:pStyle w:val="TableParagraph"/>
              <w:spacing w:line="206" w:lineRule="exact"/>
              <w:ind w:left="64"/>
              <w:jc w:val="left"/>
              <w:rPr>
                <w:sz w:val="18"/>
              </w:rPr>
            </w:pPr>
            <w:r>
              <w:rPr>
                <w:color w:val="181818"/>
                <w:sz w:val="18"/>
              </w:rPr>
              <w:t>Sultepec</w:t>
            </w:r>
          </w:p>
        </w:tc>
        <w:tc>
          <w:tcPr>
            <w:tcW w:w="1673" w:type="dxa"/>
          </w:tcPr>
          <w:p>
            <w:pPr/>
          </w:p>
        </w:tc>
        <w:tc>
          <w:tcPr>
            <w:tcW w:w="1880" w:type="dxa"/>
            <w:vMerge/>
          </w:tcPr>
          <w:p>
            <w:pPr/>
          </w:p>
        </w:tc>
      </w:tr>
      <w:tr>
        <w:trPr>
          <w:trHeight w:val="320" w:hRule="exact"/>
        </w:trPr>
        <w:tc>
          <w:tcPr>
            <w:tcW w:w="1536" w:type="dxa"/>
            <w:vMerge/>
          </w:tcPr>
          <w:p>
            <w:pPr/>
          </w:p>
        </w:tc>
        <w:tc>
          <w:tcPr>
            <w:tcW w:w="862" w:type="dxa"/>
          </w:tcPr>
          <w:p>
            <w:pPr>
              <w:pStyle w:val="TableParagraph"/>
              <w:spacing w:line="203" w:lineRule="exact"/>
              <w:ind w:right="1"/>
              <w:rPr>
                <w:sz w:val="18"/>
              </w:rPr>
            </w:pPr>
            <w:r>
              <w:rPr>
                <w:color w:val="181818"/>
                <w:w w:val="99"/>
                <w:sz w:val="18"/>
              </w:rPr>
              <w:t>2</w:t>
            </w:r>
          </w:p>
        </w:tc>
        <w:tc>
          <w:tcPr>
            <w:tcW w:w="2792" w:type="dxa"/>
          </w:tcPr>
          <w:p>
            <w:pPr>
              <w:pStyle w:val="TableParagraph"/>
              <w:spacing w:line="203" w:lineRule="exact"/>
              <w:ind w:left="64"/>
              <w:jc w:val="left"/>
              <w:rPr>
                <w:sz w:val="18"/>
              </w:rPr>
            </w:pPr>
            <w:r>
              <w:rPr>
                <w:color w:val="181818"/>
                <w:sz w:val="18"/>
              </w:rPr>
              <w:t>Tecámac</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6" w:lineRule="exact"/>
              <w:ind w:right="1"/>
              <w:rPr>
                <w:sz w:val="18"/>
              </w:rPr>
            </w:pPr>
            <w:r>
              <w:rPr>
                <w:color w:val="181818"/>
                <w:w w:val="99"/>
                <w:sz w:val="18"/>
              </w:rPr>
              <w:t>1</w:t>
            </w:r>
          </w:p>
        </w:tc>
        <w:tc>
          <w:tcPr>
            <w:tcW w:w="2792" w:type="dxa"/>
          </w:tcPr>
          <w:p>
            <w:pPr>
              <w:pStyle w:val="TableParagraph"/>
              <w:spacing w:line="206" w:lineRule="exact"/>
              <w:ind w:left="64"/>
              <w:jc w:val="left"/>
              <w:rPr>
                <w:sz w:val="18"/>
              </w:rPr>
            </w:pPr>
            <w:r>
              <w:rPr>
                <w:color w:val="181818"/>
                <w:sz w:val="18"/>
              </w:rPr>
              <w:t>Tejupilco</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Temascalapa</w:t>
            </w:r>
          </w:p>
        </w:tc>
        <w:tc>
          <w:tcPr>
            <w:tcW w:w="1673" w:type="dxa"/>
          </w:tcPr>
          <w:p>
            <w:pPr/>
          </w:p>
        </w:tc>
        <w:tc>
          <w:tcPr>
            <w:tcW w:w="1880"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Temascalcingo</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Temascaltepec</w:t>
            </w:r>
          </w:p>
        </w:tc>
        <w:tc>
          <w:tcPr>
            <w:tcW w:w="1673" w:type="dxa"/>
          </w:tcPr>
          <w:p>
            <w:pPr/>
          </w:p>
        </w:tc>
        <w:tc>
          <w:tcPr>
            <w:tcW w:w="1880"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Temoaya</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Tenancingo</w:t>
            </w:r>
          </w:p>
        </w:tc>
        <w:tc>
          <w:tcPr>
            <w:tcW w:w="1673" w:type="dxa"/>
          </w:tcPr>
          <w:p>
            <w:pPr/>
          </w:p>
        </w:tc>
        <w:tc>
          <w:tcPr>
            <w:tcW w:w="1880"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Tenango del Aire</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Tenango del Valle</w:t>
            </w:r>
          </w:p>
        </w:tc>
        <w:tc>
          <w:tcPr>
            <w:tcW w:w="1673" w:type="dxa"/>
          </w:tcPr>
          <w:p>
            <w:pPr/>
          </w:p>
        </w:tc>
        <w:tc>
          <w:tcPr>
            <w:tcW w:w="1880"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Teoloyucán</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Tepetlaoxtoc</w:t>
            </w:r>
          </w:p>
        </w:tc>
        <w:tc>
          <w:tcPr>
            <w:tcW w:w="1673" w:type="dxa"/>
          </w:tcPr>
          <w:p>
            <w:pPr/>
          </w:p>
        </w:tc>
        <w:tc>
          <w:tcPr>
            <w:tcW w:w="1880" w:type="dxa"/>
            <w:vMerge/>
          </w:tcPr>
          <w:p>
            <w:pPr/>
          </w:p>
        </w:tc>
      </w:tr>
      <w:tr>
        <w:trPr>
          <w:trHeight w:val="320" w:hRule="exact"/>
        </w:trPr>
        <w:tc>
          <w:tcPr>
            <w:tcW w:w="1536" w:type="dxa"/>
            <w:vMerge/>
          </w:tcPr>
          <w:p>
            <w:pPr/>
          </w:p>
        </w:tc>
        <w:tc>
          <w:tcPr>
            <w:tcW w:w="862" w:type="dxa"/>
          </w:tcPr>
          <w:p>
            <w:pPr>
              <w:pStyle w:val="TableParagraph"/>
              <w:spacing w:line="204" w:lineRule="exact"/>
              <w:ind w:right="1"/>
              <w:rPr>
                <w:sz w:val="18"/>
              </w:rPr>
            </w:pPr>
            <w:r>
              <w:rPr>
                <w:color w:val="181818"/>
                <w:w w:val="99"/>
                <w:sz w:val="18"/>
              </w:rPr>
              <w:t>1</w:t>
            </w:r>
          </w:p>
        </w:tc>
        <w:tc>
          <w:tcPr>
            <w:tcW w:w="2792" w:type="dxa"/>
          </w:tcPr>
          <w:p>
            <w:pPr>
              <w:pStyle w:val="TableParagraph"/>
              <w:spacing w:line="204" w:lineRule="exact"/>
              <w:ind w:left="64"/>
              <w:jc w:val="left"/>
              <w:rPr>
                <w:sz w:val="18"/>
              </w:rPr>
            </w:pPr>
            <w:r>
              <w:rPr>
                <w:color w:val="181818"/>
                <w:sz w:val="18"/>
              </w:rPr>
              <w:t>Tepetlixpa</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Tepotzotlán</w:t>
            </w:r>
          </w:p>
        </w:tc>
        <w:tc>
          <w:tcPr>
            <w:tcW w:w="1673" w:type="dxa"/>
          </w:tcPr>
          <w:p>
            <w:pPr/>
          </w:p>
        </w:tc>
        <w:tc>
          <w:tcPr>
            <w:tcW w:w="1880"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2</w:t>
            </w:r>
          </w:p>
        </w:tc>
        <w:tc>
          <w:tcPr>
            <w:tcW w:w="2792" w:type="dxa"/>
          </w:tcPr>
          <w:p>
            <w:pPr>
              <w:pStyle w:val="TableParagraph"/>
              <w:spacing w:line="203" w:lineRule="exact"/>
              <w:ind w:left="64"/>
              <w:jc w:val="left"/>
              <w:rPr>
                <w:sz w:val="18"/>
              </w:rPr>
            </w:pPr>
            <w:r>
              <w:rPr>
                <w:color w:val="181818"/>
                <w:sz w:val="18"/>
              </w:rPr>
              <w:t>Texcalyacac</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6" w:lineRule="exact"/>
              <w:ind w:right="1"/>
              <w:rPr>
                <w:sz w:val="18"/>
              </w:rPr>
            </w:pPr>
            <w:r>
              <w:rPr>
                <w:color w:val="181818"/>
                <w:w w:val="99"/>
                <w:sz w:val="18"/>
              </w:rPr>
              <w:t>1</w:t>
            </w:r>
          </w:p>
        </w:tc>
        <w:tc>
          <w:tcPr>
            <w:tcW w:w="2792" w:type="dxa"/>
          </w:tcPr>
          <w:p>
            <w:pPr>
              <w:pStyle w:val="TableParagraph"/>
              <w:spacing w:line="206" w:lineRule="exact"/>
              <w:ind w:left="64"/>
              <w:jc w:val="left"/>
              <w:rPr>
                <w:sz w:val="18"/>
              </w:rPr>
            </w:pPr>
            <w:r>
              <w:rPr>
                <w:color w:val="181818"/>
                <w:sz w:val="18"/>
              </w:rPr>
              <w:t>Tezoyuca</w:t>
            </w:r>
          </w:p>
        </w:tc>
        <w:tc>
          <w:tcPr>
            <w:tcW w:w="1673" w:type="dxa"/>
          </w:tcPr>
          <w:p>
            <w:pPr/>
          </w:p>
        </w:tc>
        <w:tc>
          <w:tcPr>
            <w:tcW w:w="1880"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Tianguistenco</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6" w:lineRule="exact"/>
              <w:ind w:right="1"/>
              <w:rPr>
                <w:sz w:val="18"/>
              </w:rPr>
            </w:pPr>
            <w:r>
              <w:rPr>
                <w:color w:val="181818"/>
                <w:w w:val="99"/>
                <w:sz w:val="18"/>
              </w:rPr>
              <w:t>1</w:t>
            </w:r>
          </w:p>
        </w:tc>
        <w:tc>
          <w:tcPr>
            <w:tcW w:w="2792" w:type="dxa"/>
          </w:tcPr>
          <w:p>
            <w:pPr>
              <w:pStyle w:val="TableParagraph"/>
              <w:spacing w:line="206" w:lineRule="exact"/>
              <w:ind w:left="64"/>
              <w:jc w:val="left"/>
              <w:rPr>
                <w:sz w:val="18"/>
              </w:rPr>
            </w:pPr>
            <w:r>
              <w:rPr>
                <w:color w:val="181818"/>
                <w:sz w:val="18"/>
              </w:rPr>
              <w:t>Timilpan</w:t>
            </w:r>
          </w:p>
        </w:tc>
        <w:tc>
          <w:tcPr>
            <w:tcW w:w="1673" w:type="dxa"/>
          </w:tcPr>
          <w:p>
            <w:pPr/>
          </w:p>
        </w:tc>
        <w:tc>
          <w:tcPr>
            <w:tcW w:w="1880" w:type="dxa"/>
            <w:vMerge/>
          </w:tcPr>
          <w:p>
            <w:pPr/>
          </w:p>
        </w:tc>
      </w:tr>
    </w:tbl>
    <w:p>
      <w:pPr>
        <w:spacing w:after="0"/>
        <w:sectPr>
          <w:pgSz w:w="12240" w:h="15840"/>
          <w:pgMar w:header="0" w:footer="975" w:top="1420" w:bottom="1160" w:left="1580" w:right="170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36"/>
        <w:gridCol w:w="862"/>
        <w:gridCol w:w="2792"/>
        <w:gridCol w:w="1673"/>
        <w:gridCol w:w="1880"/>
      </w:tblGrid>
      <w:tr>
        <w:trPr>
          <w:trHeight w:val="321" w:hRule="exact"/>
        </w:trPr>
        <w:tc>
          <w:tcPr>
            <w:tcW w:w="8742" w:type="dxa"/>
            <w:gridSpan w:val="5"/>
            <w:shd w:val="clear" w:color="auto" w:fill="92D050"/>
          </w:tcPr>
          <w:p>
            <w:pPr>
              <w:pStyle w:val="TableParagraph"/>
              <w:spacing w:line="200" w:lineRule="exact"/>
              <w:ind w:left="100"/>
              <w:jc w:val="left"/>
              <w:rPr>
                <w:b/>
                <w:sz w:val="18"/>
              </w:rPr>
            </w:pPr>
            <w:r>
              <w:rPr>
                <w:b/>
                <w:sz w:val="18"/>
              </w:rPr>
              <w:t>Anexo 12. Porcentaje de cumplimiento por municipio y por partido político Año 2013 (Finaliza tabla)</w:t>
            </w:r>
          </w:p>
        </w:tc>
      </w:tr>
      <w:tr>
        <w:trPr>
          <w:trHeight w:val="631" w:hRule="exact"/>
        </w:trPr>
        <w:tc>
          <w:tcPr>
            <w:tcW w:w="1536" w:type="dxa"/>
            <w:shd w:val="clear" w:color="auto" w:fill="92D050"/>
          </w:tcPr>
          <w:p>
            <w:pPr>
              <w:pStyle w:val="TableParagraph"/>
              <w:spacing w:before="147"/>
              <w:ind w:left="451"/>
              <w:jc w:val="left"/>
              <w:rPr>
                <w:b/>
                <w:sz w:val="18"/>
              </w:rPr>
            </w:pPr>
            <w:r>
              <w:rPr>
                <w:b/>
                <w:sz w:val="18"/>
              </w:rPr>
              <w:t>Partido</w:t>
            </w:r>
          </w:p>
        </w:tc>
        <w:tc>
          <w:tcPr>
            <w:tcW w:w="862" w:type="dxa"/>
            <w:shd w:val="clear" w:color="auto" w:fill="92D050"/>
          </w:tcPr>
          <w:p>
            <w:pPr>
              <w:pStyle w:val="TableParagraph"/>
              <w:spacing w:before="147"/>
              <w:ind w:left="90" w:right="91"/>
              <w:rPr>
                <w:b/>
                <w:sz w:val="18"/>
              </w:rPr>
            </w:pPr>
            <w:r>
              <w:rPr>
                <w:b/>
                <w:sz w:val="18"/>
              </w:rPr>
              <w:t>Genero</w:t>
            </w:r>
          </w:p>
        </w:tc>
        <w:tc>
          <w:tcPr>
            <w:tcW w:w="2792" w:type="dxa"/>
            <w:shd w:val="clear" w:color="auto" w:fill="92D050"/>
          </w:tcPr>
          <w:p>
            <w:pPr>
              <w:pStyle w:val="TableParagraph"/>
              <w:spacing w:before="147"/>
              <w:ind w:left="479"/>
              <w:jc w:val="left"/>
              <w:rPr>
                <w:b/>
                <w:sz w:val="18"/>
              </w:rPr>
            </w:pPr>
            <w:r>
              <w:rPr>
                <w:b/>
                <w:sz w:val="18"/>
              </w:rPr>
              <w:t>Municipio gobernado</w:t>
            </w:r>
          </w:p>
        </w:tc>
        <w:tc>
          <w:tcPr>
            <w:tcW w:w="1673" w:type="dxa"/>
            <w:shd w:val="clear" w:color="auto" w:fill="92D050"/>
          </w:tcPr>
          <w:p>
            <w:pPr>
              <w:pStyle w:val="TableParagraph"/>
              <w:spacing w:line="360" w:lineRule="auto"/>
              <w:ind w:left="244" w:right="229" w:firstLine="376"/>
              <w:jc w:val="left"/>
              <w:rPr>
                <w:b/>
                <w:sz w:val="18"/>
              </w:rPr>
            </w:pPr>
            <w:r>
              <w:rPr>
                <w:b/>
                <w:sz w:val="18"/>
              </w:rPr>
              <w:t>% de cumplimiento</w:t>
            </w:r>
          </w:p>
        </w:tc>
        <w:tc>
          <w:tcPr>
            <w:tcW w:w="1880" w:type="dxa"/>
            <w:shd w:val="clear" w:color="auto" w:fill="92D050"/>
          </w:tcPr>
          <w:p>
            <w:pPr>
              <w:pStyle w:val="TableParagraph"/>
              <w:spacing w:line="360" w:lineRule="auto"/>
              <w:ind w:left="347" w:right="333" w:firstLine="14"/>
              <w:jc w:val="left"/>
              <w:rPr>
                <w:b/>
                <w:sz w:val="18"/>
              </w:rPr>
            </w:pPr>
            <w:r>
              <w:rPr>
                <w:b/>
                <w:sz w:val="18"/>
              </w:rPr>
              <w:t>Promedio del cumplimiento</w:t>
            </w:r>
          </w:p>
        </w:tc>
      </w:tr>
      <w:tr>
        <w:trPr>
          <w:trHeight w:val="319" w:hRule="exact"/>
        </w:trPr>
        <w:tc>
          <w:tcPr>
            <w:tcW w:w="1536" w:type="dxa"/>
            <w:vMerge w:val="restart"/>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23"/>
              </w:rPr>
            </w:pPr>
          </w:p>
          <w:p>
            <w:pPr>
              <w:pStyle w:val="TableParagraph"/>
              <w:ind w:left="64"/>
              <w:jc w:val="left"/>
              <w:rPr>
                <w:sz w:val="18"/>
              </w:rPr>
            </w:pPr>
            <w:r>
              <w:rPr>
                <w:sz w:val="18"/>
              </w:rPr>
              <w:t>PRI-PVEM-NA</w:t>
            </w: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Tlalmanalco</w:t>
            </w:r>
          </w:p>
        </w:tc>
        <w:tc>
          <w:tcPr>
            <w:tcW w:w="1673" w:type="dxa"/>
          </w:tcPr>
          <w:p>
            <w:pPr/>
          </w:p>
        </w:tc>
        <w:tc>
          <w:tcPr>
            <w:tcW w:w="1880" w:type="dxa"/>
            <w:vMerge w:val="restart"/>
          </w:tcPr>
          <w:p>
            <w:pPr/>
          </w:p>
        </w:tc>
      </w:tr>
      <w:tr>
        <w:trPr>
          <w:trHeight w:val="322" w:hRule="exact"/>
        </w:trPr>
        <w:tc>
          <w:tcPr>
            <w:tcW w:w="1536" w:type="dxa"/>
            <w:vMerge/>
          </w:tcPr>
          <w:p>
            <w:pPr/>
          </w:p>
        </w:tc>
        <w:tc>
          <w:tcPr>
            <w:tcW w:w="862" w:type="dxa"/>
          </w:tcPr>
          <w:p>
            <w:pPr>
              <w:pStyle w:val="TableParagraph"/>
              <w:spacing w:line="206" w:lineRule="exact"/>
              <w:ind w:right="1"/>
              <w:rPr>
                <w:sz w:val="18"/>
              </w:rPr>
            </w:pPr>
            <w:r>
              <w:rPr>
                <w:color w:val="181818"/>
                <w:w w:val="99"/>
                <w:sz w:val="18"/>
              </w:rPr>
              <w:t>1</w:t>
            </w:r>
          </w:p>
        </w:tc>
        <w:tc>
          <w:tcPr>
            <w:tcW w:w="2792" w:type="dxa"/>
          </w:tcPr>
          <w:p>
            <w:pPr>
              <w:pStyle w:val="TableParagraph"/>
              <w:spacing w:line="206" w:lineRule="exact"/>
              <w:ind w:left="64"/>
              <w:jc w:val="left"/>
              <w:rPr>
                <w:sz w:val="18"/>
              </w:rPr>
            </w:pPr>
            <w:r>
              <w:rPr>
                <w:color w:val="181818"/>
                <w:sz w:val="18"/>
              </w:rPr>
              <w:t>Tlalnepantla de Baz</w:t>
            </w:r>
          </w:p>
        </w:tc>
        <w:tc>
          <w:tcPr>
            <w:tcW w:w="1673" w:type="dxa"/>
          </w:tcPr>
          <w:p>
            <w:pPr/>
          </w:p>
        </w:tc>
        <w:tc>
          <w:tcPr>
            <w:tcW w:w="1880"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2</w:t>
            </w:r>
          </w:p>
        </w:tc>
        <w:tc>
          <w:tcPr>
            <w:tcW w:w="2792" w:type="dxa"/>
          </w:tcPr>
          <w:p>
            <w:pPr>
              <w:pStyle w:val="TableParagraph"/>
              <w:spacing w:line="199" w:lineRule="exact"/>
              <w:ind w:left="64"/>
              <w:jc w:val="left"/>
              <w:rPr>
                <w:b/>
                <w:sz w:val="18"/>
              </w:rPr>
            </w:pPr>
            <w:r>
              <w:rPr>
                <w:b/>
                <w:color w:val="181818"/>
                <w:sz w:val="18"/>
              </w:rPr>
              <w:t>Toluca</w:t>
            </w:r>
          </w:p>
        </w:tc>
        <w:tc>
          <w:tcPr>
            <w:tcW w:w="1673" w:type="dxa"/>
          </w:tcPr>
          <w:p>
            <w:pPr>
              <w:pStyle w:val="TableParagraph"/>
              <w:spacing w:line="203" w:lineRule="exact"/>
              <w:ind w:left="505" w:right="506"/>
              <w:rPr>
                <w:sz w:val="18"/>
              </w:rPr>
            </w:pPr>
            <w:r>
              <w:rPr>
                <w:sz w:val="18"/>
              </w:rPr>
              <w:t>97.50%</w:t>
            </w:r>
          </w:p>
        </w:tc>
        <w:tc>
          <w:tcPr>
            <w:tcW w:w="1880" w:type="dxa"/>
            <w:vMerge/>
          </w:tcPr>
          <w:p>
            <w:pPr/>
          </w:p>
        </w:tc>
      </w:tr>
      <w:tr>
        <w:trPr>
          <w:trHeight w:val="322" w:hRule="exact"/>
        </w:trPr>
        <w:tc>
          <w:tcPr>
            <w:tcW w:w="1536" w:type="dxa"/>
            <w:vMerge/>
          </w:tcPr>
          <w:p>
            <w:pPr/>
          </w:p>
        </w:tc>
        <w:tc>
          <w:tcPr>
            <w:tcW w:w="862" w:type="dxa"/>
          </w:tcPr>
          <w:p>
            <w:pPr>
              <w:pStyle w:val="TableParagraph"/>
              <w:spacing w:line="206" w:lineRule="exact"/>
              <w:ind w:right="1"/>
              <w:rPr>
                <w:sz w:val="18"/>
              </w:rPr>
            </w:pPr>
            <w:r>
              <w:rPr>
                <w:color w:val="181818"/>
                <w:w w:val="99"/>
                <w:sz w:val="18"/>
              </w:rPr>
              <w:t>2</w:t>
            </w:r>
          </w:p>
        </w:tc>
        <w:tc>
          <w:tcPr>
            <w:tcW w:w="2792" w:type="dxa"/>
          </w:tcPr>
          <w:p>
            <w:pPr>
              <w:pStyle w:val="TableParagraph"/>
              <w:spacing w:line="206" w:lineRule="exact"/>
              <w:ind w:left="64"/>
              <w:jc w:val="left"/>
              <w:rPr>
                <w:sz w:val="18"/>
              </w:rPr>
            </w:pPr>
            <w:r>
              <w:rPr>
                <w:color w:val="181818"/>
                <w:sz w:val="18"/>
              </w:rPr>
              <w:t>Tultitlán</w:t>
            </w:r>
          </w:p>
        </w:tc>
        <w:tc>
          <w:tcPr>
            <w:tcW w:w="1673" w:type="dxa"/>
          </w:tcPr>
          <w:p>
            <w:pPr/>
          </w:p>
        </w:tc>
        <w:tc>
          <w:tcPr>
            <w:tcW w:w="1880"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2</w:t>
            </w:r>
          </w:p>
        </w:tc>
        <w:tc>
          <w:tcPr>
            <w:tcW w:w="2792" w:type="dxa"/>
          </w:tcPr>
          <w:p>
            <w:pPr>
              <w:pStyle w:val="TableParagraph"/>
              <w:spacing w:line="203" w:lineRule="exact"/>
              <w:ind w:left="64"/>
              <w:jc w:val="left"/>
              <w:rPr>
                <w:sz w:val="18"/>
              </w:rPr>
            </w:pPr>
            <w:r>
              <w:rPr>
                <w:color w:val="181818"/>
                <w:sz w:val="18"/>
              </w:rPr>
              <w:t>Villa del Carbón</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6" w:lineRule="exact"/>
              <w:ind w:right="1"/>
              <w:rPr>
                <w:sz w:val="18"/>
              </w:rPr>
            </w:pPr>
            <w:r>
              <w:rPr>
                <w:color w:val="181818"/>
                <w:w w:val="99"/>
                <w:sz w:val="18"/>
              </w:rPr>
              <w:t>1</w:t>
            </w:r>
          </w:p>
        </w:tc>
        <w:tc>
          <w:tcPr>
            <w:tcW w:w="2792" w:type="dxa"/>
          </w:tcPr>
          <w:p>
            <w:pPr>
              <w:pStyle w:val="TableParagraph"/>
              <w:spacing w:line="206" w:lineRule="exact"/>
              <w:ind w:left="64"/>
              <w:jc w:val="left"/>
              <w:rPr>
                <w:sz w:val="18"/>
              </w:rPr>
            </w:pPr>
            <w:r>
              <w:rPr>
                <w:color w:val="181818"/>
                <w:sz w:val="18"/>
              </w:rPr>
              <w:t>Villa Guerrero</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3" w:lineRule="exact"/>
              <w:ind w:right="1"/>
              <w:rPr>
                <w:sz w:val="18"/>
              </w:rPr>
            </w:pPr>
            <w:r>
              <w:rPr>
                <w:color w:val="181818"/>
                <w:w w:val="99"/>
                <w:sz w:val="18"/>
              </w:rPr>
              <w:t>2</w:t>
            </w:r>
          </w:p>
        </w:tc>
        <w:tc>
          <w:tcPr>
            <w:tcW w:w="2792" w:type="dxa"/>
          </w:tcPr>
          <w:p>
            <w:pPr>
              <w:pStyle w:val="TableParagraph"/>
              <w:spacing w:line="203" w:lineRule="exact"/>
              <w:ind w:left="64"/>
              <w:jc w:val="left"/>
              <w:rPr>
                <w:sz w:val="18"/>
              </w:rPr>
            </w:pPr>
            <w:r>
              <w:rPr>
                <w:color w:val="181818"/>
                <w:sz w:val="18"/>
              </w:rPr>
              <w:t>Villa Victoria</w:t>
            </w:r>
          </w:p>
        </w:tc>
        <w:tc>
          <w:tcPr>
            <w:tcW w:w="1673" w:type="dxa"/>
          </w:tcPr>
          <w:p>
            <w:pPr/>
          </w:p>
        </w:tc>
        <w:tc>
          <w:tcPr>
            <w:tcW w:w="1880"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Zacazonapan</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3" w:lineRule="exact"/>
              <w:ind w:right="1"/>
              <w:rPr>
                <w:sz w:val="18"/>
              </w:rPr>
            </w:pPr>
            <w:r>
              <w:rPr>
                <w:color w:val="181818"/>
                <w:w w:val="99"/>
                <w:sz w:val="18"/>
              </w:rPr>
              <w:t>2</w:t>
            </w:r>
          </w:p>
        </w:tc>
        <w:tc>
          <w:tcPr>
            <w:tcW w:w="2792" w:type="dxa"/>
          </w:tcPr>
          <w:p>
            <w:pPr>
              <w:pStyle w:val="TableParagraph"/>
              <w:spacing w:line="203" w:lineRule="exact"/>
              <w:ind w:left="64"/>
              <w:jc w:val="left"/>
              <w:rPr>
                <w:sz w:val="18"/>
              </w:rPr>
            </w:pPr>
            <w:r>
              <w:rPr>
                <w:color w:val="181818"/>
                <w:sz w:val="18"/>
              </w:rPr>
              <w:t>Zinacantepec</w:t>
            </w:r>
          </w:p>
        </w:tc>
        <w:tc>
          <w:tcPr>
            <w:tcW w:w="1673" w:type="dxa"/>
          </w:tcPr>
          <w:p>
            <w:pPr/>
          </w:p>
        </w:tc>
        <w:tc>
          <w:tcPr>
            <w:tcW w:w="1880"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Zumpango</w:t>
            </w:r>
          </w:p>
        </w:tc>
        <w:tc>
          <w:tcPr>
            <w:tcW w:w="1673" w:type="dxa"/>
          </w:tcPr>
          <w:p>
            <w:pPr/>
          </w:p>
        </w:tc>
        <w:tc>
          <w:tcPr>
            <w:tcW w:w="1880" w:type="dxa"/>
            <w:vMerge/>
          </w:tcPr>
          <w:p>
            <w:pPr/>
          </w:p>
        </w:tc>
      </w:tr>
      <w:tr>
        <w:trPr>
          <w:trHeight w:val="322"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Cuautitlán Izcalli</w:t>
            </w:r>
          </w:p>
        </w:tc>
        <w:tc>
          <w:tcPr>
            <w:tcW w:w="1673" w:type="dxa"/>
          </w:tcPr>
          <w:p>
            <w:pPr/>
          </w:p>
        </w:tc>
        <w:tc>
          <w:tcPr>
            <w:tcW w:w="1880" w:type="dxa"/>
            <w:vMerge/>
          </w:tcPr>
          <w:p>
            <w:pPr/>
          </w:p>
        </w:tc>
      </w:tr>
      <w:tr>
        <w:trPr>
          <w:trHeight w:val="319" w:hRule="exact"/>
        </w:trPr>
        <w:tc>
          <w:tcPr>
            <w:tcW w:w="1536" w:type="dxa"/>
            <w:vMerge/>
          </w:tcPr>
          <w:p>
            <w:pPr/>
          </w:p>
        </w:tc>
        <w:tc>
          <w:tcPr>
            <w:tcW w:w="862" w:type="dxa"/>
          </w:tcPr>
          <w:p>
            <w:pPr>
              <w:pStyle w:val="TableParagraph"/>
              <w:spacing w:line="203" w:lineRule="exact"/>
              <w:ind w:right="1"/>
              <w:rPr>
                <w:sz w:val="18"/>
              </w:rPr>
            </w:pPr>
            <w:r>
              <w:rPr>
                <w:color w:val="181818"/>
                <w:w w:val="99"/>
                <w:sz w:val="18"/>
              </w:rPr>
              <w:t>1</w:t>
            </w:r>
          </w:p>
        </w:tc>
        <w:tc>
          <w:tcPr>
            <w:tcW w:w="2792" w:type="dxa"/>
          </w:tcPr>
          <w:p>
            <w:pPr>
              <w:pStyle w:val="TableParagraph"/>
              <w:spacing w:line="203" w:lineRule="exact"/>
              <w:ind w:left="64"/>
              <w:jc w:val="left"/>
              <w:rPr>
                <w:sz w:val="18"/>
              </w:rPr>
            </w:pPr>
            <w:r>
              <w:rPr>
                <w:color w:val="181818"/>
                <w:sz w:val="18"/>
              </w:rPr>
              <w:t>San José del Rincón</w:t>
            </w:r>
          </w:p>
        </w:tc>
        <w:tc>
          <w:tcPr>
            <w:tcW w:w="1673" w:type="dxa"/>
          </w:tcPr>
          <w:p>
            <w:pPr/>
          </w:p>
        </w:tc>
        <w:tc>
          <w:tcPr>
            <w:tcW w:w="1880" w:type="dxa"/>
            <w:vMerge/>
          </w:tcPr>
          <w:p>
            <w:pPr/>
          </w:p>
        </w:tc>
      </w:tr>
      <w:tr>
        <w:trPr>
          <w:trHeight w:val="326" w:hRule="exact"/>
        </w:trPr>
        <w:tc>
          <w:tcPr>
            <w:tcW w:w="1536" w:type="dxa"/>
            <w:vMerge/>
          </w:tcPr>
          <w:p>
            <w:pPr/>
          </w:p>
        </w:tc>
        <w:tc>
          <w:tcPr>
            <w:tcW w:w="862" w:type="dxa"/>
          </w:tcPr>
          <w:p>
            <w:pPr>
              <w:pStyle w:val="TableParagraph"/>
              <w:spacing w:line="206" w:lineRule="exact"/>
              <w:ind w:right="1"/>
              <w:rPr>
                <w:sz w:val="18"/>
              </w:rPr>
            </w:pPr>
            <w:r>
              <w:rPr>
                <w:color w:val="181818"/>
                <w:w w:val="99"/>
                <w:sz w:val="18"/>
              </w:rPr>
              <w:t>1</w:t>
            </w:r>
          </w:p>
        </w:tc>
        <w:tc>
          <w:tcPr>
            <w:tcW w:w="2792" w:type="dxa"/>
          </w:tcPr>
          <w:p>
            <w:pPr>
              <w:pStyle w:val="TableParagraph"/>
              <w:spacing w:line="206" w:lineRule="exact"/>
              <w:ind w:left="64"/>
              <w:jc w:val="left"/>
              <w:rPr>
                <w:sz w:val="18"/>
              </w:rPr>
            </w:pPr>
            <w:r>
              <w:rPr>
                <w:color w:val="181818"/>
                <w:sz w:val="18"/>
              </w:rPr>
              <w:t>Tonanitla</w:t>
            </w:r>
          </w:p>
        </w:tc>
        <w:tc>
          <w:tcPr>
            <w:tcW w:w="1673" w:type="dxa"/>
          </w:tcPr>
          <w:p>
            <w:pPr/>
          </w:p>
        </w:tc>
        <w:tc>
          <w:tcPr>
            <w:tcW w:w="1880" w:type="dxa"/>
            <w:vMerge/>
          </w:tcPr>
          <w:p>
            <w:pPr/>
          </w:p>
        </w:tc>
      </w:tr>
      <w:tr>
        <w:trPr>
          <w:trHeight w:val="319" w:hRule="exact"/>
        </w:trPr>
        <w:tc>
          <w:tcPr>
            <w:tcW w:w="1536" w:type="dxa"/>
            <w:vMerge w:val="restart"/>
          </w:tcPr>
          <w:p>
            <w:pPr>
              <w:pStyle w:val="TableParagraph"/>
              <w:spacing w:before="159"/>
              <w:ind w:left="429" w:right="432"/>
              <w:rPr>
                <w:sz w:val="18"/>
              </w:rPr>
            </w:pPr>
            <w:r>
              <w:rPr>
                <w:sz w:val="18"/>
              </w:rPr>
              <w:t>PT</w:t>
            </w:r>
          </w:p>
        </w:tc>
        <w:tc>
          <w:tcPr>
            <w:tcW w:w="862" w:type="dxa"/>
          </w:tcPr>
          <w:p>
            <w:pPr>
              <w:pStyle w:val="TableParagraph"/>
              <w:spacing w:line="203" w:lineRule="exact"/>
              <w:ind w:right="1"/>
              <w:rPr>
                <w:sz w:val="18"/>
              </w:rPr>
            </w:pPr>
            <w:r>
              <w:rPr>
                <w:w w:val="99"/>
                <w:sz w:val="18"/>
              </w:rPr>
              <w:t>1</w:t>
            </w:r>
          </w:p>
        </w:tc>
        <w:tc>
          <w:tcPr>
            <w:tcW w:w="2792" w:type="dxa"/>
          </w:tcPr>
          <w:p>
            <w:pPr>
              <w:pStyle w:val="TableParagraph"/>
              <w:spacing w:line="199" w:lineRule="exact"/>
              <w:ind w:left="64"/>
              <w:jc w:val="left"/>
              <w:rPr>
                <w:b/>
                <w:sz w:val="18"/>
              </w:rPr>
            </w:pPr>
            <w:r>
              <w:rPr>
                <w:b/>
                <w:color w:val="181818"/>
                <w:sz w:val="18"/>
              </w:rPr>
              <w:t>Calimaya</w:t>
            </w:r>
          </w:p>
        </w:tc>
        <w:tc>
          <w:tcPr>
            <w:tcW w:w="1673" w:type="dxa"/>
          </w:tcPr>
          <w:p>
            <w:pPr>
              <w:pStyle w:val="TableParagraph"/>
              <w:spacing w:line="203" w:lineRule="exact"/>
              <w:ind w:left="505" w:right="506"/>
              <w:rPr>
                <w:sz w:val="18"/>
              </w:rPr>
            </w:pPr>
            <w:r>
              <w:rPr>
                <w:sz w:val="18"/>
              </w:rPr>
              <w:t>93.20%</w:t>
            </w:r>
          </w:p>
        </w:tc>
        <w:tc>
          <w:tcPr>
            <w:tcW w:w="1880" w:type="dxa"/>
            <w:vMerge w:val="restart"/>
          </w:tcPr>
          <w:p>
            <w:pPr>
              <w:pStyle w:val="TableParagraph"/>
              <w:spacing w:before="159"/>
              <w:ind w:left="609" w:right="610"/>
              <w:rPr>
                <w:sz w:val="18"/>
              </w:rPr>
            </w:pPr>
            <w:r>
              <w:rPr>
                <w:sz w:val="18"/>
              </w:rPr>
              <w:t>93.20%</w:t>
            </w:r>
          </w:p>
        </w:tc>
      </w:tr>
      <w:tr>
        <w:trPr>
          <w:trHeight w:val="326" w:hRule="exact"/>
        </w:trPr>
        <w:tc>
          <w:tcPr>
            <w:tcW w:w="1536" w:type="dxa"/>
            <w:vMerge/>
          </w:tcPr>
          <w:p>
            <w:pPr/>
          </w:p>
        </w:tc>
        <w:tc>
          <w:tcPr>
            <w:tcW w:w="862" w:type="dxa"/>
          </w:tcPr>
          <w:p>
            <w:pPr>
              <w:pStyle w:val="TableParagraph"/>
              <w:spacing w:line="206" w:lineRule="exact"/>
              <w:ind w:right="1"/>
              <w:rPr>
                <w:sz w:val="18"/>
              </w:rPr>
            </w:pPr>
            <w:r>
              <w:rPr>
                <w:w w:val="99"/>
                <w:sz w:val="18"/>
              </w:rPr>
              <w:t>1</w:t>
            </w:r>
          </w:p>
        </w:tc>
        <w:tc>
          <w:tcPr>
            <w:tcW w:w="2792" w:type="dxa"/>
          </w:tcPr>
          <w:p>
            <w:pPr>
              <w:pStyle w:val="TableParagraph"/>
              <w:spacing w:line="206" w:lineRule="exact"/>
              <w:ind w:left="64"/>
              <w:jc w:val="left"/>
              <w:rPr>
                <w:sz w:val="18"/>
              </w:rPr>
            </w:pPr>
            <w:r>
              <w:rPr>
                <w:color w:val="181818"/>
                <w:sz w:val="18"/>
              </w:rPr>
              <w:t>Xonacatlán</w:t>
            </w:r>
          </w:p>
        </w:tc>
        <w:tc>
          <w:tcPr>
            <w:tcW w:w="1673" w:type="dxa"/>
          </w:tcPr>
          <w:p>
            <w:pPr/>
          </w:p>
        </w:tc>
        <w:tc>
          <w:tcPr>
            <w:tcW w:w="1880" w:type="dxa"/>
            <w:vMerge/>
          </w:tcPr>
          <w:p>
            <w:pPr/>
          </w:p>
        </w:tc>
      </w:tr>
      <w:tr>
        <w:trPr>
          <w:trHeight w:val="319" w:hRule="exact"/>
        </w:trPr>
        <w:tc>
          <w:tcPr>
            <w:tcW w:w="1536" w:type="dxa"/>
            <w:vMerge w:val="restart"/>
          </w:tcPr>
          <w:p>
            <w:pPr>
              <w:pStyle w:val="TableParagraph"/>
              <w:spacing w:before="157"/>
              <w:ind w:left="477"/>
              <w:jc w:val="left"/>
              <w:rPr>
                <w:sz w:val="18"/>
              </w:rPr>
            </w:pPr>
            <w:r>
              <w:rPr>
                <w:sz w:val="18"/>
              </w:rPr>
              <w:t>PT-MC</w:t>
            </w:r>
          </w:p>
        </w:tc>
        <w:tc>
          <w:tcPr>
            <w:tcW w:w="862" w:type="dxa"/>
          </w:tcPr>
          <w:p>
            <w:pPr>
              <w:pStyle w:val="TableParagraph"/>
              <w:spacing w:line="203" w:lineRule="exact"/>
              <w:ind w:right="1"/>
              <w:rPr>
                <w:sz w:val="18"/>
              </w:rPr>
            </w:pPr>
            <w:r>
              <w:rPr>
                <w:w w:val="99"/>
                <w:sz w:val="18"/>
              </w:rPr>
              <w:t>1</w:t>
            </w:r>
          </w:p>
        </w:tc>
        <w:tc>
          <w:tcPr>
            <w:tcW w:w="2792" w:type="dxa"/>
          </w:tcPr>
          <w:p>
            <w:pPr>
              <w:pStyle w:val="TableParagraph"/>
              <w:spacing w:line="203" w:lineRule="exact"/>
              <w:ind w:left="64"/>
              <w:jc w:val="left"/>
              <w:rPr>
                <w:sz w:val="18"/>
              </w:rPr>
            </w:pPr>
            <w:r>
              <w:rPr>
                <w:color w:val="181818"/>
                <w:sz w:val="18"/>
              </w:rPr>
              <w:t>Temamatla</w:t>
            </w:r>
          </w:p>
        </w:tc>
        <w:tc>
          <w:tcPr>
            <w:tcW w:w="1673" w:type="dxa"/>
          </w:tcPr>
          <w:p>
            <w:pPr/>
          </w:p>
        </w:tc>
        <w:tc>
          <w:tcPr>
            <w:tcW w:w="1880" w:type="dxa"/>
            <w:vMerge w:val="restart"/>
          </w:tcPr>
          <w:p>
            <w:pPr>
              <w:pStyle w:val="TableParagraph"/>
              <w:spacing w:before="157"/>
              <w:ind w:left="609" w:right="609"/>
              <w:rPr>
                <w:sz w:val="18"/>
              </w:rPr>
            </w:pPr>
            <w:r>
              <w:rPr>
                <w:sz w:val="18"/>
              </w:rPr>
              <w:t>N/A</w:t>
            </w:r>
          </w:p>
        </w:tc>
      </w:tr>
      <w:tr>
        <w:trPr>
          <w:trHeight w:val="326" w:hRule="exact"/>
        </w:trPr>
        <w:tc>
          <w:tcPr>
            <w:tcW w:w="1536" w:type="dxa"/>
            <w:vMerge/>
          </w:tcPr>
          <w:p>
            <w:pPr/>
          </w:p>
        </w:tc>
        <w:tc>
          <w:tcPr>
            <w:tcW w:w="862" w:type="dxa"/>
          </w:tcPr>
          <w:p>
            <w:pPr>
              <w:pStyle w:val="TableParagraph"/>
              <w:spacing w:line="206" w:lineRule="exact"/>
              <w:ind w:right="1"/>
              <w:rPr>
                <w:sz w:val="18"/>
              </w:rPr>
            </w:pPr>
            <w:r>
              <w:rPr>
                <w:w w:val="99"/>
                <w:sz w:val="18"/>
              </w:rPr>
              <w:t>2</w:t>
            </w:r>
          </w:p>
        </w:tc>
        <w:tc>
          <w:tcPr>
            <w:tcW w:w="2792" w:type="dxa"/>
          </w:tcPr>
          <w:p>
            <w:pPr>
              <w:pStyle w:val="TableParagraph"/>
              <w:spacing w:line="206" w:lineRule="exact"/>
              <w:ind w:left="64"/>
              <w:jc w:val="left"/>
              <w:rPr>
                <w:sz w:val="18"/>
              </w:rPr>
            </w:pPr>
            <w:r>
              <w:rPr>
                <w:color w:val="181818"/>
                <w:sz w:val="18"/>
              </w:rPr>
              <w:t>Texcoco</w:t>
            </w:r>
          </w:p>
        </w:tc>
        <w:tc>
          <w:tcPr>
            <w:tcW w:w="1673" w:type="dxa"/>
          </w:tcPr>
          <w:p>
            <w:pPr/>
          </w:p>
        </w:tc>
        <w:tc>
          <w:tcPr>
            <w:tcW w:w="1880" w:type="dxa"/>
            <w:vMerge/>
          </w:tcPr>
          <w:p>
            <w:pPr/>
          </w:p>
        </w:tc>
      </w:tr>
    </w:tbl>
    <w:p>
      <w:pPr>
        <w:spacing w:line="206" w:lineRule="exact" w:before="0"/>
        <w:ind w:left="177" w:right="0" w:firstLine="0"/>
        <w:jc w:val="left"/>
        <w:rPr>
          <w:sz w:val="18"/>
        </w:rPr>
      </w:pPr>
      <w:r>
        <w:rPr>
          <w:sz w:val="18"/>
        </w:rPr>
        <w:t>Fuente: Elaboración propia, con datos del INFOEM y del IEEM.</w:t>
      </w:r>
    </w:p>
    <w:p>
      <w:pPr>
        <w:spacing w:after="0" w:line="206" w:lineRule="exact"/>
        <w:jc w:val="left"/>
        <w:rPr>
          <w:sz w:val="18"/>
        </w:rPr>
        <w:sectPr>
          <w:pgSz w:w="12240" w:h="15840"/>
          <w:pgMar w:header="0" w:footer="975" w:top="1420" w:bottom="1160" w:left="1580" w:right="1700"/>
        </w:sectPr>
      </w:pPr>
    </w:p>
    <w:tbl>
      <w:tblPr>
        <w:tblW w:w="0" w:type="auto"/>
        <w:jc w:val="left"/>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80"/>
        <w:gridCol w:w="840"/>
        <w:gridCol w:w="2420"/>
        <w:gridCol w:w="1481"/>
        <w:gridCol w:w="1981"/>
      </w:tblGrid>
      <w:tr>
        <w:trPr>
          <w:trHeight w:val="335" w:hRule="exact"/>
        </w:trPr>
        <w:tc>
          <w:tcPr>
            <w:tcW w:w="8102" w:type="dxa"/>
            <w:gridSpan w:val="5"/>
            <w:shd w:val="clear" w:color="auto" w:fill="92D050"/>
          </w:tcPr>
          <w:p>
            <w:pPr>
              <w:pStyle w:val="TableParagraph"/>
              <w:spacing w:line="205" w:lineRule="exact"/>
              <w:ind w:left="623"/>
              <w:jc w:val="left"/>
              <w:rPr>
                <w:b/>
                <w:sz w:val="18"/>
              </w:rPr>
            </w:pPr>
            <w:r>
              <w:rPr>
                <w:b/>
                <w:sz w:val="18"/>
              </w:rPr>
              <w:t>Anexo 13. Porcentaje de cumplimiento por municipio y por partido político 2014</w:t>
            </w:r>
          </w:p>
        </w:tc>
      </w:tr>
      <w:tr>
        <w:trPr>
          <w:trHeight w:val="641" w:hRule="exact"/>
        </w:trPr>
        <w:tc>
          <w:tcPr>
            <w:tcW w:w="1380" w:type="dxa"/>
            <w:shd w:val="clear" w:color="auto" w:fill="92D050"/>
          </w:tcPr>
          <w:p>
            <w:pPr>
              <w:pStyle w:val="TableParagraph"/>
              <w:spacing w:before="147"/>
              <w:ind w:left="349" w:right="350"/>
              <w:rPr>
                <w:b/>
                <w:sz w:val="18"/>
              </w:rPr>
            </w:pPr>
            <w:r>
              <w:rPr>
                <w:b/>
                <w:sz w:val="18"/>
              </w:rPr>
              <w:t>Partido</w:t>
            </w:r>
          </w:p>
        </w:tc>
        <w:tc>
          <w:tcPr>
            <w:tcW w:w="840" w:type="dxa"/>
            <w:shd w:val="clear" w:color="auto" w:fill="92D050"/>
          </w:tcPr>
          <w:p>
            <w:pPr>
              <w:pStyle w:val="TableParagraph"/>
              <w:spacing w:before="147"/>
              <w:ind w:left="75" w:right="75"/>
              <w:rPr>
                <w:b/>
                <w:sz w:val="18"/>
              </w:rPr>
            </w:pPr>
            <w:r>
              <w:rPr>
                <w:b/>
                <w:sz w:val="18"/>
              </w:rPr>
              <w:t>Genero</w:t>
            </w:r>
          </w:p>
        </w:tc>
        <w:tc>
          <w:tcPr>
            <w:tcW w:w="2420" w:type="dxa"/>
            <w:shd w:val="clear" w:color="auto" w:fill="92D050"/>
          </w:tcPr>
          <w:p>
            <w:pPr>
              <w:pStyle w:val="TableParagraph"/>
              <w:spacing w:before="147"/>
              <w:ind w:left="290"/>
              <w:jc w:val="left"/>
              <w:rPr>
                <w:b/>
                <w:sz w:val="18"/>
              </w:rPr>
            </w:pPr>
            <w:r>
              <w:rPr>
                <w:b/>
                <w:sz w:val="18"/>
              </w:rPr>
              <w:t>Municipio gobernado</w:t>
            </w:r>
          </w:p>
        </w:tc>
        <w:tc>
          <w:tcPr>
            <w:tcW w:w="1481" w:type="dxa"/>
            <w:shd w:val="clear" w:color="auto" w:fill="92D050"/>
          </w:tcPr>
          <w:p>
            <w:pPr>
              <w:pStyle w:val="TableParagraph"/>
              <w:spacing w:line="362" w:lineRule="auto"/>
              <w:ind w:left="143" w:right="128" w:firstLine="377"/>
              <w:jc w:val="left"/>
              <w:rPr>
                <w:b/>
                <w:sz w:val="18"/>
              </w:rPr>
            </w:pPr>
            <w:r>
              <w:rPr>
                <w:b/>
                <w:sz w:val="18"/>
              </w:rPr>
              <w:t>% de cumplimiento</w:t>
            </w:r>
          </w:p>
        </w:tc>
        <w:tc>
          <w:tcPr>
            <w:tcW w:w="1981" w:type="dxa"/>
            <w:shd w:val="clear" w:color="auto" w:fill="92D050"/>
          </w:tcPr>
          <w:p>
            <w:pPr>
              <w:pStyle w:val="TableParagraph"/>
              <w:spacing w:line="362" w:lineRule="auto"/>
              <w:ind w:left="393" w:right="378" w:firstLine="14"/>
              <w:jc w:val="left"/>
              <w:rPr>
                <w:b/>
                <w:sz w:val="18"/>
              </w:rPr>
            </w:pPr>
            <w:r>
              <w:rPr>
                <w:b/>
                <w:sz w:val="18"/>
              </w:rPr>
              <w:t>Promedio del cumplimiento</w:t>
            </w:r>
          </w:p>
        </w:tc>
      </w:tr>
      <w:tr>
        <w:trPr>
          <w:trHeight w:val="326" w:hRule="exact"/>
        </w:trPr>
        <w:tc>
          <w:tcPr>
            <w:tcW w:w="1380" w:type="dxa"/>
            <w:vMerge w:val="restart"/>
            <w:tcBorders>
              <w:right w:val="single" w:sz="4" w:space="0" w:color="000000"/>
            </w:tcBorders>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5"/>
              <w:jc w:val="left"/>
              <w:rPr>
                <w:sz w:val="17"/>
              </w:rPr>
            </w:pPr>
          </w:p>
          <w:p>
            <w:pPr>
              <w:pStyle w:val="TableParagraph"/>
              <w:ind w:left="297" w:right="303"/>
              <w:rPr>
                <w:sz w:val="18"/>
              </w:rPr>
            </w:pPr>
            <w:r>
              <w:rPr>
                <w:sz w:val="18"/>
              </w:rPr>
              <w:t>PAN</w:t>
            </w:r>
          </w:p>
        </w:tc>
        <w:tc>
          <w:tcPr>
            <w:tcW w:w="840" w:type="dxa"/>
            <w:tcBorders>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Apaxco</w:t>
            </w:r>
          </w:p>
        </w:tc>
        <w:tc>
          <w:tcPr>
            <w:tcW w:w="1481" w:type="dxa"/>
            <w:tcBorders>
              <w:left w:val="single" w:sz="4" w:space="0" w:color="000000"/>
              <w:bottom w:val="single" w:sz="4" w:space="0" w:color="000000"/>
              <w:right w:val="single" w:sz="4" w:space="0" w:color="000000"/>
            </w:tcBorders>
          </w:tcPr>
          <w:p>
            <w:pPr/>
          </w:p>
        </w:tc>
        <w:tc>
          <w:tcPr>
            <w:tcW w:w="1981" w:type="dxa"/>
            <w:vMerge w:val="restart"/>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5"/>
              <w:jc w:val="left"/>
              <w:rPr>
                <w:sz w:val="17"/>
              </w:rPr>
            </w:pPr>
          </w:p>
          <w:p>
            <w:pPr>
              <w:pStyle w:val="TableParagraph"/>
              <w:ind w:left="654" w:right="655"/>
              <w:rPr>
                <w:sz w:val="18"/>
              </w:rPr>
            </w:pPr>
            <w:r>
              <w:rPr>
                <w:sz w:val="18"/>
              </w:rPr>
              <w:t>90.42%</w:t>
            </w:r>
          </w:p>
        </w:tc>
      </w:tr>
      <w:tr>
        <w:trPr>
          <w:trHeight w:val="32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before="6"/>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before="1"/>
              <w:ind w:left="65"/>
              <w:jc w:val="left"/>
              <w:rPr>
                <w:b/>
                <w:sz w:val="18"/>
              </w:rPr>
            </w:pPr>
            <w:r>
              <w:rPr>
                <w:b/>
                <w:color w:val="181818"/>
                <w:sz w:val="18"/>
              </w:rPr>
              <w:t>Atizapán de Zaragoza</w:t>
            </w:r>
          </w:p>
        </w:tc>
        <w:tc>
          <w:tcPr>
            <w:tcW w:w="1481" w:type="dxa"/>
            <w:tcBorders>
              <w:top w:val="single" w:sz="4" w:space="0" w:color="000000"/>
              <w:left w:val="single" w:sz="4" w:space="0" w:color="000000"/>
              <w:bottom w:val="single" w:sz="4" w:space="0" w:color="000000"/>
            </w:tcBorders>
          </w:tcPr>
          <w:p>
            <w:pPr>
              <w:pStyle w:val="TableParagraph"/>
              <w:spacing w:before="6"/>
              <w:ind w:left="409" w:right="406"/>
              <w:rPr>
                <w:sz w:val="18"/>
              </w:rPr>
            </w:pPr>
            <w:r>
              <w:rPr>
                <w:sz w:val="18"/>
              </w:rPr>
              <w:t>90.42%</w:t>
            </w:r>
          </w:p>
        </w:tc>
        <w:tc>
          <w:tcPr>
            <w:tcW w:w="1981" w:type="dxa"/>
            <w:vMerge/>
          </w:tcPr>
          <w:p>
            <w:pPr/>
          </w:p>
        </w:tc>
      </w:tr>
      <w:tr>
        <w:trPr>
          <w:trHeight w:val="331"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before="8"/>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before="8"/>
              <w:ind w:left="65"/>
              <w:jc w:val="left"/>
              <w:rPr>
                <w:sz w:val="18"/>
              </w:rPr>
            </w:pPr>
            <w:r>
              <w:rPr>
                <w:color w:val="181818"/>
                <w:sz w:val="18"/>
              </w:rPr>
              <w:t>Atlautla</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Pr>
          <w:p>
            <w:pPr/>
          </w:p>
        </w:tc>
      </w:tr>
      <w:tr>
        <w:trPr>
          <w:trHeight w:val="331"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before="6"/>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before="6"/>
              <w:ind w:left="65"/>
              <w:jc w:val="left"/>
              <w:rPr>
                <w:sz w:val="18"/>
              </w:rPr>
            </w:pPr>
            <w:r>
              <w:rPr>
                <w:color w:val="181818"/>
                <w:sz w:val="18"/>
              </w:rPr>
              <w:t>Coatepec Harinas</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Pr>
          <w:p>
            <w:pPr/>
          </w:p>
        </w:tc>
      </w:tr>
      <w:tr>
        <w:trPr>
          <w:trHeight w:val="331"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before="6"/>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before="6"/>
              <w:ind w:left="65"/>
              <w:jc w:val="left"/>
              <w:rPr>
                <w:sz w:val="18"/>
              </w:rPr>
            </w:pPr>
            <w:r>
              <w:rPr>
                <w:color w:val="181818"/>
                <w:sz w:val="18"/>
              </w:rPr>
              <w:t>Chapa de Mota</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Pr>
          <w:p>
            <w:pPr/>
          </w:p>
        </w:tc>
      </w:tr>
      <w:tr>
        <w:trPr>
          <w:trHeight w:val="32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before="6"/>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before="6"/>
              <w:ind w:left="65"/>
              <w:jc w:val="left"/>
              <w:rPr>
                <w:sz w:val="18"/>
              </w:rPr>
            </w:pPr>
            <w:r>
              <w:rPr>
                <w:color w:val="181818"/>
                <w:sz w:val="18"/>
              </w:rPr>
              <w:t>Chiconcuac</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Pr>
          <w:p>
            <w:pPr/>
          </w:p>
        </w:tc>
      </w:tr>
      <w:tr>
        <w:trPr>
          <w:trHeight w:val="331"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before="8"/>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before="8"/>
              <w:ind w:left="65"/>
              <w:jc w:val="left"/>
              <w:rPr>
                <w:sz w:val="18"/>
              </w:rPr>
            </w:pPr>
            <w:r>
              <w:rPr>
                <w:color w:val="181818"/>
                <w:sz w:val="18"/>
              </w:rPr>
              <w:t>Huehuetoca</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Pr>
          <w:p>
            <w:pPr/>
          </w:p>
        </w:tc>
      </w:tr>
      <w:tr>
        <w:trPr>
          <w:trHeight w:val="331"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before="6"/>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before="6"/>
              <w:ind w:left="65"/>
              <w:jc w:val="left"/>
              <w:rPr>
                <w:sz w:val="18"/>
              </w:rPr>
            </w:pPr>
            <w:r>
              <w:rPr>
                <w:color w:val="181818"/>
                <w:sz w:val="18"/>
              </w:rPr>
              <w:t>Hueypoxtla</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Pr>
          <w:p>
            <w:pPr/>
          </w:p>
        </w:tc>
      </w:tr>
      <w:tr>
        <w:trPr>
          <w:trHeight w:val="32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before="6"/>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before="6"/>
              <w:ind w:left="65"/>
              <w:jc w:val="left"/>
              <w:rPr>
                <w:sz w:val="18"/>
              </w:rPr>
            </w:pPr>
            <w:r>
              <w:rPr>
                <w:color w:val="181818"/>
                <w:sz w:val="18"/>
              </w:rPr>
              <w:t>Joquicingo</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Pr>
          <w:p>
            <w:pPr/>
          </w:p>
        </w:tc>
      </w:tr>
      <w:tr>
        <w:trPr>
          <w:trHeight w:val="331"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before="8"/>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before="8"/>
              <w:ind w:left="65"/>
              <w:jc w:val="left"/>
              <w:rPr>
                <w:sz w:val="18"/>
              </w:rPr>
            </w:pPr>
            <w:r>
              <w:rPr>
                <w:color w:val="181818"/>
                <w:sz w:val="18"/>
              </w:rPr>
              <w:t>Nextlalpan</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Pr>
          <w:p>
            <w:pPr/>
          </w:p>
        </w:tc>
      </w:tr>
      <w:tr>
        <w:trPr>
          <w:trHeight w:val="331"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before="6"/>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before="6"/>
              <w:ind w:left="65"/>
              <w:jc w:val="left"/>
              <w:rPr>
                <w:sz w:val="18"/>
              </w:rPr>
            </w:pPr>
            <w:r>
              <w:rPr>
                <w:color w:val="181818"/>
                <w:sz w:val="18"/>
              </w:rPr>
              <w:t>Otumba</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Pr>
          <w:p>
            <w:pPr/>
          </w:p>
        </w:tc>
      </w:tr>
      <w:tr>
        <w:trPr>
          <w:trHeight w:val="32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before="6"/>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before="6"/>
              <w:ind w:left="65"/>
              <w:jc w:val="left"/>
              <w:rPr>
                <w:sz w:val="18"/>
              </w:rPr>
            </w:pPr>
            <w:r>
              <w:rPr>
                <w:color w:val="181818"/>
                <w:sz w:val="18"/>
              </w:rPr>
              <w:t>Tequixquiac</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Pr>
          <w:p>
            <w:pPr/>
          </w:p>
        </w:tc>
      </w:tr>
      <w:tr>
        <w:trPr>
          <w:trHeight w:val="331"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before="8"/>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before="8"/>
              <w:ind w:left="65"/>
              <w:jc w:val="left"/>
              <w:rPr>
                <w:sz w:val="18"/>
              </w:rPr>
            </w:pPr>
            <w:r>
              <w:rPr>
                <w:color w:val="181818"/>
                <w:sz w:val="18"/>
              </w:rPr>
              <w:t>Texcaltitlán</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Pr>
          <w:p>
            <w:pPr/>
          </w:p>
        </w:tc>
      </w:tr>
      <w:tr>
        <w:trPr>
          <w:trHeight w:val="331"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before="6"/>
              <w:rPr>
                <w:sz w:val="18"/>
              </w:rPr>
            </w:pPr>
            <w:r>
              <w:rPr>
                <w:color w:val="181818"/>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before="6"/>
              <w:ind w:left="65"/>
              <w:jc w:val="left"/>
              <w:rPr>
                <w:sz w:val="18"/>
              </w:rPr>
            </w:pPr>
            <w:r>
              <w:rPr>
                <w:color w:val="181818"/>
                <w:sz w:val="18"/>
              </w:rPr>
              <w:t>Valle de Bravo</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Pr>
          <w:p>
            <w:pPr/>
          </w:p>
        </w:tc>
      </w:tr>
      <w:tr>
        <w:trPr>
          <w:trHeight w:val="331"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before="6"/>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before="6"/>
              <w:ind w:left="65"/>
              <w:jc w:val="left"/>
              <w:rPr>
                <w:sz w:val="18"/>
              </w:rPr>
            </w:pPr>
            <w:r>
              <w:rPr>
                <w:color w:val="181818"/>
                <w:sz w:val="18"/>
              </w:rPr>
              <w:t>Zacualpan</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Pr>
          <w:p>
            <w:pPr/>
          </w:p>
        </w:tc>
      </w:tr>
      <w:tr>
        <w:trPr>
          <w:trHeight w:val="338" w:hRule="exact"/>
        </w:trPr>
        <w:tc>
          <w:tcPr>
            <w:tcW w:w="1380" w:type="dxa"/>
            <w:vMerge/>
            <w:tcBorders>
              <w:right w:val="single" w:sz="4" w:space="0" w:color="000000"/>
            </w:tcBorders>
          </w:tcPr>
          <w:p>
            <w:pPr/>
          </w:p>
        </w:tc>
        <w:tc>
          <w:tcPr>
            <w:tcW w:w="840" w:type="dxa"/>
            <w:tcBorders>
              <w:top w:val="single" w:sz="4" w:space="0" w:color="000000"/>
              <w:left w:val="single" w:sz="4" w:space="0" w:color="000000"/>
              <w:right w:val="single" w:sz="4" w:space="0" w:color="000000"/>
            </w:tcBorders>
          </w:tcPr>
          <w:p>
            <w:pPr>
              <w:pStyle w:val="TableParagraph"/>
              <w:spacing w:before="8"/>
              <w:rPr>
                <w:sz w:val="18"/>
              </w:rPr>
            </w:pPr>
            <w:r>
              <w:rPr>
                <w:w w:val="99"/>
                <w:sz w:val="18"/>
              </w:rPr>
              <w:t>1</w:t>
            </w:r>
          </w:p>
        </w:tc>
        <w:tc>
          <w:tcPr>
            <w:tcW w:w="2420" w:type="dxa"/>
            <w:tcBorders>
              <w:top w:val="single" w:sz="4" w:space="0" w:color="000000"/>
              <w:left w:val="single" w:sz="4" w:space="0" w:color="000000"/>
              <w:right w:val="single" w:sz="4" w:space="0" w:color="000000"/>
            </w:tcBorders>
          </w:tcPr>
          <w:p>
            <w:pPr>
              <w:pStyle w:val="TableParagraph"/>
              <w:spacing w:before="8"/>
              <w:ind w:left="65"/>
              <w:jc w:val="left"/>
              <w:rPr>
                <w:sz w:val="18"/>
              </w:rPr>
            </w:pPr>
            <w:r>
              <w:rPr>
                <w:color w:val="181818"/>
                <w:sz w:val="18"/>
              </w:rPr>
              <w:t>Zumpahuacán</w:t>
            </w:r>
          </w:p>
        </w:tc>
        <w:tc>
          <w:tcPr>
            <w:tcW w:w="1481" w:type="dxa"/>
            <w:tcBorders>
              <w:top w:val="single" w:sz="4" w:space="0" w:color="000000"/>
              <w:left w:val="single" w:sz="4" w:space="0" w:color="000000"/>
              <w:right w:val="single" w:sz="4" w:space="0" w:color="000000"/>
            </w:tcBorders>
          </w:tcPr>
          <w:p>
            <w:pPr/>
          </w:p>
        </w:tc>
        <w:tc>
          <w:tcPr>
            <w:tcW w:w="1981" w:type="dxa"/>
            <w:vMerge/>
          </w:tcPr>
          <w:p>
            <w:pPr/>
          </w:p>
        </w:tc>
      </w:tr>
      <w:tr>
        <w:trPr>
          <w:trHeight w:val="326" w:hRule="exact"/>
        </w:trPr>
        <w:tc>
          <w:tcPr>
            <w:tcW w:w="1380" w:type="dxa"/>
            <w:vMerge w:val="restart"/>
            <w:tcBorders>
              <w:right w:val="single" w:sz="4" w:space="0" w:color="000000"/>
            </w:tcBorders>
          </w:tcPr>
          <w:p>
            <w:pPr>
              <w:pStyle w:val="TableParagraph"/>
              <w:jc w:val="left"/>
              <w:rPr>
                <w:sz w:val="18"/>
              </w:rPr>
            </w:pPr>
          </w:p>
          <w:p>
            <w:pPr>
              <w:pStyle w:val="TableParagraph"/>
              <w:spacing w:before="113"/>
              <w:ind w:left="297" w:right="301"/>
              <w:rPr>
                <w:sz w:val="18"/>
              </w:rPr>
            </w:pPr>
            <w:r>
              <w:rPr>
                <w:sz w:val="18"/>
              </w:rPr>
              <w:t>PRD</w:t>
            </w:r>
          </w:p>
        </w:tc>
        <w:tc>
          <w:tcPr>
            <w:tcW w:w="840" w:type="dxa"/>
            <w:tcBorders>
              <w:left w:val="single" w:sz="4" w:space="0" w:color="000000"/>
              <w:bottom w:val="single" w:sz="4" w:space="0" w:color="000000"/>
              <w:right w:val="single" w:sz="4" w:space="0" w:color="000000"/>
            </w:tcBorders>
          </w:tcPr>
          <w:p>
            <w:pPr>
              <w:pStyle w:val="TableParagraph"/>
              <w:spacing w:line="203" w:lineRule="exact"/>
              <w:rPr>
                <w:sz w:val="18"/>
              </w:rPr>
            </w:pPr>
            <w:r>
              <w:rPr>
                <w:color w:val="181818"/>
                <w:w w:val="99"/>
                <w:sz w:val="18"/>
              </w:rPr>
              <w:t>1</w:t>
            </w:r>
          </w:p>
        </w:tc>
        <w:tc>
          <w:tcPr>
            <w:tcW w:w="2420" w:type="dxa"/>
            <w:tcBorders>
              <w:left w:val="single" w:sz="4" w:space="0" w:color="000000"/>
              <w:bottom w:val="single" w:sz="4" w:space="0" w:color="000000"/>
              <w:right w:val="single" w:sz="4" w:space="0" w:color="000000"/>
            </w:tcBorders>
          </w:tcPr>
          <w:p>
            <w:pPr>
              <w:pStyle w:val="TableParagraph"/>
              <w:spacing w:line="199" w:lineRule="exact"/>
              <w:ind w:left="65"/>
              <w:jc w:val="left"/>
              <w:rPr>
                <w:b/>
                <w:sz w:val="18"/>
              </w:rPr>
            </w:pPr>
            <w:r>
              <w:rPr>
                <w:b/>
                <w:color w:val="181818"/>
                <w:sz w:val="18"/>
              </w:rPr>
              <w:t>Nezahualcóyotl</w:t>
            </w:r>
          </w:p>
        </w:tc>
        <w:tc>
          <w:tcPr>
            <w:tcW w:w="1481" w:type="dxa"/>
            <w:tcBorders>
              <w:left w:val="single" w:sz="4" w:space="0" w:color="000000"/>
              <w:bottom w:val="single" w:sz="4" w:space="0" w:color="000000"/>
              <w:right w:val="single" w:sz="4" w:space="0" w:color="000000"/>
            </w:tcBorders>
          </w:tcPr>
          <w:p>
            <w:pPr>
              <w:pStyle w:val="TableParagraph"/>
              <w:spacing w:line="203" w:lineRule="exact"/>
              <w:ind w:left="410" w:right="410"/>
              <w:rPr>
                <w:sz w:val="18"/>
              </w:rPr>
            </w:pPr>
            <w:r>
              <w:rPr>
                <w:sz w:val="18"/>
              </w:rPr>
              <w:t>94.61%</w:t>
            </w:r>
          </w:p>
        </w:tc>
        <w:tc>
          <w:tcPr>
            <w:tcW w:w="1981" w:type="dxa"/>
            <w:vMerge w:val="restart"/>
            <w:tcBorders>
              <w:left w:val="single" w:sz="4" w:space="0" w:color="000000"/>
            </w:tcBorders>
          </w:tcPr>
          <w:p>
            <w:pPr>
              <w:pStyle w:val="TableParagraph"/>
              <w:jc w:val="left"/>
              <w:rPr>
                <w:sz w:val="18"/>
              </w:rPr>
            </w:pPr>
          </w:p>
          <w:p>
            <w:pPr>
              <w:pStyle w:val="TableParagraph"/>
              <w:spacing w:before="113"/>
              <w:ind w:left="658" w:right="656"/>
              <w:rPr>
                <w:sz w:val="18"/>
              </w:rPr>
            </w:pPr>
            <w:r>
              <w:rPr>
                <w:sz w:val="18"/>
              </w:rPr>
              <w:t>94.61%</w:t>
            </w: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color w:val="181818"/>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Teotihuacán</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32" w:hRule="exact"/>
        </w:trPr>
        <w:tc>
          <w:tcPr>
            <w:tcW w:w="1380" w:type="dxa"/>
            <w:vMerge/>
            <w:tcBorders>
              <w:right w:val="single" w:sz="4" w:space="0" w:color="000000"/>
            </w:tcBorders>
          </w:tcPr>
          <w:p>
            <w:pPr/>
          </w:p>
        </w:tc>
        <w:tc>
          <w:tcPr>
            <w:tcW w:w="840" w:type="dxa"/>
            <w:tcBorders>
              <w:top w:val="single" w:sz="4" w:space="0" w:color="000000"/>
              <w:left w:val="single" w:sz="4" w:space="0" w:color="000000"/>
              <w:right w:val="single" w:sz="4" w:space="0" w:color="000000"/>
            </w:tcBorders>
          </w:tcPr>
          <w:p>
            <w:pPr>
              <w:pStyle w:val="TableParagraph"/>
              <w:spacing w:line="206" w:lineRule="exact"/>
              <w:rPr>
                <w:sz w:val="18"/>
              </w:rPr>
            </w:pPr>
            <w:r>
              <w:rPr>
                <w:color w:val="181818"/>
                <w:w w:val="99"/>
                <w:sz w:val="18"/>
              </w:rPr>
              <w:t>1</w:t>
            </w:r>
          </w:p>
        </w:tc>
        <w:tc>
          <w:tcPr>
            <w:tcW w:w="2420" w:type="dxa"/>
            <w:tcBorders>
              <w:top w:val="single" w:sz="4" w:space="0" w:color="000000"/>
              <w:left w:val="single" w:sz="4" w:space="0" w:color="000000"/>
              <w:right w:val="single" w:sz="4" w:space="0" w:color="000000"/>
            </w:tcBorders>
          </w:tcPr>
          <w:p>
            <w:pPr>
              <w:pStyle w:val="TableParagraph"/>
              <w:spacing w:line="206" w:lineRule="exact"/>
              <w:ind w:left="65"/>
              <w:jc w:val="left"/>
              <w:rPr>
                <w:sz w:val="18"/>
              </w:rPr>
            </w:pPr>
            <w:r>
              <w:rPr>
                <w:color w:val="181818"/>
                <w:sz w:val="18"/>
              </w:rPr>
              <w:t>Valle de Chalco Solidaridad</w:t>
            </w:r>
          </w:p>
        </w:tc>
        <w:tc>
          <w:tcPr>
            <w:tcW w:w="1481" w:type="dxa"/>
            <w:tcBorders>
              <w:top w:val="single" w:sz="4" w:space="0" w:color="000000"/>
              <w:left w:val="single" w:sz="4" w:space="0" w:color="000000"/>
              <w:right w:val="single" w:sz="4" w:space="0" w:color="000000"/>
            </w:tcBorders>
          </w:tcPr>
          <w:p>
            <w:pPr/>
          </w:p>
        </w:tc>
        <w:tc>
          <w:tcPr>
            <w:tcW w:w="1981" w:type="dxa"/>
            <w:vMerge/>
            <w:tcBorders>
              <w:left w:val="single" w:sz="4" w:space="0" w:color="000000"/>
            </w:tcBorders>
          </w:tcPr>
          <w:p>
            <w:pPr/>
          </w:p>
        </w:tc>
      </w:tr>
      <w:tr>
        <w:trPr>
          <w:trHeight w:val="334" w:hRule="exact"/>
        </w:trPr>
        <w:tc>
          <w:tcPr>
            <w:tcW w:w="1380" w:type="dxa"/>
            <w:tcBorders>
              <w:right w:val="single" w:sz="4" w:space="0" w:color="000000"/>
            </w:tcBorders>
          </w:tcPr>
          <w:p>
            <w:pPr>
              <w:pStyle w:val="TableParagraph"/>
              <w:spacing w:line="206" w:lineRule="exact"/>
              <w:ind w:left="297" w:right="307"/>
              <w:rPr>
                <w:sz w:val="18"/>
              </w:rPr>
            </w:pPr>
            <w:r>
              <w:rPr>
                <w:sz w:val="18"/>
              </w:rPr>
              <w:t>PRD-MC</w:t>
            </w:r>
          </w:p>
        </w:tc>
        <w:tc>
          <w:tcPr>
            <w:tcW w:w="840" w:type="dxa"/>
            <w:tcBorders>
              <w:left w:val="single" w:sz="4" w:space="0" w:color="000000"/>
              <w:right w:val="single" w:sz="4" w:space="0" w:color="000000"/>
            </w:tcBorders>
          </w:tcPr>
          <w:p>
            <w:pPr>
              <w:pStyle w:val="TableParagraph"/>
              <w:spacing w:line="206" w:lineRule="exact"/>
              <w:rPr>
                <w:sz w:val="18"/>
              </w:rPr>
            </w:pPr>
            <w:r>
              <w:rPr>
                <w:w w:val="99"/>
                <w:sz w:val="18"/>
              </w:rPr>
              <w:t>1</w:t>
            </w:r>
          </w:p>
        </w:tc>
        <w:tc>
          <w:tcPr>
            <w:tcW w:w="2420" w:type="dxa"/>
            <w:tcBorders>
              <w:left w:val="single" w:sz="4" w:space="0" w:color="000000"/>
              <w:right w:val="single" w:sz="4" w:space="0" w:color="000000"/>
            </w:tcBorders>
          </w:tcPr>
          <w:p>
            <w:pPr>
              <w:pStyle w:val="TableParagraph"/>
              <w:spacing w:line="201" w:lineRule="exact"/>
              <w:ind w:left="65"/>
              <w:jc w:val="left"/>
              <w:rPr>
                <w:b/>
                <w:sz w:val="18"/>
              </w:rPr>
            </w:pPr>
            <w:r>
              <w:rPr>
                <w:b/>
                <w:color w:val="181818"/>
                <w:sz w:val="18"/>
              </w:rPr>
              <w:t>Tultepec</w:t>
            </w:r>
          </w:p>
        </w:tc>
        <w:tc>
          <w:tcPr>
            <w:tcW w:w="1481" w:type="dxa"/>
            <w:tcBorders>
              <w:left w:val="single" w:sz="4" w:space="0" w:color="000000"/>
              <w:right w:val="single" w:sz="4" w:space="0" w:color="000000"/>
            </w:tcBorders>
          </w:tcPr>
          <w:p>
            <w:pPr>
              <w:pStyle w:val="TableParagraph"/>
              <w:spacing w:line="206" w:lineRule="exact"/>
              <w:ind w:left="409" w:right="410"/>
              <w:rPr>
                <w:sz w:val="18"/>
              </w:rPr>
            </w:pPr>
            <w:r>
              <w:rPr>
                <w:sz w:val="18"/>
              </w:rPr>
              <w:t>5.58%</w:t>
            </w:r>
          </w:p>
        </w:tc>
        <w:tc>
          <w:tcPr>
            <w:tcW w:w="1981" w:type="dxa"/>
            <w:tcBorders>
              <w:left w:val="single" w:sz="4" w:space="0" w:color="000000"/>
            </w:tcBorders>
          </w:tcPr>
          <w:p>
            <w:pPr>
              <w:pStyle w:val="TableParagraph"/>
              <w:spacing w:line="206" w:lineRule="exact"/>
              <w:ind w:left="658" w:right="653"/>
              <w:rPr>
                <w:sz w:val="18"/>
              </w:rPr>
            </w:pPr>
            <w:r>
              <w:rPr>
                <w:sz w:val="18"/>
              </w:rPr>
              <w:t>5.58%</w:t>
            </w:r>
          </w:p>
        </w:tc>
      </w:tr>
      <w:tr>
        <w:trPr>
          <w:trHeight w:val="326" w:hRule="exact"/>
        </w:trPr>
        <w:tc>
          <w:tcPr>
            <w:tcW w:w="1380" w:type="dxa"/>
            <w:vMerge w:val="restart"/>
            <w:tcBorders>
              <w:right w:val="single" w:sz="4" w:space="0" w:color="000000"/>
            </w:tcBorders>
          </w:tcPr>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10"/>
              <w:jc w:val="left"/>
              <w:rPr>
                <w:sz w:val="17"/>
              </w:rPr>
            </w:pPr>
          </w:p>
          <w:p>
            <w:pPr>
              <w:pStyle w:val="TableParagraph"/>
              <w:ind w:left="345"/>
              <w:jc w:val="left"/>
              <w:rPr>
                <w:sz w:val="18"/>
              </w:rPr>
            </w:pPr>
            <w:r>
              <w:rPr>
                <w:sz w:val="18"/>
              </w:rPr>
              <w:t>PRD-PT</w:t>
            </w:r>
          </w:p>
        </w:tc>
        <w:tc>
          <w:tcPr>
            <w:tcW w:w="840" w:type="dxa"/>
            <w:tcBorders>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2420" w:type="dxa"/>
            <w:tcBorders>
              <w:left w:val="single" w:sz="4" w:space="0" w:color="000000"/>
              <w:bottom w:val="single" w:sz="4" w:space="0" w:color="000000"/>
              <w:right w:val="single" w:sz="4" w:space="0" w:color="000000"/>
            </w:tcBorders>
          </w:tcPr>
          <w:p>
            <w:pPr>
              <w:pStyle w:val="TableParagraph"/>
              <w:spacing w:line="206" w:lineRule="exact"/>
              <w:ind w:left="65"/>
              <w:jc w:val="left"/>
              <w:rPr>
                <w:sz w:val="18"/>
              </w:rPr>
            </w:pPr>
            <w:r>
              <w:rPr>
                <w:color w:val="181818"/>
                <w:sz w:val="18"/>
              </w:rPr>
              <w:t>Ixtapan de la Sal</w:t>
            </w:r>
          </w:p>
        </w:tc>
        <w:tc>
          <w:tcPr>
            <w:tcW w:w="1481" w:type="dxa"/>
            <w:tcBorders>
              <w:left w:val="single" w:sz="4" w:space="0" w:color="000000"/>
              <w:bottom w:val="single" w:sz="4" w:space="0" w:color="000000"/>
              <w:right w:val="single" w:sz="4" w:space="0" w:color="000000"/>
            </w:tcBorders>
          </w:tcPr>
          <w:p>
            <w:pPr/>
          </w:p>
        </w:tc>
        <w:tc>
          <w:tcPr>
            <w:tcW w:w="1981" w:type="dxa"/>
            <w:vMerge w:val="restart"/>
            <w:tcBorders>
              <w:left w:val="single" w:sz="4" w:space="0" w:color="000000"/>
            </w:tcBorders>
          </w:tcPr>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10"/>
              <w:jc w:val="left"/>
              <w:rPr>
                <w:sz w:val="17"/>
              </w:rPr>
            </w:pPr>
          </w:p>
          <w:p>
            <w:pPr>
              <w:pStyle w:val="TableParagraph"/>
              <w:ind w:left="658" w:right="654"/>
              <w:rPr>
                <w:sz w:val="18"/>
              </w:rPr>
            </w:pPr>
            <w:r>
              <w:rPr>
                <w:sz w:val="18"/>
              </w:rPr>
              <w:t>N/A</w:t>
            </w:r>
          </w:p>
        </w:tc>
      </w:tr>
      <w:tr>
        <w:trPr>
          <w:trHeight w:val="331"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before="6"/>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before="6"/>
              <w:ind w:left="65"/>
              <w:jc w:val="left"/>
              <w:rPr>
                <w:sz w:val="18"/>
              </w:rPr>
            </w:pPr>
            <w:r>
              <w:rPr>
                <w:color w:val="181818"/>
                <w:sz w:val="18"/>
              </w:rPr>
              <w:t>San Simón de Guerrero</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before="6"/>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before="6"/>
              <w:ind w:left="65"/>
              <w:jc w:val="left"/>
              <w:rPr>
                <w:sz w:val="18"/>
              </w:rPr>
            </w:pPr>
            <w:r>
              <w:rPr>
                <w:color w:val="181818"/>
                <w:sz w:val="18"/>
              </w:rPr>
              <w:t>Santo Tomás</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31"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before="8"/>
              <w:rPr>
                <w:sz w:val="18"/>
              </w:rPr>
            </w:pPr>
            <w:r>
              <w:rPr>
                <w:color w:val="181818"/>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before="8"/>
              <w:ind w:left="65"/>
              <w:jc w:val="left"/>
              <w:rPr>
                <w:sz w:val="18"/>
              </w:rPr>
            </w:pPr>
            <w:r>
              <w:rPr>
                <w:color w:val="181818"/>
                <w:sz w:val="18"/>
              </w:rPr>
              <w:t>Tonatico</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31"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before="6"/>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before="6"/>
              <w:ind w:left="65"/>
              <w:jc w:val="left"/>
              <w:rPr>
                <w:sz w:val="18"/>
              </w:rPr>
            </w:pPr>
            <w:r>
              <w:rPr>
                <w:color w:val="181818"/>
                <w:sz w:val="18"/>
              </w:rPr>
              <w:t>Villa de Allende</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34" w:hRule="exact"/>
        </w:trPr>
        <w:tc>
          <w:tcPr>
            <w:tcW w:w="1380" w:type="dxa"/>
            <w:vMerge/>
            <w:tcBorders>
              <w:bottom w:val="single" w:sz="4" w:space="0" w:color="000000"/>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before="8"/>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before="8"/>
              <w:ind w:left="65"/>
              <w:jc w:val="left"/>
              <w:rPr>
                <w:sz w:val="18"/>
              </w:rPr>
            </w:pPr>
            <w:r>
              <w:rPr>
                <w:color w:val="181818"/>
                <w:sz w:val="18"/>
              </w:rPr>
              <w:t>Luvianos</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bottom w:val="single" w:sz="4" w:space="0" w:color="000000"/>
            </w:tcBorders>
          </w:tcPr>
          <w:p>
            <w:pPr/>
          </w:p>
        </w:tc>
      </w:tr>
      <w:tr>
        <w:trPr>
          <w:trHeight w:val="326" w:hRule="exact"/>
        </w:trPr>
        <w:tc>
          <w:tcPr>
            <w:tcW w:w="1380" w:type="dxa"/>
            <w:tcBorders>
              <w:top w:val="single" w:sz="4" w:space="0" w:color="000000"/>
              <w:left w:val="single" w:sz="4" w:space="0" w:color="000000"/>
              <w:bottom w:val="single" w:sz="4" w:space="0" w:color="000000"/>
              <w:right w:val="single" w:sz="4" w:space="0" w:color="000000"/>
            </w:tcBorders>
          </w:tcPr>
          <w:p>
            <w:pPr>
              <w:pStyle w:val="TableParagraph"/>
              <w:spacing w:before="1"/>
              <w:ind w:left="159" w:right="160"/>
              <w:rPr>
                <w:sz w:val="18"/>
              </w:rPr>
            </w:pPr>
            <w:r>
              <w:rPr>
                <w:sz w:val="18"/>
              </w:rPr>
              <w:t>PRD-PT-MC</w:t>
            </w: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before="1"/>
              <w:ind w:left="65"/>
              <w:jc w:val="left"/>
              <w:rPr>
                <w:sz w:val="18"/>
              </w:rPr>
            </w:pPr>
            <w:r>
              <w:rPr>
                <w:color w:val="181818"/>
                <w:sz w:val="18"/>
              </w:rPr>
              <w:t>Tlatlaya</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tcBorders>
              <w:top w:val="single" w:sz="4" w:space="0" w:color="000000"/>
              <w:left w:val="single" w:sz="4" w:space="0" w:color="000000"/>
              <w:bottom w:val="single" w:sz="4" w:space="0" w:color="000000"/>
              <w:right w:val="single" w:sz="4" w:space="0" w:color="000000"/>
            </w:tcBorders>
          </w:tcPr>
          <w:p>
            <w:pPr>
              <w:pStyle w:val="TableParagraph"/>
              <w:spacing w:before="1"/>
              <w:ind w:left="649" w:right="649"/>
              <w:rPr>
                <w:sz w:val="18"/>
              </w:rPr>
            </w:pPr>
            <w:r>
              <w:rPr>
                <w:sz w:val="18"/>
              </w:rPr>
              <w:t>N/A</w:t>
            </w:r>
          </w:p>
        </w:tc>
      </w:tr>
    </w:tbl>
    <w:p>
      <w:pPr>
        <w:spacing w:after="0"/>
        <w:rPr>
          <w:sz w:val="18"/>
        </w:rPr>
        <w:sectPr>
          <w:pgSz w:w="12240" w:h="15840"/>
          <w:pgMar w:header="0" w:footer="975" w:top="1420" w:bottom="1160" w:left="1580" w:right="1720"/>
        </w:sectPr>
      </w:pPr>
    </w:p>
    <w:tbl>
      <w:tblPr>
        <w:tblW w:w="0" w:type="auto"/>
        <w:jc w:val="left"/>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80"/>
        <w:gridCol w:w="840"/>
        <w:gridCol w:w="2420"/>
        <w:gridCol w:w="1481"/>
        <w:gridCol w:w="1981"/>
      </w:tblGrid>
      <w:tr>
        <w:trPr>
          <w:trHeight w:val="434" w:hRule="exact"/>
        </w:trPr>
        <w:tc>
          <w:tcPr>
            <w:tcW w:w="8102" w:type="dxa"/>
            <w:gridSpan w:val="5"/>
            <w:shd w:val="clear" w:color="auto" w:fill="92D050"/>
          </w:tcPr>
          <w:p>
            <w:pPr>
              <w:pStyle w:val="TableParagraph"/>
              <w:ind w:left="3406" w:right="608" w:hanging="2783"/>
              <w:jc w:val="left"/>
              <w:rPr>
                <w:b/>
                <w:sz w:val="18"/>
              </w:rPr>
            </w:pPr>
            <w:r>
              <w:rPr>
                <w:b/>
                <w:sz w:val="18"/>
              </w:rPr>
              <w:t>Anexo 13. Porcentaje de cumplimiento por municipio y por partido político 2014 (Continuación)</w:t>
            </w:r>
          </w:p>
        </w:tc>
      </w:tr>
      <w:tr>
        <w:trPr>
          <w:trHeight w:val="434" w:hRule="exact"/>
        </w:trPr>
        <w:tc>
          <w:tcPr>
            <w:tcW w:w="1380" w:type="dxa"/>
            <w:tcBorders>
              <w:right w:val="single" w:sz="4" w:space="0" w:color="000000"/>
            </w:tcBorders>
            <w:shd w:val="clear" w:color="auto" w:fill="92D050"/>
          </w:tcPr>
          <w:p>
            <w:pPr>
              <w:pStyle w:val="TableParagraph"/>
              <w:spacing w:before="97"/>
              <w:ind w:left="369"/>
              <w:jc w:val="left"/>
              <w:rPr>
                <w:b/>
                <w:sz w:val="18"/>
              </w:rPr>
            </w:pPr>
            <w:r>
              <w:rPr>
                <w:b/>
                <w:sz w:val="18"/>
              </w:rPr>
              <w:t>Partido</w:t>
            </w:r>
          </w:p>
        </w:tc>
        <w:tc>
          <w:tcPr>
            <w:tcW w:w="840" w:type="dxa"/>
            <w:tcBorders>
              <w:left w:val="single" w:sz="4" w:space="0" w:color="000000"/>
              <w:right w:val="single" w:sz="4" w:space="0" w:color="000000"/>
            </w:tcBorders>
            <w:shd w:val="clear" w:color="auto" w:fill="92D050"/>
          </w:tcPr>
          <w:p>
            <w:pPr>
              <w:pStyle w:val="TableParagraph"/>
              <w:spacing w:before="97"/>
              <w:ind w:left="80" w:right="80"/>
              <w:rPr>
                <w:b/>
                <w:sz w:val="18"/>
              </w:rPr>
            </w:pPr>
            <w:r>
              <w:rPr>
                <w:b/>
                <w:sz w:val="18"/>
              </w:rPr>
              <w:t>Genero</w:t>
            </w:r>
          </w:p>
        </w:tc>
        <w:tc>
          <w:tcPr>
            <w:tcW w:w="2420" w:type="dxa"/>
            <w:tcBorders>
              <w:left w:val="single" w:sz="4" w:space="0" w:color="000000"/>
              <w:right w:val="single" w:sz="4" w:space="0" w:color="000000"/>
            </w:tcBorders>
            <w:shd w:val="clear" w:color="auto" w:fill="92D050"/>
          </w:tcPr>
          <w:p>
            <w:pPr>
              <w:pStyle w:val="TableParagraph"/>
              <w:spacing w:before="97"/>
              <w:ind w:left="65"/>
              <w:jc w:val="left"/>
              <w:rPr>
                <w:b/>
                <w:sz w:val="18"/>
              </w:rPr>
            </w:pPr>
            <w:r>
              <w:rPr>
                <w:b/>
                <w:sz w:val="18"/>
              </w:rPr>
              <w:t>Municipio gobernado</w:t>
            </w:r>
          </w:p>
        </w:tc>
        <w:tc>
          <w:tcPr>
            <w:tcW w:w="1481" w:type="dxa"/>
            <w:tcBorders>
              <w:left w:val="single" w:sz="4" w:space="0" w:color="000000"/>
              <w:right w:val="single" w:sz="4" w:space="0" w:color="000000"/>
            </w:tcBorders>
            <w:shd w:val="clear" w:color="auto" w:fill="92D050"/>
          </w:tcPr>
          <w:p>
            <w:pPr>
              <w:pStyle w:val="TableParagraph"/>
              <w:ind w:left="148" w:right="133" w:firstLine="377"/>
              <w:jc w:val="left"/>
              <w:rPr>
                <w:b/>
                <w:sz w:val="18"/>
              </w:rPr>
            </w:pPr>
            <w:r>
              <w:rPr>
                <w:b/>
                <w:sz w:val="18"/>
              </w:rPr>
              <w:t>% de cumplimiento</w:t>
            </w:r>
          </w:p>
        </w:tc>
        <w:tc>
          <w:tcPr>
            <w:tcW w:w="1981" w:type="dxa"/>
            <w:tcBorders>
              <w:left w:val="single" w:sz="4" w:space="0" w:color="000000"/>
            </w:tcBorders>
            <w:shd w:val="clear" w:color="auto" w:fill="92D050"/>
          </w:tcPr>
          <w:p>
            <w:pPr>
              <w:pStyle w:val="TableParagraph"/>
              <w:ind w:left="398" w:right="378" w:firstLine="14"/>
              <w:jc w:val="left"/>
              <w:rPr>
                <w:b/>
                <w:sz w:val="18"/>
              </w:rPr>
            </w:pPr>
            <w:r>
              <w:rPr>
                <w:b/>
                <w:sz w:val="18"/>
              </w:rPr>
              <w:t>Promedio del cumplimiento</w:t>
            </w:r>
          </w:p>
        </w:tc>
      </w:tr>
      <w:tr>
        <w:trPr>
          <w:trHeight w:val="326" w:hRule="exact"/>
        </w:trPr>
        <w:tc>
          <w:tcPr>
            <w:tcW w:w="1380" w:type="dxa"/>
            <w:vMerge w:val="restart"/>
            <w:tcBorders>
              <w:right w:val="single" w:sz="4" w:space="0" w:color="000000"/>
            </w:tcBorders>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5"/>
              <w:jc w:val="left"/>
              <w:rPr>
                <w:sz w:val="23"/>
              </w:rPr>
            </w:pPr>
          </w:p>
          <w:p>
            <w:pPr>
              <w:pStyle w:val="TableParagraph"/>
              <w:spacing w:before="1"/>
              <w:ind w:left="59"/>
              <w:jc w:val="left"/>
              <w:rPr>
                <w:sz w:val="18"/>
              </w:rPr>
            </w:pPr>
            <w:r>
              <w:rPr>
                <w:sz w:val="18"/>
              </w:rPr>
              <w:t>PRI-PVEM-NA</w:t>
            </w:r>
          </w:p>
        </w:tc>
        <w:tc>
          <w:tcPr>
            <w:tcW w:w="840" w:type="dxa"/>
            <w:tcBorders>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left w:val="single" w:sz="4" w:space="0" w:color="000000"/>
              <w:bottom w:val="single" w:sz="4" w:space="0" w:color="000000"/>
              <w:right w:val="single" w:sz="4" w:space="0" w:color="000000"/>
            </w:tcBorders>
          </w:tcPr>
          <w:p>
            <w:pPr>
              <w:pStyle w:val="TableParagraph"/>
              <w:spacing w:line="199" w:lineRule="exact"/>
              <w:ind w:left="65"/>
              <w:jc w:val="left"/>
              <w:rPr>
                <w:b/>
                <w:sz w:val="18"/>
              </w:rPr>
            </w:pPr>
            <w:r>
              <w:rPr>
                <w:b/>
                <w:color w:val="181818"/>
                <w:sz w:val="18"/>
              </w:rPr>
              <w:t>Acambay</w:t>
            </w:r>
          </w:p>
        </w:tc>
        <w:tc>
          <w:tcPr>
            <w:tcW w:w="1481" w:type="dxa"/>
            <w:tcBorders>
              <w:left w:val="single" w:sz="4" w:space="0" w:color="000000"/>
              <w:bottom w:val="single" w:sz="4" w:space="0" w:color="000000"/>
              <w:right w:val="single" w:sz="4" w:space="0" w:color="000000"/>
            </w:tcBorders>
          </w:tcPr>
          <w:p>
            <w:pPr>
              <w:pStyle w:val="TableParagraph"/>
              <w:spacing w:line="203" w:lineRule="exact"/>
              <w:ind w:left="410" w:right="410"/>
              <w:rPr>
                <w:sz w:val="18"/>
              </w:rPr>
            </w:pPr>
            <w:r>
              <w:rPr>
                <w:sz w:val="18"/>
              </w:rPr>
              <w:t>78.52%</w:t>
            </w:r>
          </w:p>
        </w:tc>
        <w:tc>
          <w:tcPr>
            <w:tcW w:w="1981" w:type="dxa"/>
            <w:vMerge w:val="restart"/>
            <w:tcBorders>
              <w:left w:val="single" w:sz="4" w:space="0" w:color="000000"/>
            </w:tcBorders>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5"/>
              <w:jc w:val="left"/>
              <w:rPr>
                <w:sz w:val="23"/>
              </w:rPr>
            </w:pPr>
          </w:p>
          <w:p>
            <w:pPr>
              <w:pStyle w:val="TableParagraph"/>
              <w:spacing w:before="1"/>
              <w:ind w:left="658" w:right="656"/>
              <w:rPr>
                <w:sz w:val="18"/>
              </w:rPr>
            </w:pPr>
            <w:r>
              <w:rPr>
                <w:sz w:val="18"/>
              </w:rPr>
              <w:t>59.84%</w:t>
            </w: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Acolman</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5"/>
              <w:jc w:val="left"/>
              <w:rPr>
                <w:b/>
                <w:sz w:val="18"/>
              </w:rPr>
            </w:pPr>
            <w:r>
              <w:rPr>
                <w:b/>
                <w:color w:val="181818"/>
                <w:sz w:val="18"/>
              </w:rPr>
              <w:t>Aculco</w:t>
            </w:r>
          </w:p>
        </w:tc>
        <w:tc>
          <w:tcPr>
            <w:tcW w:w="148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410" w:right="410"/>
              <w:rPr>
                <w:sz w:val="18"/>
              </w:rPr>
            </w:pPr>
            <w:r>
              <w:rPr>
                <w:sz w:val="18"/>
              </w:rPr>
              <w:t>58.76%</w:t>
            </w: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Almoloya de Alquisiras</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5"/>
              <w:jc w:val="left"/>
              <w:rPr>
                <w:b/>
                <w:sz w:val="18"/>
              </w:rPr>
            </w:pPr>
            <w:r>
              <w:rPr>
                <w:b/>
                <w:color w:val="181818"/>
                <w:sz w:val="18"/>
              </w:rPr>
              <w:t>Almoloya de Juárez</w:t>
            </w:r>
          </w:p>
        </w:tc>
        <w:tc>
          <w:tcPr>
            <w:tcW w:w="148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10" w:right="410"/>
              <w:rPr>
                <w:sz w:val="18"/>
              </w:rPr>
            </w:pPr>
            <w:r>
              <w:rPr>
                <w:sz w:val="18"/>
              </w:rPr>
              <w:t>82.09%</w:t>
            </w: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Almoloya del Río</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5"/>
              <w:jc w:val="left"/>
              <w:rPr>
                <w:b/>
                <w:sz w:val="18"/>
              </w:rPr>
            </w:pPr>
            <w:r>
              <w:rPr>
                <w:b/>
                <w:color w:val="181818"/>
                <w:sz w:val="18"/>
              </w:rPr>
              <w:t>Amanalco</w:t>
            </w:r>
          </w:p>
        </w:tc>
        <w:tc>
          <w:tcPr>
            <w:tcW w:w="148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10" w:right="410"/>
              <w:rPr>
                <w:sz w:val="18"/>
              </w:rPr>
            </w:pPr>
            <w:r>
              <w:rPr>
                <w:sz w:val="18"/>
              </w:rPr>
              <w:t>81.23%</w:t>
            </w: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Amatepec</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5"/>
              <w:jc w:val="left"/>
              <w:rPr>
                <w:sz w:val="18"/>
              </w:rPr>
            </w:pPr>
            <w:r>
              <w:rPr>
                <w:color w:val="181818"/>
                <w:sz w:val="18"/>
              </w:rPr>
              <w:t>Amecameca</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5"/>
              <w:jc w:val="left"/>
              <w:rPr>
                <w:sz w:val="18"/>
              </w:rPr>
            </w:pPr>
            <w:r>
              <w:rPr>
                <w:color w:val="181818"/>
                <w:sz w:val="18"/>
              </w:rPr>
              <w:t>Atenco</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5"/>
              <w:jc w:val="left"/>
              <w:rPr>
                <w:b/>
                <w:sz w:val="18"/>
              </w:rPr>
            </w:pPr>
            <w:r>
              <w:rPr>
                <w:b/>
                <w:color w:val="181818"/>
                <w:sz w:val="18"/>
              </w:rPr>
              <w:t>Atizapán</w:t>
            </w:r>
          </w:p>
        </w:tc>
        <w:tc>
          <w:tcPr>
            <w:tcW w:w="148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409" w:right="410"/>
              <w:rPr>
                <w:sz w:val="18"/>
              </w:rPr>
            </w:pPr>
            <w:r>
              <w:rPr>
                <w:sz w:val="18"/>
              </w:rPr>
              <w:t>2.38%</w:t>
            </w: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Atlacomulco</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Axapusco</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Ayapango</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2</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5"/>
              <w:jc w:val="left"/>
              <w:rPr>
                <w:b/>
                <w:sz w:val="18"/>
              </w:rPr>
            </w:pPr>
            <w:r>
              <w:rPr>
                <w:b/>
                <w:color w:val="181818"/>
                <w:sz w:val="18"/>
              </w:rPr>
              <w:t>Capulhuac</w:t>
            </w:r>
          </w:p>
        </w:tc>
        <w:tc>
          <w:tcPr>
            <w:tcW w:w="148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410" w:right="410"/>
              <w:rPr>
                <w:sz w:val="18"/>
              </w:rPr>
            </w:pPr>
            <w:r>
              <w:rPr>
                <w:sz w:val="18"/>
              </w:rPr>
              <w:t>48.50%</w:t>
            </w: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Coacalco de Berriozábal</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Cocotitlán</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Coyotepec</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5"/>
              <w:jc w:val="left"/>
              <w:rPr>
                <w:b/>
                <w:sz w:val="18"/>
              </w:rPr>
            </w:pPr>
            <w:r>
              <w:rPr>
                <w:b/>
                <w:color w:val="181818"/>
                <w:sz w:val="18"/>
              </w:rPr>
              <w:t>Cuautitlán</w:t>
            </w:r>
          </w:p>
        </w:tc>
        <w:tc>
          <w:tcPr>
            <w:tcW w:w="148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410" w:right="410"/>
              <w:rPr>
                <w:sz w:val="18"/>
              </w:rPr>
            </w:pPr>
            <w:r>
              <w:rPr>
                <w:sz w:val="18"/>
              </w:rPr>
              <w:t>46.47%</w:t>
            </w: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5"/>
              <w:jc w:val="left"/>
              <w:rPr>
                <w:b/>
                <w:sz w:val="18"/>
              </w:rPr>
            </w:pPr>
            <w:r>
              <w:rPr>
                <w:b/>
                <w:color w:val="181818"/>
                <w:sz w:val="18"/>
              </w:rPr>
              <w:t>Chalco</w:t>
            </w:r>
          </w:p>
        </w:tc>
        <w:tc>
          <w:tcPr>
            <w:tcW w:w="148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410" w:right="410"/>
              <w:rPr>
                <w:sz w:val="18"/>
              </w:rPr>
            </w:pPr>
            <w:r>
              <w:rPr>
                <w:sz w:val="18"/>
              </w:rPr>
              <w:t>96.42%</w:t>
            </w: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Chapultepec</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5"/>
              <w:jc w:val="left"/>
              <w:rPr>
                <w:sz w:val="18"/>
              </w:rPr>
            </w:pPr>
            <w:r>
              <w:rPr>
                <w:color w:val="181818"/>
                <w:sz w:val="18"/>
              </w:rPr>
              <w:t>Chiautla</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Chicoloapan</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5"/>
              <w:jc w:val="left"/>
              <w:rPr>
                <w:sz w:val="18"/>
              </w:rPr>
            </w:pPr>
            <w:r>
              <w:rPr>
                <w:color w:val="181818"/>
                <w:sz w:val="18"/>
              </w:rPr>
              <w:t>Chimalhuacán</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Donato Guerra</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5"/>
              <w:jc w:val="left"/>
              <w:rPr>
                <w:sz w:val="18"/>
              </w:rPr>
            </w:pPr>
            <w:r>
              <w:rPr>
                <w:color w:val="181818"/>
                <w:sz w:val="18"/>
              </w:rPr>
              <w:t>Ecatepec de Morelos</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Ecatzingo</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Huixquilucan</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Isidro Fabela</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2</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Ixtapaluca</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Ixtapan del Oro</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5"/>
              <w:jc w:val="left"/>
              <w:rPr>
                <w:b/>
                <w:sz w:val="18"/>
              </w:rPr>
            </w:pPr>
            <w:r>
              <w:rPr>
                <w:b/>
                <w:color w:val="181818"/>
                <w:sz w:val="18"/>
              </w:rPr>
              <w:t>Ixtlahuaca</w:t>
            </w:r>
          </w:p>
        </w:tc>
        <w:tc>
          <w:tcPr>
            <w:tcW w:w="148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409" w:right="410"/>
              <w:rPr>
                <w:sz w:val="18"/>
              </w:rPr>
            </w:pPr>
            <w:r>
              <w:rPr>
                <w:sz w:val="18"/>
              </w:rPr>
              <w:t>7.52%</w:t>
            </w: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5"/>
              <w:jc w:val="left"/>
              <w:rPr>
                <w:b/>
                <w:sz w:val="18"/>
              </w:rPr>
            </w:pPr>
            <w:r>
              <w:rPr>
                <w:b/>
                <w:color w:val="181818"/>
                <w:sz w:val="18"/>
              </w:rPr>
              <w:t>Xalatlaco</w:t>
            </w:r>
          </w:p>
        </w:tc>
        <w:tc>
          <w:tcPr>
            <w:tcW w:w="148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410" w:right="410"/>
              <w:rPr>
                <w:sz w:val="18"/>
              </w:rPr>
            </w:pPr>
            <w:r>
              <w:rPr>
                <w:sz w:val="18"/>
              </w:rPr>
              <w:t>58.85%</w:t>
            </w: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Jaltenco</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bottom w:val="single" w:sz="4" w:space="0" w:color="000000"/>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Jilotepec</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bottom w:val="single" w:sz="4" w:space="0" w:color="000000"/>
            </w:tcBorders>
          </w:tcPr>
          <w:p>
            <w:pPr/>
          </w:p>
        </w:tc>
      </w:tr>
    </w:tbl>
    <w:p>
      <w:pPr>
        <w:spacing w:after="0"/>
        <w:sectPr>
          <w:pgSz w:w="12240" w:h="15840"/>
          <w:pgMar w:header="0" w:footer="975" w:top="1420" w:bottom="1160" w:left="1580" w:right="1720"/>
        </w:sectPr>
      </w:pPr>
    </w:p>
    <w:tbl>
      <w:tblPr>
        <w:tblW w:w="0" w:type="auto"/>
        <w:jc w:val="left"/>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80"/>
        <w:gridCol w:w="840"/>
        <w:gridCol w:w="2420"/>
        <w:gridCol w:w="1481"/>
        <w:gridCol w:w="1981"/>
      </w:tblGrid>
      <w:tr>
        <w:trPr>
          <w:trHeight w:val="434" w:hRule="exact"/>
        </w:trPr>
        <w:tc>
          <w:tcPr>
            <w:tcW w:w="8102" w:type="dxa"/>
            <w:gridSpan w:val="5"/>
            <w:shd w:val="clear" w:color="auto" w:fill="92D050"/>
          </w:tcPr>
          <w:p>
            <w:pPr>
              <w:pStyle w:val="TableParagraph"/>
              <w:ind w:left="3456" w:right="608" w:hanging="2833"/>
              <w:jc w:val="left"/>
              <w:rPr>
                <w:b/>
                <w:sz w:val="18"/>
              </w:rPr>
            </w:pPr>
            <w:r>
              <w:rPr>
                <w:b/>
                <w:sz w:val="18"/>
              </w:rPr>
              <w:t>Anexo 13. Porcentaje de cumplimiento por municipio y por partido político 2014 (Continuidad)</w:t>
            </w:r>
          </w:p>
        </w:tc>
      </w:tr>
      <w:tr>
        <w:trPr>
          <w:trHeight w:val="434" w:hRule="exact"/>
        </w:trPr>
        <w:tc>
          <w:tcPr>
            <w:tcW w:w="1380" w:type="dxa"/>
            <w:tcBorders>
              <w:right w:val="single" w:sz="4" w:space="0" w:color="000000"/>
            </w:tcBorders>
            <w:shd w:val="clear" w:color="auto" w:fill="92D050"/>
          </w:tcPr>
          <w:p>
            <w:pPr>
              <w:pStyle w:val="TableParagraph"/>
              <w:spacing w:before="97"/>
              <w:ind w:left="369"/>
              <w:jc w:val="left"/>
              <w:rPr>
                <w:b/>
                <w:sz w:val="18"/>
              </w:rPr>
            </w:pPr>
            <w:r>
              <w:rPr>
                <w:b/>
                <w:sz w:val="18"/>
              </w:rPr>
              <w:t>Partido</w:t>
            </w:r>
          </w:p>
        </w:tc>
        <w:tc>
          <w:tcPr>
            <w:tcW w:w="840" w:type="dxa"/>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before="102"/>
              <w:ind w:left="80" w:right="80"/>
              <w:rPr>
                <w:b/>
                <w:sz w:val="18"/>
              </w:rPr>
            </w:pPr>
            <w:r>
              <w:rPr>
                <w:b/>
                <w:sz w:val="18"/>
              </w:rPr>
              <w:t>Genero</w:t>
            </w:r>
          </w:p>
        </w:tc>
        <w:tc>
          <w:tcPr>
            <w:tcW w:w="2420" w:type="dxa"/>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before="102"/>
              <w:ind w:left="295"/>
              <w:jc w:val="left"/>
              <w:rPr>
                <w:b/>
                <w:sz w:val="18"/>
              </w:rPr>
            </w:pPr>
            <w:r>
              <w:rPr>
                <w:b/>
                <w:sz w:val="18"/>
              </w:rPr>
              <w:t>Municipio gobernado</w:t>
            </w:r>
          </w:p>
        </w:tc>
        <w:tc>
          <w:tcPr>
            <w:tcW w:w="1481" w:type="dxa"/>
            <w:tcBorders>
              <w:top w:val="single" w:sz="4" w:space="0" w:color="000000"/>
              <w:left w:val="single" w:sz="4" w:space="0" w:color="000000"/>
              <w:bottom w:val="single" w:sz="4" w:space="0" w:color="000000"/>
              <w:right w:val="single" w:sz="4" w:space="0" w:color="000000"/>
            </w:tcBorders>
            <w:shd w:val="clear" w:color="auto" w:fill="92D050"/>
          </w:tcPr>
          <w:p>
            <w:pPr>
              <w:pStyle w:val="TableParagraph"/>
              <w:ind w:left="148" w:right="133" w:firstLine="377"/>
              <w:jc w:val="left"/>
              <w:rPr>
                <w:b/>
                <w:sz w:val="18"/>
              </w:rPr>
            </w:pPr>
            <w:r>
              <w:rPr>
                <w:b/>
                <w:sz w:val="18"/>
              </w:rPr>
              <w:t>% de cumplimiento</w:t>
            </w:r>
          </w:p>
        </w:tc>
        <w:tc>
          <w:tcPr>
            <w:tcW w:w="1981" w:type="dxa"/>
            <w:tcBorders>
              <w:left w:val="single" w:sz="4" w:space="0" w:color="000000"/>
            </w:tcBorders>
            <w:shd w:val="clear" w:color="auto" w:fill="92D050"/>
          </w:tcPr>
          <w:p>
            <w:pPr>
              <w:pStyle w:val="TableParagraph"/>
              <w:ind w:left="398" w:right="378" w:firstLine="14"/>
              <w:jc w:val="left"/>
              <w:rPr>
                <w:b/>
                <w:sz w:val="18"/>
              </w:rPr>
            </w:pPr>
            <w:r>
              <w:rPr>
                <w:b/>
                <w:sz w:val="18"/>
              </w:rPr>
              <w:t>Promedio del cumplimiento</w:t>
            </w:r>
          </w:p>
        </w:tc>
      </w:tr>
      <w:tr>
        <w:trPr>
          <w:trHeight w:val="326" w:hRule="exact"/>
        </w:trPr>
        <w:tc>
          <w:tcPr>
            <w:tcW w:w="1380" w:type="dxa"/>
            <w:vMerge w:val="restart"/>
            <w:tcBorders>
              <w:right w:val="single" w:sz="4" w:space="0" w:color="000000"/>
            </w:tcBorders>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5"/>
              <w:jc w:val="left"/>
              <w:rPr>
                <w:sz w:val="23"/>
              </w:rPr>
            </w:pPr>
          </w:p>
          <w:p>
            <w:pPr>
              <w:pStyle w:val="TableParagraph"/>
              <w:spacing w:before="1"/>
              <w:ind w:left="59"/>
              <w:jc w:val="left"/>
              <w:rPr>
                <w:sz w:val="18"/>
              </w:rPr>
            </w:pPr>
            <w:r>
              <w:rPr>
                <w:sz w:val="18"/>
              </w:rPr>
              <w:t>PRI-PVEM-NA</w:t>
            </w: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before="1"/>
              <w:ind w:left="65"/>
              <w:jc w:val="left"/>
              <w:rPr>
                <w:sz w:val="18"/>
              </w:rPr>
            </w:pPr>
            <w:r>
              <w:rPr>
                <w:color w:val="181818"/>
                <w:sz w:val="18"/>
              </w:rPr>
              <w:t>Jilotzingo</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val="restart"/>
            <w:tcBorders>
              <w:left w:val="single" w:sz="4" w:space="0" w:color="000000"/>
            </w:tcBorders>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5"/>
              <w:jc w:val="left"/>
              <w:rPr>
                <w:sz w:val="23"/>
              </w:rPr>
            </w:pPr>
          </w:p>
          <w:p>
            <w:pPr>
              <w:pStyle w:val="TableParagraph"/>
              <w:spacing w:before="1"/>
              <w:ind w:left="658" w:right="656"/>
              <w:rPr>
                <w:sz w:val="18"/>
              </w:rPr>
            </w:pPr>
            <w:r>
              <w:rPr>
                <w:sz w:val="18"/>
              </w:rPr>
              <w:t>59.84%</w:t>
            </w: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Jiquipilco</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5"/>
              <w:jc w:val="left"/>
              <w:rPr>
                <w:b/>
                <w:sz w:val="18"/>
              </w:rPr>
            </w:pPr>
            <w:r>
              <w:rPr>
                <w:b/>
                <w:color w:val="181818"/>
                <w:sz w:val="18"/>
              </w:rPr>
              <w:t>Jocotitlán</w:t>
            </w:r>
          </w:p>
        </w:tc>
        <w:tc>
          <w:tcPr>
            <w:tcW w:w="148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410" w:right="410"/>
              <w:rPr>
                <w:sz w:val="18"/>
              </w:rPr>
            </w:pPr>
            <w:r>
              <w:rPr>
                <w:sz w:val="18"/>
              </w:rPr>
              <w:t>92.37%</w:t>
            </w: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Juchitepec</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5"/>
              <w:jc w:val="left"/>
              <w:rPr>
                <w:b/>
                <w:sz w:val="18"/>
              </w:rPr>
            </w:pPr>
            <w:r>
              <w:rPr>
                <w:b/>
                <w:color w:val="181818"/>
                <w:sz w:val="18"/>
              </w:rPr>
              <w:t>Lerma</w:t>
            </w:r>
          </w:p>
        </w:tc>
        <w:tc>
          <w:tcPr>
            <w:tcW w:w="148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10" w:right="410"/>
              <w:rPr>
                <w:sz w:val="18"/>
              </w:rPr>
            </w:pPr>
            <w:r>
              <w:rPr>
                <w:sz w:val="18"/>
              </w:rPr>
              <w:t>83.23%</w:t>
            </w: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5"/>
              <w:jc w:val="left"/>
              <w:rPr>
                <w:b/>
                <w:sz w:val="18"/>
              </w:rPr>
            </w:pPr>
            <w:r>
              <w:rPr>
                <w:b/>
                <w:color w:val="181818"/>
                <w:sz w:val="18"/>
              </w:rPr>
              <w:t>Malinalco</w:t>
            </w:r>
          </w:p>
        </w:tc>
        <w:tc>
          <w:tcPr>
            <w:tcW w:w="148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410" w:right="410"/>
              <w:rPr>
                <w:sz w:val="18"/>
              </w:rPr>
            </w:pPr>
            <w:r>
              <w:rPr>
                <w:sz w:val="18"/>
              </w:rPr>
              <w:t>77.80%</w:t>
            </w: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5"/>
              <w:jc w:val="left"/>
              <w:rPr>
                <w:sz w:val="18"/>
              </w:rPr>
            </w:pPr>
            <w:r>
              <w:rPr>
                <w:color w:val="181818"/>
                <w:sz w:val="18"/>
              </w:rPr>
              <w:t>Melchor Ocampo</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2</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Metepec</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5"/>
              <w:jc w:val="left"/>
              <w:rPr>
                <w:sz w:val="18"/>
              </w:rPr>
            </w:pPr>
            <w:r>
              <w:rPr>
                <w:color w:val="181818"/>
                <w:sz w:val="18"/>
              </w:rPr>
              <w:t>Mexicaltzingo</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5"/>
              <w:jc w:val="left"/>
              <w:rPr>
                <w:sz w:val="18"/>
              </w:rPr>
            </w:pPr>
            <w:r>
              <w:rPr>
                <w:color w:val="181818"/>
                <w:sz w:val="18"/>
              </w:rPr>
              <w:t>Morelos</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5"/>
              <w:jc w:val="left"/>
              <w:rPr>
                <w:b/>
                <w:sz w:val="18"/>
              </w:rPr>
            </w:pPr>
            <w:r>
              <w:rPr>
                <w:b/>
                <w:color w:val="181818"/>
                <w:sz w:val="18"/>
              </w:rPr>
              <w:t>Naucalpan de Juárez</w:t>
            </w:r>
          </w:p>
        </w:tc>
        <w:tc>
          <w:tcPr>
            <w:tcW w:w="148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410" w:right="410"/>
              <w:rPr>
                <w:sz w:val="18"/>
              </w:rPr>
            </w:pPr>
            <w:r>
              <w:rPr>
                <w:sz w:val="18"/>
              </w:rPr>
              <w:t>63.23%</w:t>
            </w: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Nicolás Romero</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Nopaltepec</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Ocoyoacac</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Ocuilan</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El Oro</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Otzoloapan</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5"/>
              <w:jc w:val="left"/>
              <w:rPr>
                <w:b/>
                <w:sz w:val="18"/>
              </w:rPr>
            </w:pPr>
            <w:r>
              <w:rPr>
                <w:b/>
                <w:color w:val="181818"/>
                <w:sz w:val="18"/>
              </w:rPr>
              <w:t>Otzolotepec</w:t>
            </w:r>
          </w:p>
        </w:tc>
        <w:tc>
          <w:tcPr>
            <w:tcW w:w="148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410" w:right="410"/>
              <w:rPr>
                <w:sz w:val="18"/>
              </w:rPr>
            </w:pPr>
            <w:r>
              <w:rPr>
                <w:sz w:val="18"/>
              </w:rPr>
              <w:t>87.23%</w:t>
            </w: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Ozumba</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Papalotla</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La Paz</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2</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5"/>
              <w:jc w:val="left"/>
              <w:rPr>
                <w:sz w:val="18"/>
              </w:rPr>
            </w:pPr>
            <w:r>
              <w:rPr>
                <w:color w:val="181818"/>
                <w:sz w:val="18"/>
              </w:rPr>
              <w:t>Polotitlán</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5"/>
              <w:jc w:val="left"/>
              <w:rPr>
                <w:b/>
                <w:sz w:val="18"/>
              </w:rPr>
            </w:pPr>
            <w:r>
              <w:rPr>
                <w:b/>
                <w:color w:val="181818"/>
                <w:sz w:val="18"/>
              </w:rPr>
              <w:t>Rayón</w:t>
            </w:r>
          </w:p>
        </w:tc>
        <w:tc>
          <w:tcPr>
            <w:tcW w:w="148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409" w:right="410"/>
              <w:rPr>
                <w:sz w:val="18"/>
              </w:rPr>
            </w:pPr>
            <w:r>
              <w:rPr>
                <w:sz w:val="18"/>
              </w:rPr>
              <w:t>3.57%</w:t>
            </w: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5"/>
              <w:jc w:val="left"/>
              <w:rPr>
                <w:b/>
                <w:sz w:val="18"/>
              </w:rPr>
            </w:pPr>
            <w:r>
              <w:rPr>
                <w:b/>
                <w:color w:val="181818"/>
                <w:sz w:val="18"/>
              </w:rPr>
              <w:t>San Antonio la Isla</w:t>
            </w:r>
          </w:p>
        </w:tc>
        <w:tc>
          <w:tcPr>
            <w:tcW w:w="148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09" w:right="410"/>
              <w:rPr>
                <w:sz w:val="18"/>
              </w:rPr>
            </w:pPr>
            <w:r>
              <w:rPr>
                <w:sz w:val="18"/>
              </w:rPr>
              <w:t>0.00%</w:t>
            </w: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San Felipe del Progreso</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5"/>
              <w:jc w:val="left"/>
              <w:rPr>
                <w:sz w:val="18"/>
              </w:rPr>
            </w:pPr>
            <w:r>
              <w:rPr>
                <w:color w:val="181818"/>
                <w:sz w:val="18"/>
              </w:rPr>
              <w:t>San Martín de las Pirámides</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2</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5"/>
              <w:jc w:val="left"/>
              <w:rPr>
                <w:b/>
                <w:sz w:val="18"/>
              </w:rPr>
            </w:pPr>
            <w:r>
              <w:rPr>
                <w:b/>
                <w:color w:val="181818"/>
                <w:sz w:val="18"/>
              </w:rPr>
              <w:t>San Mateo Atenco</w:t>
            </w:r>
          </w:p>
        </w:tc>
        <w:tc>
          <w:tcPr>
            <w:tcW w:w="148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410" w:right="410"/>
              <w:rPr>
                <w:sz w:val="18"/>
              </w:rPr>
            </w:pPr>
            <w:r>
              <w:rPr>
                <w:sz w:val="18"/>
              </w:rPr>
              <w:t>67.66%</w:t>
            </w: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Soyaniquilpan de Juárez</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Sultepec</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2</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5"/>
              <w:jc w:val="left"/>
              <w:rPr>
                <w:b/>
                <w:sz w:val="18"/>
              </w:rPr>
            </w:pPr>
            <w:r>
              <w:rPr>
                <w:b/>
                <w:color w:val="181818"/>
                <w:sz w:val="18"/>
              </w:rPr>
              <w:t>Tecámac</w:t>
            </w:r>
          </w:p>
        </w:tc>
        <w:tc>
          <w:tcPr>
            <w:tcW w:w="148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409" w:right="410"/>
              <w:rPr>
                <w:sz w:val="18"/>
              </w:rPr>
            </w:pPr>
            <w:r>
              <w:rPr>
                <w:sz w:val="18"/>
              </w:rPr>
              <w:t>5.85%</w:t>
            </w: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Tejupilco</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Temascalapa</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Temascalcingo</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Temascaltepec</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bottom w:val="single" w:sz="4" w:space="0" w:color="000000"/>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Temoaya</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bottom w:val="single" w:sz="4" w:space="0" w:color="000000"/>
            </w:tcBorders>
          </w:tcPr>
          <w:p>
            <w:pPr/>
          </w:p>
        </w:tc>
      </w:tr>
    </w:tbl>
    <w:p>
      <w:pPr>
        <w:spacing w:after="0"/>
        <w:sectPr>
          <w:pgSz w:w="12240" w:h="15840"/>
          <w:pgMar w:header="0" w:footer="975" w:top="1420" w:bottom="1160" w:left="1580" w:right="1720"/>
        </w:sectPr>
      </w:pPr>
    </w:p>
    <w:tbl>
      <w:tblPr>
        <w:tblW w:w="0" w:type="auto"/>
        <w:jc w:val="left"/>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80"/>
        <w:gridCol w:w="840"/>
        <w:gridCol w:w="2420"/>
        <w:gridCol w:w="1481"/>
        <w:gridCol w:w="1981"/>
      </w:tblGrid>
      <w:tr>
        <w:trPr>
          <w:trHeight w:val="434" w:hRule="exact"/>
        </w:trPr>
        <w:tc>
          <w:tcPr>
            <w:tcW w:w="8102" w:type="dxa"/>
            <w:gridSpan w:val="5"/>
            <w:shd w:val="clear" w:color="auto" w:fill="92D050"/>
          </w:tcPr>
          <w:p>
            <w:pPr>
              <w:pStyle w:val="TableParagraph"/>
              <w:ind w:left="3406" w:right="608" w:hanging="2783"/>
              <w:jc w:val="left"/>
              <w:rPr>
                <w:b/>
                <w:sz w:val="18"/>
              </w:rPr>
            </w:pPr>
            <w:r>
              <w:rPr>
                <w:b/>
                <w:sz w:val="18"/>
              </w:rPr>
              <w:t>Anexo 13. Porcentaje de cumplimiento por municipio y por partido político 2014 (Continuación)</w:t>
            </w:r>
          </w:p>
        </w:tc>
      </w:tr>
      <w:tr>
        <w:trPr>
          <w:trHeight w:val="434" w:hRule="exact"/>
        </w:trPr>
        <w:tc>
          <w:tcPr>
            <w:tcW w:w="1380" w:type="dxa"/>
            <w:tcBorders>
              <w:right w:val="single" w:sz="4" w:space="0" w:color="000000"/>
            </w:tcBorders>
            <w:shd w:val="clear" w:color="auto" w:fill="92D050"/>
          </w:tcPr>
          <w:p>
            <w:pPr>
              <w:pStyle w:val="TableParagraph"/>
              <w:spacing w:before="97"/>
              <w:ind w:left="369"/>
              <w:jc w:val="left"/>
              <w:rPr>
                <w:b/>
                <w:sz w:val="18"/>
              </w:rPr>
            </w:pPr>
            <w:r>
              <w:rPr>
                <w:b/>
                <w:sz w:val="18"/>
              </w:rPr>
              <w:t>Partido</w:t>
            </w:r>
          </w:p>
        </w:tc>
        <w:tc>
          <w:tcPr>
            <w:tcW w:w="840" w:type="dxa"/>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before="102"/>
              <w:ind w:left="80" w:right="80"/>
              <w:rPr>
                <w:b/>
                <w:sz w:val="18"/>
              </w:rPr>
            </w:pPr>
            <w:r>
              <w:rPr>
                <w:b/>
                <w:sz w:val="18"/>
              </w:rPr>
              <w:t>Genero</w:t>
            </w:r>
          </w:p>
        </w:tc>
        <w:tc>
          <w:tcPr>
            <w:tcW w:w="2420" w:type="dxa"/>
            <w:tcBorders>
              <w:top w:val="single" w:sz="4" w:space="0" w:color="000000"/>
              <w:left w:val="single" w:sz="4" w:space="0" w:color="000000"/>
              <w:bottom w:val="single" w:sz="4" w:space="0" w:color="000000"/>
              <w:right w:val="single" w:sz="4" w:space="0" w:color="000000"/>
            </w:tcBorders>
            <w:shd w:val="clear" w:color="auto" w:fill="92D050"/>
          </w:tcPr>
          <w:p>
            <w:pPr>
              <w:pStyle w:val="TableParagraph"/>
              <w:spacing w:before="102"/>
              <w:ind w:left="295"/>
              <w:jc w:val="left"/>
              <w:rPr>
                <w:b/>
                <w:sz w:val="18"/>
              </w:rPr>
            </w:pPr>
            <w:r>
              <w:rPr>
                <w:b/>
                <w:sz w:val="18"/>
              </w:rPr>
              <w:t>Municipio gobernado</w:t>
            </w:r>
          </w:p>
        </w:tc>
        <w:tc>
          <w:tcPr>
            <w:tcW w:w="1481" w:type="dxa"/>
            <w:tcBorders>
              <w:top w:val="single" w:sz="4" w:space="0" w:color="000000"/>
              <w:left w:val="single" w:sz="4" w:space="0" w:color="000000"/>
              <w:bottom w:val="single" w:sz="4" w:space="0" w:color="000000"/>
              <w:right w:val="single" w:sz="4" w:space="0" w:color="000000"/>
            </w:tcBorders>
            <w:shd w:val="clear" w:color="auto" w:fill="92D050"/>
          </w:tcPr>
          <w:p>
            <w:pPr>
              <w:pStyle w:val="TableParagraph"/>
              <w:ind w:left="148" w:right="133" w:firstLine="377"/>
              <w:jc w:val="left"/>
              <w:rPr>
                <w:b/>
                <w:sz w:val="18"/>
              </w:rPr>
            </w:pPr>
            <w:r>
              <w:rPr>
                <w:b/>
                <w:sz w:val="18"/>
              </w:rPr>
              <w:t>% de cumplimiento</w:t>
            </w:r>
          </w:p>
        </w:tc>
        <w:tc>
          <w:tcPr>
            <w:tcW w:w="1981" w:type="dxa"/>
            <w:tcBorders>
              <w:left w:val="single" w:sz="4" w:space="0" w:color="000000"/>
            </w:tcBorders>
            <w:shd w:val="clear" w:color="auto" w:fill="92D050"/>
          </w:tcPr>
          <w:p>
            <w:pPr>
              <w:pStyle w:val="TableParagraph"/>
              <w:ind w:left="398" w:right="378" w:firstLine="14"/>
              <w:jc w:val="left"/>
              <w:rPr>
                <w:b/>
                <w:sz w:val="18"/>
              </w:rPr>
            </w:pPr>
            <w:r>
              <w:rPr>
                <w:b/>
                <w:sz w:val="18"/>
              </w:rPr>
              <w:t>Promedio del cumplimiento</w:t>
            </w:r>
          </w:p>
        </w:tc>
      </w:tr>
      <w:tr>
        <w:trPr>
          <w:trHeight w:val="326" w:hRule="exact"/>
        </w:trPr>
        <w:tc>
          <w:tcPr>
            <w:tcW w:w="1380" w:type="dxa"/>
            <w:vMerge w:val="restart"/>
            <w:tcBorders>
              <w:right w:val="single" w:sz="4" w:space="0" w:color="000000"/>
            </w:tcBorders>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6"/>
              <w:jc w:val="left"/>
              <w:rPr>
                <w:sz w:val="14"/>
              </w:rPr>
            </w:pPr>
          </w:p>
          <w:p>
            <w:pPr>
              <w:pStyle w:val="TableParagraph"/>
              <w:ind w:left="59"/>
              <w:jc w:val="left"/>
              <w:rPr>
                <w:sz w:val="18"/>
              </w:rPr>
            </w:pPr>
            <w:r>
              <w:rPr>
                <w:sz w:val="18"/>
              </w:rPr>
              <w:t>PRI-PVEM-NA</w:t>
            </w: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b/>
                <w:sz w:val="18"/>
              </w:rPr>
            </w:pPr>
            <w:r>
              <w:rPr>
                <w:b/>
                <w:color w:val="181818"/>
                <w:sz w:val="18"/>
              </w:rPr>
              <w:t>Tenancingo</w:t>
            </w:r>
          </w:p>
        </w:tc>
        <w:tc>
          <w:tcPr>
            <w:tcW w:w="1481" w:type="dxa"/>
            <w:tcBorders>
              <w:top w:val="single" w:sz="4" w:space="0" w:color="000000"/>
              <w:left w:val="single" w:sz="4" w:space="0" w:color="000000"/>
              <w:bottom w:val="single" w:sz="4" w:space="0" w:color="000000"/>
              <w:right w:val="single" w:sz="4" w:space="0" w:color="000000"/>
            </w:tcBorders>
          </w:tcPr>
          <w:p>
            <w:pPr>
              <w:pStyle w:val="TableParagraph"/>
              <w:spacing w:before="1"/>
              <w:ind w:left="429" w:right="133"/>
              <w:jc w:val="left"/>
              <w:rPr>
                <w:sz w:val="18"/>
              </w:rPr>
            </w:pPr>
            <w:r>
              <w:rPr>
                <w:sz w:val="18"/>
              </w:rPr>
              <w:t>97.61%</w:t>
            </w:r>
          </w:p>
        </w:tc>
        <w:tc>
          <w:tcPr>
            <w:tcW w:w="1981" w:type="dxa"/>
            <w:vMerge w:val="restart"/>
            <w:tcBorders>
              <w:left w:val="single" w:sz="4" w:space="0" w:color="000000"/>
            </w:tcBorders>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6"/>
              <w:jc w:val="left"/>
              <w:rPr>
                <w:sz w:val="14"/>
              </w:rPr>
            </w:pPr>
          </w:p>
          <w:p>
            <w:pPr>
              <w:pStyle w:val="TableParagraph"/>
              <w:ind w:left="658" w:right="656"/>
              <w:rPr>
                <w:sz w:val="18"/>
              </w:rPr>
            </w:pPr>
            <w:r>
              <w:rPr>
                <w:sz w:val="18"/>
              </w:rPr>
              <w:t>59.84%</w:t>
            </w: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Tenango del Aire</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5"/>
              <w:jc w:val="left"/>
              <w:rPr>
                <w:b/>
                <w:sz w:val="18"/>
              </w:rPr>
            </w:pPr>
            <w:r>
              <w:rPr>
                <w:b/>
                <w:color w:val="181818"/>
                <w:sz w:val="18"/>
              </w:rPr>
              <w:t>Tenango del Valle</w:t>
            </w:r>
          </w:p>
        </w:tc>
        <w:tc>
          <w:tcPr>
            <w:tcW w:w="148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429" w:right="133"/>
              <w:jc w:val="left"/>
              <w:rPr>
                <w:sz w:val="18"/>
              </w:rPr>
            </w:pPr>
            <w:r>
              <w:rPr>
                <w:sz w:val="18"/>
              </w:rPr>
              <w:t>87.80%</w:t>
            </w: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Teoloyucán</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5"/>
              <w:jc w:val="left"/>
              <w:rPr>
                <w:sz w:val="18"/>
              </w:rPr>
            </w:pPr>
            <w:r>
              <w:rPr>
                <w:color w:val="181818"/>
                <w:sz w:val="18"/>
              </w:rPr>
              <w:t>Tepetlaoxtoc</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Tepetlixpa</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5"/>
              <w:jc w:val="left"/>
              <w:rPr>
                <w:b/>
                <w:sz w:val="18"/>
              </w:rPr>
            </w:pPr>
            <w:r>
              <w:rPr>
                <w:b/>
                <w:color w:val="181818"/>
                <w:sz w:val="18"/>
              </w:rPr>
              <w:t>Tepotzotlán</w:t>
            </w:r>
          </w:p>
        </w:tc>
        <w:tc>
          <w:tcPr>
            <w:tcW w:w="148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29" w:right="133"/>
              <w:jc w:val="left"/>
              <w:rPr>
                <w:sz w:val="18"/>
              </w:rPr>
            </w:pPr>
            <w:r>
              <w:rPr>
                <w:sz w:val="18"/>
              </w:rPr>
              <w:t>70.14%</w:t>
            </w: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2</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Texcalyacac</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5"/>
              <w:jc w:val="left"/>
              <w:rPr>
                <w:sz w:val="18"/>
              </w:rPr>
            </w:pPr>
            <w:r>
              <w:rPr>
                <w:color w:val="181818"/>
                <w:sz w:val="18"/>
              </w:rPr>
              <w:t>Tezoyuca</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5"/>
              <w:jc w:val="left"/>
              <w:rPr>
                <w:sz w:val="18"/>
              </w:rPr>
            </w:pPr>
            <w:r>
              <w:rPr>
                <w:color w:val="181818"/>
                <w:sz w:val="18"/>
              </w:rPr>
              <w:t>Tianguistenco</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5"/>
              <w:jc w:val="left"/>
              <w:rPr>
                <w:b/>
                <w:sz w:val="18"/>
              </w:rPr>
            </w:pPr>
            <w:r>
              <w:rPr>
                <w:b/>
                <w:color w:val="181818"/>
                <w:sz w:val="18"/>
              </w:rPr>
              <w:t>Timilpan</w:t>
            </w:r>
          </w:p>
        </w:tc>
        <w:tc>
          <w:tcPr>
            <w:tcW w:w="148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429" w:right="133"/>
              <w:jc w:val="left"/>
              <w:rPr>
                <w:sz w:val="18"/>
              </w:rPr>
            </w:pPr>
            <w:r>
              <w:rPr>
                <w:sz w:val="18"/>
              </w:rPr>
              <w:t>84.85%</w:t>
            </w: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Tlalmanalco</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5"/>
              <w:jc w:val="left"/>
              <w:rPr>
                <w:b/>
                <w:sz w:val="18"/>
              </w:rPr>
            </w:pPr>
            <w:r>
              <w:rPr>
                <w:b/>
                <w:color w:val="181818"/>
                <w:sz w:val="18"/>
              </w:rPr>
              <w:t>Tlalnepantla de Baz</w:t>
            </w:r>
          </w:p>
        </w:tc>
        <w:tc>
          <w:tcPr>
            <w:tcW w:w="148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429" w:right="133"/>
              <w:jc w:val="left"/>
              <w:rPr>
                <w:sz w:val="18"/>
              </w:rPr>
            </w:pPr>
            <w:r>
              <w:rPr>
                <w:sz w:val="18"/>
              </w:rPr>
              <w:t>97.61%</w:t>
            </w: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2</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Toluca</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color w:val="181818"/>
                <w:w w:val="99"/>
                <w:sz w:val="18"/>
              </w:rPr>
              <w:t>2</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5"/>
              <w:jc w:val="left"/>
              <w:rPr>
                <w:b/>
                <w:sz w:val="18"/>
              </w:rPr>
            </w:pPr>
            <w:r>
              <w:rPr>
                <w:b/>
                <w:color w:val="181818"/>
                <w:sz w:val="18"/>
              </w:rPr>
              <w:t>Tultitlán</w:t>
            </w:r>
          </w:p>
        </w:tc>
        <w:tc>
          <w:tcPr>
            <w:tcW w:w="148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429" w:right="133"/>
              <w:jc w:val="left"/>
              <w:rPr>
                <w:sz w:val="18"/>
              </w:rPr>
            </w:pPr>
            <w:r>
              <w:rPr>
                <w:sz w:val="18"/>
              </w:rPr>
              <w:t>13.95%</w:t>
            </w: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2</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Villa del Carbón</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Villa Guerrero</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2</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Villa Victoria</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Zacazonapan</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2</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Zinacantepec</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Zumpango</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5"/>
              <w:jc w:val="left"/>
              <w:rPr>
                <w:b/>
                <w:sz w:val="18"/>
              </w:rPr>
            </w:pPr>
            <w:r>
              <w:rPr>
                <w:b/>
                <w:color w:val="181818"/>
                <w:sz w:val="18"/>
              </w:rPr>
              <w:t>Cuautitlán Izcalli</w:t>
            </w:r>
          </w:p>
        </w:tc>
        <w:tc>
          <w:tcPr>
            <w:tcW w:w="148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79" w:right="133"/>
              <w:jc w:val="left"/>
              <w:rPr>
                <w:sz w:val="18"/>
              </w:rPr>
            </w:pPr>
            <w:r>
              <w:rPr>
                <w:sz w:val="18"/>
              </w:rPr>
              <w:t>100.00%</w:t>
            </w:r>
          </w:p>
        </w:tc>
        <w:tc>
          <w:tcPr>
            <w:tcW w:w="198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San José del Rincón</w:t>
            </w:r>
          </w:p>
        </w:tc>
        <w:tc>
          <w:tcPr>
            <w:tcW w:w="1481" w:type="dxa"/>
            <w:tcBorders>
              <w:top w:val="single" w:sz="4" w:space="0" w:color="000000"/>
              <w:left w:val="single" w:sz="4" w:space="0" w:color="000000"/>
              <w:bottom w:val="single" w:sz="4" w:space="0" w:color="000000"/>
              <w:right w:val="single" w:sz="4" w:space="0" w:color="000000"/>
            </w:tcBorders>
          </w:tcPr>
          <w:p>
            <w:pPr/>
          </w:p>
        </w:tc>
        <w:tc>
          <w:tcPr>
            <w:tcW w:w="1981" w:type="dxa"/>
            <w:vMerge/>
            <w:tcBorders>
              <w:left w:val="single" w:sz="4" w:space="0" w:color="000000"/>
            </w:tcBorders>
          </w:tcPr>
          <w:p>
            <w:pPr/>
          </w:p>
        </w:tc>
      </w:tr>
      <w:tr>
        <w:trPr>
          <w:trHeight w:val="331" w:hRule="exact"/>
        </w:trPr>
        <w:tc>
          <w:tcPr>
            <w:tcW w:w="1380" w:type="dxa"/>
            <w:vMerge/>
            <w:tcBorders>
              <w:right w:val="single" w:sz="4" w:space="0" w:color="000000"/>
            </w:tcBorders>
          </w:tcPr>
          <w:p>
            <w:pPr/>
          </w:p>
        </w:tc>
        <w:tc>
          <w:tcPr>
            <w:tcW w:w="840" w:type="dxa"/>
            <w:tcBorders>
              <w:top w:val="single" w:sz="4" w:space="0" w:color="000000"/>
              <w:left w:val="single" w:sz="4" w:space="0" w:color="000000"/>
              <w:right w:val="single" w:sz="4" w:space="0" w:color="000000"/>
            </w:tcBorders>
          </w:tcPr>
          <w:p>
            <w:pPr>
              <w:pStyle w:val="TableParagraph"/>
              <w:spacing w:before="1"/>
              <w:rPr>
                <w:sz w:val="18"/>
              </w:rPr>
            </w:pPr>
            <w:r>
              <w:rPr>
                <w:w w:val="99"/>
                <w:sz w:val="18"/>
              </w:rPr>
              <w:t>1</w:t>
            </w:r>
          </w:p>
        </w:tc>
        <w:tc>
          <w:tcPr>
            <w:tcW w:w="2420" w:type="dxa"/>
            <w:tcBorders>
              <w:top w:val="single" w:sz="4" w:space="0" w:color="000000"/>
              <w:left w:val="single" w:sz="4" w:space="0" w:color="000000"/>
              <w:right w:val="single" w:sz="4" w:space="0" w:color="000000"/>
            </w:tcBorders>
          </w:tcPr>
          <w:p>
            <w:pPr>
              <w:pStyle w:val="TableParagraph"/>
              <w:spacing w:before="1"/>
              <w:ind w:left="65"/>
              <w:jc w:val="left"/>
              <w:rPr>
                <w:sz w:val="18"/>
              </w:rPr>
            </w:pPr>
            <w:r>
              <w:rPr>
                <w:color w:val="181818"/>
                <w:sz w:val="18"/>
              </w:rPr>
              <w:t>Tonanitla</w:t>
            </w:r>
          </w:p>
        </w:tc>
        <w:tc>
          <w:tcPr>
            <w:tcW w:w="1481" w:type="dxa"/>
            <w:tcBorders>
              <w:top w:val="single" w:sz="4" w:space="0" w:color="000000"/>
              <w:left w:val="single" w:sz="4" w:space="0" w:color="000000"/>
              <w:right w:val="single" w:sz="4" w:space="0" w:color="000000"/>
            </w:tcBorders>
          </w:tcPr>
          <w:p>
            <w:pPr/>
          </w:p>
        </w:tc>
        <w:tc>
          <w:tcPr>
            <w:tcW w:w="1981" w:type="dxa"/>
            <w:vMerge/>
            <w:tcBorders>
              <w:left w:val="single" w:sz="4" w:space="0" w:color="000000"/>
            </w:tcBorders>
          </w:tcPr>
          <w:p>
            <w:pPr/>
          </w:p>
        </w:tc>
      </w:tr>
      <w:tr>
        <w:trPr>
          <w:trHeight w:val="326" w:hRule="exact"/>
        </w:trPr>
        <w:tc>
          <w:tcPr>
            <w:tcW w:w="1380" w:type="dxa"/>
            <w:vMerge w:val="restart"/>
            <w:tcBorders>
              <w:right w:val="single" w:sz="4" w:space="0" w:color="000000"/>
            </w:tcBorders>
          </w:tcPr>
          <w:p>
            <w:pPr>
              <w:pStyle w:val="TableParagraph"/>
              <w:spacing w:before="3"/>
              <w:jc w:val="left"/>
              <w:rPr>
                <w:sz w:val="14"/>
              </w:rPr>
            </w:pPr>
          </w:p>
          <w:p>
            <w:pPr>
              <w:pStyle w:val="TableParagraph"/>
              <w:ind w:left="297" w:right="302"/>
              <w:rPr>
                <w:sz w:val="18"/>
              </w:rPr>
            </w:pPr>
            <w:r>
              <w:rPr>
                <w:sz w:val="18"/>
              </w:rPr>
              <w:t>PT</w:t>
            </w:r>
          </w:p>
        </w:tc>
        <w:tc>
          <w:tcPr>
            <w:tcW w:w="840" w:type="dxa"/>
            <w:tcBorders>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left w:val="single" w:sz="4" w:space="0" w:color="000000"/>
              <w:bottom w:val="single" w:sz="4" w:space="0" w:color="000000"/>
              <w:right w:val="single" w:sz="4" w:space="0" w:color="000000"/>
            </w:tcBorders>
          </w:tcPr>
          <w:p>
            <w:pPr>
              <w:pStyle w:val="TableParagraph"/>
              <w:spacing w:line="199" w:lineRule="exact"/>
              <w:ind w:left="65"/>
              <w:jc w:val="left"/>
              <w:rPr>
                <w:b/>
                <w:sz w:val="18"/>
              </w:rPr>
            </w:pPr>
            <w:r>
              <w:rPr>
                <w:b/>
                <w:color w:val="181818"/>
                <w:sz w:val="18"/>
              </w:rPr>
              <w:t>Calimaya</w:t>
            </w:r>
          </w:p>
        </w:tc>
        <w:tc>
          <w:tcPr>
            <w:tcW w:w="1481" w:type="dxa"/>
            <w:tcBorders>
              <w:left w:val="single" w:sz="4" w:space="0" w:color="000000"/>
              <w:bottom w:val="single" w:sz="4" w:space="0" w:color="000000"/>
              <w:right w:val="single" w:sz="4" w:space="0" w:color="000000"/>
            </w:tcBorders>
          </w:tcPr>
          <w:p>
            <w:pPr>
              <w:pStyle w:val="TableParagraph"/>
              <w:spacing w:line="203" w:lineRule="exact"/>
              <w:ind w:left="429" w:right="133"/>
              <w:jc w:val="left"/>
              <w:rPr>
                <w:sz w:val="18"/>
              </w:rPr>
            </w:pPr>
            <w:r>
              <w:rPr>
                <w:sz w:val="18"/>
              </w:rPr>
              <w:t>95.80%</w:t>
            </w:r>
          </w:p>
        </w:tc>
        <w:tc>
          <w:tcPr>
            <w:tcW w:w="1981" w:type="dxa"/>
            <w:vMerge w:val="restart"/>
            <w:tcBorders>
              <w:left w:val="single" w:sz="4" w:space="0" w:color="000000"/>
            </w:tcBorders>
          </w:tcPr>
          <w:p>
            <w:pPr>
              <w:pStyle w:val="TableParagraph"/>
              <w:spacing w:before="3"/>
              <w:jc w:val="left"/>
              <w:rPr>
                <w:sz w:val="14"/>
              </w:rPr>
            </w:pPr>
          </w:p>
          <w:p>
            <w:pPr>
              <w:pStyle w:val="TableParagraph"/>
              <w:ind w:left="658" w:right="656"/>
              <w:rPr>
                <w:sz w:val="18"/>
              </w:rPr>
            </w:pPr>
            <w:r>
              <w:rPr>
                <w:sz w:val="18"/>
              </w:rPr>
              <w:t>95.80%</w:t>
            </w:r>
          </w:p>
        </w:tc>
      </w:tr>
      <w:tr>
        <w:trPr>
          <w:trHeight w:val="338" w:hRule="exact"/>
        </w:trPr>
        <w:tc>
          <w:tcPr>
            <w:tcW w:w="1380" w:type="dxa"/>
            <w:vMerge/>
            <w:tcBorders>
              <w:right w:val="single" w:sz="4" w:space="0" w:color="000000"/>
            </w:tcBorders>
          </w:tcPr>
          <w:p>
            <w:pPr/>
          </w:p>
        </w:tc>
        <w:tc>
          <w:tcPr>
            <w:tcW w:w="840" w:type="dxa"/>
            <w:tcBorders>
              <w:top w:val="single" w:sz="4" w:space="0" w:color="000000"/>
              <w:left w:val="single" w:sz="4" w:space="0" w:color="000000"/>
              <w:right w:val="single" w:sz="4" w:space="0" w:color="000000"/>
            </w:tcBorders>
          </w:tcPr>
          <w:p>
            <w:pPr>
              <w:pStyle w:val="TableParagraph"/>
              <w:spacing w:before="8"/>
              <w:rPr>
                <w:sz w:val="18"/>
              </w:rPr>
            </w:pPr>
            <w:r>
              <w:rPr>
                <w:w w:val="99"/>
                <w:sz w:val="18"/>
              </w:rPr>
              <w:t>1</w:t>
            </w:r>
          </w:p>
        </w:tc>
        <w:tc>
          <w:tcPr>
            <w:tcW w:w="2420" w:type="dxa"/>
            <w:tcBorders>
              <w:top w:val="single" w:sz="4" w:space="0" w:color="000000"/>
              <w:left w:val="single" w:sz="4" w:space="0" w:color="000000"/>
              <w:right w:val="single" w:sz="4" w:space="0" w:color="000000"/>
            </w:tcBorders>
          </w:tcPr>
          <w:p>
            <w:pPr>
              <w:pStyle w:val="TableParagraph"/>
              <w:spacing w:before="8"/>
              <w:ind w:left="65"/>
              <w:jc w:val="left"/>
              <w:rPr>
                <w:sz w:val="18"/>
              </w:rPr>
            </w:pPr>
            <w:r>
              <w:rPr>
                <w:color w:val="181818"/>
                <w:sz w:val="18"/>
              </w:rPr>
              <w:t>Xonacatlán</w:t>
            </w:r>
          </w:p>
        </w:tc>
        <w:tc>
          <w:tcPr>
            <w:tcW w:w="1481" w:type="dxa"/>
            <w:tcBorders>
              <w:top w:val="single" w:sz="4" w:space="0" w:color="000000"/>
              <w:left w:val="single" w:sz="4" w:space="0" w:color="000000"/>
              <w:right w:val="single" w:sz="4" w:space="0" w:color="000000"/>
            </w:tcBorders>
          </w:tcPr>
          <w:p>
            <w:pPr/>
          </w:p>
        </w:tc>
        <w:tc>
          <w:tcPr>
            <w:tcW w:w="1981" w:type="dxa"/>
            <w:vMerge/>
            <w:tcBorders>
              <w:left w:val="single" w:sz="4" w:space="0" w:color="000000"/>
            </w:tcBorders>
          </w:tcPr>
          <w:p>
            <w:pPr/>
          </w:p>
        </w:tc>
      </w:tr>
      <w:tr>
        <w:trPr>
          <w:trHeight w:val="326" w:hRule="exact"/>
        </w:trPr>
        <w:tc>
          <w:tcPr>
            <w:tcW w:w="1380" w:type="dxa"/>
            <w:vMerge w:val="restart"/>
            <w:tcBorders>
              <w:right w:val="single" w:sz="4" w:space="0" w:color="000000"/>
            </w:tcBorders>
          </w:tcPr>
          <w:p>
            <w:pPr>
              <w:pStyle w:val="TableParagraph"/>
              <w:spacing w:before="3"/>
              <w:jc w:val="left"/>
              <w:rPr>
                <w:sz w:val="14"/>
              </w:rPr>
            </w:pPr>
          </w:p>
          <w:p>
            <w:pPr>
              <w:pStyle w:val="TableParagraph"/>
              <w:ind w:left="395"/>
              <w:jc w:val="left"/>
              <w:rPr>
                <w:sz w:val="18"/>
              </w:rPr>
            </w:pPr>
            <w:r>
              <w:rPr>
                <w:sz w:val="18"/>
              </w:rPr>
              <w:t>PT-MC</w:t>
            </w:r>
          </w:p>
        </w:tc>
        <w:tc>
          <w:tcPr>
            <w:tcW w:w="840" w:type="dxa"/>
            <w:tcBorders>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2420" w:type="dxa"/>
            <w:tcBorders>
              <w:left w:val="single" w:sz="4" w:space="0" w:color="000000"/>
              <w:bottom w:val="single" w:sz="4" w:space="0" w:color="000000"/>
              <w:right w:val="single" w:sz="4" w:space="0" w:color="000000"/>
            </w:tcBorders>
          </w:tcPr>
          <w:p>
            <w:pPr>
              <w:pStyle w:val="TableParagraph"/>
              <w:spacing w:line="203" w:lineRule="exact"/>
              <w:ind w:left="65"/>
              <w:jc w:val="left"/>
              <w:rPr>
                <w:sz w:val="18"/>
              </w:rPr>
            </w:pPr>
            <w:r>
              <w:rPr>
                <w:color w:val="181818"/>
                <w:sz w:val="18"/>
              </w:rPr>
              <w:t>Temamatla</w:t>
            </w:r>
          </w:p>
        </w:tc>
        <w:tc>
          <w:tcPr>
            <w:tcW w:w="1481" w:type="dxa"/>
            <w:tcBorders>
              <w:left w:val="single" w:sz="4" w:space="0" w:color="000000"/>
              <w:bottom w:val="single" w:sz="4" w:space="0" w:color="000000"/>
              <w:right w:val="single" w:sz="4" w:space="0" w:color="000000"/>
            </w:tcBorders>
          </w:tcPr>
          <w:p>
            <w:pPr/>
          </w:p>
        </w:tc>
        <w:tc>
          <w:tcPr>
            <w:tcW w:w="1981" w:type="dxa"/>
            <w:vMerge w:val="restart"/>
            <w:tcBorders>
              <w:left w:val="single" w:sz="4" w:space="0" w:color="000000"/>
            </w:tcBorders>
          </w:tcPr>
          <w:p>
            <w:pPr>
              <w:pStyle w:val="TableParagraph"/>
              <w:spacing w:before="3"/>
              <w:jc w:val="left"/>
              <w:rPr>
                <w:sz w:val="14"/>
              </w:rPr>
            </w:pPr>
          </w:p>
          <w:p>
            <w:pPr>
              <w:pStyle w:val="TableParagraph"/>
              <w:ind w:left="658" w:right="656"/>
              <w:rPr>
                <w:sz w:val="18"/>
              </w:rPr>
            </w:pPr>
            <w:r>
              <w:rPr>
                <w:sz w:val="18"/>
              </w:rPr>
              <w:t>76.71%</w:t>
            </w:r>
          </w:p>
        </w:tc>
      </w:tr>
      <w:tr>
        <w:trPr>
          <w:trHeight w:val="334" w:hRule="exact"/>
        </w:trPr>
        <w:tc>
          <w:tcPr>
            <w:tcW w:w="1380" w:type="dxa"/>
            <w:vMerge/>
            <w:tcBorders>
              <w:bottom w:val="single" w:sz="4" w:space="0" w:color="000000"/>
              <w:right w:val="single" w:sz="4" w:space="0" w:color="000000"/>
            </w:tcBorders>
          </w:tcPr>
          <w:p>
            <w:pP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before="8"/>
              <w:rPr>
                <w:sz w:val="18"/>
              </w:rPr>
            </w:pPr>
            <w:r>
              <w:rPr>
                <w:w w:val="99"/>
                <w:sz w:val="18"/>
              </w:rPr>
              <w:t>2</w:t>
            </w:r>
          </w:p>
        </w:tc>
        <w:tc>
          <w:tcPr>
            <w:tcW w:w="2420" w:type="dxa"/>
            <w:tcBorders>
              <w:top w:val="single" w:sz="4" w:space="0" w:color="000000"/>
              <w:left w:val="single" w:sz="4" w:space="0" w:color="000000"/>
              <w:bottom w:val="single" w:sz="4" w:space="0" w:color="000000"/>
              <w:right w:val="single" w:sz="4" w:space="0" w:color="000000"/>
            </w:tcBorders>
          </w:tcPr>
          <w:p>
            <w:pPr>
              <w:pStyle w:val="TableParagraph"/>
              <w:spacing w:before="3"/>
              <w:ind w:left="65"/>
              <w:jc w:val="left"/>
              <w:rPr>
                <w:b/>
                <w:sz w:val="18"/>
              </w:rPr>
            </w:pPr>
            <w:r>
              <w:rPr>
                <w:b/>
                <w:color w:val="181818"/>
                <w:sz w:val="18"/>
              </w:rPr>
              <w:t>Texcoco</w:t>
            </w:r>
          </w:p>
        </w:tc>
        <w:tc>
          <w:tcPr>
            <w:tcW w:w="1481" w:type="dxa"/>
            <w:tcBorders>
              <w:top w:val="single" w:sz="4" w:space="0" w:color="000000"/>
              <w:left w:val="single" w:sz="4" w:space="0" w:color="000000"/>
              <w:bottom w:val="single" w:sz="4" w:space="0" w:color="000000"/>
              <w:right w:val="single" w:sz="4" w:space="0" w:color="000000"/>
            </w:tcBorders>
          </w:tcPr>
          <w:p>
            <w:pPr>
              <w:pStyle w:val="TableParagraph"/>
              <w:spacing w:before="8"/>
              <w:ind w:left="429" w:right="133"/>
              <w:jc w:val="left"/>
              <w:rPr>
                <w:sz w:val="18"/>
              </w:rPr>
            </w:pPr>
            <w:r>
              <w:rPr>
                <w:sz w:val="18"/>
              </w:rPr>
              <w:t>76.71%</w:t>
            </w:r>
          </w:p>
        </w:tc>
        <w:tc>
          <w:tcPr>
            <w:tcW w:w="1981" w:type="dxa"/>
            <w:vMerge/>
            <w:tcBorders>
              <w:left w:val="single" w:sz="4" w:space="0" w:color="000000"/>
              <w:bottom w:val="single" w:sz="4" w:space="0" w:color="000000"/>
            </w:tcBorders>
          </w:tcPr>
          <w:p>
            <w:pPr/>
          </w:p>
        </w:tc>
      </w:tr>
    </w:tbl>
    <w:p>
      <w:pPr>
        <w:spacing w:line="206" w:lineRule="exact" w:before="0"/>
        <w:ind w:left="189" w:right="0" w:firstLine="0"/>
        <w:jc w:val="left"/>
        <w:rPr>
          <w:sz w:val="18"/>
        </w:rPr>
      </w:pPr>
      <w:r>
        <w:rPr>
          <w:sz w:val="18"/>
        </w:rPr>
        <w:t>Fuente: Elaboración propia con datos del INFOEM y del IEEM.</w:t>
      </w:r>
    </w:p>
    <w:p>
      <w:pPr>
        <w:spacing w:after="0" w:line="206" w:lineRule="exact"/>
        <w:jc w:val="left"/>
        <w:rPr>
          <w:sz w:val="18"/>
        </w:rPr>
        <w:sectPr>
          <w:pgSz w:w="12240" w:h="15840"/>
          <w:pgMar w:header="0" w:footer="975" w:top="1420" w:bottom="1160" w:left="1580" w:right="1720"/>
        </w:sectPr>
      </w:pPr>
    </w:p>
    <w:tbl>
      <w:tblPr>
        <w:tblW w:w="0" w:type="auto"/>
        <w:jc w:val="left"/>
        <w:tblInd w:w="5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80"/>
        <w:gridCol w:w="821"/>
        <w:gridCol w:w="2381"/>
        <w:gridCol w:w="1418"/>
        <w:gridCol w:w="1601"/>
      </w:tblGrid>
      <w:tr>
        <w:trPr>
          <w:trHeight w:val="335" w:hRule="exact"/>
        </w:trPr>
        <w:tc>
          <w:tcPr>
            <w:tcW w:w="7602" w:type="dxa"/>
            <w:gridSpan w:val="5"/>
            <w:shd w:val="clear" w:color="auto" w:fill="92D050"/>
          </w:tcPr>
          <w:p>
            <w:pPr>
              <w:pStyle w:val="TableParagraph"/>
              <w:spacing w:line="200" w:lineRule="exact"/>
              <w:ind w:left="374"/>
              <w:jc w:val="left"/>
              <w:rPr>
                <w:b/>
                <w:sz w:val="18"/>
              </w:rPr>
            </w:pPr>
            <w:r>
              <w:rPr>
                <w:b/>
                <w:sz w:val="18"/>
              </w:rPr>
              <w:t>Anexo 14. Porcentaje de cumplimiento por municipio y por partido político 2015</w:t>
            </w:r>
          </w:p>
        </w:tc>
      </w:tr>
      <w:tr>
        <w:trPr>
          <w:trHeight w:val="696" w:hRule="exact"/>
        </w:trPr>
        <w:tc>
          <w:tcPr>
            <w:tcW w:w="1380" w:type="dxa"/>
            <w:shd w:val="clear" w:color="auto" w:fill="92D050"/>
          </w:tcPr>
          <w:p>
            <w:pPr>
              <w:pStyle w:val="TableParagraph"/>
              <w:spacing w:before="1"/>
              <w:jc w:val="left"/>
              <w:rPr>
                <w:sz w:val="15"/>
              </w:rPr>
            </w:pPr>
          </w:p>
          <w:p>
            <w:pPr>
              <w:pStyle w:val="TableParagraph"/>
              <w:ind w:left="350" w:right="350"/>
              <w:rPr>
                <w:b/>
                <w:sz w:val="18"/>
              </w:rPr>
            </w:pPr>
            <w:r>
              <w:rPr>
                <w:b/>
                <w:sz w:val="18"/>
              </w:rPr>
              <w:t>Partido</w:t>
            </w:r>
          </w:p>
        </w:tc>
        <w:tc>
          <w:tcPr>
            <w:tcW w:w="821" w:type="dxa"/>
            <w:shd w:val="clear" w:color="auto" w:fill="92D050"/>
          </w:tcPr>
          <w:p>
            <w:pPr>
              <w:pStyle w:val="TableParagraph"/>
              <w:spacing w:before="1"/>
              <w:jc w:val="left"/>
              <w:rPr>
                <w:sz w:val="15"/>
              </w:rPr>
            </w:pPr>
          </w:p>
          <w:p>
            <w:pPr>
              <w:pStyle w:val="TableParagraph"/>
              <w:ind w:left="65" w:right="66"/>
              <w:rPr>
                <w:b/>
                <w:sz w:val="18"/>
              </w:rPr>
            </w:pPr>
            <w:r>
              <w:rPr>
                <w:b/>
                <w:sz w:val="18"/>
              </w:rPr>
              <w:t>Genero</w:t>
            </w:r>
          </w:p>
        </w:tc>
        <w:tc>
          <w:tcPr>
            <w:tcW w:w="2381" w:type="dxa"/>
            <w:shd w:val="clear" w:color="auto" w:fill="92D050"/>
          </w:tcPr>
          <w:p>
            <w:pPr>
              <w:pStyle w:val="TableParagraph"/>
              <w:spacing w:before="1"/>
              <w:jc w:val="left"/>
              <w:rPr>
                <w:sz w:val="15"/>
              </w:rPr>
            </w:pPr>
          </w:p>
          <w:p>
            <w:pPr>
              <w:pStyle w:val="TableParagraph"/>
              <w:ind w:left="268"/>
              <w:jc w:val="left"/>
              <w:rPr>
                <w:b/>
                <w:sz w:val="18"/>
              </w:rPr>
            </w:pPr>
            <w:r>
              <w:rPr>
                <w:b/>
                <w:sz w:val="18"/>
              </w:rPr>
              <w:t>Municipio gobernado</w:t>
            </w:r>
          </w:p>
        </w:tc>
        <w:tc>
          <w:tcPr>
            <w:tcW w:w="1418" w:type="dxa"/>
            <w:shd w:val="clear" w:color="auto" w:fill="92D050"/>
          </w:tcPr>
          <w:p>
            <w:pPr>
              <w:pStyle w:val="TableParagraph"/>
              <w:spacing w:line="360" w:lineRule="auto" w:before="20"/>
              <w:ind w:left="112" w:right="97" w:firstLine="376"/>
              <w:jc w:val="left"/>
              <w:rPr>
                <w:b/>
                <w:sz w:val="18"/>
              </w:rPr>
            </w:pPr>
            <w:r>
              <w:rPr>
                <w:b/>
                <w:sz w:val="18"/>
              </w:rPr>
              <w:t>% de cumplimiento</w:t>
            </w:r>
          </w:p>
        </w:tc>
        <w:tc>
          <w:tcPr>
            <w:tcW w:w="1601" w:type="dxa"/>
            <w:shd w:val="clear" w:color="auto" w:fill="92D050"/>
          </w:tcPr>
          <w:p>
            <w:pPr>
              <w:pStyle w:val="TableParagraph"/>
              <w:spacing w:line="360" w:lineRule="auto" w:before="20"/>
              <w:ind w:left="203" w:right="189" w:firstLine="14"/>
              <w:jc w:val="left"/>
              <w:rPr>
                <w:b/>
                <w:sz w:val="18"/>
              </w:rPr>
            </w:pPr>
            <w:r>
              <w:rPr>
                <w:b/>
                <w:sz w:val="18"/>
              </w:rPr>
              <w:t>Promedio del cumplimiento</w:t>
            </w:r>
          </w:p>
        </w:tc>
      </w:tr>
      <w:tr>
        <w:trPr>
          <w:trHeight w:val="334" w:hRule="exact"/>
        </w:trPr>
        <w:tc>
          <w:tcPr>
            <w:tcW w:w="1380" w:type="dxa"/>
            <w:tcBorders>
              <w:right w:val="single" w:sz="4" w:space="0" w:color="000000"/>
            </w:tcBorders>
          </w:tcPr>
          <w:p>
            <w:pPr>
              <w:pStyle w:val="TableParagraph"/>
              <w:spacing w:line="206" w:lineRule="exact"/>
              <w:ind w:left="265" w:right="270"/>
              <w:rPr>
                <w:sz w:val="18"/>
              </w:rPr>
            </w:pPr>
            <w:r>
              <w:rPr>
                <w:sz w:val="18"/>
              </w:rPr>
              <w:t>ES</w:t>
            </w:r>
          </w:p>
        </w:tc>
        <w:tc>
          <w:tcPr>
            <w:tcW w:w="821" w:type="dxa"/>
            <w:tcBorders>
              <w:left w:val="single" w:sz="4" w:space="0" w:color="000000"/>
              <w:right w:val="single" w:sz="4" w:space="0" w:color="000000"/>
            </w:tcBorders>
          </w:tcPr>
          <w:p>
            <w:pPr>
              <w:pStyle w:val="TableParagraph"/>
              <w:spacing w:line="206" w:lineRule="exact"/>
              <w:ind w:right="2"/>
              <w:rPr>
                <w:sz w:val="18"/>
              </w:rPr>
            </w:pPr>
            <w:r>
              <w:rPr>
                <w:w w:val="99"/>
                <w:sz w:val="18"/>
              </w:rPr>
              <w:t>1</w:t>
            </w:r>
          </w:p>
        </w:tc>
        <w:tc>
          <w:tcPr>
            <w:tcW w:w="2381" w:type="dxa"/>
            <w:tcBorders>
              <w:left w:val="single" w:sz="4" w:space="0" w:color="000000"/>
              <w:right w:val="single" w:sz="4" w:space="0" w:color="000000"/>
            </w:tcBorders>
          </w:tcPr>
          <w:p>
            <w:pPr>
              <w:pStyle w:val="TableParagraph"/>
              <w:spacing w:before="1"/>
              <w:ind w:left="64" w:right="627"/>
              <w:jc w:val="left"/>
              <w:rPr>
                <w:sz w:val="18"/>
              </w:rPr>
            </w:pPr>
            <w:r>
              <w:rPr>
                <w:color w:val="181818"/>
                <w:sz w:val="18"/>
              </w:rPr>
              <w:t>Amecameca</w:t>
            </w:r>
          </w:p>
        </w:tc>
        <w:tc>
          <w:tcPr>
            <w:tcW w:w="1418" w:type="dxa"/>
            <w:tcBorders>
              <w:left w:val="single" w:sz="4" w:space="0" w:color="000000"/>
              <w:right w:val="single" w:sz="4" w:space="0" w:color="000000"/>
            </w:tcBorders>
          </w:tcPr>
          <w:p>
            <w:pPr/>
          </w:p>
        </w:tc>
        <w:tc>
          <w:tcPr>
            <w:tcW w:w="1601" w:type="dxa"/>
            <w:tcBorders>
              <w:left w:val="single" w:sz="4" w:space="0" w:color="000000"/>
            </w:tcBorders>
          </w:tcPr>
          <w:p>
            <w:pPr>
              <w:pStyle w:val="TableParagraph"/>
              <w:spacing w:line="206" w:lineRule="exact"/>
              <w:ind w:left="96" w:right="96"/>
              <w:rPr>
                <w:sz w:val="18"/>
              </w:rPr>
            </w:pPr>
            <w:r>
              <w:rPr>
                <w:sz w:val="18"/>
              </w:rPr>
              <w:t>N/A</w:t>
            </w:r>
          </w:p>
        </w:tc>
      </w:tr>
      <w:tr>
        <w:trPr>
          <w:trHeight w:val="336" w:hRule="exact"/>
        </w:trPr>
        <w:tc>
          <w:tcPr>
            <w:tcW w:w="1380" w:type="dxa"/>
            <w:tcBorders>
              <w:right w:val="single" w:sz="4" w:space="0" w:color="000000"/>
            </w:tcBorders>
          </w:tcPr>
          <w:p>
            <w:pPr>
              <w:pStyle w:val="TableParagraph"/>
              <w:spacing w:line="206" w:lineRule="exact"/>
              <w:ind w:left="265" w:right="270"/>
              <w:rPr>
                <w:sz w:val="18"/>
              </w:rPr>
            </w:pPr>
            <w:r>
              <w:rPr>
                <w:sz w:val="18"/>
              </w:rPr>
              <w:t>MC</w:t>
            </w:r>
          </w:p>
        </w:tc>
        <w:tc>
          <w:tcPr>
            <w:tcW w:w="821" w:type="dxa"/>
            <w:tcBorders>
              <w:left w:val="single" w:sz="4" w:space="0" w:color="000000"/>
              <w:right w:val="single" w:sz="4" w:space="0" w:color="000000"/>
            </w:tcBorders>
          </w:tcPr>
          <w:p>
            <w:pPr>
              <w:pStyle w:val="TableParagraph"/>
              <w:spacing w:line="206" w:lineRule="exact"/>
              <w:ind w:right="2"/>
              <w:rPr>
                <w:sz w:val="18"/>
              </w:rPr>
            </w:pPr>
            <w:r>
              <w:rPr>
                <w:w w:val="99"/>
                <w:sz w:val="18"/>
              </w:rPr>
              <w:t>1</w:t>
            </w:r>
          </w:p>
        </w:tc>
        <w:tc>
          <w:tcPr>
            <w:tcW w:w="2381" w:type="dxa"/>
            <w:tcBorders>
              <w:left w:val="single" w:sz="4" w:space="0" w:color="000000"/>
              <w:right w:val="single" w:sz="4" w:space="0" w:color="000000"/>
            </w:tcBorders>
          </w:tcPr>
          <w:p>
            <w:pPr>
              <w:pStyle w:val="TableParagraph"/>
              <w:spacing w:line="206" w:lineRule="exact"/>
              <w:ind w:left="64" w:right="627"/>
              <w:jc w:val="left"/>
              <w:rPr>
                <w:sz w:val="18"/>
              </w:rPr>
            </w:pPr>
            <w:r>
              <w:rPr>
                <w:color w:val="181818"/>
                <w:sz w:val="18"/>
              </w:rPr>
              <w:t>Tepotzotlán</w:t>
            </w:r>
          </w:p>
        </w:tc>
        <w:tc>
          <w:tcPr>
            <w:tcW w:w="1418" w:type="dxa"/>
            <w:tcBorders>
              <w:left w:val="single" w:sz="4" w:space="0" w:color="000000"/>
              <w:right w:val="single" w:sz="4" w:space="0" w:color="000000"/>
            </w:tcBorders>
          </w:tcPr>
          <w:p>
            <w:pPr/>
          </w:p>
        </w:tc>
        <w:tc>
          <w:tcPr>
            <w:tcW w:w="1601" w:type="dxa"/>
            <w:tcBorders>
              <w:left w:val="single" w:sz="4" w:space="0" w:color="000000"/>
            </w:tcBorders>
          </w:tcPr>
          <w:p>
            <w:pPr>
              <w:pStyle w:val="TableParagraph"/>
              <w:spacing w:line="206" w:lineRule="exact"/>
              <w:ind w:left="96" w:right="96"/>
              <w:rPr>
                <w:sz w:val="18"/>
              </w:rPr>
            </w:pPr>
            <w:r>
              <w:rPr>
                <w:sz w:val="18"/>
              </w:rPr>
              <w:t>N/A</w:t>
            </w:r>
          </w:p>
        </w:tc>
      </w:tr>
      <w:tr>
        <w:trPr>
          <w:trHeight w:val="334" w:hRule="exact"/>
        </w:trPr>
        <w:tc>
          <w:tcPr>
            <w:tcW w:w="1380" w:type="dxa"/>
            <w:tcBorders>
              <w:right w:val="single" w:sz="4" w:space="0" w:color="000000"/>
            </w:tcBorders>
          </w:tcPr>
          <w:p>
            <w:pPr>
              <w:pStyle w:val="TableParagraph"/>
              <w:spacing w:line="206" w:lineRule="exact"/>
              <w:ind w:left="265" w:right="270"/>
              <w:rPr>
                <w:sz w:val="18"/>
              </w:rPr>
            </w:pPr>
            <w:r>
              <w:rPr>
                <w:sz w:val="18"/>
              </w:rPr>
              <w:t>MORENA</w:t>
            </w:r>
          </w:p>
        </w:tc>
        <w:tc>
          <w:tcPr>
            <w:tcW w:w="821" w:type="dxa"/>
            <w:tcBorders>
              <w:left w:val="single" w:sz="4" w:space="0" w:color="000000"/>
              <w:right w:val="single" w:sz="4" w:space="0" w:color="000000"/>
            </w:tcBorders>
          </w:tcPr>
          <w:p>
            <w:pPr>
              <w:pStyle w:val="TableParagraph"/>
              <w:spacing w:line="206" w:lineRule="exact"/>
              <w:ind w:right="2"/>
              <w:rPr>
                <w:sz w:val="18"/>
              </w:rPr>
            </w:pPr>
            <w:r>
              <w:rPr>
                <w:w w:val="99"/>
                <w:sz w:val="18"/>
              </w:rPr>
              <w:t>1</w:t>
            </w:r>
          </w:p>
        </w:tc>
        <w:tc>
          <w:tcPr>
            <w:tcW w:w="2381" w:type="dxa"/>
            <w:tcBorders>
              <w:left w:val="single" w:sz="4" w:space="0" w:color="000000"/>
              <w:right w:val="single" w:sz="4" w:space="0" w:color="000000"/>
            </w:tcBorders>
          </w:tcPr>
          <w:p>
            <w:pPr>
              <w:pStyle w:val="TableParagraph"/>
              <w:spacing w:line="206" w:lineRule="exact"/>
              <w:ind w:left="64" w:right="627"/>
              <w:jc w:val="left"/>
              <w:rPr>
                <w:sz w:val="18"/>
              </w:rPr>
            </w:pPr>
            <w:r>
              <w:rPr>
                <w:color w:val="181818"/>
                <w:sz w:val="18"/>
              </w:rPr>
              <w:t>Texcoco</w:t>
            </w:r>
          </w:p>
        </w:tc>
        <w:tc>
          <w:tcPr>
            <w:tcW w:w="1418" w:type="dxa"/>
            <w:tcBorders>
              <w:left w:val="single" w:sz="4" w:space="0" w:color="000000"/>
              <w:right w:val="single" w:sz="4" w:space="0" w:color="000000"/>
            </w:tcBorders>
          </w:tcPr>
          <w:p>
            <w:pPr/>
          </w:p>
        </w:tc>
        <w:tc>
          <w:tcPr>
            <w:tcW w:w="1601" w:type="dxa"/>
            <w:tcBorders>
              <w:left w:val="single" w:sz="4" w:space="0" w:color="000000"/>
            </w:tcBorders>
          </w:tcPr>
          <w:p>
            <w:pPr>
              <w:pStyle w:val="TableParagraph"/>
              <w:spacing w:line="206" w:lineRule="exact"/>
              <w:ind w:left="96" w:right="96"/>
              <w:rPr>
                <w:sz w:val="18"/>
              </w:rPr>
            </w:pPr>
            <w:r>
              <w:rPr>
                <w:sz w:val="18"/>
              </w:rPr>
              <w:t>N/A</w:t>
            </w:r>
          </w:p>
        </w:tc>
      </w:tr>
      <w:tr>
        <w:trPr>
          <w:trHeight w:val="336" w:hRule="exact"/>
        </w:trPr>
        <w:tc>
          <w:tcPr>
            <w:tcW w:w="1380" w:type="dxa"/>
            <w:tcBorders>
              <w:right w:val="single" w:sz="4" w:space="0" w:color="000000"/>
            </w:tcBorders>
          </w:tcPr>
          <w:p>
            <w:pPr>
              <w:pStyle w:val="TableParagraph"/>
              <w:spacing w:before="1"/>
              <w:ind w:left="265" w:right="270"/>
              <w:rPr>
                <w:sz w:val="18"/>
              </w:rPr>
            </w:pPr>
            <w:r>
              <w:rPr>
                <w:sz w:val="18"/>
              </w:rPr>
              <w:t>NA</w:t>
            </w:r>
          </w:p>
        </w:tc>
        <w:tc>
          <w:tcPr>
            <w:tcW w:w="821" w:type="dxa"/>
            <w:tcBorders>
              <w:left w:val="single" w:sz="4" w:space="0" w:color="000000"/>
              <w:right w:val="single" w:sz="4" w:space="0" w:color="000000"/>
            </w:tcBorders>
          </w:tcPr>
          <w:p>
            <w:pPr>
              <w:pStyle w:val="TableParagraph"/>
              <w:spacing w:before="1"/>
              <w:ind w:right="2"/>
              <w:rPr>
                <w:sz w:val="18"/>
              </w:rPr>
            </w:pPr>
            <w:r>
              <w:rPr>
                <w:w w:val="99"/>
                <w:sz w:val="18"/>
              </w:rPr>
              <w:t>1</w:t>
            </w:r>
          </w:p>
        </w:tc>
        <w:tc>
          <w:tcPr>
            <w:tcW w:w="2381" w:type="dxa"/>
            <w:tcBorders>
              <w:left w:val="single" w:sz="4" w:space="0" w:color="000000"/>
              <w:right w:val="single" w:sz="4" w:space="0" w:color="000000"/>
            </w:tcBorders>
          </w:tcPr>
          <w:p>
            <w:pPr>
              <w:pStyle w:val="TableParagraph"/>
              <w:spacing w:line="206" w:lineRule="exact"/>
              <w:ind w:left="64" w:right="627"/>
              <w:jc w:val="left"/>
              <w:rPr>
                <w:b/>
                <w:sz w:val="18"/>
              </w:rPr>
            </w:pPr>
            <w:r>
              <w:rPr>
                <w:b/>
                <w:color w:val="181818"/>
                <w:sz w:val="18"/>
              </w:rPr>
              <w:t>Jilotepec</w:t>
            </w:r>
          </w:p>
        </w:tc>
        <w:tc>
          <w:tcPr>
            <w:tcW w:w="1418" w:type="dxa"/>
            <w:tcBorders>
              <w:left w:val="single" w:sz="4" w:space="0" w:color="000000"/>
              <w:right w:val="single" w:sz="4" w:space="0" w:color="000000"/>
            </w:tcBorders>
          </w:tcPr>
          <w:p>
            <w:pPr>
              <w:pStyle w:val="TableParagraph"/>
              <w:spacing w:before="1"/>
              <w:ind w:right="397"/>
              <w:jc w:val="right"/>
              <w:rPr>
                <w:sz w:val="18"/>
              </w:rPr>
            </w:pPr>
            <w:r>
              <w:rPr>
                <w:sz w:val="18"/>
              </w:rPr>
              <w:t>68.58%</w:t>
            </w:r>
          </w:p>
        </w:tc>
        <w:tc>
          <w:tcPr>
            <w:tcW w:w="1601" w:type="dxa"/>
            <w:tcBorders>
              <w:left w:val="single" w:sz="4" w:space="0" w:color="000000"/>
            </w:tcBorders>
          </w:tcPr>
          <w:p>
            <w:pPr>
              <w:pStyle w:val="TableParagraph"/>
              <w:spacing w:before="1"/>
              <w:ind w:left="96" w:right="94"/>
              <w:rPr>
                <w:sz w:val="18"/>
              </w:rPr>
            </w:pPr>
            <w:r>
              <w:rPr>
                <w:sz w:val="18"/>
              </w:rPr>
              <w:t>68.58%</w:t>
            </w:r>
          </w:p>
        </w:tc>
      </w:tr>
      <w:tr>
        <w:trPr>
          <w:trHeight w:val="326" w:hRule="exact"/>
        </w:trPr>
        <w:tc>
          <w:tcPr>
            <w:tcW w:w="1380" w:type="dxa"/>
            <w:vMerge w:val="restart"/>
            <w:tcBorders>
              <w:right w:val="single" w:sz="4" w:space="0" w:color="000000"/>
            </w:tcBorders>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10"/>
              <w:jc w:val="left"/>
              <w:rPr>
                <w:sz w:val="24"/>
              </w:rPr>
            </w:pPr>
          </w:p>
          <w:p>
            <w:pPr>
              <w:pStyle w:val="TableParagraph"/>
              <w:spacing w:before="1"/>
              <w:ind w:left="265" w:right="269"/>
              <w:rPr>
                <w:sz w:val="18"/>
              </w:rPr>
            </w:pPr>
            <w:r>
              <w:rPr>
                <w:sz w:val="18"/>
              </w:rPr>
              <w:t>PAN</w:t>
            </w:r>
          </w:p>
        </w:tc>
        <w:tc>
          <w:tcPr>
            <w:tcW w:w="821" w:type="dxa"/>
            <w:tcBorders>
              <w:left w:val="single" w:sz="4" w:space="0" w:color="000000"/>
              <w:bottom w:val="single" w:sz="4" w:space="0" w:color="000000"/>
              <w:right w:val="single" w:sz="4" w:space="0" w:color="000000"/>
            </w:tcBorders>
          </w:tcPr>
          <w:p>
            <w:pPr>
              <w:pStyle w:val="TableParagraph"/>
              <w:spacing w:line="203" w:lineRule="exact"/>
              <w:ind w:right="2"/>
              <w:rPr>
                <w:sz w:val="18"/>
              </w:rPr>
            </w:pPr>
            <w:r>
              <w:rPr>
                <w:w w:val="99"/>
                <w:sz w:val="18"/>
              </w:rPr>
              <w:t>1</w:t>
            </w:r>
          </w:p>
        </w:tc>
        <w:tc>
          <w:tcPr>
            <w:tcW w:w="2381" w:type="dxa"/>
            <w:tcBorders>
              <w:left w:val="single" w:sz="4" w:space="0" w:color="000000"/>
              <w:bottom w:val="single" w:sz="4" w:space="0" w:color="000000"/>
              <w:right w:val="single" w:sz="4" w:space="0" w:color="000000"/>
            </w:tcBorders>
          </w:tcPr>
          <w:p>
            <w:pPr>
              <w:pStyle w:val="TableParagraph"/>
              <w:spacing w:line="203" w:lineRule="exact"/>
              <w:ind w:left="64" w:right="627"/>
              <w:jc w:val="left"/>
              <w:rPr>
                <w:sz w:val="18"/>
              </w:rPr>
            </w:pPr>
            <w:r>
              <w:rPr>
                <w:color w:val="181818"/>
                <w:sz w:val="18"/>
              </w:rPr>
              <w:t>Coyotepec</w:t>
            </w:r>
          </w:p>
        </w:tc>
        <w:tc>
          <w:tcPr>
            <w:tcW w:w="1418" w:type="dxa"/>
            <w:tcBorders>
              <w:left w:val="single" w:sz="4" w:space="0" w:color="000000"/>
              <w:bottom w:val="single" w:sz="4" w:space="0" w:color="000000"/>
              <w:right w:val="single" w:sz="4" w:space="0" w:color="000000"/>
            </w:tcBorders>
          </w:tcPr>
          <w:p>
            <w:pPr/>
          </w:p>
        </w:tc>
        <w:tc>
          <w:tcPr>
            <w:tcW w:w="1601" w:type="dxa"/>
            <w:vMerge w:val="restart"/>
            <w:tcBorders>
              <w:left w:val="single" w:sz="4" w:space="0" w:color="000000"/>
            </w:tcBorders>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10"/>
              <w:jc w:val="left"/>
              <w:rPr>
                <w:sz w:val="24"/>
              </w:rPr>
            </w:pPr>
          </w:p>
          <w:p>
            <w:pPr>
              <w:pStyle w:val="TableParagraph"/>
              <w:spacing w:before="1"/>
              <w:ind w:left="489"/>
              <w:jc w:val="left"/>
              <w:rPr>
                <w:sz w:val="18"/>
              </w:rPr>
            </w:pPr>
            <w:r>
              <w:rPr>
                <w:sz w:val="18"/>
              </w:rPr>
              <w:t>45.40%</w:t>
            </w:r>
          </w:p>
        </w:tc>
      </w:tr>
      <w:tr>
        <w:trPr>
          <w:trHeight w:val="329" w:hRule="exact"/>
        </w:trPr>
        <w:tc>
          <w:tcPr>
            <w:tcW w:w="1380" w:type="dxa"/>
            <w:vMerge/>
            <w:tcBorders>
              <w:right w:val="single" w:sz="4" w:space="0" w:color="000000"/>
            </w:tcBorders>
          </w:tcPr>
          <w:p>
            <w:pP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before="6"/>
              <w:ind w:right="2"/>
              <w:rPr>
                <w:sz w:val="18"/>
              </w:rPr>
            </w:pPr>
            <w:r>
              <w:rPr>
                <w:w w:val="99"/>
                <w:sz w:val="18"/>
              </w:rPr>
              <w:t>1</w:t>
            </w:r>
          </w:p>
        </w:tc>
        <w:tc>
          <w:tcPr>
            <w:tcW w:w="2381" w:type="dxa"/>
            <w:tcBorders>
              <w:top w:val="single" w:sz="4" w:space="0" w:color="000000"/>
              <w:left w:val="single" w:sz="4" w:space="0" w:color="000000"/>
              <w:bottom w:val="single" w:sz="4" w:space="0" w:color="000000"/>
              <w:right w:val="single" w:sz="4" w:space="0" w:color="000000"/>
            </w:tcBorders>
          </w:tcPr>
          <w:p>
            <w:pPr>
              <w:pStyle w:val="TableParagraph"/>
              <w:spacing w:before="1"/>
              <w:ind w:left="64" w:right="627"/>
              <w:jc w:val="left"/>
              <w:rPr>
                <w:b/>
                <w:sz w:val="18"/>
              </w:rPr>
            </w:pPr>
            <w:r>
              <w:rPr>
                <w:b/>
                <w:color w:val="181818"/>
                <w:sz w:val="18"/>
              </w:rPr>
              <w:t>Huehuetoca</w:t>
            </w:r>
          </w:p>
        </w:tc>
        <w:tc>
          <w:tcPr>
            <w:tcW w:w="1418" w:type="dxa"/>
            <w:tcBorders>
              <w:top w:val="single" w:sz="4" w:space="0" w:color="000000"/>
              <w:left w:val="single" w:sz="4" w:space="0" w:color="000000"/>
              <w:bottom w:val="single" w:sz="4" w:space="0" w:color="000000"/>
              <w:right w:val="single" w:sz="4" w:space="0" w:color="000000"/>
            </w:tcBorders>
          </w:tcPr>
          <w:p>
            <w:pPr>
              <w:pStyle w:val="TableParagraph"/>
              <w:spacing w:before="6"/>
              <w:ind w:right="397"/>
              <w:jc w:val="right"/>
              <w:rPr>
                <w:sz w:val="18"/>
              </w:rPr>
            </w:pPr>
            <w:r>
              <w:rPr>
                <w:sz w:val="18"/>
              </w:rPr>
              <w:t>28.97%</w:t>
            </w:r>
          </w:p>
        </w:tc>
        <w:tc>
          <w:tcPr>
            <w:tcW w:w="1601" w:type="dxa"/>
            <w:vMerge/>
            <w:tcBorders>
              <w:left w:val="single" w:sz="4" w:space="0" w:color="000000"/>
            </w:tcBorders>
          </w:tcPr>
          <w:p>
            <w:pPr/>
          </w:p>
        </w:tc>
      </w:tr>
      <w:tr>
        <w:trPr>
          <w:trHeight w:val="331" w:hRule="exact"/>
        </w:trPr>
        <w:tc>
          <w:tcPr>
            <w:tcW w:w="1380" w:type="dxa"/>
            <w:vMerge/>
            <w:tcBorders>
              <w:right w:val="single" w:sz="4" w:space="0" w:color="000000"/>
            </w:tcBorders>
          </w:tcPr>
          <w:p>
            <w:pP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before="8"/>
              <w:ind w:right="2"/>
              <w:rPr>
                <w:sz w:val="18"/>
              </w:rPr>
            </w:pPr>
            <w:r>
              <w:rPr>
                <w:w w:val="99"/>
                <w:sz w:val="18"/>
              </w:rPr>
              <w:t>1</w:t>
            </w:r>
          </w:p>
        </w:tc>
        <w:tc>
          <w:tcPr>
            <w:tcW w:w="2381" w:type="dxa"/>
            <w:tcBorders>
              <w:top w:val="single" w:sz="4" w:space="0" w:color="000000"/>
              <w:left w:val="single" w:sz="4" w:space="0" w:color="000000"/>
              <w:bottom w:val="single" w:sz="4" w:space="0" w:color="000000"/>
              <w:right w:val="single" w:sz="4" w:space="0" w:color="000000"/>
            </w:tcBorders>
          </w:tcPr>
          <w:p>
            <w:pPr>
              <w:pStyle w:val="TableParagraph"/>
              <w:spacing w:before="3"/>
              <w:ind w:left="64" w:right="627"/>
              <w:jc w:val="left"/>
              <w:rPr>
                <w:b/>
                <w:sz w:val="18"/>
              </w:rPr>
            </w:pPr>
            <w:r>
              <w:rPr>
                <w:b/>
                <w:color w:val="181818"/>
                <w:sz w:val="18"/>
              </w:rPr>
              <w:t>Huixquilucan</w:t>
            </w:r>
          </w:p>
        </w:tc>
        <w:tc>
          <w:tcPr>
            <w:tcW w:w="1418" w:type="dxa"/>
            <w:tcBorders>
              <w:top w:val="single" w:sz="4" w:space="0" w:color="000000"/>
              <w:left w:val="single" w:sz="4" w:space="0" w:color="000000"/>
              <w:bottom w:val="single" w:sz="4" w:space="0" w:color="000000"/>
              <w:right w:val="single" w:sz="4" w:space="0" w:color="000000"/>
            </w:tcBorders>
          </w:tcPr>
          <w:p>
            <w:pPr>
              <w:pStyle w:val="TableParagraph"/>
              <w:spacing w:before="8"/>
              <w:ind w:right="347"/>
              <w:jc w:val="right"/>
              <w:rPr>
                <w:sz w:val="18"/>
              </w:rPr>
            </w:pPr>
            <w:r>
              <w:rPr>
                <w:sz w:val="18"/>
              </w:rPr>
              <w:t>100.00%</w:t>
            </w:r>
          </w:p>
        </w:tc>
        <w:tc>
          <w:tcPr>
            <w:tcW w:w="1601" w:type="dxa"/>
            <w:vMerge/>
            <w:tcBorders>
              <w:left w:val="single" w:sz="4" w:space="0" w:color="000000"/>
            </w:tcBorders>
          </w:tcPr>
          <w:p>
            <w:pPr/>
          </w:p>
        </w:tc>
      </w:tr>
      <w:tr>
        <w:trPr>
          <w:trHeight w:val="331" w:hRule="exact"/>
        </w:trPr>
        <w:tc>
          <w:tcPr>
            <w:tcW w:w="1380" w:type="dxa"/>
            <w:vMerge/>
            <w:tcBorders>
              <w:right w:val="single" w:sz="4" w:space="0" w:color="000000"/>
            </w:tcBorders>
          </w:tcPr>
          <w:p>
            <w:pP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before="6"/>
              <w:ind w:right="2"/>
              <w:rPr>
                <w:sz w:val="18"/>
              </w:rPr>
            </w:pPr>
            <w:r>
              <w:rPr>
                <w:w w:val="99"/>
                <w:sz w:val="18"/>
              </w:rPr>
              <w:t>1</w:t>
            </w:r>
          </w:p>
        </w:tc>
        <w:tc>
          <w:tcPr>
            <w:tcW w:w="2381" w:type="dxa"/>
            <w:tcBorders>
              <w:top w:val="single" w:sz="4" w:space="0" w:color="000000"/>
              <w:left w:val="single" w:sz="4" w:space="0" w:color="000000"/>
              <w:bottom w:val="single" w:sz="4" w:space="0" w:color="000000"/>
              <w:right w:val="single" w:sz="4" w:space="0" w:color="000000"/>
            </w:tcBorders>
          </w:tcPr>
          <w:p>
            <w:pPr>
              <w:pStyle w:val="TableParagraph"/>
              <w:spacing w:before="1"/>
              <w:ind w:left="64" w:right="627"/>
              <w:jc w:val="left"/>
              <w:rPr>
                <w:b/>
                <w:sz w:val="18"/>
              </w:rPr>
            </w:pPr>
            <w:r>
              <w:rPr>
                <w:b/>
                <w:color w:val="181818"/>
                <w:sz w:val="18"/>
              </w:rPr>
              <w:t>Ixtapan del Oro</w:t>
            </w:r>
          </w:p>
        </w:tc>
        <w:tc>
          <w:tcPr>
            <w:tcW w:w="1418" w:type="dxa"/>
            <w:tcBorders>
              <w:top w:val="single" w:sz="4" w:space="0" w:color="000000"/>
              <w:left w:val="single" w:sz="4" w:space="0" w:color="000000"/>
              <w:bottom w:val="single" w:sz="4" w:space="0" w:color="000000"/>
              <w:right w:val="single" w:sz="4" w:space="0" w:color="000000"/>
            </w:tcBorders>
          </w:tcPr>
          <w:p>
            <w:pPr>
              <w:pStyle w:val="TableParagraph"/>
              <w:spacing w:before="6"/>
              <w:ind w:right="445"/>
              <w:jc w:val="right"/>
              <w:rPr>
                <w:sz w:val="18"/>
              </w:rPr>
            </w:pPr>
            <w:r>
              <w:rPr>
                <w:w w:val="95"/>
                <w:sz w:val="18"/>
              </w:rPr>
              <w:t>3.00%</w:t>
            </w:r>
          </w:p>
        </w:tc>
        <w:tc>
          <w:tcPr>
            <w:tcW w:w="1601" w:type="dxa"/>
            <w:vMerge/>
            <w:tcBorders>
              <w:left w:val="single" w:sz="4" w:space="0" w:color="000000"/>
            </w:tcBorders>
          </w:tcPr>
          <w:p>
            <w:pPr/>
          </w:p>
        </w:tc>
      </w:tr>
      <w:tr>
        <w:trPr>
          <w:trHeight w:val="329" w:hRule="exact"/>
        </w:trPr>
        <w:tc>
          <w:tcPr>
            <w:tcW w:w="1380" w:type="dxa"/>
            <w:vMerge/>
            <w:tcBorders>
              <w:right w:val="single" w:sz="4" w:space="0" w:color="000000"/>
            </w:tcBorders>
          </w:tcPr>
          <w:p>
            <w:pP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before="6"/>
              <w:ind w:right="2"/>
              <w:rPr>
                <w:sz w:val="18"/>
              </w:rPr>
            </w:pPr>
            <w:r>
              <w:rPr>
                <w:w w:val="99"/>
                <w:sz w:val="18"/>
              </w:rPr>
              <w:t>1</w:t>
            </w:r>
          </w:p>
        </w:tc>
        <w:tc>
          <w:tcPr>
            <w:tcW w:w="2381" w:type="dxa"/>
            <w:tcBorders>
              <w:top w:val="single" w:sz="4" w:space="0" w:color="000000"/>
              <w:left w:val="single" w:sz="4" w:space="0" w:color="000000"/>
              <w:bottom w:val="single" w:sz="4" w:space="0" w:color="000000"/>
              <w:right w:val="single" w:sz="4" w:space="0" w:color="000000"/>
            </w:tcBorders>
          </w:tcPr>
          <w:p>
            <w:pPr>
              <w:pStyle w:val="TableParagraph"/>
              <w:spacing w:before="6"/>
              <w:ind w:left="64" w:right="627"/>
              <w:jc w:val="left"/>
              <w:rPr>
                <w:sz w:val="18"/>
              </w:rPr>
            </w:pPr>
            <w:r>
              <w:rPr>
                <w:color w:val="181818"/>
                <w:sz w:val="18"/>
              </w:rPr>
              <w:t>Jilotzingo</w:t>
            </w:r>
          </w:p>
        </w:tc>
        <w:tc>
          <w:tcPr>
            <w:tcW w:w="1418" w:type="dxa"/>
            <w:tcBorders>
              <w:top w:val="single" w:sz="4" w:space="0" w:color="000000"/>
              <w:left w:val="single" w:sz="4" w:space="0" w:color="000000"/>
              <w:bottom w:val="single" w:sz="4" w:space="0" w:color="000000"/>
              <w:right w:val="single" w:sz="4" w:space="0" w:color="000000"/>
            </w:tcBorders>
          </w:tcPr>
          <w:p>
            <w:pPr/>
          </w:p>
        </w:tc>
        <w:tc>
          <w:tcPr>
            <w:tcW w:w="1601" w:type="dxa"/>
            <w:vMerge/>
            <w:tcBorders>
              <w:left w:val="single" w:sz="4" w:space="0" w:color="000000"/>
            </w:tcBorders>
          </w:tcPr>
          <w:p>
            <w:pPr/>
          </w:p>
        </w:tc>
      </w:tr>
      <w:tr>
        <w:trPr>
          <w:trHeight w:val="331" w:hRule="exact"/>
        </w:trPr>
        <w:tc>
          <w:tcPr>
            <w:tcW w:w="1380" w:type="dxa"/>
            <w:vMerge/>
            <w:tcBorders>
              <w:right w:val="single" w:sz="4" w:space="0" w:color="000000"/>
            </w:tcBorders>
          </w:tcPr>
          <w:p>
            <w:pP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before="8"/>
              <w:ind w:right="2"/>
              <w:rPr>
                <w:sz w:val="18"/>
              </w:rPr>
            </w:pPr>
            <w:r>
              <w:rPr>
                <w:w w:val="99"/>
                <w:sz w:val="18"/>
              </w:rPr>
              <w:t>1</w:t>
            </w:r>
          </w:p>
        </w:tc>
        <w:tc>
          <w:tcPr>
            <w:tcW w:w="2381" w:type="dxa"/>
            <w:tcBorders>
              <w:top w:val="single" w:sz="4" w:space="0" w:color="000000"/>
              <w:left w:val="single" w:sz="4" w:space="0" w:color="000000"/>
              <w:bottom w:val="single" w:sz="4" w:space="0" w:color="000000"/>
              <w:right w:val="single" w:sz="4" w:space="0" w:color="000000"/>
            </w:tcBorders>
          </w:tcPr>
          <w:p>
            <w:pPr>
              <w:pStyle w:val="TableParagraph"/>
              <w:spacing w:before="3"/>
              <w:ind w:left="64" w:right="159"/>
              <w:jc w:val="left"/>
              <w:rPr>
                <w:b/>
                <w:sz w:val="18"/>
              </w:rPr>
            </w:pPr>
            <w:r>
              <w:rPr>
                <w:b/>
                <w:color w:val="181818"/>
                <w:sz w:val="18"/>
              </w:rPr>
              <w:t>Naucalpan de Juárez</w:t>
            </w:r>
          </w:p>
        </w:tc>
        <w:tc>
          <w:tcPr>
            <w:tcW w:w="1418" w:type="dxa"/>
            <w:tcBorders>
              <w:top w:val="single" w:sz="4" w:space="0" w:color="000000"/>
              <w:left w:val="single" w:sz="4" w:space="0" w:color="000000"/>
              <w:bottom w:val="single" w:sz="4" w:space="0" w:color="000000"/>
              <w:right w:val="single" w:sz="4" w:space="0" w:color="000000"/>
            </w:tcBorders>
          </w:tcPr>
          <w:p>
            <w:pPr>
              <w:pStyle w:val="TableParagraph"/>
              <w:spacing w:before="8"/>
              <w:ind w:right="397"/>
              <w:jc w:val="right"/>
              <w:rPr>
                <w:sz w:val="18"/>
              </w:rPr>
            </w:pPr>
            <w:r>
              <w:rPr>
                <w:sz w:val="18"/>
              </w:rPr>
              <w:t>49.64%</w:t>
            </w:r>
          </w:p>
        </w:tc>
        <w:tc>
          <w:tcPr>
            <w:tcW w:w="1601" w:type="dxa"/>
            <w:vMerge/>
            <w:tcBorders>
              <w:left w:val="single" w:sz="4" w:space="0" w:color="000000"/>
            </w:tcBorders>
          </w:tcPr>
          <w:p>
            <w:pPr/>
          </w:p>
        </w:tc>
      </w:tr>
      <w:tr>
        <w:trPr>
          <w:trHeight w:val="331" w:hRule="exact"/>
        </w:trPr>
        <w:tc>
          <w:tcPr>
            <w:tcW w:w="1380" w:type="dxa"/>
            <w:vMerge/>
            <w:tcBorders>
              <w:right w:val="single" w:sz="4" w:space="0" w:color="000000"/>
            </w:tcBorders>
          </w:tcPr>
          <w:p>
            <w:pP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before="6"/>
              <w:ind w:right="2"/>
              <w:rPr>
                <w:sz w:val="18"/>
              </w:rPr>
            </w:pPr>
            <w:r>
              <w:rPr>
                <w:w w:val="99"/>
                <w:sz w:val="18"/>
              </w:rPr>
              <w:t>1</w:t>
            </w:r>
          </w:p>
        </w:tc>
        <w:tc>
          <w:tcPr>
            <w:tcW w:w="2381" w:type="dxa"/>
            <w:tcBorders>
              <w:top w:val="single" w:sz="4" w:space="0" w:color="000000"/>
              <w:left w:val="single" w:sz="4" w:space="0" w:color="000000"/>
              <w:bottom w:val="single" w:sz="4" w:space="0" w:color="000000"/>
              <w:right w:val="single" w:sz="4" w:space="0" w:color="000000"/>
            </w:tcBorders>
          </w:tcPr>
          <w:p>
            <w:pPr>
              <w:pStyle w:val="TableParagraph"/>
              <w:spacing w:before="6"/>
              <w:ind w:left="64" w:right="627"/>
              <w:jc w:val="left"/>
              <w:rPr>
                <w:sz w:val="18"/>
              </w:rPr>
            </w:pPr>
            <w:r>
              <w:rPr>
                <w:color w:val="181818"/>
                <w:sz w:val="18"/>
              </w:rPr>
              <w:t>San Antonio la Isla</w:t>
            </w:r>
          </w:p>
        </w:tc>
        <w:tc>
          <w:tcPr>
            <w:tcW w:w="1418" w:type="dxa"/>
            <w:tcBorders>
              <w:top w:val="single" w:sz="4" w:space="0" w:color="000000"/>
              <w:left w:val="single" w:sz="4" w:space="0" w:color="000000"/>
              <w:bottom w:val="single" w:sz="4" w:space="0" w:color="000000"/>
              <w:right w:val="single" w:sz="4" w:space="0" w:color="000000"/>
            </w:tcBorders>
          </w:tcPr>
          <w:p>
            <w:pPr/>
          </w:p>
        </w:tc>
        <w:tc>
          <w:tcPr>
            <w:tcW w:w="1601" w:type="dxa"/>
            <w:vMerge/>
            <w:tcBorders>
              <w:left w:val="single" w:sz="4" w:space="0" w:color="000000"/>
            </w:tcBorders>
          </w:tcPr>
          <w:p>
            <w:pPr/>
          </w:p>
        </w:tc>
      </w:tr>
      <w:tr>
        <w:trPr>
          <w:trHeight w:val="329" w:hRule="exact"/>
        </w:trPr>
        <w:tc>
          <w:tcPr>
            <w:tcW w:w="1380" w:type="dxa"/>
            <w:vMerge/>
            <w:tcBorders>
              <w:right w:val="single" w:sz="4" w:space="0" w:color="000000"/>
            </w:tcBorders>
          </w:tcPr>
          <w:p>
            <w:pP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before="6"/>
              <w:ind w:right="2"/>
              <w:rPr>
                <w:sz w:val="18"/>
              </w:rPr>
            </w:pPr>
            <w:r>
              <w:rPr>
                <w:w w:val="99"/>
                <w:sz w:val="18"/>
              </w:rPr>
              <w:t>1</w:t>
            </w:r>
          </w:p>
        </w:tc>
        <w:tc>
          <w:tcPr>
            <w:tcW w:w="2381" w:type="dxa"/>
            <w:tcBorders>
              <w:top w:val="single" w:sz="4" w:space="0" w:color="000000"/>
              <w:left w:val="single" w:sz="4" w:space="0" w:color="000000"/>
              <w:bottom w:val="single" w:sz="4" w:space="0" w:color="000000"/>
              <w:right w:val="single" w:sz="4" w:space="0" w:color="000000"/>
            </w:tcBorders>
          </w:tcPr>
          <w:p>
            <w:pPr>
              <w:pStyle w:val="TableParagraph"/>
              <w:spacing w:before="6"/>
              <w:ind w:left="64" w:right="627"/>
              <w:jc w:val="left"/>
              <w:rPr>
                <w:sz w:val="18"/>
              </w:rPr>
            </w:pPr>
            <w:r>
              <w:rPr>
                <w:color w:val="181818"/>
                <w:sz w:val="18"/>
              </w:rPr>
              <w:t>Temascalapa</w:t>
            </w:r>
          </w:p>
        </w:tc>
        <w:tc>
          <w:tcPr>
            <w:tcW w:w="1418" w:type="dxa"/>
            <w:tcBorders>
              <w:top w:val="single" w:sz="4" w:space="0" w:color="000000"/>
              <w:left w:val="single" w:sz="4" w:space="0" w:color="000000"/>
              <w:bottom w:val="single" w:sz="4" w:space="0" w:color="000000"/>
              <w:right w:val="single" w:sz="4" w:space="0" w:color="000000"/>
            </w:tcBorders>
          </w:tcPr>
          <w:p>
            <w:pPr/>
          </w:p>
        </w:tc>
        <w:tc>
          <w:tcPr>
            <w:tcW w:w="1601" w:type="dxa"/>
            <w:vMerge/>
            <w:tcBorders>
              <w:left w:val="single" w:sz="4" w:space="0" w:color="000000"/>
            </w:tcBorders>
          </w:tcPr>
          <w:p>
            <w:pPr/>
          </w:p>
        </w:tc>
      </w:tr>
      <w:tr>
        <w:trPr>
          <w:trHeight w:val="341" w:hRule="exact"/>
        </w:trPr>
        <w:tc>
          <w:tcPr>
            <w:tcW w:w="1380" w:type="dxa"/>
            <w:vMerge/>
            <w:tcBorders>
              <w:right w:val="single" w:sz="4" w:space="0" w:color="000000"/>
            </w:tcBorders>
          </w:tcPr>
          <w:p>
            <w:pPr/>
          </w:p>
        </w:tc>
        <w:tc>
          <w:tcPr>
            <w:tcW w:w="821" w:type="dxa"/>
            <w:tcBorders>
              <w:top w:val="single" w:sz="4" w:space="0" w:color="000000"/>
              <w:left w:val="single" w:sz="4" w:space="0" w:color="000000"/>
              <w:right w:val="single" w:sz="4" w:space="0" w:color="000000"/>
            </w:tcBorders>
          </w:tcPr>
          <w:p>
            <w:pPr>
              <w:pStyle w:val="TableParagraph"/>
              <w:spacing w:before="10"/>
              <w:ind w:right="2"/>
              <w:rPr>
                <w:sz w:val="18"/>
              </w:rPr>
            </w:pPr>
            <w:r>
              <w:rPr>
                <w:w w:val="99"/>
                <w:sz w:val="18"/>
              </w:rPr>
              <w:t>1</w:t>
            </w:r>
          </w:p>
        </w:tc>
        <w:tc>
          <w:tcPr>
            <w:tcW w:w="2381" w:type="dxa"/>
            <w:tcBorders>
              <w:top w:val="single" w:sz="4" w:space="0" w:color="000000"/>
              <w:left w:val="single" w:sz="4" w:space="0" w:color="000000"/>
              <w:right w:val="single" w:sz="4" w:space="0" w:color="000000"/>
            </w:tcBorders>
          </w:tcPr>
          <w:p>
            <w:pPr>
              <w:pStyle w:val="TableParagraph"/>
              <w:spacing w:before="13"/>
              <w:ind w:left="64" w:right="627"/>
              <w:jc w:val="left"/>
              <w:rPr>
                <w:sz w:val="18"/>
              </w:rPr>
            </w:pPr>
            <w:r>
              <w:rPr>
                <w:color w:val="181818"/>
                <w:sz w:val="18"/>
              </w:rPr>
              <w:t>Tenango del Aire</w:t>
            </w:r>
          </w:p>
        </w:tc>
        <w:tc>
          <w:tcPr>
            <w:tcW w:w="1418" w:type="dxa"/>
            <w:tcBorders>
              <w:top w:val="single" w:sz="4" w:space="0" w:color="000000"/>
              <w:left w:val="single" w:sz="4" w:space="0" w:color="000000"/>
              <w:right w:val="single" w:sz="4" w:space="0" w:color="000000"/>
            </w:tcBorders>
          </w:tcPr>
          <w:p>
            <w:pPr/>
          </w:p>
        </w:tc>
        <w:tc>
          <w:tcPr>
            <w:tcW w:w="1601" w:type="dxa"/>
            <w:vMerge/>
            <w:tcBorders>
              <w:left w:val="single" w:sz="4" w:space="0" w:color="000000"/>
            </w:tcBorders>
          </w:tcPr>
          <w:p>
            <w:pPr/>
          </w:p>
        </w:tc>
      </w:tr>
      <w:tr>
        <w:trPr>
          <w:trHeight w:val="326" w:hRule="exact"/>
        </w:trPr>
        <w:tc>
          <w:tcPr>
            <w:tcW w:w="1380" w:type="dxa"/>
            <w:vMerge w:val="restart"/>
            <w:tcBorders>
              <w:right w:val="single" w:sz="4" w:space="0" w:color="000000"/>
            </w:tcBorders>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10"/>
              <w:jc w:val="left"/>
              <w:rPr>
                <w:sz w:val="24"/>
              </w:rPr>
            </w:pPr>
          </w:p>
          <w:p>
            <w:pPr>
              <w:pStyle w:val="TableParagraph"/>
              <w:ind w:left="350"/>
              <w:jc w:val="left"/>
              <w:rPr>
                <w:sz w:val="18"/>
              </w:rPr>
            </w:pPr>
            <w:r>
              <w:rPr>
                <w:sz w:val="18"/>
              </w:rPr>
              <w:t>PAN-PT</w:t>
            </w:r>
          </w:p>
        </w:tc>
        <w:tc>
          <w:tcPr>
            <w:tcW w:w="821" w:type="dxa"/>
            <w:tcBorders>
              <w:left w:val="single" w:sz="4" w:space="0" w:color="000000"/>
              <w:bottom w:val="single" w:sz="4" w:space="0" w:color="000000"/>
              <w:right w:val="single" w:sz="4" w:space="0" w:color="000000"/>
            </w:tcBorders>
          </w:tcPr>
          <w:p>
            <w:pPr>
              <w:pStyle w:val="TableParagraph"/>
              <w:spacing w:line="203" w:lineRule="exact"/>
              <w:ind w:right="2"/>
              <w:rPr>
                <w:sz w:val="18"/>
              </w:rPr>
            </w:pPr>
            <w:r>
              <w:rPr>
                <w:w w:val="99"/>
                <w:sz w:val="18"/>
              </w:rPr>
              <w:t>2</w:t>
            </w:r>
          </w:p>
        </w:tc>
        <w:tc>
          <w:tcPr>
            <w:tcW w:w="2381" w:type="dxa"/>
            <w:tcBorders>
              <w:left w:val="single" w:sz="4" w:space="0" w:color="000000"/>
              <w:bottom w:val="single" w:sz="4" w:space="0" w:color="000000"/>
              <w:right w:val="single" w:sz="4" w:space="0" w:color="000000"/>
            </w:tcBorders>
          </w:tcPr>
          <w:p>
            <w:pPr>
              <w:pStyle w:val="TableParagraph"/>
              <w:spacing w:line="203" w:lineRule="exact"/>
              <w:ind w:left="64" w:right="159"/>
              <w:jc w:val="left"/>
              <w:rPr>
                <w:sz w:val="18"/>
              </w:rPr>
            </w:pPr>
            <w:r>
              <w:rPr>
                <w:color w:val="181818"/>
                <w:sz w:val="18"/>
              </w:rPr>
              <w:t>Atizapán de Zaragoza</w:t>
            </w:r>
          </w:p>
        </w:tc>
        <w:tc>
          <w:tcPr>
            <w:tcW w:w="1418" w:type="dxa"/>
            <w:tcBorders>
              <w:left w:val="single" w:sz="4" w:space="0" w:color="000000"/>
              <w:bottom w:val="single" w:sz="4" w:space="0" w:color="000000"/>
              <w:right w:val="single" w:sz="4" w:space="0" w:color="000000"/>
            </w:tcBorders>
          </w:tcPr>
          <w:p>
            <w:pPr/>
          </w:p>
        </w:tc>
        <w:tc>
          <w:tcPr>
            <w:tcW w:w="1601" w:type="dxa"/>
            <w:vMerge w:val="restart"/>
            <w:tcBorders>
              <w:left w:val="single" w:sz="4" w:space="0" w:color="000000"/>
            </w:tcBorders>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10"/>
              <w:jc w:val="left"/>
              <w:rPr>
                <w:sz w:val="24"/>
              </w:rPr>
            </w:pPr>
          </w:p>
          <w:p>
            <w:pPr>
              <w:pStyle w:val="TableParagraph"/>
              <w:ind w:left="489"/>
              <w:jc w:val="left"/>
              <w:rPr>
                <w:sz w:val="18"/>
              </w:rPr>
            </w:pPr>
            <w:r>
              <w:rPr>
                <w:sz w:val="18"/>
              </w:rPr>
              <w:t>50.86%</w:t>
            </w:r>
          </w:p>
        </w:tc>
      </w:tr>
      <w:tr>
        <w:trPr>
          <w:trHeight w:val="329" w:hRule="exact"/>
        </w:trPr>
        <w:tc>
          <w:tcPr>
            <w:tcW w:w="1380" w:type="dxa"/>
            <w:vMerge/>
            <w:tcBorders>
              <w:right w:val="single" w:sz="4" w:space="0" w:color="000000"/>
            </w:tcBorders>
          </w:tcPr>
          <w:p>
            <w:pP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before="6"/>
              <w:ind w:right="2"/>
              <w:rPr>
                <w:sz w:val="18"/>
              </w:rPr>
            </w:pPr>
            <w:r>
              <w:rPr>
                <w:w w:val="99"/>
                <w:sz w:val="18"/>
              </w:rPr>
              <w:t>2</w:t>
            </w:r>
          </w:p>
        </w:tc>
        <w:tc>
          <w:tcPr>
            <w:tcW w:w="2381" w:type="dxa"/>
            <w:tcBorders>
              <w:top w:val="single" w:sz="4" w:space="0" w:color="000000"/>
              <w:left w:val="single" w:sz="4" w:space="0" w:color="000000"/>
              <w:bottom w:val="single" w:sz="4" w:space="0" w:color="000000"/>
              <w:right w:val="single" w:sz="4" w:space="0" w:color="000000"/>
            </w:tcBorders>
          </w:tcPr>
          <w:p>
            <w:pPr>
              <w:pStyle w:val="TableParagraph"/>
              <w:spacing w:before="1"/>
              <w:ind w:left="64" w:right="627"/>
              <w:jc w:val="left"/>
              <w:rPr>
                <w:b/>
                <w:sz w:val="18"/>
              </w:rPr>
            </w:pPr>
            <w:r>
              <w:rPr>
                <w:b/>
                <w:color w:val="181818"/>
                <w:sz w:val="18"/>
              </w:rPr>
              <w:t>Chapa de Mota</w:t>
            </w:r>
          </w:p>
        </w:tc>
        <w:tc>
          <w:tcPr>
            <w:tcW w:w="1418" w:type="dxa"/>
            <w:tcBorders>
              <w:top w:val="single" w:sz="4" w:space="0" w:color="000000"/>
              <w:left w:val="single" w:sz="4" w:space="0" w:color="000000"/>
              <w:bottom w:val="single" w:sz="4" w:space="0" w:color="000000"/>
              <w:right w:val="single" w:sz="4" w:space="0" w:color="000000"/>
            </w:tcBorders>
          </w:tcPr>
          <w:p>
            <w:pPr>
              <w:pStyle w:val="TableParagraph"/>
              <w:spacing w:before="6"/>
              <w:ind w:right="397"/>
              <w:jc w:val="right"/>
              <w:rPr>
                <w:sz w:val="18"/>
              </w:rPr>
            </w:pPr>
            <w:r>
              <w:rPr>
                <w:sz w:val="18"/>
              </w:rPr>
              <w:t>34.51%</w:t>
            </w:r>
          </w:p>
        </w:tc>
        <w:tc>
          <w:tcPr>
            <w:tcW w:w="1601" w:type="dxa"/>
            <w:vMerge/>
            <w:tcBorders>
              <w:left w:val="single" w:sz="4" w:space="0" w:color="000000"/>
            </w:tcBorders>
          </w:tcPr>
          <w:p>
            <w:pPr/>
          </w:p>
        </w:tc>
      </w:tr>
      <w:tr>
        <w:trPr>
          <w:trHeight w:val="331" w:hRule="exact"/>
        </w:trPr>
        <w:tc>
          <w:tcPr>
            <w:tcW w:w="1380" w:type="dxa"/>
            <w:vMerge/>
            <w:tcBorders>
              <w:right w:val="single" w:sz="4" w:space="0" w:color="000000"/>
            </w:tcBorders>
          </w:tcPr>
          <w:p>
            <w:pP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before="8"/>
              <w:ind w:right="2"/>
              <w:rPr>
                <w:sz w:val="18"/>
              </w:rPr>
            </w:pPr>
            <w:r>
              <w:rPr>
                <w:w w:val="99"/>
                <w:sz w:val="18"/>
              </w:rPr>
              <w:t>1</w:t>
            </w:r>
          </w:p>
        </w:tc>
        <w:tc>
          <w:tcPr>
            <w:tcW w:w="2381" w:type="dxa"/>
            <w:tcBorders>
              <w:top w:val="single" w:sz="4" w:space="0" w:color="000000"/>
              <w:left w:val="single" w:sz="4" w:space="0" w:color="000000"/>
              <w:bottom w:val="single" w:sz="4" w:space="0" w:color="000000"/>
              <w:right w:val="single" w:sz="4" w:space="0" w:color="000000"/>
            </w:tcBorders>
          </w:tcPr>
          <w:p>
            <w:pPr>
              <w:pStyle w:val="TableParagraph"/>
              <w:spacing w:before="8"/>
              <w:ind w:left="64" w:right="627"/>
              <w:jc w:val="left"/>
              <w:rPr>
                <w:sz w:val="18"/>
              </w:rPr>
            </w:pPr>
            <w:r>
              <w:rPr>
                <w:color w:val="181818"/>
                <w:sz w:val="18"/>
              </w:rPr>
              <w:t>Chapultepec</w:t>
            </w:r>
          </w:p>
        </w:tc>
        <w:tc>
          <w:tcPr>
            <w:tcW w:w="1418" w:type="dxa"/>
            <w:tcBorders>
              <w:top w:val="single" w:sz="4" w:space="0" w:color="000000"/>
              <w:left w:val="single" w:sz="4" w:space="0" w:color="000000"/>
              <w:bottom w:val="single" w:sz="4" w:space="0" w:color="000000"/>
              <w:right w:val="single" w:sz="4" w:space="0" w:color="000000"/>
            </w:tcBorders>
          </w:tcPr>
          <w:p>
            <w:pPr/>
          </w:p>
        </w:tc>
        <w:tc>
          <w:tcPr>
            <w:tcW w:w="1601" w:type="dxa"/>
            <w:vMerge/>
            <w:tcBorders>
              <w:left w:val="single" w:sz="4" w:space="0" w:color="000000"/>
            </w:tcBorders>
          </w:tcPr>
          <w:p>
            <w:pPr/>
          </w:p>
        </w:tc>
      </w:tr>
      <w:tr>
        <w:trPr>
          <w:trHeight w:val="331" w:hRule="exact"/>
        </w:trPr>
        <w:tc>
          <w:tcPr>
            <w:tcW w:w="1380" w:type="dxa"/>
            <w:vMerge/>
            <w:tcBorders>
              <w:right w:val="single" w:sz="4" w:space="0" w:color="000000"/>
            </w:tcBorders>
          </w:tcPr>
          <w:p>
            <w:pP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before="8"/>
              <w:ind w:right="2"/>
              <w:rPr>
                <w:sz w:val="18"/>
              </w:rPr>
            </w:pPr>
            <w:r>
              <w:rPr>
                <w:w w:val="99"/>
                <w:sz w:val="18"/>
              </w:rPr>
              <w:t>1</w:t>
            </w:r>
          </w:p>
        </w:tc>
        <w:tc>
          <w:tcPr>
            <w:tcW w:w="2381" w:type="dxa"/>
            <w:tcBorders>
              <w:top w:val="single" w:sz="4" w:space="0" w:color="000000"/>
              <w:left w:val="single" w:sz="4" w:space="0" w:color="000000"/>
              <w:bottom w:val="single" w:sz="4" w:space="0" w:color="000000"/>
              <w:right w:val="single" w:sz="4" w:space="0" w:color="000000"/>
            </w:tcBorders>
          </w:tcPr>
          <w:p>
            <w:pPr>
              <w:pStyle w:val="TableParagraph"/>
              <w:spacing w:before="3"/>
              <w:ind w:left="64" w:right="627"/>
              <w:jc w:val="left"/>
              <w:rPr>
                <w:b/>
                <w:sz w:val="18"/>
              </w:rPr>
            </w:pPr>
            <w:r>
              <w:rPr>
                <w:b/>
                <w:color w:val="181818"/>
                <w:sz w:val="18"/>
              </w:rPr>
              <w:t>Xalatlaco</w:t>
            </w:r>
          </w:p>
        </w:tc>
        <w:tc>
          <w:tcPr>
            <w:tcW w:w="1418" w:type="dxa"/>
            <w:tcBorders>
              <w:top w:val="single" w:sz="4" w:space="0" w:color="000000"/>
              <w:left w:val="single" w:sz="4" w:space="0" w:color="000000"/>
              <w:bottom w:val="single" w:sz="4" w:space="0" w:color="000000"/>
              <w:right w:val="single" w:sz="4" w:space="0" w:color="000000"/>
            </w:tcBorders>
          </w:tcPr>
          <w:p>
            <w:pPr>
              <w:pStyle w:val="TableParagraph"/>
              <w:spacing w:before="8"/>
              <w:ind w:right="397"/>
              <w:jc w:val="right"/>
              <w:rPr>
                <w:sz w:val="18"/>
              </w:rPr>
            </w:pPr>
            <w:r>
              <w:rPr>
                <w:sz w:val="18"/>
              </w:rPr>
              <w:t>26.83%</w:t>
            </w:r>
          </w:p>
        </w:tc>
        <w:tc>
          <w:tcPr>
            <w:tcW w:w="1601" w:type="dxa"/>
            <w:vMerge/>
            <w:tcBorders>
              <w:left w:val="single" w:sz="4" w:space="0" w:color="000000"/>
            </w:tcBorders>
          </w:tcPr>
          <w:p>
            <w:pPr/>
          </w:p>
        </w:tc>
      </w:tr>
      <w:tr>
        <w:trPr>
          <w:trHeight w:val="331" w:hRule="exact"/>
        </w:trPr>
        <w:tc>
          <w:tcPr>
            <w:tcW w:w="1380" w:type="dxa"/>
            <w:vMerge/>
            <w:tcBorders>
              <w:right w:val="single" w:sz="4" w:space="0" w:color="000000"/>
            </w:tcBorders>
          </w:tcPr>
          <w:p>
            <w:pP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before="6"/>
              <w:ind w:right="2"/>
              <w:rPr>
                <w:sz w:val="18"/>
              </w:rPr>
            </w:pPr>
            <w:r>
              <w:rPr>
                <w:w w:val="99"/>
                <w:sz w:val="18"/>
              </w:rPr>
              <w:t>2</w:t>
            </w:r>
          </w:p>
        </w:tc>
        <w:tc>
          <w:tcPr>
            <w:tcW w:w="2381" w:type="dxa"/>
            <w:tcBorders>
              <w:top w:val="single" w:sz="4" w:space="0" w:color="000000"/>
              <w:left w:val="single" w:sz="4" w:space="0" w:color="000000"/>
              <w:bottom w:val="single" w:sz="4" w:space="0" w:color="000000"/>
              <w:right w:val="single" w:sz="4" w:space="0" w:color="000000"/>
            </w:tcBorders>
          </w:tcPr>
          <w:p>
            <w:pPr>
              <w:pStyle w:val="TableParagraph"/>
              <w:spacing w:before="6"/>
              <w:ind w:left="64" w:right="627"/>
              <w:jc w:val="left"/>
              <w:rPr>
                <w:sz w:val="18"/>
              </w:rPr>
            </w:pPr>
            <w:r>
              <w:rPr>
                <w:color w:val="181818"/>
                <w:sz w:val="18"/>
              </w:rPr>
              <w:t>Melchor Ocampo</w:t>
            </w:r>
          </w:p>
        </w:tc>
        <w:tc>
          <w:tcPr>
            <w:tcW w:w="1418" w:type="dxa"/>
            <w:tcBorders>
              <w:top w:val="single" w:sz="4" w:space="0" w:color="000000"/>
              <w:left w:val="single" w:sz="4" w:space="0" w:color="000000"/>
              <w:bottom w:val="single" w:sz="4" w:space="0" w:color="000000"/>
              <w:right w:val="single" w:sz="4" w:space="0" w:color="000000"/>
            </w:tcBorders>
          </w:tcPr>
          <w:p>
            <w:pPr/>
          </w:p>
        </w:tc>
        <w:tc>
          <w:tcPr>
            <w:tcW w:w="1601" w:type="dxa"/>
            <w:vMerge/>
            <w:tcBorders>
              <w:left w:val="single" w:sz="4" w:space="0" w:color="000000"/>
            </w:tcBorders>
          </w:tcPr>
          <w:p>
            <w:pPr/>
          </w:p>
        </w:tc>
      </w:tr>
      <w:tr>
        <w:trPr>
          <w:trHeight w:val="329" w:hRule="exact"/>
        </w:trPr>
        <w:tc>
          <w:tcPr>
            <w:tcW w:w="1380" w:type="dxa"/>
            <w:vMerge/>
            <w:tcBorders>
              <w:right w:val="single" w:sz="4" w:space="0" w:color="000000"/>
            </w:tcBorders>
          </w:tcPr>
          <w:p>
            <w:pP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before="6"/>
              <w:ind w:right="2"/>
              <w:rPr>
                <w:sz w:val="18"/>
              </w:rPr>
            </w:pPr>
            <w:r>
              <w:rPr>
                <w:w w:val="99"/>
                <w:sz w:val="18"/>
              </w:rPr>
              <w:t>1</w:t>
            </w:r>
          </w:p>
        </w:tc>
        <w:tc>
          <w:tcPr>
            <w:tcW w:w="2381" w:type="dxa"/>
            <w:tcBorders>
              <w:top w:val="single" w:sz="4" w:space="0" w:color="000000"/>
              <w:left w:val="single" w:sz="4" w:space="0" w:color="000000"/>
              <w:bottom w:val="single" w:sz="4" w:space="0" w:color="000000"/>
              <w:right w:val="single" w:sz="4" w:space="0" w:color="000000"/>
            </w:tcBorders>
          </w:tcPr>
          <w:p>
            <w:pPr>
              <w:pStyle w:val="TableParagraph"/>
              <w:spacing w:before="6"/>
              <w:ind w:left="64" w:right="627"/>
              <w:jc w:val="left"/>
              <w:rPr>
                <w:sz w:val="18"/>
              </w:rPr>
            </w:pPr>
            <w:r>
              <w:rPr>
                <w:color w:val="181818"/>
                <w:sz w:val="18"/>
              </w:rPr>
              <w:t>Ozumba</w:t>
            </w:r>
          </w:p>
        </w:tc>
        <w:tc>
          <w:tcPr>
            <w:tcW w:w="1418" w:type="dxa"/>
            <w:tcBorders>
              <w:top w:val="single" w:sz="4" w:space="0" w:color="000000"/>
              <w:left w:val="single" w:sz="4" w:space="0" w:color="000000"/>
              <w:bottom w:val="single" w:sz="4" w:space="0" w:color="000000"/>
              <w:right w:val="single" w:sz="4" w:space="0" w:color="000000"/>
            </w:tcBorders>
          </w:tcPr>
          <w:p>
            <w:pPr/>
          </w:p>
        </w:tc>
        <w:tc>
          <w:tcPr>
            <w:tcW w:w="1601" w:type="dxa"/>
            <w:vMerge/>
            <w:tcBorders>
              <w:left w:val="single" w:sz="4" w:space="0" w:color="000000"/>
            </w:tcBorders>
          </w:tcPr>
          <w:p>
            <w:pPr/>
          </w:p>
        </w:tc>
      </w:tr>
      <w:tr>
        <w:trPr>
          <w:trHeight w:val="331" w:hRule="exact"/>
        </w:trPr>
        <w:tc>
          <w:tcPr>
            <w:tcW w:w="1380" w:type="dxa"/>
            <w:vMerge/>
            <w:tcBorders>
              <w:right w:val="single" w:sz="4" w:space="0" w:color="000000"/>
            </w:tcBorders>
          </w:tcPr>
          <w:p>
            <w:pP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before="8"/>
              <w:ind w:right="2"/>
              <w:rPr>
                <w:sz w:val="18"/>
              </w:rPr>
            </w:pPr>
            <w:r>
              <w:rPr>
                <w:w w:val="99"/>
                <w:sz w:val="18"/>
              </w:rPr>
              <w:t>1</w:t>
            </w:r>
          </w:p>
        </w:tc>
        <w:tc>
          <w:tcPr>
            <w:tcW w:w="2381" w:type="dxa"/>
            <w:tcBorders>
              <w:top w:val="single" w:sz="4" w:space="0" w:color="000000"/>
              <w:left w:val="single" w:sz="4" w:space="0" w:color="000000"/>
              <w:bottom w:val="single" w:sz="4" w:space="0" w:color="000000"/>
              <w:right w:val="single" w:sz="4" w:space="0" w:color="000000"/>
            </w:tcBorders>
          </w:tcPr>
          <w:p>
            <w:pPr>
              <w:pStyle w:val="TableParagraph"/>
              <w:spacing w:before="8"/>
              <w:ind w:left="64" w:right="159"/>
              <w:jc w:val="left"/>
              <w:rPr>
                <w:sz w:val="18"/>
              </w:rPr>
            </w:pPr>
            <w:r>
              <w:rPr>
                <w:color w:val="181818"/>
                <w:sz w:val="18"/>
              </w:rPr>
              <w:t>Soyaniquilpan de Juárez</w:t>
            </w:r>
          </w:p>
        </w:tc>
        <w:tc>
          <w:tcPr>
            <w:tcW w:w="1418" w:type="dxa"/>
            <w:tcBorders>
              <w:top w:val="single" w:sz="4" w:space="0" w:color="000000"/>
              <w:left w:val="single" w:sz="4" w:space="0" w:color="000000"/>
              <w:bottom w:val="single" w:sz="4" w:space="0" w:color="000000"/>
              <w:right w:val="single" w:sz="4" w:space="0" w:color="000000"/>
            </w:tcBorders>
          </w:tcPr>
          <w:p>
            <w:pPr/>
          </w:p>
        </w:tc>
        <w:tc>
          <w:tcPr>
            <w:tcW w:w="1601" w:type="dxa"/>
            <w:vMerge/>
            <w:tcBorders>
              <w:left w:val="single" w:sz="4" w:space="0" w:color="000000"/>
            </w:tcBorders>
          </w:tcPr>
          <w:p>
            <w:pPr/>
          </w:p>
        </w:tc>
      </w:tr>
      <w:tr>
        <w:trPr>
          <w:trHeight w:val="331" w:hRule="exact"/>
        </w:trPr>
        <w:tc>
          <w:tcPr>
            <w:tcW w:w="1380" w:type="dxa"/>
            <w:vMerge/>
            <w:tcBorders>
              <w:right w:val="single" w:sz="4" w:space="0" w:color="000000"/>
            </w:tcBorders>
          </w:tcPr>
          <w:p>
            <w:pP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before="6"/>
              <w:ind w:right="2"/>
              <w:rPr>
                <w:sz w:val="18"/>
              </w:rPr>
            </w:pPr>
            <w:r>
              <w:rPr>
                <w:w w:val="99"/>
                <w:sz w:val="18"/>
              </w:rPr>
              <w:t>1</w:t>
            </w:r>
          </w:p>
        </w:tc>
        <w:tc>
          <w:tcPr>
            <w:tcW w:w="2381" w:type="dxa"/>
            <w:tcBorders>
              <w:top w:val="single" w:sz="4" w:space="0" w:color="000000"/>
              <w:left w:val="single" w:sz="4" w:space="0" w:color="000000"/>
              <w:bottom w:val="single" w:sz="4" w:space="0" w:color="000000"/>
              <w:right w:val="single" w:sz="4" w:space="0" w:color="000000"/>
            </w:tcBorders>
          </w:tcPr>
          <w:p>
            <w:pPr>
              <w:pStyle w:val="TableParagraph"/>
              <w:spacing w:before="1"/>
              <w:ind w:left="64" w:right="627"/>
              <w:jc w:val="left"/>
              <w:rPr>
                <w:b/>
                <w:sz w:val="18"/>
              </w:rPr>
            </w:pPr>
            <w:r>
              <w:rPr>
                <w:b/>
                <w:color w:val="181818"/>
                <w:sz w:val="18"/>
              </w:rPr>
              <w:t>Tianguistenco</w:t>
            </w:r>
          </w:p>
        </w:tc>
        <w:tc>
          <w:tcPr>
            <w:tcW w:w="1418" w:type="dxa"/>
            <w:tcBorders>
              <w:top w:val="single" w:sz="4" w:space="0" w:color="000000"/>
              <w:left w:val="single" w:sz="4" w:space="0" w:color="000000"/>
              <w:bottom w:val="single" w:sz="4" w:space="0" w:color="000000"/>
              <w:right w:val="single" w:sz="4" w:space="0" w:color="000000"/>
            </w:tcBorders>
          </w:tcPr>
          <w:p>
            <w:pPr>
              <w:pStyle w:val="TableParagraph"/>
              <w:spacing w:before="6"/>
              <w:ind w:right="397"/>
              <w:jc w:val="right"/>
              <w:rPr>
                <w:sz w:val="18"/>
              </w:rPr>
            </w:pPr>
            <w:r>
              <w:rPr>
                <w:sz w:val="18"/>
              </w:rPr>
              <w:t>60.23%</w:t>
            </w:r>
          </w:p>
        </w:tc>
        <w:tc>
          <w:tcPr>
            <w:tcW w:w="1601" w:type="dxa"/>
            <w:vMerge/>
            <w:tcBorders>
              <w:left w:val="single" w:sz="4" w:space="0" w:color="000000"/>
            </w:tcBorders>
          </w:tcPr>
          <w:p>
            <w:pPr/>
          </w:p>
        </w:tc>
      </w:tr>
      <w:tr>
        <w:trPr>
          <w:trHeight w:val="338" w:hRule="exact"/>
        </w:trPr>
        <w:tc>
          <w:tcPr>
            <w:tcW w:w="1380" w:type="dxa"/>
            <w:vMerge/>
            <w:tcBorders>
              <w:right w:val="single" w:sz="4" w:space="0" w:color="000000"/>
            </w:tcBorders>
          </w:tcPr>
          <w:p>
            <w:pPr/>
          </w:p>
        </w:tc>
        <w:tc>
          <w:tcPr>
            <w:tcW w:w="821" w:type="dxa"/>
            <w:tcBorders>
              <w:top w:val="single" w:sz="4" w:space="0" w:color="000000"/>
              <w:left w:val="single" w:sz="4" w:space="0" w:color="000000"/>
              <w:right w:val="single" w:sz="4" w:space="0" w:color="000000"/>
            </w:tcBorders>
          </w:tcPr>
          <w:p>
            <w:pPr>
              <w:pStyle w:val="TableParagraph"/>
              <w:spacing w:before="8"/>
              <w:ind w:right="2"/>
              <w:rPr>
                <w:sz w:val="18"/>
              </w:rPr>
            </w:pPr>
            <w:r>
              <w:rPr>
                <w:w w:val="99"/>
                <w:sz w:val="18"/>
              </w:rPr>
              <w:t>1</w:t>
            </w:r>
          </w:p>
        </w:tc>
        <w:tc>
          <w:tcPr>
            <w:tcW w:w="2381" w:type="dxa"/>
            <w:tcBorders>
              <w:top w:val="single" w:sz="4" w:space="0" w:color="000000"/>
              <w:left w:val="single" w:sz="4" w:space="0" w:color="000000"/>
              <w:right w:val="single" w:sz="4" w:space="0" w:color="000000"/>
            </w:tcBorders>
          </w:tcPr>
          <w:p>
            <w:pPr>
              <w:pStyle w:val="TableParagraph"/>
              <w:spacing w:before="3"/>
              <w:ind w:left="64" w:right="627"/>
              <w:jc w:val="left"/>
              <w:rPr>
                <w:b/>
                <w:sz w:val="18"/>
              </w:rPr>
            </w:pPr>
            <w:r>
              <w:rPr>
                <w:b/>
                <w:color w:val="181818"/>
                <w:sz w:val="18"/>
              </w:rPr>
              <w:t>Xonacatlán</w:t>
            </w:r>
          </w:p>
        </w:tc>
        <w:tc>
          <w:tcPr>
            <w:tcW w:w="1418" w:type="dxa"/>
            <w:tcBorders>
              <w:top w:val="single" w:sz="4" w:space="0" w:color="000000"/>
              <w:left w:val="single" w:sz="4" w:space="0" w:color="000000"/>
              <w:right w:val="single" w:sz="4" w:space="0" w:color="000000"/>
            </w:tcBorders>
          </w:tcPr>
          <w:p>
            <w:pPr>
              <w:pStyle w:val="TableParagraph"/>
              <w:spacing w:before="8"/>
              <w:ind w:right="397"/>
              <w:jc w:val="right"/>
              <w:rPr>
                <w:sz w:val="18"/>
              </w:rPr>
            </w:pPr>
            <w:r>
              <w:rPr>
                <w:sz w:val="18"/>
              </w:rPr>
              <w:t>81.85%</w:t>
            </w:r>
          </w:p>
        </w:tc>
        <w:tc>
          <w:tcPr>
            <w:tcW w:w="1601" w:type="dxa"/>
            <w:vMerge/>
            <w:tcBorders>
              <w:left w:val="single" w:sz="4" w:space="0" w:color="000000"/>
            </w:tcBorders>
          </w:tcPr>
          <w:p>
            <w:pPr/>
          </w:p>
        </w:tc>
      </w:tr>
      <w:tr>
        <w:trPr>
          <w:trHeight w:val="336" w:hRule="exact"/>
        </w:trPr>
        <w:tc>
          <w:tcPr>
            <w:tcW w:w="1380" w:type="dxa"/>
            <w:tcBorders>
              <w:right w:val="single" w:sz="4" w:space="0" w:color="000000"/>
            </w:tcBorders>
          </w:tcPr>
          <w:p>
            <w:pPr>
              <w:pStyle w:val="TableParagraph"/>
              <w:spacing w:before="1"/>
              <w:ind w:left="265" w:right="270"/>
              <w:rPr>
                <w:sz w:val="18"/>
              </w:rPr>
            </w:pPr>
            <w:r>
              <w:rPr>
                <w:sz w:val="18"/>
              </w:rPr>
              <w:t>PES</w:t>
            </w:r>
          </w:p>
        </w:tc>
        <w:tc>
          <w:tcPr>
            <w:tcW w:w="821" w:type="dxa"/>
            <w:tcBorders>
              <w:left w:val="single" w:sz="4" w:space="0" w:color="000000"/>
              <w:right w:val="single" w:sz="4" w:space="0" w:color="000000"/>
            </w:tcBorders>
          </w:tcPr>
          <w:p>
            <w:pPr>
              <w:pStyle w:val="TableParagraph"/>
              <w:spacing w:before="1"/>
              <w:ind w:right="2"/>
              <w:rPr>
                <w:sz w:val="18"/>
              </w:rPr>
            </w:pPr>
            <w:r>
              <w:rPr>
                <w:w w:val="99"/>
                <w:sz w:val="18"/>
              </w:rPr>
              <w:t>1</w:t>
            </w:r>
          </w:p>
        </w:tc>
        <w:tc>
          <w:tcPr>
            <w:tcW w:w="2381" w:type="dxa"/>
            <w:tcBorders>
              <w:left w:val="single" w:sz="4" w:space="0" w:color="000000"/>
              <w:right w:val="single" w:sz="4" w:space="0" w:color="000000"/>
            </w:tcBorders>
          </w:tcPr>
          <w:p>
            <w:pPr>
              <w:pStyle w:val="TableParagraph"/>
              <w:spacing w:line="203" w:lineRule="exact"/>
              <w:ind w:left="64" w:right="627"/>
              <w:jc w:val="left"/>
              <w:rPr>
                <w:b/>
                <w:sz w:val="18"/>
              </w:rPr>
            </w:pPr>
            <w:r>
              <w:rPr>
                <w:b/>
                <w:color w:val="181818"/>
                <w:sz w:val="18"/>
              </w:rPr>
              <w:t>Texcalyacac</w:t>
            </w:r>
          </w:p>
        </w:tc>
        <w:tc>
          <w:tcPr>
            <w:tcW w:w="1418" w:type="dxa"/>
            <w:tcBorders>
              <w:left w:val="single" w:sz="4" w:space="0" w:color="000000"/>
              <w:right w:val="single" w:sz="4" w:space="0" w:color="000000"/>
            </w:tcBorders>
          </w:tcPr>
          <w:p>
            <w:pPr>
              <w:pStyle w:val="TableParagraph"/>
              <w:spacing w:before="1"/>
              <w:ind w:right="397"/>
              <w:jc w:val="right"/>
              <w:rPr>
                <w:sz w:val="18"/>
              </w:rPr>
            </w:pPr>
            <w:r>
              <w:rPr>
                <w:sz w:val="18"/>
              </w:rPr>
              <w:t>29.90%</w:t>
            </w:r>
          </w:p>
        </w:tc>
        <w:tc>
          <w:tcPr>
            <w:tcW w:w="1601" w:type="dxa"/>
            <w:tcBorders>
              <w:left w:val="single" w:sz="4" w:space="0" w:color="000000"/>
            </w:tcBorders>
          </w:tcPr>
          <w:p>
            <w:pPr>
              <w:pStyle w:val="TableParagraph"/>
              <w:spacing w:before="1"/>
              <w:ind w:left="96" w:right="94"/>
              <w:rPr>
                <w:sz w:val="18"/>
              </w:rPr>
            </w:pPr>
            <w:r>
              <w:rPr>
                <w:sz w:val="18"/>
              </w:rPr>
              <w:t>29.90%</w:t>
            </w:r>
          </w:p>
        </w:tc>
      </w:tr>
      <w:tr>
        <w:trPr>
          <w:trHeight w:val="326" w:hRule="exact"/>
        </w:trPr>
        <w:tc>
          <w:tcPr>
            <w:tcW w:w="1380" w:type="dxa"/>
            <w:vMerge w:val="restart"/>
            <w:tcBorders>
              <w:right w:val="single" w:sz="4" w:space="0" w:color="000000"/>
            </w:tcBorders>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104"/>
              <w:ind w:left="265" w:right="269"/>
              <w:rPr>
                <w:sz w:val="18"/>
              </w:rPr>
            </w:pPr>
            <w:r>
              <w:rPr>
                <w:sz w:val="18"/>
              </w:rPr>
              <w:t>PRD</w:t>
            </w:r>
          </w:p>
        </w:tc>
        <w:tc>
          <w:tcPr>
            <w:tcW w:w="821" w:type="dxa"/>
            <w:tcBorders>
              <w:left w:val="single" w:sz="4" w:space="0" w:color="000000"/>
              <w:bottom w:val="single" w:sz="4" w:space="0" w:color="000000"/>
              <w:right w:val="single" w:sz="4" w:space="0" w:color="000000"/>
            </w:tcBorders>
          </w:tcPr>
          <w:p>
            <w:pPr>
              <w:pStyle w:val="TableParagraph"/>
              <w:spacing w:line="203" w:lineRule="exact"/>
              <w:ind w:right="2"/>
              <w:rPr>
                <w:sz w:val="18"/>
              </w:rPr>
            </w:pPr>
            <w:r>
              <w:rPr>
                <w:w w:val="99"/>
                <w:sz w:val="18"/>
              </w:rPr>
              <w:t>1</w:t>
            </w:r>
          </w:p>
        </w:tc>
        <w:tc>
          <w:tcPr>
            <w:tcW w:w="2381" w:type="dxa"/>
            <w:tcBorders>
              <w:left w:val="single" w:sz="4" w:space="0" w:color="000000"/>
              <w:bottom w:val="single" w:sz="4" w:space="0" w:color="000000"/>
              <w:right w:val="single" w:sz="4" w:space="0" w:color="000000"/>
            </w:tcBorders>
          </w:tcPr>
          <w:p>
            <w:pPr>
              <w:pStyle w:val="TableParagraph"/>
              <w:spacing w:line="203" w:lineRule="exact"/>
              <w:ind w:left="64" w:right="627"/>
              <w:jc w:val="left"/>
              <w:rPr>
                <w:sz w:val="18"/>
              </w:rPr>
            </w:pPr>
            <w:r>
              <w:rPr>
                <w:color w:val="181818"/>
                <w:sz w:val="18"/>
              </w:rPr>
              <w:t>Amatepec</w:t>
            </w:r>
          </w:p>
        </w:tc>
        <w:tc>
          <w:tcPr>
            <w:tcW w:w="1418" w:type="dxa"/>
            <w:tcBorders>
              <w:left w:val="single" w:sz="4" w:space="0" w:color="000000"/>
              <w:bottom w:val="single" w:sz="4" w:space="0" w:color="000000"/>
              <w:right w:val="single" w:sz="4" w:space="0" w:color="000000"/>
            </w:tcBorders>
          </w:tcPr>
          <w:p>
            <w:pPr/>
          </w:p>
        </w:tc>
        <w:tc>
          <w:tcPr>
            <w:tcW w:w="1601" w:type="dxa"/>
            <w:vMerge w:val="restart"/>
            <w:tcBorders>
              <w:left w:val="single" w:sz="4" w:space="0" w:color="000000"/>
            </w:tcBorders>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104"/>
              <w:ind w:left="489"/>
              <w:jc w:val="left"/>
              <w:rPr>
                <w:sz w:val="18"/>
              </w:rPr>
            </w:pPr>
            <w:r>
              <w:rPr>
                <w:sz w:val="18"/>
              </w:rPr>
              <w:t>11.56%</w:t>
            </w:r>
          </w:p>
        </w:tc>
      </w:tr>
      <w:tr>
        <w:trPr>
          <w:trHeight w:val="319" w:hRule="exact"/>
        </w:trPr>
        <w:tc>
          <w:tcPr>
            <w:tcW w:w="1380" w:type="dxa"/>
            <w:vMerge/>
            <w:tcBorders>
              <w:right w:val="single" w:sz="4" w:space="0" w:color="000000"/>
            </w:tcBorders>
          </w:tcPr>
          <w:p>
            <w:pP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2"/>
              <w:rPr>
                <w:sz w:val="18"/>
              </w:rPr>
            </w:pPr>
            <w:r>
              <w:rPr>
                <w:w w:val="99"/>
                <w:sz w:val="18"/>
              </w:rPr>
              <w:t>1</w:t>
            </w:r>
          </w:p>
        </w:tc>
        <w:tc>
          <w:tcPr>
            <w:tcW w:w="2381"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4" w:right="627"/>
              <w:jc w:val="left"/>
              <w:rPr>
                <w:b/>
                <w:sz w:val="18"/>
              </w:rPr>
            </w:pPr>
            <w:r>
              <w:rPr>
                <w:b/>
                <w:color w:val="181818"/>
                <w:sz w:val="18"/>
              </w:rPr>
              <w:t>Capulhuac</w:t>
            </w:r>
          </w:p>
        </w:tc>
        <w:tc>
          <w:tcPr>
            <w:tcW w:w="1418"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397"/>
              <w:jc w:val="right"/>
              <w:rPr>
                <w:sz w:val="18"/>
              </w:rPr>
            </w:pPr>
            <w:r>
              <w:rPr>
                <w:sz w:val="18"/>
              </w:rPr>
              <w:t>39.46%</w:t>
            </w:r>
          </w:p>
        </w:tc>
        <w:tc>
          <w:tcPr>
            <w:tcW w:w="160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2"/>
              <w:rPr>
                <w:sz w:val="18"/>
              </w:rPr>
            </w:pPr>
            <w:r>
              <w:rPr>
                <w:w w:val="99"/>
                <w:sz w:val="18"/>
              </w:rPr>
              <w:t>1</w:t>
            </w:r>
          </w:p>
        </w:tc>
        <w:tc>
          <w:tcPr>
            <w:tcW w:w="2381"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4" w:right="627"/>
              <w:jc w:val="left"/>
              <w:rPr>
                <w:b/>
                <w:sz w:val="18"/>
              </w:rPr>
            </w:pPr>
            <w:r>
              <w:rPr>
                <w:b/>
                <w:color w:val="181818"/>
                <w:sz w:val="18"/>
              </w:rPr>
              <w:t>Cocotitlán</w:t>
            </w:r>
          </w:p>
        </w:tc>
        <w:tc>
          <w:tcPr>
            <w:tcW w:w="1418"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445"/>
              <w:jc w:val="right"/>
              <w:rPr>
                <w:sz w:val="18"/>
              </w:rPr>
            </w:pPr>
            <w:r>
              <w:rPr>
                <w:w w:val="95"/>
                <w:sz w:val="18"/>
              </w:rPr>
              <w:t>0.00%</w:t>
            </w:r>
          </w:p>
        </w:tc>
        <w:tc>
          <w:tcPr>
            <w:tcW w:w="160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2"/>
              <w:rPr>
                <w:sz w:val="18"/>
              </w:rPr>
            </w:pPr>
            <w:r>
              <w:rPr>
                <w:w w:val="99"/>
                <w:sz w:val="18"/>
              </w:rPr>
              <w:t>1</w:t>
            </w:r>
          </w:p>
        </w:tc>
        <w:tc>
          <w:tcPr>
            <w:tcW w:w="2381"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4" w:right="627"/>
              <w:jc w:val="left"/>
              <w:rPr>
                <w:b/>
                <w:sz w:val="18"/>
              </w:rPr>
            </w:pPr>
            <w:r>
              <w:rPr>
                <w:b/>
                <w:color w:val="181818"/>
                <w:sz w:val="18"/>
              </w:rPr>
              <w:t>Donato Guerra</w:t>
            </w:r>
          </w:p>
        </w:tc>
        <w:tc>
          <w:tcPr>
            <w:tcW w:w="1418"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445"/>
              <w:jc w:val="right"/>
              <w:rPr>
                <w:sz w:val="18"/>
              </w:rPr>
            </w:pPr>
            <w:r>
              <w:rPr>
                <w:w w:val="95"/>
                <w:sz w:val="18"/>
              </w:rPr>
              <w:t>6.83%</w:t>
            </w:r>
          </w:p>
        </w:tc>
        <w:tc>
          <w:tcPr>
            <w:tcW w:w="160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2"/>
              <w:rPr>
                <w:sz w:val="18"/>
              </w:rPr>
            </w:pPr>
            <w:r>
              <w:rPr>
                <w:w w:val="99"/>
                <w:sz w:val="18"/>
              </w:rPr>
              <w:t>1</w:t>
            </w:r>
          </w:p>
        </w:tc>
        <w:tc>
          <w:tcPr>
            <w:tcW w:w="2381"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4" w:right="627"/>
              <w:jc w:val="left"/>
              <w:rPr>
                <w:b/>
                <w:sz w:val="18"/>
              </w:rPr>
            </w:pPr>
            <w:r>
              <w:rPr>
                <w:b/>
                <w:color w:val="181818"/>
                <w:sz w:val="18"/>
              </w:rPr>
              <w:t>Isidro Fabela</w:t>
            </w:r>
          </w:p>
        </w:tc>
        <w:tc>
          <w:tcPr>
            <w:tcW w:w="1418"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445"/>
              <w:jc w:val="right"/>
              <w:rPr>
                <w:sz w:val="18"/>
              </w:rPr>
            </w:pPr>
            <w:r>
              <w:rPr>
                <w:w w:val="95"/>
                <w:sz w:val="18"/>
              </w:rPr>
              <w:t>8.36%</w:t>
            </w:r>
          </w:p>
        </w:tc>
        <w:tc>
          <w:tcPr>
            <w:tcW w:w="160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2"/>
              <w:rPr>
                <w:sz w:val="18"/>
              </w:rPr>
            </w:pPr>
            <w:r>
              <w:rPr>
                <w:w w:val="99"/>
                <w:sz w:val="18"/>
              </w:rPr>
              <w:t>1</w:t>
            </w:r>
          </w:p>
        </w:tc>
        <w:tc>
          <w:tcPr>
            <w:tcW w:w="238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right="627"/>
              <w:jc w:val="left"/>
              <w:rPr>
                <w:sz w:val="18"/>
              </w:rPr>
            </w:pPr>
            <w:r>
              <w:rPr>
                <w:color w:val="181818"/>
                <w:sz w:val="18"/>
              </w:rPr>
              <w:t>Nezahualcóyotl</w:t>
            </w:r>
          </w:p>
        </w:tc>
        <w:tc>
          <w:tcPr>
            <w:tcW w:w="1418" w:type="dxa"/>
            <w:tcBorders>
              <w:top w:val="single" w:sz="4" w:space="0" w:color="000000"/>
              <w:left w:val="single" w:sz="4" w:space="0" w:color="000000"/>
              <w:bottom w:val="single" w:sz="4" w:space="0" w:color="000000"/>
              <w:right w:val="single" w:sz="4" w:space="0" w:color="000000"/>
            </w:tcBorders>
          </w:tcPr>
          <w:p>
            <w:pPr/>
          </w:p>
        </w:tc>
        <w:tc>
          <w:tcPr>
            <w:tcW w:w="160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right="2"/>
              <w:rPr>
                <w:sz w:val="18"/>
              </w:rPr>
            </w:pPr>
            <w:r>
              <w:rPr>
                <w:w w:val="99"/>
                <w:sz w:val="18"/>
              </w:rPr>
              <w:t>1</w:t>
            </w:r>
          </w:p>
        </w:tc>
        <w:tc>
          <w:tcPr>
            <w:tcW w:w="2381"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4" w:right="627"/>
              <w:jc w:val="left"/>
              <w:rPr>
                <w:b/>
                <w:sz w:val="18"/>
              </w:rPr>
            </w:pPr>
            <w:r>
              <w:rPr>
                <w:b/>
                <w:color w:val="181818"/>
                <w:sz w:val="18"/>
              </w:rPr>
              <w:t>Nextlalpan</w:t>
            </w:r>
          </w:p>
        </w:tc>
        <w:tc>
          <w:tcPr>
            <w:tcW w:w="1418"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right="445"/>
              <w:jc w:val="right"/>
              <w:rPr>
                <w:sz w:val="18"/>
              </w:rPr>
            </w:pPr>
            <w:r>
              <w:rPr>
                <w:w w:val="95"/>
                <w:sz w:val="18"/>
              </w:rPr>
              <w:t>5.95%</w:t>
            </w:r>
          </w:p>
        </w:tc>
        <w:tc>
          <w:tcPr>
            <w:tcW w:w="160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2"/>
              <w:rPr>
                <w:sz w:val="18"/>
              </w:rPr>
            </w:pPr>
            <w:r>
              <w:rPr>
                <w:w w:val="99"/>
                <w:sz w:val="18"/>
              </w:rPr>
              <w:t>1</w:t>
            </w:r>
          </w:p>
        </w:tc>
        <w:tc>
          <w:tcPr>
            <w:tcW w:w="238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right="627"/>
              <w:jc w:val="left"/>
              <w:rPr>
                <w:sz w:val="18"/>
              </w:rPr>
            </w:pPr>
            <w:r>
              <w:rPr>
                <w:color w:val="181818"/>
                <w:sz w:val="18"/>
              </w:rPr>
              <w:t>Ocuilan</w:t>
            </w:r>
          </w:p>
        </w:tc>
        <w:tc>
          <w:tcPr>
            <w:tcW w:w="1418" w:type="dxa"/>
            <w:tcBorders>
              <w:top w:val="single" w:sz="4" w:space="0" w:color="000000"/>
              <w:left w:val="single" w:sz="4" w:space="0" w:color="000000"/>
              <w:bottom w:val="single" w:sz="4" w:space="0" w:color="000000"/>
              <w:right w:val="single" w:sz="4" w:space="0" w:color="000000"/>
            </w:tcBorders>
          </w:tcPr>
          <w:p>
            <w:pPr/>
          </w:p>
        </w:tc>
        <w:tc>
          <w:tcPr>
            <w:tcW w:w="160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2"/>
              <w:rPr>
                <w:sz w:val="18"/>
              </w:rPr>
            </w:pPr>
            <w:r>
              <w:rPr>
                <w:w w:val="99"/>
                <w:sz w:val="18"/>
              </w:rPr>
              <w:t>1</w:t>
            </w:r>
          </w:p>
        </w:tc>
        <w:tc>
          <w:tcPr>
            <w:tcW w:w="2381"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4" w:right="159"/>
              <w:jc w:val="left"/>
              <w:rPr>
                <w:b/>
                <w:sz w:val="18"/>
              </w:rPr>
            </w:pPr>
            <w:r>
              <w:rPr>
                <w:b/>
                <w:color w:val="181818"/>
                <w:sz w:val="18"/>
              </w:rPr>
              <w:t>San Simón de Guerrero</w:t>
            </w:r>
          </w:p>
        </w:tc>
        <w:tc>
          <w:tcPr>
            <w:tcW w:w="1418"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445"/>
              <w:jc w:val="right"/>
              <w:rPr>
                <w:sz w:val="18"/>
              </w:rPr>
            </w:pPr>
            <w:r>
              <w:rPr>
                <w:w w:val="95"/>
                <w:sz w:val="18"/>
              </w:rPr>
              <w:t>0.00%</w:t>
            </w:r>
          </w:p>
        </w:tc>
        <w:tc>
          <w:tcPr>
            <w:tcW w:w="1601" w:type="dxa"/>
            <w:vMerge/>
            <w:tcBorders>
              <w:left w:val="single" w:sz="4" w:space="0" w:color="000000"/>
            </w:tcBorders>
          </w:tcPr>
          <w:p>
            <w:pPr/>
          </w:p>
        </w:tc>
      </w:tr>
      <w:tr>
        <w:trPr>
          <w:trHeight w:val="319" w:hRule="exact"/>
        </w:trPr>
        <w:tc>
          <w:tcPr>
            <w:tcW w:w="1380" w:type="dxa"/>
            <w:vMerge/>
            <w:tcBorders>
              <w:right w:val="single" w:sz="4" w:space="0" w:color="000000"/>
            </w:tcBorders>
          </w:tcPr>
          <w:p>
            <w:pP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2"/>
              <w:rPr>
                <w:sz w:val="18"/>
              </w:rPr>
            </w:pPr>
            <w:r>
              <w:rPr>
                <w:w w:val="99"/>
                <w:sz w:val="18"/>
              </w:rPr>
              <w:t>1</w:t>
            </w:r>
          </w:p>
        </w:tc>
        <w:tc>
          <w:tcPr>
            <w:tcW w:w="238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right="627"/>
              <w:jc w:val="left"/>
              <w:rPr>
                <w:sz w:val="18"/>
              </w:rPr>
            </w:pPr>
            <w:r>
              <w:rPr>
                <w:color w:val="181818"/>
                <w:sz w:val="18"/>
              </w:rPr>
              <w:t>Tlatlaya</w:t>
            </w:r>
          </w:p>
        </w:tc>
        <w:tc>
          <w:tcPr>
            <w:tcW w:w="1418" w:type="dxa"/>
            <w:tcBorders>
              <w:top w:val="single" w:sz="4" w:space="0" w:color="000000"/>
              <w:left w:val="single" w:sz="4" w:space="0" w:color="000000"/>
              <w:bottom w:val="single" w:sz="4" w:space="0" w:color="000000"/>
              <w:right w:val="single" w:sz="4" w:space="0" w:color="000000"/>
            </w:tcBorders>
          </w:tcPr>
          <w:p>
            <w:pPr/>
          </w:p>
        </w:tc>
        <w:tc>
          <w:tcPr>
            <w:tcW w:w="1601" w:type="dxa"/>
            <w:vMerge/>
            <w:tcBorders>
              <w:left w:val="single" w:sz="4" w:space="0" w:color="000000"/>
            </w:tcBorders>
          </w:tcPr>
          <w:p>
            <w:pPr/>
          </w:p>
        </w:tc>
      </w:tr>
      <w:tr>
        <w:trPr>
          <w:trHeight w:val="322" w:hRule="exact"/>
        </w:trPr>
        <w:tc>
          <w:tcPr>
            <w:tcW w:w="1380" w:type="dxa"/>
            <w:vMerge/>
            <w:tcBorders>
              <w:right w:val="single" w:sz="4" w:space="0" w:color="000000"/>
            </w:tcBorders>
          </w:tcPr>
          <w:p>
            <w:pP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2"/>
              <w:rPr>
                <w:sz w:val="18"/>
              </w:rPr>
            </w:pPr>
            <w:r>
              <w:rPr>
                <w:w w:val="99"/>
                <w:sz w:val="18"/>
              </w:rPr>
              <w:t>1</w:t>
            </w:r>
          </w:p>
        </w:tc>
        <w:tc>
          <w:tcPr>
            <w:tcW w:w="238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right="627"/>
              <w:jc w:val="left"/>
              <w:rPr>
                <w:sz w:val="18"/>
              </w:rPr>
            </w:pPr>
            <w:r>
              <w:rPr>
                <w:color w:val="181818"/>
                <w:sz w:val="18"/>
              </w:rPr>
              <w:t>Tultepec</w:t>
            </w:r>
          </w:p>
        </w:tc>
        <w:tc>
          <w:tcPr>
            <w:tcW w:w="1418" w:type="dxa"/>
            <w:tcBorders>
              <w:top w:val="single" w:sz="4" w:space="0" w:color="000000"/>
              <w:left w:val="single" w:sz="4" w:space="0" w:color="000000"/>
              <w:bottom w:val="single" w:sz="4" w:space="0" w:color="000000"/>
              <w:right w:val="single" w:sz="4" w:space="0" w:color="000000"/>
            </w:tcBorders>
          </w:tcPr>
          <w:p>
            <w:pPr/>
          </w:p>
        </w:tc>
        <w:tc>
          <w:tcPr>
            <w:tcW w:w="1601" w:type="dxa"/>
            <w:vMerge/>
            <w:tcBorders>
              <w:left w:val="single" w:sz="4" w:space="0" w:color="000000"/>
            </w:tcBorders>
          </w:tcPr>
          <w:p>
            <w:pPr/>
          </w:p>
        </w:tc>
      </w:tr>
      <w:tr>
        <w:trPr>
          <w:trHeight w:val="322" w:hRule="exact"/>
        </w:trPr>
        <w:tc>
          <w:tcPr>
            <w:tcW w:w="1380" w:type="dxa"/>
            <w:vMerge/>
            <w:tcBorders>
              <w:bottom w:val="single" w:sz="4" w:space="0" w:color="000000"/>
              <w:right w:val="single" w:sz="4" w:space="0" w:color="000000"/>
            </w:tcBorders>
          </w:tcPr>
          <w:p>
            <w:pPr/>
          </w:p>
        </w:tc>
        <w:tc>
          <w:tcPr>
            <w:tcW w:w="82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2"/>
              <w:rPr>
                <w:sz w:val="18"/>
              </w:rPr>
            </w:pPr>
            <w:r>
              <w:rPr>
                <w:w w:val="99"/>
                <w:sz w:val="18"/>
              </w:rPr>
              <w:t>1</w:t>
            </w:r>
          </w:p>
        </w:tc>
        <w:tc>
          <w:tcPr>
            <w:tcW w:w="2381"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4" w:right="627"/>
              <w:jc w:val="left"/>
              <w:rPr>
                <w:b/>
                <w:sz w:val="18"/>
              </w:rPr>
            </w:pPr>
            <w:r>
              <w:rPr>
                <w:b/>
                <w:color w:val="181818"/>
                <w:sz w:val="18"/>
              </w:rPr>
              <w:t>Villa de Allende</w:t>
            </w:r>
          </w:p>
        </w:tc>
        <w:tc>
          <w:tcPr>
            <w:tcW w:w="1418"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397"/>
              <w:jc w:val="right"/>
              <w:rPr>
                <w:sz w:val="18"/>
              </w:rPr>
            </w:pPr>
            <w:r>
              <w:rPr>
                <w:sz w:val="18"/>
              </w:rPr>
              <w:t>16.60%</w:t>
            </w:r>
          </w:p>
        </w:tc>
        <w:tc>
          <w:tcPr>
            <w:tcW w:w="1601" w:type="dxa"/>
            <w:vMerge/>
            <w:tcBorders>
              <w:left w:val="single" w:sz="4" w:space="0" w:color="000000"/>
              <w:bottom w:val="single" w:sz="4" w:space="0" w:color="000000"/>
            </w:tcBorders>
          </w:tcPr>
          <w:p>
            <w:pPr/>
          </w:p>
        </w:tc>
      </w:tr>
    </w:tbl>
    <w:p>
      <w:pPr>
        <w:spacing w:after="0"/>
        <w:sectPr>
          <w:pgSz w:w="12240" w:h="15840"/>
          <w:pgMar w:header="0" w:footer="975" w:top="1420" w:bottom="1160" w:left="1720" w:right="1720"/>
        </w:sectPr>
      </w:pPr>
    </w:p>
    <w:tbl>
      <w:tblPr>
        <w:tblW w:w="0" w:type="auto"/>
        <w:jc w:val="left"/>
        <w:tblInd w:w="5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0"/>
        <w:gridCol w:w="821"/>
        <w:gridCol w:w="2379"/>
        <w:gridCol w:w="1421"/>
        <w:gridCol w:w="1601"/>
      </w:tblGrid>
      <w:tr>
        <w:trPr>
          <w:trHeight w:val="630" w:hRule="exact"/>
        </w:trPr>
        <w:tc>
          <w:tcPr>
            <w:tcW w:w="7602" w:type="dxa"/>
            <w:gridSpan w:val="5"/>
            <w:shd w:val="clear" w:color="auto" w:fill="92D050"/>
          </w:tcPr>
          <w:p>
            <w:pPr>
              <w:pStyle w:val="TableParagraph"/>
              <w:spacing w:line="360" w:lineRule="auto"/>
              <w:ind w:left="3159" w:right="365" w:hanging="2783"/>
              <w:jc w:val="left"/>
              <w:rPr>
                <w:b/>
                <w:sz w:val="18"/>
              </w:rPr>
            </w:pPr>
            <w:r>
              <w:rPr>
                <w:b/>
                <w:sz w:val="18"/>
              </w:rPr>
              <w:t>Anexo 14. Porcentaje de cumplimiento por municipio y por partido político 2015 (Continuación)</w:t>
            </w:r>
          </w:p>
        </w:tc>
      </w:tr>
      <w:tr>
        <w:trPr>
          <w:trHeight w:val="631" w:hRule="exact"/>
        </w:trPr>
        <w:tc>
          <w:tcPr>
            <w:tcW w:w="1380" w:type="dxa"/>
            <w:shd w:val="clear" w:color="auto" w:fill="92D050"/>
          </w:tcPr>
          <w:p>
            <w:pPr>
              <w:pStyle w:val="TableParagraph"/>
              <w:spacing w:before="147"/>
              <w:ind w:left="374"/>
              <w:jc w:val="left"/>
              <w:rPr>
                <w:b/>
                <w:sz w:val="18"/>
              </w:rPr>
            </w:pPr>
            <w:r>
              <w:rPr>
                <w:b/>
                <w:sz w:val="18"/>
              </w:rPr>
              <w:t>Partido</w:t>
            </w:r>
          </w:p>
        </w:tc>
        <w:tc>
          <w:tcPr>
            <w:tcW w:w="821" w:type="dxa"/>
            <w:shd w:val="clear" w:color="auto" w:fill="92D050"/>
          </w:tcPr>
          <w:p>
            <w:pPr>
              <w:pStyle w:val="TableParagraph"/>
              <w:spacing w:before="147"/>
              <w:ind w:left="70" w:right="71"/>
              <w:rPr>
                <w:b/>
                <w:sz w:val="18"/>
              </w:rPr>
            </w:pPr>
            <w:r>
              <w:rPr>
                <w:b/>
                <w:sz w:val="18"/>
              </w:rPr>
              <w:t>Genero</w:t>
            </w:r>
          </w:p>
        </w:tc>
        <w:tc>
          <w:tcPr>
            <w:tcW w:w="2379" w:type="dxa"/>
            <w:shd w:val="clear" w:color="auto" w:fill="92D050"/>
          </w:tcPr>
          <w:p>
            <w:pPr>
              <w:pStyle w:val="TableParagraph"/>
              <w:spacing w:before="147"/>
              <w:ind w:left="273"/>
              <w:jc w:val="left"/>
              <w:rPr>
                <w:b/>
                <w:sz w:val="18"/>
              </w:rPr>
            </w:pPr>
            <w:r>
              <w:rPr>
                <w:b/>
                <w:sz w:val="18"/>
              </w:rPr>
              <w:t>Municipio gobernado</w:t>
            </w:r>
          </w:p>
        </w:tc>
        <w:tc>
          <w:tcPr>
            <w:tcW w:w="1421" w:type="dxa"/>
            <w:shd w:val="clear" w:color="auto" w:fill="92D050"/>
          </w:tcPr>
          <w:p>
            <w:pPr>
              <w:pStyle w:val="TableParagraph"/>
              <w:spacing w:line="362" w:lineRule="auto"/>
              <w:ind w:left="119" w:right="102" w:firstLine="376"/>
              <w:jc w:val="left"/>
              <w:rPr>
                <w:b/>
                <w:sz w:val="18"/>
              </w:rPr>
            </w:pPr>
            <w:r>
              <w:rPr>
                <w:b/>
                <w:sz w:val="18"/>
              </w:rPr>
              <w:t>% de cumplimiento</w:t>
            </w:r>
          </w:p>
        </w:tc>
        <w:tc>
          <w:tcPr>
            <w:tcW w:w="1601" w:type="dxa"/>
            <w:shd w:val="clear" w:color="auto" w:fill="92D050"/>
          </w:tcPr>
          <w:p>
            <w:pPr>
              <w:pStyle w:val="TableParagraph"/>
              <w:spacing w:line="362" w:lineRule="auto"/>
              <w:ind w:left="208" w:right="193" w:firstLine="14"/>
              <w:jc w:val="left"/>
              <w:rPr>
                <w:b/>
                <w:sz w:val="18"/>
              </w:rPr>
            </w:pPr>
            <w:r>
              <w:rPr>
                <w:b/>
                <w:sz w:val="18"/>
              </w:rPr>
              <w:t>Promedio del cumplimiento</w:t>
            </w:r>
          </w:p>
        </w:tc>
      </w:tr>
      <w:tr>
        <w:trPr>
          <w:trHeight w:val="322" w:hRule="exact"/>
        </w:trPr>
        <w:tc>
          <w:tcPr>
            <w:tcW w:w="1380" w:type="dxa"/>
            <w:vMerge w:val="restart"/>
          </w:tcPr>
          <w:p>
            <w:pPr>
              <w:pStyle w:val="TableParagraph"/>
              <w:jc w:val="left"/>
              <w:rPr>
                <w:sz w:val="18"/>
              </w:rPr>
            </w:pPr>
          </w:p>
          <w:p>
            <w:pPr>
              <w:pStyle w:val="TableParagraph"/>
              <w:jc w:val="left"/>
              <w:rPr>
                <w:sz w:val="18"/>
              </w:rPr>
            </w:pPr>
          </w:p>
          <w:p>
            <w:pPr>
              <w:pStyle w:val="TableParagraph"/>
              <w:spacing w:before="2"/>
              <w:jc w:val="left"/>
              <w:rPr>
                <w:sz w:val="19"/>
              </w:rPr>
            </w:pPr>
          </w:p>
          <w:p>
            <w:pPr>
              <w:pStyle w:val="TableParagraph"/>
              <w:ind w:left="474" w:right="475"/>
              <w:rPr>
                <w:sz w:val="18"/>
              </w:rPr>
            </w:pPr>
            <w:r>
              <w:rPr>
                <w:sz w:val="18"/>
              </w:rPr>
              <w:t>PRD</w:t>
            </w: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203" w:lineRule="exact"/>
              <w:ind w:left="64"/>
              <w:jc w:val="left"/>
              <w:rPr>
                <w:sz w:val="18"/>
              </w:rPr>
            </w:pPr>
            <w:r>
              <w:rPr>
                <w:color w:val="181818"/>
                <w:sz w:val="18"/>
              </w:rPr>
              <w:t>Villa Guerrero</w:t>
            </w:r>
          </w:p>
        </w:tc>
        <w:tc>
          <w:tcPr>
            <w:tcW w:w="1421" w:type="dxa"/>
          </w:tcPr>
          <w:p>
            <w:pPr/>
          </w:p>
        </w:tc>
        <w:tc>
          <w:tcPr>
            <w:tcW w:w="1601" w:type="dxa"/>
            <w:vMerge w:val="restart"/>
          </w:tcPr>
          <w:p>
            <w:pPr>
              <w:pStyle w:val="TableParagraph"/>
              <w:jc w:val="left"/>
              <w:rPr>
                <w:sz w:val="18"/>
              </w:rPr>
            </w:pPr>
          </w:p>
          <w:p>
            <w:pPr>
              <w:pStyle w:val="TableParagraph"/>
              <w:jc w:val="left"/>
              <w:rPr>
                <w:sz w:val="18"/>
              </w:rPr>
            </w:pPr>
          </w:p>
          <w:p>
            <w:pPr>
              <w:pStyle w:val="TableParagraph"/>
              <w:spacing w:before="2"/>
              <w:jc w:val="left"/>
              <w:rPr>
                <w:sz w:val="19"/>
              </w:rPr>
            </w:pPr>
          </w:p>
          <w:p>
            <w:pPr>
              <w:pStyle w:val="TableParagraph"/>
              <w:ind w:left="489" w:right="193"/>
              <w:jc w:val="left"/>
              <w:rPr>
                <w:sz w:val="18"/>
              </w:rPr>
            </w:pPr>
            <w:r>
              <w:rPr>
                <w:sz w:val="18"/>
              </w:rPr>
              <w:t>11.56%</w:t>
            </w:r>
          </w:p>
        </w:tc>
      </w:tr>
      <w:tr>
        <w:trPr>
          <w:trHeight w:val="319"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Zacazonapan</w:t>
            </w:r>
          </w:p>
        </w:tc>
        <w:tc>
          <w:tcPr>
            <w:tcW w:w="1421" w:type="dxa"/>
          </w:tcPr>
          <w:p>
            <w:pPr>
              <w:pStyle w:val="TableParagraph"/>
              <w:spacing w:line="203" w:lineRule="exact"/>
              <w:ind w:left="380" w:right="377"/>
              <w:rPr>
                <w:sz w:val="18"/>
              </w:rPr>
            </w:pPr>
            <w:r>
              <w:rPr>
                <w:sz w:val="18"/>
              </w:rPr>
              <w:t>0.00%</w:t>
            </w:r>
          </w:p>
        </w:tc>
        <w:tc>
          <w:tcPr>
            <w:tcW w:w="1601" w:type="dxa"/>
            <w:vMerge/>
          </w:tcPr>
          <w:p>
            <w:pPr/>
          </w:p>
        </w:tc>
      </w:tr>
      <w:tr>
        <w:trPr>
          <w:trHeight w:val="631" w:hRule="exact"/>
        </w:trPr>
        <w:tc>
          <w:tcPr>
            <w:tcW w:w="1380" w:type="dxa"/>
            <w:vMerge/>
          </w:tcPr>
          <w:p>
            <w:pPr/>
          </w:p>
        </w:tc>
        <w:tc>
          <w:tcPr>
            <w:tcW w:w="821" w:type="dxa"/>
          </w:tcPr>
          <w:p>
            <w:pPr>
              <w:pStyle w:val="TableParagraph"/>
              <w:spacing w:before="152"/>
              <w:ind w:right="2"/>
              <w:rPr>
                <w:sz w:val="18"/>
              </w:rPr>
            </w:pPr>
            <w:r>
              <w:rPr>
                <w:w w:val="99"/>
                <w:sz w:val="18"/>
              </w:rPr>
              <w:t>1</w:t>
            </w:r>
          </w:p>
        </w:tc>
        <w:tc>
          <w:tcPr>
            <w:tcW w:w="2379" w:type="dxa"/>
          </w:tcPr>
          <w:p>
            <w:pPr>
              <w:pStyle w:val="TableParagraph"/>
              <w:spacing w:line="362" w:lineRule="auto"/>
              <w:ind w:left="64" w:right="954"/>
              <w:jc w:val="left"/>
              <w:rPr>
                <w:b/>
                <w:sz w:val="18"/>
              </w:rPr>
            </w:pPr>
            <w:r>
              <w:rPr>
                <w:b/>
                <w:color w:val="181818"/>
                <w:sz w:val="18"/>
              </w:rPr>
              <w:t>Valle de Chalco Solidaridad</w:t>
            </w:r>
          </w:p>
        </w:tc>
        <w:tc>
          <w:tcPr>
            <w:tcW w:w="1421" w:type="dxa"/>
          </w:tcPr>
          <w:p>
            <w:pPr>
              <w:pStyle w:val="TableParagraph"/>
              <w:spacing w:before="152"/>
              <w:ind w:left="380" w:right="379"/>
              <w:rPr>
                <w:sz w:val="18"/>
              </w:rPr>
            </w:pPr>
            <w:r>
              <w:rPr>
                <w:sz w:val="18"/>
              </w:rPr>
              <w:t>35.42%</w:t>
            </w:r>
          </w:p>
        </w:tc>
        <w:tc>
          <w:tcPr>
            <w:tcW w:w="1601" w:type="dxa"/>
            <w:vMerge/>
          </w:tcPr>
          <w:p>
            <w:pPr/>
          </w:p>
        </w:tc>
      </w:tr>
      <w:tr>
        <w:trPr>
          <w:trHeight w:val="326" w:hRule="exact"/>
        </w:trPr>
        <w:tc>
          <w:tcPr>
            <w:tcW w:w="1380" w:type="dxa"/>
            <w:vMerge/>
          </w:tcPr>
          <w:p>
            <w:pPr/>
          </w:p>
        </w:tc>
        <w:tc>
          <w:tcPr>
            <w:tcW w:w="821" w:type="dxa"/>
          </w:tcPr>
          <w:p>
            <w:pPr>
              <w:pStyle w:val="TableParagraph"/>
              <w:spacing w:line="206" w:lineRule="exact"/>
              <w:ind w:right="2"/>
              <w:rPr>
                <w:sz w:val="18"/>
              </w:rPr>
            </w:pPr>
            <w:r>
              <w:rPr>
                <w:w w:val="99"/>
                <w:sz w:val="18"/>
              </w:rPr>
              <w:t>1</w:t>
            </w:r>
          </w:p>
        </w:tc>
        <w:tc>
          <w:tcPr>
            <w:tcW w:w="2379" w:type="dxa"/>
          </w:tcPr>
          <w:p>
            <w:pPr>
              <w:pStyle w:val="TableParagraph"/>
              <w:spacing w:line="201" w:lineRule="exact"/>
              <w:ind w:left="64"/>
              <w:jc w:val="left"/>
              <w:rPr>
                <w:b/>
                <w:sz w:val="18"/>
              </w:rPr>
            </w:pPr>
            <w:r>
              <w:rPr>
                <w:b/>
                <w:color w:val="181818"/>
                <w:sz w:val="18"/>
              </w:rPr>
              <w:t>Luvianos</w:t>
            </w:r>
          </w:p>
        </w:tc>
        <w:tc>
          <w:tcPr>
            <w:tcW w:w="1421" w:type="dxa"/>
          </w:tcPr>
          <w:p>
            <w:pPr>
              <w:pStyle w:val="TableParagraph"/>
              <w:spacing w:line="206" w:lineRule="exact"/>
              <w:ind w:left="380" w:right="377"/>
              <w:rPr>
                <w:sz w:val="18"/>
              </w:rPr>
            </w:pPr>
            <w:r>
              <w:rPr>
                <w:sz w:val="18"/>
              </w:rPr>
              <w:t>3.00%</w:t>
            </w:r>
          </w:p>
        </w:tc>
        <w:tc>
          <w:tcPr>
            <w:tcW w:w="1601" w:type="dxa"/>
            <w:vMerge/>
          </w:tcPr>
          <w:p>
            <w:pPr/>
          </w:p>
        </w:tc>
      </w:tr>
      <w:tr>
        <w:trPr>
          <w:trHeight w:val="319" w:hRule="exact"/>
        </w:trPr>
        <w:tc>
          <w:tcPr>
            <w:tcW w:w="1380" w:type="dxa"/>
            <w:vMerge w:val="restart"/>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118"/>
              <w:ind w:left="474" w:right="474"/>
              <w:rPr>
                <w:sz w:val="18"/>
              </w:rPr>
            </w:pPr>
            <w:r>
              <w:rPr>
                <w:sz w:val="18"/>
              </w:rPr>
              <w:t>PRI</w:t>
            </w:r>
          </w:p>
        </w:tc>
        <w:tc>
          <w:tcPr>
            <w:tcW w:w="821" w:type="dxa"/>
          </w:tcPr>
          <w:p>
            <w:pPr>
              <w:pStyle w:val="TableParagraph"/>
              <w:spacing w:line="203" w:lineRule="exact"/>
              <w:ind w:right="2"/>
              <w:rPr>
                <w:sz w:val="18"/>
              </w:rPr>
            </w:pPr>
            <w:r>
              <w:rPr>
                <w:w w:val="99"/>
                <w:sz w:val="18"/>
              </w:rPr>
              <w:t>2</w:t>
            </w:r>
          </w:p>
        </w:tc>
        <w:tc>
          <w:tcPr>
            <w:tcW w:w="2379" w:type="dxa"/>
          </w:tcPr>
          <w:p>
            <w:pPr>
              <w:pStyle w:val="TableParagraph"/>
              <w:spacing w:line="199" w:lineRule="exact"/>
              <w:ind w:left="64"/>
              <w:jc w:val="left"/>
              <w:rPr>
                <w:b/>
                <w:sz w:val="18"/>
              </w:rPr>
            </w:pPr>
            <w:r>
              <w:rPr>
                <w:b/>
                <w:color w:val="181818"/>
                <w:sz w:val="18"/>
              </w:rPr>
              <w:t>Acambay</w:t>
            </w:r>
          </w:p>
        </w:tc>
        <w:tc>
          <w:tcPr>
            <w:tcW w:w="1421" w:type="dxa"/>
          </w:tcPr>
          <w:p>
            <w:pPr>
              <w:pStyle w:val="TableParagraph"/>
              <w:spacing w:line="203" w:lineRule="exact"/>
              <w:ind w:left="380" w:right="379"/>
              <w:rPr>
                <w:sz w:val="18"/>
              </w:rPr>
            </w:pPr>
            <w:r>
              <w:rPr>
                <w:sz w:val="18"/>
              </w:rPr>
              <w:t>50.42%</w:t>
            </w:r>
          </w:p>
        </w:tc>
        <w:tc>
          <w:tcPr>
            <w:tcW w:w="1601" w:type="dxa"/>
            <w:vMerge w:val="restart"/>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118"/>
              <w:ind w:left="489" w:right="193"/>
              <w:jc w:val="left"/>
              <w:rPr>
                <w:sz w:val="18"/>
              </w:rPr>
            </w:pPr>
            <w:r>
              <w:rPr>
                <w:sz w:val="18"/>
              </w:rPr>
              <w:t>41.69%</w:t>
            </w:r>
          </w:p>
        </w:tc>
      </w:tr>
      <w:tr>
        <w:trPr>
          <w:trHeight w:val="322" w:hRule="exact"/>
        </w:trPr>
        <w:tc>
          <w:tcPr>
            <w:tcW w:w="1380" w:type="dxa"/>
            <w:vMerge/>
          </w:tcPr>
          <w:p>
            <w:pPr/>
          </w:p>
        </w:tc>
        <w:tc>
          <w:tcPr>
            <w:tcW w:w="821" w:type="dxa"/>
          </w:tcPr>
          <w:p>
            <w:pPr>
              <w:pStyle w:val="TableParagraph"/>
              <w:spacing w:line="203" w:lineRule="exact"/>
              <w:ind w:right="2"/>
              <w:rPr>
                <w:sz w:val="18"/>
              </w:rPr>
            </w:pPr>
            <w:r>
              <w:rPr>
                <w:w w:val="99"/>
                <w:sz w:val="18"/>
              </w:rPr>
              <w:t>2</w:t>
            </w:r>
          </w:p>
        </w:tc>
        <w:tc>
          <w:tcPr>
            <w:tcW w:w="2379" w:type="dxa"/>
          </w:tcPr>
          <w:p>
            <w:pPr>
              <w:pStyle w:val="TableParagraph"/>
              <w:spacing w:line="203" w:lineRule="exact"/>
              <w:ind w:left="64"/>
              <w:jc w:val="left"/>
              <w:rPr>
                <w:sz w:val="18"/>
              </w:rPr>
            </w:pPr>
            <w:r>
              <w:rPr>
                <w:color w:val="181818"/>
                <w:sz w:val="18"/>
              </w:rPr>
              <w:t>Aculco</w:t>
            </w:r>
          </w:p>
        </w:tc>
        <w:tc>
          <w:tcPr>
            <w:tcW w:w="1421" w:type="dxa"/>
          </w:tcPr>
          <w:p>
            <w:pPr/>
          </w:p>
        </w:tc>
        <w:tc>
          <w:tcPr>
            <w:tcW w:w="1601" w:type="dxa"/>
            <w:vMerge/>
          </w:tcPr>
          <w:p>
            <w:pPr/>
          </w:p>
        </w:tc>
      </w:tr>
      <w:tr>
        <w:trPr>
          <w:trHeight w:val="320"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Almoloya de Juárez</w:t>
            </w:r>
          </w:p>
        </w:tc>
        <w:tc>
          <w:tcPr>
            <w:tcW w:w="1421" w:type="dxa"/>
          </w:tcPr>
          <w:p>
            <w:pPr>
              <w:pStyle w:val="TableParagraph"/>
              <w:spacing w:line="203" w:lineRule="exact"/>
              <w:ind w:left="380" w:right="379"/>
              <w:rPr>
                <w:sz w:val="18"/>
              </w:rPr>
            </w:pPr>
            <w:r>
              <w:rPr>
                <w:sz w:val="18"/>
              </w:rPr>
              <w:t>87.23%</w:t>
            </w:r>
          </w:p>
        </w:tc>
        <w:tc>
          <w:tcPr>
            <w:tcW w:w="1601" w:type="dxa"/>
            <w:vMerge/>
          </w:tcPr>
          <w:p>
            <w:pPr/>
          </w:p>
        </w:tc>
      </w:tr>
      <w:tr>
        <w:trPr>
          <w:trHeight w:val="322"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203" w:lineRule="exact"/>
              <w:ind w:left="64"/>
              <w:jc w:val="left"/>
              <w:rPr>
                <w:sz w:val="18"/>
              </w:rPr>
            </w:pPr>
            <w:r>
              <w:rPr>
                <w:color w:val="181818"/>
                <w:sz w:val="18"/>
              </w:rPr>
              <w:t>Atizapán</w:t>
            </w:r>
          </w:p>
        </w:tc>
        <w:tc>
          <w:tcPr>
            <w:tcW w:w="1421" w:type="dxa"/>
          </w:tcPr>
          <w:p>
            <w:pPr/>
          </w:p>
        </w:tc>
        <w:tc>
          <w:tcPr>
            <w:tcW w:w="1601" w:type="dxa"/>
            <w:vMerge/>
          </w:tcPr>
          <w:p>
            <w:pPr/>
          </w:p>
        </w:tc>
      </w:tr>
      <w:tr>
        <w:trPr>
          <w:trHeight w:val="319"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203" w:lineRule="exact"/>
              <w:ind w:left="64"/>
              <w:jc w:val="left"/>
              <w:rPr>
                <w:sz w:val="18"/>
              </w:rPr>
            </w:pPr>
            <w:r>
              <w:rPr>
                <w:color w:val="181818"/>
                <w:sz w:val="18"/>
              </w:rPr>
              <w:t>Axapusco</w:t>
            </w:r>
          </w:p>
        </w:tc>
        <w:tc>
          <w:tcPr>
            <w:tcW w:w="1421" w:type="dxa"/>
          </w:tcPr>
          <w:p>
            <w:pPr/>
          </w:p>
        </w:tc>
        <w:tc>
          <w:tcPr>
            <w:tcW w:w="1601" w:type="dxa"/>
            <w:vMerge/>
          </w:tcPr>
          <w:p>
            <w:pPr/>
          </w:p>
        </w:tc>
      </w:tr>
      <w:tr>
        <w:trPr>
          <w:trHeight w:val="322"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Ecatzingo</w:t>
            </w:r>
          </w:p>
        </w:tc>
        <w:tc>
          <w:tcPr>
            <w:tcW w:w="1421" w:type="dxa"/>
          </w:tcPr>
          <w:p>
            <w:pPr>
              <w:pStyle w:val="TableParagraph"/>
              <w:spacing w:line="203" w:lineRule="exact"/>
              <w:ind w:left="380" w:right="377"/>
              <w:rPr>
                <w:sz w:val="18"/>
              </w:rPr>
            </w:pPr>
            <w:r>
              <w:rPr>
                <w:sz w:val="18"/>
              </w:rPr>
              <w:t>0.00%</w:t>
            </w:r>
          </w:p>
        </w:tc>
        <w:tc>
          <w:tcPr>
            <w:tcW w:w="1601" w:type="dxa"/>
            <w:vMerge/>
          </w:tcPr>
          <w:p>
            <w:pPr/>
          </w:p>
        </w:tc>
      </w:tr>
      <w:tr>
        <w:trPr>
          <w:trHeight w:val="319"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203" w:lineRule="exact"/>
              <w:ind w:left="64"/>
              <w:jc w:val="left"/>
              <w:rPr>
                <w:sz w:val="18"/>
              </w:rPr>
            </w:pPr>
            <w:r>
              <w:rPr>
                <w:color w:val="181818"/>
                <w:sz w:val="18"/>
              </w:rPr>
              <w:t>Ixtlahuaca</w:t>
            </w:r>
          </w:p>
        </w:tc>
        <w:tc>
          <w:tcPr>
            <w:tcW w:w="1421" w:type="dxa"/>
          </w:tcPr>
          <w:p>
            <w:pPr/>
          </w:p>
        </w:tc>
        <w:tc>
          <w:tcPr>
            <w:tcW w:w="1601" w:type="dxa"/>
            <w:vMerge/>
          </w:tcPr>
          <w:p>
            <w:pPr/>
          </w:p>
        </w:tc>
      </w:tr>
      <w:tr>
        <w:trPr>
          <w:trHeight w:val="322" w:hRule="exact"/>
        </w:trPr>
        <w:tc>
          <w:tcPr>
            <w:tcW w:w="1380" w:type="dxa"/>
            <w:vMerge/>
          </w:tcPr>
          <w:p>
            <w:pPr/>
          </w:p>
        </w:tc>
        <w:tc>
          <w:tcPr>
            <w:tcW w:w="821" w:type="dxa"/>
          </w:tcPr>
          <w:p>
            <w:pPr>
              <w:pStyle w:val="TableParagraph"/>
              <w:spacing w:line="203" w:lineRule="exact"/>
              <w:ind w:right="2"/>
              <w:rPr>
                <w:sz w:val="18"/>
              </w:rPr>
            </w:pPr>
            <w:r>
              <w:rPr>
                <w:w w:val="99"/>
                <w:sz w:val="18"/>
              </w:rPr>
              <w:t>2</w:t>
            </w:r>
          </w:p>
        </w:tc>
        <w:tc>
          <w:tcPr>
            <w:tcW w:w="2379" w:type="dxa"/>
          </w:tcPr>
          <w:p>
            <w:pPr>
              <w:pStyle w:val="TableParagraph"/>
              <w:spacing w:line="203" w:lineRule="exact"/>
              <w:ind w:left="64"/>
              <w:jc w:val="left"/>
              <w:rPr>
                <w:sz w:val="18"/>
              </w:rPr>
            </w:pPr>
            <w:r>
              <w:rPr>
                <w:color w:val="181818"/>
                <w:sz w:val="18"/>
              </w:rPr>
              <w:t>Jiquipilco</w:t>
            </w:r>
          </w:p>
        </w:tc>
        <w:tc>
          <w:tcPr>
            <w:tcW w:w="1421" w:type="dxa"/>
          </w:tcPr>
          <w:p>
            <w:pPr/>
          </w:p>
        </w:tc>
        <w:tc>
          <w:tcPr>
            <w:tcW w:w="1601" w:type="dxa"/>
            <w:vMerge/>
          </w:tcPr>
          <w:p>
            <w:pPr/>
          </w:p>
        </w:tc>
      </w:tr>
      <w:tr>
        <w:trPr>
          <w:trHeight w:val="319"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Malinalco</w:t>
            </w:r>
          </w:p>
        </w:tc>
        <w:tc>
          <w:tcPr>
            <w:tcW w:w="1421" w:type="dxa"/>
          </w:tcPr>
          <w:p>
            <w:pPr>
              <w:pStyle w:val="TableParagraph"/>
              <w:spacing w:line="203" w:lineRule="exact"/>
              <w:ind w:left="380" w:right="379"/>
              <w:rPr>
                <w:sz w:val="18"/>
              </w:rPr>
            </w:pPr>
            <w:r>
              <w:rPr>
                <w:sz w:val="18"/>
              </w:rPr>
              <w:t>35.43%</w:t>
            </w:r>
          </w:p>
        </w:tc>
        <w:tc>
          <w:tcPr>
            <w:tcW w:w="1601" w:type="dxa"/>
            <w:vMerge/>
          </w:tcPr>
          <w:p>
            <w:pPr/>
          </w:p>
        </w:tc>
      </w:tr>
      <w:tr>
        <w:trPr>
          <w:trHeight w:val="322" w:hRule="exact"/>
        </w:trPr>
        <w:tc>
          <w:tcPr>
            <w:tcW w:w="1380" w:type="dxa"/>
            <w:vMerge/>
          </w:tcPr>
          <w:p>
            <w:pPr/>
          </w:p>
        </w:tc>
        <w:tc>
          <w:tcPr>
            <w:tcW w:w="821" w:type="dxa"/>
          </w:tcPr>
          <w:p>
            <w:pPr>
              <w:pStyle w:val="TableParagraph"/>
              <w:spacing w:line="206" w:lineRule="exact"/>
              <w:ind w:right="2"/>
              <w:rPr>
                <w:sz w:val="18"/>
              </w:rPr>
            </w:pPr>
            <w:r>
              <w:rPr>
                <w:w w:val="99"/>
                <w:sz w:val="18"/>
              </w:rPr>
              <w:t>1</w:t>
            </w:r>
          </w:p>
        </w:tc>
        <w:tc>
          <w:tcPr>
            <w:tcW w:w="2379" w:type="dxa"/>
          </w:tcPr>
          <w:p>
            <w:pPr>
              <w:pStyle w:val="TableParagraph"/>
              <w:spacing w:line="206" w:lineRule="exact"/>
              <w:ind w:left="64"/>
              <w:jc w:val="left"/>
              <w:rPr>
                <w:sz w:val="18"/>
              </w:rPr>
            </w:pPr>
            <w:r>
              <w:rPr>
                <w:color w:val="181818"/>
                <w:sz w:val="18"/>
              </w:rPr>
              <w:t>Morelos</w:t>
            </w:r>
          </w:p>
        </w:tc>
        <w:tc>
          <w:tcPr>
            <w:tcW w:w="1421" w:type="dxa"/>
          </w:tcPr>
          <w:p>
            <w:pPr/>
          </w:p>
        </w:tc>
        <w:tc>
          <w:tcPr>
            <w:tcW w:w="1601" w:type="dxa"/>
            <w:vMerge/>
          </w:tcPr>
          <w:p>
            <w:pPr/>
          </w:p>
        </w:tc>
      </w:tr>
      <w:tr>
        <w:trPr>
          <w:trHeight w:val="319" w:hRule="exact"/>
        </w:trPr>
        <w:tc>
          <w:tcPr>
            <w:tcW w:w="1380" w:type="dxa"/>
            <w:vMerge/>
          </w:tcPr>
          <w:p>
            <w:pPr/>
          </w:p>
        </w:tc>
        <w:tc>
          <w:tcPr>
            <w:tcW w:w="821" w:type="dxa"/>
          </w:tcPr>
          <w:p>
            <w:pPr>
              <w:pStyle w:val="TableParagraph"/>
              <w:spacing w:line="203" w:lineRule="exact"/>
              <w:ind w:right="2"/>
              <w:rPr>
                <w:sz w:val="18"/>
              </w:rPr>
            </w:pPr>
            <w:r>
              <w:rPr>
                <w:w w:val="99"/>
                <w:sz w:val="18"/>
              </w:rPr>
              <w:t>2</w:t>
            </w:r>
          </w:p>
        </w:tc>
        <w:tc>
          <w:tcPr>
            <w:tcW w:w="2379" w:type="dxa"/>
          </w:tcPr>
          <w:p>
            <w:pPr>
              <w:pStyle w:val="TableParagraph"/>
              <w:spacing w:line="203" w:lineRule="exact"/>
              <w:ind w:left="64"/>
              <w:jc w:val="left"/>
              <w:rPr>
                <w:sz w:val="18"/>
              </w:rPr>
            </w:pPr>
            <w:r>
              <w:rPr>
                <w:color w:val="181818"/>
                <w:sz w:val="18"/>
              </w:rPr>
              <w:t>El Oro</w:t>
            </w:r>
          </w:p>
        </w:tc>
        <w:tc>
          <w:tcPr>
            <w:tcW w:w="1421" w:type="dxa"/>
          </w:tcPr>
          <w:p>
            <w:pPr/>
          </w:p>
        </w:tc>
        <w:tc>
          <w:tcPr>
            <w:tcW w:w="1601" w:type="dxa"/>
            <w:vMerge/>
          </w:tcPr>
          <w:p>
            <w:pPr/>
          </w:p>
        </w:tc>
      </w:tr>
      <w:tr>
        <w:trPr>
          <w:trHeight w:val="322" w:hRule="exact"/>
        </w:trPr>
        <w:tc>
          <w:tcPr>
            <w:tcW w:w="1380" w:type="dxa"/>
            <w:vMerge/>
          </w:tcPr>
          <w:p>
            <w:pPr/>
          </w:p>
        </w:tc>
        <w:tc>
          <w:tcPr>
            <w:tcW w:w="821" w:type="dxa"/>
          </w:tcPr>
          <w:p>
            <w:pPr>
              <w:pStyle w:val="TableParagraph"/>
              <w:spacing w:line="206" w:lineRule="exact"/>
              <w:ind w:right="2"/>
              <w:rPr>
                <w:sz w:val="18"/>
              </w:rPr>
            </w:pPr>
            <w:r>
              <w:rPr>
                <w:w w:val="99"/>
                <w:sz w:val="18"/>
              </w:rPr>
              <w:t>1</w:t>
            </w:r>
          </w:p>
        </w:tc>
        <w:tc>
          <w:tcPr>
            <w:tcW w:w="2379" w:type="dxa"/>
          </w:tcPr>
          <w:p>
            <w:pPr>
              <w:pStyle w:val="TableParagraph"/>
              <w:spacing w:line="206" w:lineRule="exact"/>
              <w:ind w:left="64"/>
              <w:jc w:val="left"/>
              <w:rPr>
                <w:sz w:val="18"/>
              </w:rPr>
            </w:pPr>
            <w:r>
              <w:rPr>
                <w:color w:val="181818"/>
                <w:sz w:val="18"/>
              </w:rPr>
              <w:t>Otzolotepec</w:t>
            </w:r>
          </w:p>
        </w:tc>
        <w:tc>
          <w:tcPr>
            <w:tcW w:w="1421" w:type="dxa"/>
          </w:tcPr>
          <w:p>
            <w:pPr/>
          </w:p>
        </w:tc>
        <w:tc>
          <w:tcPr>
            <w:tcW w:w="1601" w:type="dxa"/>
            <w:vMerge/>
          </w:tcPr>
          <w:p>
            <w:pPr/>
          </w:p>
        </w:tc>
      </w:tr>
      <w:tr>
        <w:trPr>
          <w:trHeight w:val="319"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San Felipe del Progreso</w:t>
            </w:r>
          </w:p>
        </w:tc>
        <w:tc>
          <w:tcPr>
            <w:tcW w:w="1421" w:type="dxa"/>
          </w:tcPr>
          <w:p>
            <w:pPr>
              <w:pStyle w:val="TableParagraph"/>
              <w:spacing w:line="203" w:lineRule="exact"/>
              <w:ind w:left="380" w:right="377"/>
              <w:rPr>
                <w:sz w:val="18"/>
              </w:rPr>
            </w:pPr>
            <w:r>
              <w:rPr>
                <w:sz w:val="18"/>
              </w:rPr>
              <w:t>7.66%</w:t>
            </w:r>
          </w:p>
        </w:tc>
        <w:tc>
          <w:tcPr>
            <w:tcW w:w="1601" w:type="dxa"/>
            <w:vMerge/>
          </w:tcPr>
          <w:p>
            <w:pPr/>
          </w:p>
        </w:tc>
      </w:tr>
      <w:tr>
        <w:trPr>
          <w:trHeight w:val="322" w:hRule="exact"/>
        </w:trPr>
        <w:tc>
          <w:tcPr>
            <w:tcW w:w="1380" w:type="dxa"/>
            <w:vMerge/>
          </w:tcPr>
          <w:p>
            <w:pPr/>
          </w:p>
        </w:tc>
        <w:tc>
          <w:tcPr>
            <w:tcW w:w="821" w:type="dxa"/>
          </w:tcPr>
          <w:p>
            <w:pPr>
              <w:pStyle w:val="TableParagraph"/>
              <w:spacing w:line="206" w:lineRule="exact"/>
              <w:ind w:right="2"/>
              <w:rPr>
                <w:sz w:val="18"/>
              </w:rPr>
            </w:pPr>
            <w:r>
              <w:rPr>
                <w:w w:val="99"/>
                <w:sz w:val="18"/>
              </w:rPr>
              <w:t>1</w:t>
            </w:r>
          </w:p>
        </w:tc>
        <w:tc>
          <w:tcPr>
            <w:tcW w:w="2379" w:type="dxa"/>
          </w:tcPr>
          <w:p>
            <w:pPr>
              <w:pStyle w:val="TableParagraph"/>
              <w:spacing w:line="206" w:lineRule="exact"/>
              <w:ind w:left="64"/>
              <w:jc w:val="left"/>
              <w:rPr>
                <w:sz w:val="18"/>
              </w:rPr>
            </w:pPr>
            <w:r>
              <w:rPr>
                <w:color w:val="181818"/>
                <w:sz w:val="18"/>
              </w:rPr>
              <w:t>San Mateo Atenco</w:t>
            </w:r>
          </w:p>
        </w:tc>
        <w:tc>
          <w:tcPr>
            <w:tcW w:w="1421" w:type="dxa"/>
          </w:tcPr>
          <w:p>
            <w:pPr/>
          </w:p>
        </w:tc>
        <w:tc>
          <w:tcPr>
            <w:tcW w:w="1601" w:type="dxa"/>
            <w:vMerge/>
          </w:tcPr>
          <w:p>
            <w:pPr/>
          </w:p>
        </w:tc>
      </w:tr>
      <w:tr>
        <w:trPr>
          <w:trHeight w:val="322" w:hRule="exact"/>
        </w:trPr>
        <w:tc>
          <w:tcPr>
            <w:tcW w:w="1380" w:type="dxa"/>
            <w:vMerge/>
          </w:tcPr>
          <w:p>
            <w:pPr/>
          </w:p>
        </w:tc>
        <w:tc>
          <w:tcPr>
            <w:tcW w:w="821" w:type="dxa"/>
          </w:tcPr>
          <w:p>
            <w:pPr>
              <w:pStyle w:val="TableParagraph"/>
              <w:spacing w:line="203" w:lineRule="exact"/>
              <w:ind w:right="2"/>
              <w:rPr>
                <w:sz w:val="18"/>
              </w:rPr>
            </w:pPr>
            <w:r>
              <w:rPr>
                <w:w w:val="99"/>
                <w:sz w:val="18"/>
              </w:rPr>
              <w:t>2</w:t>
            </w:r>
          </w:p>
        </w:tc>
        <w:tc>
          <w:tcPr>
            <w:tcW w:w="2379" w:type="dxa"/>
          </w:tcPr>
          <w:p>
            <w:pPr>
              <w:pStyle w:val="TableParagraph"/>
              <w:spacing w:line="203" w:lineRule="exact"/>
              <w:ind w:left="64"/>
              <w:jc w:val="left"/>
              <w:rPr>
                <w:sz w:val="18"/>
              </w:rPr>
            </w:pPr>
            <w:r>
              <w:rPr>
                <w:color w:val="181818"/>
                <w:sz w:val="18"/>
              </w:rPr>
              <w:t>Santo Tomás</w:t>
            </w:r>
          </w:p>
        </w:tc>
        <w:tc>
          <w:tcPr>
            <w:tcW w:w="1421" w:type="dxa"/>
          </w:tcPr>
          <w:p>
            <w:pPr/>
          </w:p>
        </w:tc>
        <w:tc>
          <w:tcPr>
            <w:tcW w:w="1601" w:type="dxa"/>
            <w:vMerge/>
          </w:tcPr>
          <w:p>
            <w:pPr/>
          </w:p>
        </w:tc>
      </w:tr>
      <w:tr>
        <w:trPr>
          <w:trHeight w:val="319"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Sultepec</w:t>
            </w:r>
          </w:p>
        </w:tc>
        <w:tc>
          <w:tcPr>
            <w:tcW w:w="1421" w:type="dxa"/>
          </w:tcPr>
          <w:p>
            <w:pPr>
              <w:pStyle w:val="TableParagraph"/>
              <w:spacing w:line="203" w:lineRule="exact"/>
              <w:ind w:left="380" w:right="379"/>
              <w:rPr>
                <w:sz w:val="18"/>
              </w:rPr>
            </w:pPr>
            <w:r>
              <w:rPr>
                <w:sz w:val="18"/>
              </w:rPr>
              <w:t>36.07%</w:t>
            </w:r>
          </w:p>
        </w:tc>
        <w:tc>
          <w:tcPr>
            <w:tcW w:w="1601" w:type="dxa"/>
            <w:vMerge/>
          </w:tcPr>
          <w:p>
            <w:pPr/>
          </w:p>
        </w:tc>
      </w:tr>
      <w:tr>
        <w:trPr>
          <w:trHeight w:val="322"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203" w:lineRule="exact"/>
              <w:ind w:left="64"/>
              <w:jc w:val="left"/>
              <w:rPr>
                <w:sz w:val="18"/>
              </w:rPr>
            </w:pPr>
            <w:r>
              <w:rPr>
                <w:color w:val="181818"/>
                <w:sz w:val="18"/>
              </w:rPr>
              <w:t>Tejupilco</w:t>
            </w:r>
          </w:p>
        </w:tc>
        <w:tc>
          <w:tcPr>
            <w:tcW w:w="1421" w:type="dxa"/>
          </w:tcPr>
          <w:p>
            <w:pPr/>
          </w:p>
        </w:tc>
        <w:tc>
          <w:tcPr>
            <w:tcW w:w="1601" w:type="dxa"/>
            <w:vMerge/>
          </w:tcPr>
          <w:p>
            <w:pPr/>
          </w:p>
        </w:tc>
      </w:tr>
      <w:tr>
        <w:trPr>
          <w:trHeight w:val="319"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203" w:lineRule="exact"/>
              <w:ind w:left="64"/>
              <w:jc w:val="left"/>
              <w:rPr>
                <w:sz w:val="18"/>
              </w:rPr>
            </w:pPr>
            <w:r>
              <w:rPr>
                <w:color w:val="181818"/>
                <w:sz w:val="18"/>
              </w:rPr>
              <w:t>Temascaltepec</w:t>
            </w:r>
          </w:p>
        </w:tc>
        <w:tc>
          <w:tcPr>
            <w:tcW w:w="1421" w:type="dxa"/>
          </w:tcPr>
          <w:p>
            <w:pPr/>
          </w:p>
        </w:tc>
        <w:tc>
          <w:tcPr>
            <w:tcW w:w="1601" w:type="dxa"/>
            <w:vMerge/>
          </w:tcPr>
          <w:p>
            <w:pPr/>
          </w:p>
        </w:tc>
      </w:tr>
      <w:tr>
        <w:trPr>
          <w:trHeight w:val="322"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Tenango del Valle</w:t>
            </w:r>
          </w:p>
        </w:tc>
        <w:tc>
          <w:tcPr>
            <w:tcW w:w="1421" w:type="dxa"/>
          </w:tcPr>
          <w:p>
            <w:pPr>
              <w:pStyle w:val="TableParagraph"/>
              <w:spacing w:line="203" w:lineRule="exact"/>
              <w:ind w:left="380" w:right="379"/>
              <w:rPr>
                <w:sz w:val="18"/>
              </w:rPr>
            </w:pPr>
            <w:r>
              <w:rPr>
                <w:sz w:val="18"/>
              </w:rPr>
              <w:t>35.21%</w:t>
            </w:r>
          </w:p>
        </w:tc>
        <w:tc>
          <w:tcPr>
            <w:tcW w:w="1601" w:type="dxa"/>
            <w:vMerge/>
          </w:tcPr>
          <w:p>
            <w:pPr/>
          </w:p>
        </w:tc>
      </w:tr>
      <w:tr>
        <w:trPr>
          <w:trHeight w:val="319" w:hRule="exact"/>
        </w:trPr>
        <w:tc>
          <w:tcPr>
            <w:tcW w:w="1380" w:type="dxa"/>
            <w:vMerge/>
          </w:tcPr>
          <w:p>
            <w:pPr/>
          </w:p>
        </w:tc>
        <w:tc>
          <w:tcPr>
            <w:tcW w:w="821" w:type="dxa"/>
          </w:tcPr>
          <w:p>
            <w:pPr>
              <w:pStyle w:val="TableParagraph"/>
              <w:spacing w:line="203" w:lineRule="exact"/>
              <w:ind w:right="2"/>
              <w:rPr>
                <w:sz w:val="18"/>
              </w:rPr>
            </w:pPr>
            <w:r>
              <w:rPr>
                <w:w w:val="99"/>
                <w:sz w:val="18"/>
              </w:rPr>
              <w:t>2</w:t>
            </w:r>
          </w:p>
        </w:tc>
        <w:tc>
          <w:tcPr>
            <w:tcW w:w="2379" w:type="dxa"/>
          </w:tcPr>
          <w:p>
            <w:pPr>
              <w:pStyle w:val="TableParagraph"/>
              <w:spacing w:line="203" w:lineRule="exact"/>
              <w:ind w:left="64"/>
              <w:jc w:val="left"/>
              <w:rPr>
                <w:sz w:val="18"/>
              </w:rPr>
            </w:pPr>
            <w:r>
              <w:rPr>
                <w:color w:val="181818"/>
                <w:sz w:val="18"/>
              </w:rPr>
              <w:t>Texcaltitlán</w:t>
            </w:r>
          </w:p>
        </w:tc>
        <w:tc>
          <w:tcPr>
            <w:tcW w:w="1421" w:type="dxa"/>
          </w:tcPr>
          <w:p>
            <w:pPr/>
          </w:p>
        </w:tc>
        <w:tc>
          <w:tcPr>
            <w:tcW w:w="1601" w:type="dxa"/>
            <w:vMerge/>
          </w:tcPr>
          <w:p>
            <w:pPr/>
          </w:p>
        </w:tc>
      </w:tr>
      <w:tr>
        <w:trPr>
          <w:trHeight w:val="322"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Timilpan</w:t>
            </w:r>
          </w:p>
        </w:tc>
        <w:tc>
          <w:tcPr>
            <w:tcW w:w="1421" w:type="dxa"/>
          </w:tcPr>
          <w:p>
            <w:pPr>
              <w:pStyle w:val="TableParagraph"/>
              <w:spacing w:line="203" w:lineRule="exact"/>
              <w:ind w:left="380" w:right="379"/>
              <w:rPr>
                <w:sz w:val="18"/>
              </w:rPr>
            </w:pPr>
            <w:r>
              <w:rPr>
                <w:sz w:val="18"/>
              </w:rPr>
              <w:t>28.17%</w:t>
            </w:r>
          </w:p>
        </w:tc>
        <w:tc>
          <w:tcPr>
            <w:tcW w:w="1601" w:type="dxa"/>
            <w:vMerge/>
          </w:tcPr>
          <w:p>
            <w:pPr/>
          </w:p>
        </w:tc>
      </w:tr>
      <w:tr>
        <w:trPr>
          <w:trHeight w:val="319"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203" w:lineRule="exact"/>
              <w:ind w:left="64"/>
              <w:jc w:val="left"/>
              <w:rPr>
                <w:sz w:val="18"/>
              </w:rPr>
            </w:pPr>
            <w:r>
              <w:rPr>
                <w:color w:val="181818"/>
                <w:sz w:val="18"/>
              </w:rPr>
              <w:t>Villa del Carbón</w:t>
            </w:r>
          </w:p>
        </w:tc>
        <w:tc>
          <w:tcPr>
            <w:tcW w:w="1421" w:type="dxa"/>
          </w:tcPr>
          <w:p>
            <w:pPr/>
          </w:p>
        </w:tc>
        <w:tc>
          <w:tcPr>
            <w:tcW w:w="1601" w:type="dxa"/>
            <w:vMerge/>
          </w:tcPr>
          <w:p>
            <w:pPr/>
          </w:p>
        </w:tc>
      </w:tr>
      <w:tr>
        <w:trPr>
          <w:trHeight w:val="322"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Zinacantepec</w:t>
            </w:r>
          </w:p>
        </w:tc>
        <w:tc>
          <w:tcPr>
            <w:tcW w:w="1421" w:type="dxa"/>
          </w:tcPr>
          <w:p>
            <w:pPr>
              <w:pStyle w:val="TableParagraph"/>
              <w:spacing w:line="203" w:lineRule="exact"/>
              <w:ind w:left="380" w:right="379"/>
              <w:rPr>
                <w:sz w:val="18"/>
              </w:rPr>
            </w:pPr>
            <w:r>
              <w:rPr>
                <w:sz w:val="18"/>
              </w:rPr>
              <w:t>93.08%</w:t>
            </w:r>
          </w:p>
        </w:tc>
        <w:tc>
          <w:tcPr>
            <w:tcW w:w="1601" w:type="dxa"/>
            <w:vMerge/>
          </w:tcPr>
          <w:p>
            <w:pPr/>
          </w:p>
        </w:tc>
      </w:tr>
      <w:tr>
        <w:trPr>
          <w:trHeight w:val="319"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Zumpango</w:t>
            </w:r>
          </w:p>
        </w:tc>
        <w:tc>
          <w:tcPr>
            <w:tcW w:w="1421" w:type="dxa"/>
          </w:tcPr>
          <w:p>
            <w:pPr>
              <w:pStyle w:val="TableParagraph"/>
              <w:spacing w:line="203" w:lineRule="exact"/>
              <w:ind w:left="380" w:right="379"/>
              <w:rPr>
                <w:sz w:val="18"/>
              </w:rPr>
            </w:pPr>
            <w:r>
              <w:rPr>
                <w:sz w:val="18"/>
              </w:rPr>
              <w:t>43.66%</w:t>
            </w:r>
          </w:p>
        </w:tc>
        <w:tc>
          <w:tcPr>
            <w:tcW w:w="1601" w:type="dxa"/>
            <w:vMerge/>
          </w:tcPr>
          <w:p>
            <w:pPr/>
          </w:p>
        </w:tc>
      </w:tr>
      <w:tr>
        <w:trPr>
          <w:trHeight w:val="327" w:hRule="exact"/>
        </w:trPr>
        <w:tc>
          <w:tcPr>
            <w:tcW w:w="1380" w:type="dxa"/>
            <w:vMerge/>
          </w:tcPr>
          <w:p>
            <w:pPr/>
          </w:p>
        </w:tc>
        <w:tc>
          <w:tcPr>
            <w:tcW w:w="821" w:type="dxa"/>
          </w:tcPr>
          <w:p>
            <w:pPr>
              <w:pStyle w:val="TableParagraph"/>
              <w:spacing w:line="206" w:lineRule="exact"/>
              <w:ind w:right="2"/>
              <w:rPr>
                <w:sz w:val="18"/>
              </w:rPr>
            </w:pPr>
            <w:r>
              <w:rPr>
                <w:w w:val="99"/>
                <w:sz w:val="18"/>
              </w:rPr>
              <w:t>1</w:t>
            </w:r>
          </w:p>
        </w:tc>
        <w:tc>
          <w:tcPr>
            <w:tcW w:w="2379" w:type="dxa"/>
          </w:tcPr>
          <w:p>
            <w:pPr>
              <w:pStyle w:val="TableParagraph"/>
              <w:spacing w:line="206" w:lineRule="exact"/>
              <w:ind w:left="64"/>
              <w:jc w:val="left"/>
              <w:rPr>
                <w:sz w:val="18"/>
              </w:rPr>
            </w:pPr>
            <w:r>
              <w:rPr>
                <w:color w:val="181818"/>
                <w:sz w:val="18"/>
              </w:rPr>
              <w:t>San José del Rincón</w:t>
            </w:r>
          </w:p>
        </w:tc>
        <w:tc>
          <w:tcPr>
            <w:tcW w:w="1421" w:type="dxa"/>
          </w:tcPr>
          <w:p>
            <w:pPr/>
          </w:p>
        </w:tc>
        <w:tc>
          <w:tcPr>
            <w:tcW w:w="1601" w:type="dxa"/>
            <w:vMerge/>
          </w:tcPr>
          <w:p>
            <w:pPr/>
          </w:p>
        </w:tc>
      </w:tr>
      <w:tr>
        <w:trPr>
          <w:trHeight w:val="319" w:hRule="exact"/>
        </w:trPr>
        <w:tc>
          <w:tcPr>
            <w:tcW w:w="1380" w:type="dxa"/>
            <w:vMerge w:val="restart"/>
          </w:tcPr>
          <w:p>
            <w:pPr>
              <w:pStyle w:val="TableParagraph"/>
              <w:jc w:val="left"/>
              <w:rPr>
                <w:sz w:val="18"/>
              </w:rPr>
            </w:pPr>
          </w:p>
          <w:p>
            <w:pPr>
              <w:pStyle w:val="TableParagraph"/>
              <w:jc w:val="left"/>
              <w:rPr>
                <w:sz w:val="18"/>
              </w:rPr>
            </w:pPr>
          </w:p>
          <w:p>
            <w:pPr>
              <w:pStyle w:val="TableParagraph"/>
              <w:spacing w:before="4"/>
              <w:jc w:val="left"/>
              <w:rPr>
                <w:sz w:val="19"/>
              </w:rPr>
            </w:pPr>
          </w:p>
          <w:p>
            <w:pPr>
              <w:pStyle w:val="TableParagraph"/>
              <w:ind w:left="93"/>
              <w:jc w:val="left"/>
              <w:rPr>
                <w:sz w:val="18"/>
              </w:rPr>
            </w:pPr>
            <w:r>
              <w:rPr>
                <w:sz w:val="18"/>
              </w:rPr>
              <w:t>PRI-PVEM-NA</w:t>
            </w: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203" w:lineRule="exact"/>
              <w:ind w:left="64"/>
              <w:jc w:val="left"/>
              <w:rPr>
                <w:sz w:val="18"/>
              </w:rPr>
            </w:pPr>
            <w:r>
              <w:rPr>
                <w:color w:val="181818"/>
                <w:sz w:val="18"/>
              </w:rPr>
              <w:t>Acolman</w:t>
            </w:r>
          </w:p>
        </w:tc>
        <w:tc>
          <w:tcPr>
            <w:tcW w:w="1421" w:type="dxa"/>
          </w:tcPr>
          <w:p>
            <w:pPr/>
          </w:p>
        </w:tc>
        <w:tc>
          <w:tcPr>
            <w:tcW w:w="1601" w:type="dxa"/>
            <w:vMerge w:val="restart"/>
          </w:tcPr>
          <w:p>
            <w:pPr>
              <w:pStyle w:val="TableParagraph"/>
              <w:jc w:val="left"/>
              <w:rPr>
                <w:sz w:val="18"/>
              </w:rPr>
            </w:pPr>
          </w:p>
          <w:p>
            <w:pPr>
              <w:pStyle w:val="TableParagraph"/>
              <w:jc w:val="left"/>
              <w:rPr>
                <w:sz w:val="18"/>
              </w:rPr>
            </w:pPr>
          </w:p>
          <w:p>
            <w:pPr>
              <w:pStyle w:val="TableParagraph"/>
              <w:spacing w:before="4"/>
              <w:jc w:val="left"/>
              <w:rPr>
                <w:sz w:val="19"/>
              </w:rPr>
            </w:pPr>
          </w:p>
          <w:p>
            <w:pPr>
              <w:pStyle w:val="TableParagraph"/>
              <w:ind w:left="489" w:right="193"/>
              <w:jc w:val="left"/>
              <w:rPr>
                <w:sz w:val="18"/>
              </w:rPr>
            </w:pPr>
            <w:r>
              <w:rPr>
                <w:sz w:val="18"/>
              </w:rPr>
              <w:t>32.86%</w:t>
            </w:r>
          </w:p>
        </w:tc>
      </w:tr>
      <w:tr>
        <w:trPr>
          <w:trHeight w:val="322"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Almoloya de Alquisiras</w:t>
            </w:r>
          </w:p>
        </w:tc>
        <w:tc>
          <w:tcPr>
            <w:tcW w:w="1421" w:type="dxa"/>
          </w:tcPr>
          <w:p>
            <w:pPr>
              <w:pStyle w:val="TableParagraph"/>
              <w:spacing w:line="203" w:lineRule="exact"/>
              <w:ind w:left="380" w:right="377"/>
              <w:rPr>
                <w:sz w:val="18"/>
              </w:rPr>
            </w:pPr>
            <w:r>
              <w:rPr>
                <w:sz w:val="18"/>
              </w:rPr>
              <w:t>0.00%</w:t>
            </w:r>
          </w:p>
        </w:tc>
        <w:tc>
          <w:tcPr>
            <w:tcW w:w="1601" w:type="dxa"/>
            <w:vMerge/>
          </w:tcPr>
          <w:p>
            <w:pPr/>
          </w:p>
        </w:tc>
      </w:tr>
      <w:tr>
        <w:trPr>
          <w:trHeight w:val="319"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Almoloya del Río</w:t>
            </w:r>
          </w:p>
        </w:tc>
        <w:tc>
          <w:tcPr>
            <w:tcW w:w="1421" w:type="dxa"/>
          </w:tcPr>
          <w:p>
            <w:pPr>
              <w:pStyle w:val="TableParagraph"/>
              <w:spacing w:line="203" w:lineRule="exact"/>
              <w:ind w:left="380" w:right="379"/>
              <w:rPr>
                <w:sz w:val="18"/>
              </w:rPr>
            </w:pPr>
            <w:r>
              <w:rPr>
                <w:sz w:val="18"/>
              </w:rPr>
              <w:t>17.33%</w:t>
            </w:r>
          </w:p>
        </w:tc>
        <w:tc>
          <w:tcPr>
            <w:tcW w:w="1601" w:type="dxa"/>
            <w:vMerge/>
          </w:tcPr>
          <w:p>
            <w:pPr/>
          </w:p>
        </w:tc>
      </w:tr>
      <w:tr>
        <w:trPr>
          <w:trHeight w:val="322"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203" w:lineRule="exact"/>
              <w:ind w:left="64"/>
              <w:jc w:val="left"/>
              <w:rPr>
                <w:sz w:val="18"/>
              </w:rPr>
            </w:pPr>
            <w:r>
              <w:rPr>
                <w:color w:val="181818"/>
                <w:sz w:val="18"/>
              </w:rPr>
              <w:t>Apaxco</w:t>
            </w:r>
          </w:p>
        </w:tc>
        <w:tc>
          <w:tcPr>
            <w:tcW w:w="1421" w:type="dxa"/>
          </w:tcPr>
          <w:p>
            <w:pPr/>
          </w:p>
        </w:tc>
        <w:tc>
          <w:tcPr>
            <w:tcW w:w="1601" w:type="dxa"/>
            <w:vMerge/>
          </w:tcPr>
          <w:p>
            <w:pPr/>
          </w:p>
        </w:tc>
      </w:tr>
      <w:tr>
        <w:trPr>
          <w:trHeight w:val="322"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203" w:lineRule="exact"/>
              <w:ind w:left="64"/>
              <w:jc w:val="left"/>
              <w:rPr>
                <w:sz w:val="18"/>
              </w:rPr>
            </w:pPr>
            <w:r>
              <w:rPr>
                <w:color w:val="181818"/>
                <w:sz w:val="18"/>
              </w:rPr>
              <w:t>Atenco</w:t>
            </w:r>
          </w:p>
        </w:tc>
        <w:tc>
          <w:tcPr>
            <w:tcW w:w="1421" w:type="dxa"/>
          </w:tcPr>
          <w:p>
            <w:pPr/>
          </w:p>
        </w:tc>
        <w:tc>
          <w:tcPr>
            <w:tcW w:w="1601" w:type="dxa"/>
            <w:vMerge/>
          </w:tcPr>
          <w:p>
            <w:pPr/>
          </w:p>
        </w:tc>
      </w:tr>
    </w:tbl>
    <w:p>
      <w:pPr>
        <w:spacing w:after="0"/>
        <w:sectPr>
          <w:pgSz w:w="12240" w:h="15840"/>
          <w:pgMar w:header="0" w:footer="975" w:top="1420" w:bottom="1160" w:left="1720" w:right="1720"/>
        </w:sectPr>
      </w:pPr>
    </w:p>
    <w:tbl>
      <w:tblPr>
        <w:tblW w:w="0" w:type="auto"/>
        <w:jc w:val="left"/>
        <w:tblInd w:w="5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0"/>
        <w:gridCol w:w="821"/>
        <w:gridCol w:w="2379"/>
        <w:gridCol w:w="1421"/>
        <w:gridCol w:w="1601"/>
      </w:tblGrid>
      <w:tr>
        <w:trPr>
          <w:trHeight w:val="630" w:hRule="exact"/>
        </w:trPr>
        <w:tc>
          <w:tcPr>
            <w:tcW w:w="7602" w:type="dxa"/>
            <w:gridSpan w:val="5"/>
            <w:shd w:val="clear" w:color="auto" w:fill="92D050"/>
          </w:tcPr>
          <w:p>
            <w:pPr>
              <w:pStyle w:val="TableParagraph"/>
              <w:spacing w:line="360" w:lineRule="auto"/>
              <w:ind w:left="3159" w:right="365" w:hanging="2783"/>
              <w:jc w:val="left"/>
              <w:rPr>
                <w:b/>
                <w:sz w:val="18"/>
              </w:rPr>
            </w:pPr>
            <w:r>
              <w:rPr>
                <w:b/>
                <w:sz w:val="18"/>
              </w:rPr>
              <w:t>Anexo 14. Porcentaje de cumplimiento por municipio y por partido político 2015 (Continuación)</w:t>
            </w:r>
          </w:p>
        </w:tc>
      </w:tr>
      <w:tr>
        <w:trPr>
          <w:trHeight w:val="631" w:hRule="exact"/>
        </w:trPr>
        <w:tc>
          <w:tcPr>
            <w:tcW w:w="1380" w:type="dxa"/>
            <w:shd w:val="clear" w:color="auto" w:fill="92D050"/>
          </w:tcPr>
          <w:p>
            <w:pPr>
              <w:pStyle w:val="TableParagraph"/>
              <w:spacing w:before="147"/>
              <w:ind w:left="374"/>
              <w:jc w:val="left"/>
              <w:rPr>
                <w:b/>
                <w:sz w:val="18"/>
              </w:rPr>
            </w:pPr>
            <w:r>
              <w:rPr>
                <w:b/>
                <w:sz w:val="18"/>
              </w:rPr>
              <w:t>Partido</w:t>
            </w:r>
          </w:p>
        </w:tc>
        <w:tc>
          <w:tcPr>
            <w:tcW w:w="821" w:type="dxa"/>
            <w:shd w:val="clear" w:color="auto" w:fill="92D050"/>
          </w:tcPr>
          <w:p>
            <w:pPr>
              <w:pStyle w:val="TableParagraph"/>
              <w:spacing w:before="147"/>
              <w:ind w:left="70" w:right="71"/>
              <w:rPr>
                <w:b/>
                <w:sz w:val="18"/>
              </w:rPr>
            </w:pPr>
            <w:r>
              <w:rPr>
                <w:b/>
                <w:sz w:val="18"/>
              </w:rPr>
              <w:t>Genero</w:t>
            </w:r>
          </w:p>
        </w:tc>
        <w:tc>
          <w:tcPr>
            <w:tcW w:w="2379" w:type="dxa"/>
            <w:shd w:val="clear" w:color="auto" w:fill="92D050"/>
          </w:tcPr>
          <w:p>
            <w:pPr>
              <w:pStyle w:val="TableParagraph"/>
              <w:spacing w:before="147"/>
              <w:ind w:left="273"/>
              <w:jc w:val="left"/>
              <w:rPr>
                <w:b/>
                <w:sz w:val="18"/>
              </w:rPr>
            </w:pPr>
            <w:r>
              <w:rPr>
                <w:b/>
                <w:sz w:val="18"/>
              </w:rPr>
              <w:t>Municipio gobernado</w:t>
            </w:r>
          </w:p>
        </w:tc>
        <w:tc>
          <w:tcPr>
            <w:tcW w:w="1421" w:type="dxa"/>
            <w:shd w:val="clear" w:color="auto" w:fill="92D050"/>
          </w:tcPr>
          <w:p>
            <w:pPr>
              <w:pStyle w:val="TableParagraph"/>
              <w:spacing w:line="362" w:lineRule="auto"/>
              <w:ind w:left="119" w:right="102" w:firstLine="376"/>
              <w:jc w:val="left"/>
              <w:rPr>
                <w:b/>
                <w:sz w:val="18"/>
              </w:rPr>
            </w:pPr>
            <w:r>
              <w:rPr>
                <w:b/>
                <w:sz w:val="18"/>
              </w:rPr>
              <w:t>% de cumplimiento</w:t>
            </w:r>
          </w:p>
        </w:tc>
        <w:tc>
          <w:tcPr>
            <w:tcW w:w="1601" w:type="dxa"/>
            <w:shd w:val="clear" w:color="auto" w:fill="92D050"/>
          </w:tcPr>
          <w:p>
            <w:pPr>
              <w:pStyle w:val="TableParagraph"/>
              <w:spacing w:line="362" w:lineRule="auto"/>
              <w:ind w:left="208" w:right="193" w:firstLine="14"/>
              <w:jc w:val="left"/>
              <w:rPr>
                <w:b/>
                <w:sz w:val="18"/>
              </w:rPr>
            </w:pPr>
            <w:r>
              <w:rPr>
                <w:b/>
                <w:sz w:val="18"/>
              </w:rPr>
              <w:t>Promedio del cumplimiento</w:t>
            </w:r>
          </w:p>
        </w:tc>
      </w:tr>
      <w:tr>
        <w:trPr>
          <w:trHeight w:val="322" w:hRule="exact"/>
        </w:trPr>
        <w:tc>
          <w:tcPr>
            <w:tcW w:w="1380" w:type="dxa"/>
            <w:vMerge w:val="restart"/>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1"/>
              <w:jc w:val="left"/>
              <w:rPr>
                <w:sz w:val="23"/>
              </w:rPr>
            </w:pPr>
          </w:p>
          <w:p>
            <w:pPr>
              <w:pStyle w:val="TableParagraph"/>
              <w:ind w:left="93"/>
              <w:jc w:val="left"/>
              <w:rPr>
                <w:sz w:val="18"/>
              </w:rPr>
            </w:pPr>
            <w:r>
              <w:rPr>
                <w:sz w:val="18"/>
              </w:rPr>
              <w:t>PRI-PVEM-NA</w:t>
            </w:r>
          </w:p>
        </w:tc>
        <w:tc>
          <w:tcPr>
            <w:tcW w:w="821" w:type="dxa"/>
          </w:tcPr>
          <w:p>
            <w:pPr>
              <w:pStyle w:val="TableParagraph"/>
              <w:spacing w:line="203" w:lineRule="exact"/>
              <w:ind w:right="2"/>
              <w:rPr>
                <w:sz w:val="18"/>
              </w:rPr>
            </w:pPr>
            <w:r>
              <w:rPr>
                <w:w w:val="99"/>
                <w:sz w:val="18"/>
              </w:rPr>
              <w:t>2</w:t>
            </w:r>
          </w:p>
        </w:tc>
        <w:tc>
          <w:tcPr>
            <w:tcW w:w="2379" w:type="dxa"/>
          </w:tcPr>
          <w:p>
            <w:pPr>
              <w:pStyle w:val="TableParagraph"/>
              <w:spacing w:line="199" w:lineRule="exact"/>
              <w:ind w:left="64"/>
              <w:jc w:val="left"/>
              <w:rPr>
                <w:b/>
                <w:sz w:val="18"/>
              </w:rPr>
            </w:pPr>
            <w:r>
              <w:rPr>
                <w:b/>
                <w:color w:val="181818"/>
                <w:sz w:val="18"/>
              </w:rPr>
              <w:t>Atlacomulco</w:t>
            </w:r>
          </w:p>
        </w:tc>
        <w:tc>
          <w:tcPr>
            <w:tcW w:w="1421" w:type="dxa"/>
          </w:tcPr>
          <w:p>
            <w:pPr>
              <w:pStyle w:val="TableParagraph"/>
              <w:spacing w:line="203" w:lineRule="exact"/>
              <w:ind w:left="380" w:right="379"/>
              <w:rPr>
                <w:sz w:val="18"/>
              </w:rPr>
            </w:pPr>
            <w:r>
              <w:rPr>
                <w:sz w:val="18"/>
              </w:rPr>
              <w:t>55.80%</w:t>
            </w:r>
          </w:p>
        </w:tc>
        <w:tc>
          <w:tcPr>
            <w:tcW w:w="1601" w:type="dxa"/>
            <w:vMerge w:val="restart"/>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1"/>
              <w:jc w:val="left"/>
              <w:rPr>
                <w:sz w:val="23"/>
              </w:rPr>
            </w:pPr>
          </w:p>
          <w:p>
            <w:pPr>
              <w:pStyle w:val="TableParagraph"/>
              <w:ind w:left="489" w:right="193"/>
              <w:jc w:val="left"/>
              <w:rPr>
                <w:sz w:val="18"/>
              </w:rPr>
            </w:pPr>
            <w:r>
              <w:rPr>
                <w:sz w:val="18"/>
              </w:rPr>
              <w:t>32.86%</w:t>
            </w:r>
          </w:p>
        </w:tc>
      </w:tr>
      <w:tr>
        <w:trPr>
          <w:trHeight w:val="319"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203" w:lineRule="exact"/>
              <w:ind w:left="64"/>
              <w:jc w:val="left"/>
              <w:rPr>
                <w:sz w:val="18"/>
              </w:rPr>
            </w:pPr>
            <w:r>
              <w:rPr>
                <w:color w:val="181818"/>
                <w:sz w:val="18"/>
              </w:rPr>
              <w:t>Atlautla</w:t>
            </w:r>
          </w:p>
        </w:tc>
        <w:tc>
          <w:tcPr>
            <w:tcW w:w="1421" w:type="dxa"/>
          </w:tcPr>
          <w:p>
            <w:pPr/>
          </w:p>
        </w:tc>
        <w:tc>
          <w:tcPr>
            <w:tcW w:w="1601" w:type="dxa"/>
            <w:vMerge/>
          </w:tcPr>
          <w:p>
            <w:pPr/>
          </w:p>
        </w:tc>
      </w:tr>
      <w:tr>
        <w:trPr>
          <w:trHeight w:val="322" w:hRule="exact"/>
        </w:trPr>
        <w:tc>
          <w:tcPr>
            <w:tcW w:w="1380" w:type="dxa"/>
            <w:vMerge/>
          </w:tcPr>
          <w:p>
            <w:pPr/>
          </w:p>
        </w:tc>
        <w:tc>
          <w:tcPr>
            <w:tcW w:w="821" w:type="dxa"/>
          </w:tcPr>
          <w:p>
            <w:pPr>
              <w:pStyle w:val="TableParagraph"/>
              <w:spacing w:line="203" w:lineRule="exact"/>
              <w:ind w:right="2"/>
              <w:rPr>
                <w:sz w:val="18"/>
              </w:rPr>
            </w:pPr>
            <w:r>
              <w:rPr>
                <w:w w:val="99"/>
                <w:sz w:val="18"/>
              </w:rPr>
              <w:t>2</w:t>
            </w:r>
          </w:p>
        </w:tc>
        <w:tc>
          <w:tcPr>
            <w:tcW w:w="2379" w:type="dxa"/>
          </w:tcPr>
          <w:p>
            <w:pPr>
              <w:pStyle w:val="TableParagraph"/>
              <w:spacing w:line="199" w:lineRule="exact"/>
              <w:ind w:left="64"/>
              <w:jc w:val="left"/>
              <w:rPr>
                <w:b/>
                <w:sz w:val="18"/>
              </w:rPr>
            </w:pPr>
            <w:r>
              <w:rPr>
                <w:b/>
                <w:color w:val="181818"/>
                <w:sz w:val="18"/>
              </w:rPr>
              <w:t>Ayapango</w:t>
            </w:r>
          </w:p>
        </w:tc>
        <w:tc>
          <w:tcPr>
            <w:tcW w:w="1421" w:type="dxa"/>
          </w:tcPr>
          <w:p>
            <w:pPr>
              <w:pStyle w:val="TableParagraph"/>
              <w:spacing w:line="203" w:lineRule="exact"/>
              <w:ind w:left="380" w:right="377"/>
              <w:rPr>
                <w:sz w:val="18"/>
              </w:rPr>
            </w:pPr>
            <w:r>
              <w:rPr>
                <w:sz w:val="18"/>
              </w:rPr>
              <w:t>0.00%</w:t>
            </w:r>
          </w:p>
        </w:tc>
        <w:tc>
          <w:tcPr>
            <w:tcW w:w="1601" w:type="dxa"/>
            <w:vMerge/>
          </w:tcPr>
          <w:p>
            <w:pPr/>
          </w:p>
        </w:tc>
      </w:tr>
      <w:tr>
        <w:trPr>
          <w:trHeight w:val="319"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Calimaya</w:t>
            </w:r>
          </w:p>
        </w:tc>
        <w:tc>
          <w:tcPr>
            <w:tcW w:w="1421" w:type="dxa"/>
          </w:tcPr>
          <w:p>
            <w:pPr>
              <w:pStyle w:val="TableParagraph"/>
              <w:spacing w:line="203" w:lineRule="exact"/>
              <w:ind w:left="380" w:right="379"/>
              <w:rPr>
                <w:sz w:val="18"/>
              </w:rPr>
            </w:pPr>
            <w:r>
              <w:rPr>
                <w:sz w:val="18"/>
              </w:rPr>
              <w:t>31.28%</w:t>
            </w:r>
          </w:p>
        </w:tc>
        <w:tc>
          <w:tcPr>
            <w:tcW w:w="1601" w:type="dxa"/>
            <w:vMerge/>
          </w:tcPr>
          <w:p>
            <w:pPr/>
          </w:p>
        </w:tc>
      </w:tr>
      <w:tr>
        <w:trPr>
          <w:trHeight w:val="322"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Coacalco de Berriozábal</w:t>
            </w:r>
          </w:p>
        </w:tc>
        <w:tc>
          <w:tcPr>
            <w:tcW w:w="1421" w:type="dxa"/>
          </w:tcPr>
          <w:p>
            <w:pPr>
              <w:pStyle w:val="TableParagraph"/>
              <w:spacing w:line="203" w:lineRule="exact"/>
              <w:ind w:left="380" w:right="377"/>
              <w:rPr>
                <w:sz w:val="18"/>
              </w:rPr>
            </w:pPr>
            <w:r>
              <w:rPr>
                <w:sz w:val="18"/>
              </w:rPr>
              <w:t>0.00%</w:t>
            </w:r>
          </w:p>
        </w:tc>
        <w:tc>
          <w:tcPr>
            <w:tcW w:w="1601" w:type="dxa"/>
            <w:vMerge/>
          </w:tcPr>
          <w:p>
            <w:pPr/>
          </w:p>
        </w:tc>
      </w:tr>
      <w:tr>
        <w:trPr>
          <w:trHeight w:val="319"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Coatepec Harinas</w:t>
            </w:r>
          </w:p>
        </w:tc>
        <w:tc>
          <w:tcPr>
            <w:tcW w:w="1421" w:type="dxa"/>
          </w:tcPr>
          <w:p>
            <w:pPr>
              <w:pStyle w:val="TableParagraph"/>
              <w:spacing w:line="203" w:lineRule="exact"/>
              <w:ind w:left="380" w:right="379"/>
              <w:rPr>
                <w:sz w:val="18"/>
              </w:rPr>
            </w:pPr>
            <w:r>
              <w:rPr>
                <w:sz w:val="18"/>
              </w:rPr>
              <w:t>12.76%</w:t>
            </w:r>
          </w:p>
        </w:tc>
        <w:tc>
          <w:tcPr>
            <w:tcW w:w="1601" w:type="dxa"/>
            <w:vMerge/>
          </w:tcPr>
          <w:p>
            <w:pPr/>
          </w:p>
        </w:tc>
      </w:tr>
      <w:tr>
        <w:trPr>
          <w:trHeight w:val="322" w:hRule="exact"/>
        </w:trPr>
        <w:tc>
          <w:tcPr>
            <w:tcW w:w="1380" w:type="dxa"/>
            <w:vMerge/>
          </w:tcPr>
          <w:p>
            <w:pPr/>
          </w:p>
        </w:tc>
        <w:tc>
          <w:tcPr>
            <w:tcW w:w="821" w:type="dxa"/>
          </w:tcPr>
          <w:p>
            <w:pPr>
              <w:pStyle w:val="TableParagraph"/>
              <w:spacing w:line="206" w:lineRule="exact"/>
              <w:ind w:right="2"/>
              <w:rPr>
                <w:sz w:val="18"/>
              </w:rPr>
            </w:pPr>
            <w:r>
              <w:rPr>
                <w:w w:val="99"/>
                <w:sz w:val="18"/>
              </w:rPr>
              <w:t>2</w:t>
            </w:r>
          </w:p>
        </w:tc>
        <w:tc>
          <w:tcPr>
            <w:tcW w:w="2379" w:type="dxa"/>
          </w:tcPr>
          <w:p>
            <w:pPr>
              <w:pStyle w:val="TableParagraph"/>
              <w:spacing w:line="201" w:lineRule="exact"/>
              <w:ind w:left="64"/>
              <w:jc w:val="left"/>
              <w:rPr>
                <w:b/>
                <w:sz w:val="18"/>
              </w:rPr>
            </w:pPr>
            <w:r>
              <w:rPr>
                <w:b/>
                <w:color w:val="181818"/>
                <w:sz w:val="18"/>
              </w:rPr>
              <w:t>Cuautitlán</w:t>
            </w:r>
          </w:p>
        </w:tc>
        <w:tc>
          <w:tcPr>
            <w:tcW w:w="1421" w:type="dxa"/>
          </w:tcPr>
          <w:p>
            <w:pPr>
              <w:pStyle w:val="TableParagraph"/>
              <w:spacing w:line="206" w:lineRule="exact"/>
              <w:ind w:left="380" w:right="379"/>
              <w:rPr>
                <w:sz w:val="18"/>
              </w:rPr>
            </w:pPr>
            <w:r>
              <w:rPr>
                <w:sz w:val="18"/>
              </w:rPr>
              <w:t>57.14%</w:t>
            </w:r>
          </w:p>
        </w:tc>
        <w:tc>
          <w:tcPr>
            <w:tcW w:w="1601" w:type="dxa"/>
            <w:vMerge/>
          </w:tcPr>
          <w:p>
            <w:pPr/>
          </w:p>
        </w:tc>
      </w:tr>
      <w:tr>
        <w:trPr>
          <w:trHeight w:val="320"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203" w:lineRule="exact"/>
              <w:ind w:left="64"/>
              <w:jc w:val="left"/>
              <w:rPr>
                <w:sz w:val="18"/>
              </w:rPr>
            </w:pPr>
            <w:r>
              <w:rPr>
                <w:color w:val="181818"/>
                <w:sz w:val="18"/>
              </w:rPr>
              <w:t>Chalco</w:t>
            </w:r>
          </w:p>
        </w:tc>
        <w:tc>
          <w:tcPr>
            <w:tcW w:w="1421" w:type="dxa"/>
          </w:tcPr>
          <w:p>
            <w:pPr/>
          </w:p>
        </w:tc>
        <w:tc>
          <w:tcPr>
            <w:tcW w:w="1601" w:type="dxa"/>
            <w:vMerge/>
          </w:tcPr>
          <w:p>
            <w:pPr/>
          </w:p>
        </w:tc>
      </w:tr>
      <w:tr>
        <w:trPr>
          <w:trHeight w:val="322" w:hRule="exact"/>
        </w:trPr>
        <w:tc>
          <w:tcPr>
            <w:tcW w:w="1380" w:type="dxa"/>
            <w:vMerge/>
          </w:tcPr>
          <w:p>
            <w:pPr/>
          </w:p>
        </w:tc>
        <w:tc>
          <w:tcPr>
            <w:tcW w:w="821" w:type="dxa"/>
          </w:tcPr>
          <w:p>
            <w:pPr>
              <w:pStyle w:val="TableParagraph"/>
              <w:spacing w:line="206" w:lineRule="exact"/>
              <w:ind w:right="2"/>
              <w:rPr>
                <w:sz w:val="18"/>
              </w:rPr>
            </w:pPr>
            <w:r>
              <w:rPr>
                <w:w w:val="99"/>
                <w:sz w:val="18"/>
              </w:rPr>
              <w:t>1</w:t>
            </w:r>
          </w:p>
        </w:tc>
        <w:tc>
          <w:tcPr>
            <w:tcW w:w="2379" w:type="dxa"/>
          </w:tcPr>
          <w:p>
            <w:pPr>
              <w:pStyle w:val="TableParagraph"/>
              <w:spacing w:line="206" w:lineRule="exact"/>
              <w:ind w:left="64"/>
              <w:jc w:val="left"/>
              <w:rPr>
                <w:sz w:val="18"/>
              </w:rPr>
            </w:pPr>
            <w:r>
              <w:rPr>
                <w:color w:val="181818"/>
                <w:sz w:val="18"/>
              </w:rPr>
              <w:t>Chiautla</w:t>
            </w:r>
          </w:p>
        </w:tc>
        <w:tc>
          <w:tcPr>
            <w:tcW w:w="1421" w:type="dxa"/>
          </w:tcPr>
          <w:p>
            <w:pPr/>
          </w:p>
        </w:tc>
        <w:tc>
          <w:tcPr>
            <w:tcW w:w="1601" w:type="dxa"/>
            <w:vMerge/>
          </w:tcPr>
          <w:p>
            <w:pPr/>
          </w:p>
        </w:tc>
      </w:tr>
      <w:tr>
        <w:trPr>
          <w:trHeight w:val="322"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Chicoloapan</w:t>
            </w:r>
          </w:p>
        </w:tc>
        <w:tc>
          <w:tcPr>
            <w:tcW w:w="1421" w:type="dxa"/>
          </w:tcPr>
          <w:p>
            <w:pPr>
              <w:pStyle w:val="TableParagraph"/>
              <w:spacing w:line="203" w:lineRule="exact"/>
              <w:ind w:left="380" w:right="379"/>
              <w:rPr>
                <w:sz w:val="18"/>
              </w:rPr>
            </w:pPr>
            <w:r>
              <w:rPr>
                <w:sz w:val="18"/>
              </w:rPr>
              <w:t>42.15%</w:t>
            </w:r>
          </w:p>
        </w:tc>
        <w:tc>
          <w:tcPr>
            <w:tcW w:w="1601" w:type="dxa"/>
            <w:vMerge/>
          </w:tcPr>
          <w:p>
            <w:pPr/>
          </w:p>
        </w:tc>
      </w:tr>
      <w:tr>
        <w:trPr>
          <w:trHeight w:val="319"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203" w:lineRule="exact"/>
              <w:ind w:left="64"/>
              <w:jc w:val="left"/>
              <w:rPr>
                <w:sz w:val="18"/>
              </w:rPr>
            </w:pPr>
            <w:r>
              <w:rPr>
                <w:color w:val="181818"/>
                <w:sz w:val="18"/>
              </w:rPr>
              <w:t>Chiconcuac</w:t>
            </w:r>
          </w:p>
        </w:tc>
        <w:tc>
          <w:tcPr>
            <w:tcW w:w="1421" w:type="dxa"/>
          </w:tcPr>
          <w:p>
            <w:pPr/>
          </w:p>
        </w:tc>
        <w:tc>
          <w:tcPr>
            <w:tcW w:w="1601" w:type="dxa"/>
            <w:vMerge/>
          </w:tcPr>
          <w:p>
            <w:pPr/>
          </w:p>
        </w:tc>
      </w:tr>
      <w:tr>
        <w:trPr>
          <w:trHeight w:val="322" w:hRule="exact"/>
        </w:trPr>
        <w:tc>
          <w:tcPr>
            <w:tcW w:w="1380" w:type="dxa"/>
            <w:vMerge/>
          </w:tcPr>
          <w:p>
            <w:pPr/>
          </w:p>
        </w:tc>
        <w:tc>
          <w:tcPr>
            <w:tcW w:w="821" w:type="dxa"/>
          </w:tcPr>
          <w:p>
            <w:pPr>
              <w:pStyle w:val="TableParagraph"/>
              <w:spacing w:line="203" w:lineRule="exact"/>
              <w:ind w:right="2"/>
              <w:rPr>
                <w:sz w:val="18"/>
              </w:rPr>
            </w:pPr>
            <w:r>
              <w:rPr>
                <w:w w:val="99"/>
                <w:sz w:val="18"/>
              </w:rPr>
              <w:t>2</w:t>
            </w:r>
          </w:p>
        </w:tc>
        <w:tc>
          <w:tcPr>
            <w:tcW w:w="2379" w:type="dxa"/>
          </w:tcPr>
          <w:p>
            <w:pPr>
              <w:pStyle w:val="TableParagraph"/>
              <w:spacing w:line="199" w:lineRule="exact"/>
              <w:ind w:left="64"/>
              <w:jc w:val="left"/>
              <w:rPr>
                <w:b/>
                <w:sz w:val="18"/>
              </w:rPr>
            </w:pPr>
            <w:r>
              <w:rPr>
                <w:b/>
                <w:color w:val="181818"/>
                <w:sz w:val="18"/>
              </w:rPr>
              <w:t>Chimalhuacán</w:t>
            </w:r>
          </w:p>
        </w:tc>
        <w:tc>
          <w:tcPr>
            <w:tcW w:w="1421" w:type="dxa"/>
          </w:tcPr>
          <w:p>
            <w:pPr>
              <w:pStyle w:val="TableParagraph"/>
              <w:spacing w:line="203" w:lineRule="exact"/>
              <w:ind w:left="380" w:right="379"/>
              <w:rPr>
                <w:sz w:val="18"/>
              </w:rPr>
            </w:pPr>
            <w:r>
              <w:rPr>
                <w:sz w:val="18"/>
              </w:rPr>
              <w:t>49.04%</w:t>
            </w:r>
          </w:p>
        </w:tc>
        <w:tc>
          <w:tcPr>
            <w:tcW w:w="1601" w:type="dxa"/>
            <w:vMerge/>
          </w:tcPr>
          <w:p>
            <w:pPr/>
          </w:p>
        </w:tc>
      </w:tr>
      <w:tr>
        <w:trPr>
          <w:trHeight w:val="319"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203" w:lineRule="exact"/>
              <w:ind w:left="64"/>
              <w:jc w:val="left"/>
              <w:rPr>
                <w:sz w:val="18"/>
              </w:rPr>
            </w:pPr>
            <w:r>
              <w:rPr>
                <w:color w:val="181818"/>
                <w:sz w:val="18"/>
              </w:rPr>
              <w:t>Ecatepec de Morelos</w:t>
            </w:r>
          </w:p>
        </w:tc>
        <w:tc>
          <w:tcPr>
            <w:tcW w:w="1421" w:type="dxa"/>
          </w:tcPr>
          <w:p>
            <w:pPr/>
          </w:p>
        </w:tc>
        <w:tc>
          <w:tcPr>
            <w:tcW w:w="1601" w:type="dxa"/>
            <w:vMerge/>
          </w:tcPr>
          <w:p>
            <w:pPr/>
          </w:p>
        </w:tc>
      </w:tr>
      <w:tr>
        <w:trPr>
          <w:trHeight w:val="322"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203" w:lineRule="exact"/>
              <w:ind w:left="64"/>
              <w:jc w:val="left"/>
              <w:rPr>
                <w:sz w:val="18"/>
              </w:rPr>
            </w:pPr>
            <w:r>
              <w:rPr>
                <w:color w:val="181818"/>
                <w:sz w:val="18"/>
              </w:rPr>
              <w:t>Hueypoxtla</w:t>
            </w:r>
          </w:p>
        </w:tc>
        <w:tc>
          <w:tcPr>
            <w:tcW w:w="1421" w:type="dxa"/>
          </w:tcPr>
          <w:p>
            <w:pPr/>
          </w:p>
        </w:tc>
        <w:tc>
          <w:tcPr>
            <w:tcW w:w="1601" w:type="dxa"/>
            <w:vMerge/>
          </w:tcPr>
          <w:p>
            <w:pPr/>
          </w:p>
        </w:tc>
      </w:tr>
      <w:tr>
        <w:trPr>
          <w:trHeight w:val="319"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203" w:lineRule="exact"/>
              <w:ind w:left="64"/>
              <w:jc w:val="left"/>
              <w:rPr>
                <w:sz w:val="18"/>
              </w:rPr>
            </w:pPr>
            <w:r>
              <w:rPr>
                <w:color w:val="181818"/>
                <w:sz w:val="18"/>
              </w:rPr>
              <w:t>Ixtapaluca</w:t>
            </w:r>
          </w:p>
        </w:tc>
        <w:tc>
          <w:tcPr>
            <w:tcW w:w="1421" w:type="dxa"/>
          </w:tcPr>
          <w:p>
            <w:pPr/>
          </w:p>
        </w:tc>
        <w:tc>
          <w:tcPr>
            <w:tcW w:w="1601" w:type="dxa"/>
            <w:vMerge/>
          </w:tcPr>
          <w:p>
            <w:pPr/>
          </w:p>
        </w:tc>
      </w:tr>
      <w:tr>
        <w:trPr>
          <w:trHeight w:val="322"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Ixtapan de la Sal</w:t>
            </w:r>
          </w:p>
        </w:tc>
        <w:tc>
          <w:tcPr>
            <w:tcW w:w="1421" w:type="dxa"/>
          </w:tcPr>
          <w:p>
            <w:pPr>
              <w:pStyle w:val="TableParagraph"/>
              <w:spacing w:line="203" w:lineRule="exact"/>
              <w:ind w:left="380" w:right="379"/>
              <w:rPr>
                <w:sz w:val="18"/>
              </w:rPr>
            </w:pPr>
            <w:r>
              <w:rPr>
                <w:sz w:val="18"/>
              </w:rPr>
              <w:t>44.81%</w:t>
            </w:r>
          </w:p>
        </w:tc>
        <w:tc>
          <w:tcPr>
            <w:tcW w:w="1601" w:type="dxa"/>
            <w:vMerge/>
          </w:tcPr>
          <w:p>
            <w:pPr/>
          </w:p>
        </w:tc>
      </w:tr>
      <w:tr>
        <w:trPr>
          <w:trHeight w:val="319"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Jaltenco</w:t>
            </w:r>
          </w:p>
        </w:tc>
        <w:tc>
          <w:tcPr>
            <w:tcW w:w="1421" w:type="dxa"/>
          </w:tcPr>
          <w:p>
            <w:pPr>
              <w:pStyle w:val="TableParagraph"/>
              <w:spacing w:line="203" w:lineRule="exact"/>
              <w:ind w:left="380" w:right="377"/>
              <w:rPr>
                <w:sz w:val="18"/>
              </w:rPr>
            </w:pPr>
            <w:r>
              <w:rPr>
                <w:sz w:val="18"/>
              </w:rPr>
              <w:t>0.00%</w:t>
            </w:r>
          </w:p>
        </w:tc>
        <w:tc>
          <w:tcPr>
            <w:tcW w:w="1601" w:type="dxa"/>
            <w:vMerge/>
          </w:tcPr>
          <w:p>
            <w:pPr/>
          </w:p>
        </w:tc>
      </w:tr>
      <w:tr>
        <w:trPr>
          <w:trHeight w:val="322"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Jocotitlán</w:t>
            </w:r>
          </w:p>
        </w:tc>
        <w:tc>
          <w:tcPr>
            <w:tcW w:w="1421" w:type="dxa"/>
          </w:tcPr>
          <w:p>
            <w:pPr>
              <w:pStyle w:val="TableParagraph"/>
              <w:spacing w:line="203" w:lineRule="exact"/>
              <w:ind w:left="380" w:right="379"/>
              <w:rPr>
                <w:sz w:val="18"/>
              </w:rPr>
            </w:pPr>
            <w:r>
              <w:rPr>
                <w:sz w:val="18"/>
              </w:rPr>
              <w:t>75.61%</w:t>
            </w:r>
          </w:p>
        </w:tc>
        <w:tc>
          <w:tcPr>
            <w:tcW w:w="1601" w:type="dxa"/>
            <w:vMerge/>
          </w:tcPr>
          <w:p>
            <w:pPr/>
          </w:p>
        </w:tc>
      </w:tr>
      <w:tr>
        <w:trPr>
          <w:trHeight w:val="320" w:hRule="exact"/>
        </w:trPr>
        <w:tc>
          <w:tcPr>
            <w:tcW w:w="1380" w:type="dxa"/>
            <w:vMerge/>
          </w:tcPr>
          <w:p>
            <w:pPr/>
          </w:p>
        </w:tc>
        <w:tc>
          <w:tcPr>
            <w:tcW w:w="821" w:type="dxa"/>
          </w:tcPr>
          <w:p>
            <w:pPr>
              <w:pStyle w:val="TableParagraph"/>
              <w:spacing w:line="203" w:lineRule="exact"/>
              <w:ind w:right="2"/>
              <w:rPr>
                <w:sz w:val="18"/>
              </w:rPr>
            </w:pPr>
            <w:r>
              <w:rPr>
                <w:w w:val="99"/>
                <w:sz w:val="18"/>
              </w:rPr>
              <w:t>2</w:t>
            </w:r>
          </w:p>
        </w:tc>
        <w:tc>
          <w:tcPr>
            <w:tcW w:w="2379" w:type="dxa"/>
          </w:tcPr>
          <w:p>
            <w:pPr>
              <w:pStyle w:val="TableParagraph"/>
              <w:spacing w:line="203" w:lineRule="exact"/>
              <w:ind w:left="64"/>
              <w:jc w:val="left"/>
              <w:rPr>
                <w:sz w:val="18"/>
              </w:rPr>
            </w:pPr>
            <w:r>
              <w:rPr>
                <w:color w:val="181818"/>
                <w:sz w:val="18"/>
              </w:rPr>
              <w:t>Joquicingo</w:t>
            </w:r>
          </w:p>
        </w:tc>
        <w:tc>
          <w:tcPr>
            <w:tcW w:w="1421" w:type="dxa"/>
          </w:tcPr>
          <w:p>
            <w:pPr/>
          </w:p>
        </w:tc>
        <w:tc>
          <w:tcPr>
            <w:tcW w:w="1601" w:type="dxa"/>
            <w:vMerge/>
          </w:tcPr>
          <w:p>
            <w:pPr/>
          </w:p>
        </w:tc>
      </w:tr>
      <w:tr>
        <w:trPr>
          <w:trHeight w:val="322"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203" w:lineRule="exact"/>
              <w:ind w:left="64"/>
              <w:jc w:val="left"/>
              <w:rPr>
                <w:sz w:val="18"/>
              </w:rPr>
            </w:pPr>
            <w:r>
              <w:rPr>
                <w:color w:val="181818"/>
                <w:sz w:val="18"/>
              </w:rPr>
              <w:t>Juchitepec</w:t>
            </w:r>
          </w:p>
        </w:tc>
        <w:tc>
          <w:tcPr>
            <w:tcW w:w="1421" w:type="dxa"/>
          </w:tcPr>
          <w:p>
            <w:pPr/>
          </w:p>
        </w:tc>
        <w:tc>
          <w:tcPr>
            <w:tcW w:w="1601" w:type="dxa"/>
            <w:vMerge/>
          </w:tcPr>
          <w:p>
            <w:pPr/>
          </w:p>
        </w:tc>
      </w:tr>
      <w:tr>
        <w:trPr>
          <w:trHeight w:val="319"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Lerma</w:t>
            </w:r>
          </w:p>
        </w:tc>
        <w:tc>
          <w:tcPr>
            <w:tcW w:w="1421" w:type="dxa"/>
          </w:tcPr>
          <w:p>
            <w:pPr>
              <w:pStyle w:val="TableParagraph"/>
              <w:spacing w:line="203" w:lineRule="exact"/>
              <w:ind w:left="380" w:right="379"/>
              <w:rPr>
                <w:sz w:val="18"/>
              </w:rPr>
            </w:pPr>
            <w:r>
              <w:rPr>
                <w:sz w:val="18"/>
              </w:rPr>
              <w:t>48.46%</w:t>
            </w:r>
          </w:p>
        </w:tc>
        <w:tc>
          <w:tcPr>
            <w:tcW w:w="1601" w:type="dxa"/>
            <w:vMerge/>
          </w:tcPr>
          <w:p>
            <w:pPr/>
          </w:p>
        </w:tc>
      </w:tr>
      <w:tr>
        <w:trPr>
          <w:trHeight w:val="322" w:hRule="exact"/>
        </w:trPr>
        <w:tc>
          <w:tcPr>
            <w:tcW w:w="1380" w:type="dxa"/>
            <w:vMerge/>
          </w:tcPr>
          <w:p>
            <w:pPr/>
          </w:p>
        </w:tc>
        <w:tc>
          <w:tcPr>
            <w:tcW w:w="821" w:type="dxa"/>
          </w:tcPr>
          <w:p>
            <w:pPr>
              <w:pStyle w:val="TableParagraph"/>
              <w:spacing w:line="206" w:lineRule="exact"/>
              <w:ind w:right="2"/>
              <w:rPr>
                <w:sz w:val="18"/>
              </w:rPr>
            </w:pPr>
            <w:r>
              <w:rPr>
                <w:w w:val="99"/>
                <w:sz w:val="18"/>
              </w:rPr>
              <w:t>1</w:t>
            </w:r>
          </w:p>
        </w:tc>
        <w:tc>
          <w:tcPr>
            <w:tcW w:w="2379" w:type="dxa"/>
          </w:tcPr>
          <w:p>
            <w:pPr>
              <w:pStyle w:val="TableParagraph"/>
              <w:spacing w:line="201" w:lineRule="exact"/>
              <w:ind w:left="64"/>
              <w:jc w:val="left"/>
              <w:rPr>
                <w:b/>
                <w:sz w:val="18"/>
              </w:rPr>
            </w:pPr>
            <w:r>
              <w:rPr>
                <w:b/>
                <w:color w:val="181818"/>
                <w:sz w:val="18"/>
              </w:rPr>
              <w:t>Metepec</w:t>
            </w:r>
          </w:p>
        </w:tc>
        <w:tc>
          <w:tcPr>
            <w:tcW w:w="1421" w:type="dxa"/>
          </w:tcPr>
          <w:p>
            <w:pPr>
              <w:pStyle w:val="TableParagraph"/>
              <w:spacing w:line="206" w:lineRule="exact"/>
              <w:ind w:left="380" w:right="379"/>
              <w:rPr>
                <w:sz w:val="18"/>
              </w:rPr>
            </w:pPr>
            <w:r>
              <w:rPr>
                <w:sz w:val="18"/>
              </w:rPr>
              <w:t>54.88%</w:t>
            </w:r>
          </w:p>
        </w:tc>
        <w:tc>
          <w:tcPr>
            <w:tcW w:w="1601" w:type="dxa"/>
            <w:vMerge/>
          </w:tcPr>
          <w:p>
            <w:pPr/>
          </w:p>
        </w:tc>
      </w:tr>
      <w:tr>
        <w:trPr>
          <w:trHeight w:val="319" w:hRule="exact"/>
        </w:trPr>
        <w:tc>
          <w:tcPr>
            <w:tcW w:w="1380" w:type="dxa"/>
            <w:vMerge/>
          </w:tcPr>
          <w:p>
            <w:pPr/>
          </w:p>
        </w:tc>
        <w:tc>
          <w:tcPr>
            <w:tcW w:w="821" w:type="dxa"/>
          </w:tcPr>
          <w:p>
            <w:pPr>
              <w:pStyle w:val="TableParagraph"/>
              <w:spacing w:line="203" w:lineRule="exact"/>
              <w:ind w:right="2"/>
              <w:rPr>
                <w:sz w:val="18"/>
              </w:rPr>
            </w:pPr>
            <w:r>
              <w:rPr>
                <w:w w:val="99"/>
                <w:sz w:val="18"/>
              </w:rPr>
              <w:t>2</w:t>
            </w:r>
          </w:p>
        </w:tc>
        <w:tc>
          <w:tcPr>
            <w:tcW w:w="2379" w:type="dxa"/>
          </w:tcPr>
          <w:p>
            <w:pPr>
              <w:pStyle w:val="TableParagraph"/>
              <w:spacing w:line="199" w:lineRule="exact"/>
              <w:ind w:left="64"/>
              <w:jc w:val="left"/>
              <w:rPr>
                <w:b/>
                <w:sz w:val="18"/>
              </w:rPr>
            </w:pPr>
            <w:r>
              <w:rPr>
                <w:b/>
                <w:color w:val="181818"/>
                <w:sz w:val="18"/>
              </w:rPr>
              <w:t>Mexicaltzingo</w:t>
            </w:r>
          </w:p>
        </w:tc>
        <w:tc>
          <w:tcPr>
            <w:tcW w:w="1421" w:type="dxa"/>
          </w:tcPr>
          <w:p>
            <w:pPr>
              <w:pStyle w:val="TableParagraph"/>
              <w:spacing w:line="203" w:lineRule="exact"/>
              <w:ind w:left="380" w:right="379"/>
              <w:rPr>
                <w:sz w:val="18"/>
              </w:rPr>
            </w:pPr>
            <w:r>
              <w:rPr>
                <w:sz w:val="18"/>
              </w:rPr>
              <w:t>12.09%</w:t>
            </w:r>
          </w:p>
        </w:tc>
        <w:tc>
          <w:tcPr>
            <w:tcW w:w="1601" w:type="dxa"/>
            <w:vMerge/>
          </w:tcPr>
          <w:p>
            <w:pPr/>
          </w:p>
        </w:tc>
      </w:tr>
      <w:tr>
        <w:trPr>
          <w:trHeight w:val="322" w:hRule="exact"/>
        </w:trPr>
        <w:tc>
          <w:tcPr>
            <w:tcW w:w="1380" w:type="dxa"/>
            <w:vMerge/>
          </w:tcPr>
          <w:p>
            <w:pPr/>
          </w:p>
        </w:tc>
        <w:tc>
          <w:tcPr>
            <w:tcW w:w="821" w:type="dxa"/>
          </w:tcPr>
          <w:p>
            <w:pPr>
              <w:pStyle w:val="TableParagraph"/>
              <w:spacing w:line="206" w:lineRule="exact"/>
              <w:ind w:right="2"/>
              <w:rPr>
                <w:sz w:val="18"/>
              </w:rPr>
            </w:pPr>
            <w:r>
              <w:rPr>
                <w:w w:val="99"/>
                <w:sz w:val="18"/>
              </w:rPr>
              <w:t>2</w:t>
            </w:r>
          </w:p>
        </w:tc>
        <w:tc>
          <w:tcPr>
            <w:tcW w:w="2379" w:type="dxa"/>
          </w:tcPr>
          <w:p>
            <w:pPr>
              <w:pStyle w:val="TableParagraph"/>
              <w:spacing w:line="201" w:lineRule="exact"/>
              <w:ind w:left="64"/>
              <w:jc w:val="left"/>
              <w:rPr>
                <w:b/>
                <w:sz w:val="18"/>
              </w:rPr>
            </w:pPr>
            <w:r>
              <w:rPr>
                <w:b/>
                <w:color w:val="181818"/>
                <w:sz w:val="18"/>
              </w:rPr>
              <w:t>Nicolás Romero</w:t>
            </w:r>
          </w:p>
        </w:tc>
        <w:tc>
          <w:tcPr>
            <w:tcW w:w="1421" w:type="dxa"/>
          </w:tcPr>
          <w:p>
            <w:pPr>
              <w:pStyle w:val="TableParagraph"/>
              <w:spacing w:line="206" w:lineRule="exact"/>
              <w:ind w:left="380" w:right="379"/>
              <w:rPr>
                <w:sz w:val="18"/>
              </w:rPr>
            </w:pPr>
            <w:r>
              <w:rPr>
                <w:sz w:val="18"/>
              </w:rPr>
              <w:t>38.76%</w:t>
            </w:r>
          </w:p>
        </w:tc>
        <w:tc>
          <w:tcPr>
            <w:tcW w:w="1601" w:type="dxa"/>
            <w:vMerge/>
          </w:tcPr>
          <w:p>
            <w:pPr/>
          </w:p>
        </w:tc>
      </w:tr>
      <w:tr>
        <w:trPr>
          <w:trHeight w:val="319"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Nopaltepec</w:t>
            </w:r>
          </w:p>
        </w:tc>
        <w:tc>
          <w:tcPr>
            <w:tcW w:w="1421" w:type="dxa"/>
          </w:tcPr>
          <w:p>
            <w:pPr>
              <w:pStyle w:val="TableParagraph"/>
              <w:spacing w:line="203" w:lineRule="exact"/>
              <w:ind w:left="380" w:right="379"/>
              <w:rPr>
                <w:sz w:val="18"/>
              </w:rPr>
            </w:pPr>
            <w:r>
              <w:rPr>
                <w:sz w:val="18"/>
              </w:rPr>
              <w:t>23.50%</w:t>
            </w:r>
          </w:p>
        </w:tc>
        <w:tc>
          <w:tcPr>
            <w:tcW w:w="1601" w:type="dxa"/>
            <w:vMerge/>
          </w:tcPr>
          <w:p>
            <w:pPr/>
          </w:p>
        </w:tc>
      </w:tr>
      <w:tr>
        <w:trPr>
          <w:trHeight w:val="322" w:hRule="exact"/>
        </w:trPr>
        <w:tc>
          <w:tcPr>
            <w:tcW w:w="1380" w:type="dxa"/>
            <w:vMerge/>
          </w:tcPr>
          <w:p>
            <w:pPr/>
          </w:p>
        </w:tc>
        <w:tc>
          <w:tcPr>
            <w:tcW w:w="821" w:type="dxa"/>
          </w:tcPr>
          <w:p>
            <w:pPr>
              <w:pStyle w:val="TableParagraph"/>
              <w:spacing w:line="206" w:lineRule="exact"/>
              <w:ind w:right="2"/>
              <w:rPr>
                <w:sz w:val="18"/>
              </w:rPr>
            </w:pPr>
            <w:r>
              <w:rPr>
                <w:w w:val="99"/>
                <w:sz w:val="18"/>
              </w:rPr>
              <w:t>2</w:t>
            </w:r>
          </w:p>
        </w:tc>
        <w:tc>
          <w:tcPr>
            <w:tcW w:w="2379" w:type="dxa"/>
          </w:tcPr>
          <w:p>
            <w:pPr>
              <w:pStyle w:val="TableParagraph"/>
              <w:spacing w:line="201" w:lineRule="exact"/>
              <w:ind w:left="64"/>
              <w:jc w:val="left"/>
              <w:rPr>
                <w:b/>
                <w:sz w:val="18"/>
              </w:rPr>
            </w:pPr>
            <w:r>
              <w:rPr>
                <w:b/>
                <w:color w:val="181818"/>
                <w:sz w:val="18"/>
              </w:rPr>
              <w:t>Ocoyoacac</w:t>
            </w:r>
          </w:p>
        </w:tc>
        <w:tc>
          <w:tcPr>
            <w:tcW w:w="1421" w:type="dxa"/>
          </w:tcPr>
          <w:p>
            <w:pPr>
              <w:pStyle w:val="TableParagraph"/>
              <w:spacing w:line="206" w:lineRule="exact"/>
              <w:ind w:left="380" w:right="379"/>
              <w:rPr>
                <w:sz w:val="18"/>
              </w:rPr>
            </w:pPr>
            <w:r>
              <w:rPr>
                <w:sz w:val="18"/>
              </w:rPr>
              <w:t>49.87%</w:t>
            </w:r>
          </w:p>
        </w:tc>
        <w:tc>
          <w:tcPr>
            <w:tcW w:w="1601" w:type="dxa"/>
            <w:vMerge/>
          </w:tcPr>
          <w:p>
            <w:pPr/>
          </w:p>
        </w:tc>
      </w:tr>
      <w:tr>
        <w:trPr>
          <w:trHeight w:val="322"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Otzoloapan</w:t>
            </w:r>
          </w:p>
        </w:tc>
        <w:tc>
          <w:tcPr>
            <w:tcW w:w="1421" w:type="dxa"/>
          </w:tcPr>
          <w:p>
            <w:pPr>
              <w:pStyle w:val="TableParagraph"/>
              <w:spacing w:line="203" w:lineRule="exact"/>
              <w:ind w:left="380" w:right="377"/>
              <w:rPr>
                <w:sz w:val="18"/>
              </w:rPr>
            </w:pPr>
            <w:r>
              <w:rPr>
                <w:sz w:val="18"/>
              </w:rPr>
              <w:t>0.00%</w:t>
            </w:r>
          </w:p>
        </w:tc>
        <w:tc>
          <w:tcPr>
            <w:tcW w:w="1601" w:type="dxa"/>
            <w:vMerge/>
          </w:tcPr>
          <w:p>
            <w:pPr/>
          </w:p>
        </w:tc>
      </w:tr>
      <w:tr>
        <w:trPr>
          <w:trHeight w:val="319"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Papalotla</w:t>
            </w:r>
          </w:p>
        </w:tc>
        <w:tc>
          <w:tcPr>
            <w:tcW w:w="1421" w:type="dxa"/>
          </w:tcPr>
          <w:p>
            <w:pPr>
              <w:pStyle w:val="TableParagraph"/>
              <w:spacing w:line="203" w:lineRule="exact"/>
              <w:ind w:left="380" w:right="379"/>
              <w:rPr>
                <w:sz w:val="18"/>
              </w:rPr>
            </w:pPr>
            <w:r>
              <w:rPr>
                <w:sz w:val="18"/>
              </w:rPr>
              <w:t>38.83%</w:t>
            </w:r>
          </w:p>
        </w:tc>
        <w:tc>
          <w:tcPr>
            <w:tcW w:w="1601" w:type="dxa"/>
            <w:vMerge/>
          </w:tcPr>
          <w:p>
            <w:pPr/>
          </w:p>
        </w:tc>
      </w:tr>
      <w:tr>
        <w:trPr>
          <w:trHeight w:val="322"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La Paz</w:t>
            </w:r>
          </w:p>
        </w:tc>
        <w:tc>
          <w:tcPr>
            <w:tcW w:w="1421" w:type="dxa"/>
          </w:tcPr>
          <w:p>
            <w:pPr>
              <w:pStyle w:val="TableParagraph"/>
              <w:spacing w:line="203" w:lineRule="exact"/>
              <w:ind w:left="380" w:right="379"/>
              <w:rPr>
                <w:sz w:val="18"/>
              </w:rPr>
            </w:pPr>
            <w:r>
              <w:rPr>
                <w:sz w:val="18"/>
              </w:rPr>
              <w:t>22.35%</w:t>
            </w:r>
          </w:p>
        </w:tc>
        <w:tc>
          <w:tcPr>
            <w:tcW w:w="1601" w:type="dxa"/>
            <w:vMerge/>
          </w:tcPr>
          <w:p>
            <w:pPr/>
          </w:p>
        </w:tc>
      </w:tr>
      <w:tr>
        <w:trPr>
          <w:trHeight w:val="320" w:hRule="exact"/>
        </w:trPr>
        <w:tc>
          <w:tcPr>
            <w:tcW w:w="1380" w:type="dxa"/>
            <w:vMerge/>
          </w:tcPr>
          <w:p>
            <w:pPr/>
          </w:p>
        </w:tc>
        <w:tc>
          <w:tcPr>
            <w:tcW w:w="821" w:type="dxa"/>
          </w:tcPr>
          <w:p>
            <w:pPr>
              <w:pStyle w:val="TableParagraph"/>
              <w:spacing w:line="204"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Polotitlán</w:t>
            </w:r>
          </w:p>
        </w:tc>
        <w:tc>
          <w:tcPr>
            <w:tcW w:w="1421" w:type="dxa"/>
          </w:tcPr>
          <w:p>
            <w:pPr>
              <w:pStyle w:val="TableParagraph"/>
              <w:spacing w:line="204" w:lineRule="exact"/>
              <w:ind w:left="380" w:right="379"/>
              <w:rPr>
                <w:sz w:val="18"/>
              </w:rPr>
            </w:pPr>
            <w:r>
              <w:rPr>
                <w:sz w:val="18"/>
              </w:rPr>
              <w:t>73.04%</w:t>
            </w:r>
          </w:p>
        </w:tc>
        <w:tc>
          <w:tcPr>
            <w:tcW w:w="1601" w:type="dxa"/>
            <w:vMerge/>
          </w:tcPr>
          <w:p>
            <w:pPr/>
          </w:p>
        </w:tc>
      </w:tr>
      <w:tr>
        <w:trPr>
          <w:trHeight w:val="322"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203" w:lineRule="exact"/>
              <w:ind w:left="64"/>
              <w:jc w:val="left"/>
              <w:rPr>
                <w:sz w:val="18"/>
              </w:rPr>
            </w:pPr>
            <w:r>
              <w:rPr>
                <w:color w:val="181818"/>
                <w:sz w:val="18"/>
              </w:rPr>
              <w:t>Rayón</w:t>
            </w:r>
          </w:p>
        </w:tc>
        <w:tc>
          <w:tcPr>
            <w:tcW w:w="1421" w:type="dxa"/>
          </w:tcPr>
          <w:p>
            <w:pPr/>
          </w:p>
        </w:tc>
        <w:tc>
          <w:tcPr>
            <w:tcW w:w="1601" w:type="dxa"/>
            <w:vMerge/>
          </w:tcPr>
          <w:p>
            <w:pPr/>
          </w:p>
        </w:tc>
      </w:tr>
      <w:tr>
        <w:trPr>
          <w:trHeight w:val="631" w:hRule="exact"/>
        </w:trPr>
        <w:tc>
          <w:tcPr>
            <w:tcW w:w="1380" w:type="dxa"/>
            <w:vMerge/>
          </w:tcPr>
          <w:p>
            <w:pPr/>
          </w:p>
        </w:tc>
        <w:tc>
          <w:tcPr>
            <w:tcW w:w="821" w:type="dxa"/>
          </w:tcPr>
          <w:p>
            <w:pPr>
              <w:pStyle w:val="TableParagraph"/>
              <w:spacing w:before="152"/>
              <w:ind w:right="2"/>
              <w:rPr>
                <w:sz w:val="18"/>
              </w:rPr>
            </w:pPr>
            <w:r>
              <w:rPr>
                <w:w w:val="99"/>
                <w:sz w:val="18"/>
              </w:rPr>
              <w:t>1</w:t>
            </w:r>
          </w:p>
        </w:tc>
        <w:tc>
          <w:tcPr>
            <w:tcW w:w="2379" w:type="dxa"/>
          </w:tcPr>
          <w:p>
            <w:pPr>
              <w:pStyle w:val="TableParagraph"/>
              <w:spacing w:line="360" w:lineRule="auto"/>
              <w:ind w:left="64" w:right="804"/>
              <w:jc w:val="left"/>
              <w:rPr>
                <w:b/>
                <w:sz w:val="18"/>
              </w:rPr>
            </w:pPr>
            <w:r>
              <w:rPr>
                <w:b/>
                <w:color w:val="181818"/>
                <w:sz w:val="18"/>
              </w:rPr>
              <w:t>San Martín de las Pirámides</w:t>
            </w:r>
          </w:p>
        </w:tc>
        <w:tc>
          <w:tcPr>
            <w:tcW w:w="1421" w:type="dxa"/>
          </w:tcPr>
          <w:p>
            <w:pPr>
              <w:pStyle w:val="TableParagraph"/>
              <w:spacing w:before="152"/>
              <w:ind w:left="380" w:right="377"/>
              <w:rPr>
                <w:sz w:val="18"/>
              </w:rPr>
            </w:pPr>
            <w:r>
              <w:rPr>
                <w:sz w:val="18"/>
              </w:rPr>
              <w:t>5.90%</w:t>
            </w:r>
          </w:p>
        </w:tc>
        <w:tc>
          <w:tcPr>
            <w:tcW w:w="1601" w:type="dxa"/>
            <w:vMerge/>
          </w:tcPr>
          <w:p>
            <w:pPr/>
          </w:p>
        </w:tc>
      </w:tr>
      <w:tr>
        <w:trPr>
          <w:trHeight w:val="319"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Tecámac</w:t>
            </w:r>
          </w:p>
        </w:tc>
        <w:tc>
          <w:tcPr>
            <w:tcW w:w="1421" w:type="dxa"/>
          </w:tcPr>
          <w:p>
            <w:pPr>
              <w:pStyle w:val="TableParagraph"/>
              <w:spacing w:line="203" w:lineRule="exact"/>
              <w:ind w:left="380" w:right="379"/>
              <w:rPr>
                <w:sz w:val="18"/>
              </w:rPr>
            </w:pPr>
            <w:r>
              <w:rPr>
                <w:sz w:val="18"/>
              </w:rPr>
              <w:t>34.00%</w:t>
            </w:r>
          </w:p>
        </w:tc>
        <w:tc>
          <w:tcPr>
            <w:tcW w:w="1601" w:type="dxa"/>
            <w:vMerge/>
          </w:tcPr>
          <w:p>
            <w:pPr/>
          </w:p>
        </w:tc>
      </w:tr>
      <w:tr>
        <w:trPr>
          <w:trHeight w:val="322" w:hRule="exact"/>
        </w:trPr>
        <w:tc>
          <w:tcPr>
            <w:tcW w:w="1380" w:type="dxa"/>
            <w:vMerge/>
          </w:tcPr>
          <w:p>
            <w:pPr/>
          </w:p>
        </w:tc>
        <w:tc>
          <w:tcPr>
            <w:tcW w:w="821" w:type="dxa"/>
          </w:tcPr>
          <w:p>
            <w:pPr>
              <w:pStyle w:val="TableParagraph"/>
              <w:spacing w:line="203" w:lineRule="exact"/>
              <w:ind w:right="2"/>
              <w:rPr>
                <w:sz w:val="18"/>
              </w:rPr>
            </w:pPr>
            <w:r>
              <w:rPr>
                <w:w w:val="99"/>
                <w:sz w:val="18"/>
              </w:rPr>
              <w:t>2</w:t>
            </w:r>
          </w:p>
        </w:tc>
        <w:tc>
          <w:tcPr>
            <w:tcW w:w="2379" w:type="dxa"/>
          </w:tcPr>
          <w:p>
            <w:pPr>
              <w:pStyle w:val="TableParagraph"/>
              <w:spacing w:line="199" w:lineRule="exact"/>
              <w:ind w:left="64"/>
              <w:jc w:val="left"/>
              <w:rPr>
                <w:b/>
                <w:sz w:val="18"/>
              </w:rPr>
            </w:pPr>
            <w:r>
              <w:rPr>
                <w:b/>
                <w:color w:val="181818"/>
                <w:sz w:val="18"/>
              </w:rPr>
              <w:t>Temamatla</w:t>
            </w:r>
          </w:p>
        </w:tc>
        <w:tc>
          <w:tcPr>
            <w:tcW w:w="1421" w:type="dxa"/>
          </w:tcPr>
          <w:p>
            <w:pPr>
              <w:pStyle w:val="TableParagraph"/>
              <w:spacing w:line="203" w:lineRule="exact"/>
              <w:ind w:left="380" w:right="379"/>
              <w:rPr>
                <w:sz w:val="18"/>
              </w:rPr>
            </w:pPr>
            <w:r>
              <w:rPr>
                <w:sz w:val="18"/>
              </w:rPr>
              <w:t>19.69%</w:t>
            </w:r>
          </w:p>
        </w:tc>
        <w:tc>
          <w:tcPr>
            <w:tcW w:w="1601" w:type="dxa"/>
            <w:vMerge/>
          </w:tcPr>
          <w:p>
            <w:pPr/>
          </w:p>
        </w:tc>
      </w:tr>
    </w:tbl>
    <w:p>
      <w:pPr>
        <w:spacing w:after="0"/>
        <w:sectPr>
          <w:pgSz w:w="12240" w:h="15840"/>
          <w:pgMar w:header="0" w:footer="975" w:top="1420" w:bottom="1160" w:left="1720" w:right="1720"/>
        </w:sectPr>
      </w:pPr>
    </w:p>
    <w:tbl>
      <w:tblPr>
        <w:tblW w:w="0" w:type="auto"/>
        <w:jc w:val="left"/>
        <w:tblInd w:w="5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0"/>
        <w:gridCol w:w="821"/>
        <w:gridCol w:w="2379"/>
        <w:gridCol w:w="1421"/>
        <w:gridCol w:w="1601"/>
      </w:tblGrid>
      <w:tr>
        <w:trPr>
          <w:trHeight w:val="630" w:hRule="exact"/>
        </w:trPr>
        <w:tc>
          <w:tcPr>
            <w:tcW w:w="7602" w:type="dxa"/>
            <w:gridSpan w:val="5"/>
            <w:shd w:val="clear" w:color="auto" w:fill="92D050"/>
          </w:tcPr>
          <w:p>
            <w:pPr>
              <w:pStyle w:val="TableParagraph"/>
              <w:spacing w:line="360" w:lineRule="auto"/>
              <w:ind w:left="3159" w:right="365" w:hanging="2783"/>
              <w:jc w:val="left"/>
              <w:rPr>
                <w:b/>
                <w:sz w:val="18"/>
              </w:rPr>
            </w:pPr>
            <w:r>
              <w:rPr>
                <w:b/>
                <w:sz w:val="18"/>
              </w:rPr>
              <w:t>Anexo 14. Porcentaje de cumplimiento por municipio y por partido político 2015 (Continuación)</w:t>
            </w:r>
          </w:p>
        </w:tc>
      </w:tr>
      <w:tr>
        <w:trPr>
          <w:trHeight w:val="631" w:hRule="exact"/>
        </w:trPr>
        <w:tc>
          <w:tcPr>
            <w:tcW w:w="1380" w:type="dxa"/>
            <w:shd w:val="clear" w:color="auto" w:fill="92D050"/>
          </w:tcPr>
          <w:p>
            <w:pPr>
              <w:pStyle w:val="TableParagraph"/>
              <w:spacing w:before="147"/>
              <w:ind w:left="374"/>
              <w:jc w:val="left"/>
              <w:rPr>
                <w:b/>
                <w:sz w:val="18"/>
              </w:rPr>
            </w:pPr>
            <w:r>
              <w:rPr>
                <w:b/>
                <w:sz w:val="18"/>
              </w:rPr>
              <w:t>Partido</w:t>
            </w:r>
          </w:p>
        </w:tc>
        <w:tc>
          <w:tcPr>
            <w:tcW w:w="821" w:type="dxa"/>
            <w:shd w:val="clear" w:color="auto" w:fill="92D050"/>
          </w:tcPr>
          <w:p>
            <w:pPr>
              <w:pStyle w:val="TableParagraph"/>
              <w:spacing w:before="147"/>
              <w:ind w:left="70" w:right="71"/>
              <w:rPr>
                <w:b/>
                <w:sz w:val="18"/>
              </w:rPr>
            </w:pPr>
            <w:r>
              <w:rPr>
                <w:b/>
                <w:sz w:val="18"/>
              </w:rPr>
              <w:t>Genero</w:t>
            </w:r>
          </w:p>
        </w:tc>
        <w:tc>
          <w:tcPr>
            <w:tcW w:w="2379" w:type="dxa"/>
            <w:shd w:val="clear" w:color="auto" w:fill="92D050"/>
          </w:tcPr>
          <w:p>
            <w:pPr>
              <w:pStyle w:val="TableParagraph"/>
              <w:spacing w:before="147"/>
              <w:ind w:left="273"/>
              <w:jc w:val="left"/>
              <w:rPr>
                <w:b/>
                <w:sz w:val="18"/>
              </w:rPr>
            </w:pPr>
            <w:r>
              <w:rPr>
                <w:b/>
                <w:sz w:val="18"/>
              </w:rPr>
              <w:t>Municipio gobernado</w:t>
            </w:r>
          </w:p>
        </w:tc>
        <w:tc>
          <w:tcPr>
            <w:tcW w:w="1421" w:type="dxa"/>
            <w:shd w:val="clear" w:color="auto" w:fill="92D050"/>
          </w:tcPr>
          <w:p>
            <w:pPr>
              <w:pStyle w:val="TableParagraph"/>
              <w:spacing w:line="362" w:lineRule="auto"/>
              <w:ind w:left="119" w:right="102" w:firstLine="376"/>
              <w:jc w:val="left"/>
              <w:rPr>
                <w:b/>
                <w:sz w:val="18"/>
              </w:rPr>
            </w:pPr>
            <w:r>
              <w:rPr>
                <w:b/>
                <w:sz w:val="18"/>
              </w:rPr>
              <w:t>% de cumplimiento</w:t>
            </w:r>
          </w:p>
        </w:tc>
        <w:tc>
          <w:tcPr>
            <w:tcW w:w="1601" w:type="dxa"/>
            <w:shd w:val="clear" w:color="auto" w:fill="92D050"/>
          </w:tcPr>
          <w:p>
            <w:pPr>
              <w:pStyle w:val="TableParagraph"/>
              <w:spacing w:line="362" w:lineRule="auto"/>
              <w:ind w:left="208" w:right="193" w:firstLine="14"/>
              <w:jc w:val="left"/>
              <w:rPr>
                <w:b/>
                <w:sz w:val="18"/>
              </w:rPr>
            </w:pPr>
            <w:r>
              <w:rPr>
                <w:b/>
                <w:sz w:val="18"/>
              </w:rPr>
              <w:t>Promedio del cumplimiento</w:t>
            </w:r>
          </w:p>
        </w:tc>
      </w:tr>
      <w:tr>
        <w:trPr>
          <w:trHeight w:val="322" w:hRule="exact"/>
        </w:trPr>
        <w:tc>
          <w:tcPr>
            <w:tcW w:w="1380" w:type="dxa"/>
            <w:vMerge w:val="restart"/>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9"/>
              <w:jc w:val="left"/>
              <w:rPr>
                <w:sz w:val="16"/>
              </w:rPr>
            </w:pPr>
          </w:p>
          <w:p>
            <w:pPr>
              <w:pStyle w:val="TableParagraph"/>
              <w:ind w:left="93"/>
              <w:jc w:val="left"/>
              <w:rPr>
                <w:sz w:val="18"/>
              </w:rPr>
            </w:pPr>
            <w:r>
              <w:rPr>
                <w:sz w:val="18"/>
              </w:rPr>
              <w:t>PRI-PVEM-NA</w:t>
            </w: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Temascalcingo</w:t>
            </w:r>
          </w:p>
        </w:tc>
        <w:tc>
          <w:tcPr>
            <w:tcW w:w="1421" w:type="dxa"/>
          </w:tcPr>
          <w:p>
            <w:pPr>
              <w:pStyle w:val="TableParagraph"/>
              <w:spacing w:line="203" w:lineRule="exact"/>
              <w:ind w:left="380" w:right="379"/>
              <w:rPr>
                <w:sz w:val="18"/>
              </w:rPr>
            </w:pPr>
            <w:r>
              <w:rPr>
                <w:sz w:val="18"/>
              </w:rPr>
              <w:t>65.15%</w:t>
            </w:r>
          </w:p>
        </w:tc>
        <w:tc>
          <w:tcPr>
            <w:tcW w:w="1601" w:type="dxa"/>
            <w:vMerge w:val="restart"/>
          </w:tcPr>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jc w:val="left"/>
              <w:rPr>
                <w:sz w:val="18"/>
              </w:rPr>
            </w:pPr>
          </w:p>
          <w:p>
            <w:pPr>
              <w:pStyle w:val="TableParagraph"/>
              <w:spacing w:before="9"/>
              <w:jc w:val="left"/>
              <w:rPr>
                <w:sz w:val="16"/>
              </w:rPr>
            </w:pPr>
          </w:p>
          <w:p>
            <w:pPr>
              <w:pStyle w:val="TableParagraph"/>
              <w:ind w:left="489" w:right="193"/>
              <w:jc w:val="left"/>
              <w:rPr>
                <w:sz w:val="18"/>
              </w:rPr>
            </w:pPr>
            <w:r>
              <w:rPr>
                <w:sz w:val="18"/>
              </w:rPr>
              <w:t>32.86%</w:t>
            </w:r>
          </w:p>
        </w:tc>
      </w:tr>
      <w:tr>
        <w:trPr>
          <w:trHeight w:val="319"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Temoaya</w:t>
            </w:r>
          </w:p>
        </w:tc>
        <w:tc>
          <w:tcPr>
            <w:tcW w:w="1421" w:type="dxa"/>
          </w:tcPr>
          <w:p>
            <w:pPr>
              <w:pStyle w:val="TableParagraph"/>
              <w:spacing w:line="203" w:lineRule="exact"/>
              <w:ind w:left="380" w:right="379"/>
              <w:rPr>
                <w:sz w:val="18"/>
              </w:rPr>
            </w:pPr>
            <w:r>
              <w:rPr>
                <w:sz w:val="18"/>
              </w:rPr>
              <w:t>45.42%</w:t>
            </w:r>
          </w:p>
        </w:tc>
        <w:tc>
          <w:tcPr>
            <w:tcW w:w="1601" w:type="dxa"/>
            <w:vMerge/>
          </w:tcPr>
          <w:p>
            <w:pPr/>
          </w:p>
        </w:tc>
      </w:tr>
      <w:tr>
        <w:trPr>
          <w:trHeight w:val="322"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203" w:lineRule="exact"/>
              <w:ind w:left="64"/>
              <w:jc w:val="left"/>
              <w:rPr>
                <w:sz w:val="18"/>
              </w:rPr>
            </w:pPr>
            <w:r>
              <w:rPr>
                <w:color w:val="181818"/>
                <w:sz w:val="18"/>
              </w:rPr>
              <w:t>Tenancingo</w:t>
            </w:r>
          </w:p>
        </w:tc>
        <w:tc>
          <w:tcPr>
            <w:tcW w:w="1421" w:type="dxa"/>
          </w:tcPr>
          <w:p>
            <w:pPr/>
          </w:p>
        </w:tc>
        <w:tc>
          <w:tcPr>
            <w:tcW w:w="1601" w:type="dxa"/>
            <w:vMerge/>
          </w:tcPr>
          <w:p>
            <w:pPr/>
          </w:p>
        </w:tc>
      </w:tr>
      <w:tr>
        <w:trPr>
          <w:trHeight w:val="319"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Teoloyucán</w:t>
            </w:r>
          </w:p>
        </w:tc>
        <w:tc>
          <w:tcPr>
            <w:tcW w:w="1421" w:type="dxa"/>
          </w:tcPr>
          <w:p>
            <w:pPr>
              <w:pStyle w:val="TableParagraph"/>
              <w:spacing w:line="203" w:lineRule="exact"/>
              <w:ind w:left="380" w:right="379"/>
              <w:rPr>
                <w:sz w:val="18"/>
              </w:rPr>
            </w:pPr>
            <w:r>
              <w:rPr>
                <w:sz w:val="18"/>
              </w:rPr>
              <w:t>35.23%</w:t>
            </w:r>
          </w:p>
        </w:tc>
        <w:tc>
          <w:tcPr>
            <w:tcW w:w="1601" w:type="dxa"/>
            <w:vMerge/>
          </w:tcPr>
          <w:p>
            <w:pPr/>
          </w:p>
        </w:tc>
      </w:tr>
      <w:tr>
        <w:trPr>
          <w:trHeight w:val="322"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Teotihuacán</w:t>
            </w:r>
          </w:p>
        </w:tc>
        <w:tc>
          <w:tcPr>
            <w:tcW w:w="1421" w:type="dxa"/>
          </w:tcPr>
          <w:p>
            <w:pPr>
              <w:pStyle w:val="TableParagraph"/>
              <w:spacing w:line="203" w:lineRule="exact"/>
              <w:ind w:left="380" w:right="379"/>
              <w:rPr>
                <w:sz w:val="18"/>
              </w:rPr>
            </w:pPr>
            <w:r>
              <w:rPr>
                <w:sz w:val="18"/>
              </w:rPr>
              <w:t>64.95%</w:t>
            </w:r>
          </w:p>
        </w:tc>
        <w:tc>
          <w:tcPr>
            <w:tcW w:w="1601" w:type="dxa"/>
            <w:vMerge/>
          </w:tcPr>
          <w:p>
            <w:pPr/>
          </w:p>
        </w:tc>
      </w:tr>
      <w:tr>
        <w:trPr>
          <w:trHeight w:val="319"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Tepetlaoxtoc</w:t>
            </w:r>
          </w:p>
        </w:tc>
        <w:tc>
          <w:tcPr>
            <w:tcW w:w="1421" w:type="dxa"/>
          </w:tcPr>
          <w:p>
            <w:pPr>
              <w:pStyle w:val="TableParagraph"/>
              <w:spacing w:line="203" w:lineRule="exact"/>
              <w:ind w:left="380" w:right="377"/>
              <w:rPr>
                <w:sz w:val="18"/>
              </w:rPr>
            </w:pPr>
            <w:r>
              <w:rPr>
                <w:sz w:val="18"/>
              </w:rPr>
              <w:t>0.00%</w:t>
            </w:r>
          </w:p>
        </w:tc>
        <w:tc>
          <w:tcPr>
            <w:tcW w:w="1601" w:type="dxa"/>
            <w:vMerge/>
          </w:tcPr>
          <w:p>
            <w:pPr/>
          </w:p>
        </w:tc>
      </w:tr>
      <w:tr>
        <w:trPr>
          <w:trHeight w:val="322" w:hRule="exact"/>
        </w:trPr>
        <w:tc>
          <w:tcPr>
            <w:tcW w:w="1380" w:type="dxa"/>
            <w:vMerge/>
          </w:tcPr>
          <w:p>
            <w:pPr/>
          </w:p>
        </w:tc>
        <w:tc>
          <w:tcPr>
            <w:tcW w:w="821" w:type="dxa"/>
          </w:tcPr>
          <w:p>
            <w:pPr>
              <w:pStyle w:val="TableParagraph"/>
              <w:spacing w:line="206" w:lineRule="exact"/>
              <w:ind w:right="2"/>
              <w:rPr>
                <w:sz w:val="18"/>
              </w:rPr>
            </w:pPr>
            <w:r>
              <w:rPr>
                <w:w w:val="99"/>
                <w:sz w:val="18"/>
              </w:rPr>
              <w:t>1</w:t>
            </w:r>
          </w:p>
        </w:tc>
        <w:tc>
          <w:tcPr>
            <w:tcW w:w="2379" w:type="dxa"/>
          </w:tcPr>
          <w:p>
            <w:pPr>
              <w:pStyle w:val="TableParagraph"/>
              <w:spacing w:line="201" w:lineRule="exact"/>
              <w:ind w:left="64"/>
              <w:jc w:val="left"/>
              <w:rPr>
                <w:b/>
                <w:sz w:val="18"/>
              </w:rPr>
            </w:pPr>
            <w:r>
              <w:rPr>
                <w:b/>
                <w:color w:val="181818"/>
                <w:sz w:val="18"/>
              </w:rPr>
              <w:t>Tepetlixpa</w:t>
            </w:r>
          </w:p>
        </w:tc>
        <w:tc>
          <w:tcPr>
            <w:tcW w:w="1421" w:type="dxa"/>
          </w:tcPr>
          <w:p>
            <w:pPr>
              <w:pStyle w:val="TableParagraph"/>
              <w:spacing w:line="206" w:lineRule="exact"/>
              <w:ind w:left="380" w:right="377"/>
              <w:rPr>
                <w:sz w:val="18"/>
              </w:rPr>
            </w:pPr>
            <w:r>
              <w:rPr>
                <w:sz w:val="18"/>
              </w:rPr>
              <w:t>0.00%</w:t>
            </w:r>
          </w:p>
        </w:tc>
        <w:tc>
          <w:tcPr>
            <w:tcW w:w="1601" w:type="dxa"/>
            <w:vMerge/>
          </w:tcPr>
          <w:p>
            <w:pPr/>
          </w:p>
        </w:tc>
      </w:tr>
      <w:tr>
        <w:trPr>
          <w:trHeight w:val="320"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Tequixquiac</w:t>
            </w:r>
          </w:p>
        </w:tc>
        <w:tc>
          <w:tcPr>
            <w:tcW w:w="1421" w:type="dxa"/>
          </w:tcPr>
          <w:p>
            <w:pPr>
              <w:pStyle w:val="TableParagraph"/>
              <w:spacing w:line="203" w:lineRule="exact"/>
              <w:ind w:left="380" w:right="377"/>
              <w:rPr>
                <w:sz w:val="18"/>
              </w:rPr>
            </w:pPr>
            <w:r>
              <w:rPr>
                <w:sz w:val="18"/>
              </w:rPr>
              <w:t>0.00%</w:t>
            </w:r>
          </w:p>
        </w:tc>
        <w:tc>
          <w:tcPr>
            <w:tcW w:w="1601" w:type="dxa"/>
            <w:vMerge/>
          </w:tcPr>
          <w:p>
            <w:pPr/>
          </w:p>
        </w:tc>
      </w:tr>
      <w:tr>
        <w:trPr>
          <w:trHeight w:val="322" w:hRule="exact"/>
        </w:trPr>
        <w:tc>
          <w:tcPr>
            <w:tcW w:w="1380" w:type="dxa"/>
            <w:vMerge/>
          </w:tcPr>
          <w:p>
            <w:pPr/>
          </w:p>
        </w:tc>
        <w:tc>
          <w:tcPr>
            <w:tcW w:w="821" w:type="dxa"/>
          </w:tcPr>
          <w:p>
            <w:pPr>
              <w:pStyle w:val="TableParagraph"/>
              <w:spacing w:line="206" w:lineRule="exact"/>
              <w:ind w:right="2"/>
              <w:rPr>
                <w:sz w:val="18"/>
              </w:rPr>
            </w:pPr>
            <w:r>
              <w:rPr>
                <w:w w:val="99"/>
                <w:sz w:val="18"/>
              </w:rPr>
              <w:t>1</w:t>
            </w:r>
          </w:p>
        </w:tc>
        <w:tc>
          <w:tcPr>
            <w:tcW w:w="2379" w:type="dxa"/>
          </w:tcPr>
          <w:p>
            <w:pPr>
              <w:pStyle w:val="TableParagraph"/>
              <w:spacing w:line="201" w:lineRule="exact"/>
              <w:ind w:left="64"/>
              <w:jc w:val="left"/>
              <w:rPr>
                <w:b/>
                <w:sz w:val="18"/>
              </w:rPr>
            </w:pPr>
            <w:r>
              <w:rPr>
                <w:b/>
                <w:color w:val="181818"/>
                <w:sz w:val="18"/>
              </w:rPr>
              <w:t>Tezoyuca</w:t>
            </w:r>
          </w:p>
        </w:tc>
        <w:tc>
          <w:tcPr>
            <w:tcW w:w="1421" w:type="dxa"/>
          </w:tcPr>
          <w:p>
            <w:pPr>
              <w:pStyle w:val="TableParagraph"/>
              <w:spacing w:line="206" w:lineRule="exact"/>
              <w:ind w:left="380" w:right="379"/>
              <w:rPr>
                <w:sz w:val="18"/>
              </w:rPr>
            </w:pPr>
            <w:r>
              <w:rPr>
                <w:sz w:val="18"/>
              </w:rPr>
              <w:t>23.38%</w:t>
            </w:r>
          </w:p>
        </w:tc>
        <w:tc>
          <w:tcPr>
            <w:tcW w:w="1601" w:type="dxa"/>
            <w:vMerge/>
          </w:tcPr>
          <w:p>
            <w:pPr/>
          </w:p>
        </w:tc>
      </w:tr>
      <w:tr>
        <w:trPr>
          <w:trHeight w:val="322"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203" w:lineRule="exact"/>
              <w:ind w:left="64"/>
              <w:jc w:val="left"/>
              <w:rPr>
                <w:sz w:val="18"/>
              </w:rPr>
            </w:pPr>
            <w:r>
              <w:rPr>
                <w:color w:val="181818"/>
                <w:sz w:val="18"/>
              </w:rPr>
              <w:t>Tlalmanalco</w:t>
            </w:r>
          </w:p>
        </w:tc>
        <w:tc>
          <w:tcPr>
            <w:tcW w:w="1421" w:type="dxa"/>
          </w:tcPr>
          <w:p>
            <w:pPr/>
          </w:p>
        </w:tc>
        <w:tc>
          <w:tcPr>
            <w:tcW w:w="1601" w:type="dxa"/>
            <w:vMerge/>
          </w:tcPr>
          <w:p>
            <w:pPr/>
          </w:p>
        </w:tc>
      </w:tr>
      <w:tr>
        <w:trPr>
          <w:trHeight w:val="319" w:hRule="exact"/>
        </w:trPr>
        <w:tc>
          <w:tcPr>
            <w:tcW w:w="1380" w:type="dxa"/>
            <w:vMerge/>
          </w:tcPr>
          <w:p>
            <w:pPr/>
          </w:p>
        </w:tc>
        <w:tc>
          <w:tcPr>
            <w:tcW w:w="821" w:type="dxa"/>
          </w:tcPr>
          <w:p>
            <w:pPr>
              <w:pStyle w:val="TableParagraph"/>
              <w:spacing w:line="203" w:lineRule="exact"/>
              <w:ind w:right="2"/>
              <w:rPr>
                <w:sz w:val="18"/>
              </w:rPr>
            </w:pPr>
            <w:r>
              <w:rPr>
                <w:w w:val="99"/>
                <w:sz w:val="18"/>
              </w:rPr>
              <w:t>2</w:t>
            </w:r>
          </w:p>
        </w:tc>
        <w:tc>
          <w:tcPr>
            <w:tcW w:w="2379" w:type="dxa"/>
          </w:tcPr>
          <w:p>
            <w:pPr>
              <w:pStyle w:val="TableParagraph"/>
              <w:spacing w:line="203" w:lineRule="exact"/>
              <w:ind w:left="64"/>
              <w:jc w:val="left"/>
              <w:rPr>
                <w:sz w:val="18"/>
              </w:rPr>
            </w:pPr>
            <w:r>
              <w:rPr>
                <w:color w:val="181818"/>
                <w:sz w:val="18"/>
              </w:rPr>
              <w:t>Tlalnepantla de Baz</w:t>
            </w:r>
          </w:p>
        </w:tc>
        <w:tc>
          <w:tcPr>
            <w:tcW w:w="1421" w:type="dxa"/>
          </w:tcPr>
          <w:p>
            <w:pPr/>
          </w:p>
        </w:tc>
        <w:tc>
          <w:tcPr>
            <w:tcW w:w="1601" w:type="dxa"/>
            <w:vMerge/>
          </w:tcPr>
          <w:p>
            <w:pPr/>
          </w:p>
        </w:tc>
      </w:tr>
      <w:tr>
        <w:trPr>
          <w:trHeight w:val="322"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203" w:lineRule="exact"/>
              <w:ind w:left="64"/>
              <w:jc w:val="left"/>
              <w:rPr>
                <w:sz w:val="18"/>
              </w:rPr>
            </w:pPr>
            <w:r>
              <w:rPr>
                <w:color w:val="181818"/>
                <w:sz w:val="18"/>
              </w:rPr>
              <w:t>Toluca</w:t>
            </w:r>
          </w:p>
        </w:tc>
        <w:tc>
          <w:tcPr>
            <w:tcW w:w="1421" w:type="dxa"/>
          </w:tcPr>
          <w:p>
            <w:pPr/>
          </w:p>
        </w:tc>
        <w:tc>
          <w:tcPr>
            <w:tcW w:w="1601" w:type="dxa"/>
            <w:vMerge/>
          </w:tcPr>
          <w:p>
            <w:pPr/>
          </w:p>
        </w:tc>
      </w:tr>
      <w:tr>
        <w:trPr>
          <w:trHeight w:val="319" w:hRule="exact"/>
        </w:trPr>
        <w:tc>
          <w:tcPr>
            <w:tcW w:w="1380" w:type="dxa"/>
            <w:vMerge/>
          </w:tcPr>
          <w:p>
            <w:pPr/>
          </w:p>
        </w:tc>
        <w:tc>
          <w:tcPr>
            <w:tcW w:w="821" w:type="dxa"/>
          </w:tcPr>
          <w:p>
            <w:pPr>
              <w:pStyle w:val="TableParagraph"/>
              <w:spacing w:line="203" w:lineRule="exact"/>
              <w:ind w:right="2"/>
              <w:rPr>
                <w:sz w:val="18"/>
              </w:rPr>
            </w:pPr>
            <w:r>
              <w:rPr>
                <w:w w:val="99"/>
                <w:sz w:val="18"/>
              </w:rPr>
              <w:t>2</w:t>
            </w:r>
          </w:p>
        </w:tc>
        <w:tc>
          <w:tcPr>
            <w:tcW w:w="2379" w:type="dxa"/>
          </w:tcPr>
          <w:p>
            <w:pPr>
              <w:pStyle w:val="TableParagraph"/>
              <w:spacing w:line="199" w:lineRule="exact"/>
              <w:ind w:left="64"/>
              <w:jc w:val="left"/>
              <w:rPr>
                <w:b/>
                <w:sz w:val="18"/>
              </w:rPr>
            </w:pPr>
            <w:r>
              <w:rPr>
                <w:b/>
                <w:color w:val="181818"/>
                <w:sz w:val="18"/>
              </w:rPr>
              <w:t>Tonatico</w:t>
            </w:r>
          </w:p>
        </w:tc>
        <w:tc>
          <w:tcPr>
            <w:tcW w:w="1421" w:type="dxa"/>
          </w:tcPr>
          <w:p>
            <w:pPr>
              <w:pStyle w:val="TableParagraph"/>
              <w:spacing w:line="203" w:lineRule="exact"/>
              <w:ind w:left="380" w:right="379"/>
              <w:rPr>
                <w:sz w:val="18"/>
              </w:rPr>
            </w:pPr>
            <w:r>
              <w:rPr>
                <w:sz w:val="18"/>
              </w:rPr>
              <w:t>33.78%</w:t>
            </w:r>
          </w:p>
        </w:tc>
        <w:tc>
          <w:tcPr>
            <w:tcW w:w="1601" w:type="dxa"/>
            <w:vMerge/>
          </w:tcPr>
          <w:p>
            <w:pPr/>
          </w:p>
        </w:tc>
      </w:tr>
      <w:tr>
        <w:trPr>
          <w:trHeight w:val="322"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Tultitlán</w:t>
            </w:r>
          </w:p>
        </w:tc>
        <w:tc>
          <w:tcPr>
            <w:tcW w:w="1421" w:type="dxa"/>
          </w:tcPr>
          <w:p>
            <w:pPr>
              <w:pStyle w:val="TableParagraph"/>
              <w:spacing w:line="203" w:lineRule="exact"/>
              <w:ind w:left="380" w:right="379"/>
              <w:rPr>
                <w:sz w:val="18"/>
              </w:rPr>
            </w:pPr>
            <w:r>
              <w:rPr>
                <w:sz w:val="18"/>
              </w:rPr>
              <w:t>45.34%</w:t>
            </w:r>
          </w:p>
        </w:tc>
        <w:tc>
          <w:tcPr>
            <w:tcW w:w="1601" w:type="dxa"/>
            <w:vMerge/>
          </w:tcPr>
          <w:p>
            <w:pPr/>
          </w:p>
        </w:tc>
      </w:tr>
      <w:tr>
        <w:trPr>
          <w:trHeight w:val="319"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Valle de Bravo</w:t>
            </w:r>
          </w:p>
        </w:tc>
        <w:tc>
          <w:tcPr>
            <w:tcW w:w="1421" w:type="dxa"/>
          </w:tcPr>
          <w:p>
            <w:pPr>
              <w:pStyle w:val="TableParagraph"/>
              <w:spacing w:line="203" w:lineRule="exact"/>
              <w:ind w:left="380" w:right="379"/>
              <w:rPr>
                <w:sz w:val="18"/>
              </w:rPr>
            </w:pPr>
            <w:r>
              <w:rPr>
                <w:sz w:val="18"/>
              </w:rPr>
              <w:t>23.05%</w:t>
            </w:r>
          </w:p>
        </w:tc>
        <w:tc>
          <w:tcPr>
            <w:tcW w:w="1601" w:type="dxa"/>
            <w:vMerge/>
          </w:tcPr>
          <w:p>
            <w:pPr/>
          </w:p>
        </w:tc>
      </w:tr>
      <w:tr>
        <w:trPr>
          <w:trHeight w:val="322"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203" w:lineRule="exact"/>
              <w:ind w:left="64"/>
              <w:jc w:val="left"/>
              <w:rPr>
                <w:sz w:val="18"/>
              </w:rPr>
            </w:pPr>
            <w:r>
              <w:rPr>
                <w:color w:val="181818"/>
                <w:sz w:val="18"/>
              </w:rPr>
              <w:t>Villa Victoria</w:t>
            </w:r>
          </w:p>
        </w:tc>
        <w:tc>
          <w:tcPr>
            <w:tcW w:w="1421" w:type="dxa"/>
          </w:tcPr>
          <w:p>
            <w:pPr/>
          </w:p>
        </w:tc>
        <w:tc>
          <w:tcPr>
            <w:tcW w:w="1601" w:type="dxa"/>
            <w:vMerge/>
          </w:tcPr>
          <w:p>
            <w:pPr/>
          </w:p>
        </w:tc>
      </w:tr>
      <w:tr>
        <w:trPr>
          <w:trHeight w:val="319"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Zacualpan</w:t>
            </w:r>
          </w:p>
        </w:tc>
        <w:tc>
          <w:tcPr>
            <w:tcW w:w="1421" w:type="dxa"/>
          </w:tcPr>
          <w:p>
            <w:pPr>
              <w:pStyle w:val="TableParagraph"/>
              <w:spacing w:line="203" w:lineRule="exact"/>
              <w:ind w:left="380" w:right="379"/>
              <w:rPr>
                <w:sz w:val="18"/>
              </w:rPr>
            </w:pPr>
            <w:r>
              <w:rPr>
                <w:sz w:val="18"/>
              </w:rPr>
              <w:t>40.52%</w:t>
            </w:r>
          </w:p>
        </w:tc>
        <w:tc>
          <w:tcPr>
            <w:tcW w:w="1601" w:type="dxa"/>
            <w:vMerge/>
          </w:tcPr>
          <w:p>
            <w:pPr/>
          </w:p>
        </w:tc>
      </w:tr>
      <w:tr>
        <w:trPr>
          <w:trHeight w:val="322"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203" w:lineRule="exact"/>
              <w:ind w:left="64"/>
              <w:jc w:val="left"/>
              <w:rPr>
                <w:sz w:val="18"/>
              </w:rPr>
            </w:pPr>
            <w:r>
              <w:rPr>
                <w:color w:val="181818"/>
                <w:sz w:val="18"/>
              </w:rPr>
              <w:t>Zumpahuacán</w:t>
            </w:r>
          </w:p>
        </w:tc>
        <w:tc>
          <w:tcPr>
            <w:tcW w:w="1421" w:type="dxa"/>
          </w:tcPr>
          <w:p>
            <w:pPr/>
          </w:p>
        </w:tc>
        <w:tc>
          <w:tcPr>
            <w:tcW w:w="1601" w:type="dxa"/>
            <w:vMerge/>
          </w:tcPr>
          <w:p>
            <w:pPr/>
          </w:p>
        </w:tc>
      </w:tr>
      <w:tr>
        <w:trPr>
          <w:trHeight w:val="324" w:hRule="exact"/>
        </w:trPr>
        <w:tc>
          <w:tcPr>
            <w:tcW w:w="1380" w:type="dxa"/>
            <w:vMerge/>
          </w:tcPr>
          <w:p>
            <w:pPr/>
          </w:p>
        </w:tc>
        <w:tc>
          <w:tcPr>
            <w:tcW w:w="821" w:type="dxa"/>
          </w:tcPr>
          <w:p>
            <w:pPr>
              <w:pStyle w:val="TableParagraph"/>
              <w:spacing w:line="206" w:lineRule="exact"/>
              <w:ind w:right="2"/>
              <w:rPr>
                <w:sz w:val="18"/>
              </w:rPr>
            </w:pPr>
            <w:r>
              <w:rPr>
                <w:w w:val="99"/>
                <w:sz w:val="18"/>
              </w:rPr>
              <w:t>1</w:t>
            </w:r>
          </w:p>
        </w:tc>
        <w:tc>
          <w:tcPr>
            <w:tcW w:w="2379" w:type="dxa"/>
          </w:tcPr>
          <w:p>
            <w:pPr>
              <w:pStyle w:val="TableParagraph"/>
              <w:spacing w:line="201" w:lineRule="exact"/>
              <w:ind w:left="64"/>
              <w:jc w:val="left"/>
              <w:rPr>
                <w:b/>
                <w:sz w:val="18"/>
              </w:rPr>
            </w:pPr>
            <w:r>
              <w:rPr>
                <w:b/>
                <w:color w:val="181818"/>
                <w:sz w:val="18"/>
              </w:rPr>
              <w:t>Cuautitlán Izcalli</w:t>
            </w:r>
          </w:p>
        </w:tc>
        <w:tc>
          <w:tcPr>
            <w:tcW w:w="1421" w:type="dxa"/>
          </w:tcPr>
          <w:p>
            <w:pPr>
              <w:pStyle w:val="TableParagraph"/>
              <w:spacing w:line="206" w:lineRule="exact"/>
              <w:ind w:left="380" w:right="379"/>
              <w:rPr>
                <w:sz w:val="18"/>
              </w:rPr>
            </w:pPr>
            <w:r>
              <w:rPr>
                <w:sz w:val="18"/>
              </w:rPr>
              <w:t>97.61%</w:t>
            </w:r>
          </w:p>
        </w:tc>
        <w:tc>
          <w:tcPr>
            <w:tcW w:w="1601" w:type="dxa"/>
            <w:vMerge/>
          </w:tcPr>
          <w:p>
            <w:pPr/>
          </w:p>
        </w:tc>
      </w:tr>
      <w:tr>
        <w:trPr>
          <w:trHeight w:val="322" w:hRule="exact"/>
        </w:trPr>
        <w:tc>
          <w:tcPr>
            <w:tcW w:w="1380" w:type="dxa"/>
            <w:vMerge w:val="restart"/>
          </w:tcPr>
          <w:p>
            <w:pPr>
              <w:pStyle w:val="TableParagraph"/>
              <w:jc w:val="left"/>
              <w:rPr>
                <w:sz w:val="18"/>
              </w:rPr>
            </w:pPr>
          </w:p>
          <w:p>
            <w:pPr>
              <w:pStyle w:val="TableParagraph"/>
              <w:spacing w:before="113"/>
              <w:ind w:left="474" w:right="474"/>
              <w:rPr>
                <w:sz w:val="18"/>
              </w:rPr>
            </w:pPr>
            <w:r>
              <w:rPr>
                <w:sz w:val="18"/>
              </w:rPr>
              <w:t>PT</w:t>
            </w: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Amanalco</w:t>
            </w:r>
          </w:p>
        </w:tc>
        <w:tc>
          <w:tcPr>
            <w:tcW w:w="1421" w:type="dxa"/>
          </w:tcPr>
          <w:p>
            <w:pPr>
              <w:pStyle w:val="TableParagraph"/>
              <w:spacing w:line="203" w:lineRule="exact"/>
              <w:ind w:left="380" w:right="379"/>
              <w:rPr>
                <w:sz w:val="18"/>
              </w:rPr>
            </w:pPr>
            <w:r>
              <w:rPr>
                <w:sz w:val="18"/>
              </w:rPr>
              <w:t>66.68%</w:t>
            </w:r>
          </w:p>
        </w:tc>
        <w:tc>
          <w:tcPr>
            <w:tcW w:w="1601" w:type="dxa"/>
            <w:vMerge w:val="restart"/>
          </w:tcPr>
          <w:p>
            <w:pPr>
              <w:pStyle w:val="TableParagraph"/>
              <w:jc w:val="left"/>
              <w:rPr>
                <w:sz w:val="18"/>
              </w:rPr>
            </w:pPr>
          </w:p>
          <w:p>
            <w:pPr>
              <w:pStyle w:val="TableParagraph"/>
              <w:spacing w:before="113"/>
              <w:ind w:left="489" w:right="193"/>
              <w:jc w:val="left"/>
              <w:rPr>
                <w:sz w:val="18"/>
              </w:rPr>
            </w:pPr>
            <w:r>
              <w:rPr>
                <w:sz w:val="18"/>
              </w:rPr>
              <w:t>53.49%</w:t>
            </w:r>
          </w:p>
        </w:tc>
      </w:tr>
      <w:tr>
        <w:trPr>
          <w:trHeight w:val="319" w:hRule="exact"/>
        </w:trPr>
        <w:tc>
          <w:tcPr>
            <w:tcW w:w="1380" w:type="dxa"/>
            <w:vMerge/>
          </w:tcPr>
          <w:p>
            <w:pPr/>
          </w:p>
        </w:tc>
        <w:tc>
          <w:tcPr>
            <w:tcW w:w="821" w:type="dxa"/>
          </w:tcPr>
          <w:p>
            <w:pPr>
              <w:pStyle w:val="TableParagraph"/>
              <w:spacing w:line="203" w:lineRule="exact"/>
              <w:ind w:right="2"/>
              <w:rPr>
                <w:sz w:val="18"/>
              </w:rPr>
            </w:pPr>
            <w:r>
              <w:rPr>
                <w:w w:val="99"/>
                <w:sz w:val="18"/>
              </w:rPr>
              <w:t>1</w:t>
            </w:r>
          </w:p>
        </w:tc>
        <w:tc>
          <w:tcPr>
            <w:tcW w:w="2379" w:type="dxa"/>
          </w:tcPr>
          <w:p>
            <w:pPr>
              <w:pStyle w:val="TableParagraph"/>
              <w:spacing w:line="199" w:lineRule="exact"/>
              <w:ind w:left="64"/>
              <w:jc w:val="left"/>
              <w:rPr>
                <w:b/>
                <w:sz w:val="18"/>
              </w:rPr>
            </w:pPr>
            <w:r>
              <w:rPr>
                <w:b/>
                <w:color w:val="181818"/>
                <w:sz w:val="18"/>
              </w:rPr>
              <w:t>Otumba</w:t>
            </w:r>
          </w:p>
        </w:tc>
        <w:tc>
          <w:tcPr>
            <w:tcW w:w="1421" w:type="dxa"/>
          </w:tcPr>
          <w:p>
            <w:pPr>
              <w:pStyle w:val="TableParagraph"/>
              <w:spacing w:line="203" w:lineRule="exact"/>
              <w:ind w:left="380" w:right="379"/>
              <w:rPr>
                <w:sz w:val="18"/>
              </w:rPr>
            </w:pPr>
            <w:r>
              <w:rPr>
                <w:sz w:val="18"/>
              </w:rPr>
              <w:t>40.30%</w:t>
            </w:r>
          </w:p>
        </w:tc>
        <w:tc>
          <w:tcPr>
            <w:tcW w:w="1601" w:type="dxa"/>
            <w:vMerge/>
          </w:tcPr>
          <w:p>
            <w:pPr/>
          </w:p>
        </w:tc>
      </w:tr>
      <w:tr>
        <w:trPr>
          <w:trHeight w:val="326" w:hRule="exact"/>
        </w:trPr>
        <w:tc>
          <w:tcPr>
            <w:tcW w:w="1380" w:type="dxa"/>
            <w:vMerge/>
          </w:tcPr>
          <w:p>
            <w:pPr/>
          </w:p>
        </w:tc>
        <w:tc>
          <w:tcPr>
            <w:tcW w:w="821" w:type="dxa"/>
          </w:tcPr>
          <w:p>
            <w:pPr>
              <w:pStyle w:val="TableParagraph"/>
              <w:spacing w:line="206" w:lineRule="exact"/>
              <w:ind w:right="2"/>
              <w:rPr>
                <w:sz w:val="18"/>
              </w:rPr>
            </w:pPr>
            <w:r>
              <w:rPr>
                <w:w w:val="99"/>
                <w:sz w:val="18"/>
              </w:rPr>
              <w:t>1</w:t>
            </w:r>
          </w:p>
        </w:tc>
        <w:tc>
          <w:tcPr>
            <w:tcW w:w="2379" w:type="dxa"/>
          </w:tcPr>
          <w:p>
            <w:pPr>
              <w:pStyle w:val="TableParagraph"/>
              <w:spacing w:line="206" w:lineRule="exact"/>
              <w:ind w:left="64"/>
              <w:jc w:val="left"/>
              <w:rPr>
                <w:sz w:val="18"/>
              </w:rPr>
            </w:pPr>
            <w:r>
              <w:rPr>
                <w:color w:val="181818"/>
                <w:sz w:val="18"/>
              </w:rPr>
              <w:t>Tonanitla</w:t>
            </w:r>
          </w:p>
        </w:tc>
        <w:tc>
          <w:tcPr>
            <w:tcW w:w="1421" w:type="dxa"/>
          </w:tcPr>
          <w:p>
            <w:pPr/>
          </w:p>
        </w:tc>
        <w:tc>
          <w:tcPr>
            <w:tcW w:w="1601" w:type="dxa"/>
            <w:vMerge/>
          </w:tcPr>
          <w:p>
            <w:pPr/>
          </w:p>
        </w:tc>
      </w:tr>
    </w:tbl>
    <w:p>
      <w:pPr>
        <w:spacing w:line="206" w:lineRule="exact" w:before="0"/>
        <w:ind w:left="622" w:right="552" w:firstLine="0"/>
        <w:jc w:val="left"/>
        <w:rPr>
          <w:sz w:val="18"/>
        </w:rPr>
      </w:pPr>
      <w:r>
        <w:rPr>
          <w:sz w:val="18"/>
        </w:rPr>
        <w:t>Fuente: Elaboración propia con datos del INFOEM y del IEEM.</w:t>
      </w:r>
    </w:p>
    <w:p>
      <w:pPr>
        <w:spacing w:after="0" w:line="206" w:lineRule="exact"/>
        <w:jc w:val="left"/>
        <w:rPr>
          <w:sz w:val="18"/>
        </w:rPr>
        <w:sectPr>
          <w:pgSz w:w="12240" w:h="15840"/>
          <w:pgMar w:header="0" w:footer="975" w:top="1420" w:bottom="1160" w:left="1720" w:right="1720"/>
        </w:sectPr>
      </w:pPr>
    </w:p>
    <w:tbl>
      <w:tblPr>
        <w:tblW w:w="0" w:type="auto"/>
        <w:jc w:val="left"/>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61"/>
        <w:gridCol w:w="806"/>
        <w:gridCol w:w="814"/>
        <w:gridCol w:w="821"/>
        <w:gridCol w:w="800"/>
        <w:gridCol w:w="845"/>
        <w:gridCol w:w="955"/>
        <w:gridCol w:w="812"/>
        <w:gridCol w:w="790"/>
      </w:tblGrid>
      <w:tr>
        <w:trPr>
          <w:trHeight w:val="330" w:hRule="exact"/>
        </w:trPr>
        <w:tc>
          <w:tcPr>
            <w:tcW w:w="9102" w:type="dxa"/>
            <w:gridSpan w:val="9"/>
            <w:shd w:val="clear" w:color="auto" w:fill="92D050"/>
          </w:tcPr>
          <w:p>
            <w:pPr>
              <w:pStyle w:val="TableParagraph"/>
              <w:spacing w:line="200" w:lineRule="exact"/>
              <w:ind w:left="1202"/>
              <w:jc w:val="left"/>
              <w:rPr>
                <w:b/>
                <w:sz w:val="18"/>
              </w:rPr>
            </w:pPr>
            <w:r>
              <w:rPr>
                <w:b/>
                <w:sz w:val="18"/>
              </w:rPr>
              <w:t>Anexo 15. Solicitudes de Información por año y por género en cada municipio</w:t>
            </w:r>
          </w:p>
        </w:tc>
      </w:tr>
      <w:tr>
        <w:trPr>
          <w:trHeight w:val="326" w:hRule="exact"/>
        </w:trPr>
        <w:tc>
          <w:tcPr>
            <w:tcW w:w="2461" w:type="dxa"/>
            <w:vMerge w:val="restart"/>
            <w:shd w:val="clear" w:color="auto" w:fill="92D050"/>
          </w:tcPr>
          <w:p>
            <w:pPr>
              <w:pStyle w:val="TableParagraph"/>
              <w:spacing w:before="159"/>
              <w:ind w:left="799"/>
              <w:jc w:val="left"/>
              <w:rPr>
                <w:b/>
                <w:sz w:val="18"/>
              </w:rPr>
            </w:pPr>
            <w:r>
              <w:rPr>
                <w:b/>
                <w:sz w:val="18"/>
              </w:rPr>
              <w:t>Municipio</w:t>
            </w:r>
          </w:p>
        </w:tc>
        <w:tc>
          <w:tcPr>
            <w:tcW w:w="1620" w:type="dxa"/>
            <w:gridSpan w:val="2"/>
            <w:tcBorders>
              <w:bottom w:val="single" w:sz="4" w:space="0" w:color="000000"/>
              <w:right w:val="single" w:sz="4" w:space="0" w:color="000000"/>
            </w:tcBorders>
            <w:shd w:val="clear" w:color="auto" w:fill="92D050"/>
          </w:tcPr>
          <w:p>
            <w:pPr>
              <w:pStyle w:val="TableParagraph"/>
              <w:spacing w:line="199" w:lineRule="exact"/>
              <w:ind w:left="582" w:right="582"/>
              <w:rPr>
                <w:b/>
                <w:sz w:val="18"/>
              </w:rPr>
            </w:pPr>
            <w:r>
              <w:rPr>
                <w:b/>
                <w:sz w:val="18"/>
              </w:rPr>
              <w:t>2012</w:t>
            </w:r>
          </w:p>
        </w:tc>
        <w:tc>
          <w:tcPr>
            <w:tcW w:w="1620" w:type="dxa"/>
            <w:gridSpan w:val="2"/>
            <w:tcBorders>
              <w:left w:val="single" w:sz="4" w:space="0" w:color="000000"/>
              <w:bottom w:val="single" w:sz="4" w:space="0" w:color="000000"/>
              <w:right w:val="single" w:sz="4" w:space="0" w:color="000000"/>
            </w:tcBorders>
            <w:shd w:val="clear" w:color="auto" w:fill="92D050"/>
          </w:tcPr>
          <w:p>
            <w:pPr>
              <w:pStyle w:val="TableParagraph"/>
              <w:spacing w:line="199" w:lineRule="exact"/>
              <w:ind w:left="586" w:right="584"/>
              <w:rPr>
                <w:b/>
                <w:sz w:val="18"/>
              </w:rPr>
            </w:pPr>
            <w:r>
              <w:rPr>
                <w:b/>
                <w:sz w:val="18"/>
              </w:rPr>
              <w:t>2013</w:t>
            </w:r>
          </w:p>
        </w:tc>
        <w:tc>
          <w:tcPr>
            <w:tcW w:w="1800" w:type="dxa"/>
            <w:gridSpan w:val="2"/>
            <w:tcBorders>
              <w:left w:val="single" w:sz="4" w:space="0" w:color="000000"/>
              <w:bottom w:val="single" w:sz="4" w:space="0" w:color="000000"/>
              <w:right w:val="single" w:sz="4" w:space="0" w:color="000000"/>
            </w:tcBorders>
            <w:shd w:val="clear" w:color="auto" w:fill="92D050"/>
          </w:tcPr>
          <w:p>
            <w:pPr>
              <w:pStyle w:val="TableParagraph"/>
              <w:spacing w:line="199" w:lineRule="exact"/>
              <w:ind w:left="124" w:right="124"/>
              <w:rPr>
                <w:b/>
                <w:sz w:val="18"/>
              </w:rPr>
            </w:pPr>
            <w:r>
              <w:rPr>
                <w:b/>
                <w:sz w:val="18"/>
              </w:rPr>
              <w:t>2014</w:t>
            </w:r>
          </w:p>
        </w:tc>
        <w:tc>
          <w:tcPr>
            <w:tcW w:w="1601" w:type="dxa"/>
            <w:gridSpan w:val="2"/>
            <w:tcBorders>
              <w:left w:val="single" w:sz="4" w:space="0" w:color="000000"/>
              <w:bottom w:val="single" w:sz="4" w:space="0" w:color="000000"/>
            </w:tcBorders>
            <w:shd w:val="clear" w:color="auto" w:fill="92D050"/>
          </w:tcPr>
          <w:p>
            <w:pPr>
              <w:pStyle w:val="TableParagraph"/>
              <w:spacing w:line="199" w:lineRule="exact"/>
              <w:ind w:left="96" w:right="93"/>
              <w:rPr>
                <w:b/>
                <w:sz w:val="18"/>
              </w:rPr>
            </w:pPr>
            <w:r>
              <w:rPr>
                <w:b/>
                <w:sz w:val="18"/>
              </w:rPr>
              <w:t>2015</w:t>
            </w:r>
          </w:p>
        </w:tc>
      </w:tr>
      <w:tr>
        <w:trPr>
          <w:trHeight w:val="338" w:hRule="exact"/>
        </w:trPr>
        <w:tc>
          <w:tcPr>
            <w:tcW w:w="2461" w:type="dxa"/>
            <w:vMerge/>
            <w:shd w:val="clear" w:color="auto" w:fill="92D050"/>
          </w:tcPr>
          <w:p>
            <w:pPr/>
          </w:p>
        </w:tc>
        <w:tc>
          <w:tcPr>
            <w:tcW w:w="806" w:type="dxa"/>
            <w:tcBorders>
              <w:top w:val="single" w:sz="4" w:space="0" w:color="000000"/>
              <w:right w:val="single" w:sz="4" w:space="0" w:color="000000"/>
            </w:tcBorders>
            <w:shd w:val="clear" w:color="auto" w:fill="92D050"/>
          </w:tcPr>
          <w:p>
            <w:pPr>
              <w:pStyle w:val="TableParagraph"/>
              <w:spacing w:before="3"/>
              <w:ind w:left="58" w:right="63"/>
              <w:rPr>
                <w:b/>
                <w:sz w:val="18"/>
              </w:rPr>
            </w:pPr>
            <w:r>
              <w:rPr>
                <w:b/>
                <w:sz w:val="18"/>
              </w:rPr>
              <w:t>Género</w:t>
            </w:r>
          </w:p>
        </w:tc>
        <w:tc>
          <w:tcPr>
            <w:tcW w:w="814" w:type="dxa"/>
            <w:tcBorders>
              <w:top w:val="single" w:sz="4" w:space="0" w:color="000000"/>
              <w:left w:val="single" w:sz="4" w:space="0" w:color="000000"/>
              <w:right w:val="single" w:sz="4" w:space="0" w:color="000000"/>
            </w:tcBorders>
            <w:shd w:val="clear" w:color="auto" w:fill="92D050"/>
          </w:tcPr>
          <w:p>
            <w:pPr>
              <w:pStyle w:val="TableParagraph"/>
              <w:spacing w:before="3"/>
              <w:rPr>
                <w:b/>
                <w:sz w:val="18"/>
              </w:rPr>
            </w:pPr>
            <w:r>
              <w:rPr>
                <w:b/>
                <w:w w:val="99"/>
                <w:sz w:val="18"/>
              </w:rPr>
              <w:t>%</w:t>
            </w:r>
          </w:p>
        </w:tc>
        <w:tc>
          <w:tcPr>
            <w:tcW w:w="821" w:type="dxa"/>
            <w:tcBorders>
              <w:top w:val="single" w:sz="4" w:space="0" w:color="000000"/>
              <w:left w:val="single" w:sz="4" w:space="0" w:color="000000"/>
              <w:right w:val="single" w:sz="4" w:space="0" w:color="000000"/>
            </w:tcBorders>
            <w:shd w:val="clear" w:color="auto" w:fill="92D050"/>
          </w:tcPr>
          <w:p>
            <w:pPr>
              <w:pStyle w:val="TableParagraph"/>
              <w:spacing w:before="3"/>
              <w:ind w:left="70" w:right="70"/>
              <w:rPr>
                <w:b/>
                <w:sz w:val="18"/>
              </w:rPr>
            </w:pPr>
            <w:r>
              <w:rPr>
                <w:b/>
                <w:sz w:val="18"/>
              </w:rPr>
              <w:t>Género</w:t>
            </w:r>
          </w:p>
        </w:tc>
        <w:tc>
          <w:tcPr>
            <w:tcW w:w="800" w:type="dxa"/>
            <w:tcBorders>
              <w:top w:val="single" w:sz="4" w:space="0" w:color="000000"/>
              <w:left w:val="single" w:sz="4" w:space="0" w:color="000000"/>
              <w:right w:val="single" w:sz="4" w:space="0" w:color="000000"/>
            </w:tcBorders>
            <w:shd w:val="clear" w:color="auto" w:fill="92D050"/>
          </w:tcPr>
          <w:p>
            <w:pPr>
              <w:pStyle w:val="TableParagraph"/>
              <w:spacing w:before="3"/>
              <w:rPr>
                <w:b/>
                <w:sz w:val="18"/>
              </w:rPr>
            </w:pPr>
            <w:r>
              <w:rPr>
                <w:b/>
                <w:w w:val="99"/>
                <w:sz w:val="18"/>
              </w:rPr>
              <w:t>%</w:t>
            </w:r>
          </w:p>
        </w:tc>
        <w:tc>
          <w:tcPr>
            <w:tcW w:w="845" w:type="dxa"/>
            <w:tcBorders>
              <w:top w:val="single" w:sz="4" w:space="0" w:color="000000"/>
              <w:left w:val="single" w:sz="4" w:space="0" w:color="000000"/>
              <w:right w:val="single" w:sz="4" w:space="0" w:color="000000"/>
            </w:tcBorders>
            <w:shd w:val="clear" w:color="auto" w:fill="92D050"/>
          </w:tcPr>
          <w:p>
            <w:pPr>
              <w:pStyle w:val="TableParagraph"/>
              <w:spacing w:before="3"/>
              <w:ind w:left="82" w:right="82"/>
              <w:rPr>
                <w:b/>
                <w:sz w:val="18"/>
              </w:rPr>
            </w:pPr>
            <w:r>
              <w:rPr>
                <w:b/>
                <w:sz w:val="18"/>
              </w:rPr>
              <w:t>Género</w:t>
            </w:r>
          </w:p>
        </w:tc>
        <w:tc>
          <w:tcPr>
            <w:tcW w:w="955" w:type="dxa"/>
            <w:tcBorders>
              <w:top w:val="single" w:sz="4" w:space="0" w:color="000000"/>
              <w:left w:val="single" w:sz="4" w:space="0" w:color="000000"/>
              <w:right w:val="single" w:sz="4" w:space="0" w:color="000000"/>
            </w:tcBorders>
            <w:shd w:val="clear" w:color="auto" w:fill="92D050"/>
          </w:tcPr>
          <w:p>
            <w:pPr>
              <w:pStyle w:val="TableParagraph"/>
              <w:spacing w:before="3"/>
              <w:ind w:right="1"/>
              <w:rPr>
                <w:b/>
                <w:sz w:val="18"/>
              </w:rPr>
            </w:pPr>
            <w:r>
              <w:rPr>
                <w:b/>
                <w:w w:val="99"/>
                <w:sz w:val="18"/>
              </w:rPr>
              <w:t>%</w:t>
            </w:r>
          </w:p>
        </w:tc>
        <w:tc>
          <w:tcPr>
            <w:tcW w:w="812" w:type="dxa"/>
            <w:tcBorders>
              <w:top w:val="single" w:sz="4" w:space="0" w:color="000000"/>
              <w:left w:val="single" w:sz="4" w:space="0" w:color="000000"/>
              <w:right w:val="single" w:sz="4" w:space="0" w:color="000000"/>
            </w:tcBorders>
            <w:shd w:val="clear" w:color="auto" w:fill="92D050"/>
          </w:tcPr>
          <w:p>
            <w:pPr>
              <w:pStyle w:val="TableParagraph"/>
              <w:spacing w:before="3"/>
              <w:ind w:left="65" w:right="66"/>
              <w:rPr>
                <w:b/>
                <w:sz w:val="18"/>
              </w:rPr>
            </w:pPr>
            <w:r>
              <w:rPr>
                <w:b/>
                <w:sz w:val="18"/>
              </w:rPr>
              <w:t>Género</w:t>
            </w:r>
          </w:p>
        </w:tc>
        <w:tc>
          <w:tcPr>
            <w:tcW w:w="790" w:type="dxa"/>
            <w:tcBorders>
              <w:top w:val="single" w:sz="4" w:space="0" w:color="000000"/>
              <w:left w:val="single" w:sz="4" w:space="0" w:color="000000"/>
            </w:tcBorders>
            <w:shd w:val="clear" w:color="auto" w:fill="92D050"/>
          </w:tcPr>
          <w:p>
            <w:pPr>
              <w:pStyle w:val="TableParagraph"/>
              <w:spacing w:before="3"/>
              <w:ind w:left="4"/>
              <w:rPr>
                <w:b/>
                <w:sz w:val="18"/>
              </w:rPr>
            </w:pPr>
            <w:r>
              <w:rPr>
                <w:b/>
                <w:w w:val="99"/>
                <w:sz w:val="18"/>
              </w:rPr>
              <w:t>%</w:t>
            </w:r>
          </w:p>
        </w:tc>
      </w:tr>
      <w:tr>
        <w:trPr>
          <w:trHeight w:val="326" w:hRule="exact"/>
        </w:trPr>
        <w:tc>
          <w:tcPr>
            <w:tcW w:w="2461" w:type="dxa"/>
            <w:tcBorders>
              <w:left w:val="single" w:sz="4" w:space="0" w:color="000000"/>
              <w:bottom w:val="single" w:sz="4" w:space="0" w:color="000000"/>
              <w:right w:val="single" w:sz="4" w:space="0" w:color="000000"/>
            </w:tcBorders>
          </w:tcPr>
          <w:p>
            <w:pPr>
              <w:pStyle w:val="TableParagraph"/>
              <w:spacing w:line="206" w:lineRule="exact"/>
              <w:ind w:left="64"/>
              <w:jc w:val="left"/>
              <w:rPr>
                <w:sz w:val="18"/>
              </w:rPr>
            </w:pPr>
            <w:r>
              <w:rPr>
                <w:color w:val="181818"/>
                <w:sz w:val="18"/>
              </w:rPr>
              <w:t>Acambay</w:t>
            </w:r>
          </w:p>
        </w:tc>
        <w:tc>
          <w:tcPr>
            <w:tcW w:w="806" w:type="dxa"/>
            <w:tcBorders>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814" w:type="dxa"/>
            <w:tcBorders>
              <w:left w:val="single" w:sz="4" w:space="0" w:color="000000"/>
              <w:bottom w:val="single" w:sz="4" w:space="0" w:color="000000"/>
            </w:tcBorders>
          </w:tcPr>
          <w:p>
            <w:pPr>
              <w:pStyle w:val="TableParagraph"/>
              <w:spacing w:line="206" w:lineRule="exact"/>
              <w:ind w:left="64" w:right="59"/>
              <w:rPr>
                <w:sz w:val="18"/>
              </w:rPr>
            </w:pPr>
            <w:r>
              <w:rPr>
                <w:sz w:val="18"/>
              </w:rPr>
              <w:t>7.60%</w:t>
            </w:r>
          </w:p>
        </w:tc>
        <w:tc>
          <w:tcPr>
            <w:tcW w:w="821" w:type="dxa"/>
            <w:tcBorders>
              <w:bottom w:val="single" w:sz="4" w:space="0" w:color="000000"/>
              <w:right w:val="single" w:sz="4" w:space="0" w:color="000000"/>
            </w:tcBorders>
          </w:tcPr>
          <w:p>
            <w:pPr>
              <w:pStyle w:val="TableParagraph"/>
              <w:spacing w:line="206" w:lineRule="exact"/>
              <w:ind w:right="8"/>
              <w:rPr>
                <w:sz w:val="18"/>
              </w:rPr>
            </w:pPr>
            <w:r>
              <w:rPr>
                <w:w w:val="99"/>
                <w:sz w:val="18"/>
              </w:rPr>
              <w:t>1</w:t>
            </w:r>
          </w:p>
        </w:tc>
        <w:tc>
          <w:tcPr>
            <w:tcW w:w="800" w:type="dxa"/>
            <w:tcBorders>
              <w:left w:val="single" w:sz="4" w:space="0" w:color="000000"/>
              <w:bottom w:val="single" w:sz="4" w:space="0" w:color="000000"/>
            </w:tcBorders>
          </w:tcPr>
          <w:p>
            <w:pPr>
              <w:pStyle w:val="TableParagraph"/>
              <w:spacing w:line="206" w:lineRule="exact"/>
              <w:ind w:left="68" w:right="65"/>
              <w:rPr>
                <w:sz w:val="18"/>
              </w:rPr>
            </w:pPr>
            <w:r>
              <w:rPr>
                <w:sz w:val="18"/>
              </w:rPr>
              <w:t>78.52%</w:t>
            </w:r>
          </w:p>
        </w:tc>
        <w:tc>
          <w:tcPr>
            <w:tcW w:w="845" w:type="dxa"/>
            <w:tcBorders>
              <w:bottom w:val="single" w:sz="4" w:space="0" w:color="000000"/>
              <w:right w:val="single" w:sz="4" w:space="0" w:color="000000"/>
            </w:tcBorders>
          </w:tcPr>
          <w:p>
            <w:pPr>
              <w:pStyle w:val="TableParagraph"/>
              <w:spacing w:line="206" w:lineRule="exact"/>
              <w:ind w:right="8"/>
              <w:rPr>
                <w:sz w:val="18"/>
              </w:rPr>
            </w:pPr>
            <w:r>
              <w:rPr>
                <w:w w:val="99"/>
                <w:sz w:val="18"/>
              </w:rPr>
              <w:t>1</w:t>
            </w:r>
          </w:p>
        </w:tc>
        <w:tc>
          <w:tcPr>
            <w:tcW w:w="955" w:type="dxa"/>
            <w:tcBorders>
              <w:left w:val="single" w:sz="4" w:space="0" w:color="000000"/>
              <w:bottom w:val="single" w:sz="4" w:space="0" w:color="000000"/>
            </w:tcBorders>
          </w:tcPr>
          <w:p>
            <w:pPr>
              <w:pStyle w:val="TableParagraph"/>
              <w:spacing w:line="206" w:lineRule="exact"/>
              <w:ind w:left="97" w:right="92"/>
              <w:rPr>
                <w:sz w:val="18"/>
              </w:rPr>
            </w:pPr>
            <w:r>
              <w:rPr>
                <w:sz w:val="18"/>
              </w:rPr>
              <w:t>78.52%</w:t>
            </w:r>
          </w:p>
        </w:tc>
        <w:tc>
          <w:tcPr>
            <w:tcW w:w="812" w:type="dxa"/>
            <w:tcBorders>
              <w:bottom w:val="single" w:sz="4" w:space="0" w:color="000000"/>
              <w:right w:val="single" w:sz="4" w:space="0" w:color="000000"/>
            </w:tcBorders>
          </w:tcPr>
          <w:p>
            <w:pPr>
              <w:pStyle w:val="TableParagraph"/>
              <w:spacing w:line="206" w:lineRule="exact"/>
              <w:ind w:right="7"/>
              <w:rPr>
                <w:sz w:val="18"/>
              </w:rPr>
            </w:pPr>
            <w:r>
              <w:rPr>
                <w:w w:val="99"/>
                <w:sz w:val="18"/>
              </w:rPr>
              <w:t>2</w:t>
            </w:r>
          </w:p>
        </w:tc>
        <w:tc>
          <w:tcPr>
            <w:tcW w:w="790" w:type="dxa"/>
            <w:tcBorders>
              <w:left w:val="single" w:sz="4" w:space="0" w:color="000000"/>
              <w:bottom w:val="single" w:sz="4" w:space="0" w:color="000000"/>
            </w:tcBorders>
          </w:tcPr>
          <w:p>
            <w:pPr>
              <w:pStyle w:val="TableParagraph"/>
              <w:spacing w:line="206" w:lineRule="exact"/>
              <w:ind w:left="63" w:right="60"/>
              <w:rPr>
                <w:sz w:val="18"/>
              </w:rPr>
            </w:pPr>
            <w:r>
              <w:rPr>
                <w:sz w:val="18"/>
              </w:rPr>
              <w:t>50.42%</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Acolman</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Aculco</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61"/>
              <w:rPr>
                <w:sz w:val="18"/>
              </w:rPr>
            </w:pPr>
            <w:r>
              <w:rPr>
                <w:color w:val="333333"/>
                <w:sz w:val="18"/>
              </w:rPr>
              <w:t>19.20%</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Style w:val="TableParagraph"/>
              <w:spacing w:line="203" w:lineRule="exact"/>
              <w:ind w:left="97" w:right="92"/>
              <w:rPr>
                <w:sz w:val="18"/>
              </w:rPr>
            </w:pPr>
            <w:r>
              <w:rPr>
                <w:sz w:val="18"/>
              </w:rPr>
              <w:t>58.76%</w:t>
            </w: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2</w:t>
            </w:r>
          </w:p>
        </w:tc>
        <w:tc>
          <w:tcPr>
            <w:tcW w:w="790" w:type="dxa"/>
            <w:tcBorders>
              <w:top w:val="single" w:sz="4" w:space="0" w:color="000000"/>
              <w:left w:val="single" w:sz="4" w:space="0" w:color="000000"/>
              <w:bottom w:val="single" w:sz="4" w:space="0" w:color="000000"/>
            </w:tcBorders>
          </w:tcPr>
          <w:p>
            <w:pP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Almoloya de Alquisiras</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58"/>
              <w:rPr>
                <w:sz w:val="18"/>
              </w:rPr>
            </w:pPr>
            <w:r>
              <w:rPr>
                <w:sz w:val="18"/>
              </w:rPr>
              <w:t>0.00%</w:t>
            </w: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Almoloya de Juárez</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2</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61"/>
              <w:rPr>
                <w:sz w:val="18"/>
              </w:rPr>
            </w:pPr>
            <w:r>
              <w:rPr>
                <w:color w:val="333333"/>
                <w:sz w:val="18"/>
              </w:rPr>
              <w:t>76.90%</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Style w:val="TableParagraph"/>
              <w:spacing w:line="203" w:lineRule="exact"/>
              <w:ind w:left="97" w:right="92"/>
              <w:rPr>
                <w:sz w:val="18"/>
              </w:rPr>
            </w:pPr>
            <w:r>
              <w:rPr>
                <w:sz w:val="18"/>
              </w:rPr>
              <w:t>82.09%</w:t>
            </w: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60"/>
              <w:rPr>
                <w:sz w:val="18"/>
              </w:rPr>
            </w:pPr>
            <w:r>
              <w:rPr>
                <w:sz w:val="18"/>
              </w:rPr>
              <w:t>87.23%</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Almoloya del Río</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61"/>
              <w:rPr>
                <w:sz w:val="18"/>
              </w:rPr>
            </w:pPr>
            <w:r>
              <w:rPr>
                <w:color w:val="333333"/>
                <w:sz w:val="18"/>
              </w:rPr>
              <w:t>11.50%</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60"/>
              <w:rPr>
                <w:sz w:val="18"/>
              </w:rPr>
            </w:pPr>
            <w:r>
              <w:rPr>
                <w:sz w:val="18"/>
              </w:rPr>
              <w:t>17.33%</w:t>
            </w: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Amanalco</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61"/>
              <w:rPr>
                <w:sz w:val="18"/>
              </w:rPr>
            </w:pPr>
            <w:r>
              <w:rPr>
                <w:color w:val="333333"/>
                <w:sz w:val="18"/>
              </w:rPr>
              <w:t>19.23%</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Style w:val="TableParagraph"/>
              <w:spacing w:line="203" w:lineRule="exact"/>
              <w:ind w:left="97" w:right="92"/>
              <w:rPr>
                <w:sz w:val="18"/>
              </w:rPr>
            </w:pPr>
            <w:r>
              <w:rPr>
                <w:sz w:val="18"/>
              </w:rPr>
              <w:t>81.23%</w:t>
            </w: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60"/>
              <w:rPr>
                <w:sz w:val="18"/>
              </w:rPr>
            </w:pPr>
            <w:r>
              <w:rPr>
                <w:sz w:val="18"/>
              </w:rPr>
              <w:t>66.68%</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Amatepec</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
        </w:tc>
      </w:tr>
      <w:tr>
        <w:trPr>
          <w:trHeight w:val="320"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Amecameca</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4"/>
              <w:jc w:val="left"/>
              <w:rPr>
                <w:sz w:val="18"/>
              </w:rPr>
            </w:pPr>
            <w:r>
              <w:rPr>
                <w:color w:val="181818"/>
                <w:sz w:val="18"/>
              </w:rPr>
              <w:t>Apaxco</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6" w:lineRule="exact"/>
              <w:ind w:left="64" w:right="61"/>
              <w:rPr>
                <w:sz w:val="18"/>
              </w:rPr>
            </w:pPr>
            <w:r>
              <w:rPr>
                <w:color w:val="333333"/>
                <w:sz w:val="18"/>
              </w:rPr>
              <w:t>11.50%</w:t>
            </w:r>
          </w:p>
        </w:tc>
        <w:tc>
          <w:tcPr>
            <w:tcW w:w="821"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6"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Atenco</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4"/>
              <w:jc w:val="left"/>
              <w:rPr>
                <w:sz w:val="18"/>
              </w:rPr>
            </w:pPr>
            <w:r>
              <w:rPr>
                <w:color w:val="181818"/>
                <w:sz w:val="18"/>
              </w:rPr>
              <w:t>Atizapán</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Style w:val="TableParagraph"/>
              <w:spacing w:line="206" w:lineRule="exact"/>
              <w:ind w:left="95" w:right="92"/>
              <w:rPr>
                <w:sz w:val="18"/>
              </w:rPr>
            </w:pPr>
            <w:r>
              <w:rPr>
                <w:sz w:val="18"/>
              </w:rPr>
              <w:t>2.38%</w:t>
            </w:r>
          </w:p>
        </w:tc>
        <w:tc>
          <w:tcPr>
            <w:tcW w:w="812" w:type="dxa"/>
            <w:tcBorders>
              <w:top w:val="single" w:sz="4" w:space="0" w:color="000000"/>
              <w:bottom w:val="single" w:sz="4" w:space="0" w:color="000000"/>
              <w:right w:val="single" w:sz="4" w:space="0" w:color="000000"/>
            </w:tcBorders>
          </w:tcPr>
          <w:p>
            <w:pPr>
              <w:pStyle w:val="TableParagraph"/>
              <w:spacing w:line="206"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Atizapán de Zaragoza</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61"/>
              <w:rPr>
                <w:sz w:val="18"/>
              </w:rPr>
            </w:pPr>
            <w:r>
              <w:rPr>
                <w:color w:val="333333"/>
                <w:sz w:val="18"/>
              </w:rPr>
              <w:t>25.00%</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Style w:val="TableParagraph"/>
              <w:spacing w:line="203" w:lineRule="exact"/>
              <w:ind w:left="97" w:right="92"/>
              <w:rPr>
                <w:sz w:val="18"/>
              </w:rPr>
            </w:pPr>
            <w:r>
              <w:rPr>
                <w:sz w:val="18"/>
              </w:rPr>
              <w:t>90.42%</w:t>
            </w: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2</w:t>
            </w:r>
          </w:p>
        </w:tc>
        <w:tc>
          <w:tcPr>
            <w:tcW w:w="790" w:type="dxa"/>
            <w:tcBorders>
              <w:top w:val="single" w:sz="4" w:space="0" w:color="000000"/>
              <w:left w:val="single" w:sz="4" w:space="0" w:color="000000"/>
              <w:bottom w:val="single" w:sz="4" w:space="0" w:color="000000"/>
            </w:tcBorders>
          </w:tcPr>
          <w:p>
            <w:pP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4"/>
              <w:jc w:val="left"/>
              <w:rPr>
                <w:sz w:val="18"/>
              </w:rPr>
            </w:pPr>
            <w:r>
              <w:rPr>
                <w:color w:val="181818"/>
                <w:sz w:val="18"/>
              </w:rPr>
              <w:t>Atlacomulco</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6" w:lineRule="exact"/>
              <w:ind w:left="64" w:right="61"/>
              <w:rPr>
                <w:sz w:val="18"/>
              </w:rPr>
            </w:pPr>
            <w:r>
              <w:rPr>
                <w:color w:val="333333"/>
                <w:sz w:val="18"/>
              </w:rPr>
              <w:t>38.40%</w:t>
            </w:r>
          </w:p>
        </w:tc>
        <w:tc>
          <w:tcPr>
            <w:tcW w:w="821"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6" w:lineRule="exact"/>
              <w:ind w:right="7"/>
              <w:rPr>
                <w:sz w:val="18"/>
              </w:rPr>
            </w:pPr>
            <w:r>
              <w:rPr>
                <w:w w:val="99"/>
                <w:sz w:val="18"/>
              </w:rPr>
              <w:t>2</w:t>
            </w:r>
          </w:p>
        </w:tc>
        <w:tc>
          <w:tcPr>
            <w:tcW w:w="790" w:type="dxa"/>
            <w:tcBorders>
              <w:top w:val="single" w:sz="4" w:space="0" w:color="000000"/>
              <w:left w:val="single" w:sz="4" w:space="0" w:color="000000"/>
              <w:bottom w:val="single" w:sz="4" w:space="0" w:color="000000"/>
            </w:tcBorders>
          </w:tcPr>
          <w:p>
            <w:pPr>
              <w:pStyle w:val="TableParagraph"/>
              <w:spacing w:line="206" w:lineRule="exact"/>
              <w:ind w:left="63" w:right="60"/>
              <w:rPr>
                <w:sz w:val="18"/>
              </w:rPr>
            </w:pPr>
            <w:r>
              <w:rPr>
                <w:sz w:val="18"/>
              </w:rPr>
              <w:t>55.80%</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Atlautla</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2</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59"/>
              <w:rPr>
                <w:sz w:val="18"/>
              </w:rPr>
            </w:pPr>
            <w:r>
              <w:rPr>
                <w:color w:val="333333"/>
                <w:sz w:val="18"/>
              </w:rPr>
              <w:t>7.69%</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Axapusco</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Ayapango</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2</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58"/>
              <w:rPr>
                <w:sz w:val="18"/>
              </w:rPr>
            </w:pPr>
            <w:r>
              <w:rPr>
                <w:sz w:val="18"/>
              </w:rPr>
              <w:t>0.00%</w:t>
            </w: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Calimaya</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59"/>
              <w:rPr>
                <w:sz w:val="18"/>
              </w:rPr>
            </w:pPr>
            <w:r>
              <w:rPr>
                <w:color w:val="333333"/>
                <w:sz w:val="18"/>
              </w:rPr>
              <w:t>3.80%</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Style w:val="TableParagraph"/>
              <w:spacing w:line="203" w:lineRule="exact"/>
              <w:ind w:left="68" w:right="65"/>
              <w:rPr>
                <w:sz w:val="18"/>
              </w:rPr>
            </w:pPr>
            <w:r>
              <w:rPr>
                <w:sz w:val="18"/>
              </w:rPr>
              <w:t>93.20%</w:t>
            </w: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Style w:val="TableParagraph"/>
              <w:spacing w:line="203" w:lineRule="exact"/>
              <w:ind w:left="97" w:right="92"/>
              <w:rPr>
                <w:sz w:val="18"/>
              </w:rPr>
            </w:pPr>
            <w:r>
              <w:rPr>
                <w:sz w:val="18"/>
              </w:rPr>
              <w:t>95.80%</w:t>
            </w: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60"/>
              <w:rPr>
                <w:sz w:val="18"/>
              </w:rPr>
            </w:pPr>
            <w:r>
              <w:rPr>
                <w:sz w:val="18"/>
              </w:rPr>
              <w:t>31.28%</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Capulhuac</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2</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2</w:t>
            </w:r>
          </w:p>
        </w:tc>
        <w:tc>
          <w:tcPr>
            <w:tcW w:w="955" w:type="dxa"/>
            <w:tcBorders>
              <w:top w:val="single" w:sz="4" w:space="0" w:color="000000"/>
              <w:left w:val="single" w:sz="4" w:space="0" w:color="000000"/>
              <w:bottom w:val="single" w:sz="4" w:space="0" w:color="000000"/>
            </w:tcBorders>
          </w:tcPr>
          <w:p>
            <w:pPr>
              <w:pStyle w:val="TableParagraph"/>
              <w:spacing w:line="203" w:lineRule="exact"/>
              <w:ind w:left="97" w:right="92"/>
              <w:rPr>
                <w:sz w:val="18"/>
              </w:rPr>
            </w:pPr>
            <w:r>
              <w:rPr>
                <w:sz w:val="18"/>
              </w:rPr>
              <w:t>48.50%</w:t>
            </w: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60"/>
              <w:rPr>
                <w:sz w:val="18"/>
              </w:rPr>
            </w:pPr>
            <w:r>
              <w:rPr>
                <w:sz w:val="18"/>
              </w:rPr>
              <w:t>39.46%</w:t>
            </w:r>
          </w:p>
        </w:tc>
      </w:tr>
      <w:tr>
        <w:trPr>
          <w:trHeight w:val="320"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4"/>
              <w:jc w:val="left"/>
              <w:rPr>
                <w:sz w:val="18"/>
              </w:rPr>
            </w:pPr>
            <w:r>
              <w:rPr>
                <w:color w:val="181818"/>
                <w:sz w:val="18"/>
              </w:rPr>
              <w:t>Coacalco de Berriozábal</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4"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4"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4"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4" w:lineRule="exact"/>
              <w:ind w:left="63" w:right="58"/>
              <w:rPr>
                <w:sz w:val="18"/>
              </w:rPr>
            </w:pPr>
            <w:r>
              <w:rPr>
                <w:sz w:val="18"/>
              </w:rPr>
              <w:t>0.00%</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Coatepec Harinas</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59"/>
              <w:rPr>
                <w:sz w:val="18"/>
              </w:rPr>
            </w:pPr>
            <w:r>
              <w:rPr>
                <w:color w:val="333333"/>
                <w:sz w:val="18"/>
              </w:rPr>
              <w:t>3.80%</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60"/>
              <w:rPr>
                <w:sz w:val="18"/>
              </w:rPr>
            </w:pPr>
            <w:r>
              <w:rPr>
                <w:sz w:val="18"/>
              </w:rPr>
              <w:t>12.76%</w:t>
            </w: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Cocotitlán</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58"/>
              <w:rPr>
                <w:sz w:val="18"/>
              </w:rPr>
            </w:pPr>
            <w:r>
              <w:rPr>
                <w:sz w:val="18"/>
              </w:rPr>
              <w:t>0.00%</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Coyotepec</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59"/>
              <w:rPr>
                <w:sz w:val="18"/>
              </w:rPr>
            </w:pPr>
            <w:r>
              <w:rPr>
                <w:color w:val="333333"/>
                <w:sz w:val="18"/>
              </w:rPr>
              <w:t>7.60%</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Cuautitlán</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Style w:val="TableParagraph"/>
              <w:spacing w:line="203" w:lineRule="exact"/>
              <w:ind w:left="97" w:right="92"/>
              <w:rPr>
                <w:sz w:val="18"/>
              </w:rPr>
            </w:pPr>
            <w:r>
              <w:rPr>
                <w:sz w:val="18"/>
              </w:rPr>
              <w:t>46.47%</w:t>
            </w: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2</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60"/>
              <w:rPr>
                <w:sz w:val="18"/>
              </w:rPr>
            </w:pPr>
            <w:r>
              <w:rPr>
                <w:sz w:val="18"/>
              </w:rPr>
              <w:t>57.14%</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Chalco</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61"/>
              <w:rPr>
                <w:sz w:val="18"/>
              </w:rPr>
            </w:pPr>
            <w:r>
              <w:rPr>
                <w:color w:val="333333"/>
                <w:sz w:val="18"/>
              </w:rPr>
              <w:t>34.60%</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Style w:val="TableParagraph"/>
              <w:spacing w:line="203" w:lineRule="exact"/>
              <w:ind w:left="97" w:right="92"/>
              <w:rPr>
                <w:sz w:val="18"/>
              </w:rPr>
            </w:pPr>
            <w:r>
              <w:rPr>
                <w:sz w:val="18"/>
              </w:rPr>
              <w:t>96.42%</w:t>
            </w: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Chapa de Mota</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59"/>
              <w:rPr>
                <w:sz w:val="18"/>
              </w:rPr>
            </w:pPr>
            <w:r>
              <w:rPr>
                <w:color w:val="333333"/>
                <w:sz w:val="18"/>
              </w:rPr>
              <w:t>7.60%</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2</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60"/>
              <w:rPr>
                <w:sz w:val="18"/>
              </w:rPr>
            </w:pPr>
            <w:r>
              <w:rPr>
                <w:sz w:val="18"/>
              </w:rPr>
              <w:t>34.51%</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4"/>
              <w:jc w:val="left"/>
              <w:rPr>
                <w:sz w:val="18"/>
              </w:rPr>
            </w:pPr>
            <w:r>
              <w:rPr>
                <w:color w:val="181818"/>
                <w:sz w:val="18"/>
              </w:rPr>
              <w:t>Chapultepec</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6"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Chiautla</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59"/>
              <w:rPr>
                <w:sz w:val="18"/>
              </w:rPr>
            </w:pPr>
            <w:r>
              <w:rPr>
                <w:color w:val="333333"/>
                <w:sz w:val="18"/>
              </w:rPr>
              <w:t>7.60%</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58"/>
              <w:rPr>
                <w:sz w:val="18"/>
              </w:rPr>
            </w:pPr>
            <w:r>
              <w:rPr>
                <w:sz w:val="18"/>
              </w:rPr>
              <w:t>0.00%</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4"/>
              <w:jc w:val="left"/>
              <w:rPr>
                <w:sz w:val="18"/>
              </w:rPr>
            </w:pPr>
            <w:r>
              <w:rPr>
                <w:color w:val="181818"/>
                <w:sz w:val="18"/>
              </w:rPr>
              <w:t>Chicoloapan</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6" w:lineRule="exact"/>
              <w:ind w:left="64" w:right="59"/>
              <w:rPr>
                <w:sz w:val="18"/>
              </w:rPr>
            </w:pPr>
            <w:r>
              <w:rPr>
                <w:color w:val="333333"/>
                <w:sz w:val="18"/>
              </w:rPr>
              <w:t>3.80%</w:t>
            </w:r>
          </w:p>
        </w:tc>
        <w:tc>
          <w:tcPr>
            <w:tcW w:w="821"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6"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6" w:lineRule="exact"/>
              <w:ind w:left="63" w:right="60"/>
              <w:rPr>
                <w:sz w:val="18"/>
              </w:rPr>
            </w:pPr>
            <w:r>
              <w:rPr>
                <w:sz w:val="18"/>
              </w:rPr>
              <w:t>42.15%</w:t>
            </w: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Chiconcuac</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59"/>
              <w:rPr>
                <w:sz w:val="18"/>
              </w:rPr>
            </w:pPr>
            <w:r>
              <w:rPr>
                <w:color w:val="333333"/>
                <w:sz w:val="18"/>
              </w:rPr>
              <w:t>3.80%</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4"/>
              <w:jc w:val="left"/>
              <w:rPr>
                <w:sz w:val="18"/>
              </w:rPr>
            </w:pPr>
            <w:r>
              <w:rPr>
                <w:color w:val="181818"/>
                <w:sz w:val="18"/>
              </w:rPr>
              <w:t>Chimalhuacán</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2</w:t>
            </w:r>
          </w:p>
        </w:tc>
        <w:tc>
          <w:tcPr>
            <w:tcW w:w="814" w:type="dxa"/>
            <w:tcBorders>
              <w:top w:val="single" w:sz="4" w:space="0" w:color="000000"/>
              <w:left w:val="single" w:sz="4" w:space="0" w:color="000000"/>
              <w:bottom w:val="single" w:sz="4" w:space="0" w:color="000000"/>
            </w:tcBorders>
          </w:tcPr>
          <w:p>
            <w:pPr>
              <w:pStyle w:val="TableParagraph"/>
              <w:spacing w:line="206" w:lineRule="exact"/>
              <w:ind w:left="64" w:right="59"/>
              <w:rPr>
                <w:sz w:val="18"/>
              </w:rPr>
            </w:pPr>
            <w:r>
              <w:rPr>
                <w:color w:val="333333"/>
                <w:sz w:val="18"/>
              </w:rPr>
              <w:t>3.80%</w:t>
            </w:r>
          </w:p>
        </w:tc>
        <w:tc>
          <w:tcPr>
            <w:tcW w:w="821"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6" w:lineRule="exact"/>
              <w:ind w:right="7"/>
              <w:rPr>
                <w:sz w:val="18"/>
              </w:rPr>
            </w:pPr>
            <w:r>
              <w:rPr>
                <w:w w:val="99"/>
                <w:sz w:val="18"/>
              </w:rPr>
              <w:t>2</w:t>
            </w:r>
          </w:p>
        </w:tc>
        <w:tc>
          <w:tcPr>
            <w:tcW w:w="790" w:type="dxa"/>
            <w:tcBorders>
              <w:top w:val="single" w:sz="4" w:space="0" w:color="000000"/>
              <w:left w:val="single" w:sz="4" w:space="0" w:color="000000"/>
              <w:bottom w:val="single" w:sz="4" w:space="0" w:color="000000"/>
            </w:tcBorders>
          </w:tcPr>
          <w:p>
            <w:pPr>
              <w:pStyle w:val="TableParagraph"/>
              <w:spacing w:line="206" w:lineRule="exact"/>
              <w:ind w:left="63" w:right="60"/>
              <w:rPr>
                <w:sz w:val="18"/>
              </w:rPr>
            </w:pPr>
            <w:r>
              <w:rPr>
                <w:sz w:val="18"/>
              </w:rPr>
              <w:t>49.04%</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Donato Guerra</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58"/>
              <w:rPr>
                <w:sz w:val="18"/>
              </w:rPr>
            </w:pPr>
            <w:r>
              <w:rPr>
                <w:sz w:val="18"/>
              </w:rPr>
              <w:t>6.83%</w:t>
            </w: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Ecatepec de Morelos</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61"/>
              <w:rPr>
                <w:sz w:val="18"/>
              </w:rPr>
            </w:pPr>
            <w:r>
              <w:rPr>
                <w:color w:val="333333"/>
                <w:sz w:val="18"/>
              </w:rPr>
              <w:t>42.30%</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Ecatzingo</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58"/>
              <w:rPr>
                <w:sz w:val="18"/>
              </w:rPr>
            </w:pPr>
            <w:r>
              <w:rPr>
                <w:sz w:val="18"/>
              </w:rPr>
              <w:t>0.00%</w:t>
            </w:r>
          </w:p>
        </w:tc>
      </w:tr>
    </w:tbl>
    <w:p>
      <w:pPr>
        <w:spacing w:after="0" w:line="203" w:lineRule="exact"/>
        <w:rPr>
          <w:sz w:val="18"/>
        </w:rPr>
        <w:sectPr>
          <w:pgSz w:w="12240" w:h="15840"/>
          <w:pgMar w:header="0" w:footer="975" w:top="1420" w:bottom="1160" w:left="1500" w:right="1400"/>
        </w:sectPr>
      </w:pPr>
    </w:p>
    <w:tbl>
      <w:tblPr>
        <w:tblW w:w="0" w:type="auto"/>
        <w:jc w:val="left"/>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61"/>
        <w:gridCol w:w="806"/>
        <w:gridCol w:w="814"/>
        <w:gridCol w:w="821"/>
        <w:gridCol w:w="800"/>
        <w:gridCol w:w="845"/>
        <w:gridCol w:w="955"/>
        <w:gridCol w:w="812"/>
        <w:gridCol w:w="790"/>
      </w:tblGrid>
      <w:tr>
        <w:trPr>
          <w:trHeight w:val="330" w:hRule="exact"/>
        </w:trPr>
        <w:tc>
          <w:tcPr>
            <w:tcW w:w="9102" w:type="dxa"/>
            <w:gridSpan w:val="9"/>
            <w:shd w:val="clear" w:color="auto" w:fill="92D050"/>
          </w:tcPr>
          <w:p>
            <w:pPr>
              <w:pStyle w:val="TableParagraph"/>
              <w:spacing w:line="200" w:lineRule="exact"/>
              <w:ind w:left="542"/>
              <w:jc w:val="left"/>
              <w:rPr>
                <w:b/>
                <w:sz w:val="18"/>
              </w:rPr>
            </w:pPr>
            <w:r>
              <w:rPr>
                <w:b/>
                <w:sz w:val="18"/>
              </w:rPr>
              <w:t>Anexo 15. Solicitudes de Información por año y por género en cada municipio (Continuación)</w:t>
            </w:r>
          </w:p>
        </w:tc>
      </w:tr>
      <w:tr>
        <w:trPr>
          <w:trHeight w:val="326" w:hRule="exact"/>
        </w:trPr>
        <w:tc>
          <w:tcPr>
            <w:tcW w:w="2461" w:type="dxa"/>
            <w:vMerge w:val="restart"/>
            <w:shd w:val="clear" w:color="auto" w:fill="92D050"/>
          </w:tcPr>
          <w:p>
            <w:pPr>
              <w:pStyle w:val="TableParagraph"/>
              <w:spacing w:before="159"/>
              <w:ind w:left="799"/>
              <w:jc w:val="left"/>
              <w:rPr>
                <w:b/>
                <w:sz w:val="18"/>
              </w:rPr>
            </w:pPr>
            <w:r>
              <w:rPr>
                <w:b/>
                <w:sz w:val="18"/>
              </w:rPr>
              <w:t>Municipio</w:t>
            </w:r>
          </w:p>
        </w:tc>
        <w:tc>
          <w:tcPr>
            <w:tcW w:w="1620" w:type="dxa"/>
            <w:gridSpan w:val="2"/>
            <w:tcBorders>
              <w:bottom w:val="single" w:sz="4" w:space="0" w:color="000000"/>
              <w:right w:val="single" w:sz="4" w:space="0" w:color="000000"/>
            </w:tcBorders>
            <w:shd w:val="clear" w:color="auto" w:fill="92D050"/>
          </w:tcPr>
          <w:p>
            <w:pPr>
              <w:pStyle w:val="TableParagraph"/>
              <w:spacing w:line="199" w:lineRule="exact"/>
              <w:ind w:left="582" w:right="582"/>
              <w:rPr>
                <w:b/>
                <w:sz w:val="18"/>
              </w:rPr>
            </w:pPr>
            <w:r>
              <w:rPr>
                <w:b/>
                <w:sz w:val="18"/>
              </w:rPr>
              <w:t>2012</w:t>
            </w:r>
          </w:p>
        </w:tc>
        <w:tc>
          <w:tcPr>
            <w:tcW w:w="1620" w:type="dxa"/>
            <w:gridSpan w:val="2"/>
            <w:tcBorders>
              <w:left w:val="single" w:sz="4" w:space="0" w:color="000000"/>
              <w:bottom w:val="single" w:sz="4" w:space="0" w:color="000000"/>
              <w:right w:val="single" w:sz="4" w:space="0" w:color="000000"/>
            </w:tcBorders>
            <w:shd w:val="clear" w:color="auto" w:fill="92D050"/>
          </w:tcPr>
          <w:p>
            <w:pPr>
              <w:pStyle w:val="TableParagraph"/>
              <w:spacing w:line="199" w:lineRule="exact"/>
              <w:ind w:left="586" w:right="584"/>
              <w:rPr>
                <w:b/>
                <w:sz w:val="18"/>
              </w:rPr>
            </w:pPr>
            <w:r>
              <w:rPr>
                <w:b/>
                <w:sz w:val="18"/>
              </w:rPr>
              <w:t>2013</w:t>
            </w:r>
          </w:p>
        </w:tc>
        <w:tc>
          <w:tcPr>
            <w:tcW w:w="1800" w:type="dxa"/>
            <w:gridSpan w:val="2"/>
            <w:tcBorders>
              <w:left w:val="single" w:sz="4" w:space="0" w:color="000000"/>
              <w:bottom w:val="single" w:sz="4" w:space="0" w:color="000000"/>
              <w:right w:val="single" w:sz="4" w:space="0" w:color="000000"/>
            </w:tcBorders>
            <w:shd w:val="clear" w:color="auto" w:fill="92D050"/>
          </w:tcPr>
          <w:p>
            <w:pPr>
              <w:pStyle w:val="TableParagraph"/>
              <w:spacing w:line="199" w:lineRule="exact"/>
              <w:ind w:left="124" w:right="124"/>
              <w:rPr>
                <w:b/>
                <w:sz w:val="18"/>
              </w:rPr>
            </w:pPr>
            <w:r>
              <w:rPr>
                <w:b/>
                <w:sz w:val="18"/>
              </w:rPr>
              <w:t>2014</w:t>
            </w:r>
          </w:p>
        </w:tc>
        <w:tc>
          <w:tcPr>
            <w:tcW w:w="1601" w:type="dxa"/>
            <w:gridSpan w:val="2"/>
            <w:tcBorders>
              <w:left w:val="single" w:sz="4" w:space="0" w:color="000000"/>
              <w:bottom w:val="single" w:sz="4" w:space="0" w:color="000000"/>
            </w:tcBorders>
            <w:shd w:val="clear" w:color="auto" w:fill="92D050"/>
          </w:tcPr>
          <w:p>
            <w:pPr>
              <w:pStyle w:val="TableParagraph"/>
              <w:spacing w:line="199" w:lineRule="exact"/>
              <w:ind w:left="96" w:right="93"/>
              <w:rPr>
                <w:b/>
                <w:sz w:val="18"/>
              </w:rPr>
            </w:pPr>
            <w:r>
              <w:rPr>
                <w:b/>
                <w:sz w:val="18"/>
              </w:rPr>
              <w:t>2015</w:t>
            </w:r>
          </w:p>
        </w:tc>
      </w:tr>
      <w:tr>
        <w:trPr>
          <w:trHeight w:val="338" w:hRule="exact"/>
        </w:trPr>
        <w:tc>
          <w:tcPr>
            <w:tcW w:w="2461" w:type="dxa"/>
            <w:vMerge/>
            <w:shd w:val="clear" w:color="auto" w:fill="92D050"/>
          </w:tcPr>
          <w:p>
            <w:pPr/>
          </w:p>
        </w:tc>
        <w:tc>
          <w:tcPr>
            <w:tcW w:w="806" w:type="dxa"/>
            <w:tcBorders>
              <w:top w:val="single" w:sz="4" w:space="0" w:color="000000"/>
              <w:right w:val="single" w:sz="4" w:space="0" w:color="000000"/>
            </w:tcBorders>
            <w:shd w:val="clear" w:color="auto" w:fill="92D050"/>
          </w:tcPr>
          <w:p>
            <w:pPr>
              <w:pStyle w:val="TableParagraph"/>
              <w:spacing w:before="3"/>
              <w:ind w:left="58" w:right="63"/>
              <w:rPr>
                <w:b/>
                <w:sz w:val="18"/>
              </w:rPr>
            </w:pPr>
            <w:r>
              <w:rPr>
                <w:b/>
                <w:sz w:val="18"/>
              </w:rPr>
              <w:t>Género</w:t>
            </w:r>
          </w:p>
        </w:tc>
        <w:tc>
          <w:tcPr>
            <w:tcW w:w="814" w:type="dxa"/>
            <w:tcBorders>
              <w:top w:val="single" w:sz="4" w:space="0" w:color="000000"/>
              <w:left w:val="single" w:sz="4" w:space="0" w:color="000000"/>
              <w:right w:val="single" w:sz="4" w:space="0" w:color="000000"/>
            </w:tcBorders>
            <w:shd w:val="clear" w:color="auto" w:fill="92D050"/>
          </w:tcPr>
          <w:p>
            <w:pPr>
              <w:pStyle w:val="TableParagraph"/>
              <w:spacing w:before="3"/>
              <w:rPr>
                <w:b/>
                <w:sz w:val="18"/>
              </w:rPr>
            </w:pPr>
            <w:r>
              <w:rPr>
                <w:b/>
                <w:w w:val="99"/>
                <w:sz w:val="18"/>
              </w:rPr>
              <w:t>%</w:t>
            </w:r>
          </w:p>
        </w:tc>
        <w:tc>
          <w:tcPr>
            <w:tcW w:w="821" w:type="dxa"/>
            <w:tcBorders>
              <w:top w:val="single" w:sz="4" w:space="0" w:color="000000"/>
              <w:left w:val="single" w:sz="4" w:space="0" w:color="000000"/>
              <w:right w:val="single" w:sz="4" w:space="0" w:color="000000"/>
            </w:tcBorders>
            <w:shd w:val="clear" w:color="auto" w:fill="92D050"/>
          </w:tcPr>
          <w:p>
            <w:pPr>
              <w:pStyle w:val="TableParagraph"/>
              <w:spacing w:before="3"/>
              <w:ind w:left="70" w:right="70"/>
              <w:rPr>
                <w:b/>
                <w:sz w:val="18"/>
              </w:rPr>
            </w:pPr>
            <w:r>
              <w:rPr>
                <w:b/>
                <w:sz w:val="18"/>
              </w:rPr>
              <w:t>Género</w:t>
            </w:r>
          </w:p>
        </w:tc>
        <w:tc>
          <w:tcPr>
            <w:tcW w:w="800" w:type="dxa"/>
            <w:tcBorders>
              <w:top w:val="single" w:sz="4" w:space="0" w:color="000000"/>
              <w:left w:val="single" w:sz="4" w:space="0" w:color="000000"/>
              <w:right w:val="single" w:sz="4" w:space="0" w:color="000000"/>
            </w:tcBorders>
            <w:shd w:val="clear" w:color="auto" w:fill="92D050"/>
          </w:tcPr>
          <w:p>
            <w:pPr>
              <w:pStyle w:val="TableParagraph"/>
              <w:spacing w:before="3"/>
              <w:rPr>
                <w:b/>
                <w:sz w:val="18"/>
              </w:rPr>
            </w:pPr>
            <w:r>
              <w:rPr>
                <w:b/>
                <w:w w:val="99"/>
                <w:sz w:val="18"/>
              </w:rPr>
              <w:t>%</w:t>
            </w:r>
          </w:p>
        </w:tc>
        <w:tc>
          <w:tcPr>
            <w:tcW w:w="845" w:type="dxa"/>
            <w:tcBorders>
              <w:top w:val="single" w:sz="4" w:space="0" w:color="000000"/>
              <w:left w:val="single" w:sz="4" w:space="0" w:color="000000"/>
              <w:right w:val="single" w:sz="4" w:space="0" w:color="000000"/>
            </w:tcBorders>
            <w:shd w:val="clear" w:color="auto" w:fill="92D050"/>
          </w:tcPr>
          <w:p>
            <w:pPr>
              <w:pStyle w:val="TableParagraph"/>
              <w:spacing w:before="3"/>
              <w:ind w:left="82" w:right="82"/>
              <w:rPr>
                <w:b/>
                <w:sz w:val="18"/>
              </w:rPr>
            </w:pPr>
            <w:r>
              <w:rPr>
                <w:b/>
                <w:sz w:val="18"/>
              </w:rPr>
              <w:t>Género</w:t>
            </w:r>
          </w:p>
        </w:tc>
        <w:tc>
          <w:tcPr>
            <w:tcW w:w="955" w:type="dxa"/>
            <w:tcBorders>
              <w:top w:val="single" w:sz="4" w:space="0" w:color="000000"/>
              <w:left w:val="single" w:sz="4" w:space="0" w:color="000000"/>
              <w:right w:val="single" w:sz="4" w:space="0" w:color="000000"/>
            </w:tcBorders>
            <w:shd w:val="clear" w:color="auto" w:fill="92D050"/>
          </w:tcPr>
          <w:p>
            <w:pPr>
              <w:pStyle w:val="TableParagraph"/>
              <w:spacing w:before="3"/>
              <w:ind w:right="1"/>
              <w:rPr>
                <w:b/>
                <w:sz w:val="18"/>
              </w:rPr>
            </w:pPr>
            <w:r>
              <w:rPr>
                <w:b/>
                <w:w w:val="99"/>
                <w:sz w:val="18"/>
              </w:rPr>
              <w:t>%</w:t>
            </w:r>
          </w:p>
        </w:tc>
        <w:tc>
          <w:tcPr>
            <w:tcW w:w="812" w:type="dxa"/>
            <w:tcBorders>
              <w:top w:val="single" w:sz="4" w:space="0" w:color="000000"/>
              <w:left w:val="single" w:sz="4" w:space="0" w:color="000000"/>
              <w:right w:val="single" w:sz="4" w:space="0" w:color="000000"/>
            </w:tcBorders>
            <w:shd w:val="clear" w:color="auto" w:fill="92D050"/>
          </w:tcPr>
          <w:p>
            <w:pPr>
              <w:pStyle w:val="TableParagraph"/>
              <w:spacing w:before="3"/>
              <w:ind w:left="65" w:right="66"/>
              <w:rPr>
                <w:b/>
                <w:sz w:val="18"/>
              </w:rPr>
            </w:pPr>
            <w:r>
              <w:rPr>
                <w:b/>
                <w:sz w:val="18"/>
              </w:rPr>
              <w:t>Género</w:t>
            </w:r>
          </w:p>
        </w:tc>
        <w:tc>
          <w:tcPr>
            <w:tcW w:w="790" w:type="dxa"/>
            <w:tcBorders>
              <w:top w:val="single" w:sz="4" w:space="0" w:color="000000"/>
              <w:left w:val="single" w:sz="4" w:space="0" w:color="000000"/>
            </w:tcBorders>
            <w:shd w:val="clear" w:color="auto" w:fill="92D050"/>
          </w:tcPr>
          <w:p>
            <w:pPr>
              <w:pStyle w:val="TableParagraph"/>
              <w:spacing w:before="3"/>
              <w:ind w:left="4"/>
              <w:rPr>
                <w:b/>
                <w:sz w:val="18"/>
              </w:rPr>
            </w:pPr>
            <w:r>
              <w:rPr>
                <w:b/>
                <w:w w:val="99"/>
                <w:sz w:val="18"/>
              </w:rPr>
              <w:t>%</w:t>
            </w:r>
          </w:p>
        </w:tc>
      </w:tr>
      <w:tr>
        <w:trPr>
          <w:trHeight w:val="326" w:hRule="exact"/>
        </w:trPr>
        <w:tc>
          <w:tcPr>
            <w:tcW w:w="2461" w:type="dxa"/>
            <w:tcBorders>
              <w:left w:val="single" w:sz="4" w:space="0" w:color="000000"/>
              <w:bottom w:val="single" w:sz="4" w:space="0" w:color="000000"/>
              <w:right w:val="single" w:sz="4" w:space="0" w:color="000000"/>
            </w:tcBorders>
          </w:tcPr>
          <w:p>
            <w:pPr>
              <w:pStyle w:val="TableParagraph"/>
              <w:spacing w:line="206" w:lineRule="exact"/>
              <w:ind w:left="64"/>
              <w:jc w:val="left"/>
              <w:rPr>
                <w:sz w:val="18"/>
              </w:rPr>
            </w:pPr>
            <w:r>
              <w:rPr>
                <w:color w:val="181818"/>
                <w:sz w:val="18"/>
              </w:rPr>
              <w:t>Huehuetoca</w:t>
            </w:r>
          </w:p>
        </w:tc>
        <w:tc>
          <w:tcPr>
            <w:tcW w:w="806" w:type="dxa"/>
            <w:tcBorders>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814" w:type="dxa"/>
            <w:tcBorders>
              <w:left w:val="single" w:sz="4" w:space="0" w:color="000000"/>
              <w:bottom w:val="single" w:sz="4" w:space="0" w:color="000000"/>
            </w:tcBorders>
          </w:tcPr>
          <w:p>
            <w:pPr>
              <w:pStyle w:val="TableParagraph"/>
              <w:spacing w:line="206" w:lineRule="exact"/>
              <w:ind w:left="64" w:right="61"/>
              <w:rPr>
                <w:sz w:val="18"/>
              </w:rPr>
            </w:pPr>
            <w:r>
              <w:rPr>
                <w:color w:val="333333"/>
                <w:sz w:val="18"/>
              </w:rPr>
              <w:t>38.40%</w:t>
            </w:r>
          </w:p>
        </w:tc>
        <w:tc>
          <w:tcPr>
            <w:tcW w:w="821" w:type="dxa"/>
            <w:tcBorders>
              <w:bottom w:val="single" w:sz="4" w:space="0" w:color="000000"/>
              <w:right w:val="single" w:sz="4" w:space="0" w:color="000000"/>
            </w:tcBorders>
          </w:tcPr>
          <w:p>
            <w:pPr>
              <w:pStyle w:val="TableParagraph"/>
              <w:spacing w:line="206" w:lineRule="exact"/>
              <w:ind w:right="8"/>
              <w:rPr>
                <w:sz w:val="18"/>
              </w:rPr>
            </w:pPr>
            <w:r>
              <w:rPr>
                <w:color w:val="181818"/>
                <w:w w:val="99"/>
                <w:sz w:val="18"/>
              </w:rPr>
              <w:t>1</w:t>
            </w:r>
          </w:p>
        </w:tc>
        <w:tc>
          <w:tcPr>
            <w:tcW w:w="800" w:type="dxa"/>
            <w:tcBorders>
              <w:left w:val="single" w:sz="4" w:space="0" w:color="000000"/>
              <w:bottom w:val="single" w:sz="4" w:space="0" w:color="000000"/>
            </w:tcBorders>
          </w:tcPr>
          <w:p>
            <w:pPr/>
          </w:p>
        </w:tc>
        <w:tc>
          <w:tcPr>
            <w:tcW w:w="845" w:type="dxa"/>
            <w:tcBorders>
              <w:bottom w:val="single" w:sz="4" w:space="0" w:color="000000"/>
              <w:right w:val="single" w:sz="4" w:space="0" w:color="000000"/>
            </w:tcBorders>
          </w:tcPr>
          <w:p>
            <w:pPr>
              <w:pStyle w:val="TableParagraph"/>
              <w:spacing w:line="206" w:lineRule="exact"/>
              <w:ind w:right="8"/>
              <w:rPr>
                <w:sz w:val="18"/>
              </w:rPr>
            </w:pPr>
            <w:r>
              <w:rPr>
                <w:w w:val="99"/>
                <w:sz w:val="18"/>
              </w:rPr>
              <w:t>1</w:t>
            </w:r>
          </w:p>
        </w:tc>
        <w:tc>
          <w:tcPr>
            <w:tcW w:w="955" w:type="dxa"/>
            <w:tcBorders>
              <w:left w:val="single" w:sz="4" w:space="0" w:color="000000"/>
              <w:bottom w:val="single" w:sz="4" w:space="0" w:color="000000"/>
            </w:tcBorders>
          </w:tcPr>
          <w:p>
            <w:pPr/>
          </w:p>
        </w:tc>
        <w:tc>
          <w:tcPr>
            <w:tcW w:w="812" w:type="dxa"/>
            <w:tcBorders>
              <w:bottom w:val="single" w:sz="4" w:space="0" w:color="000000"/>
              <w:right w:val="single" w:sz="4" w:space="0" w:color="000000"/>
            </w:tcBorders>
          </w:tcPr>
          <w:p>
            <w:pPr>
              <w:pStyle w:val="TableParagraph"/>
              <w:spacing w:line="206" w:lineRule="exact"/>
              <w:ind w:right="7"/>
              <w:rPr>
                <w:sz w:val="18"/>
              </w:rPr>
            </w:pPr>
            <w:r>
              <w:rPr>
                <w:w w:val="99"/>
                <w:sz w:val="18"/>
              </w:rPr>
              <w:t>1</w:t>
            </w:r>
          </w:p>
        </w:tc>
        <w:tc>
          <w:tcPr>
            <w:tcW w:w="790" w:type="dxa"/>
            <w:tcBorders>
              <w:left w:val="single" w:sz="4" w:space="0" w:color="000000"/>
              <w:bottom w:val="single" w:sz="4" w:space="0" w:color="000000"/>
            </w:tcBorders>
          </w:tcPr>
          <w:p>
            <w:pPr>
              <w:pStyle w:val="TableParagraph"/>
              <w:spacing w:line="206" w:lineRule="exact"/>
              <w:ind w:left="63" w:right="60"/>
              <w:rPr>
                <w:sz w:val="18"/>
              </w:rPr>
            </w:pPr>
            <w:r>
              <w:rPr>
                <w:sz w:val="18"/>
              </w:rPr>
              <w:t>28.97%</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Hueypoxtla</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59"/>
              <w:rPr>
                <w:sz w:val="18"/>
              </w:rPr>
            </w:pPr>
            <w:r>
              <w:rPr>
                <w:color w:val="333333"/>
                <w:sz w:val="18"/>
              </w:rPr>
              <w:t>3.80%</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Huixquilucan</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61"/>
              <w:rPr>
                <w:sz w:val="18"/>
              </w:rPr>
            </w:pPr>
            <w:r>
              <w:rPr>
                <w:color w:val="333333"/>
                <w:sz w:val="18"/>
              </w:rPr>
              <w:t>96.10%</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60"/>
              <w:rPr>
                <w:sz w:val="18"/>
              </w:rPr>
            </w:pPr>
            <w:r>
              <w:rPr>
                <w:sz w:val="18"/>
              </w:rPr>
              <w:t>96.10%</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Isidro Fabela</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61"/>
              <w:rPr>
                <w:sz w:val="18"/>
              </w:rPr>
            </w:pPr>
            <w:r>
              <w:rPr>
                <w:color w:val="333333"/>
                <w:sz w:val="18"/>
              </w:rPr>
              <w:t>26.90%</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58"/>
              <w:rPr>
                <w:sz w:val="18"/>
              </w:rPr>
            </w:pPr>
            <w:r>
              <w:rPr>
                <w:sz w:val="18"/>
              </w:rPr>
              <w:t>8.36%</w:t>
            </w: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Ixtapaluca</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61"/>
              <w:rPr>
                <w:sz w:val="18"/>
              </w:rPr>
            </w:pPr>
            <w:r>
              <w:rPr>
                <w:color w:val="333333"/>
                <w:sz w:val="18"/>
              </w:rPr>
              <w:t>26.90%</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2</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2</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Ixtapan de la Sal</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61"/>
              <w:rPr>
                <w:sz w:val="18"/>
              </w:rPr>
            </w:pPr>
            <w:r>
              <w:rPr>
                <w:color w:val="333333"/>
                <w:sz w:val="18"/>
              </w:rPr>
              <w:t>38.46%</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60"/>
              <w:rPr>
                <w:sz w:val="18"/>
              </w:rPr>
            </w:pPr>
            <w:r>
              <w:rPr>
                <w:sz w:val="18"/>
              </w:rPr>
              <w:t>44.81%</w:t>
            </w: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Ixtapan del Oro</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58"/>
              <w:rPr>
                <w:sz w:val="18"/>
              </w:rPr>
            </w:pPr>
            <w:r>
              <w:rPr>
                <w:sz w:val="18"/>
              </w:rPr>
              <w:t>3.00%</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Ixtlahuaca</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2</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61"/>
              <w:rPr>
                <w:sz w:val="18"/>
              </w:rPr>
            </w:pPr>
            <w:r>
              <w:rPr>
                <w:color w:val="333333"/>
                <w:sz w:val="18"/>
              </w:rPr>
              <w:t>23.60%</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Style w:val="TableParagraph"/>
              <w:spacing w:line="203" w:lineRule="exact"/>
              <w:ind w:left="95" w:right="92"/>
              <w:rPr>
                <w:sz w:val="18"/>
              </w:rPr>
            </w:pPr>
            <w:r>
              <w:rPr>
                <w:sz w:val="18"/>
              </w:rPr>
              <w:t>7.52%</w:t>
            </w: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
        </w:tc>
      </w:tr>
      <w:tr>
        <w:trPr>
          <w:trHeight w:val="320"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Xalatlaco</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Style w:val="TableParagraph"/>
              <w:spacing w:line="203" w:lineRule="exact"/>
              <w:ind w:left="97" w:right="92"/>
              <w:rPr>
                <w:sz w:val="18"/>
              </w:rPr>
            </w:pPr>
            <w:r>
              <w:rPr>
                <w:sz w:val="18"/>
              </w:rPr>
              <w:t>58.85%</w:t>
            </w: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60"/>
              <w:rPr>
                <w:sz w:val="18"/>
              </w:rPr>
            </w:pPr>
            <w:r>
              <w:rPr>
                <w:sz w:val="18"/>
              </w:rPr>
              <w:t>26.83%</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4"/>
              <w:jc w:val="left"/>
              <w:rPr>
                <w:sz w:val="18"/>
              </w:rPr>
            </w:pPr>
            <w:r>
              <w:rPr>
                <w:color w:val="181818"/>
                <w:sz w:val="18"/>
              </w:rPr>
              <w:t>Jaltenco</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6"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6" w:lineRule="exact"/>
              <w:ind w:left="63" w:right="58"/>
              <w:rPr>
                <w:sz w:val="18"/>
              </w:rPr>
            </w:pPr>
            <w:r>
              <w:rPr>
                <w:sz w:val="18"/>
              </w:rPr>
              <w:t>0.00%</w:t>
            </w: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Jilotepec</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61"/>
              <w:rPr>
                <w:sz w:val="18"/>
              </w:rPr>
            </w:pPr>
            <w:r>
              <w:rPr>
                <w:color w:val="333333"/>
                <w:sz w:val="18"/>
              </w:rPr>
              <w:t>50.00%</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60"/>
              <w:rPr>
                <w:sz w:val="18"/>
              </w:rPr>
            </w:pPr>
            <w:r>
              <w:rPr>
                <w:sz w:val="18"/>
              </w:rPr>
              <w:t>68.58%</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4"/>
              <w:jc w:val="left"/>
              <w:rPr>
                <w:sz w:val="18"/>
              </w:rPr>
            </w:pPr>
            <w:r>
              <w:rPr>
                <w:color w:val="181818"/>
                <w:sz w:val="18"/>
              </w:rPr>
              <w:t>Jilotzingo</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2</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6"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Jiquipilco</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61"/>
              <w:rPr>
                <w:sz w:val="18"/>
              </w:rPr>
            </w:pPr>
            <w:r>
              <w:rPr>
                <w:color w:val="333333"/>
                <w:sz w:val="18"/>
              </w:rPr>
              <w:t>11.50%</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2</w:t>
            </w:r>
          </w:p>
        </w:tc>
        <w:tc>
          <w:tcPr>
            <w:tcW w:w="790" w:type="dxa"/>
            <w:tcBorders>
              <w:top w:val="single" w:sz="4" w:space="0" w:color="000000"/>
              <w:left w:val="single" w:sz="4" w:space="0" w:color="000000"/>
              <w:bottom w:val="single" w:sz="4" w:space="0" w:color="000000"/>
            </w:tcBorders>
          </w:tcPr>
          <w:p>
            <w:pP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4"/>
              <w:jc w:val="left"/>
              <w:rPr>
                <w:sz w:val="18"/>
              </w:rPr>
            </w:pPr>
            <w:r>
              <w:rPr>
                <w:color w:val="181818"/>
                <w:sz w:val="18"/>
              </w:rPr>
              <w:t>Jocotitlán</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6" w:lineRule="exact"/>
              <w:ind w:left="64" w:right="59"/>
              <w:rPr>
                <w:sz w:val="18"/>
              </w:rPr>
            </w:pPr>
            <w:r>
              <w:rPr>
                <w:color w:val="333333"/>
                <w:sz w:val="18"/>
              </w:rPr>
              <w:t>3.80%</w:t>
            </w:r>
          </w:p>
        </w:tc>
        <w:tc>
          <w:tcPr>
            <w:tcW w:w="821"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Style w:val="TableParagraph"/>
              <w:spacing w:line="206" w:lineRule="exact"/>
              <w:ind w:left="97" w:right="92"/>
              <w:rPr>
                <w:sz w:val="18"/>
              </w:rPr>
            </w:pPr>
            <w:r>
              <w:rPr>
                <w:sz w:val="18"/>
              </w:rPr>
              <w:t>92.37%</w:t>
            </w:r>
          </w:p>
        </w:tc>
        <w:tc>
          <w:tcPr>
            <w:tcW w:w="812" w:type="dxa"/>
            <w:tcBorders>
              <w:top w:val="single" w:sz="4" w:space="0" w:color="000000"/>
              <w:bottom w:val="single" w:sz="4" w:space="0" w:color="000000"/>
              <w:right w:val="single" w:sz="4" w:space="0" w:color="000000"/>
            </w:tcBorders>
          </w:tcPr>
          <w:p>
            <w:pPr>
              <w:pStyle w:val="TableParagraph"/>
              <w:spacing w:line="206"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6" w:lineRule="exact"/>
              <w:ind w:left="63" w:right="60"/>
              <w:rPr>
                <w:sz w:val="18"/>
              </w:rPr>
            </w:pPr>
            <w:r>
              <w:rPr>
                <w:sz w:val="18"/>
              </w:rPr>
              <w:t>75.61%</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Joquicingo</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2</w:t>
            </w:r>
          </w:p>
        </w:tc>
        <w:tc>
          <w:tcPr>
            <w:tcW w:w="790" w:type="dxa"/>
            <w:tcBorders>
              <w:top w:val="single" w:sz="4" w:space="0" w:color="000000"/>
              <w:left w:val="single" w:sz="4" w:space="0" w:color="000000"/>
              <w:bottom w:val="single" w:sz="4" w:space="0" w:color="000000"/>
            </w:tcBorders>
          </w:tcPr>
          <w:p>
            <w:pP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Juchitepec</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Lerma</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Style w:val="TableParagraph"/>
              <w:spacing w:line="203" w:lineRule="exact"/>
              <w:ind w:left="97" w:right="92"/>
              <w:rPr>
                <w:sz w:val="18"/>
              </w:rPr>
            </w:pPr>
            <w:r>
              <w:rPr>
                <w:sz w:val="18"/>
              </w:rPr>
              <w:t>83.23%</w:t>
            </w: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60"/>
              <w:rPr>
                <w:sz w:val="18"/>
              </w:rPr>
            </w:pPr>
            <w:r>
              <w:rPr>
                <w:sz w:val="18"/>
              </w:rPr>
              <w:t>48.46%</w:t>
            </w: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Malinalco</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61"/>
              <w:rPr>
                <w:sz w:val="18"/>
              </w:rPr>
            </w:pPr>
            <w:r>
              <w:rPr>
                <w:color w:val="333333"/>
                <w:sz w:val="18"/>
              </w:rPr>
              <w:t>11.50%</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Style w:val="TableParagraph"/>
              <w:spacing w:line="203" w:lineRule="exact"/>
              <w:ind w:left="97" w:right="92"/>
              <w:rPr>
                <w:sz w:val="18"/>
              </w:rPr>
            </w:pPr>
            <w:r>
              <w:rPr>
                <w:sz w:val="18"/>
              </w:rPr>
              <w:t>77.80%</w:t>
            </w: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60"/>
              <w:rPr>
                <w:sz w:val="18"/>
              </w:rPr>
            </w:pPr>
            <w:r>
              <w:rPr>
                <w:sz w:val="18"/>
              </w:rPr>
              <w:t>35.43%</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Melchor Ocampo</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2</w:t>
            </w:r>
          </w:p>
        </w:tc>
        <w:tc>
          <w:tcPr>
            <w:tcW w:w="790" w:type="dxa"/>
            <w:tcBorders>
              <w:top w:val="single" w:sz="4" w:space="0" w:color="000000"/>
              <w:left w:val="single" w:sz="4" w:space="0" w:color="000000"/>
              <w:bottom w:val="single" w:sz="4" w:space="0" w:color="000000"/>
            </w:tcBorders>
          </w:tcPr>
          <w:p>
            <w:pPr/>
          </w:p>
        </w:tc>
      </w:tr>
      <w:tr>
        <w:trPr>
          <w:trHeight w:val="320"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4"/>
              <w:jc w:val="left"/>
              <w:rPr>
                <w:sz w:val="18"/>
              </w:rPr>
            </w:pPr>
            <w:r>
              <w:rPr>
                <w:color w:val="181818"/>
                <w:sz w:val="18"/>
              </w:rPr>
              <w:t>Metepec</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rPr>
                <w:sz w:val="18"/>
              </w:rPr>
            </w:pPr>
            <w:r>
              <w:rPr>
                <w:w w:val="99"/>
                <w:sz w:val="18"/>
              </w:rPr>
              <w:t>2</w:t>
            </w:r>
          </w:p>
        </w:tc>
        <w:tc>
          <w:tcPr>
            <w:tcW w:w="814" w:type="dxa"/>
            <w:tcBorders>
              <w:top w:val="single" w:sz="4" w:space="0" w:color="000000"/>
              <w:left w:val="single" w:sz="4" w:space="0" w:color="000000"/>
              <w:bottom w:val="single" w:sz="4" w:space="0" w:color="000000"/>
            </w:tcBorders>
          </w:tcPr>
          <w:p>
            <w:pPr>
              <w:pStyle w:val="TableParagraph"/>
              <w:spacing w:line="204" w:lineRule="exact"/>
              <w:ind w:left="64" w:right="61"/>
              <w:rPr>
                <w:sz w:val="18"/>
              </w:rPr>
            </w:pPr>
            <w:r>
              <w:rPr>
                <w:color w:val="333333"/>
                <w:sz w:val="18"/>
              </w:rPr>
              <w:t>34.60%</w:t>
            </w:r>
          </w:p>
        </w:tc>
        <w:tc>
          <w:tcPr>
            <w:tcW w:w="821" w:type="dxa"/>
            <w:tcBorders>
              <w:top w:val="single" w:sz="4" w:space="0" w:color="000000"/>
              <w:bottom w:val="single" w:sz="4" w:space="0" w:color="000000"/>
              <w:right w:val="single" w:sz="4" w:space="0" w:color="000000"/>
            </w:tcBorders>
          </w:tcPr>
          <w:p>
            <w:pPr>
              <w:pStyle w:val="TableParagraph"/>
              <w:spacing w:line="204" w:lineRule="exact"/>
              <w:ind w:right="8"/>
              <w:rPr>
                <w:sz w:val="18"/>
              </w:rPr>
            </w:pPr>
            <w:r>
              <w:rPr>
                <w:color w:val="181818"/>
                <w:w w:val="99"/>
                <w:sz w:val="18"/>
              </w:rPr>
              <w:t>2</w:t>
            </w:r>
          </w:p>
        </w:tc>
        <w:tc>
          <w:tcPr>
            <w:tcW w:w="800" w:type="dxa"/>
            <w:tcBorders>
              <w:top w:val="single" w:sz="4" w:space="0" w:color="000000"/>
              <w:left w:val="single" w:sz="4" w:space="0" w:color="000000"/>
              <w:bottom w:val="single" w:sz="4" w:space="0" w:color="000000"/>
            </w:tcBorders>
          </w:tcPr>
          <w:p>
            <w:pPr>
              <w:pStyle w:val="TableParagraph"/>
              <w:spacing w:line="204" w:lineRule="exact"/>
              <w:ind w:left="68" w:right="65"/>
              <w:rPr>
                <w:sz w:val="18"/>
              </w:rPr>
            </w:pPr>
            <w:r>
              <w:rPr>
                <w:sz w:val="18"/>
              </w:rPr>
              <w:t>91.60%</w:t>
            </w:r>
          </w:p>
        </w:tc>
        <w:tc>
          <w:tcPr>
            <w:tcW w:w="845" w:type="dxa"/>
            <w:tcBorders>
              <w:top w:val="single" w:sz="4" w:space="0" w:color="000000"/>
              <w:bottom w:val="single" w:sz="4" w:space="0" w:color="000000"/>
              <w:right w:val="single" w:sz="4" w:space="0" w:color="000000"/>
            </w:tcBorders>
          </w:tcPr>
          <w:p>
            <w:pPr>
              <w:pStyle w:val="TableParagraph"/>
              <w:spacing w:line="204" w:lineRule="exact"/>
              <w:ind w:right="8"/>
              <w:rPr>
                <w:sz w:val="18"/>
              </w:rPr>
            </w:pPr>
            <w:r>
              <w:rPr>
                <w:w w:val="99"/>
                <w:sz w:val="18"/>
              </w:rPr>
              <w:t>2</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4"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4" w:lineRule="exact"/>
              <w:ind w:left="63" w:right="60"/>
              <w:rPr>
                <w:sz w:val="18"/>
              </w:rPr>
            </w:pPr>
            <w:r>
              <w:rPr>
                <w:sz w:val="18"/>
              </w:rPr>
              <w:t>54.88%</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Mexicaltzingo</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59"/>
              <w:rPr>
                <w:sz w:val="18"/>
              </w:rPr>
            </w:pPr>
            <w:r>
              <w:rPr>
                <w:color w:val="333333"/>
                <w:sz w:val="18"/>
              </w:rPr>
              <w:t>3.80%</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2</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60"/>
              <w:rPr>
                <w:sz w:val="18"/>
              </w:rPr>
            </w:pPr>
            <w:r>
              <w:rPr>
                <w:sz w:val="18"/>
              </w:rPr>
              <w:t>12.09%</w:t>
            </w: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Morelos</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Naucalpan de Juárez</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2</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59"/>
              <w:rPr>
                <w:sz w:val="18"/>
              </w:rPr>
            </w:pPr>
            <w:r>
              <w:rPr>
                <w:color w:val="333333"/>
                <w:sz w:val="18"/>
              </w:rPr>
              <w:t>7.60%</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Style w:val="TableParagraph"/>
              <w:spacing w:line="203" w:lineRule="exact"/>
              <w:ind w:left="97" w:right="92"/>
              <w:rPr>
                <w:sz w:val="18"/>
              </w:rPr>
            </w:pPr>
            <w:r>
              <w:rPr>
                <w:sz w:val="18"/>
              </w:rPr>
              <w:t>63.23%</w:t>
            </w: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60"/>
              <w:rPr>
                <w:sz w:val="18"/>
              </w:rPr>
            </w:pPr>
            <w:r>
              <w:rPr>
                <w:sz w:val="18"/>
              </w:rPr>
              <w:t>49.64%</w:t>
            </w: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Nezahualcóyotl</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61"/>
              <w:rPr>
                <w:sz w:val="18"/>
              </w:rPr>
            </w:pPr>
            <w:r>
              <w:rPr>
                <w:color w:val="333333"/>
                <w:sz w:val="18"/>
              </w:rPr>
              <w:t>38.46%</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Style w:val="TableParagraph"/>
              <w:spacing w:line="203" w:lineRule="exact"/>
              <w:ind w:left="97" w:right="92"/>
              <w:rPr>
                <w:sz w:val="18"/>
              </w:rPr>
            </w:pPr>
            <w:r>
              <w:rPr>
                <w:sz w:val="18"/>
              </w:rPr>
              <w:t>94.61%</w:t>
            </w: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Nextlalpan</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58"/>
              <w:rPr>
                <w:sz w:val="18"/>
              </w:rPr>
            </w:pPr>
            <w:r>
              <w:rPr>
                <w:sz w:val="18"/>
              </w:rPr>
              <w:t>5.95%</w:t>
            </w: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Nicolás Romero</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2</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60"/>
              <w:rPr>
                <w:sz w:val="18"/>
              </w:rPr>
            </w:pPr>
            <w:r>
              <w:rPr>
                <w:sz w:val="18"/>
              </w:rPr>
              <w:t>38.76%</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4"/>
              <w:jc w:val="left"/>
              <w:rPr>
                <w:sz w:val="18"/>
              </w:rPr>
            </w:pPr>
            <w:r>
              <w:rPr>
                <w:color w:val="181818"/>
                <w:sz w:val="18"/>
              </w:rPr>
              <w:t>Nopaltepec</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6" w:lineRule="exact"/>
              <w:ind w:left="64" w:right="61"/>
              <w:rPr>
                <w:sz w:val="18"/>
              </w:rPr>
            </w:pPr>
            <w:r>
              <w:rPr>
                <w:color w:val="333333"/>
                <w:sz w:val="18"/>
              </w:rPr>
              <w:t>15.30%</w:t>
            </w:r>
          </w:p>
        </w:tc>
        <w:tc>
          <w:tcPr>
            <w:tcW w:w="821"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6"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6" w:lineRule="exact"/>
              <w:ind w:left="63" w:right="60"/>
              <w:rPr>
                <w:sz w:val="18"/>
              </w:rPr>
            </w:pPr>
            <w:r>
              <w:rPr>
                <w:sz w:val="18"/>
              </w:rPr>
              <w:t>23.50%</w:t>
            </w: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Ocoyoacac</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2</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60"/>
              <w:rPr>
                <w:sz w:val="18"/>
              </w:rPr>
            </w:pPr>
            <w:r>
              <w:rPr>
                <w:sz w:val="18"/>
              </w:rPr>
              <w:t>49.87%</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4"/>
              <w:jc w:val="left"/>
              <w:rPr>
                <w:sz w:val="18"/>
              </w:rPr>
            </w:pPr>
            <w:r>
              <w:rPr>
                <w:color w:val="181818"/>
                <w:sz w:val="18"/>
              </w:rPr>
              <w:t>Ocuilan</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6"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El Oro</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61"/>
              <w:rPr>
                <w:sz w:val="18"/>
              </w:rPr>
            </w:pPr>
            <w:r>
              <w:rPr>
                <w:color w:val="333333"/>
                <w:sz w:val="18"/>
              </w:rPr>
              <w:t>50.00%</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2</w:t>
            </w:r>
          </w:p>
        </w:tc>
        <w:tc>
          <w:tcPr>
            <w:tcW w:w="790" w:type="dxa"/>
            <w:tcBorders>
              <w:top w:val="single" w:sz="4" w:space="0" w:color="000000"/>
              <w:left w:val="single" w:sz="4" w:space="0" w:color="000000"/>
              <w:bottom w:val="single" w:sz="4" w:space="0" w:color="000000"/>
            </w:tcBorders>
          </w:tcPr>
          <w:p>
            <w:pP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4"/>
              <w:jc w:val="left"/>
              <w:rPr>
                <w:sz w:val="18"/>
              </w:rPr>
            </w:pPr>
            <w:r>
              <w:rPr>
                <w:color w:val="181818"/>
                <w:sz w:val="18"/>
              </w:rPr>
              <w:t>Otumba</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6"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6" w:lineRule="exact"/>
              <w:ind w:left="63" w:right="60"/>
              <w:rPr>
                <w:sz w:val="18"/>
              </w:rPr>
            </w:pPr>
            <w:r>
              <w:rPr>
                <w:sz w:val="18"/>
              </w:rPr>
              <w:t>40.30%</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Otzoloapan</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58"/>
              <w:rPr>
                <w:sz w:val="18"/>
              </w:rPr>
            </w:pPr>
            <w:r>
              <w:rPr>
                <w:sz w:val="18"/>
              </w:rPr>
              <w:t>0.00%</w:t>
            </w: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Otzolotepec</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59"/>
              <w:rPr>
                <w:sz w:val="18"/>
              </w:rPr>
            </w:pPr>
            <w:r>
              <w:rPr>
                <w:color w:val="333333"/>
                <w:sz w:val="18"/>
              </w:rPr>
              <w:t>7.69%</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Style w:val="TableParagraph"/>
              <w:spacing w:line="203" w:lineRule="exact"/>
              <w:ind w:left="97" w:right="92"/>
              <w:rPr>
                <w:sz w:val="18"/>
              </w:rPr>
            </w:pPr>
            <w:r>
              <w:rPr>
                <w:sz w:val="18"/>
              </w:rPr>
              <w:t>87.23%</w:t>
            </w: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Ozumba</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Papalotla</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60"/>
              <w:rPr>
                <w:sz w:val="18"/>
              </w:rPr>
            </w:pPr>
            <w:r>
              <w:rPr>
                <w:sz w:val="18"/>
              </w:rPr>
              <w:t>38.83%</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La Paz</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60"/>
              <w:rPr>
                <w:sz w:val="18"/>
              </w:rPr>
            </w:pPr>
            <w:r>
              <w:rPr>
                <w:sz w:val="18"/>
              </w:rPr>
              <w:t>22.35%</w:t>
            </w:r>
          </w:p>
        </w:tc>
      </w:tr>
    </w:tbl>
    <w:p>
      <w:pPr>
        <w:spacing w:after="0" w:line="203" w:lineRule="exact"/>
        <w:rPr>
          <w:sz w:val="18"/>
        </w:rPr>
        <w:sectPr>
          <w:pgSz w:w="12240" w:h="15840"/>
          <w:pgMar w:header="0" w:footer="975" w:top="1420" w:bottom="1160" w:left="1500" w:right="1400"/>
        </w:sectPr>
      </w:pPr>
    </w:p>
    <w:tbl>
      <w:tblPr>
        <w:tblW w:w="0" w:type="auto"/>
        <w:jc w:val="left"/>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61"/>
        <w:gridCol w:w="770"/>
        <w:gridCol w:w="1154"/>
        <w:gridCol w:w="773"/>
        <w:gridCol w:w="799"/>
        <w:gridCol w:w="845"/>
        <w:gridCol w:w="956"/>
        <w:gridCol w:w="809"/>
        <w:gridCol w:w="792"/>
      </w:tblGrid>
      <w:tr>
        <w:trPr>
          <w:trHeight w:val="330" w:hRule="exact"/>
        </w:trPr>
        <w:tc>
          <w:tcPr>
            <w:tcW w:w="9359" w:type="dxa"/>
            <w:gridSpan w:val="9"/>
            <w:shd w:val="clear" w:color="auto" w:fill="92D050"/>
          </w:tcPr>
          <w:p>
            <w:pPr>
              <w:pStyle w:val="TableParagraph"/>
              <w:spacing w:line="200" w:lineRule="exact"/>
              <w:ind w:left="671"/>
              <w:jc w:val="left"/>
              <w:rPr>
                <w:b/>
                <w:sz w:val="18"/>
              </w:rPr>
            </w:pPr>
            <w:r>
              <w:rPr>
                <w:b/>
                <w:sz w:val="18"/>
              </w:rPr>
              <w:t>Anexo 15. Solicitudes de Información por año y por género en cada municipio (Continuación)</w:t>
            </w:r>
          </w:p>
        </w:tc>
      </w:tr>
      <w:tr>
        <w:trPr>
          <w:trHeight w:val="326" w:hRule="exact"/>
        </w:trPr>
        <w:tc>
          <w:tcPr>
            <w:tcW w:w="2461" w:type="dxa"/>
            <w:vMerge w:val="restart"/>
            <w:shd w:val="clear" w:color="auto" w:fill="92D050"/>
          </w:tcPr>
          <w:p>
            <w:pPr>
              <w:pStyle w:val="TableParagraph"/>
              <w:spacing w:before="159"/>
              <w:ind w:left="799"/>
              <w:jc w:val="left"/>
              <w:rPr>
                <w:b/>
                <w:sz w:val="18"/>
              </w:rPr>
            </w:pPr>
            <w:r>
              <w:rPr>
                <w:b/>
                <w:sz w:val="18"/>
              </w:rPr>
              <w:t>Municipio</w:t>
            </w:r>
          </w:p>
        </w:tc>
        <w:tc>
          <w:tcPr>
            <w:tcW w:w="1925" w:type="dxa"/>
            <w:gridSpan w:val="2"/>
            <w:tcBorders>
              <w:bottom w:val="single" w:sz="4" w:space="0" w:color="000000"/>
              <w:right w:val="single" w:sz="4" w:space="0" w:color="000000"/>
            </w:tcBorders>
            <w:shd w:val="clear" w:color="auto" w:fill="92D050"/>
          </w:tcPr>
          <w:p>
            <w:pPr>
              <w:pStyle w:val="TableParagraph"/>
              <w:spacing w:line="199" w:lineRule="exact"/>
              <w:ind w:left="734" w:right="736"/>
              <w:rPr>
                <w:b/>
                <w:sz w:val="18"/>
              </w:rPr>
            </w:pPr>
            <w:r>
              <w:rPr>
                <w:b/>
                <w:sz w:val="18"/>
              </w:rPr>
              <w:t>2012</w:t>
            </w:r>
          </w:p>
        </w:tc>
        <w:tc>
          <w:tcPr>
            <w:tcW w:w="1572" w:type="dxa"/>
            <w:gridSpan w:val="2"/>
            <w:tcBorders>
              <w:left w:val="single" w:sz="4" w:space="0" w:color="000000"/>
              <w:bottom w:val="single" w:sz="4" w:space="0" w:color="000000"/>
              <w:right w:val="single" w:sz="4" w:space="0" w:color="000000"/>
            </w:tcBorders>
            <w:shd w:val="clear" w:color="auto" w:fill="92D050"/>
          </w:tcPr>
          <w:p>
            <w:pPr>
              <w:pStyle w:val="TableParagraph"/>
              <w:spacing w:line="199" w:lineRule="exact"/>
              <w:ind w:left="561" w:right="561"/>
              <w:rPr>
                <w:b/>
                <w:sz w:val="18"/>
              </w:rPr>
            </w:pPr>
            <w:r>
              <w:rPr>
                <w:b/>
                <w:sz w:val="18"/>
              </w:rPr>
              <w:t>2013</w:t>
            </w:r>
          </w:p>
        </w:tc>
        <w:tc>
          <w:tcPr>
            <w:tcW w:w="1801" w:type="dxa"/>
            <w:gridSpan w:val="2"/>
            <w:tcBorders>
              <w:left w:val="single" w:sz="4" w:space="0" w:color="000000"/>
              <w:bottom w:val="single" w:sz="4" w:space="0" w:color="000000"/>
              <w:right w:val="single" w:sz="4" w:space="0" w:color="000000"/>
            </w:tcBorders>
            <w:shd w:val="clear" w:color="auto" w:fill="92D050"/>
          </w:tcPr>
          <w:p>
            <w:pPr>
              <w:pStyle w:val="TableParagraph"/>
              <w:spacing w:line="199" w:lineRule="exact"/>
              <w:ind w:left="675" w:right="675"/>
              <w:rPr>
                <w:b/>
                <w:sz w:val="18"/>
              </w:rPr>
            </w:pPr>
            <w:r>
              <w:rPr>
                <w:b/>
                <w:sz w:val="18"/>
              </w:rPr>
              <w:t>2014</w:t>
            </w:r>
          </w:p>
        </w:tc>
        <w:tc>
          <w:tcPr>
            <w:tcW w:w="1601" w:type="dxa"/>
            <w:gridSpan w:val="2"/>
            <w:tcBorders>
              <w:left w:val="single" w:sz="4" w:space="0" w:color="000000"/>
              <w:bottom w:val="single" w:sz="4" w:space="0" w:color="000000"/>
            </w:tcBorders>
            <w:shd w:val="clear" w:color="auto" w:fill="92D050"/>
          </w:tcPr>
          <w:p>
            <w:pPr>
              <w:pStyle w:val="TableParagraph"/>
              <w:spacing w:line="199" w:lineRule="exact"/>
              <w:ind w:left="82" w:right="80"/>
              <w:rPr>
                <w:b/>
                <w:sz w:val="18"/>
              </w:rPr>
            </w:pPr>
            <w:r>
              <w:rPr>
                <w:b/>
                <w:sz w:val="18"/>
              </w:rPr>
              <w:t>2015</w:t>
            </w:r>
          </w:p>
        </w:tc>
      </w:tr>
      <w:tr>
        <w:trPr>
          <w:trHeight w:val="338" w:hRule="exact"/>
        </w:trPr>
        <w:tc>
          <w:tcPr>
            <w:tcW w:w="2461" w:type="dxa"/>
            <w:vMerge/>
            <w:shd w:val="clear" w:color="auto" w:fill="92D050"/>
          </w:tcPr>
          <w:p>
            <w:pPr/>
          </w:p>
        </w:tc>
        <w:tc>
          <w:tcPr>
            <w:tcW w:w="770" w:type="dxa"/>
            <w:tcBorders>
              <w:top w:val="single" w:sz="4" w:space="0" w:color="000000"/>
              <w:right w:val="single" w:sz="4" w:space="0" w:color="000000"/>
            </w:tcBorders>
            <w:shd w:val="clear" w:color="auto" w:fill="92D050"/>
          </w:tcPr>
          <w:p>
            <w:pPr>
              <w:pStyle w:val="TableParagraph"/>
              <w:spacing w:before="3"/>
              <w:ind w:left="41" w:right="44"/>
              <w:rPr>
                <w:b/>
                <w:sz w:val="18"/>
              </w:rPr>
            </w:pPr>
            <w:r>
              <w:rPr>
                <w:b/>
                <w:sz w:val="18"/>
              </w:rPr>
              <w:t>Género</w:t>
            </w:r>
          </w:p>
        </w:tc>
        <w:tc>
          <w:tcPr>
            <w:tcW w:w="1154" w:type="dxa"/>
            <w:tcBorders>
              <w:top w:val="single" w:sz="4" w:space="0" w:color="000000"/>
              <w:left w:val="single" w:sz="4" w:space="0" w:color="000000"/>
              <w:right w:val="single" w:sz="4" w:space="0" w:color="000000"/>
            </w:tcBorders>
            <w:shd w:val="clear" w:color="auto" w:fill="92D050"/>
          </w:tcPr>
          <w:p>
            <w:pPr>
              <w:pStyle w:val="TableParagraph"/>
              <w:spacing w:before="3"/>
              <w:rPr>
                <w:b/>
                <w:sz w:val="18"/>
              </w:rPr>
            </w:pPr>
            <w:r>
              <w:rPr>
                <w:b/>
                <w:w w:val="99"/>
                <w:sz w:val="18"/>
              </w:rPr>
              <w:t>%</w:t>
            </w:r>
          </w:p>
        </w:tc>
        <w:tc>
          <w:tcPr>
            <w:tcW w:w="773" w:type="dxa"/>
            <w:tcBorders>
              <w:top w:val="single" w:sz="4" w:space="0" w:color="000000"/>
              <w:left w:val="single" w:sz="4" w:space="0" w:color="000000"/>
              <w:right w:val="single" w:sz="4" w:space="0" w:color="000000"/>
            </w:tcBorders>
            <w:shd w:val="clear" w:color="auto" w:fill="92D050"/>
          </w:tcPr>
          <w:p>
            <w:pPr>
              <w:pStyle w:val="TableParagraph"/>
              <w:spacing w:before="3"/>
              <w:ind w:left="46" w:right="47"/>
              <w:rPr>
                <w:b/>
                <w:sz w:val="18"/>
              </w:rPr>
            </w:pPr>
            <w:r>
              <w:rPr>
                <w:b/>
                <w:sz w:val="18"/>
              </w:rPr>
              <w:t>Género</w:t>
            </w:r>
          </w:p>
        </w:tc>
        <w:tc>
          <w:tcPr>
            <w:tcW w:w="799" w:type="dxa"/>
            <w:tcBorders>
              <w:top w:val="single" w:sz="4" w:space="0" w:color="000000"/>
              <w:left w:val="single" w:sz="4" w:space="0" w:color="000000"/>
              <w:right w:val="single" w:sz="4" w:space="0" w:color="000000"/>
            </w:tcBorders>
            <w:shd w:val="clear" w:color="auto" w:fill="92D050"/>
          </w:tcPr>
          <w:p>
            <w:pPr>
              <w:pStyle w:val="TableParagraph"/>
              <w:spacing w:before="3"/>
              <w:rPr>
                <w:b/>
                <w:sz w:val="18"/>
              </w:rPr>
            </w:pPr>
            <w:r>
              <w:rPr>
                <w:b/>
                <w:w w:val="99"/>
                <w:sz w:val="18"/>
              </w:rPr>
              <w:t>%</w:t>
            </w:r>
          </w:p>
        </w:tc>
        <w:tc>
          <w:tcPr>
            <w:tcW w:w="845" w:type="dxa"/>
            <w:tcBorders>
              <w:top w:val="single" w:sz="4" w:space="0" w:color="000000"/>
              <w:left w:val="single" w:sz="4" w:space="0" w:color="000000"/>
              <w:right w:val="single" w:sz="4" w:space="0" w:color="000000"/>
            </w:tcBorders>
            <w:shd w:val="clear" w:color="auto" w:fill="92D050"/>
          </w:tcPr>
          <w:p>
            <w:pPr>
              <w:pStyle w:val="TableParagraph"/>
              <w:spacing w:before="3"/>
              <w:ind w:left="82" w:right="82"/>
              <w:rPr>
                <w:b/>
                <w:sz w:val="18"/>
              </w:rPr>
            </w:pPr>
            <w:r>
              <w:rPr>
                <w:b/>
                <w:sz w:val="18"/>
              </w:rPr>
              <w:t>Género</w:t>
            </w:r>
          </w:p>
        </w:tc>
        <w:tc>
          <w:tcPr>
            <w:tcW w:w="956" w:type="dxa"/>
            <w:tcBorders>
              <w:top w:val="single" w:sz="4" w:space="0" w:color="000000"/>
              <w:left w:val="single" w:sz="4" w:space="0" w:color="000000"/>
              <w:right w:val="single" w:sz="4" w:space="0" w:color="000000"/>
            </w:tcBorders>
            <w:shd w:val="clear" w:color="auto" w:fill="92D050"/>
          </w:tcPr>
          <w:p>
            <w:pPr>
              <w:pStyle w:val="TableParagraph"/>
              <w:spacing w:before="3"/>
              <w:ind w:right="1"/>
              <w:rPr>
                <w:b/>
                <w:sz w:val="18"/>
              </w:rPr>
            </w:pPr>
            <w:r>
              <w:rPr>
                <w:b/>
                <w:w w:val="99"/>
                <w:sz w:val="18"/>
              </w:rPr>
              <w:t>%</w:t>
            </w:r>
          </w:p>
        </w:tc>
        <w:tc>
          <w:tcPr>
            <w:tcW w:w="809" w:type="dxa"/>
            <w:tcBorders>
              <w:top w:val="single" w:sz="4" w:space="0" w:color="000000"/>
              <w:left w:val="single" w:sz="4" w:space="0" w:color="000000"/>
              <w:right w:val="single" w:sz="4" w:space="0" w:color="000000"/>
            </w:tcBorders>
            <w:shd w:val="clear" w:color="auto" w:fill="92D050"/>
          </w:tcPr>
          <w:p>
            <w:pPr>
              <w:pStyle w:val="TableParagraph"/>
              <w:spacing w:before="3"/>
              <w:ind w:left="64" w:right="64"/>
              <w:rPr>
                <w:b/>
                <w:sz w:val="18"/>
              </w:rPr>
            </w:pPr>
            <w:r>
              <w:rPr>
                <w:b/>
                <w:sz w:val="18"/>
              </w:rPr>
              <w:t>Género</w:t>
            </w:r>
          </w:p>
        </w:tc>
        <w:tc>
          <w:tcPr>
            <w:tcW w:w="792" w:type="dxa"/>
            <w:tcBorders>
              <w:top w:val="single" w:sz="4" w:space="0" w:color="000000"/>
              <w:left w:val="single" w:sz="4" w:space="0" w:color="000000"/>
            </w:tcBorders>
            <w:shd w:val="clear" w:color="auto" w:fill="92D050"/>
          </w:tcPr>
          <w:p>
            <w:pPr>
              <w:pStyle w:val="TableParagraph"/>
              <w:spacing w:before="3"/>
              <w:ind w:left="1"/>
              <w:rPr>
                <w:b/>
                <w:sz w:val="18"/>
              </w:rPr>
            </w:pPr>
            <w:r>
              <w:rPr>
                <w:b/>
                <w:w w:val="99"/>
                <w:sz w:val="18"/>
              </w:rPr>
              <w:t>%</w:t>
            </w:r>
          </w:p>
        </w:tc>
      </w:tr>
      <w:tr>
        <w:trPr>
          <w:trHeight w:val="326" w:hRule="exact"/>
        </w:trPr>
        <w:tc>
          <w:tcPr>
            <w:tcW w:w="2461" w:type="dxa"/>
            <w:tcBorders>
              <w:left w:val="single" w:sz="4" w:space="0" w:color="000000"/>
              <w:bottom w:val="single" w:sz="4" w:space="0" w:color="000000"/>
              <w:right w:val="single" w:sz="4" w:space="0" w:color="000000"/>
            </w:tcBorders>
          </w:tcPr>
          <w:p>
            <w:pPr>
              <w:pStyle w:val="TableParagraph"/>
              <w:spacing w:line="206" w:lineRule="exact"/>
              <w:ind w:left="64"/>
              <w:jc w:val="left"/>
              <w:rPr>
                <w:sz w:val="18"/>
              </w:rPr>
            </w:pPr>
            <w:r>
              <w:rPr>
                <w:color w:val="181818"/>
                <w:sz w:val="18"/>
              </w:rPr>
              <w:t>Polotitlán</w:t>
            </w:r>
          </w:p>
        </w:tc>
        <w:tc>
          <w:tcPr>
            <w:tcW w:w="770" w:type="dxa"/>
            <w:tcBorders>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1154" w:type="dxa"/>
            <w:tcBorders>
              <w:left w:val="single" w:sz="4" w:space="0" w:color="000000"/>
              <w:bottom w:val="single" w:sz="4" w:space="0" w:color="000000"/>
            </w:tcBorders>
          </w:tcPr>
          <w:p>
            <w:pPr>
              <w:pStyle w:val="TableParagraph"/>
              <w:spacing w:line="206" w:lineRule="exact"/>
              <w:ind w:left="198" w:right="190"/>
              <w:rPr>
                <w:sz w:val="18"/>
              </w:rPr>
            </w:pPr>
            <w:r>
              <w:rPr>
                <w:color w:val="333333"/>
                <w:sz w:val="18"/>
              </w:rPr>
              <w:t>61.53%</w:t>
            </w:r>
          </w:p>
        </w:tc>
        <w:tc>
          <w:tcPr>
            <w:tcW w:w="773" w:type="dxa"/>
            <w:tcBorders>
              <w:bottom w:val="single" w:sz="4" w:space="0" w:color="000000"/>
              <w:right w:val="single" w:sz="4" w:space="0" w:color="000000"/>
            </w:tcBorders>
          </w:tcPr>
          <w:p>
            <w:pPr>
              <w:pStyle w:val="TableParagraph"/>
              <w:spacing w:line="206" w:lineRule="exact"/>
              <w:ind w:right="8"/>
              <w:rPr>
                <w:sz w:val="18"/>
              </w:rPr>
            </w:pPr>
            <w:r>
              <w:rPr>
                <w:color w:val="181818"/>
                <w:w w:val="99"/>
                <w:sz w:val="18"/>
              </w:rPr>
              <w:t>2</w:t>
            </w:r>
          </w:p>
        </w:tc>
        <w:tc>
          <w:tcPr>
            <w:tcW w:w="799" w:type="dxa"/>
            <w:tcBorders>
              <w:left w:val="single" w:sz="4" w:space="0" w:color="000000"/>
              <w:bottom w:val="single" w:sz="4" w:space="0" w:color="000000"/>
            </w:tcBorders>
          </w:tcPr>
          <w:p>
            <w:pPr/>
          </w:p>
        </w:tc>
        <w:tc>
          <w:tcPr>
            <w:tcW w:w="845" w:type="dxa"/>
            <w:tcBorders>
              <w:bottom w:val="single" w:sz="4" w:space="0" w:color="000000"/>
              <w:right w:val="single" w:sz="4" w:space="0" w:color="000000"/>
            </w:tcBorders>
          </w:tcPr>
          <w:p>
            <w:pPr>
              <w:pStyle w:val="TableParagraph"/>
              <w:spacing w:line="206" w:lineRule="exact"/>
              <w:ind w:right="8"/>
              <w:rPr>
                <w:sz w:val="18"/>
              </w:rPr>
            </w:pPr>
            <w:r>
              <w:rPr>
                <w:w w:val="99"/>
                <w:sz w:val="18"/>
              </w:rPr>
              <w:t>2</w:t>
            </w:r>
          </w:p>
        </w:tc>
        <w:tc>
          <w:tcPr>
            <w:tcW w:w="956" w:type="dxa"/>
            <w:tcBorders>
              <w:left w:val="single" w:sz="4" w:space="0" w:color="000000"/>
              <w:bottom w:val="single" w:sz="4" w:space="0" w:color="000000"/>
            </w:tcBorders>
          </w:tcPr>
          <w:p>
            <w:pPr/>
          </w:p>
        </w:tc>
        <w:tc>
          <w:tcPr>
            <w:tcW w:w="809" w:type="dxa"/>
            <w:tcBorders>
              <w:bottom w:val="single" w:sz="4" w:space="0" w:color="000000"/>
              <w:right w:val="single" w:sz="4" w:space="0" w:color="000000"/>
            </w:tcBorders>
          </w:tcPr>
          <w:p>
            <w:pPr>
              <w:pStyle w:val="TableParagraph"/>
              <w:spacing w:line="206" w:lineRule="exact"/>
              <w:ind w:right="5"/>
              <w:rPr>
                <w:sz w:val="18"/>
              </w:rPr>
            </w:pPr>
            <w:r>
              <w:rPr>
                <w:w w:val="99"/>
                <w:sz w:val="18"/>
              </w:rPr>
              <w:t>1</w:t>
            </w:r>
          </w:p>
        </w:tc>
        <w:tc>
          <w:tcPr>
            <w:tcW w:w="792" w:type="dxa"/>
            <w:tcBorders>
              <w:left w:val="single" w:sz="4" w:space="0" w:color="000000"/>
              <w:bottom w:val="single" w:sz="4" w:space="0" w:color="000000"/>
            </w:tcBorders>
          </w:tcPr>
          <w:p>
            <w:pPr>
              <w:pStyle w:val="TableParagraph"/>
              <w:spacing w:line="206" w:lineRule="exact"/>
              <w:ind w:left="64" w:right="63"/>
              <w:rPr>
                <w:sz w:val="18"/>
              </w:rPr>
            </w:pPr>
            <w:r>
              <w:rPr>
                <w:sz w:val="18"/>
              </w:rPr>
              <w:t>73.04%</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Rayón</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1"/>
              <w:rPr>
                <w:sz w:val="18"/>
              </w:rPr>
            </w:pPr>
            <w:r>
              <w:rPr>
                <w:w w:val="99"/>
                <w:sz w:val="18"/>
              </w:rPr>
              <w:t>1</w:t>
            </w:r>
          </w:p>
        </w:tc>
        <w:tc>
          <w:tcPr>
            <w:tcW w:w="1154" w:type="dxa"/>
            <w:tcBorders>
              <w:top w:val="single" w:sz="4" w:space="0" w:color="000000"/>
              <w:left w:val="single" w:sz="4" w:space="0" w:color="000000"/>
              <w:bottom w:val="single" w:sz="4" w:space="0" w:color="000000"/>
            </w:tcBorders>
          </w:tcPr>
          <w:p>
            <w:pPr/>
          </w:p>
        </w:tc>
        <w:tc>
          <w:tcPr>
            <w:tcW w:w="773"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6" w:type="dxa"/>
            <w:tcBorders>
              <w:top w:val="single" w:sz="4" w:space="0" w:color="000000"/>
              <w:left w:val="single" w:sz="4" w:space="0" w:color="000000"/>
              <w:bottom w:val="single" w:sz="4" w:space="0" w:color="000000"/>
            </w:tcBorders>
          </w:tcPr>
          <w:p>
            <w:pPr>
              <w:pStyle w:val="TableParagraph"/>
              <w:spacing w:line="203" w:lineRule="exact"/>
              <w:ind w:left="144" w:right="142"/>
              <w:rPr>
                <w:sz w:val="18"/>
              </w:rPr>
            </w:pPr>
            <w:r>
              <w:rPr>
                <w:sz w:val="18"/>
              </w:rPr>
              <w:t>3.57%</w:t>
            </w:r>
          </w:p>
        </w:tc>
        <w:tc>
          <w:tcPr>
            <w:tcW w:w="809" w:type="dxa"/>
            <w:tcBorders>
              <w:top w:val="single" w:sz="4" w:space="0" w:color="000000"/>
              <w:bottom w:val="single" w:sz="4" w:space="0" w:color="000000"/>
              <w:right w:val="single" w:sz="4" w:space="0" w:color="000000"/>
            </w:tcBorders>
          </w:tcPr>
          <w:p>
            <w:pPr>
              <w:pStyle w:val="TableParagraph"/>
              <w:spacing w:line="203" w:lineRule="exact"/>
              <w:ind w:right="5"/>
              <w:rPr>
                <w:sz w:val="18"/>
              </w:rPr>
            </w:pPr>
            <w:r>
              <w:rPr>
                <w:w w:val="99"/>
                <w:sz w:val="18"/>
              </w:rPr>
              <w:t>1</w:t>
            </w:r>
          </w:p>
        </w:tc>
        <w:tc>
          <w:tcPr>
            <w:tcW w:w="792" w:type="dxa"/>
            <w:tcBorders>
              <w:top w:val="single" w:sz="4" w:space="0" w:color="000000"/>
              <w:left w:val="single" w:sz="4" w:space="0" w:color="000000"/>
              <w:bottom w:val="single" w:sz="4" w:space="0" w:color="000000"/>
            </w:tcBorders>
          </w:tcPr>
          <w:p>
            <w:pP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San Antonio la Isla</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1"/>
              <w:rPr>
                <w:sz w:val="18"/>
              </w:rPr>
            </w:pPr>
            <w:r>
              <w:rPr>
                <w:w w:val="99"/>
                <w:sz w:val="18"/>
              </w:rPr>
              <w:t>2</w:t>
            </w:r>
          </w:p>
        </w:tc>
        <w:tc>
          <w:tcPr>
            <w:tcW w:w="1154" w:type="dxa"/>
            <w:tcBorders>
              <w:top w:val="single" w:sz="4" w:space="0" w:color="000000"/>
              <w:left w:val="single" w:sz="4" w:space="0" w:color="000000"/>
              <w:bottom w:val="single" w:sz="4" w:space="0" w:color="000000"/>
            </w:tcBorders>
          </w:tcPr>
          <w:p>
            <w:pPr>
              <w:pStyle w:val="TableParagraph"/>
              <w:spacing w:line="203" w:lineRule="exact"/>
              <w:ind w:left="198" w:right="190"/>
              <w:rPr>
                <w:sz w:val="18"/>
              </w:rPr>
            </w:pPr>
            <w:r>
              <w:rPr>
                <w:color w:val="333333"/>
                <w:sz w:val="18"/>
              </w:rPr>
              <w:t>46.15%</w:t>
            </w:r>
          </w:p>
        </w:tc>
        <w:tc>
          <w:tcPr>
            <w:tcW w:w="773"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6" w:type="dxa"/>
            <w:tcBorders>
              <w:top w:val="single" w:sz="4" w:space="0" w:color="000000"/>
              <w:left w:val="single" w:sz="4" w:space="0" w:color="000000"/>
              <w:bottom w:val="single" w:sz="4" w:space="0" w:color="000000"/>
            </w:tcBorders>
          </w:tcPr>
          <w:p>
            <w:pPr>
              <w:pStyle w:val="TableParagraph"/>
              <w:spacing w:line="203" w:lineRule="exact"/>
              <w:ind w:left="144" w:right="142"/>
              <w:rPr>
                <w:sz w:val="18"/>
              </w:rPr>
            </w:pPr>
            <w:r>
              <w:rPr>
                <w:sz w:val="18"/>
              </w:rPr>
              <w:t>0.00%</w:t>
            </w:r>
          </w:p>
        </w:tc>
        <w:tc>
          <w:tcPr>
            <w:tcW w:w="809" w:type="dxa"/>
            <w:tcBorders>
              <w:top w:val="single" w:sz="4" w:space="0" w:color="000000"/>
              <w:bottom w:val="single" w:sz="4" w:space="0" w:color="000000"/>
              <w:right w:val="single" w:sz="4" w:space="0" w:color="000000"/>
            </w:tcBorders>
          </w:tcPr>
          <w:p>
            <w:pPr>
              <w:pStyle w:val="TableParagraph"/>
              <w:spacing w:line="203" w:lineRule="exact"/>
              <w:ind w:right="5"/>
              <w:rPr>
                <w:sz w:val="18"/>
              </w:rPr>
            </w:pPr>
            <w:r>
              <w:rPr>
                <w:w w:val="99"/>
                <w:sz w:val="18"/>
              </w:rPr>
              <w:t>1</w:t>
            </w:r>
          </w:p>
        </w:tc>
        <w:tc>
          <w:tcPr>
            <w:tcW w:w="792" w:type="dxa"/>
            <w:tcBorders>
              <w:top w:val="single" w:sz="4" w:space="0" w:color="000000"/>
              <w:left w:val="single" w:sz="4" w:space="0" w:color="000000"/>
              <w:bottom w:val="single" w:sz="4" w:space="0" w:color="000000"/>
            </w:tcBorders>
          </w:tcPr>
          <w:p>
            <w:pP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San Felipe del Progreso</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1"/>
              <w:rPr>
                <w:sz w:val="18"/>
              </w:rPr>
            </w:pPr>
            <w:r>
              <w:rPr>
                <w:w w:val="99"/>
                <w:sz w:val="18"/>
              </w:rPr>
              <w:t>1</w:t>
            </w:r>
          </w:p>
        </w:tc>
        <w:tc>
          <w:tcPr>
            <w:tcW w:w="1154" w:type="dxa"/>
            <w:tcBorders>
              <w:top w:val="single" w:sz="4" w:space="0" w:color="000000"/>
              <w:left w:val="single" w:sz="4" w:space="0" w:color="000000"/>
              <w:bottom w:val="single" w:sz="4" w:space="0" w:color="000000"/>
            </w:tcBorders>
          </w:tcPr>
          <w:p>
            <w:pPr/>
          </w:p>
        </w:tc>
        <w:tc>
          <w:tcPr>
            <w:tcW w:w="773"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6" w:type="dxa"/>
            <w:tcBorders>
              <w:top w:val="single" w:sz="4" w:space="0" w:color="000000"/>
              <w:left w:val="single" w:sz="4" w:space="0" w:color="000000"/>
              <w:bottom w:val="single" w:sz="4" w:space="0" w:color="000000"/>
            </w:tcBorders>
          </w:tcPr>
          <w:p>
            <w:pPr/>
          </w:p>
        </w:tc>
        <w:tc>
          <w:tcPr>
            <w:tcW w:w="809" w:type="dxa"/>
            <w:tcBorders>
              <w:top w:val="single" w:sz="4" w:space="0" w:color="000000"/>
              <w:bottom w:val="single" w:sz="4" w:space="0" w:color="000000"/>
              <w:right w:val="single" w:sz="4" w:space="0" w:color="000000"/>
            </w:tcBorders>
          </w:tcPr>
          <w:p>
            <w:pPr>
              <w:pStyle w:val="TableParagraph"/>
              <w:spacing w:line="203" w:lineRule="exact"/>
              <w:ind w:right="5"/>
              <w:rPr>
                <w:sz w:val="18"/>
              </w:rPr>
            </w:pPr>
            <w:r>
              <w:rPr>
                <w:w w:val="99"/>
                <w:sz w:val="18"/>
              </w:rPr>
              <w:t>1</w:t>
            </w:r>
          </w:p>
        </w:tc>
        <w:tc>
          <w:tcPr>
            <w:tcW w:w="792" w:type="dxa"/>
            <w:tcBorders>
              <w:top w:val="single" w:sz="4" w:space="0" w:color="000000"/>
              <w:left w:val="single" w:sz="4" w:space="0" w:color="000000"/>
              <w:bottom w:val="single" w:sz="4" w:space="0" w:color="000000"/>
            </w:tcBorders>
          </w:tcPr>
          <w:p>
            <w:pPr>
              <w:pStyle w:val="TableParagraph"/>
              <w:spacing w:line="203" w:lineRule="exact"/>
              <w:ind w:left="64" w:right="61"/>
              <w:rPr>
                <w:sz w:val="18"/>
              </w:rPr>
            </w:pPr>
            <w:r>
              <w:rPr>
                <w:sz w:val="18"/>
              </w:rPr>
              <w:t>7.66%</w:t>
            </w: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San Martín de las Pirámides</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1"/>
              <w:rPr>
                <w:sz w:val="18"/>
              </w:rPr>
            </w:pPr>
            <w:r>
              <w:rPr>
                <w:w w:val="99"/>
                <w:sz w:val="18"/>
              </w:rPr>
              <w:t>1</w:t>
            </w:r>
          </w:p>
        </w:tc>
        <w:tc>
          <w:tcPr>
            <w:tcW w:w="1154" w:type="dxa"/>
            <w:tcBorders>
              <w:top w:val="single" w:sz="4" w:space="0" w:color="000000"/>
              <w:left w:val="single" w:sz="4" w:space="0" w:color="000000"/>
              <w:bottom w:val="single" w:sz="4" w:space="0" w:color="000000"/>
            </w:tcBorders>
          </w:tcPr>
          <w:p>
            <w:pPr>
              <w:pStyle w:val="TableParagraph"/>
              <w:spacing w:line="203" w:lineRule="exact"/>
              <w:ind w:left="195" w:right="190"/>
              <w:rPr>
                <w:sz w:val="18"/>
              </w:rPr>
            </w:pPr>
            <w:r>
              <w:rPr>
                <w:color w:val="333333"/>
                <w:sz w:val="18"/>
              </w:rPr>
              <w:t>7.69%</w:t>
            </w:r>
          </w:p>
        </w:tc>
        <w:tc>
          <w:tcPr>
            <w:tcW w:w="773"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6" w:type="dxa"/>
            <w:tcBorders>
              <w:top w:val="single" w:sz="4" w:space="0" w:color="000000"/>
              <w:left w:val="single" w:sz="4" w:space="0" w:color="000000"/>
              <w:bottom w:val="single" w:sz="4" w:space="0" w:color="000000"/>
            </w:tcBorders>
          </w:tcPr>
          <w:p>
            <w:pPr/>
          </w:p>
        </w:tc>
        <w:tc>
          <w:tcPr>
            <w:tcW w:w="809" w:type="dxa"/>
            <w:tcBorders>
              <w:top w:val="single" w:sz="4" w:space="0" w:color="000000"/>
              <w:bottom w:val="single" w:sz="4" w:space="0" w:color="000000"/>
              <w:right w:val="single" w:sz="4" w:space="0" w:color="000000"/>
            </w:tcBorders>
          </w:tcPr>
          <w:p>
            <w:pPr>
              <w:pStyle w:val="TableParagraph"/>
              <w:spacing w:line="203" w:lineRule="exact"/>
              <w:ind w:right="5"/>
              <w:rPr>
                <w:sz w:val="18"/>
              </w:rPr>
            </w:pPr>
            <w:r>
              <w:rPr>
                <w:w w:val="99"/>
                <w:sz w:val="18"/>
              </w:rPr>
              <w:t>1</w:t>
            </w:r>
          </w:p>
        </w:tc>
        <w:tc>
          <w:tcPr>
            <w:tcW w:w="792" w:type="dxa"/>
            <w:tcBorders>
              <w:top w:val="single" w:sz="4" w:space="0" w:color="000000"/>
              <w:left w:val="single" w:sz="4" w:space="0" w:color="000000"/>
              <w:bottom w:val="single" w:sz="4" w:space="0" w:color="000000"/>
            </w:tcBorders>
          </w:tcPr>
          <w:p>
            <w:pPr>
              <w:pStyle w:val="TableParagraph"/>
              <w:spacing w:line="203" w:lineRule="exact"/>
              <w:ind w:left="64" w:right="61"/>
              <w:rPr>
                <w:sz w:val="18"/>
              </w:rPr>
            </w:pPr>
            <w:r>
              <w:rPr>
                <w:sz w:val="18"/>
              </w:rPr>
              <w:t>5.90%</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San Mateo Atenco</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1"/>
              <w:rPr>
                <w:sz w:val="18"/>
              </w:rPr>
            </w:pPr>
            <w:r>
              <w:rPr>
                <w:w w:val="99"/>
                <w:sz w:val="18"/>
              </w:rPr>
              <w:t>1</w:t>
            </w:r>
          </w:p>
        </w:tc>
        <w:tc>
          <w:tcPr>
            <w:tcW w:w="1154" w:type="dxa"/>
            <w:tcBorders>
              <w:top w:val="single" w:sz="4" w:space="0" w:color="000000"/>
              <w:left w:val="single" w:sz="4" w:space="0" w:color="000000"/>
              <w:bottom w:val="single" w:sz="4" w:space="0" w:color="000000"/>
            </w:tcBorders>
          </w:tcPr>
          <w:p>
            <w:pPr>
              <w:pStyle w:val="TableParagraph"/>
              <w:spacing w:line="203" w:lineRule="exact"/>
              <w:ind w:left="198" w:right="190"/>
              <w:rPr>
                <w:sz w:val="18"/>
              </w:rPr>
            </w:pPr>
            <w:r>
              <w:rPr>
                <w:color w:val="333333"/>
                <w:sz w:val="18"/>
              </w:rPr>
              <w:t>80.76%</w:t>
            </w:r>
          </w:p>
        </w:tc>
        <w:tc>
          <w:tcPr>
            <w:tcW w:w="773"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2</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2</w:t>
            </w:r>
          </w:p>
        </w:tc>
        <w:tc>
          <w:tcPr>
            <w:tcW w:w="956" w:type="dxa"/>
            <w:tcBorders>
              <w:top w:val="single" w:sz="4" w:space="0" w:color="000000"/>
              <w:left w:val="single" w:sz="4" w:space="0" w:color="000000"/>
              <w:bottom w:val="single" w:sz="4" w:space="0" w:color="000000"/>
            </w:tcBorders>
          </w:tcPr>
          <w:p>
            <w:pPr>
              <w:pStyle w:val="TableParagraph"/>
              <w:spacing w:line="203" w:lineRule="exact"/>
              <w:ind w:left="147" w:right="142"/>
              <w:rPr>
                <w:sz w:val="18"/>
              </w:rPr>
            </w:pPr>
            <w:r>
              <w:rPr>
                <w:sz w:val="18"/>
              </w:rPr>
              <w:t>67.66%</w:t>
            </w:r>
          </w:p>
        </w:tc>
        <w:tc>
          <w:tcPr>
            <w:tcW w:w="809" w:type="dxa"/>
            <w:tcBorders>
              <w:top w:val="single" w:sz="4" w:space="0" w:color="000000"/>
              <w:bottom w:val="single" w:sz="4" w:space="0" w:color="000000"/>
              <w:right w:val="single" w:sz="4" w:space="0" w:color="000000"/>
            </w:tcBorders>
          </w:tcPr>
          <w:p>
            <w:pPr>
              <w:pStyle w:val="TableParagraph"/>
              <w:spacing w:line="203" w:lineRule="exact"/>
              <w:ind w:right="5"/>
              <w:rPr>
                <w:sz w:val="18"/>
              </w:rPr>
            </w:pPr>
            <w:r>
              <w:rPr>
                <w:w w:val="99"/>
                <w:sz w:val="18"/>
              </w:rPr>
              <w:t>1</w:t>
            </w:r>
          </w:p>
        </w:tc>
        <w:tc>
          <w:tcPr>
            <w:tcW w:w="792" w:type="dxa"/>
            <w:tcBorders>
              <w:top w:val="single" w:sz="4" w:space="0" w:color="000000"/>
              <w:left w:val="single" w:sz="4" w:space="0" w:color="000000"/>
              <w:bottom w:val="single" w:sz="4" w:space="0" w:color="000000"/>
            </w:tcBorders>
          </w:tcPr>
          <w:p>
            <w:pP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San Simón de Guerrero</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1"/>
              <w:rPr>
                <w:sz w:val="18"/>
              </w:rPr>
            </w:pPr>
            <w:r>
              <w:rPr>
                <w:w w:val="99"/>
                <w:sz w:val="18"/>
              </w:rPr>
              <w:t>1</w:t>
            </w:r>
          </w:p>
        </w:tc>
        <w:tc>
          <w:tcPr>
            <w:tcW w:w="1154" w:type="dxa"/>
            <w:tcBorders>
              <w:top w:val="single" w:sz="4" w:space="0" w:color="000000"/>
              <w:left w:val="single" w:sz="4" w:space="0" w:color="000000"/>
              <w:bottom w:val="single" w:sz="4" w:space="0" w:color="000000"/>
            </w:tcBorders>
          </w:tcPr>
          <w:p>
            <w:pPr/>
          </w:p>
        </w:tc>
        <w:tc>
          <w:tcPr>
            <w:tcW w:w="773"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6" w:type="dxa"/>
            <w:tcBorders>
              <w:top w:val="single" w:sz="4" w:space="0" w:color="000000"/>
              <w:left w:val="single" w:sz="4" w:space="0" w:color="000000"/>
              <w:bottom w:val="single" w:sz="4" w:space="0" w:color="000000"/>
            </w:tcBorders>
          </w:tcPr>
          <w:p>
            <w:pPr/>
          </w:p>
        </w:tc>
        <w:tc>
          <w:tcPr>
            <w:tcW w:w="809" w:type="dxa"/>
            <w:tcBorders>
              <w:top w:val="single" w:sz="4" w:space="0" w:color="000000"/>
              <w:bottom w:val="single" w:sz="4" w:space="0" w:color="000000"/>
              <w:right w:val="single" w:sz="4" w:space="0" w:color="000000"/>
            </w:tcBorders>
          </w:tcPr>
          <w:p>
            <w:pPr>
              <w:pStyle w:val="TableParagraph"/>
              <w:spacing w:line="203" w:lineRule="exact"/>
              <w:ind w:right="5"/>
              <w:rPr>
                <w:sz w:val="18"/>
              </w:rPr>
            </w:pPr>
            <w:r>
              <w:rPr>
                <w:w w:val="99"/>
                <w:sz w:val="18"/>
              </w:rPr>
              <w:t>1</w:t>
            </w:r>
          </w:p>
        </w:tc>
        <w:tc>
          <w:tcPr>
            <w:tcW w:w="792" w:type="dxa"/>
            <w:tcBorders>
              <w:top w:val="single" w:sz="4" w:space="0" w:color="000000"/>
              <w:left w:val="single" w:sz="4" w:space="0" w:color="000000"/>
              <w:bottom w:val="single" w:sz="4" w:space="0" w:color="000000"/>
            </w:tcBorders>
          </w:tcPr>
          <w:p>
            <w:pPr>
              <w:pStyle w:val="TableParagraph"/>
              <w:spacing w:line="203" w:lineRule="exact"/>
              <w:ind w:left="64" w:right="61"/>
              <w:rPr>
                <w:sz w:val="18"/>
              </w:rPr>
            </w:pPr>
            <w:r>
              <w:rPr>
                <w:sz w:val="18"/>
              </w:rPr>
              <w:t>0.00%</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Santo Tomás</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1"/>
              <w:rPr>
                <w:sz w:val="18"/>
              </w:rPr>
            </w:pPr>
            <w:r>
              <w:rPr>
                <w:w w:val="99"/>
                <w:sz w:val="18"/>
              </w:rPr>
              <w:t>1</w:t>
            </w:r>
          </w:p>
        </w:tc>
        <w:tc>
          <w:tcPr>
            <w:tcW w:w="1154" w:type="dxa"/>
            <w:tcBorders>
              <w:top w:val="single" w:sz="4" w:space="0" w:color="000000"/>
              <w:left w:val="single" w:sz="4" w:space="0" w:color="000000"/>
              <w:bottom w:val="single" w:sz="4" w:space="0" w:color="000000"/>
            </w:tcBorders>
          </w:tcPr>
          <w:p>
            <w:pPr/>
          </w:p>
        </w:tc>
        <w:tc>
          <w:tcPr>
            <w:tcW w:w="773"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6" w:type="dxa"/>
            <w:tcBorders>
              <w:top w:val="single" w:sz="4" w:space="0" w:color="000000"/>
              <w:left w:val="single" w:sz="4" w:space="0" w:color="000000"/>
              <w:bottom w:val="single" w:sz="4" w:space="0" w:color="000000"/>
            </w:tcBorders>
          </w:tcPr>
          <w:p>
            <w:pPr/>
          </w:p>
        </w:tc>
        <w:tc>
          <w:tcPr>
            <w:tcW w:w="809" w:type="dxa"/>
            <w:tcBorders>
              <w:top w:val="single" w:sz="4" w:space="0" w:color="000000"/>
              <w:bottom w:val="single" w:sz="4" w:space="0" w:color="000000"/>
              <w:right w:val="single" w:sz="4" w:space="0" w:color="000000"/>
            </w:tcBorders>
          </w:tcPr>
          <w:p>
            <w:pPr>
              <w:pStyle w:val="TableParagraph"/>
              <w:spacing w:line="203" w:lineRule="exact"/>
              <w:ind w:right="5"/>
              <w:rPr>
                <w:sz w:val="18"/>
              </w:rPr>
            </w:pPr>
            <w:r>
              <w:rPr>
                <w:w w:val="99"/>
                <w:sz w:val="18"/>
              </w:rPr>
              <w:t>2</w:t>
            </w:r>
          </w:p>
        </w:tc>
        <w:tc>
          <w:tcPr>
            <w:tcW w:w="792" w:type="dxa"/>
            <w:tcBorders>
              <w:top w:val="single" w:sz="4" w:space="0" w:color="000000"/>
              <w:left w:val="single" w:sz="4" w:space="0" w:color="000000"/>
              <w:bottom w:val="single" w:sz="4" w:space="0" w:color="000000"/>
            </w:tcBorders>
          </w:tcPr>
          <w:p>
            <w:pPr/>
          </w:p>
        </w:tc>
      </w:tr>
      <w:tr>
        <w:trPr>
          <w:trHeight w:val="320"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Soyaniquilpan de Juárez</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1"/>
              <w:rPr>
                <w:sz w:val="18"/>
              </w:rPr>
            </w:pPr>
            <w:r>
              <w:rPr>
                <w:w w:val="99"/>
                <w:sz w:val="18"/>
              </w:rPr>
              <w:t>1</w:t>
            </w:r>
          </w:p>
        </w:tc>
        <w:tc>
          <w:tcPr>
            <w:tcW w:w="1154" w:type="dxa"/>
            <w:tcBorders>
              <w:top w:val="single" w:sz="4" w:space="0" w:color="000000"/>
              <w:left w:val="single" w:sz="4" w:space="0" w:color="000000"/>
              <w:bottom w:val="single" w:sz="4" w:space="0" w:color="000000"/>
            </w:tcBorders>
          </w:tcPr>
          <w:p>
            <w:pPr/>
          </w:p>
        </w:tc>
        <w:tc>
          <w:tcPr>
            <w:tcW w:w="773"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6" w:type="dxa"/>
            <w:tcBorders>
              <w:top w:val="single" w:sz="4" w:space="0" w:color="000000"/>
              <w:left w:val="single" w:sz="4" w:space="0" w:color="000000"/>
              <w:bottom w:val="single" w:sz="4" w:space="0" w:color="000000"/>
            </w:tcBorders>
          </w:tcPr>
          <w:p>
            <w:pPr/>
          </w:p>
        </w:tc>
        <w:tc>
          <w:tcPr>
            <w:tcW w:w="809" w:type="dxa"/>
            <w:tcBorders>
              <w:top w:val="single" w:sz="4" w:space="0" w:color="000000"/>
              <w:bottom w:val="single" w:sz="4" w:space="0" w:color="000000"/>
              <w:right w:val="single" w:sz="4" w:space="0" w:color="000000"/>
            </w:tcBorders>
          </w:tcPr>
          <w:p>
            <w:pPr>
              <w:pStyle w:val="TableParagraph"/>
              <w:spacing w:line="203" w:lineRule="exact"/>
              <w:ind w:right="5"/>
              <w:rPr>
                <w:sz w:val="18"/>
              </w:rPr>
            </w:pPr>
            <w:r>
              <w:rPr>
                <w:w w:val="99"/>
                <w:sz w:val="18"/>
              </w:rPr>
              <w:t>1</w:t>
            </w:r>
          </w:p>
        </w:tc>
        <w:tc>
          <w:tcPr>
            <w:tcW w:w="792" w:type="dxa"/>
            <w:tcBorders>
              <w:top w:val="single" w:sz="4" w:space="0" w:color="000000"/>
              <w:left w:val="single" w:sz="4" w:space="0" w:color="000000"/>
              <w:bottom w:val="single" w:sz="4" w:space="0" w:color="000000"/>
            </w:tcBorders>
          </w:tcPr>
          <w:p>
            <w:pP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4"/>
              <w:jc w:val="left"/>
              <w:rPr>
                <w:sz w:val="18"/>
              </w:rPr>
            </w:pPr>
            <w:r>
              <w:rPr>
                <w:color w:val="181818"/>
                <w:sz w:val="18"/>
              </w:rPr>
              <w:t>Sultepec</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1154" w:type="dxa"/>
            <w:tcBorders>
              <w:top w:val="single" w:sz="4" w:space="0" w:color="000000"/>
              <w:left w:val="single" w:sz="4" w:space="0" w:color="000000"/>
              <w:bottom w:val="single" w:sz="4" w:space="0" w:color="000000"/>
            </w:tcBorders>
          </w:tcPr>
          <w:p>
            <w:pPr>
              <w:pStyle w:val="TableParagraph"/>
              <w:spacing w:line="206" w:lineRule="exact"/>
              <w:ind w:left="198" w:right="190"/>
              <w:rPr>
                <w:sz w:val="18"/>
              </w:rPr>
            </w:pPr>
            <w:r>
              <w:rPr>
                <w:color w:val="333333"/>
                <w:sz w:val="18"/>
              </w:rPr>
              <w:t>19.20%</w:t>
            </w:r>
          </w:p>
        </w:tc>
        <w:tc>
          <w:tcPr>
            <w:tcW w:w="773"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color w:val="181818"/>
                <w:w w:val="99"/>
                <w:sz w:val="18"/>
              </w:rPr>
              <w:t>1</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w w:val="99"/>
                <w:sz w:val="18"/>
              </w:rPr>
              <w:t>1</w:t>
            </w:r>
          </w:p>
        </w:tc>
        <w:tc>
          <w:tcPr>
            <w:tcW w:w="956" w:type="dxa"/>
            <w:tcBorders>
              <w:top w:val="single" w:sz="4" w:space="0" w:color="000000"/>
              <w:left w:val="single" w:sz="4" w:space="0" w:color="000000"/>
              <w:bottom w:val="single" w:sz="4" w:space="0" w:color="000000"/>
            </w:tcBorders>
          </w:tcPr>
          <w:p>
            <w:pPr/>
          </w:p>
        </w:tc>
        <w:tc>
          <w:tcPr>
            <w:tcW w:w="809" w:type="dxa"/>
            <w:tcBorders>
              <w:top w:val="single" w:sz="4" w:space="0" w:color="000000"/>
              <w:bottom w:val="single" w:sz="4" w:space="0" w:color="000000"/>
              <w:right w:val="single" w:sz="4" w:space="0" w:color="000000"/>
            </w:tcBorders>
          </w:tcPr>
          <w:p>
            <w:pPr>
              <w:pStyle w:val="TableParagraph"/>
              <w:spacing w:line="206" w:lineRule="exact"/>
              <w:ind w:right="5"/>
              <w:rPr>
                <w:sz w:val="18"/>
              </w:rPr>
            </w:pPr>
            <w:r>
              <w:rPr>
                <w:w w:val="99"/>
                <w:sz w:val="18"/>
              </w:rPr>
              <w:t>1</w:t>
            </w:r>
          </w:p>
        </w:tc>
        <w:tc>
          <w:tcPr>
            <w:tcW w:w="792" w:type="dxa"/>
            <w:tcBorders>
              <w:top w:val="single" w:sz="4" w:space="0" w:color="000000"/>
              <w:left w:val="single" w:sz="4" w:space="0" w:color="000000"/>
              <w:bottom w:val="single" w:sz="4" w:space="0" w:color="000000"/>
            </w:tcBorders>
          </w:tcPr>
          <w:p>
            <w:pPr>
              <w:pStyle w:val="TableParagraph"/>
              <w:spacing w:line="206" w:lineRule="exact"/>
              <w:ind w:left="64" w:right="63"/>
              <w:rPr>
                <w:sz w:val="18"/>
              </w:rPr>
            </w:pPr>
            <w:r>
              <w:rPr>
                <w:sz w:val="18"/>
              </w:rPr>
              <w:t>36.07%</w:t>
            </w: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Tecámac</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1"/>
              <w:rPr>
                <w:sz w:val="18"/>
              </w:rPr>
            </w:pPr>
            <w:r>
              <w:rPr>
                <w:w w:val="99"/>
                <w:sz w:val="18"/>
              </w:rPr>
              <w:t>1</w:t>
            </w:r>
          </w:p>
        </w:tc>
        <w:tc>
          <w:tcPr>
            <w:tcW w:w="1154" w:type="dxa"/>
            <w:tcBorders>
              <w:top w:val="single" w:sz="4" w:space="0" w:color="000000"/>
              <w:left w:val="single" w:sz="4" w:space="0" w:color="000000"/>
              <w:bottom w:val="single" w:sz="4" w:space="0" w:color="000000"/>
            </w:tcBorders>
          </w:tcPr>
          <w:p>
            <w:pPr>
              <w:pStyle w:val="TableParagraph"/>
              <w:spacing w:line="203" w:lineRule="exact"/>
              <w:ind w:left="195" w:right="190"/>
              <w:rPr>
                <w:sz w:val="18"/>
              </w:rPr>
            </w:pPr>
            <w:r>
              <w:rPr>
                <w:color w:val="333333"/>
                <w:sz w:val="18"/>
              </w:rPr>
              <w:t>7.60%</w:t>
            </w:r>
          </w:p>
        </w:tc>
        <w:tc>
          <w:tcPr>
            <w:tcW w:w="773"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2</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2</w:t>
            </w:r>
          </w:p>
        </w:tc>
        <w:tc>
          <w:tcPr>
            <w:tcW w:w="956" w:type="dxa"/>
            <w:tcBorders>
              <w:top w:val="single" w:sz="4" w:space="0" w:color="000000"/>
              <w:left w:val="single" w:sz="4" w:space="0" w:color="000000"/>
              <w:bottom w:val="single" w:sz="4" w:space="0" w:color="000000"/>
            </w:tcBorders>
          </w:tcPr>
          <w:p>
            <w:pPr>
              <w:pStyle w:val="TableParagraph"/>
              <w:spacing w:line="203" w:lineRule="exact"/>
              <w:ind w:left="144" w:right="142"/>
              <w:rPr>
                <w:sz w:val="18"/>
              </w:rPr>
            </w:pPr>
            <w:r>
              <w:rPr>
                <w:sz w:val="18"/>
              </w:rPr>
              <w:t>5.85%</w:t>
            </w:r>
          </w:p>
        </w:tc>
        <w:tc>
          <w:tcPr>
            <w:tcW w:w="809" w:type="dxa"/>
            <w:tcBorders>
              <w:top w:val="single" w:sz="4" w:space="0" w:color="000000"/>
              <w:bottom w:val="single" w:sz="4" w:space="0" w:color="000000"/>
              <w:right w:val="single" w:sz="4" w:space="0" w:color="000000"/>
            </w:tcBorders>
          </w:tcPr>
          <w:p>
            <w:pPr>
              <w:pStyle w:val="TableParagraph"/>
              <w:spacing w:line="203" w:lineRule="exact"/>
              <w:ind w:right="5"/>
              <w:rPr>
                <w:sz w:val="18"/>
              </w:rPr>
            </w:pPr>
            <w:r>
              <w:rPr>
                <w:w w:val="99"/>
                <w:sz w:val="18"/>
              </w:rPr>
              <w:t>1</w:t>
            </w:r>
          </w:p>
        </w:tc>
        <w:tc>
          <w:tcPr>
            <w:tcW w:w="792" w:type="dxa"/>
            <w:tcBorders>
              <w:top w:val="single" w:sz="4" w:space="0" w:color="000000"/>
              <w:left w:val="single" w:sz="4" w:space="0" w:color="000000"/>
              <w:bottom w:val="single" w:sz="4" w:space="0" w:color="000000"/>
            </w:tcBorders>
          </w:tcPr>
          <w:p>
            <w:pPr>
              <w:pStyle w:val="TableParagraph"/>
              <w:spacing w:line="203" w:lineRule="exact"/>
              <w:ind w:left="64" w:right="63"/>
              <w:rPr>
                <w:sz w:val="18"/>
              </w:rPr>
            </w:pPr>
            <w:r>
              <w:rPr>
                <w:sz w:val="18"/>
              </w:rPr>
              <w:t>34.00%</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4"/>
              <w:jc w:val="left"/>
              <w:rPr>
                <w:sz w:val="18"/>
              </w:rPr>
            </w:pPr>
            <w:r>
              <w:rPr>
                <w:color w:val="181818"/>
                <w:sz w:val="18"/>
              </w:rPr>
              <w:t>Tejupilco</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1154" w:type="dxa"/>
            <w:tcBorders>
              <w:top w:val="single" w:sz="4" w:space="0" w:color="000000"/>
              <w:left w:val="single" w:sz="4" w:space="0" w:color="000000"/>
              <w:bottom w:val="single" w:sz="4" w:space="0" w:color="000000"/>
            </w:tcBorders>
          </w:tcPr>
          <w:p>
            <w:pPr>
              <w:pStyle w:val="TableParagraph"/>
              <w:spacing w:line="206" w:lineRule="exact"/>
              <w:ind w:left="195" w:right="190"/>
              <w:rPr>
                <w:sz w:val="18"/>
              </w:rPr>
            </w:pPr>
            <w:r>
              <w:rPr>
                <w:color w:val="333333"/>
                <w:sz w:val="18"/>
              </w:rPr>
              <w:t>6.10%</w:t>
            </w:r>
          </w:p>
        </w:tc>
        <w:tc>
          <w:tcPr>
            <w:tcW w:w="773"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color w:val="181818"/>
                <w:w w:val="99"/>
                <w:sz w:val="18"/>
              </w:rPr>
              <w:t>1</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w w:val="99"/>
                <w:sz w:val="18"/>
              </w:rPr>
              <w:t>1</w:t>
            </w:r>
          </w:p>
        </w:tc>
        <w:tc>
          <w:tcPr>
            <w:tcW w:w="956" w:type="dxa"/>
            <w:tcBorders>
              <w:top w:val="single" w:sz="4" w:space="0" w:color="000000"/>
              <w:left w:val="single" w:sz="4" w:space="0" w:color="000000"/>
              <w:bottom w:val="single" w:sz="4" w:space="0" w:color="000000"/>
            </w:tcBorders>
          </w:tcPr>
          <w:p>
            <w:pPr/>
          </w:p>
        </w:tc>
        <w:tc>
          <w:tcPr>
            <w:tcW w:w="809" w:type="dxa"/>
            <w:tcBorders>
              <w:top w:val="single" w:sz="4" w:space="0" w:color="000000"/>
              <w:bottom w:val="single" w:sz="4" w:space="0" w:color="000000"/>
              <w:right w:val="single" w:sz="4" w:space="0" w:color="000000"/>
            </w:tcBorders>
          </w:tcPr>
          <w:p>
            <w:pPr>
              <w:pStyle w:val="TableParagraph"/>
              <w:spacing w:line="206" w:lineRule="exact"/>
              <w:ind w:right="5"/>
              <w:rPr>
                <w:sz w:val="18"/>
              </w:rPr>
            </w:pPr>
            <w:r>
              <w:rPr>
                <w:w w:val="99"/>
                <w:sz w:val="18"/>
              </w:rPr>
              <w:t>1</w:t>
            </w:r>
          </w:p>
        </w:tc>
        <w:tc>
          <w:tcPr>
            <w:tcW w:w="792" w:type="dxa"/>
            <w:tcBorders>
              <w:top w:val="single" w:sz="4" w:space="0" w:color="000000"/>
              <w:left w:val="single" w:sz="4" w:space="0" w:color="000000"/>
              <w:bottom w:val="single" w:sz="4" w:space="0" w:color="000000"/>
            </w:tcBorders>
          </w:tcPr>
          <w:p>
            <w:pP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Temamatla</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1"/>
              <w:rPr>
                <w:sz w:val="18"/>
              </w:rPr>
            </w:pPr>
            <w:r>
              <w:rPr>
                <w:w w:val="99"/>
                <w:sz w:val="18"/>
              </w:rPr>
              <w:t>1</w:t>
            </w:r>
          </w:p>
        </w:tc>
        <w:tc>
          <w:tcPr>
            <w:tcW w:w="1154" w:type="dxa"/>
            <w:tcBorders>
              <w:top w:val="single" w:sz="4" w:space="0" w:color="000000"/>
              <w:left w:val="single" w:sz="4" w:space="0" w:color="000000"/>
              <w:bottom w:val="single" w:sz="4" w:space="0" w:color="000000"/>
            </w:tcBorders>
          </w:tcPr>
          <w:p>
            <w:pPr/>
          </w:p>
        </w:tc>
        <w:tc>
          <w:tcPr>
            <w:tcW w:w="773"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6" w:type="dxa"/>
            <w:tcBorders>
              <w:top w:val="single" w:sz="4" w:space="0" w:color="000000"/>
              <w:left w:val="single" w:sz="4" w:space="0" w:color="000000"/>
              <w:bottom w:val="single" w:sz="4" w:space="0" w:color="000000"/>
            </w:tcBorders>
          </w:tcPr>
          <w:p>
            <w:pPr/>
          </w:p>
        </w:tc>
        <w:tc>
          <w:tcPr>
            <w:tcW w:w="809" w:type="dxa"/>
            <w:tcBorders>
              <w:top w:val="single" w:sz="4" w:space="0" w:color="000000"/>
              <w:bottom w:val="single" w:sz="4" w:space="0" w:color="000000"/>
              <w:right w:val="single" w:sz="4" w:space="0" w:color="000000"/>
            </w:tcBorders>
          </w:tcPr>
          <w:p>
            <w:pPr>
              <w:pStyle w:val="TableParagraph"/>
              <w:spacing w:line="203" w:lineRule="exact"/>
              <w:ind w:right="5"/>
              <w:rPr>
                <w:sz w:val="18"/>
              </w:rPr>
            </w:pPr>
            <w:r>
              <w:rPr>
                <w:w w:val="99"/>
                <w:sz w:val="18"/>
              </w:rPr>
              <w:t>2</w:t>
            </w:r>
          </w:p>
        </w:tc>
        <w:tc>
          <w:tcPr>
            <w:tcW w:w="792" w:type="dxa"/>
            <w:tcBorders>
              <w:top w:val="single" w:sz="4" w:space="0" w:color="000000"/>
              <w:left w:val="single" w:sz="4" w:space="0" w:color="000000"/>
              <w:bottom w:val="single" w:sz="4" w:space="0" w:color="000000"/>
            </w:tcBorders>
          </w:tcPr>
          <w:p>
            <w:pPr>
              <w:pStyle w:val="TableParagraph"/>
              <w:spacing w:line="203" w:lineRule="exact"/>
              <w:ind w:left="64" w:right="63"/>
              <w:rPr>
                <w:sz w:val="18"/>
              </w:rPr>
            </w:pPr>
            <w:r>
              <w:rPr>
                <w:sz w:val="18"/>
              </w:rPr>
              <w:t>19.69%</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4"/>
              <w:jc w:val="left"/>
              <w:rPr>
                <w:sz w:val="18"/>
              </w:rPr>
            </w:pPr>
            <w:r>
              <w:rPr>
                <w:color w:val="181818"/>
                <w:sz w:val="18"/>
              </w:rPr>
              <w:t>Temascalapa</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1154" w:type="dxa"/>
            <w:tcBorders>
              <w:top w:val="single" w:sz="4" w:space="0" w:color="000000"/>
              <w:left w:val="single" w:sz="4" w:space="0" w:color="000000"/>
              <w:bottom w:val="single" w:sz="4" w:space="0" w:color="000000"/>
            </w:tcBorders>
          </w:tcPr>
          <w:p>
            <w:pPr>
              <w:pStyle w:val="TableParagraph"/>
              <w:spacing w:line="206" w:lineRule="exact"/>
              <w:ind w:left="198" w:right="190"/>
              <w:rPr>
                <w:sz w:val="18"/>
              </w:rPr>
            </w:pPr>
            <w:r>
              <w:rPr>
                <w:color w:val="333333"/>
                <w:sz w:val="18"/>
              </w:rPr>
              <w:t>11.50%</w:t>
            </w:r>
          </w:p>
        </w:tc>
        <w:tc>
          <w:tcPr>
            <w:tcW w:w="773"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color w:val="181818"/>
                <w:w w:val="99"/>
                <w:sz w:val="18"/>
              </w:rPr>
              <w:t>1</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w w:val="99"/>
                <w:sz w:val="18"/>
              </w:rPr>
              <w:t>1</w:t>
            </w:r>
          </w:p>
        </w:tc>
        <w:tc>
          <w:tcPr>
            <w:tcW w:w="956" w:type="dxa"/>
            <w:tcBorders>
              <w:top w:val="single" w:sz="4" w:space="0" w:color="000000"/>
              <w:left w:val="single" w:sz="4" w:space="0" w:color="000000"/>
              <w:bottom w:val="single" w:sz="4" w:space="0" w:color="000000"/>
            </w:tcBorders>
          </w:tcPr>
          <w:p>
            <w:pPr/>
          </w:p>
        </w:tc>
        <w:tc>
          <w:tcPr>
            <w:tcW w:w="809" w:type="dxa"/>
            <w:tcBorders>
              <w:top w:val="single" w:sz="4" w:space="0" w:color="000000"/>
              <w:bottom w:val="single" w:sz="4" w:space="0" w:color="000000"/>
              <w:right w:val="single" w:sz="4" w:space="0" w:color="000000"/>
            </w:tcBorders>
          </w:tcPr>
          <w:p>
            <w:pPr>
              <w:pStyle w:val="TableParagraph"/>
              <w:spacing w:line="206" w:lineRule="exact"/>
              <w:ind w:right="5"/>
              <w:rPr>
                <w:sz w:val="18"/>
              </w:rPr>
            </w:pPr>
            <w:r>
              <w:rPr>
                <w:w w:val="99"/>
                <w:sz w:val="18"/>
              </w:rPr>
              <w:t>1</w:t>
            </w:r>
          </w:p>
        </w:tc>
        <w:tc>
          <w:tcPr>
            <w:tcW w:w="792" w:type="dxa"/>
            <w:tcBorders>
              <w:top w:val="single" w:sz="4" w:space="0" w:color="000000"/>
              <w:left w:val="single" w:sz="4" w:space="0" w:color="000000"/>
              <w:bottom w:val="single" w:sz="4" w:space="0" w:color="000000"/>
            </w:tcBorders>
          </w:tcPr>
          <w:p>
            <w:pP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Temascalcingo</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1"/>
              <w:rPr>
                <w:sz w:val="18"/>
              </w:rPr>
            </w:pPr>
            <w:r>
              <w:rPr>
                <w:w w:val="99"/>
                <w:sz w:val="18"/>
              </w:rPr>
              <w:t>1</w:t>
            </w:r>
          </w:p>
        </w:tc>
        <w:tc>
          <w:tcPr>
            <w:tcW w:w="1154" w:type="dxa"/>
            <w:tcBorders>
              <w:top w:val="single" w:sz="4" w:space="0" w:color="000000"/>
              <w:left w:val="single" w:sz="4" w:space="0" w:color="000000"/>
              <w:bottom w:val="single" w:sz="4" w:space="0" w:color="000000"/>
            </w:tcBorders>
          </w:tcPr>
          <w:p>
            <w:pPr>
              <w:pStyle w:val="TableParagraph"/>
              <w:spacing w:line="203" w:lineRule="exact"/>
              <w:ind w:left="198" w:right="190"/>
              <w:rPr>
                <w:sz w:val="18"/>
              </w:rPr>
            </w:pPr>
            <w:r>
              <w:rPr>
                <w:color w:val="333333"/>
                <w:sz w:val="18"/>
              </w:rPr>
              <w:t>30.70%</w:t>
            </w:r>
          </w:p>
        </w:tc>
        <w:tc>
          <w:tcPr>
            <w:tcW w:w="773"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6" w:type="dxa"/>
            <w:tcBorders>
              <w:top w:val="single" w:sz="4" w:space="0" w:color="000000"/>
              <w:left w:val="single" w:sz="4" w:space="0" w:color="000000"/>
              <w:bottom w:val="single" w:sz="4" w:space="0" w:color="000000"/>
            </w:tcBorders>
          </w:tcPr>
          <w:p>
            <w:pPr/>
          </w:p>
        </w:tc>
        <w:tc>
          <w:tcPr>
            <w:tcW w:w="809" w:type="dxa"/>
            <w:tcBorders>
              <w:top w:val="single" w:sz="4" w:space="0" w:color="000000"/>
              <w:bottom w:val="single" w:sz="4" w:space="0" w:color="000000"/>
              <w:right w:val="single" w:sz="4" w:space="0" w:color="000000"/>
            </w:tcBorders>
          </w:tcPr>
          <w:p>
            <w:pPr>
              <w:pStyle w:val="TableParagraph"/>
              <w:spacing w:line="203" w:lineRule="exact"/>
              <w:ind w:right="5"/>
              <w:rPr>
                <w:sz w:val="18"/>
              </w:rPr>
            </w:pPr>
            <w:r>
              <w:rPr>
                <w:w w:val="99"/>
                <w:sz w:val="18"/>
              </w:rPr>
              <w:t>1</w:t>
            </w:r>
          </w:p>
        </w:tc>
        <w:tc>
          <w:tcPr>
            <w:tcW w:w="792" w:type="dxa"/>
            <w:tcBorders>
              <w:top w:val="single" w:sz="4" w:space="0" w:color="000000"/>
              <w:left w:val="single" w:sz="4" w:space="0" w:color="000000"/>
              <w:bottom w:val="single" w:sz="4" w:space="0" w:color="000000"/>
            </w:tcBorders>
          </w:tcPr>
          <w:p>
            <w:pPr>
              <w:pStyle w:val="TableParagraph"/>
              <w:spacing w:line="203" w:lineRule="exact"/>
              <w:ind w:left="64" w:right="63"/>
              <w:rPr>
                <w:sz w:val="18"/>
              </w:rPr>
            </w:pPr>
            <w:r>
              <w:rPr>
                <w:sz w:val="18"/>
              </w:rPr>
              <w:t>65.15%</w:t>
            </w: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Temascaltepec</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1"/>
              <w:rPr>
                <w:sz w:val="18"/>
              </w:rPr>
            </w:pPr>
            <w:r>
              <w:rPr>
                <w:w w:val="99"/>
                <w:sz w:val="18"/>
              </w:rPr>
              <w:t>1</w:t>
            </w:r>
          </w:p>
        </w:tc>
        <w:tc>
          <w:tcPr>
            <w:tcW w:w="1154" w:type="dxa"/>
            <w:tcBorders>
              <w:top w:val="single" w:sz="4" w:space="0" w:color="000000"/>
              <w:left w:val="single" w:sz="4" w:space="0" w:color="000000"/>
              <w:bottom w:val="single" w:sz="4" w:space="0" w:color="000000"/>
            </w:tcBorders>
          </w:tcPr>
          <w:p>
            <w:pPr/>
          </w:p>
        </w:tc>
        <w:tc>
          <w:tcPr>
            <w:tcW w:w="773"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6" w:type="dxa"/>
            <w:tcBorders>
              <w:top w:val="single" w:sz="4" w:space="0" w:color="000000"/>
              <w:left w:val="single" w:sz="4" w:space="0" w:color="000000"/>
              <w:bottom w:val="single" w:sz="4" w:space="0" w:color="000000"/>
            </w:tcBorders>
          </w:tcPr>
          <w:p>
            <w:pPr/>
          </w:p>
        </w:tc>
        <w:tc>
          <w:tcPr>
            <w:tcW w:w="809" w:type="dxa"/>
            <w:tcBorders>
              <w:top w:val="single" w:sz="4" w:space="0" w:color="000000"/>
              <w:bottom w:val="single" w:sz="4" w:space="0" w:color="000000"/>
              <w:right w:val="single" w:sz="4" w:space="0" w:color="000000"/>
            </w:tcBorders>
          </w:tcPr>
          <w:p>
            <w:pPr>
              <w:pStyle w:val="TableParagraph"/>
              <w:spacing w:line="203" w:lineRule="exact"/>
              <w:ind w:right="5"/>
              <w:rPr>
                <w:sz w:val="18"/>
              </w:rPr>
            </w:pPr>
            <w:r>
              <w:rPr>
                <w:w w:val="99"/>
                <w:sz w:val="18"/>
              </w:rPr>
              <w:t>1</w:t>
            </w:r>
          </w:p>
        </w:tc>
        <w:tc>
          <w:tcPr>
            <w:tcW w:w="792" w:type="dxa"/>
            <w:tcBorders>
              <w:top w:val="single" w:sz="4" w:space="0" w:color="000000"/>
              <w:left w:val="single" w:sz="4" w:space="0" w:color="000000"/>
              <w:bottom w:val="single" w:sz="4" w:space="0" w:color="000000"/>
            </w:tcBorders>
          </w:tcPr>
          <w:p>
            <w:pP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Temoaya</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1"/>
              <w:rPr>
                <w:sz w:val="18"/>
              </w:rPr>
            </w:pPr>
            <w:r>
              <w:rPr>
                <w:w w:val="99"/>
                <w:sz w:val="18"/>
              </w:rPr>
              <w:t>1</w:t>
            </w:r>
          </w:p>
        </w:tc>
        <w:tc>
          <w:tcPr>
            <w:tcW w:w="1154" w:type="dxa"/>
            <w:tcBorders>
              <w:top w:val="single" w:sz="4" w:space="0" w:color="000000"/>
              <w:left w:val="single" w:sz="4" w:space="0" w:color="000000"/>
              <w:bottom w:val="single" w:sz="4" w:space="0" w:color="000000"/>
            </w:tcBorders>
          </w:tcPr>
          <w:p>
            <w:pPr/>
          </w:p>
        </w:tc>
        <w:tc>
          <w:tcPr>
            <w:tcW w:w="773"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6" w:type="dxa"/>
            <w:tcBorders>
              <w:top w:val="single" w:sz="4" w:space="0" w:color="000000"/>
              <w:left w:val="single" w:sz="4" w:space="0" w:color="000000"/>
              <w:bottom w:val="single" w:sz="4" w:space="0" w:color="000000"/>
            </w:tcBorders>
          </w:tcPr>
          <w:p>
            <w:pPr/>
          </w:p>
        </w:tc>
        <w:tc>
          <w:tcPr>
            <w:tcW w:w="809" w:type="dxa"/>
            <w:tcBorders>
              <w:top w:val="single" w:sz="4" w:space="0" w:color="000000"/>
              <w:bottom w:val="single" w:sz="4" w:space="0" w:color="000000"/>
              <w:right w:val="single" w:sz="4" w:space="0" w:color="000000"/>
            </w:tcBorders>
          </w:tcPr>
          <w:p>
            <w:pPr>
              <w:pStyle w:val="TableParagraph"/>
              <w:spacing w:line="203" w:lineRule="exact"/>
              <w:ind w:right="5"/>
              <w:rPr>
                <w:sz w:val="18"/>
              </w:rPr>
            </w:pPr>
            <w:r>
              <w:rPr>
                <w:w w:val="99"/>
                <w:sz w:val="18"/>
              </w:rPr>
              <w:t>1</w:t>
            </w:r>
          </w:p>
        </w:tc>
        <w:tc>
          <w:tcPr>
            <w:tcW w:w="792" w:type="dxa"/>
            <w:tcBorders>
              <w:top w:val="single" w:sz="4" w:space="0" w:color="000000"/>
              <w:left w:val="single" w:sz="4" w:space="0" w:color="000000"/>
              <w:bottom w:val="single" w:sz="4" w:space="0" w:color="000000"/>
            </w:tcBorders>
          </w:tcPr>
          <w:p>
            <w:pPr>
              <w:pStyle w:val="TableParagraph"/>
              <w:spacing w:line="203" w:lineRule="exact"/>
              <w:ind w:left="64" w:right="63"/>
              <w:rPr>
                <w:sz w:val="18"/>
              </w:rPr>
            </w:pPr>
            <w:r>
              <w:rPr>
                <w:sz w:val="18"/>
              </w:rPr>
              <w:t>45.42%</w:t>
            </w: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Tenancingo</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1"/>
              <w:rPr>
                <w:sz w:val="18"/>
              </w:rPr>
            </w:pPr>
            <w:r>
              <w:rPr>
                <w:w w:val="99"/>
                <w:sz w:val="18"/>
              </w:rPr>
              <w:t>2</w:t>
            </w:r>
          </w:p>
        </w:tc>
        <w:tc>
          <w:tcPr>
            <w:tcW w:w="1154" w:type="dxa"/>
            <w:tcBorders>
              <w:top w:val="single" w:sz="4" w:space="0" w:color="000000"/>
              <w:left w:val="single" w:sz="4" w:space="0" w:color="000000"/>
              <w:bottom w:val="single" w:sz="4" w:space="0" w:color="000000"/>
            </w:tcBorders>
          </w:tcPr>
          <w:p>
            <w:pPr>
              <w:pStyle w:val="TableParagraph"/>
              <w:spacing w:line="203" w:lineRule="exact"/>
              <w:ind w:left="198" w:right="190"/>
              <w:rPr>
                <w:sz w:val="18"/>
              </w:rPr>
            </w:pPr>
            <w:r>
              <w:rPr>
                <w:color w:val="333333"/>
                <w:sz w:val="18"/>
              </w:rPr>
              <w:t>11.53%</w:t>
            </w:r>
          </w:p>
        </w:tc>
        <w:tc>
          <w:tcPr>
            <w:tcW w:w="773"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6" w:type="dxa"/>
            <w:tcBorders>
              <w:top w:val="single" w:sz="4" w:space="0" w:color="000000"/>
              <w:left w:val="single" w:sz="4" w:space="0" w:color="000000"/>
              <w:bottom w:val="single" w:sz="4" w:space="0" w:color="000000"/>
            </w:tcBorders>
          </w:tcPr>
          <w:p>
            <w:pPr>
              <w:pStyle w:val="TableParagraph"/>
              <w:spacing w:line="203" w:lineRule="exact"/>
              <w:ind w:left="147" w:right="142"/>
              <w:rPr>
                <w:sz w:val="18"/>
              </w:rPr>
            </w:pPr>
            <w:r>
              <w:rPr>
                <w:sz w:val="18"/>
              </w:rPr>
              <w:t>97.61%</w:t>
            </w:r>
          </w:p>
        </w:tc>
        <w:tc>
          <w:tcPr>
            <w:tcW w:w="809" w:type="dxa"/>
            <w:tcBorders>
              <w:top w:val="single" w:sz="4" w:space="0" w:color="000000"/>
              <w:bottom w:val="single" w:sz="4" w:space="0" w:color="000000"/>
              <w:right w:val="single" w:sz="4" w:space="0" w:color="000000"/>
            </w:tcBorders>
          </w:tcPr>
          <w:p>
            <w:pPr>
              <w:pStyle w:val="TableParagraph"/>
              <w:spacing w:line="203" w:lineRule="exact"/>
              <w:ind w:right="5"/>
              <w:rPr>
                <w:sz w:val="18"/>
              </w:rPr>
            </w:pPr>
            <w:r>
              <w:rPr>
                <w:w w:val="99"/>
                <w:sz w:val="18"/>
              </w:rPr>
              <w:t>1</w:t>
            </w:r>
          </w:p>
        </w:tc>
        <w:tc>
          <w:tcPr>
            <w:tcW w:w="792" w:type="dxa"/>
            <w:tcBorders>
              <w:top w:val="single" w:sz="4" w:space="0" w:color="000000"/>
              <w:left w:val="single" w:sz="4" w:space="0" w:color="000000"/>
              <w:bottom w:val="single" w:sz="4" w:space="0" w:color="000000"/>
            </w:tcBorders>
          </w:tcPr>
          <w:p>
            <w:pP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Tenango del Aire</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1"/>
              <w:rPr>
                <w:sz w:val="18"/>
              </w:rPr>
            </w:pPr>
            <w:r>
              <w:rPr>
                <w:w w:val="99"/>
                <w:sz w:val="18"/>
              </w:rPr>
              <w:t>1</w:t>
            </w:r>
          </w:p>
        </w:tc>
        <w:tc>
          <w:tcPr>
            <w:tcW w:w="1154" w:type="dxa"/>
            <w:tcBorders>
              <w:top w:val="single" w:sz="4" w:space="0" w:color="000000"/>
              <w:left w:val="single" w:sz="4" w:space="0" w:color="000000"/>
              <w:bottom w:val="single" w:sz="4" w:space="0" w:color="000000"/>
            </w:tcBorders>
          </w:tcPr>
          <w:p>
            <w:pPr/>
          </w:p>
        </w:tc>
        <w:tc>
          <w:tcPr>
            <w:tcW w:w="773"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6" w:type="dxa"/>
            <w:tcBorders>
              <w:top w:val="single" w:sz="4" w:space="0" w:color="000000"/>
              <w:left w:val="single" w:sz="4" w:space="0" w:color="000000"/>
              <w:bottom w:val="single" w:sz="4" w:space="0" w:color="000000"/>
            </w:tcBorders>
          </w:tcPr>
          <w:p>
            <w:pPr/>
          </w:p>
        </w:tc>
        <w:tc>
          <w:tcPr>
            <w:tcW w:w="809" w:type="dxa"/>
            <w:tcBorders>
              <w:top w:val="single" w:sz="4" w:space="0" w:color="000000"/>
              <w:bottom w:val="single" w:sz="4" w:space="0" w:color="000000"/>
              <w:right w:val="single" w:sz="4" w:space="0" w:color="000000"/>
            </w:tcBorders>
          </w:tcPr>
          <w:p>
            <w:pPr>
              <w:pStyle w:val="TableParagraph"/>
              <w:spacing w:line="203" w:lineRule="exact"/>
              <w:ind w:right="5"/>
              <w:rPr>
                <w:sz w:val="18"/>
              </w:rPr>
            </w:pPr>
            <w:r>
              <w:rPr>
                <w:w w:val="99"/>
                <w:sz w:val="18"/>
              </w:rPr>
              <w:t>1</w:t>
            </w:r>
          </w:p>
        </w:tc>
        <w:tc>
          <w:tcPr>
            <w:tcW w:w="792" w:type="dxa"/>
            <w:tcBorders>
              <w:top w:val="single" w:sz="4" w:space="0" w:color="000000"/>
              <w:left w:val="single" w:sz="4" w:space="0" w:color="000000"/>
              <w:bottom w:val="single" w:sz="4" w:space="0" w:color="000000"/>
            </w:tcBorders>
          </w:tcPr>
          <w:p>
            <w:pPr/>
          </w:p>
        </w:tc>
      </w:tr>
      <w:tr>
        <w:trPr>
          <w:trHeight w:val="320"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4"/>
              <w:jc w:val="left"/>
              <w:rPr>
                <w:sz w:val="18"/>
              </w:rPr>
            </w:pPr>
            <w:r>
              <w:rPr>
                <w:color w:val="181818"/>
                <w:sz w:val="18"/>
              </w:rPr>
              <w:t>Tenango del Valle</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right="1"/>
              <w:rPr>
                <w:sz w:val="18"/>
              </w:rPr>
            </w:pPr>
            <w:r>
              <w:rPr>
                <w:w w:val="99"/>
                <w:sz w:val="18"/>
              </w:rPr>
              <w:t>1</w:t>
            </w:r>
          </w:p>
        </w:tc>
        <w:tc>
          <w:tcPr>
            <w:tcW w:w="1154" w:type="dxa"/>
            <w:tcBorders>
              <w:top w:val="single" w:sz="4" w:space="0" w:color="000000"/>
              <w:left w:val="single" w:sz="4" w:space="0" w:color="000000"/>
              <w:bottom w:val="single" w:sz="4" w:space="0" w:color="000000"/>
            </w:tcBorders>
          </w:tcPr>
          <w:p>
            <w:pPr/>
          </w:p>
        </w:tc>
        <w:tc>
          <w:tcPr>
            <w:tcW w:w="773" w:type="dxa"/>
            <w:tcBorders>
              <w:top w:val="single" w:sz="4" w:space="0" w:color="000000"/>
              <w:bottom w:val="single" w:sz="4" w:space="0" w:color="000000"/>
              <w:right w:val="single" w:sz="4" w:space="0" w:color="000000"/>
            </w:tcBorders>
          </w:tcPr>
          <w:p>
            <w:pPr>
              <w:pStyle w:val="TableParagraph"/>
              <w:spacing w:line="204" w:lineRule="exact"/>
              <w:ind w:right="8"/>
              <w:rPr>
                <w:sz w:val="18"/>
              </w:rPr>
            </w:pPr>
            <w:r>
              <w:rPr>
                <w:color w:val="181818"/>
                <w:w w:val="99"/>
                <w:sz w:val="18"/>
              </w:rPr>
              <w:t>1</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4" w:lineRule="exact"/>
              <w:ind w:right="8"/>
              <w:rPr>
                <w:sz w:val="18"/>
              </w:rPr>
            </w:pPr>
            <w:r>
              <w:rPr>
                <w:w w:val="99"/>
                <w:sz w:val="18"/>
              </w:rPr>
              <w:t>1</w:t>
            </w:r>
          </w:p>
        </w:tc>
        <w:tc>
          <w:tcPr>
            <w:tcW w:w="956" w:type="dxa"/>
            <w:tcBorders>
              <w:top w:val="single" w:sz="4" w:space="0" w:color="000000"/>
              <w:left w:val="single" w:sz="4" w:space="0" w:color="000000"/>
              <w:bottom w:val="single" w:sz="4" w:space="0" w:color="000000"/>
            </w:tcBorders>
          </w:tcPr>
          <w:p>
            <w:pPr>
              <w:pStyle w:val="TableParagraph"/>
              <w:spacing w:line="204" w:lineRule="exact"/>
              <w:ind w:left="147" w:right="142"/>
              <w:rPr>
                <w:sz w:val="18"/>
              </w:rPr>
            </w:pPr>
            <w:r>
              <w:rPr>
                <w:sz w:val="18"/>
              </w:rPr>
              <w:t>87.80%</w:t>
            </w:r>
          </w:p>
        </w:tc>
        <w:tc>
          <w:tcPr>
            <w:tcW w:w="809" w:type="dxa"/>
            <w:tcBorders>
              <w:top w:val="single" w:sz="4" w:space="0" w:color="000000"/>
              <w:bottom w:val="single" w:sz="4" w:space="0" w:color="000000"/>
              <w:right w:val="single" w:sz="4" w:space="0" w:color="000000"/>
            </w:tcBorders>
          </w:tcPr>
          <w:p>
            <w:pPr>
              <w:pStyle w:val="TableParagraph"/>
              <w:spacing w:line="204" w:lineRule="exact"/>
              <w:ind w:right="5"/>
              <w:rPr>
                <w:sz w:val="18"/>
              </w:rPr>
            </w:pPr>
            <w:r>
              <w:rPr>
                <w:w w:val="99"/>
                <w:sz w:val="18"/>
              </w:rPr>
              <w:t>1</w:t>
            </w:r>
          </w:p>
        </w:tc>
        <w:tc>
          <w:tcPr>
            <w:tcW w:w="792" w:type="dxa"/>
            <w:tcBorders>
              <w:top w:val="single" w:sz="4" w:space="0" w:color="000000"/>
              <w:left w:val="single" w:sz="4" w:space="0" w:color="000000"/>
              <w:bottom w:val="single" w:sz="4" w:space="0" w:color="000000"/>
            </w:tcBorders>
          </w:tcPr>
          <w:p>
            <w:pPr>
              <w:pStyle w:val="TableParagraph"/>
              <w:spacing w:line="204" w:lineRule="exact"/>
              <w:ind w:left="64" w:right="63"/>
              <w:rPr>
                <w:sz w:val="18"/>
              </w:rPr>
            </w:pPr>
            <w:r>
              <w:rPr>
                <w:sz w:val="18"/>
              </w:rPr>
              <w:t>35.21%</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Teoloyucán</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1"/>
              <w:rPr>
                <w:sz w:val="18"/>
              </w:rPr>
            </w:pPr>
            <w:r>
              <w:rPr>
                <w:w w:val="99"/>
                <w:sz w:val="18"/>
              </w:rPr>
              <w:t>1</w:t>
            </w:r>
          </w:p>
        </w:tc>
        <w:tc>
          <w:tcPr>
            <w:tcW w:w="1154" w:type="dxa"/>
            <w:tcBorders>
              <w:top w:val="single" w:sz="4" w:space="0" w:color="000000"/>
              <w:left w:val="single" w:sz="4" w:space="0" w:color="000000"/>
              <w:bottom w:val="single" w:sz="4" w:space="0" w:color="000000"/>
            </w:tcBorders>
          </w:tcPr>
          <w:p>
            <w:pPr/>
          </w:p>
        </w:tc>
        <w:tc>
          <w:tcPr>
            <w:tcW w:w="773"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6" w:type="dxa"/>
            <w:tcBorders>
              <w:top w:val="single" w:sz="4" w:space="0" w:color="000000"/>
              <w:left w:val="single" w:sz="4" w:space="0" w:color="000000"/>
              <w:bottom w:val="single" w:sz="4" w:space="0" w:color="000000"/>
            </w:tcBorders>
          </w:tcPr>
          <w:p>
            <w:pPr/>
          </w:p>
        </w:tc>
        <w:tc>
          <w:tcPr>
            <w:tcW w:w="809" w:type="dxa"/>
            <w:tcBorders>
              <w:top w:val="single" w:sz="4" w:space="0" w:color="000000"/>
              <w:bottom w:val="single" w:sz="4" w:space="0" w:color="000000"/>
              <w:right w:val="single" w:sz="4" w:space="0" w:color="000000"/>
            </w:tcBorders>
          </w:tcPr>
          <w:p>
            <w:pPr>
              <w:pStyle w:val="TableParagraph"/>
              <w:spacing w:line="203" w:lineRule="exact"/>
              <w:ind w:right="5"/>
              <w:rPr>
                <w:sz w:val="18"/>
              </w:rPr>
            </w:pPr>
            <w:r>
              <w:rPr>
                <w:w w:val="99"/>
                <w:sz w:val="18"/>
              </w:rPr>
              <w:t>1</w:t>
            </w:r>
          </w:p>
        </w:tc>
        <w:tc>
          <w:tcPr>
            <w:tcW w:w="792" w:type="dxa"/>
            <w:tcBorders>
              <w:top w:val="single" w:sz="4" w:space="0" w:color="000000"/>
              <w:left w:val="single" w:sz="4" w:space="0" w:color="000000"/>
              <w:bottom w:val="single" w:sz="4" w:space="0" w:color="000000"/>
            </w:tcBorders>
          </w:tcPr>
          <w:p>
            <w:pPr>
              <w:pStyle w:val="TableParagraph"/>
              <w:spacing w:line="203" w:lineRule="exact"/>
              <w:ind w:left="64" w:right="63"/>
              <w:rPr>
                <w:sz w:val="18"/>
              </w:rPr>
            </w:pPr>
            <w:r>
              <w:rPr>
                <w:sz w:val="18"/>
              </w:rPr>
              <w:t>35.23%</w:t>
            </w: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Teotihuacán</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1"/>
              <w:rPr>
                <w:sz w:val="18"/>
              </w:rPr>
            </w:pPr>
            <w:r>
              <w:rPr>
                <w:w w:val="99"/>
                <w:sz w:val="18"/>
              </w:rPr>
              <w:t>1</w:t>
            </w:r>
          </w:p>
        </w:tc>
        <w:tc>
          <w:tcPr>
            <w:tcW w:w="1154" w:type="dxa"/>
            <w:tcBorders>
              <w:top w:val="single" w:sz="4" w:space="0" w:color="000000"/>
              <w:left w:val="single" w:sz="4" w:space="0" w:color="000000"/>
              <w:bottom w:val="single" w:sz="4" w:space="0" w:color="000000"/>
            </w:tcBorders>
          </w:tcPr>
          <w:p>
            <w:pPr>
              <w:pStyle w:val="TableParagraph"/>
              <w:spacing w:line="203" w:lineRule="exact"/>
              <w:ind w:left="198" w:right="190"/>
              <w:rPr>
                <w:sz w:val="18"/>
              </w:rPr>
            </w:pPr>
            <w:r>
              <w:rPr>
                <w:sz w:val="18"/>
              </w:rPr>
              <w:t>34.60%</w:t>
            </w:r>
          </w:p>
        </w:tc>
        <w:tc>
          <w:tcPr>
            <w:tcW w:w="773"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6" w:type="dxa"/>
            <w:tcBorders>
              <w:top w:val="single" w:sz="4" w:space="0" w:color="000000"/>
              <w:left w:val="single" w:sz="4" w:space="0" w:color="000000"/>
              <w:bottom w:val="single" w:sz="4" w:space="0" w:color="000000"/>
            </w:tcBorders>
          </w:tcPr>
          <w:p>
            <w:pPr/>
          </w:p>
        </w:tc>
        <w:tc>
          <w:tcPr>
            <w:tcW w:w="809" w:type="dxa"/>
            <w:tcBorders>
              <w:top w:val="single" w:sz="4" w:space="0" w:color="000000"/>
              <w:bottom w:val="single" w:sz="4" w:space="0" w:color="000000"/>
              <w:right w:val="single" w:sz="4" w:space="0" w:color="000000"/>
            </w:tcBorders>
          </w:tcPr>
          <w:p>
            <w:pPr>
              <w:pStyle w:val="TableParagraph"/>
              <w:spacing w:line="203" w:lineRule="exact"/>
              <w:ind w:right="5"/>
              <w:rPr>
                <w:sz w:val="18"/>
              </w:rPr>
            </w:pPr>
            <w:r>
              <w:rPr>
                <w:w w:val="99"/>
                <w:sz w:val="18"/>
              </w:rPr>
              <w:t>1</w:t>
            </w:r>
          </w:p>
        </w:tc>
        <w:tc>
          <w:tcPr>
            <w:tcW w:w="792" w:type="dxa"/>
            <w:tcBorders>
              <w:top w:val="single" w:sz="4" w:space="0" w:color="000000"/>
              <w:left w:val="single" w:sz="4" w:space="0" w:color="000000"/>
              <w:bottom w:val="single" w:sz="4" w:space="0" w:color="000000"/>
            </w:tcBorders>
          </w:tcPr>
          <w:p>
            <w:pPr>
              <w:pStyle w:val="TableParagraph"/>
              <w:spacing w:line="203" w:lineRule="exact"/>
              <w:ind w:left="64" w:right="63"/>
              <w:rPr>
                <w:sz w:val="18"/>
              </w:rPr>
            </w:pPr>
            <w:r>
              <w:rPr>
                <w:sz w:val="18"/>
              </w:rPr>
              <w:t>64.95%</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Tepetlaoxtoc</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1"/>
              <w:rPr>
                <w:sz w:val="18"/>
              </w:rPr>
            </w:pPr>
            <w:r>
              <w:rPr>
                <w:w w:val="99"/>
                <w:sz w:val="18"/>
              </w:rPr>
              <w:t>1</w:t>
            </w:r>
          </w:p>
        </w:tc>
        <w:tc>
          <w:tcPr>
            <w:tcW w:w="1154" w:type="dxa"/>
            <w:tcBorders>
              <w:top w:val="single" w:sz="4" w:space="0" w:color="000000"/>
              <w:left w:val="single" w:sz="4" w:space="0" w:color="000000"/>
              <w:bottom w:val="single" w:sz="4" w:space="0" w:color="000000"/>
            </w:tcBorders>
          </w:tcPr>
          <w:p>
            <w:pPr/>
          </w:p>
        </w:tc>
        <w:tc>
          <w:tcPr>
            <w:tcW w:w="773"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6" w:type="dxa"/>
            <w:tcBorders>
              <w:top w:val="single" w:sz="4" w:space="0" w:color="000000"/>
              <w:left w:val="single" w:sz="4" w:space="0" w:color="000000"/>
              <w:bottom w:val="single" w:sz="4" w:space="0" w:color="000000"/>
            </w:tcBorders>
          </w:tcPr>
          <w:p>
            <w:pPr/>
          </w:p>
        </w:tc>
        <w:tc>
          <w:tcPr>
            <w:tcW w:w="809" w:type="dxa"/>
            <w:tcBorders>
              <w:top w:val="single" w:sz="4" w:space="0" w:color="000000"/>
              <w:bottom w:val="single" w:sz="4" w:space="0" w:color="000000"/>
              <w:right w:val="single" w:sz="4" w:space="0" w:color="000000"/>
            </w:tcBorders>
          </w:tcPr>
          <w:p>
            <w:pPr>
              <w:pStyle w:val="TableParagraph"/>
              <w:spacing w:line="203" w:lineRule="exact"/>
              <w:ind w:right="5"/>
              <w:rPr>
                <w:sz w:val="18"/>
              </w:rPr>
            </w:pPr>
            <w:r>
              <w:rPr>
                <w:w w:val="99"/>
                <w:sz w:val="18"/>
              </w:rPr>
              <w:t>1</w:t>
            </w:r>
          </w:p>
        </w:tc>
        <w:tc>
          <w:tcPr>
            <w:tcW w:w="792" w:type="dxa"/>
            <w:tcBorders>
              <w:top w:val="single" w:sz="4" w:space="0" w:color="000000"/>
              <w:left w:val="single" w:sz="4" w:space="0" w:color="000000"/>
              <w:bottom w:val="single" w:sz="4" w:space="0" w:color="000000"/>
            </w:tcBorders>
          </w:tcPr>
          <w:p>
            <w:pPr>
              <w:pStyle w:val="TableParagraph"/>
              <w:spacing w:line="203" w:lineRule="exact"/>
              <w:ind w:left="64" w:right="61"/>
              <w:rPr>
                <w:sz w:val="18"/>
              </w:rPr>
            </w:pPr>
            <w:r>
              <w:rPr>
                <w:sz w:val="18"/>
              </w:rPr>
              <w:t>0.00%</w:t>
            </w: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Tepetlixpa</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1"/>
              <w:rPr>
                <w:sz w:val="18"/>
              </w:rPr>
            </w:pPr>
            <w:r>
              <w:rPr>
                <w:w w:val="99"/>
                <w:sz w:val="18"/>
              </w:rPr>
              <w:t>1</w:t>
            </w:r>
          </w:p>
        </w:tc>
        <w:tc>
          <w:tcPr>
            <w:tcW w:w="1154" w:type="dxa"/>
            <w:tcBorders>
              <w:top w:val="single" w:sz="4" w:space="0" w:color="000000"/>
              <w:left w:val="single" w:sz="4" w:space="0" w:color="000000"/>
              <w:bottom w:val="single" w:sz="4" w:space="0" w:color="000000"/>
            </w:tcBorders>
          </w:tcPr>
          <w:p>
            <w:pPr/>
          </w:p>
        </w:tc>
        <w:tc>
          <w:tcPr>
            <w:tcW w:w="773"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6" w:type="dxa"/>
            <w:tcBorders>
              <w:top w:val="single" w:sz="4" w:space="0" w:color="000000"/>
              <w:left w:val="single" w:sz="4" w:space="0" w:color="000000"/>
              <w:bottom w:val="single" w:sz="4" w:space="0" w:color="000000"/>
            </w:tcBorders>
          </w:tcPr>
          <w:p>
            <w:pPr/>
          </w:p>
        </w:tc>
        <w:tc>
          <w:tcPr>
            <w:tcW w:w="809" w:type="dxa"/>
            <w:tcBorders>
              <w:top w:val="single" w:sz="4" w:space="0" w:color="000000"/>
              <w:bottom w:val="single" w:sz="4" w:space="0" w:color="000000"/>
              <w:right w:val="single" w:sz="4" w:space="0" w:color="000000"/>
            </w:tcBorders>
          </w:tcPr>
          <w:p>
            <w:pPr>
              <w:pStyle w:val="TableParagraph"/>
              <w:spacing w:line="203" w:lineRule="exact"/>
              <w:ind w:right="5"/>
              <w:rPr>
                <w:sz w:val="18"/>
              </w:rPr>
            </w:pPr>
            <w:r>
              <w:rPr>
                <w:w w:val="99"/>
                <w:sz w:val="18"/>
              </w:rPr>
              <w:t>1</w:t>
            </w:r>
          </w:p>
        </w:tc>
        <w:tc>
          <w:tcPr>
            <w:tcW w:w="792" w:type="dxa"/>
            <w:tcBorders>
              <w:top w:val="single" w:sz="4" w:space="0" w:color="000000"/>
              <w:left w:val="single" w:sz="4" w:space="0" w:color="000000"/>
              <w:bottom w:val="single" w:sz="4" w:space="0" w:color="000000"/>
            </w:tcBorders>
          </w:tcPr>
          <w:p>
            <w:pPr>
              <w:pStyle w:val="TableParagraph"/>
              <w:spacing w:line="203" w:lineRule="exact"/>
              <w:ind w:left="64" w:right="61"/>
              <w:rPr>
                <w:sz w:val="18"/>
              </w:rPr>
            </w:pPr>
            <w:r>
              <w:rPr>
                <w:sz w:val="18"/>
              </w:rPr>
              <w:t>0.00%</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Tepotzotlán</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1"/>
              <w:rPr>
                <w:sz w:val="18"/>
              </w:rPr>
            </w:pPr>
            <w:r>
              <w:rPr>
                <w:w w:val="99"/>
                <w:sz w:val="18"/>
              </w:rPr>
              <w:t>1</w:t>
            </w:r>
          </w:p>
        </w:tc>
        <w:tc>
          <w:tcPr>
            <w:tcW w:w="1154" w:type="dxa"/>
            <w:tcBorders>
              <w:top w:val="single" w:sz="4" w:space="0" w:color="000000"/>
              <w:left w:val="single" w:sz="4" w:space="0" w:color="000000"/>
              <w:bottom w:val="single" w:sz="4" w:space="0" w:color="000000"/>
            </w:tcBorders>
          </w:tcPr>
          <w:p>
            <w:pPr/>
          </w:p>
        </w:tc>
        <w:tc>
          <w:tcPr>
            <w:tcW w:w="773"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6" w:type="dxa"/>
            <w:tcBorders>
              <w:top w:val="single" w:sz="4" w:space="0" w:color="000000"/>
              <w:left w:val="single" w:sz="4" w:space="0" w:color="000000"/>
              <w:bottom w:val="single" w:sz="4" w:space="0" w:color="000000"/>
            </w:tcBorders>
          </w:tcPr>
          <w:p>
            <w:pPr>
              <w:pStyle w:val="TableParagraph"/>
              <w:spacing w:line="203" w:lineRule="exact"/>
              <w:ind w:left="147" w:right="142"/>
              <w:rPr>
                <w:sz w:val="18"/>
              </w:rPr>
            </w:pPr>
            <w:r>
              <w:rPr>
                <w:sz w:val="18"/>
              </w:rPr>
              <w:t>70.14%</w:t>
            </w:r>
          </w:p>
        </w:tc>
        <w:tc>
          <w:tcPr>
            <w:tcW w:w="809" w:type="dxa"/>
            <w:tcBorders>
              <w:top w:val="single" w:sz="4" w:space="0" w:color="000000"/>
              <w:bottom w:val="single" w:sz="4" w:space="0" w:color="000000"/>
              <w:right w:val="single" w:sz="4" w:space="0" w:color="000000"/>
            </w:tcBorders>
          </w:tcPr>
          <w:p>
            <w:pPr>
              <w:pStyle w:val="TableParagraph"/>
              <w:spacing w:line="203" w:lineRule="exact"/>
              <w:ind w:right="5"/>
              <w:rPr>
                <w:sz w:val="18"/>
              </w:rPr>
            </w:pPr>
            <w:r>
              <w:rPr>
                <w:w w:val="99"/>
                <w:sz w:val="18"/>
              </w:rPr>
              <w:t>1</w:t>
            </w:r>
          </w:p>
        </w:tc>
        <w:tc>
          <w:tcPr>
            <w:tcW w:w="792" w:type="dxa"/>
            <w:tcBorders>
              <w:top w:val="single" w:sz="4" w:space="0" w:color="000000"/>
              <w:left w:val="single" w:sz="4" w:space="0" w:color="000000"/>
              <w:bottom w:val="single" w:sz="4" w:space="0" w:color="000000"/>
            </w:tcBorders>
          </w:tcPr>
          <w:p>
            <w:pP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Tequixquiac</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1"/>
              <w:rPr>
                <w:sz w:val="18"/>
              </w:rPr>
            </w:pPr>
            <w:r>
              <w:rPr>
                <w:w w:val="99"/>
                <w:sz w:val="18"/>
              </w:rPr>
              <w:t>2</w:t>
            </w:r>
          </w:p>
        </w:tc>
        <w:tc>
          <w:tcPr>
            <w:tcW w:w="1154" w:type="dxa"/>
            <w:tcBorders>
              <w:top w:val="single" w:sz="4" w:space="0" w:color="000000"/>
              <w:left w:val="single" w:sz="4" w:space="0" w:color="000000"/>
              <w:bottom w:val="single" w:sz="4" w:space="0" w:color="000000"/>
            </w:tcBorders>
          </w:tcPr>
          <w:p>
            <w:pPr/>
          </w:p>
        </w:tc>
        <w:tc>
          <w:tcPr>
            <w:tcW w:w="773"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6" w:type="dxa"/>
            <w:tcBorders>
              <w:top w:val="single" w:sz="4" w:space="0" w:color="000000"/>
              <w:left w:val="single" w:sz="4" w:space="0" w:color="000000"/>
              <w:bottom w:val="single" w:sz="4" w:space="0" w:color="000000"/>
            </w:tcBorders>
          </w:tcPr>
          <w:p>
            <w:pPr/>
          </w:p>
        </w:tc>
        <w:tc>
          <w:tcPr>
            <w:tcW w:w="809" w:type="dxa"/>
            <w:tcBorders>
              <w:top w:val="single" w:sz="4" w:space="0" w:color="000000"/>
              <w:bottom w:val="single" w:sz="4" w:space="0" w:color="000000"/>
              <w:right w:val="single" w:sz="4" w:space="0" w:color="000000"/>
            </w:tcBorders>
          </w:tcPr>
          <w:p>
            <w:pPr>
              <w:pStyle w:val="TableParagraph"/>
              <w:spacing w:line="203" w:lineRule="exact"/>
              <w:ind w:right="5"/>
              <w:rPr>
                <w:sz w:val="18"/>
              </w:rPr>
            </w:pPr>
            <w:r>
              <w:rPr>
                <w:w w:val="99"/>
                <w:sz w:val="18"/>
              </w:rPr>
              <w:t>1</w:t>
            </w:r>
          </w:p>
        </w:tc>
        <w:tc>
          <w:tcPr>
            <w:tcW w:w="792" w:type="dxa"/>
            <w:tcBorders>
              <w:top w:val="single" w:sz="4" w:space="0" w:color="000000"/>
              <w:left w:val="single" w:sz="4" w:space="0" w:color="000000"/>
              <w:bottom w:val="single" w:sz="4" w:space="0" w:color="000000"/>
            </w:tcBorders>
          </w:tcPr>
          <w:p>
            <w:pPr>
              <w:pStyle w:val="TableParagraph"/>
              <w:spacing w:line="203" w:lineRule="exact"/>
              <w:ind w:left="64" w:right="61"/>
              <w:rPr>
                <w:sz w:val="18"/>
              </w:rPr>
            </w:pPr>
            <w:r>
              <w:rPr>
                <w:sz w:val="18"/>
              </w:rPr>
              <w:t>0.00%</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4"/>
              <w:jc w:val="left"/>
              <w:rPr>
                <w:sz w:val="18"/>
              </w:rPr>
            </w:pPr>
            <w:r>
              <w:rPr>
                <w:color w:val="181818"/>
                <w:sz w:val="18"/>
              </w:rPr>
              <w:t>Texcaltitlán</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1154" w:type="dxa"/>
            <w:tcBorders>
              <w:top w:val="single" w:sz="4" w:space="0" w:color="000000"/>
              <w:left w:val="single" w:sz="4" w:space="0" w:color="000000"/>
              <w:bottom w:val="single" w:sz="4" w:space="0" w:color="000000"/>
            </w:tcBorders>
          </w:tcPr>
          <w:p>
            <w:pPr/>
          </w:p>
        </w:tc>
        <w:tc>
          <w:tcPr>
            <w:tcW w:w="773"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color w:val="181818"/>
                <w:w w:val="99"/>
                <w:sz w:val="18"/>
              </w:rPr>
              <w:t>1</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w w:val="99"/>
                <w:sz w:val="18"/>
              </w:rPr>
              <w:t>1</w:t>
            </w:r>
          </w:p>
        </w:tc>
        <w:tc>
          <w:tcPr>
            <w:tcW w:w="956" w:type="dxa"/>
            <w:tcBorders>
              <w:top w:val="single" w:sz="4" w:space="0" w:color="000000"/>
              <w:left w:val="single" w:sz="4" w:space="0" w:color="000000"/>
              <w:bottom w:val="single" w:sz="4" w:space="0" w:color="000000"/>
            </w:tcBorders>
          </w:tcPr>
          <w:p>
            <w:pPr/>
          </w:p>
        </w:tc>
        <w:tc>
          <w:tcPr>
            <w:tcW w:w="809" w:type="dxa"/>
            <w:tcBorders>
              <w:top w:val="single" w:sz="4" w:space="0" w:color="000000"/>
              <w:bottom w:val="single" w:sz="4" w:space="0" w:color="000000"/>
              <w:right w:val="single" w:sz="4" w:space="0" w:color="000000"/>
            </w:tcBorders>
          </w:tcPr>
          <w:p>
            <w:pPr>
              <w:pStyle w:val="TableParagraph"/>
              <w:spacing w:line="206" w:lineRule="exact"/>
              <w:ind w:right="5"/>
              <w:rPr>
                <w:sz w:val="18"/>
              </w:rPr>
            </w:pPr>
            <w:r>
              <w:rPr>
                <w:w w:val="99"/>
                <w:sz w:val="18"/>
              </w:rPr>
              <w:t>2</w:t>
            </w:r>
          </w:p>
        </w:tc>
        <w:tc>
          <w:tcPr>
            <w:tcW w:w="792" w:type="dxa"/>
            <w:tcBorders>
              <w:top w:val="single" w:sz="4" w:space="0" w:color="000000"/>
              <w:left w:val="single" w:sz="4" w:space="0" w:color="000000"/>
              <w:bottom w:val="single" w:sz="4" w:space="0" w:color="000000"/>
            </w:tcBorders>
          </w:tcPr>
          <w:p>
            <w:pP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Texcalyacac</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1"/>
              <w:rPr>
                <w:sz w:val="18"/>
              </w:rPr>
            </w:pPr>
            <w:r>
              <w:rPr>
                <w:w w:val="99"/>
                <w:sz w:val="18"/>
              </w:rPr>
              <w:t>1</w:t>
            </w:r>
          </w:p>
        </w:tc>
        <w:tc>
          <w:tcPr>
            <w:tcW w:w="1154" w:type="dxa"/>
            <w:tcBorders>
              <w:top w:val="single" w:sz="4" w:space="0" w:color="000000"/>
              <w:left w:val="single" w:sz="4" w:space="0" w:color="000000"/>
              <w:bottom w:val="single" w:sz="4" w:space="0" w:color="000000"/>
            </w:tcBorders>
          </w:tcPr>
          <w:p>
            <w:pPr/>
          </w:p>
        </w:tc>
        <w:tc>
          <w:tcPr>
            <w:tcW w:w="773"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2</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2</w:t>
            </w:r>
          </w:p>
        </w:tc>
        <w:tc>
          <w:tcPr>
            <w:tcW w:w="956" w:type="dxa"/>
            <w:tcBorders>
              <w:top w:val="single" w:sz="4" w:space="0" w:color="000000"/>
              <w:left w:val="single" w:sz="4" w:space="0" w:color="000000"/>
              <w:bottom w:val="single" w:sz="4" w:space="0" w:color="000000"/>
            </w:tcBorders>
          </w:tcPr>
          <w:p>
            <w:pPr/>
          </w:p>
        </w:tc>
        <w:tc>
          <w:tcPr>
            <w:tcW w:w="809" w:type="dxa"/>
            <w:tcBorders>
              <w:top w:val="single" w:sz="4" w:space="0" w:color="000000"/>
              <w:bottom w:val="single" w:sz="4" w:space="0" w:color="000000"/>
              <w:right w:val="single" w:sz="4" w:space="0" w:color="000000"/>
            </w:tcBorders>
          </w:tcPr>
          <w:p>
            <w:pPr>
              <w:pStyle w:val="TableParagraph"/>
              <w:spacing w:line="203" w:lineRule="exact"/>
              <w:ind w:right="5"/>
              <w:rPr>
                <w:sz w:val="18"/>
              </w:rPr>
            </w:pPr>
            <w:r>
              <w:rPr>
                <w:w w:val="99"/>
                <w:sz w:val="18"/>
              </w:rPr>
              <w:t>1</w:t>
            </w:r>
          </w:p>
        </w:tc>
        <w:tc>
          <w:tcPr>
            <w:tcW w:w="792" w:type="dxa"/>
            <w:tcBorders>
              <w:top w:val="single" w:sz="4" w:space="0" w:color="000000"/>
              <w:left w:val="single" w:sz="4" w:space="0" w:color="000000"/>
              <w:bottom w:val="single" w:sz="4" w:space="0" w:color="000000"/>
            </w:tcBorders>
          </w:tcPr>
          <w:p>
            <w:pPr>
              <w:pStyle w:val="TableParagraph"/>
              <w:spacing w:line="203" w:lineRule="exact"/>
              <w:ind w:left="64" w:right="63"/>
              <w:rPr>
                <w:sz w:val="18"/>
              </w:rPr>
            </w:pPr>
            <w:r>
              <w:rPr>
                <w:sz w:val="18"/>
              </w:rPr>
              <w:t>29.90%</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4"/>
              <w:jc w:val="left"/>
              <w:rPr>
                <w:sz w:val="18"/>
              </w:rPr>
            </w:pPr>
            <w:r>
              <w:rPr>
                <w:color w:val="181818"/>
                <w:sz w:val="18"/>
              </w:rPr>
              <w:t>Texcoco</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1154" w:type="dxa"/>
            <w:tcBorders>
              <w:top w:val="single" w:sz="4" w:space="0" w:color="000000"/>
              <w:left w:val="single" w:sz="4" w:space="0" w:color="000000"/>
              <w:bottom w:val="single" w:sz="4" w:space="0" w:color="000000"/>
            </w:tcBorders>
          </w:tcPr>
          <w:p>
            <w:pPr>
              <w:pStyle w:val="TableParagraph"/>
              <w:spacing w:line="206" w:lineRule="exact"/>
              <w:ind w:left="198" w:right="190"/>
              <w:rPr>
                <w:sz w:val="18"/>
              </w:rPr>
            </w:pPr>
            <w:r>
              <w:rPr>
                <w:color w:val="333333"/>
                <w:sz w:val="18"/>
              </w:rPr>
              <w:t>11.50%</w:t>
            </w:r>
          </w:p>
        </w:tc>
        <w:tc>
          <w:tcPr>
            <w:tcW w:w="773"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color w:val="181818"/>
                <w:w w:val="99"/>
                <w:sz w:val="18"/>
              </w:rPr>
              <w:t>2</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w w:val="99"/>
                <w:sz w:val="18"/>
              </w:rPr>
              <w:t>2</w:t>
            </w:r>
          </w:p>
        </w:tc>
        <w:tc>
          <w:tcPr>
            <w:tcW w:w="956" w:type="dxa"/>
            <w:tcBorders>
              <w:top w:val="single" w:sz="4" w:space="0" w:color="000000"/>
              <w:left w:val="single" w:sz="4" w:space="0" w:color="000000"/>
              <w:bottom w:val="single" w:sz="4" w:space="0" w:color="000000"/>
            </w:tcBorders>
          </w:tcPr>
          <w:p>
            <w:pPr>
              <w:pStyle w:val="TableParagraph"/>
              <w:spacing w:line="206" w:lineRule="exact"/>
              <w:ind w:left="147" w:right="142"/>
              <w:rPr>
                <w:sz w:val="18"/>
              </w:rPr>
            </w:pPr>
            <w:r>
              <w:rPr>
                <w:sz w:val="18"/>
              </w:rPr>
              <w:t>76.71%</w:t>
            </w:r>
          </w:p>
        </w:tc>
        <w:tc>
          <w:tcPr>
            <w:tcW w:w="809" w:type="dxa"/>
            <w:tcBorders>
              <w:top w:val="single" w:sz="4" w:space="0" w:color="000000"/>
              <w:bottom w:val="single" w:sz="4" w:space="0" w:color="000000"/>
              <w:right w:val="single" w:sz="4" w:space="0" w:color="000000"/>
            </w:tcBorders>
          </w:tcPr>
          <w:p>
            <w:pPr>
              <w:pStyle w:val="TableParagraph"/>
              <w:spacing w:line="206" w:lineRule="exact"/>
              <w:ind w:right="5"/>
              <w:rPr>
                <w:sz w:val="18"/>
              </w:rPr>
            </w:pPr>
            <w:r>
              <w:rPr>
                <w:w w:val="99"/>
                <w:sz w:val="18"/>
              </w:rPr>
              <w:t>1</w:t>
            </w:r>
          </w:p>
        </w:tc>
        <w:tc>
          <w:tcPr>
            <w:tcW w:w="792" w:type="dxa"/>
            <w:tcBorders>
              <w:top w:val="single" w:sz="4" w:space="0" w:color="000000"/>
              <w:left w:val="single" w:sz="4" w:space="0" w:color="000000"/>
              <w:bottom w:val="single" w:sz="4" w:space="0" w:color="000000"/>
            </w:tcBorders>
          </w:tcPr>
          <w:p>
            <w:pP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Tezoyuca</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1"/>
              <w:rPr>
                <w:sz w:val="18"/>
              </w:rPr>
            </w:pPr>
            <w:r>
              <w:rPr>
                <w:w w:val="99"/>
                <w:sz w:val="18"/>
              </w:rPr>
              <w:t>1</w:t>
            </w:r>
          </w:p>
        </w:tc>
        <w:tc>
          <w:tcPr>
            <w:tcW w:w="1154" w:type="dxa"/>
            <w:tcBorders>
              <w:top w:val="single" w:sz="4" w:space="0" w:color="000000"/>
              <w:left w:val="single" w:sz="4" w:space="0" w:color="000000"/>
              <w:bottom w:val="single" w:sz="4" w:space="0" w:color="000000"/>
            </w:tcBorders>
          </w:tcPr>
          <w:p>
            <w:pPr>
              <w:pStyle w:val="TableParagraph"/>
              <w:spacing w:line="203" w:lineRule="exact"/>
              <w:ind w:left="198" w:right="190"/>
              <w:rPr>
                <w:sz w:val="18"/>
              </w:rPr>
            </w:pPr>
            <w:r>
              <w:rPr>
                <w:color w:val="333333"/>
                <w:sz w:val="18"/>
              </w:rPr>
              <w:t>11.50%</w:t>
            </w:r>
          </w:p>
        </w:tc>
        <w:tc>
          <w:tcPr>
            <w:tcW w:w="773"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6" w:type="dxa"/>
            <w:tcBorders>
              <w:top w:val="single" w:sz="4" w:space="0" w:color="000000"/>
              <w:left w:val="single" w:sz="4" w:space="0" w:color="000000"/>
              <w:bottom w:val="single" w:sz="4" w:space="0" w:color="000000"/>
            </w:tcBorders>
          </w:tcPr>
          <w:p>
            <w:pPr/>
          </w:p>
        </w:tc>
        <w:tc>
          <w:tcPr>
            <w:tcW w:w="809" w:type="dxa"/>
            <w:tcBorders>
              <w:top w:val="single" w:sz="4" w:space="0" w:color="000000"/>
              <w:bottom w:val="single" w:sz="4" w:space="0" w:color="000000"/>
              <w:right w:val="single" w:sz="4" w:space="0" w:color="000000"/>
            </w:tcBorders>
          </w:tcPr>
          <w:p>
            <w:pPr>
              <w:pStyle w:val="TableParagraph"/>
              <w:spacing w:line="203" w:lineRule="exact"/>
              <w:ind w:right="5"/>
              <w:rPr>
                <w:sz w:val="18"/>
              </w:rPr>
            </w:pPr>
            <w:r>
              <w:rPr>
                <w:w w:val="99"/>
                <w:sz w:val="18"/>
              </w:rPr>
              <w:t>1</w:t>
            </w:r>
          </w:p>
        </w:tc>
        <w:tc>
          <w:tcPr>
            <w:tcW w:w="792" w:type="dxa"/>
            <w:tcBorders>
              <w:top w:val="single" w:sz="4" w:space="0" w:color="000000"/>
              <w:left w:val="single" w:sz="4" w:space="0" w:color="000000"/>
              <w:bottom w:val="single" w:sz="4" w:space="0" w:color="000000"/>
            </w:tcBorders>
          </w:tcPr>
          <w:p>
            <w:pPr>
              <w:pStyle w:val="TableParagraph"/>
              <w:spacing w:line="203" w:lineRule="exact"/>
              <w:ind w:left="64" w:right="63"/>
              <w:rPr>
                <w:sz w:val="18"/>
              </w:rPr>
            </w:pPr>
            <w:r>
              <w:rPr>
                <w:sz w:val="18"/>
              </w:rPr>
              <w:t>23.38%</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4"/>
              <w:jc w:val="left"/>
              <w:rPr>
                <w:sz w:val="18"/>
              </w:rPr>
            </w:pPr>
            <w:r>
              <w:rPr>
                <w:color w:val="181818"/>
                <w:sz w:val="18"/>
              </w:rPr>
              <w:t>Tianguistenco</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1154" w:type="dxa"/>
            <w:tcBorders>
              <w:top w:val="single" w:sz="4" w:space="0" w:color="000000"/>
              <w:left w:val="single" w:sz="4" w:space="0" w:color="000000"/>
              <w:bottom w:val="single" w:sz="4" w:space="0" w:color="000000"/>
            </w:tcBorders>
          </w:tcPr>
          <w:p>
            <w:pPr/>
          </w:p>
        </w:tc>
        <w:tc>
          <w:tcPr>
            <w:tcW w:w="773"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color w:val="181818"/>
                <w:w w:val="99"/>
                <w:sz w:val="18"/>
              </w:rPr>
              <w:t>1</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w w:val="99"/>
                <w:sz w:val="18"/>
              </w:rPr>
              <w:t>1</w:t>
            </w:r>
          </w:p>
        </w:tc>
        <w:tc>
          <w:tcPr>
            <w:tcW w:w="956" w:type="dxa"/>
            <w:tcBorders>
              <w:top w:val="single" w:sz="4" w:space="0" w:color="000000"/>
              <w:left w:val="single" w:sz="4" w:space="0" w:color="000000"/>
              <w:bottom w:val="single" w:sz="4" w:space="0" w:color="000000"/>
            </w:tcBorders>
          </w:tcPr>
          <w:p>
            <w:pPr/>
          </w:p>
        </w:tc>
        <w:tc>
          <w:tcPr>
            <w:tcW w:w="809" w:type="dxa"/>
            <w:tcBorders>
              <w:top w:val="single" w:sz="4" w:space="0" w:color="000000"/>
              <w:bottom w:val="single" w:sz="4" w:space="0" w:color="000000"/>
              <w:right w:val="single" w:sz="4" w:space="0" w:color="000000"/>
            </w:tcBorders>
          </w:tcPr>
          <w:p>
            <w:pPr>
              <w:pStyle w:val="TableParagraph"/>
              <w:spacing w:line="206" w:lineRule="exact"/>
              <w:ind w:right="5"/>
              <w:rPr>
                <w:sz w:val="18"/>
              </w:rPr>
            </w:pPr>
            <w:r>
              <w:rPr>
                <w:w w:val="99"/>
                <w:sz w:val="18"/>
              </w:rPr>
              <w:t>1</w:t>
            </w:r>
          </w:p>
        </w:tc>
        <w:tc>
          <w:tcPr>
            <w:tcW w:w="792" w:type="dxa"/>
            <w:tcBorders>
              <w:top w:val="single" w:sz="4" w:space="0" w:color="000000"/>
              <w:left w:val="single" w:sz="4" w:space="0" w:color="000000"/>
              <w:bottom w:val="single" w:sz="4" w:space="0" w:color="000000"/>
            </w:tcBorders>
          </w:tcPr>
          <w:p>
            <w:pPr>
              <w:pStyle w:val="TableParagraph"/>
              <w:spacing w:line="206" w:lineRule="exact"/>
              <w:ind w:left="64" w:right="63"/>
              <w:rPr>
                <w:sz w:val="18"/>
              </w:rPr>
            </w:pPr>
            <w:r>
              <w:rPr>
                <w:sz w:val="18"/>
              </w:rPr>
              <w:t>60.23%</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Timilpan</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1"/>
              <w:rPr>
                <w:sz w:val="18"/>
              </w:rPr>
            </w:pPr>
            <w:r>
              <w:rPr>
                <w:w w:val="99"/>
                <w:sz w:val="18"/>
              </w:rPr>
              <w:t>1</w:t>
            </w:r>
          </w:p>
        </w:tc>
        <w:tc>
          <w:tcPr>
            <w:tcW w:w="1154" w:type="dxa"/>
            <w:tcBorders>
              <w:top w:val="single" w:sz="4" w:space="0" w:color="000000"/>
              <w:left w:val="single" w:sz="4" w:space="0" w:color="000000"/>
              <w:bottom w:val="single" w:sz="4" w:space="0" w:color="000000"/>
            </w:tcBorders>
          </w:tcPr>
          <w:p>
            <w:pPr>
              <w:pStyle w:val="TableParagraph"/>
              <w:spacing w:line="203" w:lineRule="exact"/>
              <w:ind w:left="198" w:right="190"/>
              <w:rPr>
                <w:sz w:val="18"/>
              </w:rPr>
            </w:pPr>
            <w:r>
              <w:rPr>
                <w:color w:val="333333"/>
                <w:sz w:val="18"/>
              </w:rPr>
              <w:t>34.61%</w:t>
            </w:r>
          </w:p>
        </w:tc>
        <w:tc>
          <w:tcPr>
            <w:tcW w:w="773"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6" w:type="dxa"/>
            <w:tcBorders>
              <w:top w:val="single" w:sz="4" w:space="0" w:color="000000"/>
              <w:left w:val="single" w:sz="4" w:space="0" w:color="000000"/>
              <w:bottom w:val="single" w:sz="4" w:space="0" w:color="000000"/>
            </w:tcBorders>
          </w:tcPr>
          <w:p>
            <w:pPr>
              <w:pStyle w:val="TableParagraph"/>
              <w:spacing w:line="203" w:lineRule="exact"/>
              <w:ind w:left="147" w:right="142"/>
              <w:rPr>
                <w:sz w:val="18"/>
              </w:rPr>
            </w:pPr>
            <w:r>
              <w:rPr>
                <w:sz w:val="18"/>
              </w:rPr>
              <w:t>84.85%</w:t>
            </w:r>
          </w:p>
        </w:tc>
        <w:tc>
          <w:tcPr>
            <w:tcW w:w="809" w:type="dxa"/>
            <w:tcBorders>
              <w:top w:val="single" w:sz="4" w:space="0" w:color="000000"/>
              <w:bottom w:val="single" w:sz="4" w:space="0" w:color="000000"/>
              <w:right w:val="single" w:sz="4" w:space="0" w:color="000000"/>
            </w:tcBorders>
          </w:tcPr>
          <w:p>
            <w:pPr>
              <w:pStyle w:val="TableParagraph"/>
              <w:spacing w:line="203" w:lineRule="exact"/>
              <w:ind w:right="5"/>
              <w:rPr>
                <w:sz w:val="18"/>
              </w:rPr>
            </w:pPr>
            <w:r>
              <w:rPr>
                <w:w w:val="99"/>
                <w:sz w:val="18"/>
              </w:rPr>
              <w:t>1</w:t>
            </w:r>
          </w:p>
        </w:tc>
        <w:tc>
          <w:tcPr>
            <w:tcW w:w="792" w:type="dxa"/>
            <w:tcBorders>
              <w:top w:val="single" w:sz="4" w:space="0" w:color="000000"/>
              <w:left w:val="single" w:sz="4" w:space="0" w:color="000000"/>
              <w:bottom w:val="single" w:sz="4" w:space="0" w:color="000000"/>
            </w:tcBorders>
          </w:tcPr>
          <w:p>
            <w:pPr>
              <w:pStyle w:val="TableParagraph"/>
              <w:spacing w:line="203" w:lineRule="exact"/>
              <w:ind w:left="64" w:right="63"/>
              <w:rPr>
                <w:sz w:val="18"/>
              </w:rPr>
            </w:pPr>
            <w:r>
              <w:rPr>
                <w:sz w:val="18"/>
              </w:rPr>
              <w:t>28.17%</w:t>
            </w: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Tlalmanalco</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1"/>
              <w:rPr>
                <w:sz w:val="18"/>
              </w:rPr>
            </w:pPr>
            <w:r>
              <w:rPr>
                <w:w w:val="99"/>
                <w:sz w:val="18"/>
              </w:rPr>
              <w:t>1</w:t>
            </w:r>
          </w:p>
        </w:tc>
        <w:tc>
          <w:tcPr>
            <w:tcW w:w="1154" w:type="dxa"/>
            <w:tcBorders>
              <w:top w:val="single" w:sz="4" w:space="0" w:color="000000"/>
              <w:left w:val="single" w:sz="4" w:space="0" w:color="000000"/>
              <w:bottom w:val="single" w:sz="4" w:space="0" w:color="000000"/>
            </w:tcBorders>
          </w:tcPr>
          <w:p>
            <w:pPr>
              <w:pStyle w:val="TableParagraph"/>
              <w:spacing w:line="203" w:lineRule="exact"/>
              <w:ind w:left="195" w:right="190"/>
              <w:rPr>
                <w:sz w:val="18"/>
              </w:rPr>
            </w:pPr>
            <w:r>
              <w:rPr>
                <w:color w:val="333333"/>
                <w:sz w:val="18"/>
              </w:rPr>
              <w:t>3.80%</w:t>
            </w:r>
          </w:p>
        </w:tc>
        <w:tc>
          <w:tcPr>
            <w:tcW w:w="773"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6" w:type="dxa"/>
            <w:tcBorders>
              <w:top w:val="single" w:sz="4" w:space="0" w:color="000000"/>
              <w:left w:val="single" w:sz="4" w:space="0" w:color="000000"/>
              <w:bottom w:val="single" w:sz="4" w:space="0" w:color="000000"/>
            </w:tcBorders>
          </w:tcPr>
          <w:p>
            <w:pPr/>
          </w:p>
        </w:tc>
        <w:tc>
          <w:tcPr>
            <w:tcW w:w="809" w:type="dxa"/>
            <w:tcBorders>
              <w:top w:val="single" w:sz="4" w:space="0" w:color="000000"/>
              <w:bottom w:val="single" w:sz="4" w:space="0" w:color="000000"/>
              <w:right w:val="single" w:sz="4" w:space="0" w:color="000000"/>
            </w:tcBorders>
          </w:tcPr>
          <w:p>
            <w:pPr>
              <w:pStyle w:val="TableParagraph"/>
              <w:spacing w:line="203" w:lineRule="exact"/>
              <w:ind w:right="5"/>
              <w:rPr>
                <w:sz w:val="18"/>
              </w:rPr>
            </w:pPr>
            <w:r>
              <w:rPr>
                <w:w w:val="99"/>
                <w:sz w:val="18"/>
              </w:rPr>
              <w:t>1</w:t>
            </w:r>
          </w:p>
        </w:tc>
        <w:tc>
          <w:tcPr>
            <w:tcW w:w="792" w:type="dxa"/>
            <w:tcBorders>
              <w:top w:val="single" w:sz="4" w:space="0" w:color="000000"/>
              <w:left w:val="single" w:sz="4" w:space="0" w:color="000000"/>
              <w:bottom w:val="single" w:sz="4" w:space="0" w:color="000000"/>
            </w:tcBorders>
          </w:tcPr>
          <w:p>
            <w:pP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Tlalnepantla de Baz</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1"/>
              <w:rPr>
                <w:sz w:val="18"/>
              </w:rPr>
            </w:pPr>
            <w:r>
              <w:rPr>
                <w:w w:val="99"/>
                <w:sz w:val="18"/>
              </w:rPr>
              <w:t>1</w:t>
            </w:r>
          </w:p>
        </w:tc>
        <w:tc>
          <w:tcPr>
            <w:tcW w:w="1154" w:type="dxa"/>
            <w:tcBorders>
              <w:top w:val="single" w:sz="4" w:space="0" w:color="000000"/>
              <w:left w:val="single" w:sz="4" w:space="0" w:color="000000"/>
              <w:bottom w:val="single" w:sz="4" w:space="0" w:color="000000"/>
            </w:tcBorders>
          </w:tcPr>
          <w:p>
            <w:pPr>
              <w:pStyle w:val="TableParagraph"/>
              <w:spacing w:line="203" w:lineRule="exact"/>
              <w:ind w:left="198" w:right="190"/>
              <w:rPr>
                <w:sz w:val="18"/>
              </w:rPr>
            </w:pPr>
            <w:r>
              <w:rPr>
                <w:color w:val="333333"/>
                <w:sz w:val="18"/>
              </w:rPr>
              <w:t>88.46%</w:t>
            </w:r>
          </w:p>
        </w:tc>
        <w:tc>
          <w:tcPr>
            <w:tcW w:w="773"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6" w:type="dxa"/>
            <w:tcBorders>
              <w:top w:val="single" w:sz="4" w:space="0" w:color="000000"/>
              <w:left w:val="single" w:sz="4" w:space="0" w:color="000000"/>
              <w:bottom w:val="single" w:sz="4" w:space="0" w:color="000000"/>
            </w:tcBorders>
          </w:tcPr>
          <w:p>
            <w:pPr>
              <w:pStyle w:val="TableParagraph"/>
              <w:spacing w:line="203" w:lineRule="exact"/>
              <w:ind w:left="147" w:right="142"/>
              <w:rPr>
                <w:sz w:val="18"/>
              </w:rPr>
            </w:pPr>
            <w:r>
              <w:rPr>
                <w:sz w:val="18"/>
              </w:rPr>
              <w:t>97.61%</w:t>
            </w:r>
          </w:p>
        </w:tc>
        <w:tc>
          <w:tcPr>
            <w:tcW w:w="809" w:type="dxa"/>
            <w:tcBorders>
              <w:top w:val="single" w:sz="4" w:space="0" w:color="000000"/>
              <w:bottom w:val="single" w:sz="4" w:space="0" w:color="000000"/>
              <w:right w:val="single" w:sz="4" w:space="0" w:color="000000"/>
            </w:tcBorders>
          </w:tcPr>
          <w:p>
            <w:pPr>
              <w:pStyle w:val="TableParagraph"/>
              <w:spacing w:line="203" w:lineRule="exact"/>
              <w:ind w:right="5"/>
              <w:rPr>
                <w:sz w:val="18"/>
              </w:rPr>
            </w:pPr>
            <w:r>
              <w:rPr>
                <w:w w:val="99"/>
                <w:sz w:val="18"/>
              </w:rPr>
              <w:t>2</w:t>
            </w:r>
          </w:p>
        </w:tc>
        <w:tc>
          <w:tcPr>
            <w:tcW w:w="792" w:type="dxa"/>
            <w:tcBorders>
              <w:top w:val="single" w:sz="4" w:space="0" w:color="000000"/>
              <w:left w:val="single" w:sz="4" w:space="0" w:color="000000"/>
              <w:bottom w:val="single" w:sz="4" w:space="0" w:color="000000"/>
            </w:tcBorders>
          </w:tcPr>
          <w:p>
            <w:pP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Tlatlaya</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1"/>
              <w:rPr>
                <w:sz w:val="18"/>
              </w:rPr>
            </w:pPr>
            <w:r>
              <w:rPr>
                <w:w w:val="99"/>
                <w:sz w:val="18"/>
              </w:rPr>
              <w:t>1</w:t>
            </w:r>
          </w:p>
        </w:tc>
        <w:tc>
          <w:tcPr>
            <w:tcW w:w="1154" w:type="dxa"/>
            <w:tcBorders>
              <w:top w:val="single" w:sz="4" w:space="0" w:color="000000"/>
              <w:left w:val="single" w:sz="4" w:space="0" w:color="000000"/>
              <w:bottom w:val="single" w:sz="4" w:space="0" w:color="000000"/>
            </w:tcBorders>
          </w:tcPr>
          <w:p>
            <w:pPr/>
          </w:p>
        </w:tc>
        <w:tc>
          <w:tcPr>
            <w:tcW w:w="773"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799"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6" w:type="dxa"/>
            <w:tcBorders>
              <w:top w:val="single" w:sz="4" w:space="0" w:color="000000"/>
              <w:left w:val="single" w:sz="4" w:space="0" w:color="000000"/>
              <w:bottom w:val="single" w:sz="4" w:space="0" w:color="000000"/>
            </w:tcBorders>
          </w:tcPr>
          <w:p>
            <w:pPr/>
          </w:p>
        </w:tc>
        <w:tc>
          <w:tcPr>
            <w:tcW w:w="809" w:type="dxa"/>
            <w:tcBorders>
              <w:top w:val="single" w:sz="4" w:space="0" w:color="000000"/>
              <w:bottom w:val="single" w:sz="4" w:space="0" w:color="000000"/>
              <w:right w:val="single" w:sz="4" w:space="0" w:color="000000"/>
            </w:tcBorders>
          </w:tcPr>
          <w:p>
            <w:pPr>
              <w:pStyle w:val="TableParagraph"/>
              <w:spacing w:line="203" w:lineRule="exact"/>
              <w:ind w:right="5"/>
              <w:rPr>
                <w:sz w:val="18"/>
              </w:rPr>
            </w:pPr>
            <w:r>
              <w:rPr>
                <w:w w:val="99"/>
                <w:sz w:val="18"/>
              </w:rPr>
              <w:t>1</w:t>
            </w:r>
          </w:p>
        </w:tc>
        <w:tc>
          <w:tcPr>
            <w:tcW w:w="792" w:type="dxa"/>
            <w:tcBorders>
              <w:top w:val="single" w:sz="4" w:space="0" w:color="000000"/>
              <w:left w:val="single" w:sz="4" w:space="0" w:color="000000"/>
              <w:bottom w:val="single" w:sz="4" w:space="0" w:color="000000"/>
            </w:tcBorders>
          </w:tcPr>
          <w:p>
            <w:pP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Toluca</w:t>
            </w:r>
          </w:p>
        </w:tc>
        <w:tc>
          <w:tcPr>
            <w:tcW w:w="770"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right="1"/>
              <w:rPr>
                <w:sz w:val="18"/>
              </w:rPr>
            </w:pPr>
            <w:r>
              <w:rPr>
                <w:w w:val="99"/>
                <w:sz w:val="18"/>
              </w:rPr>
              <w:t>2</w:t>
            </w:r>
          </w:p>
        </w:tc>
        <w:tc>
          <w:tcPr>
            <w:tcW w:w="1154" w:type="dxa"/>
            <w:tcBorders>
              <w:top w:val="single" w:sz="4" w:space="0" w:color="000000"/>
              <w:left w:val="single" w:sz="4" w:space="0" w:color="000000"/>
              <w:bottom w:val="single" w:sz="4" w:space="0" w:color="000000"/>
            </w:tcBorders>
          </w:tcPr>
          <w:p>
            <w:pPr>
              <w:pStyle w:val="TableParagraph"/>
              <w:spacing w:line="203" w:lineRule="exact"/>
              <w:ind w:left="198" w:right="190"/>
              <w:rPr>
                <w:sz w:val="18"/>
              </w:rPr>
            </w:pPr>
            <w:r>
              <w:rPr>
                <w:color w:val="333333"/>
                <w:sz w:val="18"/>
              </w:rPr>
              <w:t>100.00%</w:t>
            </w:r>
          </w:p>
        </w:tc>
        <w:tc>
          <w:tcPr>
            <w:tcW w:w="773"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2</w:t>
            </w:r>
          </w:p>
        </w:tc>
        <w:tc>
          <w:tcPr>
            <w:tcW w:w="799" w:type="dxa"/>
            <w:tcBorders>
              <w:top w:val="single" w:sz="4" w:space="0" w:color="000000"/>
              <w:left w:val="single" w:sz="4" w:space="0" w:color="000000"/>
              <w:bottom w:val="single" w:sz="4" w:space="0" w:color="000000"/>
            </w:tcBorders>
          </w:tcPr>
          <w:p>
            <w:pPr>
              <w:pStyle w:val="TableParagraph"/>
              <w:spacing w:line="203" w:lineRule="exact"/>
              <w:ind w:left="68" w:right="65"/>
              <w:rPr>
                <w:sz w:val="18"/>
              </w:rPr>
            </w:pPr>
            <w:r>
              <w:rPr>
                <w:sz w:val="18"/>
              </w:rPr>
              <w:t>97.50%</w:t>
            </w: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2</w:t>
            </w:r>
          </w:p>
        </w:tc>
        <w:tc>
          <w:tcPr>
            <w:tcW w:w="956" w:type="dxa"/>
            <w:tcBorders>
              <w:top w:val="single" w:sz="4" w:space="0" w:color="000000"/>
              <w:left w:val="single" w:sz="4" w:space="0" w:color="000000"/>
              <w:bottom w:val="single" w:sz="4" w:space="0" w:color="000000"/>
            </w:tcBorders>
          </w:tcPr>
          <w:p>
            <w:pPr/>
          </w:p>
        </w:tc>
        <w:tc>
          <w:tcPr>
            <w:tcW w:w="809" w:type="dxa"/>
            <w:tcBorders>
              <w:top w:val="single" w:sz="4" w:space="0" w:color="000000"/>
              <w:bottom w:val="single" w:sz="4" w:space="0" w:color="000000"/>
              <w:right w:val="single" w:sz="4" w:space="0" w:color="000000"/>
            </w:tcBorders>
          </w:tcPr>
          <w:p>
            <w:pPr>
              <w:pStyle w:val="TableParagraph"/>
              <w:spacing w:line="203" w:lineRule="exact"/>
              <w:ind w:right="5"/>
              <w:rPr>
                <w:sz w:val="18"/>
              </w:rPr>
            </w:pPr>
            <w:r>
              <w:rPr>
                <w:w w:val="99"/>
                <w:sz w:val="18"/>
              </w:rPr>
              <w:t>1</w:t>
            </w:r>
          </w:p>
        </w:tc>
        <w:tc>
          <w:tcPr>
            <w:tcW w:w="792" w:type="dxa"/>
            <w:tcBorders>
              <w:top w:val="single" w:sz="4" w:space="0" w:color="000000"/>
              <w:left w:val="single" w:sz="4" w:space="0" w:color="000000"/>
              <w:bottom w:val="single" w:sz="4" w:space="0" w:color="000000"/>
            </w:tcBorders>
          </w:tcPr>
          <w:p>
            <w:pPr/>
          </w:p>
        </w:tc>
      </w:tr>
    </w:tbl>
    <w:p>
      <w:pPr>
        <w:spacing w:after="0"/>
        <w:sectPr>
          <w:pgSz w:w="12240" w:h="15840"/>
          <w:pgMar w:header="0" w:footer="975" w:top="1420" w:bottom="1160" w:left="1500" w:right="1140"/>
        </w:sectPr>
      </w:pPr>
    </w:p>
    <w:tbl>
      <w:tblPr>
        <w:tblW w:w="0" w:type="auto"/>
        <w:jc w:val="left"/>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61"/>
        <w:gridCol w:w="806"/>
        <w:gridCol w:w="814"/>
        <w:gridCol w:w="821"/>
        <w:gridCol w:w="800"/>
        <w:gridCol w:w="845"/>
        <w:gridCol w:w="955"/>
        <w:gridCol w:w="812"/>
        <w:gridCol w:w="790"/>
      </w:tblGrid>
      <w:tr>
        <w:trPr>
          <w:trHeight w:val="330" w:hRule="exact"/>
        </w:trPr>
        <w:tc>
          <w:tcPr>
            <w:tcW w:w="9102" w:type="dxa"/>
            <w:gridSpan w:val="9"/>
            <w:shd w:val="clear" w:color="auto" w:fill="92D050"/>
          </w:tcPr>
          <w:p>
            <w:pPr>
              <w:pStyle w:val="TableParagraph"/>
              <w:spacing w:line="200" w:lineRule="exact"/>
              <w:ind w:left="532"/>
              <w:jc w:val="left"/>
              <w:rPr>
                <w:b/>
                <w:sz w:val="18"/>
              </w:rPr>
            </w:pPr>
            <w:r>
              <w:rPr>
                <w:b/>
                <w:sz w:val="18"/>
              </w:rPr>
              <w:t>Anexo 15. Solicitudes de Información por año y por género en cada municipio (Termina tabla)</w:t>
            </w:r>
          </w:p>
        </w:tc>
      </w:tr>
      <w:tr>
        <w:trPr>
          <w:trHeight w:val="326" w:hRule="exact"/>
        </w:trPr>
        <w:tc>
          <w:tcPr>
            <w:tcW w:w="2461" w:type="dxa"/>
            <w:vMerge w:val="restart"/>
            <w:shd w:val="clear" w:color="auto" w:fill="92D050"/>
          </w:tcPr>
          <w:p>
            <w:pPr>
              <w:pStyle w:val="TableParagraph"/>
              <w:spacing w:before="159"/>
              <w:ind w:left="799"/>
              <w:jc w:val="left"/>
              <w:rPr>
                <w:b/>
                <w:sz w:val="18"/>
              </w:rPr>
            </w:pPr>
            <w:r>
              <w:rPr>
                <w:b/>
                <w:sz w:val="18"/>
              </w:rPr>
              <w:t>Municipio</w:t>
            </w:r>
          </w:p>
        </w:tc>
        <w:tc>
          <w:tcPr>
            <w:tcW w:w="1620" w:type="dxa"/>
            <w:gridSpan w:val="2"/>
            <w:tcBorders>
              <w:bottom w:val="single" w:sz="4" w:space="0" w:color="000000"/>
              <w:right w:val="single" w:sz="4" w:space="0" w:color="000000"/>
            </w:tcBorders>
            <w:shd w:val="clear" w:color="auto" w:fill="92D050"/>
          </w:tcPr>
          <w:p>
            <w:pPr>
              <w:pStyle w:val="TableParagraph"/>
              <w:spacing w:line="199" w:lineRule="exact"/>
              <w:ind w:left="582" w:right="582"/>
              <w:rPr>
                <w:b/>
                <w:sz w:val="18"/>
              </w:rPr>
            </w:pPr>
            <w:r>
              <w:rPr>
                <w:b/>
                <w:sz w:val="18"/>
              </w:rPr>
              <w:t>2012</w:t>
            </w:r>
          </w:p>
        </w:tc>
        <w:tc>
          <w:tcPr>
            <w:tcW w:w="1620" w:type="dxa"/>
            <w:gridSpan w:val="2"/>
            <w:tcBorders>
              <w:left w:val="single" w:sz="4" w:space="0" w:color="000000"/>
              <w:bottom w:val="single" w:sz="4" w:space="0" w:color="000000"/>
              <w:right w:val="single" w:sz="4" w:space="0" w:color="000000"/>
            </w:tcBorders>
            <w:shd w:val="clear" w:color="auto" w:fill="92D050"/>
          </w:tcPr>
          <w:p>
            <w:pPr>
              <w:pStyle w:val="TableParagraph"/>
              <w:spacing w:line="199" w:lineRule="exact"/>
              <w:ind w:left="586" w:right="584"/>
              <w:rPr>
                <w:b/>
                <w:sz w:val="18"/>
              </w:rPr>
            </w:pPr>
            <w:r>
              <w:rPr>
                <w:b/>
                <w:sz w:val="18"/>
              </w:rPr>
              <w:t>2013</w:t>
            </w:r>
          </w:p>
        </w:tc>
        <w:tc>
          <w:tcPr>
            <w:tcW w:w="1800" w:type="dxa"/>
            <w:gridSpan w:val="2"/>
            <w:tcBorders>
              <w:left w:val="single" w:sz="4" w:space="0" w:color="000000"/>
              <w:bottom w:val="single" w:sz="4" w:space="0" w:color="000000"/>
              <w:right w:val="single" w:sz="4" w:space="0" w:color="000000"/>
            </w:tcBorders>
            <w:shd w:val="clear" w:color="auto" w:fill="92D050"/>
          </w:tcPr>
          <w:p>
            <w:pPr>
              <w:pStyle w:val="TableParagraph"/>
              <w:spacing w:line="199" w:lineRule="exact"/>
              <w:ind w:left="124" w:right="124"/>
              <w:rPr>
                <w:b/>
                <w:sz w:val="18"/>
              </w:rPr>
            </w:pPr>
            <w:r>
              <w:rPr>
                <w:b/>
                <w:sz w:val="18"/>
              </w:rPr>
              <w:t>2014</w:t>
            </w:r>
          </w:p>
        </w:tc>
        <w:tc>
          <w:tcPr>
            <w:tcW w:w="1601" w:type="dxa"/>
            <w:gridSpan w:val="2"/>
            <w:tcBorders>
              <w:left w:val="single" w:sz="4" w:space="0" w:color="000000"/>
              <w:bottom w:val="single" w:sz="4" w:space="0" w:color="000000"/>
            </w:tcBorders>
            <w:shd w:val="clear" w:color="auto" w:fill="92D050"/>
          </w:tcPr>
          <w:p>
            <w:pPr>
              <w:pStyle w:val="TableParagraph"/>
              <w:spacing w:line="199" w:lineRule="exact"/>
              <w:ind w:left="96" w:right="93"/>
              <w:rPr>
                <w:b/>
                <w:sz w:val="18"/>
              </w:rPr>
            </w:pPr>
            <w:r>
              <w:rPr>
                <w:b/>
                <w:sz w:val="18"/>
              </w:rPr>
              <w:t>2015</w:t>
            </w:r>
          </w:p>
        </w:tc>
      </w:tr>
      <w:tr>
        <w:trPr>
          <w:trHeight w:val="338" w:hRule="exact"/>
        </w:trPr>
        <w:tc>
          <w:tcPr>
            <w:tcW w:w="2461" w:type="dxa"/>
            <w:vMerge/>
            <w:shd w:val="clear" w:color="auto" w:fill="92D050"/>
          </w:tcPr>
          <w:p>
            <w:pPr/>
          </w:p>
        </w:tc>
        <w:tc>
          <w:tcPr>
            <w:tcW w:w="806" w:type="dxa"/>
            <w:tcBorders>
              <w:top w:val="single" w:sz="4" w:space="0" w:color="000000"/>
              <w:right w:val="single" w:sz="4" w:space="0" w:color="000000"/>
            </w:tcBorders>
            <w:shd w:val="clear" w:color="auto" w:fill="92D050"/>
          </w:tcPr>
          <w:p>
            <w:pPr>
              <w:pStyle w:val="TableParagraph"/>
              <w:spacing w:before="3"/>
              <w:ind w:left="58" w:right="63"/>
              <w:rPr>
                <w:b/>
                <w:sz w:val="18"/>
              </w:rPr>
            </w:pPr>
            <w:r>
              <w:rPr>
                <w:b/>
                <w:sz w:val="18"/>
              </w:rPr>
              <w:t>Género</w:t>
            </w:r>
          </w:p>
        </w:tc>
        <w:tc>
          <w:tcPr>
            <w:tcW w:w="814" w:type="dxa"/>
            <w:tcBorders>
              <w:top w:val="single" w:sz="4" w:space="0" w:color="000000"/>
              <w:left w:val="single" w:sz="4" w:space="0" w:color="000000"/>
              <w:right w:val="single" w:sz="4" w:space="0" w:color="000000"/>
            </w:tcBorders>
            <w:shd w:val="clear" w:color="auto" w:fill="92D050"/>
          </w:tcPr>
          <w:p>
            <w:pPr>
              <w:pStyle w:val="TableParagraph"/>
              <w:spacing w:before="3"/>
              <w:rPr>
                <w:b/>
                <w:sz w:val="18"/>
              </w:rPr>
            </w:pPr>
            <w:r>
              <w:rPr>
                <w:b/>
                <w:w w:val="99"/>
                <w:sz w:val="18"/>
              </w:rPr>
              <w:t>%</w:t>
            </w:r>
          </w:p>
        </w:tc>
        <w:tc>
          <w:tcPr>
            <w:tcW w:w="821" w:type="dxa"/>
            <w:tcBorders>
              <w:top w:val="single" w:sz="4" w:space="0" w:color="000000"/>
              <w:left w:val="single" w:sz="4" w:space="0" w:color="000000"/>
              <w:right w:val="single" w:sz="4" w:space="0" w:color="000000"/>
            </w:tcBorders>
            <w:shd w:val="clear" w:color="auto" w:fill="92D050"/>
          </w:tcPr>
          <w:p>
            <w:pPr>
              <w:pStyle w:val="TableParagraph"/>
              <w:spacing w:before="3"/>
              <w:ind w:left="70" w:right="70"/>
              <w:rPr>
                <w:b/>
                <w:sz w:val="18"/>
              </w:rPr>
            </w:pPr>
            <w:r>
              <w:rPr>
                <w:b/>
                <w:sz w:val="18"/>
              </w:rPr>
              <w:t>Género</w:t>
            </w:r>
          </w:p>
        </w:tc>
        <w:tc>
          <w:tcPr>
            <w:tcW w:w="800" w:type="dxa"/>
            <w:tcBorders>
              <w:top w:val="single" w:sz="4" w:space="0" w:color="000000"/>
              <w:left w:val="single" w:sz="4" w:space="0" w:color="000000"/>
              <w:right w:val="single" w:sz="4" w:space="0" w:color="000000"/>
            </w:tcBorders>
            <w:shd w:val="clear" w:color="auto" w:fill="92D050"/>
          </w:tcPr>
          <w:p>
            <w:pPr>
              <w:pStyle w:val="TableParagraph"/>
              <w:spacing w:before="3"/>
              <w:rPr>
                <w:b/>
                <w:sz w:val="18"/>
              </w:rPr>
            </w:pPr>
            <w:r>
              <w:rPr>
                <w:b/>
                <w:w w:val="99"/>
                <w:sz w:val="18"/>
              </w:rPr>
              <w:t>%</w:t>
            </w:r>
          </w:p>
        </w:tc>
        <w:tc>
          <w:tcPr>
            <w:tcW w:w="845" w:type="dxa"/>
            <w:tcBorders>
              <w:top w:val="single" w:sz="4" w:space="0" w:color="000000"/>
              <w:left w:val="single" w:sz="4" w:space="0" w:color="000000"/>
              <w:right w:val="single" w:sz="4" w:space="0" w:color="000000"/>
            </w:tcBorders>
            <w:shd w:val="clear" w:color="auto" w:fill="92D050"/>
          </w:tcPr>
          <w:p>
            <w:pPr>
              <w:pStyle w:val="TableParagraph"/>
              <w:spacing w:before="3"/>
              <w:ind w:left="82" w:right="82"/>
              <w:rPr>
                <w:b/>
                <w:sz w:val="18"/>
              </w:rPr>
            </w:pPr>
            <w:r>
              <w:rPr>
                <w:b/>
                <w:sz w:val="18"/>
              </w:rPr>
              <w:t>Género</w:t>
            </w:r>
          </w:p>
        </w:tc>
        <w:tc>
          <w:tcPr>
            <w:tcW w:w="955" w:type="dxa"/>
            <w:tcBorders>
              <w:top w:val="single" w:sz="4" w:space="0" w:color="000000"/>
              <w:left w:val="single" w:sz="4" w:space="0" w:color="000000"/>
              <w:right w:val="single" w:sz="4" w:space="0" w:color="000000"/>
            </w:tcBorders>
            <w:shd w:val="clear" w:color="auto" w:fill="92D050"/>
          </w:tcPr>
          <w:p>
            <w:pPr>
              <w:pStyle w:val="TableParagraph"/>
              <w:spacing w:before="3"/>
              <w:ind w:right="1"/>
              <w:rPr>
                <w:b/>
                <w:sz w:val="18"/>
              </w:rPr>
            </w:pPr>
            <w:r>
              <w:rPr>
                <w:b/>
                <w:w w:val="99"/>
                <w:sz w:val="18"/>
              </w:rPr>
              <w:t>%</w:t>
            </w:r>
          </w:p>
        </w:tc>
        <w:tc>
          <w:tcPr>
            <w:tcW w:w="812" w:type="dxa"/>
            <w:tcBorders>
              <w:top w:val="single" w:sz="4" w:space="0" w:color="000000"/>
              <w:left w:val="single" w:sz="4" w:space="0" w:color="000000"/>
              <w:right w:val="single" w:sz="4" w:space="0" w:color="000000"/>
            </w:tcBorders>
            <w:shd w:val="clear" w:color="auto" w:fill="92D050"/>
          </w:tcPr>
          <w:p>
            <w:pPr>
              <w:pStyle w:val="TableParagraph"/>
              <w:spacing w:before="3"/>
              <w:ind w:left="65" w:right="66"/>
              <w:rPr>
                <w:b/>
                <w:sz w:val="18"/>
              </w:rPr>
            </w:pPr>
            <w:r>
              <w:rPr>
                <w:b/>
                <w:sz w:val="18"/>
              </w:rPr>
              <w:t>Género</w:t>
            </w:r>
          </w:p>
        </w:tc>
        <w:tc>
          <w:tcPr>
            <w:tcW w:w="790" w:type="dxa"/>
            <w:tcBorders>
              <w:top w:val="single" w:sz="4" w:space="0" w:color="000000"/>
              <w:left w:val="single" w:sz="4" w:space="0" w:color="000000"/>
            </w:tcBorders>
            <w:shd w:val="clear" w:color="auto" w:fill="92D050"/>
          </w:tcPr>
          <w:p>
            <w:pPr>
              <w:pStyle w:val="TableParagraph"/>
              <w:spacing w:before="3"/>
              <w:ind w:left="4"/>
              <w:rPr>
                <w:b/>
                <w:sz w:val="18"/>
              </w:rPr>
            </w:pPr>
            <w:r>
              <w:rPr>
                <w:b/>
                <w:w w:val="99"/>
                <w:sz w:val="18"/>
              </w:rPr>
              <w:t>%</w:t>
            </w:r>
          </w:p>
        </w:tc>
      </w:tr>
      <w:tr>
        <w:trPr>
          <w:trHeight w:val="326" w:hRule="exact"/>
        </w:trPr>
        <w:tc>
          <w:tcPr>
            <w:tcW w:w="2461" w:type="dxa"/>
            <w:tcBorders>
              <w:left w:val="single" w:sz="4" w:space="0" w:color="000000"/>
              <w:bottom w:val="single" w:sz="4" w:space="0" w:color="000000"/>
              <w:right w:val="single" w:sz="4" w:space="0" w:color="000000"/>
            </w:tcBorders>
          </w:tcPr>
          <w:p>
            <w:pPr>
              <w:pStyle w:val="TableParagraph"/>
              <w:spacing w:line="206" w:lineRule="exact"/>
              <w:ind w:left="64"/>
              <w:jc w:val="left"/>
              <w:rPr>
                <w:sz w:val="18"/>
              </w:rPr>
            </w:pPr>
            <w:r>
              <w:rPr>
                <w:color w:val="181818"/>
                <w:sz w:val="18"/>
              </w:rPr>
              <w:t>Tonatico</w:t>
            </w:r>
          </w:p>
        </w:tc>
        <w:tc>
          <w:tcPr>
            <w:tcW w:w="806" w:type="dxa"/>
            <w:tcBorders>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814" w:type="dxa"/>
            <w:tcBorders>
              <w:left w:val="single" w:sz="4" w:space="0" w:color="000000"/>
              <w:bottom w:val="single" w:sz="4" w:space="0" w:color="000000"/>
            </w:tcBorders>
          </w:tcPr>
          <w:p>
            <w:pPr>
              <w:pStyle w:val="TableParagraph"/>
              <w:spacing w:line="206" w:lineRule="exact"/>
              <w:ind w:left="64" w:right="59"/>
              <w:rPr>
                <w:sz w:val="18"/>
              </w:rPr>
            </w:pPr>
            <w:r>
              <w:rPr>
                <w:color w:val="333333"/>
                <w:sz w:val="18"/>
              </w:rPr>
              <w:t>3.80%</w:t>
            </w:r>
          </w:p>
        </w:tc>
        <w:tc>
          <w:tcPr>
            <w:tcW w:w="821" w:type="dxa"/>
            <w:tcBorders>
              <w:bottom w:val="single" w:sz="4" w:space="0" w:color="000000"/>
              <w:right w:val="single" w:sz="4" w:space="0" w:color="000000"/>
            </w:tcBorders>
          </w:tcPr>
          <w:p>
            <w:pPr>
              <w:pStyle w:val="TableParagraph"/>
              <w:spacing w:line="206" w:lineRule="exact"/>
              <w:ind w:right="8"/>
              <w:rPr>
                <w:sz w:val="18"/>
              </w:rPr>
            </w:pPr>
            <w:r>
              <w:rPr>
                <w:color w:val="181818"/>
                <w:w w:val="99"/>
                <w:sz w:val="18"/>
              </w:rPr>
              <w:t>1</w:t>
            </w:r>
          </w:p>
        </w:tc>
        <w:tc>
          <w:tcPr>
            <w:tcW w:w="800" w:type="dxa"/>
            <w:tcBorders>
              <w:left w:val="single" w:sz="4" w:space="0" w:color="000000"/>
              <w:bottom w:val="single" w:sz="4" w:space="0" w:color="000000"/>
            </w:tcBorders>
          </w:tcPr>
          <w:p>
            <w:pPr/>
          </w:p>
        </w:tc>
        <w:tc>
          <w:tcPr>
            <w:tcW w:w="845" w:type="dxa"/>
            <w:tcBorders>
              <w:bottom w:val="single" w:sz="4" w:space="0" w:color="000000"/>
              <w:right w:val="single" w:sz="4" w:space="0" w:color="000000"/>
            </w:tcBorders>
          </w:tcPr>
          <w:p>
            <w:pPr>
              <w:pStyle w:val="TableParagraph"/>
              <w:spacing w:line="206" w:lineRule="exact"/>
              <w:ind w:right="8"/>
              <w:rPr>
                <w:sz w:val="18"/>
              </w:rPr>
            </w:pPr>
            <w:r>
              <w:rPr>
                <w:color w:val="181818"/>
                <w:w w:val="99"/>
                <w:sz w:val="18"/>
              </w:rPr>
              <w:t>1</w:t>
            </w:r>
          </w:p>
        </w:tc>
        <w:tc>
          <w:tcPr>
            <w:tcW w:w="955" w:type="dxa"/>
            <w:tcBorders>
              <w:left w:val="single" w:sz="4" w:space="0" w:color="000000"/>
              <w:bottom w:val="single" w:sz="4" w:space="0" w:color="000000"/>
            </w:tcBorders>
          </w:tcPr>
          <w:p>
            <w:pPr/>
          </w:p>
        </w:tc>
        <w:tc>
          <w:tcPr>
            <w:tcW w:w="812" w:type="dxa"/>
            <w:tcBorders>
              <w:bottom w:val="single" w:sz="4" w:space="0" w:color="000000"/>
              <w:right w:val="single" w:sz="4" w:space="0" w:color="000000"/>
            </w:tcBorders>
          </w:tcPr>
          <w:p>
            <w:pPr>
              <w:pStyle w:val="TableParagraph"/>
              <w:spacing w:line="206" w:lineRule="exact"/>
              <w:ind w:right="7"/>
              <w:rPr>
                <w:sz w:val="18"/>
              </w:rPr>
            </w:pPr>
            <w:r>
              <w:rPr>
                <w:w w:val="99"/>
                <w:sz w:val="18"/>
              </w:rPr>
              <w:t>2</w:t>
            </w:r>
          </w:p>
        </w:tc>
        <w:tc>
          <w:tcPr>
            <w:tcW w:w="790" w:type="dxa"/>
            <w:tcBorders>
              <w:left w:val="single" w:sz="4" w:space="0" w:color="000000"/>
              <w:bottom w:val="single" w:sz="4" w:space="0" w:color="000000"/>
            </w:tcBorders>
          </w:tcPr>
          <w:p>
            <w:pPr>
              <w:pStyle w:val="TableParagraph"/>
              <w:spacing w:line="206" w:lineRule="exact"/>
              <w:ind w:left="63" w:right="60"/>
              <w:rPr>
                <w:sz w:val="18"/>
              </w:rPr>
            </w:pPr>
            <w:r>
              <w:rPr>
                <w:sz w:val="18"/>
              </w:rPr>
              <w:t>33.78%</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Tultepec</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955" w:type="dxa"/>
            <w:tcBorders>
              <w:top w:val="single" w:sz="4" w:space="0" w:color="000000"/>
              <w:left w:val="single" w:sz="4" w:space="0" w:color="000000"/>
              <w:bottom w:val="single" w:sz="4" w:space="0" w:color="000000"/>
            </w:tcBorders>
          </w:tcPr>
          <w:p>
            <w:pPr>
              <w:pStyle w:val="TableParagraph"/>
              <w:spacing w:line="203" w:lineRule="exact"/>
              <w:ind w:left="95" w:right="92"/>
              <w:rPr>
                <w:sz w:val="18"/>
              </w:rPr>
            </w:pPr>
            <w:r>
              <w:rPr>
                <w:sz w:val="18"/>
              </w:rPr>
              <w:t>5.58%</w:t>
            </w: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Tultitlán</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61"/>
              <w:rPr>
                <w:sz w:val="18"/>
              </w:rPr>
            </w:pPr>
            <w:r>
              <w:rPr>
                <w:color w:val="333333"/>
                <w:sz w:val="18"/>
              </w:rPr>
              <w:t>69.23%</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2</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2</w:t>
            </w:r>
          </w:p>
        </w:tc>
        <w:tc>
          <w:tcPr>
            <w:tcW w:w="955" w:type="dxa"/>
            <w:tcBorders>
              <w:top w:val="single" w:sz="4" w:space="0" w:color="000000"/>
              <w:left w:val="single" w:sz="4" w:space="0" w:color="000000"/>
              <w:bottom w:val="single" w:sz="4" w:space="0" w:color="000000"/>
            </w:tcBorders>
          </w:tcPr>
          <w:p>
            <w:pPr>
              <w:pStyle w:val="TableParagraph"/>
              <w:spacing w:line="203" w:lineRule="exact"/>
              <w:ind w:left="97" w:right="92"/>
              <w:rPr>
                <w:sz w:val="18"/>
              </w:rPr>
            </w:pPr>
            <w:r>
              <w:rPr>
                <w:sz w:val="18"/>
              </w:rPr>
              <w:t>13.95%</w:t>
            </w: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60"/>
              <w:rPr>
                <w:sz w:val="18"/>
              </w:rPr>
            </w:pPr>
            <w:r>
              <w:rPr>
                <w:sz w:val="18"/>
              </w:rPr>
              <w:t>45.34%</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Valle de Bravo</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61"/>
              <w:rPr>
                <w:sz w:val="18"/>
              </w:rPr>
            </w:pPr>
            <w:r>
              <w:rPr>
                <w:color w:val="333333"/>
                <w:sz w:val="18"/>
              </w:rPr>
              <w:t>11.53%</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60"/>
              <w:rPr>
                <w:sz w:val="18"/>
              </w:rPr>
            </w:pPr>
            <w:r>
              <w:rPr>
                <w:sz w:val="18"/>
              </w:rPr>
              <w:t>23.05%</w:t>
            </w: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Villa de Allende</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Style w:val="TableParagraph"/>
              <w:spacing w:line="203" w:lineRule="exact"/>
              <w:ind w:left="68" w:right="65"/>
              <w:rPr>
                <w:sz w:val="18"/>
              </w:rPr>
            </w:pPr>
            <w:r>
              <w:rPr>
                <w:sz w:val="18"/>
              </w:rPr>
              <w:t>16.40%</w:t>
            </w: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60"/>
              <w:rPr>
                <w:sz w:val="18"/>
              </w:rPr>
            </w:pPr>
            <w:r>
              <w:rPr>
                <w:sz w:val="18"/>
              </w:rPr>
              <w:t>16.60%</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Villa del Carbón</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2</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2</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Villa Guerrero</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61"/>
              <w:rPr>
                <w:sz w:val="18"/>
              </w:rPr>
            </w:pPr>
            <w:r>
              <w:rPr>
                <w:color w:val="333333"/>
                <w:sz w:val="18"/>
              </w:rPr>
              <w:t>11.50%</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Villa Victoria</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61"/>
              <w:rPr>
                <w:sz w:val="18"/>
              </w:rPr>
            </w:pPr>
            <w:r>
              <w:rPr>
                <w:color w:val="333333"/>
                <w:sz w:val="18"/>
              </w:rPr>
              <w:t>26.90%</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2</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2</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
        </w:tc>
      </w:tr>
      <w:tr>
        <w:trPr>
          <w:trHeight w:val="320"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Xonacatlán</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60"/>
              <w:rPr>
                <w:sz w:val="18"/>
              </w:rPr>
            </w:pPr>
            <w:r>
              <w:rPr>
                <w:sz w:val="18"/>
              </w:rPr>
              <w:t>81.85%</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4"/>
              <w:jc w:val="left"/>
              <w:rPr>
                <w:sz w:val="18"/>
              </w:rPr>
            </w:pPr>
            <w:r>
              <w:rPr>
                <w:color w:val="181818"/>
                <w:sz w:val="18"/>
              </w:rPr>
              <w:t>Zacazonapan</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6"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6" w:lineRule="exact"/>
              <w:ind w:left="63" w:right="58"/>
              <w:rPr>
                <w:sz w:val="18"/>
              </w:rPr>
            </w:pPr>
            <w:r>
              <w:rPr>
                <w:sz w:val="18"/>
              </w:rPr>
              <w:t>0.00%</w:t>
            </w: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Zacualpan</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60"/>
              <w:rPr>
                <w:sz w:val="18"/>
              </w:rPr>
            </w:pPr>
            <w:r>
              <w:rPr>
                <w:sz w:val="18"/>
              </w:rPr>
              <w:t>40.52%</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4"/>
              <w:jc w:val="left"/>
              <w:rPr>
                <w:sz w:val="18"/>
              </w:rPr>
            </w:pPr>
            <w:r>
              <w:rPr>
                <w:color w:val="181818"/>
                <w:sz w:val="18"/>
              </w:rPr>
              <w:t>Zinacantepec</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6" w:lineRule="exact"/>
              <w:ind w:left="64" w:right="61"/>
              <w:rPr>
                <w:sz w:val="18"/>
              </w:rPr>
            </w:pPr>
            <w:r>
              <w:rPr>
                <w:color w:val="333333"/>
                <w:sz w:val="18"/>
              </w:rPr>
              <w:t>42.30%</w:t>
            </w:r>
          </w:p>
        </w:tc>
        <w:tc>
          <w:tcPr>
            <w:tcW w:w="821"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color w:val="181818"/>
                <w:w w:val="99"/>
                <w:sz w:val="18"/>
              </w:rPr>
              <w:t>2</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w w:val="99"/>
                <w:sz w:val="18"/>
              </w:rPr>
              <w:t>2</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6"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6" w:lineRule="exact"/>
              <w:ind w:left="63" w:right="60"/>
              <w:rPr>
                <w:sz w:val="18"/>
              </w:rPr>
            </w:pPr>
            <w:r>
              <w:rPr>
                <w:sz w:val="18"/>
              </w:rPr>
              <w:t>93.08%</w:t>
            </w: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Zumpahuacán</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4"/>
              <w:jc w:val="left"/>
              <w:rPr>
                <w:sz w:val="18"/>
              </w:rPr>
            </w:pPr>
            <w:r>
              <w:rPr>
                <w:color w:val="181818"/>
                <w:sz w:val="18"/>
              </w:rPr>
              <w:t>Zumpango</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6" w:lineRule="exact"/>
              <w:ind w:left="64" w:right="61"/>
              <w:rPr>
                <w:sz w:val="18"/>
              </w:rPr>
            </w:pPr>
            <w:r>
              <w:rPr>
                <w:color w:val="333333"/>
                <w:sz w:val="18"/>
              </w:rPr>
              <w:t>36.84%</w:t>
            </w:r>
          </w:p>
        </w:tc>
        <w:tc>
          <w:tcPr>
            <w:tcW w:w="821"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6"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6"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6" w:lineRule="exact"/>
              <w:ind w:left="63" w:right="60"/>
              <w:rPr>
                <w:sz w:val="18"/>
              </w:rPr>
            </w:pPr>
            <w:r>
              <w:rPr>
                <w:sz w:val="18"/>
              </w:rPr>
              <w:t>43.66%</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Cuautitlán Izcalli</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2</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61"/>
              <w:rPr>
                <w:sz w:val="18"/>
              </w:rPr>
            </w:pPr>
            <w:r>
              <w:rPr>
                <w:color w:val="333333"/>
                <w:sz w:val="18"/>
              </w:rPr>
              <w:t>65.30%</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Style w:val="TableParagraph"/>
              <w:spacing w:line="203" w:lineRule="exact"/>
              <w:ind w:left="97" w:right="92"/>
              <w:rPr>
                <w:sz w:val="18"/>
              </w:rPr>
            </w:pPr>
            <w:r>
              <w:rPr>
                <w:sz w:val="18"/>
              </w:rPr>
              <w:t>100.00%</w:t>
            </w: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60"/>
              <w:rPr>
                <w:sz w:val="18"/>
              </w:rPr>
            </w:pPr>
            <w:r>
              <w:rPr>
                <w:sz w:val="18"/>
              </w:rPr>
              <w:t>97.61%</w:t>
            </w: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Valle de Chalco Solidaridad</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59"/>
              <w:rPr>
                <w:sz w:val="18"/>
              </w:rPr>
            </w:pPr>
            <w:r>
              <w:rPr>
                <w:color w:val="333333"/>
                <w:sz w:val="18"/>
              </w:rPr>
              <w:t>7.60%</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60"/>
              <w:rPr>
                <w:sz w:val="18"/>
              </w:rPr>
            </w:pPr>
            <w:r>
              <w:rPr>
                <w:sz w:val="18"/>
              </w:rPr>
              <w:t>35.42%</w:t>
            </w: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Luvianos</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Style w:val="TableParagraph"/>
              <w:spacing w:line="203" w:lineRule="exact"/>
              <w:ind w:left="63" w:right="58"/>
              <w:rPr>
                <w:sz w:val="18"/>
              </w:rPr>
            </w:pPr>
            <w:r>
              <w:rPr>
                <w:sz w:val="18"/>
              </w:rPr>
              <w:t>3.00%</w:t>
            </w:r>
          </w:p>
        </w:tc>
      </w:tr>
      <w:tr>
        <w:trPr>
          <w:trHeight w:val="319"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San José del Rincón</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61"/>
              <w:rPr>
                <w:sz w:val="18"/>
              </w:rPr>
            </w:pPr>
            <w:r>
              <w:rPr>
                <w:color w:val="333333"/>
                <w:sz w:val="18"/>
              </w:rPr>
              <w:t>61.53%</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
        </w:tc>
      </w:tr>
      <w:tr>
        <w:trPr>
          <w:trHeight w:val="322" w:hRule="exact"/>
        </w:trPr>
        <w:tc>
          <w:tcPr>
            <w:tcW w:w="2461"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64"/>
              <w:jc w:val="left"/>
              <w:rPr>
                <w:sz w:val="18"/>
              </w:rPr>
            </w:pPr>
            <w:r>
              <w:rPr>
                <w:color w:val="181818"/>
                <w:sz w:val="18"/>
              </w:rPr>
              <w:t>Tonanitla</w:t>
            </w:r>
          </w:p>
        </w:tc>
        <w:tc>
          <w:tcPr>
            <w:tcW w:w="806"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814" w:type="dxa"/>
            <w:tcBorders>
              <w:top w:val="single" w:sz="4" w:space="0" w:color="000000"/>
              <w:left w:val="single" w:sz="4" w:space="0" w:color="000000"/>
              <w:bottom w:val="single" w:sz="4" w:space="0" w:color="000000"/>
            </w:tcBorders>
          </w:tcPr>
          <w:p>
            <w:pPr>
              <w:pStyle w:val="TableParagraph"/>
              <w:spacing w:line="203" w:lineRule="exact"/>
              <w:ind w:left="64" w:right="61"/>
              <w:rPr>
                <w:sz w:val="18"/>
              </w:rPr>
            </w:pPr>
            <w:r>
              <w:rPr>
                <w:color w:val="333333"/>
                <w:sz w:val="18"/>
              </w:rPr>
              <w:t>19.20%</w:t>
            </w:r>
          </w:p>
        </w:tc>
        <w:tc>
          <w:tcPr>
            <w:tcW w:w="821"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color w:val="181818"/>
                <w:w w:val="99"/>
                <w:sz w:val="18"/>
              </w:rPr>
              <w:t>1</w:t>
            </w:r>
          </w:p>
        </w:tc>
        <w:tc>
          <w:tcPr>
            <w:tcW w:w="800" w:type="dxa"/>
            <w:tcBorders>
              <w:top w:val="single" w:sz="4" w:space="0" w:color="000000"/>
              <w:left w:val="single" w:sz="4" w:space="0" w:color="000000"/>
              <w:bottom w:val="single" w:sz="4" w:space="0" w:color="000000"/>
            </w:tcBorders>
          </w:tcPr>
          <w:p>
            <w:pPr/>
          </w:p>
        </w:tc>
        <w:tc>
          <w:tcPr>
            <w:tcW w:w="845" w:type="dxa"/>
            <w:tcBorders>
              <w:top w:val="single" w:sz="4" w:space="0" w:color="000000"/>
              <w:bottom w:val="single" w:sz="4" w:space="0" w:color="000000"/>
              <w:right w:val="single" w:sz="4" w:space="0" w:color="000000"/>
            </w:tcBorders>
          </w:tcPr>
          <w:p>
            <w:pPr>
              <w:pStyle w:val="TableParagraph"/>
              <w:spacing w:line="203" w:lineRule="exact"/>
              <w:ind w:right="8"/>
              <w:rPr>
                <w:sz w:val="18"/>
              </w:rPr>
            </w:pPr>
            <w:r>
              <w:rPr>
                <w:w w:val="99"/>
                <w:sz w:val="18"/>
              </w:rPr>
              <w:t>1</w:t>
            </w:r>
          </w:p>
        </w:tc>
        <w:tc>
          <w:tcPr>
            <w:tcW w:w="955" w:type="dxa"/>
            <w:tcBorders>
              <w:top w:val="single" w:sz="4" w:space="0" w:color="000000"/>
              <w:left w:val="single" w:sz="4" w:space="0" w:color="000000"/>
              <w:bottom w:val="single" w:sz="4" w:space="0" w:color="000000"/>
            </w:tcBorders>
          </w:tcPr>
          <w:p>
            <w:pPr/>
          </w:p>
        </w:tc>
        <w:tc>
          <w:tcPr>
            <w:tcW w:w="812" w:type="dxa"/>
            <w:tcBorders>
              <w:top w:val="single" w:sz="4" w:space="0" w:color="000000"/>
              <w:bottom w:val="single" w:sz="4" w:space="0" w:color="000000"/>
              <w:right w:val="single" w:sz="4" w:space="0" w:color="000000"/>
            </w:tcBorders>
          </w:tcPr>
          <w:p>
            <w:pPr>
              <w:pStyle w:val="TableParagraph"/>
              <w:spacing w:line="203" w:lineRule="exact"/>
              <w:ind w:right="7"/>
              <w:rPr>
                <w:sz w:val="18"/>
              </w:rPr>
            </w:pPr>
            <w:r>
              <w:rPr>
                <w:w w:val="99"/>
                <w:sz w:val="18"/>
              </w:rPr>
              <w:t>1</w:t>
            </w:r>
          </w:p>
        </w:tc>
        <w:tc>
          <w:tcPr>
            <w:tcW w:w="790" w:type="dxa"/>
            <w:tcBorders>
              <w:top w:val="single" w:sz="4" w:space="0" w:color="000000"/>
              <w:left w:val="single" w:sz="4" w:space="0" w:color="000000"/>
              <w:bottom w:val="single" w:sz="4" w:space="0" w:color="000000"/>
            </w:tcBorders>
          </w:tcPr>
          <w:p>
            <w:pPr/>
          </w:p>
        </w:tc>
      </w:tr>
    </w:tbl>
    <w:p>
      <w:pPr>
        <w:spacing w:line="204" w:lineRule="exact" w:before="0"/>
        <w:ind w:left="187" w:right="0" w:firstLine="0"/>
        <w:jc w:val="left"/>
        <w:rPr>
          <w:sz w:val="18"/>
        </w:rPr>
      </w:pPr>
      <w:r>
        <w:rPr>
          <w:sz w:val="18"/>
        </w:rPr>
        <w:t>Fuente: Elaboración propia, con datos del INAFED y del INFOEM.</w:t>
      </w:r>
    </w:p>
    <w:p>
      <w:pPr>
        <w:spacing w:after="0" w:line="204" w:lineRule="exact"/>
        <w:jc w:val="left"/>
        <w:rPr>
          <w:sz w:val="18"/>
        </w:rPr>
        <w:sectPr>
          <w:pgSz w:w="12240" w:h="15840"/>
          <w:pgMar w:header="0" w:footer="975" w:top="1420" w:bottom="1160" w:left="1500" w:right="1400"/>
        </w:sectPr>
      </w:pPr>
    </w:p>
    <w:p>
      <w:pPr>
        <w:spacing w:line="360" w:lineRule="auto" w:before="51"/>
        <w:ind w:left="2781" w:right="0" w:hanging="2507"/>
        <w:jc w:val="left"/>
        <w:rPr>
          <w:b/>
          <w:sz w:val="20"/>
        </w:rPr>
      </w:pPr>
      <w:r>
        <w:rPr>
          <w:b/>
          <w:sz w:val="20"/>
        </w:rPr>
        <w:t>Anexo 16. Ejemplo de solicitud de contestación de encuesta electrónica enviada a los municipios del Estado de México</w:t>
      </w:r>
    </w:p>
    <w:p>
      <w:pPr>
        <w:pStyle w:val="BodyText"/>
        <w:rPr>
          <w:b/>
          <w:sz w:val="20"/>
        </w:rPr>
      </w:pPr>
    </w:p>
    <w:p>
      <w:pPr>
        <w:pStyle w:val="BodyText"/>
        <w:rPr>
          <w:b/>
          <w:sz w:val="21"/>
        </w:rPr>
      </w:pPr>
      <w:r>
        <w:rPr/>
        <w:drawing>
          <wp:anchor distT="0" distB="0" distL="0" distR="0" allowOverlap="1" layoutInCell="1" locked="0" behindDoc="0" simplePos="0" relativeHeight="8800">
            <wp:simplePos x="0" y="0"/>
            <wp:positionH relativeFrom="page">
              <wp:posOffset>2009775</wp:posOffset>
            </wp:positionH>
            <wp:positionV relativeFrom="paragraph">
              <wp:posOffset>178669</wp:posOffset>
            </wp:positionV>
            <wp:extent cx="4661929" cy="5038725"/>
            <wp:effectExtent l="0" t="0" r="0" b="0"/>
            <wp:wrapTopAndBottom/>
            <wp:docPr id="39" name="image83.jpeg" descr=""/>
            <wp:cNvGraphicFramePr>
              <a:graphicFrameLocks noChangeAspect="1"/>
            </wp:cNvGraphicFramePr>
            <a:graphic>
              <a:graphicData uri="http://schemas.openxmlformats.org/drawingml/2006/picture">
                <pic:pic>
                  <pic:nvPicPr>
                    <pic:cNvPr id="40" name="image83.jpeg"/>
                    <pic:cNvPicPr/>
                  </pic:nvPicPr>
                  <pic:blipFill>
                    <a:blip r:embed="rId344" cstate="print"/>
                    <a:stretch>
                      <a:fillRect/>
                    </a:stretch>
                  </pic:blipFill>
                  <pic:spPr>
                    <a:xfrm>
                      <a:off x="0" y="0"/>
                      <a:ext cx="4661929" cy="5038725"/>
                    </a:xfrm>
                    <a:prstGeom prst="rect">
                      <a:avLst/>
                    </a:prstGeom>
                  </pic:spPr>
                </pic:pic>
              </a:graphicData>
            </a:graphic>
          </wp:anchor>
        </w:drawing>
      </w:r>
    </w:p>
    <w:p>
      <w:pPr>
        <w:spacing w:after="0"/>
        <w:rPr>
          <w:sz w:val="21"/>
        </w:rPr>
        <w:sectPr>
          <w:pgSz w:w="12240" w:h="15840"/>
          <w:pgMar w:header="0" w:footer="975" w:top="1360" w:bottom="1220" w:left="1720" w:right="1620"/>
        </w:sectPr>
      </w:pPr>
    </w:p>
    <w:p>
      <w:pPr>
        <w:pStyle w:val="BodyText"/>
        <w:ind w:left="139"/>
        <w:rPr>
          <w:sz w:val="20"/>
        </w:rPr>
      </w:pPr>
      <w:r>
        <w:rPr>
          <w:sz w:val="20"/>
        </w:rPr>
        <w:drawing>
          <wp:inline distT="0" distB="0" distL="0" distR="0">
            <wp:extent cx="5419008" cy="3876675"/>
            <wp:effectExtent l="0" t="0" r="0" b="0"/>
            <wp:docPr id="41" name="image84.jpeg" descr=""/>
            <wp:cNvGraphicFramePr>
              <a:graphicFrameLocks noChangeAspect="1"/>
            </wp:cNvGraphicFramePr>
            <a:graphic>
              <a:graphicData uri="http://schemas.openxmlformats.org/drawingml/2006/picture">
                <pic:pic>
                  <pic:nvPicPr>
                    <pic:cNvPr id="42" name="image84.jpeg"/>
                    <pic:cNvPicPr/>
                  </pic:nvPicPr>
                  <pic:blipFill>
                    <a:blip r:embed="rId345" cstate="print"/>
                    <a:stretch>
                      <a:fillRect/>
                    </a:stretch>
                  </pic:blipFill>
                  <pic:spPr>
                    <a:xfrm>
                      <a:off x="0" y="0"/>
                      <a:ext cx="5419008" cy="3876675"/>
                    </a:xfrm>
                    <a:prstGeom prst="rect">
                      <a:avLst/>
                    </a:prstGeom>
                  </pic:spPr>
                </pic:pic>
              </a:graphicData>
            </a:graphic>
          </wp:inline>
        </w:drawing>
      </w:r>
      <w:r>
        <w:rPr>
          <w:sz w:val="20"/>
        </w:rPr>
      </w:r>
    </w:p>
    <w:p>
      <w:pPr>
        <w:spacing w:after="0"/>
        <w:rPr>
          <w:sz w:val="20"/>
        </w:rPr>
        <w:sectPr>
          <w:pgSz w:w="12240" w:h="15840"/>
          <w:pgMar w:header="0" w:footer="975" w:top="1420" w:bottom="1160" w:left="1720" w:right="1720"/>
        </w:sectPr>
      </w:pPr>
    </w:p>
    <w:p>
      <w:pPr>
        <w:spacing w:line="360" w:lineRule="auto" w:before="51"/>
        <w:ind w:left="1032" w:right="6" w:hanging="507"/>
        <w:jc w:val="left"/>
        <w:rPr>
          <w:b/>
          <w:sz w:val="20"/>
        </w:rPr>
      </w:pPr>
      <w:r>
        <w:rPr>
          <w:b/>
          <w:sz w:val="20"/>
        </w:rPr>
        <w:t>Anexo 17. Solicitud de apoyo realizada al Dr. en D. Eruviel Ávila Villegas para realizar investigación sobre transparencia en los municipios del Estado de México</w:t>
      </w:r>
    </w:p>
    <w:p>
      <w:pPr>
        <w:pStyle w:val="BodyText"/>
        <w:rPr>
          <w:b/>
          <w:sz w:val="20"/>
        </w:rPr>
      </w:pPr>
    </w:p>
    <w:p>
      <w:pPr>
        <w:pStyle w:val="BodyText"/>
        <w:rPr>
          <w:b/>
          <w:sz w:val="20"/>
        </w:rPr>
      </w:pPr>
    </w:p>
    <w:p>
      <w:pPr>
        <w:pStyle w:val="BodyText"/>
        <w:spacing w:before="2"/>
        <w:rPr>
          <w:b/>
          <w:sz w:val="21"/>
        </w:rPr>
      </w:pPr>
      <w:r>
        <w:rPr/>
        <w:drawing>
          <wp:anchor distT="0" distB="0" distL="0" distR="0" allowOverlap="1" layoutInCell="1" locked="0" behindDoc="0" simplePos="0" relativeHeight="8824">
            <wp:simplePos x="0" y="0"/>
            <wp:positionH relativeFrom="page">
              <wp:posOffset>1021080</wp:posOffset>
            </wp:positionH>
            <wp:positionV relativeFrom="paragraph">
              <wp:posOffset>179792</wp:posOffset>
            </wp:positionV>
            <wp:extent cx="5659579" cy="3486150"/>
            <wp:effectExtent l="0" t="0" r="0" b="0"/>
            <wp:wrapTopAndBottom/>
            <wp:docPr id="43" name="image85.jpeg" descr=""/>
            <wp:cNvGraphicFramePr>
              <a:graphicFrameLocks noChangeAspect="1"/>
            </wp:cNvGraphicFramePr>
            <a:graphic>
              <a:graphicData uri="http://schemas.openxmlformats.org/drawingml/2006/picture">
                <pic:pic>
                  <pic:nvPicPr>
                    <pic:cNvPr id="44" name="image85.jpeg"/>
                    <pic:cNvPicPr/>
                  </pic:nvPicPr>
                  <pic:blipFill>
                    <a:blip r:embed="rId346" cstate="print"/>
                    <a:stretch>
                      <a:fillRect/>
                    </a:stretch>
                  </pic:blipFill>
                  <pic:spPr>
                    <a:xfrm>
                      <a:off x="0" y="0"/>
                      <a:ext cx="5659579" cy="3486150"/>
                    </a:xfrm>
                    <a:prstGeom prst="rect">
                      <a:avLst/>
                    </a:prstGeom>
                  </pic:spPr>
                </pic:pic>
              </a:graphicData>
            </a:graphic>
          </wp:anchor>
        </w:drawing>
      </w:r>
    </w:p>
    <w:p>
      <w:pPr>
        <w:spacing w:after="0"/>
        <w:rPr>
          <w:sz w:val="21"/>
        </w:rPr>
        <w:sectPr>
          <w:pgSz w:w="12240" w:h="15840"/>
          <w:pgMar w:header="0" w:footer="975" w:top="1360" w:bottom="1160" w:left="1500" w:right="1600"/>
        </w:sectPr>
      </w:pPr>
    </w:p>
    <w:p>
      <w:pPr>
        <w:pStyle w:val="BodyText"/>
        <w:rPr>
          <w:rFonts w:ascii="Times New Roman"/>
          <w:sz w:val="20"/>
        </w:rPr>
      </w:pPr>
      <w:r>
        <w:rPr/>
        <w:pict>
          <v:shape style="position:absolute;margin-left:633.007141pt;margin-top:99.620003pt;width:32.15pt;height:70.1pt;mso-position-horizontal-relative:page;mso-position-vertical-relative:page;z-index:-2764576" type="#_x0000_t202" filled="false" stroked="false">
            <v:textbox inset="0,0,0,0">
              <w:txbxContent>
                <w:p>
                  <w:pPr>
                    <w:pStyle w:val="BodyText"/>
                    <w:spacing w:before="1"/>
                    <w:rPr>
                      <w:rFonts w:ascii="Times New Roman"/>
                      <w:sz w:val="10"/>
                    </w:rPr>
                  </w:pPr>
                </w:p>
                <w:p>
                  <w:pPr>
                    <w:spacing w:line="120" w:lineRule="auto" w:before="0"/>
                    <w:ind w:left="0" w:right="460" w:firstLine="0"/>
                    <w:jc w:val="both"/>
                    <w:rPr>
                      <w:b/>
                      <w:sz w:val="18"/>
                    </w:rPr>
                  </w:pPr>
                  <w:r>
                    <w:rPr>
                      <w:b/>
                      <w:sz w:val="18"/>
                    </w:rPr>
                    <w:t>s e n</w:t>
                  </w:r>
                </w:p>
                <w:p>
                  <w:pPr>
                    <w:spacing w:line="126" w:lineRule="exact" w:before="0"/>
                    <w:ind w:left="0" w:right="0" w:firstLine="0"/>
                    <w:jc w:val="both"/>
                    <w:rPr>
                      <w:b/>
                      <w:sz w:val="18"/>
                    </w:rPr>
                  </w:pPr>
                  <w:r>
                    <w:rPr>
                      <w:b/>
                      <w:sz w:val="18"/>
                    </w:rPr>
                    <w:t>io</w:t>
                  </w:r>
                </w:p>
                <w:p>
                  <w:pPr>
                    <w:spacing w:line="55" w:lineRule="auto" w:before="77"/>
                    <w:ind w:left="0" w:right="460" w:firstLine="0"/>
                    <w:jc w:val="both"/>
                    <w:rPr>
                      <w:b/>
                      <w:sz w:val="18"/>
                    </w:rPr>
                  </w:pPr>
                  <w:r>
                    <w:rPr>
                      <w:b/>
                      <w:sz w:val="18"/>
                    </w:rPr>
                    <w:t>c i</w:t>
                  </w:r>
                </w:p>
                <w:p>
                  <w:pPr>
                    <w:spacing w:line="130" w:lineRule="exact" w:before="0"/>
                    <w:ind w:left="0" w:right="0" w:firstLine="0"/>
                    <w:jc w:val="both"/>
                    <w:rPr>
                      <w:b/>
                      <w:sz w:val="18"/>
                    </w:rPr>
                  </w:pPr>
                  <w:r>
                    <w:rPr>
                      <w:b/>
                      <w:w w:val="99"/>
                      <w:sz w:val="18"/>
                    </w:rPr>
                    <w:t>s</w:t>
                  </w:r>
                </w:p>
                <w:p>
                  <w:pPr>
                    <w:pStyle w:val="BodyText"/>
                    <w:spacing w:before="7"/>
                    <w:rPr>
                      <w:rFonts w:ascii="Times New Roman"/>
                      <w:sz w:val="8"/>
                    </w:rPr>
                  </w:pPr>
                </w:p>
                <w:p>
                  <w:pPr>
                    <w:spacing w:line="117" w:lineRule="auto" w:before="1"/>
                    <w:ind w:left="0" w:right="460" w:firstLine="0"/>
                    <w:jc w:val="both"/>
                    <w:rPr>
                      <w:b/>
                      <w:sz w:val="18"/>
                    </w:rPr>
                  </w:pPr>
                  <w:r>
                    <w:rPr>
                      <w:b/>
                      <w:w w:val="100"/>
                      <w:sz w:val="18"/>
                    </w:rPr>
                    <w:t>po </w:t>
                  </w:r>
                  <w:r>
                    <w:rPr>
                      <w:b/>
                      <w:w w:val="99"/>
                      <w:sz w:val="18"/>
                    </w:rPr>
                    <w:t>s</w:t>
                  </w:r>
                </w:p>
                <w:p>
                  <w:pPr>
                    <w:spacing w:line="180" w:lineRule="exact" w:before="0"/>
                    <w:ind w:left="0" w:right="0" w:firstLine="0"/>
                    <w:jc w:val="both"/>
                    <w:rPr>
                      <w:b/>
                      <w:sz w:val="18"/>
                    </w:rPr>
                  </w:pPr>
                  <w:r>
                    <w:rPr>
                      <w:b/>
                      <w:sz w:val="18"/>
                    </w:rPr>
                    <w:t>di</w:t>
                  </w:r>
                </w:p>
              </w:txbxContent>
            </v:textbox>
            <w10:wrap type="none"/>
          </v:shape>
        </w:pict>
      </w:r>
    </w:p>
    <w:p>
      <w:pPr>
        <w:pStyle w:val="BodyText"/>
        <w:spacing w:before="6"/>
        <w:rPr>
          <w:rFonts w:ascii="Times New Roman"/>
          <w:sz w:val="21"/>
        </w:rPr>
      </w:pPr>
    </w:p>
    <w:tbl>
      <w:tblPr>
        <w:tblW w:w="0" w:type="auto"/>
        <w:jc w:val="left"/>
        <w:tblInd w:w="270"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ayout w:type="fixed"/>
        <w:tblCellMar>
          <w:top w:w="0" w:type="dxa"/>
          <w:left w:w="0" w:type="dxa"/>
          <w:bottom w:w="0" w:type="dxa"/>
          <w:right w:w="0" w:type="dxa"/>
        </w:tblCellMar>
        <w:tblLook w:val="01E0"/>
      </w:tblPr>
      <w:tblGrid>
        <w:gridCol w:w="2893"/>
        <w:gridCol w:w="430"/>
        <w:gridCol w:w="430"/>
        <w:gridCol w:w="427"/>
        <w:gridCol w:w="430"/>
        <w:gridCol w:w="475"/>
        <w:gridCol w:w="430"/>
        <w:gridCol w:w="430"/>
        <w:gridCol w:w="428"/>
        <w:gridCol w:w="430"/>
        <w:gridCol w:w="852"/>
        <w:gridCol w:w="850"/>
        <w:gridCol w:w="430"/>
        <w:gridCol w:w="853"/>
        <w:gridCol w:w="473"/>
        <w:gridCol w:w="518"/>
      </w:tblGrid>
      <w:tr>
        <w:trPr>
          <w:trHeight w:val="368" w:hRule="exact"/>
        </w:trPr>
        <w:tc>
          <w:tcPr>
            <w:tcW w:w="10775" w:type="dxa"/>
            <w:gridSpan w:val="16"/>
            <w:tcBorders>
              <w:top w:val="nil"/>
              <w:left w:val="nil"/>
              <w:bottom w:val="nil"/>
              <w:right w:val="nil"/>
            </w:tcBorders>
            <w:shd w:val="clear" w:color="auto" w:fill="6FAC46"/>
          </w:tcPr>
          <w:p>
            <w:pPr>
              <w:pStyle w:val="TableParagraph"/>
              <w:spacing w:line="225" w:lineRule="exact"/>
              <w:ind w:left="873"/>
              <w:jc w:val="left"/>
              <w:rPr>
                <w:b/>
                <w:sz w:val="20"/>
              </w:rPr>
            </w:pPr>
            <w:r>
              <w:rPr>
                <w:b/>
                <w:sz w:val="20"/>
              </w:rPr>
              <w:t>Anexo A18. Normativa publicada por los municipios del Estado de México a través del INFOEM</w:t>
            </w:r>
          </w:p>
        </w:tc>
      </w:tr>
      <w:tr>
        <w:trPr>
          <w:trHeight w:val="1412" w:hRule="exact"/>
        </w:trPr>
        <w:tc>
          <w:tcPr>
            <w:tcW w:w="2893" w:type="dxa"/>
            <w:tcBorders>
              <w:top w:val="single" w:sz="5" w:space="0" w:color="FFFFFF"/>
            </w:tcBorders>
            <w:shd w:val="clear" w:color="auto" w:fill="E1EED9"/>
          </w:tcPr>
          <w:p>
            <w:pPr>
              <w:pStyle w:val="TableParagraph"/>
              <w:spacing w:line="206" w:lineRule="exact"/>
              <w:ind w:left="1041" w:right="1041"/>
              <w:rPr>
                <w:sz w:val="18"/>
              </w:rPr>
            </w:pPr>
            <w:r>
              <w:rPr>
                <w:sz w:val="18"/>
              </w:rPr>
              <w:t>Municipio</w:t>
            </w:r>
          </w:p>
        </w:tc>
        <w:tc>
          <w:tcPr>
            <w:tcW w:w="430" w:type="dxa"/>
            <w:tcBorders>
              <w:top w:val="single" w:sz="5" w:space="0" w:color="FFFFFF"/>
            </w:tcBorders>
            <w:shd w:val="clear" w:color="auto" w:fill="E1EED9"/>
            <w:textDirection w:val="btLr"/>
          </w:tcPr>
          <w:p>
            <w:pPr>
              <w:pStyle w:val="TableParagraph"/>
              <w:spacing w:before="102"/>
              <w:ind w:left="76" w:right="-12"/>
              <w:jc w:val="left"/>
              <w:rPr>
                <w:b/>
                <w:sz w:val="18"/>
              </w:rPr>
            </w:pPr>
            <w:r>
              <w:rPr>
                <w:b/>
                <w:sz w:val="18"/>
              </w:rPr>
              <w:t>Con</w:t>
            </w:r>
            <w:r>
              <w:rPr>
                <w:b/>
                <w:spacing w:val="1"/>
                <w:sz w:val="18"/>
              </w:rPr>
              <w:t>s</w:t>
            </w:r>
            <w:r>
              <w:rPr>
                <w:b/>
                <w:w w:val="100"/>
                <w:sz w:val="18"/>
              </w:rPr>
              <w:t>t.</w:t>
            </w:r>
            <w:r>
              <w:rPr>
                <w:b/>
                <w:sz w:val="18"/>
              </w:rPr>
              <w:t> Fe</w:t>
            </w:r>
            <w:r>
              <w:rPr>
                <w:b/>
                <w:spacing w:val="-2"/>
                <w:w w:val="100"/>
                <w:sz w:val="18"/>
              </w:rPr>
              <w:t>d</w:t>
            </w:r>
            <w:r>
              <w:rPr>
                <w:b/>
                <w:w w:val="99"/>
                <w:sz w:val="18"/>
              </w:rPr>
              <w:t>e</w:t>
            </w:r>
            <w:r>
              <w:rPr>
                <w:b/>
                <w:w w:val="99"/>
                <w:sz w:val="18"/>
              </w:rPr>
              <w:t>ral</w:t>
            </w:r>
          </w:p>
        </w:tc>
        <w:tc>
          <w:tcPr>
            <w:tcW w:w="430" w:type="dxa"/>
            <w:tcBorders>
              <w:top w:val="single" w:sz="5" w:space="0" w:color="FFFFFF"/>
            </w:tcBorders>
            <w:shd w:val="clear" w:color="auto" w:fill="E1EED9"/>
            <w:textDirection w:val="btLr"/>
          </w:tcPr>
          <w:p>
            <w:pPr>
              <w:pStyle w:val="TableParagraph"/>
              <w:spacing w:before="100"/>
              <w:ind w:left="160" w:right="-12"/>
              <w:jc w:val="left"/>
              <w:rPr>
                <w:b/>
                <w:sz w:val="18"/>
              </w:rPr>
            </w:pPr>
            <w:r>
              <w:rPr>
                <w:b/>
                <w:w w:val="99"/>
                <w:sz w:val="18"/>
              </w:rPr>
              <w:t>Trata</w:t>
            </w:r>
            <w:r>
              <w:rPr>
                <w:b/>
                <w:w w:val="100"/>
                <w:sz w:val="18"/>
              </w:rPr>
              <w:t>do</w:t>
            </w:r>
            <w:r>
              <w:rPr>
                <w:b/>
                <w:w w:val="99"/>
                <w:sz w:val="18"/>
              </w:rPr>
              <w:t>s</w:t>
            </w:r>
            <w:r>
              <w:rPr>
                <w:b/>
                <w:spacing w:val="-2"/>
                <w:sz w:val="18"/>
              </w:rPr>
              <w:t> </w:t>
            </w:r>
            <w:r>
              <w:rPr>
                <w:b/>
                <w:w w:val="100"/>
                <w:sz w:val="18"/>
              </w:rPr>
              <w:t>Int.</w:t>
            </w:r>
          </w:p>
        </w:tc>
        <w:tc>
          <w:tcPr>
            <w:tcW w:w="427" w:type="dxa"/>
            <w:tcBorders>
              <w:top w:val="single" w:sz="5" w:space="0" w:color="FFFFFF"/>
            </w:tcBorders>
            <w:shd w:val="clear" w:color="auto" w:fill="E1EED9"/>
            <w:textDirection w:val="btLr"/>
          </w:tcPr>
          <w:p>
            <w:pPr>
              <w:pStyle w:val="TableParagraph"/>
              <w:spacing w:before="100"/>
              <w:ind w:left="235" w:right="-12"/>
              <w:jc w:val="left"/>
              <w:rPr>
                <w:b/>
                <w:sz w:val="18"/>
              </w:rPr>
            </w:pPr>
            <w:r>
              <w:rPr>
                <w:b/>
                <w:sz w:val="18"/>
              </w:rPr>
              <w:t>Le</w:t>
            </w:r>
            <w:r>
              <w:rPr>
                <w:b/>
                <w:w w:val="99"/>
                <w:sz w:val="18"/>
              </w:rPr>
              <w:t>yes</w:t>
            </w:r>
            <w:r>
              <w:rPr>
                <w:b/>
                <w:spacing w:val="-2"/>
                <w:sz w:val="18"/>
              </w:rPr>
              <w:t> </w:t>
            </w:r>
            <w:r>
              <w:rPr>
                <w:b/>
                <w:sz w:val="18"/>
              </w:rPr>
              <w:t>Fe</w:t>
            </w:r>
            <w:r>
              <w:rPr>
                <w:b/>
                <w:w w:val="100"/>
                <w:sz w:val="18"/>
              </w:rPr>
              <w:t>d.</w:t>
            </w:r>
          </w:p>
        </w:tc>
        <w:tc>
          <w:tcPr>
            <w:tcW w:w="430" w:type="dxa"/>
            <w:tcBorders>
              <w:top w:val="single" w:sz="5" w:space="0" w:color="FFFFFF"/>
            </w:tcBorders>
            <w:shd w:val="clear" w:color="auto" w:fill="E1EED9"/>
            <w:textDirection w:val="btLr"/>
          </w:tcPr>
          <w:p>
            <w:pPr>
              <w:pStyle w:val="TableParagraph"/>
              <w:spacing w:before="102"/>
              <w:ind w:left="160" w:right="-12"/>
              <w:jc w:val="left"/>
              <w:rPr>
                <w:b/>
                <w:sz w:val="18"/>
              </w:rPr>
            </w:pPr>
            <w:r>
              <w:rPr>
                <w:b/>
                <w:sz w:val="18"/>
              </w:rPr>
              <w:t>Con</w:t>
            </w:r>
            <w:r>
              <w:rPr>
                <w:b/>
                <w:spacing w:val="1"/>
                <w:sz w:val="18"/>
              </w:rPr>
              <w:t>s</w:t>
            </w:r>
            <w:r>
              <w:rPr>
                <w:b/>
                <w:w w:val="100"/>
                <w:sz w:val="18"/>
              </w:rPr>
              <w:t>t.</w:t>
            </w:r>
            <w:r>
              <w:rPr>
                <w:b/>
                <w:sz w:val="18"/>
              </w:rPr>
              <w:t> </w:t>
            </w:r>
            <w:r>
              <w:rPr>
                <w:b/>
                <w:w w:val="100"/>
                <w:sz w:val="18"/>
              </w:rPr>
              <w:t>Lo</w:t>
            </w:r>
            <w:r>
              <w:rPr>
                <w:b/>
                <w:spacing w:val="-2"/>
                <w:w w:val="99"/>
                <w:sz w:val="18"/>
              </w:rPr>
              <w:t>c</w:t>
            </w:r>
            <w:r>
              <w:rPr>
                <w:b/>
                <w:w w:val="99"/>
                <w:sz w:val="18"/>
              </w:rPr>
              <w:t>a</w:t>
            </w:r>
            <w:r>
              <w:rPr>
                <w:b/>
                <w:w w:val="100"/>
                <w:sz w:val="18"/>
              </w:rPr>
              <w:t>l</w:t>
            </w:r>
          </w:p>
        </w:tc>
        <w:tc>
          <w:tcPr>
            <w:tcW w:w="475" w:type="dxa"/>
            <w:tcBorders>
              <w:top w:val="single" w:sz="5" w:space="0" w:color="FFFFFF"/>
            </w:tcBorders>
            <w:shd w:val="clear" w:color="auto" w:fill="E1EED9"/>
            <w:textDirection w:val="btLr"/>
          </w:tcPr>
          <w:p>
            <w:pPr>
              <w:pStyle w:val="TableParagraph"/>
              <w:spacing w:before="102"/>
              <w:ind w:left="86" w:right="-12"/>
              <w:jc w:val="left"/>
              <w:rPr>
                <w:b/>
                <w:sz w:val="18"/>
              </w:rPr>
            </w:pPr>
            <w:r>
              <w:rPr>
                <w:b/>
                <w:sz w:val="18"/>
              </w:rPr>
              <w:t>Le</w:t>
            </w:r>
            <w:r>
              <w:rPr>
                <w:b/>
                <w:w w:val="99"/>
                <w:sz w:val="18"/>
              </w:rPr>
              <w:t>yes</w:t>
            </w:r>
            <w:r>
              <w:rPr>
                <w:b/>
                <w:spacing w:val="-2"/>
                <w:sz w:val="18"/>
              </w:rPr>
              <w:t> </w:t>
            </w:r>
            <w:r>
              <w:rPr>
                <w:b/>
                <w:w w:val="100"/>
                <w:sz w:val="18"/>
              </w:rPr>
              <w:t>Lo</w:t>
            </w:r>
            <w:r>
              <w:rPr>
                <w:b/>
                <w:w w:val="99"/>
                <w:sz w:val="18"/>
              </w:rPr>
              <w:t>c</w:t>
            </w:r>
            <w:r>
              <w:rPr>
                <w:b/>
                <w:spacing w:val="-2"/>
                <w:w w:val="99"/>
                <w:sz w:val="18"/>
              </w:rPr>
              <w:t>a</w:t>
            </w:r>
            <w:r>
              <w:rPr>
                <w:b/>
                <w:w w:val="100"/>
                <w:sz w:val="18"/>
              </w:rPr>
              <w:t>le</w:t>
            </w:r>
            <w:r>
              <w:rPr>
                <w:b/>
                <w:w w:val="99"/>
                <w:sz w:val="18"/>
              </w:rPr>
              <w:t>s</w:t>
            </w:r>
          </w:p>
        </w:tc>
        <w:tc>
          <w:tcPr>
            <w:tcW w:w="430" w:type="dxa"/>
            <w:tcBorders>
              <w:top w:val="single" w:sz="5" w:space="0" w:color="FFFFFF"/>
            </w:tcBorders>
            <w:shd w:val="clear" w:color="auto" w:fill="E1EED9"/>
            <w:textDirection w:val="btLr"/>
          </w:tcPr>
          <w:p>
            <w:pPr>
              <w:pStyle w:val="TableParagraph"/>
              <w:spacing w:before="102"/>
              <w:ind w:left="340" w:right="-12"/>
              <w:jc w:val="left"/>
              <w:rPr>
                <w:b/>
                <w:sz w:val="18"/>
              </w:rPr>
            </w:pPr>
            <w:r>
              <w:rPr>
                <w:b/>
                <w:w w:val="100"/>
                <w:sz w:val="18"/>
              </w:rPr>
              <w:t>Códi</w:t>
            </w:r>
            <w:r>
              <w:rPr>
                <w:b/>
                <w:w w:val="100"/>
                <w:sz w:val="18"/>
              </w:rPr>
              <w:t>go</w:t>
            </w:r>
            <w:r>
              <w:rPr>
                <w:b/>
                <w:w w:val="99"/>
                <w:sz w:val="18"/>
              </w:rPr>
              <w:t>s</w:t>
            </w:r>
          </w:p>
        </w:tc>
        <w:tc>
          <w:tcPr>
            <w:tcW w:w="430" w:type="dxa"/>
            <w:tcBorders>
              <w:top w:val="single" w:sz="5" w:space="0" w:color="FFFFFF"/>
            </w:tcBorders>
            <w:shd w:val="clear" w:color="auto" w:fill="E1EED9"/>
            <w:textDirection w:val="btLr"/>
          </w:tcPr>
          <w:p>
            <w:pPr>
              <w:pStyle w:val="TableParagraph"/>
              <w:spacing w:before="100"/>
              <w:ind w:left="136" w:right="-12"/>
              <w:jc w:val="left"/>
              <w:rPr>
                <w:b/>
                <w:sz w:val="18"/>
              </w:rPr>
            </w:pPr>
            <w:r>
              <w:rPr>
                <w:b/>
                <w:w w:val="99"/>
                <w:sz w:val="18"/>
              </w:rPr>
              <w:t>Reg</w:t>
            </w:r>
            <w:r>
              <w:rPr>
                <w:b/>
                <w:w w:val="100"/>
                <w:sz w:val="18"/>
              </w:rPr>
              <w:t>la</w:t>
            </w:r>
            <w:r>
              <w:rPr>
                <w:b/>
                <w:w w:val="99"/>
                <w:sz w:val="18"/>
              </w:rPr>
              <w:t>m</w:t>
            </w:r>
            <w:r>
              <w:rPr>
                <w:b/>
                <w:spacing w:val="-2"/>
                <w:w w:val="99"/>
                <w:sz w:val="18"/>
              </w:rPr>
              <w:t>e</w:t>
            </w:r>
            <w:r>
              <w:rPr>
                <w:b/>
                <w:w w:val="100"/>
                <w:sz w:val="18"/>
              </w:rPr>
              <w:t>nto</w:t>
            </w:r>
            <w:r>
              <w:rPr>
                <w:b/>
                <w:w w:val="99"/>
                <w:sz w:val="18"/>
              </w:rPr>
              <w:t>s</w:t>
            </w:r>
          </w:p>
        </w:tc>
        <w:tc>
          <w:tcPr>
            <w:tcW w:w="428" w:type="dxa"/>
            <w:tcBorders>
              <w:top w:val="single" w:sz="5" w:space="0" w:color="FFFFFF"/>
            </w:tcBorders>
            <w:shd w:val="clear" w:color="auto" w:fill="E1EED9"/>
            <w:textDirection w:val="btLr"/>
          </w:tcPr>
          <w:p>
            <w:pPr>
              <w:pStyle w:val="TableParagraph"/>
              <w:spacing w:before="100"/>
              <w:ind w:left="316" w:right="-12"/>
              <w:jc w:val="left"/>
              <w:rPr>
                <w:b/>
                <w:sz w:val="18"/>
              </w:rPr>
            </w:pPr>
            <w:r>
              <w:rPr>
                <w:b/>
                <w:w w:val="99"/>
                <w:sz w:val="18"/>
              </w:rPr>
              <w:t>Dec</w:t>
            </w:r>
            <w:r>
              <w:rPr>
                <w:b/>
                <w:w w:val="99"/>
                <w:sz w:val="18"/>
              </w:rPr>
              <w:t>reto</w:t>
            </w:r>
            <w:r>
              <w:rPr>
                <w:b/>
                <w:w w:val="99"/>
                <w:sz w:val="18"/>
              </w:rPr>
              <w:t>s</w:t>
            </w:r>
          </w:p>
        </w:tc>
        <w:tc>
          <w:tcPr>
            <w:tcW w:w="430" w:type="dxa"/>
            <w:tcBorders>
              <w:top w:val="single" w:sz="5" w:space="0" w:color="FFFFFF"/>
            </w:tcBorders>
            <w:shd w:val="clear" w:color="auto" w:fill="E1EED9"/>
            <w:textDirection w:val="btLr"/>
          </w:tcPr>
          <w:p>
            <w:pPr>
              <w:pStyle w:val="TableParagraph"/>
              <w:spacing w:before="102"/>
              <w:ind w:left="285" w:right="-12"/>
              <w:jc w:val="left"/>
              <w:rPr>
                <w:b/>
                <w:sz w:val="18"/>
              </w:rPr>
            </w:pPr>
            <w:r>
              <w:rPr>
                <w:b/>
                <w:w w:val="99"/>
                <w:sz w:val="18"/>
              </w:rPr>
              <w:t>Acu</w:t>
            </w:r>
            <w:r>
              <w:rPr>
                <w:b/>
                <w:w w:val="99"/>
                <w:sz w:val="18"/>
              </w:rPr>
              <w:t>e</w:t>
            </w:r>
            <w:r>
              <w:rPr>
                <w:b/>
                <w:sz w:val="18"/>
              </w:rPr>
              <w:t>rdos</w:t>
            </w:r>
          </w:p>
        </w:tc>
        <w:tc>
          <w:tcPr>
            <w:tcW w:w="852" w:type="dxa"/>
            <w:tcBorders>
              <w:top w:val="single" w:sz="5" w:space="0" w:color="FFFFFF"/>
            </w:tcBorders>
            <w:shd w:val="clear" w:color="auto" w:fill="E1EED9"/>
            <w:textDirection w:val="btLr"/>
          </w:tcPr>
          <w:p>
            <w:pPr>
              <w:pStyle w:val="TableParagraph"/>
              <w:spacing w:line="244" w:lineRule="auto" w:before="102"/>
              <w:ind w:left="7" w:right="-12" w:firstLine="153"/>
              <w:jc w:val="left"/>
              <w:rPr>
                <w:b/>
                <w:sz w:val="18"/>
              </w:rPr>
            </w:pPr>
            <w:r>
              <w:rPr>
                <w:b/>
                <w:spacing w:val="1"/>
                <w:w w:val="99"/>
                <w:sz w:val="18"/>
              </w:rPr>
              <w:t>M</w:t>
            </w:r>
            <w:r>
              <w:rPr>
                <w:b/>
                <w:w w:val="99"/>
                <w:sz w:val="18"/>
              </w:rPr>
              <w:t>a</w:t>
            </w:r>
            <w:r>
              <w:rPr>
                <w:b/>
                <w:w w:val="100"/>
                <w:sz w:val="18"/>
              </w:rPr>
              <w:t>nu</w:t>
            </w:r>
            <w:r>
              <w:rPr>
                <w:b/>
                <w:spacing w:val="-2"/>
                <w:w w:val="99"/>
                <w:sz w:val="18"/>
              </w:rPr>
              <w:t>a</w:t>
            </w:r>
            <w:r>
              <w:rPr>
                <w:b/>
                <w:w w:val="100"/>
                <w:sz w:val="18"/>
              </w:rPr>
              <w:t>le</w:t>
            </w:r>
            <w:r>
              <w:rPr>
                <w:b/>
                <w:w w:val="99"/>
                <w:sz w:val="18"/>
              </w:rPr>
              <w:t>s</w:t>
            </w:r>
            <w:r>
              <w:rPr>
                <w:b/>
                <w:spacing w:val="-2"/>
                <w:sz w:val="18"/>
              </w:rPr>
              <w:t> </w:t>
            </w:r>
            <w:r>
              <w:rPr>
                <w:b/>
                <w:sz w:val="18"/>
              </w:rPr>
              <w:t>de proc</w:t>
            </w:r>
            <w:r>
              <w:rPr>
                <w:b/>
                <w:w w:val="99"/>
                <w:sz w:val="18"/>
              </w:rPr>
              <w:t>e</w:t>
            </w:r>
            <w:r>
              <w:rPr>
                <w:b/>
                <w:w w:val="100"/>
                <w:sz w:val="18"/>
              </w:rPr>
              <w:t>di</w:t>
            </w:r>
            <w:r>
              <w:rPr>
                <w:b/>
                <w:spacing w:val="-2"/>
                <w:w w:val="99"/>
                <w:sz w:val="18"/>
              </w:rPr>
              <w:t>m</w:t>
            </w:r>
            <w:r>
              <w:rPr>
                <w:b/>
                <w:w w:val="100"/>
                <w:sz w:val="18"/>
              </w:rPr>
              <w:t>ie</w:t>
            </w:r>
            <w:r>
              <w:rPr>
                <w:b/>
                <w:w w:val="100"/>
                <w:sz w:val="18"/>
              </w:rPr>
              <w:t>nt</w:t>
            </w:r>
            <w:r>
              <w:rPr>
                <w:b/>
                <w:spacing w:val="-2"/>
                <w:w w:val="100"/>
                <w:sz w:val="18"/>
              </w:rPr>
              <w:t>o</w:t>
            </w:r>
            <w:r>
              <w:rPr>
                <w:b/>
                <w:w w:val="99"/>
                <w:sz w:val="18"/>
              </w:rPr>
              <w:t>s</w:t>
            </w:r>
            <w:r>
              <w:rPr>
                <w:b/>
                <w:w w:val="100"/>
                <w:sz w:val="18"/>
              </w:rPr>
              <w:t>.</w:t>
            </w:r>
          </w:p>
        </w:tc>
        <w:tc>
          <w:tcPr>
            <w:tcW w:w="850" w:type="dxa"/>
            <w:tcBorders>
              <w:top w:val="single" w:sz="5" w:space="0" w:color="FFFFFF"/>
            </w:tcBorders>
            <w:shd w:val="clear" w:color="auto" w:fill="E1EED9"/>
            <w:textDirection w:val="btLr"/>
          </w:tcPr>
          <w:p>
            <w:pPr>
              <w:pStyle w:val="TableParagraph"/>
              <w:spacing w:line="247" w:lineRule="auto" w:before="100"/>
              <w:ind w:left="146" w:right="127" w:firstLine="14"/>
              <w:jc w:val="left"/>
              <w:rPr>
                <w:b/>
                <w:sz w:val="18"/>
              </w:rPr>
            </w:pPr>
            <w:r>
              <w:rPr>
                <w:b/>
                <w:spacing w:val="1"/>
                <w:w w:val="99"/>
                <w:sz w:val="18"/>
              </w:rPr>
              <w:t>M</w:t>
            </w:r>
            <w:r>
              <w:rPr>
                <w:b/>
                <w:w w:val="99"/>
                <w:sz w:val="18"/>
              </w:rPr>
              <w:t>a</w:t>
            </w:r>
            <w:r>
              <w:rPr>
                <w:b/>
                <w:w w:val="100"/>
                <w:sz w:val="18"/>
              </w:rPr>
              <w:t>nu</w:t>
            </w:r>
            <w:r>
              <w:rPr>
                <w:b/>
                <w:spacing w:val="-2"/>
                <w:w w:val="99"/>
                <w:sz w:val="18"/>
              </w:rPr>
              <w:t>a</w:t>
            </w:r>
            <w:r>
              <w:rPr>
                <w:b/>
                <w:w w:val="100"/>
                <w:sz w:val="18"/>
              </w:rPr>
              <w:t>le</w:t>
            </w:r>
            <w:r>
              <w:rPr>
                <w:b/>
                <w:w w:val="99"/>
                <w:sz w:val="18"/>
              </w:rPr>
              <w:t>s</w:t>
            </w:r>
            <w:r>
              <w:rPr>
                <w:b/>
                <w:spacing w:val="-2"/>
                <w:sz w:val="18"/>
              </w:rPr>
              <w:t> </w:t>
            </w:r>
            <w:r>
              <w:rPr>
                <w:b/>
                <w:sz w:val="18"/>
              </w:rPr>
              <w:t>de orga</w:t>
            </w:r>
            <w:r>
              <w:rPr>
                <w:b/>
                <w:w w:val="100"/>
                <w:sz w:val="18"/>
              </w:rPr>
              <w:t>ni</w:t>
            </w:r>
            <w:r>
              <w:rPr>
                <w:b/>
                <w:spacing w:val="-2"/>
                <w:sz w:val="18"/>
              </w:rPr>
              <w:t>z</w:t>
            </w:r>
            <w:r>
              <w:rPr>
                <w:b/>
                <w:w w:val="99"/>
                <w:sz w:val="18"/>
              </w:rPr>
              <w:t>ac</w:t>
            </w:r>
            <w:r>
              <w:rPr>
                <w:b/>
                <w:w w:val="100"/>
                <w:sz w:val="18"/>
              </w:rPr>
              <w:t>ión</w:t>
            </w:r>
          </w:p>
        </w:tc>
        <w:tc>
          <w:tcPr>
            <w:tcW w:w="430" w:type="dxa"/>
            <w:tcBorders>
              <w:top w:val="single" w:sz="5" w:space="0" w:color="FFFFFF"/>
            </w:tcBorders>
            <w:shd w:val="clear" w:color="auto" w:fill="E1EED9"/>
            <w:textDirection w:val="btLr"/>
          </w:tcPr>
          <w:p>
            <w:pPr>
              <w:pStyle w:val="TableParagraph"/>
              <w:spacing w:before="102"/>
              <w:ind w:left="21" w:right="-12"/>
              <w:jc w:val="left"/>
              <w:rPr>
                <w:b/>
                <w:sz w:val="18"/>
              </w:rPr>
            </w:pPr>
            <w:r>
              <w:rPr>
                <w:b/>
                <w:spacing w:val="-1"/>
                <w:w w:val="100"/>
                <w:sz w:val="18"/>
              </w:rPr>
              <w:t>O</w:t>
            </w:r>
            <w:r>
              <w:rPr>
                <w:b/>
                <w:w w:val="99"/>
                <w:sz w:val="18"/>
              </w:rPr>
              <w:t>tros m</w:t>
            </w:r>
            <w:r>
              <w:rPr>
                <w:b/>
                <w:spacing w:val="1"/>
                <w:w w:val="99"/>
                <w:sz w:val="18"/>
              </w:rPr>
              <w:t>a</w:t>
            </w:r>
            <w:r>
              <w:rPr>
                <w:b/>
                <w:w w:val="100"/>
                <w:sz w:val="18"/>
              </w:rPr>
              <w:t>nu</w:t>
            </w:r>
            <w:r>
              <w:rPr>
                <w:b/>
                <w:spacing w:val="-2"/>
                <w:w w:val="99"/>
                <w:sz w:val="18"/>
              </w:rPr>
              <w:t>a</w:t>
            </w:r>
            <w:r>
              <w:rPr>
                <w:b/>
                <w:w w:val="100"/>
                <w:sz w:val="18"/>
              </w:rPr>
              <w:t>le</w:t>
            </w:r>
            <w:r>
              <w:rPr>
                <w:b/>
                <w:w w:val="99"/>
                <w:sz w:val="18"/>
              </w:rPr>
              <w:t>s</w:t>
            </w:r>
          </w:p>
        </w:tc>
        <w:tc>
          <w:tcPr>
            <w:tcW w:w="853" w:type="dxa"/>
            <w:tcBorders>
              <w:top w:val="single" w:sz="5" w:space="0" w:color="FFFFFF"/>
            </w:tcBorders>
            <w:shd w:val="clear" w:color="auto" w:fill="E1EED9"/>
            <w:textDirection w:val="btLr"/>
          </w:tcPr>
          <w:p>
            <w:pPr>
              <w:pStyle w:val="TableParagraph"/>
              <w:spacing w:before="100"/>
              <w:ind w:left="261" w:right="-12"/>
              <w:jc w:val="left"/>
              <w:rPr>
                <w:b/>
                <w:sz w:val="18"/>
              </w:rPr>
            </w:pPr>
            <w:r>
              <w:rPr>
                <w:b/>
                <w:w w:val="99"/>
                <w:sz w:val="18"/>
              </w:rPr>
              <w:t>Circula</w:t>
            </w:r>
            <w:r>
              <w:rPr>
                <w:b/>
                <w:w w:val="99"/>
                <w:sz w:val="18"/>
              </w:rPr>
              <w:t>res</w:t>
            </w:r>
          </w:p>
        </w:tc>
        <w:tc>
          <w:tcPr>
            <w:tcW w:w="473" w:type="dxa"/>
            <w:tcBorders>
              <w:top w:val="single" w:sz="5" w:space="0" w:color="FFFFFF"/>
            </w:tcBorders>
            <w:shd w:val="clear" w:color="auto" w:fill="E1EED9"/>
            <w:textDirection w:val="btLr"/>
          </w:tcPr>
          <w:p>
            <w:pPr>
              <w:pStyle w:val="TableParagraph"/>
              <w:spacing w:before="100"/>
              <w:ind w:left="405" w:right="-12"/>
              <w:jc w:val="left"/>
              <w:rPr>
                <w:b/>
                <w:sz w:val="18"/>
              </w:rPr>
            </w:pPr>
            <w:r>
              <w:rPr>
                <w:b/>
                <w:w w:val="99"/>
                <w:sz w:val="18"/>
              </w:rPr>
              <w:t>Demás</w:t>
            </w:r>
          </w:p>
        </w:tc>
        <w:tc>
          <w:tcPr>
            <w:tcW w:w="518" w:type="dxa"/>
            <w:tcBorders>
              <w:top w:val="single" w:sz="5" w:space="0" w:color="FFFFFF"/>
            </w:tcBorders>
            <w:shd w:val="clear" w:color="auto" w:fill="E1EED9"/>
            <w:textDirection w:val="btLr"/>
          </w:tcPr>
          <w:p>
            <w:pPr>
              <w:pStyle w:val="TableParagraph"/>
              <w:spacing w:before="102"/>
              <w:ind w:left="340" w:right="-12"/>
              <w:jc w:val="left"/>
              <w:rPr>
                <w:b/>
                <w:sz w:val="18"/>
              </w:rPr>
            </w:pPr>
            <w:r>
              <w:rPr>
                <w:b/>
                <w:w w:val="100"/>
                <w:sz w:val="18"/>
              </w:rPr>
              <w:t>Subtot</w:t>
            </w:r>
            <w:r>
              <w:rPr>
                <w:b/>
                <w:w w:val="99"/>
                <w:sz w:val="18"/>
              </w:rPr>
              <w:t>a</w:t>
            </w:r>
            <w:r>
              <w:rPr>
                <w:b/>
                <w:w w:val="100"/>
                <w:sz w:val="18"/>
              </w:rPr>
              <w:t>l</w:t>
            </w:r>
          </w:p>
        </w:tc>
      </w:tr>
      <w:tr>
        <w:trPr>
          <w:trHeight w:val="401" w:hRule="exact"/>
        </w:trPr>
        <w:tc>
          <w:tcPr>
            <w:tcW w:w="2893" w:type="dxa"/>
          </w:tcPr>
          <w:p>
            <w:pPr>
              <w:pStyle w:val="TableParagraph"/>
              <w:spacing w:line="206" w:lineRule="exact"/>
              <w:ind w:left="103"/>
              <w:jc w:val="left"/>
              <w:rPr>
                <w:sz w:val="18"/>
              </w:rPr>
            </w:pPr>
            <w:r>
              <w:rPr>
                <w:color w:val="333333"/>
                <w:sz w:val="18"/>
              </w:rPr>
              <w:t>ACAMBAY</w:t>
            </w:r>
          </w:p>
        </w:tc>
        <w:tc>
          <w:tcPr>
            <w:tcW w:w="430" w:type="dxa"/>
          </w:tcPr>
          <w:p>
            <w:pPr>
              <w:pStyle w:val="TableParagraph"/>
              <w:spacing w:line="206" w:lineRule="exact"/>
              <w:ind w:right="1"/>
              <w:rPr>
                <w:sz w:val="18"/>
              </w:rPr>
            </w:pPr>
            <w:r>
              <w:rPr>
                <w:w w:val="99"/>
                <w:sz w:val="18"/>
              </w:rPr>
              <w:t>1</w:t>
            </w:r>
          </w:p>
        </w:tc>
        <w:tc>
          <w:tcPr>
            <w:tcW w:w="430" w:type="dxa"/>
          </w:tcPr>
          <w:p>
            <w:pPr>
              <w:pStyle w:val="TableParagraph"/>
              <w:spacing w:line="206" w:lineRule="exact"/>
              <w:ind w:left="155"/>
              <w:jc w:val="left"/>
              <w:rPr>
                <w:sz w:val="18"/>
              </w:rPr>
            </w:pPr>
            <w:r>
              <w:rPr>
                <w:w w:val="99"/>
                <w:sz w:val="18"/>
              </w:rPr>
              <w:t>0</w:t>
            </w:r>
          </w:p>
        </w:tc>
        <w:tc>
          <w:tcPr>
            <w:tcW w:w="427" w:type="dxa"/>
          </w:tcPr>
          <w:p>
            <w:pPr>
              <w:pStyle w:val="TableParagraph"/>
              <w:spacing w:line="206" w:lineRule="exact"/>
              <w:ind w:left="88" w:right="88"/>
              <w:rPr>
                <w:sz w:val="18"/>
              </w:rPr>
            </w:pPr>
            <w:r>
              <w:rPr>
                <w:sz w:val="18"/>
              </w:rPr>
              <w:t>14</w:t>
            </w:r>
          </w:p>
        </w:tc>
        <w:tc>
          <w:tcPr>
            <w:tcW w:w="430" w:type="dxa"/>
          </w:tcPr>
          <w:p>
            <w:pPr>
              <w:pStyle w:val="TableParagraph"/>
              <w:spacing w:line="206" w:lineRule="exact"/>
              <w:ind w:right="1"/>
              <w:rPr>
                <w:sz w:val="18"/>
              </w:rPr>
            </w:pPr>
            <w:r>
              <w:rPr>
                <w:w w:val="99"/>
                <w:sz w:val="18"/>
              </w:rPr>
              <w:t>1</w:t>
            </w:r>
          </w:p>
        </w:tc>
        <w:tc>
          <w:tcPr>
            <w:tcW w:w="475" w:type="dxa"/>
          </w:tcPr>
          <w:p>
            <w:pPr>
              <w:pStyle w:val="TableParagraph"/>
              <w:spacing w:line="206" w:lineRule="exact"/>
              <w:ind w:left="132"/>
              <w:jc w:val="left"/>
              <w:rPr>
                <w:sz w:val="18"/>
              </w:rPr>
            </w:pPr>
            <w:r>
              <w:rPr>
                <w:sz w:val="18"/>
              </w:rPr>
              <w:t>26</w:t>
            </w:r>
          </w:p>
        </w:tc>
        <w:tc>
          <w:tcPr>
            <w:tcW w:w="430" w:type="dxa"/>
          </w:tcPr>
          <w:p>
            <w:pPr>
              <w:pStyle w:val="TableParagraph"/>
              <w:spacing w:line="206" w:lineRule="exact"/>
              <w:ind w:left="89" w:right="87"/>
              <w:rPr>
                <w:sz w:val="18"/>
              </w:rPr>
            </w:pPr>
            <w:r>
              <w:rPr>
                <w:sz w:val="18"/>
              </w:rPr>
              <w:t>12</w:t>
            </w:r>
          </w:p>
        </w:tc>
        <w:tc>
          <w:tcPr>
            <w:tcW w:w="430" w:type="dxa"/>
          </w:tcPr>
          <w:p>
            <w:pPr>
              <w:pStyle w:val="TableParagraph"/>
              <w:spacing w:line="206" w:lineRule="exact"/>
              <w:ind w:right="5"/>
              <w:rPr>
                <w:sz w:val="18"/>
              </w:rPr>
            </w:pPr>
            <w:r>
              <w:rPr>
                <w:w w:val="99"/>
                <w:sz w:val="18"/>
              </w:rPr>
              <w:t>8</w:t>
            </w:r>
          </w:p>
        </w:tc>
        <w:tc>
          <w:tcPr>
            <w:tcW w:w="428" w:type="dxa"/>
          </w:tcPr>
          <w:p>
            <w:pPr>
              <w:pStyle w:val="TableParagraph"/>
              <w:spacing w:line="206" w:lineRule="exact"/>
              <w:ind w:right="3"/>
              <w:rPr>
                <w:sz w:val="18"/>
              </w:rPr>
            </w:pPr>
            <w:r>
              <w:rPr>
                <w:w w:val="99"/>
                <w:sz w:val="18"/>
              </w:rPr>
              <w:t>1</w:t>
            </w:r>
          </w:p>
        </w:tc>
        <w:tc>
          <w:tcPr>
            <w:tcW w:w="430" w:type="dxa"/>
          </w:tcPr>
          <w:p>
            <w:pPr>
              <w:pStyle w:val="TableParagraph"/>
              <w:spacing w:line="206" w:lineRule="exact"/>
              <w:ind w:right="1"/>
              <w:rPr>
                <w:sz w:val="18"/>
              </w:rPr>
            </w:pPr>
            <w:r>
              <w:rPr>
                <w:w w:val="99"/>
                <w:sz w:val="18"/>
              </w:rPr>
              <w:t>0</w:t>
            </w:r>
          </w:p>
        </w:tc>
        <w:tc>
          <w:tcPr>
            <w:tcW w:w="852" w:type="dxa"/>
          </w:tcPr>
          <w:p>
            <w:pPr>
              <w:pStyle w:val="TableParagraph"/>
              <w:spacing w:line="206" w:lineRule="exact"/>
              <w:ind w:right="1"/>
              <w:rPr>
                <w:sz w:val="18"/>
              </w:rPr>
            </w:pPr>
            <w:r>
              <w:rPr>
                <w:w w:val="99"/>
                <w:sz w:val="18"/>
              </w:rPr>
              <w:t>2</w:t>
            </w:r>
          </w:p>
        </w:tc>
        <w:tc>
          <w:tcPr>
            <w:tcW w:w="850" w:type="dxa"/>
          </w:tcPr>
          <w:p>
            <w:pPr>
              <w:pStyle w:val="TableParagraph"/>
              <w:spacing w:line="206" w:lineRule="exact"/>
              <w:ind w:left="367"/>
              <w:jc w:val="left"/>
              <w:rPr>
                <w:sz w:val="18"/>
              </w:rPr>
            </w:pPr>
            <w:r>
              <w:rPr>
                <w:w w:val="99"/>
                <w:sz w:val="18"/>
              </w:rPr>
              <w:t>2</w:t>
            </w:r>
          </w:p>
        </w:tc>
        <w:tc>
          <w:tcPr>
            <w:tcW w:w="430" w:type="dxa"/>
          </w:tcPr>
          <w:p>
            <w:pPr>
              <w:pStyle w:val="TableParagraph"/>
              <w:spacing w:line="206" w:lineRule="exact"/>
              <w:ind w:right="1"/>
              <w:rPr>
                <w:sz w:val="18"/>
              </w:rPr>
            </w:pPr>
            <w:r>
              <w:rPr>
                <w:w w:val="99"/>
                <w:sz w:val="18"/>
              </w:rPr>
              <w:t>1</w:t>
            </w:r>
          </w:p>
        </w:tc>
        <w:tc>
          <w:tcPr>
            <w:tcW w:w="853" w:type="dxa"/>
          </w:tcPr>
          <w:p>
            <w:pPr>
              <w:pStyle w:val="TableParagraph"/>
              <w:spacing w:line="206" w:lineRule="exact"/>
              <w:ind w:right="6"/>
              <w:rPr>
                <w:sz w:val="18"/>
              </w:rPr>
            </w:pPr>
            <w:r>
              <w:rPr>
                <w:w w:val="99"/>
                <w:sz w:val="18"/>
              </w:rPr>
              <w:t>0</w:t>
            </w:r>
          </w:p>
        </w:tc>
        <w:tc>
          <w:tcPr>
            <w:tcW w:w="473" w:type="dxa"/>
          </w:tcPr>
          <w:p>
            <w:pPr>
              <w:pStyle w:val="TableParagraph"/>
              <w:spacing w:line="206" w:lineRule="exact"/>
              <w:ind w:right="1"/>
              <w:rPr>
                <w:sz w:val="18"/>
              </w:rPr>
            </w:pPr>
            <w:r>
              <w:rPr>
                <w:w w:val="99"/>
                <w:sz w:val="18"/>
              </w:rPr>
              <w:t>7</w:t>
            </w:r>
          </w:p>
        </w:tc>
        <w:tc>
          <w:tcPr>
            <w:tcW w:w="518" w:type="dxa"/>
          </w:tcPr>
          <w:p>
            <w:pPr>
              <w:pStyle w:val="TableParagraph"/>
              <w:spacing w:line="206" w:lineRule="exact"/>
              <w:ind w:left="84" w:right="84"/>
              <w:rPr>
                <w:sz w:val="18"/>
              </w:rPr>
            </w:pPr>
            <w:r>
              <w:rPr>
                <w:sz w:val="18"/>
              </w:rPr>
              <w:t>75</w:t>
            </w:r>
          </w:p>
        </w:tc>
      </w:tr>
      <w:tr>
        <w:trPr>
          <w:trHeight w:val="399" w:hRule="exact"/>
        </w:trPr>
        <w:tc>
          <w:tcPr>
            <w:tcW w:w="2893" w:type="dxa"/>
          </w:tcPr>
          <w:p>
            <w:pPr>
              <w:pStyle w:val="TableParagraph"/>
              <w:spacing w:line="206" w:lineRule="exact"/>
              <w:ind w:left="103"/>
              <w:jc w:val="left"/>
              <w:rPr>
                <w:sz w:val="18"/>
              </w:rPr>
            </w:pPr>
            <w:r>
              <w:rPr>
                <w:color w:val="333333"/>
                <w:sz w:val="18"/>
              </w:rPr>
              <w:t>ACOLMAN</w:t>
            </w:r>
          </w:p>
        </w:tc>
        <w:tc>
          <w:tcPr>
            <w:tcW w:w="430" w:type="dxa"/>
          </w:tcPr>
          <w:p>
            <w:pPr>
              <w:pStyle w:val="TableParagraph"/>
              <w:spacing w:line="206" w:lineRule="exact"/>
              <w:ind w:right="1"/>
              <w:rPr>
                <w:sz w:val="18"/>
              </w:rPr>
            </w:pPr>
            <w:r>
              <w:rPr>
                <w:w w:val="99"/>
                <w:sz w:val="18"/>
              </w:rPr>
              <w:t>1</w:t>
            </w:r>
          </w:p>
        </w:tc>
        <w:tc>
          <w:tcPr>
            <w:tcW w:w="430" w:type="dxa"/>
          </w:tcPr>
          <w:p>
            <w:pPr>
              <w:pStyle w:val="TableParagraph"/>
              <w:spacing w:line="206" w:lineRule="exact"/>
              <w:ind w:left="155"/>
              <w:jc w:val="left"/>
              <w:rPr>
                <w:sz w:val="18"/>
              </w:rPr>
            </w:pPr>
            <w:r>
              <w:rPr>
                <w:w w:val="99"/>
                <w:sz w:val="18"/>
              </w:rPr>
              <w:t>0</w:t>
            </w:r>
          </w:p>
        </w:tc>
        <w:tc>
          <w:tcPr>
            <w:tcW w:w="427" w:type="dxa"/>
          </w:tcPr>
          <w:p>
            <w:pPr>
              <w:pStyle w:val="TableParagraph"/>
              <w:spacing w:line="206" w:lineRule="exact"/>
              <w:ind w:right="3"/>
              <w:rPr>
                <w:sz w:val="18"/>
              </w:rPr>
            </w:pPr>
            <w:r>
              <w:rPr>
                <w:w w:val="99"/>
                <w:sz w:val="18"/>
              </w:rPr>
              <w:t>5</w:t>
            </w:r>
          </w:p>
        </w:tc>
        <w:tc>
          <w:tcPr>
            <w:tcW w:w="430" w:type="dxa"/>
          </w:tcPr>
          <w:p>
            <w:pPr>
              <w:pStyle w:val="TableParagraph"/>
              <w:spacing w:line="206" w:lineRule="exact"/>
              <w:ind w:right="1"/>
              <w:rPr>
                <w:sz w:val="18"/>
              </w:rPr>
            </w:pPr>
            <w:r>
              <w:rPr>
                <w:w w:val="99"/>
                <w:sz w:val="18"/>
              </w:rPr>
              <w:t>1</w:t>
            </w:r>
          </w:p>
        </w:tc>
        <w:tc>
          <w:tcPr>
            <w:tcW w:w="475" w:type="dxa"/>
          </w:tcPr>
          <w:p>
            <w:pPr>
              <w:pStyle w:val="TableParagraph"/>
              <w:spacing w:line="206" w:lineRule="exact"/>
              <w:ind w:left="182"/>
              <w:jc w:val="left"/>
              <w:rPr>
                <w:sz w:val="18"/>
              </w:rPr>
            </w:pPr>
            <w:r>
              <w:rPr>
                <w:w w:val="99"/>
                <w:sz w:val="18"/>
              </w:rPr>
              <w:t>6</w:t>
            </w:r>
          </w:p>
        </w:tc>
        <w:tc>
          <w:tcPr>
            <w:tcW w:w="430" w:type="dxa"/>
          </w:tcPr>
          <w:p>
            <w:pPr>
              <w:pStyle w:val="TableParagraph"/>
              <w:spacing w:line="206" w:lineRule="exact"/>
              <w:ind w:right="1"/>
              <w:rPr>
                <w:sz w:val="18"/>
              </w:rPr>
            </w:pPr>
            <w:r>
              <w:rPr>
                <w:w w:val="99"/>
                <w:sz w:val="18"/>
              </w:rPr>
              <w:t>0</w:t>
            </w:r>
          </w:p>
        </w:tc>
        <w:tc>
          <w:tcPr>
            <w:tcW w:w="430" w:type="dxa"/>
          </w:tcPr>
          <w:p>
            <w:pPr>
              <w:pStyle w:val="TableParagraph"/>
              <w:spacing w:line="206" w:lineRule="exact"/>
              <w:ind w:right="5"/>
              <w:rPr>
                <w:sz w:val="18"/>
              </w:rPr>
            </w:pPr>
            <w:r>
              <w:rPr>
                <w:w w:val="99"/>
                <w:sz w:val="18"/>
              </w:rPr>
              <w:t>1</w:t>
            </w:r>
          </w:p>
        </w:tc>
        <w:tc>
          <w:tcPr>
            <w:tcW w:w="428" w:type="dxa"/>
          </w:tcPr>
          <w:p>
            <w:pPr>
              <w:pStyle w:val="TableParagraph"/>
              <w:spacing w:line="206" w:lineRule="exact"/>
              <w:ind w:right="3"/>
              <w:rPr>
                <w:sz w:val="18"/>
              </w:rPr>
            </w:pPr>
            <w:r>
              <w:rPr>
                <w:w w:val="99"/>
                <w:sz w:val="18"/>
              </w:rPr>
              <w:t>1</w:t>
            </w:r>
          </w:p>
        </w:tc>
        <w:tc>
          <w:tcPr>
            <w:tcW w:w="430" w:type="dxa"/>
          </w:tcPr>
          <w:p>
            <w:pPr>
              <w:pStyle w:val="TableParagraph"/>
              <w:spacing w:line="206" w:lineRule="exact"/>
              <w:ind w:right="1"/>
              <w:rPr>
                <w:sz w:val="18"/>
              </w:rPr>
            </w:pPr>
            <w:r>
              <w:rPr>
                <w:w w:val="99"/>
                <w:sz w:val="18"/>
              </w:rPr>
              <w:t>0</w:t>
            </w:r>
          </w:p>
        </w:tc>
        <w:tc>
          <w:tcPr>
            <w:tcW w:w="852" w:type="dxa"/>
          </w:tcPr>
          <w:p>
            <w:pPr>
              <w:pStyle w:val="TableParagraph"/>
              <w:spacing w:line="206" w:lineRule="exact"/>
              <w:ind w:right="1"/>
              <w:rPr>
                <w:sz w:val="18"/>
              </w:rPr>
            </w:pPr>
            <w:r>
              <w:rPr>
                <w:w w:val="99"/>
                <w:sz w:val="18"/>
              </w:rPr>
              <w:t>0</w:t>
            </w:r>
          </w:p>
        </w:tc>
        <w:tc>
          <w:tcPr>
            <w:tcW w:w="850" w:type="dxa"/>
          </w:tcPr>
          <w:p>
            <w:pPr>
              <w:pStyle w:val="TableParagraph"/>
              <w:spacing w:line="206" w:lineRule="exact"/>
              <w:ind w:left="367"/>
              <w:jc w:val="left"/>
              <w:rPr>
                <w:sz w:val="18"/>
              </w:rPr>
            </w:pPr>
            <w:r>
              <w:rPr>
                <w:w w:val="99"/>
                <w:sz w:val="18"/>
              </w:rPr>
              <w:t>0</w:t>
            </w:r>
          </w:p>
        </w:tc>
        <w:tc>
          <w:tcPr>
            <w:tcW w:w="430" w:type="dxa"/>
          </w:tcPr>
          <w:p>
            <w:pPr>
              <w:pStyle w:val="TableParagraph"/>
              <w:spacing w:line="206" w:lineRule="exact"/>
              <w:ind w:right="1"/>
              <w:rPr>
                <w:sz w:val="18"/>
              </w:rPr>
            </w:pPr>
            <w:r>
              <w:rPr>
                <w:w w:val="99"/>
                <w:sz w:val="18"/>
              </w:rPr>
              <w:t>0</w:t>
            </w:r>
          </w:p>
        </w:tc>
        <w:tc>
          <w:tcPr>
            <w:tcW w:w="853" w:type="dxa"/>
          </w:tcPr>
          <w:p>
            <w:pPr>
              <w:pStyle w:val="TableParagraph"/>
              <w:spacing w:line="206" w:lineRule="exact"/>
              <w:ind w:right="6"/>
              <w:rPr>
                <w:sz w:val="18"/>
              </w:rPr>
            </w:pPr>
            <w:r>
              <w:rPr>
                <w:w w:val="99"/>
                <w:sz w:val="18"/>
              </w:rPr>
              <w:t>0</w:t>
            </w:r>
          </w:p>
        </w:tc>
        <w:tc>
          <w:tcPr>
            <w:tcW w:w="473" w:type="dxa"/>
          </w:tcPr>
          <w:p>
            <w:pPr>
              <w:pStyle w:val="TableParagraph"/>
              <w:spacing w:line="206" w:lineRule="exact"/>
              <w:ind w:right="1"/>
              <w:rPr>
                <w:sz w:val="18"/>
              </w:rPr>
            </w:pPr>
            <w:r>
              <w:rPr>
                <w:w w:val="99"/>
                <w:sz w:val="18"/>
              </w:rPr>
              <w:t>0</w:t>
            </w:r>
          </w:p>
        </w:tc>
        <w:tc>
          <w:tcPr>
            <w:tcW w:w="518" w:type="dxa"/>
          </w:tcPr>
          <w:p>
            <w:pPr>
              <w:pStyle w:val="TableParagraph"/>
              <w:spacing w:line="206" w:lineRule="exact"/>
              <w:ind w:left="84" w:right="84"/>
              <w:rPr>
                <w:sz w:val="18"/>
              </w:rPr>
            </w:pPr>
            <w:r>
              <w:rPr>
                <w:sz w:val="18"/>
              </w:rPr>
              <w:t>15</w:t>
            </w:r>
          </w:p>
        </w:tc>
      </w:tr>
      <w:tr>
        <w:trPr>
          <w:trHeight w:val="401" w:hRule="exact"/>
        </w:trPr>
        <w:tc>
          <w:tcPr>
            <w:tcW w:w="2893" w:type="dxa"/>
          </w:tcPr>
          <w:p>
            <w:pPr>
              <w:pStyle w:val="TableParagraph"/>
              <w:spacing w:before="1"/>
              <w:ind w:left="103"/>
              <w:jc w:val="left"/>
              <w:rPr>
                <w:sz w:val="18"/>
              </w:rPr>
            </w:pPr>
            <w:r>
              <w:rPr>
                <w:color w:val="333333"/>
                <w:sz w:val="18"/>
              </w:rPr>
              <w:t>ACULCO</w:t>
            </w:r>
          </w:p>
        </w:tc>
        <w:tc>
          <w:tcPr>
            <w:tcW w:w="430" w:type="dxa"/>
          </w:tcPr>
          <w:p>
            <w:pPr>
              <w:pStyle w:val="TableParagraph"/>
              <w:spacing w:before="1"/>
              <w:ind w:right="1"/>
              <w:rPr>
                <w:sz w:val="18"/>
              </w:rPr>
            </w:pPr>
            <w:r>
              <w:rPr>
                <w:w w:val="99"/>
                <w:sz w:val="18"/>
              </w:rPr>
              <w:t>1</w:t>
            </w:r>
          </w:p>
        </w:tc>
        <w:tc>
          <w:tcPr>
            <w:tcW w:w="430" w:type="dxa"/>
          </w:tcPr>
          <w:p>
            <w:pPr>
              <w:pStyle w:val="TableParagraph"/>
              <w:spacing w:before="1"/>
              <w:ind w:left="155"/>
              <w:jc w:val="left"/>
              <w:rPr>
                <w:sz w:val="18"/>
              </w:rPr>
            </w:pPr>
            <w:r>
              <w:rPr>
                <w:w w:val="99"/>
                <w:sz w:val="18"/>
              </w:rPr>
              <w:t>0</w:t>
            </w:r>
          </w:p>
        </w:tc>
        <w:tc>
          <w:tcPr>
            <w:tcW w:w="427" w:type="dxa"/>
          </w:tcPr>
          <w:p>
            <w:pPr>
              <w:pStyle w:val="TableParagraph"/>
              <w:spacing w:before="1"/>
              <w:ind w:left="88" w:right="88"/>
              <w:rPr>
                <w:sz w:val="18"/>
              </w:rPr>
            </w:pPr>
            <w:r>
              <w:rPr>
                <w:sz w:val="18"/>
              </w:rPr>
              <w:t>16</w:t>
            </w:r>
          </w:p>
        </w:tc>
        <w:tc>
          <w:tcPr>
            <w:tcW w:w="430" w:type="dxa"/>
          </w:tcPr>
          <w:p>
            <w:pPr>
              <w:pStyle w:val="TableParagraph"/>
              <w:spacing w:before="1"/>
              <w:ind w:right="1"/>
              <w:rPr>
                <w:sz w:val="18"/>
              </w:rPr>
            </w:pPr>
            <w:r>
              <w:rPr>
                <w:w w:val="99"/>
                <w:sz w:val="18"/>
              </w:rPr>
              <w:t>1</w:t>
            </w:r>
          </w:p>
        </w:tc>
        <w:tc>
          <w:tcPr>
            <w:tcW w:w="475" w:type="dxa"/>
          </w:tcPr>
          <w:p>
            <w:pPr>
              <w:pStyle w:val="TableParagraph"/>
              <w:spacing w:before="1"/>
              <w:ind w:left="132"/>
              <w:jc w:val="left"/>
              <w:rPr>
                <w:sz w:val="18"/>
              </w:rPr>
            </w:pPr>
            <w:r>
              <w:rPr>
                <w:sz w:val="18"/>
              </w:rPr>
              <w:t>19</w:t>
            </w:r>
          </w:p>
        </w:tc>
        <w:tc>
          <w:tcPr>
            <w:tcW w:w="430" w:type="dxa"/>
          </w:tcPr>
          <w:p>
            <w:pPr>
              <w:pStyle w:val="TableParagraph"/>
              <w:spacing w:before="1"/>
              <w:ind w:right="1"/>
              <w:rPr>
                <w:sz w:val="18"/>
              </w:rPr>
            </w:pPr>
            <w:r>
              <w:rPr>
                <w:w w:val="99"/>
                <w:sz w:val="18"/>
              </w:rPr>
              <w:t>4</w:t>
            </w:r>
          </w:p>
        </w:tc>
        <w:tc>
          <w:tcPr>
            <w:tcW w:w="430" w:type="dxa"/>
          </w:tcPr>
          <w:p>
            <w:pPr>
              <w:pStyle w:val="TableParagraph"/>
              <w:spacing w:before="1"/>
              <w:ind w:left="88" w:right="88"/>
              <w:rPr>
                <w:sz w:val="18"/>
              </w:rPr>
            </w:pPr>
            <w:r>
              <w:rPr>
                <w:sz w:val="18"/>
              </w:rPr>
              <w:t>11</w:t>
            </w:r>
          </w:p>
        </w:tc>
        <w:tc>
          <w:tcPr>
            <w:tcW w:w="428" w:type="dxa"/>
          </w:tcPr>
          <w:p>
            <w:pPr>
              <w:pStyle w:val="TableParagraph"/>
              <w:spacing w:before="1"/>
              <w:ind w:right="3"/>
              <w:rPr>
                <w:sz w:val="18"/>
              </w:rPr>
            </w:pPr>
            <w:r>
              <w:rPr>
                <w:w w:val="99"/>
                <w:sz w:val="18"/>
              </w:rPr>
              <w:t>1</w:t>
            </w:r>
          </w:p>
        </w:tc>
        <w:tc>
          <w:tcPr>
            <w:tcW w:w="430" w:type="dxa"/>
          </w:tcPr>
          <w:p>
            <w:pPr>
              <w:pStyle w:val="TableParagraph"/>
              <w:spacing w:before="1"/>
              <w:ind w:right="1"/>
              <w:rPr>
                <w:sz w:val="18"/>
              </w:rPr>
            </w:pPr>
            <w:r>
              <w:rPr>
                <w:w w:val="99"/>
                <w:sz w:val="18"/>
              </w:rPr>
              <w:t>0</w:t>
            </w:r>
          </w:p>
        </w:tc>
        <w:tc>
          <w:tcPr>
            <w:tcW w:w="852" w:type="dxa"/>
          </w:tcPr>
          <w:p>
            <w:pPr>
              <w:pStyle w:val="TableParagraph"/>
              <w:spacing w:before="1"/>
              <w:ind w:right="1"/>
              <w:rPr>
                <w:sz w:val="18"/>
              </w:rPr>
            </w:pPr>
            <w:r>
              <w:rPr>
                <w:w w:val="99"/>
                <w:sz w:val="18"/>
              </w:rPr>
              <w:t>0</w:t>
            </w:r>
          </w:p>
        </w:tc>
        <w:tc>
          <w:tcPr>
            <w:tcW w:w="850" w:type="dxa"/>
          </w:tcPr>
          <w:p>
            <w:pPr>
              <w:pStyle w:val="TableParagraph"/>
              <w:spacing w:before="1"/>
              <w:ind w:left="367"/>
              <w:jc w:val="left"/>
              <w:rPr>
                <w:sz w:val="18"/>
              </w:rPr>
            </w:pPr>
            <w:r>
              <w:rPr>
                <w:w w:val="99"/>
                <w:sz w:val="18"/>
              </w:rPr>
              <w:t>1</w:t>
            </w:r>
          </w:p>
        </w:tc>
        <w:tc>
          <w:tcPr>
            <w:tcW w:w="430" w:type="dxa"/>
          </w:tcPr>
          <w:p>
            <w:pPr>
              <w:pStyle w:val="TableParagraph"/>
              <w:spacing w:before="1"/>
              <w:ind w:right="1"/>
              <w:rPr>
                <w:sz w:val="18"/>
              </w:rPr>
            </w:pPr>
            <w:r>
              <w:rPr>
                <w:w w:val="99"/>
                <w:sz w:val="18"/>
              </w:rPr>
              <w:t>0</w:t>
            </w:r>
          </w:p>
        </w:tc>
        <w:tc>
          <w:tcPr>
            <w:tcW w:w="853" w:type="dxa"/>
          </w:tcPr>
          <w:p>
            <w:pPr>
              <w:pStyle w:val="TableParagraph"/>
              <w:spacing w:before="1"/>
              <w:ind w:right="6"/>
              <w:rPr>
                <w:sz w:val="18"/>
              </w:rPr>
            </w:pPr>
            <w:r>
              <w:rPr>
                <w:w w:val="99"/>
                <w:sz w:val="18"/>
              </w:rPr>
              <w:t>0</w:t>
            </w:r>
          </w:p>
        </w:tc>
        <w:tc>
          <w:tcPr>
            <w:tcW w:w="473" w:type="dxa"/>
          </w:tcPr>
          <w:p>
            <w:pPr>
              <w:pStyle w:val="TableParagraph"/>
              <w:spacing w:before="1"/>
              <w:ind w:right="1"/>
              <w:rPr>
                <w:sz w:val="18"/>
              </w:rPr>
            </w:pPr>
            <w:r>
              <w:rPr>
                <w:w w:val="99"/>
                <w:sz w:val="18"/>
              </w:rPr>
              <w:t>0</w:t>
            </w:r>
          </w:p>
        </w:tc>
        <w:tc>
          <w:tcPr>
            <w:tcW w:w="518" w:type="dxa"/>
          </w:tcPr>
          <w:p>
            <w:pPr>
              <w:pStyle w:val="TableParagraph"/>
              <w:spacing w:before="1"/>
              <w:ind w:left="84" w:right="84"/>
              <w:rPr>
                <w:sz w:val="18"/>
              </w:rPr>
            </w:pPr>
            <w:r>
              <w:rPr>
                <w:sz w:val="18"/>
              </w:rPr>
              <w:t>54</w:t>
            </w:r>
          </w:p>
        </w:tc>
      </w:tr>
      <w:tr>
        <w:trPr>
          <w:trHeight w:val="401" w:hRule="exact"/>
        </w:trPr>
        <w:tc>
          <w:tcPr>
            <w:tcW w:w="2893" w:type="dxa"/>
          </w:tcPr>
          <w:p>
            <w:pPr>
              <w:pStyle w:val="TableParagraph"/>
              <w:spacing w:line="206" w:lineRule="exact"/>
              <w:ind w:left="103"/>
              <w:jc w:val="left"/>
              <w:rPr>
                <w:sz w:val="18"/>
              </w:rPr>
            </w:pPr>
            <w:r>
              <w:rPr>
                <w:color w:val="333333"/>
                <w:sz w:val="18"/>
              </w:rPr>
              <w:t>ALMOLOYA DE ALQUISIRAS</w:t>
            </w:r>
          </w:p>
        </w:tc>
        <w:tc>
          <w:tcPr>
            <w:tcW w:w="430" w:type="dxa"/>
          </w:tcPr>
          <w:p>
            <w:pPr>
              <w:pStyle w:val="TableParagraph"/>
              <w:spacing w:line="206" w:lineRule="exact"/>
              <w:ind w:right="1"/>
              <w:rPr>
                <w:sz w:val="18"/>
              </w:rPr>
            </w:pPr>
            <w:r>
              <w:rPr>
                <w:w w:val="99"/>
                <w:sz w:val="18"/>
              </w:rPr>
              <w:t>1</w:t>
            </w:r>
          </w:p>
        </w:tc>
        <w:tc>
          <w:tcPr>
            <w:tcW w:w="430" w:type="dxa"/>
          </w:tcPr>
          <w:p>
            <w:pPr>
              <w:pStyle w:val="TableParagraph"/>
              <w:spacing w:line="206" w:lineRule="exact"/>
              <w:ind w:left="155"/>
              <w:jc w:val="left"/>
              <w:rPr>
                <w:sz w:val="18"/>
              </w:rPr>
            </w:pPr>
            <w:r>
              <w:rPr>
                <w:w w:val="99"/>
                <w:sz w:val="18"/>
              </w:rPr>
              <w:t>0</w:t>
            </w:r>
          </w:p>
        </w:tc>
        <w:tc>
          <w:tcPr>
            <w:tcW w:w="427" w:type="dxa"/>
          </w:tcPr>
          <w:p>
            <w:pPr>
              <w:pStyle w:val="TableParagraph"/>
              <w:spacing w:line="206" w:lineRule="exact"/>
              <w:ind w:right="3"/>
              <w:rPr>
                <w:sz w:val="18"/>
              </w:rPr>
            </w:pPr>
            <w:r>
              <w:rPr>
                <w:w w:val="99"/>
                <w:sz w:val="18"/>
              </w:rPr>
              <w:t>3</w:t>
            </w:r>
          </w:p>
        </w:tc>
        <w:tc>
          <w:tcPr>
            <w:tcW w:w="430" w:type="dxa"/>
          </w:tcPr>
          <w:p>
            <w:pPr>
              <w:pStyle w:val="TableParagraph"/>
              <w:spacing w:line="206" w:lineRule="exact"/>
              <w:ind w:right="1"/>
              <w:rPr>
                <w:sz w:val="18"/>
              </w:rPr>
            </w:pPr>
            <w:r>
              <w:rPr>
                <w:w w:val="99"/>
                <w:sz w:val="18"/>
              </w:rPr>
              <w:t>1</w:t>
            </w:r>
          </w:p>
        </w:tc>
        <w:tc>
          <w:tcPr>
            <w:tcW w:w="475" w:type="dxa"/>
          </w:tcPr>
          <w:p>
            <w:pPr>
              <w:pStyle w:val="TableParagraph"/>
              <w:spacing w:line="206" w:lineRule="exact"/>
              <w:ind w:left="182"/>
              <w:jc w:val="left"/>
              <w:rPr>
                <w:sz w:val="18"/>
              </w:rPr>
            </w:pPr>
            <w:r>
              <w:rPr>
                <w:w w:val="99"/>
                <w:sz w:val="18"/>
              </w:rPr>
              <w:t>0</w:t>
            </w:r>
          </w:p>
        </w:tc>
        <w:tc>
          <w:tcPr>
            <w:tcW w:w="430" w:type="dxa"/>
          </w:tcPr>
          <w:p>
            <w:pPr>
              <w:pStyle w:val="TableParagraph"/>
              <w:spacing w:line="206" w:lineRule="exact"/>
              <w:ind w:right="1"/>
              <w:rPr>
                <w:sz w:val="18"/>
              </w:rPr>
            </w:pPr>
            <w:r>
              <w:rPr>
                <w:w w:val="99"/>
                <w:sz w:val="18"/>
              </w:rPr>
              <w:t>0</w:t>
            </w:r>
          </w:p>
        </w:tc>
        <w:tc>
          <w:tcPr>
            <w:tcW w:w="430" w:type="dxa"/>
          </w:tcPr>
          <w:p>
            <w:pPr>
              <w:pStyle w:val="TableParagraph"/>
              <w:spacing w:line="206" w:lineRule="exact"/>
              <w:ind w:right="5"/>
              <w:rPr>
                <w:sz w:val="18"/>
              </w:rPr>
            </w:pPr>
            <w:r>
              <w:rPr>
                <w:w w:val="99"/>
                <w:sz w:val="18"/>
              </w:rPr>
              <w:t>0</w:t>
            </w:r>
          </w:p>
        </w:tc>
        <w:tc>
          <w:tcPr>
            <w:tcW w:w="428" w:type="dxa"/>
          </w:tcPr>
          <w:p>
            <w:pPr>
              <w:pStyle w:val="TableParagraph"/>
              <w:spacing w:line="206" w:lineRule="exact"/>
              <w:ind w:right="3"/>
              <w:rPr>
                <w:sz w:val="18"/>
              </w:rPr>
            </w:pPr>
            <w:r>
              <w:rPr>
                <w:w w:val="99"/>
                <w:sz w:val="18"/>
              </w:rPr>
              <w:t>0</w:t>
            </w:r>
          </w:p>
        </w:tc>
        <w:tc>
          <w:tcPr>
            <w:tcW w:w="430" w:type="dxa"/>
          </w:tcPr>
          <w:p>
            <w:pPr>
              <w:pStyle w:val="TableParagraph"/>
              <w:spacing w:line="206" w:lineRule="exact"/>
              <w:ind w:right="1"/>
              <w:rPr>
                <w:sz w:val="18"/>
              </w:rPr>
            </w:pPr>
            <w:r>
              <w:rPr>
                <w:w w:val="99"/>
                <w:sz w:val="18"/>
              </w:rPr>
              <w:t>0</w:t>
            </w:r>
          </w:p>
        </w:tc>
        <w:tc>
          <w:tcPr>
            <w:tcW w:w="852" w:type="dxa"/>
          </w:tcPr>
          <w:p>
            <w:pPr>
              <w:pStyle w:val="TableParagraph"/>
              <w:spacing w:line="206" w:lineRule="exact"/>
              <w:ind w:right="1"/>
              <w:rPr>
                <w:sz w:val="18"/>
              </w:rPr>
            </w:pPr>
            <w:r>
              <w:rPr>
                <w:w w:val="99"/>
                <w:sz w:val="18"/>
              </w:rPr>
              <w:t>0</w:t>
            </w:r>
          </w:p>
        </w:tc>
        <w:tc>
          <w:tcPr>
            <w:tcW w:w="850" w:type="dxa"/>
          </w:tcPr>
          <w:p>
            <w:pPr>
              <w:pStyle w:val="TableParagraph"/>
              <w:spacing w:line="206" w:lineRule="exact"/>
              <w:ind w:left="367"/>
              <w:jc w:val="left"/>
              <w:rPr>
                <w:sz w:val="18"/>
              </w:rPr>
            </w:pPr>
            <w:r>
              <w:rPr>
                <w:w w:val="99"/>
                <w:sz w:val="18"/>
              </w:rPr>
              <w:t>0</w:t>
            </w:r>
          </w:p>
        </w:tc>
        <w:tc>
          <w:tcPr>
            <w:tcW w:w="430" w:type="dxa"/>
          </w:tcPr>
          <w:p>
            <w:pPr>
              <w:pStyle w:val="TableParagraph"/>
              <w:spacing w:line="206" w:lineRule="exact"/>
              <w:ind w:right="1"/>
              <w:rPr>
                <w:sz w:val="18"/>
              </w:rPr>
            </w:pPr>
            <w:r>
              <w:rPr>
                <w:w w:val="99"/>
                <w:sz w:val="18"/>
              </w:rPr>
              <w:t>0</w:t>
            </w:r>
          </w:p>
        </w:tc>
        <w:tc>
          <w:tcPr>
            <w:tcW w:w="853" w:type="dxa"/>
          </w:tcPr>
          <w:p>
            <w:pPr>
              <w:pStyle w:val="TableParagraph"/>
              <w:spacing w:line="206" w:lineRule="exact"/>
              <w:ind w:right="6"/>
              <w:rPr>
                <w:sz w:val="18"/>
              </w:rPr>
            </w:pPr>
            <w:r>
              <w:rPr>
                <w:w w:val="99"/>
                <w:sz w:val="18"/>
              </w:rPr>
              <w:t>0</w:t>
            </w:r>
          </w:p>
        </w:tc>
        <w:tc>
          <w:tcPr>
            <w:tcW w:w="473" w:type="dxa"/>
          </w:tcPr>
          <w:p>
            <w:pPr>
              <w:pStyle w:val="TableParagraph"/>
              <w:spacing w:line="206" w:lineRule="exact"/>
              <w:ind w:right="1"/>
              <w:rPr>
                <w:sz w:val="18"/>
              </w:rPr>
            </w:pPr>
            <w:r>
              <w:rPr>
                <w:w w:val="99"/>
                <w:sz w:val="18"/>
              </w:rPr>
              <w:t>0</w:t>
            </w:r>
          </w:p>
        </w:tc>
        <w:tc>
          <w:tcPr>
            <w:tcW w:w="518" w:type="dxa"/>
          </w:tcPr>
          <w:p>
            <w:pPr>
              <w:pStyle w:val="TableParagraph"/>
              <w:spacing w:line="206" w:lineRule="exact"/>
              <w:ind w:right="3"/>
              <w:rPr>
                <w:sz w:val="18"/>
              </w:rPr>
            </w:pPr>
            <w:r>
              <w:rPr>
                <w:w w:val="99"/>
                <w:sz w:val="18"/>
              </w:rPr>
              <w:t>5</w:t>
            </w:r>
          </w:p>
        </w:tc>
      </w:tr>
      <w:tr>
        <w:trPr>
          <w:trHeight w:val="398" w:hRule="exact"/>
        </w:trPr>
        <w:tc>
          <w:tcPr>
            <w:tcW w:w="2893" w:type="dxa"/>
          </w:tcPr>
          <w:p>
            <w:pPr>
              <w:pStyle w:val="TableParagraph"/>
              <w:spacing w:line="206" w:lineRule="exact"/>
              <w:ind w:left="103"/>
              <w:jc w:val="left"/>
              <w:rPr>
                <w:sz w:val="18"/>
              </w:rPr>
            </w:pPr>
            <w:r>
              <w:rPr>
                <w:color w:val="333333"/>
                <w:sz w:val="18"/>
              </w:rPr>
              <w:t>ALMOLOYA DE JUAREZ</w:t>
            </w:r>
          </w:p>
        </w:tc>
        <w:tc>
          <w:tcPr>
            <w:tcW w:w="430" w:type="dxa"/>
          </w:tcPr>
          <w:p>
            <w:pPr>
              <w:pStyle w:val="TableParagraph"/>
              <w:spacing w:line="206" w:lineRule="exact"/>
              <w:ind w:right="1"/>
              <w:rPr>
                <w:sz w:val="18"/>
              </w:rPr>
            </w:pPr>
            <w:r>
              <w:rPr>
                <w:w w:val="99"/>
                <w:sz w:val="18"/>
              </w:rPr>
              <w:t>1</w:t>
            </w:r>
          </w:p>
        </w:tc>
        <w:tc>
          <w:tcPr>
            <w:tcW w:w="430" w:type="dxa"/>
          </w:tcPr>
          <w:p>
            <w:pPr>
              <w:pStyle w:val="TableParagraph"/>
              <w:spacing w:line="206" w:lineRule="exact"/>
              <w:ind w:left="155"/>
              <w:jc w:val="left"/>
              <w:rPr>
                <w:sz w:val="18"/>
              </w:rPr>
            </w:pPr>
            <w:r>
              <w:rPr>
                <w:w w:val="99"/>
                <w:sz w:val="18"/>
              </w:rPr>
              <w:t>0</w:t>
            </w:r>
          </w:p>
        </w:tc>
        <w:tc>
          <w:tcPr>
            <w:tcW w:w="427" w:type="dxa"/>
          </w:tcPr>
          <w:p>
            <w:pPr>
              <w:pStyle w:val="TableParagraph"/>
              <w:spacing w:line="206" w:lineRule="exact"/>
              <w:ind w:right="3"/>
              <w:rPr>
                <w:sz w:val="18"/>
              </w:rPr>
            </w:pPr>
            <w:r>
              <w:rPr>
                <w:w w:val="99"/>
                <w:sz w:val="18"/>
              </w:rPr>
              <w:t>6</w:t>
            </w:r>
          </w:p>
        </w:tc>
        <w:tc>
          <w:tcPr>
            <w:tcW w:w="430" w:type="dxa"/>
          </w:tcPr>
          <w:p>
            <w:pPr>
              <w:pStyle w:val="TableParagraph"/>
              <w:spacing w:line="206" w:lineRule="exact"/>
              <w:ind w:right="1"/>
              <w:rPr>
                <w:sz w:val="18"/>
              </w:rPr>
            </w:pPr>
            <w:r>
              <w:rPr>
                <w:w w:val="99"/>
                <w:sz w:val="18"/>
              </w:rPr>
              <w:t>1</w:t>
            </w:r>
          </w:p>
        </w:tc>
        <w:tc>
          <w:tcPr>
            <w:tcW w:w="475" w:type="dxa"/>
          </w:tcPr>
          <w:p>
            <w:pPr>
              <w:pStyle w:val="TableParagraph"/>
              <w:spacing w:line="206" w:lineRule="exact"/>
              <w:ind w:left="132"/>
              <w:jc w:val="left"/>
              <w:rPr>
                <w:sz w:val="18"/>
              </w:rPr>
            </w:pPr>
            <w:r>
              <w:rPr>
                <w:sz w:val="18"/>
              </w:rPr>
              <w:t>22</w:t>
            </w:r>
          </w:p>
        </w:tc>
        <w:tc>
          <w:tcPr>
            <w:tcW w:w="430" w:type="dxa"/>
          </w:tcPr>
          <w:p>
            <w:pPr>
              <w:pStyle w:val="TableParagraph"/>
              <w:spacing w:line="206" w:lineRule="exact"/>
              <w:ind w:right="1"/>
              <w:rPr>
                <w:sz w:val="18"/>
              </w:rPr>
            </w:pPr>
            <w:r>
              <w:rPr>
                <w:w w:val="99"/>
                <w:sz w:val="18"/>
              </w:rPr>
              <w:t>9</w:t>
            </w:r>
          </w:p>
        </w:tc>
        <w:tc>
          <w:tcPr>
            <w:tcW w:w="430" w:type="dxa"/>
          </w:tcPr>
          <w:p>
            <w:pPr>
              <w:pStyle w:val="TableParagraph"/>
              <w:spacing w:line="206" w:lineRule="exact"/>
              <w:ind w:right="5"/>
              <w:rPr>
                <w:sz w:val="18"/>
              </w:rPr>
            </w:pPr>
            <w:r>
              <w:rPr>
                <w:w w:val="99"/>
                <w:sz w:val="18"/>
              </w:rPr>
              <w:t>4</w:t>
            </w:r>
          </w:p>
        </w:tc>
        <w:tc>
          <w:tcPr>
            <w:tcW w:w="428" w:type="dxa"/>
          </w:tcPr>
          <w:p>
            <w:pPr>
              <w:pStyle w:val="TableParagraph"/>
              <w:spacing w:line="206" w:lineRule="exact"/>
              <w:ind w:right="3"/>
              <w:rPr>
                <w:sz w:val="18"/>
              </w:rPr>
            </w:pPr>
            <w:r>
              <w:rPr>
                <w:w w:val="99"/>
                <w:sz w:val="18"/>
              </w:rPr>
              <w:t>4</w:t>
            </w:r>
          </w:p>
        </w:tc>
        <w:tc>
          <w:tcPr>
            <w:tcW w:w="430" w:type="dxa"/>
          </w:tcPr>
          <w:p>
            <w:pPr>
              <w:pStyle w:val="TableParagraph"/>
              <w:spacing w:line="206" w:lineRule="exact"/>
              <w:ind w:right="1"/>
              <w:rPr>
                <w:sz w:val="18"/>
              </w:rPr>
            </w:pPr>
            <w:r>
              <w:rPr>
                <w:w w:val="99"/>
                <w:sz w:val="18"/>
              </w:rPr>
              <w:t>4</w:t>
            </w:r>
          </w:p>
        </w:tc>
        <w:tc>
          <w:tcPr>
            <w:tcW w:w="852" w:type="dxa"/>
          </w:tcPr>
          <w:p>
            <w:pPr>
              <w:pStyle w:val="TableParagraph"/>
              <w:spacing w:line="206" w:lineRule="exact"/>
              <w:ind w:right="1"/>
              <w:rPr>
                <w:sz w:val="18"/>
              </w:rPr>
            </w:pPr>
            <w:r>
              <w:rPr>
                <w:w w:val="99"/>
                <w:sz w:val="18"/>
              </w:rPr>
              <w:t>1</w:t>
            </w:r>
          </w:p>
        </w:tc>
        <w:tc>
          <w:tcPr>
            <w:tcW w:w="850" w:type="dxa"/>
          </w:tcPr>
          <w:p>
            <w:pPr>
              <w:pStyle w:val="TableParagraph"/>
              <w:spacing w:line="206" w:lineRule="exact"/>
              <w:ind w:left="367"/>
              <w:jc w:val="left"/>
              <w:rPr>
                <w:sz w:val="18"/>
              </w:rPr>
            </w:pPr>
            <w:r>
              <w:rPr>
                <w:w w:val="99"/>
                <w:sz w:val="18"/>
              </w:rPr>
              <w:t>2</w:t>
            </w:r>
          </w:p>
        </w:tc>
        <w:tc>
          <w:tcPr>
            <w:tcW w:w="430" w:type="dxa"/>
          </w:tcPr>
          <w:p>
            <w:pPr>
              <w:pStyle w:val="TableParagraph"/>
              <w:spacing w:line="206" w:lineRule="exact"/>
              <w:ind w:right="1"/>
              <w:rPr>
                <w:sz w:val="18"/>
              </w:rPr>
            </w:pPr>
            <w:r>
              <w:rPr>
                <w:w w:val="99"/>
                <w:sz w:val="18"/>
              </w:rPr>
              <w:t>0</w:t>
            </w:r>
          </w:p>
        </w:tc>
        <w:tc>
          <w:tcPr>
            <w:tcW w:w="853" w:type="dxa"/>
          </w:tcPr>
          <w:p>
            <w:pPr>
              <w:pStyle w:val="TableParagraph"/>
              <w:spacing w:line="206" w:lineRule="exact"/>
              <w:ind w:right="6"/>
              <w:rPr>
                <w:sz w:val="18"/>
              </w:rPr>
            </w:pPr>
            <w:r>
              <w:rPr>
                <w:w w:val="99"/>
                <w:sz w:val="18"/>
              </w:rPr>
              <w:t>0</w:t>
            </w:r>
          </w:p>
        </w:tc>
        <w:tc>
          <w:tcPr>
            <w:tcW w:w="473" w:type="dxa"/>
          </w:tcPr>
          <w:p>
            <w:pPr>
              <w:pStyle w:val="TableParagraph"/>
              <w:spacing w:line="206" w:lineRule="exact"/>
              <w:ind w:right="1"/>
              <w:rPr>
                <w:sz w:val="18"/>
              </w:rPr>
            </w:pPr>
            <w:r>
              <w:rPr>
                <w:w w:val="99"/>
                <w:sz w:val="18"/>
              </w:rPr>
              <w:t>5</w:t>
            </w:r>
          </w:p>
        </w:tc>
        <w:tc>
          <w:tcPr>
            <w:tcW w:w="518" w:type="dxa"/>
          </w:tcPr>
          <w:p>
            <w:pPr>
              <w:pStyle w:val="TableParagraph"/>
              <w:spacing w:line="206" w:lineRule="exact"/>
              <w:ind w:left="84" w:right="84"/>
              <w:rPr>
                <w:sz w:val="18"/>
              </w:rPr>
            </w:pPr>
            <w:r>
              <w:rPr>
                <w:sz w:val="18"/>
              </w:rPr>
              <w:t>59</w:t>
            </w:r>
          </w:p>
        </w:tc>
      </w:tr>
      <w:tr>
        <w:trPr>
          <w:trHeight w:val="401" w:hRule="exact"/>
        </w:trPr>
        <w:tc>
          <w:tcPr>
            <w:tcW w:w="2893" w:type="dxa"/>
          </w:tcPr>
          <w:p>
            <w:pPr>
              <w:pStyle w:val="TableParagraph"/>
              <w:spacing w:before="1"/>
              <w:ind w:left="103"/>
              <w:jc w:val="left"/>
              <w:rPr>
                <w:sz w:val="18"/>
              </w:rPr>
            </w:pPr>
            <w:r>
              <w:rPr>
                <w:color w:val="333333"/>
                <w:sz w:val="18"/>
              </w:rPr>
              <w:t>ALMOLOYA DEL RIO</w:t>
            </w:r>
          </w:p>
        </w:tc>
        <w:tc>
          <w:tcPr>
            <w:tcW w:w="430" w:type="dxa"/>
          </w:tcPr>
          <w:p>
            <w:pPr>
              <w:pStyle w:val="TableParagraph"/>
              <w:spacing w:before="1"/>
              <w:ind w:right="1"/>
              <w:rPr>
                <w:sz w:val="18"/>
              </w:rPr>
            </w:pPr>
            <w:r>
              <w:rPr>
                <w:w w:val="99"/>
                <w:sz w:val="18"/>
              </w:rPr>
              <w:t>1</w:t>
            </w:r>
          </w:p>
        </w:tc>
        <w:tc>
          <w:tcPr>
            <w:tcW w:w="430" w:type="dxa"/>
          </w:tcPr>
          <w:p>
            <w:pPr>
              <w:pStyle w:val="TableParagraph"/>
              <w:spacing w:before="1"/>
              <w:ind w:left="155"/>
              <w:jc w:val="left"/>
              <w:rPr>
                <w:sz w:val="18"/>
              </w:rPr>
            </w:pPr>
            <w:r>
              <w:rPr>
                <w:w w:val="99"/>
                <w:sz w:val="18"/>
              </w:rPr>
              <w:t>0</w:t>
            </w:r>
          </w:p>
        </w:tc>
        <w:tc>
          <w:tcPr>
            <w:tcW w:w="427" w:type="dxa"/>
          </w:tcPr>
          <w:p>
            <w:pPr>
              <w:pStyle w:val="TableParagraph"/>
              <w:spacing w:before="1"/>
              <w:ind w:left="88" w:right="88"/>
              <w:rPr>
                <w:sz w:val="18"/>
              </w:rPr>
            </w:pPr>
            <w:r>
              <w:rPr>
                <w:sz w:val="18"/>
              </w:rPr>
              <w:t>15</w:t>
            </w:r>
          </w:p>
        </w:tc>
        <w:tc>
          <w:tcPr>
            <w:tcW w:w="430" w:type="dxa"/>
          </w:tcPr>
          <w:p>
            <w:pPr>
              <w:pStyle w:val="TableParagraph"/>
              <w:spacing w:before="1"/>
              <w:ind w:right="1"/>
              <w:rPr>
                <w:sz w:val="18"/>
              </w:rPr>
            </w:pPr>
            <w:r>
              <w:rPr>
                <w:w w:val="99"/>
                <w:sz w:val="18"/>
              </w:rPr>
              <w:t>1</w:t>
            </w:r>
          </w:p>
        </w:tc>
        <w:tc>
          <w:tcPr>
            <w:tcW w:w="475" w:type="dxa"/>
          </w:tcPr>
          <w:p>
            <w:pPr>
              <w:pStyle w:val="TableParagraph"/>
              <w:spacing w:before="1"/>
              <w:ind w:left="132"/>
              <w:jc w:val="left"/>
              <w:rPr>
                <w:sz w:val="18"/>
              </w:rPr>
            </w:pPr>
            <w:r>
              <w:rPr>
                <w:sz w:val="18"/>
              </w:rPr>
              <w:t>43</w:t>
            </w:r>
          </w:p>
        </w:tc>
        <w:tc>
          <w:tcPr>
            <w:tcW w:w="430" w:type="dxa"/>
          </w:tcPr>
          <w:p>
            <w:pPr>
              <w:pStyle w:val="TableParagraph"/>
              <w:spacing w:before="1"/>
              <w:ind w:right="1"/>
              <w:rPr>
                <w:sz w:val="18"/>
              </w:rPr>
            </w:pPr>
            <w:r>
              <w:rPr>
                <w:w w:val="99"/>
                <w:sz w:val="18"/>
              </w:rPr>
              <w:t>6</w:t>
            </w:r>
          </w:p>
        </w:tc>
        <w:tc>
          <w:tcPr>
            <w:tcW w:w="430" w:type="dxa"/>
          </w:tcPr>
          <w:p>
            <w:pPr>
              <w:pStyle w:val="TableParagraph"/>
              <w:spacing w:before="1"/>
              <w:ind w:right="5"/>
              <w:rPr>
                <w:sz w:val="18"/>
              </w:rPr>
            </w:pPr>
            <w:r>
              <w:rPr>
                <w:w w:val="99"/>
                <w:sz w:val="18"/>
              </w:rPr>
              <w:t>3</w:t>
            </w:r>
          </w:p>
        </w:tc>
        <w:tc>
          <w:tcPr>
            <w:tcW w:w="428" w:type="dxa"/>
          </w:tcPr>
          <w:p>
            <w:pPr>
              <w:pStyle w:val="TableParagraph"/>
              <w:spacing w:before="1"/>
              <w:ind w:right="3"/>
              <w:rPr>
                <w:sz w:val="18"/>
              </w:rPr>
            </w:pPr>
            <w:r>
              <w:rPr>
                <w:w w:val="99"/>
                <w:sz w:val="18"/>
              </w:rPr>
              <w:t>0</w:t>
            </w:r>
          </w:p>
        </w:tc>
        <w:tc>
          <w:tcPr>
            <w:tcW w:w="430" w:type="dxa"/>
          </w:tcPr>
          <w:p>
            <w:pPr>
              <w:pStyle w:val="TableParagraph"/>
              <w:spacing w:before="1"/>
              <w:ind w:right="1"/>
              <w:rPr>
                <w:sz w:val="18"/>
              </w:rPr>
            </w:pPr>
            <w:r>
              <w:rPr>
                <w:w w:val="99"/>
                <w:sz w:val="18"/>
              </w:rPr>
              <w:t>0</w:t>
            </w:r>
          </w:p>
        </w:tc>
        <w:tc>
          <w:tcPr>
            <w:tcW w:w="852" w:type="dxa"/>
          </w:tcPr>
          <w:p>
            <w:pPr>
              <w:pStyle w:val="TableParagraph"/>
              <w:spacing w:before="1"/>
              <w:ind w:right="1"/>
              <w:rPr>
                <w:sz w:val="18"/>
              </w:rPr>
            </w:pPr>
            <w:r>
              <w:rPr>
                <w:w w:val="99"/>
                <w:sz w:val="18"/>
              </w:rPr>
              <w:t>0</w:t>
            </w:r>
          </w:p>
        </w:tc>
        <w:tc>
          <w:tcPr>
            <w:tcW w:w="850" w:type="dxa"/>
          </w:tcPr>
          <w:p>
            <w:pPr>
              <w:pStyle w:val="TableParagraph"/>
              <w:spacing w:before="1"/>
              <w:ind w:left="367"/>
              <w:jc w:val="left"/>
              <w:rPr>
                <w:sz w:val="18"/>
              </w:rPr>
            </w:pPr>
            <w:r>
              <w:rPr>
                <w:w w:val="99"/>
                <w:sz w:val="18"/>
              </w:rPr>
              <w:t>0</w:t>
            </w:r>
          </w:p>
        </w:tc>
        <w:tc>
          <w:tcPr>
            <w:tcW w:w="430" w:type="dxa"/>
          </w:tcPr>
          <w:p>
            <w:pPr>
              <w:pStyle w:val="TableParagraph"/>
              <w:spacing w:before="1"/>
              <w:ind w:right="1"/>
              <w:rPr>
                <w:sz w:val="18"/>
              </w:rPr>
            </w:pPr>
            <w:r>
              <w:rPr>
                <w:w w:val="99"/>
                <w:sz w:val="18"/>
              </w:rPr>
              <w:t>0</w:t>
            </w:r>
          </w:p>
        </w:tc>
        <w:tc>
          <w:tcPr>
            <w:tcW w:w="853" w:type="dxa"/>
          </w:tcPr>
          <w:p>
            <w:pPr>
              <w:pStyle w:val="TableParagraph"/>
              <w:spacing w:before="1"/>
              <w:ind w:right="6"/>
              <w:rPr>
                <w:sz w:val="18"/>
              </w:rPr>
            </w:pPr>
            <w:r>
              <w:rPr>
                <w:w w:val="99"/>
                <w:sz w:val="18"/>
              </w:rPr>
              <w:t>0</w:t>
            </w:r>
          </w:p>
        </w:tc>
        <w:tc>
          <w:tcPr>
            <w:tcW w:w="473" w:type="dxa"/>
          </w:tcPr>
          <w:p>
            <w:pPr>
              <w:pStyle w:val="TableParagraph"/>
              <w:spacing w:before="1"/>
              <w:ind w:right="1"/>
              <w:rPr>
                <w:sz w:val="18"/>
              </w:rPr>
            </w:pPr>
            <w:r>
              <w:rPr>
                <w:w w:val="99"/>
                <w:sz w:val="18"/>
              </w:rPr>
              <w:t>7</w:t>
            </w:r>
          </w:p>
        </w:tc>
        <w:tc>
          <w:tcPr>
            <w:tcW w:w="518" w:type="dxa"/>
          </w:tcPr>
          <w:p>
            <w:pPr>
              <w:pStyle w:val="TableParagraph"/>
              <w:spacing w:before="1"/>
              <w:ind w:left="84" w:right="84"/>
              <w:rPr>
                <w:sz w:val="18"/>
              </w:rPr>
            </w:pPr>
            <w:r>
              <w:rPr>
                <w:sz w:val="18"/>
              </w:rPr>
              <w:t>76</w:t>
            </w:r>
          </w:p>
        </w:tc>
      </w:tr>
      <w:tr>
        <w:trPr>
          <w:trHeight w:val="401" w:hRule="exact"/>
        </w:trPr>
        <w:tc>
          <w:tcPr>
            <w:tcW w:w="2893" w:type="dxa"/>
          </w:tcPr>
          <w:p>
            <w:pPr>
              <w:pStyle w:val="TableParagraph"/>
              <w:spacing w:line="206" w:lineRule="exact"/>
              <w:ind w:left="103"/>
              <w:jc w:val="left"/>
              <w:rPr>
                <w:sz w:val="18"/>
              </w:rPr>
            </w:pPr>
            <w:r>
              <w:rPr>
                <w:color w:val="333333"/>
                <w:sz w:val="18"/>
              </w:rPr>
              <w:t>AMANALCO</w:t>
            </w:r>
          </w:p>
        </w:tc>
        <w:tc>
          <w:tcPr>
            <w:tcW w:w="430" w:type="dxa"/>
          </w:tcPr>
          <w:p>
            <w:pPr>
              <w:pStyle w:val="TableParagraph"/>
              <w:spacing w:line="206" w:lineRule="exact"/>
              <w:ind w:right="1"/>
              <w:rPr>
                <w:sz w:val="18"/>
              </w:rPr>
            </w:pPr>
            <w:r>
              <w:rPr>
                <w:w w:val="99"/>
                <w:sz w:val="18"/>
              </w:rPr>
              <w:t>1</w:t>
            </w:r>
          </w:p>
        </w:tc>
        <w:tc>
          <w:tcPr>
            <w:tcW w:w="430" w:type="dxa"/>
          </w:tcPr>
          <w:p>
            <w:pPr>
              <w:pStyle w:val="TableParagraph"/>
              <w:spacing w:line="206" w:lineRule="exact"/>
              <w:ind w:left="155"/>
              <w:jc w:val="left"/>
              <w:rPr>
                <w:sz w:val="18"/>
              </w:rPr>
            </w:pPr>
            <w:r>
              <w:rPr>
                <w:w w:val="99"/>
                <w:sz w:val="18"/>
              </w:rPr>
              <w:t>0</w:t>
            </w:r>
          </w:p>
        </w:tc>
        <w:tc>
          <w:tcPr>
            <w:tcW w:w="427" w:type="dxa"/>
          </w:tcPr>
          <w:p>
            <w:pPr>
              <w:pStyle w:val="TableParagraph"/>
              <w:spacing w:line="206" w:lineRule="exact"/>
              <w:ind w:right="3"/>
              <w:rPr>
                <w:sz w:val="18"/>
              </w:rPr>
            </w:pPr>
            <w:r>
              <w:rPr>
                <w:w w:val="99"/>
                <w:sz w:val="18"/>
              </w:rPr>
              <w:t>6</w:t>
            </w:r>
          </w:p>
        </w:tc>
        <w:tc>
          <w:tcPr>
            <w:tcW w:w="430" w:type="dxa"/>
          </w:tcPr>
          <w:p>
            <w:pPr>
              <w:pStyle w:val="TableParagraph"/>
              <w:spacing w:line="206" w:lineRule="exact"/>
              <w:ind w:right="1"/>
              <w:rPr>
                <w:sz w:val="18"/>
              </w:rPr>
            </w:pPr>
            <w:r>
              <w:rPr>
                <w:w w:val="99"/>
                <w:sz w:val="18"/>
              </w:rPr>
              <w:t>1</w:t>
            </w:r>
          </w:p>
        </w:tc>
        <w:tc>
          <w:tcPr>
            <w:tcW w:w="475" w:type="dxa"/>
          </w:tcPr>
          <w:p>
            <w:pPr>
              <w:pStyle w:val="TableParagraph"/>
              <w:spacing w:line="206" w:lineRule="exact"/>
              <w:ind w:left="132"/>
              <w:jc w:val="left"/>
              <w:rPr>
                <w:sz w:val="18"/>
              </w:rPr>
            </w:pPr>
            <w:r>
              <w:rPr>
                <w:sz w:val="18"/>
              </w:rPr>
              <w:t>11</w:t>
            </w:r>
          </w:p>
        </w:tc>
        <w:tc>
          <w:tcPr>
            <w:tcW w:w="430" w:type="dxa"/>
          </w:tcPr>
          <w:p>
            <w:pPr>
              <w:pStyle w:val="TableParagraph"/>
              <w:spacing w:line="206" w:lineRule="exact"/>
              <w:ind w:right="1"/>
              <w:rPr>
                <w:sz w:val="18"/>
              </w:rPr>
            </w:pPr>
            <w:r>
              <w:rPr>
                <w:w w:val="99"/>
                <w:sz w:val="18"/>
              </w:rPr>
              <w:t>7</w:t>
            </w:r>
          </w:p>
        </w:tc>
        <w:tc>
          <w:tcPr>
            <w:tcW w:w="430" w:type="dxa"/>
          </w:tcPr>
          <w:p>
            <w:pPr>
              <w:pStyle w:val="TableParagraph"/>
              <w:spacing w:line="206" w:lineRule="exact"/>
              <w:ind w:left="88" w:right="88"/>
              <w:rPr>
                <w:sz w:val="18"/>
              </w:rPr>
            </w:pPr>
            <w:r>
              <w:rPr>
                <w:sz w:val="18"/>
              </w:rPr>
              <w:t>14</w:t>
            </w:r>
          </w:p>
        </w:tc>
        <w:tc>
          <w:tcPr>
            <w:tcW w:w="428" w:type="dxa"/>
          </w:tcPr>
          <w:p>
            <w:pPr>
              <w:pStyle w:val="TableParagraph"/>
              <w:spacing w:line="206" w:lineRule="exact"/>
              <w:ind w:right="3"/>
              <w:rPr>
                <w:sz w:val="18"/>
              </w:rPr>
            </w:pPr>
            <w:r>
              <w:rPr>
                <w:w w:val="99"/>
                <w:sz w:val="18"/>
              </w:rPr>
              <w:t>0</w:t>
            </w:r>
          </w:p>
        </w:tc>
        <w:tc>
          <w:tcPr>
            <w:tcW w:w="430" w:type="dxa"/>
          </w:tcPr>
          <w:p>
            <w:pPr>
              <w:pStyle w:val="TableParagraph"/>
              <w:spacing w:line="206" w:lineRule="exact"/>
              <w:ind w:right="1"/>
              <w:rPr>
                <w:sz w:val="18"/>
              </w:rPr>
            </w:pPr>
            <w:r>
              <w:rPr>
                <w:w w:val="99"/>
                <w:sz w:val="18"/>
              </w:rPr>
              <w:t>0</w:t>
            </w:r>
          </w:p>
        </w:tc>
        <w:tc>
          <w:tcPr>
            <w:tcW w:w="852" w:type="dxa"/>
          </w:tcPr>
          <w:p>
            <w:pPr>
              <w:pStyle w:val="TableParagraph"/>
              <w:spacing w:line="206" w:lineRule="exact"/>
              <w:ind w:right="1"/>
              <w:rPr>
                <w:sz w:val="18"/>
              </w:rPr>
            </w:pPr>
            <w:r>
              <w:rPr>
                <w:w w:val="99"/>
                <w:sz w:val="18"/>
              </w:rPr>
              <w:t>1</w:t>
            </w:r>
          </w:p>
        </w:tc>
        <w:tc>
          <w:tcPr>
            <w:tcW w:w="850" w:type="dxa"/>
          </w:tcPr>
          <w:p>
            <w:pPr>
              <w:pStyle w:val="TableParagraph"/>
              <w:spacing w:line="206" w:lineRule="exact"/>
              <w:ind w:left="367"/>
              <w:jc w:val="left"/>
              <w:rPr>
                <w:sz w:val="18"/>
              </w:rPr>
            </w:pPr>
            <w:r>
              <w:rPr>
                <w:w w:val="99"/>
                <w:sz w:val="18"/>
              </w:rPr>
              <w:t>2</w:t>
            </w:r>
          </w:p>
        </w:tc>
        <w:tc>
          <w:tcPr>
            <w:tcW w:w="430" w:type="dxa"/>
          </w:tcPr>
          <w:p>
            <w:pPr>
              <w:pStyle w:val="TableParagraph"/>
              <w:spacing w:line="206" w:lineRule="exact"/>
              <w:ind w:right="1"/>
              <w:rPr>
                <w:sz w:val="18"/>
              </w:rPr>
            </w:pPr>
            <w:r>
              <w:rPr>
                <w:w w:val="99"/>
                <w:sz w:val="18"/>
              </w:rPr>
              <w:t>1</w:t>
            </w:r>
          </w:p>
        </w:tc>
        <w:tc>
          <w:tcPr>
            <w:tcW w:w="853" w:type="dxa"/>
          </w:tcPr>
          <w:p>
            <w:pPr>
              <w:pStyle w:val="TableParagraph"/>
              <w:spacing w:line="206" w:lineRule="exact"/>
              <w:ind w:right="6"/>
              <w:rPr>
                <w:sz w:val="18"/>
              </w:rPr>
            </w:pPr>
            <w:r>
              <w:rPr>
                <w:w w:val="99"/>
                <w:sz w:val="18"/>
              </w:rPr>
              <w:t>0</w:t>
            </w:r>
          </w:p>
        </w:tc>
        <w:tc>
          <w:tcPr>
            <w:tcW w:w="473" w:type="dxa"/>
          </w:tcPr>
          <w:p>
            <w:pPr>
              <w:pStyle w:val="TableParagraph"/>
              <w:spacing w:line="206" w:lineRule="exact"/>
              <w:ind w:left="60" w:right="60"/>
              <w:rPr>
                <w:sz w:val="18"/>
              </w:rPr>
            </w:pPr>
            <w:r>
              <w:rPr>
                <w:sz w:val="18"/>
              </w:rPr>
              <w:t>11</w:t>
            </w:r>
          </w:p>
        </w:tc>
        <w:tc>
          <w:tcPr>
            <w:tcW w:w="518" w:type="dxa"/>
          </w:tcPr>
          <w:p>
            <w:pPr>
              <w:pStyle w:val="TableParagraph"/>
              <w:spacing w:line="206" w:lineRule="exact"/>
              <w:ind w:left="84" w:right="84"/>
              <w:rPr>
                <w:sz w:val="18"/>
              </w:rPr>
            </w:pPr>
            <w:r>
              <w:rPr>
                <w:sz w:val="18"/>
              </w:rPr>
              <w:t>55</w:t>
            </w:r>
          </w:p>
        </w:tc>
      </w:tr>
      <w:tr>
        <w:trPr>
          <w:trHeight w:val="398" w:hRule="exact"/>
        </w:trPr>
        <w:tc>
          <w:tcPr>
            <w:tcW w:w="2893" w:type="dxa"/>
          </w:tcPr>
          <w:p>
            <w:pPr>
              <w:pStyle w:val="TableParagraph"/>
              <w:spacing w:line="206" w:lineRule="exact"/>
              <w:ind w:left="103"/>
              <w:jc w:val="left"/>
              <w:rPr>
                <w:sz w:val="18"/>
              </w:rPr>
            </w:pPr>
            <w:r>
              <w:rPr>
                <w:color w:val="333333"/>
                <w:sz w:val="18"/>
              </w:rPr>
              <w:t>AMATEPEC</w:t>
            </w:r>
          </w:p>
        </w:tc>
        <w:tc>
          <w:tcPr>
            <w:tcW w:w="430" w:type="dxa"/>
          </w:tcPr>
          <w:p>
            <w:pPr>
              <w:pStyle w:val="TableParagraph"/>
              <w:spacing w:line="206" w:lineRule="exact"/>
              <w:ind w:right="1"/>
              <w:rPr>
                <w:sz w:val="18"/>
              </w:rPr>
            </w:pPr>
            <w:r>
              <w:rPr>
                <w:w w:val="99"/>
                <w:sz w:val="18"/>
              </w:rPr>
              <w:t>1</w:t>
            </w:r>
          </w:p>
        </w:tc>
        <w:tc>
          <w:tcPr>
            <w:tcW w:w="430" w:type="dxa"/>
          </w:tcPr>
          <w:p>
            <w:pPr>
              <w:pStyle w:val="TableParagraph"/>
              <w:spacing w:line="206" w:lineRule="exact"/>
              <w:ind w:left="155"/>
              <w:jc w:val="left"/>
              <w:rPr>
                <w:sz w:val="18"/>
              </w:rPr>
            </w:pPr>
            <w:r>
              <w:rPr>
                <w:w w:val="99"/>
                <w:sz w:val="18"/>
              </w:rPr>
              <w:t>0</w:t>
            </w:r>
          </w:p>
        </w:tc>
        <w:tc>
          <w:tcPr>
            <w:tcW w:w="427" w:type="dxa"/>
          </w:tcPr>
          <w:p>
            <w:pPr>
              <w:pStyle w:val="TableParagraph"/>
              <w:spacing w:line="206" w:lineRule="exact"/>
              <w:ind w:right="3"/>
              <w:rPr>
                <w:sz w:val="18"/>
              </w:rPr>
            </w:pPr>
            <w:r>
              <w:rPr>
                <w:w w:val="99"/>
                <w:sz w:val="18"/>
              </w:rPr>
              <w:t>3</w:t>
            </w:r>
          </w:p>
        </w:tc>
        <w:tc>
          <w:tcPr>
            <w:tcW w:w="430" w:type="dxa"/>
          </w:tcPr>
          <w:p>
            <w:pPr>
              <w:pStyle w:val="TableParagraph"/>
              <w:spacing w:line="206" w:lineRule="exact"/>
              <w:ind w:right="1"/>
              <w:rPr>
                <w:sz w:val="18"/>
              </w:rPr>
            </w:pPr>
            <w:r>
              <w:rPr>
                <w:w w:val="99"/>
                <w:sz w:val="18"/>
              </w:rPr>
              <w:t>1</w:t>
            </w:r>
          </w:p>
        </w:tc>
        <w:tc>
          <w:tcPr>
            <w:tcW w:w="475" w:type="dxa"/>
          </w:tcPr>
          <w:p>
            <w:pPr>
              <w:pStyle w:val="TableParagraph"/>
              <w:spacing w:line="206" w:lineRule="exact"/>
              <w:ind w:left="132"/>
              <w:jc w:val="left"/>
              <w:rPr>
                <w:sz w:val="18"/>
              </w:rPr>
            </w:pPr>
            <w:r>
              <w:rPr>
                <w:sz w:val="18"/>
              </w:rPr>
              <w:t>27</w:t>
            </w:r>
          </w:p>
        </w:tc>
        <w:tc>
          <w:tcPr>
            <w:tcW w:w="430" w:type="dxa"/>
          </w:tcPr>
          <w:p>
            <w:pPr>
              <w:pStyle w:val="TableParagraph"/>
              <w:spacing w:line="206" w:lineRule="exact"/>
              <w:ind w:right="1"/>
              <w:rPr>
                <w:sz w:val="18"/>
              </w:rPr>
            </w:pPr>
            <w:r>
              <w:rPr>
                <w:w w:val="99"/>
                <w:sz w:val="18"/>
              </w:rPr>
              <w:t>0</w:t>
            </w:r>
          </w:p>
        </w:tc>
        <w:tc>
          <w:tcPr>
            <w:tcW w:w="430" w:type="dxa"/>
          </w:tcPr>
          <w:p>
            <w:pPr>
              <w:pStyle w:val="TableParagraph"/>
              <w:spacing w:line="206" w:lineRule="exact"/>
              <w:ind w:right="5"/>
              <w:rPr>
                <w:sz w:val="18"/>
              </w:rPr>
            </w:pPr>
            <w:r>
              <w:rPr>
                <w:w w:val="99"/>
                <w:sz w:val="18"/>
              </w:rPr>
              <w:t>3</w:t>
            </w:r>
          </w:p>
        </w:tc>
        <w:tc>
          <w:tcPr>
            <w:tcW w:w="428" w:type="dxa"/>
          </w:tcPr>
          <w:p>
            <w:pPr>
              <w:pStyle w:val="TableParagraph"/>
              <w:spacing w:line="206" w:lineRule="exact"/>
              <w:ind w:right="3"/>
              <w:rPr>
                <w:sz w:val="18"/>
              </w:rPr>
            </w:pPr>
            <w:r>
              <w:rPr>
                <w:w w:val="99"/>
                <w:sz w:val="18"/>
              </w:rPr>
              <w:t>1</w:t>
            </w:r>
          </w:p>
        </w:tc>
        <w:tc>
          <w:tcPr>
            <w:tcW w:w="430" w:type="dxa"/>
          </w:tcPr>
          <w:p>
            <w:pPr>
              <w:pStyle w:val="TableParagraph"/>
              <w:spacing w:line="206" w:lineRule="exact"/>
              <w:ind w:right="1"/>
              <w:rPr>
                <w:sz w:val="18"/>
              </w:rPr>
            </w:pPr>
            <w:r>
              <w:rPr>
                <w:w w:val="99"/>
                <w:sz w:val="18"/>
              </w:rPr>
              <w:t>4</w:t>
            </w:r>
          </w:p>
        </w:tc>
        <w:tc>
          <w:tcPr>
            <w:tcW w:w="852" w:type="dxa"/>
          </w:tcPr>
          <w:p>
            <w:pPr>
              <w:pStyle w:val="TableParagraph"/>
              <w:spacing w:line="206" w:lineRule="exact"/>
              <w:ind w:right="1"/>
              <w:rPr>
                <w:sz w:val="18"/>
              </w:rPr>
            </w:pPr>
            <w:r>
              <w:rPr>
                <w:w w:val="99"/>
                <w:sz w:val="18"/>
              </w:rPr>
              <w:t>2</w:t>
            </w:r>
          </w:p>
        </w:tc>
        <w:tc>
          <w:tcPr>
            <w:tcW w:w="850" w:type="dxa"/>
          </w:tcPr>
          <w:p>
            <w:pPr>
              <w:pStyle w:val="TableParagraph"/>
              <w:spacing w:line="206" w:lineRule="exact"/>
              <w:ind w:left="367"/>
              <w:jc w:val="left"/>
              <w:rPr>
                <w:sz w:val="18"/>
              </w:rPr>
            </w:pPr>
            <w:r>
              <w:rPr>
                <w:w w:val="99"/>
                <w:sz w:val="18"/>
              </w:rPr>
              <w:t>0</w:t>
            </w:r>
          </w:p>
        </w:tc>
        <w:tc>
          <w:tcPr>
            <w:tcW w:w="430" w:type="dxa"/>
          </w:tcPr>
          <w:p>
            <w:pPr>
              <w:pStyle w:val="TableParagraph"/>
              <w:spacing w:line="206" w:lineRule="exact"/>
              <w:ind w:right="1"/>
              <w:rPr>
                <w:sz w:val="18"/>
              </w:rPr>
            </w:pPr>
            <w:r>
              <w:rPr>
                <w:w w:val="99"/>
                <w:sz w:val="18"/>
              </w:rPr>
              <w:t>0</w:t>
            </w:r>
          </w:p>
        </w:tc>
        <w:tc>
          <w:tcPr>
            <w:tcW w:w="853" w:type="dxa"/>
          </w:tcPr>
          <w:p>
            <w:pPr>
              <w:pStyle w:val="TableParagraph"/>
              <w:spacing w:line="206" w:lineRule="exact"/>
              <w:ind w:right="6"/>
              <w:rPr>
                <w:sz w:val="18"/>
              </w:rPr>
            </w:pPr>
            <w:r>
              <w:rPr>
                <w:w w:val="99"/>
                <w:sz w:val="18"/>
              </w:rPr>
              <w:t>0</w:t>
            </w:r>
          </w:p>
        </w:tc>
        <w:tc>
          <w:tcPr>
            <w:tcW w:w="473" w:type="dxa"/>
          </w:tcPr>
          <w:p>
            <w:pPr>
              <w:pStyle w:val="TableParagraph"/>
              <w:spacing w:line="206" w:lineRule="exact"/>
              <w:ind w:right="1"/>
              <w:rPr>
                <w:sz w:val="18"/>
              </w:rPr>
            </w:pPr>
            <w:r>
              <w:rPr>
                <w:w w:val="99"/>
                <w:sz w:val="18"/>
              </w:rPr>
              <w:t>2</w:t>
            </w:r>
          </w:p>
        </w:tc>
        <w:tc>
          <w:tcPr>
            <w:tcW w:w="518" w:type="dxa"/>
          </w:tcPr>
          <w:p>
            <w:pPr>
              <w:pStyle w:val="TableParagraph"/>
              <w:spacing w:line="206" w:lineRule="exact"/>
              <w:ind w:left="84" w:right="84"/>
              <w:rPr>
                <w:sz w:val="18"/>
              </w:rPr>
            </w:pPr>
            <w:r>
              <w:rPr>
                <w:sz w:val="18"/>
              </w:rPr>
              <w:t>44</w:t>
            </w:r>
          </w:p>
        </w:tc>
      </w:tr>
      <w:tr>
        <w:trPr>
          <w:trHeight w:val="401" w:hRule="exact"/>
        </w:trPr>
        <w:tc>
          <w:tcPr>
            <w:tcW w:w="2893" w:type="dxa"/>
          </w:tcPr>
          <w:p>
            <w:pPr>
              <w:pStyle w:val="TableParagraph"/>
              <w:spacing w:before="2"/>
              <w:ind w:left="103"/>
              <w:jc w:val="left"/>
              <w:rPr>
                <w:sz w:val="18"/>
              </w:rPr>
            </w:pPr>
            <w:r>
              <w:rPr>
                <w:color w:val="333333"/>
                <w:sz w:val="18"/>
              </w:rPr>
              <w:t>AMECAMECA</w:t>
            </w:r>
          </w:p>
        </w:tc>
        <w:tc>
          <w:tcPr>
            <w:tcW w:w="430" w:type="dxa"/>
          </w:tcPr>
          <w:p>
            <w:pPr>
              <w:pStyle w:val="TableParagraph"/>
              <w:spacing w:before="2"/>
              <w:ind w:right="1"/>
              <w:rPr>
                <w:sz w:val="18"/>
              </w:rPr>
            </w:pPr>
            <w:r>
              <w:rPr>
                <w:w w:val="99"/>
                <w:sz w:val="18"/>
              </w:rPr>
              <w:t>1</w:t>
            </w:r>
          </w:p>
        </w:tc>
        <w:tc>
          <w:tcPr>
            <w:tcW w:w="430" w:type="dxa"/>
          </w:tcPr>
          <w:p>
            <w:pPr>
              <w:pStyle w:val="TableParagraph"/>
              <w:spacing w:before="2"/>
              <w:ind w:left="155"/>
              <w:jc w:val="left"/>
              <w:rPr>
                <w:sz w:val="18"/>
              </w:rPr>
            </w:pPr>
            <w:r>
              <w:rPr>
                <w:w w:val="99"/>
                <w:sz w:val="18"/>
              </w:rPr>
              <w:t>0</w:t>
            </w:r>
          </w:p>
        </w:tc>
        <w:tc>
          <w:tcPr>
            <w:tcW w:w="427" w:type="dxa"/>
          </w:tcPr>
          <w:p>
            <w:pPr>
              <w:pStyle w:val="TableParagraph"/>
              <w:spacing w:before="2"/>
              <w:ind w:right="3"/>
              <w:rPr>
                <w:sz w:val="18"/>
              </w:rPr>
            </w:pPr>
            <w:r>
              <w:rPr>
                <w:w w:val="99"/>
                <w:sz w:val="18"/>
              </w:rPr>
              <w:t>3</w:t>
            </w:r>
          </w:p>
        </w:tc>
        <w:tc>
          <w:tcPr>
            <w:tcW w:w="430" w:type="dxa"/>
          </w:tcPr>
          <w:p>
            <w:pPr>
              <w:pStyle w:val="TableParagraph"/>
              <w:spacing w:before="2"/>
              <w:ind w:right="1"/>
              <w:rPr>
                <w:sz w:val="18"/>
              </w:rPr>
            </w:pPr>
            <w:r>
              <w:rPr>
                <w:w w:val="99"/>
                <w:sz w:val="18"/>
              </w:rPr>
              <w:t>1</w:t>
            </w:r>
          </w:p>
        </w:tc>
        <w:tc>
          <w:tcPr>
            <w:tcW w:w="475" w:type="dxa"/>
          </w:tcPr>
          <w:p>
            <w:pPr>
              <w:pStyle w:val="TableParagraph"/>
              <w:spacing w:before="2"/>
              <w:ind w:left="182"/>
              <w:jc w:val="left"/>
              <w:rPr>
                <w:sz w:val="18"/>
              </w:rPr>
            </w:pPr>
            <w:r>
              <w:rPr>
                <w:w w:val="99"/>
                <w:sz w:val="18"/>
              </w:rPr>
              <w:t>0</w:t>
            </w:r>
          </w:p>
        </w:tc>
        <w:tc>
          <w:tcPr>
            <w:tcW w:w="430" w:type="dxa"/>
          </w:tcPr>
          <w:p>
            <w:pPr>
              <w:pStyle w:val="TableParagraph"/>
              <w:spacing w:before="2"/>
              <w:ind w:right="1"/>
              <w:rPr>
                <w:sz w:val="18"/>
              </w:rPr>
            </w:pPr>
            <w:r>
              <w:rPr>
                <w:w w:val="99"/>
                <w:sz w:val="18"/>
              </w:rPr>
              <w:t>0</w:t>
            </w:r>
          </w:p>
        </w:tc>
        <w:tc>
          <w:tcPr>
            <w:tcW w:w="430" w:type="dxa"/>
          </w:tcPr>
          <w:p>
            <w:pPr>
              <w:pStyle w:val="TableParagraph"/>
              <w:spacing w:before="2"/>
              <w:ind w:right="5"/>
              <w:rPr>
                <w:sz w:val="18"/>
              </w:rPr>
            </w:pPr>
            <w:r>
              <w:rPr>
                <w:w w:val="99"/>
                <w:sz w:val="18"/>
              </w:rPr>
              <w:t>0</w:t>
            </w:r>
          </w:p>
        </w:tc>
        <w:tc>
          <w:tcPr>
            <w:tcW w:w="428" w:type="dxa"/>
          </w:tcPr>
          <w:p>
            <w:pPr>
              <w:pStyle w:val="TableParagraph"/>
              <w:spacing w:before="2"/>
              <w:ind w:right="3"/>
              <w:rPr>
                <w:sz w:val="18"/>
              </w:rPr>
            </w:pPr>
            <w:r>
              <w:rPr>
                <w:w w:val="99"/>
                <w:sz w:val="18"/>
              </w:rPr>
              <w:t>0</w:t>
            </w:r>
          </w:p>
        </w:tc>
        <w:tc>
          <w:tcPr>
            <w:tcW w:w="430" w:type="dxa"/>
          </w:tcPr>
          <w:p>
            <w:pPr>
              <w:pStyle w:val="TableParagraph"/>
              <w:spacing w:before="2"/>
              <w:ind w:right="1"/>
              <w:rPr>
                <w:sz w:val="18"/>
              </w:rPr>
            </w:pPr>
            <w:r>
              <w:rPr>
                <w:w w:val="99"/>
                <w:sz w:val="18"/>
              </w:rPr>
              <w:t>0</w:t>
            </w:r>
          </w:p>
        </w:tc>
        <w:tc>
          <w:tcPr>
            <w:tcW w:w="852" w:type="dxa"/>
          </w:tcPr>
          <w:p>
            <w:pPr>
              <w:pStyle w:val="TableParagraph"/>
              <w:spacing w:before="2"/>
              <w:ind w:right="1"/>
              <w:rPr>
                <w:sz w:val="18"/>
              </w:rPr>
            </w:pPr>
            <w:r>
              <w:rPr>
                <w:w w:val="99"/>
                <w:sz w:val="18"/>
              </w:rPr>
              <w:t>0</w:t>
            </w:r>
          </w:p>
        </w:tc>
        <w:tc>
          <w:tcPr>
            <w:tcW w:w="850" w:type="dxa"/>
          </w:tcPr>
          <w:p>
            <w:pPr>
              <w:pStyle w:val="TableParagraph"/>
              <w:spacing w:before="2"/>
              <w:ind w:left="367"/>
              <w:jc w:val="left"/>
              <w:rPr>
                <w:sz w:val="18"/>
              </w:rPr>
            </w:pPr>
            <w:r>
              <w:rPr>
                <w:w w:val="99"/>
                <w:sz w:val="18"/>
              </w:rPr>
              <w:t>0</w:t>
            </w:r>
          </w:p>
        </w:tc>
        <w:tc>
          <w:tcPr>
            <w:tcW w:w="430" w:type="dxa"/>
          </w:tcPr>
          <w:p>
            <w:pPr>
              <w:pStyle w:val="TableParagraph"/>
              <w:spacing w:before="2"/>
              <w:ind w:right="1"/>
              <w:rPr>
                <w:sz w:val="18"/>
              </w:rPr>
            </w:pPr>
            <w:r>
              <w:rPr>
                <w:w w:val="99"/>
                <w:sz w:val="18"/>
              </w:rPr>
              <w:t>0</w:t>
            </w:r>
          </w:p>
        </w:tc>
        <w:tc>
          <w:tcPr>
            <w:tcW w:w="853" w:type="dxa"/>
          </w:tcPr>
          <w:p>
            <w:pPr>
              <w:pStyle w:val="TableParagraph"/>
              <w:spacing w:before="2"/>
              <w:ind w:right="6"/>
              <w:rPr>
                <w:sz w:val="18"/>
              </w:rPr>
            </w:pPr>
            <w:r>
              <w:rPr>
                <w:w w:val="99"/>
                <w:sz w:val="18"/>
              </w:rPr>
              <w:t>0</w:t>
            </w:r>
          </w:p>
        </w:tc>
        <w:tc>
          <w:tcPr>
            <w:tcW w:w="473" w:type="dxa"/>
          </w:tcPr>
          <w:p>
            <w:pPr>
              <w:pStyle w:val="TableParagraph"/>
              <w:spacing w:before="2"/>
              <w:ind w:right="1"/>
              <w:rPr>
                <w:sz w:val="18"/>
              </w:rPr>
            </w:pPr>
            <w:r>
              <w:rPr>
                <w:w w:val="99"/>
                <w:sz w:val="18"/>
              </w:rPr>
              <w:t>0</w:t>
            </w:r>
          </w:p>
        </w:tc>
        <w:tc>
          <w:tcPr>
            <w:tcW w:w="518" w:type="dxa"/>
          </w:tcPr>
          <w:p>
            <w:pPr>
              <w:pStyle w:val="TableParagraph"/>
              <w:spacing w:before="2"/>
              <w:ind w:right="3"/>
              <w:rPr>
                <w:sz w:val="18"/>
              </w:rPr>
            </w:pPr>
            <w:r>
              <w:rPr>
                <w:w w:val="99"/>
                <w:sz w:val="18"/>
              </w:rPr>
              <w:t>5</w:t>
            </w:r>
          </w:p>
        </w:tc>
      </w:tr>
      <w:tr>
        <w:trPr>
          <w:trHeight w:val="401" w:hRule="exact"/>
        </w:trPr>
        <w:tc>
          <w:tcPr>
            <w:tcW w:w="2893" w:type="dxa"/>
          </w:tcPr>
          <w:p>
            <w:pPr>
              <w:pStyle w:val="TableParagraph"/>
              <w:spacing w:line="206" w:lineRule="exact"/>
              <w:ind w:left="103"/>
              <w:jc w:val="left"/>
              <w:rPr>
                <w:sz w:val="18"/>
              </w:rPr>
            </w:pPr>
            <w:r>
              <w:rPr>
                <w:color w:val="333333"/>
                <w:sz w:val="18"/>
              </w:rPr>
              <w:t>APAXCO</w:t>
            </w:r>
          </w:p>
        </w:tc>
        <w:tc>
          <w:tcPr>
            <w:tcW w:w="430" w:type="dxa"/>
          </w:tcPr>
          <w:p>
            <w:pPr>
              <w:pStyle w:val="TableParagraph"/>
              <w:spacing w:line="206" w:lineRule="exact"/>
              <w:ind w:right="1"/>
              <w:rPr>
                <w:sz w:val="18"/>
              </w:rPr>
            </w:pPr>
            <w:r>
              <w:rPr>
                <w:w w:val="99"/>
                <w:sz w:val="18"/>
              </w:rPr>
              <w:t>1</w:t>
            </w:r>
          </w:p>
        </w:tc>
        <w:tc>
          <w:tcPr>
            <w:tcW w:w="430" w:type="dxa"/>
          </w:tcPr>
          <w:p>
            <w:pPr>
              <w:pStyle w:val="TableParagraph"/>
              <w:spacing w:line="206" w:lineRule="exact"/>
              <w:ind w:left="155"/>
              <w:jc w:val="left"/>
              <w:rPr>
                <w:sz w:val="18"/>
              </w:rPr>
            </w:pPr>
            <w:r>
              <w:rPr>
                <w:w w:val="99"/>
                <w:sz w:val="18"/>
              </w:rPr>
              <w:t>0</w:t>
            </w:r>
          </w:p>
        </w:tc>
        <w:tc>
          <w:tcPr>
            <w:tcW w:w="427" w:type="dxa"/>
          </w:tcPr>
          <w:p>
            <w:pPr>
              <w:pStyle w:val="TableParagraph"/>
              <w:spacing w:line="206" w:lineRule="exact"/>
              <w:ind w:right="3"/>
              <w:rPr>
                <w:sz w:val="18"/>
              </w:rPr>
            </w:pPr>
            <w:r>
              <w:rPr>
                <w:w w:val="99"/>
                <w:sz w:val="18"/>
              </w:rPr>
              <w:t>3</w:t>
            </w:r>
          </w:p>
        </w:tc>
        <w:tc>
          <w:tcPr>
            <w:tcW w:w="430" w:type="dxa"/>
          </w:tcPr>
          <w:p>
            <w:pPr>
              <w:pStyle w:val="TableParagraph"/>
              <w:spacing w:line="206" w:lineRule="exact"/>
              <w:ind w:right="1"/>
              <w:rPr>
                <w:sz w:val="18"/>
              </w:rPr>
            </w:pPr>
            <w:r>
              <w:rPr>
                <w:w w:val="99"/>
                <w:sz w:val="18"/>
              </w:rPr>
              <w:t>1</w:t>
            </w:r>
          </w:p>
        </w:tc>
        <w:tc>
          <w:tcPr>
            <w:tcW w:w="475" w:type="dxa"/>
          </w:tcPr>
          <w:p>
            <w:pPr>
              <w:pStyle w:val="TableParagraph"/>
              <w:spacing w:line="206" w:lineRule="exact"/>
              <w:ind w:left="182"/>
              <w:jc w:val="left"/>
              <w:rPr>
                <w:sz w:val="18"/>
              </w:rPr>
            </w:pPr>
            <w:r>
              <w:rPr>
                <w:w w:val="99"/>
                <w:sz w:val="18"/>
              </w:rPr>
              <w:t>0</w:t>
            </w:r>
          </w:p>
        </w:tc>
        <w:tc>
          <w:tcPr>
            <w:tcW w:w="430" w:type="dxa"/>
          </w:tcPr>
          <w:p>
            <w:pPr>
              <w:pStyle w:val="TableParagraph"/>
              <w:spacing w:line="206" w:lineRule="exact"/>
              <w:ind w:right="1"/>
              <w:rPr>
                <w:sz w:val="18"/>
              </w:rPr>
            </w:pPr>
            <w:r>
              <w:rPr>
                <w:w w:val="99"/>
                <w:sz w:val="18"/>
              </w:rPr>
              <w:t>0</w:t>
            </w:r>
          </w:p>
        </w:tc>
        <w:tc>
          <w:tcPr>
            <w:tcW w:w="430" w:type="dxa"/>
          </w:tcPr>
          <w:p>
            <w:pPr>
              <w:pStyle w:val="TableParagraph"/>
              <w:spacing w:line="206" w:lineRule="exact"/>
              <w:ind w:right="5"/>
              <w:rPr>
                <w:sz w:val="18"/>
              </w:rPr>
            </w:pPr>
            <w:r>
              <w:rPr>
                <w:w w:val="99"/>
                <w:sz w:val="18"/>
              </w:rPr>
              <w:t>0</w:t>
            </w:r>
          </w:p>
        </w:tc>
        <w:tc>
          <w:tcPr>
            <w:tcW w:w="428" w:type="dxa"/>
          </w:tcPr>
          <w:p>
            <w:pPr>
              <w:pStyle w:val="TableParagraph"/>
              <w:spacing w:line="206" w:lineRule="exact"/>
              <w:ind w:right="3"/>
              <w:rPr>
                <w:sz w:val="18"/>
              </w:rPr>
            </w:pPr>
            <w:r>
              <w:rPr>
                <w:w w:val="99"/>
                <w:sz w:val="18"/>
              </w:rPr>
              <w:t>0</w:t>
            </w:r>
          </w:p>
        </w:tc>
        <w:tc>
          <w:tcPr>
            <w:tcW w:w="430" w:type="dxa"/>
          </w:tcPr>
          <w:p>
            <w:pPr>
              <w:pStyle w:val="TableParagraph"/>
              <w:spacing w:line="206" w:lineRule="exact"/>
              <w:ind w:right="1"/>
              <w:rPr>
                <w:sz w:val="18"/>
              </w:rPr>
            </w:pPr>
            <w:r>
              <w:rPr>
                <w:w w:val="99"/>
                <w:sz w:val="18"/>
              </w:rPr>
              <w:t>0</w:t>
            </w:r>
          </w:p>
        </w:tc>
        <w:tc>
          <w:tcPr>
            <w:tcW w:w="852" w:type="dxa"/>
          </w:tcPr>
          <w:p>
            <w:pPr>
              <w:pStyle w:val="TableParagraph"/>
              <w:spacing w:line="206" w:lineRule="exact"/>
              <w:ind w:right="1"/>
              <w:rPr>
                <w:sz w:val="18"/>
              </w:rPr>
            </w:pPr>
            <w:r>
              <w:rPr>
                <w:w w:val="99"/>
                <w:sz w:val="18"/>
              </w:rPr>
              <w:t>0</w:t>
            </w:r>
          </w:p>
        </w:tc>
        <w:tc>
          <w:tcPr>
            <w:tcW w:w="850" w:type="dxa"/>
          </w:tcPr>
          <w:p>
            <w:pPr>
              <w:pStyle w:val="TableParagraph"/>
              <w:spacing w:line="206" w:lineRule="exact"/>
              <w:ind w:left="367"/>
              <w:jc w:val="left"/>
              <w:rPr>
                <w:sz w:val="18"/>
              </w:rPr>
            </w:pPr>
            <w:r>
              <w:rPr>
                <w:w w:val="99"/>
                <w:sz w:val="18"/>
              </w:rPr>
              <w:t>0</w:t>
            </w:r>
          </w:p>
        </w:tc>
        <w:tc>
          <w:tcPr>
            <w:tcW w:w="430" w:type="dxa"/>
          </w:tcPr>
          <w:p>
            <w:pPr>
              <w:pStyle w:val="TableParagraph"/>
              <w:spacing w:line="206" w:lineRule="exact"/>
              <w:ind w:right="1"/>
              <w:rPr>
                <w:sz w:val="18"/>
              </w:rPr>
            </w:pPr>
            <w:r>
              <w:rPr>
                <w:w w:val="99"/>
                <w:sz w:val="18"/>
              </w:rPr>
              <w:t>0</w:t>
            </w:r>
          </w:p>
        </w:tc>
        <w:tc>
          <w:tcPr>
            <w:tcW w:w="853" w:type="dxa"/>
          </w:tcPr>
          <w:p>
            <w:pPr>
              <w:pStyle w:val="TableParagraph"/>
              <w:spacing w:line="206" w:lineRule="exact"/>
              <w:ind w:right="6"/>
              <w:rPr>
                <w:sz w:val="18"/>
              </w:rPr>
            </w:pPr>
            <w:r>
              <w:rPr>
                <w:w w:val="99"/>
                <w:sz w:val="18"/>
              </w:rPr>
              <w:t>0</w:t>
            </w:r>
          </w:p>
        </w:tc>
        <w:tc>
          <w:tcPr>
            <w:tcW w:w="473" w:type="dxa"/>
          </w:tcPr>
          <w:p>
            <w:pPr>
              <w:pStyle w:val="TableParagraph"/>
              <w:spacing w:line="206" w:lineRule="exact"/>
              <w:ind w:right="1"/>
              <w:rPr>
                <w:sz w:val="18"/>
              </w:rPr>
            </w:pPr>
            <w:r>
              <w:rPr>
                <w:w w:val="99"/>
                <w:sz w:val="18"/>
              </w:rPr>
              <w:t>0</w:t>
            </w:r>
          </w:p>
        </w:tc>
        <w:tc>
          <w:tcPr>
            <w:tcW w:w="518" w:type="dxa"/>
          </w:tcPr>
          <w:p>
            <w:pPr>
              <w:pStyle w:val="TableParagraph"/>
              <w:spacing w:line="206" w:lineRule="exact"/>
              <w:ind w:right="3"/>
              <w:rPr>
                <w:sz w:val="18"/>
              </w:rPr>
            </w:pPr>
            <w:r>
              <w:rPr>
                <w:w w:val="99"/>
                <w:sz w:val="18"/>
              </w:rPr>
              <w:t>5</w:t>
            </w:r>
          </w:p>
        </w:tc>
      </w:tr>
      <w:tr>
        <w:trPr>
          <w:trHeight w:val="398" w:hRule="exact"/>
        </w:trPr>
        <w:tc>
          <w:tcPr>
            <w:tcW w:w="2893" w:type="dxa"/>
          </w:tcPr>
          <w:p>
            <w:pPr>
              <w:pStyle w:val="TableParagraph"/>
              <w:spacing w:line="206" w:lineRule="exact"/>
              <w:ind w:left="103"/>
              <w:jc w:val="left"/>
              <w:rPr>
                <w:sz w:val="18"/>
              </w:rPr>
            </w:pPr>
            <w:r>
              <w:rPr>
                <w:color w:val="333333"/>
                <w:sz w:val="18"/>
              </w:rPr>
              <w:t>ATENCO</w:t>
            </w:r>
          </w:p>
        </w:tc>
        <w:tc>
          <w:tcPr>
            <w:tcW w:w="430" w:type="dxa"/>
          </w:tcPr>
          <w:p>
            <w:pPr>
              <w:pStyle w:val="TableParagraph"/>
              <w:spacing w:line="206" w:lineRule="exact"/>
              <w:ind w:right="1"/>
              <w:rPr>
                <w:sz w:val="18"/>
              </w:rPr>
            </w:pPr>
            <w:r>
              <w:rPr>
                <w:w w:val="99"/>
                <w:sz w:val="18"/>
              </w:rPr>
              <w:t>1</w:t>
            </w:r>
          </w:p>
        </w:tc>
        <w:tc>
          <w:tcPr>
            <w:tcW w:w="430" w:type="dxa"/>
          </w:tcPr>
          <w:p>
            <w:pPr>
              <w:pStyle w:val="TableParagraph"/>
              <w:spacing w:line="206" w:lineRule="exact"/>
              <w:ind w:left="155"/>
              <w:jc w:val="left"/>
              <w:rPr>
                <w:sz w:val="18"/>
              </w:rPr>
            </w:pPr>
            <w:r>
              <w:rPr>
                <w:w w:val="99"/>
                <w:sz w:val="18"/>
              </w:rPr>
              <w:t>0</w:t>
            </w:r>
          </w:p>
        </w:tc>
        <w:tc>
          <w:tcPr>
            <w:tcW w:w="427" w:type="dxa"/>
          </w:tcPr>
          <w:p>
            <w:pPr>
              <w:pStyle w:val="TableParagraph"/>
              <w:spacing w:line="206" w:lineRule="exact"/>
              <w:ind w:right="3"/>
              <w:rPr>
                <w:sz w:val="18"/>
              </w:rPr>
            </w:pPr>
            <w:r>
              <w:rPr>
                <w:w w:val="99"/>
                <w:sz w:val="18"/>
              </w:rPr>
              <w:t>3</w:t>
            </w:r>
          </w:p>
        </w:tc>
        <w:tc>
          <w:tcPr>
            <w:tcW w:w="430" w:type="dxa"/>
          </w:tcPr>
          <w:p>
            <w:pPr>
              <w:pStyle w:val="TableParagraph"/>
              <w:spacing w:line="206" w:lineRule="exact"/>
              <w:ind w:right="1"/>
              <w:rPr>
                <w:sz w:val="18"/>
              </w:rPr>
            </w:pPr>
            <w:r>
              <w:rPr>
                <w:w w:val="99"/>
                <w:sz w:val="18"/>
              </w:rPr>
              <w:t>1</w:t>
            </w:r>
          </w:p>
        </w:tc>
        <w:tc>
          <w:tcPr>
            <w:tcW w:w="475" w:type="dxa"/>
          </w:tcPr>
          <w:p>
            <w:pPr>
              <w:pStyle w:val="TableParagraph"/>
              <w:spacing w:line="206" w:lineRule="exact"/>
              <w:ind w:left="182"/>
              <w:jc w:val="left"/>
              <w:rPr>
                <w:sz w:val="18"/>
              </w:rPr>
            </w:pPr>
            <w:r>
              <w:rPr>
                <w:w w:val="99"/>
                <w:sz w:val="18"/>
              </w:rPr>
              <w:t>0</w:t>
            </w:r>
          </w:p>
        </w:tc>
        <w:tc>
          <w:tcPr>
            <w:tcW w:w="430" w:type="dxa"/>
          </w:tcPr>
          <w:p>
            <w:pPr>
              <w:pStyle w:val="TableParagraph"/>
              <w:spacing w:line="206" w:lineRule="exact"/>
              <w:ind w:right="1"/>
              <w:rPr>
                <w:sz w:val="18"/>
              </w:rPr>
            </w:pPr>
            <w:r>
              <w:rPr>
                <w:w w:val="99"/>
                <w:sz w:val="18"/>
              </w:rPr>
              <w:t>0</w:t>
            </w:r>
          </w:p>
        </w:tc>
        <w:tc>
          <w:tcPr>
            <w:tcW w:w="430" w:type="dxa"/>
          </w:tcPr>
          <w:p>
            <w:pPr>
              <w:pStyle w:val="TableParagraph"/>
              <w:spacing w:line="206" w:lineRule="exact"/>
              <w:ind w:right="5"/>
              <w:rPr>
                <w:sz w:val="18"/>
              </w:rPr>
            </w:pPr>
            <w:r>
              <w:rPr>
                <w:w w:val="99"/>
                <w:sz w:val="18"/>
              </w:rPr>
              <w:t>0</w:t>
            </w:r>
          </w:p>
        </w:tc>
        <w:tc>
          <w:tcPr>
            <w:tcW w:w="428" w:type="dxa"/>
          </w:tcPr>
          <w:p>
            <w:pPr>
              <w:pStyle w:val="TableParagraph"/>
              <w:spacing w:line="206" w:lineRule="exact"/>
              <w:ind w:right="3"/>
              <w:rPr>
                <w:sz w:val="18"/>
              </w:rPr>
            </w:pPr>
            <w:r>
              <w:rPr>
                <w:w w:val="99"/>
                <w:sz w:val="18"/>
              </w:rPr>
              <w:t>0</w:t>
            </w:r>
          </w:p>
        </w:tc>
        <w:tc>
          <w:tcPr>
            <w:tcW w:w="430" w:type="dxa"/>
          </w:tcPr>
          <w:p>
            <w:pPr>
              <w:pStyle w:val="TableParagraph"/>
              <w:spacing w:line="206" w:lineRule="exact"/>
              <w:ind w:right="1"/>
              <w:rPr>
                <w:sz w:val="18"/>
              </w:rPr>
            </w:pPr>
            <w:r>
              <w:rPr>
                <w:w w:val="99"/>
                <w:sz w:val="18"/>
              </w:rPr>
              <w:t>0</w:t>
            </w:r>
          </w:p>
        </w:tc>
        <w:tc>
          <w:tcPr>
            <w:tcW w:w="852" w:type="dxa"/>
          </w:tcPr>
          <w:p>
            <w:pPr>
              <w:pStyle w:val="TableParagraph"/>
              <w:spacing w:line="206" w:lineRule="exact"/>
              <w:ind w:right="1"/>
              <w:rPr>
                <w:sz w:val="18"/>
              </w:rPr>
            </w:pPr>
            <w:r>
              <w:rPr>
                <w:w w:val="99"/>
                <w:sz w:val="18"/>
              </w:rPr>
              <w:t>0</w:t>
            </w:r>
          </w:p>
        </w:tc>
        <w:tc>
          <w:tcPr>
            <w:tcW w:w="850" w:type="dxa"/>
          </w:tcPr>
          <w:p>
            <w:pPr>
              <w:pStyle w:val="TableParagraph"/>
              <w:spacing w:line="206" w:lineRule="exact"/>
              <w:ind w:left="367"/>
              <w:jc w:val="left"/>
              <w:rPr>
                <w:sz w:val="18"/>
              </w:rPr>
            </w:pPr>
            <w:r>
              <w:rPr>
                <w:w w:val="99"/>
                <w:sz w:val="18"/>
              </w:rPr>
              <w:t>0</w:t>
            </w:r>
          </w:p>
        </w:tc>
        <w:tc>
          <w:tcPr>
            <w:tcW w:w="430" w:type="dxa"/>
          </w:tcPr>
          <w:p>
            <w:pPr>
              <w:pStyle w:val="TableParagraph"/>
              <w:spacing w:line="206" w:lineRule="exact"/>
              <w:ind w:right="1"/>
              <w:rPr>
                <w:sz w:val="18"/>
              </w:rPr>
            </w:pPr>
            <w:r>
              <w:rPr>
                <w:w w:val="99"/>
                <w:sz w:val="18"/>
              </w:rPr>
              <w:t>0</w:t>
            </w:r>
          </w:p>
        </w:tc>
        <w:tc>
          <w:tcPr>
            <w:tcW w:w="853" w:type="dxa"/>
          </w:tcPr>
          <w:p>
            <w:pPr>
              <w:pStyle w:val="TableParagraph"/>
              <w:spacing w:line="206" w:lineRule="exact"/>
              <w:ind w:right="6"/>
              <w:rPr>
                <w:sz w:val="18"/>
              </w:rPr>
            </w:pPr>
            <w:r>
              <w:rPr>
                <w:w w:val="99"/>
                <w:sz w:val="18"/>
              </w:rPr>
              <w:t>0</w:t>
            </w:r>
          </w:p>
        </w:tc>
        <w:tc>
          <w:tcPr>
            <w:tcW w:w="473" w:type="dxa"/>
          </w:tcPr>
          <w:p>
            <w:pPr>
              <w:pStyle w:val="TableParagraph"/>
              <w:spacing w:line="206" w:lineRule="exact"/>
              <w:ind w:right="1"/>
              <w:rPr>
                <w:sz w:val="18"/>
              </w:rPr>
            </w:pPr>
            <w:r>
              <w:rPr>
                <w:w w:val="99"/>
                <w:sz w:val="18"/>
              </w:rPr>
              <w:t>0</w:t>
            </w:r>
          </w:p>
        </w:tc>
        <w:tc>
          <w:tcPr>
            <w:tcW w:w="518" w:type="dxa"/>
          </w:tcPr>
          <w:p>
            <w:pPr>
              <w:pStyle w:val="TableParagraph"/>
              <w:spacing w:line="206" w:lineRule="exact"/>
              <w:ind w:right="3"/>
              <w:rPr>
                <w:sz w:val="18"/>
              </w:rPr>
            </w:pPr>
            <w:r>
              <w:rPr>
                <w:w w:val="99"/>
                <w:sz w:val="18"/>
              </w:rPr>
              <w:t>5</w:t>
            </w:r>
          </w:p>
        </w:tc>
      </w:tr>
      <w:tr>
        <w:trPr>
          <w:trHeight w:val="401" w:hRule="exact"/>
        </w:trPr>
        <w:tc>
          <w:tcPr>
            <w:tcW w:w="2893" w:type="dxa"/>
          </w:tcPr>
          <w:p>
            <w:pPr>
              <w:pStyle w:val="TableParagraph"/>
              <w:spacing w:before="1"/>
              <w:ind w:left="103"/>
              <w:jc w:val="left"/>
              <w:rPr>
                <w:sz w:val="18"/>
              </w:rPr>
            </w:pPr>
            <w:r>
              <w:rPr>
                <w:color w:val="333333"/>
                <w:sz w:val="18"/>
              </w:rPr>
              <w:t>ATIZAPAN</w:t>
            </w:r>
          </w:p>
        </w:tc>
        <w:tc>
          <w:tcPr>
            <w:tcW w:w="430" w:type="dxa"/>
          </w:tcPr>
          <w:p>
            <w:pPr>
              <w:pStyle w:val="TableParagraph"/>
              <w:spacing w:before="1"/>
              <w:ind w:right="1"/>
              <w:rPr>
                <w:sz w:val="18"/>
              </w:rPr>
            </w:pPr>
            <w:r>
              <w:rPr>
                <w:w w:val="99"/>
                <w:sz w:val="18"/>
              </w:rPr>
              <w:t>1</w:t>
            </w:r>
          </w:p>
        </w:tc>
        <w:tc>
          <w:tcPr>
            <w:tcW w:w="430" w:type="dxa"/>
          </w:tcPr>
          <w:p>
            <w:pPr>
              <w:pStyle w:val="TableParagraph"/>
              <w:spacing w:before="1"/>
              <w:ind w:left="155"/>
              <w:jc w:val="left"/>
              <w:rPr>
                <w:sz w:val="18"/>
              </w:rPr>
            </w:pPr>
            <w:r>
              <w:rPr>
                <w:w w:val="99"/>
                <w:sz w:val="18"/>
              </w:rPr>
              <w:t>0</w:t>
            </w:r>
          </w:p>
        </w:tc>
        <w:tc>
          <w:tcPr>
            <w:tcW w:w="427" w:type="dxa"/>
          </w:tcPr>
          <w:p>
            <w:pPr>
              <w:pStyle w:val="TableParagraph"/>
              <w:spacing w:before="1"/>
              <w:ind w:right="3"/>
              <w:rPr>
                <w:sz w:val="18"/>
              </w:rPr>
            </w:pPr>
            <w:r>
              <w:rPr>
                <w:w w:val="99"/>
                <w:sz w:val="18"/>
              </w:rPr>
              <w:t>8</w:t>
            </w:r>
          </w:p>
        </w:tc>
        <w:tc>
          <w:tcPr>
            <w:tcW w:w="430" w:type="dxa"/>
          </w:tcPr>
          <w:p>
            <w:pPr>
              <w:pStyle w:val="TableParagraph"/>
              <w:spacing w:before="1"/>
              <w:ind w:right="1"/>
              <w:rPr>
                <w:sz w:val="18"/>
              </w:rPr>
            </w:pPr>
            <w:r>
              <w:rPr>
                <w:w w:val="99"/>
                <w:sz w:val="18"/>
              </w:rPr>
              <w:t>1</w:t>
            </w:r>
          </w:p>
        </w:tc>
        <w:tc>
          <w:tcPr>
            <w:tcW w:w="475" w:type="dxa"/>
          </w:tcPr>
          <w:p>
            <w:pPr>
              <w:pStyle w:val="TableParagraph"/>
              <w:spacing w:before="1"/>
              <w:ind w:left="182"/>
              <w:jc w:val="left"/>
              <w:rPr>
                <w:sz w:val="18"/>
              </w:rPr>
            </w:pPr>
            <w:r>
              <w:rPr>
                <w:w w:val="99"/>
                <w:sz w:val="18"/>
              </w:rPr>
              <w:t>1</w:t>
            </w:r>
          </w:p>
        </w:tc>
        <w:tc>
          <w:tcPr>
            <w:tcW w:w="430" w:type="dxa"/>
          </w:tcPr>
          <w:p>
            <w:pPr>
              <w:pStyle w:val="TableParagraph"/>
              <w:spacing w:before="1"/>
              <w:ind w:right="1"/>
              <w:rPr>
                <w:sz w:val="18"/>
              </w:rPr>
            </w:pPr>
            <w:r>
              <w:rPr>
                <w:w w:val="99"/>
                <w:sz w:val="18"/>
              </w:rPr>
              <w:t>0</w:t>
            </w:r>
          </w:p>
        </w:tc>
        <w:tc>
          <w:tcPr>
            <w:tcW w:w="430" w:type="dxa"/>
          </w:tcPr>
          <w:p>
            <w:pPr>
              <w:pStyle w:val="TableParagraph"/>
              <w:spacing w:before="1"/>
              <w:ind w:right="5"/>
              <w:rPr>
                <w:sz w:val="18"/>
              </w:rPr>
            </w:pPr>
            <w:r>
              <w:rPr>
                <w:w w:val="99"/>
                <w:sz w:val="18"/>
              </w:rPr>
              <w:t>0</w:t>
            </w:r>
          </w:p>
        </w:tc>
        <w:tc>
          <w:tcPr>
            <w:tcW w:w="428" w:type="dxa"/>
          </w:tcPr>
          <w:p>
            <w:pPr>
              <w:pStyle w:val="TableParagraph"/>
              <w:spacing w:before="1"/>
              <w:ind w:right="3"/>
              <w:rPr>
                <w:sz w:val="18"/>
              </w:rPr>
            </w:pPr>
            <w:r>
              <w:rPr>
                <w:w w:val="99"/>
                <w:sz w:val="18"/>
              </w:rPr>
              <w:t>0</w:t>
            </w:r>
          </w:p>
        </w:tc>
        <w:tc>
          <w:tcPr>
            <w:tcW w:w="430" w:type="dxa"/>
          </w:tcPr>
          <w:p>
            <w:pPr>
              <w:pStyle w:val="TableParagraph"/>
              <w:spacing w:before="1"/>
              <w:ind w:right="1"/>
              <w:rPr>
                <w:sz w:val="18"/>
              </w:rPr>
            </w:pPr>
            <w:r>
              <w:rPr>
                <w:w w:val="99"/>
                <w:sz w:val="18"/>
              </w:rPr>
              <w:t>0</w:t>
            </w:r>
          </w:p>
        </w:tc>
        <w:tc>
          <w:tcPr>
            <w:tcW w:w="852" w:type="dxa"/>
          </w:tcPr>
          <w:p>
            <w:pPr>
              <w:pStyle w:val="TableParagraph"/>
              <w:spacing w:before="1"/>
              <w:ind w:right="1"/>
              <w:rPr>
                <w:sz w:val="18"/>
              </w:rPr>
            </w:pPr>
            <w:r>
              <w:rPr>
                <w:w w:val="99"/>
                <w:sz w:val="18"/>
              </w:rPr>
              <w:t>0</w:t>
            </w:r>
          </w:p>
        </w:tc>
        <w:tc>
          <w:tcPr>
            <w:tcW w:w="850" w:type="dxa"/>
          </w:tcPr>
          <w:p>
            <w:pPr>
              <w:pStyle w:val="TableParagraph"/>
              <w:spacing w:before="1"/>
              <w:ind w:left="367"/>
              <w:jc w:val="left"/>
              <w:rPr>
                <w:sz w:val="18"/>
              </w:rPr>
            </w:pPr>
            <w:r>
              <w:rPr>
                <w:w w:val="99"/>
                <w:sz w:val="18"/>
              </w:rPr>
              <w:t>0</w:t>
            </w:r>
          </w:p>
        </w:tc>
        <w:tc>
          <w:tcPr>
            <w:tcW w:w="430" w:type="dxa"/>
          </w:tcPr>
          <w:p>
            <w:pPr>
              <w:pStyle w:val="TableParagraph"/>
              <w:spacing w:before="1"/>
              <w:ind w:right="1"/>
              <w:rPr>
                <w:sz w:val="18"/>
              </w:rPr>
            </w:pPr>
            <w:r>
              <w:rPr>
                <w:w w:val="99"/>
                <w:sz w:val="18"/>
              </w:rPr>
              <w:t>0</w:t>
            </w:r>
          </w:p>
        </w:tc>
        <w:tc>
          <w:tcPr>
            <w:tcW w:w="853" w:type="dxa"/>
          </w:tcPr>
          <w:p>
            <w:pPr>
              <w:pStyle w:val="TableParagraph"/>
              <w:spacing w:before="1"/>
              <w:ind w:right="6"/>
              <w:rPr>
                <w:sz w:val="18"/>
              </w:rPr>
            </w:pPr>
            <w:r>
              <w:rPr>
                <w:w w:val="99"/>
                <w:sz w:val="18"/>
              </w:rPr>
              <w:t>0</w:t>
            </w:r>
          </w:p>
        </w:tc>
        <w:tc>
          <w:tcPr>
            <w:tcW w:w="473" w:type="dxa"/>
          </w:tcPr>
          <w:p>
            <w:pPr>
              <w:pStyle w:val="TableParagraph"/>
              <w:spacing w:before="1"/>
              <w:ind w:right="1"/>
              <w:rPr>
                <w:sz w:val="18"/>
              </w:rPr>
            </w:pPr>
            <w:r>
              <w:rPr>
                <w:w w:val="99"/>
                <w:sz w:val="18"/>
              </w:rPr>
              <w:t>0</w:t>
            </w:r>
          </w:p>
        </w:tc>
        <w:tc>
          <w:tcPr>
            <w:tcW w:w="518" w:type="dxa"/>
          </w:tcPr>
          <w:p>
            <w:pPr>
              <w:pStyle w:val="TableParagraph"/>
              <w:spacing w:before="1"/>
              <w:ind w:left="84" w:right="84"/>
              <w:rPr>
                <w:sz w:val="18"/>
              </w:rPr>
            </w:pPr>
            <w:r>
              <w:rPr>
                <w:sz w:val="18"/>
              </w:rPr>
              <w:t>11</w:t>
            </w:r>
          </w:p>
        </w:tc>
      </w:tr>
      <w:tr>
        <w:trPr>
          <w:trHeight w:val="401" w:hRule="exact"/>
        </w:trPr>
        <w:tc>
          <w:tcPr>
            <w:tcW w:w="2893" w:type="dxa"/>
          </w:tcPr>
          <w:p>
            <w:pPr>
              <w:pStyle w:val="TableParagraph"/>
              <w:spacing w:line="206" w:lineRule="exact"/>
              <w:ind w:left="103"/>
              <w:jc w:val="left"/>
              <w:rPr>
                <w:sz w:val="18"/>
              </w:rPr>
            </w:pPr>
            <w:r>
              <w:rPr>
                <w:color w:val="333333"/>
                <w:sz w:val="18"/>
              </w:rPr>
              <w:t>ATIZAPAN DE ZARAGOZA</w:t>
            </w:r>
          </w:p>
        </w:tc>
        <w:tc>
          <w:tcPr>
            <w:tcW w:w="430" w:type="dxa"/>
          </w:tcPr>
          <w:p>
            <w:pPr>
              <w:pStyle w:val="TableParagraph"/>
              <w:spacing w:line="206" w:lineRule="exact"/>
              <w:ind w:right="1"/>
              <w:rPr>
                <w:sz w:val="18"/>
              </w:rPr>
            </w:pPr>
            <w:r>
              <w:rPr>
                <w:w w:val="99"/>
                <w:sz w:val="18"/>
              </w:rPr>
              <w:t>1</w:t>
            </w:r>
          </w:p>
        </w:tc>
        <w:tc>
          <w:tcPr>
            <w:tcW w:w="430" w:type="dxa"/>
          </w:tcPr>
          <w:p>
            <w:pPr>
              <w:pStyle w:val="TableParagraph"/>
              <w:spacing w:line="206" w:lineRule="exact"/>
              <w:ind w:left="155"/>
              <w:jc w:val="left"/>
              <w:rPr>
                <w:sz w:val="18"/>
              </w:rPr>
            </w:pPr>
            <w:r>
              <w:rPr>
                <w:w w:val="99"/>
                <w:sz w:val="18"/>
              </w:rPr>
              <w:t>0</w:t>
            </w:r>
          </w:p>
        </w:tc>
        <w:tc>
          <w:tcPr>
            <w:tcW w:w="427" w:type="dxa"/>
          </w:tcPr>
          <w:p>
            <w:pPr>
              <w:pStyle w:val="TableParagraph"/>
              <w:spacing w:line="206" w:lineRule="exact"/>
              <w:ind w:right="3"/>
              <w:rPr>
                <w:sz w:val="18"/>
              </w:rPr>
            </w:pPr>
            <w:r>
              <w:rPr>
                <w:w w:val="99"/>
                <w:sz w:val="18"/>
              </w:rPr>
              <w:t>3</w:t>
            </w:r>
          </w:p>
        </w:tc>
        <w:tc>
          <w:tcPr>
            <w:tcW w:w="430" w:type="dxa"/>
          </w:tcPr>
          <w:p>
            <w:pPr>
              <w:pStyle w:val="TableParagraph"/>
              <w:spacing w:line="206" w:lineRule="exact"/>
              <w:ind w:right="1"/>
              <w:rPr>
                <w:sz w:val="18"/>
              </w:rPr>
            </w:pPr>
            <w:r>
              <w:rPr>
                <w:w w:val="99"/>
                <w:sz w:val="18"/>
              </w:rPr>
              <w:t>1</w:t>
            </w:r>
          </w:p>
        </w:tc>
        <w:tc>
          <w:tcPr>
            <w:tcW w:w="475" w:type="dxa"/>
          </w:tcPr>
          <w:p>
            <w:pPr>
              <w:pStyle w:val="TableParagraph"/>
              <w:spacing w:line="206" w:lineRule="exact"/>
              <w:ind w:left="132"/>
              <w:jc w:val="left"/>
              <w:rPr>
                <w:sz w:val="18"/>
              </w:rPr>
            </w:pPr>
            <w:r>
              <w:rPr>
                <w:sz w:val="18"/>
              </w:rPr>
              <w:t>22</w:t>
            </w:r>
          </w:p>
        </w:tc>
        <w:tc>
          <w:tcPr>
            <w:tcW w:w="430" w:type="dxa"/>
          </w:tcPr>
          <w:p>
            <w:pPr>
              <w:pStyle w:val="TableParagraph"/>
              <w:spacing w:line="206" w:lineRule="exact"/>
              <w:ind w:right="1"/>
              <w:rPr>
                <w:sz w:val="18"/>
              </w:rPr>
            </w:pPr>
            <w:r>
              <w:rPr>
                <w:w w:val="99"/>
                <w:sz w:val="18"/>
              </w:rPr>
              <w:t>4</w:t>
            </w:r>
          </w:p>
        </w:tc>
        <w:tc>
          <w:tcPr>
            <w:tcW w:w="430" w:type="dxa"/>
          </w:tcPr>
          <w:p>
            <w:pPr>
              <w:pStyle w:val="TableParagraph"/>
              <w:spacing w:line="206" w:lineRule="exact"/>
              <w:ind w:left="88" w:right="88"/>
              <w:rPr>
                <w:sz w:val="18"/>
              </w:rPr>
            </w:pPr>
            <w:r>
              <w:rPr>
                <w:sz w:val="18"/>
              </w:rPr>
              <w:t>38</w:t>
            </w:r>
          </w:p>
        </w:tc>
        <w:tc>
          <w:tcPr>
            <w:tcW w:w="428" w:type="dxa"/>
          </w:tcPr>
          <w:p>
            <w:pPr>
              <w:pStyle w:val="TableParagraph"/>
              <w:spacing w:line="206" w:lineRule="exact"/>
              <w:ind w:right="3"/>
              <w:rPr>
                <w:sz w:val="18"/>
              </w:rPr>
            </w:pPr>
            <w:r>
              <w:rPr>
                <w:w w:val="99"/>
                <w:sz w:val="18"/>
              </w:rPr>
              <w:t>2</w:t>
            </w:r>
          </w:p>
        </w:tc>
        <w:tc>
          <w:tcPr>
            <w:tcW w:w="430" w:type="dxa"/>
          </w:tcPr>
          <w:p>
            <w:pPr>
              <w:pStyle w:val="TableParagraph"/>
              <w:spacing w:line="206" w:lineRule="exact"/>
              <w:ind w:right="1"/>
              <w:rPr>
                <w:sz w:val="18"/>
              </w:rPr>
            </w:pPr>
            <w:r>
              <w:rPr>
                <w:w w:val="99"/>
                <w:sz w:val="18"/>
              </w:rPr>
              <w:t>0</w:t>
            </w:r>
          </w:p>
        </w:tc>
        <w:tc>
          <w:tcPr>
            <w:tcW w:w="852" w:type="dxa"/>
          </w:tcPr>
          <w:p>
            <w:pPr>
              <w:pStyle w:val="TableParagraph"/>
              <w:spacing w:line="206" w:lineRule="exact"/>
              <w:ind w:left="302" w:right="300"/>
              <w:rPr>
                <w:sz w:val="18"/>
              </w:rPr>
            </w:pPr>
            <w:r>
              <w:rPr>
                <w:sz w:val="18"/>
              </w:rPr>
              <w:t>17</w:t>
            </w:r>
          </w:p>
        </w:tc>
        <w:tc>
          <w:tcPr>
            <w:tcW w:w="850" w:type="dxa"/>
          </w:tcPr>
          <w:p>
            <w:pPr>
              <w:pStyle w:val="TableParagraph"/>
              <w:spacing w:line="206" w:lineRule="exact"/>
              <w:ind w:left="319"/>
              <w:jc w:val="left"/>
              <w:rPr>
                <w:sz w:val="18"/>
              </w:rPr>
            </w:pPr>
            <w:r>
              <w:rPr>
                <w:sz w:val="18"/>
              </w:rPr>
              <w:t>17</w:t>
            </w:r>
          </w:p>
        </w:tc>
        <w:tc>
          <w:tcPr>
            <w:tcW w:w="430" w:type="dxa"/>
          </w:tcPr>
          <w:p>
            <w:pPr>
              <w:pStyle w:val="TableParagraph"/>
              <w:spacing w:line="206" w:lineRule="exact"/>
              <w:ind w:right="1"/>
              <w:rPr>
                <w:sz w:val="18"/>
              </w:rPr>
            </w:pPr>
            <w:r>
              <w:rPr>
                <w:w w:val="99"/>
                <w:sz w:val="18"/>
              </w:rPr>
              <w:t>0</w:t>
            </w:r>
          </w:p>
        </w:tc>
        <w:tc>
          <w:tcPr>
            <w:tcW w:w="853" w:type="dxa"/>
          </w:tcPr>
          <w:p>
            <w:pPr>
              <w:pStyle w:val="TableParagraph"/>
              <w:spacing w:line="206" w:lineRule="exact"/>
              <w:ind w:right="6"/>
              <w:rPr>
                <w:sz w:val="18"/>
              </w:rPr>
            </w:pPr>
            <w:r>
              <w:rPr>
                <w:w w:val="99"/>
                <w:sz w:val="18"/>
              </w:rPr>
              <w:t>0</w:t>
            </w:r>
          </w:p>
        </w:tc>
        <w:tc>
          <w:tcPr>
            <w:tcW w:w="473" w:type="dxa"/>
          </w:tcPr>
          <w:p>
            <w:pPr>
              <w:pStyle w:val="TableParagraph"/>
              <w:spacing w:line="206" w:lineRule="exact"/>
              <w:ind w:right="1"/>
              <w:rPr>
                <w:sz w:val="18"/>
              </w:rPr>
            </w:pPr>
            <w:r>
              <w:rPr>
                <w:w w:val="99"/>
                <w:sz w:val="18"/>
              </w:rPr>
              <w:t>3</w:t>
            </w:r>
          </w:p>
        </w:tc>
        <w:tc>
          <w:tcPr>
            <w:tcW w:w="518" w:type="dxa"/>
          </w:tcPr>
          <w:p>
            <w:pPr>
              <w:pStyle w:val="TableParagraph"/>
              <w:spacing w:line="206" w:lineRule="exact"/>
              <w:ind w:left="84" w:right="84"/>
              <w:rPr>
                <w:sz w:val="18"/>
              </w:rPr>
            </w:pPr>
            <w:r>
              <w:rPr>
                <w:sz w:val="18"/>
              </w:rPr>
              <w:t>108</w:t>
            </w:r>
          </w:p>
        </w:tc>
      </w:tr>
    </w:tbl>
    <w:p>
      <w:pPr>
        <w:spacing w:after="0" w:line="206" w:lineRule="exact"/>
        <w:rPr>
          <w:sz w:val="18"/>
        </w:rPr>
        <w:sectPr>
          <w:footerReference w:type="default" r:id="rId347"/>
          <w:pgSz w:w="15840" w:h="12240" w:orient="landscape"/>
          <w:pgMar w:footer="975" w:header="0" w:top="1140" w:bottom="1160" w:left="2260" w:right="2260"/>
          <w:pgNumType w:start="391"/>
        </w:sectPr>
      </w:pPr>
    </w:p>
    <w:p>
      <w:pPr>
        <w:pStyle w:val="BodyText"/>
        <w:rPr>
          <w:rFonts w:ascii="Times New Roman"/>
          <w:sz w:val="20"/>
        </w:rPr>
      </w:pPr>
    </w:p>
    <w:p>
      <w:pPr>
        <w:pStyle w:val="BodyText"/>
        <w:spacing w:before="8"/>
        <w:rPr>
          <w:rFonts w:ascii="Times New Roman"/>
          <w:sz w:val="20"/>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77"/>
        <w:gridCol w:w="456"/>
        <w:gridCol w:w="458"/>
        <w:gridCol w:w="456"/>
        <w:gridCol w:w="456"/>
        <w:gridCol w:w="475"/>
        <w:gridCol w:w="459"/>
        <w:gridCol w:w="456"/>
        <w:gridCol w:w="458"/>
        <w:gridCol w:w="456"/>
        <w:gridCol w:w="684"/>
        <w:gridCol w:w="646"/>
        <w:gridCol w:w="456"/>
        <w:gridCol w:w="852"/>
        <w:gridCol w:w="475"/>
        <w:gridCol w:w="475"/>
      </w:tblGrid>
      <w:tr>
        <w:trPr>
          <w:trHeight w:val="373" w:hRule="exact"/>
        </w:trPr>
        <w:tc>
          <w:tcPr>
            <w:tcW w:w="11997" w:type="dxa"/>
            <w:gridSpan w:val="16"/>
            <w:shd w:val="clear" w:color="auto" w:fill="92D050"/>
          </w:tcPr>
          <w:p>
            <w:pPr>
              <w:pStyle w:val="TableParagraph"/>
              <w:spacing w:before="20"/>
              <w:ind w:left="1348"/>
              <w:jc w:val="left"/>
              <w:rPr>
                <w:b/>
                <w:sz w:val="18"/>
              </w:rPr>
            </w:pPr>
            <w:r>
              <w:rPr>
                <w:b/>
                <w:sz w:val="18"/>
              </w:rPr>
              <w:t>Anexo 18. Normativa publicada por los municipios del Estado de México a través del INFOEM (continuación)</w:t>
            </w:r>
          </w:p>
        </w:tc>
      </w:tr>
      <w:tr>
        <w:trPr>
          <w:trHeight w:val="1412" w:hRule="exact"/>
        </w:trPr>
        <w:tc>
          <w:tcPr>
            <w:tcW w:w="4277" w:type="dxa"/>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126"/>
              <w:ind w:left="1691" w:right="1693"/>
              <w:rPr>
                <w:b/>
                <w:sz w:val="18"/>
              </w:rPr>
            </w:pPr>
            <w:r>
              <w:rPr>
                <w:b/>
                <w:sz w:val="18"/>
              </w:rPr>
              <w:t>Municipio</w:t>
            </w:r>
          </w:p>
        </w:tc>
        <w:tc>
          <w:tcPr>
            <w:tcW w:w="456" w:type="dxa"/>
            <w:shd w:val="clear" w:color="auto" w:fill="C5DFB3"/>
            <w:textDirection w:val="btLr"/>
          </w:tcPr>
          <w:p>
            <w:pPr>
              <w:pStyle w:val="TableParagraph"/>
              <w:spacing w:before="64"/>
              <w:ind w:left="76" w:right="-11"/>
              <w:jc w:val="left"/>
              <w:rPr>
                <w:b/>
                <w:sz w:val="18"/>
              </w:rPr>
            </w:pPr>
            <w:r>
              <w:rPr>
                <w:b/>
                <w:sz w:val="18"/>
              </w:rPr>
              <w:t>Con</w:t>
            </w:r>
            <w:r>
              <w:rPr>
                <w:b/>
                <w:spacing w:val="1"/>
                <w:sz w:val="18"/>
              </w:rPr>
              <w:t>s</w:t>
            </w:r>
            <w:r>
              <w:rPr>
                <w:b/>
                <w:w w:val="100"/>
                <w:sz w:val="18"/>
              </w:rPr>
              <w:t>t.</w:t>
            </w:r>
            <w:r>
              <w:rPr>
                <w:b/>
                <w:sz w:val="18"/>
              </w:rPr>
              <w:t> Fe</w:t>
            </w:r>
            <w:r>
              <w:rPr>
                <w:b/>
                <w:spacing w:val="-2"/>
                <w:w w:val="100"/>
                <w:sz w:val="18"/>
              </w:rPr>
              <w:t>d</w:t>
            </w:r>
            <w:r>
              <w:rPr>
                <w:b/>
                <w:w w:val="99"/>
                <w:sz w:val="18"/>
              </w:rPr>
              <w:t>e</w:t>
            </w:r>
            <w:r>
              <w:rPr>
                <w:b/>
                <w:w w:val="99"/>
                <w:sz w:val="18"/>
              </w:rPr>
              <w:t>ral</w:t>
            </w:r>
          </w:p>
        </w:tc>
        <w:tc>
          <w:tcPr>
            <w:tcW w:w="458" w:type="dxa"/>
            <w:shd w:val="clear" w:color="auto" w:fill="C5DFB3"/>
            <w:textDirection w:val="btLr"/>
          </w:tcPr>
          <w:p>
            <w:pPr>
              <w:pStyle w:val="TableParagraph"/>
              <w:spacing w:before="66"/>
              <w:ind w:left="160" w:right="-11"/>
              <w:jc w:val="left"/>
              <w:rPr>
                <w:b/>
                <w:sz w:val="18"/>
              </w:rPr>
            </w:pPr>
            <w:r>
              <w:rPr>
                <w:b/>
                <w:w w:val="99"/>
                <w:sz w:val="18"/>
              </w:rPr>
              <w:t>Trata</w:t>
            </w:r>
            <w:r>
              <w:rPr>
                <w:b/>
                <w:w w:val="100"/>
                <w:sz w:val="18"/>
              </w:rPr>
              <w:t>do</w:t>
            </w:r>
            <w:r>
              <w:rPr>
                <w:b/>
                <w:w w:val="99"/>
                <w:sz w:val="18"/>
              </w:rPr>
              <w:t>s</w:t>
            </w:r>
            <w:r>
              <w:rPr>
                <w:b/>
                <w:spacing w:val="-2"/>
                <w:sz w:val="18"/>
              </w:rPr>
              <w:t> </w:t>
            </w:r>
            <w:r>
              <w:rPr>
                <w:b/>
                <w:w w:val="100"/>
                <w:sz w:val="18"/>
              </w:rPr>
              <w:t>Int.</w:t>
            </w:r>
          </w:p>
        </w:tc>
        <w:tc>
          <w:tcPr>
            <w:tcW w:w="456" w:type="dxa"/>
            <w:shd w:val="clear" w:color="auto" w:fill="C5DFB3"/>
            <w:textDirection w:val="btLr"/>
          </w:tcPr>
          <w:p>
            <w:pPr>
              <w:pStyle w:val="TableParagraph"/>
              <w:spacing w:before="64"/>
              <w:ind w:left="235" w:right="-11"/>
              <w:jc w:val="left"/>
              <w:rPr>
                <w:b/>
                <w:sz w:val="18"/>
              </w:rPr>
            </w:pPr>
            <w:r>
              <w:rPr>
                <w:b/>
                <w:sz w:val="18"/>
              </w:rPr>
              <w:t>Le</w:t>
            </w:r>
            <w:r>
              <w:rPr>
                <w:b/>
                <w:w w:val="99"/>
                <w:sz w:val="18"/>
              </w:rPr>
              <w:t>yes</w:t>
            </w:r>
            <w:r>
              <w:rPr>
                <w:b/>
                <w:spacing w:val="-2"/>
                <w:sz w:val="18"/>
              </w:rPr>
              <w:t> </w:t>
            </w:r>
            <w:r>
              <w:rPr>
                <w:b/>
                <w:sz w:val="18"/>
              </w:rPr>
              <w:t>Fe</w:t>
            </w:r>
            <w:r>
              <w:rPr>
                <w:b/>
                <w:w w:val="100"/>
                <w:sz w:val="18"/>
              </w:rPr>
              <w:t>d.</w:t>
            </w:r>
          </w:p>
        </w:tc>
        <w:tc>
          <w:tcPr>
            <w:tcW w:w="456" w:type="dxa"/>
            <w:shd w:val="clear" w:color="auto" w:fill="C5DFB3"/>
            <w:textDirection w:val="btLr"/>
          </w:tcPr>
          <w:p>
            <w:pPr>
              <w:pStyle w:val="TableParagraph"/>
              <w:spacing w:before="64"/>
              <w:ind w:left="160" w:right="-11"/>
              <w:jc w:val="left"/>
              <w:rPr>
                <w:b/>
                <w:sz w:val="18"/>
              </w:rPr>
            </w:pPr>
            <w:r>
              <w:rPr>
                <w:b/>
                <w:sz w:val="18"/>
              </w:rPr>
              <w:t>Con</w:t>
            </w:r>
            <w:r>
              <w:rPr>
                <w:b/>
                <w:spacing w:val="1"/>
                <w:sz w:val="18"/>
              </w:rPr>
              <w:t>s</w:t>
            </w:r>
            <w:r>
              <w:rPr>
                <w:b/>
                <w:w w:val="100"/>
                <w:sz w:val="18"/>
              </w:rPr>
              <w:t>t.</w:t>
            </w:r>
            <w:r>
              <w:rPr>
                <w:b/>
                <w:sz w:val="18"/>
              </w:rPr>
              <w:t> </w:t>
            </w:r>
            <w:r>
              <w:rPr>
                <w:b/>
                <w:w w:val="100"/>
                <w:sz w:val="18"/>
              </w:rPr>
              <w:t>Lo</w:t>
            </w:r>
            <w:r>
              <w:rPr>
                <w:b/>
                <w:spacing w:val="-2"/>
                <w:w w:val="99"/>
                <w:sz w:val="18"/>
              </w:rPr>
              <w:t>c</w:t>
            </w:r>
            <w:r>
              <w:rPr>
                <w:b/>
                <w:w w:val="99"/>
                <w:sz w:val="18"/>
              </w:rPr>
              <w:t>a</w:t>
            </w:r>
            <w:r>
              <w:rPr>
                <w:b/>
                <w:w w:val="100"/>
                <w:sz w:val="18"/>
              </w:rPr>
              <w:t>l</w:t>
            </w:r>
          </w:p>
        </w:tc>
        <w:tc>
          <w:tcPr>
            <w:tcW w:w="475" w:type="dxa"/>
            <w:shd w:val="clear" w:color="auto" w:fill="C5DFB3"/>
            <w:textDirection w:val="btLr"/>
          </w:tcPr>
          <w:p>
            <w:pPr>
              <w:pStyle w:val="TableParagraph"/>
              <w:spacing w:before="73"/>
              <w:ind w:left="86" w:right="-11"/>
              <w:jc w:val="left"/>
              <w:rPr>
                <w:b/>
                <w:sz w:val="18"/>
              </w:rPr>
            </w:pPr>
            <w:r>
              <w:rPr>
                <w:b/>
                <w:sz w:val="18"/>
              </w:rPr>
              <w:t>Le</w:t>
            </w:r>
            <w:r>
              <w:rPr>
                <w:b/>
                <w:w w:val="99"/>
                <w:sz w:val="18"/>
              </w:rPr>
              <w:t>yes</w:t>
            </w:r>
            <w:r>
              <w:rPr>
                <w:b/>
                <w:spacing w:val="-2"/>
                <w:sz w:val="18"/>
              </w:rPr>
              <w:t> </w:t>
            </w:r>
            <w:r>
              <w:rPr>
                <w:b/>
                <w:w w:val="100"/>
                <w:sz w:val="18"/>
              </w:rPr>
              <w:t>Lo</w:t>
            </w:r>
            <w:r>
              <w:rPr>
                <w:b/>
                <w:w w:val="99"/>
                <w:sz w:val="18"/>
              </w:rPr>
              <w:t>c</w:t>
            </w:r>
            <w:r>
              <w:rPr>
                <w:b/>
                <w:spacing w:val="-2"/>
                <w:w w:val="99"/>
                <w:sz w:val="18"/>
              </w:rPr>
              <w:t>a</w:t>
            </w:r>
            <w:r>
              <w:rPr>
                <w:b/>
                <w:w w:val="100"/>
                <w:sz w:val="18"/>
              </w:rPr>
              <w:t>le</w:t>
            </w:r>
            <w:r>
              <w:rPr>
                <w:b/>
                <w:w w:val="99"/>
                <w:sz w:val="18"/>
              </w:rPr>
              <w:t>s</w:t>
            </w:r>
          </w:p>
        </w:tc>
        <w:tc>
          <w:tcPr>
            <w:tcW w:w="459" w:type="dxa"/>
            <w:shd w:val="clear" w:color="auto" w:fill="C5DFB3"/>
            <w:textDirection w:val="btLr"/>
          </w:tcPr>
          <w:p>
            <w:pPr>
              <w:pStyle w:val="TableParagraph"/>
              <w:spacing w:before="66"/>
              <w:ind w:left="340" w:right="-11"/>
              <w:jc w:val="left"/>
              <w:rPr>
                <w:b/>
                <w:sz w:val="18"/>
              </w:rPr>
            </w:pPr>
            <w:r>
              <w:rPr>
                <w:b/>
                <w:w w:val="100"/>
                <w:sz w:val="18"/>
              </w:rPr>
              <w:t>Códi</w:t>
            </w:r>
            <w:r>
              <w:rPr>
                <w:b/>
                <w:w w:val="100"/>
                <w:sz w:val="18"/>
              </w:rPr>
              <w:t>go</w:t>
            </w:r>
            <w:r>
              <w:rPr>
                <w:b/>
                <w:w w:val="99"/>
                <w:sz w:val="18"/>
              </w:rPr>
              <w:t>s</w:t>
            </w:r>
          </w:p>
        </w:tc>
        <w:tc>
          <w:tcPr>
            <w:tcW w:w="456" w:type="dxa"/>
            <w:shd w:val="clear" w:color="auto" w:fill="C5DFB3"/>
            <w:textDirection w:val="btLr"/>
          </w:tcPr>
          <w:p>
            <w:pPr>
              <w:pStyle w:val="TableParagraph"/>
              <w:spacing w:before="64"/>
              <w:ind w:left="136" w:right="-11"/>
              <w:jc w:val="left"/>
              <w:rPr>
                <w:b/>
                <w:sz w:val="18"/>
              </w:rPr>
            </w:pPr>
            <w:r>
              <w:rPr>
                <w:b/>
                <w:w w:val="99"/>
                <w:sz w:val="18"/>
              </w:rPr>
              <w:t>Reg</w:t>
            </w:r>
            <w:r>
              <w:rPr>
                <w:b/>
                <w:w w:val="100"/>
                <w:sz w:val="18"/>
              </w:rPr>
              <w:t>la</w:t>
            </w:r>
            <w:r>
              <w:rPr>
                <w:b/>
                <w:w w:val="99"/>
                <w:sz w:val="18"/>
              </w:rPr>
              <w:t>m</w:t>
            </w:r>
            <w:r>
              <w:rPr>
                <w:b/>
                <w:spacing w:val="-2"/>
                <w:w w:val="99"/>
                <w:sz w:val="18"/>
              </w:rPr>
              <w:t>e</w:t>
            </w:r>
            <w:r>
              <w:rPr>
                <w:b/>
                <w:w w:val="100"/>
                <w:sz w:val="18"/>
              </w:rPr>
              <w:t>nto</w:t>
            </w:r>
            <w:r>
              <w:rPr>
                <w:b/>
                <w:w w:val="99"/>
                <w:sz w:val="18"/>
              </w:rPr>
              <w:t>s</w:t>
            </w:r>
          </w:p>
        </w:tc>
        <w:tc>
          <w:tcPr>
            <w:tcW w:w="458" w:type="dxa"/>
            <w:shd w:val="clear" w:color="auto" w:fill="C5DFB3"/>
            <w:textDirection w:val="btLr"/>
          </w:tcPr>
          <w:p>
            <w:pPr>
              <w:pStyle w:val="TableParagraph"/>
              <w:spacing w:before="66"/>
              <w:ind w:left="316" w:right="-11"/>
              <w:jc w:val="left"/>
              <w:rPr>
                <w:b/>
                <w:sz w:val="18"/>
              </w:rPr>
            </w:pPr>
            <w:r>
              <w:rPr>
                <w:b/>
                <w:w w:val="99"/>
                <w:sz w:val="18"/>
              </w:rPr>
              <w:t>Dec</w:t>
            </w:r>
            <w:r>
              <w:rPr>
                <w:b/>
                <w:w w:val="99"/>
                <w:sz w:val="18"/>
              </w:rPr>
              <w:t>reto</w:t>
            </w:r>
            <w:r>
              <w:rPr>
                <w:b/>
                <w:w w:val="99"/>
                <w:sz w:val="18"/>
              </w:rPr>
              <w:t>s</w:t>
            </w:r>
          </w:p>
        </w:tc>
        <w:tc>
          <w:tcPr>
            <w:tcW w:w="456" w:type="dxa"/>
            <w:shd w:val="clear" w:color="auto" w:fill="C5DFB3"/>
            <w:textDirection w:val="btLr"/>
          </w:tcPr>
          <w:p>
            <w:pPr>
              <w:pStyle w:val="TableParagraph"/>
              <w:spacing w:before="64"/>
              <w:ind w:left="285" w:right="-11"/>
              <w:jc w:val="left"/>
              <w:rPr>
                <w:b/>
                <w:sz w:val="18"/>
              </w:rPr>
            </w:pPr>
            <w:r>
              <w:rPr>
                <w:b/>
                <w:w w:val="99"/>
                <w:sz w:val="18"/>
              </w:rPr>
              <w:t>Acu</w:t>
            </w:r>
            <w:r>
              <w:rPr>
                <w:b/>
                <w:w w:val="99"/>
                <w:sz w:val="18"/>
              </w:rPr>
              <w:t>e</w:t>
            </w:r>
            <w:r>
              <w:rPr>
                <w:b/>
                <w:sz w:val="18"/>
              </w:rPr>
              <w:t>rdos</w:t>
            </w:r>
          </w:p>
        </w:tc>
        <w:tc>
          <w:tcPr>
            <w:tcW w:w="684" w:type="dxa"/>
            <w:shd w:val="clear" w:color="auto" w:fill="C5DFB3"/>
            <w:textDirection w:val="btLr"/>
          </w:tcPr>
          <w:p>
            <w:pPr>
              <w:pStyle w:val="TableParagraph"/>
              <w:spacing w:line="369" w:lineRule="auto" w:before="64"/>
              <w:ind w:left="7" w:right="-11" w:firstLine="153"/>
              <w:jc w:val="left"/>
              <w:rPr>
                <w:b/>
                <w:sz w:val="18"/>
              </w:rPr>
            </w:pPr>
            <w:r>
              <w:rPr>
                <w:b/>
                <w:spacing w:val="1"/>
                <w:w w:val="99"/>
                <w:sz w:val="18"/>
              </w:rPr>
              <w:t>M</w:t>
            </w:r>
            <w:r>
              <w:rPr>
                <w:b/>
                <w:w w:val="99"/>
                <w:sz w:val="18"/>
              </w:rPr>
              <w:t>a</w:t>
            </w:r>
            <w:r>
              <w:rPr>
                <w:b/>
                <w:w w:val="100"/>
                <w:sz w:val="18"/>
              </w:rPr>
              <w:t>nu</w:t>
            </w:r>
            <w:r>
              <w:rPr>
                <w:b/>
                <w:spacing w:val="-2"/>
                <w:w w:val="99"/>
                <w:sz w:val="18"/>
              </w:rPr>
              <w:t>a</w:t>
            </w:r>
            <w:r>
              <w:rPr>
                <w:b/>
                <w:w w:val="100"/>
                <w:sz w:val="18"/>
              </w:rPr>
              <w:t>le</w:t>
            </w:r>
            <w:r>
              <w:rPr>
                <w:b/>
                <w:w w:val="99"/>
                <w:sz w:val="18"/>
              </w:rPr>
              <w:t>s</w:t>
            </w:r>
            <w:r>
              <w:rPr>
                <w:b/>
                <w:spacing w:val="-2"/>
                <w:sz w:val="18"/>
              </w:rPr>
              <w:t> </w:t>
            </w:r>
            <w:r>
              <w:rPr>
                <w:b/>
                <w:sz w:val="18"/>
              </w:rPr>
              <w:t>de proc</w:t>
            </w:r>
            <w:r>
              <w:rPr>
                <w:b/>
                <w:w w:val="99"/>
                <w:sz w:val="18"/>
              </w:rPr>
              <w:t>e</w:t>
            </w:r>
            <w:r>
              <w:rPr>
                <w:b/>
                <w:w w:val="100"/>
                <w:sz w:val="18"/>
              </w:rPr>
              <w:t>di</w:t>
            </w:r>
            <w:r>
              <w:rPr>
                <w:b/>
                <w:spacing w:val="-2"/>
                <w:w w:val="99"/>
                <w:sz w:val="18"/>
              </w:rPr>
              <w:t>m</w:t>
            </w:r>
            <w:r>
              <w:rPr>
                <w:b/>
                <w:w w:val="100"/>
                <w:sz w:val="18"/>
              </w:rPr>
              <w:t>ie</w:t>
            </w:r>
            <w:r>
              <w:rPr>
                <w:b/>
                <w:w w:val="100"/>
                <w:sz w:val="18"/>
              </w:rPr>
              <w:t>nt</w:t>
            </w:r>
            <w:r>
              <w:rPr>
                <w:b/>
                <w:spacing w:val="-2"/>
                <w:w w:val="100"/>
                <w:sz w:val="18"/>
              </w:rPr>
              <w:t>o</w:t>
            </w:r>
            <w:r>
              <w:rPr>
                <w:b/>
                <w:w w:val="99"/>
                <w:sz w:val="18"/>
              </w:rPr>
              <w:t>s</w:t>
            </w:r>
            <w:r>
              <w:rPr>
                <w:b/>
                <w:w w:val="100"/>
                <w:sz w:val="18"/>
              </w:rPr>
              <w:t>.</w:t>
            </w:r>
          </w:p>
        </w:tc>
        <w:tc>
          <w:tcPr>
            <w:tcW w:w="646" w:type="dxa"/>
            <w:shd w:val="clear" w:color="auto" w:fill="C5DFB3"/>
            <w:textDirection w:val="btLr"/>
          </w:tcPr>
          <w:p>
            <w:pPr>
              <w:pStyle w:val="TableParagraph"/>
              <w:spacing w:line="369" w:lineRule="auto" w:before="64"/>
              <w:ind w:left="146" w:right="128" w:firstLine="14"/>
              <w:jc w:val="left"/>
              <w:rPr>
                <w:b/>
                <w:sz w:val="18"/>
              </w:rPr>
            </w:pPr>
            <w:r>
              <w:rPr>
                <w:b/>
                <w:spacing w:val="1"/>
                <w:w w:val="99"/>
                <w:sz w:val="18"/>
              </w:rPr>
              <w:t>M</w:t>
            </w:r>
            <w:r>
              <w:rPr>
                <w:b/>
                <w:w w:val="99"/>
                <w:sz w:val="18"/>
              </w:rPr>
              <w:t>a</w:t>
            </w:r>
            <w:r>
              <w:rPr>
                <w:b/>
                <w:w w:val="100"/>
                <w:sz w:val="18"/>
              </w:rPr>
              <w:t>nu</w:t>
            </w:r>
            <w:r>
              <w:rPr>
                <w:b/>
                <w:spacing w:val="-2"/>
                <w:w w:val="99"/>
                <w:sz w:val="18"/>
              </w:rPr>
              <w:t>a</w:t>
            </w:r>
            <w:r>
              <w:rPr>
                <w:b/>
                <w:w w:val="100"/>
                <w:sz w:val="18"/>
              </w:rPr>
              <w:t>le</w:t>
            </w:r>
            <w:r>
              <w:rPr>
                <w:b/>
                <w:w w:val="99"/>
                <w:sz w:val="18"/>
              </w:rPr>
              <w:t>s</w:t>
            </w:r>
            <w:r>
              <w:rPr>
                <w:b/>
                <w:spacing w:val="-2"/>
                <w:sz w:val="18"/>
              </w:rPr>
              <w:t> </w:t>
            </w:r>
            <w:r>
              <w:rPr>
                <w:b/>
                <w:sz w:val="18"/>
              </w:rPr>
              <w:t>de orga</w:t>
            </w:r>
            <w:r>
              <w:rPr>
                <w:b/>
                <w:w w:val="100"/>
                <w:sz w:val="18"/>
              </w:rPr>
              <w:t>ni</w:t>
            </w:r>
            <w:r>
              <w:rPr>
                <w:b/>
                <w:spacing w:val="-2"/>
                <w:sz w:val="18"/>
              </w:rPr>
              <w:t>z</w:t>
            </w:r>
            <w:r>
              <w:rPr>
                <w:b/>
                <w:w w:val="99"/>
                <w:sz w:val="18"/>
              </w:rPr>
              <w:t>ac</w:t>
            </w:r>
            <w:r>
              <w:rPr>
                <w:b/>
                <w:w w:val="100"/>
                <w:sz w:val="18"/>
              </w:rPr>
              <w:t>ión</w:t>
            </w:r>
          </w:p>
        </w:tc>
        <w:tc>
          <w:tcPr>
            <w:tcW w:w="456" w:type="dxa"/>
            <w:tcBorders>
              <w:right w:val="single" w:sz="4" w:space="0" w:color="000000"/>
            </w:tcBorders>
            <w:shd w:val="clear" w:color="auto" w:fill="C5DFB3"/>
            <w:textDirection w:val="btLr"/>
          </w:tcPr>
          <w:p>
            <w:pPr>
              <w:pStyle w:val="TableParagraph"/>
              <w:spacing w:before="64"/>
              <w:ind w:left="21" w:right="-11"/>
              <w:jc w:val="left"/>
              <w:rPr>
                <w:b/>
                <w:sz w:val="18"/>
              </w:rPr>
            </w:pPr>
            <w:r>
              <w:rPr>
                <w:b/>
                <w:spacing w:val="-1"/>
                <w:w w:val="100"/>
                <w:sz w:val="18"/>
              </w:rPr>
              <w:t>O</w:t>
            </w:r>
            <w:r>
              <w:rPr>
                <w:b/>
                <w:w w:val="99"/>
                <w:sz w:val="18"/>
              </w:rPr>
              <w:t>tros m</w:t>
            </w:r>
            <w:r>
              <w:rPr>
                <w:b/>
                <w:w w:val="99"/>
                <w:sz w:val="18"/>
              </w:rPr>
              <w:t>a</w:t>
            </w:r>
            <w:r>
              <w:rPr>
                <w:b/>
                <w:w w:val="100"/>
                <w:sz w:val="18"/>
              </w:rPr>
              <w:t>nu</w:t>
            </w:r>
            <w:r>
              <w:rPr>
                <w:b/>
                <w:spacing w:val="-2"/>
                <w:w w:val="99"/>
                <w:sz w:val="18"/>
              </w:rPr>
              <w:t>a</w:t>
            </w:r>
            <w:r>
              <w:rPr>
                <w:b/>
                <w:w w:val="100"/>
                <w:sz w:val="18"/>
              </w:rPr>
              <w:t>le</w:t>
            </w:r>
            <w:r>
              <w:rPr>
                <w:b/>
                <w:w w:val="99"/>
                <w:sz w:val="18"/>
              </w:rPr>
              <w:t>s</w:t>
            </w:r>
          </w:p>
        </w:tc>
        <w:tc>
          <w:tcPr>
            <w:tcW w:w="852" w:type="dxa"/>
            <w:tcBorders>
              <w:left w:val="single" w:sz="4" w:space="0" w:color="000000"/>
            </w:tcBorders>
            <w:shd w:val="clear" w:color="auto" w:fill="C5DFB3"/>
            <w:textDirection w:val="btLr"/>
          </w:tcPr>
          <w:p>
            <w:pPr>
              <w:pStyle w:val="TableParagraph"/>
              <w:spacing w:before="7"/>
              <w:jc w:val="left"/>
              <w:rPr>
                <w:rFonts w:ascii="Times New Roman"/>
                <w:sz w:val="22"/>
              </w:rPr>
            </w:pPr>
          </w:p>
          <w:p>
            <w:pPr>
              <w:pStyle w:val="TableParagraph"/>
              <w:spacing w:before="1"/>
              <w:ind w:left="261"/>
              <w:jc w:val="left"/>
              <w:rPr>
                <w:b/>
                <w:sz w:val="18"/>
              </w:rPr>
            </w:pPr>
            <w:r>
              <w:rPr>
                <w:b/>
                <w:w w:val="99"/>
                <w:sz w:val="18"/>
              </w:rPr>
              <w:t>Circula</w:t>
            </w:r>
            <w:r>
              <w:rPr>
                <w:b/>
                <w:w w:val="99"/>
                <w:sz w:val="18"/>
              </w:rPr>
              <w:t>res</w:t>
            </w:r>
          </w:p>
        </w:tc>
        <w:tc>
          <w:tcPr>
            <w:tcW w:w="475" w:type="dxa"/>
            <w:shd w:val="clear" w:color="auto" w:fill="C5DFB3"/>
            <w:textDirection w:val="btLr"/>
          </w:tcPr>
          <w:p>
            <w:pPr>
              <w:pStyle w:val="TableParagraph"/>
              <w:spacing w:before="64"/>
              <w:ind w:left="405" w:right="-11"/>
              <w:jc w:val="left"/>
              <w:rPr>
                <w:b/>
                <w:sz w:val="18"/>
              </w:rPr>
            </w:pPr>
            <w:r>
              <w:rPr>
                <w:b/>
                <w:w w:val="99"/>
                <w:sz w:val="18"/>
              </w:rPr>
              <w:t>Demás</w:t>
            </w:r>
          </w:p>
        </w:tc>
        <w:tc>
          <w:tcPr>
            <w:tcW w:w="475" w:type="dxa"/>
            <w:shd w:val="clear" w:color="auto" w:fill="C5DFB3"/>
            <w:textDirection w:val="btLr"/>
          </w:tcPr>
          <w:p>
            <w:pPr>
              <w:pStyle w:val="TableParagraph"/>
              <w:spacing w:before="71"/>
              <w:ind w:left="340" w:right="-11"/>
              <w:jc w:val="left"/>
              <w:rPr>
                <w:b/>
                <w:sz w:val="18"/>
              </w:rPr>
            </w:pPr>
            <w:r>
              <w:rPr>
                <w:b/>
                <w:w w:val="100"/>
                <w:sz w:val="18"/>
              </w:rPr>
              <w:t>Subtot</w:t>
            </w:r>
            <w:r>
              <w:rPr>
                <w:b/>
                <w:w w:val="99"/>
                <w:sz w:val="18"/>
              </w:rPr>
              <w:t>a</w:t>
            </w:r>
            <w:r>
              <w:rPr>
                <w:b/>
                <w:w w:val="100"/>
                <w:sz w:val="18"/>
              </w:rPr>
              <w:t>l</w:t>
            </w:r>
          </w:p>
        </w:tc>
      </w:tr>
      <w:tr>
        <w:trPr>
          <w:trHeight w:val="401" w:hRule="exact"/>
        </w:trPr>
        <w:tc>
          <w:tcPr>
            <w:tcW w:w="4277" w:type="dxa"/>
          </w:tcPr>
          <w:p>
            <w:pPr>
              <w:pStyle w:val="TableParagraph"/>
              <w:spacing w:before="35"/>
              <w:ind w:left="64"/>
              <w:jc w:val="left"/>
              <w:rPr>
                <w:b/>
                <w:sz w:val="18"/>
              </w:rPr>
            </w:pPr>
            <w:r>
              <w:rPr>
                <w:b/>
                <w:color w:val="333333"/>
                <w:sz w:val="18"/>
              </w:rPr>
              <w:t>ATLACOMULCO</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51" w:right="51"/>
              <w:rPr>
                <w:sz w:val="18"/>
              </w:rPr>
            </w:pPr>
            <w:r>
              <w:rPr>
                <w:sz w:val="18"/>
              </w:rPr>
              <w:t>10</w:t>
            </w:r>
          </w:p>
        </w:tc>
        <w:tc>
          <w:tcPr>
            <w:tcW w:w="456" w:type="dxa"/>
          </w:tcPr>
          <w:p>
            <w:pPr>
              <w:pStyle w:val="TableParagraph"/>
              <w:spacing w:before="40"/>
              <w:rPr>
                <w:sz w:val="18"/>
              </w:rPr>
            </w:pPr>
            <w:r>
              <w:rPr>
                <w:w w:val="99"/>
                <w:sz w:val="18"/>
              </w:rPr>
              <w:t>1</w:t>
            </w:r>
          </w:p>
        </w:tc>
        <w:tc>
          <w:tcPr>
            <w:tcW w:w="475" w:type="dxa"/>
          </w:tcPr>
          <w:p>
            <w:pPr>
              <w:pStyle w:val="TableParagraph"/>
              <w:spacing w:before="40"/>
              <w:ind w:left="62" w:right="58"/>
              <w:rPr>
                <w:sz w:val="18"/>
              </w:rPr>
            </w:pPr>
            <w:r>
              <w:rPr>
                <w:sz w:val="18"/>
              </w:rPr>
              <w:t>26</w:t>
            </w:r>
          </w:p>
        </w:tc>
        <w:tc>
          <w:tcPr>
            <w:tcW w:w="459" w:type="dxa"/>
          </w:tcPr>
          <w:p>
            <w:pPr>
              <w:pStyle w:val="TableParagraph"/>
              <w:spacing w:before="40"/>
              <w:ind w:left="2"/>
              <w:rPr>
                <w:sz w:val="18"/>
              </w:rPr>
            </w:pPr>
            <w:r>
              <w:rPr>
                <w:w w:val="99"/>
                <w:sz w:val="18"/>
              </w:rPr>
              <w:t>7</w:t>
            </w:r>
          </w:p>
        </w:tc>
        <w:tc>
          <w:tcPr>
            <w:tcW w:w="456" w:type="dxa"/>
          </w:tcPr>
          <w:p>
            <w:pPr>
              <w:pStyle w:val="TableParagraph"/>
              <w:spacing w:before="40"/>
              <w:ind w:left="51" w:right="51"/>
              <w:rPr>
                <w:sz w:val="18"/>
              </w:rPr>
            </w:pPr>
            <w:r>
              <w:rPr>
                <w:sz w:val="18"/>
              </w:rPr>
              <w:t>15</w:t>
            </w:r>
          </w:p>
        </w:tc>
        <w:tc>
          <w:tcPr>
            <w:tcW w:w="458" w:type="dxa"/>
          </w:tcPr>
          <w:p>
            <w:pPr>
              <w:pStyle w:val="TableParagraph"/>
              <w:spacing w:before="40"/>
              <w:ind w:left="1"/>
              <w:rPr>
                <w:sz w:val="18"/>
              </w:rPr>
            </w:pPr>
            <w:r>
              <w:rPr>
                <w:w w:val="99"/>
                <w:sz w:val="18"/>
              </w:rPr>
              <w:t>2</w:t>
            </w:r>
          </w:p>
        </w:tc>
        <w:tc>
          <w:tcPr>
            <w:tcW w:w="456" w:type="dxa"/>
          </w:tcPr>
          <w:p>
            <w:pPr>
              <w:pStyle w:val="TableParagraph"/>
              <w:spacing w:before="40"/>
              <w:ind w:left="172"/>
              <w:jc w:val="left"/>
              <w:rPr>
                <w:sz w:val="18"/>
              </w:rPr>
            </w:pPr>
            <w:r>
              <w:rPr>
                <w:w w:val="99"/>
                <w:sz w:val="18"/>
              </w:rPr>
              <w:t>5</w:t>
            </w:r>
          </w:p>
        </w:tc>
        <w:tc>
          <w:tcPr>
            <w:tcW w:w="684" w:type="dxa"/>
          </w:tcPr>
          <w:p>
            <w:pPr>
              <w:pStyle w:val="TableParagraph"/>
              <w:spacing w:before="40"/>
              <w:ind w:left="285"/>
              <w:jc w:val="left"/>
              <w:rPr>
                <w:sz w:val="18"/>
              </w:rPr>
            </w:pPr>
            <w:r>
              <w:rPr>
                <w:w w:val="99"/>
                <w:sz w:val="18"/>
              </w:rPr>
              <w:t>1</w:t>
            </w:r>
          </w:p>
        </w:tc>
        <w:tc>
          <w:tcPr>
            <w:tcW w:w="646" w:type="dxa"/>
          </w:tcPr>
          <w:p>
            <w:pPr>
              <w:pStyle w:val="TableParagraph"/>
              <w:spacing w:before="40"/>
              <w:ind w:right="267"/>
              <w:jc w:val="right"/>
              <w:rPr>
                <w:sz w:val="18"/>
              </w:rPr>
            </w:pPr>
            <w:r>
              <w:rPr>
                <w:w w:val="99"/>
                <w:sz w:val="18"/>
              </w:rPr>
              <w:t>2</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rPr>
                <w:sz w:val="18"/>
              </w:rPr>
            </w:pPr>
            <w:r>
              <w:rPr>
                <w:w w:val="99"/>
                <w:sz w:val="18"/>
              </w:rPr>
              <w:t>2</w:t>
            </w:r>
          </w:p>
        </w:tc>
        <w:tc>
          <w:tcPr>
            <w:tcW w:w="475" w:type="dxa"/>
          </w:tcPr>
          <w:p>
            <w:pPr>
              <w:pStyle w:val="TableParagraph"/>
              <w:spacing w:before="40"/>
              <w:ind w:right="131"/>
              <w:jc w:val="right"/>
              <w:rPr>
                <w:sz w:val="18"/>
              </w:rPr>
            </w:pPr>
            <w:r>
              <w:rPr>
                <w:w w:val="95"/>
                <w:sz w:val="18"/>
              </w:rPr>
              <w:t>72</w:t>
            </w:r>
          </w:p>
        </w:tc>
      </w:tr>
      <w:tr>
        <w:trPr>
          <w:trHeight w:val="399" w:hRule="exact"/>
        </w:trPr>
        <w:tc>
          <w:tcPr>
            <w:tcW w:w="4277" w:type="dxa"/>
          </w:tcPr>
          <w:p>
            <w:pPr>
              <w:pStyle w:val="TableParagraph"/>
              <w:spacing w:before="35"/>
              <w:ind w:left="64"/>
              <w:jc w:val="left"/>
              <w:rPr>
                <w:b/>
                <w:sz w:val="18"/>
              </w:rPr>
            </w:pPr>
            <w:r>
              <w:rPr>
                <w:b/>
                <w:color w:val="333333"/>
                <w:sz w:val="18"/>
              </w:rPr>
              <w:t>ATLAUTLA</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7</w:t>
            </w:r>
          </w:p>
        </w:tc>
        <w:tc>
          <w:tcPr>
            <w:tcW w:w="456" w:type="dxa"/>
          </w:tcPr>
          <w:p>
            <w:pPr>
              <w:pStyle w:val="TableParagraph"/>
              <w:spacing w:before="40"/>
              <w:rPr>
                <w:sz w:val="18"/>
              </w:rPr>
            </w:pPr>
            <w:r>
              <w:rPr>
                <w:w w:val="99"/>
                <w:sz w:val="18"/>
              </w:rPr>
              <w:t>1</w:t>
            </w:r>
          </w:p>
        </w:tc>
        <w:tc>
          <w:tcPr>
            <w:tcW w:w="475" w:type="dxa"/>
          </w:tcPr>
          <w:p>
            <w:pPr>
              <w:pStyle w:val="TableParagraph"/>
              <w:spacing w:before="40"/>
              <w:ind w:left="4"/>
              <w:rPr>
                <w:sz w:val="18"/>
              </w:rPr>
            </w:pPr>
            <w:r>
              <w:rPr>
                <w:w w:val="99"/>
                <w:sz w:val="18"/>
              </w:rPr>
              <w:t>6</w:t>
            </w:r>
          </w:p>
        </w:tc>
        <w:tc>
          <w:tcPr>
            <w:tcW w:w="459" w:type="dxa"/>
          </w:tcPr>
          <w:p>
            <w:pPr>
              <w:pStyle w:val="TableParagraph"/>
              <w:spacing w:before="40"/>
              <w:ind w:left="2"/>
              <w:rPr>
                <w:sz w:val="18"/>
              </w:rPr>
            </w:pPr>
            <w:r>
              <w:rPr>
                <w:w w:val="99"/>
                <w:sz w:val="18"/>
              </w:rPr>
              <w:t>5</w:t>
            </w:r>
          </w:p>
        </w:tc>
        <w:tc>
          <w:tcPr>
            <w:tcW w:w="456" w:type="dxa"/>
          </w:tcPr>
          <w:p>
            <w:pPr>
              <w:pStyle w:val="TableParagraph"/>
              <w:spacing w:before="40"/>
              <w:rPr>
                <w:sz w:val="18"/>
              </w:rPr>
            </w:pPr>
            <w:r>
              <w:rPr>
                <w:w w:val="99"/>
                <w:sz w:val="18"/>
              </w:rPr>
              <w:t>2</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rPr>
                <w:sz w:val="18"/>
              </w:rPr>
            </w:pPr>
            <w:r>
              <w:rPr>
                <w:w w:val="99"/>
                <w:sz w:val="18"/>
              </w:rPr>
              <w:t>0</w:t>
            </w:r>
          </w:p>
        </w:tc>
        <w:tc>
          <w:tcPr>
            <w:tcW w:w="475" w:type="dxa"/>
          </w:tcPr>
          <w:p>
            <w:pPr>
              <w:pStyle w:val="TableParagraph"/>
              <w:spacing w:before="40"/>
              <w:ind w:right="131"/>
              <w:jc w:val="right"/>
              <w:rPr>
                <w:sz w:val="18"/>
              </w:rPr>
            </w:pPr>
            <w:r>
              <w:rPr>
                <w:w w:val="95"/>
                <w:sz w:val="18"/>
              </w:rPr>
              <w:t>22</w:t>
            </w:r>
          </w:p>
        </w:tc>
      </w:tr>
      <w:tr>
        <w:trPr>
          <w:trHeight w:val="401" w:hRule="exact"/>
        </w:trPr>
        <w:tc>
          <w:tcPr>
            <w:tcW w:w="4277" w:type="dxa"/>
          </w:tcPr>
          <w:p>
            <w:pPr>
              <w:pStyle w:val="TableParagraph"/>
              <w:spacing w:before="35"/>
              <w:ind w:left="64"/>
              <w:jc w:val="left"/>
              <w:rPr>
                <w:b/>
                <w:sz w:val="18"/>
              </w:rPr>
            </w:pPr>
            <w:r>
              <w:rPr>
                <w:b/>
                <w:color w:val="333333"/>
                <w:sz w:val="18"/>
              </w:rPr>
              <w:t>AXAPUSCO</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3</w:t>
            </w:r>
          </w:p>
        </w:tc>
        <w:tc>
          <w:tcPr>
            <w:tcW w:w="456" w:type="dxa"/>
          </w:tcPr>
          <w:p>
            <w:pPr>
              <w:pStyle w:val="TableParagraph"/>
              <w:spacing w:before="40"/>
              <w:rPr>
                <w:sz w:val="18"/>
              </w:rPr>
            </w:pPr>
            <w:r>
              <w:rPr>
                <w:w w:val="99"/>
                <w:sz w:val="18"/>
              </w:rPr>
              <w:t>1</w:t>
            </w:r>
          </w:p>
        </w:tc>
        <w:tc>
          <w:tcPr>
            <w:tcW w:w="475" w:type="dxa"/>
          </w:tcPr>
          <w:p>
            <w:pPr>
              <w:pStyle w:val="TableParagraph"/>
              <w:spacing w:before="40"/>
              <w:ind w:left="4"/>
              <w:rPr>
                <w:sz w:val="18"/>
              </w:rPr>
            </w:pPr>
            <w:r>
              <w:rPr>
                <w:w w:val="99"/>
                <w:sz w:val="18"/>
              </w:rPr>
              <w:t>0</w:t>
            </w:r>
          </w:p>
        </w:tc>
        <w:tc>
          <w:tcPr>
            <w:tcW w:w="459" w:type="dxa"/>
          </w:tcPr>
          <w:p>
            <w:pPr>
              <w:pStyle w:val="TableParagraph"/>
              <w:spacing w:before="40"/>
              <w:ind w:left="2"/>
              <w:rPr>
                <w:sz w:val="18"/>
              </w:rPr>
            </w:pPr>
            <w:r>
              <w:rPr>
                <w:w w:val="99"/>
                <w:sz w:val="18"/>
              </w:rPr>
              <w:t>0</w:t>
            </w:r>
          </w:p>
        </w:tc>
        <w:tc>
          <w:tcPr>
            <w:tcW w:w="456" w:type="dxa"/>
          </w:tcPr>
          <w:p>
            <w:pPr>
              <w:pStyle w:val="TableParagraph"/>
              <w:spacing w:before="40"/>
              <w:rPr>
                <w:sz w:val="18"/>
              </w:rPr>
            </w:pPr>
            <w:r>
              <w:rPr>
                <w:w w:val="99"/>
                <w:sz w:val="18"/>
              </w:rPr>
              <w:t>0</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rPr>
                <w:sz w:val="18"/>
              </w:rPr>
            </w:pPr>
            <w:r>
              <w:rPr>
                <w:w w:val="99"/>
                <w:sz w:val="18"/>
              </w:rPr>
              <w:t>0</w:t>
            </w:r>
          </w:p>
        </w:tc>
        <w:tc>
          <w:tcPr>
            <w:tcW w:w="475" w:type="dxa"/>
          </w:tcPr>
          <w:p>
            <w:pPr>
              <w:pStyle w:val="TableParagraph"/>
              <w:spacing w:before="40"/>
              <w:ind w:right="181"/>
              <w:jc w:val="right"/>
              <w:rPr>
                <w:sz w:val="18"/>
              </w:rPr>
            </w:pPr>
            <w:r>
              <w:rPr>
                <w:w w:val="99"/>
                <w:sz w:val="18"/>
              </w:rPr>
              <w:t>5</w:t>
            </w:r>
          </w:p>
        </w:tc>
      </w:tr>
      <w:tr>
        <w:trPr>
          <w:trHeight w:val="401" w:hRule="exact"/>
        </w:trPr>
        <w:tc>
          <w:tcPr>
            <w:tcW w:w="4277" w:type="dxa"/>
          </w:tcPr>
          <w:p>
            <w:pPr>
              <w:pStyle w:val="TableParagraph"/>
              <w:spacing w:before="35"/>
              <w:ind w:left="64"/>
              <w:jc w:val="left"/>
              <w:rPr>
                <w:b/>
                <w:sz w:val="18"/>
              </w:rPr>
            </w:pPr>
            <w:r>
              <w:rPr>
                <w:b/>
                <w:color w:val="333333"/>
                <w:sz w:val="18"/>
              </w:rPr>
              <w:t>AYAPANGO</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3</w:t>
            </w:r>
          </w:p>
        </w:tc>
        <w:tc>
          <w:tcPr>
            <w:tcW w:w="456" w:type="dxa"/>
          </w:tcPr>
          <w:p>
            <w:pPr>
              <w:pStyle w:val="TableParagraph"/>
              <w:spacing w:before="40"/>
              <w:rPr>
                <w:sz w:val="18"/>
              </w:rPr>
            </w:pPr>
            <w:r>
              <w:rPr>
                <w:w w:val="99"/>
                <w:sz w:val="18"/>
              </w:rPr>
              <w:t>1</w:t>
            </w:r>
          </w:p>
        </w:tc>
        <w:tc>
          <w:tcPr>
            <w:tcW w:w="475" w:type="dxa"/>
          </w:tcPr>
          <w:p>
            <w:pPr>
              <w:pStyle w:val="TableParagraph"/>
              <w:spacing w:before="40"/>
              <w:ind w:left="4"/>
              <w:rPr>
                <w:sz w:val="18"/>
              </w:rPr>
            </w:pPr>
            <w:r>
              <w:rPr>
                <w:w w:val="99"/>
                <w:sz w:val="18"/>
              </w:rPr>
              <w:t>0</w:t>
            </w:r>
          </w:p>
        </w:tc>
        <w:tc>
          <w:tcPr>
            <w:tcW w:w="459" w:type="dxa"/>
          </w:tcPr>
          <w:p>
            <w:pPr>
              <w:pStyle w:val="TableParagraph"/>
              <w:spacing w:before="40"/>
              <w:ind w:left="2"/>
              <w:rPr>
                <w:sz w:val="18"/>
              </w:rPr>
            </w:pPr>
            <w:r>
              <w:rPr>
                <w:w w:val="99"/>
                <w:sz w:val="18"/>
              </w:rPr>
              <w:t>0</w:t>
            </w:r>
          </w:p>
        </w:tc>
        <w:tc>
          <w:tcPr>
            <w:tcW w:w="456" w:type="dxa"/>
          </w:tcPr>
          <w:p>
            <w:pPr>
              <w:pStyle w:val="TableParagraph"/>
              <w:spacing w:before="40"/>
              <w:rPr>
                <w:sz w:val="18"/>
              </w:rPr>
            </w:pPr>
            <w:r>
              <w:rPr>
                <w:w w:val="99"/>
                <w:sz w:val="18"/>
              </w:rPr>
              <w:t>0</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rPr>
                <w:sz w:val="18"/>
              </w:rPr>
            </w:pPr>
            <w:r>
              <w:rPr>
                <w:w w:val="99"/>
                <w:sz w:val="18"/>
              </w:rPr>
              <w:t>0</w:t>
            </w:r>
          </w:p>
        </w:tc>
        <w:tc>
          <w:tcPr>
            <w:tcW w:w="475" w:type="dxa"/>
          </w:tcPr>
          <w:p>
            <w:pPr>
              <w:pStyle w:val="TableParagraph"/>
              <w:spacing w:before="40"/>
              <w:ind w:right="181"/>
              <w:jc w:val="right"/>
              <w:rPr>
                <w:sz w:val="18"/>
              </w:rPr>
            </w:pPr>
            <w:r>
              <w:rPr>
                <w:w w:val="99"/>
                <w:sz w:val="18"/>
              </w:rPr>
              <w:t>5</w:t>
            </w:r>
          </w:p>
        </w:tc>
      </w:tr>
      <w:tr>
        <w:trPr>
          <w:trHeight w:val="398" w:hRule="exact"/>
        </w:trPr>
        <w:tc>
          <w:tcPr>
            <w:tcW w:w="4277" w:type="dxa"/>
          </w:tcPr>
          <w:p>
            <w:pPr>
              <w:pStyle w:val="TableParagraph"/>
              <w:spacing w:before="35"/>
              <w:ind w:left="64"/>
              <w:jc w:val="left"/>
              <w:rPr>
                <w:b/>
                <w:sz w:val="18"/>
              </w:rPr>
            </w:pPr>
            <w:r>
              <w:rPr>
                <w:b/>
                <w:color w:val="333333"/>
                <w:sz w:val="18"/>
              </w:rPr>
              <w:t>CALIMAYA</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51" w:right="51"/>
              <w:rPr>
                <w:sz w:val="18"/>
              </w:rPr>
            </w:pPr>
            <w:r>
              <w:rPr>
                <w:sz w:val="18"/>
              </w:rPr>
              <w:t>18</w:t>
            </w:r>
          </w:p>
        </w:tc>
        <w:tc>
          <w:tcPr>
            <w:tcW w:w="456" w:type="dxa"/>
          </w:tcPr>
          <w:p>
            <w:pPr>
              <w:pStyle w:val="TableParagraph"/>
              <w:spacing w:before="40"/>
              <w:rPr>
                <w:sz w:val="18"/>
              </w:rPr>
            </w:pPr>
            <w:r>
              <w:rPr>
                <w:w w:val="99"/>
                <w:sz w:val="18"/>
              </w:rPr>
              <w:t>1</w:t>
            </w:r>
          </w:p>
        </w:tc>
        <w:tc>
          <w:tcPr>
            <w:tcW w:w="475" w:type="dxa"/>
          </w:tcPr>
          <w:p>
            <w:pPr>
              <w:pStyle w:val="TableParagraph"/>
              <w:spacing w:before="40"/>
              <w:ind w:left="62" w:right="58"/>
              <w:rPr>
                <w:sz w:val="18"/>
              </w:rPr>
            </w:pPr>
            <w:r>
              <w:rPr>
                <w:sz w:val="18"/>
              </w:rPr>
              <w:t>25</w:t>
            </w:r>
          </w:p>
        </w:tc>
        <w:tc>
          <w:tcPr>
            <w:tcW w:w="459" w:type="dxa"/>
          </w:tcPr>
          <w:p>
            <w:pPr>
              <w:pStyle w:val="TableParagraph"/>
              <w:spacing w:before="40"/>
              <w:ind w:left="105" w:right="104"/>
              <w:rPr>
                <w:sz w:val="18"/>
              </w:rPr>
            </w:pPr>
            <w:r>
              <w:rPr>
                <w:sz w:val="18"/>
              </w:rPr>
              <w:t>11</w:t>
            </w:r>
          </w:p>
        </w:tc>
        <w:tc>
          <w:tcPr>
            <w:tcW w:w="456" w:type="dxa"/>
          </w:tcPr>
          <w:p>
            <w:pPr>
              <w:pStyle w:val="TableParagraph"/>
              <w:spacing w:before="40"/>
              <w:ind w:left="51" w:right="51"/>
              <w:rPr>
                <w:sz w:val="18"/>
              </w:rPr>
            </w:pPr>
            <w:r>
              <w:rPr>
                <w:sz w:val="18"/>
              </w:rPr>
              <w:t>11</w:t>
            </w:r>
          </w:p>
        </w:tc>
        <w:tc>
          <w:tcPr>
            <w:tcW w:w="458" w:type="dxa"/>
          </w:tcPr>
          <w:p>
            <w:pPr>
              <w:pStyle w:val="TableParagraph"/>
              <w:spacing w:before="40"/>
              <w:ind w:left="1"/>
              <w:rPr>
                <w:sz w:val="18"/>
              </w:rPr>
            </w:pPr>
            <w:r>
              <w:rPr>
                <w:w w:val="99"/>
                <w:sz w:val="18"/>
              </w:rPr>
              <w:t>3</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35"/>
              <w:jc w:val="left"/>
              <w:rPr>
                <w:sz w:val="18"/>
              </w:rPr>
            </w:pPr>
            <w:r>
              <w:rPr>
                <w:sz w:val="18"/>
              </w:rPr>
              <w:t>18</w:t>
            </w:r>
          </w:p>
        </w:tc>
        <w:tc>
          <w:tcPr>
            <w:tcW w:w="646" w:type="dxa"/>
          </w:tcPr>
          <w:p>
            <w:pPr>
              <w:pStyle w:val="TableParagraph"/>
              <w:spacing w:before="40"/>
              <w:ind w:right="215"/>
              <w:jc w:val="right"/>
              <w:rPr>
                <w:sz w:val="18"/>
              </w:rPr>
            </w:pPr>
            <w:r>
              <w:rPr>
                <w:w w:val="95"/>
                <w:sz w:val="18"/>
              </w:rPr>
              <w:t>11</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rPr>
                <w:sz w:val="18"/>
              </w:rPr>
            </w:pPr>
            <w:r>
              <w:rPr>
                <w:w w:val="99"/>
                <w:sz w:val="18"/>
              </w:rPr>
              <w:t>3</w:t>
            </w:r>
          </w:p>
        </w:tc>
        <w:tc>
          <w:tcPr>
            <w:tcW w:w="475" w:type="dxa"/>
          </w:tcPr>
          <w:p>
            <w:pPr>
              <w:pStyle w:val="TableParagraph"/>
              <w:spacing w:before="40"/>
              <w:ind w:right="79"/>
              <w:jc w:val="right"/>
              <w:rPr>
                <w:sz w:val="18"/>
              </w:rPr>
            </w:pPr>
            <w:r>
              <w:rPr>
                <w:w w:val="95"/>
                <w:sz w:val="18"/>
              </w:rPr>
              <w:t>102</w:t>
            </w:r>
          </w:p>
        </w:tc>
      </w:tr>
      <w:tr>
        <w:trPr>
          <w:trHeight w:val="401" w:hRule="exact"/>
        </w:trPr>
        <w:tc>
          <w:tcPr>
            <w:tcW w:w="4277" w:type="dxa"/>
          </w:tcPr>
          <w:p>
            <w:pPr>
              <w:pStyle w:val="TableParagraph"/>
              <w:spacing w:before="35"/>
              <w:ind w:left="64"/>
              <w:jc w:val="left"/>
              <w:rPr>
                <w:b/>
                <w:sz w:val="18"/>
              </w:rPr>
            </w:pPr>
            <w:r>
              <w:rPr>
                <w:b/>
                <w:color w:val="333333"/>
                <w:sz w:val="18"/>
              </w:rPr>
              <w:t>CAPULHUAC</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1</w:t>
            </w:r>
          </w:p>
        </w:tc>
        <w:tc>
          <w:tcPr>
            <w:tcW w:w="456" w:type="dxa"/>
          </w:tcPr>
          <w:p>
            <w:pPr>
              <w:pStyle w:val="TableParagraph"/>
              <w:spacing w:before="40"/>
              <w:ind w:left="51" w:right="51"/>
              <w:rPr>
                <w:sz w:val="18"/>
              </w:rPr>
            </w:pPr>
            <w:r>
              <w:rPr>
                <w:sz w:val="18"/>
              </w:rPr>
              <w:t>15</w:t>
            </w:r>
          </w:p>
        </w:tc>
        <w:tc>
          <w:tcPr>
            <w:tcW w:w="456" w:type="dxa"/>
          </w:tcPr>
          <w:p>
            <w:pPr>
              <w:pStyle w:val="TableParagraph"/>
              <w:spacing w:before="40"/>
              <w:rPr>
                <w:sz w:val="18"/>
              </w:rPr>
            </w:pPr>
            <w:r>
              <w:rPr>
                <w:w w:val="99"/>
                <w:sz w:val="18"/>
              </w:rPr>
              <w:t>1</w:t>
            </w:r>
          </w:p>
        </w:tc>
        <w:tc>
          <w:tcPr>
            <w:tcW w:w="475" w:type="dxa"/>
          </w:tcPr>
          <w:p>
            <w:pPr>
              <w:pStyle w:val="TableParagraph"/>
              <w:spacing w:before="40"/>
              <w:ind w:left="62" w:right="58"/>
              <w:rPr>
                <w:sz w:val="18"/>
              </w:rPr>
            </w:pPr>
            <w:r>
              <w:rPr>
                <w:sz w:val="18"/>
              </w:rPr>
              <w:t>15</w:t>
            </w:r>
          </w:p>
        </w:tc>
        <w:tc>
          <w:tcPr>
            <w:tcW w:w="459" w:type="dxa"/>
          </w:tcPr>
          <w:p>
            <w:pPr>
              <w:pStyle w:val="TableParagraph"/>
              <w:spacing w:before="40"/>
              <w:ind w:left="2"/>
              <w:rPr>
                <w:sz w:val="18"/>
              </w:rPr>
            </w:pPr>
            <w:r>
              <w:rPr>
                <w:w w:val="99"/>
                <w:sz w:val="18"/>
              </w:rPr>
              <w:t>2</w:t>
            </w:r>
          </w:p>
        </w:tc>
        <w:tc>
          <w:tcPr>
            <w:tcW w:w="456" w:type="dxa"/>
          </w:tcPr>
          <w:p>
            <w:pPr>
              <w:pStyle w:val="TableParagraph"/>
              <w:spacing w:before="40"/>
              <w:rPr>
                <w:sz w:val="18"/>
              </w:rPr>
            </w:pPr>
            <w:r>
              <w:rPr>
                <w:w w:val="99"/>
                <w:sz w:val="18"/>
              </w:rPr>
              <w:t>4</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172"/>
              <w:jc w:val="left"/>
              <w:rPr>
                <w:sz w:val="18"/>
              </w:rPr>
            </w:pPr>
            <w:r>
              <w:rPr>
                <w:w w:val="99"/>
                <w:sz w:val="18"/>
              </w:rPr>
              <w:t>1</w:t>
            </w:r>
          </w:p>
        </w:tc>
        <w:tc>
          <w:tcPr>
            <w:tcW w:w="684" w:type="dxa"/>
          </w:tcPr>
          <w:p>
            <w:pPr>
              <w:pStyle w:val="TableParagraph"/>
              <w:spacing w:before="40"/>
              <w:ind w:left="285"/>
              <w:jc w:val="left"/>
              <w:rPr>
                <w:sz w:val="18"/>
              </w:rPr>
            </w:pPr>
            <w:r>
              <w:rPr>
                <w:w w:val="99"/>
                <w:sz w:val="18"/>
              </w:rPr>
              <w:t>2</w:t>
            </w:r>
          </w:p>
        </w:tc>
        <w:tc>
          <w:tcPr>
            <w:tcW w:w="646" w:type="dxa"/>
          </w:tcPr>
          <w:p>
            <w:pPr>
              <w:pStyle w:val="TableParagraph"/>
              <w:spacing w:before="40"/>
              <w:ind w:right="267"/>
              <w:jc w:val="right"/>
              <w:rPr>
                <w:sz w:val="18"/>
              </w:rPr>
            </w:pPr>
            <w:r>
              <w:rPr>
                <w:w w:val="99"/>
                <w:sz w:val="18"/>
              </w:rPr>
              <w:t>1</w:t>
            </w:r>
          </w:p>
        </w:tc>
        <w:tc>
          <w:tcPr>
            <w:tcW w:w="456" w:type="dxa"/>
            <w:tcBorders>
              <w:right w:val="single" w:sz="4" w:space="0" w:color="000000"/>
            </w:tcBorders>
          </w:tcPr>
          <w:p>
            <w:pPr>
              <w:pStyle w:val="TableParagraph"/>
              <w:spacing w:before="40"/>
              <w:rPr>
                <w:sz w:val="18"/>
              </w:rPr>
            </w:pPr>
            <w:r>
              <w:rPr>
                <w:w w:val="99"/>
                <w:sz w:val="18"/>
              </w:rPr>
              <w:t>4</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ind w:left="60" w:right="60"/>
              <w:rPr>
                <w:sz w:val="18"/>
              </w:rPr>
            </w:pPr>
            <w:r>
              <w:rPr>
                <w:sz w:val="18"/>
              </w:rPr>
              <w:t>48</w:t>
            </w:r>
          </w:p>
        </w:tc>
        <w:tc>
          <w:tcPr>
            <w:tcW w:w="475" w:type="dxa"/>
          </w:tcPr>
          <w:p>
            <w:pPr>
              <w:pStyle w:val="TableParagraph"/>
              <w:spacing w:before="40"/>
              <w:ind w:right="131"/>
              <w:jc w:val="right"/>
              <w:rPr>
                <w:sz w:val="18"/>
              </w:rPr>
            </w:pPr>
            <w:r>
              <w:rPr>
                <w:w w:val="95"/>
                <w:sz w:val="18"/>
              </w:rPr>
              <w:t>95</w:t>
            </w:r>
          </w:p>
        </w:tc>
      </w:tr>
      <w:tr>
        <w:trPr>
          <w:trHeight w:val="401" w:hRule="exact"/>
        </w:trPr>
        <w:tc>
          <w:tcPr>
            <w:tcW w:w="4277" w:type="dxa"/>
          </w:tcPr>
          <w:p>
            <w:pPr>
              <w:pStyle w:val="TableParagraph"/>
              <w:spacing w:before="35"/>
              <w:ind w:left="64"/>
              <w:jc w:val="left"/>
              <w:rPr>
                <w:b/>
                <w:sz w:val="18"/>
              </w:rPr>
            </w:pPr>
            <w:r>
              <w:rPr>
                <w:b/>
                <w:color w:val="333333"/>
                <w:sz w:val="18"/>
              </w:rPr>
              <w:t>CHALCO</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51" w:right="51"/>
              <w:rPr>
                <w:sz w:val="18"/>
              </w:rPr>
            </w:pPr>
            <w:r>
              <w:rPr>
                <w:sz w:val="18"/>
              </w:rPr>
              <w:t>23</w:t>
            </w:r>
          </w:p>
        </w:tc>
        <w:tc>
          <w:tcPr>
            <w:tcW w:w="456" w:type="dxa"/>
          </w:tcPr>
          <w:p>
            <w:pPr>
              <w:pStyle w:val="TableParagraph"/>
              <w:spacing w:before="40"/>
              <w:rPr>
                <w:sz w:val="18"/>
              </w:rPr>
            </w:pPr>
            <w:r>
              <w:rPr>
                <w:w w:val="99"/>
                <w:sz w:val="18"/>
              </w:rPr>
              <w:t>1</w:t>
            </w:r>
          </w:p>
        </w:tc>
        <w:tc>
          <w:tcPr>
            <w:tcW w:w="475" w:type="dxa"/>
          </w:tcPr>
          <w:p>
            <w:pPr>
              <w:pStyle w:val="TableParagraph"/>
              <w:spacing w:before="40"/>
              <w:ind w:left="62" w:right="58"/>
              <w:rPr>
                <w:sz w:val="18"/>
              </w:rPr>
            </w:pPr>
            <w:r>
              <w:rPr>
                <w:sz w:val="18"/>
              </w:rPr>
              <w:t>29</w:t>
            </w:r>
          </w:p>
        </w:tc>
        <w:tc>
          <w:tcPr>
            <w:tcW w:w="459" w:type="dxa"/>
          </w:tcPr>
          <w:p>
            <w:pPr>
              <w:pStyle w:val="TableParagraph"/>
              <w:spacing w:before="40"/>
              <w:ind w:left="105" w:right="104"/>
              <w:rPr>
                <w:sz w:val="18"/>
              </w:rPr>
            </w:pPr>
            <w:r>
              <w:rPr>
                <w:sz w:val="18"/>
              </w:rPr>
              <w:t>10</w:t>
            </w:r>
          </w:p>
        </w:tc>
        <w:tc>
          <w:tcPr>
            <w:tcW w:w="456" w:type="dxa"/>
          </w:tcPr>
          <w:p>
            <w:pPr>
              <w:pStyle w:val="TableParagraph"/>
              <w:spacing w:before="40"/>
              <w:ind w:left="51" w:right="51"/>
              <w:rPr>
                <w:sz w:val="18"/>
              </w:rPr>
            </w:pPr>
            <w:r>
              <w:rPr>
                <w:sz w:val="18"/>
              </w:rPr>
              <w:t>97</w:t>
            </w:r>
          </w:p>
        </w:tc>
        <w:tc>
          <w:tcPr>
            <w:tcW w:w="458" w:type="dxa"/>
          </w:tcPr>
          <w:p>
            <w:pPr>
              <w:pStyle w:val="TableParagraph"/>
              <w:spacing w:before="40"/>
              <w:ind w:left="1"/>
              <w:rPr>
                <w:sz w:val="18"/>
              </w:rPr>
            </w:pPr>
            <w:r>
              <w:rPr>
                <w:w w:val="99"/>
                <w:sz w:val="18"/>
              </w:rPr>
              <w:t>1</w:t>
            </w:r>
          </w:p>
        </w:tc>
        <w:tc>
          <w:tcPr>
            <w:tcW w:w="456" w:type="dxa"/>
          </w:tcPr>
          <w:p>
            <w:pPr>
              <w:pStyle w:val="TableParagraph"/>
              <w:spacing w:before="40"/>
              <w:ind w:left="172"/>
              <w:jc w:val="left"/>
              <w:rPr>
                <w:sz w:val="18"/>
              </w:rPr>
            </w:pPr>
            <w:r>
              <w:rPr>
                <w:w w:val="99"/>
                <w:sz w:val="18"/>
              </w:rPr>
              <w:t>2</w:t>
            </w:r>
          </w:p>
        </w:tc>
        <w:tc>
          <w:tcPr>
            <w:tcW w:w="684" w:type="dxa"/>
          </w:tcPr>
          <w:p>
            <w:pPr>
              <w:pStyle w:val="TableParagraph"/>
              <w:spacing w:before="40"/>
              <w:ind w:left="235"/>
              <w:jc w:val="left"/>
              <w:rPr>
                <w:sz w:val="18"/>
              </w:rPr>
            </w:pPr>
            <w:r>
              <w:rPr>
                <w:sz w:val="18"/>
              </w:rPr>
              <w:t>13</w:t>
            </w:r>
          </w:p>
        </w:tc>
        <w:tc>
          <w:tcPr>
            <w:tcW w:w="646" w:type="dxa"/>
          </w:tcPr>
          <w:p>
            <w:pPr>
              <w:pStyle w:val="TableParagraph"/>
              <w:spacing w:before="40"/>
              <w:ind w:right="215"/>
              <w:jc w:val="right"/>
              <w:rPr>
                <w:sz w:val="18"/>
              </w:rPr>
            </w:pPr>
            <w:r>
              <w:rPr>
                <w:w w:val="95"/>
                <w:sz w:val="18"/>
              </w:rPr>
              <w:t>23</w:t>
            </w:r>
          </w:p>
        </w:tc>
        <w:tc>
          <w:tcPr>
            <w:tcW w:w="456" w:type="dxa"/>
            <w:tcBorders>
              <w:right w:val="single" w:sz="4" w:space="0" w:color="000000"/>
            </w:tcBorders>
          </w:tcPr>
          <w:p>
            <w:pPr>
              <w:pStyle w:val="TableParagraph"/>
              <w:spacing w:before="40"/>
              <w:rPr>
                <w:sz w:val="18"/>
              </w:rPr>
            </w:pPr>
            <w:r>
              <w:rPr>
                <w:w w:val="99"/>
                <w:sz w:val="18"/>
              </w:rPr>
              <w:t>1</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ind w:left="60" w:right="60"/>
              <w:rPr>
                <w:sz w:val="18"/>
              </w:rPr>
            </w:pPr>
            <w:r>
              <w:rPr>
                <w:sz w:val="18"/>
              </w:rPr>
              <w:t>17</w:t>
            </w:r>
          </w:p>
        </w:tc>
        <w:tc>
          <w:tcPr>
            <w:tcW w:w="475" w:type="dxa"/>
          </w:tcPr>
          <w:p>
            <w:pPr>
              <w:pStyle w:val="TableParagraph"/>
              <w:spacing w:before="40"/>
              <w:ind w:right="79"/>
              <w:jc w:val="right"/>
              <w:rPr>
                <w:sz w:val="18"/>
              </w:rPr>
            </w:pPr>
            <w:r>
              <w:rPr>
                <w:w w:val="95"/>
                <w:sz w:val="18"/>
              </w:rPr>
              <w:t>218</w:t>
            </w:r>
          </w:p>
        </w:tc>
      </w:tr>
      <w:tr>
        <w:trPr>
          <w:trHeight w:val="398" w:hRule="exact"/>
        </w:trPr>
        <w:tc>
          <w:tcPr>
            <w:tcW w:w="4277" w:type="dxa"/>
          </w:tcPr>
          <w:p>
            <w:pPr>
              <w:pStyle w:val="TableParagraph"/>
              <w:spacing w:before="35"/>
              <w:ind w:left="64"/>
              <w:jc w:val="left"/>
              <w:rPr>
                <w:b/>
                <w:sz w:val="18"/>
              </w:rPr>
            </w:pPr>
            <w:r>
              <w:rPr>
                <w:b/>
                <w:color w:val="333333"/>
                <w:sz w:val="18"/>
              </w:rPr>
              <w:t>CHAPA DE MOTA</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7</w:t>
            </w:r>
          </w:p>
        </w:tc>
        <w:tc>
          <w:tcPr>
            <w:tcW w:w="456" w:type="dxa"/>
          </w:tcPr>
          <w:p>
            <w:pPr>
              <w:pStyle w:val="TableParagraph"/>
              <w:spacing w:before="40"/>
              <w:rPr>
                <w:sz w:val="18"/>
              </w:rPr>
            </w:pPr>
            <w:r>
              <w:rPr>
                <w:w w:val="99"/>
                <w:sz w:val="18"/>
              </w:rPr>
              <w:t>1</w:t>
            </w:r>
          </w:p>
        </w:tc>
        <w:tc>
          <w:tcPr>
            <w:tcW w:w="475" w:type="dxa"/>
          </w:tcPr>
          <w:p>
            <w:pPr>
              <w:pStyle w:val="TableParagraph"/>
              <w:spacing w:before="40"/>
              <w:ind w:left="62" w:right="58"/>
              <w:rPr>
                <w:sz w:val="18"/>
              </w:rPr>
            </w:pPr>
            <w:r>
              <w:rPr>
                <w:sz w:val="18"/>
              </w:rPr>
              <w:t>22</w:t>
            </w:r>
          </w:p>
        </w:tc>
        <w:tc>
          <w:tcPr>
            <w:tcW w:w="459" w:type="dxa"/>
          </w:tcPr>
          <w:p>
            <w:pPr>
              <w:pStyle w:val="TableParagraph"/>
              <w:spacing w:before="40"/>
              <w:ind w:left="2"/>
              <w:rPr>
                <w:sz w:val="18"/>
              </w:rPr>
            </w:pPr>
            <w:r>
              <w:rPr>
                <w:w w:val="99"/>
                <w:sz w:val="18"/>
              </w:rPr>
              <w:t>1</w:t>
            </w:r>
          </w:p>
        </w:tc>
        <w:tc>
          <w:tcPr>
            <w:tcW w:w="456" w:type="dxa"/>
          </w:tcPr>
          <w:p>
            <w:pPr>
              <w:pStyle w:val="TableParagraph"/>
              <w:spacing w:before="40"/>
              <w:ind w:left="51" w:right="51"/>
              <w:rPr>
                <w:sz w:val="18"/>
              </w:rPr>
            </w:pPr>
            <w:r>
              <w:rPr>
                <w:sz w:val="18"/>
              </w:rPr>
              <w:t>13</w:t>
            </w:r>
          </w:p>
        </w:tc>
        <w:tc>
          <w:tcPr>
            <w:tcW w:w="458" w:type="dxa"/>
          </w:tcPr>
          <w:p>
            <w:pPr>
              <w:pStyle w:val="TableParagraph"/>
              <w:spacing w:before="40"/>
              <w:ind w:left="1"/>
              <w:rPr>
                <w:sz w:val="18"/>
              </w:rPr>
            </w:pPr>
            <w:r>
              <w:rPr>
                <w:w w:val="99"/>
                <w:sz w:val="18"/>
              </w:rPr>
              <w:t>2</w:t>
            </w:r>
          </w:p>
        </w:tc>
        <w:tc>
          <w:tcPr>
            <w:tcW w:w="456" w:type="dxa"/>
          </w:tcPr>
          <w:p>
            <w:pPr>
              <w:pStyle w:val="TableParagraph"/>
              <w:spacing w:before="40"/>
              <w:ind w:left="172"/>
              <w:jc w:val="left"/>
              <w:rPr>
                <w:sz w:val="18"/>
              </w:rPr>
            </w:pPr>
            <w:r>
              <w:rPr>
                <w:w w:val="99"/>
                <w:sz w:val="18"/>
              </w:rPr>
              <w:t>2</w:t>
            </w:r>
          </w:p>
        </w:tc>
        <w:tc>
          <w:tcPr>
            <w:tcW w:w="684" w:type="dxa"/>
          </w:tcPr>
          <w:p>
            <w:pPr>
              <w:pStyle w:val="TableParagraph"/>
              <w:spacing w:before="40"/>
              <w:ind w:left="285"/>
              <w:jc w:val="left"/>
              <w:rPr>
                <w:sz w:val="18"/>
              </w:rPr>
            </w:pPr>
            <w:r>
              <w:rPr>
                <w:w w:val="99"/>
                <w:sz w:val="18"/>
              </w:rPr>
              <w:t>3</w:t>
            </w:r>
          </w:p>
        </w:tc>
        <w:tc>
          <w:tcPr>
            <w:tcW w:w="646" w:type="dxa"/>
          </w:tcPr>
          <w:p>
            <w:pPr>
              <w:pStyle w:val="TableParagraph"/>
              <w:spacing w:before="40"/>
              <w:ind w:right="267"/>
              <w:jc w:val="right"/>
              <w:rPr>
                <w:sz w:val="18"/>
              </w:rPr>
            </w:pPr>
            <w:r>
              <w:rPr>
                <w:w w:val="99"/>
                <w:sz w:val="18"/>
              </w:rPr>
              <w:t>4</w:t>
            </w:r>
          </w:p>
        </w:tc>
        <w:tc>
          <w:tcPr>
            <w:tcW w:w="456" w:type="dxa"/>
            <w:tcBorders>
              <w:right w:val="single" w:sz="4" w:space="0" w:color="000000"/>
            </w:tcBorders>
          </w:tcPr>
          <w:p>
            <w:pPr>
              <w:pStyle w:val="TableParagraph"/>
              <w:spacing w:before="40"/>
              <w:rPr>
                <w:sz w:val="18"/>
              </w:rPr>
            </w:pPr>
            <w:r>
              <w:rPr>
                <w:w w:val="99"/>
                <w:sz w:val="18"/>
              </w:rPr>
              <w:t>1</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rPr>
                <w:sz w:val="18"/>
              </w:rPr>
            </w:pPr>
            <w:r>
              <w:rPr>
                <w:w w:val="99"/>
                <w:sz w:val="18"/>
              </w:rPr>
              <w:t>2</w:t>
            </w:r>
          </w:p>
        </w:tc>
        <w:tc>
          <w:tcPr>
            <w:tcW w:w="475" w:type="dxa"/>
          </w:tcPr>
          <w:p>
            <w:pPr>
              <w:pStyle w:val="TableParagraph"/>
              <w:spacing w:before="40"/>
              <w:ind w:right="131"/>
              <w:jc w:val="right"/>
              <w:rPr>
                <w:sz w:val="18"/>
              </w:rPr>
            </w:pPr>
            <w:r>
              <w:rPr>
                <w:w w:val="95"/>
                <w:sz w:val="18"/>
              </w:rPr>
              <w:t>59</w:t>
            </w:r>
          </w:p>
        </w:tc>
      </w:tr>
      <w:tr>
        <w:trPr>
          <w:trHeight w:val="401" w:hRule="exact"/>
        </w:trPr>
        <w:tc>
          <w:tcPr>
            <w:tcW w:w="4277" w:type="dxa"/>
          </w:tcPr>
          <w:p>
            <w:pPr>
              <w:pStyle w:val="TableParagraph"/>
              <w:spacing w:before="35"/>
              <w:ind w:left="64"/>
              <w:jc w:val="left"/>
              <w:rPr>
                <w:b/>
                <w:sz w:val="18"/>
              </w:rPr>
            </w:pPr>
            <w:r>
              <w:rPr>
                <w:b/>
                <w:color w:val="333333"/>
                <w:sz w:val="18"/>
              </w:rPr>
              <w:t>CHAPULTEPEC</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51" w:right="51"/>
              <w:rPr>
                <w:sz w:val="18"/>
              </w:rPr>
            </w:pPr>
            <w:r>
              <w:rPr>
                <w:sz w:val="18"/>
              </w:rPr>
              <w:t>12</w:t>
            </w:r>
          </w:p>
        </w:tc>
        <w:tc>
          <w:tcPr>
            <w:tcW w:w="456" w:type="dxa"/>
          </w:tcPr>
          <w:p>
            <w:pPr>
              <w:pStyle w:val="TableParagraph"/>
              <w:spacing w:before="40"/>
              <w:rPr>
                <w:sz w:val="18"/>
              </w:rPr>
            </w:pPr>
            <w:r>
              <w:rPr>
                <w:w w:val="99"/>
                <w:sz w:val="18"/>
              </w:rPr>
              <w:t>1</w:t>
            </w:r>
          </w:p>
        </w:tc>
        <w:tc>
          <w:tcPr>
            <w:tcW w:w="475" w:type="dxa"/>
          </w:tcPr>
          <w:p>
            <w:pPr>
              <w:pStyle w:val="TableParagraph"/>
              <w:spacing w:before="40"/>
              <w:ind w:left="62" w:right="58"/>
              <w:rPr>
                <w:sz w:val="18"/>
              </w:rPr>
            </w:pPr>
            <w:r>
              <w:rPr>
                <w:sz w:val="18"/>
              </w:rPr>
              <w:t>19</w:t>
            </w:r>
          </w:p>
        </w:tc>
        <w:tc>
          <w:tcPr>
            <w:tcW w:w="459" w:type="dxa"/>
          </w:tcPr>
          <w:p>
            <w:pPr>
              <w:pStyle w:val="TableParagraph"/>
              <w:spacing w:before="40"/>
              <w:ind w:left="2"/>
              <w:rPr>
                <w:sz w:val="18"/>
              </w:rPr>
            </w:pPr>
            <w:r>
              <w:rPr>
                <w:w w:val="99"/>
                <w:sz w:val="18"/>
              </w:rPr>
              <w:t>6</w:t>
            </w:r>
          </w:p>
        </w:tc>
        <w:tc>
          <w:tcPr>
            <w:tcW w:w="456" w:type="dxa"/>
          </w:tcPr>
          <w:p>
            <w:pPr>
              <w:pStyle w:val="TableParagraph"/>
              <w:spacing w:before="40"/>
              <w:ind w:left="51" w:right="51"/>
              <w:rPr>
                <w:sz w:val="18"/>
              </w:rPr>
            </w:pPr>
            <w:r>
              <w:rPr>
                <w:sz w:val="18"/>
              </w:rPr>
              <w:t>18</w:t>
            </w:r>
          </w:p>
        </w:tc>
        <w:tc>
          <w:tcPr>
            <w:tcW w:w="458" w:type="dxa"/>
          </w:tcPr>
          <w:p>
            <w:pPr>
              <w:pStyle w:val="TableParagraph"/>
              <w:spacing w:before="40"/>
              <w:ind w:left="1"/>
              <w:rPr>
                <w:sz w:val="18"/>
              </w:rPr>
            </w:pPr>
            <w:r>
              <w:rPr>
                <w:w w:val="99"/>
                <w:sz w:val="18"/>
              </w:rPr>
              <w:t>1</w:t>
            </w:r>
          </w:p>
        </w:tc>
        <w:tc>
          <w:tcPr>
            <w:tcW w:w="456" w:type="dxa"/>
          </w:tcPr>
          <w:p>
            <w:pPr>
              <w:pStyle w:val="TableParagraph"/>
              <w:spacing w:before="40"/>
              <w:ind w:left="122"/>
              <w:jc w:val="left"/>
              <w:rPr>
                <w:sz w:val="18"/>
              </w:rPr>
            </w:pPr>
            <w:r>
              <w:rPr>
                <w:sz w:val="18"/>
              </w:rPr>
              <w:t>15</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2</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rPr>
                <w:sz w:val="18"/>
              </w:rPr>
            </w:pPr>
            <w:r>
              <w:rPr>
                <w:w w:val="99"/>
                <w:sz w:val="18"/>
              </w:rPr>
              <w:t>7</w:t>
            </w:r>
          </w:p>
        </w:tc>
        <w:tc>
          <w:tcPr>
            <w:tcW w:w="475" w:type="dxa"/>
          </w:tcPr>
          <w:p>
            <w:pPr>
              <w:pStyle w:val="TableParagraph"/>
              <w:spacing w:before="40"/>
              <w:ind w:right="131"/>
              <w:jc w:val="right"/>
              <w:rPr>
                <w:sz w:val="18"/>
              </w:rPr>
            </w:pPr>
            <w:r>
              <w:rPr>
                <w:w w:val="95"/>
                <w:sz w:val="18"/>
              </w:rPr>
              <w:t>82</w:t>
            </w:r>
          </w:p>
        </w:tc>
      </w:tr>
      <w:tr>
        <w:trPr>
          <w:trHeight w:val="401" w:hRule="exact"/>
        </w:trPr>
        <w:tc>
          <w:tcPr>
            <w:tcW w:w="4277" w:type="dxa"/>
          </w:tcPr>
          <w:p>
            <w:pPr>
              <w:pStyle w:val="TableParagraph"/>
              <w:spacing w:before="35"/>
              <w:ind w:left="64"/>
              <w:jc w:val="left"/>
              <w:rPr>
                <w:b/>
                <w:sz w:val="18"/>
              </w:rPr>
            </w:pPr>
            <w:r>
              <w:rPr>
                <w:b/>
                <w:color w:val="333333"/>
                <w:sz w:val="18"/>
              </w:rPr>
              <w:t>CHIAUTLA</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3</w:t>
            </w:r>
          </w:p>
        </w:tc>
        <w:tc>
          <w:tcPr>
            <w:tcW w:w="456" w:type="dxa"/>
          </w:tcPr>
          <w:p>
            <w:pPr>
              <w:pStyle w:val="TableParagraph"/>
              <w:spacing w:before="40"/>
              <w:rPr>
                <w:sz w:val="18"/>
              </w:rPr>
            </w:pPr>
            <w:r>
              <w:rPr>
                <w:w w:val="99"/>
                <w:sz w:val="18"/>
              </w:rPr>
              <w:t>1</w:t>
            </w:r>
          </w:p>
        </w:tc>
        <w:tc>
          <w:tcPr>
            <w:tcW w:w="475" w:type="dxa"/>
          </w:tcPr>
          <w:p>
            <w:pPr>
              <w:pStyle w:val="TableParagraph"/>
              <w:spacing w:before="40"/>
              <w:ind w:left="4"/>
              <w:rPr>
                <w:sz w:val="18"/>
              </w:rPr>
            </w:pPr>
            <w:r>
              <w:rPr>
                <w:w w:val="99"/>
                <w:sz w:val="18"/>
              </w:rPr>
              <w:t>0</w:t>
            </w:r>
          </w:p>
        </w:tc>
        <w:tc>
          <w:tcPr>
            <w:tcW w:w="459" w:type="dxa"/>
          </w:tcPr>
          <w:p>
            <w:pPr>
              <w:pStyle w:val="TableParagraph"/>
              <w:spacing w:before="40"/>
              <w:ind w:left="2"/>
              <w:rPr>
                <w:sz w:val="18"/>
              </w:rPr>
            </w:pPr>
            <w:r>
              <w:rPr>
                <w:w w:val="99"/>
                <w:sz w:val="18"/>
              </w:rPr>
              <w:t>0</w:t>
            </w:r>
          </w:p>
        </w:tc>
        <w:tc>
          <w:tcPr>
            <w:tcW w:w="456" w:type="dxa"/>
          </w:tcPr>
          <w:p>
            <w:pPr>
              <w:pStyle w:val="TableParagraph"/>
              <w:spacing w:before="40"/>
              <w:rPr>
                <w:sz w:val="18"/>
              </w:rPr>
            </w:pPr>
            <w:r>
              <w:rPr>
                <w:w w:val="99"/>
                <w:sz w:val="18"/>
              </w:rPr>
              <w:t>0</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rPr>
                <w:sz w:val="18"/>
              </w:rPr>
            </w:pPr>
            <w:r>
              <w:rPr>
                <w:w w:val="99"/>
                <w:sz w:val="18"/>
              </w:rPr>
              <w:t>0</w:t>
            </w:r>
          </w:p>
        </w:tc>
        <w:tc>
          <w:tcPr>
            <w:tcW w:w="475" w:type="dxa"/>
          </w:tcPr>
          <w:p>
            <w:pPr>
              <w:pStyle w:val="TableParagraph"/>
              <w:spacing w:before="40"/>
              <w:ind w:right="181"/>
              <w:jc w:val="right"/>
              <w:rPr>
                <w:sz w:val="18"/>
              </w:rPr>
            </w:pPr>
            <w:r>
              <w:rPr>
                <w:w w:val="99"/>
                <w:sz w:val="18"/>
              </w:rPr>
              <w:t>5</w:t>
            </w:r>
          </w:p>
        </w:tc>
      </w:tr>
      <w:tr>
        <w:trPr>
          <w:trHeight w:val="398" w:hRule="exact"/>
        </w:trPr>
        <w:tc>
          <w:tcPr>
            <w:tcW w:w="4277" w:type="dxa"/>
          </w:tcPr>
          <w:p>
            <w:pPr>
              <w:pStyle w:val="TableParagraph"/>
              <w:spacing w:before="35"/>
              <w:ind w:left="64"/>
              <w:jc w:val="left"/>
              <w:rPr>
                <w:b/>
                <w:sz w:val="18"/>
              </w:rPr>
            </w:pPr>
            <w:r>
              <w:rPr>
                <w:b/>
                <w:color w:val="333333"/>
                <w:sz w:val="18"/>
              </w:rPr>
              <w:t>CHICOLOAPAN</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51" w:right="51"/>
              <w:rPr>
                <w:sz w:val="18"/>
              </w:rPr>
            </w:pPr>
            <w:r>
              <w:rPr>
                <w:sz w:val="18"/>
              </w:rPr>
              <w:t>32</w:t>
            </w:r>
          </w:p>
        </w:tc>
        <w:tc>
          <w:tcPr>
            <w:tcW w:w="456" w:type="dxa"/>
          </w:tcPr>
          <w:p>
            <w:pPr>
              <w:pStyle w:val="TableParagraph"/>
              <w:spacing w:before="40"/>
              <w:rPr>
                <w:sz w:val="18"/>
              </w:rPr>
            </w:pPr>
            <w:r>
              <w:rPr>
                <w:w w:val="99"/>
                <w:sz w:val="18"/>
              </w:rPr>
              <w:t>1</w:t>
            </w:r>
          </w:p>
        </w:tc>
        <w:tc>
          <w:tcPr>
            <w:tcW w:w="475" w:type="dxa"/>
          </w:tcPr>
          <w:p>
            <w:pPr>
              <w:pStyle w:val="TableParagraph"/>
              <w:spacing w:before="40"/>
              <w:ind w:left="62" w:right="58"/>
              <w:rPr>
                <w:sz w:val="18"/>
              </w:rPr>
            </w:pPr>
            <w:r>
              <w:rPr>
                <w:sz w:val="18"/>
              </w:rPr>
              <w:t>131</w:t>
            </w:r>
          </w:p>
        </w:tc>
        <w:tc>
          <w:tcPr>
            <w:tcW w:w="459" w:type="dxa"/>
          </w:tcPr>
          <w:p>
            <w:pPr>
              <w:pStyle w:val="TableParagraph"/>
              <w:spacing w:before="40"/>
              <w:ind w:left="105" w:right="104"/>
              <w:rPr>
                <w:sz w:val="18"/>
              </w:rPr>
            </w:pPr>
            <w:r>
              <w:rPr>
                <w:sz w:val="18"/>
              </w:rPr>
              <w:t>15</w:t>
            </w:r>
          </w:p>
        </w:tc>
        <w:tc>
          <w:tcPr>
            <w:tcW w:w="456" w:type="dxa"/>
          </w:tcPr>
          <w:p>
            <w:pPr>
              <w:pStyle w:val="TableParagraph"/>
              <w:spacing w:before="40"/>
              <w:ind w:left="51" w:right="51"/>
              <w:rPr>
                <w:sz w:val="18"/>
              </w:rPr>
            </w:pPr>
            <w:r>
              <w:rPr>
                <w:sz w:val="18"/>
              </w:rPr>
              <w:t>10</w:t>
            </w:r>
          </w:p>
        </w:tc>
        <w:tc>
          <w:tcPr>
            <w:tcW w:w="458" w:type="dxa"/>
          </w:tcPr>
          <w:p>
            <w:pPr>
              <w:pStyle w:val="TableParagraph"/>
              <w:spacing w:before="40"/>
              <w:ind w:left="1"/>
              <w:rPr>
                <w:sz w:val="18"/>
              </w:rPr>
            </w:pPr>
            <w:r>
              <w:rPr>
                <w:w w:val="99"/>
                <w:sz w:val="18"/>
              </w:rPr>
              <w:t>3</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1</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ind w:left="60" w:right="60"/>
              <w:rPr>
                <w:sz w:val="18"/>
              </w:rPr>
            </w:pPr>
            <w:r>
              <w:rPr>
                <w:sz w:val="18"/>
              </w:rPr>
              <w:t>17</w:t>
            </w:r>
          </w:p>
        </w:tc>
        <w:tc>
          <w:tcPr>
            <w:tcW w:w="475" w:type="dxa"/>
          </w:tcPr>
          <w:p>
            <w:pPr>
              <w:pStyle w:val="TableParagraph"/>
              <w:spacing w:before="40"/>
              <w:ind w:right="79"/>
              <w:jc w:val="right"/>
              <w:rPr>
                <w:sz w:val="18"/>
              </w:rPr>
            </w:pPr>
            <w:r>
              <w:rPr>
                <w:w w:val="95"/>
                <w:sz w:val="18"/>
              </w:rPr>
              <w:t>211</w:t>
            </w:r>
          </w:p>
        </w:tc>
      </w:tr>
      <w:tr>
        <w:trPr>
          <w:trHeight w:val="401" w:hRule="exact"/>
        </w:trPr>
        <w:tc>
          <w:tcPr>
            <w:tcW w:w="4277" w:type="dxa"/>
          </w:tcPr>
          <w:p>
            <w:pPr>
              <w:pStyle w:val="TableParagraph"/>
              <w:spacing w:before="35"/>
              <w:ind w:left="64"/>
              <w:jc w:val="left"/>
              <w:rPr>
                <w:b/>
                <w:sz w:val="18"/>
              </w:rPr>
            </w:pPr>
            <w:r>
              <w:rPr>
                <w:b/>
                <w:color w:val="333333"/>
                <w:sz w:val="18"/>
              </w:rPr>
              <w:t>CHICONCUAC</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4</w:t>
            </w:r>
          </w:p>
        </w:tc>
        <w:tc>
          <w:tcPr>
            <w:tcW w:w="456" w:type="dxa"/>
          </w:tcPr>
          <w:p>
            <w:pPr>
              <w:pStyle w:val="TableParagraph"/>
              <w:spacing w:before="40"/>
              <w:rPr>
                <w:sz w:val="18"/>
              </w:rPr>
            </w:pPr>
            <w:r>
              <w:rPr>
                <w:w w:val="99"/>
                <w:sz w:val="18"/>
              </w:rPr>
              <w:t>1</w:t>
            </w:r>
          </w:p>
        </w:tc>
        <w:tc>
          <w:tcPr>
            <w:tcW w:w="475" w:type="dxa"/>
          </w:tcPr>
          <w:p>
            <w:pPr>
              <w:pStyle w:val="TableParagraph"/>
              <w:spacing w:before="40"/>
              <w:ind w:left="4"/>
              <w:rPr>
                <w:sz w:val="18"/>
              </w:rPr>
            </w:pPr>
            <w:r>
              <w:rPr>
                <w:w w:val="99"/>
                <w:sz w:val="18"/>
              </w:rPr>
              <w:t>6</w:t>
            </w:r>
          </w:p>
        </w:tc>
        <w:tc>
          <w:tcPr>
            <w:tcW w:w="459" w:type="dxa"/>
          </w:tcPr>
          <w:p>
            <w:pPr>
              <w:pStyle w:val="TableParagraph"/>
              <w:spacing w:before="40"/>
              <w:ind w:left="2"/>
              <w:rPr>
                <w:sz w:val="18"/>
              </w:rPr>
            </w:pPr>
            <w:r>
              <w:rPr>
                <w:w w:val="99"/>
                <w:sz w:val="18"/>
              </w:rPr>
              <w:t>3</w:t>
            </w:r>
          </w:p>
        </w:tc>
        <w:tc>
          <w:tcPr>
            <w:tcW w:w="456" w:type="dxa"/>
          </w:tcPr>
          <w:p>
            <w:pPr>
              <w:pStyle w:val="TableParagraph"/>
              <w:spacing w:before="40"/>
              <w:rPr>
                <w:sz w:val="18"/>
              </w:rPr>
            </w:pPr>
            <w:r>
              <w:rPr>
                <w:w w:val="99"/>
                <w:sz w:val="18"/>
              </w:rPr>
              <w:t>4</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rPr>
                <w:sz w:val="18"/>
              </w:rPr>
            </w:pPr>
            <w:r>
              <w:rPr>
                <w:w w:val="99"/>
                <w:sz w:val="18"/>
              </w:rPr>
              <w:t>3</w:t>
            </w:r>
          </w:p>
        </w:tc>
        <w:tc>
          <w:tcPr>
            <w:tcW w:w="475" w:type="dxa"/>
          </w:tcPr>
          <w:p>
            <w:pPr>
              <w:pStyle w:val="TableParagraph"/>
              <w:spacing w:before="40"/>
              <w:ind w:right="131"/>
              <w:jc w:val="right"/>
              <w:rPr>
                <w:sz w:val="18"/>
              </w:rPr>
            </w:pPr>
            <w:r>
              <w:rPr>
                <w:w w:val="95"/>
                <w:sz w:val="18"/>
              </w:rPr>
              <w:t>22</w:t>
            </w:r>
          </w:p>
        </w:tc>
      </w:tr>
      <w:tr>
        <w:trPr>
          <w:trHeight w:val="401" w:hRule="exact"/>
        </w:trPr>
        <w:tc>
          <w:tcPr>
            <w:tcW w:w="4277" w:type="dxa"/>
          </w:tcPr>
          <w:p>
            <w:pPr>
              <w:pStyle w:val="TableParagraph"/>
              <w:spacing w:before="35"/>
              <w:ind w:left="64"/>
              <w:jc w:val="left"/>
              <w:rPr>
                <w:b/>
                <w:sz w:val="18"/>
              </w:rPr>
            </w:pPr>
            <w:r>
              <w:rPr>
                <w:b/>
                <w:color w:val="333333"/>
                <w:sz w:val="18"/>
              </w:rPr>
              <w:t>CHIMALHUACAN</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51" w:right="51"/>
              <w:rPr>
                <w:sz w:val="18"/>
              </w:rPr>
            </w:pPr>
            <w:r>
              <w:rPr>
                <w:sz w:val="18"/>
              </w:rPr>
              <w:t>14</w:t>
            </w:r>
          </w:p>
        </w:tc>
        <w:tc>
          <w:tcPr>
            <w:tcW w:w="456" w:type="dxa"/>
          </w:tcPr>
          <w:p>
            <w:pPr>
              <w:pStyle w:val="TableParagraph"/>
              <w:spacing w:before="40"/>
              <w:rPr>
                <w:sz w:val="18"/>
              </w:rPr>
            </w:pPr>
            <w:r>
              <w:rPr>
                <w:w w:val="99"/>
                <w:sz w:val="18"/>
              </w:rPr>
              <w:t>1</w:t>
            </w:r>
          </w:p>
        </w:tc>
        <w:tc>
          <w:tcPr>
            <w:tcW w:w="475" w:type="dxa"/>
          </w:tcPr>
          <w:p>
            <w:pPr>
              <w:pStyle w:val="TableParagraph"/>
              <w:spacing w:before="40"/>
              <w:ind w:left="62" w:right="58"/>
              <w:rPr>
                <w:sz w:val="18"/>
              </w:rPr>
            </w:pPr>
            <w:r>
              <w:rPr>
                <w:sz w:val="18"/>
              </w:rPr>
              <w:t>26</w:t>
            </w:r>
          </w:p>
        </w:tc>
        <w:tc>
          <w:tcPr>
            <w:tcW w:w="459" w:type="dxa"/>
          </w:tcPr>
          <w:p>
            <w:pPr>
              <w:pStyle w:val="TableParagraph"/>
              <w:spacing w:before="40"/>
              <w:ind w:left="2"/>
              <w:rPr>
                <w:sz w:val="18"/>
              </w:rPr>
            </w:pPr>
            <w:r>
              <w:rPr>
                <w:w w:val="99"/>
                <w:sz w:val="18"/>
              </w:rPr>
              <w:t>4</w:t>
            </w:r>
          </w:p>
        </w:tc>
        <w:tc>
          <w:tcPr>
            <w:tcW w:w="456" w:type="dxa"/>
          </w:tcPr>
          <w:p>
            <w:pPr>
              <w:pStyle w:val="TableParagraph"/>
              <w:spacing w:before="40"/>
              <w:ind w:left="51" w:right="51"/>
              <w:rPr>
                <w:sz w:val="18"/>
              </w:rPr>
            </w:pPr>
            <w:r>
              <w:rPr>
                <w:sz w:val="18"/>
              </w:rPr>
              <w:t>13</w:t>
            </w:r>
          </w:p>
        </w:tc>
        <w:tc>
          <w:tcPr>
            <w:tcW w:w="458" w:type="dxa"/>
          </w:tcPr>
          <w:p>
            <w:pPr>
              <w:pStyle w:val="TableParagraph"/>
              <w:spacing w:before="40"/>
              <w:ind w:left="1"/>
              <w:rPr>
                <w:sz w:val="18"/>
              </w:rPr>
            </w:pPr>
            <w:r>
              <w:rPr>
                <w:w w:val="99"/>
                <w:sz w:val="18"/>
              </w:rPr>
              <w:t>1</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2</w:t>
            </w:r>
          </w:p>
        </w:tc>
        <w:tc>
          <w:tcPr>
            <w:tcW w:w="475" w:type="dxa"/>
          </w:tcPr>
          <w:p>
            <w:pPr>
              <w:pStyle w:val="TableParagraph"/>
              <w:spacing w:before="40"/>
              <w:rPr>
                <w:sz w:val="18"/>
              </w:rPr>
            </w:pPr>
            <w:r>
              <w:rPr>
                <w:w w:val="99"/>
                <w:sz w:val="18"/>
              </w:rPr>
              <w:t>2</w:t>
            </w:r>
          </w:p>
        </w:tc>
        <w:tc>
          <w:tcPr>
            <w:tcW w:w="475" w:type="dxa"/>
          </w:tcPr>
          <w:p>
            <w:pPr>
              <w:pStyle w:val="TableParagraph"/>
              <w:spacing w:before="40"/>
              <w:ind w:right="131"/>
              <w:jc w:val="right"/>
              <w:rPr>
                <w:sz w:val="18"/>
              </w:rPr>
            </w:pPr>
            <w:r>
              <w:rPr>
                <w:w w:val="95"/>
                <w:sz w:val="18"/>
              </w:rPr>
              <w:t>64</w:t>
            </w:r>
          </w:p>
        </w:tc>
      </w:tr>
      <w:tr>
        <w:trPr>
          <w:trHeight w:val="398" w:hRule="exact"/>
        </w:trPr>
        <w:tc>
          <w:tcPr>
            <w:tcW w:w="4277" w:type="dxa"/>
          </w:tcPr>
          <w:p>
            <w:pPr>
              <w:pStyle w:val="TableParagraph"/>
              <w:spacing w:before="35"/>
              <w:ind w:left="64"/>
              <w:jc w:val="left"/>
              <w:rPr>
                <w:b/>
                <w:sz w:val="18"/>
              </w:rPr>
            </w:pPr>
            <w:r>
              <w:rPr>
                <w:b/>
                <w:color w:val="333333"/>
                <w:sz w:val="18"/>
              </w:rPr>
              <w:t>COACALCO DE BERRIOZABAL</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3</w:t>
            </w:r>
          </w:p>
        </w:tc>
        <w:tc>
          <w:tcPr>
            <w:tcW w:w="456" w:type="dxa"/>
          </w:tcPr>
          <w:p>
            <w:pPr>
              <w:pStyle w:val="TableParagraph"/>
              <w:spacing w:before="40"/>
              <w:rPr>
                <w:sz w:val="18"/>
              </w:rPr>
            </w:pPr>
            <w:r>
              <w:rPr>
                <w:w w:val="99"/>
                <w:sz w:val="18"/>
              </w:rPr>
              <w:t>1</w:t>
            </w:r>
          </w:p>
        </w:tc>
        <w:tc>
          <w:tcPr>
            <w:tcW w:w="475" w:type="dxa"/>
          </w:tcPr>
          <w:p>
            <w:pPr>
              <w:pStyle w:val="TableParagraph"/>
              <w:spacing w:before="40"/>
              <w:ind w:left="4"/>
              <w:rPr>
                <w:sz w:val="18"/>
              </w:rPr>
            </w:pPr>
            <w:r>
              <w:rPr>
                <w:w w:val="99"/>
                <w:sz w:val="18"/>
              </w:rPr>
              <w:t>0</w:t>
            </w:r>
          </w:p>
        </w:tc>
        <w:tc>
          <w:tcPr>
            <w:tcW w:w="459" w:type="dxa"/>
          </w:tcPr>
          <w:p>
            <w:pPr>
              <w:pStyle w:val="TableParagraph"/>
              <w:spacing w:before="40"/>
              <w:ind w:left="2"/>
              <w:rPr>
                <w:sz w:val="18"/>
              </w:rPr>
            </w:pPr>
            <w:r>
              <w:rPr>
                <w:w w:val="99"/>
                <w:sz w:val="18"/>
              </w:rPr>
              <w:t>0</w:t>
            </w:r>
          </w:p>
        </w:tc>
        <w:tc>
          <w:tcPr>
            <w:tcW w:w="456" w:type="dxa"/>
          </w:tcPr>
          <w:p>
            <w:pPr>
              <w:pStyle w:val="TableParagraph"/>
              <w:spacing w:before="40"/>
              <w:rPr>
                <w:sz w:val="18"/>
              </w:rPr>
            </w:pPr>
            <w:r>
              <w:rPr>
                <w:w w:val="99"/>
                <w:sz w:val="18"/>
              </w:rPr>
              <w:t>0</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rPr>
                <w:sz w:val="18"/>
              </w:rPr>
            </w:pPr>
            <w:r>
              <w:rPr>
                <w:w w:val="99"/>
                <w:sz w:val="18"/>
              </w:rPr>
              <w:t>0</w:t>
            </w:r>
          </w:p>
        </w:tc>
        <w:tc>
          <w:tcPr>
            <w:tcW w:w="475" w:type="dxa"/>
          </w:tcPr>
          <w:p>
            <w:pPr>
              <w:pStyle w:val="TableParagraph"/>
              <w:spacing w:before="40"/>
              <w:ind w:right="181"/>
              <w:jc w:val="right"/>
              <w:rPr>
                <w:sz w:val="18"/>
              </w:rPr>
            </w:pPr>
            <w:r>
              <w:rPr>
                <w:w w:val="99"/>
                <w:sz w:val="18"/>
              </w:rPr>
              <w:t>5</w:t>
            </w:r>
          </w:p>
        </w:tc>
      </w:tr>
      <w:tr>
        <w:trPr>
          <w:trHeight w:val="401" w:hRule="exact"/>
        </w:trPr>
        <w:tc>
          <w:tcPr>
            <w:tcW w:w="4277" w:type="dxa"/>
          </w:tcPr>
          <w:p>
            <w:pPr>
              <w:pStyle w:val="TableParagraph"/>
              <w:spacing w:before="35"/>
              <w:ind w:left="64"/>
              <w:jc w:val="left"/>
              <w:rPr>
                <w:b/>
                <w:sz w:val="18"/>
              </w:rPr>
            </w:pPr>
            <w:r>
              <w:rPr>
                <w:b/>
                <w:color w:val="333333"/>
                <w:sz w:val="18"/>
              </w:rPr>
              <w:t>COATEPEC HARINAS</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51" w:right="51"/>
              <w:rPr>
                <w:sz w:val="18"/>
              </w:rPr>
            </w:pPr>
            <w:r>
              <w:rPr>
                <w:sz w:val="18"/>
              </w:rPr>
              <w:t>15</w:t>
            </w:r>
          </w:p>
        </w:tc>
        <w:tc>
          <w:tcPr>
            <w:tcW w:w="456" w:type="dxa"/>
          </w:tcPr>
          <w:p>
            <w:pPr>
              <w:pStyle w:val="TableParagraph"/>
              <w:spacing w:before="40"/>
              <w:rPr>
                <w:sz w:val="18"/>
              </w:rPr>
            </w:pPr>
            <w:r>
              <w:rPr>
                <w:w w:val="99"/>
                <w:sz w:val="18"/>
              </w:rPr>
              <w:t>1</w:t>
            </w:r>
          </w:p>
        </w:tc>
        <w:tc>
          <w:tcPr>
            <w:tcW w:w="475" w:type="dxa"/>
          </w:tcPr>
          <w:p>
            <w:pPr>
              <w:pStyle w:val="TableParagraph"/>
              <w:spacing w:before="40"/>
              <w:ind w:left="62" w:right="58"/>
              <w:rPr>
                <w:sz w:val="18"/>
              </w:rPr>
            </w:pPr>
            <w:r>
              <w:rPr>
                <w:sz w:val="18"/>
              </w:rPr>
              <w:t>21</w:t>
            </w:r>
          </w:p>
        </w:tc>
        <w:tc>
          <w:tcPr>
            <w:tcW w:w="459" w:type="dxa"/>
          </w:tcPr>
          <w:p>
            <w:pPr>
              <w:pStyle w:val="TableParagraph"/>
              <w:spacing w:before="40"/>
              <w:ind w:left="105" w:right="104"/>
              <w:rPr>
                <w:sz w:val="18"/>
              </w:rPr>
            </w:pPr>
            <w:r>
              <w:rPr>
                <w:sz w:val="18"/>
              </w:rPr>
              <w:t>10</w:t>
            </w:r>
          </w:p>
        </w:tc>
        <w:tc>
          <w:tcPr>
            <w:tcW w:w="456" w:type="dxa"/>
          </w:tcPr>
          <w:p>
            <w:pPr>
              <w:pStyle w:val="TableParagraph"/>
              <w:spacing w:before="40"/>
              <w:rPr>
                <w:sz w:val="18"/>
              </w:rPr>
            </w:pPr>
            <w:r>
              <w:rPr>
                <w:w w:val="99"/>
                <w:sz w:val="18"/>
              </w:rPr>
              <w:t>2</w:t>
            </w:r>
          </w:p>
        </w:tc>
        <w:tc>
          <w:tcPr>
            <w:tcW w:w="458" w:type="dxa"/>
          </w:tcPr>
          <w:p>
            <w:pPr>
              <w:pStyle w:val="TableParagraph"/>
              <w:spacing w:before="40"/>
              <w:ind w:left="1"/>
              <w:rPr>
                <w:sz w:val="18"/>
              </w:rPr>
            </w:pPr>
            <w:r>
              <w:rPr>
                <w:w w:val="99"/>
                <w:sz w:val="18"/>
              </w:rPr>
              <w:t>1</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1</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rPr>
                <w:sz w:val="18"/>
              </w:rPr>
            </w:pPr>
            <w:r>
              <w:rPr>
                <w:w w:val="99"/>
                <w:sz w:val="18"/>
              </w:rPr>
              <w:t>0</w:t>
            </w:r>
          </w:p>
        </w:tc>
        <w:tc>
          <w:tcPr>
            <w:tcW w:w="475" w:type="dxa"/>
          </w:tcPr>
          <w:p>
            <w:pPr>
              <w:pStyle w:val="TableParagraph"/>
              <w:spacing w:before="40"/>
              <w:ind w:right="131"/>
              <w:jc w:val="right"/>
              <w:rPr>
                <w:sz w:val="18"/>
              </w:rPr>
            </w:pPr>
            <w:r>
              <w:rPr>
                <w:w w:val="95"/>
                <w:sz w:val="18"/>
              </w:rPr>
              <w:t>52</w:t>
            </w:r>
          </w:p>
        </w:tc>
      </w:tr>
      <w:tr>
        <w:trPr>
          <w:trHeight w:val="401" w:hRule="exact"/>
        </w:trPr>
        <w:tc>
          <w:tcPr>
            <w:tcW w:w="4277" w:type="dxa"/>
          </w:tcPr>
          <w:p>
            <w:pPr>
              <w:pStyle w:val="TableParagraph"/>
              <w:spacing w:before="35"/>
              <w:ind w:left="64"/>
              <w:jc w:val="left"/>
              <w:rPr>
                <w:b/>
                <w:sz w:val="18"/>
              </w:rPr>
            </w:pPr>
            <w:r>
              <w:rPr>
                <w:b/>
                <w:color w:val="333333"/>
                <w:sz w:val="18"/>
              </w:rPr>
              <w:t>COCOTITLAN</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5</w:t>
            </w:r>
          </w:p>
        </w:tc>
        <w:tc>
          <w:tcPr>
            <w:tcW w:w="456" w:type="dxa"/>
          </w:tcPr>
          <w:p>
            <w:pPr>
              <w:pStyle w:val="TableParagraph"/>
              <w:spacing w:before="40"/>
              <w:rPr>
                <w:sz w:val="18"/>
              </w:rPr>
            </w:pPr>
            <w:r>
              <w:rPr>
                <w:w w:val="99"/>
                <w:sz w:val="18"/>
              </w:rPr>
              <w:t>1</w:t>
            </w:r>
          </w:p>
        </w:tc>
        <w:tc>
          <w:tcPr>
            <w:tcW w:w="475" w:type="dxa"/>
          </w:tcPr>
          <w:p>
            <w:pPr>
              <w:pStyle w:val="TableParagraph"/>
              <w:spacing w:before="40"/>
              <w:ind w:left="4"/>
              <w:rPr>
                <w:sz w:val="18"/>
              </w:rPr>
            </w:pPr>
            <w:r>
              <w:rPr>
                <w:w w:val="99"/>
                <w:sz w:val="18"/>
              </w:rPr>
              <w:t>3</w:t>
            </w:r>
          </w:p>
        </w:tc>
        <w:tc>
          <w:tcPr>
            <w:tcW w:w="459" w:type="dxa"/>
          </w:tcPr>
          <w:p>
            <w:pPr>
              <w:pStyle w:val="TableParagraph"/>
              <w:spacing w:before="40"/>
              <w:ind w:left="2"/>
              <w:rPr>
                <w:sz w:val="18"/>
              </w:rPr>
            </w:pPr>
            <w:r>
              <w:rPr>
                <w:w w:val="99"/>
                <w:sz w:val="18"/>
              </w:rPr>
              <w:t>0</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rPr>
                <w:sz w:val="18"/>
              </w:rPr>
            </w:pPr>
            <w:r>
              <w:rPr>
                <w:w w:val="99"/>
                <w:sz w:val="18"/>
              </w:rPr>
              <w:t>0</w:t>
            </w:r>
          </w:p>
        </w:tc>
        <w:tc>
          <w:tcPr>
            <w:tcW w:w="475" w:type="dxa"/>
          </w:tcPr>
          <w:p>
            <w:pPr>
              <w:pStyle w:val="TableParagraph"/>
              <w:spacing w:before="40"/>
              <w:ind w:right="131"/>
              <w:jc w:val="right"/>
              <w:rPr>
                <w:sz w:val="18"/>
              </w:rPr>
            </w:pPr>
            <w:r>
              <w:rPr>
                <w:w w:val="95"/>
                <w:sz w:val="18"/>
              </w:rPr>
              <w:t>11</w:t>
            </w:r>
          </w:p>
        </w:tc>
      </w:tr>
    </w:tbl>
    <w:p>
      <w:pPr>
        <w:spacing w:after="0"/>
        <w:jc w:val="right"/>
        <w:rPr>
          <w:sz w:val="18"/>
        </w:rPr>
        <w:sectPr>
          <w:pgSz w:w="15840" w:h="12240" w:orient="landscape"/>
          <w:pgMar w:header="0" w:footer="975" w:top="1140" w:bottom="1160" w:left="1800" w:right="1800"/>
        </w:sectPr>
      </w:pPr>
    </w:p>
    <w:p>
      <w:pPr>
        <w:pStyle w:val="BodyText"/>
        <w:rPr>
          <w:rFonts w:ascii="Times New Roman"/>
          <w:sz w:val="20"/>
        </w:rPr>
      </w:pPr>
    </w:p>
    <w:p>
      <w:pPr>
        <w:pStyle w:val="BodyText"/>
        <w:spacing w:before="8"/>
        <w:rPr>
          <w:rFonts w:ascii="Times New Roman"/>
          <w:sz w:val="20"/>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77"/>
        <w:gridCol w:w="456"/>
        <w:gridCol w:w="458"/>
        <w:gridCol w:w="456"/>
        <w:gridCol w:w="456"/>
        <w:gridCol w:w="458"/>
        <w:gridCol w:w="456"/>
        <w:gridCol w:w="458"/>
        <w:gridCol w:w="456"/>
        <w:gridCol w:w="458"/>
        <w:gridCol w:w="799"/>
        <w:gridCol w:w="802"/>
        <w:gridCol w:w="457"/>
        <w:gridCol w:w="852"/>
        <w:gridCol w:w="456"/>
        <w:gridCol w:w="475"/>
      </w:tblGrid>
      <w:tr>
        <w:trPr>
          <w:trHeight w:val="373" w:hRule="exact"/>
        </w:trPr>
        <w:tc>
          <w:tcPr>
            <w:tcW w:w="12232" w:type="dxa"/>
            <w:gridSpan w:val="16"/>
            <w:shd w:val="clear" w:color="auto" w:fill="92D050"/>
          </w:tcPr>
          <w:p>
            <w:pPr>
              <w:pStyle w:val="TableParagraph"/>
              <w:spacing w:before="20"/>
              <w:ind w:left="1468"/>
              <w:jc w:val="left"/>
              <w:rPr>
                <w:b/>
                <w:sz w:val="18"/>
              </w:rPr>
            </w:pPr>
            <w:r>
              <w:rPr>
                <w:b/>
                <w:sz w:val="18"/>
              </w:rPr>
              <w:t>Anexo 18. Normativa publicada por los municipios del Estado de México a través del INFOEM (continuación)</w:t>
            </w:r>
          </w:p>
        </w:tc>
      </w:tr>
      <w:tr>
        <w:trPr>
          <w:trHeight w:val="1412" w:hRule="exact"/>
        </w:trPr>
        <w:tc>
          <w:tcPr>
            <w:tcW w:w="4277" w:type="dxa"/>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126"/>
              <w:ind w:left="1691" w:right="1693"/>
              <w:rPr>
                <w:b/>
                <w:sz w:val="18"/>
              </w:rPr>
            </w:pPr>
            <w:r>
              <w:rPr>
                <w:b/>
                <w:sz w:val="18"/>
              </w:rPr>
              <w:t>Municipio</w:t>
            </w:r>
          </w:p>
        </w:tc>
        <w:tc>
          <w:tcPr>
            <w:tcW w:w="456" w:type="dxa"/>
            <w:shd w:val="clear" w:color="auto" w:fill="C5DFB3"/>
            <w:textDirection w:val="btLr"/>
          </w:tcPr>
          <w:p>
            <w:pPr>
              <w:pStyle w:val="TableParagraph"/>
              <w:spacing w:before="64"/>
              <w:ind w:left="76" w:right="-11"/>
              <w:jc w:val="left"/>
              <w:rPr>
                <w:b/>
                <w:sz w:val="18"/>
              </w:rPr>
            </w:pPr>
            <w:r>
              <w:rPr>
                <w:b/>
                <w:sz w:val="18"/>
              </w:rPr>
              <w:t>Con</w:t>
            </w:r>
            <w:r>
              <w:rPr>
                <w:b/>
                <w:spacing w:val="1"/>
                <w:sz w:val="18"/>
              </w:rPr>
              <w:t>s</w:t>
            </w:r>
            <w:r>
              <w:rPr>
                <w:b/>
                <w:w w:val="100"/>
                <w:sz w:val="18"/>
              </w:rPr>
              <w:t>t.</w:t>
            </w:r>
            <w:r>
              <w:rPr>
                <w:b/>
                <w:sz w:val="18"/>
              </w:rPr>
              <w:t> Fe</w:t>
            </w:r>
            <w:r>
              <w:rPr>
                <w:b/>
                <w:spacing w:val="-2"/>
                <w:w w:val="100"/>
                <w:sz w:val="18"/>
              </w:rPr>
              <w:t>d</w:t>
            </w:r>
            <w:r>
              <w:rPr>
                <w:b/>
                <w:w w:val="99"/>
                <w:sz w:val="18"/>
              </w:rPr>
              <w:t>e</w:t>
            </w:r>
            <w:r>
              <w:rPr>
                <w:b/>
                <w:w w:val="99"/>
                <w:sz w:val="18"/>
              </w:rPr>
              <w:t>ral</w:t>
            </w:r>
          </w:p>
        </w:tc>
        <w:tc>
          <w:tcPr>
            <w:tcW w:w="458" w:type="dxa"/>
            <w:shd w:val="clear" w:color="auto" w:fill="C5DFB3"/>
            <w:textDirection w:val="btLr"/>
          </w:tcPr>
          <w:p>
            <w:pPr>
              <w:pStyle w:val="TableParagraph"/>
              <w:spacing w:before="64"/>
              <w:ind w:left="160" w:right="-11"/>
              <w:jc w:val="left"/>
              <w:rPr>
                <w:b/>
                <w:sz w:val="18"/>
              </w:rPr>
            </w:pPr>
            <w:r>
              <w:rPr>
                <w:b/>
                <w:w w:val="99"/>
                <w:sz w:val="18"/>
              </w:rPr>
              <w:t>Trata</w:t>
            </w:r>
            <w:r>
              <w:rPr>
                <w:b/>
                <w:w w:val="100"/>
                <w:sz w:val="18"/>
              </w:rPr>
              <w:t>do</w:t>
            </w:r>
            <w:r>
              <w:rPr>
                <w:b/>
                <w:w w:val="99"/>
                <w:sz w:val="18"/>
              </w:rPr>
              <w:t>s</w:t>
            </w:r>
            <w:r>
              <w:rPr>
                <w:b/>
                <w:spacing w:val="-2"/>
                <w:sz w:val="18"/>
              </w:rPr>
              <w:t> </w:t>
            </w:r>
            <w:r>
              <w:rPr>
                <w:b/>
                <w:w w:val="100"/>
                <w:sz w:val="18"/>
              </w:rPr>
              <w:t>Int.</w:t>
            </w:r>
          </w:p>
        </w:tc>
        <w:tc>
          <w:tcPr>
            <w:tcW w:w="456" w:type="dxa"/>
            <w:shd w:val="clear" w:color="auto" w:fill="C5DFB3"/>
            <w:textDirection w:val="btLr"/>
          </w:tcPr>
          <w:p>
            <w:pPr>
              <w:pStyle w:val="TableParagraph"/>
              <w:spacing w:before="64"/>
              <w:ind w:left="235" w:right="-11"/>
              <w:jc w:val="left"/>
              <w:rPr>
                <w:b/>
                <w:sz w:val="18"/>
              </w:rPr>
            </w:pPr>
            <w:r>
              <w:rPr>
                <w:b/>
                <w:sz w:val="18"/>
              </w:rPr>
              <w:t>Le</w:t>
            </w:r>
            <w:r>
              <w:rPr>
                <w:b/>
                <w:w w:val="99"/>
                <w:sz w:val="18"/>
              </w:rPr>
              <w:t>yes</w:t>
            </w:r>
            <w:r>
              <w:rPr>
                <w:b/>
                <w:spacing w:val="-2"/>
                <w:sz w:val="18"/>
              </w:rPr>
              <w:t> </w:t>
            </w:r>
            <w:r>
              <w:rPr>
                <w:b/>
                <w:sz w:val="18"/>
              </w:rPr>
              <w:t>Fe</w:t>
            </w:r>
            <w:r>
              <w:rPr>
                <w:b/>
                <w:w w:val="100"/>
                <w:sz w:val="18"/>
              </w:rPr>
              <w:t>d.</w:t>
            </w:r>
          </w:p>
        </w:tc>
        <w:tc>
          <w:tcPr>
            <w:tcW w:w="456" w:type="dxa"/>
            <w:shd w:val="clear" w:color="auto" w:fill="C5DFB3"/>
            <w:textDirection w:val="btLr"/>
          </w:tcPr>
          <w:p>
            <w:pPr>
              <w:pStyle w:val="TableParagraph"/>
              <w:spacing w:before="64"/>
              <w:ind w:left="160" w:right="-11"/>
              <w:jc w:val="left"/>
              <w:rPr>
                <w:b/>
                <w:sz w:val="18"/>
              </w:rPr>
            </w:pPr>
            <w:r>
              <w:rPr>
                <w:b/>
                <w:sz w:val="18"/>
              </w:rPr>
              <w:t>Con</w:t>
            </w:r>
            <w:r>
              <w:rPr>
                <w:b/>
                <w:spacing w:val="1"/>
                <w:sz w:val="18"/>
              </w:rPr>
              <w:t>s</w:t>
            </w:r>
            <w:r>
              <w:rPr>
                <w:b/>
                <w:w w:val="100"/>
                <w:sz w:val="18"/>
              </w:rPr>
              <w:t>t.</w:t>
            </w:r>
            <w:r>
              <w:rPr>
                <w:b/>
                <w:sz w:val="18"/>
              </w:rPr>
              <w:t> </w:t>
            </w:r>
            <w:r>
              <w:rPr>
                <w:b/>
                <w:w w:val="100"/>
                <w:sz w:val="18"/>
              </w:rPr>
              <w:t>Lo</w:t>
            </w:r>
            <w:r>
              <w:rPr>
                <w:b/>
                <w:spacing w:val="-2"/>
                <w:w w:val="99"/>
                <w:sz w:val="18"/>
              </w:rPr>
              <w:t>c</w:t>
            </w:r>
            <w:r>
              <w:rPr>
                <w:b/>
                <w:w w:val="99"/>
                <w:sz w:val="18"/>
              </w:rPr>
              <w:t>a</w:t>
            </w:r>
            <w:r>
              <w:rPr>
                <w:b/>
                <w:w w:val="100"/>
                <w:sz w:val="18"/>
              </w:rPr>
              <w:t>l</w:t>
            </w:r>
          </w:p>
        </w:tc>
        <w:tc>
          <w:tcPr>
            <w:tcW w:w="458" w:type="dxa"/>
            <w:shd w:val="clear" w:color="auto" w:fill="C5DFB3"/>
            <w:textDirection w:val="btLr"/>
          </w:tcPr>
          <w:p>
            <w:pPr>
              <w:pStyle w:val="TableParagraph"/>
              <w:spacing w:before="64"/>
              <w:ind w:left="86" w:right="-11"/>
              <w:jc w:val="left"/>
              <w:rPr>
                <w:b/>
                <w:sz w:val="18"/>
              </w:rPr>
            </w:pPr>
            <w:r>
              <w:rPr>
                <w:b/>
                <w:sz w:val="18"/>
              </w:rPr>
              <w:t>Le</w:t>
            </w:r>
            <w:r>
              <w:rPr>
                <w:b/>
                <w:w w:val="99"/>
                <w:sz w:val="18"/>
              </w:rPr>
              <w:t>yes</w:t>
            </w:r>
            <w:r>
              <w:rPr>
                <w:b/>
                <w:spacing w:val="-2"/>
                <w:sz w:val="18"/>
              </w:rPr>
              <w:t> </w:t>
            </w:r>
            <w:r>
              <w:rPr>
                <w:b/>
                <w:w w:val="100"/>
                <w:sz w:val="18"/>
              </w:rPr>
              <w:t>Lo</w:t>
            </w:r>
            <w:r>
              <w:rPr>
                <w:b/>
                <w:w w:val="99"/>
                <w:sz w:val="18"/>
              </w:rPr>
              <w:t>c</w:t>
            </w:r>
            <w:r>
              <w:rPr>
                <w:b/>
                <w:spacing w:val="-2"/>
                <w:w w:val="99"/>
                <w:sz w:val="18"/>
              </w:rPr>
              <w:t>a</w:t>
            </w:r>
            <w:r>
              <w:rPr>
                <w:b/>
                <w:w w:val="100"/>
                <w:sz w:val="18"/>
              </w:rPr>
              <w:t>le</w:t>
            </w:r>
            <w:r>
              <w:rPr>
                <w:b/>
                <w:w w:val="99"/>
                <w:sz w:val="18"/>
              </w:rPr>
              <w:t>s</w:t>
            </w:r>
          </w:p>
        </w:tc>
        <w:tc>
          <w:tcPr>
            <w:tcW w:w="456" w:type="dxa"/>
            <w:shd w:val="clear" w:color="auto" w:fill="C5DFB3"/>
            <w:textDirection w:val="btLr"/>
          </w:tcPr>
          <w:p>
            <w:pPr>
              <w:pStyle w:val="TableParagraph"/>
              <w:spacing w:before="64"/>
              <w:ind w:left="340" w:right="-11"/>
              <w:jc w:val="left"/>
              <w:rPr>
                <w:b/>
                <w:sz w:val="18"/>
              </w:rPr>
            </w:pPr>
            <w:r>
              <w:rPr>
                <w:b/>
                <w:w w:val="100"/>
                <w:sz w:val="18"/>
              </w:rPr>
              <w:t>Códi</w:t>
            </w:r>
            <w:r>
              <w:rPr>
                <w:b/>
                <w:w w:val="100"/>
                <w:sz w:val="18"/>
              </w:rPr>
              <w:t>go</w:t>
            </w:r>
            <w:r>
              <w:rPr>
                <w:b/>
                <w:w w:val="99"/>
                <w:sz w:val="18"/>
              </w:rPr>
              <w:t>s</w:t>
            </w:r>
          </w:p>
        </w:tc>
        <w:tc>
          <w:tcPr>
            <w:tcW w:w="458" w:type="dxa"/>
            <w:shd w:val="clear" w:color="auto" w:fill="C5DFB3"/>
            <w:textDirection w:val="btLr"/>
          </w:tcPr>
          <w:p>
            <w:pPr>
              <w:pStyle w:val="TableParagraph"/>
              <w:spacing w:before="64"/>
              <w:ind w:left="136" w:right="-11"/>
              <w:jc w:val="left"/>
              <w:rPr>
                <w:b/>
                <w:sz w:val="18"/>
              </w:rPr>
            </w:pPr>
            <w:r>
              <w:rPr>
                <w:b/>
                <w:w w:val="99"/>
                <w:sz w:val="18"/>
              </w:rPr>
              <w:t>Reg</w:t>
            </w:r>
            <w:r>
              <w:rPr>
                <w:b/>
                <w:w w:val="100"/>
                <w:sz w:val="18"/>
              </w:rPr>
              <w:t>la</w:t>
            </w:r>
            <w:r>
              <w:rPr>
                <w:b/>
                <w:w w:val="99"/>
                <w:sz w:val="18"/>
              </w:rPr>
              <w:t>m</w:t>
            </w:r>
            <w:r>
              <w:rPr>
                <w:b/>
                <w:spacing w:val="-2"/>
                <w:w w:val="99"/>
                <w:sz w:val="18"/>
              </w:rPr>
              <w:t>e</w:t>
            </w:r>
            <w:r>
              <w:rPr>
                <w:b/>
                <w:w w:val="100"/>
                <w:sz w:val="18"/>
              </w:rPr>
              <w:t>nto</w:t>
            </w:r>
            <w:r>
              <w:rPr>
                <w:b/>
                <w:w w:val="99"/>
                <w:sz w:val="18"/>
              </w:rPr>
              <w:t>s</w:t>
            </w:r>
          </w:p>
        </w:tc>
        <w:tc>
          <w:tcPr>
            <w:tcW w:w="456" w:type="dxa"/>
            <w:shd w:val="clear" w:color="auto" w:fill="C5DFB3"/>
            <w:textDirection w:val="btLr"/>
          </w:tcPr>
          <w:p>
            <w:pPr>
              <w:pStyle w:val="TableParagraph"/>
              <w:spacing w:before="64"/>
              <w:ind w:left="316" w:right="-11"/>
              <w:jc w:val="left"/>
              <w:rPr>
                <w:b/>
                <w:sz w:val="18"/>
              </w:rPr>
            </w:pPr>
            <w:r>
              <w:rPr>
                <w:b/>
                <w:w w:val="99"/>
                <w:sz w:val="18"/>
              </w:rPr>
              <w:t>Dec</w:t>
            </w:r>
            <w:r>
              <w:rPr>
                <w:b/>
                <w:w w:val="99"/>
                <w:sz w:val="18"/>
              </w:rPr>
              <w:t>reto</w:t>
            </w:r>
            <w:r>
              <w:rPr>
                <w:b/>
                <w:w w:val="99"/>
                <w:sz w:val="18"/>
              </w:rPr>
              <w:t>s</w:t>
            </w:r>
          </w:p>
        </w:tc>
        <w:tc>
          <w:tcPr>
            <w:tcW w:w="458" w:type="dxa"/>
            <w:shd w:val="clear" w:color="auto" w:fill="C5DFB3"/>
            <w:textDirection w:val="btLr"/>
          </w:tcPr>
          <w:p>
            <w:pPr>
              <w:pStyle w:val="TableParagraph"/>
              <w:spacing w:before="64"/>
              <w:ind w:left="285" w:right="-11"/>
              <w:jc w:val="left"/>
              <w:rPr>
                <w:b/>
                <w:sz w:val="18"/>
              </w:rPr>
            </w:pPr>
            <w:r>
              <w:rPr>
                <w:b/>
                <w:w w:val="99"/>
                <w:sz w:val="18"/>
              </w:rPr>
              <w:t>Acu</w:t>
            </w:r>
            <w:r>
              <w:rPr>
                <w:b/>
                <w:w w:val="99"/>
                <w:sz w:val="18"/>
              </w:rPr>
              <w:t>e</w:t>
            </w:r>
            <w:r>
              <w:rPr>
                <w:b/>
                <w:sz w:val="18"/>
              </w:rPr>
              <w:t>rdos</w:t>
            </w:r>
          </w:p>
        </w:tc>
        <w:tc>
          <w:tcPr>
            <w:tcW w:w="799" w:type="dxa"/>
            <w:shd w:val="clear" w:color="auto" w:fill="C5DFB3"/>
            <w:textDirection w:val="btLr"/>
          </w:tcPr>
          <w:p>
            <w:pPr>
              <w:pStyle w:val="TableParagraph"/>
              <w:spacing w:line="369" w:lineRule="auto" w:before="73"/>
              <w:ind w:left="7" w:right="-11" w:firstLine="153"/>
              <w:jc w:val="left"/>
              <w:rPr>
                <w:b/>
                <w:sz w:val="18"/>
              </w:rPr>
            </w:pPr>
            <w:r>
              <w:rPr>
                <w:b/>
                <w:spacing w:val="1"/>
                <w:w w:val="99"/>
                <w:sz w:val="18"/>
              </w:rPr>
              <w:t>M</w:t>
            </w:r>
            <w:r>
              <w:rPr>
                <w:b/>
                <w:w w:val="99"/>
                <w:sz w:val="18"/>
              </w:rPr>
              <w:t>a</w:t>
            </w:r>
            <w:r>
              <w:rPr>
                <w:b/>
                <w:w w:val="100"/>
                <w:sz w:val="18"/>
              </w:rPr>
              <w:t>nu</w:t>
            </w:r>
            <w:r>
              <w:rPr>
                <w:b/>
                <w:spacing w:val="-2"/>
                <w:w w:val="99"/>
                <w:sz w:val="18"/>
              </w:rPr>
              <w:t>a</w:t>
            </w:r>
            <w:r>
              <w:rPr>
                <w:b/>
                <w:w w:val="100"/>
                <w:sz w:val="18"/>
              </w:rPr>
              <w:t>le</w:t>
            </w:r>
            <w:r>
              <w:rPr>
                <w:b/>
                <w:w w:val="99"/>
                <w:sz w:val="18"/>
              </w:rPr>
              <w:t>s</w:t>
            </w:r>
            <w:r>
              <w:rPr>
                <w:b/>
                <w:spacing w:val="-2"/>
                <w:sz w:val="18"/>
              </w:rPr>
              <w:t> </w:t>
            </w:r>
            <w:r>
              <w:rPr>
                <w:b/>
                <w:sz w:val="18"/>
              </w:rPr>
              <w:t>de proc</w:t>
            </w:r>
            <w:r>
              <w:rPr>
                <w:b/>
                <w:w w:val="99"/>
                <w:sz w:val="18"/>
              </w:rPr>
              <w:t>e</w:t>
            </w:r>
            <w:r>
              <w:rPr>
                <w:b/>
                <w:w w:val="100"/>
                <w:sz w:val="18"/>
              </w:rPr>
              <w:t>di</w:t>
            </w:r>
            <w:r>
              <w:rPr>
                <w:b/>
                <w:spacing w:val="-2"/>
                <w:w w:val="99"/>
                <w:sz w:val="18"/>
              </w:rPr>
              <w:t>m</w:t>
            </w:r>
            <w:r>
              <w:rPr>
                <w:b/>
                <w:w w:val="100"/>
                <w:sz w:val="18"/>
              </w:rPr>
              <w:t>ie</w:t>
            </w:r>
            <w:r>
              <w:rPr>
                <w:b/>
                <w:w w:val="100"/>
                <w:sz w:val="18"/>
              </w:rPr>
              <w:t>nt</w:t>
            </w:r>
            <w:r>
              <w:rPr>
                <w:b/>
                <w:spacing w:val="-2"/>
                <w:w w:val="100"/>
                <w:sz w:val="18"/>
              </w:rPr>
              <w:t>o</w:t>
            </w:r>
            <w:r>
              <w:rPr>
                <w:b/>
                <w:w w:val="99"/>
                <w:sz w:val="18"/>
              </w:rPr>
              <w:t>s</w:t>
            </w:r>
            <w:r>
              <w:rPr>
                <w:b/>
                <w:w w:val="100"/>
                <w:sz w:val="18"/>
              </w:rPr>
              <w:t>.</w:t>
            </w:r>
          </w:p>
        </w:tc>
        <w:tc>
          <w:tcPr>
            <w:tcW w:w="802" w:type="dxa"/>
            <w:shd w:val="clear" w:color="auto" w:fill="C5DFB3"/>
            <w:textDirection w:val="btLr"/>
          </w:tcPr>
          <w:p>
            <w:pPr>
              <w:pStyle w:val="TableParagraph"/>
              <w:spacing w:line="369" w:lineRule="auto" w:before="76"/>
              <w:ind w:left="146" w:right="128" w:firstLine="14"/>
              <w:jc w:val="left"/>
              <w:rPr>
                <w:b/>
                <w:sz w:val="18"/>
              </w:rPr>
            </w:pPr>
            <w:r>
              <w:rPr>
                <w:b/>
                <w:spacing w:val="1"/>
                <w:w w:val="99"/>
                <w:sz w:val="18"/>
              </w:rPr>
              <w:t>M</w:t>
            </w:r>
            <w:r>
              <w:rPr>
                <w:b/>
                <w:w w:val="99"/>
                <w:sz w:val="18"/>
              </w:rPr>
              <w:t>a</w:t>
            </w:r>
            <w:r>
              <w:rPr>
                <w:b/>
                <w:w w:val="100"/>
                <w:sz w:val="18"/>
              </w:rPr>
              <w:t>nu</w:t>
            </w:r>
            <w:r>
              <w:rPr>
                <w:b/>
                <w:spacing w:val="-2"/>
                <w:w w:val="99"/>
                <w:sz w:val="18"/>
              </w:rPr>
              <w:t>a</w:t>
            </w:r>
            <w:r>
              <w:rPr>
                <w:b/>
                <w:w w:val="100"/>
                <w:sz w:val="18"/>
              </w:rPr>
              <w:t>le</w:t>
            </w:r>
            <w:r>
              <w:rPr>
                <w:b/>
                <w:w w:val="99"/>
                <w:sz w:val="18"/>
              </w:rPr>
              <w:t>s</w:t>
            </w:r>
            <w:r>
              <w:rPr>
                <w:b/>
                <w:spacing w:val="-2"/>
                <w:sz w:val="18"/>
              </w:rPr>
              <w:t> </w:t>
            </w:r>
            <w:r>
              <w:rPr>
                <w:b/>
                <w:sz w:val="18"/>
              </w:rPr>
              <w:t>de orga</w:t>
            </w:r>
            <w:r>
              <w:rPr>
                <w:b/>
                <w:w w:val="100"/>
                <w:sz w:val="18"/>
              </w:rPr>
              <w:t>ni</w:t>
            </w:r>
            <w:r>
              <w:rPr>
                <w:b/>
                <w:spacing w:val="-2"/>
                <w:sz w:val="18"/>
              </w:rPr>
              <w:t>z</w:t>
            </w:r>
            <w:r>
              <w:rPr>
                <w:b/>
                <w:w w:val="99"/>
                <w:sz w:val="18"/>
              </w:rPr>
              <w:t>ac</w:t>
            </w:r>
            <w:r>
              <w:rPr>
                <w:b/>
                <w:w w:val="100"/>
                <w:sz w:val="18"/>
              </w:rPr>
              <w:t>ión</w:t>
            </w:r>
          </w:p>
        </w:tc>
        <w:tc>
          <w:tcPr>
            <w:tcW w:w="457" w:type="dxa"/>
            <w:shd w:val="clear" w:color="auto" w:fill="C5DFB3"/>
            <w:textDirection w:val="btLr"/>
          </w:tcPr>
          <w:p>
            <w:pPr>
              <w:pStyle w:val="TableParagraph"/>
              <w:spacing w:before="64"/>
              <w:ind w:left="21" w:right="-11"/>
              <w:jc w:val="left"/>
              <w:rPr>
                <w:b/>
                <w:sz w:val="18"/>
              </w:rPr>
            </w:pPr>
            <w:r>
              <w:rPr>
                <w:b/>
                <w:spacing w:val="-1"/>
                <w:w w:val="100"/>
                <w:sz w:val="18"/>
              </w:rPr>
              <w:t>O</w:t>
            </w:r>
            <w:r>
              <w:rPr>
                <w:b/>
                <w:w w:val="99"/>
                <w:sz w:val="18"/>
              </w:rPr>
              <w:t>tros m</w:t>
            </w:r>
            <w:r>
              <w:rPr>
                <w:b/>
                <w:w w:val="99"/>
                <w:sz w:val="18"/>
              </w:rPr>
              <w:t>a</w:t>
            </w:r>
            <w:r>
              <w:rPr>
                <w:b/>
                <w:w w:val="100"/>
                <w:sz w:val="18"/>
              </w:rPr>
              <w:t>nu</w:t>
            </w:r>
            <w:r>
              <w:rPr>
                <w:b/>
                <w:spacing w:val="-2"/>
                <w:w w:val="99"/>
                <w:sz w:val="18"/>
              </w:rPr>
              <w:t>a</w:t>
            </w:r>
            <w:r>
              <w:rPr>
                <w:b/>
                <w:w w:val="100"/>
                <w:sz w:val="18"/>
              </w:rPr>
              <w:t>le</w:t>
            </w:r>
            <w:r>
              <w:rPr>
                <w:b/>
                <w:w w:val="99"/>
                <w:sz w:val="18"/>
              </w:rPr>
              <w:t>s</w:t>
            </w:r>
          </w:p>
        </w:tc>
        <w:tc>
          <w:tcPr>
            <w:tcW w:w="852" w:type="dxa"/>
            <w:shd w:val="clear" w:color="auto" w:fill="C5DFB3"/>
            <w:textDirection w:val="btLr"/>
          </w:tcPr>
          <w:p>
            <w:pPr>
              <w:pStyle w:val="TableParagraph"/>
              <w:spacing w:before="7"/>
              <w:jc w:val="left"/>
              <w:rPr>
                <w:rFonts w:ascii="Times New Roman"/>
                <w:sz w:val="22"/>
              </w:rPr>
            </w:pPr>
          </w:p>
          <w:p>
            <w:pPr>
              <w:pStyle w:val="TableParagraph"/>
              <w:ind w:left="261" w:right="-11"/>
              <w:jc w:val="left"/>
              <w:rPr>
                <w:b/>
                <w:sz w:val="18"/>
              </w:rPr>
            </w:pPr>
            <w:r>
              <w:rPr>
                <w:b/>
                <w:w w:val="99"/>
                <w:sz w:val="18"/>
              </w:rPr>
              <w:t>Circula</w:t>
            </w:r>
            <w:r>
              <w:rPr>
                <w:b/>
                <w:w w:val="99"/>
                <w:sz w:val="18"/>
              </w:rPr>
              <w:t>res</w:t>
            </w:r>
          </w:p>
        </w:tc>
        <w:tc>
          <w:tcPr>
            <w:tcW w:w="456" w:type="dxa"/>
            <w:shd w:val="clear" w:color="auto" w:fill="C5DFB3"/>
            <w:textDirection w:val="btLr"/>
          </w:tcPr>
          <w:p>
            <w:pPr>
              <w:pStyle w:val="TableParagraph"/>
              <w:spacing w:before="64"/>
              <w:ind w:left="405" w:right="-11"/>
              <w:jc w:val="left"/>
              <w:rPr>
                <w:b/>
                <w:sz w:val="18"/>
              </w:rPr>
            </w:pPr>
            <w:r>
              <w:rPr>
                <w:b/>
                <w:w w:val="99"/>
                <w:sz w:val="18"/>
              </w:rPr>
              <w:t>Demás</w:t>
            </w:r>
          </w:p>
        </w:tc>
        <w:tc>
          <w:tcPr>
            <w:tcW w:w="475" w:type="dxa"/>
            <w:shd w:val="clear" w:color="auto" w:fill="C5DFB3"/>
            <w:textDirection w:val="btLr"/>
          </w:tcPr>
          <w:p>
            <w:pPr>
              <w:pStyle w:val="TableParagraph"/>
              <w:spacing w:before="73"/>
              <w:ind w:left="340" w:right="-11"/>
              <w:jc w:val="left"/>
              <w:rPr>
                <w:b/>
                <w:sz w:val="18"/>
              </w:rPr>
            </w:pPr>
            <w:r>
              <w:rPr>
                <w:b/>
                <w:w w:val="100"/>
                <w:sz w:val="18"/>
              </w:rPr>
              <w:t>Subtot</w:t>
            </w:r>
            <w:r>
              <w:rPr>
                <w:b/>
                <w:w w:val="99"/>
                <w:sz w:val="18"/>
              </w:rPr>
              <w:t>a</w:t>
            </w:r>
            <w:r>
              <w:rPr>
                <w:b/>
                <w:w w:val="100"/>
                <w:sz w:val="18"/>
              </w:rPr>
              <w:t>l</w:t>
            </w:r>
          </w:p>
        </w:tc>
      </w:tr>
      <w:tr>
        <w:trPr>
          <w:trHeight w:val="401" w:hRule="exact"/>
        </w:trPr>
        <w:tc>
          <w:tcPr>
            <w:tcW w:w="4277" w:type="dxa"/>
          </w:tcPr>
          <w:p>
            <w:pPr>
              <w:pStyle w:val="TableParagraph"/>
              <w:spacing w:before="35"/>
              <w:ind w:left="64"/>
              <w:jc w:val="left"/>
              <w:rPr>
                <w:b/>
                <w:sz w:val="18"/>
              </w:rPr>
            </w:pPr>
            <w:r>
              <w:rPr>
                <w:b/>
                <w:color w:val="333333"/>
                <w:sz w:val="18"/>
              </w:rPr>
              <w:t>COYOTEPEC</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right="1"/>
              <w:rPr>
                <w:sz w:val="18"/>
              </w:rPr>
            </w:pPr>
            <w:r>
              <w:rPr>
                <w:color w:val="333333"/>
                <w:w w:val="99"/>
                <w:sz w:val="18"/>
              </w:rPr>
              <w:t>0</w:t>
            </w:r>
          </w:p>
        </w:tc>
        <w:tc>
          <w:tcPr>
            <w:tcW w:w="456" w:type="dxa"/>
          </w:tcPr>
          <w:p>
            <w:pPr>
              <w:pStyle w:val="TableParagraph"/>
              <w:spacing w:before="40"/>
              <w:ind w:left="172"/>
              <w:jc w:val="left"/>
              <w:rPr>
                <w:sz w:val="18"/>
              </w:rPr>
            </w:pPr>
            <w:r>
              <w:rPr>
                <w:color w:val="006000"/>
                <w:w w:val="99"/>
                <w:sz w:val="18"/>
              </w:rPr>
              <w:t>3</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right="173"/>
              <w:jc w:val="right"/>
              <w:rPr>
                <w:sz w:val="18"/>
              </w:rPr>
            </w:pPr>
            <w:r>
              <w:rPr>
                <w:color w:val="006000"/>
                <w:w w:val="99"/>
                <w:sz w:val="18"/>
              </w:rPr>
              <w:t>2</w:t>
            </w:r>
          </w:p>
        </w:tc>
        <w:tc>
          <w:tcPr>
            <w:tcW w:w="456" w:type="dxa"/>
          </w:tcPr>
          <w:p>
            <w:pPr>
              <w:pStyle w:val="TableParagraph"/>
              <w:spacing w:before="40"/>
              <w:ind w:left="172"/>
              <w:jc w:val="left"/>
              <w:rPr>
                <w:sz w:val="18"/>
              </w:rPr>
            </w:pPr>
            <w:r>
              <w:rPr>
                <w:color w:val="333333"/>
                <w:w w:val="99"/>
                <w:sz w:val="18"/>
              </w:rPr>
              <w:t>0</w:t>
            </w:r>
          </w:p>
        </w:tc>
        <w:tc>
          <w:tcPr>
            <w:tcW w:w="458" w:type="dxa"/>
          </w:tcPr>
          <w:p>
            <w:pPr>
              <w:pStyle w:val="TableParagraph"/>
              <w:spacing w:before="40"/>
              <w:ind w:right="1"/>
              <w:rPr>
                <w:sz w:val="18"/>
              </w:rPr>
            </w:pPr>
            <w:r>
              <w:rPr>
                <w:color w:val="333333"/>
                <w:w w:val="99"/>
                <w:sz w:val="18"/>
              </w:rPr>
              <w:t>0</w:t>
            </w:r>
          </w:p>
        </w:tc>
        <w:tc>
          <w:tcPr>
            <w:tcW w:w="456" w:type="dxa"/>
          </w:tcPr>
          <w:p>
            <w:pPr>
              <w:pStyle w:val="TableParagraph"/>
              <w:spacing w:before="40"/>
              <w:rPr>
                <w:sz w:val="18"/>
              </w:rPr>
            </w:pPr>
            <w:r>
              <w:rPr>
                <w:color w:val="333333"/>
                <w:w w:val="99"/>
                <w:sz w:val="18"/>
              </w:rPr>
              <w:t>0</w:t>
            </w:r>
          </w:p>
        </w:tc>
        <w:tc>
          <w:tcPr>
            <w:tcW w:w="458" w:type="dxa"/>
          </w:tcPr>
          <w:p>
            <w:pPr>
              <w:pStyle w:val="TableParagraph"/>
              <w:spacing w:before="40"/>
              <w:ind w:right="1"/>
              <w:rPr>
                <w:sz w:val="18"/>
              </w:rPr>
            </w:pPr>
            <w:r>
              <w:rPr>
                <w:color w:val="333333"/>
                <w:w w:val="99"/>
                <w:sz w:val="18"/>
              </w:rPr>
              <w:t>0</w:t>
            </w:r>
          </w:p>
        </w:tc>
        <w:tc>
          <w:tcPr>
            <w:tcW w:w="799" w:type="dxa"/>
          </w:tcPr>
          <w:p>
            <w:pPr>
              <w:pStyle w:val="TableParagraph"/>
              <w:spacing w:before="40"/>
              <w:ind w:right="5"/>
              <w:rPr>
                <w:sz w:val="18"/>
              </w:rPr>
            </w:pPr>
            <w:r>
              <w:rPr>
                <w:color w:val="333333"/>
                <w:w w:val="99"/>
                <w:sz w:val="18"/>
              </w:rPr>
              <w:t>0</w:t>
            </w:r>
          </w:p>
        </w:tc>
        <w:tc>
          <w:tcPr>
            <w:tcW w:w="802" w:type="dxa"/>
          </w:tcPr>
          <w:p>
            <w:pPr>
              <w:pStyle w:val="TableParagraph"/>
              <w:spacing w:before="40"/>
              <w:ind w:right="3"/>
              <w:rPr>
                <w:sz w:val="18"/>
              </w:rPr>
            </w:pPr>
            <w:r>
              <w:rPr>
                <w:color w:val="333333"/>
                <w:w w:val="99"/>
                <w:sz w:val="18"/>
              </w:rPr>
              <w:t>0</w:t>
            </w:r>
          </w:p>
        </w:tc>
        <w:tc>
          <w:tcPr>
            <w:tcW w:w="457" w:type="dxa"/>
          </w:tcPr>
          <w:p>
            <w:pPr>
              <w:pStyle w:val="TableParagraph"/>
              <w:spacing w:before="40"/>
              <w:ind w:right="172"/>
              <w:jc w:val="right"/>
              <w:rPr>
                <w:sz w:val="18"/>
              </w:rPr>
            </w:pPr>
            <w:r>
              <w:rPr>
                <w:color w:val="333333"/>
                <w:w w:val="99"/>
                <w:sz w:val="18"/>
              </w:rPr>
              <w:t>0</w:t>
            </w:r>
          </w:p>
        </w:tc>
        <w:tc>
          <w:tcPr>
            <w:tcW w:w="852" w:type="dxa"/>
          </w:tcPr>
          <w:p>
            <w:pPr>
              <w:pStyle w:val="TableParagraph"/>
              <w:spacing w:before="40"/>
              <w:ind w:right="1"/>
              <w:rPr>
                <w:sz w:val="18"/>
              </w:rPr>
            </w:pPr>
            <w:r>
              <w:rPr>
                <w:color w:val="333333"/>
                <w:w w:val="99"/>
                <w:sz w:val="18"/>
              </w:rPr>
              <w:t>0</w:t>
            </w:r>
          </w:p>
        </w:tc>
        <w:tc>
          <w:tcPr>
            <w:tcW w:w="456" w:type="dxa"/>
          </w:tcPr>
          <w:p>
            <w:pPr>
              <w:pStyle w:val="TableParagraph"/>
              <w:spacing w:before="40"/>
              <w:ind w:right="171"/>
              <w:jc w:val="right"/>
              <w:rPr>
                <w:sz w:val="18"/>
              </w:rPr>
            </w:pPr>
            <w:r>
              <w:rPr>
                <w:color w:val="333333"/>
                <w:w w:val="99"/>
                <w:sz w:val="18"/>
              </w:rPr>
              <w:t>0</w:t>
            </w:r>
          </w:p>
        </w:tc>
        <w:tc>
          <w:tcPr>
            <w:tcW w:w="475" w:type="dxa"/>
          </w:tcPr>
          <w:p>
            <w:pPr>
              <w:pStyle w:val="TableParagraph"/>
              <w:spacing w:before="40"/>
              <w:rPr>
                <w:sz w:val="18"/>
              </w:rPr>
            </w:pPr>
            <w:r>
              <w:rPr>
                <w:w w:val="99"/>
                <w:sz w:val="18"/>
              </w:rPr>
              <w:t>7</w:t>
            </w:r>
          </w:p>
        </w:tc>
      </w:tr>
      <w:tr>
        <w:trPr>
          <w:trHeight w:val="399" w:hRule="exact"/>
        </w:trPr>
        <w:tc>
          <w:tcPr>
            <w:tcW w:w="4277" w:type="dxa"/>
          </w:tcPr>
          <w:p>
            <w:pPr>
              <w:pStyle w:val="TableParagraph"/>
              <w:spacing w:before="35"/>
              <w:ind w:left="64"/>
              <w:jc w:val="left"/>
              <w:rPr>
                <w:b/>
                <w:sz w:val="18"/>
              </w:rPr>
            </w:pPr>
            <w:r>
              <w:rPr>
                <w:b/>
                <w:color w:val="333333"/>
                <w:sz w:val="18"/>
              </w:rPr>
              <w:t>CUAUTITLAN</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right="1"/>
              <w:rPr>
                <w:sz w:val="18"/>
              </w:rPr>
            </w:pPr>
            <w:r>
              <w:rPr>
                <w:color w:val="333333"/>
                <w:w w:val="99"/>
                <w:sz w:val="18"/>
              </w:rPr>
              <w:t>0</w:t>
            </w:r>
          </w:p>
        </w:tc>
        <w:tc>
          <w:tcPr>
            <w:tcW w:w="456" w:type="dxa"/>
          </w:tcPr>
          <w:p>
            <w:pPr>
              <w:pStyle w:val="TableParagraph"/>
              <w:spacing w:before="40"/>
              <w:ind w:left="172"/>
              <w:jc w:val="left"/>
              <w:rPr>
                <w:sz w:val="18"/>
              </w:rPr>
            </w:pPr>
            <w:r>
              <w:rPr>
                <w:color w:val="006000"/>
                <w:w w:val="99"/>
                <w:sz w:val="18"/>
              </w:rPr>
              <w:t>8</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right="122"/>
              <w:jc w:val="right"/>
              <w:rPr>
                <w:sz w:val="18"/>
              </w:rPr>
            </w:pPr>
            <w:r>
              <w:rPr>
                <w:color w:val="006000"/>
                <w:w w:val="95"/>
                <w:sz w:val="18"/>
              </w:rPr>
              <w:t>16</w:t>
            </w:r>
          </w:p>
        </w:tc>
        <w:tc>
          <w:tcPr>
            <w:tcW w:w="456" w:type="dxa"/>
          </w:tcPr>
          <w:p>
            <w:pPr>
              <w:pStyle w:val="TableParagraph"/>
              <w:spacing w:before="40"/>
              <w:ind w:left="172"/>
              <w:jc w:val="left"/>
              <w:rPr>
                <w:sz w:val="18"/>
              </w:rPr>
            </w:pPr>
            <w:r>
              <w:rPr>
                <w:color w:val="006000"/>
                <w:w w:val="99"/>
                <w:sz w:val="18"/>
              </w:rPr>
              <w:t>8</w:t>
            </w:r>
          </w:p>
        </w:tc>
        <w:tc>
          <w:tcPr>
            <w:tcW w:w="458" w:type="dxa"/>
          </w:tcPr>
          <w:p>
            <w:pPr>
              <w:pStyle w:val="TableParagraph"/>
              <w:spacing w:before="40"/>
              <w:ind w:left="53" w:right="53"/>
              <w:rPr>
                <w:sz w:val="18"/>
              </w:rPr>
            </w:pPr>
            <w:r>
              <w:rPr>
                <w:color w:val="006000"/>
                <w:sz w:val="18"/>
              </w:rPr>
              <w:t>12</w:t>
            </w:r>
          </w:p>
        </w:tc>
        <w:tc>
          <w:tcPr>
            <w:tcW w:w="456" w:type="dxa"/>
          </w:tcPr>
          <w:p>
            <w:pPr>
              <w:pStyle w:val="TableParagraph"/>
              <w:spacing w:before="40"/>
              <w:rPr>
                <w:sz w:val="18"/>
              </w:rPr>
            </w:pPr>
            <w:r>
              <w:rPr>
                <w:color w:val="333333"/>
                <w:w w:val="99"/>
                <w:sz w:val="18"/>
              </w:rPr>
              <w:t>0</w:t>
            </w:r>
          </w:p>
        </w:tc>
        <w:tc>
          <w:tcPr>
            <w:tcW w:w="458" w:type="dxa"/>
          </w:tcPr>
          <w:p>
            <w:pPr>
              <w:pStyle w:val="TableParagraph"/>
              <w:spacing w:before="40"/>
              <w:ind w:right="1"/>
              <w:rPr>
                <w:sz w:val="18"/>
              </w:rPr>
            </w:pPr>
            <w:r>
              <w:rPr>
                <w:color w:val="333333"/>
                <w:w w:val="99"/>
                <w:sz w:val="18"/>
              </w:rPr>
              <w:t>0</w:t>
            </w:r>
          </w:p>
        </w:tc>
        <w:tc>
          <w:tcPr>
            <w:tcW w:w="799" w:type="dxa"/>
          </w:tcPr>
          <w:p>
            <w:pPr>
              <w:pStyle w:val="TableParagraph"/>
              <w:spacing w:before="40"/>
              <w:ind w:right="5"/>
              <w:rPr>
                <w:sz w:val="18"/>
              </w:rPr>
            </w:pPr>
            <w:r>
              <w:rPr>
                <w:color w:val="006000"/>
                <w:w w:val="99"/>
                <w:sz w:val="18"/>
              </w:rPr>
              <w:t>1</w:t>
            </w:r>
          </w:p>
        </w:tc>
        <w:tc>
          <w:tcPr>
            <w:tcW w:w="802" w:type="dxa"/>
          </w:tcPr>
          <w:p>
            <w:pPr>
              <w:pStyle w:val="TableParagraph"/>
              <w:spacing w:before="40"/>
              <w:ind w:right="3"/>
              <w:rPr>
                <w:sz w:val="18"/>
              </w:rPr>
            </w:pPr>
            <w:r>
              <w:rPr>
                <w:color w:val="006000"/>
                <w:w w:val="99"/>
                <w:sz w:val="18"/>
              </w:rPr>
              <w:t>2</w:t>
            </w:r>
          </w:p>
        </w:tc>
        <w:tc>
          <w:tcPr>
            <w:tcW w:w="457" w:type="dxa"/>
          </w:tcPr>
          <w:p>
            <w:pPr>
              <w:pStyle w:val="TableParagraph"/>
              <w:spacing w:before="40"/>
              <w:ind w:right="172"/>
              <w:jc w:val="right"/>
              <w:rPr>
                <w:sz w:val="18"/>
              </w:rPr>
            </w:pPr>
            <w:r>
              <w:rPr>
                <w:color w:val="333333"/>
                <w:w w:val="99"/>
                <w:sz w:val="18"/>
              </w:rPr>
              <w:t>0</w:t>
            </w:r>
          </w:p>
        </w:tc>
        <w:tc>
          <w:tcPr>
            <w:tcW w:w="852" w:type="dxa"/>
          </w:tcPr>
          <w:p>
            <w:pPr>
              <w:pStyle w:val="TableParagraph"/>
              <w:spacing w:before="40"/>
              <w:ind w:right="1"/>
              <w:rPr>
                <w:sz w:val="18"/>
              </w:rPr>
            </w:pPr>
            <w:r>
              <w:rPr>
                <w:color w:val="333333"/>
                <w:w w:val="99"/>
                <w:sz w:val="18"/>
              </w:rPr>
              <w:t>0</w:t>
            </w:r>
          </w:p>
        </w:tc>
        <w:tc>
          <w:tcPr>
            <w:tcW w:w="456" w:type="dxa"/>
          </w:tcPr>
          <w:p>
            <w:pPr>
              <w:pStyle w:val="TableParagraph"/>
              <w:spacing w:before="40"/>
              <w:ind w:right="120"/>
              <w:jc w:val="right"/>
              <w:rPr>
                <w:sz w:val="18"/>
              </w:rPr>
            </w:pPr>
            <w:r>
              <w:rPr>
                <w:color w:val="006000"/>
                <w:w w:val="95"/>
                <w:sz w:val="18"/>
              </w:rPr>
              <w:t>51</w:t>
            </w:r>
          </w:p>
        </w:tc>
        <w:tc>
          <w:tcPr>
            <w:tcW w:w="475" w:type="dxa"/>
          </w:tcPr>
          <w:p>
            <w:pPr>
              <w:pStyle w:val="TableParagraph"/>
              <w:spacing w:before="40"/>
              <w:ind w:left="60" w:right="60"/>
              <w:rPr>
                <w:sz w:val="18"/>
              </w:rPr>
            </w:pPr>
            <w:r>
              <w:rPr>
                <w:sz w:val="18"/>
              </w:rPr>
              <w:t>100</w:t>
            </w:r>
          </w:p>
        </w:tc>
      </w:tr>
      <w:tr>
        <w:trPr>
          <w:trHeight w:val="401" w:hRule="exact"/>
        </w:trPr>
        <w:tc>
          <w:tcPr>
            <w:tcW w:w="4277" w:type="dxa"/>
          </w:tcPr>
          <w:p>
            <w:pPr>
              <w:pStyle w:val="TableParagraph"/>
              <w:spacing w:before="35"/>
              <w:ind w:left="64"/>
              <w:jc w:val="left"/>
              <w:rPr>
                <w:b/>
                <w:sz w:val="18"/>
              </w:rPr>
            </w:pPr>
            <w:r>
              <w:rPr>
                <w:b/>
                <w:color w:val="333333"/>
                <w:sz w:val="18"/>
              </w:rPr>
              <w:t>CUAUTITLAN IZCALLI</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right="1"/>
              <w:rPr>
                <w:sz w:val="18"/>
              </w:rPr>
            </w:pPr>
            <w:r>
              <w:rPr>
                <w:color w:val="333333"/>
                <w:w w:val="99"/>
                <w:sz w:val="18"/>
              </w:rPr>
              <w:t>0</w:t>
            </w:r>
          </w:p>
        </w:tc>
        <w:tc>
          <w:tcPr>
            <w:tcW w:w="456" w:type="dxa"/>
          </w:tcPr>
          <w:p>
            <w:pPr>
              <w:pStyle w:val="TableParagraph"/>
              <w:spacing w:before="40"/>
              <w:ind w:left="122"/>
              <w:jc w:val="left"/>
              <w:rPr>
                <w:sz w:val="18"/>
              </w:rPr>
            </w:pPr>
            <w:r>
              <w:rPr>
                <w:color w:val="006000"/>
                <w:sz w:val="18"/>
              </w:rPr>
              <w:t>10</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right="122"/>
              <w:jc w:val="right"/>
              <w:rPr>
                <w:sz w:val="18"/>
              </w:rPr>
            </w:pPr>
            <w:r>
              <w:rPr>
                <w:color w:val="006000"/>
                <w:w w:val="95"/>
                <w:sz w:val="18"/>
              </w:rPr>
              <w:t>19</w:t>
            </w:r>
          </w:p>
        </w:tc>
        <w:tc>
          <w:tcPr>
            <w:tcW w:w="456" w:type="dxa"/>
          </w:tcPr>
          <w:p>
            <w:pPr>
              <w:pStyle w:val="TableParagraph"/>
              <w:spacing w:before="40"/>
              <w:ind w:left="172"/>
              <w:jc w:val="left"/>
              <w:rPr>
                <w:sz w:val="18"/>
              </w:rPr>
            </w:pPr>
            <w:r>
              <w:rPr>
                <w:color w:val="006000"/>
                <w:w w:val="99"/>
                <w:sz w:val="18"/>
              </w:rPr>
              <w:t>9</w:t>
            </w:r>
          </w:p>
        </w:tc>
        <w:tc>
          <w:tcPr>
            <w:tcW w:w="458" w:type="dxa"/>
          </w:tcPr>
          <w:p>
            <w:pPr>
              <w:pStyle w:val="TableParagraph"/>
              <w:spacing w:before="40"/>
              <w:ind w:left="53" w:right="53"/>
              <w:rPr>
                <w:sz w:val="18"/>
              </w:rPr>
            </w:pPr>
            <w:r>
              <w:rPr>
                <w:color w:val="006000"/>
                <w:sz w:val="18"/>
              </w:rPr>
              <w:t>19</w:t>
            </w:r>
          </w:p>
        </w:tc>
        <w:tc>
          <w:tcPr>
            <w:tcW w:w="456" w:type="dxa"/>
          </w:tcPr>
          <w:p>
            <w:pPr>
              <w:pStyle w:val="TableParagraph"/>
              <w:spacing w:before="40"/>
              <w:rPr>
                <w:sz w:val="18"/>
              </w:rPr>
            </w:pPr>
            <w:r>
              <w:rPr>
                <w:color w:val="333333"/>
                <w:w w:val="99"/>
                <w:sz w:val="18"/>
              </w:rPr>
              <w:t>0</w:t>
            </w:r>
          </w:p>
        </w:tc>
        <w:tc>
          <w:tcPr>
            <w:tcW w:w="458" w:type="dxa"/>
          </w:tcPr>
          <w:p>
            <w:pPr>
              <w:pStyle w:val="TableParagraph"/>
              <w:spacing w:before="40"/>
              <w:ind w:right="1"/>
              <w:rPr>
                <w:sz w:val="18"/>
              </w:rPr>
            </w:pPr>
            <w:r>
              <w:rPr>
                <w:color w:val="333333"/>
                <w:w w:val="99"/>
                <w:sz w:val="18"/>
              </w:rPr>
              <w:t>0</w:t>
            </w:r>
          </w:p>
        </w:tc>
        <w:tc>
          <w:tcPr>
            <w:tcW w:w="799" w:type="dxa"/>
          </w:tcPr>
          <w:p>
            <w:pPr>
              <w:pStyle w:val="TableParagraph"/>
              <w:spacing w:before="40"/>
              <w:ind w:right="5"/>
              <w:rPr>
                <w:sz w:val="18"/>
              </w:rPr>
            </w:pPr>
            <w:r>
              <w:rPr>
                <w:color w:val="006000"/>
                <w:w w:val="99"/>
                <w:sz w:val="18"/>
              </w:rPr>
              <w:t>1</w:t>
            </w:r>
          </w:p>
        </w:tc>
        <w:tc>
          <w:tcPr>
            <w:tcW w:w="802" w:type="dxa"/>
          </w:tcPr>
          <w:p>
            <w:pPr>
              <w:pStyle w:val="TableParagraph"/>
              <w:spacing w:before="40"/>
              <w:ind w:right="3"/>
              <w:rPr>
                <w:sz w:val="18"/>
              </w:rPr>
            </w:pPr>
            <w:r>
              <w:rPr>
                <w:color w:val="006000"/>
                <w:w w:val="99"/>
                <w:sz w:val="18"/>
              </w:rPr>
              <w:t>2</w:t>
            </w:r>
          </w:p>
        </w:tc>
        <w:tc>
          <w:tcPr>
            <w:tcW w:w="457" w:type="dxa"/>
          </w:tcPr>
          <w:p>
            <w:pPr>
              <w:pStyle w:val="TableParagraph"/>
              <w:spacing w:before="40"/>
              <w:ind w:right="172"/>
              <w:jc w:val="right"/>
              <w:rPr>
                <w:sz w:val="18"/>
              </w:rPr>
            </w:pPr>
            <w:r>
              <w:rPr>
                <w:color w:val="333333"/>
                <w:w w:val="99"/>
                <w:sz w:val="18"/>
              </w:rPr>
              <w:t>0</w:t>
            </w:r>
          </w:p>
        </w:tc>
        <w:tc>
          <w:tcPr>
            <w:tcW w:w="852" w:type="dxa"/>
          </w:tcPr>
          <w:p>
            <w:pPr>
              <w:pStyle w:val="TableParagraph"/>
              <w:spacing w:before="40"/>
              <w:ind w:right="1"/>
              <w:rPr>
                <w:sz w:val="18"/>
              </w:rPr>
            </w:pPr>
            <w:r>
              <w:rPr>
                <w:color w:val="333333"/>
                <w:w w:val="99"/>
                <w:sz w:val="18"/>
              </w:rPr>
              <w:t>0</w:t>
            </w:r>
          </w:p>
        </w:tc>
        <w:tc>
          <w:tcPr>
            <w:tcW w:w="456" w:type="dxa"/>
          </w:tcPr>
          <w:p>
            <w:pPr>
              <w:pStyle w:val="TableParagraph"/>
              <w:spacing w:before="40"/>
              <w:ind w:right="171"/>
              <w:jc w:val="right"/>
              <w:rPr>
                <w:sz w:val="18"/>
              </w:rPr>
            </w:pPr>
            <w:r>
              <w:rPr>
                <w:color w:val="006000"/>
                <w:w w:val="99"/>
                <w:sz w:val="18"/>
              </w:rPr>
              <w:t>9</w:t>
            </w:r>
          </w:p>
        </w:tc>
        <w:tc>
          <w:tcPr>
            <w:tcW w:w="475" w:type="dxa"/>
          </w:tcPr>
          <w:p>
            <w:pPr>
              <w:pStyle w:val="TableParagraph"/>
              <w:spacing w:before="40"/>
              <w:ind w:left="60" w:right="60"/>
              <w:rPr>
                <w:sz w:val="18"/>
              </w:rPr>
            </w:pPr>
            <w:r>
              <w:rPr>
                <w:sz w:val="18"/>
              </w:rPr>
              <w:t>71</w:t>
            </w:r>
          </w:p>
        </w:tc>
      </w:tr>
      <w:tr>
        <w:trPr>
          <w:trHeight w:val="401" w:hRule="exact"/>
        </w:trPr>
        <w:tc>
          <w:tcPr>
            <w:tcW w:w="4277" w:type="dxa"/>
          </w:tcPr>
          <w:p>
            <w:pPr>
              <w:pStyle w:val="TableParagraph"/>
              <w:spacing w:before="35"/>
              <w:ind w:left="64"/>
              <w:jc w:val="left"/>
              <w:rPr>
                <w:b/>
                <w:sz w:val="18"/>
              </w:rPr>
            </w:pPr>
            <w:r>
              <w:rPr>
                <w:b/>
                <w:color w:val="333333"/>
                <w:sz w:val="18"/>
              </w:rPr>
              <w:t>DONATO GUERRA</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right="1"/>
              <w:rPr>
                <w:sz w:val="18"/>
              </w:rPr>
            </w:pPr>
            <w:r>
              <w:rPr>
                <w:color w:val="333333"/>
                <w:w w:val="99"/>
                <w:sz w:val="18"/>
              </w:rPr>
              <w:t>0</w:t>
            </w:r>
          </w:p>
        </w:tc>
        <w:tc>
          <w:tcPr>
            <w:tcW w:w="456" w:type="dxa"/>
          </w:tcPr>
          <w:p>
            <w:pPr>
              <w:pStyle w:val="TableParagraph"/>
              <w:spacing w:before="40"/>
              <w:ind w:left="172"/>
              <w:jc w:val="left"/>
              <w:rPr>
                <w:sz w:val="18"/>
              </w:rPr>
            </w:pPr>
            <w:r>
              <w:rPr>
                <w:color w:val="006000"/>
                <w:w w:val="99"/>
                <w:sz w:val="18"/>
              </w:rPr>
              <w:t>6</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right="122"/>
              <w:jc w:val="right"/>
              <w:rPr>
                <w:sz w:val="18"/>
              </w:rPr>
            </w:pPr>
            <w:r>
              <w:rPr>
                <w:color w:val="006000"/>
                <w:w w:val="95"/>
                <w:sz w:val="18"/>
              </w:rPr>
              <w:t>11</w:t>
            </w:r>
          </w:p>
        </w:tc>
        <w:tc>
          <w:tcPr>
            <w:tcW w:w="456" w:type="dxa"/>
          </w:tcPr>
          <w:p>
            <w:pPr>
              <w:pStyle w:val="TableParagraph"/>
              <w:spacing w:before="40"/>
              <w:ind w:left="172"/>
              <w:jc w:val="left"/>
              <w:rPr>
                <w:sz w:val="18"/>
              </w:rPr>
            </w:pPr>
            <w:r>
              <w:rPr>
                <w:color w:val="006000"/>
                <w:w w:val="99"/>
                <w:sz w:val="18"/>
              </w:rPr>
              <w:t>6</w:t>
            </w:r>
          </w:p>
        </w:tc>
        <w:tc>
          <w:tcPr>
            <w:tcW w:w="458" w:type="dxa"/>
          </w:tcPr>
          <w:p>
            <w:pPr>
              <w:pStyle w:val="TableParagraph"/>
              <w:spacing w:before="40"/>
              <w:ind w:right="1"/>
              <w:rPr>
                <w:sz w:val="18"/>
              </w:rPr>
            </w:pPr>
            <w:r>
              <w:rPr>
                <w:color w:val="006000"/>
                <w:w w:val="99"/>
                <w:sz w:val="18"/>
              </w:rPr>
              <w:t>1</w:t>
            </w:r>
          </w:p>
        </w:tc>
        <w:tc>
          <w:tcPr>
            <w:tcW w:w="456" w:type="dxa"/>
          </w:tcPr>
          <w:p>
            <w:pPr>
              <w:pStyle w:val="TableParagraph"/>
              <w:spacing w:before="40"/>
              <w:rPr>
                <w:sz w:val="18"/>
              </w:rPr>
            </w:pPr>
            <w:r>
              <w:rPr>
                <w:color w:val="333333"/>
                <w:w w:val="99"/>
                <w:sz w:val="18"/>
              </w:rPr>
              <w:t>0</w:t>
            </w:r>
          </w:p>
        </w:tc>
        <w:tc>
          <w:tcPr>
            <w:tcW w:w="458" w:type="dxa"/>
          </w:tcPr>
          <w:p>
            <w:pPr>
              <w:pStyle w:val="TableParagraph"/>
              <w:spacing w:before="40"/>
              <w:ind w:right="1"/>
              <w:rPr>
                <w:sz w:val="18"/>
              </w:rPr>
            </w:pPr>
            <w:r>
              <w:rPr>
                <w:color w:val="333333"/>
                <w:w w:val="99"/>
                <w:sz w:val="18"/>
              </w:rPr>
              <w:t>0</w:t>
            </w:r>
          </w:p>
        </w:tc>
        <w:tc>
          <w:tcPr>
            <w:tcW w:w="799" w:type="dxa"/>
          </w:tcPr>
          <w:p>
            <w:pPr>
              <w:pStyle w:val="TableParagraph"/>
              <w:spacing w:before="40"/>
              <w:ind w:right="5"/>
              <w:rPr>
                <w:sz w:val="18"/>
              </w:rPr>
            </w:pPr>
            <w:r>
              <w:rPr>
                <w:color w:val="333333"/>
                <w:w w:val="99"/>
                <w:sz w:val="18"/>
              </w:rPr>
              <w:t>0</w:t>
            </w:r>
          </w:p>
        </w:tc>
        <w:tc>
          <w:tcPr>
            <w:tcW w:w="802" w:type="dxa"/>
          </w:tcPr>
          <w:p>
            <w:pPr>
              <w:pStyle w:val="TableParagraph"/>
              <w:spacing w:before="40"/>
              <w:ind w:right="3"/>
              <w:rPr>
                <w:sz w:val="18"/>
              </w:rPr>
            </w:pPr>
            <w:r>
              <w:rPr>
                <w:color w:val="333333"/>
                <w:w w:val="99"/>
                <w:sz w:val="18"/>
              </w:rPr>
              <w:t>0</w:t>
            </w:r>
          </w:p>
        </w:tc>
        <w:tc>
          <w:tcPr>
            <w:tcW w:w="457" w:type="dxa"/>
          </w:tcPr>
          <w:p>
            <w:pPr>
              <w:pStyle w:val="TableParagraph"/>
              <w:spacing w:before="40"/>
              <w:ind w:right="172"/>
              <w:jc w:val="right"/>
              <w:rPr>
                <w:sz w:val="18"/>
              </w:rPr>
            </w:pPr>
            <w:r>
              <w:rPr>
                <w:color w:val="333333"/>
                <w:w w:val="99"/>
                <w:sz w:val="18"/>
              </w:rPr>
              <w:t>0</w:t>
            </w:r>
          </w:p>
        </w:tc>
        <w:tc>
          <w:tcPr>
            <w:tcW w:w="852" w:type="dxa"/>
          </w:tcPr>
          <w:p>
            <w:pPr>
              <w:pStyle w:val="TableParagraph"/>
              <w:spacing w:before="40"/>
              <w:ind w:right="1"/>
              <w:rPr>
                <w:sz w:val="18"/>
              </w:rPr>
            </w:pPr>
            <w:r>
              <w:rPr>
                <w:color w:val="333333"/>
                <w:w w:val="99"/>
                <w:sz w:val="18"/>
              </w:rPr>
              <w:t>0</w:t>
            </w:r>
          </w:p>
        </w:tc>
        <w:tc>
          <w:tcPr>
            <w:tcW w:w="456" w:type="dxa"/>
          </w:tcPr>
          <w:p>
            <w:pPr>
              <w:pStyle w:val="TableParagraph"/>
              <w:spacing w:before="40"/>
              <w:ind w:right="171"/>
              <w:jc w:val="right"/>
              <w:rPr>
                <w:sz w:val="18"/>
              </w:rPr>
            </w:pPr>
            <w:r>
              <w:rPr>
                <w:color w:val="333333"/>
                <w:w w:val="99"/>
                <w:sz w:val="18"/>
              </w:rPr>
              <w:t>0</w:t>
            </w:r>
          </w:p>
        </w:tc>
        <w:tc>
          <w:tcPr>
            <w:tcW w:w="475" w:type="dxa"/>
          </w:tcPr>
          <w:p>
            <w:pPr>
              <w:pStyle w:val="TableParagraph"/>
              <w:spacing w:before="40"/>
              <w:ind w:left="60" w:right="60"/>
              <w:rPr>
                <w:sz w:val="18"/>
              </w:rPr>
            </w:pPr>
            <w:r>
              <w:rPr>
                <w:sz w:val="18"/>
              </w:rPr>
              <w:t>26</w:t>
            </w:r>
          </w:p>
        </w:tc>
      </w:tr>
      <w:tr>
        <w:trPr>
          <w:trHeight w:val="398" w:hRule="exact"/>
        </w:trPr>
        <w:tc>
          <w:tcPr>
            <w:tcW w:w="4277" w:type="dxa"/>
          </w:tcPr>
          <w:p>
            <w:pPr>
              <w:pStyle w:val="TableParagraph"/>
              <w:spacing w:before="35"/>
              <w:ind w:left="64"/>
              <w:jc w:val="left"/>
              <w:rPr>
                <w:b/>
                <w:sz w:val="18"/>
              </w:rPr>
            </w:pPr>
            <w:r>
              <w:rPr>
                <w:b/>
                <w:color w:val="333333"/>
                <w:sz w:val="18"/>
              </w:rPr>
              <w:t>ECATEPEC DE MORELOS</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right="1"/>
              <w:rPr>
                <w:sz w:val="18"/>
              </w:rPr>
            </w:pPr>
            <w:r>
              <w:rPr>
                <w:color w:val="333333"/>
                <w:w w:val="99"/>
                <w:sz w:val="18"/>
              </w:rPr>
              <w:t>0</w:t>
            </w:r>
          </w:p>
        </w:tc>
        <w:tc>
          <w:tcPr>
            <w:tcW w:w="456" w:type="dxa"/>
          </w:tcPr>
          <w:p>
            <w:pPr>
              <w:pStyle w:val="TableParagraph"/>
              <w:spacing w:before="40"/>
              <w:ind w:left="172"/>
              <w:jc w:val="left"/>
              <w:rPr>
                <w:sz w:val="18"/>
              </w:rPr>
            </w:pPr>
            <w:r>
              <w:rPr>
                <w:color w:val="006000"/>
                <w:w w:val="99"/>
                <w:sz w:val="18"/>
              </w:rPr>
              <w:t>7</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right="122"/>
              <w:jc w:val="right"/>
              <w:rPr>
                <w:sz w:val="18"/>
              </w:rPr>
            </w:pPr>
            <w:r>
              <w:rPr>
                <w:color w:val="006000"/>
                <w:w w:val="95"/>
                <w:sz w:val="18"/>
              </w:rPr>
              <w:t>14</w:t>
            </w:r>
          </w:p>
        </w:tc>
        <w:tc>
          <w:tcPr>
            <w:tcW w:w="456" w:type="dxa"/>
          </w:tcPr>
          <w:p>
            <w:pPr>
              <w:pStyle w:val="TableParagraph"/>
              <w:spacing w:before="40"/>
              <w:ind w:left="122"/>
              <w:jc w:val="left"/>
              <w:rPr>
                <w:sz w:val="18"/>
              </w:rPr>
            </w:pPr>
            <w:r>
              <w:rPr>
                <w:color w:val="006000"/>
                <w:sz w:val="18"/>
              </w:rPr>
              <w:t>10</w:t>
            </w:r>
          </w:p>
        </w:tc>
        <w:tc>
          <w:tcPr>
            <w:tcW w:w="458" w:type="dxa"/>
          </w:tcPr>
          <w:p>
            <w:pPr>
              <w:pStyle w:val="TableParagraph"/>
              <w:spacing w:before="40"/>
              <w:ind w:left="53" w:right="53"/>
              <w:rPr>
                <w:sz w:val="18"/>
              </w:rPr>
            </w:pPr>
            <w:r>
              <w:rPr>
                <w:color w:val="006000"/>
                <w:sz w:val="18"/>
              </w:rPr>
              <w:t>31</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right="1"/>
              <w:rPr>
                <w:sz w:val="18"/>
              </w:rPr>
            </w:pPr>
            <w:r>
              <w:rPr>
                <w:color w:val="333333"/>
                <w:w w:val="99"/>
                <w:sz w:val="18"/>
              </w:rPr>
              <w:t>0</w:t>
            </w:r>
          </w:p>
        </w:tc>
        <w:tc>
          <w:tcPr>
            <w:tcW w:w="799" w:type="dxa"/>
          </w:tcPr>
          <w:p>
            <w:pPr>
              <w:pStyle w:val="TableParagraph"/>
              <w:spacing w:before="40"/>
              <w:ind w:right="5"/>
              <w:rPr>
                <w:sz w:val="18"/>
              </w:rPr>
            </w:pPr>
            <w:r>
              <w:rPr>
                <w:color w:val="006000"/>
                <w:w w:val="99"/>
                <w:sz w:val="18"/>
              </w:rPr>
              <w:t>5</w:t>
            </w:r>
          </w:p>
        </w:tc>
        <w:tc>
          <w:tcPr>
            <w:tcW w:w="802" w:type="dxa"/>
          </w:tcPr>
          <w:p>
            <w:pPr>
              <w:pStyle w:val="TableParagraph"/>
              <w:spacing w:before="40"/>
              <w:ind w:right="3"/>
              <w:rPr>
                <w:sz w:val="18"/>
              </w:rPr>
            </w:pPr>
            <w:r>
              <w:rPr>
                <w:color w:val="006000"/>
                <w:w w:val="99"/>
                <w:sz w:val="18"/>
              </w:rPr>
              <w:t>6</w:t>
            </w:r>
          </w:p>
        </w:tc>
        <w:tc>
          <w:tcPr>
            <w:tcW w:w="457" w:type="dxa"/>
          </w:tcPr>
          <w:p>
            <w:pPr>
              <w:pStyle w:val="TableParagraph"/>
              <w:spacing w:before="40"/>
              <w:ind w:right="172"/>
              <w:jc w:val="right"/>
              <w:rPr>
                <w:sz w:val="18"/>
              </w:rPr>
            </w:pPr>
            <w:r>
              <w:rPr>
                <w:color w:val="333333"/>
                <w:w w:val="99"/>
                <w:sz w:val="18"/>
              </w:rPr>
              <w:t>0</w:t>
            </w:r>
          </w:p>
        </w:tc>
        <w:tc>
          <w:tcPr>
            <w:tcW w:w="852" w:type="dxa"/>
          </w:tcPr>
          <w:p>
            <w:pPr>
              <w:pStyle w:val="TableParagraph"/>
              <w:spacing w:before="40"/>
              <w:ind w:right="1"/>
              <w:rPr>
                <w:sz w:val="18"/>
              </w:rPr>
            </w:pPr>
            <w:r>
              <w:rPr>
                <w:color w:val="333333"/>
                <w:w w:val="99"/>
                <w:sz w:val="18"/>
              </w:rPr>
              <w:t>0</w:t>
            </w:r>
          </w:p>
        </w:tc>
        <w:tc>
          <w:tcPr>
            <w:tcW w:w="456" w:type="dxa"/>
          </w:tcPr>
          <w:p>
            <w:pPr>
              <w:pStyle w:val="TableParagraph"/>
              <w:spacing w:before="40"/>
              <w:ind w:right="171"/>
              <w:jc w:val="right"/>
              <w:rPr>
                <w:sz w:val="18"/>
              </w:rPr>
            </w:pPr>
            <w:r>
              <w:rPr>
                <w:color w:val="006000"/>
                <w:w w:val="99"/>
                <w:sz w:val="18"/>
              </w:rPr>
              <w:t>5</w:t>
            </w:r>
          </w:p>
        </w:tc>
        <w:tc>
          <w:tcPr>
            <w:tcW w:w="475" w:type="dxa"/>
          </w:tcPr>
          <w:p>
            <w:pPr>
              <w:pStyle w:val="TableParagraph"/>
              <w:spacing w:before="40"/>
              <w:ind w:left="60" w:right="60"/>
              <w:rPr>
                <w:sz w:val="18"/>
              </w:rPr>
            </w:pPr>
            <w:r>
              <w:rPr>
                <w:sz w:val="18"/>
              </w:rPr>
              <w:t>81</w:t>
            </w:r>
          </w:p>
        </w:tc>
      </w:tr>
      <w:tr>
        <w:trPr>
          <w:trHeight w:val="401" w:hRule="exact"/>
        </w:trPr>
        <w:tc>
          <w:tcPr>
            <w:tcW w:w="4277" w:type="dxa"/>
          </w:tcPr>
          <w:p>
            <w:pPr>
              <w:pStyle w:val="TableParagraph"/>
              <w:spacing w:before="35"/>
              <w:ind w:left="64"/>
              <w:jc w:val="left"/>
              <w:rPr>
                <w:b/>
                <w:sz w:val="18"/>
              </w:rPr>
            </w:pPr>
            <w:r>
              <w:rPr>
                <w:b/>
                <w:color w:val="333333"/>
                <w:sz w:val="18"/>
              </w:rPr>
              <w:t>ECATZINGO</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right="1"/>
              <w:rPr>
                <w:sz w:val="18"/>
              </w:rPr>
            </w:pPr>
            <w:r>
              <w:rPr>
                <w:color w:val="333333"/>
                <w:w w:val="99"/>
                <w:sz w:val="18"/>
              </w:rPr>
              <w:t>0</w:t>
            </w:r>
          </w:p>
        </w:tc>
        <w:tc>
          <w:tcPr>
            <w:tcW w:w="456" w:type="dxa"/>
          </w:tcPr>
          <w:p>
            <w:pPr>
              <w:pStyle w:val="TableParagraph"/>
              <w:spacing w:before="40"/>
              <w:ind w:left="172"/>
              <w:jc w:val="left"/>
              <w:rPr>
                <w:sz w:val="18"/>
              </w:rPr>
            </w:pPr>
            <w:r>
              <w:rPr>
                <w:color w:val="006000"/>
                <w:w w:val="99"/>
                <w:sz w:val="18"/>
              </w:rPr>
              <w:t>3</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right="173"/>
              <w:jc w:val="right"/>
              <w:rPr>
                <w:sz w:val="18"/>
              </w:rPr>
            </w:pPr>
            <w:r>
              <w:rPr>
                <w:color w:val="333333"/>
                <w:w w:val="99"/>
                <w:sz w:val="18"/>
              </w:rPr>
              <w:t>0</w:t>
            </w:r>
          </w:p>
        </w:tc>
        <w:tc>
          <w:tcPr>
            <w:tcW w:w="456" w:type="dxa"/>
          </w:tcPr>
          <w:p>
            <w:pPr>
              <w:pStyle w:val="TableParagraph"/>
              <w:spacing w:before="40"/>
              <w:ind w:left="172"/>
              <w:jc w:val="left"/>
              <w:rPr>
                <w:sz w:val="18"/>
              </w:rPr>
            </w:pPr>
            <w:r>
              <w:rPr>
                <w:color w:val="333333"/>
                <w:w w:val="99"/>
                <w:sz w:val="18"/>
              </w:rPr>
              <w:t>0</w:t>
            </w:r>
          </w:p>
        </w:tc>
        <w:tc>
          <w:tcPr>
            <w:tcW w:w="458" w:type="dxa"/>
          </w:tcPr>
          <w:p>
            <w:pPr>
              <w:pStyle w:val="TableParagraph"/>
              <w:spacing w:before="40"/>
              <w:ind w:right="1"/>
              <w:rPr>
                <w:sz w:val="18"/>
              </w:rPr>
            </w:pPr>
            <w:r>
              <w:rPr>
                <w:color w:val="333333"/>
                <w:w w:val="99"/>
                <w:sz w:val="18"/>
              </w:rPr>
              <w:t>0</w:t>
            </w:r>
          </w:p>
        </w:tc>
        <w:tc>
          <w:tcPr>
            <w:tcW w:w="456" w:type="dxa"/>
          </w:tcPr>
          <w:p>
            <w:pPr>
              <w:pStyle w:val="TableParagraph"/>
              <w:spacing w:before="40"/>
              <w:rPr>
                <w:sz w:val="18"/>
              </w:rPr>
            </w:pPr>
            <w:r>
              <w:rPr>
                <w:color w:val="333333"/>
                <w:w w:val="99"/>
                <w:sz w:val="18"/>
              </w:rPr>
              <w:t>0</w:t>
            </w:r>
          </w:p>
        </w:tc>
        <w:tc>
          <w:tcPr>
            <w:tcW w:w="458" w:type="dxa"/>
          </w:tcPr>
          <w:p>
            <w:pPr>
              <w:pStyle w:val="TableParagraph"/>
              <w:spacing w:before="40"/>
              <w:ind w:right="1"/>
              <w:rPr>
                <w:sz w:val="18"/>
              </w:rPr>
            </w:pPr>
            <w:r>
              <w:rPr>
                <w:color w:val="333333"/>
                <w:w w:val="99"/>
                <w:sz w:val="18"/>
              </w:rPr>
              <w:t>0</w:t>
            </w:r>
          </w:p>
        </w:tc>
        <w:tc>
          <w:tcPr>
            <w:tcW w:w="799" w:type="dxa"/>
          </w:tcPr>
          <w:p>
            <w:pPr>
              <w:pStyle w:val="TableParagraph"/>
              <w:spacing w:before="40"/>
              <w:ind w:right="5"/>
              <w:rPr>
                <w:sz w:val="18"/>
              </w:rPr>
            </w:pPr>
            <w:r>
              <w:rPr>
                <w:color w:val="333333"/>
                <w:w w:val="99"/>
                <w:sz w:val="18"/>
              </w:rPr>
              <w:t>0</w:t>
            </w:r>
          </w:p>
        </w:tc>
        <w:tc>
          <w:tcPr>
            <w:tcW w:w="802" w:type="dxa"/>
          </w:tcPr>
          <w:p>
            <w:pPr>
              <w:pStyle w:val="TableParagraph"/>
              <w:spacing w:before="40"/>
              <w:ind w:right="3"/>
              <w:rPr>
                <w:sz w:val="18"/>
              </w:rPr>
            </w:pPr>
            <w:r>
              <w:rPr>
                <w:color w:val="333333"/>
                <w:w w:val="99"/>
                <w:sz w:val="18"/>
              </w:rPr>
              <w:t>0</w:t>
            </w:r>
          </w:p>
        </w:tc>
        <w:tc>
          <w:tcPr>
            <w:tcW w:w="457" w:type="dxa"/>
          </w:tcPr>
          <w:p>
            <w:pPr>
              <w:pStyle w:val="TableParagraph"/>
              <w:spacing w:before="40"/>
              <w:ind w:right="172"/>
              <w:jc w:val="right"/>
              <w:rPr>
                <w:sz w:val="18"/>
              </w:rPr>
            </w:pPr>
            <w:r>
              <w:rPr>
                <w:color w:val="333333"/>
                <w:w w:val="99"/>
                <w:sz w:val="18"/>
              </w:rPr>
              <w:t>0</w:t>
            </w:r>
          </w:p>
        </w:tc>
        <w:tc>
          <w:tcPr>
            <w:tcW w:w="852" w:type="dxa"/>
          </w:tcPr>
          <w:p>
            <w:pPr>
              <w:pStyle w:val="TableParagraph"/>
              <w:spacing w:before="40"/>
              <w:ind w:right="1"/>
              <w:rPr>
                <w:sz w:val="18"/>
              </w:rPr>
            </w:pPr>
            <w:r>
              <w:rPr>
                <w:color w:val="333333"/>
                <w:w w:val="99"/>
                <w:sz w:val="18"/>
              </w:rPr>
              <w:t>0</w:t>
            </w:r>
          </w:p>
        </w:tc>
        <w:tc>
          <w:tcPr>
            <w:tcW w:w="456" w:type="dxa"/>
          </w:tcPr>
          <w:p>
            <w:pPr>
              <w:pStyle w:val="TableParagraph"/>
              <w:spacing w:before="40"/>
              <w:ind w:right="171"/>
              <w:jc w:val="right"/>
              <w:rPr>
                <w:sz w:val="18"/>
              </w:rPr>
            </w:pPr>
            <w:r>
              <w:rPr>
                <w:color w:val="333333"/>
                <w:w w:val="99"/>
                <w:sz w:val="18"/>
              </w:rPr>
              <w:t>0</w:t>
            </w:r>
          </w:p>
        </w:tc>
        <w:tc>
          <w:tcPr>
            <w:tcW w:w="475" w:type="dxa"/>
          </w:tcPr>
          <w:p>
            <w:pPr>
              <w:pStyle w:val="TableParagraph"/>
              <w:spacing w:before="40"/>
              <w:rPr>
                <w:sz w:val="18"/>
              </w:rPr>
            </w:pPr>
            <w:r>
              <w:rPr>
                <w:w w:val="99"/>
                <w:sz w:val="18"/>
              </w:rPr>
              <w:t>5</w:t>
            </w:r>
          </w:p>
        </w:tc>
      </w:tr>
      <w:tr>
        <w:trPr>
          <w:trHeight w:val="401" w:hRule="exact"/>
        </w:trPr>
        <w:tc>
          <w:tcPr>
            <w:tcW w:w="4277" w:type="dxa"/>
          </w:tcPr>
          <w:p>
            <w:pPr>
              <w:pStyle w:val="TableParagraph"/>
              <w:spacing w:before="35"/>
              <w:ind w:left="64"/>
              <w:jc w:val="left"/>
              <w:rPr>
                <w:b/>
                <w:sz w:val="18"/>
              </w:rPr>
            </w:pPr>
            <w:r>
              <w:rPr>
                <w:b/>
                <w:color w:val="333333"/>
                <w:sz w:val="18"/>
              </w:rPr>
              <w:t>EL ORO</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right="1"/>
              <w:rPr>
                <w:sz w:val="18"/>
              </w:rPr>
            </w:pPr>
            <w:r>
              <w:rPr>
                <w:color w:val="333333"/>
                <w:w w:val="99"/>
                <w:sz w:val="18"/>
              </w:rPr>
              <w:t>0</w:t>
            </w:r>
          </w:p>
        </w:tc>
        <w:tc>
          <w:tcPr>
            <w:tcW w:w="456" w:type="dxa"/>
          </w:tcPr>
          <w:p>
            <w:pPr>
              <w:pStyle w:val="TableParagraph"/>
              <w:spacing w:before="40"/>
              <w:ind w:left="172"/>
              <w:jc w:val="left"/>
              <w:rPr>
                <w:sz w:val="18"/>
              </w:rPr>
            </w:pPr>
            <w:r>
              <w:rPr>
                <w:color w:val="006000"/>
                <w:w w:val="99"/>
                <w:sz w:val="18"/>
              </w:rPr>
              <w:t>3</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right="122"/>
              <w:jc w:val="right"/>
              <w:rPr>
                <w:sz w:val="18"/>
              </w:rPr>
            </w:pPr>
            <w:r>
              <w:rPr>
                <w:color w:val="006000"/>
                <w:w w:val="95"/>
                <w:sz w:val="18"/>
              </w:rPr>
              <w:t>14</w:t>
            </w:r>
          </w:p>
        </w:tc>
        <w:tc>
          <w:tcPr>
            <w:tcW w:w="456" w:type="dxa"/>
          </w:tcPr>
          <w:p>
            <w:pPr>
              <w:pStyle w:val="TableParagraph"/>
              <w:spacing w:before="40"/>
              <w:ind w:left="172"/>
              <w:jc w:val="left"/>
              <w:rPr>
                <w:sz w:val="18"/>
              </w:rPr>
            </w:pPr>
            <w:r>
              <w:rPr>
                <w:color w:val="333333"/>
                <w:w w:val="99"/>
                <w:sz w:val="18"/>
              </w:rPr>
              <w:t>0</w:t>
            </w:r>
          </w:p>
        </w:tc>
        <w:tc>
          <w:tcPr>
            <w:tcW w:w="458" w:type="dxa"/>
          </w:tcPr>
          <w:p>
            <w:pPr>
              <w:pStyle w:val="TableParagraph"/>
              <w:spacing w:before="40"/>
              <w:ind w:left="53" w:right="53"/>
              <w:rPr>
                <w:sz w:val="18"/>
              </w:rPr>
            </w:pPr>
            <w:r>
              <w:rPr>
                <w:color w:val="006000"/>
                <w:sz w:val="18"/>
              </w:rPr>
              <w:t>22</w:t>
            </w:r>
          </w:p>
        </w:tc>
        <w:tc>
          <w:tcPr>
            <w:tcW w:w="456" w:type="dxa"/>
          </w:tcPr>
          <w:p>
            <w:pPr>
              <w:pStyle w:val="TableParagraph"/>
              <w:spacing w:before="40"/>
              <w:rPr>
                <w:sz w:val="18"/>
              </w:rPr>
            </w:pPr>
            <w:r>
              <w:rPr>
                <w:color w:val="333333"/>
                <w:w w:val="99"/>
                <w:sz w:val="18"/>
              </w:rPr>
              <w:t>0</w:t>
            </w:r>
          </w:p>
        </w:tc>
        <w:tc>
          <w:tcPr>
            <w:tcW w:w="458" w:type="dxa"/>
          </w:tcPr>
          <w:p>
            <w:pPr>
              <w:pStyle w:val="TableParagraph"/>
              <w:spacing w:before="40"/>
              <w:ind w:right="1"/>
              <w:rPr>
                <w:sz w:val="18"/>
              </w:rPr>
            </w:pPr>
            <w:r>
              <w:rPr>
                <w:color w:val="333333"/>
                <w:w w:val="99"/>
                <w:sz w:val="18"/>
              </w:rPr>
              <w:t>0</w:t>
            </w:r>
          </w:p>
        </w:tc>
        <w:tc>
          <w:tcPr>
            <w:tcW w:w="799" w:type="dxa"/>
          </w:tcPr>
          <w:p>
            <w:pPr>
              <w:pStyle w:val="TableParagraph"/>
              <w:spacing w:before="40"/>
              <w:ind w:right="5"/>
              <w:rPr>
                <w:sz w:val="18"/>
              </w:rPr>
            </w:pPr>
            <w:r>
              <w:rPr>
                <w:color w:val="333333"/>
                <w:w w:val="99"/>
                <w:sz w:val="18"/>
              </w:rPr>
              <w:t>0</w:t>
            </w:r>
          </w:p>
        </w:tc>
        <w:tc>
          <w:tcPr>
            <w:tcW w:w="802" w:type="dxa"/>
          </w:tcPr>
          <w:p>
            <w:pPr>
              <w:pStyle w:val="TableParagraph"/>
              <w:spacing w:before="40"/>
              <w:ind w:right="3"/>
              <w:rPr>
                <w:sz w:val="18"/>
              </w:rPr>
            </w:pPr>
            <w:r>
              <w:rPr>
                <w:color w:val="006000"/>
                <w:w w:val="99"/>
                <w:sz w:val="18"/>
              </w:rPr>
              <w:t>2</w:t>
            </w:r>
          </w:p>
        </w:tc>
        <w:tc>
          <w:tcPr>
            <w:tcW w:w="457" w:type="dxa"/>
          </w:tcPr>
          <w:p>
            <w:pPr>
              <w:pStyle w:val="TableParagraph"/>
              <w:spacing w:before="40"/>
              <w:ind w:right="172"/>
              <w:jc w:val="right"/>
              <w:rPr>
                <w:sz w:val="18"/>
              </w:rPr>
            </w:pPr>
            <w:r>
              <w:rPr>
                <w:color w:val="333333"/>
                <w:w w:val="99"/>
                <w:sz w:val="18"/>
              </w:rPr>
              <w:t>0</w:t>
            </w:r>
          </w:p>
        </w:tc>
        <w:tc>
          <w:tcPr>
            <w:tcW w:w="852" w:type="dxa"/>
          </w:tcPr>
          <w:p>
            <w:pPr>
              <w:pStyle w:val="TableParagraph"/>
              <w:spacing w:before="40"/>
              <w:ind w:right="1"/>
              <w:rPr>
                <w:sz w:val="18"/>
              </w:rPr>
            </w:pPr>
            <w:r>
              <w:rPr>
                <w:color w:val="333333"/>
                <w:w w:val="99"/>
                <w:sz w:val="18"/>
              </w:rPr>
              <w:t>0</w:t>
            </w:r>
          </w:p>
        </w:tc>
        <w:tc>
          <w:tcPr>
            <w:tcW w:w="456" w:type="dxa"/>
          </w:tcPr>
          <w:p>
            <w:pPr>
              <w:pStyle w:val="TableParagraph"/>
              <w:spacing w:before="40"/>
              <w:ind w:right="171"/>
              <w:jc w:val="right"/>
              <w:rPr>
                <w:sz w:val="18"/>
              </w:rPr>
            </w:pPr>
            <w:r>
              <w:rPr>
                <w:color w:val="333333"/>
                <w:w w:val="99"/>
                <w:sz w:val="18"/>
              </w:rPr>
              <w:t>0</w:t>
            </w:r>
          </w:p>
        </w:tc>
        <w:tc>
          <w:tcPr>
            <w:tcW w:w="475" w:type="dxa"/>
          </w:tcPr>
          <w:p>
            <w:pPr>
              <w:pStyle w:val="TableParagraph"/>
              <w:spacing w:before="40"/>
              <w:ind w:left="60" w:right="60"/>
              <w:rPr>
                <w:sz w:val="18"/>
              </w:rPr>
            </w:pPr>
            <w:r>
              <w:rPr>
                <w:sz w:val="18"/>
              </w:rPr>
              <w:t>43</w:t>
            </w:r>
          </w:p>
        </w:tc>
      </w:tr>
      <w:tr>
        <w:trPr>
          <w:trHeight w:val="398" w:hRule="exact"/>
        </w:trPr>
        <w:tc>
          <w:tcPr>
            <w:tcW w:w="4277" w:type="dxa"/>
          </w:tcPr>
          <w:p>
            <w:pPr>
              <w:pStyle w:val="TableParagraph"/>
              <w:spacing w:before="35"/>
              <w:ind w:left="64"/>
              <w:jc w:val="left"/>
              <w:rPr>
                <w:b/>
                <w:sz w:val="18"/>
              </w:rPr>
            </w:pPr>
            <w:r>
              <w:rPr>
                <w:b/>
                <w:color w:val="333333"/>
                <w:sz w:val="18"/>
              </w:rPr>
              <w:t>HUEHUETOCA</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right="1"/>
              <w:rPr>
                <w:sz w:val="18"/>
              </w:rPr>
            </w:pPr>
            <w:r>
              <w:rPr>
                <w:color w:val="333333"/>
                <w:w w:val="99"/>
                <w:sz w:val="18"/>
              </w:rPr>
              <w:t>0</w:t>
            </w:r>
          </w:p>
        </w:tc>
        <w:tc>
          <w:tcPr>
            <w:tcW w:w="456" w:type="dxa"/>
          </w:tcPr>
          <w:p>
            <w:pPr>
              <w:pStyle w:val="TableParagraph"/>
              <w:spacing w:before="40"/>
              <w:ind w:left="122"/>
              <w:jc w:val="left"/>
              <w:rPr>
                <w:sz w:val="18"/>
              </w:rPr>
            </w:pPr>
            <w:r>
              <w:rPr>
                <w:color w:val="006000"/>
                <w:sz w:val="18"/>
              </w:rPr>
              <w:t>13</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right="122"/>
              <w:jc w:val="right"/>
              <w:rPr>
                <w:sz w:val="18"/>
              </w:rPr>
            </w:pPr>
            <w:r>
              <w:rPr>
                <w:color w:val="006000"/>
                <w:w w:val="95"/>
                <w:sz w:val="18"/>
              </w:rPr>
              <w:t>13</w:t>
            </w:r>
          </w:p>
        </w:tc>
        <w:tc>
          <w:tcPr>
            <w:tcW w:w="456" w:type="dxa"/>
          </w:tcPr>
          <w:p>
            <w:pPr>
              <w:pStyle w:val="TableParagraph"/>
              <w:spacing w:before="40"/>
              <w:ind w:left="172"/>
              <w:jc w:val="left"/>
              <w:rPr>
                <w:sz w:val="18"/>
              </w:rPr>
            </w:pPr>
            <w:r>
              <w:rPr>
                <w:color w:val="006000"/>
                <w:w w:val="99"/>
                <w:sz w:val="18"/>
              </w:rPr>
              <w:t>3</w:t>
            </w:r>
          </w:p>
        </w:tc>
        <w:tc>
          <w:tcPr>
            <w:tcW w:w="458" w:type="dxa"/>
          </w:tcPr>
          <w:p>
            <w:pPr>
              <w:pStyle w:val="TableParagraph"/>
              <w:spacing w:before="40"/>
              <w:ind w:right="1"/>
              <w:rPr>
                <w:sz w:val="18"/>
              </w:rPr>
            </w:pPr>
            <w:r>
              <w:rPr>
                <w:color w:val="006000"/>
                <w:w w:val="99"/>
                <w:sz w:val="18"/>
              </w:rPr>
              <w:t>5</w:t>
            </w:r>
          </w:p>
        </w:tc>
        <w:tc>
          <w:tcPr>
            <w:tcW w:w="456" w:type="dxa"/>
          </w:tcPr>
          <w:p>
            <w:pPr>
              <w:pStyle w:val="TableParagraph"/>
              <w:spacing w:before="40"/>
              <w:rPr>
                <w:sz w:val="18"/>
              </w:rPr>
            </w:pPr>
            <w:r>
              <w:rPr>
                <w:color w:val="333333"/>
                <w:w w:val="99"/>
                <w:sz w:val="18"/>
              </w:rPr>
              <w:t>0</w:t>
            </w:r>
          </w:p>
        </w:tc>
        <w:tc>
          <w:tcPr>
            <w:tcW w:w="458" w:type="dxa"/>
          </w:tcPr>
          <w:p>
            <w:pPr>
              <w:pStyle w:val="TableParagraph"/>
              <w:spacing w:before="40"/>
              <w:ind w:right="1"/>
              <w:rPr>
                <w:sz w:val="18"/>
              </w:rPr>
            </w:pPr>
            <w:r>
              <w:rPr>
                <w:color w:val="333333"/>
                <w:w w:val="99"/>
                <w:sz w:val="18"/>
              </w:rPr>
              <w:t>0</w:t>
            </w:r>
          </w:p>
        </w:tc>
        <w:tc>
          <w:tcPr>
            <w:tcW w:w="799" w:type="dxa"/>
          </w:tcPr>
          <w:p>
            <w:pPr>
              <w:pStyle w:val="TableParagraph"/>
              <w:spacing w:before="40"/>
              <w:ind w:left="274" w:right="274"/>
              <w:rPr>
                <w:sz w:val="18"/>
              </w:rPr>
            </w:pPr>
            <w:r>
              <w:rPr>
                <w:color w:val="006000"/>
                <w:sz w:val="18"/>
              </w:rPr>
              <w:t>29</w:t>
            </w:r>
          </w:p>
        </w:tc>
        <w:tc>
          <w:tcPr>
            <w:tcW w:w="802" w:type="dxa"/>
          </w:tcPr>
          <w:p>
            <w:pPr>
              <w:pStyle w:val="TableParagraph"/>
              <w:spacing w:before="40"/>
              <w:ind w:left="58" w:right="58"/>
              <w:rPr>
                <w:sz w:val="18"/>
              </w:rPr>
            </w:pPr>
            <w:r>
              <w:rPr>
                <w:color w:val="006000"/>
                <w:sz w:val="18"/>
              </w:rPr>
              <w:t>31</w:t>
            </w:r>
          </w:p>
        </w:tc>
        <w:tc>
          <w:tcPr>
            <w:tcW w:w="457" w:type="dxa"/>
          </w:tcPr>
          <w:p>
            <w:pPr>
              <w:pStyle w:val="TableParagraph"/>
              <w:spacing w:before="40"/>
              <w:ind w:right="172"/>
              <w:jc w:val="right"/>
              <w:rPr>
                <w:sz w:val="18"/>
              </w:rPr>
            </w:pPr>
            <w:r>
              <w:rPr>
                <w:color w:val="333333"/>
                <w:w w:val="99"/>
                <w:sz w:val="18"/>
              </w:rPr>
              <w:t>0</w:t>
            </w:r>
          </w:p>
        </w:tc>
        <w:tc>
          <w:tcPr>
            <w:tcW w:w="852" w:type="dxa"/>
          </w:tcPr>
          <w:p>
            <w:pPr>
              <w:pStyle w:val="TableParagraph"/>
              <w:spacing w:before="40"/>
              <w:ind w:right="1"/>
              <w:rPr>
                <w:sz w:val="18"/>
              </w:rPr>
            </w:pPr>
            <w:r>
              <w:rPr>
                <w:color w:val="333333"/>
                <w:w w:val="99"/>
                <w:sz w:val="18"/>
              </w:rPr>
              <w:t>0</w:t>
            </w:r>
          </w:p>
        </w:tc>
        <w:tc>
          <w:tcPr>
            <w:tcW w:w="456" w:type="dxa"/>
          </w:tcPr>
          <w:p>
            <w:pPr>
              <w:pStyle w:val="TableParagraph"/>
              <w:spacing w:before="40"/>
              <w:ind w:right="171"/>
              <w:jc w:val="right"/>
              <w:rPr>
                <w:sz w:val="18"/>
              </w:rPr>
            </w:pPr>
            <w:r>
              <w:rPr>
                <w:color w:val="006000"/>
                <w:w w:val="99"/>
                <w:sz w:val="18"/>
              </w:rPr>
              <w:t>1</w:t>
            </w:r>
          </w:p>
        </w:tc>
        <w:tc>
          <w:tcPr>
            <w:tcW w:w="475" w:type="dxa"/>
          </w:tcPr>
          <w:p>
            <w:pPr>
              <w:pStyle w:val="TableParagraph"/>
              <w:spacing w:before="40"/>
              <w:ind w:left="60" w:right="60"/>
              <w:rPr>
                <w:sz w:val="18"/>
              </w:rPr>
            </w:pPr>
            <w:r>
              <w:rPr>
                <w:sz w:val="18"/>
              </w:rPr>
              <w:t>97</w:t>
            </w:r>
          </w:p>
        </w:tc>
      </w:tr>
      <w:tr>
        <w:trPr>
          <w:trHeight w:val="401" w:hRule="exact"/>
        </w:trPr>
        <w:tc>
          <w:tcPr>
            <w:tcW w:w="4277" w:type="dxa"/>
          </w:tcPr>
          <w:p>
            <w:pPr>
              <w:pStyle w:val="TableParagraph"/>
              <w:spacing w:before="35"/>
              <w:ind w:left="64"/>
              <w:jc w:val="left"/>
              <w:rPr>
                <w:b/>
                <w:sz w:val="18"/>
              </w:rPr>
            </w:pPr>
            <w:r>
              <w:rPr>
                <w:b/>
                <w:color w:val="333333"/>
                <w:sz w:val="18"/>
              </w:rPr>
              <w:t>HUEYPOXTLA</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right="1"/>
              <w:rPr>
                <w:sz w:val="18"/>
              </w:rPr>
            </w:pPr>
            <w:r>
              <w:rPr>
                <w:color w:val="333333"/>
                <w:w w:val="99"/>
                <w:sz w:val="18"/>
              </w:rPr>
              <w:t>0</w:t>
            </w:r>
          </w:p>
        </w:tc>
        <w:tc>
          <w:tcPr>
            <w:tcW w:w="456" w:type="dxa"/>
          </w:tcPr>
          <w:p>
            <w:pPr>
              <w:pStyle w:val="TableParagraph"/>
              <w:spacing w:before="40"/>
              <w:ind w:left="172"/>
              <w:jc w:val="left"/>
              <w:rPr>
                <w:sz w:val="18"/>
              </w:rPr>
            </w:pPr>
            <w:r>
              <w:rPr>
                <w:color w:val="006000"/>
                <w:w w:val="99"/>
                <w:sz w:val="18"/>
              </w:rPr>
              <w:t>4</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right="173"/>
              <w:jc w:val="right"/>
              <w:rPr>
                <w:sz w:val="18"/>
              </w:rPr>
            </w:pPr>
            <w:r>
              <w:rPr>
                <w:color w:val="006000"/>
                <w:w w:val="99"/>
                <w:sz w:val="18"/>
              </w:rPr>
              <w:t>2</w:t>
            </w:r>
          </w:p>
        </w:tc>
        <w:tc>
          <w:tcPr>
            <w:tcW w:w="456" w:type="dxa"/>
          </w:tcPr>
          <w:p>
            <w:pPr>
              <w:pStyle w:val="TableParagraph"/>
              <w:spacing w:before="40"/>
              <w:ind w:left="172"/>
              <w:jc w:val="left"/>
              <w:rPr>
                <w:sz w:val="18"/>
              </w:rPr>
            </w:pPr>
            <w:r>
              <w:rPr>
                <w:color w:val="333333"/>
                <w:w w:val="99"/>
                <w:sz w:val="18"/>
              </w:rPr>
              <w:t>0</w:t>
            </w:r>
          </w:p>
        </w:tc>
        <w:tc>
          <w:tcPr>
            <w:tcW w:w="458" w:type="dxa"/>
          </w:tcPr>
          <w:p>
            <w:pPr>
              <w:pStyle w:val="TableParagraph"/>
              <w:spacing w:before="40"/>
              <w:ind w:right="1"/>
              <w:rPr>
                <w:sz w:val="18"/>
              </w:rPr>
            </w:pPr>
            <w:r>
              <w:rPr>
                <w:color w:val="333333"/>
                <w:w w:val="99"/>
                <w:sz w:val="18"/>
              </w:rPr>
              <w:t>0</w:t>
            </w:r>
          </w:p>
        </w:tc>
        <w:tc>
          <w:tcPr>
            <w:tcW w:w="456" w:type="dxa"/>
          </w:tcPr>
          <w:p>
            <w:pPr>
              <w:pStyle w:val="TableParagraph"/>
              <w:spacing w:before="40"/>
              <w:rPr>
                <w:sz w:val="18"/>
              </w:rPr>
            </w:pPr>
            <w:r>
              <w:rPr>
                <w:color w:val="333333"/>
                <w:w w:val="99"/>
                <w:sz w:val="18"/>
              </w:rPr>
              <w:t>0</w:t>
            </w:r>
          </w:p>
        </w:tc>
        <w:tc>
          <w:tcPr>
            <w:tcW w:w="458" w:type="dxa"/>
          </w:tcPr>
          <w:p>
            <w:pPr>
              <w:pStyle w:val="TableParagraph"/>
              <w:spacing w:before="40"/>
              <w:ind w:right="1"/>
              <w:rPr>
                <w:sz w:val="18"/>
              </w:rPr>
            </w:pPr>
            <w:r>
              <w:rPr>
                <w:color w:val="333333"/>
                <w:w w:val="99"/>
                <w:sz w:val="18"/>
              </w:rPr>
              <w:t>0</w:t>
            </w:r>
          </w:p>
        </w:tc>
        <w:tc>
          <w:tcPr>
            <w:tcW w:w="799" w:type="dxa"/>
          </w:tcPr>
          <w:p>
            <w:pPr>
              <w:pStyle w:val="TableParagraph"/>
              <w:spacing w:before="40"/>
              <w:ind w:right="5"/>
              <w:rPr>
                <w:sz w:val="18"/>
              </w:rPr>
            </w:pPr>
            <w:r>
              <w:rPr>
                <w:color w:val="333333"/>
                <w:w w:val="99"/>
                <w:sz w:val="18"/>
              </w:rPr>
              <w:t>0</w:t>
            </w:r>
          </w:p>
        </w:tc>
        <w:tc>
          <w:tcPr>
            <w:tcW w:w="802" w:type="dxa"/>
          </w:tcPr>
          <w:p>
            <w:pPr>
              <w:pStyle w:val="TableParagraph"/>
              <w:spacing w:before="40"/>
              <w:ind w:right="3"/>
              <w:rPr>
                <w:sz w:val="18"/>
              </w:rPr>
            </w:pPr>
            <w:r>
              <w:rPr>
                <w:color w:val="333333"/>
                <w:w w:val="99"/>
                <w:sz w:val="18"/>
              </w:rPr>
              <w:t>0</w:t>
            </w:r>
          </w:p>
        </w:tc>
        <w:tc>
          <w:tcPr>
            <w:tcW w:w="457" w:type="dxa"/>
          </w:tcPr>
          <w:p>
            <w:pPr>
              <w:pStyle w:val="TableParagraph"/>
              <w:spacing w:before="40"/>
              <w:ind w:right="172"/>
              <w:jc w:val="right"/>
              <w:rPr>
                <w:sz w:val="18"/>
              </w:rPr>
            </w:pPr>
            <w:r>
              <w:rPr>
                <w:color w:val="333333"/>
                <w:w w:val="99"/>
                <w:sz w:val="18"/>
              </w:rPr>
              <w:t>0</w:t>
            </w:r>
          </w:p>
        </w:tc>
        <w:tc>
          <w:tcPr>
            <w:tcW w:w="852" w:type="dxa"/>
          </w:tcPr>
          <w:p>
            <w:pPr>
              <w:pStyle w:val="TableParagraph"/>
              <w:spacing w:before="40"/>
              <w:ind w:right="1"/>
              <w:rPr>
                <w:sz w:val="18"/>
              </w:rPr>
            </w:pPr>
            <w:r>
              <w:rPr>
                <w:color w:val="333333"/>
                <w:w w:val="99"/>
                <w:sz w:val="18"/>
              </w:rPr>
              <w:t>0</w:t>
            </w:r>
          </w:p>
        </w:tc>
        <w:tc>
          <w:tcPr>
            <w:tcW w:w="456" w:type="dxa"/>
          </w:tcPr>
          <w:p>
            <w:pPr>
              <w:pStyle w:val="TableParagraph"/>
              <w:spacing w:before="40"/>
              <w:ind w:right="171"/>
              <w:jc w:val="right"/>
              <w:rPr>
                <w:sz w:val="18"/>
              </w:rPr>
            </w:pPr>
            <w:r>
              <w:rPr>
                <w:color w:val="333333"/>
                <w:w w:val="99"/>
                <w:sz w:val="18"/>
              </w:rPr>
              <w:t>0</w:t>
            </w:r>
          </w:p>
        </w:tc>
        <w:tc>
          <w:tcPr>
            <w:tcW w:w="475" w:type="dxa"/>
          </w:tcPr>
          <w:p>
            <w:pPr>
              <w:pStyle w:val="TableParagraph"/>
              <w:spacing w:before="40"/>
              <w:rPr>
                <w:sz w:val="18"/>
              </w:rPr>
            </w:pPr>
            <w:r>
              <w:rPr>
                <w:w w:val="99"/>
                <w:sz w:val="18"/>
              </w:rPr>
              <w:t>8</w:t>
            </w:r>
          </w:p>
        </w:tc>
      </w:tr>
      <w:tr>
        <w:trPr>
          <w:trHeight w:val="401" w:hRule="exact"/>
        </w:trPr>
        <w:tc>
          <w:tcPr>
            <w:tcW w:w="4277" w:type="dxa"/>
          </w:tcPr>
          <w:p>
            <w:pPr>
              <w:pStyle w:val="TableParagraph"/>
              <w:spacing w:before="35"/>
              <w:ind w:left="64"/>
              <w:jc w:val="left"/>
              <w:rPr>
                <w:b/>
                <w:sz w:val="18"/>
              </w:rPr>
            </w:pPr>
            <w:r>
              <w:rPr>
                <w:b/>
                <w:color w:val="333333"/>
                <w:sz w:val="18"/>
              </w:rPr>
              <w:t>HUIXQUILUCAN</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right="1"/>
              <w:rPr>
                <w:sz w:val="18"/>
              </w:rPr>
            </w:pPr>
            <w:r>
              <w:rPr>
                <w:color w:val="333333"/>
                <w:w w:val="99"/>
                <w:sz w:val="18"/>
              </w:rPr>
              <w:t>0</w:t>
            </w:r>
          </w:p>
        </w:tc>
        <w:tc>
          <w:tcPr>
            <w:tcW w:w="456" w:type="dxa"/>
          </w:tcPr>
          <w:p>
            <w:pPr>
              <w:pStyle w:val="TableParagraph"/>
              <w:spacing w:before="40"/>
              <w:ind w:left="172"/>
              <w:jc w:val="left"/>
              <w:rPr>
                <w:sz w:val="18"/>
              </w:rPr>
            </w:pPr>
            <w:r>
              <w:rPr>
                <w:color w:val="006000"/>
                <w:w w:val="99"/>
                <w:sz w:val="18"/>
              </w:rPr>
              <w:t>8</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right="122"/>
              <w:jc w:val="right"/>
              <w:rPr>
                <w:sz w:val="18"/>
              </w:rPr>
            </w:pPr>
            <w:r>
              <w:rPr>
                <w:color w:val="006000"/>
                <w:w w:val="95"/>
                <w:sz w:val="18"/>
              </w:rPr>
              <w:t>32</w:t>
            </w:r>
          </w:p>
        </w:tc>
        <w:tc>
          <w:tcPr>
            <w:tcW w:w="456" w:type="dxa"/>
          </w:tcPr>
          <w:p>
            <w:pPr>
              <w:pStyle w:val="TableParagraph"/>
              <w:spacing w:before="40"/>
              <w:ind w:left="172"/>
              <w:jc w:val="left"/>
              <w:rPr>
                <w:sz w:val="18"/>
              </w:rPr>
            </w:pPr>
            <w:r>
              <w:rPr>
                <w:color w:val="006000"/>
                <w:w w:val="99"/>
                <w:sz w:val="18"/>
              </w:rPr>
              <w:t>6</w:t>
            </w:r>
          </w:p>
        </w:tc>
        <w:tc>
          <w:tcPr>
            <w:tcW w:w="458" w:type="dxa"/>
          </w:tcPr>
          <w:p>
            <w:pPr>
              <w:pStyle w:val="TableParagraph"/>
              <w:spacing w:before="40"/>
              <w:ind w:left="53" w:right="53"/>
              <w:rPr>
                <w:sz w:val="18"/>
              </w:rPr>
            </w:pPr>
            <w:r>
              <w:rPr>
                <w:color w:val="006000"/>
                <w:sz w:val="18"/>
              </w:rPr>
              <w:t>37</w:t>
            </w:r>
          </w:p>
        </w:tc>
        <w:tc>
          <w:tcPr>
            <w:tcW w:w="456" w:type="dxa"/>
          </w:tcPr>
          <w:p>
            <w:pPr>
              <w:pStyle w:val="TableParagraph"/>
              <w:spacing w:before="40"/>
              <w:rPr>
                <w:sz w:val="18"/>
              </w:rPr>
            </w:pPr>
            <w:r>
              <w:rPr>
                <w:color w:val="006000"/>
                <w:w w:val="99"/>
                <w:sz w:val="18"/>
              </w:rPr>
              <w:t>5</w:t>
            </w:r>
          </w:p>
        </w:tc>
        <w:tc>
          <w:tcPr>
            <w:tcW w:w="458" w:type="dxa"/>
          </w:tcPr>
          <w:p>
            <w:pPr>
              <w:pStyle w:val="TableParagraph"/>
              <w:spacing w:before="40"/>
              <w:ind w:right="1"/>
              <w:rPr>
                <w:sz w:val="18"/>
              </w:rPr>
            </w:pPr>
            <w:r>
              <w:rPr>
                <w:color w:val="006000"/>
                <w:w w:val="99"/>
                <w:sz w:val="18"/>
              </w:rPr>
              <w:t>7</w:t>
            </w:r>
          </w:p>
        </w:tc>
        <w:tc>
          <w:tcPr>
            <w:tcW w:w="799" w:type="dxa"/>
          </w:tcPr>
          <w:p>
            <w:pPr>
              <w:pStyle w:val="TableParagraph"/>
              <w:spacing w:before="40"/>
              <w:ind w:left="274" w:right="274"/>
              <w:rPr>
                <w:sz w:val="18"/>
              </w:rPr>
            </w:pPr>
            <w:r>
              <w:rPr>
                <w:color w:val="006000"/>
                <w:sz w:val="18"/>
              </w:rPr>
              <w:t>34</w:t>
            </w:r>
          </w:p>
        </w:tc>
        <w:tc>
          <w:tcPr>
            <w:tcW w:w="802" w:type="dxa"/>
          </w:tcPr>
          <w:p>
            <w:pPr>
              <w:pStyle w:val="TableParagraph"/>
              <w:spacing w:before="40"/>
              <w:ind w:right="3"/>
              <w:rPr>
                <w:sz w:val="18"/>
              </w:rPr>
            </w:pPr>
            <w:r>
              <w:rPr>
                <w:color w:val="333333"/>
                <w:w w:val="99"/>
                <w:sz w:val="18"/>
              </w:rPr>
              <w:t>0</w:t>
            </w:r>
          </w:p>
        </w:tc>
        <w:tc>
          <w:tcPr>
            <w:tcW w:w="457" w:type="dxa"/>
          </w:tcPr>
          <w:p>
            <w:pPr>
              <w:pStyle w:val="TableParagraph"/>
              <w:spacing w:before="40"/>
              <w:ind w:right="172"/>
              <w:jc w:val="right"/>
              <w:rPr>
                <w:sz w:val="18"/>
              </w:rPr>
            </w:pPr>
            <w:r>
              <w:rPr>
                <w:color w:val="006000"/>
                <w:w w:val="99"/>
                <w:sz w:val="18"/>
              </w:rPr>
              <w:t>2</w:t>
            </w:r>
          </w:p>
        </w:tc>
        <w:tc>
          <w:tcPr>
            <w:tcW w:w="852" w:type="dxa"/>
          </w:tcPr>
          <w:p>
            <w:pPr>
              <w:pStyle w:val="TableParagraph"/>
              <w:spacing w:before="40"/>
              <w:ind w:right="1"/>
              <w:rPr>
                <w:sz w:val="18"/>
              </w:rPr>
            </w:pPr>
            <w:r>
              <w:rPr>
                <w:color w:val="333333"/>
                <w:w w:val="99"/>
                <w:sz w:val="18"/>
              </w:rPr>
              <w:t>0</w:t>
            </w:r>
          </w:p>
        </w:tc>
        <w:tc>
          <w:tcPr>
            <w:tcW w:w="456" w:type="dxa"/>
          </w:tcPr>
          <w:p>
            <w:pPr>
              <w:pStyle w:val="TableParagraph"/>
              <w:spacing w:before="40"/>
              <w:ind w:right="171"/>
              <w:jc w:val="right"/>
              <w:rPr>
                <w:sz w:val="18"/>
              </w:rPr>
            </w:pPr>
            <w:r>
              <w:rPr>
                <w:color w:val="006000"/>
                <w:w w:val="99"/>
                <w:sz w:val="18"/>
              </w:rPr>
              <w:t>3</w:t>
            </w:r>
          </w:p>
        </w:tc>
        <w:tc>
          <w:tcPr>
            <w:tcW w:w="475" w:type="dxa"/>
          </w:tcPr>
          <w:p>
            <w:pPr>
              <w:pStyle w:val="TableParagraph"/>
              <w:spacing w:before="40"/>
              <w:ind w:left="60" w:right="60"/>
              <w:rPr>
                <w:sz w:val="18"/>
              </w:rPr>
            </w:pPr>
            <w:r>
              <w:rPr>
                <w:sz w:val="18"/>
              </w:rPr>
              <w:t>136</w:t>
            </w:r>
          </w:p>
        </w:tc>
      </w:tr>
      <w:tr>
        <w:trPr>
          <w:trHeight w:val="398" w:hRule="exact"/>
        </w:trPr>
        <w:tc>
          <w:tcPr>
            <w:tcW w:w="4277" w:type="dxa"/>
          </w:tcPr>
          <w:p>
            <w:pPr>
              <w:pStyle w:val="TableParagraph"/>
              <w:spacing w:before="35"/>
              <w:ind w:left="64"/>
              <w:jc w:val="left"/>
              <w:rPr>
                <w:b/>
                <w:sz w:val="18"/>
              </w:rPr>
            </w:pPr>
            <w:r>
              <w:rPr>
                <w:b/>
                <w:color w:val="333333"/>
                <w:sz w:val="18"/>
              </w:rPr>
              <w:t>ISIDRO FABELA</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right="1"/>
              <w:rPr>
                <w:sz w:val="18"/>
              </w:rPr>
            </w:pPr>
            <w:r>
              <w:rPr>
                <w:color w:val="333333"/>
                <w:w w:val="99"/>
                <w:sz w:val="18"/>
              </w:rPr>
              <w:t>0</w:t>
            </w:r>
          </w:p>
        </w:tc>
        <w:tc>
          <w:tcPr>
            <w:tcW w:w="456" w:type="dxa"/>
          </w:tcPr>
          <w:p>
            <w:pPr>
              <w:pStyle w:val="TableParagraph"/>
              <w:spacing w:before="40"/>
              <w:ind w:left="172"/>
              <w:jc w:val="left"/>
              <w:rPr>
                <w:sz w:val="18"/>
              </w:rPr>
            </w:pPr>
            <w:r>
              <w:rPr>
                <w:color w:val="006000"/>
                <w:w w:val="99"/>
                <w:sz w:val="18"/>
              </w:rPr>
              <w:t>3</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right="173"/>
              <w:jc w:val="right"/>
              <w:rPr>
                <w:sz w:val="18"/>
              </w:rPr>
            </w:pPr>
            <w:r>
              <w:rPr>
                <w:color w:val="333333"/>
                <w:w w:val="99"/>
                <w:sz w:val="18"/>
              </w:rPr>
              <w:t>0</w:t>
            </w:r>
          </w:p>
        </w:tc>
        <w:tc>
          <w:tcPr>
            <w:tcW w:w="456" w:type="dxa"/>
          </w:tcPr>
          <w:p>
            <w:pPr>
              <w:pStyle w:val="TableParagraph"/>
              <w:spacing w:before="40"/>
              <w:ind w:left="172"/>
              <w:jc w:val="left"/>
              <w:rPr>
                <w:sz w:val="18"/>
              </w:rPr>
            </w:pPr>
            <w:r>
              <w:rPr>
                <w:color w:val="333333"/>
                <w:w w:val="99"/>
                <w:sz w:val="18"/>
              </w:rPr>
              <w:t>0</w:t>
            </w:r>
          </w:p>
        </w:tc>
        <w:tc>
          <w:tcPr>
            <w:tcW w:w="458" w:type="dxa"/>
          </w:tcPr>
          <w:p>
            <w:pPr>
              <w:pStyle w:val="TableParagraph"/>
              <w:spacing w:before="40"/>
              <w:ind w:right="1"/>
              <w:rPr>
                <w:sz w:val="18"/>
              </w:rPr>
            </w:pPr>
            <w:r>
              <w:rPr>
                <w:color w:val="333333"/>
                <w:w w:val="99"/>
                <w:sz w:val="18"/>
              </w:rPr>
              <w:t>0</w:t>
            </w:r>
          </w:p>
        </w:tc>
        <w:tc>
          <w:tcPr>
            <w:tcW w:w="456" w:type="dxa"/>
          </w:tcPr>
          <w:p>
            <w:pPr>
              <w:pStyle w:val="TableParagraph"/>
              <w:spacing w:before="40"/>
              <w:rPr>
                <w:sz w:val="18"/>
              </w:rPr>
            </w:pPr>
            <w:r>
              <w:rPr>
                <w:color w:val="333333"/>
                <w:w w:val="99"/>
                <w:sz w:val="18"/>
              </w:rPr>
              <w:t>0</w:t>
            </w:r>
          </w:p>
        </w:tc>
        <w:tc>
          <w:tcPr>
            <w:tcW w:w="458" w:type="dxa"/>
          </w:tcPr>
          <w:p>
            <w:pPr>
              <w:pStyle w:val="TableParagraph"/>
              <w:spacing w:before="40"/>
              <w:ind w:right="1"/>
              <w:rPr>
                <w:sz w:val="18"/>
              </w:rPr>
            </w:pPr>
            <w:r>
              <w:rPr>
                <w:color w:val="333333"/>
                <w:w w:val="99"/>
                <w:sz w:val="18"/>
              </w:rPr>
              <w:t>0</w:t>
            </w:r>
          </w:p>
        </w:tc>
        <w:tc>
          <w:tcPr>
            <w:tcW w:w="799" w:type="dxa"/>
          </w:tcPr>
          <w:p>
            <w:pPr>
              <w:pStyle w:val="TableParagraph"/>
              <w:spacing w:before="40"/>
              <w:ind w:right="5"/>
              <w:rPr>
                <w:sz w:val="18"/>
              </w:rPr>
            </w:pPr>
            <w:r>
              <w:rPr>
                <w:color w:val="333333"/>
                <w:w w:val="99"/>
                <w:sz w:val="18"/>
              </w:rPr>
              <w:t>0</w:t>
            </w:r>
          </w:p>
        </w:tc>
        <w:tc>
          <w:tcPr>
            <w:tcW w:w="802" w:type="dxa"/>
          </w:tcPr>
          <w:p>
            <w:pPr>
              <w:pStyle w:val="TableParagraph"/>
              <w:spacing w:before="40"/>
              <w:ind w:right="3"/>
              <w:rPr>
                <w:sz w:val="18"/>
              </w:rPr>
            </w:pPr>
            <w:r>
              <w:rPr>
                <w:color w:val="333333"/>
                <w:w w:val="99"/>
                <w:sz w:val="18"/>
              </w:rPr>
              <w:t>0</w:t>
            </w:r>
          </w:p>
        </w:tc>
        <w:tc>
          <w:tcPr>
            <w:tcW w:w="457" w:type="dxa"/>
          </w:tcPr>
          <w:p>
            <w:pPr>
              <w:pStyle w:val="TableParagraph"/>
              <w:spacing w:before="40"/>
              <w:ind w:right="172"/>
              <w:jc w:val="right"/>
              <w:rPr>
                <w:sz w:val="18"/>
              </w:rPr>
            </w:pPr>
            <w:r>
              <w:rPr>
                <w:color w:val="333333"/>
                <w:w w:val="99"/>
                <w:sz w:val="18"/>
              </w:rPr>
              <w:t>0</w:t>
            </w:r>
          </w:p>
        </w:tc>
        <w:tc>
          <w:tcPr>
            <w:tcW w:w="852" w:type="dxa"/>
          </w:tcPr>
          <w:p>
            <w:pPr>
              <w:pStyle w:val="TableParagraph"/>
              <w:spacing w:before="40"/>
              <w:ind w:right="1"/>
              <w:rPr>
                <w:sz w:val="18"/>
              </w:rPr>
            </w:pPr>
            <w:r>
              <w:rPr>
                <w:color w:val="333333"/>
                <w:w w:val="99"/>
                <w:sz w:val="18"/>
              </w:rPr>
              <w:t>0</w:t>
            </w:r>
          </w:p>
        </w:tc>
        <w:tc>
          <w:tcPr>
            <w:tcW w:w="456" w:type="dxa"/>
          </w:tcPr>
          <w:p>
            <w:pPr>
              <w:pStyle w:val="TableParagraph"/>
              <w:spacing w:before="40"/>
              <w:ind w:right="171"/>
              <w:jc w:val="right"/>
              <w:rPr>
                <w:sz w:val="18"/>
              </w:rPr>
            </w:pPr>
            <w:r>
              <w:rPr>
                <w:color w:val="333333"/>
                <w:w w:val="99"/>
                <w:sz w:val="18"/>
              </w:rPr>
              <w:t>0</w:t>
            </w:r>
          </w:p>
        </w:tc>
        <w:tc>
          <w:tcPr>
            <w:tcW w:w="475" w:type="dxa"/>
          </w:tcPr>
          <w:p>
            <w:pPr>
              <w:pStyle w:val="TableParagraph"/>
              <w:spacing w:before="40"/>
              <w:rPr>
                <w:sz w:val="18"/>
              </w:rPr>
            </w:pPr>
            <w:r>
              <w:rPr>
                <w:w w:val="99"/>
                <w:sz w:val="18"/>
              </w:rPr>
              <w:t>5</w:t>
            </w:r>
          </w:p>
        </w:tc>
      </w:tr>
      <w:tr>
        <w:trPr>
          <w:trHeight w:val="401" w:hRule="exact"/>
        </w:trPr>
        <w:tc>
          <w:tcPr>
            <w:tcW w:w="4277" w:type="dxa"/>
          </w:tcPr>
          <w:p>
            <w:pPr>
              <w:pStyle w:val="TableParagraph"/>
              <w:spacing w:before="35"/>
              <w:ind w:left="64"/>
              <w:jc w:val="left"/>
              <w:rPr>
                <w:b/>
                <w:sz w:val="18"/>
              </w:rPr>
            </w:pPr>
            <w:r>
              <w:rPr>
                <w:b/>
                <w:color w:val="333333"/>
                <w:sz w:val="18"/>
              </w:rPr>
              <w:t>IXTAPALUCA</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right="1"/>
              <w:rPr>
                <w:sz w:val="18"/>
              </w:rPr>
            </w:pPr>
            <w:r>
              <w:rPr>
                <w:color w:val="333333"/>
                <w:w w:val="99"/>
                <w:sz w:val="18"/>
              </w:rPr>
              <w:t>0</w:t>
            </w:r>
          </w:p>
        </w:tc>
        <w:tc>
          <w:tcPr>
            <w:tcW w:w="456" w:type="dxa"/>
          </w:tcPr>
          <w:p>
            <w:pPr>
              <w:pStyle w:val="TableParagraph"/>
              <w:spacing w:before="40"/>
              <w:ind w:left="172"/>
              <w:jc w:val="left"/>
              <w:rPr>
                <w:sz w:val="18"/>
              </w:rPr>
            </w:pPr>
            <w:r>
              <w:rPr>
                <w:color w:val="006000"/>
                <w:w w:val="99"/>
                <w:sz w:val="18"/>
              </w:rPr>
              <w:t>7</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right="122"/>
              <w:jc w:val="right"/>
              <w:rPr>
                <w:sz w:val="18"/>
              </w:rPr>
            </w:pPr>
            <w:r>
              <w:rPr>
                <w:color w:val="006000"/>
                <w:w w:val="95"/>
                <w:sz w:val="18"/>
              </w:rPr>
              <w:t>10</w:t>
            </w:r>
          </w:p>
        </w:tc>
        <w:tc>
          <w:tcPr>
            <w:tcW w:w="456" w:type="dxa"/>
          </w:tcPr>
          <w:p>
            <w:pPr>
              <w:pStyle w:val="TableParagraph"/>
              <w:spacing w:before="40"/>
              <w:ind w:left="172"/>
              <w:jc w:val="left"/>
              <w:rPr>
                <w:sz w:val="18"/>
              </w:rPr>
            </w:pPr>
            <w:r>
              <w:rPr>
                <w:color w:val="006000"/>
                <w:w w:val="99"/>
                <w:sz w:val="18"/>
              </w:rPr>
              <w:t>1</w:t>
            </w:r>
          </w:p>
        </w:tc>
        <w:tc>
          <w:tcPr>
            <w:tcW w:w="458" w:type="dxa"/>
          </w:tcPr>
          <w:p>
            <w:pPr>
              <w:pStyle w:val="TableParagraph"/>
              <w:spacing w:before="40"/>
              <w:ind w:right="1"/>
              <w:rPr>
                <w:sz w:val="18"/>
              </w:rPr>
            </w:pPr>
            <w:r>
              <w:rPr>
                <w:color w:val="006000"/>
                <w:w w:val="99"/>
                <w:sz w:val="18"/>
              </w:rPr>
              <w:t>1</w:t>
            </w:r>
          </w:p>
        </w:tc>
        <w:tc>
          <w:tcPr>
            <w:tcW w:w="456" w:type="dxa"/>
          </w:tcPr>
          <w:p>
            <w:pPr>
              <w:pStyle w:val="TableParagraph"/>
              <w:spacing w:before="40"/>
              <w:rPr>
                <w:sz w:val="18"/>
              </w:rPr>
            </w:pPr>
            <w:r>
              <w:rPr>
                <w:color w:val="333333"/>
                <w:w w:val="99"/>
                <w:sz w:val="18"/>
              </w:rPr>
              <w:t>0</w:t>
            </w:r>
          </w:p>
        </w:tc>
        <w:tc>
          <w:tcPr>
            <w:tcW w:w="458" w:type="dxa"/>
          </w:tcPr>
          <w:p>
            <w:pPr>
              <w:pStyle w:val="TableParagraph"/>
              <w:spacing w:before="40"/>
              <w:ind w:right="1"/>
              <w:rPr>
                <w:sz w:val="18"/>
              </w:rPr>
            </w:pPr>
            <w:r>
              <w:rPr>
                <w:color w:val="333333"/>
                <w:w w:val="99"/>
                <w:sz w:val="18"/>
              </w:rPr>
              <w:t>0</w:t>
            </w:r>
          </w:p>
        </w:tc>
        <w:tc>
          <w:tcPr>
            <w:tcW w:w="799" w:type="dxa"/>
          </w:tcPr>
          <w:p>
            <w:pPr>
              <w:pStyle w:val="TableParagraph"/>
              <w:spacing w:before="40"/>
              <w:ind w:right="5"/>
              <w:rPr>
                <w:sz w:val="18"/>
              </w:rPr>
            </w:pPr>
            <w:r>
              <w:rPr>
                <w:color w:val="333333"/>
                <w:w w:val="99"/>
                <w:sz w:val="18"/>
              </w:rPr>
              <w:t>0</w:t>
            </w:r>
          </w:p>
        </w:tc>
        <w:tc>
          <w:tcPr>
            <w:tcW w:w="802" w:type="dxa"/>
          </w:tcPr>
          <w:p>
            <w:pPr>
              <w:pStyle w:val="TableParagraph"/>
              <w:spacing w:before="40"/>
              <w:ind w:right="3"/>
              <w:rPr>
                <w:sz w:val="18"/>
              </w:rPr>
            </w:pPr>
            <w:r>
              <w:rPr>
                <w:color w:val="333333"/>
                <w:w w:val="99"/>
                <w:sz w:val="18"/>
              </w:rPr>
              <w:t>0</w:t>
            </w:r>
          </w:p>
        </w:tc>
        <w:tc>
          <w:tcPr>
            <w:tcW w:w="457" w:type="dxa"/>
          </w:tcPr>
          <w:p>
            <w:pPr>
              <w:pStyle w:val="TableParagraph"/>
              <w:spacing w:before="40"/>
              <w:ind w:right="172"/>
              <w:jc w:val="right"/>
              <w:rPr>
                <w:sz w:val="18"/>
              </w:rPr>
            </w:pPr>
            <w:r>
              <w:rPr>
                <w:color w:val="333333"/>
                <w:w w:val="99"/>
                <w:sz w:val="18"/>
              </w:rPr>
              <w:t>0</w:t>
            </w:r>
          </w:p>
        </w:tc>
        <w:tc>
          <w:tcPr>
            <w:tcW w:w="852" w:type="dxa"/>
          </w:tcPr>
          <w:p>
            <w:pPr>
              <w:pStyle w:val="TableParagraph"/>
              <w:spacing w:before="40"/>
              <w:ind w:right="1"/>
              <w:rPr>
                <w:sz w:val="18"/>
              </w:rPr>
            </w:pPr>
            <w:r>
              <w:rPr>
                <w:color w:val="333333"/>
                <w:w w:val="99"/>
                <w:sz w:val="18"/>
              </w:rPr>
              <w:t>0</w:t>
            </w:r>
          </w:p>
        </w:tc>
        <w:tc>
          <w:tcPr>
            <w:tcW w:w="456" w:type="dxa"/>
          </w:tcPr>
          <w:p>
            <w:pPr>
              <w:pStyle w:val="TableParagraph"/>
              <w:spacing w:before="40"/>
              <w:ind w:right="171"/>
              <w:jc w:val="right"/>
              <w:rPr>
                <w:sz w:val="18"/>
              </w:rPr>
            </w:pPr>
            <w:r>
              <w:rPr>
                <w:color w:val="333333"/>
                <w:w w:val="99"/>
                <w:sz w:val="18"/>
              </w:rPr>
              <w:t>0</w:t>
            </w:r>
          </w:p>
        </w:tc>
        <w:tc>
          <w:tcPr>
            <w:tcW w:w="475" w:type="dxa"/>
          </w:tcPr>
          <w:p>
            <w:pPr>
              <w:pStyle w:val="TableParagraph"/>
              <w:spacing w:before="40"/>
              <w:ind w:left="60" w:right="60"/>
              <w:rPr>
                <w:sz w:val="18"/>
              </w:rPr>
            </w:pPr>
            <w:r>
              <w:rPr>
                <w:sz w:val="18"/>
              </w:rPr>
              <w:t>21</w:t>
            </w:r>
          </w:p>
        </w:tc>
      </w:tr>
      <w:tr>
        <w:trPr>
          <w:trHeight w:val="631" w:hRule="exact"/>
        </w:trPr>
        <w:tc>
          <w:tcPr>
            <w:tcW w:w="4277" w:type="dxa"/>
          </w:tcPr>
          <w:p>
            <w:pPr>
              <w:pStyle w:val="TableParagraph"/>
              <w:spacing w:before="150"/>
              <w:ind w:left="64"/>
              <w:jc w:val="left"/>
              <w:rPr>
                <w:b/>
                <w:sz w:val="18"/>
              </w:rPr>
            </w:pPr>
            <w:r>
              <w:rPr>
                <w:b/>
                <w:color w:val="333333"/>
                <w:sz w:val="18"/>
              </w:rPr>
              <w:t>IXTAPAN DE LA SAL</w:t>
            </w:r>
          </w:p>
        </w:tc>
        <w:tc>
          <w:tcPr>
            <w:tcW w:w="456" w:type="dxa"/>
          </w:tcPr>
          <w:p>
            <w:pPr>
              <w:pStyle w:val="TableParagraph"/>
              <w:spacing w:before="155"/>
              <w:rPr>
                <w:sz w:val="18"/>
              </w:rPr>
            </w:pPr>
            <w:r>
              <w:rPr>
                <w:color w:val="006000"/>
                <w:w w:val="99"/>
                <w:sz w:val="18"/>
              </w:rPr>
              <w:t>1</w:t>
            </w:r>
          </w:p>
        </w:tc>
        <w:tc>
          <w:tcPr>
            <w:tcW w:w="458" w:type="dxa"/>
          </w:tcPr>
          <w:p>
            <w:pPr>
              <w:pStyle w:val="TableParagraph"/>
              <w:spacing w:before="155"/>
              <w:ind w:left="53" w:right="53"/>
              <w:rPr>
                <w:sz w:val="18"/>
              </w:rPr>
            </w:pPr>
            <w:r>
              <w:rPr>
                <w:sz w:val="18"/>
              </w:rPr>
              <w:t>NA</w:t>
            </w:r>
          </w:p>
        </w:tc>
        <w:tc>
          <w:tcPr>
            <w:tcW w:w="456" w:type="dxa"/>
          </w:tcPr>
          <w:p>
            <w:pPr>
              <w:pStyle w:val="TableParagraph"/>
              <w:spacing w:before="155"/>
              <w:ind w:left="172"/>
              <w:jc w:val="left"/>
              <w:rPr>
                <w:sz w:val="18"/>
              </w:rPr>
            </w:pPr>
            <w:r>
              <w:rPr>
                <w:color w:val="006000"/>
                <w:w w:val="99"/>
                <w:sz w:val="18"/>
              </w:rPr>
              <w:t>4</w:t>
            </w:r>
          </w:p>
        </w:tc>
        <w:tc>
          <w:tcPr>
            <w:tcW w:w="456" w:type="dxa"/>
          </w:tcPr>
          <w:p>
            <w:pPr>
              <w:pStyle w:val="TableParagraph"/>
              <w:spacing w:before="155"/>
              <w:rPr>
                <w:sz w:val="18"/>
              </w:rPr>
            </w:pPr>
            <w:r>
              <w:rPr>
                <w:color w:val="006000"/>
                <w:w w:val="99"/>
                <w:sz w:val="18"/>
              </w:rPr>
              <w:t>1</w:t>
            </w:r>
          </w:p>
        </w:tc>
        <w:tc>
          <w:tcPr>
            <w:tcW w:w="458" w:type="dxa"/>
          </w:tcPr>
          <w:p>
            <w:pPr>
              <w:pStyle w:val="TableParagraph"/>
              <w:spacing w:before="155"/>
              <w:ind w:right="122"/>
              <w:jc w:val="right"/>
              <w:rPr>
                <w:sz w:val="18"/>
              </w:rPr>
            </w:pPr>
            <w:r>
              <w:rPr>
                <w:color w:val="006000"/>
                <w:w w:val="95"/>
                <w:sz w:val="18"/>
              </w:rPr>
              <w:t>17</w:t>
            </w:r>
          </w:p>
        </w:tc>
        <w:tc>
          <w:tcPr>
            <w:tcW w:w="456" w:type="dxa"/>
          </w:tcPr>
          <w:p>
            <w:pPr>
              <w:pStyle w:val="TableParagraph"/>
              <w:spacing w:before="155"/>
              <w:ind w:left="172"/>
              <w:jc w:val="left"/>
              <w:rPr>
                <w:sz w:val="18"/>
              </w:rPr>
            </w:pPr>
            <w:r>
              <w:rPr>
                <w:color w:val="006000"/>
                <w:w w:val="99"/>
                <w:sz w:val="18"/>
              </w:rPr>
              <w:t>3</w:t>
            </w:r>
          </w:p>
        </w:tc>
        <w:tc>
          <w:tcPr>
            <w:tcW w:w="458" w:type="dxa"/>
          </w:tcPr>
          <w:p>
            <w:pPr>
              <w:pStyle w:val="TableParagraph"/>
              <w:spacing w:before="155"/>
              <w:ind w:right="1"/>
              <w:rPr>
                <w:sz w:val="18"/>
              </w:rPr>
            </w:pPr>
            <w:r>
              <w:rPr>
                <w:color w:val="006000"/>
                <w:w w:val="99"/>
                <w:sz w:val="18"/>
              </w:rPr>
              <w:t>9</w:t>
            </w:r>
          </w:p>
        </w:tc>
        <w:tc>
          <w:tcPr>
            <w:tcW w:w="456" w:type="dxa"/>
          </w:tcPr>
          <w:p>
            <w:pPr>
              <w:pStyle w:val="TableParagraph"/>
              <w:spacing w:before="155"/>
              <w:ind w:left="51" w:right="51"/>
              <w:rPr>
                <w:sz w:val="18"/>
              </w:rPr>
            </w:pPr>
            <w:r>
              <w:rPr>
                <w:sz w:val="18"/>
              </w:rPr>
              <w:t>NA</w:t>
            </w:r>
          </w:p>
        </w:tc>
        <w:tc>
          <w:tcPr>
            <w:tcW w:w="458" w:type="dxa"/>
          </w:tcPr>
          <w:p>
            <w:pPr>
              <w:pStyle w:val="TableParagraph"/>
              <w:spacing w:before="155"/>
              <w:ind w:left="53" w:right="53"/>
              <w:rPr>
                <w:sz w:val="18"/>
              </w:rPr>
            </w:pPr>
            <w:r>
              <w:rPr>
                <w:sz w:val="18"/>
              </w:rPr>
              <w:t>NA</w:t>
            </w:r>
          </w:p>
        </w:tc>
        <w:tc>
          <w:tcPr>
            <w:tcW w:w="799" w:type="dxa"/>
          </w:tcPr>
          <w:p>
            <w:pPr>
              <w:pStyle w:val="TableParagraph"/>
              <w:spacing w:line="362" w:lineRule="auto"/>
              <w:ind w:left="62" w:right="47" w:firstLine="218"/>
              <w:jc w:val="left"/>
              <w:rPr>
                <w:sz w:val="18"/>
              </w:rPr>
            </w:pPr>
            <w:r>
              <w:rPr>
                <w:color w:val="333333"/>
                <w:sz w:val="18"/>
              </w:rPr>
              <w:t>En Proceso</w:t>
            </w:r>
          </w:p>
        </w:tc>
        <w:tc>
          <w:tcPr>
            <w:tcW w:w="802" w:type="dxa"/>
          </w:tcPr>
          <w:p>
            <w:pPr>
              <w:pStyle w:val="TableParagraph"/>
              <w:spacing w:line="362" w:lineRule="auto"/>
              <w:ind w:left="64" w:right="47" w:firstLine="218"/>
              <w:jc w:val="left"/>
              <w:rPr>
                <w:sz w:val="18"/>
              </w:rPr>
            </w:pPr>
            <w:r>
              <w:rPr>
                <w:color w:val="333333"/>
                <w:sz w:val="18"/>
              </w:rPr>
              <w:t>En Proceso</w:t>
            </w:r>
          </w:p>
        </w:tc>
        <w:tc>
          <w:tcPr>
            <w:tcW w:w="457" w:type="dxa"/>
          </w:tcPr>
          <w:p>
            <w:pPr>
              <w:pStyle w:val="TableParagraph"/>
              <w:spacing w:before="155"/>
              <w:ind w:right="172"/>
              <w:jc w:val="right"/>
              <w:rPr>
                <w:sz w:val="18"/>
              </w:rPr>
            </w:pPr>
            <w:r>
              <w:rPr>
                <w:color w:val="333333"/>
                <w:w w:val="99"/>
                <w:sz w:val="18"/>
              </w:rPr>
              <w:t>0</w:t>
            </w:r>
          </w:p>
        </w:tc>
        <w:tc>
          <w:tcPr>
            <w:tcW w:w="852" w:type="dxa"/>
          </w:tcPr>
          <w:p>
            <w:pPr>
              <w:pStyle w:val="TableParagraph"/>
              <w:spacing w:line="362" w:lineRule="auto"/>
              <w:ind w:left="88" w:right="74" w:firstLine="220"/>
              <w:jc w:val="left"/>
              <w:rPr>
                <w:sz w:val="18"/>
              </w:rPr>
            </w:pPr>
            <w:r>
              <w:rPr>
                <w:color w:val="333333"/>
                <w:sz w:val="18"/>
              </w:rPr>
              <w:t>En Proceso</w:t>
            </w:r>
          </w:p>
        </w:tc>
        <w:tc>
          <w:tcPr>
            <w:tcW w:w="456" w:type="dxa"/>
          </w:tcPr>
          <w:p>
            <w:pPr>
              <w:pStyle w:val="TableParagraph"/>
              <w:spacing w:before="155"/>
              <w:ind w:right="171"/>
              <w:jc w:val="right"/>
              <w:rPr>
                <w:sz w:val="18"/>
              </w:rPr>
            </w:pPr>
            <w:r>
              <w:rPr>
                <w:color w:val="333333"/>
                <w:w w:val="99"/>
                <w:sz w:val="18"/>
              </w:rPr>
              <w:t>0</w:t>
            </w:r>
          </w:p>
        </w:tc>
        <w:tc>
          <w:tcPr>
            <w:tcW w:w="475" w:type="dxa"/>
          </w:tcPr>
          <w:p>
            <w:pPr>
              <w:pStyle w:val="TableParagraph"/>
              <w:spacing w:before="155"/>
              <w:ind w:left="60" w:right="60"/>
              <w:rPr>
                <w:sz w:val="18"/>
              </w:rPr>
            </w:pPr>
            <w:r>
              <w:rPr>
                <w:sz w:val="18"/>
              </w:rPr>
              <w:t>35</w:t>
            </w:r>
          </w:p>
        </w:tc>
      </w:tr>
      <w:tr>
        <w:trPr>
          <w:trHeight w:val="401" w:hRule="exact"/>
        </w:trPr>
        <w:tc>
          <w:tcPr>
            <w:tcW w:w="4277" w:type="dxa"/>
          </w:tcPr>
          <w:p>
            <w:pPr>
              <w:pStyle w:val="TableParagraph"/>
              <w:spacing w:before="35"/>
              <w:ind w:left="64"/>
              <w:jc w:val="left"/>
              <w:rPr>
                <w:b/>
                <w:sz w:val="18"/>
              </w:rPr>
            </w:pPr>
            <w:r>
              <w:rPr>
                <w:b/>
                <w:color w:val="333333"/>
                <w:sz w:val="18"/>
              </w:rPr>
              <w:t>IXTAPAN DEL ORO</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right="1"/>
              <w:rPr>
                <w:sz w:val="18"/>
              </w:rPr>
            </w:pPr>
            <w:r>
              <w:rPr>
                <w:color w:val="333333"/>
                <w:w w:val="99"/>
                <w:sz w:val="18"/>
              </w:rPr>
              <w:t>0</w:t>
            </w:r>
          </w:p>
        </w:tc>
        <w:tc>
          <w:tcPr>
            <w:tcW w:w="456" w:type="dxa"/>
          </w:tcPr>
          <w:p>
            <w:pPr>
              <w:pStyle w:val="TableParagraph"/>
              <w:spacing w:before="40"/>
              <w:ind w:left="172"/>
              <w:jc w:val="left"/>
              <w:rPr>
                <w:sz w:val="18"/>
              </w:rPr>
            </w:pPr>
            <w:r>
              <w:rPr>
                <w:color w:val="006000"/>
                <w:w w:val="99"/>
                <w:sz w:val="18"/>
              </w:rPr>
              <w:t>3</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right="173"/>
              <w:jc w:val="right"/>
              <w:rPr>
                <w:sz w:val="18"/>
              </w:rPr>
            </w:pPr>
            <w:r>
              <w:rPr>
                <w:color w:val="333333"/>
                <w:w w:val="99"/>
                <w:sz w:val="18"/>
              </w:rPr>
              <w:t>0</w:t>
            </w:r>
          </w:p>
        </w:tc>
        <w:tc>
          <w:tcPr>
            <w:tcW w:w="456" w:type="dxa"/>
          </w:tcPr>
          <w:p>
            <w:pPr>
              <w:pStyle w:val="TableParagraph"/>
              <w:spacing w:before="40"/>
              <w:ind w:left="172"/>
              <w:jc w:val="left"/>
              <w:rPr>
                <w:sz w:val="18"/>
              </w:rPr>
            </w:pPr>
            <w:r>
              <w:rPr>
                <w:color w:val="333333"/>
                <w:w w:val="99"/>
                <w:sz w:val="18"/>
              </w:rPr>
              <w:t>0</w:t>
            </w:r>
          </w:p>
        </w:tc>
        <w:tc>
          <w:tcPr>
            <w:tcW w:w="458" w:type="dxa"/>
          </w:tcPr>
          <w:p>
            <w:pPr>
              <w:pStyle w:val="TableParagraph"/>
              <w:spacing w:before="40"/>
              <w:ind w:right="1"/>
              <w:rPr>
                <w:sz w:val="18"/>
              </w:rPr>
            </w:pPr>
            <w:r>
              <w:rPr>
                <w:color w:val="006000"/>
                <w:w w:val="99"/>
                <w:sz w:val="18"/>
              </w:rPr>
              <w:t>2</w:t>
            </w:r>
          </w:p>
        </w:tc>
        <w:tc>
          <w:tcPr>
            <w:tcW w:w="456" w:type="dxa"/>
          </w:tcPr>
          <w:p>
            <w:pPr>
              <w:pStyle w:val="TableParagraph"/>
              <w:spacing w:before="40"/>
              <w:rPr>
                <w:sz w:val="18"/>
              </w:rPr>
            </w:pPr>
            <w:r>
              <w:rPr>
                <w:color w:val="333333"/>
                <w:w w:val="99"/>
                <w:sz w:val="18"/>
              </w:rPr>
              <w:t>0</w:t>
            </w:r>
          </w:p>
        </w:tc>
        <w:tc>
          <w:tcPr>
            <w:tcW w:w="458" w:type="dxa"/>
          </w:tcPr>
          <w:p>
            <w:pPr>
              <w:pStyle w:val="TableParagraph"/>
              <w:spacing w:before="40"/>
              <w:ind w:right="1"/>
              <w:rPr>
                <w:sz w:val="18"/>
              </w:rPr>
            </w:pPr>
            <w:r>
              <w:rPr>
                <w:color w:val="333333"/>
                <w:w w:val="99"/>
                <w:sz w:val="18"/>
              </w:rPr>
              <w:t>0</w:t>
            </w:r>
          </w:p>
        </w:tc>
        <w:tc>
          <w:tcPr>
            <w:tcW w:w="799" w:type="dxa"/>
          </w:tcPr>
          <w:p>
            <w:pPr>
              <w:pStyle w:val="TableParagraph"/>
              <w:spacing w:before="40"/>
              <w:ind w:right="5"/>
              <w:rPr>
                <w:sz w:val="18"/>
              </w:rPr>
            </w:pPr>
            <w:r>
              <w:rPr>
                <w:color w:val="333333"/>
                <w:w w:val="99"/>
                <w:sz w:val="18"/>
              </w:rPr>
              <w:t>0</w:t>
            </w:r>
          </w:p>
        </w:tc>
        <w:tc>
          <w:tcPr>
            <w:tcW w:w="802" w:type="dxa"/>
          </w:tcPr>
          <w:p>
            <w:pPr>
              <w:pStyle w:val="TableParagraph"/>
              <w:spacing w:before="40"/>
              <w:ind w:right="3"/>
              <w:rPr>
                <w:sz w:val="18"/>
              </w:rPr>
            </w:pPr>
            <w:r>
              <w:rPr>
                <w:color w:val="333333"/>
                <w:w w:val="99"/>
                <w:sz w:val="18"/>
              </w:rPr>
              <w:t>0</w:t>
            </w:r>
          </w:p>
        </w:tc>
        <w:tc>
          <w:tcPr>
            <w:tcW w:w="457" w:type="dxa"/>
          </w:tcPr>
          <w:p>
            <w:pPr>
              <w:pStyle w:val="TableParagraph"/>
              <w:spacing w:before="40"/>
              <w:ind w:right="172"/>
              <w:jc w:val="right"/>
              <w:rPr>
                <w:sz w:val="18"/>
              </w:rPr>
            </w:pPr>
            <w:r>
              <w:rPr>
                <w:color w:val="333333"/>
                <w:w w:val="99"/>
                <w:sz w:val="18"/>
              </w:rPr>
              <w:t>0</w:t>
            </w:r>
          </w:p>
        </w:tc>
        <w:tc>
          <w:tcPr>
            <w:tcW w:w="852" w:type="dxa"/>
          </w:tcPr>
          <w:p>
            <w:pPr>
              <w:pStyle w:val="TableParagraph"/>
              <w:spacing w:before="40"/>
              <w:ind w:right="1"/>
              <w:rPr>
                <w:sz w:val="18"/>
              </w:rPr>
            </w:pPr>
            <w:r>
              <w:rPr>
                <w:color w:val="333333"/>
                <w:w w:val="99"/>
                <w:sz w:val="18"/>
              </w:rPr>
              <w:t>0</w:t>
            </w:r>
          </w:p>
        </w:tc>
        <w:tc>
          <w:tcPr>
            <w:tcW w:w="456" w:type="dxa"/>
          </w:tcPr>
          <w:p>
            <w:pPr>
              <w:pStyle w:val="TableParagraph"/>
              <w:spacing w:before="40"/>
              <w:ind w:right="171"/>
              <w:jc w:val="right"/>
              <w:rPr>
                <w:sz w:val="18"/>
              </w:rPr>
            </w:pPr>
            <w:r>
              <w:rPr>
                <w:color w:val="333333"/>
                <w:w w:val="99"/>
                <w:sz w:val="18"/>
              </w:rPr>
              <w:t>0</w:t>
            </w:r>
          </w:p>
        </w:tc>
        <w:tc>
          <w:tcPr>
            <w:tcW w:w="475" w:type="dxa"/>
          </w:tcPr>
          <w:p>
            <w:pPr>
              <w:pStyle w:val="TableParagraph"/>
              <w:spacing w:before="40"/>
              <w:rPr>
                <w:sz w:val="18"/>
              </w:rPr>
            </w:pPr>
            <w:r>
              <w:rPr>
                <w:w w:val="99"/>
                <w:sz w:val="18"/>
              </w:rPr>
              <w:t>7</w:t>
            </w:r>
          </w:p>
        </w:tc>
      </w:tr>
      <w:tr>
        <w:trPr>
          <w:trHeight w:val="399" w:hRule="exact"/>
        </w:trPr>
        <w:tc>
          <w:tcPr>
            <w:tcW w:w="4277" w:type="dxa"/>
          </w:tcPr>
          <w:p>
            <w:pPr>
              <w:pStyle w:val="TableParagraph"/>
              <w:spacing w:before="33"/>
              <w:ind w:left="64"/>
              <w:jc w:val="left"/>
              <w:rPr>
                <w:b/>
                <w:sz w:val="18"/>
              </w:rPr>
            </w:pPr>
            <w:r>
              <w:rPr>
                <w:b/>
                <w:color w:val="333333"/>
                <w:sz w:val="18"/>
              </w:rPr>
              <w:t>IXTLAHUACA</w:t>
            </w:r>
          </w:p>
        </w:tc>
        <w:tc>
          <w:tcPr>
            <w:tcW w:w="456" w:type="dxa"/>
          </w:tcPr>
          <w:p>
            <w:pPr>
              <w:pStyle w:val="TableParagraph"/>
              <w:spacing w:before="38"/>
              <w:rPr>
                <w:sz w:val="18"/>
              </w:rPr>
            </w:pPr>
            <w:r>
              <w:rPr>
                <w:color w:val="006000"/>
                <w:w w:val="99"/>
                <w:sz w:val="18"/>
              </w:rPr>
              <w:t>1</w:t>
            </w:r>
          </w:p>
        </w:tc>
        <w:tc>
          <w:tcPr>
            <w:tcW w:w="458" w:type="dxa"/>
          </w:tcPr>
          <w:p>
            <w:pPr>
              <w:pStyle w:val="TableParagraph"/>
              <w:spacing w:before="38"/>
              <w:ind w:right="1"/>
              <w:rPr>
                <w:sz w:val="18"/>
              </w:rPr>
            </w:pPr>
            <w:r>
              <w:rPr>
                <w:color w:val="333333"/>
                <w:w w:val="99"/>
                <w:sz w:val="18"/>
              </w:rPr>
              <w:t>0</w:t>
            </w:r>
          </w:p>
        </w:tc>
        <w:tc>
          <w:tcPr>
            <w:tcW w:w="456" w:type="dxa"/>
          </w:tcPr>
          <w:p>
            <w:pPr>
              <w:pStyle w:val="TableParagraph"/>
              <w:spacing w:before="38"/>
              <w:ind w:left="172"/>
              <w:jc w:val="left"/>
              <w:rPr>
                <w:sz w:val="18"/>
              </w:rPr>
            </w:pPr>
            <w:r>
              <w:rPr>
                <w:color w:val="006000"/>
                <w:w w:val="99"/>
                <w:sz w:val="18"/>
              </w:rPr>
              <w:t>4</w:t>
            </w:r>
          </w:p>
        </w:tc>
        <w:tc>
          <w:tcPr>
            <w:tcW w:w="456" w:type="dxa"/>
          </w:tcPr>
          <w:p>
            <w:pPr>
              <w:pStyle w:val="TableParagraph"/>
              <w:spacing w:before="38"/>
              <w:rPr>
                <w:sz w:val="18"/>
              </w:rPr>
            </w:pPr>
            <w:r>
              <w:rPr>
                <w:color w:val="006000"/>
                <w:w w:val="99"/>
                <w:sz w:val="18"/>
              </w:rPr>
              <w:t>1</w:t>
            </w:r>
          </w:p>
        </w:tc>
        <w:tc>
          <w:tcPr>
            <w:tcW w:w="458" w:type="dxa"/>
          </w:tcPr>
          <w:p>
            <w:pPr>
              <w:pStyle w:val="TableParagraph"/>
              <w:spacing w:before="38"/>
              <w:ind w:right="173"/>
              <w:jc w:val="right"/>
              <w:rPr>
                <w:sz w:val="18"/>
              </w:rPr>
            </w:pPr>
            <w:r>
              <w:rPr>
                <w:color w:val="006000"/>
                <w:w w:val="99"/>
                <w:sz w:val="18"/>
              </w:rPr>
              <w:t>8</w:t>
            </w:r>
          </w:p>
        </w:tc>
        <w:tc>
          <w:tcPr>
            <w:tcW w:w="456" w:type="dxa"/>
          </w:tcPr>
          <w:p>
            <w:pPr>
              <w:pStyle w:val="TableParagraph"/>
              <w:spacing w:before="38"/>
              <w:ind w:left="172"/>
              <w:jc w:val="left"/>
              <w:rPr>
                <w:sz w:val="18"/>
              </w:rPr>
            </w:pPr>
            <w:r>
              <w:rPr>
                <w:color w:val="006000"/>
                <w:w w:val="99"/>
                <w:sz w:val="18"/>
              </w:rPr>
              <w:t>3</w:t>
            </w:r>
          </w:p>
        </w:tc>
        <w:tc>
          <w:tcPr>
            <w:tcW w:w="458" w:type="dxa"/>
          </w:tcPr>
          <w:p>
            <w:pPr>
              <w:pStyle w:val="TableParagraph"/>
              <w:spacing w:before="38"/>
              <w:ind w:right="1"/>
              <w:rPr>
                <w:sz w:val="18"/>
              </w:rPr>
            </w:pPr>
            <w:r>
              <w:rPr>
                <w:color w:val="006000"/>
                <w:w w:val="99"/>
                <w:sz w:val="18"/>
              </w:rPr>
              <w:t>5</w:t>
            </w:r>
          </w:p>
        </w:tc>
        <w:tc>
          <w:tcPr>
            <w:tcW w:w="456" w:type="dxa"/>
          </w:tcPr>
          <w:p>
            <w:pPr>
              <w:pStyle w:val="TableParagraph"/>
              <w:spacing w:before="38"/>
              <w:rPr>
                <w:sz w:val="18"/>
              </w:rPr>
            </w:pPr>
            <w:r>
              <w:rPr>
                <w:color w:val="333333"/>
                <w:w w:val="99"/>
                <w:sz w:val="18"/>
              </w:rPr>
              <w:t>0</w:t>
            </w:r>
          </w:p>
        </w:tc>
        <w:tc>
          <w:tcPr>
            <w:tcW w:w="458" w:type="dxa"/>
          </w:tcPr>
          <w:p>
            <w:pPr>
              <w:pStyle w:val="TableParagraph"/>
              <w:spacing w:before="38"/>
              <w:ind w:right="1"/>
              <w:rPr>
                <w:sz w:val="18"/>
              </w:rPr>
            </w:pPr>
            <w:r>
              <w:rPr>
                <w:color w:val="006000"/>
                <w:w w:val="99"/>
                <w:sz w:val="18"/>
              </w:rPr>
              <w:t>2</w:t>
            </w:r>
          </w:p>
        </w:tc>
        <w:tc>
          <w:tcPr>
            <w:tcW w:w="799" w:type="dxa"/>
          </w:tcPr>
          <w:p>
            <w:pPr>
              <w:pStyle w:val="TableParagraph"/>
              <w:spacing w:before="38"/>
              <w:ind w:right="5"/>
              <w:rPr>
                <w:sz w:val="18"/>
              </w:rPr>
            </w:pPr>
            <w:r>
              <w:rPr>
                <w:color w:val="333333"/>
                <w:w w:val="99"/>
                <w:sz w:val="18"/>
              </w:rPr>
              <w:t>0</w:t>
            </w:r>
          </w:p>
        </w:tc>
        <w:tc>
          <w:tcPr>
            <w:tcW w:w="802" w:type="dxa"/>
          </w:tcPr>
          <w:p>
            <w:pPr>
              <w:pStyle w:val="TableParagraph"/>
              <w:spacing w:before="38"/>
              <w:ind w:right="3"/>
              <w:rPr>
                <w:sz w:val="18"/>
              </w:rPr>
            </w:pPr>
            <w:r>
              <w:rPr>
                <w:color w:val="006000"/>
                <w:w w:val="99"/>
                <w:sz w:val="18"/>
              </w:rPr>
              <w:t>1</w:t>
            </w:r>
          </w:p>
        </w:tc>
        <w:tc>
          <w:tcPr>
            <w:tcW w:w="457" w:type="dxa"/>
          </w:tcPr>
          <w:p>
            <w:pPr>
              <w:pStyle w:val="TableParagraph"/>
              <w:spacing w:before="38"/>
              <w:ind w:right="172"/>
              <w:jc w:val="right"/>
              <w:rPr>
                <w:sz w:val="18"/>
              </w:rPr>
            </w:pPr>
            <w:r>
              <w:rPr>
                <w:color w:val="333333"/>
                <w:w w:val="99"/>
                <w:sz w:val="18"/>
              </w:rPr>
              <w:t>0</w:t>
            </w:r>
          </w:p>
        </w:tc>
        <w:tc>
          <w:tcPr>
            <w:tcW w:w="852" w:type="dxa"/>
          </w:tcPr>
          <w:p>
            <w:pPr>
              <w:pStyle w:val="TableParagraph"/>
              <w:spacing w:before="38"/>
              <w:ind w:right="1"/>
              <w:rPr>
                <w:sz w:val="18"/>
              </w:rPr>
            </w:pPr>
            <w:r>
              <w:rPr>
                <w:color w:val="333333"/>
                <w:w w:val="99"/>
                <w:sz w:val="18"/>
              </w:rPr>
              <w:t>0</w:t>
            </w:r>
          </w:p>
        </w:tc>
        <w:tc>
          <w:tcPr>
            <w:tcW w:w="456" w:type="dxa"/>
          </w:tcPr>
          <w:p>
            <w:pPr>
              <w:pStyle w:val="TableParagraph"/>
              <w:spacing w:before="38"/>
              <w:ind w:right="171"/>
              <w:jc w:val="right"/>
              <w:rPr>
                <w:sz w:val="18"/>
              </w:rPr>
            </w:pPr>
            <w:r>
              <w:rPr>
                <w:color w:val="333333"/>
                <w:w w:val="99"/>
                <w:sz w:val="18"/>
              </w:rPr>
              <w:t>0</w:t>
            </w:r>
          </w:p>
        </w:tc>
        <w:tc>
          <w:tcPr>
            <w:tcW w:w="475" w:type="dxa"/>
          </w:tcPr>
          <w:p>
            <w:pPr>
              <w:pStyle w:val="TableParagraph"/>
              <w:spacing w:before="38"/>
              <w:ind w:left="60" w:right="60"/>
              <w:rPr>
                <w:sz w:val="18"/>
              </w:rPr>
            </w:pPr>
            <w:r>
              <w:rPr>
                <w:sz w:val="18"/>
              </w:rPr>
              <w:t>25</w:t>
            </w:r>
          </w:p>
        </w:tc>
      </w:tr>
      <w:tr>
        <w:trPr>
          <w:trHeight w:val="401" w:hRule="exact"/>
        </w:trPr>
        <w:tc>
          <w:tcPr>
            <w:tcW w:w="4277" w:type="dxa"/>
          </w:tcPr>
          <w:p>
            <w:pPr>
              <w:pStyle w:val="TableParagraph"/>
              <w:spacing w:before="35"/>
              <w:ind w:left="64"/>
              <w:jc w:val="left"/>
              <w:rPr>
                <w:b/>
                <w:sz w:val="18"/>
              </w:rPr>
            </w:pPr>
            <w:r>
              <w:rPr>
                <w:b/>
                <w:color w:val="333333"/>
                <w:sz w:val="18"/>
              </w:rPr>
              <w:t>JALTENCO</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right="1"/>
              <w:rPr>
                <w:sz w:val="18"/>
              </w:rPr>
            </w:pPr>
            <w:r>
              <w:rPr>
                <w:color w:val="333333"/>
                <w:w w:val="99"/>
                <w:sz w:val="18"/>
              </w:rPr>
              <w:t>0</w:t>
            </w:r>
          </w:p>
        </w:tc>
        <w:tc>
          <w:tcPr>
            <w:tcW w:w="456" w:type="dxa"/>
          </w:tcPr>
          <w:p>
            <w:pPr>
              <w:pStyle w:val="TableParagraph"/>
              <w:spacing w:before="40"/>
              <w:ind w:left="172"/>
              <w:jc w:val="left"/>
              <w:rPr>
                <w:sz w:val="18"/>
              </w:rPr>
            </w:pPr>
            <w:r>
              <w:rPr>
                <w:color w:val="006000"/>
                <w:w w:val="99"/>
                <w:sz w:val="18"/>
              </w:rPr>
              <w:t>5</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right="173"/>
              <w:jc w:val="right"/>
              <w:rPr>
                <w:sz w:val="18"/>
              </w:rPr>
            </w:pPr>
            <w:r>
              <w:rPr>
                <w:color w:val="006000"/>
                <w:w w:val="99"/>
                <w:sz w:val="18"/>
              </w:rPr>
              <w:t>4</w:t>
            </w:r>
          </w:p>
        </w:tc>
        <w:tc>
          <w:tcPr>
            <w:tcW w:w="456" w:type="dxa"/>
          </w:tcPr>
          <w:p>
            <w:pPr>
              <w:pStyle w:val="TableParagraph"/>
              <w:spacing w:before="40"/>
              <w:ind w:left="172"/>
              <w:jc w:val="left"/>
              <w:rPr>
                <w:sz w:val="18"/>
              </w:rPr>
            </w:pPr>
            <w:r>
              <w:rPr>
                <w:color w:val="006000"/>
                <w:w w:val="99"/>
                <w:sz w:val="18"/>
              </w:rPr>
              <w:t>4</w:t>
            </w:r>
          </w:p>
        </w:tc>
        <w:tc>
          <w:tcPr>
            <w:tcW w:w="458" w:type="dxa"/>
          </w:tcPr>
          <w:p>
            <w:pPr>
              <w:pStyle w:val="TableParagraph"/>
              <w:spacing w:before="40"/>
              <w:ind w:right="1"/>
              <w:rPr>
                <w:sz w:val="18"/>
              </w:rPr>
            </w:pPr>
            <w:r>
              <w:rPr>
                <w:color w:val="006000"/>
                <w:w w:val="99"/>
                <w:sz w:val="18"/>
              </w:rPr>
              <w:t>4</w:t>
            </w:r>
          </w:p>
        </w:tc>
        <w:tc>
          <w:tcPr>
            <w:tcW w:w="456" w:type="dxa"/>
          </w:tcPr>
          <w:p>
            <w:pPr>
              <w:pStyle w:val="TableParagraph"/>
              <w:spacing w:before="40"/>
              <w:rPr>
                <w:sz w:val="18"/>
              </w:rPr>
            </w:pPr>
            <w:r>
              <w:rPr>
                <w:color w:val="006000"/>
                <w:w w:val="99"/>
                <w:sz w:val="18"/>
              </w:rPr>
              <w:t>2</w:t>
            </w:r>
          </w:p>
        </w:tc>
        <w:tc>
          <w:tcPr>
            <w:tcW w:w="458" w:type="dxa"/>
          </w:tcPr>
          <w:p>
            <w:pPr>
              <w:pStyle w:val="TableParagraph"/>
              <w:spacing w:before="40"/>
              <w:ind w:right="1"/>
              <w:rPr>
                <w:sz w:val="18"/>
              </w:rPr>
            </w:pPr>
            <w:r>
              <w:rPr>
                <w:color w:val="333333"/>
                <w:w w:val="99"/>
                <w:sz w:val="18"/>
              </w:rPr>
              <w:t>0</w:t>
            </w:r>
          </w:p>
        </w:tc>
        <w:tc>
          <w:tcPr>
            <w:tcW w:w="799" w:type="dxa"/>
          </w:tcPr>
          <w:p>
            <w:pPr>
              <w:pStyle w:val="TableParagraph"/>
              <w:spacing w:before="40"/>
              <w:ind w:right="5"/>
              <w:rPr>
                <w:sz w:val="18"/>
              </w:rPr>
            </w:pPr>
            <w:r>
              <w:rPr>
                <w:color w:val="006000"/>
                <w:w w:val="99"/>
                <w:sz w:val="18"/>
              </w:rPr>
              <w:t>3</w:t>
            </w:r>
          </w:p>
        </w:tc>
        <w:tc>
          <w:tcPr>
            <w:tcW w:w="802" w:type="dxa"/>
          </w:tcPr>
          <w:p>
            <w:pPr>
              <w:pStyle w:val="TableParagraph"/>
              <w:spacing w:before="40"/>
              <w:ind w:right="3"/>
              <w:rPr>
                <w:sz w:val="18"/>
              </w:rPr>
            </w:pPr>
            <w:r>
              <w:rPr>
                <w:color w:val="333333"/>
                <w:w w:val="99"/>
                <w:sz w:val="18"/>
              </w:rPr>
              <w:t>0</w:t>
            </w:r>
          </w:p>
        </w:tc>
        <w:tc>
          <w:tcPr>
            <w:tcW w:w="457" w:type="dxa"/>
          </w:tcPr>
          <w:p>
            <w:pPr>
              <w:pStyle w:val="TableParagraph"/>
              <w:spacing w:before="40"/>
              <w:ind w:right="172"/>
              <w:jc w:val="right"/>
              <w:rPr>
                <w:sz w:val="18"/>
              </w:rPr>
            </w:pPr>
            <w:r>
              <w:rPr>
                <w:color w:val="006000"/>
                <w:w w:val="99"/>
                <w:sz w:val="18"/>
              </w:rPr>
              <w:t>3</w:t>
            </w:r>
          </w:p>
        </w:tc>
        <w:tc>
          <w:tcPr>
            <w:tcW w:w="852" w:type="dxa"/>
          </w:tcPr>
          <w:p>
            <w:pPr>
              <w:pStyle w:val="TableParagraph"/>
              <w:spacing w:before="40"/>
              <w:ind w:right="1"/>
              <w:rPr>
                <w:sz w:val="18"/>
              </w:rPr>
            </w:pPr>
            <w:r>
              <w:rPr>
                <w:color w:val="333333"/>
                <w:w w:val="99"/>
                <w:sz w:val="18"/>
              </w:rPr>
              <w:t>0</w:t>
            </w:r>
          </w:p>
        </w:tc>
        <w:tc>
          <w:tcPr>
            <w:tcW w:w="456" w:type="dxa"/>
          </w:tcPr>
          <w:p>
            <w:pPr>
              <w:pStyle w:val="TableParagraph"/>
              <w:spacing w:before="40"/>
              <w:ind w:right="171"/>
              <w:jc w:val="right"/>
              <w:rPr>
                <w:sz w:val="18"/>
              </w:rPr>
            </w:pPr>
            <w:r>
              <w:rPr>
                <w:color w:val="006000"/>
                <w:w w:val="99"/>
                <w:sz w:val="18"/>
              </w:rPr>
              <w:t>1</w:t>
            </w:r>
          </w:p>
        </w:tc>
        <w:tc>
          <w:tcPr>
            <w:tcW w:w="475" w:type="dxa"/>
          </w:tcPr>
          <w:p>
            <w:pPr>
              <w:pStyle w:val="TableParagraph"/>
              <w:spacing w:before="40"/>
              <w:ind w:left="60" w:right="60"/>
              <w:rPr>
                <w:sz w:val="18"/>
              </w:rPr>
            </w:pPr>
            <w:r>
              <w:rPr>
                <w:sz w:val="18"/>
              </w:rPr>
              <w:t>28</w:t>
            </w:r>
          </w:p>
        </w:tc>
      </w:tr>
    </w:tbl>
    <w:p>
      <w:pPr>
        <w:spacing w:after="0"/>
        <w:rPr>
          <w:sz w:val="18"/>
        </w:rPr>
        <w:sectPr>
          <w:pgSz w:w="15840" w:h="12240" w:orient="landscape"/>
          <w:pgMar w:header="0" w:footer="975" w:top="1140" w:bottom="1160" w:left="1700" w:right="1680"/>
        </w:sectPr>
      </w:pPr>
    </w:p>
    <w:p>
      <w:pPr>
        <w:pStyle w:val="BodyText"/>
        <w:rPr>
          <w:rFonts w:ascii="Times New Roman"/>
          <w:sz w:val="20"/>
        </w:rPr>
      </w:pPr>
    </w:p>
    <w:p>
      <w:pPr>
        <w:pStyle w:val="BodyText"/>
        <w:spacing w:before="8"/>
        <w:rPr>
          <w:rFonts w:ascii="Times New Roman"/>
          <w:sz w:val="20"/>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77"/>
        <w:gridCol w:w="456"/>
        <w:gridCol w:w="458"/>
        <w:gridCol w:w="456"/>
        <w:gridCol w:w="456"/>
        <w:gridCol w:w="475"/>
        <w:gridCol w:w="459"/>
        <w:gridCol w:w="456"/>
        <w:gridCol w:w="458"/>
        <w:gridCol w:w="456"/>
        <w:gridCol w:w="684"/>
        <w:gridCol w:w="646"/>
        <w:gridCol w:w="456"/>
        <w:gridCol w:w="852"/>
        <w:gridCol w:w="475"/>
        <w:gridCol w:w="475"/>
      </w:tblGrid>
      <w:tr>
        <w:trPr>
          <w:trHeight w:val="373" w:hRule="exact"/>
        </w:trPr>
        <w:tc>
          <w:tcPr>
            <w:tcW w:w="11997" w:type="dxa"/>
            <w:gridSpan w:val="16"/>
            <w:shd w:val="clear" w:color="auto" w:fill="92D050"/>
          </w:tcPr>
          <w:p>
            <w:pPr>
              <w:pStyle w:val="TableParagraph"/>
              <w:spacing w:before="20"/>
              <w:ind w:left="1348"/>
              <w:jc w:val="left"/>
              <w:rPr>
                <w:b/>
                <w:sz w:val="18"/>
              </w:rPr>
            </w:pPr>
            <w:r>
              <w:rPr>
                <w:b/>
                <w:sz w:val="18"/>
              </w:rPr>
              <w:t>Anexo 18. Normativa publicada por los municipios del Estado de México a través del INFOEM (continuación)</w:t>
            </w:r>
          </w:p>
        </w:tc>
      </w:tr>
      <w:tr>
        <w:trPr>
          <w:trHeight w:val="1412" w:hRule="exact"/>
        </w:trPr>
        <w:tc>
          <w:tcPr>
            <w:tcW w:w="4277" w:type="dxa"/>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126"/>
              <w:ind w:left="1691" w:right="1693"/>
              <w:rPr>
                <w:b/>
                <w:sz w:val="18"/>
              </w:rPr>
            </w:pPr>
            <w:r>
              <w:rPr>
                <w:b/>
                <w:sz w:val="18"/>
              </w:rPr>
              <w:t>Municipio</w:t>
            </w:r>
          </w:p>
        </w:tc>
        <w:tc>
          <w:tcPr>
            <w:tcW w:w="456" w:type="dxa"/>
            <w:shd w:val="clear" w:color="auto" w:fill="C5DFB3"/>
            <w:textDirection w:val="btLr"/>
          </w:tcPr>
          <w:p>
            <w:pPr>
              <w:pStyle w:val="TableParagraph"/>
              <w:spacing w:before="64"/>
              <w:ind w:left="76" w:right="-11"/>
              <w:jc w:val="left"/>
              <w:rPr>
                <w:b/>
                <w:sz w:val="18"/>
              </w:rPr>
            </w:pPr>
            <w:r>
              <w:rPr>
                <w:b/>
                <w:sz w:val="18"/>
              </w:rPr>
              <w:t>Con</w:t>
            </w:r>
            <w:r>
              <w:rPr>
                <w:b/>
                <w:spacing w:val="1"/>
                <w:sz w:val="18"/>
              </w:rPr>
              <w:t>s</w:t>
            </w:r>
            <w:r>
              <w:rPr>
                <w:b/>
                <w:w w:val="100"/>
                <w:sz w:val="18"/>
              </w:rPr>
              <w:t>t.</w:t>
            </w:r>
            <w:r>
              <w:rPr>
                <w:b/>
                <w:sz w:val="18"/>
              </w:rPr>
              <w:t> Fe</w:t>
            </w:r>
            <w:r>
              <w:rPr>
                <w:b/>
                <w:spacing w:val="-2"/>
                <w:w w:val="100"/>
                <w:sz w:val="18"/>
              </w:rPr>
              <w:t>d</w:t>
            </w:r>
            <w:r>
              <w:rPr>
                <w:b/>
                <w:w w:val="99"/>
                <w:sz w:val="18"/>
              </w:rPr>
              <w:t>e</w:t>
            </w:r>
            <w:r>
              <w:rPr>
                <w:b/>
                <w:w w:val="99"/>
                <w:sz w:val="18"/>
              </w:rPr>
              <w:t>ral</w:t>
            </w:r>
          </w:p>
        </w:tc>
        <w:tc>
          <w:tcPr>
            <w:tcW w:w="458" w:type="dxa"/>
            <w:shd w:val="clear" w:color="auto" w:fill="C5DFB3"/>
            <w:textDirection w:val="btLr"/>
          </w:tcPr>
          <w:p>
            <w:pPr>
              <w:pStyle w:val="TableParagraph"/>
              <w:spacing w:before="66"/>
              <w:ind w:left="160" w:right="-11"/>
              <w:jc w:val="left"/>
              <w:rPr>
                <w:b/>
                <w:sz w:val="18"/>
              </w:rPr>
            </w:pPr>
            <w:r>
              <w:rPr>
                <w:b/>
                <w:w w:val="99"/>
                <w:sz w:val="18"/>
              </w:rPr>
              <w:t>Trata</w:t>
            </w:r>
            <w:r>
              <w:rPr>
                <w:b/>
                <w:w w:val="100"/>
                <w:sz w:val="18"/>
              </w:rPr>
              <w:t>do</w:t>
            </w:r>
            <w:r>
              <w:rPr>
                <w:b/>
                <w:w w:val="99"/>
                <w:sz w:val="18"/>
              </w:rPr>
              <w:t>s</w:t>
            </w:r>
            <w:r>
              <w:rPr>
                <w:b/>
                <w:spacing w:val="-2"/>
                <w:sz w:val="18"/>
              </w:rPr>
              <w:t> </w:t>
            </w:r>
            <w:r>
              <w:rPr>
                <w:b/>
                <w:w w:val="100"/>
                <w:sz w:val="18"/>
              </w:rPr>
              <w:t>Int.</w:t>
            </w:r>
          </w:p>
        </w:tc>
        <w:tc>
          <w:tcPr>
            <w:tcW w:w="456" w:type="dxa"/>
            <w:shd w:val="clear" w:color="auto" w:fill="C5DFB3"/>
            <w:textDirection w:val="btLr"/>
          </w:tcPr>
          <w:p>
            <w:pPr>
              <w:pStyle w:val="TableParagraph"/>
              <w:spacing w:before="64"/>
              <w:ind w:left="235" w:right="-11"/>
              <w:jc w:val="left"/>
              <w:rPr>
                <w:b/>
                <w:sz w:val="18"/>
              </w:rPr>
            </w:pPr>
            <w:r>
              <w:rPr>
                <w:b/>
                <w:sz w:val="18"/>
              </w:rPr>
              <w:t>Le</w:t>
            </w:r>
            <w:r>
              <w:rPr>
                <w:b/>
                <w:w w:val="99"/>
                <w:sz w:val="18"/>
              </w:rPr>
              <w:t>yes</w:t>
            </w:r>
            <w:r>
              <w:rPr>
                <w:b/>
                <w:spacing w:val="-2"/>
                <w:sz w:val="18"/>
              </w:rPr>
              <w:t> </w:t>
            </w:r>
            <w:r>
              <w:rPr>
                <w:b/>
                <w:sz w:val="18"/>
              </w:rPr>
              <w:t>Fe</w:t>
            </w:r>
            <w:r>
              <w:rPr>
                <w:b/>
                <w:w w:val="100"/>
                <w:sz w:val="18"/>
              </w:rPr>
              <w:t>d.</w:t>
            </w:r>
          </w:p>
        </w:tc>
        <w:tc>
          <w:tcPr>
            <w:tcW w:w="456" w:type="dxa"/>
            <w:shd w:val="clear" w:color="auto" w:fill="C5DFB3"/>
            <w:textDirection w:val="btLr"/>
          </w:tcPr>
          <w:p>
            <w:pPr>
              <w:pStyle w:val="TableParagraph"/>
              <w:spacing w:before="64"/>
              <w:ind w:left="160" w:right="-11"/>
              <w:jc w:val="left"/>
              <w:rPr>
                <w:b/>
                <w:sz w:val="18"/>
              </w:rPr>
            </w:pPr>
            <w:r>
              <w:rPr>
                <w:b/>
                <w:sz w:val="18"/>
              </w:rPr>
              <w:t>Con</w:t>
            </w:r>
            <w:r>
              <w:rPr>
                <w:b/>
                <w:spacing w:val="1"/>
                <w:sz w:val="18"/>
              </w:rPr>
              <w:t>s</w:t>
            </w:r>
            <w:r>
              <w:rPr>
                <w:b/>
                <w:w w:val="100"/>
                <w:sz w:val="18"/>
              </w:rPr>
              <w:t>t.</w:t>
            </w:r>
            <w:r>
              <w:rPr>
                <w:b/>
                <w:sz w:val="18"/>
              </w:rPr>
              <w:t> </w:t>
            </w:r>
            <w:r>
              <w:rPr>
                <w:b/>
                <w:w w:val="100"/>
                <w:sz w:val="18"/>
              </w:rPr>
              <w:t>Lo</w:t>
            </w:r>
            <w:r>
              <w:rPr>
                <w:b/>
                <w:spacing w:val="-2"/>
                <w:w w:val="99"/>
                <w:sz w:val="18"/>
              </w:rPr>
              <w:t>c</w:t>
            </w:r>
            <w:r>
              <w:rPr>
                <w:b/>
                <w:w w:val="99"/>
                <w:sz w:val="18"/>
              </w:rPr>
              <w:t>a</w:t>
            </w:r>
            <w:r>
              <w:rPr>
                <w:b/>
                <w:w w:val="100"/>
                <w:sz w:val="18"/>
              </w:rPr>
              <w:t>l</w:t>
            </w:r>
          </w:p>
        </w:tc>
        <w:tc>
          <w:tcPr>
            <w:tcW w:w="475" w:type="dxa"/>
            <w:shd w:val="clear" w:color="auto" w:fill="C5DFB3"/>
            <w:textDirection w:val="btLr"/>
          </w:tcPr>
          <w:p>
            <w:pPr>
              <w:pStyle w:val="TableParagraph"/>
              <w:spacing w:before="73"/>
              <w:ind w:left="86" w:right="-11"/>
              <w:jc w:val="left"/>
              <w:rPr>
                <w:b/>
                <w:sz w:val="18"/>
              </w:rPr>
            </w:pPr>
            <w:r>
              <w:rPr>
                <w:b/>
                <w:sz w:val="18"/>
              </w:rPr>
              <w:t>Le</w:t>
            </w:r>
            <w:r>
              <w:rPr>
                <w:b/>
                <w:w w:val="99"/>
                <w:sz w:val="18"/>
              </w:rPr>
              <w:t>yes</w:t>
            </w:r>
            <w:r>
              <w:rPr>
                <w:b/>
                <w:spacing w:val="-2"/>
                <w:sz w:val="18"/>
              </w:rPr>
              <w:t> </w:t>
            </w:r>
            <w:r>
              <w:rPr>
                <w:b/>
                <w:w w:val="100"/>
                <w:sz w:val="18"/>
              </w:rPr>
              <w:t>Lo</w:t>
            </w:r>
            <w:r>
              <w:rPr>
                <w:b/>
                <w:w w:val="99"/>
                <w:sz w:val="18"/>
              </w:rPr>
              <w:t>c</w:t>
            </w:r>
            <w:r>
              <w:rPr>
                <w:b/>
                <w:spacing w:val="-2"/>
                <w:w w:val="99"/>
                <w:sz w:val="18"/>
              </w:rPr>
              <w:t>a</w:t>
            </w:r>
            <w:r>
              <w:rPr>
                <w:b/>
                <w:w w:val="100"/>
                <w:sz w:val="18"/>
              </w:rPr>
              <w:t>le</w:t>
            </w:r>
            <w:r>
              <w:rPr>
                <w:b/>
                <w:w w:val="99"/>
                <w:sz w:val="18"/>
              </w:rPr>
              <w:t>s</w:t>
            </w:r>
          </w:p>
        </w:tc>
        <w:tc>
          <w:tcPr>
            <w:tcW w:w="459" w:type="dxa"/>
            <w:shd w:val="clear" w:color="auto" w:fill="C5DFB3"/>
            <w:textDirection w:val="btLr"/>
          </w:tcPr>
          <w:p>
            <w:pPr>
              <w:pStyle w:val="TableParagraph"/>
              <w:spacing w:before="66"/>
              <w:ind w:left="340" w:right="-11"/>
              <w:jc w:val="left"/>
              <w:rPr>
                <w:b/>
                <w:sz w:val="18"/>
              </w:rPr>
            </w:pPr>
            <w:r>
              <w:rPr>
                <w:b/>
                <w:w w:val="100"/>
                <w:sz w:val="18"/>
              </w:rPr>
              <w:t>Códi</w:t>
            </w:r>
            <w:r>
              <w:rPr>
                <w:b/>
                <w:w w:val="100"/>
                <w:sz w:val="18"/>
              </w:rPr>
              <w:t>go</w:t>
            </w:r>
            <w:r>
              <w:rPr>
                <w:b/>
                <w:w w:val="99"/>
                <w:sz w:val="18"/>
              </w:rPr>
              <w:t>s</w:t>
            </w:r>
          </w:p>
        </w:tc>
        <w:tc>
          <w:tcPr>
            <w:tcW w:w="456" w:type="dxa"/>
            <w:shd w:val="clear" w:color="auto" w:fill="C5DFB3"/>
            <w:textDirection w:val="btLr"/>
          </w:tcPr>
          <w:p>
            <w:pPr>
              <w:pStyle w:val="TableParagraph"/>
              <w:spacing w:before="64"/>
              <w:ind w:left="136" w:right="-11"/>
              <w:jc w:val="left"/>
              <w:rPr>
                <w:b/>
                <w:sz w:val="18"/>
              </w:rPr>
            </w:pPr>
            <w:r>
              <w:rPr>
                <w:b/>
                <w:w w:val="99"/>
                <w:sz w:val="18"/>
              </w:rPr>
              <w:t>Reg</w:t>
            </w:r>
            <w:r>
              <w:rPr>
                <w:b/>
                <w:w w:val="100"/>
                <w:sz w:val="18"/>
              </w:rPr>
              <w:t>la</w:t>
            </w:r>
            <w:r>
              <w:rPr>
                <w:b/>
                <w:w w:val="99"/>
                <w:sz w:val="18"/>
              </w:rPr>
              <w:t>m</w:t>
            </w:r>
            <w:r>
              <w:rPr>
                <w:b/>
                <w:spacing w:val="-2"/>
                <w:w w:val="99"/>
                <w:sz w:val="18"/>
              </w:rPr>
              <w:t>e</w:t>
            </w:r>
            <w:r>
              <w:rPr>
                <w:b/>
                <w:w w:val="100"/>
                <w:sz w:val="18"/>
              </w:rPr>
              <w:t>nto</w:t>
            </w:r>
            <w:r>
              <w:rPr>
                <w:b/>
                <w:w w:val="99"/>
                <w:sz w:val="18"/>
              </w:rPr>
              <w:t>s</w:t>
            </w:r>
          </w:p>
        </w:tc>
        <w:tc>
          <w:tcPr>
            <w:tcW w:w="458" w:type="dxa"/>
            <w:shd w:val="clear" w:color="auto" w:fill="C5DFB3"/>
            <w:textDirection w:val="btLr"/>
          </w:tcPr>
          <w:p>
            <w:pPr>
              <w:pStyle w:val="TableParagraph"/>
              <w:spacing w:before="66"/>
              <w:ind w:left="316" w:right="-11"/>
              <w:jc w:val="left"/>
              <w:rPr>
                <w:b/>
                <w:sz w:val="18"/>
              </w:rPr>
            </w:pPr>
            <w:r>
              <w:rPr>
                <w:b/>
                <w:w w:val="99"/>
                <w:sz w:val="18"/>
              </w:rPr>
              <w:t>Dec</w:t>
            </w:r>
            <w:r>
              <w:rPr>
                <w:b/>
                <w:w w:val="99"/>
                <w:sz w:val="18"/>
              </w:rPr>
              <w:t>reto</w:t>
            </w:r>
            <w:r>
              <w:rPr>
                <w:b/>
                <w:w w:val="99"/>
                <w:sz w:val="18"/>
              </w:rPr>
              <w:t>s</w:t>
            </w:r>
          </w:p>
        </w:tc>
        <w:tc>
          <w:tcPr>
            <w:tcW w:w="456" w:type="dxa"/>
            <w:shd w:val="clear" w:color="auto" w:fill="C5DFB3"/>
            <w:textDirection w:val="btLr"/>
          </w:tcPr>
          <w:p>
            <w:pPr>
              <w:pStyle w:val="TableParagraph"/>
              <w:spacing w:before="64"/>
              <w:ind w:left="285" w:right="-11"/>
              <w:jc w:val="left"/>
              <w:rPr>
                <w:b/>
                <w:sz w:val="18"/>
              </w:rPr>
            </w:pPr>
            <w:r>
              <w:rPr>
                <w:b/>
                <w:w w:val="99"/>
                <w:sz w:val="18"/>
              </w:rPr>
              <w:t>Acu</w:t>
            </w:r>
            <w:r>
              <w:rPr>
                <w:b/>
                <w:w w:val="99"/>
                <w:sz w:val="18"/>
              </w:rPr>
              <w:t>e</w:t>
            </w:r>
            <w:r>
              <w:rPr>
                <w:b/>
                <w:sz w:val="18"/>
              </w:rPr>
              <w:t>rdos</w:t>
            </w:r>
          </w:p>
        </w:tc>
        <w:tc>
          <w:tcPr>
            <w:tcW w:w="684" w:type="dxa"/>
            <w:shd w:val="clear" w:color="auto" w:fill="C5DFB3"/>
            <w:textDirection w:val="btLr"/>
          </w:tcPr>
          <w:p>
            <w:pPr>
              <w:pStyle w:val="TableParagraph"/>
              <w:spacing w:line="369" w:lineRule="auto" w:before="64"/>
              <w:ind w:left="7" w:right="-11" w:firstLine="153"/>
              <w:jc w:val="left"/>
              <w:rPr>
                <w:b/>
                <w:sz w:val="18"/>
              </w:rPr>
            </w:pPr>
            <w:r>
              <w:rPr>
                <w:b/>
                <w:spacing w:val="1"/>
                <w:w w:val="99"/>
                <w:sz w:val="18"/>
              </w:rPr>
              <w:t>M</w:t>
            </w:r>
            <w:r>
              <w:rPr>
                <w:b/>
                <w:w w:val="99"/>
                <w:sz w:val="18"/>
              </w:rPr>
              <w:t>a</w:t>
            </w:r>
            <w:r>
              <w:rPr>
                <w:b/>
                <w:w w:val="100"/>
                <w:sz w:val="18"/>
              </w:rPr>
              <w:t>nu</w:t>
            </w:r>
            <w:r>
              <w:rPr>
                <w:b/>
                <w:spacing w:val="-2"/>
                <w:w w:val="99"/>
                <w:sz w:val="18"/>
              </w:rPr>
              <w:t>a</w:t>
            </w:r>
            <w:r>
              <w:rPr>
                <w:b/>
                <w:w w:val="100"/>
                <w:sz w:val="18"/>
              </w:rPr>
              <w:t>le</w:t>
            </w:r>
            <w:r>
              <w:rPr>
                <w:b/>
                <w:w w:val="99"/>
                <w:sz w:val="18"/>
              </w:rPr>
              <w:t>s</w:t>
            </w:r>
            <w:r>
              <w:rPr>
                <w:b/>
                <w:spacing w:val="-2"/>
                <w:sz w:val="18"/>
              </w:rPr>
              <w:t> </w:t>
            </w:r>
            <w:r>
              <w:rPr>
                <w:b/>
                <w:sz w:val="18"/>
              </w:rPr>
              <w:t>de proc</w:t>
            </w:r>
            <w:r>
              <w:rPr>
                <w:b/>
                <w:w w:val="99"/>
                <w:sz w:val="18"/>
              </w:rPr>
              <w:t>e</w:t>
            </w:r>
            <w:r>
              <w:rPr>
                <w:b/>
                <w:w w:val="100"/>
                <w:sz w:val="18"/>
              </w:rPr>
              <w:t>di</w:t>
            </w:r>
            <w:r>
              <w:rPr>
                <w:b/>
                <w:spacing w:val="-2"/>
                <w:w w:val="99"/>
                <w:sz w:val="18"/>
              </w:rPr>
              <w:t>m</w:t>
            </w:r>
            <w:r>
              <w:rPr>
                <w:b/>
                <w:w w:val="100"/>
                <w:sz w:val="18"/>
              </w:rPr>
              <w:t>ie</w:t>
            </w:r>
            <w:r>
              <w:rPr>
                <w:b/>
                <w:w w:val="100"/>
                <w:sz w:val="18"/>
              </w:rPr>
              <w:t>nt</w:t>
            </w:r>
            <w:r>
              <w:rPr>
                <w:b/>
                <w:spacing w:val="-2"/>
                <w:w w:val="100"/>
                <w:sz w:val="18"/>
              </w:rPr>
              <w:t>o</w:t>
            </w:r>
            <w:r>
              <w:rPr>
                <w:b/>
                <w:w w:val="99"/>
                <w:sz w:val="18"/>
              </w:rPr>
              <w:t>s</w:t>
            </w:r>
            <w:r>
              <w:rPr>
                <w:b/>
                <w:w w:val="100"/>
                <w:sz w:val="18"/>
              </w:rPr>
              <w:t>.</w:t>
            </w:r>
          </w:p>
        </w:tc>
        <w:tc>
          <w:tcPr>
            <w:tcW w:w="646" w:type="dxa"/>
            <w:shd w:val="clear" w:color="auto" w:fill="C5DFB3"/>
            <w:textDirection w:val="btLr"/>
          </w:tcPr>
          <w:p>
            <w:pPr>
              <w:pStyle w:val="TableParagraph"/>
              <w:spacing w:line="369" w:lineRule="auto" w:before="64"/>
              <w:ind w:left="146" w:right="128" w:firstLine="14"/>
              <w:jc w:val="left"/>
              <w:rPr>
                <w:b/>
                <w:sz w:val="18"/>
              </w:rPr>
            </w:pPr>
            <w:r>
              <w:rPr>
                <w:b/>
                <w:spacing w:val="1"/>
                <w:w w:val="99"/>
                <w:sz w:val="18"/>
              </w:rPr>
              <w:t>M</w:t>
            </w:r>
            <w:r>
              <w:rPr>
                <w:b/>
                <w:w w:val="99"/>
                <w:sz w:val="18"/>
              </w:rPr>
              <w:t>a</w:t>
            </w:r>
            <w:r>
              <w:rPr>
                <w:b/>
                <w:w w:val="100"/>
                <w:sz w:val="18"/>
              </w:rPr>
              <w:t>nu</w:t>
            </w:r>
            <w:r>
              <w:rPr>
                <w:b/>
                <w:spacing w:val="-2"/>
                <w:w w:val="99"/>
                <w:sz w:val="18"/>
              </w:rPr>
              <w:t>a</w:t>
            </w:r>
            <w:r>
              <w:rPr>
                <w:b/>
                <w:w w:val="100"/>
                <w:sz w:val="18"/>
              </w:rPr>
              <w:t>le</w:t>
            </w:r>
            <w:r>
              <w:rPr>
                <w:b/>
                <w:w w:val="99"/>
                <w:sz w:val="18"/>
              </w:rPr>
              <w:t>s</w:t>
            </w:r>
            <w:r>
              <w:rPr>
                <w:b/>
                <w:spacing w:val="-2"/>
                <w:sz w:val="18"/>
              </w:rPr>
              <w:t> </w:t>
            </w:r>
            <w:r>
              <w:rPr>
                <w:b/>
                <w:sz w:val="18"/>
              </w:rPr>
              <w:t>de orga</w:t>
            </w:r>
            <w:r>
              <w:rPr>
                <w:b/>
                <w:w w:val="100"/>
                <w:sz w:val="18"/>
              </w:rPr>
              <w:t>ni</w:t>
            </w:r>
            <w:r>
              <w:rPr>
                <w:b/>
                <w:spacing w:val="-2"/>
                <w:sz w:val="18"/>
              </w:rPr>
              <w:t>z</w:t>
            </w:r>
            <w:r>
              <w:rPr>
                <w:b/>
                <w:w w:val="99"/>
                <w:sz w:val="18"/>
              </w:rPr>
              <w:t>ac</w:t>
            </w:r>
            <w:r>
              <w:rPr>
                <w:b/>
                <w:w w:val="100"/>
                <w:sz w:val="18"/>
              </w:rPr>
              <w:t>ión</w:t>
            </w:r>
          </w:p>
        </w:tc>
        <w:tc>
          <w:tcPr>
            <w:tcW w:w="456" w:type="dxa"/>
            <w:tcBorders>
              <w:right w:val="single" w:sz="4" w:space="0" w:color="000000"/>
            </w:tcBorders>
            <w:shd w:val="clear" w:color="auto" w:fill="C5DFB3"/>
            <w:textDirection w:val="btLr"/>
          </w:tcPr>
          <w:p>
            <w:pPr>
              <w:pStyle w:val="TableParagraph"/>
              <w:spacing w:before="64"/>
              <w:ind w:left="21" w:right="-11"/>
              <w:jc w:val="left"/>
              <w:rPr>
                <w:b/>
                <w:sz w:val="18"/>
              </w:rPr>
            </w:pPr>
            <w:r>
              <w:rPr>
                <w:b/>
                <w:spacing w:val="-1"/>
                <w:w w:val="100"/>
                <w:sz w:val="18"/>
              </w:rPr>
              <w:t>O</w:t>
            </w:r>
            <w:r>
              <w:rPr>
                <w:b/>
                <w:w w:val="99"/>
                <w:sz w:val="18"/>
              </w:rPr>
              <w:t>tros m</w:t>
            </w:r>
            <w:r>
              <w:rPr>
                <w:b/>
                <w:w w:val="99"/>
                <w:sz w:val="18"/>
              </w:rPr>
              <w:t>a</w:t>
            </w:r>
            <w:r>
              <w:rPr>
                <w:b/>
                <w:w w:val="100"/>
                <w:sz w:val="18"/>
              </w:rPr>
              <w:t>nu</w:t>
            </w:r>
            <w:r>
              <w:rPr>
                <w:b/>
                <w:spacing w:val="-2"/>
                <w:w w:val="99"/>
                <w:sz w:val="18"/>
              </w:rPr>
              <w:t>a</w:t>
            </w:r>
            <w:r>
              <w:rPr>
                <w:b/>
                <w:w w:val="100"/>
                <w:sz w:val="18"/>
              </w:rPr>
              <w:t>le</w:t>
            </w:r>
            <w:r>
              <w:rPr>
                <w:b/>
                <w:w w:val="99"/>
                <w:sz w:val="18"/>
              </w:rPr>
              <w:t>s</w:t>
            </w:r>
          </w:p>
        </w:tc>
        <w:tc>
          <w:tcPr>
            <w:tcW w:w="852" w:type="dxa"/>
            <w:tcBorders>
              <w:left w:val="single" w:sz="4" w:space="0" w:color="000000"/>
            </w:tcBorders>
            <w:shd w:val="clear" w:color="auto" w:fill="C5DFB3"/>
            <w:textDirection w:val="btLr"/>
          </w:tcPr>
          <w:p>
            <w:pPr>
              <w:pStyle w:val="TableParagraph"/>
              <w:spacing w:before="7"/>
              <w:jc w:val="left"/>
              <w:rPr>
                <w:rFonts w:ascii="Times New Roman"/>
                <w:sz w:val="22"/>
              </w:rPr>
            </w:pPr>
          </w:p>
          <w:p>
            <w:pPr>
              <w:pStyle w:val="TableParagraph"/>
              <w:spacing w:before="1"/>
              <w:ind w:left="261"/>
              <w:jc w:val="left"/>
              <w:rPr>
                <w:b/>
                <w:sz w:val="18"/>
              </w:rPr>
            </w:pPr>
            <w:r>
              <w:rPr>
                <w:b/>
                <w:w w:val="99"/>
                <w:sz w:val="18"/>
              </w:rPr>
              <w:t>Circula</w:t>
            </w:r>
            <w:r>
              <w:rPr>
                <w:b/>
                <w:w w:val="99"/>
                <w:sz w:val="18"/>
              </w:rPr>
              <w:t>res</w:t>
            </w:r>
          </w:p>
        </w:tc>
        <w:tc>
          <w:tcPr>
            <w:tcW w:w="475" w:type="dxa"/>
            <w:shd w:val="clear" w:color="auto" w:fill="C5DFB3"/>
            <w:textDirection w:val="btLr"/>
          </w:tcPr>
          <w:p>
            <w:pPr>
              <w:pStyle w:val="TableParagraph"/>
              <w:spacing w:before="64"/>
              <w:ind w:left="405" w:right="-11"/>
              <w:jc w:val="left"/>
              <w:rPr>
                <w:b/>
                <w:sz w:val="18"/>
              </w:rPr>
            </w:pPr>
            <w:r>
              <w:rPr>
                <w:b/>
                <w:w w:val="99"/>
                <w:sz w:val="18"/>
              </w:rPr>
              <w:t>Demás</w:t>
            </w:r>
          </w:p>
        </w:tc>
        <w:tc>
          <w:tcPr>
            <w:tcW w:w="475" w:type="dxa"/>
            <w:shd w:val="clear" w:color="auto" w:fill="C5DFB3"/>
            <w:textDirection w:val="btLr"/>
          </w:tcPr>
          <w:p>
            <w:pPr>
              <w:pStyle w:val="TableParagraph"/>
              <w:spacing w:before="71"/>
              <w:ind w:left="340" w:right="-11"/>
              <w:jc w:val="left"/>
              <w:rPr>
                <w:b/>
                <w:sz w:val="18"/>
              </w:rPr>
            </w:pPr>
            <w:r>
              <w:rPr>
                <w:b/>
                <w:w w:val="100"/>
                <w:sz w:val="18"/>
              </w:rPr>
              <w:t>Subtot</w:t>
            </w:r>
            <w:r>
              <w:rPr>
                <w:b/>
                <w:w w:val="99"/>
                <w:sz w:val="18"/>
              </w:rPr>
              <w:t>a</w:t>
            </w:r>
            <w:r>
              <w:rPr>
                <w:b/>
                <w:w w:val="100"/>
                <w:sz w:val="18"/>
              </w:rPr>
              <w:t>l</w:t>
            </w:r>
          </w:p>
        </w:tc>
      </w:tr>
      <w:tr>
        <w:trPr>
          <w:trHeight w:val="401" w:hRule="exact"/>
        </w:trPr>
        <w:tc>
          <w:tcPr>
            <w:tcW w:w="4277" w:type="dxa"/>
          </w:tcPr>
          <w:p>
            <w:pPr>
              <w:pStyle w:val="TableParagraph"/>
              <w:spacing w:before="35"/>
              <w:ind w:left="64"/>
              <w:jc w:val="left"/>
              <w:rPr>
                <w:b/>
                <w:sz w:val="18"/>
              </w:rPr>
            </w:pPr>
            <w:r>
              <w:rPr>
                <w:b/>
                <w:color w:val="333333"/>
                <w:sz w:val="18"/>
              </w:rPr>
              <w:t>JILOTEPEC</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left="1"/>
              <w:rPr>
                <w:sz w:val="18"/>
              </w:rPr>
            </w:pPr>
            <w:r>
              <w:rPr>
                <w:color w:val="333333"/>
                <w:w w:val="99"/>
                <w:sz w:val="18"/>
              </w:rPr>
              <w:t>0</w:t>
            </w:r>
          </w:p>
        </w:tc>
        <w:tc>
          <w:tcPr>
            <w:tcW w:w="456" w:type="dxa"/>
          </w:tcPr>
          <w:p>
            <w:pPr>
              <w:pStyle w:val="TableParagraph"/>
              <w:spacing w:before="40"/>
              <w:rPr>
                <w:sz w:val="18"/>
              </w:rPr>
            </w:pPr>
            <w:r>
              <w:rPr>
                <w:color w:val="006000"/>
                <w:w w:val="99"/>
                <w:sz w:val="18"/>
              </w:rPr>
              <w:t>4</w:t>
            </w:r>
          </w:p>
        </w:tc>
        <w:tc>
          <w:tcPr>
            <w:tcW w:w="456" w:type="dxa"/>
          </w:tcPr>
          <w:p>
            <w:pPr>
              <w:pStyle w:val="TableParagraph"/>
              <w:spacing w:before="40"/>
              <w:rPr>
                <w:sz w:val="18"/>
              </w:rPr>
            </w:pPr>
            <w:r>
              <w:rPr>
                <w:color w:val="006000"/>
                <w:w w:val="99"/>
                <w:sz w:val="18"/>
              </w:rPr>
              <w:t>1</w:t>
            </w:r>
          </w:p>
        </w:tc>
        <w:tc>
          <w:tcPr>
            <w:tcW w:w="475" w:type="dxa"/>
          </w:tcPr>
          <w:p>
            <w:pPr>
              <w:pStyle w:val="TableParagraph"/>
              <w:spacing w:before="40"/>
              <w:ind w:left="134"/>
              <w:jc w:val="left"/>
              <w:rPr>
                <w:sz w:val="18"/>
              </w:rPr>
            </w:pPr>
            <w:r>
              <w:rPr>
                <w:color w:val="006000"/>
                <w:sz w:val="18"/>
              </w:rPr>
              <w:t>21</w:t>
            </w:r>
          </w:p>
        </w:tc>
        <w:tc>
          <w:tcPr>
            <w:tcW w:w="459" w:type="dxa"/>
          </w:tcPr>
          <w:p>
            <w:pPr>
              <w:pStyle w:val="TableParagraph"/>
              <w:spacing w:before="40"/>
              <w:ind w:left="2"/>
              <w:rPr>
                <w:sz w:val="18"/>
              </w:rPr>
            </w:pPr>
            <w:r>
              <w:rPr>
                <w:color w:val="006000"/>
                <w:w w:val="99"/>
                <w:sz w:val="18"/>
              </w:rPr>
              <w:t>6</w:t>
            </w:r>
          </w:p>
        </w:tc>
        <w:tc>
          <w:tcPr>
            <w:tcW w:w="456" w:type="dxa"/>
          </w:tcPr>
          <w:p>
            <w:pPr>
              <w:pStyle w:val="TableParagraph"/>
              <w:spacing w:before="40"/>
              <w:rPr>
                <w:sz w:val="18"/>
              </w:rPr>
            </w:pPr>
            <w:r>
              <w:rPr>
                <w:color w:val="006000"/>
                <w:w w:val="99"/>
                <w:sz w:val="18"/>
              </w:rPr>
              <w:t>6</w:t>
            </w:r>
          </w:p>
        </w:tc>
        <w:tc>
          <w:tcPr>
            <w:tcW w:w="458" w:type="dxa"/>
          </w:tcPr>
          <w:p>
            <w:pPr>
              <w:pStyle w:val="TableParagraph"/>
              <w:spacing w:before="40"/>
              <w:ind w:left="1"/>
              <w:rPr>
                <w:sz w:val="18"/>
              </w:rPr>
            </w:pPr>
            <w:r>
              <w:rPr>
                <w:color w:val="333333"/>
                <w:w w:val="99"/>
                <w:sz w:val="18"/>
              </w:rPr>
              <w:t>0</w:t>
            </w:r>
          </w:p>
        </w:tc>
        <w:tc>
          <w:tcPr>
            <w:tcW w:w="456" w:type="dxa"/>
          </w:tcPr>
          <w:p>
            <w:pPr>
              <w:pStyle w:val="TableParagraph"/>
              <w:spacing w:before="40"/>
              <w:ind w:right="171"/>
              <w:jc w:val="right"/>
              <w:rPr>
                <w:sz w:val="18"/>
              </w:rPr>
            </w:pPr>
            <w:r>
              <w:rPr>
                <w:color w:val="333333"/>
                <w:w w:val="99"/>
                <w:sz w:val="18"/>
              </w:rPr>
              <w:t>0</w:t>
            </w:r>
          </w:p>
        </w:tc>
        <w:tc>
          <w:tcPr>
            <w:tcW w:w="684" w:type="dxa"/>
          </w:tcPr>
          <w:p>
            <w:pPr>
              <w:pStyle w:val="TableParagraph"/>
              <w:spacing w:before="40"/>
              <w:ind w:left="285"/>
              <w:jc w:val="left"/>
              <w:rPr>
                <w:sz w:val="18"/>
              </w:rPr>
            </w:pPr>
            <w:r>
              <w:rPr>
                <w:color w:val="006000"/>
                <w:w w:val="99"/>
                <w:sz w:val="18"/>
              </w:rPr>
              <w:t>1</w:t>
            </w:r>
          </w:p>
        </w:tc>
        <w:tc>
          <w:tcPr>
            <w:tcW w:w="646" w:type="dxa"/>
          </w:tcPr>
          <w:p>
            <w:pPr>
              <w:pStyle w:val="TableParagraph"/>
              <w:spacing w:before="40"/>
              <w:ind w:right="215"/>
              <w:jc w:val="right"/>
              <w:rPr>
                <w:sz w:val="18"/>
              </w:rPr>
            </w:pPr>
            <w:r>
              <w:rPr>
                <w:color w:val="006000"/>
                <w:w w:val="95"/>
                <w:sz w:val="18"/>
              </w:rPr>
              <w:t>23</w:t>
            </w:r>
          </w:p>
        </w:tc>
        <w:tc>
          <w:tcPr>
            <w:tcW w:w="456" w:type="dxa"/>
            <w:tcBorders>
              <w:right w:val="single" w:sz="4" w:space="0" w:color="000000"/>
            </w:tcBorders>
          </w:tcPr>
          <w:p>
            <w:pPr>
              <w:pStyle w:val="TableParagraph"/>
              <w:spacing w:before="40"/>
              <w:rPr>
                <w:sz w:val="18"/>
              </w:rPr>
            </w:pPr>
            <w:r>
              <w:rPr>
                <w:color w:val="333333"/>
                <w:w w:val="99"/>
                <w:sz w:val="18"/>
              </w:rPr>
              <w:t>0</w:t>
            </w:r>
          </w:p>
        </w:tc>
        <w:tc>
          <w:tcPr>
            <w:tcW w:w="852" w:type="dxa"/>
            <w:tcBorders>
              <w:left w:val="single" w:sz="4" w:space="0" w:color="000000"/>
            </w:tcBorders>
          </w:tcPr>
          <w:p>
            <w:pPr>
              <w:pStyle w:val="TableParagraph"/>
              <w:spacing w:before="40"/>
              <w:ind w:left="1"/>
              <w:rPr>
                <w:sz w:val="18"/>
              </w:rPr>
            </w:pPr>
            <w:r>
              <w:rPr>
                <w:color w:val="006000"/>
                <w:w w:val="99"/>
                <w:sz w:val="18"/>
              </w:rPr>
              <w:t>9</w:t>
            </w:r>
          </w:p>
        </w:tc>
        <w:tc>
          <w:tcPr>
            <w:tcW w:w="475" w:type="dxa"/>
          </w:tcPr>
          <w:p>
            <w:pPr>
              <w:pStyle w:val="TableParagraph"/>
              <w:spacing w:before="40"/>
              <w:ind w:left="60" w:right="60"/>
              <w:rPr>
                <w:sz w:val="18"/>
              </w:rPr>
            </w:pPr>
            <w:r>
              <w:rPr>
                <w:color w:val="006000"/>
                <w:sz w:val="18"/>
              </w:rPr>
              <w:t>19</w:t>
            </w:r>
          </w:p>
        </w:tc>
        <w:tc>
          <w:tcPr>
            <w:tcW w:w="475" w:type="dxa"/>
          </w:tcPr>
          <w:p>
            <w:pPr>
              <w:pStyle w:val="TableParagraph"/>
              <w:spacing w:before="40"/>
              <w:ind w:right="131"/>
              <w:jc w:val="right"/>
              <w:rPr>
                <w:sz w:val="18"/>
              </w:rPr>
            </w:pPr>
            <w:r>
              <w:rPr>
                <w:w w:val="95"/>
                <w:sz w:val="18"/>
              </w:rPr>
              <w:t>91</w:t>
            </w:r>
          </w:p>
        </w:tc>
      </w:tr>
      <w:tr>
        <w:trPr>
          <w:trHeight w:val="399" w:hRule="exact"/>
        </w:trPr>
        <w:tc>
          <w:tcPr>
            <w:tcW w:w="4277" w:type="dxa"/>
          </w:tcPr>
          <w:p>
            <w:pPr>
              <w:pStyle w:val="TableParagraph"/>
              <w:spacing w:before="35"/>
              <w:ind w:left="64"/>
              <w:jc w:val="left"/>
              <w:rPr>
                <w:b/>
                <w:sz w:val="18"/>
              </w:rPr>
            </w:pPr>
            <w:r>
              <w:rPr>
                <w:b/>
                <w:color w:val="333333"/>
                <w:sz w:val="18"/>
              </w:rPr>
              <w:t>JILOTZINGO</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left="1"/>
              <w:rPr>
                <w:sz w:val="18"/>
              </w:rPr>
            </w:pPr>
            <w:r>
              <w:rPr>
                <w:color w:val="333333"/>
                <w:w w:val="99"/>
                <w:sz w:val="18"/>
              </w:rPr>
              <w:t>0</w:t>
            </w:r>
          </w:p>
        </w:tc>
        <w:tc>
          <w:tcPr>
            <w:tcW w:w="456" w:type="dxa"/>
          </w:tcPr>
          <w:p>
            <w:pPr>
              <w:pStyle w:val="TableParagraph"/>
              <w:spacing w:before="40"/>
              <w:rPr>
                <w:sz w:val="18"/>
              </w:rPr>
            </w:pPr>
            <w:r>
              <w:rPr>
                <w:color w:val="006000"/>
                <w:w w:val="99"/>
                <w:sz w:val="18"/>
              </w:rPr>
              <w:t>4</w:t>
            </w:r>
          </w:p>
        </w:tc>
        <w:tc>
          <w:tcPr>
            <w:tcW w:w="456" w:type="dxa"/>
          </w:tcPr>
          <w:p>
            <w:pPr>
              <w:pStyle w:val="TableParagraph"/>
              <w:spacing w:before="40"/>
              <w:rPr>
                <w:sz w:val="18"/>
              </w:rPr>
            </w:pPr>
            <w:r>
              <w:rPr>
                <w:color w:val="006000"/>
                <w:w w:val="99"/>
                <w:sz w:val="18"/>
              </w:rPr>
              <w:t>1</w:t>
            </w:r>
          </w:p>
        </w:tc>
        <w:tc>
          <w:tcPr>
            <w:tcW w:w="475" w:type="dxa"/>
          </w:tcPr>
          <w:p>
            <w:pPr>
              <w:pStyle w:val="TableParagraph"/>
              <w:spacing w:before="40"/>
              <w:ind w:left="184"/>
              <w:jc w:val="left"/>
              <w:rPr>
                <w:sz w:val="18"/>
              </w:rPr>
            </w:pPr>
            <w:r>
              <w:rPr>
                <w:color w:val="006000"/>
                <w:w w:val="99"/>
                <w:sz w:val="18"/>
              </w:rPr>
              <w:t>7</w:t>
            </w:r>
          </w:p>
        </w:tc>
        <w:tc>
          <w:tcPr>
            <w:tcW w:w="459" w:type="dxa"/>
          </w:tcPr>
          <w:p>
            <w:pPr>
              <w:pStyle w:val="TableParagraph"/>
              <w:spacing w:before="40"/>
              <w:ind w:left="2"/>
              <w:rPr>
                <w:sz w:val="18"/>
              </w:rPr>
            </w:pPr>
            <w:r>
              <w:rPr>
                <w:color w:val="006000"/>
                <w:w w:val="99"/>
                <w:sz w:val="18"/>
              </w:rPr>
              <w:t>2</w:t>
            </w:r>
          </w:p>
        </w:tc>
        <w:tc>
          <w:tcPr>
            <w:tcW w:w="456" w:type="dxa"/>
          </w:tcPr>
          <w:p>
            <w:pPr>
              <w:pStyle w:val="TableParagraph"/>
              <w:spacing w:before="40"/>
              <w:rPr>
                <w:sz w:val="18"/>
              </w:rPr>
            </w:pPr>
            <w:r>
              <w:rPr>
                <w:color w:val="333333"/>
                <w:w w:val="99"/>
                <w:sz w:val="18"/>
              </w:rPr>
              <w:t>0</w:t>
            </w:r>
          </w:p>
        </w:tc>
        <w:tc>
          <w:tcPr>
            <w:tcW w:w="458" w:type="dxa"/>
          </w:tcPr>
          <w:p>
            <w:pPr>
              <w:pStyle w:val="TableParagraph"/>
              <w:spacing w:before="40"/>
              <w:ind w:left="1"/>
              <w:rPr>
                <w:sz w:val="18"/>
              </w:rPr>
            </w:pPr>
            <w:r>
              <w:rPr>
                <w:color w:val="333333"/>
                <w:w w:val="99"/>
                <w:sz w:val="18"/>
              </w:rPr>
              <w:t>0</w:t>
            </w:r>
          </w:p>
        </w:tc>
        <w:tc>
          <w:tcPr>
            <w:tcW w:w="456" w:type="dxa"/>
          </w:tcPr>
          <w:p>
            <w:pPr>
              <w:pStyle w:val="TableParagraph"/>
              <w:spacing w:before="40"/>
              <w:ind w:right="171"/>
              <w:jc w:val="right"/>
              <w:rPr>
                <w:sz w:val="18"/>
              </w:rPr>
            </w:pPr>
            <w:r>
              <w:rPr>
                <w:color w:val="333333"/>
                <w:w w:val="99"/>
                <w:sz w:val="18"/>
              </w:rPr>
              <w:t>0</w:t>
            </w:r>
          </w:p>
        </w:tc>
        <w:tc>
          <w:tcPr>
            <w:tcW w:w="684" w:type="dxa"/>
          </w:tcPr>
          <w:p>
            <w:pPr>
              <w:pStyle w:val="TableParagraph"/>
              <w:spacing w:before="40"/>
              <w:ind w:left="285"/>
              <w:jc w:val="left"/>
              <w:rPr>
                <w:sz w:val="18"/>
              </w:rPr>
            </w:pPr>
            <w:r>
              <w:rPr>
                <w:color w:val="333333"/>
                <w:w w:val="99"/>
                <w:sz w:val="18"/>
              </w:rPr>
              <w:t>0</w:t>
            </w:r>
          </w:p>
        </w:tc>
        <w:tc>
          <w:tcPr>
            <w:tcW w:w="646" w:type="dxa"/>
          </w:tcPr>
          <w:p>
            <w:pPr>
              <w:pStyle w:val="TableParagraph"/>
              <w:spacing w:before="40"/>
              <w:ind w:right="267"/>
              <w:jc w:val="right"/>
              <w:rPr>
                <w:sz w:val="18"/>
              </w:rPr>
            </w:pPr>
            <w:r>
              <w:rPr>
                <w:color w:val="333333"/>
                <w:w w:val="99"/>
                <w:sz w:val="18"/>
              </w:rPr>
              <w:t>0</w:t>
            </w:r>
          </w:p>
        </w:tc>
        <w:tc>
          <w:tcPr>
            <w:tcW w:w="456" w:type="dxa"/>
            <w:tcBorders>
              <w:right w:val="single" w:sz="4" w:space="0" w:color="000000"/>
            </w:tcBorders>
          </w:tcPr>
          <w:p>
            <w:pPr>
              <w:pStyle w:val="TableParagraph"/>
              <w:spacing w:before="40"/>
              <w:rPr>
                <w:sz w:val="18"/>
              </w:rPr>
            </w:pPr>
            <w:r>
              <w:rPr>
                <w:color w:val="333333"/>
                <w:w w:val="99"/>
                <w:sz w:val="18"/>
              </w:rPr>
              <w:t>0</w:t>
            </w:r>
          </w:p>
        </w:tc>
        <w:tc>
          <w:tcPr>
            <w:tcW w:w="852" w:type="dxa"/>
            <w:tcBorders>
              <w:left w:val="single" w:sz="4" w:space="0" w:color="000000"/>
            </w:tcBorders>
          </w:tcPr>
          <w:p>
            <w:pPr>
              <w:pStyle w:val="TableParagraph"/>
              <w:spacing w:before="40"/>
              <w:ind w:left="1"/>
              <w:rPr>
                <w:sz w:val="18"/>
              </w:rPr>
            </w:pPr>
            <w:r>
              <w:rPr>
                <w:color w:val="333333"/>
                <w:w w:val="99"/>
                <w:sz w:val="18"/>
              </w:rPr>
              <w:t>0</w:t>
            </w:r>
          </w:p>
        </w:tc>
        <w:tc>
          <w:tcPr>
            <w:tcW w:w="475" w:type="dxa"/>
          </w:tcPr>
          <w:p>
            <w:pPr>
              <w:pStyle w:val="TableParagraph"/>
              <w:spacing w:before="40"/>
              <w:rPr>
                <w:sz w:val="18"/>
              </w:rPr>
            </w:pPr>
            <w:r>
              <w:rPr>
                <w:color w:val="333333"/>
                <w:w w:val="99"/>
                <w:sz w:val="18"/>
              </w:rPr>
              <w:t>0</w:t>
            </w:r>
          </w:p>
        </w:tc>
        <w:tc>
          <w:tcPr>
            <w:tcW w:w="475" w:type="dxa"/>
          </w:tcPr>
          <w:p>
            <w:pPr>
              <w:pStyle w:val="TableParagraph"/>
              <w:spacing w:before="40"/>
              <w:ind w:right="131"/>
              <w:jc w:val="right"/>
              <w:rPr>
                <w:sz w:val="18"/>
              </w:rPr>
            </w:pPr>
            <w:r>
              <w:rPr>
                <w:w w:val="95"/>
                <w:sz w:val="18"/>
              </w:rPr>
              <w:t>15</w:t>
            </w:r>
          </w:p>
        </w:tc>
      </w:tr>
      <w:tr>
        <w:trPr>
          <w:trHeight w:val="401" w:hRule="exact"/>
        </w:trPr>
        <w:tc>
          <w:tcPr>
            <w:tcW w:w="4277" w:type="dxa"/>
          </w:tcPr>
          <w:p>
            <w:pPr>
              <w:pStyle w:val="TableParagraph"/>
              <w:spacing w:before="35"/>
              <w:ind w:left="64"/>
              <w:jc w:val="left"/>
              <w:rPr>
                <w:b/>
                <w:sz w:val="18"/>
              </w:rPr>
            </w:pPr>
            <w:r>
              <w:rPr>
                <w:b/>
                <w:color w:val="333333"/>
                <w:sz w:val="18"/>
              </w:rPr>
              <w:t>JIQUIPILCO</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left="1"/>
              <w:rPr>
                <w:sz w:val="18"/>
              </w:rPr>
            </w:pPr>
            <w:r>
              <w:rPr>
                <w:color w:val="333333"/>
                <w:w w:val="99"/>
                <w:sz w:val="18"/>
              </w:rPr>
              <w:t>0</w:t>
            </w:r>
          </w:p>
        </w:tc>
        <w:tc>
          <w:tcPr>
            <w:tcW w:w="456" w:type="dxa"/>
          </w:tcPr>
          <w:p>
            <w:pPr>
              <w:pStyle w:val="TableParagraph"/>
              <w:spacing w:before="40"/>
              <w:rPr>
                <w:sz w:val="18"/>
              </w:rPr>
            </w:pPr>
            <w:r>
              <w:rPr>
                <w:color w:val="006000"/>
                <w:w w:val="99"/>
                <w:sz w:val="18"/>
              </w:rPr>
              <w:t>4</w:t>
            </w:r>
          </w:p>
        </w:tc>
        <w:tc>
          <w:tcPr>
            <w:tcW w:w="456" w:type="dxa"/>
          </w:tcPr>
          <w:p>
            <w:pPr>
              <w:pStyle w:val="TableParagraph"/>
              <w:spacing w:before="40"/>
              <w:rPr>
                <w:sz w:val="18"/>
              </w:rPr>
            </w:pPr>
            <w:r>
              <w:rPr>
                <w:color w:val="006000"/>
                <w:w w:val="99"/>
                <w:sz w:val="18"/>
              </w:rPr>
              <w:t>1</w:t>
            </w:r>
          </w:p>
        </w:tc>
        <w:tc>
          <w:tcPr>
            <w:tcW w:w="475" w:type="dxa"/>
          </w:tcPr>
          <w:p>
            <w:pPr>
              <w:pStyle w:val="TableParagraph"/>
              <w:spacing w:before="40"/>
              <w:ind w:left="134"/>
              <w:jc w:val="left"/>
              <w:rPr>
                <w:sz w:val="18"/>
              </w:rPr>
            </w:pPr>
            <w:r>
              <w:rPr>
                <w:color w:val="006000"/>
                <w:sz w:val="18"/>
              </w:rPr>
              <w:t>11</w:t>
            </w:r>
          </w:p>
        </w:tc>
        <w:tc>
          <w:tcPr>
            <w:tcW w:w="459" w:type="dxa"/>
          </w:tcPr>
          <w:p>
            <w:pPr>
              <w:pStyle w:val="TableParagraph"/>
              <w:spacing w:before="40"/>
              <w:ind w:left="2"/>
              <w:rPr>
                <w:sz w:val="18"/>
              </w:rPr>
            </w:pPr>
            <w:r>
              <w:rPr>
                <w:color w:val="006000"/>
                <w:w w:val="99"/>
                <w:sz w:val="18"/>
              </w:rPr>
              <w:t>3</w:t>
            </w:r>
          </w:p>
        </w:tc>
        <w:tc>
          <w:tcPr>
            <w:tcW w:w="456" w:type="dxa"/>
          </w:tcPr>
          <w:p>
            <w:pPr>
              <w:pStyle w:val="TableParagraph"/>
              <w:spacing w:before="40"/>
              <w:rPr>
                <w:sz w:val="18"/>
              </w:rPr>
            </w:pPr>
            <w:r>
              <w:rPr>
                <w:color w:val="006000"/>
                <w:w w:val="99"/>
                <w:sz w:val="18"/>
              </w:rPr>
              <w:t>6</w:t>
            </w:r>
          </w:p>
        </w:tc>
        <w:tc>
          <w:tcPr>
            <w:tcW w:w="458" w:type="dxa"/>
          </w:tcPr>
          <w:p>
            <w:pPr>
              <w:pStyle w:val="TableParagraph"/>
              <w:spacing w:before="40"/>
              <w:ind w:left="1"/>
              <w:rPr>
                <w:sz w:val="18"/>
              </w:rPr>
            </w:pPr>
            <w:r>
              <w:rPr>
                <w:color w:val="333333"/>
                <w:w w:val="99"/>
                <w:sz w:val="18"/>
              </w:rPr>
              <w:t>0</w:t>
            </w:r>
          </w:p>
        </w:tc>
        <w:tc>
          <w:tcPr>
            <w:tcW w:w="456" w:type="dxa"/>
          </w:tcPr>
          <w:p>
            <w:pPr>
              <w:pStyle w:val="TableParagraph"/>
              <w:spacing w:before="40"/>
              <w:ind w:right="171"/>
              <w:jc w:val="right"/>
              <w:rPr>
                <w:sz w:val="18"/>
              </w:rPr>
            </w:pPr>
            <w:r>
              <w:rPr>
                <w:color w:val="333333"/>
                <w:w w:val="99"/>
                <w:sz w:val="18"/>
              </w:rPr>
              <w:t>0</w:t>
            </w:r>
          </w:p>
        </w:tc>
        <w:tc>
          <w:tcPr>
            <w:tcW w:w="684" w:type="dxa"/>
          </w:tcPr>
          <w:p>
            <w:pPr>
              <w:pStyle w:val="TableParagraph"/>
              <w:spacing w:before="40"/>
              <w:ind w:left="285"/>
              <w:jc w:val="left"/>
              <w:rPr>
                <w:sz w:val="18"/>
              </w:rPr>
            </w:pPr>
            <w:r>
              <w:rPr>
                <w:color w:val="006000"/>
                <w:w w:val="99"/>
                <w:sz w:val="18"/>
              </w:rPr>
              <w:t>1</w:t>
            </w:r>
          </w:p>
        </w:tc>
        <w:tc>
          <w:tcPr>
            <w:tcW w:w="646" w:type="dxa"/>
          </w:tcPr>
          <w:p>
            <w:pPr>
              <w:pStyle w:val="TableParagraph"/>
              <w:spacing w:before="40"/>
              <w:ind w:right="267"/>
              <w:jc w:val="right"/>
              <w:rPr>
                <w:sz w:val="18"/>
              </w:rPr>
            </w:pPr>
            <w:r>
              <w:rPr>
                <w:color w:val="333333"/>
                <w:w w:val="99"/>
                <w:sz w:val="18"/>
              </w:rPr>
              <w:t>0</w:t>
            </w:r>
          </w:p>
        </w:tc>
        <w:tc>
          <w:tcPr>
            <w:tcW w:w="456" w:type="dxa"/>
            <w:tcBorders>
              <w:right w:val="single" w:sz="4" w:space="0" w:color="000000"/>
            </w:tcBorders>
          </w:tcPr>
          <w:p>
            <w:pPr>
              <w:pStyle w:val="TableParagraph"/>
              <w:spacing w:before="40"/>
              <w:rPr>
                <w:sz w:val="18"/>
              </w:rPr>
            </w:pPr>
            <w:r>
              <w:rPr>
                <w:color w:val="333333"/>
                <w:w w:val="99"/>
                <w:sz w:val="18"/>
              </w:rPr>
              <w:t>0</w:t>
            </w:r>
          </w:p>
        </w:tc>
        <w:tc>
          <w:tcPr>
            <w:tcW w:w="852" w:type="dxa"/>
            <w:tcBorders>
              <w:left w:val="single" w:sz="4" w:space="0" w:color="000000"/>
            </w:tcBorders>
          </w:tcPr>
          <w:p>
            <w:pPr>
              <w:pStyle w:val="TableParagraph"/>
              <w:spacing w:before="40"/>
              <w:ind w:left="1"/>
              <w:rPr>
                <w:sz w:val="18"/>
              </w:rPr>
            </w:pPr>
            <w:r>
              <w:rPr>
                <w:color w:val="333333"/>
                <w:w w:val="99"/>
                <w:sz w:val="18"/>
              </w:rPr>
              <w:t>0</w:t>
            </w:r>
          </w:p>
        </w:tc>
        <w:tc>
          <w:tcPr>
            <w:tcW w:w="475" w:type="dxa"/>
          </w:tcPr>
          <w:p>
            <w:pPr>
              <w:pStyle w:val="TableParagraph"/>
              <w:spacing w:before="40"/>
              <w:rPr>
                <w:sz w:val="18"/>
              </w:rPr>
            </w:pPr>
            <w:r>
              <w:rPr>
                <w:color w:val="006000"/>
                <w:w w:val="99"/>
                <w:sz w:val="18"/>
              </w:rPr>
              <w:t>1</w:t>
            </w:r>
          </w:p>
        </w:tc>
        <w:tc>
          <w:tcPr>
            <w:tcW w:w="475" w:type="dxa"/>
          </w:tcPr>
          <w:p>
            <w:pPr>
              <w:pStyle w:val="TableParagraph"/>
              <w:spacing w:before="40"/>
              <w:ind w:right="131"/>
              <w:jc w:val="right"/>
              <w:rPr>
                <w:sz w:val="18"/>
              </w:rPr>
            </w:pPr>
            <w:r>
              <w:rPr>
                <w:w w:val="95"/>
                <w:sz w:val="18"/>
              </w:rPr>
              <w:t>28</w:t>
            </w:r>
          </w:p>
        </w:tc>
      </w:tr>
      <w:tr>
        <w:trPr>
          <w:trHeight w:val="401" w:hRule="exact"/>
        </w:trPr>
        <w:tc>
          <w:tcPr>
            <w:tcW w:w="4277" w:type="dxa"/>
          </w:tcPr>
          <w:p>
            <w:pPr>
              <w:pStyle w:val="TableParagraph"/>
              <w:spacing w:before="35"/>
              <w:ind w:left="64"/>
              <w:jc w:val="left"/>
              <w:rPr>
                <w:b/>
                <w:sz w:val="18"/>
              </w:rPr>
            </w:pPr>
            <w:r>
              <w:rPr>
                <w:b/>
                <w:color w:val="333333"/>
                <w:sz w:val="18"/>
              </w:rPr>
              <w:t>JOCOTITLAN</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left="1"/>
              <w:rPr>
                <w:sz w:val="18"/>
              </w:rPr>
            </w:pPr>
            <w:r>
              <w:rPr>
                <w:color w:val="333333"/>
                <w:w w:val="99"/>
                <w:sz w:val="18"/>
              </w:rPr>
              <w:t>0</w:t>
            </w:r>
          </w:p>
        </w:tc>
        <w:tc>
          <w:tcPr>
            <w:tcW w:w="456" w:type="dxa"/>
          </w:tcPr>
          <w:p>
            <w:pPr>
              <w:pStyle w:val="TableParagraph"/>
              <w:spacing w:before="40"/>
              <w:ind w:left="51" w:right="51"/>
              <w:rPr>
                <w:sz w:val="18"/>
              </w:rPr>
            </w:pPr>
            <w:r>
              <w:rPr>
                <w:color w:val="006000"/>
                <w:sz w:val="18"/>
              </w:rPr>
              <w:t>11</w:t>
            </w:r>
          </w:p>
        </w:tc>
        <w:tc>
          <w:tcPr>
            <w:tcW w:w="456" w:type="dxa"/>
          </w:tcPr>
          <w:p>
            <w:pPr>
              <w:pStyle w:val="TableParagraph"/>
              <w:spacing w:before="40"/>
              <w:rPr>
                <w:sz w:val="18"/>
              </w:rPr>
            </w:pPr>
            <w:r>
              <w:rPr>
                <w:color w:val="006000"/>
                <w:w w:val="99"/>
                <w:sz w:val="18"/>
              </w:rPr>
              <w:t>1</w:t>
            </w:r>
          </w:p>
        </w:tc>
        <w:tc>
          <w:tcPr>
            <w:tcW w:w="475" w:type="dxa"/>
          </w:tcPr>
          <w:p>
            <w:pPr>
              <w:pStyle w:val="TableParagraph"/>
              <w:spacing w:before="40"/>
              <w:ind w:left="134"/>
              <w:jc w:val="left"/>
              <w:rPr>
                <w:sz w:val="18"/>
              </w:rPr>
            </w:pPr>
            <w:r>
              <w:rPr>
                <w:color w:val="006000"/>
                <w:sz w:val="18"/>
              </w:rPr>
              <w:t>17</w:t>
            </w:r>
          </w:p>
        </w:tc>
        <w:tc>
          <w:tcPr>
            <w:tcW w:w="459" w:type="dxa"/>
          </w:tcPr>
          <w:p>
            <w:pPr>
              <w:pStyle w:val="TableParagraph"/>
              <w:spacing w:before="40"/>
              <w:ind w:left="2"/>
              <w:rPr>
                <w:sz w:val="18"/>
              </w:rPr>
            </w:pPr>
            <w:r>
              <w:rPr>
                <w:color w:val="006000"/>
                <w:w w:val="99"/>
                <w:sz w:val="18"/>
              </w:rPr>
              <w:t>9</w:t>
            </w:r>
          </w:p>
        </w:tc>
        <w:tc>
          <w:tcPr>
            <w:tcW w:w="456" w:type="dxa"/>
          </w:tcPr>
          <w:p>
            <w:pPr>
              <w:pStyle w:val="TableParagraph"/>
              <w:spacing w:before="40"/>
              <w:rPr>
                <w:sz w:val="18"/>
              </w:rPr>
            </w:pPr>
            <w:r>
              <w:rPr>
                <w:color w:val="006000"/>
                <w:w w:val="99"/>
                <w:sz w:val="18"/>
              </w:rPr>
              <w:t>6</w:t>
            </w:r>
          </w:p>
        </w:tc>
        <w:tc>
          <w:tcPr>
            <w:tcW w:w="458" w:type="dxa"/>
          </w:tcPr>
          <w:p>
            <w:pPr>
              <w:pStyle w:val="TableParagraph"/>
              <w:spacing w:before="40"/>
              <w:ind w:left="1"/>
              <w:rPr>
                <w:sz w:val="18"/>
              </w:rPr>
            </w:pPr>
            <w:r>
              <w:rPr>
                <w:color w:val="006000"/>
                <w:w w:val="99"/>
                <w:sz w:val="18"/>
              </w:rPr>
              <w:t>1</w:t>
            </w:r>
          </w:p>
        </w:tc>
        <w:tc>
          <w:tcPr>
            <w:tcW w:w="456" w:type="dxa"/>
          </w:tcPr>
          <w:p>
            <w:pPr>
              <w:pStyle w:val="TableParagraph"/>
              <w:spacing w:before="40"/>
              <w:ind w:right="171"/>
              <w:jc w:val="right"/>
              <w:rPr>
                <w:sz w:val="18"/>
              </w:rPr>
            </w:pPr>
            <w:r>
              <w:rPr>
                <w:color w:val="006000"/>
                <w:w w:val="99"/>
                <w:sz w:val="18"/>
              </w:rPr>
              <w:t>1</w:t>
            </w:r>
          </w:p>
        </w:tc>
        <w:tc>
          <w:tcPr>
            <w:tcW w:w="684" w:type="dxa"/>
          </w:tcPr>
          <w:p>
            <w:pPr>
              <w:pStyle w:val="TableParagraph"/>
              <w:spacing w:before="40"/>
              <w:ind w:left="285"/>
              <w:jc w:val="left"/>
              <w:rPr>
                <w:sz w:val="18"/>
              </w:rPr>
            </w:pPr>
            <w:r>
              <w:rPr>
                <w:color w:val="333333"/>
                <w:w w:val="99"/>
                <w:sz w:val="18"/>
              </w:rPr>
              <w:t>0</w:t>
            </w:r>
          </w:p>
        </w:tc>
        <w:tc>
          <w:tcPr>
            <w:tcW w:w="646" w:type="dxa"/>
          </w:tcPr>
          <w:p>
            <w:pPr>
              <w:pStyle w:val="TableParagraph"/>
              <w:spacing w:before="40"/>
              <w:ind w:right="267"/>
              <w:jc w:val="right"/>
              <w:rPr>
                <w:sz w:val="18"/>
              </w:rPr>
            </w:pPr>
            <w:r>
              <w:rPr>
                <w:color w:val="333333"/>
                <w:w w:val="99"/>
                <w:sz w:val="18"/>
              </w:rPr>
              <w:t>0</w:t>
            </w:r>
          </w:p>
        </w:tc>
        <w:tc>
          <w:tcPr>
            <w:tcW w:w="456" w:type="dxa"/>
            <w:tcBorders>
              <w:right w:val="single" w:sz="4" w:space="0" w:color="000000"/>
            </w:tcBorders>
          </w:tcPr>
          <w:p>
            <w:pPr>
              <w:pStyle w:val="TableParagraph"/>
              <w:spacing w:before="40"/>
              <w:rPr>
                <w:sz w:val="18"/>
              </w:rPr>
            </w:pPr>
            <w:r>
              <w:rPr>
                <w:color w:val="333333"/>
                <w:w w:val="99"/>
                <w:sz w:val="18"/>
              </w:rPr>
              <w:t>0</w:t>
            </w:r>
          </w:p>
        </w:tc>
        <w:tc>
          <w:tcPr>
            <w:tcW w:w="852" w:type="dxa"/>
            <w:tcBorders>
              <w:left w:val="single" w:sz="4" w:space="0" w:color="000000"/>
            </w:tcBorders>
          </w:tcPr>
          <w:p>
            <w:pPr>
              <w:pStyle w:val="TableParagraph"/>
              <w:spacing w:before="40"/>
              <w:ind w:left="1"/>
              <w:rPr>
                <w:sz w:val="18"/>
              </w:rPr>
            </w:pPr>
            <w:r>
              <w:rPr>
                <w:color w:val="333333"/>
                <w:w w:val="99"/>
                <w:sz w:val="18"/>
              </w:rPr>
              <w:t>0</w:t>
            </w:r>
          </w:p>
        </w:tc>
        <w:tc>
          <w:tcPr>
            <w:tcW w:w="475" w:type="dxa"/>
          </w:tcPr>
          <w:p>
            <w:pPr>
              <w:pStyle w:val="TableParagraph"/>
              <w:spacing w:before="40"/>
              <w:rPr>
                <w:sz w:val="18"/>
              </w:rPr>
            </w:pPr>
            <w:r>
              <w:rPr>
                <w:color w:val="006000"/>
                <w:w w:val="99"/>
                <w:sz w:val="18"/>
              </w:rPr>
              <w:t>3</w:t>
            </w:r>
          </w:p>
        </w:tc>
        <w:tc>
          <w:tcPr>
            <w:tcW w:w="475" w:type="dxa"/>
          </w:tcPr>
          <w:p>
            <w:pPr>
              <w:pStyle w:val="TableParagraph"/>
              <w:spacing w:before="40"/>
              <w:ind w:right="131"/>
              <w:jc w:val="right"/>
              <w:rPr>
                <w:sz w:val="18"/>
              </w:rPr>
            </w:pPr>
            <w:r>
              <w:rPr>
                <w:w w:val="95"/>
                <w:sz w:val="18"/>
              </w:rPr>
              <w:t>50</w:t>
            </w:r>
          </w:p>
        </w:tc>
      </w:tr>
      <w:tr>
        <w:trPr>
          <w:trHeight w:val="398" w:hRule="exact"/>
        </w:trPr>
        <w:tc>
          <w:tcPr>
            <w:tcW w:w="4277" w:type="dxa"/>
          </w:tcPr>
          <w:p>
            <w:pPr>
              <w:pStyle w:val="TableParagraph"/>
              <w:spacing w:before="35"/>
              <w:ind w:left="64"/>
              <w:jc w:val="left"/>
              <w:rPr>
                <w:b/>
                <w:sz w:val="18"/>
              </w:rPr>
            </w:pPr>
            <w:r>
              <w:rPr>
                <w:b/>
                <w:color w:val="333333"/>
                <w:sz w:val="18"/>
              </w:rPr>
              <w:t>JOQUICINGO</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left="1"/>
              <w:rPr>
                <w:sz w:val="18"/>
              </w:rPr>
            </w:pPr>
            <w:r>
              <w:rPr>
                <w:color w:val="333333"/>
                <w:w w:val="99"/>
                <w:sz w:val="18"/>
              </w:rPr>
              <w:t>0</w:t>
            </w:r>
          </w:p>
        </w:tc>
        <w:tc>
          <w:tcPr>
            <w:tcW w:w="456" w:type="dxa"/>
          </w:tcPr>
          <w:p>
            <w:pPr>
              <w:pStyle w:val="TableParagraph"/>
              <w:spacing w:before="40"/>
              <w:rPr>
                <w:sz w:val="18"/>
              </w:rPr>
            </w:pPr>
            <w:r>
              <w:rPr>
                <w:color w:val="006000"/>
                <w:w w:val="99"/>
                <w:sz w:val="18"/>
              </w:rPr>
              <w:t>3</w:t>
            </w:r>
          </w:p>
        </w:tc>
        <w:tc>
          <w:tcPr>
            <w:tcW w:w="456" w:type="dxa"/>
          </w:tcPr>
          <w:p>
            <w:pPr>
              <w:pStyle w:val="TableParagraph"/>
              <w:spacing w:before="40"/>
              <w:rPr>
                <w:sz w:val="18"/>
              </w:rPr>
            </w:pPr>
            <w:r>
              <w:rPr>
                <w:color w:val="006000"/>
                <w:w w:val="99"/>
                <w:sz w:val="18"/>
              </w:rPr>
              <w:t>1</w:t>
            </w:r>
          </w:p>
        </w:tc>
        <w:tc>
          <w:tcPr>
            <w:tcW w:w="475" w:type="dxa"/>
          </w:tcPr>
          <w:p>
            <w:pPr>
              <w:pStyle w:val="TableParagraph"/>
              <w:spacing w:before="40"/>
              <w:ind w:left="134"/>
              <w:jc w:val="left"/>
              <w:rPr>
                <w:sz w:val="18"/>
              </w:rPr>
            </w:pPr>
            <w:r>
              <w:rPr>
                <w:color w:val="006000"/>
                <w:sz w:val="18"/>
              </w:rPr>
              <w:t>17</w:t>
            </w:r>
          </w:p>
        </w:tc>
        <w:tc>
          <w:tcPr>
            <w:tcW w:w="459" w:type="dxa"/>
          </w:tcPr>
          <w:p>
            <w:pPr>
              <w:pStyle w:val="TableParagraph"/>
              <w:spacing w:before="40"/>
              <w:ind w:left="2"/>
              <w:rPr>
                <w:sz w:val="18"/>
              </w:rPr>
            </w:pPr>
            <w:r>
              <w:rPr>
                <w:color w:val="006000"/>
                <w:w w:val="99"/>
                <w:sz w:val="18"/>
              </w:rPr>
              <w:t>4</w:t>
            </w:r>
          </w:p>
        </w:tc>
        <w:tc>
          <w:tcPr>
            <w:tcW w:w="456" w:type="dxa"/>
          </w:tcPr>
          <w:p>
            <w:pPr>
              <w:pStyle w:val="TableParagraph"/>
              <w:spacing w:before="40"/>
              <w:rPr>
                <w:sz w:val="18"/>
              </w:rPr>
            </w:pPr>
            <w:r>
              <w:rPr>
                <w:color w:val="006000"/>
                <w:w w:val="99"/>
                <w:sz w:val="18"/>
              </w:rPr>
              <w:t>6</w:t>
            </w:r>
          </w:p>
        </w:tc>
        <w:tc>
          <w:tcPr>
            <w:tcW w:w="458" w:type="dxa"/>
          </w:tcPr>
          <w:p>
            <w:pPr>
              <w:pStyle w:val="TableParagraph"/>
              <w:spacing w:before="40"/>
              <w:ind w:left="1"/>
              <w:rPr>
                <w:sz w:val="18"/>
              </w:rPr>
            </w:pPr>
            <w:r>
              <w:rPr>
                <w:color w:val="333333"/>
                <w:w w:val="99"/>
                <w:sz w:val="18"/>
              </w:rPr>
              <w:t>0</w:t>
            </w:r>
          </w:p>
        </w:tc>
        <w:tc>
          <w:tcPr>
            <w:tcW w:w="456" w:type="dxa"/>
          </w:tcPr>
          <w:p>
            <w:pPr>
              <w:pStyle w:val="TableParagraph"/>
              <w:spacing w:before="40"/>
              <w:ind w:right="171"/>
              <w:jc w:val="right"/>
              <w:rPr>
                <w:sz w:val="18"/>
              </w:rPr>
            </w:pPr>
            <w:r>
              <w:rPr>
                <w:color w:val="333333"/>
                <w:w w:val="99"/>
                <w:sz w:val="18"/>
              </w:rPr>
              <w:t>0</w:t>
            </w:r>
          </w:p>
        </w:tc>
        <w:tc>
          <w:tcPr>
            <w:tcW w:w="684" w:type="dxa"/>
          </w:tcPr>
          <w:p>
            <w:pPr>
              <w:pStyle w:val="TableParagraph"/>
              <w:spacing w:before="40"/>
              <w:ind w:left="285"/>
              <w:jc w:val="left"/>
              <w:rPr>
                <w:sz w:val="18"/>
              </w:rPr>
            </w:pPr>
            <w:r>
              <w:rPr>
                <w:color w:val="333333"/>
                <w:w w:val="99"/>
                <w:sz w:val="18"/>
              </w:rPr>
              <w:t>0</w:t>
            </w:r>
          </w:p>
        </w:tc>
        <w:tc>
          <w:tcPr>
            <w:tcW w:w="646" w:type="dxa"/>
          </w:tcPr>
          <w:p>
            <w:pPr>
              <w:pStyle w:val="TableParagraph"/>
              <w:spacing w:before="40"/>
              <w:ind w:right="267"/>
              <w:jc w:val="right"/>
              <w:rPr>
                <w:sz w:val="18"/>
              </w:rPr>
            </w:pPr>
            <w:r>
              <w:rPr>
                <w:color w:val="333333"/>
                <w:w w:val="99"/>
                <w:sz w:val="18"/>
              </w:rPr>
              <w:t>0</w:t>
            </w:r>
          </w:p>
        </w:tc>
        <w:tc>
          <w:tcPr>
            <w:tcW w:w="456" w:type="dxa"/>
            <w:tcBorders>
              <w:right w:val="single" w:sz="4" w:space="0" w:color="000000"/>
            </w:tcBorders>
          </w:tcPr>
          <w:p>
            <w:pPr>
              <w:pStyle w:val="TableParagraph"/>
              <w:spacing w:before="40"/>
              <w:rPr>
                <w:sz w:val="18"/>
              </w:rPr>
            </w:pPr>
            <w:r>
              <w:rPr>
                <w:color w:val="333333"/>
                <w:w w:val="99"/>
                <w:sz w:val="18"/>
              </w:rPr>
              <w:t>0</w:t>
            </w:r>
          </w:p>
        </w:tc>
        <w:tc>
          <w:tcPr>
            <w:tcW w:w="852" w:type="dxa"/>
            <w:tcBorders>
              <w:left w:val="single" w:sz="4" w:space="0" w:color="000000"/>
            </w:tcBorders>
          </w:tcPr>
          <w:p>
            <w:pPr>
              <w:pStyle w:val="TableParagraph"/>
              <w:spacing w:before="40"/>
              <w:ind w:left="1"/>
              <w:rPr>
                <w:sz w:val="18"/>
              </w:rPr>
            </w:pPr>
            <w:r>
              <w:rPr>
                <w:color w:val="333333"/>
                <w:w w:val="99"/>
                <w:sz w:val="18"/>
              </w:rPr>
              <w:t>0</w:t>
            </w:r>
          </w:p>
        </w:tc>
        <w:tc>
          <w:tcPr>
            <w:tcW w:w="475" w:type="dxa"/>
          </w:tcPr>
          <w:p>
            <w:pPr>
              <w:pStyle w:val="TableParagraph"/>
              <w:spacing w:before="40"/>
              <w:rPr>
                <w:sz w:val="18"/>
              </w:rPr>
            </w:pPr>
            <w:r>
              <w:rPr>
                <w:color w:val="333333"/>
                <w:w w:val="99"/>
                <w:sz w:val="18"/>
              </w:rPr>
              <w:t>0</w:t>
            </w:r>
          </w:p>
        </w:tc>
        <w:tc>
          <w:tcPr>
            <w:tcW w:w="475" w:type="dxa"/>
          </w:tcPr>
          <w:p>
            <w:pPr>
              <w:pStyle w:val="TableParagraph"/>
              <w:spacing w:before="40"/>
              <w:ind w:right="131"/>
              <w:jc w:val="right"/>
              <w:rPr>
                <w:sz w:val="18"/>
              </w:rPr>
            </w:pPr>
            <w:r>
              <w:rPr>
                <w:w w:val="95"/>
                <w:sz w:val="18"/>
              </w:rPr>
              <w:t>32</w:t>
            </w:r>
          </w:p>
        </w:tc>
      </w:tr>
      <w:tr>
        <w:trPr>
          <w:trHeight w:val="401" w:hRule="exact"/>
        </w:trPr>
        <w:tc>
          <w:tcPr>
            <w:tcW w:w="4277" w:type="dxa"/>
          </w:tcPr>
          <w:p>
            <w:pPr>
              <w:pStyle w:val="TableParagraph"/>
              <w:spacing w:before="35"/>
              <w:ind w:left="64"/>
              <w:jc w:val="left"/>
              <w:rPr>
                <w:b/>
                <w:sz w:val="18"/>
              </w:rPr>
            </w:pPr>
            <w:r>
              <w:rPr>
                <w:b/>
                <w:color w:val="333333"/>
                <w:sz w:val="18"/>
              </w:rPr>
              <w:t>JUCHITEPEC</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left="1"/>
              <w:rPr>
                <w:sz w:val="18"/>
              </w:rPr>
            </w:pPr>
            <w:r>
              <w:rPr>
                <w:color w:val="006000"/>
                <w:w w:val="99"/>
                <w:sz w:val="18"/>
              </w:rPr>
              <w:t>1</w:t>
            </w:r>
          </w:p>
        </w:tc>
        <w:tc>
          <w:tcPr>
            <w:tcW w:w="456" w:type="dxa"/>
          </w:tcPr>
          <w:p>
            <w:pPr>
              <w:pStyle w:val="TableParagraph"/>
              <w:spacing w:before="40"/>
              <w:ind w:left="51" w:right="51"/>
              <w:rPr>
                <w:sz w:val="18"/>
              </w:rPr>
            </w:pPr>
            <w:r>
              <w:rPr>
                <w:color w:val="006000"/>
                <w:sz w:val="18"/>
              </w:rPr>
              <w:t>15</w:t>
            </w:r>
          </w:p>
        </w:tc>
        <w:tc>
          <w:tcPr>
            <w:tcW w:w="456" w:type="dxa"/>
          </w:tcPr>
          <w:p>
            <w:pPr>
              <w:pStyle w:val="TableParagraph"/>
              <w:spacing w:before="40"/>
              <w:rPr>
                <w:sz w:val="18"/>
              </w:rPr>
            </w:pPr>
            <w:r>
              <w:rPr>
                <w:color w:val="006000"/>
                <w:w w:val="99"/>
                <w:sz w:val="18"/>
              </w:rPr>
              <w:t>1</w:t>
            </w:r>
          </w:p>
        </w:tc>
        <w:tc>
          <w:tcPr>
            <w:tcW w:w="475" w:type="dxa"/>
          </w:tcPr>
          <w:p>
            <w:pPr>
              <w:pStyle w:val="TableParagraph"/>
              <w:spacing w:before="40"/>
              <w:ind w:left="134"/>
              <w:jc w:val="left"/>
              <w:rPr>
                <w:sz w:val="18"/>
              </w:rPr>
            </w:pPr>
            <w:r>
              <w:rPr>
                <w:color w:val="006000"/>
                <w:sz w:val="18"/>
              </w:rPr>
              <w:t>17</w:t>
            </w:r>
          </w:p>
        </w:tc>
        <w:tc>
          <w:tcPr>
            <w:tcW w:w="459" w:type="dxa"/>
          </w:tcPr>
          <w:p>
            <w:pPr>
              <w:pStyle w:val="TableParagraph"/>
              <w:spacing w:before="40"/>
              <w:ind w:left="105" w:right="104"/>
              <w:rPr>
                <w:sz w:val="18"/>
              </w:rPr>
            </w:pPr>
            <w:r>
              <w:rPr>
                <w:color w:val="006000"/>
                <w:sz w:val="18"/>
              </w:rPr>
              <w:t>10</w:t>
            </w:r>
          </w:p>
        </w:tc>
        <w:tc>
          <w:tcPr>
            <w:tcW w:w="456" w:type="dxa"/>
          </w:tcPr>
          <w:p>
            <w:pPr>
              <w:pStyle w:val="TableParagraph"/>
              <w:spacing w:before="40"/>
              <w:ind w:left="51" w:right="51"/>
              <w:rPr>
                <w:sz w:val="18"/>
              </w:rPr>
            </w:pPr>
            <w:r>
              <w:rPr>
                <w:color w:val="006000"/>
                <w:sz w:val="18"/>
              </w:rPr>
              <w:t>43</w:t>
            </w:r>
          </w:p>
        </w:tc>
        <w:tc>
          <w:tcPr>
            <w:tcW w:w="458" w:type="dxa"/>
          </w:tcPr>
          <w:p>
            <w:pPr>
              <w:pStyle w:val="TableParagraph"/>
              <w:spacing w:before="40"/>
              <w:ind w:left="1"/>
              <w:rPr>
                <w:sz w:val="18"/>
              </w:rPr>
            </w:pPr>
            <w:r>
              <w:rPr>
                <w:color w:val="006000"/>
                <w:w w:val="99"/>
                <w:sz w:val="18"/>
              </w:rPr>
              <w:t>3</w:t>
            </w:r>
          </w:p>
        </w:tc>
        <w:tc>
          <w:tcPr>
            <w:tcW w:w="456" w:type="dxa"/>
          </w:tcPr>
          <w:p>
            <w:pPr>
              <w:pStyle w:val="TableParagraph"/>
              <w:spacing w:before="40"/>
              <w:ind w:right="171"/>
              <w:jc w:val="right"/>
              <w:rPr>
                <w:sz w:val="18"/>
              </w:rPr>
            </w:pPr>
            <w:r>
              <w:rPr>
                <w:color w:val="006000"/>
                <w:w w:val="99"/>
                <w:sz w:val="18"/>
              </w:rPr>
              <w:t>6</w:t>
            </w:r>
          </w:p>
        </w:tc>
        <w:tc>
          <w:tcPr>
            <w:tcW w:w="684" w:type="dxa"/>
          </w:tcPr>
          <w:p>
            <w:pPr>
              <w:pStyle w:val="TableParagraph"/>
              <w:spacing w:before="40"/>
              <w:ind w:left="285"/>
              <w:jc w:val="left"/>
              <w:rPr>
                <w:sz w:val="18"/>
              </w:rPr>
            </w:pPr>
            <w:r>
              <w:rPr>
                <w:color w:val="006000"/>
                <w:w w:val="99"/>
                <w:sz w:val="18"/>
              </w:rPr>
              <w:t>7</w:t>
            </w:r>
          </w:p>
        </w:tc>
        <w:tc>
          <w:tcPr>
            <w:tcW w:w="646" w:type="dxa"/>
          </w:tcPr>
          <w:p>
            <w:pPr>
              <w:pStyle w:val="TableParagraph"/>
              <w:spacing w:before="40"/>
              <w:ind w:right="267"/>
              <w:jc w:val="right"/>
              <w:rPr>
                <w:sz w:val="18"/>
              </w:rPr>
            </w:pPr>
            <w:r>
              <w:rPr>
                <w:color w:val="006000"/>
                <w:w w:val="99"/>
                <w:sz w:val="18"/>
              </w:rPr>
              <w:t>2</w:t>
            </w:r>
          </w:p>
        </w:tc>
        <w:tc>
          <w:tcPr>
            <w:tcW w:w="456" w:type="dxa"/>
            <w:tcBorders>
              <w:right w:val="single" w:sz="4" w:space="0" w:color="000000"/>
            </w:tcBorders>
          </w:tcPr>
          <w:p>
            <w:pPr>
              <w:pStyle w:val="TableParagraph"/>
              <w:spacing w:before="40"/>
              <w:rPr>
                <w:sz w:val="18"/>
              </w:rPr>
            </w:pPr>
            <w:r>
              <w:rPr>
                <w:color w:val="006000"/>
                <w:w w:val="99"/>
                <w:sz w:val="18"/>
              </w:rPr>
              <w:t>1</w:t>
            </w:r>
          </w:p>
        </w:tc>
        <w:tc>
          <w:tcPr>
            <w:tcW w:w="852" w:type="dxa"/>
            <w:tcBorders>
              <w:left w:val="single" w:sz="4" w:space="0" w:color="000000"/>
            </w:tcBorders>
          </w:tcPr>
          <w:p>
            <w:pPr>
              <w:pStyle w:val="TableParagraph"/>
              <w:spacing w:before="40"/>
              <w:ind w:left="1"/>
              <w:rPr>
                <w:sz w:val="18"/>
              </w:rPr>
            </w:pPr>
            <w:r>
              <w:rPr>
                <w:color w:val="333333"/>
                <w:w w:val="99"/>
                <w:sz w:val="18"/>
              </w:rPr>
              <w:t>0</w:t>
            </w:r>
          </w:p>
        </w:tc>
        <w:tc>
          <w:tcPr>
            <w:tcW w:w="475" w:type="dxa"/>
          </w:tcPr>
          <w:p>
            <w:pPr>
              <w:pStyle w:val="TableParagraph"/>
              <w:spacing w:before="40"/>
              <w:ind w:left="60" w:right="60"/>
              <w:rPr>
                <w:sz w:val="18"/>
              </w:rPr>
            </w:pPr>
            <w:r>
              <w:rPr>
                <w:color w:val="006000"/>
                <w:sz w:val="18"/>
              </w:rPr>
              <w:t>10</w:t>
            </w:r>
          </w:p>
        </w:tc>
        <w:tc>
          <w:tcPr>
            <w:tcW w:w="475" w:type="dxa"/>
          </w:tcPr>
          <w:p>
            <w:pPr>
              <w:pStyle w:val="TableParagraph"/>
              <w:spacing w:before="40"/>
              <w:ind w:right="79"/>
              <w:jc w:val="right"/>
              <w:rPr>
                <w:sz w:val="18"/>
              </w:rPr>
            </w:pPr>
            <w:r>
              <w:rPr>
                <w:w w:val="95"/>
                <w:sz w:val="18"/>
              </w:rPr>
              <w:t>117</w:t>
            </w:r>
          </w:p>
        </w:tc>
      </w:tr>
      <w:tr>
        <w:trPr>
          <w:trHeight w:val="401" w:hRule="exact"/>
        </w:trPr>
        <w:tc>
          <w:tcPr>
            <w:tcW w:w="4277" w:type="dxa"/>
          </w:tcPr>
          <w:p>
            <w:pPr>
              <w:pStyle w:val="TableParagraph"/>
              <w:spacing w:before="35"/>
              <w:ind w:left="64"/>
              <w:jc w:val="left"/>
              <w:rPr>
                <w:b/>
                <w:sz w:val="18"/>
              </w:rPr>
            </w:pPr>
            <w:r>
              <w:rPr>
                <w:b/>
                <w:color w:val="333333"/>
                <w:sz w:val="18"/>
              </w:rPr>
              <w:t>LA PAZ</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left="1"/>
              <w:rPr>
                <w:sz w:val="18"/>
              </w:rPr>
            </w:pPr>
            <w:r>
              <w:rPr>
                <w:color w:val="333333"/>
                <w:w w:val="99"/>
                <w:sz w:val="18"/>
              </w:rPr>
              <w:t>0</w:t>
            </w:r>
          </w:p>
        </w:tc>
        <w:tc>
          <w:tcPr>
            <w:tcW w:w="456" w:type="dxa"/>
          </w:tcPr>
          <w:p>
            <w:pPr>
              <w:pStyle w:val="TableParagraph"/>
              <w:spacing w:before="40"/>
              <w:rPr>
                <w:sz w:val="18"/>
              </w:rPr>
            </w:pPr>
            <w:r>
              <w:rPr>
                <w:color w:val="006000"/>
                <w:w w:val="99"/>
                <w:sz w:val="18"/>
              </w:rPr>
              <w:t>4</w:t>
            </w:r>
          </w:p>
        </w:tc>
        <w:tc>
          <w:tcPr>
            <w:tcW w:w="456" w:type="dxa"/>
          </w:tcPr>
          <w:p>
            <w:pPr>
              <w:pStyle w:val="TableParagraph"/>
              <w:spacing w:before="40"/>
              <w:rPr>
                <w:sz w:val="18"/>
              </w:rPr>
            </w:pPr>
            <w:r>
              <w:rPr>
                <w:color w:val="006000"/>
                <w:w w:val="99"/>
                <w:sz w:val="18"/>
              </w:rPr>
              <w:t>1</w:t>
            </w:r>
          </w:p>
        </w:tc>
        <w:tc>
          <w:tcPr>
            <w:tcW w:w="475" w:type="dxa"/>
          </w:tcPr>
          <w:p>
            <w:pPr>
              <w:pStyle w:val="TableParagraph"/>
              <w:spacing w:before="40"/>
              <w:ind w:left="184"/>
              <w:jc w:val="left"/>
              <w:rPr>
                <w:sz w:val="18"/>
              </w:rPr>
            </w:pPr>
            <w:r>
              <w:rPr>
                <w:color w:val="006000"/>
                <w:w w:val="99"/>
                <w:sz w:val="18"/>
              </w:rPr>
              <w:t>6</w:t>
            </w:r>
          </w:p>
        </w:tc>
        <w:tc>
          <w:tcPr>
            <w:tcW w:w="459" w:type="dxa"/>
          </w:tcPr>
          <w:p>
            <w:pPr>
              <w:pStyle w:val="TableParagraph"/>
              <w:spacing w:before="40"/>
              <w:ind w:left="2"/>
              <w:rPr>
                <w:sz w:val="18"/>
              </w:rPr>
            </w:pPr>
            <w:r>
              <w:rPr>
                <w:color w:val="006000"/>
                <w:w w:val="99"/>
                <w:sz w:val="18"/>
              </w:rPr>
              <w:t>3</w:t>
            </w:r>
          </w:p>
        </w:tc>
        <w:tc>
          <w:tcPr>
            <w:tcW w:w="456" w:type="dxa"/>
          </w:tcPr>
          <w:p>
            <w:pPr>
              <w:pStyle w:val="TableParagraph"/>
              <w:spacing w:before="40"/>
              <w:ind w:left="51" w:right="51"/>
              <w:rPr>
                <w:sz w:val="18"/>
              </w:rPr>
            </w:pPr>
            <w:r>
              <w:rPr>
                <w:color w:val="006000"/>
                <w:sz w:val="18"/>
              </w:rPr>
              <w:t>16</w:t>
            </w:r>
          </w:p>
        </w:tc>
        <w:tc>
          <w:tcPr>
            <w:tcW w:w="458" w:type="dxa"/>
          </w:tcPr>
          <w:p>
            <w:pPr>
              <w:pStyle w:val="TableParagraph"/>
              <w:spacing w:before="40"/>
              <w:ind w:left="1"/>
              <w:rPr>
                <w:sz w:val="18"/>
              </w:rPr>
            </w:pPr>
            <w:r>
              <w:rPr>
                <w:color w:val="333333"/>
                <w:w w:val="99"/>
                <w:sz w:val="18"/>
              </w:rPr>
              <w:t>0</w:t>
            </w:r>
          </w:p>
        </w:tc>
        <w:tc>
          <w:tcPr>
            <w:tcW w:w="456" w:type="dxa"/>
          </w:tcPr>
          <w:p>
            <w:pPr>
              <w:pStyle w:val="TableParagraph"/>
              <w:spacing w:before="40"/>
              <w:ind w:right="171"/>
              <w:jc w:val="right"/>
              <w:rPr>
                <w:sz w:val="18"/>
              </w:rPr>
            </w:pPr>
            <w:r>
              <w:rPr>
                <w:color w:val="333333"/>
                <w:w w:val="99"/>
                <w:sz w:val="18"/>
              </w:rPr>
              <w:t>0</w:t>
            </w:r>
          </w:p>
        </w:tc>
        <w:tc>
          <w:tcPr>
            <w:tcW w:w="684" w:type="dxa"/>
          </w:tcPr>
          <w:p>
            <w:pPr>
              <w:pStyle w:val="TableParagraph"/>
              <w:spacing w:before="40"/>
              <w:ind w:left="285"/>
              <w:jc w:val="left"/>
              <w:rPr>
                <w:sz w:val="18"/>
              </w:rPr>
            </w:pPr>
            <w:r>
              <w:rPr>
                <w:color w:val="006000"/>
                <w:w w:val="99"/>
                <w:sz w:val="18"/>
              </w:rPr>
              <w:t>2</w:t>
            </w:r>
          </w:p>
        </w:tc>
        <w:tc>
          <w:tcPr>
            <w:tcW w:w="646" w:type="dxa"/>
          </w:tcPr>
          <w:p>
            <w:pPr>
              <w:pStyle w:val="TableParagraph"/>
              <w:spacing w:before="40"/>
              <w:ind w:right="267"/>
              <w:jc w:val="right"/>
              <w:rPr>
                <w:sz w:val="18"/>
              </w:rPr>
            </w:pPr>
            <w:r>
              <w:rPr>
                <w:color w:val="006000"/>
                <w:w w:val="99"/>
                <w:sz w:val="18"/>
              </w:rPr>
              <w:t>2</w:t>
            </w:r>
          </w:p>
        </w:tc>
        <w:tc>
          <w:tcPr>
            <w:tcW w:w="456" w:type="dxa"/>
            <w:tcBorders>
              <w:right w:val="single" w:sz="4" w:space="0" w:color="000000"/>
            </w:tcBorders>
          </w:tcPr>
          <w:p>
            <w:pPr>
              <w:pStyle w:val="TableParagraph"/>
              <w:spacing w:before="40"/>
              <w:rPr>
                <w:sz w:val="18"/>
              </w:rPr>
            </w:pPr>
            <w:r>
              <w:rPr>
                <w:color w:val="333333"/>
                <w:w w:val="99"/>
                <w:sz w:val="18"/>
              </w:rPr>
              <w:t>0</w:t>
            </w:r>
          </w:p>
        </w:tc>
        <w:tc>
          <w:tcPr>
            <w:tcW w:w="852" w:type="dxa"/>
            <w:tcBorders>
              <w:left w:val="single" w:sz="4" w:space="0" w:color="000000"/>
            </w:tcBorders>
          </w:tcPr>
          <w:p>
            <w:pPr>
              <w:pStyle w:val="TableParagraph"/>
              <w:spacing w:before="40"/>
              <w:ind w:left="1"/>
              <w:rPr>
                <w:sz w:val="18"/>
              </w:rPr>
            </w:pPr>
            <w:r>
              <w:rPr>
                <w:color w:val="333333"/>
                <w:w w:val="99"/>
                <w:sz w:val="18"/>
              </w:rPr>
              <w:t>0</w:t>
            </w:r>
          </w:p>
        </w:tc>
        <w:tc>
          <w:tcPr>
            <w:tcW w:w="475" w:type="dxa"/>
          </w:tcPr>
          <w:p>
            <w:pPr>
              <w:pStyle w:val="TableParagraph"/>
              <w:spacing w:before="40"/>
              <w:rPr>
                <w:sz w:val="18"/>
              </w:rPr>
            </w:pPr>
            <w:r>
              <w:rPr>
                <w:color w:val="006000"/>
                <w:w w:val="99"/>
                <w:sz w:val="18"/>
              </w:rPr>
              <w:t>3</w:t>
            </w:r>
          </w:p>
        </w:tc>
        <w:tc>
          <w:tcPr>
            <w:tcW w:w="475" w:type="dxa"/>
          </w:tcPr>
          <w:p>
            <w:pPr>
              <w:pStyle w:val="TableParagraph"/>
              <w:spacing w:before="40"/>
              <w:ind w:right="131"/>
              <w:jc w:val="right"/>
              <w:rPr>
                <w:sz w:val="18"/>
              </w:rPr>
            </w:pPr>
            <w:r>
              <w:rPr>
                <w:w w:val="95"/>
                <w:sz w:val="18"/>
              </w:rPr>
              <w:t>38</w:t>
            </w:r>
          </w:p>
        </w:tc>
      </w:tr>
      <w:tr>
        <w:trPr>
          <w:trHeight w:val="398" w:hRule="exact"/>
        </w:trPr>
        <w:tc>
          <w:tcPr>
            <w:tcW w:w="4277" w:type="dxa"/>
          </w:tcPr>
          <w:p>
            <w:pPr>
              <w:pStyle w:val="TableParagraph"/>
              <w:spacing w:before="35"/>
              <w:ind w:left="64"/>
              <w:jc w:val="left"/>
              <w:rPr>
                <w:b/>
                <w:sz w:val="18"/>
              </w:rPr>
            </w:pPr>
            <w:r>
              <w:rPr>
                <w:b/>
                <w:color w:val="333333"/>
                <w:sz w:val="18"/>
              </w:rPr>
              <w:t>LERMA</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left="1"/>
              <w:rPr>
                <w:sz w:val="18"/>
              </w:rPr>
            </w:pPr>
            <w:r>
              <w:rPr>
                <w:color w:val="333333"/>
                <w:w w:val="99"/>
                <w:sz w:val="18"/>
              </w:rPr>
              <w:t>0</w:t>
            </w:r>
          </w:p>
        </w:tc>
        <w:tc>
          <w:tcPr>
            <w:tcW w:w="456" w:type="dxa"/>
          </w:tcPr>
          <w:p>
            <w:pPr>
              <w:pStyle w:val="TableParagraph"/>
              <w:spacing w:before="40"/>
              <w:ind w:left="51" w:right="51"/>
              <w:rPr>
                <w:sz w:val="18"/>
              </w:rPr>
            </w:pPr>
            <w:r>
              <w:rPr>
                <w:color w:val="006000"/>
                <w:sz w:val="18"/>
              </w:rPr>
              <w:t>18</w:t>
            </w:r>
          </w:p>
        </w:tc>
        <w:tc>
          <w:tcPr>
            <w:tcW w:w="456" w:type="dxa"/>
          </w:tcPr>
          <w:p>
            <w:pPr>
              <w:pStyle w:val="TableParagraph"/>
              <w:spacing w:before="40"/>
              <w:rPr>
                <w:sz w:val="18"/>
              </w:rPr>
            </w:pPr>
            <w:r>
              <w:rPr>
                <w:color w:val="006000"/>
                <w:w w:val="99"/>
                <w:sz w:val="18"/>
              </w:rPr>
              <w:t>1</w:t>
            </w:r>
          </w:p>
        </w:tc>
        <w:tc>
          <w:tcPr>
            <w:tcW w:w="475" w:type="dxa"/>
          </w:tcPr>
          <w:p>
            <w:pPr>
              <w:pStyle w:val="TableParagraph"/>
              <w:spacing w:before="40"/>
              <w:ind w:left="134"/>
              <w:jc w:val="left"/>
              <w:rPr>
                <w:sz w:val="18"/>
              </w:rPr>
            </w:pPr>
            <w:r>
              <w:rPr>
                <w:color w:val="006000"/>
                <w:sz w:val="18"/>
              </w:rPr>
              <w:t>39</w:t>
            </w:r>
          </w:p>
        </w:tc>
        <w:tc>
          <w:tcPr>
            <w:tcW w:w="459" w:type="dxa"/>
          </w:tcPr>
          <w:p>
            <w:pPr>
              <w:pStyle w:val="TableParagraph"/>
              <w:spacing w:before="40"/>
              <w:ind w:left="2"/>
              <w:rPr>
                <w:sz w:val="18"/>
              </w:rPr>
            </w:pPr>
            <w:r>
              <w:rPr>
                <w:color w:val="006000"/>
                <w:w w:val="99"/>
                <w:sz w:val="18"/>
              </w:rPr>
              <w:t>7</w:t>
            </w:r>
          </w:p>
        </w:tc>
        <w:tc>
          <w:tcPr>
            <w:tcW w:w="456" w:type="dxa"/>
          </w:tcPr>
          <w:p>
            <w:pPr>
              <w:pStyle w:val="TableParagraph"/>
              <w:spacing w:before="40"/>
              <w:ind w:left="51" w:right="51"/>
              <w:rPr>
                <w:sz w:val="18"/>
              </w:rPr>
            </w:pPr>
            <w:r>
              <w:rPr>
                <w:color w:val="006000"/>
                <w:sz w:val="18"/>
              </w:rPr>
              <w:t>25</w:t>
            </w:r>
          </w:p>
        </w:tc>
        <w:tc>
          <w:tcPr>
            <w:tcW w:w="458" w:type="dxa"/>
          </w:tcPr>
          <w:p>
            <w:pPr>
              <w:pStyle w:val="TableParagraph"/>
              <w:spacing w:before="40"/>
              <w:ind w:left="1"/>
              <w:rPr>
                <w:sz w:val="18"/>
              </w:rPr>
            </w:pPr>
            <w:r>
              <w:rPr>
                <w:color w:val="333333"/>
                <w:w w:val="99"/>
                <w:sz w:val="18"/>
              </w:rPr>
              <w:t>0</w:t>
            </w:r>
          </w:p>
        </w:tc>
        <w:tc>
          <w:tcPr>
            <w:tcW w:w="456" w:type="dxa"/>
          </w:tcPr>
          <w:p>
            <w:pPr>
              <w:pStyle w:val="TableParagraph"/>
              <w:spacing w:before="40"/>
              <w:ind w:right="171"/>
              <w:jc w:val="right"/>
              <w:rPr>
                <w:sz w:val="18"/>
              </w:rPr>
            </w:pPr>
            <w:r>
              <w:rPr>
                <w:color w:val="006000"/>
                <w:w w:val="99"/>
                <w:sz w:val="18"/>
              </w:rPr>
              <w:t>1</w:t>
            </w:r>
          </w:p>
        </w:tc>
        <w:tc>
          <w:tcPr>
            <w:tcW w:w="684" w:type="dxa"/>
          </w:tcPr>
          <w:p>
            <w:pPr>
              <w:pStyle w:val="TableParagraph"/>
              <w:spacing w:before="40"/>
              <w:ind w:left="285"/>
              <w:jc w:val="left"/>
              <w:rPr>
                <w:sz w:val="18"/>
              </w:rPr>
            </w:pPr>
            <w:r>
              <w:rPr>
                <w:color w:val="006000"/>
                <w:w w:val="99"/>
                <w:sz w:val="18"/>
              </w:rPr>
              <w:t>2</w:t>
            </w:r>
          </w:p>
        </w:tc>
        <w:tc>
          <w:tcPr>
            <w:tcW w:w="646" w:type="dxa"/>
          </w:tcPr>
          <w:p>
            <w:pPr>
              <w:pStyle w:val="TableParagraph"/>
              <w:spacing w:before="40"/>
              <w:ind w:right="215"/>
              <w:jc w:val="right"/>
              <w:rPr>
                <w:sz w:val="18"/>
              </w:rPr>
            </w:pPr>
            <w:r>
              <w:rPr>
                <w:color w:val="006000"/>
                <w:w w:val="95"/>
                <w:sz w:val="18"/>
              </w:rPr>
              <w:t>44</w:t>
            </w:r>
          </w:p>
        </w:tc>
        <w:tc>
          <w:tcPr>
            <w:tcW w:w="456" w:type="dxa"/>
            <w:tcBorders>
              <w:right w:val="single" w:sz="4" w:space="0" w:color="000000"/>
            </w:tcBorders>
          </w:tcPr>
          <w:p>
            <w:pPr>
              <w:pStyle w:val="TableParagraph"/>
              <w:spacing w:before="40"/>
              <w:rPr>
                <w:sz w:val="18"/>
              </w:rPr>
            </w:pPr>
            <w:r>
              <w:rPr>
                <w:color w:val="333333"/>
                <w:w w:val="99"/>
                <w:sz w:val="18"/>
              </w:rPr>
              <w:t>0</w:t>
            </w:r>
          </w:p>
        </w:tc>
        <w:tc>
          <w:tcPr>
            <w:tcW w:w="852" w:type="dxa"/>
            <w:tcBorders>
              <w:left w:val="single" w:sz="4" w:space="0" w:color="000000"/>
            </w:tcBorders>
          </w:tcPr>
          <w:p>
            <w:pPr>
              <w:pStyle w:val="TableParagraph"/>
              <w:spacing w:before="40"/>
              <w:ind w:left="1"/>
              <w:rPr>
                <w:sz w:val="18"/>
              </w:rPr>
            </w:pPr>
            <w:r>
              <w:rPr>
                <w:color w:val="333333"/>
                <w:w w:val="99"/>
                <w:sz w:val="18"/>
              </w:rPr>
              <w:t>0</w:t>
            </w:r>
          </w:p>
        </w:tc>
        <w:tc>
          <w:tcPr>
            <w:tcW w:w="475" w:type="dxa"/>
          </w:tcPr>
          <w:p>
            <w:pPr>
              <w:pStyle w:val="TableParagraph"/>
              <w:spacing w:before="40"/>
              <w:rPr>
                <w:sz w:val="18"/>
              </w:rPr>
            </w:pPr>
            <w:r>
              <w:rPr>
                <w:color w:val="006000"/>
                <w:w w:val="99"/>
                <w:sz w:val="18"/>
              </w:rPr>
              <w:t>4</w:t>
            </w:r>
          </w:p>
        </w:tc>
        <w:tc>
          <w:tcPr>
            <w:tcW w:w="475" w:type="dxa"/>
          </w:tcPr>
          <w:p>
            <w:pPr>
              <w:pStyle w:val="TableParagraph"/>
              <w:spacing w:before="40"/>
              <w:ind w:right="79"/>
              <w:jc w:val="right"/>
              <w:rPr>
                <w:sz w:val="18"/>
              </w:rPr>
            </w:pPr>
            <w:r>
              <w:rPr>
                <w:w w:val="95"/>
                <w:sz w:val="18"/>
              </w:rPr>
              <w:t>142</w:t>
            </w:r>
          </w:p>
        </w:tc>
      </w:tr>
      <w:tr>
        <w:trPr>
          <w:trHeight w:val="401" w:hRule="exact"/>
        </w:trPr>
        <w:tc>
          <w:tcPr>
            <w:tcW w:w="4277" w:type="dxa"/>
          </w:tcPr>
          <w:p>
            <w:pPr>
              <w:pStyle w:val="TableParagraph"/>
              <w:spacing w:before="35"/>
              <w:ind w:left="64"/>
              <w:jc w:val="left"/>
              <w:rPr>
                <w:b/>
                <w:sz w:val="18"/>
              </w:rPr>
            </w:pPr>
            <w:r>
              <w:rPr>
                <w:b/>
                <w:color w:val="333333"/>
                <w:sz w:val="18"/>
              </w:rPr>
              <w:t>LUVIANOS</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left="1"/>
              <w:rPr>
                <w:sz w:val="18"/>
              </w:rPr>
            </w:pPr>
            <w:r>
              <w:rPr>
                <w:color w:val="333333"/>
                <w:w w:val="99"/>
                <w:sz w:val="18"/>
              </w:rPr>
              <w:t>0</w:t>
            </w:r>
          </w:p>
        </w:tc>
        <w:tc>
          <w:tcPr>
            <w:tcW w:w="456" w:type="dxa"/>
          </w:tcPr>
          <w:p>
            <w:pPr>
              <w:pStyle w:val="TableParagraph"/>
              <w:spacing w:before="40"/>
              <w:rPr>
                <w:sz w:val="18"/>
              </w:rPr>
            </w:pPr>
            <w:r>
              <w:rPr>
                <w:color w:val="006000"/>
                <w:w w:val="99"/>
                <w:sz w:val="18"/>
              </w:rPr>
              <w:t>4</w:t>
            </w:r>
          </w:p>
        </w:tc>
        <w:tc>
          <w:tcPr>
            <w:tcW w:w="456" w:type="dxa"/>
          </w:tcPr>
          <w:p>
            <w:pPr>
              <w:pStyle w:val="TableParagraph"/>
              <w:spacing w:before="40"/>
              <w:rPr>
                <w:sz w:val="18"/>
              </w:rPr>
            </w:pPr>
            <w:r>
              <w:rPr>
                <w:color w:val="006000"/>
                <w:w w:val="99"/>
                <w:sz w:val="18"/>
              </w:rPr>
              <w:t>1</w:t>
            </w:r>
          </w:p>
        </w:tc>
        <w:tc>
          <w:tcPr>
            <w:tcW w:w="475" w:type="dxa"/>
          </w:tcPr>
          <w:p>
            <w:pPr>
              <w:pStyle w:val="TableParagraph"/>
              <w:spacing w:before="40"/>
              <w:ind w:left="184"/>
              <w:jc w:val="left"/>
              <w:rPr>
                <w:sz w:val="18"/>
              </w:rPr>
            </w:pPr>
            <w:r>
              <w:rPr>
                <w:color w:val="006000"/>
                <w:w w:val="99"/>
                <w:sz w:val="18"/>
              </w:rPr>
              <w:t>2</w:t>
            </w:r>
          </w:p>
        </w:tc>
        <w:tc>
          <w:tcPr>
            <w:tcW w:w="459" w:type="dxa"/>
          </w:tcPr>
          <w:p>
            <w:pPr>
              <w:pStyle w:val="TableParagraph"/>
              <w:spacing w:before="40"/>
              <w:ind w:left="2"/>
              <w:rPr>
                <w:sz w:val="18"/>
              </w:rPr>
            </w:pPr>
            <w:r>
              <w:rPr>
                <w:color w:val="333333"/>
                <w:w w:val="99"/>
                <w:sz w:val="18"/>
              </w:rPr>
              <w:t>0</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left="1"/>
              <w:rPr>
                <w:sz w:val="18"/>
              </w:rPr>
            </w:pPr>
            <w:r>
              <w:rPr>
                <w:color w:val="006000"/>
                <w:w w:val="99"/>
                <w:sz w:val="18"/>
              </w:rPr>
              <w:t>1</w:t>
            </w:r>
          </w:p>
        </w:tc>
        <w:tc>
          <w:tcPr>
            <w:tcW w:w="456" w:type="dxa"/>
          </w:tcPr>
          <w:p>
            <w:pPr>
              <w:pStyle w:val="TableParagraph"/>
              <w:spacing w:before="40"/>
              <w:ind w:right="171"/>
              <w:jc w:val="right"/>
              <w:rPr>
                <w:sz w:val="18"/>
              </w:rPr>
            </w:pPr>
            <w:r>
              <w:rPr>
                <w:color w:val="333333"/>
                <w:w w:val="99"/>
                <w:sz w:val="18"/>
              </w:rPr>
              <w:t>0</w:t>
            </w:r>
          </w:p>
        </w:tc>
        <w:tc>
          <w:tcPr>
            <w:tcW w:w="684" w:type="dxa"/>
          </w:tcPr>
          <w:p>
            <w:pPr>
              <w:pStyle w:val="TableParagraph"/>
              <w:spacing w:before="40"/>
              <w:ind w:left="285"/>
              <w:jc w:val="left"/>
              <w:rPr>
                <w:sz w:val="18"/>
              </w:rPr>
            </w:pPr>
            <w:r>
              <w:rPr>
                <w:color w:val="333333"/>
                <w:w w:val="99"/>
                <w:sz w:val="18"/>
              </w:rPr>
              <w:t>0</w:t>
            </w:r>
          </w:p>
        </w:tc>
        <w:tc>
          <w:tcPr>
            <w:tcW w:w="646" w:type="dxa"/>
          </w:tcPr>
          <w:p>
            <w:pPr>
              <w:pStyle w:val="TableParagraph"/>
              <w:spacing w:before="40"/>
              <w:ind w:right="267"/>
              <w:jc w:val="right"/>
              <w:rPr>
                <w:sz w:val="18"/>
              </w:rPr>
            </w:pPr>
            <w:r>
              <w:rPr>
                <w:color w:val="006000"/>
                <w:w w:val="99"/>
                <w:sz w:val="18"/>
              </w:rPr>
              <w:t>1</w:t>
            </w:r>
          </w:p>
        </w:tc>
        <w:tc>
          <w:tcPr>
            <w:tcW w:w="456" w:type="dxa"/>
            <w:tcBorders>
              <w:right w:val="single" w:sz="4" w:space="0" w:color="000000"/>
            </w:tcBorders>
          </w:tcPr>
          <w:p>
            <w:pPr>
              <w:pStyle w:val="TableParagraph"/>
              <w:spacing w:before="40"/>
              <w:rPr>
                <w:sz w:val="18"/>
              </w:rPr>
            </w:pPr>
            <w:r>
              <w:rPr>
                <w:color w:val="333333"/>
                <w:w w:val="99"/>
                <w:sz w:val="18"/>
              </w:rPr>
              <w:t>0</w:t>
            </w:r>
          </w:p>
        </w:tc>
        <w:tc>
          <w:tcPr>
            <w:tcW w:w="852" w:type="dxa"/>
            <w:tcBorders>
              <w:left w:val="single" w:sz="4" w:space="0" w:color="000000"/>
            </w:tcBorders>
          </w:tcPr>
          <w:p>
            <w:pPr>
              <w:pStyle w:val="TableParagraph"/>
              <w:spacing w:before="40"/>
              <w:ind w:left="1"/>
              <w:rPr>
                <w:sz w:val="18"/>
              </w:rPr>
            </w:pPr>
            <w:r>
              <w:rPr>
                <w:color w:val="333333"/>
                <w:w w:val="99"/>
                <w:sz w:val="18"/>
              </w:rPr>
              <w:t>0</w:t>
            </w:r>
          </w:p>
        </w:tc>
        <w:tc>
          <w:tcPr>
            <w:tcW w:w="475" w:type="dxa"/>
          </w:tcPr>
          <w:p>
            <w:pPr>
              <w:pStyle w:val="TableParagraph"/>
              <w:spacing w:before="40"/>
              <w:rPr>
                <w:sz w:val="18"/>
              </w:rPr>
            </w:pPr>
            <w:r>
              <w:rPr>
                <w:color w:val="333333"/>
                <w:w w:val="99"/>
                <w:sz w:val="18"/>
              </w:rPr>
              <w:t>0</w:t>
            </w:r>
          </w:p>
        </w:tc>
        <w:tc>
          <w:tcPr>
            <w:tcW w:w="475" w:type="dxa"/>
          </w:tcPr>
          <w:p>
            <w:pPr>
              <w:pStyle w:val="TableParagraph"/>
              <w:spacing w:before="40"/>
              <w:ind w:right="131"/>
              <w:jc w:val="right"/>
              <w:rPr>
                <w:sz w:val="18"/>
              </w:rPr>
            </w:pPr>
            <w:r>
              <w:rPr>
                <w:w w:val="95"/>
                <w:sz w:val="18"/>
              </w:rPr>
              <w:t>11</w:t>
            </w:r>
          </w:p>
        </w:tc>
      </w:tr>
      <w:tr>
        <w:trPr>
          <w:trHeight w:val="401" w:hRule="exact"/>
        </w:trPr>
        <w:tc>
          <w:tcPr>
            <w:tcW w:w="4277" w:type="dxa"/>
          </w:tcPr>
          <w:p>
            <w:pPr>
              <w:pStyle w:val="TableParagraph"/>
              <w:spacing w:before="35"/>
              <w:ind w:left="64"/>
              <w:jc w:val="left"/>
              <w:rPr>
                <w:b/>
                <w:sz w:val="18"/>
              </w:rPr>
            </w:pPr>
            <w:r>
              <w:rPr>
                <w:b/>
                <w:color w:val="333333"/>
                <w:sz w:val="18"/>
              </w:rPr>
              <w:t>MALINALCO</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left="1"/>
              <w:rPr>
                <w:sz w:val="18"/>
              </w:rPr>
            </w:pPr>
            <w:r>
              <w:rPr>
                <w:color w:val="333333"/>
                <w:w w:val="99"/>
                <w:sz w:val="18"/>
              </w:rPr>
              <w:t>0</w:t>
            </w:r>
          </w:p>
        </w:tc>
        <w:tc>
          <w:tcPr>
            <w:tcW w:w="456" w:type="dxa"/>
          </w:tcPr>
          <w:p>
            <w:pPr>
              <w:pStyle w:val="TableParagraph"/>
              <w:spacing w:before="40"/>
              <w:rPr>
                <w:sz w:val="18"/>
              </w:rPr>
            </w:pPr>
            <w:r>
              <w:rPr>
                <w:color w:val="006000"/>
                <w:w w:val="99"/>
                <w:sz w:val="18"/>
              </w:rPr>
              <w:t>8</w:t>
            </w:r>
          </w:p>
        </w:tc>
        <w:tc>
          <w:tcPr>
            <w:tcW w:w="456" w:type="dxa"/>
          </w:tcPr>
          <w:p>
            <w:pPr>
              <w:pStyle w:val="TableParagraph"/>
              <w:spacing w:before="40"/>
              <w:rPr>
                <w:sz w:val="18"/>
              </w:rPr>
            </w:pPr>
            <w:r>
              <w:rPr>
                <w:color w:val="006000"/>
                <w:w w:val="99"/>
                <w:sz w:val="18"/>
              </w:rPr>
              <w:t>1</w:t>
            </w:r>
          </w:p>
        </w:tc>
        <w:tc>
          <w:tcPr>
            <w:tcW w:w="475" w:type="dxa"/>
          </w:tcPr>
          <w:p>
            <w:pPr>
              <w:pStyle w:val="TableParagraph"/>
              <w:spacing w:before="40"/>
              <w:ind w:left="134"/>
              <w:jc w:val="left"/>
              <w:rPr>
                <w:sz w:val="18"/>
              </w:rPr>
            </w:pPr>
            <w:r>
              <w:rPr>
                <w:color w:val="006000"/>
                <w:sz w:val="18"/>
              </w:rPr>
              <w:t>10</w:t>
            </w:r>
          </w:p>
        </w:tc>
        <w:tc>
          <w:tcPr>
            <w:tcW w:w="459" w:type="dxa"/>
          </w:tcPr>
          <w:p>
            <w:pPr>
              <w:pStyle w:val="TableParagraph"/>
              <w:spacing w:before="40"/>
              <w:ind w:left="2"/>
              <w:rPr>
                <w:sz w:val="18"/>
              </w:rPr>
            </w:pPr>
            <w:r>
              <w:rPr>
                <w:color w:val="006000"/>
                <w:w w:val="99"/>
                <w:sz w:val="18"/>
              </w:rPr>
              <w:t>4</w:t>
            </w:r>
          </w:p>
        </w:tc>
        <w:tc>
          <w:tcPr>
            <w:tcW w:w="456" w:type="dxa"/>
          </w:tcPr>
          <w:p>
            <w:pPr>
              <w:pStyle w:val="TableParagraph"/>
              <w:spacing w:before="40"/>
              <w:rPr>
                <w:sz w:val="18"/>
              </w:rPr>
            </w:pPr>
            <w:r>
              <w:rPr>
                <w:color w:val="006000"/>
                <w:w w:val="99"/>
                <w:sz w:val="18"/>
              </w:rPr>
              <w:t>4</w:t>
            </w:r>
          </w:p>
        </w:tc>
        <w:tc>
          <w:tcPr>
            <w:tcW w:w="458" w:type="dxa"/>
          </w:tcPr>
          <w:p>
            <w:pPr>
              <w:pStyle w:val="TableParagraph"/>
              <w:spacing w:before="40"/>
              <w:ind w:left="1"/>
              <w:rPr>
                <w:sz w:val="18"/>
              </w:rPr>
            </w:pPr>
            <w:r>
              <w:rPr>
                <w:color w:val="333333"/>
                <w:w w:val="99"/>
                <w:sz w:val="18"/>
              </w:rPr>
              <w:t>0</w:t>
            </w:r>
          </w:p>
        </w:tc>
        <w:tc>
          <w:tcPr>
            <w:tcW w:w="456" w:type="dxa"/>
          </w:tcPr>
          <w:p>
            <w:pPr>
              <w:pStyle w:val="TableParagraph"/>
              <w:spacing w:before="40"/>
              <w:ind w:right="171"/>
              <w:jc w:val="right"/>
              <w:rPr>
                <w:sz w:val="18"/>
              </w:rPr>
            </w:pPr>
            <w:r>
              <w:rPr>
                <w:color w:val="333333"/>
                <w:w w:val="99"/>
                <w:sz w:val="18"/>
              </w:rPr>
              <w:t>0</w:t>
            </w:r>
          </w:p>
        </w:tc>
        <w:tc>
          <w:tcPr>
            <w:tcW w:w="684" w:type="dxa"/>
          </w:tcPr>
          <w:p>
            <w:pPr>
              <w:pStyle w:val="TableParagraph"/>
              <w:spacing w:before="40"/>
              <w:ind w:left="285"/>
              <w:jc w:val="left"/>
              <w:rPr>
                <w:sz w:val="18"/>
              </w:rPr>
            </w:pPr>
            <w:r>
              <w:rPr>
                <w:color w:val="333333"/>
                <w:w w:val="99"/>
                <w:sz w:val="18"/>
              </w:rPr>
              <w:t>0</w:t>
            </w:r>
          </w:p>
        </w:tc>
        <w:tc>
          <w:tcPr>
            <w:tcW w:w="646" w:type="dxa"/>
          </w:tcPr>
          <w:p>
            <w:pPr>
              <w:pStyle w:val="TableParagraph"/>
              <w:spacing w:before="40"/>
              <w:ind w:right="267"/>
              <w:jc w:val="right"/>
              <w:rPr>
                <w:sz w:val="18"/>
              </w:rPr>
            </w:pPr>
            <w:r>
              <w:rPr>
                <w:color w:val="333333"/>
                <w:w w:val="99"/>
                <w:sz w:val="18"/>
              </w:rPr>
              <w:t>0</w:t>
            </w:r>
          </w:p>
        </w:tc>
        <w:tc>
          <w:tcPr>
            <w:tcW w:w="456" w:type="dxa"/>
            <w:tcBorders>
              <w:right w:val="single" w:sz="4" w:space="0" w:color="000000"/>
            </w:tcBorders>
          </w:tcPr>
          <w:p>
            <w:pPr>
              <w:pStyle w:val="TableParagraph"/>
              <w:spacing w:before="40"/>
              <w:rPr>
                <w:sz w:val="18"/>
              </w:rPr>
            </w:pPr>
            <w:r>
              <w:rPr>
                <w:color w:val="006000"/>
                <w:w w:val="99"/>
                <w:sz w:val="18"/>
              </w:rPr>
              <w:t>1</w:t>
            </w:r>
          </w:p>
        </w:tc>
        <w:tc>
          <w:tcPr>
            <w:tcW w:w="852" w:type="dxa"/>
            <w:tcBorders>
              <w:left w:val="single" w:sz="4" w:space="0" w:color="000000"/>
            </w:tcBorders>
          </w:tcPr>
          <w:p>
            <w:pPr>
              <w:pStyle w:val="TableParagraph"/>
              <w:spacing w:before="40"/>
              <w:ind w:left="1"/>
              <w:rPr>
                <w:sz w:val="18"/>
              </w:rPr>
            </w:pPr>
            <w:r>
              <w:rPr>
                <w:color w:val="333333"/>
                <w:w w:val="99"/>
                <w:sz w:val="18"/>
              </w:rPr>
              <w:t>0</w:t>
            </w:r>
          </w:p>
        </w:tc>
        <w:tc>
          <w:tcPr>
            <w:tcW w:w="475" w:type="dxa"/>
          </w:tcPr>
          <w:p>
            <w:pPr>
              <w:pStyle w:val="TableParagraph"/>
              <w:spacing w:before="40"/>
              <w:rPr>
                <w:sz w:val="18"/>
              </w:rPr>
            </w:pPr>
            <w:r>
              <w:rPr>
                <w:color w:val="333333"/>
                <w:w w:val="99"/>
                <w:sz w:val="18"/>
              </w:rPr>
              <w:t>0</w:t>
            </w:r>
          </w:p>
        </w:tc>
        <w:tc>
          <w:tcPr>
            <w:tcW w:w="475" w:type="dxa"/>
          </w:tcPr>
          <w:p>
            <w:pPr>
              <w:pStyle w:val="TableParagraph"/>
              <w:spacing w:before="40"/>
              <w:ind w:right="131"/>
              <w:jc w:val="right"/>
              <w:rPr>
                <w:sz w:val="18"/>
              </w:rPr>
            </w:pPr>
            <w:r>
              <w:rPr>
                <w:w w:val="95"/>
                <w:sz w:val="18"/>
              </w:rPr>
              <w:t>29</w:t>
            </w:r>
          </w:p>
        </w:tc>
      </w:tr>
      <w:tr>
        <w:trPr>
          <w:trHeight w:val="398" w:hRule="exact"/>
        </w:trPr>
        <w:tc>
          <w:tcPr>
            <w:tcW w:w="4277" w:type="dxa"/>
          </w:tcPr>
          <w:p>
            <w:pPr>
              <w:pStyle w:val="TableParagraph"/>
              <w:spacing w:before="35"/>
              <w:ind w:left="64"/>
              <w:jc w:val="left"/>
              <w:rPr>
                <w:b/>
                <w:sz w:val="18"/>
              </w:rPr>
            </w:pPr>
            <w:r>
              <w:rPr>
                <w:b/>
                <w:color w:val="333333"/>
                <w:sz w:val="18"/>
              </w:rPr>
              <w:t>MELCHOR OCAMPO</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left="1"/>
              <w:rPr>
                <w:sz w:val="18"/>
              </w:rPr>
            </w:pPr>
            <w:r>
              <w:rPr>
                <w:color w:val="333333"/>
                <w:w w:val="99"/>
                <w:sz w:val="18"/>
              </w:rPr>
              <w:t>0</w:t>
            </w:r>
          </w:p>
        </w:tc>
        <w:tc>
          <w:tcPr>
            <w:tcW w:w="456" w:type="dxa"/>
          </w:tcPr>
          <w:p>
            <w:pPr>
              <w:pStyle w:val="TableParagraph"/>
              <w:spacing w:before="40"/>
              <w:rPr>
                <w:sz w:val="18"/>
              </w:rPr>
            </w:pPr>
            <w:r>
              <w:rPr>
                <w:color w:val="006000"/>
                <w:w w:val="99"/>
                <w:sz w:val="18"/>
              </w:rPr>
              <w:t>3</w:t>
            </w:r>
          </w:p>
        </w:tc>
        <w:tc>
          <w:tcPr>
            <w:tcW w:w="456" w:type="dxa"/>
          </w:tcPr>
          <w:p>
            <w:pPr>
              <w:pStyle w:val="TableParagraph"/>
              <w:spacing w:before="40"/>
              <w:rPr>
                <w:sz w:val="18"/>
              </w:rPr>
            </w:pPr>
            <w:r>
              <w:rPr>
                <w:color w:val="006000"/>
                <w:w w:val="99"/>
                <w:sz w:val="18"/>
              </w:rPr>
              <w:t>1</w:t>
            </w:r>
          </w:p>
        </w:tc>
        <w:tc>
          <w:tcPr>
            <w:tcW w:w="475" w:type="dxa"/>
          </w:tcPr>
          <w:p>
            <w:pPr>
              <w:pStyle w:val="TableParagraph"/>
              <w:spacing w:before="40"/>
              <w:ind w:left="134"/>
              <w:jc w:val="left"/>
              <w:rPr>
                <w:sz w:val="18"/>
              </w:rPr>
            </w:pPr>
            <w:r>
              <w:rPr>
                <w:color w:val="006000"/>
                <w:sz w:val="18"/>
              </w:rPr>
              <w:t>30</w:t>
            </w:r>
          </w:p>
        </w:tc>
        <w:tc>
          <w:tcPr>
            <w:tcW w:w="459" w:type="dxa"/>
          </w:tcPr>
          <w:p>
            <w:pPr>
              <w:pStyle w:val="TableParagraph"/>
              <w:spacing w:before="40"/>
              <w:ind w:left="2"/>
              <w:rPr>
                <w:sz w:val="18"/>
              </w:rPr>
            </w:pPr>
            <w:r>
              <w:rPr>
                <w:color w:val="006000"/>
                <w:w w:val="99"/>
                <w:sz w:val="18"/>
              </w:rPr>
              <w:t>1</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left="1"/>
              <w:rPr>
                <w:sz w:val="18"/>
              </w:rPr>
            </w:pPr>
            <w:r>
              <w:rPr>
                <w:color w:val="333333"/>
                <w:w w:val="99"/>
                <w:sz w:val="18"/>
              </w:rPr>
              <w:t>0</w:t>
            </w:r>
          </w:p>
        </w:tc>
        <w:tc>
          <w:tcPr>
            <w:tcW w:w="456" w:type="dxa"/>
          </w:tcPr>
          <w:p>
            <w:pPr>
              <w:pStyle w:val="TableParagraph"/>
              <w:spacing w:before="40"/>
              <w:ind w:right="171"/>
              <w:jc w:val="right"/>
              <w:rPr>
                <w:sz w:val="18"/>
              </w:rPr>
            </w:pPr>
            <w:r>
              <w:rPr>
                <w:color w:val="333333"/>
                <w:w w:val="99"/>
                <w:sz w:val="18"/>
              </w:rPr>
              <w:t>0</w:t>
            </w:r>
          </w:p>
        </w:tc>
        <w:tc>
          <w:tcPr>
            <w:tcW w:w="684" w:type="dxa"/>
          </w:tcPr>
          <w:p>
            <w:pPr>
              <w:pStyle w:val="TableParagraph"/>
              <w:spacing w:before="40"/>
              <w:ind w:left="285"/>
              <w:jc w:val="left"/>
              <w:rPr>
                <w:sz w:val="18"/>
              </w:rPr>
            </w:pPr>
            <w:r>
              <w:rPr>
                <w:color w:val="333333"/>
                <w:w w:val="99"/>
                <w:sz w:val="18"/>
              </w:rPr>
              <w:t>0</w:t>
            </w:r>
          </w:p>
        </w:tc>
        <w:tc>
          <w:tcPr>
            <w:tcW w:w="646" w:type="dxa"/>
          </w:tcPr>
          <w:p>
            <w:pPr>
              <w:pStyle w:val="TableParagraph"/>
              <w:spacing w:before="40"/>
              <w:ind w:right="267"/>
              <w:jc w:val="right"/>
              <w:rPr>
                <w:sz w:val="18"/>
              </w:rPr>
            </w:pPr>
            <w:r>
              <w:rPr>
                <w:color w:val="333333"/>
                <w:w w:val="99"/>
                <w:sz w:val="18"/>
              </w:rPr>
              <w:t>0</w:t>
            </w:r>
          </w:p>
        </w:tc>
        <w:tc>
          <w:tcPr>
            <w:tcW w:w="456" w:type="dxa"/>
            <w:tcBorders>
              <w:right w:val="single" w:sz="4" w:space="0" w:color="000000"/>
            </w:tcBorders>
          </w:tcPr>
          <w:p>
            <w:pPr>
              <w:pStyle w:val="TableParagraph"/>
              <w:spacing w:before="40"/>
              <w:rPr>
                <w:sz w:val="18"/>
              </w:rPr>
            </w:pPr>
            <w:r>
              <w:rPr>
                <w:color w:val="333333"/>
                <w:w w:val="99"/>
                <w:sz w:val="18"/>
              </w:rPr>
              <w:t>0</w:t>
            </w:r>
          </w:p>
        </w:tc>
        <w:tc>
          <w:tcPr>
            <w:tcW w:w="852" w:type="dxa"/>
            <w:tcBorders>
              <w:left w:val="single" w:sz="4" w:space="0" w:color="000000"/>
            </w:tcBorders>
          </w:tcPr>
          <w:p>
            <w:pPr>
              <w:pStyle w:val="TableParagraph"/>
              <w:spacing w:before="40"/>
              <w:ind w:left="1"/>
              <w:rPr>
                <w:sz w:val="18"/>
              </w:rPr>
            </w:pPr>
            <w:r>
              <w:rPr>
                <w:color w:val="333333"/>
                <w:w w:val="99"/>
                <w:sz w:val="18"/>
              </w:rPr>
              <w:t>0</w:t>
            </w:r>
          </w:p>
        </w:tc>
        <w:tc>
          <w:tcPr>
            <w:tcW w:w="475" w:type="dxa"/>
          </w:tcPr>
          <w:p>
            <w:pPr>
              <w:pStyle w:val="TableParagraph"/>
              <w:spacing w:before="40"/>
              <w:rPr>
                <w:sz w:val="18"/>
              </w:rPr>
            </w:pPr>
            <w:r>
              <w:rPr>
                <w:color w:val="333333"/>
                <w:w w:val="99"/>
                <w:sz w:val="18"/>
              </w:rPr>
              <w:t>0</w:t>
            </w:r>
          </w:p>
        </w:tc>
        <w:tc>
          <w:tcPr>
            <w:tcW w:w="475" w:type="dxa"/>
          </w:tcPr>
          <w:p>
            <w:pPr>
              <w:pStyle w:val="TableParagraph"/>
              <w:spacing w:before="40"/>
              <w:ind w:right="131"/>
              <w:jc w:val="right"/>
              <w:rPr>
                <w:sz w:val="18"/>
              </w:rPr>
            </w:pPr>
            <w:r>
              <w:rPr>
                <w:w w:val="95"/>
                <w:sz w:val="18"/>
              </w:rPr>
              <w:t>37</w:t>
            </w:r>
          </w:p>
        </w:tc>
      </w:tr>
      <w:tr>
        <w:trPr>
          <w:trHeight w:val="401" w:hRule="exact"/>
        </w:trPr>
        <w:tc>
          <w:tcPr>
            <w:tcW w:w="4277" w:type="dxa"/>
          </w:tcPr>
          <w:p>
            <w:pPr>
              <w:pStyle w:val="TableParagraph"/>
              <w:spacing w:before="35"/>
              <w:ind w:left="64"/>
              <w:jc w:val="left"/>
              <w:rPr>
                <w:b/>
                <w:sz w:val="18"/>
              </w:rPr>
            </w:pPr>
            <w:r>
              <w:rPr>
                <w:b/>
                <w:color w:val="333333"/>
                <w:sz w:val="18"/>
              </w:rPr>
              <w:t>METEPEC</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left="1"/>
              <w:rPr>
                <w:sz w:val="18"/>
              </w:rPr>
            </w:pPr>
            <w:r>
              <w:rPr>
                <w:color w:val="333333"/>
                <w:w w:val="99"/>
                <w:sz w:val="18"/>
              </w:rPr>
              <w:t>0</w:t>
            </w:r>
          </w:p>
        </w:tc>
        <w:tc>
          <w:tcPr>
            <w:tcW w:w="456" w:type="dxa"/>
          </w:tcPr>
          <w:p>
            <w:pPr>
              <w:pStyle w:val="TableParagraph"/>
              <w:spacing w:before="40"/>
              <w:ind w:left="51" w:right="51"/>
              <w:rPr>
                <w:sz w:val="18"/>
              </w:rPr>
            </w:pPr>
            <w:r>
              <w:rPr>
                <w:color w:val="006000"/>
                <w:sz w:val="18"/>
              </w:rPr>
              <w:t>17</w:t>
            </w:r>
          </w:p>
        </w:tc>
        <w:tc>
          <w:tcPr>
            <w:tcW w:w="456" w:type="dxa"/>
          </w:tcPr>
          <w:p>
            <w:pPr>
              <w:pStyle w:val="TableParagraph"/>
              <w:spacing w:before="40"/>
              <w:rPr>
                <w:sz w:val="18"/>
              </w:rPr>
            </w:pPr>
            <w:r>
              <w:rPr>
                <w:color w:val="006000"/>
                <w:w w:val="99"/>
                <w:sz w:val="18"/>
              </w:rPr>
              <w:t>1</w:t>
            </w:r>
          </w:p>
        </w:tc>
        <w:tc>
          <w:tcPr>
            <w:tcW w:w="475" w:type="dxa"/>
          </w:tcPr>
          <w:p>
            <w:pPr>
              <w:pStyle w:val="TableParagraph"/>
              <w:spacing w:before="40"/>
              <w:ind w:left="134"/>
              <w:jc w:val="left"/>
              <w:rPr>
                <w:sz w:val="18"/>
              </w:rPr>
            </w:pPr>
            <w:r>
              <w:rPr>
                <w:color w:val="006000"/>
                <w:sz w:val="18"/>
              </w:rPr>
              <w:t>35</w:t>
            </w:r>
          </w:p>
        </w:tc>
        <w:tc>
          <w:tcPr>
            <w:tcW w:w="459" w:type="dxa"/>
          </w:tcPr>
          <w:p>
            <w:pPr>
              <w:pStyle w:val="TableParagraph"/>
              <w:spacing w:before="40"/>
              <w:ind w:left="2"/>
              <w:rPr>
                <w:sz w:val="18"/>
              </w:rPr>
            </w:pPr>
            <w:r>
              <w:rPr>
                <w:color w:val="006000"/>
                <w:w w:val="99"/>
                <w:sz w:val="18"/>
              </w:rPr>
              <w:t>7</w:t>
            </w:r>
          </w:p>
        </w:tc>
        <w:tc>
          <w:tcPr>
            <w:tcW w:w="456" w:type="dxa"/>
          </w:tcPr>
          <w:p>
            <w:pPr>
              <w:pStyle w:val="TableParagraph"/>
              <w:spacing w:before="40"/>
              <w:ind w:left="51" w:right="51"/>
              <w:rPr>
                <w:sz w:val="18"/>
              </w:rPr>
            </w:pPr>
            <w:r>
              <w:rPr>
                <w:color w:val="006000"/>
                <w:sz w:val="18"/>
              </w:rPr>
              <w:t>44</w:t>
            </w:r>
          </w:p>
        </w:tc>
        <w:tc>
          <w:tcPr>
            <w:tcW w:w="458" w:type="dxa"/>
          </w:tcPr>
          <w:p>
            <w:pPr>
              <w:pStyle w:val="TableParagraph"/>
              <w:spacing w:before="40"/>
              <w:ind w:left="1"/>
              <w:rPr>
                <w:sz w:val="18"/>
              </w:rPr>
            </w:pPr>
            <w:r>
              <w:rPr>
                <w:color w:val="006000"/>
                <w:w w:val="99"/>
                <w:sz w:val="18"/>
              </w:rPr>
              <w:t>3</w:t>
            </w:r>
          </w:p>
        </w:tc>
        <w:tc>
          <w:tcPr>
            <w:tcW w:w="456" w:type="dxa"/>
          </w:tcPr>
          <w:p>
            <w:pPr>
              <w:pStyle w:val="TableParagraph"/>
              <w:spacing w:before="40"/>
              <w:ind w:right="171"/>
              <w:jc w:val="right"/>
              <w:rPr>
                <w:sz w:val="18"/>
              </w:rPr>
            </w:pPr>
            <w:r>
              <w:rPr>
                <w:color w:val="333333"/>
                <w:w w:val="99"/>
                <w:sz w:val="18"/>
              </w:rPr>
              <w:t>0</w:t>
            </w:r>
          </w:p>
        </w:tc>
        <w:tc>
          <w:tcPr>
            <w:tcW w:w="684" w:type="dxa"/>
          </w:tcPr>
          <w:p>
            <w:pPr>
              <w:pStyle w:val="TableParagraph"/>
              <w:spacing w:before="40"/>
              <w:ind w:left="285"/>
              <w:jc w:val="left"/>
              <w:rPr>
                <w:sz w:val="18"/>
              </w:rPr>
            </w:pPr>
            <w:r>
              <w:rPr>
                <w:color w:val="006000"/>
                <w:w w:val="99"/>
                <w:sz w:val="18"/>
              </w:rPr>
              <w:t>4</w:t>
            </w:r>
          </w:p>
        </w:tc>
        <w:tc>
          <w:tcPr>
            <w:tcW w:w="646" w:type="dxa"/>
          </w:tcPr>
          <w:p>
            <w:pPr>
              <w:pStyle w:val="TableParagraph"/>
              <w:spacing w:before="40"/>
              <w:ind w:right="215"/>
              <w:jc w:val="right"/>
              <w:rPr>
                <w:sz w:val="18"/>
              </w:rPr>
            </w:pPr>
            <w:r>
              <w:rPr>
                <w:color w:val="006000"/>
                <w:w w:val="95"/>
                <w:sz w:val="18"/>
              </w:rPr>
              <w:t>22</w:t>
            </w:r>
          </w:p>
        </w:tc>
        <w:tc>
          <w:tcPr>
            <w:tcW w:w="456" w:type="dxa"/>
            <w:tcBorders>
              <w:right w:val="single" w:sz="4" w:space="0" w:color="000000"/>
            </w:tcBorders>
          </w:tcPr>
          <w:p>
            <w:pPr>
              <w:pStyle w:val="TableParagraph"/>
              <w:spacing w:before="40"/>
              <w:rPr>
                <w:sz w:val="18"/>
              </w:rPr>
            </w:pPr>
            <w:r>
              <w:rPr>
                <w:color w:val="333333"/>
                <w:w w:val="99"/>
                <w:sz w:val="18"/>
              </w:rPr>
              <w:t>0</w:t>
            </w:r>
          </w:p>
        </w:tc>
        <w:tc>
          <w:tcPr>
            <w:tcW w:w="852" w:type="dxa"/>
            <w:tcBorders>
              <w:left w:val="single" w:sz="4" w:space="0" w:color="000000"/>
            </w:tcBorders>
          </w:tcPr>
          <w:p>
            <w:pPr>
              <w:pStyle w:val="TableParagraph"/>
              <w:spacing w:before="40"/>
              <w:ind w:left="1"/>
              <w:rPr>
                <w:sz w:val="18"/>
              </w:rPr>
            </w:pPr>
            <w:r>
              <w:rPr>
                <w:color w:val="006000"/>
                <w:w w:val="99"/>
                <w:sz w:val="18"/>
              </w:rPr>
              <w:t>1</w:t>
            </w:r>
          </w:p>
        </w:tc>
        <w:tc>
          <w:tcPr>
            <w:tcW w:w="475" w:type="dxa"/>
          </w:tcPr>
          <w:p>
            <w:pPr>
              <w:pStyle w:val="TableParagraph"/>
              <w:spacing w:before="40"/>
              <w:rPr>
                <w:sz w:val="18"/>
              </w:rPr>
            </w:pPr>
            <w:r>
              <w:rPr>
                <w:color w:val="006000"/>
                <w:w w:val="99"/>
                <w:sz w:val="18"/>
              </w:rPr>
              <w:t>8</w:t>
            </w:r>
          </w:p>
        </w:tc>
        <w:tc>
          <w:tcPr>
            <w:tcW w:w="475" w:type="dxa"/>
          </w:tcPr>
          <w:p>
            <w:pPr>
              <w:pStyle w:val="TableParagraph"/>
              <w:spacing w:before="40"/>
              <w:ind w:right="79"/>
              <w:jc w:val="right"/>
              <w:rPr>
                <w:sz w:val="18"/>
              </w:rPr>
            </w:pPr>
            <w:r>
              <w:rPr>
                <w:w w:val="95"/>
                <w:sz w:val="18"/>
              </w:rPr>
              <w:t>143</w:t>
            </w:r>
          </w:p>
        </w:tc>
      </w:tr>
      <w:tr>
        <w:trPr>
          <w:trHeight w:val="401" w:hRule="exact"/>
        </w:trPr>
        <w:tc>
          <w:tcPr>
            <w:tcW w:w="4277" w:type="dxa"/>
          </w:tcPr>
          <w:p>
            <w:pPr>
              <w:pStyle w:val="TableParagraph"/>
              <w:spacing w:before="35"/>
              <w:ind w:left="64"/>
              <w:jc w:val="left"/>
              <w:rPr>
                <w:b/>
                <w:sz w:val="18"/>
              </w:rPr>
            </w:pPr>
            <w:r>
              <w:rPr>
                <w:b/>
                <w:color w:val="333333"/>
                <w:sz w:val="18"/>
              </w:rPr>
              <w:t>MEXICALTCINGO</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left="1"/>
              <w:rPr>
                <w:sz w:val="18"/>
              </w:rPr>
            </w:pPr>
            <w:r>
              <w:rPr>
                <w:color w:val="333333"/>
                <w:w w:val="99"/>
                <w:sz w:val="18"/>
              </w:rPr>
              <w:t>0</w:t>
            </w:r>
          </w:p>
        </w:tc>
        <w:tc>
          <w:tcPr>
            <w:tcW w:w="456" w:type="dxa"/>
          </w:tcPr>
          <w:p>
            <w:pPr>
              <w:pStyle w:val="TableParagraph"/>
              <w:spacing w:before="40"/>
              <w:ind w:left="51" w:right="51"/>
              <w:rPr>
                <w:sz w:val="18"/>
              </w:rPr>
            </w:pPr>
            <w:r>
              <w:rPr>
                <w:color w:val="006000"/>
                <w:sz w:val="18"/>
              </w:rPr>
              <w:t>11</w:t>
            </w:r>
          </w:p>
        </w:tc>
        <w:tc>
          <w:tcPr>
            <w:tcW w:w="456" w:type="dxa"/>
          </w:tcPr>
          <w:p>
            <w:pPr>
              <w:pStyle w:val="TableParagraph"/>
              <w:spacing w:before="40"/>
              <w:rPr>
                <w:sz w:val="18"/>
              </w:rPr>
            </w:pPr>
            <w:r>
              <w:rPr>
                <w:color w:val="006000"/>
                <w:w w:val="99"/>
                <w:sz w:val="18"/>
              </w:rPr>
              <w:t>1</w:t>
            </w:r>
          </w:p>
        </w:tc>
        <w:tc>
          <w:tcPr>
            <w:tcW w:w="475" w:type="dxa"/>
          </w:tcPr>
          <w:p>
            <w:pPr>
              <w:pStyle w:val="TableParagraph"/>
              <w:spacing w:before="40"/>
              <w:ind w:left="134"/>
              <w:jc w:val="left"/>
              <w:rPr>
                <w:sz w:val="18"/>
              </w:rPr>
            </w:pPr>
            <w:r>
              <w:rPr>
                <w:color w:val="006000"/>
                <w:sz w:val="18"/>
              </w:rPr>
              <w:t>15</w:t>
            </w:r>
          </w:p>
        </w:tc>
        <w:tc>
          <w:tcPr>
            <w:tcW w:w="459" w:type="dxa"/>
          </w:tcPr>
          <w:p>
            <w:pPr>
              <w:pStyle w:val="TableParagraph"/>
              <w:spacing w:before="40"/>
              <w:ind w:left="2"/>
              <w:rPr>
                <w:sz w:val="18"/>
              </w:rPr>
            </w:pPr>
            <w:r>
              <w:rPr>
                <w:color w:val="006000"/>
                <w:w w:val="99"/>
                <w:sz w:val="18"/>
              </w:rPr>
              <w:t>5</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left="1"/>
              <w:rPr>
                <w:sz w:val="18"/>
              </w:rPr>
            </w:pPr>
            <w:r>
              <w:rPr>
                <w:color w:val="333333"/>
                <w:w w:val="99"/>
                <w:sz w:val="18"/>
              </w:rPr>
              <w:t>0</w:t>
            </w:r>
          </w:p>
        </w:tc>
        <w:tc>
          <w:tcPr>
            <w:tcW w:w="456" w:type="dxa"/>
          </w:tcPr>
          <w:p>
            <w:pPr>
              <w:pStyle w:val="TableParagraph"/>
              <w:spacing w:before="40"/>
              <w:ind w:right="171"/>
              <w:jc w:val="right"/>
              <w:rPr>
                <w:sz w:val="18"/>
              </w:rPr>
            </w:pPr>
            <w:r>
              <w:rPr>
                <w:color w:val="333333"/>
                <w:w w:val="99"/>
                <w:sz w:val="18"/>
              </w:rPr>
              <w:t>0</w:t>
            </w:r>
          </w:p>
        </w:tc>
        <w:tc>
          <w:tcPr>
            <w:tcW w:w="684" w:type="dxa"/>
          </w:tcPr>
          <w:p>
            <w:pPr>
              <w:pStyle w:val="TableParagraph"/>
              <w:spacing w:before="40"/>
              <w:ind w:left="285"/>
              <w:jc w:val="left"/>
              <w:rPr>
                <w:sz w:val="18"/>
              </w:rPr>
            </w:pPr>
            <w:r>
              <w:rPr>
                <w:color w:val="333333"/>
                <w:w w:val="99"/>
                <w:sz w:val="18"/>
              </w:rPr>
              <w:t>0</w:t>
            </w:r>
          </w:p>
        </w:tc>
        <w:tc>
          <w:tcPr>
            <w:tcW w:w="646" w:type="dxa"/>
          </w:tcPr>
          <w:p>
            <w:pPr>
              <w:pStyle w:val="TableParagraph"/>
              <w:spacing w:before="40"/>
              <w:ind w:right="267"/>
              <w:jc w:val="right"/>
              <w:rPr>
                <w:sz w:val="18"/>
              </w:rPr>
            </w:pPr>
            <w:r>
              <w:rPr>
                <w:color w:val="333333"/>
                <w:w w:val="99"/>
                <w:sz w:val="18"/>
              </w:rPr>
              <w:t>0</w:t>
            </w:r>
          </w:p>
        </w:tc>
        <w:tc>
          <w:tcPr>
            <w:tcW w:w="456" w:type="dxa"/>
            <w:tcBorders>
              <w:right w:val="single" w:sz="4" w:space="0" w:color="000000"/>
            </w:tcBorders>
          </w:tcPr>
          <w:p>
            <w:pPr>
              <w:pStyle w:val="TableParagraph"/>
              <w:spacing w:before="40"/>
              <w:rPr>
                <w:sz w:val="18"/>
              </w:rPr>
            </w:pPr>
            <w:r>
              <w:rPr>
                <w:color w:val="333333"/>
                <w:w w:val="99"/>
                <w:sz w:val="18"/>
              </w:rPr>
              <w:t>0</w:t>
            </w:r>
          </w:p>
        </w:tc>
        <w:tc>
          <w:tcPr>
            <w:tcW w:w="852" w:type="dxa"/>
            <w:tcBorders>
              <w:left w:val="single" w:sz="4" w:space="0" w:color="000000"/>
            </w:tcBorders>
          </w:tcPr>
          <w:p>
            <w:pPr>
              <w:pStyle w:val="TableParagraph"/>
              <w:spacing w:before="40"/>
              <w:ind w:left="1"/>
              <w:rPr>
                <w:sz w:val="18"/>
              </w:rPr>
            </w:pPr>
            <w:r>
              <w:rPr>
                <w:color w:val="333333"/>
                <w:w w:val="99"/>
                <w:sz w:val="18"/>
              </w:rPr>
              <w:t>0</w:t>
            </w:r>
          </w:p>
        </w:tc>
        <w:tc>
          <w:tcPr>
            <w:tcW w:w="475" w:type="dxa"/>
          </w:tcPr>
          <w:p>
            <w:pPr>
              <w:pStyle w:val="TableParagraph"/>
              <w:spacing w:before="40"/>
              <w:rPr>
                <w:sz w:val="18"/>
              </w:rPr>
            </w:pPr>
            <w:r>
              <w:rPr>
                <w:color w:val="333333"/>
                <w:w w:val="99"/>
                <w:sz w:val="18"/>
              </w:rPr>
              <w:t>0</w:t>
            </w:r>
          </w:p>
        </w:tc>
        <w:tc>
          <w:tcPr>
            <w:tcW w:w="475" w:type="dxa"/>
          </w:tcPr>
          <w:p>
            <w:pPr>
              <w:pStyle w:val="TableParagraph"/>
              <w:spacing w:before="40"/>
              <w:ind w:right="131"/>
              <w:jc w:val="right"/>
              <w:rPr>
                <w:sz w:val="18"/>
              </w:rPr>
            </w:pPr>
            <w:r>
              <w:rPr>
                <w:w w:val="95"/>
                <w:sz w:val="18"/>
              </w:rPr>
              <w:t>34</w:t>
            </w:r>
          </w:p>
        </w:tc>
      </w:tr>
      <w:tr>
        <w:trPr>
          <w:trHeight w:val="398" w:hRule="exact"/>
        </w:trPr>
        <w:tc>
          <w:tcPr>
            <w:tcW w:w="4277" w:type="dxa"/>
          </w:tcPr>
          <w:p>
            <w:pPr>
              <w:pStyle w:val="TableParagraph"/>
              <w:spacing w:before="35"/>
              <w:ind w:left="64"/>
              <w:jc w:val="left"/>
              <w:rPr>
                <w:b/>
                <w:sz w:val="18"/>
              </w:rPr>
            </w:pPr>
            <w:r>
              <w:rPr>
                <w:b/>
                <w:color w:val="333333"/>
                <w:sz w:val="18"/>
              </w:rPr>
              <w:t>MORELOS</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left="1"/>
              <w:rPr>
                <w:sz w:val="18"/>
              </w:rPr>
            </w:pPr>
            <w:r>
              <w:rPr>
                <w:color w:val="333333"/>
                <w:w w:val="99"/>
                <w:sz w:val="18"/>
              </w:rPr>
              <w:t>0</w:t>
            </w:r>
          </w:p>
        </w:tc>
        <w:tc>
          <w:tcPr>
            <w:tcW w:w="456" w:type="dxa"/>
          </w:tcPr>
          <w:p>
            <w:pPr>
              <w:pStyle w:val="TableParagraph"/>
              <w:spacing w:before="40"/>
              <w:rPr>
                <w:sz w:val="18"/>
              </w:rPr>
            </w:pPr>
            <w:r>
              <w:rPr>
                <w:color w:val="006000"/>
                <w:w w:val="99"/>
                <w:sz w:val="18"/>
              </w:rPr>
              <w:t>3</w:t>
            </w:r>
          </w:p>
        </w:tc>
        <w:tc>
          <w:tcPr>
            <w:tcW w:w="456" w:type="dxa"/>
          </w:tcPr>
          <w:p>
            <w:pPr>
              <w:pStyle w:val="TableParagraph"/>
              <w:spacing w:before="40"/>
              <w:rPr>
                <w:sz w:val="18"/>
              </w:rPr>
            </w:pPr>
            <w:r>
              <w:rPr>
                <w:color w:val="006000"/>
                <w:w w:val="99"/>
                <w:sz w:val="18"/>
              </w:rPr>
              <w:t>1</w:t>
            </w:r>
          </w:p>
        </w:tc>
        <w:tc>
          <w:tcPr>
            <w:tcW w:w="475" w:type="dxa"/>
          </w:tcPr>
          <w:p>
            <w:pPr>
              <w:pStyle w:val="TableParagraph"/>
              <w:spacing w:before="40"/>
              <w:ind w:left="184"/>
              <w:jc w:val="left"/>
              <w:rPr>
                <w:sz w:val="18"/>
              </w:rPr>
            </w:pPr>
            <w:r>
              <w:rPr>
                <w:color w:val="006000"/>
                <w:w w:val="99"/>
                <w:sz w:val="18"/>
              </w:rPr>
              <w:t>4</w:t>
            </w:r>
          </w:p>
        </w:tc>
        <w:tc>
          <w:tcPr>
            <w:tcW w:w="459" w:type="dxa"/>
          </w:tcPr>
          <w:p>
            <w:pPr>
              <w:pStyle w:val="TableParagraph"/>
              <w:spacing w:before="40"/>
              <w:ind w:left="2"/>
              <w:rPr>
                <w:sz w:val="18"/>
              </w:rPr>
            </w:pPr>
            <w:r>
              <w:rPr>
                <w:color w:val="333333"/>
                <w:w w:val="99"/>
                <w:sz w:val="18"/>
              </w:rPr>
              <w:t>0</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left="1"/>
              <w:rPr>
                <w:sz w:val="18"/>
              </w:rPr>
            </w:pPr>
            <w:r>
              <w:rPr>
                <w:color w:val="333333"/>
                <w:w w:val="99"/>
                <w:sz w:val="18"/>
              </w:rPr>
              <w:t>0</w:t>
            </w:r>
          </w:p>
        </w:tc>
        <w:tc>
          <w:tcPr>
            <w:tcW w:w="456" w:type="dxa"/>
          </w:tcPr>
          <w:p>
            <w:pPr>
              <w:pStyle w:val="TableParagraph"/>
              <w:spacing w:before="40"/>
              <w:ind w:right="171"/>
              <w:jc w:val="right"/>
              <w:rPr>
                <w:sz w:val="18"/>
              </w:rPr>
            </w:pPr>
            <w:r>
              <w:rPr>
                <w:color w:val="333333"/>
                <w:w w:val="99"/>
                <w:sz w:val="18"/>
              </w:rPr>
              <w:t>0</w:t>
            </w:r>
          </w:p>
        </w:tc>
        <w:tc>
          <w:tcPr>
            <w:tcW w:w="684" w:type="dxa"/>
          </w:tcPr>
          <w:p>
            <w:pPr>
              <w:pStyle w:val="TableParagraph"/>
              <w:spacing w:before="40"/>
              <w:ind w:left="285"/>
              <w:jc w:val="left"/>
              <w:rPr>
                <w:sz w:val="18"/>
              </w:rPr>
            </w:pPr>
            <w:r>
              <w:rPr>
                <w:color w:val="333333"/>
                <w:w w:val="99"/>
                <w:sz w:val="18"/>
              </w:rPr>
              <w:t>0</w:t>
            </w:r>
          </w:p>
        </w:tc>
        <w:tc>
          <w:tcPr>
            <w:tcW w:w="646" w:type="dxa"/>
          </w:tcPr>
          <w:p>
            <w:pPr>
              <w:pStyle w:val="TableParagraph"/>
              <w:spacing w:before="40"/>
              <w:ind w:right="267"/>
              <w:jc w:val="right"/>
              <w:rPr>
                <w:sz w:val="18"/>
              </w:rPr>
            </w:pPr>
            <w:r>
              <w:rPr>
                <w:color w:val="333333"/>
                <w:w w:val="99"/>
                <w:sz w:val="18"/>
              </w:rPr>
              <w:t>0</w:t>
            </w:r>
          </w:p>
        </w:tc>
        <w:tc>
          <w:tcPr>
            <w:tcW w:w="456" w:type="dxa"/>
            <w:tcBorders>
              <w:right w:val="single" w:sz="4" w:space="0" w:color="000000"/>
            </w:tcBorders>
          </w:tcPr>
          <w:p>
            <w:pPr>
              <w:pStyle w:val="TableParagraph"/>
              <w:spacing w:before="40"/>
              <w:rPr>
                <w:sz w:val="18"/>
              </w:rPr>
            </w:pPr>
            <w:r>
              <w:rPr>
                <w:color w:val="333333"/>
                <w:w w:val="99"/>
                <w:sz w:val="18"/>
              </w:rPr>
              <w:t>0</w:t>
            </w:r>
          </w:p>
        </w:tc>
        <w:tc>
          <w:tcPr>
            <w:tcW w:w="852" w:type="dxa"/>
            <w:tcBorders>
              <w:left w:val="single" w:sz="4" w:space="0" w:color="000000"/>
            </w:tcBorders>
          </w:tcPr>
          <w:p>
            <w:pPr>
              <w:pStyle w:val="TableParagraph"/>
              <w:spacing w:before="40"/>
              <w:ind w:left="1"/>
              <w:rPr>
                <w:sz w:val="18"/>
              </w:rPr>
            </w:pPr>
            <w:r>
              <w:rPr>
                <w:color w:val="333333"/>
                <w:w w:val="99"/>
                <w:sz w:val="18"/>
              </w:rPr>
              <w:t>0</w:t>
            </w:r>
          </w:p>
        </w:tc>
        <w:tc>
          <w:tcPr>
            <w:tcW w:w="475" w:type="dxa"/>
          </w:tcPr>
          <w:p>
            <w:pPr>
              <w:pStyle w:val="TableParagraph"/>
              <w:spacing w:before="40"/>
              <w:ind w:left="60" w:right="60"/>
              <w:rPr>
                <w:sz w:val="18"/>
              </w:rPr>
            </w:pPr>
            <w:r>
              <w:rPr>
                <w:color w:val="006000"/>
                <w:sz w:val="18"/>
              </w:rPr>
              <w:t>21</w:t>
            </w:r>
          </w:p>
        </w:tc>
        <w:tc>
          <w:tcPr>
            <w:tcW w:w="475" w:type="dxa"/>
          </w:tcPr>
          <w:p>
            <w:pPr>
              <w:pStyle w:val="TableParagraph"/>
              <w:spacing w:before="40"/>
              <w:ind w:right="131"/>
              <w:jc w:val="right"/>
              <w:rPr>
                <w:sz w:val="18"/>
              </w:rPr>
            </w:pPr>
            <w:r>
              <w:rPr>
                <w:w w:val="95"/>
                <w:sz w:val="18"/>
              </w:rPr>
              <w:t>31</w:t>
            </w:r>
          </w:p>
        </w:tc>
      </w:tr>
      <w:tr>
        <w:trPr>
          <w:trHeight w:val="401" w:hRule="exact"/>
        </w:trPr>
        <w:tc>
          <w:tcPr>
            <w:tcW w:w="4277" w:type="dxa"/>
          </w:tcPr>
          <w:p>
            <w:pPr>
              <w:pStyle w:val="TableParagraph"/>
              <w:spacing w:before="35"/>
              <w:ind w:left="64"/>
              <w:jc w:val="left"/>
              <w:rPr>
                <w:b/>
                <w:sz w:val="18"/>
              </w:rPr>
            </w:pPr>
            <w:r>
              <w:rPr>
                <w:b/>
                <w:color w:val="333333"/>
                <w:sz w:val="18"/>
              </w:rPr>
              <w:t>NAUCALPAN DE JUAREZ</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left="1"/>
              <w:rPr>
                <w:sz w:val="18"/>
              </w:rPr>
            </w:pPr>
            <w:r>
              <w:rPr>
                <w:color w:val="006000"/>
                <w:w w:val="99"/>
                <w:sz w:val="18"/>
              </w:rPr>
              <w:t>1</w:t>
            </w:r>
          </w:p>
        </w:tc>
        <w:tc>
          <w:tcPr>
            <w:tcW w:w="456" w:type="dxa"/>
          </w:tcPr>
          <w:p>
            <w:pPr>
              <w:pStyle w:val="TableParagraph"/>
              <w:spacing w:before="40"/>
              <w:ind w:left="51" w:right="51"/>
              <w:rPr>
                <w:sz w:val="18"/>
              </w:rPr>
            </w:pPr>
            <w:r>
              <w:rPr>
                <w:color w:val="006000"/>
                <w:sz w:val="18"/>
              </w:rPr>
              <w:t>13</w:t>
            </w:r>
          </w:p>
        </w:tc>
        <w:tc>
          <w:tcPr>
            <w:tcW w:w="456" w:type="dxa"/>
          </w:tcPr>
          <w:p>
            <w:pPr>
              <w:pStyle w:val="TableParagraph"/>
              <w:spacing w:before="40"/>
              <w:rPr>
                <w:sz w:val="18"/>
              </w:rPr>
            </w:pPr>
            <w:r>
              <w:rPr>
                <w:color w:val="006000"/>
                <w:w w:val="99"/>
                <w:sz w:val="18"/>
              </w:rPr>
              <w:t>1</w:t>
            </w:r>
          </w:p>
        </w:tc>
        <w:tc>
          <w:tcPr>
            <w:tcW w:w="475" w:type="dxa"/>
          </w:tcPr>
          <w:p>
            <w:pPr>
              <w:pStyle w:val="TableParagraph"/>
              <w:spacing w:before="40"/>
              <w:ind w:left="134"/>
              <w:jc w:val="left"/>
              <w:rPr>
                <w:sz w:val="18"/>
              </w:rPr>
            </w:pPr>
            <w:r>
              <w:rPr>
                <w:color w:val="006000"/>
                <w:sz w:val="18"/>
              </w:rPr>
              <w:t>20</w:t>
            </w:r>
          </w:p>
        </w:tc>
        <w:tc>
          <w:tcPr>
            <w:tcW w:w="459" w:type="dxa"/>
          </w:tcPr>
          <w:p>
            <w:pPr>
              <w:pStyle w:val="TableParagraph"/>
              <w:spacing w:before="40"/>
              <w:ind w:left="2"/>
              <w:rPr>
                <w:sz w:val="18"/>
              </w:rPr>
            </w:pPr>
            <w:r>
              <w:rPr>
                <w:color w:val="006000"/>
                <w:w w:val="99"/>
                <w:sz w:val="18"/>
              </w:rPr>
              <w:t>9</w:t>
            </w:r>
          </w:p>
        </w:tc>
        <w:tc>
          <w:tcPr>
            <w:tcW w:w="456" w:type="dxa"/>
          </w:tcPr>
          <w:p>
            <w:pPr>
              <w:pStyle w:val="TableParagraph"/>
              <w:spacing w:before="40"/>
              <w:ind w:left="51" w:right="51"/>
              <w:rPr>
                <w:sz w:val="18"/>
              </w:rPr>
            </w:pPr>
            <w:r>
              <w:rPr>
                <w:color w:val="006000"/>
                <w:sz w:val="18"/>
              </w:rPr>
              <w:t>61</w:t>
            </w:r>
          </w:p>
        </w:tc>
        <w:tc>
          <w:tcPr>
            <w:tcW w:w="458" w:type="dxa"/>
          </w:tcPr>
          <w:p>
            <w:pPr>
              <w:pStyle w:val="TableParagraph"/>
              <w:spacing w:before="40"/>
              <w:ind w:left="1"/>
              <w:rPr>
                <w:sz w:val="18"/>
              </w:rPr>
            </w:pPr>
            <w:r>
              <w:rPr>
                <w:color w:val="333333"/>
                <w:w w:val="99"/>
                <w:sz w:val="18"/>
              </w:rPr>
              <w:t>0</w:t>
            </w:r>
          </w:p>
        </w:tc>
        <w:tc>
          <w:tcPr>
            <w:tcW w:w="456" w:type="dxa"/>
          </w:tcPr>
          <w:p>
            <w:pPr>
              <w:pStyle w:val="TableParagraph"/>
              <w:spacing w:before="40"/>
              <w:ind w:right="171"/>
              <w:jc w:val="right"/>
              <w:rPr>
                <w:sz w:val="18"/>
              </w:rPr>
            </w:pPr>
            <w:r>
              <w:rPr>
                <w:color w:val="006000"/>
                <w:w w:val="99"/>
                <w:sz w:val="18"/>
              </w:rPr>
              <w:t>1</w:t>
            </w:r>
          </w:p>
        </w:tc>
        <w:tc>
          <w:tcPr>
            <w:tcW w:w="684" w:type="dxa"/>
          </w:tcPr>
          <w:p>
            <w:pPr>
              <w:pStyle w:val="TableParagraph"/>
              <w:spacing w:before="40"/>
              <w:ind w:left="235"/>
              <w:jc w:val="left"/>
              <w:rPr>
                <w:sz w:val="18"/>
              </w:rPr>
            </w:pPr>
            <w:r>
              <w:rPr>
                <w:color w:val="006000"/>
                <w:sz w:val="18"/>
              </w:rPr>
              <w:t>47</w:t>
            </w:r>
          </w:p>
        </w:tc>
        <w:tc>
          <w:tcPr>
            <w:tcW w:w="646" w:type="dxa"/>
          </w:tcPr>
          <w:p>
            <w:pPr>
              <w:pStyle w:val="TableParagraph"/>
              <w:spacing w:before="40"/>
              <w:ind w:right="267"/>
              <w:jc w:val="right"/>
              <w:rPr>
                <w:sz w:val="18"/>
              </w:rPr>
            </w:pPr>
            <w:r>
              <w:rPr>
                <w:color w:val="006000"/>
                <w:w w:val="99"/>
                <w:sz w:val="18"/>
              </w:rPr>
              <w:t>2</w:t>
            </w:r>
          </w:p>
        </w:tc>
        <w:tc>
          <w:tcPr>
            <w:tcW w:w="456" w:type="dxa"/>
            <w:tcBorders>
              <w:right w:val="single" w:sz="4" w:space="0" w:color="000000"/>
            </w:tcBorders>
          </w:tcPr>
          <w:p>
            <w:pPr>
              <w:pStyle w:val="TableParagraph"/>
              <w:spacing w:before="40"/>
              <w:rPr>
                <w:sz w:val="18"/>
              </w:rPr>
            </w:pPr>
            <w:r>
              <w:rPr>
                <w:color w:val="006000"/>
                <w:w w:val="99"/>
                <w:sz w:val="18"/>
              </w:rPr>
              <w:t>3</w:t>
            </w:r>
          </w:p>
        </w:tc>
        <w:tc>
          <w:tcPr>
            <w:tcW w:w="852" w:type="dxa"/>
            <w:tcBorders>
              <w:left w:val="single" w:sz="4" w:space="0" w:color="000000"/>
            </w:tcBorders>
          </w:tcPr>
          <w:p>
            <w:pPr>
              <w:pStyle w:val="TableParagraph"/>
              <w:spacing w:before="40"/>
              <w:ind w:left="1"/>
              <w:rPr>
                <w:sz w:val="18"/>
              </w:rPr>
            </w:pPr>
            <w:r>
              <w:rPr>
                <w:color w:val="333333"/>
                <w:w w:val="99"/>
                <w:sz w:val="18"/>
              </w:rPr>
              <w:t>0</w:t>
            </w:r>
          </w:p>
        </w:tc>
        <w:tc>
          <w:tcPr>
            <w:tcW w:w="475" w:type="dxa"/>
          </w:tcPr>
          <w:p>
            <w:pPr>
              <w:pStyle w:val="TableParagraph"/>
              <w:spacing w:before="40"/>
              <w:rPr>
                <w:sz w:val="18"/>
              </w:rPr>
            </w:pPr>
            <w:r>
              <w:rPr>
                <w:color w:val="333333"/>
                <w:w w:val="99"/>
                <w:sz w:val="18"/>
              </w:rPr>
              <w:t>0</w:t>
            </w:r>
          </w:p>
        </w:tc>
        <w:tc>
          <w:tcPr>
            <w:tcW w:w="475" w:type="dxa"/>
          </w:tcPr>
          <w:p>
            <w:pPr>
              <w:pStyle w:val="TableParagraph"/>
              <w:spacing w:before="40"/>
              <w:ind w:right="79"/>
              <w:jc w:val="right"/>
              <w:rPr>
                <w:sz w:val="18"/>
              </w:rPr>
            </w:pPr>
            <w:r>
              <w:rPr>
                <w:w w:val="95"/>
                <w:sz w:val="18"/>
              </w:rPr>
              <w:t>159</w:t>
            </w:r>
          </w:p>
        </w:tc>
      </w:tr>
      <w:tr>
        <w:trPr>
          <w:trHeight w:val="401" w:hRule="exact"/>
        </w:trPr>
        <w:tc>
          <w:tcPr>
            <w:tcW w:w="4277" w:type="dxa"/>
          </w:tcPr>
          <w:p>
            <w:pPr>
              <w:pStyle w:val="TableParagraph"/>
              <w:spacing w:before="35"/>
              <w:ind w:left="64"/>
              <w:jc w:val="left"/>
              <w:rPr>
                <w:b/>
                <w:sz w:val="18"/>
              </w:rPr>
            </w:pPr>
            <w:r>
              <w:rPr>
                <w:b/>
                <w:color w:val="333333"/>
                <w:sz w:val="18"/>
              </w:rPr>
              <w:t>NEXTLALPAN</w:t>
            </w:r>
          </w:p>
        </w:tc>
        <w:tc>
          <w:tcPr>
            <w:tcW w:w="456" w:type="dxa"/>
          </w:tcPr>
          <w:p>
            <w:pPr>
              <w:pStyle w:val="TableParagraph"/>
              <w:spacing w:before="40"/>
              <w:rPr>
                <w:sz w:val="18"/>
              </w:rPr>
            </w:pPr>
            <w:r>
              <w:rPr>
                <w:color w:val="006000"/>
                <w:w w:val="99"/>
                <w:sz w:val="18"/>
              </w:rPr>
              <w:t>1</w:t>
            </w:r>
          </w:p>
        </w:tc>
        <w:tc>
          <w:tcPr>
            <w:tcW w:w="458" w:type="dxa"/>
          </w:tcPr>
          <w:p>
            <w:pPr>
              <w:pStyle w:val="TableParagraph"/>
              <w:spacing w:before="40"/>
              <w:ind w:left="1"/>
              <w:rPr>
                <w:sz w:val="18"/>
              </w:rPr>
            </w:pPr>
            <w:r>
              <w:rPr>
                <w:color w:val="333333"/>
                <w:w w:val="99"/>
                <w:sz w:val="18"/>
              </w:rPr>
              <w:t>0</w:t>
            </w:r>
          </w:p>
        </w:tc>
        <w:tc>
          <w:tcPr>
            <w:tcW w:w="456" w:type="dxa"/>
          </w:tcPr>
          <w:p>
            <w:pPr>
              <w:pStyle w:val="TableParagraph"/>
              <w:spacing w:before="40"/>
              <w:rPr>
                <w:sz w:val="18"/>
              </w:rPr>
            </w:pPr>
            <w:r>
              <w:rPr>
                <w:color w:val="006000"/>
                <w:w w:val="99"/>
                <w:sz w:val="18"/>
              </w:rPr>
              <w:t>3</w:t>
            </w:r>
          </w:p>
        </w:tc>
        <w:tc>
          <w:tcPr>
            <w:tcW w:w="456" w:type="dxa"/>
          </w:tcPr>
          <w:p>
            <w:pPr>
              <w:pStyle w:val="TableParagraph"/>
              <w:spacing w:before="40"/>
              <w:rPr>
                <w:sz w:val="18"/>
              </w:rPr>
            </w:pPr>
            <w:r>
              <w:rPr>
                <w:color w:val="006000"/>
                <w:w w:val="99"/>
                <w:sz w:val="18"/>
              </w:rPr>
              <w:t>1</w:t>
            </w:r>
          </w:p>
        </w:tc>
        <w:tc>
          <w:tcPr>
            <w:tcW w:w="475" w:type="dxa"/>
          </w:tcPr>
          <w:p>
            <w:pPr>
              <w:pStyle w:val="TableParagraph"/>
              <w:spacing w:before="40"/>
              <w:ind w:left="184"/>
              <w:jc w:val="left"/>
              <w:rPr>
                <w:sz w:val="18"/>
              </w:rPr>
            </w:pPr>
            <w:r>
              <w:rPr>
                <w:color w:val="333333"/>
                <w:w w:val="99"/>
                <w:sz w:val="18"/>
              </w:rPr>
              <w:t>0</w:t>
            </w:r>
          </w:p>
        </w:tc>
        <w:tc>
          <w:tcPr>
            <w:tcW w:w="459" w:type="dxa"/>
          </w:tcPr>
          <w:p>
            <w:pPr>
              <w:pStyle w:val="TableParagraph"/>
              <w:spacing w:before="40"/>
              <w:ind w:left="2"/>
              <w:rPr>
                <w:sz w:val="18"/>
              </w:rPr>
            </w:pPr>
            <w:r>
              <w:rPr>
                <w:color w:val="333333"/>
                <w:w w:val="99"/>
                <w:sz w:val="18"/>
              </w:rPr>
              <w:t>0</w:t>
            </w:r>
          </w:p>
        </w:tc>
        <w:tc>
          <w:tcPr>
            <w:tcW w:w="456" w:type="dxa"/>
          </w:tcPr>
          <w:p>
            <w:pPr>
              <w:pStyle w:val="TableParagraph"/>
              <w:spacing w:before="40"/>
              <w:rPr>
                <w:sz w:val="18"/>
              </w:rPr>
            </w:pPr>
            <w:r>
              <w:rPr>
                <w:color w:val="333333"/>
                <w:w w:val="99"/>
                <w:sz w:val="18"/>
              </w:rPr>
              <w:t>0</w:t>
            </w:r>
          </w:p>
        </w:tc>
        <w:tc>
          <w:tcPr>
            <w:tcW w:w="458" w:type="dxa"/>
          </w:tcPr>
          <w:p>
            <w:pPr>
              <w:pStyle w:val="TableParagraph"/>
              <w:spacing w:before="40"/>
              <w:ind w:left="1"/>
              <w:rPr>
                <w:sz w:val="18"/>
              </w:rPr>
            </w:pPr>
            <w:r>
              <w:rPr>
                <w:color w:val="333333"/>
                <w:w w:val="99"/>
                <w:sz w:val="18"/>
              </w:rPr>
              <w:t>0</w:t>
            </w:r>
          </w:p>
        </w:tc>
        <w:tc>
          <w:tcPr>
            <w:tcW w:w="456" w:type="dxa"/>
          </w:tcPr>
          <w:p>
            <w:pPr>
              <w:pStyle w:val="TableParagraph"/>
              <w:spacing w:before="40"/>
              <w:ind w:right="171"/>
              <w:jc w:val="right"/>
              <w:rPr>
                <w:sz w:val="18"/>
              </w:rPr>
            </w:pPr>
            <w:r>
              <w:rPr>
                <w:color w:val="333333"/>
                <w:w w:val="99"/>
                <w:sz w:val="18"/>
              </w:rPr>
              <w:t>0</w:t>
            </w:r>
          </w:p>
        </w:tc>
        <w:tc>
          <w:tcPr>
            <w:tcW w:w="684" w:type="dxa"/>
          </w:tcPr>
          <w:p>
            <w:pPr>
              <w:pStyle w:val="TableParagraph"/>
              <w:spacing w:before="40"/>
              <w:ind w:left="285"/>
              <w:jc w:val="left"/>
              <w:rPr>
                <w:sz w:val="18"/>
              </w:rPr>
            </w:pPr>
            <w:r>
              <w:rPr>
                <w:color w:val="333333"/>
                <w:w w:val="99"/>
                <w:sz w:val="18"/>
              </w:rPr>
              <w:t>0</w:t>
            </w:r>
          </w:p>
        </w:tc>
        <w:tc>
          <w:tcPr>
            <w:tcW w:w="646" w:type="dxa"/>
          </w:tcPr>
          <w:p>
            <w:pPr>
              <w:pStyle w:val="TableParagraph"/>
              <w:spacing w:before="40"/>
              <w:ind w:right="267"/>
              <w:jc w:val="right"/>
              <w:rPr>
                <w:sz w:val="18"/>
              </w:rPr>
            </w:pPr>
            <w:r>
              <w:rPr>
                <w:color w:val="333333"/>
                <w:w w:val="99"/>
                <w:sz w:val="18"/>
              </w:rPr>
              <w:t>0</w:t>
            </w:r>
          </w:p>
        </w:tc>
        <w:tc>
          <w:tcPr>
            <w:tcW w:w="456" w:type="dxa"/>
            <w:tcBorders>
              <w:right w:val="single" w:sz="4" w:space="0" w:color="000000"/>
            </w:tcBorders>
          </w:tcPr>
          <w:p>
            <w:pPr>
              <w:pStyle w:val="TableParagraph"/>
              <w:spacing w:before="40"/>
              <w:rPr>
                <w:sz w:val="18"/>
              </w:rPr>
            </w:pPr>
            <w:r>
              <w:rPr>
                <w:color w:val="333333"/>
                <w:w w:val="99"/>
                <w:sz w:val="18"/>
              </w:rPr>
              <w:t>0</w:t>
            </w:r>
          </w:p>
        </w:tc>
        <w:tc>
          <w:tcPr>
            <w:tcW w:w="852" w:type="dxa"/>
            <w:tcBorders>
              <w:left w:val="single" w:sz="4" w:space="0" w:color="000000"/>
            </w:tcBorders>
          </w:tcPr>
          <w:p>
            <w:pPr>
              <w:pStyle w:val="TableParagraph"/>
              <w:spacing w:before="40"/>
              <w:ind w:left="1"/>
              <w:rPr>
                <w:sz w:val="18"/>
              </w:rPr>
            </w:pPr>
            <w:r>
              <w:rPr>
                <w:color w:val="333333"/>
                <w:w w:val="99"/>
                <w:sz w:val="18"/>
              </w:rPr>
              <w:t>0</w:t>
            </w:r>
          </w:p>
        </w:tc>
        <w:tc>
          <w:tcPr>
            <w:tcW w:w="475" w:type="dxa"/>
          </w:tcPr>
          <w:p>
            <w:pPr>
              <w:pStyle w:val="TableParagraph"/>
              <w:spacing w:before="40"/>
              <w:rPr>
                <w:sz w:val="18"/>
              </w:rPr>
            </w:pPr>
            <w:r>
              <w:rPr>
                <w:color w:val="333333"/>
                <w:w w:val="99"/>
                <w:sz w:val="18"/>
              </w:rPr>
              <w:t>0</w:t>
            </w:r>
          </w:p>
        </w:tc>
        <w:tc>
          <w:tcPr>
            <w:tcW w:w="475" w:type="dxa"/>
          </w:tcPr>
          <w:p>
            <w:pPr>
              <w:pStyle w:val="TableParagraph"/>
              <w:spacing w:before="40"/>
              <w:ind w:right="181"/>
              <w:jc w:val="right"/>
              <w:rPr>
                <w:sz w:val="18"/>
              </w:rPr>
            </w:pPr>
            <w:r>
              <w:rPr>
                <w:w w:val="99"/>
                <w:sz w:val="18"/>
              </w:rPr>
              <w:t>5</w:t>
            </w:r>
          </w:p>
        </w:tc>
      </w:tr>
    </w:tbl>
    <w:p>
      <w:pPr>
        <w:spacing w:after="0"/>
        <w:jc w:val="right"/>
        <w:rPr>
          <w:sz w:val="18"/>
        </w:rPr>
        <w:sectPr>
          <w:pgSz w:w="15840" w:h="12240" w:orient="landscape"/>
          <w:pgMar w:header="0" w:footer="975" w:top="1140" w:bottom="1160" w:left="1800" w:right="1800"/>
        </w:sectPr>
      </w:pPr>
    </w:p>
    <w:p>
      <w:pPr>
        <w:pStyle w:val="BodyText"/>
        <w:rPr>
          <w:rFonts w:ascii="Times New Roman"/>
          <w:sz w:val="20"/>
        </w:rPr>
      </w:pPr>
    </w:p>
    <w:p>
      <w:pPr>
        <w:pStyle w:val="BodyText"/>
        <w:spacing w:before="8"/>
        <w:rPr>
          <w:rFonts w:ascii="Times New Roman"/>
          <w:sz w:val="20"/>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77"/>
        <w:gridCol w:w="456"/>
        <w:gridCol w:w="458"/>
        <w:gridCol w:w="456"/>
        <w:gridCol w:w="456"/>
        <w:gridCol w:w="475"/>
        <w:gridCol w:w="459"/>
        <w:gridCol w:w="456"/>
        <w:gridCol w:w="458"/>
        <w:gridCol w:w="456"/>
        <w:gridCol w:w="684"/>
        <w:gridCol w:w="646"/>
        <w:gridCol w:w="456"/>
        <w:gridCol w:w="852"/>
        <w:gridCol w:w="475"/>
        <w:gridCol w:w="475"/>
      </w:tblGrid>
      <w:tr>
        <w:trPr>
          <w:trHeight w:val="373" w:hRule="exact"/>
        </w:trPr>
        <w:tc>
          <w:tcPr>
            <w:tcW w:w="11997" w:type="dxa"/>
            <w:gridSpan w:val="16"/>
            <w:shd w:val="clear" w:color="auto" w:fill="92D050"/>
          </w:tcPr>
          <w:p>
            <w:pPr>
              <w:pStyle w:val="TableParagraph"/>
              <w:spacing w:before="20"/>
              <w:ind w:left="1348"/>
              <w:jc w:val="left"/>
              <w:rPr>
                <w:b/>
                <w:sz w:val="18"/>
              </w:rPr>
            </w:pPr>
            <w:r>
              <w:rPr>
                <w:b/>
                <w:sz w:val="18"/>
              </w:rPr>
              <w:t>Anexo 18. Normativa publicada por los municipios del Estado de México a través del INFOEM (continuación)</w:t>
            </w:r>
          </w:p>
        </w:tc>
      </w:tr>
      <w:tr>
        <w:trPr>
          <w:trHeight w:val="1412" w:hRule="exact"/>
        </w:trPr>
        <w:tc>
          <w:tcPr>
            <w:tcW w:w="4277" w:type="dxa"/>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126"/>
              <w:ind w:left="1691" w:right="1693"/>
              <w:rPr>
                <w:b/>
                <w:sz w:val="18"/>
              </w:rPr>
            </w:pPr>
            <w:r>
              <w:rPr>
                <w:b/>
                <w:sz w:val="18"/>
              </w:rPr>
              <w:t>Municipio</w:t>
            </w:r>
          </w:p>
        </w:tc>
        <w:tc>
          <w:tcPr>
            <w:tcW w:w="456" w:type="dxa"/>
            <w:shd w:val="clear" w:color="auto" w:fill="C5DFB3"/>
            <w:textDirection w:val="btLr"/>
          </w:tcPr>
          <w:p>
            <w:pPr>
              <w:pStyle w:val="TableParagraph"/>
              <w:spacing w:before="64"/>
              <w:ind w:left="76" w:right="-11"/>
              <w:jc w:val="left"/>
              <w:rPr>
                <w:b/>
                <w:sz w:val="18"/>
              </w:rPr>
            </w:pPr>
            <w:r>
              <w:rPr>
                <w:b/>
                <w:sz w:val="18"/>
              </w:rPr>
              <w:t>Con</w:t>
            </w:r>
            <w:r>
              <w:rPr>
                <w:b/>
                <w:spacing w:val="1"/>
                <w:sz w:val="18"/>
              </w:rPr>
              <w:t>s</w:t>
            </w:r>
            <w:r>
              <w:rPr>
                <w:b/>
                <w:w w:val="100"/>
                <w:sz w:val="18"/>
              </w:rPr>
              <w:t>t.</w:t>
            </w:r>
            <w:r>
              <w:rPr>
                <w:b/>
                <w:sz w:val="18"/>
              </w:rPr>
              <w:t> Fe</w:t>
            </w:r>
            <w:r>
              <w:rPr>
                <w:b/>
                <w:spacing w:val="-2"/>
                <w:w w:val="100"/>
                <w:sz w:val="18"/>
              </w:rPr>
              <w:t>d</w:t>
            </w:r>
            <w:r>
              <w:rPr>
                <w:b/>
                <w:w w:val="99"/>
                <w:sz w:val="18"/>
              </w:rPr>
              <w:t>e</w:t>
            </w:r>
            <w:r>
              <w:rPr>
                <w:b/>
                <w:w w:val="99"/>
                <w:sz w:val="18"/>
              </w:rPr>
              <w:t>ral</w:t>
            </w:r>
          </w:p>
        </w:tc>
        <w:tc>
          <w:tcPr>
            <w:tcW w:w="458" w:type="dxa"/>
            <w:shd w:val="clear" w:color="auto" w:fill="C5DFB3"/>
            <w:textDirection w:val="btLr"/>
          </w:tcPr>
          <w:p>
            <w:pPr>
              <w:pStyle w:val="TableParagraph"/>
              <w:spacing w:before="66"/>
              <w:ind w:left="319" w:right="-11"/>
              <w:jc w:val="left"/>
              <w:rPr>
                <w:b/>
                <w:sz w:val="18"/>
              </w:rPr>
            </w:pPr>
            <w:r>
              <w:rPr>
                <w:b/>
                <w:w w:val="99"/>
                <w:sz w:val="18"/>
              </w:rPr>
              <w:t>Trata</w:t>
            </w:r>
            <w:r>
              <w:rPr>
                <w:b/>
                <w:w w:val="100"/>
                <w:sz w:val="18"/>
              </w:rPr>
              <w:t>do</w:t>
            </w:r>
            <w:r>
              <w:rPr>
                <w:b/>
                <w:w w:val="99"/>
                <w:sz w:val="18"/>
              </w:rPr>
              <w:t>s</w:t>
            </w:r>
          </w:p>
        </w:tc>
        <w:tc>
          <w:tcPr>
            <w:tcW w:w="456" w:type="dxa"/>
            <w:shd w:val="clear" w:color="auto" w:fill="C5DFB3"/>
            <w:textDirection w:val="btLr"/>
          </w:tcPr>
          <w:p>
            <w:pPr>
              <w:pStyle w:val="TableParagraph"/>
              <w:spacing w:before="64"/>
              <w:ind w:left="235" w:right="-11"/>
              <w:jc w:val="left"/>
              <w:rPr>
                <w:b/>
                <w:sz w:val="18"/>
              </w:rPr>
            </w:pPr>
            <w:r>
              <w:rPr>
                <w:b/>
                <w:sz w:val="18"/>
              </w:rPr>
              <w:t>Le</w:t>
            </w:r>
            <w:r>
              <w:rPr>
                <w:b/>
                <w:w w:val="99"/>
                <w:sz w:val="18"/>
              </w:rPr>
              <w:t>yes</w:t>
            </w:r>
            <w:r>
              <w:rPr>
                <w:b/>
                <w:spacing w:val="-2"/>
                <w:sz w:val="18"/>
              </w:rPr>
              <w:t> </w:t>
            </w:r>
            <w:r>
              <w:rPr>
                <w:b/>
                <w:sz w:val="18"/>
              </w:rPr>
              <w:t>Fe</w:t>
            </w:r>
            <w:r>
              <w:rPr>
                <w:b/>
                <w:w w:val="100"/>
                <w:sz w:val="18"/>
              </w:rPr>
              <w:t>d.</w:t>
            </w:r>
          </w:p>
        </w:tc>
        <w:tc>
          <w:tcPr>
            <w:tcW w:w="456" w:type="dxa"/>
            <w:shd w:val="clear" w:color="auto" w:fill="C5DFB3"/>
            <w:textDirection w:val="btLr"/>
          </w:tcPr>
          <w:p>
            <w:pPr>
              <w:pStyle w:val="TableParagraph"/>
              <w:spacing w:before="64"/>
              <w:ind w:left="160" w:right="-11"/>
              <w:jc w:val="left"/>
              <w:rPr>
                <w:b/>
                <w:sz w:val="18"/>
              </w:rPr>
            </w:pPr>
            <w:r>
              <w:rPr>
                <w:b/>
                <w:sz w:val="18"/>
              </w:rPr>
              <w:t>Con</w:t>
            </w:r>
            <w:r>
              <w:rPr>
                <w:b/>
                <w:spacing w:val="1"/>
                <w:sz w:val="18"/>
              </w:rPr>
              <w:t>s</w:t>
            </w:r>
            <w:r>
              <w:rPr>
                <w:b/>
                <w:w w:val="100"/>
                <w:sz w:val="18"/>
              </w:rPr>
              <w:t>t.</w:t>
            </w:r>
            <w:r>
              <w:rPr>
                <w:b/>
                <w:sz w:val="18"/>
              </w:rPr>
              <w:t> </w:t>
            </w:r>
            <w:r>
              <w:rPr>
                <w:b/>
                <w:w w:val="100"/>
                <w:sz w:val="18"/>
              </w:rPr>
              <w:t>Lo</w:t>
            </w:r>
            <w:r>
              <w:rPr>
                <w:b/>
                <w:spacing w:val="-2"/>
                <w:w w:val="99"/>
                <w:sz w:val="18"/>
              </w:rPr>
              <w:t>c</w:t>
            </w:r>
            <w:r>
              <w:rPr>
                <w:b/>
                <w:w w:val="99"/>
                <w:sz w:val="18"/>
              </w:rPr>
              <w:t>a</w:t>
            </w:r>
            <w:r>
              <w:rPr>
                <w:b/>
                <w:w w:val="100"/>
                <w:sz w:val="18"/>
              </w:rPr>
              <w:t>l</w:t>
            </w:r>
          </w:p>
        </w:tc>
        <w:tc>
          <w:tcPr>
            <w:tcW w:w="475" w:type="dxa"/>
            <w:shd w:val="clear" w:color="auto" w:fill="C5DFB3"/>
            <w:textDirection w:val="btLr"/>
          </w:tcPr>
          <w:p>
            <w:pPr>
              <w:pStyle w:val="TableParagraph"/>
              <w:spacing w:before="73"/>
              <w:ind w:left="86" w:right="-11"/>
              <w:jc w:val="left"/>
              <w:rPr>
                <w:b/>
                <w:sz w:val="18"/>
              </w:rPr>
            </w:pPr>
            <w:r>
              <w:rPr>
                <w:b/>
                <w:sz w:val="18"/>
              </w:rPr>
              <w:t>Le</w:t>
            </w:r>
            <w:r>
              <w:rPr>
                <w:b/>
                <w:w w:val="99"/>
                <w:sz w:val="18"/>
              </w:rPr>
              <w:t>yes</w:t>
            </w:r>
            <w:r>
              <w:rPr>
                <w:b/>
                <w:spacing w:val="-2"/>
                <w:sz w:val="18"/>
              </w:rPr>
              <w:t> </w:t>
            </w:r>
            <w:r>
              <w:rPr>
                <w:b/>
                <w:w w:val="100"/>
                <w:sz w:val="18"/>
              </w:rPr>
              <w:t>Lo</w:t>
            </w:r>
            <w:r>
              <w:rPr>
                <w:b/>
                <w:w w:val="99"/>
                <w:sz w:val="18"/>
              </w:rPr>
              <w:t>c</w:t>
            </w:r>
            <w:r>
              <w:rPr>
                <w:b/>
                <w:spacing w:val="-2"/>
                <w:w w:val="99"/>
                <w:sz w:val="18"/>
              </w:rPr>
              <w:t>a</w:t>
            </w:r>
            <w:r>
              <w:rPr>
                <w:b/>
                <w:w w:val="100"/>
                <w:sz w:val="18"/>
              </w:rPr>
              <w:t>le</w:t>
            </w:r>
            <w:r>
              <w:rPr>
                <w:b/>
                <w:w w:val="99"/>
                <w:sz w:val="18"/>
              </w:rPr>
              <w:t>s</w:t>
            </w:r>
          </w:p>
        </w:tc>
        <w:tc>
          <w:tcPr>
            <w:tcW w:w="459" w:type="dxa"/>
            <w:shd w:val="clear" w:color="auto" w:fill="C5DFB3"/>
            <w:textDirection w:val="btLr"/>
          </w:tcPr>
          <w:p>
            <w:pPr>
              <w:pStyle w:val="TableParagraph"/>
              <w:spacing w:before="66"/>
              <w:ind w:left="340" w:right="-11"/>
              <w:jc w:val="left"/>
              <w:rPr>
                <w:b/>
                <w:sz w:val="18"/>
              </w:rPr>
            </w:pPr>
            <w:r>
              <w:rPr>
                <w:b/>
                <w:w w:val="100"/>
                <w:sz w:val="18"/>
              </w:rPr>
              <w:t>Códi</w:t>
            </w:r>
            <w:r>
              <w:rPr>
                <w:b/>
                <w:w w:val="100"/>
                <w:sz w:val="18"/>
              </w:rPr>
              <w:t>go</w:t>
            </w:r>
            <w:r>
              <w:rPr>
                <w:b/>
                <w:w w:val="99"/>
                <w:sz w:val="18"/>
              </w:rPr>
              <w:t>s</w:t>
            </w:r>
          </w:p>
        </w:tc>
        <w:tc>
          <w:tcPr>
            <w:tcW w:w="456" w:type="dxa"/>
            <w:shd w:val="clear" w:color="auto" w:fill="C5DFB3"/>
            <w:textDirection w:val="btLr"/>
          </w:tcPr>
          <w:p>
            <w:pPr>
              <w:pStyle w:val="TableParagraph"/>
              <w:spacing w:before="64"/>
              <w:ind w:left="136" w:right="-11"/>
              <w:jc w:val="left"/>
              <w:rPr>
                <w:b/>
                <w:sz w:val="18"/>
              </w:rPr>
            </w:pPr>
            <w:r>
              <w:rPr>
                <w:b/>
                <w:w w:val="99"/>
                <w:sz w:val="18"/>
              </w:rPr>
              <w:t>Reg</w:t>
            </w:r>
            <w:r>
              <w:rPr>
                <w:b/>
                <w:w w:val="100"/>
                <w:sz w:val="18"/>
              </w:rPr>
              <w:t>la</w:t>
            </w:r>
            <w:r>
              <w:rPr>
                <w:b/>
                <w:w w:val="99"/>
                <w:sz w:val="18"/>
              </w:rPr>
              <w:t>m</w:t>
            </w:r>
            <w:r>
              <w:rPr>
                <w:b/>
                <w:spacing w:val="-2"/>
                <w:w w:val="99"/>
                <w:sz w:val="18"/>
              </w:rPr>
              <w:t>e</w:t>
            </w:r>
            <w:r>
              <w:rPr>
                <w:b/>
                <w:w w:val="100"/>
                <w:sz w:val="18"/>
              </w:rPr>
              <w:t>nto</w:t>
            </w:r>
            <w:r>
              <w:rPr>
                <w:b/>
                <w:w w:val="99"/>
                <w:sz w:val="18"/>
              </w:rPr>
              <w:t>s</w:t>
            </w:r>
          </w:p>
        </w:tc>
        <w:tc>
          <w:tcPr>
            <w:tcW w:w="458" w:type="dxa"/>
            <w:shd w:val="clear" w:color="auto" w:fill="C5DFB3"/>
            <w:textDirection w:val="btLr"/>
          </w:tcPr>
          <w:p>
            <w:pPr>
              <w:pStyle w:val="TableParagraph"/>
              <w:spacing w:before="66"/>
              <w:ind w:left="316" w:right="-11"/>
              <w:jc w:val="left"/>
              <w:rPr>
                <w:b/>
                <w:sz w:val="18"/>
              </w:rPr>
            </w:pPr>
            <w:r>
              <w:rPr>
                <w:b/>
                <w:w w:val="99"/>
                <w:sz w:val="18"/>
              </w:rPr>
              <w:t>Dec</w:t>
            </w:r>
            <w:r>
              <w:rPr>
                <w:b/>
                <w:w w:val="99"/>
                <w:sz w:val="18"/>
              </w:rPr>
              <w:t>reto</w:t>
            </w:r>
            <w:r>
              <w:rPr>
                <w:b/>
                <w:w w:val="99"/>
                <w:sz w:val="18"/>
              </w:rPr>
              <w:t>s</w:t>
            </w:r>
          </w:p>
        </w:tc>
        <w:tc>
          <w:tcPr>
            <w:tcW w:w="456" w:type="dxa"/>
            <w:shd w:val="clear" w:color="auto" w:fill="C5DFB3"/>
            <w:textDirection w:val="btLr"/>
          </w:tcPr>
          <w:p>
            <w:pPr>
              <w:pStyle w:val="TableParagraph"/>
              <w:spacing w:before="64"/>
              <w:ind w:left="285" w:right="-11"/>
              <w:jc w:val="left"/>
              <w:rPr>
                <w:b/>
                <w:sz w:val="18"/>
              </w:rPr>
            </w:pPr>
            <w:r>
              <w:rPr>
                <w:b/>
                <w:w w:val="99"/>
                <w:sz w:val="18"/>
              </w:rPr>
              <w:t>Acu</w:t>
            </w:r>
            <w:r>
              <w:rPr>
                <w:b/>
                <w:w w:val="99"/>
                <w:sz w:val="18"/>
              </w:rPr>
              <w:t>e</w:t>
            </w:r>
            <w:r>
              <w:rPr>
                <w:b/>
                <w:sz w:val="18"/>
              </w:rPr>
              <w:t>rdos</w:t>
            </w:r>
          </w:p>
        </w:tc>
        <w:tc>
          <w:tcPr>
            <w:tcW w:w="684" w:type="dxa"/>
            <w:shd w:val="clear" w:color="auto" w:fill="C5DFB3"/>
            <w:textDirection w:val="btLr"/>
          </w:tcPr>
          <w:p>
            <w:pPr>
              <w:pStyle w:val="TableParagraph"/>
              <w:spacing w:line="369" w:lineRule="auto" w:before="64"/>
              <w:ind w:left="7" w:right="-11" w:firstLine="153"/>
              <w:jc w:val="left"/>
              <w:rPr>
                <w:b/>
                <w:sz w:val="18"/>
              </w:rPr>
            </w:pPr>
            <w:r>
              <w:rPr>
                <w:b/>
                <w:spacing w:val="1"/>
                <w:w w:val="99"/>
                <w:sz w:val="18"/>
              </w:rPr>
              <w:t>M</w:t>
            </w:r>
            <w:r>
              <w:rPr>
                <w:b/>
                <w:w w:val="99"/>
                <w:sz w:val="18"/>
              </w:rPr>
              <w:t>a</w:t>
            </w:r>
            <w:r>
              <w:rPr>
                <w:b/>
                <w:w w:val="100"/>
                <w:sz w:val="18"/>
              </w:rPr>
              <w:t>nu</w:t>
            </w:r>
            <w:r>
              <w:rPr>
                <w:b/>
                <w:spacing w:val="-2"/>
                <w:w w:val="99"/>
                <w:sz w:val="18"/>
              </w:rPr>
              <w:t>a</w:t>
            </w:r>
            <w:r>
              <w:rPr>
                <w:b/>
                <w:w w:val="100"/>
                <w:sz w:val="18"/>
              </w:rPr>
              <w:t>le</w:t>
            </w:r>
            <w:r>
              <w:rPr>
                <w:b/>
                <w:w w:val="99"/>
                <w:sz w:val="18"/>
              </w:rPr>
              <w:t>s</w:t>
            </w:r>
            <w:r>
              <w:rPr>
                <w:b/>
                <w:spacing w:val="-2"/>
                <w:sz w:val="18"/>
              </w:rPr>
              <w:t> </w:t>
            </w:r>
            <w:r>
              <w:rPr>
                <w:b/>
                <w:sz w:val="18"/>
              </w:rPr>
              <w:t>de pro</w:t>
            </w:r>
            <w:r>
              <w:rPr>
                <w:b/>
                <w:w w:val="99"/>
                <w:sz w:val="18"/>
              </w:rPr>
              <w:t>ce</w:t>
            </w:r>
            <w:r>
              <w:rPr>
                <w:b/>
                <w:w w:val="100"/>
                <w:sz w:val="18"/>
              </w:rPr>
              <w:t>di</w:t>
            </w:r>
            <w:r>
              <w:rPr>
                <w:b/>
                <w:spacing w:val="-2"/>
                <w:w w:val="99"/>
                <w:sz w:val="18"/>
              </w:rPr>
              <w:t>m</w:t>
            </w:r>
            <w:r>
              <w:rPr>
                <w:b/>
                <w:w w:val="100"/>
                <w:sz w:val="18"/>
              </w:rPr>
              <w:t>ie</w:t>
            </w:r>
            <w:r>
              <w:rPr>
                <w:b/>
                <w:w w:val="100"/>
                <w:sz w:val="18"/>
              </w:rPr>
              <w:t>nt</w:t>
            </w:r>
            <w:r>
              <w:rPr>
                <w:b/>
                <w:spacing w:val="-2"/>
                <w:w w:val="100"/>
                <w:sz w:val="18"/>
              </w:rPr>
              <w:t>o</w:t>
            </w:r>
            <w:r>
              <w:rPr>
                <w:b/>
                <w:w w:val="99"/>
                <w:sz w:val="18"/>
              </w:rPr>
              <w:t>s</w:t>
            </w:r>
            <w:r>
              <w:rPr>
                <w:b/>
                <w:w w:val="100"/>
                <w:sz w:val="18"/>
              </w:rPr>
              <w:t>.</w:t>
            </w:r>
          </w:p>
        </w:tc>
        <w:tc>
          <w:tcPr>
            <w:tcW w:w="646" w:type="dxa"/>
            <w:shd w:val="clear" w:color="auto" w:fill="C5DFB3"/>
            <w:textDirection w:val="btLr"/>
          </w:tcPr>
          <w:p>
            <w:pPr>
              <w:pStyle w:val="TableParagraph"/>
              <w:spacing w:line="369" w:lineRule="auto" w:before="64"/>
              <w:ind w:left="146" w:right="128" w:firstLine="14"/>
              <w:jc w:val="left"/>
              <w:rPr>
                <w:b/>
                <w:sz w:val="18"/>
              </w:rPr>
            </w:pPr>
            <w:r>
              <w:rPr>
                <w:b/>
                <w:spacing w:val="1"/>
                <w:w w:val="99"/>
                <w:sz w:val="18"/>
              </w:rPr>
              <w:t>M</w:t>
            </w:r>
            <w:r>
              <w:rPr>
                <w:b/>
                <w:w w:val="99"/>
                <w:sz w:val="18"/>
              </w:rPr>
              <w:t>a</w:t>
            </w:r>
            <w:r>
              <w:rPr>
                <w:b/>
                <w:w w:val="100"/>
                <w:sz w:val="18"/>
              </w:rPr>
              <w:t>nu</w:t>
            </w:r>
            <w:r>
              <w:rPr>
                <w:b/>
                <w:spacing w:val="-2"/>
                <w:w w:val="99"/>
                <w:sz w:val="18"/>
              </w:rPr>
              <w:t>a</w:t>
            </w:r>
            <w:r>
              <w:rPr>
                <w:b/>
                <w:w w:val="100"/>
                <w:sz w:val="18"/>
              </w:rPr>
              <w:t>le</w:t>
            </w:r>
            <w:r>
              <w:rPr>
                <w:b/>
                <w:w w:val="99"/>
                <w:sz w:val="18"/>
              </w:rPr>
              <w:t>s</w:t>
            </w:r>
            <w:r>
              <w:rPr>
                <w:b/>
                <w:spacing w:val="-2"/>
                <w:sz w:val="18"/>
              </w:rPr>
              <w:t> </w:t>
            </w:r>
            <w:r>
              <w:rPr>
                <w:b/>
                <w:sz w:val="18"/>
              </w:rPr>
              <w:t>de orga</w:t>
            </w:r>
            <w:r>
              <w:rPr>
                <w:b/>
                <w:w w:val="100"/>
                <w:sz w:val="18"/>
              </w:rPr>
              <w:t>ni</w:t>
            </w:r>
            <w:r>
              <w:rPr>
                <w:b/>
                <w:spacing w:val="-2"/>
                <w:sz w:val="18"/>
              </w:rPr>
              <w:t>z</w:t>
            </w:r>
            <w:r>
              <w:rPr>
                <w:b/>
                <w:w w:val="99"/>
                <w:sz w:val="18"/>
              </w:rPr>
              <w:t>ac</w:t>
            </w:r>
            <w:r>
              <w:rPr>
                <w:b/>
                <w:w w:val="100"/>
                <w:sz w:val="18"/>
              </w:rPr>
              <w:t>ión</w:t>
            </w:r>
          </w:p>
        </w:tc>
        <w:tc>
          <w:tcPr>
            <w:tcW w:w="456" w:type="dxa"/>
            <w:tcBorders>
              <w:right w:val="single" w:sz="4" w:space="0" w:color="000000"/>
            </w:tcBorders>
            <w:shd w:val="clear" w:color="auto" w:fill="C5DFB3"/>
            <w:textDirection w:val="btLr"/>
          </w:tcPr>
          <w:p>
            <w:pPr>
              <w:pStyle w:val="TableParagraph"/>
              <w:spacing w:before="64"/>
              <w:ind w:left="21" w:right="-11"/>
              <w:jc w:val="left"/>
              <w:rPr>
                <w:b/>
                <w:sz w:val="18"/>
              </w:rPr>
            </w:pPr>
            <w:r>
              <w:rPr>
                <w:b/>
                <w:spacing w:val="-1"/>
                <w:w w:val="100"/>
                <w:sz w:val="18"/>
              </w:rPr>
              <w:t>O</w:t>
            </w:r>
            <w:r>
              <w:rPr>
                <w:b/>
                <w:w w:val="99"/>
                <w:sz w:val="18"/>
              </w:rPr>
              <w:t>tros m</w:t>
            </w:r>
            <w:r>
              <w:rPr>
                <w:b/>
                <w:w w:val="99"/>
                <w:sz w:val="18"/>
              </w:rPr>
              <w:t>a</w:t>
            </w:r>
            <w:r>
              <w:rPr>
                <w:b/>
                <w:w w:val="100"/>
                <w:sz w:val="18"/>
              </w:rPr>
              <w:t>nu</w:t>
            </w:r>
            <w:r>
              <w:rPr>
                <w:b/>
                <w:spacing w:val="-2"/>
                <w:w w:val="99"/>
                <w:sz w:val="18"/>
              </w:rPr>
              <w:t>a</w:t>
            </w:r>
            <w:r>
              <w:rPr>
                <w:b/>
                <w:w w:val="100"/>
                <w:sz w:val="18"/>
              </w:rPr>
              <w:t>le</w:t>
            </w:r>
            <w:r>
              <w:rPr>
                <w:b/>
                <w:w w:val="99"/>
                <w:sz w:val="18"/>
              </w:rPr>
              <w:t>s</w:t>
            </w:r>
          </w:p>
        </w:tc>
        <w:tc>
          <w:tcPr>
            <w:tcW w:w="852" w:type="dxa"/>
            <w:tcBorders>
              <w:left w:val="single" w:sz="4" w:space="0" w:color="000000"/>
            </w:tcBorders>
            <w:shd w:val="clear" w:color="auto" w:fill="C5DFB3"/>
            <w:textDirection w:val="btLr"/>
          </w:tcPr>
          <w:p>
            <w:pPr>
              <w:pStyle w:val="TableParagraph"/>
              <w:spacing w:before="7"/>
              <w:jc w:val="left"/>
              <w:rPr>
                <w:rFonts w:ascii="Times New Roman"/>
                <w:sz w:val="22"/>
              </w:rPr>
            </w:pPr>
          </w:p>
          <w:p>
            <w:pPr>
              <w:pStyle w:val="TableParagraph"/>
              <w:spacing w:before="1"/>
              <w:ind w:left="261"/>
              <w:jc w:val="left"/>
              <w:rPr>
                <w:b/>
                <w:sz w:val="18"/>
              </w:rPr>
            </w:pPr>
            <w:r>
              <w:rPr>
                <w:b/>
                <w:w w:val="99"/>
                <w:sz w:val="18"/>
              </w:rPr>
              <w:t>Circula</w:t>
            </w:r>
            <w:r>
              <w:rPr>
                <w:b/>
                <w:w w:val="99"/>
                <w:sz w:val="18"/>
              </w:rPr>
              <w:t>res</w:t>
            </w:r>
          </w:p>
        </w:tc>
        <w:tc>
          <w:tcPr>
            <w:tcW w:w="475" w:type="dxa"/>
            <w:shd w:val="clear" w:color="auto" w:fill="C5DFB3"/>
            <w:textDirection w:val="btLr"/>
          </w:tcPr>
          <w:p>
            <w:pPr>
              <w:pStyle w:val="TableParagraph"/>
              <w:spacing w:before="64"/>
              <w:ind w:left="405" w:right="-11"/>
              <w:jc w:val="left"/>
              <w:rPr>
                <w:b/>
                <w:sz w:val="18"/>
              </w:rPr>
            </w:pPr>
            <w:r>
              <w:rPr>
                <w:b/>
                <w:w w:val="99"/>
                <w:sz w:val="18"/>
              </w:rPr>
              <w:t>Demás</w:t>
            </w:r>
          </w:p>
        </w:tc>
        <w:tc>
          <w:tcPr>
            <w:tcW w:w="475" w:type="dxa"/>
            <w:shd w:val="clear" w:color="auto" w:fill="C5DFB3"/>
            <w:textDirection w:val="btLr"/>
          </w:tcPr>
          <w:p>
            <w:pPr>
              <w:pStyle w:val="TableParagraph"/>
              <w:spacing w:before="71"/>
              <w:ind w:left="340" w:right="-11"/>
              <w:jc w:val="left"/>
              <w:rPr>
                <w:b/>
                <w:sz w:val="18"/>
              </w:rPr>
            </w:pPr>
            <w:r>
              <w:rPr>
                <w:b/>
                <w:w w:val="100"/>
                <w:sz w:val="18"/>
              </w:rPr>
              <w:t>Subtot</w:t>
            </w:r>
            <w:r>
              <w:rPr>
                <w:b/>
                <w:w w:val="99"/>
                <w:sz w:val="18"/>
              </w:rPr>
              <w:t>a</w:t>
            </w:r>
            <w:r>
              <w:rPr>
                <w:b/>
                <w:w w:val="100"/>
                <w:sz w:val="18"/>
              </w:rPr>
              <w:t>l</w:t>
            </w:r>
          </w:p>
        </w:tc>
      </w:tr>
      <w:tr>
        <w:trPr>
          <w:trHeight w:val="401" w:hRule="exact"/>
        </w:trPr>
        <w:tc>
          <w:tcPr>
            <w:tcW w:w="4277" w:type="dxa"/>
          </w:tcPr>
          <w:p>
            <w:pPr>
              <w:pStyle w:val="TableParagraph"/>
              <w:spacing w:before="35"/>
              <w:ind w:left="64"/>
              <w:jc w:val="left"/>
              <w:rPr>
                <w:b/>
                <w:sz w:val="18"/>
              </w:rPr>
            </w:pPr>
            <w:r>
              <w:rPr>
                <w:b/>
                <w:sz w:val="18"/>
              </w:rPr>
              <w:t>NEZAHUALCOYOTL</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51" w:right="51"/>
              <w:rPr>
                <w:sz w:val="18"/>
              </w:rPr>
            </w:pPr>
            <w:r>
              <w:rPr>
                <w:sz w:val="18"/>
              </w:rPr>
              <w:t>10</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34"/>
              <w:jc w:val="left"/>
              <w:rPr>
                <w:sz w:val="18"/>
              </w:rPr>
            </w:pPr>
            <w:r>
              <w:rPr>
                <w:sz w:val="18"/>
              </w:rPr>
              <w:t>19</w:t>
            </w:r>
          </w:p>
        </w:tc>
        <w:tc>
          <w:tcPr>
            <w:tcW w:w="459" w:type="dxa"/>
          </w:tcPr>
          <w:p>
            <w:pPr>
              <w:pStyle w:val="TableParagraph"/>
              <w:spacing w:before="40"/>
              <w:ind w:left="2"/>
              <w:rPr>
                <w:sz w:val="18"/>
              </w:rPr>
            </w:pPr>
            <w:r>
              <w:rPr>
                <w:w w:val="99"/>
                <w:sz w:val="18"/>
              </w:rPr>
              <w:t>4</w:t>
            </w:r>
          </w:p>
        </w:tc>
        <w:tc>
          <w:tcPr>
            <w:tcW w:w="456" w:type="dxa"/>
          </w:tcPr>
          <w:p>
            <w:pPr>
              <w:pStyle w:val="TableParagraph"/>
              <w:spacing w:before="40"/>
              <w:ind w:left="51" w:right="51"/>
              <w:rPr>
                <w:sz w:val="18"/>
              </w:rPr>
            </w:pPr>
            <w:r>
              <w:rPr>
                <w:sz w:val="18"/>
              </w:rPr>
              <w:t>28</w:t>
            </w:r>
          </w:p>
        </w:tc>
        <w:tc>
          <w:tcPr>
            <w:tcW w:w="458" w:type="dxa"/>
          </w:tcPr>
          <w:p>
            <w:pPr>
              <w:pStyle w:val="TableParagraph"/>
              <w:spacing w:before="40"/>
              <w:ind w:left="175"/>
              <w:jc w:val="left"/>
              <w:rPr>
                <w:sz w:val="18"/>
              </w:rPr>
            </w:pPr>
            <w:r>
              <w:rPr>
                <w:w w:val="99"/>
                <w:sz w:val="18"/>
              </w:rPr>
              <w:t>1</w:t>
            </w:r>
          </w:p>
        </w:tc>
        <w:tc>
          <w:tcPr>
            <w:tcW w:w="456" w:type="dxa"/>
          </w:tcPr>
          <w:p>
            <w:pPr>
              <w:pStyle w:val="TableParagraph"/>
              <w:spacing w:before="40"/>
              <w:ind w:left="122"/>
              <w:jc w:val="left"/>
              <w:rPr>
                <w:sz w:val="18"/>
              </w:rPr>
            </w:pPr>
            <w:r>
              <w:rPr>
                <w:sz w:val="18"/>
              </w:rPr>
              <w:t>28</w:t>
            </w:r>
          </w:p>
        </w:tc>
        <w:tc>
          <w:tcPr>
            <w:tcW w:w="684" w:type="dxa"/>
          </w:tcPr>
          <w:p>
            <w:pPr>
              <w:pStyle w:val="TableParagraph"/>
              <w:spacing w:before="40"/>
              <w:ind w:left="235"/>
              <w:jc w:val="left"/>
              <w:rPr>
                <w:sz w:val="18"/>
              </w:rPr>
            </w:pPr>
            <w:r>
              <w:rPr>
                <w:sz w:val="18"/>
              </w:rPr>
              <w:t>37</w:t>
            </w:r>
          </w:p>
        </w:tc>
        <w:tc>
          <w:tcPr>
            <w:tcW w:w="646" w:type="dxa"/>
          </w:tcPr>
          <w:p>
            <w:pPr>
              <w:pStyle w:val="TableParagraph"/>
              <w:spacing w:before="40"/>
              <w:ind w:right="215"/>
              <w:jc w:val="right"/>
              <w:rPr>
                <w:sz w:val="18"/>
              </w:rPr>
            </w:pPr>
            <w:r>
              <w:rPr>
                <w:w w:val="95"/>
                <w:sz w:val="18"/>
              </w:rPr>
              <w:t>23</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321"/>
              <w:jc w:val="left"/>
              <w:rPr>
                <w:sz w:val="18"/>
              </w:rPr>
            </w:pPr>
            <w:r>
              <w:rPr>
                <w:sz w:val="18"/>
              </w:rPr>
              <w:t>47</w:t>
            </w:r>
          </w:p>
        </w:tc>
        <w:tc>
          <w:tcPr>
            <w:tcW w:w="475" w:type="dxa"/>
          </w:tcPr>
          <w:p>
            <w:pPr>
              <w:pStyle w:val="TableParagraph"/>
              <w:spacing w:before="40"/>
              <w:rPr>
                <w:sz w:val="18"/>
              </w:rPr>
            </w:pPr>
            <w:r>
              <w:rPr>
                <w:w w:val="99"/>
                <w:sz w:val="18"/>
              </w:rPr>
              <w:t>7</w:t>
            </w:r>
          </w:p>
        </w:tc>
        <w:tc>
          <w:tcPr>
            <w:tcW w:w="475" w:type="dxa"/>
          </w:tcPr>
          <w:p>
            <w:pPr>
              <w:pStyle w:val="TableParagraph"/>
              <w:spacing w:before="40"/>
              <w:ind w:right="79"/>
              <w:jc w:val="right"/>
              <w:rPr>
                <w:sz w:val="18"/>
              </w:rPr>
            </w:pPr>
            <w:r>
              <w:rPr>
                <w:w w:val="95"/>
                <w:sz w:val="18"/>
              </w:rPr>
              <w:t>206</w:t>
            </w:r>
          </w:p>
        </w:tc>
      </w:tr>
      <w:tr>
        <w:trPr>
          <w:trHeight w:val="399" w:hRule="exact"/>
        </w:trPr>
        <w:tc>
          <w:tcPr>
            <w:tcW w:w="4277" w:type="dxa"/>
          </w:tcPr>
          <w:p>
            <w:pPr>
              <w:pStyle w:val="TableParagraph"/>
              <w:spacing w:before="35"/>
              <w:ind w:left="64"/>
              <w:jc w:val="left"/>
              <w:rPr>
                <w:b/>
                <w:sz w:val="18"/>
              </w:rPr>
            </w:pPr>
            <w:r>
              <w:rPr>
                <w:b/>
                <w:sz w:val="18"/>
              </w:rPr>
              <w:t>NICOLAS ROMERO</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4</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34"/>
              <w:jc w:val="left"/>
              <w:rPr>
                <w:sz w:val="18"/>
              </w:rPr>
            </w:pPr>
            <w:r>
              <w:rPr>
                <w:sz w:val="18"/>
              </w:rPr>
              <w:t>16</w:t>
            </w:r>
          </w:p>
        </w:tc>
        <w:tc>
          <w:tcPr>
            <w:tcW w:w="459" w:type="dxa"/>
          </w:tcPr>
          <w:p>
            <w:pPr>
              <w:pStyle w:val="TableParagraph"/>
              <w:spacing w:before="40"/>
              <w:ind w:left="2"/>
              <w:rPr>
                <w:sz w:val="18"/>
              </w:rPr>
            </w:pPr>
            <w:r>
              <w:rPr>
                <w:w w:val="99"/>
                <w:sz w:val="18"/>
              </w:rPr>
              <w:t>3</w:t>
            </w:r>
          </w:p>
        </w:tc>
        <w:tc>
          <w:tcPr>
            <w:tcW w:w="456" w:type="dxa"/>
          </w:tcPr>
          <w:p>
            <w:pPr>
              <w:pStyle w:val="TableParagraph"/>
              <w:spacing w:before="40"/>
              <w:ind w:left="51" w:right="51"/>
              <w:rPr>
                <w:sz w:val="18"/>
              </w:rPr>
            </w:pPr>
            <w:r>
              <w:rPr>
                <w:sz w:val="18"/>
              </w:rPr>
              <w:t>16</w:t>
            </w:r>
          </w:p>
        </w:tc>
        <w:tc>
          <w:tcPr>
            <w:tcW w:w="458" w:type="dxa"/>
          </w:tcPr>
          <w:p>
            <w:pPr>
              <w:pStyle w:val="TableParagraph"/>
              <w:spacing w:before="40"/>
              <w:ind w:left="175"/>
              <w:jc w:val="left"/>
              <w:rPr>
                <w:sz w:val="18"/>
              </w:rPr>
            </w:pPr>
            <w:r>
              <w:rPr>
                <w:w w:val="99"/>
                <w:sz w:val="18"/>
              </w:rPr>
              <w:t>0</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35"/>
              <w:jc w:val="left"/>
              <w:rPr>
                <w:sz w:val="18"/>
              </w:rPr>
            </w:pPr>
            <w:r>
              <w:rPr>
                <w:sz w:val="18"/>
              </w:rPr>
              <w:t>17</w:t>
            </w:r>
          </w:p>
        </w:tc>
        <w:tc>
          <w:tcPr>
            <w:tcW w:w="646" w:type="dxa"/>
          </w:tcPr>
          <w:p>
            <w:pPr>
              <w:pStyle w:val="TableParagraph"/>
              <w:spacing w:before="40"/>
              <w:ind w:right="215"/>
              <w:jc w:val="right"/>
              <w:rPr>
                <w:sz w:val="18"/>
              </w:rPr>
            </w:pPr>
            <w:r>
              <w:rPr>
                <w:w w:val="95"/>
                <w:sz w:val="18"/>
              </w:rPr>
              <w:t>13</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372"/>
              <w:jc w:val="left"/>
              <w:rPr>
                <w:sz w:val="18"/>
              </w:rPr>
            </w:pPr>
            <w:r>
              <w:rPr>
                <w:w w:val="99"/>
                <w:sz w:val="18"/>
              </w:rPr>
              <w:t>0</w:t>
            </w:r>
          </w:p>
        </w:tc>
        <w:tc>
          <w:tcPr>
            <w:tcW w:w="475" w:type="dxa"/>
          </w:tcPr>
          <w:p>
            <w:pPr>
              <w:pStyle w:val="TableParagraph"/>
              <w:spacing w:before="40"/>
              <w:rPr>
                <w:sz w:val="18"/>
              </w:rPr>
            </w:pPr>
            <w:r>
              <w:rPr>
                <w:w w:val="99"/>
                <w:sz w:val="18"/>
              </w:rPr>
              <w:t>7</w:t>
            </w:r>
          </w:p>
        </w:tc>
        <w:tc>
          <w:tcPr>
            <w:tcW w:w="475" w:type="dxa"/>
          </w:tcPr>
          <w:p>
            <w:pPr>
              <w:pStyle w:val="TableParagraph"/>
              <w:spacing w:before="40"/>
              <w:ind w:right="131"/>
              <w:jc w:val="right"/>
              <w:rPr>
                <w:sz w:val="18"/>
              </w:rPr>
            </w:pPr>
            <w:r>
              <w:rPr>
                <w:w w:val="95"/>
                <w:sz w:val="18"/>
              </w:rPr>
              <w:t>78</w:t>
            </w:r>
          </w:p>
        </w:tc>
      </w:tr>
      <w:tr>
        <w:trPr>
          <w:trHeight w:val="401" w:hRule="exact"/>
        </w:trPr>
        <w:tc>
          <w:tcPr>
            <w:tcW w:w="4277" w:type="dxa"/>
          </w:tcPr>
          <w:p>
            <w:pPr>
              <w:pStyle w:val="TableParagraph"/>
              <w:spacing w:before="35"/>
              <w:ind w:left="64"/>
              <w:jc w:val="left"/>
              <w:rPr>
                <w:b/>
                <w:sz w:val="18"/>
              </w:rPr>
            </w:pPr>
            <w:r>
              <w:rPr>
                <w:b/>
                <w:sz w:val="18"/>
              </w:rPr>
              <w:t>NOPALTEPEC</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8</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84"/>
              <w:jc w:val="left"/>
              <w:rPr>
                <w:sz w:val="18"/>
              </w:rPr>
            </w:pPr>
            <w:r>
              <w:rPr>
                <w:w w:val="99"/>
                <w:sz w:val="18"/>
              </w:rPr>
              <w:t>9</w:t>
            </w:r>
          </w:p>
        </w:tc>
        <w:tc>
          <w:tcPr>
            <w:tcW w:w="459" w:type="dxa"/>
          </w:tcPr>
          <w:p>
            <w:pPr>
              <w:pStyle w:val="TableParagraph"/>
              <w:spacing w:before="40"/>
              <w:ind w:left="2"/>
              <w:rPr>
                <w:sz w:val="18"/>
              </w:rPr>
            </w:pPr>
            <w:r>
              <w:rPr>
                <w:w w:val="99"/>
                <w:sz w:val="18"/>
              </w:rPr>
              <w:t>2</w:t>
            </w:r>
          </w:p>
        </w:tc>
        <w:tc>
          <w:tcPr>
            <w:tcW w:w="456" w:type="dxa"/>
          </w:tcPr>
          <w:p>
            <w:pPr>
              <w:pStyle w:val="TableParagraph"/>
              <w:spacing w:before="40"/>
              <w:rPr>
                <w:sz w:val="18"/>
              </w:rPr>
            </w:pPr>
            <w:r>
              <w:rPr>
                <w:w w:val="99"/>
                <w:sz w:val="18"/>
              </w:rPr>
              <w:t>0</w:t>
            </w:r>
          </w:p>
        </w:tc>
        <w:tc>
          <w:tcPr>
            <w:tcW w:w="458" w:type="dxa"/>
          </w:tcPr>
          <w:p>
            <w:pPr>
              <w:pStyle w:val="TableParagraph"/>
              <w:spacing w:before="40"/>
              <w:ind w:left="175"/>
              <w:jc w:val="left"/>
              <w:rPr>
                <w:sz w:val="18"/>
              </w:rPr>
            </w:pPr>
            <w:r>
              <w:rPr>
                <w:w w:val="99"/>
                <w:sz w:val="18"/>
              </w:rPr>
              <w:t>1</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372"/>
              <w:jc w:val="left"/>
              <w:rPr>
                <w:sz w:val="18"/>
              </w:rPr>
            </w:pPr>
            <w:r>
              <w:rPr>
                <w:w w:val="99"/>
                <w:sz w:val="18"/>
              </w:rPr>
              <w:t>0</w:t>
            </w:r>
          </w:p>
        </w:tc>
        <w:tc>
          <w:tcPr>
            <w:tcW w:w="475" w:type="dxa"/>
          </w:tcPr>
          <w:p>
            <w:pPr>
              <w:pStyle w:val="TableParagraph"/>
              <w:spacing w:before="40"/>
              <w:rPr>
                <w:sz w:val="18"/>
              </w:rPr>
            </w:pPr>
            <w:r>
              <w:rPr>
                <w:w w:val="99"/>
                <w:sz w:val="18"/>
              </w:rPr>
              <w:t>0</w:t>
            </w:r>
          </w:p>
        </w:tc>
        <w:tc>
          <w:tcPr>
            <w:tcW w:w="475" w:type="dxa"/>
          </w:tcPr>
          <w:p>
            <w:pPr>
              <w:pStyle w:val="TableParagraph"/>
              <w:spacing w:before="40"/>
              <w:ind w:right="131"/>
              <w:jc w:val="right"/>
              <w:rPr>
                <w:sz w:val="18"/>
              </w:rPr>
            </w:pPr>
            <w:r>
              <w:rPr>
                <w:w w:val="95"/>
                <w:sz w:val="18"/>
              </w:rPr>
              <w:t>22</w:t>
            </w:r>
          </w:p>
        </w:tc>
      </w:tr>
      <w:tr>
        <w:trPr>
          <w:trHeight w:val="401" w:hRule="exact"/>
        </w:trPr>
        <w:tc>
          <w:tcPr>
            <w:tcW w:w="4277" w:type="dxa"/>
          </w:tcPr>
          <w:p>
            <w:pPr>
              <w:pStyle w:val="TableParagraph"/>
              <w:spacing w:before="35"/>
              <w:ind w:left="64"/>
              <w:jc w:val="left"/>
              <w:rPr>
                <w:b/>
                <w:sz w:val="18"/>
              </w:rPr>
            </w:pPr>
            <w:r>
              <w:rPr>
                <w:b/>
                <w:sz w:val="18"/>
              </w:rPr>
              <w:t>OCOYOACAC</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1</w:t>
            </w:r>
          </w:p>
        </w:tc>
        <w:tc>
          <w:tcPr>
            <w:tcW w:w="456" w:type="dxa"/>
          </w:tcPr>
          <w:p>
            <w:pPr>
              <w:pStyle w:val="TableParagraph"/>
              <w:spacing w:before="40"/>
              <w:ind w:left="51" w:right="51"/>
              <w:rPr>
                <w:sz w:val="18"/>
              </w:rPr>
            </w:pPr>
            <w:r>
              <w:rPr>
                <w:sz w:val="18"/>
              </w:rPr>
              <w:t>10</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34"/>
              <w:jc w:val="left"/>
              <w:rPr>
                <w:sz w:val="18"/>
              </w:rPr>
            </w:pPr>
            <w:r>
              <w:rPr>
                <w:sz w:val="18"/>
              </w:rPr>
              <w:t>10</w:t>
            </w:r>
          </w:p>
        </w:tc>
        <w:tc>
          <w:tcPr>
            <w:tcW w:w="459" w:type="dxa"/>
          </w:tcPr>
          <w:p>
            <w:pPr>
              <w:pStyle w:val="TableParagraph"/>
              <w:spacing w:before="40"/>
              <w:ind w:left="2"/>
              <w:rPr>
                <w:sz w:val="18"/>
              </w:rPr>
            </w:pPr>
            <w:r>
              <w:rPr>
                <w:w w:val="99"/>
                <w:sz w:val="18"/>
              </w:rPr>
              <w:t>4</w:t>
            </w:r>
          </w:p>
        </w:tc>
        <w:tc>
          <w:tcPr>
            <w:tcW w:w="456" w:type="dxa"/>
          </w:tcPr>
          <w:p>
            <w:pPr>
              <w:pStyle w:val="TableParagraph"/>
              <w:spacing w:before="40"/>
              <w:ind w:left="51" w:right="51"/>
              <w:rPr>
                <w:sz w:val="18"/>
              </w:rPr>
            </w:pPr>
            <w:r>
              <w:rPr>
                <w:sz w:val="18"/>
              </w:rPr>
              <w:t>26</w:t>
            </w:r>
          </w:p>
        </w:tc>
        <w:tc>
          <w:tcPr>
            <w:tcW w:w="458" w:type="dxa"/>
          </w:tcPr>
          <w:p>
            <w:pPr>
              <w:pStyle w:val="TableParagraph"/>
              <w:spacing w:before="40"/>
              <w:ind w:left="175"/>
              <w:jc w:val="left"/>
              <w:rPr>
                <w:sz w:val="18"/>
              </w:rPr>
            </w:pPr>
            <w:r>
              <w:rPr>
                <w:w w:val="99"/>
                <w:sz w:val="18"/>
              </w:rPr>
              <w:t>5</w:t>
            </w:r>
          </w:p>
        </w:tc>
        <w:tc>
          <w:tcPr>
            <w:tcW w:w="456" w:type="dxa"/>
          </w:tcPr>
          <w:p>
            <w:pPr>
              <w:pStyle w:val="TableParagraph"/>
              <w:spacing w:before="40"/>
              <w:ind w:left="172"/>
              <w:jc w:val="left"/>
              <w:rPr>
                <w:sz w:val="18"/>
              </w:rPr>
            </w:pPr>
            <w:r>
              <w:rPr>
                <w:w w:val="99"/>
                <w:sz w:val="18"/>
              </w:rPr>
              <w:t>1</w:t>
            </w:r>
          </w:p>
        </w:tc>
        <w:tc>
          <w:tcPr>
            <w:tcW w:w="684" w:type="dxa"/>
          </w:tcPr>
          <w:p>
            <w:pPr>
              <w:pStyle w:val="TableParagraph"/>
              <w:spacing w:before="40"/>
              <w:ind w:left="285"/>
              <w:jc w:val="left"/>
              <w:rPr>
                <w:sz w:val="18"/>
              </w:rPr>
            </w:pPr>
            <w:r>
              <w:rPr>
                <w:w w:val="99"/>
                <w:sz w:val="18"/>
              </w:rPr>
              <w:t>2</w:t>
            </w:r>
          </w:p>
        </w:tc>
        <w:tc>
          <w:tcPr>
            <w:tcW w:w="646" w:type="dxa"/>
          </w:tcPr>
          <w:p>
            <w:pPr>
              <w:pStyle w:val="TableParagraph"/>
              <w:spacing w:before="40"/>
              <w:ind w:right="267"/>
              <w:jc w:val="right"/>
              <w:rPr>
                <w:sz w:val="18"/>
              </w:rPr>
            </w:pPr>
            <w:r>
              <w:rPr>
                <w:w w:val="99"/>
                <w:sz w:val="18"/>
              </w:rPr>
              <w:t>1</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372"/>
              <w:jc w:val="left"/>
              <w:rPr>
                <w:sz w:val="18"/>
              </w:rPr>
            </w:pPr>
            <w:r>
              <w:rPr>
                <w:w w:val="99"/>
                <w:sz w:val="18"/>
              </w:rPr>
              <w:t>0</w:t>
            </w:r>
          </w:p>
        </w:tc>
        <w:tc>
          <w:tcPr>
            <w:tcW w:w="475" w:type="dxa"/>
          </w:tcPr>
          <w:p>
            <w:pPr>
              <w:pStyle w:val="TableParagraph"/>
              <w:spacing w:before="40"/>
              <w:rPr>
                <w:sz w:val="18"/>
              </w:rPr>
            </w:pPr>
            <w:r>
              <w:rPr>
                <w:w w:val="99"/>
                <w:sz w:val="18"/>
              </w:rPr>
              <w:t>3</w:t>
            </w:r>
          </w:p>
        </w:tc>
        <w:tc>
          <w:tcPr>
            <w:tcW w:w="475" w:type="dxa"/>
          </w:tcPr>
          <w:p>
            <w:pPr>
              <w:pStyle w:val="TableParagraph"/>
              <w:spacing w:before="40"/>
              <w:ind w:right="131"/>
              <w:jc w:val="right"/>
              <w:rPr>
                <w:sz w:val="18"/>
              </w:rPr>
            </w:pPr>
            <w:r>
              <w:rPr>
                <w:w w:val="95"/>
                <w:sz w:val="18"/>
              </w:rPr>
              <w:t>65</w:t>
            </w:r>
          </w:p>
        </w:tc>
      </w:tr>
      <w:tr>
        <w:trPr>
          <w:trHeight w:val="398" w:hRule="exact"/>
        </w:trPr>
        <w:tc>
          <w:tcPr>
            <w:tcW w:w="4277" w:type="dxa"/>
          </w:tcPr>
          <w:p>
            <w:pPr>
              <w:pStyle w:val="TableParagraph"/>
              <w:spacing w:before="35"/>
              <w:ind w:left="64"/>
              <w:jc w:val="left"/>
              <w:rPr>
                <w:b/>
                <w:sz w:val="18"/>
              </w:rPr>
            </w:pPr>
            <w:r>
              <w:rPr>
                <w:b/>
                <w:sz w:val="18"/>
              </w:rPr>
              <w:t>OCUILAN</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7</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84"/>
              <w:jc w:val="left"/>
              <w:rPr>
                <w:sz w:val="18"/>
              </w:rPr>
            </w:pPr>
            <w:r>
              <w:rPr>
                <w:w w:val="99"/>
                <w:sz w:val="18"/>
              </w:rPr>
              <w:t>3</w:t>
            </w:r>
          </w:p>
        </w:tc>
        <w:tc>
          <w:tcPr>
            <w:tcW w:w="459" w:type="dxa"/>
          </w:tcPr>
          <w:p>
            <w:pPr>
              <w:pStyle w:val="TableParagraph"/>
              <w:spacing w:before="40"/>
              <w:ind w:left="2"/>
              <w:rPr>
                <w:sz w:val="18"/>
              </w:rPr>
            </w:pPr>
            <w:r>
              <w:rPr>
                <w:w w:val="99"/>
                <w:sz w:val="18"/>
              </w:rPr>
              <w:t>0</w:t>
            </w:r>
          </w:p>
        </w:tc>
        <w:tc>
          <w:tcPr>
            <w:tcW w:w="456" w:type="dxa"/>
          </w:tcPr>
          <w:p>
            <w:pPr>
              <w:pStyle w:val="TableParagraph"/>
              <w:spacing w:before="40"/>
              <w:rPr>
                <w:sz w:val="18"/>
              </w:rPr>
            </w:pPr>
            <w:r>
              <w:rPr>
                <w:w w:val="99"/>
                <w:sz w:val="18"/>
              </w:rPr>
              <w:t>2</w:t>
            </w:r>
          </w:p>
        </w:tc>
        <w:tc>
          <w:tcPr>
            <w:tcW w:w="458" w:type="dxa"/>
          </w:tcPr>
          <w:p>
            <w:pPr>
              <w:pStyle w:val="TableParagraph"/>
              <w:spacing w:before="40"/>
              <w:ind w:left="175"/>
              <w:jc w:val="left"/>
              <w:rPr>
                <w:sz w:val="18"/>
              </w:rPr>
            </w:pPr>
            <w:r>
              <w:rPr>
                <w:w w:val="99"/>
                <w:sz w:val="18"/>
              </w:rPr>
              <w:t>0</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1</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372"/>
              <w:jc w:val="left"/>
              <w:rPr>
                <w:sz w:val="18"/>
              </w:rPr>
            </w:pPr>
            <w:r>
              <w:rPr>
                <w:w w:val="99"/>
                <w:sz w:val="18"/>
              </w:rPr>
              <w:t>0</w:t>
            </w:r>
          </w:p>
        </w:tc>
        <w:tc>
          <w:tcPr>
            <w:tcW w:w="475" w:type="dxa"/>
          </w:tcPr>
          <w:p>
            <w:pPr>
              <w:pStyle w:val="TableParagraph"/>
              <w:spacing w:before="40"/>
              <w:rPr>
                <w:sz w:val="18"/>
              </w:rPr>
            </w:pPr>
            <w:r>
              <w:rPr>
                <w:w w:val="99"/>
                <w:sz w:val="18"/>
              </w:rPr>
              <w:t>0</w:t>
            </w:r>
          </w:p>
        </w:tc>
        <w:tc>
          <w:tcPr>
            <w:tcW w:w="475" w:type="dxa"/>
          </w:tcPr>
          <w:p>
            <w:pPr>
              <w:pStyle w:val="TableParagraph"/>
              <w:spacing w:before="40"/>
              <w:ind w:right="131"/>
              <w:jc w:val="right"/>
              <w:rPr>
                <w:sz w:val="18"/>
              </w:rPr>
            </w:pPr>
            <w:r>
              <w:rPr>
                <w:w w:val="95"/>
                <w:sz w:val="18"/>
              </w:rPr>
              <w:t>15</w:t>
            </w:r>
          </w:p>
        </w:tc>
      </w:tr>
      <w:tr>
        <w:trPr>
          <w:trHeight w:val="401" w:hRule="exact"/>
        </w:trPr>
        <w:tc>
          <w:tcPr>
            <w:tcW w:w="4277" w:type="dxa"/>
          </w:tcPr>
          <w:p>
            <w:pPr>
              <w:pStyle w:val="TableParagraph"/>
              <w:spacing w:before="35"/>
              <w:ind w:left="64"/>
              <w:jc w:val="left"/>
              <w:rPr>
                <w:b/>
                <w:sz w:val="18"/>
              </w:rPr>
            </w:pPr>
            <w:r>
              <w:rPr>
                <w:b/>
                <w:sz w:val="18"/>
              </w:rPr>
              <w:t>OTUMBA</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1</w:t>
            </w:r>
          </w:p>
        </w:tc>
        <w:tc>
          <w:tcPr>
            <w:tcW w:w="456" w:type="dxa"/>
          </w:tcPr>
          <w:p>
            <w:pPr>
              <w:pStyle w:val="TableParagraph"/>
              <w:spacing w:before="40"/>
              <w:rPr>
                <w:sz w:val="18"/>
              </w:rPr>
            </w:pPr>
            <w:r>
              <w:rPr>
                <w:w w:val="99"/>
                <w:sz w:val="18"/>
              </w:rPr>
              <w:t>5</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34"/>
              <w:jc w:val="left"/>
              <w:rPr>
                <w:sz w:val="18"/>
              </w:rPr>
            </w:pPr>
            <w:r>
              <w:rPr>
                <w:sz w:val="18"/>
              </w:rPr>
              <w:t>10</w:t>
            </w:r>
          </w:p>
        </w:tc>
        <w:tc>
          <w:tcPr>
            <w:tcW w:w="459" w:type="dxa"/>
          </w:tcPr>
          <w:p>
            <w:pPr>
              <w:pStyle w:val="TableParagraph"/>
              <w:spacing w:before="40"/>
              <w:ind w:left="2"/>
              <w:rPr>
                <w:sz w:val="18"/>
              </w:rPr>
            </w:pPr>
            <w:r>
              <w:rPr>
                <w:w w:val="99"/>
                <w:sz w:val="18"/>
              </w:rPr>
              <w:t>6</w:t>
            </w:r>
          </w:p>
        </w:tc>
        <w:tc>
          <w:tcPr>
            <w:tcW w:w="456" w:type="dxa"/>
          </w:tcPr>
          <w:p>
            <w:pPr>
              <w:pStyle w:val="TableParagraph"/>
              <w:spacing w:before="40"/>
              <w:rPr>
                <w:sz w:val="18"/>
              </w:rPr>
            </w:pPr>
            <w:r>
              <w:rPr>
                <w:w w:val="99"/>
                <w:sz w:val="18"/>
              </w:rPr>
              <w:t>7</w:t>
            </w:r>
          </w:p>
        </w:tc>
        <w:tc>
          <w:tcPr>
            <w:tcW w:w="458" w:type="dxa"/>
          </w:tcPr>
          <w:p>
            <w:pPr>
              <w:pStyle w:val="TableParagraph"/>
              <w:spacing w:before="40"/>
              <w:ind w:left="175"/>
              <w:jc w:val="left"/>
              <w:rPr>
                <w:sz w:val="18"/>
              </w:rPr>
            </w:pPr>
            <w:r>
              <w:rPr>
                <w:w w:val="99"/>
                <w:sz w:val="18"/>
              </w:rPr>
              <w:t>1</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2</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372"/>
              <w:jc w:val="left"/>
              <w:rPr>
                <w:sz w:val="18"/>
              </w:rPr>
            </w:pPr>
            <w:r>
              <w:rPr>
                <w:w w:val="99"/>
                <w:sz w:val="18"/>
              </w:rPr>
              <w:t>0</w:t>
            </w:r>
          </w:p>
        </w:tc>
        <w:tc>
          <w:tcPr>
            <w:tcW w:w="475" w:type="dxa"/>
          </w:tcPr>
          <w:p>
            <w:pPr>
              <w:pStyle w:val="TableParagraph"/>
              <w:spacing w:before="40"/>
              <w:rPr>
                <w:sz w:val="18"/>
              </w:rPr>
            </w:pPr>
            <w:r>
              <w:rPr>
                <w:w w:val="99"/>
                <w:sz w:val="18"/>
              </w:rPr>
              <w:t>3</w:t>
            </w:r>
          </w:p>
        </w:tc>
        <w:tc>
          <w:tcPr>
            <w:tcW w:w="475" w:type="dxa"/>
          </w:tcPr>
          <w:p>
            <w:pPr>
              <w:pStyle w:val="TableParagraph"/>
              <w:spacing w:before="40"/>
              <w:ind w:right="131"/>
              <w:jc w:val="right"/>
              <w:rPr>
                <w:sz w:val="18"/>
              </w:rPr>
            </w:pPr>
            <w:r>
              <w:rPr>
                <w:w w:val="95"/>
                <w:sz w:val="18"/>
              </w:rPr>
              <w:t>37</w:t>
            </w:r>
          </w:p>
        </w:tc>
      </w:tr>
      <w:tr>
        <w:trPr>
          <w:trHeight w:val="401" w:hRule="exact"/>
        </w:trPr>
        <w:tc>
          <w:tcPr>
            <w:tcW w:w="4277" w:type="dxa"/>
          </w:tcPr>
          <w:p>
            <w:pPr>
              <w:pStyle w:val="TableParagraph"/>
              <w:spacing w:before="35"/>
              <w:ind w:left="64"/>
              <w:jc w:val="left"/>
              <w:rPr>
                <w:b/>
                <w:sz w:val="18"/>
              </w:rPr>
            </w:pPr>
            <w:r>
              <w:rPr>
                <w:b/>
                <w:sz w:val="18"/>
              </w:rPr>
              <w:t>OTZOLOAPAN</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3</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84"/>
              <w:jc w:val="left"/>
              <w:rPr>
                <w:sz w:val="18"/>
              </w:rPr>
            </w:pPr>
            <w:r>
              <w:rPr>
                <w:w w:val="99"/>
                <w:sz w:val="18"/>
              </w:rPr>
              <w:t>0</w:t>
            </w:r>
          </w:p>
        </w:tc>
        <w:tc>
          <w:tcPr>
            <w:tcW w:w="459" w:type="dxa"/>
          </w:tcPr>
          <w:p>
            <w:pPr>
              <w:pStyle w:val="TableParagraph"/>
              <w:spacing w:before="40"/>
              <w:ind w:left="2"/>
              <w:rPr>
                <w:sz w:val="18"/>
              </w:rPr>
            </w:pPr>
            <w:r>
              <w:rPr>
                <w:w w:val="99"/>
                <w:sz w:val="18"/>
              </w:rPr>
              <w:t>0</w:t>
            </w:r>
          </w:p>
        </w:tc>
        <w:tc>
          <w:tcPr>
            <w:tcW w:w="456" w:type="dxa"/>
          </w:tcPr>
          <w:p>
            <w:pPr>
              <w:pStyle w:val="TableParagraph"/>
              <w:spacing w:before="40"/>
              <w:rPr>
                <w:sz w:val="18"/>
              </w:rPr>
            </w:pPr>
            <w:r>
              <w:rPr>
                <w:w w:val="99"/>
                <w:sz w:val="18"/>
              </w:rPr>
              <w:t>0</w:t>
            </w:r>
          </w:p>
        </w:tc>
        <w:tc>
          <w:tcPr>
            <w:tcW w:w="458" w:type="dxa"/>
          </w:tcPr>
          <w:p>
            <w:pPr>
              <w:pStyle w:val="TableParagraph"/>
              <w:spacing w:before="40"/>
              <w:ind w:left="175"/>
              <w:jc w:val="left"/>
              <w:rPr>
                <w:sz w:val="18"/>
              </w:rPr>
            </w:pPr>
            <w:r>
              <w:rPr>
                <w:w w:val="99"/>
                <w:sz w:val="18"/>
              </w:rPr>
              <w:t>0</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372"/>
              <w:jc w:val="left"/>
              <w:rPr>
                <w:sz w:val="18"/>
              </w:rPr>
            </w:pPr>
            <w:r>
              <w:rPr>
                <w:w w:val="99"/>
                <w:sz w:val="18"/>
              </w:rPr>
              <w:t>0</w:t>
            </w:r>
          </w:p>
        </w:tc>
        <w:tc>
          <w:tcPr>
            <w:tcW w:w="475" w:type="dxa"/>
          </w:tcPr>
          <w:p>
            <w:pPr>
              <w:pStyle w:val="TableParagraph"/>
              <w:spacing w:before="40"/>
              <w:rPr>
                <w:sz w:val="18"/>
              </w:rPr>
            </w:pPr>
            <w:r>
              <w:rPr>
                <w:w w:val="99"/>
                <w:sz w:val="18"/>
              </w:rPr>
              <w:t>0</w:t>
            </w:r>
          </w:p>
        </w:tc>
        <w:tc>
          <w:tcPr>
            <w:tcW w:w="475" w:type="dxa"/>
          </w:tcPr>
          <w:p>
            <w:pPr>
              <w:pStyle w:val="TableParagraph"/>
              <w:spacing w:before="40"/>
              <w:ind w:right="181"/>
              <w:jc w:val="right"/>
              <w:rPr>
                <w:sz w:val="18"/>
              </w:rPr>
            </w:pPr>
            <w:r>
              <w:rPr>
                <w:w w:val="99"/>
                <w:sz w:val="18"/>
              </w:rPr>
              <w:t>5</w:t>
            </w:r>
          </w:p>
        </w:tc>
      </w:tr>
      <w:tr>
        <w:trPr>
          <w:trHeight w:val="398" w:hRule="exact"/>
        </w:trPr>
        <w:tc>
          <w:tcPr>
            <w:tcW w:w="4277" w:type="dxa"/>
          </w:tcPr>
          <w:p>
            <w:pPr>
              <w:pStyle w:val="TableParagraph"/>
              <w:spacing w:before="35"/>
              <w:ind w:left="64"/>
              <w:jc w:val="left"/>
              <w:rPr>
                <w:b/>
                <w:sz w:val="18"/>
              </w:rPr>
            </w:pPr>
            <w:r>
              <w:rPr>
                <w:b/>
                <w:sz w:val="18"/>
              </w:rPr>
              <w:t>OTZOLOTEPEC</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51" w:right="51"/>
              <w:rPr>
                <w:sz w:val="18"/>
              </w:rPr>
            </w:pPr>
            <w:r>
              <w:rPr>
                <w:sz w:val="18"/>
              </w:rPr>
              <w:t>13</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34"/>
              <w:jc w:val="left"/>
              <w:rPr>
                <w:sz w:val="18"/>
              </w:rPr>
            </w:pPr>
            <w:r>
              <w:rPr>
                <w:sz w:val="18"/>
              </w:rPr>
              <w:t>14</w:t>
            </w:r>
          </w:p>
        </w:tc>
        <w:tc>
          <w:tcPr>
            <w:tcW w:w="459" w:type="dxa"/>
          </w:tcPr>
          <w:p>
            <w:pPr>
              <w:pStyle w:val="TableParagraph"/>
              <w:spacing w:before="40"/>
              <w:ind w:left="105" w:right="104"/>
              <w:rPr>
                <w:sz w:val="18"/>
              </w:rPr>
            </w:pPr>
            <w:r>
              <w:rPr>
                <w:sz w:val="18"/>
              </w:rPr>
              <w:t>11</w:t>
            </w:r>
          </w:p>
        </w:tc>
        <w:tc>
          <w:tcPr>
            <w:tcW w:w="456" w:type="dxa"/>
          </w:tcPr>
          <w:p>
            <w:pPr>
              <w:pStyle w:val="TableParagraph"/>
              <w:spacing w:before="40"/>
              <w:ind w:left="51" w:right="51"/>
              <w:rPr>
                <w:sz w:val="18"/>
              </w:rPr>
            </w:pPr>
            <w:r>
              <w:rPr>
                <w:sz w:val="18"/>
              </w:rPr>
              <w:t>13</w:t>
            </w:r>
          </w:p>
        </w:tc>
        <w:tc>
          <w:tcPr>
            <w:tcW w:w="458" w:type="dxa"/>
          </w:tcPr>
          <w:p>
            <w:pPr>
              <w:pStyle w:val="TableParagraph"/>
              <w:spacing w:before="40"/>
              <w:ind w:left="175"/>
              <w:jc w:val="left"/>
              <w:rPr>
                <w:sz w:val="18"/>
              </w:rPr>
            </w:pPr>
            <w:r>
              <w:rPr>
                <w:w w:val="99"/>
                <w:sz w:val="18"/>
              </w:rPr>
              <w:t>0</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2</w:t>
            </w:r>
          </w:p>
        </w:tc>
        <w:tc>
          <w:tcPr>
            <w:tcW w:w="646" w:type="dxa"/>
          </w:tcPr>
          <w:p>
            <w:pPr>
              <w:pStyle w:val="TableParagraph"/>
              <w:spacing w:before="40"/>
              <w:ind w:right="267"/>
              <w:jc w:val="right"/>
              <w:rPr>
                <w:sz w:val="18"/>
              </w:rPr>
            </w:pPr>
            <w:r>
              <w:rPr>
                <w:w w:val="99"/>
                <w:sz w:val="18"/>
              </w:rPr>
              <w:t>1</w:t>
            </w:r>
          </w:p>
        </w:tc>
        <w:tc>
          <w:tcPr>
            <w:tcW w:w="456" w:type="dxa"/>
            <w:tcBorders>
              <w:right w:val="single" w:sz="4" w:space="0" w:color="000000"/>
            </w:tcBorders>
          </w:tcPr>
          <w:p>
            <w:pPr>
              <w:pStyle w:val="TableParagraph"/>
              <w:spacing w:before="40"/>
              <w:rPr>
                <w:sz w:val="18"/>
              </w:rPr>
            </w:pPr>
            <w:r>
              <w:rPr>
                <w:w w:val="99"/>
                <w:sz w:val="18"/>
              </w:rPr>
              <w:t>1</w:t>
            </w:r>
          </w:p>
        </w:tc>
        <w:tc>
          <w:tcPr>
            <w:tcW w:w="852" w:type="dxa"/>
            <w:tcBorders>
              <w:left w:val="single" w:sz="4" w:space="0" w:color="000000"/>
            </w:tcBorders>
          </w:tcPr>
          <w:p>
            <w:pPr>
              <w:pStyle w:val="TableParagraph"/>
              <w:spacing w:before="40"/>
              <w:ind w:left="372"/>
              <w:jc w:val="left"/>
              <w:rPr>
                <w:sz w:val="18"/>
              </w:rPr>
            </w:pPr>
            <w:r>
              <w:rPr>
                <w:w w:val="99"/>
                <w:sz w:val="18"/>
              </w:rPr>
              <w:t>0</w:t>
            </w:r>
          </w:p>
        </w:tc>
        <w:tc>
          <w:tcPr>
            <w:tcW w:w="475" w:type="dxa"/>
          </w:tcPr>
          <w:p>
            <w:pPr>
              <w:pStyle w:val="TableParagraph"/>
              <w:spacing w:before="40"/>
              <w:ind w:left="60" w:right="60"/>
              <w:rPr>
                <w:sz w:val="18"/>
              </w:rPr>
            </w:pPr>
            <w:r>
              <w:rPr>
                <w:sz w:val="18"/>
              </w:rPr>
              <w:t>25</w:t>
            </w:r>
          </w:p>
        </w:tc>
        <w:tc>
          <w:tcPr>
            <w:tcW w:w="475" w:type="dxa"/>
          </w:tcPr>
          <w:p>
            <w:pPr>
              <w:pStyle w:val="TableParagraph"/>
              <w:spacing w:before="40"/>
              <w:ind w:right="131"/>
              <w:jc w:val="right"/>
              <w:rPr>
                <w:sz w:val="18"/>
              </w:rPr>
            </w:pPr>
            <w:r>
              <w:rPr>
                <w:w w:val="95"/>
                <w:sz w:val="18"/>
              </w:rPr>
              <w:t>82</w:t>
            </w:r>
          </w:p>
        </w:tc>
      </w:tr>
      <w:tr>
        <w:trPr>
          <w:trHeight w:val="401" w:hRule="exact"/>
        </w:trPr>
        <w:tc>
          <w:tcPr>
            <w:tcW w:w="4277" w:type="dxa"/>
          </w:tcPr>
          <w:p>
            <w:pPr>
              <w:pStyle w:val="TableParagraph"/>
              <w:spacing w:before="35"/>
              <w:ind w:left="64"/>
              <w:jc w:val="left"/>
              <w:rPr>
                <w:b/>
                <w:sz w:val="18"/>
              </w:rPr>
            </w:pPr>
            <w:r>
              <w:rPr>
                <w:b/>
                <w:sz w:val="18"/>
              </w:rPr>
              <w:t>OZUMBA</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3</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84"/>
              <w:jc w:val="left"/>
              <w:rPr>
                <w:sz w:val="18"/>
              </w:rPr>
            </w:pPr>
            <w:r>
              <w:rPr>
                <w:w w:val="99"/>
                <w:sz w:val="18"/>
              </w:rPr>
              <w:t>0</w:t>
            </w:r>
          </w:p>
        </w:tc>
        <w:tc>
          <w:tcPr>
            <w:tcW w:w="459" w:type="dxa"/>
          </w:tcPr>
          <w:p>
            <w:pPr>
              <w:pStyle w:val="TableParagraph"/>
              <w:spacing w:before="40"/>
              <w:ind w:left="2"/>
              <w:rPr>
                <w:sz w:val="18"/>
              </w:rPr>
            </w:pPr>
            <w:r>
              <w:rPr>
                <w:w w:val="99"/>
                <w:sz w:val="18"/>
              </w:rPr>
              <w:t>0</w:t>
            </w:r>
          </w:p>
        </w:tc>
        <w:tc>
          <w:tcPr>
            <w:tcW w:w="456" w:type="dxa"/>
          </w:tcPr>
          <w:p>
            <w:pPr>
              <w:pStyle w:val="TableParagraph"/>
              <w:spacing w:before="40"/>
              <w:ind w:left="51" w:right="51"/>
              <w:rPr>
                <w:sz w:val="18"/>
              </w:rPr>
            </w:pPr>
            <w:r>
              <w:rPr>
                <w:sz w:val="18"/>
              </w:rPr>
              <w:t>21</w:t>
            </w:r>
          </w:p>
        </w:tc>
        <w:tc>
          <w:tcPr>
            <w:tcW w:w="458" w:type="dxa"/>
          </w:tcPr>
          <w:p>
            <w:pPr>
              <w:pStyle w:val="TableParagraph"/>
              <w:spacing w:before="40"/>
              <w:ind w:left="175"/>
              <w:jc w:val="left"/>
              <w:rPr>
                <w:sz w:val="18"/>
              </w:rPr>
            </w:pPr>
            <w:r>
              <w:rPr>
                <w:w w:val="99"/>
                <w:sz w:val="18"/>
              </w:rPr>
              <w:t>0</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35"/>
              <w:jc w:val="left"/>
              <w:rPr>
                <w:sz w:val="18"/>
              </w:rPr>
            </w:pPr>
            <w:r>
              <w:rPr>
                <w:sz w:val="18"/>
              </w:rPr>
              <w:t>17</w:t>
            </w:r>
          </w:p>
        </w:tc>
        <w:tc>
          <w:tcPr>
            <w:tcW w:w="646" w:type="dxa"/>
          </w:tcPr>
          <w:p>
            <w:pPr>
              <w:pStyle w:val="TableParagraph"/>
              <w:spacing w:before="40"/>
              <w:ind w:right="215"/>
              <w:jc w:val="right"/>
              <w:rPr>
                <w:sz w:val="18"/>
              </w:rPr>
            </w:pPr>
            <w:r>
              <w:rPr>
                <w:w w:val="95"/>
                <w:sz w:val="18"/>
              </w:rPr>
              <w:t>21</w:t>
            </w:r>
          </w:p>
        </w:tc>
        <w:tc>
          <w:tcPr>
            <w:tcW w:w="456" w:type="dxa"/>
            <w:tcBorders>
              <w:right w:val="single" w:sz="4" w:space="0" w:color="000000"/>
            </w:tcBorders>
          </w:tcPr>
          <w:p>
            <w:pPr>
              <w:pStyle w:val="TableParagraph"/>
              <w:spacing w:before="40"/>
              <w:rPr>
                <w:sz w:val="18"/>
              </w:rPr>
            </w:pPr>
            <w:r>
              <w:rPr>
                <w:w w:val="99"/>
                <w:sz w:val="18"/>
              </w:rPr>
              <w:t>3</w:t>
            </w:r>
          </w:p>
        </w:tc>
        <w:tc>
          <w:tcPr>
            <w:tcW w:w="852" w:type="dxa"/>
            <w:tcBorders>
              <w:left w:val="single" w:sz="4" w:space="0" w:color="000000"/>
            </w:tcBorders>
          </w:tcPr>
          <w:p>
            <w:pPr>
              <w:pStyle w:val="TableParagraph"/>
              <w:spacing w:before="40"/>
              <w:ind w:left="372"/>
              <w:jc w:val="left"/>
              <w:rPr>
                <w:sz w:val="18"/>
              </w:rPr>
            </w:pPr>
            <w:r>
              <w:rPr>
                <w:w w:val="99"/>
                <w:sz w:val="18"/>
              </w:rPr>
              <w:t>0</w:t>
            </w:r>
          </w:p>
        </w:tc>
        <w:tc>
          <w:tcPr>
            <w:tcW w:w="475" w:type="dxa"/>
          </w:tcPr>
          <w:p>
            <w:pPr>
              <w:pStyle w:val="TableParagraph"/>
              <w:spacing w:before="40"/>
              <w:rPr>
                <w:sz w:val="18"/>
              </w:rPr>
            </w:pPr>
            <w:r>
              <w:rPr>
                <w:w w:val="99"/>
                <w:sz w:val="18"/>
              </w:rPr>
              <w:t>0</w:t>
            </w:r>
          </w:p>
        </w:tc>
        <w:tc>
          <w:tcPr>
            <w:tcW w:w="475" w:type="dxa"/>
          </w:tcPr>
          <w:p>
            <w:pPr>
              <w:pStyle w:val="TableParagraph"/>
              <w:spacing w:before="40"/>
              <w:ind w:right="131"/>
              <w:jc w:val="right"/>
              <w:rPr>
                <w:sz w:val="18"/>
              </w:rPr>
            </w:pPr>
            <w:r>
              <w:rPr>
                <w:w w:val="95"/>
                <w:sz w:val="18"/>
              </w:rPr>
              <w:t>67</w:t>
            </w:r>
          </w:p>
        </w:tc>
      </w:tr>
      <w:tr>
        <w:trPr>
          <w:trHeight w:val="401" w:hRule="exact"/>
        </w:trPr>
        <w:tc>
          <w:tcPr>
            <w:tcW w:w="4277" w:type="dxa"/>
          </w:tcPr>
          <w:p>
            <w:pPr>
              <w:pStyle w:val="TableParagraph"/>
              <w:spacing w:before="35"/>
              <w:ind w:left="64"/>
              <w:jc w:val="left"/>
              <w:rPr>
                <w:b/>
                <w:sz w:val="18"/>
              </w:rPr>
            </w:pPr>
            <w:r>
              <w:rPr>
                <w:b/>
                <w:sz w:val="18"/>
              </w:rPr>
              <w:t>PAPALOTLA</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7</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34"/>
              <w:jc w:val="left"/>
              <w:rPr>
                <w:sz w:val="18"/>
              </w:rPr>
            </w:pPr>
            <w:r>
              <w:rPr>
                <w:sz w:val="18"/>
              </w:rPr>
              <w:t>10</w:t>
            </w:r>
          </w:p>
        </w:tc>
        <w:tc>
          <w:tcPr>
            <w:tcW w:w="459" w:type="dxa"/>
          </w:tcPr>
          <w:p>
            <w:pPr>
              <w:pStyle w:val="TableParagraph"/>
              <w:spacing w:before="40"/>
              <w:ind w:left="2"/>
              <w:rPr>
                <w:sz w:val="18"/>
              </w:rPr>
            </w:pPr>
            <w:r>
              <w:rPr>
                <w:w w:val="99"/>
                <w:sz w:val="18"/>
              </w:rPr>
              <w:t>4</w:t>
            </w:r>
          </w:p>
        </w:tc>
        <w:tc>
          <w:tcPr>
            <w:tcW w:w="456" w:type="dxa"/>
          </w:tcPr>
          <w:p>
            <w:pPr>
              <w:pStyle w:val="TableParagraph"/>
              <w:spacing w:before="40"/>
              <w:rPr>
                <w:sz w:val="18"/>
              </w:rPr>
            </w:pPr>
            <w:r>
              <w:rPr>
                <w:w w:val="99"/>
                <w:sz w:val="18"/>
              </w:rPr>
              <w:t>2</w:t>
            </w:r>
          </w:p>
        </w:tc>
        <w:tc>
          <w:tcPr>
            <w:tcW w:w="458" w:type="dxa"/>
          </w:tcPr>
          <w:p>
            <w:pPr>
              <w:pStyle w:val="TableParagraph"/>
              <w:spacing w:before="40"/>
              <w:ind w:left="175"/>
              <w:jc w:val="left"/>
              <w:rPr>
                <w:sz w:val="18"/>
              </w:rPr>
            </w:pPr>
            <w:r>
              <w:rPr>
                <w:w w:val="99"/>
                <w:sz w:val="18"/>
              </w:rPr>
              <w:t>6</w:t>
            </w:r>
          </w:p>
        </w:tc>
        <w:tc>
          <w:tcPr>
            <w:tcW w:w="456" w:type="dxa"/>
          </w:tcPr>
          <w:p>
            <w:pPr>
              <w:pStyle w:val="TableParagraph"/>
              <w:spacing w:before="40"/>
              <w:ind w:left="172"/>
              <w:jc w:val="left"/>
              <w:rPr>
                <w:sz w:val="18"/>
              </w:rPr>
            </w:pPr>
            <w:r>
              <w:rPr>
                <w:w w:val="99"/>
                <w:sz w:val="18"/>
              </w:rPr>
              <w:t>2</w:t>
            </w:r>
          </w:p>
        </w:tc>
        <w:tc>
          <w:tcPr>
            <w:tcW w:w="684" w:type="dxa"/>
          </w:tcPr>
          <w:p>
            <w:pPr>
              <w:pStyle w:val="TableParagraph"/>
              <w:spacing w:before="40"/>
              <w:ind w:left="285"/>
              <w:jc w:val="left"/>
              <w:rPr>
                <w:sz w:val="18"/>
              </w:rPr>
            </w:pPr>
            <w:r>
              <w:rPr>
                <w:w w:val="99"/>
                <w:sz w:val="18"/>
              </w:rPr>
              <w:t>1</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372"/>
              <w:jc w:val="left"/>
              <w:rPr>
                <w:sz w:val="18"/>
              </w:rPr>
            </w:pPr>
            <w:r>
              <w:rPr>
                <w:w w:val="99"/>
                <w:sz w:val="18"/>
              </w:rPr>
              <w:t>0</w:t>
            </w:r>
          </w:p>
        </w:tc>
        <w:tc>
          <w:tcPr>
            <w:tcW w:w="475" w:type="dxa"/>
          </w:tcPr>
          <w:p>
            <w:pPr>
              <w:pStyle w:val="TableParagraph"/>
              <w:spacing w:before="40"/>
              <w:rPr>
                <w:sz w:val="18"/>
              </w:rPr>
            </w:pPr>
            <w:r>
              <w:rPr>
                <w:w w:val="99"/>
                <w:sz w:val="18"/>
              </w:rPr>
              <w:t>3</w:t>
            </w:r>
          </w:p>
        </w:tc>
        <w:tc>
          <w:tcPr>
            <w:tcW w:w="475" w:type="dxa"/>
          </w:tcPr>
          <w:p>
            <w:pPr>
              <w:pStyle w:val="TableParagraph"/>
              <w:spacing w:before="40"/>
              <w:ind w:right="131"/>
              <w:jc w:val="right"/>
              <w:rPr>
                <w:sz w:val="18"/>
              </w:rPr>
            </w:pPr>
            <w:r>
              <w:rPr>
                <w:w w:val="95"/>
                <w:sz w:val="18"/>
              </w:rPr>
              <w:t>37</w:t>
            </w:r>
          </w:p>
        </w:tc>
      </w:tr>
      <w:tr>
        <w:trPr>
          <w:trHeight w:val="398" w:hRule="exact"/>
        </w:trPr>
        <w:tc>
          <w:tcPr>
            <w:tcW w:w="4277" w:type="dxa"/>
          </w:tcPr>
          <w:p>
            <w:pPr>
              <w:pStyle w:val="TableParagraph"/>
              <w:spacing w:before="35"/>
              <w:ind w:left="64"/>
              <w:jc w:val="left"/>
              <w:rPr>
                <w:b/>
                <w:sz w:val="18"/>
              </w:rPr>
            </w:pPr>
            <w:r>
              <w:rPr>
                <w:b/>
                <w:sz w:val="18"/>
              </w:rPr>
              <w:t>POLOTITLAN</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9</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84"/>
              <w:jc w:val="left"/>
              <w:rPr>
                <w:sz w:val="18"/>
              </w:rPr>
            </w:pPr>
            <w:r>
              <w:rPr>
                <w:w w:val="99"/>
                <w:sz w:val="18"/>
              </w:rPr>
              <w:t>6</w:t>
            </w:r>
          </w:p>
        </w:tc>
        <w:tc>
          <w:tcPr>
            <w:tcW w:w="459" w:type="dxa"/>
          </w:tcPr>
          <w:p>
            <w:pPr>
              <w:pStyle w:val="TableParagraph"/>
              <w:spacing w:before="40"/>
              <w:ind w:left="2"/>
              <w:rPr>
                <w:sz w:val="18"/>
              </w:rPr>
            </w:pPr>
            <w:r>
              <w:rPr>
                <w:w w:val="99"/>
                <w:sz w:val="18"/>
              </w:rPr>
              <w:t>3</w:t>
            </w:r>
          </w:p>
        </w:tc>
        <w:tc>
          <w:tcPr>
            <w:tcW w:w="456" w:type="dxa"/>
          </w:tcPr>
          <w:p>
            <w:pPr>
              <w:pStyle w:val="TableParagraph"/>
              <w:spacing w:before="40"/>
              <w:rPr>
                <w:sz w:val="18"/>
              </w:rPr>
            </w:pPr>
            <w:r>
              <w:rPr>
                <w:w w:val="99"/>
                <w:sz w:val="18"/>
              </w:rPr>
              <w:t>2</w:t>
            </w:r>
          </w:p>
        </w:tc>
        <w:tc>
          <w:tcPr>
            <w:tcW w:w="458" w:type="dxa"/>
          </w:tcPr>
          <w:p>
            <w:pPr>
              <w:pStyle w:val="TableParagraph"/>
              <w:spacing w:before="40"/>
              <w:ind w:left="175"/>
              <w:jc w:val="left"/>
              <w:rPr>
                <w:sz w:val="18"/>
              </w:rPr>
            </w:pPr>
            <w:r>
              <w:rPr>
                <w:w w:val="99"/>
                <w:sz w:val="18"/>
              </w:rPr>
              <w:t>1</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372"/>
              <w:jc w:val="left"/>
              <w:rPr>
                <w:sz w:val="18"/>
              </w:rPr>
            </w:pPr>
            <w:r>
              <w:rPr>
                <w:w w:val="99"/>
                <w:sz w:val="18"/>
              </w:rPr>
              <w:t>0</w:t>
            </w:r>
          </w:p>
        </w:tc>
        <w:tc>
          <w:tcPr>
            <w:tcW w:w="475" w:type="dxa"/>
          </w:tcPr>
          <w:p>
            <w:pPr>
              <w:pStyle w:val="TableParagraph"/>
              <w:spacing w:before="40"/>
              <w:rPr>
                <w:sz w:val="18"/>
              </w:rPr>
            </w:pPr>
            <w:r>
              <w:rPr>
                <w:w w:val="99"/>
                <w:sz w:val="18"/>
              </w:rPr>
              <w:t>3</w:t>
            </w:r>
          </w:p>
        </w:tc>
        <w:tc>
          <w:tcPr>
            <w:tcW w:w="475" w:type="dxa"/>
          </w:tcPr>
          <w:p>
            <w:pPr>
              <w:pStyle w:val="TableParagraph"/>
              <w:spacing w:before="40"/>
              <w:ind w:right="131"/>
              <w:jc w:val="right"/>
              <w:rPr>
                <w:sz w:val="18"/>
              </w:rPr>
            </w:pPr>
            <w:r>
              <w:rPr>
                <w:w w:val="95"/>
                <w:sz w:val="18"/>
              </w:rPr>
              <w:t>26</w:t>
            </w:r>
          </w:p>
        </w:tc>
      </w:tr>
      <w:tr>
        <w:trPr>
          <w:trHeight w:val="401" w:hRule="exact"/>
        </w:trPr>
        <w:tc>
          <w:tcPr>
            <w:tcW w:w="4277" w:type="dxa"/>
          </w:tcPr>
          <w:p>
            <w:pPr>
              <w:pStyle w:val="TableParagraph"/>
              <w:spacing w:before="35"/>
              <w:ind w:left="64"/>
              <w:jc w:val="left"/>
              <w:rPr>
                <w:b/>
                <w:sz w:val="18"/>
              </w:rPr>
            </w:pPr>
            <w:r>
              <w:rPr>
                <w:b/>
                <w:sz w:val="18"/>
              </w:rPr>
              <w:t>RAYON</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3</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34"/>
              <w:jc w:val="left"/>
              <w:rPr>
                <w:sz w:val="18"/>
              </w:rPr>
            </w:pPr>
            <w:r>
              <w:rPr>
                <w:sz w:val="18"/>
              </w:rPr>
              <w:t>16</w:t>
            </w:r>
          </w:p>
        </w:tc>
        <w:tc>
          <w:tcPr>
            <w:tcW w:w="459" w:type="dxa"/>
          </w:tcPr>
          <w:p>
            <w:pPr>
              <w:pStyle w:val="TableParagraph"/>
              <w:spacing w:before="40"/>
              <w:ind w:left="2"/>
              <w:rPr>
                <w:sz w:val="18"/>
              </w:rPr>
            </w:pPr>
            <w:r>
              <w:rPr>
                <w:w w:val="99"/>
                <w:sz w:val="18"/>
              </w:rPr>
              <w:t>0</w:t>
            </w:r>
          </w:p>
        </w:tc>
        <w:tc>
          <w:tcPr>
            <w:tcW w:w="456" w:type="dxa"/>
          </w:tcPr>
          <w:p>
            <w:pPr>
              <w:pStyle w:val="TableParagraph"/>
              <w:spacing w:before="40"/>
              <w:rPr>
                <w:sz w:val="18"/>
              </w:rPr>
            </w:pPr>
            <w:r>
              <w:rPr>
                <w:w w:val="99"/>
                <w:sz w:val="18"/>
              </w:rPr>
              <w:t>2</w:t>
            </w:r>
          </w:p>
        </w:tc>
        <w:tc>
          <w:tcPr>
            <w:tcW w:w="458" w:type="dxa"/>
          </w:tcPr>
          <w:p>
            <w:pPr>
              <w:pStyle w:val="TableParagraph"/>
              <w:spacing w:before="40"/>
              <w:ind w:left="175"/>
              <w:jc w:val="left"/>
              <w:rPr>
                <w:sz w:val="18"/>
              </w:rPr>
            </w:pPr>
            <w:r>
              <w:rPr>
                <w:w w:val="99"/>
                <w:sz w:val="18"/>
              </w:rPr>
              <w:t>0</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372"/>
              <w:jc w:val="left"/>
              <w:rPr>
                <w:sz w:val="18"/>
              </w:rPr>
            </w:pPr>
            <w:r>
              <w:rPr>
                <w:w w:val="99"/>
                <w:sz w:val="18"/>
              </w:rPr>
              <w:t>0</w:t>
            </w:r>
          </w:p>
        </w:tc>
        <w:tc>
          <w:tcPr>
            <w:tcW w:w="475" w:type="dxa"/>
          </w:tcPr>
          <w:p>
            <w:pPr>
              <w:pStyle w:val="TableParagraph"/>
              <w:spacing w:before="40"/>
              <w:rPr>
                <w:sz w:val="18"/>
              </w:rPr>
            </w:pPr>
            <w:r>
              <w:rPr>
                <w:w w:val="99"/>
                <w:sz w:val="18"/>
              </w:rPr>
              <w:t>0</w:t>
            </w:r>
          </w:p>
        </w:tc>
        <w:tc>
          <w:tcPr>
            <w:tcW w:w="475" w:type="dxa"/>
          </w:tcPr>
          <w:p>
            <w:pPr>
              <w:pStyle w:val="TableParagraph"/>
              <w:spacing w:before="40"/>
              <w:ind w:right="131"/>
              <w:jc w:val="right"/>
              <w:rPr>
                <w:sz w:val="18"/>
              </w:rPr>
            </w:pPr>
            <w:r>
              <w:rPr>
                <w:w w:val="95"/>
                <w:sz w:val="18"/>
              </w:rPr>
              <w:t>23</w:t>
            </w:r>
          </w:p>
        </w:tc>
      </w:tr>
      <w:tr>
        <w:trPr>
          <w:trHeight w:val="401" w:hRule="exact"/>
        </w:trPr>
        <w:tc>
          <w:tcPr>
            <w:tcW w:w="4277" w:type="dxa"/>
          </w:tcPr>
          <w:p>
            <w:pPr>
              <w:pStyle w:val="TableParagraph"/>
              <w:spacing w:before="35"/>
              <w:ind w:left="64"/>
              <w:jc w:val="left"/>
              <w:rPr>
                <w:b/>
                <w:sz w:val="18"/>
              </w:rPr>
            </w:pPr>
            <w:r>
              <w:rPr>
                <w:b/>
                <w:sz w:val="18"/>
              </w:rPr>
              <w:t>SAN ANTONIO LA ISLA</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3</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84"/>
              <w:jc w:val="left"/>
              <w:rPr>
                <w:sz w:val="18"/>
              </w:rPr>
            </w:pPr>
            <w:r>
              <w:rPr>
                <w:w w:val="99"/>
                <w:sz w:val="18"/>
              </w:rPr>
              <w:t>1</w:t>
            </w:r>
          </w:p>
        </w:tc>
        <w:tc>
          <w:tcPr>
            <w:tcW w:w="459" w:type="dxa"/>
          </w:tcPr>
          <w:p>
            <w:pPr>
              <w:pStyle w:val="TableParagraph"/>
              <w:spacing w:before="40"/>
              <w:ind w:left="2"/>
              <w:rPr>
                <w:sz w:val="18"/>
              </w:rPr>
            </w:pPr>
            <w:r>
              <w:rPr>
                <w:w w:val="99"/>
                <w:sz w:val="18"/>
              </w:rPr>
              <w:t>0</w:t>
            </w:r>
          </w:p>
        </w:tc>
        <w:tc>
          <w:tcPr>
            <w:tcW w:w="456" w:type="dxa"/>
          </w:tcPr>
          <w:p>
            <w:pPr>
              <w:pStyle w:val="TableParagraph"/>
              <w:spacing w:before="40"/>
              <w:rPr>
                <w:sz w:val="18"/>
              </w:rPr>
            </w:pPr>
            <w:r>
              <w:rPr>
                <w:w w:val="99"/>
                <w:sz w:val="18"/>
              </w:rPr>
              <w:t>0</w:t>
            </w:r>
          </w:p>
        </w:tc>
        <w:tc>
          <w:tcPr>
            <w:tcW w:w="458" w:type="dxa"/>
          </w:tcPr>
          <w:p>
            <w:pPr>
              <w:pStyle w:val="TableParagraph"/>
              <w:spacing w:before="40"/>
              <w:ind w:left="175"/>
              <w:jc w:val="left"/>
              <w:rPr>
                <w:sz w:val="18"/>
              </w:rPr>
            </w:pPr>
            <w:r>
              <w:rPr>
                <w:w w:val="99"/>
                <w:sz w:val="18"/>
              </w:rPr>
              <w:t>0</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372"/>
              <w:jc w:val="left"/>
              <w:rPr>
                <w:sz w:val="18"/>
              </w:rPr>
            </w:pPr>
            <w:r>
              <w:rPr>
                <w:w w:val="99"/>
                <w:sz w:val="18"/>
              </w:rPr>
              <w:t>0</w:t>
            </w:r>
          </w:p>
        </w:tc>
        <w:tc>
          <w:tcPr>
            <w:tcW w:w="475" w:type="dxa"/>
          </w:tcPr>
          <w:p>
            <w:pPr>
              <w:pStyle w:val="TableParagraph"/>
              <w:spacing w:before="40"/>
              <w:rPr>
                <w:sz w:val="18"/>
              </w:rPr>
            </w:pPr>
            <w:r>
              <w:rPr>
                <w:w w:val="99"/>
                <w:sz w:val="18"/>
              </w:rPr>
              <w:t>0</w:t>
            </w:r>
          </w:p>
        </w:tc>
        <w:tc>
          <w:tcPr>
            <w:tcW w:w="475" w:type="dxa"/>
          </w:tcPr>
          <w:p>
            <w:pPr>
              <w:pStyle w:val="TableParagraph"/>
              <w:spacing w:before="40"/>
              <w:ind w:right="181"/>
              <w:jc w:val="right"/>
              <w:rPr>
                <w:sz w:val="18"/>
              </w:rPr>
            </w:pPr>
            <w:r>
              <w:rPr>
                <w:w w:val="99"/>
                <w:sz w:val="18"/>
              </w:rPr>
              <w:t>6</w:t>
            </w:r>
          </w:p>
        </w:tc>
      </w:tr>
      <w:tr>
        <w:trPr>
          <w:trHeight w:val="398" w:hRule="exact"/>
        </w:trPr>
        <w:tc>
          <w:tcPr>
            <w:tcW w:w="4277" w:type="dxa"/>
          </w:tcPr>
          <w:p>
            <w:pPr>
              <w:pStyle w:val="TableParagraph"/>
              <w:spacing w:before="35"/>
              <w:ind w:left="64"/>
              <w:jc w:val="left"/>
              <w:rPr>
                <w:b/>
                <w:sz w:val="18"/>
              </w:rPr>
            </w:pPr>
            <w:r>
              <w:rPr>
                <w:b/>
                <w:sz w:val="18"/>
              </w:rPr>
              <w:t>SAN FELIPE DEL PROGRESO</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3</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34"/>
              <w:jc w:val="left"/>
              <w:rPr>
                <w:sz w:val="18"/>
              </w:rPr>
            </w:pPr>
            <w:r>
              <w:rPr>
                <w:sz w:val="18"/>
              </w:rPr>
              <w:t>20</w:t>
            </w:r>
          </w:p>
        </w:tc>
        <w:tc>
          <w:tcPr>
            <w:tcW w:w="459" w:type="dxa"/>
          </w:tcPr>
          <w:p>
            <w:pPr>
              <w:pStyle w:val="TableParagraph"/>
              <w:spacing w:before="40"/>
              <w:ind w:left="2"/>
              <w:rPr>
                <w:sz w:val="18"/>
              </w:rPr>
            </w:pPr>
            <w:r>
              <w:rPr>
                <w:w w:val="99"/>
                <w:sz w:val="18"/>
              </w:rPr>
              <w:t>1</w:t>
            </w:r>
          </w:p>
        </w:tc>
        <w:tc>
          <w:tcPr>
            <w:tcW w:w="456" w:type="dxa"/>
          </w:tcPr>
          <w:p>
            <w:pPr>
              <w:pStyle w:val="TableParagraph"/>
              <w:spacing w:before="40"/>
              <w:rPr>
                <w:sz w:val="18"/>
              </w:rPr>
            </w:pPr>
            <w:r>
              <w:rPr>
                <w:w w:val="99"/>
                <w:sz w:val="18"/>
              </w:rPr>
              <w:t>9</w:t>
            </w:r>
          </w:p>
        </w:tc>
        <w:tc>
          <w:tcPr>
            <w:tcW w:w="458" w:type="dxa"/>
          </w:tcPr>
          <w:p>
            <w:pPr>
              <w:pStyle w:val="TableParagraph"/>
              <w:spacing w:before="40"/>
              <w:ind w:left="175"/>
              <w:jc w:val="left"/>
              <w:rPr>
                <w:sz w:val="18"/>
              </w:rPr>
            </w:pPr>
            <w:r>
              <w:rPr>
                <w:w w:val="99"/>
                <w:sz w:val="18"/>
              </w:rPr>
              <w:t>0</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1</w:t>
            </w:r>
          </w:p>
        </w:tc>
        <w:tc>
          <w:tcPr>
            <w:tcW w:w="646" w:type="dxa"/>
          </w:tcPr>
          <w:p>
            <w:pPr>
              <w:pStyle w:val="TableParagraph"/>
              <w:spacing w:before="40"/>
              <w:ind w:right="267"/>
              <w:jc w:val="right"/>
              <w:rPr>
                <w:sz w:val="18"/>
              </w:rPr>
            </w:pPr>
            <w:r>
              <w:rPr>
                <w:w w:val="99"/>
                <w:sz w:val="18"/>
              </w:rPr>
              <w:t>1</w:t>
            </w:r>
          </w:p>
        </w:tc>
        <w:tc>
          <w:tcPr>
            <w:tcW w:w="456" w:type="dxa"/>
            <w:tcBorders>
              <w:right w:val="single" w:sz="4" w:space="0" w:color="000000"/>
            </w:tcBorders>
          </w:tcPr>
          <w:p>
            <w:pPr>
              <w:pStyle w:val="TableParagraph"/>
              <w:spacing w:before="40"/>
              <w:rPr>
                <w:sz w:val="18"/>
              </w:rPr>
            </w:pPr>
            <w:r>
              <w:rPr>
                <w:w w:val="99"/>
                <w:sz w:val="18"/>
              </w:rPr>
              <w:t>1</w:t>
            </w:r>
          </w:p>
        </w:tc>
        <w:tc>
          <w:tcPr>
            <w:tcW w:w="852" w:type="dxa"/>
            <w:tcBorders>
              <w:left w:val="single" w:sz="4" w:space="0" w:color="000000"/>
            </w:tcBorders>
          </w:tcPr>
          <w:p>
            <w:pPr>
              <w:pStyle w:val="TableParagraph"/>
              <w:spacing w:before="40"/>
              <w:ind w:left="372"/>
              <w:jc w:val="left"/>
              <w:rPr>
                <w:sz w:val="18"/>
              </w:rPr>
            </w:pPr>
            <w:r>
              <w:rPr>
                <w:w w:val="99"/>
                <w:sz w:val="18"/>
              </w:rPr>
              <w:t>0</w:t>
            </w:r>
          </w:p>
        </w:tc>
        <w:tc>
          <w:tcPr>
            <w:tcW w:w="475" w:type="dxa"/>
          </w:tcPr>
          <w:p>
            <w:pPr>
              <w:pStyle w:val="TableParagraph"/>
              <w:spacing w:before="40"/>
              <w:rPr>
                <w:sz w:val="18"/>
              </w:rPr>
            </w:pPr>
            <w:r>
              <w:rPr>
                <w:w w:val="99"/>
                <w:sz w:val="18"/>
              </w:rPr>
              <w:t>0</w:t>
            </w:r>
          </w:p>
        </w:tc>
        <w:tc>
          <w:tcPr>
            <w:tcW w:w="475" w:type="dxa"/>
          </w:tcPr>
          <w:p>
            <w:pPr>
              <w:pStyle w:val="TableParagraph"/>
              <w:spacing w:before="40"/>
              <w:ind w:right="131"/>
              <w:jc w:val="right"/>
              <w:rPr>
                <w:sz w:val="18"/>
              </w:rPr>
            </w:pPr>
            <w:r>
              <w:rPr>
                <w:w w:val="95"/>
                <w:sz w:val="18"/>
              </w:rPr>
              <w:t>38</w:t>
            </w:r>
          </w:p>
        </w:tc>
      </w:tr>
      <w:tr>
        <w:trPr>
          <w:trHeight w:val="401" w:hRule="exact"/>
        </w:trPr>
        <w:tc>
          <w:tcPr>
            <w:tcW w:w="4277" w:type="dxa"/>
          </w:tcPr>
          <w:p>
            <w:pPr>
              <w:pStyle w:val="TableParagraph"/>
              <w:spacing w:before="35"/>
              <w:ind w:left="64"/>
              <w:jc w:val="left"/>
              <w:rPr>
                <w:b/>
                <w:sz w:val="18"/>
              </w:rPr>
            </w:pPr>
            <w:r>
              <w:rPr>
                <w:b/>
                <w:sz w:val="18"/>
              </w:rPr>
              <w:t>SAN JOSE DEL RINCON</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4</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84"/>
              <w:jc w:val="left"/>
              <w:rPr>
                <w:sz w:val="18"/>
              </w:rPr>
            </w:pPr>
            <w:r>
              <w:rPr>
                <w:w w:val="99"/>
                <w:sz w:val="18"/>
              </w:rPr>
              <w:t>9</w:t>
            </w:r>
          </w:p>
        </w:tc>
        <w:tc>
          <w:tcPr>
            <w:tcW w:w="459" w:type="dxa"/>
          </w:tcPr>
          <w:p>
            <w:pPr>
              <w:pStyle w:val="TableParagraph"/>
              <w:spacing w:before="40"/>
              <w:ind w:left="2"/>
              <w:rPr>
                <w:sz w:val="18"/>
              </w:rPr>
            </w:pPr>
            <w:r>
              <w:rPr>
                <w:w w:val="99"/>
                <w:sz w:val="18"/>
              </w:rPr>
              <w:t>1</w:t>
            </w:r>
          </w:p>
        </w:tc>
        <w:tc>
          <w:tcPr>
            <w:tcW w:w="456" w:type="dxa"/>
          </w:tcPr>
          <w:p>
            <w:pPr>
              <w:pStyle w:val="TableParagraph"/>
              <w:spacing w:before="40"/>
              <w:rPr>
                <w:sz w:val="18"/>
              </w:rPr>
            </w:pPr>
            <w:r>
              <w:rPr>
                <w:w w:val="99"/>
                <w:sz w:val="18"/>
              </w:rPr>
              <w:t>4</w:t>
            </w:r>
          </w:p>
        </w:tc>
        <w:tc>
          <w:tcPr>
            <w:tcW w:w="458" w:type="dxa"/>
          </w:tcPr>
          <w:p>
            <w:pPr>
              <w:pStyle w:val="TableParagraph"/>
              <w:spacing w:before="40"/>
              <w:ind w:left="124"/>
              <w:jc w:val="left"/>
              <w:rPr>
                <w:sz w:val="18"/>
              </w:rPr>
            </w:pPr>
            <w:r>
              <w:rPr>
                <w:sz w:val="18"/>
              </w:rPr>
              <w:t>19</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372"/>
              <w:jc w:val="left"/>
              <w:rPr>
                <w:sz w:val="18"/>
              </w:rPr>
            </w:pPr>
            <w:r>
              <w:rPr>
                <w:w w:val="99"/>
                <w:sz w:val="18"/>
              </w:rPr>
              <w:t>0</w:t>
            </w:r>
          </w:p>
        </w:tc>
        <w:tc>
          <w:tcPr>
            <w:tcW w:w="475" w:type="dxa"/>
          </w:tcPr>
          <w:p>
            <w:pPr>
              <w:pStyle w:val="TableParagraph"/>
              <w:spacing w:before="40"/>
              <w:rPr>
                <w:sz w:val="18"/>
              </w:rPr>
            </w:pPr>
            <w:r>
              <w:rPr>
                <w:w w:val="99"/>
                <w:sz w:val="18"/>
              </w:rPr>
              <w:t>0</w:t>
            </w:r>
          </w:p>
        </w:tc>
        <w:tc>
          <w:tcPr>
            <w:tcW w:w="475" w:type="dxa"/>
          </w:tcPr>
          <w:p>
            <w:pPr>
              <w:pStyle w:val="TableParagraph"/>
              <w:spacing w:before="40"/>
              <w:ind w:right="131"/>
              <w:jc w:val="right"/>
              <w:rPr>
                <w:sz w:val="18"/>
              </w:rPr>
            </w:pPr>
            <w:r>
              <w:rPr>
                <w:w w:val="95"/>
                <w:sz w:val="18"/>
              </w:rPr>
              <w:t>39</w:t>
            </w:r>
          </w:p>
        </w:tc>
      </w:tr>
      <w:tr>
        <w:trPr>
          <w:trHeight w:val="401" w:hRule="exact"/>
        </w:trPr>
        <w:tc>
          <w:tcPr>
            <w:tcW w:w="4277" w:type="dxa"/>
          </w:tcPr>
          <w:p>
            <w:pPr>
              <w:pStyle w:val="TableParagraph"/>
              <w:spacing w:before="35"/>
              <w:ind w:left="64"/>
              <w:jc w:val="left"/>
              <w:rPr>
                <w:b/>
                <w:sz w:val="18"/>
              </w:rPr>
            </w:pPr>
            <w:r>
              <w:rPr>
                <w:b/>
                <w:sz w:val="18"/>
              </w:rPr>
              <w:t>SAN MARTÍN DE LAS PIRAMIDES</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3</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34"/>
              <w:jc w:val="left"/>
              <w:rPr>
                <w:sz w:val="18"/>
              </w:rPr>
            </w:pPr>
            <w:r>
              <w:rPr>
                <w:sz w:val="18"/>
              </w:rPr>
              <w:t>10</w:t>
            </w:r>
          </w:p>
        </w:tc>
        <w:tc>
          <w:tcPr>
            <w:tcW w:w="459" w:type="dxa"/>
          </w:tcPr>
          <w:p>
            <w:pPr>
              <w:pStyle w:val="TableParagraph"/>
              <w:spacing w:before="40"/>
              <w:ind w:left="2"/>
              <w:rPr>
                <w:sz w:val="18"/>
              </w:rPr>
            </w:pPr>
            <w:r>
              <w:rPr>
                <w:w w:val="99"/>
                <w:sz w:val="18"/>
              </w:rPr>
              <w:t>0</w:t>
            </w:r>
          </w:p>
        </w:tc>
        <w:tc>
          <w:tcPr>
            <w:tcW w:w="456" w:type="dxa"/>
          </w:tcPr>
          <w:p>
            <w:pPr>
              <w:pStyle w:val="TableParagraph"/>
              <w:spacing w:before="40"/>
              <w:ind w:left="51" w:right="51"/>
              <w:rPr>
                <w:sz w:val="18"/>
              </w:rPr>
            </w:pPr>
            <w:r>
              <w:rPr>
                <w:sz w:val="18"/>
              </w:rPr>
              <w:t>12</w:t>
            </w:r>
          </w:p>
        </w:tc>
        <w:tc>
          <w:tcPr>
            <w:tcW w:w="458" w:type="dxa"/>
          </w:tcPr>
          <w:p>
            <w:pPr>
              <w:pStyle w:val="TableParagraph"/>
              <w:spacing w:before="40"/>
              <w:ind w:left="175"/>
              <w:jc w:val="left"/>
              <w:rPr>
                <w:sz w:val="18"/>
              </w:rPr>
            </w:pPr>
            <w:r>
              <w:rPr>
                <w:w w:val="99"/>
                <w:sz w:val="18"/>
              </w:rPr>
              <w:t>0</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372"/>
              <w:jc w:val="left"/>
              <w:rPr>
                <w:sz w:val="18"/>
              </w:rPr>
            </w:pPr>
            <w:r>
              <w:rPr>
                <w:w w:val="99"/>
                <w:sz w:val="18"/>
              </w:rPr>
              <w:t>0</w:t>
            </w:r>
          </w:p>
        </w:tc>
        <w:tc>
          <w:tcPr>
            <w:tcW w:w="475" w:type="dxa"/>
          </w:tcPr>
          <w:p>
            <w:pPr>
              <w:pStyle w:val="TableParagraph"/>
              <w:spacing w:before="40"/>
              <w:rPr>
                <w:sz w:val="18"/>
              </w:rPr>
            </w:pPr>
            <w:r>
              <w:rPr>
                <w:w w:val="99"/>
                <w:sz w:val="18"/>
              </w:rPr>
              <w:t>1</w:t>
            </w:r>
          </w:p>
        </w:tc>
        <w:tc>
          <w:tcPr>
            <w:tcW w:w="475" w:type="dxa"/>
          </w:tcPr>
          <w:p>
            <w:pPr>
              <w:pStyle w:val="TableParagraph"/>
              <w:spacing w:before="40"/>
              <w:ind w:right="131"/>
              <w:jc w:val="right"/>
              <w:rPr>
                <w:sz w:val="18"/>
              </w:rPr>
            </w:pPr>
            <w:r>
              <w:rPr>
                <w:w w:val="95"/>
                <w:sz w:val="18"/>
              </w:rPr>
              <w:t>28</w:t>
            </w:r>
          </w:p>
        </w:tc>
      </w:tr>
    </w:tbl>
    <w:p>
      <w:pPr>
        <w:spacing w:after="0"/>
        <w:jc w:val="right"/>
        <w:rPr>
          <w:sz w:val="18"/>
        </w:rPr>
        <w:sectPr>
          <w:pgSz w:w="15840" w:h="12240" w:orient="landscape"/>
          <w:pgMar w:header="0" w:footer="975" w:top="1140" w:bottom="1160" w:left="1800" w:right="1800"/>
        </w:sectPr>
      </w:pPr>
    </w:p>
    <w:p>
      <w:pPr>
        <w:pStyle w:val="BodyText"/>
        <w:rPr>
          <w:rFonts w:ascii="Times New Roman"/>
          <w:sz w:val="20"/>
        </w:rPr>
      </w:pPr>
    </w:p>
    <w:p>
      <w:pPr>
        <w:pStyle w:val="BodyText"/>
        <w:spacing w:before="8"/>
        <w:rPr>
          <w:rFonts w:ascii="Times New Roman"/>
          <w:sz w:val="20"/>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77"/>
        <w:gridCol w:w="456"/>
        <w:gridCol w:w="458"/>
        <w:gridCol w:w="456"/>
        <w:gridCol w:w="456"/>
        <w:gridCol w:w="475"/>
        <w:gridCol w:w="459"/>
        <w:gridCol w:w="456"/>
        <w:gridCol w:w="458"/>
        <w:gridCol w:w="456"/>
        <w:gridCol w:w="684"/>
        <w:gridCol w:w="646"/>
        <w:gridCol w:w="456"/>
        <w:gridCol w:w="852"/>
        <w:gridCol w:w="475"/>
        <w:gridCol w:w="475"/>
      </w:tblGrid>
      <w:tr>
        <w:trPr>
          <w:trHeight w:val="373" w:hRule="exact"/>
        </w:trPr>
        <w:tc>
          <w:tcPr>
            <w:tcW w:w="11997" w:type="dxa"/>
            <w:gridSpan w:val="16"/>
            <w:shd w:val="clear" w:color="auto" w:fill="92D050"/>
          </w:tcPr>
          <w:p>
            <w:pPr>
              <w:pStyle w:val="TableParagraph"/>
              <w:spacing w:before="20"/>
              <w:ind w:left="1348"/>
              <w:jc w:val="left"/>
              <w:rPr>
                <w:b/>
                <w:sz w:val="18"/>
              </w:rPr>
            </w:pPr>
            <w:r>
              <w:rPr>
                <w:b/>
                <w:sz w:val="18"/>
              </w:rPr>
              <w:t>Anexo 18. Normativa publicada por los municipios del Estado de México a través del INFOEM (continuación)</w:t>
            </w:r>
          </w:p>
        </w:tc>
      </w:tr>
      <w:tr>
        <w:trPr>
          <w:trHeight w:val="1412" w:hRule="exact"/>
        </w:trPr>
        <w:tc>
          <w:tcPr>
            <w:tcW w:w="4277" w:type="dxa"/>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126"/>
              <w:ind w:left="1691" w:right="1693"/>
              <w:rPr>
                <w:b/>
                <w:sz w:val="18"/>
              </w:rPr>
            </w:pPr>
            <w:r>
              <w:rPr>
                <w:b/>
                <w:sz w:val="18"/>
              </w:rPr>
              <w:t>Municipio</w:t>
            </w:r>
          </w:p>
        </w:tc>
        <w:tc>
          <w:tcPr>
            <w:tcW w:w="456" w:type="dxa"/>
            <w:shd w:val="clear" w:color="auto" w:fill="C5DFB3"/>
            <w:textDirection w:val="btLr"/>
          </w:tcPr>
          <w:p>
            <w:pPr>
              <w:pStyle w:val="TableParagraph"/>
              <w:spacing w:before="64"/>
              <w:ind w:left="76" w:right="-11"/>
              <w:jc w:val="left"/>
              <w:rPr>
                <w:b/>
                <w:sz w:val="18"/>
              </w:rPr>
            </w:pPr>
            <w:r>
              <w:rPr>
                <w:b/>
                <w:sz w:val="18"/>
              </w:rPr>
              <w:t>Con</w:t>
            </w:r>
            <w:r>
              <w:rPr>
                <w:b/>
                <w:spacing w:val="1"/>
                <w:sz w:val="18"/>
              </w:rPr>
              <w:t>s</w:t>
            </w:r>
            <w:r>
              <w:rPr>
                <w:b/>
                <w:w w:val="100"/>
                <w:sz w:val="18"/>
              </w:rPr>
              <w:t>t.</w:t>
            </w:r>
            <w:r>
              <w:rPr>
                <w:b/>
                <w:sz w:val="18"/>
              </w:rPr>
              <w:t> Fe</w:t>
            </w:r>
            <w:r>
              <w:rPr>
                <w:b/>
                <w:spacing w:val="-2"/>
                <w:w w:val="100"/>
                <w:sz w:val="18"/>
              </w:rPr>
              <w:t>d</w:t>
            </w:r>
            <w:r>
              <w:rPr>
                <w:b/>
                <w:w w:val="99"/>
                <w:sz w:val="18"/>
              </w:rPr>
              <w:t>e</w:t>
            </w:r>
            <w:r>
              <w:rPr>
                <w:b/>
                <w:w w:val="99"/>
                <w:sz w:val="18"/>
              </w:rPr>
              <w:t>ral</w:t>
            </w:r>
          </w:p>
        </w:tc>
        <w:tc>
          <w:tcPr>
            <w:tcW w:w="458" w:type="dxa"/>
            <w:shd w:val="clear" w:color="auto" w:fill="C5DFB3"/>
            <w:textDirection w:val="btLr"/>
          </w:tcPr>
          <w:p>
            <w:pPr>
              <w:pStyle w:val="TableParagraph"/>
              <w:spacing w:before="66"/>
              <w:ind w:left="319" w:right="-11"/>
              <w:jc w:val="left"/>
              <w:rPr>
                <w:b/>
                <w:sz w:val="18"/>
              </w:rPr>
            </w:pPr>
            <w:r>
              <w:rPr>
                <w:b/>
                <w:w w:val="99"/>
                <w:sz w:val="18"/>
              </w:rPr>
              <w:t>Trata</w:t>
            </w:r>
            <w:r>
              <w:rPr>
                <w:b/>
                <w:w w:val="100"/>
                <w:sz w:val="18"/>
              </w:rPr>
              <w:t>do</w:t>
            </w:r>
            <w:r>
              <w:rPr>
                <w:b/>
                <w:w w:val="99"/>
                <w:sz w:val="18"/>
              </w:rPr>
              <w:t>s</w:t>
            </w:r>
          </w:p>
        </w:tc>
        <w:tc>
          <w:tcPr>
            <w:tcW w:w="456" w:type="dxa"/>
            <w:shd w:val="clear" w:color="auto" w:fill="C5DFB3"/>
            <w:textDirection w:val="btLr"/>
          </w:tcPr>
          <w:p>
            <w:pPr>
              <w:pStyle w:val="TableParagraph"/>
              <w:spacing w:before="64"/>
              <w:ind w:left="235" w:right="-11"/>
              <w:jc w:val="left"/>
              <w:rPr>
                <w:b/>
                <w:sz w:val="18"/>
              </w:rPr>
            </w:pPr>
            <w:r>
              <w:rPr>
                <w:b/>
                <w:sz w:val="18"/>
              </w:rPr>
              <w:t>Le</w:t>
            </w:r>
            <w:r>
              <w:rPr>
                <w:b/>
                <w:w w:val="99"/>
                <w:sz w:val="18"/>
              </w:rPr>
              <w:t>yes</w:t>
            </w:r>
            <w:r>
              <w:rPr>
                <w:b/>
                <w:spacing w:val="-2"/>
                <w:sz w:val="18"/>
              </w:rPr>
              <w:t> </w:t>
            </w:r>
            <w:r>
              <w:rPr>
                <w:b/>
                <w:sz w:val="18"/>
              </w:rPr>
              <w:t>Fe</w:t>
            </w:r>
            <w:r>
              <w:rPr>
                <w:b/>
                <w:w w:val="100"/>
                <w:sz w:val="18"/>
              </w:rPr>
              <w:t>d.</w:t>
            </w:r>
          </w:p>
        </w:tc>
        <w:tc>
          <w:tcPr>
            <w:tcW w:w="456" w:type="dxa"/>
            <w:shd w:val="clear" w:color="auto" w:fill="C5DFB3"/>
            <w:textDirection w:val="btLr"/>
          </w:tcPr>
          <w:p>
            <w:pPr>
              <w:pStyle w:val="TableParagraph"/>
              <w:spacing w:before="64"/>
              <w:ind w:left="160" w:right="-11"/>
              <w:jc w:val="left"/>
              <w:rPr>
                <w:b/>
                <w:sz w:val="18"/>
              </w:rPr>
            </w:pPr>
            <w:r>
              <w:rPr>
                <w:b/>
                <w:sz w:val="18"/>
              </w:rPr>
              <w:t>Con</w:t>
            </w:r>
            <w:r>
              <w:rPr>
                <w:b/>
                <w:spacing w:val="1"/>
                <w:sz w:val="18"/>
              </w:rPr>
              <w:t>s</w:t>
            </w:r>
            <w:r>
              <w:rPr>
                <w:b/>
                <w:w w:val="100"/>
                <w:sz w:val="18"/>
              </w:rPr>
              <w:t>t.</w:t>
            </w:r>
            <w:r>
              <w:rPr>
                <w:b/>
                <w:sz w:val="18"/>
              </w:rPr>
              <w:t> </w:t>
            </w:r>
            <w:r>
              <w:rPr>
                <w:b/>
                <w:w w:val="100"/>
                <w:sz w:val="18"/>
              </w:rPr>
              <w:t>Lo</w:t>
            </w:r>
            <w:r>
              <w:rPr>
                <w:b/>
                <w:spacing w:val="-2"/>
                <w:w w:val="99"/>
                <w:sz w:val="18"/>
              </w:rPr>
              <w:t>c</w:t>
            </w:r>
            <w:r>
              <w:rPr>
                <w:b/>
                <w:w w:val="99"/>
                <w:sz w:val="18"/>
              </w:rPr>
              <w:t>a</w:t>
            </w:r>
            <w:r>
              <w:rPr>
                <w:b/>
                <w:w w:val="100"/>
                <w:sz w:val="18"/>
              </w:rPr>
              <w:t>l</w:t>
            </w:r>
          </w:p>
        </w:tc>
        <w:tc>
          <w:tcPr>
            <w:tcW w:w="475" w:type="dxa"/>
            <w:shd w:val="clear" w:color="auto" w:fill="C5DFB3"/>
            <w:textDirection w:val="btLr"/>
          </w:tcPr>
          <w:p>
            <w:pPr>
              <w:pStyle w:val="TableParagraph"/>
              <w:spacing w:before="73"/>
              <w:ind w:left="86" w:right="-11"/>
              <w:jc w:val="left"/>
              <w:rPr>
                <w:b/>
                <w:sz w:val="18"/>
              </w:rPr>
            </w:pPr>
            <w:r>
              <w:rPr>
                <w:b/>
                <w:sz w:val="18"/>
              </w:rPr>
              <w:t>Le</w:t>
            </w:r>
            <w:r>
              <w:rPr>
                <w:b/>
                <w:w w:val="99"/>
                <w:sz w:val="18"/>
              </w:rPr>
              <w:t>yes</w:t>
            </w:r>
            <w:r>
              <w:rPr>
                <w:b/>
                <w:spacing w:val="-2"/>
                <w:sz w:val="18"/>
              </w:rPr>
              <w:t> </w:t>
            </w:r>
            <w:r>
              <w:rPr>
                <w:b/>
                <w:w w:val="100"/>
                <w:sz w:val="18"/>
              </w:rPr>
              <w:t>Lo</w:t>
            </w:r>
            <w:r>
              <w:rPr>
                <w:b/>
                <w:w w:val="99"/>
                <w:sz w:val="18"/>
              </w:rPr>
              <w:t>c</w:t>
            </w:r>
            <w:r>
              <w:rPr>
                <w:b/>
                <w:spacing w:val="-2"/>
                <w:w w:val="99"/>
                <w:sz w:val="18"/>
              </w:rPr>
              <w:t>a</w:t>
            </w:r>
            <w:r>
              <w:rPr>
                <w:b/>
                <w:w w:val="100"/>
                <w:sz w:val="18"/>
              </w:rPr>
              <w:t>le</w:t>
            </w:r>
            <w:r>
              <w:rPr>
                <w:b/>
                <w:w w:val="99"/>
                <w:sz w:val="18"/>
              </w:rPr>
              <w:t>s</w:t>
            </w:r>
          </w:p>
        </w:tc>
        <w:tc>
          <w:tcPr>
            <w:tcW w:w="459" w:type="dxa"/>
            <w:shd w:val="clear" w:color="auto" w:fill="C5DFB3"/>
            <w:textDirection w:val="btLr"/>
          </w:tcPr>
          <w:p>
            <w:pPr>
              <w:pStyle w:val="TableParagraph"/>
              <w:spacing w:before="66"/>
              <w:ind w:left="340" w:right="-11"/>
              <w:jc w:val="left"/>
              <w:rPr>
                <w:b/>
                <w:sz w:val="18"/>
              </w:rPr>
            </w:pPr>
            <w:r>
              <w:rPr>
                <w:b/>
                <w:w w:val="100"/>
                <w:sz w:val="18"/>
              </w:rPr>
              <w:t>Códi</w:t>
            </w:r>
            <w:r>
              <w:rPr>
                <w:b/>
                <w:w w:val="100"/>
                <w:sz w:val="18"/>
              </w:rPr>
              <w:t>go</w:t>
            </w:r>
            <w:r>
              <w:rPr>
                <w:b/>
                <w:w w:val="99"/>
                <w:sz w:val="18"/>
              </w:rPr>
              <w:t>s</w:t>
            </w:r>
          </w:p>
        </w:tc>
        <w:tc>
          <w:tcPr>
            <w:tcW w:w="456" w:type="dxa"/>
            <w:shd w:val="clear" w:color="auto" w:fill="C5DFB3"/>
            <w:textDirection w:val="btLr"/>
          </w:tcPr>
          <w:p>
            <w:pPr>
              <w:pStyle w:val="TableParagraph"/>
              <w:spacing w:before="64"/>
              <w:ind w:left="136" w:right="-11"/>
              <w:jc w:val="left"/>
              <w:rPr>
                <w:b/>
                <w:sz w:val="18"/>
              </w:rPr>
            </w:pPr>
            <w:r>
              <w:rPr>
                <w:b/>
                <w:w w:val="99"/>
                <w:sz w:val="18"/>
              </w:rPr>
              <w:t>Reg</w:t>
            </w:r>
            <w:r>
              <w:rPr>
                <w:b/>
                <w:w w:val="100"/>
                <w:sz w:val="18"/>
              </w:rPr>
              <w:t>la</w:t>
            </w:r>
            <w:r>
              <w:rPr>
                <w:b/>
                <w:w w:val="99"/>
                <w:sz w:val="18"/>
              </w:rPr>
              <w:t>m</w:t>
            </w:r>
            <w:r>
              <w:rPr>
                <w:b/>
                <w:spacing w:val="-2"/>
                <w:w w:val="99"/>
                <w:sz w:val="18"/>
              </w:rPr>
              <w:t>e</w:t>
            </w:r>
            <w:r>
              <w:rPr>
                <w:b/>
                <w:w w:val="100"/>
                <w:sz w:val="18"/>
              </w:rPr>
              <w:t>nto</w:t>
            </w:r>
            <w:r>
              <w:rPr>
                <w:b/>
                <w:w w:val="99"/>
                <w:sz w:val="18"/>
              </w:rPr>
              <w:t>s</w:t>
            </w:r>
          </w:p>
        </w:tc>
        <w:tc>
          <w:tcPr>
            <w:tcW w:w="458" w:type="dxa"/>
            <w:shd w:val="clear" w:color="auto" w:fill="C5DFB3"/>
            <w:textDirection w:val="btLr"/>
          </w:tcPr>
          <w:p>
            <w:pPr>
              <w:pStyle w:val="TableParagraph"/>
              <w:spacing w:before="66"/>
              <w:ind w:left="316" w:right="-11"/>
              <w:jc w:val="left"/>
              <w:rPr>
                <w:b/>
                <w:sz w:val="18"/>
              </w:rPr>
            </w:pPr>
            <w:r>
              <w:rPr>
                <w:b/>
                <w:w w:val="99"/>
                <w:sz w:val="18"/>
              </w:rPr>
              <w:t>Dec</w:t>
            </w:r>
            <w:r>
              <w:rPr>
                <w:b/>
                <w:w w:val="99"/>
                <w:sz w:val="18"/>
              </w:rPr>
              <w:t>reto</w:t>
            </w:r>
            <w:r>
              <w:rPr>
                <w:b/>
                <w:w w:val="99"/>
                <w:sz w:val="18"/>
              </w:rPr>
              <w:t>s</w:t>
            </w:r>
          </w:p>
        </w:tc>
        <w:tc>
          <w:tcPr>
            <w:tcW w:w="456" w:type="dxa"/>
            <w:shd w:val="clear" w:color="auto" w:fill="C5DFB3"/>
            <w:textDirection w:val="btLr"/>
          </w:tcPr>
          <w:p>
            <w:pPr>
              <w:pStyle w:val="TableParagraph"/>
              <w:spacing w:before="64"/>
              <w:ind w:left="285" w:right="-11"/>
              <w:jc w:val="left"/>
              <w:rPr>
                <w:b/>
                <w:sz w:val="18"/>
              </w:rPr>
            </w:pPr>
            <w:r>
              <w:rPr>
                <w:b/>
                <w:w w:val="99"/>
                <w:sz w:val="18"/>
              </w:rPr>
              <w:t>Acu</w:t>
            </w:r>
            <w:r>
              <w:rPr>
                <w:b/>
                <w:w w:val="99"/>
                <w:sz w:val="18"/>
              </w:rPr>
              <w:t>e</w:t>
            </w:r>
            <w:r>
              <w:rPr>
                <w:b/>
                <w:sz w:val="18"/>
              </w:rPr>
              <w:t>rdos</w:t>
            </w:r>
          </w:p>
        </w:tc>
        <w:tc>
          <w:tcPr>
            <w:tcW w:w="684" w:type="dxa"/>
            <w:shd w:val="clear" w:color="auto" w:fill="C5DFB3"/>
            <w:textDirection w:val="btLr"/>
          </w:tcPr>
          <w:p>
            <w:pPr>
              <w:pStyle w:val="TableParagraph"/>
              <w:spacing w:line="369" w:lineRule="auto" w:before="64"/>
              <w:ind w:left="7" w:right="-11" w:firstLine="153"/>
              <w:jc w:val="left"/>
              <w:rPr>
                <w:b/>
                <w:sz w:val="18"/>
              </w:rPr>
            </w:pPr>
            <w:r>
              <w:rPr>
                <w:b/>
                <w:spacing w:val="1"/>
                <w:w w:val="99"/>
                <w:sz w:val="18"/>
              </w:rPr>
              <w:t>M</w:t>
            </w:r>
            <w:r>
              <w:rPr>
                <w:b/>
                <w:w w:val="99"/>
                <w:sz w:val="18"/>
              </w:rPr>
              <w:t>a</w:t>
            </w:r>
            <w:r>
              <w:rPr>
                <w:b/>
                <w:w w:val="100"/>
                <w:sz w:val="18"/>
              </w:rPr>
              <w:t>nu</w:t>
            </w:r>
            <w:r>
              <w:rPr>
                <w:b/>
                <w:spacing w:val="-2"/>
                <w:w w:val="99"/>
                <w:sz w:val="18"/>
              </w:rPr>
              <w:t>a</w:t>
            </w:r>
            <w:r>
              <w:rPr>
                <w:b/>
                <w:w w:val="100"/>
                <w:sz w:val="18"/>
              </w:rPr>
              <w:t>le</w:t>
            </w:r>
            <w:r>
              <w:rPr>
                <w:b/>
                <w:w w:val="99"/>
                <w:sz w:val="18"/>
              </w:rPr>
              <w:t>s</w:t>
            </w:r>
            <w:r>
              <w:rPr>
                <w:b/>
                <w:spacing w:val="-2"/>
                <w:sz w:val="18"/>
              </w:rPr>
              <w:t> </w:t>
            </w:r>
            <w:r>
              <w:rPr>
                <w:b/>
                <w:sz w:val="18"/>
              </w:rPr>
              <w:t>de proc</w:t>
            </w:r>
            <w:r>
              <w:rPr>
                <w:b/>
                <w:w w:val="99"/>
                <w:sz w:val="18"/>
              </w:rPr>
              <w:t>e</w:t>
            </w:r>
            <w:r>
              <w:rPr>
                <w:b/>
                <w:w w:val="100"/>
                <w:sz w:val="18"/>
              </w:rPr>
              <w:t>di</w:t>
            </w:r>
            <w:r>
              <w:rPr>
                <w:b/>
                <w:spacing w:val="-2"/>
                <w:w w:val="99"/>
                <w:sz w:val="18"/>
              </w:rPr>
              <w:t>m</w:t>
            </w:r>
            <w:r>
              <w:rPr>
                <w:b/>
                <w:w w:val="100"/>
                <w:sz w:val="18"/>
              </w:rPr>
              <w:t>ie</w:t>
            </w:r>
            <w:r>
              <w:rPr>
                <w:b/>
                <w:w w:val="100"/>
                <w:sz w:val="18"/>
              </w:rPr>
              <w:t>nt</w:t>
            </w:r>
            <w:r>
              <w:rPr>
                <w:b/>
                <w:spacing w:val="-2"/>
                <w:w w:val="100"/>
                <w:sz w:val="18"/>
              </w:rPr>
              <w:t>o</w:t>
            </w:r>
            <w:r>
              <w:rPr>
                <w:b/>
                <w:w w:val="99"/>
                <w:sz w:val="18"/>
              </w:rPr>
              <w:t>s</w:t>
            </w:r>
            <w:r>
              <w:rPr>
                <w:b/>
                <w:w w:val="100"/>
                <w:sz w:val="18"/>
              </w:rPr>
              <w:t>.</w:t>
            </w:r>
          </w:p>
        </w:tc>
        <w:tc>
          <w:tcPr>
            <w:tcW w:w="646" w:type="dxa"/>
            <w:shd w:val="clear" w:color="auto" w:fill="C5DFB3"/>
            <w:textDirection w:val="btLr"/>
          </w:tcPr>
          <w:p>
            <w:pPr>
              <w:pStyle w:val="TableParagraph"/>
              <w:spacing w:line="369" w:lineRule="auto" w:before="64"/>
              <w:ind w:left="146" w:right="128" w:firstLine="14"/>
              <w:jc w:val="left"/>
              <w:rPr>
                <w:b/>
                <w:sz w:val="18"/>
              </w:rPr>
            </w:pPr>
            <w:r>
              <w:rPr>
                <w:b/>
                <w:spacing w:val="1"/>
                <w:w w:val="99"/>
                <w:sz w:val="18"/>
              </w:rPr>
              <w:t>M</w:t>
            </w:r>
            <w:r>
              <w:rPr>
                <w:b/>
                <w:w w:val="99"/>
                <w:sz w:val="18"/>
              </w:rPr>
              <w:t>a</w:t>
            </w:r>
            <w:r>
              <w:rPr>
                <w:b/>
                <w:w w:val="100"/>
                <w:sz w:val="18"/>
              </w:rPr>
              <w:t>nu</w:t>
            </w:r>
            <w:r>
              <w:rPr>
                <w:b/>
                <w:spacing w:val="-2"/>
                <w:w w:val="99"/>
                <w:sz w:val="18"/>
              </w:rPr>
              <w:t>a</w:t>
            </w:r>
            <w:r>
              <w:rPr>
                <w:b/>
                <w:w w:val="100"/>
                <w:sz w:val="18"/>
              </w:rPr>
              <w:t>le</w:t>
            </w:r>
            <w:r>
              <w:rPr>
                <w:b/>
                <w:w w:val="99"/>
                <w:sz w:val="18"/>
              </w:rPr>
              <w:t>s</w:t>
            </w:r>
            <w:r>
              <w:rPr>
                <w:b/>
                <w:spacing w:val="-2"/>
                <w:sz w:val="18"/>
              </w:rPr>
              <w:t> </w:t>
            </w:r>
            <w:r>
              <w:rPr>
                <w:b/>
                <w:sz w:val="18"/>
              </w:rPr>
              <w:t>de orga</w:t>
            </w:r>
            <w:r>
              <w:rPr>
                <w:b/>
                <w:w w:val="100"/>
                <w:sz w:val="18"/>
              </w:rPr>
              <w:t>ni</w:t>
            </w:r>
            <w:r>
              <w:rPr>
                <w:b/>
                <w:spacing w:val="-2"/>
                <w:sz w:val="18"/>
              </w:rPr>
              <w:t>z</w:t>
            </w:r>
            <w:r>
              <w:rPr>
                <w:b/>
                <w:w w:val="99"/>
                <w:sz w:val="18"/>
              </w:rPr>
              <w:t>ac</w:t>
            </w:r>
            <w:r>
              <w:rPr>
                <w:b/>
                <w:w w:val="100"/>
                <w:sz w:val="18"/>
              </w:rPr>
              <w:t>ión</w:t>
            </w:r>
          </w:p>
        </w:tc>
        <w:tc>
          <w:tcPr>
            <w:tcW w:w="456" w:type="dxa"/>
            <w:tcBorders>
              <w:right w:val="single" w:sz="4" w:space="0" w:color="000000"/>
            </w:tcBorders>
            <w:shd w:val="clear" w:color="auto" w:fill="C5DFB3"/>
            <w:textDirection w:val="btLr"/>
          </w:tcPr>
          <w:p>
            <w:pPr>
              <w:pStyle w:val="TableParagraph"/>
              <w:spacing w:before="64"/>
              <w:ind w:left="21" w:right="-11"/>
              <w:jc w:val="left"/>
              <w:rPr>
                <w:b/>
                <w:sz w:val="18"/>
              </w:rPr>
            </w:pPr>
            <w:r>
              <w:rPr>
                <w:b/>
                <w:spacing w:val="-1"/>
                <w:w w:val="100"/>
                <w:sz w:val="18"/>
              </w:rPr>
              <w:t>O</w:t>
            </w:r>
            <w:r>
              <w:rPr>
                <w:b/>
                <w:w w:val="99"/>
                <w:sz w:val="18"/>
              </w:rPr>
              <w:t>tros m</w:t>
            </w:r>
            <w:r>
              <w:rPr>
                <w:b/>
                <w:w w:val="99"/>
                <w:sz w:val="18"/>
              </w:rPr>
              <w:t>a</w:t>
            </w:r>
            <w:r>
              <w:rPr>
                <w:b/>
                <w:w w:val="100"/>
                <w:sz w:val="18"/>
              </w:rPr>
              <w:t>nu</w:t>
            </w:r>
            <w:r>
              <w:rPr>
                <w:b/>
                <w:spacing w:val="-2"/>
                <w:w w:val="99"/>
                <w:sz w:val="18"/>
              </w:rPr>
              <w:t>a</w:t>
            </w:r>
            <w:r>
              <w:rPr>
                <w:b/>
                <w:w w:val="100"/>
                <w:sz w:val="18"/>
              </w:rPr>
              <w:t>le</w:t>
            </w:r>
            <w:r>
              <w:rPr>
                <w:b/>
                <w:w w:val="99"/>
                <w:sz w:val="18"/>
              </w:rPr>
              <w:t>s</w:t>
            </w:r>
          </w:p>
        </w:tc>
        <w:tc>
          <w:tcPr>
            <w:tcW w:w="852" w:type="dxa"/>
            <w:tcBorders>
              <w:left w:val="single" w:sz="4" w:space="0" w:color="000000"/>
            </w:tcBorders>
            <w:shd w:val="clear" w:color="auto" w:fill="C5DFB3"/>
            <w:textDirection w:val="btLr"/>
          </w:tcPr>
          <w:p>
            <w:pPr>
              <w:pStyle w:val="TableParagraph"/>
              <w:spacing w:before="7"/>
              <w:jc w:val="left"/>
              <w:rPr>
                <w:rFonts w:ascii="Times New Roman"/>
                <w:sz w:val="22"/>
              </w:rPr>
            </w:pPr>
          </w:p>
          <w:p>
            <w:pPr>
              <w:pStyle w:val="TableParagraph"/>
              <w:spacing w:before="1"/>
              <w:ind w:left="261"/>
              <w:jc w:val="left"/>
              <w:rPr>
                <w:b/>
                <w:sz w:val="18"/>
              </w:rPr>
            </w:pPr>
            <w:r>
              <w:rPr>
                <w:b/>
                <w:w w:val="99"/>
                <w:sz w:val="18"/>
              </w:rPr>
              <w:t>Circula</w:t>
            </w:r>
            <w:r>
              <w:rPr>
                <w:b/>
                <w:w w:val="99"/>
                <w:sz w:val="18"/>
              </w:rPr>
              <w:t>res</w:t>
            </w:r>
          </w:p>
        </w:tc>
        <w:tc>
          <w:tcPr>
            <w:tcW w:w="475" w:type="dxa"/>
            <w:shd w:val="clear" w:color="auto" w:fill="C5DFB3"/>
            <w:textDirection w:val="btLr"/>
          </w:tcPr>
          <w:p>
            <w:pPr>
              <w:pStyle w:val="TableParagraph"/>
              <w:spacing w:before="64"/>
              <w:ind w:left="405" w:right="-11"/>
              <w:jc w:val="left"/>
              <w:rPr>
                <w:b/>
                <w:sz w:val="18"/>
              </w:rPr>
            </w:pPr>
            <w:r>
              <w:rPr>
                <w:b/>
                <w:w w:val="99"/>
                <w:sz w:val="18"/>
              </w:rPr>
              <w:t>Demás</w:t>
            </w:r>
          </w:p>
        </w:tc>
        <w:tc>
          <w:tcPr>
            <w:tcW w:w="475" w:type="dxa"/>
            <w:shd w:val="clear" w:color="auto" w:fill="C5DFB3"/>
            <w:textDirection w:val="btLr"/>
          </w:tcPr>
          <w:p>
            <w:pPr>
              <w:pStyle w:val="TableParagraph"/>
              <w:spacing w:before="71"/>
              <w:ind w:left="340" w:right="-11"/>
              <w:jc w:val="left"/>
              <w:rPr>
                <w:b/>
                <w:sz w:val="18"/>
              </w:rPr>
            </w:pPr>
            <w:r>
              <w:rPr>
                <w:b/>
                <w:w w:val="100"/>
                <w:sz w:val="18"/>
              </w:rPr>
              <w:t>Subtot</w:t>
            </w:r>
            <w:r>
              <w:rPr>
                <w:b/>
                <w:w w:val="99"/>
                <w:sz w:val="18"/>
              </w:rPr>
              <w:t>a</w:t>
            </w:r>
            <w:r>
              <w:rPr>
                <w:b/>
                <w:w w:val="100"/>
                <w:sz w:val="18"/>
              </w:rPr>
              <w:t>l</w:t>
            </w:r>
          </w:p>
        </w:tc>
      </w:tr>
      <w:tr>
        <w:trPr>
          <w:trHeight w:val="401" w:hRule="exact"/>
        </w:trPr>
        <w:tc>
          <w:tcPr>
            <w:tcW w:w="4277" w:type="dxa"/>
          </w:tcPr>
          <w:p>
            <w:pPr>
              <w:pStyle w:val="TableParagraph"/>
              <w:spacing w:before="35"/>
              <w:ind w:left="64"/>
              <w:jc w:val="left"/>
              <w:rPr>
                <w:b/>
                <w:sz w:val="18"/>
              </w:rPr>
            </w:pPr>
            <w:r>
              <w:rPr>
                <w:b/>
                <w:sz w:val="18"/>
              </w:rPr>
              <w:t>SAN MATEO ATENCO</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6</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84"/>
              <w:jc w:val="left"/>
              <w:rPr>
                <w:sz w:val="18"/>
              </w:rPr>
            </w:pPr>
            <w:r>
              <w:rPr>
                <w:w w:val="99"/>
                <w:sz w:val="18"/>
              </w:rPr>
              <w:t>7</w:t>
            </w:r>
          </w:p>
        </w:tc>
        <w:tc>
          <w:tcPr>
            <w:tcW w:w="459" w:type="dxa"/>
          </w:tcPr>
          <w:p>
            <w:pPr>
              <w:pStyle w:val="TableParagraph"/>
              <w:spacing w:before="40"/>
              <w:ind w:left="2"/>
              <w:rPr>
                <w:sz w:val="18"/>
              </w:rPr>
            </w:pPr>
            <w:r>
              <w:rPr>
                <w:w w:val="99"/>
                <w:sz w:val="18"/>
              </w:rPr>
              <w:t>2</w:t>
            </w:r>
          </w:p>
        </w:tc>
        <w:tc>
          <w:tcPr>
            <w:tcW w:w="456" w:type="dxa"/>
          </w:tcPr>
          <w:p>
            <w:pPr>
              <w:pStyle w:val="TableParagraph"/>
              <w:spacing w:before="40"/>
              <w:ind w:left="51" w:right="51"/>
              <w:rPr>
                <w:sz w:val="18"/>
              </w:rPr>
            </w:pPr>
            <w:r>
              <w:rPr>
                <w:sz w:val="18"/>
              </w:rPr>
              <w:t>10</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right="171"/>
              <w:jc w:val="right"/>
              <w:rPr>
                <w:sz w:val="18"/>
              </w:rPr>
            </w:pPr>
            <w:r>
              <w:rPr>
                <w:w w:val="99"/>
                <w:sz w:val="18"/>
              </w:rPr>
              <w:t>1</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6</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rPr>
                <w:sz w:val="18"/>
              </w:rPr>
            </w:pPr>
            <w:r>
              <w:rPr>
                <w:w w:val="99"/>
                <w:sz w:val="18"/>
              </w:rPr>
              <w:t>1</w:t>
            </w:r>
          </w:p>
        </w:tc>
        <w:tc>
          <w:tcPr>
            <w:tcW w:w="475" w:type="dxa"/>
          </w:tcPr>
          <w:p>
            <w:pPr>
              <w:pStyle w:val="TableParagraph"/>
              <w:spacing w:before="40"/>
              <w:ind w:right="131"/>
              <w:jc w:val="right"/>
              <w:rPr>
                <w:sz w:val="18"/>
              </w:rPr>
            </w:pPr>
            <w:r>
              <w:rPr>
                <w:w w:val="95"/>
                <w:sz w:val="18"/>
              </w:rPr>
              <w:t>35</w:t>
            </w:r>
          </w:p>
        </w:tc>
      </w:tr>
      <w:tr>
        <w:trPr>
          <w:trHeight w:val="399" w:hRule="exact"/>
        </w:trPr>
        <w:tc>
          <w:tcPr>
            <w:tcW w:w="4277" w:type="dxa"/>
          </w:tcPr>
          <w:p>
            <w:pPr>
              <w:pStyle w:val="TableParagraph"/>
              <w:spacing w:before="35"/>
              <w:ind w:left="64"/>
              <w:jc w:val="left"/>
              <w:rPr>
                <w:b/>
                <w:sz w:val="18"/>
              </w:rPr>
            </w:pPr>
            <w:r>
              <w:rPr>
                <w:b/>
                <w:sz w:val="18"/>
              </w:rPr>
              <w:t>SAN SIMON DE GUERRERO</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3</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84"/>
              <w:jc w:val="left"/>
              <w:rPr>
                <w:sz w:val="18"/>
              </w:rPr>
            </w:pPr>
            <w:r>
              <w:rPr>
                <w:w w:val="99"/>
                <w:sz w:val="18"/>
              </w:rPr>
              <w:t>0</w:t>
            </w:r>
          </w:p>
        </w:tc>
        <w:tc>
          <w:tcPr>
            <w:tcW w:w="459" w:type="dxa"/>
          </w:tcPr>
          <w:p>
            <w:pPr>
              <w:pStyle w:val="TableParagraph"/>
              <w:spacing w:before="40"/>
              <w:ind w:left="2"/>
              <w:rPr>
                <w:sz w:val="18"/>
              </w:rPr>
            </w:pPr>
            <w:r>
              <w:rPr>
                <w:w w:val="99"/>
                <w:sz w:val="18"/>
              </w:rPr>
              <w:t>0</w:t>
            </w:r>
          </w:p>
        </w:tc>
        <w:tc>
          <w:tcPr>
            <w:tcW w:w="456" w:type="dxa"/>
          </w:tcPr>
          <w:p>
            <w:pPr>
              <w:pStyle w:val="TableParagraph"/>
              <w:spacing w:before="40"/>
              <w:rPr>
                <w:sz w:val="18"/>
              </w:rPr>
            </w:pPr>
            <w:r>
              <w:rPr>
                <w:w w:val="99"/>
                <w:sz w:val="18"/>
              </w:rPr>
              <w:t>0</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right="171"/>
              <w:jc w:val="righ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rPr>
                <w:sz w:val="18"/>
              </w:rPr>
            </w:pPr>
            <w:r>
              <w:rPr>
                <w:w w:val="99"/>
                <w:sz w:val="18"/>
              </w:rPr>
              <w:t>0</w:t>
            </w:r>
          </w:p>
        </w:tc>
        <w:tc>
          <w:tcPr>
            <w:tcW w:w="475" w:type="dxa"/>
          </w:tcPr>
          <w:p>
            <w:pPr>
              <w:pStyle w:val="TableParagraph"/>
              <w:spacing w:before="40"/>
              <w:ind w:right="181"/>
              <w:jc w:val="right"/>
              <w:rPr>
                <w:sz w:val="18"/>
              </w:rPr>
            </w:pPr>
            <w:r>
              <w:rPr>
                <w:w w:val="99"/>
                <w:sz w:val="18"/>
              </w:rPr>
              <w:t>5</w:t>
            </w:r>
          </w:p>
        </w:tc>
      </w:tr>
      <w:tr>
        <w:trPr>
          <w:trHeight w:val="401" w:hRule="exact"/>
        </w:trPr>
        <w:tc>
          <w:tcPr>
            <w:tcW w:w="4277" w:type="dxa"/>
          </w:tcPr>
          <w:p>
            <w:pPr>
              <w:pStyle w:val="TableParagraph"/>
              <w:spacing w:before="35"/>
              <w:ind w:left="64"/>
              <w:jc w:val="left"/>
              <w:rPr>
                <w:b/>
                <w:sz w:val="18"/>
              </w:rPr>
            </w:pPr>
            <w:r>
              <w:rPr>
                <w:b/>
                <w:sz w:val="18"/>
              </w:rPr>
              <w:t>SANTO TOMAS</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3</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84"/>
              <w:jc w:val="left"/>
              <w:rPr>
                <w:sz w:val="18"/>
              </w:rPr>
            </w:pPr>
            <w:r>
              <w:rPr>
                <w:w w:val="99"/>
                <w:sz w:val="18"/>
              </w:rPr>
              <w:t>0</w:t>
            </w:r>
          </w:p>
        </w:tc>
        <w:tc>
          <w:tcPr>
            <w:tcW w:w="459" w:type="dxa"/>
          </w:tcPr>
          <w:p>
            <w:pPr>
              <w:pStyle w:val="TableParagraph"/>
              <w:spacing w:before="40"/>
              <w:ind w:left="2"/>
              <w:rPr>
                <w:sz w:val="18"/>
              </w:rPr>
            </w:pPr>
            <w:r>
              <w:rPr>
                <w:w w:val="99"/>
                <w:sz w:val="18"/>
              </w:rPr>
              <w:t>0</w:t>
            </w:r>
          </w:p>
        </w:tc>
        <w:tc>
          <w:tcPr>
            <w:tcW w:w="456" w:type="dxa"/>
          </w:tcPr>
          <w:p>
            <w:pPr>
              <w:pStyle w:val="TableParagraph"/>
              <w:spacing w:before="40"/>
              <w:rPr>
                <w:sz w:val="18"/>
              </w:rPr>
            </w:pPr>
            <w:r>
              <w:rPr>
                <w:w w:val="99"/>
                <w:sz w:val="18"/>
              </w:rPr>
              <w:t>0</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right="171"/>
              <w:jc w:val="righ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rPr>
                <w:sz w:val="18"/>
              </w:rPr>
            </w:pPr>
            <w:r>
              <w:rPr>
                <w:w w:val="99"/>
                <w:sz w:val="18"/>
              </w:rPr>
              <w:t>0</w:t>
            </w:r>
          </w:p>
        </w:tc>
        <w:tc>
          <w:tcPr>
            <w:tcW w:w="475" w:type="dxa"/>
          </w:tcPr>
          <w:p>
            <w:pPr>
              <w:pStyle w:val="TableParagraph"/>
              <w:spacing w:before="40"/>
              <w:ind w:right="181"/>
              <w:jc w:val="right"/>
              <w:rPr>
                <w:sz w:val="18"/>
              </w:rPr>
            </w:pPr>
            <w:r>
              <w:rPr>
                <w:w w:val="99"/>
                <w:sz w:val="18"/>
              </w:rPr>
              <w:t>5</w:t>
            </w:r>
          </w:p>
        </w:tc>
      </w:tr>
      <w:tr>
        <w:trPr>
          <w:trHeight w:val="401" w:hRule="exact"/>
        </w:trPr>
        <w:tc>
          <w:tcPr>
            <w:tcW w:w="4277" w:type="dxa"/>
          </w:tcPr>
          <w:p>
            <w:pPr>
              <w:pStyle w:val="TableParagraph"/>
              <w:spacing w:before="35"/>
              <w:ind w:left="64"/>
              <w:jc w:val="left"/>
              <w:rPr>
                <w:b/>
                <w:sz w:val="18"/>
              </w:rPr>
            </w:pPr>
            <w:r>
              <w:rPr>
                <w:b/>
                <w:sz w:val="18"/>
              </w:rPr>
              <w:t>SOYANIQUILPAN DE JUAREZ</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51" w:right="51"/>
              <w:rPr>
                <w:sz w:val="18"/>
              </w:rPr>
            </w:pPr>
            <w:r>
              <w:rPr>
                <w:sz w:val="18"/>
              </w:rPr>
              <w:t>88</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34"/>
              <w:jc w:val="left"/>
              <w:rPr>
                <w:sz w:val="18"/>
              </w:rPr>
            </w:pPr>
            <w:r>
              <w:rPr>
                <w:sz w:val="18"/>
              </w:rPr>
              <w:t>42</w:t>
            </w:r>
          </w:p>
        </w:tc>
        <w:tc>
          <w:tcPr>
            <w:tcW w:w="459" w:type="dxa"/>
          </w:tcPr>
          <w:p>
            <w:pPr>
              <w:pStyle w:val="TableParagraph"/>
              <w:spacing w:before="40"/>
              <w:ind w:left="105" w:right="104"/>
              <w:rPr>
                <w:sz w:val="18"/>
              </w:rPr>
            </w:pPr>
            <w:r>
              <w:rPr>
                <w:sz w:val="18"/>
              </w:rPr>
              <w:t>10</w:t>
            </w:r>
          </w:p>
        </w:tc>
        <w:tc>
          <w:tcPr>
            <w:tcW w:w="456" w:type="dxa"/>
          </w:tcPr>
          <w:p>
            <w:pPr>
              <w:pStyle w:val="TableParagraph"/>
              <w:spacing w:before="40"/>
              <w:ind w:left="51" w:right="51"/>
              <w:rPr>
                <w:sz w:val="18"/>
              </w:rPr>
            </w:pPr>
            <w:r>
              <w:rPr>
                <w:sz w:val="18"/>
              </w:rPr>
              <w:t>42</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right="171"/>
              <w:jc w:val="righ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rPr>
                <w:sz w:val="18"/>
              </w:rPr>
            </w:pPr>
            <w:r>
              <w:rPr>
                <w:w w:val="99"/>
                <w:sz w:val="18"/>
              </w:rPr>
              <w:t>1</w:t>
            </w:r>
          </w:p>
        </w:tc>
        <w:tc>
          <w:tcPr>
            <w:tcW w:w="475" w:type="dxa"/>
          </w:tcPr>
          <w:p>
            <w:pPr>
              <w:pStyle w:val="TableParagraph"/>
              <w:spacing w:before="40"/>
              <w:ind w:right="79"/>
              <w:jc w:val="right"/>
              <w:rPr>
                <w:sz w:val="18"/>
              </w:rPr>
            </w:pPr>
            <w:r>
              <w:rPr>
                <w:w w:val="95"/>
                <w:sz w:val="18"/>
              </w:rPr>
              <w:t>185</w:t>
            </w:r>
          </w:p>
        </w:tc>
      </w:tr>
      <w:tr>
        <w:trPr>
          <w:trHeight w:val="398" w:hRule="exact"/>
        </w:trPr>
        <w:tc>
          <w:tcPr>
            <w:tcW w:w="4277" w:type="dxa"/>
          </w:tcPr>
          <w:p>
            <w:pPr>
              <w:pStyle w:val="TableParagraph"/>
              <w:spacing w:before="35"/>
              <w:ind w:left="64"/>
              <w:jc w:val="left"/>
              <w:rPr>
                <w:b/>
                <w:sz w:val="18"/>
              </w:rPr>
            </w:pPr>
            <w:r>
              <w:rPr>
                <w:b/>
                <w:sz w:val="18"/>
              </w:rPr>
              <w:t>SULTEPEC</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4</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84"/>
              <w:jc w:val="left"/>
              <w:rPr>
                <w:sz w:val="18"/>
              </w:rPr>
            </w:pPr>
            <w:r>
              <w:rPr>
                <w:w w:val="99"/>
                <w:sz w:val="18"/>
              </w:rPr>
              <w:t>6</w:t>
            </w:r>
          </w:p>
        </w:tc>
        <w:tc>
          <w:tcPr>
            <w:tcW w:w="459" w:type="dxa"/>
          </w:tcPr>
          <w:p>
            <w:pPr>
              <w:pStyle w:val="TableParagraph"/>
              <w:spacing w:before="40"/>
              <w:ind w:left="2"/>
              <w:rPr>
                <w:sz w:val="18"/>
              </w:rPr>
            </w:pPr>
            <w:r>
              <w:rPr>
                <w:w w:val="99"/>
                <w:sz w:val="18"/>
              </w:rPr>
              <w:t>5</w:t>
            </w:r>
          </w:p>
        </w:tc>
        <w:tc>
          <w:tcPr>
            <w:tcW w:w="456" w:type="dxa"/>
          </w:tcPr>
          <w:p>
            <w:pPr>
              <w:pStyle w:val="TableParagraph"/>
              <w:spacing w:before="40"/>
              <w:rPr>
                <w:sz w:val="18"/>
              </w:rPr>
            </w:pPr>
            <w:r>
              <w:rPr>
                <w:w w:val="99"/>
                <w:sz w:val="18"/>
              </w:rPr>
              <w:t>5</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right="171"/>
              <w:jc w:val="righ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rPr>
                <w:sz w:val="18"/>
              </w:rPr>
            </w:pPr>
            <w:r>
              <w:rPr>
                <w:w w:val="99"/>
                <w:sz w:val="18"/>
              </w:rPr>
              <w:t>0</w:t>
            </w:r>
          </w:p>
        </w:tc>
        <w:tc>
          <w:tcPr>
            <w:tcW w:w="475" w:type="dxa"/>
          </w:tcPr>
          <w:p>
            <w:pPr>
              <w:pStyle w:val="TableParagraph"/>
              <w:spacing w:before="40"/>
              <w:ind w:right="131"/>
              <w:jc w:val="right"/>
              <w:rPr>
                <w:sz w:val="18"/>
              </w:rPr>
            </w:pPr>
            <w:r>
              <w:rPr>
                <w:w w:val="95"/>
                <w:sz w:val="18"/>
              </w:rPr>
              <w:t>22</w:t>
            </w:r>
          </w:p>
        </w:tc>
      </w:tr>
      <w:tr>
        <w:trPr>
          <w:trHeight w:val="401" w:hRule="exact"/>
        </w:trPr>
        <w:tc>
          <w:tcPr>
            <w:tcW w:w="4277" w:type="dxa"/>
          </w:tcPr>
          <w:p>
            <w:pPr>
              <w:pStyle w:val="TableParagraph"/>
              <w:spacing w:before="35"/>
              <w:ind w:left="64"/>
              <w:jc w:val="left"/>
              <w:rPr>
                <w:b/>
                <w:sz w:val="18"/>
              </w:rPr>
            </w:pPr>
            <w:r>
              <w:rPr>
                <w:b/>
                <w:sz w:val="18"/>
              </w:rPr>
              <w:t>TECAMAC</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9</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34"/>
              <w:jc w:val="left"/>
              <w:rPr>
                <w:sz w:val="18"/>
              </w:rPr>
            </w:pPr>
            <w:r>
              <w:rPr>
                <w:sz w:val="18"/>
              </w:rPr>
              <w:t>28</w:t>
            </w:r>
          </w:p>
        </w:tc>
        <w:tc>
          <w:tcPr>
            <w:tcW w:w="459" w:type="dxa"/>
          </w:tcPr>
          <w:p>
            <w:pPr>
              <w:pStyle w:val="TableParagraph"/>
              <w:spacing w:before="40"/>
              <w:ind w:left="105" w:right="104"/>
              <w:rPr>
                <w:sz w:val="18"/>
              </w:rPr>
            </w:pPr>
            <w:r>
              <w:rPr>
                <w:sz w:val="18"/>
              </w:rPr>
              <w:t>15</w:t>
            </w:r>
          </w:p>
        </w:tc>
        <w:tc>
          <w:tcPr>
            <w:tcW w:w="456" w:type="dxa"/>
          </w:tcPr>
          <w:p>
            <w:pPr>
              <w:pStyle w:val="TableParagraph"/>
              <w:spacing w:before="40"/>
              <w:rPr>
                <w:sz w:val="18"/>
              </w:rPr>
            </w:pPr>
            <w:r>
              <w:rPr>
                <w:w w:val="99"/>
                <w:sz w:val="18"/>
              </w:rPr>
              <w:t>7</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right="171"/>
              <w:jc w:val="right"/>
              <w:rPr>
                <w:sz w:val="18"/>
              </w:rPr>
            </w:pPr>
            <w:r>
              <w:rPr>
                <w:w w:val="99"/>
                <w:sz w:val="18"/>
              </w:rPr>
              <w:t>1</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rPr>
                <w:sz w:val="18"/>
              </w:rPr>
            </w:pPr>
            <w:r>
              <w:rPr>
                <w:w w:val="99"/>
                <w:sz w:val="18"/>
              </w:rPr>
              <w:t>0</w:t>
            </w:r>
          </w:p>
        </w:tc>
        <w:tc>
          <w:tcPr>
            <w:tcW w:w="475" w:type="dxa"/>
          </w:tcPr>
          <w:p>
            <w:pPr>
              <w:pStyle w:val="TableParagraph"/>
              <w:spacing w:before="40"/>
              <w:ind w:right="131"/>
              <w:jc w:val="right"/>
              <w:rPr>
                <w:sz w:val="18"/>
              </w:rPr>
            </w:pPr>
            <w:r>
              <w:rPr>
                <w:w w:val="95"/>
                <w:sz w:val="18"/>
              </w:rPr>
              <w:t>62</w:t>
            </w:r>
          </w:p>
        </w:tc>
      </w:tr>
      <w:tr>
        <w:trPr>
          <w:trHeight w:val="401" w:hRule="exact"/>
        </w:trPr>
        <w:tc>
          <w:tcPr>
            <w:tcW w:w="4277" w:type="dxa"/>
          </w:tcPr>
          <w:p>
            <w:pPr>
              <w:pStyle w:val="TableParagraph"/>
              <w:spacing w:before="35"/>
              <w:ind w:left="64"/>
              <w:jc w:val="left"/>
              <w:rPr>
                <w:b/>
                <w:sz w:val="18"/>
              </w:rPr>
            </w:pPr>
            <w:r>
              <w:rPr>
                <w:b/>
                <w:sz w:val="18"/>
              </w:rPr>
              <w:t>TEJUPILCO</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3</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84"/>
              <w:jc w:val="left"/>
              <w:rPr>
                <w:sz w:val="18"/>
              </w:rPr>
            </w:pPr>
            <w:r>
              <w:rPr>
                <w:w w:val="99"/>
                <w:sz w:val="18"/>
              </w:rPr>
              <w:t>2</w:t>
            </w:r>
          </w:p>
        </w:tc>
        <w:tc>
          <w:tcPr>
            <w:tcW w:w="459" w:type="dxa"/>
          </w:tcPr>
          <w:p>
            <w:pPr>
              <w:pStyle w:val="TableParagraph"/>
              <w:spacing w:before="40"/>
              <w:ind w:left="2"/>
              <w:rPr>
                <w:sz w:val="18"/>
              </w:rPr>
            </w:pPr>
            <w:r>
              <w:rPr>
                <w:w w:val="99"/>
                <w:sz w:val="18"/>
              </w:rPr>
              <w:t>3</w:t>
            </w:r>
          </w:p>
        </w:tc>
        <w:tc>
          <w:tcPr>
            <w:tcW w:w="456" w:type="dxa"/>
          </w:tcPr>
          <w:p>
            <w:pPr>
              <w:pStyle w:val="TableParagraph"/>
              <w:spacing w:before="40"/>
              <w:ind w:left="51" w:right="51"/>
              <w:rPr>
                <w:sz w:val="18"/>
              </w:rPr>
            </w:pPr>
            <w:r>
              <w:rPr>
                <w:sz w:val="18"/>
              </w:rPr>
              <w:t>18</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right="171"/>
              <w:jc w:val="right"/>
              <w:rPr>
                <w:sz w:val="18"/>
              </w:rPr>
            </w:pPr>
            <w:r>
              <w:rPr>
                <w:w w:val="99"/>
                <w:sz w:val="18"/>
              </w:rPr>
              <w:t>0</w:t>
            </w:r>
          </w:p>
        </w:tc>
        <w:tc>
          <w:tcPr>
            <w:tcW w:w="684" w:type="dxa"/>
          </w:tcPr>
          <w:p>
            <w:pPr>
              <w:pStyle w:val="TableParagraph"/>
              <w:spacing w:before="40"/>
              <w:ind w:left="285"/>
              <w:jc w:val="left"/>
              <w:rPr>
                <w:sz w:val="18"/>
              </w:rPr>
            </w:pPr>
            <w:r>
              <w:rPr>
                <w:w w:val="99"/>
                <w:sz w:val="18"/>
              </w:rPr>
              <w:t>1</w:t>
            </w:r>
          </w:p>
        </w:tc>
        <w:tc>
          <w:tcPr>
            <w:tcW w:w="646" w:type="dxa"/>
          </w:tcPr>
          <w:p>
            <w:pPr>
              <w:pStyle w:val="TableParagraph"/>
              <w:spacing w:before="40"/>
              <w:ind w:right="267"/>
              <w:jc w:val="right"/>
              <w:rPr>
                <w:sz w:val="18"/>
              </w:rPr>
            </w:pPr>
            <w:r>
              <w:rPr>
                <w:w w:val="99"/>
                <w:sz w:val="18"/>
              </w:rPr>
              <w:t>2</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rPr>
                <w:sz w:val="18"/>
              </w:rPr>
            </w:pPr>
            <w:r>
              <w:rPr>
                <w:w w:val="99"/>
                <w:sz w:val="18"/>
              </w:rPr>
              <w:t>0</w:t>
            </w:r>
          </w:p>
        </w:tc>
        <w:tc>
          <w:tcPr>
            <w:tcW w:w="475" w:type="dxa"/>
          </w:tcPr>
          <w:p>
            <w:pPr>
              <w:pStyle w:val="TableParagraph"/>
              <w:spacing w:before="40"/>
              <w:ind w:right="131"/>
              <w:jc w:val="right"/>
              <w:rPr>
                <w:sz w:val="18"/>
              </w:rPr>
            </w:pPr>
            <w:r>
              <w:rPr>
                <w:w w:val="95"/>
                <w:sz w:val="18"/>
              </w:rPr>
              <w:t>31</w:t>
            </w:r>
          </w:p>
        </w:tc>
      </w:tr>
      <w:tr>
        <w:trPr>
          <w:trHeight w:val="398" w:hRule="exact"/>
        </w:trPr>
        <w:tc>
          <w:tcPr>
            <w:tcW w:w="4277" w:type="dxa"/>
          </w:tcPr>
          <w:p>
            <w:pPr>
              <w:pStyle w:val="TableParagraph"/>
              <w:spacing w:before="35"/>
              <w:ind w:left="64"/>
              <w:jc w:val="left"/>
              <w:rPr>
                <w:b/>
                <w:sz w:val="18"/>
              </w:rPr>
            </w:pPr>
            <w:r>
              <w:rPr>
                <w:b/>
                <w:sz w:val="18"/>
              </w:rPr>
              <w:t>TEMAMATLA</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4</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34"/>
              <w:jc w:val="left"/>
              <w:rPr>
                <w:sz w:val="18"/>
              </w:rPr>
            </w:pPr>
            <w:r>
              <w:rPr>
                <w:sz w:val="18"/>
              </w:rPr>
              <w:t>19</w:t>
            </w:r>
          </w:p>
        </w:tc>
        <w:tc>
          <w:tcPr>
            <w:tcW w:w="459" w:type="dxa"/>
          </w:tcPr>
          <w:p>
            <w:pPr>
              <w:pStyle w:val="TableParagraph"/>
              <w:spacing w:before="40"/>
              <w:ind w:left="2"/>
              <w:rPr>
                <w:sz w:val="18"/>
              </w:rPr>
            </w:pPr>
            <w:r>
              <w:rPr>
                <w:w w:val="99"/>
                <w:sz w:val="18"/>
              </w:rPr>
              <w:t>7</w:t>
            </w:r>
          </w:p>
        </w:tc>
        <w:tc>
          <w:tcPr>
            <w:tcW w:w="456" w:type="dxa"/>
          </w:tcPr>
          <w:p>
            <w:pPr>
              <w:pStyle w:val="TableParagraph"/>
              <w:spacing w:before="40"/>
              <w:rPr>
                <w:sz w:val="18"/>
              </w:rPr>
            </w:pPr>
            <w:r>
              <w:rPr>
                <w:w w:val="99"/>
                <w:sz w:val="18"/>
              </w:rPr>
              <w:t>6</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right="171"/>
              <w:jc w:val="right"/>
              <w:rPr>
                <w:sz w:val="18"/>
              </w:rPr>
            </w:pPr>
            <w:r>
              <w:rPr>
                <w:w w:val="99"/>
                <w:sz w:val="18"/>
              </w:rPr>
              <w:t>1</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1</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rPr>
                <w:sz w:val="18"/>
              </w:rPr>
            </w:pPr>
            <w:r>
              <w:rPr>
                <w:w w:val="99"/>
                <w:sz w:val="18"/>
              </w:rPr>
              <w:t>4</w:t>
            </w:r>
          </w:p>
        </w:tc>
        <w:tc>
          <w:tcPr>
            <w:tcW w:w="475" w:type="dxa"/>
          </w:tcPr>
          <w:p>
            <w:pPr>
              <w:pStyle w:val="TableParagraph"/>
              <w:spacing w:before="40"/>
              <w:ind w:right="131"/>
              <w:jc w:val="right"/>
              <w:rPr>
                <w:sz w:val="18"/>
              </w:rPr>
            </w:pPr>
            <w:r>
              <w:rPr>
                <w:w w:val="95"/>
                <w:sz w:val="18"/>
              </w:rPr>
              <w:t>44</w:t>
            </w:r>
          </w:p>
        </w:tc>
      </w:tr>
      <w:tr>
        <w:trPr>
          <w:trHeight w:val="401" w:hRule="exact"/>
        </w:trPr>
        <w:tc>
          <w:tcPr>
            <w:tcW w:w="4277" w:type="dxa"/>
          </w:tcPr>
          <w:p>
            <w:pPr>
              <w:pStyle w:val="TableParagraph"/>
              <w:spacing w:before="35"/>
              <w:ind w:left="64"/>
              <w:jc w:val="left"/>
              <w:rPr>
                <w:b/>
                <w:sz w:val="18"/>
              </w:rPr>
            </w:pPr>
            <w:r>
              <w:rPr>
                <w:b/>
                <w:sz w:val="18"/>
              </w:rPr>
              <w:t>TEMASCALAPA</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6</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84"/>
              <w:jc w:val="left"/>
              <w:rPr>
                <w:sz w:val="18"/>
              </w:rPr>
            </w:pPr>
            <w:r>
              <w:rPr>
                <w:w w:val="99"/>
                <w:sz w:val="18"/>
              </w:rPr>
              <w:t>5</w:t>
            </w:r>
          </w:p>
        </w:tc>
        <w:tc>
          <w:tcPr>
            <w:tcW w:w="459" w:type="dxa"/>
          </w:tcPr>
          <w:p>
            <w:pPr>
              <w:pStyle w:val="TableParagraph"/>
              <w:spacing w:before="40"/>
              <w:ind w:left="2"/>
              <w:rPr>
                <w:sz w:val="18"/>
              </w:rPr>
            </w:pPr>
            <w:r>
              <w:rPr>
                <w:w w:val="99"/>
                <w:sz w:val="18"/>
              </w:rPr>
              <w:t>6</w:t>
            </w:r>
          </w:p>
        </w:tc>
        <w:tc>
          <w:tcPr>
            <w:tcW w:w="456" w:type="dxa"/>
          </w:tcPr>
          <w:p>
            <w:pPr>
              <w:pStyle w:val="TableParagraph"/>
              <w:spacing w:before="40"/>
              <w:ind w:left="51" w:right="51"/>
              <w:rPr>
                <w:sz w:val="18"/>
              </w:rPr>
            </w:pPr>
            <w:r>
              <w:rPr>
                <w:sz w:val="18"/>
              </w:rPr>
              <w:t>17</w:t>
            </w:r>
          </w:p>
        </w:tc>
        <w:tc>
          <w:tcPr>
            <w:tcW w:w="458" w:type="dxa"/>
          </w:tcPr>
          <w:p>
            <w:pPr>
              <w:pStyle w:val="TableParagraph"/>
              <w:spacing w:before="40"/>
              <w:ind w:left="1"/>
              <w:rPr>
                <w:sz w:val="18"/>
              </w:rPr>
            </w:pPr>
            <w:r>
              <w:rPr>
                <w:w w:val="99"/>
                <w:sz w:val="18"/>
              </w:rPr>
              <w:t>2</w:t>
            </w:r>
          </w:p>
        </w:tc>
        <w:tc>
          <w:tcPr>
            <w:tcW w:w="456" w:type="dxa"/>
          </w:tcPr>
          <w:p>
            <w:pPr>
              <w:pStyle w:val="TableParagraph"/>
              <w:spacing w:before="40"/>
              <w:ind w:right="171"/>
              <w:jc w:val="right"/>
              <w:rPr>
                <w:sz w:val="18"/>
              </w:rPr>
            </w:pPr>
            <w:r>
              <w:rPr>
                <w:w w:val="99"/>
                <w:sz w:val="18"/>
              </w:rPr>
              <w:t>0</w:t>
            </w:r>
          </w:p>
        </w:tc>
        <w:tc>
          <w:tcPr>
            <w:tcW w:w="684" w:type="dxa"/>
          </w:tcPr>
          <w:p>
            <w:pPr>
              <w:pStyle w:val="TableParagraph"/>
              <w:spacing w:before="40"/>
              <w:ind w:left="285"/>
              <w:jc w:val="left"/>
              <w:rPr>
                <w:sz w:val="18"/>
              </w:rPr>
            </w:pPr>
            <w:r>
              <w:rPr>
                <w:w w:val="99"/>
                <w:sz w:val="18"/>
              </w:rPr>
              <w:t>1</w:t>
            </w:r>
          </w:p>
        </w:tc>
        <w:tc>
          <w:tcPr>
            <w:tcW w:w="646" w:type="dxa"/>
          </w:tcPr>
          <w:p>
            <w:pPr>
              <w:pStyle w:val="TableParagraph"/>
              <w:spacing w:before="40"/>
              <w:ind w:right="267"/>
              <w:jc w:val="right"/>
              <w:rPr>
                <w:sz w:val="18"/>
              </w:rPr>
            </w:pPr>
            <w:r>
              <w:rPr>
                <w:w w:val="99"/>
                <w:sz w:val="18"/>
              </w:rPr>
              <w:t>9</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rPr>
                <w:sz w:val="18"/>
              </w:rPr>
            </w:pPr>
            <w:r>
              <w:rPr>
                <w:w w:val="99"/>
                <w:sz w:val="18"/>
              </w:rPr>
              <w:t>0</w:t>
            </w:r>
          </w:p>
        </w:tc>
        <w:tc>
          <w:tcPr>
            <w:tcW w:w="475" w:type="dxa"/>
          </w:tcPr>
          <w:p>
            <w:pPr>
              <w:pStyle w:val="TableParagraph"/>
              <w:spacing w:before="40"/>
              <w:ind w:right="131"/>
              <w:jc w:val="right"/>
              <w:rPr>
                <w:sz w:val="18"/>
              </w:rPr>
            </w:pPr>
            <w:r>
              <w:rPr>
                <w:w w:val="95"/>
                <w:sz w:val="18"/>
              </w:rPr>
              <w:t>48</w:t>
            </w:r>
          </w:p>
        </w:tc>
      </w:tr>
      <w:tr>
        <w:trPr>
          <w:trHeight w:val="401" w:hRule="exact"/>
        </w:trPr>
        <w:tc>
          <w:tcPr>
            <w:tcW w:w="4277" w:type="dxa"/>
          </w:tcPr>
          <w:p>
            <w:pPr>
              <w:pStyle w:val="TableParagraph"/>
              <w:spacing w:before="35"/>
              <w:ind w:left="64"/>
              <w:jc w:val="left"/>
              <w:rPr>
                <w:b/>
                <w:sz w:val="18"/>
              </w:rPr>
            </w:pPr>
            <w:r>
              <w:rPr>
                <w:b/>
                <w:sz w:val="18"/>
              </w:rPr>
              <w:t>TEMASCALCINGO</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4</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84"/>
              <w:jc w:val="left"/>
              <w:rPr>
                <w:sz w:val="18"/>
              </w:rPr>
            </w:pPr>
            <w:r>
              <w:rPr>
                <w:w w:val="99"/>
                <w:sz w:val="18"/>
              </w:rPr>
              <w:t>9</w:t>
            </w:r>
          </w:p>
        </w:tc>
        <w:tc>
          <w:tcPr>
            <w:tcW w:w="459" w:type="dxa"/>
          </w:tcPr>
          <w:p>
            <w:pPr>
              <w:pStyle w:val="TableParagraph"/>
              <w:spacing w:before="40"/>
              <w:ind w:left="2"/>
              <w:rPr>
                <w:sz w:val="18"/>
              </w:rPr>
            </w:pPr>
            <w:r>
              <w:rPr>
                <w:w w:val="99"/>
                <w:sz w:val="18"/>
              </w:rPr>
              <w:t>3</w:t>
            </w:r>
          </w:p>
        </w:tc>
        <w:tc>
          <w:tcPr>
            <w:tcW w:w="456" w:type="dxa"/>
          </w:tcPr>
          <w:p>
            <w:pPr>
              <w:pStyle w:val="TableParagraph"/>
              <w:spacing w:before="40"/>
              <w:ind w:left="51" w:right="51"/>
              <w:rPr>
                <w:sz w:val="18"/>
              </w:rPr>
            </w:pPr>
            <w:r>
              <w:rPr>
                <w:sz w:val="18"/>
              </w:rPr>
              <w:t>16</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right="171"/>
              <w:jc w:val="right"/>
              <w:rPr>
                <w:sz w:val="18"/>
              </w:rPr>
            </w:pPr>
            <w:r>
              <w:rPr>
                <w:w w:val="99"/>
                <w:sz w:val="18"/>
              </w:rPr>
              <w:t>3</w:t>
            </w:r>
          </w:p>
        </w:tc>
        <w:tc>
          <w:tcPr>
            <w:tcW w:w="684" w:type="dxa"/>
          </w:tcPr>
          <w:p>
            <w:pPr>
              <w:pStyle w:val="TableParagraph"/>
              <w:spacing w:before="40"/>
              <w:ind w:left="285"/>
              <w:jc w:val="left"/>
              <w:rPr>
                <w:sz w:val="18"/>
              </w:rPr>
            </w:pPr>
            <w:r>
              <w:rPr>
                <w:w w:val="99"/>
                <w:sz w:val="18"/>
              </w:rPr>
              <w:t>2</w:t>
            </w:r>
          </w:p>
        </w:tc>
        <w:tc>
          <w:tcPr>
            <w:tcW w:w="646" w:type="dxa"/>
          </w:tcPr>
          <w:p>
            <w:pPr>
              <w:pStyle w:val="TableParagraph"/>
              <w:spacing w:before="40"/>
              <w:ind w:right="215"/>
              <w:jc w:val="right"/>
              <w:rPr>
                <w:sz w:val="18"/>
              </w:rPr>
            </w:pPr>
            <w:r>
              <w:rPr>
                <w:w w:val="95"/>
                <w:sz w:val="18"/>
              </w:rPr>
              <w:t>23</w:t>
            </w:r>
          </w:p>
        </w:tc>
        <w:tc>
          <w:tcPr>
            <w:tcW w:w="456" w:type="dxa"/>
            <w:tcBorders>
              <w:right w:val="single" w:sz="4" w:space="0" w:color="000000"/>
            </w:tcBorders>
          </w:tcPr>
          <w:p>
            <w:pPr>
              <w:pStyle w:val="TableParagraph"/>
              <w:spacing w:before="40"/>
              <w:rPr>
                <w:sz w:val="18"/>
              </w:rPr>
            </w:pPr>
            <w:r>
              <w:rPr>
                <w:w w:val="99"/>
                <w:sz w:val="18"/>
              </w:rPr>
              <w:t>2</w:t>
            </w:r>
          </w:p>
        </w:tc>
        <w:tc>
          <w:tcPr>
            <w:tcW w:w="852" w:type="dxa"/>
            <w:tcBorders>
              <w:left w:val="single" w:sz="4" w:space="0" w:color="000000"/>
            </w:tcBorders>
          </w:tcPr>
          <w:p>
            <w:pPr>
              <w:pStyle w:val="TableParagraph"/>
              <w:spacing w:before="40"/>
              <w:ind w:left="1"/>
              <w:rPr>
                <w:sz w:val="18"/>
              </w:rPr>
            </w:pPr>
            <w:r>
              <w:rPr>
                <w:w w:val="99"/>
                <w:sz w:val="18"/>
              </w:rPr>
              <w:t>1</w:t>
            </w:r>
          </w:p>
        </w:tc>
        <w:tc>
          <w:tcPr>
            <w:tcW w:w="475" w:type="dxa"/>
          </w:tcPr>
          <w:p>
            <w:pPr>
              <w:pStyle w:val="TableParagraph"/>
              <w:spacing w:before="40"/>
              <w:rPr>
                <w:sz w:val="18"/>
              </w:rPr>
            </w:pPr>
            <w:r>
              <w:rPr>
                <w:w w:val="99"/>
                <w:sz w:val="18"/>
              </w:rPr>
              <w:t>1</w:t>
            </w:r>
          </w:p>
        </w:tc>
        <w:tc>
          <w:tcPr>
            <w:tcW w:w="475" w:type="dxa"/>
          </w:tcPr>
          <w:p>
            <w:pPr>
              <w:pStyle w:val="TableParagraph"/>
              <w:spacing w:before="40"/>
              <w:ind w:right="131"/>
              <w:jc w:val="right"/>
              <w:rPr>
                <w:sz w:val="18"/>
              </w:rPr>
            </w:pPr>
            <w:r>
              <w:rPr>
                <w:w w:val="95"/>
                <w:sz w:val="18"/>
              </w:rPr>
              <w:t>66</w:t>
            </w:r>
          </w:p>
        </w:tc>
      </w:tr>
      <w:tr>
        <w:trPr>
          <w:trHeight w:val="398" w:hRule="exact"/>
        </w:trPr>
        <w:tc>
          <w:tcPr>
            <w:tcW w:w="4277" w:type="dxa"/>
          </w:tcPr>
          <w:p>
            <w:pPr>
              <w:pStyle w:val="TableParagraph"/>
              <w:spacing w:before="35"/>
              <w:ind w:left="64"/>
              <w:jc w:val="left"/>
              <w:rPr>
                <w:b/>
                <w:sz w:val="18"/>
              </w:rPr>
            </w:pPr>
            <w:r>
              <w:rPr>
                <w:b/>
                <w:sz w:val="18"/>
              </w:rPr>
              <w:t>TEMASCALTEPEC</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3</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84"/>
              <w:jc w:val="left"/>
              <w:rPr>
                <w:sz w:val="18"/>
              </w:rPr>
            </w:pPr>
            <w:r>
              <w:rPr>
                <w:w w:val="99"/>
                <w:sz w:val="18"/>
              </w:rPr>
              <w:t>0</w:t>
            </w:r>
          </w:p>
        </w:tc>
        <w:tc>
          <w:tcPr>
            <w:tcW w:w="459" w:type="dxa"/>
          </w:tcPr>
          <w:p>
            <w:pPr>
              <w:pStyle w:val="TableParagraph"/>
              <w:spacing w:before="40"/>
              <w:ind w:left="2"/>
              <w:rPr>
                <w:sz w:val="18"/>
              </w:rPr>
            </w:pPr>
            <w:r>
              <w:rPr>
                <w:w w:val="99"/>
                <w:sz w:val="18"/>
              </w:rPr>
              <w:t>0</w:t>
            </w:r>
          </w:p>
        </w:tc>
        <w:tc>
          <w:tcPr>
            <w:tcW w:w="456" w:type="dxa"/>
          </w:tcPr>
          <w:p>
            <w:pPr>
              <w:pStyle w:val="TableParagraph"/>
              <w:spacing w:before="40"/>
              <w:rPr>
                <w:sz w:val="18"/>
              </w:rPr>
            </w:pPr>
            <w:r>
              <w:rPr>
                <w:w w:val="99"/>
                <w:sz w:val="18"/>
              </w:rPr>
              <w:t>0</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right="171"/>
              <w:jc w:val="righ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rPr>
                <w:sz w:val="18"/>
              </w:rPr>
            </w:pPr>
            <w:r>
              <w:rPr>
                <w:w w:val="99"/>
                <w:sz w:val="18"/>
              </w:rPr>
              <w:t>0</w:t>
            </w:r>
          </w:p>
        </w:tc>
        <w:tc>
          <w:tcPr>
            <w:tcW w:w="475" w:type="dxa"/>
          </w:tcPr>
          <w:p>
            <w:pPr>
              <w:pStyle w:val="TableParagraph"/>
              <w:spacing w:before="40"/>
              <w:ind w:right="181"/>
              <w:jc w:val="right"/>
              <w:rPr>
                <w:sz w:val="18"/>
              </w:rPr>
            </w:pPr>
            <w:r>
              <w:rPr>
                <w:w w:val="99"/>
                <w:sz w:val="18"/>
              </w:rPr>
              <w:t>5</w:t>
            </w:r>
          </w:p>
        </w:tc>
      </w:tr>
      <w:tr>
        <w:trPr>
          <w:trHeight w:val="401" w:hRule="exact"/>
        </w:trPr>
        <w:tc>
          <w:tcPr>
            <w:tcW w:w="4277" w:type="dxa"/>
          </w:tcPr>
          <w:p>
            <w:pPr>
              <w:pStyle w:val="TableParagraph"/>
              <w:spacing w:before="35"/>
              <w:ind w:left="64"/>
              <w:jc w:val="left"/>
              <w:rPr>
                <w:b/>
                <w:sz w:val="18"/>
              </w:rPr>
            </w:pPr>
            <w:r>
              <w:rPr>
                <w:b/>
                <w:sz w:val="18"/>
              </w:rPr>
              <w:t>TEMOAYA</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9</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34"/>
              <w:jc w:val="left"/>
              <w:rPr>
                <w:sz w:val="18"/>
              </w:rPr>
            </w:pPr>
            <w:r>
              <w:rPr>
                <w:sz w:val="18"/>
              </w:rPr>
              <w:t>26</w:t>
            </w:r>
          </w:p>
        </w:tc>
        <w:tc>
          <w:tcPr>
            <w:tcW w:w="459" w:type="dxa"/>
          </w:tcPr>
          <w:p>
            <w:pPr>
              <w:pStyle w:val="TableParagraph"/>
              <w:spacing w:before="40"/>
              <w:ind w:left="2"/>
              <w:rPr>
                <w:sz w:val="18"/>
              </w:rPr>
            </w:pPr>
            <w:r>
              <w:rPr>
                <w:w w:val="99"/>
                <w:sz w:val="18"/>
              </w:rPr>
              <w:t>7</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right="171"/>
              <w:jc w:val="right"/>
              <w:rPr>
                <w:sz w:val="18"/>
              </w:rPr>
            </w:pPr>
            <w:r>
              <w:rPr>
                <w:w w:val="99"/>
                <w:sz w:val="18"/>
              </w:rPr>
              <w:t>0</w:t>
            </w:r>
          </w:p>
        </w:tc>
        <w:tc>
          <w:tcPr>
            <w:tcW w:w="684" w:type="dxa"/>
          </w:tcPr>
          <w:p>
            <w:pPr>
              <w:pStyle w:val="TableParagraph"/>
              <w:spacing w:before="40"/>
              <w:ind w:left="285"/>
              <w:jc w:val="left"/>
              <w:rPr>
                <w:sz w:val="18"/>
              </w:rPr>
            </w:pPr>
            <w:r>
              <w:rPr>
                <w:w w:val="99"/>
                <w:sz w:val="18"/>
              </w:rPr>
              <w:t>1</w:t>
            </w:r>
          </w:p>
        </w:tc>
        <w:tc>
          <w:tcPr>
            <w:tcW w:w="646" w:type="dxa"/>
          </w:tcPr>
          <w:p>
            <w:pPr>
              <w:pStyle w:val="TableParagraph"/>
              <w:spacing w:before="40"/>
              <w:ind w:right="267"/>
              <w:jc w:val="right"/>
              <w:rPr>
                <w:sz w:val="18"/>
              </w:rPr>
            </w:pPr>
            <w:r>
              <w:rPr>
                <w:w w:val="99"/>
                <w:sz w:val="18"/>
              </w:rPr>
              <w:t>1</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rPr>
                <w:sz w:val="18"/>
              </w:rPr>
            </w:pPr>
            <w:r>
              <w:rPr>
                <w:w w:val="99"/>
                <w:sz w:val="18"/>
              </w:rPr>
              <w:t>2</w:t>
            </w:r>
          </w:p>
        </w:tc>
        <w:tc>
          <w:tcPr>
            <w:tcW w:w="475" w:type="dxa"/>
          </w:tcPr>
          <w:p>
            <w:pPr>
              <w:pStyle w:val="TableParagraph"/>
              <w:spacing w:before="40"/>
              <w:ind w:right="131"/>
              <w:jc w:val="right"/>
              <w:rPr>
                <w:sz w:val="18"/>
              </w:rPr>
            </w:pPr>
            <w:r>
              <w:rPr>
                <w:w w:val="95"/>
                <w:sz w:val="18"/>
              </w:rPr>
              <w:t>49</w:t>
            </w:r>
          </w:p>
        </w:tc>
      </w:tr>
      <w:tr>
        <w:trPr>
          <w:trHeight w:val="401" w:hRule="exact"/>
        </w:trPr>
        <w:tc>
          <w:tcPr>
            <w:tcW w:w="4277" w:type="dxa"/>
          </w:tcPr>
          <w:p>
            <w:pPr>
              <w:pStyle w:val="TableParagraph"/>
              <w:spacing w:before="35"/>
              <w:ind w:left="64"/>
              <w:jc w:val="left"/>
              <w:rPr>
                <w:b/>
                <w:sz w:val="18"/>
              </w:rPr>
            </w:pPr>
            <w:r>
              <w:rPr>
                <w:b/>
                <w:sz w:val="18"/>
              </w:rPr>
              <w:t>TENANCINGO</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6</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34"/>
              <w:jc w:val="left"/>
              <w:rPr>
                <w:sz w:val="18"/>
              </w:rPr>
            </w:pPr>
            <w:r>
              <w:rPr>
                <w:sz w:val="18"/>
              </w:rPr>
              <w:t>20</w:t>
            </w:r>
          </w:p>
        </w:tc>
        <w:tc>
          <w:tcPr>
            <w:tcW w:w="459" w:type="dxa"/>
          </w:tcPr>
          <w:p>
            <w:pPr>
              <w:pStyle w:val="TableParagraph"/>
              <w:spacing w:before="40"/>
              <w:ind w:left="2"/>
              <w:rPr>
                <w:sz w:val="18"/>
              </w:rPr>
            </w:pPr>
            <w:r>
              <w:rPr>
                <w:w w:val="99"/>
                <w:sz w:val="18"/>
              </w:rPr>
              <w:t>4</w:t>
            </w:r>
          </w:p>
        </w:tc>
        <w:tc>
          <w:tcPr>
            <w:tcW w:w="456" w:type="dxa"/>
          </w:tcPr>
          <w:p>
            <w:pPr>
              <w:pStyle w:val="TableParagraph"/>
              <w:spacing w:before="40"/>
              <w:ind w:left="51" w:right="51"/>
              <w:rPr>
                <w:sz w:val="18"/>
              </w:rPr>
            </w:pPr>
            <w:r>
              <w:rPr>
                <w:sz w:val="18"/>
              </w:rPr>
              <w:t>12</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right="171"/>
              <w:jc w:val="right"/>
              <w:rPr>
                <w:sz w:val="18"/>
              </w:rPr>
            </w:pPr>
            <w:r>
              <w:rPr>
                <w:w w:val="99"/>
                <w:sz w:val="18"/>
              </w:rPr>
              <w:t>3</w:t>
            </w:r>
          </w:p>
        </w:tc>
        <w:tc>
          <w:tcPr>
            <w:tcW w:w="684" w:type="dxa"/>
          </w:tcPr>
          <w:p>
            <w:pPr>
              <w:pStyle w:val="TableParagraph"/>
              <w:spacing w:before="40"/>
              <w:ind w:left="235"/>
              <w:jc w:val="left"/>
              <w:rPr>
                <w:sz w:val="18"/>
              </w:rPr>
            </w:pPr>
            <w:r>
              <w:rPr>
                <w:sz w:val="18"/>
              </w:rPr>
              <w:t>10</w:t>
            </w:r>
          </w:p>
        </w:tc>
        <w:tc>
          <w:tcPr>
            <w:tcW w:w="646" w:type="dxa"/>
          </w:tcPr>
          <w:p>
            <w:pPr>
              <w:pStyle w:val="TableParagraph"/>
              <w:spacing w:before="40"/>
              <w:ind w:right="267"/>
              <w:jc w:val="right"/>
              <w:rPr>
                <w:sz w:val="18"/>
              </w:rPr>
            </w:pPr>
            <w:r>
              <w:rPr>
                <w:w w:val="99"/>
                <w:sz w:val="18"/>
              </w:rPr>
              <w:t>1</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rPr>
                <w:sz w:val="18"/>
              </w:rPr>
            </w:pPr>
            <w:r>
              <w:rPr>
                <w:w w:val="99"/>
                <w:sz w:val="18"/>
              </w:rPr>
              <w:t>6</w:t>
            </w:r>
          </w:p>
        </w:tc>
        <w:tc>
          <w:tcPr>
            <w:tcW w:w="475" w:type="dxa"/>
          </w:tcPr>
          <w:p>
            <w:pPr>
              <w:pStyle w:val="TableParagraph"/>
              <w:spacing w:before="40"/>
              <w:ind w:right="131"/>
              <w:jc w:val="right"/>
              <w:rPr>
                <w:sz w:val="18"/>
              </w:rPr>
            </w:pPr>
            <w:r>
              <w:rPr>
                <w:w w:val="95"/>
                <w:sz w:val="18"/>
              </w:rPr>
              <w:t>64</w:t>
            </w:r>
          </w:p>
        </w:tc>
      </w:tr>
      <w:tr>
        <w:trPr>
          <w:trHeight w:val="398" w:hRule="exact"/>
        </w:trPr>
        <w:tc>
          <w:tcPr>
            <w:tcW w:w="4277" w:type="dxa"/>
          </w:tcPr>
          <w:p>
            <w:pPr>
              <w:pStyle w:val="TableParagraph"/>
              <w:spacing w:before="35"/>
              <w:ind w:left="64"/>
              <w:jc w:val="left"/>
              <w:rPr>
                <w:b/>
                <w:sz w:val="18"/>
              </w:rPr>
            </w:pPr>
            <w:r>
              <w:rPr>
                <w:b/>
                <w:sz w:val="18"/>
              </w:rPr>
              <w:t>TENANGO DEL AIRE</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5</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84"/>
              <w:jc w:val="left"/>
              <w:rPr>
                <w:sz w:val="18"/>
              </w:rPr>
            </w:pPr>
            <w:r>
              <w:rPr>
                <w:w w:val="99"/>
                <w:sz w:val="18"/>
              </w:rPr>
              <w:t>9</w:t>
            </w:r>
          </w:p>
        </w:tc>
        <w:tc>
          <w:tcPr>
            <w:tcW w:w="459" w:type="dxa"/>
          </w:tcPr>
          <w:p>
            <w:pPr>
              <w:pStyle w:val="TableParagraph"/>
              <w:spacing w:before="40"/>
              <w:ind w:left="2"/>
              <w:rPr>
                <w:sz w:val="18"/>
              </w:rPr>
            </w:pPr>
            <w:r>
              <w:rPr>
                <w:w w:val="99"/>
                <w:sz w:val="18"/>
              </w:rPr>
              <w:t>1</w:t>
            </w:r>
          </w:p>
        </w:tc>
        <w:tc>
          <w:tcPr>
            <w:tcW w:w="456" w:type="dxa"/>
          </w:tcPr>
          <w:p>
            <w:pPr>
              <w:pStyle w:val="TableParagraph"/>
              <w:spacing w:before="40"/>
              <w:rPr>
                <w:sz w:val="18"/>
              </w:rPr>
            </w:pPr>
            <w:r>
              <w:rPr>
                <w:w w:val="99"/>
                <w:sz w:val="18"/>
              </w:rPr>
              <w:t>0</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right="171"/>
              <w:jc w:val="right"/>
              <w:rPr>
                <w:sz w:val="18"/>
              </w:rPr>
            </w:pPr>
            <w:r>
              <w:rPr>
                <w:w w:val="99"/>
                <w:sz w:val="18"/>
              </w:rPr>
              <w:t>1</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rPr>
                <w:sz w:val="18"/>
              </w:rPr>
            </w:pPr>
            <w:r>
              <w:rPr>
                <w:w w:val="99"/>
                <w:sz w:val="18"/>
              </w:rPr>
              <w:t>0</w:t>
            </w:r>
          </w:p>
        </w:tc>
        <w:tc>
          <w:tcPr>
            <w:tcW w:w="475" w:type="dxa"/>
          </w:tcPr>
          <w:p>
            <w:pPr>
              <w:pStyle w:val="TableParagraph"/>
              <w:spacing w:before="40"/>
              <w:ind w:right="131"/>
              <w:jc w:val="right"/>
              <w:rPr>
                <w:sz w:val="18"/>
              </w:rPr>
            </w:pPr>
            <w:r>
              <w:rPr>
                <w:w w:val="95"/>
                <w:sz w:val="18"/>
              </w:rPr>
              <w:t>18</w:t>
            </w:r>
          </w:p>
        </w:tc>
      </w:tr>
      <w:tr>
        <w:trPr>
          <w:trHeight w:val="401" w:hRule="exact"/>
        </w:trPr>
        <w:tc>
          <w:tcPr>
            <w:tcW w:w="4277" w:type="dxa"/>
          </w:tcPr>
          <w:p>
            <w:pPr>
              <w:pStyle w:val="TableParagraph"/>
              <w:spacing w:before="35"/>
              <w:ind w:left="64"/>
              <w:jc w:val="left"/>
              <w:rPr>
                <w:b/>
                <w:sz w:val="18"/>
              </w:rPr>
            </w:pPr>
            <w:r>
              <w:rPr>
                <w:b/>
                <w:sz w:val="18"/>
              </w:rPr>
              <w:t>TENANGO DEL VALLE</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6</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34"/>
              <w:jc w:val="left"/>
              <w:rPr>
                <w:sz w:val="18"/>
              </w:rPr>
            </w:pPr>
            <w:r>
              <w:rPr>
                <w:sz w:val="18"/>
              </w:rPr>
              <w:t>20</w:t>
            </w:r>
          </w:p>
        </w:tc>
        <w:tc>
          <w:tcPr>
            <w:tcW w:w="459" w:type="dxa"/>
          </w:tcPr>
          <w:p>
            <w:pPr>
              <w:pStyle w:val="TableParagraph"/>
              <w:spacing w:before="40"/>
              <w:ind w:left="2"/>
              <w:rPr>
                <w:sz w:val="18"/>
              </w:rPr>
            </w:pPr>
            <w:r>
              <w:rPr>
                <w:w w:val="99"/>
                <w:sz w:val="18"/>
              </w:rPr>
              <w:t>3</w:t>
            </w:r>
          </w:p>
        </w:tc>
        <w:tc>
          <w:tcPr>
            <w:tcW w:w="456" w:type="dxa"/>
          </w:tcPr>
          <w:p>
            <w:pPr>
              <w:pStyle w:val="TableParagraph"/>
              <w:spacing w:before="40"/>
              <w:ind w:left="51" w:right="51"/>
              <w:rPr>
                <w:sz w:val="18"/>
              </w:rPr>
            </w:pPr>
            <w:r>
              <w:rPr>
                <w:sz w:val="18"/>
              </w:rPr>
              <w:t>11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right="171"/>
              <w:jc w:val="right"/>
              <w:rPr>
                <w:sz w:val="18"/>
              </w:rPr>
            </w:pPr>
            <w:r>
              <w:rPr>
                <w:w w:val="99"/>
                <w:sz w:val="18"/>
              </w:rPr>
              <w:t>1</w:t>
            </w:r>
          </w:p>
        </w:tc>
        <w:tc>
          <w:tcPr>
            <w:tcW w:w="684" w:type="dxa"/>
          </w:tcPr>
          <w:p>
            <w:pPr>
              <w:pStyle w:val="TableParagraph"/>
              <w:spacing w:before="40"/>
              <w:ind w:left="285"/>
              <w:jc w:val="left"/>
              <w:rPr>
                <w:sz w:val="18"/>
              </w:rPr>
            </w:pPr>
            <w:r>
              <w:rPr>
                <w:w w:val="99"/>
                <w:sz w:val="18"/>
              </w:rPr>
              <w:t>2</w:t>
            </w:r>
          </w:p>
        </w:tc>
        <w:tc>
          <w:tcPr>
            <w:tcW w:w="646" w:type="dxa"/>
          </w:tcPr>
          <w:p>
            <w:pPr>
              <w:pStyle w:val="TableParagraph"/>
              <w:spacing w:before="40"/>
              <w:ind w:right="267"/>
              <w:jc w:val="right"/>
              <w:rPr>
                <w:sz w:val="18"/>
              </w:rPr>
            </w:pPr>
            <w:r>
              <w:rPr>
                <w:w w:val="99"/>
                <w:sz w:val="18"/>
              </w:rPr>
              <w:t>2</w:t>
            </w:r>
          </w:p>
        </w:tc>
        <w:tc>
          <w:tcPr>
            <w:tcW w:w="456" w:type="dxa"/>
            <w:tcBorders>
              <w:right w:val="single" w:sz="4" w:space="0" w:color="000000"/>
            </w:tcBorders>
          </w:tcPr>
          <w:p>
            <w:pPr>
              <w:pStyle w:val="TableParagraph"/>
              <w:spacing w:before="40"/>
              <w:ind w:left="51" w:right="51"/>
              <w:rPr>
                <w:sz w:val="18"/>
              </w:rPr>
            </w:pPr>
            <w:r>
              <w:rPr>
                <w:sz w:val="18"/>
              </w:rPr>
              <w:t>NA</w:t>
            </w:r>
          </w:p>
        </w:tc>
        <w:tc>
          <w:tcPr>
            <w:tcW w:w="852" w:type="dxa"/>
            <w:tcBorders>
              <w:left w:val="single" w:sz="4" w:space="0" w:color="000000"/>
            </w:tcBorders>
          </w:tcPr>
          <w:p>
            <w:pPr>
              <w:pStyle w:val="TableParagraph"/>
              <w:spacing w:before="40"/>
              <w:ind w:left="277" w:right="275"/>
              <w:rPr>
                <w:sz w:val="18"/>
              </w:rPr>
            </w:pPr>
            <w:r>
              <w:rPr>
                <w:sz w:val="18"/>
              </w:rPr>
              <w:t>NA</w:t>
            </w:r>
          </w:p>
        </w:tc>
        <w:tc>
          <w:tcPr>
            <w:tcW w:w="475" w:type="dxa"/>
          </w:tcPr>
          <w:p>
            <w:pPr>
              <w:pStyle w:val="TableParagraph"/>
              <w:spacing w:before="40"/>
              <w:rPr>
                <w:sz w:val="18"/>
              </w:rPr>
            </w:pPr>
            <w:r>
              <w:rPr>
                <w:w w:val="99"/>
                <w:sz w:val="18"/>
              </w:rPr>
              <w:t>1</w:t>
            </w:r>
          </w:p>
        </w:tc>
        <w:tc>
          <w:tcPr>
            <w:tcW w:w="475" w:type="dxa"/>
          </w:tcPr>
          <w:p>
            <w:pPr>
              <w:pStyle w:val="TableParagraph"/>
              <w:spacing w:before="40"/>
              <w:ind w:right="131"/>
              <w:jc w:val="right"/>
              <w:rPr>
                <w:sz w:val="18"/>
              </w:rPr>
            </w:pPr>
            <w:r>
              <w:rPr>
                <w:w w:val="95"/>
                <w:sz w:val="18"/>
              </w:rPr>
              <w:t>48</w:t>
            </w:r>
          </w:p>
        </w:tc>
      </w:tr>
      <w:tr>
        <w:trPr>
          <w:trHeight w:val="401" w:hRule="exact"/>
        </w:trPr>
        <w:tc>
          <w:tcPr>
            <w:tcW w:w="4277" w:type="dxa"/>
          </w:tcPr>
          <w:p>
            <w:pPr>
              <w:pStyle w:val="TableParagraph"/>
              <w:spacing w:before="35"/>
              <w:ind w:left="64"/>
              <w:jc w:val="left"/>
              <w:rPr>
                <w:b/>
                <w:sz w:val="18"/>
              </w:rPr>
            </w:pPr>
            <w:r>
              <w:rPr>
                <w:b/>
                <w:sz w:val="18"/>
              </w:rPr>
              <w:t>TEOLOYUCAN</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51" w:right="51"/>
              <w:rPr>
                <w:sz w:val="18"/>
              </w:rPr>
            </w:pPr>
            <w:r>
              <w:rPr>
                <w:sz w:val="18"/>
              </w:rPr>
              <w:t>26</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34"/>
              <w:jc w:val="left"/>
              <w:rPr>
                <w:sz w:val="18"/>
              </w:rPr>
            </w:pPr>
            <w:r>
              <w:rPr>
                <w:sz w:val="18"/>
              </w:rPr>
              <w:t>44</w:t>
            </w:r>
          </w:p>
        </w:tc>
        <w:tc>
          <w:tcPr>
            <w:tcW w:w="459" w:type="dxa"/>
          </w:tcPr>
          <w:p>
            <w:pPr>
              <w:pStyle w:val="TableParagraph"/>
              <w:spacing w:before="40"/>
              <w:ind w:left="2"/>
              <w:rPr>
                <w:sz w:val="18"/>
              </w:rPr>
            </w:pPr>
            <w:r>
              <w:rPr>
                <w:w w:val="99"/>
                <w:sz w:val="18"/>
              </w:rPr>
              <w:t>6</w:t>
            </w:r>
          </w:p>
        </w:tc>
        <w:tc>
          <w:tcPr>
            <w:tcW w:w="456" w:type="dxa"/>
          </w:tcPr>
          <w:p>
            <w:pPr>
              <w:pStyle w:val="TableParagraph"/>
              <w:spacing w:before="40"/>
              <w:ind w:left="51" w:right="51"/>
              <w:rPr>
                <w:sz w:val="18"/>
              </w:rPr>
            </w:pPr>
            <w:r>
              <w:rPr>
                <w:sz w:val="18"/>
              </w:rPr>
              <w:t>41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right="171"/>
              <w:jc w:val="righ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rPr>
                <w:sz w:val="18"/>
              </w:rPr>
            </w:pPr>
            <w:r>
              <w:rPr>
                <w:w w:val="99"/>
                <w:sz w:val="18"/>
              </w:rPr>
              <w:t>0</w:t>
            </w:r>
          </w:p>
        </w:tc>
        <w:tc>
          <w:tcPr>
            <w:tcW w:w="475" w:type="dxa"/>
          </w:tcPr>
          <w:p>
            <w:pPr>
              <w:pStyle w:val="TableParagraph"/>
              <w:spacing w:before="40"/>
              <w:ind w:right="79"/>
              <w:jc w:val="right"/>
              <w:rPr>
                <w:sz w:val="18"/>
              </w:rPr>
            </w:pPr>
            <w:r>
              <w:rPr>
                <w:w w:val="95"/>
                <w:sz w:val="18"/>
              </w:rPr>
              <w:t>119</w:t>
            </w:r>
          </w:p>
        </w:tc>
      </w:tr>
    </w:tbl>
    <w:p>
      <w:pPr>
        <w:spacing w:after="0"/>
        <w:jc w:val="right"/>
        <w:rPr>
          <w:sz w:val="18"/>
        </w:rPr>
        <w:sectPr>
          <w:pgSz w:w="15840" w:h="12240" w:orient="landscape"/>
          <w:pgMar w:header="0" w:footer="975" w:top="1140" w:bottom="1160" w:left="1800" w:right="1800"/>
        </w:sectPr>
      </w:pPr>
    </w:p>
    <w:p>
      <w:pPr>
        <w:pStyle w:val="BodyText"/>
        <w:rPr>
          <w:rFonts w:ascii="Times New Roman"/>
          <w:sz w:val="20"/>
        </w:rPr>
      </w:pPr>
    </w:p>
    <w:p>
      <w:pPr>
        <w:pStyle w:val="BodyText"/>
        <w:spacing w:before="8"/>
        <w:rPr>
          <w:rFonts w:ascii="Times New Roman"/>
          <w:sz w:val="20"/>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77"/>
        <w:gridCol w:w="456"/>
        <w:gridCol w:w="458"/>
        <w:gridCol w:w="456"/>
        <w:gridCol w:w="456"/>
        <w:gridCol w:w="475"/>
        <w:gridCol w:w="459"/>
        <w:gridCol w:w="456"/>
        <w:gridCol w:w="458"/>
        <w:gridCol w:w="456"/>
        <w:gridCol w:w="684"/>
        <w:gridCol w:w="646"/>
        <w:gridCol w:w="456"/>
        <w:gridCol w:w="852"/>
        <w:gridCol w:w="475"/>
        <w:gridCol w:w="475"/>
      </w:tblGrid>
      <w:tr>
        <w:trPr>
          <w:trHeight w:val="373" w:hRule="exact"/>
        </w:trPr>
        <w:tc>
          <w:tcPr>
            <w:tcW w:w="11997" w:type="dxa"/>
            <w:gridSpan w:val="16"/>
            <w:shd w:val="clear" w:color="auto" w:fill="92D050"/>
          </w:tcPr>
          <w:p>
            <w:pPr>
              <w:pStyle w:val="TableParagraph"/>
              <w:spacing w:before="20"/>
              <w:ind w:left="1348"/>
              <w:jc w:val="left"/>
              <w:rPr>
                <w:b/>
                <w:sz w:val="18"/>
              </w:rPr>
            </w:pPr>
            <w:r>
              <w:rPr>
                <w:b/>
                <w:sz w:val="18"/>
              </w:rPr>
              <w:t>Anexo 18. Normativa publicada por los municipios del Estado de México a través del INFOEM (continuación)</w:t>
            </w:r>
          </w:p>
        </w:tc>
      </w:tr>
      <w:tr>
        <w:trPr>
          <w:trHeight w:val="1412" w:hRule="exact"/>
        </w:trPr>
        <w:tc>
          <w:tcPr>
            <w:tcW w:w="4277" w:type="dxa"/>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126"/>
              <w:ind w:left="1691" w:right="1693"/>
              <w:rPr>
                <w:b/>
                <w:sz w:val="18"/>
              </w:rPr>
            </w:pPr>
            <w:r>
              <w:rPr>
                <w:b/>
                <w:sz w:val="18"/>
              </w:rPr>
              <w:t>Municipio</w:t>
            </w:r>
          </w:p>
        </w:tc>
        <w:tc>
          <w:tcPr>
            <w:tcW w:w="456" w:type="dxa"/>
            <w:shd w:val="clear" w:color="auto" w:fill="C5DFB3"/>
            <w:textDirection w:val="btLr"/>
          </w:tcPr>
          <w:p>
            <w:pPr>
              <w:pStyle w:val="TableParagraph"/>
              <w:spacing w:before="64"/>
              <w:ind w:left="76" w:right="-11"/>
              <w:jc w:val="left"/>
              <w:rPr>
                <w:b/>
                <w:sz w:val="18"/>
              </w:rPr>
            </w:pPr>
            <w:r>
              <w:rPr>
                <w:b/>
                <w:sz w:val="18"/>
              </w:rPr>
              <w:t>Con</w:t>
            </w:r>
            <w:r>
              <w:rPr>
                <w:b/>
                <w:spacing w:val="1"/>
                <w:sz w:val="18"/>
              </w:rPr>
              <w:t>s</w:t>
            </w:r>
            <w:r>
              <w:rPr>
                <w:b/>
                <w:w w:val="100"/>
                <w:sz w:val="18"/>
              </w:rPr>
              <w:t>t.</w:t>
            </w:r>
            <w:r>
              <w:rPr>
                <w:b/>
                <w:sz w:val="18"/>
              </w:rPr>
              <w:t> Fe</w:t>
            </w:r>
            <w:r>
              <w:rPr>
                <w:b/>
                <w:spacing w:val="-2"/>
                <w:w w:val="100"/>
                <w:sz w:val="18"/>
              </w:rPr>
              <w:t>d</w:t>
            </w:r>
            <w:r>
              <w:rPr>
                <w:b/>
                <w:w w:val="99"/>
                <w:sz w:val="18"/>
              </w:rPr>
              <w:t>e</w:t>
            </w:r>
            <w:r>
              <w:rPr>
                <w:b/>
                <w:w w:val="99"/>
                <w:sz w:val="18"/>
              </w:rPr>
              <w:t>ral</w:t>
            </w:r>
          </w:p>
        </w:tc>
        <w:tc>
          <w:tcPr>
            <w:tcW w:w="458" w:type="dxa"/>
            <w:shd w:val="clear" w:color="auto" w:fill="C5DFB3"/>
            <w:textDirection w:val="btLr"/>
          </w:tcPr>
          <w:p>
            <w:pPr>
              <w:pStyle w:val="TableParagraph"/>
              <w:spacing w:before="66"/>
              <w:ind w:left="319" w:right="-11"/>
              <w:jc w:val="left"/>
              <w:rPr>
                <w:b/>
                <w:sz w:val="18"/>
              </w:rPr>
            </w:pPr>
            <w:r>
              <w:rPr>
                <w:b/>
                <w:w w:val="99"/>
                <w:sz w:val="18"/>
              </w:rPr>
              <w:t>Trata</w:t>
            </w:r>
            <w:r>
              <w:rPr>
                <w:b/>
                <w:w w:val="100"/>
                <w:sz w:val="18"/>
              </w:rPr>
              <w:t>do</w:t>
            </w:r>
            <w:r>
              <w:rPr>
                <w:b/>
                <w:w w:val="99"/>
                <w:sz w:val="18"/>
              </w:rPr>
              <w:t>s</w:t>
            </w:r>
          </w:p>
        </w:tc>
        <w:tc>
          <w:tcPr>
            <w:tcW w:w="456" w:type="dxa"/>
            <w:shd w:val="clear" w:color="auto" w:fill="C5DFB3"/>
            <w:textDirection w:val="btLr"/>
          </w:tcPr>
          <w:p>
            <w:pPr>
              <w:pStyle w:val="TableParagraph"/>
              <w:spacing w:before="64"/>
              <w:ind w:left="235" w:right="-11"/>
              <w:jc w:val="left"/>
              <w:rPr>
                <w:b/>
                <w:sz w:val="18"/>
              </w:rPr>
            </w:pPr>
            <w:r>
              <w:rPr>
                <w:b/>
                <w:sz w:val="18"/>
              </w:rPr>
              <w:t>Le</w:t>
            </w:r>
            <w:r>
              <w:rPr>
                <w:b/>
                <w:w w:val="99"/>
                <w:sz w:val="18"/>
              </w:rPr>
              <w:t>yes</w:t>
            </w:r>
            <w:r>
              <w:rPr>
                <w:b/>
                <w:spacing w:val="-2"/>
                <w:sz w:val="18"/>
              </w:rPr>
              <w:t> </w:t>
            </w:r>
            <w:r>
              <w:rPr>
                <w:b/>
                <w:sz w:val="18"/>
              </w:rPr>
              <w:t>Fe</w:t>
            </w:r>
            <w:r>
              <w:rPr>
                <w:b/>
                <w:w w:val="100"/>
                <w:sz w:val="18"/>
              </w:rPr>
              <w:t>d.</w:t>
            </w:r>
          </w:p>
        </w:tc>
        <w:tc>
          <w:tcPr>
            <w:tcW w:w="456" w:type="dxa"/>
            <w:shd w:val="clear" w:color="auto" w:fill="C5DFB3"/>
            <w:textDirection w:val="btLr"/>
          </w:tcPr>
          <w:p>
            <w:pPr>
              <w:pStyle w:val="TableParagraph"/>
              <w:spacing w:before="64"/>
              <w:ind w:left="160" w:right="-11"/>
              <w:jc w:val="left"/>
              <w:rPr>
                <w:b/>
                <w:sz w:val="18"/>
              </w:rPr>
            </w:pPr>
            <w:r>
              <w:rPr>
                <w:b/>
                <w:sz w:val="18"/>
              </w:rPr>
              <w:t>Con</w:t>
            </w:r>
            <w:r>
              <w:rPr>
                <w:b/>
                <w:spacing w:val="1"/>
                <w:sz w:val="18"/>
              </w:rPr>
              <w:t>s</w:t>
            </w:r>
            <w:r>
              <w:rPr>
                <w:b/>
                <w:w w:val="100"/>
                <w:sz w:val="18"/>
              </w:rPr>
              <w:t>t.</w:t>
            </w:r>
            <w:r>
              <w:rPr>
                <w:b/>
                <w:sz w:val="18"/>
              </w:rPr>
              <w:t> </w:t>
            </w:r>
            <w:r>
              <w:rPr>
                <w:b/>
                <w:w w:val="100"/>
                <w:sz w:val="18"/>
              </w:rPr>
              <w:t>Lo</w:t>
            </w:r>
            <w:r>
              <w:rPr>
                <w:b/>
                <w:spacing w:val="-2"/>
                <w:w w:val="99"/>
                <w:sz w:val="18"/>
              </w:rPr>
              <w:t>c</w:t>
            </w:r>
            <w:r>
              <w:rPr>
                <w:b/>
                <w:w w:val="99"/>
                <w:sz w:val="18"/>
              </w:rPr>
              <w:t>a</w:t>
            </w:r>
            <w:r>
              <w:rPr>
                <w:b/>
                <w:w w:val="100"/>
                <w:sz w:val="18"/>
              </w:rPr>
              <w:t>l</w:t>
            </w:r>
          </w:p>
        </w:tc>
        <w:tc>
          <w:tcPr>
            <w:tcW w:w="475" w:type="dxa"/>
            <w:shd w:val="clear" w:color="auto" w:fill="C5DFB3"/>
            <w:textDirection w:val="btLr"/>
          </w:tcPr>
          <w:p>
            <w:pPr>
              <w:pStyle w:val="TableParagraph"/>
              <w:spacing w:before="73"/>
              <w:ind w:left="86" w:right="-11"/>
              <w:jc w:val="left"/>
              <w:rPr>
                <w:b/>
                <w:sz w:val="18"/>
              </w:rPr>
            </w:pPr>
            <w:r>
              <w:rPr>
                <w:b/>
                <w:sz w:val="18"/>
              </w:rPr>
              <w:t>Le</w:t>
            </w:r>
            <w:r>
              <w:rPr>
                <w:b/>
                <w:w w:val="99"/>
                <w:sz w:val="18"/>
              </w:rPr>
              <w:t>yes</w:t>
            </w:r>
            <w:r>
              <w:rPr>
                <w:b/>
                <w:spacing w:val="-2"/>
                <w:sz w:val="18"/>
              </w:rPr>
              <w:t> </w:t>
            </w:r>
            <w:r>
              <w:rPr>
                <w:b/>
                <w:w w:val="100"/>
                <w:sz w:val="18"/>
              </w:rPr>
              <w:t>Lo</w:t>
            </w:r>
            <w:r>
              <w:rPr>
                <w:b/>
                <w:w w:val="99"/>
                <w:sz w:val="18"/>
              </w:rPr>
              <w:t>c</w:t>
            </w:r>
            <w:r>
              <w:rPr>
                <w:b/>
                <w:spacing w:val="-2"/>
                <w:w w:val="99"/>
                <w:sz w:val="18"/>
              </w:rPr>
              <w:t>a</w:t>
            </w:r>
            <w:r>
              <w:rPr>
                <w:b/>
                <w:w w:val="100"/>
                <w:sz w:val="18"/>
              </w:rPr>
              <w:t>le</w:t>
            </w:r>
            <w:r>
              <w:rPr>
                <w:b/>
                <w:w w:val="99"/>
                <w:sz w:val="18"/>
              </w:rPr>
              <w:t>s</w:t>
            </w:r>
          </w:p>
        </w:tc>
        <w:tc>
          <w:tcPr>
            <w:tcW w:w="459" w:type="dxa"/>
            <w:shd w:val="clear" w:color="auto" w:fill="C5DFB3"/>
            <w:textDirection w:val="btLr"/>
          </w:tcPr>
          <w:p>
            <w:pPr>
              <w:pStyle w:val="TableParagraph"/>
              <w:spacing w:before="66"/>
              <w:ind w:left="340" w:right="-11"/>
              <w:jc w:val="left"/>
              <w:rPr>
                <w:b/>
                <w:sz w:val="18"/>
              </w:rPr>
            </w:pPr>
            <w:r>
              <w:rPr>
                <w:b/>
                <w:w w:val="100"/>
                <w:sz w:val="18"/>
              </w:rPr>
              <w:t>Códi</w:t>
            </w:r>
            <w:r>
              <w:rPr>
                <w:b/>
                <w:w w:val="100"/>
                <w:sz w:val="18"/>
              </w:rPr>
              <w:t>go</w:t>
            </w:r>
            <w:r>
              <w:rPr>
                <w:b/>
                <w:w w:val="99"/>
                <w:sz w:val="18"/>
              </w:rPr>
              <w:t>s</w:t>
            </w:r>
          </w:p>
        </w:tc>
        <w:tc>
          <w:tcPr>
            <w:tcW w:w="456" w:type="dxa"/>
            <w:shd w:val="clear" w:color="auto" w:fill="C5DFB3"/>
            <w:textDirection w:val="btLr"/>
          </w:tcPr>
          <w:p>
            <w:pPr>
              <w:pStyle w:val="TableParagraph"/>
              <w:spacing w:before="64"/>
              <w:ind w:left="136" w:right="-11"/>
              <w:jc w:val="left"/>
              <w:rPr>
                <w:b/>
                <w:sz w:val="18"/>
              </w:rPr>
            </w:pPr>
            <w:r>
              <w:rPr>
                <w:b/>
                <w:w w:val="99"/>
                <w:sz w:val="18"/>
              </w:rPr>
              <w:t>Reg</w:t>
            </w:r>
            <w:r>
              <w:rPr>
                <w:b/>
                <w:w w:val="100"/>
                <w:sz w:val="18"/>
              </w:rPr>
              <w:t>la</w:t>
            </w:r>
            <w:r>
              <w:rPr>
                <w:b/>
                <w:w w:val="99"/>
                <w:sz w:val="18"/>
              </w:rPr>
              <w:t>m</w:t>
            </w:r>
            <w:r>
              <w:rPr>
                <w:b/>
                <w:spacing w:val="-2"/>
                <w:w w:val="99"/>
                <w:sz w:val="18"/>
              </w:rPr>
              <w:t>e</w:t>
            </w:r>
            <w:r>
              <w:rPr>
                <w:b/>
                <w:w w:val="100"/>
                <w:sz w:val="18"/>
              </w:rPr>
              <w:t>nto</w:t>
            </w:r>
            <w:r>
              <w:rPr>
                <w:b/>
                <w:w w:val="99"/>
                <w:sz w:val="18"/>
              </w:rPr>
              <w:t>s</w:t>
            </w:r>
          </w:p>
        </w:tc>
        <w:tc>
          <w:tcPr>
            <w:tcW w:w="458" w:type="dxa"/>
            <w:shd w:val="clear" w:color="auto" w:fill="C5DFB3"/>
            <w:textDirection w:val="btLr"/>
          </w:tcPr>
          <w:p>
            <w:pPr>
              <w:pStyle w:val="TableParagraph"/>
              <w:spacing w:before="66"/>
              <w:ind w:left="316" w:right="-11"/>
              <w:jc w:val="left"/>
              <w:rPr>
                <w:b/>
                <w:sz w:val="18"/>
              </w:rPr>
            </w:pPr>
            <w:r>
              <w:rPr>
                <w:b/>
                <w:w w:val="99"/>
                <w:sz w:val="18"/>
              </w:rPr>
              <w:t>Dec</w:t>
            </w:r>
            <w:r>
              <w:rPr>
                <w:b/>
                <w:w w:val="99"/>
                <w:sz w:val="18"/>
              </w:rPr>
              <w:t>reto</w:t>
            </w:r>
            <w:r>
              <w:rPr>
                <w:b/>
                <w:w w:val="99"/>
                <w:sz w:val="18"/>
              </w:rPr>
              <w:t>s</w:t>
            </w:r>
          </w:p>
        </w:tc>
        <w:tc>
          <w:tcPr>
            <w:tcW w:w="456" w:type="dxa"/>
            <w:shd w:val="clear" w:color="auto" w:fill="C5DFB3"/>
            <w:textDirection w:val="btLr"/>
          </w:tcPr>
          <w:p>
            <w:pPr>
              <w:pStyle w:val="TableParagraph"/>
              <w:spacing w:before="64"/>
              <w:ind w:left="285" w:right="-11"/>
              <w:jc w:val="left"/>
              <w:rPr>
                <w:b/>
                <w:sz w:val="18"/>
              </w:rPr>
            </w:pPr>
            <w:r>
              <w:rPr>
                <w:b/>
                <w:w w:val="99"/>
                <w:sz w:val="18"/>
              </w:rPr>
              <w:t>Acu</w:t>
            </w:r>
            <w:r>
              <w:rPr>
                <w:b/>
                <w:w w:val="99"/>
                <w:sz w:val="18"/>
              </w:rPr>
              <w:t>e</w:t>
            </w:r>
            <w:r>
              <w:rPr>
                <w:b/>
                <w:sz w:val="18"/>
              </w:rPr>
              <w:t>rdos</w:t>
            </w:r>
          </w:p>
        </w:tc>
        <w:tc>
          <w:tcPr>
            <w:tcW w:w="684" w:type="dxa"/>
            <w:shd w:val="clear" w:color="auto" w:fill="C5DFB3"/>
            <w:textDirection w:val="btLr"/>
          </w:tcPr>
          <w:p>
            <w:pPr>
              <w:pStyle w:val="TableParagraph"/>
              <w:spacing w:line="369" w:lineRule="auto" w:before="64"/>
              <w:ind w:left="7" w:right="-11" w:firstLine="153"/>
              <w:jc w:val="left"/>
              <w:rPr>
                <w:b/>
                <w:sz w:val="18"/>
              </w:rPr>
            </w:pPr>
            <w:r>
              <w:rPr>
                <w:b/>
                <w:spacing w:val="1"/>
                <w:w w:val="99"/>
                <w:sz w:val="18"/>
              </w:rPr>
              <w:t>M</w:t>
            </w:r>
            <w:r>
              <w:rPr>
                <w:b/>
                <w:w w:val="99"/>
                <w:sz w:val="18"/>
              </w:rPr>
              <w:t>a</w:t>
            </w:r>
            <w:r>
              <w:rPr>
                <w:b/>
                <w:w w:val="100"/>
                <w:sz w:val="18"/>
              </w:rPr>
              <w:t>nu</w:t>
            </w:r>
            <w:r>
              <w:rPr>
                <w:b/>
                <w:spacing w:val="-2"/>
                <w:w w:val="99"/>
                <w:sz w:val="18"/>
              </w:rPr>
              <w:t>a</w:t>
            </w:r>
            <w:r>
              <w:rPr>
                <w:b/>
                <w:w w:val="100"/>
                <w:sz w:val="18"/>
              </w:rPr>
              <w:t>le</w:t>
            </w:r>
            <w:r>
              <w:rPr>
                <w:b/>
                <w:w w:val="99"/>
                <w:sz w:val="18"/>
              </w:rPr>
              <w:t>s</w:t>
            </w:r>
            <w:r>
              <w:rPr>
                <w:b/>
                <w:spacing w:val="-2"/>
                <w:sz w:val="18"/>
              </w:rPr>
              <w:t> </w:t>
            </w:r>
            <w:r>
              <w:rPr>
                <w:b/>
                <w:sz w:val="18"/>
              </w:rPr>
              <w:t>de proc</w:t>
            </w:r>
            <w:r>
              <w:rPr>
                <w:b/>
                <w:w w:val="99"/>
                <w:sz w:val="18"/>
              </w:rPr>
              <w:t>e</w:t>
            </w:r>
            <w:r>
              <w:rPr>
                <w:b/>
                <w:w w:val="100"/>
                <w:sz w:val="18"/>
              </w:rPr>
              <w:t>di</w:t>
            </w:r>
            <w:r>
              <w:rPr>
                <w:b/>
                <w:spacing w:val="-2"/>
                <w:w w:val="99"/>
                <w:sz w:val="18"/>
              </w:rPr>
              <w:t>m</w:t>
            </w:r>
            <w:r>
              <w:rPr>
                <w:b/>
                <w:w w:val="100"/>
                <w:sz w:val="18"/>
              </w:rPr>
              <w:t>ie</w:t>
            </w:r>
            <w:r>
              <w:rPr>
                <w:b/>
                <w:w w:val="100"/>
                <w:sz w:val="18"/>
              </w:rPr>
              <w:t>nt</w:t>
            </w:r>
            <w:r>
              <w:rPr>
                <w:b/>
                <w:spacing w:val="-2"/>
                <w:w w:val="100"/>
                <w:sz w:val="18"/>
              </w:rPr>
              <w:t>o</w:t>
            </w:r>
            <w:r>
              <w:rPr>
                <w:b/>
                <w:w w:val="99"/>
                <w:sz w:val="18"/>
              </w:rPr>
              <w:t>s</w:t>
            </w:r>
            <w:r>
              <w:rPr>
                <w:b/>
                <w:w w:val="100"/>
                <w:sz w:val="18"/>
              </w:rPr>
              <w:t>.</w:t>
            </w:r>
          </w:p>
        </w:tc>
        <w:tc>
          <w:tcPr>
            <w:tcW w:w="646" w:type="dxa"/>
            <w:shd w:val="clear" w:color="auto" w:fill="C5DFB3"/>
            <w:textDirection w:val="btLr"/>
          </w:tcPr>
          <w:p>
            <w:pPr>
              <w:pStyle w:val="TableParagraph"/>
              <w:spacing w:line="369" w:lineRule="auto" w:before="64"/>
              <w:ind w:left="146" w:right="128" w:firstLine="14"/>
              <w:jc w:val="left"/>
              <w:rPr>
                <w:b/>
                <w:sz w:val="18"/>
              </w:rPr>
            </w:pPr>
            <w:r>
              <w:rPr>
                <w:b/>
                <w:spacing w:val="1"/>
                <w:w w:val="99"/>
                <w:sz w:val="18"/>
              </w:rPr>
              <w:t>M</w:t>
            </w:r>
            <w:r>
              <w:rPr>
                <w:b/>
                <w:w w:val="99"/>
                <w:sz w:val="18"/>
              </w:rPr>
              <w:t>a</w:t>
            </w:r>
            <w:r>
              <w:rPr>
                <w:b/>
                <w:w w:val="100"/>
                <w:sz w:val="18"/>
              </w:rPr>
              <w:t>nu</w:t>
            </w:r>
            <w:r>
              <w:rPr>
                <w:b/>
                <w:spacing w:val="-2"/>
                <w:w w:val="99"/>
                <w:sz w:val="18"/>
              </w:rPr>
              <w:t>a</w:t>
            </w:r>
            <w:r>
              <w:rPr>
                <w:b/>
                <w:w w:val="100"/>
                <w:sz w:val="18"/>
              </w:rPr>
              <w:t>le</w:t>
            </w:r>
            <w:r>
              <w:rPr>
                <w:b/>
                <w:w w:val="99"/>
                <w:sz w:val="18"/>
              </w:rPr>
              <w:t>s</w:t>
            </w:r>
            <w:r>
              <w:rPr>
                <w:b/>
                <w:spacing w:val="-2"/>
                <w:sz w:val="18"/>
              </w:rPr>
              <w:t> </w:t>
            </w:r>
            <w:r>
              <w:rPr>
                <w:b/>
                <w:sz w:val="18"/>
              </w:rPr>
              <w:t>de orga</w:t>
            </w:r>
            <w:r>
              <w:rPr>
                <w:b/>
                <w:w w:val="100"/>
                <w:sz w:val="18"/>
              </w:rPr>
              <w:t>ni</w:t>
            </w:r>
            <w:r>
              <w:rPr>
                <w:b/>
                <w:spacing w:val="-2"/>
                <w:sz w:val="18"/>
              </w:rPr>
              <w:t>z</w:t>
            </w:r>
            <w:r>
              <w:rPr>
                <w:b/>
                <w:w w:val="99"/>
                <w:sz w:val="18"/>
              </w:rPr>
              <w:t>ac</w:t>
            </w:r>
            <w:r>
              <w:rPr>
                <w:b/>
                <w:w w:val="100"/>
                <w:sz w:val="18"/>
              </w:rPr>
              <w:t>ión</w:t>
            </w:r>
          </w:p>
        </w:tc>
        <w:tc>
          <w:tcPr>
            <w:tcW w:w="456" w:type="dxa"/>
            <w:tcBorders>
              <w:right w:val="single" w:sz="4" w:space="0" w:color="000000"/>
            </w:tcBorders>
            <w:shd w:val="clear" w:color="auto" w:fill="C5DFB3"/>
            <w:textDirection w:val="btLr"/>
          </w:tcPr>
          <w:p>
            <w:pPr>
              <w:pStyle w:val="TableParagraph"/>
              <w:spacing w:before="64"/>
              <w:ind w:left="21" w:right="-11"/>
              <w:jc w:val="left"/>
              <w:rPr>
                <w:b/>
                <w:sz w:val="18"/>
              </w:rPr>
            </w:pPr>
            <w:r>
              <w:rPr>
                <w:b/>
                <w:spacing w:val="-1"/>
                <w:w w:val="100"/>
                <w:sz w:val="18"/>
              </w:rPr>
              <w:t>O</w:t>
            </w:r>
            <w:r>
              <w:rPr>
                <w:b/>
                <w:w w:val="99"/>
                <w:sz w:val="18"/>
              </w:rPr>
              <w:t>tros m</w:t>
            </w:r>
            <w:r>
              <w:rPr>
                <w:b/>
                <w:w w:val="99"/>
                <w:sz w:val="18"/>
              </w:rPr>
              <w:t>a</w:t>
            </w:r>
            <w:r>
              <w:rPr>
                <w:b/>
                <w:w w:val="100"/>
                <w:sz w:val="18"/>
              </w:rPr>
              <w:t>nu</w:t>
            </w:r>
            <w:r>
              <w:rPr>
                <w:b/>
                <w:spacing w:val="-2"/>
                <w:w w:val="99"/>
                <w:sz w:val="18"/>
              </w:rPr>
              <w:t>a</w:t>
            </w:r>
            <w:r>
              <w:rPr>
                <w:b/>
                <w:w w:val="100"/>
                <w:sz w:val="18"/>
              </w:rPr>
              <w:t>le</w:t>
            </w:r>
            <w:r>
              <w:rPr>
                <w:b/>
                <w:w w:val="99"/>
                <w:sz w:val="18"/>
              </w:rPr>
              <w:t>s</w:t>
            </w:r>
          </w:p>
        </w:tc>
        <w:tc>
          <w:tcPr>
            <w:tcW w:w="852" w:type="dxa"/>
            <w:tcBorders>
              <w:left w:val="single" w:sz="4" w:space="0" w:color="000000"/>
            </w:tcBorders>
            <w:shd w:val="clear" w:color="auto" w:fill="C5DFB3"/>
            <w:textDirection w:val="btLr"/>
          </w:tcPr>
          <w:p>
            <w:pPr>
              <w:pStyle w:val="TableParagraph"/>
              <w:spacing w:before="7"/>
              <w:jc w:val="left"/>
              <w:rPr>
                <w:rFonts w:ascii="Times New Roman"/>
                <w:sz w:val="22"/>
              </w:rPr>
            </w:pPr>
          </w:p>
          <w:p>
            <w:pPr>
              <w:pStyle w:val="TableParagraph"/>
              <w:spacing w:before="1"/>
              <w:ind w:left="261"/>
              <w:jc w:val="left"/>
              <w:rPr>
                <w:b/>
                <w:sz w:val="18"/>
              </w:rPr>
            </w:pPr>
            <w:r>
              <w:rPr>
                <w:b/>
                <w:w w:val="99"/>
                <w:sz w:val="18"/>
              </w:rPr>
              <w:t>Circula</w:t>
            </w:r>
            <w:r>
              <w:rPr>
                <w:b/>
                <w:w w:val="99"/>
                <w:sz w:val="18"/>
              </w:rPr>
              <w:t>res</w:t>
            </w:r>
          </w:p>
        </w:tc>
        <w:tc>
          <w:tcPr>
            <w:tcW w:w="475" w:type="dxa"/>
            <w:shd w:val="clear" w:color="auto" w:fill="C5DFB3"/>
            <w:textDirection w:val="btLr"/>
          </w:tcPr>
          <w:p>
            <w:pPr>
              <w:pStyle w:val="TableParagraph"/>
              <w:spacing w:before="64"/>
              <w:ind w:left="405" w:right="-11"/>
              <w:jc w:val="left"/>
              <w:rPr>
                <w:b/>
                <w:sz w:val="18"/>
              </w:rPr>
            </w:pPr>
            <w:r>
              <w:rPr>
                <w:b/>
                <w:w w:val="99"/>
                <w:sz w:val="18"/>
              </w:rPr>
              <w:t>Demás</w:t>
            </w:r>
          </w:p>
        </w:tc>
        <w:tc>
          <w:tcPr>
            <w:tcW w:w="475" w:type="dxa"/>
            <w:shd w:val="clear" w:color="auto" w:fill="C5DFB3"/>
            <w:textDirection w:val="btLr"/>
          </w:tcPr>
          <w:p>
            <w:pPr>
              <w:pStyle w:val="TableParagraph"/>
              <w:spacing w:before="71"/>
              <w:ind w:left="340" w:right="-11"/>
              <w:jc w:val="left"/>
              <w:rPr>
                <w:b/>
                <w:sz w:val="18"/>
              </w:rPr>
            </w:pPr>
            <w:r>
              <w:rPr>
                <w:b/>
                <w:w w:val="100"/>
                <w:sz w:val="18"/>
              </w:rPr>
              <w:t>Subtot</w:t>
            </w:r>
            <w:r>
              <w:rPr>
                <w:b/>
                <w:w w:val="99"/>
                <w:sz w:val="18"/>
              </w:rPr>
              <w:t>a</w:t>
            </w:r>
            <w:r>
              <w:rPr>
                <w:b/>
                <w:w w:val="100"/>
                <w:sz w:val="18"/>
              </w:rPr>
              <w:t>l</w:t>
            </w:r>
          </w:p>
        </w:tc>
      </w:tr>
      <w:tr>
        <w:trPr>
          <w:trHeight w:val="401" w:hRule="exact"/>
        </w:trPr>
        <w:tc>
          <w:tcPr>
            <w:tcW w:w="4277" w:type="dxa"/>
          </w:tcPr>
          <w:p>
            <w:pPr>
              <w:pStyle w:val="TableParagraph"/>
              <w:spacing w:before="35"/>
              <w:ind w:left="64"/>
              <w:jc w:val="left"/>
              <w:rPr>
                <w:b/>
                <w:sz w:val="18"/>
              </w:rPr>
            </w:pPr>
            <w:r>
              <w:rPr>
                <w:b/>
                <w:sz w:val="18"/>
              </w:rPr>
              <w:t>TEOTIHUACAN</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51" w:right="51"/>
              <w:rPr>
                <w:sz w:val="18"/>
              </w:rPr>
            </w:pPr>
            <w:r>
              <w:rPr>
                <w:sz w:val="18"/>
              </w:rPr>
              <w:t>11</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34"/>
              <w:jc w:val="left"/>
              <w:rPr>
                <w:sz w:val="18"/>
              </w:rPr>
            </w:pPr>
            <w:r>
              <w:rPr>
                <w:sz w:val="18"/>
              </w:rPr>
              <w:t>13</w:t>
            </w:r>
          </w:p>
        </w:tc>
        <w:tc>
          <w:tcPr>
            <w:tcW w:w="459" w:type="dxa"/>
          </w:tcPr>
          <w:p>
            <w:pPr>
              <w:pStyle w:val="TableParagraph"/>
              <w:spacing w:before="40"/>
              <w:ind w:left="2"/>
              <w:rPr>
                <w:sz w:val="18"/>
              </w:rPr>
            </w:pPr>
            <w:r>
              <w:rPr>
                <w:w w:val="99"/>
                <w:sz w:val="18"/>
              </w:rPr>
              <w:t>8</w:t>
            </w:r>
          </w:p>
        </w:tc>
        <w:tc>
          <w:tcPr>
            <w:tcW w:w="456" w:type="dxa"/>
          </w:tcPr>
          <w:p>
            <w:pPr>
              <w:pStyle w:val="TableParagraph"/>
              <w:spacing w:before="40"/>
              <w:ind w:left="51" w:right="51"/>
              <w:rPr>
                <w:sz w:val="18"/>
              </w:rPr>
            </w:pPr>
            <w:r>
              <w:rPr>
                <w:sz w:val="18"/>
              </w:rPr>
              <w:t>47</w:t>
            </w:r>
          </w:p>
        </w:tc>
        <w:tc>
          <w:tcPr>
            <w:tcW w:w="458" w:type="dxa"/>
          </w:tcPr>
          <w:p>
            <w:pPr>
              <w:pStyle w:val="TableParagraph"/>
              <w:spacing w:before="40"/>
              <w:ind w:left="1"/>
              <w:rPr>
                <w:sz w:val="18"/>
              </w:rPr>
            </w:pPr>
            <w:r>
              <w:rPr>
                <w:w w:val="99"/>
                <w:sz w:val="18"/>
              </w:rPr>
              <w:t>1</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35"/>
              <w:jc w:val="left"/>
              <w:rPr>
                <w:sz w:val="18"/>
              </w:rPr>
            </w:pPr>
            <w:r>
              <w:rPr>
                <w:sz w:val="18"/>
              </w:rPr>
              <w:t>25</w:t>
            </w:r>
          </w:p>
        </w:tc>
        <w:tc>
          <w:tcPr>
            <w:tcW w:w="646" w:type="dxa"/>
          </w:tcPr>
          <w:p>
            <w:pPr>
              <w:pStyle w:val="TableParagraph"/>
              <w:spacing w:before="40"/>
              <w:ind w:right="215"/>
              <w:jc w:val="right"/>
              <w:rPr>
                <w:sz w:val="18"/>
              </w:rPr>
            </w:pPr>
            <w:r>
              <w:rPr>
                <w:w w:val="95"/>
                <w:sz w:val="18"/>
              </w:rPr>
              <w:t>23</w:t>
            </w:r>
          </w:p>
        </w:tc>
        <w:tc>
          <w:tcPr>
            <w:tcW w:w="456" w:type="dxa"/>
            <w:tcBorders>
              <w:right w:val="single" w:sz="4" w:space="0" w:color="000000"/>
            </w:tcBorders>
          </w:tcPr>
          <w:p>
            <w:pPr>
              <w:pStyle w:val="TableParagraph"/>
              <w:spacing w:before="40"/>
              <w:rPr>
                <w:sz w:val="18"/>
              </w:rPr>
            </w:pPr>
            <w:r>
              <w:rPr>
                <w:w w:val="99"/>
                <w:sz w:val="18"/>
              </w:rPr>
              <w:t>3</w:t>
            </w:r>
          </w:p>
        </w:tc>
        <w:tc>
          <w:tcPr>
            <w:tcW w:w="852" w:type="dxa"/>
            <w:tcBorders>
              <w:left w:val="single" w:sz="4" w:space="0" w:color="000000"/>
            </w:tcBorders>
          </w:tcPr>
          <w:p>
            <w:pPr>
              <w:pStyle w:val="TableParagraph"/>
              <w:spacing w:before="40"/>
              <w:ind w:left="1"/>
              <w:rPr>
                <w:sz w:val="18"/>
              </w:rPr>
            </w:pPr>
            <w:r>
              <w:rPr>
                <w:w w:val="99"/>
                <w:sz w:val="18"/>
              </w:rPr>
              <w:t>2</w:t>
            </w:r>
          </w:p>
        </w:tc>
        <w:tc>
          <w:tcPr>
            <w:tcW w:w="475" w:type="dxa"/>
          </w:tcPr>
          <w:p>
            <w:pPr>
              <w:pStyle w:val="TableParagraph"/>
              <w:spacing w:before="40"/>
              <w:ind w:right="131"/>
              <w:jc w:val="right"/>
              <w:rPr>
                <w:sz w:val="18"/>
              </w:rPr>
            </w:pPr>
            <w:r>
              <w:rPr>
                <w:w w:val="95"/>
                <w:sz w:val="18"/>
              </w:rPr>
              <w:t>16</w:t>
            </w:r>
          </w:p>
        </w:tc>
        <w:tc>
          <w:tcPr>
            <w:tcW w:w="475" w:type="dxa"/>
          </w:tcPr>
          <w:p>
            <w:pPr>
              <w:pStyle w:val="TableParagraph"/>
              <w:spacing w:before="40"/>
              <w:ind w:right="79"/>
              <w:jc w:val="right"/>
              <w:rPr>
                <w:sz w:val="18"/>
              </w:rPr>
            </w:pPr>
            <w:r>
              <w:rPr>
                <w:w w:val="95"/>
                <w:sz w:val="18"/>
              </w:rPr>
              <w:t>151</w:t>
            </w:r>
          </w:p>
        </w:tc>
      </w:tr>
      <w:tr>
        <w:trPr>
          <w:trHeight w:val="399" w:hRule="exact"/>
        </w:trPr>
        <w:tc>
          <w:tcPr>
            <w:tcW w:w="4277" w:type="dxa"/>
          </w:tcPr>
          <w:p>
            <w:pPr>
              <w:pStyle w:val="TableParagraph"/>
              <w:spacing w:before="35"/>
              <w:ind w:left="64"/>
              <w:jc w:val="left"/>
              <w:rPr>
                <w:b/>
                <w:sz w:val="18"/>
              </w:rPr>
            </w:pPr>
            <w:r>
              <w:rPr>
                <w:b/>
                <w:sz w:val="18"/>
              </w:rPr>
              <w:t>TEPETLAOXTOC</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4</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84"/>
              <w:jc w:val="left"/>
              <w:rPr>
                <w:sz w:val="18"/>
              </w:rPr>
            </w:pPr>
            <w:r>
              <w:rPr>
                <w:w w:val="99"/>
                <w:sz w:val="18"/>
              </w:rPr>
              <w:t>3</w:t>
            </w:r>
          </w:p>
        </w:tc>
        <w:tc>
          <w:tcPr>
            <w:tcW w:w="459" w:type="dxa"/>
          </w:tcPr>
          <w:p>
            <w:pPr>
              <w:pStyle w:val="TableParagraph"/>
              <w:spacing w:before="40"/>
              <w:ind w:left="2"/>
              <w:rPr>
                <w:sz w:val="18"/>
              </w:rPr>
            </w:pPr>
            <w:r>
              <w:rPr>
                <w:w w:val="99"/>
                <w:sz w:val="18"/>
              </w:rPr>
              <w:t>0</w:t>
            </w:r>
          </w:p>
        </w:tc>
        <w:tc>
          <w:tcPr>
            <w:tcW w:w="456" w:type="dxa"/>
          </w:tcPr>
          <w:p>
            <w:pPr>
              <w:pStyle w:val="TableParagraph"/>
              <w:spacing w:before="40"/>
              <w:rPr>
                <w:sz w:val="18"/>
              </w:rPr>
            </w:pPr>
            <w:r>
              <w:rPr>
                <w:w w:val="99"/>
                <w:sz w:val="18"/>
              </w:rPr>
              <w:t>2</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1</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ind w:right="181"/>
              <w:jc w:val="right"/>
              <w:rPr>
                <w:sz w:val="18"/>
              </w:rPr>
            </w:pPr>
            <w:r>
              <w:rPr>
                <w:w w:val="99"/>
                <w:sz w:val="18"/>
              </w:rPr>
              <w:t>0</w:t>
            </w:r>
          </w:p>
        </w:tc>
        <w:tc>
          <w:tcPr>
            <w:tcW w:w="475" w:type="dxa"/>
          </w:tcPr>
          <w:p>
            <w:pPr>
              <w:pStyle w:val="TableParagraph"/>
              <w:spacing w:before="40"/>
              <w:ind w:right="131"/>
              <w:jc w:val="right"/>
              <w:rPr>
                <w:sz w:val="18"/>
              </w:rPr>
            </w:pPr>
            <w:r>
              <w:rPr>
                <w:w w:val="95"/>
                <w:sz w:val="18"/>
              </w:rPr>
              <w:t>12</w:t>
            </w:r>
          </w:p>
        </w:tc>
      </w:tr>
      <w:tr>
        <w:trPr>
          <w:trHeight w:val="401" w:hRule="exact"/>
        </w:trPr>
        <w:tc>
          <w:tcPr>
            <w:tcW w:w="4277" w:type="dxa"/>
          </w:tcPr>
          <w:p>
            <w:pPr>
              <w:pStyle w:val="TableParagraph"/>
              <w:spacing w:before="35"/>
              <w:ind w:left="64"/>
              <w:jc w:val="left"/>
              <w:rPr>
                <w:b/>
                <w:sz w:val="18"/>
              </w:rPr>
            </w:pPr>
            <w:r>
              <w:rPr>
                <w:b/>
                <w:sz w:val="18"/>
              </w:rPr>
              <w:t>TEPETLIXPA</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3</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84"/>
              <w:jc w:val="left"/>
              <w:rPr>
                <w:sz w:val="18"/>
              </w:rPr>
            </w:pPr>
            <w:r>
              <w:rPr>
                <w:w w:val="99"/>
                <w:sz w:val="18"/>
              </w:rPr>
              <w:t>3</w:t>
            </w:r>
          </w:p>
        </w:tc>
        <w:tc>
          <w:tcPr>
            <w:tcW w:w="459" w:type="dxa"/>
          </w:tcPr>
          <w:p>
            <w:pPr>
              <w:pStyle w:val="TableParagraph"/>
              <w:spacing w:before="40"/>
              <w:ind w:left="2"/>
              <w:rPr>
                <w:sz w:val="18"/>
              </w:rPr>
            </w:pPr>
            <w:r>
              <w:rPr>
                <w:w w:val="99"/>
                <w:sz w:val="18"/>
              </w:rPr>
              <w:t>7</w:t>
            </w:r>
          </w:p>
        </w:tc>
        <w:tc>
          <w:tcPr>
            <w:tcW w:w="456" w:type="dxa"/>
          </w:tcPr>
          <w:p>
            <w:pPr>
              <w:pStyle w:val="TableParagraph"/>
              <w:spacing w:before="40"/>
              <w:rPr>
                <w:sz w:val="18"/>
              </w:rPr>
            </w:pPr>
            <w:r>
              <w:rPr>
                <w:w w:val="99"/>
                <w:sz w:val="18"/>
              </w:rPr>
              <w:t>0</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ind w:right="181"/>
              <w:jc w:val="right"/>
              <w:rPr>
                <w:sz w:val="18"/>
              </w:rPr>
            </w:pPr>
            <w:r>
              <w:rPr>
                <w:w w:val="99"/>
                <w:sz w:val="18"/>
              </w:rPr>
              <w:t>1</w:t>
            </w:r>
          </w:p>
        </w:tc>
        <w:tc>
          <w:tcPr>
            <w:tcW w:w="475" w:type="dxa"/>
          </w:tcPr>
          <w:p>
            <w:pPr>
              <w:pStyle w:val="TableParagraph"/>
              <w:spacing w:before="40"/>
              <w:ind w:right="131"/>
              <w:jc w:val="right"/>
              <w:rPr>
                <w:sz w:val="18"/>
              </w:rPr>
            </w:pPr>
            <w:r>
              <w:rPr>
                <w:w w:val="95"/>
                <w:sz w:val="18"/>
              </w:rPr>
              <w:t>16</w:t>
            </w:r>
          </w:p>
        </w:tc>
      </w:tr>
      <w:tr>
        <w:trPr>
          <w:trHeight w:val="401" w:hRule="exact"/>
        </w:trPr>
        <w:tc>
          <w:tcPr>
            <w:tcW w:w="4277" w:type="dxa"/>
          </w:tcPr>
          <w:p>
            <w:pPr>
              <w:pStyle w:val="TableParagraph"/>
              <w:spacing w:before="35"/>
              <w:ind w:left="64"/>
              <w:jc w:val="left"/>
              <w:rPr>
                <w:b/>
                <w:sz w:val="18"/>
              </w:rPr>
            </w:pPr>
            <w:r>
              <w:rPr>
                <w:b/>
                <w:sz w:val="18"/>
              </w:rPr>
              <w:t>TEPOTZOTLAN</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6</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34"/>
              <w:jc w:val="left"/>
              <w:rPr>
                <w:sz w:val="18"/>
              </w:rPr>
            </w:pPr>
            <w:r>
              <w:rPr>
                <w:sz w:val="18"/>
              </w:rPr>
              <w:t>30</w:t>
            </w:r>
          </w:p>
        </w:tc>
        <w:tc>
          <w:tcPr>
            <w:tcW w:w="459" w:type="dxa"/>
          </w:tcPr>
          <w:p>
            <w:pPr>
              <w:pStyle w:val="TableParagraph"/>
              <w:spacing w:before="40"/>
              <w:ind w:left="2"/>
              <w:rPr>
                <w:sz w:val="18"/>
              </w:rPr>
            </w:pPr>
            <w:r>
              <w:rPr>
                <w:w w:val="99"/>
                <w:sz w:val="18"/>
              </w:rPr>
              <w:t>3</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ind w:right="181"/>
              <w:jc w:val="right"/>
              <w:rPr>
                <w:sz w:val="18"/>
              </w:rPr>
            </w:pPr>
            <w:r>
              <w:rPr>
                <w:w w:val="99"/>
                <w:sz w:val="18"/>
              </w:rPr>
              <w:t>2</w:t>
            </w:r>
          </w:p>
        </w:tc>
        <w:tc>
          <w:tcPr>
            <w:tcW w:w="475" w:type="dxa"/>
          </w:tcPr>
          <w:p>
            <w:pPr>
              <w:pStyle w:val="TableParagraph"/>
              <w:spacing w:before="40"/>
              <w:ind w:right="131"/>
              <w:jc w:val="right"/>
              <w:rPr>
                <w:sz w:val="18"/>
              </w:rPr>
            </w:pPr>
            <w:r>
              <w:rPr>
                <w:w w:val="95"/>
                <w:sz w:val="18"/>
              </w:rPr>
              <w:t>44</w:t>
            </w:r>
          </w:p>
        </w:tc>
      </w:tr>
      <w:tr>
        <w:trPr>
          <w:trHeight w:val="398" w:hRule="exact"/>
        </w:trPr>
        <w:tc>
          <w:tcPr>
            <w:tcW w:w="4277" w:type="dxa"/>
          </w:tcPr>
          <w:p>
            <w:pPr>
              <w:pStyle w:val="TableParagraph"/>
              <w:spacing w:before="35"/>
              <w:ind w:left="64"/>
              <w:jc w:val="left"/>
              <w:rPr>
                <w:b/>
                <w:sz w:val="18"/>
              </w:rPr>
            </w:pPr>
            <w:r>
              <w:rPr>
                <w:b/>
                <w:sz w:val="18"/>
              </w:rPr>
              <w:t>TEQUIXQUIAC</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3</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84"/>
              <w:jc w:val="left"/>
              <w:rPr>
                <w:sz w:val="18"/>
              </w:rPr>
            </w:pPr>
            <w:r>
              <w:rPr>
                <w:w w:val="99"/>
                <w:sz w:val="18"/>
              </w:rPr>
              <w:t>0</w:t>
            </w:r>
          </w:p>
        </w:tc>
        <w:tc>
          <w:tcPr>
            <w:tcW w:w="459" w:type="dxa"/>
          </w:tcPr>
          <w:p>
            <w:pPr>
              <w:pStyle w:val="TableParagraph"/>
              <w:spacing w:before="40"/>
              <w:ind w:left="2"/>
              <w:rPr>
                <w:sz w:val="18"/>
              </w:rPr>
            </w:pPr>
            <w:r>
              <w:rPr>
                <w:w w:val="99"/>
                <w:sz w:val="18"/>
              </w:rPr>
              <w:t>0</w:t>
            </w:r>
          </w:p>
        </w:tc>
        <w:tc>
          <w:tcPr>
            <w:tcW w:w="456" w:type="dxa"/>
          </w:tcPr>
          <w:p>
            <w:pPr>
              <w:pStyle w:val="TableParagraph"/>
              <w:spacing w:before="40"/>
              <w:rPr>
                <w:sz w:val="18"/>
              </w:rPr>
            </w:pPr>
            <w:r>
              <w:rPr>
                <w:w w:val="99"/>
                <w:sz w:val="18"/>
              </w:rPr>
              <w:t>0</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ind w:right="181"/>
              <w:jc w:val="right"/>
              <w:rPr>
                <w:sz w:val="18"/>
              </w:rPr>
            </w:pPr>
            <w:r>
              <w:rPr>
                <w:w w:val="99"/>
                <w:sz w:val="18"/>
              </w:rPr>
              <w:t>0</w:t>
            </w:r>
          </w:p>
        </w:tc>
        <w:tc>
          <w:tcPr>
            <w:tcW w:w="475" w:type="dxa"/>
          </w:tcPr>
          <w:p>
            <w:pPr>
              <w:pStyle w:val="TableParagraph"/>
              <w:spacing w:before="40"/>
              <w:ind w:right="181"/>
              <w:jc w:val="right"/>
              <w:rPr>
                <w:sz w:val="18"/>
              </w:rPr>
            </w:pPr>
            <w:r>
              <w:rPr>
                <w:w w:val="99"/>
                <w:sz w:val="18"/>
              </w:rPr>
              <w:t>5</w:t>
            </w:r>
          </w:p>
        </w:tc>
      </w:tr>
      <w:tr>
        <w:trPr>
          <w:trHeight w:val="401" w:hRule="exact"/>
        </w:trPr>
        <w:tc>
          <w:tcPr>
            <w:tcW w:w="4277" w:type="dxa"/>
          </w:tcPr>
          <w:p>
            <w:pPr>
              <w:pStyle w:val="TableParagraph"/>
              <w:spacing w:before="35"/>
              <w:ind w:left="64"/>
              <w:jc w:val="left"/>
              <w:rPr>
                <w:b/>
                <w:sz w:val="18"/>
              </w:rPr>
            </w:pPr>
            <w:r>
              <w:rPr>
                <w:b/>
                <w:sz w:val="18"/>
              </w:rPr>
              <w:t>TEXCALTITL�N</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3</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84"/>
              <w:jc w:val="left"/>
              <w:rPr>
                <w:sz w:val="18"/>
              </w:rPr>
            </w:pPr>
            <w:r>
              <w:rPr>
                <w:w w:val="99"/>
                <w:sz w:val="18"/>
              </w:rPr>
              <w:t>0</w:t>
            </w:r>
          </w:p>
        </w:tc>
        <w:tc>
          <w:tcPr>
            <w:tcW w:w="459" w:type="dxa"/>
          </w:tcPr>
          <w:p>
            <w:pPr>
              <w:pStyle w:val="TableParagraph"/>
              <w:spacing w:before="40"/>
              <w:ind w:left="2"/>
              <w:rPr>
                <w:sz w:val="18"/>
              </w:rPr>
            </w:pPr>
            <w:r>
              <w:rPr>
                <w:w w:val="99"/>
                <w:sz w:val="18"/>
              </w:rPr>
              <w:t>0</w:t>
            </w:r>
          </w:p>
        </w:tc>
        <w:tc>
          <w:tcPr>
            <w:tcW w:w="456" w:type="dxa"/>
          </w:tcPr>
          <w:p>
            <w:pPr>
              <w:pStyle w:val="TableParagraph"/>
              <w:spacing w:before="40"/>
              <w:rPr>
                <w:sz w:val="18"/>
              </w:rPr>
            </w:pPr>
            <w:r>
              <w:rPr>
                <w:w w:val="99"/>
                <w:sz w:val="18"/>
              </w:rPr>
              <w:t>0</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ind w:right="181"/>
              <w:jc w:val="right"/>
              <w:rPr>
                <w:sz w:val="18"/>
              </w:rPr>
            </w:pPr>
            <w:r>
              <w:rPr>
                <w:w w:val="99"/>
                <w:sz w:val="18"/>
              </w:rPr>
              <w:t>0</w:t>
            </w:r>
          </w:p>
        </w:tc>
        <w:tc>
          <w:tcPr>
            <w:tcW w:w="475" w:type="dxa"/>
          </w:tcPr>
          <w:p>
            <w:pPr>
              <w:pStyle w:val="TableParagraph"/>
              <w:spacing w:before="40"/>
              <w:ind w:right="181"/>
              <w:jc w:val="right"/>
              <w:rPr>
                <w:sz w:val="18"/>
              </w:rPr>
            </w:pPr>
            <w:r>
              <w:rPr>
                <w:w w:val="99"/>
                <w:sz w:val="18"/>
              </w:rPr>
              <w:t>5</w:t>
            </w:r>
          </w:p>
        </w:tc>
      </w:tr>
      <w:tr>
        <w:trPr>
          <w:trHeight w:val="401" w:hRule="exact"/>
        </w:trPr>
        <w:tc>
          <w:tcPr>
            <w:tcW w:w="4277" w:type="dxa"/>
          </w:tcPr>
          <w:p>
            <w:pPr>
              <w:pStyle w:val="TableParagraph"/>
              <w:spacing w:before="35"/>
              <w:ind w:left="64"/>
              <w:jc w:val="left"/>
              <w:rPr>
                <w:b/>
                <w:sz w:val="18"/>
              </w:rPr>
            </w:pPr>
            <w:r>
              <w:rPr>
                <w:b/>
                <w:sz w:val="18"/>
              </w:rPr>
              <w:t>TEXCALYACAC</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7</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84"/>
              <w:jc w:val="left"/>
              <w:rPr>
                <w:sz w:val="18"/>
              </w:rPr>
            </w:pPr>
            <w:r>
              <w:rPr>
                <w:w w:val="99"/>
                <w:sz w:val="18"/>
              </w:rPr>
              <w:t>9</w:t>
            </w:r>
          </w:p>
        </w:tc>
        <w:tc>
          <w:tcPr>
            <w:tcW w:w="459" w:type="dxa"/>
          </w:tcPr>
          <w:p>
            <w:pPr>
              <w:pStyle w:val="TableParagraph"/>
              <w:spacing w:before="40"/>
              <w:ind w:left="2"/>
              <w:rPr>
                <w:sz w:val="18"/>
              </w:rPr>
            </w:pPr>
            <w:r>
              <w:rPr>
                <w:w w:val="99"/>
                <w:sz w:val="18"/>
              </w:rPr>
              <w:t>3</w:t>
            </w:r>
          </w:p>
        </w:tc>
        <w:tc>
          <w:tcPr>
            <w:tcW w:w="456" w:type="dxa"/>
          </w:tcPr>
          <w:p>
            <w:pPr>
              <w:pStyle w:val="TableParagraph"/>
              <w:spacing w:before="40"/>
              <w:rPr>
                <w:sz w:val="18"/>
              </w:rPr>
            </w:pPr>
            <w:r>
              <w:rPr>
                <w:w w:val="99"/>
                <w:sz w:val="18"/>
              </w:rPr>
              <w:t>0</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ind w:right="181"/>
              <w:jc w:val="right"/>
              <w:rPr>
                <w:sz w:val="18"/>
              </w:rPr>
            </w:pPr>
            <w:r>
              <w:rPr>
                <w:w w:val="99"/>
                <w:sz w:val="18"/>
              </w:rPr>
              <w:t>3</w:t>
            </w:r>
          </w:p>
        </w:tc>
        <w:tc>
          <w:tcPr>
            <w:tcW w:w="475" w:type="dxa"/>
          </w:tcPr>
          <w:p>
            <w:pPr>
              <w:pStyle w:val="TableParagraph"/>
              <w:spacing w:before="40"/>
              <w:ind w:right="131"/>
              <w:jc w:val="right"/>
              <w:rPr>
                <w:sz w:val="18"/>
              </w:rPr>
            </w:pPr>
            <w:r>
              <w:rPr>
                <w:w w:val="95"/>
                <w:sz w:val="18"/>
              </w:rPr>
              <w:t>24</w:t>
            </w:r>
          </w:p>
        </w:tc>
      </w:tr>
      <w:tr>
        <w:trPr>
          <w:trHeight w:val="398" w:hRule="exact"/>
        </w:trPr>
        <w:tc>
          <w:tcPr>
            <w:tcW w:w="4277" w:type="dxa"/>
          </w:tcPr>
          <w:p>
            <w:pPr>
              <w:pStyle w:val="TableParagraph"/>
              <w:spacing w:before="35"/>
              <w:ind w:left="64"/>
              <w:jc w:val="left"/>
              <w:rPr>
                <w:b/>
                <w:sz w:val="18"/>
              </w:rPr>
            </w:pPr>
            <w:r>
              <w:rPr>
                <w:b/>
                <w:sz w:val="18"/>
              </w:rPr>
              <w:t>TEXCOCO</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51" w:right="51"/>
              <w:rPr>
                <w:sz w:val="18"/>
              </w:rPr>
            </w:pPr>
            <w:r>
              <w:rPr>
                <w:sz w:val="18"/>
              </w:rPr>
              <w:t>10</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34"/>
              <w:jc w:val="left"/>
              <w:rPr>
                <w:sz w:val="18"/>
              </w:rPr>
            </w:pPr>
            <w:r>
              <w:rPr>
                <w:sz w:val="18"/>
              </w:rPr>
              <w:t>15</w:t>
            </w:r>
          </w:p>
        </w:tc>
        <w:tc>
          <w:tcPr>
            <w:tcW w:w="459" w:type="dxa"/>
          </w:tcPr>
          <w:p>
            <w:pPr>
              <w:pStyle w:val="TableParagraph"/>
              <w:spacing w:before="40"/>
              <w:ind w:left="2"/>
              <w:rPr>
                <w:sz w:val="18"/>
              </w:rPr>
            </w:pPr>
            <w:r>
              <w:rPr>
                <w:w w:val="99"/>
                <w:sz w:val="18"/>
              </w:rPr>
              <w:t>5</w:t>
            </w:r>
          </w:p>
        </w:tc>
        <w:tc>
          <w:tcPr>
            <w:tcW w:w="456" w:type="dxa"/>
          </w:tcPr>
          <w:p>
            <w:pPr>
              <w:pStyle w:val="TableParagraph"/>
              <w:spacing w:before="40"/>
              <w:ind w:left="51" w:right="51"/>
              <w:rPr>
                <w:sz w:val="18"/>
              </w:rPr>
            </w:pPr>
            <w:r>
              <w:rPr>
                <w:sz w:val="18"/>
              </w:rPr>
              <w:t>12</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8</w:t>
            </w:r>
          </w:p>
        </w:tc>
        <w:tc>
          <w:tcPr>
            <w:tcW w:w="646" w:type="dxa"/>
          </w:tcPr>
          <w:p>
            <w:pPr>
              <w:pStyle w:val="TableParagraph"/>
              <w:spacing w:before="40"/>
              <w:ind w:right="267"/>
              <w:jc w:val="right"/>
              <w:rPr>
                <w:sz w:val="18"/>
              </w:rPr>
            </w:pPr>
            <w:r>
              <w:rPr>
                <w:w w:val="99"/>
                <w:sz w:val="18"/>
              </w:rPr>
              <w:t>1</w:t>
            </w:r>
          </w:p>
        </w:tc>
        <w:tc>
          <w:tcPr>
            <w:tcW w:w="456" w:type="dxa"/>
            <w:tcBorders>
              <w:right w:val="single" w:sz="4" w:space="0" w:color="000000"/>
            </w:tcBorders>
          </w:tcPr>
          <w:p>
            <w:pPr>
              <w:pStyle w:val="TableParagraph"/>
              <w:spacing w:before="40"/>
              <w:rPr>
                <w:sz w:val="18"/>
              </w:rPr>
            </w:pPr>
            <w:r>
              <w:rPr>
                <w:w w:val="99"/>
                <w:sz w:val="18"/>
              </w:rPr>
              <w:t>1</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ind w:right="181"/>
              <w:jc w:val="right"/>
              <w:rPr>
                <w:sz w:val="18"/>
              </w:rPr>
            </w:pPr>
            <w:r>
              <w:rPr>
                <w:w w:val="99"/>
                <w:sz w:val="18"/>
              </w:rPr>
              <w:t>0</w:t>
            </w:r>
          </w:p>
        </w:tc>
        <w:tc>
          <w:tcPr>
            <w:tcW w:w="475" w:type="dxa"/>
          </w:tcPr>
          <w:p>
            <w:pPr>
              <w:pStyle w:val="TableParagraph"/>
              <w:spacing w:before="40"/>
              <w:ind w:right="131"/>
              <w:jc w:val="right"/>
              <w:rPr>
                <w:sz w:val="18"/>
              </w:rPr>
            </w:pPr>
            <w:r>
              <w:rPr>
                <w:w w:val="95"/>
                <w:sz w:val="18"/>
              </w:rPr>
              <w:t>54</w:t>
            </w:r>
          </w:p>
        </w:tc>
      </w:tr>
      <w:tr>
        <w:trPr>
          <w:trHeight w:val="401" w:hRule="exact"/>
        </w:trPr>
        <w:tc>
          <w:tcPr>
            <w:tcW w:w="4277" w:type="dxa"/>
          </w:tcPr>
          <w:p>
            <w:pPr>
              <w:pStyle w:val="TableParagraph"/>
              <w:spacing w:before="35"/>
              <w:ind w:left="64"/>
              <w:jc w:val="left"/>
              <w:rPr>
                <w:b/>
                <w:sz w:val="18"/>
              </w:rPr>
            </w:pPr>
            <w:r>
              <w:rPr>
                <w:b/>
                <w:sz w:val="18"/>
              </w:rPr>
              <w:t>TEZOYUCA</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9</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84"/>
              <w:jc w:val="left"/>
              <w:rPr>
                <w:sz w:val="18"/>
              </w:rPr>
            </w:pPr>
            <w:r>
              <w:rPr>
                <w:w w:val="99"/>
                <w:sz w:val="18"/>
              </w:rPr>
              <w:t>1</w:t>
            </w:r>
          </w:p>
        </w:tc>
        <w:tc>
          <w:tcPr>
            <w:tcW w:w="459" w:type="dxa"/>
          </w:tcPr>
          <w:p>
            <w:pPr>
              <w:pStyle w:val="TableParagraph"/>
              <w:spacing w:before="40"/>
              <w:ind w:left="2"/>
              <w:rPr>
                <w:sz w:val="18"/>
              </w:rPr>
            </w:pPr>
            <w:r>
              <w:rPr>
                <w:w w:val="99"/>
                <w:sz w:val="18"/>
              </w:rPr>
              <w:t>1</w:t>
            </w:r>
          </w:p>
        </w:tc>
        <w:tc>
          <w:tcPr>
            <w:tcW w:w="456" w:type="dxa"/>
          </w:tcPr>
          <w:p>
            <w:pPr>
              <w:pStyle w:val="TableParagraph"/>
              <w:spacing w:before="40"/>
              <w:rPr>
                <w:sz w:val="18"/>
              </w:rPr>
            </w:pPr>
            <w:r>
              <w:rPr>
                <w:w w:val="99"/>
                <w:sz w:val="18"/>
              </w:rPr>
              <w:t>0</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1</w:t>
            </w:r>
          </w:p>
        </w:tc>
        <w:tc>
          <w:tcPr>
            <w:tcW w:w="646" w:type="dxa"/>
          </w:tcPr>
          <w:p>
            <w:pPr>
              <w:pStyle w:val="TableParagraph"/>
              <w:spacing w:before="40"/>
              <w:ind w:right="267"/>
              <w:jc w:val="right"/>
              <w:rPr>
                <w:sz w:val="18"/>
              </w:rPr>
            </w:pPr>
            <w:r>
              <w:rPr>
                <w:w w:val="99"/>
                <w:sz w:val="18"/>
              </w:rPr>
              <w:t>1</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ind w:right="181"/>
              <w:jc w:val="right"/>
              <w:rPr>
                <w:sz w:val="18"/>
              </w:rPr>
            </w:pPr>
            <w:r>
              <w:rPr>
                <w:w w:val="99"/>
                <w:sz w:val="18"/>
              </w:rPr>
              <w:t>0</w:t>
            </w:r>
          </w:p>
        </w:tc>
        <w:tc>
          <w:tcPr>
            <w:tcW w:w="475" w:type="dxa"/>
          </w:tcPr>
          <w:p>
            <w:pPr>
              <w:pStyle w:val="TableParagraph"/>
              <w:spacing w:before="40"/>
              <w:ind w:right="131"/>
              <w:jc w:val="right"/>
              <w:rPr>
                <w:sz w:val="18"/>
              </w:rPr>
            </w:pPr>
            <w:r>
              <w:rPr>
                <w:w w:val="95"/>
                <w:sz w:val="18"/>
              </w:rPr>
              <w:t>15</w:t>
            </w:r>
          </w:p>
        </w:tc>
      </w:tr>
      <w:tr>
        <w:trPr>
          <w:trHeight w:val="401" w:hRule="exact"/>
        </w:trPr>
        <w:tc>
          <w:tcPr>
            <w:tcW w:w="4277" w:type="dxa"/>
          </w:tcPr>
          <w:p>
            <w:pPr>
              <w:pStyle w:val="TableParagraph"/>
              <w:spacing w:before="35"/>
              <w:ind w:left="64"/>
              <w:jc w:val="left"/>
              <w:rPr>
                <w:b/>
                <w:sz w:val="18"/>
              </w:rPr>
            </w:pPr>
            <w:r>
              <w:rPr>
                <w:b/>
                <w:sz w:val="18"/>
              </w:rPr>
              <w:t>TIANGUISTENCO</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5</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34"/>
              <w:jc w:val="left"/>
              <w:rPr>
                <w:sz w:val="18"/>
              </w:rPr>
            </w:pPr>
            <w:r>
              <w:rPr>
                <w:sz w:val="18"/>
              </w:rPr>
              <w:t>19</w:t>
            </w:r>
          </w:p>
        </w:tc>
        <w:tc>
          <w:tcPr>
            <w:tcW w:w="459" w:type="dxa"/>
          </w:tcPr>
          <w:p>
            <w:pPr>
              <w:pStyle w:val="TableParagraph"/>
              <w:spacing w:before="40"/>
              <w:ind w:left="2"/>
              <w:rPr>
                <w:sz w:val="18"/>
              </w:rPr>
            </w:pPr>
            <w:r>
              <w:rPr>
                <w:w w:val="99"/>
                <w:sz w:val="18"/>
              </w:rPr>
              <w:t>8</w:t>
            </w:r>
          </w:p>
        </w:tc>
        <w:tc>
          <w:tcPr>
            <w:tcW w:w="456" w:type="dxa"/>
          </w:tcPr>
          <w:p>
            <w:pPr>
              <w:pStyle w:val="TableParagraph"/>
              <w:spacing w:before="40"/>
              <w:ind w:left="51" w:right="51"/>
              <w:rPr>
                <w:sz w:val="18"/>
              </w:rPr>
            </w:pPr>
            <w:r>
              <w:rPr>
                <w:sz w:val="18"/>
              </w:rPr>
              <w:t>28</w:t>
            </w:r>
          </w:p>
        </w:tc>
        <w:tc>
          <w:tcPr>
            <w:tcW w:w="458" w:type="dxa"/>
          </w:tcPr>
          <w:p>
            <w:pPr>
              <w:pStyle w:val="TableParagraph"/>
              <w:spacing w:before="40"/>
              <w:ind w:left="1"/>
              <w:rPr>
                <w:sz w:val="18"/>
              </w:rPr>
            </w:pPr>
            <w:r>
              <w:rPr>
                <w:w w:val="99"/>
                <w:sz w:val="18"/>
              </w:rPr>
              <w:t>3</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1</w:t>
            </w:r>
          </w:p>
        </w:tc>
        <w:tc>
          <w:tcPr>
            <w:tcW w:w="646" w:type="dxa"/>
          </w:tcPr>
          <w:p>
            <w:pPr>
              <w:pStyle w:val="TableParagraph"/>
              <w:spacing w:before="40"/>
              <w:ind w:right="267"/>
              <w:jc w:val="right"/>
              <w:rPr>
                <w:sz w:val="18"/>
              </w:rPr>
            </w:pPr>
            <w:r>
              <w:rPr>
                <w:w w:val="99"/>
                <w:sz w:val="18"/>
              </w:rPr>
              <w:t>1</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1</w:t>
            </w:r>
          </w:p>
        </w:tc>
        <w:tc>
          <w:tcPr>
            <w:tcW w:w="475" w:type="dxa"/>
          </w:tcPr>
          <w:p>
            <w:pPr>
              <w:pStyle w:val="TableParagraph"/>
              <w:spacing w:before="40"/>
              <w:ind w:right="181"/>
              <w:jc w:val="right"/>
              <w:rPr>
                <w:sz w:val="18"/>
              </w:rPr>
            </w:pPr>
            <w:r>
              <w:rPr>
                <w:w w:val="99"/>
                <w:sz w:val="18"/>
              </w:rPr>
              <w:t>4</w:t>
            </w:r>
          </w:p>
        </w:tc>
        <w:tc>
          <w:tcPr>
            <w:tcW w:w="475" w:type="dxa"/>
          </w:tcPr>
          <w:p>
            <w:pPr>
              <w:pStyle w:val="TableParagraph"/>
              <w:spacing w:before="40"/>
              <w:ind w:right="131"/>
              <w:jc w:val="right"/>
              <w:rPr>
                <w:sz w:val="18"/>
              </w:rPr>
            </w:pPr>
            <w:r>
              <w:rPr>
                <w:w w:val="95"/>
                <w:sz w:val="18"/>
              </w:rPr>
              <w:t>72</w:t>
            </w:r>
          </w:p>
        </w:tc>
      </w:tr>
      <w:tr>
        <w:trPr>
          <w:trHeight w:val="398" w:hRule="exact"/>
        </w:trPr>
        <w:tc>
          <w:tcPr>
            <w:tcW w:w="4277" w:type="dxa"/>
          </w:tcPr>
          <w:p>
            <w:pPr>
              <w:pStyle w:val="TableParagraph"/>
              <w:spacing w:before="35"/>
              <w:ind w:left="64"/>
              <w:jc w:val="left"/>
              <w:rPr>
                <w:b/>
                <w:sz w:val="18"/>
              </w:rPr>
            </w:pPr>
            <w:r>
              <w:rPr>
                <w:b/>
                <w:sz w:val="18"/>
              </w:rPr>
              <w:t>TIMILPAN</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4</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34"/>
              <w:jc w:val="left"/>
              <w:rPr>
                <w:sz w:val="18"/>
              </w:rPr>
            </w:pPr>
            <w:r>
              <w:rPr>
                <w:sz w:val="18"/>
              </w:rPr>
              <w:t>16</w:t>
            </w:r>
          </w:p>
        </w:tc>
        <w:tc>
          <w:tcPr>
            <w:tcW w:w="459" w:type="dxa"/>
          </w:tcPr>
          <w:p>
            <w:pPr>
              <w:pStyle w:val="TableParagraph"/>
              <w:spacing w:before="40"/>
              <w:ind w:left="2"/>
              <w:rPr>
                <w:sz w:val="18"/>
              </w:rPr>
            </w:pPr>
            <w:r>
              <w:rPr>
                <w:w w:val="99"/>
                <w:sz w:val="18"/>
              </w:rPr>
              <w:t>7</w:t>
            </w:r>
          </w:p>
        </w:tc>
        <w:tc>
          <w:tcPr>
            <w:tcW w:w="456" w:type="dxa"/>
          </w:tcPr>
          <w:p>
            <w:pPr>
              <w:pStyle w:val="TableParagraph"/>
              <w:spacing w:before="40"/>
              <w:rPr>
                <w:sz w:val="18"/>
              </w:rPr>
            </w:pPr>
            <w:r>
              <w:rPr>
                <w:w w:val="99"/>
                <w:sz w:val="18"/>
              </w:rPr>
              <w:t>9</w:t>
            </w:r>
          </w:p>
        </w:tc>
        <w:tc>
          <w:tcPr>
            <w:tcW w:w="458" w:type="dxa"/>
          </w:tcPr>
          <w:p>
            <w:pPr>
              <w:pStyle w:val="TableParagraph"/>
              <w:spacing w:before="40"/>
              <w:ind w:left="1"/>
              <w:rPr>
                <w:sz w:val="18"/>
              </w:rPr>
            </w:pPr>
            <w:r>
              <w:rPr>
                <w:w w:val="99"/>
                <w:sz w:val="18"/>
              </w:rPr>
              <w:t>1</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1</w:t>
            </w:r>
          </w:p>
        </w:tc>
        <w:tc>
          <w:tcPr>
            <w:tcW w:w="646" w:type="dxa"/>
          </w:tcPr>
          <w:p>
            <w:pPr>
              <w:pStyle w:val="TableParagraph"/>
              <w:spacing w:before="40"/>
              <w:ind w:right="267"/>
              <w:jc w:val="right"/>
              <w:rPr>
                <w:sz w:val="18"/>
              </w:rPr>
            </w:pPr>
            <w:r>
              <w:rPr>
                <w:w w:val="99"/>
                <w:sz w:val="18"/>
              </w:rPr>
              <w:t>1</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ind w:right="131"/>
              <w:jc w:val="right"/>
              <w:rPr>
                <w:sz w:val="18"/>
              </w:rPr>
            </w:pPr>
            <w:r>
              <w:rPr>
                <w:w w:val="95"/>
                <w:sz w:val="18"/>
              </w:rPr>
              <w:t>12</w:t>
            </w:r>
          </w:p>
        </w:tc>
        <w:tc>
          <w:tcPr>
            <w:tcW w:w="475" w:type="dxa"/>
          </w:tcPr>
          <w:p>
            <w:pPr>
              <w:pStyle w:val="TableParagraph"/>
              <w:spacing w:before="40"/>
              <w:ind w:right="131"/>
              <w:jc w:val="right"/>
              <w:rPr>
                <w:sz w:val="18"/>
              </w:rPr>
            </w:pPr>
            <w:r>
              <w:rPr>
                <w:w w:val="95"/>
                <w:sz w:val="18"/>
              </w:rPr>
              <w:t>53</w:t>
            </w:r>
          </w:p>
        </w:tc>
      </w:tr>
      <w:tr>
        <w:trPr>
          <w:trHeight w:val="401" w:hRule="exact"/>
        </w:trPr>
        <w:tc>
          <w:tcPr>
            <w:tcW w:w="4277" w:type="dxa"/>
          </w:tcPr>
          <w:p>
            <w:pPr>
              <w:pStyle w:val="TableParagraph"/>
              <w:spacing w:before="35"/>
              <w:ind w:left="64"/>
              <w:jc w:val="left"/>
              <w:rPr>
                <w:b/>
                <w:sz w:val="18"/>
              </w:rPr>
            </w:pPr>
            <w:r>
              <w:rPr>
                <w:b/>
                <w:sz w:val="18"/>
              </w:rPr>
              <w:t>TLALMANALCO</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3</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84"/>
              <w:jc w:val="left"/>
              <w:rPr>
                <w:sz w:val="18"/>
              </w:rPr>
            </w:pPr>
            <w:r>
              <w:rPr>
                <w:w w:val="99"/>
                <w:sz w:val="18"/>
              </w:rPr>
              <w:t>1</w:t>
            </w:r>
          </w:p>
        </w:tc>
        <w:tc>
          <w:tcPr>
            <w:tcW w:w="459" w:type="dxa"/>
          </w:tcPr>
          <w:p>
            <w:pPr>
              <w:pStyle w:val="TableParagraph"/>
              <w:spacing w:before="40"/>
              <w:ind w:left="2"/>
              <w:rPr>
                <w:sz w:val="18"/>
              </w:rPr>
            </w:pPr>
            <w:r>
              <w:rPr>
                <w:w w:val="99"/>
                <w:sz w:val="18"/>
              </w:rPr>
              <w:t>0</w:t>
            </w:r>
          </w:p>
        </w:tc>
        <w:tc>
          <w:tcPr>
            <w:tcW w:w="456" w:type="dxa"/>
          </w:tcPr>
          <w:p>
            <w:pPr>
              <w:pStyle w:val="TableParagraph"/>
              <w:spacing w:before="40"/>
              <w:ind w:left="51" w:right="51"/>
              <w:rPr>
                <w:sz w:val="18"/>
              </w:rPr>
            </w:pPr>
            <w:r>
              <w:rPr>
                <w:sz w:val="18"/>
              </w:rPr>
              <w:t>12</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35"/>
              <w:jc w:val="left"/>
              <w:rPr>
                <w:sz w:val="18"/>
              </w:rPr>
            </w:pPr>
            <w:r>
              <w:rPr>
                <w:sz w:val="18"/>
              </w:rPr>
              <w:t>16</w:t>
            </w:r>
          </w:p>
        </w:tc>
        <w:tc>
          <w:tcPr>
            <w:tcW w:w="646" w:type="dxa"/>
          </w:tcPr>
          <w:p>
            <w:pPr>
              <w:pStyle w:val="TableParagraph"/>
              <w:spacing w:before="40"/>
              <w:ind w:right="215"/>
              <w:jc w:val="right"/>
              <w:rPr>
                <w:sz w:val="18"/>
              </w:rPr>
            </w:pPr>
            <w:r>
              <w:rPr>
                <w:w w:val="95"/>
                <w:sz w:val="18"/>
              </w:rPr>
              <w:t>17</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ind w:right="181"/>
              <w:jc w:val="right"/>
              <w:rPr>
                <w:sz w:val="18"/>
              </w:rPr>
            </w:pPr>
            <w:r>
              <w:rPr>
                <w:w w:val="99"/>
                <w:sz w:val="18"/>
              </w:rPr>
              <w:t>0</w:t>
            </w:r>
          </w:p>
        </w:tc>
        <w:tc>
          <w:tcPr>
            <w:tcW w:w="475" w:type="dxa"/>
          </w:tcPr>
          <w:p>
            <w:pPr>
              <w:pStyle w:val="TableParagraph"/>
              <w:spacing w:before="40"/>
              <w:ind w:right="131"/>
              <w:jc w:val="right"/>
              <w:rPr>
                <w:sz w:val="18"/>
              </w:rPr>
            </w:pPr>
            <w:r>
              <w:rPr>
                <w:w w:val="95"/>
                <w:sz w:val="18"/>
              </w:rPr>
              <w:t>51</w:t>
            </w:r>
          </w:p>
        </w:tc>
      </w:tr>
      <w:tr>
        <w:trPr>
          <w:trHeight w:val="401" w:hRule="exact"/>
        </w:trPr>
        <w:tc>
          <w:tcPr>
            <w:tcW w:w="4277" w:type="dxa"/>
          </w:tcPr>
          <w:p>
            <w:pPr>
              <w:pStyle w:val="TableParagraph"/>
              <w:spacing w:before="35"/>
              <w:ind w:left="64"/>
              <w:jc w:val="left"/>
              <w:rPr>
                <w:b/>
                <w:sz w:val="18"/>
              </w:rPr>
            </w:pPr>
            <w:r>
              <w:rPr>
                <w:b/>
                <w:sz w:val="18"/>
              </w:rPr>
              <w:t>TLALNEPANTLA DE BAZ</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4</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34"/>
              <w:jc w:val="left"/>
              <w:rPr>
                <w:sz w:val="18"/>
              </w:rPr>
            </w:pPr>
            <w:r>
              <w:rPr>
                <w:sz w:val="18"/>
              </w:rPr>
              <w:t>36</w:t>
            </w:r>
          </w:p>
        </w:tc>
        <w:tc>
          <w:tcPr>
            <w:tcW w:w="459" w:type="dxa"/>
          </w:tcPr>
          <w:p>
            <w:pPr>
              <w:pStyle w:val="TableParagraph"/>
              <w:spacing w:before="40"/>
              <w:ind w:left="105" w:right="104"/>
              <w:rPr>
                <w:sz w:val="18"/>
              </w:rPr>
            </w:pPr>
            <w:r>
              <w:rPr>
                <w:sz w:val="18"/>
              </w:rPr>
              <w:t>16</w:t>
            </w:r>
          </w:p>
        </w:tc>
        <w:tc>
          <w:tcPr>
            <w:tcW w:w="456" w:type="dxa"/>
          </w:tcPr>
          <w:p>
            <w:pPr>
              <w:pStyle w:val="TableParagraph"/>
              <w:spacing w:before="40"/>
              <w:ind w:left="51" w:right="51"/>
              <w:rPr>
                <w:sz w:val="18"/>
              </w:rPr>
            </w:pPr>
            <w:r>
              <w:rPr>
                <w:sz w:val="18"/>
              </w:rPr>
              <w:t>56</w:t>
            </w:r>
          </w:p>
        </w:tc>
        <w:tc>
          <w:tcPr>
            <w:tcW w:w="458" w:type="dxa"/>
          </w:tcPr>
          <w:p>
            <w:pPr>
              <w:pStyle w:val="TableParagraph"/>
              <w:spacing w:before="40"/>
              <w:ind w:left="1"/>
              <w:rPr>
                <w:sz w:val="18"/>
              </w:rPr>
            </w:pPr>
            <w:r>
              <w:rPr>
                <w:w w:val="99"/>
                <w:sz w:val="18"/>
              </w:rPr>
              <w:t>2</w:t>
            </w:r>
          </w:p>
        </w:tc>
        <w:tc>
          <w:tcPr>
            <w:tcW w:w="456" w:type="dxa"/>
          </w:tcPr>
          <w:p>
            <w:pPr>
              <w:pStyle w:val="TableParagraph"/>
              <w:spacing w:before="40"/>
              <w:ind w:left="122"/>
              <w:jc w:val="left"/>
              <w:rPr>
                <w:sz w:val="18"/>
              </w:rPr>
            </w:pPr>
            <w:r>
              <w:rPr>
                <w:sz w:val="18"/>
              </w:rPr>
              <w:t>41</w:t>
            </w:r>
          </w:p>
        </w:tc>
        <w:tc>
          <w:tcPr>
            <w:tcW w:w="684" w:type="dxa"/>
          </w:tcPr>
          <w:p>
            <w:pPr>
              <w:pStyle w:val="TableParagraph"/>
              <w:spacing w:before="40"/>
              <w:ind w:left="235"/>
              <w:jc w:val="left"/>
              <w:rPr>
                <w:sz w:val="18"/>
              </w:rPr>
            </w:pPr>
            <w:r>
              <w:rPr>
                <w:sz w:val="18"/>
              </w:rPr>
              <w:t>50</w:t>
            </w:r>
          </w:p>
        </w:tc>
        <w:tc>
          <w:tcPr>
            <w:tcW w:w="646" w:type="dxa"/>
          </w:tcPr>
          <w:p>
            <w:pPr>
              <w:pStyle w:val="TableParagraph"/>
              <w:spacing w:before="40"/>
              <w:ind w:right="215"/>
              <w:jc w:val="right"/>
              <w:rPr>
                <w:sz w:val="18"/>
              </w:rPr>
            </w:pPr>
            <w:r>
              <w:rPr>
                <w:w w:val="95"/>
                <w:sz w:val="18"/>
              </w:rPr>
              <w:t>73</w:t>
            </w:r>
          </w:p>
        </w:tc>
        <w:tc>
          <w:tcPr>
            <w:tcW w:w="456" w:type="dxa"/>
            <w:tcBorders>
              <w:right w:val="single" w:sz="4" w:space="0" w:color="000000"/>
            </w:tcBorders>
          </w:tcPr>
          <w:p>
            <w:pPr>
              <w:pStyle w:val="TableParagraph"/>
              <w:spacing w:before="40"/>
              <w:rPr>
                <w:sz w:val="18"/>
              </w:rPr>
            </w:pPr>
            <w:r>
              <w:rPr>
                <w:w w:val="99"/>
                <w:sz w:val="18"/>
              </w:rPr>
              <w:t>2</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ind w:right="131"/>
              <w:jc w:val="right"/>
              <w:rPr>
                <w:sz w:val="18"/>
              </w:rPr>
            </w:pPr>
            <w:r>
              <w:rPr>
                <w:w w:val="95"/>
                <w:sz w:val="18"/>
              </w:rPr>
              <w:t>50</w:t>
            </w:r>
          </w:p>
        </w:tc>
        <w:tc>
          <w:tcPr>
            <w:tcW w:w="475" w:type="dxa"/>
          </w:tcPr>
          <w:p>
            <w:pPr>
              <w:pStyle w:val="TableParagraph"/>
              <w:spacing w:before="40"/>
              <w:ind w:right="79"/>
              <w:jc w:val="right"/>
              <w:rPr>
                <w:sz w:val="18"/>
              </w:rPr>
            </w:pPr>
            <w:r>
              <w:rPr>
                <w:w w:val="95"/>
                <w:sz w:val="18"/>
              </w:rPr>
              <w:t>332</w:t>
            </w:r>
          </w:p>
        </w:tc>
      </w:tr>
      <w:tr>
        <w:trPr>
          <w:trHeight w:val="398" w:hRule="exact"/>
        </w:trPr>
        <w:tc>
          <w:tcPr>
            <w:tcW w:w="4277" w:type="dxa"/>
          </w:tcPr>
          <w:p>
            <w:pPr>
              <w:pStyle w:val="TableParagraph"/>
              <w:spacing w:before="35"/>
              <w:ind w:left="64"/>
              <w:jc w:val="left"/>
              <w:rPr>
                <w:b/>
                <w:sz w:val="18"/>
              </w:rPr>
            </w:pPr>
            <w:r>
              <w:rPr>
                <w:b/>
                <w:sz w:val="18"/>
              </w:rPr>
              <w:t>TLATLAYA</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3</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84"/>
              <w:jc w:val="left"/>
              <w:rPr>
                <w:sz w:val="18"/>
              </w:rPr>
            </w:pPr>
            <w:r>
              <w:rPr>
                <w:w w:val="99"/>
                <w:sz w:val="18"/>
              </w:rPr>
              <w:t>0</w:t>
            </w:r>
          </w:p>
        </w:tc>
        <w:tc>
          <w:tcPr>
            <w:tcW w:w="459" w:type="dxa"/>
          </w:tcPr>
          <w:p>
            <w:pPr>
              <w:pStyle w:val="TableParagraph"/>
              <w:spacing w:before="40"/>
              <w:ind w:left="2"/>
              <w:rPr>
                <w:sz w:val="18"/>
              </w:rPr>
            </w:pPr>
            <w:r>
              <w:rPr>
                <w:w w:val="99"/>
                <w:sz w:val="18"/>
              </w:rPr>
              <w:t>0</w:t>
            </w:r>
          </w:p>
        </w:tc>
        <w:tc>
          <w:tcPr>
            <w:tcW w:w="456" w:type="dxa"/>
          </w:tcPr>
          <w:p>
            <w:pPr>
              <w:pStyle w:val="TableParagraph"/>
              <w:spacing w:before="40"/>
              <w:rPr>
                <w:sz w:val="18"/>
              </w:rPr>
            </w:pPr>
            <w:r>
              <w:rPr>
                <w:w w:val="99"/>
                <w:sz w:val="18"/>
              </w:rPr>
              <w:t>0</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ind w:right="181"/>
              <w:jc w:val="right"/>
              <w:rPr>
                <w:sz w:val="18"/>
              </w:rPr>
            </w:pPr>
            <w:r>
              <w:rPr>
                <w:w w:val="99"/>
                <w:sz w:val="18"/>
              </w:rPr>
              <w:t>0</w:t>
            </w:r>
          </w:p>
        </w:tc>
        <w:tc>
          <w:tcPr>
            <w:tcW w:w="475" w:type="dxa"/>
          </w:tcPr>
          <w:p>
            <w:pPr>
              <w:pStyle w:val="TableParagraph"/>
              <w:spacing w:before="40"/>
              <w:ind w:right="181"/>
              <w:jc w:val="right"/>
              <w:rPr>
                <w:sz w:val="18"/>
              </w:rPr>
            </w:pPr>
            <w:r>
              <w:rPr>
                <w:w w:val="99"/>
                <w:sz w:val="18"/>
              </w:rPr>
              <w:t>5</w:t>
            </w:r>
          </w:p>
        </w:tc>
      </w:tr>
      <w:tr>
        <w:trPr>
          <w:trHeight w:val="401" w:hRule="exact"/>
        </w:trPr>
        <w:tc>
          <w:tcPr>
            <w:tcW w:w="4277" w:type="dxa"/>
          </w:tcPr>
          <w:p>
            <w:pPr>
              <w:pStyle w:val="TableParagraph"/>
              <w:spacing w:before="35"/>
              <w:ind w:left="64"/>
              <w:jc w:val="left"/>
              <w:rPr>
                <w:b/>
                <w:sz w:val="18"/>
              </w:rPr>
            </w:pPr>
            <w:r>
              <w:rPr>
                <w:b/>
                <w:sz w:val="18"/>
              </w:rPr>
              <w:t>TOLUCA</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4</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84"/>
              <w:jc w:val="left"/>
              <w:rPr>
                <w:sz w:val="18"/>
              </w:rPr>
            </w:pPr>
            <w:r>
              <w:rPr>
                <w:w w:val="99"/>
                <w:sz w:val="18"/>
              </w:rPr>
              <w:t>9</w:t>
            </w:r>
          </w:p>
        </w:tc>
        <w:tc>
          <w:tcPr>
            <w:tcW w:w="459" w:type="dxa"/>
          </w:tcPr>
          <w:p>
            <w:pPr>
              <w:pStyle w:val="TableParagraph"/>
              <w:spacing w:before="40"/>
              <w:ind w:left="2"/>
              <w:rPr>
                <w:sz w:val="18"/>
              </w:rPr>
            </w:pPr>
            <w:r>
              <w:rPr>
                <w:w w:val="99"/>
                <w:sz w:val="18"/>
              </w:rPr>
              <w:t>5</w:t>
            </w:r>
          </w:p>
        </w:tc>
        <w:tc>
          <w:tcPr>
            <w:tcW w:w="456" w:type="dxa"/>
          </w:tcPr>
          <w:p>
            <w:pPr>
              <w:pStyle w:val="TableParagraph"/>
              <w:spacing w:before="40"/>
              <w:rPr>
                <w:sz w:val="18"/>
              </w:rPr>
            </w:pPr>
            <w:r>
              <w:rPr>
                <w:w w:val="99"/>
                <w:sz w:val="18"/>
              </w:rPr>
              <w:t>9</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35"/>
              <w:jc w:val="left"/>
              <w:rPr>
                <w:sz w:val="18"/>
              </w:rPr>
            </w:pPr>
            <w:r>
              <w:rPr>
                <w:sz w:val="18"/>
              </w:rPr>
              <w:t>27</w:t>
            </w:r>
          </w:p>
        </w:tc>
        <w:tc>
          <w:tcPr>
            <w:tcW w:w="646" w:type="dxa"/>
          </w:tcPr>
          <w:p>
            <w:pPr>
              <w:pStyle w:val="TableParagraph"/>
              <w:spacing w:before="40"/>
              <w:ind w:right="215"/>
              <w:jc w:val="right"/>
              <w:rPr>
                <w:sz w:val="18"/>
              </w:rPr>
            </w:pPr>
            <w:r>
              <w:rPr>
                <w:w w:val="95"/>
                <w:sz w:val="18"/>
              </w:rPr>
              <w:t>27</w:t>
            </w:r>
          </w:p>
        </w:tc>
        <w:tc>
          <w:tcPr>
            <w:tcW w:w="456" w:type="dxa"/>
            <w:tcBorders>
              <w:right w:val="single" w:sz="4" w:space="0" w:color="000000"/>
            </w:tcBorders>
          </w:tcPr>
          <w:p>
            <w:pPr>
              <w:pStyle w:val="TableParagraph"/>
              <w:spacing w:before="40"/>
              <w:rPr>
                <w:sz w:val="18"/>
              </w:rPr>
            </w:pPr>
            <w:r>
              <w:rPr>
                <w:w w:val="99"/>
                <w:sz w:val="18"/>
              </w:rPr>
              <w:t>6</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ind w:right="79"/>
              <w:jc w:val="right"/>
              <w:rPr>
                <w:sz w:val="18"/>
              </w:rPr>
            </w:pPr>
            <w:r>
              <w:rPr>
                <w:w w:val="95"/>
                <w:sz w:val="18"/>
              </w:rPr>
              <w:t>255</w:t>
            </w:r>
          </w:p>
        </w:tc>
        <w:tc>
          <w:tcPr>
            <w:tcW w:w="475" w:type="dxa"/>
          </w:tcPr>
          <w:p>
            <w:pPr>
              <w:pStyle w:val="TableParagraph"/>
              <w:spacing w:before="40"/>
              <w:ind w:right="79"/>
              <w:jc w:val="right"/>
              <w:rPr>
                <w:sz w:val="18"/>
              </w:rPr>
            </w:pPr>
            <w:r>
              <w:rPr>
                <w:w w:val="95"/>
                <w:sz w:val="18"/>
              </w:rPr>
              <w:t>344</w:t>
            </w:r>
          </w:p>
        </w:tc>
      </w:tr>
      <w:tr>
        <w:trPr>
          <w:trHeight w:val="401" w:hRule="exact"/>
        </w:trPr>
        <w:tc>
          <w:tcPr>
            <w:tcW w:w="4277" w:type="dxa"/>
          </w:tcPr>
          <w:p>
            <w:pPr>
              <w:pStyle w:val="TableParagraph"/>
              <w:spacing w:before="35"/>
              <w:ind w:left="64"/>
              <w:jc w:val="left"/>
              <w:rPr>
                <w:b/>
                <w:sz w:val="18"/>
              </w:rPr>
            </w:pPr>
            <w:r>
              <w:rPr>
                <w:b/>
                <w:sz w:val="18"/>
              </w:rPr>
              <w:t>TONANITLA</w:t>
            </w:r>
          </w:p>
        </w:tc>
        <w:tc>
          <w:tcPr>
            <w:tcW w:w="456" w:type="dxa"/>
          </w:tcPr>
          <w:p>
            <w:pPr>
              <w:pStyle w:val="TableParagraph"/>
              <w:spacing w:before="40"/>
              <w:rPr>
                <w:sz w:val="18"/>
              </w:rPr>
            </w:pPr>
            <w:r>
              <w:rPr>
                <w:w w:val="99"/>
                <w:sz w:val="18"/>
              </w:rPr>
              <w:t>1</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rPr>
                <w:sz w:val="18"/>
              </w:rPr>
            </w:pPr>
            <w:r>
              <w:rPr>
                <w:w w:val="99"/>
                <w:sz w:val="18"/>
              </w:rPr>
              <w:t>3</w:t>
            </w:r>
          </w:p>
        </w:tc>
        <w:tc>
          <w:tcPr>
            <w:tcW w:w="456" w:type="dxa"/>
          </w:tcPr>
          <w:p>
            <w:pPr>
              <w:pStyle w:val="TableParagraph"/>
              <w:spacing w:before="40"/>
              <w:rPr>
                <w:sz w:val="18"/>
              </w:rPr>
            </w:pPr>
            <w:r>
              <w:rPr>
                <w:w w:val="99"/>
                <w:sz w:val="18"/>
              </w:rPr>
              <w:t>1</w:t>
            </w:r>
          </w:p>
        </w:tc>
        <w:tc>
          <w:tcPr>
            <w:tcW w:w="475" w:type="dxa"/>
          </w:tcPr>
          <w:p>
            <w:pPr>
              <w:pStyle w:val="TableParagraph"/>
              <w:spacing w:before="40"/>
              <w:ind w:left="184"/>
              <w:jc w:val="left"/>
              <w:rPr>
                <w:sz w:val="18"/>
              </w:rPr>
            </w:pPr>
            <w:r>
              <w:rPr>
                <w:w w:val="99"/>
                <w:sz w:val="18"/>
              </w:rPr>
              <w:t>0</w:t>
            </w:r>
          </w:p>
        </w:tc>
        <w:tc>
          <w:tcPr>
            <w:tcW w:w="459" w:type="dxa"/>
          </w:tcPr>
          <w:p>
            <w:pPr>
              <w:pStyle w:val="TableParagraph"/>
              <w:spacing w:before="40"/>
              <w:ind w:left="2"/>
              <w:rPr>
                <w:sz w:val="18"/>
              </w:rPr>
            </w:pPr>
            <w:r>
              <w:rPr>
                <w:w w:val="99"/>
                <w:sz w:val="18"/>
              </w:rPr>
              <w:t>0</w:t>
            </w:r>
          </w:p>
        </w:tc>
        <w:tc>
          <w:tcPr>
            <w:tcW w:w="456" w:type="dxa"/>
          </w:tcPr>
          <w:p>
            <w:pPr>
              <w:pStyle w:val="TableParagraph"/>
              <w:spacing w:before="40"/>
              <w:rPr>
                <w:sz w:val="18"/>
              </w:rPr>
            </w:pPr>
            <w:r>
              <w:rPr>
                <w:w w:val="99"/>
                <w:sz w:val="18"/>
              </w:rPr>
              <w:t>0</w:t>
            </w:r>
          </w:p>
        </w:tc>
        <w:tc>
          <w:tcPr>
            <w:tcW w:w="458" w:type="dxa"/>
          </w:tcPr>
          <w:p>
            <w:pPr>
              <w:pStyle w:val="TableParagraph"/>
              <w:spacing w:before="40"/>
              <w:ind w:left="1"/>
              <w:rPr>
                <w:sz w:val="18"/>
              </w:rPr>
            </w:pPr>
            <w:r>
              <w:rPr>
                <w:w w:val="99"/>
                <w:sz w:val="18"/>
              </w:rPr>
              <w:t>0</w:t>
            </w:r>
          </w:p>
        </w:tc>
        <w:tc>
          <w:tcPr>
            <w:tcW w:w="456" w:type="dxa"/>
          </w:tcPr>
          <w:p>
            <w:pPr>
              <w:pStyle w:val="TableParagraph"/>
              <w:spacing w:before="40"/>
              <w:ind w:left="172"/>
              <w:jc w:val="left"/>
              <w:rPr>
                <w:sz w:val="18"/>
              </w:rPr>
            </w:pPr>
            <w:r>
              <w:rPr>
                <w:w w:val="99"/>
                <w:sz w:val="18"/>
              </w:rPr>
              <w:t>0</w:t>
            </w:r>
          </w:p>
        </w:tc>
        <w:tc>
          <w:tcPr>
            <w:tcW w:w="684" w:type="dxa"/>
          </w:tcPr>
          <w:p>
            <w:pPr>
              <w:pStyle w:val="TableParagraph"/>
              <w:spacing w:before="40"/>
              <w:ind w:left="285"/>
              <w:jc w:val="left"/>
              <w:rPr>
                <w:sz w:val="18"/>
              </w:rPr>
            </w:pPr>
            <w:r>
              <w:rPr>
                <w:w w:val="99"/>
                <w:sz w:val="18"/>
              </w:rPr>
              <w:t>0</w:t>
            </w:r>
          </w:p>
        </w:tc>
        <w:tc>
          <w:tcPr>
            <w:tcW w:w="646" w:type="dxa"/>
          </w:tcPr>
          <w:p>
            <w:pPr>
              <w:pStyle w:val="TableParagraph"/>
              <w:spacing w:before="40"/>
              <w:ind w:right="267"/>
              <w:jc w:val="right"/>
              <w:rPr>
                <w:sz w:val="18"/>
              </w:rPr>
            </w:pPr>
            <w:r>
              <w:rPr>
                <w:w w:val="99"/>
                <w:sz w:val="18"/>
              </w:rPr>
              <w:t>0</w:t>
            </w:r>
          </w:p>
        </w:tc>
        <w:tc>
          <w:tcPr>
            <w:tcW w:w="456" w:type="dxa"/>
            <w:tcBorders>
              <w:right w:val="single" w:sz="4" w:space="0" w:color="000000"/>
            </w:tcBorders>
          </w:tcPr>
          <w:p>
            <w:pPr>
              <w:pStyle w:val="TableParagraph"/>
              <w:spacing w:before="40"/>
              <w:rPr>
                <w:sz w:val="18"/>
              </w:rPr>
            </w:pPr>
            <w:r>
              <w:rPr>
                <w:w w:val="99"/>
                <w:sz w:val="18"/>
              </w:rPr>
              <w:t>0</w:t>
            </w:r>
          </w:p>
        </w:tc>
        <w:tc>
          <w:tcPr>
            <w:tcW w:w="852" w:type="dxa"/>
            <w:tcBorders>
              <w:left w:val="single" w:sz="4" w:space="0" w:color="000000"/>
            </w:tcBorders>
          </w:tcPr>
          <w:p>
            <w:pPr>
              <w:pStyle w:val="TableParagraph"/>
              <w:spacing w:before="40"/>
              <w:ind w:left="1"/>
              <w:rPr>
                <w:sz w:val="18"/>
              </w:rPr>
            </w:pPr>
            <w:r>
              <w:rPr>
                <w:w w:val="99"/>
                <w:sz w:val="18"/>
              </w:rPr>
              <w:t>0</w:t>
            </w:r>
          </w:p>
        </w:tc>
        <w:tc>
          <w:tcPr>
            <w:tcW w:w="475" w:type="dxa"/>
          </w:tcPr>
          <w:p>
            <w:pPr>
              <w:pStyle w:val="TableParagraph"/>
              <w:spacing w:before="40"/>
              <w:ind w:right="181"/>
              <w:jc w:val="right"/>
              <w:rPr>
                <w:sz w:val="18"/>
              </w:rPr>
            </w:pPr>
            <w:r>
              <w:rPr>
                <w:w w:val="99"/>
                <w:sz w:val="18"/>
              </w:rPr>
              <w:t>0</w:t>
            </w:r>
          </w:p>
        </w:tc>
        <w:tc>
          <w:tcPr>
            <w:tcW w:w="475" w:type="dxa"/>
          </w:tcPr>
          <w:p>
            <w:pPr>
              <w:pStyle w:val="TableParagraph"/>
              <w:spacing w:before="40"/>
              <w:ind w:right="181"/>
              <w:jc w:val="right"/>
              <w:rPr>
                <w:sz w:val="18"/>
              </w:rPr>
            </w:pPr>
            <w:r>
              <w:rPr>
                <w:w w:val="99"/>
                <w:sz w:val="18"/>
              </w:rPr>
              <w:t>5</w:t>
            </w:r>
          </w:p>
        </w:tc>
      </w:tr>
    </w:tbl>
    <w:p>
      <w:pPr>
        <w:spacing w:after="0"/>
        <w:jc w:val="right"/>
        <w:rPr>
          <w:sz w:val="18"/>
        </w:rPr>
        <w:sectPr>
          <w:pgSz w:w="15840" w:h="12240" w:orient="landscape"/>
          <w:pgMar w:header="0" w:footer="975" w:top="1140" w:bottom="1160" w:left="1800" w:right="1800"/>
        </w:sectPr>
      </w:pPr>
    </w:p>
    <w:p>
      <w:pPr>
        <w:pStyle w:val="BodyText"/>
        <w:rPr>
          <w:rFonts w:ascii="Times New Roman"/>
          <w:sz w:val="20"/>
        </w:rPr>
      </w:pPr>
      <w:r>
        <w:rPr/>
        <w:pict>
          <v:shape style="position:absolute;margin-left:346.03717pt;margin-top:99.620003pt;width:26.05pt;height:72.850pt;mso-position-horizontal-relative:page;mso-position-vertical-relative:page;z-index:-2764552" type="#_x0000_t202" filled="false" stroked="false">
            <v:textbox inset="0,0,0,0">
              <w:txbxContent>
                <w:p>
                  <w:pPr>
                    <w:pStyle w:val="BodyText"/>
                    <w:rPr>
                      <w:sz w:val="10"/>
                    </w:rPr>
                  </w:pPr>
                </w:p>
                <w:p>
                  <w:pPr>
                    <w:pStyle w:val="BodyText"/>
                    <w:spacing w:before="9"/>
                    <w:rPr>
                      <w:sz w:val="7"/>
                    </w:rPr>
                  </w:pPr>
                </w:p>
                <w:p>
                  <w:pPr>
                    <w:spacing w:line="115" w:lineRule="auto" w:before="0"/>
                    <w:ind w:left="0" w:right="338" w:firstLine="0"/>
                    <w:jc w:val="left"/>
                    <w:rPr>
                      <w:b/>
                      <w:sz w:val="18"/>
                    </w:rPr>
                  </w:pPr>
                  <w:r>
                    <w:rPr>
                      <w:b/>
                      <w:sz w:val="18"/>
                    </w:rPr>
                    <w:t>s e</w:t>
                  </w:r>
                </w:p>
                <w:p>
                  <w:pPr>
                    <w:spacing w:line="132" w:lineRule="auto" w:before="39"/>
                    <w:ind w:left="0" w:right="338" w:firstLine="0"/>
                    <w:jc w:val="left"/>
                    <w:rPr>
                      <w:b/>
                      <w:sz w:val="18"/>
                    </w:rPr>
                  </w:pPr>
                  <w:r>
                    <w:rPr>
                      <w:b/>
                      <w:sz w:val="18"/>
                    </w:rPr>
                    <w:t>a i</w:t>
                  </w:r>
                  <w:r>
                    <w:rPr>
                      <w:b/>
                      <w:position w:val="1"/>
                      <w:sz w:val="18"/>
                    </w:rPr>
                    <w:t>n</w:t>
                  </w:r>
                </w:p>
                <w:p>
                  <w:pPr>
                    <w:spacing w:line="244" w:lineRule="auto" w:before="56"/>
                    <w:ind w:left="0" w:right="290" w:firstLine="0"/>
                    <w:jc w:val="left"/>
                    <w:rPr>
                      <w:b/>
                      <w:sz w:val="18"/>
                    </w:rPr>
                  </w:pPr>
                  <w:r>
                    <w:rPr>
                      <w:b/>
                      <w:w w:val="99"/>
                      <w:sz w:val="18"/>
                    </w:rPr>
                    <w:t>c </w:t>
                  </w:r>
                  <w:r>
                    <w:rPr>
                      <w:b/>
                      <w:sz w:val="18"/>
                    </w:rPr>
                    <w:t>na</w:t>
                  </w:r>
                </w:p>
                <w:p>
                  <w:pPr>
                    <w:spacing w:line="196" w:lineRule="auto" w:before="0"/>
                    <w:ind w:left="0" w:right="338" w:firstLine="0"/>
                    <w:jc w:val="left"/>
                    <w:rPr>
                      <w:b/>
                      <w:sz w:val="18"/>
                    </w:rPr>
                  </w:pPr>
                  <w:r>
                    <w:rPr>
                      <w:b/>
                      <w:sz w:val="18"/>
                    </w:rPr>
                    <w:t>e n</w:t>
                  </w:r>
                </w:p>
              </w:txbxContent>
            </v:textbox>
            <w10:wrap type="none"/>
          </v:shape>
        </w:pict>
      </w:r>
      <w:r>
        <w:rPr/>
        <w:pict>
          <v:shape style="position:absolute;margin-left:345.03717pt;margin-top:171.450821pt;width:11pt;height:4.55pt;mso-position-horizontal-relative:page;mso-position-vertical-relative:page;z-index:-2764528" type="#_x0000_t202" filled="false" stroked="false">
            <v:textbox inset="0,0,0,0" style="layout-flow:vertical;mso-layout-flow-alt:bottom-to-top">
              <w:txbxContent>
                <w:p>
                  <w:pPr>
                    <w:spacing w:line="204" w:lineRule="exact" w:before="0"/>
                    <w:ind w:left="20" w:right="0" w:firstLine="0"/>
                    <w:jc w:val="left"/>
                    <w:rPr>
                      <w:b/>
                      <w:sz w:val="18"/>
                    </w:rPr>
                  </w:pPr>
                  <w:r>
                    <w:rPr>
                      <w:b/>
                      <w:w w:val="100"/>
                      <w:sz w:val="18"/>
                    </w:rPr>
                    <w:t>I</w:t>
                  </w:r>
                </w:p>
              </w:txbxContent>
            </v:textbox>
            <w10:wrap type="none"/>
          </v:shape>
        </w:pict>
      </w:r>
    </w:p>
    <w:p>
      <w:pPr>
        <w:pStyle w:val="BodyText"/>
        <w:spacing w:before="8"/>
        <w:rPr>
          <w:rFonts w:ascii="Times New Roman"/>
          <w:sz w:val="20"/>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77"/>
        <w:gridCol w:w="415"/>
        <w:gridCol w:w="415"/>
        <w:gridCol w:w="415"/>
        <w:gridCol w:w="413"/>
        <w:gridCol w:w="475"/>
        <w:gridCol w:w="418"/>
        <w:gridCol w:w="415"/>
        <w:gridCol w:w="415"/>
        <w:gridCol w:w="418"/>
        <w:gridCol w:w="850"/>
        <w:gridCol w:w="852"/>
        <w:gridCol w:w="415"/>
        <w:gridCol w:w="850"/>
        <w:gridCol w:w="475"/>
        <w:gridCol w:w="475"/>
      </w:tblGrid>
      <w:tr>
        <w:trPr>
          <w:trHeight w:val="373" w:hRule="exact"/>
        </w:trPr>
        <w:tc>
          <w:tcPr>
            <w:tcW w:w="11994" w:type="dxa"/>
            <w:gridSpan w:val="16"/>
            <w:shd w:val="clear" w:color="auto" w:fill="92D050"/>
          </w:tcPr>
          <w:p>
            <w:pPr>
              <w:pStyle w:val="TableParagraph"/>
              <w:spacing w:before="73"/>
              <w:ind w:left="1346"/>
              <w:jc w:val="left"/>
              <w:rPr>
                <w:b/>
                <w:sz w:val="18"/>
              </w:rPr>
            </w:pPr>
            <w:r>
              <w:rPr>
                <w:b/>
                <w:sz w:val="18"/>
              </w:rPr>
              <w:t>Anexo 18. Normativa publicada por los municipios del Estado de México a través del INFOEM (Finaliza fabla)</w:t>
            </w:r>
          </w:p>
        </w:tc>
      </w:tr>
      <w:tr>
        <w:trPr>
          <w:trHeight w:val="1412" w:hRule="exact"/>
        </w:trPr>
        <w:tc>
          <w:tcPr>
            <w:tcW w:w="4277" w:type="dxa"/>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6"/>
              <w:jc w:val="left"/>
              <w:rPr>
                <w:rFonts w:ascii="Times New Roman"/>
                <w:sz w:val="15"/>
              </w:rPr>
            </w:pPr>
          </w:p>
          <w:p>
            <w:pPr>
              <w:pStyle w:val="TableParagraph"/>
              <w:ind w:left="1692" w:right="1692"/>
              <w:rPr>
                <w:b/>
                <w:sz w:val="18"/>
              </w:rPr>
            </w:pPr>
            <w:r>
              <w:rPr>
                <w:b/>
                <w:sz w:val="18"/>
              </w:rPr>
              <w:t>Municipio</w:t>
            </w:r>
          </w:p>
        </w:tc>
        <w:tc>
          <w:tcPr>
            <w:tcW w:w="415" w:type="dxa"/>
            <w:shd w:val="clear" w:color="auto" w:fill="C5DFB3"/>
            <w:textDirection w:val="btLr"/>
          </w:tcPr>
          <w:p>
            <w:pPr>
              <w:pStyle w:val="TableParagraph"/>
              <w:spacing w:before="95"/>
              <w:ind w:left="76" w:right="-11"/>
              <w:jc w:val="left"/>
              <w:rPr>
                <w:b/>
                <w:sz w:val="18"/>
              </w:rPr>
            </w:pPr>
            <w:r>
              <w:rPr>
                <w:b/>
                <w:sz w:val="18"/>
              </w:rPr>
              <w:t>Con</w:t>
            </w:r>
            <w:r>
              <w:rPr>
                <w:b/>
                <w:spacing w:val="1"/>
                <w:sz w:val="18"/>
              </w:rPr>
              <w:t>s</w:t>
            </w:r>
            <w:r>
              <w:rPr>
                <w:b/>
                <w:w w:val="100"/>
                <w:sz w:val="18"/>
              </w:rPr>
              <w:t>t.</w:t>
            </w:r>
            <w:r>
              <w:rPr>
                <w:b/>
                <w:sz w:val="18"/>
              </w:rPr>
              <w:t> Fe</w:t>
            </w:r>
            <w:r>
              <w:rPr>
                <w:b/>
                <w:spacing w:val="-2"/>
                <w:w w:val="100"/>
                <w:sz w:val="18"/>
              </w:rPr>
              <w:t>d</w:t>
            </w:r>
            <w:r>
              <w:rPr>
                <w:b/>
                <w:w w:val="99"/>
                <w:sz w:val="18"/>
              </w:rPr>
              <w:t>e</w:t>
            </w:r>
            <w:r>
              <w:rPr>
                <w:b/>
                <w:w w:val="99"/>
                <w:sz w:val="18"/>
              </w:rPr>
              <w:t>ral</w:t>
            </w:r>
          </w:p>
        </w:tc>
        <w:tc>
          <w:tcPr>
            <w:tcW w:w="415" w:type="dxa"/>
            <w:shd w:val="clear" w:color="auto" w:fill="C5DFB3"/>
            <w:textDirection w:val="btLr"/>
          </w:tcPr>
          <w:p>
            <w:pPr>
              <w:pStyle w:val="TableParagraph"/>
              <w:spacing w:before="64"/>
              <w:ind w:left="319" w:right="-11"/>
              <w:jc w:val="left"/>
              <w:rPr>
                <w:b/>
                <w:sz w:val="18"/>
              </w:rPr>
            </w:pPr>
            <w:r>
              <w:rPr>
                <w:b/>
                <w:w w:val="99"/>
                <w:sz w:val="18"/>
              </w:rPr>
              <w:t>Trata</w:t>
            </w:r>
            <w:r>
              <w:rPr>
                <w:b/>
                <w:w w:val="100"/>
                <w:sz w:val="18"/>
              </w:rPr>
              <w:t>do</w:t>
            </w:r>
            <w:r>
              <w:rPr>
                <w:b/>
                <w:w w:val="99"/>
                <w:sz w:val="18"/>
              </w:rPr>
              <w:t>s</w:t>
            </w:r>
          </w:p>
          <w:p>
            <w:pPr>
              <w:pStyle w:val="TableParagraph"/>
              <w:tabs>
                <w:tab w:pos="645" w:val="left" w:leader="none"/>
                <w:tab w:pos="966" w:val="left" w:leader="none"/>
              </w:tabs>
              <w:spacing w:line="168" w:lineRule="exact" w:before="6"/>
              <w:ind w:left="55" w:right="128"/>
              <w:jc w:val="left"/>
              <w:rPr>
                <w:b/>
                <w:sz w:val="18"/>
              </w:rPr>
            </w:pPr>
            <w:r>
              <w:rPr>
                <w:b/>
                <w:w w:val="99"/>
                <w:sz w:val="18"/>
              </w:rPr>
              <w:t>t  </w:t>
            </w:r>
            <w:r>
              <w:rPr>
                <w:b/>
                <w:w w:val="99"/>
                <w:sz w:val="18"/>
              </w:rPr>
              <w:t>r</w:t>
            </w:r>
            <w:r>
              <w:rPr>
                <w:b/>
                <w:sz w:val="18"/>
              </w:rPr>
              <w:tab/>
            </w:r>
            <w:r>
              <w:rPr>
                <w:b/>
                <w:w w:val="100"/>
                <w:sz w:val="18"/>
              </w:rPr>
              <w:t>o</w:t>
            </w:r>
            <w:r>
              <w:rPr>
                <w:b/>
                <w:sz w:val="18"/>
              </w:rPr>
              <w:tab/>
            </w:r>
            <w:r>
              <w:rPr>
                <w:b/>
                <w:w w:val="100"/>
                <w:sz w:val="18"/>
              </w:rPr>
              <w:t>l</w:t>
            </w:r>
          </w:p>
        </w:tc>
        <w:tc>
          <w:tcPr>
            <w:tcW w:w="415" w:type="dxa"/>
            <w:shd w:val="clear" w:color="auto" w:fill="C5DFB3"/>
            <w:textDirection w:val="btLr"/>
          </w:tcPr>
          <w:p>
            <w:pPr>
              <w:pStyle w:val="TableParagraph"/>
              <w:spacing w:before="95"/>
              <w:ind w:left="235" w:right="-11"/>
              <w:jc w:val="left"/>
              <w:rPr>
                <w:b/>
                <w:sz w:val="18"/>
              </w:rPr>
            </w:pPr>
            <w:r>
              <w:rPr>
                <w:b/>
                <w:sz w:val="18"/>
              </w:rPr>
              <w:t>Le</w:t>
            </w:r>
            <w:r>
              <w:rPr>
                <w:b/>
                <w:w w:val="99"/>
                <w:sz w:val="18"/>
              </w:rPr>
              <w:t>yes</w:t>
            </w:r>
            <w:r>
              <w:rPr>
                <w:b/>
                <w:spacing w:val="-2"/>
                <w:sz w:val="18"/>
              </w:rPr>
              <w:t> </w:t>
            </w:r>
            <w:r>
              <w:rPr>
                <w:b/>
                <w:sz w:val="18"/>
              </w:rPr>
              <w:t>Fe</w:t>
            </w:r>
            <w:r>
              <w:rPr>
                <w:b/>
                <w:w w:val="100"/>
                <w:sz w:val="18"/>
              </w:rPr>
              <w:t>d.</w:t>
            </w:r>
          </w:p>
        </w:tc>
        <w:tc>
          <w:tcPr>
            <w:tcW w:w="413" w:type="dxa"/>
            <w:shd w:val="clear" w:color="auto" w:fill="C5DFB3"/>
            <w:textDirection w:val="btLr"/>
          </w:tcPr>
          <w:p>
            <w:pPr>
              <w:pStyle w:val="TableParagraph"/>
              <w:spacing w:before="95"/>
              <w:ind w:left="160" w:right="-11"/>
              <w:jc w:val="left"/>
              <w:rPr>
                <w:b/>
                <w:sz w:val="18"/>
              </w:rPr>
            </w:pPr>
            <w:r>
              <w:rPr>
                <w:b/>
                <w:sz w:val="18"/>
              </w:rPr>
              <w:t>Con</w:t>
            </w:r>
            <w:r>
              <w:rPr>
                <w:b/>
                <w:spacing w:val="1"/>
                <w:sz w:val="18"/>
              </w:rPr>
              <w:t>s</w:t>
            </w:r>
            <w:r>
              <w:rPr>
                <w:b/>
                <w:w w:val="100"/>
                <w:sz w:val="18"/>
              </w:rPr>
              <w:t>t.</w:t>
            </w:r>
            <w:r>
              <w:rPr>
                <w:b/>
                <w:sz w:val="18"/>
              </w:rPr>
              <w:t> </w:t>
            </w:r>
            <w:r>
              <w:rPr>
                <w:b/>
                <w:w w:val="100"/>
                <w:sz w:val="18"/>
              </w:rPr>
              <w:t>Lo</w:t>
            </w:r>
            <w:r>
              <w:rPr>
                <w:b/>
                <w:spacing w:val="-2"/>
                <w:w w:val="99"/>
                <w:sz w:val="18"/>
              </w:rPr>
              <w:t>c</w:t>
            </w:r>
            <w:r>
              <w:rPr>
                <w:b/>
                <w:w w:val="99"/>
                <w:sz w:val="18"/>
              </w:rPr>
              <w:t>a</w:t>
            </w:r>
            <w:r>
              <w:rPr>
                <w:b/>
                <w:w w:val="100"/>
                <w:sz w:val="18"/>
              </w:rPr>
              <w:t>l</w:t>
            </w:r>
          </w:p>
        </w:tc>
        <w:tc>
          <w:tcPr>
            <w:tcW w:w="475" w:type="dxa"/>
            <w:shd w:val="clear" w:color="auto" w:fill="C5DFB3"/>
            <w:textDirection w:val="btLr"/>
          </w:tcPr>
          <w:p>
            <w:pPr>
              <w:pStyle w:val="TableParagraph"/>
              <w:spacing w:before="126"/>
              <w:ind w:left="86" w:right="-11"/>
              <w:jc w:val="left"/>
              <w:rPr>
                <w:b/>
                <w:sz w:val="18"/>
              </w:rPr>
            </w:pPr>
            <w:r>
              <w:rPr>
                <w:b/>
                <w:sz w:val="18"/>
              </w:rPr>
              <w:t>Le</w:t>
            </w:r>
            <w:r>
              <w:rPr>
                <w:b/>
                <w:w w:val="99"/>
                <w:sz w:val="18"/>
              </w:rPr>
              <w:t>yes</w:t>
            </w:r>
            <w:r>
              <w:rPr>
                <w:b/>
                <w:spacing w:val="-2"/>
                <w:sz w:val="18"/>
              </w:rPr>
              <w:t> </w:t>
            </w:r>
            <w:r>
              <w:rPr>
                <w:b/>
                <w:w w:val="100"/>
                <w:sz w:val="18"/>
              </w:rPr>
              <w:t>Lo</w:t>
            </w:r>
            <w:r>
              <w:rPr>
                <w:b/>
                <w:w w:val="99"/>
                <w:sz w:val="18"/>
              </w:rPr>
              <w:t>c</w:t>
            </w:r>
            <w:r>
              <w:rPr>
                <w:b/>
                <w:spacing w:val="-2"/>
                <w:w w:val="99"/>
                <w:sz w:val="18"/>
              </w:rPr>
              <w:t>a</w:t>
            </w:r>
            <w:r>
              <w:rPr>
                <w:b/>
                <w:w w:val="100"/>
                <w:sz w:val="18"/>
              </w:rPr>
              <w:t>le</w:t>
            </w:r>
            <w:r>
              <w:rPr>
                <w:b/>
                <w:w w:val="99"/>
                <w:sz w:val="18"/>
              </w:rPr>
              <w:t>s</w:t>
            </w:r>
          </w:p>
        </w:tc>
        <w:tc>
          <w:tcPr>
            <w:tcW w:w="418" w:type="dxa"/>
            <w:shd w:val="clear" w:color="auto" w:fill="C5DFB3"/>
            <w:textDirection w:val="btLr"/>
          </w:tcPr>
          <w:p>
            <w:pPr>
              <w:pStyle w:val="TableParagraph"/>
              <w:spacing w:before="97"/>
              <w:ind w:left="340" w:right="-11"/>
              <w:jc w:val="left"/>
              <w:rPr>
                <w:b/>
                <w:sz w:val="18"/>
              </w:rPr>
            </w:pPr>
            <w:r>
              <w:rPr>
                <w:b/>
                <w:w w:val="100"/>
                <w:sz w:val="18"/>
              </w:rPr>
              <w:t>Códi</w:t>
            </w:r>
            <w:r>
              <w:rPr>
                <w:b/>
                <w:w w:val="100"/>
                <w:sz w:val="18"/>
              </w:rPr>
              <w:t>go</w:t>
            </w:r>
            <w:r>
              <w:rPr>
                <w:b/>
                <w:w w:val="99"/>
                <w:sz w:val="18"/>
              </w:rPr>
              <w:t>s</w:t>
            </w:r>
          </w:p>
        </w:tc>
        <w:tc>
          <w:tcPr>
            <w:tcW w:w="415" w:type="dxa"/>
            <w:shd w:val="clear" w:color="auto" w:fill="C5DFB3"/>
            <w:textDirection w:val="btLr"/>
          </w:tcPr>
          <w:p>
            <w:pPr>
              <w:pStyle w:val="TableParagraph"/>
              <w:spacing w:before="95"/>
              <w:ind w:left="136" w:right="-11"/>
              <w:jc w:val="left"/>
              <w:rPr>
                <w:b/>
                <w:sz w:val="18"/>
              </w:rPr>
            </w:pPr>
            <w:r>
              <w:rPr>
                <w:b/>
                <w:w w:val="99"/>
                <w:sz w:val="18"/>
              </w:rPr>
              <w:t>Reg</w:t>
            </w:r>
            <w:r>
              <w:rPr>
                <w:b/>
                <w:w w:val="100"/>
                <w:sz w:val="18"/>
              </w:rPr>
              <w:t>la</w:t>
            </w:r>
            <w:r>
              <w:rPr>
                <w:b/>
                <w:w w:val="99"/>
                <w:sz w:val="18"/>
              </w:rPr>
              <w:t>m</w:t>
            </w:r>
            <w:r>
              <w:rPr>
                <w:b/>
                <w:spacing w:val="-2"/>
                <w:w w:val="99"/>
                <w:sz w:val="18"/>
              </w:rPr>
              <w:t>e</w:t>
            </w:r>
            <w:r>
              <w:rPr>
                <w:b/>
                <w:w w:val="100"/>
                <w:sz w:val="18"/>
              </w:rPr>
              <w:t>nto</w:t>
            </w:r>
            <w:r>
              <w:rPr>
                <w:b/>
                <w:w w:val="99"/>
                <w:sz w:val="18"/>
              </w:rPr>
              <w:t>s</w:t>
            </w:r>
          </w:p>
        </w:tc>
        <w:tc>
          <w:tcPr>
            <w:tcW w:w="415" w:type="dxa"/>
            <w:shd w:val="clear" w:color="auto" w:fill="C5DFB3"/>
            <w:textDirection w:val="btLr"/>
          </w:tcPr>
          <w:p>
            <w:pPr>
              <w:pStyle w:val="TableParagraph"/>
              <w:spacing w:before="97"/>
              <w:ind w:left="316" w:right="-11"/>
              <w:jc w:val="left"/>
              <w:rPr>
                <w:b/>
                <w:sz w:val="18"/>
              </w:rPr>
            </w:pPr>
            <w:r>
              <w:rPr>
                <w:b/>
                <w:w w:val="99"/>
                <w:sz w:val="18"/>
              </w:rPr>
              <w:t>Dec</w:t>
            </w:r>
            <w:r>
              <w:rPr>
                <w:b/>
                <w:w w:val="99"/>
                <w:sz w:val="18"/>
              </w:rPr>
              <w:t>reto</w:t>
            </w:r>
            <w:r>
              <w:rPr>
                <w:b/>
                <w:w w:val="99"/>
                <w:sz w:val="18"/>
              </w:rPr>
              <w:t>s</w:t>
            </w:r>
          </w:p>
        </w:tc>
        <w:tc>
          <w:tcPr>
            <w:tcW w:w="418" w:type="dxa"/>
            <w:shd w:val="clear" w:color="auto" w:fill="C5DFB3"/>
            <w:textDirection w:val="btLr"/>
          </w:tcPr>
          <w:p>
            <w:pPr>
              <w:pStyle w:val="TableParagraph"/>
              <w:spacing w:before="97"/>
              <w:ind w:left="285" w:right="-11"/>
              <w:jc w:val="left"/>
              <w:rPr>
                <w:b/>
                <w:sz w:val="18"/>
              </w:rPr>
            </w:pPr>
            <w:r>
              <w:rPr>
                <w:b/>
                <w:w w:val="99"/>
                <w:sz w:val="18"/>
              </w:rPr>
              <w:t>Acu</w:t>
            </w:r>
            <w:r>
              <w:rPr>
                <w:b/>
                <w:w w:val="99"/>
                <w:sz w:val="18"/>
              </w:rPr>
              <w:t>e</w:t>
            </w:r>
            <w:r>
              <w:rPr>
                <w:b/>
                <w:sz w:val="18"/>
              </w:rPr>
              <w:t>rdos</w:t>
            </w:r>
          </w:p>
        </w:tc>
        <w:tc>
          <w:tcPr>
            <w:tcW w:w="850" w:type="dxa"/>
            <w:shd w:val="clear" w:color="auto" w:fill="C5DFB3"/>
            <w:textDirection w:val="btLr"/>
          </w:tcPr>
          <w:p>
            <w:pPr>
              <w:pStyle w:val="TableParagraph"/>
              <w:spacing w:before="1"/>
              <w:jc w:val="left"/>
              <w:rPr>
                <w:rFonts w:ascii="Times New Roman"/>
                <w:sz w:val="18"/>
              </w:rPr>
            </w:pPr>
          </w:p>
          <w:p>
            <w:pPr>
              <w:pStyle w:val="TableParagraph"/>
              <w:spacing w:line="244" w:lineRule="auto"/>
              <w:ind w:left="7" w:right="-11" w:firstLine="153"/>
              <w:jc w:val="left"/>
              <w:rPr>
                <w:b/>
                <w:sz w:val="18"/>
              </w:rPr>
            </w:pPr>
            <w:r>
              <w:rPr>
                <w:b/>
                <w:spacing w:val="1"/>
                <w:w w:val="99"/>
                <w:sz w:val="18"/>
              </w:rPr>
              <w:t>M</w:t>
            </w:r>
            <w:r>
              <w:rPr>
                <w:b/>
                <w:w w:val="99"/>
                <w:sz w:val="18"/>
              </w:rPr>
              <w:t>a</w:t>
            </w:r>
            <w:r>
              <w:rPr>
                <w:b/>
                <w:w w:val="100"/>
                <w:sz w:val="18"/>
              </w:rPr>
              <w:t>nu</w:t>
            </w:r>
            <w:r>
              <w:rPr>
                <w:b/>
                <w:spacing w:val="-2"/>
                <w:w w:val="99"/>
                <w:sz w:val="18"/>
              </w:rPr>
              <w:t>a</w:t>
            </w:r>
            <w:r>
              <w:rPr>
                <w:b/>
                <w:w w:val="100"/>
                <w:sz w:val="18"/>
              </w:rPr>
              <w:t>le</w:t>
            </w:r>
            <w:r>
              <w:rPr>
                <w:b/>
                <w:w w:val="99"/>
                <w:sz w:val="18"/>
              </w:rPr>
              <w:t>s</w:t>
            </w:r>
            <w:r>
              <w:rPr>
                <w:b/>
                <w:spacing w:val="-2"/>
                <w:sz w:val="18"/>
              </w:rPr>
              <w:t> </w:t>
            </w:r>
            <w:r>
              <w:rPr>
                <w:b/>
                <w:sz w:val="18"/>
              </w:rPr>
              <w:t>de proc</w:t>
            </w:r>
            <w:r>
              <w:rPr>
                <w:b/>
                <w:w w:val="99"/>
                <w:sz w:val="18"/>
              </w:rPr>
              <w:t>e</w:t>
            </w:r>
            <w:r>
              <w:rPr>
                <w:b/>
                <w:w w:val="100"/>
                <w:sz w:val="18"/>
              </w:rPr>
              <w:t>di</w:t>
            </w:r>
            <w:r>
              <w:rPr>
                <w:b/>
                <w:spacing w:val="-2"/>
                <w:w w:val="99"/>
                <w:sz w:val="18"/>
              </w:rPr>
              <w:t>m</w:t>
            </w:r>
            <w:r>
              <w:rPr>
                <w:b/>
                <w:w w:val="100"/>
                <w:sz w:val="18"/>
              </w:rPr>
              <w:t>ie</w:t>
            </w:r>
            <w:r>
              <w:rPr>
                <w:b/>
                <w:w w:val="100"/>
                <w:sz w:val="18"/>
              </w:rPr>
              <w:t>nt</w:t>
            </w:r>
            <w:r>
              <w:rPr>
                <w:b/>
                <w:spacing w:val="-2"/>
                <w:w w:val="100"/>
                <w:sz w:val="18"/>
              </w:rPr>
              <w:t>o</w:t>
            </w:r>
            <w:r>
              <w:rPr>
                <w:b/>
                <w:w w:val="99"/>
                <w:sz w:val="18"/>
              </w:rPr>
              <w:t>s</w:t>
            </w:r>
            <w:r>
              <w:rPr>
                <w:b/>
                <w:w w:val="100"/>
                <w:sz w:val="18"/>
              </w:rPr>
              <w:t>.</w:t>
            </w:r>
          </w:p>
        </w:tc>
        <w:tc>
          <w:tcPr>
            <w:tcW w:w="852" w:type="dxa"/>
            <w:shd w:val="clear" w:color="auto" w:fill="C5DFB3"/>
            <w:textDirection w:val="btLr"/>
          </w:tcPr>
          <w:p>
            <w:pPr>
              <w:pStyle w:val="TableParagraph"/>
              <w:spacing w:before="1"/>
              <w:jc w:val="left"/>
              <w:rPr>
                <w:rFonts w:ascii="Times New Roman"/>
                <w:sz w:val="18"/>
              </w:rPr>
            </w:pPr>
          </w:p>
          <w:p>
            <w:pPr>
              <w:pStyle w:val="TableParagraph"/>
              <w:spacing w:line="247" w:lineRule="auto"/>
              <w:ind w:left="146" w:right="128" w:firstLine="14"/>
              <w:jc w:val="left"/>
              <w:rPr>
                <w:b/>
                <w:sz w:val="18"/>
              </w:rPr>
            </w:pPr>
            <w:r>
              <w:rPr>
                <w:b/>
                <w:spacing w:val="1"/>
                <w:w w:val="99"/>
                <w:sz w:val="18"/>
              </w:rPr>
              <w:t>M</w:t>
            </w:r>
            <w:r>
              <w:rPr>
                <w:b/>
                <w:w w:val="99"/>
                <w:sz w:val="18"/>
              </w:rPr>
              <w:t>a</w:t>
            </w:r>
            <w:r>
              <w:rPr>
                <w:b/>
                <w:w w:val="100"/>
                <w:sz w:val="18"/>
              </w:rPr>
              <w:t>nu</w:t>
            </w:r>
            <w:r>
              <w:rPr>
                <w:b/>
                <w:spacing w:val="-2"/>
                <w:w w:val="99"/>
                <w:sz w:val="18"/>
              </w:rPr>
              <w:t>a</w:t>
            </w:r>
            <w:r>
              <w:rPr>
                <w:b/>
                <w:w w:val="100"/>
                <w:sz w:val="18"/>
              </w:rPr>
              <w:t>le</w:t>
            </w:r>
            <w:r>
              <w:rPr>
                <w:b/>
                <w:w w:val="99"/>
                <w:sz w:val="18"/>
              </w:rPr>
              <w:t>s</w:t>
            </w:r>
            <w:r>
              <w:rPr>
                <w:b/>
                <w:spacing w:val="-1"/>
                <w:sz w:val="18"/>
              </w:rPr>
              <w:t> </w:t>
            </w:r>
            <w:r>
              <w:rPr>
                <w:b/>
                <w:sz w:val="18"/>
              </w:rPr>
              <w:t>de orga</w:t>
            </w:r>
            <w:r>
              <w:rPr>
                <w:b/>
                <w:w w:val="100"/>
                <w:sz w:val="18"/>
              </w:rPr>
              <w:t>ni</w:t>
            </w:r>
            <w:r>
              <w:rPr>
                <w:b/>
                <w:spacing w:val="-2"/>
                <w:sz w:val="18"/>
              </w:rPr>
              <w:t>z</w:t>
            </w:r>
            <w:r>
              <w:rPr>
                <w:b/>
                <w:w w:val="99"/>
                <w:sz w:val="18"/>
              </w:rPr>
              <w:t>ac</w:t>
            </w:r>
            <w:r>
              <w:rPr>
                <w:b/>
                <w:w w:val="100"/>
                <w:sz w:val="18"/>
              </w:rPr>
              <w:t>ión</w:t>
            </w:r>
          </w:p>
        </w:tc>
        <w:tc>
          <w:tcPr>
            <w:tcW w:w="415" w:type="dxa"/>
            <w:tcBorders>
              <w:right w:val="single" w:sz="4" w:space="0" w:color="000000"/>
            </w:tcBorders>
            <w:shd w:val="clear" w:color="auto" w:fill="C5DFB3"/>
            <w:textDirection w:val="btLr"/>
          </w:tcPr>
          <w:p>
            <w:pPr>
              <w:pStyle w:val="TableParagraph"/>
              <w:spacing w:before="95"/>
              <w:ind w:left="21" w:right="-11"/>
              <w:jc w:val="left"/>
              <w:rPr>
                <w:b/>
                <w:sz w:val="18"/>
              </w:rPr>
            </w:pPr>
            <w:r>
              <w:rPr>
                <w:b/>
                <w:spacing w:val="-1"/>
                <w:w w:val="100"/>
                <w:sz w:val="18"/>
              </w:rPr>
              <w:t>O</w:t>
            </w:r>
            <w:r>
              <w:rPr>
                <w:b/>
                <w:w w:val="99"/>
                <w:sz w:val="18"/>
              </w:rPr>
              <w:t>tros m</w:t>
            </w:r>
            <w:r>
              <w:rPr>
                <w:b/>
                <w:w w:val="99"/>
                <w:sz w:val="18"/>
              </w:rPr>
              <w:t>a</w:t>
            </w:r>
            <w:r>
              <w:rPr>
                <w:b/>
                <w:w w:val="100"/>
                <w:sz w:val="18"/>
              </w:rPr>
              <w:t>nu</w:t>
            </w:r>
            <w:r>
              <w:rPr>
                <w:b/>
                <w:spacing w:val="-2"/>
                <w:w w:val="99"/>
                <w:sz w:val="18"/>
              </w:rPr>
              <w:t>a</w:t>
            </w:r>
            <w:r>
              <w:rPr>
                <w:b/>
                <w:w w:val="100"/>
                <w:sz w:val="18"/>
              </w:rPr>
              <w:t>le</w:t>
            </w:r>
            <w:r>
              <w:rPr>
                <w:b/>
                <w:w w:val="99"/>
                <w:sz w:val="18"/>
              </w:rPr>
              <w:t>s</w:t>
            </w:r>
          </w:p>
        </w:tc>
        <w:tc>
          <w:tcPr>
            <w:tcW w:w="850" w:type="dxa"/>
            <w:tcBorders>
              <w:left w:val="single" w:sz="4" w:space="0" w:color="000000"/>
            </w:tcBorders>
            <w:shd w:val="clear" w:color="auto" w:fill="C5DFB3"/>
            <w:textDirection w:val="btLr"/>
          </w:tcPr>
          <w:p>
            <w:pPr>
              <w:pStyle w:val="TableParagraph"/>
              <w:jc w:val="left"/>
              <w:rPr>
                <w:rFonts w:ascii="Times New Roman"/>
                <w:sz w:val="18"/>
              </w:rPr>
            </w:pPr>
          </w:p>
          <w:p>
            <w:pPr>
              <w:pStyle w:val="TableParagraph"/>
              <w:spacing w:before="106"/>
              <w:ind w:left="261"/>
              <w:jc w:val="left"/>
              <w:rPr>
                <w:b/>
                <w:sz w:val="18"/>
              </w:rPr>
            </w:pPr>
            <w:r>
              <w:rPr>
                <w:b/>
                <w:w w:val="99"/>
                <w:sz w:val="18"/>
              </w:rPr>
              <w:t>Circula</w:t>
            </w:r>
            <w:r>
              <w:rPr>
                <w:b/>
                <w:w w:val="99"/>
                <w:sz w:val="18"/>
              </w:rPr>
              <w:t>res</w:t>
            </w:r>
          </w:p>
        </w:tc>
        <w:tc>
          <w:tcPr>
            <w:tcW w:w="475" w:type="dxa"/>
            <w:shd w:val="clear" w:color="auto" w:fill="C5DFB3"/>
            <w:textDirection w:val="btLr"/>
          </w:tcPr>
          <w:p>
            <w:pPr>
              <w:pStyle w:val="TableParagraph"/>
              <w:spacing w:line="244" w:lineRule="auto" w:before="66"/>
              <w:ind w:left="100" w:right="86" w:firstLine="304"/>
              <w:jc w:val="left"/>
              <w:rPr>
                <w:b/>
                <w:sz w:val="18"/>
              </w:rPr>
            </w:pPr>
            <w:r>
              <w:rPr>
                <w:b/>
                <w:w w:val="99"/>
                <w:sz w:val="18"/>
              </w:rPr>
              <w:t>Demás </w:t>
            </w:r>
            <w:r>
              <w:rPr>
                <w:b/>
                <w:w w:val="100"/>
                <w:sz w:val="18"/>
              </w:rPr>
              <w:t>di</w:t>
            </w:r>
            <w:r>
              <w:rPr>
                <w:b/>
                <w:w w:val="99"/>
                <w:sz w:val="18"/>
              </w:rPr>
              <w:t>s</w:t>
            </w:r>
            <w:r>
              <w:rPr>
                <w:b/>
                <w:w w:val="100"/>
                <w:sz w:val="18"/>
              </w:rPr>
              <w:t>po</w:t>
            </w:r>
            <w:r>
              <w:rPr>
                <w:b/>
                <w:w w:val="99"/>
                <w:sz w:val="18"/>
              </w:rPr>
              <w:t>s</w:t>
            </w:r>
            <w:r>
              <w:rPr>
                <w:b/>
                <w:spacing w:val="-2"/>
                <w:w w:val="100"/>
                <w:sz w:val="18"/>
              </w:rPr>
              <w:t>i</w:t>
            </w:r>
            <w:r>
              <w:rPr>
                <w:b/>
                <w:w w:val="99"/>
                <w:sz w:val="18"/>
              </w:rPr>
              <w:t>c</w:t>
            </w:r>
            <w:r>
              <w:rPr>
                <w:b/>
                <w:w w:val="100"/>
                <w:sz w:val="18"/>
              </w:rPr>
              <w:t>io</w:t>
            </w:r>
            <w:r>
              <w:rPr>
                <w:b/>
                <w:spacing w:val="-2"/>
                <w:w w:val="100"/>
                <w:sz w:val="18"/>
              </w:rPr>
              <w:t>n</w:t>
            </w:r>
            <w:r>
              <w:rPr>
                <w:b/>
                <w:w w:val="99"/>
                <w:sz w:val="18"/>
              </w:rPr>
              <w:t>es</w:t>
            </w:r>
          </w:p>
        </w:tc>
        <w:tc>
          <w:tcPr>
            <w:tcW w:w="475" w:type="dxa"/>
            <w:shd w:val="clear" w:color="auto" w:fill="C5DFB3"/>
            <w:textDirection w:val="btLr"/>
          </w:tcPr>
          <w:p>
            <w:pPr>
              <w:pStyle w:val="TableParagraph"/>
              <w:spacing w:before="126"/>
              <w:ind w:left="340" w:right="-11"/>
              <w:jc w:val="left"/>
              <w:rPr>
                <w:b/>
                <w:sz w:val="18"/>
              </w:rPr>
            </w:pPr>
            <w:r>
              <w:rPr>
                <w:b/>
                <w:w w:val="100"/>
                <w:sz w:val="18"/>
              </w:rPr>
              <w:t>Subtot</w:t>
            </w:r>
            <w:r>
              <w:rPr>
                <w:b/>
                <w:w w:val="99"/>
                <w:sz w:val="18"/>
              </w:rPr>
              <w:t>a</w:t>
            </w:r>
            <w:r>
              <w:rPr>
                <w:b/>
                <w:w w:val="100"/>
                <w:sz w:val="18"/>
              </w:rPr>
              <w:t>l</w:t>
            </w:r>
          </w:p>
        </w:tc>
      </w:tr>
      <w:tr>
        <w:trPr>
          <w:trHeight w:val="401" w:hRule="exact"/>
        </w:trPr>
        <w:tc>
          <w:tcPr>
            <w:tcW w:w="4277" w:type="dxa"/>
          </w:tcPr>
          <w:p>
            <w:pPr>
              <w:pStyle w:val="TableParagraph"/>
              <w:spacing w:before="85"/>
              <w:ind w:left="67"/>
              <w:jc w:val="left"/>
              <w:rPr>
                <w:b/>
                <w:sz w:val="18"/>
              </w:rPr>
            </w:pPr>
            <w:r>
              <w:rPr>
                <w:b/>
                <w:sz w:val="18"/>
              </w:rPr>
              <w:t>TONATICO</w:t>
            </w:r>
          </w:p>
        </w:tc>
        <w:tc>
          <w:tcPr>
            <w:tcW w:w="415" w:type="dxa"/>
          </w:tcPr>
          <w:p>
            <w:pPr>
              <w:pStyle w:val="TableParagraph"/>
              <w:spacing w:before="90"/>
              <w:ind w:left="151"/>
              <w:jc w:val="left"/>
              <w:rPr>
                <w:sz w:val="18"/>
              </w:rPr>
            </w:pPr>
            <w:r>
              <w:rPr>
                <w:w w:val="99"/>
                <w:sz w:val="18"/>
              </w:rPr>
              <w:t>1</w:t>
            </w:r>
          </w:p>
        </w:tc>
        <w:tc>
          <w:tcPr>
            <w:tcW w:w="415" w:type="dxa"/>
          </w:tcPr>
          <w:p>
            <w:pPr>
              <w:pStyle w:val="TableParagraph"/>
              <w:spacing w:before="90"/>
              <w:ind w:right="1"/>
              <w:rPr>
                <w:sz w:val="18"/>
              </w:rPr>
            </w:pPr>
            <w:r>
              <w:rPr>
                <w:w w:val="99"/>
                <w:sz w:val="18"/>
              </w:rPr>
              <w:t>0</w:t>
            </w:r>
          </w:p>
        </w:tc>
        <w:tc>
          <w:tcPr>
            <w:tcW w:w="415" w:type="dxa"/>
          </w:tcPr>
          <w:p>
            <w:pPr>
              <w:pStyle w:val="TableParagraph"/>
              <w:spacing w:before="90"/>
              <w:ind w:left="151"/>
              <w:jc w:val="left"/>
              <w:rPr>
                <w:sz w:val="18"/>
              </w:rPr>
            </w:pPr>
            <w:r>
              <w:rPr>
                <w:w w:val="99"/>
                <w:sz w:val="18"/>
              </w:rPr>
              <w:t>3</w:t>
            </w:r>
          </w:p>
        </w:tc>
        <w:tc>
          <w:tcPr>
            <w:tcW w:w="413" w:type="dxa"/>
          </w:tcPr>
          <w:p>
            <w:pPr>
              <w:pStyle w:val="TableParagraph"/>
              <w:spacing w:before="90"/>
              <w:rPr>
                <w:sz w:val="18"/>
              </w:rPr>
            </w:pPr>
            <w:r>
              <w:rPr>
                <w:w w:val="99"/>
                <w:sz w:val="18"/>
              </w:rPr>
              <w:t>1</w:t>
            </w:r>
          </w:p>
        </w:tc>
        <w:tc>
          <w:tcPr>
            <w:tcW w:w="475" w:type="dxa"/>
          </w:tcPr>
          <w:p>
            <w:pPr>
              <w:pStyle w:val="TableParagraph"/>
              <w:spacing w:before="90"/>
              <w:ind w:left="4"/>
              <w:rPr>
                <w:sz w:val="18"/>
              </w:rPr>
            </w:pPr>
            <w:r>
              <w:rPr>
                <w:w w:val="99"/>
                <w:sz w:val="18"/>
              </w:rPr>
              <w:t>0</w:t>
            </w:r>
          </w:p>
        </w:tc>
        <w:tc>
          <w:tcPr>
            <w:tcW w:w="418" w:type="dxa"/>
          </w:tcPr>
          <w:p>
            <w:pPr>
              <w:pStyle w:val="TableParagraph"/>
              <w:spacing w:before="90"/>
              <w:ind w:left="153"/>
              <w:jc w:val="left"/>
              <w:rPr>
                <w:sz w:val="18"/>
              </w:rPr>
            </w:pPr>
            <w:r>
              <w:rPr>
                <w:w w:val="99"/>
                <w:sz w:val="18"/>
              </w:rPr>
              <w:t>0</w:t>
            </w:r>
          </w:p>
        </w:tc>
        <w:tc>
          <w:tcPr>
            <w:tcW w:w="415" w:type="dxa"/>
          </w:tcPr>
          <w:p>
            <w:pPr>
              <w:pStyle w:val="TableParagraph"/>
              <w:spacing w:before="90"/>
              <w:ind w:right="1"/>
              <w:rPr>
                <w:sz w:val="18"/>
              </w:rPr>
            </w:pPr>
            <w:r>
              <w:rPr>
                <w:w w:val="99"/>
                <w:sz w:val="18"/>
              </w:rPr>
              <w:t>9</w:t>
            </w:r>
          </w:p>
        </w:tc>
        <w:tc>
          <w:tcPr>
            <w:tcW w:w="415" w:type="dxa"/>
          </w:tcPr>
          <w:p>
            <w:pPr>
              <w:pStyle w:val="TableParagraph"/>
              <w:spacing w:before="90"/>
              <w:ind w:left="1"/>
              <w:rPr>
                <w:sz w:val="18"/>
              </w:rPr>
            </w:pPr>
            <w:r>
              <w:rPr>
                <w:w w:val="99"/>
                <w:sz w:val="18"/>
              </w:rPr>
              <w:t>0</w:t>
            </w:r>
          </w:p>
        </w:tc>
        <w:tc>
          <w:tcPr>
            <w:tcW w:w="418" w:type="dxa"/>
          </w:tcPr>
          <w:p>
            <w:pPr>
              <w:pStyle w:val="TableParagraph"/>
              <w:spacing w:before="90"/>
              <w:ind w:left="153"/>
              <w:jc w:val="left"/>
              <w:rPr>
                <w:sz w:val="18"/>
              </w:rPr>
            </w:pPr>
            <w:r>
              <w:rPr>
                <w:w w:val="99"/>
                <w:sz w:val="18"/>
              </w:rPr>
              <w:t>0</w:t>
            </w:r>
          </w:p>
        </w:tc>
        <w:tc>
          <w:tcPr>
            <w:tcW w:w="850" w:type="dxa"/>
          </w:tcPr>
          <w:p>
            <w:pPr>
              <w:pStyle w:val="TableParagraph"/>
              <w:spacing w:before="90"/>
              <w:rPr>
                <w:sz w:val="18"/>
              </w:rPr>
            </w:pPr>
            <w:r>
              <w:rPr>
                <w:w w:val="99"/>
                <w:sz w:val="18"/>
              </w:rPr>
              <w:t>0</w:t>
            </w:r>
          </w:p>
        </w:tc>
        <w:tc>
          <w:tcPr>
            <w:tcW w:w="852" w:type="dxa"/>
          </w:tcPr>
          <w:p>
            <w:pPr>
              <w:pStyle w:val="TableParagraph"/>
              <w:spacing w:before="90"/>
              <w:ind w:left="1"/>
              <w:rPr>
                <w:sz w:val="18"/>
              </w:rPr>
            </w:pPr>
            <w:r>
              <w:rPr>
                <w:w w:val="99"/>
                <w:sz w:val="18"/>
              </w:rPr>
              <w:t>1</w:t>
            </w:r>
          </w:p>
        </w:tc>
        <w:tc>
          <w:tcPr>
            <w:tcW w:w="415" w:type="dxa"/>
            <w:tcBorders>
              <w:right w:val="single" w:sz="4" w:space="0" w:color="000000"/>
            </w:tcBorders>
          </w:tcPr>
          <w:p>
            <w:pPr>
              <w:pStyle w:val="TableParagraph"/>
              <w:spacing w:before="90"/>
              <w:ind w:right="1"/>
              <w:rPr>
                <w:sz w:val="18"/>
              </w:rPr>
            </w:pPr>
            <w:r>
              <w:rPr>
                <w:w w:val="99"/>
                <w:sz w:val="18"/>
              </w:rPr>
              <w:t>1</w:t>
            </w:r>
          </w:p>
        </w:tc>
        <w:tc>
          <w:tcPr>
            <w:tcW w:w="850" w:type="dxa"/>
            <w:tcBorders>
              <w:left w:val="single" w:sz="4" w:space="0" w:color="000000"/>
            </w:tcBorders>
          </w:tcPr>
          <w:p>
            <w:pPr>
              <w:pStyle w:val="TableParagraph"/>
              <w:spacing w:before="90"/>
              <w:rPr>
                <w:sz w:val="18"/>
              </w:rPr>
            </w:pPr>
            <w:r>
              <w:rPr>
                <w:w w:val="99"/>
                <w:sz w:val="18"/>
              </w:rPr>
              <w:t>0</w:t>
            </w:r>
          </w:p>
        </w:tc>
        <w:tc>
          <w:tcPr>
            <w:tcW w:w="475" w:type="dxa"/>
          </w:tcPr>
          <w:p>
            <w:pPr>
              <w:pStyle w:val="TableParagraph"/>
              <w:spacing w:before="90"/>
              <w:ind w:left="4"/>
              <w:rPr>
                <w:sz w:val="18"/>
              </w:rPr>
            </w:pPr>
            <w:r>
              <w:rPr>
                <w:w w:val="99"/>
                <w:sz w:val="18"/>
              </w:rPr>
              <w:t>0</w:t>
            </w:r>
          </w:p>
        </w:tc>
        <w:tc>
          <w:tcPr>
            <w:tcW w:w="475" w:type="dxa"/>
          </w:tcPr>
          <w:p>
            <w:pPr>
              <w:pStyle w:val="TableParagraph"/>
              <w:spacing w:before="90"/>
              <w:ind w:right="127"/>
              <w:jc w:val="right"/>
              <w:rPr>
                <w:sz w:val="18"/>
              </w:rPr>
            </w:pPr>
            <w:r>
              <w:rPr>
                <w:w w:val="95"/>
                <w:sz w:val="18"/>
              </w:rPr>
              <w:t>16</w:t>
            </w:r>
          </w:p>
        </w:tc>
      </w:tr>
      <w:tr>
        <w:trPr>
          <w:trHeight w:val="399" w:hRule="exact"/>
        </w:trPr>
        <w:tc>
          <w:tcPr>
            <w:tcW w:w="4277" w:type="dxa"/>
          </w:tcPr>
          <w:p>
            <w:pPr>
              <w:pStyle w:val="TableParagraph"/>
              <w:spacing w:before="86"/>
              <w:ind w:left="67"/>
              <w:jc w:val="left"/>
              <w:rPr>
                <w:b/>
                <w:sz w:val="18"/>
              </w:rPr>
            </w:pPr>
            <w:r>
              <w:rPr>
                <w:b/>
                <w:sz w:val="18"/>
              </w:rPr>
              <w:t>TULTEPEC</w:t>
            </w:r>
          </w:p>
        </w:tc>
        <w:tc>
          <w:tcPr>
            <w:tcW w:w="415" w:type="dxa"/>
          </w:tcPr>
          <w:p>
            <w:pPr>
              <w:pStyle w:val="TableParagraph"/>
              <w:spacing w:before="91"/>
              <w:ind w:left="151"/>
              <w:jc w:val="left"/>
              <w:rPr>
                <w:sz w:val="18"/>
              </w:rPr>
            </w:pPr>
            <w:r>
              <w:rPr>
                <w:w w:val="99"/>
                <w:sz w:val="18"/>
              </w:rPr>
              <w:t>1</w:t>
            </w:r>
          </w:p>
        </w:tc>
        <w:tc>
          <w:tcPr>
            <w:tcW w:w="415" w:type="dxa"/>
          </w:tcPr>
          <w:p>
            <w:pPr>
              <w:pStyle w:val="TableParagraph"/>
              <w:spacing w:before="91"/>
              <w:ind w:right="1"/>
              <w:rPr>
                <w:sz w:val="18"/>
              </w:rPr>
            </w:pPr>
            <w:r>
              <w:rPr>
                <w:w w:val="99"/>
                <w:sz w:val="18"/>
              </w:rPr>
              <w:t>0</w:t>
            </w:r>
          </w:p>
        </w:tc>
        <w:tc>
          <w:tcPr>
            <w:tcW w:w="415" w:type="dxa"/>
          </w:tcPr>
          <w:p>
            <w:pPr>
              <w:pStyle w:val="TableParagraph"/>
              <w:spacing w:before="91"/>
              <w:ind w:left="151"/>
              <w:jc w:val="left"/>
              <w:rPr>
                <w:sz w:val="18"/>
              </w:rPr>
            </w:pPr>
            <w:r>
              <w:rPr>
                <w:w w:val="99"/>
                <w:sz w:val="18"/>
              </w:rPr>
              <w:t>3</w:t>
            </w:r>
          </w:p>
        </w:tc>
        <w:tc>
          <w:tcPr>
            <w:tcW w:w="413" w:type="dxa"/>
          </w:tcPr>
          <w:p>
            <w:pPr>
              <w:pStyle w:val="TableParagraph"/>
              <w:spacing w:before="91"/>
              <w:rPr>
                <w:sz w:val="18"/>
              </w:rPr>
            </w:pPr>
            <w:r>
              <w:rPr>
                <w:w w:val="99"/>
                <w:sz w:val="18"/>
              </w:rPr>
              <w:t>1</w:t>
            </w:r>
          </w:p>
        </w:tc>
        <w:tc>
          <w:tcPr>
            <w:tcW w:w="475" w:type="dxa"/>
          </w:tcPr>
          <w:p>
            <w:pPr>
              <w:pStyle w:val="TableParagraph"/>
              <w:spacing w:before="91"/>
              <w:ind w:left="4"/>
              <w:rPr>
                <w:sz w:val="18"/>
              </w:rPr>
            </w:pPr>
            <w:r>
              <w:rPr>
                <w:w w:val="99"/>
                <w:sz w:val="18"/>
              </w:rPr>
              <w:t>0</w:t>
            </w:r>
          </w:p>
        </w:tc>
        <w:tc>
          <w:tcPr>
            <w:tcW w:w="418" w:type="dxa"/>
          </w:tcPr>
          <w:p>
            <w:pPr>
              <w:pStyle w:val="TableParagraph"/>
              <w:spacing w:before="91"/>
              <w:ind w:left="153"/>
              <w:jc w:val="left"/>
              <w:rPr>
                <w:sz w:val="18"/>
              </w:rPr>
            </w:pPr>
            <w:r>
              <w:rPr>
                <w:w w:val="99"/>
                <w:sz w:val="18"/>
              </w:rPr>
              <w:t>0</w:t>
            </w:r>
          </w:p>
        </w:tc>
        <w:tc>
          <w:tcPr>
            <w:tcW w:w="415" w:type="dxa"/>
          </w:tcPr>
          <w:p>
            <w:pPr>
              <w:pStyle w:val="TableParagraph"/>
              <w:spacing w:before="91"/>
              <w:ind w:right="1"/>
              <w:rPr>
                <w:sz w:val="18"/>
              </w:rPr>
            </w:pPr>
            <w:r>
              <w:rPr>
                <w:w w:val="99"/>
                <w:sz w:val="18"/>
              </w:rPr>
              <w:t>0</w:t>
            </w:r>
          </w:p>
        </w:tc>
        <w:tc>
          <w:tcPr>
            <w:tcW w:w="415" w:type="dxa"/>
          </w:tcPr>
          <w:p>
            <w:pPr>
              <w:pStyle w:val="TableParagraph"/>
              <w:spacing w:before="91"/>
              <w:ind w:left="1"/>
              <w:rPr>
                <w:sz w:val="18"/>
              </w:rPr>
            </w:pPr>
            <w:r>
              <w:rPr>
                <w:w w:val="99"/>
                <w:sz w:val="18"/>
              </w:rPr>
              <w:t>0</w:t>
            </w:r>
          </w:p>
        </w:tc>
        <w:tc>
          <w:tcPr>
            <w:tcW w:w="418" w:type="dxa"/>
          </w:tcPr>
          <w:p>
            <w:pPr>
              <w:pStyle w:val="TableParagraph"/>
              <w:spacing w:before="91"/>
              <w:ind w:left="153"/>
              <w:jc w:val="left"/>
              <w:rPr>
                <w:sz w:val="18"/>
              </w:rPr>
            </w:pPr>
            <w:r>
              <w:rPr>
                <w:w w:val="99"/>
                <w:sz w:val="18"/>
              </w:rPr>
              <w:t>0</w:t>
            </w:r>
          </w:p>
        </w:tc>
        <w:tc>
          <w:tcPr>
            <w:tcW w:w="850" w:type="dxa"/>
          </w:tcPr>
          <w:p>
            <w:pPr>
              <w:pStyle w:val="TableParagraph"/>
              <w:spacing w:before="91"/>
              <w:rPr>
                <w:sz w:val="18"/>
              </w:rPr>
            </w:pPr>
            <w:r>
              <w:rPr>
                <w:w w:val="99"/>
                <w:sz w:val="18"/>
              </w:rPr>
              <w:t>0</w:t>
            </w:r>
          </w:p>
        </w:tc>
        <w:tc>
          <w:tcPr>
            <w:tcW w:w="852" w:type="dxa"/>
          </w:tcPr>
          <w:p>
            <w:pPr>
              <w:pStyle w:val="TableParagraph"/>
              <w:spacing w:before="91"/>
              <w:ind w:left="1"/>
              <w:rPr>
                <w:sz w:val="18"/>
              </w:rPr>
            </w:pPr>
            <w:r>
              <w:rPr>
                <w:w w:val="99"/>
                <w:sz w:val="18"/>
              </w:rPr>
              <w:t>0</w:t>
            </w:r>
          </w:p>
        </w:tc>
        <w:tc>
          <w:tcPr>
            <w:tcW w:w="415" w:type="dxa"/>
            <w:tcBorders>
              <w:right w:val="single" w:sz="4" w:space="0" w:color="000000"/>
            </w:tcBorders>
          </w:tcPr>
          <w:p>
            <w:pPr>
              <w:pStyle w:val="TableParagraph"/>
              <w:spacing w:before="91"/>
              <w:ind w:right="1"/>
              <w:rPr>
                <w:sz w:val="18"/>
              </w:rPr>
            </w:pPr>
            <w:r>
              <w:rPr>
                <w:w w:val="99"/>
                <w:sz w:val="18"/>
              </w:rPr>
              <w:t>0</w:t>
            </w:r>
          </w:p>
        </w:tc>
        <w:tc>
          <w:tcPr>
            <w:tcW w:w="850" w:type="dxa"/>
            <w:tcBorders>
              <w:left w:val="single" w:sz="4" w:space="0" w:color="000000"/>
            </w:tcBorders>
          </w:tcPr>
          <w:p>
            <w:pPr>
              <w:pStyle w:val="TableParagraph"/>
              <w:spacing w:before="91"/>
              <w:rPr>
                <w:sz w:val="18"/>
              </w:rPr>
            </w:pPr>
            <w:r>
              <w:rPr>
                <w:w w:val="99"/>
                <w:sz w:val="18"/>
              </w:rPr>
              <w:t>0</w:t>
            </w:r>
          </w:p>
        </w:tc>
        <w:tc>
          <w:tcPr>
            <w:tcW w:w="475" w:type="dxa"/>
          </w:tcPr>
          <w:p>
            <w:pPr>
              <w:pStyle w:val="TableParagraph"/>
              <w:spacing w:before="91"/>
              <w:ind w:left="4"/>
              <w:rPr>
                <w:sz w:val="18"/>
              </w:rPr>
            </w:pPr>
            <w:r>
              <w:rPr>
                <w:w w:val="99"/>
                <w:sz w:val="18"/>
              </w:rPr>
              <w:t>0</w:t>
            </w:r>
          </w:p>
        </w:tc>
        <w:tc>
          <w:tcPr>
            <w:tcW w:w="475" w:type="dxa"/>
          </w:tcPr>
          <w:p>
            <w:pPr>
              <w:pStyle w:val="TableParagraph"/>
              <w:spacing w:before="91"/>
              <w:ind w:right="178"/>
              <w:jc w:val="right"/>
              <w:rPr>
                <w:sz w:val="18"/>
              </w:rPr>
            </w:pPr>
            <w:r>
              <w:rPr>
                <w:w w:val="99"/>
                <w:sz w:val="18"/>
              </w:rPr>
              <w:t>5</w:t>
            </w:r>
          </w:p>
        </w:tc>
      </w:tr>
      <w:tr>
        <w:trPr>
          <w:trHeight w:val="401" w:hRule="exact"/>
        </w:trPr>
        <w:tc>
          <w:tcPr>
            <w:tcW w:w="4277" w:type="dxa"/>
          </w:tcPr>
          <w:p>
            <w:pPr>
              <w:pStyle w:val="TableParagraph"/>
              <w:spacing w:before="88"/>
              <w:ind w:left="67"/>
              <w:jc w:val="left"/>
              <w:rPr>
                <w:b/>
                <w:sz w:val="18"/>
              </w:rPr>
            </w:pPr>
            <w:r>
              <w:rPr>
                <w:b/>
                <w:sz w:val="18"/>
              </w:rPr>
              <w:t>TULTITLAN</w:t>
            </w:r>
          </w:p>
        </w:tc>
        <w:tc>
          <w:tcPr>
            <w:tcW w:w="415" w:type="dxa"/>
          </w:tcPr>
          <w:p>
            <w:pPr>
              <w:pStyle w:val="TableParagraph"/>
              <w:spacing w:before="92"/>
              <w:ind w:left="151"/>
              <w:jc w:val="left"/>
              <w:rPr>
                <w:sz w:val="18"/>
              </w:rPr>
            </w:pPr>
            <w:r>
              <w:rPr>
                <w:w w:val="99"/>
                <w:sz w:val="18"/>
              </w:rPr>
              <w:t>1</w:t>
            </w:r>
          </w:p>
        </w:tc>
        <w:tc>
          <w:tcPr>
            <w:tcW w:w="415" w:type="dxa"/>
          </w:tcPr>
          <w:p>
            <w:pPr>
              <w:pStyle w:val="TableParagraph"/>
              <w:spacing w:before="92"/>
              <w:ind w:right="1"/>
              <w:rPr>
                <w:sz w:val="18"/>
              </w:rPr>
            </w:pPr>
            <w:r>
              <w:rPr>
                <w:w w:val="99"/>
                <w:sz w:val="18"/>
              </w:rPr>
              <w:t>0</w:t>
            </w:r>
          </w:p>
        </w:tc>
        <w:tc>
          <w:tcPr>
            <w:tcW w:w="415" w:type="dxa"/>
          </w:tcPr>
          <w:p>
            <w:pPr>
              <w:pStyle w:val="TableParagraph"/>
              <w:spacing w:before="92"/>
              <w:ind w:left="103"/>
              <w:jc w:val="left"/>
              <w:rPr>
                <w:sz w:val="18"/>
              </w:rPr>
            </w:pPr>
            <w:r>
              <w:rPr>
                <w:sz w:val="18"/>
              </w:rPr>
              <w:t>15</w:t>
            </w:r>
          </w:p>
        </w:tc>
        <w:tc>
          <w:tcPr>
            <w:tcW w:w="413" w:type="dxa"/>
          </w:tcPr>
          <w:p>
            <w:pPr>
              <w:pStyle w:val="TableParagraph"/>
              <w:spacing w:before="92"/>
              <w:rPr>
                <w:sz w:val="18"/>
              </w:rPr>
            </w:pPr>
            <w:r>
              <w:rPr>
                <w:w w:val="99"/>
                <w:sz w:val="18"/>
              </w:rPr>
              <w:t>1</w:t>
            </w:r>
          </w:p>
        </w:tc>
        <w:tc>
          <w:tcPr>
            <w:tcW w:w="475" w:type="dxa"/>
          </w:tcPr>
          <w:p>
            <w:pPr>
              <w:pStyle w:val="TableParagraph"/>
              <w:spacing w:before="92"/>
              <w:ind w:left="62" w:right="58"/>
              <w:rPr>
                <w:sz w:val="18"/>
              </w:rPr>
            </w:pPr>
            <w:r>
              <w:rPr>
                <w:sz w:val="18"/>
              </w:rPr>
              <w:t>30</w:t>
            </w:r>
          </w:p>
        </w:tc>
        <w:tc>
          <w:tcPr>
            <w:tcW w:w="418" w:type="dxa"/>
          </w:tcPr>
          <w:p>
            <w:pPr>
              <w:pStyle w:val="TableParagraph"/>
              <w:spacing w:before="92"/>
              <w:ind w:left="153"/>
              <w:jc w:val="left"/>
              <w:rPr>
                <w:sz w:val="18"/>
              </w:rPr>
            </w:pPr>
            <w:r>
              <w:rPr>
                <w:w w:val="99"/>
                <w:sz w:val="18"/>
              </w:rPr>
              <w:t>4</w:t>
            </w:r>
          </w:p>
        </w:tc>
        <w:tc>
          <w:tcPr>
            <w:tcW w:w="415" w:type="dxa"/>
          </w:tcPr>
          <w:p>
            <w:pPr>
              <w:pStyle w:val="TableParagraph"/>
              <w:spacing w:before="92"/>
              <w:ind w:left="81" w:right="79"/>
              <w:rPr>
                <w:sz w:val="18"/>
              </w:rPr>
            </w:pPr>
            <w:r>
              <w:rPr>
                <w:sz w:val="18"/>
              </w:rPr>
              <w:t>19</w:t>
            </w:r>
          </w:p>
        </w:tc>
        <w:tc>
          <w:tcPr>
            <w:tcW w:w="415" w:type="dxa"/>
          </w:tcPr>
          <w:p>
            <w:pPr>
              <w:pStyle w:val="TableParagraph"/>
              <w:spacing w:before="92"/>
              <w:ind w:left="1"/>
              <w:rPr>
                <w:sz w:val="18"/>
              </w:rPr>
            </w:pPr>
            <w:r>
              <w:rPr>
                <w:w w:val="99"/>
                <w:sz w:val="18"/>
              </w:rPr>
              <w:t>7</w:t>
            </w:r>
          </w:p>
        </w:tc>
        <w:tc>
          <w:tcPr>
            <w:tcW w:w="418" w:type="dxa"/>
          </w:tcPr>
          <w:p>
            <w:pPr>
              <w:pStyle w:val="TableParagraph"/>
              <w:spacing w:before="92"/>
              <w:ind w:left="153"/>
              <w:jc w:val="left"/>
              <w:rPr>
                <w:sz w:val="18"/>
              </w:rPr>
            </w:pPr>
            <w:r>
              <w:rPr>
                <w:w w:val="99"/>
                <w:sz w:val="18"/>
              </w:rPr>
              <w:t>0</w:t>
            </w:r>
          </w:p>
        </w:tc>
        <w:tc>
          <w:tcPr>
            <w:tcW w:w="850" w:type="dxa"/>
          </w:tcPr>
          <w:p>
            <w:pPr>
              <w:pStyle w:val="TableParagraph"/>
              <w:spacing w:before="92"/>
              <w:rPr>
                <w:sz w:val="18"/>
              </w:rPr>
            </w:pPr>
            <w:r>
              <w:rPr>
                <w:w w:val="99"/>
                <w:sz w:val="18"/>
              </w:rPr>
              <w:t>0</w:t>
            </w:r>
          </w:p>
        </w:tc>
        <w:tc>
          <w:tcPr>
            <w:tcW w:w="852" w:type="dxa"/>
          </w:tcPr>
          <w:p>
            <w:pPr>
              <w:pStyle w:val="TableParagraph"/>
              <w:spacing w:before="92"/>
              <w:ind w:left="1"/>
              <w:rPr>
                <w:sz w:val="18"/>
              </w:rPr>
            </w:pPr>
            <w:r>
              <w:rPr>
                <w:w w:val="99"/>
                <w:sz w:val="18"/>
              </w:rPr>
              <w:t>1</w:t>
            </w:r>
          </w:p>
        </w:tc>
        <w:tc>
          <w:tcPr>
            <w:tcW w:w="415" w:type="dxa"/>
            <w:tcBorders>
              <w:right w:val="single" w:sz="4" w:space="0" w:color="000000"/>
            </w:tcBorders>
          </w:tcPr>
          <w:p>
            <w:pPr>
              <w:pStyle w:val="TableParagraph"/>
              <w:spacing w:before="92"/>
              <w:ind w:right="1"/>
              <w:rPr>
                <w:sz w:val="18"/>
              </w:rPr>
            </w:pPr>
            <w:r>
              <w:rPr>
                <w:w w:val="99"/>
                <w:sz w:val="18"/>
              </w:rPr>
              <w:t>0</w:t>
            </w:r>
          </w:p>
        </w:tc>
        <w:tc>
          <w:tcPr>
            <w:tcW w:w="850" w:type="dxa"/>
            <w:tcBorders>
              <w:left w:val="single" w:sz="4" w:space="0" w:color="000000"/>
            </w:tcBorders>
          </w:tcPr>
          <w:p>
            <w:pPr>
              <w:pStyle w:val="TableParagraph"/>
              <w:spacing w:before="92"/>
              <w:rPr>
                <w:sz w:val="18"/>
              </w:rPr>
            </w:pPr>
            <w:r>
              <w:rPr>
                <w:w w:val="99"/>
                <w:sz w:val="18"/>
              </w:rPr>
              <w:t>0</w:t>
            </w:r>
          </w:p>
        </w:tc>
        <w:tc>
          <w:tcPr>
            <w:tcW w:w="475" w:type="dxa"/>
          </w:tcPr>
          <w:p>
            <w:pPr>
              <w:pStyle w:val="TableParagraph"/>
              <w:spacing w:before="92"/>
              <w:ind w:left="62" w:right="58"/>
              <w:rPr>
                <w:sz w:val="18"/>
              </w:rPr>
            </w:pPr>
            <w:r>
              <w:rPr>
                <w:sz w:val="18"/>
              </w:rPr>
              <w:t>12</w:t>
            </w:r>
          </w:p>
        </w:tc>
        <w:tc>
          <w:tcPr>
            <w:tcW w:w="475" w:type="dxa"/>
          </w:tcPr>
          <w:p>
            <w:pPr>
              <w:pStyle w:val="TableParagraph"/>
              <w:spacing w:before="92"/>
              <w:ind w:right="127"/>
              <w:jc w:val="right"/>
              <w:rPr>
                <w:sz w:val="18"/>
              </w:rPr>
            </w:pPr>
            <w:r>
              <w:rPr>
                <w:w w:val="95"/>
                <w:sz w:val="18"/>
              </w:rPr>
              <w:t>90</w:t>
            </w:r>
          </w:p>
        </w:tc>
      </w:tr>
      <w:tr>
        <w:trPr>
          <w:trHeight w:val="401" w:hRule="exact"/>
        </w:trPr>
        <w:tc>
          <w:tcPr>
            <w:tcW w:w="4277" w:type="dxa"/>
          </w:tcPr>
          <w:p>
            <w:pPr>
              <w:pStyle w:val="TableParagraph"/>
              <w:spacing w:before="85"/>
              <w:ind w:left="67"/>
              <w:jc w:val="left"/>
              <w:rPr>
                <w:b/>
                <w:sz w:val="18"/>
              </w:rPr>
            </w:pPr>
            <w:r>
              <w:rPr>
                <w:b/>
                <w:sz w:val="18"/>
              </w:rPr>
              <w:t>VALLE DE BRAVO</w:t>
            </w:r>
          </w:p>
        </w:tc>
        <w:tc>
          <w:tcPr>
            <w:tcW w:w="415" w:type="dxa"/>
          </w:tcPr>
          <w:p>
            <w:pPr>
              <w:pStyle w:val="TableParagraph"/>
              <w:spacing w:before="90"/>
              <w:ind w:left="151"/>
              <w:jc w:val="left"/>
              <w:rPr>
                <w:sz w:val="18"/>
              </w:rPr>
            </w:pPr>
            <w:r>
              <w:rPr>
                <w:w w:val="99"/>
                <w:sz w:val="18"/>
              </w:rPr>
              <w:t>1</w:t>
            </w:r>
          </w:p>
        </w:tc>
        <w:tc>
          <w:tcPr>
            <w:tcW w:w="415" w:type="dxa"/>
          </w:tcPr>
          <w:p>
            <w:pPr>
              <w:pStyle w:val="TableParagraph"/>
              <w:spacing w:before="90"/>
              <w:ind w:right="1"/>
              <w:rPr>
                <w:sz w:val="18"/>
              </w:rPr>
            </w:pPr>
            <w:r>
              <w:rPr>
                <w:w w:val="99"/>
                <w:sz w:val="18"/>
              </w:rPr>
              <w:t>0</w:t>
            </w:r>
          </w:p>
        </w:tc>
        <w:tc>
          <w:tcPr>
            <w:tcW w:w="415" w:type="dxa"/>
          </w:tcPr>
          <w:p>
            <w:pPr>
              <w:pStyle w:val="TableParagraph"/>
              <w:spacing w:before="90"/>
              <w:ind w:left="151"/>
              <w:jc w:val="left"/>
              <w:rPr>
                <w:sz w:val="18"/>
              </w:rPr>
            </w:pPr>
            <w:r>
              <w:rPr>
                <w:w w:val="99"/>
                <w:sz w:val="18"/>
              </w:rPr>
              <w:t>7</w:t>
            </w:r>
          </w:p>
        </w:tc>
        <w:tc>
          <w:tcPr>
            <w:tcW w:w="413" w:type="dxa"/>
          </w:tcPr>
          <w:p>
            <w:pPr>
              <w:pStyle w:val="TableParagraph"/>
              <w:spacing w:before="90"/>
              <w:rPr>
                <w:sz w:val="18"/>
              </w:rPr>
            </w:pPr>
            <w:r>
              <w:rPr>
                <w:w w:val="99"/>
                <w:sz w:val="18"/>
              </w:rPr>
              <w:t>1</w:t>
            </w:r>
          </w:p>
        </w:tc>
        <w:tc>
          <w:tcPr>
            <w:tcW w:w="475" w:type="dxa"/>
          </w:tcPr>
          <w:p>
            <w:pPr>
              <w:pStyle w:val="TableParagraph"/>
              <w:spacing w:before="90"/>
              <w:ind w:left="62" w:right="58"/>
              <w:rPr>
                <w:sz w:val="18"/>
              </w:rPr>
            </w:pPr>
            <w:r>
              <w:rPr>
                <w:sz w:val="18"/>
              </w:rPr>
              <w:t>15</w:t>
            </w:r>
          </w:p>
        </w:tc>
        <w:tc>
          <w:tcPr>
            <w:tcW w:w="418" w:type="dxa"/>
          </w:tcPr>
          <w:p>
            <w:pPr>
              <w:pStyle w:val="TableParagraph"/>
              <w:spacing w:before="90"/>
              <w:ind w:left="105"/>
              <w:jc w:val="left"/>
              <w:rPr>
                <w:sz w:val="18"/>
              </w:rPr>
            </w:pPr>
            <w:r>
              <w:rPr>
                <w:sz w:val="18"/>
              </w:rPr>
              <w:t>12</w:t>
            </w:r>
          </w:p>
        </w:tc>
        <w:tc>
          <w:tcPr>
            <w:tcW w:w="415" w:type="dxa"/>
          </w:tcPr>
          <w:p>
            <w:pPr>
              <w:pStyle w:val="TableParagraph"/>
              <w:spacing w:before="90"/>
              <w:ind w:right="1"/>
              <w:rPr>
                <w:sz w:val="18"/>
              </w:rPr>
            </w:pPr>
            <w:r>
              <w:rPr>
                <w:w w:val="99"/>
                <w:sz w:val="18"/>
              </w:rPr>
              <w:t>5</w:t>
            </w:r>
          </w:p>
        </w:tc>
        <w:tc>
          <w:tcPr>
            <w:tcW w:w="415" w:type="dxa"/>
          </w:tcPr>
          <w:p>
            <w:pPr>
              <w:pStyle w:val="TableParagraph"/>
              <w:spacing w:before="90"/>
              <w:ind w:left="1"/>
              <w:rPr>
                <w:sz w:val="18"/>
              </w:rPr>
            </w:pPr>
            <w:r>
              <w:rPr>
                <w:w w:val="99"/>
                <w:sz w:val="18"/>
              </w:rPr>
              <w:t>0</w:t>
            </w:r>
          </w:p>
        </w:tc>
        <w:tc>
          <w:tcPr>
            <w:tcW w:w="418" w:type="dxa"/>
          </w:tcPr>
          <w:p>
            <w:pPr>
              <w:pStyle w:val="TableParagraph"/>
              <w:spacing w:before="90"/>
              <w:ind w:left="153"/>
              <w:jc w:val="left"/>
              <w:rPr>
                <w:sz w:val="18"/>
              </w:rPr>
            </w:pPr>
            <w:r>
              <w:rPr>
                <w:w w:val="99"/>
                <w:sz w:val="18"/>
              </w:rPr>
              <w:t>0</w:t>
            </w:r>
          </w:p>
        </w:tc>
        <w:tc>
          <w:tcPr>
            <w:tcW w:w="850" w:type="dxa"/>
          </w:tcPr>
          <w:p>
            <w:pPr>
              <w:pStyle w:val="TableParagraph"/>
              <w:spacing w:before="90"/>
              <w:rPr>
                <w:sz w:val="18"/>
              </w:rPr>
            </w:pPr>
            <w:r>
              <w:rPr>
                <w:w w:val="99"/>
                <w:sz w:val="18"/>
              </w:rPr>
              <w:t>0</w:t>
            </w:r>
          </w:p>
        </w:tc>
        <w:tc>
          <w:tcPr>
            <w:tcW w:w="852" w:type="dxa"/>
          </w:tcPr>
          <w:p>
            <w:pPr>
              <w:pStyle w:val="TableParagraph"/>
              <w:spacing w:before="90"/>
              <w:ind w:left="1"/>
              <w:rPr>
                <w:sz w:val="18"/>
              </w:rPr>
            </w:pPr>
            <w:r>
              <w:rPr>
                <w:w w:val="99"/>
                <w:sz w:val="18"/>
              </w:rPr>
              <w:t>1</w:t>
            </w:r>
          </w:p>
        </w:tc>
        <w:tc>
          <w:tcPr>
            <w:tcW w:w="415" w:type="dxa"/>
            <w:tcBorders>
              <w:right w:val="single" w:sz="4" w:space="0" w:color="000000"/>
            </w:tcBorders>
          </w:tcPr>
          <w:p>
            <w:pPr>
              <w:pStyle w:val="TableParagraph"/>
              <w:spacing w:before="90"/>
              <w:ind w:right="1"/>
              <w:rPr>
                <w:sz w:val="18"/>
              </w:rPr>
            </w:pPr>
            <w:r>
              <w:rPr>
                <w:w w:val="99"/>
                <w:sz w:val="18"/>
              </w:rPr>
              <w:t>0</w:t>
            </w:r>
          </w:p>
        </w:tc>
        <w:tc>
          <w:tcPr>
            <w:tcW w:w="850" w:type="dxa"/>
            <w:tcBorders>
              <w:left w:val="single" w:sz="4" w:space="0" w:color="000000"/>
            </w:tcBorders>
          </w:tcPr>
          <w:p>
            <w:pPr>
              <w:pStyle w:val="TableParagraph"/>
              <w:spacing w:before="90"/>
              <w:rPr>
                <w:sz w:val="18"/>
              </w:rPr>
            </w:pPr>
            <w:r>
              <w:rPr>
                <w:w w:val="99"/>
                <w:sz w:val="18"/>
              </w:rPr>
              <w:t>0</w:t>
            </w:r>
          </w:p>
        </w:tc>
        <w:tc>
          <w:tcPr>
            <w:tcW w:w="475" w:type="dxa"/>
          </w:tcPr>
          <w:p>
            <w:pPr>
              <w:pStyle w:val="TableParagraph"/>
              <w:spacing w:before="90"/>
              <w:ind w:left="4"/>
              <w:rPr>
                <w:sz w:val="18"/>
              </w:rPr>
            </w:pPr>
            <w:r>
              <w:rPr>
                <w:w w:val="99"/>
                <w:sz w:val="18"/>
              </w:rPr>
              <w:t>1</w:t>
            </w:r>
          </w:p>
        </w:tc>
        <w:tc>
          <w:tcPr>
            <w:tcW w:w="475" w:type="dxa"/>
          </w:tcPr>
          <w:p>
            <w:pPr>
              <w:pStyle w:val="TableParagraph"/>
              <w:spacing w:before="90"/>
              <w:ind w:right="127"/>
              <w:jc w:val="right"/>
              <w:rPr>
                <w:sz w:val="18"/>
              </w:rPr>
            </w:pPr>
            <w:r>
              <w:rPr>
                <w:w w:val="95"/>
                <w:sz w:val="18"/>
              </w:rPr>
              <w:t>43</w:t>
            </w:r>
          </w:p>
        </w:tc>
      </w:tr>
      <w:tr>
        <w:trPr>
          <w:trHeight w:val="398" w:hRule="exact"/>
        </w:trPr>
        <w:tc>
          <w:tcPr>
            <w:tcW w:w="4277" w:type="dxa"/>
          </w:tcPr>
          <w:p>
            <w:pPr>
              <w:pStyle w:val="TableParagraph"/>
              <w:spacing w:before="85"/>
              <w:ind w:left="67"/>
              <w:jc w:val="left"/>
              <w:rPr>
                <w:b/>
                <w:sz w:val="18"/>
              </w:rPr>
            </w:pPr>
            <w:r>
              <w:rPr>
                <w:b/>
                <w:sz w:val="18"/>
              </w:rPr>
              <w:t>VALLE DE CHALCO SOLIDARIDAD</w:t>
            </w:r>
          </w:p>
        </w:tc>
        <w:tc>
          <w:tcPr>
            <w:tcW w:w="415" w:type="dxa"/>
          </w:tcPr>
          <w:p>
            <w:pPr>
              <w:pStyle w:val="TableParagraph"/>
              <w:spacing w:before="90"/>
              <w:ind w:left="151"/>
              <w:jc w:val="left"/>
              <w:rPr>
                <w:sz w:val="18"/>
              </w:rPr>
            </w:pPr>
            <w:r>
              <w:rPr>
                <w:w w:val="99"/>
                <w:sz w:val="18"/>
              </w:rPr>
              <w:t>1</w:t>
            </w:r>
          </w:p>
        </w:tc>
        <w:tc>
          <w:tcPr>
            <w:tcW w:w="415" w:type="dxa"/>
          </w:tcPr>
          <w:p>
            <w:pPr>
              <w:pStyle w:val="TableParagraph"/>
              <w:spacing w:before="90"/>
              <w:ind w:right="1"/>
              <w:rPr>
                <w:sz w:val="18"/>
              </w:rPr>
            </w:pPr>
            <w:r>
              <w:rPr>
                <w:w w:val="99"/>
                <w:sz w:val="18"/>
              </w:rPr>
              <w:t>0</w:t>
            </w:r>
          </w:p>
        </w:tc>
        <w:tc>
          <w:tcPr>
            <w:tcW w:w="415" w:type="dxa"/>
          </w:tcPr>
          <w:p>
            <w:pPr>
              <w:pStyle w:val="TableParagraph"/>
              <w:spacing w:before="90"/>
              <w:ind w:left="151"/>
              <w:jc w:val="left"/>
              <w:rPr>
                <w:sz w:val="18"/>
              </w:rPr>
            </w:pPr>
            <w:r>
              <w:rPr>
                <w:w w:val="99"/>
                <w:sz w:val="18"/>
              </w:rPr>
              <w:t>3</w:t>
            </w:r>
          </w:p>
        </w:tc>
        <w:tc>
          <w:tcPr>
            <w:tcW w:w="413" w:type="dxa"/>
          </w:tcPr>
          <w:p>
            <w:pPr>
              <w:pStyle w:val="TableParagraph"/>
              <w:spacing w:before="90"/>
              <w:rPr>
                <w:sz w:val="18"/>
              </w:rPr>
            </w:pPr>
            <w:r>
              <w:rPr>
                <w:w w:val="99"/>
                <w:sz w:val="18"/>
              </w:rPr>
              <w:t>1</w:t>
            </w:r>
          </w:p>
        </w:tc>
        <w:tc>
          <w:tcPr>
            <w:tcW w:w="475" w:type="dxa"/>
          </w:tcPr>
          <w:p>
            <w:pPr>
              <w:pStyle w:val="TableParagraph"/>
              <w:spacing w:before="90"/>
              <w:ind w:left="62" w:right="58"/>
              <w:rPr>
                <w:sz w:val="18"/>
              </w:rPr>
            </w:pPr>
            <w:r>
              <w:rPr>
                <w:sz w:val="18"/>
              </w:rPr>
              <w:t>18</w:t>
            </w:r>
          </w:p>
        </w:tc>
        <w:tc>
          <w:tcPr>
            <w:tcW w:w="418" w:type="dxa"/>
          </w:tcPr>
          <w:p>
            <w:pPr>
              <w:pStyle w:val="TableParagraph"/>
              <w:spacing w:before="90"/>
              <w:ind w:left="153"/>
              <w:jc w:val="left"/>
              <w:rPr>
                <w:sz w:val="18"/>
              </w:rPr>
            </w:pPr>
            <w:r>
              <w:rPr>
                <w:w w:val="99"/>
                <w:sz w:val="18"/>
              </w:rPr>
              <w:t>8</w:t>
            </w:r>
          </w:p>
        </w:tc>
        <w:tc>
          <w:tcPr>
            <w:tcW w:w="415" w:type="dxa"/>
          </w:tcPr>
          <w:p>
            <w:pPr>
              <w:pStyle w:val="TableParagraph"/>
              <w:spacing w:before="90"/>
              <w:ind w:right="1"/>
              <w:rPr>
                <w:sz w:val="18"/>
              </w:rPr>
            </w:pPr>
            <w:r>
              <w:rPr>
                <w:w w:val="99"/>
                <w:sz w:val="18"/>
              </w:rPr>
              <w:t>3</w:t>
            </w:r>
          </w:p>
        </w:tc>
        <w:tc>
          <w:tcPr>
            <w:tcW w:w="415" w:type="dxa"/>
          </w:tcPr>
          <w:p>
            <w:pPr>
              <w:pStyle w:val="TableParagraph"/>
              <w:spacing w:before="90"/>
              <w:ind w:left="1"/>
              <w:rPr>
                <w:sz w:val="18"/>
              </w:rPr>
            </w:pPr>
            <w:r>
              <w:rPr>
                <w:w w:val="99"/>
                <w:sz w:val="18"/>
              </w:rPr>
              <w:t>0</w:t>
            </w:r>
          </w:p>
        </w:tc>
        <w:tc>
          <w:tcPr>
            <w:tcW w:w="418" w:type="dxa"/>
          </w:tcPr>
          <w:p>
            <w:pPr>
              <w:pStyle w:val="TableParagraph"/>
              <w:spacing w:before="90"/>
              <w:ind w:left="153"/>
              <w:jc w:val="left"/>
              <w:rPr>
                <w:sz w:val="18"/>
              </w:rPr>
            </w:pPr>
            <w:r>
              <w:rPr>
                <w:w w:val="99"/>
                <w:sz w:val="18"/>
              </w:rPr>
              <w:t>0</w:t>
            </w:r>
          </w:p>
        </w:tc>
        <w:tc>
          <w:tcPr>
            <w:tcW w:w="850" w:type="dxa"/>
          </w:tcPr>
          <w:p>
            <w:pPr>
              <w:pStyle w:val="TableParagraph"/>
              <w:spacing w:before="90"/>
              <w:rPr>
                <w:sz w:val="18"/>
              </w:rPr>
            </w:pPr>
            <w:r>
              <w:rPr>
                <w:w w:val="99"/>
                <w:sz w:val="18"/>
              </w:rPr>
              <w:t>0</w:t>
            </w:r>
          </w:p>
        </w:tc>
        <w:tc>
          <w:tcPr>
            <w:tcW w:w="852" w:type="dxa"/>
          </w:tcPr>
          <w:p>
            <w:pPr>
              <w:pStyle w:val="TableParagraph"/>
              <w:spacing w:before="90"/>
              <w:ind w:left="1"/>
              <w:rPr>
                <w:sz w:val="18"/>
              </w:rPr>
            </w:pPr>
            <w:r>
              <w:rPr>
                <w:w w:val="99"/>
                <w:sz w:val="18"/>
              </w:rPr>
              <w:t>0</w:t>
            </w:r>
          </w:p>
        </w:tc>
        <w:tc>
          <w:tcPr>
            <w:tcW w:w="415" w:type="dxa"/>
            <w:tcBorders>
              <w:right w:val="single" w:sz="4" w:space="0" w:color="000000"/>
            </w:tcBorders>
          </w:tcPr>
          <w:p>
            <w:pPr>
              <w:pStyle w:val="TableParagraph"/>
              <w:spacing w:before="90"/>
              <w:ind w:right="1"/>
              <w:rPr>
                <w:sz w:val="18"/>
              </w:rPr>
            </w:pPr>
            <w:r>
              <w:rPr>
                <w:w w:val="99"/>
                <w:sz w:val="18"/>
              </w:rPr>
              <w:t>4</w:t>
            </w:r>
          </w:p>
        </w:tc>
        <w:tc>
          <w:tcPr>
            <w:tcW w:w="850" w:type="dxa"/>
            <w:tcBorders>
              <w:left w:val="single" w:sz="4" w:space="0" w:color="000000"/>
            </w:tcBorders>
          </w:tcPr>
          <w:p>
            <w:pPr>
              <w:pStyle w:val="TableParagraph"/>
              <w:spacing w:before="90"/>
              <w:rPr>
                <w:sz w:val="18"/>
              </w:rPr>
            </w:pPr>
            <w:r>
              <w:rPr>
                <w:w w:val="99"/>
                <w:sz w:val="18"/>
              </w:rPr>
              <w:t>0</w:t>
            </w:r>
          </w:p>
        </w:tc>
        <w:tc>
          <w:tcPr>
            <w:tcW w:w="475" w:type="dxa"/>
          </w:tcPr>
          <w:p>
            <w:pPr>
              <w:pStyle w:val="TableParagraph"/>
              <w:spacing w:before="90"/>
              <w:ind w:left="4"/>
              <w:rPr>
                <w:sz w:val="18"/>
              </w:rPr>
            </w:pPr>
            <w:r>
              <w:rPr>
                <w:w w:val="99"/>
                <w:sz w:val="18"/>
              </w:rPr>
              <w:t>2</w:t>
            </w:r>
          </w:p>
        </w:tc>
        <w:tc>
          <w:tcPr>
            <w:tcW w:w="475" w:type="dxa"/>
          </w:tcPr>
          <w:p>
            <w:pPr>
              <w:pStyle w:val="TableParagraph"/>
              <w:spacing w:before="90"/>
              <w:ind w:right="127"/>
              <w:jc w:val="right"/>
              <w:rPr>
                <w:sz w:val="18"/>
              </w:rPr>
            </w:pPr>
            <w:r>
              <w:rPr>
                <w:w w:val="95"/>
                <w:sz w:val="18"/>
              </w:rPr>
              <w:t>40</w:t>
            </w:r>
          </w:p>
        </w:tc>
      </w:tr>
      <w:tr>
        <w:trPr>
          <w:trHeight w:val="401" w:hRule="exact"/>
        </w:trPr>
        <w:tc>
          <w:tcPr>
            <w:tcW w:w="4277" w:type="dxa"/>
          </w:tcPr>
          <w:p>
            <w:pPr>
              <w:pStyle w:val="TableParagraph"/>
              <w:spacing w:before="88"/>
              <w:ind w:left="67"/>
              <w:jc w:val="left"/>
              <w:rPr>
                <w:b/>
                <w:sz w:val="18"/>
              </w:rPr>
            </w:pPr>
            <w:r>
              <w:rPr>
                <w:b/>
                <w:sz w:val="18"/>
              </w:rPr>
              <w:t>VILLA DE ALLENDE</w:t>
            </w:r>
          </w:p>
        </w:tc>
        <w:tc>
          <w:tcPr>
            <w:tcW w:w="415" w:type="dxa"/>
          </w:tcPr>
          <w:p>
            <w:pPr>
              <w:pStyle w:val="TableParagraph"/>
              <w:spacing w:before="92"/>
              <w:ind w:left="151"/>
              <w:jc w:val="left"/>
              <w:rPr>
                <w:sz w:val="18"/>
              </w:rPr>
            </w:pPr>
            <w:r>
              <w:rPr>
                <w:w w:val="99"/>
                <w:sz w:val="18"/>
              </w:rPr>
              <w:t>1</w:t>
            </w:r>
          </w:p>
        </w:tc>
        <w:tc>
          <w:tcPr>
            <w:tcW w:w="415" w:type="dxa"/>
          </w:tcPr>
          <w:p>
            <w:pPr>
              <w:pStyle w:val="TableParagraph"/>
              <w:spacing w:before="92"/>
              <w:ind w:right="1"/>
              <w:rPr>
                <w:sz w:val="18"/>
              </w:rPr>
            </w:pPr>
            <w:r>
              <w:rPr>
                <w:w w:val="99"/>
                <w:sz w:val="18"/>
              </w:rPr>
              <w:t>0</w:t>
            </w:r>
          </w:p>
        </w:tc>
        <w:tc>
          <w:tcPr>
            <w:tcW w:w="415" w:type="dxa"/>
          </w:tcPr>
          <w:p>
            <w:pPr>
              <w:pStyle w:val="TableParagraph"/>
              <w:spacing w:before="92"/>
              <w:ind w:left="151"/>
              <w:jc w:val="left"/>
              <w:rPr>
                <w:sz w:val="18"/>
              </w:rPr>
            </w:pPr>
            <w:r>
              <w:rPr>
                <w:w w:val="99"/>
                <w:sz w:val="18"/>
              </w:rPr>
              <w:t>3</w:t>
            </w:r>
          </w:p>
        </w:tc>
        <w:tc>
          <w:tcPr>
            <w:tcW w:w="413" w:type="dxa"/>
          </w:tcPr>
          <w:p>
            <w:pPr>
              <w:pStyle w:val="TableParagraph"/>
              <w:spacing w:before="92"/>
              <w:rPr>
                <w:sz w:val="18"/>
              </w:rPr>
            </w:pPr>
            <w:r>
              <w:rPr>
                <w:w w:val="99"/>
                <w:sz w:val="18"/>
              </w:rPr>
              <w:t>1</w:t>
            </w:r>
          </w:p>
        </w:tc>
        <w:tc>
          <w:tcPr>
            <w:tcW w:w="475" w:type="dxa"/>
          </w:tcPr>
          <w:p>
            <w:pPr>
              <w:pStyle w:val="TableParagraph"/>
              <w:spacing w:before="92"/>
              <w:ind w:left="4"/>
              <w:rPr>
                <w:sz w:val="18"/>
              </w:rPr>
            </w:pPr>
            <w:r>
              <w:rPr>
                <w:w w:val="99"/>
                <w:sz w:val="18"/>
              </w:rPr>
              <w:t>0</w:t>
            </w:r>
          </w:p>
        </w:tc>
        <w:tc>
          <w:tcPr>
            <w:tcW w:w="418" w:type="dxa"/>
          </w:tcPr>
          <w:p>
            <w:pPr>
              <w:pStyle w:val="TableParagraph"/>
              <w:spacing w:before="92"/>
              <w:ind w:left="153"/>
              <w:jc w:val="left"/>
              <w:rPr>
                <w:sz w:val="18"/>
              </w:rPr>
            </w:pPr>
            <w:r>
              <w:rPr>
                <w:w w:val="99"/>
                <w:sz w:val="18"/>
              </w:rPr>
              <w:t>0</w:t>
            </w:r>
          </w:p>
        </w:tc>
        <w:tc>
          <w:tcPr>
            <w:tcW w:w="415" w:type="dxa"/>
          </w:tcPr>
          <w:p>
            <w:pPr>
              <w:pStyle w:val="TableParagraph"/>
              <w:spacing w:before="92"/>
              <w:ind w:right="1"/>
              <w:rPr>
                <w:sz w:val="18"/>
              </w:rPr>
            </w:pPr>
            <w:r>
              <w:rPr>
                <w:w w:val="99"/>
                <w:sz w:val="18"/>
              </w:rPr>
              <w:t>0</w:t>
            </w:r>
          </w:p>
        </w:tc>
        <w:tc>
          <w:tcPr>
            <w:tcW w:w="415" w:type="dxa"/>
          </w:tcPr>
          <w:p>
            <w:pPr>
              <w:pStyle w:val="TableParagraph"/>
              <w:spacing w:before="92"/>
              <w:ind w:left="1"/>
              <w:rPr>
                <w:sz w:val="18"/>
              </w:rPr>
            </w:pPr>
            <w:r>
              <w:rPr>
                <w:w w:val="99"/>
                <w:sz w:val="18"/>
              </w:rPr>
              <w:t>0</w:t>
            </w:r>
          </w:p>
        </w:tc>
        <w:tc>
          <w:tcPr>
            <w:tcW w:w="418" w:type="dxa"/>
          </w:tcPr>
          <w:p>
            <w:pPr>
              <w:pStyle w:val="TableParagraph"/>
              <w:spacing w:before="92"/>
              <w:ind w:left="153"/>
              <w:jc w:val="left"/>
              <w:rPr>
                <w:sz w:val="18"/>
              </w:rPr>
            </w:pPr>
            <w:r>
              <w:rPr>
                <w:w w:val="99"/>
                <w:sz w:val="18"/>
              </w:rPr>
              <w:t>0</w:t>
            </w:r>
          </w:p>
        </w:tc>
        <w:tc>
          <w:tcPr>
            <w:tcW w:w="850" w:type="dxa"/>
          </w:tcPr>
          <w:p>
            <w:pPr>
              <w:pStyle w:val="TableParagraph"/>
              <w:spacing w:before="92"/>
              <w:rPr>
                <w:sz w:val="18"/>
              </w:rPr>
            </w:pPr>
            <w:r>
              <w:rPr>
                <w:w w:val="99"/>
                <w:sz w:val="18"/>
              </w:rPr>
              <w:t>0</w:t>
            </w:r>
          </w:p>
        </w:tc>
        <w:tc>
          <w:tcPr>
            <w:tcW w:w="852" w:type="dxa"/>
          </w:tcPr>
          <w:p>
            <w:pPr>
              <w:pStyle w:val="TableParagraph"/>
              <w:spacing w:before="92"/>
              <w:ind w:left="1"/>
              <w:rPr>
                <w:sz w:val="18"/>
              </w:rPr>
            </w:pPr>
            <w:r>
              <w:rPr>
                <w:w w:val="99"/>
                <w:sz w:val="18"/>
              </w:rPr>
              <w:t>0</w:t>
            </w:r>
          </w:p>
        </w:tc>
        <w:tc>
          <w:tcPr>
            <w:tcW w:w="415" w:type="dxa"/>
            <w:tcBorders>
              <w:right w:val="single" w:sz="4" w:space="0" w:color="000000"/>
            </w:tcBorders>
          </w:tcPr>
          <w:p>
            <w:pPr>
              <w:pStyle w:val="TableParagraph"/>
              <w:spacing w:before="92"/>
              <w:ind w:right="1"/>
              <w:rPr>
                <w:sz w:val="18"/>
              </w:rPr>
            </w:pPr>
            <w:r>
              <w:rPr>
                <w:w w:val="99"/>
                <w:sz w:val="18"/>
              </w:rPr>
              <w:t>0</w:t>
            </w:r>
          </w:p>
        </w:tc>
        <w:tc>
          <w:tcPr>
            <w:tcW w:w="850" w:type="dxa"/>
            <w:tcBorders>
              <w:left w:val="single" w:sz="4" w:space="0" w:color="000000"/>
            </w:tcBorders>
          </w:tcPr>
          <w:p>
            <w:pPr>
              <w:pStyle w:val="TableParagraph"/>
              <w:spacing w:before="92"/>
              <w:rPr>
                <w:sz w:val="18"/>
              </w:rPr>
            </w:pPr>
            <w:r>
              <w:rPr>
                <w:w w:val="99"/>
                <w:sz w:val="18"/>
              </w:rPr>
              <w:t>0</w:t>
            </w:r>
          </w:p>
        </w:tc>
        <w:tc>
          <w:tcPr>
            <w:tcW w:w="475" w:type="dxa"/>
          </w:tcPr>
          <w:p>
            <w:pPr>
              <w:pStyle w:val="TableParagraph"/>
              <w:spacing w:before="92"/>
              <w:ind w:left="4"/>
              <w:rPr>
                <w:sz w:val="18"/>
              </w:rPr>
            </w:pPr>
            <w:r>
              <w:rPr>
                <w:w w:val="99"/>
                <w:sz w:val="18"/>
              </w:rPr>
              <w:t>0</w:t>
            </w:r>
          </w:p>
        </w:tc>
        <w:tc>
          <w:tcPr>
            <w:tcW w:w="475" w:type="dxa"/>
          </w:tcPr>
          <w:p>
            <w:pPr>
              <w:pStyle w:val="TableParagraph"/>
              <w:spacing w:before="92"/>
              <w:ind w:right="178"/>
              <w:jc w:val="right"/>
              <w:rPr>
                <w:sz w:val="18"/>
              </w:rPr>
            </w:pPr>
            <w:r>
              <w:rPr>
                <w:w w:val="99"/>
                <w:sz w:val="18"/>
              </w:rPr>
              <w:t>5</w:t>
            </w:r>
          </w:p>
        </w:tc>
      </w:tr>
      <w:tr>
        <w:trPr>
          <w:trHeight w:val="401" w:hRule="exact"/>
        </w:trPr>
        <w:tc>
          <w:tcPr>
            <w:tcW w:w="4277" w:type="dxa"/>
          </w:tcPr>
          <w:p>
            <w:pPr>
              <w:pStyle w:val="TableParagraph"/>
              <w:spacing w:before="85"/>
              <w:ind w:left="67"/>
              <w:jc w:val="left"/>
              <w:rPr>
                <w:b/>
                <w:sz w:val="18"/>
              </w:rPr>
            </w:pPr>
            <w:r>
              <w:rPr>
                <w:b/>
                <w:sz w:val="18"/>
              </w:rPr>
              <w:t>VILLA DEL CARBON</w:t>
            </w:r>
          </w:p>
        </w:tc>
        <w:tc>
          <w:tcPr>
            <w:tcW w:w="415" w:type="dxa"/>
          </w:tcPr>
          <w:p>
            <w:pPr>
              <w:pStyle w:val="TableParagraph"/>
              <w:spacing w:before="90"/>
              <w:ind w:left="151"/>
              <w:jc w:val="left"/>
              <w:rPr>
                <w:sz w:val="18"/>
              </w:rPr>
            </w:pPr>
            <w:r>
              <w:rPr>
                <w:w w:val="99"/>
                <w:sz w:val="18"/>
              </w:rPr>
              <w:t>1</w:t>
            </w:r>
          </w:p>
        </w:tc>
        <w:tc>
          <w:tcPr>
            <w:tcW w:w="415" w:type="dxa"/>
          </w:tcPr>
          <w:p>
            <w:pPr>
              <w:pStyle w:val="TableParagraph"/>
              <w:spacing w:before="90"/>
              <w:ind w:right="1"/>
              <w:rPr>
                <w:sz w:val="18"/>
              </w:rPr>
            </w:pPr>
            <w:r>
              <w:rPr>
                <w:w w:val="99"/>
                <w:sz w:val="18"/>
              </w:rPr>
              <w:t>0</w:t>
            </w:r>
          </w:p>
        </w:tc>
        <w:tc>
          <w:tcPr>
            <w:tcW w:w="415" w:type="dxa"/>
          </w:tcPr>
          <w:p>
            <w:pPr>
              <w:pStyle w:val="TableParagraph"/>
              <w:spacing w:before="90"/>
              <w:ind w:left="151"/>
              <w:jc w:val="left"/>
              <w:rPr>
                <w:sz w:val="18"/>
              </w:rPr>
            </w:pPr>
            <w:r>
              <w:rPr>
                <w:w w:val="99"/>
                <w:sz w:val="18"/>
              </w:rPr>
              <w:t>3</w:t>
            </w:r>
          </w:p>
        </w:tc>
        <w:tc>
          <w:tcPr>
            <w:tcW w:w="413" w:type="dxa"/>
          </w:tcPr>
          <w:p>
            <w:pPr>
              <w:pStyle w:val="TableParagraph"/>
              <w:spacing w:before="90"/>
              <w:rPr>
                <w:sz w:val="18"/>
              </w:rPr>
            </w:pPr>
            <w:r>
              <w:rPr>
                <w:w w:val="99"/>
                <w:sz w:val="18"/>
              </w:rPr>
              <w:t>1</w:t>
            </w:r>
          </w:p>
        </w:tc>
        <w:tc>
          <w:tcPr>
            <w:tcW w:w="475" w:type="dxa"/>
          </w:tcPr>
          <w:p>
            <w:pPr>
              <w:pStyle w:val="TableParagraph"/>
              <w:spacing w:before="90"/>
              <w:ind w:left="4"/>
              <w:rPr>
                <w:sz w:val="18"/>
              </w:rPr>
            </w:pPr>
            <w:r>
              <w:rPr>
                <w:w w:val="99"/>
                <w:sz w:val="18"/>
              </w:rPr>
              <w:t>0</w:t>
            </w:r>
          </w:p>
        </w:tc>
        <w:tc>
          <w:tcPr>
            <w:tcW w:w="418" w:type="dxa"/>
          </w:tcPr>
          <w:p>
            <w:pPr>
              <w:pStyle w:val="TableParagraph"/>
              <w:spacing w:before="90"/>
              <w:ind w:left="153"/>
              <w:jc w:val="left"/>
              <w:rPr>
                <w:sz w:val="18"/>
              </w:rPr>
            </w:pPr>
            <w:r>
              <w:rPr>
                <w:w w:val="99"/>
                <w:sz w:val="18"/>
              </w:rPr>
              <w:t>0</w:t>
            </w:r>
          </w:p>
        </w:tc>
        <w:tc>
          <w:tcPr>
            <w:tcW w:w="415" w:type="dxa"/>
          </w:tcPr>
          <w:p>
            <w:pPr>
              <w:pStyle w:val="TableParagraph"/>
              <w:spacing w:before="90"/>
              <w:ind w:right="1"/>
              <w:rPr>
                <w:sz w:val="18"/>
              </w:rPr>
            </w:pPr>
            <w:r>
              <w:rPr>
                <w:w w:val="99"/>
                <w:sz w:val="18"/>
              </w:rPr>
              <w:t>0</w:t>
            </w:r>
          </w:p>
        </w:tc>
        <w:tc>
          <w:tcPr>
            <w:tcW w:w="415" w:type="dxa"/>
          </w:tcPr>
          <w:p>
            <w:pPr>
              <w:pStyle w:val="TableParagraph"/>
              <w:spacing w:before="90"/>
              <w:ind w:left="1"/>
              <w:rPr>
                <w:sz w:val="18"/>
              </w:rPr>
            </w:pPr>
            <w:r>
              <w:rPr>
                <w:w w:val="99"/>
                <w:sz w:val="18"/>
              </w:rPr>
              <w:t>0</w:t>
            </w:r>
          </w:p>
        </w:tc>
        <w:tc>
          <w:tcPr>
            <w:tcW w:w="418" w:type="dxa"/>
          </w:tcPr>
          <w:p>
            <w:pPr>
              <w:pStyle w:val="TableParagraph"/>
              <w:spacing w:before="90"/>
              <w:ind w:left="153"/>
              <w:jc w:val="left"/>
              <w:rPr>
                <w:sz w:val="18"/>
              </w:rPr>
            </w:pPr>
            <w:r>
              <w:rPr>
                <w:w w:val="99"/>
                <w:sz w:val="18"/>
              </w:rPr>
              <w:t>0</w:t>
            </w:r>
          </w:p>
        </w:tc>
        <w:tc>
          <w:tcPr>
            <w:tcW w:w="850" w:type="dxa"/>
          </w:tcPr>
          <w:p>
            <w:pPr>
              <w:pStyle w:val="TableParagraph"/>
              <w:spacing w:before="90"/>
              <w:rPr>
                <w:sz w:val="18"/>
              </w:rPr>
            </w:pPr>
            <w:r>
              <w:rPr>
                <w:w w:val="99"/>
                <w:sz w:val="18"/>
              </w:rPr>
              <w:t>0</w:t>
            </w:r>
          </w:p>
        </w:tc>
        <w:tc>
          <w:tcPr>
            <w:tcW w:w="852" w:type="dxa"/>
          </w:tcPr>
          <w:p>
            <w:pPr>
              <w:pStyle w:val="TableParagraph"/>
              <w:spacing w:before="90"/>
              <w:ind w:left="1"/>
              <w:rPr>
                <w:sz w:val="18"/>
              </w:rPr>
            </w:pPr>
            <w:r>
              <w:rPr>
                <w:w w:val="99"/>
                <w:sz w:val="18"/>
              </w:rPr>
              <w:t>0</w:t>
            </w:r>
          </w:p>
        </w:tc>
        <w:tc>
          <w:tcPr>
            <w:tcW w:w="415" w:type="dxa"/>
            <w:tcBorders>
              <w:right w:val="single" w:sz="4" w:space="0" w:color="000000"/>
            </w:tcBorders>
          </w:tcPr>
          <w:p>
            <w:pPr>
              <w:pStyle w:val="TableParagraph"/>
              <w:spacing w:before="90"/>
              <w:ind w:right="1"/>
              <w:rPr>
                <w:sz w:val="18"/>
              </w:rPr>
            </w:pPr>
            <w:r>
              <w:rPr>
                <w:w w:val="99"/>
                <w:sz w:val="18"/>
              </w:rPr>
              <w:t>0</w:t>
            </w:r>
          </w:p>
        </w:tc>
        <w:tc>
          <w:tcPr>
            <w:tcW w:w="850" w:type="dxa"/>
            <w:tcBorders>
              <w:left w:val="single" w:sz="4" w:space="0" w:color="000000"/>
            </w:tcBorders>
          </w:tcPr>
          <w:p>
            <w:pPr>
              <w:pStyle w:val="TableParagraph"/>
              <w:spacing w:before="90"/>
              <w:rPr>
                <w:sz w:val="18"/>
              </w:rPr>
            </w:pPr>
            <w:r>
              <w:rPr>
                <w:w w:val="99"/>
                <w:sz w:val="18"/>
              </w:rPr>
              <w:t>0</w:t>
            </w:r>
          </w:p>
        </w:tc>
        <w:tc>
          <w:tcPr>
            <w:tcW w:w="475" w:type="dxa"/>
          </w:tcPr>
          <w:p>
            <w:pPr>
              <w:pStyle w:val="TableParagraph"/>
              <w:spacing w:before="90"/>
              <w:ind w:left="4"/>
              <w:rPr>
                <w:sz w:val="18"/>
              </w:rPr>
            </w:pPr>
            <w:r>
              <w:rPr>
                <w:w w:val="99"/>
                <w:sz w:val="18"/>
              </w:rPr>
              <w:t>0</w:t>
            </w:r>
          </w:p>
        </w:tc>
        <w:tc>
          <w:tcPr>
            <w:tcW w:w="475" w:type="dxa"/>
          </w:tcPr>
          <w:p>
            <w:pPr>
              <w:pStyle w:val="TableParagraph"/>
              <w:spacing w:before="90"/>
              <w:ind w:right="178"/>
              <w:jc w:val="right"/>
              <w:rPr>
                <w:sz w:val="18"/>
              </w:rPr>
            </w:pPr>
            <w:r>
              <w:rPr>
                <w:w w:val="99"/>
                <w:sz w:val="18"/>
              </w:rPr>
              <w:t>5</w:t>
            </w:r>
          </w:p>
        </w:tc>
      </w:tr>
      <w:tr>
        <w:trPr>
          <w:trHeight w:val="398" w:hRule="exact"/>
        </w:trPr>
        <w:tc>
          <w:tcPr>
            <w:tcW w:w="4277" w:type="dxa"/>
          </w:tcPr>
          <w:p>
            <w:pPr>
              <w:pStyle w:val="TableParagraph"/>
              <w:spacing w:before="85"/>
              <w:ind w:left="67"/>
              <w:jc w:val="left"/>
              <w:rPr>
                <w:b/>
                <w:sz w:val="18"/>
              </w:rPr>
            </w:pPr>
            <w:r>
              <w:rPr>
                <w:b/>
                <w:sz w:val="18"/>
              </w:rPr>
              <w:t>VILLA GUERRERO</w:t>
            </w:r>
          </w:p>
        </w:tc>
        <w:tc>
          <w:tcPr>
            <w:tcW w:w="415" w:type="dxa"/>
          </w:tcPr>
          <w:p>
            <w:pPr>
              <w:pStyle w:val="TableParagraph"/>
              <w:spacing w:before="90"/>
              <w:ind w:left="151"/>
              <w:jc w:val="left"/>
              <w:rPr>
                <w:sz w:val="18"/>
              </w:rPr>
            </w:pPr>
            <w:r>
              <w:rPr>
                <w:w w:val="99"/>
                <w:sz w:val="18"/>
              </w:rPr>
              <w:t>1</w:t>
            </w:r>
          </w:p>
        </w:tc>
        <w:tc>
          <w:tcPr>
            <w:tcW w:w="415" w:type="dxa"/>
          </w:tcPr>
          <w:p>
            <w:pPr>
              <w:pStyle w:val="TableParagraph"/>
              <w:spacing w:before="90"/>
              <w:ind w:right="1"/>
              <w:rPr>
                <w:sz w:val="18"/>
              </w:rPr>
            </w:pPr>
            <w:r>
              <w:rPr>
                <w:w w:val="99"/>
                <w:sz w:val="18"/>
              </w:rPr>
              <w:t>0</w:t>
            </w:r>
          </w:p>
        </w:tc>
        <w:tc>
          <w:tcPr>
            <w:tcW w:w="415" w:type="dxa"/>
          </w:tcPr>
          <w:p>
            <w:pPr>
              <w:pStyle w:val="TableParagraph"/>
              <w:spacing w:before="90"/>
              <w:ind w:left="151"/>
              <w:jc w:val="left"/>
              <w:rPr>
                <w:sz w:val="18"/>
              </w:rPr>
            </w:pPr>
            <w:r>
              <w:rPr>
                <w:w w:val="99"/>
                <w:sz w:val="18"/>
              </w:rPr>
              <w:t>4</w:t>
            </w:r>
          </w:p>
        </w:tc>
        <w:tc>
          <w:tcPr>
            <w:tcW w:w="413" w:type="dxa"/>
          </w:tcPr>
          <w:p>
            <w:pPr>
              <w:pStyle w:val="TableParagraph"/>
              <w:spacing w:before="90"/>
              <w:rPr>
                <w:sz w:val="18"/>
              </w:rPr>
            </w:pPr>
            <w:r>
              <w:rPr>
                <w:w w:val="99"/>
                <w:sz w:val="18"/>
              </w:rPr>
              <w:t>1</w:t>
            </w:r>
          </w:p>
        </w:tc>
        <w:tc>
          <w:tcPr>
            <w:tcW w:w="475" w:type="dxa"/>
          </w:tcPr>
          <w:p>
            <w:pPr>
              <w:pStyle w:val="TableParagraph"/>
              <w:spacing w:before="90"/>
              <w:ind w:left="62" w:right="58"/>
              <w:rPr>
                <w:sz w:val="18"/>
              </w:rPr>
            </w:pPr>
            <w:r>
              <w:rPr>
                <w:sz w:val="18"/>
              </w:rPr>
              <w:t>31</w:t>
            </w:r>
          </w:p>
        </w:tc>
        <w:tc>
          <w:tcPr>
            <w:tcW w:w="418" w:type="dxa"/>
          </w:tcPr>
          <w:p>
            <w:pPr>
              <w:pStyle w:val="TableParagraph"/>
              <w:spacing w:before="90"/>
              <w:ind w:left="153"/>
              <w:jc w:val="left"/>
              <w:rPr>
                <w:sz w:val="18"/>
              </w:rPr>
            </w:pPr>
            <w:r>
              <w:rPr>
                <w:w w:val="99"/>
                <w:sz w:val="18"/>
              </w:rPr>
              <w:t>9</w:t>
            </w:r>
          </w:p>
        </w:tc>
        <w:tc>
          <w:tcPr>
            <w:tcW w:w="415" w:type="dxa"/>
          </w:tcPr>
          <w:p>
            <w:pPr>
              <w:pStyle w:val="TableParagraph"/>
              <w:spacing w:before="90"/>
              <w:ind w:left="81" w:right="79"/>
              <w:rPr>
                <w:sz w:val="18"/>
              </w:rPr>
            </w:pPr>
            <w:r>
              <w:rPr>
                <w:sz w:val="18"/>
              </w:rPr>
              <w:t>25</w:t>
            </w:r>
          </w:p>
        </w:tc>
        <w:tc>
          <w:tcPr>
            <w:tcW w:w="415" w:type="dxa"/>
          </w:tcPr>
          <w:p>
            <w:pPr>
              <w:pStyle w:val="TableParagraph"/>
              <w:spacing w:before="90"/>
              <w:ind w:left="1"/>
              <w:rPr>
                <w:sz w:val="18"/>
              </w:rPr>
            </w:pPr>
            <w:r>
              <w:rPr>
                <w:w w:val="99"/>
                <w:sz w:val="18"/>
              </w:rPr>
              <w:t>0</w:t>
            </w:r>
          </w:p>
        </w:tc>
        <w:tc>
          <w:tcPr>
            <w:tcW w:w="418" w:type="dxa"/>
          </w:tcPr>
          <w:p>
            <w:pPr>
              <w:pStyle w:val="TableParagraph"/>
              <w:spacing w:before="90"/>
              <w:ind w:left="153"/>
              <w:jc w:val="left"/>
              <w:rPr>
                <w:sz w:val="18"/>
              </w:rPr>
            </w:pPr>
            <w:r>
              <w:rPr>
                <w:w w:val="99"/>
                <w:sz w:val="18"/>
              </w:rPr>
              <w:t>0</w:t>
            </w:r>
          </w:p>
        </w:tc>
        <w:tc>
          <w:tcPr>
            <w:tcW w:w="850" w:type="dxa"/>
          </w:tcPr>
          <w:p>
            <w:pPr>
              <w:pStyle w:val="TableParagraph"/>
              <w:spacing w:before="90"/>
              <w:rPr>
                <w:sz w:val="18"/>
              </w:rPr>
            </w:pPr>
            <w:r>
              <w:rPr>
                <w:w w:val="99"/>
                <w:sz w:val="18"/>
              </w:rPr>
              <w:t>7</w:t>
            </w:r>
          </w:p>
        </w:tc>
        <w:tc>
          <w:tcPr>
            <w:tcW w:w="852" w:type="dxa"/>
          </w:tcPr>
          <w:p>
            <w:pPr>
              <w:pStyle w:val="TableParagraph"/>
              <w:spacing w:before="90"/>
              <w:ind w:left="302" w:right="300"/>
              <w:rPr>
                <w:sz w:val="18"/>
              </w:rPr>
            </w:pPr>
            <w:r>
              <w:rPr>
                <w:sz w:val="18"/>
              </w:rPr>
              <w:t>33</w:t>
            </w:r>
          </w:p>
        </w:tc>
        <w:tc>
          <w:tcPr>
            <w:tcW w:w="415" w:type="dxa"/>
            <w:tcBorders>
              <w:right w:val="single" w:sz="4" w:space="0" w:color="000000"/>
            </w:tcBorders>
          </w:tcPr>
          <w:p>
            <w:pPr>
              <w:pStyle w:val="TableParagraph"/>
              <w:spacing w:before="90"/>
              <w:ind w:right="1"/>
              <w:rPr>
                <w:sz w:val="18"/>
              </w:rPr>
            </w:pPr>
            <w:r>
              <w:rPr>
                <w:w w:val="99"/>
                <w:sz w:val="18"/>
              </w:rPr>
              <w:t>0</w:t>
            </w:r>
          </w:p>
        </w:tc>
        <w:tc>
          <w:tcPr>
            <w:tcW w:w="850" w:type="dxa"/>
            <w:tcBorders>
              <w:left w:val="single" w:sz="4" w:space="0" w:color="000000"/>
            </w:tcBorders>
          </w:tcPr>
          <w:p>
            <w:pPr>
              <w:pStyle w:val="TableParagraph"/>
              <w:spacing w:before="90"/>
              <w:rPr>
                <w:sz w:val="18"/>
              </w:rPr>
            </w:pPr>
            <w:r>
              <w:rPr>
                <w:w w:val="99"/>
                <w:sz w:val="18"/>
              </w:rPr>
              <w:t>0</w:t>
            </w:r>
          </w:p>
        </w:tc>
        <w:tc>
          <w:tcPr>
            <w:tcW w:w="475" w:type="dxa"/>
          </w:tcPr>
          <w:p>
            <w:pPr>
              <w:pStyle w:val="TableParagraph"/>
              <w:spacing w:before="90"/>
              <w:ind w:left="4"/>
              <w:rPr>
                <w:sz w:val="18"/>
              </w:rPr>
            </w:pPr>
            <w:r>
              <w:rPr>
                <w:w w:val="99"/>
                <w:sz w:val="18"/>
              </w:rPr>
              <w:t>3</w:t>
            </w:r>
          </w:p>
        </w:tc>
        <w:tc>
          <w:tcPr>
            <w:tcW w:w="475" w:type="dxa"/>
          </w:tcPr>
          <w:p>
            <w:pPr>
              <w:pStyle w:val="TableParagraph"/>
              <w:spacing w:before="90"/>
              <w:ind w:right="77"/>
              <w:jc w:val="right"/>
              <w:rPr>
                <w:sz w:val="18"/>
              </w:rPr>
            </w:pPr>
            <w:r>
              <w:rPr>
                <w:w w:val="95"/>
                <w:sz w:val="18"/>
              </w:rPr>
              <w:t>114</w:t>
            </w:r>
          </w:p>
        </w:tc>
      </w:tr>
      <w:tr>
        <w:trPr>
          <w:trHeight w:val="401" w:hRule="exact"/>
        </w:trPr>
        <w:tc>
          <w:tcPr>
            <w:tcW w:w="4277" w:type="dxa"/>
          </w:tcPr>
          <w:p>
            <w:pPr>
              <w:pStyle w:val="TableParagraph"/>
              <w:spacing w:before="88"/>
              <w:ind w:left="67"/>
              <w:jc w:val="left"/>
              <w:rPr>
                <w:b/>
                <w:sz w:val="18"/>
              </w:rPr>
            </w:pPr>
            <w:r>
              <w:rPr>
                <w:b/>
                <w:sz w:val="18"/>
              </w:rPr>
              <w:t>VILLA VICTORIA</w:t>
            </w:r>
          </w:p>
        </w:tc>
        <w:tc>
          <w:tcPr>
            <w:tcW w:w="415" w:type="dxa"/>
          </w:tcPr>
          <w:p>
            <w:pPr>
              <w:pStyle w:val="TableParagraph"/>
              <w:spacing w:before="93"/>
              <w:ind w:left="151"/>
              <w:jc w:val="left"/>
              <w:rPr>
                <w:sz w:val="18"/>
              </w:rPr>
            </w:pPr>
            <w:r>
              <w:rPr>
                <w:w w:val="99"/>
                <w:sz w:val="18"/>
              </w:rPr>
              <w:t>1</w:t>
            </w:r>
          </w:p>
        </w:tc>
        <w:tc>
          <w:tcPr>
            <w:tcW w:w="415" w:type="dxa"/>
          </w:tcPr>
          <w:p>
            <w:pPr>
              <w:pStyle w:val="TableParagraph"/>
              <w:spacing w:before="93"/>
              <w:ind w:right="1"/>
              <w:rPr>
                <w:sz w:val="18"/>
              </w:rPr>
            </w:pPr>
            <w:r>
              <w:rPr>
                <w:w w:val="99"/>
                <w:sz w:val="18"/>
              </w:rPr>
              <w:t>0</w:t>
            </w:r>
          </w:p>
        </w:tc>
        <w:tc>
          <w:tcPr>
            <w:tcW w:w="415" w:type="dxa"/>
          </w:tcPr>
          <w:p>
            <w:pPr>
              <w:pStyle w:val="TableParagraph"/>
              <w:spacing w:before="93"/>
              <w:ind w:left="151"/>
              <w:jc w:val="left"/>
              <w:rPr>
                <w:sz w:val="18"/>
              </w:rPr>
            </w:pPr>
            <w:r>
              <w:rPr>
                <w:w w:val="99"/>
                <w:sz w:val="18"/>
              </w:rPr>
              <w:t>8</w:t>
            </w:r>
          </w:p>
        </w:tc>
        <w:tc>
          <w:tcPr>
            <w:tcW w:w="413" w:type="dxa"/>
          </w:tcPr>
          <w:p>
            <w:pPr>
              <w:pStyle w:val="TableParagraph"/>
              <w:spacing w:before="93"/>
              <w:rPr>
                <w:sz w:val="18"/>
              </w:rPr>
            </w:pPr>
            <w:r>
              <w:rPr>
                <w:w w:val="99"/>
                <w:sz w:val="18"/>
              </w:rPr>
              <w:t>1</w:t>
            </w:r>
          </w:p>
        </w:tc>
        <w:tc>
          <w:tcPr>
            <w:tcW w:w="475" w:type="dxa"/>
          </w:tcPr>
          <w:p>
            <w:pPr>
              <w:pStyle w:val="TableParagraph"/>
              <w:spacing w:before="93"/>
              <w:ind w:left="4"/>
              <w:rPr>
                <w:sz w:val="18"/>
              </w:rPr>
            </w:pPr>
            <w:r>
              <w:rPr>
                <w:w w:val="99"/>
                <w:sz w:val="18"/>
              </w:rPr>
              <w:t>8</w:t>
            </w:r>
          </w:p>
        </w:tc>
        <w:tc>
          <w:tcPr>
            <w:tcW w:w="418" w:type="dxa"/>
          </w:tcPr>
          <w:p>
            <w:pPr>
              <w:pStyle w:val="TableParagraph"/>
              <w:spacing w:before="93"/>
              <w:ind w:left="153"/>
              <w:jc w:val="left"/>
              <w:rPr>
                <w:sz w:val="18"/>
              </w:rPr>
            </w:pPr>
            <w:r>
              <w:rPr>
                <w:w w:val="99"/>
                <w:sz w:val="18"/>
              </w:rPr>
              <w:t>5</w:t>
            </w:r>
          </w:p>
        </w:tc>
        <w:tc>
          <w:tcPr>
            <w:tcW w:w="415" w:type="dxa"/>
          </w:tcPr>
          <w:p>
            <w:pPr>
              <w:pStyle w:val="TableParagraph"/>
              <w:spacing w:before="93"/>
              <w:ind w:right="1"/>
              <w:rPr>
                <w:sz w:val="18"/>
              </w:rPr>
            </w:pPr>
            <w:r>
              <w:rPr>
                <w:w w:val="99"/>
                <w:sz w:val="18"/>
              </w:rPr>
              <w:t>5</w:t>
            </w:r>
          </w:p>
        </w:tc>
        <w:tc>
          <w:tcPr>
            <w:tcW w:w="415" w:type="dxa"/>
          </w:tcPr>
          <w:p>
            <w:pPr>
              <w:pStyle w:val="TableParagraph"/>
              <w:spacing w:before="93"/>
              <w:ind w:left="1"/>
              <w:rPr>
                <w:sz w:val="18"/>
              </w:rPr>
            </w:pPr>
            <w:r>
              <w:rPr>
                <w:w w:val="99"/>
                <w:sz w:val="18"/>
              </w:rPr>
              <w:t>0</w:t>
            </w:r>
          </w:p>
        </w:tc>
        <w:tc>
          <w:tcPr>
            <w:tcW w:w="418" w:type="dxa"/>
          </w:tcPr>
          <w:p>
            <w:pPr>
              <w:pStyle w:val="TableParagraph"/>
              <w:spacing w:before="93"/>
              <w:ind w:left="153"/>
              <w:jc w:val="left"/>
              <w:rPr>
                <w:sz w:val="18"/>
              </w:rPr>
            </w:pPr>
            <w:r>
              <w:rPr>
                <w:w w:val="99"/>
                <w:sz w:val="18"/>
              </w:rPr>
              <w:t>0</w:t>
            </w:r>
          </w:p>
        </w:tc>
        <w:tc>
          <w:tcPr>
            <w:tcW w:w="850" w:type="dxa"/>
          </w:tcPr>
          <w:p>
            <w:pPr>
              <w:pStyle w:val="TableParagraph"/>
              <w:spacing w:before="93"/>
              <w:rPr>
                <w:sz w:val="18"/>
              </w:rPr>
            </w:pPr>
            <w:r>
              <w:rPr>
                <w:w w:val="99"/>
                <w:sz w:val="18"/>
              </w:rPr>
              <w:t>0</w:t>
            </w:r>
          </w:p>
        </w:tc>
        <w:tc>
          <w:tcPr>
            <w:tcW w:w="852" w:type="dxa"/>
          </w:tcPr>
          <w:p>
            <w:pPr>
              <w:pStyle w:val="TableParagraph"/>
              <w:spacing w:before="93"/>
              <w:ind w:left="1"/>
              <w:rPr>
                <w:sz w:val="18"/>
              </w:rPr>
            </w:pPr>
            <w:r>
              <w:rPr>
                <w:w w:val="99"/>
                <w:sz w:val="18"/>
              </w:rPr>
              <w:t>1</w:t>
            </w:r>
          </w:p>
        </w:tc>
        <w:tc>
          <w:tcPr>
            <w:tcW w:w="415" w:type="dxa"/>
            <w:tcBorders>
              <w:right w:val="single" w:sz="4" w:space="0" w:color="000000"/>
            </w:tcBorders>
          </w:tcPr>
          <w:p>
            <w:pPr>
              <w:pStyle w:val="TableParagraph"/>
              <w:spacing w:before="93"/>
              <w:ind w:right="1"/>
              <w:rPr>
                <w:sz w:val="18"/>
              </w:rPr>
            </w:pPr>
            <w:r>
              <w:rPr>
                <w:w w:val="99"/>
                <w:sz w:val="18"/>
              </w:rPr>
              <w:t>0</w:t>
            </w:r>
          </w:p>
        </w:tc>
        <w:tc>
          <w:tcPr>
            <w:tcW w:w="850" w:type="dxa"/>
            <w:tcBorders>
              <w:left w:val="single" w:sz="4" w:space="0" w:color="000000"/>
            </w:tcBorders>
          </w:tcPr>
          <w:p>
            <w:pPr>
              <w:pStyle w:val="TableParagraph"/>
              <w:spacing w:before="93"/>
              <w:rPr>
                <w:sz w:val="18"/>
              </w:rPr>
            </w:pPr>
            <w:r>
              <w:rPr>
                <w:w w:val="99"/>
                <w:sz w:val="18"/>
              </w:rPr>
              <w:t>0</w:t>
            </w:r>
          </w:p>
        </w:tc>
        <w:tc>
          <w:tcPr>
            <w:tcW w:w="475" w:type="dxa"/>
          </w:tcPr>
          <w:p>
            <w:pPr>
              <w:pStyle w:val="TableParagraph"/>
              <w:spacing w:before="93"/>
              <w:ind w:left="4"/>
              <w:rPr>
                <w:sz w:val="18"/>
              </w:rPr>
            </w:pPr>
            <w:r>
              <w:rPr>
                <w:w w:val="99"/>
                <w:sz w:val="18"/>
              </w:rPr>
              <w:t>1</w:t>
            </w:r>
          </w:p>
        </w:tc>
        <w:tc>
          <w:tcPr>
            <w:tcW w:w="475" w:type="dxa"/>
          </w:tcPr>
          <w:p>
            <w:pPr>
              <w:pStyle w:val="TableParagraph"/>
              <w:spacing w:before="93"/>
              <w:ind w:right="127"/>
              <w:jc w:val="right"/>
              <w:rPr>
                <w:sz w:val="18"/>
              </w:rPr>
            </w:pPr>
            <w:r>
              <w:rPr>
                <w:w w:val="95"/>
                <w:sz w:val="18"/>
              </w:rPr>
              <w:t>30</w:t>
            </w:r>
          </w:p>
        </w:tc>
      </w:tr>
      <w:tr>
        <w:trPr>
          <w:trHeight w:val="401" w:hRule="exact"/>
        </w:trPr>
        <w:tc>
          <w:tcPr>
            <w:tcW w:w="4277" w:type="dxa"/>
          </w:tcPr>
          <w:p>
            <w:pPr>
              <w:pStyle w:val="TableParagraph"/>
              <w:spacing w:before="85"/>
              <w:ind w:left="67"/>
              <w:jc w:val="left"/>
              <w:rPr>
                <w:b/>
                <w:sz w:val="18"/>
              </w:rPr>
            </w:pPr>
            <w:r>
              <w:rPr>
                <w:b/>
                <w:sz w:val="18"/>
              </w:rPr>
              <w:t>XALATLACO</w:t>
            </w:r>
          </w:p>
        </w:tc>
        <w:tc>
          <w:tcPr>
            <w:tcW w:w="415" w:type="dxa"/>
          </w:tcPr>
          <w:p>
            <w:pPr>
              <w:pStyle w:val="TableParagraph"/>
              <w:spacing w:before="90"/>
              <w:ind w:left="151"/>
              <w:jc w:val="left"/>
              <w:rPr>
                <w:sz w:val="18"/>
              </w:rPr>
            </w:pPr>
            <w:r>
              <w:rPr>
                <w:w w:val="99"/>
                <w:sz w:val="18"/>
              </w:rPr>
              <w:t>1</w:t>
            </w:r>
          </w:p>
        </w:tc>
        <w:tc>
          <w:tcPr>
            <w:tcW w:w="415" w:type="dxa"/>
          </w:tcPr>
          <w:p>
            <w:pPr>
              <w:pStyle w:val="TableParagraph"/>
              <w:spacing w:before="90"/>
              <w:ind w:right="1"/>
              <w:rPr>
                <w:sz w:val="18"/>
              </w:rPr>
            </w:pPr>
            <w:r>
              <w:rPr>
                <w:w w:val="99"/>
                <w:sz w:val="18"/>
              </w:rPr>
              <w:t>0</w:t>
            </w:r>
          </w:p>
        </w:tc>
        <w:tc>
          <w:tcPr>
            <w:tcW w:w="415" w:type="dxa"/>
          </w:tcPr>
          <w:p>
            <w:pPr>
              <w:pStyle w:val="TableParagraph"/>
              <w:spacing w:before="90"/>
              <w:ind w:left="103"/>
              <w:jc w:val="left"/>
              <w:rPr>
                <w:sz w:val="18"/>
              </w:rPr>
            </w:pPr>
            <w:r>
              <w:rPr>
                <w:sz w:val="18"/>
              </w:rPr>
              <w:t>16</w:t>
            </w:r>
          </w:p>
        </w:tc>
        <w:tc>
          <w:tcPr>
            <w:tcW w:w="413" w:type="dxa"/>
          </w:tcPr>
          <w:p>
            <w:pPr>
              <w:pStyle w:val="TableParagraph"/>
              <w:spacing w:before="90"/>
              <w:rPr>
                <w:sz w:val="18"/>
              </w:rPr>
            </w:pPr>
            <w:r>
              <w:rPr>
                <w:w w:val="99"/>
                <w:sz w:val="18"/>
              </w:rPr>
              <w:t>1</w:t>
            </w:r>
          </w:p>
        </w:tc>
        <w:tc>
          <w:tcPr>
            <w:tcW w:w="475" w:type="dxa"/>
          </w:tcPr>
          <w:p>
            <w:pPr>
              <w:pStyle w:val="TableParagraph"/>
              <w:spacing w:before="90"/>
              <w:ind w:left="62" w:right="58"/>
              <w:rPr>
                <w:sz w:val="18"/>
              </w:rPr>
            </w:pPr>
            <w:r>
              <w:rPr>
                <w:sz w:val="18"/>
              </w:rPr>
              <w:t>34</w:t>
            </w:r>
          </w:p>
        </w:tc>
        <w:tc>
          <w:tcPr>
            <w:tcW w:w="418" w:type="dxa"/>
          </w:tcPr>
          <w:p>
            <w:pPr>
              <w:pStyle w:val="TableParagraph"/>
              <w:spacing w:before="90"/>
              <w:ind w:left="153"/>
              <w:jc w:val="left"/>
              <w:rPr>
                <w:sz w:val="18"/>
              </w:rPr>
            </w:pPr>
            <w:r>
              <w:rPr>
                <w:w w:val="99"/>
                <w:sz w:val="18"/>
              </w:rPr>
              <w:t>6</w:t>
            </w:r>
          </w:p>
        </w:tc>
        <w:tc>
          <w:tcPr>
            <w:tcW w:w="415" w:type="dxa"/>
          </w:tcPr>
          <w:p>
            <w:pPr>
              <w:pStyle w:val="TableParagraph"/>
              <w:spacing w:before="90"/>
              <w:ind w:right="1"/>
              <w:rPr>
                <w:sz w:val="18"/>
              </w:rPr>
            </w:pPr>
            <w:r>
              <w:rPr>
                <w:w w:val="99"/>
                <w:sz w:val="18"/>
              </w:rPr>
              <w:t>3</w:t>
            </w:r>
          </w:p>
        </w:tc>
        <w:tc>
          <w:tcPr>
            <w:tcW w:w="415" w:type="dxa"/>
          </w:tcPr>
          <w:p>
            <w:pPr>
              <w:pStyle w:val="TableParagraph"/>
              <w:spacing w:before="90"/>
              <w:ind w:left="1"/>
              <w:rPr>
                <w:sz w:val="18"/>
              </w:rPr>
            </w:pPr>
            <w:r>
              <w:rPr>
                <w:w w:val="99"/>
                <w:sz w:val="18"/>
              </w:rPr>
              <w:t>2</w:t>
            </w:r>
          </w:p>
        </w:tc>
        <w:tc>
          <w:tcPr>
            <w:tcW w:w="418" w:type="dxa"/>
          </w:tcPr>
          <w:p>
            <w:pPr>
              <w:pStyle w:val="TableParagraph"/>
              <w:spacing w:before="90"/>
              <w:ind w:left="153"/>
              <w:jc w:val="left"/>
              <w:rPr>
                <w:sz w:val="18"/>
              </w:rPr>
            </w:pPr>
            <w:r>
              <w:rPr>
                <w:w w:val="99"/>
                <w:sz w:val="18"/>
              </w:rPr>
              <w:t>0</w:t>
            </w:r>
          </w:p>
        </w:tc>
        <w:tc>
          <w:tcPr>
            <w:tcW w:w="850" w:type="dxa"/>
          </w:tcPr>
          <w:p>
            <w:pPr>
              <w:pStyle w:val="TableParagraph"/>
              <w:spacing w:before="90"/>
              <w:rPr>
                <w:sz w:val="18"/>
              </w:rPr>
            </w:pPr>
            <w:r>
              <w:rPr>
                <w:w w:val="99"/>
                <w:sz w:val="18"/>
              </w:rPr>
              <w:t>0</w:t>
            </w:r>
          </w:p>
        </w:tc>
        <w:tc>
          <w:tcPr>
            <w:tcW w:w="852" w:type="dxa"/>
          </w:tcPr>
          <w:p>
            <w:pPr>
              <w:pStyle w:val="TableParagraph"/>
              <w:spacing w:before="90"/>
              <w:ind w:left="1"/>
              <w:rPr>
                <w:sz w:val="18"/>
              </w:rPr>
            </w:pPr>
            <w:r>
              <w:rPr>
                <w:w w:val="99"/>
                <w:sz w:val="18"/>
              </w:rPr>
              <w:t>0</w:t>
            </w:r>
          </w:p>
        </w:tc>
        <w:tc>
          <w:tcPr>
            <w:tcW w:w="415" w:type="dxa"/>
            <w:tcBorders>
              <w:right w:val="single" w:sz="4" w:space="0" w:color="000000"/>
            </w:tcBorders>
          </w:tcPr>
          <w:p>
            <w:pPr>
              <w:pStyle w:val="TableParagraph"/>
              <w:spacing w:before="90"/>
              <w:ind w:right="1"/>
              <w:rPr>
                <w:sz w:val="18"/>
              </w:rPr>
            </w:pPr>
            <w:r>
              <w:rPr>
                <w:w w:val="99"/>
                <w:sz w:val="18"/>
              </w:rPr>
              <w:t>0</w:t>
            </w:r>
          </w:p>
        </w:tc>
        <w:tc>
          <w:tcPr>
            <w:tcW w:w="850" w:type="dxa"/>
            <w:tcBorders>
              <w:left w:val="single" w:sz="4" w:space="0" w:color="000000"/>
            </w:tcBorders>
          </w:tcPr>
          <w:p>
            <w:pPr>
              <w:pStyle w:val="TableParagraph"/>
              <w:spacing w:before="90"/>
              <w:rPr>
                <w:sz w:val="18"/>
              </w:rPr>
            </w:pPr>
            <w:r>
              <w:rPr>
                <w:w w:val="99"/>
                <w:sz w:val="18"/>
              </w:rPr>
              <w:t>0</w:t>
            </w:r>
          </w:p>
        </w:tc>
        <w:tc>
          <w:tcPr>
            <w:tcW w:w="475" w:type="dxa"/>
          </w:tcPr>
          <w:p>
            <w:pPr>
              <w:pStyle w:val="TableParagraph"/>
              <w:spacing w:before="90"/>
              <w:ind w:left="4"/>
              <w:rPr>
                <w:sz w:val="18"/>
              </w:rPr>
            </w:pPr>
            <w:r>
              <w:rPr>
                <w:w w:val="99"/>
                <w:sz w:val="18"/>
              </w:rPr>
              <w:t>0</w:t>
            </w:r>
          </w:p>
        </w:tc>
        <w:tc>
          <w:tcPr>
            <w:tcW w:w="475" w:type="dxa"/>
          </w:tcPr>
          <w:p>
            <w:pPr>
              <w:pStyle w:val="TableParagraph"/>
              <w:spacing w:before="90"/>
              <w:ind w:right="127"/>
              <w:jc w:val="right"/>
              <w:rPr>
                <w:sz w:val="18"/>
              </w:rPr>
            </w:pPr>
            <w:r>
              <w:rPr>
                <w:w w:val="95"/>
                <w:sz w:val="18"/>
              </w:rPr>
              <w:t>63</w:t>
            </w:r>
          </w:p>
        </w:tc>
      </w:tr>
      <w:tr>
        <w:trPr>
          <w:trHeight w:val="398" w:hRule="exact"/>
        </w:trPr>
        <w:tc>
          <w:tcPr>
            <w:tcW w:w="4277" w:type="dxa"/>
          </w:tcPr>
          <w:p>
            <w:pPr>
              <w:pStyle w:val="TableParagraph"/>
              <w:spacing w:before="85"/>
              <w:ind w:left="67"/>
              <w:jc w:val="left"/>
              <w:rPr>
                <w:b/>
                <w:sz w:val="18"/>
              </w:rPr>
            </w:pPr>
            <w:r>
              <w:rPr>
                <w:b/>
                <w:sz w:val="18"/>
              </w:rPr>
              <w:t>XONACATLAN</w:t>
            </w:r>
          </w:p>
        </w:tc>
        <w:tc>
          <w:tcPr>
            <w:tcW w:w="415" w:type="dxa"/>
          </w:tcPr>
          <w:p>
            <w:pPr>
              <w:pStyle w:val="TableParagraph"/>
              <w:spacing w:before="90"/>
              <w:ind w:left="151"/>
              <w:jc w:val="left"/>
              <w:rPr>
                <w:sz w:val="18"/>
              </w:rPr>
            </w:pPr>
            <w:r>
              <w:rPr>
                <w:w w:val="99"/>
                <w:sz w:val="18"/>
              </w:rPr>
              <w:t>1</w:t>
            </w:r>
          </w:p>
        </w:tc>
        <w:tc>
          <w:tcPr>
            <w:tcW w:w="415" w:type="dxa"/>
          </w:tcPr>
          <w:p>
            <w:pPr>
              <w:pStyle w:val="TableParagraph"/>
              <w:spacing w:before="90"/>
              <w:ind w:right="1"/>
              <w:rPr>
                <w:sz w:val="18"/>
              </w:rPr>
            </w:pPr>
            <w:r>
              <w:rPr>
                <w:w w:val="99"/>
                <w:sz w:val="18"/>
              </w:rPr>
              <w:t>0</w:t>
            </w:r>
          </w:p>
        </w:tc>
        <w:tc>
          <w:tcPr>
            <w:tcW w:w="415" w:type="dxa"/>
          </w:tcPr>
          <w:p>
            <w:pPr>
              <w:pStyle w:val="TableParagraph"/>
              <w:spacing w:before="90"/>
              <w:ind w:left="103"/>
              <w:jc w:val="left"/>
              <w:rPr>
                <w:sz w:val="18"/>
              </w:rPr>
            </w:pPr>
            <w:r>
              <w:rPr>
                <w:sz w:val="18"/>
              </w:rPr>
              <w:t>14</w:t>
            </w:r>
          </w:p>
        </w:tc>
        <w:tc>
          <w:tcPr>
            <w:tcW w:w="413" w:type="dxa"/>
          </w:tcPr>
          <w:p>
            <w:pPr>
              <w:pStyle w:val="TableParagraph"/>
              <w:spacing w:before="90"/>
              <w:rPr>
                <w:sz w:val="18"/>
              </w:rPr>
            </w:pPr>
            <w:r>
              <w:rPr>
                <w:w w:val="99"/>
                <w:sz w:val="18"/>
              </w:rPr>
              <w:t>1</w:t>
            </w:r>
          </w:p>
        </w:tc>
        <w:tc>
          <w:tcPr>
            <w:tcW w:w="475" w:type="dxa"/>
          </w:tcPr>
          <w:p>
            <w:pPr>
              <w:pStyle w:val="TableParagraph"/>
              <w:spacing w:before="90"/>
              <w:ind w:left="62" w:right="58"/>
              <w:rPr>
                <w:sz w:val="18"/>
              </w:rPr>
            </w:pPr>
            <w:r>
              <w:rPr>
                <w:sz w:val="18"/>
              </w:rPr>
              <w:t>32</w:t>
            </w:r>
          </w:p>
        </w:tc>
        <w:tc>
          <w:tcPr>
            <w:tcW w:w="418" w:type="dxa"/>
          </w:tcPr>
          <w:p>
            <w:pPr>
              <w:pStyle w:val="TableParagraph"/>
              <w:spacing w:before="90"/>
              <w:ind w:left="153"/>
              <w:jc w:val="left"/>
              <w:rPr>
                <w:sz w:val="18"/>
              </w:rPr>
            </w:pPr>
            <w:r>
              <w:rPr>
                <w:w w:val="99"/>
                <w:sz w:val="18"/>
              </w:rPr>
              <w:t>1</w:t>
            </w:r>
          </w:p>
        </w:tc>
        <w:tc>
          <w:tcPr>
            <w:tcW w:w="415" w:type="dxa"/>
          </w:tcPr>
          <w:p>
            <w:pPr>
              <w:pStyle w:val="TableParagraph"/>
              <w:spacing w:before="90"/>
              <w:ind w:left="81" w:right="79"/>
              <w:rPr>
                <w:sz w:val="18"/>
              </w:rPr>
            </w:pPr>
            <w:r>
              <w:rPr>
                <w:sz w:val="18"/>
              </w:rPr>
              <w:t>13</w:t>
            </w:r>
          </w:p>
        </w:tc>
        <w:tc>
          <w:tcPr>
            <w:tcW w:w="415" w:type="dxa"/>
          </w:tcPr>
          <w:p>
            <w:pPr>
              <w:pStyle w:val="TableParagraph"/>
              <w:spacing w:before="90"/>
              <w:ind w:left="1"/>
              <w:rPr>
                <w:sz w:val="18"/>
              </w:rPr>
            </w:pPr>
            <w:r>
              <w:rPr>
                <w:w w:val="99"/>
                <w:sz w:val="18"/>
              </w:rPr>
              <w:t>0</w:t>
            </w:r>
          </w:p>
        </w:tc>
        <w:tc>
          <w:tcPr>
            <w:tcW w:w="418" w:type="dxa"/>
          </w:tcPr>
          <w:p>
            <w:pPr>
              <w:pStyle w:val="TableParagraph"/>
              <w:spacing w:before="90"/>
              <w:ind w:left="153"/>
              <w:jc w:val="left"/>
              <w:rPr>
                <w:sz w:val="18"/>
              </w:rPr>
            </w:pPr>
            <w:r>
              <w:rPr>
                <w:w w:val="99"/>
                <w:sz w:val="18"/>
              </w:rPr>
              <w:t>0</w:t>
            </w:r>
          </w:p>
        </w:tc>
        <w:tc>
          <w:tcPr>
            <w:tcW w:w="850" w:type="dxa"/>
          </w:tcPr>
          <w:p>
            <w:pPr>
              <w:pStyle w:val="TableParagraph"/>
              <w:spacing w:before="90"/>
              <w:rPr>
                <w:sz w:val="18"/>
              </w:rPr>
            </w:pPr>
            <w:r>
              <w:rPr>
                <w:w w:val="99"/>
                <w:sz w:val="18"/>
              </w:rPr>
              <w:t>0</w:t>
            </w:r>
          </w:p>
        </w:tc>
        <w:tc>
          <w:tcPr>
            <w:tcW w:w="852" w:type="dxa"/>
          </w:tcPr>
          <w:p>
            <w:pPr>
              <w:pStyle w:val="TableParagraph"/>
              <w:spacing w:before="90"/>
              <w:ind w:left="1"/>
              <w:rPr>
                <w:sz w:val="18"/>
              </w:rPr>
            </w:pPr>
            <w:r>
              <w:rPr>
                <w:w w:val="99"/>
                <w:sz w:val="18"/>
              </w:rPr>
              <w:t>6</w:t>
            </w:r>
          </w:p>
        </w:tc>
        <w:tc>
          <w:tcPr>
            <w:tcW w:w="415" w:type="dxa"/>
            <w:tcBorders>
              <w:right w:val="single" w:sz="4" w:space="0" w:color="000000"/>
            </w:tcBorders>
          </w:tcPr>
          <w:p>
            <w:pPr>
              <w:pStyle w:val="TableParagraph"/>
              <w:spacing w:before="90"/>
              <w:ind w:right="1"/>
              <w:rPr>
                <w:sz w:val="18"/>
              </w:rPr>
            </w:pPr>
            <w:r>
              <w:rPr>
                <w:w w:val="99"/>
                <w:sz w:val="18"/>
              </w:rPr>
              <w:t>0</w:t>
            </w:r>
          </w:p>
        </w:tc>
        <w:tc>
          <w:tcPr>
            <w:tcW w:w="850" w:type="dxa"/>
            <w:tcBorders>
              <w:left w:val="single" w:sz="4" w:space="0" w:color="000000"/>
            </w:tcBorders>
          </w:tcPr>
          <w:p>
            <w:pPr>
              <w:pStyle w:val="TableParagraph"/>
              <w:spacing w:before="90"/>
              <w:rPr>
                <w:sz w:val="18"/>
              </w:rPr>
            </w:pPr>
            <w:r>
              <w:rPr>
                <w:w w:val="99"/>
                <w:sz w:val="18"/>
              </w:rPr>
              <w:t>4</w:t>
            </w:r>
          </w:p>
        </w:tc>
        <w:tc>
          <w:tcPr>
            <w:tcW w:w="475" w:type="dxa"/>
          </w:tcPr>
          <w:p>
            <w:pPr>
              <w:pStyle w:val="TableParagraph"/>
              <w:spacing w:before="90"/>
              <w:ind w:left="4"/>
              <w:rPr>
                <w:sz w:val="18"/>
              </w:rPr>
            </w:pPr>
            <w:r>
              <w:rPr>
                <w:w w:val="99"/>
                <w:sz w:val="18"/>
              </w:rPr>
              <w:t>1</w:t>
            </w:r>
          </w:p>
        </w:tc>
        <w:tc>
          <w:tcPr>
            <w:tcW w:w="475" w:type="dxa"/>
          </w:tcPr>
          <w:p>
            <w:pPr>
              <w:pStyle w:val="TableParagraph"/>
              <w:spacing w:before="90"/>
              <w:ind w:right="127"/>
              <w:jc w:val="right"/>
              <w:rPr>
                <w:sz w:val="18"/>
              </w:rPr>
            </w:pPr>
            <w:r>
              <w:rPr>
                <w:w w:val="95"/>
                <w:sz w:val="18"/>
              </w:rPr>
              <w:t>73</w:t>
            </w:r>
          </w:p>
        </w:tc>
      </w:tr>
      <w:tr>
        <w:trPr>
          <w:trHeight w:val="401" w:hRule="exact"/>
        </w:trPr>
        <w:tc>
          <w:tcPr>
            <w:tcW w:w="4277" w:type="dxa"/>
          </w:tcPr>
          <w:p>
            <w:pPr>
              <w:pStyle w:val="TableParagraph"/>
              <w:spacing w:before="88"/>
              <w:ind w:left="67"/>
              <w:jc w:val="left"/>
              <w:rPr>
                <w:b/>
                <w:sz w:val="18"/>
              </w:rPr>
            </w:pPr>
            <w:r>
              <w:rPr>
                <w:b/>
                <w:sz w:val="18"/>
              </w:rPr>
              <w:t>ZACAZONAPAN</w:t>
            </w:r>
          </w:p>
        </w:tc>
        <w:tc>
          <w:tcPr>
            <w:tcW w:w="415" w:type="dxa"/>
          </w:tcPr>
          <w:p>
            <w:pPr>
              <w:pStyle w:val="TableParagraph"/>
              <w:spacing w:before="92"/>
              <w:ind w:left="151"/>
              <w:jc w:val="left"/>
              <w:rPr>
                <w:sz w:val="18"/>
              </w:rPr>
            </w:pPr>
            <w:r>
              <w:rPr>
                <w:w w:val="99"/>
                <w:sz w:val="18"/>
              </w:rPr>
              <w:t>1</w:t>
            </w:r>
          </w:p>
        </w:tc>
        <w:tc>
          <w:tcPr>
            <w:tcW w:w="415" w:type="dxa"/>
          </w:tcPr>
          <w:p>
            <w:pPr>
              <w:pStyle w:val="TableParagraph"/>
              <w:spacing w:before="92"/>
              <w:ind w:right="1"/>
              <w:rPr>
                <w:sz w:val="18"/>
              </w:rPr>
            </w:pPr>
            <w:r>
              <w:rPr>
                <w:w w:val="99"/>
                <w:sz w:val="18"/>
              </w:rPr>
              <w:t>0</w:t>
            </w:r>
          </w:p>
        </w:tc>
        <w:tc>
          <w:tcPr>
            <w:tcW w:w="415" w:type="dxa"/>
          </w:tcPr>
          <w:p>
            <w:pPr>
              <w:pStyle w:val="TableParagraph"/>
              <w:spacing w:before="92"/>
              <w:ind w:left="151"/>
              <w:jc w:val="left"/>
              <w:rPr>
                <w:sz w:val="18"/>
              </w:rPr>
            </w:pPr>
            <w:r>
              <w:rPr>
                <w:w w:val="99"/>
                <w:sz w:val="18"/>
              </w:rPr>
              <w:t>3</w:t>
            </w:r>
          </w:p>
        </w:tc>
        <w:tc>
          <w:tcPr>
            <w:tcW w:w="413" w:type="dxa"/>
          </w:tcPr>
          <w:p>
            <w:pPr>
              <w:pStyle w:val="TableParagraph"/>
              <w:spacing w:before="92"/>
              <w:rPr>
                <w:sz w:val="18"/>
              </w:rPr>
            </w:pPr>
            <w:r>
              <w:rPr>
                <w:w w:val="99"/>
                <w:sz w:val="18"/>
              </w:rPr>
              <w:t>1</w:t>
            </w:r>
          </w:p>
        </w:tc>
        <w:tc>
          <w:tcPr>
            <w:tcW w:w="475" w:type="dxa"/>
          </w:tcPr>
          <w:p>
            <w:pPr>
              <w:pStyle w:val="TableParagraph"/>
              <w:spacing w:before="92"/>
              <w:ind w:left="4"/>
              <w:rPr>
                <w:sz w:val="18"/>
              </w:rPr>
            </w:pPr>
            <w:r>
              <w:rPr>
                <w:w w:val="99"/>
                <w:sz w:val="18"/>
              </w:rPr>
              <w:t>0</w:t>
            </w:r>
          </w:p>
        </w:tc>
        <w:tc>
          <w:tcPr>
            <w:tcW w:w="418" w:type="dxa"/>
          </w:tcPr>
          <w:p>
            <w:pPr>
              <w:pStyle w:val="TableParagraph"/>
              <w:spacing w:before="92"/>
              <w:ind w:left="153"/>
              <w:jc w:val="left"/>
              <w:rPr>
                <w:sz w:val="18"/>
              </w:rPr>
            </w:pPr>
            <w:r>
              <w:rPr>
                <w:w w:val="99"/>
                <w:sz w:val="18"/>
              </w:rPr>
              <w:t>0</w:t>
            </w:r>
          </w:p>
        </w:tc>
        <w:tc>
          <w:tcPr>
            <w:tcW w:w="415" w:type="dxa"/>
          </w:tcPr>
          <w:p>
            <w:pPr>
              <w:pStyle w:val="TableParagraph"/>
              <w:spacing w:before="92"/>
              <w:ind w:right="1"/>
              <w:rPr>
                <w:sz w:val="18"/>
              </w:rPr>
            </w:pPr>
            <w:r>
              <w:rPr>
                <w:w w:val="99"/>
                <w:sz w:val="18"/>
              </w:rPr>
              <w:t>0</w:t>
            </w:r>
          </w:p>
        </w:tc>
        <w:tc>
          <w:tcPr>
            <w:tcW w:w="415" w:type="dxa"/>
          </w:tcPr>
          <w:p>
            <w:pPr>
              <w:pStyle w:val="TableParagraph"/>
              <w:spacing w:before="92"/>
              <w:ind w:left="1"/>
              <w:rPr>
                <w:sz w:val="18"/>
              </w:rPr>
            </w:pPr>
            <w:r>
              <w:rPr>
                <w:w w:val="99"/>
                <w:sz w:val="18"/>
              </w:rPr>
              <w:t>0</w:t>
            </w:r>
          </w:p>
        </w:tc>
        <w:tc>
          <w:tcPr>
            <w:tcW w:w="418" w:type="dxa"/>
          </w:tcPr>
          <w:p>
            <w:pPr>
              <w:pStyle w:val="TableParagraph"/>
              <w:spacing w:before="92"/>
              <w:ind w:left="153"/>
              <w:jc w:val="left"/>
              <w:rPr>
                <w:sz w:val="18"/>
              </w:rPr>
            </w:pPr>
            <w:r>
              <w:rPr>
                <w:w w:val="99"/>
                <w:sz w:val="18"/>
              </w:rPr>
              <w:t>0</w:t>
            </w:r>
          </w:p>
        </w:tc>
        <w:tc>
          <w:tcPr>
            <w:tcW w:w="850" w:type="dxa"/>
          </w:tcPr>
          <w:p>
            <w:pPr>
              <w:pStyle w:val="TableParagraph"/>
              <w:spacing w:before="92"/>
              <w:rPr>
                <w:sz w:val="18"/>
              </w:rPr>
            </w:pPr>
            <w:r>
              <w:rPr>
                <w:w w:val="99"/>
                <w:sz w:val="18"/>
              </w:rPr>
              <w:t>0</w:t>
            </w:r>
          </w:p>
        </w:tc>
        <w:tc>
          <w:tcPr>
            <w:tcW w:w="852" w:type="dxa"/>
          </w:tcPr>
          <w:p>
            <w:pPr>
              <w:pStyle w:val="TableParagraph"/>
              <w:spacing w:before="92"/>
              <w:ind w:left="1"/>
              <w:rPr>
                <w:sz w:val="18"/>
              </w:rPr>
            </w:pPr>
            <w:r>
              <w:rPr>
                <w:w w:val="99"/>
                <w:sz w:val="18"/>
              </w:rPr>
              <w:t>0</w:t>
            </w:r>
          </w:p>
        </w:tc>
        <w:tc>
          <w:tcPr>
            <w:tcW w:w="415" w:type="dxa"/>
            <w:tcBorders>
              <w:right w:val="single" w:sz="4" w:space="0" w:color="000000"/>
            </w:tcBorders>
          </w:tcPr>
          <w:p>
            <w:pPr>
              <w:pStyle w:val="TableParagraph"/>
              <w:spacing w:before="92"/>
              <w:ind w:right="1"/>
              <w:rPr>
                <w:sz w:val="18"/>
              </w:rPr>
            </w:pPr>
            <w:r>
              <w:rPr>
                <w:w w:val="99"/>
                <w:sz w:val="18"/>
              </w:rPr>
              <w:t>0</w:t>
            </w:r>
          </w:p>
        </w:tc>
        <w:tc>
          <w:tcPr>
            <w:tcW w:w="850" w:type="dxa"/>
            <w:tcBorders>
              <w:left w:val="single" w:sz="4" w:space="0" w:color="000000"/>
            </w:tcBorders>
          </w:tcPr>
          <w:p>
            <w:pPr>
              <w:pStyle w:val="TableParagraph"/>
              <w:spacing w:before="92"/>
              <w:rPr>
                <w:sz w:val="18"/>
              </w:rPr>
            </w:pPr>
            <w:r>
              <w:rPr>
                <w:w w:val="99"/>
                <w:sz w:val="18"/>
              </w:rPr>
              <w:t>0</w:t>
            </w:r>
          </w:p>
        </w:tc>
        <w:tc>
          <w:tcPr>
            <w:tcW w:w="475" w:type="dxa"/>
          </w:tcPr>
          <w:p>
            <w:pPr>
              <w:pStyle w:val="TableParagraph"/>
              <w:spacing w:before="92"/>
              <w:ind w:left="4"/>
              <w:rPr>
                <w:sz w:val="18"/>
              </w:rPr>
            </w:pPr>
            <w:r>
              <w:rPr>
                <w:w w:val="99"/>
                <w:sz w:val="18"/>
              </w:rPr>
              <w:t>0</w:t>
            </w:r>
          </w:p>
        </w:tc>
        <w:tc>
          <w:tcPr>
            <w:tcW w:w="475" w:type="dxa"/>
          </w:tcPr>
          <w:p>
            <w:pPr>
              <w:pStyle w:val="TableParagraph"/>
              <w:spacing w:before="92"/>
              <w:ind w:right="178"/>
              <w:jc w:val="right"/>
              <w:rPr>
                <w:sz w:val="18"/>
              </w:rPr>
            </w:pPr>
            <w:r>
              <w:rPr>
                <w:w w:val="99"/>
                <w:sz w:val="18"/>
              </w:rPr>
              <w:t>5</w:t>
            </w:r>
          </w:p>
        </w:tc>
      </w:tr>
      <w:tr>
        <w:trPr>
          <w:trHeight w:val="401" w:hRule="exact"/>
        </w:trPr>
        <w:tc>
          <w:tcPr>
            <w:tcW w:w="4277" w:type="dxa"/>
          </w:tcPr>
          <w:p>
            <w:pPr>
              <w:pStyle w:val="TableParagraph"/>
              <w:spacing w:before="85"/>
              <w:ind w:left="67"/>
              <w:jc w:val="left"/>
              <w:rPr>
                <w:b/>
                <w:sz w:val="18"/>
              </w:rPr>
            </w:pPr>
            <w:r>
              <w:rPr>
                <w:b/>
                <w:sz w:val="18"/>
              </w:rPr>
              <w:t>ZACUALPAN</w:t>
            </w:r>
          </w:p>
        </w:tc>
        <w:tc>
          <w:tcPr>
            <w:tcW w:w="415" w:type="dxa"/>
          </w:tcPr>
          <w:p>
            <w:pPr>
              <w:pStyle w:val="TableParagraph"/>
              <w:spacing w:before="90"/>
              <w:ind w:left="151"/>
              <w:jc w:val="left"/>
              <w:rPr>
                <w:sz w:val="18"/>
              </w:rPr>
            </w:pPr>
            <w:r>
              <w:rPr>
                <w:w w:val="99"/>
                <w:sz w:val="18"/>
              </w:rPr>
              <w:t>1</w:t>
            </w:r>
          </w:p>
        </w:tc>
        <w:tc>
          <w:tcPr>
            <w:tcW w:w="415" w:type="dxa"/>
          </w:tcPr>
          <w:p>
            <w:pPr>
              <w:pStyle w:val="TableParagraph"/>
              <w:spacing w:before="90"/>
              <w:ind w:right="1"/>
              <w:rPr>
                <w:sz w:val="18"/>
              </w:rPr>
            </w:pPr>
            <w:r>
              <w:rPr>
                <w:w w:val="99"/>
                <w:sz w:val="18"/>
              </w:rPr>
              <w:t>0</w:t>
            </w:r>
          </w:p>
        </w:tc>
        <w:tc>
          <w:tcPr>
            <w:tcW w:w="415" w:type="dxa"/>
          </w:tcPr>
          <w:p>
            <w:pPr>
              <w:pStyle w:val="TableParagraph"/>
              <w:spacing w:before="90"/>
              <w:ind w:left="151"/>
              <w:jc w:val="left"/>
              <w:rPr>
                <w:sz w:val="18"/>
              </w:rPr>
            </w:pPr>
            <w:r>
              <w:rPr>
                <w:w w:val="99"/>
                <w:sz w:val="18"/>
              </w:rPr>
              <w:t>5</w:t>
            </w:r>
          </w:p>
        </w:tc>
        <w:tc>
          <w:tcPr>
            <w:tcW w:w="413" w:type="dxa"/>
          </w:tcPr>
          <w:p>
            <w:pPr>
              <w:pStyle w:val="TableParagraph"/>
              <w:spacing w:before="90"/>
              <w:rPr>
                <w:sz w:val="18"/>
              </w:rPr>
            </w:pPr>
            <w:r>
              <w:rPr>
                <w:w w:val="99"/>
                <w:sz w:val="18"/>
              </w:rPr>
              <w:t>1</w:t>
            </w:r>
          </w:p>
        </w:tc>
        <w:tc>
          <w:tcPr>
            <w:tcW w:w="475" w:type="dxa"/>
          </w:tcPr>
          <w:p>
            <w:pPr>
              <w:pStyle w:val="TableParagraph"/>
              <w:spacing w:before="90"/>
              <w:ind w:left="62" w:right="58"/>
              <w:rPr>
                <w:sz w:val="18"/>
              </w:rPr>
            </w:pPr>
            <w:r>
              <w:rPr>
                <w:sz w:val="18"/>
              </w:rPr>
              <w:t>10</w:t>
            </w:r>
          </w:p>
        </w:tc>
        <w:tc>
          <w:tcPr>
            <w:tcW w:w="418" w:type="dxa"/>
          </w:tcPr>
          <w:p>
            <w:pPr>
              <w:pStyle w:val="TableParagraph"/>
              <w:spacing w:before="90"/>
              <w:ind w:left="153"/>
              <w:jc w:val="left"/>
              <w:rPr>
                <w:sz w:val="18"/>
              </w:rPr>
            </w:pPr>
            <w:r>
              <w:rPr>
                <w:w w:val="99"/>
                <w:sz w:val="18"/>
              </w:rPr>
              <w:t>0</w:t>
            </w:r>
          </w:p>
        </w:tc>
        <w:tc>
          <w:tcPr>
            <w:tcW w:w="415" w:type="dxa"/>
          </w:tcPr>
          <w:p>
            <w:pPr>
              <w:pStyle w:val="TableParagraph"/>
              <w:spacing w:before="90"/>
              <w:ind w:right="1"/>
              <w:rPr>
                <w:sz w:val="18"/>
              </w:rPr>
            </w:pPr>
            <w:r>
              <w:rPr>
                <w:w w:val="99"/>
                <w:sz w:val="18"/>
              </w:rPr>
              <w:t>5</w:t>
            </w:r>
          </w:p>
        </w:tc>
        <w:tc>
          <w:tcPr>
            <w:tcW w:w="415" w:type="dxa"/>
          </w:tcPr>
          <w:p>
            <w:pPr>
              <w:pStyle w:val="TableParagraph"/>
              <w:spacing w:before="90"/>
              <w:ind w:left="1"/>
              <w:rPr>
                <w:sz w:val="18"/>
              </w:rPr>
            </w:pPr>
            <w:r>
              <w:rPr>
                <w:w w:val="99"/>
                <w:sz w:val="18"/>
              </w:rPr>
              <w:t>0</w:t>
            </w:r>
          </w:p>
        </w:tc>
        <w:tc>
          <w:tcPr>
            <w:tcW w:w="418" w:type="dxa"/>
          </w:tcPr>
          <w:p>
            <w:pPr>
              <w:pStyle w:val="TableParagraph"/>
              <w:spacing w:before="90"/>
              <w:ind w:left="153"/>
              <w:jc w:val="left"/>
              <w:rPr>
                <w:sz w:val="18"/>
              </w:rPr>
            </w:pPr>
            <w:r>
              <w:rPr>
                <w:w w:val="99"/>
                <w:sz w:val="18"/>
              </w:rPr>
              <w:t>0</w:t>
            </w:r>
          </w:p>
        </w:tc>
        <w:tc>
          <w:tcPr>
            <w:tcW w:w="850" w:type="dxa"/>
          </w:tcPr>
          <w:p>
            <w:pPr>
              <w:pStyle w:val="TableParagraph"/>
              <w:spacing w:before="90"/>
              <w:rPr>
                <w:sz w:val="18"/>
              </w:rPr>
            </w:pPr>
            <w:r>
              <w:rPr>
                <w:w w:val="99"/>
                <w:sz w:val="18"/>
              </w:rPr>
              <w:t>2</w:t>
            </w:r>
          </w:p>
        </w:tc>
        <w:tc>
          <w:tcPr>
            <w:tcW w:w="852" w:type="dxa"/>
          </w:tcPr>
          <w:p>
            <w:pPr>
              <w:pStyle w:val="TableParagraph"/>
              <w:spacing w:before="90"/>
              <w:ind w:left="1"/>
              <w:rPr>
                <w:sz w:val="18"/>
              </w:rPr>
            </w:pPr>
            <w:r>
              <w:rPr>
                <w:w w:val="99"/>
                <w:sz w:val="18"/>
              </w:rPr>
              <w:t>0</w:t>
            </w:r>
          </w:p>
        </w:tc>
        <w:tc>
          <w:tcPr>
            <w:tcW w:w="415" w:type="dxa"/>
            <w:tcBorders>
              <w:right w:val="single" w:sz="4" w:space="0" w:color="000000"/>
            </w:tcBorders>
          </w:tcPr>
          <w:p>
            <w:pPr>
              <w:pStyle w:val="TableParagraph"/>
              <w:spacing w:before="90"/>
              <w:ind w:right="1"/>
              <w:rPr>
                <w:sz w:val="18"/>
              </w:rPr>
            </w:pPr>
            <w:r>
              <w:rPr>
                <w:w w:val="99"/>
                <w:sz w:val="18"/>
              </w:rPr>
              <w:t>0</w:t>
            </w:r>
          </w:p>
        </w:tc>
        <w:tc>
          <w:tcPr>
            <w:tcW w:w="850" w:type="dxa"/>
            <w:tcBorders>
              <w:left w:val="single" w:sz="4" w:space="0" w:color="000000"/>
            </w:tcBorders>
          </w:tcPr>
          <w:p>
            <w:pPr>
              <w:pStyle w:val="TableParagraph"/>
              <w:spacing w:before="90"/>
              <w:rPr>
                <w:sz w:val="18"/>
              </w:rPr>
            </w:pPr>
            <w:r>
              <w:rPr>
                <w:w w:val="99"/>
                <w:sz w:val="18"/>
              </w:rPr>
              <w:t>0</w:t>
            </w:r>
          </w:p>
        </w:tc>
        <w:tc>
          <w:tcPr>
            <w:tcW w:w="475" w:type="dxa"/>
          </w:tcPr>
          <w:p>
            <w:pPr>
              <w:pStyle w:val="TableParagraph"/>
              <w:spacing w:before="90"/>
              <w:ind w:left="4"/>
              <w:rPr>
                <w:sz w:val="18"/>
              </w:rPr>
            </w:pPr>
            <w:r>
              <w:rPr>
                <w:w w:val="99"/>
                <w:sz w:val="18"/>
              </w:rPr>
              <w:t>4</w:t>
            </w:r>
          </w:p>
        </w:tc>
        <w:tc>
          <w:tcPr>
            <w:tcW w:w="475" w:type="dxa"/>
          </w:tcPr>
          <w:p>
            <w:pPr>
              <w:pStyle w:val="TableParagraph"/>
              <w:spacing w:before="90"/>
              <w:ind w:right="127"/>
              <w:jc w:val="right"/>
              <w:rPr>
                <w:sz w:val="18"/>
              </w:rPr>
            </w:pPr>
            <w:r>
              <w:rPr>
                <w:w w:val="95"/>
                <w:sz w:val="18"/>
              </w:rPr>
              <w:t>28</w:t>
            </w:r>
          </w:p>
        </w:tc>
      </w:tr>
      <w:tr>
        <w:trPr>
          <w:trHeight w:val="398" w:hRule="exact"/>
        </w:trPr>
        <w:tc>
          <w:tcPr>
            <w:tcW w:w="4277" w:type="dxa"/>
          </w:tcPr>
          <w:p>
            <w:pPr>
              <w:pStyle w:val="TableParagraph"/>
              <w:spacing w:before="85"/>
              <w:ind w:left="67"/>
              <w:jc w:val="left"/>
              <w:rPr>
                <w:b/>
                <w:sz w:val="18"/>
              </w:rPr>
            </w:pPr>
            <w:r>
              <w:rPr>
                <w:b/>
                <w:sz w:val="18"/>
              </w:rPr>
              <w:t>ZINACANTEPEC</w:t>
            </w:r>
          </w:p>
        </w:tc>
        <w:tc>
          <w:tcPr>
            <w:tcW w:w="415" w:type="dxa"/>
          </w:tcPr>
          <w:p>
            <w:pPr>
              <w:pStyle w:val="TableParagraph"/>
              <w:spacing w:before="90"/>
              <w:ind w:left="151"/>
              <w:jc w:val="left"/>
              <w:rPr>
                <w:sz w:val="18"/>
              </w:rPr>
            </w:pPr>
            <w:r>
              <w:rPr>
                <w:w w:val="99"/>
                <w:sz w:val="18"/>
              </w:rPr>
              <w:t>1</w:t>
            </w:r>
          </w:p>
        </w:tc>
        <w:tc>
          <w:tcPr>
            <w:tcW w:w="415" w:type="dxa"/>
          </w:tcPr>
          <w:p>
            <w:pPr>
              <w:pStyle w:val="TableParagraph"/>
              <w:spacing w:before="90"/>
              <w:ind w:right="1"/>
              <w:rPr>
                <w:sz w:val="18"/>
              </w:rPr>
            </w:pPr>
            <w:r>
              <w:rPr>
                <w:w w:val="99"/>
                <w:sz w:val="18"/>
              </w:rPr>
              <w:t>0</w:t>
            </w:r>
          </w:p>
        </w:tc>
        <w:tc>
          <w:tcPr>
            <w:tcW w:w="415" w:type="dxa"/>
          </w:tcPr>
          <w:p>
            <w:pPr>
              <w:pStyle w:val="TableParagraph"/>
              <w:spacing w:before="90"/>
              <w:ind w:left="103"/>
              <w:jc w:val="left"/>
              <w:rPr>
                <w:sz w:val="18"/>
              </w:rPr>
            </w:pPr>
            <w:r>
              <w:rPr>
                <w:sz w:val="18"/>
              </w:rPr>
              <w:t>14</w:t>
            </w:r>
          </w:p>
        </w:tc>
        <w:tc>
          <w:tcPr>
            <w:tcW w:w="413" w:type="dxa"/>
          </w:tcPr>
          <w:p>
            <w:pPr>
              <w:pStyle w:val="TableParagraph"/>
              <w:spacing w:before="90"/>
              <w:rPr>
                <w:sz w:val="18"/>
              </w:rPr>
            </w:pPr>
            <w:r>
              <w:rPr>
                <w:w w:val="99"/>
                <w:sz w:val="18"/>
              </w:rPr>
              <w:t>1</w:t>
            </w:r>
          </w:p>
        </w:tc>
        <w:tc>
          <w:tcPr>
            <w:tcW w:w="475" w:type="dxa"/>
          </w:tcPr>
          <w:p>
            <w:pPr>
              <w:pStyle w:val="TableParagraph"/>
              <w:spacing w:before="90"/>
              <w:ind w:left="62" w:right="58"/>
              <w:rPr>
                <w:sz w:val="18"/>
              </w:rPr>
            </w:pPr>
            <w:r>
              <w:rPr>
                <w:sz w:val="18"/>
              </w:rPr>
              <w:t>19</w:t>
            </w:r>
          </w:p>
        </w:tc>
        <w:tc>
          <w:tcPr>
            <w:tcW w:w="418" w:type="dxa"/>
          </w:tcPr>
          <w:p>
            <w:pPr>
              <w:pStyle w:val="TableParagraph"/>
              <w:spacing w:before="90"/>
              <w:ind w:left="153"/>
              <w:jc w:val="left"/>
              <w:rPr>
                <w:sz w:val="18"/>
              </w:rPr>
            </w:pPr>
            <w:r>
              <w:rPr>
                <w:w w:val="99"/>
                <w:sz w:val="18"/>
              </w:rPr>
              <w:t>5</w:t>
            </w:r>
          </w:p>
        </w:tc>
        <w:tc>
          <w:tcPr>
            <w:tcW w:w="415" w:type="dxa"/>
          </w:tcPr>
          <w:p>
            <w:pPr>
              <w:pStyle w:val="TableParagraph"/>
              <w:spacing w:before="90"/>
              <w:ind w:left="81" w:right="79"/>
              <w:rPr>
                <w:sz w:val="18"/>
              </w:rPr>
            </w:pPr>
            <w:r>
              <w:rPr>
                <w:sz w:val="18"/>
              </w:rPr>
              <w:t>42</w:t>
            </w:r>
          </w:p>
        </w:tc>
        <w:tc>
          <w:tcPr>
            <w:tcW w:w="415" w:type="dxa"/>
          </w:tcPr>
          <w:p>
            <w:pPr>
              <w:pStyle w:val="TableParagraph"/>
              <w:spacing w:before="90"/>
              <w:ind w:left="1"/>
              <w:rPr>
                <w:sz w:val="18"/>
              </w:rPr>
            </w:pPr>
            <w:r>
              <w:rPr>
                <w:w w:val="99"/>
                <w:sz w:val="18"/>
              </w:rPr>
              <w:t>0</w:t>
            </w:r>
          </w:p>
        </w:tc>
        <w:tc>
          <w:tcPr>
            <w:tcW w:w="418" w:type="dxa"/>
          </w:tcPr>
          <w:p>
            <w:pPr>
              <w:pStyle w:val="TableParagraph"/>
              <w:spacing w:before="90"/>
              <w:ind w:left="105"/>
              <w:jc w:val="left"/>
              <w:rPr>
                <w:sz w:val="18"/>
              </w:rPr>
            </w:pPr>
            <w:r>
              <w:rPr>
                <w:sz w:val="18"/>
              </w:rPr>
              <w:t>14</w:t>
            </w:r>
          </w:p>
        </w:tc>
        <w:tc>
          <w:tcPr>
            <w:tcW w:w="850" w:type="dxa"/>
          </w:tcPr>
          <w:p>
            <w:pPr>
              <w:pStyle w:val="TableParagraph"/>
              <w:spacing w:before="90"/>
              <w:rPr>
                <w:sz w:val="18"/>
              </w:rPr>
            </w:pPr>
            <w:r>
              <w:rPr>
                <w:w w:val="99"/>
                <w:sz w:val="18"/>
              </w:rPr>
              <w:t>2</w:t>
            </w:r>
          </w:p>
        </w:tc>
        <w:tc>
          <w:tcPr>
            <w:tcW w:w="852" w:type="dxa"/>
          </w:tcPr>
          <w:p>
            <w:pPr>
              <w:pStyle w:val="TableParagraph"/>
              <w:spacing w:before="90"/>
              <w:ind w:left="1"/>
              <w:rPr>
                <w:sz w:val="18"/>
              </w:rPr>
            </w:pPr>
            <w:r>
              <w:rPr>
                <w:w w:val="99"/>
                <w:sz w:val="18"/>
              </w:rPr>
              <w:t>4</w:t>
            </w:r>
          </w:p>
        </w:tc>
        <w:tc>
          <w:tcPr>
            <w:tcW w:w="415" w:type="dxa"/>
            <w:tcBorders>
              <w:right w:val="single" w:sz="4" w:space="0" w:color="000000"/>
            </w:tcBorders>
          </w:tcPr>
          <w:p>
            <w:pPr>
              <w:pStyle w:val="TableParagraph"/>
              <w:spacing w:before="90"/>
              <w:ind w:right="1"/>
              <w:rPr>
                <w:sz w:val="18"/>
              </w:rPr>
            </w:pPr>
            <w:r>
              <w:rPr>
                <w:w w:val="99"/>
                <w:sz w:val="18"/>
              </w:rPr>
              <w:t>1</w:t>
            </w:r>
          </w:p>
        </w:tc>
        <w:tc>
          <w:tcPr>
            <w:tcW w:w="850" w:type="dxa"/>
            <w:tcBorders>
              <w:left w:val="single" w:sz="4" w:space="0" w:color="000000"/>
            </w:tcBorders>
          </w:tcPr>
          <w:p>
            <w:pPr>
              <w:pStyle w:val="TableParagraph"/>
              <w:spacing w:before="90"/>
              <w:rPr>
                <w:sz w:val="18"/>
              </w:rPr>
            </w:pPr>
            <w:r>
              <w:rPr>
                <w:w w:val="99"/>
                <w:sz w:val="18"/>
              </w:rPr>
              <w:t>3</w:t>
            </w:r>
          </w:p>
        </w:tc>
        <w:tc>
          <w:tcPr>
            <w:tcW w:w="475" w:type="dxa"/>
          </w:tcPr>
          <w:p>
            <w:pPr>
              <w:pStyle w:val="TableParagraph"/>
              <w:spacing w:before="90"/>
              <w:ind w:left="4"/>
              <w:rPr>
                <w:sz w:val="18"/>
              </w:rPr>
            </w:pPr>
            <w:r>
              <w:rPr>
                <w:w w:val="99"/>
                <w:sz w:val="18"/>
              </w:rPr>
              <w:t>4</w:t>
            </w:r>
          </w:p>
        </w:tc>
        <w:tc>
          <w:tcPr>
            <w:tcW w:w="475" w:type="dxa"/>
          </w:tcPr>
          <w:p>
            <w:pPr>
              <w:pStyle w:val="TableParagraph"/>
              <w:spacing w:before="90"/>
              <w:ind w:right="77"/>
              <w:jc w:val="right"/>
              <w:rPr>
                <w:sz w:val="18"/>
              </w:rPr>
            </w:pPr>
            <w:r>
              <w:rPr>
                <w:w w:val="95"/>
                <w:sz w:val="18"/>
              </w:rPr>
              <w:t>110</w:t>
            </w:r>
          </w:p>
        </w:tc>
      </w:tr>
      <w:tr>
        <w:trPr>
          <w:trHeight w:val="401" w:hRule="exact"/>
        </w:trPr>
        <w:tc>
          <w:tcPr>
            <w:tcW w:w="4277" w:type="dxa"/>
          </w:tcPr>
          <w:p>
            <w:pPr>
              <w:pStyle w:val="TableParagraph"/>
              <w:spacing w:before="88"/>
              <w:ind w:left="67"/>
              <w:jc w:val="left"/>
              <w:rPr>
                <w:b/>
                <w:sz w:val="18"/>
              </w:rPr>
            </w:pPr>
            <w:r>
              <w:rPr>
                <w:b/>
                <w:sz w:val="18"/>
              </w:rPr>
              <w:t>ZUMPAHUACAN</w:t>
            </w:r>
          </w:p>
        </w:tc>
        <w:tc>
          <w:tcPr>
            <w:tcW w:w="415" w:type="dxa"/>
          </w:tcPr>
          <w:p>
            <w:pPr>
              <w:pStyle w:val="TableParagraph"/>
              <w:spacing w:before="92"/>
              <w:ind w:left="151"/>
              <w:jc w:val="left"/>
              <w:rPr>
                <w:sz w:val="18"/>
              </w:rPr>
            </w:pPr>
            <w:r>
              <w:rPr>
                <w:w w:val="99"/>
                <w:sz w:val="18"/>
              </w:rPr>
              <w:t>1</w:t>
            </w:r>
          </w:p>
        </w:tc>
        <w:tc>
          <w:tcPr>
            <w:tcW w:w="415" w:type="dxa"/>
          </w:tcPr>
          <w:p>
            <w:pPr>
              <w:pStyle w:val="TableParagraph"/>
              <w:spacing w:before="92"/>
              <w:ind w:right="1"/>
              <w:rPr>
                <w:sz w:val="18"/>
              </w:rPr>
            </w:pPr>
            <w:r>
              <w:rPr>
                <w:w w:val="99"/>
                <w:sz w:val="18"/>
              </w:rPr>
              <w:t>0</w:t>
            </w:r>
          </w:p>
        </w:tc>
        <w:tc>
          <w:tcPr>
            <w:tcW w:w="415" w:type="dxa"/>
          </w:tcPr>
          <w:p>
            <w:pPr>
              <w:pStyle w:val="TableParagraph"/>
              <w:spacing w:before="92"/>
              <w:ind w:left="151"/>
              <w:jc w:val="left"/>
              <w:rPr>
                <w:sz w:val="18"/>
              </w:rPr>
            </w:pPr>
            <w:r>
              <w:rPr>
                <w:w w:val="99"/>
                <w:sz w:val="18"/>
              </w:rPr>
              <w:t>3</w:t>
            </w:r>
          </w:p>
        </w:tc>
        <w:tc>
          <w:tcPr>
            <w:tcW w:w="413" w:type="dxa"/>
          </w:tcPr>
          <w:p>
            <w:pPr>
              <w:pStyle w:val="TableParagraph"/>
              <w:spacing w:before="92"/>
              <w:rPr>
                <w:sz w:val="18"/>
              </w:rPr>
            </w:pPr>
            <w:r>
              <w:rPr>
                <w:w w:val="99"/>
                <w:sz w:val="18"/>
              </w:rPr>
              <w:t>1</w:t>
            </w:r>
          </w:p>
        </w:tc>
        <w:tc>
          <w:tcPr>
            <w:tcW w:w="475" w:type="dxa"/>
          </w:tcPr>
          <w:p>
            <w:pPr>
              <w:pStyle w:val="TableParagraph"/>
              <w:spacing w:before="92"/>
              <w:ind w:left="4"/>
              <w:rPr>
                <w:sz w:val="18"/>
              </w:rPr>
            </w:pPr>
            <w:r>
              <w:rPr>
                <w:w w:val="99"/>
                <w:sz w:val="18"/>
              </w:rPr>
              <w:t>1</w:t>
            </w:r>
          </w:p>
        </w:tc>
        <w:tc>
          <w:tcPr>
            <w:tcW w:w="418" w:type="dxa"/>
          </w:tcPr>
          <w:p>
            <w:pPr>
              <w:pStyle w:val="TableParagraph"/>
              <w:spacing w:before="92"/>
              <w:ind w:left="153"/>
              <w:jc w:val="left"/>
              <w:rPr>
                <w:sz w:val="18"/>
              </w:rPr>
            </w:pPr>
            <w:r>
              <w:rPr>
                <w:w w:val="99"/>
                <w:sz w:val="18"/>
              </w:rPr>
              <w:t>1</w:t>
            </w:r>
          </w:p>
        </w:tc>
        <w:tc>
          <w:tcPr>
            <w:tcW w:w="415" w:type="dxa"/>
          </w:tcPr>
          <w:p>
            <w:pPr>
              <w:pStyle w:val="TableParagraph"/>
              <w:spacing w:before="92"/>
              <w:ind w:right="1"/>
              <w:rPr>
                <w:sz w:val="18"/>
              </w:rPr>
            </w:pPr>
            <w:r>
              <w:rPr>
                <w:w w:val="99"/>
                <w:sz w:val="18"/>
              </w:rPr>
              <w:t>3</w:t>
            </w:r>
          </w:p>
        </w:tc>
        <w:tc>
          <w:tcPr>
            <w:tcW w:w="415" w:type="dxa"/>
          </w:tcPr>
          <w:p>
            <w:pPr>
              <w:pStyle w:val="TableParagraph"/>
              <w:spacing w:before="92"/>
              <w:ind w:left="1"/>
              <w:rPr>
                <w:sz w:val="18"/>
              </w:rPr>
            </w:pPr>
            <w:r>
              <w:rPr>
                <w:w w:val="99"/>
                <w:sz w:val="18"/>
              </w:rPr>
              <w:t>0</w:t>
            </w:r>
          </w:p>
        </w:tc>
        <w:tc>
          <w:tcPr>
            <w:tcW w:w="418" w:type="dxa"/>
          </w:tcPr>
          <w:p>
            <w:pPr>
              <w:pStyle w:val="TableParagraph"/>
              <w:spacing w:before="92"/>
              <w:ind w:left="153"/>
              <w:jc w:val="left"/>
              <w:rPr>
                <w:sz w:val="18"/>
              </w:rPr>
            </w:pPr>
            <w:r>
              <w:rPr>
                <w:w w:val="99"/>
                <w:sz w:val="18"/>
              </w:rPr>
              <w:t>2</w:t>
            </w:r>
          </w:p>
        </w:tc>
        <w:tc>
          <w:tcPr>
            <w:tcW w:w="850" w:type="dxa"/>
          </w:tcPr>
          <w:p>
            <w:pPr>
              <w:pStyle w:val="TableParagraph"/>
              <w:spacing w:before="92"/>
              <w:rPr>
                <w:sz w:val="18"/>
              </w:rPr>
            </w:pPr>
            <w:r>
              <w:rPr>
                <w:w w:val="99"/>
                <w:sz w:val="18"/>
              </w:rPr>
              <w:t>1</w:t>
            </w:r>
          </w:p>
        </w:tc>
        <w:tc>
          <w:tcPr>
            <w:tcW w:w="852" w:type="dxa"/>
          </w:tcPr>
          <w:p>
            <w:pPr>
              <w:pStyle w:val="TableParagraph"/>
              <w:spacing w:before="92"/>
              <w:ind w:left="1"/>
              <w:rPr>
                <w:sz w:val="18"/>
              </w:rPr>
            </w:pPr>
            <w:r>
              <w:rPr>
                <w:w w:val="99"/>
                <w:sz w:val="18"/>
              </w:rPr>
              <w:t>0</w:t>
            </w:r>
          </w:p>
        </w:tc>
        <w:tc>
          <w:tcPr>
            <w:tcW w:w="415" w:type="dxa"/>
            <w:tcBorders>
              <w:right w:val="single" w:sz="4" w:space="0" w:color="000000"/>
            </w:tcBorders>
          </w:tcPr>
          <w:p>
            <w:pPr>
              <w:pStyle w:val="TableParagraph"/>
              <w:spacing w:before="92"/>
              <w:ind w:right="1"/>
              <w:rPr>
                <w:sz w:val="18"/>
              </w:rPr>
            </w:pPr>
            <w:r>
              <w:rPr>
                <w:w w:val="99"/>
                <w:sz w:val="18"/>
              </w:rPr>
              <w:t>0</w:t>
            </w:r>
          </w:p>
        </w:tc>
        <w:tc>
          <w:tcPr>
            <w:tcW w:w="850" w:type="dxa"/>
            <w:tcBorders>
              <w:left w:val="single" w:sz="4" w:space="0" w:color="000000"/>
            </w:tcBorders>
          </w:tcPr>
          <w:p>
            <w:pPr>
              <w:pStyle w:val="TableParagraph"/>
              <w:spacing w:before="92"/>
              <w:rPr>
                <w:sz w:val="18"/>
              </w:rPr>
            </w:pPr>
            <w:r>
              <w:rPr>
                <w:w w:val="99"/>
                <w:sz w:val="18"/>
              </w:rPr>
              <w:t>0</w:t>
            </w:r>
          </w:p>
        </w:tc>
        <w:tc>
          <w:tcPr>
            <w:tcW w:w="475" w:type="dxa"/>
          </w:tcPr>
          <w:p>
            <w:pPr>
              <w:pStyle w:val="TableParagraph"/>
              <w:spacing w:before="92"/>
              <w:ind w:left="4"/>
              <w:rPr>
                <w:sz w:val="18"/>
              </w:rPr>
            </w:pPr>
            <w:r>
              <w:rPr>
                <w:w w:val="99"/>
                <w:sz w:val="18"/>
              </w:rPr>
              <w:t>0</w:t>
            </w:r>
          </w:p>
        </w:tc>
        <w:tc>
          <w:tcPr>
            <w:tcW w:w="475" w:type="dxa"/>
          </w:tcPr>
          <w:p>
            <w:pPr>
              <w:pStyle w:val="TableParagraph"/>
              <w:spacing w:before="92"/>
              <w:ind w:right="127"/>
              <w:jc w:val="right"/>
              <w:rPr>
                <w:sz w:val="18"/>
              </w:rPr>
            </w:pPr>
            <w:r>
              <w:rPr>
                <w:w w:val="95"/>
                <w:sz w:val="18"/>
              </w:rPr>
              <w:t>13</w:t>
            </w:r>
          </w:p>
        </w:tc>
      </w:tr>
      <w:tr>
        <w:trPr>
          <w:trHeight w:val="401" w:hRule="exact"/>
        </w:trPr>
        <w:tc>
          <w:tcPr>
            <w:tcW w:w="4277" w:type="dxa"/>
          </w:tcPr>
          <w:p>
            <w:pPr>
              <w:pStyle w:val="TableParagraph"/>
              <w:spacing w:before="85"/>
              <w:ind w:left="67"/>
              <w:jc w:val="left"/>
              <w:rPr>
                <w:b/>
                <w:sz w:val="18"/>
              </w:rPr>
            </w:pPr>
            <w:r>
              <w:rPr>
                <w:b/>
                <w:sz w:val="18"/>
              </w:rPr>
              <w:t>ZUMPANGO</w:t>
            </w:r>
          </w:p>
        </w:tc>
        <w:tc>
          <w:tcPr>
            <w:tcW w:w="415" w:type="dxa"/>
          </w:tcPr>
          <w:p>
            <w:pPr>
              <w:pStyle w:val="TableParagraph"/>
              <w:spacing w:before="90"/>
              <w:ind w:left="151"/>
              <w:jc w:val="left"/>
              <w:rPr>
                <w:sz w:val="18"/>
              </w:rPr>
            </w:pPr>
            <w:r>
              <w:rPr>
                <w:w w:val="99"/>
                <w:sz w:val="18"/>
              </w:rPr>
              <w:t>1</w:t>
            </w:r>
          </w:p>
        </w:tc>
        <w:tc>
          <w:tcPr>
            <w:tcW w:w="415" w:type="dxa"/>
          </w:tcPr>
          <w:p>
            <w:pPr>
              <w:pStyle w:val="TableParagraph"/>
              <w:spacing w:before="90"/>
              <w:ind w:right="1"/>
              <w:rPr>
                <w:sz w:val="18"/>
              </w:rPr>
            </w:pPr>
            <w:r>
              <w:rPr>
                <w:w w:val="99"/>
                <w:sz w:val="18"/>
              </w:rPr>
              <w:t>0</w:t>
            </w:r>
          </w:p>
        </w:tc>
        <w:tc>
          <w:tcPr>
            <w:tcW w:w="415" w:type="dxa"/>
          </w:tcPr>
          <w:p>
            <w:pPr>
              <w:pStyle w:val="TableParagraph"/>
              <w:spacing w:before="90"/>
              <w:ind w:left="103"/>
              <w:jc w:val="left"/>
              <w:rPr>
                <w:sz w:val="18"/>
              </w:rPr>
            </w:pPr>
            <w:r>
              <w:rPr>
                <w:sz w:val="18"/>
              </w:rPr>
              <w:t>19</w:t>
            </w:r>
          </w:p>
        </w:tc>
        <w:tc>
          <w:tcPr>
            <w:tcW w:w="413" w:type="dxa"/>
          </w:tcPr>
          <w:p>
            <w:pPr>
              <w:pStyle w:val="TableParagraph"/>
              <w:spacing w:before="90"/>
              <w:rPr>
                <w:sz w:val="18"/>
              </w:rPr>
            </w:pPr>
            <w:r>
              <w:rPr>
                <w:w w:val="99"/>
                <w:sz w:val="18"/>
              </w:rPr>
              <w:t>1</w:t>
            </w:r>
          </w:p>
        </w:tc>
        <w:tc>
          <w:tcPr>
            <w:tcW w:w="475" w:type="dxa"/>
          </w:tcPr>
          <w:p>
            <w:pPr>
              <w:pStyle w:val="TableParagraph"/>
              <w:spacing w:before="90"/>
              <w:ind w:left="62" w:right="58"/>
              <w:rPr>
                <w:sz w:val="18"/>
              </w:rPr>
            </w:pPr>
            <w:r>
              <w:rPr>
                <w:sz w:val="18"/>
              </w:rPr>
              <w:t>40</w:t>
            </w:r>
          </w:p>
        </w:tc>
        <w:tc>
          <w:tcPr>
            <w:tcW w:w="418" w:type="dxa"/>
          </w:tcPr>
          <w:p>
            <w:pPr>
              <w:pStyle w:val="TableParagraph"/>
              <w:spacing w:before="90"/>
              <w:ind w:left="153"/>
              <w:jc w:val="left"/>
              <w:rPr>
                <w:sz w:val="18"/>
              </w:rPr>
            </w:pPr>
            <w:r>
              <w:rPr>
                <w:w w:val="99"/>
                <w:sz w:val="18"/>
              </w:rPr>
              <w:t>7</w:t>
            </w:r>
          </w:p>
        </w:tc>
        <w:tc>
          <w:tcPr>
            <w:tcW w:w="415" w:type="dxa"/>
          </w:tcPr>
          <w:p>
            <w:pPr>
              <w:pStyle w:val="TableParagraph"/>
              <w:spacing w:before="90"/>
              <w:ind w:right="1"/>
              <w:rPr>
                <w:sz w:val="18"/>
              </w:rPr>
            </w:pPr>
            <w:r>
              <w:rPr>
                <w:w w:val="99"/>
                <w:sz w:val="18"/>
              </w:rPr>
              <w:t>9</w:t>
            </w:r>
          </w:p>
        </w:tc>
        <w:tc>
          <w:tcPr>
            <w:tcW w:w="415" w:type="dxa"/>
          </w:tcPr>
          <w:p>
            <w:pPr>
              <w:pStyle w:val="TableParagraph"/>
              <w:spacing w:before="90"/>
              <w:ind w:left="1"/>
              <w:rPr>
                <w:sz w:val="18"/>
              </w:rPr>
            </w:pPr>
            <w:r>
              <w:rPr>
                <w:w w:val="99"/>
                <w:sz w:val="18"/>
              </w:rPr>
              <w:t>7</w:t>
            </w:r>
          </w:p>
        </w:tc>
        <w:tc>
          <w:tcPr>
            <w:tcW w:w="418" w:type="dxa"/>
          </w:tcPr>
          <w:p>
            <w:pPr>
              <w:pStyle w:val="TableParagraph"/>
              <w:spacing w:before="90"/>
              <w:ind w:left="153"/>
              <w:jc w:val="left"/>
              <w:rPr>
                <w:sz w:val="18"/>
              </w:rPr>
            </w:pPr>
            <w:r>
              <w:rPr>
                <w:w w:val="99"/>
                <w:sz w:val="18"/>
              </w:rPr>
              <w:t>3</w:t>
            </w:r>
          </w:p>
        </w:tc>
        <w:tc>
          <w:tcPr>
            <w:tcW w:w="850" w:type="dxa"/>
          </w:tcPr>
          <w:p>
            <w:pPr>
              <w:pStyle w:val="TableParagraph"/>
              <w:spacing w:before="90"/>
              <w:ind w:left="299" w:right="299"/>
              <w:rPr>
                <w:sz w:val="18"/>
              </w:rPr>
            </w:pPr>
            <w:r>
              <w:rPr>
                <w:sz w:val="18"/>
              </w:rPr>
              <w:t>32</w:t>
            </w:r>
          </w:p>
        </w:tc>
        <w:tc>
          <w:tcPr>
            <w:tcW w:w="852" w:type="dxa"/>
          </w:tcPr>
          <w:p>
            <w:pPr>
              <w:pStyle w:val="TableParagraph"/>
              <w:spacing w:before="90"/>
              <w:ind w:left="1"/>
              <w:rPr>
                <w:sz w:val="18"/>
              </w:rPr>
            </w:pPr>
            <w:r>
              <w:rPr>
                <w:w w:val="99"/>
                <w:sz w:val="18"/>
              </w:rPr>
              <w:t>7</w:t>
            </w:r>
          </w:p>
        </w:tc>
        <w:tc>
          <w:tcPr>
            <w:tcW w:w="415" w:type="dxa"/>
            <w:tcBorders>
              <w:right w:val="single" w:sz="4" w:space="0" w:color="000000"/>
            </w:tcBorders>
          </w:tcPr>
          <w:p>
            <w:pPr>
              <w:pStyle w:val="TableParagraph"/>
              <w:spacing w:before="90"/>
              <w:ind w:right="1"/>
              <w:rPr>
                <w:sz w:val="18"/>
              </w:rPr>
            </w:pPr>
            <w:r>
              <w:rPr>
                <w:w w:val="99"/>
                <w:sz w:val="18"/>
              </w:rPr>
              <w:t>0</w:t>
            </w:r>
          </w:p>
        </w:tc>
        <w:tc>
          <w:tcPr>
            <w:tcW w:w="850" w:type="dxa"/>
            <w:tcBorders>
              <w:left w:val="single" w:sz="4" w:space="0" w:color="000000"/>
            </w:tcBorders>
          </w:tcPr>
          <w:p>
            <w:pPr>
              <w:pStyle w:val="TableParagraph"/>
              <w:spacing w:before="90"/>
              <w:rPr>
                <w:sz w:val="18"/>
              </w:rPr>
            </w:pPr>
            <w:r>
              <w:rPr>
                <w:w w:val="99"/>
                <w:sz w:val="18"/>
              </w:rPr>
              <w:t>8</w:t>
            </w:r>
          </w:p>
        </w:tc>
        <w:tc>
          <w:tcPr>
            <w:tcW w:w="475" w:type="dxa"/>
          </w:tcPr>
          <w:p>
            <w:pPr>
              <w:pStyle w:val="TableParagraph"/>
              <w:spacing w:before="90"/>
              <w:ind w:left="4"/>
              <w:rPr>
                <w:sz w:val="18"/>
              </w:rPr>
            </w:pPr>
            <w:r>
              <w:rPr>
                <w:w w:val="99"/>
                <w:sz w:val="18"/>
              </w:rPr>
              <w:t>2</w:t>
            </w:r>
          </w:p>
        </w:tc>
        <w:tc>
          <w:tcPr>
            <w:tcW w:w="475" w:type="dxa"/>
          </w:tcPr>
          <w:p>
            <w:pPr>
              <w:pStyle w:val="TableParagraph"/>
              <w:spacing w:before="90"/>
              <w:ind w:right="77"/>
              <w:jc w:val="right"/>
              <w:rPr>
                <w:sz w:val="18"/>
              </w:rPr>
            </w:pPr>
            <w:r>
              <w:rPr>
                <w:w w:val="95"/>
                <w:sz w:val="18"/>
              </w:rPr>
              <w:t>136</w:t>
            </w:r>
          </w:p>
        </w:tc>
      </w:tr>
    </w:tbl>
    <w:p>
      <w:pPr>
        <w:spacing w:before="90"/>
        <w:ind w:left="194" w:right="0" w:firstLine="0"/>
        <w:jc w:val="left"/>
        <w:rPr>
          <w:sz w:val="18"/>
        </w:rPr>
      </w:pPr>
      <w:r>
        <w:rPr>
          <w:sz w:val="18"/>
        </w:rPr>
        <w:t>Fuente: Elaboración propia, con datos del INFOEM.</w:t>
      </w:r>
    </w:p>
    <w:p>
      <w:pPr>
        <w:spacing w:after="0"/>
        <w:jc w:val="left"/>
        <w:rPr>
          <w:sz w:val="18"/>
        </w:rPr>
        <w:sectPr>
          <w:pgSz w:w="15840" w:h="12240" w:orient="landscape"/>
          <w:pgMar w:header="0" w:footer="975" w:top="1140" w:bottom="1160" w:left="1800" w:right="1800"/>
        </w:sectPr>
      </w:pPr>
    </w:p>
    <w:tbl>
      <w:tblPr>
        <w:tblW w:w="0" w:type="auto"/>
        <w:jc w:val="left"/>
        <w:tblInd w:w="10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602"/>
        <w:gridCol w:w="499"/>
        <w:gridCol w:w="502"/>
        <w:gridCol w:w="499"/>
        <w:gridCol w:w="500"/>
      </w:tblGrid>
      <w:tr>
        <w:trPr>
          <w:trHeight w:val="330" w:hRule="exact"/>
        </w:trPr>
        <w:tc>
          <w:tcPr>
            <w:tcW w:w="6602" w:type="dxa"/>
            <w:gridSpan w:val="5"/>
            <w:shd w:val="clear" w:color="auto" w:fill="A8D08D"/>
          </w:tcPr>
          <w:p>
            <w:pPr>
              <w:pStyle w:val="TableParagraph"/>
              <w:spacing w:line="200" w:lineRule="exact"/>
              <w:ind w:left="1222"/>
              <w:jc w:val="left"/>
              <w:rPr>
                <w:b/>
                <w:sz w:val="18"/>
              </w:rPr>
            </w:pPr>
            <w:r>
              <w:rPr>
                <w:b/>
                <w:sz w:val="18"/>
              </w:rPr>
              <w:t>Anexo 19. Municipios que publican organigrama</w:t>
            </w:r>
          </w:p>
        </w:tc>
      </w:tr>
      <w:tr>
        <w:trPr>
          <w:trHeight w:val="1454" w:hRule="exact"/>
        </w:trPr>
        <w:tc>
          <w:tcPr>
            <w:tcW w:w="4602" w:type="dxa"/>
            <w:tcBorders>
              <w:bottom w:val="single" w:sz="4" w:space="0" w:color="000000"/>
              <w:right w:val="single" w:sz="4" w:space="0" w:color="000000"/>
            </w:tcBorders>
            <w:shd w:val="clear" w:color="auto" w:fill="A8D08D"/>
          </w:tcPr>
          <w:p>
            <w:pPr>
              <w:pStyle w:val="TableParagraph"/>
              <w:jc w:val="left"/>
              <w:rPr>
                <w:sz w:val="18"/>
              </w:rPr>
            </w:pPr>
          </w:p>
          <w:p>
            <w:pPr>
              <w:pStyle w:val="TableParagraph"/>
              <w:jc w:val="left"/>
              <w:rPr>
                <w:sz w:val="18"/>
              </w:rPr>
            </w:pPr>
          </w:p>
          <w:p>
            <w:pPr>
              <w:pStyle w:val="TableParagraph"/>
              <w:spacing w:before="144"/>
              <w:ind w:left="1853" w:right="1853"/>
              <w:rPr>
                <w:b/>
                <w:sz w:val="18"/>
              </w:rPr>
            </w:pPr>
            <w:r>
              <w:rPr>
                <w:b/>
                <w:sz w:val="18"/>
              </w:rPr>
              <w:t>Municipio</w:t>
            </w:r>
          </w:p>
        </w:tc>
        <w:tc>
          <w:tcPr>
            <w:tcW w:w="499" w:type="dxa"/>
            <w:tcBorders>
              <w:left w:val="single" w:sz="4" w:space="0" w:color="000000"/>
              <w:bottom w:val="single" w:sz="4" w:space="0" w:color="000000"/>
              <w:right w:val="single" w:sz="4" w:space="0" w:color="000000"/>
            </w:tcBorders>
            <w:shd w:val="clear" w:color="auto" w:fill="A8D08D"/>
            <w:textDirection w:val="btLr"/>
          </w:tcPr>
          <w:p>
            <w:pPr>
              <w:pStyle w:val="TableParagraph"/>
              <w:spacing w:before="107"/>
              <w:ind w:left="221" w:right="-20"/>
              <w:jc w:val="left"/>
              <w:rPr>
                <w:b/>
                <w:sz w:val="18"/>
              </w:rPr>
            </w:pPr>
            <w:r>
              <w:rPr>
                <w:b/>
                <w:w w:val="99"/>
                <w:sz w:val="18"/>
              </w:rPr>
              <w:t>Dep</w:t>
            </w:r>
            <w:r>
              <w:rPr>
                <w:b/>
                <w:w w:val="99"/>
                <w:sz w:val="18"/>
              </w:rPr>
              <w:t>e</w:t>
            </w:r>
            <w:r>
              <w:rPr>
                <w:b/>
                <w:w w:val="100"/>
                <w:sz w:val="18"/>
              </w:rPr>
              <w:t>nd</w:t>
            </w:r>
            <w:r>
              <w:rPr>
                <w:b/>
                <w:w w:val="99"/>
                <w:sz w:val="18"/>
              </w:rPr>
              <w:t>e</w:t>
            </w:r>
            <w:r>
              <w:rPr>
                <w:b/>
                <w:spacing w:val="-2"/>
                <w:w w:val="100"/>
                <w:sz w:val="18"/>
              </w:rPr>
              <w:t>n</w:t>
            </w:r>
            <w:r>
              <w:rPr>
                <w:b/>
                <w:w w:val="99"/>
                <w:sz w:val="18"/>
              </w:rPr>
              <w:t>c</w:t>
            </w:r>
            <w:r>
              <w:rPr>
                <w:b/>
                <w:w w:val="100"/>
                <w:sz w:val="18"/>
              </w:rPr>
              <w:t>ia</w:t>
            </w:r>
            <w:r>
              <w:rPr>
                <w:b/>
                <w:w w:val="99"/>
                <w:sz w:val="18"/>
              </w:rPr>
              <w:t>s</w:t>
            </w:r>
          </w:p>
        </w:tc>
        <w:tc>
          <w:tcPr>
            <w:tcW w:w="502" w:type="dxa"/>
            <w:tcBorders>
              <w:left w:val="single" w:sz="4" w:space="0" w:color="000000"/>
              <w:bottom w:val="single" w:sz="4" w:space="0" w:color="000000"/>
              <w:right w:val="single" w:sz="4" w:space="0" w:color="000000"/>
            </w:tcBorders>
            <w:shd w:val="clear" w:color="auto" w:fill="A8D08D"/>
            <w:textDirection w:val="btLr"/>
          </w:tcPr>
          <w:p>
            <w:pPr>
              <w:pStyle w:val="TableParagraph"/>
              <w:spacing w:before="107"/>
              <w:ind w:left="612" w:right="-23"/>
              <w:jc w:val="left"/>
              <w:rPr>
                <w:b/>
                <w:sz w:val="18"/>
              </w:rPr>
            </w:pPr>
            <w:r>
              <w:rPr>
                <w:b/>
                <w:w w:val="99"/>
                <w:sz w:val="18"/>
              </w:rPr>
              <w:t>Reg</w:t>
            </w:r>
            <w:r>
              <w:rPr>
                <w:b/>
                <w:w w:val="100"/>
                <w:sz w:val="18"/>
              </w:rPr>
              <w:t>id</w:t>
            </w:r>
            <w:r>
              <w:rPr>
                <w:b/>
                <w:sz w:val="18"/>
              </w:rPr>
              <w:t>uría</w:t>
            </w:r>
          </w:p>
        </w:tc>
        <w:tc>
          <w:tcPr>
            <w:tcW w:w="499" w:type="dxa"/>
            <w:tcBorders>
              <w:left w:val="single" w:sz="4" w:space="0" w:color="000000"/>
              <w:bottom w:val="single" w:sz="4" w:space="0" w:color="000000"/>
              <w:right w:val="single" w:sz="4" w:space="0" w:color="000000"/>
            </w:tcBorders>
            <w:shd w:val="clear" w:color="auto" w:fill="A8D08D"/>
            <w:textDirection w:val="btLr"/>
          </w:tcPr>
          <w:p>
            <w:pPr>
              <w:pStyle w:val="TableParagraph"/>
              <w:spacing w:before="104"/>
              <w:ind w:left="192" w:right="-21"/>
              <w:jc w:val="left"/>
              <w:rPr>
                <w:b/>
                <w:sz w:val="18"/>
              </w:rPr>
            </w:pPr>
            <w:r>
              <w:rPr>
                <w:b/>
                <w:w w:val="99"/>
                <w:sz w:val="18"/>
              </w:rPr>
              <w:t>Rem</w:t>
            </w:r>
            <w:r>
              <w:rPr>
                <w:b/>
                <w:w w:val="100"/>
                <w:sz w:val="18"/>
              </w:rPr>
              <w:t>un</w:t>
            </w:r>
            <w:r>
              <w:rPr>
                <w:b/>
                <w:w w:val="99"/>
                <w:sz w:val="18"/>
              </w:rPr>
              <w:t>era</w:t>
            </w:r>
            <w:r>
              <w:rPr>
                <w:b/>
                <w:spacing w:val="-2"/>
                <w:w w:val="99"/>
                <w:sz w:val="18"/>
              </w:rPr>
              <w:t>c</w:t>
            </w:r>
            <w:r>
              <w:rPr>
                <w:b/>
                <w:w w:val="100"/>
                <w:sz w:val="18"/>
              </w:rPr>
              <w:t>ión</w:t>
            </w:r>
          </w:p>
        </w:tc>
        <w:tc>
          <w:tcPr>
            <w:tcW w:w="500" w:type="dxa"/>
            <w:tcBorders>
              <w:left w:val="single" w:sz="4" w:space="0" w:color="000000"/>
              <w:bottom w:val="single" w:sz="4" w:space="0" w:color="000000"/>
            </w:tcBorders>
            <w:shd w:val="clear" w:color="auto" w:fill="A8D08D"/>
            <w:textDirection w:val="btLr"/>
          </w:tcPr>
          <w:p>
            <w:pPr>
              <w:pStyle w:val="TableParagraph"/>
              <w:spacing w:before="107"/>
              <w:ind w:right="-5"/>
              <w:jc w:val="right"/>
              <w:rPr>
                <w:b/>
                <w:sz w:val="18"/>
              </w:rPr>
            </w:pPr>
            <w:r>
              <w:rPr>
                <w:b/>
                <w:w w:val="100"/>
                <w:sz w:val="18"/>
              </w:rPr>
              <w:t>To</w:t>
            </w:r>
            <w:r>
              <w:rPr>
                <w:b/>
                <w:w w:val="99"/>
                <w:sz w:val="18"/>
              </w:rPr>
              <w:t>ta</w:t>
            </w:r>
            <w:r>
              <w:rPr>
                <w:b/>
                <w:w w:val="100"/>
                <w:sz w:val="18"/>
              </w:rPr>
              <w:t>l</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ACAMBAY</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4"/>
              <w:jc w:val="left"/>
              <w:rPr>
                <w:sz w:val="18"/>
              </w:rPr>
            </w:pPr>
            <w:r>
              <w:rPr>
                <w:sz w:val="18"/>
              </w:rPr>
              <w:t>27</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5" w:right="125"/>
              <w:rPr>
                <w:b/>
                <w:sz w:val="18"/>
              </w:rPr>
            </w:pPr>
            <w:r>
              <w:rPr>
                <w:b/>
                <w:sz w:val="18"/>
              </w:rPr>
              <w:t>38</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ACOLMAN</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23</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24</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ACULCO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29</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40</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ALMOLOYA DE ALQUISIRAS</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0</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right="1"/>
              <w:rPr>
                <w:b/>
                <w:sz w:val="18"/>
              </w:rPr>
            </w:pPr>
            <w:r>
              <w:rPr>
                <w:b/>
                <w:w w:val="99"/>
                <w:sz w:val="18"/>
              </w:rPr>
              <w:t>0</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ALMOLOYA DE JUAREZ</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37</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6"/>
              <w:jc w:val="left"/>
              <w:rPr>
                <w:sz w:val="18"/>
              </w:rPr>
            </w:pPr>
            <w:r>
              <w:rPr>
                <w:w w:val="99"/>
                <w:sz w:val="18"/>
              </w:rPr>
              <w:t>8</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46</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ALMOLOYA DEL RIO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22</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33</w:t>
            </w:r>
          </w:p>
        </w:tc>
      </w:tr>
      <w:tr>
        <w:trPr>
          <w:trHeight w:val="32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AMANALCO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144"/>
              <w:jc w:val="left"/>
              <w:rPr>
                <w:sz w:val="18"/>
              </w:rPr>
            </w:pPr>
            <w:r>
              <w:rPr>
                <w:sz w:val="18"/>
              </w:rPr>
              <w:t>29</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40</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AMATEPEC</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22</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32</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AMECAMECA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22</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32</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APAXCO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26</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26</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ATENCO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0</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right="1"/>
              <w:rPr>
                <w:b/>
                <w:sz w:val="18"/>
              </w:rPr>
            </w:pPr>
            <w:r>
              <w:rPr>
                <w:b/>
                <w:w w:val="99"/>
                <w:sz w:val="18"/>
              </w:rPr>
              <w:t>0</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ATIZAPAN</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25</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35</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ATIZAPAN DE ZARAGOZA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21</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6"/>
              <w:jc w:val="left"/>
              <w:rPr>
                <w:sz w:val="18"/>
              </w:rPr>
            </w:pPr>
            <w:r>
              <w:rPr>
                <w:sz w:val="18"/>
              </w:rPr>
              <w:t>13</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35</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ATLACOMULCO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4"/>
              <w:jc w:val="left"/>
              <w:rPr>
                <w:sz w:val="18"/>
              </w:rPr>
            </w:pPr>
            <w:r>
              <w:rPr>
                <w:sz w:val="18"/>
              </w:rPr>
              <w:t>21</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5" w:right="125"/>
              <w:rPr>
                <w:b/>
                <w:sz w:val="18"/>
              </w:rPr>
            </w:pPr>
            <w:r>
              <w:rPr>
                <w:b/>
                <w:sz w:val="18"/>
              </w:rPr>
              <w:t>32</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ATLAUTLA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21</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32</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AXAPUSCO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4"/>
              <w:jc w:val="left"/>
              <w:rPr>
                <w:sz w:val="18"/>
              </w:rPr>
            </w:pPr>
            <w:r>
              <w:rPr>
                <w:sz w:val="18"/>
              </w:rPr>
              <w:t>11</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5" w:right="125"/>
              <w:rPr>
                <w:b/>
                <w:sz w:val="18"/>
              </w:rPr>
            </w:pPr>
            <w:r>
              <w:rPr>
                <w:b/>
                <w:sz w:val="18"/>
              </w:rPr>
              <w:t>12</w:t>
            </w:r>
          </w:p>
        </w:tc>
      </w:tr>
      <w:tr>
        <w:trPr>
          <w:trHeight w:val="32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AYAPANGO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0</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right="1"/>
              <w:rPr>
                <w:b/>
                <w:sz w:val="18"/>
              </w:rPr>
            </w:pPr>
            <w:r>
              <w:rPr>
                <w:b/>
                <w:w w:val="99"/>
                <w:sz w:val="18"/>
              </w:rPr>
              <w:t>0</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CALIMAYA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4"/>
              <w:jc w:val="left"/>
              <w:rPr>
                <w:sz w:val="18"/>
              </w:rPr>
            </w:pPr>
            <w:r>
              <w:rPr>
                <w:sz w:val="18"/>
              </w:rPr>
              <w:t>22</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5" w:right="125"/>
              <w:rPr>
                <w:b/>
                <w:sz w:val="18"/>
              </w:rPr>
            </w:pPr>
            <w:r>
              <w:rPr>
                <w:b/>
                <w:sz w:val="18"/>
              </w:rPr>
              <w:t>33</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CAPULHUAC</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19</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29</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CHALCO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22</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6"/>
              <w:jc w:val="left"/>
              <w:rPr>
                <w:sz w:val="18"/>
              </w:rPr>
            </w:pPr>
            <w:r>
              <w:rPr>
                <w:sz w:val="18"/>
              </w:rPr>
              <w:t>13</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36</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CHAPA DE MOTA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28</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39</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CHAPULTEPEC</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15</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26</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CHIAUTLA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0</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right="1"/>
              <w:rPr>
                <w:b/>
                <w:sz w:val="18"/>
              </w:rPr>
            </w:pPr>
            <w:r>
              <w:rPr>
                <w:b/>
                <w:w w:val="99"/>
                <w:sz w:val="18"/>
              </w:rPr>
              <w:t>0</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CHICOLOAPAN</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33</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6"/>
              <w:jc w:val="left"/>
              <w:rPr>
                <w:sz w:val="18"/>
              </w:rPr>
            </w:pPr>
            <w:r>
              <w:rPr>
                <w:sz w:val="18"/>
              </w:rPr>
              <w:t>13</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46</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CHICONCUAC</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24</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35</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CHIMALHUACAN</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0</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right="1"/>
              <w:rPr>
                <w:b/>
                <w:sz w:val="18"/>
              </w:rPr>
            </w:pPr>
            <w:r>
              <w:rPr>
                <w:b/>
                <w:w w:val="99"/>
                <w:sz w:val="18"/>
              </w:rPr>
              <w:t>1</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COACALCO DE BERRIOZABAL</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22</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22</w:t>
            </w:r>
          </w:p>
        </w:tc>
      </w:tr>
      <w:tr>
        <w:trPr>
          <w:trHeight w:val="32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COATEPEC HARINAS</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35</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45</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COCOTITLAN</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0</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right="1"/>
              <w:rPr>
                <w:b/>
                <w:sz w:val="18"/>
              </w:rPr>
            </w:pPr>
            <w:r>
              <w:rPr>
                <w:b/>
                <w:w w:val="99"/>
                <w:sz w:val="18"/>
              </w:rPr>
              <w:t>0</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COYOTEPEC</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16</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17</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CUAUTITLAN</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4"/>
              <w:jc w:val="left"/>
              <w:rPr>
                <w:sz w:val="18"/>
              </w:rPr>
            </w:pPr>
            <w:r>
              <w:rPr>
                <w:sz w:val="18"/>
              </w:rPr>
              <w:t>23</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5" w:right="125"/>
              <w:rPr>
                <w:b/>
                <w:sz w:val="18"/>
              </w:rPr>
            </w:pPr>
            <w:r>
              <w:rPr>
                <w:b/>
                <w:sz w:val="18"/>
              </w:rPr>
              <w:t>24</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CUAUTITLAN IZCALLI</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21</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6"/>
              <w:jc w:val="left"/>
              <w:rPr>
                <w:sz w:val="18"/>
              </w:rPr>
            </w:pPr>
            <w:r>
              <w:rPr>
                <w:sz w:val="18"/>
              </w:rPr>
              <w:t>16</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38</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DONATO GUERRA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4"/>
              <w:jc w:val="left"/>
              <w:rPr>
                <w:sz w:val="18"/>
              </w:rPr>
            </w:pPr>
            <w:r>
              <w:rPr>
                <w:sz w:val="18"/>
              </w:rPr>
              <w:t>21</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5" w:right="125"/>
              <w:rPr>
                <w:b/>
                <w:sz w:val="18"/>
              </w:rPr>
            </w:pPr>
            <w:r>
              <w:rPr>
                <w:b/>
                <w:sz w:val="18"/>
              </w:rPr>
              <w:t>32</w:t>
            </w:r>
          </w:p>
        </w:tc>
      </w:tr>
    </w:tbl>
    <w:p>
      <w:pPr>
        <w:spacing w:after="0" w:line="201" w:lineRule="exact"/>
        <w:rPr>
          <w:sz w:val="18"/>
        </w:rPr>
        <w:sectPr>
          <w:footerReference w:type="default" r:id="rId348"/>
          <w:pgSz w:w="12240" w:h="15840"/>
          <w:pgMar w:footer="975" w:header="0" w:top="1420" w:bottom="1160" w:left="1720" w:right="1720"/>
          <w:pgNumType w:start="39"/>
        </w:sectPr>
      </w:pPr>
    </w:p>
    <w:tbl>
      <w:tblPr>
        <w:tblW w:w="0" w:type="auto"/>
        <w:jc w:val="left"/>
        <w:tblInd w:w="10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602"/>
        <w:gridCol w:w="499"/>
        <w:gridCol w:w="502"/>
        <w:gridCol w:w="499"/>
        <w:gridCol w:w="500"/>
      </w:tblGrid>
      <w:tr>
        <w:trPr>
          <w:trHeight w:val="330" w:hRule="exact"/>
        </w:trPr>
        <w:tc>
          <w:tcPr>
            <w:tcW w:w="6602" w:type="dxa"/>
            <w:gridSpan w:val="5"/>
            <w:shd w:val="clear" w:color="auto" w:fill="A8D08D"/>
          </w:tcPr>
          <w:p>
            <w:pPr>
              <w:pStyle w:val="TableParagraph"/>
              <w:spacing w:line="200" w:lineRule="exact"/>
              <w:ind w:left="561"/>
              <w:jc w:val="left"/>
              <w:rPr>
                <w:b/>
                <w:sz w:val="18"/>
              </w:rPr>
            </w:pPr>
            <w:r>
              <w:rPr>
                <w:b/>
                <w:sz w:val="18"/>
              </w:rPr>
              <w:t>Anexo 19. Municipios que publican organigrama (Continuación)</w:t>
            </w:r>
          </w:p>
        </w:tc>
      </w:tr>
      <w:tr>
        <w:trPr>
          <w:trHeight w:val="1454" w:hRule="exact"/>
        </w:trPr>
        <w:tc>
          <w:tcPr>
            <w:tcW w:w="4602" w:type="dxa"/>
            <w:tcBorders>
              <w:bottom w:val="single" w:sz="4" w:space="0" w:color="000000"/>
              <w:right w:val="single" w:sz="4" w:space="0" w:color="000000"/>
            </w:tcBorders>
            <w:shd w:val="clear" w:color="auto" w:fill="A8D08D"/>
          </w:tcPr>
          <w:p>
            <w:pPr>
              <w:pStyle w:val="TableParagraph"/>
              <w:jc w:val="left"/>
              <w:rPr>
                <w:sz w:val="18"/>
              </w:rPr>
            </w:pPr>
          </w:p>
          <w:p>
            <w:pPr>
              <w:pStyle w:val="TableParagraph"/>
              <w:jc w:val="left"/>
              <w:rPr>
                <w:sz w:val="18"/>
              </w:rPr>
            </w:pPr>
          </w:p>
          <w:p>
            <w:pPr>
              <w:pStyle w:val="TableParagraph"/>
              <w:spacing w:before="7"/>
              <w:jc w:val="left"/>
              <w:rPr>
                <w:sz w:val="15"/>
              </w:rPr>
            </w:pPr>
          </w:p>
          <w:p>
            <w:pPr>
              <w:pStyle w:val="TableParagraph"/>
              <w:ind w:left="1853" w:right="1853"/>
              <w:rPr>
                <w:b/>
                <w:sz w:val="18"/>
              </w:rPr>
            </w:pPr>
            <w:r>
              <w:rPr>
                <w:b/>
                <w:sz w:val="18"/>
              </w:rPr>
              <w:t>Municipio</w:t>
            </w:r>
          </w:p>
        </w:tc>
        <w:tc>
          <w:tcPr>
            <w:tcW w:w="499" w:type="dxa"/>
            <w:tcBorders>
              <w:left w:val="single" w:sz="4" w:space="0" w:color="000000"/>
              <w:bottom w:val="single" w:sz="4" w:space="0" w:color="000000"/>
              <w:right w:val="single" w:sz="4" w:space="0" w:color="000000"/>
            </w:tcBorders>
            <w:shd w:val="clear" w:color="auto" w:fill="A8D08D"/>
            <w:textDirection w:val="btLr"/>
          </w:tcPr>
          <w:p>
            <w:pPr>
              <w:pStyle w:val="TableParagraph"/>
              <w:spacing w:before="9"/>
              <w:jc w:val="left"/>
              <w:rPr>
                <w:sz w:val="15"/>
              </w:rPr>
            </w:pPr>
          </w:p>
          <w:p>
            <w:pPr>
              <w:pStyle w:val="TableParagraph"/>
              <w:ind w:left="221" w:right="-20"/>
              <w:jc w:val="left"/>
              <w:rPr>
                <w:b/>
                <w:sz w:val="18"/>
              </w:rPr>
            </w:pPr>
            <w:r>
              <w:rPr>
                <w:b/>
                <w:w w:val="99"/>
                <w:sz w:val="18"/>
              </w:rPr>
              <w:t>Dep</w:t>
            </w:r>
            <w:r>
              <w:rPr>
                <w:b/>
                <w:w w:val="99"/>
                <w:sz w:val="18"/>
              </w:rPr>
              <w:t>e</w:t>
            </w:r>
            <w:r>
              <w:rPr>
                <w:b/>
                <w:w w:val="100"/>
                <w:sz w:val="18"/>
              </w:rPr>
              <w:t>nd</w:t>
            </w:r>
            <w:r>
              <w:rPr>
                <w:b/>
                <w:w w:val="99"/>
                <w:sz w:val="18"/>
              </w:rPr>
              <w:t>e</w:t>
            </w:r>
            <w:r>
              <w:rPr>
                <w:b/>
                <w:spacing w:val="-2"/>
                <w:w w:val="100"/>
                <w:sz w:val="18"/>
              </w:rPr>
              <w:t>n</w:t>
            </w:r>
            <w:r>
              <w:rPr>
                <w:b/>
                <w:w w:val="99"/>
                <w:sz w:val="18"/>
              </w:rPr>
              <w:t>c</w:t>
            </w:r>
            <w:r>
              <w:rPr>
                <w:b/>
                <w:w w:val="100"/>
                <w:sz w:val="18"/>
              </w:rPr>
              <w:t>ia</w:t>
            </w:r>
            <w:r>
              <w:rPr>
                <w:b/>
                <w:w w:val="99"/>
                <w:sz w:val="18"/>
              </w:rPr>
              <w:t>s</w:t>
            </w:r>
          </w:p>
        </w:tc>
        <w:tc>
          <w:tcPr>
            <w:tcW w:w="502" w:type="dxa"/>
            <w:tcBorders>
              <w:left w:val="single" w:sz="4" w:space="0" w:color="000000"/>
              <w:bottom w:val="single" w:sz="4" w:space="0" w:color="000000"/>
              <w:right w:val="single" w:sz="4" w:space="0" w:color="000000"/>
            </w:tcBorders>
            <w:shd w:val="clear" w:color="auto" w:fill="A8D08D"/>
            <w:textDirection w:val="btLr"/>
          </w:tcPr>
          <w:p>
            <w:pPr>
              <w:pStyle w:val="TableParagraph"/>
              <w:spacing w:before="9"/>
              <w:jc w:val="left"/>
              <w:rPr>
                <w:sz w:val="15"/>
              </w:rPr>
            </w:pPr>
          </w:p>
          <w:p>
            <w:pPr>
              <w:pStyle w:val="TableParagraph"/>
              <w:ind w:left="612" w:right="-23"/>
              <w:jc w:val="left"/>
              <w:rPr>
                <w:b/>
                <w:sz w:val="18"/>
              </w:rPr>
            </w:pPr>
            <w:r>
              <w:rPr>
                <w:b/>
                <w:w w:val="99"/>
                <w:sz w:val="18"/>
              </w:rPr>
              <w:t>Reg</w:t>
            </w:r>
            <w:r>
              <w:rPr>
                <w:b/>
                <w:w w:val="100"/>
                <w:sz w:val="18"/>
              </w:rPr>
              <w:t>id</w:t>
            </w:r>
            <w:r>
              <w:rPr>
                <w:b/>
                <w:sz w:val="18"/>
              </w:rPr>
              <w:t>uría</w:t>
            </w:r>
          </w:p>
        </w:tc>
        <w:tc>
          <w:tcPr>
            <w:tcW w:w="499" w:type="dxa"/>
            <w:tcBorders>
              <w:left w:val="single" w:sz="4" w:space="0" w:color="000000"/>
              <w:bottom w:val="single" w:sz="4" w:space="0" w:color="000000"/>
              <w:right w:val="single" w:sz="4" w:space="0" w:color="000000"/>
            </w:tcBorders>
            <w:shd w:val="clear" w:color="auto" w:fill="A8D08D"/>
            <w:textDirection w:val="btLr"/>
          </w:tcPr>
          <w:p>
            <w:pPr>
              <w:pStyle w:val="TableParagraph"/>
              <w:spacing w:before="6"/>
              <w:jc w:val="left"/>
              <w:rPr>
                <w:sz w:val="15"/>
              </w:rPr>
            </w:pPr>
          </w:p>
          <w:p>
            <w:pPr>
              <w:pStyle w:val="TableParagraph"/>
              <w:ind w:left="192" w:right="-21"/>
              <w:jc w:val="left"/>
              <w:rPr>
                <w:b/>
                <w:sz w:val="18"/>
              </w:rPr>
            </w:pPr>
            <w:r>
              <w:rPr>
                <w:b/>
                <w:w w:val="99"/>
                <w:sz w:val="18"/>
              </w:rPr>
              <w:t>Rem</w:t>
            </w:r>
            <w:r>
              <w:rPr>
                <w:b/>
                <w:w w:val="100"/>
                <w:sz w:val="18"/>
              </w:rPr>
              <w:t>un</w:t>
            </w:r>
            <w:r>
              <w:rPr>
                <w:b/>
                <w:w w:val="99"/>
                <w:sz w:val="18"/>
              </w:rPr>
              <w:t>era</w:t>
            </w:r>
            <w:r>
              <w:rPr>
                <w:b/>
                <w:spacing w:val="-2"/>
                <w:w w:val="99"/>
                <w:sz w:val="18"/>
              </w:rPr>
              <w:t>c</w:t>
            </w:r>
            <w:r>
              <w:rPr>
                <w:b/>
                <w:w w:val="100"/>
                <w:sz w:val="18"/>
              </w:rPr>
              <w:t>ión</w:t>
            </w:r>
          </w:p>
        </w:tc>
        <w:tc>
          <w:tcPr>
            <w:tcW w:w="500" w:type="dxa"/>
            <w:tcBorders>
              <w:left w:val="single" w:sz="4" w:space="0" w:color="000000"/>
              <w:bottom w:val="single" w:sz="4" w:space="0" w:color="000000"/>
            </w:tcBorders>
            <w:shd w:val="clear" w:color="auto" w:fill="A8D08D"/>
            <w:textDirection w:val="btLr"/>
          </w:tcPr>
          <w:p>
            <w:pPr>
              <w:pStyle w:val="TableParagraph"/>
              <w:spacing w:before="9"/>
              <w:jc w:val="left"/>
              <w:rPr>
                <w:sz w:val="15"/>
              </w:rPr>
            </w:pPr>
          </w:p>
          <w:p>
            <w:pPr>
              <w:pStyle w:val="TableParagraph"/>
              <w:ind w:right="-5"/>
              <w:jc w:val="right"/>
              <w:rPr>
                <w:b/>
                <w:sz w:val="18"/>
              </w:rPr>
            </w:pPr>
            <w:r>
              <w:rPr>
                <w:b/>
                <w:w w:val="100"/>
                <w:sz w:val="18"/>
              </w:rPr>
              <w:t>To</w:t>
            </w:r>
            <w:r>
              <w:rPr>
                <w:b/>
                <w:w w:val="99"/>
                <w:sz w:val="18"/>
              </w:rPr>
              <w:t>ta</w:t>
            </w:r>
            <w:r>
              <w:rPr>
                <w:b/>
                <w:w w:val="100"/>
                <w:sz w:val="18"/>
              </w:rPr>
              <w:t>l</w:t>
            </w:r>
          </w:p>
        </w:tc>
      </w:tr>
      <w:tr>
        <w:trPr>
          <w:trHeight w:val="31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5"/>
              <w:ind w:left="67"/>
              <w:jc w:val="left"/>
              <w:rPr>
                <w:b/>
                <w:sz w:val="18"/>
              </w:rPr>
            </w:pPr>
            <w:r>
              <w:rPr>
                <w:b/>
                <w:sz w:val="18"/>
              </w:rPr>
              <w:t>ECATEPEC DE MORELOS</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30"/>
              <w:ind w:left="144"/>
              <w:jc w:val="left"/>
              <w:rPr>
                <w:sz w:val="18"/>
              </w:rPr>
            </w:pPr>
            <w:r>
              <w:rPr>
                <w:sz w:val="18"/>
              </w:rPr>
              <w:t>25</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30"/>
              <w:ind w:left="146"/>
              <w:jc w:val="left"/>
              <w:rPr>
                <w:sz w:val="18"/>
              </w:rPr>
            </w:pPr>
            <w:r>
              <w:rPr>
                <w:sz w:val="18"/>
              </w:rPr>
              <w:t>17</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30"/>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5"/>
              <w:ind w:left="125" w:right="125"/>
              <w:rPr>
                <w:b/>
                <w:sz w:val="18"/>
              </w:rPr>
            </w:pPr>
            <w:r>
              <w:rPr>
                <w:b/>
                <w:sz w:val="18"/>
              </w:rPr>
              <w:t>43</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2"/>
              <w:ind w:left="67"/>
              <w:jc w:val="left"/>
              <w:rPr>
                <w:b/>
                <w:sz w:val="18"/>
              </w:rPr>
            </w:pPr>
            <w:r>
              <w:rPr>
                <w:b/>
                <w:sz w:val="18"/>
              </w:rPr>
              <w:t>ECATZINGO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94"/>
              <w:jc w:val="left"/>
              <w:rPr>
                <w:sz w:val="18"/>
              </w:rPr>
            </w:pPr>
            <w:r>
              <w:rPr>
                <w:w w:val="99"/>
                <w:sz w:val="18"/>
              </w:rPr>
              <w:t>0</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27"/>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2"/>
              <w:ind w:right="1"/>
              <w:rPr>
                <w:b/>
                <w:sz w:val="18"/>
              </w:rPr>
            </w:pPr>
            <w:r>
              <w:rPr>
                <w:b/>
                <w:w w:val="99"/>
                <w:sz w:val="18"/>
              </w:rPr>
              <w:t>0</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2"/>
              <w:ind w:left="67"/>
              <w:jc w:val="left"/>
              <w:rPr>
                <w:b/>
                <w:sz w:val="18"/>
              </w:rPr>
            </w:pPr>
            <w:r>
              <w:rPr>
                <w:b/>
                <w:sz w:val="18"/>
              </w:rPr>
              <w:t>EL ORO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44"/>
              <w:jc w:val="left"/>
              <w:rPr>
                <w:sz w:val="18"/>
              </w:rPr>
            </w:pPr>
            <w:r>
              <w:rPr>
                <w:sz w:val="18"/>
              </w:rPr>
              <w:t>16</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27"/>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2"/>
              <w:ind w:left="125" w:right="125"/>
              <w:rPr>
                <w:b/>
                <w:sz w:val="18"/>
              </w:rPr>
            </w:pPr>
            <w:r>
              <w:rPr>
                <w:b/>
                <w:sz w:val="18"/>
              </w:rPr>
              <w:t>27</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2"/>
              <w:ind w:left="67"/>
              <w:jc w:val="left"/>
              <w:rPr>
                <w:b/>
                <w:sz w:val="18"/>
              </w:rPr>
            </w:pPr>
            <w:r>
              <w:rPr>
                <w:b/>
                <w:sz w:val="18"/>
              </w:rPr>
              <w:t>HUEHUETOCA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44"/>
              <w:jc w:val="left"/>
              <w:rPr>
                <w:sz w:val="18"/>
              </w:rPr>
            </w:pPr>
            <w:r>
              <w:rPr>
                <w:sz w:val="18"/>
              </w:rPr>
              <w:t>52</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27"/>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2"/>
              <w:ind w:left="125" w:right="125"/>
              <w:rPr>
                <w:b/>
                <w:sz w:val="18"/>
              </w:rPr>
            </w:pPr>
            <w:r>
              <w:rPr>
                <w:b/>
                <w:sz w:val="18"/>
              </w:rPr>
              <w:t>52</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2"/>
              <w:ind w:left="67"/>
              <w:jc w:val="left"/>
              <w:rPr>
                <w:b/>
                <w:sz w:val="18"/>
              </w:rPr>
            </w:pPr>
            <w:r>
              <w:rPr>
                <w:b/>
                <w:sz w:val="18"/>
              </w:rPr>
              <w:t>HUEYPOXTLA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94"/>
              <w:jc w:val="left"/>
              <w:rPr>
                <w:sz w:val="18"/>
              </w:rPr>
            </w:pPr>
            <w:r>
              <w:rPr>
                <w:w w:val="99"/>
                <w:sz w:val="18"/>
              </w:rPr>
              <w:t>0</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27"/>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2"/>
              <w:ind w:right="1"/>
              <w:rPr>
                <w:b/>
                <w:sz w:val="18"/>
              </w:rPr>
            </w:pPr>
            <w:r>
              <w:rPr>
                <w:b/>
                <w:w w:val="99"/>
                <w:sz w:val="18"/>
              </w:rPr>
              <w:t>0</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2"/>
              <w:ind w:left="67"/>
              <w:jc w:val="left"/>
              <w:rPr>
                <w:b/>
                <w:sz w:val="18"/>
              </w:rPr>
            </w:pPr>
            <w:r>
              <w:rPr>
                <w:b/>
                <w:sz w:val="18"/>
              </w:rPr>
              <w:t>HUIXQUILUCAN</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44"/>
              <w:jc w:val="left"/>
              <w:rPr>
                <w:sz w:val="18"/>
              </w:rPr>
            </w:pPr>
            <w:r>
              <w:rPr>
                <w:sz w:val="18"/>
              </w:rPr>
              <w:t>20</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27"/>
              <w:ind w:left="146"/>
              <w:jc w:val="left"/>
              <w:rPr>
                <w:sz w:val="18"/>
              </w:rPr>
            </w:pPr>
            <w:r>
              <w:rPr>
                <w:sz w:val="18"/>
              </w:rPr>
              <w:t>13</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2"/>
              <w:ind w:left="125" w:right="125"/>
              <w:rPr>
                <w:b/>
                <w:sz w:val="18"/>
              </w:rPr>
            </w:pPr>
            <w:r>
              <w:rPr>
                <w:b/>
                <w:sz w:val="18"/>
              </w:rPr>
              <w:t>34</w:t>
            </w:r>
          </w:p>
        </w:tc>
      </w:tr>
      <w:tr>
        <w:trPr>
          <w:trHeight w:val="313"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5"/>
              <w:ind w:left="67"/>
              <w:jc w:val="left"/>
              <w:rPr>
                <w:b/>
                <w:sz w:val="18"/>
              </w:rPr>
            </w:pPr>
            <w:r>
              <w:rPr>
                <w:b/>
                <w:sz w:val="18"/>
              </w:rPr>
              <w:t>ISIDRO FABELA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30"/>
              <w:ind w:left="194"/>
              <w:jc w:val="left"/>
              <w:rPr>
                <w:sz w:val="18"/>
              </w:rPr>
            </w:pPr>
            <w:r>
              <w:rPr>
                <w:w w:val="99"/>
                <w:sz w:val="18"/>
              </w:rPr>
              <w:t>0</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30"/>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30"/>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5"/>
              <w:ind w:right="1"/>
              <w:rPr>
                <w:b/>
                <w:sz w:val="18"/>
              </w:rPr>
            </w:pPr>
            <w:r>
              <w:rPr>
                <w:b/>
                <w:w w:val="99"/>
                <w:sz w:val="18"/>
              </w:rPr>
              <w:t>0</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2"/>
              <w:ind w:left="67"/>
              <w:jc w:val="left"/>
              <w:rPr>
                <w:b/>
                <w:sz w:val="18"/>
              </w:rPr>
            </w:pPr>
            <w:r>
              <w:rPr>
                <w:b/>
                <w:sz w:val="18"/>
              </w:rPr>
              <w:t>IXTAPALUCA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44"/>
              <w:jc w:val="left"/>
              <w:rPr>
                <w:sz w:val="18"/>
              </w:rPr>
            </w:pPr>
            <w:r>
              <w:rPr>
                <w:sz w:val="18"/>
              </w:rPr>
              <w:t>17</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27"/>
              <w:ind w:left="146"/>
              <w:jc w:val="left"/>
              <w:rPr>
                <w:sz w:val="18"/>
              </w:rPr>
            </w:pPr>
            <w:r>
              <w:rPr>
                <w:sz w:val="18"/>
              </w:rPr>
              <w:t>13</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2"/>
              <w:ind w:left="125" w:right="125"/>
              <w:rPr>
                <w:b/>
                <w:sz w:val="18"/>
              </w:rPr>
            </w:pPr>
            <w:r>
              <w:rPr>
                <w:b/>
                <w:sz w:val="18"/>
              </w:rPr>
              <w:t>31</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2"/>
              <w:ind w:left="67"/>
              <w:jc w:val="left"/>
              <w:rPr>
                <w:b/>
                <w:sz w:val="18"/>
              </w:rPr>
            </w:pPr>
            <w:r>
              <w:rPr>
                <w:b/>
                <w:sz w:val="18"/>
              </w:rPr>
              <w:t>IXTAPAN DE LA SAL</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44"/>
              <w:jc w:val="left"/>
              <w:rPr>
                <w:sz w:val="18"/>
              </w:rPr>
            </w:pPr>
            <w:r>
              <w:rPr>
                <w:sz w:val="18"/>
              </w:rPr>
              <w:t>29</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27"/>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2"/>
              <w:ind w:left="125" w:right="125"/>
              <w:rPr>
                <w:b/>
                <w:sz w:val="18"/>
              </w:rPr>
            </w:pPr>
            <w:r>
              <w:rPr>
                <w:b/>
                <w:sz w:val="18"/>
              </w:rPr>
              <w:t>40</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2"/>
              <w:ind w:left="67"/>
              <w:jc w:val="left"/>
              <w:rPr>
                <w:b/>
                <w:sz w:val="18"/>
              </w:rPr>
            </w:pPr>
            <w:r>
              <w:rPr>
                <w:b/>
                <w:sz w:val="18"/>
              </w:rPr>
              <w:t>IXTAPAN DEL ORO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44"/>
              <w:jc w:val="left"/>
              <w:rPr>
                <w:sz w:val="18"/>
              </w:rPr>
            </w:pPr>
            <w:r>
              <w:rPr>
                <w:sz w:val="18"/>
              </w:rPr>
              <w:t>17</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27"/>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2"/>
              <w:ind w:left="125" w:right="125"/>
              <w:rPr>
                <w:b/>
                <w:sz w:val="18"/>
              </w:rPr>
            </w:pPr>
            <w:r>
              <w:rPr>
                <w:b/>
                <w:sz w:val="18"/>
              </w:rPr>
              <w:t>27</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2"/>
              <w:ind w:left="67"/>
              <w:jc w:val="left"/>
              <w:rPr>
                <w:b/>
                <w:sz w:val="18"/>
              </w:rPr>
            </w:pPr>
            <w:r>
              <w:rPr>
                <w:b/>
                <w:sz w:val="18"/>
              </w:rPr>
              <w:t>IXTLAHUACA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44"/>
              <w:jc w:val="left"/>
              <w:rPr>
                <w:sz w:val="18"/>
              </w:rPr>
            </w:pPr>
            <w:r>
              <w:rPr>
                <w:sz w:val="18"/>
              </w:rPr>
              <w:t>30</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27"/>
              <w:ind w:left="196"/>
              <w:jc w:val="left"/>
              <w:rPr>
                <w:sz w:val="18"/>
              </w:rPr>
            </w:pPr>
            <w:r>
              <w:rPr>
                <w:w w:val="99"/>
                <w:sz w:val="18"/>
              </w:rPr>
              <w:t>8</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2"/>
              <w:ind w:left="125" w:right="125"/>
              <w:rPr>
                <w:b/>
                <w:sz w:val="18"/>
              </w:rPr>
            </w:pPr>
            <w:r>
              <w:rPr>
                <w:b/>
                <w:sz w:val="18"/>
              </w:rPr>
              <w:t>39</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2"/>
              <w:ind w:left="67"/>
              <w:jc w:val="left"/>
              <w:rPr>
                <w:b/>
                <w:sz w:val="18"/>
              </w:rPr>
            </w:pPr>
            <w:r>
              <w:rPr>
                <w:b/>
                <w:sz w:val="18"/>
              </w:rPr>
              <w:t>JALTENCO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44"/>
              <w:jc w:val="left"/>
              <w:rPr>
                <w:sz w:val="18"/>
              </w:rPr>
            </w:pPr>
            <w:r>
              <w:rPr>
                <w:sz w:val="18"/>
              </w:rPr>
              <w:t>19</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27"/>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2"/>
              <w:ind w:left="125" w:right="125"/>
              <w:rPr>
                <w:b/>
                <w:sz w:val="18"/>
              </w:rPr>
            </w:pPr>
            <w:r>
              <w:rPr>
                <w:b/>
                <w:sz w:val="18"/>
              </w:rPr>
              <w:t>19</w:t>
            </w:r>
          </w:p>
        </w:tc>
      </w:tr>
      <w:tr>
        <w:trPr>
          <w:trHeight w:val="31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5"/>
              <w:ind w:left="67"/>
              <w:jc w:val="left"/>
              <w:rPr>
                <w:b/>
                <w:sz w:val="18"/>
              </w:rPr>
            </w:pPr>
            <w:r>
              <w:rPr>
                <w:b/>
                <w:sz w:val="18"/>
              </w:rPr>
              <w:t>JILOTEPEC</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30"/>
              <w:ind w:left="144"/>
              <w:jc w:val="left"/>
              <w:rPr>
                <w:sz w:val="18"/>
              </w:rPr>
            </w:pPr>
            <w:r>
              <w:rPr>
                <w:sz w:val="18"/>
              </w:rPr>
              <w:t>23</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30"/>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30"/>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5"/>
              <w:ind w:left="125" w:right="125"/>
              <w:rPr>
                <w:b/>
                <w:sz w:val="18"/>
              </w:rPr>
            </w:pPr>
            <w:r>
              <w:rPr>
                <w:b/>
                <w:sz w:val="18"/>
              </w:rPr>
              <w:t>34</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2"/>
              <w:ind w:left="67"/>
              <w:jc w:val="left"/>
              <w:rPr>
                <w:b/>
                <w:sz w:val="18"/>
              </w:rPr>
            </w:pPr>
            <w:r>
              <w:rPr>
                <w:b/>
                <w:sz w:val="18"/>
              </w:rPr>
              <w:t>JILOTZINGO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44"/>
              <w:jc w:val="left"/>
              <w:rPr>
                <w:sz w:val="18"/>
              </w:rPr>
            </w:pPr>
            <w:r>
              <w:rPr>
                <w:sz w:val="18"/>
              </w:rPr>
              <w:t>27</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27"/>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2"/>
              <w:ind w:left="125" w:right="125"/>
              <w:rPr>
                <w:b/>
                <w:sz w:val="18"/>
              </w:rPr>
            </w:pPr>
            <w:r>
              <w:rPr>
                <w:b/>
                <w:sz w:val="18"/>
              </w:rPr>
              <w:t>37</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2"/>
              <w:ind w:left="67"/>
              <w:jc w:val="left"/>
              <w:rPr>
                <w:b/>
                <w:sz w:val="18"/>
              </w:rPr>
            </w:pPr>
            <w:r>
              <w:rPr>
                <w:b/>
                <w:sz w:val="18"/>
              </w:rPr>
              <w:t>JIQUIPILCO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44"/>
              <w:jc w:val="left"/>
              <w:rPr>
                <w:sz w:val="18"/>
              </w:rPr>
            </w:pPr>
            <w:r>
              <w:rPr>
                <w:sz w:val="18"/>
              </w:rPr>
              <w:t>11</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27"/>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2"/>
              <w:ind w:left="125" w:right="125"/>
              <w:rPr>
                <w:b/>
                <w:sz w:val="18"/>
              </w:rPr>
            </w:pPr>
            <w:r>
              <w:rPr>
                <w:b/>
                <w:sz w:val="18"/>
              </w:rPr>
              <w:t>11</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2"/>
              <w:ind w:left="67"/>
              <w:jc w:val="left"/>
              <w:rPr>
                <w:b/>
                <w:sz w:val="18"/>
              </w:rPr>
            </w:pPr>
            <w:r>
              <w:rPr>
                <w:b/>
                <w:sz w:val="18"/>
              </w:rPr>
              <w:t>JOCOTITLAN</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44"/>
              <w:jc w:val="left"/>
              <w:rPr>
                <w:sz w:val="18"/>
              </w:rPr>
            </w:pPr>
            <w:r>
              <w:rPr>
                <w:sz w:val="18"/>
              </w:rPr>
              <w:t>24</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27"/>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2"/>
              <w:ind w:left="125" w:right="125"/>
              <w:rPr>
                <w:b/>
                <w:sz w:val="18"/>
              </w:rPr>
            </w:pPr>
            <w:r>
              <w:rPr>
                <w:b/>
                <w:sz w:val="18"/>
              </w:rPr>
              <w:t>35</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2"/>
              <w:ind w:left="67"/>
              <w:jc w:val="left"/>
              <w:rPr>
                <w:b/>
                <w:sz w:val="18"/>
              </w:rPr>
            </w:pPr>
            <w:r>
              <w:rPr>
                <w:b/>
                <w:sz w:val="18"/>
              </w:rPr>
              <w:t>JOQUICINGO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44"/>
              <w:jc w:val="left"/>
              <w:rPr>
                <w:sz w:val="18"/>
              </w:rPr>
            </w:pPr>
            <w:r>
              <w:rPr>
                <w:sz w:val="18"/>
              </w:rPr>
              <w:t>21</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27"/>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2"/>
              <w:ind w:left="125" w:right="125"/>
              <w:rPr>
                <w:b/>
                <w:sz w:val="18"/>
              </w:rPr>
            </w:pPr>
            <w:r>
              <w:rPr>
                <w:b/>
                <w:sz w:val="18"/>
              </w:rPr>
              <w:t>32</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3"/>
              <w:ind w:left="67"/>
              <w:jc w:val="left"/>
              <w:rPr>
                <w:b/>
                <w:sz w:val="18"/>
              </w:rPr>
            </w:pPr>
            <w:r>
              <w:rPr>
                <w:b/>
                <w:sz w:val="18"/>
              </w:rPr>
              <w:t>JUCHITEPEC</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8"/>
              <w:ind w:left="144"/>
              <w:jc w:val="left"/>
              <w:rPr>
                <w:sz w:val="18"/>
              </w:rPr>
            </w:pPr>
            <w:r>
              <w:rPr>
                <w:sz w:val="18"/>
              </w:rPr>
              <w:t>25</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28"/>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8"/>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3"/>
              <w:ind w:left="125" w:right="125"/>
              <w:rPr>
                <w:b/>
                <w:sz w:val="18"/>
              </w:rPr>
            </w:pPr>
            <w:r>
              <w:rPr>
                <w:b/>
                <w:sz w:val="18"/>
              </w:rPr>
              <w:t>36</w:t>
            </w:r>
          </w:p>
        </w:tc>
      </w:tr>
      <w:tr>
        <w:trPr>
          <w:trHeight w:val="31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5"/>
              <w:ind w:left="67"/>
              <w:jc w:val="left"/>
              <w:rPr>
                <w:b/>
                <w:sz w:val="18"/>
              </w:rPr>
            </w:pPr>
            <w:r>
              <w:rPr>
                <w:b/>
                <w:sz w:val="18"/>
              </w:rPr>
              <w:t>LA PAZ</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30"/>
              <w:ind w:left="144"/>
              <w:jc w:val="left"/>
              <w:rPr>
                <w:sz w:val="18"/>
              </w:rPr>
            </w:pPr>
            <w:r>
              <w:rPr>
                <w:sz w:val="18"/>
              </w:rPr>
              <w:t>21</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30"/>
              <w:ind w:left="146"/>
              <w:jc w:val="left"/>
              <w:rPr>
                <w:sz w:val="18"/>
              </w:rPr>
            </w:pPr>
            <w:r>
              <w:rPr>
                <w:sz w:val="18"/>
              </w:rPr>
              <w:t>13</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30"/>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5"/>
              <w:ind w:left="125" w:right="125"/>
              <w:rPr>
                <w:b/>
                <w:sz w:val="18"/>
              </w:rPr>
            </w:pPr>
            <w:r>
              <w:rPr>
                <w:b/>
                <w:sz w:val="18"/>
              </w:rPr>
              <w:t>35</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2"/>
              <w:ind w:left="67"/>
              <w:jc w:val="left"/>
              <w:rPr>
                <w:b/>
                <w:sz w:val="18"/>
              </w:rPr>
            </w:pPr>
            <w:r>
              <w:rPr>
                <w:b/>
                <w:sz w:val="18"/>
              </w:rPr>
              <w:t>LERMA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44"/>
              <w:jc w:val="left"/>
              <w:rPr>
                <w:sz w:val="18"/>
              </w:rPr>
            </w:pPr>
            <w:r>
              <w:rPr>
                <w:sz w:val="18"/>
              </w:rPr>
              <w:t>29</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27"/>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2"/>
              <w:ind w:left="125" w:right="125"/>
              <w:rPr>
                <w:b/>
                <w:sz w:val="18"/>
              </w:rPr>
            </w:pPr>
            <w:r>
              <w:rPr>
                <w:b/>
                <w:sz w:val="18"/>
              </w:rPr>
              <w:t>40</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2"/>
              <w:ind w:left="67"/>
              <w:jc w:val="left"/>
              <w:rPr>
                <w:b/>
                <w:sz w:val="18"/>
              </w:rPr>
            </w:pPr>
            <w:r>
              <w:rPr>
                <w:b/>
                <w:sz w:val="18"/>
              </w:rPr>
              <w:t>LUVIANOS</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44"/>
              <w:jc w:val="left"/>
              <w:rPr>
                <w:sz w:val="18"/>
              </w:rPr>
            </w:pPr>
            <w:r>
              <w:rPr>
                <w:sz w:val="18"/>
              </w:rPr>
              <w:t>25</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27"/>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2"/>
              <w:ind w:left="125" w:right="125"/>
              <w:rPr>
                <w:b/>
                <w:sz w:val="18"/>
              </w:rPr>
            </w:pPr>
            <w:r>
              <w:rPr>
                <w:b/>
                <w:sz w:val="18"/>
              </w:rPr>
              <w:t>36</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2"/>
              <w:ind w:left="67"/>
              <w:jc w:val="left"/>
              <w:rPr>
                <w:b/>
                <w:sz w:val="18"/>
              </w:rPr>
            </w:pPr>
            <w:r>
              <w:rPr>
                <w:b/>
                <w:sz w:val="18"/>
              </w:rPr>
              <w:t>MALINALCO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44"/>
              <w:jc w:val="left"/>
              <w:rPr>
                <w:sz w:val="18"/>
              </w:rPr>
            </w:pPr>
            <w:r>
              <w:rPr>
                <w:sz w:val="18"/>
              </w:rPr>
              <w:t>17</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27"/>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2"/>
              <w:ind w:left="125" w:right="125"/>
              <w:rPr>
                <w:b/>
                <w:sz w:val="18"/>
              </w:rPr>
            </w:pPr>
            <w:r>
              <w:rPr>
                <w:b/>
                <w:sz w:val="18"/>
              </w:rPr>
              <w:t>28</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2"/>
              <w:ind w:left="67"/>
              <w:jc w:val="left"/>
              <w:rPr>
                <w:b/>
                <w:sz w:val="18"/>
              </w:rPr>
            </w:pPr>
            <w:r>
              <w:rPr>
                <w:b/>
                <w:sz w:val="18"/>
              </w:rPr>
              <w:t>MELCHOR OCAMPO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44"/>
              <w:jc w:val="left"/>
              <w:rPr>
                <w:sz w:val="18"/>
              </w:rPr>
            </w:pPr>
            <w:r>
              <w:rPr>
                <w:sz w:val="18"/>
              </w:rPr>
              <w:t>15</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27"/>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2"/>
              <w:ind w:left="125" w:right="125"/>
              <w:rPr>
                <w:b/>
                <w:sz w:val="18"/>
              </w:rPr>
            </w:pPr>
            <w:r>
              <w:rPr>
                <w:b/>
                <w:sz w:val="18"/>
              </w:rPr>
              <w:t>15</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2"/>
              <w:ind w:left="67"/>
              <w:jc w:val="left"/>
              <w:rPr>
                <w:b/>
                <w:sz w:val="18"/>
              </w:rPr>
            </w:pPr>
            <w:r>
              <w:rPr>
                <w:b/>
                <w:sz w:val="18"/>
              </w:rPr>
              <w:t>METEPEC</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44"/>
              <w:jc w:val="left"/>
              <w:rPr>
                <w:sz w:val="18"/>
              </w:rPr>
            </w:pPr>
            <w:r>
              <w:rPr>
                <w:sz w:val="18"/>
              </w:rPr>
              <w:t>27</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27"/>
              <w:ind w:left="146"/>
              <w:jc w:val="left"/>
              <w:rPr>
                <w:sz w:val="18"/>
              </w:rPr>
            </w:pPr>
            <w:r>
              <w:rPr>
                <w:sz w:val="18"/>
              </w:rPr>
              <w:t>13</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2"/>
              <w:ind w:left="125" w:right="125"/>
              <w:rPr>
                <w:b/>
                <w:sz w:val="18"/>
              </w:rPr>
            </w:pPr>
            <w:r>
              <w:rPr>
                <w:b/>
                <w:sz w:val="18"/>
              </w:rPr>
              <w:t>41</w:t>
            </w:r>
          </w:p>
        </w:tc>
      </w:tr>
      <w:tr>
        <w:trPr>
          <w:trHeight w:val="31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5"/>
              <w:ind w:left="67"/>
              <w:jc w:val="left"/>
              <w:rPr>
                <w:b/>
                <w:sz w:val="18"/>
              </w:rPr>
            </w:pPr>
            <w:r>
              <w:rPr>
                <w:b/>
                <w:sz w:val="18"/>
              </w:rPr>
              <w:t>MEXICALTCINGO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30"/>
              <w:ind w:left="144"/>
              <w:jc w:val="left"/>
              <w:rPr>
                <w:sz w:val="18"/>
              </w:rPr>
            </w:pPr>
            <w:r>
              <w:rPr>
                <w:sz w:val="18"/>
              </w:rPr>
              <w:t>22</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30"/>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30"/>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5"/>
              <w:ind w:left="125" w:right="125"/>
              <w:rPr>
                <w:b/>
                <w:sz w:val="18"/>
              </w:rPr>
            </w:pPr>
            <w:r>
              <w:rPr>
                <w:b/>
                <w:sz w:val="18"/>
              </w:rPr>
              <w:t>23</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2"/>
              <w:ind w:left="67"/>
              <w:jc w:val="left"/>
              <w:rPr>
                <w:b/>
                <w:sz w:val="18"/>
              </w:rPr>
            </w:pPr>
            <w:r>
              <w:rPr>
                <w:b/>
                <w:sz w:val="18"/>
              </w:rPr>
              <w:t>MORELOS</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44"/>
              <w:jc w:val="left"/>
              <w:rPr>
                <w:sz w:val="18"/>
              </w:rPr>
            </w:pPr>
            <w:r>
              <w:rPr>
                <w:sz w:val="18"/>
              </w:rPr>
              <w:t>17</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27"/>
              <w:ind w:left="196"/>
              <w:jc w:val="left"/>
              <w:rPr>
                <w:sz w:val="18"/>
              </w:rPr>
            </w:pPr>
            <w:r>
              <w:rPr>
                <w:w w:val="99"/>
                <w:sz w:val="18"/>
              </w:rPr>
              <w:t>8</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2"/>
              <w:ind w:left="125" w:right="125"/>
              <w:rPr>
                <w:b/>
                <w:sz w:val="18"/>
              </w:rPr>
            </w:pPr>
            <w:r>
              <w:rPr>
                <w:b/>
                <w:sz w:val="18"/>
              </w:rPr>
              <w:t>25</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2"/>
              <w:ind w:left="67"/>
              <w:jc w:val="left"/>
              <w:rPr>
                <w:b/>
                <w:sz w:val="18"/>
              </w:rPr>
            </w:pPr>
            <w:r>
              <w:rPr>
                <w:b/>
                <w:sz w:val="18"/>
              </w:rPr>
              <w:t>NAUCALPAN DE JUAREZ</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44"/>
              <w:jc w:val="left"/>
              <w:rPr>
                <w:sz w:val="18"/>
              </w:rPr>
            </w:pPr>
            <w:r>
              <w:rPr>
                <w:sz w:val="18"/>
              </w:rPr>
              <w:t>31</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27"/>
              <w:ind w:left="146"/>
              <w:jc w:val="left"/>
              <w:rPr>
                <w:sz w:val="18"/>
              </w:rPr>
            </w:pPr>
            <w:r>
              <w:rPr>
                <w:sz w:val="18"/>
              </w:rPr>
              <w:t>16</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2"/>
              <w:ind w:left="125" w:right="125"/>
              <w:rPr>
                <w:b/>
                <w:sz w:val="18"/>
              </w:rPr>
            </w:pPr>
            <w:r>
              <w:rPr>
                <w:b/>
                <w:sz w:val="18"/>
              </w:rPr>
              <w:t>48</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2"/>
              <w:ind w:left="67"/>
              <w:jc w:val="left"/>
              <w:rPr>
                <w:b/>
                <w:sz w:val="18"/>
              </w:rPr>
            </w:pPr>
            <w:r>
              <w:rPr>
                <w:b/>
                <w:sz w:val="18"/>
              </w:rPr>
              <w:t>NEXTLALPAN</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44"/>
              <w:jc w:val="left"/>
              <w:rPr>
                <w:sz w:val="18"/>
              </w:rPr>
            </w:pPr>
            <w:r>
              <w:rPr>
                <w:sz w:val="18"/>
              </w:rPr>
              <w:t>18</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27"/>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2"/>
              <w:ind w:left="125" w:right="125"/>
              <w:rPr>
                <w:b/>
                <w:sz w:val="18"/>
              </w:rPr>
            </w:pPr>
            <w:r>
              <w:rPr>
                <w:b/>
                <w:sz w:val="18"/>
              </w:rPr>
              <w:t>29</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2"/>
              <w:ind w:left="67"/>
              <w:jc w:val="left"/>
              <w:rPr>
                <w:b/>
                <w:sz w:val="18"/>
              </w:rPr>
            </w:pPr>
            <w:r>
              <w:rPr>
                <w:b/>
                <w:sz w:val="18"/>
              </w:rPr>
              <w:t>NEZAHUALCOYOTL</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44"/>
              <w:jc w:val="left"/>
              <w:rPr>
                <w:sz w:val="18"/>
              </w:rPr>
            </w:pPr>
            <w:r>
              <w:rPr>
                <w:sz w:val="18"/>
              </w:rPr>
              <w:t>26</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27"/>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2"/>
              <w:ind w:left="125" w:right="125"/>
              <w:rPr>
                <w:b/>
                <w:sz w:val="18"/>
              </w:rPr>
            </w:pPr>
            <w:r>
              <w:rPr>
                <w:b/>
                <w:sz w:val="18"/>
              </w:rPr>
              <w:t>27</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2"/>
              <w:ind w:left="67"/>
              <w:jc w:val="left"/>
              <w:rPr>
                <w:b/>
                <w:sz w:val="18"/>
              </w:rPr>
            </w:pPr>
            <w:r>
              <w:rPr>
                <w:b/>
                <w:sz w:val="18"/>
              </w:rPr>
              <w:t>NICOLAS ROMERO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44"/>
              <w:jc w:val="left"/>
              <w:rPr>
                <w:sz w:val="18"/>
              </w:rPr>
            </w:pPr>
            <w:r>
              <w:rPr>
                <w:sz w:val="18"/>
              </w:rPr>
              <w:t>22</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27"/>
              <w:ind w:left="146"/>
              <w:jc w:val="left"/>
              <w:rPr>
                <w:sz w:val="18"/>
              </w:rPr>
            </w:pPr>
            <w:r>
              <w:rPr>
                <w:sz w:val="18"/>
              </w:rPr>
              <w:t>13</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2"/>
              <w:ind w:left="125" w:right="125"/>
              <w:rPr>
                <w:b/>
                <w:sz w:val="18"/>
              </w:rPr>
            </w:pPr>
            <w:r>
              <w:rPr>
                <w:b/>
                <w:sz w:val="18"/>
              </w:rPr>
              <w:t>36</w:t>
            </w:r>
          </w:p>
        </w:tc>
      </w:tr>
      <w:tr>
        <w:trPr>
          <w:trHeight w:val="31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5"/>
              <w:ind w:left="67"/>
              <w:jc w:val="left"/>
              <w:rPr>
                <w:b/>
                <w:sz w:val="18"/>
              </w:rPr>
            </w:pPr>
            <w:r>
              <w:rPr>
                <w:b/>
                <w:sz w:val="18"/>
              </w:rPr>
              <w:t>NOPALTEPEC</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30"/>
              <w:ind w:left="144"/>
              <w:jc w:val="left"/>
              <w:rPr>
                <w:sz w:val="18"/>
              </w:rPr>
            </w:pPr>
            <w:r>
              <w:rPr>
                <w:sz w:val="18"/>
              </w:rPr>
              <w:t>24</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30"/>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30"/>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5"/>
              <w:ind w:left="125" w:right="125"/>
              <w:rPr>
                <w:b/>
                <w:sz w:val="18"/>
              </w:rPr>
            </w:pPr>
            <w:r>
              <w:rPr>
                <w:b/>
                <w:sz w:val="18"/>
              </w:rPr>
              <w:t>24</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2"/>
              <w:ind w:left="67"/>
              <w:jc w:val="left"/>
              <w:rPr>
                <w:b/>
                <w:sz w:val="18"/>
              </w:rPr>
            </w:pPr>
            <w:r>
              <w:rPr>
                <w:b/>
                <w:sz w:val="18"/>
              </w:rPr>
              <w:t>OCOYOACAC</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44"/>
              <w:jc w:val="left"/>
              <w:rPr>
                <w:sz w:val="18"/>
              </w:rPr>
            </w:pPr>
            <w:r>
              <w:rPr>
                <w:sz w:val="18"/>
              </w:rPr>
              <w:t>13</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27"/>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2"/>
              <w:ind w:left="125" w:right="125"/>
              <w:rPr>
                <w:b/>
                <w:sz w:val="18"/>
              </w:rPr>
            </w:pPr>
            <w:r>
              <w:rPr>
                <w:b/>
                <w:sz w:val="18"/>
              </w:rPr>
              <w:t>24</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2"/>
              <w:ind w:left="67"/>
              <w:jc w:val="left"/>
              <w:rPr>
                <w:b/>
                <w:sz w:val="18"/>
              </w:rPr>
            </w:pPr>
            <w:r>
              <w:rPr>
                <w:b/>
                <w:sz w:val="18"/>
              </w:rPr>
              <w:t>OCUILAN</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44"/>
              <w:jc w:val="left"/>
              <w:rPr>
                <w:sz w:val="18"/>
              </w:rPr>
            </w:pPr>
            <w:r>
              <w:rPr>
                <w:sz w:val="18"/>
              </w:rPr>
              <w:t>23</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27"/>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2"/>
              <w:ind w:left="125" w:right="125"/>
              <w:rPr>
                <w:b/>
                <w:sz w:val="18"/>
              </w:rPr>
            </w:pPr>
            <w:r>
              <w:rPr>
                <w:b/>
                <w:sz w:val="18"/>
              </w:rPr>
              <w:t>34</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2"/>
              <w:ind w:left="67"/>
              <w:jc w:val="left"/>
              <w:rPr>
                <w:b/>
                <w:sz w:val="18"/>
              </w:rPr>
            </w:pPr>
            <w:r>
              <w:rPr>
                <w:b/>
                <w:sz w:val="18"/>
              </w:rPr>
              <w:t>OTUMBA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44"/>
              <w:jc w:val="left"/>
              <w:rPr>
                <w:sz w:val="18"/>
              </w:rPr>
            </w:pPr>
            <w:r>
              <w:rPr>
                <w:sz w:val="18"/>
              </w:rPr>
              <w:t>24</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27"/>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2"/>
              <w:ind w:left="125" w:right="125"/>
              <w:rPr>
                <w:b/>
                <w:sz w:val="18"/>
              </w:rPr>
            </w:pPr>
            <w:r>
              <w:rPr>
                <w:b/>
                <w:sz w:val="18"/>
              </w:rPr>
              <w:t>35</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22"/>
              <w:ind w:left="67"/>
              <w:jc w:val="left"/>
              <w:rPr>
                <w:b/>
                <w:sz w:val="18"/>
              </w:rPr>
            </w:pPr>
            <w:r>
              <w:rPr>
                <w:b/>
                <w:sz w:val="18"/>
              </w:rPr>
              <w:t>OTZOLOAPAN</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94"/>
              <w:jc w:val="left"/>
              <w:rPr>
                <w:sz w:val="18"/>
              </w:rPr>
            </w:pPr>
            <w:r>
              <w:rPr>
                <w:w w:val="99"/>
                <w:sz w:val="18"/>
              </w:rPr>
              <w:t>0</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27"/>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27"/>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22"/>
              <w:ind w:right="1"/>
              <w:rPr>
                <w:b/>
                <w:sz w:val="18"/>
              </w:rPr>
            </w:pPr>
            <w:r>
              <w:rPr>
                <w:b/>
                <w:w w:val="99"/>
                <w:sz w:val="18"/>
              </w:rPr>
              <w:t>0</w:t>
            </w:r>
          </w:p>
        </w:tc>
      </w:tr>
    </w:tbl>
    <w:p>
      <w:pPr>
        <w:spacing w:after="0"/>
        <w:rPr>
          <w:sz w:val="18"/>
        </w:rPr>
        <w:sectPr>
          <w:pgSz w:w="12240" w:h="15840"/>
          <w:pgMar w:header="0" w:footer="975" w:top="1420" w:bottom="1160" w:left="1720" w:right="1720"/>
        </w:sectPr>
      </w:pPr>
    </w:p>
    <w:tbl>
      <w:tblPr>
        <w:tblW w:w="0" w:type="auto"/>
        <w:jc w:val="left"/>
        <w:tblInd w:w="10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602"/>
        <w:gridCol w:w="499"/>
        <w:gridCol w:w="502"/>
        <w:gridCol w:w="499"/>
        <w:gridCol w:w="500"/>
      </w:tblGrid>
      <w:tr>
        <w:trPr>
          <w:trHeight w:val="330" w:hRule="exact"/>
        </w:trPr>
        <w:tc>
          <w:tcPr>
            <w:tcW w:w="6602" w:type="dxa"/>
            <w:gridSpan w:val="5"/>
            <w:shd w:val="clear" w:color="auto" w:fill="A8D08D"/>
          </w:tcPr>
          <w:p>
            <w:pPr>
              <w:pStyle w:val="TableParagraph"/>
              <w:spacing w:line="200" w:lineRule="exact"/>
              <w:ind w:left="561"/>
              <w:jc w:val="left"/>
              <w:rPr>
                <w:b/>
                <w:sz w:val="18"/>
              </w:rPr>
            </w:pPr>
            <w:r>
              <w:rPr>
                <w:b/>
                <w:sz w:val="18"/>
              </w:rPr>
              <w:t>Anexo 19. Municipios que publican organigrama (Continuación)</w:t>
            </w:r>
          </w:p>
        </w:tc>
      </w:tr>
      <w:tr>
        <w:trPr>
          <w:trHeight w:val="1454" w:hRule="exact"/>
        </w:trPr>
        <w:tc>
          <w:tcPr>
            <w:tcW w:w="4602" w:type="dxa"/>
            <w:tcBorders>
              <w:bottom w:val="single" w:sz="4" w:space="0" w:color="000000"/>
              <w:right w:val="single" w:sz="4" w:space="0" w:color="000000"/>
            </w:tcBorders>
            <w:shd w:val="clear" w:color="auto" w:fill="A8D08D"/>
          </w:tcPr>
          <w:p>
            <w:pPr>
              <w:pStyle w:val="TableParagraph"/>
              <w:jc w:val="left"/>
              <w:rPr>
                <w:sz w:val="18"/>
              </w:rPr>
            </w:pPr>
          </w:p>
          <w:p>
            <w:pPr>
              <w:pStyle w:val="TableParagraph"/>
              <w:jc w:val="left"/>
              <w:rPr>
                <w:sz w:val="18"/>
              </w:rPr>
            </w:pPr>
          </w:p>
          <w:p>
            <w:pPr>
              <w:pStyle w:val="TableParagraph"/>
              <w:spacing w:before="10"/>
              <w:jc w:val="left"/>
              <w:rPr>
                <w:sz w:val="16"/>
              </w:rPr>
            </w:pPr>
          </w:p>
          <w:p>
            <w:pPr>
              <w:pStyle w:val="TableParagraph"/>
              <w:ind w:left="1853" w:right="1853"/>
              <w:rPr>
                <w:b/>
                <w:sz w:val="18"/>
              </w:rPr>
            </w:pPr>
            <w:r>
              <w:rPr>
                <w:b/>
                <w:sz w:val="18"/>
              </w:rPr>
              <w:t>Municipio</w:t>
            </w:r>
          </w:p>
        </w:tc>
        <w:tc>
          <w:tcPr>
            <w:tcW w:w="499" w:type="dxa"/>
            <w:tcBorders>
              <w:left w:val="single" w:sz="4" w:space="0" w:color="000000"/>
              <w:bottom w:val="single" w:sz="4" w:space="0" w:color="000000"/>
              <w:right w:val="single" w:sz="4" w:space="0" w:color="000000"/>
            </w:tcBorders>
            <w:shd w:val="clear" w:color="auto" w:fill="A8D08D"/>
            <w:textDirection w:val="btLr"/>
          </w:tcPr>
          <w:p>
            <w:pPr>
              <w:pStyle w:val="TableParagraph"/>
              <w:spacing w:before="5"/>
              <w:jc w:val="left"/>
              <w:rPr>
                <w:sz w:val="18"/>
              </w:rPr>
            </w:pPr>
          </w:p>
          <w:p>
            <w:pPr>
              <w:pStyle w:val="TableParagraph"/>
              <w:ind w:left="221" w:right="-20"/>
              <w:jc w:val="left"/>
              <w:rPr>
                <w:b/>
                <w:sz w:val="18"/>
              </w:rPr>
            </w:pPr>
            <w:r>
              <w:rPr>
                <w:b/>
                <w:w w:val="99"/>
                <w:sz w:val="18"/>
              </w:rPr>
              <w:t>Dep</w:t>
            </w:r>
            <w:r>
              <w:rPr>
                <w:b/>
                <w:w w:val="99"/>
                <w:sz w:val="18"/>
              </w:rPr>
              <w:t>e</w:t>
            </w:r>
            <w:r>
              <w:rPr>
                <w:b/>
                <w:w w:val="100"/>
                <w:sz w:val="18"/>
              </w:rPr>
              <w:t>nd</w:t>
            </w:r>
            <w:r>
              <w:rPr>
                <w:b/>
                <w:w w:val="99"/>
                <w:sz w:val="18"/>
              </w:rPr>
              <w:t>e</w:t>
            </w:r>
            <w:r>
              <w:rPr>
                <w:b/>
                <w:spacing w:val="-2"/>
                <w:w w:val="100"/>
                <w:sz w:val="18"/>
              </w:rPr>
              <w:t>n</w:t>
            </w:r>
            <w:r>
              <w:rPr>
                <w:b/>
                <w:w w:val="99"/>
                <w:sz w:val="18"/>
              </w:rPr>
              <w:t>c</w:t>
            </w:r>
            <w:r>
              <w:rPr>
                <w:b/>
                <w:w w:val="100"/>
                <w:sz w:val="18"/>
              </w:rPr>
              <w:t>ia</w:t>
            </w:r>
            <w:r>
              <w:rPr>
                <w:b/>
                <w:w w:val="99"/>
                <w:sz w:val="18"/>
              </w:rPr>
              <w:t>s</w:t>
            </w:r>
          </w:p>
        </w:tc>
        <w:tc>
          <w:tcPr>
            <w:tcW w:w="502" w:type="dxa"/>
            <w:tcBorders>
              <w:left w:val="single" w:sz="4" w:space="0" w:color="000000"/>
              <w:bottom w:val="single" w:sz="4" w:space="0" w:color="000000"/>
              <w:right w:val="single" w:sz="4" w:space="0" w:color="000000"/>
            </w:tcBorders>
            <w:shd w:val="clear" w:color="auto" w:fill="A8D08D"/>
            <w:textDirection w:val="btLr"/>
          </w:tcPr>
          <w:p>
            <w:pPr>
              <w:pStyle w:val="TableParagraph"/>
              <w:spacing w:before="5"/>
              <w:jc w:val="left"/>
              <w:rPr>
                <w:sz w:val="18"/>
              </w:rPr>
            </w:pPr>
          </w:p>
          <w:p>
            <w:pPr>
              <w:pStyle w:val="TableParagraph"/>
              <w:ind w:left="612" w:right="-23"/>
              <w:jc w:val="left"/>
              <w:rPr>
                <w:b/>
                <w:sz w:val="18"/>
              </w:rPr>
            </w:pPr>
            <w:r>
              <w:rPr>
                <w:b/>
                <w:w w:val="99"/>
                <w:sz w:val="18"/>
              </w:rPr>
              <w:t>Reg</w:t>
            </w:r>
            <w:r>
              <w:rPr>
                <w:b/>
                <w:w w:val="100"/>
                <w:sz w:val="18"/>
              </w:rPr>
              <w:t>id</w:t>
            </w:r>
            <w:r>
              <w:rPr>
                <w:b/>
                <w:sz w:val="18"/>
              </w:rPr>
              <w:t>uría</w:t>
            </w:r>
          </w:p>
        </w:tc>
        <w:tc>
          <w:tcPr>
            <w:tcW w:w="499" w:type="dxa"/>
            <w:tcBorders>
              <w:left w:val="single" w:sz="4" w:space="0" w:color="000000"/>
              <w:bottom w:val="single" w:sz="4" w:space="0" w:color="000000"/>
              <w:right w:val="single" w:sz="4" w:space="0" w:color="000000"/>
            </w:tcBorders>
            <w:shd w:val="clear" w:color="auto" w:fill="A8D08D"/>
            <w:textDirection w:val="btLr"/>
          </w:tcPr>
          <w:p>
            <w:pPr>
              <w:pStyle w:val="TableParagraph"/>
              <w:spacing w:before="5"/>
              <w:jc w:val="left"/>
              <w:rPr>
                <w:sz w:val="18"/>
              </w:rPr>
            </w:pPr>
          </w:p>
          <w:p>
            <w:pPr>
              <w:pStyle w:val="TableParagraph"/>
              <w:ind w:left="192" w:right="-21"/>
              <w:jc w:val="left"/>
              <w:rPr>
                <w:b/>
                <w:sz w:val="18"/>
              </w:rPr>
            </w:pPr>
            <w:r>
              <w:rPr>
                <w:b/>
                <w:w w:val="99"/>
                <w:sz w:val="18"/>
              </w:rPr>
              <w:t>Rem</w:t>
            </w:r>
            <w:r>
              <w:rPr>
                <w:b/>
                <w:w w:val="100"/>
                <w:sz w:val="18"/>
              </w:rPr>
              <w:t>un</w:t>
            </w:r>
            <w:r>
              <w:rPr>
                <w:b/>
                <w:w w:val="99"/>
                <w:sz w:val="18"/>
              </w:rPr>
              <w:t>era</w:t>
            </w:r>
            <w:r>
              <w:rPr>
                <w:b/>
                <w:spacing w:val="-2"/>
                <w:w w:val="99"/>
                <w:sz w:val="18"/>
              </w:rPr>
              <w:t>c</w:t>
            </w:r>
            <w:r>
              <w:rPr>
                <w:b/>
                <w:w w:val="100"/>
                <w:sz w:val="18"/>
              </w:rPr>
              <w:t>ión</w:t>
            </w:r>
          </w:p>
        </w:tc>
        <w:tc>
          <w:tcPr>
            <w:tcW w:w="500" w:type="dxa"/>
            <w:tcBorders>
              <w:left w:val="single" w:sz="4" w:space="0" w:color="000000"/>
              <w:bottom w:val="single" w:sz="4" w:space="0" w:color="000000"/>
            </w:tcBorders>
            <w:shd w:val="clear" w:color="auto" w:fill="A8D08D"/>
            <w:textDirection w:val="btLr"/>
          </w:tcPr>
          <w:p>
            <w:pPr>
              <w:pStyle w:val="TableParagraph"/>
              <w:spacing w:before="5"/>
              <w:jc w:val="left"/>
              <w:rPr>
                <w:sz w:val="18"/>
              </w:rPr>
            </w:pPr>
          </w:p>
          <w:p>
            <w:pPr>
              <w:pStyle w:val="TableParagraph"/>
              <w:ind w:right="-5"/>
              <w:jc w:val="right"/>
              <w:rPr>
                <w:b/>
                <w:sz w:val="18"/>
              </w:rPr>
            </w:pPr>
            <w:r>
              <w:rPr>
                <w:b/>
                <w:w w:val="100"/>
                <w:sz w:val="18"/>
              </w:rPr>
              <w:t>To</w:t>
            </w:r>
            <w:r>
              <w:rPr>
                <w:b/>
                <w:w w:val="99"/>
                <w:sz w:val="18"/>
              </w:rPr>
              <w:t>ta</w:t>
            </w:r>
            <w:r>
              <w:rPr>
                <w:b/>
                <w:w w:val="100"/>
                <w:sz w:val="18"/>
              </w:rPr>
              <w:t>l</w:t>
            </w:r>
          </w:p>
        </w:tc>
      </w:tr>
      <w:tr>
        <w:trPr>
          <w:trHeight w:val="31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9"/>
              <w:ind w:left="67"/>
              <w:jc w:val="left"/>
              <w:rPr>
                <w:b/>
                <w:sz w:val="18"/>
              </w:rPr>
            </w:pPr>
            <w:r>
              <w:rPr>
                <w:b/>
                <w:sz w:val="18"/>
              </w:rPr>
              <w:t>OTZOLOTEPEC</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4"/>
              <w:ind w:left="144"/>
              <w:jc w:val="left"/>
              <w:rPr>
                <w:sz w:val="18"/>
              </w:rPr>
            </w:pPr>
            <w:r>
              <w:rPr>
                <w:sz w:val="18"/>
              </w:rPr>
              <w:t>22</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4"/>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4"/>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9"/>
              <w:ind w:left="125" w:right="125"/>
              <w:rPr>
                <w:b/>
                <w:sz w:val="18"/>
              </w:rPr>
            </w:pPr>
            <w:r>
              <w:rPr>
                <w:b/>
                <w:sz w:val="18"/>
              </w:rPr>
              <w:t>33</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7"/>
              <w:ind w:left="67"/>
              <w:jc w:val="left"/>
              <w:rPr>
                <w:b/>
                <w:sz w:val="18"/>
              </w:rPr>
            </w:pPr>
            <w:r>
              <w:rPr>
                <w:b/>
                <w:sz w:val="18"/>
              </w:rPr>
              <w:t>OZUMBA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44"/>
              <w:jc w:val="left"/>
              <w:rPr>
                <w:sz w:val="18"/>
              </w:rPr>
            </w:pPr>
            <w:r>
              <w:rPr>
                <w:sz w:val="18"/>
              </w:rPr>
              <w:t>33</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2"/>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7"/>
              <w:ind w:left="125" w:right="125"/>
              <w:rPr>
                <w:b/>
                <w:sz w:val="18"/>
              </w:rPr>
            </w:pPr>
            <w:r>
              <w:rPr>
                <w:b/>
                <w:sz w:val="18"/>
              </w:rPr>
              <w:t>33</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7"/>
              <w:ind w:left="67"/>
              <w:jc w:val="left"/>
              <w:rPr>
                <w:b/>
                <w:sz w:val="18"/>
              </w:rPr>
            </w:pPr>
            <w:r>
              <w:rPr>
                <w:b/>
                <w:sz w:val="18"/>
              </w:rPr>
              <w:t>PAPALOTLA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44"/>
              <w:jc w:val="left"/>
              <w:rPr>
                <w:sz w:val="18"/>
              </w:rPr>
            </w:pPr>
            <w:r>
              <w:rPr>
                <w:sz w:val="18"/>
              </w:rPr>
              <w:t>15</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2"/>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7"/>
              <w:ind w:left="125" w:right="125"/>
              <w:rPr>
                <w:b/>
                <w:sz w:val="18"/>
              </w:rPr>
            </w:pPr>
            <w:r>
              <w:rPr>
                <w:b/>
                <w:sz w:val="18"/>
              </w:rPr>
              <w:t>26</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7"/>
              <w:ind w:left="67"/>
              <w:jc w:val="left"/>
              <w:rPr>
                <w:b/>
                <w:sz w:val="18"/>
              </w:rPr>
            </w:pPr>
            <w:r>
              <w:rPr>
                <w:b/>
                <w:sz w:val="18"/>
              </w:rPr>
              <w:t>POLOTITLAN</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44"/>
              <w:jc w:val="left"/>
              <w:rPr>
                <w:sz w:val="18"/>
              </w:rPr>
            </w:pPr>
            <w:r>
              <w:rPr>
                <w:sz w:val="18"/>
              </w:rPr>
              <w:t>17</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2"/>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7"/>
              <w:ind w:left="125" w:right="125"/>
              <w:rPr>
                <w:b/>
                <w:sz w:val="18"/>
              </w:rPr>
            </w:pPr>
            <w:r>
              <w:rPr>
                <w:b/>
                <w:sz w:val="18"/>
              </w:rPr>
              <w:t>28</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9"/>
              <w:ind w:left="67"/>
              <w:jc w:val="left"/>
              <w:rPr>
                <w:b/>
                <w:sz w:val="18"/>
              </w:rPr>
            </w:pPr>
            <w:r>
              <w:rPr>
                <w:b/>
                <w:sz w:val="18"/>
              </w:rPr>
              <w:t>RAYON</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4"/>
              <w:ind w:left="144"/>
              <w:jc w:val="left"/>
              <w:rPr>
                <w:sz w:val="18"/>
              </w:rPr>
            </w:pPr>
            <w:r>
              <w:rPr>
                <w:sz w:val="18"/>
              </w:rPr>
              <w:t>23</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4"/>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4"/>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9"/>
              <w:ind w:left="125" w:right="125"/>
              <w:rPr>
                <w:b/>
                <w:sz w:val="18"/>
              </w:rPr>
            </w:pPr>
            <w:r>
              <w:rPr>
                <w:b/>
                <w:sz w:val="18"/>
              </w:rPr>
              <w:t>34</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9"/>
              <w:ind w:left="67"/>
              <w:jc w:val="left"/>
              <w:rPr>
                <w:b/>
                <w:sz w:val="18"/>
              </w:rPr>
            </w:pPr>
            <w:r>
              <w:rPr>
                <w:b/>
                <w:sz w:val="18"/>
              </w:rPr>
              <w:t>SAN ANTONIO LA ISLA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4"/>
              <w:ind w:left="194"/>
              <w:jc w:val="left"/>
              <w:rPr>
                <w:sz w:val="18"/>
              </w:rPr>
            </w:pPr>
            <w:r>
              <w:rPr>
                <w:w w:val="99"/>
                <w:sz w:val="18"/>
              </w:rPr>
              <w:t>0</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4"/>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4"/>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9"/>
              <w:ind w:right="1"/>
              <w:rPr>
                <w:b/>
                <w:sz w:val="18"/>
              </w:rPr>
            </w:pPr>
            <w:r>
              <w:rPr>
                <w:b/>
                <w:w w:val="99"/>
                <w:sz w:val="18"/>
              </w:rPr>
              <w:t>0</w:t>
            </w:r>
          </w:p>
        </w:tc>
      </w:tr>
      <w:tr>
        <w:trPr>
          <w:trHeight w:val="313"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40"/>
              <w:ind w:left="67"/>
              <w:jc w:val="left"/>
              <w:rPr>
                <w:b/>
                <w:sz w:val="18"/>
              </w:rPr>
            </w:pPr>
            <w:r>
              <w:rPr>
                <w:b/>
                <w:sz w:val="18"/>
              </w:rPr>
              <w:t>SAN FELIPE DEL PROGRESO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5"/>
              <w:ind w:left="144"/>
              <w:jc w:val="left"/>
              <w:rPr>
                <w:sz w:val="18"/>
              </w:rPr>
            </w:pPr>
            <w:r>
              <w:rPr>
                <w:sz w:val="18"/>
              </w:rPr>
              <w:t>23</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5"/>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5"/>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40"/>
              <w:ind w:left="125" w:right="125"/>
              <w:rPr>
                <w:b/>
                <w:sz w:val="18"/>
              </w:rPr>
            </w:pPr>
            <w:r>
              <w:rPr>
                <w:b/>
                <w:sz w:val="18"/>
              </w:rPr>
              <w:t>24</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7"/>
              <w:ind w:left="67"/>
              <w:jc w:val="left"/>
              <w:rPr>
                <w:b/>
                <w:sz w:val="18"/>
              </w:rPr>
            </w:pPr>
            <w:r>
              <w:rPr>
                <w:b/>
                <w:sz w:val="18"/>
              </w:rPr>
              <w:t>SAN JOSE DEL RINCON</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44"/>
              <w:jc w:val="left"/>
              <w:rPr>
                <w:sz w:val="18"/>
              </w:rPr>
            </w:pPr>
            <w:r>
              <w:rPr>
                <w:sz w:val="18"/>
              </w:rPr>
              <w:t>18</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2"/>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7"/>
              <w:ind w:left="125" w:right="125"/>
              <w:rPr>
                <w:b/>
                <w:sz w:val="18"/>
              </w:rPr>
            </w:pPr>
            <w:r>
              <w:rPr>
                <w:b/>
                <w:sz w:val="18"/>
              </w:rPr>
              <w:t>19</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7"/>
              <w:ind w:left="67"/>
              <w:jc w:val="left"/>
              <w:rPr>
                <w:b/>
                <w:sz w:val="18"/>
              </w:rPr>
            </w:pPr>
            <w:r>
              <w:rPr>
                <w:b/>
                <w:sz w:val="18"/>
              </w:rPr>
              <w:t>SAN MARTÍN DE LAS PIRAMIDES</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44"/>
              <w:jc w:val="left"/>
              <w:rPr>
                <w:sz w:val="18"/>
              </w:rPr>
            </w:pPr>
            <w:r>
              <w:rPr>
                <w:sz w:val="18"/>
              </w:rPr>
              <w:t>13</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2"/>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7"/>
              <w:ind w:left="125" w:right="125"/>
              <w:rPr>
                <w:b/>
                <w:sz w:val="18"/>
              </w:rPr>
            </w:pPr>
            <w:r>
              <w:rPr>
                <w:b/>
                <w:sz w:val="18"/>
              </w:rPr>
              <w:t>24</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7"/>
              <w:ind w:left="67"/>
              <w:jc w:val="left"/>
              <w:rPr>
                <w:b/>
                <w:sz w:val="18"/>
              </w:rPr>
            </w:pPr>
            <w:r>
              <w:rPr>
                <w:b/>
                <w:sz w:val="18"/>
              </w:rPr>
              <w:t>SAN MATEO ATENCO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44"/>
              <w:jc w:val="left"/>
              <w:rPr>
                <w:sz w:val="18"/>
              </w:rPr>
            </w:pPr>
            <w:r>
              <w:rPr>
                <w:sz w:val="18"/>
              </w:rPr>
              <w:t>20</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2"/>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7"/>
              <w:ind w:left="125" w:right="125"/>
              <w:rPr>
                <w:b/>
                <w:sz w:val="18"/>
              </w:rPr>
            </w:pPr>
            <w:r>
              <w:rPr>
                <w:b/>
                <w:sz w:val="18"/>
              </w:rPr>
              <w:t>31</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9"/>
              <w:ind w:left="67"/>
              <w:jc w:val="left"/>
              <w:rPr>
                <w:b/>
                <w:sz w:val="18"/>
              </w:rPr>
            </w:pPr>
            <w:r>
              <w:rPr>
                <w:b/>
                <w:sz w:val="18"/>
              </w:rPr>
              <w:t>SAN SIMON DE GUERRERO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4"/>
              <w:ind w:left="194"/>
              <w:jc w:val="left"/>
              <w:rPr>
                <w:sz w:val="18"/>
              </w:rPr>
            </w:pPr>
            <w:r>
              <w:rPr>
                <w:w w:val="99"/>
                <w:sz w:val="18"/>
              </w:rPr>
              <w:t>0</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4"/>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4"/>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9"/>
              <w:ind w:right="1"/>
              <w:rPr>
                <w:b/>
                <w:sz w:val="18"/>
              </w:rPr>
            </w:pPr>
            <w:r>
              <w:rPr>
                <w:b/>
                <w:w w:val="99"/>
                <w:sz w:val="18"/>
              </w:rPr>
              <w:t>0</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9"/>
              <w:ind w:left="67"/>
              <w:jc w:val="left"/>
              <w:rPr>
                <w:b/>
                <w:sz w:val="18"/>
              </w:rPr>
            </w:pPr>
            <w:r>
              <w:rPr>
                <w:b/>
                <w:sz w:val="18"/>
              </w:rPr>
              <w:t>SANTO TOMAS</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4"/>
              <w:ind w:left="194"/>
              <w:jc w:val="left"/>
              <w:rPr>
                <w:sz w:val="18"/>
              </w:rPr>
            </w:pPr>
            <w:r>
              <w:rPr>
                <w:w w:val="99"/>
                <w:sz w:val="18"/>
              </w:rPr>
              <w:t>0</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4"/>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4"/>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9"/>
              <w:ind w:right="1"/>
              <w:rPr>
                <w:b/>
                <w:sz w:val="18"/>
              </w:rPr>
            </w:pPr>
            <w:r>
              <w:rPr>
                <w:b/>
                <w:w w:val="99"/>
                <w:sz w:val="18"/>
              </w:rPr>
              <w:t>0</w:t>
            </w:r>
          </w:p>
        </w:tc>
      </w:tr>
      <w:tr>
        <w:trPr>
          <w:trHeight w:val="31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9"/>
              <w:ind w:left="67"/>
              <w:jc w:val="left"/>
              <w:rPr>
                <w:b/>
                <w:sz w:val="18"/>
              </w:rPr>
            </w:pPr>
            <w:r>
              <w:rPr>
                <w:b/>
                <w:sz w:val="18"/>
              </w:rPr>
              <w:t>SOYANIQUILPAN DE JUAREZ</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4"/>
              <w:ind w:left="144"/>
              <w:jc w:val="left"/>
              <w:rPr>
                <w:sz w:val="18"/>
              </w:rPr>
            </w:pPr>
            <w:r>
              <w:rPr>
                <w:sz w:val="18"/>
              </w:rPr>
              <w:t>15</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4"/>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4"/>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9"/>
              <w:ind w:left="125" w:right="125"/>
              <w:rPr>
                <w:b/>
                <w:sz w:val="18"/>
              </w:rPr>
            </w:pPr>
            <w:r>
              <w:rPr>
                <w:b/>
                <w:sz w:val="18"/>
              </w:rPr>
              <w:t>26</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7"/>
              <w:ind w:left="67"/>
              <w:jc w:val="left"/>
              <w:rPr>
                <w:b/>
                <w:sz w:val="18"/>
              </w:rPr>
            </w:pPr>
            <w:r>
              <w:rPr>
                <w:b/>
                <w:sz w:val="18"/>
              </w:rPr>
              <w:t>SULTEPEC</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44"/>
              <w:jc w:val="left"/>
              <w:rPr>
                <w:sz w:val="18"/>
              </w:rPr>
            </w:pPr>
            <w:r>
              <w:rPr>
                <w:sz w:val="18"/>
              </w:rPr>
              <w:t>32</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2"/>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7"/>
              <w:ind w:left="125" w:right="125"/>
              <w:rPr>
                <w:b/>
                <w:sz w:val="18"/>
              </w:rPr>
            </w:pPr>
            <w:r>
              <w:rPr>
                <w:b/>
                <w:sz w:val="18"/>
              </w:rPr>
              <w:t>32</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7"/>
              <w:ind w:left="67"/>
              <w:jc w:val="left"/>
              <w:rPr>
                <w:b/>
                <w:sz w:val="18"/>
              </w:rPr>
            </w:pPr>
            <w:r>
              <w:rPr>
                <w:b/>
                <w:sz w:val="18"/>
              </w:rPr>
              <w:t>TECAMAC</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44"/>
              <w:jc w:val="left"/>
              <w:rPr>
                <w:sz w:val="18"/>
              </w:rPr>
            </w:pPr>
            <w:r>
              <w:rPr>
                <w:sz w:val="18"/>
              </w:rPr>
              <w:t>32</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2"/>
              <w:ind w:left="146"/>
              <w:jc w:val="left"/>
              <w:rPr>
                <w:sz w:val="18"/>
              </w:rPr>
            </w:pPr>
            <w:r>
              <w:rPr>
                <w:sz w:val="18"/>
              </w:rPr>
              <w:t>13</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7"/>
              <w:ind w:left="125" w:right="125"/>
              <w:rPr>
                <w:b/>
                <w:sz w:val="18"/>
              </w:rPr>
            </w:pPr>
            <w:r>
              <w:rPr>
                <w:b/>
                <w:sz w:val="18"/>
              </w:rPr>
              <w:t>46</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7"/>
              <w:ind w:left="67"/>
              <w:jc w:val="left"/>
              <w:rPr>
                <w:b/>
                <w:sz w:val="18"/>
              </w:rPr>
            </w:pPr>
            <w:r>
              <w:rPr>
                <w:b/>
                <w:sz w:val="18"/>
              </w:rPr>
              <w:t>TEJUPILCO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44"/>
              <w:jc w:val="left"/>
              <w:rPr>
                <w:sz w:val="18"/>
              </w:rPr>
            </w:pPr>
            <w:r>
              <w:rPr>
                <w:sz w:val="18"/>
              </w:rPr>
              <w:t>26</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2"/>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7"/>
              <w:ind w:left="125" w:right="125"/>
              <w:rPr>
                <w:b/>
                <w:sz w:val="18"/>
              </w:rPr>
            </w:pPr>
            <w:r>
              <w:rPr>
                <w:b/>
                <w:sz w:val="18"/>
              </w:rPr>
              <w:t>37</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9"/>
              <w:ind w:left="67"/>
              <w:jc w:val="left"/>
              <w:rPr>
                <w:b/>
                <w:sz w:val="18"/>
              </w:rPr>
            </w:pPr>
            <w:r>
              <w:rPr>
                <w:b/>
                <w:sz w:val="18"/>
              </w:rPr>
              <w:t>TEMAMATLA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4"/>
              <w:ind w:left="144"/>
              <w:jc w:val="left"/>
              <w:rPr>
                <w:sz w:val="18"/>
              </w:rPr>
            </w:pPr>
            <w:r>
              <w:rPr>
                <w:sz w:val="18"/>
              </w:rPr>
              <w:t>17</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4"/>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4"/>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9"/>
              <w:ind w:left="125" w:right="125"/>
              <w:rPr>
                <w:b/>
                <w:sz w:val="18"/>
              </w:rPr>
            </w:pPr>
            <w:r>
              <w:rPr>
                <w:b/>
                <w:sz w:val="18"/>
              </w:rPr>
              <w:t>28</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40"/>
              <w:ind w:left="67"/>
              <w:jc w:val="left"/>
              <w:rPr>
                <w:b/>
                <w:sz w:val="18"/>
              </w:rPr>
            </w:pPr>
            <w:r>
              <w:rPr>
                <w:b/>
                <w:sz w:val="18"/>
              </w:rPr>
              <w:t>TEMASCALAPA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4"/>
              <w:ind w:left="144"/>
              <w:jc w:val="left"/>
              <w:rPr>
                <w:sz w:val="18"/>
              </w:rPr>
            </w:pPr>
            <w:r>
              <w:rPr>
                <w:sz w:val="18"/>
              </w:rPr>
              <w:t>30</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4"/>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4"/>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40"/>
              <w:ind w:left="125" w:right="125"/>
              <w:rPr>
                <w:b/>
                <w:sz w:val="18"/>
              </w:rPr>
            </w:pPr>
            <w:r>
              <w:rPr>
                <w:b/>
                <w:sz w:val="18"/>
              </w:rPr>
              <w:t>41</w:t>
            </w:r>
          </w:p>
        </w:tc>
      </w:tr>
      <w:tr>
        <w:trPr>
          <w:trHeight w:val="31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9"/>
              <w:ind w:left="67"/>
              <w:jc w:val="left"/>
              <w:rPr>
                <w:b/>
                <w:sz w:val="18"/>
              </w:rPr>
            </w:pPr>
            <w:r>
              <w:rPr>
                <w:b/>
                <w:sz w:val="18"/>
              </w:rPr>
              <w:t>TEMASCALCINGO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4"/>
              <w:ind w:left="144"/>
              <w:jc w:val="left"/>
              <w:rPr>
                <w:sz w:val="18"/>
              </w:rPr>
            </w:pPr>
            <w:r>
              <w:rPr>
                <w:sz w:val="18"/>
              </w:rPr>
              <w:t>39</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4"/>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4"/>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9"/>
              <w:ind w:left="125" w:right="125"/>
              <w:rPr>
                <w:b/>
                <w:sz w:val="18"/>
              </w:rPr>
            </w:pPr>
            <w:r>
              <w:rPr>
                <w:b/>
                <w:sz w:val="18"/>
              </w:rPr>
              <w:t>49</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7"/>
              <w:ind w:left="67"/>
              <w:jc w:val="left"/>
              <w:rPr>
                <w:b/>
                <w:sz w:val="18"/>
              </w:rPr>
            </w:pPr>
            <w:r>
              <w:rPr>
                <w:b/>
                <w:sz w:val="18"/>
              </w:rPr>
              <w:t>TEMASCALTEPEC</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44"/>
              <w:jc w:val="left"/>
              <w:rPr>
                <w:sz w:val="18"/>
              </w:rPr>
            </w:pPr>
            <w:r>
              <w:rPr>
                <w:sz w:val="18"/>
              </w:rPr>
              <w:t>28</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2"/>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7"/>
              <w:ind w:left="125" w:right="125"/>
              <w:rPr>
                <w:b/>
                <w:sz w:val="18"/>
              </w:rPr>
            </w:pPr>
            <w:r>
              <w:rPr>
                <w:b/>
                <w:sz w:val="18"/>
              </w:rPr>
              <w:t>38</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7"/>
              <w:ind w:left="67"/>
              <w:jc w:val="left"/>
              <w:rPr>
                <w:b/>
                <w:sz w:val="18"/>
              </w:rPr>
            </w:pPr>
            <w:r>
              <w:rPr>
                <w:b/>
                <w:sz w:val="18"/>
              </w:rPr>
              <w:t>TEMOAYA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44"/>
              <w:jc w:val="left"/>
              <w:rPr>
                <w:sz w:val="18"/>
              </w:rPr>
            </w:pPr>
            <w:r>
              <w:rPr>
                <w:sz w:val="18"/>
              </w:rPr>
              <w:t>43</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2"/>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7"/>
              <w:ind w:left="125" w:right="125"/>
              <w:rPr>
                <w:b/>
                <w:sz w:val="18"/>
              </w:rPr>
            </w:pPr>
            <w:r>
              <w:rPr>
                <w:b/>
                <w:sz w:val="18"/>
              </w:rPr>
              <w:t>54</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7"/>
              <w:ind w:left="67"/>
              <w:jc w:val="left"/>
              <w:rPr>
                <w:b/>
                <w:sz w:val="18"/>
              </w:rPr>
            </w:pPr>
            <w:r>
              <w:rPr>
                <w:b/>
                <w:sz w:val="18"/>
              </w:rPr>
              <w:t>TENANCINGO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44"/>
              <w:jc w:val="left"/>
              <w:rPr>
                <w:sz w:val="18"/>
              </w:rPr>
            </w:pPr>
            <w:r>
              <w:rPr>
                <w:sz w:val="18"/>
              </w:rPr>
              <w:t>27</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2"/>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7"/>
              <w:ind w:left="125" w:right="125"/>
              <w:rPr>
                <w:b/>
                <w:sz w:val="18"/>
              </w:rPr>
            </w:pPr>
            <w:r>
              <w:rPr>
                <w:b/>
                <w:sz w:val="18"/>
              </w:rPr>
              <w:t>38</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9"/>
              <w:ind w:left="67"/>
              <w:jc w:val="left"/>
              <w:rPr>
                <w:b/>
                <w:sz w:val="18"/>
              </w:rPr>
            </w:pPr>
            <w:r>
              <w:rPr>
                <w:b/>
                <w:sz w:val="18"/>
              </w:rPr>
              <w:t>TENANGO DEL AIRE</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4"/>
              <w:ind w:left="144"/>
              <w:jc w:val="left"/>
              <w:rPr>
                <w:sz w:val="18"/>
              </w:rPr>
            </w:pPr>
            <w:r>
              <w:rPr>
                <w:sz w:val="18"/>
              </w:rPr>
              <w:t>12</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4"/>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4"/>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9"/>
              <w:ind w:left="125" w:right="125"/>
              <w:rPr>
                <w:b/>
                <w:sz w:val="18"/>
              </w:rPr>
            </w:pPr>
            <w:r>
              <w:rPr>
                <w:b/>
                <w:sz w:val="18"/>
              </w:rPr>
              <w:t>23</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9"/>
              <w:ind w:left="67"/>
              <w:jc w:val="left"/>
              <w:rPr>
                <w:b/>
                <w:sz w:val="18"/>
              </w:rPr>
            </w:pPr>
            <w:r>
              <w:rPr>
                <w:b/>
                <w:sz w:val="18"/>
              </w:rPr>
              <w:t>TENANGO DEL VALLE</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4"/>
              <w:ind w:left="144"/>
              <w:jc w:val="left"/>
              <w:rPr>
                <w:sz w:val="18"/>
              </w:rPr>
            </w:pPr>
            <w:r>
              <w:rPr>
                <w:sz w:val="18"/>
              </w:rPr>
              <w:t>22</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4"/>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4"/>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9"/>
              <w:ind w:left="125" w:right="125"/>
              <w:rPr>
                <w:b/>
                <w:sz w:val="18"/>
              </w:rPr>
            </w:pPr>
            <w:r>
              <w:rPr>
                <w:b/>
                <w:sz w:val="18"/>
              </w:rPr>
              <w:t>33</w:t>
            </w:r>
          </w:p>
        </w:tc>
      </w:tr>
      <w:tr>
        <w:trPr>
          <w:trHeight w:val="31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9"/>
              <w:ind w:left="67"/>
              <w:jc w:val="left"/>
              <w:rPr>
                <w:b/>
                <w:sz w:val="18"/>
              </w:rPr>
            </w:pPr>
            <w:r>
              <w:rPr>
                <w:b/>
                <w:sz w:val="18"/>
              </w:rPr>
              <w:t>TEOLOYUCAN</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4"/>
              <w:ind w:left="144"/>
              <w:jc w:val="left"/>
              <w:rPr>
                <w:sz w:val="18"/>
              </w:rPr>
            </w:pPr>
            <w:r>
              <w:rPr>
                <w:sz w:val="18"/>
              </w:rPr>
              <w:t>22</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4"/>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4"/>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9"/>
              <w:ind w:left="125" w:right="125"/>
              <w:rPr>
                <w:b/>
                <w:sz w:val="18"/>
              </w:rPr>
            </w:pPr>
            <w:r>
              <w:rPr>
                <w:b/>
                <w:sz w:val="18"/>
              </w:rPr>
              <w:t>33</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7"/>
              <w:ind w:left="67"/>
              <w:jc w:val="left"/>
              <w:rPr>
                <w:b/>
                <w:sz w:val="18"/>
              </w:rPr>
            </w:pPr>
            <w:r>
              <w:rPr>
                <w:b/>
                <w:sz w:val="18"/>
              </w:rPr>
              <w:t>TEOTIHUACAN</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44"/>
              <w:jc w:val="left"/>
              <w:rPr>
                <w:sz w:val="18"/>
              </w:rPr>
            </w:pPr>
            <w:r>
              <w:rPr>
                <w:sz w:val="18"/>
              </w:rPr>
              <w:t>22</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2"/>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7"/>
              <w:ind w:left="125" w:right="125"/>
              <w:rPr>
                <w:b/>
                <w:sz w:val="18"/>
              </w:rPr>
            </w:pPr>
            <w:r>
              <w:rPr>
                <w:b/>
                <w:sz w:val="18"/>
              </w:rPr>
              <w:t>33</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7"/>
              <w:ind w:left="67"/>
              <w:jc w:val="left"/>
              <w:rPr>
                <w:b/>
                <w:sz w:val="18"/>
              </w:rPr>
            </w:pPr>
            <w:r>
              <w:rPr>
                <w:b/>
                <w:sz w:val="18"/>
              </w:rPr>
              <w:t>TEPETLAOXTOC</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44"/>
              <w:jc w:val="left"/>
              <w:rPr>
                <w:sz w:val="18"/>
              </w:rPr>
            </w:pPr>
            <w:r>
              <w:rPr>
                <w:sz w:val="18"/>
              </w:rPr>
              <w:t>27</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2"/>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7"/>
              <w:ind w:left="125" w:right="125"/>
              <w:rPr>
                <w:b/>
                <w:sz w:val="18"/>
              </w:rPr>
            </w:pPr>
            <w:r>
              <w:rPr>
                <w:b/>
                <w:sz w:val="18"/>
              </w:rPr>
              <w:t>37</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7"/>
              <w:ind w:left="67"/>
              <w:jc w:val="left"/>
              <w:rPr>
                <w:b/>
                <w:sz w:val="18"/>
              </w:rPr>
            </w:pPr>
            <w:r>
              <w:rPr>
                <w:b/>
                <w:sz w:val="18"/>
              </w:rPr>
              <w:t>TEPETLIXPA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44"/>
              <w:jc w:val="left"/>
              <w:rPr>
                <w:sz w:val="18"/>
              </w:rPr>
            </w:pPr>
            <w:r>
              <w:rPr>
                <w:sz w:val="18"/>
              </w:rPr>
              <w:t>12</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2"/>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7"/>
              <w:ind w:left="125" w:right="125"/>
              <w:rPr>
                <w:b/>
                <w:sz w:val="18"/>
              </w:rPr>
            </w:pPr>
            <w:r>
              <w:rPr>
                <w:b/>
                <w:sz w:val="18"/>
              </w:rPr>
              <w:t>23</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9"/>
              <w:ind w:left="67"/>
              <w:jc w:val="left"/>
              <w:rPr>
                <w:b/>
                <w:sz w:val="18"/>
              </w:rPr>
            </w:pPr>
            <w:r>
              <w:rPr>
                <w:b/>
                <w:sz w:val="18"/>
              </w:rPr>
              <w:t>TEPOTZOTLAN</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5"/>
              <w:ind w:left="144"/>
              <w:jc w:val="left"/>
              <w:rPr>
                <w:sz w:val="18"/>
              </w:rPr>
            </w:pPr>
            <w:r>
              <w:rPr>
                <w:sz w:val="18"/>
              </w:rPr>
              <w:t>29</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5"/>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5"/>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9"/>
              <w:ind w:left="125" w:right="125"/>
              <w:rPr>
                <w:b/>
                <w:sz w:val="18"/>
              </w:rPr>
            </w:pPr>
            <w:r>
              <w:rPr>
                <w:b/>
                <w:sz w:val="18"/>
              </w:rPr>
              <w:t>30</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9"/>
              <w:ind w:left="67"/>
              <w:jc w:val="left"/>
              <w:rPr>
                <w:b/>
                <w:sz w:val="18"/>
              </w:rPr>
            </w:pPr>
            <w:r>
              <w:rPr>
                <w:b/>
                <w:sz w:val="18"/>
              </w:rPr>
              <w:t>TEQUIXQUIAC</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4"/>
              <w:ind w:left="194"/>
              <w:jc w:val="left"/>
              <w:rPr>
                <w:sz w:val="18"/>
              </w:rPr>
            </w:pPr>
            <w:r>
              <w:rPr>
                <w:w w:val="99"/>
                <w:sz w:val="18"/>
              </w:rPr>
              <w:t>3</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4"/>
              <w:ind w:left="196"/>
              <w:jc w:val="left"/>
              <w:rPr>
                <w:sz w:val="18"/>
              </w:rPr>
            </w:pPr>
            <w:r>
              <w:rPr>
                <w:w w:val="99"/>
                <w:sz w:val="18"/>
              </w:rPr>
              <w:t>7</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4"/>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9"/>
              <w:ind w:left="125" w:right="125"/>
              <w:rPr>
                <w:b/>
                <w:sz w:val="18"/>
              </w:rPr>
            </w:pPr>
            <w:r>
              <w:rPr>
                <w:b/>
                <w:sz w:val="18"/>
              </w:rPr>
              <w:t>10</w:t>
            </w:r>
          </w:p>
        </w:tc>
      </w:tr>
      <w:tr>
        <w:trPr>
          <w:trHeight w:val="31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9"/>
              <w:ind w:left="67"/>
              <w:jc w:val="left"/>
              <w:rPr>
                <w:b/>
                <w:sz w:val="18"/>
              </w:rPr>
            </w:pPr>
            <w:r>
              <w:rPr>
                <w:b/>
                <w:sz w:val="18"/>
              </w:rPr>
              <w:t>TEXCALTITL�N</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4"/>
              <w:ind w:left="144"/>
              <w:jc w:val="left"/>
              <w:rPr>
                <w:sz w:val="18"/>
              </w:rPr>
            </w:pPr>
            <w:r>
              <w:rPr>
                <w:sz w:val="18"/>
              </w:rPr>
              <w:t>12</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4"/>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4"/>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9"/>
              <w:ind w:left="125" w:right="125"/>
              <w:rPr>
                <w:b/>
                <w:sz w:val="18"/>
              </w:rPr>
            </w:pPr>
            <w:r>
              <w:rPr>
                <w:b/>
                <w:sz w:val="18"/>
              </w:rPr>
              <w:t>22</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7"/>
              <w:ind w:left="67"/>
              <w:jc w:val="left"/>
              <w:rPr>
                <w:b/>
                <w:sz w:val="18"/>
              </w:rPr>
            </w:pPr>
            <w:r>
              <w:rPr>
                <w:b/>
                <w:sz w:val="18"/>
              </w:rPr>
              <w:t>TEXCALYACAC</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44"/>
              <w:jc w:val="left"/>
              <w:rPr>
                <w:sz w:val="18"/>
              </w:rPr>
            </w:pPr>
            <w:r>
              <w:rPr>
                <w:sz w:val="18"/>
              </w:rPr>
              <w:t>15</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2"/>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7"/>
              <w:ind w:left="125" w:right="125"/>
              <w:rPr>
                <w:b/>
                <w:sz w:val="18"/>
              </w:rPr>
            </w:pPr>
            <w:r>
              <w:rPr>
                <w:b/>
                <w:sz w:val="18"/>
              </w:rPr>
              <w:t>26</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7"/>
              <w:ind w:left="67"/>
              <w:jc w:val="left"/>
              <w:rPr>
                <w:b/>
                <w:sz w:val="18"/>
              </w:rPr>
            </w:pPr>
            <w:r>
              <w:rPr>
                <w:b/>
                <w:sz w:val="18"/>
              </w:rPr>
              <w:t>TEXCOCO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44"/>
              <w:jc w:val="left"/>
              <w:rPr>
                <w:sz w:val="18"/>
              </w:rPr>
            </w:pPr>
            <w:r>
              <w:rPr>
                <w:sz w:val="18"/>
              </w:rPr>
              <w:t>27</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2"/>
              <w:ind w:left="146"/>
              <w:jc w:val="left"/>
              <w:rPr>
                <w:sz w:val="18"/>
              </w:rPr>
            </w:pPr>
            <w:r>
              <w:rPr>
                <w:sz w:val="18"/>
              </w:rPr>
              <w:t>13</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7"/>
              <w:ind w:left="125" w:right="125"/>
              <w:rPr>
                <w:b/>
                <w:sz w:val="18"/>
              </w:rPr>
            </w:pPr>
            <w:r>
              <w:rPr>
                <w:b/>
                <w:sz w:val="18"/>
              </w:rPr>
              <w:t>41</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7"/>
              <w:ind w:left="67"/>
              <w:jc w:val="left"/>
              <w:rPr>
                <w:b/>
                <w:sz w:val="18"/>
              </w:rPr>
            </w:pPr>
            <w:r>
              <w:rPr>
                <w:b/>
                <w:sz w:val="18"/>
              </w:rPr>
              <w:t>TEZOYUCA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44"/>
              <w:jc w:val="left"/>
              <w:rPr>
                <w:sz w:val="18"/>
              </w:rPr>
            </w:pPr>
            <w:r>
              <w:rPr>
                <w:sz w:val="18"/>
              </w:rPr>
              <w:t>16</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2"/>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2"/>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7"/>
              <w:ind w:left="125" w:right="125"/>
              <w:rPr>
                <w:b/>
                <w:sz w:val="18"/>
              </w:rPr>
            </w:pPr>
            <w:r>
              <w:rPr>
                <w:b/>
                <w:sz w:val="18"/>
              </w:rPr>
              <w:t>16</w:t>
            </w:r>
          </w:p>
        </w:tc>
      </w:tr>
      <w:tr>
        <w:trPr>
          <w:trHeight w:val="31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before="39"/>
              <w:ind w:left="67"/>
              <w:jc w:val="left"/>
              <w:rPr>
                <w:b/>
                <w:sz w:val="18"/>
              </w:rPr>
            </w:pPr>
            <w:r>
              <w:rPr>
                <w:b/>
                <w:sz w:val="18"/>
              </w:rPr>
              <w:t>TIANGUISTENCO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4"/>
              <w:ind w:left="144"/>
              <w:jc w:val="left"/>
              <w:rPr>
                <w:sz w:val="18"/>
              </w:rPr>
            </w:pPr>
            <w:r>
              <w:rPr>
                <w:sz w:val="18"/>
              </w:rPr>
              <w:t>31</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44"/>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44"/>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before="39"/>
              <w:ind w:left="125" w:right="125"/>
              <w:rPr>
                <w:b/>
                <w:sz w:val="18"/>
              </w:rPr>
            </w:pPr>
            <w:r>
              <w:rPr>
                <w:b/>
                <w:sz w:val="18"/>
              </w:rPr>
              <w:t>42</w:t>
            </w:r>
          </w:p>
        </w:tc>
      </w:tr>
    </w:tbl>
    <w:p>
      <w:pPr>
        <w:spacing w:after="0"/>
        <w:rPr>
          <w:sz w:val="18"/>
        </w:rPr>
        <w:sectPr>
          <w:footerReference w:type="default" r:id="rId349"/>
          <w:pgSz w:w="12240" w:h="15840"/>
          <w:pgMar w:footer="975" w:header="0" w:top="1420" w:bottom="1160" w:left="1720" w:right="1720"/>
          <w:pgNumType w:start="401"/>
        </w:sectPr>
      </w:pPr>
    </w:p>
    <w:tbl>
      <w:tblPr>
        <w:tblW w:w="0" w:type="auto"/>
        <w:jc w:val="left"/>
        <w:tblInd w:w="10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602"/>
        <w:gridCol w:w="499"/>
        <w:gridCol w:w="502"/>
        <w:gridCol w:w="499"/>
        <w:gridCol w:w="500"/>
      </w:tblGrid>
      <w:tr>
        <w:trPr>
          <w:trHeight w:val="330" w:hRule="exact"/>
        </w:trPr>
        <w:tc>
          <w:tcPr>
            <w:tcW w:w="6602" w:type="dxa"/>
            <w:gridSpan w:val="5"/>
            <w:shd w:val="clear" w:color="auto" w:fill="A8D08D"/>
          </w:tcPr>
          <w:p>
            <w:pPr>
              <w:pStyle w:val="TableParagraph"/>
              <w:spacing w:line="200" w:lineRule="exact"/>
              <w:ind w:left="571"/>
              <w:jc w:val="left"/>
              <w:rPr>
                <w:b/>
                <w:sz w:val="18"/>
              </w:rPr>
            </w:pPr>
            <w:r>
              <w:rPr>
                <w:b/>
                <w:sz w:val="18"/>
              </w:rPr>
              <w:t>Anexo 19. Municipios que publican organigrama (Finaliza tabla)</w:t>
            </w:r>
          </w:p>
        </w:tc>
      </w:tr>
      <w:tr>
        <w:trPr>
          <w:trHeight w:val="1454" w:hRule="exact"/>
        </w:trPr>
        <w:tc>
          <w:tcPr>
            <w:tcW w:w="4602" w:type="dxa"/>
            <w:tcBorders>
              <w:bottom w:val="single" w:sz="4" w:space="0" w:color="000000"/>
              <w:right w:val="single" w:sz="4" w:space="0" w:color="000000"/>
            </w:tcBorders>
            <w:shd w:val="clear" w:color="auto" w:fill="A8D08D"/>
          </w:tcPr>
          <w:p>
            <w:pPr>
              <w:pStyle w:val="TableParagraph"/>
              <w:jc w:val="left"/>
              <w:rPr>
                <w:sz w:val="18"/>
              </w:rPr>
            </w:pPr>
          </w:p>
          <w:p>
            <w:pPr>
              <w:pStyle w:val="TableParagraph"/>
              <w:jc w:val="left"/>
              <w:rPr>
                <w:sz w:val="18"/>
              </w:rPr>
            </w:pPr>
          </w:p>
          <w:p>
            <w:pPr>
              <w:pStyle w:val="TableParagraph"/>
              <w:spacing w:before="144"/>
              <w:ind w:left="1853" w:right="1853"/>
              <w:rPr>
                <w:b/>
                <w:sz w:val="18"/>
              </w:rPr>
            </w:pPr>
            <w:r>
              <w:rPr>
                <w:b/>
                <w:sz w:val="18"/>
              </w:rPr>
              <w:t>Municipio</w:t>
            </w:r>
          </w:p>
        </w:tc>
        <w:tc>
          <w:tcPr>
            <w:tcW w:w="499" w:type="dxa"/>
            <w:tcBorders>
              <w:left w:val="single" w:sz="4" w:space="0" w:color="000000"/>
              <w:bottom w:val="single" w:sz="4" w:space="0" w:color="000000"/>
              <w:right w:val="single" w:sz="4" w:space="0" w:color="000000"/>
            </w:tcBorders>
            <w:shd w:val="clear" w:color="auto" w:fill="A8D08D"/>
            <w:textDirection w:val="btLr"/>
          </w:tcPr>
          <w:p>
            <w:pPr>
              <w:pStyle w:val="TableParagraph"/>
              <w:spacing w:before="107"/>
              <w:ind w:left="221" w:right="-20"/>
              <w:jc w:val="left"/>
              <w:rPr>
                <w:b/>
                <w:sz w:val="18"/>
              </w:rPr>
            </w:pPr>
            <w:r>
              <w:rPr>
                <w:b/>
                <w:w w:val="99"/>
                <w:sz w:val="18"/>
              </w:rPr>
              <w:t>Dep</w:t>
            </w:r>
            <w:r>
              <w:rPr>
                <w:b/>
                <w:w w:val="99"/>
                <w:sz w:val="18"/>
              </w:rPr>
              <w:t>e</w:t>
            </w:r>
            <w:r>
              <w:rPr>
                <w:b/>
                <w:w w:val="100"/>
                <w:sz w:val="18"/>
              </w:rPr>
              <w:t>nd</w:t>
            </w:r>
            <w:r>
              <w:rPr>
                <w:b/>
                <w:w w:val="99"/>
                <w:sz w:val="18"/>
              </w:rPr>
              <w:t>e</w:t>
            </w:r>
            <w:r>
              <w:rPr>
                <w:b/>
                <w:spacing w:val="-2"/>
                <w:w w:val="100"/>
                <w:sz w:val="18"/>
              </w:rPr>
              <w:t>n</w:t>
            </w:r>
            <w:r>
              <w:rPr>
                <w:b/>
                <w:w w:val="99"/>
                <w:sz w:val="18"/>
              </w:rPr>
              <w:t>c</w:t>
            </w:r>
            <w:r>
              <w:rPr>
                <w:b/>
                <w:w w:val="100"/>
                <w:sz w:val="18"/>
              </w:rPr>
              <w:t>ia</w:t>
            </w:r>
            <w:r>
              <w:rPr>
                <w:b/>
                <w:w w:val="99"/>
                <w:sz w:val="18"/>
              </w:rPr>
              <w:t>s</w:t>
            </w:r>
          </w:p>
        </w:tc>
        <w:tc>
          <w:tcPr>
            <w:tcW w:w="502" w:type="dxa"/>
            <w:tcBorders>
              <w:left w:val="single" w:sz="4" w:space="0" w:color="000000"/>
              <w:bottom w:val="single" w:sz="4" w:space="0" w:color="000000"/>
              <w:right w:val="single" w:sz="4" w:space="0" w:color="000000"/>
            </w:tcBorders>
            <w:shd w:val="clear" w:color="auto" w:fill="A8D08D"/>
            <w:textDirection w:val="btLr"/>
          </w:tcPr>
          <w:p>
            <w:pPr>
              <w:pStyle w:val="TableParagraph"/>
              <w:spacing w:before="107"/>
              <w:ind w:left="612" w:right="-23"/>
              <w:jc w:val="left"/>
              <w:rPr>
                <w:b/>
                <w:sz w:val="18"/>
              </w:rPr>
            </w:pPr>
            <w:r>
              <w:rPr>
                <w:b/>
                <w:w w:val="99"/>
                <w:sz w:val="18"/>
              </w:rPr>
              <w:t>Reg</w:t>
            </w:r>
            <w:r>
              <w:rPr>
                <w:b/>
                <w:w w:val="100"/>
                <w:sz w:val="18"/>
              </w:rPr>
              <w:t>id</w:t>
            </w:r>
            <w:r>
              <w:rPr>
                <w:b/>
                <w:sz w:val="18"/>
              </w:rPr>
              <w:t>uría</w:t>
            </w:r>
          </w:p>
        </w:tc>
        <w:tc>
          <w:tcPr>
            <w:tcW w:w="499" w:type="dxa"/>
            <w:tcBorders>
              <w:left w:val="single" w:sz="4" w:space="0" w:color="000000"/>
              <w:bottom w:val="single" w:sz="4" w:space="0" w:color="000000"/>
              <w:right w:val="single" w:sz="4" w:space="0" w:color="000000"/>
            </w:tcBorders>
            <w:shd w:val="clear" w:color="auto" w:fill="A8D08D"/>
            <w:textDirection w:val="btLr"/>
          </w:tcPr>
          <w:p>
            <w:pPr>
              <w:pStyle w:val="TableParagraph"/>
              <w:spacing w:before="104"/>
              <w:ind w:left="192" w:right="-21"/>
              <w:jc w:val="left"/>
              <w:rPr>
                <w:b/>
                <w:sz w:val="18"/>
              </w:rPr>
            </w:pPr>
            <w:r>
              <w:rPr>
                <w:b/>
                <w:w w:val="99"/>
                <w:sz w:val="18"/>
              </w:rPr>
              <w:t>Rem</w:t>
            </w:r>
            <w:r>
              <w:rPr>
                <w:b/>
                <w:w w:val="100"/>
                <w:sz w:val="18"/>
              </w:rPr>
              <w:t>un</w:t>
            </w:r>
            <w:r>
              <w:rPr>
                <w:b/>
                <w:w w:val="99"/>
                <w:sz w:val="18"/>
              </w:rPr>
              <w:t>era</w:t>
            </w:r>
            <w:r>
              <w:rPr>
                <w:b/>
                <w:spacing w:val="-2"/>
                <w:w w:val="99"/>
                <w:sz w:val="18"/>
              </w:rPr>
              <w:t>c</w:t>
            </w:r>
            <w:r>
              <w:rPr>
                <w:b/>
                <w:w w:val="100"/>
                <w:sz w:val="18"/>
              </w:rPr>
              <w:t>ión</w:t>
            </w:r>
          </w:p>
        </w:tc>
        <w:tc>
          <w:tcPr>
            <w:tcW w:w="500" w:type="dxa"/>
            <w:tcBorders>
              <w:left w:val="single" w:sz="4" w:space="0" w:color="000000"/>
              <w:bottom w:val="single" w:sz="4" w:space="0" w:color="000000"/>
            </w:tcBorders>
            <w:shd w:val="clear" w:color="auto" w:fill="A8D08D"/>
            <w:textDirection w:val="btLr"/>
          </w:tcPr>
          <w:p>
            <w:pPr>
              <w:pStyle w:val="TableParagraph"/>
              <w:spacing w:before="107"/>
              <w:ind w:right="-5"/>
              <w:jc w:val="right"/>
              <w:rPr>
                <w:b/>
                <w:sz w:val="18"/>
              </w:rPr>
            </w:pPr>
            <w:r>
              <w:rPr>
                <w:b/>
                <w:w w:val="100"/>
                <w:sz w:val="18"/>
              </w:rPr>
              <w:t>To</w:t>
            </w:r>
            <w:r>
              <w:rPr>
                <w:b/>
                <w:w w:val="99"/>
                <w:sz w:val="18"/>
              </w:rPr>
              <w:t>ta</w:t>
            </w:r>
            <w:r>
              <w:rPr>
                <w:b/>
                <w:w w:val="100"/>
                <w:sz w:val="18"/>
              </w:rPr>
              <w:t>l</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TIMILPAN</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4"/>
              <w:jc w:val="left"/>
              <w:rPr>
                <w:sz w:val="18"/>
              </w:rPr>
            </w:pPr>
            <w:r>
              <w:rPr>
                <w:sz w:val="18"/>
              </w:rPr>
              <w:t>16</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5" w:right="125"/>
              <w:rPr>
                <w:b/>
                <w:sz w:val="18"/>
              </w:rPr>
            </w:pPr>
            <w:r>
              <w:rPr>
                <w:b/>
                <w:sz w:val="18"/>
              </w:rPr>
              <w:t>27</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TLALMANALCO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11</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21</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TLALNEPANTLA DE BAZ</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38</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6"/>
              <w:jc w:val="left"/>
              <w:rPr>
                <w:sz w:val="18"/>
              </w:rPr>
            </w:pPr>
            <w:r>
              <w:rPr>
                <w:sz w:val="18"/>
              </w:rPr>
              <w:t>16</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55</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TLATLAYA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19</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19</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TOLUCA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33</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6"/>
              <w:jc w:val="left"/>
              <w:rPr>
                <w:sz w:val="18"/>
              </w:rPr>
            </w:pPr>
            <w:r>
              <w:rPr>
                <w:sz w:val="18"/>
              </w:rPr>
              <w:t>16</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50</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TONANITLA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4</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right="1"/>
              <w:rPr>
                <w:b/>
                <w:sz w:val="18"/>
              </w:rPr>
            </w:pPr>
            <w:r>
              <w:rPr>
                <w:b/>
                <w:w w:val="99"/>
                <w:sz w:val="18"/>
              </w:rPr>
              <w:t>4</w:t>
            </w:r>
          </w:p>
        </w:tc>
      </w:tr>
      <w:tr>
        <w:trPr>
          <w:trHeight w:val="32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TONATICO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144"/>
              <w:jc w:val="left"/>
              <w:rPr>
                <w:sz w:val="18"/>
              </w:rPr>
            </w:pPr>
            <w:r>
              <w:rPr>
                <w:sz w:val="18"/>
              </w:rPr>
              <w:t>15</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26</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TULTEPEC</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0</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right="1"/>
              <w:rPr>
                <w:b/>
                <w:sz w:val="18"/>
              </w:rPr>
            </w:pPr>
            <w:r>
              <w:rPr>
                <w:b/>
                <w:w w:val="99"/>
                <w:sz w:val="18"/>
              </w:rPr>
              <w:t>0</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TULTITLAN</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19</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6"/>
              <w:jc w:val="left"/>
              <w:rPr>
                <w:sz w:val="18"/>
              </w:rPr>
            </w:pPr>
            <w:r>
              <w:rPr>
                <w:sz w:val="18"/>
              </w:rPr>
              <w:t>16</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36</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VALLE DE BRAVO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29</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40</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VALLE DE CHALCO SOLIDARIDAD</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31</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6"/>
              <w:jc w:val="left"/>
              <w:rPr>
                <w:sz w:val="18"/>
              </w:rPr>
            </w:pPr>
            <w:r>
              <w:rPr>
                <w:sz w:val="18"/>
              </w:rPr>
              <w:t>13</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45</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VILLA DE ALLENDE</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20</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30</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VILLA DEL CARBON</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0</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right="1"/>
              <w:rPr>
                <w:b/>
                <w:sz w:val="18"/>
              </w:rPr>
            </w:pPr>
            <w:r>
              <w:rPr>
                <w:b/>
                <w:w w:val="99"/>
                <w:sz w:val="18"/>
              </w:rPr>
              <w:t>0</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VILLA GUERRERO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4"/>
              <w:jc w:val="left"/>
              <w:rPr>
                <w:sz w:val="18"/>
              </w:rPr>
            </w:pPr>
            <w:r>
              <w:rPr>
                <w:sz w:val="18"/>
              </w:rPr>
              <w:t>47</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5" w:right="125"/>
              <w:rPr>
                <w:b/>
                <w:sz w:val="18"/>
              </w:rPr>
            </w:pPr>
            <w:r>
              <w:rPr>
                <w:b/>
                <w:sz w:val="18"/>
              </w:rPr>
              <w:t>58</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VILLA VICTORIA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23</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6"/>
              <w:jc w:val="lef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24</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XALATLACO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4"/>
              <w:jc w:val="left"/>
              <w:rPr>
                <w:sz w:val="18"/>
              </w:rPr>
            </w:pPr>
            <w:r>
              <w:rPr>
                <w:sz w:val="18"/>
              </w:rPr>
              <w:t>23</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5" w:right="125"/>
              <w:rPr>
                <w:b/>
                <w:sz w:val="18"/>
              </w:rPr>
            </w:pPr>
            <w:r>
              <w:rPr>
                <w:b/>
                <w:sz w:val="18"/>
              </w:rPr>
              <w:t>34</w:t>
            </w:r>
          </w:p>
        </w:tc>
      </w:tr>
      <w:tr>
        <w:trPr>
          <w:trHeight w:val="320"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XONACATLAN</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23</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34</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ZACAZONAPAN</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4"/>
              <w:jc w:val="left"/>
              <w:rPr>
                <w:sz w:val="18"/>
              </w:rPr>
            </w:pPr>
            <w:r>
              <w:rPr>
                <w:sz w:val="18"/>
              </w:rPr>
              <w:t>18</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5" w:right="125"/>
              <w:rPr>
                <w:b/>
                <w:sz w:val="18"/>
              </w:rPr>
            </w:pPr>
            <w:r>
              <w:rPr>
                <w:b/>
                <w:sz w:val="18"/>
              </w:rPr>
              <w:t>28</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ZACUALPAN</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19</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29</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ZINACANTEPEC</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23</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6"/>
              <w:jc w:val="left"/>
              <w:rPr>
                <w:sz w:val="18"/>
              </w:rPr>
            </w:pPr>
            <w:r>
              <w:rPr>
                <w:sz w:val="18"/>
              </w:rPr>
              <w:t>13</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36</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ZUMPAHUACAN</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2</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6"/>
              <w:jc w:val="left"/>
              <w:rPr>
                <w:sz w:val="18"/>
              </w:rPr>
            </w:pPr>
            <w:r>
              <w:rPr>
                <w:w w:val="99"/>
                <w:sz w:val="18"/>
              </w:rPr>
              <w:t>9</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11</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ZUMPANGO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4"/>
              <w:jc w:val="left"/>
              <w:rPr>
                <w:sz w:val="18"/>
              </w:rPr>
            </w:pPr>
            <w:r>
              <w:rPr>
                <w:sz w:val="18"/>
              </w:rPr>
              <w:t>29</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6"/>
              <w:jc w:val="left"/>
              <w:rPr>
                <w:sz w:val="18"/>
              </w:rPr>
            </w:pPr>
            <w:r>
              <w:rPr>
                <w:sz w:val="18"/>
              </w:rPr>
              <w:t>13</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94"/>
              <w:jc w:val="lef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43</w:t>
            </w:r>
          </w:p>
        </w:tc>
      </w:tr>
    </w:tbl>
    <w:p>
      <w:pPr>
        <w:spacing w:line="203" w:lineRule="exact" w:before="0"/>
        <w:ind w:left="1124" w:right="552" w:firstLine="0"/>
        <w:jc w:val="left"/>
        <w:rPr>
          <w:sz w:val="18"/>
        </w:rPr>
      </w:pPr>
      <w:r>
        <w:rPr>
          <w:sz w:val="18"/>
        </w:rPr>
        <w:t>Fuente: Elaboración propia con datos del INFOEM</w:t>
      </w:r>
    </w:p>
    <w:p>
      <w:pPr>
        <w:spacing w:after="0" w:line="203" w:lineRule="exact"/>
        <w:jc w:val="left"/>
        <w:rPr>
          <w:sz w:val="18"/>
        </w:rPr>
        <w:sectPr>
          <w:pgSz w:w="12240" w:h="15840"/>
          <w:pgMar w:header="0" w:footer="975" w:top="1420" w:bottom="1160" w:left="1720" w:right="1720"/>
        </w:sectPr>
      </w:pPr>
    </w:p>
    <w:p>
      <w:pPr>
        <w:pStyle w:val="BodyText"/>
        <w:rPr>
          <w:rFonts w:ascii="Times New Roman"/>
          <w:sz w:val="20"/>
        </w:rPr>
      </w:pPr>
    </w:p>
    <w:p>
      <w:pPr>
        <w:pStyle w:val="BodyText"/>
        <w:spacing w:before="10"/>
        <w:rPr>
          <w:rFonts w:ascii="Times New Roman"/>
          <w:sz w:val="28"/>
        </w:rPr>
      </w:pPr>
    </w:p>
    <w:tbl>
      <w:tblPr>
        <w:tblW w:w="0" w:type="auto"/>
        <w:jc w:val="left"/>
        <w:tblInd w:w="1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913"/>
        <w:gridCol w:w="415"/>
        <w:gridCol w:w="415"/>
        <w:gridCol w:w="415"/>
        <w:gridCol w:w="415"/>
        <w:gridCol w:w="415"/>
        <w:gridCol w:w="416"/>
        <w:gridCol w:w="415"/>
        <w:gridCol w:w="415"/>
        <w:gridCol w:w="413"/>
        <w:gridCol w:w="415"/>
        <w:gridCol w:w="420"/>
        <w:gridCol w:w="475"/>
        <w:gridCol w:w="415"/>
        <w:gridCol w:w="476"/>
        <w:gridCol w:w="415"/>
        <w:gridCol w:w="415"/>
        <w:gridCol w:w="475"/>
      </w:tblGrid>
      <w:tr>
        <w:trPr>
          <w:trHeight w:val="288" w:hRule="exact"/>
        </w:trPr>
        <w:tc>
          <w:tcPr>
            <w:tcW w:w="11154" w:type="dxa"/>
            <w:gridSpan w:val="18"/>
            <w:shd w:val="clear" w:color="auto" w:fill="92D050"/>
          </w:tcPr>
          <w:p>
            <w:pPr>
              <w:pStyle w:val="TableParagraph"/>
              <w:spacing w:before="25"/>
              <w:ind w:left="3207"/>
              <w:jc w:val="left"/>
              <w:rPr>
                <w:b/>
                <w:sz w:val="18"/>
              </w:rPr>
            </w:pPr>
            <w:r>
              <w:rPr>
                <w:b/>
                <w:sz w:val="18"/>
              </w:rPr>
              <w:t>Anexo 20. Municipios que publican obras y licitaciones</w:t>
            </w:r>
          </w:p>
        </w:tc>
      </w:tr>
      <w:tr>
        <w:trPr>
          <w:trHeight w:val="319" w:hRule="exact"/>
        </w:trPr>
        <w:tc>
          <w:tcPr>
            <w:tcW w:w="3913" w:type="dxa"/>
            <w:vMerge w:val="restart"/>
            <w:tcBorders>
              <w:right w:val="single" w:sz="4" w:space="0" w:color="000000"/>
            </w:tcBorders>
            <w:shd w:val="clear" w:color="auto" w:fill="D7E3BB"/>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0"/>
              </w:rPr>
            </w:pPr>
          </w:p>
          <w:p>
            <w:pPr>
              <w:pStyle w:val="TableParagraph"/>
              <w:ind w:left="1509" w:right="1509"/>
              <w:rPr>
                <w:b/>
                <w:sz w:val="18"/>
              </w:rPr>
            </w:pPr>
            <w:r>
              <w:rPr>
                <w:b/>
                <w:sz w:val="18"/>
              </w:rPr>
              <w:t>Municipio</w:t>
            </w:r>
          </w:p>
        </w:tc>
        <w:tc>
          <w:tcPr>
            <w:tcW w:w="830" w:type="dxa"/>
            <w:gridSpan w:val="2"/>
            <w:tcBorders>
              <w:left w:val="single" w:sz="4" w:space="0" w:color="000000"/>
              <w:bottom w:val="single" w:sz="4" w:space="0" w:color="000000"/>
              <w:right w:val="single" w:sz="4" w:space="0" w:color="000000"/>
            </w:tcBorders>
            <w:shd w:val="clear" w:color="auto" w:fill="D7E3BB"/>
          </w:tcPr>
          <w:p>
            <w:pPr>
              <w:pStyle w:val="TableParagraph"/>
              <w:spacing w:before="40"/>
              <w:ind w:left="211"/>
              <w:jc w:val="left"/>
              <w:rPr>
                <w:b/>
                <w:sz w:val="18"/>
              </w:rPr>
            </w:pPr>
            <w:r>
              <w:rPr>
                <w:b/>
                <w:sz w:val="18"/>
              </w:rPr>
              <w:t>2008</w:t>
            </w:r>
          </w:p>
        </w:tc>
        <w:tc>
          <w:tcPr>
            <w:tcW w:w="830" w:type="dxa"/>
            <w:gridSpan w:val="2"/>
            <w:tcBorders>
              <w:left w:val="single" w:sz="4" w:space="0" w:color="000000"/>
              <w:bottom w:val="single" w:sz="4" w:space="0" w:color="000000"/>
              <w:right w:val="single" w:sz="4" w:space="0" w:color="000000"/>
            </w:tcBorders>
            <w:shd w:val="clear" w:color="auto" w:fill="D7E3BB"/>
          </w:tcPr>
          <w:p>
            <w:pPr>
              <w:pStyle w:val="TableParagraph"/>
              <w:spacing w:before="40"/>
              <w:ind w:left="211"/>
              <w:jc w:val="left"/>
              <w:rPr>
                <w:b/>
                <w:sz w:val="18"/>
              </w:rPr>
            </w:pPr>
            <w:r>
              <w:rPr>
                <w:b/>
                <w:sz w:val="18"/>
              </w:rPr>
              <w:t>2009</w:t>
            </w:r>
          </w:p>
        </w:tc>
        <w:tc>
          <w:tcPr>
            <w:tcW w:w="831" w:type="dxa"/>
            <w:gridSpan w:val="2"/>
            <w:tcBorders>
              <w:left w:val="single" w:sz="4" w:space="0" w:color="000000"/>
              <w:bottom w:val="single" w:sz="4" w:space="0" w:color="000000"/>
              <w:right w:val="single" w:sz="4" w:space="0" w:color="000000"/>
            </w:tcBorders>
            <w:shd w:val="clear" w:color="auto" w:fill="D7E3BB"/>
          </w:tcPr>
          <w:p>
            <w:pPr>
              <w:pStyle w:val="TableParagraph"/>
              <w:spacing w:before="40"/>
              <w:ind w:left="211"/>
              <w:jc w:val="left"/>
              <w:rPr>
                <w:b/>
                <w:sz w:val="18"/>
              </w:rPr>
            </w:pPr>
            <w:r>
              <w:rPr>
                <w:b/>
                <w:sz w:val="18"/>
              </w:rPr>
              <w:t>2010</w:t>
            </w:r>
          </w:p>
        </w:tc>
        <w:tc>
          <w:tcPr>
            <w:tcW w:w="830" w:type="dxa"/>
            <w:gridSpan w:val="2"/>
            <w:tcBorders>
              <w:left w:val="single" w:sz="4" w:space="0" w:color="000000"/>
              <w:bottom w:val="single" w:sz="4" w:space="0" w:color="000000"/>
              <w:right w:val="single" w:sz="4" w:space="0" w:color="000000"/>
            </w:tcBorders>
            <w:shd w:val="clear" w:color="auto" w:fill="D7E3BB"/>
          </w:tcPr>
          <w:p>
            <w:pPr>
              <w:pStyle w:val="TableParagraph"/>
              <w:spacing w:before="40"/>
              <w:ind w:left="208"/>
              <w:jc w:val="left"/>
              <w:rPr>
                <w:b/>
                <w:sz w:val="18"/>
              </w:rPr>
            </w:pPr>
            <w:r>
              <w:rPr>
                <w:b/>
                <w:sz w:val="18"/>
              </w:rPr>
              <w:t>2011</w:t>
            </w:r>
          </w:p>
        </w:tc>
        <w:tc>
          <w:tcPr>
            <w:tcW w:w="828" w:type="dxa"/>
            <w:gridSpan w:val="2"/>
            <w:tcBorders>
              <w:left w:val="single" w:sz="4" w:space="0" w:color="000000"/>
              <w:bottom w:val="single" w:sz="4" w:space="0" w:color="000000"/>
              <w:right w:val="single" w:sz="4" w:space="0" w:color="000000"/>
            </w:tcBorders>
            <w:shd w:val="clear" w:color="auto" w:fill="D7E3BB"/>
          </w:tcPr>
          <w:p>
            <w:pPr>
              <w:pStyle w:val="TableParagraph"/>
              <w:spacing w:before="40"/>
              <w:ind w:left="208"/>
              <w:jc w:val="left"/>
              <w:rPr>
                <w:b/>
                <w:sz w:val="18"/>
              </w:rPr>
            </w:pPr>
            <w:r>
              <w:rPr>
                <w:b/>
                <w:sz w:val="18"/>
              </w:rPr>
              <w:t>2012</w:t>
            </w:r>
          </w:p>
        </w:tc>
        <w:tc>
          <w:tcPr>
            <w:tcW w:w="895" w:type="dxa"/>
            <w:gridSpan w:val="2"/>
            <w:tcBorders>
              <w:left w:val="single" w:sz="4" w:space="0" w:color="000000"/>
              <w:bottom w:val="single" w:sz="4" w:space="0" w:color="000000"/>
              <w:right w:val="single" w:sz="4" w:space="0" w:color="000000"/>
            </w:tcBorders>
            <w:shd w:val="clear" w:color="auto" w:fill="D7E3BB"/>
          </w:tcPr>
          <w:p>
            <w:pPr>
              <w:pStyle w:val="TableParagraph"/>
              <w:spacing w:before="40"/>
              <w:ind w:left="244"/>
              <w:jc w:val="left"/>
              <w:rPr>
                <w:b/>
                <w:sz w:val="18"/>
              </w:rPr>
            </w:pPr>
            <w:r>
              <w:rPr>
                <w:b/>
                <w:sz w:val="18"/>
              </w:rPr>
              <w:t>2013</w:t>
            </w:r>
          </w:p>
        </w:tc>
        <w:tc>
          <w:tcPr>
            <w:tcW w:w="891" w:type="dxa"/>
            <w:gridSpan w:val="2"/>
            <w:tcBorders>
              <w:left w:val="single" w:sz="4" w:space="0" w:color="000000"/>
              <w:bottom w:val="single" w:sz="4" w:space="0" w:color="000000"/>
              <w:right w:val="single" w:sz="4" w:space="0" w:color="000000"/>
            </w:tcBorders>
            <w:shd w:val="clear" w:color="auto" w:fill="D7E3BB"/>
          </w:tcPr>
          <w:p>
            <w:pPr>
              <w:pStyle w:val="TableParagraph"/>
              <w:spacing w:before="40"/>
              <w:ind w:left="242"/>
              <w:jc w:val="left"/>
              <w:rPr>
                <w:b/>
                <w:sz w:val="18"/>
              </w:rPr>
            </w:pPr>
            <w:r>
              <w:rPr>
                <w:b/>
                <w:sz w:val="18"/>
              </w:rPr>
              <w:t>2014</w:t>
            </w:r>
          </w:p>
        </w:tc>
        <w:tc>
          <w:tcPr>
            <w:tcW w:w="830" w:type="dxa"/>
            <w:gridSpan w:val="2"/>
            <w:tcBorders>
              <w:left w:val="single" w:sz="4" w:space="0" w:color="000000"/>
              <w:bottom w:val="single" w:sz="4" w:space="0" w:color="000000"/>
            </w:tcBorders>
            <w:shd w:val="clear" w:color="auto" w:fill="D7E3BB"/>
          </w:tcPr>
          <w:p>
            <w:pPr>
              <w:pStyle w:val="TableParagraph"/>
              <w:spacing w:before="40"/>
              <w:ind w:left="211"/>
              <w:jc w:val="left"/>
              <w:rPr>
                <w:b/>
                <w:sz w:val="18"/>
              </w:rPr>
            </w:pPr>
            <w:r>
              <w:rPr>
                <w:b/>
                <w:sz w:val="18"/>
              </w:rPr>
              <w:t>2015</w:t>
            </w:r>
          </w:p>
        </w:tc>
        <w:tc>
          <w:tcPr>
            <w:tcW w:w="475" w:type="dxa"/>
            <w:vMerge w:val="restart"/>
            <w:shd w:val="clear" w:color="auto" w:fill="D7E3BB"/>
            <w:textDirection w:val="btLr"/>
          </w:tcPr>
          <w:p>
            <w:pPr>
              <w:pStyle w:val="TableParagraph"/>
              <w:spacing w:before="11"/>
              <w:jc w:val="left"/>
              <w:rPr>
                <w:rFonts w:ascii="Times New Roman"/>
                <w:sz w:val="15"/>
              </w:rPr>
            </w:pPr>
          </w:p>
          <w:p>
            <w:pPr>
              <w:pStyle w:val="TableParagraph"/>
              <w:ind w:left="-1"/>
              <w:jc w:val="left"/>
              <w:rPr>
                <w:b/>
                <w:sz w:val="18"/>
              </w:rPr>
            </w:pPr>
            <w:r>
              <w:rPr>
                <w:b/>
                <w:w w:val="100"/>
                <w:sz w:val="18"/>
              </w:rPr>
              <w:t>To</w:t>
            </w:r>
            <w:r>
              <w:rPr>
                <w:b/>
                <w:w w:val="99"/>
                <w:sz w:val="18"/>
              </w:rPr>
              <w:t>ta</w:t>
            </w:r>
            <w:r>
              <w:rPr>
                <w:b/>
                <w:w w:val="100"/>
                <w:sz w:val="18"/>
              </w:rPr>
              <w:t>l</w:t>
            </w:r>
          </w:p>
        </w:tc>
      </w:tr>
      <w:tr>
        <w:trPr>
          <w:trHeight w:val="1214" w:hRule="exact"/>
        </w:trPr>
        <w:tc>
          <w:tcPr>
            <w:tcW w:w="3913" w:type="dxa"/>
            <w:vMerge/>
            <w:tcBorders>
              <w:bottom w:val="single" w:sz="4" w:space="0" w:color="000000"/>
              <w:right w:val="single" w:sz="4" w:space="0" w:color="000000"/>
            </w:tcBorders>
            <w:shd w:val="clear" w:color="auto" w:fill="D7E3BB"/>
          </w:tcPr>
          <w:p>
            <w:pPr/>
          </w:p>
        </w:tc>
        <w:tc>
          <w:tcPr>
            <w:tcW w:w="415"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128"/>
              <w:ind w:left="-1" w:right="-17"/>
              <w:jc w:val="left"/>
              <w:rPr>
                <w:b/>
                <w:sz w:val="18"/>
              </w:rPr>
            </w:pPr>
            <w:r>
              <w:rPr>
                <w:b/>
                <w:w w:val="100"/>
                <w:sz w:val="18"/>
              </w:rPr>
              <w:t>P.</w:t>
            </w:r>
            <w:r>
              <w:rPr>
                <w:b/>
                <w:sz w:val="18"/>
              </w:rPr>
              <w:t> de </w:t>
            </w:r>
            <w:r>
              <w:rPr>
                <w:b/>
                <w:w w:val="100"/>
                <w:sz w:val="18"/>
              </w:rPr>
              <w:t>O.</w:t>
            </w:r>
          </w:p>
        </w:tc>
        <w:tc>
          <w:tcPr>
            <w:tcW w:w="415"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128"/>
              <w:ind w:left="-1" w:right="-17"/>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15"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128"/>
              <w:ind w:left="-1" w:right="-17"/>
              <w:jc w:val="left"/>
              <w:rPr>
                <w:b/>
                <w:sz w:val="18"/>
              </w:rPr>
            </w:pPr>
            <w:r>
              <w:rPr>
                <w:b/>
                <w:w w:val="100"/>
                <w:sz w:val="18"/>
              </w:rPr>
              <w:t>P.</w:t>
            </w:r>
            <w:r>
              <w:rPr>
                <w:b/>
                <w:sz w:val="18"/>
              </w:rPr>
              <w:t> de </w:t>
            </w:r>
            <w:r>
              <w:rPr>
                <w:b/>
                <w:w w:val="100"/>
                <w:sz w:val="18"/>
              </w:rPr>
              <w:t>O.</w:t>
            </w:r>
          </w:p>
        </w:tc>
        <w:tc>
          <w:tcPr>
            <w:tcW w:w="415"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128"/>
              <w:ind w:left="-1" w:right="-17"/>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15"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126"/>
              <w:ind w:left="-1" w:right="-17"/>
              <w:jc w:val="left"/>
              <w:rPr>
                <w:b/>
                <w:sz w:val="18"/>
              </w:rPr>
            </w:pPr>
            <w:r>
              <w:rPr>
                <w:b/>
                <w:w w:val="100"/>
                <w:sz w:val="18"/>
              </w:rPr>
              <w:t>P.</w:t>
            </w:r>
            <w:r>
              <w:rPr>
                <w:b/>
                <w:sz w:val="18"/>
              </w:rPr>
              <w:t> de </w:t>
            </w:r>
            <w:r>
              <w:rPr>
                <w:b/>
                <w:w w:val="100"/>
                <w:sz w:val="18"/>
              </w:rPr>
              <w:t>O.</w:t>
            </w:r>
          </w:p>
        </w:tc>
        <w:tc>
          <w:tcPr>
            <w:tcW w:w="41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126"/>
              <w:ind w:left="-1" w:right="-17"/>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15"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126"/>
              <w:ind w:left="-1" w:right="-17"/>
              <w:jc w:val="left"/>
              <w:rPr>
                <w:b/>
                <w:sz w:val="18"/>
              </w:rPr>
            </w:pPr>
            <w:r>
              <w:rPr>
                <w:b/>
                <w:w w:val="100"/>
                <w:sz w:val="18"/>
              </w:rPr>
              <w:t>P.</w:t>
            </w:r>
            <w:r>
              <w:rPr>
                <w:b/>
                <w:sz w:val="18"/>
              </w:rPr>
              <w:t> de </w:t>
            </w:r>
            <w:r>
              <w:rPr>
                <w:b/>
                <w:w w:val="100"/>
                <w:sz w:val="18"/>
              </w:rPr>
              <w:t>O.</w:t>
            </w:r>
          </w:p>
        </w:tc>
        <w:tc>
          <w:tcPr>
            <w:tcW w:w="415"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126"/>
              <w:ind w:left="-1" w:right="-17"/>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13"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126"/>
              <w:ind w:left="-1" w:right="-17"/>
              <w:jc w:val="left"/>
              <w:rPr>
                <w:b/>
                <w:sz w:val="18"/>
              </w:rPr>
            </w:pPr>
            <w:r>
              <w:rPr>
                <w:b/>
                <w:w w:val="100"/>
                <w:sz w:val="18"/>
              </w:rPr>
              <w:t>P.</w:t>
            </w:r>
            <w:r>
              <w:rPr>
                <w:b/>
                <w:sz w:val="18"/>
              </w:rPr>
              <w:t> de </w:t>
            </w:r>
            <w:r>
              <w:rPr>
                <w:b/>
                <w:w w:val="100"/>
                <w:sz w:val="18"/>
              </w:rPr>
              <w:t>O.</w:t>
            </w:r>
          </w:p>
        </w:tc>
        <w:tc>
          <w:tcPr>
            <w:tcW w:w="415"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128"/>
              <w:ind w:left="-1" w:right="-17"/>
              <w:jc w:val="left"/>
              <w:rPr>
                <w:b/>
                <w:sz w:val="18"/>
              </w:rPr>
            </w:pPr>
            <w:r>
              <w:rPr>
                <w:b/>
                <w:w w:val="100"/>
                <w:sz w:val="18"/>
              </w:rPr>
              <w:t>Li</w:t>
            </w:r>
            <w:r>
              <w:rPr>
                <w:b/>
                <w:w w:val="99"/>
                <w:sz w:val="18"/>
              </w:rPr>
              <w:t>c</w:t>
            </w:r>
            <w:r>
              <w:rPr>
                <w:b/>
                <w:sz w:val="18"/>
              </w:rPr>
              <w:t>ita</w:t>
            </w:r>
            <w:r>
              <w:rPr>
                <w:b/>
                <w:spacing w:val="-2"/>
                <w:w w:val="100"/>
                <w:sz w:val="18"/>
              </w:rPr>
              <w:t>d</w:t>
            </w:r>
            <w:r>
              <w:rPr>
                <w:b/>
                <w:spacing w:val="1"/>
                <w:w w:val="99"/>
                <w:sz w:val="18"/>
              </w:rPr>
              <w:t>a</w:t>
            </w:r>
            <w:r>
              <w:rPr>
                <w:b/>
                <w:w w:val="99"/>
                <w:sz w:val="18"/>
              </w:rPr>
              <w:t>s</w:t>
            </w:r>
          </w:p>
        </w:tc>
        <w:tc>
          <w:tcPr>
            <w:tcW w:w="420"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133"/>
              <w:ind w:left="-1" w:right="-17"/>
              <w:jc w:val="left"/>
              <w:rPr>
                <w:b/>
                <w:sz w:val="18"/>
              </w:rPr>
            </w:pPr>
            <w:r>
              <w:rPr>
                <w:b/>
                <w:w w:val="100"/>
                <w:sz w:val="18"/>
              </w:rPr>
              <w:t>P.</w:t>
            </w:r>
            <w:r>
              <w:rPr>
                <w:b/>
                <w:sz w:val="18"/>
              </w:rPr>
              <w:t> de </w:t>
            </w:r>
            <w:r>
              <w:rPr>
                <w:b/>
                <w:w w:val="100"/>
                <w:sz w:val="18"/>
              </w:rPr>
              <w:t>O.</w:t>
            </w:r>
          </w:p>
        </w:tc>
        <w:tc>
          <w:tcPr>
            <w:tcW w:w="475"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4"/>
              <w:jc w:val="left"/>
              <w:rPr>
                <w:rFonts w:ascii="Times New Roman"/>
                <w:sz w:val="16"/>
              </w:rPr>
            </w:pPr>
          </w:p>
          <w:p>
            <w:pPr>
              <w:pStyle w:val="TableParagraph"/>
              <w:ind w:left="-1" w:right="-17"/>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15"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128"/>
              <w:ind w:left="-1" w:right="-17"/>
              <w:jc w:val="left"/>
              <w:rPr>
                <w:b/>
                <w:sz w:val="18"/>
              </w:rPr>
            </w:pPr>
            <w:r>
              <w:rPr>
                <w:b/>
                <w:w w:val="100"/>
                <w:sz w:val="18"/>
              </w:rPr>
              <w:t>P.</w:t>
            </w:r>
            <w:r>
              <w:rPr>
                <w:b/>
                <w:sz w:val="18"/>
              </w:rPr>
              <w:t> de </w:t>
            </w:r>
            <w:r>
              <w:rPr>
                <w:b/>
                <w:w w:val="100"/>
                <w:sz w:val="18"/>
              </w:rPr>
              <w:t>O.</w:t>
            </w:r>
          </w:p>
        </w:tc>
        <w:tc>
          <w:tcPr>
            <w:tcW w:w="47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4"/>
              <w:jc w:val="left"/>
              <w:rPr>
                <w:rFonts w:ascii="Times New Roman"/>
                <w:sz w:val="16"/>
              </w:rPr>
            </w:pPr>
          </w:p>
          <w:p>
            <w:pPr>
              <w:pStyle w:val="TableParagraph"/>
              <w:ind w:left="-1" w:right="-17"/>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15"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128"/>
              <w:ind w:left="-1" w:right="-17"/>
              <w:jc w:val="left"/>
              <w:rPr>
                <w:b/>
                <w:sz w:val="18"/>
              </w:rPr>
            </w:pPr>
            <w:r>
              <w:rPr>
                <w:b/>
                <w:w w:val="100"/>
                <w:sz w:val="18"/>
              </w:rPr>
              <w:t>P.</w:t>
            </w:r>
            <w:r>
              <w:rPr>
                <w:b/>
                <w:sz w:val="18"/>
              </w:rPr>
              <w:t> de </w:t>
            </w:r>
            <w:r>
              <w:rPr>
                <w:b/>
                <w:w w:val="100"/>
                <w:sz w:val="18"/>
              </w:rPr>
              <w:t>O.</w:t>
            </w:r>
          </w:p>
        </w:tc>
        <w:tc>
          <w:tcPr>
            <w:tcW w:w="415" w:type="dxa"/>
            <w:tcBorders>
              <w:top w:val="single" w:sz="4" w:space="0" w:color="000000"/>
              <w:left w:val="single" w:sz="4" w:space="0" w:color="000000"/>
              <w:bottom w:val="single" w:sz="4" w:space="0" w:color="000000"/>
            </w:tcBorders>
            <w:shd w:val="clear" w:color="auto" w:fill="D7E3BB"/>
            <w:textDirection w:val="btLr"/>
          </w:tcPr>
          <w:p>
            <w:pPr>
              <w:pStyle w:val="TableParagraph"/>
              <w:spacing w:before="128"/>
              <w:ind w:left="-1" w:right="-17"/>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75" w:type="dxa"/>
            <w:vMerge/>
            <w:tcBorders>
              <w:bottom w:val="single" w:sz="4" w:space="0" w:color="000000"/>
            </w:tcBorders>
            <w:shd w:val="clear" w:color="auto" w:fill="D7E3BB"/>
            <w:textDirection w:val="btLr"/>
          </w:tcPr>
          <w:p>
            <w:pPr/>
          </w:p>
        </w:tc>
      </w:tr>
      <w:tr>
        <w:trPr>
          <w:trHeight w:val="312"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before="42"/>
              <w:ind w:left="67"/>
              <w:jc w:val="left"/>
              <w:rPr>
                <w:b/>
                <w:sz w:val="18"/>
              </w:rPr>
            </w:pPr>
            <w:r>
              <w:rPr>
                <w:b/>
                <w:sz w:val="18"/>
              </w:rPr>
              <w:t>ACAMBAY</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6" w:type="dxa"/>
            <w:tcBorders>
              <w:top w:val="single" w:sz="4" w:space="0" w:color="000000"/>
              <w:left w:val="single" w:sz="4" w:space="0" w:color="000000"/>
              <w:bottom w:val="single" w:sz="4" w:space="0" w:color="000000"/>
              <w:right w:val="single" w:sz="4" w:space="0" w:color="000000"/>
            </w:tcBorders>
          </w:tcPr>
          <w:p>
            <w:pPr>
              <w:pStyle w:val="TableParagraph"/>
              <w:spacing w:before="47"/>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51"/>
              <w:jc w:val="left"/>
              <w:rPr>
                <w:sz w:val="18"/>
              </w:rPr>
            </w:pPr>
            <w:r>
              <w:rPr>
                <w:w w:val="99"/>
                <w:sz w:val="18"/>
              </w:rPr>
              <w:t>0</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53"/>
              <w:jc w:val="left"/>
              <w:rPr>
                <w:sz w:val="18"/>
              </w:rPr>
            </w:pPr>
            <w:r>
              <w:rPr>
                <w:w w:val="99"/>
                <w:sz w:val="18"/>
              </w:rPr>
              <w:t>0</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2</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2</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2</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47"/>
              <w:ind w:left="184"/>
              <w:jc w:val="left"/>
              <w:rPr>
                <w:sz w:val="18"/>
              </w:rPr>
            </w:pPr>
            <w:r>
              <w:rPr>
                <w:w w:val="99"/>
                <w:sz w:val="18"/>
              </w:rPr>
              <w:t>4</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83" w:right="76"/>
              <w:rPr>
                <w:sz w:val="18"/>
              </w:rPr>
            </w:pPr>
            <w:r>
              <w:rPr>
                <w:sz w:val="18"/>
              </w:rPr>
              <w:t>18</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right="149"/>
              <w:jc w:val="right"/>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2"/>
              <w:ind w:right="127"/>
              <w:jc w:val="right"/>
              <w:rPr>
                <w:b/>
                <w:sz w:val="18"/>
              </w:rPr>
            </w:pPr>
            <w:r>
              <w:rPr>
                <w:b/>
                <w:w w:val="95"/>
                <w:sz w:val="18"/>
              </w:rPr>
              <w:t>28</w:t>
            </w:r>
          </w:p>
        </w:tc>
      </w:tr>
      <w:tr>
        <w:trPr>
          <w:trHeight w:val="310"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before="40"/>
              <w:ind w:left="67"/>
              <w:jc w:val="left"/>
              <w:rPr>
                <w:b/>
                <w:sz w:val="18"/>
              </w:rPr>
            </w:pPr>
            <w:r>
              <w:rPr>
                <w:b/>
                <w:sz w:val="18"/>
              </w:rPr>
              <w:t>ACOLMAN</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5"/>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5"/>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5"/>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5"/>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5"/>
              <w:ind w:left="1"/>
              <w:rPr>
                <w:sz w:val="18"/>
              </w:rPr>
            </w:pPr>
            <w:r>
              <w:rPr>
                <w:w w:val="99"/>
                <w:sz w:val="18"/>
              </w:rPr>
              <w:t>0</w:t>
            </w:r>
          </w:p>
        </w:tc>
        <w:tc>
          <w:tcPr>
            <w:tcW w:w="416" w:type="dxa"/>
            <w:tcBorders>
              <w:top w:val="single" w:sz="4" w:space="0" w:color="000000"/>
              <w:left w:val="single" w:sz="4" w:space="0" w:color="000000"/>
              <w:bottom w:val="single" w:sz="4" w:space="0" w:color="000000"/>
              <w:right w:val="single" w:sz="4" w:space="0" w:color="000000"/>
            </w:tcBorders>
          </w:tcPr>
          <w:p>
            <w:pPr>
              <w:pStyle w:val="TableParagraph"/>
              <w:spacing w:before="45"/>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5"/>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5"/>
              <w:ind w:left="151"/>
              <w:jc w:val="left"/>
              <w:rPr>
                <w:sz w:val="18"/>
              </w:rPr>
            </w:pPr>
            <w:r>
              <w:rPr>
                <w:w w:val="99"/>
                <w:sz w:val="18"/>
              </w:rPr>
              <w:t>0</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45"/>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5"/>
              <w:ind w:left="153"/>
              <w:jc w:val="left"/>
              <w:rPr>
                <w:sz w:val="18"/>
              </w:rPr>
            </w:pPr>
            <w:r>
              <w:rPr>
                <w:w w:val="99"/>
                <w:sz w:val="18"/>
              </w:rPr>
              <w:t>0</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45"/>
              <w:ind w:lef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5"/>
              <w:ind w:left="4"/>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5"/>
              <w:ind w:left="1"/>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45"/>
              <w:ind w:left="184"/>
              <w:jc w:val="left"/>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5"/>
              <w:ind w:left="1"/>
              <w:rPr>
                <w:sz w:val="18"/>
              </w:rPr>
            </w:pPr>
            <w:r>
              <w:rPr>
                <w:w w:val="99"/>
                <w:sz w:val="18"/>
              </w:rPr>
              <w:t>1</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5"/>
              <w:ind w:right="149"/>
              <w:jc w:val="right"/>
              <w:rPr>
                <w:sz w:val="18"/>
              </w:rPr>
            </w:pPr>
            <w:r>
              <w:rPr>
                <w:w w:val="99"/>
                <w:sz w:val="18"/>
              </w:rPr>
              <w:t>3</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0"/>
              <w:ind w:left="4"/>
              <w:rPr>
                <w:b/>
                <w:sz w:val="18"/>
              </w:rPr>
            </w:pPr>
            <w:r>
              <w:rPr>
                <w:b/>
                <w:w w:val="99"/>
                <w:sz w:val="18"/>
              </w:rPr>
              <w:t>4</w:t>
            </w:r>
          </w:p>
        </w:tc>
      </w:tr>
      <w:tr>
        <w:trPr>
          <w:trHeight w:val="310"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before="40"/>
              <w:ind w:left="67"/>
              <w:jc w:val="left"/>
              <w:rPr>
                <w:b/>
                <w:sz w:val="18"/>
              </w:rPr>
            </w:pPr>
            <w:r>
              <w:rPr>
                <w:b/>
                <w:sz w:val="18"/>
              </w:rPr>
              <w:t>ACULCO</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6" w:type="dxa"/>
            <w:tcBorders>
              <w:top w:val="single" w:sz="4" w:space="0" w:color="000000"/>
              <w:left w:val="single" w:sz="4" w:space="0" w:color="000000"/>
              <w:bottom w:val="single" w:sz="4" w:space="0" w:color="000000"/>
              <w:right w:val="single" w:sz="4" w:space="0" w:color="000000"/>
            </w:tcBorders>
          </w:tcPr>
          <w:p>
            <w:pPr>
              <w:pStyle w:val="TableParagraph"/>
              <w:spacing w:before="44"/>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right="1"/>
              <w:rPr>
                <w:sz w:val="18"/>
              </w:rPr>
            </w:pPr>
            <w:r>
              <w:rPr>
                <w:w w:val="99"/>
                <w:sz w:val="18"/>
              </w:rPr>
              <w:t>1</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03"/>
              <w:jc w:val="left"/>
              <w:rPr>
                <w:sz w:val="18"/>
              </w:rPr>
            </w:pPr>
            <w:r>
              <w:rPr>
                <w:sz w:val="18"/>
              </w:rPr>
              <w:t>48</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44"/>
              <w:rPr>
                <w:sz w:val="18"/>
              </w:rPr>
            </w:pPr>
            <w:r>
              <w:rPr>
                <w:w w:val="99"/>
                <w:sz w:val="18"/>
              </w:rPr>
              <w:t>1</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05"/>
              <w:jc w:val="left"/>
              <w:rPr>
                <w:sz w:val="18"/>
              </w:rPr>
            </w:pPr>
            <w:r>
              <w:rPr>
                <w:sz w:val="18"/>
              </w:rPr>
              <w:t>18</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4"/>
              <w:ind w:left="62" w:right="58"/>
              <w:rPr>
                <w:sz w:val="18"/>
              </w:rPr>
            </w:pPr>
            <w:r>
              <w:rPr>
                <w:sz w:val="18"/>
              </w:rPr>
              <w:t>282</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44"/>
              <w:ind w:left="84"/>
              <w:jc w:val="left"/>
              <w:rPr>
                <w:sz w:val="18"/>
              </w:rPr>
            </w:pPr>
            <w:r>
              <w:rPr>
                <w:sz w:val="18"/>
              </w:rPr>
              <w:t>446</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83" w:right="76"/>
              <w:rPr>
                <w:sz w:val="18"/>
              </w:rPr>
            </w:pPr>
            <w:r>
              <w:rPr>
                <w:sz w:val="18"/>
              </w:rPr>
              <w:t>10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right="149"/>
              <w:jc w:val="right"/>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0"/>
              <w:ind w:right="77"/>
              <w:jc w:val="right"/>
              <w:rPr>
                <w:b/>
                <w:sz w:val="18"/>
              </w:rPr>
            </w:pPr>
            <w:r>
              <w:rPr>
                <w:b/>
                <w:w w:val="95"/>
                <w:sz w:val="18"/>
              </w:rPr>
              <w:t>808</w:t>
            </w:r>
          </w:p>
        </w:tc>
      </w:tr>
      <w:tr>
        <w:trPr>
          <w:trHeight w:val="310"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before="40"/>
              <w:ind w:left="67"/>
              <w:jc w:val="left"/>
              <w:rPr>
                <w:b/>
                <w:sz w:val="18"/>
              </w:rPr>
            </w:pPr>
            <w:r>
              <w:rPr>
                <w:b/>
                <w:sz w:val="18"/>
              </w:rPr>
              <w:t>ALMOLOYA DE ALQUISIRAS</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6" w:type="dxa"/>
            <w:tcBorders>
              <w:top w:val="single" w:sz="4" w:space="0" w:color="000000"/>
              <w:left w:val="single" w:sz="4" w:space="0" w:color="000000"/>
              <w:bottom w:val="single" w:sz="4" w:space="0" w:color="000000"/>
              <w:right w:val="single" w:sz="4" w:space="0" w:color="000000"/>
            </w:tcBorders>
          </w:tcPr>
          <w:p>
            <w:pPr>
              <w:pStyle w:val="TableParagraph"/>
              <w:spacing w:before="44"/>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51"/>
              <w:jc w:val="left"/>
              <w:rPr>
                <w:sz w:val="18"/>
              </w:rPr>
            </w:pPr>
            <w:r>
              <w:rPr>
                <w:w w:val="99"/>
                <w:sz w:val="18"/>
              </w:rPr>
              <w:t>0</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44"/>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53"/>
              <w:jc w:val="left"/>
              <w:rPr>
                <w:sz w:val="18"/>
              </w:rPr>
            </w:pPr>
            <w:r>
              <w:rPr>
                <w:w w:val="99"/>
                <w:sz w:val="18"/>
              </w:rPr>
              <w:t>0</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44"/>
              <w:ind w:left="184"/>
              <w:jc w:val="left"/>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right="149"/>
              <w:jc w:val="right"/>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0"/>
              <w:ind w:left="4"/>
              <w:rPr>
                <w:b/>
                <w:sz w:val="18"/>
              </w:rPr>
            </w:pPr>
            <w:r>
              <w:rPr>
                <w:b/>
                <w:w w:val="99"/>
                <w:sz w:val="18"/>
              </w:rPr>
              <w:t>0</w:t>
            </w:r>
          </w:p>
        </w:tc>
      </w:tr>
      <w:tr>
        <w:trPr>
          <w:trHeight w:val="310"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before="42"/>
              <w:ind w:left="67"/>
              <w:jc w:val="left"/>
              <w:rPr>
                <w:b/>
                <w:sz w:val="18"/>
              </w:rPr>
            </w:pPr>
            <w:r>
              <w:rPr>
                <w:b/>
                <w:sz w:val="18"/>
              </w:rPr>
              <w:t>ALMOLOYA DE JUAREZ</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6" w:type="dxa"/>
            <w:tcBorders>
              <w:top w:val="single" w:sz="4" w:space="0" w:color="000000"/>
              <w:left w:val="single" w:sz="4" w:space="0" w:color="000000"/>
              <w:bottom w:val="single" w:sz="4" w:space="0" w:color="000000"/>
              <w:right w:val="single" w:sz="4" w:space="0" w:color="000000"/>
            </w:tcBorders>
          </w:tcPr>
          <w:p>
            <w:pPr>
              <w:pStyle w:val="TableParagraph"/>
              <w:spacing w:before="47"/>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51"/>
              <w:jc w:val="left"/>
              <w:rPr>
                <w:sz w:val="18"/>
              </w:rPr>
            </w:pPr>
            <w:r>
              <w:rPr>
                <w:w w:val="99"/>
                <w:sz w:val="18"/>
              </w:rPr>
              <w:t>0</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1</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05"/>
              <w:jc w:val="left"/>
              <w:rPr>
                <w:sz w:val="18"/>
              </w:rPr>
            </w:pPr>
            <w:r>
              <w:rPr>
                <w:sz w:val="18"/>
              </w:rPr>
              <w:t>32</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2</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7"/>
              <w:ind w:left="62" w:right="58"/>
              <w:rPr>
                <w:sz w:val="18"/>
              </w:rPr>
            </w:pPr>
            <w:r>
              <w:rPr>
                <w:sz w:val="18"/>
              </w:rPr>
              <w:t>27</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5</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47"/>
              <w:ind w:left="134"/>
              <w:jc w:val="left"/>
              <w:rPr>
                <w:sz w:val="18"/>
              </w:rPr>
            </w:pPr>
            <w:r>
              <w:rPr>
                <w:sz w:val="18"/>
              </w:rPr>
              <w:t>54</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2</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right="149"/>
              <w:jc w:val="right"/>
              <w:rPr>
                <w:sz w:val="18"/>
              </w:rPr>
            </w:pPr>
            <w:r>
              <w:rPr>
                <w:w w:val="99"/>
                <w:sz w:val="18"/>
              </w:rPr>
              <w:t>4</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2"/>
              <w:ind w:right="77"/>
              <w:jc w:val="right"/>
              <w:rPr>
                <w:b/>
                <w:sz w:val="18"/>
              </w:rPr>
            </w:pPr>
            <w:r>
              <w:rPr>
                <w:b/>
                <w:w w:val="95"/>
                <w:sz w:val="18"/>
              </w:rPr>
              <w:t>127</w:t>
            </w:r>
          </w:p>
        </w:tc>
      </w:tr>
      <w:tr>
        <w:trPr>
          <w:trHeight w:val="310"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before="42"/>
              <w:ind w:left="67"/>
              <w:jc w:val="left"/>
              <w:rPr>
                <w:b/>
                <w:sz w:val="18"/>
              </w:rPr>
            </w:pPr>
            <w:r>
              <w:rPr>
                <w:b/>
                <w:sz w:val="18"/>
              </w:rPr>
              <w:t>ALMOLOYA DEL RIO</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1</w:t>
            </w:r>
          </w:p>
        </w:tc>
        <w:tc>
          <w:tcPr>
            <w:tcW w:w="416" w:type="dxa"/>
            <w:tcBorders>
              <w:top w:val="single" w:sz="4" w:space="0" w:color="000000"/>
              <w:left w:val="single" w:sz="4" w:space="0" w:color="000000"/>
              <w:bottom w:val="single" w:sz="4" w:space="0" w:color="000000"/>
              <w:right w:val="single" w:sz="4" w:space="0" w:color="000000"/>
            </w:tcBorders>
          </w:tcPr>
          <w:p>
            <w:pPr>
              <w:pStyle w:val="TableParagraph"/>
              <w:spacing w:before="47"/>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right="1"/>
              <w:rPr>
                <w:sz w:val="18"/>
              </w:rPr>
            </w:pPr>
            <w:r>
              <w:rPr>
                <w:w w:val="99"/>
                <w:sz w:val="18"/>
              </w:rPr>
              <w:t>1</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51"/>
              <w:jc w:val="left"/>
              <w:rPr>
                <w:sz w:val="18"/>
              </w:rPr>
            </w:pPr>
            <w:r>
              <w:rPr>
                <w:w w:val="99"/>
                <w:sz w:val="18"/>
              </w:rPr>
              <w:t>0</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1</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53"/>
              <w:jc w:val="left"/>
              <w:rPr>
                <w:sz w:val="18"/>
              </w:rPr>
            </w:pPr>
            <w:r>
              <w:rPr>
                <w:w w:val="99"/>
                <w:sz w:val="18"/>
              </w:rPr>
              <w:t>0</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8</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47"/>
              <w:ind w:left="184"/>
              <w:jc w:val="left"/>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right="149"/>
              <w:jc w:val="right"/>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2"/>
              <w:ind w:right="127"/>
              <w:jc w:val="right"/>
              <w:rPr>
                <w:b/>
                <w:sz w:val="18"/>
              </w:rPr>
            </w:pPr>
            <w:r>
              <w:rPr>
                <w:b/>
                <w:w w:val="95"/>
                <w:sz w:val="18"/>
              </w:rPr>
              <w:t>12</w:t>
            </w:r>
          </w:p>
        </w:tc>
      </w:tr>
      <w:tr>
        <w:trPr>
          <w:trHeight w:val="312"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before="42"/>
              <w:ind w:left="67"/>
              <w:jc w:val="left"/>
              <w:rPr>
                <w:b/>
                <w:sz w:val="18"/>
              </w:rPr>
            </w:pPr>
            <w:r>
              <w:rPr>
                <w:b/>
                <w:sz w:val="18"/>
              </w:rPr>
              <w:t>AMANALCO</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6" w:type="dxa"/>
            <w:tcBorders>
              <w:top w:val="single" w:sz="4" w:space="0" w:color="000000"/>
              <w:left w:val="single" w:sz="4" w:space="0" w:color="000000"/>
              <w:bottom w:val="single" w:sz="4" w:space="0" w:color="000000"/>
              <w:right w:val="single" w:sz="4" w:space="0" w:color="000000"/>
            </w:tcBorders>
          </w:tcPr>
          <w:p>
            <w:pPr>
              <w:pStyle w:val="TableParagraph"/>
              <w:spacing w:before="47"/>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right="1"/>
              <w:rPr>
                <w:sz w:val="18"/>
              </w:rPr>
            </w:pPr>
            <w:r>
              <w:rPr>
                <w:w w:val="99"/>
                <w:sz w:val="18"/>
              </w:rPr>
              <w:t>1</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51"/>
              <w:jc w:val="left"/>
              <w:rPr>
                <w:sz w:val="18"/>
              </w:rPr>
            </w:pPr>
            <w:r>
              <w:rPr>
                <w:w w:val="99"/>
                <w:sz w:val="18"/>
              </w:rPr>
              <w:t>2</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2</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53"/>
              <w:jc w:val="left"/>
              <w:rPr>
                <w:sz w:val="18"/>
              </w:rPr>
            </w:pPr>
            <w:r>
              <w:rPr>
                <w:w w:val="99"/>
                <w:sz w:val="18"/>
              </w:rPr>
              <w:t>0</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2</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3</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47"/>
              <w:ind w:left="184"/>
              <w:jc w:val="left"/>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6</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right="149"/>
              <w:jc w:val="right"/>
              <w:rPr>
                <w:sz w:val="18"/>
              </w:rPr>
            </w:pPr>
            <w:r>
              <w:rPr>
                <w:w w:val="99"/>
                <w:sz w:val="18"/>
              </w:rPr>
              <w:t>8</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2"/>
              <w:ind w:right="127"/>
              <w:jc w:val="right"/>
              <w:rPr>
                <w:b/>
                <w:sz w:val="18"/>
              </w:rPr>
            </w:pPr>
            <w:r>
              <w:rPr>
                <w:b/>
                <w:w w:val="95"/>
                <w:sz w:val="18"/>
              </w:rPr>
              <w:t>24</w:t>
            </w:r>
          </w:p>
        </w:tc>
      </w:tr>
      <w:tr>
        <w:trPr>
          <w:trHeight w:val="310"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before="40"/>
              <w:ind w:left="67"/>
              <w:jc w:val="left"/>
              <w:rPr>
                <w:b/>
                <w:sz w:val="18"/>
              </w:rPr>
            </w:pPr>
            <w:r>
              <w:rPr>
                <w:b/>
                <w:sz w:val="18"/>
              </w:rPr>
              <w:t>AMATEPEC</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6" w:type="dxa"/>
            <w:tcBorders>
              <w:top w:val="single" w:sz="4" w:space="0" w:color="000000"/>
              <w:left w:val="single" w:sz="4" w:space="0" w:color="000000"/>
              <w:bottom w:val="single" w:sz="4" w:space="0" w:color="000000"/>
              <w:right w:val="single" w:sz="4" w:space="0" w:color="000000"/>
            </w:tcBorders>
          </w:tcPr>
          <w:p>
            <w:pPr>
              <w:pStyle w:val="TableParagraph"/>
              <w:spacing w:before="44"/>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51"/>
              <w:jc w:val="left"/>
              <w:rPr>
                <w:sz w:val="18"/>
              </w:rPr>
            </w:pPr>
            <w:r>
              <w:rPr>
                <w:w w:val="99"/>
                <w:sz w:val="18"/>
              </w:rPr>
              <w:t>0</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44"/>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53"/>
              <w:jc w:val="left"/>
              <w:rPr>
                <w:sz w:val="18"/>
              </w:rPr>
            </w:pPr>
            <w:r>
              <w:rPr>
                <w:w w:val="99"/>
                <w:sz w:val="18"/>
              </w:rPr>
              <w:t>0</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44"/>
              <w:ind w:left="184"/>
              <w:jc w:val="left"/>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2</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right="149"/>
              <w:jc w:val="right"/>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0"/>
              <w:ind w:left="4"/>
              <w:rPr>
                <w:b/>
                <w:sz w:val="18"/>
              </w:rPr>
            </w:pPr>
            <w:r>
              <w:rPr>
                <w:b/>
                <w:w w:val="99"/>
                <w:sz w:val="18"/>
              </w:rPr>
              <w:t>3</w:t>
            </w:r>
          </w:p>
        </w:tc>
      </w:tr>
      <w:tr>
        <w:trPr>
          <w:trHeight w:val="310"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before="40"/>
              <w:ind w:left="67"/>
              <w:jc w:val="left"/>
              <w:rPr>
                <w:b/>
                <w:sz w:val="18"/>
              </w:rPr>
            </w:pPr>
            <w:r>
              <w:rPr>
                <w:b/>
                <w:sz w:val="18"/>
              </w:rPr>
              <w:t>AMECAMECA</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6" w:type="dxa"/>
            <w:tcBorders>
              <w:top w:val="single" w:sz="4" w:space="0" w:color="000000"/>
              <w:left w:val="single" w:sz="4" w:space="0" w:color="000000"/>
              <w:bottom w:val="single" w:sz="4" w:space="0" w:color="000000"/>
              <w:right w:val="single" w:sz="4" w:space="0" w:color="000000"/>
            </w:tcBorders>
          </w:tcPr>
          <w:p>
            <w:pPr>
              <w:pStyle w:val="TableParagraph"/>
              <w:spacing w:before="44"/>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51"/>
              <w:jc w:val="left"/>
              <w:rPr>
                <w:sz w:val="18"/>
              </w:rPr>
            </w:pPr>
            <w:r>
              <w:rPr>
                <w:w w:val="99"/>
                <w:sz w:val="18"/>
              </w:rPr>
              <w:t>0</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44"/>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53"/>
              <w:jc w:val="left"/>
              <w:rPr>
                <w:sz w:val="18"/>
              </w:rPr>
            </w:pPr>
            <w:r>
              <w:rPr>
                <w:w w:val="99"/>
                <w:sz w:val="18"/>
              </w:rPr>
              <w:t>0</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44"/>
              <w:ind w:left="184"/>
              <w:jc w:val="left"/>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right="149"/>
              <w:jc w:val="right"/>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0"/>
              <w:ind w:left="4"/>
              <w:rPr>
                <w:b/>
                <w:sz w:val="18"/>
              </w:rPr>
            </w:pPr>
            <w:r>
              <w:rPr>
                <w:b/>
                <w:w w:val="99"/>
                <w:sz w:val="18"/>
              </w:rPr>
              <w:t>0</w:t>
            </w:r>
          </w:p>
        </w:tc>
      </w:tr>
      <w:tr>
        <w:trPr>
          <w:trHeight w:val="310"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before="40"/>
              <w:ind w:left="67"/>
              <w:jc w:val="left"/>
              <w:rPr>
                <w:b/>
                <w:sz w:val="18"/>
              </w:rPr>
            </w:pPr>
            <w:r>
              <w:rPr>
                <w:b/>
                <w:sz w:val="18"/>
              </w:rPr>
              <w:t>APAXCO</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6" w:type="dxa"/>
            <w:tcBorders>
              <w:top w:val="single" w:sz="4" w:space="0" w:color="000000"/>
              <w:left w:val="single" w:sz="4" w:space="0" w:color="000000"/>
              <w:bottom w:val="single" w:sz="4" w:space="0" w:color="000000"/>
              <w:right w:val="single" w:sz="4" w:space="0" w:color="000000"/>
            </w:tcBorders>
          </w:tcPr>
          <w:p>
            <w:pPr>
              <w:pStyle w:val="TableParagraph"/>
              <w:spacing w:before="44"/>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51"/>
              <w:jc w:val="left"/>
              <w:rPr>
                <w:sz w:val="18"/>
              </w:rPr>
            </w:pPr>
            <w:r>
              <w:rPr>
                <w:w w:val="99"/>
                <w:sz w:val="18"/>
              </w:rPr>
              <w:t>0</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44"/>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53"/>
              <w:jc w:val="left"/>
              <w:rPr>
                <w:sz w:val="18"/>
              </w:rPr>
            </w:pPr>
            <w:r>
              <w:rPr>
                <w:w w:val="99"/>
                <w:sz w:val="18"/>
              </w:rPr>
              <w:t>0</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44"/>
              <w:ind w:left="184"/>
              <w:jc w:val="left"/>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right="149"/>
              <w:jc w:val="right"/>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0"/>
              <w:ind w:left="4"/>
              <w:rPr>
                <w:b/>
                <w:sz w:val="18"/>
              </w:rPr>
            </w:pPr>
            <w:r>
              <w:rPr>
                <w:b/>
                <w:w w:val="99"/>
                <w:sz w:val="18"/>
              </w:rPr>
              <w:t>0</w:t>
            </w:r>
          </w:p>
        </w:tc>
      </w:tr>
      <w:tr>
        <w:trPr>
          <w:trHeight w:val="310"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before="42"/>
              <w:ind w:left="67"/>
              <w:jc w:val="left"/>
              <w:rPr>
                <w:b/>
                <w:sz w:val="18"/>
              </w:rPr>
            </w:pPr>
            <w:r>
              <w:rPr>
                <w:b/>
                <w:sz w:val="18"/>
              </w:rPr>
              <w:t>ATENCO</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6" w:type="dxa"/>
            <w:tcBorders>
              <w:top w:val="single" w:sz="4" w:space="0" w:color="000000"/>
              <w:left w:val="single" w:sz="4" w:space="0" w:color="000000"/>
              <w:bottom w:val="single" w:sz="4" w:space="0" w:color="000000"/>
              <w:right w:val="single" w:sz="4" w:space="0" w:color="000000"/>
            </w:tcBorders>
          </w:tcPr>
          <w:p>
            <w:pPr>
              <w:pStyle w:val="TableParagraph"/>
              <w:spacing w:before="47"/>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51"/>
              <w:jc w:val="left"/>
              <w:rPr>
                <w:sz w:val="18"/>
              </w:rPr>
            </w:pPr>
            <w:r>
              <w:rPr>
                <w:w w:val="99"/>
                <w:sz w:val="18"/>
              </w:rPr>
              <w:t>0</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53"/>
              <w:jc w:val="left"/>
              <w:rPr>
                <w:sz w:val="18"/>
              </w:rPr>
            </w:pPr>
            <w:r>
              <w:rPr>
                <w:w w:val="99"/>
                <w:sz w:val="18"/>
              </w:rPr>
              <w:t>0</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47"/>
              <w:ind w:left="184"/>
              <w:jc w:val="left"/>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right="149"/>
              <w:jc w:val="right"/>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2"/>
              <w:ind w:left="4"/>
              <w:rPr>
                <w:b/>
                <w:sz w:val="18"/>
              </w:rPr>
            </w:pPr>
            <w:r>
              <w:rPr>
                <w:b/>
                <w:w w:val="99"/>
                <w:sz w:val="18"/>
              </w:rPr>
              <w:t>0</w:t>
            </w:r>
          </w:p>
        </w:tc>
      </w:tr>
      <w:tr>
        <w:trPr>
          <w:trHeight w:val="310"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before="42"/>
              <w:ind w:left="67"/>
              <w:jc w:val="left"/>
              <w:rPr>
                <w:b/>
                <w:sz w:val="18"/>
              </w:rPr>
            </w:pPr>
            <w:r>
              <w:rPr>
                <w:b/>
                <w:sz w:val="18"/>
              </w:rPr>
              <w:t>ATIZAPAN</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6" w:type="dxa"/>
            <w:tcBorders>
              <w:top w:val="single" w:sz="4" w:space="0" w:color="000000"/>
              <w:left w:val="single" w:sz="4" w:space="0" w:color="000000"/>
              <w:bottom w:val="single" w:sz="4" w:space="0" w:color="000000"/>
              <w:right w:val="single" w:sz="4" w:space="0" w:color="000000"/>
            </w:tcBorders>
          </w:tcPr>
          <w:p>
            <w:pPr>
              <w:pStyle w:val="TableParagraph"/>
              <w:spacing w:before="47"/>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51"/>
              <w:jc w:val="left"/>
              <w:rPr>
                <w:sz w:val="18"/>
              </w:rPr>
            </w:pPr>
            <w:r>
              <w:rPr>
                <w:w w:val="99"/>
                <w:sz w:val="18"/>
              </w:rPr>
              <w:t>0</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53"/>
              <w:jc w:val="left"/>
              <w:rPr>
                <w:sz w:val="18"/>
              </w:rPr>
            </w:pPr>
            <w:r>
              <w:rPr>
                <w:w w:val="99"/>
                <w:sz w:val="18"/>
              </w:rPr>
              <w:t>0</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47"/>
              <w:ind w:left="184"/>
              <w:jc w:val="left"/>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right="149"/>
              <w:jc w:val="right"/>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2"/>
              <w:ind w:left="4"/>
              <w:rPr>
                <w:b/>
                <w:sz w:val="18"/>
              </w:rPr>
            </w:pPr>
            <w:r>
              <w:rPr>
                <w:b/>
                <w:w w:val="99"/>
                <w:sz w:val="18"/>
              </w:rPr>
              <w:t>0</w:t>
            </w:r>
          </w:p>
        </w:tc>
      </w:tr>
      <w:tr>
        <w:trPr>
          <w:trHeight w:val="312"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before="42"/>
              <w:ind w:left="67"/>
              <w:jc w:val="left"/>
              <w:rPr>
                <w:b/>
                <w:sz w:val="18"/>
              </w:rPr>
            </w:pPr>
            <w:r>
              <w:rPr>
                <w:b/>
                <w:sz w:val="18"/>
              </w:rPr>
              <w:t>ATIZAPAN DE ZARAGOZA</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6" w:type="dxa"/>
            <w:tcBorders>
              <w:top w:val="single" w:sz="4" w:space="0" w:color="000000"/>
              <w:left w:val="single" w:sz="4" w:space="0" w:color="000000"/>
              <w:bottom w:val="single" w:sz="4" w:space="0" w:color="000000"/>
              <w:right w:val="single" w:sz="4" w:space="0" w:color="000000"/>
            </w:tcBorders>
          </w:tcPr>
          <w:p>
            <w:pPr>
              <w:pStyle w:val="TableParagraph"/>
              <w:spacing w:before="47"/>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right="1"/>
              <w:rPr>
                <w:sz w:val="18"/>
              </w:rPr>
            </w:pPr>
            <w:r>
              <w:rPr>
                <w:w w:val="99"/>
                <w:sz w:val="18"/>
              </w:rPr>
              <w:t>1</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03"/>
              <w:jc w:val="left"/>
              <w:rPr>
                <w:sz w:val="18"/>
              </w:rPr>
            </w:pPr>
            <w:r>
              <w:rPr>
                <w:sz w:val="18"/>
              </w:rPr>
              <w:t>72</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1</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05"/>
              <w:jc w:val="left"/>
              <w:rPr>
                <w:sz w:val="18"/>
              </w:rPr>
            </w:pPr>
            <w:r>
              <w:rPr>
                <w:sz w:val="18"/>
              </w:rPr>
              <w:t>17</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2</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7"/>
              <w:ind w:left="62" w:right="58"/>
              <w:rPr>
                <w:sz w:val="18"/>
              </w:rPr>
            </w:pPr>
            <w:r>
              <w:rPr>
                <w:sz w:val="18"/>
              </w:rPr>
              <w:t>42</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2</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47"/>
              <w:ind w:left="134"/>
              <w:jc w:val="left"/>
              <w:rPr>
                <w:sz w:val="18"/>
              </w:rPr>
            </w:pPr>
            <w:r>
              <w:rPr>
                <w:sz w:val="18"/>
              </w:rPr>
              <w:t>51</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1</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right="96"/>
              <w:jc w:val="right"/>
              <w:rPr>
                <w:sz w:val="18"/>
              </w:rPr>
            </w:pPr>
            <w:r>
              <w:rPr>
                <w:w w:val="95"/>
                <w:sz w:val="18"/>
              </w:rPr>
              <w:t>11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2"/>
              <w:ind w:right="77"/>
              <w:jc w:val="right"/>
              <w:rPr>
                <w:b/>
                <w:sz w:val="18"/>
              </w:rPr>
            </w:pPr>
            <w:r>
              <w:rPr>
                <w:b/>
                <w:w w:val="95"/>
                <w:sz w:val="18"/>
              </w:rPr>
              <w:t>200</w:t>
            </w:r>
          </w:p>
        </w:tc>
      </w:tr>
      <w:tr>
        <w:trPr>
          <w:trHeight w:val="310"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before="40"/>
              <w:ind w:left="67"/>
              <w:jc w:val="left"/>
              <w:rPr>
                <w:b/>
                <w:sz w:val="18"/>
              </w:rPr>
            </w:pPr>
            <w:r>
              <w:rPr>
                <w:b/>
                <w:sz w:val="18"/>
              </w:rPr>
              <w:t>ATLACOMULCO</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1</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1</w:t>
            </w:r>
          </w:p>
        </w:tc>
        <w:tc>
          <w:tcPr>
            <w:tcW w:w="416" w:type="dxa"/>
            <w:tcBorders>
              <w:top w:val="single" w:sz="4" w:space="0" w:color="000000"/>
              <w:left w:val="single" w:sz="4" w:space="0" w:color="000000"/>
              <w:bottom w:val="single" w:sz="4" w:space="0" w:color="000000"/>
              <w:right w:val="single" w:sz="4" w:space="0" w:color="000000"/>
            </w:tcBorders>
          </w:tcPr>
          <w:p>
            <w:pPr>
              <w:pStyle w:val="TableParagraph"/>
              <w:spacing w:before="44"/>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right="1"/>
              <w:rPr>
                <w:sz w:val="18"/>
              </w:rPr>
            </w:pPr>
            <w:r>
              <w:rPr>
                <w:w w:val="99"/>
                <w:sz w:val="18"/>
              </w:rPr>
              <w:t>1</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51"/>
              <w:jc w:val="left"/>
              <w:rPr>
                <w:sz w:val="18"/>
              </w:rPr>
            </w:pPr>
            <w:r>
              <w:rPr>
                <w:w w:val="99"/>
                <w:sz w:val="18"/>
              </w:rPr>
              <w:t>0</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44"/>
              <w:rPr>
                <w:sz w:val="18"/>
              </w:rPr>
            </w:pPr>
            <w:r>
              <w:rPr>
                <w:w w:val="99"/>
                <w:sz w:val="18"/>
              </w:rPr>
              <w:t>1</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53"/>
              <w:jc w:val="left"/>
              <w:rPr>
                <w:sz w:val="18"/>
              </w:rPr>
            </w:pPr>
            <w:r>
              <w:rPr>
                <w:w w:val="99"/>
                <w:sz w:val="18"/>
              </w:rPr>
              <w:t>0</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2</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4"/>
              <w:ind w:left="62" w:right="58"/>
              <w:rPr>
                <w:sz w:val="18"/>
              </w:rPr>
            </w:pPr>
            <w:r>
              <w:rPr>
                <w:sz w:val="18"/>
              </w:rPr>
              <w:t>78</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44"/>
              <w:ind w:left="134"/>
              <w:jc w:val="left"/>
              <w:rPr>
                <w:sz w:val="18"/>
              </w:rPr>
            </w:pPr>
            <w:r>
              <w:rPr>
                <w:sz w:val="18"/>
              </w:rPr>
              <w:t>52</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1</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right="96"/>
              <w:jc w:val="right"/>
              <w:rPr>
                <w:sz w:val="18"/>
              </w:rPr>
            </w:pPr>
            <w:r>
              <w:rPr>
                <w:w w:val="95"/>
                <w:sz w:val="18"/>
              </w:rPr>
              <w:t>11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0"/>
              <w:ind w:right="77"/>
              <w:jc w:val="right"/>
              <w:rPr>
                <w:b/>
                <w:sz w:val="18"/>
              </w:rPr>
            </w:pPr>
            <w:r>
              <w:rPr>
                <w:b/>
                <w:w w:val="95"/>
                <w:sz w:val="18"/>
              </w:rPr>
              <w:t>149</w:t>
            </w:r>
          </w:p>
        </w:tc>
      </w:tr>
      <w:tr>
        <w:trPr>
          <w:trHeight w:val="310"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before="40"/>
              <w:ind w:left="67"/>
              <w:jc w:val="left"/>
              <w:rPr>
                <w:b/>
                <w:sz w:val="18"/>
              </w:rPr>
            </w:pPr>
            <w:r>
              <w:rPr>
                <w:b/>
                <w:sz w:val="18"/>
              </w:rPr>
              <w:t>ATLAUTLA</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6" w:type="dxa"/>
            <w:tcBorders>
              <w:top w:val="single" w:sz="4" w:space="0" w:color="000000"/>
              <w:left w:val="single" w:sz="4" w:space="0" w:color="000000"/>
              <w:bottom w:val="single" w:sz="4" w:space="0" w:color="000000"/>
              <w:right w:val="single" w:sz="4" w:space="0" w:color="000000"/>
            </w:tcBorders>
          </w:tcPr>
          <w:p>
            <w:pPr>
              <w:pStyle w:val="TableParagraph"/>
              <w:spacing w:before="44"/>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51"/>
              <w:jc w:val="left"/>
              <w:rPr>
                <w:sz w:val="18"/>
              </w:rPr>
            </w:pPr>
            <w:r>
              <w:rPr>
                <w:w w:val="99"/>
                <w:sz w:val="18"/>
              </w:rPr>
              <w:t>0</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44"/>
              <w:rPr>
                <w:sz w:val="18"/>
              </w:rPr>
            </w:pPr>
            <w:r>
              <w:rPr>
                <w:w w:val="99"/>
                <w:sz w:val="18"/>
              </w:rPr>
              <w:t>1</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53"/>
              <w:jc w:val="left"/>
              <w:rPr>
                <w:sz w:val="18"/>
              </w:rPr>
            </w:pPr>
            <w:r>
              <w:rPr>
                <w:w w:val="99"/>
                <w:sz w:val="18"/>
              </w:rPr>
              <w:t>0</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4"/>
              <w:ind w:left="62" w:right="58"/>
              <w:rPr>
                <w:sz w:val="18"/>
              </w:rPr>
            </w:pPr>
            <w:r>
              <w:rPr>
                <w:sz w:val="18"/>
              </w:rPr>
              <w:t>26</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44"/>
              <w:ind w:left="184"/>
              <w:jc w:val="left"/>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right="149"/>
              <w:jc w:val="right"/>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0"/>
              <w:ind w:right="127"/>
              <w:jc w:val="right"/>
              <w:rPr>
                <w:b/>
                <w:sz w:val="18"/>
              </w:rPr>
            </w:pPr>
            <w:r>
              <w:rPr>
                <w:b/>
                <w:w w:val="95"/>
                <w:sz w:val="18"/>
              </w:rPr>
              <w:t>28</w:t>
            </w:r>
          </w:p>
        </w:tc>
      </w:tr>
      <w:tr>
        <w:trPr>
          <w:trHeight w:val="310"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before="40"/>
              <w:ind w:left="67"/>
              <w:jc w:val="left"/>
              <w:rPr>
                <w:b/>
                <w:sz w:val="18"/>
              </w:rPr>
            </w:pPr>
            <w:r>
              <w:rPr>
                <w:b/>
                <w:sz w:val="18"/>
              </w:rPr>
              <w:t>AXAPUSCO</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6" w:type="dxa"/>
            <w:tcBorders>
              <w:top w:val="single" w:sz="4" w:space="0" w:color="000000"/>
              <w:left w:val="single" w:sz="4" w:space="0" w:color="000000"/>
              <w:bottom w:val="single" w:sz="4" w:space="0" w:color="000000"/>
              <w:right w:val="single" w:sz="4" w:space="0" w:color="000000"/>
            </w:tcBorders>
          </w:tcPr>
          <w:p>
            <w:pPr>
              <w:pStyle w:val="TableParagraph"/>
              <w:spacing w:before="44"/>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51"/>
              <w:jc w:val="left"/>
              <w:rPr>
                <w:sz w:val="18"/>
              </w:rPr>
            </w:pPr>
            <w:r>
              <w:rPr>
                <w:w w:val="99"/>
                <w:sz w:val="18"/>
              </w:rPr>
              <w:t>0</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44"/>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53"/>
              <w:jc w:val="left"/>
              <w:rPr>
                <w:sz w:val="18"/>
              </w:rPr>
            </w:pPr>
            <w:r>
              <w:rPr>
                <w:w w:val="99"/>
                <w:sz w:val="18"/>
              </w:rPr>
              <w:t>0</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44"/>
              <w:ind w:left="184"/>
              <w:jc w:val="left"/>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right="149"/>
              <w:jc w:val="right"/>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0"/>
              <w:ind w:left="4"/>
              <w:rPr>
                <w:b/>
                <w:sz w:val="18"/>
              </w:rPr>
            </w:pPr>
            <w:r>
              <w:rPr>
                <w:b/>
                <w:w w:val="99"/>
                <w:sz w:val="18"/>
              </w:rPr>
              <w:t>0</w:t>
            </w:r>
          </w:p>
        </w:tc>
      </w:tr>
      <w:tr>
        <w:trPr>
          <w:trHeight w:val="310"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before="42"/>
              <w:ind w:left="67"/>
              <w:jc w:val="left"/>
              <w:rPr>
                <w:b/>
                <w:sz w:val="18"/>
              </w:rPr>
            </w:pPr>
            <w:r>
              <w:rPr>
                <w:b/>
                <w:sz w:val="18"/>
              </w:rPr>
              <w:t>AYAPANGO</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6" w:type="dxa"/>
            <w:tcBorders>
              <w:top w:val="single" w:sz="4" w:space="0" w:color="000000"/>
              <w:left w:val="single" w:sz="4" w:space="0" w:color="000000"/>
              <w:bottom w:val="single" w:sz="4" w:space="0" w:color="000000"/>
              <w:right w:val="single" w:sz="4" w:space="0" w:color="000000"/>
            </w:tcBorders>
          </w:tcPr>
          <w:p>
            <w:pPr>
              <w:pStyle w:val="TableParagraph"/>
              <w:spacing w:before="47"/>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51"/>
              <w:jc w:val="left"/>
              <w:rPr>
                <w:sz w:val="18"/>
              </w:rPr>
            </w:pPr>
            <w:r>
              <w:rPr>
                <w:w w:val="99"/>
                <w:sz w:val="18"/>
              </w:rPr>
              <w:t>0</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53"/>
              <w:jc w:val="left"/>
              <w:rPr>
                <w:sz w:val="18"/>
              </w:rPr>
            </w:pPr>
            <w:r>
              <w:rPr>
                <w:w w:val="99"/>
                <w:sz w:val="18"/>
              </w:rPr>
              <w:t>0</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47"/>
              <w:ind w:left="184"/>
              <w:jc w:val="left"/>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right="149"/>
              <w:jc w:val="right"/>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2"/>
              <w:ind w:left="4"/>
              <w:rPr>
                <w:b/>
                <w:sz w:val="18"/>
              </w:rPr>
            </w:pPr>
            <w:r>
              <w:rPr>
                <w:b/>
                <w:w w:val="99"/>
                <w:sz w:val="18"/>
              </w:rPr>
              <w:t>0</w:t>
            </w:r>
          </w:p>
        </w:tc>
      </w:tr>
      <w:tr>
        <w:trPr>
          <w:trHeight w:val="310"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before="42"/>
              <w:ind w:left="67"/>
              <w:jc w:val="left"/>
              <w:rPr>
                <w:b/>
                <w:sz w:val="18"/>
              </w:rPr>
            </w:pPr>
            <w:r>
              <w:rPr>
                <w:b/>
                <w:sz w:val="18"/>
              </w:rPr>
              <w:t>CALIMAYA</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6" w:type="dxa"/>
            <w:tcBorders>
              <w:top w:val="single" w:sz="4" w:space="0" w:color="000000"/>
              <w:left w:val="single" w:sz="4" w:space="0" w:color="000000"/>
              <w:bottom w:val="single" w:sz="4" w:space="0" w:color="000000"/>
              <w:right w:val="single" w:sz="4" w:space="0" w:color="000000"/>
            </w:tcBorders>
          </w:tcPr>
          <w:p>
            <w:pPr>
              <w:pStyle w:val="TableParagraph"/>
              <w:spacing w:before="47"/>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51"/>
              <w:jc w:val="left"/>
              <w:rPr>
                <w:sz w:val="18"/>
              </w:rPr>
            </w:pPr>
            <w:r>
              <w:rPr>
                <w:w w:val="99"/>
                <w:sz w:val="18"/>
              </w:rPr>
              <w:t>0</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53"/>
              <w:jc w:val="left"/>
              <w:rPr>
                <w:sz w:val="18"/>
              </w:rPr>
            </w:pPr>
            <w:r>
              <w:rPr>
                <w:w w:val="99"/>
                <w:sz w:val="18"/>
              </w:rPr>
              <w:t>0</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4</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47"/>
              <w:ind w:left="134"/>
              <w:jc w:val="left"/>
              <w:rPr>
                <w:sz w:val="18"/>
              </w:rPr>
            </w:pPr>
            <w:r>
              <w:rPr>
                <w:sz w:val="18"/>
              </w:rPr>
              <w:t>33</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right="149"/>
              <w:jc w:val="right"/>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2"/>
              <w:ind w:right="127"/>
              <w:jc w:val="right"/>
              <w:rPr>
                <w:b/>
                <w:sz w:val="18"/>
              </w:rPr>
            </w:pPr>
            <w:r>
              <w:rPr>
                <w:b/>
                <w:w w:val="95"/>
                <w:sz w:val="18"/>
              </w:rPr>
              <w:t>39</w:t>
            </w:r>
          </w:p>
        </w:tc>
      </w:tr>
      <w:tr>
        <w:trPr>
          <w:trHeight w:val="313"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before="43"/>
              <w:ind w:left="67"/>
              <w:jc w:val="left"/>
              <w:rPr>
                <w:b/>
                <w:sz w:val="18"/>
              </w:rPr>
            </w:pPr>
            <w:r>
              <w:rPr>
                <w:b/>
                <w:sz w:val="18"/>
              </w:rPr>
              <w:t>CAPULHUAC</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0</w:t>
            </w:r>
          </w:p>
        </w:tc>
        <w:tc>
          <w:tcPr>
            <w:tcW w:w="416" w:type="dxa"/>
            <w:tcBorders>
              <w:top w:val="single" w:sz="4" w:space="0" w:color="000000"/>
              <w:left w:val="single" w:sz="4" w:space="0" w:color="000000"/>
              <w:bottom w:val="single" w:sz="4" w:space="0" w:color="000000"/>
              <w:right w:val="single" w:sz="4" w:space="0" w:color="000000"/>
            </w:tcBorders>
          </w:tcPr>
          <w:p>
            <w:pPr>
              <w:pStyle w:val="TableParagraph"/>
              <w:spacing w:before="47"/>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right="1"/>
              <w:rPr>
                <w:sz w:val="18"/>
              </w:rPr>
            </w:pPr>
            <w:r>
              <w:rPr>
                <w:w w:val="99"/>
                <w:sz w:val="18"/>
              </w:rPr>
              <w:t>1</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03"/>
              <w:jc w:val="left"/>
              <w:rPr>
                <w:sz w:val="18"/>
              </w:rPr>
            </w:pPr>
            <w:r>
              <w:rPr>
                <w:sz w:val="18"/>
              </w:rPr>
              <w:t>19</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1</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53"/>
              <w:jc w:val="left"/>
              <w:rPr>
                <w:sz w:val="18"/>
              </w:rPr>
            </w:pPr>
            <w:r>
              <w:rPr>
                <w:w w:val="99"/>
                <w:sz w:val="18"/>
              </w:rPr>
              <w:t>3</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4</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7"/>
              <w:ind w:left="62" w:right="58"/>
              <w:rPr>
                <w:sz w:val="18"/>
              </w:rPr>
            </w:pPr>
            <w:r>
              <w:rPr>
                <w:sz w:val="18"/>
              </w:rPr>
              <w:t>25</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3</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47"/>
              <w:ind w:left="134"/>
              <w:jc w:val="left"/>
              <w:rPr>
                <w:sz w:val="18"/>
              </w:rPr>
            </w:pPr>
            <w:r>
              <w:rPr>
                <w:sz w:val="18"/>
              </w:rPr>
              <w:t>36</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left="1"/>
              <w:rPr>
                <w:sz w:val="18"/>
              </w:rPr>
            </w:pPr>
            <w:r>
              <w:rPr>
                <w:w w:val="99"/>
                <w:sz w:val="18"/>
              </w:rPr>
              <w:t>2</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7"/>
              <w:ind w:right="149"/>
              <w:jc w:val="right"/>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3"/>
              <w:ind w:right="127"/>
              <w:jc w:val="right"/>
              <w:rPr>
                <w:b/>
                <w:sz w:val="18"/>
              </w:rPr>
            </w:pPr>
            <w:r>
              <w:rPr>
                <w:b/>
                <w:w w:val="95"/>
                <w:sz w:val="18"/>
              </w:rPr>
              <w:t>94</w:t>
            </w:r>
          </w:p>
        </w:tc>
      </w:tr>
      <w:tr>
        <w:trPr>
          <w:trHeight w:val="310"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before="40"/>
              <w:ind w:left="67"/>
              <w:jc w:val="left"/>
              <w:rPr>
                <w:b/>
                <w:sz w:val="18"/>
              </w:rPr>
            </w:pPr>
            <w:r>
              <w:rPr>
                <w:b/>
                <w:sz w:val="18"/>
              </w:rPr>
              <w:t>CHALCO</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6" w:type="dxa"/>
            <w:tcBorders>
              <w:top w:val="single" w:sz="4" w:space="0" w:color="000000"/>
              <w:left w:val="single" w:sz="4" w:space="0" w:color="000000"/>
              <w:bottom w:val="single" w:sz="4" w:space="0" w:color="000000"/>
              <w:right w:val="single" w:sz="4" w:space="0" w:color="000000"/>
            </w:tcBorders>
          </w:tcPr>
          <w:p>
            <w:pPr>
              <w:pStyle w:val="TableParagraph"/>
              <w:spacing w:before="44"/>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right="1"/>
              <w:rPr>
                <w:sz w:val="18"/>
              </w:rPr>
            </w:pPr>
            <w:r>
              <w:rPr>
                <w:w w:val="99"/>
                <w:sz w:val="18"/>
              </w:rPr>
              <w:t>2</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03"/>
              <w:jc w:val="left"/>
              <w:rPr>
                <w:sz w:val="18"/>
              </w:rPr>
            </w:pPr>
            <w:r>
              <w:rPr>
                <w:sz w:val="18"/>
              </w:rPr>
              <w:t>43</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44"/>
              <w:rPr>
                <w:sz w:val="18"/>
              </w:rPr>
            </w:pPr>
            <w:r>
              <w:rPr>
                <w:w w:val="99"/>
                <w:sz w:val="18"/>
              </w:rPr>
              <w:t>2</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05"/>
              <w:jc w:val="left"/>
              <w:rPr>
                <w:sz w:val="18"/>
              </w:rPr>
            </w:pPr>
            <w:r>
              <w:rPr>
                <w:sz w:val="18"/>
              </w:rPr>
              <w:t>56</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2</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4"/>
              <w:ind w:left="62" w:right="58"/>
              <w:rPr>
                <w:sz w:val="18"/>
              </w:rPr>
            </w:pPr>
            <w:r>
              <w:rPr>
                <w:sz w:val="18"/>
              </w:rPr>
              <w:t>76</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3</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44"/>
              <w:ind w:left="134"/>
              <w:jc w:val="left"/>
              <w:rPr>
                <w:sz w:val="18"/>
              </w:rPr>
            </w:pPr>
            <w:r>
              <w:rPr>
                <w:sz w:val="18"/>
              </w:rPr>
              <w:t>76</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1</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right="96"/>
              <w:jc w:val="right"/>
              <w:rPr>
                <w:sz w:val="18"/>
              </w:rPr>
            </w:pPr>
            <w:r>
              <w:rPr>
                <w:w w:val="95"/>
                <w:sz w:val="18"/>
              </w:rPr>
              <w:t>38</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0"/>
              <w:ind w:right="77"/>
              <w:jc w:val="right"/>
              <w:rPr>
                <w:b/>
                <w:sz w:val="18"/>
              </w:rPr>
            </w:pPr>
            <w:r>
              <w:rPr>
                <w:b/>
                <w:w w:val="95"/>
                <w:sz w:val="18"/>
              </w:rPr>
              <w:t>299</w:t>
            </w:r>
          </w:p>
        </w:tc>
      </w:tr>
      <w:tr>
        <w:trPr>
          <w:trHeight w:val="310"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before="40"/>
              <w:ind w:left="67"/>
              <w:jc w:val="left"/>
              <w:rPr>
                <w:b/>
                <w:sz w:val="18"/>
              </w:rPr>
            </w:pPr>
            <w:r>
              <w:rPr>
                <w:b/>
                <w:sz w:val="18"/>
              </w:rPr>
              <w:t>CHAPA DE MOTA</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0</w:t>
            </w:r>
          </w:p>
        </w:tc>
        <w:tc>
          <w:tcPr>
            <w:tcW w:w="416" w:type="dxa"/>
            <w:tcBorders>
              <w:top w:val="single" w:sz="4" w:space="0" w:color="000000"/>
              <w:left w:val="single" w:sz="4" w:space="0" w:color="000000"/>
              <w:bottom w:val="single" w:sz="4" w:space="0" w:color="000000"/>
              <w:right w:val="single" w:sz="4" w:space="0" w:color="000000"/>
            </w:tcBorders>
          </w:tcPr>
          <w:p>
            <w:pPr>
              <w:pStyle w:val="TableParagraph"/>
              <w:spacing w:before="44"/>
              <w:ind w:right="1"/>
              <w:rPr>
                <w:sz w:val="18"/>
              </w:rPr>
            </w:pPr>
            <w:r>
              <w:rPr>
                <w:w w:val="99"/>
                <w:sz w:val="18"/>
              </w:rPr>
              <w:t>0</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right="1"/>
              <w:rPr>
                <w:sz w:val="18"/>
              </w:rPr>
            </w:pPr>
            <w:r>
              <w:rPr>
                <w:w w:val="99"/>
                <w:sz w:val="18"/>
              </w:rPr>
              <w:t>1</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51"/>
              <w:jc w:val="left"/>
              <w:rPr>
                <w:sz w:val="18"/>
              </w:rPr>
            </w:pPr>
            <w:r>
              <w:rPr>
                <w:w w:val="99"/>
                <w:sz w:val="18"/>
              </w:rPr>
              <w:t>1</w:t>
            </w:r>
          </w:p>
        </w:tc>
        <w:tc>
          <w:tcPr>
            <w:tcW w:w="413" w:type="dxa"/>
            <w:tcBorders>
              <w:top w:val="single" w:sz="4" w:space="0" w:color="000000"/>
              <w:left w:val="single" w:sz="4" w:space="0" w:color="000000"/>
              <w:bottom w:val="single" w:sz="4" w:space="0" w:color="000000"/>
              <w:right w:val="single" w:sz="4" w:space="0" w:color="000000"/>
            </w:tcBorders>
          </w:tcPr>
          <w:p>
            <w:pPr>
              <w:pStyle w:val="TableParagraph"/>
              <w:spacing w:before="44"/>
              <w:rPr>
                <w:sz w:val="18"/>
              </w:rPr>
            </w:pPr>
            <w:r>
              <w:rPr>
                <w:w w:val="99"/>
                <w:sz w:val="18"/>
              </w:rPr>
              <w:t>1</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53"/>
              <w:jc w:val="left"/>
              <w:rPr>
                <w:sz w:val="18"/>
              </w:rPr>
            </w:pPr>
            <w:r>
              <w:rPr>
                <w:w w:val="99"/>
                <w:sz w:val="18"/>
              </w:rPr>
              <w:t>1</w:t>
            </w:r>
          </w:p>
        </w:tc>
        <w:tc>
          <w:tcPr>
            <w:tcW w:w="420"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4"/>
              <w:ind w:left="62" w:right="58"/>
              <w:rPr>
                <w:sz w:val="18"/>
              </w:rPr>
            </w:pPr>
            <w:r>
              <w:rPr>
                <w:sz w:val="18"/>
              </w:rPr>
              <w:t>16</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44"/>
              <w:ind w:left="184"/>
              <w:jc w:val="left"/>
              <w:rPr>
                <w:sz w:val="18"/>
              </w:rPr>
            </w:pPr>
            <w:r>
              <w:rPr>
                <w:w w:val="99"/>
                <w:sz w:val="18"/>
              </w:rPr>
              <w:t>6</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left="1"/>
              <w:rPr>
                <w:sz w:val="18"/>
              </w:rPr>
            </w:pPr>
            <w:r>
              <w:rPr>
                <w:w w:val="99"/>
                <w:sz w:val="18"/>
              </w:rPr>
              <w:t>1</w:t>
            </w:r>
          </w:p>
        </w:tc>
        <w:tc>
          <w:tcPr>
            <w:tcW w:w="415" w:type="dxa"/>
            <w:tcBorders>
              <w:top w:val="single" w:sz="4" w:space="0" w:color="000000"/>
              <w:left w:val="single" w:sz="4" w:space="0" w:color="000000"/>
              <w:bottom w:val="single" w:sz="4" w:space="0" w:color="000000"/>
              <w:right w:val="single" w:sz="4" w:space="0" w:color="000000"/>
            </w:tcBorders>
          </w:tcPr>
          <w:p>
            <w:pPr>
              <w:pStyle w:val="TableParagraph"/>
              <w:spacing w:before="44"/>
              <w:ind w:right="149"/>
              <w:jc w:val="right"/>
              <w:rPr>
                <w:sz w:val="18"/>
              </w:rPr>
            </w:pPr>
            <w:r>
              <w:rPr>
                <w:w w:val="99"/>
                <w:sz w:val="18"/>
              </w:rPr>
              <w:t>3</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0"/>
              <w:ind w:right="127"/>
              <w:jc w:val="right"/>
              <w:rPr>
                <w:b/>
                <w:sz w:val="18"/>
              </w:rPr>
            </w:pPr>
            <w:r>
              <w:rPr>
                <w:b/>
                <w:w w:val="95"/>
                <w:sz w:val="18"/>
              </w:rPr>
              <w:t>32</w:t>
            </w:r>
          </w:p>
        </w:tc>
      </w:tr>
    </w:tbl>
    <w:p>
      <w:pPr>
        <w:spacing w:after="0"/>
        <w:jc w:val="right"/>
        <w:rPr>
          <w:sz w:val="18"/>
        </w:rPr>
        <w:sectPr>
          <w:footerReference w:type="default" r:id="rId350"/>
          <w:pgSz w:w="15840" w:h="12240" w:orient="landscape"/>
          <w:pgMar w:footer="975" w:header="0" w:top="1140" w:bottom="1160" w:left="2220" w:right="2220"/>
          <w:pgNumType w:start="403"/>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913"/>
        <w:gridCol w:w="466"/>
        <w:gridCol w:w="466"/>
        <w:gridCol w:w="463"/>
        <w:gridCol w:w="466"/>
        <w:gridCol w:w="466"/>
        <w:gridCol w:w="466"/>
        <w:gridCol w:w="463"/>
        <w:gridCol w:w="466"/>
        <w:gridCol w:w="466"/>
        <w:gridCol w:w="466"/>
        <w:gridCol w:w="463"/>
        <w:gridCol w:w="475"/>
        <w:gridCol w:w="466"/>
        <w:gridCol w:w="476"/>
        <w:gridCol w:w="466"/>
        <w:gridCol w:w="466"/>
        <w:gridCol w:w="480"/>
      </w:tblGrid>
      <w:tr>
        <w:trPr>
          <w:trHeight w:val="288" w:hRule="exact"/>
        </w:trPr>
        <w:tc>
          <w:tcPr>
            <w:tcW w:w="11855" w:type="dxa"/>
            <w:gridSpan w:val="18"/>
            <w:shd w:val="clear" w:color="auto" w:fill="92D050"/>
          </w:tcPr>
          <w:p>
            <w:pPr>
              <w:pStyle w:val="TableParagraph"/>
              <w:spacing w:before="25"/>
              <w:ind w:left="2920"/>
              <w:jc w:val="left"/>
              <w:rPr>
                <w:b/>
                <w:sz w:val="18"/>
              </w:rPr>
            </w:pPr>
            <w:r>
              <w:rPr>
                <w:b/>
                <w:sz w:val="18"/>
              </w:rPr>
              <w:t>Anexo 20. Municipios que publican obras y licitaciones (Continuación)</w:t>
            </w:r>
          </w:p>
        </w:tc>
      </w:tr>
      <w:tr>
        <w:trPr>
          <w:trHeight w:val="324" w:hRule="exact"/>
        </w:trPr>
        <w:tc>
          <w:tcPr>
            <w:tcW w:w="3913" w:type="dxa"/>
            <w:vMerge w:val="restart"/>
            <w:tcBorders>
              <w:right w:val="single" w:sz="4" w:space="0" w:color="000000"/>
            </w:tcBorders>
            <w:shd w:val="clear" w:color="auto" w:fill="D7E3BB"/>
          </w:tcPr>
          <w:p>
            <w:pPr>
              <w:pStyle w:val="TableParagraph"/>
              <w:jc w:val="left"/>
              <w:rPr>
                <w:rFonts w:ascii="Times New Roman"/>
                <w:sz w:val="18"/>
              </w:rPr>
            </w:pPr>
          </w:p>
          <w:p>
            <w:pPr>
              <w:pStyle w:val="TableParagraph"/>
              <w:jc w:val="left"/>
              <w:rPr>
                <w:rFonts w:ascii="Times New Roman"/>
                <w:sz w:val="18"/>
              </w:rPr>
            </w:pPr>
          </w:p>
          <w:p>
            <w:pPr>
              <w:pStyle w:val="TableParagraph"/>
              <w:spacing w:before="6"/>
              <w:jc w:val="left"/>
              <w:rPr>
                <w:rFonts w:ascii="Times New Roman"/>
                <w:sz w:val="16"/>
              </w:rPr>
            </w:pPr>
          </w:p>
          <w:p>
            <w:pPr>
              <w:pStyle w:val="TableParagraph"/>
              <w:ind w:left="1509" w:right="1509"/>
              <w:rPr>
                <w:b/>
                <w:sz w:val="18"/>
              </w:rPr>
            </w:pPr>
            <w:r>
              <w:rPr>
                <w:b/>
                <w:sz w:val="18"/>
              </w:rPr>
              <w:t>Municipio</w:t>
            </w:r>
          </w:p>
        </w:tc>
        <w:tc>
          <w:tcPr>
            <w:tcW w:w="931"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61"/>
              <w:jc w:val="left"/>
              <w:rPr>
                <w:b/>
                <w:sz w:val="18"/>
              </w:rPr>
            </w:pPr>
            <w:r>
              <w:rPr>
                <w:b/>
                <w:sz w:val="18"/>
              </w:rPr>
              <w:t>2008</w:t>
            </w:r>
          </w:p>
        </w:tc>
        <w:tc>
          <w:tcPr>
            <w:tcW w:w="929"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59"/>
              <w:jc w:val="left"/>
              <w:rPr>
                <w:b/>
                <w:sz w:val="18"/>
              </w:rPr>
            </w:pPr>
            <w:r>
              <w:rPr>
                <w:b/>
                <w:sz w:val="18"/>
              </w:rPr>
              <w:t>2009</w:t>
            </w:r>
          </w:p>
        </w:tc>
        <w:tc>
          <w:tcPr>
            <w:tcW w:w="932"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61"/>
              <w:jc w:val="left"/>
              <w:rPr>
                <w:b/>
                <w:sz w:val="18"/>
              </w:rPr>
            </w:pPr>
            <w:r>
              <w:rPr>
                <w:b/>
                <w:sz w:val="18"/>
              </w:rPr>
              <w:t>2010</w:t>
            </w:r>
          </w:p>
        </w:tc>
        <w:tc>
          <w:tcPr>
            <w:tcW w:w="929"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59"/>
              <w:jc w:val="left"/>
              <w:rPr>
                <w:b/>
                <w:sz w:val="18"/>
              </w:rPr>
            </w:pPr>
            <w:r>
              <w:rPr>
                <w:b/>
                <w:sz w:val="18"/>
              </w:rPr>
              <w:t>2011</w:t>
            </w:r>
          </w:p>
        </w:tc>
        <w:tc>
          <w:tcPr>
            <w:tcW w:w="931"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61"/>
              <w:jc w:val="left"/>
              <w:rPr>
                <w:b/>
                <w:sz w:val="18"/>
              </w:rPr>
            </w:pPr>
            <w:r>
              <w:rPr>
                <w:b/>
                <w:sz w:val="18"/>
              </w:rPr>
              <w:t>2012</w:t>
            </w:r>
          </w:p>
        </w:tc>
        <w:tc>
          <w:tcPr>
            <w:tcW w:w="938"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64" w:right="31"/>
              <w:jc w:val="left"/>
              <w:rPr>
                <w:b/>
                <w:sz w:val="18"/>
              </w:rPr>
            </w:pPr>
            <w:r>
              <w:rPr>
                <w:b/>
                <w:sz w:val="18"/>
              </w:rPr>
              <w:t>2013</w:t>
            </w:r>
          </w:p>
        </w:tc>
        <w:tc>
          <w:tcPr>
            <w:tcW w:w="941"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66"/>
              <w:jc w:val="left"/>
              <w:rPr>
                <w:b/>
                <w:sz w:val="18"/>
              </w:rPr>
            </w:pPr>
            <w:r>
              <w:rPr>
                <w:b/>
                <w:sz w:val="18"/>
              </w:rPr>
              <w:t>2014</w:t>
            </w:r>
          </w:p>
        </w:tc>
        <w:tc>
          <w:tcPr>
            <w:tcW w:w="931" w:type="dxa"/>
            <w:gridSpan w:val="2"/>
            <w:tcBorders>
              <w:left w:val="single" w:sz="4" w:space="0" w:color="000000"/>
              <w:bottom w:val="single" w:sz="4" w:space="0" w:color="000000"/>
            </w:tcBorders>
            <w:shd w:val="clear" w:color="auto" w:fill="D7E3BB"/>
          </w:tcPr>
          <w:p>
            <w:pPr>
              <w:pStyle w:val="TableParagraph"/>
              <w:spacing w:line="201" w:lineRule="exact"/>
              <w:ind w:left="259"/>
              <w:jc w:val="left"/>
              <w:rPr>
                <w:b/>
                <w:sz w:val="18"/>
              </w:rPr>
            </w:pPr>
            <w:r>
              <w:rPr>
                <w:b/>
                <w:sz w:val="18"/>
              </w:rPr>
              <w:t>2015</w:t>
            </w:r>
          </w:p>
        </w:tc>
        <w:tc>
          <w:tcPr>
            <w:tcW w:w="480" w:type="dxa"/>
            <w:vMerge w:val="restart"/>
            <w:shd w:val="clear" w:color="auto" w:fill="D7E3BB"/>
            <w:textDirection w:val="btLr"/>
          </w:tcPr>
          <w:p>
            <w:pPr>
              <w:pStyle w:val="TableParagraph"/>
              <w:spacing w:before="80"/>
              <w:ind w:left="-1"/>
              <w:jc w:val="left"/>
              <w:rPr>
                <w:b/>
                <w:sz w:val="18"/>
              </w:rPr>
            </w:pPr>
            <w:r>
              <w:rPr>
                <w:b/>
                <w:w w:val="100"/>
                <w:sz w:val="18"/>
              </w:rPr>
              <w:t>To</w:t>
            </w:r>
            <w:r>
              <w:rPr>
                <w:b/>
                <w:w w:val="99"/>
                <w:sz w:val="18"/>
              </w:rPr>
              <w:t>ta</w:t>
            </w:r>
            <w:r>
              <w:rPr>
                <w:b/>
                <w:w w:val="100"/>
                <w:sz w:val="18"/>
              </w:rPr>
              <w:t>l</w:t>
            </w:r>
          </w:p>
        </w:tc>
      </w:tr>
      <w:tr>
        <w:trPr>
          <w:trHeight w:val="1222" w:hRule="exact"/>
        </w:trPr>
        <w:tc>
          <w:tcPr>
            <w:tcW w:w="3913" w:type="dxa"/>
            <w:vMerge/>
            <w:tcBorders>
              <w:bottom w:val="single" w:sz="4" w:space="0" w:color="000000"/>
              <w:right w:val="single" w:sz="4" w:space="0" w:color="000000"/>
            </w:tcBorders>
            <w:shd w:val="clear" w:color="auto" w:fill="D7E3BB"/>
          </w:tcPr>
          <w:p>
            <w:pP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P.</w:t>
            </w:r>
            <w:r>
              <w:rPr>
                <w:b/>
                <w:sz w:val="18"/>
              </w:rPr>
              <w:t> de </w:t>
            </w:r>
            <w:r>
              <w:rPr>
                <w:b/>
                <w:w w:val="100"/>
                <w:sz w:val="18"/>
              </w:rPr>
              <w:t>O.</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3"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P.</w:t>
            </w:r>
            <w:r>
              <w:rPr>
                <w:b/>
                <w:sz w:val="18"/>
              </w:rPr>
              <w:t> de </w:t>
            </w:r>
            <w:r>
              <w:rPr>
                <w:b/>
                <w:w w:val="100"/>
                <w:sz w:val="18"/>
              </w:rPr>
              <w:t>O.</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P.</w:t>
            </w:r>
            <w:r>
              <w:rPr>
                <w:b/>
                <w:sz w:val="18"/>
              </w:rPr>
              <w:t> de </w:t>
            </w:r>
            <w:r>
              <w:rPr>
                <w:b/>
                <w:w w:val="100"/>
                <w:sz w:val="18"/>
              </w:rPr>
              <w:t>O.</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3"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P.</w:t>
            </w:r>
            <w:r>
              <w:rPr>
                <w:b/>
                <w:sz w:val="18"/>
              </w:rPr>
              <w:t> de </w:t>
            </w:r>
            <w:r>
              <w:rPr>
                <w:b/>
                <w:w w:val="100"/>
                <w:sz w:val="18"/>
              </w:rPr>
              <w:t>O.</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P.</w:t>
            </w:r>
            <w:r>
              <w:rPr>
                <w:b/>
                <w:sz w:val="18"/>
              </w:rPr>
              <w:t> de </w:t>
            </w:r>
            <w:r>
              <w:rPr>
                <w:b/>
                <w:w w:val="100"/>
                <w:sz w:val="18"/>
              </w:rPr>
              <w:t>O.</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3"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P.</w:t>
            </w:r>
            <w:r>
              <w:rPr>
                <w:b/>
                <w:sz w:val="18"/>
              </w:rPr>
              <w:t> de </w:t>
            </w:r>
            <w:r>
              <w:rPr>
                <w:b/>
                <w:w w:val="100"/>
                <w:sz w:val="18"/>
              </w:rPr>
              <w:t>O.</w:t>
            </w:r>
          </w:p>
        </w:tc>
        <w:tc>
          <w:tcPr>
            <w:tcW w:w="475"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83"/>
              <w:ind w:left="-1"/>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P.</w:t>
            </w:r>
            <w:r>
              <w:rPr>
                <w:b/>
                <w:sz w:val="18"/>
              </w:rPr>
              <w:t> de </w:t>
            </w:r>
            <w:r>
              <w:rPr>
                <w:b/>
                <w:w w:val="100"/>
                <w:sz w:val="18"/>
              </w:rPr>
              <w:t>O.</w:t>
            </w:r>
          </w:p>
        </w:tc>
        <w:tc>
          <w:tcPr>
            <w:tcW w:w="47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81"/>
              <w:ind w:left="-1"/>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P.</w:t>
            </w:r>
            <w:r>
              <w:rPr>
                <w:b/>
                <w:sz w:val="18"/>
              </w:rPr>
              <w:t> de </w:t>
            </w:r>
            <w:r>
              <w:rPr>
                <w:b/>
                <w:w w:val="100"/>
                <w:sz w:val="18"/>
              </w:rPr>
              <w:t>O.</w:t>
            </w:r>
          </w:p>
        </w:tc>
        <w:tc>
          <w:tcPr>
            <w:tcW w:w="466" w:type="dxa"/>
            <w:tcBorders>
              <w:top w:val="single" w:sz="4" w:space="0" w:color="000000"/>
              <w:left w:val="single" w:sz="4" w:space="0" w:color="000000"/>
              <w:bottom w:val="single" w:sz="4" w:space="0" w:color="000000"/>
            </w:tcBorders>
            <w:shd w:val="clear" w:color="auto" w:fill="D7E3BB"/>
            <w:textDirection w:val="btLr"/>
          </w:tcPr>
          <w:p>
            <w:pPr>
              <w:pStyle w:val="TableParagraph"/>
              <w:spacing w:before="71"/>
              <w:ind w:left="-1"/>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80" w:type="dxa"/>
            <w:vMerge/>
            <w:tcBorders>
              <w:bottom w:val="single" w:sz="4" w:space="0" w:color="000000"/>
            </w:tcBorders>
            <w:shd w:val="clear" w:color="auto" w:fill="D7E3BB"/>
            <w:textDirection w:val="btLr"/>
          </w:tcPr>
          <w:p>
            <w:pPr/>
          </w:p>
        </w:tc>
      </w:tr>
      <w:tr>
        <w:trPr>
          <w:trHeight w:val="319"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CHAPULTEPEC</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84"/>
              <w:jc w:val="left"/>
              <w:rPr>
                <w:sz w:val="18"/>
              </w:rPr>
            </w:pPr>
            <w:r>
              <w:rPr>
                <w:w w:val="99"/>
                <w:sz w:val="18"/>
              </w:rPr>
              <w:t>9</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2" w:right="58"/>
              <w:rPr>
                <w:sz w:val="18"/>
              </w:rPr>
            </w:pPr>
            <w:r>
              <w:rPr>
                <w:sz w:val="18"/>
              </w:rPr>
              <w:t>12</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right="132"/>
              <w:jc w:val="right"/>
              <w:rPr>
                <w:b/>
                <w:sz w:val="18"/>
              </w:rPr>
            </w:pPr>
            <w:r>
              <w:rPr>
                <w:b/>
                <w:w w:val="95"/>
                <w:sz w:val="18"/>
              </w:rPr>
              <w:t>23</w:t>
            </w:r>
          </w:p>
        </w:tc>
      </w:tr>
      <w:tr>
        <w:trPr>
          <w:trHeight w:val="322"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67"/>
              <w:jc w:val="left"/>
              <w:rPr>
                <w:b/>
                <w:sz w:val="18"/>
              </w:rPr>
            </w:pPr>
            <w:r>
              <w:rPr>
                <w:b/>
                <w:sz w:val="18"/>
              </w:rPr>
              <w:t>CHIAUTLA</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8"/>
              <w:jc w:val="righ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84"/>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6"/>
              <w:jc w:val="righ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4"/>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3"/>
              <w:rPr>
                <w:sz w:val="18"/>
              </w:rPr>
            </w:pPr>
            <w:r>
              <w:rPr>
                <w:w w:val="99"/>
                <w:sz w:val="18"/>
              </w:rPr>
              <w:t>0</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rPr>
                <w:b/>
                <w:sz w:val="18"/>
              </w:rPr>
            </w:pPr>
            <w:r>
              <w:rPr>
                <w:b/>
                <w:w w:val="99"/>
                <w:sz w:val="18"/>
              </w:rPr>
              <w:t>0</w:t>
            </w:r>
          </w:p>
        </w:tc>
      </w:tr>
      <w:tr>
        <w:trPr>
          <w:trHeight w:val="319"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CHICOLOAPAN</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8</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34"/>
              <w:jc w:val="left"/>
              <w:rPr>
                <w:sz w:val="18"/>
              </w:rPr>
            </w:pPr>
            <w:r>
              <w:rPr>
                <w:sz w:val="18"/>
              </w:rPr>
              <w:t>61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2" w:right="58"/>
              <w:rPr>
                <w:sz w:val="18"/>
              </w:rPr>
            </w:pPr>
            <w:r>
              <w:rPr>
                <w:sz w:val="18"/>
              </w:rPr>
              <w:t>65</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2</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right="83"/>
              <w:jc w:val="right"/>
              <w:rPr>
                <w:b/>
                <w:sz w:val="18"/>
              </w:rPr>
            </w:pPr>
            <w:r>
              <w:rPr>
                <w:b/>
                <w:w w:val="95"/>
                <w:sz w:val="18"/>
              </w:rPr>
              <w:t>138</w:t>
            </w:r>
          </w:p>
        </w:tc>
      </w:tr>
      <w:tr>
        <w:trPr>
          <w:trHeight w:val="322"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7"/>
              <w:jc w:val="left"/>
              <w:rPr>
                <w:b/>
                <w:sz w:val="18"/>
              </w:rPr>
            </w:pPr>
            <w:r>
              <w:rPr>
                <w:b/>
                <w:sz w:val="18"/>
              </w:rPr>
              <w:t>CHICONCUAC</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8"/>
              <w:jc w:val="righ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1"/>
              <w:ind w:left="134"/>
              <w:jc w:val="left"/>
              <w:rPr>
                <w:sz w:val="18"/>
              </w:rPr>
            </w:pPr>
            <w:r>
              <w:rPr>
                <w:sz w:val="18"/>
              </w:rPr>
              <w:t>10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1"/>
              <w:ind w:left="62" w:right="58"/>
              <w:rPr>
                <w:sz w:val="18"/>
              </w:rPr>
            </w:pPr>
            <w:r>
              <w:rPr>
                <w:sz w:val="18"/>
              </w:rPr>
              <w:t>18</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0</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right="132"/>
              <w:jc w:val="right"/>
              <w:rPr>
                <w:b/>
                <w:sz w:val="18"/>
              </w:rPr>
            </w:pPr>
            <w:r>
              <w:rPr>
                <w:b/>
                <w:w w:val="95"/>
                <w:sz w:val="18"/>
              </w:rPr>
              <w:t>31</w:t>
            </w:r>
          </w:p>
        </w:tc>
      </w:tr>
      <w:tr>
        <w:trPr>
          <w:trHeight w:val="319"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CHIMALHUACAN</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84"/>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0</w:t>
            </w:r>
          </w:p>
        </w:tc>
      </w:tr>
      <w:tr>
        <w:trPr>
          <w:trHeight w:val="322"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7"/>
              <w:jc w:val="left"/>
              <w:rPr>
                <w:b/>
                <w:sz w:val="18"/>
              </w:rPr>
            </w:pPr>
            <w:r>
              <w:rPr>
                <w:b/>
                <w:sz w:val="18"/>
              </w:rPr>
              <w:t>COACALCO DE BERRIOZABAL</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8"/>
              <w:jc w:val="righ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1"/>
              <w:ind w:left="184"/>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1"/>
              <w:ind w:left="4"/>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0</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rPr>
                <w:b/>
                <w:sz w:val="18"/>
              </w:rPr>
            </w:pPr>
            <w:r>
              <w:rPr>
                <w:b/>
                <w:w w:val="99"/>
                <w:sz w:val="18"/>
              </w:rPr>
              <w:t>0</w:t>
            </w:r>
          </w:p>
        </w:tc>
      </w:tr>
      <w:tr>
        <w:trPr>
          <w:trHeight w:val="319"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COATEPEC HARINAS</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84"/>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0</w:t>
            </w:r>
          </w:p>
        </w:tc>
      </w:tr>
      <w:tr>
        <w:trPr>
          <w:trHeight w:val="322"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7"/>
              <w:jc w:val="left"/>
              <w:rPr>
                <w:b/>
                <w:sz w:val="18"/>
              </w:rPr>
            </w:pPr>
            <w:r>
              <w:rPr>
                <w:b/>
                <w:sz w:val="18"/>
              </w:rPr>
              <w:t>COCOTITLAN</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8"/>
              <w:jc w:val="righ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1"/>
              <w:ind w:left="184"/>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1"/>
              <w:ind w:left="4"/>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0</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rPr>
                <w:b/>
                <w:sz w:val="18"/>
              </w:rPr>
            </w:pPr>
            <w:r>
              <w:rPr>
                <w:b/>
                <w:w w:val="99"/>
                <w:sz w:val="18"/>
              </w:rPr>
              <w:t>0</w:t>
            </w:r>
          </w:p>
        </w:tc>
      </w:tr>
      <w:tr>
        <w:trPr>
          <w:trHeight w:val="322"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COYOTEPEC</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84"/>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0</w:t>
            </w:r>
          </w:p>
        </w:tc>
      </w:tr>
      <w:tr>
        <w:trPr>
          <w:trHeight w:val="320"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CUAUTITLAN</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34"/>
              <w:jc w:val="left"/>
              <w:rPr>
                <w:sz w:val="18"/>
              </w:rPr>
            </w:pPr>
            <w:r>
              <w:rPr>
                <w:sz w:val="18"/>
              </w:rPr>
              <w:t>25</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2" w:right="58"/>
              <w:rPr>
                <w:sz w:val="18"/>
              </w:rPr>
            </w:pPr>
            <w:r>
              <w:rPr>
                <w:sz w:val="18"/>
              </w:rPr>
              <w:t>28</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3</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right="132"/>
              <w:jc w:val="right"/>
              <w:rPr>
                <w:b/>
                <w:sz w:val="18"/>
              </w:rPr>
            </w:pPr>
            <w:r>
              <w:rPr>
                <w:b/>
                <w:w w:val="95"/>
                <w:sz w:val="18"/>
              </w:rPr>
              <w:t>59</w:t>
            </w:r>
          </w:p>
        </w:tc>
      </w:tr>
      <w:tr>
        <w:trPr>
          <w:trHeight w:val="322"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CUAUTITLAN IZCALLI</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7" w:right="103"/>
              <w:rPr>
                <w:sz w:val="18"/>
              </w:rPr>
            </w:pPr>
            <w:r>
              <w:rPr>
                <w:sz w:val="18"/>
              </w:rPr>
              <w:t>81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5" w:right="105"/>
              <w:rPr>
                <w:sz w:val="18"/>
              </w:rPr>
            </w:pPr>
            <w:r>
              <w:rPr>
                <w:sz w:val="18"/>
              </w:rPr>
              <w:t>79</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5</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34"/>
              <w:jc w:val="left"/>
              <w:rPr>
                <w:sz w:val="18"/>
              </w:rPr>
            </w:pPr>
            <w:r>
              <w:rPr>
                <w:sz w:val="18"/>
              </w:rPr>
              <w:t>61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2</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2" w:right="58"/>
              <w:rPr>
                <w:sz w:val="18"/>
              </w:rPr>
            </w:pPr>
            <w:r>
              <w:rPr>
                <w:sz w:val="18"/>
              </w:rPr>
              <w:t>33</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right="83"/>
              <w:jc w:val="right"/>
              <w:rPr>
                <w:b/>
                <w:sz w:val="18"/>
              </w:rPr>
            </w:pPr>
            <w:r>
              <w:rPr>
                <w:b/>
                <w:w w:val="95"/>
                <w:sz w:val="18"/>
              </w:rPr>
              <w:t>263</w:t>
            </w:r>
          </w:p>
        </w:tc>
      </w:tr>
      <w:tr>
        <w:trPr>
          <w:trHeight w:val="319"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DONATO GUERRA</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84"/>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0</w:t>
            </w:r>
          </w:p>
        </w:tc>
      </w:tr>
      <w:tr>
        <w:trPr>
          <w:trHeight w:val="322"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ECATEPEC DE MORELOS</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5</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6</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34"/>
              <w:jc w:val="left"/>
              <w:rPr>
                <w:sz w:val="18"/>
              </w:rPr>
            </w:pPr>
            <w:r>
              <w:rPr>
                <w:sz w:val="18"/>
              </w:rPr>
              <w:t>94</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2" w:right="58"/>
              <w:rPr>
                <w:sz w:val="18"/>
              </w:rPr>
            </w:pPr>
            <w:r>
              <w:rPr>
                <w:sz w:val="18"/>
              </w:rPr>
              <w:t>45</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right="83"/>
              <w:jc w:val="right"/>
              <w:rPr>
                <w:b/>
                <w:sz w:val="18"/>
              </w:rPr>
            </w:pPr>
            <w:r>
              <w:rPr>
                <w:b/>
                <w:w w:val="95"/>
                <w:sz w:val="18"/>
              </w:rPr>
              <w:t>157</w:t>
            </w:r>
          </w:p>
        </w:tc>
      </w:tr>
      <w:tr>
        <w:trPr>
          <w:trHeight w:val="319"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ECATZINGO</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84"/>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0</w:t>
            </w:r>
          </w:p>
        </w:tc>
      </w:tr>
      <w:tr>
        <w:trPr>
          <w:trHeight w:val="322"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EL ORO</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7" w:right="103"/>
              <w:rPr>
                <w:sz w:val="18"/>
              </w:rPr>
            </w:pPr>
            <w:r>
              <w:rPr>
                <w:sz w:val="18"/>
              </w:rPr>
              <w:t>32</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5" w:right="105"/>
              <w:rPr>
                <w:sz w:val="18"/>
              </w:rPr>
            </w:pPr>
            <w:r>
              <w:rPr>
                <w:sz w:val="18"/>
              </w:rPr>
              <w:t>34</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2</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84"/>
              <w:jc w:val="left"/>
              <w:rPr>
                <w:sz w:val="18"/>
              </w:rPr>
            </w:pPr>
            <w:r>
              <w:rPr>
                <w:sz w:val="18"/>
              </w:rPr>
              <w:t>100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right="83"/>
              <w:jc w:val="right"/>
              <w:rPr>
                <w:b/>
                <w:sz w:val="18"/>
              </w:rPr>
            </w:pPr>
            <w:r>
              <w:rPr>
                <w:b/>
                <w:w w:val="95"/>
                <w:sz w:val="18"/>
              </w:rPr>
              <w:t>170</w:t>
            </w:r>
          </w:p>
        </w:tc>
      </w:tr>
      <w:tr>
        <w:trPr>
          <w:trHeight w:val="319"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HUEHUETOCA</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84"/>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3</w:t>
            </w:r>
          </w:p>
        </w:tc>
      </w:tr>
      <w:tr>
        <w:trPr>
          <w:trHeight w:val="322"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HUEYPOXTLA</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84"/>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0</w:t>
            </w:r>
          </w:p>
        </w:tc>
      </w:tr>
      <w:tr>
        <w:trPr>
          <w:trHeight w:val="320"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HUIXQUILUCAN</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2</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7" w:right="103"/>
              <w:rPr>
                <w:sz w:val="18"/>
              </w:rPr>
            </w:pPr>
            <w:r>
              <w:rPr>
                <w:sz w:val="18"/>
              </w:rPr>
              <w:t>##</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2</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5" w:right="105"/>
              <w:rPr>
                <w:sz w:val="18"/>
              </w:rPr>
            </w:pPr>
            <w:r>
              <w:rPr>
                <w:sz w:val="18"/>
              </w:rPr>
              <w:t>31</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2</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34"/>
              <w:jc w:val="left"/>
              <w:rPr>
                <w:sz w:val="18"/>
              </w:rPr>
            </w:pPr>
            <w:r>
              <w:rPr>
                <w:sz w:val="18"/>
              </w:rPr>
              <w:t>56</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2</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7</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2</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right="83"/>
              <w:jc w:val="right"/>
              <w:rPr>
                <w:b/>
                <w:sz w:val="18"/>
              </w:rPr>
            </w:pPr>
            <w:r>
              <w:rPr>
                <w:b/>
                <w:w w:val="95"/>
                <w:sz w:val="18"/>
              </w:rPr>
              <w:t>225</w:t>
            </w:r>
          </w:p>
        </w:tc>
      </w:tr>
      <w:tr>
        <w:trPr>
          <w:trHeight w:val="322"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ISIDRO FABELA</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84"/>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0</w:t>
            </w:r>
          </w:p>
        </w:tc>
      </w:tr>
      <w:tr>
        <w:trPr>
          <w:trHeight w:val="319"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IXTAPALUCA</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84"/>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0</w:t>
            </w:r>
          </w:p>
        </w:tc>
      </w:tr>
      <w:tr>
        <w:trPr>
          <w:trHeight w:val="322" w:hRule="exact"/>
        </w:trPr>
        <w:tc>
          <w:tcPr>
            <w:tcW w:w="3913"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7"/>
              <w:jc w:val="left"/>
              <w:rPr>
                <w:b/>
                <w:sz w:val="18"/>
              </w:rPr>
            </w:pPr>
            <w:r>
              <w:rPr>
                <w:b/>
                <w:sz w:val="18"/>
              </w:rPr>
              <w:t>IXTAPAN DE LA SAL</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8"/>
              <w:jc w:val="righ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2</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05" w:right="105"/>
              <w:rPr>
                <w:sz w:val="18"/>
              </w:rPr>
            </w:pPr>
            <w:r>
              <w:rPr>
                <w:sz w:val="18"/>
              </w:rPr>
              <w:t>56</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2</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1"/>
              <w:ind w:left="134"/>
              <w:jc w:val="left"/>
              <w:rPr>
                <w:sz w:val="18"/>
              </w:rPr>
            </w:pPr>
            <w:r>
              <w:rPr>
                <w:sz w:val="18"/>
              </w:rPr>
              <w:t>66</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1"/>
              <w:ind w:left="62" w:right="58"/>
              <w:rPr>
                <w:sz w:val="18"/>
              </w:rPr>
            </w:pPr>
            <w:r>
              <w:rPr>
                <w:sz w:val="18"/>
              </w:rPr>
              <w:t>19</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1</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right="83"/>
              <w:jc w:val="right"/>
              <w:rPr>
                <w:b/>
                <w:sz w:val="18"/>
              </w:rPr>
            </w:pPr>
            <w:r>
              <w:rPr>
                <w:b/>
                <w:w w:val="95"/>
                <w:sz w:val="18"/>
              </w:rPr>
              <w:t>148</w:t>
            </w:r>
          </w:p>
        </w:tc>
      </w:tr>
    </w:tbl>
    <w:p>
      <w:pPr>
        <w:spacing w:after="0" w:line="204" w:lineRule="exact"/>
        <w:jc w:val="right"/>
        <w:rPr>
          <w:sz w:val="18"/>
        </w:rPr>
        <w:sectPr>
          <w:pgSz w:w="15840" w:h="12240" w:orient="landscape"/>
          <w:pgMar w:header="0" w:footer="975" w:top="1140" w:bottom="1160" w:left="1860" w:right="1880"/>
        </w:sectPr>
      </w:pPr>
    </w:p>
    <w:p>
      <w:pPr>
        <w:pStyle w:val="BodyText"/>
        <w:rPr>
          <w:rFonts w:ascii="Times New Roman"/>
          <w:sz w:val="20"/>
        </w:rPr>
      </w:pPr>
    </w:p>
    <w:p>
      <w:pPr>
        <w:pStyle w:val="BodyText"/>
        <w:spacing w:before="10"/>
        <w:rPr>
          <w:rFonts w:ascii="Times New Roman"/>
          <w:sz w:val="28"/>
        </w:rPr>
      </w:pPr>
    </w:p>
    <w:tbl>
      <w:tblPr>
        <w:tblW w:w="0" w:type="auto"/>
        <w:jc w:val="left"/>
        <w:tblInd w:w="1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781"/>
        <w:gridCol w:w="466"/>
        <w:gridCol w:w="466"/>
        <w:gridCol w:w="463"/>
        <w:gridCol w:w="466"/>
        <w:gridCol w:w="466"/>
        <w:gridCol w:w="466"/>
        <w:gridCol w:w="464"/>
        <w:gridCol w:w="466"/>
        <w:gridCol w:w="466"/>
        <w:gridCol w:w="466"/>
        <w:gridCol w:w="463"/>
        <w:gridCol w:w="475"/>
        <w:gridCol w:w="466"/>
        <w:gridCol w:w="476"/>
        <w:gridCol w:w="466"/>
        <w:gridCol w:w="912"/>
        <w:gridCol w:w="466"/>
      </w:tblGrid>
      <w:tr>
        <w:trPr>
          <w:trHeight w:val="288" w:hRule="exact"/>
        </w:trPr>
        <w:tc>
          <w:tcPr>
            <w:tcW w:w="12155" w:type="dxa"/>
            <w:gridSpan w:val="18"/>
            <w:shd w:val="clear" w:color="auto" w:fill="92D050"/>
          </w:tcPr>
          <w:p>
            <w:pPr>
              <w:pStyle w:val="TableParagraph"/>
              <w:spacing w:before="25"/>
              <w:ind w:left="3067"/>
              <w:jc w:val="left"/>
              <w:rPr>
                <w:b/>
                <w:sz w:val="18"/>
              </w:rPr>
            </w:pPr>
            <w:r>
              <w:rPr>
                <w:b/>
                <w:sz w:val="18"/>
              </w:rPr>
              <w:t>Anexo 20. Municipios que publican obras y licitaciones (Continuación)</w:t>
            </w:r>
          </w:p>
        </w:tc>
      </w:tr>
      <w:tr>
        <w:trPr>
          <w:trHeight w:val="324" w:hRule="exact"/>
        </w:trPr>
        <w:tc>
          <w:tcPr>
            <w:tcW w:w="3781" w:type="dxa"/>
            <w:vMerge w:val="restart"/>
            <w:tcBorders>
              <w:right w:val="single" w:sz="4" w:space="0" w:color="000000"/>
            </w:tcBorders>
            <w:shd w:val="clear" w:color="auto" w:fill="D7E3BB"/>
          </w:tcPr>
          <w:p>
            <w:pPr>
              <w:pStyle w:val="TableParagraph"/>
              <w:jc w:val="left"/>
              <w:rPr>
                <w:rFonts w:ascii="Times New Roman"/>
                <w:sz w:val="18"/>
              </w:rPr>
            </w:pPr>
          </w:p>
          <w:p>
            <w:pPr>
              <w:pStyle w:val="TableParagraph"/>
              <w:jc w:val="left"/>
              <w:rPr>
                <w:rFonts w:ascii="Times New Roman"/>
                <w:sz w:val="18"/>
              </w:rPr>
            </w:pPr>
          </w:p>
          <w:p>
            <w:pPr>
              <w:pStyle w:val="TableParagraph"/>
              <w:spacing w:before="6"/>
              <w:jc w:val="left"/>
              <w:rPr>
                <w:rFonts w:ascii="Times New Roman"/>
                <w:sz w:val="16"/>
              </w:rPr>
            </w:pPr>
          </w:p>
          <w:p>
            <w:pPr>
              <w:pStyle w:val="TableParagraph"/>
              <w:ind w:left="1442" w:right="1443"/>
              <w:rPr>
                <w:b/>
                <w:sz w:val="18"/>
              </w:rPr>
            </w:pPr>
            <w:r>
              <w:rPr>
                <w:b/>
                <w:sz w:val="18"/>
              </w:rPr>
              <w:t>Municipio</w:t>
            </w:r>
          </w:p>
        </w:tc>
        <w:tc>
          <w:tcPr>
            <w:tcW w:w="931"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61"/>
              <w:jc w:val="left"/>
              <w:rPr>
                <w:b/>
                <w:sz w:val="18"/>
              </w:rPr>
            </w:pPr>
            <w:r>
              <w:rPr>
                <w:b/>
                <w:sz w:val="18"/>
              </w:rPr>
              <w:t>2008</w:t>
            </w:r>
          </w:p>
        </w:tc>
        <w:tc>
          <w:tcPr>
            <w:tcW w:w="929"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59"/>
              <w:jc w:val="left"/>
              <w:rPr>
                <w:b/>
                <w:sz w:val="18"/>
              </w:rPr>
            </w:pPr>
            <w:r>
              <w:rPr>
                <w:b/>
                <w:sz w:val="18"/>
              </w:rPr>
              <w:t>2009</w:t>
            </w:r>
          </w:p>
        </w:tc>
        <w:tc>
          <w:tcPr>
            <w:tcW w:w="931"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61"/>
              <w:jc w:val="left"/>
              <w:rPr>
                <w:b/>
                <w:sz w:val="18"/>
              </w:rPr>
            </w:pPr>
            <w:r>
              <w:rPr>
                <w:b/>
                <w:sz w:val="18"/>
              </w:rPr>
              <w:t>2010</w:t>
            </w:r>
          </w:p>
        </w:tc>
        <w:tc>
          <w:tcPr>
            <w:tcW w:w="929"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59"/>
              <w:jc w:val="left"/>
              <w:rPr>
                <w:b/>
                <w:sz w:val="18"/>
              </w:rPr>
            </w:pPr>
            <w:r>
              <w:rPr>
                <w:b/>
                <w:sz w:val="18"/>
              </w:rPr>
              <w:t>2011</w:t>
            </w:r>
          </w:p>
        </w:tc>
        <w:tc>
          <w:tcPr>
            <w:tcW w:w="931"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61"/>
              <w:jc w:val="left"/>
              <w:rPr>
                <w:b/>
                <w:sz w:val="18"/>
              </w:rPr>
            </w:pPr>
            <w:r>
              <w:rPr>
                <w:b/>
                <w:sz w:val="18"/>
              </w:rPr>
              <w:t>2012</w:t>
            </w:r>
          </w:p>
        </w:tc>
        <w:tc>
          <w:tcPr>
            <w:tcW w:w="938"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63" w:right="31"/>
              <w:jc w:val="left"/>
              <w:rPr>
                <w:b/>
                <w:sz w:val="18"/>
              </w:rPr>
            </w:pPr>
            <w:r>
              <w:rPr>
                <w:b/>
                <w:sz w:val="18"/>
              </w:rPr>
              <w:t>2013</w:t>
            </w:r>
          </w:p>
        </w:tc>
        <w:tc>
          <w:tcPr>
            <w:tcW w:w="941"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66"/>
              <w:jc w:val="left"/>
              <w:rPr>
                <w:b/>
                <w:sz w:val="18"/>
              </w:rPr>
            </w:pPr>
            <w:r>
              <w:rPr>
                <w:b/>
                <w:sz w:val="18"/>
              </w:rPr>
              <w:t>2014</w:t>
            </w:r>
          </w:p>
        </w:tc>
        <w:tc>
          <w:tcPr>
            <w:tcW w:w="1378" w:type="dxa"/>
            <w:gridSpan w:val="2"/>
            <w:tcBorders>
              <w:left w:val="single" w:sz="4" w:space="0" w:color="000000"/>
              <w:bottom w:val="single" w:sz="4" w:space="0" w:color="000000"/>
            </w:tcBorders>
            <w:shd w:val="clear" w:color="auto" w:fill="D7E3BB"/>
          </w:tcPr>
          <w:p>
            <w:pPr>
              <w:pStyle w:val="TableParagraph"/>
              <w:spacing w:line="201" w:lineRule="exact"/>
              <w:ind w:left="463" w:right="459"/>
              <w:rPr>
                <w:b/>
                <w:sz w:val="18"/>
              </w:rPr>
            </w:pPr>
            <w:r>
              <w:rPr>
                <w:b/>
                <w:sz w:val="18"/>
              </w:rPr>
              <w:t>2015</w:t>
            </w:r>
          </w:p>
        </w:tc>
        <w:tc>
          <w:tcPr>
            <w:tcW w:w="466" w:type="dxa"/>
            <w:vMerge w:val="restart"/>
            <w:shd w:val="clear" w:color="auto" w:fill="D7E3BB"/>
            <w:textDirection w:val="btLr"/>
          </w:tcPr>
          <w:p>
            <w:pPr>
              <w:pStyle w:val="TableParagraph"/>
              <w:spacing w:before="66"/>
              <w:ind w:left="-1"/>
              <w:jc w:val="left"/>
              <w:rPr>
                <w:b/>
                <w:sz w:val="18"/>
              </w:rPr>
            </w:pPr>
            <w:r>
              <w:rPr>
                <w:b/>
                <w:w w:val="100"/>
                <w:sz w:val="18"/>
              </w:rPr>
              <w:t>To</w:t>
            </w:r>
            <w:r>
              <w:rPr>
                <w:b/>
                <w:w w:val="99"/>
                <w:sz w:val="18"/>
              </w:rPr>
              <w:t>ta</w:t>
            </w:r>
            <w:r>
              <w:rPr>
                <w:b/>
                <w:w w:val="100"/>
                <w:sz w:val="18"/>
              </w:rPr>
              <w:t>l</w:t>
            </w:r>
          </w:p>
        </w:tc>
      </w:tr>
      <w:tr>
        <w:trPr>
          <w:trHeight w:val="1222" w:hRule="exact"/>
        </w:trPr>
        <w:tc>
          <w:tcPr>
            <w:tcW w:w="3781" w:type="dxa"/>
            <w:vMerge/>
            <w:tcBorders>
              <w:bottom w:val="single" w:sz="4" w:space="0" w:color="000000"/>
              <w:right w:val="single" w:sz="4" w:space="0" w:color="000000"/>
            </w:tcBorders>
            <w:shd w:val="clear" w:color="auto" w:fill="D7E3BB"/>
          </w:tcPr>
          <w:p>
            <w:pP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P.</w:t>
            </w:r>
            <w:r>
              <w:rPr>
                <w:b/>
                <w:sz w:val="18"/>
              </w:rPr>
              <w:t> de </w:t>
            </w:r>
            <w:r>
              <w:rPr>
                <w:b/>
                <w:w w:val="100"/>
                <w:sz w:val="18"/>
              </w:rPr>
              <w:t>O.</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3"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P.</w:t>
            </w:r>
            <w:r>
              <w:rPr>
                <w:b/>
                <w:sz w:val="18"/>
              </w:rPr>
              <w:t> de </w:t>
            </w:r>
            <w:r>
              <w:rPr>
                <w:b/>
                <w:w w:val="100"/>
                <w:sz w:val="18"/>
              </w:rPr>
              <w:t>O.</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P.</w:t>
            </w:r>
            <w:r>
              <w:rPr>
                <w:b/>
                <w:sz w:val="18"/>
              </w:rPr>
              <w:t> de </w:t>
            </w:r>
            <w:r>
              <w:rPr>
                <w:b/>
                <w:w w:val="100"/>
                <w:sz w:val="18"/>
              </w:rPr>
              <w:t>O.</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4"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P.</w:t>
            </w:r>
            <w:r>
              <w:rPr>
                <w:b/>
                <w:sz w:val="18"/>
              </w:rPr>
              <w:t> de </w:t>
            </w:r>
            <w:r>
              <w:rPr>
                <w:b/>
                <w:w w:val="100"/>
                <w:sz w:val="18"/>
              </w:rPr>
              <w:t>O.</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P.</w:t>
            </w:r>
            <w:r>
              <w:rPr>
                <w:b/>
                <w:sz w:val="18"/>
              </w:rPr>
              <w:t> de </w:t>
            </w:r>
            <w:r>
              <w:rPr>
                <w:b/>
                <w:w w:val="100"/>
                <w:sz w:val="18"/>
              </w:rPr>
              <w:t>O.</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3"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P.</w:t>
            </w:r>
            <w:r>
              <w:rPr>
                <w:b/>
                <w:sz w:val="18"/>
              </w:rPr>
              <w:t> de </w:t>
            </w:r>
            <w:r>
              <w:rPr>
                <w:b/>
                <w:w w:val="100"/>
                <w:sz w:val="18"/>
              </w:rPr>
              <w:t>O.</w:t>
            </w:r>
          </w:p>
        </w:tc>
        <w:tc>
          <w:tcPr>
            <w:tcW w:w="475"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83"/>
              <w:ind w:left="-1"/>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P.</w:t>
            </w:r>
            <w:r>
              <w:rPr>
                <w:b/>
                <w:sz w:val="18"/>
              </w:rPr>
              <w:t> de </w:t>
            </w:r>
            <w:r>
              <w:rPr>
                <w:b/>
                <w:w w:val="100"/>
                <w:sz w:val="18"/>
              </w:rPr>
              <w:t>O.</w:t>
            </w:r>
          </w:p>
        </w:tc>
        <w:tc>
          <w:tcPr>
            <w:tcW w:w="47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80"/>
              <w:ind w:left="-1"/>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P.</w:t>
            </w:r>
            <w:r>
              <w:rPr>
                <w:b/>
                <w:sz w:val="18"/>
              </w:rPr>
              <w:t> de </w:t>
            </w:r>
            <w:r>
              <w:rPr>
                <w:b/>
                <w:w w:val="100"/>
                <w:sz w:val="18"/>
              </w:rPr>
              <w:t>O.</w:t>
            </w:r>
          </w:p>
        </w:tc>
        <w:tc>
          <w:tcPr>
            <w:tcW w:w="912" w:type="dxa"/>
            <w:tcBorders>
              <w:top w:val="single" w:sz="4" w:space="0" w:color="000000"/>
              <w:left w:val="single" w:sz="4" w:space="0" w:color="000000"/>
              <w:bottom w:val="single" w:sz="4" w:space="0" w:color="000000"/>
            </w:tcBorders>
            <w:shd w:val="clear" w:color="auto" w:fill="D7E3BB"/>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3"/>
              <w:ind w:left="-1"/>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6" w:type="dxa"/>
            <w:vMerge/>
            <w:tcBorders>
              <w:bottom w:val="single" w:sz="4" w:space="0" w:color="000000"/>
            </w:tcBorders>
            <w:shd w:val="clear" w:color="auto" w:fill="D7E3BB"/>
            <w:textDirection w:val="btLr"/>
          </w:tcPr>
          <w:p>
            <w:pPr/>
          </w:p>
        </w:tc>
      </w:tr>
      <w:tr>
        <w:trPr>
          <w:trHeight w:val="319"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IXTAPAN DEL ORO</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2</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1</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99"/>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5</w:t>
            </w:r>
          </w:p>
        </w:tc>
      </w:tr>
      <w:tr>
        <w:trPr>
          <w:trHeight w:val="322"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67"/>
              <w:jc w:val="left"/>
              <w:rPr>
                <w:b/>
                <w:sz w:val="18"/>
              </w:rPr>
            </w:pPr>
            <w:r>
              <w:rPr>
                <w:b/>
                <w:sz w:val="18"/>
              </w:rPr>
              <w:t>IXTLAHUACA</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27"/>
              <w:jc w:val="right"/>
              <w:rPr>
                <w:sz w:val="18"/>
              </w:rPr>
            </w:pPr>
            <w:r>
              <w:rPr>
                <w:w w:val="95"/>
                <w:sz w:val="18"/>
              </w:rPr>
              <w:t>37</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62" w:right="58"/>
              <w:rPr>
                <w:sz w:val="18"/>
              </w:rPr>
            </w:pPr>
            <w:r>
              <w:rPr>
                <w:sz w:val="18"/>
              </w:rPr>
              <w:t>31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5"/>
              <w:jc w:val="left"/>
              <w:rPr>
                <w:sz w:val="18"/>
              </w:rPr>
            </w:pPr>
            <w:r>
              <w:rPr>
                <w:w w:val="99"/>
                <w:sz w:val="18"/>
              </w:rPr>
              <w:t>0</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399"/>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right="122"/>
              <w:jc w:val="right"/>
              <w:rPr>
                <w:b/>
                <w:sz w:val="18"/>
              </w:rPr>
            </w:pPr>
            <w:r>
              <w:rPr>
                <w:b/>
                <w:w w:val="95"/>
                <w:sz w:val="18"/>
              </w:rPr>
              <w:t>70</w:t>
            </w:r>
          </w:p>
        </w:tc>
      </w:tr>
      <w:tr>
        <w:trPr>
          <w:trHeight w:val="319"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JALTENCO</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99"/>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0</w:t>
            </w:r>
          </w:p>
        </w:tc>
      </w:tr>
      <w:tr>
        <w:trPr>
          <w:trHeight w:val="322"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7"/>
              <w:jc w:val="left"/>
              <w:rPr>
                <w:b/>
                <w:sz w:val="18"/>
              </w:rPr>
            </w:pPr>
            <w:r>
              <w:rPr>
                <w:b/>
                <w:sz w:val="18"/>
              </w:rPr>
              <w:t>JILOTEPEC</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2</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2</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2</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2</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6</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4</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1"/>
              <w:ind w:right="77"/>
              <w:jc w:val="right"/>
              <w:rPr>
                <w:sz w:val="18"/>
              </w:rPr>
            </w:pPr>
            <w:r>
              <w:rPr>
                <w:w w:val="95"/>
                <w:sz w:val="18"/>
              </w:rPr>
              <w:t>122</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7"/>
              <w:jc w:val="left"/>
              <w:rPr>
                <w:sz w:val="18"/>
              </w:rPr>
            </w:pPr>
            <w:r>
              <w:rPr>
                <w:w w:val="99"/>
                <w:sz w:val="18"/>
              </w:rPr>
              <w:t>2</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1"/>
              <w:ind w:left="62" w:right="58"/>
              <w:rPr>
                <w:sz w:val="18"/>
              </w:rPr>
            </w:pPr>
            <w:r>
              <w:rPr>
                <w:sz w:val="18"/>
              </w:rPr>
              <w:t>46</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2</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spacing w:before="1"/>
              <w:ind w:right="399"/>
              <w:jc w:val="right"/>
              <w:rPr>
                <w:sz w:val="18"/>
              </w:rPr>
            </w:pPr>
            <w:r>
              <w:rPr>
                <w:w w:val="99"/>
                <w:sz w:val="18"/>
              </w:rPr>
              <w:t>5</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right="72"/>
              <w:jc w:val="right"/>
              <w:rPr>
                <w:b/>
                <w:sz w:val="18"/>
              </w:rPr>
            </w:pPr>
            <w:r>
              <w:rPr>
                <w:b/>
                <w:w w:val="95"/>
                <w:sz w:val="18"/>
              </w:rPr>
              <w:t>195</w:t>
            </w:r>
          </w:p>
        </w:tc>
      </w:tr>
      <w:tr>
        <w:trPr>
          <w:trHeight w:val="319"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JILOTZINGO</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1</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99"/>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2</w:t>
            </w:r>
          </w:p>
        </w:tc>
      </w:tr>
      <w:tr>
        <w:trPr>
          <w:trHeight w:val="322"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7"/>
              <w:jc w:val="left"/>
              <w:rPr>
                <w:b/>
                <w:sz w:val="18"/>
              </w:rPr>
            </w:pPr>
            <w:r>
              <w:rPr>
                <w:b/>
                <w:sz w:val="18"/>
              </w:rPr>
              <w:t>JIQUIPILCO</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1"/>
              <w:ind w:right="178"/>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1"/>
              <w:ind w:lef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spacing w:before="1"/>
              <w:ind w:right="399"/>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rPr>
                <w:b/>
                <w:sz w:val="18"/>
              </w:rPr>
            </w:pPr>
            <w:r>
              <w:rPr>
                <w:b/>
                <w:w w:val="99"/>
                <w:sz w:val="18"/>
              </w:rPr>
              <w:t>0</w:t>
            </w:r>
          </w:p>
        </w:tc>
      </w:tr>
      <w:tr>
        <w:trPr>
          <w:trHeight w:val="319"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JOCOTITLAN</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27"/>
              <w:jc w:val="right"/>
              <w:rPr>
                <w:sz w:val="18"/>
              </w:rPr>
            </w:pPr>
            <w:r>
              <w:rPr>
                <w:w w:val="95"/>
                <w:sz w:val="18"/>
              </w:rPr>
              <w:t>14</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2" w:right="58"/>
              <w:rPr>
                <w:sz w:val="18"/>
              </w:rPr>
            </w:pPr>
            <w:r>
              <w:rPr>
                <w:sz w:val="18"/>
              </w:rPr>
              <w:t>25</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1</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48"/>
              <w:jc w:val="right"/>
              <w:rPr>
                <w:sz w:val="18"/>
              </w:rPr>
            </w:pPr>
            <w:r>
              <w:rPr>
                <w:sz w:val="18"/>
              </w:rPr>
              <w:t>11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right="122"/>
              <w:jc w:val="right"/>
              <w:rPr>
                <w:b/>
                <w:sz w:val="18"/>
              </w:rPr>
            </w:pPr>
            <w:r>
              <w:rPr>
                <w:b/>
                <w:w w:val="95"/>
                <w:sz w:val="18"/>
              </w:rPr>
              <w:t>53</w:t>
            </w:r>
          </w:p>
        </w:tc>
      </w:tr>
      <w:tr>
        <w:trPr>
          <w:trHeight w:val="322"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7"/>
              <w:jc w:val="left"/>
              <w:rPr>
                <w:b/>
                <w:sz w:val="18"/>
              </w:rPr>
            </w:pPr>
            <w:r>
              <w:rPr>
                <w:b/>
                <w:sz w:val="18"/>
              </w:rPr>
              <w:t>JOQUICINGO</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2</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1"/>
              <w:ind w:right="127"/>
              <w:jc w:val="right"/>
              <w:rPr>
                <w:sz w:val="18"/>
              </w:rPr>
            </w:pPr>
            <w:r>
              <w:rPr>
                <w:w w:val="95"/>
                <w:sz w:val="18"/>
              </w:rPr>
              <w:t>25</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1"/>
              <w:ind w:lef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spacing w:before="1"/>
              <w:ind w:right="399"/>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right="122"/>
              <w:jc w:val="right"/>
              <w:rPr>
                <w:b/>
                <w:sz w:val="18"/>
              </w:rPr>
            </w:pPr>
            <w:r>
              <w:rPr>
                <w:b/>
                <w:w w:val="95"/>
                <w:sz w:val="18"/>
              </w:rPr>
              <w:t>27</w:t>
            </w:r>
          </w:p>
        </w:tc>
      </w:tr>
      <w:tr>
        <w:trPr>
          <w:trHeight w:val="322"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JUCHITEPEC</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4</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3</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99"/>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7</w:t>
            </w:r>
          </w:p>
        </w:tc>
      </w:tr>
      <w:tr>
        <w:trPr>
          <w:trHeight w:val="320"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LA PAZ</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1</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99"/>
              <w:jc w:val="righ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4</w:t>
            </w:r>
          </w:p>
        </w:tc>
      </w:tr>
      <w:tr>
        <w:trPr>
          <w:trHeight w:val="322"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LERMA</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27"/>
              <w:jc w:val="right"/>
              <w:rPr>
                <w:sz w:val="18"/>
              </w:rPr>
            </w:pPr>
            <w:r>
              <w:rPr>
                <w:w w:val="95"/>
                <w:sz w:val="18"/>
              </w:rPr>
              <w:t>93</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2" w:right="58"/>
              <w:rPr>
                <w:sz w:val="18"/>
              </w:rPr>
            </w:pPr>
            <w:r>
              <w:rPr>
                <w:sz w:val="18"/>
              </w:rPr>
              <w:t>193</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1</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99"/>
              <w:jc w:val="right"/>
              <w:rPr>
                <w:sz w:val="18"/>
              </w:rPr>
            </w:pPr>
            <w:r>
              <w:rPr>
                <w:w w:val="99"/>
                <w:sz w:val="18"/>
              </w:rPr>
              <w:t>6</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right="72"/>
              <w:jc w:val="right"/>
              <w:rPr>
                <w:b/>
                <w:sz w:val="18"/>
              </w:rPr>
            </w:pPr>
            <w:r>
              <w:rPr>
                <w:b/>
                <w:w w:val="95"/>
                <w:sz w:val="18"/>
              </w:rPr>
              <w:t>295</w:t>
            </w:r>
          </w:p>
        </w:tc>
      </w:tr>
      <w:tr>
        <w:trPr>
          <w:trHeight w:val="319"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LUVIANOS</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99"/>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1</w:t>
            </w:r>
          </w:p>
        </w:tc>
      </w:tr>
      <w:tr>
        <w:trPr>
          <w:trHeight w:val="322"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MALINALCO</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22"/>
              <w:jc w:val="right"/>
              <w:rPr>
                <w:sz w:val="18"/>
              </w:rPr>
            </w:pPr>
            <w:r>
              <w:rPr>
                <w:w w:val="95"/>
                <w:sz w:val="18"/>
              </w:rPr>
              <w:t>82</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7" w:right="-16"/>
              <w:jc w:val="left"/>
              <w:rPr>
                <w:sz w:val="18"/>
              </w:rPr>
            </w:pPr>
            <w:r>
              <w:rPr>
                <w:sz w:val="18"/>
              </w:rPr>
              <w:t>82</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77"/>
              <w:jc w:val="right"/>
              <w:rPr>
                <w:sz w:val="18"/>
              </w:rPr>
            </w:pPr>
            <w:r>
              <w:rPr>
                <w:w w:val="95"/>
                <w:sz w:val="18"/>
              </w:rPr>
              <w:t>107</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2" w:right="58"/>
              <w:rPr>
                <w:sz w:val="18"/>
              </w:rPr>
            </w:pPr>
            <w:r>
              <w:rPr>
                <w:sz w:val="18"/>
              </w:rPr>
              <w:t>67</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1</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99"/>
              <w:jc w:val="right"/>
              <w:rPr>
                <w:sz w:val="18"/>
              </w:rPr>
            </w:pPr>
            <w:r>
              <w:rPr>
                <w:w w:val="99"/>
                <w:sz w:val="18"/>
              </w:rPr>
              <w:t>2</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right="72"/>
              <w:jc w:val="right"/>
              <w:rPr>
                <w:b/>
                <w:sz w:val="18"/>
              </w:rPr>
            </w:pPr>
            <w:r>
              <w:rPr>
                <w:b/>
                <w:w w:val="95"/>
                <w:sz w:val="18"/>
              </w:rPr>
              <w:t>345</w:t>
            </w:r>
          </w:p>
        </w:tc>
      </w:tr>
      <w:tr>
        <w:trPr>
          <w:trHeight w:val="319"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MELCHOR OCAMPO</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99"/>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0</w:t>
            </w:r>
          </w:p>
        </w:tc>
      </w:tr>
      <w:tr>
        <w:trPr>
          <w:trHeight w:val="322"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METEPEC</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27"/>
              <w:jc w:val="right"/>
              <w:rPr>
                <w:sz w:val="18"/>
              </w:rPr>
            </w:pPr>
            <w:r>
              <w:rPr>
                <w:w w:val="95"/>
                <w:sz w:val="18"/>
              </w:rPr>
              <w:t>57</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99"/>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right="122"/>
              <w:jc w:val="right"/>
              <w:rPr>
                <w:b/>
                <w:sz w:val="18"/>
              </w:rPr>
            </w:pPr>
            <w:r>
              <w:rPr>
                <w:b/>
                <w:w w:val="95"/>
                <w:sz w:val="18"/>
              </w:rPr>
              <w:t>58</w:t>
            </w:r>
          </w:p>
        </w:tc>
      </w:tr>
      <w:tr>
        <w:trPr>
          <w:trHeight w:val="319"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MEXICALTCINGO</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99"/>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0</w:t>
            </w:r>
          </w:p>
        </w:tc>
      </w:tr>
      <w:tr>
        <w:trPr>
          <w:trHeight w:val="322"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MORELOS</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99"/>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0</w:t>
            </w:r>
          </w:p>
        </w:tc>
      </w:tr>
      <w:tr>
        <w:trPr>
          <w:trHeight w:val="320"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NAUCALPAN DE JUAREZ</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2</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2</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27"/>
              <w:jc w:val="right"/>
              <w:rPr>
                <w:sz w:val="18"/>
              </w:rPr>
            </w:pPr>
            <w:r>
              <w:rPr>
                <w:w w:val="95"/>
                <w:sz w:val="18"/>
              </w:rPr>
              <w:t>40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2</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2" w:right="58"/>
              <w:rPr>
                <w:sz w:val="18"/>
              </w:rPr>
            </w:pPr>
            <w:r>
              <w:rPr>
                <w:sz w:val="18"/>
              </w:rPr>
              <w:t>16</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3</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99"/>
              <w:jc w:val="right"/>
              <w:rPr>
                <w:sz w:val="18"/>
              </w:rPr>
            </w:pPr>
            <w:r>
              <w:rPr>
                <w:w w:val="99"/>
                <w:sz w:val="18"/>
              </w:rPr>
              <w:t>4</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right="122"/>
              <w:jc w:val="right"/>
              <w:rPr>
                <w:b/>
                <w:sz w:val="18"/>
              </w:rPr>
            </w:pPr>
            <w:r>
              <w:rPr>
                <w:b/>
                <w:w w:val="95"/>
                <w:sz w:val="18"/>
              </w:rPr>
              <w:t>69</w:t>
            </w:r>
          </w:p>
        </w:tc>
      </w:tr>
      <w:tr>
        <w:trPr>
          <w:trHeight w:val="322"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NEXTLALPAN</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99"/>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1</w:t>
            </w:r>
          </w:p>
        </w:tc>
      </w:tr>
      <w:tr>
        <w:trPr>
          <w:trHeight w:val="319"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NEZAHUALCOYOTL</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6</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7" w:right="-16"/>
              <w:jc w:val="left"/>
              <w:rPr>
                <w:sz w:val="18"/>
              </w:rPr>
            </w:pPr>
            <w:r>
              <w:rPr>
                <w:sz w:val="18"/>
              </w:rPr>
              <w:t>13</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27"/>
              <w:jc w:val="right"/>
              <w:rPr>
                <w:sz w:val="18"/>
              </w:rPr>
            </w:pPr>
            <w:r>
              <w:rPr>
                <w:w w:val="95"/>
                <w:sz w:val="18"/>
              </w:rPr>
              <w:t>50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2" w:right="58"/>
              <w:rPr>
                <w:sz w:val="18"/>
              </w:rPr>
            </w:pPr>
            <w:r>
              <w:rPr>
                <w:sz w:val="18"/>
              </w:rPr>
              <w:t>83</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1</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48"/>
              <w:jc w:val="right"/>
              <w:rPr>
                <w:sz w:val="18"/>
              </w:rPr>
            </w:pPr>
            <w:r>
              <w:rPr>
                <w:sz w:val="18"/>
              </w:rPr>
              <w:t>20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right="72"/>
              <w:jc w:val="right"/>
              <w:rPr>
                <w:b/>
                <w:sz w:val="18"/>
              </w:rPr>
            </w:pPr>
            <w:r>
              <w:rPr>
                <w:b/>
                <w:w w:val="95"/>
                <w:sz w:val="18"/>
              </w:rPr>
              <w:t>177</w:t>
            </w:r>
          </w:p>
        </w:tc>
      </w:tr>
      <w:tr>
        <w:trPr>
          <w:trHeight w:val="322"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7"/>
              <w:jc w:val="left"/>
              <w:rPr>
                <w:b/>
                <w:sz w:val="18"/>
              </w:rPr>
            </w:pPr>
            <w:r>
              <w:rPr>
                <w:b/>
                <w:sz w:val="18"/>
              </w:rPr>
              <w:t>NICOLAS ROMERO</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22"/>
              <w:jc w:val="right"/>
              <w:rPr>
                <w:sz w:val="18"/>
              </w:rPr>
            </w:pPr>
            <w:r>
              <w:rPr>
                <w:w w:val="95"/>
                <w:sz w:val="18"/>
              </w:rPr>
              <w:t>53</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27" w:right="-16"/>
              <w:jc w:val="left"/>
              <w:rPr>
                <w:sz w:val="18"/>
              </w:rPr>
            </w:pPr>
            <w:r>
              <w:rPr>
                <w:sz w:val="18"/>
              </w:rPr>
              <w:t>24</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1"/>
              <w:ind w:right="127"/>
              <w:jc w:val="right"/>
              <w:rPr>
                <w:sz w:val="18"/>
              </w:rPr>
            </w:pPr>
            <w:r>
              <w:rPr>
                <w:w w:val="95"/>
                <w:sz w:val="18"/>
              </w:rPr>
              <w:t>36</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1"/>
              <w:ind w:lef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912" w:type="dxa"/>
            <w:tcBorders>
              <w:top w:val="single" w:sz="4" w:space="0" w:color="000000"/>
              <w:left w:val="single" w:sz="4" w:space="0" w:color="000000"/>
              <w:bottom w:val="single" w:sz="4" w:space="0" w:color="000000"/>
              <w:right w:val="single" w:sz="4" w:space="0" w:color="000000"/>
            </w:tcBorders>
          </w:tcPr>
          <w:p>
            <w:pPr>
              <w:pStyle w:val="TableParagraph"/>
              <w:spacing w:before="1"/>
              <w:ind w:right="399"/>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right="72"/>
              <w:jc w:val="right"/>
              <w:rPr>
                <w:b/>
                <w:sz w:val="18"/>
              </w:rPr>
            </w:pPr>
            <w:r>
              <w:rPr>
                <w:b/>
                <w:w w:val="95"/>
                <w:sz w:val="18"/>
              </w:rPr>
              <w:t>116</w:t>
            </w:r>
          </w:p>
        </w:tc>
      </w:tr>
    </w:tbl>
    <w:p>
      <w:pPr>
        <w:spacing w:after="0" w:line="204" w:lineRule="exact"/>
        <w:jc w:val="right"/>
        <w:rPr>
          <w:sz w:val="18"/>
        </w:rPr>
        <w:sectPr>
          <w:pgSz w:w="15840" w:h="12240" w:orient="landscape"/>
          <w:pgMar w:header="0" w:footer="975" w:top="1140" w:bottom="1160" w:left="1700" w:right="1740"/>
        </w:sectPr>
      </w:pPr>
    </w:p>
    <w:p>
      <w:pPr>
        <w:pStyle w:val="BodyText"/>
        <w:rPr>
          <w:rFonts w:ascii="Times New Roman"/>
          <w:sz w:val="20"/>
        </w:rPr>
      </w:pPr>
    </w:p>
    <w:p>
      <w:pPr>
        <w:pStyle w:val="BodyText"/>
        <w:spacing w:before="10"/>
        <w:rPr>
          <w:rFonts w:ascii="Times New Roman"/>
          <w:sz w:val="28"/>
        </w:rPr>
      </w:pPr>
    </w:p>
    <w:tbl>
      <w:tblPr>
        <w:tblW w:w="0" w:type="auto"/>
        <w:jc w:val="left"/>
        <w:tblInd w:w="1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781"/>
        <w:gridCol w:w="466"/>
        <w:gridCol w:w="466"/>
        <w:gridCol w:w="463"/>
        <w:gridCol w:w="466"/>
        <w:gridCol w:w="466"/>
        <w:gridCol w:w="466"/>
        <w:gridCol w:w="464"/>
        <w:gridCol w:w="466"/>
        <w:gridCol w:w="466"/>
        <w:gridCol w:w="466"/>
        <w:gridCol w:w="463"/>
        <w:gridCol w:w="475"/>
        <w:gridCol w:w="466"/>
        <w:gridCol w:w="476"/>
        <w:gridCol w:w="466"/>
        <w:gridCol w:w="466"/>
        <w:gridCol w:w="473"/>
      </w:tblGrid>
      <w:tr>
        <w:trPr>
          <w:trHeight w:val="288" w:hRule="exact"/>
        </w:trPr>
        <w:tc>
          <w:tcPr>
            <w:tcW w:w="11716" w:type="dxa"/>
            <w:gridSpan w:val="18"/>
            <w:shd w:val="clear" w:color="auto" w:fill="92D050"/>
          </w:tcPr>
          <w:p>
            <w:pPr>
              <w:pStyle w:val="TableParagraph"/>
              <w:spacing w:before="25"/>
              <w:ind w:left="2815"/>
              <w:jc w:val="left"/>
              <w:rPr>
                <w:b/>
                <w:sz w:val="18"/>
              </w:rPr>
            </w:pPr>
            <w:r>
              <w:rPr>
                <w:b/>
                <w:sz w:val="18"/>
              </w:rPr>
              <w:t>Anexo 20. Municipios que publican obras y licitaciones (Continuación)</w:t>
            </w:r>
          </w:p>
        </w:tc>
      </w:tr>
      <w:tr>
        <w:trPr>
          <w:trHeight w:val="324" w:hRule="exact"/>
        </w:trPr>
        <w:tc>
          <w:tcPr>
            <w:tcW w:w="3781" w:type="dxa"/>
            <w:vMerge w:val="restart"/>
            <w:tcBorders>
              <w:right w:val="single" w:sz="4" w:space="0" w:color="000000"/>
            </w:tcBorders>
            <w:shd w:val="clear" w:color="auto" w:fill="D7E3BB"/>
          </w:tcPr>
          <w:p>
            <w:pPr>
              <w:pStyle w:val="TableParagraph"/>
              <w:jc w:val="left"/>
              <w:rPr>
                <w:rFonts w:ascii="Times New Roman"/>
                <w:sz w:val="18"/>
              </w:rPr>
            </w:pPr>
          </w:p>
          <w:p>
            <w:pPr>
              <w:pStyle w:val="TableParagraph"/>
              <w:jc w:val="left"/>
              <w:rPr>
                <w:rFonts w:ascii="Times New Roman"/>
                <w:sz w:val="18"/>
              </w:rPr>
            </w:pPr>
          </w:p>
          <w:p>
            <w:pPr>
              <w:pStyle w:val="TableParagraph"/>
              <w:spacing w:before="6"/>
              <w:jc w:val="left"/>
              <w:rPr>
                <w:rFonts w:ascii="Times New Roman"/>
                <w:sz w:val="16"/>
              </w:rPr>
            </w:pPr>
          </w:p>
          <w:p>
            <w:pPr>
              <w:pStyle w:val="TableParagraph"/>
              <w:ind w:left="1442" w:right="1443"/>
              <w:rPr>
                <w:b/>
                <w:sz w:val="18"/>
              </w:rPr>
            </w:pPr>
            <w:r>
              <w:rPr>
                <w:b/>
                <w:sz w:val="18"/>
              </w:rPr>
              <w:t>Municipio</w:t>
            </w:r>
          </w:p>
        </w:tc>
        <w:tc>
          <w:tcPr>
            <w:tcW w:w="931"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61"/>
              <w:jc w:val="left"/>
              <w:rPr>
                <w:b/>
                <w:sz w:val="18"/>
              </w:rPr>
            </w:pPr>
            <w:r>
              <w:rPr>
                <w:b/>
                <w:sz w:val="18"/>
              </w:rPr>
              <w:t>2008</w:t>
            </w:r>
          </w:p>
        </w:tc>
        <w:tc>
          <w:tcPr>
            <w:tcW w:w="929"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59"/>
              <w:jc w:val="left"/>
              <w:rPr>
                <w:b/>
                <w:sz w:val="18"/>
              </w:rPr>
            </w:pPr>
            <w:r>
              <w:rPr>
                <w:b/>
                <w:sz w:val="18"/>
              </w:rPr>
              <w:t>2009</w:t>
            </w:r>
          </w:p>
        </w:tc>
        <w:tc>
          <w:tcPr>
            <w:tcW w:w="931"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61"/>
              <w:jc w:val="left"/>
              <w:rPr>
                <w:b/>
                <w:sz w:val="18"/>
              </w:rPr>
            </w:pPr>
            <w:r>
              <w:rPr>
                <w:b/>
                <w:sz w:val="18"/>
              </w:rPr>
              <w:t>2010</w:t>
            </w:r>
          </w:p>
        </w:tc>
        <w:tc>
          <w:tcPr>
            <w:tcW w:w="929"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59"/>
              <w:jc w:val="left"/>
              <w:rPr>
                <w:b/>
                <w:sz w:val="18"/>
              </w:rPr>
            </w:pPr>
            <w:r>
              <w:rPr>
                <w:b/>
                <w:sz w:val="18"/>
              </w:rPr>
              <w:t>2011</w:t>
            </w:r>
          </w:p>
        </w:tc>
        <w:tc>
          <w:tcPr>
            <w:tcW w:w="931"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61"/>
              <w:jc w:val="left"/>
              <w:rPr>
                <w:b/>
                <w:sz w:val="18"/>
              </w:rPr>
            </w:pPr>
            <w:r>
              <w:rPr>
                <w:b/>
                <w:sz w:val="18"/>
              </w:rPr>
              <w:t>2012</w:t>
            </w:r>
          </w:p>
        </w:tc>
        <w:tc>
          <w:tcPr>
            <w:tcW w:w="938"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63" w:right="31"/>
              <w:jc w:val="left"/>
              <w:rPr>
                <w:b/>
                <w:sz w:val="18"/>
              </w:rPr>
            </w:pPr>
            <w:r>
              <w:rPr>
                <w:b/>
                <w:sz w:val="18"/>
              </w:rPr>
              <w:t>2013</w:t>
            </w:r>
          </w:p>
        </w:tc>
        <w:tc>
          <w:tcPr>
            <w:tcW w:w="941"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66"/>
              <w:jc w:val="left"/>
              <w:rPr>
                <w:b/>
                <w:sz w:val="18"/>
              </w:rPr>
            </w:pPr>
            <w:r>
              <w:rPr>
                <w:b/>
                <w:sz w:val="18"/>
              </w:rPr>
              <w:t>2014</w:t>
            </w:r>
          </w:p>
        </w:tc>
        <w:tc>
          <w:tcPr>
            <w:tcW w:w="931" w:type="dxa"/>
            <w:gridSpan w:val="2"/>
            <w:tcBorders>
              <w:left w:val="single" w:sz="4" w:space="0" w:color="000000"/>
              <w:bottom w:val="single" w:sz="4" w:space="0" w:color="000000"/>
            </w:tcBorders>
            <w:shd w:val="clear" w:color="auto" w:fill="D7E3BB"/>
          </w:tcPr>
          <w:p>
            <w:pPr>
              <w:pStyle w:val="TableParagraph"/>
              <w:spacing w:line="201" w:lineRule="exact"/>
              <w:ind w:left="259"/>
              <w:jc w:val="left"/>
              <w:rPr>
                <w:b/>
                <w:sz w:val="18"/>
              </w:rPr>
            </w:pPr>
            <w:r>
              <w:rPr>
                <w:b/>
                <w:sz w:val="18"/>
              </w:rPr>
              <w:t>2015</w:t>
            </w:r>
          </w:p>
        </w:tc>
        <w:tc>
          <w:tcPr>
            <w:tcW w:w="473" w:type="dxa"/>
            <w:vMerge w:val="restart"/>
            <w:shd w:val="clear" w:color="auto" w:fill="D7E3BB"/>
            <w:textDirection w:val="btLr"/>
          </w:tcPr>
          <w:p>
            <w:pPr>
              <w:pStyle w:val="TableParagraph"/>
              <w:spacing w:before="76"/>
              <w:ind w:left="4"/>
              <w:jc w:val="left"/>
              <w:rPr>
                <w:b/>
                <w:sz w:val="18"/>
              </w:rPr>
            </w:pPr>
            <w:r>
              <w:rPr>
                <w:b/>
                <w:w w:val="100"/>
                <w:sz w:val="18"/>
              </w:rPr>
              <w:t>To</w:t>
            </w:r>
            <w:r>
              <w:rPr>
                <w:b/>
                <w:w w:val="99"/>
                <w:sz w:val="18"/>
              </w:rPr>
              <w:t>ta</w:t>
            </w:r>
            <w:r>
              <w:rPr>
                <w:b/>
                <w:w w:val="100"/>
                <w:sz w:val="18"/>
              </w:rPr>
              <w:t>l</w:t>
            </w:r>
          </w:p>
        </w:tc>
      </w:tr>
      <w:tr>
        <w:trPr>
          <w:trHeight w:val="1226" w:hRule="exact"/>
        </w:trPr>
        <w:tc>
          <w:tcPr>
            <w:tcW w:w="3781" w:type="dxa"/>
            <w:vMerge/>
            <w:tcBorders>
              <w:right w:val="single" w:sz="4" w:space="0" w:color="000000"/>
            </w:tcBorders>
            <w:shd w:val="clear" w:color="auto" w:fill="D7E3BB"/>
          </w:tcPr>
          <w:p>
            <w:pP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4"/>
              <w:jc w:val="left"/>
              <w:rPr>
                <w:b/>
                <w:sz w:val="18"/>
              </w:rPr>
            </w:pPr>
            <w:r>
              <w:rPr>
                <w:b/>
                <w:w w:val="100"/>
                <w:sz w:val="18"/>
              </w:rPr>
              <w:t>P.</w:t>
            </w:r>
            <w:r>
              <w:rPr>
                <w:b/>
                <w:sz w:val="18"/>
              </w:rPr>
              <w:t> de </w:t>
            </w:r>
            <w:r>
              <w:rPr>
                <w:b/>
                <w:w w:val="100"/>
                <w:sz w:val="18"/>
              </w:rPr>
              <w:t>O.</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4"/>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3"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4"/>
              <w:jc w:val="left"/>
              <w:rPr>
                <w:b/>
                <w:sz w:val="18"/>
              </w:rPr>
            </w:pPr>
            <w:r>
              <w:rPr>
                <w:b/>
                <w:w w:val="100"/>
                <w:sz w:val="18"/>
              </w:rPr>
              <w:t>P.</w:t>
            </w:r>
            <w:r>
              <w:rPr>
                <w:b/>
                <w:sz w:val="18"/>
              </w:rPr>
              <w:t> de </w:t>
            </w:r>
            <w:r>
              <w:rPr>
                <w:b/>
                <w:w w:val="100"/>
                <w:sz w:val="18"/>
              </w:rPr>
              <w:t>O.</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4"/>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4"/>
              <w:jc w:val="left"/>
              <w:rPr>
                <w:b/>
                <w:sz w:val="18"/>
              </w:rPr>
            </w:pPr>
            <w:r>
              <w:rPr>
                <w:b/>
                <w:w w:val="100"/>
                <w:sz w:val="18"/>
              </w:rPr>
              <w:t>P.</w:t>
            </w:r>
            <w:r>
              <w:rPr>
                <w:b/>
                <w:sz w:val="18"/>
              </w:rPr>
              <w:t> de </w:t>
            </w:r>
            <w:r>
              <w:rPr>
                <w:b/>
                <w:w w:val="100"/>
                <w:sz w:val="18"/>
              </w:rPr>
              <w:t>O.</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4"/>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4"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4"/>
              <w:jc w:val="left"/>
              <w:rPr>
                <w:b/>
                <w:sz w:val="18"/>
              </w:rPr>
            </w:pPr>
            <w:r>
              <w:rPr>
                <w:b/>
                <w:w w:val="100"/>
                <w:sz w:val="18"/>
              </w:rPr>
              <w:t>P.</w:t>
            </w:r>
            <w:r>
              <w:rPr>
                <w:b/>
                <w:sz w:val="18"/>
              </w:rPr>
              <w:t> de </w:t>
            </w:r>
            <w:r>
              <w:rPr>
                <w:b/>
                <w:w w:val="100"/>
                <w:sz w:val="18"/>
              </w:rPr>
              <w:t>O.</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4"/>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4"/>
              <w:jc w:val="left"/>
              <w:rPr>
                <w:b/>
                <w:sz w:val="18"/>
              </w:rPr>
            </w:pPr>
            <w:r>
              <w:rPr>
                <w:b/>
                <w:w w:val="100"/>
                <w:sz w:val="18"/>
              </w:rPr>
              <w:t>P.</w:t>
            </w:r>
            <w:r>
              <w:rPr>
                <w:b/>
                <w:sz w:val="18"/>
              </w:rPr>
              <w:t> de </w:t>
            </w:r>
            <w:r>
              <w:rPr>
                <w:b/>
                <w:w w:val="100"/>
                <w:sz w:val="18"/>
              </w:rPr>
              <w:t>O.</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4"/>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3"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4"/>
              <w:jc w:val="left"/>
              <w:rPr>
                <w:b/>
                <w:sz w:val="18"/>
              </w:rPr>
            </w:pPr>
            <w:r>
              <w:rPr>
                <w:b/>
                <w:w w:val="100"/>
                <w:sz w:val="18"/>
              </w:rPr>
              <w:t>P.</w:t>
            </w:r>
            <w:r>
              <w:rPr>
                <w:b/>
                <w:sz w:val="18"/>
              </w:rPr>
              <w:t> de </w:t>
            </w:r>
            <w:r>
              <w:rPr>
                <w:b/>
                <w:w w:val="100"/>
                <w:sz w:val="18"/>
              </w:rPr>
              <w:t>O.</w:t>
            </w:r>
          </w:p>
        </w:tc>
        <w:tc>
          <w:tcPr>
            <w:tcW w:w="475"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80"/>
              <w:ind w:left="4"/>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4"/>
              <w:jc w:val="left"/>
              <w:rPr>
                <w:b/>
                <w:sz w:val="18"/>
              </w:rPr>
            </w:pPr>
            <w:r>
              <w:rPr>
                <w:b/>
                <w:w w:val="100"/>
                <w:sz w:val="18"/>
              </w:rPr>
              <w:t>P.</w:t>
            </w:r>
            <w:r>
              <w:rPr>
                <w:b/>
                <w:sz w:val="18"/>
              </w:rPr>
              <w:t> de </w:t>
            </w:r>
            <w:r>
              <w:rPr>
                <w:b/>
                <w:w w:val="100"/>
                <w:sz w:val="18"/>
              </w:rPr>
              <w:t>O.</w:t>
            </w:r>
          </w:p>
        </w:tc>
        <w:tc>
          <w:tcPr>
            <w:tcW w:w="47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81"/>
              <w:ind w:left="4"/>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4"/>
              <w:jc w:val="left"/>
              <w:rPr>
                <w:b/>
                <w:sz w:val="18"/>
              </w:rPr>
            </w:pPr>
            <w:r>
              <w:rPr>
                <w:b/>
                <w:w w:val="100"/>
                <w:sz w:val="18"/>
              </w:rPr>
              <w:t>P.</w:t>
            </w:r>
            <w:r>
              <w:rPr>
                <w:b/>
                <w:sz w:val="18"/>
              </w:rPr>
              <w:t> de </w:t>
            </w:r>
            <w:r>
              <w:rPr>
                <w:b/>
                <w:w w:val="100"/>
                <w:sz w:val="18"/>
              </w:rPr>
              <w:t>O.</w:t>
            </w:r>
          </w:p>
        </w:tc>
        <w:tc>
          <w:tcPr>
            <w:tcW w:w="466" w:type="dxa"/>
            <w:tcBorders>
              <w:top w:val="single" w:sz="4" w:space="0" w:color="000000"/>
              <w:left w:val="single" w:sz="4" w:space="0" w:color="000000"/>
              <w:bottom w:val="single" w:sz="4" w:space="0" w:color="000000"/>
            </w:tcBorders>
            <w:shd w:val="clear" w:color="auto" w:fill="D7E3BB"/>
            <w:textDirection w:val="btLr"/>
          </w:tcPr>
          <w:p>
            <w:pPr>
              <w:pStyle w:val="TableParagraph"/>
              <w:spacing w:before="71"/>
              <w:ind w:left="4"/>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73" w:type="dxa"/>
            <w:vMerge/>
            <w:tcBorders>
              <w:bottom w:val="single" w:sz="4" w:space="0" w:color="000000"/>
            </w:tcBorders>
            <w:shd w:val="clear" w:color="auto" w:fill="D7E3BB"/>
            <w:textDirection w:val="btLr"/>
          </w:tcPr>
          <w:p>
            <w:pPr/>
          </w:p>
        </w:tc>
      </w:tr>
      <w:tr>
        <w:trPr>
          <w:trHeight w:val="324" w:hRule="exact"/>
        </w:trPr>
        <w:tc>
          <w:tcPr>
            <w:tcW w:w="3781" w:type="dxa"/>
            <w:tcBorders>
              <w:bottom w:val="single" w:sz="4" w:space="0" w:color="000000"/>
              <w:right w:val="single" w:sz="4" w:space="0" w:color="000000"/>
            </w:tcBorders>
          </w:tcPr>
          <w:p>
            <w:pPr>
              <w:pStyle w:val="TableParagraph"/>
              <w:spacing w:line="201" w:lineRule="exact"/>
              <w:ind w:left="62"/>
              <w:jc w:val="left"/>
              <w:rPr>
                <w:b/>
                <w:sz w:val="18"/>
              </w:rPr>
            </w:pPr>
            <w:r>
              <w:rPr>
                <w:b/>
                <w:sz w:val="18"/>
              </w:rPr>
              <w:t>NOPALTEPEC</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4"/>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4"/>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4"/>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4"/>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4"/>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4"/>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before="4"/>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4"/>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4"/>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4"/>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4"/>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4"/>
              <w:ind w:right="178"/>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4"/>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4"/>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4"/>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4"/>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b/>
                <w:sz w:val="18"/>
              </w:rPr>
            </w:pPr>
            <w:r>
              <w:rPr>
                <w:b/>
                <w:w w:val="99"/>
                <w:sz w:val="18"/>
              </w:rPr>
              <w:t>2</w:t>
            </w:r>
          </w:p>
        </w:tc>
      </w:tr>
      <w:tr>
        <w:trPr>
          <w:trHeight w:val="322" w:hRule="exact"/>
        </w:trPr>
        <w:tc>
          <w:tcPr>
            <w:tcW w:w="3781" w:type="dxa"/>
            <w:tcBorders>
              <w:top w:val="single" w:sz="4" w:space="0" w:color="000000"/>
              <w:bottom w:val="single" w:sz="4" w:space="0" w:color="000000"/>
              <w:right w:val="single" w:sz="4" w:space="0" w:color="000000"/>
            </w:tcBorders>
          </w:tcPr>
          <w:p>
            <w:pPr>
              <w:pStyle w:val="TableParagraph"/>
              <w:spacing w:line="204" w:lineRule="exact"/>
              <w:ind w:left="62"/>
              <w:jc w:val="left"/>
              <w:rPr>
                <w:b/>
                <w:sz w:val="18"/>
              </w:rPr>
            </w:pPr>
            <w:r>
              <w:rPr>
                <w:b/>
                <w:sz w:val="18"/>
              </w:rPr>
              <w:t>OCOYOACAC</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2"/>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2"/>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2"/>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2"/>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2"/>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2"/>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before="2"/>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2"/>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2"/>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2"/>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2"/>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2"/>
              <w:ind w:right="127"/>
              <w:jc w:val="right"/>
              <w:rPr>
                <w:sz w:val="18"/>
              </w:rPr>
            </w:pPr>
            <w:r>
              <w:rPr>
                <w:w w:val="95"/>
                <w:sz w:val="18"/>
              </w:rPr>
              <w:t>21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2"/>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2"/>
              <w:ind w:right="1"/>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2"/>
              <w:ind w:right="3"/>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2"/>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2" w:right="60"/>
              <w:rPr>
                <w:b/>
                <w:sz w:val="18"/>
              </w:rPr>
            </w:pPr>
            <w:r>
              <w:rPr>
                <w:b/>
                <w:sz w:val="18"/>
              </w:rPr>
              <w:t>25</w:t>
            </w:r>
          </w:p>
        </w:tc>
      </w:tr>
      <w:tr>
        <w:trPr>
          <w:trHeight w:val="322" w:hRule="exact"/>
        </w:trPr>
        <w:tc>
          <w:tcPr>
            <w:tcW w:w="3781" w:type="dxa"/>
            <w:tcBorders>
              <w:top w:val="single" w:sz="4" w:space="0" w:color="000000"/>
              <w:bottom w:val="single" w:sz="4" w:space="0" w:color="000000"/>
              <w:right w:val="single" w:sz="4" w:space="0" w:color="000000"/>
            </w:tcBorders>
          </w:tcPr>
          <w:p>
            <w:pPr>
              <w:pStyle w:val="TableParagraph"/>
              <w:spacing w:line="201" w:lineRule="exact"/>
              <w:ind w:left="62"/>
              <w:jc w:val="left"/>
              <w:rPr>
                <w:b/>
                <w:sz w:val="18"/>
              </w:rPr>
            </w:pPr>
            <w:r>
              <w:rPr>
                <w:b/>
                <w:sz w:val="18"/>
              </w:rPr>
              <w:t>OCUILAN</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4</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27"/>
              <w:jc w:val="right"/>
              <w:rPr>
                <w:sz w:val="18"/>
              </w:rPr>
            </w:pPr>
            <w:r>
              <w:rPr>
                <w:w w:val="95"/>
                <w:sz w:val="18"/>
              </w:rPr>
              <w:t>13</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right="60"/>
              <w:rPr>
                <w:b/>
                <w:sz w:val="18"/>
              </w:rPr>
            </w:pPr>
            <w:r>
              <w:rPr>
                <w:b/>
                <w:sz w:val="18"/>
              </w:rPr>
              <w:t>20</w:t>
            </w:r>
          </w:p>
        </w:tc>
      </w:tr>
      <w:tr>
        <w:trPr>
          <w:trHeight w:val="319" w:hRule="exact"/>
        </w:trPr>
        <w:tc>
          <w:tcPr>
            <w:tcW w:w="3781" w:type="dxa"/>
            <w:tcBorders>
              <w:top w:val="single" w:sz="4" w:space="0" w:color="000000"/>
              <w:bottom w:val="single" w:sz="4" w:space="0" w:color="000000"/>
              <w:right w:val="single" w:sz="4" w:space="0" w:color="000000"/>
            </w:tcBorders>
          </w:tcPr>
          <w:p>
            <w:pPr>
              <w:pStyle w:val="TableParagraph"/>
              <w:spacing w:line="201" w:lineRule="exact"/>
              <w:ind w:left="62"/>
              <w:jc w:val="left"/>
              <w:rPr>
                <w:b/>
                <w:sz w:val="18"/>
              </w:rPr>
            </w:pPr>
            <w:r>
              <w:rPr>
                <w:b/>
                <w:sz w:val="18"/>
              </w:rPr>
              <w:t>OTUMBA</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0" w:right="60"/>
              <w:rPr>
                <w:sz w:val="18"/>
              </w:rPr>
            </w:pPr>
            <w:r>
              <w:rPr>
                <w:sz w:val="18"/>
              </w:rPr>
              <w:t>26</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7" w:right="-16"/>
              <w:jc w:val="left"/>
              <w:rPr>
                <w:sz w:val="18"/>
              </w:rPr>
            </w:pPr>
            <w:r>
              <w:rPr>
                <w:sz w:val="18"/>
              </w:rPr>
              <w:t>22</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right="60"/>
              <w:rPr>
                <w:b/>
                <w:sz w:val="18"/>
              </w:rPr>
            </w:pPr>
            <w:r>
              <w:rPr>
                <w:b/>
                <w:sz w:val="18"/>
              </w:rPr>
              <w:t>50</w:t>
            </w:r>
          </w:p>
        </w:tc>
      </w:tr>
      <w:tr>
        <w:trPr>
          <w:trHeight w:val="322" w:hRule="exact"/>
        </w:trPr>
        <w:tc>
          <w:tcPr>
            <w:tcW w:w="3781" w:type="dxa"/>
            <w:tcBorders>
              <w:top w:val="single" w:sz="4" w:space="0" w:color="000000"/>
              <w:bottom w:val="single" w:sz="4" w:space="0" w:color="000000"/>
              <w:right w:val="single" w:sz="4" w:space="0" w:color="000000"/>
            </w:tcBorders>
          </w:tcPr>
          <w:p>
            <w:pPr>
              <w:pStyle w:val="TableParagraph"/>
              <w:spacing w:line="201" w:lineRule="exact"/>
              <w:ind w:left="62"/>
              <w:jc w:val="left"/>
              <w:rPr>
                <w:b/>
                <w:sz w:val="18"/>
              </w:rPr>
            </w:pPr>
            <w:r>
              <w:rPr>
                <w:b/>
                <w:sz w:val="18"/>
              </w:rPr>
              <w:t>OTZOLOAPAN</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
              <w:rPr>
                <w:b/>
                <w:sz w:val="18"/>
              </w:rPr>
            </w:pPr>
            <w:r>
              <w:rPr>
                <w:b/>
                <w:w w:val="99"/>
                <w:sz w:val="18"/>
              </w:rPr>
              <w:t>0</w:t>
            </w:r>
          </w:p>
        </w:tc>
      </w:tr>
      <w:tr>
        <w:trPr>
          <w:trHeight w:val="319" w:hRule="exact"/>
        </w:trPr>
        <w:tc>
          <w:tcPr>
            <w:tcW w:w="3781" w:type="dxa"/>
            <w:tcBorders>
              <w:top w:val="single" w:sz="4" w:space="0" w:color="000000"/>
              <w:bottom w:val="single" w:sz="4" w:space="0" w:color="000000"/>
              <w:right w:val="single" w:sz="4" w:space="0" w:color="000000"/>
            </w:tcBorders>
          </w:tcPr>
          <w:p>
            <w:pPr>
              <w:pStyle w:val="TableParagraph"/>
              <w:spacing w:line="201" w:lineRule="exact"/>
              <w:ind w:left="62"/>
              <w:jc w:val="left"/>
              <w:rPr>
                <w:b/>
                <w:sz w:val="18"/>
              </w:rPr>
            </w:pPr>
            <w:r>
              <w:rPr>
                <w:b/>
                <w:sz w:val="18"/>
              </w:rPr>
              <w:t>OTZOLOTEPEC</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9" w:right="-16"/>
              <w:jc w:val="left"/>
              <w:rPr>
                <w:sz w:val="18"/>
              </w:rPr>
            </w:pPr>
            <w:r>
              <w:rPr>
                <w:sz w:val="18"/>
              </w:rPr>
              <w:t>78</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7" w:right="-16"/>
              <w:jc w:val="left"/>
              <w:rPr>
                <w:sz w:val="18"/>
              </w:rPr>
            </w:pPr>
            <w:r>
              <w:rPr>
                <w:sz w:val="18"/>
              </w:rPr>
              <w:t>86</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27"/>
              <w:jc w:val="right"/>
              <w:rPr>
                <w:sz w:val="18"/>
              </w:rPr>
            </w:pPr>
            <w:r>
              <w:rPr>
                <w:w w:val="95"/>
                <w:sz w:val="18"/>
              </w:rPr>
              <w:t>85</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0" w:right="60"/>
              <w:rPr>
                <w:sz w:val="18"/>
              </w:rPr>
            </w:pPr>
            <w:r>
              <w:rPr>
                <w:sz w:val="18"/>
              </w:rPr>
              <w:t>49</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right="60"/>
              <w:rPr>
                <w:b/>
                <w:sz w:val="18"/>
              </w:rPr>
            </w:pPr>
            <w:r>
              <w:rPr>
                <w:b/>
                <w:sz w:val="18"/>
              </w:rPr>
              <w:t>302</w:t>
            </w:r>
          </w:p>
        </w:tc>
      </w:tr>
      <w:tr>
        <w:trPr>
          <w:trHeight w:val="322" w:hRule="exact"/>
        </w:trPr>
        <w:tc>
          <w:tcPr>
            <w:tcW w:w="3781" w:type="dxa"/>
            <w:tcBorders>
              <w:top w:val="single" w:sz="4" w:space="0" w:color="000000"/>
              <w:bottom w:val="single" w:sz="4" w:space="0" w:color="000000"/>
              <w:right w:val="single" w:sz="4" w:space="0" w:color="000000"/>
            </w:tcBorders>
          </w:tcPr>
          <w:p>
            <w:pPr>
              <w:pStyle w:val="TableParagraph"/>
              <w:spacing w:line="201" w:lineRule="exact"/>
              <w:ind w:left="62"/>
              <w:jc w:val="left"/>
              <w:rPr>
                <w:b/>
                <w:sz w:val="18"/>
              </w:rPr>
            </w:pPr>
            <w:r>
              <w:rPr>
                <w:b/>
                <w:sz w:val="18"/>
              </w:rPr>
              <w:t>OZUMBA</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1</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
              <w:rPr>
                <w:b/>
                <w:sz w:val="18"/>
              </w:rPr>
            </w:pPr>
            <w:r>
              <w:rPr>
                <w:b/>
                <w:w w:val="99"/>
                <w:sz w:val="18"/>
              </w:rPr>
              <w:t>2</w:t>
            </w:r>
          </w:p>
        </w:tc>
      </w:tr>
      <w:tr>
        <w:trPr>
          <w:trHeight w:val="319" w:hRule="exact"/>
        </w:trPr>
        <w:tc>
          <w:tcPr>
            <w:tcW w:w="3781" w:type="dxa"/>
            <w:tcBorders>
              <w:top w:val="single" w:sz="4" w:space="0" w:color="000000"/>
              <w:bottom w:val="single" w:sz="4" w:space="0" w:color="000000"/>
              <w:right w:val="single" w:sz="4" w:space="0" w:color="000000"/>
            </w:tcBorders>
          </w:tcPr>
          <w:p>
            <w:pPr>
              <w:pStyle w:val="TableParagraph"/>
              <w:spacing w:line="201" w:lineRule="exact"/>
              <w:ind w:left="62"/>
              <w:jc w:val="left"/>
              <w:rPr>
                <w:b/>
                <w:sz w:val="18"/>
              </w:rPr>
            </w:pPr>
            <w:r>
              <w:rPr>
                <w:b/>
                <w:sz w:val="18"/>
              </w:rPr>
              <w:t>PAPALOTLA</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27"/>
              <w:jc w:val="right"/>
              <w:rPr>
                <w:sz w:val="18"/>
              </w:rPr>
            </w:pPr>
            <w:r>
              <w:rPr>
                <w:w w:val="95"/>
                <w:sz w:val="18"/>
              </w:rPr>
              <w:t>12</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right="60"/>
              <w:rPr>
                <w:b/>
                <w:sz w:val="18"/>
              </w:rPr>
            </w:pPr>
            <w:r>
              <w:rPr>
                <w:b/>
                <w:sz w:val="18"/>
              </w:rPr>
              <w:t>15</w:t>
            </w:r>
          </w:p>
        </w:tc>
      </w:tr>
      <w:tr>
        <w:trPr>
          <w:trHeight w:val="322" w:hRule="exact"/>
        </w:trPr>
        <w:tc>
          <w:tcPr>
            <w:tcW w:w="3781" w:type="dxa"/>
            <w:tcBorders>
              <w:top w:val="single" w:sz="4" w:space="0" w:color="000000"/>
              <w:bottom w:val="single" w:sz="4" w:space="0" w:color="000000"/>
              <w:right w:val="single" w:sz="4" w:space="0" w:color="000000"/>
            </w:tcBorders>
          </w:tcPr>
          <w:p>
            <w:pPr>
              <w:pStyle w:val="TableParagraph"/>
              <w:spacing w:line="201" w:lineRule="exact"/>
              <w:ind w:left="62"/>
              <w:jc w:val="left"/>
              <w:rPr>
                <w:b/>
                <w:sz w:val="18"/>
              </w:rPr>
            </w:pPr>
            <w:r>
              <w:rPr>
                <w:b/>
                <w:sz w:val="18"/>
              </w:rPr>
              <w:t>POLOTITLAN</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27"/>
              <w:jc w:val="right"/>
              <w:rPr>
                <w:sz w:val="18"/>
              </w:rPr>
            </w:pPr>
            <w:r>
              <w:rPr>
                <w:w w:val="95"/>
                <w:sz w:val="18"/>
              </w:rPr>
              <w:t>10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0" w:right="60"/>
              <w:rPr>
                <w:sz w:val="18"/>
              </w:rPr>
            </w:pPr>
            <w:r>
              <w:rPr>
                <w:sz w:val="18"/>
              </w:rPr>
              <w:t>13</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right="60"/>
              <w:rPr>
                <w:b/>
                <w:sz w:val="18"/>
              </w:rPr>
            </w:pPr>
            <w:r>
              <w:rPr>
                <w:b/>
                <w:sz w:val="18"/>
              </w:rPr>
              <w:t>25</w:t>
            </w:r>
          </w:p>
        </w:tc>
      </w:tr>
      <w:tr>
        <w:trPr>
          <w:trHeight w:val="320" w:hRule="exact"/>
        </w:trPr>
        <w:tc>
          <w:tcPr>
            <w:tcW w:w="3781" w:type="dxa"/>
            <w:tcBorders>
              <w:top w:val="single" w:sz="4" w:space="0" w:color="000000"/>
              <w:bottom w:val="single" w:sz="4" w:space="0" w:color="000000"/>
              <w:right w:val="single" w:sz="4" w:space="0" w:color="000000"/>
            </w:tcBorders>
          </w:tcPr>
          <w:p>
            <w:pPr>
              <w:pStyle w:val="TableParagraph"/>
              <w:spacing w:line="201" w:lineRule="exact"/>
              <w:ind w:left="62"/>
              <w:jc w:val="left"/>
              <w:rPr>
                <w:b/>
                <w:sz w:val="18"/>
              </w:rPr>
            </w:pPr>
            <w:r>
              <w:rPr>
                <w:b/>
                <w:sz w:val="18"/>
              </w:rPr>
              <w:t>RAYON</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
              <w:rPr>
                <w:b/>
                <w:sz w:val="18"/>
              </w:rPr>
            </w:pPr>
            <w:r>
              <w:rPr>
                <w:b/>
                <w:w w:val="99"/>
                <w:sz w:val="18"/>
              </w:rPr>
              <w:t>3</w:t>
            </w:r>
          </w:p>
        </w:tc>
      </w:tr>
      <w:tr>
        <w:trPr>
          <w:trHeight w:val="322" w:hRule="exact"/>
        </w:trPr>
        <w:tc>
          <w:tcPr>
            <w:tcW w:w="3781" w:type="dxa"/>
            <w:tcBorders>
              <w:top w:val="single" w:sz="4" w:space="0" w:color="000000"/>
              <w:bottom w:val="single" w:sz="4" w:space="0" w:color="000000"/>
              <w:right w:val="single" w:sz="4" w:space="0" w:color="000000"/>
            </w:tcBorders>
          </w:tcPr>
          <w:p>
            <w:pPr>
              <w:pStyle w:val="TableParagraph"/>
              <w:spacing w:line="201" w:lineRule="exact"/>
              <w:ind w:left="62"/>
              <w:jc w:val="left"/>
              <w:rPr>
                <w:b/>
                <w:sz w:val="18"/>
              </w:rPr>
            </w:pPr>
            <w:r>
              <w:rPr>
                <w:b/>
                <w:sz w:val="18"/>
              </w:rPr>
              <w:t>SAN ANTONIO LA ISLA</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
              <w:rPr>
                <w:b/>
                <w:sz w:val="18"/>
              </w:rPr>
            </w:pPr>
            <w:r>
              <w:rPr>
                <w:b/>
                <w:w w:val="99"/>
                <w:sz w:val="18"/>
              </w:rPr>
              <w:t>0</w:t>
            </w:r>
          </w:p>
        </w:tc>
      </w:tr>
      <w:tr>
        <w:trPr>
          <w:trHeight w:val="319" w:hRule="exact"/>
        </w:trPr>
        <w:tc>
          <w:tcPr>
            <w:tcW w:w="3781" w:type="dxa"/>
            <w:tcBorders>
              <w:top w:val="single" w:sz="4" w:space="0" w:color="000000"/>
              <w:bottom w:val="single" w:sz="4" w:space="0" w:color="000000"/>
              <w:right w:val="single" w:sz="4" w:space="0" w:color="000000"/>
            </w:tcBorders>
          </w:tcPr>
          <w:p>
            <w:pPr>
              <w:pStyle w:val="TableParagraph"/>
              <w:spacing w:line="201" w:lineRule="exact"/>
              <w:ind w:left="62"/>
              <w:jc w:val="left"/>
              <w:rPr>
                <w:b/>
                <w:sz w:val="18"/>
              </w:rPr>
            </w:pPr>
            <w:r>
              <w:rPr>
                <w:b/>
                <w:sz w:val="18"/>
              </w:rPr>
              <w:t>SAN FELIPE DEL PROGRESO</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
              <w:rPr>
                <w:b/>
                <w:sz w:val="18"/>
              </w:rPr>
            </w:pPr>
            <w:r>
              <w:rPr>
                <w:b/>
                <w:w w:val="99"/>
                <w:sz w:val="18"/>
              </w:rPr>
              <w:t>0</w:t>
            </w:r>
          </w:p>
        </w:tc>
      </w:tr>
      <w:tr>
        <w:trPr>
          <w:trHeight w:val="322" w:hRule="exact"/>
        </w:trPr>
        <w:tc>
          <w:tcPr>
            <w:tcW w:w="3781" w:type="dxa"/>
            <w:tcBorders>
              <w:top w:val="single" w:sz="4" w:space="0" w:color="000000"/>
              <w:bottom w:val="single" w:sz="4" w:space="0" w:color="000000"/>
              <w:right w:val="single" w:sz="4" w:space="0" w:color="000000"/>
            </w:tcBorders>
          </w:tcPr>
          <w:p>
            <w:pPr>
              <w:pStyle w:val="TableParagraph"/>
              <w:spacing w:line="201" w:lineRule="exact"/>
              <w:ind w:left="62"/>
              <w:jc w:val="left"/>
              <w:rPr>
                <w:b/>
                <w:sz w:val="18"/>
              </w:rPr>
            </w:pPr>
            <w:r>
              <w:rPr>
                <w:b/>
                <w:sz w:val="18"/>
              </w:rPr>
              <w:t>SAN JOSE DEL RINCON</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77"/>
              <w:jc w:val="right"/>
              <w:rPr>
                <w:sz w:val="18"/>
              </w:rPr>
            </w:pPr>
            <w:r>
              <w:rPr>
                <w:w w:val="95"/>
                <w:sz w:val="18"/>
              </w:rPr>
              <w:t>152</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0" w:right="60"/>
              <w:rPr>
                <w:sz w:val="18"/>
              </w:rPr>
            </w:pPr>
            <w:r>
              <w:rPr>
                <w:sz w:val="18"/>
              </w:rPr>
              <w:t>123</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right="60"/>
              <w:rPr>
                <w:b/>
                <w:sz w:val="18"/>
              </w:rPr>
            </w:pPr>
            <w:r>
              <w:rPr>
                <w:b/>
                <w:sz w:val="18"/>
              </w:rPr>
              <w:t>280</w:t>
            </w:r>
          </w:p>
        </w:tc>
      </w:tr>
      <w:tr>
        <w:trPr>
          <w:trHeight w:val="319" w:hRule="exact"/>
        </w:trPr>
        <w:tc>
          <w:tcPr>
            <w:tcW w:w="3781" w:type="dxa"/>
            <w:tcBorders>
              <w:top w:val="single" w:sz="4" w:space="0" w:color="000000"/>
              <w:bottom w:val="single" w:sz="4" w:space="0" w:color="000000"/>
              <w:right w:val="single" w:sz="4" w:space="0" w:color="000000"/>
            </w:tcBorders>
          </w:tcPr>
          <w:p>
            <w:pPr>
              <w:pStyle w:val="TableParagraph"/>
              <w:spacing w:line="201" w:lineRule="exact"/>
              <w:ind w:left="62"/>
              <w:jc w:val="left"/>
              <w:rPr>
                <w:b/>
                <w:sz w:val="18"/>
              </w:rPr>
            </w:pPr>
            <w:r>
              <w:rPr>
                <w:b/>
                <w:sz w:val="18"/>
              </w:rPr>
              <w:t>SAN MARTÍN DE LAS PIRAMIDES</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2</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27"/>
              <w:jc w:val="right"/>
              <w:rPr>
                <w:sz w:val="18"/>
              </w:rPr>
            </w:pPr>
            <w:r>
              <w:rPr>
                <w:w w:val="95"/>
                <w:sz w:val="18"/>
              </w:rPr>
              <w:t>10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2</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0" w:right="60"/>
              <w:rPr>
                <w:sz w:val="18"/>
              </w:rPr>
            </w:pPr>
            <w:r>
              <w:rPr>
                <w:sz w:val="18"/>
              </w:rPr>
              <w:t>10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4</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right="60"/>
              <w:rPr>
                <w:b/>
                <w:sz w:val="18"/>
              </w:rPr>
            </w:pPr>
            <w:r>
              <w:rPr>
                <w:b/>
                <w:sz w:val="18"/>
              </w:rPr>
              <w:t>30</w:t>
            </w:r>
          </w:p>
        </w:tc>
      </w:tr>
      <w:tr>
        <w:trPr>
          <w:trHeight w:val="322" w:hRule="exact"/>
        </w:trPr>
        <w:tc>
          <w:tcPr>
            <w:tcW w:w="3781" w:type="dxa"/>
            <w:tcBorders>
              <w:top w:val="single" w:sz="4" w:space="0" w:color="000000"/>
              <w:bottom w:val="single" w:sz="4" w:space="0" w:color="000000"/>
              <w:right w:val="single" w:sz="4" w:space="0" w:color="000000"/>
            </w:tcBorders>
          </w:tcPr>
          <w:p>
            <w:pPr>
              <w:pStyle w:val="TableParagraph"/>
              <w:spacing w:line="204" w:lineRule="exact"/>
              <w:ind w:left="62"/>
              <w:jc w:val="left"/>
              <w:rPr>
                <w:b/>
                <w:sz w:val="18"/>
              </w:rPr>
            </w:pPr>
            <w:r>
              <w:rPr>
                <w:b/>
                <w:sz w:val="18"/>
              </w:rPr>
              <w:t>SAN MATEO ATENCO</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27" w:right="-16"/>
              <w:jc w:val="left"/>
              <w:rPr>
                <w:sz w:val="18"/>
              </w:rPr>
            </w:pPr>
            <w:r>
              <w:rPr>
                <w:sz w:val="18"/>
              </w:rPr>
              <w:t>10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1"/>
              <w:ind w:right="127"/>
              <w:jc w:val="right"/>
              <w:rPr>
                <w:sz w:val="18"/>
              </w:rPr>
            </w:pPr>
            <w:r>
              <w:rPr>
                <w:w w:val="95"/>
                <w:sz w:val="18"/>
              </w:rPr>
              <w:t>20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1"/>
              <w:ind w:left="60" w:right="60"/>
              <w:rPr>
                <w:sz w:val="18"/>
              </w:rPr>
            </w:pPr>
            <w:r>
              <w:rPr>
                <w:sz w:val="18"/>
              </w:rPr>
              <w:t>26</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8</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2" w:right="60"/>
              <w:rPr>
                <w:b/>
                <w:sz w:val="18"/>
              </w:rPr>
            </w:pPr>
            <w:r>
              <w:rPr>
                <w:b/>
                <w:sz w:val="18"/>
              </w:rPr>
              <w:t>68</w:t>
            </w:r>
          </w:p>
        </w:tc>
      </w:tr>
      <w:tr>
        <w:trPr>
          <w:trHeight w:val="319" w:hRule="exact"/>
        </w:trPr>
        <w:tc>
          <w:tcPr>
            <w:tcW w:w="3781" w:type="dxa"/>
            <w:tcBorders>
              <w:top w:val="single" w:sz="4" w:space="0" w:color="000000"/>
              <w:bottom w:val="single" w:sz="4" w:space="0" w:color="000000"/>
              <w:right w:val="single" w:sz="4" w:space="0" w:color="000000"/>
            </w:tcBorders>
          </w:tcPr>
          <w:p>
            <w:pPr>
              <w:pStyle w:val="TableParagraph"/>
              <w:spacing w:line="201" w:lineRule="exact"/>
              <w:ind w:left="62"/>
              <w:jc w:val="left"/>
              <w:rPr>
                <w:b/>
                <w:sz w:val="18"/>
              </w:rPr>
            </w:pPr>
            <w:r>
              <w:rPr>
                <w:b/>
                <w:sz w:val="18"/>
              </w:rPr>
              <w:t>SAN SIMON DE GUERRERO</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
              <w:rPr>
                <w:b/>
                <w:sz w:val="18"/>
              </w:rPr>
            </w:pPr>
            <w:r>
              <w:rPr>
                <w:b/>
                <w:w w:val="99"/>
                <w:sz w:val="18"/>
              </w:rPr>
              <w:t>0</w:t>
            </w:r>
          </w:p>
        </w:tc>
      </w:tr>
      <w:tr>
        <w:trPr>
          <w:trHeight w:val="322" w:hRule="exact"/>
        </w:trPr>
        <w:tc>
          <w:tcPr>
            <w:tcW w:w="3781" w:type="dxa"/>
            <w:tcBorders>
              <w:top w:val="single" w:sz="4" w:space="0" w:color="000000"/>
              <w:bottom w:val="single" w:sz="4" w:space="0" w:color="000000"/>
              <w:right w:val="single" w:sz="4" w:space="0" w:color="000000"/>
            </w:tcBorders>
          </w:tcPr>
          <w:p>
            <w:pPr>
              <w:pStyle w:val="TableParagraph"/>
              <w:spacing w:line="204" w:lineRule="exact"/>
              <w:ind w:left="62"/>
              <w:jc w:val="left"/>
              <w:rPr>
                <w:b/>
                <w:sz w:val="18"/>
              </w:rPr>
            </w:pPr>
            <w:r>
              <w:rPr>
                <w:b/>
                <w:sz w:val="18"/>
              </w:rPr>
              <w:t>SANTO TOMAS</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1"/>
              <w:ind w:right="178"/>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1"/>
              <w:rPr>
                <w:b/>
                <w:sz w:val="18"/>
              </w:rPr>
            </w:pPr>
            <w:r>
              <w:rPr>
                <w:b/>
                <w:w w:val="99"/>
                <w:sz w:val="18"/>
              </w:rPr>
              <w:t>0</w:t>
            </w:r>
          </w:p>
        </w:tc>
      </w:tr>
      <w:tr>
        <w:trPr>
          <w:trHeight w:val="320" w:hRule="exact"/>
        </w:trPr>
        <w:tc>
          <w:tcPr>
            <w:tcW w:w="3781" w:type="dxa"/>
            <w:tcBorders>
              <w:top w:val="single" w:sz="4" w:space="0" w:color="000000"/>
              <w:bottom w:val="single" w:sz="4" w:space="0" w:color="000000"/>
              <w:right w:val="single" w:sz="4" w:space="0" w:color="000000"/>
            </w:tcBorders>
          </w:tcPr>
          <w:p>
            <w:pPr>
              <w:pStyle w:val="TableParagraph"/>
              <w:spacing w:line="201" w:lineRule="exact"/>
              <w:ind w:left="62"/>
              <w:jc w:val="left"/>
              <w:rPr>
                <w:b/>
                <w:sz w:val="18"/>
              </w:rPr>
            </w:pPr>
            <w:r>
              <w:rPr>
                <w:b/>
                <w:sz w:val="18"/>
              </w:rPr>
              <w:t>SOYANIQUILPAN DE JUAREZ</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3</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5</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right="60"/>
              <w:rPr>
                <w:b/>
                <w:sz w:val="18"/>
              </w:rPr>
            </w:pPr>
            <w:r>
              <w:rPr>
                <w:b/>
                <w:sz w:val="18"/>
              </w:rPr>
              <w:t>11</w:t>
            </w:r>
          </w:p>
        </w:tc>
      </w:tr>
      <w:tr>
        <w:trPr>
          <w:trHeight w:val="322" w:hRule="exact"/>
        </w:trPr>
        <w:tc>
          <w:tcPr>
            <w:tcW w:w="3781" w:type="dxa"/>
            <w:tcBorders>
              <w:top w:val="single" w:sz="4" w:space="0" w:color="000000"/>
              <w:bottom w:val="single" w:sz="4" w:space="0" w:color="000000"/>
              <w:right w:val="single" w:sz="4" w:space="0" w:color="000000"/>
            </w:tcBorders>
          </w:tcPr>
          <w:p>
            <w:pPr>
              <w:pStyle w:val="TableParagraph"/>
              <w:spacing w:line="204" w:lineRule="exact"/>
              <w:ind w:left="62"/>
              <w:jc w:val="left"/>
              <w:rPr>
                <w:b/>
                <w:sz w:val="18"/>
              </w:rPr>
            </w:pPr>
            <w:r>
              <w:rPr>
                <w:b/>
                <w:sz w:val="18"/>
              </w:rPr>
              <w:t>SULTEPEC</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1"/>
              <w:ind w:right="178"/>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1"/>
              <w:rPr>
                <w:b/>
                <w:sz w:val="18"/>
              </w:rPr>
            </w:pPr>
            <w:r>
              <w:rPr>
                <w:b/>
                <w:w w:val="99"/>
                <w:sz w:val="18"/>
              </w:rPr>
              <w:t>0</w:t>
            </w:r>
          </w:p>
        </w:tc>
      </w:tr>
      <w:tr>
        <w:trPr>
          <w:trHeight w:val="322" w:hRule="exact"/>
        </w:trPr>
        <w:tc>
          <w:tcPr>
            <w:tcW w:w="3781" w:type="dxa"/>
            <w:tcBorders>
              <w:top w:val="single" w:sz="4" w:space="0" w:color="000000"/>
              <w:bottom w:val="single" w:sz="4" w:space="0" w:color="000000"/>
              <w:right w:val="single" w:sz="4" w:space="0" w:color="000000"/>
            </w:tcBorders>
          </w:tcPr>
          <w:p>
            <w:pPr>
              <w:pStyle w:val="TableParagraph"/>
              <w:spacing w:line="201" w:lineRule="exact"/>
              <w:ind w:left="62"/>
              <w:jc w:val="left"/>
              <w:rPr>
                <w:b/>
                <w:sz w:val="18"/>
              </w:rPr>
            </w:pPr>
            <w:r>
              <w:rPr>
                <w:b/>
                <w:sz w:val="18"/>
              </w:rPr>
              <w:t>TECAMAC</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8</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77"/>
              <w:jc w:val="right"/>
              <w:rPr>
                <w:sz w:val="18"/>
              </w:rPr>
            </w:pPr>
            <w:r>
              <w:rPr>
                <w:w w:val="95"/>
                <w:sz w:val="18"/>
              </w:rPr>
              <w:t>139</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0" w:right="60"/>
              <w:rPr>
                <w:sz w:val="18"/>
              </w:rPr>
            </w:pPr>
            <w:r>
              <w:rPr>
                <w:sz w:val="18"/>
              </w:rPr>
              <w:t>217</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right="60"/>
              <w:rPr>
                <w:b/>
                <w:sz w:val="18"/>
              </w:rPr>
            </w:pPr>
            <w:r>
              <w:rPr>
                <w:b/>
                <w:sz w:val="18"/>
              </w:rPr>
              <w:t>370</w:t>
            </w:r>
          </w:p>
        </w:tc>
      </w:tr>
      <w:tr>
        <w:trPr>
          <w:trHeight w:val="319" w:hRule="exact"/>
        </w:trPr>
        <w:tc>
          <w:tcPr>
            <w:tcW w:w="3781" w:type="dxa"/>
            <w:tcBorders>
              <w:top w:val="single" w:sz="4" w:space="0" w:color="000000"/>
              <w:bottom w:val="single" w:sz="4" w:space="0" w:color="000000"/>
              <w:right w:val="single" w:sz="4" w:space="0" w:color="000000"/>
            </w:tcBorders>
          </w:tcPr>
          <w:p>
            <w:pPr>
              <w:pStyle w:val="TableParagraph"/>
              <w:spacing w:line="201" w:lineRule="exact"/>
              <w:ind w:left="62"/>
              <w:jc w:val="left"/>
              <w:rPr>
                <w:b/>
                <w:sz w:val="18"/>
              </w:rPr>
            </w:pPr>
            <w:r>
              <w:rPr>
                <w:b/>
                <w:sz w:val="18"/>
              </w:rPr>
              <w:t>TEJUPILCO</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7</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right="60"/>
              <w:rPr>
                <w:b/>
                <w:sz w:val="18"/>
              </w:rPr>
            </w:pPr>
            <w:r>
              <w:rPr>
                <w:b/>
                <w:sz w:val="18"/>
              </w:rPr>
              <w:t>11</w:t>
            </w:r>
          </w:p>
        </w:tc>
      </w:tr>
    </w:tbl>
    <w:p>
      <w:pPr>
        <w:spacing w:after="0" w:line="201" w:lineRule="exact"/>
        <w:rPr>
          <w:sz w:val="18"/>
        </w:rPr>
        <w:sectPr>
          <w:pgSz w:w="15840" w:h="12240" w:orient="landscape"/>
          <w:pgMar w:header="0" w:footer="975" w:top="1140" w:bottom="1160" w:left="1940" w:right="1940"/>
        </w:sectPr>
      </w:pPr>
    </w:p>
    <w:p>
      <w:pPr>
        <w:pStyle w:val="BodyText"/>
        <w:rPr>
          <w:rFonts w:ascii="Times New Roman"/>
          <w:sz w:val="20"/>
        </w:rPr>
      </w:pPr>
    </w:p>
    <w:p>
      <w:pPr>
        <w:pStyle w:val="BodyText"/>
        <w:spacing w:before="10"/>
        <w:rPr>
          <w:rFonts w:ascii="Times New Roman"/>
          <w:sz w:val="28"/>
        </w:rPr>
      </w:pPr>
    </w:p>
    <w:tbl>
      <w:tblPr>
        <w:tblW w:w="0" w:type="auto"/>
        <w:jc w:val="left"/>
        <w:tblInd w:w="1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781"/>
        <w:gridCol w:w="466"/>
        <w:gridCol w:w="466"/>
        <w:gridCol w:w="463"/>
        <w:gridCol w:w="466"/>
        <w:gridCol w:w="466"/>
        <w:gridCol w:w="466"/>
        <w:gridCol w:w="464"/>
        <w:gridCol w:w="466"/>
        <w:gridCol w:w="466"/>
        <w:gridCol w:w="466"/>
        <w:gridCol w:w="463"/>
        <w:gridCol w:w="475"/>
        <w:gridCol w:w="466"/>
        <w:gridCol w:w="476"/>
        <w:gridCol w:w="466"/>
        <w:gridCol w:w="466"/>
        <w:gridCol w:w="473"/>
      </w:tblGrid>
      <w:tr>
        <w:trPr>
          <w:trHeight w:val="288" w:hRule="exact"/>
        </w:trPr>
        <w:tc>
          <w:tcPr>
            <w:tcW w:w="11716" w:type="dxa"/>
            <w:gridSpan w:val="18"/>
            <w:shd w:val="clear" w:color="auto" w:fill="92D050"/>
          </w:tcPr>
          <w:p>
            <w:pPr>
              <w:pStyle w:val="TableParagraph"/>
              <w:spacing w:before="25"/>
              <w:ind w:left="2815"/>
              <w:jc w:val="left"/>
              <w:rPr>
                <w:b/>
                <w:sz w:val="18"/>
              </w:rPr>
            </w:pPr>
            <w:r>
              <w:rPr>
                <w:b/>
                <w:sz w:val="18"/>
              </w:rPr>
              <w:t>Anexo 20. Municipios que publican obras y licitaciones (Continuación)</w:t>
            </w:r>
          </w:p>
        </w:tc>
      </w:tr>
      <w:tr>
        <w:trPr>
          <w:trHeight w:val="324" w:hRule="exact"/>
        </w:trPr>
        <w:tc>
          <w:tcPr>
            <w:tcW w:w="3781" w:type="dxa"/>
            <w:vMerge w:val="restart"/>
            <w:tcBorders>
              <w:right w:val="single" w:sz="4" w:space="0" w:color="000000"/>
            </w:tcBorders>
            <w:shd w:val="clear" w:color="auto" w:fill="D7E3BB"/>
          </w:tcPr>
          <w:p>
            <w:pPr>
              <w:pStyle w:val="TableParagraph"/>
              <w:jc w:val="left"/>
              <w:rPr>
                <w:rFonts w:ascii="Times New Roman"/>
                <w:sz w:val="18"/>
              </w:rPr>
            </w:pPr>
          </w:p>
          <w:p>
            <w:pPr>
              <w:pStyle w:val="TableParagraph"/>
              <w:jc w:val="left"/>
              <w:rPr>
                <w:rFonts w:ascii="Times New Roman"/>
                <w:sz w:val="18"/>
              </w:rPr>
            </w:pPr>
          </w:p>
          <w:p>
            <w:pPr>
              <w:pStyle w:val="TableParagraph"/>
              <w:spacing w:before="6"/>
              <w:jc w:val="left"/>
              <w:rPr>
                <w:rFonts w:ascii="Times New Roman"/>
                <w:sz w:val="16"/>
              </w:rPr>
            </w:pPr>
          </w:p>
          <w:p>
            <w:pPr>
              <w:pStyle w:val="TableParagraph"/>
              <w:ind w:left="1442" w:right="1443"/>
              <w:rPr>
                <w:b/>
                <w:sz w:val="18"/>
              </w:rPr>
            </w:pPr>
            <w:r>
              <w:rPr>
                <w:b/>
                <w:sz w:val="18"/>
              </w:rPr>
              <w:t>Municipio</w:t>
            </w:r>
          </w:p>
        </w:tc>
        <w:tc>
          <w:tcPr>
            <w:tcW w:w="931"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61"/>
              <w:jc w:val="left"/>
              <w:rPr>
                <w:b/>
                <w:sz w:val="18"/>
              </w:rPr>
            </w:pPr>
            <w:r>
              <w:rPr>
                <w:b/>
                <w:sz w:val="18"/>
              </w:rPr>
              <w:t>2008</w:t>
            </w:r>
          </w:p>
        </w:tc>
        <w:tc>
          <w:tcPr>
            <w:tcW w:w="929"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59"/>
              <w:jc w:val="left"/>
              <w:rPr>
                <w:b/>
                <w:sz w:val="18"/>
              </w:rPr>
            </w:pPr>
            <w:r>
              <w:rPr>
                <w:b/>
                <w:sz w:val="18"/>
              </w:rPr>
              <w:t>2009</w:t>
            </w:r>
          </w:p>
        </w:tc>
        <w:tc>
          <w:tcPr>
            <w:tcW w:w="931"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61"/>
              <w:jc w:val="left"/>
              <w:rPr>
                <w:b/>
                <w:sz w:val="18"/>
              </w:rPr>
            </w:pPr>
            <w:r>
              <w:rPr>
                <w:b/>
                <w:sz w:val="18"/>
              </w:rPr>
              <w:t>2010</w:t>
            </w:r>
          </w:p>
        </w:tc>
        <w:tc>
          <w:tcPr>
            <w:tcW w:w="929"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59"/>
              <w:jc w:val="left"/>
              <w:rPr>
                <w:b/>
                <w:sz w:val="18"/>
              </w:rPr>
            </w:pPr>
            <w:r>
              <w:rPr>
                <w:b/>
                <w:sz w:val="18"/>
              </w:rPr>
              <w:t>2011</w:t>
            </w:r>
          </w:p>
        </w:tc>
        <w:tc>
          <w:tcPr>
            <w:tcW w:w="931"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61"/>
              <w:jc w:val="left"/>
              <w:rPr>
                <w:b/>
                <w:sz w:val="18"/>
              </w:rPr>
            </w:pPr>
            <w:r>
              <w:rPr>
                <w:b/>
                <w:sz w:val="18"/>
              </w:rPr>
              <w:t>2012</w:t>
            </w:r>
          </w:p>
        </w:tc>
        <w:tc>
          <w:tcPr>
            <w:tcW w:w="938"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63" w:right="31"/>
              <w:jc w:val="left"/>
              <w:rPr>
                <w:b/>
                <w:sz w:val="18"/>
              </w:rPr>
            </w:pPr>
            <w:r>
              <w:rPr>
                <w:b/>
                <w:sz w:val="18"/>
              </w:rPr>
              <w:t>2013</w:t>
            </w:r>
          </w:p>
        </w:tc>
        <w:tc>
          <w:tcPr>
            <w:tcW w:w="941"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66"/>
              <w:jc w:val="left"/>
              <w:rPr>
                <w:b/>
                <w:sz w:val="18"/>
              </w:rPr>
            </w:pPr>
            <w:r>
              <w:rPr>
                <w:b/>
                <w:sz w:val="18"/>
              </w:rPr>
              <w:t>2014</w:t>
            </w:r>
          </w:p>
        </w:tc>
        <w:tc>
          <w:tcPr>
            <w:tcW w:w="931" w:type="dxa"/>
            <w:gridSpan w:val="2"/>
            <w:tcBorders>
              <w:left w:val="single" w:sz="4" w:space="0" w:color="000000"/>
              <w:bottom w:val="single" w:sz="4" w:space="0" w:color="000000"/>
            </w:tcBorders>
            <w:shd w:val="clear" w:color="auto" w:fill="D7E3BB"/>
          </w:tcPr>
          <w:p>
            <w:pPr>
              <w:pStyle w:val="TableParagraph"/>
              <w:spacing w:line="201" w:lineRule="exact"/>
              <w:ind w:left="259"/>
              <w:jc w:val="left"/>
              <w:rPr>
                <w:b/>
                <w:sz w:val="18"/>
              </w:rPr>
            </w:pPr>
            <w:r>
              <w:rPr>
                <w:b/>
                <w:sz w:val="18"/>
              </w:rPr>
              <w:t>2015</w:t>
            </w:r>
          </w:p>
        </w:tc>
        <w:tc>
          <w:tcPr>
            <w:tcW w:w="473" w:type="dxa"/>
            <w:vMerge w:val="restart"/>
            <w:shd w:val="clear" w:color="auto" w:fill="D7E3BB"/>
            <w:textDirection w:val="btLr"/>
          </w:tcPr>
          <w:p>
            <w:pPr>
              <w:pStyle w:val="TableParagraph"/>
              <w:spacing w:before="76"/>
              <w:ind w:left="-1"/>
              <w:jc w:val="left"/>
              <w:rPr>
                <w:b/>
                <w:sz w:val="18"/>
              </w:rPr>
            </w:pPr>
            <w:r>
              <w:rPr>
                <w:b/>
                <w:w w:val="100"/>
                <w:sz w:val="18"/>
              </w:rPr>
              <w:t>To</w:t>
            </w:r>
            <w:r>
              <w:rPr>
                <w:b/>
                <w:w w:val="99"/>
                <w:sz w:val="18"/>
              </w:rPr>
              <w:t>ta</w:t>
            </w:r>
            <w:r>
              <w:rPr>
                <w:b/>
                <w:w w:val="100"/>
                <w:sz w:val="18"/>
              </w:rPr>
              <w:t>l</w:t>
            </w:r>
          </w:p>
        </w:tc>
      </w:tr>
      <w:tr>
        <w:trPr>
          <w:trHeight w:val="1222" w:hRule="exact"/>
        </w:trPr>
        <w:tc>
          <w:tcPr>
            <w:tcW w:w="3781" w:type="dxa"/>
            <w:vMerge/>
            <w:tcBorders>
              <w:bottom w:val="single" w:sz="4" w:space="0" w:color="000000"/>
              <w:right w:val="single" w:sz="4" w:space="0" w:color="000000"/>
            </w:tcBorders>
            <w:shd w:val="clear" w:color="auto" w:fill="D7E3BB"/>
          </w:tcPr>
          <w:p>
            <w:pP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P.</w:t>
            </w:r>
            <w:r>
              <w:rPr>
                <w:b/>
                <w:sz w:val="18"/>
              </w:rPr>
              <w:t> de </w:t>
            </w:r>
            <w:r>
              <w:rPr>
                <w:b/>
                <w:w w:val="100"/>
                <w:sz w:val="18"/>
              </w:rPr>
              <w:t>O.</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3"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P.</w:t>
            </w:r>
            <w:r>
              <w:rPr>
                <w:b/>
                <w:sz w:val="18"/>
              </w:rPr>
              <w:t> de </w:t>
            </w:r>
            <w:r>
              <w:rPr>
                <w:b/>
                <w:w w:val="100"/>
                <w:sz w:val="18"/>
              </w:rPr>
              <w:t>O.</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P.</w:t>
            </w:r>
            <w:r>
              <w:rPr>
                <w:b/>
                <w:sz w:val="18"/>
              </w:rPr>
              <w:t> de </w:t>
            </w:r>
            <w:r>
              <w:rPr>
                <w:b/>
                <w:w w:val="100"/>
                <w:sz w:val="18"/>
              </w:rPr>
              <w:t>O.</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4"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P.</w:t>
            </w:r>
            <w:r>
              <w:rPr>
                <w:b/>
                <w:sz w:val="18"/>
              </w:rPr>
              <w:t> de </w:t>
            </w:r>
            <w:r>
              <w:rPr>
                <w:b/>
                <w:w w:val="100"/>
                <w:sz w:val="18"/>
              </w:rPr>
              <w:t>O.</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P.</w:t>
            </w:r>
            <w:r>
              <w:rPr>
                <w:b/>
                <w:sz w:val="18"/>
              </w:rPr>
              <w:t> de </w:t>
            </w:r>
            <w:r>
              <w:rPr>
                <w:b/>
                <w:w w:val="100"/>
                <w:sz w:val="18"/>
              </w:rPr>
              <w:t>O.</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3"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P.</w:t>
            </w:r>
            <w:r>
              <w:rPr>
                <w:b/>
                <w:sz w:val="18"/>
              </w:rPr>
              <w:t> de </w:t>
            </w:r>
            <w:r>
              <w:rPr>
                <w:b/>
                <w:w w:val="100"/>
                <w:sz w:val="18"/>
              </w:rPr>
              <w:t>O.</w:t>
            </w:r>
          </w:p>
        </w:tc>
        <w:tc>
          <w:tcPr>
            <w:tcW w:w="475"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80"/>
              <w:ind w:left="-1"/>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P.</w:t>
            </w:r>
            <w:r>
              <w:rPr>
                <w:b/>
                <w:sz w:val="18"/>
              </w:rPr>
              <w:t> de </w:t>
            </w:r>
            <w:r>
              <w:rPr>
                <w:b/>
                <w:w w:val="100"/>
                <w:sz w:val="18"/>
              </w:rPr>
              <w:t>O.</w:t>
            </w:r>
          </w:p>
        </w:tc>
        <w:tc>
          <w:tcPr>
            <w:tcW w:w="47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81"/>
              <w:ind w:left="-1"/>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P.</w:t>
            </w:r>
            <w:r>
              <w:rPr>
                <w:b/>
                <w:sz w:val="18"/>
              </w:rPr>
              <w:t> de </w:t>
            </w:r>
            <w:r>
              <w:rPr>
                <w:b/>
                <w:w w:val="100"/>
                <w:sz w:val="18"/>
              </w:rPr>
              <w:t>O.</w:t>
            </w:r>
          </w:p>
        </w:tc>
        <w:tc>
          <w:tcPr>
            <w:tcW w:w="466" w:type="dxa"/>
            <w:tcBorders>
              <w:top w:val="single" w:sz="4" w:space="0" w:color="000000"/>
              <w:left w:val="single" w:sz="4" w:space="0" w:color="000000"/>
              <w:bottom w:val="single" w:sz="4" w:space="0" w:color="000000"/>
            </w:tcBorders>
            <w:shd w:val="clear" w:color="auto" w:fill="D7E3BB"/>
            <w:textDirection w:val="btLr"/>
          </w:tcPr>
          <w:p>
            <w:pPr>
              <w:pStyle w:val="TableParagraph"/>
              <w:spacing w:before="71"/>
              <w:ind w:left="-1"/>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73" w:type="dxa"/>
            <w:vMerge/>
            <w:tcBorders>
              <w:bottom w:val="single" w:sz="4" w:space="0" w:color="000000"/>
            </w:tcBorders>
            <w:shd w:val="clear" w:color="auto" w:fill="D7E3BB"/>
            <w:textDirection w:val="btLr"/>
          </w:tcPr>
          <w:p>
            <w:pPr/>
          </w:p>
        </w:tc>
      </w:tr>
      <w:tr>
        <w:trPr>
          <w:trHeight w:val="319"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TEMAMATLA</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4</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81"/>
              <w:jc w:val="right"/>
              <w:rPr>
                <w:sz w:val="18"/>
              </w:rPr>
            </w:pPr>
            <w:r>
              <w:rPr>
                <w:w w:val="99"/>
                <w:sz w:val="18"/>
              </w:rPr>
              <w:t>4</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right="60"/>
              <w:rPr>
                <w:b/>
                <w:sz w:val="18"/>
              </w:rPr>
            </w:pPr>
            <w:r>
              <w:rPr>
                <w:b/>
                <w:sz w:val="18"/>
              </w:rPr>
              <w:t>10</w:t>
            </w:r>
          </w:p>
        </w:tc>
      </w:tr>
      <w:tr>
        <w:trPr>
          <w:trHeight w:val="322"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67"/>
              <w:jc w:val="left"/>
              <w:rPr>
                <w:b/>
                <w:sz w:val="18"/>
              </w:rPr>
            </w:pPr>
            <w:r>
              <w:rPr>
                <w:b/>
                <w:sz w:val="18"/>
              </w:rPr>
              <w:t>TEMASCALAPA</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6"/>
              <w:jc w:val="righ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5"/>
              <w:jc w:val="lef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3</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4"/>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81"/>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1"/>
              <w:rPr>
                <w:b/>
                <w:sz w:val="18"/>
              </w:rPr>
            </w:pPr>
            <w:r>
              <w:rPr>
                <w:b/>
                <w:w w:val="99"/>
                <w:sz w:val="18"/>
              </w:rPr>
              <w:t>6</w:t>
            </w:r>
          </w:p>
        </w:tc>
      </w:tr>
      <w:tr>
        <w:trPr>
          <w:trHeight w:val="319"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TEMASCALCINGO</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2</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2</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81"/>
              <w:jc w:val="right"/>
              <w:rPr>
                <w:sz w:val="18"/>
              </w:rPr>
            </w:pPr>
            <w:r>
              <w:rPr>
                <w:w w:val="99"/>
                <w:sz w:val="18"/>
              </w:rPr>
              <w:t>2</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
              <w:rPr>
                <w:b/>
                <w:sz w:val="18"/>
              </w:rPr>
            </w:pPr>
            <w:r>
              <w:rPr>
                <w:b/>
                <w:w w:val="99"/>
                <w:sz w:val="18"/>
              </w:rPr>
              <w:t>8</w:t>
            </w:r>
          </w:p>
        </w:tc>
      </w:tr>
      <w:tr>
        <w:trPr>
          <w:trHeight w:val="322"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7"/>
              <w:jc w:val="left"/>
              <w:rPr>
                <w:b/>
                <w:sz w:val="18"/>
              </w:rPr>
            </w:pPr>
            <w:r>
              <w:rPr>
                <w:b/>
                <w:sz w:val="18"/>
              </w:rPr>
              <w:t>TEMASCALTEPEC</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1"/>
              <w:ind w:left="4"/>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1"/>
              <w:ind w:right="181"/>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1"/>
              <w:rPr>
                <w:b/>
                <w:sz w:val="18"/>
              </w:rPr>
            </w:pPr>
            <w:r>
              <w:rPr>
                <w:b/>
                <w:w w:val="99"/>
                <w:sz w:val="18"/>
              </w:rPr>
              <w:t>0</w:t>
            </w:r>
          </w:p>
        </w:tc>
      </w:tr>
      <w:tr>
        <w:trPr>
          <w:trHeight w:val="319"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TEMOAYA</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2" w:right="58"/>
              <w:rPr>
                <w:sz w:val="18"/>
              </w:rPr>
            </w:pPr>
            <w:r>
              <w:rPr>
                <w:sz w:val="18"/>
              </w:rPr>
              <w:t>10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30"/>
              <w:jc w:val="right"/>
              <w:rPr>
                <w:sz w:val="18"/>
              </w:rPr>
            </w:pPr>
            <w:r>
              <w:rPr>
                <w:w w:val="95"/>
                <w:sz w:val="18"/>
              </w:rPr>
              <w:t>29</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right="60"/>
              <w:rPr>
                <w:b/>
                <w:sz w:val="18"/>
              </w:rPr>
            </w:pPr>
            <w:r>
              <w:rPr>
                <w:b/>
                <w:sz w:val="18"/>
              </w:rPr>
              <w:t>42</w:t>
            </w:r>
          </w:p>
        </w:tc>
      </w:tr>
      <w:tr>
        <w:trPr>
          <w:trHeight w:val="322"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7"/>
              <w:jc w:val="left"/>
              <w:rPr>
                <w:b/>
                <w:sz w:val="18"/>
              </w:rPr>
            </w:pPr>
            <w:r>
              <w:rPr>
                <w:b/>
                <w:sz w:val="18"/>
              </w:rPr>
              <w:t>TENANCINGO</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29" w:right="-16"/>
              <w:jc w:val="left"/>
              <w:rPr>
                <w:sz w:val="18"/>
              </w:rPr>
            </w:pPr>
            <w:r>
              <w:rPr>
                <w:sz w:val="18"/>
              </w:rPr>
              <w:t>10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6</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1"/>
              <w:ind w:left="62" w:right="58"/>
              <w:rPr>
                <w:sz w:val="18"/>
              </w:rPr>
            </w:pPr>
            <w:r>
              <w:rPr>
                <w:sz w:val="18"/>
              </w:rPr>
              <w:t>35</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1"/>
              <w:ind w:right="181"/>
              <w:jc w:val="right"/>
              <w:rPr>
                <w:sz w:val="18"/>
              </w:rPr>
            </w:pPr>
            <w:r>
              <w:rPr>
                <w:w w:val="99"/>
                <w:sz w:val="18"/>
              </w:rPr>
              <w:t>8</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27" w:right="-16"/>
              <w:jc w:val="left"/>
              <w:rPr>
                <w:sz w:val="18"/>
              </w:rPr>
            </w:pPr>
            <w:r>
              <w:rPr>
                <w:sz w:val="18"/>
              </w:rPr>
              <w:t>12</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2" w:right="60"/>
              <w:rPr>
                <w:b/>
                <w:sz w:val="18"/>
              </w:rPr>
            </w:pPr>
            <w:r>
              <w:rPr>
                <w:b/>
                <w:sz w:val="18"/>
              </w:rPr>
              <w:t>76</w:t>
            </w:r>
          </w:p>
        </w:tc>
      </w:tr>
      <w:tr>
        <w:trPr>
          <w:trHeight w:val="319"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TENANGO DEL AIRE</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81"/>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
              <w:rPr>
                <w:b/>
                <w:sz w:val="18"/>
              </w:rPr>
            </w:pPr>
            <w:r>
              <w:rPr>
                <w:b/>
                <w:w w:val="99"/>
                <w:sz w:val="18"/>
              </w:rPr>
              <w:t>0</w:t>
            </w:r>
          </w:p>
        </w:tc>
      </w:tr>
      <w:tr>
        <w:trPr>
          <w:trHeight w:val="322"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7"/>
              <w:jc w:val="left"/>
              <w:rPr>
                <w:b/>
                <w:sz w:val="18"/>
              </w:rPr>
            </w:pPr>
            <w:r>
              <w:rPr>
                <w:b/>
                <w:sz w:val="18"/>
              </w:rPr>
              <w:t>TENANGO DEL VALLE</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1"/>
              <w:ind w:left="62" w:right="58"/>
              <w:rPr>
                <w:sz w:val="18"/>
              </w:rPr>
            </w:pPr>
            <w:r>
              <w:rPr>
                <w:sz w:val="18"/>
              </w:rPr>
              <w:t>13</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1"/>
              <w:ind w:right="130"/>
              <w:jc w:val="right"/>
              <w:rPr>
                <w:sz w:val="18"/>
              </w:rPr>
            </w:pPr>
            <w:r>
              <w:rPr>
                <w:w w:val="95"/>
                <w:sz w:val="18"/>
              </w:rPr>
              <w:t>26</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27" w:right="-16"/>
              <w:jc w:val="left"/>
              <w:rPr>
                <w:sz w:val="18"/>
              </w:rPr>
            </w:pPr>
            <w:r>
              <w:rPr>
                <w:sz w:val="18"/>
              </w:rPr>
              <w:t>11</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2" w:right="60"/>
              <w:rPr>
                <w:b/>
                <w:sz w:val="18"/>
              </w:rPr>
            </w:pPr>
            <w:r>
              <w:rPr>
                <w:b/>
                <w:sz w:val="18"/>
              </w:rPr>
              <w:t>53</w:t>
            </w:r>
          </w:p>
        </w:tc>
      </w:tr>
      <w:tr>
        <w:trPr>
          <w:trHeight w:val="322"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TEOLOYUCAN</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81"/>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
              <w:rPr>
                <w:b/>
                <w:sz w:val="18"/>
              </w:rPr>
            </w:pPr>
            <w:r>
              <w:rPr>
                <w:b/>
                <w:w w:val="99"/>
                <w:sz w:val="18"/>
              </w:rPr>
              <w:t>1</w:t>
            </w:r>
          </w:p>
        </w:tc>
      </w:tr>
      <w:tr>
        <w:trPr>
          <w:trHeight w:val="320"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TEOTIHUACAN</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2" w:right="58"/>
              <w:rPr>
                <w:sz w:val="18"/>
              </w:rPr>
            </w:pPr>
            <w:r>
              <w:rPr>
                <w:sz w:val="18"/>
              </w:rPr>
              <w:t>29</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81"/>
              <w:jc w:val="right"/>
              <w:rPr>
                <w:sz w:val="18"/>
              </w:rPr>
            </w:pPr>
            <w:r>
              <w:rPr>
                <w:w w:val="99"/>
                <w:sz w:val="18"/>
              </w:rPr>
              <w:t>8</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right="60"/>
              <w:rPr>
                <w:b/>
                <w:sz w:val="18"/>
              </w:rPr>
            </w:pPr>
            <w:r>
              <w:rPr>
                <w:b/>
                <w:sz w:val="18"/>
              </w:rPr>
              <w:t>44</w:t>
            </w:r>
          </w:p>
        </w:tc>
      </w:tr>
      <w:tr>
        <w:trPr>
          <w:trHeight w:val="322"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TEPETLAOXTOC</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81"/>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
              <w:rPr>
                <w:b/>
                <w:sz w:val="18"/>
              </w:rPr>
            </w:pPr>
            <w:r>
              <w:rPr>
                <w:b/>
                <w:w w:val="99"/>
                <w:sz w:val="18"/>
              </w:rPr>
              <w:t>2</w:t>
            </w:r>
          </w:p>
        </w:tc>
      </w:tr>
      <w:tr>
        <w:trPr>
          <w:trHeight w:val="319"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TEPETLIXPA</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81"/>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
              <w:rPr>
                <w:b/>
                <w:sz w:val="18"/>
              </w:rPr>
            </w:pPr>
            <w:r>
              <w:rPr>
                <w:b/>
                <w:w w:val="99"/>
                <w:sz w:val="18"/>
              </w:rPr>
              <w:t>0</w:t>
            </w:r>
          </w:p>
        </w:tc>
      </w:tr>
      <w:tr>
        <w:trPr>
          <w:trHeight w:val="322"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TEPOTZOTLAN</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81"/>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
              <w:rPr>
                <w:b/>
                <w:sz w:val="18"/>
              </w:rPr>
            </w:pPr>
            <w:r>
              <w:rPr>
                <w:b/>
                <w:w w:val="99"/>
                <w:sz w:val="18"/>
              </w:rPr>
              <w:t>5</w:t>
            </w:r>
          </w:p>
        </w:tc>
      </w:tr>
      <w:tr>
        <w:trPr>
          <w:trHeight w:val="319"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TEQUIXQUIAC</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81"/>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
              <w:rPr>
                <w:b/>
                <w:sz w:val="18"/>
              </w:rPr>
            </w:pPr>
            <w:r>
              <w:rPr>
                <w:b/>
                <w:w w:val="99"/>
                <w:sz w:val="18"/>
              </w:rPr>
              <w:t>0</w:t>
            </w:r>
          </w:p>
        </w:tc>
      </w:tr>
      <w:tr>
        <w:trPr>
          <w:trHeight w:val="322"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TEXCALTITL�N</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81"/>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
              <w:rPr>
                <w:b/>
                <w:sz w:val="18"/>
              </w:rPr>
            </w:pPr>
            <w:r>
              <w:rPr>
                <w:b/>
                <w:w w:val="99"/>
                <w:sz w:val="18"/>
              </w:rPr>
              <w:t>0</w:t>
            </w:r>
          </w:p>
        </w:tc>
      </w:tr>
      <w:tr>
        <w:trPr>
          <w:trHeight w:val="319"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TEXCALYACAC</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5</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81"/>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2</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right="60"/>
              <w:rPr>
                <w:b/>
                <w:sz w:val="18"/>
              </w:rPr>
            </w:pPr>
            <w:r>
              <w:rPr>
                <w:b/>
                <w:sz w:val="18"/>
              </w:rPr>
              <w:t>10</w:t>
            </w:r>
          </w:p>
        </w:tc>
      </w:tr>
      <w:tr>
        <w:trPr>
          <w:trHeight w:val="322"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TEXCOCO</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2" w:right="58"/>
              <w:rPr>
                <w:sz w:val="18"/>
              </w:rPr>
            </w:pPr>
            <w:r>
              <w:rPr>
                <w:sz w:val="18"/>
              </w:rPr>
              <w:t>60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81"/>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right="60"/>
              <w:rPr>
                <w:b/>
                <w:sz w:val="18"/>
              </w:rPr>
            </w:pPr>
            <w:r>
              <w:rPr>
                <w:b/>
                <w:sz w:val="18"/>
              </w:rPr>
              <w:t>62</w:t>
            </w:r>
          </w:p>
        </w:tc>
      </w:tr>
      <w:tr>
        <w:trPr>
          <w:trHeight w:val="320"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TEZOYUCA</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8</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7</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7" w:right="-16"/>
              <w:jc w:val="left"/>
              <w:rPr>
                <w:sz w:val="18"/>
              </w:rPr>
            </w:pPr>
            <w:r>
              <w:rPr>
                <w:sz w:val="18"/>
              </w:rPr>
              <w:t>11</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81"/>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right="60"/>
              <w:rPr>
                <w:b/>
                <w:sz w:val="18"/>
              </w:rPr>
            </w:pPr>
            <w:r>
              <w:rPr>
                <w:b/>
                <w:sz w:val="18"/>
              </w:rPr>
              <w:t>31</w:t>
            </w:r>
          </w:p>
        </w:tc>
      </w:tr>
      <w:tr>
        <w:trPr>
          <w:trHeight w:val="322"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TIANGUISTENCO</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3</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2" w:right="58"/>
              <w:rPr>
                <w:sz w:val="18"/>
              </w:rPr>
            </w:pPr>
            <w:r>
              <w:rPr>
                <w:sz w:val="18"/>
              </w:rPr>
              <w:t>26</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30"/>
              <w:jc w:val="right"/>
              <w:rPr>
                <w:sz w:val="18"/>
              </w:rPr>
            </w:pPr>
            <w:r>
              <w:rPr>
                <w:w w:val="95"/>
                <w:sz w:val="18"/>
              </w:rPr>
              <w:t>94</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7" w:right="-16"/>
              <w:jc w:val="left"/>
              <w:rPr>
                <w:sz w:val="18"/>
              </w:rPr>
            </w:pPr>
            <w:r>
              <w:rPr>
                <w:sz w:val="18"/>
              </w:rPr>
              <w:t>15</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right="60"/>
              <w:rPr>
                <w:b/>
                <w:sz w:val="18"/>
              </w:rPr>
            </w:pPr>
            <w:r>
              <w:rPr>
                <w:b/>
                <w:sz w:val="18"/>
              </w:rPr>
              <w:t>144</w:t>
            </w:r>
          </w:p>
        </w:tc>
      </w:tr>
      <w:tr>
        <w:trPr>
          <w:trHeight w:val="319"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TIMILPAN</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9" w:right="-16"/>
              <w:jc w:val="left"/>
              <w:rPr>
                <w:sz w:val="18"/>
              </w:rPr>
            </w:pPr>
            <w:r>
              <w:rPr>
                <w:sz w:val="18"/>
              </w:rPr>
              <w:t>62</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7" w:right="-16"/>
              <w:jc w:val="left"/>
              <w:rPr>
                <w:sz w:val="18"/>
              </w:rPr>
            </w:pPr>
            <w:r>
              <w:rPr>
                <w:sz w:val="18"/>
              </w:rPr>
              <w:t>55</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2" w:right="58"/>
              <w:rPr>
                <w:sz w:val="18"/>
              </w:rPr>
            </w:pPr>
            <w:r>
              <w:rPr>
                <w:sz w:val="18"/>
              </w:rPr>
              <w:t>29</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30"/>
              <w:jc w:val="right"/>
              <w:rPr>
                <w:sz w:val="18"/>
              </w:rPr>
            </w:pPr>
            <w:r>
              <w:rPr>
                <w:w w:val="95"/>
                <w:sz w:val="18"/>
              </w:rPr>
              <w:t>17</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right="60"/>
              <w:rPr>
                <w:b/>
                <w:sz w:val="18"/>
              </w:rPr>
            </w:pPr>
            <w:r>
              <w:rPr>
                <w:b/>
                <w:sz w:val="18"/>
              </w:rPr>
              <w:t>168</w:t>
            </w:r>
          </w:p>
        </w:tc>
      </w:tr>
      <w:tr>
        <w:trPr>
          <w:trHeight w:val="322"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7"/>
              <w:jc w:val="left"/>
              <w:rPr>
                <w:b/>
                <w:sz w:val="18"/>
              </w:rPr>
            </w:pPr>
            <w:r>
              <w:rPr>
                <w:b/>
                <w:sz w:val="18"/>
              </w:rPr>
              <w:t>TLALMANALCO</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1"/>
              <w:ind w:left="4"/>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1"/>
              <w:ind w:right="181"/>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1"/>
              <w:rPr>
                <w:b/>
                <w:sz w:val="18"/>
              </w:rPr>
            </w:pPr>
            <w:r>
              <w:rPr>
                <w:b/>
                <w:w w:val="99"/>
                <w:sz w:val="18"/>
              </w:rPr>
              <w:t>5</w:t>
            </w:r>
          </w:p>
        </w:tc>
      </w:tr>
    </w:tbl>
    <w:p>
      <w:pPr>
        <w:spacing w:after="0" w:line="204" w:lineRule="exact"/>
        <w:rPr>
          <w:sz w:val="18"/>
        </w:rPr>
        <w:sectPr>
          <w:pgSz w:w="15840" w:h="12240" w:orient="landscape"/>
          <w:pgMar w:header="0" w:footer="975" w:top="1140" w:bottom="1160" w:left="1940" w:right="1940"/>
        </w:sectPr>
      </w:pPr>
    </w:p>
    <w:p>
      <w:pPr>
        <w:pStyle w:val="BodyText"/>
        <w:rPr>
          <w:rFonts w:ascii="Times New Roman"/>
          <w:sz w:val="20"/>
        </w:rPr>
      </w:pPr>
    </w:p>
    <w:p>
      <w:pPr>
        <w:pStyle w:val="BodyText"/>
        <w:spacing w:before="10"/>
        <w:rPr>
          <w:rFonts w:ascii="Times New Roman"/>
          <w:sz w:val="28"/>
        </w:rPr>
      </w:pPr>
    </w:p>
    <w:tbl>
      <w:tblPr>
        <w:tblW w:w="0" w:type="auto"/>
        <w:jc w:val="left"/>
        <w:tblInd w:w="1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781"/>
        <w:gridCol w:w="466"/>
        <w:gridCol w:w="466"/>
        <w:gridCol w:w="463"/>
        <w:gridCol w:w="466"/>
        <w:gridCol w:w="466"/>
        <w:gridCol w:w="466"/>
        <w:gridCol w:w="464"/>
        <w:gridCol w:w="466"/>
        <w:gridCol w:w="466"/>
        <w:gridCol w:w="466"/>
        <w:gridCol w:w="463"/>
        <w:gridCol w:w="475"/>
        <w:gridCol w:w="466"/>
        <w:gridCol w:w="476"/>
        <w:gridCol w:w="466"/>
        <w:gridCol w:w="466"/>
        <w:gridCol w:w="473"/>
      </w:tblGrid>
      <w:tr>
        <w:trPr>
          <w:trHeight w:val="288" w:hRule="exact"/>
        </w:trPr>
        <w:tc>
          <w:tcPr>
            <w:tcW w:w="11716" w:type="dxa"/>
            <w:gridSpan w:val="18"/>
            <w:shd w:val="clear" w:color="auto" w:fill="92D050"/>
          </w:tcPr>
          <w:p>
            <w:pPr>
              <w:pStyle w:val="TableParagraph"/>
              <w:spacing w:before="25"/>
              <w:ind w:left="2824"/>
              <w:jc w:val="left"/>
              <w:rPr>
                <w:b/>
                <w:sz w:val="18"/>
              </w:rPr>
            </w:pPr>
            <w:r>
              <w:rPr>
                <w:b/>
                <w:sz w:val="18"/>
              </w:rPr>
              <w:t>Anexo 20. Municipios que publican obras y licitaciones (Finaliza tabla)</w:t>
            </w:r>
          </w:p>
        </w:tc>
      </w:tr>
      <w:tr>
        <w:trPr>
          <w:trHeight w:val="324" w:hRule="exact"/>
        </w:trPr>
        <w:tc>
          <w:tcPr>
            <w:tcW w:w="3781" w:type="dxa"/>
            <w:vMerge w:val="restart"/>
            <w:tcBorders>
              <w:right w:val="single" w:sz="4" w:space="0" w:color="000000"/>
            </w:tcBorders>
            <w:shd w:val="clear" w:color="auto" w:fill="D7E3BB"/>
          </w:tcPr>
          <w:p>
            <w:pPr>
              <w:pStyle w:val="TableParagraph"/>
              <w:jc w:val="left"/>
              <w:rPr>
                <w:rFonts w:ascii="Times New Roman"/>
                <w:sz w:val="18"/>
              </w:rPr>
            </w:pPr>
          </w:p>
          <w:p>
            <w:pPr>
              <w:pStyle w:val="TableParagraph"/>
              <w:jc w:val="left"/>
              <w:rPr>
                <w:rFonts w:ascii="Times New Roman"/>
                <w:sz w:val="18"/>
              </w:rPr>
            </w:pPr>
          </w:p>
          <w:p>
            <w:pPr>
              <w:pStyle w:val="TableParagraph"/>
              <w:spacing w:before="6"/>
              <w:jc w:val="left"/>
              <w:rPr>
                <w:rFonts w:ascii="Times New Roman"/>
                <w:sz w:val="16"/>
              </w:rPr>
            </w:pPr>
          </w:p>
          <w:p>
            <w:pPr>
              <w:pStyle w:val="TableParagraph"/>
              <w:ind w:left="1442" w:right="1443"/>
              <w:rPr>
                <w:b/>
                <w:sz w:val="18"/>
              </w:rPr>
            </w:pPr>
            <w:r>
              <w:rPr>
                <w:b/>
                <w:sz w:val="18"/>
              </w:rPr>
              <w:t>Municipio</w:t>
            </w:r>
          </w:p>
        </w:tc>
        <w:tc>
          <w:tcPr>
            <w:tcW w:w="931"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61"/>
              <w:jc w:val="left"/>
              <w:rPr>
                <w:b/>
                <w:sz w:val="18"/>
              </w:rPr>
            </w:pPr>
            <w:r>
              <w:rPr>
                <w:b/>
                <w:sz w:val="18"/>
              </w:rPr>
              <w:t>2008</w:t>
            </w:r>
          </w:p>
        </w:tc>
        <w:tc>
          <w:tcPr>
            <w:tcW w:w="929"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59"/>
              <w:jc w:val="left"/>
              <w:rPr>
                <w:b/>
                <w:sz w:val="18"/>
              </w:rPr>
            </w:pPr>
            <w:r>
              <w:rPr>
                <w:b/>
                <w:sz w:val="18"/>
              </w:rPr>
              <w:t>2009</w:t>
            </w:r>
          </w:p>
        </w:tc>
        <w:tc>
          <w:tcPr>
            <w:tcW w:w="931"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61"/>
              <w:jc w:val="left"/>
              <w:rPr>
                <w:b/>
                <w:sz w:val="18"/>
              </w:rPr>
            </w:pPr>
            <w:r>
              <w:rPr>
                <w:b/>
                <w:sz w:val="18"/>
              </w:rPr>
              <w:t>2010</w:t>
            </w:r>
          </w:p>
        </w:tc>
        <w:tc>
          <w:tcPr>
            <w:tcW w:w="929"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59"/>
              <w:jc w:val="left"/>
              <w:rPr>
                <w:b/>
                <w:sz w:val="18"/>
              </w:rPr>
            </w:pPr>
            <w:r>
              <w:rPr>
                <w:b/>
                <w:sz w:val="18"/>
              </w:rPr>
              <w:t>2011</w:t>
            </w:r>
          </w:p>
        </w:tc>
        <w:tc>
          <w:tcPr>
            <w:tcW w:w="931"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61"/>
              <w:jc w:val="left"/>
              <w:rPr>
                <w:b/>
                <w:sz w:val="18"/>
              </w:rPr>
            </w:pPr>
            <w:r>
              <w:rPr>
                <w:b/>
                <w:sz w:val="18"/>
              </w:rPr>
              <w:t>2012</w:t>
            </w:r>
          </w:p>
        </w:tc>
        <w:tc>
          <w:tcPr>
            <w:tcW w:w="938"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63" w:right="31"/>
              <w:jc w:val="left"/>
              <w:rPr>
                <w:b/>
                <w:sz w:val="18"/>
              </w:rPr>
            </w:pPr>
            <w:r>
              <w:rPr>
                <w:b/>
                <w:sz w:val="18"/>
              </w:rPr>
              <w:t>2013</w:t>
            </w:r>
          </w:p>
        </w:tc>
        <w:tc>
          <w:tcPr>
            <w:tcW w:w="941" w:type="dxa"/>
            <w:gridSpan w:val="2"/>
            <w:tcBorders>
              <w:left w:val="single" w:sz="4" w:space="0" w:color="000000"/>
              <w:bottom w:val="single" w:sz="4" w:space="0" w:color="000000"/>
              <w:right w:val="single" w:sz="4" w:space="0" w:color="000000"/>
            </w:tcBorders>
            <w:shd w:val="clear" w:color="auto" w:fill="D7E3BB"/>
          </w:tcPr>
          <w:p>
            <w:pPr>
              <w:pStyle w:val="TableParagraph"/>
              <w:spacing w:line="201" w:lineRule="exact"/>
              <w:ind w:left="266"/>
              <w:jc w:val="left"/>
              <w:rPr>
                <w:b/>
                <w:sz w:val="18"/>
              </w:rPr>
            </w:pPr>
            <w:r>
              <w:rPr>
                <w:b/>
                <w:sz w:val="18"/>
              </w:rPr>
              <w:t>2014</w:t>
            </w:r>
          </w:p>
        </w:tc>
        <w:tc>
          <w:tcPr>
            <w:tcW w:w="931" w:type="dxa"/>
            <w:gridSpan w:val="2"/>
            <w:tcBorders>
              <w:left w:val="single" w:sz="4" w:space="0" w:color="000000"/>
              <w:bottom w:val="single" w:sz="4" w:space="0" w:color="000000"/>
            </w:tcBorders>
            <w:shd w:val="clear" w:color="auto" w:fill="D7E3BB"/>
          </w:tcPr>
          <w:p>
            <w:pPr>
              <w:pStyle w:val="TableParagraph"/>
              <w:spacing w:line="201" w:lineRule="exact"/>
              <w:ind w:left="259"/>
              <w:jc w:val="left"/>
              <w:rPr>
                <w:b/>
                <w:sz w:val="18"/>
              </w:rPr>
            </w:pPr>
            <w:r>
              <w:rPr>
                <w:b/>
                <w:sz w:val="18"/>
              </w:rPr>
              <w:t>2015</w:t>
            </w:r>
          </w:p>
        </w:tc>
        <w:tc>
          <w:tcPr>
            <w:tcW w:w="473" w:type="dxa"/>
            <w:vMerge w:val="restart"/>
            <w:shd w:val="clear" w:color="auto" w:fill="D7E3BB"/>
            <w:textDirection w:val="btLr"/>
          </w:tcPr>
          <w:p>
            <w:pPr>
              <w:pStyle w:val="TableParagraph"/>
              <w:spacing w:before="76"/>
              <w:ind w:left="-1"/>
              <w:jc w:val="left"/>
              <w:rPr>
                <w:b/>
                <w:sz w:val="18"/>
              </w:rPr>
            </w:pPr>
            <w:r>
              <w:rPr>
                <w:b/>
                <w:w w:val="100"/>
                <w:sz w:val="18"/>
              </w:rPr>
              <w:t>To</w:t>
            </w:r>
            <w:r>
              <w:rPr>
                <w:b/>
                <w:w w:val="99"/>
                <w:sz w:val="18"/>
              </w:rPr>
              <w:t>ta</w:t>
            </w:r>
            <w:r>
              <w:rPr>
                <w:b/>
                <w:w w:val="100"/>
                <w:sz w:val="18"/>
              </w:rPr>
              <w:t>l</w:t>
            </w:r>
          </w:p>
        </w:tc>
      </w:tr>
      <w:tr>
        <w:trPr>
          <w:trHeight w:val="1222" w:hRule="exact"/>
        </w:trPr>
        <w:tc>
          <w:tcPr>
            <w:tcW w:w="3781" w:type="dxa"/>
            <w:vMerge/>
            <w:tcBorders>
              <w:bottom w:val="single" w:sz="4" w:space="0" w:color="000000"/>
              <w:right w:val="single" w:sz="4" w:space="0" w:color="000000"/>
            </w:tcBorders>
            <w:shd w:val="clear" w:color="auto" w:fill="D7E3BB"/>
          </w:tcPr>
          <w:p>
            <w:pP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P.</w:t>
            </w:r>
            <w:r>
              <w:rPr>
                <w:b/>
                <w:sz w:val="18"/>
              </w:rPr>
              <w:t> de </w:t>
            </w:r>
            <w:r>
              <w:rPr>
                <w:b/>
                <w:w w:val="100"/>
                <w:sz w:val="18"/>
              </w:rPr>
              <w:t>O.</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3"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P.</w:t>
            </w:r>
            <w:r>
              <w:rPr>
                <w:b/>
                <w:sz w:val="18"/>
              </w:rPr>
              <w:t> de </w:t>
            </w:r>
            <w:r>
              <w:rPr>
                <w:b/>
                <w:w w:val="100"/>
                <w:sz w:val="18"/>
              </w:rPr>
              <w:t>O.</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P.</w:t>
            </w:r>
            <w:r>
              <w:rPr>
                <w:b/>
                <w:sz w:val="18"/>
              </w:rPr>
              <w:t> de </w:t>
            </w:r>
            <w:r>
              <w:rPr>
                <w:b/>
                <w:w w:val="100"/>
                <w:sz w:val="18"/>
              </w:rPr>
              <w:t>O.</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4"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P.</w:t>
            </w:r>
            <w:r>
              <w:rPr>
                <w:b/>
                <w:sz w:val="18"/>
              </w:rPr>
              <w:t> de </w:t>
            </w:r>
            <w:r>
              <w:rPr>
                <w:b/>
                <w:w w:val="100"/>
                <w:sz w:val="18"/>
              </w:rPr>
              <w:t>O.</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P.</w:t>
            </w:r>
            <w:r>
              <w:rPr>
                <w:b/>
                <w:sz w:val="18"/>
              </w:rPr>
              <w:t> de </w:t>
            </w:r>
            <w:r>
              <w:rPr>
                <w:b/>
                <w:w w:val="100"/>
                <w:sz w:val="18"/>
              </w:rPr>
              <w:t>O.</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3"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P.</w:t>
            </w:r>
            <w:r>
              <w:rPr>
                <w:b/>
                <w:sz w:val="18"/>
              </w:rPr>
              <w:t> de </w:t>
            </w:r>
            <w:r>
              <w:rPr>
                <w:b/>
                <w:w w:val="100"/>
                <w:sz w:val="18"/>
              </w:rPr>
              <w:t>O.</w:t>
            </w:r>
          </w:p>
        </w:tc>
        <w:tc>
          <w:tcPr>
            <w:tcW w:w="475"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80"/>
              <w:ind w:left="-1"/>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P.</w:t>
            </w:r>
            <w:r>
              <w:rPr>
                <w:b/>
                <w:sz w:val="18"/>
              </w:rPr>
              <w:t> de </w:t>
            </w:r>
            <w:r>
              <w:rPr>
                <w:b/>
                <w:w w:val="100"/>
                <w:sz w:val="18"/>
              </w:rPr>
              <w:t>O.</w:t>
            </w:r>
          </w:p>
        </w:tc>
        <w:tc>
          <w:tcPr>
            <w:tcW w:w="47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81"/>
              <w:ind w:left="-1"/>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66" w:type="dxa"/>
            <w:tcBorders>
              <w:top w:val="single" w:sz="4" w:space="0" w:color="000000"/>
              <w:left w:val="single" w:sz="4" w:space="0" w:color="000000"/>
              <w:bottom w:val="single" w:sz="4" w:space="0" w:color="000000"/>
              <w:right w:val="single" w:sz="4" w:space="0" w:color="000000"/>
            </w:tcBorders>
            <w:shd w:val="clear" w:color="auto" w:fill="D7E3BB"/>
            <w:textDirection w:val="btLr"/>
          </w:tcPr>
          <w:p>
            <w:pPr>
              <w:pStyle w:val="TableParagraph"/>
              <w:spacing w:before="71"/>
              <w:ind w:left="-1"/>
              <w:jc w:val="left"/>
              <w:rPr>
                <w:b/>
                <w:sz w:val="18"/>
              </w:rPr>
            </w:pPr>
            <w:r>
              <w:rPr>
                <w:b/>
                <w:w w:val="100"/>
                <w:sz w:val="18"/>
              </w:rPr>
              <w:t>P.</w:t>
            </w:r>
            <w:r>
              <w:rPr>
                <w:b/>
                <w:sz w:val="18"/>
              </w:rPr>
              <w:t> de </w:t>
            </w:r>
            <w:r>
              <w:rPr>
                <w:b/>
                <w:w w:val="100"/>
                <w:sz w:val="18"/>
              </w:rPr>
              <w:t>O.</w:t>
            </w:r>
          </w:p>
        </w:tc>
        <w:tc>
          <w:tcPr>
            <w:tcW w:w="466" w:type="dxa"/>
            <w:tcBorders>
              <w:top w:val="single" w:sz="4" w:space="0" w:color="000000"/>
              <w:left w:val="single" w:sz="4" w:space="0" w:color="000000"/>
              <w:bottom w:val="single" w:sz="4" w:space="0" w:color="000000"/>
            </w:tcBorders>
            <w:shd w:val="clear" w:color="auto" w:fill="D7E3BB"/>
            <w:textDirection w:val="btLr"/>
          </w:tcPr>
          <w:p>
            <w:pPr>
              <w:pStyle w:val="TableParagraph"/>
              <w:spacing w:before="71"/>
              <w:ind w:left="-1"/>
              <w:jc w:val="left"/>
              <w:rPr>
                <w:b/>
                <w:sz w:val="18"/>
              </w:rPr>
            </w:pPr>
            <w:r>
              <w:rPr>
                <w:b/>
                <w:w w:val="100"/>
                <w:sz w:val="18"/>
              </w:rPr>
              <w:t>Li</w:t>
            </w:r>
            <w:r>
              <w:rPr>
                <w:b/>
                <w:w w:val="99"/>
                <w:sz w:val="18"/>
              </w:rPr>
              <w:t>c</w:t>
            </w:r>
            <w:r>
              <w:rPr>
                <w:b/>
                <w:sz w:val="18"/>
              </w:rPr>
              <w:t>ita</w:t>
            </w:r>
            <w:r>
              <w:rPr>
                <w:b/>
                <w:spacing w:val="-2"/>
                <w:w w:val="100"/>
                <w:sz w:val="18"/>
              </w:rPr>
              <w:t>d</w:t>
            </w:r>
            <w:r>
              <w:rPr>
                <w:b/>
                <w:w w:val="99"/>
                <w:sz w:val="18"/>
              </w:rPr>
              <w:t>as</w:t>
            </w:r>
          </w:p>
        </w:tc>
        <w:tc>
          <w:tcPr>
            <w:tcW w:w="473" w:type="dxa"/>
            <w:vMerge/>
            <w:tcBorders>
              <w:bottom w:val="single" w:sz="4" w:space="0" w:color="000000"/>
            </w:tcBorders>
            <w:shd w:val="clear" w:color="auto" w:fill="D7E3BB"/>
            <w:textDirection w:val="btLr"/>
          </w:tcPr>
          <w:p>
            <w:pPr/>
          </w:p>
        </w:tc>
      </w:tr>
      <w:tr>
        <w:trPr>
          <w:trHeight w:val="319"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TLALNEPANTLA DE BAZ</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2</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9" w:right="-16"/>
              <w:jc w:val="left"/>
              <w:rPr>
                <w:sz w:val="18"/>
              </w:rPr>
            </w:pPr>
            <w:r>
              <w:rPr>
                <w:sz w:val="18"/>
              </w:rPr>
              <w:t>##</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2</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7" w:right="-16"/>
              <w:jc w:val="left"/>
              <w:rPr>
                <w:sz w:val="18"/>
              </w:rPr>
            </w:pPr>
            <w:r>
              <w:rPr>
                <w:sz w:val="18"/>
              </w:rPr>
              <w:t>##</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77"/>
              <w:jc w:val="right"/>
              <w:rPr>
                <w:sz w:val="18"/>
              </w:rPr>
            </w:pPr>
            <w:r>
              <w:rPr>
                <w:w w:val="95"/>
                <w:sz w:val="18"/>
              </w:rPr>
              <w:t>122</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0" w:right="60"/>
              <w:rPr>
                <w:sz w:val="18"/>
              </w:rPr>
            </w:pPr>
            <w:r>
              <w:rPr>
                <w:sz w:val="18"/>
              </w:rPr>
              <w:t>66</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7" w:right="-16"/>
              <w:jc w:val="left"/>
              <w:rPr>
                <w:sz w:val="18"/>
              </w:rPr>
            </w:pPr>
            <w:r>
              <w:rPr>
                <w:sz w:val="18"/>
              </w:rPr>
              <w:t>16</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right="60"/>
              <w:rPr>
                <w:b/>
                <w:sz w:val="18"/>
              </w:rPr>
            </w:pPr>
            <w:r>
              <w:rPr>
                <w:b/>
                <w:sz w:val="18"/>
              </w:rPr>
              <w:t>573</w:t>
            </w:r>
          </w:p>
        </w:tc>
      </w:tr>
      <w:tr>
        <w:trPr>
          <w:trHeight w:val="322"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67"/>
              <w:jc w:val="left"/>
              <w:rPr>
                <w:b/>
                <w:sz w:val="18"/>
              </w:rPr>
            </w:pPr>
            <w:r>
              <w:rPr>
                <w:b/>
                <w:sz w:val="18"/>
              </w:rPr>
              <w:t>TLATLAYA</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8"/>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1"/>
              <w:rPr>
                <w:b/>
                <w:sz w:val="18"/>
              </w:rPr>
            </w:pPr>
            <w:r>
              <w:rPr>
                <w:b/>
                <w:w w:val="99"/>
                <w:sz w:val="18"/>
              </w:rPr>
              <w:t>0</w:t>
            </w:r>
          </w:p>
        </w:tc>
      </w:tr>
      <w:tr>
        <w:trPr>
          <w:trHeight w:val="319"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TOLUCA</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3</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9" w:right="-16"/>
              <w:jc w:val="left"/>
              <w:rPr>
                <w:sz w:val="18"/>
              </w:rPr>
            </w:pPr>
            <w:r>
              <w:rPr>
                <w:sz w:val="18"/>
              </w:rPr>
              <w:t>33</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3</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7" w:right="-16"/>
              <w:jc w:val="left"/>
              <w:rPr>
                <w:sz w:val="18"/>
              </w:rPr>
            </w:pPr>
            <w:r>
              <w:rPr>
                <w:sz w:val="18"/>
              </w:rPr>
              <w:t>25</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2</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27"/>
              <w:jc w:val="right"/>
              <w:rPr>
                <w:sz w:val="18"/>
              </w:rPr>
            </w:pPr>
            <w:r>
              <w:rPr>
                <w:w w:val="95"/>
                <w:sz w:val="18"/>
              </w:rPr>
              <w:t>49</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3</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0" w:right="60"/>
              <w:rPr>
                <w:sz w:val="18"/>
              </w:rPr>
            </w:pPr>
            <w:r>
              <w:rPr>
                <w:sz w:val="18"/>
              </w:rPr>
              <w:t>157</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3</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7" w:right="-16"/>
              <w:jc w:val="left"/>
              <w:rPr>
                <w:sz w:val="18"/>
              </w:rPr>
            </w:pPr>
            <w:r>
              <w:rPr>
                <w:sz w:val="18"/>
              </w:rPr>
              <w:t>60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right="60"/>
              <w:rPr>
                <w:b/>
                <w:sz w:val="18"/>
              </w:rPr>
            </w:pPr>
            <w:r>
              <w:rPr>
                <w:b/>
                <w:sz w:val="18"/>
              </w:rPr>
              <w:t>338</w:t>
            </w:r>
          </w:p>
        </w:tc>
      </w:tr>
      <w:tr>
        <w:trPr>
          <w:trHeight w:val="322"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7"/>
              <w:jc w:val="left"/>
              <w:rPr>
                <w:b/>
                <w:sz w:val="18"/>
              </w:rPr>
            </w:pPr>
            <w:r>
              <w:rPr>
                <w:b/>
                <w:sz w:val="18"/>
              </w:rPr>
              <w:t>TONANITLA</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1"/>
              <w:ind w:right="178"/>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1"/>
              <w:rPr>
                <w:b/>
                <w:sz w:val="18"/>
              </w:rPr>
            </w:pPr>
            <w:r>
              <w:rPr>
                <w:b/>
                <w:w w:val="99"/>
                <w:sz w:val="18"/>
              </w:rPr>
              <w:t>0</w:t>
            </w:r>
          </w:p>
        </w:tc>
      </w:tr>
      <w:tr>
        <w:trPr>
          <w:trHeight w:val="319"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TONATICO</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27"/>
              <w:jc w:val="right"/>
              <w:rPr>
                <w:sz w:val="18"/>
              </w:rPr>
            </w:pPr>
            <w:r>
              <w:rPr>
                <w:w w:val="95"/>
                <w:sz w:val="18"/>
              </w:rPr>
              <w:t>32</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right="60"/>
              <w:rPr>
                <w:b/>
                <w:sz w:val="18"/>
              </w:rPr>
            </w:pPr>
            <w:r>
              <w:rPr>
                <w:b/>
                <w:sz w:val="18"/>
              </w:rPr>
              <w:t>33</w:t>
            </w:r>
          </w:p>
        </w:tc>
      </w:tr>
      <w:tr>
        <w:trPr>
          <w:trHeight w:val="322"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7"/>
              <w:jc w:val="left"/>
              <w:rPr>
                <w:b/>
                <w:sz w:val="18"/>
              </w:rPr>
            </w:pPr>
            <w:r>
              <w:rPr>
                <w:b/>
                <w:sz w:val="18"/>
              </w:rPr>
              <w:t>TULTEPEC</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1"/>
              <w:ind w:right="178"/>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1"/>
              <w:rPr>
                <w:b/>
                <w:sz w:val="18"/>
              </w:rPr>
            </w:pPr>
            <w:r>
              <w:rPr>
                <w:b/>
                <w:w w:val="99"/>
                <w:sz w:val="18"/>
              </w:rPr>
              <w:t>0</w:t>
            </w:r>
          </w:p>
        </w:tc>
      </w:tr>
      <w:tr>
        <w:trPr>
          <w:trHeight w:val="319"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TULTITLAN</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3</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27"/>
              <w:jc w:val="right"/>
              <w:rPr>
                <w:sz w:val="18"/>
              </w:rPr>
            </w:pPr>
            <w:r>
              <w:rPr>
                <w:w w:val="95"/>
                <w:sz w:val="18"/>
              </w:rPr>
              <w:t>51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2</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0" w:right="60"/>
              <w:rPr>
                <w:sz w:val="18"/>
              </w:rPr>
            </w:pPr>
            <w:r>
              <w:rPr>
                <w:sz w:val="18"/>
              </w:rPr>
              <w:t>43</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2</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right="60"/>
              <w:rPr>
                <w:b/>
                <w:sz w:val="18"/>
              </w:rPr>
            </w:pPr>
            <w:r>
              <w:rPr>
                <w:b/>
                <w:sz w:val="18"/>
              </w:rPr>
              <w:t>101</w:t>
            </w:r>
          </w:p>
        </w:tc>
      </w:tr>
      <w:tr>
        <w:trPr>
          <w:trHeight w:val="322"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7"/>
              <w:jc w:val="left"/>
              <w:rPr>
                <w:b/>
                <w:sz w:val="18"/>
              </w:rPr>
            </w:pPr>
            <w:r>
              <w:rPr>
                <w:b/>
                <w:sz w:val="18"/>
              </w:rPr>
              <w:t>VALLE DE BRAVO</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5</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before="1"/>
              <w:ind w:right="127"/>
              <w:jc w:val="right"/>
              <w:rPr>
                <w:sz w:val="18"/>
              </w:rPr>
            </w:pPr>
            <w:r>
              <w:rPr>
                <w:w w:val="95"/>
                <w:sz w:val="18"/>
              </w:rPr>
              <w:t>39</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7"/>
              <w:jc w:val="left"/>
              <w:rPr>
                <w:sz w:val="18"/>
              </w:rPr>
            </w:pPr>
            <w:r>
              <w:rPr>
                <w:w w:val="99"/>
                <w:sz w:val="18"/>
              </w:rPr>
              <w:t>4</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before="1"/>
              <w:ind w:left="60" w:right="60"/>
              <w:rPr>
                <w:sz w:val="18"/>
              </w:rPr>
            </w:pPr>
            <w:r>
              <w:rPr>
                <w:sz w:val="18"/>
              </w:rPr>
              <w:t>51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right="3"/>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2" w:right="60"/>
              <w:rPr>
                <w:b/>
                <w:sz w:val="18"/>
              </w:rPr>
            </w:pPr>
            <w:r>
              <w:rPr>
                <w:b/>
                <w:sz w:val="18"/>
              </w:rPr>
              <w:t>100</w:t>
            </w:r>
          </w:p>
        </w:tc>
      </w:tr>
      <w:tr>
        <w:trPr>
          <w:trHeight w:val="322"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VALLE DE CHALCO SOLIDARIDAD</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9</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right="60"/>
              <w:rPr>
                <w:b/>
                <w:sz w:val="18"/>
              </w:rPr>
            </w:pPr>
            <w:r>
              <w:rPr>
                <w:b/>
                <w:sz w:val="18"/>
              </w:rPr>
              <w:t>11</w:t>
            </w:r>
          </w:p>
        </w:tc>
      </w:tr>
      <w:tr>
        <w:trPr>
          <w:trHeight w:val="320"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VILLA DE ALLENDE</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
              <w:rPr>
                <w:b/>
                <w:sz w:val="18"/>
              </w:rPr>
            </w:pPr>
            <w:r>
              <w:rPr>
                <w:b/>
                <w:w w:val="99"/>
                <w:sz w:val="18"/>
              </w:rPr>
              <w:t>2</w:t>
            </w:r>
          </w:p>
        </w:tc>
      </w:tr>
      <w:tr>
        <w:trPr>
          <w:trHeight w:val="322"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VILLA DEL CARBON</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
              <w:rPr>
                <w:b/>
                <w:sz w:val="18"/>
              </w:rPr>
            </w:pPr>
            <w:r>
              <w:rPr>
                <w:b/>
                <w:w w:val="99"/>
                <w:sz w:val="18"/>
              </w:rPr>
              <w:t>0</w:t>
            </w:r>
          </w:p>
        </w:tc>
      </w:tr>
      <w:tr>
        <w:trPr>
          <w:trHeight w:val="319"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VILLA GUERRERO</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27"/>
              <w:jc w:val="right"/>
              <w:rPr>
                <w:sz w:val="18"/>
              </w:rPr>
            </w:pPr>
            <w:r>
              <w:rPr>
                <w:w w:val="95"/>
                <w:sz w:val="18"/>
              </w:rPr>
              <w:t>76</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0" w:right="60"/>
              <w:rPr>
                <w:sz w:val="18"/>
              </w:rPr>
            </w:pPr>
            <w:r>
              <w:rPr>
                <w:sz w:val="18"/>
              </w:rPr>
              <w:t>125</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right="60"/>
              <w:rPr>
                <w:b/>
                <w:sz w:val="18"/>
              </w:rPr>
            </w:pPr>
            <w:r>
              <w:rPr>
                <w:b/>
                <w:sz w:val="18"/>
              </w:rPr>
              <w:t>204</w:t>
            </w:r>
          </w:p>
        </w:tc>
      </w:tr>
      <w:tr>
        <w:trPr>
          <w:trHeight w:val="322"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VILLA VICTORIA</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
              <w:rPr>
                <w:b/>
                <w:sz w:val="18"/>
              </w:rPr>
            </w:pPr>
            <w:r>
              <w:rPr>
                <w:b/>
                <w:w w:val="99"/>
                <w:sz w:val="18"/>
              </w:rPr>
              <w:t>1</w:t>
            </w:r>
          </w:p>
        </w:tc>
      </w:tr>
      <w:tr>
        <w:trPr>
          <w:trHeight w:val="319"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XALATLACO</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4</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
              <w:rPr>
                <w:b/>
                <w:sz w:val="18"/>
              </w:rPr>
            </w:pPr>
            <w:r>
              <w:rPr>
                <w:b/>
                <w:w w:val="99"/>
                <w:sz w:val="18"/>
              </w:rPr>
              <w:t>7</w:t>
            </w:r>
          </w:p>
        </w:tc>
      </w:tr>
      <w:tr>
        <w:trPr>
          <w:trHeight w:val="322"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XONACATLAN</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3</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27"/>
              <w:jc w:val="right"/>
              <w:rPr>
                <w:sz w:val="18"/>
              </w:rPr>
            </w:pPr>
            <w:r>
              <w:rPr>
                <w:w w:val="95"/>
                <w:sz w:val="18"/>
              </w:rPr>
              <w:t>37</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0" w:right="60"/>
              <w:rPr>
                <w:sz w:val="18"/>
              </w:rPr>
            </w:pPr>
            <w:r>
              <w:rPr>
                <w:sz w:val="18"/>
              </w:rPr>
              <w:t>16</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right="60"/>
              <w:rPr>
                <w:b/>
                <w:sz w:val="18"/>
              </w:rPr>
            </w:pPr>
            <w:r>
              <w:rPr>
                <w:b/>
                <w:sz w:val="18"/>
              </w:rPr>
              <w:t>60</w:t>
            </w:r>
          </w:p>
        </w:tc>
      </w:tr>
      <w:tr>
        <w:trPr>
          <w:trHeight w:val="319"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ZACAZONAPAN</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
              <w:rPr>
                <w:b/>
                <w:sz w:val="18"/>
              </w:rPr>
            </w:pPr>
            <w:r>
              <w:rPr>
                <w:b/>
                <w:w w:val="99"/>
                <w:sz w:val="18"/>
              </w:rPr>
              <w:t>0</w:t>
            </w:r>
          </w:p>
        </w:tc>
      </w:tr>
      <w:tr>
        <w:trPr>
          <w:trHeight w:val="322"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ZACUALPAN</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27"/>
              <w:jc w:val="right"/>
              <w:rPr>
                <w:sz w:val="18"/>
              </w:rPr>
            </w:pPr>
            <w:r>
              <w:rPr>
                <w:w w:val="95"/>
                <w:sz w:val="18"/>
              </w:rPr>
              <w:t>15</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0" w:right="60"/>
              <w:rPr>
                <w:sz w:val="18"/>
              </w:rPr>
            </w:pPr>
            <w:r>
              <w:rPr>
                <w:sz w:val="18"/>
              </w:rPr>
              <w:t>29</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right="60"/>
              <w:rPr>
                <w:b/>
                <w:sz w:val="18"/>
              </w:rPr>
            </w:pPr>
            <w:r>
              <w:rPr>
                <w:b/>
                <w:sz w:val="18"/>
              </w:rPr>
              <w:t>46</w:t>
            </w:r>
          </w:p>
        </w:tc>
      </w:tr>
      <w:tr>
        <w:trPr>
          <w:trHeight w:val="320"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ZINACANTEPEC</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7" w:right="-16"/>
              <w:jc w:val="left"/>
              <w:rPr>
                <w:sz w:val="18"/>
              </w:rPr>
            </w:pPr>
            <w:r>
              <w:rPr>
                <w:sz w:val="18"/>
              </w:rPr>
              <w:t>22</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27"/>
              <w:jc w:val="right"/>
              <w:rPr>
                <w:sz w:val="18"/>
              </w:rPr>
            </w:pPr>
            <w:r>
              <w:rPr>
                <w:w w:val="95"/>
                <w:sz w:val="18"/>
              </w:rPr>
              <w:t>27</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0" w:right="60"/>
              <w:rPr>
                <w:sz w:val="18"/>
              </w:rPr>
            </w:pPr>
            <w:r>
              <w:rPr>
                <w:sz w:val="18"/>
              </w:rPr>
              <w:t>49</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right="60"/>
              <w:rPr>
                <w:b/>
                <w:sz w:val="18"/>
              </w:rPr>
            </w:pPr>
            <w:r>
              <w:rPr>
                <w:b/>
                <w:sz w:val="18"/>
              </w:rPr>
              <w:t>104</w:t>
            </w:r>
          </w:p>
        </w:tc>
      </w:tr>
      <w:tr>
        <w:trPr>
          <w:trHeight w:val="322"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ZUMPAHUACAN</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
              <w:rPr>
                <w:b/>
                <w:sz w:val="18"/>
              </w:rPr>
            </w:pPr>
            <w:r>
              <w:rPr>
                <w:b/>
                <w:w w:val="99"/>
                <w:sz w:val="18"/>
              </w:rPr>
              <w:t>0</w:t>
            </w:r>
          </w:p>
        </w:tc>
      </w:tr>
      <w:tr>
        <w:trPr>
          <w:trHeight w:val="319" w:hRule="exact"/>
        </w:trPr>
        <w:tc>
          <w:tcPr>
            <w:tcW w:w="3781"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ZUMPANGO</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7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8"/>
              <w:jc w:val="right"/>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7"/>
              <w:jc w:val="left"/>
              <w:rPr>
                <w:sz w:val="18"/>
              </w:rPr>
            </w:pPr>
            <w:r>
              <w:rPr>
                <w:w w:val="99"/>
                <w:sz w:val="18"/>
              </w:rPr>
              <w:t>1</w:t>
            </w:r>
          </w:p>
        </w:tc>
        <w:tc>
          <w:tcPr>
            <w:tcW w:w="4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7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
              <w:rPr>
                <w:b/>
                <w:sz w:val="18"/>
              </w:rPr>
            </w:pPr>
            <w:r>
              <w:rPr>
                <w:b/>
                <w:w w:val="99"/>
                <w:sz w:val="18"/>
              </w:rPr>
              <w:t>2</w:t>
            </w:r>
          </w:p>
        </w:tc>
      </w:tr>
    </w:tbl>
    <w:p>
      <w:pPr>
        <w:spacing w:before="1"/>
        <w:ind w:left="194" w:right="0" w:firstLine="0"/>
        <w:jc w:val="left"/>
        <w:rPr>
          <w:sz w:val="18"/>
        </w:rPr>
      </w:pPr>
      <w:r>
        <w:rPr>
          <w:sz w:val="18"/>
        </w:rPr>
        <w:t>Fuente: Elaboración propia con datos del INFOEM.</w:t>
      </w:r>
    </w:p>
    <w:p>
      <w:pPr>
        <w:spacing w:after="0"/>
        <w:jc w:val="left"/>
        <w:rPr>
          <w:sz w:val="18"/>
        </w:rPr>
        <w:sectPr>
          <w:pgSz w:w="15840" w:h="12240" w:orient="landscape"/>
          <w:pgMar w:header="0" w:footer="975" w:top="1140" w:bottom="1160" w:left="1940" w:right="1940"/>
        </w:sectPr>
      </w:pPr>
    </w:p>
    <w:p>
      <w:pPr>
        <w:pStyle w:val="BodyText"/>
        <w:rPr>
          <w:rFonts w:ascii="Times New Roman"/>
          <w:sz w:val="20"/>
        </w:rPr>
      </w:pPr>
    </w:p>
    <w:p>
      <w:pPr>
        <w:pStyle w:val="BodyText"/>
        <w:spacing w:before="10"/>
        <w:rPr>
          <w:rFonts w:ascii="Times New Roman"/>
          <w:sz w:val="28"/>
        </w:rPr>
      </w:pPr>
    </w:p>
    <w:tbl>
      <w:tblPr>
        <w:tblW w:w="0" w:type="auto"/>
        <w:jc w:val="left"/>
        <w:tblInd w:w="1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48"/>
        <w:gridCol w:w="458"/>
        <w:gridCol w:w="456"/>
        <w:gridCol w:w="458"/>
        <w:gridCol w:w="456"/>
        <w:gridCol w:w="457"/>
        <w:gridCol w:w="458"/>
        <w:gridCol w:w="456"/>
        <w:gridCol w:w="458"/>
        <w:gridCol w:w="456"/>
        <w:gridCol w:w="542"/>
        <w:gridCol w:w="456"/>
        <w:gridCol w:w="456"/>
        <w:gridCol w:w="459"/>
        <w:gridCol w:w="456"/>
        <w:gridCol w:w="458"/>
        <w:gridCol w:w="456"/>
        <w:gridCol w:w="456"/>
        <w:gridCol w:w="458"/>
        <w:gridCol w:w="456"/>
        <w:gridCol w:w="459"/>
        <w:gridCol w:w="456"/>
        <w:gridCol w:w="458"/>
        <w:gridCol w:w="456"/>
        <w:gridCol w:w="456"/>
        <w:gridCol w:w="542"/>
      </w:tblGrid>
      <w:tr>
        <w:trPr>
          <w:trHeight w:val="330" w:hRule="exact"/>
        </w:trPr>
        <w:tc>
          <w:tcPr>
            <w:tcW w:w="13144" w:type="dxa"/>
            <w:gridSpan w:val="26"/>
            <w:shd w:val="clear" w:color="auto" w:fill="92D050"/>
          </w:tcPr>
          <w:p>
            <w:pPr>
              <w:pStyle w:val="TableParagraph"/>
              <w:spacing w:line="201" w:lineRule="exact"/>
              <w:ind w:left="2904"/>
              <w:jc w:val="left"/>
              <w:rPr>
                <w:b/>
                <w:sz w:val="18"/>
              </w:rPr>
            </w:pPr>
            <w:r>
              <w:rPr>
                <w:b/>
                <w:sz w:val="18"/>
              </w:rPr>
              <w:t>Anexo 21. Municipios que publican apartado de solicitudes de información 2008-2015</w:t>
            </w:r>
          </w:p>
        </w:tc>
      </w:tr>
      <w:tr>
        <w:trPr>
          <w:trHeight w:val="330" w:hRule="exact"/>
        </w:trPr>
        <w:tc>
          <w:tcPr>
            <w:tcW w:w="1548" w:type="dxa"/>
            <w:vMerge w:val="restart"/>
            <w:tcBorders>
              <w:right w:val="single" w:sz="4" w:space="0" w:color="000000"/>
            </w:tcBorders>
            <w:shd w:val="clear" w:color="auto" w:fill="C5DFB3"/>
          </w:tcPr>
          <w:p>
            <w:pPr>
              <w:pStyle w:val="TableParagraph"/>
              <w:jc w:val="left"/>
              <w:rPr>
                <w:rFonts w:ascii="Times New Roman"/>
                <w:sz w:val="18"/>
              </w:rPr>
            </w:pPr>
          </w:p>
          <w:p>
            <w:pPr>
              <w:pStyle w:val="TableParagraph"/>
              <w:spacing w:before="2"/>
              <w:jc w:val="left"/>
              <w:rPr>
                <w:rFonts w:ascii="Times New Roman"/>
                <w:sz w:val="20"/>
              </w:rPr>
            </w:pPr>
          </w:p>
          <w:p>
            <w:pPr>
              <w:pStyle w:val="TableParagraph"/>
              <w:ind w:left="346"/>
              <w:jc w:val="left"/>
              <w:rPr>
                <w:b/>
                <w:sz w:val="18"/>
              </w:rPr>
            </w:pPr>
            <w:r>
              <w:rPr>
                <w:b/>
                <w:sz w:val="18"/>
              </w:rPr>
              <w:t>Municipio</w:t>
            </w:r>
          </w:p>
        </w:tc>
        <w:tc>
          <w:tcPr>
            <w:tcW w:w="1373" w:type="dxa"/>
            <w:gridSpan w:val="3"/>
            <w:tcBorders>
              <w:top w:val="single" w:sz="4" w:space="0" w:color="000000"/>
              <w:left w:val="single" w:sz="4" w:space="0" w:color="000000"/>
              <w:right w:val="single" w:sz="4" w:space="0" w:color="000000"/>
            </w:tcBorders>
            <w:shd w:val="clear" w:color="auto" w:fill="D7E3BB"/>
          </w:tcPr>
          <w:p>
            <w:pPr>
              <w:pStyle w:val="TableParagraph"/>
              <w:ind w:left="463" w:right="459"/>
              <w:rPr>
                <w:b/>
                <w:sz w:val="18"/>
              </w:rPr>
            </w:pPr>
            <w:r>
              <w:rPr>
                <w:b/>
                <w:sz w:val="18"/>
              </w:rPr>
              <w:t>2008</w:t>
            </w:r>
          </w:p>
        </w:tc>
        <w:tc>
          <w:tcPr>
            <w:tcW w:w="1371" w:type="dxa"/>
            <w:gridSpan w:val="3"/>
            <w:tcBorders>
              <w:top w:val="single" w:sz="4" w:space="0" w:color="000000"/>
              <w:left w:val="single" w:sz="4" w:space="0" w:color="000000"/>
              <w:right w:val="single" w:sz="4" w:space="0" w:color="000000"/>
            </w:tcBorders>
            <w:shd w:val="clear" w:color="auto" w:fill="D7E3BB"/>
          </w:tcPr>
          <w:p>
            <w:pPr>
              <w:pStyle w:val="TableParagraph"/>
              <w:ind w:left="458" w:right="457"/>
              <w:rPr>
                <w:b/>
                <w:sz w:val="18"/>
              </w:rPr>
            </w:pPr>
            <w:r>
              <w:rPr>
                <w:b/>
                <w:sz w:val="18"/>
              </w:rPr>
              <w:t>2009</w:t>
            </w:r>
          </w:p>
        </w:tc>
        <w:tc>
          <w:tcPr>
            <w:tcW w:w="1370" w:type="dxa"/>
            <w:gridSpan w:val="3"/>
            <w:tcBorders>
              <w:top w:val="single" w:sz="4" w:space="0" w:color="000000"/>
              <w:left w:val="single" w:sz="4" w:space="0" w:color="000000"/>
              <w:right w:val="single" w:sz="4" w:space="0" w:color="000000"/>
            </w:tcBorders>
            <w:shd w:val="clear" w:color="auto" w:fill="D7E3BB"/>
          </w:tcPr>
          <w:p>
            <w:pPr>
              <w:pStyle w:val="TableParagraph"/>
              <w:ind w:left="350" w:right="348"/>
              <w:rPr>
                <w:b/>
                <w:sz w:val="18"/>
              </w:rPr>
            </w:pPr>
            <w:r>
              <w:rPr>
                <w:b/>
                <w:sz w:val="18"/>
              </w:rPr>
              <w:t>2010</w:t>
            </w:r>
          </w:p>
        </w:tc>
        <w:tc>
          <w:tcPr>
            <w:tcW w:w="1454" w:type="dxa"/>
            <w:gridSpan w:val="3"/>
            <w:tcBorders>
              <w:top w:val="single" w:sz="4" w:space="0" w:color="000000"/>
              <w:left w:val="single" w:sz="4" w:space="0" w:color="000000"/>
              <w:right w:val="single" w:sz="4" w:space="0" w:color="000000"/>
            </w:tcBorders>
            <w:shd w:val="clear" w:color="auto" w:fill="D7E3BB"/>
          </w:tcPr>
          <w:p>
            <w:pPr>
              <w:pStyle w:val="TableParagraph"/>
              <w:ind w:left="76" w:right="72"/>
              <w:rPr>
                <w:b/>
                <w:sz w:val="18"/>
              </w:rPr>
            </w:pPr>
            <w:r>
              <w:rPr>
                <w:b/>
                <w:sz w:val="18"/>
              </w:rPr>
              <w:t>2011</w:t>
            </w:r>
          </w:p>
        </w:tc>
        <w:tc>
          <w:tcPr>
            <w:tcW w:w="1373" w:type="dxa"/>
            <w:gridSpan w:val="3"/>
            <w:tcBorders>
              <w:top w:val="single" w:sz="4" w:space="0" w:color="000000"/>
              <w:left w:val="single" w:sz="4" w:space="0" w:color="000000"/>
              <w:right w:val="single" w:sz="4" w:space="0" w:color="000000"/>
            </w:tcBorders>
            <w:shd w:val="clear" w:color="auto" w:fill="D7E3BB"/>
          </w:tcPr>
          <w:p>
            <w:pPr>
              <w:pStyle w:val="TableParagraph"/>
              <w:ind w:left="464" w:right="459"/>
              <w:rPr>
                <w:b/>
                <w:sz w:val="18"/>
              </w:rPr>
            </w:pPr>
            <w:r>
              <w:rPr>
                <w:b/>
                <w:sz w:val="18"/>
              </w:rPr>
              <w:t>2012</w:t>
            </w:r>
          </w:p>
        </w:tc>
        <w:tc>
          <w:tcPr>
            <w:tcW w:w="1370" w:type="dxa"/>
            <w:gridSpan w:val="3"/>
            <w:tcBorders>
              <w:top w:val="single" w:sz="4" w:space="0" w:color="000000"/>
              <w:left w:val="single" w:sz="4" w:space="0" w:color="000000"/>
              <w:right w:val="single" w:sz="4" w:space="0" w:color="000000"/>
            </w:tcBorders>
            <w:shd w:val="clear" w:color="auto" w:fill="D7E3BB"/>
          </w:tcPr>
          <w:p>
            <w:pPr>
              <w:pStyle w:val="TableParagraph"/>
              <w:ind w:left="350" w:right="348"/>
              <w:rPr>
                <w:b/>
                <w:sz w:val="18"/>
              </w:rPr>
            </w:pPr>
            <w:r>
              <w:rPr>
                <w:b/>
                <w:sz w:val="18"/>
              </w:rPr>
              <w:t>2013</w:t>
            </w:r>
          </w:p>
        </w:tc>
        <w:tc>
          <w:tcPr>
            <w:tcW w:w="1371" w:type="dxa"/>
            <w:gridSpan w:val="3"/>
            <w:tcBorders>
              <w:top w:val="single" w:sz="4" w:space="0" w:color="000000"/>
              <w:left w:val="single" w:sz="4" w:space="0" w:color="000000"/>
              <w:right w:val="single" w:sz="4" w:space="0" w:color="000000"/>
            </w:tcBorders>
            <w:shd w:val="clear" w:color="auto" w:fill="D7E3BB"/>
          </w:tcPr>
          <w:p>
            <w:pPr>
              <w:pStyle w:val="TableParagraph"/>
              <w:ind w:left="458" w:right="457"/>
              <w:rPr>
                <w:b/>
                <w:sz w:val="18"/>
              </w:rPr>
            </w:pPr>
            <w:r>
              <w:rPr>
                <w:b/>
                <w:sz w:val="18"/>
              </w:rPr>
              <w:t>2014</w:t>
            </w:r>
          </w:p>
        </w:tc>
        <w:tc>
          <w:tcPr>
            <w:tcW w:w="1370" w:type="dxa"/>
            <w:gridSpan w:val="3"/>
            <w:tcBorders>
              <w:top w:val="single" w:sz="4" w:space="0" w:color="000000"/>
              <w:left w:val="single" w:sz="4" w:space="0" w:color="000000"/>
              <w:right w:val="single" w:sz="4" w:space="0" w:color="000000"/>
            </w:tcBorders>
            <w:shd w:val="clear" w:color="auto" w:fill="D7E3BB"/>
          </w:tcPr>
          <w:p>
            <w:pPr>
              <w:pStyle w:val="TableParagraph"/>
              <w:ind w:left="350" w:right="343"/>
              <w:rPr>
                <w:b/>
                <w:sz w:val="18"/>
              </w:rPr>
            </w:pPr>
            <w:r>
              <w:rPr>
                <w:b/>
                <w:sz w:val="18"/>
              </w:rPr>
              <w:t>2015</w:t>
            </w:r>
          </w:p>
        </w:tc>
        <w:tc>
          <w:tcPr>
            <w:tcW w:w="542" w:type="dxa"/>
            <w:vMerge w:val="restart"/>
            <w:tcBorders>
              <w:top w:val="single" w:sz="4" w:space="0" w:color="000000"/>
              <w:left w:val="single" w:sz="4" w:space="0" w:color="000000"/>
            </w:tcBorders>
            <w:shd w:val="clear" w:color="auto" w:fill="D7E3BB"/>
            <w:textDirection w:val="btLr"/>
          </w:tcPr>
          <w:p>
            <w:pPr>
              <w:pStyle w:val="TableParagraph"/>
              <w:spacing w:before="107"/>
              <w:ind w:left="117"/>
              <w:jc w:val="left"/>
              <w:rPr>
                <w:b/>
                <w:sz w:val="18"/>
              </w:rPr>
            </w:pPr>
            <w:r>
              <w:rPr>
                <w:b/>
                <w:w w:val="100"/>
                <w:sz w:val="18"/>
              </w:rPr>
              <w:t>To</w:t>
            </w:r>
            <w:r>
              <w:rPr>
                <w:b/>
                <w:w w:val="99"/>
                <w:sz w:val="18"/>
              </w:rPr>
              <w:t>ta</w:t>
            </w:r>
            <w:r>
              <w:rPr>
                <w:b/>
                <w:w w:val="100"/>
                <w:sz w:val="18"/>
              </w:rPr>
              <w:t>l</w:t>
            </w:r>
          </w:p>
        </w:tc>
      </w:tr>
      <w:tr>
        <w:trPr>
          <w:trHeight w:val="890" w:hRule="exact"/>
        </w:trPr>
        <w:tc>
          <w:tcPr>
            <w:tcW w:w="1548" w:type="dxa"/>
            <w:vMerge/>
            <w:tcBorders>
              <w:right w:val="single" w:sz="4" w:space="0" w:color="000000"/>
            </w:tcBorders>
            <w:shd w:val="clear" w:color="auto" w:fill="C5DFB3"/>
          </w:tcPr>
          <w:p>
            <w:pP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SIP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99"/>
                <w:sz w:val="18"/>
              </w:rPr>
              <w:t>SA</w:t>
            </w:r>
            <w:r>
              <w:rPr>
                <w:b/>
                <w:spacing w:val="-1"/>
                <w:w w:val="99"/>
                <w:sz w:val="18"/>
              </w:rPr>
              <w:t>D</w:t>
            </w:r>
            <w:r>
              <w:rPr>
                <w:b/>
                <w:w w:val="100"/>
                <w:sz w:val="18"/>
              </w:rPr>
              <w:t>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w:t>
            </w:r>
            <w:r>
              <w:rPr>
                <w:b/>
                <w:spacing w:val="-1"/>
                <w:w w:val="100"/>
                <w:sz w:val="18"/>
              </w:rPr>
              <w:t>O</w:t>
            </w:r>
            <w:r>
              <w:rPr>
                <w:b/>
                <w:w w:val="99"/>
                <w:sz w:val="18"/>
              </w:rPr>
              <w:t>DP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SIP</w:t>
            </w:r>
          </w:p>
        </w:tc>
        <w:tc>
          <w:tcPr>
            <w:tcW w:w="457"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99"/>
                <w:sz w:val="18"/>
              </w:rPr>
              <w:t>SA</w:t>
            </w:r>
            <w:r>
              <w:rPr>
                <w:b/>
                <w:spacing w:val="-1"/>
                <w:w w:val="99"/>
                <w:sz w:val="18"/>
              </w:rPr>
              <w:t>D</w:t>
            </w:r>
            <w:r>
              <w:rPr>
                <w:b/>
                <w:w w:val="100"/>
                <w:sz w:val="18"/>
              </w:rPr>
              <w:t>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w:t>
            </w:r>
            <w:r>
              <w:rPr>
                <w:b/>
                <w:spacing w:val="-1"/>
                <w:w w:val="100"/>
                <w:sz w:val="18"/>
              </w:rPr>
              <w:t>O</w:t>
            </w:r>
            <w:r>
              <w:rPr>
                <w:b/>
                <w:w w:val="99"/>
                <w:sz w:val="18"/>
              </w:rPr>
              <w:t>DP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SIP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99"/>
                <w:sz w:val="18"/>
              </w:rPr>
              <w:t>SA</w:t>
            </w:r>
            <w:r>
              <w:rPr>
                <w:b/>
                <w:spacing w:val="-1"/>
                <w:w w:val="99"/>
                <w:sz w:val="18"/>
              </w:rPr>
              <w:t>D</w:t>
            </w:r>
            <w:r>
              <w:rPr>
                <w:b/>
                <w:w w:val="100"/>
                <w:sz w:val="18"/>
              </w:rPr>
              <w:t>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w:t>
            </w:r>
            <w:r>
              <w:rPr>
                <w:b/>
                <w:spacing w:val="-1"/>
                <w:w w:val="100"/>
                <w:sz w:val="18"/>
              </w:rPr>
              <w:t>O</w:t>
            </w:r>
            <w:r>
              <w:rPr>
                <w:b/>
                <w:w w:val="99"/>
                <w:sz w:val="18"/>
              </w:rPr>
              <w:t>DP</w:t>
            </w:r>
          </w:p>
        </w:tc>
        <w:tc>
          <w:tcPr>
            <w:tcW w:w="542"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148"/>
              <w:ind w:left="4"/>
              <w:jc w:val="left"/>
              <w:rPr>
                <w:b/>
                <w:sz w:val="18"/>
              </w:rPr>
            </w:pPr>
            <w:r>
              <w:rPr>
                <w:b/>
                <w:w w:val="100"/>
                <w:sz w:val="18"/>
              </w:rPr>
              <w:t>SIP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99"/>
                <w:sz w:val="18"/>
              </w:rPr>
              <w:t>SA</w:t>
            </w:r>
            <w:r>
              <w:rPr>
                <w:b/>
                <w:spacing w:val="-1"/>
                <w:w w:val="99"/>
                <w:sz w:val="18"/>
              </w:rPr>
              <w:t>D</w:t>
            </w:r>
            <w:r>
              <w:rPr>
                <w:b/>
                <w:w w:val="100"/>
                <w:sz w:val="18"/>
              </w:rPr>
              <w:t>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w:t>
            </w:r>
            <w:r>
              <w:rPr>
                <w:b/>
                <w:spacing w:val="-1"/>
                <w:w w:val="100"/>
                <w:sz w:val="18"/>
              </w:rPr>
              <w:t>O</w:t>
            </w:r>
            <w:r>
              <w:rPr>
                <w:b/>
                <w:w w:val="99"/>
                <w:sz w:val="18"/>
              </w:rPr>
              <w:t>DP</w:t>
            </w:r>
          </w:p>
        </w:tc>
        <w:tc>
          <w:tcPr>
            <w:tcW w:w="459"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SIP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99"/>
                <w:sz w:val="18"/>
              </w:rPr>
              <w:t>SA</w:t>
            </w:r>
            <w:r>
              <w:rPr>
                <w:b/>
                <w:spacing w:val="-1"/>
                <w:w w:val="99"/>
                <w:sz w:val="18"/>
              </w:rPr>
              <w:t>D</w:t>
            </w:r>
            <w:r>
              <w:rPr>
                <w:b/>
                <w:w w:val="100"/>
                <w:sz w:val="18"/>
              </w:rPr>
              <w:t>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w:t>
            </w:r>
            <w:r>
              <w:rPr>
                <w:b/>
                <w:spacing w:val="-1"/>
                <w:w w:val="100"/>
                <w:sz w:val="18"/>
              </w:rPr>
              <w:t>O</w:t>
            </w:r>
            <w:r>
              <w:rPr>
                <w:b/>
                <w:w w:val="99"/>
                <w:sz w:val="18"/>
              </w:rPr>
              <w:t>DP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SIP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99"/>
                <w:sz w:val="18"/>
              </w:rPr>
              <w:t>SA</w:t>
            </w:r>
            <w:r>
              <w:rPr>
                <w:b/>
                <w:spacing w:val="-1"/>
                <w:w w:val="99"/>
                <w:sz w:val="18"/>
              </w:rPr>
              <w:t>D</w:t>
            </w:r>
            <w:r>
              <w:rPr>
                <w:b/>
                <w:w w:val="100"/>
                <w:sz w:val="18"/>
              </w:rPr>
              <w:t>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w:t>
            </w:r>
            <w:r>
              <w:rPr>
                <w:b/>
                <w:spacing w:val="-1"/>
                <w:w w:val="100"/>
                <w:sz w:val="18"/>
              </w:rPr>
              <w:t>O</w:t>
            </w:r>
            <w:r>
              <w:rPr>
                <w:b/>
                <w:w w:val="99"/>
                <w:sz w:val="18"/>
              </w:rPr>
              <w:t>DP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SIP</w:t>
            </w:r>
          </w:p>
        </w:tc>
        <w:tc>
          <w:tcPr>
            <w:tcW w:w="459"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99"/>
                <w:sz w:val="18"/>
              </w:rPr>
              <w:t>SA</w:t>
            </w:r>
            <w:r>
              <w:rPr>
                <w:b/>
                <w:spacing w:val="-1"/>
                <w:w w:val="99"/>
                <w:sz w:val="18"/>
              </w:rPr>
              <w:t>D</w:t>
            </w:r>
            <w:r>
              <w:rPr>
                <w:b/>
                <w:w w:val="100"/>
                <w:sz w:val="18"/>
              </w:rPr>
              <w:t>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spacing w:val="-1"/>
                <w:w w:val="100"/>
                <w:sz w:val="18"/>
              </w:rPr>
              <w:t>SO</w:t>
            </w:r>
            <w:r>
              <w:rPr>
                <w:b/>
                <w:spacing w:val="-1"/>
                <w:w w:val="99"/>
                <w:sz w:val="18"/>
              </w:rPr>
              <w:t>DP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SIP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99"/>
                <w:sz w:val="18"/>
              </w:rPr>
              <w:t>SA</w:t>
            </w:r>
            <w:r>
              <w:rPr>
                <w:b/>
                <w:spacing w:val="-1"/>
                <w:w w:val="99"/>
                <w:sz w:val="18"/>
              </w:rPr>
              <w:t>D</w:t>
            </w:r>
            <w:r>
              <w:rPr>
                <w:b/>
                <w:w w:val="100"/>
                <w:sz w:val="18"/>
              </w:rPr>
              <w:t>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w:t>
            </w:r>
            <w:r>
              <w:rPr>
                <w:b/>
                <w:spacing w:val="-1"/>
                <w:w w:val="100"/>
                <w:sz w:val="18"/>
              </w:rPr>
              <w:t>O</w:t>
            </w:r>
            <w:r>
              <w:rPr>
                <w:b/>
                <w:w w:val="99"/>
                <w:sz w:val="18"/>
              </w:rPr>
              <w:t>DP</w:t>
            </w:r>
          </w:p>
        </w:tc>
        <w:tc>
          <w:tcPr>
            <w:tcW w:w="542" w:type="dxa"/>
            <w:vMerge/>
            <w:tcBorders>
              <w:left w:val="single" w:sz="4" w:space="0" w:color="000000"/>
              <w:bottom w:val="single" w:sz="4" w:space="0" w:color="000000"/>
            </w:tcBorders>
            <w:shd w:val="clear" w:color="auto" w:fill="D7E3BB"/>
            <w:textDirection w:val="btLr"/>
          </w:tcPr>
          <w:p>
            <w:pPr/>
          </w:p>
        </w:tc>
      </w:tr>
      <w:tr>
        <w:trPr>
          <w:trHeight w:val="326" w:hRule="exact"/>
        </w:trPr>
        <w:tc>
          <w:tcPr>
            <w:tcW w:w="1548" w:type="dxa"/>
            <w:tcBorders>
              <w:bottom w:val="single" w:sz="4" w:space="0" w:color="000000"/>
              <w:right w:val="single" w:sz="4" w:space="0" w:color="000000"/>
            </w:tcBorders>
          </w:tcPr>
          <w:p>
            <w:pPr>
              <w:pStyle w:val="TableParagraph"/>
              <w:spacing w:line="201" w:lineRule="exact"/>
              <w:ind w:left="59"/>
              <w:jc w:val="left"/>
              <w:rPr>
                <w:b/>
                <w:sz w:val="18"/>
              </w:rPr>
            </w:pPr>
            <w:r>
              <w:rPr>
                <w:b/>
                <w:color w:val="333333"/>
                <w:sz w:val="18"/>
              </w:rPr>
              <w:t>ACAMBAY</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4"/>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4"/>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right="171"/>
              <w:jc w:val="right"/>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before="4"/>
              <w:ind w:left="3"/>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4"/>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4"/>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left="172"/>
              <w:jc w:val="lef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4"/>
              <w:ind w:left="48" w:right="44"/>
              <w:rPr>
                <w:sz w:val="18"/>
              </w:rPr>
            </w:pPr>
            <w:r>
              <w:rPr>
                <w:sz w:val="18"/>
              </w:rPr>
              <w:t>37</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right="171"/>
              <w:jc w:val="right"/>
              <w:rPr>
                <w:sz w:val="18"/>
              </w:rPr>
            </w:pPr>
            <w:r>
              <w:rPr>
                <w:w w:val="99"/>
                <w:sz w:val="18"/>
              </w:rPr>
              <w:t>6</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left="4"/>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4"/>
              <w:ind w:right="120"/>
              <w:jc w:val="right"/>
              <w:rPr>
                <w:sz w:val="18"/>
              </w:rPr>
            </w:pPr>
            <w:r>
              <w:rPr>
                <w:w w:val="95"/>
                <w:sz w:val="18"/>
              </w:rPr>
              <w:t>35</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rPr>
                <w:sz w:val="18"/>
              </w:rPr>
            </w:pPr>
            <w:r>
              <w:rPr>
                <w:w w:val="99"/>
                <w:sz w:val="18"/>
              </w:rPr>
              <w:t>4</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4"/>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right="71"/>
              <w:jc w:val="right"/>
              <w:rPr>
                <w:sz w:val="18"/>
              </w:rPr>
            </w:pPr>
            <w:r>
              <w:rPr>
                <w:w w:val="95"/>
                <w:sz w:val="18"/>
              </w:rPr>
              <w:t>178</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left="124"/>
              <w:jc w:val="left"/>
              <w:rPr>
                <w:sz w:val="18"/>
              </w:rPr>
            </w:pPr>
            <w:r>
              <w:rPr>
                <w:sz w:val="18"/>
              </w:rPr>
              <w:t>11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4"/>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left="51" w:right="51"/>
              <w:rPr>
                <w:sz w:val="18"/>
              </w:rPr>
            </w:pPr>
            <w:r>
              <w:rPr>
                <w:sz w:val="18"/>
              </w:rPr>
              <w:t>63</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4"/>
              <w:ind w:right="122"/>
              <w:jc w:val="right"/>
              <w:rPr>
                <w:sz w:val="18"/>
              </w:rPr>
            </w:pPr>
            <w:r>
              <w:rPr>
                <w:w w:val="95"/>
                <w:sz w:val="18"/>
              </w:rPr>
              <w:t>35</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4"/>
              <w:ind w:left="55" w:right="53"/>
              <w:rPr>
                <w:sz w:val="18"/>
              </w:rPr>
            </w:pPr>
            <w:r>
              <w:rPr>
                <w:sz w:val="18"/>
              </w:rPr>
              <w:t>88</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left="51" w:right="51"/>
              <w:rPr>
                <w:sz w:val="18"/>
              </w:rPr>
            </w:pPr>
            <w:r>
              <w:rPr>
                <w:sz w:val="18"/>
              </w:rPr>
              <w:t>38</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8" w:right="44"/>
              <w:rPr>
                <w:b/>
                <w:sz w:val="18"/>
              </w:rPr>
            </w:pPr>
            <w:r>
              <w:rPr>
                <w:b/>
                <w:sz w:val="18"/>
              </w:rPr>
              <w:t>495</w:t>
            </w:r>
          </w:p>
        </w:tc>
      </w:tr>
      <w:tr>
        <w:trPr>
          <w:trHeight w:val="319" w:hRule="exact"/>
        </w:trPr>
        <w:tc>
          <w:tcPr>
            <w:tcW w:w="1548" w:type="dxa"/>
            <w:tcBorders>
              <w:top w:val="single" w:sz="4" w:space="0" w:color="000000"/>
              <w:bottom w:val="single" w:sz="4" w:space="0" w:color="000000"/>
              <w:right w:val="single" w:sz="4" w:space="0" w:color="000000"/>
            </w:tcBorders>
          </w:tcPr>
          <w:p>
            <w:pPr>
              <w:pStyle w:val="TableParagraph"/>
              <w:spacing w:line="201" w:lineRule="exact"/>
              <w:ind w:left="59"/>
              <w:jc w:val="left"/>
              <w:rPr>
                <w:b/>
                <w:sz w:val="18"/>
              </w:rPr>
            </w:pPr>
            <w:r>
              <w:rPr>
                <w:b/>
                <w:color w:val="333333"/>
                <w:sz w:val="18"/>
              </w:rPr>
              <w:t>ACOLMAN</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2"/>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0</w:t>
            </w:r>
          </w:p>
        </w:tc>
      </w:tr>
      <w:tr>
        <w:trPr>
          <w:trHeight w:val="322" w:hRule="exact"/>
        </w:trPr>
        <w:tc>
          <w:tcPr>
            <w:tcW w:w="1548" w:type="dxa"/>
            <w:tcBorders>
              <w:top w:val="single" w:sz="4" w:space="0" w:color="000000"/>
              <w:bottom w:val="single" w:sz="4" w:space="0" w:color="000000"/>
              <w:right w:val="single" w:sz="4" w:space="0" w:color="000000"/>
            </w:tcBorders>
          </w:tcPr>
          <w:p>
            <w:pPr>
              <w:pStyle w:val="TableParagraph"/>
              <w:spacing w:line="202" w:lineRule="exact"/>
              <w:ind w:left="59"/>
              <w:jc w:val="left"/>
              <w:rPr>
                <w:b/>
                <w:sz w:val="18"/>
              </w:rPr>
            </w:pPr>
            <w:r>
              <w:rPr>
                <w:b/>
                <w:color w:val="333333"/>
                <w:sz w:val="18"/>
              </w:rPr>
              <w:t>ACULCO</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1"/>
              <w:jc w:val="right"/>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3"/>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2"/>
              <w:jc w:val="lef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4"/>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20"/>
              <w:jc w:val="right"/>
              <w:rPr>
                <w:sz w:val="18"/>
              </w:rPr>
            </w:pPr>
            <w:r>
              <w:rPr>
                <w:w w:val="95"/>
                <w:sz w:val="18"/>
              </w:rPr>
              <w:t>28</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1"/>
              <w:jc w:val="right"/>
              <w:rPr>
                <w:sz w:val="18"/>
              </w:rPr>
            </w:pPr>
            <w:r>
              <w:rPr>
                <w:w w:val="99"/>
                <w:sz w:val="18"/>
              </w:rPr>
              <w:t>1</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51" w:right="51"/>
              <w:rPr>
                <w:sz w:val="18"/>
              </w:rPr>
            </w:pPr>
            <w:r>
              <w:rPr>
                <w:sz w:val="18"/>
              </w:rPr>
              <w:t>12</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2"/>
              <w:jc w:val="right"/>
              <w:rPr>
                <w:sz w:val="18"/>
              </w:rPr>
            </w:pPr>
            <w:r>
              <w:rPr>
                <w:w w:val="99"/>
                <w:sz w:val="18"/>
              </w:rPr>
              <w:t>1</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55" w:right="53"/>
              <w:rPr>
                <w:sz w:val="18"/>
              </w:rPr>
            </w:pPr>
            <w:r>
              <w:rPr>
                <w:sz w:val="18"/>
              </w:rPr>
              <w:t>10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2</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48" w:right="44"/>
              <w:rPr>
                <w:b/>
                <w:sz w:val="18"/>
              </w:rPr>
            </w:pPr>
            <w:r>
              <w:rPr>
                <w:b/>
                <w:sz w:val="18"/>
              </w:rPr>
              <w:t>54</w:t>
            </w:r>
          </w:p>
        </w:tc>
      </w:tr>
      <w:tr>
        <w:trPr>
          <w:trHeight w:val="631" w:hRule="exact"/>
        </w:trPr>
        <w:tc>
          <w:tcPr>
            <w:tcW w:w="1548" w:type="dxa"/>
            <w:tcBorders>
              <w:top w:val="single" w:sz="4" w:space="0" w:color="000000"/>
              <w:bottom w:val="single" w:sz="4" w:space="0" w:color="000000"/>
              <w:right w:val="single" w:sz="4" w:space="0" w:color="000000"/>
            </w:tcBorders>
          </w:tcPr>
          <w:p>
            <w:pPr>
              <w:pStyle w:val="TableParagraph"/>
              <w:spacing w:line="360" w:lineRule="auto"/>
              <w:ind w:left="59"/>
              <w:jc w:val="left"/>
              <w:rPr>
                <w:b/>
                <w:sz w:val="18"/>
              </w:rPr>
            </w:pPr>
            <w:r>
              <w:rPr>
                <w:b/>
                <w:color w:val="333333"/>
                <w:sz w:val="18"/>
              </w:rPr>
              <w:t>ALMOLOYA DE ALQUISIRAS</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before="155"/>
              <w:ind w:left="3"/>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2"/>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150"/>
              <w:rPr>
                <w:b/>
                <w:sz w:val="18"/>
              </w:rPr>
            </w:pPr>
            <w:r>
              <w:rPr>
                <w:b/>
                <w:w w:val="99"/>
                <w:sz w:val="18"/>
              </w:rPr>
              <w:t>0</w:t>
            </w:r>
          </w:p>
        </w:tc>
      </w:tr>
      <w:tr>
        <w:trPr>
          <w:trHeight w:val="631" w:hRule="exact"/>
        </w:trPr>
        <w:tc>
          <w:tcPr>
            <w:tcW w:w="1548" w:type="dxa"/>
            <w:tcBorders>
              <w:top w:val="single" w:sz="4" w:space="0" w:color="000000"/>
              <w:bottom w:val="single" w:sz="4" w:space="0" w:color="000000"/>
              <w:right w:val="single" w:sz="4" w:space="0" w:color="000000"/>
            </w:tcBorders>
          </w:tcPr>
          <w:p>
            <w:pPr>
              <w:pStyle w:val="TableParagraph"/>
              <w:spacing w:line="360" w:lineRule="auto"/>
              <w:ind w:left="59"/>
              <w:jc w:val="left"/>
              <w:rPr>
                <w:b/>
                <w:sz w:val="18"/>
              </w:rPr>
            </w:pPr>
            <w:r>
              <w:rPr>
                <w:b/>
                <w:color w:val="333333"/>
                <w:sz w:val="18"/>
              </w:rPr>
              <w:t>ALMOLOYA DE JUAREZ</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right="171"/>
              <w:jc w:val="right"/>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before="152"/>
              <w:ind w:left="3"/>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left="172"/>
              <w:jc w:val="lef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152"/>
              <w:ind w:left="48" w:right="44"/>
              <w:rPr>
                <w:sz w:val="18"/>
              </w:rPr>
            </w:pPr>
            <w:r>
              <w:rPr>
                <w:sz w:val="18"/>
              </w:rPr>
              <w:t>81</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left="4"/>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2"/>
              <w:ind w:right="120"/>
              <w:jc w:val="right"/>
              <w:rPr>
                <w:sz w:val="18"/>
              </w:rPr>
            </w:pPr>
            <w:r>
              <w:rPr>
                <w:w w:val="95"/>
                <w:sz w:val="18"/>
              </w:rPr>
              <w:t>88</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rPr>
                <w:sz w:val="18"/>
              </w:rPr>
            </w:pPr>
            <w:r>
              <w:rPr>
                <w:w w:val="99"/>
                <w:sz w:val="18"/>
              </w:rPr>
              <w:t>7</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right="120"/>
              <w:jc w:val="right"/>
              <w:rPr>
                <w:sz w:val="18"/>
              </w:rPr>
            </w:pPr>
            <w:r>
              <w:rPr>
                <w:w w:val="95"/>
                <w:sz w:val="18"/>
              </w:rPr>
              <w:t>79</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left="175"/>
              <w:jc w:val="left"/>
              <w:rPr>
                <w:sz w:val="18"/>
              </w:rPr>
            </w:pPr>
            <w:r>
              <w:rPr>
                <w:w w:val="99"/>
                <w:sz w:val="18"/>
              </w:rPr>
              <w:t>2</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left="51" w:right="51"/>
              <w:rPr>
                <w:sz w:val="18"/>
              </w:rPr>
            </w:pPr>
            <w:r>
              <w:rPr>
                <w:sz w:val="18"/>
              </w:rPr>
              <w:t>22</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2"/>
              <w:ind w:right="172"/>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55" w:right="53"/>
              <w:rPr>
                <w:sz w:val="18"/>
              </w:rPr>
            </w:pPr>
            <w:r>
              <w:rPr>
                <w:sz w:val="18"/>
              </w:rPr>
              <w:t>10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148"/>
              <w:ind w:left="48" w:right="44"/>
              <w:rPr>
                <w:b/>
                <w:sz w:val="18"/>
              </w:rPr>
            </w:pPr>
            <w:r>
              <w:rPr>
                <w:b/>
                <w:sz w:val="18"/>
              </w:rPr>
              <w:t>289</w:t>
            </w:r>
          </w:p>
        </w:tc>
      </w:tr>
      <w:tr>
        <w:trPr>
          <w:trHeight w:val="629" w:hRule="exact"/>
        </w:trPr>
        <w:tc>
          <w:tcPr>
            <w:tcW w:w="1548" w:type="dxa"/>
            <w:tcBorders>
              <w:top w:val="single" w:sz="4" w:space="0" w:color="000000"/>
              <w:bottom w:val="single" w:sz="4" w:space="0" w:color="000000"/>
              <w:right w:val="single" w:sz="4" w:space="0" w:color="000000"/>
            </w:tcBorders>
          </w:tcPr>
          <w:p>
            <w:pPr>
              <w:pStyle w:val="TableParagraph"/>
              <w:spacing w:line="360" w:lineRule="auto"/>
              <w:ind w:left="59" w:right="425"/>
              <w:jc w:val="left"/>
              <w:rPr>
                <w:b/>
                <w:sz w:val="18"/>
              </w:rPr>
            </w:pPr>
            <w:r>
              <w:rPr>
                <w:b/>
                <w:color w:val="333333"/>
                <w:sz w:val="18"/>
              </w:rPr>
              <w:t>ALMOLOYA DEL RIO</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right="171"/>
              <w:jc w:val="right"/>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before="152"/>
              <w:ind w:left="3"/>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left="172"/>
              <w:jc w:val="lef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152"/>
              <w:ind w:left="48" w:right="44"/>
              <w:rPr>
                <w:sz w:val="18"/>
              </w:rPr>
            </w:pPr>
            <w:r>
              <w:rPr>
                <w:sz w:val="18"/>
              </w:rPr>
              <w:t>41</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left="4"/>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2"/>
              <w:ind w:right="120"/>
              <w:jc w:val="right"/>
              <w:rPr>
                <w:sz w:val="18"/>
              </w:rPr>
            </w:pPr>
            <w:r>
              <w:rPr>
                <w:w w:val="95"/>
                <w:sz w:val="18"/>
              </w:rPr>
              <w:t>23</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right="120"/>
              <w:jc w:val="right"/>
              <w:rPr>
                <w:sz w:val="18"/>
              </w:rPr>
            </w:pPr>
            <w:r>
              <w:rPr>
                <w:w w:val="95"/>
                <w:sz w:val="18"/>
              </w:rPr>
              <w:t>21</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rPr>
                <w:sz w:val="18"/>
              </w:rPr>
            </w:pPr>
            <w:r>
              <w:rPr>
                <w:w w:val="99"/>
                <w:sz w:val="18"/>
              </w:rPr>
              <w:t>5</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2"/>
              <w:ind w:right="172"/>
              <w:jc w:val="right"/>
              <w:rPr>
                <w:sz w:val="18"/>
              </w:rPr>
            </w:pPr>
            <w:r>
              <w:rPr>
                <w:w w:val="99"/>
                <w:sz w:val="18"/>
              </w:rPr>
              <w:t>1</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55" w:right="53"/>
              <w:rPr>
                <w:sz w:val="18"/>
              </w:rPr>
            </w:pPr>
            <w:r>
              <w:rPr>
                <w:sz w:val="18"/>
              </w:rPr>
              <w:t>14</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148"/>
              <w:ind w:left="48" w:right="44"/>
              <w:rPr>
                <w:b/>
                <w:sz w:val="18"/>
              </w:rPr>
            </w:pPr>
            <w:r>
              <w:rPr>
                <w:b/>
                <w:sz w:val="18"/>
              </w:rPr>
              <w:t>105</w:t>
            </w:r>
          </w:p>
        </w:tc>
      </w:tr>
      <w:tr>
        <w:trPr>
          <w:trHeight w:val="322" w:hRule="exact"/>
        </w:trPr>
        <w:tc>
          <w:tcPr>
            <w:tcW w:w="1548" w:type="dxa"/>
            <w:tcBorders>
              <w:top w:val="single" w:sz="4" w:space="0" w:color="000000"/>
              <w:bottom w:val="single" w:sz="4" w:space="0" w:color="000000"/>
              <w:right w:val="single" w:sz="4" w:space="0" w:color="000000"/>
            </w:tcBorders>
          </w:tcPr>
          <w:p>
            <w:pPr>
              <w:pStyle w:val="TableParagraph"/>
              <w:spacing w:line="204" w:lineRule="exact"/>
              <w:ind w:left="59"/>
              <w:jc w:val="left"/>
              <w:rPr>
                <w:b/>
                <w:sz w:val="18"/>
              </w:rPr>
            </w:pPr>
            <w:r>
              <w:rPr>
                <w:b/>
                <w:color w:val="333333"/>
                <w:sz w:val="18"/>
              </w:rPr>
              <w:t>AMANALCO</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right="171"/>
              <w:jc w:val="right"/>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before="1"/>
              <w:ind w:left="3"/>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172"/>
              <w:jc w:val="lef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1"/>
              <w:ind w:left="48" w:right="44"/>
              <w:rPr>
                <w:sz w:val="18"/>
              </w:rPr>
            </w:pPr>
            <w:r>
              <w:rPr>
                <w:sz w:val="18"/>
              </w:rPr>
              <w:t>17</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4"/>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
              <w:ind w:right="120"/>
              <w:jc w:val="right"/>
              <w:rPr>
                <w:sz w:val="18"/>
              </w:rPr>
            </w:pPr>
            <w:r>
              <w:rPr>
                <w:w w:val="95"/>
                <w:sz w:val="18"/>
              </w:rPr>
              <w:t>28</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right="120"/>
              <w:jc w:val="right"/>
              <w:rPr>
                <w:sz w:val="18"/>
              </w:rPr>
            </w:pPr>
            <w:r>
              <w:rPr>
                <w:w w:val="95"/>
                <w:sz w:val="18"/>
              </w:rPr>
              <w:t>20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5</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
              <w:ind w:right="172"/>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55" w:right="53"/>
              <w:rPr>
                <w:sz w:val="18"/>
              </w:rPr>
            </w:pPr>
            <w:r>
              <w:rPr>
                <w:sz w:val="18"/>
              </w:rPr>
              <w:t>13</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4"/>
              <w:rPr>
                <w:sz w:val="18"/>
              </w:rPr>
            </w:pPr>
            <w:r>
              <w:rPr>
                <w:w w:val="99"/>
                <w:sz w:val="18"/>
              </w:rPr>
              <w:t>1</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48" w:right="44"/>
              <w:rPr>
                <w:b/>
                <w:sz w:val="18"/>
              </w:rPr>
            </w:pPr>
            <w:r>
              <w:rPr>
                <w:b/>
                <w:sz w:val="18"/>
              </w:rPr>
              <w:t>84</w:t>
            </w:r>
          </w:p>
        </w:tc>
      </w:tr>
      <w:tr>
        <w:trPr>
          <w:trHeight w:val="320" w:hRule="exact"/>
        </w:trPr>
        <w:tc>
          <w:tcPr>
            <w:tcW w:w="1548" w:type="dxa"/>
            <w:tcBorders>
              <w:top w:val="single" w:sz="4" w:space="0" w:color="000000"/>
              <w:bottom w:val="single" w:sz="4" w:space="0" w:color="000000"/>
              <w:right w:val="single" w:sz="4" w:space="0" w:color="000000"/>
            </w:tcBorders>
          </w:tcPr>
          <w:p>
            <w:pPr>
              <w:pStyle w:val="TableParagraph"/>
              <w:spacing w:line="201" w:lineRule="exact"/>
              <w:ind w:left="59"/>
              <w:jc w:val="left"/>
              <w:rPr>
                <w:b/>
                <w:sz w:val="18"/>
              </w:rPr>
            </w:pPr>
            <w:r>
              <w:rPr>
                <w:b/>
                <w:color w:val="333333"/>
                <w:sz w:val="18"/>
              </w:rPr>
              <w:t>AMATEPEC</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7</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2"/>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7</w:t>
            </w:r>
          </w:p>
        </w:tc>
      </w:tr>
      <w:tr>
        <w:trPr>
          <w:trHeight w:val="322" w:hRule="exact"/>
        </w:trPr>
        <w:tc>
          <w:tcPr>
            <w:tcW w:w="1548" w:type="dxa"/>
            <w:tcBorders>
              <w:top w:val="single" w:sz="4" w:space="0" w:color="000000"/>
              <w:bottom w:val="single" w:sz="4" w:space="0" w:color="000000"/>
              <w:right w:val="single" w:sz="4" w:space="0" w:color="000000"/>
            </w:tcBorders>
          </w:tcPr>
          <w:p>
            <w:pPr>
              <w:pStyle w:val="TableParagraph"/>
              <w:spacing w:line="204" w:lineRule="exact"/>
              <w:ind w:left="59"/>
              <w:jc w:val="left"/>
              <w:rPr>
                <w:b/>
                <w:sz w:val="18"/>
              </w:rPr>
            </w:pPr>
            <w:r>
              <w:rPr>
                <w:b/>
                <w:color w:val="333333"/>
                <w:sz w:val="18"/>
              </w:rPr>
              <w:t>AMECAMECA</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right="171"/>
              <w:jc w:val="right"/>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before="1"/>
              <w:ind w:left="3"/>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172"/>
              <w:jc w:val="lef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4"/>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
              <w:ind w:right="172"/>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rPr>
                <w:b/>
                <w:sz w:val="18"/>
              </w:rPr>
            </w:pPr>
            <w:r>
              <w:rPr>
                <w:b/>
                <w:w w:val="99"/>
                <w:sz w:val="18"/>
              </w:rPr>
              <w:t>0</w:t>
            </w:r>
          </w:p>
        </w:tc>
      </w:tr>
      <w:tr>
        <w:trPr>
          <w:trHeight w:val="322" w:hRule="exact"/>
        </w:trPr>
        <w:tc>
          <w:tcPr>
            <w:tcW w:w="1548" w:type="dxa"/>
            <w:tcBorders>
              <w:top w:val="single" w:sz="4" w:space="0" w:color="000000"/>
              <w:bottom w:val="single" w:sz="4" w:space="0" w:color="000000"/>
              <w:right w:val="single" w:sz="4" w:space="0" w:color="000000"/>
            </w:tcBorders>
          </w:tcPr>
          <w:p>
            <w:pPr>
              <w:pStyle w:val="TableParagraph"/>
              <w:spacing w:line="201" w:lineRule="exact"/>
              <w:ind w:left="59"/>
              <w:jc w:val="left"/>
              <w:rPr>
                <w:b/>
                <w:sz w:val="18"/>
              </w:rPr>
            </w:pPr>
            <w:r>
              <w:rPr>
                <w:b/>
                <w:color w:val="333333"/>
                <w:sz w:val="18"/>
              </w:rPr>
              <w:t>APAXCO</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2"/>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0</w:t>
            </w:r>
          </w:p>
        </w:tc>
      </w:tr>
      <w:tr>
        <w:trPr>
          <w:trHeight w:val="319" w:hRule="exact"/>
        </w:trPr>
        <w:tc>
          <w:tcPr>
            <w:tcW w:w="1548" w:type="dxa"/>
            <w:tcBorders>
              <w:top w:val="single" w:sz="4" w:space="0" w:color="000000"/>
              <w:bottom w:val="single" w:sz="4" w:space="0" w:color="000000"/>
              <w:right w:val="single" w:sz="4" w:space="0" w:color="000000"/>
            </w:tcBorders>
          </w:tcPr>
          <w:p>
            <w:pPr>
              <w:pStyle w:val="TableParagraph"/>
              <w:spacing w:line="201" w:lineRule="exact"/>
              <w:ind w:left="59"/>
              <w:jc w:val="left"/>
              <w:rPr>
                <w:b/>
                <w:sz w:val="18"/>
              </w:rPr>
            </w:pPr>
            <w:r>
              <w:rPr>
                <w:b/>
                <w:color w:val="333333"/>
                <w:sz w:val="18"/>
              </w:rPr>
              <w:t>ATENCO</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2"/>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0</w:t>
            </w:r>
          </w:p>
        </w:tc>
      </w:tr>
      <w:tr>
        <w:trPr>
          <w:trHeight w:val="322" w:hRule="exact"/>
        </w:trPr>
        <w:tc>
          <w:tcPr>
            <w:tcW w:w="1548" w:type="dxa"/>
            <w:tcBorders>
              <w:top w:val="single" w:sz="4" w:space="0" w:color="000000"/>
              <w:bottom w:val="single" w:sz="4" w:space="0" w:color="000000"/>
              <w:right w:val="single" w:sz="4" w:space="0" w:color="000000"/>
            </w:tcBorders>
          </w:tcPr>
          <w:p>
            <w:pPr>
              <w:pStyle w:val="TableParagraph"/>
              <w:spacing w:line="201" w:lineRule="exact"/>
              <w:ind w:left="59"/>
              <w:jc w:val="left"/>
              <w:rPr>
                <w:b/>
                <w:sz w:val="18"/>
              </w:rPr>
            </w:pPr>
            <w:r>
              <w:rPr>
                <w:b/>
                <w:color w:val="333333"/>
                <w:sz w:val="18"/>
              </w:rPr>
              <w:t>ATIZAPAN</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4</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2"/>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4</w:t>
            </w:r>
          </w:p>
        </w:tc>
      </w:tr>
      <w:tr>
        <w:trPr>
          <w:trHeight w:val="631" w:hRule="exact"/>
        </w:trPr>
        <w:tc>
          <w:tcPr>
            <w:tcW w:w="1548" w:type="dxa"/>
            <w:tcBorders>
              <w:top w:val="single" w:sz="4" w:space="0" w:color="000000"/>
              <w:bottom w:val="single" w:sz="4" w:space="0" w:color="000000"/>
              <w:right w:val="single" w:sz="4" w:space="0" w:color="000000"/>
            </w:tcBorders>
          </w:tcPr>
          <w:p>
            <w:pPr>
              <w:pStyle w:val="TableParagraph"/>
              <w:tabs>
                <w:tab w:pos="1218" w:val="left" w:leader="none"/>
              </w:tabs>
              <w:spacing w:line="360" w:lineRule="auto"/>
              <w:ind w:left="59" w:right="63"/>
              <w:jc w:val="left"/>
              <w:rPr>
                <w:b/>
                <w:sz w:val="18"/>
              </w:rPr>
            </w:pPr>
            <w:r>
              <w:rPr>
                <w:b/>
                <w:color w:val="333333"/>
                <w:sz w:val="18"/>
              </w:rPr>
              <w:t>ATIZAPAN</w:t>
              <w:tab/>
              <w:t>DE ZARAGOZA</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right="171"/>
              <w:jc w:val="right"/>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before="152"/>
              <w:ind w:left="3"/>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left="172"/>
              <w:jc w:val="lef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152"/>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left="4"/>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2"/>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right="71"/>
              <w:jc w:val="right"/>
              <w:rPr>
                <w:sz w:val="18"/>
              </w:rPr>
            </w:pPr>
            <w:r>
              <w:rPr>
                <w:w w:val="95"/>
                <w:sz w:val="18"/>
              </w:rPr>
              <w:t>365</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left="175"/>
              <w:jc w:val="left"/>
              <w:rPr>
                <w:sz w:val="18"/>
              </w:rPr>
            </w:pPr>
            <w:r>
              <w:rPr>
                <w:w w:val="99"/>
                <w:sz w:val="18"/>
              </w:rPr>
              <w:t>6</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right="171"/>
              <w:jc w:val="right"/>
              <w:rPr>
                <w:sz w:val="18"/>
              </w:rPr>
            </w:pPr>
            <w:r>
              <w:rPr>
                <w:w w:val="99"/>
                <w:sz w:val="18"/>
              </w:rPr>
              <w:t>2</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left="51" w:right="51"/>
              <w:rPr>
                <w:sz w:val="18"/>
              </w:rPr>
            </w:pPr>
            <w:r>
              <w:rPr>
                <w:sz w:val="18"/>
              </w:rPr>
              <w:t>17</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2"/>
              <w:ind w:right="172"/>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148"/>
              <w:ind w:left="48" w:right="44"/>
              <w:rPr>
                <w:b/>
                <w:sz w:val="18"/>
              </w:rPr>
            </w:pPr>
            <w:r>
              <w:rPr>
                <w:b/>
                <w:sz w:val="18"/>
              </w:rPr>
              <w:t>390</w:t>
            </w:r>
          </w:p>
        </w:tc>
      </w:tr>
      <w:tr>
        <w:trPr>
          <w:trHeight w:val="319" w:hRule="exact"/>
        </w:trPr>
        <w:tc>
          <w:tcPr>
            <w:tcW w:w="1548" w:type="dxa"/>
            <w:tcBorders>
              <w:top w:val="single" w:sz="4" w:space="0" w:color="000000"/>
              <w:bottom w:val="single" w:sz="4" w:space="0" w:color="000000"/>
              <w:right w:val="single" w:sz="4" w:space="0" w:color="000000"/>
            </w:tcBorders>
          </w:tcPr>
          <w:p>
            <w:pPr>
              <w:pStyle w:val="TableParagraph"/>
              <w:spacing w:line="201" w:lineRule="exact"/>
              <w:ind w:left="59"/>
              <w:jc w:val="left"/>
              <w:rPr>
                <w:b/>
                <w:sz w:val="18"/>
              </w:rPr>
            </w:pPr>
            <w:r>
              <w:rPr>
                <w:b/>
                <w:color w:val="333333"/>
                <w:sz w:val="18"/>
              </w:rPr>
              <w:t>ATLACOMULCO</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2"/>
              <w:jc w:val="left"/>
              <w:rPr>
                <w:sz w:val="18"/>
              </w:rPr>
            </w:pPr>
            <w:r>
              <w:rPr>
                <w:sz w:val="18"/>
              </w:rPr>
              <w:t>50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1</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8" w:right="44"/>
              <w:rPr>
                <w:sz w:val="18"/>
              </w:rPr>
            </w:pPr>
            <w:r>
              <w:rPr>
                <w:sz w:val="18"/>
              </w:rPr>
              <w:t>42</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4</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20"/>
              <w:jc w:val="right"/>
              <w:rPr>
                <w:sz w:val="18"/>
              </w:rPr>
            </w:pPr>
            <w:r>
              <w:rPr>
                <w:w w:val="95"/>
                <w:sz w:val="18"/>
              </w:rPr>
              <w:t>35</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20"/>
              <w:jc w:val="right"/>
              <w:rPr>
                <w:sz w:val="18"/>
              </w:rPr>
            </w:pPr>
            <w:r>
              <w:rPr>
                <w:w w:val="95"/>
                <w:sz w:val="18"/>
              </w:rPr>
              <w:t>37</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1" w:right="51"/>
              <w:rPr>
                <w:sz w:val="18"/>
              </w:rPr>
            </w:pPr>
            <w:r>
              <w:rPr>
                <w:sz w:val="18"/>
              </w:rPr>
              <w:t>36</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2"/>
              <w:jc w:val="right"/>
              <w:rPr>
                <w:sz w:val="18"/>
              </w:rPr>
            </w:pPr>
            <w:r>
              <w:rPr>
                <w:w w:val="99"/>
                <w:sz w:val="18"/>
              </w:rPr>
              <w:t>2</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5" w:right="53"/>
              <w:rPr>
                <w:sz w:val="18"/>
              </w:rPr>
            </w:pPr>
            <w:r>
              <w:rPr>
                <w:sz w:val="18"/>
              </w:rPr>
              <w:t>16</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48" w:right="44"/>
              <w:rPr>
                <w:b/>
                <w:sz w:val="18"/>
              </w:rPr>
            </w:pPr>
            <w:r>
              <w:rPr>
                <w:b/>
                <w:sz w:val="18"/>
              </w:rPr>
              <w:t>225</w:t>
            </w:r>
          </w:p>
        </w:tc>
      </w:tr>
      <w:tr>
        <w:trPr>
          <w:trHeight w:val="322" w:hRule="exact"/>
        </w:trPr>
        <w:tc>
          <w:tcPr>
            <w:tcW w:w="1548" w:type="dxa"/>
            <w:tcBorders>
              <w:top w:val="single" w:sz="4" w:space="0" w:color="000000"/>
              <w:bottom w:val="single" w:sz="4" w:space="0" w:color="000000"/>
              <w:right w:val="single" w:sz="4" w:space="0" w:color="000000"/>
            </w:tcBorders>
          </w:tcPr>
          <w:p>
            <w:pPr>
              <w:pStyle w:val="TableParagraph"/>
              <w:spacing w:line="201" w:lineRule="exact"/>
              <w:ind w:left="59"/>
              <w:jc w:val="left"/>
              <w:rPr>
                <w:b/>
                <w:sz w:val="18"/>
              </w:rPr>
            </w:pPr>
            <w:r>
              <w:rPr>
                <w:b/>
                <w:color w:val="333333"/>
                <w:sz w:val="18"/>
              </w:rPr>
              <w:t>ATLAUTLA</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5</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20"/>
              <w:jc w:val="right"/>
              <w:rPr>
                <w:sz w:val="18"/>
              </w:rPr>
            </w:pPr>
            <w:r>
              <w:rPr>
                <w:w w:val="95"/>
                <w:sz w:val="18"/>
              </w:rPr>
              <w:t>25</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20"/>
              <w:jc w:val="right"/>
              <w:rPr>
                <w:sz w:val="18"/>
              </w:rPr>
            </w:pPr>
            <w:r>
              <w:rPr>
                <w:w w:val="95"/>
                <w:sz w:val="18"/>
              </w:rPr>
              <w:t>24</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2"/>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48" w:right="44"/>
              <w:rPr>
                <w:b/>
                <w:sz w:val="18"/>
              </w:rPr>
            </w:pPr>
            <w:r>
              <w:rPr>
                <w:b/>
                <w:sz w:val="18"/>
              </w:rPr>
              <w:t>54</w:t>
            </w:r>
          </w:p>
        </w:tc>
      </w:tr>
      <w:tr>
        <w:trPr>
          <w:trHeight w:val="319" w:hRule="exact"/>
        </w:trPr>
        <w:tc>
          <w:tcPr>
            <w:tcW w:w="1548" w:type="dxa"/>
            <w:tcBorders>
              <w:top w:val="single" w:sz="4" w:space="0" w:color="000000"/>
              <w:bottom w:val="single" w:sz="4" w:space="0" w:color="000000"/>
              <w:right w:val="single" w:sz="4" w:space="0" w:color="000000"/>
            </w:tcBorders>
          </w:tcPr>
          <w:p>
            <w:pPr>
              <w:pStyle w:val="TableParagraph"/>
              <w:spacing w:line="201" w:lineRule="exact"/>
              <w:ind w:left="59"/>
              <w:jc w:val="left"/>
              <w:rPr>
                <w:b/>
                <w:sz w:val="18"/>
              </w:rPr>
            </w:pPr>
            <w:r>
              <w:rPr>
                <w:b/>
                <w:color w:val="333333"/>
                <w:sz w:val="18"/>
              </w:rPr>
              <w:t>AXAPUSCO</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2"/>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0</w:t>
            </w:r>
          </w:p>
        </w:tc>
      </w:tr>
      <w:tr>
        <w:trPr>
          <w:trHeight w:val="322" w:hRule="exact"/>
        </w:trPr>
        <w:tc>
          <w:tcPr>
            <w:tcW w:w="1548" w:type="dxa"/>
            <w:tcBorders>
              <w:top w:val="single" w:sz="4" w:space="0" w:color="000000"/>
              <w:bottom w:val="single" w:sz="4" w:space="0" w:color="000000"/>
              <w:right w:val="single" w:sz="4" w:space="0" w:color="000000"/>
            </w:tcBorders>
          </w:tcPr>
          <w:p>
            <w:pPr>
              <w:pStyle w:val="TableParagraph"/>
              <w:spacing w:line="201" w:lineRule="exact"/>
              <w:ind w:left="59"/>
              <w:jc w:val="left"/>
              <w:rPr>
                <w:b/>
                <w:sz w:val="18"/>
              </w:rPr>
            </w:pPr>
            <w:r>
              <w:rPr>
                <w:b/>
                <w:color w:val="333333"/>
                <w:sz w:val="18"/>
              </w:rPr>
              <w:t>AYAPANGO</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2"/>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0</w:t>
            </w:r>
          </w:p>
        </w:tc>
      </w:tr>
    </w:tbl>
    <w:p>
      <w:pPr>
        <w:spacing w:after="0" w:line="201" w:lineRule="exact"/>
        <w:rPr>
          <w:sz w:val="18"/>
        </w:rPr>
        <w:sectPr>
          <w:pgSz w:w="15840" w:h="12240" w:orient="landscape"/>
          <w:pgMar w:header="0" w:footer="975" w:top="1140" w:bottom="1160" w:left="1380" w:right="1060"/>
        </w:sectPr>
      </w:pPr>
    </w:p>
    <w:p>
      <w:pPr>
        <w:pStyle w:val="BodyText"/>
        <w:rPr>
          <w:rFonts w:ascii="Times New Roman"/>
          <w:sz w:val="20"/>
        </w:rPr>
      </w:pPr>
    </w:p>
    <w:p>
      <w:pPr>
        <w:pStyle w:val="BodyText"/>
        <w:spacing w:before="10"/>
        <w:rPr>
          <w:rFonts w:ascii="Times New Roman"/>
          <w:sz w:val="28"/>
        </w:rPr>
      </w:pPr>
    </w:p>
    <w:tbl>
      <w:tblPr>
        <w:tblW w:w="0" w:type="auto"/>
        <w:jc w:val="left"/>
        <w:tblInd w:w="1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620"/>
        <w:gridCol w:w="456"/>
        <w:gridCol w:w="456"/>
        <w:gridCol w:w="458"/>
        <w:gridCol w:w="456"/>
        <w:gridCol w:w="459"/>
        <w:gridCol w:w="456"/>
        <w:gridCol w:w="456"/>
        <w:gridCol w:w="458"/>
        <w:gridCol w:w="456"/>
        <w:gridCol w:w="533"/>
        <w:gridCol w:w="458"/>
        <w:gridCol w:w="456"/>
        <w:gridCol w:w="458"/>
        <w:gridCol w:w="456"/>
        <w:gridCol w:w="456"/>
        <w:gridCol w:w="458"/>
        <w:gridCol w:w="456"/>
        <w:gridCol w:w="458"/>
        <w:gridCol w:w="456"/>
        <w:gridCol w:w="459"/>
        <w:gridCol w:w="456"/>
        <w:gridCol w:w="456"/>
        <w:gridCol w:w="458"/>
        <w:gridCol w:w="456"/>
        <w:gridCol w:w="542"/>
      </w:tblGrid>
      <w:tr>
        <w:trPr>
          <w:trHeight w:val="330" w:hRule="exact"/>
        </w:trPr>
        <w:tc>
          <w:tcPr>
            <w:tcW w:w="13207" w:type="dxa"/>
            <w:gridSpan w:val="26"/>
            <w:shd w:val="clear" w:color="auto" w:fill="92D050"/>
          </w:tcPr>
          <w:p>
            <w:pPr>
              <w:pStyle w:val="TableParagraph"/>
              <w:spacing w:line="201" w:lineRule="exact"/>
              <w:ind w:left="2275"/>
              <w:jc w:val="left"/>
              <w:rPr>
                <w:b/>
                <w:sz w:val="18"/>
              </w:rPr>
            </w:pPr>
            <w:r>
              <w:rPr>
                <w:b/>
                <w:sz w:val="18"/>
              </w:rPr>
              <w:t>Anexo 21. Municipios que publican apartado de solicitudes de información 2008-2015 (Continuación)</w:t>
            </w:r>
          </w:p>
        </w:tc>
      </w:tr>
      <w:tr>
        <w:trPr>
          <w:trHeight w:val="330" w:hRule="exact"/>
        </w:trPr>
        <w:tc>
          <w:tcPr>
            <w:tcW w:w="1620" w:type="dxa"/>
            <w:vMerge w:val="restart"/>
            <w:tcBorders>
              <w:right w:val="single" w:sz="4" w:space="0" w:color="000000"/>
            </w:tcBorders>
            <w:shd w:val="clear" w:color="auto" w:fill="C5DFB3"/>
          </w:tcPr>
          <w:p>
            <w:pPr>
              <w:pStyle w:val="TableParagraph"/>
              <w:jc w:val="left"/>
              <w:rPr>
                <w:rFonts w:ascii="Times New Roman"/>
                <w:sz w:val="18"/>
              </w:rPr>
            </w:pPr>
          </w:p>
          <w:p>
            <w:pPr>
              <w:pStyle w:val="TableParagraph"/>
              <w:spacing w:before="2"/>
              <w:jc w:val="left"/>
              <w:rPr>
                <w:rFonts w:ascii="Times New Roman"/>
                <w:sz w:val="20"/>
              </w:rPr>
            </w:pPr>
          </w:p>
          <w:p>
            <w:pPr>
              <w:pStyle w:val="TableParagraph"/>
              <w:ind w:left="379" w:right="65"/>
              <w:jc w:val="left"/>
              <w:rPr>
                <w:b/>
                <w:sz w:val="18"/>
              </w:rPr>
            </w:pPr>
            <w:r>
              <w:rPr>
                <w:b/>
                <w:sz w:val="18"/>
              </w:rPr>
              <w:t>Municipio</w:t>
            </w:r>
          </w:p>
        </w:tc>
        <w:tc>
          <w:tcPr>
            <w:tcW w:w="1370" w:type="dxa"/>
            <w:gridSpan w:val="3"/>
            <w:tcBorders>
              <w:top w:val="single" w:sz="4" w:space="0" w:color="000000"/>
              <w:left w:val="single" w:sz="4" w:space="0" w:color="000000"/>
              <w:right w:val="single" w:sz="4" w:space="0" w:color="000000"/>
            </w:tcBorders>
            <w:shd w:val="clear" w:color="auto" w:fill="D7E3BB"/>
          </w:tcPr>
          <w:p>
            <w:pPr>
              <w:pStyle w:val="TableParagraph"/>
              <w:ind w:left="350" w:right="348"/>
              <w:rPr>
                <w:b/>
                <w:sz w:val="18"/>
              </w:rPr>
            </w:pPr>
            <w:r>
              <w:rPr>
                <w:b/>
                <w:sz w:val="18"/>
              </w:rPr>
              <w:t>2008</w:t>
            </w:r>
          </w:p>
        </w:tc>
        <w:tc>
          <w:tcPr>
            <w:tcW w:w="1371" w:type="dxa"/>
            <w:gridSpan w:val="3"/>
            <w:tcBorders>
              <w:top w:val="single" w:sz="4" w:space="0" w:color="000000"/>
              <w:left w:val="single" w:sz="4" w:space="0" w:color="000000"/>
              <w:right w:val="single" w:sz="4" w:space="0" w:color="000000"/>
            </w:tcBorders>
            <w:shd w:val="clear" w:color="auto" w:fill="D7E3BB"/>
          </w:tcPr>
          <w:p>
            <w:pPr>
              <w:pStyle w:val="TableParagraph"/>
              <w:ind w:left="458" w:right="457"/>
              <w:rPr>
                <w:b/>
                <w:sz w:val="18"/>
              </w:rPr>
            </w:pPr>
            <w:r>
              <w:rPr>
                <w:b/>
                <w:sz w:val="18"/>
              </w:rPr>
              <w:t>2009</w:t>
            </w:r>
          </w:p>
        </w:tc>
        <w:tc>
          <w:tcPr>
            <w:tcW w:w="1370" w:type="dxa"/>
            <w:gridSpan w:val="3"/>
            <w:tcBorders>
              <w:top w:val="single" w:sz="4" w:space="0" w:color="000000"/>
              <w:left w:val="single" w:sz="4" w:space="0" w:color="000000"/>
              <w:right w:val="single" w:sz="4" w:space="0" w:color="000000"/>
            </w:tcBorders>
            <w:shd w:val="clear" w:color="auto" w:fill="D7E3BB"/>
          </w:tcPr>
          <w:p>
            <w:pPr>
              <w:pStyle w:val="TableParagraph"/>
              <w:ind w:left="350" w:right="343"/>
              <w:rPr>
                <w:b/>
                <w:sz w:val="18"/>
              </w:rPr>
            </w:pPr>
            <w:r>
              <w:rPr>
                <w:b/>
                <w:sz w:val="18"/>
              </w:rPr>
              <w:t>2010</w:t>
            </w:r>
          </w:p>
        </w:tc>
        <w:tc>
          <w:tcPr>
            <w:tcW w:w="1448" w:type="dxa"/>
            <w:gridSpan w:val="3"/>
            <w:tcBorders>
              <w:top w:val="single" w:sz="4" w:space="0" w:color="000000"/>
              <w:left w:val="single" w:sz="4" w:space="0" w:color="000000"/>
              <w:right w:val="single" w:sz="4" w:space="0" w:color="000000"/>
            </w:tcBorders>
            <w:shd w:val="clear" w:color="auto" w:fill="D7E3BB"/>
          </w:tcPr>
          <w:p>
            <w:pPr>
              <w:pStyle w:val="TableParagraph"/>
              <w:ind w:left="501" w:right="495"/>
              <w:rPr>
                <w:b/>
                <w:sz w:val="18"/>
              </w:rPr>
            </w:pPr>
            <w:r>
              <w:rPr>
                <w:b/>
                <w:sz w:val="18"/>
              </w:rPr>
              <w:t>2011</w:t>
            </w:r>
          </w:p>
        </w:tc>
        <w:tc>
          <w:tcPr>
            <w:tcW w:w="1370" w:type="dxa"/>
            <w:gridSpan w:val="3"/>
            <w:tcBorders>
              <w:top w:val="single" w:sz="4" w:space="0" w:color="000000"/>
              <w:left w:val="single" w:sz="4" w:space="0" w:color="000000"/>
              <w:right w:val="single" w:sz="4" w:space="0" w:color="000000"/>
            </w:tcBorders>
            <w:shd w:val="clear" w:color="auto" w:fill="D7E3BB"/>
          </w:tcPr>
          <w:p>
            <w:pPr>
              <w:pStyle w:val="TableParagraph"/>
              <w:ind w:left="350" w:right="343"/>
              <w:rPr>
                <w:b/>
                <w:sz w:val="18"/>
              </w:rPr>
            </w:pPr>
            <w:r>
              <w:rPr>
                <w:b/>
                <w:sz w:val="18"/>
              </w:rPr>
              <w:t>2012</w:t>
            </w:r>
          </w:p>
        </w:tc>
        <w:tc>
          <w:tcPr>
            <w:tcW w:w="1373" w:type="dxa"/>
            <w:gridSpan w:val="3"/>
            <w:tcBorders>
              <w:top w:val="single" w:sz="4" w:space="0" w:color="000000"/>
              <w:left w:val="single" w:sz="4" w:space="0" w:color="000000"/>
              <w:right w:val="single" w:sz="4" w:space="0" w:color="000000"/>
            </w:tcBorders>
            <w:shd w:val="clear" w:color="auto" w:fill="D7E3BB"/>
          </w:tcPr>
          <w:p>
            <w:pPr>
              <w:pStyle w:val="TableParagraph"/>
              <w:ind w:left="463" w:right="459"/>
              <w:rPr>
                <w:b/>
                <w:sz w:val="18"/>
              </w:rPr>
            </w:pPr>
            <w:r>
              <w:rPr>
                <w:b/>
                <w:sz w:val="18"/>
              </w:rPr>
              <w:t>2013</w:t>
            </w:r>
          </w:p>
        </w:tc>
        <w:tc>
          <w:tcPr>
            <w:tcW w:w="1371" w:type="dxa"/>
            <w:gridSpan w:val="3"/>
            <w:tcBorders>
              <w:top w:val="single" w:sz="4" w:space="0" w:color="000000"/>
              <w:left w:val="single" w:sz="4" w:space="0" w:color="000000"/>
              <w:right w:val="single" w:sz="4" w:space="0" w:color="000000"/>
            </w:tcBorders>
            <w:shd w:val="clear" w:color="auto" w:fill="D7E3BB"/>
          </w:tcPr>
          <w:p>
            <w:pPr>
              <w:pStyle w:val="TableParagraph"/>
              <w:ind w:left="458" w:right="457"/>
              <w:rPr>
                <w:b/>
                <w:sz w:val="18"/>
              </w:rPr>
            </w:pPr>
            <w:r>
              <w:rPr>
                <w:b/>
                <w:sz w:val="18"/>
              </w:rPr>
              <w:t>2014</w:t>
            </w:r>
          </w:p>
        </w:tc>
        <w:tc>
          <w:tcPr>
            <w:tcW w:w="1370" w:type="dxa"/>
            <w:gridSpan w:val="3"/>
            <w:tcBorders>
              <w:top w:val="single" w:sz="4" w:space="0" w:color="000000"/>
              <w:left w:val="single" w:sz="4" w:space="0" w:color="000000"/>
              <w:right w:val="single" w:sz="4" w:space="0" w:color="000000"/>
            </w:tcBorders>
            <w:shd w:val="clear" w:color="auto" w:fill="D7E3BB"/>
          </w:tcPr>
          <w:p>
            <w:pPr>
              <w:pStyle w:val="TableParagraph"/>
              <w:ind w:left="350" w:right="343"/>
              <w:rPr>
                <w:b/>
                <w:sz w:val="18"/>
              </w:rPr>
            </w:pPr>
            <w:r>
              <w:rPr>
                <w:b/>
                <w:sz w:val="18"/>
              </w:rPr>
              <w:t>2015</w:t>
            </w:r>
          </w:p>
        </w:tc>
        <w:tc>
          <w:tcPr>
            <w:tcW w:w="542" w:type="dxa"/>
            <w:vMerge w:val="restart"/>
            <w:tcBorders>
              <w:top w:val="single" w:sz="4" w:space="0" w:color="000000"/>
              <w:left w:val="single" w:sz="4" w:space="0" w:color="000000"/>
            </w:tcBorders>
            <w:shd w:val="clear" w:color="auto" w:fill="D7E3BB"/>
            <w:textDirection w:val="btLr"/>
          </w:tcPr>
          <w:p>
            <w:pPr>
              <w:pStyle w:val="TableParagraph"/>
              <w:spacing w:before="107"/>
              <w:ind w:left="117"/>
              <w:jc w:val="left"/>
              <w:rPr>
                <w:b/>
                <w:sz w:val="18"/>
              </w:rPr>
            </w:pPr>
            <w:r>
              <w:rPr>
                <w:b/>
                <w:w w:val="100"/>
                <w:sz w:val="18"/>
              </w:rPr>
              <w:t>T</w:t>
            </w:r>
            <w:r>
              <w:rPr>
                <w:b/>
                <w:sz w:val="18"/>
              </w:rPr>
              <w:t>ot</w:t>
            </w:r>
            <w:r>
              <w:rPr>
                <w:b/>
                <w:spacing w:val="1"/>
                <w:sz w:val="18"/>
              </w:rPr>
              <w:t>a</w:t>
            </w:r>
            <w:r>
              <w:rPr>
                <w:b/>
                <w:w w:val="100"/>
                <w:sz w:val="18"/>
              </w:rPr>
              <w:t>l</w:t>
            </w:r>
          </w:p>
        </w:tc>
      </w:tr>
      <w:tr>
        <w:trPr>
          <w:trHeight w:val="890" w:hRule="exact"/>
        </w:trPr>
        <w:tc>
          <w:tcPr>
            <w:tcW w:w="1620" w:type="dxa"/>
            <w:vMerge/>
            <w:tcBorders>
              <w:right w:val="single" w:sz="4" w:space="0" w:color="000000"/>
            </w:tcBorders>
            <w:shd w:val="clear" w:color="auto" w:fill="C5DFB3"/>
          </w:tcPr>
          <w:p>
            <w:pP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SIP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99"/>
                <w:sz w:val="18"/>
              </w:rPr>
              <w:t>SA</w:t>
            </w:r>
            <w:r>
              <w:rPr>
                <w:b/>
                <w:spacing w:val="-1"/>
                <w:w w:val="99"/>
                <w:sz w:val="18"/>
              </w:rPr>
              <w:t>D</w:t>
            </w:r>
            <w:r>
              <w:rPr>
                <w:b/>
                <w:w w:val="100"/>
                <w:sz w:val="18"/>
              </w:rPr>
              <w:t>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w:t>
            </w:r>
            <w:r>
              <w:rPr>
                <w:b/>
                <w:spacing w:val="-1"/>
                <w:w w:val="100"/>
                <w:sz w:val="18"/>
              </w:rPr>
              <w:t>O</w:t>
            </w:r>
            <w:r>
              <w:rPr>
                <w:b/>
                <w:w w:val="99"/>
                <w:sz w:val="18"/>
              </w:rPr>
              <w:t>DP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SIP</w:t>
            </w:r>
          </w:p>
        </w:tc>
        <w:tc>
          <w:tcPr>
            <w:tcW w:w="459"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7"/>
              <w:ind w:left="4"/>
              <w:jc w:val="left"/>
              <w:rPr>
                <w:b/>
                <w:sz w:val="18"/>
              </w:rPr>
            </w:pPr>
            <w:r>
              <w:rPr>
                <w:b/>
                <w:w w:val="99"/>
                <w:sz w:val="18"/>
              </w:rPr>
              <w:t>SA</w:t>
            </w:r>
            <w:r>
              <w:rPr>
                <w:b/>
                <w:spacing w:val="-1"/>
                <w:w w:val="99"/>
                <w:sz w:val="18"/>
              </w:rPr>
              <w:t>D</w:t>
            </w:r>
            <w:r>
              <w:rPr>
                <w:b/>
                <w:w w:val="100"/>
                <w:sz w:val="18"/>
              </w:rPr>
              <w:t>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w:t>
            </w:r>
            <w:r>
              <w:rPr>
                <w:b/>
                <w:spacing w:val="-1"/>
                <w:w w:val="100"/>
                <w:sz w:val="18"/>
              </w:rPr>
              <w:t>O</w:t>
            </w:r>
            <w:r>
              <w:rPr>
                <w:b/>
                <w:w w:val="99"/>
                <w:sz w:val="18"/>
              </w:rPr>
              <w:t>DP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SIP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99"/>
                <w:sz w:val="18"/>
              </w:rPr>
              <w:t>SA</w:t>
            </w:r>
            <w:r>
              <w:rPr>
                <w:b/>
                <w:spacing w:val="-1"/>
                <w:w w:val="99"/>
                <w:sz w:val="18"/>
              </w:rPr>
              <w:t>D</w:t>
            </w:r>
            <w:r>
              <w:rPr>
                <w:b/>
                <w:w w:val="100"/>
                <w:sz w:val="18"/>
              </w:rPr>
              <w:t>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w:t>
            </w:r>
            <w:r>
              <w:rPr>
                <w:b/>
                <w:spacing w:val="-1"/>
                <w:w w:val="100"/>
                <w:sz w:val="18"/>
              </w:rPr>
              <w:t>O</w:t>
            </w:r>
            <w:r>
              <w:rPr>
                <w:b/>
                <w:w w:val="99"/>
                <w:sz w:val="18"/>
              </w:rPr>
              <w:t>DP</w:t>
            </w:r>
          </w:p>
        </w:tc>
        <w:tc>
          <w:tcPr>
            <w:tcW w:w="533"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140"/>
              <w:ind w:left="4"/>
              <w:jc w:val="left"/>
              <w:rPr>
                <w:b/>
                <w:sz w:val="18"/>
              </w:rPr>
            </w:pPr>
            <w:r>
              <w:rPr>
                <w:b/>
                <w:w w:val="100"/>
                <w:sz w:val="18"/>
              </w:rPr>
              <w:t>SIP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99"/>
                <w:sz w:val="18"/>
              </w:rPr>
              <w:t>SA</w:t>
            </w:r>
            <w:r>
              <w:rPr>
                <w:b/>
                <w:spacing w:val="-1"/>
                <w:w w:val="99"/>
                <w:sz w:val="18"/>
              </w:rPr>
              <w:t>D</w:t>
            </w:r>
            <w:r>
              <w:rPr>
                <w:b/>
                <w:w w:val="100"/>
                <w:sz w:val="18"/>
              </w:rPr>
              <w:t>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w:t>
            </w:r>
            <w:r>
              <w:rPr>
                <w:b/>
                <w:spacing w:val="-1"/>
                <w:w w:val="100"/>
                <w:sz w:val="18"/>
              </w:rPr>
              <w:t>O</w:t>
            </w:r>
            <w:r>
              <w:rPr>
                <w:b/>
                <w:w w:val="99"/>
                <w:sz w:val="18"/>
              </w:rPr>
              <w:t>DP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SIP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99"/>
                <w:sz w:val="18"/>
              </w:rPr>
              <w:t>SA</w:t>
            </w:r>
            <w:r>
              <w:rPr>
                <w:b/>
                <w:spacing w:val="-1"/>
                <w:w w:val="99"/>
                <w:sz w:val="18"/>
              </w:rPr>
              <w:t>D</w:t>
            </w:r>
            <w:r>
              <w:rPr>
                <w:b/>
                <w:w w:val="100"/>
                <w:sz w:val="18"/>
              </w:rPr>
              <w:t>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w:t>
            </w:r>
            <w:r>
              <w:rPr>
                <w:b/>
                <w:spacing w:val="-1"/>
                <w:w w:val="100"/>
                <w:sz w:val="18"/>
              </w:rPr>
              <w:t>O</w:t>
            </w:r>
            <w:r>
              <w:rPr>
                <w:b/>
                <w:w w:val="99"/>
                <w:sz w:val="18"/>
              </w:rPr>
              <w:t>DP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SIP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99"/>
                <w:sz w:val="18"/>
              </w:rPr>
              <w:t>SA</w:t>
            </w:r>
            <w:r>
              <w:rPr>
                <w:b/>
                <w:spacing w:val="-1"/>
                <w:w w:val="99"/>
                <w:sz w:val="18"/>
              </w:rPr>
              <w:t>D</w:t>
            </w:r>
            <w:r>
              <w:rPr>
                <w:b/>
                <w:w w:val="100"/>
                <w:sz w:val="18"/>
              </w:rPr>
              <w:t>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w:t>
            </w:r>
            <w:r>
              <w:rPr>
                <w:b/>
                <w:spacing w:val="-1"/>
                <w:w w:val="100"/>
                <w:sz w:val="18"/>
              </w:rPr>
              <w:t>O</w:t>
            </w:r>
            <w:r>
              <w:rPr>
                <w:b/>
                <w:w w:val="99"/>
                <w:sz w:val="18"/>
              </w:rPr>
              <w:t>DP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SIP</w:t>
            </w:r>
          </w:p>
        </w:tc>
        <w:tc>
          <w:tcPr>
            <w:tcW w:w="459"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7"/>
              <w:ind w:left="4"/>
              <w:jc w:val="left"/>
              <w:rPr>
                <w:b/>
                <w:sz w:val="18"/>
              </w:rPr>
            </w:pPr>
            <w:r>
              <w:rPr>
                <w:b/>
                <w:w w:val="99"/>
                <w:sz w:val="18"/>
              </w:rPr>
              <w:t>SA</w:t>
            </w:r>
            <w:r>
              <w:rPr>
                <w:b/>
                <w:spacing w:val="-1"/>
                <w:w w:val="99"/>
                <w:sz w:val="18"/>
              </w:rPr>
              <w:t>D</w:t>
            </w:r>
            <w:r>
              <w:rPr>
                <w:b/>
                <w:w w:val="100"/>
                <w:sz w:val="18"/>
              </w:rPr>
              <w:t>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w:t>
            </w:r>
            <w:r>
              <w:rPr>
                <w:b/>
                <w:spacing w:val="-1"/>
                <w:w w:val="100"/>
                <w:sz w:val="18"/>
              </w:rPr>
              <w:t>O</w:t>
            </w:r>
            <w:r>
              <w:rPr>
                <w:b/>
                <w:w w:val="99"/>
                <w:sz w:val="18"/>
              </w:rPr>
              <w:t>DP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SIP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99"/>
                <w:sz w:val="18"/>
              </w:rPr>
              <w:t>SA</w:t>
            </w:r>
            <w:r>
              <w:rPr>
                <w:b/>
                <w:spacing w:val="-1"/>
                <w:w w:val="99"/>
                <w:sz w:val="18"/>
              </w:rPr>
              <w:t>D</w:t>
            </w:r>
            <w:r>
              <w:rPr>
                <w:b/>
                <w:w w:val="100"/>
                <w:sz w:val="18"/>
              </w:rPr>
              <w:t>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w:t>
            </w:r>
            <w:r>
              <w:rPr>
                <w:b/>
                <w:spacing w:val="-1"/>
                <w:w w:val="100"/>
                <w:sz w:val="18"/>
              </w:rPr>
              <w:t>O</w:t>
            </w:r>
            <w:r>
              <w:rPr>
                <w:b/>
                <w:w w:val="99"/>
                <w:sz w:val="18"/>
              </w:rPr>
              <w:t>DP</w:t>
            </w:r>
          </w:p>
        </w:tc>
        <w:tc>
          <w:tcPr>
            <w:tcW w:w="542" w:type="dxa"/>
            <w:vMerge/>
            <w:tcBorders>
              <w:left w:val="single" w:sz="4" w:space="0" w:color="000000"/>
              <w:bottom w:val="single" w:sz="4" w:space="0" w:color="000000"/>
            </w:tcBorders>
            <w:shd w:val="clear" w:color="auto" w:fill="D7E3BB"/>
            <w:textDirection w:val="btLr"/>
          </w:tcPr>
          <w:p>
            <w:pPr/>
          </w:p>
        </w:tc>
      </w:tr>
      <w:tr>
        <w:trPr>
          <w:trHeight w:val="326" w:hRule="exact"/>
        </w:trPr>
        <w:tc>
          <w:tcPr>
            <w:tcW w:w="1620" w:type="dxa"/>
            <w:tcBorders>
              <w:bottom w:val="single" w:sz="4" w:space="0" w:color="000000"/>
              <w:right w:val="single" w:sz="4" w:space="0" w:color="000000"/>
            </w:tcBorders>
          </w:tcPr>
          <w:p>
            <w:pPr>
              <w:pStyle w:val="TableParagraph"/>
              <w:spacing w:line="201" w:lineRule="exact"/>
              <w:ind w:left="59" w:right="65"/>
              <w:jc w:val="left"/>
              <w:rPr>
                <w:b/>
                <w:sz w:val="18"/>
              </w:rPr>
            </w:pPr>
            <w:r>
              <w:rPr>
                <w:b/>
                <w:sz w:val="18"/>
              </w:rPr>
              <w:t>CALIMAYA</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4"/>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4"/>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4"/>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rPr>
                <w:sz w:val="18"/>
              </w:rPr>
            </w:pPr>
            <w:r>
              <w:rPr>
                <w:w w:val="99"/>
                <w:sz w:val="18"/>
              </w:rPr>
              <w:t>0</w:t>
            </w:r>
          </w:p>
        </w:tc>
        <w:tc>
          <w:tcPr>
            <w:tcW w:w="533" w:type="dxa"/>
            <w:tcBorders>
              <w:top w:val="single" w:sz="4" w:space="0" w:color="000000"/>
              <w:left w:val="single" w:sz="4" w:space="0" w:color="000000"/>
              <w:bottom w:val="single" w:sz="4" w:space="0" w:color="000000"/>
              <w:right w:val="single" w:sz="4" w:space="0" w:color="000000"/>
            </w:tcBorders>
          </w:tcPr>
          <w:p>
            <w:pPr>
              <w:pStyle w:val="TableParagraph"/>
              <w:spacing w:before="4"/>
              <w:ind w:left="93" w:right="89"/>
              <w:rPr>
                <w:sz w:val="18"/>
              </w:rPr>
            </w:pPr>
            <w:r>
              <w:rPr>
                <w:sz w:val="18"/>
              </w:rPr>
              <w:t>34</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4"/>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4"/>
              <w:ind w:left="55" w:right="53"/>
              <w:rPr>
                <w:sz w:val="18"/>
              </w:rPr>
            </w:pPr>
            <w:r>
              <w:rPr>
                <w:sz w:val="18"/>
              </w:rPr>
              <w:t>35</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4"/>
              <w:ind w:left="55" w:right="53"/>
              <w:rPr>
                <w:sz w:val="18"/>
              </w:rPr>
            </w:pPr>
            <w:r>
              <w:rPr>
                <w:sz w:val="18"/>
              </w:rPr>
              <w:t>31</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left="172"/>
              <w:jc w:val="left"/>
              <w:rPr>
                <w:sz w:val="18"/>
              </w:rPr>
            </w:pPr>
            <w:r>
              <w:rPr>
                <w:w w:val="99"/>
                <w:sz w:val="18"/>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4"/>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left="51" w:right="51"/>
              <w:rPr>
                <w:sz w:val="18"/>
              </w:rPr>
            </w:pPr>
            <w:r>
              <w:rPr>
                <w:sz w:val="18"/>
              </w:rPr>
              <w:t>13</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4"/>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right="119"/>
              <w:jc w:val="right"/>
              <w:rPr>
                <w:sz w:val="18"/>
              </w:rPr>
            </w:pPr>
            <w:r>
              <w:rPr>
                <w:w w:val="95"/>
                <w:sz w:val="18"/>
              </w:rPr>
              <w:t>16</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4"/>
              <w:ind w:left="1"/>
              <w:rPr>
                <w:sz w:val="18"/>
              </w:rPr>
            </w:pPr>
            <w:r>
              <w:rPr>
                <w:w w:val="99"/>
                <w:sz w:val="18"/>
              </w:rPr>
              <w:t>4</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right="171"/>
              <w:jc w:val="righ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8" w:right="44"/>
              <w:rPr>
                <w:b/>
                <w:sz w:val="18"/>
              </w:rPr>
            </w:pPr>
            <w:r>
              <w:rPr>
                <w:b/>
                <w:sz w:val="18"/>
              </w:rPr>
              <w:t>134</w:t>
            </w:r>
          </w:p>
        </w:tc>
      </w:tr>
      <w:tr>
        <w:trPr>
          <w:trHeight w:val="319" w:hRule="exact"/>
        </w:trPr>
        <w:tc>
          <w:tcPr>
            <w:tcW w:w="1620" w:type="dxa"/>
            <w:tcBorders>
              <w:top w:val="single" w:sz="4" w:space="0" w:color="000000"/>
              <w:bottom w:val="single" w:sz="4" w:space="0" w:color="000000"/>
              <w:right w:val="single" w:sz="4" w:space="0" w:color="000000"/>
            </w:tcBorders>
          </w:tcPr>
          <w:p>
            <w:pPr>
              <w:pStyle w:val="TableParagraph"/>
              <w:spacing w:line="201" w:lineRule="exact"/>
              <w:ind w:left="59" w:right="65"/>
              <w:jc w:val="left"/>
              <w:rPr>
                <w:b/>
                <w:sz w:val="18"/>
              </w:rPr>
            </w:pPr>
            <w:r>
              <w:rPr>
                <w:b/>
                <w:sz w:val="18"/>
              </w:rPr>
              <w:t>CAPULHUAC</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3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5" w:right="53"/>
              <w:rPr>
                <w:sz w:val="18"/>
              </w:rPr>
            </w:pPr>
            <w:r>
              <w:rPr>
                <w:sz w:val="18"/>
              </w:rPr>
              <w:t>27</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3" w:right="49"/>
              <w:rPr>
                <w:sz w:val="18"/>
              </w:rPr>
            </w:pPr>
            <w:r>
              <w:rPr>
                <w:sz w:val="18"/>
              </w:rPr>
              <w:t>22</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5" w:right="53"/>
              <w:rPr>
                <w:sz w:val="18"/>
              </w:rPr>
            </w:pPr>
            <w:r>
              <w:rPr>
                <w:sz w:val="18"/>
              </w:rPr>
              <w:t>25</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1" w:right="51"/>
              <w:rPr>
                <w:sz w:val="18"/>
              </w:rPr>
            </w:pPr>
            <w:r>
              <w:rPr>
                <w:sz w:val="18"/>
              </w:rPr>
              <w:t>13</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9</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48" w:right="44"/>
              <w:rPr>
                <w:b/>
                <w:sz w:val="18"/>
              </w:rPr>
            </w:pPr>
            <w:r>
              <w:rPr>
                <w:b/>
                <w:sz w:val="18"/>
              </w:rPr>
              <w:t>96</w:t>
            </w:r>
          </w:p>
        </w:tc>
      </w:tr>
      <w:tr>
        <w:trPr>
          <w:trHeight w:val="322" w:hRule="exact"/>
        </w:trPr>
        <w:tc>
          <w:tcPr>
            <w:tcW w:w="1620" w:type="dxa"/>
            <w:tcBorders>
              <w:top w:val="single" w:sz="4" w:space="0" w:color="000000"/>
              <w:bottom w:val="single" w:sz="4" w:space="0" w:color="000000"/>
              <w:right w:val="single" w:sz="4" w:space="0" w:color="000000"/>
            </w:tcBorders>
          </w:tcPr>
          <w:p>
            <w:pPr>
              <w:pStyle w:val="TableParagraph"/>
              <w:spacing w:line="202" w:lineRule="exact"/>
              <w:ind w:left="59" w:right="65"/>
              <w:jc w:val="left"/>
              <w:rPr>
                <w:b/>
                <w:sz w:val="18"/>
              </w:rPr>
            </w:pPr>
            <w:r>
              <w:rPr>
                <w:b/>
                <w:sz w:val="18"/>
              </w:rPr>
              <w:t>CHALCO</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533"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55" w:right="53"/>
              <w:rPr>
                <w:sz w:val="18"/>
              </w:rPr>
            </w:pPr>
            <w:r>
              <w:rPr>
                <w:sz w:val="18"/>
              </w:rPr>
              <w:t>59</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51" w:right="51"/>
              <w:rPr>
                <w:sz w:val="18"/>
              </w:rPr>
            </w:pPr>
            <w:r>
              <w:rPr>
                <w:sz w:val="18"/>
              </w:rPr>
              <w:t>105</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5"/>
              <w:jc w:val="left"/>
              <w:rPr>
                <w:sz w:val="18"/>
              </w:rPr>
            </w:pPr>
            <w:r>
              <w:rPr>
                <w:w w:val="99"/>
                <w:sz w:val="18"/>
              </w:rPr>
              <w:t>5</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1</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1"/>
              <w:jc w:val="righ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48" w:right="44"/>
              <w:rPr>
                <w:b/>
                <w:sz w:val="18"/>
              </w:rPr>
            </w:pPr>
            <w:r>
              <w:rPr>
                <w:b/>
                <w:sz w:val="18"/>
              </w:rPr>
              <w:t>170</w:t>
            </w:r>
          </w:p>
        </w:tc>
      </w:tr>
      <w:tr>
        <w:trPr>
          <w:trHeight w:val="631" w:hRule="exact"/>
        </w:trPr>
        <w:tc>
          <w:tcPr>
            <w:tcW w:w="1620" w:type="dxa"/>
            <w:tcBorders>
              <w:top w:val="single" w:sz="4" w:space="0" w:color="000000"/>
              <w:bottom w:val="single" w:sz="4" w:space="0" w:color="000000"/>
              <w:right w:val="single" w:sz="4" w:space="0" w:color="000000"/>
            </w:tcBorders>
          </w:tcPr>
          <w:p>
            <w:pPr>
              <w:pStyle w:val="TableParagraph"/>
              <w:tabs>
                <w:tab w:pos="1288" w:val="left" w:leader="none"/>
              </w:tabs>
              <w:spacing w:line="360" w:lineRule="auto"/>
              <w:ind w:left="59" w:right="65"/>
              <w:jc w:val="left"/>
              <w:rPr>
                <w:b/>
                <w:sz w:val="18"/>
              </w:rPr>
            </w:pPr>
            <w:r>
              <w:rPr>
                <w:b/>
                <w:sz w:val="18"/>
              </w:rPr>
              <w:t>CHAPA</w:t>
              <w:tab/>
              <w:t>DE MOTA</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533" w:type="dxa"/>
            <w:tcBorders>
              <w:top w:val="single" w:sz="4" w:space="0" w:color="000000"/>
              <w:left w:val="single" w:sz="4" w:space="0" w:color="000000"/>
              <w:bottom w:val="single" w:sz="4" w:space="0" w:color="000000"/>
              <w:right w:val="single" w:sz="4" w:space="0" w:color="000000"/>
            </w:tcBorders>
          </w:tcPr>
          <w:p>
            <w:pPr>
              <w:pStyle w:val="TableParagraph"/>
              <w:spacing w:before="155"/>
              <w:ind w:left="93" w:right="89"/>
              <w:rPr>
                <w:sz w:val="18"/>
              </w:rPr>
            </w:pPr>
            <w:r>
              <w:rPr>
                <w:sz w:val="18"/>
              </w:rPr>
              <w:t>23</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55" w:right="53"/>
              <w:rPr>
                <w:sz w:val="18"/>
              </w:rPr>
            </w:pPr>
            <w:r>
              <w:rPr>
                <w:sz w:val="18"/>
              </w:rPr>
              <w:t>24</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55" w:right="53"/>
              <w:rPr>
                <w:sz w:val="18"/>
              </w:rPr>
            </w:pPr>
            <w:r>
              <w:rPr>
                <w:sz w:val="18"/>
              </w:rPr>
              <w:t>15</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4</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19"/>
              <w:jc w:val="right"/>
              <w:rPr>
                <w:sz w:val="18"/>
              </w:rPr>
            </w:pPr>
            <w:r>
              <w:rPr>
                <w:w w:val="95"/>
                <w:sz w:val="18"/>
              </w:rPr>
              <w:t>10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150"/>
              <w:ind w:left="48" w:right="44"/>
              <w:rPr>
                <w:b/>
                <w:sz w:val="18"/>
              </w:rPr>
            </w:pPr>
            <w:r>
              <w:rPr>
                <w:b/>
                <w:sz w:val="18"/>
              </w:rPr>
              <w:t>76</w:t>
            </w:r>
          </w:p>
        </w:tc>
      </w:tr>
      <w:tr>
        <w:trPr>
          <w:trHeight w:val="319" w:hRule="exact"/>
        </w:trPr>
        <w:tc>
          <w:tcPr>
            <w:tcW w:w="1620" w:type="dxa"/>
            <w:tcBorders>
              <w:top w:val="single" w:sz="4" w:space="0" w:color="000000"/>
              <w:bottom w:val="single" w:sz="4" w:space="0" w:color="000000"/>
              <w:right w:val="single" w:sz="4" w:space="0" w:color="000000"/>
            </w:tcBorders>
          </w:tcPr>
          <w:p>
            <w:pPr>
              <w:pStyle w:val="TableParagraph"/>
              <w:spacing w:line="201" w:lineRule="exact"/>
              <w:ind w:left="59" w:right="65"/>
              <w:jc w:val="left"/>
              <w:rPr>
                <w:b/>
                <w:sz w:val="18"/>
              </w:rPr>
            </w:pPr>
            <w:r>
              <w:rPr>
                <w:b/>
                <w:sz w:val="18"/>
              </w:rPr>
              <w:t>CHAPULTEPEC</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7</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3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93" w:right="89"/>
              <w:rPr>
                <w:sz w:val="18"/>
              </w:rPr>
            </w:pPr>
            <w:r>
              <w:rPr>
                <w:sz w:val="18"/>
              </w:rPr>
              <w:t>21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5" w:right="53"/>
              <w:rPr>
                <w:sz w:val="18"/>
              </w:rPr>
            </w:pPr>
            <w:r>
              <w:rPr>
                <w:sz w:val="18"/>
              </w:rPr>
              <w:t>23</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48" w:right="44"/>
              <w:rPr>
                <w:b/>
                <w:sz w:val="18"/>
              </w:rPr>
            </w:pPr>
            <w:r>
              <w:rPr>
                <w:b/>
                <w:sz w:val="18"/>
              </w:rPr>
              <w:t>51</w:t>
            </w:r>
          </w:p>
        </w:tc>
      </w:tr>
      <w:tr>
        <w:trPr>
          <w:trHeight w:val="322" w:hRule="exact"/>
        </w:trPr>
        <w:tc>
          <w:tcPr>
            <w:tcW w:w="1620" w:type="dxa"/>
            <w:tcBorders>
              <w:top w:val="single" w:sz="4" w:space="0" w:color="000000"/>
              <w:bottom w:val="single" w:sz="4" w:space="0" w:color="000000"/>
              <w:right w:val="single" w:sz="4" w:space="0" w:color="000000"/>
            </w:tcBorders>
          </w:tcPr>
          <w:p>
            <w:pPr>
              <w:pStyle w:val="TableParagraph"/>
              <w:spacing w:line="201" w:lineRule="exact"/>
              <w:ind w:left="59" w:right="65"/>
              <w:jc w:val="left"/>
              <w:rPr>
                <w:b/>
                <w:sz w:val="18"/>
              </w:rPr>
            </w:pPr>
            <w:r>
              <w:rPr>
                <w:b/>
                <w:sz w:val="18"/>
              </w:rPr>
              <w:t>CHIAUTLA</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3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0</w:t>
            </w:r>
          </w:p>
        </w:tc>
      </w:tr>
      <w:tr>
        <w:trPr>
          <w:trHeight w:val="319" w:hRule="exact"/>
        </w:trPr>
        <w:tc>
          <w:tcPr>
            <w:tcW w:w="1620" w:type="dxa"/>
            <w:tcBorders>
              <w:top w:val="single" w:sz="4" w:space="0" w:color="000000"/>
              <w:bottom w:val="single" w:sz="4" w:space="0" w:color="000000"/>
              <w:right w:val="single" w:sz="4" w:space="0" w:color="000000"/>
            </w:tcBorders>
          </w:tcPr>
          <w:p>
            <w:pPr>
              <w:pStyle w:val="TableParagraph"/>
              <w:spacing w:line="201" w:lineRule="exact"/>
              <w:ind w:left="59" w:right="65"/>
              <w:jc w:val="left"/>
              <w:rPr>
                <w:b/>
                <w:sz w:val="18"/>
              </w:rPr>
            </w:pPr>
            <w:r>
              <w:rPr>
                <w:b/>
                <w:sz w:val="18"/>
              </w:rPr>
              <w:t>CHICOLOAPAN</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3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5" w:right="53"/>
              <w:rPr>
                <w:sz w:val="18"/>
              </w:rPr>
            </w:pPr>
            <w:r>
              <w:rPr>
                <w:sz w:val="18"/>
              </w:rPr>
              <w:t>51</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3</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1" w:right="51"/>
              <w:rPr>
                <w:sz w:val="18"/>
              </w:rPr>
            </w:pPr>
            <w:r>
              <w:rPr>
                <w:sz w:val="18"/>
              </w:rPr>
              <w:t>73</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5</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19"/>
              <w:jc w:val="right"/>
              <w:rPr>
                <w:sz w:val="18"/>
              </w:rPr>
            </w:pPr>
            <w:r>
              <w:rPr>
                <w:w w:val="95"/>
                <w:sz w:val="18"/>
              </w:rPr>
              <w:t>29</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6</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48" w:right="44"/>
              <w:rPr>
                <w:b/>
                <w:sz w:val="18"/>
              </w:rPr>
            </w:pPr>
            <w:r>
              <w:rPr>
                <w:b/>
                <w:sz w:val="18"/>
              </w:rPr>
              <w:t>167</w:t>
            </w:r>
          </w:p>
        </w:tc>
      </w:tr>
      <w:tr>
        <w:trPr>
          <w:trHeight w:val="322" w:hRule="exact"/>
        </w:trPr>
        <w:tc>
          <w:tcPr>
            <w:tcW w:w="1620" w:type="dxa"/>
            <w:tcBorders>
              <w:top w:val="single" w:sz="4" w:space="0" w:color="000000"/>
              <w:bottom w:val="single" w:sz="4" w:space="0" w:color="000000"/>
              <w:right w:val="single" w:sz="4" w:space="0" w:color="000000"/>
            </w:tcBorders>
          </w:tcPr>
          <w:p>
            <w:pPr>
              <w:pStyle w:val="TableParagraph"/>
              <w:spacing w:line="201" w:lineRule="exact"/>
              <w:ind w:left="59" w:right="65"/>
              <w:jc w:val="left"/>
              <w:rPr>
                <w:b/>
                <w:sz w:val="18"/>
              </w:rPr>
            </w:pPr>
            <w:r>
              <w:rPr>
                <w:b/>
                <w:sz w:val="18"/>
              </w:rPr>
              <w:t>CHICONCUAC</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3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5" w:right="53"/>
              <w:rPr>
                <w:sz w:val="18"/>
              </w:rPr>
            </w:pPr>
            <w:r>
              <w:rPr>
                <w:sz w:val="18"/>
              </w:rPr>
              <w:t>22</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3</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1" w:right="51"/>
              <w:rPr>
                <w:sz w:val="18"/>
              </w:rPr>
            </w:pPr>
            <w:r>
              <w:rPr>
                <w:sz w:val="18"/>
              </w:rPr>
              <w:t>46</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6</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48" w:right="44"/>
              <w:rPr>
                <w:b/>
                <w:sz w:val="18"/>
              </w:rPr>
            </w:pPr>
            <w:r>
              <w:rPr>
                <w:b/>
                <w:sz w:val="18"/>
              </w:rPr>
              <w:t>77</w:t>
            </w:r>
          </w:p>
        </w:tc>
      </w:tr>
      <w:tr>
        <w:trPr>
          <w:trHeight w:val="319" w:hRule="exact"/>
        </w:trPr>
        <w:tc>
          <w:tcPr>
            <w:tcW w:w="1620" w:type="dxa"/>
            <w:tcBorders>
              <w:top w:val="single" w:sz="4" w:space="0" w:color="000000"/>
              <w:bottom w:val="single" w:sz="4" w:space="0" w:color="000000"/>
              <w:right w:val="single" w:sz="4" w:space="0" w:color="000000"/>
            </w:tcBorders>
          </w:tcPr>
          <w:p>
            <w:pPr>
              <w:pStyle w:val="TableParagraph"/>
              <w:spacing w:line="201" w:lineRule="exact"/>
              <w:ind w:left="59"/>
              <w:jc w:val="left"/>
              <w:rPr>
                <w:b/>
                <w:sz w:val="18"/>
              </w:rPr>
            </w:pPr>
            <w:r>
              <w:rPr>
                <w:b/>
                <w:sz w:val="18"/>
              </w:rPr>
              <w:t>CHIMALHUACAN</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3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93" w:right="89"/>
              <w:rPr>
                <w:sz w:val="18"/>
              </w:rPr>
            </w:pPr>
            <w:r>
              <w:rPr>
                <w:sz w:val="18"/>
              </w:rPr>
              <w:t>113</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5</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5" w:right="53"/>
              <w:rPr>
                <w:sz w:val="18"/>
              </w:rPr>
            </w:pPr>
            <w:r>
              <w:rPr>
                <w:sz w:val="18"/>
              </w:rPr>
              <w:t>105</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2</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5" w:right="53"/>
              <w:rPr>
                <w:sz w:val="18"/>
              </w:rPr>
            </w:pPr>
            <w:r>
              <w:rPr>
                <w:sz w:val="18"/>
              </w:rPr>
              <w:t>88</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6</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1" w:right="51"/>
              <w:rPr>
                <w:sz w:val="18"/>
              </w:rPr>
            </w:pPr>
            <w:r>
              <w:rPr>
                <w:sz w:val="18"/>
              </w:rPr>
              <w:t>284</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9</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19"/>
              <w:jc w:val="right"/>
              <w:rPr>
                <w:sz w:val="18"/>
              </w:rPr>
            </w:pPr>
            <w:r>
              <w:rPr>
                <w:w w:val="95"/>
                <w:sz w:val="18"/>
              </w:rPr>
              <w:t>43</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6</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48" w:right="44"/>
              <w:rPr>
                <w:b/>
                <w:sz w:val="18"/>
              </w:rPr>
            </w:pPr>
            <w:r>
              <w:rPr>
                <w:b/>
                <w:sz w:val="18"/>
              </w:rPr>
              <w:t>662</w:t>
            </w:r>
          </w:p>
        </w:tc>
      </w:tr>
      <w:tr>
        <w:trPr>
          <w:trHeight w:val="632" w:hRule="exact"/>
        </w:trPr>
        <w:tc>
          <w:tcPr>
            <w:tcW w:w="1620" w:type="dxa"/>
            <w:tcBorders>
              <w:top w:val="single" w:sz="4" w:space="0" w:color="000000"/>
              <w:bottom w:val="single" w:sz="4" w:space="0" w:color="000000"/>
              <w:right w:val="single" w:sz="4" w:space="0" w:color="000000"/>
            </w:tcBorders>
          </w:tcPr>
          <w:p>
            <w:pPr>
              <w:pStyle w:val="TableParagraph"/>
              <w:spacing w:line="362" w:lineRule="auto"/>
              <w:ind w:left="59" w:right="65"/>
              <w:jc w:val="left"/>
              <w:rPr>
                <w:b/>
                <w:sz w:val="18"/>
              </w:rPr>
            </w:pPr>
            <w:r>
              <w:rPr>
                <w:b/>
                <w:sz w:val="18"/>
              </w:rPr>
              <w:t>COACALCO DE BERRIOZABAL</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533" w:type="dxa"/>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150"/>
              <w:rPr>
                <w:b/>
                <w:sz w:val="18"/>
              </w:rPr>
            </w:pPr>
            <w:r>
              <w:rPr>
                <w:b/>
                <w:w w:val="99"/>
                <w:sz w:val="18"/>
              </w:rPr>
              <w:t>0</w:t>
            </w:r>
          </w:p>
        </w:tc>
      </w:tr>
      <w:tr>
        <w:trPr>
          <w:trHeight w:val="631" w:hRule="exact"/>
        </w:trPr>
        <w:tc>
          <w:tcPr>
            <w:tcW w:w="1620" w:type="dxa"/>
            <w:tcBorders>
              <w:top w:val="single" w:sz="4" w:space="0" w:color="000000"/>
              <w:bottom w:val="single" w:sz="4" w:space="0" w:color="000000"/>
              <w:right w:val="single" w:sz="4" w:space="0" w:color="000000"/>
            </w:tcBorders>
          </w:tcPr>
          <w:p>
            <w:pPr>
              <w:pStyle w:val="TableParagraph"/>
              <w:spacing w:line="362" w:lineRule="auto"/>
              <w:ind w:left="59" w:right="526"/>
              <w:jc w:val="left"/>
              <w:rPr>
                <w:b/>
                <w:sz w:val="18"/>
              </w:rPr>
            </w:pPr>
            <w:r>
              <w:rPr>
                <w:b/>
                <w:sz w:val="18"/>
              </w:rPr>
              <w:t>COATEPEC HARINAS</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533" w:type="dxa"/>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69"/>
              <w:jc w:val="right"/>
              <w:rPr>
                <w:sz w:val="18"/>
              </w:rPr>
            </w:pPr>
            <w:r>
              <w:rPr>
                <w:w w:val="99"/>
                <w:sz w:val="18"/>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150"/>
              <w:rPr>
                <w:b/>
                <w:sz w:val="18"/>
              </w:rPr>
            </w:pPr>
            <w:r>
              <w:rPr>
                <w:b/>
                <w:w w:val="99"/>
                <w:sz w:val="18"/>
              </w:rPr>
              <w:t>1</w:t>
            </w:r>
          </w:p>
        </w:tc>
      </w:tr>
      <w:tr>
        <w:trPr>
          <w:trHeight w:val="322" w:hRule="exact"/>
        </w:trPr>
        <w:tc>
          <w:tcPr>
            <w:tcW w:w="1620" w:type="dxa"/>
            <w:tcBorders>
              <w:top w:val="single" w:sz="4" w:space="0" w:color="000000"/>
              <w:bottom w:val="single" w:sz="4" w:space="0" w:color="000000"/>
              <w:right w:val="single" w:sz="4" w:space="0" w:color="000000"/>
            </w:tcBorders>
          </w:tcPr>
          <w:p>
            <w:pPr>
              <w:pStyle w:val="TableParagraph"/>
              <w:spacing w:line="201" w:lineRule="exact"/>
              <w:ind w:left="59" w:right="65"/>
              <w:jc w:val="left"/>
              <w:rPr>
                <w:b/>
                <w:sz w:val="18"/>
              </w:rPr>
            </w:pPr>
            <w:r>
              <w:rPr>
                <w:b/>
                <w:sz w:val="18"/>
              </w:rPr>
              <w:t>COCOTITLAN</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3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0</w:t>
            </w:r>
          </w:p>
        </w:tc>
      </w:tr>
      <w:tr>
        <w:trPr>
          <w:trHeight w:val="319" w:hRule="exact"/>
        </w:trPr>
        <w:tc>
          <w:tcPr>
            <w:tcW w:w="1620" w:type="dxa"/>
            <w:tcBorders>
              <w:top w:val="single" w:sz="4" w:space="0" w:color="000000"/>
              <w:bottom w:val="single" w:sz="4" w:space="0" w:color="000000"/>
              <w:right w:val="single" w:sz="4" w:space="0" w:color="000000"/>
            </w:tcBorders>
          </w:tcPr>
          <w:p>
            <w:pPr>
              <w:pStyle w:val="TableParagraph"/>
              <w:spacing w:line="201" w:lineRule="exact"/>
              <w:ind w:left="59" w:right="65"/>
              <w:jc w:val="left"/>
              <w:rPr>
                <w:b/>
                <w:sz w:val="18"/>
              </w:rPr>
            </w:pPr>
            <w:r>
              <w:rPr>
                <w:b/>
                <w:sz w:val="18"/>
              </w:rPr>
              <w:t>COYOTEPEC</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3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0</w:t>
            </w:r>
          </w:p>
        </w:tc>
      </w:tr>
      <w:tr>
        <w:trPr>
          <w:trHeight w:val="322" w:hRule="exact"/>
        </w:trPr>
        <w:tc>
          <w:tcPr>
            <w:tcW w:w="1620" w:type="dxa"/>
            <w:tcBorders>
              <w:top w:val="single" w:sz="4" w:space="0" w:color="000000"/>
              <w:bottom w:val="single" w:sz="4" w:space="0" w:color="000000"/>
              <w:right w:val="single" w:sz="4" w:space="0" w:color="000000"/>
            </w:tcBorders>
          </w:tcPr>
          <w:p>
            <w:pPr>
              <w:pStyle w:val="TableParagraph"/>
              <w:spacing w:line="201" w:lineRule="exact"/>
              <w:ind w:left="59" w:right="65"/>
              <w:jc w:val="left"/>
              <w:rPr>
                <w:b/>
                <w:sz w:val="18"/>
              </w:rPr>
            </w:pPr>
            <w:r>
              <w:rPr>
                <w:b/>
                <w:sz w:val="18"/>
              </w:rPr>
              <w:t>CUAUTITLAN</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3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93" w:right="89"/>
              <w:rPr>
                <w:sz w:val="18"/>
              </w:rPr>
            </w:pPr>
            <w:r>
              <w:rPr>
                <w:sz w:val="18"/>
              </w:rPr>
              <w:t>70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5" w:right="53"/>
              <w:rPr>
                <w:sz w:val="18"/>
              </w:rPr>
            </w:pPr>
            <w:r>
              <w:rPr>
                <w:sz w:val="18"/>
              </w:rPr>
              <w:t>77</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3</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5" w:right="53"/>
              <w:rPr>
                <w:sz w:val="18"/>
              </w:rPr>
            </w:pPr>
            <w:r>
              <w:rPr>
                <w:sz w:val="18"/>
              </w:rPr>
              <w:t>142</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5</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1" w:right="51"/>
              <w:rPr>
                <w:sz w:val="18"/>
              </w:rPr>
            </w:pPr>
            <w:r>
              <w:rPr>
                <w:sz w:val="18"/>
              </w:rPr>
              <w:t>105</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7</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67"/>
              <w:jc w:val="right"/>
              <w:rPr>
                <w:sz w:val="18"/>
              </w:rPr>
            </w:pPr>
            <w:r>
              <w:rPr>
                <w:w w:val="95"/>
                <w:sz w:val="18"/>
              </w:rPr>
              <w:t>150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6</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48" w:right="44"/>
              <w:rPr>
                <w:b/>
                <w:sz w:val="18"/>
              </w:rPr>
            </w:pPr>
            <w:r>
              <w:rPr>
                <w:b/>
                <w:sz w:val="18"/>
              </w:rPr>
              <w:t>565</w:t>
            </w:r>
          </w:p>
        </w:tc>
      </w:tr>
      <w:tr>
        <w:trPr>
          <w:trHeight w:val="632" w:hRule="exact"/>
        </w:trPr>
        <w:tc>
          <w:tcPr>
            <w:tcW w:w="1620" w:type="dxa"/>
            <w:tcBorders>
              <w:top w:val="single" w:sz="4" w:space="0" w:color="000000"/>
              <w:bottom w:val="single" w:sz="4" w:space="0" w:color="000000"/>
              <w:right w:val="single" w:sz="4" w:space="0" w:color="000000"/>
            </w:tcBorders>
          </w:tcPr>
          <w:p>
            <w:pPr>
              <w:pStyle w:val="TableParagraph"/>
              <w:spacing w:line="360" w:lineRule="auto"/>
              <w:ind w:left="59" w:right="367"/>
              <w:jc w:val="left"/>
              <w:rPr>
                <w:b/>
                <w:sz w:val="18"/>
              </w:rPr>
            </w:pPr>
            <w:r>
              <w:rPr>
                <w:b/>
                <w:sz w:val="18"/>
              </w:rPr>
              <w:t>CUAUTITLAN IZCALLI</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533" w:type="dxa"/>
            <w:tcBorders>
              <w:top w:val="single" w:sz="4" w:space="0" w:color="000000"/>
              <w:left w:val="single" w:sz="4" w:space="0" w:color="000000"/>
              <w:bottom w:val="single" w:sz="4" w:space="0" w:color="000000"/>
              <w:right w:val="single" w:sz="4" w:space="0" w:color="000000"/>
            </w:tcBorders>
          </w:tcPr>
          <w:p>
            <w:pPr>
              <w:pStyle w:val="TableParagraph"/>
              <w:spacing w:before="155"/>
              <w:ind w:left="93" w:right="89"/>
              <w:rPr>
                <w:sz w:val="18"/>
              </w:rPr>
            </w:pPr>
            <w:r>
              <w:rPr>
                <w:sz w:val="18"/>
              </w:rPr>
              <w:t>424</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55" w:right="53"/>
              <w:rPr>
                <w:sz w:val="18"/>
              </w:rPr>
            </w:pPr>
            <w:r>
              <w:rPr>
                <w:sz w:val="18"/>
              </w:rPr>
              <w:t>526</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2</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55" w:right="53"/>
              <w:rPr>
                <w:sz w:val="18"/>
              </w:rPr>
            </w:pPr>
            <w:r>
              <w:rPr>
                <w:sz w:val="18"/>
              </w:rPr>
              <w:t>995</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22"/>
              <w:jc w:val="left"/>
              <w:rPr>
                <w:sz w:val="18"/>
              </w:rPr>
            </w:pPr>
            <w:r>
              <w:rPr>
                <w:sz w:val="18"/>
              </w:rPr>
              <w:t>12</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51" w:right="51"/>
              <w:rPr>
                <w:sz w:val="18"/>
              </w:rPr>
            </w:pPr>
            <w:r>
              <w:rPr>
                <w:sz w:val="18"/>
              </w:rPr>
              <w:t>521</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5"/>
              <w:ind w:left="124"/>
              <w:jc w:val="left"/>
              <w:rPr>
                <w:sz w:val="18"/>
              </w:rPr>
            </w:pPr>
            <w:r>
              <w:rPr>
                <w:sz w:val="18"/>
              </w:rPr>
              <w:t>10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69"/>
              <w:jc w:val="right"/>
              <w:rPr>
                <w:sz w:val="18"/>
              </w:rPr>
            </w:pPr>
            <w:r>
              <w:rPr>
                <w:w w:val="99"/>
                <w:sz w:val="18"/>
              </w:rPr>
              <w:t>5</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150"/>
              <w:ind w:left="48" w:right="44"/>
              <w:rPr>
                <w:b/>
                <w:sz w:val="18"/>
              </w:rPr>
            </w:pPr>
            <w:r>
              <w:rPr>
                <w:b/>
                <w:sz w:val="18"/>
              </w:rPr>
              <w:t>2495</w:t>
            </w:r>
          </w:p>
        </w:tc>
      </w:tr>
      <w:tr>
        <w:trPr>
          <w:trHeight w:val="631" w:hRule="exact"/>
        </w:trPr>
        <w:tc>
          <w:tcPr>
            <w:tcW w:w="1620" w:type="dxa"/>
            <w:tcBorders>
              <w:top w:val="single" w:sz="4" w:space="0" w:color="000000"/>
              <w:bottom w:val="single" w:sz="4" w:space="0" w:color="000000"/>
              <w:right w:val="single" w:sz="4" w:space="0" w:color="000000"/>
            </w:tcBorders>
          </w:tcPr>
          <w:p>
            <w:pPr>
              <w:pStyle w:val="TableParagraph"/>
              <w:spacing w:line="360" w:lineRule="auto"/>
              <w:ind w:left="59" w:right="746"/>
              <w:jc w:val="left"/>
              <w:rPr>
                <w:b/>
                <w:sz w:val="18"/>
              </w:rPr>
            </w:pPr>
            <w:r>
              <w:rPr>
                <w:b/>
                <w:sz w:val="18"/>
              </w:rPr>
              <w:t>DONATO GUERRA</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2"/>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rPr>
                <w:sz w:val="18"/>
              </w:rPr>
            </w:pPr>
            <w:r>
              <w:rPr>
                <w:w w:val="99"/>
                <w:sz w:val="18"/>
              </w:rPr>
              <w:t>0</w:t>
            </w:r>
          </w:p>
        </w:tc>
        <w:tc>
          <w:tcPr>
            <w:tcW w:w="533" w:type="dxa"/>
            <w:tcBorders>
              <w:top w:val="single" w:sz="4" w:space="0" w:color="000000"/>
              <w:left w:val="single" w:sz="4" w:space="0" w:color="000000"/>
              <w:bottom w:val="single" w:sz="4" w:space="0" w:color="000000"/>
              <w:right w:val="single" w:sz="4" w:space="0" w:color="000000"/>
            </w:tcBorders>
          </w:tcPr>
          <w:p>
            <w:pPr>
              <w:pStyle w:val="TableParagraph"/>
              <w:spacing w:before="152"/>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55" w:right="53"/>
              <w:rPr>
                <w:sz w:val="18"/>
              </w:rPr>
            </w:pPr>
            <w:r>
              <w:rPr>
                <w:sz w:val="18"/>
              </w:rPr>
              <w:t>10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left="51" w:right="51"/>
              <w:rPr>
                <w:sz w:val="18"/>
              </w:rPr>
            </w:pPr>
            <w:r>
              <w:rPr>
                <w:sz w:val="18"/>
              </w:rPr>
              <w:t>10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2"/>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right="169"/>
              <w:jc w:val="right"/>
              <w:rPr>
                <w:sz w:val="18"/>
              </w:rPr>
            </w:pPr>
            <w:r>
              <w:rPr>
                <w:w w:val="99"/>
                <w:sz w:val="18"/>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right="171"/>
              <w:jc w:val="righ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148"/>
              <w:ind w:left="48" w:right="44"/>
              <w:rPr>
                <w:b/>
                <w:sz w:val="18"/>
              </w:rPr>
            </w:pPr>
            <w:r>
              <w:rPr>
                <w:b/>
                <w:sz w:val="18"/>
              </w:rPr>
              <w:t>21</w:t>
            </w:r>
          </w:p>
        </w:tc>
      </w:tr>
    </w:tbl>
    <w:p>
      <w:pPr>
        <w:spacing w:after="0"/>
        <w:rPr>
          <w:sz w:val="18"/>
        </w:rPr>
        <w:sectPr>
          <w:pgSz w:w="15840" w:h="12240" w:orient="landscape"/>
          <w:pgMar w:header="0" w:footer="975" w:top="1140" w:bottom="1160" w:left="1380" w:right="1000"/>
        </w:sectPr>
      </w:pPr>
    </w:p>
    <w:p>
      <w:pPr>
        <w:pStyle w:val="BodyText"/>
        <w:rPr>
          <w:rFonts w:ascii="Times New Roman"/>
          <w:sz w:val="20"/>
        </w:rPr>
      </w:pPr>
    </w:p>
    <w:p>
      <w:pPr>
        <w:pStyle w:val="BodyText"/>
        <w:spacing w:before="10"/>
        <w:rPr>
          <w:rFonts w:ascii="Times New Roman"/>
          <w:sz w:val="28"/>
        </w:rPr>
      </w:pPr>
    </w:p>
    <w:tbl>
      <w:tblPr>
        <w:tblW w:w="0" w:type="auto"/>
        <w:jc w:val="left"/>
        <w:tblInd w:w="1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786"/>
        <w:gridCol w:w="331"/>
        <w:gridCol w:w="286"/>
        <w:gridCol w:w="458"/>
        <w:gridCol w:w="458"/>
        <w:gridCol w:w="459"/>
        <w:gridCol w:w="456"/>
        <w:gridCol w:w="458"/>
        <w:gridCol w:w="456"/>
        <w:gridCol w:w="456"/>
        <w:gridCol w:w="533"/>
        <w:gridCol w:w="456"/>
        <w:gridCol w:w="456"/>
        <w:gridCol w:w="459"/>
        <w:gridCol w:w="456"/>
        <w:gridCol w:w="458"/>
        <w:gridCol w:w="456"/>
        <w:gridCol w:w="458"/>
        <w:gridCol w:w="456"/>
        <w:gridCol w:w="456"/>
        <w:gridCol w:w="459"/>
        <w:gridCol w:w="456"/>
        <w:gridCol w:w="458"/>
        <w:gridCol w:w="456"/>
        <w:gridCol w:w="456"/>
        <w:gridCol w:w="780"/>
      </w:tblGrid>
      <w:tr>
        <w:trPr>
          <w:trHeight w:val="330" w:hRule="exact"/>
        </w:trPr>
        <w:tc>
          <w:tcPr>
            <w:tcW w:w="13315" w:type="dxa"/>
            <w:gridSpan w:val="26"/>
            <w:shd w:val="clear" w:color="auto" w:fill="92D050"/>
          </w:tcPr>
          <w:p>
            <w:pPr>
              <w:pStyle w:val="TableParagraph"/>
              <w:spacing w:line="201" w:lineRule="exact"/>
              <w:ind w:left="2330"/>
              <w:jc w:val="left"/>
              <w:rPr>
                <w:b/>
                <w:sz w:val="18"/>
              </w:rPr>
            </w:pPr>
            <w:r>
              <w:rPr>
                <w:b/>
                <w:sz w:val="18"/>
              </w:rPr>
              <w:t>Anexo 21. Municipios que publican apartado de solicitudes de información 2008-2015 (Continuación)</w:t>
            </w:r>
          </w:p>
        </w:tc>
      </w:tr>
      <w:tr>
        <w:trPr>
          <w:trHeight w:val="330" w:hRule="exact"/>
        </w:trPr>
        <w:tc>
          <w:tcPr>
            <w:tcW w:w="1786" w:type="dxa"/>
            <w:vMerge w:val="restart"/>
            <w:tcBorders>
              <w:right w:val="single" w:sz="4" w:space="0" w:color="000000"/>
            </w:tcBorders>
            <w:shd w:val="clear" w:color="auto" w:fill="C5DFB3"/>
          </w:tcPr>
          <w:p>
            <w:pPr>
              <w:pStyle w:val="TableParagraph"/>
              <w:jc w:val="left"/>
              <w:rPr>
                <w:rFonts w:ascii="Times New Roman"/>
                <w:sz w:val="18"/>
              </w:rPr>
            </w:pPr>
          </w:p>
          <w:p>
            <w:pPr>
              <w:pStyle w:val="TableParagraph"/>
              <w:spacing w:before="2"/>
              <w:jc w:val="left"/>
              <w:rPr>
                <w:rFonts w:ascii="Times New Roman"/>
                <w:sz w:val="20"/>
              </w:rPr>
            </w:pPr>
          </w:p>
          <w:p>
            <w:pPr>
              <w:pStyle w:val="TableParagraph"/>
              <w:ind w:left="463"/>
              <w:jc w:val="left"/>
              <w:rPr>
                <w:b/>
                <w:sz w:val="18"/>
              </w:rPr>
            </w:pPr>
            <w:r>
              <w:rPr>
                <w:b/>
                <w:sz w:val="18"/>
              </w:rPr>
              <w:t>Municipio</w:t>
            </w:r>
          </w:p>
        </w:tc>
        <w:tc>
          <w:tcPr>
            <w:tcW w:w="1075" w:type="dxa"/>
            <w:gridSpan w:val="3"/>
            <w:tcBorders>
              <w:top w:val="single" w:sz="4" w:space="0" w:color="000000"/>
              <w:left w:val="single" w:sz="4" w:space="0" w:color="000000"/>
              <w:right w:val="single" w:sz="4" w:space="0" w:color="000000"/>
            </w:tcBorders>
            <w:shd w:val="clear" w:color="auto" w:fill="D7E3BB"/>
          </w:tcPr>
          <w:p>
            <w:pPr>
              <w:pStyle w:val="TableParagraph"/>
              <w:ind w:left="331"/>
              <w:jc w:val="left"/>
              <w:rPr>
                <w:b/>
                <w:sz w:val="18"/>
              </w:rPr>
            </w:pPr>
            <w:r>
              <w:rPr>
                <w:b/>
                <w:sz w:val="18"/>
              </w:rPr>
              <w:t>2008</w:t>
            </w:r>
          </w:p>
        </w:tc>
        <w:tc>
          <w:tcPr>
            <w:tcW w:w="1373" w:type="dxa"/>
            <w:gridSpan w:val="3"/>
            <w:tcBorders>
              <w:top w:val="single" w:sz="4" w:space="0" w:color="000000"/>
              <w:left w:val="single" w:sz="4" w:space="0" w:color="000000"/>
              <w:right w:val="single" w:sz="4" w:space="0" w:color="000000"/>
            </w:tcBorders>
            <w:shd w:val="clear" w:color="auto" w:fill="D7E3BB"/>
          </w:tcPr>
          <w:p>
            <w:pPr>
              <w:pStyle w:val="TableParagraph"/>
              <w:ind w:left="463" w:right="459"/>
              <w:rPr>
                <w:b/>
                <w:sz w:val="18"/>
              </w:rPr>
            </w:pPr>
            <w:r>
              <w:rPr>
                <w:b/>
                <w:sz w:val="18"/>
              </w:rPr>
              <w:t>2009</w:t>
            </w:r>
          </w:p>
        </w:tc>
        <w:tc>
          <w:tcPr>
            <w:tcW w:w="1370" w:type="dxa"/>
            <w:gridSpan w:val="3"/>
            <w:tcBorders>
              <w:top w:val="single" w:sz="4" w:space="0" w:color="000000"/>
              <w:left w:val="single" w:sz="4" w:space="0" w:color="000000"/>
              <w:right w:val="single" w:sz="4" w:space="0" w:color="000000"/>
            </w:tcBorders>
            <w:shd w:val="clear" w:color="auto" w:fill="D7E3BB"/>
          </w:tcPr>
          <w:p>
            <w:pPr>
              <w:pStyle w:val="TableParagraph"/>
              <w:ind w:left="350" w:right="343"/>
              <w:rPr>
                <w:b/>
                <w:sz w:val="18"/>
              </w:rPr>
            </w:pPr>
            <w:r>
              <w:rPr>
                <w:b/>
                <w:sz w:val="18"/>
              </w:rPr>
              <w:t>2010</w:t>
            </w:r>
          </w:p>
        </w:tc>
        <w:tc>
          <w:tcPr>
            <w:tcW w:w="1445" w:type="dxa"/>
            <w:gridSpan w:val="3"/>
            <w:tcBorders>
              <w:top w:val="single" w:sz="4" w:space="0" w:color="000000"/>
              <w:left w:val="single" w:sz="4" w:space="0" w:color="000000"/>
              <w:right w:val="single" w:sz="4" w:space="0" w:color="000000"/>
            </w:tcBorders>
            <w:shd w:val="clear" w:color="auto" w:fill="D7E3BB"/>
          </w:tcPr>
          <w:p>
            <w:pPr>
              <w:pStyle w:val="TableParagraph"/>
              <w:ind w:left="499" w:right="495"/>
              <w:rPr>
                <w:b/>
                <w:sz w:val="18"/>
              </w:rPr>
            </w:pPr>
            <w:r>
              <w:rPr>
                <w:b/>
                <w:sz w:val="18"/>
              </w:rPr>
              <w:t>2011</w:t>
            </w:r>
          </w:p>
        </w:tc>
        <w:tc>
          <w:tcPr>
            <w:tcW w:w="1373" w:type="dxa"/>
            <w:gridSpan w:val="3"/>
            <w:tcBorders>
              <w:top w:val="single" w:sz="4" w:space="0" w:color="000000"/>
              <w:left w:val="single" w:sz="4" w:space="0" w:color="000000"/>
              <w:right w:val="single" w:sz="4" w:space="0" w:color="000000"/>
            </w:tcBorders>
            <w:shd w:val="clear" w:color="auto" w:fill="D7E3BB"/>
          </w:tcPr>
          <w:p>
            <w:pPr>
              <w:pStyle w:val="TableParagraph"/>
              <w:ind w:left="464" w:right="459"/>
              <w:rPr>
                <w:b/>
                <w:sz w:val="18"/>
              </w:rPr>
            </w:pPr>
            <w:r>
              <w:rPr>
                <w:b/>
                <w:sz w:val="18"/>
              </w:rPr>
              <w:t>2012</w:t>
            </w:r>
          </w:p>
        </w:tc>
        <w:tc>
          <w:tcPr>
            <w:tcW w:w="1370" w:type="dxa"/>
            <w:gridSpan w:val="3"/>
            <w:tcBorders>
              <w:top w:val="single" w:sz="4" w:space="0" w:color="000000"/>
              <w:left w:val="single" w:sz="4" w:space="0" w:color="000000"/>
              <w:right w:val="single" w:sz="4" w:space="0" w:color="000000"/>
            </w:tcBorders>
            <w:shd w:val="clear" w:color="auto" w:fill="D7E3BB"/>
          </w:tcPr>
          <w:p>
            <w:pPr>
              <w:pStyle w:val="TableParagraph"/>
              <w:ind w:left="350" w:right="348"/>
              <w:rPr>
                <w:b/>
                <w:sz w:val="18"/>
              </w:rPr>
            </w:pPr>
            <w:r>
              <w:rPr>
                <w:b/>
                <w:sz w:val="18"/>
              </w:rPr>
              <w:t>2013</w:t>
            </w:r>
          </w:p>
        </w:tc>
        <w:tc>
          <w:tcPr>
            <w:tcW w:w="1371" w:type="dxa"/>
            <w:gridSpan w:val="3"/>
            <w:tcBorders>
              <w:top w:val="single" w:sz="4" w:space="0" w:color="000000"/>
              <w:left w:val="single" w:sz="4" w:space="0" w:color="000000"/>
              <w:right w:val="single" w:sz="4" w:space="0" w:color="000000"/>
            </w:tcBorders>
            <w:shd w:val="clear" w:color="auto" w:fill="D7E3BB"/>
          </w:tcPr>
          <w:p>
            <w:pPr>
              <w:pStyle w:val="TableParagraph"/>
              <w:ind w:left="461" w:right="455"/>
              <w:rPr>
                <w:b/>
                <w:sz w:val="18"/>
              </w:rPr>
            </w:pPr>
            <w:r>
              <w:rPr>
                <w:b/>
                <w:sz w:val="18"/>
              </w:rPr>
              <w:t>2014</w:t>
            </w:r>
          </w:p>
        </w:tc>
        <w:tc>
          <w:tcPr>
            <w:tcW w:w="1370" w:type="dxa"/>
            <w:gridSpan w:val="3"/>
            <w:tcBorders>
              <w:top w:val="single" w:sz="4" w:space="0" w:color="000000"/>
              <w:left w:val="single" w:sz="4" w:space="0" w:color="000000"/>
              <w:right w:val="single" w:sz="4" w:space="0" w:color="000000"/>
            </w:tcBorders>
            <w:shd w:val="clear" w:color="auto" w:fill="D7E3BB"/>
          </w:tcPr>
          <w:p>
            <w:pPr>
              <w:pStyle w:val="TableParagraph"/>
              <w:ind w:left="350" w:right="343"/>
              <w:rPr>
                <w:b/>
                <w:sz w:val="18"/>
              </w:rPr>
            </w:pPr>
            <w:r>
              <w:rPr>
                <w:b/>
                <w:sz w:val="18"/>
              </w:rPr>
              <w:t>2015</w:t>
            </w:r>
          </w:p>
        </w:tc>
        <w:tc>
          <w:tcPr>
            <w:tcW w:w="780" w:type="dxa"/>
            <w:vMerge w:val="restart"/>
            <w:tcBorders>
              <w:top w:val="single" w:sz="4" w:space="0" w:color="000000"/>
              <w:left w:val="single" w:sz="4" w:space="0" w:color="000000"/>
            </w:tcBorders>
            <w:shd w:val="clear" w:color="auto" w:fill="D7E3BB"/>
            <w:textDirection w:val="btLr"/>
          </w:tcPr>
          <w:p>
            <w:pPr>
              <w:pStyle w:val="TableParagraph"/>
              <w:spacing w:before="8"/>
              <w:jc w:val="left"/>
              <w:rPr>
                <w:rFonts w:ascii="Times New Roman"/>
                <w:sz w:val="19"/>
              </w:rPr>
            </w:pPr>
          </w:p>
          <w:p>
            <w:pPr>
              <w:pStyle w:val="TableParagraph"/>
              <w:ind w:left="112"/>
              <w:jc w:val="left"/>
              <w:rPr>
                <w:b/>
                <w:sz w:val="18"/>
              </w:rPr>
            </w:pPr>
            <w:r>
              <w:rPr>
                <w:b/>
                <w:w w:val="100"/>
                <w:sz w:val="18"/>
              </w:rPr>
              <w:t>To</w:t>
            </w:r>
            <w:r>
              <w:rPr>
                <w:b/>
                <w:w w:val="99"/>
                <w:sz w:val="18"/>
              </w:rPr>
              <w:t>ta</w:t>
            </w:r>
            <w:r>
              <w:rPr>
                <w:b/>
                <w:w w:val="100"/>
                <w:sz w:val="18"/>
              </w:rPr>
              <w:t>l</w:t>
            </w:r>
          </w:p>
        </w:tc>
      </w:tr>
      <w:tr>
        <w:trPr>
          <w:trHeight w:val="886" w:hRule="exact"/>
        </w:trPr>
        <w:tc>
          <w:tcPr>
            <w:tcW w:w="1786" w:type="dxa"/>
            <w:vMerge/>
            <w:tcBorders>
              <w:bottom w:val="single" w:sz="4" w:space="0" w:color="000000"/>
              <w:right w:val="single" w:sz="4" w:space="0" w:color="000000"/>
            </w:tcBorders>
            <w:shd w:val="clear" w:color="auto" w:fill="C5DFB3"/>
          </w:tcPr>
          <w:p>
            <w:pPr/>
          </w:p>
        </w:tc>
        <w:tc>
          <w:tcPr>
            <w:tcW w:w="331"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1"/>
              <w:jc w:val="left"/>
              <w:rPr>
                <w:b/>
                <w:sz w:val="18"/>
              </w:rPr>
            </w:pPr>
            <w:r>
              <w:rPr>
                <w:b/>
                <w:w w:val="100"/>
                <w:sz w:val="18"/>
              </w:rPr>
              <w:t>SIP</w:t>
            </w:r>
          </w:p>
        </w:tc>
        <w:tc>
          <w:tcPr>
            <w:tcW w:w="28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1"/>
              <w:jc w:val="left"/>
              <w:rPr>
                <w:b/>
                <w:sz w:val="18"/>
              </w:rPr>
            </w:pPr>
            <w:r>
              <w:rPr>
                <w:b/>
                <w:w w:val="99"/>
                <w:sz w:val="18"/>
              </w:rPr>
              <w:t>SA</w:t>
            </w:r>
            <w:r>
              <w:rPr>
                <w:b/>
                <w:spacing w:val="-1"/>
                <w:w w:val="99"/>
                <w:sz w:val="18"/>
              </w:rPr>
              <w:t>D</w:t>
            </w:r>
            <w:r>
              <w:rPr>
                <w:b/>
                <w:w w:val="100"/>
                <w:sz w:val="18"/>
              </w:rPr>
              <w:t>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1"/>
              <w:jc w:val="left"/>
              <w:rPr>
                <w:b/>
                <w:sz w:val="18"/>
              </w:rPr>
            </w:pPr>
            <w:r>
              <w:rPr>
                <w:b/>
                <w:w w:val="100"/>
                <w:sz w:val="18"/>
              </w:rPr>
              <w:t>S</w:t>
            </w:r>
            <w:r>
              <w:rPr>
                <w:b/>
                <w:spacing w:val="-1"/>
                <w:w w:val="100"/>
                <w:sz w:val="18"/>
              </w:rPr>
              <w:t>O</w:t>
            </w:r>
            <w:r>
              <w:rPr>
                <w:b/>
                <w:w w:val="99"/>
                <w:sz w:val="18"/>
              </w:rPr>
              <w:t>DP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1"/>
              <w:jc w:val="left"/>
              <w:rPr>
                <w:b/>
                <w:sz w:val="18"/>
              </w:rPr>
            </w:pPr>
            <w:r>
              <w:rPr>
                <w:b/>
                <w:w w:val="100"/>
                <w:sz w:val="18"/>
              </w:rPr>
              <w:t>SIP</w:t>
            </w:r>
          </w:p>
        </w:tc>
        <w:tc>
          <w:tcPr>
            <w:tcW w:w="459"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1"/>
              <w:jc w:val="left"/>
              <w:rPr>
                <w:b/>
                <w:sz w:val="18"/>
              </w:rPr>
            </w:pPr>
            <w:r>
              <w:rPr>
                <w:b/>
                <w:w w:val="99"/>
                <w:sz w:val="18"/>
              </w:rPr>
              <w:t>SA</w:t>
            </w:r>
            <w:r>
              <w:rPr>
                <w:b/>
                <w:spacing w:val="-1"/>
                <w:w w:val="99"/>
                <w:sz w:val="18"/>
              </w:rPr>
              <w:t>D</w:t>
            </w:r>
            <w:r>
              <w:rPr>
                <w:b/>
                <w:w w:val="100"/>
                <w:sz w:val="18"/>
              </w:rPr>
              <w:t>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1"/>
              <w:jc w:val="left"/>
              <w:rPr>
                <w:b/>
                <w:sz w:val="18"/>
              </w:rPr>
            </w:pPr>
            <w:r>
              <w:rPr>
                <w:b/>
                <w:w w:val="100"/>
                <w:sz w:val="18"/>
              </w:rPr>
              <w:t>S</w:t>
            </w:r>
            <w:r>
              <w:rPr>
                <w:b/>
                <w:spacing w:val="-1"/>
                <w:w w:val="100"/>
                <w:sz w:val="18"/>
              </w:rPr>
              <w:t>O</w:t>
            </w:r>
            <w:r>
              <w:rPr>
                <w:b/>
                <w:w w:val="99"/>
                <w:sz w:val="18"/>
              </w:rPr>
              <w:t>DP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1"/>
              <w:jc w:val="left"/>
              <w:rPr>
                <w:b/>
                <w:sz w:val="18"/>
              </w:rPr>
            </w:pPr>
            <w:r>
              <w:rPr>
                <w:b/>
                <w:w w:val="100"/>
                <w:sz w:val="18"/>
              </w:rPr>
              <w:t>SIP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1"/>
              <w:jc w:val="left"/>
              <w:rPr>
                <w:b/>
                <w:sz w:val="18"/>
              </w:rPr>
            </w:pPr>
            <w:r>
              <w:rPr>
                <w:b/>
                <w:w w:val="99"/>
                <w:sz w:val="18"/>
              </w:rPr>
              <w:t>SA</w:t>
            </w:r>
            <w:r>
              <w:rPr>
                <w:b/>
                <w:spacing w:val="-1"/>
                <w:w w:val="99"/>
                <w:sz w:val="18"/>
              </w:rPr>
              <w:t>D</w:t>
            </w:r>
            <w:r>
              <w:rPr>
                <w:b/>
                <w:w w:val="100"/>
                <w:sz w:val="18"/>
              </w:rPr>
              <w:t>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1"/>
              <w:jc w:val="left"/>
              <w:rPr>
                <w:b/>
                <w:sz w:val="18"/>
              </w:rPr>
            </w:pPr>
            <w:r>
              <w:rPr>
                <w:b/>
                <w:w w:val="100"/>
                <w:sz w:val="18"/>
              </w:rPr>
              <w:t>S</w:t>
            </w:r>
            <w:r>
              <w:rPr>
                <w:b/>
                <w:spacing w:val="-1"/>
                <w:w w:val="100"/>
                <w:sz w:val="18"/>
              </w:rPr>
              <w:t>O</w:t>
            </w:r>
            <w:r>
              <w:rPr>
                <w:b/>
                <w:w w:val="99"/>
                <w:sz w:val="18"/>
              </w:rPr>
              <w:t>DP</w:t>
            </w:r>
          </w:p>
        </w:tc>
        <w:tc>
          <w:tcPr>
            <w:tcW w:w="533"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138"/>
              <w:ind w:left="-1"/>
              <w:jc w:val="left"/>
              <w:rPr>
                <w:b/>
                <w:sz w:val="18"/>
              </w:rPr>
            </w:pPr>
            <w:r>
              <w:rPr>
                <w:b/>
                <w:w w:val="100"/>
                <w:sz w:val="18"/>
              </w:rPr>
              <w:t>SIP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1"/>
              <w:jc w:val="left"/>
              <w:rPr>
                <w:b/>
                <w:sz w:val="18"/>
              </w:rPr>
            </w:pPr>
            <w:r>
              <w:rPr>
                <w:b/>
                <w:w w:val="99"/>
                <w:sz w:val="18"/>
              </w:rPr>
              <w:t>SA</w:t>
            </w:r>
            <w:r>
              <w:rPr>
                <w:b/>
                <w:spacing w:val="-1"/>
                <w:w w:val="99"/>
                <w:sz w:val="18"/>
              </w:rPr>
              <w:t>D</w:t>
            </w:r>
            <w:r>
              <w:rPr>
                <w:b/>
                <w:w w:val="100"/>
                <w:sz w:val="18"/>
              </w:rPr>
              <w:t>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1"/>
              <w:jc w:val="left"/>
              <w:rPr>
                <w:b/>
                <w:sz w:val="18"/>
              </w:rPr>
            </w:pPr>
            <w:r>
              <w:rPr>
                <w:b/>
                <w:w w:val="100"/>
                <w:sz w:val="18"/>
              </w:rPr>
              <w:t>S</w:t>
            </w:r>
            <w:r>
              <w:rPr>
                <w:b/>
                <w:spacing w:val="-1"/>
                <w:w w:val="100"/>
                <w:sz w:val="18"/>
              </w:rPr>
              <w:t>O</w:t>
            </w:r>
            <w:r>
              <w:rPr>
                <w:b/>
                <w:w w:val="99"/>
                <w:sz w:val="18"/>
              </w:rPr>
              <w:t>DP</w:t>
            </w:r>
          </w:p>
        </w:tc>
        <w:tc>
          <w:tcPr>
            <w:tcW w:w="459"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1"/>
              <w:jc w:val="left"/>
              <w:rPr>
                <w:b/>
                <w:sz w:val="18"/>
              </w:rPr>
            </w:pPr>
            <w:r>
              <w:rPr>
                <w:b/>
                <w:w w:val="100"/>
                <w:sz w:val="18"/>
              </w:rPr>
              <w:t>SIP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1"/>
              <w:jc w:val="left"/>
              <w:rPr>
                <w:b/>
                <w:sz w:val="18"/>
              </w:rPr>
            </w:pPr>
            <w:r>
              <w:rPr>
                <w:b/>
                <w:w w:val="99"/>
                <w:sz w:val="18"/>
              </w:rPr>
              <w:t>SA</w:t>
            </w:r>
            <w:r>
              <w:rPr>
                <w:b/>
                <w:spacing w:val="-1"/>
                <w:w w:val="99"/>
                <w:sz w:val="18"/>
              </w:rPr>
              <w:t>D</w:t>
            </w:r>
            <w:r>
              <w:rPr>
                <w:b/>
                <w:w w:val="100"/>
                <w:sz w:val="18"/>
              </w:rPr>
              <w:t>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1"/>
              <w:jc w:val="left"/>
              <w:rPr>
                <w:b/>
                <w:sz w:val="18"/>
              </w:rPr>
            </w:pPr>
            <w:r>
              <w:rPr>
                <w:b/>
                <w:w w:val="100"/>
                <w:sz w:val="18"/>
              </w:rPr>
              <w:t>S</w:t>
            </w:r>
            <w:r>
              <w:rPr>
                <w:b/>
                <w:spacing w:val="-1"/>
                <w:w w:val="100"/>
                <w:sz w:val="18"/>
              </w:rPr>
              <w:t>O</w:t>
            </w:r>
            <w:r>
              <w:rPr>
                <w:b/>
                <w:w w:val="99"/>
                <w:sz w:val="18"/>
              </w:rPr>
              <w:t>DP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1"/>
              <w:jc w:val="left"/>
              <w:rPr>
                <w:b/>
                <w:sz w:val="18"/>
              </w:rPr>
            </w:pPr>
            <w:r>
              <w:rPr>
                <w:b/>
                <w:w w:val="100"/>
                <w:sz w:val="18"/>
              </w:rPr>
              <w:t>SIP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1"/>
              <w:jc w:val="left"/>
              <w:rPr>
                <w:b/>
                <w:sz w:val="18"/>
              </w:rPr>
            </w:pPr>
            <w:r>
              <w:rPr>
                <w:b/>
                <w:w w:val="99"/>
                <w:sz w:val="18"/>
              </w:rPr>
              <w:t>SA</w:t>
            </w:r>
            <w:r>
              <w:rPr>
                <w:b/>
                <w:spacing w:val="-1"/>
                <w:w w:val="99"/>
                <w:sz w:val="18"/>
              </w:rPr>
              <w:t>D</w:t>
            </w:r>
            <w:r>
              <w:rPr>
                <w:b/>
                <w:w w:val="100"/>
                <w:sz w:val="18"/>
              </w:rPr>
              <w:t>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1"/>
              <w:jc w:val="left"/>
              <w:rPr>
                <w:b/>
                <w:sz w:val="18"/>
              </w:rPr>
            </w:pPr>
            <w:r>
              <w:rPr>
                <w:b/>
                <w:w w:val="100"/>
                <w:sz w:val="18"/>
              </w:rPr>
              <w:t>S</w:t>
            </w:r>
            <w:r>
              <w:rPr>
                <w:b/>
                <w:spacing w:val="-1"/>
                <w:w w:val="100"/>
                <w:sz w:val="18"/>
              </w:rPr>
              <w:t>O</w:t>
            </w:r>
            <w:r>
              <w:rPr>
                <w:b/>
                <w:w w:val="99"/>
                <w:sz w:val="18"/>
              </w:rPr>
              <w:t>DP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1"/>
              <w:jc w:val="left"/>
              <w:rPr>
                <w:b/>
                <w:sz w:val="18"/>
              </w:rPr>
            </w:pPr>
            <w:r>
              <w:rPr>
                <w:b/>
                <w:w w:val="100"/>
                <w:sz w:val="18"/>
              </w:rPr>
              <w:t>SIP</w:t>
            </w:r>
          </w:p>
        </w:tc>
        <w:tc>
          <w:tcPr>
            <w:tcW w:w="459"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1"/>
              <w:jc w:val="left"/>
              <w:rPr>
                <w:b/>
                <w:sz w:val="18"/>
              </w:rPr>
            </w:pPr>
            <w:r>
              <w:rPr>
                <w:b/>
                <w:w w:val="99"/>
                <w:sz w:val="18"/>
              </w:rPr>
              <w:t>SA</w:t>
            </w:r>
            <w:r>
              <w:rPr>
                <w:b/>
                <w:spacing w:val="-1"/>
                <w:w w:val="99"/>
                <w:sz w:val="18"/>
              </w:rPr>
              <w:t>D</w:t>
            </w:r>
            <w:r>
              <w:rPr>
                <w:b/>
                <w:w w:val="100"/>
                <w:sz w:val="18"/>
              </w:rPr>
              <w:t>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1"/>
              <w:jc w:val="left"/>
              <w:rPr>
                <w:b/>
                <w:sz w:val="18"/>
              </w:rPr>
            </w:pPr>
            <w:r>
              <w:rPr>
                <w:b/>
                <w:w w:val="100"/>
                <w:sz w:val="18"/>
              </w:rPr>
              <w:t>S</w:t>
            </w:r>
            <w:r>
              <w:rPr>
                <w:b/>
                <w:spacing w:val="-1"/>
                <w:w w:val="100"/>
                <w:sz w:val="18"/>
              </w:rPr>
              <w:t>O</w:t>
            </w:r>
            <w:r>
              <w:rPr>
                <w:b/>
                <w:w w:val="99"/>
                <w:sz w:val="18"/>
              </w:rPr>
              <w:t>DP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1"/>
              <w:jc w:val="left"/>
              <w:rPr>
                <w:b/>
                <w:sz w:val="18"/>
              </w:rPr>
            </w:pPr>
            <w:r>
              <w:rPr>
                <w:b/>
                <w:w w:val="100"/>
                <w:sz w:val="18"/>
              </w:rPr>
              <w:t>SIP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1"/>
              <w:jc w:val="left"/>
              <w:rPr>
                <w:b/>
                <w:sz w:val="18"/>
              </w:rPr>
            </w:pPr>
            <w:r>
              <w:rPr>
                <w:b/>
                <w:w w:val="99"/>
                <w:sz w:val="18"/>
              </w:rPr>
              <w:t>SA</w:t>
            </w:r>
            <w:r>
              <w:rPr>
                <w:b/>
                <w:spacing w:val="-1"/>
                <w:w w:val="99"/>
                <w:sz w:val="18"/>
              </w:rPr>
              <w:t>D</w:t>
            </w:r>
            <w:r>
              <w:rPr>
                <w:b/>
                <w:w w:val="100"/>
                <w:sz w:val="18"/>
              </w:rPr>
              <w:t>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1"/>
              <w:jc w:val="left"/>
              <w:rPr>
                <w:b/>
                <w:sz w:val="18"/>
              </w:rPr>
            </w:pPr>
            <w:r>
              <w:rPr>
                <w:b/>
                <w:w w:val="100"/>
                <w:sz w:val="18"/>
              </w:rPr>
              <w:t>S</w:t>
            </w:r>
            <w:r>
              <w:rPr>
                <w:b/>
                <w:spacing w:val="-1"/>
                <w:w w:val="100"/>
                <w:sz w:val="18"/>
              </w:rPr>
              <w:t>O</w:t>
            </w:r>
            <w:r>
              <w:rPr>
                <w:b/>
                <w:w w:val="99"/>
                <w:sz w:val="18"/>
              </w:rPr>
              <w:t>DP</w:t>
            </w:r>
          </w:p>
        </w:tc>
        <w:tc>
          <w:tcPr>
            <w:tcW w:w="780" w:type="dxa"/>
            <w:vMerge/>
            <w:tcBorders>
              <w:left w:val="single" w:sz="4" w:space="0" w:color="000000"/>
              <w:bottom w:val="single" w:sz="4" w:space="0" w:color="000000"/>
            </w:tcBorders>
            <w:shd w:val="clear" w:color="auto" w:fill="D7E3BB"/>
            <w:textDirection w:val="btLr"/>
          </w:tcPr>
          <w:p>
            <w:pPr/>
          </w:p>
        </w:tc>
      </w:tr>
      <w:tr>
        <w:trPr>
          <w:trHeight w:val="631" w:hRule="exact"/>
        </w:trPr>
        <w:tc>
          <w:tcPr>
            <w:tcW w:w="1786" w:type="dxa"/>
            <w:tcBorders>
              <w:top w:val="single" w:sz="4" w:space="0" w:color="000000"/>
              <w:left w:val="single" w:sz="4" w:space="0" w:color="000000"/>
              <w:bottom w:val="single" w:sz="4" w:space="0" w:color="000000"/>
              <w:right w:val="single" w:sz="4" w:space="0" w:color="000000"/>
            </w:tcBorders>
          </w:tcPr>
          <w:p>
            <w:pPr>
              <w:pStyle w:val="TableParagraph"/>
              <w:tabs>
                <w:tab w:pos="1458" w:val="left" w:leader="none"/>
              </w:tabs>
              <w:spacing w:line="362" w:lineRule="auto"/>
              <w:ind w:left="64" w:right="65"/>
              <w:jc w:val="left"/>
              <w:rPr>
                <w:b/>
                <w:sz w:val="18"/>
              </w:rPr>
            </w:pPr>
            <w:r>
              <w:rPr>
                <w:b/>
                <w:sz w:val="18"/>
              </w:rPr>
              <w:t>ECATEPEC</w:t>
              <w:tab/>
              <w:t>DE MORELOS</w:t>
            </w:r>
          </w:p>
        </w:tc>
        <w:tc>
          <w:tcPr>
            <w:tcW w:w="331" w:type="dxa"/>
            <w:tcBorders>
              <w:top w:val="single" w:sz="4" w:space="0" w:color="000000"/>
              <w:left w:val="single" w:sz="4" w:space="0" w:color="000000"/>
              <w:bottom w:val="single" w:sz="4" w:space="0" w:color="000000"/>
              <w:right w:val="single" w:sz="4" w:space="0" w:color="000000"/>
            </w:tcBorders>
          </w:tcPr>
          <w:p>
            <w:pPr>
              <w:pStyle w:val="TableParagraph"/>
              <w:spacing w:before="155"/>
              <w:ind w:right="109"/>
              <w:jc w:val="right"/>
              <w:rPr>
                <w:sz w:val="18"/>
              </w:rPr>
            </w:pPr>
            <w:r>
              <w:rPr>
                <w:w w:val="99"/>
                <w:sz w:val="18"/>
              </w:rPr>
              <w:t>0</w:t>
            </w:r>
          </w:p>
        </w:tc>
        <w:tc>
          <w:tcPr>
            <w:tcW w:w="28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4"/>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533" w:type="dxa"/>
            <w:tcBorders>
              <w:top w:val="single" w:sz="4" w:space="0" w:color="000000"/>
              <w:left w:val="single" w:sz="4" w:space="0" w:color="000000"/>
              <w:bottom w:val="single" w:sz="4" w:space="0" w:color="000000"/>
              <w:right w:val="single" w:sz="4" w:space="0" w:color="000000"/>
            </w:tcBorders>
          </w:tcPr>
          <w:p>
            <w:pPr>
              <w:pStyle w:val="TableParagraph"/>
              <w:spacing w:before="155"/>
              <w:ind w:right="107"/>
              <w:jc w:val="right"/>
              <w:rPr>
                <w:sz w:val="18"/>
              </w:rPr>
            </w:pPr>
            <w:r>
              <w:rPr>
                <w:w w:val="95"/>
                <w:sz w:val="18"/>
              </w:rPr>
              <w:t>349</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2</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69"/>
              <w:jc w:val="righ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5"/>
              <w:ind w:right="70"/>
              <w:jc w:val="right"/>
              <w:rPr>
                <w:sz w:val="18"/>
              </w:rPr>
            </w:pPr>
            <w:r>
              <w:rPr>
                <w:w w:val="95"/>
                <w:sz w:val="18"/>
              </w:rPr>
              <w:t>353</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22"/>
              <w:jc w:val="left"/>
              <w:rPr>
                <w:sz w:val="18"/>
              </w:rPr>
            </w:pPr>
            <w:r>
              <w:rPr>
                <w:sz w:val="18"/>
              </w:rPr>
              <w:t>26</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3</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71"/>
              <w:jc w:val="right"/>
              <w:rPr>
                <w:sz w:val="18"/>
              </w:rPr>
            </w:pPr>
            <w:r>
              <w:rPr>
                <w:w w:val="95"/>
                <w:sz w:val="18"/>
              </w:rPr>
              <w:t>336</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right="120"/>
              <w:jc w:val="right"/>
              <w:rPr>
                <w:sz w:val="18"/>
              </w:rPr>
            </w:pPr>
            <w:r>
              <w:rPr>
                <w:w w:val="95"/>
                <w:sz w:val="18"/>
              </w:rPr>
              <w:t>11</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53" w:right="49"/>
              <w:rPr>
                <w:sz w:val="18"/>
              </w:rPr>
            </w:pPr>
            <w:r>
              <w:rPr>
                <w:sz w:val="18"/>
              </w:rPr>
              <w:t>293</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5"/>
              <w:ind w:left="105" w:right="104"/>
              <w:rPr>
                <w:sz w:val="18"/>
              </w:rPr>
            </w:pPr>
            <w:r>
              <w:rPr>
                <w:sz w:val="18"/>
              </w:rPr>
              <w:t>21</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55" w:right="53"/>
              <w:rPr>
                <w:sz w:val="18"/>
              </w:rPr>
            </w:pPr>
            <w:r>
              <w:rPr>
                <w:sz w:val="18"/>
              </w:rPr>
              <w:t>82</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51" w:right="51"/>
              <w:rPr>
                <w:sz w:val="18"/>
              </w:rPr>
            </w:pPr>
            <w:r>
              <w:rPr>
                <w:sz w:val="18"/>
              </w:rPr>
              <w:t>15</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780" w:type="dxa"/>
            <w:tcBorders>
              <w:top w:val="single" w:sz="4" w:space="0" w:color="000000"/>
              <w:left w:val="single" w:sz="4" w:space="0" w:color="000000"/>
              <w:bottom w:val="single" w:sz="4" w:space="0" w:color="000000"/>
              <w:right w:val="single" w:sz="4" w:space="0" w:color="000000"/>
            </w:tcBorders>
          </w:tcPr>
          <w:p>
            <w:pPr>
              <w:pStyle w:val="TableParagraph"/>
              <w:spacing w:before="150"/>
              <w:ind w:right="179"/>
              <w:jc w:val="right"/>
              <w:rPr>
                <w:b/>
                <w:sz w:val="18"/>
              </w:rPr>
            </w:pPr>
            <w:r>
              <w:rPr>
                <w:b/>
                <w:w w:val="95"/>
                <w:sz w:val="18"/>
              </w:rPr>
              <w:t>1491</w:t>
            </w:r>
          </w:p>
        </w:tc>
      </w:tr>
      <w:tr>
        <w:trPr>
          <w:trHeight w:val="320" w:hRule="exact"/>
        </w:trPr>
        <w:tc>
          <w:tcPr>
            <w:tcW w:w="1786"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64" w:right="65"/>
              <w:jc w:val="left"/>
              <w:rPr>
                <w:b/>
                <w:sz w:val="18"/>
              </w:rPr>
            </w:pPr>
            <w:r>
              <w:rPr>
                <w:b/>
                <w:sz w:val="18"/>
              </w:rPr>
              <w:t>ECATZINGO</w:t>
            </w:r>
          </w:p>
        </w:tc>
        <w:tc>
          <w:tcPr>
            <w:tcW w:w="331"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09"/>
              <w:jc w:val="right"/>
              <w:rPr>
                <w:sz w:val="18"/>
              </w:rPr>
            </w:pPr>
            <w:r>
              <w:rPr>
                <w:w w:val="99"/>
                <w:sz w:val="18"/>
              </w:rPr>
              <w:t>0</w:t>
            </w:r>
          </w:p>
        </w:tc>
        <w:tc>
          <w:tcPr>
            <w:tcW w:w="28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5"/>
              <w:jc w:val="lef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4"/>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4"/>
              <w:rPr>
                <w:sz w:val="18"/>
              </w:rPr>
            </w:pPr>
            <w:r>
              <w:rPr>
                <w:w w:val="99"/>
                <w:sz w:val="18"/>
              </w:rPr>
              <w:t>0</w:t>
            </w:r>
          </w:p>
        </w:tc>
        <w:tc>
          <w:tcPr>
            <w:tcW w:w="533"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69"/>
              <w:jc w:val="righ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2"/>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4"/>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5"/>
              <w:jc w:val="left"/>
              <w:rPr>
                <w:sz w:val="18"/>
              </w:rPr>
            </w:pPr>
            <w:r>
              <w:rPr>
                <w:w w:val="99"/>
                <w:sz w:val="18"/>
              </w:rPr>
              <w:t>0</w:t>
            </w:r>
          </w:p>
        </w:tc>
        <w:tc>
          <w:tcPr>
            <w:tcW w:w="780"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1"/>
              <w:rPr>
                <w:b/>
                <w:sz w:val="18"/>
              </w:rPr>
            </w:pPr>
            <w:r>
              <w:rPr>
                <w:b/>
                <w:w w:val="99"/>
                <w:sz w:val="18"/>
              </w:rPr>
              <w:t>0</w:t>
            </w:r>
          </w:p>
        </w:tc>
      </w:tr>
      <w:tr>
        <w:trPr>
          <w:trHeight w:val="322" w:hRule="exact"/>
        </w:trPr>
        <w:tc>
          <w:tcPr>
            <w:tcW w:w="1786"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4" w:right="65"/>
              <w:jc w:val="left"/>
              <w:rPr>
                <w:b/>
                <w:sz w:val="18"/>
              </w:rPr>
            </w:pPr>
            <w:r>
              <w:rPr>
                <w:b/>
                <w:sz w:val="18"/>
              </w:rPr>
              <w:t>EL ORO</w:t>
            </w:r>
          </w:p>
        </w:tc>
        <w:tc>
          <w:tcPr>
            <w:tcW w:w="331" w:type="dxa"/>
            <w:tcBorders>
              <w:top w:val="single" w:sz="4" w:space="0" w:color="000000"/>
              <w:left w:val="single" w:sz="4" w:space="0" w:color="000000"/>
              <w:bottom w:val="single" w:sz="4" w:space="0" w:color="000000"/>
              <w:right w:val="single" w:sz="4" w:space="0" w:color="000000"/>
            </w:tcBorders>
          </w:tcPr>
          <w:p>
            <w:pPr>
              <w:pStyle w:val="TableParagraph"/>
              <w:spacing w:before="1"/>
              <w:ind w:right="109"/>
              <w:jc w:val="right"/>
              <w:rPr>
                <w:sz w:val="18"/>
              </w:rPr>
            </w:pPr>
            <w:r>
              <w:rPr>
                <w:w w:val="99"/>
                <w:sz w:val="18"/>
              </w:rPr>
              <w:t>0</w:t>
            </w:r>
          </w:p>
        </w:tc>
        <w:tc>
          <w:tcPr>
            <w:tcW w:w="286"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
              <w:ind w:right="174"/>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4"/>
              <w:rPr>
                <w:sz w:val="18"/>
              </w:rPr>
            </w:pPr>
            <w:r>
              <w:rPr>
                <w:w w:val="99"/>
                <w:sz w:val="18"/>
              </w:rPr>
              <w:t>0</w:t>
            </w:r>
          </w:p>
        </w:tc>
        <w:tc>
          <w:tcPr>
            <w:tcW w:w="533" w:type="dxa"/>
            <w:tcBorders>
              <w:top w:val="single" w:sz="4" w:space="0" w:color="000000"/>
              <w:left w:val="single" w:sz="4" w:space="0" w:color="000000"/>
              <w:bottom w:val="single" w:sz="4" w:space="0" w:color="000000"/>
              <w:right w:val="single" w:sz="4" w:space="0" w:color="000000"/>
            </w:tcBorders>
          </w:tcPr>
          <w:p>
            <w:pPr>
              <w:pStyle w:val="TableParagraph"/>
              <w:spacing w:before="1"/>
              <w:ind w:right="156"/>
              <w:jc w:val="right"/>
              <w:rPr>
                <w:sz w:val="18"/>
              </w:rPr>
            </w:pPr>
            <w:r>
              <w:rPr>
                <w:w w:val="95"/>
                <w:sz w:val="18"/>
              </w:rPr>
              <w:t>28</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right="169"/>
              <w:jc w:val="righ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
              <w:ind w:right="120"/>
              <w:jc w:val="right"/>
              <w:rPr>
                <w:sz w:val="18"/>
              </w:rPr>
            </w:pPr>
            <w:r>
              <w:rPr>
                <w:w w:val="95"/>
                <w:sz w:val="18"/>
              </w:rPr>
              <w:t>23</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172"/>
              <w:jc w:val="left"/>
              <w:rPr>
                <w:sz w:val="18"/>
              </w:rPr>
            </w:pPr>
            <w:r>
              <w:rPr>
                <w:w w:val="99"/>
                <w:sz w:val="18"/>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right="120"/>
              <w:jc w:val="right"/>
              <w:rPr>
                <w:sz w:val="18"/>
              </w:rPr>
            </w:pPr>
            <w:r>
              <w:rPr>
                <w:w w:val="95"/>
                <w:sz w:val="18"/>
              </w:rPr>
              <w:t>22</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53" w:right="49"/>
              <w:rPr>
                <w:sz w:val="18"/>
              </w:rPr>
            </w:pPr>
            <w:r>
              <w:rPr>
                <w:sz w:val="18"/>
              </w:rPr>
              <w:t>10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
              <w:rPr>
                <w:sz w:val="18"/>
              </w:rPr>
            </w:pPr>
            <w:r>
              <w:rPr>
                <w:w w:val="99"/>
                <w:sz w:val="18"/>
              </w:rPr>
              <w:t>7</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1</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780"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90" w:right="83"/>
              <w:rPr>
                <w:b/>
                <w:sz w:val="18"/>
              </w:rPr>
            </w:pPr>
            <w:r>
              <w:rPr>
                <w:b/>
                <w:sz w:val="18"/>
              </w:rPr>
              <w:t>92</w:t>
            </w:r>
          </w:p>
        </w:tc>
      </w:tr>
      <w:tr>
        <w:trPr>
          <w:trHeight w:val="319" w:hRule="exact"/>
        </w:trPr>
        <w:tc>
          <w:tcPr>
            <w:tcW w:w="178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4" w:right="65"/>
              <w:jc w:val="left"/>
              <w:rPr>
                <w:b/>
                <w:sz w:val="18"/>
              </w:rPr>
            </w:pPr>
            <w:r>
              <w:rPr>
                <w:b/>
                <w:sz w:val="18"/>
              </w:rPr>
              <w:t>HUEHUETOCA</w:t>
            </w:r>
          </w:p>
        </w:tc>
        <w:tc>
          <w:tcPr>
            <w:tcW w:w="33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09"/>
              <w:jc w:val="right"/>
              <w:rPr>
                <w:sz w:val="18"/>
              </w:rPr>
            </w:pPr>
            <w:r>
              <w:rPr>
                <w:w w:val="99"/>
                <w:sz w:val="18"/>
              </w:rPr>
              <w:t>0</w:t>
            </w:r>
          </w:p>
        </w:tc>
        <w:tc>
          <w:tcPr>
            <w:tcW w:w="28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4"/>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53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20"/>
              <w:jc w:val="right"/>
              <w:rPr>
                <w:sz w:val="18"/>
              </w:rPr>
            </w:pPr>
            <w:r>
              <w:rPr>
                <w:w w:val="95"/>
                <w:sz w:val="18"/>
              </w:rPr>
              <w:t>87</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3</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3" w:right="49"/>
              <w:rPr>
                <w:sz w:val="18"/>
              </w:rPr>
            </w:pPr>
            <w:r>
              <w:rPr>
                <w:sz w:val="18"/>
              </w:rPr>
              <w:t>27</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3</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4</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78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right="228"/>
              <w:jc w:val="right"/>
              <w:rPr>
                <w:b/>
                <w:sz w:val="18"/>
              </w:rPr>
            </w:pPr>
            <w:r>
              <w:rPr>
                <w:b/>
                <w:w w:val="95"/>
                <w:sz w:val="18"/>
              </w:rPr>
              <w:t>124</w:t>
            </w:r>
          </w:p>
        </w:tc>
      </w:tr>
      <w:tr>
        <w:trPr>
          <w:trHeight w:val="322" w:hRule="exact"/>
        </w:trPr>
        <w:tc>
          <w:tcPr>
            <w:tcW w:w="1786"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4" w:right="65"/>
              <w:jc w:val="left"/>
              <w:rPr>
                <w:b/>
                <w:sz w:val="18"/>
              </w:rPr>
            </w:pPr>
            <w:r>
              <w:rPr>
                <w:b/>
                <w:sz w:val="18"/>
              </w:rPr>
              <w:t>HUEYPOXTLA</w:t>
            </w:r>
          </w:p>
        </w:tc>
        <w:tc>
          <w:tcPr>
            <w:tcW w:w="331" w:type="dxa"/>
            <w:tcBorders>
              <w:top w:val="single" w:sz="4" w:space="0" w:color="000000"/>
              <w:left w:val="single" w:sz="4" w:space="0" w:color="000000"/>
              <w:bottom w:val="single" w:sz="4" w:space="0" w:color="000000"/>
              <w:right w:val="single" w:sz="4" w:space="0" w:color="000000"/>
            </w:tcBorders>
          </w:tcPr>
          <w:p>
            <w:pPr>
              <w:pStyle w:val="TableParagraph"/>
              <w:spacing w:before="1"/>
              <w:ind w:right="109"/>
              <w:jc w:val="right"/>
              <w:rPr>
                <w:sz w:val="18"/>
              </w:rPr>
            </w:pPr>
            <w:r>
              <w:rPr>
                <w:w w:val="99"/>
                <w:sz w:val="18"/>
              </w:rPr>
              <w:t>0</w:t>
            </w:r>
          </w:p>
        </w:tc>
        <w:tc>
          <w:tcPr>
            <w:tcW w:w="286"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
              <w:ind w:right="174"/>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4"/>
              <w:rPr>
                <w:sz w:val="18"/>
              </w:rPr>
            </w:pPr>
            <w:r>
              <w:rPr>
                <w:w w:val="99"/>
                <w:sz w:val="18"/>
              </w:rPr>
              <w:t>0</w:t>
            </w:r>
          </w:p>
        </w:tc>
        <w:tc>
          <w:tcPr>
            <w:tcW w:w="533"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right="169"/>
              <w:jc w:val="righ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
              <w:ind w:left="2"/>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4"/>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780"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1"/>
              <w:rPr>
                <w:b/>
                <w:sz w:val="18"/>
              </w:rPr>
            </w:pPr>
            <w:r>
              <w:rPr>
                <w:b/>
                <w:w w:val="99"/>
                <w:sz w:val="18"/>
              </w:rPr>
              <w:t>0</w:t>
            </w:r>
          </w:p>
        </w:tc>
      </w:tr>
      <w:tr>
        <w:trPr>
          <w:trHeight w:val="631" w:hRule="exact"/>
        </w:trPr>
        <w:tc>
          <w:tcPr>
            <w:tcW w:w="1786" w:type="dxa"/>
            <w:tcBorders>
              <w:top w:val="single" w:sz="4" w:space="0" w:color="000000"/>
              <w:left w:val="single" w:sz="4" w:space="0" w:color="000000"/>
              <w:bottom w:val="single" w:sz="4" w:space="0" w:color="000000"/>
              <w:right w:val="single" w:sz="4" w:space="0" w:color="000000"/>
            </w:tcBorders>
          </w:tcPr>
          <w:p>
            <w:pPr>
              <w:pStyle w:val="TableParagraph"/>
              <w:spacing w:before="150"/>
              <w:ind w:left="64" w:right="65"/>
              <w:jc w:val="left"/>
              <w:rPr>
                <w:b/>
                <w:sz w:val="18"/>
              </w:rPr>
            </w:pPr>
            <w:r>
              <w:rPr>
                <w:b/>
                <w:sz w:val="18"/>
              </w:rPr>
              <w:t>HUIXQUILUCAN</w:t>
            </w:r>
          </w:p>
        </w:tc>
        <w:tc>
          <w:tcPr>
            <w:tcW w:w="331" w:type="dxa"/>
            <w:tcBorders>
              <w:top w:val="single" w:sz="4" w:space="0" w:color="000000"/>
              <w:left w:val="single" w:sz="4" w:space="0" w:color="000000"/>
              <w:bottom w:val="single" w:sz="4" w:space="0" w:color="000000"/>
              <w:right w:val="single" w:sz="4" w:space="0" w:color="000000"/>
            </w:tcBorders>
          </w:tcPr>
          <w:p>
            <w:pPr>
              <w:pStyle w:val="TableParagraph"/>
              <w:spacing w:before="155"/>
              <w:ind w:right="109"/>
              <w:jc w:val="right"/>
              <w:rPr>
                <w:sz w:val="18"/>
              </w:rPr>
            </w:pPr>
            <w:r>
              <w:rPr>
                <w:w w:val="99"/>
                <w:sz w:val="18"/>
              </w:rPr>
              <w:t>0</w:t>
            </w:r>
          </w:p>
        </w:tc>
        <w:tc>
          <w:tcPr>
            <w:tcW w:w="28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4"/>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53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93" w:right="89"/>
              <w:rPr>
                <w:sz w:val="18"/>
              </w:rPr>
            </w:pPr>
            <w:r>
              <w:rPr>
                <w:sz w:val="18"/>
              </w:rPr>
              <w:t>159</w:t>
            </w:r>
          </w:p>
          <w:p>
            <w:pPr>
              <w:pStyle w:val="TableParagraph"/>
              <w:spacing w:before="105"/>
              <w:rPr>
                <w:sz w:val="18"/>
              </w:rPr>
            </w:pPr>
            <w:r>
              <w:rPr>
                <w:w w:val="99"/>
                <w:sz w:val="18"/>
              </w:rPr>
              <w:t>8</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1</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69"/>
              <w:jc w:val="righ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5"/>
              <w:ind w:right="70"/>
              <w:jc w:val="right"/>
              <w:rPr>
                <w:sz w:val="18"/>
              </w:rPr>
            </w:pPr>
            <w:r>
              <w:rPr>
                <w:w w:val="95"/>
                <w:sz w:val="18"/>
              </w:rPr>
              <w:t>725</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5</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71"/>
              <w:jc w:val="right"/>
              <w:rPr>
                <w:sz w:val="18"/>
              </w:rPr>
            </w:pPr>
            <w:r>
              <w:rPr>
                <w:w w:val="95"/>
                <w:sz w:val="18"/>
              </w:rPr>
              <w:t>465</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right="120"/>
              <w:jc w:val="right"/>
              <w:rPr>
                <w:sz w:val="18"/>
              </w:rPr>
            </w:pPr>
            <w:r>
              <w:rPr>
                <w:w w:val="95"/>
                <w:sz w:val="18"/>
              </w:rPr>
              <w:t>10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53" w:right="49"/>
              <w:rPr>
                <w:sz w:val="18"/>
              </w:rPr>
            </w:pPr>
            <w:r>
              <w:rPr>
                <w:sz w:val="18"/>
              </w:rPr>
              <w:t>244</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7</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55" w:right="53"/>
              <w:rPr>
                <w:sz w:val="18"/>
              </w:rPr>
            </w:pPr>
            <w:r>
              <w:rPr>
                <w:sz w:val="18"/>
              </w:rPr>
              <w:t>177</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2</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780" w:type="dxa"/>
            <w:tcBorders>
              <w:top w:val="single" w:sz="4" w:space="0" w:color="000000"/>
              <w:left w:val="single" w:sz="4" w:space="0" w:color="000000"/>
              <w:bottom w:val="single" w:sz="4" w:space="0" w:color="000000"/>
              <w:right w:val="single" w:sz="4" w:space="0" w:color="000000"/>
            </w:tcBorders>
          </w:tcPr>
          <w:p>
            <w:pPr>
              <w:pStyle w:val="TableParagraph"/>
              <w:spacing w:before="150"/>
              <w:ind w:right="179"/>
              <w:jc w:val="right"/>
              <w:rPr>
                <w:b/>
                <w:sz w:val="18"/>
              </w:rPr>
            </w:pPr>
            <w:r>
              <w:rPr>
                <w:b/>
                <w:w w:val="95"/>
                <w:sz w:val="18"/>
              </w:rPr>
              <w:t>3234</w:t>
            </w:r>
          </w:p>
        </w:tc>
      </w:tr>
      <w:tr>
        <w:trPr>
          <w:trHeight w:val="319" w:hRule="exact"/>
        </w:trPr>
        <w:tc>
          <w:tcPr>
            <w:tcW w:w="178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4" w:right="65"/>
              <w:jc w:val="left"/>
              <w:rPr>
                <w:b/>
                <w:sz w:val="18"/>
              </w:rPr>
            </w:pPr>
            <w:r>
              <w:rPr>
                <w:b/>
                <w:sz w:val="18"/>
              </w:rPr>
              <w:t>ISIDRO FABELA</w:t>
            </w:r>
          </w:p>
        </w:tc>
        <w:tc>
          <w:tcPr>
            <w:tcW w:w="33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09"/>
              <w:jc w:val="right"/>
              <w:rPr>
                <w:sz w:val="18"/>
              </w:rPr>
            </w:pPr>
            <w:r>
              <w:rPr>
                <w:w w:val="99"/>
                <w:sz w:val="18"/>
              </w:rPr>
              <w:t>0</w:t>
            </w:r>
          </w:p>
        </w:tc>
        <w:tc>
          <w:tcPr>
            <w:tcW w:w="28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4"/>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53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78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
              <w:rPr>
                <w:b/>
                <w:sz w:val="18"/>
              </w:rPr>
            </w:pPr>
            <w:r>
              <w:rPr>
                <w:b/>
                <w:w w:val="99"/>
                <w:sz w:val="18"/>
              </w:rPr>
              <w:t>0</w:t>
            </w:r>
          </w:p>
        </w:tc>
      </w:tr>
      <w:tr>
        <w:trPr>
          <w:trHeight w:val="322" w:hRule="exact"/>
        </w:trPr>
        <w:tc>
          <w:tcPr>
            <w:tcW w:w="1786"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4" w:right="65"/>
              <w:jc w:val="left"/>
              <w:rPr>
                <w:b/>
                <w:sz w:val="18"/>
              </w:rPr>
            </w:pPr>
            <w:r>
              <w:rPr>
                <w:b/>
                <w:sz w:val="18"/>
              </w:rPr>
              <w:t>IXTAPALUCA</w:t>
            </w:r>
          </w:p>
        </w:tc>
        <w:tc>
          <w:tcPr>
            <w:tcW w:w="331" w:type="dxa"/>
            <w:tcBorders>
              <w:top w:val="single" w:sz="4" w:space="0" w:color="000000"/>
              <w:left w:val="single" w:sz="4" w:space="0" w:color="000000"/>
              <w:bottom w:val="single" w:sz="4" w:space="0" w:color="000000"/>
              <w:right w:val="single" w:sz="4" w:space="0" w:color="000000"/>
            </w:tcBorders>
          </w:tcPr>
          <w:p>
            <w:pPr>
              <w:pStyle w:val="TableParagraph"/>
              <w:spacing w:before="1"/>
              <w:ind w:right="109"/>
              <w:jc w:val="right"/>
              <w:rPr>
                <w:sz w:val="18"/>
              </w:rPr>
            </w:pPr>
            <w:r>
              <w:rPr>
                <w:w w:val="99"/>
                <w:sz w:val="18"/>
              </w:rPr>
              <w:t>0</w:t>
            </w:r>
          </w:p>
        </w:tc>
        <w:tc>
          <w:tcPr>
            <w:tcW w:w="286"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
              <w:ind w:right="174"/>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4"/>
              <w:rPr>
                <w:sz w:val="18"/>
              </w:rPr>
            </w:pPr>
            <w:r>
              <w:rPr>
                <w:w w:val="99"/>
                <w:sz w:val="18"/>
              </w:rPr>
              <w:t>0</w:t>
            </w:r>
          </w:p>
        </w:tc>
        <w:tc>
          <w:tcPr>
            <w:tcW w:w="533"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right="169"/>
              <w:jc w:val="righ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
              <w:ind w:left="2"/>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4"/>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780"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1"/>
              <w:rPr>
                <w:b/>
                <w:sz w:val="18"/>
              </w:rPr>
            </w:pPr>
            <w:r>
              <w:rPr>
                <w:b/>
                <w:w w:val="99"/>
                <w:sz w:val="18"/>
              </w:rPr>
              <w:t>0</w:t>
            </w:r>
          </w:p>
        </w:tc>
      </w:tr>
      <w:tr>
        <w:trPr>
          <w:trHeight w:val="632" w:hRule="exact"/>
        </w:trPr>
        <w:tc>
          <w:tcPr>
            <w:tcW w:w="1786" w:type="dxa"/>
            <w:tcBorders>
              <w:top w:val="single" w:sz="4" w:space="0" w:color="000000"/>
              <w:left w:val="single" w:sz="4" w:space="0" w:color="000000"/>
              <w:bottom w:val="single" w:sz="4" w:space="0" w:color="000000"/>
              <w:right w:val="single" w:sz="4" w:space="0" w:color="000000"/>
            </w:tcBorders>
          </w:tcPr>
          <w:p>
            <w:pPr>
              <w:pStyle w:val="TableParagraph"/>
              <w:spacing w:line="360" w:lineRule="auto"/>
              <w:ind w:left="64" w:right="65"/>
              <w:jc w:val="left"/>
              <w:rPr>
                <w:b/>
                <w:sz w:val="18"/>
              </w:rPr>
            </w:pPr>
            <w:r>
              <w:rPr>
                <w:b/>
                <w:sz w:val="18"/>
              </w:rPr>
              <w:t>IXTAPAN DE LA SAL</w:t>
            </w:r>
          </w:p>
        </w:tc>
        <w:tc>
          <w:tcPr>
            <w:tcW w:w="331" w:type="dxa"/>
            <w:tcBorders>
              <w:top w:val="single" w:sz="4" w:space="0" w:color="000000"/>
              <w:left w:val="single" w:sz="4" w:space="0" w:color="000000"/>
              <w:bottom w:val="single" w:sz="4" w:space="0" w:color="000000"/>
              <w:right w:val="single" w:sz="4" w:space="0" w:color="000000"/>
            </w:tcBorders>
          </w:tcPr>
          <w:p>
            <w:pPr>
              <w:pStyle w:val="TableParagraph"/>
              <w:spacing w:before="155"/>
              <w:ind w:right="109"/>
              <w:jc w:val="right"/>
              <w:rPr>
                <w:sz w:val="18"/>
              </w:rPr>
            </w:pPr>
            <w:r>
              <w:rPr>
                <w:w w:val="99"/>
                <w:sz w:val="18"/>
              </w:rPr>
              <w:t>0</w:t>
            </w:r>
          </w:p>
        </w:tc>
        <w:tc>
          <w:tcPr>
            <w:tcW w:w="28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4"/>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533"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69"/>
              <w:jc w:val="righ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5"/>
              <w:ind w:left="2"/>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20"/>
              <w:jc w:val="right"/>
              <w:rPr>
                <w:sz w:val="18"/>
              </w:rPr>
            </w:pPr>
            <w:r>
              <w:rPr>
                <w:w w:val="95"/>
                <w:sz w:val="18"/>
              </w:rPr>
              <w:t>24</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53" w:right="49"/>
              <w:rPr>
                <w:sz w:val="18"/>
              </w:rPr>
            </w:pPr>
            <w:r>
              <w:rPr>
                <w:sz w:val="18"/>
              </w:rPr>
              <w:t>13</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55" w:right="53"/>
              <w:rPr>
                <w:sz w:val="18"/>
              </w:rPr>
            </w:pPr>
            <w:r>
              <w:rPr>
                <w:sz w:val="18"/>
              </w:rPr>
              <w:t>11</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780" w:type="dxa"/>
            <w:tcBorders>
              <w:top w:val="single" w:sz="4" w:space="0" w:color="000000"/>
              <w:left w:val="single" w:sz="4" w:space="0" w:color="000000"/>
              <w:bottom w:val="single" w:sz="4" w:space="0" w:color="000000"/>
              <w:right w:val="single" w:sz="4" w:space="0" w:color="000000"/>
            </w:tcBorders>
          </w:tcPr>
          <w:p>
            <w:pPr>
              <w:pStyle w:val="TableParagraph"/>
              <w:spacing w:before="150"/>
              <w:ind w:left="90" w:right="83"/>
              <w:rPr>
                <w:b/>
                <w:sz w:val="18"/>
              </w:rPr>
            </w:pPr>
            <w:r>
              <w:rPr>
                <w:b/>
                <w:sz w:val="18"/>
              </w:rPr>
              <w:t>48</w:t>
            </w:r>
          </w:p>
        </w:tc>
      </w:tr>
      <w:tr>
        <w:trPr>
          <w:trHeight w:val="319" w:hRule="exact"/>
        </w:trPr>
        <w:tc>
          <w:tcPr>
            <w:tcW w:w="178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4"/>
              <w:jc w:val="left"/>
              <w:rPr>
                <w:b/>
                <w:sz w:val="18"/>
              </w:rPr>
            </w:pPr>
            <w:r>
              <w:rPr>
                <w:b/>
                <w:sz w:val="18"/>
              </w:rPr>
              <w:t>IXTAPAN DEL ORO</w:t>
            </w:r>
          </w:p>
        </w:tc>
        <w:tc>
          <w:tcPr>
            <w:tcW w:w="33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09"/>
              <w:jc w:val="right"/>
              <w:rPr>
                <w:sz w:val="18"/>
              </w:rPr>
            </w:pPr>
            <w:r>
              <w:rPr>
                <w:w w:val="99"/>
                <w:sz w:val="18"/>
              </w:rPr>
              <w:t>0</w:t>
            </w:r>
          </w:p>
        </w:tc>
        <w:tc>
          <w:tcPr>
            <w:tcW w:w="28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4"/>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53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6</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1</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8</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78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90" w:right="83"/>
              <w:rPr>
                <w:b/>
                <w:sz w:val="18"/>
              </w:rPr>
            </w:pPr>
            <w:r>
              <w:rPr>
                <w:b/>
                <w:sz w:val="18"/>
              </w:rPr>
              <w:t>15</w:t>
            </w:r>
          </w:p>
        </w:tc>
      </w:tr>
      <w:tr>
        <w:trPr>
          <w:trHeight w:val="322" w:hRule="exact"/>
        </w:trPr>
        <w:tc>
          <w:tcPr>
            <w:tcW w:w="1786"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4" w:right="65"/>
              <w:jc w:val="left"/>
              <w:rPr>
                <w:b/>
                <w:sz w:val="18"/>
              </w:rPr>
            </w:pPr>
            <w:r>
              <w:rPr>
                <w:b/>
                <w:sz w:val="18"/>
              </w:rPr>
              <w:t>IXTLAHUACA</w:t>
            </w:r>
          </w:p>
        </w:tc>
        <w:tc>
          <w:tcPr>
            <w:tcW w:w="331" w:type="dxa"/>
            <w:tcBorders>
              <w:top w:val="single" w:sz="4" w:space="0" w:color="000000"/>
              <w:left w:val="single" w:sz="4" w:space="0" w:color="000000"/>
              <w:bottom w:val="single" w:sz="4" w:space="0" w:color="000000"/>
              <w:right w:val="single" w:sz="4" w:space="0" w:color="000000"/>
            </w:tcBorders>
          </w:tcPr>
          <w:p>
            <w:pPr>
              <w:pStyle w:val="TableParagraph"/>
              <w:spacing w:before="1"/>
              <w:ind w:right="109"/>
              <w:jc w:val="right"/>
              <w:rPr>
                <w:sz w:val="18"/>
              </w:rPr>
            </w:pPr>
            <w:r>
              <w:rPr>
                <w:w w:val="99"/>
                <w:sz w:val="18"/>
              </w:rPr>
              <w:t>0</w:t>
            </w:r>
          </w:p>
        </w:tc>
        <w:tc>
          <w:tcPr>
            <w:tcW w:w="286"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
              <w:ind w:right="174"/>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4"/>
              <w:rPr>
                <w:sz w:val="18"/>
              </w:rPr>
            </w:pPr>
            <w:r>
              <w:rPr>
                <w:w w:val="99"/>
                <w:sz w:val="18"/>
              </w:rPr>
              <w:t>0</w:t>
            </w:r>
          </w:p>
        </w:tc>
        <w:tc>
          <w:tcPr>
            <w:tcW w:w="533"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right="169"/>
              <w:jc w:val="righ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
              <w:ind w:left="2"/>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right="120"/>
              <w:jc w:val="right"/>
              <w:rPr>
                <w:sz w:val="18"/>
              </w:rPr>
            </w:pPr>
            <w:r>
              <w:rPr>
                <w:w w:val="95"/>
                <w:sz w:val="18"/>
              </w:rPr>
              <w:t>43</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53" w:right="49"/>
              <w:rPr>
                <w:sz w:val="18"/>
              </w:rPr>
            </w:pPr>
            <w:r>
              <w:rPr>
                <w:sz w:val="18"/>
              </w:rPr>
              <w:t>40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
              <w:ind w:left="1"/>
              <w:rPr>
                <w:sz w:val="18"/>
              </w:rPr>
            </w:pPr>
            <w:r>
              <w:rPr>
                <w:w w:val="99"/>
                <w:sz w:val="18"/>
              </w:rPr>
              <w:t>2</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780"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90" w:right="83"/>
              <w:rPr>
                <w:b/>
                <w:sz w:val="18"/>
              </w:rPr>
            </w:pPr>
            <w:r>
              <w:rPr>
                <w:b/>
                <w:sz w:val="18"/>
              </w:rPr>
              <w:t>85</w:t>
            </w:r>
          </w:p>
        </w:tc>
      </w:tr>
      <w:tr>
        <w:trPr>
          <w:trHeight w:val="319" w:hRule="exact"/>
        </w:trPr>
        <w:tc>
          <w:tcPr>
            <w:tcW w:w="178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4" w:right="65"/>
              <w:jc w:val="left"/>
              <w:rPr>
                <w:b/>
                <w:sz w:val="18"/>
              </w:rPr>
            </w:pPr>
            <w:r>
              <w:rPr>
                <w:b/>
                <w:sz w:val="18"/>
              </w:rPr>
              <w:t>JALTENCO</w:t>
            </w:r>
          </w:p>
        </w:tc>
        <w:tc>
          <w:tcPr>
            <w:tcW w:w="33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09"/>
              <w:jc w:val="right"/>
              <w:rPr>
                <w:sz w:val="18"/>
              </w:rPr>
            </w:pPr>
            <w:r>
              <w:rPr>
                <w:w w:val="99"/>
                <w:sz w:val="18"/>
              </w:rPr>
              <w:t>0</w:t>
            </w:r>
          </w:p>
        </w:tc>
        <w:tc>
          <w:tcPr>
            <w:tcW w:w="28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4"/>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53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78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
              <w:rPr>
                <w:b/>
                <w:sz w:val="18"/>
              </w:rPr>
            </w:pPr>
            <w:r>
              <w:rPr>
                <w:b/>
                <w:w w:val="99"/>
                <w:sz w:val="18"/>
              </w:rPr>
              <w:t>0</w:t>
            </w:r>
          </w:p>
        </w:tc>
      </w:tr>
      <w:tr>
        <w:trPr>
          <w:trHeight w:val="322" w:hRule="exact"/>
        </w:trPr>
        <w:tc>
          <w:tcPr>
            <w:tcW w:w="1786"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4" w:right="65"/>
              <w:jc w:val="left"/>
              <w:rPr>
                <w:b/>
                <w:sz w:val="18"/>
              </w:rPr>
            </w:pPr>
            <w:r>
              <w:rPr>
                <w:b/>
                <w:sz w:val="18"/>
              </w:rPr>
              <w:t>JILOTEPEC</w:t>
            </w:r>
          </w:p>
        </w:tc>
        <w:tc>
          <w:tcPr>
            <w:tcW w:w="331" w:type="dxa"/>
            <w:tcBorders>
              <w:top w:val="single" w:sz="4" w:space="0" w:color="000000"/>
              <w:left w:val="single" w:sz="4" w:space="0" w:color="000000"/>
              <w:bottom w:val="single" w:sz="4" w:space="0" w:color="000000"/>
              <w:right w:val="single" w:sz="4" w:space="0" w:color="000000"/>
            </w:tcBorders>
          </w:tcPr>
          <w:p>
            <w:pPr>
              <w:pStyle w:val="TableParagraph"/>
              <w:spacing w:before="1"/>
              <w:ind w:right="109"/>
              <w:jc w:val="right"/>
              <w:rPr>
                <w:sz w:val="18"/>
              </w:rPr>
            </w:pPr>
            <w:r>
              <w:rPr>
                <w:w w:val="99"/>
                <w:sz w:val="18"/>
              </w:rPr>
              <w:t>0</w:t>
            </w:r>
          </w:p>
        </w:tc>
        <w:tc>
          <w:tcPr>
            <w:tcW w:w="286"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24"/>
              <w:jc w:val="left"/>
              <w:rPr>
                <w:sz w:val="18"/>
              </w:rPr>
            </w:pPr>
            <w:r>
              <w:rPr>
                <w:sz w:val="18"/>
              </w:rPr>
              <w:t>25</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
              <w:ind w:right="174"/>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right="120"/>
              <w:jc w:val="right"/>
              <w:rPr>
                <w:sz w:val="18"/>
              </w:rPr>
            </w:pPr>
            <w:r>
              <w:rPr>
                <w:w w:val="95"/>
                <w:sz w:val="18"/>
              </w:rPr>
              <w:t>29</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4"/>
              <w:rPr>
                <w:sz w:val="18"/>
              </w:rPr>
            </w:pPr>
            <w:r>
              <w:rPr>
                <w:w w:val="99"/>
                <w:sz w:val="18"/>
              </w:rPr>
              <w:t>0</w:t>
            </w:r>
          </w:p>
        </w:tc>
        <w:tc>
          <w:tcPr>
            <w:tcW w:w="533" w:type="dxa"/>
            <w:tcBorders>
              <w:top w:val="single" w:sz="4" w:space="0" w:color="000000"/>
              <w:left w:val="single" w:sz="4" w:space="0" w:color="000000"/>
              <w:bottom w:val="single" w:sz="4" w:space="0" w:color="000000"/>
              <w:right w:val="single" w:sz="4" w:space="0" w:color="000000"/>
            </w:tcBorders>
          </w:tcPr>
          <w:p>
            <w:pPr>
              <w:pStyle w:val="TableParagraph"/>
              <w:spacing w:before="1"/>
              <w:ind w:right="156"/>
              <w:jc w:val="right"/>
              <w:rPr>
                <w:sz w:val="18"/>
              </w:rPr>
            </w:pPr>
            <w:r>
              <w:rPr>
                <w:w w:val="95"/>
                <w:sz w:val="18"/>
              </w:rPr>
              <w:t>28</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right="169"/>
              <w:jc w:val="righ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
              <w:ind w:right="120"/>
              <w:jc w:val="right"/>
              <w:rPr>
                <w:sz w:val="18"/>
              </w:rPr>
            </w:pPr>
            <w:r>
              <w:rPr>
                <w:w w:val="95"/>
                <w:sz w:val="18"/>
              </w:rPr>
              <w:t>36</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right="120"/>
              <w:jc w:val="right"/>
              <w:rPr>
                <w:sz w:val="18"/>
              </w:rPr>
            </w:pPr>
            <w:r>
              <w:rPr>
                <w:w w:val="95"/>
                <w:sz w:val="18"/>
              </w:rPr>
              <w:t>22</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53" w:right="49"/>
              <w:rPr>
                <w:sz w:val="18"/>
              </w:rPr>
            </w:pPr>
            <w:r>
              <w:rPr>
                <w:sz w:val="18"/>
              </w:rPr>
              <w:t>18</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55" w:right="53"/>
              <w:rPr>
                <w:sz w:val="18"/>
              </w:rPr>
            </w:pPr>
            <w:r>
              <w:rPr>
                <w:sz w:val="18"/>
              </w:rPr>
              <w:t>15</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1</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780"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right="228"/>
              <w:jc w:val="right"/>
              <w:rPr>
                <w:b/>
                <w:sz w:val="18"/>
              </w:rPr>
            </w:pPr>
            <w:r>
              <w:rPr>
                <w:b/>
                <w:w w:val="95"/>
                <w:sz w:val="18"/>
              </w:rPr>
              <w:t>174</w:t>
            </w:r>
          </w:p>
        </w:tc>
      </w:tr>
      <w:tr>
        <w:trPr>
          <w:trHeight w:val="322" w:hRule="exact"/>
        </w:trPr>
        <w:tc>
          <w:tcPr>
            <w:tcW w:w="178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4" w:right="65"/>
              <w:jc w:val="left"/>
              <w:rPr>
                <w:b/>
                <w:sz w:val="18"/>
              </w:rPr>
            </w:pPr>
            <w:r>
              <w:rPr>
                <w:b/>
                <w:sz w:val="18"/>
              </w:rPr>
              <w:t>JILOTZINGO</w:t>
            </w:r>
          </w:p>
        </w:tc>
        <w:tc>
          <w:tcPr>
            <w:tcW w:w="33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09"/>
              <w:jc w:val="right"/>
              <w:rPr>
                <w:sz w:val="18"/>
              </w:rPr>
            </w:pPr>
            <w:r>
              <w:rPr>
                <w:w w:val="99"/>
                <w:sz w:val="18"/>
              </w:rPr>
              <w:t>0</w:t>
            </w:r>
          </w:p>
        </w:tc>
        <w:tc>
          <w:tcPr>
            <w:tcW w:w="28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4"/>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53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78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
              <w:rPr>
                <w:b/>
                <w:sz w:val="18"/>
              </w:rPr>
            </w:pPr>
            <w:r>
              <w:rPr>
                <w:b/>
                <w:w w:val="99"/>
                <w:sz w:val="18"/>
              </w:rPr>
              <w:t>0</w:t>
            </w:r>
          </w:p>
        </w:tc>
      </w:tr>
      <w:tr>
        <w:trPr>
          <w:trHeight w:val="319" w:hRule="exact"/>
        </w:trPr>
        <w:tc>
          <w:tcPr>
            <w:tcW w:w="178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4" w:right="65"/>
              <w:jc w:val="left"/>
              <w:rPr>
                <w:b/>
                <w:sz w:val="18"/>
              </w:rPr>
            </w:pPr>
            <w:r>
              <w:rPr>
                <w:b/>
                <w:sz w:val="18"/>
              </w:rPr>
              <w:t>JIQUIPILCO</w:t>
            </w:r>
          </w:p>
        </w:tc>
        <w:tc>
          <w:tcPr>
            <w:tcW w:w="33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09"/>
              <w:jc w:val="right"/>
              <w:rPr>
                <w:sz w:val="18"/>
              </w:rPr>
            </w:pPr>
            <w:r>
              <w:rPr>
                <w:w w:val="99"/>
                <w:sz w:val="18"/>
              </w:rPr>
              <w:t>0</w:t>
            </w:r>
          </w:p>
        </w:tc>
        <w:tc>
          <w:tcPr>
            <w:tcW w:w="28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4"/>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53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9</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78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
              <w:rPr>
                <w:b/>
                <w:sz w:val="18"/>
              </w:rPr>
            </w:pPr>
            <w:r>
              <w:rPr>
                <w:b/>
                <w:w w:val="99"/>
                <w:sz w:val="18"/>
              </w:rPr>
              <w:t>9</w:t>
            </w:r>
          </w:p>
        </w:tc>
      </w:tr>
      <w:tr>
        <w:trPr>
          <w:trHeight w:val="322" w:hRule="exact"/>
        </w:trPr>
        <w:tc>
          <w:tcPr>
            <w:tcW w:w="178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4" w:right="65"/>
              <w:jc w:val="left"/>
              <w:rPr>
                <w:b/>
                <w:sz w:val="18"/>
              </w:rPr>
            </w:pPr>
            <w:r>
              <w:rPr>
                <w:b/>
                <w:sz w:val="18"/>
              </w:rPr>
              <w:t>JOCOTITLAN</w:t>
            </w:r>
          </w:p>
        </w:tc>
        <w:tc>
          <w:tcPr>
            <w:tcW w:w="33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09"/>
              <w:jc w:val="right"/>
              <w:rPr>
                <w:sz w:val="18"/>
              </w:rPr>
            </w:pPr>
            <w:r>
              <w:rPr>
                <w:w w:val="99"/>
                <w:sz w:val="18"/>
              </w:rPr>
              <w:t>0</w:t>
            </w:r>
          </w:p>
        </w:tc>
        <w:tc>
          <w:tcPr>
            <w:tcW w:w="28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4"/>
              <w:jc w:val="left"/>
              <w:rPr>
                <w:sz w:val="18"/>
              </w:rPr>
            </w:pPr>
            <w:r>
              <w:rPr>
                <w:sz w:val="18"/>
              </w:rPr>
              <w:t>18</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4"/>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20"/>
              <w:jc w:val="right"/>
              <w:rPr>
                <w:sz w:val="18"/>
              </w:rPr>
            </w:pPr>
            <w:r>
              <w:rPr>
                <w:w w:val="95"/>
                <w:sz w:val="18"/>
              </w:rPr>
              <w:t>40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53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56"/>
              <w:jc w:val="right"/>
              <w:rPr>
                <w:sz w:val="18"/>
              </w:rPr>
            </w:pPr>
            <w:r>
              <w:rPr>
                <w:w w:val="95"/>
                <w:sz w:val="18"/>
              </w:rPr>
              <w:t>24</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20"/>
              <w:jc w:val="right"/>
              <w:rPr>
                <w:sz w:val="18"/>
              </w:rPr>
            </w:pPr>
            <w:r>
              <w:rPr>
                <w:w w:val="95"/>
                <w:sz w:val="18"/>
              </w:rPr>
              <w:t>15</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20"/>
              <w:jc w:val="right"/>
              <w:rPr>
                <w:sz w:val="18"/>
              </w:rPr>
            </w:pPr>
            <w:r>
              <w:rPr>
                <w:w w:val="95"/>
                <w:sz w:val="18"/>
              </w:rPr>
              <w:t>15</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4</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5" w:right="53"/>
              <w:rPr>
                <w:sz w:val="18"/>
              </w:rPr>
            </w:pPr>
            <w:r>
              <w:rPr>
                <w:sz w:val="18"/>
              </w:rPr>
              <w:t>12</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78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right="228"/>
              <w:jc w:val="right"/>
              <w:rPr>
                <w:b/>
                <w:sz w:val="18"/>
              </w:rPr>
            </w:pPr>
            <w:r>
              <w:rPr>
                <w:b/>
                <w:w w:val="95"/>
                <w:sz w:val="18"/>
              </w:rPr>
              <w:t>128</w:t>
            </w:r>
          </w:p>
        </w:tc>
      </w:tr>
    </w:tbl>
    <w:p>
      <w:pPr>
        <w:spacing w:after="0" w:line="201" w:lineRule="exact"/>
        <w:jc w:val="right"/>
        <w:rPr>
          <w:sz w:val="18"/>
        </w:rPr>
        <w:sectPr>
          <w:pgSz w:w="15840" w:h="12240" w:orient="landscape"/>
          <w:pgMar w:header="0" w:footer="975" w:top="1140" w:bottom="1160" w:left="1380" w:right="880"/>
        </w:sectPr>
      </w:pPr>
    </w:p>
    <w:p>
      <w:pPr>
        <w:pStyle w:val="BodyText"/>
        <w:rPr>
          <w:rFonts w:ascii="Times New Roman"/>
          <w:sz w:val="20"/>
        </w:rPr>
      </w:pPr>
    </w:p>
    <w:p>
      <w:pPr>
        <w:pStyle w:val="BodyText"/>
        <w:spacing w:before="10"/>
        <w:rPr>
          <w:rFonts w:ascii="Times New Roman"/>
          <w:sz w:val="28"/>
        </w:rPr>
      </w:pPr>
    </w:p>
    <w:tbl>
      <w:tblPr>
        <w:tblW w:w="0" w:type="auto"/>
        <w:jc w:val="left"/>
        <w:tblInd w:w="1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880"/>
        <w:gridCol w:w="456"/>
        <w:gridCol w:w="458"/>
        <w:gridCol w:w="456"/>
        <w:gridCol w:w="459"/>
        <w:gridCol w:w="456"/>
        <w:gridCol w:w="456"/>
        <w:gridCol w:w="458"/>
        <w:gridCol w:w="456"/>
        <w:gridCol w:w="458"/>
        <w:gridCol w:w="511"/>
        <w:gridCol w:w="458"/>
        <w:gridCol w:w="456"/>
        <w:gridCol w:w="458"/>
        <w:gridCol w:w="456"/>
        <w:gridCol w:w="456"/>
        <w:gridCol w:w="458"/>
        <w:gridCol w:w="456"/>
        <w:gridCol w:w="458"/>
        <w:gridCol w:w="457"/>
        <w:gridCol w:w="458"/>
        <w:gridCol w:w="456"/>
        <w:gridCol w:w="456"/>
        <w:gridCol w:w="458"/>
        <w:gridCol w:w="456"/>
        <w:gridCol w:w="542"/>
      </w:tblGrid>
      <w:tr>
        <w:trPr>
          <w:trHeight w:val="330" w:hRule="exact"/>
        </w:trPr>
        <w:tc>
          <w:tcPr>
            <w:tcW w:w="13447" w:type="dxa"/>
            <w:gridSpan w:val="26"/>
            <w:shd w:val="clear" w:color="auto" w:fill="92D050"/>
          </w:tcPr>
          <w:p>
            <w:pPr>
              <w:pStyle w:val="TableParagraph"/>
              <w:spacing w:line="201" w:lineRule="exact"/>
              <w:ind w:left="2395"/>
              <w:jc w:val="left"/>
              <w:rPr>
                <w:b/>
                <w:sz w:val="18"/>
              </w:rPr>
            </w:pPr>
            <w:r>
              <w:rPr>
                <w:b/>
                <w:sz w:val="18"/>
              </w:rPr>
              <w:t>Anexo 21. Municipios que publican apartado de solicitudes de información 2008-2015 (Continuación)</w:t>
            </w:r>
          </w:p>
        </w:tc>
      </w:tr>
      <w:tr>
        <w:trPr>
          <w:trHeight w:val="330" w:hRule="exact"/>
        </w:trPr>
        <w:tc>
          <w:tcPr>
            <w:tcW w:w="1880" w:type="dxa"/>
            <w:vMerge w:val="restart"/>
            <w:tcBorders>
              <w:right w:val="single" w:sz="4" w:space="0" w:color="000000"/>
            </w:tcBorders>
            <w:shd w:val="clear" w:color="auto" w:fill="C5DFB3"/>
          </w:tcPr>
          <w:p>
            <w:pPr>
              <w:pStyle w:val="TableParagraph"/>
              <w:jc w:val="left"/>
              <w:rPr>
                <w:rFonts w:ascii="Times New Roman"/>
                <w:sz w:val="18"/>
              </w:rPr>
            </w:pPr>
          </w:p>
          <w:p>
            <w:pPr>
              <w:pStyle w:val="TableParagraph"/>
              <w:spacing w:before="2"/>
              <w:jc w:val="left"/>
              <w:rPr>
                <w:rFonts w:ascii="Times New Roman"/>
                <w:sz w:val="20"/>
              </w:rPr>
            </w:pPr>
          </w:p>
          <w:p>
            <w:pPr>
              <w:pStyle w:val="TableParagraph"/>
              <w:ind w:left="509" w:right="65"/>
              <w:jc w:val="left"/>
              <w:rPr>
                <w:b/>
                <w:sz w:val="18"/>
              </w:rPr>
            </w:pPr>
            <w:r>
              <w:rPr>
                <w:b/>
                <w:sz w:val="18"/>
              </w:rPr>
              <w:t>Municipio</w:t>
            </w:r>
          </w:p>
        </w:tc>
        <w:tc>
          <w:tcPr>
            <w:tcW w:w="1370" w:type="dxa"/>
            <w:gridSpan w:val="3"/>
            <w:tcBorders>
              <w:top w:val="single" w:sz="4" w:space="0" w:color="000000"/>
              <w:left w:val="single" w:sz="4" w:space="0" w:color="000000"/>
              <w:right w:val="single" w:sz="4" w:space="0" w:color="000000"/>
            </w:tcBorders>
            <w:shd w:val="clear" w:color="auto" w:fill="D7E3BB"/>
          </w:tcPr>
          <w:p>
            <w:pPr>
              <w:pStyle w:val="TableParagraph"/>
              <w:ind w:left="350" w:right="348"/>
              <w:rPr>
                <w:b/>
                <w:sz w:val="18"/>
              </w:rPr>
            </w:pPr>
            <w:r>
              <w:rPr>
                <w:b/>
                <w:sz w:val="18"/>
              </w:rPr>
              <w:t>2008</w:t>
            </w:r>
          </w:p>
        </w:tc>
        <w:tc>
          <w:tcPr>
            <w:tcW w:w="1371" w:type="dxa"/>
            <w:gridSpan w:val="3"/>
            <w:tcBorders>
              <w:top w:val="single" w:sz="4" w:space="0" w:color="000000"/>
              <w:left w:val="single" w:sz="4" w:space="0" w:color="000000"/>
              <w:right w:val="single" w:sz="4" w:space="0" w:color="000000"/>
            </w:tcBorders>
            <w:shd w:val="clear" w:color="auto" w:fill="D7E3BB"/>
          </w:tcPr>
          <w:p>
            <w:pPr>
              <w:pStyle w:val="TableParagraph"/>
              <w:ind w:left="461" w:right="454"/>
              <w:rPr>
                <w:b/>
                <w:sz w:val="18"/>
              </w:rPr>
            </w:pPr>
            <w:r>
              <w:rPr>
                <w:b/>
                <w:sz w:val="18"/>
              </w:rPr>
              <w:t>2009</w:t>
            </w:r>
          </w:p>
        </w:tc>
        <w:tc>
          <w:tcPr>
            <w:tcW w:w="1373" w:type="dxa"/>
            <w:gridSpan w:val="3"/>
            <w:tcBorders>
              <w:top w:val="single" w:sz="4" w:space="0" w:color="000000"/>
              <w:left w:val="single" w:sz="4" w:space="0" w:color="000000"/>
              <w:right w:val="single" w:sz="4" w:space="0" w:color="000000"/>
            </w:tcBorders>
            <w:shd w:val="clear" w:color="auto" w:fill="D7E3BB"/>
          </w:tcPr>
          <w:p>
            <w:pPr>
              <w:pStyle w:val="TableParagraph"/>
              <w:ind w:left="463" w:right="459"/>
              <w:rPr>
                <w:b/>
                <w:sz w:val="18"/>
              </w:rPr>
            </w:pPr>
            <w:r>
              <w:rPr>
                <w:b/>
                <w:sz w:val="18"/>
              </w:rPr>
              <w:t>2010</w:t>
            </w:r>
          </w:p>
        </w:tc>
        <w:tc>
          <w:tcPr>
            <w:tcW w:w="1426" w:type="dxa"/>
            <w:gridSpan w:val="3"/>
            <w:tcBorders>
              <w:top w:val="single" w:sz="4" w:space="0" w:color="000000"/>
              <w:left w:val="single" w:sz="4" w:space="0" w:color="000000"/>
              <w:right w:val="single" w:sz="4" w:space="0" w:color="000000"/>
            </w:tcBorders>
            <w:shd w:val="clear" w:color="auto" w:fill="D7E3BB"/>
          </w:tcPr>
          <w:p>
            <w:pPr>
              <w:pStyle w:val="TableParagraph"/>
              <w:ind w:left="488" w:right="488"/>
              <w:rPr>
                <w:b/>
                <w:sz w:val="18"/>
              </w:rPr>
            </w:pPr>
            <w:r>
              <w:rPr>
                <w:b/>
                <w:sz w:val="18"/>
              </w:rPr>
              <w:t>2011</w:t>
            </w:r>
          </w:p>
        </w:tc>
        <w:tc>
          <w:tcPr>
            <w:tcW w:w="1370" w:type="dxa"/>
            <w:gridSpan w:val="3"/>
            <w:tcBorders>
              <w:top w:val="single" w:sz="4" w:space="0" w:color="000000"/>
              <w:left w:val="single" w:sz="4" w:space="0" w:color="000000"/>
              <w:right w:val="single" w:sz="4" w:space="0" w:color="000000"/>
            </w:tcBorders>
            <w:shd w:val="clear" w:color="auto" w:fill="D7E3BB"/>
          </w:tcPr>
          <w:p>
            <w:pPr>
              <w:pStyle w:val="TableParagraph"/>
              <w:ind w:left="350" w:right="343"/>
              <w:rPr>
                <w:b/>
                <w:sz w:val="18"/>
              </w:rPr>
            </w:pPr>
            <w:r>
              <w:rPr>
                <w:b/>
                <w:sz w:val="18"/>
              </w:rPr>
              <w:t>2012</w:t>
            </w:r>
          </w:p>
        </w:tc>
        <w:tc>
          <w:tcPr>
            <w:tcW w:w="1373" w:type="dxa"/>
            <w:gridSpan w:val="3"/>
            <w:tcBorders>
              <w:top w:val="single" w:sz="4" w:space="0" w:color="000000"/>
              <w:left w:val="single" w:sz="4" w:space="0" w:color="000000"/>
              <w:right w:val="single" w:sz="4" w:space="0" w:color="000000"/>
            </w:tcBorders>
            <w:shd w:val="clear" w:color="auto" w:fill="D7E3BB"/>
          </w:tcPr>
          <w:p>
            <w:pPr>
              <w:pStyle w:val="TableParagraph"/>
              <w:ind w:left="463" w:right="459"/>
              <w:rPr>
                <w:b/>
                <w:sz w:val="18"/>
              </w:rPr>
            </w:pPr>
            <w:r>
              <w:rPr>
                <w:b/>
                <w:sz w:val="18"/>
              </w:rPr>
              <w:t>2013</w:t>
            </w:r>
          </w:p>
        </w:tc>
        <w:tc>
          <w:tcPr>
            <w:tcW w:w="1371" w:type="dxa"/>
            <w:gridSpan w:val="3"/>
            <w:tcBorders>
              <w:top w:val="single" w:sz="4" w:space="0" w:color="000000"/>
              <w:left w:val="single" w:sz="4" w:space="0" w:color="000000"/>
              <w:right w:val="single" w:sz="4" w:space="0" w:color="000000"/>
            </w:tcBorders>
            <w:shd w:val="clear" w:color="auto" w:fill="D7E3BB"/>
          </w:tcPr>
          <w:p>
            <w:pPr>
              <w:pStyle w:val="TableParagraph"/>
              <w:ind w:left="460" w:right="457"/>
              <w:rPr>
                <w:b/>
                <w:sz w:val="18"/>
              </w:rPr>
            </w:pPr>
            <w:r>
              <w:rPr>
                <w:b/>
                <w:sz w:val="18"/>
              </w:rPr>
              <w:t>2014</w:t>
            </w:r>
          </w:p>
        </w:tc>
        <w:tc>
          <w:tcPr>
            <w:tcW w:w="1370" w:type="dxa"/>
            <w:gridSpan w:val="3"/>
            <w:tcBorders>
              <w:top w:val="single" w:sz="4" w:space="0" w:color="000000"/>
              <w:left w:val="single" w:sz="4" w:space="0" w:color="000000"/>
              <w:right w:val="single" w:sz="4" w:space="0" w:color="000000"/>
            </w:tcBorders>
            <w:shd w:val="clear" w:color="auto" w:fill="D7E3BB"/>
          </w:tcPr>
          <w:p>
            <w:pPr>
              <w:pStyle w:val="TableParagraph"/>
              <w:ind w:left="350" w:right="343"/>
              <w:rPr>
                <w:b/>
                <w:sz w:val="18"/>
              </w:rPr>
            </w:pPr>
            <w:r>
              <w:rPr>
                <w:b/>
                <w:sz w:val="18"/>
              </w:rPr>
              <w:t>2015</w:t>
            </w:r>
          </w:p>
        </w:tc>
        <w:tc>
          <w:tcPr>
            <w:tcW w:w="542" w:type="dxa"/>
            <w:vMerge w:val="restart"/>
            <w:tcBorders>
              <w:top w:val="single" w:sz="4" w:space="0" w:color="000000"/>
              <w:left w:val="single" w:sz="4" w:space="0" w:color="000000"/>
            </w:tcBorders>
            <w:shd w:val="clear" w:color="auto" w:fill="D7E3BB"/>
            <w:textDirection w:val="btLr"/>
          </w:tcPr>
          <w:p>
            <w:pPr>
              <w:pStyle w:val="TableParagraph"/>
              <w:spacing w:before="107"/>
              <w:ind w:left="117"/>
              <w:jc w:val="left"/>
              <w:rPr>
                <w:b/>
                <w:sz w:val="18"/>
              </w:rPr>
            </w:pPr>
            <w:r>
              <w:rPr>
                <w:b/>
                <w:w w:val="100"/>
                <w:sz w:val="18"/>
              </w:rPr>
              <w:t>To</w:t>
            </w:r>
            <w:r>
              <w:rPr>
                <w:b/>
                <w:w w:val="99"/>
                <w:sz w:val="18"/>
              </w:rPr>
              <w:t>ta</w:t>
            </w:r>
            <w:r>
              <w:rPr>
                <w:b/>
                <w:w w:val="100"/>
                <w:sz w:val="18"/>
              </w:rPr>
              <w:t>l</w:t>
            </w:r>
          </w:p>
        </w:tc>
      </w:tr>
      <w:tr>
        <w:trPr>
          <w:trHeight w:val="890" w:hRule="exact"/>
        </w:trPr>
        <w:tc>
          <w:tcPr>
            <w:tcW w:w="1880" w:type="dxa"/>
            <w:vMerge/>
            <w:tcBorders>
              <w:right w:val="single" w:sz="4" w:space="0" w:color="000000"/>
            </w:tcBorders>
            <w:shd w:val="clear" w:color="auto" w:fill="C5DFB3"/>
          </w:tcPr>
          <w:p>
            <w:pP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SIP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99"/>
                <w:sz w:val="18"/>
              </w:rPr>
              <w:t>SA</w:t>
            </w:r>
            <w:r>
              <w:rPr>
                <w:b/>
                <w:spacing w:val="-1"/>
                <w:w w:val="99"/>
                <w:sz w:val="18"/>
              </w:rPr>
              <w:t>D</w:t>
            </w:r>
            <w:r>
              <w:rPr>
                <w:b/>
                <w:w w:val="100"/>
                <w:sz w:val="18"/>
              </w:rPr>
              <w:t>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w:t>
            </w:r>
            <w:r>
              <w:rPr>
                <w:b/>
                <w:spacing w:val="-1"/>
                <w:w w:val="100"/>
                <w:sz w:val="18"/>
              </w:rPr>
              <w:t>O</w:t>
            </w:r>
            <w:r>
              <w:rPr>
                <w:b/>
                <w:w w:val="99"/>
                <w:sz w:val="18"/>
              </w:rPr>
              <w:t>DP</w:t>
            </w:r>
          </w:p>
        </w:tc>
        <w:tc>
          <w:tcPr>
            <w:tcW w:w="459"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SIP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99"/>
                <w:sz w:val="18"/>
              </w:rPr>
              <w:t>SA</w:t>
            </w:r>
            <w:r>
              <w:rPr>
                <w:b/>
                <w:spacing w:val="-1"/>
                <w:w w:val="99"/>
                <w:sz w:val="18"/>
              </w:rPr>
              <w:t>D</w:t>
            </w:r>
            <w:r>
              <w:rPr>
                <w:b/>
                <w:w w:val="100"/>
                <w:sz w:val="18"/>
              </w:rPr>
              <w:t>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w:t>
            </w:r>
            <w:r>
              <w:rPr>
                <w:b/>
                <w:spacing w:val="-1"/>
                <w:w w:val="100"/>
                <w:sz w:val="18"/>
              </w:rPr>
              <w:t>O</w:t>
            </w:r>
            <w:r>
              <w:rPr>
                <w:b/>
                <w:w w:val="99"/>
                <w:sz w:val="18"/>
              </w:rPr>
              <w:t>DP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SIP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99"/>
                <w:sz w:val="18"/>
              </w:rPr>
              <w:t>SA</w:t>
            </w:r>
            <w:r>
              <w:rPr>
                <w:b/>
                <w:spacing w:val="-1"/>
                <w:w w:val="99"/>
                <w:sz w:val="18"/>
              </w:rPr>
              <w:t>D</w:t>
            </w:r>
            <w:r>
              <w:rPr>
                <w:b/>
                <w:w w:val="100"/>
                <w:sz w:val="18"/>
              </w:rPr>
              <w:t>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w:t>
            </w:r>
            <w:r>
              <w:rPr>
                <w:b/>
                <w:spacing w:val="-1"/>
                <w:w w:val="100"/>
                <w:sz w:val="18"/>
              </w:rPr>
              <w:t>O</w:t>
            </w:r>
            <w:r>
              <w:rPr>
                <w:b/>
                <w:w w:val="99"/>
                <w:sz w:val="18"/>
              </w:rPr>
              <w:t>DP</w:t>
            </w:r>
          </w:p>
        </w:tc>
        <w:tc>
          <w:tcPr>
            <w:tcW w:w="511"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119"/>
              <w:ind w:left="4"/>
              <w:jc w:val="left"/>
              <w:rPr>
                <w:b/>
                <w:sz w:val="18"/>
              </w:rPr>
            </w:pPr>
            <w:r>
              <w:rPr>
                <w:b/>
                <w:w w:val="100"/>
                <w:sz w:val="18"/>
              </w:rPr>
              <w:t>SIP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99"/>
                <w:sz w:val="18"/>
              </w:rPr>
              <w:t>SA</w:t>
            </w:r>
            <w:r>
              <w:rPr>
                <w:b/>
                <w:spacing w:val="-1"/>
                <w:w w:val="99"/>
                <w:sz w:val="18"/>
              </w:rPr>
              <w:t>D</w:t>
            </w:r>
            <w:r>
              <w:rPr>
                <w:b/>
                <w:w w:val="100"/>
                <w:sz w:val="18"/>
              </w:rPr>
              <w:t>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w:t>
            </w:r>
            <w:r>
              <w:rPr>
                <w:b/>
                <w:spacing w:val="-1"/>
                <w:w w:val="100"/>
                <w:sz w:val="18"/>
              </w:rPr>
              <w:t>O</w:t>
            </w:r>
            <w:r>
              <w:rPr>
                <w:b/>
                <w:w w:val="99"/>
                <w:sz w:val="18"/>
              </w:rPr>
              <w:t>DP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SIP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99"/>
                <w:sz w:val="18"/>
              </w:rPr>
              <w:t>SA</w:t>
            </w:r>
            <w:r>
              <w:rPr>
                <w:b/>
                <w:spacing w:val="-1"/>
                <w:w w:val="99"/>
                <w:sz w:val="18"/>
              </w:rPr>
              <w:t>D</w:t>
            </w:r>
            <w:r>
              <w:rPr>
                <w:b/>
                <w:w w:val="100"/>
                <w:sz w:val="18"/>
              </w:rPr>
              <w:t>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w:t>
            </w:r>
            <w:r>
              <w:rPr>
                <w:b/>
                <w:spacing w:val="-1"/>
                <w:w w:val="100"/>
                <w:sz w:val="18"/>
              </w:rPr>
              <w:t>O</w:t>
            </w:r>
            <w:r>
              <w:rPr>
                <w:b/>
                <w:w w:val="99"/>
                <w:sz w:val="18"/>
              </w:rPr>
              <w:t>DP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SIP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99"/>
                <w:sz w:val="18"/>
              </w:rPr>
              <w:t>SA</w:t>
            </w:r>
            <w:r>
              <w:rPr>
                <w:b/>
                <w:spacing w:val="-1"/>
                <w:w w:val="99"/>
                <w:sz w:val="18"/>
              </w:rPr>
              <w:t>D</w:t>
            </w:r>
            <w:r>
              <w:rPr>
                <w:b/>
                <w:w w:val="100"/>
                <w:sz w:val="18"/>
              </w:rPr>
              <w:t>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w:t>
            </w:r>
            <w:r>
              <w:rPr>
                <w:b/>
                <w:spacing w:val="-1"/>
                <w:w w:val="100"/>
                <w:sz w:val="18"/>
              </w:rPr>
              <w:t>O</w:t>
            </w:r>
            <w:r>
              <w:rPr>
                <w:b/>
                <w:w w:val="99"/>
                <w:sz w:val="18"/>
              </w:rPr>
              <w:t>DP</w:t>
            </w:r>
          </w:p>
        </w:tc>
        <w:tc>
          <w:tcPr>
            <w:tcW w:w="457"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SIP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99"/>
                <w:sz w:val="18"/>
              </w:rPr>
              <w:t>SA</w:t>
            </w:r>
            <w:r>
              <w:rPr>
                <w:b/>
                <w:spacing w:val="-1"/>
                <w:w w:val="99"/>
                <w:sz w:val="18"/>
              </w:rPr>
              <w:t>D</w:t>
            </w:r>
            <w:r>
              <w:rPr>
                <w:b/>
                <w:w w:val="100"/>
                <w:sz w:val="18"/>
              </w:rPr>
              <w:t>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w:t>
            </w:r>
            <w:r>
              <w:rPr>
                <w:b/>
                <w:spacing w:val="-1"/>
                <w:w w:val="100"/>
                <w:sz w:val="18"/>
              </w:rPr>
              <w:t>O</w:t>
            </w:r>
            <w:r>
              <w:rPr>
                <w:b/>
                <w:w w:val="99"/>
                <w:sz w:val="18"/>
              </w:rPr>
              <w:t>DP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spacing w:val="-1"/>
                <w:w w:val="100"/>
                <w:sz w:val="18"/>
              </w:rPr>
              <w:t>S</w:t>
            </w:r>
            <w:r>
              <w:rPr>
                <w:b/>
                <w:w w:val="100"/>
                <w:sz w:val="18"/>
              </w:rPr>
              <w:t>I</w:t>
            </w:r>
            <w:r>
              <w:rPr>
                <w:b/>
                <w:w w:val="100"/>
                <w:sz w:val="18"/>
              </w:rPr>
              <w:t>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99"/>
                <w:sz w:val="18"/>
              </w:rPr>
              <w:t>SA</w:t>
            </w:r>
            <w:r>
              <w:rPr>
                <w:b/>
                <w:spacing w:val="-1"/>
                <w:w w:val="99"/>
                <w:sz w:val="18"/>
              </w:rPr>
              <w:t>D</w:t>
            </w:r>
            <w:r>
              <w:rPr>
                <w:b/>
                <w:w w:val="100"/>
                <w:sz w:val="18"/>
              </w:rPr>
              <w:t>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w:t>
            </w:r>
            <w:r>
              <w:rPr>
                <w:b/>
                <w:spacing w:val="-1"/>
                <w:w w:val="100"/>
                <w:sz w:val="18"/>
              </w:rPr>
              <w:t>O</w:t>
            </w:r>
            <w:r>
              <w:rPr>
                <w:b/>
                <w:w w:val="99"/>
                <w:sz w:val="18"/>
              </w:rPr>
              <w:t>DP</w:t>
            </w:r>
          </w:p>
        </w:tc>
        <w:tc>
          <w:tcPr>
            <w:tcW w:w="542" w:type="dxa"/>
            <w:vMerge/>
            <w:tcBorders>
              <w:left w:val="single" w:sz="4" w:space="0" w:color="000000"/>
              <w:bottom w:val="single" w:sz="4" w:space="0" w:color="000000"/>
            </w:tcBorders>
            <w:shd w:val="clear" w:color="auto" w:fill="D7E3BB"/>
            <w:textDirection w:val="btLr"/>
          </w:tcPr>
          <w:p>
            <w:pPr/>
          </w:p>
        </w:tc>
      </w:tr>
      <w:tr>
        <w:trPr>
          <w:trHeight w:val="326" w:hRule="exact"/>
        </w:trPr>
        <w:tc>
          <w:tcPr>
            <w:tcW w:w="1880" w:type="dxa"/>
            <w:tcBorders>
              <w:bottom w:val="single" w:sz="4" w:space="0" w:color="000000"/>
              <w:right w:val="single" w:sz="4" w:space="0" w:color="000000"/>
            </w:tcBorders>
          </w:tcPr>
          <w:p>
            <w:pPr>
              <w:pStyle w:val="TableParagraph"/>
              <w:spacing w:line="201" w:lineRule="exact"/>
              <w:ind w:left="59" w:right="65"/>
              <w:jc w:val="left"/>
              <w:rPr>
                <w:b/>
                <w:sz w:val="18"/>
              </w:rPr>
            </w:pPr>
            <w:r>
              <w:rPr>
                <w:b/>
                <w:sz w:val="18"/>
              </w:rPr>
              <w:t>JOQUICINGO</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4"/>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4"/>
              <w:ind w:right="172"/>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4"/>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4"/>
              <w:ind w:left="1"/>
              <w:rPr>
                <w:sz w:val="18"/>
              </w:rPr>
            </w:pPr>
            <w:r>
              <w:rPr>
                <w:w w:val="99"/>
                <w:sz w:val="18"/>
              </w:rPr>
              <w:t>0</w:t>
            </w:r>
          </w:p>
        </w:tc>
        <w:tc>
          <w:tcPr>
            <w:tcW w:w="511" w:type="dxa"/>
            <w:tcBorders>
              <w:top w:val="single" w:sz="4" w:space="0" w:color="000000"/>
              <w:left w:val="single" w:sz="4" w:space="0" w:color="000000"/>
              <w:bottom w:val="single" w:sz="4" w:space="0" w:color="000000"/>
              <w:right w:val="single" w:sz="4" w:space="0" w:color="000000"/>
            </w:tcBorders>
          </w:tcPr>
          <w:p>
            <w:pPr>
              <w:pStyle w:val="TableParagraph"/>
              <w:spacing w:before="4"/>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4"/>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4"/>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4"/>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4"/>
              <w:ind w:left="1"/>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before="4"/>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4"/>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4"/>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right="171"/>
              <w:jc w:val="righ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b/>
                <w:sz w:val="18"/>
              </w:rPr>
            </w:pPr>
            <w:r>
              <w:rPr>
                <w:b/>
                <w:w w:val="99"/>
                <w:sz w:val="18"/>
              </w:rPr>
              <w:t>0</w:t>
            </w:r>
          </w:p>
        </w:tc>
      </w:tr>
      <w:tr>
        <w:trPr>
          <w:trHeight w:val="319" w:hRule="exact"/>
        </w:trPr>
        <w:tc>
          <w:tcPr>
            <w:tcW w:w="1880" w:type="dxa"/>
            <w:tcBorders>
              <w:top w:val="single" w:sz="4" w:space="0" w:color="000000"/>
              <w:bottom w:val="single" w:sz="4" w:space="0" w:color="000000"/>
              <w:right w:val="single" w:sz="4" w:space="0" w:color="000000"/>
            </w:tcBorders>
          </w:tcPr>
          <w:p>
            <w:pPr>
              <w:pStyle w:val="TableParagraph"/>
              <w:spacing w:line="201" w:lineRule="exact"/>
              <w:ind w:left="59" w:right="65"/>
              <w:jc w:val="left"/>
              <w:rPr>
                <w:b/>
                <w:sz w:val="18"/>
              </w:rPr>
            </w:pPr>
            <w:r>
              <w:rPr>
                <w:b/>
                <w:sz w:val="18"/>
              </w:rPr>
              <w:t>JUCHITEPEC</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2"/>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51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3</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4</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7</w:t>
            </w:r>
          </w:p>
        </w:tc>
      </w:tr>
      <w:tr>
        <w:trPr>
          <w:trHeight w:val="322" w:hRule="exact"/>
        </w:trPr>
        <w:tc>
          <w:tcPr>
            <w:tcW w:w="1880" w:type="dxa"/>
            <w:tcBorders>
              <w:top w:val="single" w:sz="4" w:space="0" w:color="000000"/>
              <w:bottom w:val="single" w:sz="4" w:space="0" w:color="000000"/>
              <w:right w:val="single" w:sz="4" w:space="0" w:color="000000"/>
            </w:tcBorders>
          </w:tcPr>
          <w:p>
            <w:pPr>
              <w:pStyle w:val="TableParagraph"/>
              <w:spacing w:line="202" w:lineRule="exact"/>
              <w:ind w:left="59" w:right="65"/>
              <w:jc w:val="left"/>
              <w:rPr>
                <w:b/>
                <w:sz w:val="18"/>
              </w:rPr>
            </w:pPr>
            <w:r>
              <w:rPr>
                <w:b/>
                <w:sz w:val="18"/>
              </w:rPr>
              <w:t>LA PAZ</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2"/>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511"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55" w:right="53"/>
              <w:rPr>
                <w:sz w:val="18"/>
              </w:rPr>
            </w:pPr>
            <w:r>
              <w:rPr>
                <w:sz w:val="18"/>
              </w:rPr>
              <w:t>134</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2"/>
              <w:jc w:val="left"/>
              <w:rPr>
                <w:sz w:val="18"/>
              </w:rPr>
            </w:pPr>
            <w:r>
              <w:rPr>
                <w:w w:val="99"/>
                <w:sz w:val="18"/>
              </w:rPr>
              <w:t>7</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53" w:right="53"/>
              <w:rPr>
                <w:sz w:val="18"/>
              </w:rPr>
            </w:pPr>
            <w:r>
              <w:rPr>
                <w:sz w:val="18"/>
              </w:rPr>
              <w:t>103</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24"/>
              <w:jc w:val="left"/>
              <w:rPr>
                <w:sz w:val="18"/>
              </w:rPr>
            </w:pPr>
            <w:r>
              <w:rPr>
                <w:sz w:val="18"/>
              </w:rPr>
              <w:t>23</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19"/>
              <w:jc w:val="right"/>
              <w:rPr>
                <w:sz w:val="18"/>
              </w:rPr>
            </w:pPr>
            <w:r>
              <w:rPr>
                <w:w w:val="95"/>
                <w:sz w:val="18"/>
              </w:rPr>
              <w:t>35</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5"/>
              <w:jc w:val="left"/>
              <w:rPr>
                <w:sz w:val="18"/>
              </w:rPr>
            </w:pPr>
            <w:r>
              <w:rPr>
                <w:w w:val="99"/>
                <w:sz w:val="18"/>
              </w:rPr>
              <w:t>6</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1"/>
              <w:jc w:val="right"/>
              <w:rPr>
                <w:sz w:val="18"/>
              </w:rPr>
            </w:pPr>
            <w:r>
              <w:rPr>
                <w:w w:val="99"/>
                <w:sz w:val="18"/>
              </w:rPr>
              <w:t>1</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48" w:right="44"/>
              <w:rPr>
                <w:b/>
                <w:sz w:val="18"/>
              </w:rPr>
            </w:pPr>
            <w:r>
              <w:rPr>
                <w:b/>
                <w:sz w:val="18"/>
              </w:rPr>
              <w:t>309</w:t>
            </w:r>
          </w:p>
        </w:tc>
      </w:tr>
      <w:tr>
        <w:trPr>
          <w:trHeight w:val="319" w:hRule="exact"/>
        </w:trPr>
        <w:tc>
          <w:tcPr>
            <w:tcW w:w="1880" w:type="dxa"/>
            <w:tcBorders>
              <w:top w:val="single" w:sz="4" w:space="0" w:color="000000"/>
              <w:bottom w:val="single" w:sz="4" w:space="0" w:color="000000"/>
              <w:right w:val="single" w:sz="4" w:space="0" w:color="000000"/>
            </w:tcBorders>
          </w:tcPr>
          <w:p>
            <w:pPr>
              <w:pStyle w:val="TableParagraph"/>
              <w:spacing w:line="201" w:lineRule="exact"/>
              <w:ind w:left="59" w:right="65"/>
              <w:jc w:val="left"/>
              <w:rPr>
                <w:b/>
                <w:sz w:val="18"/>
              </w:rPr>
            </w:pPr>
            <w:r>
              <w:rPr>
                <w:b/>
                <w:sz w:val="18"/>
              </w:rPr>
              <w:t>LERMA</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2"/>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51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5" w:right="53"/>
              <w:rPr>
                <w:sz w:val="18"/>
              </w:rPr>
            </w:pPr>
            <w:r>
              <w:rPr>
                <w:sz w:val="18"/>
              </w:rPr>
              <w:t>48</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2</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3" w:right="53"/>
              <w:rPr>
                <w:sz w:val="18"/>
              </w:rPr>
            </w:pPr>
            <w:r>
              <w:rPr>
                <w:sz w:val="18"/>
              </w:rPr>
              <w:t>40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5</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7</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48" w:right="44"/>
              <w:rPr>
                <w:b/>
                <w:sz w:val="18"/>
              </w:rPr>
            </w:pPr>
            <w:r>
              <w:rPr>
                <w:b/>
                <w:sz w:val="18"/>
              </w:rPr>
              <w:t>102</w:t>
            </w:r>
          </w:p>
        </w:tc>
      </w:tr>
      <w:tr>
        <w:trPr>
          <w:trHeight w:val="322" w:hRule="exact"/>
        </w:trPr>
        <w:tc>
          <w:tcPr>
            <w:tcW w:w="1880" w:type="dxa"/>
            <w:tcBorders>
              <w:top w:val="single" w:sz="4" w:space="0" w:color="000000"/>
              <w:bottom w:val="single" w:sz="4" w:space="0" w:color="000000"/>
              <w:right w:val="single" w:sz="4" w:space="0" w:color="000000"/>
            </w:tcBorders>
          </w:tcPr>
          <w:p>
            <w:pPr>
              <w:pStyle w:val="TableParagraph"/>
              <w:spacing w:line="201" w:lineRule="exact"/>
              <w:ind w:left="59" w:right="65"/>
              <w:jc w:val="left"/>
              <w:rPr>
                <w:b/>
                <w:sz w:val="18"/>
              </w:rPr>
            </w:pPr>
            <w:r>
              <w:rPr>
                <w:b/>
                <w:sz w:val="18"/>
              </w:rPr>
              <w:t>LUVIANOS</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2"/>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51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0</w:t>
            </w:r>
          </w:p>
        </w:tc>
      </w:tr>
      <w:tr>
        <w:trPr>
          <w:trHeight w:val="319" w:hRule="exact"/>
        </w:trPr>
        <w:tc>
          <w:tcPr>
            <w:tcW w:w="1880" w:type="dxa"/>
            <w:tcBorders>
              <w:top w:val="single" w:sz="4" w:space="0" w:color="000000"/>
              <w:bottom w:val="single" w:sz="4" w:space="0" w:color="000000"/>
              <w:right w:val="single" w:sz="4" w:space="0" w:color="000000"/>
            </w:tcBorders>
          </w:tcPr>
          <w:p>
            <w:pPr>
              <w:pStyle w:val="TableParagraph"/>
              <w:spacing w:line="201" w:lineRule="exact"/>
              <w:ind w:left="59" w:right="65"/>
              <w:jc w:val="left"/>
              <w:rPr>
                <w:b/>
                <w:sz w:val="18"/>
              </w:rPr>
            </w:pPr>
            <w:r>
              <w:rPr>
                <w:b/>
                <w:sz w:val="18"/>
              </w:rPr>
              <w:t>MALINALCO</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2"/>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51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31" w:right="129"/>
              <w:rPr>
                <w:sz w:val="18"/>
              </w:rPr>
            </w:pPr>
            <w:r>
              <w:rPr>
                <w:sz w:val="18"/>
              </w:rPr>
              <w:t>29</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1</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4"/>
              <w:jc w:val="left"/>
              <w:rPr>
                <w:sz w:val="18"/>
              </w:rPr>
            </w:pPr>
            <w:r>
              <w:rPr>
                <w:sz w:val="18"/>
              </w:rPr>
              <w:t>18</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2</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5" w:right="53"/>
              <w:rPr>
                <w:sz w:val="18"/>
              </w:rPr>
            </w:pPr>
            <w:r>
              <w:rPr>
                <w:sz w:val="18"/>
              </w:rPr>
              <w:t>14</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9</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48" w:right="44"/>
              <w:rPr>
                <w:b/>
                <w:sz w:val="18"/>
              </w:rPr>
            </w:pPr>
            <w:r>
              <w:rPr>
                <w:b/>
                <w:sz w:val="18"/>
              </w:rPr>
              <w:t>73</w:t>
            </w:r>
          </w:p>
        </w:tc>
      </w:tr>
      <w:tr>
        <w:trPr>
          <w:trHeight w:val="631" w:hRule="exact"/>
        </w:trPr>
        <w:tc>
          <w:tcPr>
            <w:tcW w:w="1880" w:type="dxa"/>
            <w:tcBorders>
              <w:top w:val="single" w:sz="4" w:space="0" w:color="000000"/>
              <w:bottom w:val="single" w:sz="4" w:space="0" w:color="000000"/>
              <w:right w:val="single" w:sz="4" w:space="0" w:color="000000"/>
            </w:tcBorders>
          </w:tcPr>
          <w:p>
            <w:pPr>
              <w:pStyle w:val="TableParagraph"/>
              <w:spacing w:line="362" w:lineRule="auto"/>
              <w:ind w:left="59" w:right="876"/>
              <w:jc w:val="left"/>
              <w:rPr>
                <w:b/>
                <w:sz w:val="18"/>
              </w:rPr>
            </w:pPr>
            <w:r>
              <w:rPr>
                <w:b/>
                <w:sz w:val="18"/>
              </w:rPr>
              <w:t>MELCHOR OCAMPO</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2"/>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511" w:type="dxa"/>
            <w:tcBorders>
              <w:top w:val="single" w:sz="4" w:space="0" w:color="000000"/>
              <w:left w:val="single" w:sz="4" w:space="0" w:color="000000"/>
              <w:bottom w:val="single" w:sz="4" w:space="0" w:color="000000"/>
              <w:right w:val="single" w:sz="4" w:space="0" w:color="000000"/>
            </w:tcBorders>
          </w:tcPr>
          <w:p>
            <w:pPr>
              <w:pStyle w:val="TableParagraph"/>
              <w:spacing w:before="155"/>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3</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before="155"/>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150"/>
              <w:rPr>
                <w:b/>
                <w:sz w:val="18"/>
              </w:rPr>
            </w:pPr>
            <w:r>
              <w:rPr>
                <w:b/>
                <w:w w:val="99"/>
                <w:sz w:val="18"/>
              </w:rPr>
              <w:t>3</w:t>
            </w:r>
          </w:p>
        </w:tc>
      </w:tr>
      <w:tr>
        <w:trPr>
          <w:trHeight w:val="322" w:hRule="exact"/>
        </w:trPr>
        <w:tc>
          <w:tcPr>
            <w:tcW w:w="1880" w:type="dxa"/>
            <w:tcBorders>
              <w:top w:val="single" w:sz="4" w:space="0" w:color="000000"/>
              <w:bottom w:val="single" w:sz="4" w:space="0" w:color="000000"/>
              <w:right w:val="single" w:sz="4" w:space="0" w:color="000000"/>
            </w:tcBorders>
          </w:tcPr>
          <w:p>
            <w:pPr>
              <w:pStyle w:val="TableParagraph"/>
              <w:spacing w:line="201" w:lineRule="exact"/>
              <w:ind w:left="59" w:right="65"/>
              <w:jc w:val="left"/>
              <w:rPr>
                <w:b/>
                <w:sz w:val="18"/>
              </w:rPr>
            </w:pPr>
            <w:r>
              <w:rPr>
                <w:b/>
                <w:sz w:val="18"/>
              </w:rPr>
              <w:t>METEPEC</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2"/>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51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1</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5" w:right="53"/>
              <w:rPr>
                <w:sz w:val="18"/>
              </w:rPr>
            </w:pPr>
            <w:r>
              <w:rPr>
                <w:sz w:val="18"/>
              </w:rPr>
              <w:t>120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9</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3" w:right="53"/>
              <w:rPr>
                <w:sz w:val="18"/>
              </w:rPr>
            </w:pPr>
            <w:r>
              <w:rPr>
                <w:sz w:val="18"/>
              </w:rPr>
              <w:t>28</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1</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2</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48" w:right="44"/>
              <w:rPr>
                <w:b/>
                <w:sz w:val="18"/>
              </w:rPr>
            </w:pPr>
            <w:r>
              <w:rPr>
                <w:b/>
                <w:sz w:val="18"/>
              </w:rPr>
              <w:t>161</w:t>
            </w:r>
          </w:p>
        </w:tc>
      </w:tr>
      <w:tr>
        <w:trPr>
          <w:trHeight w:val="319" w:hRule="exact"/>
        </w:trPr>
        <w:tc>
          <w:tcPr>
            <w:tcW w:w="1880" w:type="dxa"/>
            <w:tcBorders>
              <w:top w:val="single" w:sz="4" w:space="0" w:color="000000"/>
              <w:bottom w:val="single" w:sz="4" w:space="0" w:color="000000"/>
              <w:right w:val="single" w:sz="4" w:space="0" w:color="000000"/>
            </w:tcBorders>
          </w:tcPr>
          <w:p>
            <w:pPr>
              <w:pStyle w:val="TableParagraph"/>
              <w:spacing w:line="201" w:lineRule="exact"/>
              <w:ind w:left="59" w:right="65"/>
              <w:jc w:val="left"/>
              <w:rPr>
                <w:b/>
                <w:sz w:val="18"/>
              </w:rPr>
            </w:pPr>
            <w:r>
              <w:rPr>
                <w:b/>
                <w:sz w:val="18"/>
              </w:rPr>
              <w:t>MEXICALTCINGO</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2"/>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51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0</w:t>
            </w:r>
          </w:p>
        </w:tc>
      </w:tr>
      <w:tr>
        <w:trPr>
          <w:trHeight w:val="322" w:hRule="exact"/>
        </w:trPr>
        <w:tc>
          <w:tcPr>
            <w:tcW w:w="1880" w:type="dxa"/>
            <w:tcBorders>
              <w:top w:val="single" w:sz="4" w:space="0" w:color="000000"/>
              <w:bottom w:val="single" w:sz="4" w:space="0" w:color="000000"/>
              <w:right w:val="single" w:sz="4" w:space="0" w:color="000000"/>
            </w:tcBorders>
          </w:tcPr>
          <w:p>
            <w:pPr>
              <w:pStyle w:val="TableParagraph"/>
              <w:spacing w:line="201" w:lineRule="exact"/>
              <w:ind w:left="59" w:right="65"/>
              <w:jc w:val="left"/>
              <w:rPr>
                <w:b/>
                <w:sz w:val="18"/>
              </w:rPr>
            </w:pPr>
            <w:r>
              <w:rPr>
                <w:b/>
                <w:sz w:val="18"/>
              </w:rPr>
              <w:t>MORELOS</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2"/>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511"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1"/>
              <w:jc w:val="righ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0</w:t>
            </w:r>
          </w:p>
        </w:tc>
      </w:tr>
      <w:tr>
        <w:trPr>
          <w:trHeight w:val="631" w:hRule="exact"/>
        </w:trPr>
        <w:tc>
          <w:tcPr>
            <w:tcW w:w="1880" w:type="dxa"/>
            <w:tcBorders>
              <w:top w:val="single" w:sz="4" w:space="0" w:color="000000"/>
              <w:bottom w:val="single" w:sz="4" w:space="0" w:color="000000"/>
              <w:right w:val="single" w:sz="4" w:space="0" w:color="000000"/>
            </w:tcBorders>
          </w:tcPr>
          <w:p>
            <w:pPr>
              <w:pStyle w:val="TableParagraph"/>
              <w:tabs>
                <w:tab w:pos="1547" w:val="left" w:leader="none"/>
              </w:tabs>
              <w:spacing w:line="360" w:lineRule="auto"/>
              <w:ind w:left="59" w:right="65"/>
              <w:jc w:val="left"/>
              <w:rPr>
                <w:b/>
                <w:sz w:val="18"/>
              </w:rPr>
            </w:pPr>
            <w:r>
              <w:rPr>
                <w:b/>
                <w:sz w:val="18"/>
              </w:rPr>
              <w:t>NAUCALPAN</w:t>
              <w:tab/>
              <w:t>DE JUAREZ</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2"/>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511" w:type="dxa"/>
            <w:tcBorders>
              <w:top w:val="single" w:sz="4" w:space="0" w:color="000000"/>
              <w:left w:val="single" w:sz="4" w:space="0" w:color="000000"/>
              <w:bottom w:val="single" w:sz="4" w:space="0" w:color="000000"/>
              <w:right w:val="single" w:sz="4" w:space="0" w:color="000000"/>
            </w:tcBorders>
          </w:tcPr>
          <w:p>
            <w:pPr>
              <w:pStyle w:val="TableParagraph"/>
              <w:spacing w:before="155"/>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2</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55" w:right="53"/>
              <w:rPr>
                <w:sz w:val="18"/>
              </w:rPr>
            </w:pPr>
            <w:r>
              <w:rPr>
                <w:sz w:val="18"/>
              </w:rPr>
              <w:t>470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22"/>
              <w:jc w:val="left"/>
              <w:rPr>
                <w:sz w:val="18"/>
              </w:rPr>
            </w:pPr>
            <w:r>
              <w:rPr>
                <w:sz w:val="18"/>
              </w:rPr>
              <w:t>82</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before="155"/>
              <w:ind w:left="53" w:right="53"/>
              <w:rPr>
                <w:sz w:val="18"/>
              </w:rPr>
            </w:pPr>
            <w:r>
              <w:rPr>
                <w:sz w:val="18"/>
              </w:rPr>
              <w:t>318</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24"/>
              <w:jc w:val="left"/>
              <w:rPr>
                <w:sz w:val="18"/>
              </w:rPr>
            </w:pPr>
            <w:r>
              <w:rPr>
                <w:sz w:val="18"/>
              </w:rPr>
              <w:t>29</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1</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67"/>
              <w:jc w:val="right"/>
              <w:rPr>
                <w:sz w:val="18"/>
              </w:rPr>
            </w:pPr>
            <w:r>
              <w:rPr>
                <w:w w:val="95"/>
                <w:sz w:val="18"/>
              </w:rPr>
              <w:t>211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24"/>
              <w:jc w:val="left"/>
              <w:rPr>
                <w:sz w:val="18"/>
              </w:rPr>
            </w:pPr>
            <w:r>
              <w:rPr>
                <w:sz w:val="18"/>
              </w:rPr>
              <w:t>10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150"/>
              <w:ind w:left="48" w:right="44"/>
              <w:rPr>
                <w:b/>
                <w:sz w:val="18"/>
              </w:rPr>
            </w:pPr>
            <w:r>
              <w:rPr>
                <w:b/>
                <w:sz w:val="18"/>
              </w:rPr>
              <w:t>1123</w:t>
            </w:r>
          </w:p>
        </w:tc>
      </w:tr>
      <w:tr>
        <w:trPr>
          <w:trHeight w:val="319" w:hRule="exact"/>
        </w:trPr>
        <w:tc>
          <w:tcPr>
            <w:tcW w:w="1880" w:type="dxa"/>
            <w:tcBorders>
              <w:top w:val="single" w:sz="4" w:space="0" w:color="000000"/>
              <w:bottom w:val="single" w:sz="4" w:space="0" w:color="000000"/>
              <w:right w:val="single" w:sz="4" w:space="0" w:color="000000"/>
            </w:tcBorders>
          </w:tcPr>
          <w:p>
            <w:pPr>
              <w:pStyle w:val="TableParagraph"/>
              <w:spacing w:line="201" w:lineRule="exact"/>
              <w:ind w:left="59" w:right="65"/>
              <w:jc w:val="left"/>
              <w:rPr>
                <w:b/>
                <w:sz w:val="18"/>
              </w:rPr>
            </w:pPr>
            <w:r>
              <w:rPr>
                <w:b/>
                <w:sz w:val="18"/>
              </w:rPr>
              <w:t>NEXTLALPAN</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2"/>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51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0</w:t>
            </w:r>
          </w:p>
        </w:tc>
      </w:tr>
      <w:tr>
        <w:trPr>
          <w:trHeight w:val="322" w:hRule="exact"/>
        </w:trPr>
        <w:tc>
          <w:tcPr>
            <w:tcW w:w="1880" w:type="dxa"/>
            <w:tcBorders>
              <w:top w:val="single" w:sz="4" w:space="0" w:color="000000"/>
              <w:bottom w:val="single" w:sz="4" w:space="0" w:color="000000"/>
              <w:right w:val="single" w:sz="4" w:space="0" w:color="000000"/>
            </w:tcBorders>
          </w:tcPr>
          <w:p>
            <w:pPr>
              <w:pStyle w:val="TableParagraph"/>
              <w:spacing w:line="201" w:lineRule="exact"/>
              <w:ind w:left="59"/>
              <w:jc w:val="left"/>
              <w:rPr>
                <w:b/>
                <w:sz w:val="18"/>
              </w:rPr>
            </w:pPr>
            <w:r>
              <w:rPr>
                <w:b/>
                <w:sz w:val="18"/>
              </w:rPr>
              <w:t>NEZAHUALCOYOTL</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2"/>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51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5" w:right="53"/>
              <w:rPr>
                <w:sz w:val="18"/>
              </w:rPr>
            </w:pPr>
            <w:r>
              <w:rPr>
                <w:sz w:val="18"/>
              </w:rPr>
              <w:t>362</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2"/>
              <w:jc w:val="left"/>
              <w:rPr>
                <w:sz w:val="18"/>
              </w:rPr>
            </w:pPr>
            <w:r>
              <w:rPr>
                <w:sz w:val="18"/>
              </w:rPr>
              <w:t>27</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1</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3" w:right="53"/>
              <w:rPr>
                <w:sz w:val="18"/>
              </w:rPr>
            </w:pPr>
            <w:r>
              <w:rPr>
                <w:sz w:val="18"/>
              </w:rPr>
              <w:t>567</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4"/>
              <w:jc w:val="left"/>
              <w:rPr>
                <w:sz w:val="18"/>
              </w:rPr>
            </w:pPr>
            <w:r>
              <w:rPr>
                <w:sz w:val="18"/>
              </w:rPr>
              <w:t>28</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67"/>
              <w:jc w:val="right"/>
              <w:rPr>
                <w:sz w:val="18"/>
              </w:rPr>
            </w:pPr>
            <w:r>
              <w:rPr>
                <w:w w:val="95"/>
                <w:sz w:val="18"/>
              </w:rPr>
              <w:t>203</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4"/>
              <w:jc w:val="left"/>
              <w:rPr>
                <w:sz w:val="18"/>
              </w:rPr>
            </w:pPr>
            <w:r>
              <w:rPr>
                <w:sz w:val="18"/>
              </w:rPr>
              <w:t>28</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6</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48" w:right="44"/>
              <w:rPr>
                <w:b/>
                <w:sz w:val="18"/>
              </w:rPr>
            </w:pPr>
            <w:r>
              <w:rPr>
                <w:b/>
                <w:sz w:val="18"/>
              </w:rPr>
              <w:t>1222</w:t>
            </w:r>
          </w:p>
        </w:tc>
      </w:tr>
      <w:tr>
        <w:trPr>
          <w:trHeight w:val="319" w:hRule="exact"/>
        </w:trPr>
        <w:tc>
          <w:tcPr>
            <w:tcW w:w="1880" w:type="dxa"/>
            <w:tcBorders>
              <w:top w:val="single" w:sz="4" w:space="0" w:color="000000"/>
              <w:bottom w:val="single" w:sz="4" w:space="0" w:color="000000"/>
              <w:right w:val="single" w:sz="4" w:space="0" w:color="000000"/>
            </w:tcBorders>
          </w:tcPr>
          <w:p>
            <w:pPr>
              <w:pStyle w:val="TableParagraph"/>
              <w:spacing w:line="201" w:lineRule="exact"/>
              <w:ind w:left="59" w:right="65"/>
              <w:jc w:val="left"/>
              <w:rPr>
                <w:b/>
                <w:sz w:val="18"/>
              </w:rPr>
            </w:pPr>
            <w:r>
              <w:rPr>
                <w:b/>
                <w:sz w:val="18"/>
              </w:rPr>
              <w:t>NICOLAS ROMERO</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2"/>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51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31" w:right="129"/>
              <w:rPr>
                <w:sz w:val="18"/>
              </w:rPr>
            </w:pPr>
            <w:r>
              <w:rPr>
                <w:sz w:val="18"/>
              </w:rPr>
              <w:t>48</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1</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4"/>
              <w:jc w:val="left"/>
              <w:rPr>
                <w:sz w:val="18"/>
              </w:rPr>
            </w:pPr>
            <w:r>
              <w:rPr>
                <w:sz w:val="18"/>
              </w:rPr>
              <w:t>56</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5" w:right="53"/>
              <w:rPr>
                <w:sz w:val="18"/>
              </w:rPr>
            </w:pPr>
            <w:r>
              <w:rPr>
                <w:sz w:val="18"/>
              </w:rPr>
              <w:t>96</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3" w:right="53"/>
              <w:rPr>
                <w:sz w:val="18"/>
              </w:rPr>
            </w:pPr>
            <w:r>
              <w:rPr>
                <w:sz w:val="18"/>
              </w:rPr>
              <w:t>46</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1</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48" w:right="44"/>
              <w:rPr>
                <w:b/>
                <w:sz w:val="18"/>
              </w:rPr>
            </w:pPr>
            <w:r>
              <w:rPr>
                <w:b/>
                <w:sz w:val="18"/>
              </w:rPr>
              <w:t>249</w:t>
            </w:r>
          </w:p>
        </w:tc>
      </w:tr>
      <w:tr>
        <w:trPr>
          <w:trHeight w:val="322" w:hRule="exact"/>
        </w:trPr>
        <w:tc>
          <w:tcPr>
            <w:tcW w:w="1880" w:type="dxa"/>
            <w:tcBorders>
              <w:top w:val="single" w:sz="4" w:space="0" w:color="000000"/>
              <w:bottom w:val="single" w:sz="4" w:space="0" w:color="000000"/>
              <w:right w:val="single" w:sz="4" w:space="0" w:color="000000"/>
            </w:tcBorders>
          </w:tcPr>
          <w:p>
            <w:pPr>
              <w:pStyle w:val="TableParagraph"/>
              <w:spacing w:line="201" w:lineRule="exact"/>
              <w:ind w:left="59" w:right="65"/>
              <w:jc w:val="left"/>
              <w:rPr>
                <w:b/>
                <w:sz w:val="18"/>
              </w:rPr>
            </w:pPr>
            <w:r>
              <w:rPr>
                <w:b/>
                <w:sz w:val="18"/>
              </w:rPr>
              <w:t>NOPALTEPEC</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2"/>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51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3</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2</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5</w:t>
            </w:r>
          </w:p>
        </w:tc>
      </w:tr>
      <w:tr>
        <w:trPr>
          <w:trHeight w:val="319" w:hRule="exact"/>
        </w:trPr>
        <w:tc>
          <w:tcPr>
            <w:tcW w:w="1880" w:type="dxa"/>
            <w:tcBorders>
              <w:top w:val="single" w:sz="4" w:space="0" w:color="000000"/>
              <w:bottom w:val="single" w:sz="4" w:space="0" w:color="000000"/>
              <w:right w:val="single" w:sz="4" w:space="0" w:color="000000"/>
            </w:tcBorders>
          </w:tcPr>
          <w:p>
            <w:pPr>
              <w:pStyle w:val="TableParagraph"/>
              <w:spacing w:line="201" w:lineRule="exact"/>
              <w:ind w:left="59" w:right="65"/>
              <w:jc w:val="left"/>
              <w:rPr>
                <w:b/>
                <w:sz w:val="18"/>
              </w:rPr>
            </w:pPr>
            <w:r>
              <w:rPr>
                <w:b/>
                <w:sz w:val="18"/>
              </w:rPr>
              <w:t>OCOYOACAC</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2"/>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51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5" w:right="53"/>
              <w:rPr>
                <w:sz w:val="18"/>
              </w:rPr>
            </w:pPr>
            <w:r>
              <w:rPr>
                <w:sz w:val="18"/>
              </w:rPr>
              <w:t>25</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3" w:right="53"/>
              <w:rPr>
                <w:sz w:val="18"/>
              </w:rPr>
            </w:pPr>
            <w:r>
              <w:rPr>
                <w:sz w:val="18"/>
              </w:rPr>
              <w:t>21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19"/>
              <w:jc w:val="right"/>
              <w:rPr>
                <w:sz w:val="18"/>
              </w:rPr>
            </w:pPr>
            <w:r>
              <w:rPr>
                <w:w w:val="95"/>
                <w:sz w:val="18"/>
              </w:rPr>
              <w:t>17</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2</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48" w:right="44"/>
              <w:rPr>
                <w:b/>
                <w:sz w:val="18"/>
              </w:rPr>
            </w:pPr>
            <w:r>
              <w:rPr>
                <w:b/>
                <w:sz w:val="18"/>
              </w:rPr>
              <w:t>65</w:t>
            </w:r>
          </w:p>
        </w:tc>
      </w:tr>
      <w:tr>
        <w:trPr>
          <w:trHeight w:val="322" w:hRule="exact"/>
        </w:trPr>
        <w:tc>
          <w:tcPr>
            <w:tcW w:w="1880" w:type="dxa"/>
            <w:tcBorders>
              <w:top w:val="single" w:sz="4" w:space="0" w:color="000000"/>
              <w:bottom w:val="single" w:sz="4" w:space="0" w:color="000000"/>
              <w:right w:val="single" w:sz="4" w:space="0" w:color="000000"/>
            </w:tcBorders>
          </w:tcPr>
          <w:p>
            <w:pPr>
              <w:pStyle w:val="TableParagraph"/>
              <w:spacing w:line="204" w:lineRule="exact"/>
              <w:ind w:left="59" w:right="65"/>
              <w:jc w:val="left"/>
              <w:rPr>
                <w:b/>
                <w:sz w:val="18"/>
              </w:rPr>
            </w:pPr>
            <w:r>
              <w:rPr>
                <w:b/>
                <w:sz w:val="18"/>
              </w:rPr>
              <w:t>OCUILAN</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
              <w:ind w:right="172"/>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
              <w:rPr>
                <w:sz w:val="18"/>
              </w:rPr>
            </w:pPr>
            <w:r>
              <w:rPr>
                <w:w w:val="99"/>
                <w:sz w:val="18"/>
              </w:rPr>
              <w:t>0</w:t>
            </w:r>
          </w:p>
        </w:tc>
        <w:tc>
          <w:tcPr>
            <w:tcW w:w="511"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3</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55" w:right="53"/>
              <w:rPr>
                <w:sz w:val="18"/>
              </w:rPr>
            </w:pPr>
            <w:r>
              <w:rPr>
                <w:sz w:val="18"/>
              </w:rPr>
              <w:t>10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
              <w:ind w:right="171"/>
              <w:jc w:val="righ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48" w:right="44"/>
              <w:rPr>
                <w:b/>
                <w:sz w:val="18"/>
              </w:rPr>
            </w:pPr>
            <w:r>
              <w:rPr>
                <w:b/>
                <w:sz w:val="18"/>
              </w:rPr>
              <w:t>13</w:t>
            </w:r>
          </w:p>
        </w:tc>
      </w:tr>
    </w:tbl>
    <w:p>
      <w:pPr>
        <w:spacing w:after="0" w:line="204" w:lineRule="exact"/>
        <w:rPr>
          <w:sz w:val="18"/>
        </w:rPr>
        <w:sectPr>
          <w:pgSz w:w="15840" w:h="12240" w:orient="landscape"/>
          <w:pgMar w:header="0" w:footer="975" w:top="1140" w:bottom="1160" w:left="1380" w:right="760"/>
        </w:sectPr>
      </w:pPr>
    </w:p>
    <w:p>
      <w:pPr>
        <w:pStyle w:val="BodyText"/>
        <w:rPr>
          <w:rFonts w:ascii="Times New Roman"/>
          <w:sz w:val="20"/>
        </w:rPr>
      </w:pPr>
    </w:p>
    <w:p>
      <w:pPr>
        <w:pStyle w:val="BodyText"/>
        <w:spacing w:before="10"/>
        <w:rPr>
          <w:rFonts w:ascii="Times New Roman"/>
          <w:sz w:val="28"/>
        </w:rPr>
      </w:pPr>
    </w:p>
    <w:tbl>
      <w:tblPr>
        <w:tblW w:w="0" w:type="auto"/>
        <w:jc w:val="left"/>
        <w:tblInd w:w="1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640"/>
        <w:gridCol w:w="458"/>
        <w:gridCol w:w="456"/>
        <w:gridCol w:w="458"/>
        <w:gridCol w:w="456"/>
        <w:gridCol w:w="457"/>
        <w:gridCol w:w="458"/>
        <w:gridCol w:w="456"/>
        <w:gridCol w:w="458"/>
        <w:gridCol w:w="456"/>
        <w:gridCol w:w="526"/>
        <w:gridCol w:w="456"/>
        <w:gridCol w:w="459"/>
        <w:gridCol w:w="456"/>
        <w:gridCol w:w="456"/>
        <w:gridCol w:w="458"/>
        <w:gridCol w:w="456"/>
        <w:gridCol w:w="458"/>
        <w:gridCol w:w="456"/>
        <w:gridCol w:w="458"/>
        <w:gridCol w:w="457"/>
        <w:gridCol w:w="456"/>
        <w:gridCol w:w="458"/>
        <w:gridCol w:w="456"/>
        <w:gridCol w:w="458"/>
        <w:gridCol w:w="523"/>
      </w:tblGrid>
      <w:tr>
        <w:trPr>
          <w:trHeight w:val="330" w:hRule="exact"/>
        </w:trPr>
        <w:tc>
          <w:tcPr>
            <w:tcW w:w="13202" w:type="dxa"/>
            <w:gridSpan w:val="26"/>
            <w:shd w:val="clear" w:color="auto" w:fill="92D050"/>
          </w:tcPr>
          <w:p>
            <w:pPr>
              <w:pStyle w:val="TableParagraph"/>
              <w:spacing w:line="201" w:lineRule="exact"/>
              <w:ind w:left="2275"/>
              <w:jc w:val="left"/>
              <w:rPr>
                <w:b/>
                <w:sz w:val="18"/>
              </w:rPr>
            </w:pPr>
            <w:r>
              <w:rPr>
                <w:b/>
                <w:sz w:val="18"/>
              </w:rPr>
              <w:t>Anexo 21. Municipios que publican apartado de solicitudes de información 2008-2015 (Continuación)</w:t>
            </w:r>
          </w:p>
        </w:tc>
      </w:tr>
      <w:tr>
        <w:trPr>
          <w:trHeight w:val="330" w:hRule="exact"/>
        </w:trPr>
        <w:tc>
          <w:tcPr>
            <w:tcW w:w="1640" w:type="dxa"/>
            <w:vMerge w:val="restart"/>
            <w:tcBorders>
              <w:right w:val="single" w:sz="4" w:space="0" w:color="000000"/>
            </w:tcBorders>
            <w:shd w:val="clear" w:color="auto" w:fill="C5DFB3"/>
          </w:tcPr>
          <w:p>
            <w:pPr>
              <w:pStyle w:val="TableParagraph"/>
              <w:jc w:val="left"/>
              <w:rPr>
                <w:rFonts w:ascii="Times New Roman"/>
                <w:sz w:val="18"/>
              </w:rPr>
            </w:pPr>
          </w:p>
          <w:p>
            <w:pPr>
              <w:pStyle w:val="TableParagraph"/>
              <w:spacing w:before="2"/>
              <w:jc w:val="left"/>
              <w:rPr>
                <w:rFonts w:ascii="Times New Roman"/>
                <w:sz w:val="20"/>
              </w:rPr>
            </w:pPr>
          </w:p>
          <w:p>
            <w:pPr>
              <w:pStyle w:val="TableParagraph"/>
              <w:ind w:left="389" w:right="65"/>
              <w:jc w:val="left"/>
              <w:rPr>
                <w:b/>
                <w:sz w:val="18"/>
              </w:rPr>
            </w:pPr>
            <w:r>
              <w:rPr>
                <w:b/>
                <w:sz w:val="18"/>
              </w:rPr>
              <w:t>Municipio</w:t>
            </w:r>
          </w:p>
        </w:tc>
        <w:tc>
          <w:tcPr>
            <w:tcW w:w="1373" w:type="dxa"/>
            <w:gridSpan w:val="3"/>
            <w:tcBorders>
              <w:top w:val="single" w:sz="4" w:space="0" w:color="000000"/>
              <w:left w:val="single" w:sz="4" w:space="0" w:color="000000"/>
              <w:right w:val="single" w:sz="4" w:space="0" w:color="000000"/>
            </w:tcBorders>
            <w:shd w:val="clear" w:color="auto" w:fill="D7E3BB"/>
          </w:tcPr>
          <w:p>
            <w:pPr>
              <w:pStyle w:val="TableParagraph"/>
              <w:ind w:left="463" w:right="459"/>
              <w:rPr>
                <w:b/>
                <w:sz w:val="18"/>
              </w:rPr>
            </w:pPr>
            <w:r>
              <w:rPr>
                <w:b/>
                <w:sz w:val="18"/>
              </w:rPr>
              <w:t>2008</w:t>
            </w:r>
          </w:p>
        </w:tc>
        <w:tc>
          <w:tcPr>
            <w:tcW w:w="1371" w:type="dxa"/>
            <w:gridSpan w:val="3"/>
            <w:tcBorders>
              <w:top w:val="single" w:sz="4" w:space="0" w:color="000000"/>
              <w:left w:val="single" w:sz="4" w:space="0" w:color="000000"/>
              <w:right w:val="single" w:sz="4" w:space="0" w:color="000000"/>
            </w:tcBorders>
            <w:shd w:val="clear" w:color="auto" w:fill="D7E3BB"/>
          </w:tcPr>
          <w:p>
            <w:pPr>
              <w:pStyle w:val="TableParagraph"/>
              <w:ind w:left="458" w:right="457"/>
              <w:rPr>
                <w:b/>
                <w:sz w:val="18"/>
              </w:rPr>
            </w:pPr>
            <w:r>
              <w:rPr>
                <w:b/>
                <w:sz w:val="18"/>
              </w:rPr>
              <w:t>2009</w:t>
            </w:r>
          </w:p>
        </w:tc>
        <w:tc>
          <w:tcPr>
            <w:tcW w:w="1370" w:type="dxa"/>
            <w:gridSpan w:val="3"/>
            <w:tcBorders>
              <w:top w:val="single" w:sz="4" w:space="0" w:color="000000"/>
              <w:left w:val="single" w:sz="4" w:space="0" w:color="000000"/>
              <w:right w:val="single" w:sz="4" w:space="0" w:color="000000"/>
            </w:tcBorders>
            <w:shd w:val="clear" w:color="auto" w:fill="D7E3BB"/>
          </w:tcPr>
          <w:p>
            <w:pPr>
              <w:pStyle w:val="TableParagraph"/>
              <w:ind w:left="350" w:right="348"/>
              <w:rPr>
                <w:b/>
                <w:sz w:val="18"/>
              </w:rPr>
            </w:pPr>
            <w:r>
              <w:rPr>
                <w:b/>
                <w:sz w:val="18"/>
              </w:rPr>
              <w:t>2010</w:t>
            </w:r>
          </w:p>
        </w:tc>
        <w:tc>
          <w:tcPr>
            <w:tcW w:w="1440" w:type="dxa"/>
            <w:gridSpan w:val="3"/>
            <w:tcBorders>
              <w:top w:val="single" w:sz="4" w:space="0" w:color="000000"/>
              <w:left w:val="single" w:sz="4" w:space="0" w:color="000000"/>
              <w:right w:val="single" w:sz="4" w:space="0" w:color="000000"/>
            </w:tcBorders>
            <w:shd w:val="clear" w:color="auto" w:fill="D7E3BB"/>
          </w:tcPr>
          <w:p>
            <w:pPr>
              <w:pStyle w:val="TableParagraph"/>
              <w:ind w:left="497" w:right="493"/>
              <w:rPr>
                <w:b/>
                <w:sz w:val="18"/>
              </w:rPr>
            </w:pPr>
            <w:r>
              <w:rPr>
                <w:b/>
                <w:sz w:val="18"/>
              </w:rPr>
              <w:t>2011</w:t>
            </w:r>
          </w:p>
        </w:tc>
        <w:tc>
          <w:tcPr>
            <w:tcW w:w="1370" w:type="dxa"/>
            <w:gridSpan w:val="3"/>
            <w:tcBorders>
              <w:top w:val="single" w:sz="4" w:space="0" w:color="000000"/>
              <w:left w:val="single" w:sz="4" w:space="0" w:color="000000"/>
              <w:right w:val="single" w:sz="4" w:space="0" w:color="000000"/>
            </w:tcBorders>
            <w:shd w:val="clear" w:color="auto" w:fill="D7E3BB"/>
          </w:tcPr>
          <w:p>
            <w:pPr>
              <w:pStyle w:val="TableParagraph"/>
              <w:ind w:left="350" w:right="348"/>
              <w:rPr>
                <w:b/>
                <w:sz w:val="18"/>
              </w:rPr>
            </w:pPr>
            <w:r>
              <w:rPr>
                <w:b/>
                <w:sz w:val="18"/>
              </w:rPr>
              <w:t>2012</w:t>
            </w:r>
          </w:p>
        </w:tc>
        <w:tc>
          <w:tcPr>
            <w:tcW w:w="1370" w:type="dxa"/>
            <w:gridSpan w:val="3"/>
            <w:tcBorders>
              <w:top w:val="single" w:sz="4" w:space="0" w:color="000000"/>
              <w:left w:val="single" w:sz="4" w:space="0" w:color="000000"/>
              <w:right w:val="single" w:sz="4" w:space="0" w:color="000000"/>
            </w:tcBorders>
            <w:shd w:val="clear" w:color="auto" w:fill="D7E3BB"/>
          </w:tcPr>
          <w:p>
            <w:pPr>
              <w:pStyle w:val="TableParagraph"/>
              <w:ind w:left="350" w:right="348"/>
              <w:rPr>
                <w:b/>
                <w:sz w:val="18"/>
              </w:rPr>
            </w:pPr>
            <w:r>
              <w:rPr>
                <w:b/>
                <w:sz w:val="18"/>
              </w:rPr>
              <w:t>2013</w:t>
            </w:r>
          </w:p>
        </w:tc>
        <w:tc>
          <w:tcPr>
            <w:tcW w:w="1371" w:type="dxa"/>
            <w:gridSpan w:val="3"/>
            <w:tcBorders>
              <w:top w:val="single" w:sz="4" w:space="0" w:color="000000"/>
              <w:left w:val="single" w:sz="4" w:space="0" w:color="000000"/>
              <w:right w:val="single" w:sz="4" w:space="0" w:color="000000"/>
            </w:tcBorders>
            <w:shd w:val="clear" w:color="auto" w:fill="D7E3BB"/>
          </w:tcPr>
          <w:p>
            <w:pPr>
              <w:pStyle w:val="TableParagraph"/>
              <w:ind w:left="461" w:right="455"/>
              <w:rPr>
                <w:b/>
                <w:sz w:val="18"/>
              </w:rPr>
            </w:pPr>
            <w:r>
              <w:rPr>
                <w:b/>
                <w:sz w:val="18"/>
              </w:rPr>
              <w:t>2014</w:t>
            </w:r>
          </w:p>
        </w:tc>
        <w:tc>
          <w:tcPr>
            <w:tcW w:w="1373" w:type="dxa"/>
            <w:gridSpan w:val="3"/>
            <w:tcBorders>
              <w:top w:val="single" w:sz="4" w:space="0" w:color="000000"/>
              <w:left w:val="single" w:sz="4" w:space="0" w:color="000000"/>
              <w:right w:val="single" w:sz="4" w:space="0" w:color="000000"/>
            </w:tcBorders>
            <w:shd w:val="clear" w:color="auto" w:fill="D7E3BB"/>
          </w:tcPr>
          <w:p>
            <w:pPr>
              <w:pStyle w:val="TableParagraph"/>
              <w:ind w:left="463" w:right="459"/>
              <w:rPr>
                <w:b/>
                <w:sz w:val="18"/>
              </w:rPr>
            </w:pPr>
            <w:r>
              <w:rPr>
                <w:b/>
                <w:sz w:val="18"/>
              </w:rPr>
              <w:t>2015</w:t>
            </w:r>
          </w:p>
        </w:tc>
        <w:tc>
          <w:tcPr>
            <w:tcW w:w="523" w:type="dxa"/>
            <w:vMerge w:val="restart"/>
            <w:tcBorders>
              <w:top w:val="single" w:sz="4" w:space="0" w:color="000000"/>
              <w:left w:val="single" w:sz="4" w:space="0" w:color="000000"/>
            </w:tcBorders>
            <w:shd w:val="clear" w:color="auto" w:fill="D7E3BB"/>
            <w:textDirection w:val="btLr"/>
          </w:tcPr>
          <w:p>
            <w:pPr>
              <w:pStyle w:val="TableParagraph"/>
              <w:spacing w:before="97"/>
              <w:ind w:left="117"/>
              <w:jc w:val="left"/>
              <w:rPr>
                <w:b/>
                <w:sz w:val="18"/>
              </w:rPr>
            </w:pPr>
            <w:r>
              <w:rPr>
                <w:b/>
                <w:w w:val="100"/>
                <w:sz w:val="18"/>
              </w:rPr>
              <w:t>To</w:t>
            </w:r>
            <w:r>
              <w:rPr>
                <w:b/>
                <w:w w:val="99"/>
                <w:sz w:val="18"/>
              </w:rPr>
              <w:t>ta</w:t>
            </w:r>
            <w:r>
              <w:rPr>
                <w:b/>
                <w:w w:val="100"/>
                <w:sz w:val="18"/>
              </w:rPr>
              <w:t>l</w:t>
            </w:r>
          </w:p>
        </w:tc>
      </w:tr>
      <w:tr>
        <w:trPr>
          <w:trHeight w:val="890" w:hRule="exact"/>
        </w:trPr>
        <w:tc>
          <w:tcPr>
            <w:tcW w:w="1640" w:type="dxa"/>
            <w:vMerge/>
            <w:tcBorders>
              <w:right w:val="single" w:sz="4" w:space="0" w:color="000000"/>
            </w:tcBorders>
            <w:shd w:val="clear" w:color="auto" w:fill="C5DFB3"/>
          </w:tcPr>
          <w:p>
            <w:pP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SIP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99"/>
                <w:sz w:val="18"/>
              </w:rPr>
              <w:t>SA</w:t>
            </w:r>
            <w:r>
              <w:rPr>
                <w:b/>
                <w:spacing w:val="-1"/>
                <w:w w:val="99"/>
                <w:sz w:val="18"/>
              </w:rPr>
              <w:t>D</w:t>
            </w:r>
            <w:r>
              <w:rPr>
                <w:b/>
                <w:w w:val="100"/>
                <w:sz w:val="18"/>
              </w:rPr>
              <w:t>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w:t>
            </w:r>
            <w:r>
              <w:rPr>
                <w:b/>
                <w:spacing w:val="-1"/>
                <w:w w:val="100"/>
                <w:sz w:val="18"/>
              </w:rPr>
              <w:t>O</w:t>
            </w:r>
            <w:r>
              <w:rPr>
                <w:b/>
                <w:w w:val="99"/>
                <w:sz w:val="18"/>
              </w:rPr>
              <w:t>DP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SIP</w:t>
            </w:r>
          </w:p>
        </w:tc>
        <w:tc>
          <w:tcPr>
            <w:tcW w:w="457"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7"/>
              <w:ind w:left="4"/>
              <w:jc w:val="left"/>
              <w:rPr>
                <w:b/>
                <w:sz w:val="18"/>
              </w:rPr>
            </w:pPr>
            <w:r>
              <w:rPr>
                <w:b/>
                <w:w w:val="99"/>
                <w:sz w:val="18"/>
              </w:rPr>
              <w:t>SA</w:t>
            </w:r>
            <w:r>
              <w:rPr>
                <w:b/>
                <w:spacing w:val="-1"/>
                <w:w w:val="99"/>
                <w:sz w:val="18"/>
              </w:rPr>
              <w:t>D</w:t>
            </w:r>
            <w:r>
              <w:rPr>
                <w:b/>
                <w:w w:val="100"/>
                <w:sz w:val="18"/>
              </w:rPr>
              <w:t>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w:t>
            </w:r>
            <w:r>
              <w:rPr>
                <w:b/>
                <w:spacing w:val="-1"/>
                <w:w w:val="100"/>
                <w:sz w:val="18"/>
              </w:rPr>
              <w:t>O</w:t>
            </w:r>
            <w:r>
              <w:rPr>
                <w:b/>
                <w:w w:val="99"/>
                <w:sz w:val="18"/>
              </w:rPr>
              <w:t>DP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SIP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99"/>
                <w:sz w:val="18"/>
              </w:rPr>
              <w:t>SA</w:t>
            </w:r>
            <w:r>
              <w:rPr>
                <w:b/>
                <w:spacing w:val="-1"/>
                <w:w w:val="99"/>
                <w:sz w:val="18"/>
              </w:rPr>
              <w:t>D</w:t>
            </w:r>
            <w:r>
              <w:rPr>
                <w:b/>
                <w:w w:val="100"/>
                <w:sz w:val="18"/>
              </w:rPr>
              <w:t>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w:t>
            </w:r>
            <w:r>
              <w:rPr>
                <w:b/>
                <w:spacing w:val="-1"/>
                <w:w w:val="100"/>
                <w:sz w:val="18"/>
              </w:rPr>
              <w:t>O</w:t>
            </w:r>
            <w:r>
              <w:rPr>
                <w:b/>
                <w:w w:val="99"/>
                <w:sz w:val="18"/>
              </w:rPr>
              <w:t>DP</w:t>
            </w:r>
          </w:p>
        </w:tc>
        <w:tc>
          <w:tcPr>
            <w:tcW w:w="52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131"/>
              <w:ind w:left="4"/>
              <w:jc w:val="left"/>
              <w:rPr>
                <w:b/>
                <w:sz w:val="18"/>
              </w:rPr>
            </w:pPr>
            <w:r>
              <w:rPr>
                <w:b/>
                <w:w w:val="100"/>
                <w:sz w:val="18"/>
              </w:rPr>
              <w:t>SIP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99"/>
                <w:sz w:val="18"/>
              </w:rPr>
              <w:t>SA</w:t>
            </w:r>
            <w:r>
              <w:rPr>
                <w:b/>
                <w:spacing w:val="-1"/>
                <w:w w:val="99"/>
                <w:sz w:val="18"/>
              </w:rPr>
              <w:t>D</w:t>
            </w:r>
            <w:r>
              <w:rPr>
                <w:b/>
                <w:w w:val="100"/>
                <w:sz w:val="18"/>
              </w:rPr>
              <w:t>P</w:t>
            </w:r>
          </w:p>
        </w:tc>
        <w:tc>
          <w:tcPr>
            <w:tcW w:w="459"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w:t>
            </w:r>
            <w:r>
              <w:rPr>
                <w:b/>
                <w:spacing w:val="-1"/>
                <w:w w:val="100"/>
                <w:sz w:val="18"/>
              </w:rPr>
              <w:t>O</w:t>
            </w:r>
            <w:r>
              <w:rPr>
                <w:b/>
                <w:w w:val="99"/>
                <w:sz w:val="18"/>
              </w:rPr>
              <w:t>DP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SIP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99"/>
                <w:sz w:val="18"/>
              </w:rPr>
              <w:t>SA</w:t>
            </w:r>
            <w:r>
              <w:rPr>
                <w:b/>
                <w:spacing w:val="-1"/>
                <w:w w:val="99"/>
                <w:sz w:val="18"/>
              </w:rPr>
              <w:t>D</w:t>
            </w:r>
            <w:r>
              <w:rPr>
                <w:b/>
                <w:w w:val="100"/>
                <w:sz w:val="18"/>
              </w:rPr>
              <w:t>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w:t>
            </w:r>
            <w:r>
              <w:rPr>
                <w:b/>
                <w:spacing w:val="-1"/>
                <w:w w:val="100"/>
                <w:sz w:val="18"/>
              </w:rPr>
              <w:t>O</w:t>
            </w:r>
            <w:r>
              <w:rPr>
                <w:b/>
                <w:w w:val="99"/>
                <w:sz w:val="18"/>
              </w:rPr>
              <w:t>DP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SIP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99"/>
                <w:sz w:val="18"/>
              </w:rPr>
              <w:t>SA</w:t>
            </w:r>
            <w:r>
              <w:rPr>
                <w:b/>
                <w:spacing w:val="-1"/>
                <w:w w:val="99"/>
                <w:sz w:val="18"/>
              </w:rPr>
              <w:t>D</w:t>
            </w:r>
            <w:r>
              <w:rPr>
                <w:b/>
                <w:w w:val="100"/>
                <w:sz w:val="18"/>
              </w:rPr>
              <w:t>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w:t>
            </w:r>
            <w:r>
              <w:rPr>
                <w:b/>
                <w:spacing w:val="-1"/>
                <w:w w:val="100"/>
                <w:sz w:val="18"/>
              </w:rPr>
              <w:t>O</w:t>
            </w:r>
            <w:r>
              <w:rPr>
                <w:b/>
                <w:w w:val="99"/>
                <w:sz w:val="18"/>
              </w:rPr>
              <w:t>DP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SIP</w:t>
            </w:r>
          </w:p>
        </w:tc>
        <w:tc>
          <w:tcPr>
            <w:tcW w:w="457"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99"/>
                <w:sz w:val="18"/>
              </w:rPr>
              <w:t>SA</w:t>
            </w:r>
            <w:r>
              <w:rPr>
                <w:b/>
                <w:spacing w:val="-1"/>
                <w:w w:val="99"/>
                <w:sz w:val="18"/>
              </w:rPr>
              <w:t>D</w:t>
            </w:r>
            <w:r>
              <w:rPr>
                <w:b/>
                <w:w w:val="100"/>
                <w:sz w:val="18"/>
              </w:rPr>
              <w:t>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w:t>
            </w:r>
            <w:r>
              <w:rPr>
                <w:b/>
                <w:spacing w:val="-1"/>
                <w:w w:val="100"/>
                <w:sz w:val="18"/>
              </w:rPr>
              <w:t>O</w:t>
            </w:r>
            <w:r>
              <w:rPr>
                <w:b/>
                <w:w w:val="99"/>
                <w:sz w:val="18"/>
              </w:rPr>
              <w:t>DP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SIP</w:t>
            </w:r>
          </w:p>
        </w:tc>
        <w:tc>
          <w:tcPr>
            <w:tcW w:w="456"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99"/>
                <w:sz w:val="18"/>
              </w:rPr>
              <w:t>SA</w:t>
            </w:r>
            <w:r>
              <w:rPr>
                <w:b/>
                <w:spacing w:val="-1"/>
                <w:w w:val="99"/>
                <w:sz w:val="18"/>
              </w:rPr>
              <w:t>D</w:t>
            </w:r>
            <w:r>
              <w:rPr>
                <w:b/>
                <w:w w:val="100"/>
                <w:sz w:val="18"/>
              </w:rPr>
              <w:t>P</w:t>
            </w:r>
          </w:p>
        </w:tc>
        <w:tc>
          <w:tcPr>
            <w:tcW w:w="45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w:t>
            </w:r>
            <w:r>
              <w:rPr>
                <w:b/>
                <w:spacing w:val="-1"/>
                <w:w w:val="100"/>
                <w:sz w:val="18"/>
              </w:rPr>
              <w:t>O</w:t>
            </w:r>
            <w:r>
              <w:rPr>
                <w:b/>
                <w:w w:val="99"/>
                <w:sz w:val="18"/>
              </w:rPr>
              <w:t>DP</w:t>
            </w:r>
          </w:p>
        </w:tc>
        <w:tc>
          <w:tcPr>
            <w:tcW w:w="523" w:type="dxa"/>
            <w:vMerge/>
            <w:tcBorders>
              <w:left w:val="single" w:sz="4" w:space="0" w:color="000000"/>
              <w:bottom w:val="single" w:sz="4" w:space="0" w:color="000000"/>
            </w:tcBorders>
            <w:shd w:val="clear" w:color="auto" w:fill="D7E3BB"/>
            <w:textDirection w:val="btLr"/>
          </w:tcPr>
          <w:p>
            <w:pPr/>
          </w:p>
        </w:tc>
      </w:tr>
      <w:tr>
        <w:trPr>
          <w:trHeight w:val="326" w:hRule="exact"/>
        </w:trPr>
        <w:tc>
          <w:tcPr>
            <w:tcW w:w="1640" w:type="dxa"/>
            <w:tcBorders>
              <w:bottom w:val="single" w:sz="4" w:space="0" w:color="000000"/>
              <w:right w:val="single" w:sz="4" w:space="0" w:color="000000"/>
            </w:tcBorders>
          </w:tcPr>
          <w:p>
            <w:pPr>
              <w:pStyle w:val="TableParagraph"/>
              <w:spacing w:line="201" w:lineRule="exact"/>
              <w:ind w:left="59" w:right="65"/>
              <w:jc w:val="left"/>
              <w:rPr>
                <w:b/>
                <w:sz w:val="18"/>
              </w:rPr>
            </w:pPr>
            <w:r>
              <w:rPr>
                <w:b/>
                <w:sz w:val="18"/>
              </w:rPr>
              <w:t>OTUMBA</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4"/>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4"/>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right="171"/>
              <w:jc w:val="right"/>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before="4"/>
              <w:ind w:left="3"/>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4"/>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4"/>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rPr>
                <w:sz w:val="18"/>
              </w:rPr>
            </w:pPr>
            <w:r>
              <w:rPr>
                <w:w w:val="99"/>
                <w:sz w:val="18"/>
              </w:rPr>
              <w:t>0</w:t>
            </w:r>
          </w:p>
        </w:tc>
        <w:tc>
          <w:tcPr>
            <w:tcW w:w="526" w:type="dxa"/>
            <w:tcBorders>
              <w:top w:val="single" w:sz="4" w:space="0" w:color="000000"/>
              <w:left w:val="single" w:sz="4" w:space="0" w:color="000000"/>
              <w:bottom w:val="single" w:sz="4" w:space="0" w:color="000000"/>
              <w:right w:val="single" w:sz="4" w:space="0" w:color="000000"/>
            </w:tcBorders>
          </w:tcPr>
          <w:p>
            <w:pPr>
              <w:pStyle w:val="TableParagraph"/>
              <w:spacing w:before="4"/>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right="171"/>
              <w:jc w:val="righ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4"/>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left="172"/>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4"/>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left="51" w:right="51"/>
              <w:rPr>
                <w:sz w:val="18"/>
              </w:rPr>
            </w:pPr>
            <w:r>
              <w:rPr>
                <w:sz w:val="18"/>
              </w:rPr>
              <w:t>16</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4"/>
              <w:ind w:left="124"/>
              <w:jc w:val="left"/>
              <w:rPr>
                <w:sz w:val="18"/>
              </w:rPr>
            </w:pPr>
            <w:r>
              <w:rPr>
                <w:sz w:val="18"/>
              </w:rPr>
              <w:t>12</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4"/>
              <w:ind w:left="1"/>
              <w:rPr>
                <w:sz w:val="18"/>
              </w:rPr>
            </w:pPr>
            <w:r>
              <w:rPr>
                <w:w w:val="99"/>
                <w:sz w:val="18"/>
              </w:rPr>
              <w:t>4</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before="4"/>
              <w:ind w:left="172"/>
              <w:jc w:val="left"/>
              <w:rPr>
                <w:sz w:val="18"/>
              </w:rPr>
            </w:pPr>
            <w:r>
              <w:rPr>
                <w:w w:val="99"/>
                <w:sz w:val="18"/>
              </w:rPr>
              <w:t>3</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4"/>
              <w:ind w:left="55" w:right="53"/>
              <w:rPr>
                <w:sz w:val="18"/>
              </w:rPr>
            </w:pPr>
            <w:r>
              <w:rPr>
                <w:sz w:val="18"/>
              </w:rPr>
              <w:t>12</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4"/>
              <w:ind w:left="172"/>
              <w:jc w:val="left"/>
              <w:rPr>
                <w:sz w:val="18"/>
              </w:rPr>
            </w:pPr>
            <w:r>
              <w:rPr>
                <w:w w:val="99"/>
                <w:sz w:val="18"/>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4"/>
              <w:ind w:left="1"/>
              <w:rPr>
                <w:sz w:val="18"/>
              </w:rPr>
            </w:pPr>
            <w:r>
              <w:rPr>
                <w:w w:val="99"/>
                <w:sz w:val="18"/>
              </w:rPr>
              <w:t>0</w:t>
            </w:r>
          </w:p>
        </w:tc>
        <w:tc>
          <w:tcPr>
            <w:tcW w:w="523"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86" w:right="86"/>
              <w:rPr>
                <w:b/>
                <w:sz w:val="18"/>
              </w:rPr>
            </w:pPr>
            <w:r>
              <w:rPr>
                <w:b/>
                <w:sz w:val="18"/>
              </w:rPr>
              <w:t>48</w:t>
            </w:r>
          </w:p>
        </w:tc>
      </w:tr>
      <w:tr>
        <w:trPr>
          <w:trHeight w:val="319" w:hRule="exact"/>
        </w:trPr>
        <w:tc>
          <w:tcPr>
            <w:tcW w:w="1640" w:type="dxa"/>
            <w:tcBorders>
              <w:top w:val="single" w:sz="4" w:space="0" w:color="000000"/>
              <w:bottom w:val="single" w:sz="4" w:space="0" w:color="000000"/>
              <w:right w:val="single" w:sz="4" w:space="0" w:color="000000"/>
            </w:tcBorders>
          </w:tcPr>
          <w:p>
            <w:pPr>
              <w:pStyle w:val="TableParagraph"/>
              <w:spacing w:line="201" w:lineRule="exact"/>
              <w:ind w:left="59" w:right="65"/>
              <w:jc w:val="left"/>
              <w:rPr>
                <w:b/>
                <w:sz w:val="18"/>
              </w:rPr>
            </w:pPr>
            <w:r>
              <w:rPr>
                <w:b/>
                <w:sz w:val="18"/>
              </w:rPr>
              <w:t>OTZOLOAPAN</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2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52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0</w:t>
            </w:r>
          </w:p>
        </w:tc>
      </w:tr>
      <w:tr>
        <w:trPr>
          <w:trHeight w:val="322" w:hRule="exact"/>
        </w:trPr>
        <w:tc>
          <w:tcPr>
            <w:tcW w:w="1640" w:type="dxa"/>
            <w:tcBorders>
              <w:top w:val="single" w:sz="4" w:space="0" w:color="000000"/>
              <w:bottom w:val="single" w:sz="4" w:space="0" w:color="000000"/>
              <w:right w:val="single" w:sz="4" w:space="0" w:color="000000"/>
            </w:tcBorders>
          </w:tcPr>
          <w:p>
            <w:pPr>
              <w:pStyle w:val="TableParagraph"/>
              <w:spacing w:line="202" w:lineRule="exact"/>
              <w:ind w:left="59" w:right="65"/>
              <w:jc w:val="left"/>
              <w:rPr>
                <w:b/>
                <w:sz w:val="18"/>
              </w:rPr>
            </w:pPr>
            <w:r>
              <w:rPr>
                <w:b/>
                <w:sz w:val="18"/>
              </w:rPr>
              <w:t>OTZOLOTEPEC</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1"/>
              <w:jc w:val="right"/>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3"/>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52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38" w:right="136"/>
              <w:rPr>
                <w:sz w:val="18"/>
              </w:rPr>
            </w:pPr>
            <w:r>
              <w:rPr>
                <w:sz w:val="18"/>
              </w:rPr>
              <w:t>40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1"/>
              <w:jc w:val="righ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22"/>
              <w:jc w:val="left"/>
              <w:rPr>
                <w:sz w:val="18"/>
              </w:rPr>
            </w:pPr>
            <w:r>
              <w:rPr>
                <w:sz w:val="18"/>
              </w:rPr>
              <w:t>35</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5"/>
              <w:jc w:val="left"/>
              <w:rPr>
                <w:sz w:val="18"/>
              </w:rPr>
            </w:pPr>
            <w:r>
              <w:rPr>
                <w:w w:val="99"/>
                <w:sz w:val="18"/>
              </w:rPr>
              <w:t>3</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51" w:right="51"/>
              <w:rPr>
                <w:sz w:val="18"/>
              </w:rPr>
            </w:pPr>
            <w:r>
              <w:rPr>
                <w:sz w:val="18"/>
              </w:rPr>
              <w:t>37</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5"/>
              <w:jc w:val="left"/>
              <w:rPr>
                <w:sz w:val="18"/>
              </w:rPr>
            </w:pPr>
            <w:r>
              <w:rPr>
                <w:w w:val="99"/>
                <w:sz w:val="18"/>
              </w:rPr>
              <w:t>1</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55" w:right="53"/>
              <w:rPr>
                <w:sz w:val="18"/>
              </w:rPr>
            </w:pPr>
            <w:r>
              <w:rPr>
                <w:sz w:val="18"/>
              </w:rPr>
              <w:t>23</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2"/>
              <w:jc w:val="left"/>
              <w:rPr>
                <w:sz w:val="18"/>
              </w:rPr>
            </w:pPr>
            <w:r>
              <w:rPr>
                <w:w w:val="99"/>
                <w:sz w:val="18"/>
              </w:rPr>
              <w:t>1</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55" w:right="53"/>
              <w:rPr>
                <w:sz w:val="18"/>
              </w:rPr>
            </w:pPr>
            <w:r>
              <w:rPr>
                <w:sz w:val="18"/>
              </w:rPr>
              <w:t>31</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2"/>
              <w:jc w:val="left"/>
              <w:rPr>
                <w:sz w:val="18"/>
              </w:rPr>
            </w:pPr>
            <w:r>
              <w:rPr>
                <w:w w:val="99"/>
                <w:sz w:val="18"/>
              </w:rPr>
              <w:t>2</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523"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86" w:right="86"/>
              <w:rPr>
                <w:b/>
                <w:sz w:val="18"/>
              </w:rPr>
            </w:pPr>
            <w:r>
              <w:rPr>
                <w:b/>
                <w:sz w:val="18"/>
              </w:rPr>
              <w:t>173</w:t>
            </w:r>
          </w:p>
        </w:tc>
      </w:tr>
      <w:tr>
        <w:trPr>
          <w:trHeight w:val="319" w:hRule="exact"/>
        </w:trPr>
        <w:tc>
          <w:tcPr>
            <w:tcW w:w="1640" w:type="dxa"/>
            <w:tcBorders>
              <w:top w:val="single" w:sz="4" w:space="0" w:color="000000"/>
              <w:bottom w:val="single" w:sz="4" w:space="0" w:color="000000"/>
              <w:right w:val="single" w:sz="4" w:space="0" w:color="000000"/>
            </w:tcBorders>
          </w:tcPr>
          <w:p>
            <w:pPr>
              <w:pStyle w:val="TableParagraph"/>
              <w:spacing w:line="201" w:lineRule="exact"/>
              <w:ind w:left="59" w:right="65"/>
              <w:jc w:val="left"/>
              <w:rPr>
                <w:b/>
                <w:sz w:val="18"/>
              </w:rPr>
            </w:pPr>
            <w:r>
              <w:rPr>
                <w:b/>
                <w:sz w:val="18"/>
              </w:rPr>
              <w:t>OZUMBA</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2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1" w:right="51"/>
              <w:rPr>
                <w:sz w:val="18"/>
              </w:rPr>
            </w:pPr>
            <w:r>
              <w:rPr>
                <w:sz w:val="18"/>
              </w:rPr>
              <w:t>16</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1</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3</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1</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7</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2</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52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86" w:right="86"/>
              <w:rPr>
                <w:b/>
                <w:sz w:val="18"/>
              </w:rPr>
            </w:pPr>
            <w:r>
              <w:rPr>
                <w:b/>
                <w:sz w:val="18"/>
              </w:rPr>
              <w:t>30</w:t>
            </w:r>
          </w:p>
        </w:tc>
      </w:tr>
      <w:tr>
        <w:trPr>
          <w:trHeight w:val="322" w:hRule="exact"/>
        </w:trPr>
        <w:tc>
          <w:tcPr>
            <w:tcW w:w="1640" w:type="dxa"/>
            <w:tcBorders>
              <w:top w:val="single" w:sz="4" w:space="0" w:color="000000"/>
              <w:bottom w:val="single" w:sz="4" w:space="0" w:color="000000"/>
              <w:right w:val="single" w:sz="4" w:space="0" w:color="000000"/>
            </w:tcBorders>
          </w:tcPr>
          <w:p>
            <w:pPr>
              <w:pStyle w:val="TableParagraph"/>
              <w:spacing w:line="201" w:lineRule="exact"/>
              <w:ind w:left="59" w:right="65"/>
              <w:jc w:val="left"/>
              <w:rPr>
                <w:b/>
                <w:sz w:val="18"/>
              </w:rPr>
            </w:pPr>
            <w:r>
              <w:rPr>
                <w:b/>
                <w:sz w:val="18"/>
              </w:rPr>
              <w:t>PAPALOTLA</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2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2"/>
              <w:jc w:val="left"/>
              <w:rPr>
                <w:sz w:val="18"/>
              </w:rPr>
            </w:pPr>
            <w:r>
              <w:rPr>
                <w:sz w:val="18"/>
              </w:rPr>
              <w:t>17</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4"/>
              <w:jc w:val="left"/>
              <w:rPr>
                <w:sz w:val="18"/>
              </w:rPr>
            </w:pPr>
            <w:r>
              <w:rPr>
                <w:sz w:val="18"/>
              </w:rPr>
              <w:t>23</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1" w:right="51"/>
              <w:rPr>
                <w:sz w:val="18"/>
              </w:rPr>
            </w:pPr>
            <w:r>
              <w:rPr>
                <w:sz w:val="18"/>
              </w:rPr>
              <w:t>36</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4"/>
              <w:jc w:val="left"/>
              <w:rPr>
                <w:sz w:val="18"/>
              </w:rPr>
            </w:pPr>
            <w:r>
              <w:rPr>
                <w:sz w:val="18"/>
              </w:rPr>
              <w:t>16</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5" w:right="53"/>
              <w:rPr>
                <w:sz w:val="18"/>
              </w:rPr>
            </w:pPr>
            <w:r>
              <w:rPr>
                <w:sz w:val="18"/>
              </w:rPr>
              <w:t>21</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2"/>
              <w:jc w:val="left"/>
              <w:rPr>
                <w:sz w:val="18"/>
              </w:rPr>
            </w:pPr>
            <w:r>
              <w:rPr>
                <w:sz w:val="18"/>
              </w:rPr>
              <w:t>15</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7</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7</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52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86" w:right="86"/>
              <w:rPr>
                <w:b/>
                <w:sz w:val="18"/>
              </w:rPr>
            </w:pPr>
            <w:r>
              <w:rPr>
                <w:b/>
                <w:sz w:val="18"/>
              </w:rPr>
              <w:t>142</w:t>
            </w:r>
          </w:p>
        </w:tc>
      </w:tr>
      <w:tr>
        <w:trPr>
          <w:trHeight w:val="319" w:hRule="exact"/>
        </w:trPr>
        <w:tc>
          <w:tcPr>
            <w:tcW w:w="1640" w:type="dxa"/>
            <w:tcBorders>
              <w:top w:val="single" w:sz="4" w:space="0" w:color="000000"/>
              <w:bottom w:val="single" w:sz="4" w:space="0" w:color="000000"/>
              <w:right w:val="single" w:sz="4" w:space="0" w:color="000000"/>
            </w:tcBorders>
          </w:tcPr>
          <w:p>
            <w:pPr>
              <w:pStyle w:val="TableParagraph"/>
              <w:spacing w:line="201" w:lineRule="exact"/>
              <w:ind w:left="59" w:right="65"/>
              <w:jc w:val="left"/>
              <w:rPr>
                <w:b/>
                <w:sz w:val="18"/>
              </w:rPr>
            </w:pPr>
            <w:r>
              <w:rPr>
                <w:b/>
                <w:sz w:val="18"/>
              </w:rPr>
              <w:t>POLOTITLAN</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2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1" w:right="51"/>
              <w:rPr>
                <w:sz w:val="18"/>
              </w:rPr>
            </w:pPr>
            <w:r>
              <w:rPr>
                <w:sz w:val="18"/>
              </w:rPr>
              <w:t>14</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6</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52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86" w:right="86"/>
              <w:rPr>
                <w:b/>
                <w:sz w:val="18"/>
              </w:rPr>
            </w:pPr>
            <w:r>
              <w:rPr>
                <w:b/>
                <w:sz w:val="18"/>
              </w:rPr>
              <w:t>20</w:t>
            </w:r>
          </w:p>
        </w:tc>
      </w:tr>
      <w:tr>
        <w:trPr>
          <w:trHeight w:val="322" w:hRule="exact"/>
        </w:trPr>
        <w:tc>
          <w:tcPr>
            <w:tcW w:w="1640" w:type="dxa"/>
            <w:tcBorders>
              <w:top w:val="single" w:sz="4" w:space="0" w:color="000000"/>
              <w:bottom w:val="single" w:sz="4" w:space="0" w:color="000000"/>
              <w:right w:val="single" w:sz="4" w:space="0" w:color="000000"/>
            </w:tcBorders>
          </w:tcPr>
          <w:p>
            <w:pPr>
              <w:pStyle w:val="TableParagraph"/>
              <w:spacing w:line="201" w:lineRule="exact"/>
              <w:ind w:left="59" w:right="65"/>
              <w:jc w:val="left"/>
              <w:rPr>
                <w:b/>
                <w:sz w:val="18"/>
              </w:rPr>
            </w:pPr>
            <w:r>
              <w:rPr>
                <w:b/>
                <w:sz w:val="18"/>
              </w:rPr>
              <w:t>RAYON</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2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52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0</w:t>
            </w:r>
          </w:p>
        </w:tc>
      </w:tr>
      <w:tr>
        <w:trPr>
          <w:trHeight w:val="631" w:hRule="exact"/>
        </w:trPr>
        <w:tc>
          <w:tcPr>
            <w:tcW w:w="1640" w:type="dxa"/>
            <w:tcBorders>
              <w:top w:val="single" w:sz="4" w:space="0" w:color="000000"/>
              <w:bottom w:val="single" w:sz="4" w:space="0" w:color="000000"/>
              <w:right w:val="single" w:sz="4" w:space="0" w:color="000000"/>
            </w:tcBorders>
          </w:tcPr>
          <w:p>
            <w:pPr>
              <w:pStyle w:val="TableParagraph"/>
              <w:tabs>
                <w:tab w:pos="731" w:val="left" w:leader="none"/>
              </w:tabs>
              <w:spacing w:line="360" w:lineRule="auto"/>
              <w:ind w:left="59" w:right="65"/>
              <w:jc w:val="left"/>
              <w:rPr>
                <w:b/>
                <w:sz w:val="18"/>
              </w:rPr>
            </w:pPr>
            <w:r>
              <w:rPr>
                <w:b/>
                <w:sz w:val="18"/>
              </w:rPr>
              <w:t>SAN</w:t>
              <w:tab/>
            </w:r>
            <w:r>
              <w:rPr>
                <w:b/>
                <w:spacing w:val="-1"/>
                <w:sz w:val="18"/>
              </w:rPr>
              <w:t>ANTONIO </w:t>
            </w:r>
            <w:r>
              <w:rPr>
                <w:b/>
                <w:sz w:val="18"/>
              </w:rPr>
              <w:t>LA</w:t>
            </w:r>
            <w:r>
              <w:rPr>
                <w:b/>
                <w:spacing w:val="-1"/>
                <w:sz w:val="18"/>
              </w:rPr>
              <w:t> </w:t>
            </w:r>
            <w:r>
              <w:rPr>
                <w:b/>
                <w:sz w:val="18"/>
              </w:rPr>
              <w:t>ISLA</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before="155"/>
              <w:ind w:left="3"/>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526"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1</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523" w:type="dxa"/>
            <w:tcBorders>
              <w:top w:val="single" w:sz="4" w:space="0" w:color="000000"/>
              <w:left w:val="single" w:sz="4" w:space="0" w:color="000000"/>
              <w:bottom w:val="single" w:sz="4" w:space="0" w:color="000000"/>
              <w:right w:val="single" w:sz="4" w:space="0" w:color="000000"/>
            </w:tcBorders>
          </w:tcPr>
          <w:p>
            <w:pPr>
              <w:pStyle w:val="TableParagraph"/>
              <w:spacing w:before="150"/>
              <w:rPr>
                <w:b/>
                <w:sz w:val="18"/>
              </w:rPr>
            </w:pPr>
            <w:r>
              <w:rPr>
                <w:b/>
                <w:w w:val="99"/>
                <w:sz w:val="18"/>
              </w:rPr>
              <w:t>1</w:t>
            </w:r>
          </w:p>
        </w:tc>
      </w:tr>
      <w:tr>
        <w:trPr>
          <w:trHeight w:val="632" w:hRule="exact"/>
        </w:trPr>
        <w:tc>
          <w:tcPr>
            <w:tcW w:w="1640" w:type="dxa"/>
            <w:tcBorders>
              <w:top w:val="single" w:sz="4" w:space="0" w:color="000000"/>
              <w:bottom w:val="single" w:sz="4" w:space="0" w:color="000000"/>
              <w:right w:val="single" w:sz="4" w:space="0" w:color="000000"/>
            </w:tcBorders>
          </w:tcPr>
          <w:p>
            <w:pPr>
              <w:pStyle w:val="TableParagraph"/>
              <w:spacing w:line="360" w:lineRule="auto"/>
              <w:ind w:left="59" w:right="46"/>
              <w:jc w:val="left"/>
              <w:rPr>
                <w:b/>
                <w:sz w:val="18"/>
              </w:rPr>
            </w:pPr>
            <w:r>
              <w:rPr>
                <w:b/>
                <w:sz w:val="18"/>
              </w:rPr>
              <w:t>SAN FELIPE DEL PROGRESO</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before="155"/>
              <w:ind w:left="3"/>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526"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523" w:type="dxa"/>
            <w:tcBorders>
              <w:top w:val="single" w:sz="4" w:space="0" w:color="000000"/>
              <w:left w:val="single" w:sz="4" w:space="0" w:color="000000"/>
              <w:bottom w:val="single" w:sz="4" w:space="0" w:color="000000"/>
              <w:right w:val="single" w:sz="4" w:space="0" w:color="000000"/>
            </w:tcBorders>
          </w:tcPr>
          <w:p>
            <w:pPr>
              <w:pStyle w:val="TableParagraph"/>
              <w:spacing w:before="150"/>
              <w:rPr>
                <w:b/>
                <w:sz w:val="18"/>
              </w:rPr>
            </w:pPr>
            <w:r>
              <w:rPr>
                <w:b/>
                <w:w w:val="99"/>
                <w:sz w:val="18"/>
              </w:rPr>
              <w:t>0</w:t>
            </w:r>
          </w:p>
        </w:tc>
      </w:tr>
      <w:tr>
        <w:trPr>
          <w:trHeight w:val="631" w:hRule="exact"/>
        </w:trPr>
        <w:tc>
          <w:tcPr>
            <w:tcW w:w="1640" w:type="dxa"/>
            <w:tcBorders>
              <w:top w:val="single" w:sz="4" w:space="0" w:color="000000"/>
              <w:bottom w:val="single" w:sz="4" w:space="0" w:color="000000"/>
              <w:right w:val="single" w:sz="4" w:space="0" w:color="000000"/>
            </w:tcBorders>
          </w:tcPr>
          <w:p>
            <w:pPr>
              <w:pStyle w:val="TableParagraph"/>
              <w:spacing w:line="360" w:lineRule="auto"/>
              <w:ind w:left="59" w:right="65"/>
              <w:jc w:val="left"/>
              <w:rPr>
                <w:b/>
                <w:sz w:val="18"/>
              </w:rPr>
            </w:pPr>
            <w:r>
              <w:rPr>
                <w:b/>
                <w:sz w:val="18"/>
              </w:rPr>
              <w:t>SAN JOSE DEL RINCON</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right="171"/>
              <w:jc w:val="right"/>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before="152"/>
              <w:ind w:left="3"/>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rPr>
                <w:sz w:val="18"/>
              </w:rPr>
            </w:pPr>
            <w:r>
              <w:rPr>
                <w:w w:val="99"/>
                <w:sz w:val="18"/>
              </w:rPr>
              <w:t>0</w:t>
            </w:r>
          </w:p>
        </w:tc>
        <w:tc>
          <w:tcPr>
            <w:tcW w:w="526" w:type="dxa"/>
            <w:tcBorders>
              <w:top w:val="single" w:sz="4" w:space="0" w:color="000000"/>
              <w:left w:val="single" w:sz="4" w:space="0" w:color="000000"/>
              <w:bottom w:val="single" w:sz="4" w:space="0" w:color="000000"/>
              <w:right w:val="single" w:sz="4" w:space="0" w:color="000000"/>
            </w:tcBorders>
          </w:tcPr>
          <w:p>
            <w:pPr>
              <w:pStyle w:val="TableParagraph"/>
              <w:spacing w:before="152"/>
              <w:ind w:left="138" w:right="136"/>
              <w:rPr>
                <w:sz w:val="18"/>
              </w:rPr>
            </w:pPr>
            <w:r>
              <w:rPr>
                <w:sz w:val="18"/>
              </w:rPr>
              <w:t>10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right="171"/>
              <w:jc w:val="righ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left="122"/>
              <w:jc w:val="left"/>
              <w:rPr>
                <w:sz w:val="18"/>
              </w:rPr>
            </w:pPr>
            <w:r>
              <w:rPr>
                <w:sz w:val="18"/>
              </w:rPr>
              <w:t>25</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left="175"/>
              <w:jc w:val="left"/>
              <w:rPr>
                <w:sz w:val="18"/>
              </w:rPr>
            </w:pPr>
            <w:r>
              <w:rPr>
                <w:w w:val="99"/>
                <w:sz w:val="18"/>
              </w:rPr>
              <w:t>2</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left="51" w:right="51"/>
              <w:rPr>
                <w:sz w:val="18"/>
              </w:rPr>
            </w:pPr>
            <w:r>
              <w:rPr>
                <w:sz w:val="18"/>
              </w:rPr>
              <w:t>20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75"/>
              <w:jc w:val="left"/>
              <w:rPr>
                <w:sz w:val="18"/>
              </w:rPr>
            </w:pPr>
            <w:r>
              <w:rPr>
                <w:w w:val="99"/>
                <w:sz w:val="18"/>
              </w:rPr>
              <w:t>1</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6</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before="152"/>
              <w:ind w:left="172"/>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right="169"/>
              <w:jc w:val="right"/>
              <w:rPr>
                <w:sz w:val="18"/>
              </w:rPr>
            </w:pPr>
            <w:r>
              <w:rPr>
                <w:w w:val="99"/>
                <w:sz w:val="18"/>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523" w:type="dxa"/>
            <w:tcBorders>
              <w:top w:val="single" w:sz="4" w:space="0" w:color="000000"/>
              <w:left w:val="single" w:sz="4" w:space="0" w:color="000000"/>
              <w:bottom w:val="single" w:sz="4" w:space="0" w:color="000000"/>
              <w:right w:val="single" w:sz="4" w:space="0" w:color="000000"/>
            </w:tcBorders>
          </w:tcPr>
          <w:p>
            <w:pPr>
              <w:pStyle w:val="TableParagraph"/>
              <w:spacing w:before="148"/>
              <w:ind w:left="86" w:right="86"/>
              <w:rPr>
                <w:b/>
                <w:sz w:val="18"/>
              </w:rPr>
            </w:pPr>
            <w:r>
              <w:rPr>
                <w:b/>
                <w:sz w:val="18"/>
              </w:rPr>
              <w:t>65</w:t>
            </w:r>
          </w:p>
        </w:tc>
      </w:tr>
      <w:tr>
        <w:trPr>
          <w:trHeight w:val="629" w:hRule="exact"/>
        </w:trPr>
        <w:tc>
          <w:tcPr>
            <w:tcW w:w="1640" w:type="dxa"/>
            <w:tcBorders>
              <w:top w:val="single" w:sz="4" w:space="0" w:color="000000"/>
              <w:bottom w:val="single" w:sz="4" w:space="0" w:color="000000"/>
              <w:right w:val="single" w:sz="4" w:space="0" w:color="000000"/>
            </w:tcBorders>
          </w:tcPr>
          <w:p>
            <w:pPr>
              <w:pStyle w:val="TableParagraph"/>
              <w:spacing w:line="360" w:lineRule="auto"/>
              <w:ind w:left="59" w:right="65"/>
              <w:jc w:val="left"/>
              <w:rPr>
                <w:b/>
                <w:sz w:val="18"/>
              </w:rPr>
            </w:pPr>
            <w:r>
              <w:rPr>
                <w:b/>
                <w:sz w:val="18"/>
              </w:rPr>
              <w:t>SAN MARTÍN DE LAS PIRAMIDES</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right="171"/>
              <w:jc w:val="right"/>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before="152"/>
              <w:ind w:left="3"/>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rPr>
                <w:sz w:val="18"/>
              </w:rPr>
            </w:pPr>
            <w:r>
              <w:rPr>
                <w:w w:val="99"/>
                <w:sz w:val="18"/>
              </w:rPr>
              <w:t>0</w:t>
            </w:r>
          </w:p>
        </w:tc>
        <w:tc>
          <w:tcPr>
            <w:tcW w:w="526"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right="171"/>
              <w:jc w:val="righ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left="172"/>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rPr>
                <w:sz w:val="18"/>
              </w:rPr>
            </w:pPr>
            <w:r>
              <w:rPr>
                <w:w w:val="99"/>
                <w:sz w:val="18"/>
              </w:rPr>
              <w:t>4</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before="152"/>
              <w:ind w:left="172"/>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2"/>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2"/>
              <w:ind w:left="1"/>
              <w:rPr>
                <w:sz w:val="18"/>
              </w:rPr>
            </w:pPr>
            <w:r>
              <w:rPr>
                <w:w w:val="99"/>
                <w:sz w:val="18"/>
              </w:rPr>
              <w:t>0</w:t>
            </w:r>
          </w:p>
        </w:tc>
        <w:tc>
          <w:tcPr>
            <w:tcW w:w="523" w:type="dxa"/>
            <w:tcBorders>
              <w:top w:val="single" w:sz="4" w:space="0" w:color="000000"/>
              <w:left w:val="single" w:sz="4" w:space="0" w:color="000000"/>
              <w:bottom w:val="single" w:sz="4" w:space="0" w:color="000000"/>
              <w:right w:val="single" w:sz="4" w:space="0" w:color="000000"/>
            </w:tcBorders>
          </w:tcPr>
          <w:p>
            <w:pPr>
              <w:pStyle w:val="TableParagraph"/>
              <w:spacing w:before="148"/>
              <w:rPr>
                <w:b/>
                <w:sz w:val="18"/>
              </w:rPr>
            </w:pPr>
            <w:r>
              <w:rPr>
                <w:b/>
                <w:w w:val="99"/>
                <w:sz w:val="18"/>
              </w:rPr>
              <w:t>4</w:t>
            </w:r>
          </w:p>
        </w:tc>
      </w:tr>
      <w:tr>
        <w:trPr>
          <w:trHeight w:val="631" w:hRule="exact"/>
        </w:trPr>
        <w:tc>
          <w:tcPr>
            <w:tcW w:w="1640" w:type="dxa"/>
            <w:tcBorders>
              <w:top w:val="single" w:sz="4" w:space="0" w:color="000000"/>
              <w:bottom w:val="single" w:sz="4" w:space="0" w:color="000000"/>
              <w:right w:val="single" w:sz="4" w:space="0" w:color="000000"/>
            </w:tcBorders>
          </w:tcPr>
          <w:p>
            <w:pPr>
              <w:pStyle w:val="TableParagraph"/>
              <w:tabs>
                <w:tab w:pos="908" w:val="left" w:leader="none"/>
              </w:tabs>
              <w:spacing w:line="360" w:lineRule="auto"/>
              <w:ind w:left="59" w:right="65"/>
              <w:jc w:val="left"/>
              <w:rPr>
                <w:b/>
                <w:sz w:val="18"/>
              </w:rPr>
            </w:pPr>
            <w:r>
              <w:rPr>
                <w:b/>
                <w:sz w:val="18"/>
              </w:rPr>
              <w:t>SAN</w:t>
              <w:tab/>
              <w:t>MATEO ATENCO</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before="155"/>
              <w:ind w:left="3"/>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526" w:type="dxa"/>
            <w:tcBorders>
              <w:top w:val="single" w:sz="4" w:space="0" w:color="000000"/>
              <w:left w:val="single" w:sz="4" w:space="0" w:color="000000"/>
              <w:bottom w:val="single" w:sz="4" w:space="0" w:color="000000"/>
              <w:right w:val="single" w:sz="4" w:space="0" w:color="000000"/>
            </w:tcBorders>
          </w:tcPr>
          <w:p>
            <w:pPr>
              <w:pStyle w:val="TableParagraph"/>
              <w:spacing w:before="155"/>
              <w:ind w:left="138" w:right="136"/>
              <w:rPr>
                <w:sz w:val="18"/>
              </w:rPr>
            </w:pPr>
            <w:r>
              <w:rPr>
                <w:sz w:val="18"/>
              </w:rPr>
              <w:t>37</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22"/>
              <w:jc w:val="left"/>
              <w:rPr>
                <w:sz w:val="18"/>
              </w:rPr>
            </w:pPr>
            <w:r>
              <w:rPr>
                <w:sz w:val="18"/>
              </w:rPr>
              <w:t>39</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51" w:right="51"/>
              <w:rPr>
                <w:sz w:val="18"/>
              </w:rPr>
            </w:pPr>
            <w:r>
              <w:rPr>
                <w:sz w:val="18"/>
              </w:rPr>
              <w:t>21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8</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55" w:right="53"/>
              <w:rPr>
                <w:sz w:val="18"/>
              </w:rPr>
            </w:pPr>
            <w:r>
              <w:rPr>
                <w:sz w:val="18"/>
              </w:rPr>
              <w:t>32</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523" w:type="dxa"/>
            <w:tcBorders>
              <w:top w:val="single" w:sz="4" w:space="0" w:color="000000"/>
              <w:left w:val="single" w:sz="4" w:space="0" w:color="000000"/>
              <w:bottom w:val="single" w:sz="4" w:space="0" w:color="000000"/>
              <w:right w:val="single" w:sz="4" w:space="0" w:color="000000"/>
            </w:tcBorders>
          </w:tcPr>
          <w:p>
            <w:pPr>
              <w:pStyle w:val="TableParagraph"/>
              <w:spacing w:before="150"/>
              <w:ind w:left="86" w:right="86"/>
              <w:rPr>
                <w:b/>
                <w:sz w:val="18"/>
              </w:rPr>
            </w:pPr>
            <w:r>
              <w:rPr>
                <w:b/>
                <w:sz w:val="18"/>
              </w:rPr>
              <w:t>137</w:t>
            </w:r>
          </w:p>
        </w:tc>
      </w:tr>
      <w:tr>
        <w:trPr>
          <w:trHeight w:val="632" w:hRule="exact"/>
        </w:trPr>
        <w:tc>
          <w:tcPr>
            <w:tcW w:w="1640" w:type="dxa"/>
            <w:tcBorders>
              <w:top w:val="single" w:sz="4" w:space="0" w:color="000000"/>
              <w:bottom w:val="single" w:sz="4" w:space="0" w:color="000000"/>
              <w:right w:val="single" w:sz="4" w:space="0" w:color="000000"/>
            </w:tcBorders>
          </w:tcPr>
          <w:p>
            <w:pPr>
              <w:pStyle w:val="TableParagraph"/>
              <w:spacing w:line="360" w:lineRule="auto"/>
              <w:ind w:left="59" w:right="65"/>
              <w:jc w:val="left"/>
              <w:rPr>
                <w:b/>
                <w:sz w:val="18"/>
              </w:rPr>
            </w:pPr>
            <w:r>
              <w:rPr>
                <w:b/>
                <w:sz w:val="18"/>
              </w:rPr>
              <w:t>SAN SIMON DE GUERRERO</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before="155"/>
              <w:ind w:left="3"/>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526"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523" w:type="dxa"/>
            <w:tcBorders>
              <w:top w:val="single" w:sz="4" w:space="0" w:color="000000"/>
              <w:left w:val="single" w:sz="4" w:space="0" w:color="000000"/>
              <w:bottom w:val="single" w:sz="4" w:space="0" w:color="000000"/>
              <w:right w:val="single" w:sz="4" w:space="0" w:color="000000"/>
            </w:tcBorders>
          </w:tcPr>
          <w:p>
            <w:pPr>
              <w:pStyle w:val="TableParagraph"/>
              <w:spacing w:before="150"/>
              <w:rPr>
                <w:b/>
                <w:sz w:val="18"/>
              </w:rPr>
            </w:pPr>
            <w:r>
              <w:rPr>
                <w:b/>
                <w:w w:val="99"/>
                <w:sz w:val="18"/>
              </w:rPr>
              <w:t>0</w:t>
            </w:r>
          </w:p>
        </w:tc>
      </w:tr>
      <w:tr>
        <w:trPr>
          <w:trHeight w:val="322" w:hRule="exact"/>
        </w:trPr>
        <w:tc>
          <w:tcPr>
            <w:tcW w:w="1640" w:type="dxa"/>
            <w:tcBorders>
              <w:top w:val="single" w:sz="4" w:space="0" w:color="000000"/>
              <w:bottom w:val="single" w:sz="4" w:space="0" w:color="000000"/>
              <w:right w:val="single" w:sz="4" w:space="0" w:color="000000"/>
            </w:tcBorders>
          </w:tcPr>
          <w:p>
            <w:pPr>
              <w:pStyle w:val="TableParagraph"/>
              <w:spacing w:line="201" w:lineRule="exact"/>
              <w:ind w:left="59" w:right="65"/>
              <w:jc w:val="left"/>
              <w:rPr>
                <w:b/>
                <w:sz w:val="18"/>
              </w:rPr>
            </w:pPr>
            <w:r>
              <w:rPr>
                <w:b/>
                <w:sz w:val="18"/>
              </w:rPr>
              <w:t>SANTO TOMAS</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2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5" w:right="53"/>
              <w:rPr>
                <w:sz w:val="18"/>
              </w:rPr>
            </w:pPr>
            <w:r>
              <w:rPr>
                <w:sz w:val="18"/>
              </w:rPr>
              <w:t>12</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52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86" w:right="86"/>
              <w:rPr>
                <w:b/>
                <w:sz w:val="18"/>
              </w:rPr>
            </w:pPr>
            <w:r>
              <w:rPr>
                <w:b/>
                <w:sz w:val="18"/>
              </w:rPr>
              <w:t>13</w:t>
            </w:r>
          </w:p>
        </w:tc>
      </w:tr>
      <w:tr>
        <w:trPr>
          <w:trHeight w:val="631" w:hRule="exact"/>
        </w:trPr>
        <w:tc>
          <w:tcPr>
            <w:tcW w:w="1640" w:type="dxa"/>
            <w:tcBorders>
              <w:top w:val="single" w:sz="4" w:space="0" w:color="000000"/>
              <w:bottom w:val="single" w:sz="4" w:space="0" w:color="000000"/>
              <w:right w:val="single" w:sz="4" w:space="0" w:color="000000"/>
            </w:tcBorders>
          </w:tcPr>
          <w:p>
            <w:pPr>
              <w:pStyle w:val="TableParagraph"/>
              <w:spacing w:line="360" w:lineRule="auto"/>
              <w:ind w:left="59" w:right="46"/>
              <w:jc w:val="left"/>
              <w:rPr>
                <w:b/>
                <w:sz w:val="18"/>
              </w:rPr>
            </w:pPr>
            <w:r>
              <w:rPr>
                <w:b/>
                <w:sz w:val="18"/>
              </w:rPr>
              <w:t>SOYANIQUILPAN DE JUAREZ</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before="155"/>
              <w:ind w:left="3"/>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526"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9"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6</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75"/>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71"/>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6</w:t>
            </w:r>
          </w:p>
        </w:tc>
        <w:tc>
          <w:tcPr>
            <w:tcW w:w="457"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right="169"/>
              <w:jc w:val="righ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8</w:t>
            </w:r>
          </w:p>
        </w:tc>
        <w:tc>
          <w:tcPr>
            <w:tcW w:w="456"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523" w:type="dxa"/>
            <w:tcBorders>
              <w:top w:val="single" w:sz="4" w:space="0" w:color="000000"/>
              <w:left w:val="single" w:sz="4" w:space="0" w:color="000000"/>
              <w:bottom w:val="single" w:sz="4" w:space="0" w:color="000000"/>
              <w:right w:val="single" w:sz="4" w:space="0" w:color="000000"/>
            </w:tcBorders>
          </w:tcPr>
          <w:p>
            <w:pPr>
              <w:pStyle w:val="TableParagraph"/>
              <w:spacing w:before="150"/>
              <w:ind w:left="86" w:right="86"/>
              <w:rPr>
                <w:b/>
                <w:sz w:val="18"/>
              </w:rPr>
            </w:pPr>
            <w:r>
              <w:rPr>
                <w:b/>
                <w:sz w:val="18"/>
              </w:rPr>
              <w:t>20</w:t>
            </w:r>
          </w:p>
        </w:tc>
      </w:tr>
    </w:tbl>
    <w:p>
      <w:pPr>
        <w:spacing w:after="0"/>
        <w:rPr>
          <w:sz w:val="18"/>
        </w:rPr>
        <w:sectPr>
          <w:pgSz w:w="15840" w:h="12240" w:orient="landscape"/>
          <w:pgMar w:header="0" w:footer="975" w:top="1140" w:bottom="1160" w:left="1380" w:right="10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762"/>
        <w:gridCol w:w="451"/>
        <w:gridCol w:w="461"/>
        <w:gridCol w:w="451"/>
        <w:gridCol w:w="451"/>
        <w:gridCol w:w="274"/>
        <w:gridCol w:w="178"/>
        <w:gridCol w:w="276"/>
        <w:gridCol w:w="178"/>
        <w:gridCol w:w="276"/>
        <w:gridCol w:w="175"/>
        <w:gridCol w:w="276"/>
        <w:gridCol w:w="173"/>
        <w:gridCol w:w="281"/>
        <w:gridCol w:w="170"/>
        <w:gridCol w:w="386"/>
        <w:gridCol w:w="122"/>
        <w:gridCol w:w="332"/>
        <w:gridCol w:w="119"/>
        <w:gridCol w:w="336"/>
        <w:gridCol w:w="115"/>
        <w:gridCol w:w="337"/>
        <w:gridCol w:w="112"/>
        <w:gridCol w:w="342"/>
        <w:gridCol w:w="109"/>
        <w:gridCol w:w="307"/>
        <w:gridCol w:w="144"/>
        <w:gridCol w:w="310"/>
        <w:gridCol w:w="142"/>
        <w:gridCol w:w="314"/>
        <w:gridCol w:w="139"/>
        <w:gridCol w:w="317"/>
        <w:gridCol w:w="137"/>
        <w:gridCol w:w="451"/>
        <w:gridCol w:w="454"/>
        <w:gridCol w:w="319"/>
        <w:gridCol w:w="484"/>
        <w:gridCol w:w="395"/>
        <w:gridCol w:w="103"/>
        <w:gridCol w:w="323"/>
        <w:gridCol w:w="131"/>
        <w:gridCol w:w="463"/>
      </w:tblGrid>
      <w:tr>
        <w:trPr>
          <w:trHeight w:val="330" w:hRule="exact"/>
        </w:trPr>
        <w:tc>
          <w:tcPr>
            <w:tcW w:w="13077" w:type="dxa"/>
            <w:gridSpan w:val="42"/>
            <w:shd w:val="clear" w:color="auto" w:fill="92D050"/>
          </w:tcPr>
          <w:p>
            <w:pPr>
              <w:pStyle w:val="TableParagraph"/>
              <w:spacing w:line="201" w:lineRule="exact"/>
              <w:ind w:left="2215"/>
              <w:jc w:val="left"/>
              <w:rPr>
                <w:b/>
                <w:sz w:val="18"/>
              </w:rPr>
            </w:pPr>
            <w:r>
              <w:rPr>
                <w:b/>
                <w:sz w:val="18"/>
              </w:rPr>
              <w:t>Anexo 21. Municipios que publican apartado de solicitudes de información 2008-2015 (Continuación)</w:t>
            </w:r>
          </w:p>
        </w:tc>
      </w:tr>
      <w:tr>
        <w:trPr>
          <w:trHeight w:val="330" w:hRule="exact"/>
        </w:trPr>
        <w:tc>
          <w:tcPr>
            <w:tcW w:w="1762" w:type="dxa"/>
            <w:vMerge w:val="restart"/>
            <w:tcBorders>
              <w:right w:val="single" w:sz="4" w:space="0" w:color="000000"/>
            </w:tcBorders>
            <w:shd w:val="clear" w:color="auto" w:fill="C5DFB3"/>
          </w:tcPr>
          <w:p>
            <w:pPr>
              <w:pStyle w:val="TableParagraph"/>
              <w:jc w:val="left"/>
              <w:rPr>
                <w:rFonts w:ascii="Times New Roman"/>
                <w:sz w:val="18"/>
              </w:rPr>
            </w:pPr>
          </w:p>
          <w:p>
            <w:pPr>
              <w:pStyle w:val="TableParagraph"/>
              <w:spacing w:before="2"/>
              <w:jc w:val="left"/>
              <w:rPr>
                <w:rFonts w:ascii="Times New Roman"/>
                <w:sz w:val="20"/>
              </w:rPr>
            </w:pPr>
          </w:p>
          <w:p>
            <w:pPr>
              <w:pStyle w:val="TableParagraph"/>
              <w:ind w:left="451"/>
              <w:jc w:val="left"/>
              <w:rPr>
                <w:b/>
                <w:sz w:val="18"/>
              </w:rPr>
            </w:pPr>
            <w:r>
              <w:rPr>
                <w:b/>
                <w:sz w:val="18"/>
              </w:rPr>
              <w:t>Municipio</w:t>
            </w:r>
          </w:p>
        </w:tc>
        <w:tc>
          <w:tcPr>
            <w:tcW w:w="1363" w:type="dxa"/>
            <w:gridSpan w:val="3"/>
            <w:tcBorders>
              <w:top w:val="single" w:sz="4" w:space="0" w:color="000000"/>
              <w:left w:val="single" w:sz="4" w:space="0" w:color="000000"/>
              <w:right w:val="single" w:sz="4" w:space="0" w:color="000000"/>
            </w:tcBorders>
            <w:shd w:val="clear" w:color="auto" w:fill="D7E3BB"/>
          </w:tcPr>
          <w:p>
            <w:pPr>
              <w:pStyle w:val="TableParagraph"/>
              <w:ind w:left="448" w:right="465"/>
              <w:rPr>
                <w:b/>
                <w:sz w:val="18"/>
              </w:rPr>
            </w:pPr>
            <w:r>
              <w:rPr>
                <w:b/>
                <w:sz w:val="18"/>
              </w:rPr>
              <w:t>2008</w:t>
            </w:r>
          </w:p>
        </w:tc>
        <w:tc>
          <w:tcPr>
            <w:tcW w:w="1179" w:type="dxa"/>
            <w:gridSpan w:val="4"/>
            <w:tcBorders>
              <w:top w:val="single" w:sz="4" w:space="0" w:color="000000"/>
              <w:left w:val="single" w:sz="4" w:space="0" w:color="000000"/>
              <w:right w:val="single" w:sz="4" w:space="0" w:color="000000"/>
            </w:tcBorders>
            <w:shd w:val="clear" w:color="auto" w:fill="D7E3BB"/>
          </w:tcPr>
          <w:p>
            <w:pPr>
              <w:pStyle w:val="TableParagraph"/>
              <w:ind w:left="374"/>
              <w:jc w:val="left"/>
              <w:rPr>
                <w:b/>
                <w:sz w:val="18"/>
              </w:rPr>
            </w:pPr>
            <w:r>
              <w:rPr>
                <w:b/>
                <w:sz w:val="18"/>
              </w:rPr>
              <w:t>2009</w:t>
            </w:r>
          </w:p>
        </w:tc>
        <w:tc>
          <w:tcPr>
            <w:tcW w:w="1358" w:type="dxa"/>
            <w:gridSpan w:val="6"/>
            <w:tcBorders>
              <w:top w:val="single" w:sz="4" w:space="0" w:color="000000"/>
              <w:left w:val="single" w:sz="4" w:space="0" w:color="000000"/>
              <w:right w:val="single" w:sz="4" w:space="0" w:color="000000"/>
            </w:tcBorders>
            <w:shd w:val="clear" w:color="auto" w:fill="D7E3BB"/>
          </w:tcPr>
          <w:p>
            <w:pPr>
              <w:pStyle w:val="TableParagraph"/>
              <w:ind w:left="452" w:right="452"/>
              <w:rPr>
                <w:b/>
                <w:sz w:val="18"/>
              </w:rPr>
            </w:pPr>
            <w:r>
              <w:rPr>
                <w:b/>
                <w:sz w:val="18"/>
              </w:rPr>
              <w:t>2010</w:t>
            </w:r>
          </w:p>
        </w:tc>
        <w:tc>
          <w:tcPr>
            <w:tcW w:w="1467" w:type="dxa"/>
            <w:gridSpan w:val="6"/>
            <w:tcBorders>
              <w:top w:val="single" w:sz="4" w:space="0" w:color="000000"/>
              <w:left w:val="single" w:sz="4" w:space="0" w:color="000000"/>
              <w:right w:val="single" w:sz="4" w:space="0" w:color="000000"/>
            </w:tcBorders>
            <w:shd w:val="clear" w:color="auto" w:fill="D7E3BB"/>
          </w:tcPr>
          <w:p>
            <w:pPr>
              <w:pStyle w:val="TableParagraph"/>
              <w:ind w:left="493" w:right="522"/>
              <w:rPr>
                <w:b/>
                <w:sz w:val="18"/>
              </w:rPr>
            </w:pPr>
            <w:r>
              <w:rPr>
                <w:b/>
                <w:sz w:val="18"/>
              </w:rPr>
              <w:t>2011</w:t>
            </w:r>
          </w:p>
        </w:tc>
        <w:tc>
          <w:tcPr>
            <w:tcW w:w="1323" w:type="dxa"/>
            <w:gridSpan w:val="6"/>
            <w:tcBorders>
              <w:top w:val="single" w:sz="4" w:space="0" w:color="000000"/>
              <w:left w:val="single" w:sz="4" w:space="0" w:color="000000"/>
              <w:right w:val="single" w:sz="4" w:space="0" w:color="000000"/>
            </w:tcBorders>
            <w:shd w:val="clear" w:color="auto" w:fill="D7E3BB"/>
          </w:tcPr>
          <w:p>
            <w:pPr>
              <w:pStyle w:val="TableParagraph"/>
              <w:ind w:left="421" w:right="450"/>
              <w:rPr>
                <w:b/>
                <w:sz w:val="18"/>
              </w:rPr>
            </w:pPr>
            <w:r>
              <w:rPr>
                <w:b/>
                <w:sz w:val="18"/>
              </w:rPr>
              <w:t>2012</w:t>
            </w:r>
          </w:p>
        </w:tc>
        <w:tc>
          <w:tcPr>
            <w:tcW w:w="1366" w:type="dxa"/>
            <w:gridSpan w:val="6"/>
            <w:tcBorders>
              <w:top w:val="single" w:sz="4" w:space="0" w:color="000000"/>
              <w:left w:val="single" w:sz="4" w:space="0" w:color="000000"/>
              <w:right w:val="single" w:sz="4" w:space="0" w:color="000000"/>
            </w:tcBorders>
            <w:shd w:val="clear" w:color="auto" w:fill="D7E3BB"/>
          </w:tcPr>
          <w:p>
            <w:pPr>
              <w:pStyle w:val="TableParagraph"/>
              <w:ind w:left="458" w:right="456"/>
              <w:rPr>
                <w:b/>
                <w:sz w:val="18"/>
              </w:rPr>
            </w:pPr>
            <w:r>
              <w:rPr>
                <w:b/>
                <w:sz w:val="18"/>
              </w:rPr>
              <w:t>2013</w:t>
            </w:r>
          </w:p>
        </w:tc>
        <w:tc>
          <w:tcPr>
            <w:tcW w:w="1361" w:type="dxa"/>
            <w:gridSpan w:val="4"/>
            <w:tcBorders>
              <w:top w:val="single" w:sz="4" w:space="0" w:color="000000"/>
              <w:left w:val="single" w:sz="4" w:space="0" w:color="000000"/>
              <w:right w:val="single" w:sz="4" w:space="0" w:color="000000"/>
            </w:tcBorders>
            <w:shd w:val="clear" w:color="auto" w:fill="D7E3BB"/>
          </w:tcPr>
          <w:p>
            <w:pPr>
              <w:pStyle w:val="TableParagraph"/>
              <w:ind w:left="458" w:right="452"/>
              <w:rPr>
                <w:b/>
                <w:sz w:val="18"/>
              </w:rPr>
            </w:pPr>
            <w:r>
              <w:rPr>
                <w:b/>
                <w:sz w:val="18"/>
              </w:rPr>
              <w:t>2014</w:t>
            </w:r>
          </w:p>
        </w:tc>
        <w:tc>
          <w:tcPr>
            <w:tcW w:w="1304" w:type="dxa"/>
            <w:gridSpan w:val="4"/>
            <w:tcBorders>
              <w:top w:val="single" w:sz="4" w:space="0" w:color="000000"/>
              <w:left w:val="single" w:sz="4" w:space="0" w:color="000000"/>
              <w:right w:val="single" w:sz="4" w:space="0" w:color="000000"/>
            </w:tcBorders>
            <w:shd w:val="clear" w:color="auto" w:fill="D7E3BB"/>
          </w:tcPr>
          <w:p>
            <w:pPr>
              <w:pStyle w:val="TableParagraph"/>
              <w:ind w:left="426" w:right="427"/>
              <w:rPr>
                <w:b/>
                <w:sz w:val="18"/>
              </w:rPr>
            </w:pPr>
            <w:r>
              <w:rPr>
                <w:b/>
                <w:sz w:val="18"/>
              </w:rPr>
              <w:t>2015</w:t>
            </w:r>
          </w:p>
        </w:tc>
        <w:tc>
          <w:tcPr>
            <w:tcW w:w="594" w:type="dxa"/>
            <w:gridSpan w:val="2"/>
            <w:vMerge w:val="restart"/>
            <w:tcBorders>
              <w:top w:val="single" w:sz="4" w:space="0" w:color="000000"/>
              <w:left w:val="single" w:sz="4" w:space="0" w:color="000000"/>
            </w:tcBorders>
            <w:shd w:val="clear" w:color="auto" w:fill="D7E3BB"/>
            <w:textDirection w:val="btLr"/>
          </w:tcPr>
          <w:p>
            <w:pPr>
              <w:pStyle w:val="TableParagraph"/>
              <w:spacing w:before="127"/>
              <w:ind w:left="112"/>
              <w:jc w:val="left"/>
              <w:rPr>
                <w:b/>
                <w:sz w:val="18"/>
              </w:rPr>
            </w:pPr>
            <w:r>
              <w:rPr>
                <w:b/>
                <w:w w:val="100"/>
                <w:sz w:val="18"/>
              </w:rPr>
              <w:t>To</w:t>
            </w:r>
            <w:r>
              <w:rPr>
                <w:b/>
                <w:w w:val="99"/>
                <w:sz w:val="18"/>
              </w:rPr>
              <w:t>ta</w:t>
            </w:r>
            <w:r>
              <w:rPr>
                <w:b/>
                <w:w w:val="100"/>
                <w:sz w:val="18"/>
              </w:rPr>
              <w:t>l</w:t>
            </w:r>
          </w:p>
        </w:tc>
      </w:tr>
      <w:tr>
        <w:trPr>
          <w:trHeight w:val="890" w:hRule="exact"/>
        </w:trPr>
        <w:tc>
          <w:tcPr>
            <w:tcW w:w="1762" w:type="dxa"/>
            <w:vMerge/>
            <w:tcBorders>
              <w:right w:val="single" w:sz="4" w:space="0" w:color="000000"/>
            </w:tcBorders>
            <w:shd w:val="clear" w:color="auto" w:fill="C5DFB3"/>
          </w:tcPr>
          <w:p>
            <w:pPr/>
          </w:p>
        </w:tc>
        <w:tc>
          <w:tcPr>
            <w:tcW w:w="451" w:type="dxa"/>
            <w:tcBorders>
              <w:left w:val="single" w:sz="4" w:space="0" w:color="000000"/>
              <w:right w:val="single" w:sz="4" w:space="0" w:color="000000"/>
            </w:tcBorders>
            <w:shd w:val="clear" w:color="auto" w:fill="D7E3BB"/>
            <w:textDirection w:val="btLr"/>
          </w:tcPr>
          <w:p>
            <w:pPr>
              <w:pStyle w:val="TableParagraph"/>
              <w:spacing w:before="97"/>
              <w:jc w:val="left"/>
              <w:rPr>
                <w:b/>
                <w:sz w:val="18"/>
              </w:rPr>
            </w:pPr>
            <w:r>
              <w:rPr>
                <w:b/>
                <w:w w:val="100"/>
                <w:sz w:val="18"/>
              </w:rPr>
              <w:t>SIP</w:t>
            </w:r>
          </w:p>
        </w:tc>
        <w:tc>
          <w:tcPr>
            <w:tcW w:w="461" w:type="dxa"/>
            <w:tcBorders>
              <w:left w:val="single" w:sz="4" w:space="0" w:color="000000"/>
              <w:right w:val="single" w:sz="4" w:space="0" w:color="000000"/>
            </w:tcBorders>
            <w:shd w:val="clear" w:color="auto" w:fill="D7E3BB"/>
            <w:textDirection w:val="btLr"/>
          </w:tcPr>
          <w:p>
            <w:pPr>
              <w:pStyle w:val="TableParagraph"/>
              <w:spacing w:before="104"/>
              <w:jc w:val="left"/>
              <w:rPr>
                <w:b/>
                <w:sz w:val="18"/>
              </w:rPr>
            </w:pPr>
            <w:r>
              <w:rPr>
                <w:b/>
                <w:w w:val="99"/>
                <w:sz w:val="18"/>
              </w:rPr>
              <w:t>SA</w:t>
            </w:r>
            <w:r>
              <w:rPr>
                <w:b/>
                <w:spacing w:val="-1"/>
                <w:w w:val="99"/>
                <w:sz w:val="18"/>
              </w:rPr>
              <w:t>D</w:t>
            </w:r>
            <w:r>
              <w:rPr>
                <w:b/>
                <w:w w:val="100"/>
                <w:sz w:val="18"/>
              </w:rPr>
              <w:t>P</w:t>
            </w:r>
          </w:p>
        </w:tc>
        <w:tc>
          <w:tcPr>
            <w:tcW w:w="451" w:type="dxa"/>
            <w:tcBorders>
              <w:left w:val="single" w:sz="4" w:space="0" w:color="000000"/>
              <w:right w:val="single" w:sz="4" w:space="0" w:color="000000"/>
            </w:tcBorders>
            <w:shd w:val="clear" w:color="auto" w:fill="D7E3BB"/>
            <w:textDirection w:val="btLr"/>
          </w:tcPr>
          <w:p>
            <w:pPr>
              <w:pStyle w:val="TableParagraph"/>
              <w:spacing w:before="71"/>
              <w:jc w:val="left"/>
              <w:rPr>
                <w:b/>
                <w:sz w:val="18"/>
              </w:rPr>
            </w:pPr>
            <w:r>
              <w:rPr>
                <w:b/>
                <w:w w:val="100"/>
                <w:sz w:val="18"/>
              </w:rPr>
              <w:t>S</w:t>
            </w:r>
            <w:r>
              <w:rPr>
                <w:b/>
                <w:spacing w:val="-1"/>
                <w:w w:val="100"/>
                <w:sz w:val="18"/>
              </w:rPr>
              <w:t>O</w:t>
            </w:r>
            <w:r>
              <w:rPr>
                <w:b/>
                <w:w w:val="99"/>
                <w:sz w:val="18"/>
              </w:rPr>
              <w:t>DP</w:t>
            </w:r>
          </w:p>
        </w:tc>
        <w:tc>
          <w:tcPr>
            <w:tcW w:w="451" w:type="dxa"/>
            <w:tcBorders>
              <w:left w:val="single" w:sz="4" w:space="0" w:color="000000"/>
              <w:right w:val="single" w:sz="4" w:space="0" w:color="000000"/>
            </w:tcBorders>
            <w:shd w:val="clear" w:color="auto" w:fill="D7E3BB"/>
            <w:textDirection w:val="btLr"/>
          </w:tcPr>
          <w:p>
            <w:pPr>
              <w:pStyle w:val="TableParagraph"/>
              <w:spacing w:before="44"/>
              <w:jc w:val="left"/>
              <w:rPr>
                <w:b/>
                <w:sz w:val="18"/>
              </w:rPr>
            </w:pPr>
            <w:r>
              <w:rPr>
                <w:b/>
                <w:w w:val="100"/>
                <w:sz w:val="18"/>
              </w:rPr>
              <w:t>SIP</w:t>
            </w:r>
          </w:p>
        </w:tc>
        <w:tc>
          <w:tcPr>
            <w:tcW w:w="274" w:type="dxa"/>
            <w:tcBorders>
              <w:left w:val="single" w:sz="4" w:space="0" w:color="000000"/>
              <w:right w:val="single" w:sz="4" w:space="0" w:color="000000"/>
            </w:tcBorders>
            <w:shd w:val="clear" w:color="auto" w:fill="D7E3BB"/>
            <w:textDirection w:val="btLr"/>
          </w:tcPr>
          <w:p>
            <w:pPr>
              <w:pStyle w:val="TableParagraph"/>
              <w:spacing w:before="21"/>
              <w:jc w:val="left"/>
              <w:rPr>
                <w:b/>
                <w:sz w:val="18"/>
              </w:rPr>
            </w:pPr>
            <w:r>
              <w:rPr>
                <w:b/>
                <w:w w:val="99"/>
                <w:sz w:val="18"/>
              </w:rPr>
              <w:t>SA</w:t>
            </w:r>
            <w:r>
              <w:rPr>
                <w:b/>
                <w:spacing w:val="-1"/>
                <w:w w:val="99"/>
                <w:sz w:val="18"/>
              </w:rPr>
              <w:t>D</w:t>
            </w:r>
            <w:r>
              <w:rPr>
                <w:b/>
                <w:w w:val="100"/>
                <w:sz w:val="18"/>
              </w:rPr>
              <w:t>P</w:t>
            </w:r>
          </w:p>
        </w:tc>
        <w:tc>
          <w:tcPr>
            <w:tcW w:w="454" w:type="dxa"/>
            <w:gridSpan w:val="2"/>
            <w:tcBorders>
              <w:left w:val="single" w:sz="4" w:space="0" w:color="000000"/>
              <w:right w:val="single" w:sz="4" w:space="0" w:color="000000"/>
            </w:tcBorders>
            <w:shd w:val="clear" w:color="auto" w:fill="D7E3BB"/>
            <w:textDirection w:val="btLr"/>
          </w:tcPr>
          <w:p>
            <w:pPr>
              <w:pStyle w:val="TableParagraph"/>
              <w:spacing w:before="66"/>
              <w:jc w:val="left"/>
              <w:rPr>
                <w:b/>
                <w:sz w:val="18"/>
              </w:rPr>
            </w:pPr>
            <w:r>
              <w:rPr>
                <w:b/>
                <w:w w:val="100"/>
                <w:sz w:val="18"/>
              </w:rPr>
              <w:t>S</w:t>
            </w:r>
            <w:r>
              <w:rPr>
                <w:b/>
                <w:spacing w:val="-1"/>
                <w:w w:val="100"/>
                <w:sz w:val="18"/>
              </w:rPr>
              <w:t>O</w:t>
            </w:r>
            <w:r>
              <w:rPr>
                <w:b/>
                <w:w w:val="99"/>
                <w:sz w:val="18"/>
              </w:rPr>
              <w:t>DP</w:t>
            </w:r>
          </w:p>
        </w:tc>
        <w:tc>
          <w:tcPr>
            <w:tcW w:w="454" w:type="dxa"/>
            <w:gridSpan w:val="2"/>
            <w:tcBorders>
              <w:left w:val="single" w:sz="4" w:space="0" w:color="000000"/>
              <w:right w:val="single" w:sz="4" w:space="0" w:color="000000"/>
            </w:tcBorders>
            <w:shd w:val="clear" w:color="auto" w:fill="D7E3BB"/>
            <w:textDirection w:val="btLr"/>
          </w:tcPr>
          <w:p>
            <w:pPr>
              <w:pStyle w:val="TableParagraph"/>
              <w:spacing w:before="64"/>
              <w:jc w:val="left"/>
              <w:rPr>
                <w:b/>
                <w:sz w:val="18"/>
              </w:rPr>
            </w:pPr>
            <w:r>
              <w:rPr>
                <w:b/>
                <w:w w:val="100"/>
                <w:sz w:val="18"/>
              </w:rPr>
              <w:t>SIP</w:t>
            </w:r>
          </w:p>
        </w:tc>
        <w:tc>
          <w:tcPr>
            <w:tcW w:w="451" w:type="dxa"/>
            <w:gridSpan w:val="2"/>
            <w:tcBorders>
              <w:left w:val="single" w:sz="4" w:space="0" w:color="000000"/>
              <w:right w:val="single" w:sz="4" w:space="0" w:color="000000"/>
            </w:tcBorders>
            <w:shd w:val="clear" w:color="auto" w:fill="D7E3BB"/>
            <w:textDirection w:val="btLr"/>
          </w:tcPr>
          <w:p>
            <w:pPr>
              <w:pStyle w:val="TableParagraph"/>
              <w:spacing w:before="64"/>
              <w:jc w:val="left"/>
              <w:rPr>
                <w:b/>
                <w:sz w:val="18"/>
              </w:rPr>
            </w:pPr>
            <w:r>
              <w:rPr>
                <w:b/>
                <w:w w:val="99"/>
                <w:sz w:val="18"/>
              </w:rPr>
              <w:t>SA</w:t>
            </w:r>
            <w:r>
              <w:rPr>
                <w:b/>
                <w:spacing w:val="-1"/>
                <w:w w:val="99"/>
                <w:sz w:val="18"/>
              </w:rPr>
              <w:t>D</w:t>
            </w:r>
            <w:r>
              <w:rPr>
                <w:b/>
                <w:w w:val="100"/>
                <w:sz w:val="18"/>
              </w:rPr>
              <w:t>P</w:t>
            </w:r>
          </w:p>
        </w:tc>
        <w:tc>
          <w:tcPr>
            <w:tcW w:w="454" w:type="dxa"/>
            <w:gridSpan w:val="2"/>
            <w:tcBorders>
              <w:left w:val="single" w:sz="4" w:space="0" w:color="000000"/>
              <w:right w:val="single" w:sz="4" w:space="0" w:color="000000"/>
            </w:tcBorders>
            <w:shd w:val="clear" w:color="auto" w:fill="D7E3BB"/>
            <w:textDirection w:val="btLr"/>
          </w:tcPr>
          <w:p>
            <w:pPr>
              <w:pStyle w:val="TableParagraph"/>
              <w:spacing w:before="66"/>
              <w:jc w:val="left"/>
              <w:rPr>
                <w:b/>
                <w:sz w:val="18"/>
              </w:rPr>
            </w:pPr>
            <w:r>
              <w:rPr>
                <w:b/>
                <w:w w:val="100"/>
                <w:sz w:val="18"/>
              </w:rPr>
              <w:t>S</w:t>
            </w:r>
            <w:r>
              <w:rPr>
                <w:b/>
                <w:spacing w:val="-1"/>
                <w:w w:val="100"/>
                <w:sz w:val="18"/>
              </w:rPr>
              <w:t>O</w:t>
            </w:r>
            <w:r>
              <w:rPr>
                <w:b/>
                <w:w w:val="99"/>
                <w:sz w:val="18"/>
              </w:rPr>
              <w:t>DP</w:t>
            </w:r>
          </w:p>
        </w:tc>
        <w:tc>
          <w:tcPr>
            <w:tcW w:w="557" w:type="dxa"/>
            <w:gridSpan w:val="2"/>
            <w:tcBorders>
              <w:left w:val="single" w:sz="4" w:space="0" w:color="000000"/>
              <w:right w:val="single" w:sz="4" w:space="0" w:color="000000"/>
            </w:tcBorders>
            <w:shd w:val="clear" w:color="auto" w:fill="D7E3BB"/>
            <w:textDirection w:val="btLr"/>
          </w:tcPr>
          <w:p>
            <w:pPr>
              <w:pStyle w:val="TableParagraph"/>
              <w:spacing w:before="126"/>
              <w:jc w:val="left"/>
              <w:rPr>
                <w:b/>
                <w:sz w:val="18"/>
              </w:rPr>
            </w:pPr>
            <w:r>
              <w:rPr>
                <w:b/>
                <w:w w:val="100"/>
                <w:sz w:val="18"/>
              </w:rPr>
              <w:t>SIP</w:t>
            </w:r>
          </w:p>
        </w:tc>
        <w:tc>
          <w:tcPr>
            <w:tcW w:w="455" w:type="dxa"/>
            <w:gridSpan w:val="2"/>
            <w:tcBorders>
              <w:left w:val="single" w:sz="4" w:space="0" w:color="000000"/>
              <w:right w:val="single" w:sz="4" w:space="0" w:color="000000"/>
            </w:tcBorders>
            <w:shd w:val="clear" w:color="auto" w:fill="D7E3BB"/>
            <w:textDirection w:val="btLr"/>
          </w:tcPr>
          <w:p>
            <w:pPr>
              <w:pStyle w:val="TableParagraph"/>
              <w:spacing w:before="28"/>
              <w:jc w:val="left"/>
              <w:rPr>
                <w:b/>
                <w:sz w:val="18"/>
              </w:rPr>
            </w:pPr>
            <w:r>
              <w:rPr>
                <w:b/>
                <w:w w:val="99"/>
                <w:sz w:val="18"/>
              </w:rPr>
              <w:t>SA</w:t>
            </w:r>
            <w:r>
              <w:rPr>
                <w:b/>
                <w:spacing w:val="-1"/>
                <w:w w:val="99"/>
                <w:sz w:val="18"/>
              </w:rPr>
              <w:t>D</w:t>
            </w:r>
            <w:r>
              <w:rPr>
                <w:b/>
                <w:w w:val="100"/>
                <w:sz w:val="18"/>
              </w:rPr>
              <w:t>P</w:t>
            </w:r>
          </w:p>
        </w:tc>
        <w:tc>
          <w:tcPr>
            <w:tcW w:w="455" w:type="dxa"/>
            <w:gridSpan w:val="2"/>
            <w:tcBorders>
              <w:left w:val="single" w:sz="4" w:space="0" w:color="000000"/>
              <w:right w:val="single" w:sz="4" w:space="0" w:color="000000"/>
            </w:tcBorders>
            <w:shd w:val="clear" w:color="auto" w:fill="D7E3BB"/>
            <w:textDirection w:val="btLr"/>
          </w:tcPr>
          <w:p>
            <w:pPr>
              <w:pStyle w:val="TableParagraph"/>
              <w:spacing w:before="26"/>
              <w:jc w:val="left"/>
              <w:rPr>
                <w:b/>
                <w:sz w:val="18"/>
              </w:rPr>
            </w:pPr>
            <w:r>
              <w:rPr>
                <w:b/>
                <w:w w:val="100"/>
                <w:sz w:val="18"/>
              </w:rPr>
              <w:t>S</w:t>
            </w:r>
            <w:r>
              <w:rPr>
                <w:b/>
                <w:spacing w:val="-1"/>
                <w:w w:val="100"/>
                <w:sz w:val="18"/>
              </w:rPr>
              <w:t>O</w:t>
            </w:r>
            <w:r>
              <w:rPr>
                <w:b/>
                <w:w w:val="99"/>
                <w:sz w:val="18"/>
              </w:rPr>
              <w:t>DP</w:t>
            </w:r>
          </w:p>
        </w:tc>
        <w:tc>
          <w:tcPr>
            <w:tcW w:w="453" w:type="dxa"/>
            <w:gridSpan w:val="2"/>
            <w:tcBorders>
              <w:left w:val="single" w:sz="4" w:space="0" w:color="000000"/>
              <w:right w:val="single" w:sz="4" w:space="0" w:color="000000"/>
            </w:tcBorders>
            <w:shd w:val="clear" w:color="auto" w:fill="D7E3BB"/>
            <w:textDirection w:val="btLr"/>
          </w:tcPr>
          <w:p>
            <w:pPr>
              <w:pStyle w:val="TableParagraph"/>
              <w:spacing w:before="30"/>
              <w:jc w:val="left"/>
              <w:rPr>
                <w:b/>
                <w:sz w:val="18"/>
              </w:rPr>
            </w:pPr>
            <w:r>
              <w:rPr>
                <w:b/>
                <w:w w:val="100"/>
                <w:sz w:val="18"/>
              </w:rPr>
              <w:t>SIP</w:t>
            </w:r>
          </w:p>
        </w:tc>
        <w:tc>
          <w:tcPr>
            <w:tcW w:w="454" w:type="dxa"/>
            <w:gridSpan w:val="2"/>
            <w:tcBorders>
              <w:left w:val="single" w:sz="4" w:space="0" w:color="000000"/>
              <w:right w:val="single" w:sz="4" w:space="0" w:color="000000"/>
            </w:tcBorders>
            <w:shd w:val="clear" w:color="auto" w:fill="D7E3BB"/>
            <w:textDirection w:val="btLr"/>
          </w:tcPr>
          <w:p>
            <w:pPr>
              <w:pStyle w:val="TableParagraph"/>
              <w:spacing w:before="26"/>
              <w:jc w:val="left"/>
              <w:rPr>
                <w:b/>
                <w:sz w:val="18"/>
              </w:rPr>
            </w:pPr>
            <w:r>
              <w:rPr>
                <w:b/>
                <w:w w:val="99"/>
                <w:sz w:val="18"/>
              </w:rPr>
              <w:t>SA</w:t>
            </w:r>
            <w:r>
              <w:rPr>
                <w:b/>
                <w:spacing w:val="-1"/>
                <w:w w:val="99"/>
                <w:sz w:val="18"/>
              </w:rPr>
              <w:t>D</w:t>
            </w:r>
            <w:r>
              <w:rPr>
                <w:b/>
                <w:w w:val="100"/>
                <w:sz w:val="18"/>
              </w:rPr>
              <w:t>P</w:t>
            </w:r>
          </w:p>
        </w:tc>
        <w:tc>
          <w:tcPr>
            <w:tcW w:w="416" w:type="dxa"/>
            <w:gridSpan w:val="2"/>
            <w:tcBorders>
              <w:left w:val="single" w:sz="4" w:space="0" w:color="000000"/>
              <w:right w:val="single" w:sz="4" w:space="0" w:color="000000"/>
            </w:tcBorders>
            <w:shd w:val="clear" w:color="auto" w:fill="D7E3BB"/>
            <w:textDirection w:val="btLr"/>
          </w:tcPr>
          <w:p>
            <w:pPr>
              <w:pStyle w:val="TableParagraph"/>
              <w:spacing w:before="29"/>
              <w:jc w:val="left"/>
              <w:rPr>
                <w:b/>
                <w:sz w:val="18"/>
              </w:rPr>
            </w:pPr>
            <w:r>
              <w:rPr>
                <w:b/>
                <w:w w:val="100"/>
                <w:sz w:val="18"/>
              </w:rPr>
              <w:t>S</w:t>
            </w:r>
            <w:r>
              <w:rPr>
                <w:b/>
                <w:spacing w:val="-1"/>
                <w:w w:val="100"/>
                <w:sz w:val="18"/>
              </w:rPr>
              <w:t>O</w:t>
            </w:r>
            <w:r>
              <w:rPr>
                <w:b/>
                <w:w w:val="99"/>
                <w:sz w:val="18"/>
              </w:rPr>
              <w:t>DP</w:t>
            </w:r>
          </w:p>
        </w:tc>
        <w:tc>
          <w:tcPr>
            <w:tcW w:w="454" w:type="dxa"/>
            <w:gridSpan w:val="2"/>
            <w:tcBorders>
              <w:left w:val="single" w:sz="4" w:space="0" w:color="000000"/>
              <w:right w:val="single" w:sz="4" w:space="0" w:color="000000"/>
            </w:tcBorders>
            <w:shd w:val="clear" w:color="auto" w:fill="D7E3BB"/>
            <w:textDirection w:val="btLr"/>
          </w:tcPr>
          <w:p>
            <w:pPr>
              <w:pStyle w:val="TableParagraph"/>
              <w:spacing w:before="66"/>
              <w:jc w:val="left"/>
              <w:rPr>
                <w:b/>
                <w:sz w:val="18"/>
              </w:rPr>
            </w:pPr>
            <w:r>
              <w:rPr>
                <w:b/>
                <w:w w:val="100"/>
                <w:sz w:val="18"/>
              </w:rPr>
              <w:t>SIP</w:t>
            </w:r>
          </w:p>
        </w:tc>
        <w:tc>
          <w:tcPr>
            <w:tcW w:w="456" w:type="dxa"/>
            <w:gridSpan w:val="2"/>
            <w:tcBorders>
              <w:left w:val="single" w:sz="4" w:space="0" w:color="000000"/>
              <w:right w:val="single" w:sz="4" w:space="0" w:color="000000"/>
            </w:tcBorders>
            <w:shd w:val="clear" w:color="auto" w:fill="D7E3BB"/>
            <w:textDirection w:val="btLr"/>
          </w:tcPr>
          <w:p>
            <w:pPr>
              <w:pStyle w:val="TableParagraph"/>
              <w:spacing w:before="66"/>
              <w:jc w:val="left"/>
              <w:rPr>
                <w:b/>
                <w:sz w:val="18"/>
              </w:rPr>
            </w:pPr>
            <w:r>
              <w:rPr>
                <w:b/>
                <w:w w:val="99"/>
                <w:sz w:val="18"/>
              </w:rPr>
              <w:t>SA</w:t>
            </w:r>
            <w:r>
              <w:rPr>
                <w:b/>
                <w:spacing w:val="-1"/>
                <w:w w:val="99"/>
                <w:sz w:val="18"/>
              </w:rPr>
              <w:t>D</w:t>
            </w:r>
            <w:r>
              <w:rPr>
                <w:b/>
                <w:w w:val="100"/>
                <w:sz w:val="18"/>
              </w:rPr>
              <w:t>P</w:t>
            </w:r>
          </w:p>
        </w:tc>
        <w:tc>
          <w:tcPr>
            <w:tcW w:w="456" w:type="dxa"/>
            <w:gridSpan w:val="2"/>
            <w:tcBorders>
              <w:left w:val="single" w:sz="4" w:space="0" w:color="000000"/>
              <w:right w:val="single" w:sz="4" w:space="0" w:color="000000"/>
            </w:tcBorders>
            <w:shd w:val="clear" w:color="auto" w:fill="D7E3BB"/>
            <w:textDirection w:val="btLr"/>
          </w:tcPr>
          <w:p>
            <w:pPr>
              <w:pStyle w:val="TableParagraph"/>
              <w:spacing w:before="64"/>
              <w:jc w:val="left"/>
              <w:rPr>
                <w:b/>
                <w:sz w:val="18"/>
              </w:rPr>
            </w:pPr>
            <w:r>
              <w:rPr>
                <w:b/>
                <w:w w:val="100"/>
                <w:sz w:val="18"/>
              </w:rPr>
              <w:t>S</w:t>
            </w:r>
            <w:r>
              <w:rPr>
                <w:b/>
                <w:spacing w:val="-1"/>
                <w:w w:val="100"/>
                <w:sz w:val="18"/>
              </w:rPr>
              <w:t>O</w:t>
            </w:r>
            <w:r>
              <w:rPr>
                <w:b/>
                <w:w w:val="99"/>
                <w:sz w:val="18"/>
              </w:rPr>
              <w:t>DP</w:t>
            </w:r>
          </w:p>
        </w:tc>
        <w:tc>
          <w:tcPr>
            <w:tcW w:w="588" w:type="dxa"/>
            <w:gridSpan w:val="2"/>
            <w:tcBorders>
              <w:left w:val="single" w:sz="4" w:space="0" w:color="000000"/>
              <w:right w:val="nil"/>
            </w:tcBorders>
            <w:shd w:val="clear" w:color="auto" w:fill="D7E3BB"/>
            <w:textDirection w:val="btLr"/>
          </w:tcPr>
          <w:p>
            <w:pPr>
              <w:pStyle w:val="TableParagraph"/>
              <w:spacing w:before="64"/>
              <w:jc w:val="left"/>
              <w:rPr>
                <w:b/>
                <w:sz w:val="18"/>
              </w:rPr>
            </w:pPr>
            <w:r>
              <w:rPr>
                <w:b/>
                <w:w w:val="100"/>
                <w:sz w:val="18"/>
              </w:rPr>
              <w:t>SIP</w:t>
            </w:r>
          </w:p>
        </w:tc>
        <w:tc>
          <w:tcPr>
            <w:tcW w:w="454" w:type="dxa"/>
            <w:tcBorders>
              <w:left w:val="nil"/>
              <w:right w:val="nil"/>
            </w:tcBorders>
            <w:shd w:val="clear" w:color="auto" w:fill="D7E3BB"/>
            <w:textDirection w:val="btLr"/>
          </w:tcPr>
          <w:p>
            <w:pPr>
              <w:pStyle w:val="TableParagraph"/>
              <w:spacing w:line="144" w:lineRule="exact"/>
              <w:jc w:val="left"/>
              <w:rPr>
                <w:b/>
                <w:sz w:val="18"/>
              </w:rPr>
            </w:pPr>
            <w:r>
              <w:rPr>
                <w:b/>
                <w:w w:val="99"/>
                <w:sz w:val="18"/>
              </w:rPr>
              <w:t>SA</w:t>
            </w:r>
            <w:r>
              <w:rPr>
                <w:b/>
                <w:spacing w:val="-1"/>
                <w:w w:val="99"/>
                <w:sz w:val="18"/>
              </w:rPr>
              <w:t>D</w:t>
            </w:r>
            <w:r>
              <w:rPr>
                <w:b/>
                <w:w w:val="100"/>
                <w:sz w:val="18"/>
              </w:rPr>
              <w:t>P</w:t>
            </w:r>
          </w:p>
        </w:tc>
        <w:tc>
          <w:tcPr>
            <w:tcW w:w="319" w:type="dxa"/>
            <w:tcBorders>
              <w:left w:val="nil"/>
              <w:right w:val="single" w:sz="4" w:space="0" w:color="000000"/>
            </w:tcBorders>
            <w:shd w:val="clear" w:color="auto" w:fill="D7E3BB"/>
            <w:textDirection w:val="btLr"/>
          </w:tcPr>
          <w:p>
            <w:pPr>
              <w:pStyle w:val="TableParagraph"/>
              <w:spacing w:line="146" w:lineRule="exact"/>
              <w:jc w:val="left"/>
              <w:rPr>
                <w:b/>
                <w:sz w:val="18"/>
              </w:rPr>
            </w:pPr>
            <w:r>
              <w:rPr>
                <w:b/>
                <w:w w:val="100"/>
                <w:sz w:val="18"/>
              </w:rPr>
              <w:t>S</w:t>
            </w:r>
            <w:r>
              <w:rPr>
                <w:b/>
                <w:spacing w:val="-1"/>
                <w:w w:val="100"/>
                <w:sz w:val="18"/>
              </w:rPr>
              <w:t>O</w:t>
            </w:r>
            <w:r>
              <w:rPr>
                <w:b/>
                <w:w w:val="99"/>
                <w:sz w:val="18"/>
              </w:rPr>
              <w:t>DP</w:t>
            </w:r>
          </w:p>
        </w:tc>
        <w:tc>
          <w:tcPr>
            <w:tcW w:w="484" w:type="dxa"/>
            <w:tcBorders>
              <w:left w:val="single" w:sz="4" w:space="0" w:color="000000"/>
              <w:right w:val="single" w:sz="4" w:space="0" w:color="000000"/>
            </w:tcBorders>
            <w:shd w:val="clear" w:color="auto" w:fill="D7E3BB"/>
            <w:textDirection w:val="btLr"/>
          </w:tcPr>
          <w:p>
            <w:pPr>
              <w:pStyle w:val="TableParagraph"/>
              <w:spacing w:before="71"/>
              <w:jc w:val="left"/>
              <w:rPr>
                <w:b/>
                <w:sz w:val="18"/>
              </w:rPr>
            </w:pPr>
            <w:r>
              <w:rPr>
                <w:b/>
                <w:w w:val="100"/>
                <w:sz w:val="18"/>
              </w:rPr>
              <w:t>SIP</w:t>
            </w:r>
          </w:p>
        </w:tc>
        <w:tc>
          <w:tcPr>
            <w:tcW w:w="498" w:type="dxa"/>
            <w:gridSpan w:val="2"/>
            <w:tcBorders>
              <w:left w:val="single" w:sz="4" w:space="0" w:color="000000"/>
              <w:right w:val="single" w:sz="4" w:space="0" w:color="000000"/>
            </w:tcBorders>
            <w:shd w:val="clear" w:color="auto" w:fill="D7E3BB"/>
            <w:textDirection w:val="btLr"/>
          </w:tcPr>
          <w:p>
            <w:pPr>
              <w:pStyle w:val="TableParagraph"/>
              <w:spacing w:before="46"/>
              <w:jc w:val="left"/>
              <w:rPr>
                <w:b/>
                <w:sz w:val="18"/>
              </w:rPr>
            </w:pPr>
            <w:r>
              <w:rPr>
                <w:b/>
                <w:w w:val="99"/>
                <w:sz w:val="18"/>
              </w:rPr>
              <w:t>SA</w:t>
            </w:r>
            <w:r>
              <w:rPr>
                <w:b/>
                <w:spacing w:val="-1"/>
                <w:w w:val="99"/>
                <w:sz w:val="18"/>
              </w:rPr>
              <w:t>D</w:t>
            </w:r>
            <w:r>
              <w:rPr>
                <w:b/>
                <w:w w:val="100"/>
                <w:sz w:val="18"/>
              </w:rPr>
              <w:t>P</w:t>
            </w:r>
          </w:p>
        </w:tc>
        <w:tc>
          <w:tcPr>
            <w:tcW w:w="323" w:type="dxa"/>
            <w:tcBorders>
              <w:left w:val="single" w:sz="4" w:space="0" w:color="000000"/>
              <w:right w:val="single" w:sz="4" w:space="0" w:color="000000"/>
            </w:tcBorders>
            <w:shd w:val="clear" w:color="auto" w:fill="D7E3BB"/>
            <w:textDirection w:val="btLr"/>
          </w:tcPr>
          <w:p>
            <w:pPr>
              <w:pStyle w:val="TableParagraph"/>
              <w:spacing w:before="4"/>
              <w:jc w:val="left"/>
              <w:rPr>
                <w:b/>
                <w:sz w:val="18"/>
              </w:rPr>
            </w:pPr>
            <w:r>
              <w:rPr>
                <w:b/>
                <w:w w:val="100"/>
                <w:sz w:val="18"/>
              </w:rPr>
              <w:t>S</w:t>
            </w:r>
            <w:r>
              <w:rPr>
                <w:b/>
                <w:spacing w:val="-1"/>
                <w:w w:val="100"/>
                <w:sz w:val="18"/>
              </w:rPr>
              <w:t>O</w:t>
            </w:r>
            <w:r>
              <w:rPr>
                <w:b/>
                <w:w w:val="99"/>
                <w:sz w:val="18"/>
              </w:rPr>
              <w:t>DP</w:t>
            </w:r>
          </w:p>
        </w:tc>
        <w:tc>
          <w:tcPr>
            <w:tcW w:w="594" w:type="dxa"/>
            <w:gridSpan w:val="2"/>
            <w:vMerge/>
            <w:tcBorders>
              <w:left w:val="single" w:sz="4" w:space="0" w:color="000000"/>
            </w:tcBorders>
            <w:shd w:val="clear" w:color="auto" w:fill="D7E3BB"/>
            <w:textDirection w:val="btLr"/>
          </w:tcPr>
          <w:p>
            <w:pPr/>
          </w:p>
        </w:tc>
      </w:tr>
      <w:tr>
        <w:trPr>
          <w:trHeight w:val="326" w:hRule="exact"/>
        </w:trPr>
        <w:tc>
          <w:tcPr>
            <w:tcW w:w="1762" w:type="dxa"/>
            <w:tcBorders>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SULTEPEC</w:t>
            </w:r>
          </w:p>
        </w:tc>
        <w:tc>
          <w:tcPr>
            <w:tcW w:w="451" w:type="dxa"/>
            <w:tcBorders>
              <w:left w:val="single" w:sz="4" w:space="0" w:color="000000"/>
              <w:bottom w:val="single" w:sz="4" w:space="0" w:color="000000"/>
              <w:right w:val="single" w:sz="4" w:space="0" w:color="000000"/>
            </w:tcBorders>
          </w:tcPr>
          <w:p>
            <w:pPr>
              <w:pStyle w:val="TableParagraph"/>
              <w:spacing w:line="206" w:lineRule="exact"/>
              <w:ind w:right="46"/>
              <w:rPr>
                <w:sz w:val="18"/>
              </w:rPr>
            </w:pPr>
            <w:r>
              <w:rPr>
                <w:w w:val="99"/>
                <w:sz w:val="18"/>
              </w:rPr>
              <w:t>0</w:t>
            </w:r>
          </w:p>
        </w:tc>
        <w:tc>
          <w:tcPr>
            <w:tcW w:w="461" w:type="dxa"/>
            <w:tcBorders>
              <w:left w:val="single" w:sz="4" w:space="0" w:color="000000"/>
              <w:bottom w:val="single" w:sz="4" w:space="0" w:color="000000"/>
              <w:right w:val="single" w:sz="4" w:space="0" w:color="000000"/>
            </w:tcBorders>
          </w:tcPr>
          <w:p>
            <w:pPr>
              <w:pStyle w:val="TableParagraph"/>
              <w:spacing w:line="206" w:lineRule="exact"/>
              <w:ind w:left="127"/>
              <w:jc w:val="left"/>
              <w:rPr>
                <w:sz w:val="18"/>
              </w:rPr>
            </w:pPr>
            <w:r>
              <w:rPr>
                <w:w w:val="99"/>
                <w:sz w:val="18"/>
              </w:rPr>
              <w:t>0</w:t>
            </w:r>
          </w:p>
        </w:tc>
        <w:tc>
          <w:tcPr>
            <w:tcW w:w="451" w:type="dxa"/>
            <w:tcBorders>
              <w:left w:val="single" w:sz="4" w:space="0" w:color="000000"/>
              <w:bottom w:val="single" w:sz="4" w:space="0" w:color="000000"/>
              <w:right w:val="single" w:sz="4" w:space="0" w:color="000000"/>
            </w:tcBorders>
          </w:tcPr>
          <w:p>
            <w:pPr>
              <w:pStyle w:val="TableParagraph"/>
              <w:spacing w:line="206" w:lineRule="exact"/>
              <w:ind w:right="94"/>
              <w:rPr>
                <w:sz w:val="18"/>
              </w:rPr>
            </w:pPr>
            <w:r>
              <w:rPr>
                <w:w w:val="99"/>
                <w:sz w:val="18"/>
              </w:rPr>
              <w:t>0</w:t>
            </w:r>
          </w:p>
        </w:tc>
        <w:tc>
          <w:tcPr>
            <w:tcW w:w="451" w:type="dxa"/>
            <w:tcBorders>
              <w:left w:val="single" w:sz="4" w:space="0" w:color="000000"/>
              <w:bottom w:val="single" w:sz="4" w:space="0" w:color="000000"/>
              <w:right w:val="single" w:sz="4" w:space="0" w:color="000000"/>
            </w:tcBorders>
          </w:tcPr>
          <w:p>
            <w:pPr>
              <w:pStyle w:val="TableParagraph"/>
              <w:spacing w:line="206" w:lineRule="exact"/>
              <w:ind w:left="124"/>
              <w:jc w:val="left"/>
              <w:rPr>
                <w:sz w:val="18"/>
              </w:rPr>
            </w:pPr>
            <w:r>
              <w:rPr>
                <w:w w:val="99"/>
                <w:sz w:val="18"/>
              </w:rPr>
              <w:t>0</w:t>
            </w:r>
          </w:p>
        </w:tc>
        <w:tc>
          <w:tcPr>
            <w:tcW w:w="452" w:type="dxa"/>
            <w:gridSpan w:val="2"/>
            <w:tcBorders>
              <w:left w:val="single" w:sz="4" w:space="0" w:color="000000"/>
              <w:bottom w:val="single" w:sz="4" w:space="0" w:color="000000"/>
              <w:right w:val="single" w:sz="4" w:space="0" w:color="000000"/>
            </w:tcBorders>
          </w:tcPr>
          <w:p>
            <w:pPr>
              <w:pStyle w:val="TableParagraph"/>
              <w:spacing w:line="206" w:lineRule="exact"/>
              <w:ind w:left="127"/>
              <w:jc w:val="left"/>
              <w:rPr>
                <w:sz w:val="18"/>
              </w:rPr>
            </w:pPr>
            <w:r>
              <w:rPr>
                <w:w w:val="99"/>
                <w:sz w:val="18"/>
              </w:rPr>
              <w:t>0</w:t>
            </w:r>
          </w:p>
        </w:tc>
        <w:tc>
          <w:tcPr>
            <w:tcW w:w="454" w:type="dxa"/>
            <w:gridSpan w:val="2"/>
            <w:tcBorders>
              <w:left w:val="single" w:sz="4" w:space="0" w:color="000000"/>
              <w:bottom w:val="single" w:sz="4" w:space="0" w:color="000000"/>
              <w:right w:val="single" w:sz="4" w:space="0" w:color="000000"/>
            </w:tcBorders>
          </w:tcPr>
          <w:p>
            <w:pPr>
              <w:pStyle w:val="TableParagraph"/>
              <w:spacing w:line="206" w:lineRule="exact"/>
              <w:ind w:left="129"/>
              <w:jc w:val="left"/>
              <w:rPr>
                <w:sz w:val="18"/>
              </w:rPr>
            </w:pPr>
            <w:r>
              <w:rPr>
                <w:w w:val="99"/>
                <w:sz w:val="18"/>
              </w:rPr>
              <w:t>0</w:t>
            </w:r>
          </w:p>
        </w:tc>
        <w:tc>
          <w:tcPr>
            <w:tcW w:w="451" w:type="dxa"/>
            <w:gridSpan w:val="2"/>
            <w:tcBorders>
              <w:left w:val="single" w:sz="4" w:space="0" w:color="000000"/>
              <w:bottom w:val="single" w:sz="4" w:space="0" w:color="000000"/>
              <w:right w:val="single" w:sz="4" w:space="0" w:color="000000"/>
            </w:tcBorders>
          </w:tcPr>
          <w:p>
            <w:pPr>
              <w:pStyle w:val="TableParagraph"/>
              <w:spacing w:line="206" w:lineRule="exact"/>
              <w:ind w:left="131"/>
              <w:jc w:val="left"/>
              <w:rPr>
                <w:sz w:val="18"/>
              </w:rPr>
            </w:pPr>
            <w:r>
              <w:rPr>
                <w:w w:val="99"/>
                <w:sz w:val="18"/>
              </w:rPr>
              <w:t>0</w:t>
            </w:r>
          </w:p>
        </w:tc>
        <w:tc>
          <w:tcPr>
            <w:tcW w:w="449" w:type="dxa"/>
            <w:gridSpan w:val="2"/>
            <w:tcBorders>
              <w:left w:val="single" w:sz="4" w:space="0" w:color="000000"/>
              <w:bottom w:val="single" w:sz="4" w:space="0" w:color="000000"/>
              <w:right w:val="single" w:sz="4" w:space="0" w:color="000000"/>
            </w:tcBorders>
          </w:tcPr>
          <w:p>
            <w:pPr>
              <w:pStyle w:val="TableParagraph"/>
              <w:spacing w:line="206" w:lineRule="exact"/>
              <w:ind w:left="134"/>
              <w:jc w:val="left"/>
              <w:rPr>
                <w:sz w:val="18"/>
              </w:rPr>
            </w:pPr>
            <w:r>
              <w:rPr>
                <w:w w:val="99"/>
                <w:sz w:val="18"/>
              </w:rPr>
              <w:t>0</w:t>
            </w:r>
          </w:p>
        </w:tc>
        <w:tc>
          <w:tcPr>
            <w:tcW w:w="451" w:type="dxa"/>
            <w:gridSpan w:val="2"/>
            <w:tcBorders>
              <w:left w:val="single" w:sz="4" w:space="0" w:color="000000"/>
              <w:bottom w:val="single" w:sz="4" w:space="0" w:color="000000"/>
              <w:right w:val="single" w:sz="4" w:space="0" w:color="000000"/>
            </w:tcBorders>
          </w:tcPr>
          <w:p>
            <w:pPr>
              <w:pStyle w:val="TableParagraph"/>
              <w:spacing w:line="206" w:lineRule="exact"/>
              <w:ind w:left="139"/>
              <w:jc w:val="left"/>
              <w:rPr>
                <w:sz w:val="18"/>
              </w:rPr>
            </w:pPr>
            <w:r>
              <w:rPr>
                <w:w w:val="99"/>
                <w:sz w:val="18"/>
              </w:rPr>
              <w:t>0</w:t>
            </w:r>
          </w:p>
        </w:tc>
        <w:tc>
          <w:tcPr>
            <w:tcW w:w="386" w:type="dxa"/>
            <w:tcBorders>
              <w:left w:val="single" w:sz="4" w:space="0" w:color="000000"/>
              <w:bottom w:val="single" w:sz="4" w:space="0" w:color="000000"/>
              <w:right w:val="single" w:sz="4" w:space="0" w:color="000000"/>
            </w:tcBorders>
          </w:tcPr>
          <w:p>
            <w:pPr>
              <w:pStyle w:val="TableParagraph"/>
              <w:spacing w:line="206" w:lineRule="exact"/>
              <w:ind w:left="6"/>
              <w:rPr>
                <w:sz w:val="18"/>
              </w:rPr>
            </w:pPr>
            <w:r>
              <w:rPr>
                <w:w w:val="99"/>
                <w:sz w:val="18"/>
              </w:rPr>
              <w:t>0</w:t>
            </w:r>
          </w:p>
        </w:tc>
        <w:tc>
          <w:tcPr>
            <w:tcW w:w="455" w:type="dxa"/>
            <w:gridSpan w:val="2"/>
            <w:tcBorders>
              <w:left w:val="single" w:sz="4" w:space="0" w:color="000000"/>
              <w:bottom w:val="single" w:sz="4" w:space="0" w:color="000000"/>
              <w:right w:val="single" w:sz="4" w:space="0" w:color="000000"/>
            </w:tcBorders>
          </w:tcPr>
          <w:p>
            <w:pPr>
              <w:pStyle w:val="TableParagraph"/>
              <w:spacing w:line="206" w:lineRule="exact"/>
              <w:ind w:left="208"/>
              <w:jc w:val="left"/>
              <w:rPr>
                <w:sz w:val="18"/>
              </w:rPr>
            </w:pPr>
            <w:r>
              <w:rPr>
                <w:w w:val="99"/>
                <w:sz w:val="18"/>
              </w:rPr>
              <w:t>0</w:t>
            </w:r>
          </w:p>
        </w:tc>
        <w:tc>
          <w:tcPr>
            <w:tcW w:w="455" w:type="dxa"/>
            <w:gridSpan w:val="2"/>
            <w:tcBorders>
              <w:left w:val="single" w:sz="4" w:space="0" w:color="000000"/>
              <w:bottom w:val="single" w:sz="4" w:space="0" w:color="000000"/>
              <w:right w:val="single" w:sz="4" w:space="0" w:color="000000"/>
            </w:tcBorders>
          </w:tcPr>
          <w:p>
            <w:pPr>
              <w:pStyle w:val="TableParagraph"/>
              <w:spacing w:line="206" w:lineRule="exact"/>
              <w:ind w:left="207"/>
              <w:jc w:val="left"/>
              <w:rPr>
                <w:sz w:val="18"/>
              </w:rPr>
            </w:pPr>
            <w:r>
              <w:rPr>
                <w:w w:val="99"/>
                <w:sz w:val="18"/>
              </w:rPr>
              <w:t>0</w:t>
            </w:r>
          </w:p>
        </w:tc>
        <w:tc>
          <w:tcPr>
            <w:tcW w:w="453" w:type="dxa"/>
            <w:gridSpan w:val="2"/>
            <w:tcBorders>
              <w:left w:val="single" w:sz="4" w:space="0" w:color="000000"/>
              <w:bottom w:val="single" w:sz="4" w:space="0" w:color="000000"/>
              <w:right w:val="single" w:sz="4" w:space="0" w:color="000000"/>
            </w:tcBorders>
          </w:tcPr>
          <w:p>
            <w:pPr>
              <w:pStyle w:val="TableParagraph"/>
              <w:spacing w:line="206" w:lineRule="exact"/>
              <w:ind w:left="208"/>
              <w:jc w:val="left"/>
              <w:rPr>
                <w:sz w:val="18"/>
              </w:rPr>
            </w:pPr>
            <w:r>
              <w:rPr>
                <w:w w:val="99"/>
                <w:sz w:val="18"/>
              </w:rPr>
              <w:t>3</w:t>
            </w:r>
          </w:p>
        </w:tc>
        <w:tc>
          <w:tcPr>
            <w:tcW w:w="454" w:type="dxa"/>
            <w:gridSpan w:val="2"/>
            <w:tcBorders>
              <w:left w:val="single" w:sz="4" w:space="0" w:color="000000"/>
              <w:bottom w:val="single" w:sz="4" w:space="0" w:color="000000"/>
              <w:right w:val="single" w:sz="4" w:space="0" w:color="000000"/>
            </w:tcBorders>
          </w:tcPr>
          <w:p>
            <w:pPr>
              <w:pStyle w:val="TableParagraph"/>
              <w:spacing w:line="206" w:lineRule="exact"/>
              <w:ind w:left="210"/>
              <w:jc w:val="left"/>
              <w:rPr>
                <w:sz w:val="18"/>
              </w:rPr>
            </w:pPr>
            <w:r>
              <w:rPr>
                <w:w w:val="99"/>
                <w:sz w:val="18"/>
              </w:rPr>
              <w:t>0</w:t>
            </w:r>
          </w:p>
        </w:tc>
        <w:tc>
          <w:tcPr>
            <w:tcW w:w="560" w:type="dxa"/>
            <w:gridSpan w:val="3"/>
            <w:tcBorders>
              <w:left w:val="single" w:sz="4" w:space="0" w:color="000000"/>
              <w:bottom w:val="single" w:sz="4" w:space="0" w:color="000000"/>
              <w:right w:val="single" w:sz="4" w:space="0" w:color="000000"/>
            </w:tcBorders>
          </w:tcPr>
          <w:p>
            <w:pPr>
              <w:pStyle w:val="TableParagraph"/>
              <w:spacing w:line="206" w:lineRule="exact"/>
              <w:ind w:right="28"/>
              <w:rPr>
                <w:sz w:val="18"/>
              </w:rPr>
            </w:pPr>
            <w:r>
              <w:rPr>
                <w:w w:val="99"/>
                <w:sz w:val="18"/>
              </w:rPr>
              <w:t>0</w:t>
            </w:r>
          </w:p>
        </w:tc>
        <w:tc>
          <w:tcPr>
            <w:tcW w:w="451" w:type="dxa"/>
            <w:gridSpan w:val="2"/>
            <w:tcBorders>
              <w:left w:val="single" w:sz="4" w:space="0" w:color="000000"/>
              <w:bottom w:val="single" w:sz="4" w:space="0" w:color="000000"/>
              <w:right w:val="single" w:sz="4" w:space="0" w:color="000000"/>
            </w:tcBorders>
          </w:tcPr>
          <w:p>
            <w:pPr>
              <w:pStyle w:val="TableParagraph"/>
              <w:spacing w:line="206" w:lineRule="exact"/>
              <w:ind w:left="55"/>
              <w:jc w:val="left"/>
              <w:rPr>
                <w:sz w:val="18"/>
              </w:rPr>
            </w:pPr>
            <w:r>
              <w:rPr>
                <w:sz w:val="18"/>
              </w:rPr>
              <w:t>25</w:t>
            </w:r>
          </w:p>
        </w:tc>
        <w:tc>
          <w:tcPr>
            <w:tcW w:w="454" w:type="dxa"/>
            <w:gridSpan w:val="2"/>
            <w:tcBorders>
              <w:left w:val="single" w:sz="4" w:space="0" w:color="000000"/>
              <w:bottom w:val="single" w:sz="4" w:space="0" w:color="000000"/>
              <w:right w:val="single" w:sz="4" w:space="0" w:color="000000"/>
            </w:tcBorders>
          </w:tcPr>
          <w:p>
            <w:pPr>
              <w:pStyle w:val="TableParagraph"/>
              <w:spacing w:line="206" w:lineRule="exact"/>
              <w:ind w:left="105"/>
              <w:jc w:val="left"/>
              <w:rPr>
                <w:sz w:val="18"/>
              </w:rPr>
            </w:pPr>
            <w:r>
              <w:rPr>
                <w:w w:val="99"/>
                <w:sz w:val="18"/>
              </w:rPr>
              <w:t>0</w:t>
            </w:r>
          </w:p>
        </w:tc>
        <w:tc>
          <w:tcPr>
            <w:tcW w:w="454" w:type="dxa"/>
            <w:gridSpan w:val="2"/>
            <w:tcBorders>
              <w:left w:val="single" w:sz="4" w:space="0" w:color="000000"/>
              <w:bottom w:val="single" w:sz="4" w:space="0" w:color="000000"/>
              <w:right w:val="single" w:sz="4" w:space="0" w:color="000000"/>
            </w:tcBorders>
          </w:tcPr>
          <w:p>
            <w:pPr>
              <w:pStyle w:val="TableParagraph"/>
              <w:spacing w:line="206" w:lineRule="exact"/>
              <w:ind w:left="105"/>
              <w:jc w:val="left"/>
              <w:rPr>
                <w:sz w:val="18"/>
              </w:rPr>
            </w:pPr>
            <w:r>
              <w:rPr>
                <w:w w:val="99"/>
                <w:sz w:val="18"/>
              </w:rPr>
              <w:t>0</w:t>
            </w:r>
          </w:p>
        </w:tc>
        <w:tc>
          <w:tcPr>
            <w:tcW w:w="451" w:type="dxa"/>
            <w:tcBorders>
              <w:left w:val="single" w:sz="4" w:space="0" w:color="000000"/>
              <w:bottom w:val="single" w:sz="4" w:space="0" w:color="000000"/>
              <w:right w:val="single" w:sz="4" w:space="0" w:color="000000"/>
            </w:tcBorders>
          </w:tcPr>
          <w:p>
            <w:pPr>
              <w:pStyle w:val="TableParagraph"/>
              <w:spacing w:line="206" w:lineRule="exact"/>
              <w:ind w:left="108"/>
              <w:jc w:val="left"/>
              <w:rPr>
                <w:sz w:val="18"/>
              </w:rPr>
            </w:pPr>
            <w:r>
              <w:rPr>
                <w:w w:val="99"/>
                <w:sz w:val="18"/>
              </w:rPr>
              <w:t>3</w:t>
            </w:r>
          </w:p>
        </w:tc>
        <w:tc>
          <w:tcPr>
            <w:tcW w:w="454" w:type="dxa"/>
            <w:tcBorders>
              <w:left w:val="single" w:sz="4" w:space="0" w:color="000000"/>
              <w:bottom w:val="single" w:sz="4" w:space="0" w:color="000000"/>
              <w:right w:val="single" w:sz="4" w:space="0" w:color="000000"/>
            </w:tcBorders>
          </w:tcPr>
          <w:p>
            <w:pPr>
              <w:pStyle w:val="TableParagraph"/>
              <w:spacing w:line="206" w:lineRule="exact"/>
              <w:ind w:left="110"/>
              <w:jc w:val="left"/>
              <w:rPr>
                <w:sz w:val="18"/>
              </w:rPr>
            </w:pPr>
            <w:r>
              <w:rPr>
                <w:w w:val="99"/>
                <w:sz w:val="18"/>
              </w:rPr>
              <w:t>0</w:t>
            </w:r>
          </w:p>
        </w:tc>
        <w:tc>
          <w:tcPr>
            <w:tcW w:w="319" w:type="dxa"/>
            <w:tcBorders>
              <w:left w:val="single" w:sz="4" w:space="0" w:color="000000"/>
              <w:bottom w:val="single" w:sz="4" w:space="0" w:color="000000"/>
              <w:right w:val="single" w:sz="4" w:space="0" w:color="000000"/>
            </w:tcBorders>
          </w:tcPr>
          <w:p>
            <w:pPr>
              <w:pStyle w:val="TableParagraph"/>
              <w:spacing w:line="206" w:lineRule="exact"/>
              <w:ind w:right="97"/>
              <w:jc w:val="right"/>
              <w:rPr>
                <w:sz w:val="18"/>
              </w:rPr>
            </w:pPr>
            <w:r>
              <w:rPr>
                <w:w w:val="99"/>
                <w:sz w:val="18"/>
              </w:rPr>
              <w:t>0</w:t>
            </w:r>
          </w:p>
        </w:tc>
        <w:tc>
          <w:tcPr>
            <w:tcW w:w="484" w:type="dxa"/>
            <w:tcBorders>
              <w:left w:val="single" w:sz="4" w:space="0" w:color="000000"/>
              <w:bottom w:val="single" w:sz="4" w:space="0" w:color="000000"/>
              <w:right w:val="single" w:sz="4" w:space="0" w:color="000000"/>
            </w:tcBorders>
          </w:tcPr>
          <w:p>
            <w:pPr>
              <w:pStyle w:val="TableParagraph"/>
              <w:spacing w:line="206" w:lineRule="exact"/>
              <w:ind w:right="127"/>
              <w:jc w:val="right"/>
              <w:rPr>
                <w:sz w:val="18"/>
              </w:rPr>
            </w:pPr>
            <w:r>
              <w:rPr>
                <w:w w:val="99"/>
                <w:sz w:val="18"/>
              </w:rPr>
              <w:t>0</w:t>
            </w:r>
          </w:p>
        </w:tc>
        <w:tc>
          <w:tcPr>
            <w:tcW w:w="498" w:type="dxa"/>
            <w:gridSpan w:val="2"/>
            <w:tcBorders>
              <w:left w:val="single" w:sz="4" w:space="0" w:color="000000"/>
              <w:bottom w:val="single" w:sz="4" w:space="0" w:color="000000"/>
              <w:right w:val="single" w:sz="4" w:space="0" w:color="000000"/>
            </w:tcBorders>
          </w:tcPr>
          <w:p>
            <w:pPr>
              <w:pStyle w:val="TableParagraph"/>
              <w:spacing w:line="206" w:lineRule="exact"/>
              <w:ind w:left="41"/>
              <w:rPr>
                <w:sz w:val="18"/>
              </w:rPr>
            </w:pPr>
            <w:r>
              <w:rPr>
                <w:w w:val="99"/>
                <w:sz w:val="18"/>
              </w:rPr>
              <w:t>0</w:t>
            </w:r>
          </w:p>
        </w:tc>
        <w:tc>
          <w:tcPr>
            <w:tcW w:w="454" w:type="dxa"/>
            <w:gridSpan w:val="2"/>
            <w:tcBorders>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3" w:type="dxa"/>
            <w:tcBorders>
              <w:left w:val="single" w:sz="4" w:space="0" w:color="000000"/>
              <w:bottom w:val="single" w:sz="4" w:space="0" w:color="000000"/>
              <w:right w:val="single" w:sz="4" w:space="0" w:color="000000"/>
            </w:tcBorders>
          </w:tcPr>
          <w:p>
            <w:pPr>
              <w:pStyle w:val="TableParagraph"/>
              <w:spacing w:line="201" w:lineRule="exact"/>
              <w:ind w:left="56" w:right="56"/>
              <w:rPr>
                <w:b/>
                <w:sz w:val="18"/>
              </w:rPr>
            </w:pPr>
            <w:r>
              <w:rPr>
                <w:b/>
                <w:sz w:val="18"/>
              </w:rPr>
              <w:t>31</w:t>
            </w:r>
          </w:p>
        </w:tc>
      </w:tr>
      <w:tr>
        <w:trPr>
          <w:trHeight w:val="319" w:hRule="exact"/>
        </w:trPr>
        <w:tc>
          <w:tcPr>
            <w:tcW w:w="176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TECAMAC</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6"/>
              <w:rPr>
                <w:sz w:val="18"/>
              </w:rPr>
            </w:pPr>
            <w:r>
              <w:rPr>
                <w:w w:val="99"/>
                <w:sz w:val="18"/>
              </w:rPr>
              <w:t>0</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7"/>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9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4"/>
              <w:jc w:val="left"/>
              <w:rPr>
                <w:sz w:val="18"/>
              </w:rPr>
            </w:pPr>
            <w:r>
              <w:rPr>
                <w:w w:val="99"/>
                <w:sz w:val="18"/>
              </w:rPr>
              <w:t>0</w:t>
            </w:r>
          </w:p>
        </w:tc>
        <w:tc>
          <w:tcPr>
            <w:tcW w:w="452"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7"/>
              <w:jc w:val="left"/>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9"/>
              <w:jc w:val="left"/>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31"/>
              <w:jc w:val="left"/>
              <w:rPr>
                <w:sz w:val="18"/>
              </w:rPr>
            </w:pPr>
            <w:r>
              <w:rPr>
                <w:w w:val="99"/>
                <w:sz w:val="18"/>
              </w:rPr>
              <w:t>0</w:t>
            </w:r>
          </w:p>
        </w:tc>
        <w:tc>
          <w:tcPr>
            <w:tcW w:w="449"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34"/>
              <w:jc w:val="left"/>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39"/>
              <w:jc w:val="left"/>
              <w:rPr>
                <w:sz w:val="18"/>
              </w:rPr>
            </w:pPr>
            <w:r>
              <w:rPr>
                <w:w w:val="99"/>
                <w:sz w:val="18"/>
              </w:rPr>
              <w:t>0</w:t>
            </w:r>
          </w:p>
        </w:tc>
        <w:tc>
          <w:tcPr>
            <w:tcW w:w="38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
              <w:rPr>
                <w:sz w:val="18"/>
              </w:rPr>
            </w:pPr>
            <w:r>
              <w:rPr>
                <w:w w:val="99"/>
                <w:sz w:val="18"/>
              </w:rPr>
              <w:t>0</w:t>
            </w:r>
          </w:p>
        </w:tc>
        <w:tc>
          <w:tcPr>
            <w:tcW w:w="455"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08"/>
              <w:jc w:val="left"/>
              <w:rPr>
                <w:sz w:val="18"/>
              </w:rPr>
            </w:pPr>
            <w:r>
              <w:rPr>
                <w:w w:val="99"/>
                <w:sz w:val="18"/>
              </w:rPr>
              <w:t>0</w:t>
            </w:r>
          </w:p>
        </w:tc>
        <w:tc>
          <w:tcPr>
            <w:tcW w:w="455"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07"/>
              <w:jc w:val="left"/>
              <w:rPr>
                <w:sz w:val="18"/>
              </w:rPr>
            </w:pPr>
            <w:r>
              <w:rPr>
                <w:w w:val="99"/>
                <w:sz w:val="18"/>
              </w:rPr>
              <w:t>0</w:t>
            </w:r>
          </w:p>
        </w:tc>
        <w:tc>
          <w:tcPr>
            <w:tcW w:w="453"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08"/>
              <w:jc w:val="left"/>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10"/>
              <w:jc w:val="left"/>
              <w:rPr>
                <w:sz w:val="18"/>
              </w:rPr>
            </w:pPr>
            <w:r>
              <w:rPr>
                <w:w w:val="99"/>
                <w:sz w:val="18"/>
              </w:rPr>
              <w:t>0</w:t>
            </w:r>
          </w:p>
        </w:tc>
        <w:tc>
          <w:tcPr>
            <w:tcW w:w="560" w:type="dxa"/>
            <w:gridSpan w:val="3"/>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28"/>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jc w:val="left"/>
              <w:rPr>
                <w:sz w:val="18"/>
              </w:rPr>
            </w:pPr>
            <w:r>
              <w:rPr>
                <w:sz w:val="18"/>
              </w:rPr>
              <w:t>115</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5"/>
              <w:jc w:val="left"/>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5"/>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9"/>
              <w:jc w:val="left"/>
              <w:rPr>
                <w:sz w:val="18"/>
              </w:rPr>
            </w:pPr>
            <w:r>
              <w:rPr>
                <w:sz w:val="18"/>
              </w:rPr>
              <w:t>139</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10"/>
              <w:jc w:val="left"/>
              <w:rPr>
                <w:sz w:val="18"/>
              </w:rPr>
            </w:pPr>
            <w:r>
              <w:rPr>
                <w:w w:val="99"/>
                <w:sz w:val="18"/>
              </w:rPr>
              <w:t>2</w:t>
            </w:r>
          </w:p>
        </w:tc>
        <w:tc>
          <w:tcPr>
            <w:tcW w:w="31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97"/>
              <w:jc w:val="right"/>
              <w:rPr>
                <w:sz w:val="18"/>
              </w:rPr>
            </w:pPr>
            <w:r>
              <w:rPr>
                <w:w w:val="99"/>
                <w:sz w:val="18"/>
              </w:rPr>
              <w:t>0</w:t>
            </w:r>
          </w:p>
        </w:tc>
        <w:tc>
          <w:tcPr>
            <w:tcW w:w="48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73"/>
              <w:jc w:val="right"/>
              <w:rPr>
                <w:sz w:val="18"/>
              </w:rPr>
            </w:pPr>
            <w:r>
              <w:rPr>
                <w:w w:val="95"/>
                <w:sz w:val="18"/>
              </w:rPr>
              <w:t>32</w:t>
            </w:r>
          </w:p>
        </w:tc>
        <w:tc>
          <w:tcPr>
            <w:tcW w:w="498"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1"/>
              <w:rPr>
                <w:sz w:val="18"/>
              </w:rPr>
            </w:pPr>
            <w:r>
              <w:rPr>
                <w:w w:val="99"/>
                <w:sz w:val="18"/>
              </w:rPr>
              <w:t>4</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56" w:right="56"/>
              <w:rPr>
                <w:b/>
                <w:sz w:val="18"/>
              </w:rPr>
            </w:pPr>
            <w:r>
              <w:rPr>
                <w:b/>
                <w:sz w:val="18"/>
              </w:rPr>
              <w:t>293</w:t>
            </w:r>
          </w:p>
        </w:tc>
      </w:tr>
      <w:tr>
        <w:trPr>
          <w:trHeight w:val="322" w:hRule="exact"/>
        </w:trPr>
        <w:tc>
          <w:tcPr>
            <w:tcW w:w="1762"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67"/>
              <w:jc w:val="left"/>
              <w:rPr>
                <w:b/>
                <w:sz w:val="18"/>
              </w:rPr>
            </w:pPr>
            <w:r>
              <w:rPr>
                <w:b/>
                <w:sz w:val="18"/>
              </w:rPr>
              <w:t>TEJUPILCO</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46"/>
              <w:rPr>
                <w:sz w:val="18"/>
              </w:rPr>
            </w:pPr>
            <w:r>
              <w:rPr>
                <w:w w:val="99"/>
                <w:sz w:val="18"/>
              </w:rPr>
              <w:t>0</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27"/>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9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24"/>
              <w:jc w:val="left"/>
              <w:rPr>
                <w:sz w:val="18"/>
              </w:rPr>
            </w:pPr>
            <w:r>
              <w:rPr>
                <w:w w:val="99"/>
                <w:sz w:val="18"/>
              </w:rPr>
              <w:t>0</w:t>
            </w:r>
          </w:p>
        </w:tc>
        <w:tc>
          <w:tcPr>
            <w:tcW w:w="452" w:type="dxa"/>
            <w:gridSpan w:val="2"/>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27"/>
              <w:jc w:val="left"/>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29"/>
              <w:jc w:val="left"/>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31"/>
              <w:jc w:val="left"/>
              <w:rPr>
                <w:sz w:val="18"/>
              </w:rPr>
            </w:pPr>
            <w:r>
              <w:rPr>
                <w:w w:val="99"/>
                <w:sz w:val="18"/>
              </w:rPr>
              <w:t>0</w:t>
            </w:r>
          </w:p>
        </w:tc>
        <w:tc>
          <w:tcPr>
            <w:tcW w:w="449" w:type="dxa"/>
            <w:gridSpan w:val="2"/>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34"/>
              <w:jc w:val="left"/>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39"/>
              <w:jc w:val="left"/>
              <w:rPr>
                <w:sz w:val="18"/>
              </w:rPr>
            </w:pPr>
            <w:r>
              <w:rPr>
                <w:w w:val="99"/>
                <w:sz w:val="18"/>
              </w:rPr>
              <w:t>0</w:t>
            </w:r>
          </w:p>
        </w:tc>
        <w:tc>
          <w:tcPr>
            <w:tcW w:w="386"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6"/>
              <w:rPr>
                <w:sz w:val="18"/>
              </w:rPr>
            </w:pPr>
            <w:r>
              <w:rPr>
                <w:w w:val="99"/>
                <w:sz w:val="18"/>
              </w:rPr>
              <w:t>0</w:t>
            </w:r>
          </w:p>
        </w:tc>
        <w:tc>
          <w:tcPr>
            <w:tcW w:w="455" w:type="dxa"/>
            <w:gridSpan w:val="2"/>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208"/>
              <w:jc w:val="left"/>
              <w:rPr>
                <w:sz w:val="18"/>
              </w:rPr>
            </w:pPr>
            <w:r>
              <w:rPr>
                <w:w w:val="99"/>
                <w:sz w:val="18"/>
              </w:rPr>
              <w:t>0</w:t>
            </w:r>
          </w:p>
        </w:tc>
        <w:tc>
          <w:tcPr>
            <w:tcW w:w="455" w:type="dxa"/>
            <w:gridSpan w:val="2"/>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207"/>
              <w:jc w:val="left"/>
              <w:rPr>
                <w:sz w:val="18"/>
              </w:rPr>
            </w:pPr>
            <w:r>
              <w:rPr>
                <w:w w:val="99"/>
                <w:sz w:val="18"/>
              </w:rPr>
              <w:t>0</w:t>
            </w:r>
          </w:p>
        </w:tc>
        <w:tc>
          <w:tcPr>
            <w:tcW w:w="453" w:type="dxa"/>
            <w:gridSpan w:val="2"/>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208"/>
              <w:jc w:val="left"/>
              <w:rPr>
                <w:sz w:val="18"/>
              </w:rPr>
            </w:pPr>
            <w:r>
              <w:rPr>
                <w:w w:val="99"/>
                <w:sz w:val="18"/>
              </w:rPr>
              <w:t>2</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210"/>
              <w:jc w:val="left"/>
              <w:rPr>
                <w:sz w:val="18"/>
              </w:rPr>
            </w:pPr>
            <w:r>
              <w:rPr>
                <w:w w:val="99"/>
                <w:sz w:val="18"/>
              </w:rPr>
              <w:t>0</w:t>
            </w:r>
          </w:p>
        </w:tc>
        <w:tc>
          <w:tcPr>
            <w:tcW w:w="560" w:type="dxa"/>
            <w:gridSpan w:val="3"/>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28"/>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55"/>
              <w:jc w:val="left"/>
              <w:rPr>
                <w:sz w:val="18"/>
              </w:rPr>
            </w:pPr>
            <w:r>
              <w:rPr>
                <w:sz w:val="18"/>
              </w:rPr>
              <w:t>21</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05"/>
              <w:jc w:val="left"/>
              <w:rPr>
                <w:sz w:val="18"/>
              </w:rPr>
            </w:pPr>
            <w:r>
              <w:rPr>
                <w:w w:val="99"/>
                <w:sz w:val="18"/>
              </w:rPr>
              <w:t>1</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05"/>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60"/>
              <w:jc w:val="left"/>
              <w:rPr>
                <w:sz w:val="18"/>
              </w:rPr>
            </w:pPr>
            <w:r>
              <w:rPr>
                <w:sz w:val="18"/>
              </w:rPr>
              <w:t>11</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10"/>
              <w:jc w:val="left"/>
              <w:rPr>
                <w:sz w:val="18"/>
              </w:rPr>
            </w:pPr>
            <w:r>
              <w:rPr>
                <w:w w:val="99"/>
                <w:sz w:val="18"/>
              </w:rPr>
              <w:t>1</w:t>
            </w:r>
          </w:p>
        </w:tc>
        <w:tc>
          <w:tcPr>
            <w:tcW w:w="319"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97"/>
              <w:jc w:val="right"/>
              <w:rPr>
                <w:sz w:val="18"/>
              </w:rPr>
            </w:pPr>
            <w:r>
              <w:rPr>
                <w:w w:val="99"/>
                <w:sz w:val="18"/>
              </w:rPr>
              <w:t>0</w:t>
            </w:r>
          </w:p>
        </w:tc>
        <w:tc>
          <w:tcPr>
            <w:tcW w:w="484"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27"/>
              <w:jc w:val="right"/>
              <w:rPr>
                <w:sz w:val="18"/>
              </w:rPr>
            </w:pPr>
            <w:r>
              <w:rPr>
                <w:w w:val="99"/>
                <w:sz w:val="18"/>
              </w:rPr>
              <w:t>0</w:t>
            </w:r>
          </w:p>
        </w:tc>
        <w:tc>
          <w:tcPr>
            <w:tcW w:w="498" w:type="dxa"/>
            <w:gridSpan w:val="2"/>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41"/>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56" w:right="56"/>
              <w:rPr>
                <w:b/>
                <w:sz w:val="18"/>
              </w:rPr>
            </w:pPr>
            <w:r>
              <w:rPr>
                <w:b/>
                <w:sz w:val="18"/>
              </w:rPr>
              <w:t>36</w:t>
            </w:r>
          </w:p>
        </w:tc>
      </w:tr>
      <w:tr>
        <w:trPr>
          <w:trHeight w:val="319" w:hRule="exact"/>
        </w:trPr>
        <w:tc>
          <w:tcPr>
            <w:tcW w:w="176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TEMAMATLA</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6"/>
              <w:rPr>
                <w:sz w:val="18"/>
              </w:rPr>
            </w:pPr>
            <w:r>
              <w:rPr>
                <w:w w:val="99"/>
                <w:sz w:val="18"/>
              </w:rPr>
              <w:t>0</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7"/>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9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4"/>
              <w:jc w:val="left"/>
              <w:rPr>
                <w:sz w:val="18"/>
              </w:rPr>
            </w:pPr>
            <w:r>
              <w:rPr>
                <w:w w:val="99"/>
                <w:sz w:val="18"/>
              </w:rPr>
              <w:t>0</w:t>
            </w:r>
          </w:p>
        </w:tc>
        <w:tc>
          <w:tcPr>
            <w:tcW w:w="452"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7"/>
              <w:jc w:val="left"/>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9"/>
              <w:jc w:val="left"/>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31"/>
              <w:jc w:val="left"/>
              <w:rPr>
                <w:sz w:val="18"/>
              </w:rPr>
            </w:pPr>
            <w:r>
              <w:rPr>
                <w:w w:val="99"/>
                <w:sz w:val="18"/>
              </w:rPr>
              <w:t>0</w:t>
            </w:r>
          </w:p>
        </w:tc>
        <w:tc>
          <w:tcPr>
            <w:tcW w:w="449"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34"/>
              <w:jc w:val="left"/>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39"/>
              <w:jc w:val="left"/>
              <w:rPr>
                <w:sz w:val="18"/>
              </w:rPr>
            </w:pPr>
            <w:r>
              <w:rPr>
                <w:w w:val="99"/>
                <w:sz w:val="18"/>
              </w:rPr>
              <w:t>0</w:t>
            </w:r>
          </w:p>
        </w:tc>
        <w:tc>
          <w:tcPr>
            <w:tcW w:w="38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
              <w:rPr>
                <w:sz w:val="18"/>
              </w:rPr>
            </w:pPr>
            <w:r>
              <w:rPr>
                <w:w w:val="99"/>
                <w:sz w:val="18"/>
              </w:rPr>
              <w:t>0</w:t>
            </w:r>
          </w:p>
        </w:tc>
        <w:tc>
          <w:tcPr>
            <w:tcW w:w="455"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08"/>
              <w:jc w:val="left"/>
              <w:rPr>
                <w:sz w:val="18"/>
              </w:rPr>
            </w:pPr>
            <w:r>
              <w:rPr>
                <w:w w:val="99"/>
                <w:sz w:val="18"/>
              </w:rPr>
              <w:t>0</w:t>
            </w:r>
          </w:p>
        </w:tc>
        <w:tc>
          <w:tcPr>
            <w:tcW w:w="455"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07"/>
              <w:jc w:val="left"/>
              <w:rPr>
                <w:sz w:val="18"/>
              </w:rPr>
            </w:pPr>
            <w:r>
              <w:rPr>
                <w:w w:val="99"/>
                <w:sz w:val="18"/>
              </w:rPr>
              <w:t>0</w:t>
            </w:r>
          </w:p>
        </w:tc>
        <w:tc>
          <w:tcPr>
            <w:tcW w:w="453"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08"/>
              <w:jc w:val="left"/>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10"/>
              <w:jc w:val="left"/>
              <w:rPr>
                <w:sz w:val="18"/>
              </w:rPr>
            </w:pPr>
            <w:r>
              <w:rPr>
                <w:w w:val="99"/>
                <w:sz w:val="18"/>
              </w:rPr>
              <w:t>0</w:t>
            </w:r>
          </w:p>
        </w:tc>
        <w:tc>
          <w:tcPr>
            <w:tcW w:w="560" w:type="dxa"/>
            <w:gridSpan w:val="3"/>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28"/>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5"/>
              <w:jc w:val="left"/>
              <w:rPr>
                <w:sz w:val="18"/>
              </w:rPr>
            </w:pPr>
            <w:r>
              <w:rPr>
                <w:sz w:val="18"/>
              </w:rPr>
              <w:t>26</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5"/>
              <w:jc w:val="left"/>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5"/>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0"/>
              <w:jc w:val="left"/>
              <w:rPr>
                <w:sz w:val="18"/>
              </w:rPr>
            </w:pPr>
            <w:r>
              <w:rPr>
                <w:sz w:val="18"/>
              </w:rPr>
              <w:t>16</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10"/>
              <w:jc w:val="left"/>
              <w:rPr>
                <w:sz w:val="18"/>
              </w:rPr>
            </w:pPr>
            <w:r>
              <w:rPr>
                <w:w w:val="99"/>
                <w:sz w:val="18"/>
              </w:rPr>
              <w:t>0</w:t>
            </w:r>
          </w:p>
        </w:tc>
        <w:tc>
          <w:tcPr>
            <w:tcW w:w="31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97"/>
              <w:jc w:val="right"/>
              <w:rPr>
                <w:sz w:val="18"/>
              </w:rPr>
            </w:pPr>
            <w:r>
              <w:rPr>
                <w:w w:val="99"/>
                <w:sz w:val="18"/>
              </w:rPr>
              <w:t>0</w:t>
            </w:r>
          </w:p>
        </w:tc>
        <w:tc>
          <w:tcPr>
            <w:tcW w:w="48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73"/>
              <w:jc w:val="right"/>
              <w:rPr>
                <w:sz w:val="18"/>
              </w:rPr>
            </w:pPr>
            <w:r>
              <w:rPr>
                <w:w w:val="95"/>
                <w:sz w:val="18"/>
              </w:rPr>
              <w:t>13</w:t>
            </w:r>
          </w:p>
        </w:tc>
        <w:tc>
          <w:tcPr>
            <w:tcW w:w="498"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1"/>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56" w:right="56"/>
              <w:rPr>
                <w:b/>
                <w:sz w:val="18"/>
              </w:rPr>
            </w:pPr>
            <w:r>
              <w:rPr>
                <w:b/>
                <w:sz w:val="18"/>
              </w:rPr>
              <w:t>55</w:t>
            </w:r>
          </w:p>
        </w:tc>
      </w:tr>
      <w:tr>
        <w:trPr>
          <w:trHeight w:val="322" w:hRule="exact"/>
        </w:trPr>
        <w:tc>
          <w:tcPr>
            <w:tcW w:w="176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TEMASCALAPA</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6"/>
              <w:rPr>
                <w:sz w:val="18"/>
              </w:rPr>
            </w:pPr>
            <w:r>
              <w:rPr>
                <w:w w:val="99"/>
                <w:sz w:val="18"/>
              </w:rPr>
              <w:t>0</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7"/>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9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4"/>
              <w:jc w:val="left"/>
              <w:rPr>
                <w:sz w:val="18"/>
              </w:rPr>
            </w:pPr>
            <w:r>
              <w:rPr>
                <w:w w:val="99"/>
                <w:sz w:val="18"/>
              </w:rPr>
              <w:t>0</w:t>
            </w:r>
          </w:p>
        </w:tc>
        <w:tc>
          <w:tcPr>
            <w:tcW w:w="452"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7"/>
              <w:jc w:val="left"/>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9"/>
              <w:jc w:val="left"/>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83"/>
              <w:jc w:val="left"/>
              <w:rPr>
                <w:sz w:val="18"/>
              </w:rPr>
            </w:pPr>
            <w:r>
              <w:rPr>
                <w:sz w:val="18"/>
              </w:rPr>
              <w:t>11</w:t>
            </w:r>
          </w:p>
        </w:tc>
        <w:tc>
          <w:tcPr>
            <w:tcW w:w="449"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34"/>
              <w:jc w:val="left"/>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39"/>
              <w:jc w:val="left"/>
              <w:rPr>
                <w:sz w:val="18"/>
              </w:rPr>
            </w:pPr>
            <w:r>
              <w:rPr>
                <w:w w:val="99"/>
                <w:sz w:val="18"/>
              </w:rPr>
              <w:t>0</w:t>
            </w:r>
          </w:p>
        </w:tc>
        <w:tc>
          <w:tcPr>
            <w:tcW w:w="38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73" w:right="62"/>
              <w:rPr>
                <w:sz w:val="18"/>
              </w:rPr>
            </w:pPr>
            <w:r>
              <w:rPr>
                <w:sz w:val="18"/>
              </w:rPr>
              <w:t>23</w:t>
            </w:r>
          </w:p>
        </w:tc>
        <w:tc>
          <w:tcPr>
            <w:tcW w:w="455"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08"/>
              <w:jc w:val="left"/>
              <w:rPr>
                <w:sz w:val="18"/>
              </w:rPr>
            </w:pPr>
            <w:r>
              <w:rPr>
                <w:w w:val="99"/>
                <w:sz w:val="18"/>
              </w:rPr>
              <w:t>0</w:t>
            </w:r>
          </w:p>
        </w:tc>
        <w:tc>
          <w:tcPr>
            <w:tcW w:w="455"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07"/>
              <w:jc w:val="left"/>
              <w:rPr>
                <w:sz w:val="18"/>
              </w:rPr>
            </w:pPr>
            <w:r>
              <w:rPr>
                <w:w w:val="99"/>
                <w:sz w:val="18"/>
              </w:rPr>
              <w:t>0</w:t>
            </w:r>
          </w:p>
        </w:tc>
        <w:tc>
          <w:tcPr>
            <w:tcW w:w="453"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60"/>
              <w:jc w:val="left"/>
              <w:rPr>
                <w:sz w:val="18"/>
              </w:rPr>
            </w:pPr>
            <w:r>
              <w:rPr>
                <w:sz w:val="18"/>
              </w:rPr>
              <w:t>24</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10"/>
              <w:jc w:val="left"/>
              <w:rPr>
                <w:sz w:val="18"/>
              </w:rPr>
            </w:pPr>
            <w:r>
              <w:rPr>
                <w:w w:val="99"/>
                <w:sz w:val="18"/>
              </w:rPr>
              <w:t>0</w:t>
            </w:r>
          </w:p>
        </w:tc>
        <w:tc>
          <w:tcPr>
            <w:tcW w:w="560" w:type="dxa"/>
            <w:gridSpan w:val="3"/>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28"/>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5"/>
              <w:jc w:val="left"/>
              <w:rPr>
                <w:sz w:val="18"/>
              </w:rPr>
            </w:pPr>
            <w:r>
              <w:rPr>
                <w:sz w:val="18"/>
              </w:rPr>
              <w:t>29</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5"/>
              <w:jc w:val="left"/>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5"/>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0"/>
              <w:jc w:val="left"/>
              <w:rPr>
                <w:sz w:val="18"/>
              </w:rPr>
            </w:pPr>
            <w:r>
              <w:rPr>
                <w:sz w:val="18"/>
              </w:rPr>
              <w:t>44</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10"/>
              <w:jc w:val="left"/>
              <w:rPr>
                <w:sz w:val="18"/>
              </w:rPr>
            </w:pPr>
            <w:r>
              <w:rPr>
                <w:w w:val="99"/>
                <w:sz w:val="18"/>
              </w:rPr>
              <w:t>0</w:t>
            </w:r>
          </w:p>
        </w:tc>
        <w:tc>
          <w:tcPr>
            <w:tcW w:w="31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97"/>
              <w:jc w:val="right"/>
              <w:rPr>
                <w:sz w:val="18"/>
              </w:rPr>
            </w:pPr>
            <w:r>
              <w:rPr>
                <w:w w:val="99"/>
                <w:sz w:val="18"/>
              </w:rPr>
              <w:t>0</w:t>
            </w:r>
          </w:p>
        </w:tc>
        <w:tc>
          <w:tcPr>
            <w:tcW w:w="48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27"/>
              <w:jc w:val="right"/>
              <w:rPr>
                <w:sz w:val="18"/>
              </w:rPr>
            </w:pPr>
            <w:r>
              <w:rPr>
                <w:w w:val="99"/>
                <w:sz w:val="18"/>
              </w:rPr>
              <w:t>0</w:t>
            </w:r>
          </w:p>
        </w:tc>
        <w:tc>
          <w:tcPr>
            <w:tcW w:w="498"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1"/>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63"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56" w:right="56"/>
              <w:rPr>
                <w:b/>
                <w:sz w:val="18"/>
              </w:rPr>
            </w:pPr>
            <w:r>
              <w:rPr>
                <w:b/>
                <w:sz w:val="18"/>
              </w:rPr>
              <w:t>131</w:t>
            </w:r>
          </w:p>
        </w:tc>
      </w:tr>
      <w:tr>
        <w:trPr>
          <w:trHeight w:val="319" w:hRule="exact"/>
        </w:trPr>
        <w:tc>
          <w:tcPr>
            <w:tcW w:w="176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jc w:val="left"/>
              <w:rPr>
                <w:b/>
                <w:sz w:val="18"/>
              </w:rPr>
            </w:pPr>
            <w:r>
              <w:rPr>
                <w:b/>
                <w:sz w:val="18"/>
              </w:rPr>
              <w:t>TEMASCALCINGO</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8"/>
              <w:rPr>
                <w:sz w:val="18"/>
              </w:rPr>
            </w:pPr>
            <w:r>
              <w:rPr>
                <w:w w:val="99"/>
                <w:sz w:val="18"/>
              </w:rPr>
              <w:t>0</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9"/>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2"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49"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09"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2"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49"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0"/>
              <w:jc w:val="left"/>
              <w:rPr>
                <w:sz w:val="18"/>
              </w:rPr>
            </w:pPr>
            <w:r>
              <w:rPr>
                <w:sz w:val="18"/>
              </w:rPr>
              <w:t>25</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19"/>
              <w:jc w:val="right"/>
              <w:rPr>
                <w:sz w:val="18"/>
              </w:rPr>
            </w:pPr>
            <w:r>
              <w:rPr>
                <w:w w:val="95"/>
                <w:sz w:val="18"/>
              </w:rPr>
              <w:t>16</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31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04"/>
              <w:jc w:val="right"/>
              <w:rPr>
                <w:sz w:val="18"/>
              </w:rPr>
            </w:pPr>
            <w:r>
              <w:rPr>
                <w:w w:val="99"/>
                <w:sz w:val="18"/>
              </w:rPr>
              <w:t>0</w:t>
            </w:r>
          </w:p>
        </w:tc>
        <w:tc>
          <w:tcPr>
            <w:tcW w:w="48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17"/>
              <w:jc w:val="left"/>
              <w:rPr>
                <w:sz w:val="18"/>
              </w:rPr>
            </w:pPr>
            <w:r>
              <w:rPr>
                <w:sz w:val="18"/>
              </w:rPr>
              <w:t>22</w:t>
            </w:r>
          </w:p>
        </w:tc>
        <w:tc>
          <w:tcPr>
            <w:tcW w:w="39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0"/>
              <w:rPr>
                <w:sz w:val="18"/>
              </w:rPr>
            </w:pPr>
            <w:r>
              <w:rPr>
                <w:w w:val="99"/>
                <w:sz w:val="18"/>
              </w:rPr>
              <w:t>2</w:t>
            </w:r>
          </w:p>
        </w:tc>
        <w:tc>
          <w:tcPr>
            <w:tcW w:w="426"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
              <w:rPr>
                <w:sz w:val="18"/>
              </w:rPr>
            </w:pPr>
            <w:r>
              <w:rPr>
                <w:w w:val="99"/>
                <w:sz w:val="18"/>
              </w:rPr>
              <w:t>0</w:t>
            </w:r>
          </w:p>
        </w:tc>
        <w:tc>
          <w:tcPr>
            <w:tcW w:w="59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200"/>
              <w:jc w:val="left"/>
              <w:rPr>
                <w:b/>
                <w:sz w:val="18"/>
              </w:rPr>
            </w:pPr>
            <w:r>
              <w:rPr>
                <w:b/>
                <w:sz w:val="18"/>
              </w:rPr>
              <w:t>66</w:t>
            </w:r>
          </w:p>
        </w:tc>
      </w:tr>
      <w:tr>
        <w:trPr>
          <w:trHeight w:val="322" w:hRule="exact"/>
        </w:trPr>
        <w:tc>
          <w:tcPr>
            <w:tcW w:w="176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jc w:val="left"/>
              <w:rPr>
                <w:b/>
                <w:sz w:val="18"/>
              </w:rPr>
            </w:pPr>
            <w:r>
              <w:rPr>
                <w:b/>
                <w:sz w:val="18"/>
              </w:rPr>
              <w:t>TEMASCALTEPEC</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8"/>
              <w:rPr>
                <w:sz w:val="18"/>
              </w:rPr>
            </w:pPr>
            <w:r>
              <w:rPr>
                <w:w w:val="99"/>
                <w:sz w:val="18"/>
              </w:rPr>
              <w:t>0</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9"/>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2"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49"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09"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2"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49"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31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04"/>
              <w:jc w:val="right"/>
              <w:rPr>
                <w:sz w:val="18"/>
              </w:rPr>
            </w:pPr>
            <w:r>
              <w:rPr>
                <w:w w:val="99"/>
                <w:sz w:val="18"/>
              </w:rPr>
              <w:t>0</w:t>
            </w:r>
          </w:p>
        </w:tc>
        <w:tc>
          <w:tcPr>
            <w:tcW w:w="48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0"/>
              <w:rPr>
                <w:sz w:val="18"/>
              </w:rPr>
            </w:pPr>
            <w:r>
              <w:rPr>
                <w:w w:val="99"/>
                <w:sz w:val="18"/>
              </w:rPr>
              <w:t>0</w:t>
            </w:r>
          </w:p>
        </w:tc>
        <w:tc>
          <w:tcPr>
            <w:tcW w:w="39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0"/>
              <w:rPr>
                <w:sz w:val="18"/>
              </w:rPr>
            </w:pPr>
            <w:r>
              <w:rPr>
                <w:w w:val="99"/>
                <w:sz w:val="18"/>
              </w:rPr>
              <w:t>0</w:t>
            </w:r>
          </w:p>
        </w:tc>
        <w:tc>
          <w:tcPr>
            <w:tcW w:w="426"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
              <w:rPr>
                <w:sz w:val="18"/>
              </w:rPr>
            </w:pPr>
            <w:r>
              <w:rPr>
                <w:w w:val="99"/>
                <w:sz w:val="18"/>
              </w:rPr>
              <w:t>0</w:t>
            </w:r>
          </w:p>
        </w:tc>
        <w:tc>
          <w:tcPr>
            <w:tcW w:w="59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
              <w:rPr>
                <w:b/>
                <w:sz w:val="18"/>
              </w:rPr>
            </w:pPr>
            <w:r>
              <w:rPr>
                <w:b/>
                <w:w w:val="99"/>
                <w:sz w:val="18"/>
              </w:rPr>
              <w:t>0</w:t>
            </w:r>
          </w:p>
        </w:tc>
      </w:tr>
      <w:tr>
        <w:trPr>
          <w:trHeight w:val="319" w:hRule="exact"/>
        </w:trPr>
        <w:tc>
          <w:tcPr>
            <w:tcW w:w="176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jc w:val="left"/>
              <w:rPr>
                <w:b/>
                <w:sz w:val="18"/>
              </w:rPr>
            </w:pPr>
            <w:r>
              <w:rPr>
                <w:b/>
                <w:sz w:val="18"/>
              </w:rPr>
              <w:t>TEMOAYA</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8"/>
              <w:rPr>
                <w:sz w:val="18"/>
              </w:rPr>
            </w:pPr>
            <w:r>
              <w:rPr>
                <w:w w:val="99"/>
                <w:sz w:val="18"/>
              </w:rPr>
              <w:t>0</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9"/>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2"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49"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09"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2"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49"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0"/>
              <w:jc w:val="left"/>
              <w:rPr>
                <w:sz w:val="18"/>
              </w:rPr>
            </w:pPr>
            <w:r>
              <w:rPr>
                <w:sz w:val="18"/>
              </w:rPr>
              <w:t>26</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2</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19"/>
              <w:jc w:val="right"/>
              <w:rPr>
                <w:sz w:val="18"/>
              </w:rPr>
            </w:pPr>
            <w:r>
              <w:rPr>
                <w:w w:val="95"/>
                <w:sz w:val="18"/>
              </w:rPr>
              <w:t>10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31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04"/>
              <w:jc w:val="right"/>
              <w:rPr>
                <w:sz w:val="18"/>
              </w:rPr>
            </w:pPr>
            <w:r>
              <w:rPr>
                <w:w w:val="99"/>
                <w:sz w:val="18"/>
              </w:rPr>
              <w:t>0</w:t>
            </w:r>
          </w:p>
        </w:tc>
        <w:tc>
          <w:tcPr>
            <w:tcW w:w="48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0"/>
              <w:rPr>
                <w:sz w:val="18"/>
              </w:rPr>
            </w:pPr>
            <w:r>
              <w:rPr>
                <w:w w:val="99"/>
                <w:sz w:val="18"/>
              </w:rPr>
              <w:t>0</w:t>
            </w:r>
          </w:p>
        </w:tc>
        <w:tc>
          <w:tcPr>
            <w:tcW w:w="39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0"/>
              <w:rPr>
                <w:sz w:val="18"/>
              </w:rPr>
            </w:pPr>
            <w:r>
              <w:rPr>
                <w:w w:val="99"/>
                <w:sz w:val="18"/>
              </w:rPr>
              <w:t>0</w:t>
            </w:r>
          </w:p>
        </w:tc>
        <w:tc>
          <w:tcPr>
            <w:tcW w:w="426"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
              <w:rPr>
                <w:sz w:val="18"/>
              </w:rPr>
            </w:pPr>
            <w:r>
              <w:rPr>
                <w:w w:val="99"/>
                <w:sz w:val="18"/>
              </w:rPr>
              <w:t>0</w:t>
            </w:r>
          </w:p>
        </w:tc>
        <w:tc>
          <w:tcPr>
            <w:tcW w:w="59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200"/>
              <w:jc w:val="left"/>
              <w:rPr>
                <w:b/>
                <w:sz w:val="18"/>
              </w:rPr>
            </w:pPr>
            <w:r>
              <w:rPr>
                <w:b/>
                <w:sz w:val="18"/>
              </w:rPr>
              <w:t>38</w:t>
            </w:r>
          </w:p>
        </w:tc>
      </w:tr>
      <w:tr>
        <w:trPr>
          <w:trHeight w:val="322" w:hRule="exact"/>
        </w:trPr>
        <w:tc>
          <w:tcPr>
            <w:tcW w:w="1762"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2"/>
              <w:jc w:val="left"/>
              <w:rPr>
                <w:b/>
                <w:sz w:val="18"/>
              </w:rPr>
            </w:pPr>
            <w:r>
              <w:rPr>
                <w:b/>
                <w:sz w:val="18"/>
              </w:rPr>
              <w:t>TENANCINGO</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
              <w:ind w:left="8"/>
              <w:rPr>
                <w:sz w:val="18"/>
              </w:rPr>
            </w:pPr>
            <w:r>
              <w:rPr>
                <w:w w:val="99"/>
                <w:sz w:val="18"/>
              </w:rPr>
              <w:t>0</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1"/>
              <w:ind w:left="179"/>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
              <w:ind w:left="170"/>
              <w:jc w:val="left"/>
              <w:rPr>
                <w:sz w:val="18"/>
              </w:rPr>
            </w:pPr>
            <w:r>
              <w:rPr>
                <w:w w:val="99"/>
                <w:sz w:val="18"/>
              </w:rPr>
              <w:t>0</w:t>
            </w:r>
          </w:p>
        </w:tc>
        <w:tc>
          <w:tcPr>
            <w:tcW w:w="452"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
              <w:ind w:left="4"/>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
              <w:ind w:lef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49"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
              <w:ind w:lef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509"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
              <w:ind w:left="151"/>
              <w:jc w:val="left"/>
              <w:rPr>
                <w:sz w:val="18"/>
              </w:rPr>
            </w:pPr>
            <w:r>
              <w:rPr>
                <w:sz w:val="18"/>
              </w:rPr>
              <w:t>39</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
              <w:ind w:left="4"/>
              <w:rPr>
                <w:sz w:val="18"/>
              </w:rPr>
            </w:pPr>
            <w:r>
              <w:rPr>
                <w:w w:val="99"/>
                <w:sz w:val="18"/>
              </w:rPr>
              <w:t>0</w:t>
            </w:r>
          </w:p>
        </w:tc>
        <w:tc>
          <w:tcPr>
            <w:tcW w:w="452"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49"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
              <w:ind w:left="120"/>
              <w:jc w:val="left"/>
              <w:rPr>
                <w:sz w:val="18"/>
              </w:rPr>
            </w:pPr>
            <w:r>
              <w:rPr>
                <w:sz w:val="18"/>
              </w:rPr>
              <w:t>21</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
              <w:ind w:left="4"/>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
              <w:ind w:left="120"/>
              <w:jc w:val="left"/>
              <w:rPr>
                <w:sz w:val="18"/>
              </w:rPr>
            </w:pPr>
            <w:r>
              <w:rPr>
                <w:sz w:val="18"/>
              </w:rPr>
              <w:t>21</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
              <w:ind w:right="119"/>
              <w:jc w:val="right"/>
              <w:rPr>
                <w:sz w:val="18"/>
              </w:rPr>
            </w:pPr>
            <w:r>
              <w:rPr>
                <w:w w:val="95"/>
                <w:sz w:val="18"/>
              </w:rPr>
              <w:t>15</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1"/>
              <w:ind w:left="172"/>
              <w:jc w:val="left"/>
              <w:rPr>
                <w:sz w:val="18"/>
              </w:rPr>
            </w:pPr>
            <w:r>
              <w:rPr>
                <w:w w:val="99"/>
                <w:sz w:val="18"/>
              </w:rPr>
              <w:t>0</w:t>
            </w:r>
          </w:p>
        </w:tc>
        <w:tc>
          <w:tcPr>
            <w:tcW w:w="319" w:type="dxa"/>
            <w:tcBorders>
              <w:top w:val="single" w:sz="4" w:space="0" w:color="000000"/>
              <w:left w:val="single" w:sz="4" w:space="0" w:color="000000"/>
              <w:bottom w:val="single" w:sz="4" w:space="0" w:color="000000"/>
              <w:right w:val="single" w:sz="4" w:space="0" w:color="000000"/>
            </w:tcBorders>
          </w:tcPr>
          <w:p>
            <w:pPr>
              <w:pStyle w:val="TableParagraph"/>
              <w:spacing w:before="1"/>
              <w:ind w:right="104"/>
              <w:jc w:val="right"/>
              <w:rPr>
                <w:sz w:val="18"/>
              </w:rPr>
            </w:pPr>
            <w:r>
              <w:rPr>
                <w:w w:val="99"/>
                <w:sz w:val="18"/>
              </w:rPr>
              <w:t>1</w:t>
            </w:r>
          </w:p>
        </w:tc>
        <w:tc>
          <w:tcPr>
            <w:tcW w:w="484" w:type="dxa"/>
            <w:tcBorders>
              <w:top w:val="single" w:sz="4" w:space="0" w:color="000000"/>
              <w:left w:val="single" w:sz="4" w:space="0" w:color="000000"/>
              <w:bottom w:val="single" w:sz="4" w:space="0" w:color="000000"/>
              <w:right w:val="single" w:sz="4" w:space="0" w:color="000000"/>
            </w:tcBorders>
          </w:tcPr>
          <w:p>
            <w:pPr>
              <w:pStyle w:val="TableParagraph"/>
              <w:spacing w:before="1"/>
              <w:ind w:right="40"/>
              <w:rPr>
                <w:sz w:val="18"/>
              </w:rPr>
            </w:pPr>
            <w:r>
              <w:rPr>
                <w:w w:val="99"/>
                <w:sz w:val="18"/>
              </w:rPr>
              <w:t>8</w:t>
            </w:r>
          </w:p>
        </w:tc>
        <w:tc>
          <w:tcPr>
            <w:tcW w:w="395" w:type="dxa"/>
            <w:tcBorders>
              <w:top w:val="single" w:sz="4" w:space="0" w:color="000000"/>
              <w:left w:val="single" w:sz="4" w:space="0" w:color="000000"/>
              <w:bottom w:val="single" w:sz="4" w:space="0" w:color="000000"/>
              <w:right w:val="single" w:sz="4" w:space="0" w:color="000000"/>
            </w:tcBorders>
          </w:tcPr>
          <w:p>
            <w:pPr>
              <w:pStyle w:val="TableParagraph"/>
              <w:spacing w:before="1"/>
              <w:ind w:right="40"/>
              <w:rPr>
                <w:sz w:val="18"/>
              </w:rPr>
            </w:pPr>
            <w:r>
              <w:rPr>
                <w:w w:val="99"/>
                <w:sz w:val="18"/>
              </w:rPr>
              <w:t>1</w:t>
            </w:r>
          </w:p>
        </w:tc>
        <w:tc>
          <w:tcPr>
            <w:tcW w:w="426"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
              <w:ind w:left="10"/>
              <w:rPr>
                <w:sz w:val="18"/>
              </w:rPr>
            </w:pPr>
            <w:r>
              <w:rPr>
                <w:w w:val="99"/>
                <w:sz w:val="18"/>
              </w:rPr>
              <w:t>0</w:t>
            </w:r>
          </w:p>
        </w:tc>
        <w:tc>
          <w:tcPr>
            <w:tcW w:w="59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150"/>
              <w:jc w:val="left"/>
              <w:rPr>
                <w:b/>
                <w:sz w:val="18"/>
              </w:rPr>
            </w:pPr>
            <w:r>
              <w:rPr>
                <w:b/>
                <w:sz w:val="18"/>
              </w:rPr>
              <w:t>106</w:t>
            </w:r>
          </w:p>
        </w:tc>
      </w:tr>
      <w:tr>
        <w:trPr>
          <w:trHeight w:val="632" w:hRule="exact"/>
        </w:trPr>
        <w:tc>
          <w:tcPr>
            <w:tcW w:w="1762" w:type="dxa"/>
            <w:tcBorders>
              <w:top w:val="single" w:sz="4" w:space="0" w:color="000000"/>
              <w:left w:val="single" w:sz="4" w:space="0" w:color="000000"/>
              <w:bottom w:val="single" w:sz="4" w:space="0" w:color="000000"/>
              <w:right w:val="single" w:sz="4" w:space="0" w:color="000000"/>
            </w:tcBorders>
          </w:tcPr>
          <w:p>
            <w:pPr>
              <w:pStyle w:val="TableParagraph"/>
              <w:tabs>
                <w:tab w:pos="1324" w:val="left" w:leader="none"/>
              </w:tabs>
              <w:spacing w:line="360" w:lineRule="auto"/>
              <w:ind w:left="62" w:right="66"/>
              <w:jc w:val="left"/>
              <w:rPr>
                <w:b/>
                <w:sz w:val="18"/>
              </w:rPr>
            </w:pPr>
            <w:r>
              <w:rPr>
                <w:b/>
                <w:sz w:val="18"/>
              </w:rPr>
              <w:t>TENANGO</w:t>
              <w:tab/>
              <w:t>DEL AIRE</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left="8"/>
              <w:rPr>
                <w:sz w:val="18"/>
              </w:rPr>
            </w:pPr>
            <w:r>
              <w:rPr>
                <w:w w:val="99"/>
                <w:sz w:val="18"/>
              </w:rPr>
              <w:t>0</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155"/>
              <w:ind w:left="179"/>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left="170"/>
              <w:jc w:val="left"/>
              <w:rPr>
                <w:sz w:val="18"/>
              </w:rPr>
            </w:pPr>
            <w:r>
              <w:rPr>
                <w:w w:val="99"/>
                <w:sz w:val="18"/>
              </w:rPr>
              <w:t>0</w:t>
            </w:r>
          </w:p>
        </w:tc>
        <w:tc>
          <w:tcPr>
            <w:tcW w:w="452"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49"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509"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452"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55"/>
              <w:ind w:right="1"/>
              <w:rPr>
                <w:sz w:val="18"/>
              </w:rPr>
            </w:pPr>
            <w:r>
              <w:rPr>
                <w:w w:val="99"/>
                <w:sz w:val="18"/>
              </w:rPr>
              <w:t>0</w:t>
            </w:r>
          </w:p>
        </w:tc>
        <w:tc>
          <w:tcPr>
            <w:tcW w:w="449"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55"/>
              <w:ind w:righ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55"/>
              <w:ind w:right="1"/>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55"/>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right="169"/>
              <w:jc w:val="righ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319" w:type="dxa"/>
            <w:tcBorders>
              <w:top w:val="single" w:sz="4" w:space="0" w:color="000000"/>
              <w:left w:val="single" w:sz="4" w:space="0" w:color="000000"/>
              <w:bottom w:val="single" w:sz="4" w:space="0" w:color="000000"/>
              <w:right w:val="single" w:sz="4" w:space="0" w:color="000000"/>
            </w:tcBorders>
          </w:tcPr>
          <w:p>
            <w:pPr>
              <w:pStyle w:val="TableParagraph"/>
              <w:spacing w:before="155"/>
              <w:ind w:right="104"/>
              <w:jc w:val="right"/>
              <w:rPr>
                <w:sz w:val="18"/>
              </w:rPr>
            </w:pPr>
            <w:r>
              <w:rPr>
                <w:w w:val="99"/>
                <w:sz w:val="18"/>
              </w:rPr>
              <w:t>0</w:t>
            </w:r>
          </w:p>
        </w:tc>
        <w:tc>
          <w:tcPr>
            <w:tcW w:w="484" w:type="dxa"/>
            <w:tcBorders>
              <w:top w:val="single" w:sz="4" w:space="0" w:color="000000"/>
              <w:left w:val="single" w:sz="4" w:space="0" w:color="000000"/>
              <w:bottom w:val="single" w:sz="4" w:space="0" w:color="000000"/>
              <w:right w:val="single" w:sz="4" w:space="0" w:color="000000"/>
            </w:tcBorders>
          </w:tcPr>
          <w:p>
            <w:pPr>
              <w:pStyle w:val="TableParagraph"/>
              <w:spacing w:before="155"/>
              <w:ind w:right="40"/>
              <w:rPr>
                <w:sz w:val="18"/>
              </w:rPr>
            </w:pPr>
            <w:r>
              <w:rPr>
                <w:w w:val="99"/>
                <w:sz w:val="18"/>
              </w:rPr>
              <w:t>0</w:t>
            </w:r>
          </w:p>
        </w:tc>
        <w:tc>
          <w:tcPr>
            <w:tcW w:w="395" w:type="dxa"/>
            <w:tcBorders>
              <w:top w:val="single" w:sz="4" w:space="0" w:color="000000"/>
              <w:left w:val="single" w:sz="4" w:space="0" w:color="000000"/>
              <w:bottom w:val="single" w:sz="4" w:space="0" w:color="000000"/>
              <w:right w:val="single" w:sz="4" w:space="0" w:color="000000"/>
            </w:tcBorders>
          </w:tcPr>
          <w:p>
            <w:pPr>
              <w:pStyle w:val="TableParagraph"/>
              <w:spacing w:before="155"/>
              <w:ind w:right="40"/>
              <w:rPr>
                <w:sz w:val="18"/>
              </w:rPr>
            </w:pPr>
            <w:r>
              <w:rPr>
                <w:w w:val="99"/>
                <w:sz w:val="18"/>
              </w:rPr>
              <w:t>0</w:t>
            </w:r>
          </w:p>
        </w:tc>
        <w:tc>
          <w:tcPr>
            <w:tcW w:w="426"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55"/>
              <w:ind w:left="10"/>
              <w:rPr>
                <w:sz w:val="18"/>
              </w:rPr>
            </w:pPr>
            <w:r>
              <w:rPr>
                <w:w w:val="99"/>
                <w:sz w:val="18"/>
              </w:rPr>
              <w:t>0</w:t>
            </w:r>
          </w:p>
        </w:tc>
        <w:tc>
          <w:tcPr>
            <w:tcW w:w="594"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50"/>
              <w:ind w:left="12"/>
              <w:rPr>
                <w:b/>
                <w:sz w:val="18"/>
              </w:rPr>
            </w:pPr>
            <w:r>
              <w:rPr>
                <w:b/>
                <w:w w:val="99"/>
                <w:sz w:val="18"/>
              </w:rPr>
              <w:t>0</w:t>
            </w:r>
          </w:p>
        </w:tc>
      </w:tr>
      <w:tr>
        <w:trPr>
          <w:trHeight w:val="631" w:hRule="exact"/>
        </w:trPr>
        <w:tc>
          <w:tcPr>
            <w:tcW w:w="1762" w:type="dxa"/>
            <w:tcBorders>
              <w:top w:val="single" w:sz="4" w:space="0" w:color="000000"/>
              <w:left w:val="single" w:sz="4" w:space="0" w:color="000000"/>
              <w:bottom w:val="single" w:sz="4" w:space="0" w:color="000000"/>
              <w:right w:val="single" w:sz="4" w:space="0" w:color="000000"/>
            </w:tcBorders>
          </w:tcPr>
          <w:p>
            <w:pPr>
              <w:pStyle w:val="TableParagraph"/>
              <w:tabs>
                <w:tab w:pos="1324" w:val="left" w:leader="none"/>
              </w:tabs>
              <w:spacing w:line="360" w:lineRule="auto"/>
              <w:ind w:left="62" w:right="66"/>
              <w:jc w:val="left"/>
              <w:rPr>
                <w:b/>
                <w:sz w:val="18"/>
              </w:rPr>
            </w:pPr>
            <w:r>
              <w:rPr>
                <w:b/>
                <w:sz w:val="18"/>
              </w:rPr>
              <w:t>TENANGO</w:t>
              <w:tab/>
              <w:t>DEL VALLE</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left="8"/>
              <w:rPr>
                <w:sz w:val="18"/>
              </w:rPr>
            </w:pPr>
            <w:r>
              <w:rPr>
                <w:w w:val="99"/>
                <w:sz w:val="18"/>
              </w:rPr>
              <w:t>0</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155"/>
              <w:ind w:left="179"/>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left="170"/>
              <w:jc w:val="left"/>
              <w:rPr>
                <w:sz w:val="18"/>
              </w:rPr>
            </w:pPr>
            <w:r>
              <w:rPr>
                <w:w w:val="99"/>
                <w:sz w:val="18"/>
              </w:rPr>
              <w:t>0</w:t>
            </w:r>
          </w:p>
        </w:tc>
        <w:tc>
          <w:tcPr>
            <w:tcW w:w="452"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49"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509"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55"/>
              <w:ind w:left="151"/>
              <w:jc w:val="left"/>
              <w:rPr>
                <w:sz w:val="18"/>
              </w:rPr>
            </w:pPr>
            <w:r>
              <w:rPr>
                <w:sz w:val="18"/>
              </w:rPr>
              <w:t>34</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452"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55"/>
              <w:ind w:right="1"/>
              <w:rPr>
                <w:sz w:val="18"/>
              </w:rPr>
            </w:pPr>
            <w:r>
              <w:rPr>
                <w:w w:val="99"/>
                <w:sz w:val="18"/>
              </w:rPr>
              <w:t>0</w:t>
            </w:r>
          </w:p>
        </w:tc>
        <w:tc>
          <w:tcPr>
            <w:tcW w:w="449"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55"/>
              <w:ind w:left="120"/>
              <w:jc w:val="left"/>
              <w:rPr>
                <w:sz w:val="18"/>
              </w:rPr>
            </w:pPr>
            <w:r>
              <w:rPr>
                <w:sz w:val="18"/>
              </w:rPr>
              <w:t>19</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3</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55"/>
              <w:ind w:left="120"/>
              <w:jc w:val="left"/>
              <w:rPr>
                <w:sz w:val="18"/>
              </w:rPr>
            </w:pPr>
            <w:r>
              <w:rPr>
                <w:sz w:val="18"/>
              </w:rPr>
              <w:t>21</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55"/>
              <w:ind w:right="1"/>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55"/>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right="119"/>
              <w:jc w:val="right"/>
              <w:rPr>
                <w:sz w:val="18"/>
              </w:rPr>
            </w:pPr>
            <w:r>
              <w:rPr>
                <w:w w:val="95"/>
                <w:sz w:val="18"/>
              </w:rPr>
              <w:t>18</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319" w:type="dxa"/>
            <w:tcBorders>
              <w:top w:val="single" w:sz="4" w:space="0" w:color="000000"/>
              <w:left w:val="single" w:sz="4" w:space="0" w:color="000000"/>
              <w:bottom w:val="single" w:sz="4" w:space="0" w:color="000000"/>
              <w:right w:val="single" w:sz="4" w:space="0" w:color="000000"/>
            </w:tcBorders>
          </w:tcPr>
          <w:p>
            <w:pPr>
              <w:pStyle w:val="TableParagraph"/>
              <w:spacing w:before="155"/>
              <w:ind w:right="104"/>
              <w:jc w:val="right"/>
              <w:rPr>
                <w:sz w:val="18"/>
              </w:rPr>
            </w:pPr>
            <w:r>
              <w:rPr>
                <w:w w:val="99"/>
                <w:sz w:val="18"/>
              </w:rPr>
              <w:t>0</w:t>
            </w:r>
          </w:p>
        </w:tc>
        <w:tc>
          <w:tcPr>
            <w:tcW w:w="484" w:type="dxa"/>
            <w:tcBorders>
              <w:top w:val="single" w:sz="4" w:space="0" w:color="000000"/>
              <w:left w:val="single" w:sz="4" w:space="0" w:color="000000"/>
              <w:bottom w:val="single" w:sz="4" w:space="0" w:color="000000"/>
              <w:right w:val="single" w:sz="4" w:space="0" w:color="000000"/>
            </w:tcBorders>
          </w:tcPr>
          <w:p>
            <w:pPr>
              <w:pStyle w:val="TableParagraph"/>
              <w:spacing w:before="155"/>
              <w:ind w:left="117"/>
              <w:jc w:val="left"/>
              <w:rPr>
                <w:sz w:val="18"/>
              </w:rPr>
            </w:pPr>
            <w:r>
              <w:rPr>
                <w:sz w:val="18"/>
              </w:rPr>
              <w:t>16</w:t>
            </w:r>
          </w:p>
        </w:tc>
        <w:tc>
          <w:tcPr>
            <w:tcW w:w="395" w:type="dxa"/>
            <w:tcBorders>
              <w:top w:val="single" w:sz="4" w:space="0" w:color="000000"/>
              <w:left w:val="single" w:sz="4" w:space="0" w:color="000000"/>
              <w:bottom w:val="single" w:sz="4" w:space="0" w:color="000000"/>
              <w:right w:val="single" w:sz="4" w:space="0" w:color="000000"/>
            </w:tcBorders>
          </w:tcPr>
          <w:p>
            <w:pPr>
              <w:pStyle w:val="TableParagraph"/>
              <w:spacing w:before="155"/>
              <w:ind w:right="40"/>
              <w:rPr>
                <w:sz w:val="18"/>
              </w:rPr>
            </w:pPr>
            <w:r>
              <w:rPr>
                <w:w w:val="99"/>
                <w:sz w:val="18"/>
              </w:rPr>
              <w:t>0</w:t>
            </w:r>
          </w:p>
        </w:tc>
        <w:tc>
          <w:tcPr>
            <w:tcW w:w="426"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55"/>
              <w:ind w:left="10"/>
              <w:rPr>
                <w:sz w:val="18"/>
              </w:rPr>
            </w:pPr>
            <w:r>
              <w:rPr>
                <w:w w:val="99"/>
                <w:sz w:val="18"/>
              </w:rPr>
              <w:t>0</w:t>
            </w:r>
          </w:p>
        </w:tc>
        <w:tc>
          <w:tcPr>
            <w:tcW w:w="594"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50"/>
              <w:ind w:left="150"/>
              <w:jc w:val="left"/>
              <w:rPr>
                <w:b/>
                <w:sz w:val="18"/>
              </w:rPr>
            </w:pPr>
            <w:r>
              <w:rPr>
                <w:b/>
                <w:sz w:val="18"/>
              </w:rPr>
              <w:t>111</w:t>
            </w:r>
          </w:p>
        </w:tc>
      </w:tr>
      <w:tr>
        <w:trPr>
          <w:trHeight w:val="319" w:hRule="exact"/>
        </w:trPr>
        <w:tc>
          <w:tcPr>
            <w:tcW w:w="176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jc w:val="left"/>
              <w:rPr>
                <w:b/>
                <w:sz w:val="18"/>
              </w:rPr>
            </w:pPr>
            <w:r>
              <w:rPr>
                <w:b/>
                <w:sz w:val="18"/>
              </w:rPr>
              <w:t>TEOLOYUCAN</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8"/>
              <w:rPr>
                <w:sz w:val="18"/>
              </w:rPr>
            </w:pPr>
            <w:r>
              <w:rPr>
                <w:w w:val="99"/>
                <w:sz w:val="18"/>
              </w:rPr>
              <w:t>0</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9"/>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2"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49"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09"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2"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49"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0"/>
              <w:jc w:val="left"/>
              <w:rPr>
                <w:sz w:val="18"/>
              </w:rPr>
            </w:pPr>
            <w:r>
              <w:rPr>
                <w:sz w:val="18"/>
              </w:rPr>
              <w:t>36</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3</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0"/>
              <w:jc w:val="left"/>
              <w:rPr>
                <w:sz w:val="18"/>
              </w:rPr>
            </w:pPr>
            <w:r>
              <w:rPr>
                <w:sz w:val="18"/>
              </w:rPr>
              <w:t>59</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19"/>
              <w:jc w:val="right"/>
              <w:rPr>
                <w:sz w:val="18"/>
              </w:rPr>
            </w:pPr>
            <w:r>
              <w:rPr>
                <w:w w:val="95"/>
                <w:sz w:val="18"/>
              </w:rPr>
              <w:t>29</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2</w:t>
            </w:r>
          </w:p>
        </w:tc>
        <w:tc>
          <w:tcPr>
            <w:tcW w:w="31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04"/>
              <w:jc w:val="right"/>
              <w:rPr>
                <w:sz w:val="18"/>
              </w:rPr>
            </w:pPr>
            <w:r>
              <w:rPr>
                <w:w w:val="99"/>
                <w:sz w:val="18"/>
              </w:rPr>
              <w:t>0</w:t>
            </w:r>
          </w:p>
        </w:tc>
        <w:tc>
          <w:tcPr>
            <w:tcW w:w="48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0"/>
              <w:rPr>
                <w:sz w:val="18"/>
              </w:rPr>
            </w:pPr>
            <w:r>
              <w:rPr>
                <w:w w:val="99"/>
                <w:sz w:val="18"/>
              </w:rPr>
              <w:t>0</w:t>
            </w:r>
          </w:p>
        </w:tc>
        <w:tc>
          <w:tcPr>
            <w:tcW w:w="39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0"/>
              <w:rPr>
                <w:sz w:val="18"/>
              </w:rPr>
            </w:pPr>
            <w:r>
              <w:rPr>
                <w:w w:val="99"/>
                <w:sz w:val="18"/>
              </w:rPr>
              <w:t>0</w:t>
            </w:r>
          </w:p>
        </w:tc>
        <w:tc>
          <w:tcPr>
            <w:tcW w:w="426"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
              <w:rPr>
                <w:sz w:val="18"/>
              </w:rPr>
            </w:pPr>
            <w:r>
              <w:rPr>
                <w:w w:val="99"/>
                <w:sz w:val="18"/>
              </w:rPr>
              <w:t>0</w:t>
            </w:r>
          </w:p>
        </w:tc>
        <w:tc>
          <w:tcPr>
            <w:tcW w:w="59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50"/>
              <w:jc w:val="left"/>
              <w:rPr>
                <w:b/>
                <w:sz w:val="18"/>
              </w:rPr>
            </w:pPr>
            <w:r>
              <w:rPr>
                <w:b/>
                <w:sz w:val="18"/>
              </w:rPr>
              <w:t>129</w:t>
            </w:r>
          </w:p>
        </w:tc>
      </w:tr>
      <w:tr>
        <w:trPr>
          <w:trHeight w:val="322" w:hRule="exact"/>
        </w:trPr>
        <w:tc>
          <w:tcPr>
            <w:tcW w:w="176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jc w:val="left"/>
              <w:rPr>
                <w:b/>
                <w:sz w:val="18"/>
              </w:rPr>
            </w:pPr>
            <w:r>
              <w:rPr>
                <w:b/>
                <w:sz w:val="18"/>
              </w:rPr>
              <w:t>TEOTIHUACAN</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8"/>
              <w:rPr>
                <w:sz w:val="18"/>
              </w:rPr>
            </w:pPr>
            <w:r>
              <w:rPr>
                <w:w w:val="99"/>
                <w:sz w:val="18"/>
              </w:rPr>
              <w:t>0</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9"/>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2"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49"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09"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51"/>
              <w:jc w:val="left"/>
              <w:rPr>
                <w:sz w:val="18"/>
              </w:rPr>
            </w:pPr>
            <w:r>
              <w:rPr>
                <w:sz w:val="18"/>
              </w:rPr>
              <w:t>48</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71"/>
              <w:jc w:val="left"/>
              <w:rPr>
                <w:sz w:val="18"/>
              </w:rPr>
            </w:pPr>
            <w:r>
              <w:rPr>
                <w:sz w:val="18"/>
              </w:rPr>
              <w:t>112</w:t>
            </w:r>
          </w:p>
        </w:tc>
        <w:tc>
          <w:tcPr>
            <w:tcW w:w="452"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49"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0"/>
              <w:jc w:val="left"/>
              <w:rPr>
                <w:sz w:val="18"/>
              </w:rPr>
            </w:pPr>
            <w:r>
              <w:rPr>
                <w:sz w:val="18"/>
              </w:rPr>
              <w:t>77</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2"/>
              <w:jc w:val="left"/>
              <w:rPr>
                <w:sz w:val="18"/>
              </w:rPr>
            </w:pPr>
            <w:r>
              <w:rPr>
                <w:sz w:val="18"/>
              </w:rPr>
              <w:t>83</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jc w:val="left"/>
              <w:rPr>
                <w:sz w:val="18"/>
              </w:rPr>
            </w:pPr>
            <w:r>
              <w:rPr>
                <w:sz w:val="18"/>
              </w:rPr>
              <w:t>121</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72"/>
              <w:jc w:val="left"/>
              <w:rPr>
                <w:sz w:val="18"/>
              </w:rPr>
            </w:pPr>
            <w:r>
              <w:rPr>
                <w:sz w:val="18"/>
              </w:rPr>
              <w:t>100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19"/>
              <w:jc w:val="right"/>
              <w:rPr>
                <w:sz w:val="18"/>
              </w:rPr>
            </w:pPr>
            <w:r>
              <w:rPr>
                <w:w w:val="95"/>
                <w:sz w:val="18"/>
              </w:rPr>
              <w:t>41</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71"/>
              <w:jc w:val="left"/>
              <w:rPr>
                <w:sz w:val="18"/>
              </w:rPr>
            </w:pPr>
            <w:r>
              <w:rPr>
                <w:sz w:val="18"/>
              </w:rPr>
              <w:t>119</w:t>
            </w:r>
          </w:p>
        </w:tc>
        <w:tc>
          <w:tcPr>
            <w:tcW w:w="31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04"/>
              <w:jc w:val="right"/>
              <w:rPr>
                <w:sz w:val="18"/>
              </w:rPr>
            </w:pPr>
            <w:r>
              <w:rPr>
                <w:w w:val="99"/>
                <w:sz w:val="18"/>
              </w:rPr>
              <w:t>1</w:t>
            </w:r>
          </w:p>
        </w:tc>
        <w:tc>
          <w:tcPr>
            <w:tcW w:w="48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0"/>
              <w:rPr>
                <w:sz w:val="18"/>
              </w:rPr>
            </w:pPr>
            <w:r>
              <w:rPr>
                <w:w w:val="99"/>
                <w:sz w:val="18"/>
              </w:rPr>
              <w:t>2</w:t>
            </w:r>
          </w:p>
        </w:tc>
        <w:tc>
          <w:tcPr>
            <w:tcW w:w="39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0"/>
              <w:rPr>
                <w:sz w:val="18"/>
              </w:rPr>
            </w:pPr>
            <w:r>
              <w:rPr>
                <w:w w:val="99"/>
                <w:sz w:val="18"/>
              </w:rPr>
              <w:t>6</w:t>
            </w:r>
          </w:p>
        </w:tc>
        <w:tc>
          <w:tcPr>
            <w:tcW w:w="426"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
              <w:rPr>
                <w:sz w:val="18"/>
              </w:rPr>
            </w:pPr>
            <w:r>
              <w:rPr>
                <w:w w:val="99"/>
                <w:sz w:val="18"/>
              </w:rPr>
              <w:t>1</w:t>
            </w:r>
          </w:p>
        </w:tc>
        <w:tc>
          <w:tcPr>
            <w:tcW w:w="59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50"/>
              <w:jc w:val="left"/>
              <w:rPr>
                <w:b/>
                <w:sz w:val="18"/>
              </w:rPr>
            </w:pPr>
            <w:r>
              <w:rPr>
                <w:b/>
                <w:sz w:val="18"/>
              </w:rPr>
              <w:t>712</w:t>
            </w:r>
          </w:p>
        </w:tc>
      </w:tr>
      <w:tr>
        <w:trPr>
          <w:trHeight w:val="319" w:hRule="exact"/>
        </w:trPr>
        <w:tc>
          <w:tcPr>
            <w:tcW w:w="176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jc w:val="left"/>
              <w:rPr>
                <w:b/>
                <w:sz w:val="18"/>
              </w:rPr>
            </w:pPr>
            <w:r>
              <w:rPr>
                <w:b/>
                <w:sz w:val="18"/>
              </w:rPr>
              <w:t>TEPETLAOXTOC</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8"/>
              <w:rPr>
                <w:sz w:val="18"/>
              </w:rPr>
            </w:pPr>
            <w:r>
              <w:rPr>
                <w:w w:val="99"/>
                <w:sz w:val="18"/>
              </w:rPr>
              <w:t>0</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9"/>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2"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49"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09"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2"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49"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31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04"/>
              <w:jc w:val="right"/>
              <w:rPr>
                <w:sz w:val="18"/>
              </w:rPr>
            </w:pPr>
            <w:r>
              <w:rPr>
                <w:w w:val="99"/>
                <w:sz w:val="18"/>
              </w:rPr>
              <w:t>0</w:t>
            </w:r>
          </w:p>
        </w:tc>
        <w:tc>
          <w:tcPr>
            <w:tcW w:w="48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0"/>
              <w:rPr>
                <w:sz w:val="18"/>
              </w:rPr>
            </w:pPr>
            <w:r>
              <w:rPr>
                <w:w w:val="99"/>
                <w:sz w:val="18"/>
              </w:rPr>
              <w:t>3</w:t>
            </w:r>
          </w:p>
        </w:tc>
        <w:tc>
          <w:tcPr>
            <w:tcW w:w="39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0"/>
              <w:rPr>
                <w:sz w:val="18"/>
              </w:rPr>
            </w:pPr>
            <w:r>
              <w:rPr>
                <w:w w:val="99"/>
                <w:sz w:val="18"/>
              </w:rPr>
              <w:t>0</w:t>
            </w:r>
          </w:p>
        </w:tc>
        <w:tc>
          <w:tcPr>
            <w:tcW w:w="426"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
              <w:rPr>
                <w:sz w:val="18"/>
              </w:rPr>
            </w:pPr>
            <w:r>
              <w:rPr>
                <w:w w:val="99"/>
                <w:sz w:val="18"/>
              </w:rPr>
              <w:t>0</w:t>
            </w:r>
          </w:p>
        </w:tc>
        <w:tc>
          <w:tcPr>
            <w:tcW w:w="59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
              <w:rPr>
                <w:b/>
                <w:sz w:val="18"/>
              </w:rPr>
            </w:pPr>
            <w:r>
              <w:rPr>
                <w:b/>
                <w:w w:val="99"/>
                <w:sz w:val="18"/>
              </w:rPr>
              <w:t>3</w:t>
            </w:r>
          </w:p>
        </w:tc>
      </w:tr>
      <w:tr>
        <w:trPr>
          <w:trHeight w:val="322" w:hRule="exact"/>
        </w:trPr>
        <w:tc>
          <w:tcPr>
            <w:tcW w:w="176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jc w:val="left"/>
              <w:rPr>
                <w:b/>
                <w:sz w:val="18"/>
              </w:rPr>
            </w:pPr>
            <w:r>
              <w:rPr>
                <w:b/>
                <w:sz w:val="18"/>
              </w:rPr>
              <w:t>TEPETLIXPA</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8"/>
              <w:rPr>
                <w:sz w:val="18"/>
              </w:rPr>
            </w:pPr>
            <w:r>
              <w:rPr>
                <w:w w:val="99"/>
                <w:sz w:val="18"/>
              </w:rPr>
              <w:t>0</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9"/>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2"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49"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09"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2"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49"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31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04"/>
              <w:jc w:val="right"/>
              <w:rPr>
                <w:sz w:val="18"/>
              </w:rPr>
            </w:pPr>
            <w:r>
              <w:rPr>
                <w:w w:val="99"/>
                <w:sz w:val="18"/>
              </w:rPr>
              <w:t>0</w:t>
            </w:r>
          </w:p>
        </w:tc>
        <w:tc>
          <w:tcPr>
            <w:tcW w:w="48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0"/>
              <w:rPr>
                <w:sz w:val="18"/>
              </w:rPr>
            </w:pPr>
            <w:r>
              <w:rPr>
                <w:w w:val="99"/>
                <w:sz w:val="18"/>
              </w:rPr>
              <w:t>0</w:t>
            </w:r>
          </w:p>
        </w:tc>
        <w:tc>
          <w:tcPr>
            <w:tcW w:w="39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0"/>
              <w:rPr>
                <w:sz w:val="18"/>
              </w:rPr>
            </w:pPr>
            <w:r>
              <w:rPr>
                <w:w w:val="99"/>
                <w:sz w:val="18"/>
              </w:rPr>
              <w:t>0</w:t>
            </w:r>
          </w:p>
        </w:tc>
        <w:tc>
          <w:tcPr>
            <w:tcW w:w="426"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
              <w:rPr>
                <w:sz w:val="18"/>
              </w:rPr>
            </w:pPr>
            <w:r>
              <w:rPr>
                <w:w w:val="99"/>
                <w:sz w:val="18"/>
              </w:rPr>
              <w:t>0</w:t>
            </w:r>
          </w:p>
        </w:tc>
        <w:tc>
          <w:tcPr>
            <w:tcW w:w="59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
              <w:rPr>
                <w:b/>
                <w:sz w:val="18"/>
              </w:rPr>
            </w:pPr>
            <w:r>
              <w:rPr>
                <w:b/>
                <w:w w:val="99"/>
                <w:sz w:val="18"/>
              </w:rPr>
              <w:t>0</w:t>
            </w:r>
          </w:p>
        </w:tc>
      </w:tr>
      <w:tr>
        <w:trPr>
          <w:trHeight w:val="319" w:hRule="exact"/>
        </w:trPr>
        <w:tc>
          <w:tcPr>
            <w:tcW w:w="176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jc w:val="left"/>
              <w:rPr>
                <w:b/>
                <w:sz w:val="18"/>
              </w:rPr>
            </w:pPr>
            <w:r>
              <w:rPr>
                <w:b/>
                <w:sz w:val="18"/>
              </w:rPr>
              <w:t>TEPOTZOTLAN</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8"/>
              <w:rPr>
                <w:sz w:val="18"/>
              </w:rPr>
            </w:pPr>
            <w:r>
              <w:rPr>
                <w:w w:val="99"/>
                <w:sz w:val="18"/>
              </w:rPr>
              <w:t>0</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9"/>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2"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49"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09"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2"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49"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0"/>
              <w:jc w:val="left"/>
              <w:rPr>
                <w:sz w:val="18"/>
              </w:rPr>
            </w:pPr>
            <w:r>
              <w:rPr>
                <w:sz w:val="18"/>
              </w:rPr>
              <w:t>97</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19"/>
              <w:jc w:val="right"/>
              <w:rPr>
                <w:sz w:val="18"/>
              </w:rPr>
            </w:pPr>
            <w:r>
              <w:rPr>
                <w:w w:val="95"/>
                <w:sz w:val="18"/>
              </w:rPr>
              <w:t>45</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1</w:t>
            </w:r>
          </w:p>
        </w:tc>
        <w:tc>
          <w:tcPr>
            <w:tcW w:w="31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04"/>
              <w:jc w:val="right"/>
              <w:rPr>
                <w:sz w:val="18"/>
              </w:rPr>
            </w:pPr>
            <w:r>
              <w:rPr>
                <w:w w:val="99"/>
                <w:sz w:val="18"/>
              </w:rPr>
              <w:t>0</w:t>
            </w:r>
          </w:p>
        </w:tc>
        <w:tc>
          <w:tcPr>
            <w:tcW w:w="48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0"/>
              <w:rPr>
                <w:sz w:val="18"/>
              </w:rPr>
            </w:pPr>
            <w:r>
              <w:rPr>
                <w:w w:val="99"/>
                <w:sz w:val="18"/>
              </w:rPr>
              <w:t>2</w:t>
            </w:r>
          </w:p>
        </w:tc>
        <w:tc>
          <w:tcPr>
            <w:tcW w:w="39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0"/>
              <w:rPr>
                <w:sz w:val="18"/>
              </w:rPr>
            </w:pPr>
            <w:r>
              <w:rPr>
                <w:w w:val="99"/>
                <w:sz w:val="18"/>
              </w:rPr>
              <w:t>0</w:t>
            </w:r>
          </w:p>
        </w:tc>
        <w:tc>
          <w:tcPr>
            <w:tcW w:w="426"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
              <w:rPr>
                <w:sz w:val="18"/>
              </w:rPr>
            </w:pPr>
            <w:r>
              <w:rPr>
                <w:w w:val="99"/>
                <w:sz w:val="18"/>
              </w:rPr>
              <w:t>0</w:t>
            </w:r>
          </w:p>
        </w:tc>
        <w:tc>
          <w:tcPr>
            <w:tcW w:w="59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50"/>
              <w:jc w:val="left"/>
              <w:rPr>
                <w:b/>
                <w:sz w:val="18"/>
              </w:rPr>
            </w:pPr>
            <w:r>
              <w:rPr>
                <w:b/>
                <w:sz w:val="18"/>
              </w:rPr>
              <w:t>146</w:t>
            </w:r>
          </w:p>
        </w:tc>
      </w:tr>
      <w:tr>
        <w:trPr>
          <w:trHeight w:val="322" w:hRule="exact"/>
        </w:trPr>
        <w:tc>
          <w:tcPr>
            <w:tcW w:w="1762"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2"/>
              <w:jc w:val="left"/>
              <w:rPr>
                <w:b/>
                <w:sz w:val="18"/>
              </w:rPr>
            </w:pPr>
            <w:r>
              <w:rPr>
                <w:b/>
                <w:sz w:val="18"/>
              </w:rPr>
              <w:t>TEQUIXQUIAC</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
              <w:ind w:left="8"/>
              <w:rPr>
                <w:sz w:val="18"/>
              </w:rPr>
            </w:pPr>
            <w:r>
              <w:rPr>
                <w:w w:val="99"/>
                <w:sz w:val="18"/>
              </w:rPr>
              <w:t>0</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1"/>
              <w:ind w:left="179"/>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
              <w:ind w:left="170"/>
              <w:jc w:val="left"/>
              <w:rPr>
                <w:sz w:val="18"/>
              </w:rPr>
            </w:pPr>
            <w:r>
              <w:rPr>
                <w:w w:val="99"/>
                <w:sz w:val="18"/>
              </w:rPr>
              <w:t>0</w:t>
            </w:r>
          </w:p>
        </w:tc>
        <w:tc>
          <w:tcPr>
            <w:tcW w:w="452"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
              <w:ind w:left="4"/>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
              <w:ind w:lef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49"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
              <w:ind w:lef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509"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
              <w:ind w:left="4"/>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
              <w:ind w:left="4"/>
              <w:rPr>
                <w:sz w:val="18"/>
              </w:rPr>
            </w:pPr>
            <w:r>
              <w:rPr>
                <w:w w:val="99"/>
                <w:sz w:val="18"/>
              </w:rPr>
              <w:t>0</w:t>
            </w:r>
          </w:p>
        </w:tc>
        <w:tc>
          <w:tcPr>
            <w:tcW w:w="452"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49"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
              <w:ind w:left="4"/>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
              <w:ind w:right="169"/>
              <w:jc w:val="righ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1"/>
              <w:ind w:left="172"/>
              <w:jc w:val="left"/>
              <w:rPr>
                <w:sz w:val="18"/>
              </w:rPr>
            </w:pPr>
            <w:r>
              <w:rPr>
                <w:w w:val="99"/>
                <w:sz w:val="18"/>
              </w:rPr>
              <w:t>0</w:t>
            </w:r>
          </w:p>
        </w:tc>
        <w:tc>
          <w:tcPr>
            <w:tcW w:w="319" w:type="dxa"/>
            <w:tcBorders>
              <w:top w:val="single" w:sz="4" w:space="0" w:color="000000"/>
              <w:left w:val="single" w:sz="4" w:space="0" w:color="000000"/>
              <w:bottom w:val="single" w:sz="4" w:space="0" w:color="000000"/>
              <w:right w:val="single" w:sz="4" w:space="0" w:color="000000"/>
            </w:tcBorders>
          </w:tcPr>
          <w:p>
            <w:pPr>
              <w:pStyle w:val="TableParagraph"/>
              <w:spacing w:before="1"/>
              <w:ind w:right="104"/>
              <w:jc w:val="right"/>
              <w:rPr>
                <w:sz w:val="18"/>
              </w:rPr>
            </w:pPr>
            <w:r>
              <w:rPr>
                <w:w w:val="99"/>
                <w:sz w:val="18"/>
              </w:rPr>
              <w:t>0</w:t>
            </w:r>
          </w:p>
        </w:tc>
        <w:tc>
          <w:tcPr>
            <w:tcW w:w="484" w:type="dxa"/>
            <w:tcBorders>
              <w:top w:val="single" w:sz="4" w:space="0" w:color="000000"/>
              <w:left w:val="single" w:sz="4" w:space="0" w:color="000000"/>
              <w:bottom w:val="single" w:sz="4" w:space="0" w:color="000000"/>
              <w:right w:val="single" w:sz="4" w:space="0" w:color="000000"/>
            </w:tcBorders>
          </w:tcPr>
          <w:p>
            <w:pPr>
              <w:pStyle w:val="TableParagraph"/>
              <w:spacing w:before="1"/>
              <w:ind w:right="40"/>
              <w:rPr>
                <w:sz w:val="18"/>
              </w:rPr>
            </w:pPr>
            <w:r>
              <w:rPr>
                <w:w w:val="99"/>
                <w:sz w:val="18"/>
              </w:rPr>
              <w:t>0</w:t>
            </w:r>
          </w:p>
        </w:tc>
        <w:tc>
          <w:tcPr>
            <w:tcW w:w="395" w:type="dxa"/>
            <w:tcBorders>
              <w:top w:val="single" w:sz="4" w:space="0" w:color="000000"/>
              <w:left w:val="single" w:sz="4" w:space="0" w:color="000000"/>
              <w:bottom w:val="single" w:sz="4" w:space="0" w:color="000000"/>
              <w:right w:val="single" w:sz="4" w:space="0" w:color="000000"/>
            </w:tcBorders>
          </w:tcPr>
          <w:p>
            <w:pPr>
              <w:pStyle w:val="TableParagraph"/>
              <w:spacing w:before="1"/>
              <w:ind w:right="40"/>
              <w:rPr>
                <w:sz w:val="18"/>
              </w:rPr>
            </w:pPr>
            <w:r>
              <w:rPr>
                <w:w w:val="99"/>
                <w:sz w:val="18"/>
              </w:rPr>
              <w:t>0</w:t>
            </w:r>
          </w:p>
        </w:tc>
        <w:tc>
          <w:tcPr>
            <w:tcW w:w="426"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
              <w:ind w:left="10"/>
              <w:rPr>
                <w:sz w:val="18"/>
              </w:rPr>
            </w:pPr>
            <w:r>
              <w:rPr>
                <w:w w:val="99"/>
                <w:sz w:val="18"/>
              </w:rPr>
              <w:t>0</w:t>
            </w:r>
          </w:p>
        </w:tc>
        <w:tc>
          <w:tcPr>
            <w:tcW w:w="59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12"/>
              <w:rPr>
                <w:b/>
                <w:sz w:val="18"/>
              </w:rPr>
            </w:pPr>
            <w:r>
              <w:rPr>
                <w:b/>
                <w:w w:val="99"/>
                <w:sz w:val="18"/>
              </w:rPr>
              <w:t>0</w:t>
            </w:r>
          </w:p>
        </w:tc>
      </w:tr>
      <w:tr>
        <w:trPr>
          <w:trHeight w:val="322" w:hRule="exact"/>
        </w:trPr>
        <w:tc>
          <w:tcPr>
            <w:tcW w:w="176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2"/>
              <w:jc w:val="left"/>
              <w:rPr>
                <w:b/>
                <w:sz w:val="18"/>
              </w:rPr>
            </w:pPr>
            <w:r>
              <w:rPr>
                <w:b/>
                <w:sz w:val="18"/>
              </w:rPr>
              <w:t>TEXCALTITL�N</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8"/>
              <w:rPr>
                <w:sz w:val="18"/>
              </w:rPr>
            </w:pPr>
            <w:r>
              <w:rPr>
                <w:w w:val="99"/>
                <w:sz w:val="18"/>
              </w:rPr>
              <w:t>0</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9"/>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2"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49"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09"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2"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49"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31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04"/>
              <w:jc w:val="right"/>
              <w:rPr>
                <w:sz w:val="18"/>
              </w:rPr>
            </w:pPr>
            <w:r>
              <w:rPr>
                <w:w w:val="99"/>
                <w:sz w:val="18"/>
              </w:rPr>
              <w:t>0</w:t>
            </w:r>
          </w:p>
        </w:tc>
        <w:tc>
          <w:tcPr>
            <w:tcW w:w="48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0"/>
              <w:rPr>
                <w:sz w:val="18"/>
              </w:rPr>
            </w:pPr>
            <w:r>
              <w:rPr>
                <w:w w:val="99"/>
                <w:sz w:val="18"/>
              </w:rPr>
              <w:t>0</w:t>
            </w:r>
          </w:p>
        </w:tc>
        <w:tc>
          <w:tcPr>
            <w:tcW w:w="39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40"/>
              <w:rPr>
                <w:sz w:val="18"/>
              </w:rPr>
            </w:pPr>
            <w:r>
              <w:rPr>
                <w:w w:val="99"/>
                <w:sz w:val="18"/>
              </w:rPr>
              <w:t>0</w:t>
            </w:r>
          </w:p>
        </w:tc>
        <w:tc>
          <w:tcPr>
            <w:tcW w:w="426" w:type="dxa"/>
            <w:gridSpan w:val="2"/>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
              <w:rPr>
                <w:sz w:val="18"/>
              </w:rPr>
            </w:pPr>
            <w:r>
              <w:rPr>
                <w:w w:val="99"/>
                <w:sz w:val="18"/>
              </w:rPr>
              <w:t>0</w:t>
            </w:r>
          </w:p>
        </w:tc>
        <w:tc>
          <w:tcPr>
            <w:tcW w:w="594" w:type="dxa"/>
            <w:gridSpan w:val="2"/>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
              <w:rPr>
                <w:b/>
                <w:sz w:val="18"/>
              </w:rPr>
            </w:pPr>
            <w:r>
              <w:rPr>
                <w:b/>
                <w:w w:val="99"/>
                <w:sz w:val="18"/>
              </w:rPr>
              <w:t>0</w:t>
            </w:r>
          </w:p>
        </w:tc>
      </w:tr>
    </w:tbl>
    <w:p>
      <w:pPr>
        <w:spacing w:after="0" w:line="201" w:lineRule="exact"/>
        <w:rPr>
          <w:sz w:val="18"/>
        </w:rPr>
        <w:sectPr>
          <w:pgSz w:w="15840" w:h="12240" w:orient="landscape"/>
          <w:pgMar w:header="0" w:footer="975" w:top="1140" w:bottom="1160" w:left="1380" w:right="1140"/>
        </w:sectPr>
      </w:pPr>
    </w:p>
    <w:p>
      <w:pPr>
        <w:pStyle w:val="BodyText"/>
        <w:rPr>
          <w:rFonts w:ascii="Times New Roman"/>
          <w:sz w:val="20"/>
        </w:rPr>
      </w:pPr>
    </w:p>
    <w:p>
      <w:pPr>
        <w:pStyle w:val="BodyText"/>
        <w:spacing w:before="10"/>
        <w:rPr>
          <w:rFonts w:ascii="Times New Roman"/>
          <w:sz w:val="28"/>
        </w:rPr>
      </w:pPr>
    </w:p>
    <w:tbl>
      <w:tblPr>
        <w:tblW w:w="0" w:type="auto"/>
        <w:jc w:val="left"/>
        <w:tblInd w:w="1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606"/>
        <w:gridCol w:w="451"/>
        <w:gridCol w:w="451"/>
        <w:gridCol w:w="454"/>
        <w:gridCol w:w="451"/>
        <w:gridCol w:w="452"/>
        <w:gridCol w:w="454"/>
        <w:gridCol w:w="451"/>
        <w:gridCol w:w="451"/>
        <w:gridCol w:w="454"/>
        <w:gridCol w:w="538"/>
        <w:gridCol w:w="451"/>
        <w:gridCol w:w="451"/>
        <w:gridCol w:w="452"/>
        <w:gridCol w:w="451"/>
        <w:gridCol w:w="451"/>
        <w:gridCol w:w="451"/>
        <w:gridCol w:w="451"/>
        <w:gridCol w:w="451"/>
        <w:gridCol w:w="451"/>
        <w:gridCol w:w="449"/>
        <w:gridCol w:w="451"/>
        <w:gridCol w:w="451"/>
        <w:gridCol w:w="451"/>
        <w:gridCol w:w="451"/>
        <w:gridCol w:w="542"/>
      </w:tblGrid>
      <w:tr>
        <w:trPr>
          <w:trHeight w:val="330" w:hRule="exact"/>
        </w:trPr>
        <w:tc>
          <w:tcPr>
            <w:tcW w:w="13070" w:type="dxa"/>
            <w:gridSpan w:val="26"/>
            <w:shd w:val="clear" w:color="auto" w:fill="92D050"/>
          </w:tcPr>
          <w:p>
            <w:pPr>
              <w:pStyle w:val="TableParagraph"/>
              <w:spacing w:line="201" w:lineRule="exact"/>
              <w:ind w:left="2208"/>
              <w:jc w:val="left"/>
              <w:rPr>
                <w:b/>
                <w:sz w:val="18"/>
              </w:rPr>
            </w:pPr>
            <w:r>
              <w:rPr>
                <w:b/>
                <w:sz w:val="18"/>
              </w:rPr>
              <w:t>Anexo 21. Municipios que publican apartado de solicitudes de información 2008-2015 (Continuación)</w:t>
            </w:r>
          </w:p>
        </w:tc>
      </w:tr>
      <w:tr>
        <w:trPr>
          <w:trHeight w:val="330" w:hRule="exact"/>
        </w:trPr>
        <w:tc>
          <w:tcPr>
            <w:tcW w:w="1606" w:type="dxa"/>
            <w:vMerge w:val="restart"/>
            <w:tcBorders>
              <w:right w:val="single" w:sz="4" w:space="0" w:color="000000"/>
            </w:tcBorders>
            <w:shd w:val="clear" w:color="auto" w:fill="C5DFB3"/>
          </w:tcPr>
          <w:p>
            <w:pPr>
              <w:pStyle w:val="TableParagraph"/>
              <w:jc w:val="left"/>
              <w:rPr>
                <w:rFonts w:ascii="Times New Roman"/>
                <w:sz w:val="18"/>
              </w:rPr>
            </w:pPr>
          </w:p>
          <w:p>
            <w:pPr>
              <w:pStyle w:val="TableParagraph"/>
              <w:spacing w:before="2"/>
              <w:jc w:val="left"/>
              <w:rPr>
                <w:rFonts w:ascii="Times New Roman"/>
                <w:sz w:val="20"/>
              </w:rPr>
            </w:pPr>
          </w:p>
          <w:p>
            <w:pPr>
              <w:pStyle w:val="TableParagraph"/>
              <w:ind w:left="372"/>
              <w:jc w:val="left"/>
              <w:rPr>
                <w:b/>
                <w:sz w:val="18"/>
              </w:rPr>
            </w:pPr>
            <w:r>
              <w:rPr>
                <w:b/>
                <w:sz w:val="18"/>
              </w:rPr>
              <w:t>Municipio</w:t>
            </w:r>
          </w:p>
        </w:tc>
        <w:tc>
          <w:tcPr>
            <w:tcW w:w="1356" w:type="dxa"/>
            <w:gridSpan w:val="3"/>
            <w:tcBorders>
              <w:top w:val="single" w:sz="4" w:space="0" w:color="000000"/>
              <w:left w:val="single" w:sz="4" w:space="0" w:color="000000"/>
              <w:right w:val="single" w:sz="4" w:space="0" w:color="000000"/>
            </w:tcBorders>
            <w:shd w:val="clear" w:color="auto" w:fill="D7E3BB"/>
          </w:tcPr>
          <w:p>
            <w:pPr>
              <w:pStyle w:val="TableParagraph"/>
              <w:ind w:left="454" w:right="452"/>
              <w:rPr>
                <w:b/>
                <w:sz w:val="18"/>
              </w:rPr>
            </w:pPr>
            <w:r>
              <w:rPr>
                <w:b/>
                <w:sz w:val="18"/>
              </w:rPr>
              <w:t>2008</w:t>
            </w:r>
          </w:p>
        </w:tc>
        <w:tc>
          <w:tcPr>
            <w:tcW w:w="1357" w:type="dxa"/>
            <w:gridSpan w:val="3"/>
            <w:tcBorders>
              <w:top w:val="single" w:sz="4" w:space="0" w:color="000000"/>
              <w:left w:val="single" w:sz="4" w:space="0" w:color="000000"/>
              <w:right w:val="single" w:sz="4" w:space="0" w:color="000000"/>
            </w:tcBorders>
            <w:shd w:val="clear" w:color="auto" w:fill="D7E3BB"/>
          </w:tcPr>
          <w:p>
            <w:pPr>
              <w:pStyle w:val="TableParagraph"/>
              <w:ind w:left="453" w:right="452"/>
              <w:rPr>
                <w:b/>
                <w:sz w:val="18"/>
              </w:rPr>
            </w:pPr>
            <w:r>
              <w:rPr>
                <w:b/>
                <w:sz w:val="18"/>
              </w:rPr>
              <w:t>2009</w:t>
            </w:r>
          </w:p>
        </w:tc>
        <w:tc>
          <w:tcPr>
            <w:tcW w:w="1356" w:type="dxa"/>
            <w:gridSpan w:val="3"/>
            <w:tcBorders>
              <w:top w:val="single" w:sz="4" w:space="0" w:color="000000"/>
              <w:left w:val="single" w:sz="4" w:space="0" w:color="000000"/>
              <w:right w:val="single" w:sz="4" w:space="0" w:color="000000"/>
            </w:tcBorders>
            <w:shd w:val="clear" w:color="auto" w:fill="D7E3BB"/>
          </w:tcPr>
          <w:p>
            <w:pPr>
              <w:pStyle w:val="TableParagraph"/>
              <w:ind w:left="454" w:right="452"/>
              <w:rPr>
                <w:b/>
                <w:sz w:val="18"/>
              </w:rPr>
            </w:pPr>
            <w:r>
              <w:rPr>
                <w:b/>
                <w:sz w:val="18"/>
              </w:rPr>
              <w:t>2010</w:t>
            </w:r>
          </w:p>
        </w:tc>
        <w:tc>
          <w:tcPr>
            <w:tcW w:w="1440" w:type="dxa"/>
            <w:gridSpan w:val="3"/>
            <w:tcBorders>
              <w:top w:val="single" w:sz="4" w:space="0" w:color="000000"/>
              <w:left w:val="single" w:sz="4" w:space="0" w:color="000000"/>
              <w:right w:val="single" w:sz="4" w:space="0" w:color="000000"/>
            </w:tcBorders>
            <w:shd w:val="clear" w:color="auto" w:fill="D7E3BB"/>
          </w:tcPr>
          <w:p>
            <w:pPr>
              <w:pStyle w:val="TableParagraph"/>
              <w:ind w:left="495" w:right="495"/>
              <w:rPr>
                <w:b/>
                <w:sz w:val="18"/>
              </w:rPr>
            </w:pPr>
            <w:r>
              <w:rPr>
                <w:b/>
                <w:sz w:val="18"/>
              </w:rPr>
              <w:t>2011</w:t>
            </w:r>
          </w:p>
        </w:tc>
        <w:tc>
          <w:tcPr>
            <w:tcW w:w="1354" w:type="dxa"/>
            <w:gridSpan w:val="3"/>
            <w:tcBorders>
              <w:top w:val="single" w:sz="4" w:space="0" w:color="000000"/>
              <w:left w:val="single" w:sz="4" w:space="0" w:color="000000"/>
              <w:right w:val="single" w:sz="4" w:space="0" w:color="000000"/>
            </w:tcBorders>
            <w:shd w:val="clear" w:color="auto" w:fill="D7E3BB"/>
          </w:tcPr>
          <w:p>
            <w:pPr>
              <w:pStyle w:val="TableParagraph"/>
              <w:ind w:left="454" w:right="449"/>
              <w:rPr>
                <w:b/>
                <w:sz w:val="18"/>
              </w:rPr>
            </w:pPr>
            <w:r>
              <w:rPr>
                <w:b/>
                <w:sz w:val="18"/>
              </w:rPr>
              <w:t>2012</w:t>
            </w:r>
          </w:p>
        </w:tc>
        <w:tc>
          <w:tcPr>
            <w:tcW w:w="1354" w:type="dxa"/>
            <w:gridSpan w:val="3"/>
            <w:tcBorders>
              <w:top w:val="single" w:sz="4" w:space="0" w:color="000000"/>
              <w:left w:val="single" w:sz="4" w:space="0" w:color="000000"/>
              <w:right w:val="single" w:sz="4" w:space="0" w:color="000000"/>
            </w:tcBorders>
            <w:shd w:val="clear" w:color="auto" w:fill="D7E3BB"/>
          </w:tcPr>
          <w:p>
            <w:pPr>
              <w:pStyle w:val="TableParagraph"/>
              <w:ind w:left="449" w:right="449"/>
              <w:rPr>
                <w:b/>
                <w:sz w:val="18"/>
              </w:rPr>
            </w:pPr>
            <w:r>
              <w:rPr>
                <w:b/>
                <w:sz w:val="18"/>
              </w:rPr>
              <w:t>2013</w:t>
            </w:r>
          </w:p>
        </w:tc>
        <w:tc>
          <w:tcPr>
            <w:tcW w:w="1352" w:type="dxa"/>
            <w:gridSpan w:val="3"/>
            <w:tcBorders>
              <w:top w:val="single" w:sz="4" w:space="0" w:color="000000"/>
              <w:left w:val="single" w:sz="4" w:space="0" w:color="000000"/>
              <w:right w:val="single" w:sz="4" w:space="0" w:color="000000"/>
            </w:tcBorders>
            <w:shd w:val="clear" w:color="auto" w:fill="D7E3BB"/>
          </w:tcPr>
          <w:p>
            <w:pPr>
              <w:pStyle w:val="TableParagraph"/>
              <w:ind w:left="451" w:right="450"/>
              <w:rPr>
                <w:b/>
                <w:sz w:val="18"/>
              </w:rPr>
            </w:pPr>
            <w:r>
              <w:rPr>
                <w:b/>
                <w:sz w:val="18"/>
              </w:rPr>
              <w:t>2014</w:t>
            </w:r>
          </w:p>
        </w:tc>
        <w:tc>
          <w:tcPr>
            <w:tcW w:w="1354" w:type="dxa"/>
            <w:gridSpan w:val="3"/>
            <w:tcBorders>
              <w:top w:val="single" w:sz="4" w:space="0" w:color="000000"/>
              <w:left w:val="single" w:sz="4" w:space="0" w:color="000000"/>
              <w:right w:val="single" w:sz="4" w:space="0" w:color="000000"/>
            </w:tcBorders>
            <w:shd w:val="clear" w:color="auto" w:fill="D7E3BB"/>
          </w:tcPr>
          <w:p>
            <w:pPr>
              <w:pStyle w:val="TableParagraph"/>
              <w:ind w:left="451" w:right="447"/>
              <w:rPr>
                <w:b/>
                <w:sz w:val="18"/>
              </w:rPr>
            </w:pPr>
            <w:r>
              <w:rPr>
                <w:b/>
                <w:sz w:val="18"/>
              </w:rPr>
              <w:t>2015</w:t>
            </w:r>
          </w:p>
        </w:tc>
        <w:tc>
          <w:tcPr>
            <w:tcW w:w="542" w:type="dxa"/>
            <w:vMerge w:val="restart"/>
            <w:tcBorders>
              <w:top w:val="single" w:sz="4" w:space="0" w:color="000000"/>
              <w:left w:val="single" w:sz="4" w:space="0" w:color="000000"/>
            </w:tcBorders>
            <w:shd w:val="clear" w:color="auto" w:fill="D7E3BB"/>
            <w:textDirection w:val="btLr"/>
          </w:tcPr>
          <w:p>
            <w:pPr>
              <w:pStyle w:val="TableParagraph"/>
              <w:spacing w:before="107"/>
              <w:ind w:left="112"/>
              <w:jc w:val="left"/>
              <w:rPr>
                <w:b/>
                <w:sz w:val="18"/>
              </w:rPr>
            </w:pPr>
            <w:r>
              <w:rPr>
                <w:b/>
                <w:w w:val="100"/>
                <w:sz w:val="18"/>
              </w:rPr>
              <w:t>To</w:t>
            </w:r>
            <w:r>
              <w:rPr>
                <w:b/>
                <w:w w:val="99"/>
                <w:sz w:val="18"/>
              </w:rPr>
              <w:t>ta</w:t>
            </w:r>
            <w:r>
              <w:rPr>
                <w:b/>
                <w:w w:val="100"/>
                <w:sz w:val="18"/>
              </w:rPr>
              <w:t>l</w:t>
            </w:r>
          </w:p>
        </w:tc>
      </w:tr>
      <w:tr>
        <w:trPr>
          <w:trHeight w:val="886" w:hRule="exact"/>
        </w:trPr>
        <w:tc>
          <w:tcPr>
            <w:tcW w:w="1606" w:type="dxa"/>
            <w:vMerge/>
            <w:tcBorders>
              <w:bottom w:val="single" w:sz="4" w:space="0" w:color="000000"/>
              <w:right w:val="single" w:sz="4" w:space="0" w:color="000000"/>
            </w:tcBorders>
            <w:shd w:val="clear" w:color="auto" w:fill="C5DFB3"/>
          </w:tcPr>
          <w:p>
            <w:pPr/>
          </w:p>
        </w:tc>
        <w:tc>
          <w:tcPr>
            <w:tcW w:w="451"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1"/>
              <w:jc w:val="left"/>
              <w:rPr>
                <w:b/>
                <w:sz w:val="18"/>
              </w:rPr>
            </w:pPr>
            <w:r>
              <w:rPr>
                <w:b/>
                <w:w w:val="100"/>
                <w:sz w:val="18"/>
              </w:rPr>
              <w:t>SIP</w:t>
            </w:r>
          </w:p>
        </w:tc>
        <w:tc>
          <w:tcPr>
            <w:tcW w:w="451"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1"/>
              <w:jc w:val="left"/>
              <w:rPr>
                <w:b/>
                <w:sz w:val="18"/>
              </w:rPr>
            </w:pPr>
            <w:r>
              <w:rPr>
                <w:b/>
                <w:w w:val="99"/>
                <w:sz w:val="18"/>
              </w:rPr>
              <w:t>SA</w:t>
            </w:r>
            <w:r>
              <w:rPr>
                <w:b/>
                <w:spacing w:val="-1"/>
                <w:w w:val="99"/>
                <w:sz w:val="18"/>
              </w:rPr>
              <w:t>D</w:t>
            </w:r>
            <w:r>
              <w:rPr>
                <w:b/>
                <w:w w:val="100"/>
                <w:sz w:val="18"/>
              </w:rPr>
              <w:t>P</w:t>
            </w:r>
          </w:p>
        </w:tc>
        <w:tc>
          <w:tcPr>
            <w:tcW w:w="454"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1"/>
              <w:jc w:val="left"/>
              <w:rPr>
                <w:b/>
                <w:sz w:val="18"/>
              </w:rPr>
            </w:pPr>
            <w:r>
              <w:rPr>
                <w:b/>
                <w:w w:val="100"/>
                <w:sz w:val="18"/>
              </w:rPr>
              <w:t>S</w:t>
            </w:r>
            <w:r>
              <w:rPr>
                <w:b/>
                <w:spacing w:val="-1"/>
                <w:w w:val="100"/>
                <w:sz w:val="18"/>
              </w:rPr>
              <w:t>O</w:t>
            </w:r>
            <w:r>
              <w:rPr>
                <w:b/>
                <w:w w:val="99"/>
                <w:sz w:val="18"/>
              </w:rPr>
              <w:t>DP</w:t>
            </w:r>
          </w:p>
        </w:tc>
        <w:tc>
          <w:tcPr>
            <w:tcW w:w="451"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1"/>
              <w:jc w:val="left"/>
              <w:rPr>
                <w:b/>
                <w:sz w:val="18"/>
              </w:rPr>
            </w:pPr>
            <w:r>
              <w:rPr>
                <w:b/>
                <w:w w:val="100"/>
                <w:sz w:val="18"/>
              </w:rPr>
              <w:t>SIP</w:t>
            </w:r>
          </w:p>
        </w:tc>
        <w:tc>
          <w:tcPr>
            <w:tcW w:w="452"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1"/>
              <w:jc w:val="left"/>
              <w:rPr>
                <w:b/>
                <w:sz w:val="18"/>
              </w:rPr>
            </w:pPr>
            <w:r>
              <w:rPr>
                <w:b/>
                <w:w w:val="99"/>
                <w:sz w:val="18"/>
              </w:rPr>
              <w:t>SA</w:t>
            </w:r>
            <w:r>
              <w:rPr>
                <w:b/>
                <w:spacing w:val="-1"/>
                <w:w w:val="99"/>
                <w:sz w:val="18"/>
              </w:rPr>
              <w:t>D</w:t>
            </w:r>
            <w:r>
              <w:rPr>
                <w:b/>
                <w:w w:val="100"/>
                <w:sz w:val="18"/>
              </w:rPr>
              <w:t>P</w:t>
            </w:r>
          </w:p>
        </w:tc>
        <w:tc>
          <w:tcPr>
            <w:tcW w:w="454"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1"/>
              <w:jc w:val="left"/>
              <w:rPr>
                <w:b/>
                <w:sz w:val="18"/>
              </w:rPr>
            </w:pPr>
            <w:r>
              <w:rPr>
                <w:b/>
                <w:w w:val="100"/>
                <w:sz w:val="18"/>
              </w:rPr>
              <w:t>S</w:t>
            </w:r>
            <w:r>
              <w:rPr>
                <w:b/>
                <w:spacing w:val="-1"/>
                <w:w w:val="100"/>
                <w:sz w:val="18"/>
              </w:rPr>
              <w:t>O</w:t>
            </w:r>
            <w:r>
              <w:rPr>
                <w:b/>
                <w:w w:val="99"/>
                <w:sz w:val="18"/>
              </w:rPr>
              <w:t>DP</w:t>
            </w:r>
          </w:p>
        </w:tc>
        <w:tc>
          <w:tcPr>
            <w:tcW w:w="451"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1"/>
              <w:jc w:val="left"/>
              <w:rPr>
                <w:b/>
                <w:sz w:val="18"/>
              </w:rPr>
            </w:pPr>
            <w:r>
              <w:rPr>
                <w:b/>
                <w:w w:val="100"/>
                <w:sz w:val="18"/>
              </w:rPr>
              <w:t>SIP</w:t>
            </w:r>
          </w:p>
        </w:tc>
        <w:tc>
          <w:tcPr>
            <w:tcW w:w="451"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1"/>
              <w:jc w:val="left"/>
              <w:rPr>
                <w:b/>
                <w:sz w:val="18"/>
              </w:rPr>
            </w:pPr>
            <w:r>
              <w:rPr>
                <w:b/>
                <w:w w:val="99"/>
                <w:sz w:val="18"/>
              </w:rPr>
              <w:t>SA</w:t>
            </w:r>
            <w:r>
              <w:rPr>
                <w:b/>
                <w:spacing w:val="-1"/>
                <w:w w:val="99"/>
                <w:sz w:val="18"/>
              </w:rPr>
              <w:t>D</w:t>
            </w:r>
            <w:r>
              <w:rPr>
                <w:b/>
                <w:w w:val="100"/>
                <w:sz w:val="18"/>
              </w:rPr>
              <w:t>P</w:t>
            </w:r>
          </w:p>
        </w:tc>
        <w:tc>
          <w:tcPr>
            <w:tcW w:w="454"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1"/>
              <w:jc w:val="left"/>
              <w:rPr>
                <w:b/>
                <w:sz w:val="18"/>
              </w:rPr>
            </w:pPr>
            <w:r>
              <w:rPr>
                <w:b/>
                <w:w w:val="100"/>
                <w:sz w:val="18"/>
              </w:rPr>
              <w:t>S</w:t>
            </w:r>
            <w:r>
              <w:rPr>
                <w:b/>
                <w:spacing w:val="-1"/>
                <w:w w:val="100"/>
                <w:sz w:val="18"/>
              </w:rPr>
              <w:t>O</w:t>
            </w:r>
            <w:r>
              <w:rPr>
                <w:b/>
                <w:w w:val="99"/>
                <w:sz w:val="18"/>
              </w:rPr>
              <w:t>DP</w:t>
            </w:r>
          </w:p>
        </w:tc>
        <w:tc>
          <w:tcPr>
            <w:tcW w:w="538"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145"/>
              <w:ind w:left="-1"/>
              <w:jc w:val="left"/>
              <w:rPr>
                <w:b/>
                <w:sz w:val="18"/>
              </w:rPr>
            </w:pPr>
            <w:r>
              <w:rPr>
                <w:b/>
                <w:w w:val="100"/>
                <w:sz w:val="18"/>
              </w:rPr>
              <w:t>SIP</w:t>
            </w:r>
          </w:p>
        </w:tc>
        <w:tc>
          <w:tcPr>
            <w:tcW w:w="451"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1"/>
              <w:jc w:val="left"/>
              <w:rPr>
                <w:b/>
                <w:sz w:val="18"/>
              </w:rPr>
            </w:pPr>
            <w:r>
              <w:rPr>
                <w:b/>
                <w:w w:val="99"/>
                <w:sz w:val="18"/>
              </w:rPr>
              <w:t>SA</w:t>
            </w:r>
            <w:r>
              <w:rPr>
                <w:b/>
                <w:spacing w:val="-1"/>
                <w:w w:val="99"/>
                <w:sz w:val="18"/>
              </w:rPr>
              <w:t>D</w:t>
            </w:r>
            <w:r>
              <w:rPr>
                <w:b/>
                <w:w w:val="100"/>
                <w:sz w:val="18"/>
              </w:rPr>
              <w:t>P</w:t>
            </w:r>
          </w:p>
        </w:tc>
        <w:tc>
          <w:tcPr>
            <w:tcW w:w="451"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1"/>
              <w:jc w:val="left"/>
              <w:rPr>
                <w:b/>
                <w:sz w:val="18"/>
              </w:rPr>
            </w:pPr>
            <w:r>
              <w:rPr>
                <w:b/>
                <w:w w:val="100"/>
                <w:sz w:val="18"/>
              </w:rPr>
              <w:t>S</w:t>
            </w:r>
            <w:r>
              <w:rPr>
                <w:b/>
                <w:spacing w:val="-1"/>
                <w:w w:val="100"/>
                <w:sz w:val="18"/>
              </w:rPr>
              <w:t>O</w:t>
            </w:r>
            <w:r>
              <w:rPr>
                <w:b/>
                <w:w w:val="99"/>
                <w:sz w:val="18"/>
              </w:rPr>
              <w:t>DP</w:t>
            </w:r>
          </w:p>
        </w:tc>
        <w:tc>
          <w:tcPr>
            <w:tcW w:w="452"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1"/>
              <w:jc w:val="left"/>
              <w:rPr>
                <w:b/>
                <w:sz w:val="18"/>
              </w:rPr>
            </w:pPr>
            <w:r>
              <w:rPr>
                <w:b/>
                <w:w w:val="100"/>
                <w:sz w:val="18"/>
              </w:rPr>
              <w:t>SIP</w:t>
            </w:r>
          </w:p>
        </w:tc>
        <w:tc>
          <w:tcPr>
            <w:tcW w:w="451"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1"/>
              <w:jc w:val="left"/>
              <w:rPr>
                <w:b/>
                <w:sz w:val="18"/>
              </w:rPr>
            </w:pPr>
            <w:r>
              <w:rPr>
                <w:b/>
                <w:w w:val="99"/>
                <w:sz w:val="18"/>
              </w:rPr>
              <w:t>SA</w:t>
            </w:r>
            <w:r>
              <w:rPr>
                <w:b/>
                <w:spacing w:val="-1"/>
                <w:w w:val="99"/>
                <w:sz w:val="18"/>
              </w:rPr>
              <w:t>D</w:t>
            </w:r>
            <w:r>
              <w:rPr>
                <w:b/>
                <w:w w:val="100"/>
                <w:sz w:val="18"/>
              </w:rPr>
              <w:t>P</w:t>
            </w:r>
          </w:p>
        </w:tc>
        <w:tc>
          <w:tcPr>
            <w:tcW w:w="451"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1"/>
              <w:jc w:val="left"/>
              <w:rPr>
                <w:b/>
                <w:sz w:val="18"/>
              </w:rPr>
            </w:pPr>
            <w:r>
              <w:rPr>
                <w:b/>
                <w:w w:val="100"/>
                <w:sz w:val="18"/>
              </w:rPr>
              <w:t>S</w:t>
            </w:r>
            <w:r>
              <w:rPr>
                <w:b/>
                <w:spacing w:val="-1"/>
                <w:w w:val="100"/>
                <w:sz w:val="18"/>
              </w:rPr>
              <w:t>O</w:t>
            </w:r>
            <w:r>
              <w:rPr>
                <w:b/>
                <w:w w:val="99"/>
                <w:sz w:val="18"/>
              </w:rPr>
              <w:t>DP</w:t>
            </w:r>
          </w:p>
        </w:tc>
        <w:tc>
          <w:tcPr>
            <w:tcW w:w="451"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1"/>
              <w:jc w:val="left"/>
              <w:rPr>
                <w:b/>
                <w:sz w:val="18"/>
              </w:rPr>
            </w:pPr>
            <w:r>
              <w:rPr>
                <w:b/>
                <w:w w:val="100"/>
                <w:sz w:val="18"/>
              </w:rPr>
              <w:t>SIP</w:t>
            </w:r>
          </w:p>
        </w:tc>
        <w:tc>
          <w:tcPr>
            <w:tcW w:w="451"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1"/>
              <w:jc w:val="left"/>
              <w:rPr>
                <w:b/>
                <w:sz w:val="18"/>
              </w:rPr>
            </w:pPr>
            <w:r>
              <w:rPr>
                <w:b/>
                <w:w w:val="99"/>
                <w:sz w:val="18"/>
              </w:rPr>
              <w:t>SA</w:t>
            </w:r>
            <w:r>
              <w:rPr>
                <w:b/>
                <w:spacing w:val="-1"/>
                <w:w w:val="99"/>
                <w:sz w:val="18"/>
              </w:rPr>
              <w:t>D</w:t>
            </w:r>
            <w:r>
              <w:rPr>
                <w:b/>
                <w:w w:val="100"/>
                <w:sz w:val="18"/>
              </w:rPr>
              <w:t>P</w:t>
            </w:r>
          </w:p>
        </w:tc>
        <w:tc>
          <w:tcPr>
            <w:tcW w:w="451"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1"/>
              <w:jc w:val="left"/>
              <w:rPr>
                <w:b/>
                <w:sz w:val="18"/>
              </w:rPr>
            </w:pPr>
            <w:r>
              <w:rPr>
                <w:b/>
                <w:w w:val="100"/>
                <w:sz w:val="18"/>
              </w:rPr>
              <w:t>S</w:t>
            </w:r>
            <w:r>
              <w:rPr>
                <w:b/>
                <w:spacing w:val="-1"/>
                <w:w w:val="100"/>
                <w:sz w:val="18"/>
              </w:rPr>
              <w:t>O</w:t>
            </w:r>
            <w:r>
              <w:rPr>
                <w:b/>
                <w:w w:val="99"/>
                <w:sz w:val="18"/>
              </w:rPr>
              <w:t>DP</w:t>
            </w:r>
          </w:p>
        </w:tc>
        <w:tc>
          <w:tcPr>
            <w:tcW w:w="451"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1"/>
              <w:jc w:val="left"/>
              <w:rPr>
                <w:b/>
                <w:sz w:val="18"/>
              </w:rPr>
            </w:pPr>
            <w:r>
              <w:rPr>
                <w:b/>
                <w:w w:val="100"/>
                <w:sz w:val="18"/>
              </w:rPr>
              <w:t>SIP</w:t>
            </w:r>
          </w:p>
        </w:tc>
        <w:tc>
          <w:tcPr>
            <w:tcW w:w="449"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1"/>
              <w:jc w:val="left"/>
              <w:rPr>
                <w:b/>
                <w:sz w:val="18"/>
              </w:rPr>
            </w:pPr>
            <w:r>
              <w:rPr>
                <w:b/>
                <w:w w:val="99"/>
                <w:sz w:val="18"/>
              </w:rPr>
              <w:t>SA</w:t>
            </w:r>
            <w:r>
              <w:rPr>
                <w:b/>
                <w:spacing w:val="-1"/>
                <w:w w:val="99"/>
                <w:sz w:val="18"/>
              </w:rPr>
              <w:t>D</w:t>
            </w:r>
            <w:r>
              <w:rPr>
                <w:b/>
                <w:w w:val="100"/>
                <w:sz w:val="18"/>
              </w:rPr>
              <w:t>P</w:t>
            </w:r>
          </w:p>
        </w:tc>
        <w:tc>
          <w:tcPr>
            <w:tcW w:w="451"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1"/>
              <w:jc w:val="left"/>
              <w:rPr>
                <w:b/>
                <w:sz w:val="18"/>
              </w:rPr>
            </w:pPr>
            <w:r>
              <w:rPr>
                <w:b/>
                <w:w w:val="100"/>
                <w:sz w:val="18"/>
              </w:rPr>
              <w:t>S</w:t>
            </w:r>
            <w:r>
              <w:rPr>
                <w:b/>
                <w:spacing w:val="-1"/>
                <w:w w:val="100"/>
                <w:sz w:val="18"/>
              </w:rPr>
              <w:t>O</w:t>
            </w:r>
            <w:r>
              <w:rPr>
                <w:b/>
                <w:w w:val="99"/>
                <w:sz w:val="18"/>
              </w:rPr>
              <w:t>DP</w:t>
            </w:r>
          </w:p>
        </w:tc>
        <w:tc>
          <w:tcPr>
            <w:tcW w:w="451"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1"/>
              <w:jc w:val="left"/>
              <w:rPr>
                <w:b/>
                <w:sz w:val="18"/>
              </w:rPr>
            </w:pPr>
            <w:r>
              <w:rPr>
                <w:b/>
                <w:w w:val="100"/>
                <w:sz w:val="18"/>
              </w:rPr>
              <w:t>SIP</w:t>
            </w:r>
          </w:p>
        </w:tc>
        <w:tc>
          <w:tcPr>
            <w:tcW w:w="451"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1"/>
              <w:jc w:val="left"/>
              <w:rPr>
                <w:b/>
                <w:sz w:val="18"/>
              </w:rPr>
            </w:pPr>
            <w:r>
              <w:rPr>
                <w:b/>
                <w:w w:val="99"/>
                <w:sz w:val="18"/>
              </w:rPr>
              <w:t>SA</w:t>
            </w:r>
            <w:r>
              <w:rPr>
                <w:b/>
                <w:spacing w:val="-1"/>
                <w:w w:val="99"/>
                <w:sz w:val="18"/>
              </w:rPr>
              <w:t>D</w:t>
            </w:r>
            <w:r>
              <w:rPr>
                <w:b/>
                <w:w w:val="100"/>
                <w:sz w:val="18"/>
              </w:rPr>
              <w:t>P</w:t>
            </w:r>
          </w:p>
        </w:tc>
        <w:tc>
          <w:tcPr>
            <w:tcW w:w="451"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1"/>
              <w:jc w:val="left"/>
              <w:rPr>
                <w:b/>
                <w:sz w:val="18"/>
              </w:rPr>
            </w:pPr>
            <w:r>
              <w:rPr>
                <w:b/>
                <w:w w:val="100"/>
                <w:sz w:val="18"/>
              </w:rPr>
              <w:t>S</w:t>
            </w:r>
            <w:r>
              <w:rPr>
                <w:b/>
                <w:spacing w:val="-1"/>
                <w:w w:val="100"/>
                <w:sz w:val="18"/>
              </w:rPr>
              <w:t>O</w:t>
            </w:r>
            <w:r>
              <w:rPr>
                <w:b/>
                <w:w w:val="99"/>
                <w:sz w:val="18"/>
              </w:rPr>
              <w:t>DP</w:t>
            </w:r>
          </w:p>
        </w:tc>
        <w:tc>
          <w:tcPr>
            <w:tcW w:w="542" w:type="dxa"/>
            <w:vMerge/>
            <w:tcBorders>
              <w:left w:val="single" w:sz="4" w:space="0" w:color="000000"/>
              <w:bottom w:val="single" w:sz="4" w:space="0" w:color="000000"/>
            </w:tcBorders>
            <w:shd w:val="clear" w:color="auto" w:fill="D7E3BB"/>
            <w:textDirection w:val="btLr"/>
          </w:tcPr>
          <w:p>
            <w:pPr/>
          </w:p>
        </w:tc>
      </w:tr>
      <w:tr>
        <w:trPr>
          <w:trHeight w:val="322" w:hRule="exact"/>
        </w:trPr>
        <w:tc>
          <w:tcPr>
            <w:tcW w:w="160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4" w:right="72"/>
              <w:jc w:val="left"/>
              <w:rPr>
                <w:b/>
                <w:sz w:val="18"/>
              </w:rPr>
            </w:pPr>
            <w:r>
              <w:rPr>
                <w:b/>
                <w:sz w:val="18"/>
              </w:rPr>
              <w:t>TEXCALYACAC</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6"/>
              <w:jc w:val="righ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53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6"/>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0" w:right="50"/>
              <w:rPr>
                <w:sz w:val="18"/>
              </w:rPr>
            </w:pPr>
            <w:r>
              <w:rPr>
                <w:sz w:val="18"/>
              </w:rPr>
              <w:t>11</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5</w:t>
            </w:r>
          </w:p>
        </w:tc>
        <w:tc>
          <w:tcPr>
            <w:tcW w:w="44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48" w:right="44"/>
              <w:rPr>
                <w:b/>
                <w:sz w:val="18"/>
              </w:rPr>
            </w:pPr>
            <w:r>
              <w:rPr>
                <w:b/>
                <w:sz w:val="18"/>
              </w:rPr>
              <w:t>16</w:t>
            </w:r>
          </w:p>
        </w:tc>
      </w:tr>
      <w:tr>
        <w:trPr>
          <w:trHeight w:val="319" w:hRule="exact"/>
        </w:trPr>
        <w:tc>
          <w:tcPr>
            <w:tcW w:w="160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4" w:right="72"/>
              <w:jc w:val="left"/>
              <w:rPr>
                <w:b/>
                <w:sz w:val="18"/>
              </w:rPr>
            </w:pPr>
            <w:r>
              <w:rPr>
                <w:b/>
                <w:sz w:val="18"/>
              </w:rPr>
              <w:t>TEXCOCO</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6"/>
              <w:jc w:val="righ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53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6"/>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1</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0" w:right="50"/>
              <w:rPr>
                <w:sz w:val="18"/>
              </w:rPr>
            </w:pPr>
            <w:r>
              <w:rPr>
                <w:sz w:val="18"/>
              </w:rPr>
              <w:t>243</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5</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2</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4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48" w:right="44"/>
              <w:rPr>
                <w:b/>
                <w:sz w:val="18"/>
              </w:rPr>
            </w:pPr>
            <w:r>
              <w:rPr>
                <w:b/>
                <w:sz w:val="18"/>
              </w:rPr>
              <w:t>251</w:t>
            </w:r>
          </w:p>
        </w:tc>
      </w:tr>
      <w:tr>
        <w:trPr>
          <w:trHeight w:val="322" w:hRule="exact"/>
        </w:trPr>
        <w:tc>
          <w:tcPr>
            <w:tcW w:w="1606"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64" w:right="72"/>
              <w:jc w:val="left"/>
              <w:rPr>
                <w:b/>
                <w:sz w:val="18"/>
              </w:rPr>
            </w:pPr>
            <w:r>
              <w:rPr>
                <w:b/>
                <w:sz w:val="18"/>
              </w:rPr>
              <w:t>TEZOYUCA</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4"/>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0"/>
              <w:jc w:val="left"/>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3"/>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69"/>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66"/>
              <w:jc w:val="righ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538"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66"/>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4"/>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2"/>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50" w:right="50"/>
              <w:rPr>
                <w:sz w:val="18"/>
              </w:rPr>
            </w:pPr>
            <w:r>
              <w:rPr>
                <w:sz w:val="18"/>
              </w:rPr>
              <w:t>37</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1</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50" w:right="50"/>
              <w:rPr>
                <w:sz w:val="18"/>
              </w:rPr>
            </w:pPr>
            <w:r>
              <w:rPr>
                <w:sz w:val="18"/>
              </w:rPr>
              <w:t>17</w:t>
            </w:r>
          </w:p>
        </w:tc>
        <w:tc>
          <w:tcPr>
            <w:tcW w:w="449"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2</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2"/>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15"/>
              <w:jc w:val="right"/>
              <w:rPr>
                <w:sz w:val="18"/>
              </w:rPr>
            </w:pPr>
            <w:r>
              <w:rPr>
                <w:w w:val="95"/>
                <w:sz w:val="18"/>
              </w:rPr>
              <w:t>22</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48" w:right="44"/>
              <w:rPr>
                <w:b/>
                <w:sz w:val="18"/>
              </w:rPr>
            </w:pPr>
            <w:r>
              <w:rPr>
                <w:b/>
                <w:sz w:val="18"/>
              </w:rPr>
              <w:t>79</w:t>
            </w:r>
          </w:p>
        </w:tc>
      </w:tr>
      <w:tr>
        <w:trPr>
          <w:trHeight w:val="319" w:hRule="exact"/>
        </w:trPr>
        <w:tc>
          <w:tcPr>
            <w:tcW w:w="1606" w:type="dxa"/>
            <w:tcBorders>
              <w:top w:val="single" w:sz="4" w:space="0" w:color="000000"/>
              <w:left w:val="single" w:sz="4" w:space="0" w:color="000000"/>
              <w:bottom w:val="single" w:sz="4" w:space="0" w:color="000000"/>
              <w:right w:val="single" w:sz="4" w:space="0" w:color="000000"/>
            </w:tcBorders>
          </w:tcPr>
          <w:p>
            <w:pPr>
              <w:pStyle w:val="TableParagraph"/>
              <w:spacing w:before="10"/>
              <w:ind w:left="64" w:right="72"/>
              <w:jc w:val="left"/>
              <w:rPr>
                <w:b/>
                <w:sz w:val="16"/>
              </w:rPr>
            </w:pPr>
            <w:r>
              <w:rPr>
                <w:b/>
                <w:sz w:val="16"/>
              </w:rPr>
              <w:t>TIANGUISTENCO</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6"/>
              <w:jc w:val="righ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53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6"/>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0" w:right="50"/>
              <w:rPr>
                <w:sz w:val="18"/>
              </w:rPr>
            </w:pPr>
            <w:r>
              <w:rPr>
                <w:sz w:val="18"/>
              </w:rPr>
              <w:t>37</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0" w:right="50"/>
              <w:rPr>
                <w:sz w:val="18"/>
              </w:rPr>
            </w:pPr>
            <w:r>
              <w:rPr>
                <w:sz w:val="18"/>
              </w:rPr>
              <w:t>74</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0" w:right="50"/>
              <w:rPr>
                <w:sz w:val="18"/>
              </w:rPr>
            </w:pPr>
            <w:r>
              <w:rPr>
                <w:sz w:val="18"/>
              </w:rPr>
              <w:t>80</w:t>
            </w:r>
          </w:p>
        </w:tc>
        <w:tc>
          <w:tcPr>
            <w:tcW w:w="44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0" w:right="99"/>
              <w:rPr>
                <w:sz w:val="18"/>
              </w:rPr>
            </w:pPr>
            <w:r>
              <w:rPr>
                <w:sz w:val="18"/>
              </w:rPr>
              <w:t>38</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15"/>
              <w:jc w:val="right"/>
              <w:rPr>
                <w:sz w:val="18"/>
              </w:rPr>
            </w:pPr>
            <w:r>
              <w:rPr>
                <w:w w:val="95"/>
                <w:sz w:val="18"/>
              </w:rPr>
              <w:t>48</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7</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48" w:right="44"/>
              <w:rPr>
                <w:b/>
                <w:sz w:val="18"/>
              </w:rPr>
            </w:pPr>
            <w:r>
              <w:rPr>
                <w:b/>
                <w:sz w:val="18"/>
              </w:rPr>
              <w:t>284</w:t>
            </w:r>
          </w:p>
        </w:tc>
      </w:tr>
      <w:tr>
        <w:trPr>
          <w:trHeight w:val="322" w:hRule="exact"/>
        </w:trPr>
        <w:tc>
          <w:tcPr>
            <w:tcW w:w="160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4" w:right="72"/>
              <w:jc w:val="left"/>
              <w:rPr>
                <w:b/>
                <w:sz w:val="18"/>
              </w:rPr>
            </w:pPr>
            <w:r>
              <w:rPr>
                <w:b/>
                <w:sz w:val="18"/>
              </w:rPr>
              <w:t>TIMILPAN</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6</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8</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19"/>
              <w:jc w:val="right"/>
              <w:rPr>
                <w:sz w:val="18"/>
              </w:rPr>
            </w:pPr>
            <w:r>
              <w:rPr>
                <w:w w:val="95"/>
                <w:sz w:val="18"/>
              </w:rPr>
              <w:t>19</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6"/>
              <w:jc w:val="righ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53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93" w:right="93"/>
              <w:rPr>
                <w:sz w:val="18"/>
              </w:rPr>
            </w:pPr>
            <w:r>
              <w:rPr>
                <w:sz w:val="18"/>
              </w:rPr>
              <w:t>24</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6"/>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9</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1</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0" w:right="50"/>
              <w:rPr>
                <w:sz w:val="18"/>
              </w:rPr>
            </w:pPr>
            <w:r>
              <w:rPr>
                <w:sz w:val="18"/>
              </w:rPr>
              <w:t>10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0" w:right="50"/>
              <w:rPr>
                <w:sz w:val="18"/>
              </w:rPr>
            </w:pPr>
            <w:r>
              <w:rPr>
                <w:sz w:val="18"/>
              </w:rPr>
              <w:t>13</w:t>
            </w:r>
          </w:p>
        </w:tc>
        <w:tc>
          <w:tcPr>
            <w:tcW w:w="44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15"/>
              <w:jc w:val="right"/>
              <w:rPr>
                <w:sz w:val="18"/>
              </w:rPr>
            </w:pPr>
            <w:r>
              <w:rPr>
                <w:w w:val="95"/>
                <w:sz w:val="18"/>
              </w:rPr>
              <w:t>14</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48" w:right="44"/>
              <w:rPr>
                <w:b/>
                <w:sz w:val="18"/>
              </w:rPr>
            </w:pPr>
            <w:r>
              <w:rPr>
                <w:b/>
                <w:sz w:val="18"/>
              </w:rPr>
              <w:t>105</w:t>
            </w:r>
          </w:p>
        </w:tc>
      </w:tr>
      <w:tr>
        <w:trPr>
          <w:trHeight w:val="319" w:hRule="exact"/>
        </w:trPr>
        <w:tc>
          <w:tcPr>
            <w:tcW w:w="160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4" w:right="72"/>
              <w:jc w:val="left"/>
              <w:rPr>
                <w:b/>
                <w:sz w:val="18"/>
              </w:rPr>
            </w:pPr>
            <w:r>
              <w:rPr>
                <w:b/>
                <w:sz w:val="18"/>
              </w:rPr>
              <w:t>TLALMANALCO</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6"/>
              <w:jc w:val="righ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53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6"/>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4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0</w:t>
            </w:r>
          </w:p>
        </w:tc>
      </w:tr>
      <w:tr>
        <w:trPr>
          <w:trHeight w:val="631" w:hRule="exact"/>
        </w:trPr>
        <w:tc>
          <w:tcPr>
            <w:tcW w:w="1606" w:type="dxa"/>
            <w:tcBorders>
              <w:top w:val="single" w:sz="4" w:space="0" w:color="000000"/>
              <w:left w:val="single" w:sz="4" w:space="0" w:color="000000"/>
              <w:bottom w:val="single" w:sz="4" w:space="0" w:color="000000"/>
              <w:right w:val="single" w:sz="4" w:space="0" w:color="000000"/>
            </w:tcBorders>
          </w:tcPr>
          <w:p>
            <w:pPr>
              <w:pStyle w:val="TableParagraph"/>
              <w:spacing w:line="362" w:lineRule="auto"/>
              <w:ind w:left="64" w:right="72"/>
              <w:jc w:val="left"/>
              <w:rPr>
                <w:b/>
                <w:sz w:val="18"/>
              </w:rPr>
            </w:pPr>
            <w:r>
              <w:rPr>
                <w:b/>
                <w:sz w:val="18"/>
              </w:rPr>
              <w:t>TLALNEPANTLA DE BAZ</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left="170"/>
              <w:jc w:val="left"/>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before="155"/>
              <w:ind w:left="3"/>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right="169"/>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right="166"/>
              <w:jc w:val="righ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538" w:type="dxa"/>
            <w:tcBorders>
              <w:top w:val="single" w:sz="4" w:space="0" w:color="000000"/>
              <w:left w:val="single" w:sz="4" w:space="0" w:color="000000"/>
              <w:bottom w:val="single" w:sz="4" w:space="0" w:color="000000"/>
              <w:right w:val="single" w:sz="4" w:space="0" w:color="000000"/>
            </w:tcBorders>
          </w:tcPr>
          <w:p>
            <w:pPr>
              <w:pStyle w:val="TableParagraph"/>
              <w:spacing w:before="155"/>
              <w:ind w:left="93" w:right="93"/>
              <w:rPr>
                <w:sz w:val="18"/>
              </w:rPr>
            </w:pPr>
            <w:r>
              <w:rPr>
                <w:sz w:val="18"/>
              </w:rPr>
              <w:t>414</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right="166"/>
              <w:jc w:val="right"/>
              <w:rPr>
                <w:sz w:val="18"/>
              </w:rPr>
            </w:pPr>
            <w:r>
              <w:rPr>
                <w:w w:val="99"/>
                <w:sz w:val="18"/>
              </w:rPr>
              <w:t>9</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before="155"/>
              <w:ind w:left="53" w:right="48"/>
              <w:rPr>
                <w:sz w:val="18"/>
              </w:rPr>
            </w:pPr>
            <w:r>
              <w:rPr>
                <w:sz w:val="18"/>
              </w:rPr>
              <w:t>355</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left="122"/>
              <w:jc w:val="left"/>
              <w:rPr>
                <w:sz w:val="18"/>
              </w:rPr>
            </w:pPr>
            <w:r>
              <w:rPr>
                <w:sz w:val="18"/>
              </w:rPr>
              <w:t>15</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left="50" w:right="50"/>
              <w:rPr>
                <w:sz w:val="18"/>
              </w:rPr>
            </w:pPr>
            <w:r>
              <w:rPr>
                <w:sz w:val="18"/>
              </w:rPr>
              <w:t>624</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left="50" w:right="50"/>
              <w:rPr>
                <w:sz w:val="18"/>
              </w:rPr>
            </w:pPr>
            <w:r>
              <w:rPr>
                <w:sz w:val="18"/>
              </w:rPr>
              <w:t>17</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left="50" w:right="50"/>
              <w:rPr>
                <w:sz w:val="18"/>
              </w:rPr>
            </w:pPr>
            <w:r>
              <w:rPr>
                <w:sz w:val="18"/>
              </w:rPr>
              <w:t>761</w:t>
            </w:r>
          </w:p>
        </w:tc>
        <w:tc>
          <w:tcPr>
            <w:tcW w:w="449"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7</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right="65"/>
              <w:jc w:val="right"/>
              <w:rPr>
                <w:sz w:val="18"/>
              </w:rPr>
            </w:pPr>
            <w:r>
              <w:rPr>
                <w:w w:val="95"/>
                <w:sz w:val="18"/>
              </w:rPr>
              <w:t>595</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150"/>
              <w:ind w:left="48" w:right="44"/>
              <w:rPr>
                <w:b/>
                <w:sz w:val="18"/>
              </w:rPr>
            </w:pPr>
            <w:r>
              <w:rPr>
                <w:b/>
                <w:sz w:val="18"/>
              </w:rPr>
              <w:t>2797</w:t>
            </w:r>
          </w:p>
        </w:tc>
      </w:tr>
      <w:tr>
        <w:trPr>
          <w:trHeight w:val="322" w:hRule="exact"/>
        </w:trPr>
        <w:tc>
          <w:tcPr>
            <w:tcW w:w="160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4" w:right="72"/>
              <w:jc w:val="left"/>
              <w:rPr>
                <w:b/>
                <w:sz w:val="18"/>
              </w:rPr>
            </w:pPr>
            <w:r>
              <w:rPr>
                <w:b/>
                <w:sz w:val="18"/>
              </w:rPr>
              <w:t>TLATLAYA</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6"/>
              <w:jc w:val="righ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53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6"/>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4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0</w:t>
            </w:r>
          </w:p>
        </w:tc>
      </w:tr>
      <w:tr>
        <w:trPr>
          <w:trHeight w:val="319" w:hRule="exact"/>
        </w:trPr>
        <w:tc>
          <w:tcPr>
            <w:tcW w:w="160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4" w:right="72"/>
              <w:jc w:val="left"/>
              <w:rPr>
                <w:b/>
                <w:sz w:val="18"/>
              </w:rPr>
            </w:pPr>
            <w:r>
              <w:rPr>
                <w:b/>
                <w:sz w:val="18"/>
              </w:rPr>
              <w:t>TOLUCA</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6"/>
              <w:jc w:val="righ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53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93" w:right="93"/>
              <w:rPr>
                <w:sz w:val="18"/>
              </w:rPr>
            </w:pPr>
            <w:r>
              <w:rPr>
                <w:sz w:val="18"/>
              </w:rPr>
              <w:t>586</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6"/>
              <w:jc w:val="right"/>
              <w:rPr>
                <w:sz w:val="18"/>
              </w:rPr>
            </w:pPr>
            <w:r>
              <w:rPr>
                <w:w w:val="99"/>
                <w:sz w:val="18"/>
              </w:rPr>
              <w:t>5</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3" w:right="48"/>
              <w:rPr>
                <w:sz w:val="18"/>
              </w:rPr>
            </w:pPr>
            <w:r>
              <w:rPr>
                <w:sz w:val="18"/>
              </w:rPr>
              <w:t>347</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2"/>
              <w:jc w:val="left"/>
              <w:rPr>
                <w:sz w:val="18"/>
              </w:rPr>
            </w:pPr>
            <w:r>
              <w:rPr>
                <w:sz w:val="18"/>
              </w:rPr>
              <w:t>19</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1</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0" w:right="50"/>
              <w:rPr>
                <w:sz w:val="18"/>
              </w:rPr>
            </w:pPr>
            <w:r>
              <w:rPr>
                <w:sz w:val="18"/>
              </w:rPr>
              <w:t>847</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0" w:right="50"/>
              <w:rPr>
                <w:sz w:val="18"/>
              </w:rPr>
            </w:pPr>
            <w:r>
              <w:rPr>
                <w:sz w:val="18"/>
              </w:rPr>
              <w:t>352</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0" w:right="50"/>
              <w:rPr>
                <w:sz w:val="18"/>
              </w:rPr>
            </w:pPr>
            <w:r>
              <w:rPr>
                <w:sz w:val="18"/>
              </w:rPr>
              <w:t>743</w:t>
            </w:r>
          </w:p>
        </w:tc>
        <w:tc>
          <w:tcPr>
            <w:tcW w:w="44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0" w:right="99"/>
              <w:rPr>
                <w:sz w:val="18"/>
              </w:rPr>
            </w:pPr>
            <w:r>
              <w:rPr>
                <w:sz w:val="18"/>
              </w:rPr>
              <w:t>32</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4</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65"/>
              <w:jc w:val="right"/>
              <w:rPr>
                <w:sz w:val="18"/>
              </w:rPr>
            </w:pPr>
            <w:r>
              <w:rPr>
                <w:w w:val="95"/>
                <w:sz w:val="18"/>
              </w:rPr>
              <w:t>224</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0" w:right="46"/>
              <w:rPr>
                <w:sz w:val="18"/>
              </w:rPr>
            </w:pPr>
            <w:r>
              <w:rPr>
                <w:sz w:val="18"/>
              </w:rPr>
              <w:t>11</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48" w:right="44"/>
              <w:rPr>
                <w:b/>
                <w:sz w:val="18"/>
              </w:rPr>
            </w:pPr>
            <w:r>
              <w:rPr>
                <w:b/>
                <w:sz w:val="18"/>
              </w:rPr>
              <w:t>3171</w:t>
            </w:r>
          </w:p>
        </w:tc>
      </w:tr>
      <w:tr>
        <w:trPr>
          <w:trHeight w:val="322" w:hRule="exact"/>
        </w:trPr>
        <w:tc>
          <w:tcPr>
            <w:tcW w:w="160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4" w:right="72"/>
              <w:jc w:val="left"/>
              <w:rPr>
                <w:b/>
                <w:sz w:val="18"/>
              </w:rPr>
            </w:pPr>
            <w:r>
              <w:rPr>
                <w:b/>
                <w:sz w:val="18"/>
              </w:rPr>
              <w:t>TONANITLA</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6"/>
              <w:jc w:val="righ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53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6"/>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4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0</w:t>
            </w:r>
          </w:p>
        </w:tc>
      </w:tr>
      <w:tr>
        <w:trPr>
          <w:trHeight w:val="319" w:hRule="exact"/>
        </w:trPr>
        <w:tc>
          <w:tcPr>
            <w:tcW w:w="160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4" w:right="72"/>
              <w:jc w:val="left"/>
              <w:rPr>
                <w:b/>
                <w:sz w:val="18"/>
              </w:rPr>
            </w:pPr>
            <w:r>
              <w:rPr>
                <w:b/>
                <w:sz w:val="18"/>
              </w:rPr>
              <w:t>TONATICO</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6"/>
              <w:jc w:val="righ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53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6"/>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4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0</w:t>
            </w:r>
          </w:p>
        </w:tc>
      </w:tr>
      <w:tr>
        <w:trPr>
          <w:trHeight w:val="322" w:hRule="exact"/>
        </w:trPr>
        <w:tc>
          <w:tcPr>
            <w:tcW w:w="160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4" w:right="72"/>
              <w:jc w:val="left"/>
              <w:rPr>
                <w:b/>
                <w:sz w:val="18"/>
              </w:rPr>
            </w:pPr>
            <w:r>
              <w:rPr>
                <w:b/>
                <w:sz w:val="18"/>
              </w:rPr>
              <w:t>TULTEPEC</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6"/>
              <w:jc w:val="righ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53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6"/>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4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rPr>
                <w:b/>
                <w:sz w:val="18"/>
              </w:rPr>
            </w:pPr>
            <w:r>
              <w:rPr>
                <w:b/>
                <w:w w:val="99"/>
                <w:sz w:val="18"/>
              </w:rPr>
              <w:t>0</w:t>
            </w:r>
          </w:p>
        </w:tc>
      </w:tr>
      <w:tr>
        <w:trPr>
          <w:trHeight w:val="319" w:hRule="exact"/>
        </w:trPr>
        <w:tc>
          <w:tcPr>
            <w:tcW w:w="1606"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4" w:right="72"/>
              <w:jc w:val="left"/>
              <w:rPr>
                <w:b/>
                <w:sz w:val="18"/>
              </w:rPr>
            </w:pPr>
            <w:r>
              <w:rPr>
                <w:b/>
                <w:sz w:val="18"/>
              </w:rPr>
              <w:t>TULTITLAN</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6"/>
              <w:jc w:val="righ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538"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6"/>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0" w:right="50"/>
              <w:rPr>
                <w:sz w:val="18"/>
              </w:rPr>
            </w:pPr>
            <w:r>
              <w:rPr>
                <w:sz w:val="18"/>
              </w:rPr>
              <w:t>22</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0" w:right="50"/>
              <w:rPr>
                <w:sz w:val="18"/>
              </w:rPr>
            </w:pPr>
            <w:r>
              <w:rPr>
                <w:sz w:val="18"/>
              </w:rPr>
              <w:t>99</w:t>
            </w:r>
          </w:p>
        </w:tc>
        <w:tc>
          <w:tcPr>
            <w:tcW w:w="44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7</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9</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1</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48" w:right="44"/>
              <w:rPr>
                <w:b/>
                <w:sz w:val="18"/>
              </w:rPr>
            </w:pPr>
            <w:r>
              <w:rPr>
                <w:b/>
                <w:sz w:val="18"/>
              </w:rPr>
              <w:t>138</w:t>
            </w:r>
          </w:p>
        </w:tc>
      </w:tr>
      <w:tr>
        <w:trPr>
          <w:trHeight w:val="631" w:hRule="exact"/>
        </w:trPr>
        <w:tc>
          <w:tcPr>
            <w:tcW w:w="1606" w:type="dxa"/>
            <w:tcBorders>
              <w:top w:val="single" w:sz="4" w:space="0" w:color="000000"/>
              <w:left w:val="single" w:sz="4" w:space="0" w:color="000000"/>
              <w:bottom w:val="single" w:sz="4" w:space="0" w:color="000000"/>
              <w:right w:val="single" w:sz="4" w:space="0" w:color="000000"/>
            </w:tcBorders>
          </w:tcPr>
          <w:p>
            <w:pPr>
              <w:pStyle w:val="TableParagraph"/>
              <w:tabs>
                <w:tab w:pos="1278" w:val="left" w:leader="none"/>
              </w:tabs>
              <w:spacing w:line="362" w:lineRule="auto"/>
              <w:ind w:left="64" w:right="65"/>
              <w:jc w:val="left"/>
              <w:rPr>
                <w:b/>
                <w:sz w:val="18"/>
              </w:rPr>
            </w:pPr>
            <w:r>
              <w:rPr>
                <w:b/>
                <w:sz w:val="18"/>
              </w:rPr>
              <w:t>VALLE</w:t>
              <w:tab/>
              <w:t>DE BRAVO</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left="170"/>
              <w:jc w:val="left"/>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before="155"/>
              <w:ind w:left="3"/>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right="169"/>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right="166"/>
              <w:jc w:val="righ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0</w:t>
            </w:r>
          </w:p>
        </w:tc>
        <w:tc>
          <w:tcPr>
            <w:tcW w:w="538"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right="166"/>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left="50" w:right="50"/>
              <w:rPr>
                <w:sz w:val="18"/>
              </w:rPr>
            </w:pPr>
            <w:r>
              <w:rPr>
                <w:sz w:val="18"/>
              </w:rPr>
              <w:t>99</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rPr>
                <w:sz w:val="18"/>
              </w:rPr>
            </w:pPr>
            <w:r>
              <w:rPr>
                <w:w w:val="99"/>
                <w:sz w:val="18"/>
              </w:rPr>
              <w:t>1</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left="50" w:right="50"/>
              <w:rPr>
                <w:sz w:val="18"/>
              </w:rPr>
            </w:pPr>
            <w:r>
              <w:rPr>
                <w:sz w:val="18"/>
              </w:rPr>
              <w:t>59</w:t>
            </w:r>
          </w:p>
        </w:tc>
        <w:tc>
          <w:tcPr>
            <w:tcW w:w="449" w:type="dxa"/>
            <w:tcBorders>
              <w:top w:val="single" w:sz="4" w:space="0" w:color="000000"/>
              <w:left w:val="single" w:sz="4" w:space="0" w:color="000000"/>
              <w:bottom w:val="single" w:sz="4" w:space="0" w:color="000000"/>
              <w:right w:val="single" w:sz="4" w:space="0" w:color="000000"/>
            </w:tcBorders>
          </w:tcPr>
          <w:p>
            <w:pPr>
              <w:pStyle w:val="TableParagraph"/>
              <w:spacing w:before="155"/>
              <w:ind w:left="1"/>
              <w:rPr>
                <w:sz w:val="18"/>
              </w:rPr>
            </w:pPr>
            <w:r>
              <w:rPr>
                <w:w w:val="99"/>
                <w:sz w:val="18"/>
              </w:rPr>
              <w:t>2</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left="172"/>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right="115"/>
              <w:jc w:val="right"/>
              <w:rPr>
                <w:sz w:val="18"/>
              </w:rPr>
            </w:pPr>
            <w:r>
              <w:rPr>
                <w:w w:val="95"/>
                <w:sz w:val="18"/>
              </w:rPr>
              <w:t>15</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55"/>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150"/>
              <w:ind w:left="48" w:right="44"/>
              <w:rPr>
                <w:b/>
                <w:sz w:val="18"/>
              </w:rPr>
            </w:pPr>
            <w:r>
              <w:rPr>
                <w:b/>
                <w:sz w:val="18"/>
              </w:rPr>
              <w:t>176</w:t>
            </w:r>
          </w:p>
        </w:tc>
      </w:tr>
      <w:tr>
        <w:trPr>
          <w:trHeight w:val="838" w:hRule="exact"/>
        </w:trPr>
        <w:tc>
          <w:tcPr>
            <w:tcW w:w="1606" w:type="dxa"/>
            <w:tcBorders>
              <w:top w:val="single" w:sz="4" w:space="0" w:color="000000"/>
              <w:left w:val="single" w:sz="4" w:space="0" w:color="000000"/>
              <w:bottom w:val="single" w:sz="4" w:space="0" w:color="000000"/>
              <w:right w:val="single" w:sz="4" w:space="0" w:color="000000"/>
            </w:tcBorders>
          </w:tcPr>
          <w:p>
            <w:pPr>
              <w:pStyle w:val="TableParagraph"/>
              <w:tabs>
                <w:tab w:pos="1307" w:val="left" w:leader="none"/>
              </w:tabs>
              <w:spacing w:line="360" w:lineRule="auto"/>
              <w:ind w:left="64" w:right="64"/>
              <w:jc w:val="left"/>
              <w:rPr>
                <w:b/>
                <w:sz w:val="16"/>
              </w:rPr>
            </w:pPr>
            <w:r>
              <w:rPr>
                <w:b/>
                <w:sz w:val="16"/>
              </w:rPr>
              <w:t>VALLE</w:t>
              <w:tab/>
              <w:t>DE CHALCO SOLIDARIDAD</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5"/>
              <w:jc w:val="left"/>
              <w:rPr>
                <w:rFonts w:ascii="Times New Roman"/>
                <w:sz w:val="22"/>
              </w:rPr>
            </w:pPr>
          </w:p>
          <w:p>
            <w:pPr>
              <w:pStyle w:val="TableParagraph"/>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5"/>
              <w:jc w:val="left"/>
              <w:rPr>
                <w:rFonts w:ascii="Times New Roman"/>
                <w:sz w:val="22"/>
              </w:rPr>
            </w:pPr>
          </w:p>
          <w:p>
            <w:pPr>
              <w:pStyle w:val="TableParagraph"/>
              <w:ind w:left="4"/>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5"/>
              <w:jc w:val="left"/>
              <w:rPr>
                <w:rFonts w:ascii="Times New Roman"/>
                <w:sz w:val="22"/>
              </w:rPr>
            </w:pPr>
          </w:p>
          <w:p>
            <w:pPr>
              <w:pStyle w:val="TableParagraph"/>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5"/>
              <w:jc w:val="left"/>
              <w:rPr>
                <w:rFonts w:ascii="Times New Roman"/>
                <w:sz w:val="22"/>
              </w:rPr>
            </w:pPr>
          </w:p>
          <w:p>
            <w:pPr>
              <w:pStyle w:val="TableParagraph"/>
              <w:ind w:left="170"/>
              <w:jc w:val="left"/>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before="5"/>
              <w:jc w:val="left"/>
              <w:rPr>
                <w:rFonts w:ascii="Times New Roman"/>
                <w:sz w:val="22"/>
              </w:rPr>
            </w:pPr>
          </w:p>
          <w:p>
            <w:pPr>
              <w:pStyle w:val="TableParagraph"/>
              <w:ind w:left="3"/>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5"/>
              <w:jc w:val="left"/>
              <w:rPr>
                <w:rFonts w:ascii="Times New Roman"/>
                <w:sz w:val="22"/>
              </w:rPr>
            </w:pPr>
          </w:p>
          <w:p>
            <w:pPr>
              <w:pStyle w:val="TableParagraph"/>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5"/>
              <w:jc w:val="left"/>
              <w:rPr>
                <w:rFonts w:ascii="Times New Roman"/>
                <w:sz w:val="22"/>
              </w:rPr>
            </w:pPr>
          </w:p>
          <w:p>
            <w:pPr>
              <w:pStyle w:val="TableParagraph"/>
              <w:ind w:right="169"/>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5"/>
              <w:jc w:val="left"/>
              <w:rPr>
                <w:rFonts w:ascii="Times New Roman"/>
                <w:sz w:val="22"/>
              </w:rPr>
            </w:pPr>
          </w:p>
          <w:p>
            <w:pPr>
              <w:pStyle w:val="TableParagraph"/>
              <w:ind w:right="166"/>
              <w:jc w:val="righ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5"/>
              <w:jc w:val="left"/>
              <w:rPr>
                <w:rFonts w:ascii="Times New Roman"/>
                <w:sz w:val="22"/>
              </w:rPr>
            </w:pPr>
          </w:p>
          <w:p>
            <w:pPr>
              <w:pStyle w:val="TableParagraph"/>
              <w:ind w:left="1"/>
              <w:rPr>
                <w:sz w:val="18"/>
              </w:rPr>
            </w:pPr>
            <w:r>
              <w:rPr>
                <w:w w:val="99"/>
                <w:sz w:val="18"/>
              </w:rPr>
              <w:t>0</w:t>
            </w:r>
          </w:p>
        </w:tc>
        <w:tc>
          <w:tcPr>
            <w:tcW w:w="538" w:type="dxa"/>
            <w:tcBorders>
              <w:top w:val="single" w:sz="4" w:space="0" w:color="000000"/>
              <w:left w:val="single" w:sz="4" w:space="0" w:color="000000"/>
              <w:bottom w:val="single" w:sz="4" w:space="0" w:color="000000"/>
              <w:right w:val="single" w:sz="4" w:space="0" w:color="000000"/>
            </w:tcBorders>
          </w:tcPr>
          <w:p>
            <w:pPr>
              <w:pStyle w:val="TableParagraph"/>
              <w:spacing w:before="5"/>
              <w:jc w:val="left"/>
              <w:rPr>
                <w:rFonts w:ascii="Times New Roman"/>
                <w:sz w:val="22"/>
              </w:rPr>
            </w:pPr>
          </w:p>
          <w:p>
            <w:pPr>
              <w:pStyle w:val="TableParagraph"/>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5"/>
              <w:jc w:val="left"/>
              <w:rPr>
                <w:rFonts w:ascii="Times New Roman"/>
                <w:sz w:val="22"/>
              </w:rPr>
            </w:pPr>
          </w:p>
          <w:p>
            <w:pPr>
              <w:pStyle w:val="TableParagraph"/>
              <w:ind w:right="166"/>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5"/>
              <w:jc w:val="left"/>
              <w:rPr>
                <w:rFonts w:ascii="Times New Roman"/>
                <w:sz w:val="22"/>
              </w:rPr>
            </w:pPr>
          </w:p>
          <w:p>
            <w:pPr>
              <w:pStyle w:val="TableParagraph"/>
              <w:ind w:left="4"/>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before="5"/>
              <w:jc w:val="left"/>
              <w:rPr>
                <w:rFonts w:ascii="Times New Roman"/>
                <w:sz w:val="22"/>
              </w:rPr>
            </w:pPr>
          </w:p>
          <w:p>
            <w:pPr>
              <w:pStyle w:val="TableParagraph"/>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5"/>
              <w:jc w:val="left"/>
              <w:rPr>
                <w:rFonts w:ascii="Times New Roman"/>
                <w:sz w:val="22"/>
              </w:rPr>
            </w:pPr>
          </w:p>
          <w:p>
            <w:pPr>
              <w:pStyle w:val="TableParagraph"/>
              <w:ind w:left="172"/>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5"/>
              <w:jc w:val="left"/>
              <w:rPr>
                <w:rFonts w:ascii="Times New Roman"/>
                <w:sz w:val="22"/>
              </w:rPr>
            </w:pPr>
          </w:p>
          <w:p>
            <w:pPr>
              <w:pStyle w:val="TableParagraph"/>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5"/>
              <w:jc w:val="left"/>
              <w:rPr>
                <w:rFonts w:ascii="Times New Roman"/>
                <w:sz w:val="22"/>
              </w:rPr>
            </w:pPr>
          </w:p>
          <w:p>
            <w:pPr>
              <w:pStyle w:val="TableParagraph"/>
              <w:ind w:left="50" w:right="50"/>
              <w:rPr>
                <w:sz w:val="18"/>
              </w:rPr>
            </w:pPr>
            <w:r>
              <w:rPr>
                <w:sz w:val="18"/>
              </w:rPr>
              <w:t>103</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5"/>
              <w:jc w:val="left"/>
              <w:rPr>
                <w:rFonts w:ascii="Times New Roman"/>
                <w:sz w:val="22"/>
              </w:rPr>
            </w:pPr>
          </w:p>
          <w:p>
            <w:pPr>
              <w:pStyle w:val="TableParagraph"/>
              <w:rPr>
                <w:sz w:val="18"/>
              </w:rPr>
            </w:pPr>
            <w:r>
              <w:rPr>
                <w:w w:val="99"/>
                <w:sz w:val="18"/>
              </w:rPr>
              <w:t>7</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5"/>
              <w:jc w:val="left"/>
              <w:rPr>
                <w:rFonts w:ascii="Times New Roman"/>
                <w:sz w:val="22"/>
              </w:rPr>
            </w:pPr>
          </w:p>
          <w:p>
            <w:pPr>
              <w:pStyle w:val="TableParagraph"/>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5"/>
              <w:jc w:val="left"/>
              <w:rPr>
                <w:rFonts w:ascii="Times New Roman"/>
                <w:sz w:val="22"/>
              </w:rPr>
            </w:pPr>
          </w:p>
          <w:p>
            <w:pPr>
              <w:pStyle w:val="TableParagraph"/>
              <w:ind w:left="50" w:right="50"/>
              <w:rPr>
                <w:sz w:val="18"/>
              </w:rPr>
            </w:pPr>
            <w:r>
              <w:rPr>
                <w:sz w:val="18"/>
              </w:rPr>
              <w:t>134</w:t>
            </w:r>
          </w:p>
        </w:tc>
        <w:tc>
          <w:tcPr>
            <w:tcW w:w="449" w:type="dxa"/>
            <w:tcBorders>
              <w:top w:val="single" w:sz="4" w:space="0" w:color="000000"/>
              <w:left w:val="single" w:sz="4" w:space="0" w:color="000000"/>
              <w:bottom w:val="single" w:sz="4" w:space="0" w:color="000000"/>
              <w:right w:val="single" w:sz="4" w:space="0" w:color="000000"/>
            </w:tcBorders>
          </w:tcPr>
          <w:p>
            <w:pPr>
              <w:pStyle w:val="TableParagraph"/>
              <w:spacing w:before="5"/>
              <w:jc w:val="left"/>
              <w:rPr>
                <w:rFonts w:ascii="Times New Roman"/>
                <w:sz w:val="22"/>
              </w:rPr>
            </w:pPr>
          </w:p>
          <w:p>
            <w:pPr>
              <w:pStyle w:val="TableParagraph"/>
              <w:ind w:left="1"/>
              <w:rPr>
                <w:sz w:val="18"/>
              </w:rPr>
            </w:pPr>
            <w:r>
              <w:rPr>
                <w:w w:val="99"/>
                <w:sz w:val="18"/>
              </w:rPr>
              <w:t>2</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5"/>
              <w:jc w:val="left"/>
              <w:rPr>
                <w:rFonts w:ascii="Times New Roman"/>
                <w:sz w:val="22"/>
              </w:rPr>
            </w:pPr>
          </w:p>
          <w:p>
            <w:pPr>
              <w:pStyle w:val="TableParagraph"/>
              <w:ind w:left="172"/>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5"/>
              <w:jc w:val="left"/>
              <w:rPr>
                <w:rFonts w:ascii="Times New Roman"/>
                <w:sz w:val="22"/>
              </w:rPr>
            </w:pPr>
          </w:p>
          <w:p>
            <w:pPr>
              <w:pStyle w:val="TableParagraph"/>
              <w:ind w:right="115"/>
              <w:jc w:val="right"/>
              <w:rPr>
                <w:sz w:val="18"/>
              </w:rPr>
            </w:pPr>
            <w:r>
              <w:rPr>
                <w:w w:val="95"/>
                <w:sz w:val="18"/>
              </w:rPr>
              <w:t>92</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5"/>
              <w:jc w:val="left"/>
              <w:rPr>
                <w:rFonts w:ascii="Times New Roman"/>
                <w:sz w:val="22"/>
              </w:rPr>
            </w:pPr>
          </w:p>
          <w:p>
            <w:pPr>
              <w:pStyle w:val="TableParagraph"/>
              <w:ind w:left="4"/>
              <w:rPr>
                <w:sz w:val="18"/>
              </w:rPr>
            </w:pPr>
            <w:r>
              <w:rPr>
                <w:w w:val="99"/>
                <w:sz w:val="18"/>
              </w:rPr>
              <w:t>7</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5"/>
              <w:jc w:val="left"/>
              <w:rPr>
                <w:rFonts w:ascii="Times New Roman"/>
                <w:sz w:val="22"/>
              </w:rPr>
            </w:pPr>
          </w:p>
          <w:p>
            <w:pPr>
              <w:pStyle w:val="TableParagraph"/>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jc w:val="left"/>
              <w:rPr>
                <w:rFonts w:ascii="Times New Roman"/>
                <w:sz w:val="22"/>
              </w:rPr>
            </w:pPr>
          </w:p>
          <w:p>
            <w:pPr>
              <w:pStyle w:val="TableParagraph"/>
              <w:ind w:left="48" w:right="44"/>
              <w:rPr>
                <w:b/>
                <w:sz w:val="18"/>
              </w:rPr>
            </w:pPr>
            <w:r>
              <w:rPr>
                <w:b/>
                <w:sz w:val="18"/>
              </w:rPr>
              <w:t>345</w:t>
            </w:r>
          </w:p>
        </w:tc>
      </w:tr>
      <w:tr>
        <w:trPr>
          <w:trHeight w:val="562" w:hRule="exact"/>
        </w:trPr>
        <w:tc>
          <w:tcPr>
            <w:tcW w:w="1606" w:type="dxa"/>
            <w:tcBorders>
              <w:top w:val="single" w:sz="4" w:space="0" w:color="000000"/>
              <w:left w:val="single" w:sz="4" w:space="0" w:color="000000"/>
              <w:bottom w:val="single" w:sz="4" w:space="0" w:color="000000"/>
              <w:right w:val="single" w:sz="4" w:space="0" w:color="000000"/>
            </w:tcBorders>
          </w:tcPr>
          <w:p>
            <w:pPr>
              <w:pStyle w:val="TableParagraph"/>
              <w:tabs>
                <w:tab w:pos="1305" w:val="left" w:leader="none"/>
              </w:tabs>
              <w:spacing w:line="179" w:lineRule="exact"/>
              <w:ind w:left="64"/>
              <w:jc w:val="left"/>
              <w:rPr>
                <w:b/>
                <w:sz w:val="16"/>
              </w:rPr>
            </w:pPr>
            <w:r>
              <w:rPr>
                <w:b/>
                <w:sz w:val="16"/>
              </w:rPr>
              <w:t>VILLA</w:t>
              <w:tab/>
              <w:t>DE</w:t>
            </w:r>
          </w:p>
          <w:p>
            <w:pPr>
              <w:pStyle w:val="TableParagraph"/>
              <w:spacing w:before="92"/>
              <w:ind w:left="64" w:right="72"/>
              <w:jc w:val="left"/>
              <w:rPr>
                <w:b/>
                <w:sz w:val="16"/>
              </w:rPr>
            </w:pPr>
            <w:r>
              <w:rPr>
                <w:b/>
                <w:sz w:val="16"/>
              </w:rPr>
              <w:t>ALLENDE</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2"/>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2"/>
              <w:ind w:left="4"/>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122"/>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2"/>
              <w:ind w:left="170"/>
              <w:jc w:val="left"/>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before="122"/>
              <w:ind w:left="3"/>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122"/>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2"/>
              <w:ind w:right="169"/>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2"/>
              <w:ind w:right="166"/>
              <w:jc w:val="righ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122"/>
              <w:ind w:left="1"/>
              <w:rPr>
                <w:sz w:val="18"/>
              </w:rPr>
            </w:pPr>
            <w:r>
              <w:rPr>
                <w:w w:val="99"/>
                <w:sz w:val="18"/>
              </w:rPr>
              <w:t>0</w:t>
            </w:r>
          </w:p>
        </w:tc>
        <w:tc>
          <w:tcPr>
            <w:tcW w:w="538" w:type="dxa"/>
            <w:tcBorders>
              <w:top w:val="single" w:sz="4" w:space="0" w:color="000000"/>
              <w:left w:val="single" w:sz="4" w:space="0" w:color="000000"/>
              <w:bottom w:val="single" w:sz="4" w:space="0" w:color="000000"/>
              <w:right w:val="single" w:sz="4" w:space="0" w:color="000000"/>
            </w:tcBorders>
          </w:tcPr>
          <w:p>
            <w:pPr>
              <w:pStyle w:val="TableParagraph"/>
              <w:spacing w:before="122"/>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2"/>
              <w:ind w:right="166"/>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2"/>
              <w:ind w:left="4"/>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before="122"/>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2"/>
              <w:ind w:left="172"/>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2"/>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2"/>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2"/>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2"/>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2"/>
              <w:rPr>
                <w:sz w:val="18"/>
              </w:rPr>
            </w:pPr>
            <w:r>
              <w:rPr>
                <w:w w:val="99"/>
                <w:sz w:val="18"/>
              </w:rPr>
              <w:t>0</w:t>
            </w:r>
          </w:p>
        </w:tc>
        <w:tc>
          <w:tcPr>
            <w:tcW w:w="449" w:type="dxa"/>
            <w:tcBorders>
              <w:top w:val="single" w:sz="4" w:space="0" w:color="000000"/>
              <w:left w:val="single" w:sz="4" w:space="0" w:color="000000"/>
              <w:bottom w:val="single" w:sz="4" w:space="0" w:color="000000"/>
              <w:right w:val="single" w:sz="4" w:space="0" w:color="000000"/>
            </w:tcBorders>
          </w:tcPr>
          <w:p>
            <w:pPr>
              <w:pStyle w:val="TableParagraph"/>
              <w:spacing w:before="122"/>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2"/>
              <w:ind w:left="172"/>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2"/>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2"/>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2"/>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117"/>
              <w:rPr>
                <w:b/>
                <w:sz w:val="18"/>
              </w:rPr>
            </w:pPr>
            <w:r>
              <w:rPr>
                <w:b/>
                <w:w w:val="99"/>
                <w:sz w:val="18"/>
              </w:rPr>
              <w:t>0</w:t>
            </w:r>
          </w:p>
        </w:tc>
      </w:tr>
      <w:tr>
        <w:trPr>
          <w:trHeight w:val="564" w:hRule="exact"/>
        </w:trPr>
        <w:tc>
          <w:tcPr>
            <w:tcW w:w="1606" w:type="dxa"/>
            <w:tcBorders>
              <w:top w:val="single" w:sz="4" w:space="0" w:color="000000"/>
              <w:left w:val="single" w:sz="4" w:space="0" w:color="000000"/>
              <w:bottom w:val="single" w:sz="4" w:space="0" w:color="000000"/>
              <w:right w:val="single" w:sz="4" w:space="0" w:color="000000"/>
            </w:tcBorders>
          </w:tcPr>
          <w:p>
            <w:pPr>
              <w:pStyle w:val="TableParagraph"/>
              <w:tabs>
                <w:tab w:pos="1209" w:val="left" w:leader="none"/>
              </w:tabs>
              <w:spacing w:line="360" w:lineRule="auto"/>
              <w:ind w:left="64" w:right="63"/>
              <w:jc w:val="left"/>
              <w:rPr>
                <w:b/>
                <w:sz w:val="16"/>
              </w:rPr>
            </w:pPr>
            <w:r>
              <w:rPr>
                <w:b/>
                <w:sz w:val="16"/>
              </w:rPr>
              <w:t>VILLA</w:t>
              <w:tab/>
              <w:t>DEL CARBON</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1"/>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1"/>
              <w:ind w:left="4"/>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121"/>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1"/>
              <w:ind w:left="170"/>
              <w:jc w:val="left"/>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before="121"/>
              <w:ind w:left="3"/>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121"/>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1"/>
              <w:ind w:right="169"/>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1"/>
              <w:ind w:right="166"/>
              <w:jc w:val="righ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121"/>
              <w:ind w:left="1"/>
              <w:rPr>
                <w:sz w:val="18"/>
              </w:rPr>
            </w:pPr>
            <w:r>
              <w:rPr>
                <w:w w:val="99"/>
                <w:sz w:val="18"/>
              </w:rPr>
              <w:t>0</w:t>
            </w:r>
          </w:p>
        </w:tc>
        <w:tc>
          <w:tcPr>
            <w:tcW w:w="538" w:type="dxa"/>
            <w:tcBorders>
              <w:top w:val="single" w:sz="4" w:space="0" w:color="000000"/>
              <w:left w:val="single" w:sz="4" w:space="0" w:color="000000"/>
              <w:bottom w:val="single" w:sz="4" w:space="0" w:color="000000"/>
              <w:right w:val="single" w:sz="4" w:space="0" w:color="000000"/>
            </w:tcBorders>
          </w:tcPr>
          <w:p>
            <w:pPr>
              <w:pStyle w:val="TableParagraph"/>
              <w:spacing w:before="12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1"/>
              <w:ind w:right="166"/>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1"/>
              <w:ind w:left="4"/>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before="121"/>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1"/>
              <w:ind w:left="172"/>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1"/>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1"/>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1"/>
              <w:rPr>
                <w:sz w:val="18"/>
              </w:rPr>
            </w:pPr>
            <w:r>
              <w:rPr>
                <w:w w:val="99"/>
                <w:sz w:val="18"/>
              </w:rPr>
              <w:t>0</w:t>
            </w:r>
          </w:p>
        </w:tc>
        <w:tc>
          <w:tcPr>
            <w:tcW w:w="449" w:type="dxa"/>
            <w:tcBorders>
              <w:top w:val="single" w:sz="4" w:space="0" w:color="000000"/>
              <w:left w:val="single" w:sz="4" w:space="0" w:color="000000"/>
              <w:bottom w:val="single" w:sz="4" w:space="0" w:color="000000"/>
              <w:right w:val="single" w:sz="4" w:space="0" w:color="000000"/>
            </w:tcBorders>
          </w:tcPr>
          <w:p>
            <w:pPr>
              <w:pStyle w:val="TableParagraph"/>
              <w:spacing w:before="121"/>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1"/>
              <w:ind w:left="172"/>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1"/>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1"/>
              <w:ind w:left="4"/>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21"/>
              <w:ind w:left="4"/>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116"/>
              <w:rPr>
                <w:b/>
                <w:sz w:val="18"/>
              </w:rPr>
            </w:pPr>
            <w:r>
              <w:rPr>
                <w:b/>
                <w:w w:val="99"/>
                <w:sz w:val="18"/>
              </w:rPr>
              <w:t>0</w:t>
            </w:r>
          </w:p>
        </w:tc>
      </w:tr>
    </w:tbl>
    <w:p>
      <w:pPr>
        <w:spacing w:after="0"/>
        <w:rPr>
          <w:sz w:val="18"/>
        </w:rPr>
        <w:sectPr>
          <w:pgSz w:w="15840" w:h="12240" w:orient="landscape"/>
          <w:pgMar w:header="0" w:footer="975" w:top="1140" w:bottom="1160" w:left="1380" w:right="1140"/>
        </w:sectPr>
      </w:pPr>
    </w:p>
    <w:p>
      <w:pPr>
        <w:pStyle w:val="BodyText"/>
        <w:rPr>
          <w:rFonts w:ascii="Times New Roman"/>
          <w:sz w:val="20"/>
        </w:rPr>
      </w:pPr>
    </w:p>
    <w:p>
      <w:pPr>
        <w:pStyle w:val="BodyText"/>
        <w:spacing w:before="10"/>
        <w:rPr>
          <w:rFonts w:ascii="Times New Roman"/>
          <w:sz w:val="28"/>
        </w:rPr>
      </w:pPr>
    </w:p>
    <w:tbl>
      <w:tblPr>
        <w:tblW w:w="0" w:type="auto"/>
        <w:jc w:val="left"/>
        <w:tblInd w:w="1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70"/>
        <w:gridCol w:w="451"/>
        <w:gridCol w:w="451"/>
        <w:gridCol w:w="454"/>
        <w:gridCol w:w="451"/>
        <w:gridCol w:w="452"/>
        <w:gridCol w:w="454"/>
        <w:gridCol w:w="454"/>
        <w:gridCol w:w="454"/>
        <w:gridCol w:w="451"/>
        <w:gridCol w:w="542"/>
        <w:gridCol w:w="454"/>
        <w:gridCol w:w="451"/>
        <w:gridCol w:w="454"/>
        <w:gridCol w:w="454"/>
        <w:gridCol w:w="454"/>
        <w:gridCol w:w="451"/>
        <w:gridCol w:w="454"/>
        <w:gridCol w:w="454"/>
        <w:gridCol w:w="454"/>
        <w:gridCol w:w="452"/>
        <w:gridCol w:w="454"/>
        <w:gridCol w:w="454"/>
        <w:gridCol w:w="454"/>
        <w:gridCol w:w="451"/>
        <w:gridCol w:w="545"/>
      </w:tblGrid>
      <w:tr>
        <w:trPr>
          <w:trHeight w:val="330" w:hRule="exact"/>
        </w:trPr>
        <w:tc>
          <w:tcPr>
            <w:tcW w:w="13070" w:type="dxa"/>
            <w:gridSpan w:val="26"/>
            <w:shd w:val="clear" w:color="auto" w:fill="92D050"/>
          </w:tcPr>
          <w:p>
            <w:pPr>
              <w:pStyle w:val="TableParagraph"/>
              <w:spacing w:line="201" w:lineRule="exact"/>
              <w:ind w:left="2671"/>
              <w:jc w:val="left"/>
              <w:rPr>
                <w:b/>
                <w:sz w:val="18"/>
              </w:rPr>
            </w:pPr>
            <w:r>
              <w:rPr>
                <w:b/>
                <w:sz w:val="18"/>
              </w:rPr>
              <w:t>Anexo 21. Municipios que publican apartado de solicitudes de información (Finaliza tabla)</w:t>
            </w:r>
          </w:p>
        </w:tc>
      </w:tr>
      <w:tr>
        <w:trPr>
          <w:trHeight w:val="330" w:hRule="exact"/>
        </w:trPr>
        <w:tc>
          <w:tcPr>
            <w:tcW w:w="1570" w:type="dxa"/>
            <w:vMerge w:val="restart"/>
            <w:tcBorders>
              <w:right w:val="single" w:sz="4" w:space="0" w:color="000000"/>
            </w:tcBorders>
            <w:shd w:val="clear" w:color="auto" w:fill="C5DFB3"/>
          </w:tcPr>
          <w:p>
            <w:pPr>
              <w:pStyle w:val="TableParagraph"/>
              <w:jc w:val="left"/>
              <w:rPr>
                <w:rFonts w:ascii="Times New Roman"/>
                <w:sz w:val="18"/>
              </w:rPr>
            </w:pPr>
          </w:p>
          <w:p>
            <w:pPr>
              <w:pStyle w:val="TableParagraph"/>
              <w:spacing w:before="2"/>
              <w:jc w:val="left"/>
              <w:rPr>
                <w:rFonts w:ascii="Times New Roman"/>
                <w:sz w:val="20"/>
              </w:rPr>
            </w:pPr>
          </w:p>
          <w:p>
            <w:pPr>
              <w:pStyle w:val="TableParagraph"/>
              <w:ind w:left="355" w:right="8"/>
              <w:jc w:val="left"/>
              <w:rPr>
                <w:b/>
                <w:sz w:val="18"/>
              </w:rPr>
            </w:pPr>
            <w:r>
              <w:rPr>
                <w:b/>
                <w:sz w:val="18"/>
              </w:rPr>
              <w:t>Municipio</w:t>
            </w:r>
          </w:p>
        </w:tc>
        <w:tc>
          <w:tcPr>
            <w:tcW w:w="1356" w:type="dxa"/>
            <w:gridSpan w:val="3"/>
            <w:tcBorders>
              <w:top w:val="single" w:sz="4" w:space="0" w:color="000000"/>
              <w:left w:val="single" w:sz="4" w:space="0" w:color="000000"/>
              <w:right w:val="single" w:sz="4" w:space="0" w:color="000000"/>
            </w:tcBorders>
            <w:shd w:val="clear" w:color="auto" w:fill="D7E3BB"/>
          </w:tcPr>
          <w:p>
            <w:pPr>
              <w:pStyle w:val="TableParagraph"/>
              <w:ind w:left="454" w:right="452"/>
              <w:rPr>
                <w:b/>
                <w:sz w:val="18"/>
              </w:rPr>
            </w:pPr>
            <w:r>
              <w:rPr>
                <w:b/>
                <w:sz w:val="18"/>
              </w:rPr>
              <w:t>2008</w:t>
            </w:r>
          </w:p>
        </w:tc>
        <w:tc>
          <w:tcPr>
            <w:tcW w:w="1357" w:type="dxa"/>
            <w:gridSpan w:val="3"/>
            <w:tcBorders>
              <w:top w:val="single" w:sz="4" w:space="0" w:color="000000"/>
              <w:left w:val="single" w:sz="4" w:space="0" w:color="000000"/>
              <w:right w:val="single" w:sz="4" w:space="0" w:color="000000"/>
            </w:tcBorders>
            <w:shd w:val="clear" w:color="auto" w:fill="D7E3BB"/>
          </w:tcPr>
          <w:p>
            <w:pPr>
              <w:pStyle w:val="TableParagraph"/>
              <w:ind w:left="453" w:right="452"/>
              <w:rPr>
                <w:b/>
                <w:sz w:val="18"/>
              </w:rPr>
            </w:pPr>
            <w:r>
              <w:rPr>
                <w:b/>
                <w:sz w:val="18"/>
              </w:rPr>
              <w:t>2009</w:t>
            </w:r>
          </w:p>
        </w:tc>
        <w:tc>
          <w:tcPr>
            <w:tcW w:w="1358" w:type="dxa"/>
            <w:gridSpan w:val="3"/>
            <w:tcBorders>
              <w:top w:val="single" w:sz="4" w:space="0" w:color="000000"/>
              <w:left w:val="single" w:sz="4" w:space="0" w:color="000000"/>
              <w:right w:val="single" w:sz="4" w:space="0" w:color="000000"/>
            </w:tcBorders>
            <w:shd w:val="clear" w:color="auto" w:fill="D7E3BB"/>
          </w:tcPr>
          <w:p>
            <w:pPr>
              <w:pStyle w:val="TableParagraph"/>
              <w:ind w:left="454" w:right="450"/>
              <w:rPr>
                <w:b/>
                <w:sz w:val="18"/>
              </w:rPr>
            </w:pPr>
            <w:r>
              <w:rPr>
                <w:b/>
                <w:sz w:val="18"/>
              </w:rPr>
              <w:t>2010</w:t>
            </w:r>
          </w:p>
        </w:tc>
        <w:tc>
          <w:tcPr>
            <w:tcW w:w="1447" w:type="dxa"/>
            <w:gridSpan w:val="3"/>
            <w:tcBorders>
              <w:top w:val="single" w:sz="4" w:space="0" w:color="000000"/>
              <w:left w:val="single" w:sz="4" w:space="0" w:color="000000"/>
              <w:right w:val="single" w:sz="4" w:space="0" w:color="000000"/>
            </w:tcBorders>
            <w:shd w:val="clear" w:color="auto" w:fill="D7E3BB"/>
          </w:tcPr>
          <w:p>
            <w:pPr>
              <w:pStyle w:val="TableParagraph"/>
              <w:ind w:left="502" w:right="495"/>
              <w:rPr>
                <w:b/>
                <w:sz w:val="18"/>
              </w:rPr>
            </w:pPr>
            <w:r>
              <w:rPr>
                <w:b/>
                <w:sz w:val="18"/>
              </w:rPr>
              <w:t>2011</w:t>
            </w:r>
          </w:p>
        </w:tc>
        <w:tc>
          <w:tcPr>
            <w:tcW w:w="1361" w:type="dxa"/>
            <w:gridSpan w:val="3"/>
            <w:tcBorders>
              <w:top w:val="single" w:sz="4" w:space="0" w:color="000000"/>
              <w:left w:val="single" w:sz="4" w:space="0" w:color="000000"/>
              <w:right w:val="single" w:sz="4" w:space="0" w:color="000000"/>
            </w:tcBorders>
            <w:shd w:val="clear" w:color="auto" w:fill="D7E3BB"/>
          </w:tcPr>
          <w:p>
            <w:pPr>
              <w:pStyle w:val="TableParagraph"/>
              <w:ind w:left="456" w:right="454"/>
              <w:rPr>
                <w:b/>
                <w:sz w:val="18"/>
              </w:rPr>
            </w:pPr>
            <w:r>
              <w:rPr>
                <w:b/>
                <w:sz w:val="18"/>
              </w:rPr>
              <w:t>2012</w:t>
            </w:r>
          </w:p>
        </w:tc>
        <w:tc>
          <w:tcPr>
            <w:tcW w:w="1358" w:type="dxa"/>
            <w:gridSpan w:val="3"/>
            <w:tcBorders>
              <w:top w:val="single" w:sz="4" w:space="0" w:color="000000"/>
              <w:left w:val="single" w:sz="4" w:space="0" w:color="000000"/>
              <w:right w:val="single" w:sz="4" w:space="0" w:color="000000"/>
            </w:tcBorders>
            <w:shd w:val="clear" w:color="auto" w:fill="D7E3BB"/>
          </w:tcPr>
          <w:p>
            <w:pPr>
              <w:pStyle w:val="TableParagraph"/>
              <w:ind w:left="452" w:right="452"/>
              <w:rPr>
                <w:b/>
                <w:sz w:val="18"/>
              </w:rPr>
            </w:pPr>
            <w:r>
              <w:rPr>
                <w:b/>
                <w:sz w:val="18"/>
              </w:rPr>
              <w:t>2013</w:t>
            </w:r>
          </w:p>
        </w:tc>
        <w:tc>
          <w:tcPr>
            <w:tcW w:w="1359" w:type="dxa"/>
            <w:gridSpan w:val="3"/>
            <w:tcBorders>
              <w:top w:val="single" w:sz="4" w:space="0" w:color="000000"/>
              <w:left w:val="single" w:sz="4" w:space="0" w:color="000000"/>
              <w:right w:val="single" w:sz="4" w:space="0" w:color="000000"/>
            </w:tcBorders>
            <w:shd w:val="clear" w:color="auto" w:fill="D7E3BB"/>
          </w:tcPr>
          <w:p>
            <w:pPr>
              <w:pStyle w:val="TableParagraph"/>
              <w:ind w:left="454" w:right="454"/>
              <w:rPr>
                <w:b/>
                <w:sz w:val="18"/>
              </w:rPr>
            </w:pPr>
            <w:r>
              <w:rPr>
                <w:b/>
                <w:sz w:val="18"/>
              </w:rPr>
              <w:t>2014</w:t>
            </w:r>
          </w:p>
        </w:tc>
        <w:tc>
          <w:tcPr>
            <w:tcW w:w="1358" w:type="dxa"/>
            <w:gridSpan w:val="3"/>
            <w:tcBorders>
              <w:top w:val="single" w:sz="4" w:space="0" w:color="000000"/>
              <w:left w:val="single" w:sz="4" w:space="0" w:color="000000"/>
              <w:right w:val="single" w:sz="4" w:space="0" w:color="000000"/>
            </w:tcBorders>
            <w:shd w:val="clear" w:color="auto" w:fill="D7E3BB"/>
          </w:tcPr>
          <w:p>
            <w:pPr>
              <w:pStyle w:val="TableParagraph"/>
              <w:ind w:left="454" w:right="450"/>
              <w:rPr>
                <w:b/>
                <w:sz w:val="18"/>
              </w:rPr>
            </w:pPr>
            <w:r>
              <w:rPr>
                <w:b/>
                <w:sz w:val="18"/>
              </w:rPr>
              <w:t>2015</w:t>
            </w:r>
          </w:p>
        </w:tc>
        <w:tc>
          <w:tcPr>
            <w:tcW w:w="545" w:type="dxa"/>
            <w:vMerge w:val="restart"/>
            <w:tcBorders>
              <w:top w:val="single" w:sz="4" w:space="0" w:color="000000"/>
              <w:left w:val="single" w:sz="4" w:space="0" w:color="000000"/>
            </w:tcBorders>
            <w:shd w:val="clear" w:color="auto" w:fill="D7E3BB"/>
            <w:textDirection w:val="btLr"/>
          </w:tcPr>
          <w:p>
            <w:pPr>
              <w:pStyle w:val="TableParagraph"/>
              <w:spacing w:before="107"/>
              <w:ind w:left="117"/>
              <w:jc w:val="left"/>
              <w:rPr>
                <w:b/>
                <w:sz w:val="18"/>
              </w:rPr>
            </w:pPr>
            <w:r>
              <w:rPr>
                <w:b/>
                <w:w w:val="100"/>
                <w:sz w:val="18"/>
              </w:rPr>
              <w:t>To</w:t>
            </w:r>
            <w:r>
              <w:rPr>
                <w:b/>
                <w:w w:val="99"/>
                <w:sz w:val="18"/>
              </w:rPr>
              <w:t>ta</w:t>
            </w:r>
            <w:r>
              <w:rPr>
                <w:b/>
                <w:w w:val="100"/>
                <w:sz w:val="18"/>
              </w:rPr>
              <w:t>l</w:t>
            </w:r>
          </w:p>
        </w:tc>
      </w:tr>
      <w:tr>
        <w:trPr>
          <w:trHeight w:val="890" w:hRule="exact"/>
        </w:trPr>
        <w:tc>
          <w:tcPr>
            <w:tcW w:w="1570" w:type="dxa"/>
            <w:vMerge/>
            <w:tcBorders>
              <w:right w:val="single" w:sz="4" w:space="0" w:color="000000"/>
            </w:tcBorders>
            <w:shd w:val="clear" w:color="auto" w:fill="C5DFB3"/>
          </w:tcPr>
          <w:p>
            <w:pPr/>
          </w:p>
        </w:tc>
        <w:tc>
          <w:tcPr>
            <w:tcW w:w="451"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SIP</w:t>
            </w:r>
          </w:p>
        </w:tc>
        <w:tc>
          <w:tcPr>
            <w:tcW w:w="451"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99"/>
                <w:sz w:val="18"/>
              </w:rPr>
              <w:t>SA</w:t>
            </w:r>
            <w:r>
              <w:rPr>
                <w:b/>
                <w:spacing w:val="-1"/>
                <w:w w:val="99"/>
                <w:sz w:val="18"/>
              </w:rPr>
              <w:t>D</w:t>
            </w:r>
            <w:r>
              <w:rPr>
                <w:b/>
                <w:w w:val="100"/>
                <w:sz w:val="18"/>
              </w:rPr>
              <w:t>P</w:t>
            </w:r>
          </w:p>
        </w:tc>
        <w:tc>
          <w:tcPr>
            <w:tcW w:w="454"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w:t>
            </w:r>
            <w:r>
              <w:rPr>
                <w:b/>
                <w:spacing w:val="-1"/>
                <w:w w:val="100"/>
                <w:sz w:val="18"/>
              </w:rPr>
              <w:t>O</w:t>
            </w:r>
            <w:r>
              <w:rPr>
                <w:b/>
                <w:w w:val="99"/>
                <w:sz w:val="18"/>
              </w:rPr>
              <w:t>DP</w:t>
            </w:r>
          </w:p>
        </w:tc>
        <w:tc>
          <w:tcPr>
            <w:tcW w:w="451"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SIP</w:t>
            </w:r>
          </w:p>
        </w:tc>
        <w:tc>
          <w:tcPr>
            <w:tcW w:w="452"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99"/>
                <w:sz w:val="18"/>
              </w:rPr>
              <w:t>SA</w:t>
            </w:r>
            <w:r>
              <w:rPr>
                <w:b/>
                <w:spacing w:val="-1"/>
                <w:w w:val="99"/>
                <w:sz w:val="18"/>
              </w:rPr>
              <w:t>D</w:t>
            </w:r>
            <w:r>
              <w:rPr>
                <w:b/>
                <w:w w:val="100"/>
                <w:sz w:val="18"/>
              </w:rPr>
              <w:t>P</w:t>
            </w:r>
          </w:p>
        </w:tc>
        <w:tc>
          <w:tcPr>
            <w:tcW w:w="454"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w:t>
            </w:r>
            <w:r>
              <w:rPr>
                <w:b/>
                <w:spacing w:val="-1"/>
                <w:w w:val="100"/>
                <w:sz w:val="18"/>
              </w:rPr>
              <w:t>O</w:t>
            </w:r>
            <w:r>
              <w:rPr>
                <w:b/>
                <w:w w:val="99"/>
                <w:sz w:val="18"/>
              </w:rPr>
              <w:t>DP</w:t>
            </w:r>
          </w:p>
        </w:tc>
        <w:tc>
          <w:tcPr>
            <w:tcW w:w="454"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SIP</w:t>
            </w:r>
          </w:p>
        </w:tc>
        <w:tc>
          <w:tcPr>
            <w:tcW w:w="454"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99"/>
                <w:sz w:val="18"/>
              </w:rPr>
              <w:t>SA</w:t>
            </w:r>
            <w:r>
              <w:rPr>
                <w:b/>
                <w:spacing w:val="-1"/>
                <w:w w:val="99"/>
                <w:sz w:val="18"/>
              </w:rPr>
              <w:t>D</w:t>
            </w:r>
            <w:r>
              <w:rPr>
                <w:b/>
                <w:w w:val="100"/>
                <w:sz w:val="18"/>
              </w:rPr>
              <w:t>P</w:t>
            </w:r>
          </w:p>
        </w:tc>
        <w:tc>
          <w:tcPr>
            <w:tcW w:w="451"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w:t>
            </w:r>
            <w:r>
              <w:rPr>
                <w:b/>
                <w:spacing w:val="-1"/>
                <w:w w:val="100"/>
                <w:sz w:val="18"/>
              </w:rPr>
              <w:t>O</w:t>
            </w:r>
            <w:r>
              <w:rPr>
                <w:b/>
                <w:w w:val="99"/>
                <w:sz w:val="18"/>
              </w:rPr>
              <w:t>DP</w:t>
            </w:r>
          </w:p>
        </w:tc>
        <w:tc>
          <w:tcPr>
            <w:tcW w:w="542"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148"/>
              <w:ind w:left="4"/>
              <w:jc w:val="left"/>
              <w:rPr>
                <w:b/>
                <w:sz w:val="18"/>
              </w:rPr>
            </w:pPr>
            <w:r>
              <w:rPr>
                <w:b/>
                <w:w w:val="100"/>
                <w:sz w:val="18"/>
              </w:rPr>
              <w:t>SIP</w:t>
            </w:r>
          </w:p>
        </w:tc>
        <w:tc>
          <w:tcPr>
            <w:tcW w:w="454"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99"/>
                <w:sz w:val="18"/>
              </w:rPr>
              <w:t>SA</w:t>
            </w:r>
            <w:r>
              <w:rPr>
                <w:b/>
                <w:spacing w:val="-1"/>
                <w:w w:val="99"/>
                <w:sz w:val="18"/>
              </w:rPr>
              <w:t>D</w:t>
            </w:r>
            <w:r>
              <w:rPr>
                <w:b/>
                <w:w w:val="100"/>
                <w:sz w:val="18"/>
              </w:rPr>
              <w:t>P</w:t>
            </w:r>
          </w:p>
        </w:tc>
        <w:tc>
          <w:tcPr>
            <w:tcW w:w="451"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w:t>
            </w:r>
            <w:r>
              <w:rPr>
                <w:b/>
                <w:spacing w:val="-1"/>
                <w:w w:val="100"/>
                <w:sz w:val="18"/>
              </w:rPr>
              <w:t>O</w:t>
            </w:r>
            <w:r>
              <w:rPr>
                <w:b/>
                <w:w w:val="99"/>
                <w:sz w:val="18"/>
              </w:rPr>
              <w:t>DP</w:t>
            </w:r>
          </w:p>
        </w:tc>
        <w:tc>
          <w:tcPr>
            <w:tcW w:w="454"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SIP</w:t>
            </w:r>
          </w:p>
        </w:tc>
        <w:tc>
          <w:tcPr>
            <w:tcW w:w="454"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99"/>
                <w:sz w:val="18"/>
              </w:rPr>
              <w:t>SA</w:t>
            </w:r>
            <w:r>
              <w:rPr>
                <w:b/>
                <w:spacing w:val="-1"/>
                <w:w w:val="99"/>
                <w:sz w:val="18"/>
              </w:rPr>
              <w:t>D</w:t>
            </w:r>
            <w:r>
              <w:rPr>
                <w:b/>
                <w:w w:val="100"/>
                <w:sz w:val="18"/>
              </w:rPr>
              <w:t>P</w:t>
            </w:r>
          </w:p>
        </w:tc>
        <w:tc>
          <w:tcPr>
            <w:tcW w:w="454"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w:t>
            </w:r>
            <w:r>
              <w:rPr>
                <w:b/>
                <w:spacing w:val="-1"/>
                <w:w w:val="100"/>
                <w:sz w:val="18"/>
              </w:rPr>
              <w:t>O</w:t>
            </w:r>
            <w:r>
              <w:rPr>
                <w:b/>
                <w:w w:val="99"/>
                <w:sz w:val="18"/>
              </w:rPr>
              <w:t>DP</w:t>
            </w:r>
          </w:p>
        </w:tc>
        <w:tc>
          <w:tcPr>
            <w:tcW w:w="451"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SIP</w:t>
            </w:r>
          </w:p>
        </w:tc>
        <w:tc>
          <w:tcPr>
            <w:tcW w:w="454"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99"/>
                <w:sz w:val="18"/>
              </w:rPr>
              <w:t>SA</w:t>
            </w:r>
            <w:r>
              <w:rPr>
                <w:b/>
                <w:spacing w:val="-1"/>
                <w:w w:val="99"/>
                <w:sz w:val="18"/>
              </w:rPr>
              <w:t>D</w:t>
            </w:r>
            <w:r>
              <w:rPr>
                <w:b/>
                <w:w w:val="100"/>
                <w:sz w:val="18"/>
              </w:rPr>
              <w:t>P</w:t>
            </w:r>
          </w:p>
        </w:tc>
        <w:tc>
          <w:tcPr>
            <w:tcW w:w="454"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w:t>
            </w:r>
            <w:r>
              <w:rPr>
                <w:b/>
                <w:spacing w:val="-1"/>
                <w:w w:val="100"/>
                <w:sz w:val="18"/>
              </w:rPr>
              <w:t>O</w:t>
            </w:r>
            <w:r>
              <w:rPr>
                <w:b/>
                <w:w w:val="99"/>
                <w:sz w:val="18"/>
              </w:rPr>
              <w:t>DP</w:t>
            </w:r>
          </w:p>
        </w:tc>
        <w:tc>
          <w:tcPr>
            <w:tcW w:w="454"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SIP</w:t>
            </w:r>
          </w:p>
        </w:tc>
        <w:tc>
          <w:tcPr>
            <w:tcW w:w="452"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99"/>
                <w:sz w:val="18"/>
              </w:rPr>
              <w:t>SA</w:t>
            </w:r>
            <w:r>
              <w:rPr>
                <w:b/>
                <w:spacing w:val="-1"/>
                <w:w w:val="99"/>
                <w:sz w:val="18"/>
              </w:rPr>
              <w:t>D</w:t>
            </w:r>
            <w:r>
              <w:rPr>
                <w:b/>
                <w:w w:val="100"/>
                <w:sz w:val="18"/>
              </w:rPr>
              <w:t>P</w:t>
            </w:r>
          </w:p>
        </w:tc>
        <w:tc>
          <w:tcPr>
            <w:tcW w:w="454"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w:t>
            </w:r>
            <w:r>
              <w:rPr>
                <w:b/>
                <w:spacing w:val="-1"/>
                <w:w w:val="100"/>
                <w:sz w:val="18"/>
              </w:rPr>
              <w:t>O</w:t>
            </w:r>
            <w:r>
              <w:rPr>
                <w:b/>
                <w:w w:val="99"/>
                <w:sz w:val="18"/>
              </w:rPr>
              <w:t>DP</w:t>
            </w:r>
          </w:p>
        </w:tc>
        <w:tc>
          <w:tcPr>
            <w:tcW w:w="454"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6"/>
              <w:ind w:left="4"/>
              <w:jc w:val="left"/>
              <w:rPr>
                <w:b/>
                <w:sz w:val="18"/>
              </w:rPr>
            </w:pPr>
            <w:r>
              <w:rPr>
                <w:b/>
                <w:w w:val="100"/>
                <w:sz w:val="18"/>
              </w:rPr>
              <w:t>SIP</w:t>
            </w:r>
          </w:p>
        </w:tc>
        <w:tc>
          <w:tcPr>
            <w:tcW w:w="454"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99"/>
                <w:sz w:val="18"/>
              </w:rPr>
              <w:t>SA</w:t>
            </w:r>
            <w:r>
              <w:rPr>
                <w:b/>
                <w:spacing w:val="-1"/>
                <w:w w:val="99"/>
                <w:sz w:val="18"/>
              </w:rPr>
              <w:t>D</w:t>
            </w:r>
            <w:r>
              <w:rPr>
                <w:b/>
                <w:w w:val="100"/>
                <w:sz w:val="18"/>
              </w:rPr>
              <w:t>P</w:t>
            </w:r>
          </w:p>
        </w:tc>
        <w:tc>
          <w:tcPr>
            <w:tcW w:w="451" w:type="dxa"/>
            <w:tcBorders>
              <w:left w:val="single" w:sz="4" w:space="0" w:color="000000"/>
              <w:bottom w:val="single" w:sz="4" w:space="0" w:color="000000"/>
              <w:right w:val="single" w:sz="4" w:space="0" w:color="000000"/>
            </w:tcBorders>
            <w:shd w:val="clear" w:color="auto" w:fill="D7E3BB"/>
            <w:textDirection w:val="btLr"/>
          </w:tcPr>
          <w:p>
            <w:pPr>
              <w:pStyle w:val="TableParagraph"/>
              <w:spacing w:before="64"/>
              <w:ind w:left="4"/>
              <w:jc w:val="left"/>
              <w:rPr>
                <w:b/>
                <w:sz w:val="18"/>
              </w:rPr>
            </w:pPr>
            <w:r>
              <w:rPr>
                <w:b/>
                <w:w w:val="100"/>
                <w:sz w:val="18"/>
              </w:rPr>
              <w:t>S</w:t>
            </w:r>
            <w:r>
              <w:rPr>
                <w:b/>
                <w:spacing w:val="-1"/>
                <w:w w:val="100"/>
                <w:sz w:val="18"/>
              </w:rPr>
              <w:t>O</w:t>
            </w:r>
            <w:r>
              <w:rPr>
                <w:b/>
                <w:w w:val="99"/>
                <w:sz w:val="18"/>
              </w:rPr>
              <w:t>DP</w:t>
            </w:r>
          </w:p>
        </w:tc>
        <w:tc>
          <w:tcPr>
            <w:tcW w:w="545" w:type="dxa"/>
            <w:vMerge/>
            <w:tcBorders>
              <w:left w:val="single" w:sz="4" w:space="0" w:color="000000"/>
              <w:bottom w:val="single" w:sz="4" w:space="0" w:color="000000"/>
            </w:tcBorders>
            <w:shd w:val="clear" w:color="auto" w:fill="D7E3BB"/>
            <w:textDirection w:val="btLr"/>
          </w:tcPr>
          <w:p>
            <w:pPr/>
          </w:p>
        </w:tc>
      </w:tr>
      <w:tr>
        <w:trPr>
          <w:trHeight w:val="636" w:hRule="exact"/>
        </w:trPr>
        <w:tc>
          <w:tcPr>
            <w:tcW w:w="1570" w:type="dxa"/>
            <w:tcBorders>
              <w:bottom w:val="single" w:sz="4" w:space="0" w:color="000000"/>
              <w:right w:val="single" w:sz="4" w:space="0" w:color="000000"/>
            </w:tcBorders>
          </w:tcPr>
          <w:p>
            <w:pPr>
              <w:pStyle w:val="TableParagraph"/>
              <w:spacing w:line="362" w:lineRule="auto"/>
              <w:ind w:left="59" w:right="8"/>
              <w:jc w:val="left"/>
              <w:rPr>
                <w:b/>
                <w:sz w:val="18"/>
              </w:rPr>
            </w:pPr>
            <w:r>
              <w:rPr>
                <w:b/>
                <w:sz w:val="18"/>
              </w:rPr>
              <w:t>VILLA </w:t>
            </w:r>
            <w:r>
              <w:rPr>
                <w:b/>
                <w:w w:val="95"/>
                <w:sz w:val="18"/>
              </w:rPr>
              <w:t>GUERRERO</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60"/>
              <w:ind w:right="169"/>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60"/>
              <w:ind w:left="4"/>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160"/>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60"/>
              <w:ind w:right="169"/>
              <w:jc w:val="right"/>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before="160"/>
              <w:ind w:left="3"/>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160"/>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160"/>
              <w:ind w:right="169"/>
              <w:jc w:val="righ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160"/>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60"/>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before="160"/>
              <w:ind w:left="167"/>
              <w:jc w:val="left"/>
              <w:rPr>
                <w:sz w:val="18"/>
              </w:rPr>
            </w:pPr>
            <w:r>
              <w:rPr>
                <w:sz w:val="18"/>
              </w:rPr>
              <w:t>26</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160"/>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60"/>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160"/>
              <w:ind w:left="122"/>
              <w:jc w:val="left"/>
              <w:rPr>
                <w:sz w:val="18"/>
              </w:rPr>
            </w:pPr>
            <w:r>
              <w:rPr>
                <w:sz w:val="18"/>
              </w:rPr>
              <w:t>15</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160"/>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160"/>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60"/>
              <w:ind w:left="120"/>
              <w:jc w:val="left"/>
              <w:rPr>
                <w:sz w:val="18"/>
              </w:rPr>
            </w:pPr>
            <w:r>
              <w:rPr>
                <w:sz w:val="18"/>
              </w:rPr>
              <w:t>17</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160"/>
              <w:ind w:left="1"/>
              <w:rPr>
                <w:sz w:val="18"/>
              </w:rPr>
            </w:pPr>
            <w:r>
              <w:rPr>
                <w:w w:val="99"/>
                <w:sz w:val="18"/>
              </w:rPr>
              <w:t>1</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160"/>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160"/>
              <w:ind w:left="101" w:right="101"/>
              <w:rPr>
                <w:sz w:val="18"/>
              </w:rPr>
            </w:pPr>
            <w:r>
              <w:rPr>
                <w:sz w:val="18"/>
              </w:rPr>
              <w:t>19</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before="160"/>
              <w:ind w:right="1"/>
              <w:rPr>
                <w:sz w:val="18"/>
              </w:rPr>
            </w:pPr>
            <w:r>
              <w:rPr>
                <w:w w:val="99"/>
                <w:sz w:val="18"/>
              </w:rPr>
              <w:t>1</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160"/>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160"/>
              <w:ind w:left="122"/>
              <w:jc w:val="left"/>
              <w:rPr>
                <w:sz w:val="18"/>
              </w:rPr>
            </w:pPr>
            <w:r>
              <w:rPr>
                <w:sz w:val="18"/>
              </w:rPr>
              <w:t>12</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before="160"/>
              <w:ind w:right="1"/>
              <w:rPr>
                <w:sz w:val="18"/>
              </w:rPr>
            </w:pPr>
            <w:r>
              <w:rPr>
                <w:w w:val="99"/>
                <w:sz w:val="18"/>
              </w:rPr>
              <w:t>2</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before="160"/>
              <w:rPr>
                <w:sz w:val="18"/>
              </w:rPr>
            </w:pPr>
            <w:r>
              <w:rPr>
                <w:w w:val="99"/>
                <w:sz w:val="18"/>
              </w:rPr>
              <w:t>0</w:t>
            </w:r>
          </w:p>
        </w:tc>
        <w:tc>
          <w:tcPr>
            <w:tcW w:w="545" w:type="dxa"/>
            <w:tcBorders>
              <w:top w:val="single" w:sz="4" w:space="0" w:color="000000"/>
              <w:left w:val="single" w:sz="4" w:space="0" w:color="000000"/>
              <w:bottom w:val="single" w:sz="4" w:space="0" w:color="000000"/>
              <w:right w:val="single" w:sz="4" w:space="0" w:color="000000"/>
            </w:tcBorders>
          </w:tcPr>
          <w:p>
            <w:pPr>
              <w:pStyle w:val="TableParagraph"/>
              <w:spacing w:before="155"/>
              <w:ind w:left="47" w:right="45"/>
              <w:rPr>
                <w:b/>
                <w:sz w:val="18"/>
              </w:rPr>
            </w:pPr>
            <w:r>
              <w:rPr>
                <w:b/>
                <w:sz w:val="18"/>
              </w:rPr>
              <w:t>93</w:t>
            </w:r>
          </w:p>
        </w:tc>
      </w:tr>
      <w:tr>
        <w:trPr>
          <w:trHeight w:val="322" w:hRule="exact"/>
        </w:trPr>
        <w:tc>
          <w:tcPr>
            <w:tcW w:w="1570" w:type="dxa"/>
            <w:tcBorders>
              <w:top w:val="single" w:sz="4" w:space="0" w:color="000000"/>
              <w:bottom w:val="single" w:sz="4" w:space="0" w:color="000000"/>
              <w:right w:val="single" w:sz="4" w:space="0" w:color="000000"/>
            </w:tcBorders>
          </w:tcPr>
          <w:p>
            <w:pPr>
              <w:pStyle w:val="TableParagraph"/>
              <w:spacing w:line="202" w:lineRule="exact"/>
              <w:ind w:left="59" w:right="8"/>
              <w:jc w:val="left"/>
              <w:rPr>
                <w:b/>
                <w:sz w:val="18"/>
              </w:rPr>
            </w:pPr>
            <w:r>
              <w:rPr>
                <w:b/>
                <w:sz w:val="18"/>
              </w:rPr>
              <w:t>VILLA VICTORIA</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69"/>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4"/>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69"/>
              <w:jc w:val="right"/>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3"/>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69"/>
              <w:jc w:val="righ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215"/>
              <w:jc w:val="lef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73"/>
              <w:jc w:val="lef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20"/>
              <w:jc w:val="left"/>
              <w:rPr>
                <w:sz w:val="18"/>
              </w:rPr>
            </w:pPr>
            <w:r>
              <w:rPr>
                <w:sz w:val="18"/>
              </w:rPr>
              <w:t>17</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01" w:right="101"/>
              <w:rPr>
                <w:sz w:val="18"/>
              </w:rPr>
            </w:pPr>
            <w:r>
              <w:rPr>
                <w:sz w:val="18"/>
              </w:rPr>
              <w:t>10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
              <w:rPr>
                <w:sz w:val="18"/>
              </w:rPr>
            </w:pPr>
            <w:r>
              <w:rPr>
                <w:w w:val="99"/>
                <w:sz w:val="18"/>
              </w:rPr>
              <w:t>1</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22"/>
              <w:jc w:val="left"/>
              <w:rPr>
                <w:sz w:val="18"/>
              </w:rPr>
            </w:pPr>
            <w:r>
              <w:rPr>
                <w:sz w:val="18"/>
              </w:rPr>
              <w:t>12</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0</w:t>
            </w:r>
          </w:p>
        </w:tc>
        <w:tc>
          <w:tcPr>
            <w:tcW w:w="545"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47" w:right="45"/>
              <w:rPr>
                <w:b/>
                <w:sz w:val="18"/>
              </w:rPr>
            </w:pPr>
            <w:r>
              <w:rPr>
                <w:b/>
                <w:sz w:val="18"/>
              </w:rPr>
              <w:t>40</w:t>
            </w:r>
          </w:p>
        </w:tc>
      </w:tr>
      <w:tr>
        <w:trPr>
          <w:trHeight w:val="319" w:hRule="exact"/>
        </w:trPr>
        <w:tc>
          <w:tcPr>
            <w:tcW w:w="1570" w:type="dxa"/>
            <w:tcBorders>
              <w:top w:val="single" w:sz="4" w:space="0" w:color="000000"/>
              <w:bottom w:val="single" w:sz="4" w:space="0" w:color="000000"/>
              <w:right w:val="single" w:sz="4" w:space="0" w:color="000000"/>
            </w:tcBorders>
          </w:tcPr>
          <w:p>
            <w:pPr>
              <w:pStyle w:val="TableParagraph"/>
              <w:spacing w:line="201" w:lineRule="exact"/>
              <w:ind w:left="59" w:right="8"/>
              <w:jc w:val="left"/>
              <w:rPr>
                <w:b/>
                <w:sz w:val="18"/>
              </w:rPr>
            </w:pPr>
            <w:r>
              <w:rPr>
                <w:b/>
                <w:sz w:val="18"/>
              </w:rPr>
              <w:t>XALATLACO</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15"/>
              <w:jc w:val="lef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3"/>
              <w:jc w:val="lef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0"/>
              <w:jc w:val="left"/>
              <w:rPr>
                <w:sz w:val="18"/>
              </w:rPr>
            </w:pPr>
            <w:r>
              <w:rPr>
                <w:sz w:val="18"/>
              </w:rPr>
              <w:t>14</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1</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45"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47" w:right="45"/>
              <w:rPr>
                <w:b/>
                <w:sz w:val="18"/>
              </w:rPr>
            </w:pPr>
            <w:r>
              <w:rPr>
                <w:b/>
                <w:sz w:val="18"/>
              </w:rPr>
              <w:t>16</w:t>
            </w:r>
          </w:p>
        </w:tc>
      </w:tr>
      <w:tr>
        <w:trPr>
          <w:trHeight w:val="322" w:hRule="exact"/>
        </w:trPr>
        <w:tc>
          <w:tcPr>
            <w:tcW w:w="1570" w:type="dxa"/>
            <w:tcBorders>
              <w:top w:val="single" w:sz="4" w:space="0" w:color="000000"/>
              <w:bottom w:val="single" w:sz="4" w:space="0" w:color="000000"/>
              <w:right w:val="single" w:sz="4" w:space="0" w:color="000000"/>
            </w:tcBorders>
          </w:tcPr>
          <w:p>
            <w:pPr>
              <w:pStyle w:val="TableParagraph"/>
              <w:spacing w:line="201" w:lineRule="exact"/>
              <w:ind w:left="59" w:right="8"/>
              <w:jc w:val="left"/>
              <w:rPr>
                <w:b/>
                <w:sz w:val="18"/>
              </w:rPr>
            </w:pPr>
            <w:r>
              <w:rPr>
                <w:b/>
                <w:sz w:val="18"/>
              </w:rPr>
              <w:t>XONACATLAN</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15"/>
              <w:jc w:val="lef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3"/>
              <w:jc w:val="lef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0"/>
              <w:jc w:val="left"/>
              <w:rPr>
                <w:sz w:val="18"/>
              </w:rPr>
            </w:pPr>
            <w:r>
              <w:rPr>
                <w:sz w:val="18"/>
              </w:rPr>
              <w:t>45</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1" w:right="101"/>
              <w:rPr>
                <w:sz w:val="18"/>
              </w:rPr>
            </w:pPr>
            <w:r>
              <w:rPr>
                <w:sz w:val="18"/>
              </w:rPr>
              <w:t>36</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2</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45"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47" w:right="45"/>
              <w:rPr>
                <w:b/>
                <w:sz w:val="18"/>
              </w:rPr>
            </w:pPr>
            <w:r>
              <w:rPr>
                <w:b/>
                <w:sz w:val="18"/>
              </w:rPr>
              <w:t>83</w:t>
            </w:r>
          </w:p>
        </w:tc>
      </w:tr>
      <w:tr>
        <w:trPr>
          <w:trHeight w:val="319" w:hRule="exact"/>
        </w:trPr>
        <w:tc>
          <w:tcPr>
            <w:tcW w:w="1570" w:type="dxa"/>
            <w:tcBorders>
              <w:top w:val="single" w:sz="4" w:space="0" w:color="000000"/>
              <w:bottom w:val="single" w:sz="4" w:space="0" w:color="000000"/>
              <w:right w:val="single" w:sz="4" w:space="0" w:color="000000"/>
            </w:tcBorders>
          </w:tcPr>
          <w:p>
            <w:pPr>
              <w:pStyle w:val="TableParagraph"/>
              <w:spacing w:line="201" w:lineRule="exact"/>
              <w:ind w:left="59" w:right="8"/>
              <w:jc w:val="left"/>
              <w:rPr>
                <w:b/>
                <w:sz w:val="18"/>
              </w:rPr>
            </w:pPr>
            <w:r>
              <w:rPr>
                <w:b/>
                <w:sz w:val="18"/>
              </w:rPr>
              <w:t>ZACAZONAPAN</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15"/>
              <w:jc w:val="lef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3"/>
              <w:jc w:val="lef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45"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
              <w:rPr>
                <w:b/>
                <w:sz w:val="18"/>
              </w:rPr>
            </w:pPr>
            <w:r>
              <w:rPr>
                <w:b/>
                <w:w w:val="99"/>
                <w:sz w:val="18"/>
              </w:rPr>
              <w:t>0</w:t>
            </w:r>
          </w:p>
        </w:tc>
      </w:tr>
      <w:tr>
        <w:trPr>
          <w:trHeight w:val="322" w:hRule="exact"/>
        </w:trPr>
        <w:tc>
          <w:tcPr>
            <w:tcW w:w="1570" w:type="dxa"/>
            <w:tcBorders>
              <w:top w:val="single" w:sz="4" w:space="0" w:color="000000"/>
              <w:bottom w:val="single" w:sz="4" w:space="0" w:color="000000"/>
              <w:right w:val="single" w:sz="4" w:space="0" w:color="000000"/>
            </w:tcBorders>
          </w:tcPr>
          <w:p>
            <w:pPr>
              <w:pStyle w:val="TableParagraph"/>
              <w:spacing w:line="201" w:lineRule="exact"/>
              <w:ind w:left="59" w:right="8"/>
              <w:jc w:val="left"/>
              <w:rPr>
                <w:b/>
                <w:sz w:val="18"/>
              </w:rPr>
            </w:pPr>
            <w:r>
              <w:rPr>
                <w:b/>
                <w:sz w:val="18"/>
              </w:rPr>
              <w:t>ZACUALPAN</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15"/>
              <w:jc w:val="lef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3"/>
              <w:jc w:val="lef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45"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
              <w:rPr>
                <w:b/>
                <w:sz w:val="18"/>
              </w:rPr>
            </w:pPr>
            <w:r>
              <w:rPr>
                <w:b/>
                <w:w w:val="99"/>
                <w:sz w:val="18"/>
              </w:rPr>
              <w:t>0</w:t>
            </w:r>
          </w:p>
        </w:tc>
      </w:tr>
      <w:tr>
        <w:trPr>
          <w:trHeight w:val="319" w:hRule="exact"/>
        </w:trPr>
        <w:tc>
          <w:tcPr>
            <w:tcW w:w="1570" w:type="dxa"/>
            <w:tcBorders>
              <w:top w:val="single" w:sz="4" w:space="0" w:color="000000"/>
              <w:bottom w:val="single" w:sz="4" w:space="0" w:color="000000"/>
              <w:right w:val="single" w:sz="4" w:space="0" w:color="000000"/>
            </w:tcBorders>
          </w:tcPr>
          <w:p>
            <w:pPr>
              <w:pStyle w:val="TableParagraph"/>
              <w:spacing w:line="201" w:lineRule="exact"/>
              <w:ind w:left="59" w:right="8"/>
              <w:jc w:val="left"/>
              <w:rPr>
                <w:b/>
                <w:sz w:val="18"/>
              </w:rPr>
            </w:pPr>
            <w:r>
              <w:rPr>
                <w:b/>
                <w:sz w:val="18"/>
              </w:rPr>
              <w:t>ZINACANTEPEC</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67"/>
              <w:jc w:val="left"/>
              <w:rPr>
                <w:sz w:val="18"/>
              </w:rPr>
            </w:pPr>
            <w:r>
              <w:rPr>
                <w:sz w:val="18"/>
              </w:rPr>
              <w:t>95</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2"/>
              <w:jc w:val="left"/>
              <w:rPr>
                <w:sz w:val="18"/>
              </w:rPr>
            </w:pPr>
            <w:r>
              <w:rPr>
                <w:sz w:val="18"/>
              </w:rPr>
              <w:t>62</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4</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1</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0"/>
              <w:jc w:val="left"/>
              <w:rPr>
                <w:sz w:val="18"/>
              </w:rPr>
            </w:pPr>
            <w:r>
              <w:rPr>
                <w:sz w:val="18"/>
              </w:rPr>
              <w:t>83</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6</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1" w:right="101"/>
              <w:rPr>
                <w:sz w:val="18"/>
              </w:rPr>
            </w:pPr>
            <w:r>
              <w:rPr>
                <w:sz w:val="18"/>
              </w:rPr>
              <w:t>51</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2</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1</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2"/>
              <w:jc w:val="left"/>
              <w:rPr>
                <w:sz w:val="18"/>
              </w:rPr>
            </w:pPr>
            <w:r>
              <w:rPr>
                <w:sz w:val="18"/>
              </w:rPr>
              <w:t>28</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2</w:t>
            </w:r>
          </w:p>
        </w:tc>
        <w:tc>
          <w:tcPr>
            <w:tcW w:w="545"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47" w:right="45"/>
              <w:rPr>
                <w:b/>
                <w:sz w:val="18"/>
              </w:rPr>
            </w:pPr>
            <w:r>
              <w:rPr>
                <w:b/>
                <w:sz w:val="18"/>
              </w:rPr>
              <w:t>335</w:t>
            </w:r>
          </w:p>
        </w:tc>
      </w:tr>
      <w:tr>
        <w:trPr>
          <w:trHeight w:val="322" w:hRule="exact"/>
        </w:trPr>
        <w:tc>
          <w:tcPr>
            <w:tcW w:w="1570" w:type="dxa"/>
            <w:tcBorders>
              <w:top w:val="single" w:sz="4" w:space="0" w:color="000000"/>
              <w:bottom w:val="single" w:sz="4" w:space="0" w:color="000000"/>
              <w:right w:val="single" w:sz="4" w:space="0" w:color="000000"/>
            </w:tcBorders>
          </w:tcPr>
          <w:p>
            <w:pPr>
              <w:pStyle w:val="TableParagraph"/>
              <w:spacing w:line="201" w:lineRule="exact"/>
              <w:ind w:left="59" w:right="8"/>
              <w:jc w:val="left"/>
              <w:rPr>
                <w:b/>
                <w:sz w:val="18"/>
              </w:rPr>
            </w:pPr>
            <w:r>
              <w:rPr>
                <w:b/>
                <w:sz w:val="18"/>
              </w:rPr>
              <w:t>ZUMPAHUACAN</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15"/>
              <w:jc w:val="lef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3"/>
              <w:jc w:val="lef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45"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
              <w:rPr>
                <w:b/>
                <w:sz w:val="18"/>
              </w:rPr>
            </w:pPr>
            <w:r>
              <w:rPr>
                <w:b/>
                <w:w w:val="99"/>
                <w:sz w:val="18"/>
              </w:rPr>
              <w:t>0</w:t>
            </w:r>
          </w:p>
        </w:tc>
      </w:tr>
      <w:tr>
        <w:trPr>
          <w:trHeight w:val="319" w:hRule="exact"/>
        </w:trPr>
        <w:tc>
          <w:tcPr>
            <w:tcW w:w="1570" w:type="dxa"/>
            <w:tcBorders>
              <w:top w:val="single" w:sz="4" w:space="0" w:color="000000"/>
              <w:bottom w:val="single" w:sz="4" w:space="0" w:color="000000"/>
              <w:right w:val="single" w:sz="4" w:space="0" w:color="000000"/>
            </w:tcBorders>
          </w:tcPr>
          <w:p>
            <w:pPr>
              <w:pStyle w:val="TableParagraph"/>
              <w:spacing w:line="201" w:lineRule="exact"/>
              <w:ind w:left="59" w:right="8"/>
              <w:jc w:val="left"/>
              <w:rPr>
                <w:b/>
                <w:sz w:val="18"/>
              </w:rPr>
            </w:pPr>
            <w:r>
              <w:rPr>
                <w:b/>
                <w:sz w:val="18"/>
              </w:rPr>
              <w:t>ZUMPANGO</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4"/>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3"/>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69"/>
              <w:jc w:val="righ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0"/>
              <w:jc w:val="left"/>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4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15"/>
              <w:jc w:val="lef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3"/>
              <w:jc w:val="left"/>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0"/>
              <w:jc w:val="left"/>
              <w:rPr>
                <w:sz w:val="18"/>
              </w:rPr>
            </w:pPr>
            <w:r>
              <w:rPr>
                <w:sz w:val="18"/>
              </w:rPr>
              <w:t>64</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1" w:right="101"/>
              <w:rPr>
                <w:sz w:val="18"/>
              </w:rPr>
            </w:pPr>
            <w:r>
              <w:rPr>
                <w:sz w:val="18"/>
              </w:rPr>
              <w:t>55</w:t>
            </w:r>
          </w:p>
        </w:tc>
        <w:tc>
          <w:tcPr>
            <w:tcW w:w="4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
              <w:rPr>
                <w:sz w:val="18"/>
              </w:rPr>
            </w:pPr>
            <w:r>
              <w:rPr>
                <w:w w:val="99"/>
                <w:sz w:val="18"/>
              </w:rPr>
              <w:t>0</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72"/>
              <w:jc w:val="left"/>
              <w:rPr>
                <w:sz w:val="18"/>
              </w:rPr>
            </w:pPr>
            <w:r>
              <w:rPr>
                <w:w w:val="99"/>
                <w:sz w:val="18"/>
              </w:rPr>
              <w:t>9</w:t>
            </w:r>
          </w:p>
        </w:tc>
        <w:tc>
          <w:tcPr>
            <w:tcW w:w="45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
              <w:rPr>
                <w:sz w:val="18"/>
              </w:rPr>
            </w:pPr>
            <w:r>
              <w:rPr>
                <w:w w:val="99"/>
                <w:sz w:val="18"/>
              </w:rPr>
              <w:t>3</w:t>
            </w:r>
          </w:p>
        </w:tc>
        <w:tc>
          <w:tcPr>
            <w:tcW w:w="45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45"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47" w:right="45"/>
              <w:rPr>
                <w:b/>
                <w:sz w:val="18"/>
              </w:rPr>
            </w:pPr>
            <w:r>
              <w:rPr>
                <w:b/>
                <w:sz w:val="18"/>
              </w:rPr>
              <w:t>131</w:t>
            </w:r>
          </w:p>
        </w:tc>
      </w:tr>
    </w:tbl>
    <w:p>
      <w:pPr>
        <w:spacing w:line="207" w:lineRule="exact" w:before="0"/>
        <w:ind w:left="196" w:right="0" w:firstLine="0"/>
        <w:jc w:val="left"/>
        <w:rPr>
          <w:sz w:val="18"/>
        </w:rPr>
      </w:pPr>
      <w:r>
        <w:rPr>
          <w:sz w:val="18"/>
        </w:rPr>
        <w:t>Fuente: Elaboración propia con datos del INFOEM.</w:t>
      </w:r>
    </w:p>
    <w:p>
      <w:pPr>
        <w:spacing w:after="0" w:line="207" w:lineRule="exact"/>
        <w:jc w:val="left"/>
        <w:rPr>
          <w:sz w:val="18"/>
        </w:rPr>
        <w:sectPr>
          <w:pgSz w:w="15840" w:h="12240" w:orient="landscape"/>
          <w:pgMar w:header="0" w:footer="975" w:top="1140" w:bottom="1160" w:left="1380" w:right="1140"/>
        </w:sectPr>
      </w:pPr>
    </w:p>
    <w:p>
      <w:pPr>
        <w:pStyle w:val="BodyText"/>
        <w:rPr>
          <w:rFonts w:ascii="Times New Roman"/>
          <w:sz w:val="20"/>
        </w:rPr>
      </w:pPr>
    </w:p>
    <w:p>
      <w:pPr>
        <w:pStyle w:val="BodyText"/>
        <w:spacing w:before="10"/>
        <w:rPr>
          <w:rFonts w:ascii="Times New Roman"/>
          <w:sz w:val="28"/>
        </w:rPr>
      </w:pPr>
    </w:p>
    <w:tbl>
      <w:tblPr>
        <w:tblW w:w="0" w:type="auto"/>
        <w:jc w:val="left"/>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780"/>
        <w:gridCol w:w="4052"/>
        <w:gridCol w:w="850"/>
        <w:gridCol w:w="5720"/>
      </w:tblGrid>
      <w:tr>
        <w:trPr>
          <w:trHeight w:val="430" w:hRule="exact"/>
        </w:trPr>
        <w:tc>
          <w:tcPr>
            <w:tcW w:w="14402" w:type="dxa"/>
            <w:gridSpan w:val="4"/>
            <w:shd w:val="clear" w:color="auto" w:fill="92D050"/>
          </w:tcPr>
          <w:p>
            <w:pPr>
              <w:pStyle w:val="TableParagraph"/>
              <w:spacing w:before="44"/>
              <w:ind w:left="3377"/>
              <w:jc w:val="left"/>
              <w:rPr>
                <w:b/>
                <w:sz w:val="18"/>
              </w:rPr>
            </w:pPr>
            <w:r>
              <w:rPr>
                <w:b/>
                <w:sz w:val="18"/>
              </w:rPr>
              <w:t>Anexo 22. Municipios que publican apartado de responsable de la unidad de información</w:t>
            </w:r>
          </w:p>
        </w:tc>
      </w:tr>
      <w:tr>
        <w:trPr>
          <w:trHeight w:val="1272" w:hRule="exact"/>
        </w:trPr>
        <w:tc>
          <w:tcPr>
            <w:tcW w:w="3780" w:type="dxa"/>
            <w:tcBorders>
              <w:right w:val="single" w:sz="4" w:space="0" w:color="000000"/>
            </w:tcBorders>
            <w:shd w:val="clear" w:color="auto" w:fill="C5DFB3"/>
          </w:tcPr>
          <w:p>
            <w:pPr>
              <w:pStyle w:val="TableParagraph"/>
              <w:jc w:val="left"/>
              <w:rPr>
                <w:rFonts w:ascii="Times New Roman"/>
                <w:sz w:val="18"/>
              </w:rPr>
            </w:pPr>
          </w:p>
          <w:p>
            <w:pPr>
              <w:pStyle w:val="TableParagraph"/>
              <w:spacing w:before="4"/>
              <w:jc w:val="left"/>
              <w:rPr>
                <w:rFonts w:ascii="Times New Roman"/>
                <w:sz w:val="22"/>
              </w:rPr>
            </w:pPr>
          </w:p>
          <w:p>
            <w:pPr>
              <w:pStyle w:val="TableParagraph"/>
              <w:spacing w:before="1"/>
              <w:ind w:left="1441" w:right="1444"/>
              <w:rPr>
                <w:b/>
                <w:sz w:val="18"/>
              </w:rPr>
            </w:pPr>
            <w:r>
              <w:rPr>
                <w:b/>
                <w:sz w:val="18"/>
              </w:rPr>
              <w:t>Municipio</w:t>
            </w:r>
          </w:p>
        </w:tc>
        <w:tc>
          <w:tcPr>
            <w:tcW w:w="4052" w:type="dxa"/>
            <w:tcBorders>
              <w:left w:val="single" w:sz="4" w:space="0" w:color="000000"/>
              <w:right w:val="single" w:sz="4" w:space="0" w:color="000000"/>
            </w:tcBorders>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17"/>
              </w:rPr>
            </w:pPr>
          </w:p>
          <w:p>
            <w:pPr>
              <w:pStyle w:val="TableParagraph"/>
              <w:spacing w:before="1"/>
              <w:jc w:val="left"/>
              <w:rPr>
                <w:b/>
                <w:sz w:val="18"/>
              </w:rPr>
            </w:pPr>
            <w:r>
              <w:rPr>
                <w:b/>
                <w:w w:val="99"/>
                <w:sz w:val="18"/>
              </w:rPr>
              <w:t>Res</w:t>
            </w:r>
            <w:r>
              <w:rPr>
                <w:b/>
                <w:w w:val="100"/>
                <w:sz w:val="18"/>
              </w:rPr>
              <w:t>po</w:t>
            </w:r>
            <w:r>
              <w:rPr>
                <w:b/>
                <w:sz w:val="18"/>
              </w:rPr>
              <w:t>n</w:t>
            </w:r>
            <w:r>
              <w:rPr>
                <w:b/>
                <w:spacing w:val="-2"/>
                <w:sz w:val="18"/>
              </w:rPr>
              <w:t>s</w:t>
            </w:r>
            <w:r>
              <w:rPr>
                <w:b/>
                <w:w w:val="99"/>
                <w:sz w:val="18"/>
              </w:rPr>
              <w:t>a</w:t>
            </w:r>
            <w:r>
              <w:rPr>
                <w:b/>
                <w:w w:val="100"/>
                <w:sz w:val="18"/>
              </w:rPr>
              <w:t>bl</w:t>
            </w:r>
            <w:r>
              <w:rPr>
                <w:b/>
                <w:w w:val="99"/>
                <w:sz w:val="18"/>
              </w:rPr>
              <w:t>e</w:t>
            </w:r>
          </w:p>
        </w:tc>
        <w:tc>
          <w:tcPr>
            <w:tcW w:w="850" w:type="dxa"/>
            <w:tcBorders>
              <w:left w:val="single" w:sz="4" w:space="0" w:color="000000"/>
              <w:right w:val="single" w:sz="4" w:space="0" w:color="000000"/>
            </w:tcBorders>
            <w:shd w:val="clear" w:color="auto" w:fill="C5DFB3"/>
            <w:textDirection w:val="btLr"/>
          </w:tcPr>
          <w:p>
            <w:pPr>
              <w:pStyle w:val="TableParagraph"/>
              <w:spacing w:line="369" w:lineRule="auto" w:before="100"/>
              <w:ind w:right="307"/>
              <w:jc w:val="left"/>
              <w:rPr>
                <w:b/>
                <w:sz w:val="18"/>
              </w:rPr>
            </w:pPr>
            <w:r>
              <w:rPr>
                <w:b/>
                <w:w w:val="99"/>
                <w:sz w:val="18"/>
              </w:rPr>
              <w:t>Profe</w:t>
            </w:r>
            <w:r>
              <w:rPr>
                <w:b/>
                <w:w w:val="99"/>
                <w:sz w:val="18"/>
              </w:rPr>
              <w:t>s</w:t>
            </w:r>
            <w:r>
              <w:rPr>
                <w:b/>
                <w:w w:val="100"/>
                <w:sz w:val="18"/>
              </w:rPr>
              <w:t>ión</w:t>
            </w:r>
            <w:r>
              <w:rPr>
                <w:b/>
                <w:sz w:val="18"/>
              </w:rPr>
              <w:t> </w:t>
            </w:r>
            <w:r>
              <w:rPr>
                <w:b/>
                <w:w w:val="100"/>
                <w:sz w:val="18"/>
              </w:rPr>
              <w:t>/ </w:t>
            </w:r>
            <w:r>
              <w:rPr>
                <w:b/>
                <w:spacing w:val="-1"/>
                <w:w w:val="100"/>
                <w:sz w:val="18"/>
              </w:rPr>
              <w:t>G</w:t>
            </w:r>
            <w:r>
              <w:rPr>
                <w:b/>
                <w:w w:val="99"/>
                <w:sz w:val="18"/>
              </w:rPr>
              <w:t>rad</w:t>
            </w:r>
            <w:r>
              <w:rPr>
                <w:b/>
                <w:w w:val="100"/>
                <w:sz w:val="18"/>
              </w:rPr>
              <w:t>o</w:t>
            </w:r>
          </w:p>
        </w:tc>
        <w:tc>
          <w:tcPr>
            <w:tcW w:w="5720" w:type="dxa"/>
            <w:tcBorders>
              <w:left w:val="single" w:sz="4" w:space="0" w:color="000000"/>
            </w:tcBorders>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18"/>
              </w:rPr>
            </w:pPr>
          </w:p>
          <w:p>
            <w:pPr>
              <w:pStyle w:val="TableParagraph"/>
              <w:jc w:val="left"/>
              <w:rPr>
                <w:b/>
                <w:sz w:val="18"/>
              </w:rPr>
            </w:pPr>
            <w:r>
              <w:rPr>
                <w:b/>
                <w:w w:val="99"/>
                <w:sz w:val="18"/>
              </w:rPr>
              <w:t>Cargo </w:t>
            </w:r>
            <w:r>
              <w:rPr>
                <w:b/>
                <w:w w:val="99"/>
                <w:sz w:val="18"/>
              </w:rPr>
              <w:t>(s</w:t>
            </w:r>
            <w:r>
              <w:rPr>
                <w:b/>
                <w:w w:val="99"/>
                <w:sz w:val="18"/>
              </w:rPr>
              <w:t>)</w:t>
            </w:r>
          </w:p>
        </w:tc>
      </w:tr>
      <w:tr>
        <w:trPr>
          <w:trHeight w:val="326" w:hRule="exact"/>
        </w:trPr>
        <w:tc>
          <w:tcPr>
            <w:tcW w:w="3780" w:type="dxa"/>
            <w:tcBorders>
              <w:bottom w:val="single" w:sz="4" w:space="0" w:color="000000"/>
            </w:tcBorders>
          </w:tcPr>
          <w:p>
            <w:pPr>
              <w:pStyle w:val="TableParagraph"/>
              <w:spacing w:line="201" w:lineRule="exact"/>
              <w:ind w:left="59"/>
              <w:jc w:val="left"/>
              <w:rPr>
                <w:b/>
                <w:sz w:val="18"/>
              </w:rPr>
            </w:pPr>
            <w:r>
              <w:rPr>
                <w:b/>
                <w:sz w:val="18"/>
              </w:rPr>
              <w:t>ACAMBAY</w:t>
            </w:r>
          </w:p>
        </w:tc>
        <w:tc>
          <w:tcPr>
            <w:tcW w:w="4052" w:type="dxa"/>
            <w:tcBorders>
              <w:bottom w:val="single" w:sz="4" w:space="0" w:color="000000"/>
              <w:right w:val="single" w:sz="4" w:space="0" w:color="000000"/>
            </w:tcBorders>
          </w:tcPr>
          <w:p>
            <w:pPr>
              <w:pStyle w:val="TableParagraph"/>
              <w:spacing w:line="206" w:lineRule="exact"/>
              <w:ind w:left="415"/>
              <w:jc w:val="left"/>
              <w:rPr>
                <w:sz w:val="18"/>
              </w:rPr>
            </w:pPr>
            <w:r>
              <w:rPr>
                <w:sz w:val="18"/>
              </w:rPr>
              <w:t>L. A. B. Marco Antonio López Balvanera</w:t>
            </w:r>
          </w:p>
        </w:tc>
        <w:tc>
          <w:tcPr>
            <w:tcW w:w="850" w:type="dxa"/>
            <w:tcBorders>
              <w:left w:val="single" w:sz="4" w:space="0" w:color="000000"/>
              <w:bottom w:val="single" w:sz="4" w:space="0" w:color="000000"/>
              <w:right w:val="single" w:sz="4" w:space="0" w:color="000000"/>
            </w:tcBorders>
          </w:tcPr>
          <w:p>
            <w:pPr>
              <w:pStyle w:val="TableParagraph"/>
              <w:spacing w:line="206" w:lineRule="exact"/>
              <w:ind w:left="69" w:right="69"/>
              <w:rPr>
                <w:sz w:val="18"/>
              </w:rPr>
            </w:pPr>
            <w:r>
              <w:rPr>
                <w:sz w:val="18"/>
              </w:rPr>
              <w:t>Lic.</w:t>
            </w:r>
          </w:p>
        </w:tc>
        <w:tc>
          <w:tcPr>
            <w:tcW w:w="5720" w:type="dxa"/>
            <w:tcBorders>
              <w:left w:val="single" w:sz="4" w:space="0" w:color="000000"/>
              <w:bottom w:val="single" w:sz="4" w:space="0" w:color="000000"/>
              <w:right w:val="single" w:sz="4" w:space="0" w:color="000000"/>
            </w:tcBorders>
          </w:tcPr>
          <w:p>
            <w:pPr>
              <w:pStyle w:val="TableParagraph"/>
              <w:spacing w:line="206" w:lineRule="exact"/>
              <w:ind w:left="67" w:right="67"/>
              <w:rPr>
                <w:sz w:val="18"/>
              </w:rPr>
            </w:pPr>
            <w:r>
              <w:rPr>
                <w:sz w:val="18"/>
              </w:rPr>
              <w:t>Titular de la Unidad de Acceso a la Información</w:t>
            </w:r>
          </w:p>
        </w:tc>
      </w:tr>
      <w:tr>
        <w:trPr>
          <w:trHeight w:val="320"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ACOLMAN</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134" w:right="136"/>
              <w:rPr>
                <w:sz w:val="18"/>
              </w:rPr>
            </w:pPr>
            <w:r>
              <w:rPr>
                <w:sz w:val="18"/>
              </w:rPr>
              <w:t>Lic. León Felipe Tovar Guerra</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69"/>
              <w:rPr>
                <w:sz w:val="18"/>
              </w:rPr>
            </w:pPr>
            <w:r>
              <w:rPr>
                <w:sz w:val="18"/>
              </w:rPr>
              <w:t>Lic.</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6" w:right="69"/>
              <w:rPr>
                <w:sz w:val="18"/>
              </w:rPr>
            </w:pPr>
            <w:r>
              <w:rPr>
                <w:sz w:val="18"/>
              </w:rPr>
              <w:t>Director De Planeación, Titular De La Unidad De Información</w:t>
            </w:r>
          </w:p>
        </w:tc>
      </w:tr>
      <w:tr>
        <w:trPr>
          <w:trHeight w:val="322"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ACULCO</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134" w:right="138"/>
              <w:rPr>
                <w:sz w:val="18"/>
              </w:rPr>
            </w:pPr>
            <w:r>
              <w:rPr>
                <w:sz w:val="18"/>
              </w:rPr>
              <w:t>Lic. Flor Escamilla Lara</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69"/>
              <w:rPr>
                <w:sz w:val="18"/>
              </w:rPr>
            </w:pPr>
            <w:r>
              <w:rPr>
                <w:sz w:val="18"/>
              </w:rPr>
              <w:t>Lic.</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9"/>
              <w:rPr>
                <w:sz w:val="18"/>
              </w:rPr>
            </w:pPr>
            <w:r>
              <w:rPr>
                <w:sz w:val="18"/>
              </w:rPr>
              <w:t>Titular De La Unidad De Información, Jefe De Departamento</w:t>
            </w:r>
          </w:p>
        </w:tc>
      </w:tr>
      <w:tr>
        <w:trPr>
          <w:trHeight w:val="319"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ALMOLOYA DE ALQUISIRAS</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826"/>
              <w:jc w:val="left"/>
              <w:rPr>
                <w:sz w:val="18"/>
              </w:rPr>
            </w:pPr>
            <w:r>
              <w:rPr>
                <w:sz w:val="18"/>
              </w:rPr>
              <w:t>P.L.C Federico Cruz Martínez</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70"/>
              <w:rPr>
                <w:sz w:val="18"/>
              </w:rPr>
            </w:pPr>
            <w:r>
              <w:rPr>
                <w:sz w:val="18"/>
              </w:rPr>
              <w:t>Pasante</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9"/>
              <w:rPr>
                <w:sz w:val="18"/>
              </w:rPr>
            </w:pPr>
            <w:r>
              <w:rPr>
                <w:sz w:val="18"/>
              </w:rPr>
              <w:t>Titular De La Unidad De Información Municipal</w:t>
            </w:r>
          </w:p>
        </w:tc>
      </w:tr>
      <w:tr>
        <w:trPr>
          <w:trHeight w:val="322"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ALMOLOYA DE JUAREZ</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134" w:right="141"/>
              <w:rPr>
                <w:sz w:val="18"/>
              </w:rPr>
            </w:pPr>
            <w:r>
              <w:rPr>
                <w:sz w:val="18"/>
              </w:rPr>
              <w:t>Contador Fiscal José Jesús Dávila Mondragón</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69"/>
              <w:rPr>
                <w:sz w:val="18"/>
              </w:rPr>
            </w:pPr>
            <w:r>
              <w:rPr>
                <w:sz w:val="18"/>
              </w:rPr>
              <w:t>Lic.</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8"/>
              <w:rPr>
                <w:sz w:val="18"/>
              </w:rPr>
            </w:pPr>
            <w:r>
              <w:rPr>
                <w:sz w:val="18"/>
              </w:rPr>
              <w:t>Director De Planeación, Titular De La Unidad De Información</w:t>
            </w:r>
          </w:p>
        </w:tc>
      </w:tr>
      <w:tr>
        <w:trPr>
          <w:trHeight w:val="319"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ALMOLOYA DEL RIO</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891"/>
              <w:jc w:val="left"/>
              <w:rPr>
                <w:sz w:val="18"/>
              </w:rPr>
            </w:pPr>
            <w:r>
              <w:rPr>
                <w:sz w:val="18"/>
              </w:rPr>
              <w:t>C. Oscar Alvarado Longinos</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70"/>
              <w:rPr>
                <w:sz w:val="18"/>
              </w:rPr>
            </w:pPr>
            <w:r>
              <w:rPr>
                <w:sz w:val="18"/>
              </w:rPr>
              <w:t>NO</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9"/>
              <w:rPr>
                <w:sz w:val="18"/>
              </w:rPr>
            </w:pPr>
            <w:r>
              <w:rPr>
                <w:sz w:val="18"/>
              </w:rPr>
              <w:t>Titular De La Unidad De Información</w:t>
            </w:r>
          </w:p>
        </w:tc>
      </w:tr>
      <w:tr>
        <w:trPr>
          <w:trHeight w:val="322"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AMANALCO</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720"/>
              <w:jc w:val="left"/>
              <w:rPr>
                <w:sz w:val="18"/>
              </w:rPr>
            </w:pPr>
            <w:r>
              <w:rPr>
                <w:sz w:val="18"/>
              </w:rPr>
              <w:t>C. María Adriana Santos Beltrán</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70"/>
              <w:rPr>
                <w:sz w:val="18"/>
              </w:rPr>
            </w:pPr>
            <w:r>
              <w:rPr>
                <w:sz w:val="18"/>
              </w:rPr>
              <w:t>NO</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9"/>
              <w:rPr>
                <w:sz w:val="18"/>
              </w:rPr>
            </w:pPr>
            <w:r>
              <w:rPr>
                <w:sz w:val="18"/>
              </w:rPr>
              <w:t>Titular De La Unidad De Información Municipal</w:t>
            </w:r>
          </w:p>
        </w:tc>
      </w:tr>
      <w:tr>
        <w:trPr>
          <w:trHeight w:val="319"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AMATEPEC</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134" w:right="140"/>
              <w:rPr>
                <w:sz w:val="18"/>
              </w:rPr>
            </w:pPr>
            <w:r>
              <w:rPr>
                <w:sz w:val="18"/>
              </w:rPr>
              <w:t>Lic. Jhonny Onel Hernandez Salazar</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69"/>
              <w:rPr>
                <w:sz w:val="18"/>
              </w:rPr>
            </w:pPr>
            <w:r>
              <w:rPr>
                <w:sz w:val="18"/>
              </w:rPr>
              <w:t>Lic.</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7"/>
              <w:rPr>
                <w:sz w:val="18"/>
              </w:rPr>
            </w:pPr>
            <w:r>
              <w:rPr>
                <w:sz w:val="18"/>
              </w:rPr>
              <w:t>Titular De La Unidad De Información. Juridico</w:t>
            </w:r>
          </w:p>
        </w:tc>
      </w:tr>
      <w:tr>
        <w:trPr>
          <w:trHeight w:val="322"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AMECAMECA</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955"/>
              <w:jc w:val="left"/>
              <w:rPr>
                <w:sz w:val="18"/>
              </w:rPr>
            </w:pPr>
            <w:r>
              <w:rPr>
                <w:sz w:val="18"/>
              </w:rPr>
              <w:t>P.L.D. Joel Arenas Galván</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70"/>
              <w:rPr>
                <w:sz w:val="18"/>
              </w:rPr>
            </w:pPr>
            <w:r>
              <w:rPr>
                <w:sz w:val="18"/>
              </w:rPr>
              <w:t>Pasante</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9"/>
              <w:rPr>
                <w:sz w:val="18"/>
              </w:rPr>
            </w:pPr>
            <w:r>
              <w:rPr>
                <w:sz w:val="18"/>
              </w:rPr>
              <w:t>Titular De La Unidad De Información</w:t>
            </w:r>
          </w:p>
        </w:tc>
      </w:tr>
      <w:tr>
        <w:trPr>
          <w:trHeight w:val="319"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APAXCO</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134" w:right="136"/>
              <w:rPr>
                <w:sz w:val="18"/>
              </w:rPr>
            </w:pPr>
            <w:r>
              <w:rPr>
                <w:sz w:val="18"/>
              </w:rPr>
              <w:t>Rosa Melchor Monterrubio</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70"/>
              <w:rPr>
                <w:sz w:val="18"/>
              </w:rPr>
            </w:pPr>
            <w:r>
              <w:rPr>
                <w:sz w:val="18"/>
              </w:rPr>
              <w:t>NO</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9"/>
              <w:rPr>
                <w:sz w:val="18"/>
              </w:rPr>
            </w:pPr>
            <w:r>
              <w:rPr>
                <w:sz w:val="18"/>
              </w:rPr>
              <w:t>Titular De La Unidad De Información</w:t>
            </w:r>
          </w:p>
        </w:tc>
      </w:tr>
      <w:tr>
        <w:trPr>
          <w:trHeight w:val="322" w:hRule="exact"/>
        </w:trPr>
        <w:tc>
          <w:tcPr>
            <w:tcW w:w="3780" w:type="dxa"/>
            <w:tcBorders>
              <w:top w:val="single" w:sz="4" w:space="0" w:color="000000"/>
              <w:bottom w:val="single" w:sz="4" w:space="0" w:color="000000"/>
            </w:tcBorders>
          </w:tcPr>
          <w:p>
            <w:pPr>
              <w:pStyle w:val="TableParagraph"/>
              <w:spacing w:line="204" w:lineRule="exact"/>
              <w:ind w:left="59"/>
              <w:jc w:val="left"/>
              <w:rPr>
                <w:b/>
                <w:sz w:val="18"/>
              </w:rPr>
            </w:pPr>
            <w:r>
              <w:rPr>
                <w:b/>
                <w:sz w:val="18"/>
              </w:rPr>
              <w:t>ATENCO</w:t>
            </w:r>
          </w:p>
        </w:tc>
        <w:tc>
          <w:tcPr>
            <w:tcW w:w="4052" w:type="dxa"/>
            <w:tcBorders>
              <w:top w:val="single" w:sz="4" w:space="0" w:color="000000"/>
              <w:bottom w:val="single" w:sz="4" w:space="0" w:color="000000"/>
              <w:right w:val="single" w:sz="4" w:space="0" w:color="000000"/>
            </w:tcBorders>
          </w:tcPr>
          <w:p>
            <w:pPr>
              <w:pStyle w:val="TableParagraph"/>
              <w:spacing w:before="2"/>
              <w:ind w:left="768"/>
              <w:jc w:val="left"/>
              <w:rPr>
                <w:sz w:val="18"/>
              </w:rPr>
            </w:pPr>
            <w:r>
              <w:rPr>
                <w:sz w:val="18"/>
              </w:rPr>
              <w:t>C. Verónica Cruces Hernández</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2"/>
              <w:ind w:left="69" w:right="70"/>
              <w:rPr>
                <w:sz w:val="18"/>
              </w:rPr>
            </w:pPr>
            <w:r>
              <w:rPr>
                <w:sz w:val="18"/>
              </w:rPr>
              <w:t>NO</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before="2"/>
              <w:ind w:left="67" w:right="69"/>
              <w:rPr>
                <w:sz w:val="18"/>
              </w:rPr>
            </w:pPr>
            <w:r>
              <w:rPr>
                <w:sz w:val="18"/>
              </w:rPr>
              <w:t>Titular De La Unidad De Información</w:t>
            </w:r>
          </w:p>
        </w:tc>
      </w:tr>
      <w:tr>
        <w:trPr>
          <w:trHeight w:val="631" w:hRule="exact"/>
        </w:trPr>
        <w:tc>
          <w:tcPr>
            <w:tcW w:w="3780" w:type="dxa"/>
            <w:tcBorders>
              <w:top w:val="single" w:sz="4" w:space="0" w:color="000000"/>
              <w:bottom w:val="single" w:sz="4" w:space="0" w:color="000000"/>
            </w:tcBorders>
          </w:tcPr>
          <w:p>
            <w:pPr>
              <w:pStyle w:val="TableParagraph"/>
              <w:spacing w:before="150"/>
              <w:ind w:left="59"/>
              <w:jc w:val="left"/>
              <w:rPr>
                <w:b/>
                <w:sz w:val="18"/>
              </w:rPr>
            </w:pPr>
            <w:r>
              <w:rPr>
                <w:b/>
                <w:sz w:val="18"/>
              </w:rPr>
              <w:t>ATIZAPAN</w:t>
            </w:r>
          </w:p>
        </w:tc>
        <w:tc>
          <w:tcPr>
            <w:tcW w:w="4052" w:type="dxa"/>
            <w:tcBorders>
              <w:top w:val="single" w:sz="4" w:space="0" w:color="000000"/>
              <w:bottom w:val="single" w:sz="4" w:space="0" w:color="000000"/>
              <w:right w:val="single" w:sz="4" w:space="0" w:color="000000"/>
            </w:tcBorders>
          </w:tcPr>
          <w:p>
            <w:pPr>
              <w:pStyle w:val="TableParagraph"/>
              <w:spacing w:before="155"/>
              <w:ind w:left="134" w:right="139"/>
              <w:rPr>
                <w:sz w:val="18"/>
              </w:rPr>
            </w:pPr>
            <w:r>
              <w:rPr>
                <w:sz w:val="18"/>
              </w:rPr>
              <w:t>Ulises Emmanuell Reyes Conde</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55"/>
              <w:ind w:left="69" w:right="70"/>
              <w:rPr>
                <w:sz w:val="18"/>
              </w:rPr>
            </w:pPr>
            <w:r>
              <w:rPr>
                <w:sz w:val="18"/>
              </w:rPr>
              <w:t>NO</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360" w:lineRule="auto"/>
              <w:ind w:left="1168" w:right="317" w:hanging="838"/>
              <w:jc w:val="left"/>
              <w:rPr>
                <w:sz w:val="18"/>
              </w:rPr>
            </w:pPr>
            <w:r>
              <w:rPr>
                <w:sz w:val="18"/>
              </w:rPr>
              <w:t>Titular De La Unidad De Información. Coordinador Del Área De Transparencia Y Acceso A La Información</w:t>
            </w:r>
          </w:p>
        </w:tc>
      </w:tr>
      <w:tr>
        <w:trPr>
          <w:trHeight w:val="319"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ATIZAPAN DE ZARAGOZA</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350"/>
              <w:jc w:val="left"/>
              <w:rPr>
                <w:sz w:val="18"/>
              </w:rPr>
            </w:pPr>
            <w:r>
              <w:rPr>
                <w:sz w:val="18"/>
              </w:rPr>
              <w:t>M. En D. U. Arturo Hernández Hernández</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4" w:right="70"/>
              <w:rPr>
                <w:sz w:val="18"/>
              </w:rPr>
            </w:pPr>
            <w:r>
              <w:rPr>
                <w:sz w:val="18"/>
              </w:rPr>
              <w:t>M.</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6"/>
              <w:rPr>
                <w:sz w:val="18"/>
              </w:rPr>
            </w:pPr>
            <w:r>
              <w:rPr>
                <w:sz w:val="18"/>
              </w:rPr>
              <w:t>Titular De La Unidad De Información.Subdirector De Planeación</w:t>
            </w:r>
          </w:p>
        </w:tc>
      </w:tr>
      <w:tr>
        <w:trPr>
          <w:trHeight w:val="322" w:hRule="exact"/>
        </w:trPr>
        <w:tc>
          <w:tcPr>
            <w:tcW w:w="3780" w:type="dxa"/>
            <w:tcBorders>
              <w:top w:val="single" w:sz="4" w:space="0" w:color="000000"/>
              <w:bottom w:val="single" w:sz="4" w:space="0" w:color="000000"/>
            </w:tcBorders>
          </w:tcPr>
          <w:p>
            <w:pPr>
              <w:pStyle w:val="TableParagraph"/>
              <w:spacing w:line="204" w:lineRule="exact"/>
              <w:ind w:left="59"/>
              <w:jc w:val="left"/>
              <w:rPr>
                <w:b/>
                <w:sz w:val="18"/>
              </w:rPr>
            </w:pPr>
            <w:r>
              <w:rPr>
                <w:b/>
                <w:sz w:val="18"/>
              </w:rPr>
              <w:t>ATLACOMULCO</w:t>
            </w:r>
          </w:p>
        </w:tc>
        <w:tc>
          <w:tcPr>
            <w:tcW w:w="4052" w:type="dxa"/>
            <w:tcBorders>
              <w:top w:val="single" w:sz="4" w:space="0" w:color="000000"/>
              <w:bottom w:val="single" w:sz="4" w:space="0" w:color="000000"/>
              <w:right w:val="single" w:sz="4" w:space="0" w:color="000000"/>
            </w:tcBorders>
          </w:tcPr>
          <w:p>
            <w:pPr>
              <w:pStyle w:val="TableParagraph"/>
              <w:spacing w:before="1"/>
              <w:ind w:left="134" w:right="139"/>
              <w:rPr>
                <w:sz w:val="18"/>
              </w:rPr>
            </w:pPr>
            <w:r>
              <w:rPr>
                <w:sz w:val="18"/>
              </w:rPr>
              <w:t>Jose David Escamilla Santana</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
              <w:ind w:left="69" w:right="70"/>
              <w:rPr>
                <w:sz w:val="18"/>
              </w:rPr>
            </w:pPr>
            <w:r>
              <w:rPr>
                <w:sz w:val="18"/>
              </w:rPr>
              <w:t>NO</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before="1"/>
              <w:ind w:left="66" w:right="69"/>
              <w:rPr>
                <w:sz w:val="18"/>
              </w:rPr>
            </w:pPr>
            <w:r>
              <w:rPr>
                <w:sz w:val="18"/>
              </w:rPr>
              <w:t>Titular De La Unidad De Información. Director De Planeación</w:t>
            </w:r>
          </w:p>
        </w:tc>
      </w:tr>
      <w:tr>
        <w:trPr>
          <w:trHeight w:val="319"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ATLAUTLA</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1061"/>
              <w:jc w:val="left"/>
              <w:rPr>
                <w:sz w:val="18"/>
              </w:rPr>
            </w:pPr>
            <w:r>
              <w:rPr>
                <w:sz w:val="18"/>
              </w:rPr>
              <w:t>C. Edith Robledo Mateo</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70"/>
              <w:rPr>
                <w:sz w:val="18"/>
              </w:rPr>
            </w:pPr>
            <w:r>
              <w:rPr>
                <w:sz w:val="18"/>
              </w:rPr>
              <w:t>NO</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8"/>
              <w:rPr>
                <w:sz w:val="18"/>
              </w:rPr>
            </w:pPr>
            <w:r>
              <w:rPr>
                <w:sz w:val="18"/>
              </w:rPr>
              <w:t>Titular De La Unidad de Información</w:t>
            </w:r>
          </w:p>
        </w:tc>
      </w:tr>
      <w:tr>
        <w:trPr>
          <w:trHeight w:val="631" w:hRule="exact"/>
        </w:trPr>
        <w:tc>
          <w:tcPr>
            <w:tcW w:w="3780" w:type="dxa"/>
            <w:tcBorders>
              <w:top w:val="single" w:sz="4" w:space="0" w:color="000000"/>
              <w:bottom w:val="single" w:sz="4" w:space="0" w:color="000000"/>
            </w:tcBorders>
          </w:tcPr>
          <w:p>
            <w:pPr>
              <w:pStyle w:val="TableParagraph"/>
              <w:spacing w:before="150"/>
              <w:ind w:left="59"/>
              <w:jc w:val="left"/>
              <w:rPr>
                <w:b/>
                <w:sz w:val="18"/>
              </w:rPr>
            </w:pPr>
            <w:r>
              <w:rPr>
                <w:b/>
                <w:sz w:val="18"/>
              </w:rPr>
              <w:t>AXAPUSCO</w:t>
            </w:r>
          </w:p>
        </w:tc>
        <w:tc>
          <w:tcPr>
            <w:tcW w:w="4052" w:type="dxa"/>
            <w:tcBorders>
              <w:top w:val="single" w:sz="4" w:space="0" w:color="000000"/>
              <w:bottom w:val="single" w:sz="4" w:space="0" w:color="000000"/>
              <w:right w:val="single" w:sz="4" w:space="0" w:color="000000"/>
            </w:tcBorders>
          </w:tcPr>
          <w:p>
            <w:pPr>
              <w:pStyle w:val="TableParagraph"/>
              <w:spacing w:before="155"/>
              <w:ind w:left="134" w:right="141"/>
              <w:rPr>
                <w:sz w:val="18"/>
              </w:rPr>
            </w:pPr>
            <w:r>
              <w:rPr>
                <w:sz w:val="18"/>
              </w:rPr>
              <w:t>Lic. Economía Oscar Juárez Pastrana</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55"/>
              <w:ind w:left="69" w:right="69"/>
              <w:rPr>
                <w:sz w:val="18"/>
              </w:rPr>
            </w:pPr>
            <w:r>
              <w:rPr>
                <w:sz w:val="18"/>
              </w:rPr>
              <w:t>Lic.</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360" w:lineRule="auto" w:before="1"/>
              <w:ind w:left="2524" w:right="91" w:hanging="2417"/>
              <w:jc w:val="left"/>
              <w:rPr>
                <w:sz w:val="18"/>
              </w:rPr>
            </w:pPr>
            <w:r>
              <w:rPr>
                <w:sz w:val="18"/>
              </w:rPr>
              <w:t>Presidente Del Comité De Información (Titular). Secretaria Titular De La Uiaip</w:t>
            </w:r>
          </w:p>
        </w:tc>
      </w:tr>
      <w:tr>
        <w:trPr>
          <w:trHeight w:val="322" w:hRule="exact"/>
        </w:trPr>
        <w:tc>
          <w:tcPr>
            <w:tcW w:w="3780" w:type="dxa"/>
            <w:tcBorders>
              <w:top w:val="single" w:sz="4" w:space="0" w:color="000000"/>
              <w:bottom w:val="single" w:sz="4" w:space="0" w:color="000000"/>
            </w:tcBorders>
          </w:tcPr>
          <w:p>
            <w:pPr>
              <w:pStyle w:val="TableParagraph"/>
              <w:spacing w:line="202" w:lineRule="exact"/>
              <w:ind w:left="59"/>
              <w:jc w:val="left"/>
              <w:rPr>
                <w:b/>
                <w:sz w:val="18"/>
              </w:rPr>
            </w:pPr>
            <w:r>
              <w:rPr>
                <w:b/>
                <w:sz w:val="18"/>
              </w:rPr>
              <w:t>AYAPANGO</w:t>
            </w:r>
          </w:p>
        </w:tc>
        <w:tc>
          <w:tcPr>
            <w:tcW w:w="4052" w:type="dxa"/>
            <w:tcBorders>
              <w:top w:val="single" w:sz="4" w:space="0" w:color="000000"/>
              <w:bottom w:val="single" w:sz="4" w:space="0" w:color="000000"/>
              <w:right w:val="single" w:sz="4" w:space="0" w:color="000000"/>
            </w:tcBorders>
          </w:tcPr>
          <w:p>
            <w:pPr>
              <w:pStyle w:val="TableParagraph"/>
              <w:spacing w:line="207" w:lineRule="exact"/>
              <w:ind w:left="134" w:right="139"/>
              <w:rPr>
                <w:sz w:val="18"/>
              </w:rPr>
            </w:pPr>
            <w:r>
              <w:rPr>
                <w:sz w:val="18"/>
              </w:rPr>
              <w:t>Jose David Velazquez Moreno</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69" w:right="70"/>
              <w:rPr>
                <w:sz w:val="18"/>
              </w:rPr>
            </w:pPr>
            <w:r>
              <w:rPr>
                <w:sz w:val="18"/>
              </w:rPr>
              <w:t>NO</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67" w:right="68"/>
              <w:rPr>
                <w:sz w:val="18"/>
              </w:rPr>
            </w:pPr>
            <w:r>
              <w:rPr>
                <w:sz w:val="18"/>
              </w:rPr>
              <w:t>Titular De La Unidad de Información</w:t>
            </w:r>
          </w:p>
        </w:tc>
      </w:tr>
    </w:tbl>
    <w:p>
      <w:pPr>
        <w:spacing w:after="0" w:line="207" w:lineRule="exact"/>
        <w:rPr>
          <w:sz w:val="18"/>
        </w:rPr>
        <w:sectPr>
          <w:pgSz w:w="15840" w:h="12240" w:orient="landscape"/>
          <w:pgMar w:header="0" w:footer="975" w:top="1140" w:bottom="1160" w:left="600" w:right="580"/>
        </w:sectPr>
      </w:pPr>
    </w:p>
    <w:p>
      <w:pPr>
        <w:pStyle w:val="BodyText"/>
        <w:rPr>
          <w:rFonts w:ascii="Times New Roman"/>
          <w:sz w:val="20"/>
        </w:rPr>
      </w:pPr>
    </w:p>
    <w:p>
      <w:pPr>
        <w:pStyle w:val="BodyText"/>
        <w:spacing w:before="10"/>
        <w:rPr>
          <w:rFonts w:ascii="Times New Roman"/>
          <w:sz w:val="28"/>
        </w:rPr>
      </w:pPr>
    </w:p>
    <w:tbl>
      <w:tblPr>
        <w:tblW w:w="0" w:type="auto"/>
        <w:jc w:val="left"/>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780"/>
        <w:gridCol w:w="4052"/>
        <w:gridCol w:w="850"/>
        <w:gridCol w:w="5720"/>
      </w:tblGrid>
      <w:tr>
        <w:trPr>
          <w:trHeight w:val="430" w:hRule="exact"/>
        </w:trPr>
        <w:tc>
          <w:tcPr>
            <w:tcW w:w="14402" w:type="dxa"/>
            <w:gridSpan w:val="4"/>
            <w:shd w:val="clear" w:color="auto" w:fill="92D050"/>
          </w:tcPr>
          <w:p>
            <w:pPr>
              <w:pStyle w:val="TableParagraph"/>
              <w:spacing w:before="44"/>
              <w:ind w:left="2719"/>
              <w:jc w:val="left"/>
              <w:rPr>
                <w:b/>
                <w:sz w:val="18"/>
              </w:rPr>
            </w:pPr>
            <w:r>
              <w:rPr>
                <w:b/>
                <w:sz w:val="18"/>
              </w:rPr>
              <w:t>Anexo 22. Municipios que publican apartado de responsable de la unidad de información (Continuación)</w:t>
            </w:r>
          </w:p>
        </w:tc>
      </w:tr>
      <w:tr>
        <w:trPr>
          <w:trHeight w:val="1272" w:hRule="exact"/>
        </w:trPr>
        <w:tc>
          <w:tcPr>
            <w:tcW w:w="3780" w:type="dxa"/>
            <w:tcBorders>
              <w:right w:val="single" w:sz="4" w:space="0" w:color="000000"/>
            </w:tcBorders>
            <w:shd w:val="clear" w:color="auto" w:fill="C5DFB3"/>
          </w:tcPr>
          <w:p>
            <w:pPr>
              <w:pStyle w:val="TableParagraph"/>
              <w:jc w:val="left"/>
              <w:rPr>
                <w:rFonts w:ascii="Times New Roman"/>
                <w:sz w:val="18"/>
              </w:rPr>
            </w:pPr>
          </w:p>
          <w:p>
            <w:pPr>
              <w:pStyle w:val="TableParagraph"/>
              <w:spacing w:before="4"/>
              <w:jc w:val="left"/>
              <w:rPr>
                <w:rFonts w:ascii="Times New Roman"/>
                <w:sz w:val="22"/>
              </w:rPr>
            </w:pPr>
          </w:p>
          <w:p>
            <w:pPr>
              <w:pStyle w:val="TableParagraph"/>
              <w:spacing w:before="1"/>
              <w:ind w:left="1441" w:right="1444"/>
              <w:rPr>
                <w:b/>
                <w:sz w:val="18"/>
              </w:rPr>
            </w:pPr>
            <w:r>
              <w:rPr>
                <w:b/>
                <w:sz w:val="18"/>
              </w:rPr>
              <w:t>Municipio</w:t>
            </w:r>
          </w:p>
        </w:tc>
        <w:tc>
          <w:tcPr>
            <w:tcW w:w="4052" w:type="dxa"/>
            <w:tcBorders>
              <w:left w:val="single" w:sz="4" w:space="0" w:color="000000"/>
              <w:right w:val="single" w:sz="4" w:space="0" w:color="000000"/>
            </w:tcBorders>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17"/>
              </w:rPr>
            </w:pPr>
          </w:p>
          <w:p>
            <w:pPr>
              <w:pStyle w:val="TableParagraph"/>
              <w:spacing w:before="1"/>
              <w:jc w:val="left"/>
              <w:rPr>
                <w:b/>
                <w:sz w:val="18"/>
              </w:rPr>
            </w:pPr>
            <w:r>
              <w:rPr>
                <w:b/>
                <w:w w:val="99"/>
                <w:sz w:val="18"/>
              </w:rPr>
              <w:t>Res</w:t>
            </w:r>
            <w:r>
              <w:rPr>
                <w:b/>
                <w:w w:val="100"/>
                <w:sz w:val="18"/>
              </w:rPr>
              <w:t>pon</w:t>
            </w:r>
            <w:r>
              <w:rPr>
                <w:b/>
                <w:spacing w:val="-2"/>
                <w:w w:val="99"/>
                <w:sz w:val="18"/>
              </w:rPr>
              <w:t>s</w:t>
            </w:r>
            <w:r>
              <w:rPr>
                <w:b/>
                <w:w w:val="99"/>
                <w:sz w:val="18"/>
              </w:rPr>
              <w:t>a</w:t>
            </w:r>
            <w:r>
              <w:rPr>
                <w:b/>
                <w:w w:val="100"/>
                <w:sz w:val="18"/>
              </w:rPr>
              <w:t>bl</w:t>
            </w:r>
            <w:r>
              <w:rPr>
                <w:b/>
                <w:w w:val="99"/>
                <w:sz w:val="18"/>
              </w:rPr>
              <w:t>e</w:t>
            </w:r>
          </w:p>
        </w:tc>
        <w:tc>
          <w:tcPr>
            <w:tcW w:w="850" w:type="dxa"/>
            <w:tcBorders>
              <w:left w:val="single" w:sz="4" w:space="0" w:color="000000"/>
              <w:right w:val="single" w:sz="4" w:space="0" w:color="000000"/>
            </w:tcBorders>
            <w:shd w:val="clear" w:color="auto" w:fill="C5DFB3"/>
            <w:textDirection w:val="btLr"/>
          </w:tcPr>
          <w:p>
            <w:pPr>
              <w:pStyle w:val="TableParagraph"/>
              <w:spacing w:line="369" w:lineRule="auto" w:before="100"/>
              <w:ind w:right="307"/>
              <w:jc w:val="left"/>
              <w:rPr>
                <w:b/>
                <w:sz w:val="18"/>
              </w:rPr>
            </w:pPr>
            <w:r>
              <w:rPr>
                <w:b/>
                <w:w w:val="99"/>
                <w:sz w:val="18"/>
              </w:rPr>
              <w:t>Profe</w:t>
            </w:r>
            <w:r>
              <w:rPr>
                <w:b/>
                <w:w w:val="99"/>
                <w:sz w:val="18"/>
              </w:rPr>
              <w:t>s</w:t>
            </w:r>
            <w:r>
              <w:rPr>
                <w:b/>
                <w:w w:val="100"/>
                <w:sz w:val="18"/>
              </w:rPr>
              <w:t>ión</w:t>
            </w:r>
            <w:r>
              <w:rPr>
                <w:b/>
                <w:sz w:val="18"/>
              </w:rPr>
              <w:t> </w:t>
            </w:r>
            <w:r>
              <w:rPr>
                <w:b/>
                <w:w w:val="100"/>
                <w:sz w:val="18"/>
              </w:rPr>
              <w:t>/ </w:t>
            </w:r>
            <w:r>
              <w:rPr>
                <w:b/>
                <w:spacing w:val="-1"/>
                <w:w w:val="100"/>
                <w:sz w:val="18"/>
              </w:rPr>
              <w:t>G</w:t>
            </w:r>
            <w:r>
              <w:rPr>
                <w:b/>
                <w:w w:val="99"/>
                <w:sz w:val="18"/>
              </w:rPr>
              <w:t>rad</w:t>
            </w:r>
            <w:r>
              <w:rPr>
                <w:b/>
                <w:w w:val="100"/>
                <w:sz w:val="18"/>
              </w:rPr>
              <w:t>o</w:t>
            </w:r>
          </w:p>
        </w:tc>
        <w:tc>
          <w:tcPr>
            <w:tcW w:w="5720" w:type="dxa"/>
            <w:tcBorders>
              <w:left w:val="single" w:sz="4" w:space="0" w:color="000000"/>
            </w:tcBorders>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18"/>
              </w:rPr>
            </w:pPr>
          </w:p>
          <w:p>
            <w:pPr>
              <w:pStyle w:val="TableParagraph"/>
              <w:jc w:val="left"/>
              <w:rPr>
                <w:b/>
                <w:sz w:val="18"/>
              </w:rPr>
            </w:pPr>
            <w:r>
              <w:rPr>
                <w:b/>
                <w:w w:val="99"/>
                <w:sz w:val="18"/>
              </w:rPr>
              <w:t>Cargo </w:t>
            </w:r>
            <w:r>
              <w:rPr>
                <w:b/>
                <w:w w:val="99"/>
                <w:sz w:val="18"/>
              </w:rPr>
              <w:t>(s</w:t>
            </w:r>
            <w:r>
              <w:rPr>
                <w:b/>
                <w:w w:val="99"/>
                <w:sz w:val="18"/>
              </w:rPr>
              <w:t>)</w:t>
            </w:r>
          </w:p>
        </w:tc>
      </w:tr>
      <w:tr>
        <w:trPr>
          <w:trHeight w:val="637" w:hRule="exact"/>
        </w:trPr>
        <w:tc>
          <w:tcPr>
            <w:tcW w:w="3780" w:type="dxa"/>
            <w:tcBorders>
              <w:bottom w:val="single" w:sz="4" w:space="0" w:color="000000"/>
            </w:tcBorders>
          </w:tcPr>
          <w:p>
            <w:pPr>
              <w:pStyle w:val="TableParagraph"/>
              <w:spacing w:before="150"/>
              <w:ind w:left="59"/>
              <w:jc w:val="left"/>
              <w:rPr>
                <w:b/>
                <w:sz w:val="18"/>
              </w:rPr>
            </w:pPr>
            <w:r>
              <w:rPr>
                <w:b/>
                <w:color w:val="333333"/>
                <w:sz w:val="18"/>
              </w:rPr>
              <w:t>CALIMAYA</w:t>
            </w:r>
          </w:p>
        </w:tc>
        <w:tc>
          <w:tcPr>
            <w:tcW w:w="4052" w:type="dxa"/>
            <w:tcBorders>
              <w:bottom w:val="single" w:sz="4" w:space="0" w:color="000000"/>
              <w:right w:val="single" w:sz="4" w:space="0" w:color="000000"/>
            </w:tcBorders>
          </w:tcPr>
          <w:p>
            <w:pPr>
              <w:pStyle w:val="TableParagraph"/>
              <w:spacing w:before="155"/>
              <w:ind w:left="134" w:right="138"/>
              <w:rPr>
                <w:sz w:val="18"/>
              </w:rPr>
            </w:pPr>
            <w:r>
              <w:rPr>
                <w:sz w:val="18"/>
              </w:rPr>
              <w:t>Lic. Yesika Guadalupe Gómez Carmona</w:t>
            </w:r>
          </w:p>
        </w:tc>
        <w:tc>
          <w:tcPr>
            <w:tcW w:w="850" w:type="dxa"/>
            <w:tcBorders>
              <w:left w:val="single" w:sz="4" w:space="0" w:color="000000"/>
              <w:bottom w:val="single" w:sz="4" w:space="0" w:color="000000"/>
              <w:right w:val="single" w:sz="4" w:space="0" w:color="000000"/>
            </w:tcBorders>
          </w:tcPr>
          <w:p>
            <w:pPr>
              <w:pStyle w:val="TableParagraph"/>
              <w:spacing w:before="155"/>
              <w:ind w:left="69" w:right="69"/>
              <w:rPr>
                <w:sz w:val="18"/>
              </w:rPr>
            </w:pPr>
            <w:r>
              <w:rPr>
                <w:sz w:val="18"/>
              </w:rPr>
              <w:t>Lic.</w:t>
            </w:r>
          </w:p>
        </w:tc>
        <w:tc>
          <w:tcPr>
            <w:tcW w:w="5720" w:type="dxa"/>
            <w:tcBorders>
              <w:left w:val="single" w:sz="4" w:space="0" w:color="000000"/>
              <w:bottom w:val="single" w:sz="4" w:space="0" w:color="000000"/>
              <w:right w:val="single" w:sz="4" w:space="0" w:color="000000"/>
            </w:tcBorders>
          </w:tcPr>
          <w:p>
            <w:pPr>
              <w:pStyle w:val="TableParagraph"/>
              <w:spacing w:line="362" w:lineRule="auto"/>
              <w:ind w:left="1723" w:right="66" w:hanging="1642"/>
              <w:jc w:val="left"/>
              <w:rPr>
                <w:sz w:val="18"/>
              </w:rPr>
            </w:pPr>
            <w:r>
              <w:rPr>
                <w:sz w:val="18"/>
              </w:rPr>
              <w:t>Titular De La Unidad De Información. Coordinadora De La Unidad De Planeación Y Transparencia</w:t>
            </w:r>
          </w:p>
        </w:tc>
      </w:tr>
      <w:tr>
        <w:trPr>
          <w:trHeight w:val="322"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color w:val="333333"/>
                <w:sz w:val="18"/>
              </w:rPr>
              <w:t>CAPULHUAC</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134" w:right="141"/>
              <w:rPr>
                <w:sz w:val="18"/>
              </w:rPr>
            </w:pPr>
            <w:r>
              <w:rPr>
                <w:sz w:val="18"/>
              </w:rPr>
              <w:t>Tec. En A. Ignacio Benitez Bobadilla</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69"/>
              <w:rPr>
                <w:sz w:val="18"/>
              </w:rPr>
            </w:pPr>
            <w:r>
              <w:rPr>
                <w:sz w:val="18"/>
              </w:rPr>
              <w:t>Tec.</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8"/>
              <w:rPr>
                <w:sz w:val="18"/>
              </w:rPr>
            </w:pPr>
            <w:r>
              <w:rPr>
                <w:sz w:val="18"/>
              </w:rPr>
              <w:t>Titular De La Unidad de Información. Auxiliar Administrativo</w:t>
            </w:r>
          </w:p>
        </w:tc>
      </w:tr>
      <w:tr>
        <w:trPr>
          <w:trHeight w:val="319"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color w:val="333333"/>
                <w:sz w:val="18"/>
              </w:rPr>
              <w:t>CHALCO</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790"/>
              <w:jc w:val="left"/>
              <w:rPr>
                <w:sz w:val="18"/>
              </w:rPr>
            </w:pPr>
            <w:r>
              <w:rPr>
                <w:sz w:val="18"/>
              </w:rPr>
              <w:t>P. Lic. Humberto Morales Ríos</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70"/>
              <w:rPr>
                <w:sz w:val="18"/>
              </w:rPr>
            </w:pPr>
            <w:r>
              <w:rPr>
                <w:sz w:val="18"/>
              </w:rPr>
              <w:t>Pasante</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8"/>
              <w:rPr>
                <w:sz w:val="18"/>
              </w:rPr>
            </w:pPr>
            <w:r>
              <w:rPr>
                <w:sz w:val="18"/>
              </w:rPr>
              <w:t>Titular De La Unidad de Información</w:t>
            </w:r>
          </w:p>
        </w:tc>
      </w:tr>
      <w:tr>
        <w:trPr>
          <w:trHeight w:val="322"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color w:val="333333"/>
                <w:sz w:val="18"/>
              </w:rPr>
              <w:t>CHAPA DE MOTA</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134" w:right="137"/>
              <w:rPr>
                <w:sz w:val="18"/>
              </w:rPr>
            </w:pPr>
            <w:r>
              <w:rPr>
                <w:sz w:val="18"/>
              </w:rPr>
              <w:t>Lic. Elizabeth Huitrón Hernández</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69"/>
              <w:rPr>
                <w:sz w:val="18"/>
              </w:rPr>
            </w:pPr>
            <w:r>
              <w:rPr>
                <w:sz w:val="18"/>
              </w:rPr>
              <w:t>Lic.</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8"/>
              <w:rPr>
                <w:sz w:val="18"/>
              </w:rPr>
            </w:pPr>
            <w:r>
              <w:rPr>
                <w:sz w:val="18"/>
              </w:rPr>
              <w:t>Titular De La Unidad de Información</w:t>
            </w:r>
          </w:p>
        </w:tc>
      </w:tr>
      <w:tr>
        <w:trPr>
          <w:trHeight w:val="610" w:hRule="exact"/>
        </w:trPr>
        <w:tc>
          <w:tcPr>
            <w:tcW w:w="3780" w:type="dxa"/>
            <w:tcBorders>
              <w:top w:val="single" w:sz="4" w:space="0" w:color="000000"/>
              <w:bottom w:val="single" w:sz="4" w:space="0" w:color="000000"/>
            </w:tcBorders>
          </w:tcPr>
          <w:p>
            <w:pPr>
              <w:pStyle w:val="TableParagraph"/>
              <w:spacing w:before="138"/>
              <w:ind w:left="59"/>
              <w:jc w:val="left"/>
              <w:rPr>
                <w:b/>
                <w:sz w:val="18"/>
              </w:rPr>
            </w:pPr>
            <w:r>
              <w:rPr>
                <w:b/>
                <w:color w:val="333333"/>
                <w:sz w:val="18"/>
              </w:rPr>
              <w:t>CHAPULTEPEC</w:t>
            </w:r>
          </w:p>
        </w:tc>
        <w:tc>
          <w:tcPr>
            <w:tcW w:w="4052" w:type="dxa"/>
            <w:tcBorders>
              <w:top w:val="single" w:sz="4" w:space="0" w:color="000000"/>
              <w:bottom w:val="single" w:sz="4" w:space="0" w:color="000000"/>
              <w:right w:val="single" w:sz="4" w:space="0" w:color="000000"/>
            </w:tcBorders>
          </w:tcPr>
          <w:p>
            <w:pPr>
              <w:pStyle w:val="TableParagraph"/>
              <w:spacing w:before="143"/>
              <w:ind w:left="554"/>
              <w:jc w:val="left"/>
              <w:rPr>
                <w:sz w:val="18"/>
              </w:rPr>
            </w:pPr>
            <w:r>
              <w:rPr>
                <w:sz w:val="18"/>
              </w:rPr>
              <w:t>L.I.A. Alejandro Cecilio Alfaro Castro</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43"/>
              <w:ind w:left="69" w:right="69"/>
              <w:rPr>
                <w:sz w:val="18"/>
              </w:rPr>
            </w:pPr>
            <w:r>
              <w:rPr>
                <w:sz w:val="18"/>
              </w:rPr>
              <w:t>Lic.</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before="143"/>
              <w:ind w:left="67" w:right="68"/>
              <w:rPr>
                <w:sz w:val="18"/>
              </w:rPr>
            </w:pPr>
            <w:r>
              <w:rPr>
                <w:sz w:val="18"/>
              </w:rPr>
              <w:t>Titular De La Unidad de Información. Secretario Del H. Ayuntamiento</w:t>
            </w:r>
          </w:p>
        </w:tc>
      </w:tr>
      <w:tr>
        <w:trPr>
          <w:trHeight w:val="319"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color w:val="333333"/>
                <w:sz w:val="18"/>
              </w:rPr>
              <w:t>CHIAUTLA</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134" w:right="140"/>
              <w:rPr>
                <w:sz w:val="18"/>
              </w:rPr>
            </w:pPr>
            <w:r>
              <w:rPr>
                <w:sz w:val="18"/>
              </w:rPr>
              <w:t>NO</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70"/>
              <w:rPr>
                <w:sz w:val="18"/>
              </w:rPr>
            </w:pPr>
            <w:r>
              <w:rPr>
                <w:sz w:val="18"/>
              </w:rPr>
              <w:t>NO</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8"/>
              <w:rPr>
                <w:sz w:val="18"/>
              </w:rPr>
            </w:pPr>
            <w:r>
              <w:rPr>
                <w:sz w:val="18"/>
              </w:rPr>
              <w:t>Titular De La Unidad de Información</w:t>
            </w:r>
          </w:p>
        </w:tc>
      </w:tr>
      <w:tr>
        <w:trPr>
          <w:trHeight w:val="322"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color w:val="333333"/>
                <w:sz w:val="18"/>
              </w:rPr>
              <w:t>CHICOLOAPAN</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134" w:right="138"/>
              <w:rPr>
                <w:sz w:val="18"/>
              </w:rPr>
            </w:pPr>
            <w:r>
              <w:rPr>
                <w:sz w:val="18"/>
              </w:rPr>
              <w:t>Lic. Baruch Uriel De Aquino Muñoz</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69"/>
              <w:rPr>
                <w:sz w:val="18"/>
              </w:rPr>
            </w:pPr>
            <w:r>
              <w:rPr>
                <w:sz w:val="18"/>
              </w:rPr>
              <w:t>Lic.</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8"/>
              <w:rPr>
                <w:sz w:val="18"/>
              </w:rPr>
            </w:pPr>
            <w:r>
              <w:rPr>
                <w:sz w:val="18"/>
              </w:rPr>
              <w:t>Titular De La Unidad de Información</w:t>
            </w:r>
          </w:p>
        </w:tc>
      </w:tr>
      <w:tr>
        <w:trPr>
          <w:trHeight w:val="319"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color w:val="333333"/>
                <w:sz w:val="18"/>
              </w:rPr>
              <w:t>CHICONCUAC</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1030"/>
              <w:jc w:val="left"/>
              <w:rPr>
                <w:sz w:val="18"/>
              </w:rPr>
            </w:pPr>
            <w:r>
              <w:rPr>
                <w:sz w:val="18"/>
              </w:rPr>
              <w:t>C. Virginia Delgado Islas</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70"/>
              <w:rPr>
                <w:sz w:val="18"/>
              </w:rPr>
            </w:pPr>
            <w:r>
              <w:rPr>
                <w:sz w:val="18"/>
              </w:rPr>
              <w:t>NO</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8"/>
              <w:rPr>
                <w:sz w:val="18"/>
              </w:rPr>
            </w:pPr>
            <w:r>
              <w:rPr>
                <w:sz w:val="18"/>
              </w:rPr>
              <w:t>Titular De La Unidad de Información</w:t>
            </w:r>
          </w:p>
        </w:tc>
      </w:tr>
      <w:tr>
        <w:trPr>
          <w:trHeight w:val="610" w:hRule="exact"/>
        </w:trPr>
        <w:tc>
          <w:tcPr>
            <w:tcW w:w="3780" w:type="dxa"/>
            <w:tcBorders>
              <w:top w:val="single" w:sz="4" w:space="0" w:color="000000"/>
              <w:bottom w:val="single" w:sz="4" w:space="0" w:color="000000"/>
            </w:tcBorders>
          </w:tcPr>
          <w:p>
            <w:pPr>
              <w:pStyle w:val="TableParagraph"/>
              <w:spacing w:before="141"/>
              <w:ind w:left="59"/>
              <w:jc w:val="left"/>
              <w:rPr>
                <w:b/>
                <w:sz w:val="18"/>
              </w:rPr>
            </w:pPr>
            <w:r>
              <w:rPr>
                <w:b/>
                <w:color w:val="333333"/>
                <w:sz w:val="18"/>
              </w:rPr>
              <w:t>CHIMALHUACAN</w:t>
            </w:r>
          </w:p>
        </w:tc>
        <w:tc>
          <w:tcPr>
            <w:tcW w:w="4052" w:type="dxa"/>
            <w:tcBorders>
              <w:top w:val="single" w:sz="4" w:space="0" w:color="000000"/>
              <w:bottom w:val="single" w:sz="4" w:space="0" w:color="000000"/>
              <w:right w:val="single" w:sz="4" w:space="0" w:color="000000"/>
            </w:tcBorders>
          </w:tcPr>
          <w:p>
            <w:pPr>
              <w:pStyle w:val="TableParagraph"/>
              <w:spacing w:before="146"/>
              <w:ind w:left="134" w:right="138"/>
              <w:rPr>
                <w:sz w:val="18"/>
              </w:rPr>
            </w:pPr>
            <w:r>
              <w:rPr>
                <w:sz w:val="18"/>
              </w:rPr>
              <w:t>Lic. José De La Cruz Hernández Duana</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46"/>
              <w:ind w:left="69" w:right="69"/>
              <w:rPr>
                <w:sz w:val="18"/>
              </w:rPr>
            </w:pPr>
            <w:r>
              <w:rPr>
                <w:sz w:val="18"/>
              </w:rPr>
              <w:t>Lic.</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before="146"/>
              <w:ind w:left="67" w:right="69"/>
              <w:rPr>
                <w:sz w:val="18"/>
              </w:rPr>
            </w:pPr>
            <w:r>
              <w:rPr>
                <w:sz w:val="18"/>
              </w:rPr>
              <w:t>Titular De La Unidad de Información. Director General De Planeación</w:t>
            </w:r>
          </w:p>
        </w:tc>
      </w:tr>
      <w:tr>
        <w:trPr>
          <w:trHeight w:val="631" w:hRule="exact"/>
        </w:trPr>
        <w:tc>
          <w:tcPr>
            <w:tcW w:w="3780" w:type="dxa"/>
            <w:tcBorders>
              <w:top w:val="single" w:sz="4" w:space="0" w:color="000000"/>
              <w:bottom w:val="single" w:sz="4" w:space="0" w:color="000000"/>
            </w:tcBorders>
          </w:tcPr>
          <w:p>
            <w:pPr>
              <w:pStyle w:val="TableParagraph"/>
              <w:spacing w:before="150"/>
              <w:ind w:left="59"/>
              <w:jc w:val="left"/>
              <w:rPr>
                <w:b/>
                <w:sz w:val="18"/>
              </w:rPr>
            </w:pPr>
            <w:r>
              <w:rPr>
                <w:b/>
                <w:color w:val="333333"/>
                <w:sz w:val="18"/>
              </w:rPr>
              <w:t>COACALCO DE BERRIOZABAL</w:t>
            </w:r>
          </w:p>
        </w:tc>
        <w:tc>
          <w:tcPr>
            <w:tcW w:w="4052" w:type="dxa"/>
            <w:tcBorders>
              <w:top w:val="single" w:sz="4" w:space="0" w:color="000000"/>
              <w:bottom w:val="single" w:sz="4" w:space="0" w:color="000000"/>
              <w:right w:val="single" w:sz="4" w:space="0" w:color="000000"/>
            </w:tcBorders>
          </w:tcPr>
          <w:p>
            <w:pPr>
              <w:pStyle w:val="TableParagraph"/>
              <w:spacing w:before="155"/>
              <w:ind w:left="588"/>
              <w:jc w:val="left"/>
              <w:rPr>
                <w:sz w:val="18"/>
              </w:rPr>
            </w:pPr>
            <w:r>
              <w:rPr>
                <w:sz w:val="18"/>
              </w:rPr>
              <w:t>C. Jonathan Joel Hernandez Galina</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55"/>
              <w:ind w:left="69" w:right="70"/>
              <w:rPr>
                <w:sz w:val="18"/>
              </w:rPr>
            </w:pPr>
            <w:r>
              <w:rPr>
                <w:sz w:val="18"/>
              </w:rPr>
              <w:t>NO</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360" w:lineRule="auto" w:before="1"/>
              <w:ind w:left="1168" w:right="375" w:hanging="776"/>
              <w:jc w:val="left"/>
              <w:rPr>
                <w:sz w:val="18"/>
              </w:rPr>
            </w:pPr>
            <w:r>
              <w:rPr>
                <w:sz w:val="18"/>
              </w:rPr>
              <w:t>Titular De La Unidad de Información. Titular De La Unidad De Transparencia Y Acceso A La Información</w:t>
            </w:r>
          </w:p>
        </w:tc>
      </w:tr>
      <w:tr>
        <w:trPr>
          <w:trHeight w:val="322" w:hRule="exact"/>
        </w:trPr>
        <w:tc>
          <w:tcPr>
            <w:tcW w:w="3780" w:type="dxa"/>
            <w:tcBorders>
              <w:top w:val="single" w:sz="4" w:space="0" w:color="000000"/>
              <w:bottom w:val="single" w:sz="4" w:space="0" w:color="000000"/>
            </w:tcBorders>
          </w:tcPr>
          <w:p>
            <w:pPr>
              <w:pStyle w:val="TableParagraph"/>
              <w:spacing w:line="204" w:lineRule="exact"/>
              <w:ind w:left="59"/>
              <w:jc w:val="left"/>
              <w:rPr>
                <w:b/>
                <w:sz w:val="18"/>
              </w:rPr>
            </w:pPr>
            <w:r>
              <w:rPr>
                <w:b/>
                <w:color w:val="333333"/>
                <w:sz w:val="18"/>
              </w:rPr>
              <w:t>COATEPEC HARINAS</w:t>
            </w:r>
          </w:p>
        </w:tc>
        <w:tc>
          <w:tcPr>
            <w:tcW w:w="4052" w:type="dxa"/>
            <w:tcBorders>
              <w:top w:val="single" w:sz="4" w:space="0" w:color="000000"/>
              <w:bottom w:val="single" w:sz="4" w:space="0" w:color="000000"/>
              <w:right w:val="single" w:sz="4" w:space="0" w:color="000000"/>
            </w:tcBorders>
          </w:tcPr>
          <w:p>
            <w:pPr>
              <w:pStyle w:val="TableParagraph"/>
              <w:spacing w:before="1"/>
              <w:ind w:left="711"/>
              <w:jc w:val="left"/>
              <w:rPr>
                <w:sz w:val="18"/>
              </w:rPr>
            </w:pPr>
            <w:r>
              <w:rPr>
                <w:sz w:val="18"/>
              </w:rPr>
              <w:t>L.I. Carlos Alberto Garcia Muñoz</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
              <w:ind w:left="69" w:right="69"/>
              <w:rPr>
                <w:sz w:val="18"/>
              </w:rPr>
            </w:pPr>
            <w:r>
              <w:rPr>
                <w:sz w:val="18"/>
              </w:rPr>
              <w:t>Lic.</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before="1"/>
              <w:ind w:left="67" w:right="68"/>
              <w:rPr>
                <w:sz w:val="18"/>
              </w:rPr>
            </w:pPr>
            <w:r>
              <w:rPr>
                <w:sz w:val="18"/>
              </w:rPr>
              <w:t>Titular De La Unidad de Información</w:t>
            </w:r>
          </w:p>
        </w:tc>
      </w:tr>
      <w:tr>
        <w:trPr>
          <w:trHeight w:val="319"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color w:val="333333"/>
                <w:sz w:val="18"/>
              </w:rPr>
              <w:t>COCOTITLAN</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355"/>
              <w:jc w:val="left"/>
              <w:rPr>
                <w:sz w:val="18"/>
              </w:rPr>
            </w:pPr>
            <w:r>
              <w:rPr>
                <w:sz w:val="18"/>
              </w:rPr>
              <w:t>P. En C.D. Myrna Ariadna Castillo Solano</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70"/>
              <w:rPr>
                <w:sz w:val="18"/>
              </w:rPr>
            </w:pPr>
            <w:r>
              <w:rPr>
                <w:sz w:val="18"/>
              </w:rPr>
              <w:t>Pasante</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8"/>
              <w:rPr>
                <w:sz w:val="18"/>
              </w:rPr>
            </w:pPr>
            <w:r>
              <w:rPr>
                <w:sz w:val="18"/>
              </w:rPr>
              <w:t>Titular De La Unidad de Información</w:t>
            </w:r>
          </w:p>
        </w:tc>
      </w:tr>
      <w:tr>
        <w:trPr>
          <w:trHeight w:val="322" w:hRule="exact"/>
        </w:trPr>
        <w:tc>
          <w:tcPr>
            <w:tcW w:w="3780" w:type="dxa"/>
            <w:tcBorders>
              <w:top w:val="single" w:sz="4" w:space="0" w:color="000000"/>
              <w:bottom w:val="single" w:sz="4" w:space="0" w:color="000000"/>
            </w:tcBorders>
          </w:tcPr>
          <w:p>
            <w:pPr>
              <w:pStyle w:val="TableParagraph"/>
              <w:spacing w:line="204" w:lineRule="exact"/>
              <w:ind w:left="59"/>
              <w:jc w:val="left"/>
              <w:rPr>
                <w:b/>
                <w:sz w:val="18"/>
              </w:rPr>
            </w:pPr>
            <w:r>
              <w:rPr>
                <w:b/>
                <w:color w:val="333333"/>
                <w:sz w:val="18"/>
              </w:rPr>
              <w:t>COYOTEPEC</w:t>
            </w:r>
          </w:p>
        </w:tc>
        <w:tc>
          <w:tcPr>
            <w:tcW w:w="4052" w:type="dxa"/>
            <w:tcBorders>
              <w:top w:val="single" w:sz="4" w:space="0" w:color="000000"/>
              <w:bottom w:val="single" w:sz="4" w:space="0" w:color="000000"/>
              <w:right w:val="single" w:sz="4" w:space="0" w:color="000000"/>
            </w:tcBorders>
          </w:tcPr>
          <w:p>
            <w:pPr>
              <w:pStyle w:val="TableParagraph"/>
              <w:spacing w:before="1"/>
              <w:ind w:left="759"/>
              <w:jc w:val="left"/>
              <w:rPr>
                <w:sz w:val="18"/>
              </w:rPr>
            </w:pPr>
            <w:r>
              <w:rPr>
                <w:sz w:val="18"/>
              </w:rPr>
              <w:t>C. Maria De Jesus Lopez Maya</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
              <w:ind w:left="69" w:right="70"/>
              <w:rPr>
                <w:sz w:val="18"/>
              </w:rPr>
            </w:pPr>
            <w:r>
              <w:rPr>
                <w:sz w:val="18"/>
              </w:rPr>
              <w:t>NO</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before="1"/>
              <w:ind w:left="65" w:right="69"/>
              <w:rPr>
                <w:sz w:val="18"/>
              </w:rPr>
            </w:pPr>
            <w:r>
              <w:rPr>
                <w:sz w:val="18"/>
              </w:rPr>
              <w:t>Titular De La Unidad de Información. Titular De Transparencia</w:t>
            </w:r>
          </w:p>
        </w:tc>
      </w:tr>
      <w:tr>
        <w:trPr>
          <w:trHeight w:val="322"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color w:val="333333"/>
                <w:sz w:val="18"/>
              </w:rPr>
              <w:t>CUAUTITLAN</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549"/>
              <w:jc w:val="left"/>
              <w:rPr>
                <w:sz w:val="18"/>
              </w:rPr>
            </w:pPr>
            <w:r>
              <w:rPr>
                <w:sz w:val="18"/>
              </w:rPr>
              <w:t>C. Sonia Irene Castañeda Carballido</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70"/>
              <w:rPr>
                <w:sz w:val="18"/>
              </w:rPr>
            </w:pPr>
            <w:r>
              <w:rPr>
                <w:sz w:val="18"/>
              </w:rPr>
              <w:t>NO</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8"/>
              <w:rPr>
                <w:sz w:val="18"/>
              </w:rPr>
            </w:pPr>
            <w:r>
              <w:rPr>
                <w:sz w:val="18"/>
              </w:rPr>
              <w:t>Titular De La Unidad de Información</w:t>
            </w:r>
          </w:p>
        </w:tc>
      </w:tr>
      <w:tr>
        <w:trPr>
          <w:trHeight w:val="632" w:hRule="exact"/>
        </w:trPr>
        <w:tc>
          <w:tcPr>
            <w:tcW w:w="3780" w:type="dxa"/>
            <w:tcBorders>
              <w:top w:val="single" w:sz="4" w:space="0" w:color="000000"/>
              <w:bottom w:val="single" w:sz="4" w:space="0" w:color="000000"/>
            </w:tcBorders>
          </w:tcPr>
          <w:p>
            <w:pPr>
              <w:pStyle w:val="TableParagraph"/>
              <w:spacing w:before="148"/>
              <w:ind w:left="59"/>
              <w:jc w:val="left"/>
              <w:rPr>
                <w:b/>
                <w:sz w:val="18"/>
              </w:rPr>
            </w:pPr>
            <w:r>
              <w:rPr>
                <w:b/>
                <w:color w:val="333333"/>
                <w:sz w:val="18"/>
              </w:rPr>
              <w:t>CUAUTITLAN IZCALLI</w:t>
            </w:r>
          </w:p>
        </w:tc>
        <w:tc>
          <w:tcPr>
            <w:tcW w:w="4052" w:type="dxa"/>
            <w:tcBorders>
              <w:top w:val="single" w:sz="4" w:space="0" w:color="000000"/>
              <w:bottom w:val="single" w:sz="4" w:space="0" w:color="000000"/>
              <w:right w:val="single" w:sz="4" w:space="0" w:color="000000"/>
            </w:tcBorders>
          </w:tcPr>
          <w:p>
            <w:pPr>
              <w:pStyle w:val="TableParagraph"/>
              <w:spacing w:before="153"/>
              <w:ind w:left="134" w:right="139"/>
              <w:rPr>
                <w:sz w:val="18"/>
              </w:rPr>
            </w:pPr>
            <w:r>
              <w:rPr>
                <w:sz w:val="18"/>
              </w:rPr>
              <w:t>Lic. Guillermo Cedillo Fraga</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53"/>
              <w:ind w:left="69" w:right="69"/>
              <w:rPr>
                <w:sz w:val="18"/>
              </w:rPr>
            </w:pPr>
            <w:r>
              <w:rPr>
                <w:sz w:val="18"/>
              </w:rPr>
              <w:t>Lic.</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360" w:lineRule="auto"/>
              <w:ind w:left="1168" w:right="317" w:hanging="776"/>
              <w:jc w:val="left"/>
              <w:rPr>
                <w:sz w:val="18"/>
              </w:rPr>
            </w:pPr>
            <w:r>
              <w:rPr>
                <w:sz w:val="18"/>
              </w:rPr>
              <w:t>Titular De La Unidad de Información. Titular De La Unidad De Transparencia Y Acceso A La Información</w:t>
            </w:r>
          </w:p>
        </w:tc>
      </w:tr>
    </w:tbl>
    <w:p>
      <w:pPr>
        <w:spacing w:after="0" w:line="360" w:lineRule="auto"/>
        <w:jc w:val="left"/>
        <w:rPr>
          <w:sz w:val="18"/>
        </w:rPr>
        <w:sectPr>
          <w:pgSz w:w="15840" w:h="12240" w:orient="landscape"/>
          <w:pgMar w:header="0" w:footer="975" w:top="1140" w:bottom="1160" w:left="600" w:right="580"/>
        </w:sectPr>
      </w:pPr>
    </w:p>
    <w:p>
      <w:pPr>
        <w:pStyle w:val="BodyText"/>
        <w:rPr>
          <w:rFonts w:ascii="Times New Roman"/>
          <w:sz w:val="20"/>
        </w:rPr>
      </w:pPr>
    </w:p>
    <w:p>
      <w:pPr>
        <w:pStyle w:val="BodyText"/>
        <w:spacing w:before="10"/>
        <w:rPr>
          <w:rFonts w:ascii="Times New Roman"/>
          <w:sz w:val="28"/>
        </w:rPr>
      </w:pPr>
    </w:p>
    <w:tbl>
      <w:tblPr>
        <w:tblW w:w="0" w:type="auto"/>
        <w:jc w:val="left"/>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780"/>
        <w:gridCol w:w="4052"/>
        <w:gridCol w:w="850"/>
        <w:gridCol w:w="5720"/>
      </w:tblGrid>
      <w:tr>
        <w:trPr>
          <w:trHeight w:val="430" w:hRule="exact"/>
        </w:trPr>
        <w:tc>
          <w:tcPr>
            <w:tcW w:w="14402" w:type="dxa"/>
            <w:gridSpan w:val="4"/>
            <w:shd w:val="clear" w:color="auto" w:fill="92D050"/>
          </w:tcPr>
          <w:p>
            <w:pPr>
              <w:pStyle w:val="TableParagraph"/>
              <w:spacing w:before="44"/>
              <w:ind w:left="2719"/>
              <w:jc w:val="left"/>
              <w:rPr>
                <w:b/>
                <w:sz w:val="18"/>
              </w:rPr>
            </w:pPr>
            <w:r>
              <w:rPr>
                <w:b/>
                <w:sz w:val="18"/>
              </w:rPr>
              <w:t>Anexo 22. Municipios que publican apartado de responsable de la unidad de información (Continuación)</w:t>
            </w:r>
          </w:p>
        </w:tc>
      </w:tr>
      <w:tr>
        <w:trPr>
          <w:trHeight w:val="1272" w:hRule="exact"/>
        </w:trPr>
        <w:tc>
          <w:tcPr>
            <w:tcW w:w="3780" w:type="dxa"/>
            <w:tcBorders>
              <w:right w:val="single" w:sz="4" w:space="0" w:color="000000"/>
            </w:tcBorders>
            <w:shd w:val="clear" w:color="auto" w:fill="C5DFB3"/>
          </w:tcPr>
          <w:p>
            <w:pPr>
              <w:pStyle w:val="TableParagraph"/>
              <w:jc w:val="left"/>
              <w:rPr>
                <w:rFonts w:ascii="Times New Roman"/>
                <w:sz w:val="18"/>
              </w:rPr>
            </w:pPr>
          </w:p>
          <w:p>
            <w:pPr>
              <w:pStyle w:val="TableParagraph"/>
              <w:spacing w:before="4"/>
              <w:jc w:val="left"/>
              <w:rPr>
                <w:rFonts w:ascii="Times New Roman"/>
                <w:sz w:val="22"/>
              </w:rPr>
            </w:pPr>
          </w:p>
          <w:p>
            <w:pPr>
              <w:pStyle w:val="TableParagraph"/>
              <w:spacing w:before="1"/>
              <w:ind w:left="1441" w:right="1444"/>
              <w:rPr>
                <w:b/>
                <w:sz w:val="18"/>
              </w:rPr>
            </w:pPr>
            <w:r>
              <w:rPr>
                <w:b/>
                <w:sz w:val="18"/>
              </w:rPr>
              <w:t>Municipio</w:t>
            </w:r>
          </w:p>
        </w:tc>
        <w:tc>
          <w:tcPr>
            <w:tcW w:w="4052" w:type="dxa"/>
            <w:tcBorders>
              <w:left w:val="single" w:sz="4" w:space="0" w:color="000000"/>
              <w:right w:val="single" w:sz="4" w:space="0" w:color="000000"/>
            </w:tcBorders>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17"/>
              </w:rPr>
            </w:pPr>
          </w:p>
          <w:p>
            <w:pPr>
              <w:pStyle w:val="TableParagraph"/>
              <w:spacing w:before="1"/>
              <w:jc w:val="left"/>
              <w:rPr>
                <w:b/>
                <w:sz w:val="18"/>
              </w:rPr>
            </w:pPr>
            <w:r>
              <w:rPr>
                <w:b/>
                <w:w w:val="99"/>
                <w:sz w:val="18"/>
              </w:rPr>
              <w:t>Res</w:t>
            </w:r>
            <w:r>
              <w:rPr>
                <w:b/>
                <w:w w:val="100"/>
                <w:sz w:val="18"/>
              </w:rPr>
              <w:t>po</w:t>
            </w:r>
            <w:r>
              <w:rPr>
                <w:b/>
                <w:sz w:val="18"/>
              </w:rPr>
              <w:t>n</w:t>
            </w:r>
            <w:r>
              <w:rPr>
                <w:b/>
                <w:spacing w:val="-2"/>
                <w:sz w:val="18"/>
              </w:rPr>
              <w:t>s</w:t>
            </w:r>
            <w:r>
              <w:rPr>
                <w:b/>
                <w:w w:val="99"/>
                <w:sz w:val="18"/>
              </w:rPr>
              <w:t>a</w:t>
            </w:r>
            <w:r>
              <w:rPr>
                <w:b/>
                <w:w w:val="100"/>
                <w:sz w:val="18"/>
              </w:rPr>
              <w:t>bl</w:t>
            </w:r>
            <w:r>
              <w:rPr>
                <w:b/>
                <w:w w:val="99"/>
                <w:sz w:val="18"/>
              </w:rPr>
              <w:t>e</w:t>
            </w:r>
          </w:p>
        </w:tc>
        <w:tc>
          <w:tcPr>
            <w:tcW w:w="850" w:type="dxa"/>
            <w:tcBorders>
              <w:left w:val="single" w:sz="4" w:space="0" w:color="000000"/>
              <w:right w:val="single" w:sz="4" w:space="0" w:color="000000"/>
            </w:tcBorders>
            <w:shd w:val="clear" w:color="auto" w:fill="C5DFB3"/>
            <w:textDirection w:val="btLr"/>
          </w:tcPr>
          <w:p>
            <w:pPr>
              <w:pStyle w:val="TableParagraph"/>
              <w:spacing w:line="369" w:lineRule="auto" w:before="100"/>
              <w:ind w:right="307"/>
              <w:jc w:val="left"/>
              <w:rPr>
                <w:b/>
                <w:sz w:val="18"/>
              </w:rPr>
            </w:pPr>
            <w:r>
              <w:rPr>
                <w:b/>
                <w:w w:val="99"/>
                <w:sz w:val="18"/>
              </w:rPr>
              <w:t>Profe</w:t>
            </w:r>
            <w:r>
              <w:rPr>
                <w:b/>
                <w:w w:val="99"/>
                <w:sz w:val="18"/>
              </w:rPr>
              <w:t>s</w:t>
            </w:r>
            <w:r>
              <w:rPr>
                <w:b/>
                <w:w w:val="100"/>
                <w:sz w:val="18"/>
              </w:rPr>
              <w:t>ión</w:t>
            </w:r>
            <w:r>
              <w:rPr>
                <w:b/>
                <w:sz w:val="18"/>
              </w:rPr>
              <w:t> </w:t>
            </w:r>
            <w:r>
              <w:rPr>
                <w:b/>
                <w:w w:val="100"/>
                <w:sz w:val="18"/>
              </w:rPr>
              <w:t>/ </w:t>
            </w:r>
            <w:r>
              <w:rPr>
                <w:b/>
                <w:spacing w:val="-1"/>
                <w:w w:val="100"/>
                <w:sz w:val="18"/>
              </w:rPr>
              <w:t>G</w:t>
            </w:r>
            <w:r>
              <w:rPr>
                <w:b/>
                <w:w w:val="99"/>
                <w:sz w:val="18"/>
              </w:rPr>
              <w:t>rad</w:t>
            </w:r>
            <w:r>
              <w:rPr>
                <w:b/>
                <w:w w:val="100"/>
                <w:sz w:val="18"/>
              </w:rPr>
              <w:t>o</w:t>
            </w:r>
          </w:p>
        </w:tc>
        <w:tc>
          <w:tcPr>
            <w:tcW w:w="5720" w:type="dxa"/>
            <w:tcBorders>
              <w:left w:val="single" w:sz="4" w:space="0" w:color="000000"/>
            </w:tcBorders>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18"/>
              </w:rPr>
            </w:pPr>
          </w:p>
          <w:p>
            <w:pPr>
              <w:pStyle w:val="TableParagraph"/>
              <w:jc w:val="left"/>
              <w:rPr>
                <w:b/>
                <w:sz w:val="18"/>
              </w:rPr>
            </w:pPr>
            <w:r>
              <w:rPr>
                <w:b/>
                <w:w w:val="99"/>
                <w:sz w:val="18"/>
              </w:rPr>
              <w:t>Cargo </w:t>
            </w:r>
            <w:r>
              <w:rPr>
                <w:b/>
                <w:w w:val="99"/>
                <w:sz w:val="18"/>
              </w:rPr>
              <w:t>(s</w:t>
            </w:r>
            <w:r>
              <w:rPr>
                <w:b/>
                <w:w w:val="99"/>
                <w:sz w:val="18"/>
              </w:rPr>
              <w:t>)</w:t>
            </w:r>
          </w:p>
        </w:tc>
      </w:tr>
      <w:tr>
        <w:trPr>
          <w:trHeight w:val="637" w:hRule="exact"/>
        </w:trPr>
        <w:tc>
          <w:tcPr>
            <w:tcW w:w="3780" w:type="dxa"/>
            <w:tcBorders>
              <w:bottom w:val="single" w:sz="4" w:space="0" w:color="000000"/>
            </w:tcBorders>
          </w:tcPr>
          <w:p>
            <w:pPr>
              <w:pStyle w:val="TableParagraph"/>
              <w:spacing w:before="150"/>
              <w:ind w:left="59"/>
              <w:jc w:val="left"/>
              <w:rPr>
                <w:b/>
                <w:sz w:val="18"/>
              </w:rPr>
            </w:pPr>
            <w:r>
              <w:rPr>
                <w:b/>
                <w:sz w:val="18"/>
              </w:rPr>
              <w:t>DONATO GUERRA</w:t>
            </w:r>
          </w:p>
        </w:tc>
        <w:tc>
          <w:tcPr>
            <w:tcW w:w="4052" w:type="dxa"/>
            <w:tcBorders>
              <w:bottom w:val="single" w:sz="4" w:space="0" w:color="000000"/>
              <w:right w:val="single" w:sz="4" w:space="0" w:color="000000"/>
            </w:tcBorders>
          </w:tcPr>
          <w:p>
            <w:pPr>
              <w:pStyle w:val="TableParagraph"/>
              <w:spacing w:before="155"/>
              <w:ind w:left="790"/>
              <w:jc w:val="left"/>
              <w:rPr>
                <w:sz w:val="18"/>
              </w:rPr>
            </w:pPr>
            <w:r>
              <w:rPr>
                <w:sz w:val="18"/>
              </w:rPr>
              <w:t>T.P.I. Amisadai Garcia Alvarez</w:t>
            </w:r>
          </w:p>
        </w:tc>
        <w:tc>
          <w:tcPr>
            <w:tcW w:w="850" w:type="dxa"/>
            <w:tcBorders>
              <w:left w:val="single" w:sz="4" w:space="0" w:color="000000"/>
              <w:bottom w:val="single" w:sz="4" w:space="0" w:color="000000"/>
              <w:right w:val="single" w:sz="4" w:space="0" w:color="000000"/>
            </w:tcBorders>
          </w:tcPr>
          <w:p>
            <w:pPr>
              <w:pStyle w:val="TableParagraph"/>
              <w:spacing w:before="155"/>
              <w:ind w:left="69" w:right="69"/>
              <w:rPr>
                <w:sz w:val="18"/>
              </w:rPr>
            </w:pPr>
            <w:r>
              <w:rPr>
                <w:sz w:val="18"/>
              </w:rPr>
              <w:t>Tec.</w:t>
            </w:r>
          </w:p>
        </w:tc>
        <w:tc>
          <w:tcPr>
            <w:tcW w:w="5720" w:type="dxa"/>
            <w:tcBorders>
              <w:left w:val="single" w:sz="4" w:space="0" w:color="000000"/>
              <w:bottom w:val="single" w:sz="4" w:space="0" w:color="000000"/>
              <w:right w:val="single" w:sz="4" w:space="0" w:color="000000"/>
            </w:tcBorders>
          </w:tcPr>
          <w:p>
            <w:pPr>
              <w:pStyle w:val="TableParagraph"/>
              <w:spacing w:line="362" w:lineRule="auto"/>
              <w:ind w:left="2409" w:right="317" w:hanging="2016"/>
              <w:jc w:val="left"/>
              <w:rPr>
                <w:sz w:val="18"/>
              </w:rPr>
            </w:pPr>
            <w:r>
              <w:rPr>
                <w:sz w:val="18"/>
              </w:rPr>
              <w:t>Titular De La Unidad de Información. Titular De La Unidad De Informatica</w:t>
            </w:r>
          </w:p>
        </w:tc>
      </w:tr>
      <w:tr>
        <w:trPr>
          <w:trHeight w:val="631" w:hRule="exact"/>
        </w:trPr>
        <w:tc>
          <w:tcPr>
            <w:tcW w:w="3780" w:type="dxa"/>
            <w:tcBorders>
              <w:top w:val="single" w:sz="4" w:space="0" w:color="000000"/>
              <w:bottom w:val="single" w:sz="4" w:space="0" w:color="000000"/>
            </w:tcBorders>
          </w:tcPr>
          <w:p>
            <w:pPr>
              <w:pStyle w:val="TableParagraph"/>
              <w:spacing w:before="150"/>
              <w:ind w:left="59"/>
              <w:jc w:val="left"/>
              <w:rPr>
                <w:b/>
                <w:sz w:val="18"/>
              </w:rPr>
            </w:pPr>
            <w:r>
              <w:rPr>
                <w:b/>
                <w:sz w:val="18"/>
              </w:rPr>
              <w:t>ECATEPEC DE MORELOS</w:t>
            </w:r>
          </w:p>
        </w:tc>
        <w:tc>
          <w:tcPr>
            <w:tcW w:w="4052" w:type="dxa"/>
            <w:tcBorders>
              <w:top w:val="single" w:sz="4" w:space="0" w:color="000000"/>
              <w:bottom w:val="single" w:sz="4" w:space="0" w:color="000000"/>
              <w:right w:val="single" w:sz="4" w:space="0" w:color="000000"/>
            </w:tcBorders>
          </w:tcPr>
          <w:p>
            <w:pPr>
              <w:pStyle w:val="TableParagraph"/>
              <w:spacing w:before="155"/>
              <w:ind w:left="134" w:right="139"/>
              <w:rPr>
                <w:sz w:val="18"/>
              </w:rPr>
            </w:pPr>
            <w:r>
              <w:rPr>
                <w:sz w:val="18"/>
              </w:rPr>
              <w:t>Lic. Luis Jonathan Silva Chico</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55"/>
              <w:ind w:left="69" w:right="69"/>
              <w:rPr>
                <w:sz w:val="18"/>
              </w:rPr>
            </w:pPr>
            <w:r>
              <w:rPr>
                <w:sz w:val="18"/>
              </w:rPr>
              <w:t>Lic.</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362" w:lineRule="auto"/>
              <w:ind w:left="1238" w:right="91" w:hanging="1092"/>
              <w:jc w:val="left"/>
              <w:rPr>
                <w:sz w:val="18"/>
              </w:rPr>
            </w:pPr>
            <w:r>
              <w:rPr>
                <w:sz w:val="18"/>
              </w:rPr>
              <w:t>Titular De La Unidad de Información. Coordinador De La Unidad De Información De Transparencia Municipal</w:t>
            </w:r>
          </w:p>
        </w:tc>
      </w:tr>
      <w:tr>
        <w:trPr>
          <w:trHeight w:val="319"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ECATZINGO</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134" w:right="140"/>
              <w:rPr>
                <w:sz w:val="18"/>
              </w:rPr>
            </w:pPr>
            <w:r>
              <w:rPr>
                <w:sz w:val="18"/>
              </w:rPr>
              <w:t>NO</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70"/>
              <w:rPr>
                <w:sz w:val="18"/>
              </w:rPr>
            </w:pPr>
            <w:r>
              <w:rPr>
                <w:sz w:val="18"/>
              </w:rPr>
              <w:t>NO</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8"/>
              <w:rPr>
                <w:sz w:val="18"/>
              </w:rPr>
            </w:pPr>
            <w:r>
              <w:rPr>
                <w:sz w:val="18"/>
              </w:rPr>
              <w:t>Titular De La Unidad de Información</w:t>
            </w:r>
          </w:p>
        </w:tc>
      </w:tr>
      <w:tr>
        <w:trPr>
          <w:trHeight w:val="322" w:hRule="exact"/>
        </w:trPr>
        <w:tc>
          <w:tcPr>
            <w:tcW w:w="3780" w:type="dxa"/>
            <w:tcBorders>
              <w:top w:val="single" w:sz="4" w:space="0" w:color="000000"/>
              <w:bottom w:val="single" w:sz="4" w:space="0" w:color="000000"/>
            </w:tcBorders>
          </w:tcPr>
          <w:p>
            <w:pPr>
              <w:pStyle w:val="TableParagraph"/>
              <w:spacing w:line="204" w:lineRule="exact"/>
              <w:ind w:left="59"/>
              <w:jc w:val="left"/>
              <w:rPr>
                <w:b/>
                <w:sz w:val="18"/>
              </w:rPr>
            </w:pPr>
            <w:r>
              <w:rPr>
                <w:b/>
                <w:sz w:val="18"/>
              </w:rPr>
              <w:t>EL ORO</w:t>
            </w:r>
          </w:p>
        </w:tc>
        <w:tc>
          <w:tcPr>
            <w:tcW w:w="4052" w:type="dxa"/>
            <w:tcBorders>
              <w:top w:val="single" w:sz="4" w:space="0" w:color="000000"/>
              <w:bottom w:val="single" w:sz="4" w:space="0" w:color="000000"/>
              <w:right w:val="single" w:sz="4" w:space="0" w:color="000000"/>
            </w:tcBorders>
          </w:tcPr>
          <w:p>
            <w:pPr>
              <w:pStyle w:val="TableParagraph"/>
              <w:spacing w:before="1"/>
              <w:ind w:left="134" w:right="141"/>
              <w:rPr>
                <w:sz w:val="18"/>
              </w:rPr>
            </w:pPr>
            <w:r>
              <w:rPr>
                <w:sz w:val="18"/>
              </w:rPr>
              <w:t>Ing. Jose Daniel Posadas Mejia</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
              <w:ind w:left="69" w:right="69"/>
              <w:rPr>
                <w:sz w:val="18"/>
              </w:rPr>
            </w:pPr>
            <w:r>
              <w:rPr>
                <w:sz w:val="18"/>
              </w:rPr>
              <w:t>Ing.</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before="1"/>
              <w:ind w:left="67" w:right="69"/>
              <w:rPr>
                <w:sz w:val="18"/>
              </w:rPr>
            </w:pPr>
            <w:r>
              <w:rPr>
                <w:sz w:val="18"/>
              </w:rPr>
              <w:t>Titular De La Unidad de Información. Auxiliar</w:t>
            </w:r>
          </w:p>
        </w:tc>
      </w:tr>
      <w:tr>
        <w:trPr>
          <w:trHeight w:val="631" w:hRule="exact"/>
        </w:trPr>
        <w:tc>
          <w:tcPr>
            <w:tcW w:w="3780" w:type="dxa"/>
            <w:tcBorders>
              <w:top w:val="single" w:sz="4" w:space="0" w:color="000000"/>
              <w:bottom w:val="single" w:sz="4" w:space="0" w:color="000000"/>
            </w:tcBorders>
          </w:tcPr>
          <w:p>
            <w:pPr>
              <w:pStyle w:val="TableParagraph"/>
              <w:spacing w:before="150"/>
              <w:ind w:left="59"/>
              <w:jc w:val="left"/>
              <w:rPr>
                <w:b/>
                <w:sz w:val="18"/>
              </w:rPr>
            </w:pPr>
            <w:r>
              <w:rPr>
                <w:b/>
                <w:sz w:val="18"/>
              </w:rPr>
              <w:t>HUEHUETOCA</w:t>
            </w:r>
          </w:p>
        </w:tc>
        <w:tc>
          <w:tcPr>
            <w:tcW w:w="4052" w:type="dxa"/>
            <w:tcBorders>
              <w:top w:val="single" w:sz="4" w:space="0" w:color="000000"/>
              <w:bottom w:val="single" w:sz="4" w:space="0" w:color="000000"/>
              <w:right w:val="single" w:sz="4" w:space="0" w:color="000000"/>
            </w:tcBorders>
          </w:tcPr>
          <w:p>
            <w:pPr>
              <w:pStyle w:val="TableParagraph"/>
              <w:spacing w:before="155"/>
              <w:ind w:left="398"/>
              <w:jc w:val="left"/>
              <w:rPr>
                <w:sz w:val="18"/>
              </w:rPr>
            </w:pPr>
            <w:r>
              <w:rPr>
                <w:sz w:val="18"/>
              </w:rPr>
              <w:t>C. Emmanuel Jonathan Robles Valencia</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55"/>
              <w:ind w:left="69" w:right="70"/>
              <w:rPr>
                <w:sz w:val="18"/>
              </w:rPr>
            </w:pPr>
            <w:r>
              <w:rPr>
                <w:sz w:val="18"/>
              </w:rPr>
              <w:t>NO</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360" w:lineRule="auto"/>
              <w:ind w:left="1293" w:right="400" w:hanging="876"/>
              <w:jc w:val="left"/>
              <w:rPr>
                <w:sz w:val="18"/>
              </w:rPr>
            </w:pPr>
            <w:r>
              <w:rPr>
                <w:sz w:val="18"/>
              </w:rPr>
              <w:t>Titular De La Unidad de Información.Titular De La Unidad De Información Y Transparencia Municipal</w:t>
            </w:r>
          </w:p>
        </w:tc>
      </w:tr>
      <w:tr>
        <w:trPr>
          <w:trHeight w:val="319"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HUEYPOXTLA</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134" w:right="134"/>
              <w:rPr>
                <w:sz w:val="18"/>
              </w:rPr>
            </w:pPr>
            <w:r>
              <w:rPr>
                <w:sz w:val="18"/>
              </w:rPr>
              <w:t>Nestor Varela Hernández</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70"/>
              <w:rPr>
                <w:sz w:val="18"/>
              </w:rPr>
            </w:pPr>
            <w:r>
              <w:rPr>
                <w:sz w:val="18"/>
              </w:rPr>
              <w:t>NO</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8"/>
              <w:rPr>
                <w:sz w:val="18"/>
              </w:rPr>
            </w:pPr>
            <w:r>
              <w:rPr>
                <w:sz w:val="18"/>
              </w:rPr>
              <w:t>Titular De La Unidad de Información</w:t>
            </w:r>
          </w:p>
        </w:tc>
      </w:tr>
      <w:tr>
        <w:trPr>
          <w:trHeight w:val="322" w:hRule="exact"/>
        </w:trPr>
        <w:tc>
          <w:tcPr>
            <w:tcW w:w="3780" w:type="dxa"/>
            <w:tcBorders>
              <w:top w:val="single" w:sz="4" w:space="0" w:color="000000"/>
              <w:bottom w:val="single" w:sz="4" w:space="0" w:color="000000"/>
            </w:tcBorders>
          </w:tcPr>
          <w:p>
            <w:pPr>
              <w:pStyle w:val="TableParagraph"/>
              <w:spacing w:line="204" w:lineRule="exact"/>
              <w:ind w:left="59"/>
              <w:jc w:val="left"/>
              <w:rPr>
                <w:b/>
                <w:sz w:val="18"/>
              </w:rPr>
            </w:pPr>
            <w:r>
              <w:rPr>
                <w:b/>
                <w:sz w:val="18"/>
              </w:rPr>
              <w:t>HUIXQUILUCAN</w:t>
            </w:r>
          </w:p>
        </w:tc>
        <w:tc>
          <w:tcPr>
            <w:tcW w:w="4052" w:type="dxa"/>
            <w:tcBorders>
              <w:top w:val="single" w:sz="4" w:space="0" w:color="000000"/>
              <w:bottom w:val="single" w:sz="4" w:space="0" w:color="000000"/>
              <w:right w:val="single" w:sz="4" w:space="0" w:color="000000"/>
            </w:tcBorders>
          </w:tcPr>
          <w:p>
            <w:pPr>
              <w:pStyle w:val="TableParagraph"/>
              <w:spacing w:before="1"/>
              <w:ind w:left="134" w:right="136"/>
              <w:rPr>
                <w:sz w:val="18"/>
              </w:rPr>
            </w:pPr>
            <w:r>
              <w:rPr>
                <w:sz w:val="18"/>
              </w:rPr>
              <w:t>Mtra. Alinuhí Sainz Corona</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
              <w:ind w:left="64" w:right="70"/>
              <w:rPr>
                <w:sz w:val="18"/>
              </w:rPr>
            </w:pPr>
            <w:r>
              <w:rPr>
                <w:sz w:val="18"/>
              </w:rPr>
              <w:t>M.</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before="1"/>
              <w:ind w:left="67" w:right="68"/>
              <w:rPr>
                <w:sz w:val="18"/>
              </w:rPr>
            </w:pPr>
            <w:r>
              <w:rPr>
                <w:sz w:val="18"/>
              </w:rPr>
              <w:t>Titular De La Unidad de Información</w:t>
            </w:r>
          </w:p>
        </w:tc>
      </w:tr>
      <w:tr>
        <w:trPr>
          <w:trHeight w:val="320" w:hRule="exact"/>
        </w:trPr>
        <w:tc>
          <w:tcPr>
            <w:tcW w:w="3780" w:type="dxa"/>
            <w:tcBorders>
              <w:top w:val="single" w:sz="4" w:space="0" w:color="000000"/>
              <w:bottom w:val="single" w:sz="4" w:space="0" w:color="000000"/>
            </w:tcBorders>
          </w:tcPr>
          <w:p>
            <w:pPr>
              <w:pStyle w:val="TableParagraph"/>
              <w:spacing w:line="202" w:lineRule="exact"/>
              <w:ind w:left="59"/>
              <w:jc w:val="left"/>
              <w:rPr>
                <w:b/>
                <w:sz w:val="18"/>
              </w:rPr>
            </w:pPr>
            <w:r>
              <w:rPr>
                <w:b/>
                <w:sz w:val="18"/>
              </w:rPr>
              <w:t>ISIDRO FABELA</w:t>
            </w:r>
          </w:p>
        </w:tc>
        <w:tc>
          <w:tcPr>
            <w:tcW w:w="4052" w:type="dxa"/>
            <w:tcBorders>
              <w:top w:val="single" w:sz="4" w:space="0" w:color="000000"/>
              <w:bottom w:val="single" w:sz="4" w:space="0" w:color="000000"/>
              <w:right w:val="single" w:sz="4" w:space="0" w:color="000000"/>
            </w:tcBorders>
          </w:tcPr>
          <w:p>
            <w:pPr>
              <w:pStyle w:val="TableParagraph"/>
              <w:spacing w:line="207" w:lineRule="exact"/>
              <w:ind w:left="835"/>
              <w:jc w:val="left"/>
              <w:rPr>
                <w:sz w:val="18"/>
              </w:rPr>
            </w:pPr>
            <w:r>
              <w:rPr>
                <w:sz w:val="18"/>
              </w:rPr>
              <w:t>C. Miguel Angel Reyna Perez</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69" w:right="70"/>
              <w:rPr>
                <w:sz w:val="18"/>
              </w:rPr>
            </w:pPr>
            <w:r>
              <w:rPr>
                <w:sz w:val="18"/>
              </w:rPr>
              <w:t>NO</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67" w:right="68"/>
              <w:rPr>
                <w:sz w:val="18"/>
              </w:rPr>
            </w:pPr>
            <w:r>
              <w:rPr>
                <w:sz w:val="18"/>
              </w:rPr>
              <w:t>Titular De La Unidad de Información</w:t>
            </w:r>
          </w:p>
        </w:tc>
      </w:tr>
      <w:tr>
        <w:trPr>
          <w:trHeight w:val="322" w:hRule="exact"/>
        </w:trPr>
        <w:tc>
          <w:tcPr>
            <w:tcW w:w="3780" w:type="dxa"/>
            <w:tcBorders>
              <w:top w:val="single" w:sz="4" w:space="0" w:color="000000"/>
              <w:bottom w:val="single" w:sz="4" w:space="0" w:color="000000"/>
            </w:tcBorders>
          </w:tcPr>
          <w:p>
            <w:pPr>
              <w:pStyle w:val="TableParagraph"/>
              <w:spacing w:line="204" w:lineRule="exact"/>
              <w:ind w:left="59"/>
              <w:jc w:val="left"/>
              <w:rPr>
                <w:b/>
                <w:sz w:val="18"/>
              </w:rPr>
            </w:pPr>
            <w:r>
              <w:rPr>
                <w:b/>
                <w:sz w:val="18"/>
              </w:rPr>
              <w:t>IXTAPALUCA</w:t>
            </w:r>
          </w:p>
        </w:tc>
        <w:tc>
          <w:tcPr>
            <w:tcW w:w="4052" w:type="dxa"/>
            <w:tcBorders>
              <w:top w:val="single" w:sz="4" w:space="0" w:color="000000"/>
              <w:bottom w:val="single" w:sz="4" w:space="0" w:color="000000"/>
              <w:right w:val="single" w:sz="4" w:space="0" w:color="000000"/>
            </w:tcBorders>
          </w:tcPr>
          <w:p>
            <w:pPr>
              <w:pStyle w:val="TableParagraph"/>
              <w:spacing w:before="1"/>
              <w:ind w:left="134" w:right="137"/>
              <w:rPr>
                <w:sz w:val="18"/>
              </w:rPr>
            </w:pPr>
            <w:r>
              <w:rPr>
                <w:sz w:val="18"/>
              </w:rPr>
              <w:t>Lic. Efrain Bernal Vazquez</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
              <w:ind w:left="69" w:right="69"/>
              <w:rPr>
                <w:sz w:val="18"/>
              </w:rPr>
            </w:pPr>
            <w:r>
              <w:rPr>
                <w:sz w:val="18"/>
              </w:rPr>
              <w:t>Lic.</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before="1"/>
              <w:ind w:left="67" w:right="68"/>
              <w:rPr>
                <w:sz w:val="18"/>
              </w:rPr>
            </w:pPr>
            <w:r>
              <w:rPr>
                <w:sz w:val="18"/>
              </w:rPr>
              <w:t>Titular De La Unidad de Información</w:t>
            </w:r>
          </w:p>
        </w:tc>
      </w:tr>
      <w:tr>
        <w:trPr>
          <w:trHeight w:val="319"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IXTAPAN DE LA SAL</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664"/>
              <w:jc w:val="left"/>
              <w:rPr>
                <w:sz w:val="18"/>
              </w:rPr>
            </w:pPr>
            <w:r>
              <w:rPr>
                <w:sz w:val="18"/>
              </w:rPr>
              <w:t>P.D. Melquisedec Flores Martinez</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70"/>
              <w:rPr>
                <w:sz w:val="18"/>
              </w:rPr>
            </w:pPr>
            <w:r>
              <w:rPr>
                <w:sz w:val="18"/>
              </w:rPr>
              <w:t>Pasante</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8"/>
              <w:rPr>
                <w:sz w:val="18"/>
              </w:rPr>
            </w:pPr>
            <w:r>
              <w:rPr>
                <w:sz w:val="18"/>
              </w:rPr>
              <w:t>Titular De La Unidad de Información</w:t>
            </w:r>
          </w:p>
        </w:tc>
      </w:tr>
      <w:tr>
        <w:trPr>
          <w:trHeight w:val="322" w:hRule="exact"/>
        </w:trPr>
        <w:tc>
          <w:tcPr>
            <w:tcW w:w="3780" w:type="dxa"/>
            <w:tcBorders>
              <w:top w:val="single" w:sz="4" w:space="0" w:color="000000"/>
              <w:bottom w:val="single" w:sz="4" w:space="0" w:color="000000"/>
            </w:tcBorders>
          </w:tcPr>
          <w:p>
            <w:pPr>
              <w:pStyle w:val="TableParagraph"/>
              <w:spacing w:line="204" w:lineRule="exact"/>
              <w:ind w:left="59"/>
              <w:jc w:val="left"/>
              <w:rPr>
                <w:b/>
                <w:sz w:val="18"/>
              </w:rPr>
            </w:pPr>
            <w:r>
              <w:rPr>
                <w:b/>
                <w:sz w:val="18"/>
              </w:rPr>
              <w:t>IXTAPAN DEL ORO</w:t>
            </w:r>
          </w:p>
        </w:tc>
        <w:tc>
          <w:tcPr>
            <w:tcW w:w="4052" w:type="dxa"/>
            <w:tcBorders>
              <w:top w:val="single" w:sz="4" w:space="0" w:color="000000"/>
              <w:bottom w:val="single" w:sz="4" w:space="0" w:color="000000"/>
              <w:right w:val="single" w:sz="4" w:space="0" w:color="000000"/>
            </w:tcBorders>
          </w:tcPr>
          <w:p>
            <w:pPr>
              <w:pStyle w:val="TableParagraph"/>
              <w:spacing w:before="1"/>
              <w:ind w:left="900"/>
              <w:jc w:val="left"/>
              <w:rPr>
                <w:sz w:val="18"/>
              </w:rPr>
            </w:pPr>
            <w:r>
              <w:rPr>
                <w:sz w:val="18"/>
              </w:rPr>
              <w:t>C. Gilberto Santana Vences</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
              <w:ind w:left="69" w:right="70"/>
              <w:rPr>
                <w:sz w:val="18"/>
              </w:rPr>
            </w:pPr>
            <w:r>
              <w:rPr>
                <w:sz w:val="18"/>
              </w:rPr>
              <w:t>NO</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before="1"/>
              <w:ind w:left="67" w:right="68"/>
              <w:rPr>
                <w:sz w:val="18"/>
              </w:rPr>
            </w:pPr>
            <w:r>
              <w:rPr>
                <w:sz w:val="18"/>
              </w:rPr>
              <w:t>Titular De La Unidad de Información</w:t>
            </w:r>
          </w:p>
        </w:tc>
      </w:tr>
      <w:tr>
        <w:trPr>
          <w:trHeight w:val="322"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IXTLAHUACA</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160"/>
              <w:jc w:val="left"/>
              <w:rPr>
                <w:sz w:val="18"/>
              </w:rPr>
            </w:pPr>
            <w:r>
              <w:rPr>
                <w:sz w:val="18"/>
              </w:rPr>
              <w:t>P.D. María De Los Remedios Martínez Carrillo</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70"/>
              <w:rPr>
                <w:sz w:val="18"/>
              </w:rPr>
            </w:pPr>
            <w:r>
              <w:rPr>
                <w:sz w:val="18"/>
              </w:rPr>
              <w:t>Pasante</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8"/>
              <w:rPr>
                <w:sz w:val="18"/>
              </w:rPr>
            </w:pPr>
            <w:r>
              <w:rPr>
                <w:sz w:val="18"/>
              </w:rPr>
              <w:t>Titular De La Unidad de Información</w:t>
            </w:r>
          </w:p>
        </w:tc>
      </w:tr>
      <w:tr>
        <w:trPr>
          <w:trHeight w:val="629" w:hRule="exact"/>
        </w:trPr>
        <w:tc>
          <w:tcPr>
            <w:tcW w:w="3780" w:type="dxa"/>
            <w:tcBorders>
              <w:top w:val="single" w:sz="4" w:space="0" w:color="000000"/>
              <w:bottom w:val="single" w:sz="4" w:space="0" w:color="000000"/>
            </w:tcBorders>
          </w:tcPr>
          <w:p>
            <w:pPr>
              <w:pStyle w:val="TableParagraph"/>
              <w:spacing w:before="148"/>
              <w:ind w:left="59"/>
              <w:jc w:val="left"/>
              <w:rPr>
                <w:b/>
                <w:sz w:val="18"/>
              </w:rPr>
            </w:pPr>
            <w:r>
              <w:rPr>
                <w:b/>
                <w:sz w:val="18"/>
              </w:rPr>
              <w:t>JALTENCO</w:t>
            </w:r>
          </w:p>
        </w:tc>
        <w:tc>
          <w:tcPr>
            <w:tcW w:w="4052" w:type="dxa"/>
            <w:tcBorders>
              <w:top w:val="single" w:sz="4" w:space="0" w:color="000000"/>
              <w:bottom w:val="single" w:sz="4" w:space="0" w:color="000000"/>
              <w:right w:val="single" w:sz="4" w:space="0" w:color="000000"/>
            </w:tcBorders>
          </w:tcPr>
          <w:p>
            <w:pPr>
              <w:pStyle w:val="TableParagraph"/>
              <w:spacing w:before="152"/>
              <w:ind w:left="134" w:right="138"/>
              <w:rPr>
                <w:sz w:val="18"/>
              </w:rPr>
            </w:pPr>
            <w:r>
              <w:rPr>
                <w:sz w:val="18"/>
              </w:rPr>
              <w:t>Tania Salinas Alva</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52"/>
              <w:ind w:left="69" w:right="70"/>
              <w:rPr>
                <w:sz w:val="18"/>
              </w:rPr>
            </w:pPr>
            <w:r>
              <w:rPr>
                <w:sz w:val="18"/>
              </w:rPr>
              <w:t>NO</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360" w:lineRule="auto"/>
              <w:ind w:left="2280" w:right="576" w:hanging="1688"/>
              <w:jc w:val="left"/>
              <w:rPr>
                <w:sz w:val="18"/>
              </w:rPr>
            </w:pPr>
            <w:r>
              <w:rPr>
                <w:sz w:val="18"/>
              </w:rPr>
              <w:t>Titular De La Unidad de Información. Titular Del Área De Transparencia</w:t>
            </w:r>
          </w:p>
        </w:tc>
      </w:tr>
      <w:tr>
        <w:trPr>
          <w:trHeight w:val="322" w:hRule="exact"/>
        </w:trPr>
        <w:tc>
          <w:tcPr>
            <w:tcW w:w="3780" w:type="dxa"/>
            <w:tcBorders>
              <w:top w:val="single" w:sz="4" w:space="0" w:color="000000"/>
              <w:bottom w:val="single" w:sz="4" w:space="0" w:color="000000"/>
            </w:tcBorders>
          </w:tcPr>
          <w:p>
            <w:pPr>
              <w:pStyle w:val="TableParagraph"/>
              <w:spacing w:line="204" w:lineRule="exact"/>
              <w:ind w:left="59"/>
              <w:jc w:val="left"/>
              <w:rPr>
                <w:b/>
                <w:sz w:val="18"/>
              </w:rPr>
            </w:pPr>
            <w:r>
              <w:rPr>
                <w:b/>
                <w:sz w:val="18"/>
              </w:rPr>
              <w:t>JILOTEPEC</w:t>
            </w:r>
          </w:p>
        </w:tc>
        <w:tc>
          <w:tcPr>
            <w:tcW w:w="4052" w:type="dxa"/>
            <w:tcBorders>
              <w:top w:val="single" w:sz="4" w:space="0" w:color="000000"/>
              <w:bottom w:val="single" w:sz="4" w:space="0" w:color="000000"/>
              <w:right w:val="single" w:sz="4" w:space="0" w:color="000000"/>
            </w:tcBorders>
          </w:tcPr>
          <w:p>
            <w:pPr>
              <w:pStyle w:val="TableParagraph"/>
              <w:spacing w:before="1"/>
              <w:ind w:left="134" w:right="138"/>
              <w:rPr>
                <w:sz w:val="18"/>
              </w:rPr>
            </w:pPr>
            <w:r>
              <w:rPr>
                <w:sz w:val="18"/>
              </w:rPr>
              <w:t>Raymundo De Jesús Alcántara</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
              <w:ind w:left="69" w:right="70"/>
              <w:rPr>
                <w:sz w:val="18"/>
              </w:rPr>
            </w:pPr>
            <w:r>
              <w:rPr>
                <w:sz w:val="18"/>
              </w:rPr>
              <w:t>NO</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before="1"/>
              <w:ind w:left="67" w:right="69"/>
              <w:rPr>
                <w:sz w:val="18"/>
              </w:rPr>
            </w:pPr>
            <w:r>
              <w:rPr>
                <w:sz w:val="18"/>
              </w:rPr>
              <w:t>Titular De La Unidad de Información. Auxiliar</w:t>
            </w:r>
          </w:p>
        </w:tc>
      </w:tr>
      <w:tr>
        <w:trPr>
          <w:trHeight w:val="322" w:hRule="exact"/>
        </w:trPr>
        <w:tc>
          <w:tcPr>
            <w:tcW w:w="3780" w:type="dxa"/>
            <w:tcBorders>
              <w:top w:val="single" w:sz="4" w:space="0" w:color="000000"/>
              <w:bottom w:val="single" w:sz="4" w:space="0" w:color="000000"/>
            </w:tcBorders>
          </w:tcPr>
          <w:p>
            <w:pPr>
              <w:pStyle w:val="TableParagraph"/>
              <w:spacing w:line="202" w:lineRule="exact"/>
              <w:ind w:left="59"/>
              <w:jc w:val="left"/>
              <w:rPr>
                <w:b/>
                <w:sz w:val="18"/>
              </w:rPr>
            </w:pPr>
            <w:r>
              <w:rPr>
                <w:b/>
                <w:sz w:val="18"/>
              </w:rPr>
              <w:t>JILOTZINGO</w:t>
            </w:r>
          </w:p>
        </w:tc>
        <w:tc>
          <w:tcPr>
            <w:tcW w:w="4052" w:type="dxa"/>
            <w:tcBorders>
              <w:top w:val="single" w:sz="4" w:space="0" w:color="000000"/>
              <w:bottom w:val="single" w:sz="4" w:space="0" w:color="000000"/>
              <w:right w:val="single" w:sz="4" w:space="0" w:color="000000"/>
            </w:tcBorders>
          </w:tcPr>
          <w:p>
            <w:pPr>
              <w:pStyle w:val="TableParagraph"/>
              <w:spacing w:line="207" w:lineRule="exact"/>
              <w:ind w:left="720"/>
              <w:jc w:val="left"/>
              <w:rPr>
                <w:sz w:val="18"/>
              </w:rPr>
            </w:pPr>
            <w:r>
              <w:rPr>
                <w:sz w:val="18"/>
              </w:rPr>
              <w:t>L.R.I. José Luis Delgado Quirino</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69" w:right="69"/>
              <w:rPr>
                <w:sz w:val="18"/>
              </w:rPr>
            </w:pPr>
            <w:r>
              <w:rPr>
                <w:sz w:val="18"/>
              </w:rPr>
              <w:t>Lic.</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67" w:right="68"/>
              <w:rPr>
                <w:sz w:val="18"/>
              </w:rPr>
            </w:pPr>
            <w:r>
              <w:rPr>
                <w:sz w:val="18"/>
              </w:rPr>
              <w:t>Titular De La Unidad de Información</w:t>
            </w:r>
          </w:p>
        </w:tc>
      </w:tr>
      <w:tr>
        <w:trPr>
          <w:trHeight w:val="631" w:hRule="exact"/>
        </w:trPr>
        <w:tc>
          <w:tcPr>
            <w:tcW w:w="3780" w:type="dxa"/>
            <w:tcBorders>
              <w:top w:val="single" w:sz="4" w:space="0" w:color="000000"/>
              <w:bottom w:val="single" w:sz="4" w:space="0" w:color="000000"/>
            </w:tcBorders>
          </w:tcPr>
          <w:p>
            <w:pPr>
              <w:pStyle w:val="TableParagraph"/>
              <w:spacing w:before="148"/>
              <w:ind w:left="59"/>
              <w:jc w:val="left"/>
              <w:rPr>
                <w:b/>
                <w:sz w:val="18"/>
              </w:rPr>
            </w:pPr>
            <w:r>
              <w:rPr>
                <w:b/>
                <w:sz w:val="18"/>
              </w:rPr>
              <w:t>JIQUIPILCO</w:t>
            </w:r>
          </w:p>
        </w:tc>
        <w:tc>
          <w:tcPr>
            <w:tcW w:w="4052" w:type="dxa"/>
            <w:tcBorders>
              <w:top w:val="single" w:sz="4" w:space="0" w:color="000000"/>
              <w:bottom w:val="single" w:sz="4" w:space="0" w:color="000000"/>
              <w:right w:val="single" w:sz="4" w:space="0" w:color="000000"/>
            </w:tcBorders>
          </w:tcPr>
          <w:p>
            <w:pPr>
              <w:pStyle w:val="TableParagraph"/>
              <w:spacing w:before="152"/>
              <w:ind w:left="134" w:right="137"/>
              <w:rPr>
                <w:sz w:val="18"/>
              </w:rPr>
            </w:pPr>
            <w:r>
              <w:rPr>
                <w:sz w:val="18"/>
              </w:rPr>
              <w:t>Lic. F.M. Carolina Tellez Cruz</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52"/>
              <w:ind w:left="69" w:right="69"/>
              <w:rPr>
                <w:sz w:val="18"/>
              </w:rPr>
            </w:pPr>
            <w:r>
              <w:rPr>
                <w:sz w:val="18"/>
              </w:rPr>
              <w:t>Lic.</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360" w:lineRule="auto"/>
              <w:ind w:left="2244" w:right="121" w:hanging="2108"/>
              <w:jc w:val="left"/>
              <w:rPr>
                <w:sz w:val="18"/>
              </w:rPr>
            </w:pPr>
            <w:r>
              <w:rPr>
                <w:sz w:val="18"/>
              </w:rPr>
              <w:t>Titular De La Unidad de Información. Secretaria Técnica Del Comité De Información</w:t>
            </w:r>
          </w:p>
        </w:tc>
      </w:tr>
    </w:tbl>
    <w:p>
      <w:pPr>
        <w:spacing w:after="0" w:line="360" w:lineRule="auto"/>
        <w:jc w:val="left"/>
        <w:rPr>
          <w:sz w:val="18"/>
        </w:rPr>
        <w:sectPr>
          <w:pgSz w:w="15840" w:h="12240" w:orient="landscape"/>
          <w:pgMar w:header="0" w:footer="975" w:top="1140" w:bottom="1160" w:left="600" w:right="580"/>
        </w:sectPr>
      </w:pPr>
    </w:p>
    <w:p>
      <w:pPr>
        <w:pStyle w:val="BodyText"/>
        <w:rPr>
          <w:rFonts w:ascii="Times New Roman"/>
          <w:sz w:val="20"/>
        </w:rPr>
      </w:pPr>
    </w:p>
    <w:p>
      <w:pPr>
        <w:pStyle w:val="BodyText"/>
        <w:spacing w:before="10"/>
        <w:rPr>
          <w:rFonts w:ascii="Times New Roman"/>
          <w:sz w:val="28"/>
        </w:rPr>
      </w:pPr>
    </w:p>
    <w:tbl>
      <w:tblPr>
        <w:tblW w:w="0" w:type="auto"/>
        <w:jc w:val="left"/>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780"/>
        <w:gridCol w:w="4052"/>
        <w:gridCol w:w="850"/>
        <w:gridCol w:w="5720"/>
      </w:tblGrid>
      <w:tr>
        <w:trPr>
          <w:trHeight w:val="430" w:hRule="exact"/>
        </w:trPr>
        <w:tc>
          <w:tcPr>
            <w:tcW w:w="14402" w:type="dxa"/>
            <w:gridSpan w:val="4"/>
            <w:shd w:val="clear" w:color="auto" w:fill="92D050"/>
          </w:tcPr>
          <w:p>
            <w:pPr>
              <w:pStyle w:val="TableParagraph"/>
              <w:spacing w:before="44"/>
              <w:ind w:left="2719"/>
              <w:jc w:val="left"/>
              <w:rPr>
                <w:b/>
                <w:sz w:val="18"/>
              </w:rPr>
            </w:pPr>
            <w:r>
              <w:rPr>
                <w:b/>
                <w:sz w:val="18"/>
              </w:rPr>
              <w:t>Anexo 22. Municipios que publican apartado de responsable de la unidad de información (Continuación)</w:t>
            </w:r>
          </w:p>
        </w:tc>
      </w:tr>
      <w:tr>
        <w:trPr>
          <w:trHeight w:val="1272" w:hRule="exact"/>
        </w:trPr>
        <w:tc>
          <w:tcPr>
            <w:tcW w:w="3780" w:type="dxa"/>
            <w:tcBorders>
              <w:right w:val="single" w:sz="4" w:space="0" w:color="000000"/>
            </w:tcBorders>
            <w:shd w:val="clear" w:color="auto" w:fill="C5DFB3"/>
          </w:tcPr>
          <w:p>
            <w:pPr>
              <w:pStyle w:val="TableParagraph"/>
              <w:jc w:val="left"/>
              <w:rPr>
                <w:rFonts w:ascii="Times New Roman"/>
                <w:sz w:val="18"/>
              </w:rPr>
            </w:pPr>
          </w:p>
          <w:p>
            <w:pPr>
              <w:pStyle w:val="TableParagraph"/>
              <w:spacing w:before="4"/>
              <w:jc w:val="left"/>
              <w:rPr>
                <w:rFonts w:ascii="Times New Roman"/>
                <w:sz w:val="22"/>
              </w:rPr>
            </w:pPr>
          </w:p>
          <w:p>
            <w:pPr>
              <w:pStyle w:val="TableParagraph"/>
              <w:spacing w:before="1"/>
              <w:ind w:left="1441" w:right="1444"/>
              <w:rPr>
                <w:b/>
                <w:sz w:val="18"/>
              </w:rPr>
            </w:pPr>
            <w:r>
              <w:rPr>
                <w:b/>
                <w:sz w:val="18"/>
              </w:rPr>
              <w:t>Municipio</w:t>
            </w:r>
          </w:p>
        </w:tc>
        <w:tc>
          <w:tcPr>
            <w:tcW w:w="4052" w:type="dxa"/>
            <w:tcBorders>
              <w:left w:val="single" w:sz="4" w:space="0" w:color="000000"/>
              <w:right w:val="single" w:sz="4" w:space="0" w:color="000000"/>
            </w:tcBorders>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17"/>
              </w:rPr>
            </w:pPr>
          </w:p>
          <w:p>
            <w:pPr>
              <w:pStyle w:val="TableParagraph"/>
              <w:spacing w:before="1"/>
              <w:jc w:val="left"/>
              <w:rPr>
                <w:b/>
                <w:sz w:val="18"/>
              </w:rPr>
            </w:pPr>
            <w:r>
              <w:rPr>
                <w:b/>
                <w:w w:val="99"/>
                <w:sz w:val="18"/>
              </w:rPr>
              <w:t>Res</w:t>
            </w:r>
            <w:r>
              <w:rPr>
                <w:b/>
                <w:w w:val="100"/>
                <w:sz w:val="18"/>
              </w:rPr>
              <w:t>po</w:t>
            </w:r>
            <w:r>
              <w:rPr>
                <w:b/>
                <w:sz w:val="18"/>
              </w:rPr>
              <w:t>n</w:t>
            </w:r>
            <w:r>
              <w:rPr>
                <w:b/>
                <w:spacing w:val="-2"/>
                <w:sz w:val="18"/>
              </w:rPr>
              <w:t>s</w:t>
            </w:r>
            <w:r>
              <w:rPr>
                <w:b/>
                <w:w w:val="99"/>
                <w:sz w:val="18"/>
              </w:rPr>
              <w:t>a</w:t>
            </w:r>
            <w:r>
              <w:rPr>
                <w:b/>
                <w:w w:val="100"/>
                <w:sz w:val="18"/>
              </w:rPr>
              <w:t>bl</w:t>
            </w:r>
            <w:r>
              <w:rPr>
                <w:b/>
                <w:w w:val="99"/>
                <w:sz w:val="18"/>
              </w:rPr>
              <w:t>e</w:t>
            </w:r>
          </w:p>
        </w:tc>
        <w:tc>
          <w:tcPr>
            <w:tcW w:w="850" w:type="dxa"/>
            <w:tcBorders>
              <w:left w:val="single" w:sz="4" w:space="0" w:color="000000"/>
              <w:right w:val="single" w:sz="4" w:space="0" w:color="000000"/>
            </w:tcBorders>
            <w:shd w:val="clear" w:color="auto" w:fill="C5DFB3"/>
            <w:textDirection w:val="btLr"/>
          </w:tcPr>
          <w:p>
            <w:pPr>
              <w:pStyle w:val="TableParagraph"/>
              <w:spacing w:line="369" w:lineRule="auto" w:before="100"/>
              <w:ind w:right="307"/>
              <w:jc w:val="left"/>
              <w:rPr>
                <w:b/>
                <w:sz w:val="18"/>
              </w:rPr>
            </w:pPr>
            <w:r>
              <w:rPr>
                <w:b/>
                <w:w w:val="99"/>
                <w:sz w:val="18"/>
              </w:rPr>
              <w:t>Profe</w:t>
            </w:r>
            <w:r>
              <w:rPr>
                <w:b/>
                <w:w w:val="99"/>
                <w:sz w:val="18"/>
              </w:rPr>
              <w:t>s</w:t>
            </w:r>
            <w:r>
              <w:rPr>
                <w:b/>
                <w:w w:val="100"/>
                <w:sz w:val="18"/>
              </w:rPr>
              <w:t>ión</w:t>
            </w:r>
            <w:r>
              <w:rPr>
                <w:b/>
                <w:sz w:val="18"/>
              </w:rPr>
              <w:t> </w:t>
            </w:r>
            <w:r>
              <w:rPr>
                <w:b/>
                <w:w w:val="100"/>
                <w:sz w:val="18"/>
              </w:rPr>
              <w:t>/ </w:t>
            </w:r>
            <w:r>
              <w:rPr>
                <w:b/>
                <w:spacing w:val="-1"/>
                <w:w w:val="100"/>
                <w:sz w:val="18"/>
              </w:rPr>
              <w:t>G</w:t>
            </w:r>
            <w:r>
              <w:rPr>
                <w:b/>
                <w:w w:val="99"/>
                <w:sz w:val="18"/>
              </w:rPr>
              <w:t>rad</w:t>
            </w:r>
            <w:r>
              <w:rPr>
                <w:b/>
                <w:w w:val="100"/>
                <w:sz w:val="18"/>
              </w:rPr>
              <w:t>o</w:t>
            </w:r>
          </w:p>
        </w:tc>
        <w:tc>
          <w:tcPr>
            <w:tcW w:w="5720" w:type="dxa"/>
            <w:tcBorders>
              <w:left w:val="single" w:sz="4" w:space="0" w:color="000000"/>
            </w:tcBorders>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18"/>
              </w:rPr>
            </w:pPr>
          </w:p>
          <w:p>
            <w:pPr>
              <w:pStyle w:val="TableParagraph"/>
              <w:jc w:val="left"/>
              <w:rPr>
                <w:b/>
                <w:sz w:val="18"/>
              </w:rPr>
            </w:pPr>
            <w:r>
              <w:rPr>
                <w:b/>
                <w:w w:val="99"/>
                <w:sz w:val="18"/>
              </w:rPr>
              <w:t>Cargo </w:t>
            </w:r>
            <w:r>
              <w:rPr>
                <w:b/>
                <w:w w:val="99"/>
                <w:sz w:val="18"/>
              </w:rPr>
              <w:t>(s</w:t>
            </w:r>
            <w:r>
              <w:rPr>
                <w:b/>
                <w:w w:val="99"/>
                <w:sz w:val="18"/>
              </w:rPr>
              <w:t>)</w:t>
            </w:r>
          </w:p>
        </w:tc>
      </w:tr>
      <w:tr>
        <w:trPr>
          <w:trHeight w:val="326" w:hRule="exact"/>
        </w:trPr>
        <w:tc>
          <w:tcPr>
            <w:tcW w:w="3780" w:type="dxa"/>
            <w:tcBorders>
              <w:bottom w:val="single" w:sz="4" w:space="0" w:color="000000"/>
            </w:tcBorders>
          </w:tcPr>
          <w:p>
            <w:pPr>
              <w:pStyle w:val="TableParagraph"/>
              <w:spacing w:line="201" w:lineRule="exact"/>
              <w:ind w:left="59"/>
              <w:jc w:val="left"/>
              <w:rPr>
                <w:b/>
                <w:sz w:val="18"/>
              </w:rPr>
            </w:pPr>
            <w:r>
              <w:rPr>
                <w:b/>
                <w:sz w:val="18"/>
              </w:rPr>
              <w:t>JOCOTITLAN</w:t>
            </w:r>
          </w:p>
        </w:tc>
        <w:tc>
          <w:tcPr>
            <w:tcW w:w="4052" w:type="dxa"/>
            <w:tcBorders>
              <w:bottom w:val="single" w:sz="4" w:space="0" w:color="000000"/>
              <w:right w:val="single" w:sz="4" w:space="0" w:color="000000"/>
            </w:tcBorders>
          </w:tcPr>
          <w:p>
            <w:pPr>
              <w:pStyle w:val="TableParagraph"/>
              <w:spacing w:line="206" w:lineRule="exact"/>
              <w:ind w:left="134" w:right="136"/>
              <w:rPr>
                <w:sz w:val="18"/>
              </w:rPr>
            </w:pPr>
            <w:r>
              <w:rPr>
                <w:sz w:val="18"/>
              </w:rPr>
              <w:t>Ping Jorge Luis Perez Chimal</w:t>
            </w:r>
          </w:p>
        </w:tc>
        <w:tc>
          <w:tcPr>
            <w:tcW w:w="850" w:type="dxa"/>
            <w:tcBorders>
              <w:left w:val="single" w:sz="4" w:space="0" w:color="000000"/>
              <w:bottom w:val="single" w:sz="4" w:space="0" w:color="000000"/>
              <w:right w:val="single" w:sz="4" w:space="0" w:color="000000"/>
            </w:tcBorders>
          </w:tcPr>
          <w:p>
            <w:pPr>
              <w:pStyle w:val="TableParagraph"/>
              <w:spacing w:line="206" w:lineRule="exact"/>
              <w:ind w:left="69" w:right="70"/>
              <w:rPr>
                <w:sz w:val="18"/>
              </w:rPr>
            </w:pPr>
            <w:r>
              <w:rPr>
                <w:sz w:val="18"/>
              </w:rPr>
              <w:t>NO</w:t>
            </w:r>
          </w:p>
        </w:tc>
        <w:tc>
          <w:tcPr>
            <w:tcW w:w="5720" w:type="dxa"/>
            <w:tcBorders>
              <w:left w:val="single" w:sz="4" w:space="0" w:color="000000"/>
              <w:bottom w:val="single" w:sz="4" w:space="0" w:color="000000"/>
              <w:right w:val="single" w:sz="4" w:space="0" w:color="000000"/>
            </w:tcBorders>
          </w:tcPr>
          <w:p>
            <w:pPr>
              <w:pStyle w:val="TableParagraph"/>
              <w:spacing w:line="206" w:lineRule="exact"/>
              <w:ind w:left="65" w:right="69"/>
              <w:rPr>
                <w:sz w:val="18"/>
              </w:rPr>
            </w:pPr>
            <w:r>
              <w:rPr>
                <w:sz w:val="18"/>
              </w:rPr>
              <w:t>Titular De La Unidad de Información. Director De Planeación</w:t>
            </w:r>
          </w:p>
        </w:tc>
      </w:tr>
      <w:tr>
        <w:trPr>
          <w:trHeight w:val="320"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JOQUICINGO</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826"/>
              <w:jc w:val="left"/>
              <w:rPr>
                <w:sz w:val="18"/>
              </w:rPr>
            </w:pPr>
            <w:r>
              <w:rPr>
                <w:sz w:val="18"/>
              </w:rPr>
              <w:t>P. En D. Edgar  Reyna Reyes</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70"/>
              <w:rPr>
                <w:sz w:val="18"/>
              </w:rPr>
            </w:pPr>
            <w:r>
              <w:rPr>
                <w:sz w:val="18"/>
              </w:rPr>
              <w:t>Pasante</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8"/>
              <w:rPr>
                <w:sz w:val="18"/>
              </w:rPr>
            </w:pPr>
            <w:r>
              <w:rPr>
                <w:sz w:val="18"/>
              </w:rPr>
              <w:t>Titular De La Unidad de Información</w:t>
            </w:r>
          </w:p>
        </w:tc>
      </w:tr>
      <w:tr>
        <w:trPr>
          <w:trHeight w:val="631" w:hRule="exact"/>
        </w:trPr>
        <w:tc>
          <w:tcPr>
            <w:tcW w:w="3780" w:type="dxa"/>
            <w:tcBorders>
              <w:top w:val="single" w:sz="4" w:space="0" w:color="000000"/>
              <w:bottom w:val="single" w:sz="4" w:space="0" w:color="000000"/>
            </w:tcBorders>
          </w:tcPr>
          <w:p>
            <w:pPr>
              <w:pStyle w:val="TableParagraph"/>
              <w:spacing w:before="150"/>
              <w:ind w:left="59"/>
              <w:jc w:val="left"/>
              <w:rPr>
                <w:b/>
                <w:sz w:val="18"/>
              </w:rPr>
            </w:pPr>
            <w:r>
              <w:rPr>
                <w:b/>
                <w:sz w:val="18"/>
              </w:rPr>
              <w:t>JUCHITEPEC</w:t>
            </w:r>
          </w:p>
        </w:tc>
        <w:tc>
          <w:tcPr>
            <w:tcW w:w="4052" w:type="dxa"/>
            <w:tcBorders>
              <w:top w:val="single" w:sz="4" w:space="0" w:color="000000"/>
              <w:bottom w:val="single" w:sz="4" w:space="0" w:color="000000"/>
              <w:right w:val="single" w:sz="4" w:space="0" w:color="000000"/>
            </w:tcBorders>
          </w:tcPr>
          <w:p>
            <w:pPr>
              <w:pStyle w:val="TableParagraph"/>
              <w:spacing w:before="155"/>
              <w:ind w:left="276"/>
              <w:jc w:val="left"/>
              <w:rPr>
                <w:sz w:val="18"/>
              </w:rPr>
            </w:pPr>
            <w:r>
              <w:rPr>
                <w:sz w:val="18"/>
              </w:rPr>
              <w:t>M. En S.F.Y C. Luis Adrián Mejía Quintanar</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55"/>
              <w:ind w:left="64" w:right="70"/>
              <w:rPr>
                <w:sz w:val="18"/>
              </w:rPr>
            </w:pPr>
            <w:r>
              <w:rPr>
                <w:sz w:val="18"/>
              </w:rPr>
              <w:t>M.</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362" w:lineRule="auto"/>
              <w:ind w:left="727" w:right="91" w:hanging="401"/>
              <w:jc w:val="left"/>
              <w:rPr>
                <w:sz w:val="18"/>
              </w:rPr>
            </w:pPr>
            <w:r>
              <w:rPr>
                <w:sz w:val="18"/>
              </w:rPr>
              <w:t>Titular De La Unidad de Información. Director De La Unidad De Información, Planeación, Programación Y Evaluación</w:t>
            </w:r>
          </w:p>
        </w:tc>
      </w:tr>
      <w:tr>
        <w:trPr>
          <w:trHeight w:val="631" w:hRule="exact"/>
        </w:trPr>
        <w:tc>
          <w:tcPr>
            <w:tcW w:w="3780" w:type="dxa"/>
            <w:tcBorders>
              <w:top w:val="single" w:sz="4" w:space="0" w:color="000000"/>
              <w:bottom w:val="single" w:sz="4" w:space="0" w:color="000000"/>
            </w:tcBorders>
          </w:tcPr>
          <w:p>
            <w:pPr>
              <w:pStyle w:val="TableParagraph"/>
              <w:spacing w:before="150"/>
              <w:ind w:left="59"/>
              <w:jc w:val="left"/>
              <w:rPr>
                <w:b/>
                <w:sz w:val="18"/>
              </w:rPr>
            </w:pPr>
            <w:r>
              <w:rPr>
                <w:b/>
                <w:sz w:val="18"/>
              </w:rPr>
              <w:t>LA PAZ</w:t>
            </w:r>
          </w:p>
        </w:tc>
        <w:tc>
          <w:tcPr>
            <w:tcW w:w="4052" w:type="dxa"/>
            <w:tcBorders>
              <w:top w:val="single" w:sz="4" w:space="0" w:color="000000"/>
              <w:bottom w:val="single" w:sz="4" w:space="0" w:color="000000"/>
              <w:right w:val="single" w:sz="4" w:space="0" w:color="000000"/>
            </w:tcBorders>
          </w:tcPr>
          <w:p>
            <w:pPr>
              <w:pStyle w:val="TableParagraph"/>
              <w:spacing w:before="155"/>
              <w:ind w:left="590"/>
              <w:jc w:val="left"/>
              <w:rPr>
                <w:sz w:val="18"/>
              </w:rPr>
            </w:pPr>
            <w:r>
              <w:rPr>
                <w:sz w:val="18"/>
              </w:rPr>
              <w:t>P.D. Esbeidi Yisel Estrada Sánchez</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55"/>
              <w:ind w:left="69" w:right="70"/>
              <w:rPr>
                <w:sz w:val="18"/>
              </w:rPr>
            </w:pPr>
            <w:r>
              <w:rPr>
                <w:sz w:val="18"/>
              </w:rPr>
              <w:t>Pasante</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362" w:lineRule="auto"/>
              <w:ind w:left="1168" w:right="91" w:hanging="876"/>
              <w:jc w:val="left"/>
              <w:rPr>
                <w:sz w:val="18"/>
              </w:rPr>
            </w:pPr>
            <w:r>
              <w:rPr>
                <w:sz w:val="18"/>
              </w:rPr>
              <w:t>Titular De La Unidad de Información. Jefe Del Departamento De Transparencia Y Acceso A La Información</w:t>
            </w:r>
          </w:p>
        </w:tc>
      </w:tr>
      <w:tr>
        <w:trPr>
          <w:trHeight w:val="631" w:hRule="exact"/>
        </w:trPr>
        <w:tc>
          <w:tcPr>
            <w:tcW w:w="3780" w:type="dxa"/>
            <w:tcBorders>
              <w:top w:val="single" w:sz="4" w:space="0" w:color="000000"/>
              <w:bottom w:val="single" w:sz="4" w:space="0" w:color="000000"/>
            </w:tcBorders>
          </w:tcPr>
          <w:p>
            <w:pPr>
              <w:pStyle w:val="TableParagraph"/>
              <w:spacing w:before="150"/>
              <w:ind w:left="59"/>
              <w:jc w:val="left"/>
              <w:rPr>
                <w:b/>
                <w:sz w:val="18"/>
              </w:rPr>
            </w:pPr>
            <w:r>
              <w:rPr>
                <w:b/>
                <w:sz w:val="18"/>
              </w:rPr>
              <w:t>LERMA</w:t>
            </w:r>
          </w:p>
        </w:tc>
        <w:tc>
          <w:tcPr>
            <w:tcW w:w="4052" w:type="dxa"/>
            <w:tcBorders>
              <w:top w:val="single" w:sz="4" w:space="0" w:color="000000"/>
              <w:bottom w:val="single" w:sz="4" w:space="0" w:color="000000"/>
              <w:right w:val="single" w:sz="4" w:space="0" w:color="000000"/>
            </w:tcBorders>
          </w:tcPr>
          <w:p>
            <w:pPr>
              <w:pStyle w:val="TableParagraph"/>
              <w:spacing w:before="155"/>
              <w:ind w:left="134" w:right="137"/>
              <w:rPr>
                <w:sz w:val="18"/>
              </w:rPr>
            </w:pPr>
            <w:r>
              <w:rPr>
                <w:sz w:val="18"/>
              </w:rPr>
              <w:t>Lic. En C. Jazmín Vázquez Colín</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55"/>
              <w:ind w:left="69" w:right="69"/>
              <w:rPr>
                <w:sz w:val="18"/>
              </w:rPr>
            </w:pPr>
            <w:r>
              <w:rPr>
                <w:sz w:val="18"/>
              </w:rPr>
              <w:t>Lic.</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360" w:lineRule="auto"/>
              <w:ind w:left="1168" w:right="275" w:hanging="876"/>
              <w:jc w:val="left"/>
              <w:rPr>
                <w:sz w:val="18"/>
              </w:rPr>
            </w:pPr>
            <w:r>
              <w:rPr>
                <w:sz w:val="18"/>
              </w:rPr>
              <w:t>Titular De La Unidad de Información. Jefe Del Departamento De Transparencia Y Acceso A La Información</w:t>
            </w:r>
          </w:p>
        </w:tc>
      </w:tr>
      <w:tr>
        <w:trPr>
          <w:trHeight w:val="319"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LUVIANOS</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715"/>
              <w:jc w:val="left"/>
              <w:rPr>
                <w:sz w:val="18"/>
              </w:rPr>
            </w:pPr>
            <w:r>
              <w:rPr>
                <w:sz w:val="18"/>
              </w:rPr>
              <w:t>M. En H. Gabriel Jiménez Tavira</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4" w:right="70"/>
              <w:rPr>
                <w:sz w:val="18"/>
              </w:rPr>
            </w:pPr>
            <w:r>
              <w:rPr>
                <w:sz w:val="18"/>
              </w:rPr>
              <w:t>M.</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8"/>
              <w:rPr>
                <w:sz w:val="18"/>
              </w:rPr>
            </w:pPr>
            <w:r>
              <w:rPr>
                <w:sz w:val="18"/>
              </w:rPr>
              <w:t>Titular De La Unidad de Información</w:t>
            </w:r>
          </w:p>
        </w:tc>
      </w:tr>
      <w:tr>
        <w:trPr>
          <w:trHeight w:val="632" w:hRule="exact"/>
        </w:trPr>
        <w:tc>
          <w:tcPr>
            <w:tcW w:w="3780" w:type="dxa"/>
            <w:tcBorders>
              <w:top w:val="single" w:sz="4" w:space="0" w:color="000000"/>
              <w:bottom w:val="single" w:sz="4" w:space="0" w:color="000000"/>
            </w:tcBorders>
          </w:tcPr>
          <w:p>
            <w:pPr>
              <w:pStyle w:val="TableParagraph"/>
              <w:spacing w:before="150"/>
              <w:ind w:left="59"/>
              <w:jc w:val="left"/>
              <w:rPr>
                <w:b/>
                <w:sz w:val="18"/>
              </w:rPr>
            </w:pPr>
            <w:r>
              <w:rPr>
                <w:b/>
                <w:sz w:val="18"/>
              </w:rPr>
              <w:t>MALINALCO</w:t>
            </w:r>
          </w:p>
        </w:tc>
        <w:tc>
          <w:tcPr>
            <w:tcW w:w="4052" w:type="dxa"/>
            <w:tcBorders>
              <w:top w:val="single" w:sz="4" w:space="0" w:color="000000"/>
              <w:bottom w:val="single" w:sz="4" w:space="0" w:color="000000"/>
              <w:right w:val="single" w:sz="4" w:space="0" w:color="000000"/>
            </w:tcBorders>
          </w:tcPr>
          <w:p>
            <w:pPr>
              <w:pStyle w:val="TableParagraph"/>
              <w:spacing w:before="155"/>
              <w:ind w:left="134" w:right="139"/>
              <w:rPr>
                <w:sz w:val="18"/>
              </w:rPr>
            </w:pPr>
            <w:r>
              <w:rPr>
                <w:sz w:val="18"/>
              </w:rPr>
              <w:t>Profr. Victorino Efren Castañeda Escobar</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55"/>
              <w:ind w:left="69" w:right="69"/>
              <w:rPr>
                <w:sz w:val="18"/>
              </w:rPr>
            </w:pPr>
            <w:r>
              <w:rPr>
                <w:sz w:val="18"/>
              </w:rPr>
              <w:t>Lic.</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360" w:lineRule="auto" w:before="1"/>
              <w:ind w:left="2332" w:right="82" w:hanging="2237"/>
              <w:jc w:val="left"/>
              <w:rPr>
                <w:sz w:val="18"/>
              </w:rPr>
            </w:pPr>
            <w:r>
              <w:rPr>
                <w:sz w:val="18"/>
              </w:rPr>
              <w:t>Titular De La Unidad de Información. Secretario Del H. Ayuntamiento De Malinalco</w:t>
            </w:r>
          </w:p>
        </w:tc>
      </w:tr>
      <w:tr>
        <w:trPr>
          <w:trHeight w:val="631" w:hRule="exact"/>
        </w:trPr>
        <w:tc>
          <w:tcPr>
            <w:tcW w:w="3780" w:type="dxa"/>
            <w:tcBorders>
              <w:top w:val="single" w:sz="4" w:space="0" w:color="000000"/>
              <w:bottom w:val="single" w:sz="4" w:space="0" w:color="000000"/>
            </w:tcBorders>
          </w:tcPr>
          <w:p>
            <w:pPr>
              <w:pStyle w:val="TableParagraph"/>
              <w:spacing w:before="150"/>
              <w:ind w:left="59"/>
              <w:jc w:val="left"/>
              <w:rPr>
                <w:b/>
                <w:sz w:val="18"/>
              </w:rPr>
            </w:pPr>
            <w:r>
              <w:rPr>
                <w:b/>
                <w:sz w:val="18"/>
              </w:rPr>
              <w:t>MELCHOR OCAMPO</w:t>
            </w:r>
          </w:p>
        </w:tc>
        <w:tc>
          <w:tcPr>
            <w:tcW w:w="4052" w:type="dxa"/>
            <w:tcBorders>
              <w:top w:val="single" w:sz="4" w:space="0" w:color="000000"/>
              <w:bottom w:val="single" w:sz="4" w:space="0" w:color="000000"/>
              <w:right w:val="single" w:sz="4" w:space="0" w:color="000000"/>
            </w:tcBorders>
          </w:tcPr>
          <w:p>
            <w:pPr>
              <w:pStyle w:val="TableParagraph"/>
              <w:spacing w:before="155"/>
              <w:ind w:left="674"/>
              <w:jc w:val="left"/>
              <w:rPr>
                <w:sz w:val="18"/>
              </w:rPr>
            </w:pPr>
            <w:r>
              <w:rPr>
                <w:sz w:val="18"/>
              </w:rPr>
              <w:t>P. En D. Emmanuel Duran Reyes</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55"/>
              <w:ind w:left="69" w:right="70"/>
              <w:rPr>
                <w:sz w:val="18"/>
              </w:rPr>
            </w:pPr>
            <w:r>
              <w:rPr>
                <w:sz w:val="18"/>
              </w:rPr>
              <w:t>Pasante</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362" w:lineRule="auto"/>
              <w:ind w:left="2280" w:right="317" w:hanging="1887"/>
              <w:jc w:val="left"/>
              <w:rPr>
                <w:sz w:val="18"/>
              </w:rPr>
            </w:pPr>
            <w:r>
              <w:rPr>
                <w:sz w:val="18"/>
              </w:rPr>
              <w:t>Titular De La Unidad de Información. Titular De La Unidad De Transparencia</w:t>
            </w:r>
          </w:p>
        </w:tc>
      </w:tr>
      <w:tr>
        <w:trPr>
          <w:trHeight w:val="631" w:hRule="exact"/>
        </w:trPr>
        <w:tc>
          <w:tcPr>
            <w:tcW w:w="3780" w:type="dxa"/>
            <w:tcBorders>
              <w:top w:val="single" w:sz="4" w:space="0" w:color="000000"/>
              <w:bottom w:val="single" w:sz="4" w:space="0" w:color="000000"/>
            </w:tcBorders>
          </w:tcPr>
          <w:p>
            <w:pPr>
              <w:pStyle w:val="TableParagraph"/>
              <w:spacing w:before="150"/>
              <w:ind w:left="59"/>
              <w:jc w:val="left"/>
              <w:rPr>
                <w:b/>
                <w:sz w:val="18"/>
              </w:rPr>
            </w:pPr>
            <w:r>
              <w:rPr>
                <w:b/>
                <w:sz w:val="18"/>
              </w:rPr>
              <w:t>METEPEC</w:t>
            </w:r>
          </w:p>
        </w:tc>
        <w:tc>
          <w:tcPr>
            <w:tcW w:w="4052" w:type="dxa"/>
            <w:tcBorders>
              <w:top w:val="single" w:sz="4" w:space="0" w:color="000000"/>
              <w:bottom w:val="single" w:sz="4" w:space="0" w:color="000000"/>
              <w:right w:val="single" w:sz="4" w:space="0" w:color="000000"/>
            </w:tcBorders>
          </w:tcPr>
          <w:p>
            <w:pPr>
              <w:pStyle w:val="TableParagraph"/>
              <w:spacing w:before="155"/>
              <w:ind w:left="134" w:right="136"/>
              <w:rPr>
                <w:sz w:val="18"/>
              </w:rPr>
            </w:pPr>
            <w:r>
              <w:rPr>
                <w:sz w:val="18"/>
              </w:rPr>
              <w:t>Lic. Raúl Silva Castillo</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55"/>
              <w:ind w:left="69" w:right="69"/>
              <w:rPr>
                <w:sz w:val="18"/>
              </w:rPr>
            </w:pPr>
            <w:r>
              <w:rPr>
                <w:sz w:val="18"/>
              </w:rPr>
              <w:t>Lic.</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362" w:lineRule="auto"/>
              <w:ind w:left="1168" w:right="455" w:hanging="696"/>
              <w:jc w:val="left"/>
              <w:rPr>
                <w:sz w:val="18"/>
              </w:rPr>
            </w:pPr>
            <w:r>
              <w:rPr>
                <w:sz w:val="18"/>
              </w:rPr>
              <w:t>Titular De La Unidad de Información. Jefe De La Unidad De Transparencia Y Acceso A La Información</w:t>
            </w:r>
          </w:p>
        </w:tc>
      </w:tr>
      <w:tr>
        <w:trPr>
          <w:trHeight w:val="322"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MEXICALTCINGO</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604"/>
              <w:jc w:val="left"/>
              <w:rPr>
                <w:sz w:val="18"/>
              </w:rPr>
            </w:pPr>
            <w:r>
              <w:rPr>
                <w:sz w:val="18"/>
              </w:rPr>
              <w:t>P.C.P. Oscar Arturo Cuevas Rivero</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70"/>
              <w:rPr>
                <w:sz w:val="18"/>
              </w:rPr>
            </w:pPr>
            <w:r>
              <w:rPr>
                <w:sz w:val="18"/>
              </w:rPr>
              <w:t>Pasante</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8"/>
              <w:rPr>
                <w:sz w:val="18"/>
              </w:rPr>
            </w:pPr>
            <w:r>
              <w:rPr>
                <w:sz w:val="18"/>
              </w:rPr>
              <w:t>Titular De La Unidad de Información</w:t>
            </w:r>
          </w:p>
        </w:tc>
      </w:tr>
      <w:tr>
        <w:trPr>
          <w:trHeight w:val="319"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MORELOS</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134" w:right="137"/>
              <w:rPr>
                <w:sz w:val="18"/>
              </w:rPr>
            </w:pPr>
            <w:r>
              <w:rPr>
                <w:sz w:val="18"/>
              </w:rPr>
              <w:t>Ing. Iván Rosales Chavarría</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69"/>
              <w:rPr>
                <w:sz w:val="18"/>
              </w:rPr>
            </w:pPr>
            <w:r>
              <w:rPr>
                <w:sz w:val="18"/>
              </w:rPr>
              <w:t>Ing.</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8"/>
              <w:rPr>
                <w:sz w:val="18"/>
              </w:rPr>
            </w:pPr>
            <w:r>
              <w:rPr>
                <w:sz w:val="18"/>
              </w:rPr>
              <w:t>Titular De La Unidad de Información. Titular De La Uippe</w:t>
            </w:r>
          </w:p>
        </w:tc>
      </w:tr>
      <w:tr>
        <w:trPr>
          <w:trHeight w:val="632" w:hRule="exact"/>
        </w:trPr>
        <w:tc>
          <w:tcPr>
            <w:tcW w:w="3780" w:type="dxa"/>
            <w:tcBorders>
              <w:top w:val="single" w:sz="4" w:space="0" w:color="000000"/>
              <w:bottom w:val="single" w:sz="4" w:space="0" w:color="000000"/>
            </w:tcBorders>
          </w:tcPr>
          <w:p>
            <w:pPr>
              <w:pStyle w:val="TableParagraph"/>
              <w:spacing w:before="150"/>
              <w:ind w:left="59"/>
              <w:jc w:val="left"/>
              <w:rPr>
                <w:b/>
                <w:sz w:val="18"/>
              </w:rPr>
            </w:pPr>
            <w:r>
              <w:rPr>
                <w:b/>
                <w:sz w:val="18"/>
              </w:rPr>
              <w:t>NAUCALPAN DE JUAREZ</w:t>
            </w:r>
          </w:p>
        </w:tc>
        <w:tc>
          <w:tcPr>
            <w:tcW w:w="4052" w:type="dxa"/>
            <w:tcBorders>
              <w:top w:val="single" w:sz="4" w:space="0" w:color="000000"/>
              <w:bottom w:val="single" w:sz="4" w:space="0" w:color="000000"/>
              <w:right w:val="single" w:sz="4" w:space="0" w:color="000000"/>
            </w:tcBorders>
          </w:tcPr>
          <w:p>
            <w:pPr>
              <w:pStyle w:val="TableParagraph"/>
              <w:spacing w:before="155"/>
              <w:ind w:left="771"/>
              <w:jc w:val="left"/>
              <w:rPr>
                <w:sz w:val="18"/>
              </w:rPr>
            </w:pPr>
            <w:r>
              <w:rPr>
                <w:sz w:val="18"/>
              </w:rPr>
              <w:t>C. Blanca Estela Cotero Arriola</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55"/>
              <w:ind w:left="69" w:right="70"/>
              <w:rPr>
                <w:sz w:val="18"/>
              </w:rPr>
            </w:pPr>
            <w:r>
              <w:rPr>
                <w:sz w:val="18"/>
              </w:rPr>
              <w:t>NO</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362" w:lineRule="auto"/>
              <w:ind w:left="1768" w:right="93" w:hanging="1664"/>
              <w:jc w:val="left"/>
              <w:rPr>
                <w:sz w:val="18"/>
              </w:rPr>
            </w:pPr>
            <w:r>
              <w:rPr>
                <w:sz w:val="18"/>
              </w:rPr>
              <w:t>Titular De La Unidad de Información. Subdirectora De Transparencia Y Acceso A La Información</w:t>
            </w:r>
          </w:p>
        </w:tc>
      </w:tr>
      <w:tr>
        <w:trPr>
          <w:trHeight w:val="322"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NEXTLALPAN</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388"/>
              <w:jc w:val="left"/>
              <w:rPr>
                <w:sz w:val="18"/>
              </w:rPr>
            </w:pPr>
            <w:r>
              <w:rPr>
                <w:sz w:val="18"/>
              </w:rPr>
              <w:t>L. en D. Evelyn Sarahi Arellano Hinojosa</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69"/>
              <w:rPr>
                <w:sz w:val="18"/>
              </w:rPr>
            </w:pPr>
            <w:r>
              <w:rPr>
                <w:sz w:val="18"/>
              </w:rPr>
              <w:t>Lic.</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8"/>
              <w:rPr>
                <w:sz w:val="18"/>
              </w:rPr>
            </w:pPr>
            <w:r>
              <w:rPr>
                <w:sz w:val="18"/>
              </w:rPr>
              <w:t>Titular De La Unidad de Información</w:t>
            </w:r>
          </w:p>
        </w:tc>
      </w:tr>
      <w:tr>
        <w:trPr>
          <w:trHeight w:val="319"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NEZAHUALCOYOTL</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674"/>
              <w:jc w:val="left"/>
              <w:rPr>
                <w:sz w:val="18"/>
              </w:rPr>
            </w:pPr>
            <w:r>
              <w:rPr>
                <w:sz w:val="18"/>
              </w:rPr>
              <w:t>T.S.U. Luz Elena García Ramírez</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69"/>
              <w:rPr>
                <w:sz w:val="18"/>
              </w:rPr>
            </w:pPr>
            <w:r>
              <w:rPr>
                <w:sz w:val="18"/>
              </w:rPr>
              <w:t>Tec.</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8"/>
              <w:rPr>
                <w:sz w:val="18"/>
              </w:rPr>
            </w:pPr>
            <w:r>
              <w:rPr>
                <w:sz w:val="18"/>
              </w:rPr>
              <w:t>Titular De La Unidad de Información</w:t>
            </w:r>
          </w:p>
        </w:tc>
      </w:tr>
      <w:tr>
        <w:trPr>
          <w:trHeight w:val="322"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NICOLAS ROMERO</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134" w:right="140"/>
              <w:rPr>
                <w:sz w:val="18"/>
              </w:rPr>
            </w:pPr>
            <w:r>
              <w:rPr>
                <w:sz w:val="18"/>
              </w:rPr>
              <w:t>Lic. Derecho Juan Carlos Solano De La O.</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69"/>
              <w:rPr>
                <w:sz w:val="18"/>
              </w:rPr>
            </w:pPr>
            <w:r>
              <w:rPr>
                <w:sz w:val="18"/>
              </w:rPr>
              <w:t>Lic.</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8"/>
              <w:rPr>
                <w:sz w:val="18"/>
              </w:rPr>
            </w:pPr>
            <w:r>
              <w:rPr>
                <w:sz w:val="18"/>
              </w:rPr>
              <w:t>Titular De La Unidad de Información</w:t>
            </w:r>
          </w:p>
        </w:tc>
      </w:tr>
    </w:tbl>
    <w:p>
      <w:pPr>
        <w:spacing w:after="0" w:line="206" w:lineRule="exact"/>
        <w:rPr>
          <w:sz w:val="18"/>
        </w:rPr>
        <w:sectPr>
          <w:pgSz w:w="15840" w:h="12240" w:orient="landscape"/>
          <w:pgMar w:header="0" w:footer="975" w:top="1140" w:bottom="1160" w:left="600" w:right="580"/>
        </w:sectPr>
      </w:pPr>
    </w:p>
    <w:p>
      <w:pPr>
        <w:pStyle w:val="BodyText"/>
        <w:rPr>
          <w:rFonts w:ascii="Times New Roman"/>
          <w:sz w:val="20"/>
        </w:rPr>
      </w:pPr>
    </w:p>
    <w:p>
      <w:pPr>
        <w:pStyle w:val="BodyText"/>
        <w:spacing w:before="10"/>
        <w:rPr>
          <w:rFonts w:ascii="Times New Roman"/>
          <w:sz w:val="28"/>
        </w:rPr>
      </w:pPr>
    </w:p>
    <w:tbl>
      <w:tblPr>
        <w:tblW w:w="0" w:type="auto"/>
        <w:jc w:val="left"/>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780"/>
        <w:gridCol w:w="4052"/>
        <w:gridCol w:w="850"/>
        <w:gridCol w:w="5720"/>
      </w:tblGrid>
      <w:tr>
        <w:trPr>
          <w:trHeight w:val="430" w:hRule="exact"/>
        </w:trPr>
        <w:tc>
          <w:tcPr>
            <w:tcW w:w="14402" w:type="dxa"/>
            <w:gridSpan w:val="4"/>
            <w:shd w:val="clear" w:color="auto" w:fill="92D050"/>
          </w:tcPr>
          <w:p>
            <w:pPr>
              <w:pStyle w:val="TableParagraph"/>
              <w:spacing w:before="44"/>
              <w:ind w:left="2719"/>
              <w:jc w:val="left"/>
              <w:rPr>
                <w:b/>
                <w:sz w:val="18"/>
              </w:rPr>
            </w:pPr>
            <w:r>
              <w:rPr>
                <w:b/>
                <w:sz w:val="18"/>
              </w:rPr>
              <w:t>Anexo 22. Municipios que publican apartado de responsable de la unidad de información (Continuación)</w:t>
            </w:r>
          </w:p>
        </w:tc>
      </w:tr>
      <w:tr>
        <w:trPr>
          <w:trHeight w:val="1272" w:hRule="exact"/>
        </w:trPr>
        <w:tc>
          <w:tcPr>
            <w:tcW w:w="3780" w:type="dxa"/>
            <w:tcBorders>
              <w:right w:val="single" w:sz="4" w:space="0" w:color="000000"/>
            </w:tcBorders>
            <w:shd w:val="clear" w:color="auto" w:fill="C5DFB3"/>
          </w:tcPr>
          <w:p>
            <w:pPr>
              <w:pStyle w:val="TableParagraph"/>
              <w:jc w:val="left"/>
              <w:rPr>
                <w:rFonts w:ascii="Times New Roman"/>
                <w:sz w:val="18"/>
              </w:rPr>
            </w:pPr>
          </w:p>
          <w:p>
            <w:pPr>
              <w:pStyle w:val="TableParagraph"/>
              <w:spacing w:before="4"/>
              <w:jc w:val="left"/>
              <w:rPr>
                <w:rFonts w:ascii="Times New Roman"/>
                <w:sz w:val="22"/>
              </w:rPr>
            </w:pPr>
          </w:p>
          <w:p>
            <w:pPr>
              <w:pStyle w:val="TableParagraph"/>
              <w:spacing w:before="1"/>
              <w:ind w:left="1441" w:right="1444"/>
              <w:rPr>
                <w:b/>
                <w:sz w:val="18"/>
              </w:rPr>
            </w:pPr>
            <w:r>
              <w:rPr>
                <w:b/>
                <w:sz w:val="18"/>
              </w:rPr>
              <w:t>Municipio</w:t>
            </w:r>
          </w:p>
        </w:tc>
        <w:tc>
          <w:tcPr>
            <w:tcW w:w="4052" w:type="dxa"/>
            <w:tcBorders>
              <w:left w:val="single" w:sz="4" w:space="0" w:color="000000"/>
              <w:right w:val="single" w:sz="4" w:space="0" w:color="000000"/>
            </w:tcBorders>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17"/>
              </w:rPr>
            </w:pPr>
          </w:p>
          <w:p>
            <w:pPr>
              <w:pStyle w:val="TableParagraph"/>
              <w:spacing w:before="1"/>
              <w:jc w:val="left"/>
              <w:rPr>
                <w:b/>
                <w:sz w:val="18"/>
              </w:rPr>
            </w:pPr>
            <w:r>
              <w:rPr>
                <w:b/>
                <w:w w:val="99"/>
                <w:sz w:val="18"/>
              </w:rPr>
              <w:t>Res</w:t>
            </w:r>
            <w:r>
              <w:rPr>
                <w:b/>
                <w:w w:val="100"/>
                <w:sz w:val="18"/>
              </w:rPr>
              <w:t>po</w:t>
            </w:r>
            <w:r>
              <w:rPr>
                <w:b/>
                <w:sz w:val="18"/>
              </w:rPr>
              <w:t>n</w:t>
            </w:r>
            <w:r>
              <w:rPr>
                <w:b/>
                <w:spacing w:val="-2"/>
                <w:sz w:val="18"/>
              </w:rPr>
              <w:t>s</w:t>
            </w:r>
            <w:r>
              <w:rPr>
                <w:b/>
                <w:w w:val="99"/>
                <w:sz w:val="18"/>
              </w:rPr>
              <w:t>a</w:t>
            </w:r>
            <w:r>
              <w:rPr>
                <w:b/>
                <w:w w:val="100"/>
                <w:sz w:val="18"/>
              </w:rPr>
              <w:t>bl</w:t>
            </w:r>
            <w:r>
              <w:rPr>
                <w:b/>
                <w:w w:val="99"/>
                <w:sz w:val="18"/>
              </w:rPr>
              <w:t>e</w:t>
            </w:r>
          </w:p>
        </w:tc>
        <w:tc>
          <w:tcPr>
            <w:tcW w:w="850" w:type="dxa"/>
            <w:tcBorders>
              <w:left w:val="single" w:sz="4" w:space="0" w:color="000000"/>
              <w:right w:val="single" w:sz="4" w:space="0" w:color="000000"/>
            </w:tcBorders>
            <w:shd w:val="clear" w:color="auto" w:fill="C5DFB3"/>
            <w:textDirection w:val="btLr"/>
          </w:tcPr>
          <w:p>
            <w:pPr>
              <w:pStyle w:val="TableParagraph"/>
              <w:spacing w:line="369" w:lineRule="auto" w:before="100"/>
              <w:ind w:right="307"/>
              <w:jc w:val="left"/>
              <w:rPr>
                <w:b/>
                <w:sz w:val="18"/>
              </w:rPr>
            </w:pPr>
            <w:r>
              <w:rPr>
                <w:b/>
                <w:w w:val="99"/>
                <w:sz w:val="18"/>
              </w:rPr>
              <w:t>Profe</w:t>
            </w:r>
            <w:r>
              <w:rPr>
                <w:b/>
                <w:w w:val="99"/>
                <w:sz w:val="18"/>
              </w:rPr>
              <w:t>s</w:t>
            </w:r>
            <w:r>
              <w:rPr>
                <w:b/>
                <w:w w:val="100"/>
                <w:sz w:val="18"/>
              </w:rPr>
              <w:t>ión</w:t>
            </w:r>
            <w:r>
              <w:rPr>
                <w:b/>
                <w:sz w:val="18"/>
              </w:rPr>
              <w:t> </w:t>
            </w:r>
            <w:r>
              <w:rPr>
                <w:b/>
                <w:w w:val="100"/>
                <w:sz w:val="18"/>
              </w:rPr>
              <w:t>/ </w:t>
            </w:r>
            <w:r>
              <w:rPr>
                <w:b/>
                <w:spacing w:val="-1"/>
                <w:w w:val="100"/>
                <w:sz w:val="18"/>
              </w:rPr>
              <w:t>G</w:t>
            </w:r>
            <w:r>
              <w:rPr>
                <w:b/>
                <w:w w:val="99"/>
                <w:sz w:val="18"/>
              </w:rPr>
              <w:t>rad</w:t>
            </w:r>
            <w:r>
              <w:rPr>
                <w:b/>
                <w:w w:val="100"/>
                <w:sz w:val="18"/>
              </w:rPr>
              <w:t>o</w:t>
            </w:r>
          </w:p>
        </w:tc>
        <w:tc>
          <w:tcPr>
            <w:tcW w:w="5720" w:type="dxa"/>
            <w:tcBorders>
              <w:left w:val="single" w:sz="4" w:space="0" w:color="000000"/>
            </w:tcBorders>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18"/>
              </w:rPr>
            </w:pPr>
          </w:p>
          <w:p>
            <w:pPr>
              <w:pStyle w:val="TableParagraph"/>
              <w:jc w:val="left"/>
              <w:rPr>
                <w:b/>
                <w:sz w:val="18"/>
              </w:rPr>
            </w:pPr>
            <w:r>
              <w:rPr>
                <w:b/>
                <w:w w:val="99"/>
                <w:sz w:val="18"/>
              </w:rPr>
              <w:t>Cargo </w:t>
            </w:r>
            <w:r>
              <w:rPr>
                <w:b/>
                <w:w w:val="99"/>
                <w:sz w:val="18"/>
              </w:rPr>
              <w:t>(s</w:t>
            </w:r>
            <w:r>
              <w:rPr>
                <w:b/>
                <w:w w:val="99"/>
                <w:sz w:val="18"/>
              </w:rPr>
              <w:t>)</w:t>
            </w:r>
          </w:p>
        </w:tc>
      </w:tr>
      <w:tr>
        <w:trPr>
          <w:trHeight w:val="326" w:hRule="exact"/>
        </w:trPr>
        <w:tc>
          <w:tcPr>
            <w:tcW w:w="3780" w:type="dxa"/>
            <w:tcBorders>
              <w:bottom w:val="single" w:sz="4" w:space="0" w:color="000000"/>
            </w:tcBorders>
          </w:tcPr>
          <w:p>
            <w:pPr>
              <w:pStyle w:val="TableParagraph"/>
              <w:spacing w:line="201" w:lineRule="exact"/>
              <w:ind w:left="59"/>
              <w:jc w:val="left"/>
              <w:rPr>
                <w:b/>
                <w:sz w:val="18"/>
              </w:rPr>
            </w:pPr>
            <w:r>
              <w:rPr>
                <w:b/>
                <w:sz w:val="18"/>
              </w:rPr>
              <w:t>NOPALTEPEC</w:t>
            </w:r>
          </w:p>
        </w:tc>
        <w:tc>
          <w:tcPr>
            <w:tcW w:w="4052" w:type="dxa"/>
            <w:tcBorders>
              <w:bottom w:val="single" w:sz="4" w:space="0" w:color="000000"/>
              <w:right w:val="single" w:sz="4" w:space="0" w:color="000000"/>
            </w:tcBorders>
          </w:tcPr>
          <w:p>
            <w:pPr>
              <w:pStyle w:val="TableParagraph"/>
              <w:spacing w:line="206" w:lineRule="exact"/>
              <w:ind w:left="874"/>
              <w:jc w:val="left"/>
              <w:rPr>
                <w:sz w:val="18"/>
              </w:rPr>
            </w:pPr>
            <w:r>
              <w:rPr>
                <w:sz w:val="18"/>
              </w:rPr>
              <w:t>C. Augusto Contreras Dávila</w:t>
            </w:r>
          </w:p>
        </w:tc>
        <w:tc>
          <w:tcPr>
            <w:tcW w:w="850" w:type="dxa"/>
            <w:tcBorders>
              <w:left w:val="single" w:sz="4" w:space="0" w:color="000000"/>
              <w:bottom w:val="single" w:sz="4" w:space="0" w:color="000000"/>
              <w:right w:val="single" w:sz="4" w:space="0" w:color="000000"/>
            </w:tcBorders>
          </w:tcPr>
          <w:p>
            <w:pPr>
              <w:pStyle w:val="TableParagraph"/>
              <w:spacing w:line="206" w:lineRule="exact"/>
              <w:ind w:left="69" w:right="70"/>
              <w:rPr>
                <w:sz w:val="18"/>
              </w:rPr>
            </w:pPr>
            <w:r>
              <w:rPr>
                <w:sz w:val="18"/>
              </w:rPr>
              <w:t>NO</w:t>
            </w:r>
          </w:p>
        </w:tc>
        <w:tc>
          <w:tcPr>
            <w:tcW w:w="5720" w:type="dxa"/>
            <w:tcBorders>
              <w:left w:val="single" w:sz="4" w:space="0" w:color="000000"/>
              <w:bottom w:val="single" w:sz="4" w:space="0" w:color="000000"/>
              <w:right w:val="single" w:sz="4" w:space="0" w:color="000000"/>
            </w:tcBorders>
          </w:tcPr>
          <w:p>
            <w:pPr>
              <w:pStyle w:val="TableParagraph"/>
              <w:spacing w:line="206" w:lineRule="exact"/>
              <w:ind w:left="1408" w:right="317"/>
              <w:jc w:val="left"/>
              <w:rPr>
                <w:sz w:val="18"/>
              </w:rPr>
            </w:pPr>
            <w:r>
              <w:rPr>
                <w:sz w:val="18"/>
              </w:rPr>
              <w:t>Titular De La Unidad de Información</w:t>
            </w:r>
          </w:p>
        </w:tc>
      </w:tr>
      <w:tr>
        <w:trPr>
          <w:trHeight w:val="320"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OCOYOACAC</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369"/>
              <w:jc w:val="left"/>
              <w:rPr>
                <w:sz w:val="18"/>
              </w:rPr>
            </w:pPr>
            <w:r>
              <w:rPr>
                <w:sz w:val="18"/>
              </w:rPr>
              <w:t>C. Genaro Alfonso Guadarrama Hinojosa</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70"/>
              <w:rPr>
                <w:sz w:val="18"/>
              </w:rPr>
            </w:pPr>
            <w:r>
              <w:rPr>
                <w:sz w:val="18"/>
              </w:rPr>
              <w:t>NO</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08" w:right="317"/>
              <w:jc w:val="left"/>
              <w:rPr>
                <w:sz w:val="18"/>
              </w:rPr>
            </w:pPr>
            <w:r>
              <w:rPr>
                <w:sz w:val="18"/>
              </w:rPr>
              <w:t>Titular De La Unidad de Información</w:t>
            </w:r>
          </w:p>
        </w:tc>
      </w:tr>
      <w:tr>
        <w:trPr>
          <w:trHeight w:val="322"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OCUILAN</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874"/>
              <w:jc w:val="left"/>
              <w:rPr>
                <w:sz w:val="18"/>
              </w:rPr>
            </w:pPr>
            <w:r>
              <w:rPr>
                <w:sz w:val="18"/>
              </w:rPr>
              <w:t>C. Elizabeth Paredes Ibáñez</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70"/>
              <w:rPr>
                <w:sz w:val="18"/>
              </w:rPr>
            </w:pPr>
            <w:r>
              <w:rPr>
                <w:sz w:val="18"/>
              </w:rPr>
              <w:t>NO</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08" w:right="317"/>
              <w:jc w:val="left"/>
              <w:rPr>
                <w:sz w:val="18"/>
              </w:rPr>
            </w:pPr>
            <w:r>
              <w:rPr>
                <w:sz w:val="18"/>
              </w:rPr>
              <w:t>Titular De La Unidad de Información</w:t>
            </w:r>
          </w:p>
        </w:tc>
      </w:tr>
      <w:tr>
        <w:trPr>
          <w:trHeight w:val="631" w:hRule="exact"/>
        </w:trPr>
        <w:tc>
          <w:tcPr>
            <w:tcW w:w="3780" w:type="dxa"/>
            <w:tcBorders>
              <w:top w:val="single" w:sz="4" w:space="0" w:color="000000"/>
              <w:bottom w:val="single" w:sz="4" w:space="0" w:color="000000"/>
            </w:tcBorders>
          </w:tcPr>
          <w:p>
            <w:pPr>
              <w:pStyle w:val="TableParagraph"/>
              <w:spacing w:before="150"/>
              <w:ind w:left="59"/>
              <w:jc w:val="left"/>
              <w:rPr>
                <w:b/>
                <w:sz w:val="18"/>
              </w:rPr>
            </w:pPr>
            <w:r>
              <w:rPr>
                <w:b/>
                <w:sz w:val="18"/>
              </w:rPr>
              <w:t>OTUMBA</w:t>
            </w:r>
          </w:p>
        </w:tc>
        <w:tc>
          <w:tcPr>
            <w:tcW w:w="4052" w:type="dxa"/>
            <w:tcBorders>
              <w:top w:val="single" w:sz="4" w:space="0" w:color="000000"/>
              <w:bottom w:val="single" w:sz="4" w:space="0" w:color="000000"/>
              <w:right w:val="single" w:sz="4" w:space="0" w:color="000000"/>
            </w:tcBorders>
          </w:tcPr>
          <w:p>
            <w:pPr>
              <w:pStyle w:val="TableParagraph"/>
              <w:spacing w:before="155"/>
              <w:ind w:left="508"/>
              <w:jc w:val="left"/>
              <w:rPr>
                <w:sz w:val="18"/>
              </w:rPr>
            </w:pPr>
            <w:r>
              <w:rPr>
                <w:sz w:val="18"/>
              </w:rPr>
              <w:t>C. P. C. Benito José Medina Martínez</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55"/>
              <w:ind w:left="69" w:right="69"/>
              <w:rPr>
                <w:sz w:val="18"/>
              </w:rPr>
            </w:pPr>
            <w:r>
              <w:rPr>
                <w:sz w:val="18"/>
              </w:rPr>
              <w:t>Lic.</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360" w:lineRule="auto"/>
              <w:ind w:left="2280" w:right="66" w:hanging="2163"/>
              <w:jc w:val="left"/>
              <w:rPr>
                <w:sz w:val="18"/>
              </w:rPr>
            </w:pPr>
            <w:r>
              <w:rPr>
                <w:sz w:val="18"/>
              </w:rPr>
              <w:t>Titular De La Unidad de Información. Responsable De La Unidad De Transparencia</w:t>
            </w:r>
          </w:p>
        </w:tc>
      </w:tr>
      <w:tr>
        <w:trPr>
          <w:trHeight w:val="319"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OTZOLOAPAN</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134" w:right="138"/>
              <w:rPr>
                <w:sz w:val="18"/>
              </w:rPr>
            </w:pPr>
            <w:r>
              <w:rPr>
                <w:sz w:val="18"/>
              </w:rPr>
              <w:t>German Mejía Vergara</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70"/>
              <w:rPr>
                <w:sz w:val="18"/>
              </w:rPr>
            </w:pPr>
            <w:r>
              <w:rPr>
                <w:sz w:val="18"/>
              </w:rPr>
              <w:t>NO</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08" w:right="317"/>
              <w:jc w:val="left"/>
              <w:rPr>
                <w:sz w:val="18"/>
              </w:rPr>
            </w:pPr>
            <w:r>
              <w:rPr>
                <w:sz w:val="18"/>
              </w:rPr>
              <w:t>Titular De La Unidad de Información</w:t>
            </w:r>
          </w:p>
        </w:tc>
      </w:tr>
      <w:tr>
        <w:trPr>
          <w:trHeight w:val="322"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OTZOLOTEPEC</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134" w:right="138"/>
              <w:rPr>
                <w:sz w:val="18"/>
              </w:rPr>
            </w:pPr>
            <w:r>
              <w:rPr>
                <w:sz w:val="18"/>
              </w:rPr>
              <w:t>Lic. Elías Favila García</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70"/>
              <w:rPr>
                <w:sz w:val="18"/>
              </w:rPr>
            </w:pPr>
            <w:r>
              <w:rPr>
                <w:sz w:val="18"/>
              </w:rPr>
              <w:t>NO</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08" w:right="317"/>
              <w:jc w:val="left"/>
              <w:rPr>
                <w:sz w:val="18"/>
              </w:rPr>
            </w:pPr>
            <w:r>
              <w:rPr>
                <w:sz w:val="18"/>
              </w:rPr>
              <w:t>Titular De La Unidad de Información</w:t>
            </w:r>
          </w:p>
        </w:tc>
      </w:tr>
      <w:tr>
        <w:trPr>
          <w:trHeight w:val="319"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OZUMBA</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696"/>
              <w:jc w:val="left"/>
              <w:rPr>
                <w:sz w:val="18"/>
              </w:rPr>
            </w:pPr>
            <w:r>
              <w:rPr>
                <w:sz w:val="18"/>
              </w:rPr>
              <w:t>C. Miguel Ángel Torres Toledano</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70"/>
              <w:rPr>
                <w:sz w:val="18"/>
              </w:rPr>
            </w:pPr>
            <w:r>
              <w:rPr>
                <w:sz w:val="18"/>
              </w:rPr>
              <w:t>NO</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08" w:right="317"/>
              <w:jc w:val="left"/>
              <w:rPr>
                <w:sz w:val="18"/>
              </w:rPr>
            </w:pPr>
            <w:r>
              <w:rPr>
                <w:sz w:val="18"/>
              </w:rPr>
              <w:t>Titular De La Unidad de Información</w:t>
            </w:r>
          </w:p>
        </w:tc>
      </w:tr>
      <w:tr>
        <w:trPr>
          <w:trHeight w:val="322"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PAPALOTLA</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134" w:right="135"/>
              <w:rPr>
                <w:sz w:val="18"/>
              </w:rPr>
            </w:pPr>
            <w:r>
              <w:rPr>
                <w:sz w:val="18"/>
              </w:rPr>
              <w:t>Lic. Heriberto Cano De La O</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69"/>
              <w:rPr>
                <w:sz w:val="18"/>
              </w:rPr>
            </w:pPr>
            <w:r>
              <w:rPr>
                <w:sz w:val="18"/>
              </w:rPr>
              <w:t>Lic.</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08" w:right="317"/>
              <w:jc w:val="left"/>
              <w:rPr>
                <w:sz w:val="18"/>
              </w:rPr>
            </w:pPr>
            <w:r>
              <w:rPr>
                <w:sz w:val="18"/>
              </w:rPr>
              <w:t>Titular De La Unidad de Información</w:t>
            </w:r>
          </w:p>
        </w:tc>
      </w:tr>
      <w:tr>
        <w:trPr>
          <w:trHeight w:val="632" w:hRule="exact"/>
        </w:trPr>
        <w:tc>
          <w:tcPr>
            <w:tcW w:w="3780" w:type="dxa"/>
            <w:tcBorders>
              <w:top w:val="single" w:sz="4" w:space="0" w:color="000000"/>
              <w:bottom w:val="single" w:sz="4" w:space="0" w:color="000000"/>
            </w:tcBorders>
          </w:tcPr>
          <w:p>
            <w:pPr>
              <w:pStyle w:val="TableParagraph"/>
              <w:spacing w:before="150"/>
              <w:ind w:left="59"/>
              <w:jc w:val="left"/>
              <w:rPr>
                <w:b/>
                <w:sz w:val="18"/>
              </w:rPr>
            </w:pPr>
            <w:r>
              <w:rPr>
                <w:b/>
                <w:sz w:val="18"/>
              </w:rPr>
              <w:t>POLOTITLAN</w:t>
            </w:r>
          </w:p>
        </w:tc>
        <w:tc>
          <w:tcPr>
            <w:tcW w:w="4052" w:type="dxa"/>
            <w:tcBorders>
              <w:top w:val="single" w:sz="4" w:space="0" w:color="000000"/>
              <w:bottom w:val="single" w:sz="4" w:space="0" w:color="000000"/>
              <w:right w:val="single" w:sz="4" w:space="0" w:color="000000"/>
            </w:tcBorders>
          </w:tcPr>
          <w:p>
            <w:pPr>
              <w:pStyle w:val="TableParagraph"/>
              <w:spacing w:before="155"/>
              <w:ind w:left="759"/>
              <w:jc w:val="left"/>
              <w:rPr>
                <w:sz w:val="18"/>
              </w:rPr>
            </w:pPr>
            <w:r>
              <w:rPr>
                <w:sz w:val="18"/>
              </w:rPr>
              <w:t>P.I.I. Samanta Vargas Sanchez</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55"/>
              <w:ind w:left="69" w:right="70"/>
              <w:rPr>
                <w:sz w:val="18"/>
              </w:rPr>
            </w:pPr>
            <w:r>
              <w:rPr>
                <w:sz w:val="18"/>
              </w:rPr>
              <w:t>Pasante</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360" w:lineRule="auto"/>
              <w:ind w:left="2280" w:right="66" w:hanging="2163"/>
              <w:jc w:val="left"/>
              <w:rPr>
                <w:sz w:val="18"/>
              </w:rPr>
            </w:pPr>
            <w:r>
              <w:rPr>
                <w:sz w:val="18"/>
              </w:rPr>
              <w:t>Titular De La Unidad de Información. Responsable De La Unidad De Transparencia</w:t>
            </w:r>
          </w:p>
        </w:tc>
      </w:tr>
      <w:tr>
        <w:trPr>
          <w:trHeight w:val="319"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RAYON</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134" w:right="139"/>
              <w:rPr>
                <w:sz w:val="18"/>
              </w:rPr>
            </w:pPr>
            <w:r>
              <w:rPr>
                <w:sz w:val="18"/>
              </w:rPr>
              <w:t>Ing. Marco Antonio Hernández Ramírez</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69"/>
              <w:rPr>
                <w:sz w:val="18"/>
              </w:rPr>
            </w:pPr>
            <w:r>
              <w:rPr>
                <w:sz w:val="18"/>
              </w:rPr>
              <w:t>Ing.</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08" w:right="317"/>
              <w:jc w:val="left"/>
              <w:rPr>
                <w:sz w:val="18"/>
              </w:rPr>
            </w:pPr>
            <w:r>
              <w:rPr>
                <w:sz w:val="18"/>
              </w:rPr>
              <w:t>Titular De La Unidad de Información</w:t>
            </w:r>
          </w:p>
        </w:tc>
      </w:tr>
      <w:tr>
        <w:trPr>
          <w:trHeight w:val="631" w:hRule="exact"/>
        </w:trPr>
        <w:tc>
          <w:tcPr>
            <w:tcW w:w="3780" w:type="dxa"/>
            <w:tcBorders>
              <w:top w:val="single" w:sz="4" w:space="0" w:color="000000"/>
              <w:bottom w:val="single" w:sz="4" w:space="0" w:color="000000"/>
            </w:tcBorders>
          </w:tcPr>
          <w:p>
            <w:pPr>
              <w:pStyle w:val="TableParagraph"/>
              <w:spacing w:before="150"/>
              <w:ind w:left="59"/>
              <w:jc w:val="left"/>
              <w:rPr>
                <w:b/>
                <w:sz w:val="18"/>
              </w:rPr>
            </w:pPr>
            <w:r>
              <w:rPr>
                <w:b/>
                <w:sz w:val="18"/>
              </w:rPr>
              <w:t>SAN ANTONIO LA ISLA</w:t>
            </w:r>
          </w:p>
        </w:tc>
        <w:tc>
          <w:tcPr>
            <w:tcW w:w="4052" w:type="dxa"/>
            <w:tcBorders>
              <w:top w:val="single" w:sz="4" w:space="0" w:color="000000"/>
              <w:bottom w:val="single" w:sz="4" w:space="0" w:color="000000"/>
              <w:right w:val="single" w:sz="4" w:space="0" w:color="000000"/>
            </w:tcBorders>
          </w:tcPr>
          <w:p>
            <w:pPr>
              <w:pStyle w:val="TableParagraph"/>
              <w:spacing w:before="155"/>
              <w:ind w:left="134" w:right="140"/>
              <w:rPr>
                <w:sz w:val="18"/>
              </w:rPr>
            </w:pPr>
            <w:r>
              <w:rPr>
                <w:sz w:val="18"/>
              </w:rPr>
              <w:t>Tec. Julio Cesar Colindres García</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55"/>
              <w:ind w:left="69" w:right="69"/>
              <w:rPr>
                <w:sz w:val="18"/>
              </w:rPr>
            </w:pPr>
            <w:r>
              <w:rPr>
                <w:sz w:val="18"/>
              </w:rPr>
              <w:t>Tec.</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362" w:lineRule="auto"/>
              <w:ind w:left="703" w:right="317" w:hanging="231"/>
              <w:jc w:val="left"/>
              <w:rPr>
                <w:sz w:val="18"/>
              </w:rPr>
            </w:pPr>
            <w:r>
              <w:rPr>
                <w:sz w:val="18"/>
              </w:rPr>
              <w:t>Titular De La Unidad de Información. Jefe De La Unidad De Información, Planeación, Programación Y Evaluación.</w:t>
            </w:r>
          </w:p>
        </w:tc>
      </w:tr>
      <w:tr>
        <w:trPr>
          <w:trHeight w:val="631" w:hRule="exact"/>
        </w:trPr>
        <w:tc>
          <w:tcPr>
            <w:tcW w:w="3780" w:type="dxa"/>
            <w:tcBorders>
              <w:top w:val="single" w:sz="4" w:space="0" w:color="000000"/>
              <w:bottom w:val="single" w:sz="4" w:space="0" w:color="000000"/>
            </w:tcBorders>
          </w:tcPr>
          <w:p>
            <w:pPr>
              <w:pStyle w:val="TableParagraph"/>
              <w:spacing w:before="150"/>
              <w:ind w:left="59"/>
              <w:jc w:val="left"/>
              <w:rPr>
                <w:b/>
                <w:sz w:val="18"/>
              </w:rPr>
            </w:pPr>
            <w:r>
              <w:rPr>
                <w:b/>
                <w:sz w:val="18"/>
              </w:rPr>
              <w:t>SAN FELIPE DEL PROGRESO</w:t>
            </w:r>
          </w:p>
        </w:tc>
        <w:tc>
          <w:tcPr>
            <w:tcW w:w="4052" w:type="dxa"/>
            <w:tcBorders>
              <w:top w:val="single" w:sz="4" w:space="0" w:color="000000"/>
              <w:bottom w:val="single" w:sz="4" w:space="0" w:color="000000"/>
              <w:right w:val="single" w:sz="4" w:space="0" w:color="000000"/>
            </w:tcBorders>
          </w:tcPr>
          <w:p>
            <w:pPr>
              <w:pStyle w:val="TableParagraph"/>
              <w:spacing w:before="155"/>
              <w:ind w:left="845"/>
              <w:jc w:val="left"/>
              <w:rPr>
                <w:sz w:val="18"/>
              </w:rPr>
            </w:pPr>
            <w:r>
              <w:rPr>
                <w:sz w:val="18"/>
              </w:rPr>
              <w:t>P.D. Vicente García Vázquez</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55"/>
              <w:ind w:left="69" w:right="70"/>
              <w:rPr>
                <w:sz w:val="18"/>
              </w:rPr>
            </w:pPr>
            <w:r>
              <w:rPr>
                <w:sz w:val="18"/>
              </w:rPr>
              <w:t>Pasante</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362" w:lineRule="auto"/>
              <w:ind w:left="2383" w:right="317" w:hanging="1997"/>
              <w:jc w:val="left"/>
              <w:rPr>
                <w:sz w:val="18"/>
              </w:rPr>
            </w:pPr>
            <w:r>
              <w:rPr>
                <w:sz w:val="18"/>
              </w:rPr>
              <w:t>Titular De La Unidad de Información. Secretario Técnico de la Presidencia</w:t>
            </w:r>
          </w:p>
        </w:tc>
      </w:tr>
      <w:tr>
        <w:trPr>
          <w:trHeight w:val="631" w:hRule="exact"/>
        </w:trPr>
        <w:tc>
          <w:tcPr>
            <w:tcW w:w="3780" w:type="dxa"/>
            <w:tcBorders>
              <w:top w:val="single" w:sz="4" w:space="0" w:color="000000"/>
              <w:bottom w:val="single" w:sz="4" w:space="0" w:color="000000"/>
            </w:tcBorders>
          </w:tcPr>
          <w:p>
            <w:pPr>
              <w:pStyle w:val="TableParagraph"/>
              <w:spacing w:before="150"/>
              <w:ind w:left="59"/>
              <w:jc w:val="left"/>
              <w:rPr>
                <w:b/>
                <w:sz w:val="18"/>
              </w:rPr>
            </w:pPr>
            <w:r>
              <w:rPr>
                <w:b/>
                <w:sz w:val="18"/>
              </w:rPr>
              <w:t>SAN JOSE DEL RINCON</w:t>
            </w:r>
          </w:p>
        </w:tc>
        <w:tc>
          <w:tcPr>
            <w:tcW w:w="4052" w:type="dxa"/>
            <w:tcBorders>
              <w:top w:val="single" w:sz="4" w:space="0" w:color="000000"/>
              <w:bottom w:val="single" w:sz="4" w:space="0" w:color="000000"/>
              <w:right w:val="single" w:sz="4" w:space="0" w:color="000000"/>
            </w:tcBorders>
          </w:tcPr>
          <w:p>
            <w:pPr>
              <w:pStyle w:val="TableParagraph"/>
              <w:spacing w:before="155"/>
              <w:ind w:left="809"/>
              <w:jc w:val="left"/>
              <w:rPr>
                <w:sz w:val="18"/>
              </w:rPr>
            </w:pPr>
            <w:r>
              <w:rPr>
                <w:sz w:val="18"/>
              </w:rPr>
              <w:t>C. Pascual Bobadilla Vázquez</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55"/>
              <w:ind w:left="69" w:right="70"/>
              <w:rPr>
                <w:sz w:val="18"/>
              </w:rPr>
            </w:pPr>
            <w:r>
              <w:rPr>
                <w:sz w:val="18"/>
              </w:rPr>
              <w:t>NO</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360" w:lineRule="auto"/>
              <w:ind w:left="2414" w:right="91" w:hanging="2216"/>
              <w:jc w:val="left"/>
              <w:rPr>
                <w:sz w:val="18"/>
              </w:rPr>
            </w:pPr>
            <w:r>
              <w:rPr>
                <w:sz w:val="18"/>
              </w:rPr>
              <w:t>Titular De La Unidad de Información. Director De Inf. Plan. Prog. Y Evaluación</w:t>
            </w:r>
          </w:p>
        </w:tc>
      </w:tr>
      <w:tr>
        <w:trPr>
          <w:trHeight w:val="632" w:hRule="exact"/>
        </w:trPr>
        <w:tc>
          <w:tcPr>
            <w:tcW w:w="3780" w:type="dxa"/>
            <w:tcBorders>
              <w:top w:val="single" w:sz="4" w:space="0" w:color="000000"/>
              <w:bottom w:val="single" w:sz="4" w:space="0" w:color="000000"/>
            </w:tcBorders>
          </w:tcPr>
          <w:p>
            <w:pPr>
              <w:pStyle w:val="TableParagraph"/>
              <w:spacing w:before="151"/>
              <w:ind w:left="59"/>
              <w:jc w:val="left"/>
              <w:rPr>
                <w:b/>
                <w:sz w:val="18"/>
              </w:rPr>
            </w:pPr>
            <w:r>
              <w:rPr>
                <w:b/>
                <w:sz w:val="18"/>
              </w:rPr>
              <w:t>SAN MARTÍN DE LAS PIRAMIDES</w:t>
            </w:r>
          </w:p>
        </w:tc>
        <w:tc>
          <w:tcPr>
            <w:tcW w:w="4052" w:type="dxa"/>
            <w:tcBorders>
              <w:top w:val="single" w:sz="4" w:space="0" w:color="000000"/>
              <w:bottom w:val="single" w:sz="4" w:space="0" w:color="000000"/>
              <w:right w:val="single" w:sz="4" w:space="0" w:color="000000"/>
            </w:tcBorders>
          </w:tcPr>
          <w:p>
            <w:pPr>
              <w:pStyle w:val="TableParagraph"/>
              <w:spacing w:before="155"/>
              <w:ind w:left="134" w:right="140"/>
              <w:rPr>
                <w:sz w:val="18"/>
              </w:rPr>
            </w:pPr>
            <w:r>
              <w:rPr>
                <w:sz w:val="18"/>
              </w:rPr>
              <w:t>Lci. Bernardo García Viveros</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55"/>
              <w:ind w:left="69" w:right="69"/>
              <w:rPr>
                <w:sz w:val="18"/>
              </w:rPr>
            </w:pPr>
            <w:r>
              <w:rPr>
                <w:sz w:val="18"/>
              </w:rPr>
              <w:t>Lic.</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360" w:lineRule="auto"/>
              <w:ind w:left="1593" w:right="91" w:hanging="1342"/>
              <w:jc w:val="left"/>
              <w:rPr>
                <w:sz w:val="18"/>
              </w:rPr>
            </w:pPr>
            <w:r>
              <w:rPr>
                <w:sz w:val="18"/>
              </w:rPr>
              <w:t>Titular De La Unidad de Información. Auxiliar Administrativo de la Secretaria Del H. Ayuntamiento</w:t>
            </w:r>
          </w:p>
        </w:tc>
      </w:tr>
      <w:tr>
        <w:trPr>
          <w:trHeight w:val="631" w:hRule="exact"/>
        </w:trPr>
        <w:tc>
          <w:tcPr>
            <w:tcW w:w="3780" w:type="dxa"/>
            <w:tcBorders>
              <w:top w:val="single" w:sz="4" w:space="0" w:color="000000"/>
              <w:bottom w:val="single" w:sz="4" w:space="0" w:color="000000"/>
            </w:tcBorders>
          </w:tcPr>
          <w:p>
            <w:pPr>
              <w:pStyle w:val="TableParagraph"/>
              <w:spacing w:before="150"/>
              <w:ind w:left="59"/>
              <w:jc w:val="left"/>
              <w:rPr>
                <w:b/>
                <w:sz w:val="18"/>
              </w:rPr>
            </w:pPr>
            <w:r>
              <w:rPr>
                <w:b/>
                <w:sz w:val="18"/>
              </w:rPr>
              <w:t>SAN MATEO ATENCO</w:t>
            </w:r>
          </w:p>
        </w:tc>
        <w:tc>
          <w:tcPr>
            <w:tcW w:w="4052" w:type="dxa"/>
            <w:tcBorders>
              <w:top w:val="single" w:sz="4" w:space="0" w:color="000000"/>
              <w:bottom w:val="single" w:sz="4" w:space="0" w:color="000000"/>
              <w:right w:val="single" w:sz="4" w:space="0" w:color="000000"/>
            </w:tcBorders>
          </w:tcPr>
          <w:p>
            <w:pPr>
              <w:pStyle w:val="TableParagraph"/>
              <w:spacing w:before="155"/>
              <w:ind w:left="134" w:right="139"/>
              <w:rPr>
                <w:sz w:val="18"/>
              </w:rPr>
            </w:pPr>
            <w:r>
              <w:rPr>
                <w:sz w:val="18"/>
              </w:rPr>
              <w:t>Lic. C.P. Y A.P. Bertha Lilia Perez Leon</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55"/>
              <w:ind w:left="69" w:right="69"/>
              <w:rPr>
                <w:sz w:val="18"/>
              </w:rPr>
            </w:pPr>
            <w:r>
              <w:rPr>
                <w:sz w:val="18"/>
              </w:rPr>
              <w:t>Lic.</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360" w:lineRule="auto"/>
              <w:ind w:left="1833" w:right="66" w:hanging="1716"/>
              <w:jc w:val="left"/>
              <w:rPr>
                <w:sz w:val="18"/>
              </w:rPr>
            </w:pPr>
            <w:r>
              <w:rPr>
                <w:sz w:val="18"/>
              </w:rPr>
              <w:t>Titular De La Unidad de Información. Jefe De Unidad de Planeación, Información Y Estadística</w:t>
            </w:r>
          </w:p>
        </w:tc>
      </w:tr>
    </w:tbl>
    <w:p>
      <w:pPr>
        <w:spacing w:after="0" w:line="360" w:lineRule="auto"/>
        <w:jc w:val="left"/>
        <w:rPr>
          <w:sz w:val="18"/>
        </w:rPr>
        <w:sectPr>
          <w:pgSz w:w="15840" w:h="12240" w:orient="landscape"/>
          <w:pgMar w:header="0" w:footer="975" w:top="1140" w:bottom="1160" w:left="600" w:right="580"/>
        </w:sectPr>
      </w:pPr>
    </w:p>
    <w:p>
      <w:pPr>
        <w:pStyle w:val="BodyText"/>
        <w:rPr>
          <w:rFonts w:ascii="Times New Roman"/>
          <w:sz w:val="20"/>
        </w:rPr>
      </w:pPr>
    </w:p>
    <w:p>
      <w:pPr>
        <w:pStyle w:val="BodyText"/>
        <w:spacing w:before="10"/>
        <w:rPr>
          <w:rFonts w:ascii="Times New Roman"/>
          <w:sz w:val="28"/>
        </w:rPr>
      </w:pPr>
    </w:p>
    <w:tbl>
      <w:tblPr>
        <w:tblW w:w="0" w:type="auto"/>
        <w:jc w:val="left"/>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780"/>
        <w:gridCol w:w="4052"/>
        <w:gridCol w:w="850"/>
        <w:gridCol w:w="5720"/>
      </w:tblGrid>
      <w:tr>
        <w:trPr>
          <w:trHeight w:val="430" w:hRule="exact"/>
        </w:trPr>
        <w:tc>
          <w:tcPr>
            <w:tcW w:w="14402" w:type="dxa"/>
            <w:gridSpan w:val="4"/>
            <w:shd w:val="clear" w:color="auto" w:fill="92D050"/>
          </w:tcPr>
          <w:p>
            <w:pPr>
              <w:pStyle w:val="TableParagraph"/>
              <w:spacing w:before="44"/>
              <w:ind w:left="2753"/>
              <w:jc w:val="left"/>
              <w:rPr>
                <w:b/>
                <w:sz w:val="18"/>
              </w:rPr>
            </w:pPr>
            <w:r>
              <w:rPr>
                <w:b/>
                <w:sz w:val="18"/>
              </w:rPr>
              <w:t>Anexo 22. Municipios que publican apartado de responsable de la unidad de información. Continuación</w:t>
            </w:r>
          </w:p>
        </w:tc>
      </w:tr>
      <w:tr>
        <w:trPr>
          <w:trHeight w:val="1272" w:hRule="exact"/>
        </w:trPr>
        <w:tc>
          <w:tcPr>
            <w:tcW w:w="3780" w:type="dxa"/>
            <w:tcBorders>
              <w:right w:val="single" w:sz="4" w:space="0" w:color="000000"/>
            </w:tcBorders>
            <w:shd w:val="clear" w:color="auto" w:fill="C5DFB3"/>
          </w:tcPr>
          <w:p>
            <w:pPr>
              <w:pStyle w:val="TableParagraph"/>
              <w:jc w:val="left"/>
              <w:rPr>
                <w:rFonts w:ascii="Times New Roman"/>
                <w:sz w:val="18"/>
              </w:rPr>
            </w:pPr>
          </w:p>
          <w:p>
            <w:pPr>
              <w:pStyle w:val="TableParagraph"/>
              <w:spacing w:before="4"/>
              <w:jc w:val="left"/>
              <w:rPr>
                <w:rFonts w:ascii="Times New Roman"/>
                <w:sz w:val="22"/>
              </w:rPr>
            </w:pPr>
          </w:p>
          <w:p>
            <w:pPr>
              <w:pStyle w:val="TableParagraph"/>
              <w:spacing w:before="1"/>
              <w:ind w:left="1441" w:right="1444"/>
              <w:rPr>
                <w:b/>
                <w:sz w:val="18"/>
              </w:rPr>
            </w:pPr>
            <w:r>
              <w:rPr>
                <w:b/>
                <w:sz w:val="18"/>
              </w:rPr>
              <w:t>Municipio</w:t>
            </w:r>
          </w:p>
        </w:tc>
        <w:tc>
          <w:tcPr>
            <w:tcW w:w="4052" w:type="dxa"/>
            <w:tcBorders>
              <w:left w:val="single" w:sz="4" w:space="0" w:color="000000"/>
              <w:right w:val="single" w:sz="4" w:space="0" w:color="000000"/>
            </w:tcBorders>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17"/>
              </w:rPr>
            </w:pPr>
          </w:p>
          <w:p>
            <w:pPr>
              <w:pStyle w:val="TableParagraph"/>
              <w:spacing w:before="1"/>
              <w:jc w:val="left"/>
              <w:rPr>
                <w:b/>
                <w:sz w:val="18"/>
              </w:rPr>
            </w:pPr>
            <w:r>
              <w:rPr>
                <w:b/>
                <w:w w:val="99"/>
                <w:sz w:val="18"/>
              </w:rPr>
              <w:t>Res</w:t>
            </w:r>
            <w:r>
              <w:rPr>
                <w:b/>
                <w:w w:val="100"/>
                <w:sz w:val="18"/>
              </w:rPr>
              <w:t>po</w:t>
            </w:r>
            <w:r>
              <w:rPr>
                <w:b/>
                <w:sz w:val="18"/>
              </w:rPr>
              <w:t>n</w:t>
            </w:r>
            <w:r>
              <w:rPr>
                <w:b/>
                <w:spacing w:val="-2"/>
                <w:sz w:val="18"/>
              </w:rPr>
              <w:t>s</w:t>
            </w:r>
            <w:r>
              <w:rPr>
                <w:b/>
                <w:w w:val="99"/>
                <w:sz w:val="18"/>
              </w:rPr>
              <w:t>a</w:t>
            </w:r>
            <w:r>
              <w:rPr>
                <w:b/>
                <w:w w:val="100"/>
                <w:sz w:val="18"/>
              </w:rPr>
              <w:t>bl</w:t>
            </w:r>
            <w:r>
              <w:rPr>
                <w:b/>
                <w:w w:val="99"/>
                <w:sz w:val="18"/>
              </w:rPr>
              <w:t>e</w:t>
            </w:r>
          </w:p>
        </w:tc>
        <w:tc>
          <w:tcPr>
            <w:tcW w:w="850" w:type="dxa"/>
            <w:tcBorders>
              <w:left w:val="single" w:sz="4" w:space="0" w:color="000000"/>
              <w:right w:val="single" w:sz="4" w:space="0" w:color="000000"/>
            </w:tcBorders>
            <w:shd w:val="clear" w:color="auto" w:fill="C5DFB3"/>
            <w:textDirection w:val="btLr"/>
          </w:tcPr>
          <w:p>
            <w:pPr>
              <w:pStyle w:val="TableParagraph"/>
              <w:spacing w:line="369" w:lineRule="auto" w:before="100"/>
              <w:ind w:right="307"/>
              <w:jc w:val="left"/>
              <w:rPr>
                <w:b/>
                <w:sz w:val="18"/>
              </w:rPr>
            </w:pPr>
            <w:r>
              <w:rPr>
                <w:b/>
                <w:w w:val="99"/>
                <w:sz w:val="18"/>
              </w:rPr>
              <w:t>Profe</w:t>
            </w:r>
            <w:r>
              <w:rPr>
                <w:b/>
                <w:w w:val="99"/>
                <w:sz w:val="18"/>
              </w:rPr>
              <w:t>s</w:t>
            </w:r>
            <w:r>
              <w:rPr>
                <w:b/>
                <w:w w:val="100"/>
                <w:sz w:val="18"/>
              </w:rPr>
              <w:t>ión</w:t>
            </w:r>
            <w:r>
              <w:rPr>
                <w:b/>
                <w:sz w:val="18"/>
              </w:rPr>
              <w:t> </w:t>
            </w:r>
            <w:r>
              <w:rPr>
                <w:b/>
                <w:w w:val="100"/>
                <w:sz w:val="18"/>
              </w:rPr>
              <w:t>/ </w:t>
            </w:r>
            <w:r>
              <w:rPr>
                <w:b/>
                <w:spacing w:val="-1"/>
                <w:w w:val="100"/>
                <w:sz w:val="18"/>
              </w:rPr>
              <w:t>G</w:t>
            </w:r>
            <w:r>
              <w:rPr>
                <w:b/>
                <w:w w:val="99"/>
                <w:sz w:val="18"/>
              </w:rPr>
              <w:t>rad</w:t>
            </w:r>
            <w:r>
              <w:rPr>
                <w:b/>
                <w:w w:val="100"/>
                <w:sz w:val="18"/>
              </w:rPr>
              <w:t>o</w:t>
            </w:r>
          </w:p>
        </w:tc>
        <w:tc>
          <w:tcPr>
            <w:tcW w:w="5720" w:type="dxa"/>
            <w:tcBorders>
              <w:left w:val="single" w:sz="4" w:space="0" w:color="000000"/>
            </w:tcBorders>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18"/>
              </w:rPr>
            </w:pPr>
          </w:p>
          <w:p>
            <w:pPr>
              <w:pStyle w:val="TableParagraph"/>
              <w:jc w:val="left"/>
              <w:rPr>
                <w:b/>
                <w:sz w:val="18"/>
              </w:rPr>
            </w:pPr>
            <w:r>
              <w:rPr>
                <w:b/>
                <w:w w:val="99"/>
                <w:sz w:val="18"/>
              </w:rPr>
              <w:t>Cargo </w:t>
            </w:r>
            <w:r>
              <w:rPr>
                <w:b/>
                <w:w w:val="99"/>
                <w:sz w:val="18"/>
              </w:rPr>
              <w:t>(s</w:t>
            </w:r>
            <w:r>
              <w:rPr>
                <w:b/>
                <w:w w:val="99"/>
                <w:sz w:val="18"/>
              </w:rPr>
              <w:t>)</w:t>
            </w:r>
          </w:p>
        </w:tc>
      </w:tr>
      <w:tr>
        <w:trPr>
          <w:trHeight w:val="326" w:hRule="exact"/>
        </w:trPr>
        <w:tc>
          <w:tcPr>
            <w:tcW w:w="3780" w:type="dxa"/>
            <w:tcBorders>
              <w:bottom w:val="single" w:sz="4" w:space="0" w:color="000000"/>
            </w:tcBorders>
          </w:tcPr>
          <w:p>
            <w:pPr>
              <w:pStyle w:val="TableParagraph"/>
              <w:spacing w:line="201" w:lineRule="exact"/>
              <w:ind w:left="59"/>
              <w:jc w:val="left"/>
              <w:rPr>
                <w:b/>
                <w:sz w:val="18"/>
              </w:rPr>
            </w:pPr>
            <w:r>
              <w:rPr>
                <w:b/>
                <w:sz w:val="18"/>
              </w:rPr>
              <w:t>SAN SIMON DE GUERRERO</w:t>
            </w:r>
          </w:p>
        </w:tc>
        <w:tc>
          <w:tcPr>
            <w:tcW w:w="4052" w:type="dxa"/>
            <w:tcBorders>
              <w:bottom w:val="single" w:sz="4" w:space="0" w:color="000000"/>
              <w:right w:val="single" w:sz="4" w:space="0" w:color="000000"/>
            </w:tcBorders>
          </w:tcPr>
          <w:p>
            <w:pPr>
              <w:pStyle w:val="TableParagraph"/>
              <w:spacing w:line="206" w:lineRule="exact"/>
              <w:ind w:left="494"/>
              <w:jc w:val="left"/>
              <w:rPr>
                <w:sz w:val="18"/>
              </w:rPr>
            </w:pPr>
            <w:r>
              <w:rPr>
                <w:sz w:val="18"/>
              </w:rPr>
              <w:t>C. Gustavo Astanislao Jaimes Salinas</w:t>
            </w:r>
          </w:p>
        </w:tc>
        <w:tc>
          <w:tcPr>
            <w:tcW w:w="850" w:type="dxa"/>
            <w:tcBorders>
              <w:left w:val="single" w:sz="4" w:space="0" w:color="000000"/>
              <w:bottom w:val="single" w:sz="4" w:space="0" w:color="000000"/>
              <w:right w:val="single" w:sz="4" w:space="0" w:color="000000"/>
            </w:tcBorders>
          </w:tcPr>
          <w:p>
            <w:pPr>
              <w:pStyle w:val="TableParagraph"/>
              <w:spacing w:line="206" w:lineRule="exact"/>
              <w:ind w:left="69" w:right="70"/>
              <w:rPr>
                <w:sz w:val="18"/>
              </w:rPr>
            </w:pPr>
            <w:r>
              <w:rPr>
                <w:sz w:val="18"/>
              </w:rPr>
              <w:t>NO</w:t>
            </w:r>
          </w:p>
        </w:tc>
        <w:tc>
          <w:tcPr>
            <w:tcW w:w="5720" w:type="dxa"/>
            <w:tcBorders>
              <w:left w:val="single" w:sz="4" w:space="0" w:color="000000"/>
              <w:bottom w:val="single" w:sz="4" w:space="0" w:color="000000"/>
              <w:right w:val="single" w:sz="4" w:space="0" w:color="000000"/>
            </w:tcBorders>
          </w:tcPr>
          <w:p>
            <w:pPr>
              <w:pStyle w:val="TableParagraph"/>
              <w:spacing w:line="206" w:lineRule="exact"/>
              <w:ind w:left="67" w:right="69"/>
              <w:rPr>
                <w:sz w:val="18"/>
              </w:rPr>
            </w:pPr>
            <w:r>
              <w:rPr>
                <w:sz w:val="18"/>
              </w:rPr>
              <w:t>Titular De La Unidad de Información. Sindicatura Municipal</w:t>
            </w:r>
          </w:p>
        </w:tc>
      </w:tr>
      <w:tr>
        <w:trPr>
          <w:trHeight w:val="320"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SANTO TOMAS</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674"/>
              <w:jc w:val="left"/>
              <w:rPr>
                <w:sz w:val="18"/>
              </w:rPr>
            </w:pPr>
            <w:r>
              <w:rPr>
                <w:sz w:val="18"/>
              </w:rPr>
              <w:t>P.T. Asdi Javier Zuñiga Camacho</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70"/>
              <w:rPr>
                <w:sz w:val="18"/>
              </w:rPr>
            </w:pPr>
            <w:r>
              <w:rPr>
                <w:sz w:val="18"/>
              </w:rPr>
              <w:t>Pasante</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9"/>
              <w:rPr>
                <w:sz w:val="18"/>
              </w:rPr>
            </w:pPr>
            <w:r>
              <w:rPr>
                <w:sz w:val="18"/>
              </w:rPr>
              <w:t>Titular De La Unidad de Información. Auxiliar De Tesoreria</w:t>
            </w:r>
          </w:p>
        </w:tc>
      </w:tr>
      <w:tr>
        <w:trPr>
          <w:trHeight w:val="631" w:hRule="exact"/>
        </w:trPr>
        <w:tc>
          <w:tcPr>
            <w:tcW w:w="3780" w:type="dxa"/>
            <w:tcBorders>
              <w:top w:val="single" w:sz="4" w:space="0" w:color="000000"/>
              <w:bottom w:val="single" w:sz="4" w:space="0" w:color="000000"/>
            </w:tcBorders>
          </w:tcPr>
          <w:p>
            <w:pPr>
              <w:pStyle w:val="TableParagraph"/>
              <w:spacing w:before="150"/>
              <w:ind w:left="59"/>
              <w:jc w:val="left"/>
              <w:rPr>
                <w:b/>
                <w:sz w:val="18"/>
              </w:rPr>
            </w:pPr>
            <w:r>
              <w:rPr>
                <w:b/>
                <w:sz w:val="18"/>
              </w:rPr>
              <w:t>SOYANIQUILPAN DE JUAREZ</w:t>
            </w:r>
          </w:p>
        </w:tc>
        <w:tc>
          <w:tcPr>
            <w:tcW w:w="4052" w:type="dxa"/>
            <w:tcBorders>
              <w:top w:val="single" w:sz="4" w:space="0" w:color="000000"/>
              <w:bottom w:val="single" w:sz="4" w:space="0" w:color="000000"/>
              <w:right w:val="single" w:sz="4" w:space="0" w:color="000000"/>
            </w:tcBorders>
          </w:tcPr>
          <w:p>
            <w:pPr>
              <w:pStyle w:val="TableParagraph"/>
              <w:spacing w:line="362" w:lineRule="auto"/>
              <w:ind w:left="1781" w:right="232" w:hanging="1537"/>
              <w:jc w:val="left"/>
              <w:rPr>
                <w:sz w:val="18"/>
              </w:rPr>
            </w:pPr>
            <w:r>
              <w:rPr>
                <w:sz w:val="18"/>
              </w:rPr>
              <w:t>Lic. En Relaciones Comer. Inter. Fredy Ávila Pérez</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55"/>
              <w:ind w:left="69" w:right="69"/>
              <w:rPr>
                <w:sz w:val="18"/>
              </w:rPr>
            </w:pPr>
            <w:r>
              <w:rPr>
                <w:sz w:val="18"/>
              </w:rPr>
              <w:t>Lic.</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before="155"/>
              <w:ind w:left="67" w:right="68"/>
              <w:rPr>
                <w:sz w:val="18"/>
              </w:rPr>
            </w:pPr>
            <w:r>
              <w:rPr>
                <w:sz w:val="18"/>
              </w:rPr>
              <w:t>Titular De La Unidad de Información</w:t>
            </w:r>
          </w:p>
        </w:tc>
      </w:tr>
      <w:tr>
        <w:trPr>
          <w:trHeight w:val="322"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SULTEPEC</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1171"/>
              <w:jc w:val="left"/>
              <w:rPr>
                <w:sz w:val="18"/>
              </w:rPr>
            </w:pPr>
            <w:r>
              <w:rPr>
                <w:sz w:val="18"/>
              </w:rPr>
              <w:t>C. Jose Vences Ortiz</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70"/>
              <w:rPr>
                <w:sz w:val="18"/>
              </w:rPr>
            </w:pPr>
            <w:r>
              <w:rPr>
                <w:sz w:val="18"/>
              </w:rPr>
              <w:t>NO</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8"/>
              <w:rPr>
                <w:sz w:val="18"/>
              </w:rPr>
            </w:pPr>
            <w:r>
              <w:rPr>
                <w:sz w:val="18"/>
              </w:rPr>
              <w:t>Titular De La Unidad de Información</w:t>
            </w:r>
          </w:p>
        </w:tc>
      </w:tr>
      <w:tr>
        <w:trPr>
          <w:trHeight w:val="629" w:hRule="exact"/>
        </w:trPr>
        <w:tc>
          <w:tcPr>
            <w:tcW w:w="3780" w:type="dxa"/>
            <w:tcBorders>
              <w:top w:val="single" w:sz="4" w:space="0" w:color="000000"/>
              <w:bottom w:val="single" w:sz="4" w:space="0" w:color="000000"/>
            </w:tcBorders>
          </w:tcPr>
          <w:p>
            <w:pPr>
              <w:pStyle w:val="TableParagraph"/>
              <w:spacing w:before="148"/>
              <w:ind w:left="59"/>
              <w:jc w:val="left"/>
              <w:rPr>
                <w:b/>
                <w:sz w:val="18"/>
              </w:rPr>
            </w:pPr>
            <w:r>
              <w:rPr>
                <w:b/>
                <w:sz w:val="18"/>
              </w:rPr>
              <w:t>TECAMAC</w:t>
            </w:r>
          </w:p>
        </w:tc>
        <w:tc>
          <w:tcPr>
            <w:tcW w:w="4052" w:type="dxa"/>
            <w:tcBorders>
              <w:top w:val="single" w:sz="4" w:space="0" w:color="000000"/>
              <w:bottom w:val="single" w:sz="4" w:space="0" w:color="000000"/>
              <w:right w:val="single" w:sz="4" w:space="0" w:color="000000"/>
            </w:tcBorders>
          </w:tcPr>
          <w:p>
            <w:pPr>
              <w:pStyle w:val="TableParagraph"/>
              <w:spacing w:before="152"/>
              <w:ind w:left="134" w:right="137"/>
              <w:rPr>
                <w:sz w:val="18"/>
              </w:rPr>
            </w:pPr>
            <w:r>
              <w:rPr>
                <w:sz w:val="18"/>
              </w:rPr>
              <w:t>Abraham Barrera García</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52"/>
              <w:ind w:left="69" w:right="70"/>
              <w:rPr>
                <w:sz w:val="18"/>
              </w:rPr>
            </w:pPr>
            <w:r>
              <w:rPr>
                <w:sz w:val="18"/>
              </w:rPr>
              <w:t>NO</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360" w:lineRule="auto"/>
              <w:ind w:left="847" w:right="317" w:hanging="411"/>
              <w:jc w:val="left"/>
              <w:rPr>
                <w:sz w:val="18"/>
              </w:rPr>
            </w:pPr>
            <w:r>
              <w:rPr>
                <w:sz w:val="18"/>
              </w:rPr>
              <w:t>Titular De La Unidad de Información. Titular de la Unidad De Transparencia Y Acceso A La Información Pública</w:t>
            </w:r>
          </w:p>
        </w:tc>
      </w:tr>
      <w:tr>
        <w:trPr>
          <w:trHeight w:val="322" w:hRule="exact"/>
        </w:trPr>
        <w:tc>
          <w:tcPr>
            <w:tcW w:w="3780" w:type="dxa"/>
            <w:tcBorders>
              <w:top w:val="single" w:sz="4" w:space="0" w:color="000000"/>
              <w:bottom w:val="single" w:sz="4" w:space="0" w:color="000000"/>
            </w:tcBorders>
          </w:tcPr>
          <w:p>
            <w:pPr>
              <w:pStyle w:val="TableParagraph"/>
              <w:spacing w:line="204" w:lineRule="exact"/>
              <w:ind w:left="59"/>
              <w:jc w:val="left"/>
              <w:rPr>
                <w:b/>
                <w:sz w:val="18"/>
              </w:rPr>
            </w:pPr>
            <w:r>
              <w:rPr>
                <w:b/>
                <w:sz w:val="18"/>
              </w:rPr>
              <w:t>TEJUPILCO</w:t>
            </w:r>
          </w:p>
        </w:tc>
        <w:tc>
          <w:tcPr>
            <w:tcW w:w="4052" w:type="dxa"/>
            <w:tcBorders>
              <w:top w:val="single" w:sz="4" w:space="0" w:color="000000"/>
              <w:bottom w:val="single" w:sz="4" w:space="0" w:color="000000"/>
              <w:right w:val="single" w:sz="4" w:space="0" w:color="000000"/>
            </w:tcBorders>
          </w:tcPr>
          <w:p>
            <w:pPr>
              <w:pStyle w:val="TableParagraph"/>
              <w:spacing w:before="1"/>
              <w:ind w:left="134" w:right="139"/>
              <w:rPr>
                <w:sz w:val="18"/>
              </w:rPr>
            </w:pPr>
            <w:r>
              <w:rPr>
                <w:sz w:val="18"/>
              </w:rPr>
              <w:t>Ing. Elmer Puebla Martinez</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
              <w:ind w:left="69" w:right="69"/>
              <w:rPr>
                <w:sz w:val="18"/>
              </w:rPr>
            </w:pPr>
            <w:r>
              <w:rPr>
                <w:sz w:val="18"/>
              </w:rPr>
              <w:t>Ing.</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before="1"/>
              <w:ind w:left="67" w:right="68"/>
              <w:rPr>
                <w:sz w:val="18"/>
              </w:rPr>
            </w:pPr>
            <w:r>
              <w:rPr>
                <w:sz w:val="18"/>
              </w:rPr>
              <w:t>Titular De La Unidad de Información</w:t>
            </w:r>
          </w:p>
        </w:tc>
      </w:tr>
      <w:tr>
        <w:trPr>
          <w:trHeight w:val="322"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TEMAMATLA</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134" w:right="140"/>
              <w:rPr>
                <w:sz w:val="18"/>
              </w:rPr>
            </w:pPr>
            <w:r>
              <w:rPr>
                <w:sz w:val="18"/>
              </w:rPr>
              <w:t>Ing. Electronica Jose Manuel Lopez Barajas</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69"/>
              <w:rPr>
                <w:sz w:val="18"/>
              </w:rPr>
            </w:pPr>
            <w:r>
              <w:rPr>
                <w:sz w:val="18"/>
              </w:rPr>
              <w:t>Ing.</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8"/>
              <w:rPr>
                <w:sz w:val="18"/>
              </w:rPr>
            </w:pPr>
            <w:r>
              <w:rPr>
                <w:sz w:val="18"/>
              </w:rPr>
              <w:t>Titular De La Unidad de Información</w:t>
            </w:r>
          </w:p>
        </w:tc>
      </w:tr>
      <w:tr>
        <w:trPr>
          <w:trHeight w:val="319"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TEMASCALAPA</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134" w:right="138"/>
              <w:rPr>
                <w:sz w:val="18"/>
              </w:rPr>
            </w:pPr>
            <w:r>
              <w:rPr>
                <w:sz w:val="18"/>
              </w:rPr>
              <w:t>Ing. En Tic Claudia Martinez Acosta</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69"/>
              <w:rPr>
                <w:sz w:val="18"/>
              </w:rPr>
            </w:pPr>
            <w:r>
              <w:rPr>
                <w:sz w:val="18"/>
              </w:rPr>
              <w:t>Ing.</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8"/>
              <w:rPr>
                <w:sz w:val="18"/>
              </w:rPr>
            </w:pPr>
            <w:r>
              <w:rPr>
                <w:sz w:val="18"/>
              </w:rPr>
              <w:t>Titular De La Unidad de Información</w:t>
            </w:r>
          </w:p>
        </w:tc>
      </w:tr>
      <w:tr>
        <w:trPr>
          <w:trHeight w:val="322" w:hRule="exact"/>
        </w:trPr>
        <w:tc>
          <w:tcPr>
            <w:tcW w:w="3780" w:type="dxa"/>
            <w:tcBorders>
              <w:top w:val="single" w:sz="4" w:space="0" w:color="000000"/>
              <w:bottom w:val="single" w:sz="4" w:space="0" w:color="000000"/>
            </w:tcBorders>
          </w:tcPr>
          <w:p>
            <w:pPr>
              <w:pStyle w:val="TableParagraph"/>
              <w:spacing w:line="202" w:lineRule="exact"/>
              <w:ind w:left="59"/>
              <w:jc w:val="left"/>
              <w:rPr>
                <w:b/>
                <w:sz w:val="18"/>
              </w:rPr>
            </w:pPr>
            <w:r>
              <w:rPr>
                <w:b/>
                <w:sz w:val="18"/>
              </w:rPr>
              <w:t>TEMASCALCINGO</w:t>
            </w:r>
          </w:p>
        </w:tc>
        <w:tc>
          <w:tcPr>
            <w:tcW w:w="4052" w:type="dxa"/>
            <w:tcBorders>
              <w:top w:val="single" w:sz="4" w:space="0" w:color="000000"/>
              <w:bottom w:val="single" w:sz="4" w:space="0" w:color="000000"/>
              <w:right w:val="single" w:sz="4" w:space="0" w:color="000000"/>
            </w:tcBorders>
          </w:tcPr>
          <w:p>
            <w:pPr>
              <w:pStyle w:val="TableParagraph"/>
              <w:spacing w:line="207" w:lineRule="exact"/>
              <w:ind w:left="134" w:right="138"/>
              <w:rPr>
                <w:sz w:val="18"/>
              </w:rPr>
            </w:pPr>
            <w:r>
              <w:rPr>
                <w:sz w:val="18"/>
              </w:rPr>
              <w:t>Lic. Juan Carlos Bello García</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69" w:right="69"/>
              <w:rPr>
                <w:sz w:val="18"/>
              </w:rPr>
            </w:pPr>
            <w:r>
              <w:rPr>
                <w:sz w:val="18"/>
              </w:rPr>
              <w:t>Lic.</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67" w:right="68"/>
              <w:rPr>
                <w:sz w:val="18"/>
              </w:rPr>
            </w:pPr>
            <w:r>
              <w:rPr>
                <w:sz w:val="18"/>
              </w:rPr>
              <w:t>Titular De La Unidad de Información</w:t>
            </w:r>
          </w:p>
        </w:tc>
      </w:tr>
      <w:tr>
        <w:trPr>
          <w:trHeight w:val="319"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TEMASCALTEPEC</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835"/>
              <w:jc w:val="left"/>
              <w:rPr>
                <w:sz w:val="18"/>
              </w:rPr>
            </w:pPr>
            <w:r>
              <w:rPr>
                <w:sz w:val="18"/>
              </w:rPr>
              <w:t>P.C.P. Lucía Figueroa García</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70"/>
              <w:rPr>
                <w:sz w:val="18"/>
              </w:rPr>
            </w:pPr>
            <w:r>
              <w:rPr>
                <w:sz w:val="18"/>
              </w:rPr>
              <w:t>Pasante</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8"/>
              <w:rPr>
                <w:sz w:val="18"/>
              </w:rPr>
            </w:pPr>
            <w:r>
              <w:rPr>
                <w:sz w:val="18"/>
              </w:rPr>
              <w:t>Titular De La Unidad de Información</w:t>
            </w:r>
          </w:p>
        </w:tc>
      </w:tr>
      <w:tr>
        <w:trPr>
          <w:trHeight w:val="322"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TEMOAYA</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826"/>
              <w:jc w:val="left"/>
              <w:rPr>
                <w:sz w:val="18"/>
              </w:rPr>
            </w:pPr>
            <w:r>
              <w:rPr>
                <w:sz w:val="18"/>
              </w:rPr>
              <w:t>P.L.I. Eleazar Miranda Valdés</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70"/>
              <w:rPr>
                <w:sz w:val="18"/>
              </w:rPr>
            </w:pPr>
            <w:r>
              <w:rPr>
                <w:sz w:val="18"/>
              </w:rPr>
              <w:t>Pasante</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8"/>
              <w:rPr>
                <w:sz w:val="18"/>
              </w:rPr>
            </w:pPr>
            <w:r>
              <w:rPr>
                <w:sz w:val="18"/>
              </w:rPr>
              <w:t>Titular De La Unidad de Información</w:t>
            </w:r>
          </w:p>
        </w:tc>
      </w:tr>
      <w:tr>
        <w:trPr>
          <w:trHeight w:val="631" w:hRule="exact"/>
        </w:trPr>
        <w:tc>
          <w:tcPr>
            <w:tcW w:w="3780" w:type="dxa"/>
            <w:tcBorders>
              <w:top w:val="single" w:sz="4" w:space="0" w:color="000000"/>
              <w:bottom w:val="single" w:sz="4" w:space="0" w:color="000000"/>
            </w:tcBorders>
          </w:tcPr>
          <w:p>
            <w:pPr>
              <w:pStyle w:val="TableParagraph"/>
              <w:spacing w:before="148"/>
              <w:ind w:left="59"/>
              <w:jc w:val="left"/>
              <w:rPr>
                <w:b/>
                <w:sz w:val="18"/>
              </w:rPr>
            </w:pPr>
            <w:r>
              <w:rPr>
                <w:b/>
                <w:sz w:val="18"/>
              </w:rPr>
              <w:t>TENANCINGO</w:t>
            </w:r>
          </w:p>
        </w:tc>
        <w:tc>
          <w:tcPr>
            <w:tcW w:w="4052" w:type="dxa"/>
            <w:tcBorders>
              <w:top w:val="single" w:sz="4" w:space="0" w:color="000000"/>
              <w:bottom w:val="single" w:sz="4" w:space="0" w:color="000000"/>
              <w:right w:val="single" w:sz="4" w:space="0" w:color="000000"/>
            </w:tcBorders>
          </w:tcPr>
          <w:p>
            <w:pPr>
              <w:pStyle w:val="TableParagraph"/>
              <w:spacing w:before="152"/>
              <w:ind w:left="134" w:right="139"/>
              <w:rPr>
                <w:sz w:val="18"/>
              </w:rPr>
            </w:pPr>
            <w:r>
              <w:rPr>
                <w:sz w:val="18"/>
              </w:rPr>
              <w:t>Mtro. Jesús Roberto Izquierdo Gómez</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52"/>
              <w:ind w:left="64" w:right="70"/>
              <w:rPr>
                <w:sz w:val="18"/>
              </w:rPr>
            </w:pPr>
            <w:r>
              <w:rPr>
                <w:sz w:val="18"/>
              </w:rPr>
              <w:t>M.</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360" w:lineRule="auto"/>
              <w:ind w:left="2304" w:right="91" w:hanging="1973"/>
              <w:jc w:val="left"/>
              <w:rPr>
                <w:sz w:val="18"/>
              </w:rPr>
            </w:pPr>
            <w:r>
              <w:rPr>
                <w:sz w:val="18"/>
              </w:rPr>
              <w:t>Titular De La Unidad de Información. Secretario Técnico Del H. Ayuntamiento</w:t>
            </w:r>
          </w:p>
        </w:tc>
      </w:tr>
      <w:tr>
        <w:trPr>
          <w:trHeight w:val="319"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TENANGO DEL AIRE</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475"/>
              <w:jc w:val="left"/>
              <w:rPr>
                <w:sz w:val="18"/>
              </w:rPr>
            </w:pPr>
            <w:r>
              <w:rPr>
                <w:sz w:val="18"/>
              </w:rPr>
              <w:t>P. En D. Rubén Arturo Ramírez Patiño</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70"/>
              <w:rPr>
                <w:sz w:val="18"/>
              </w:rPr>
            </w:pPr>
            <w:r>
              <w:rPr>
                <w:sz w:val="18"/>
              </w:rPr>
              <w:t>Pasante</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8"/>
              <w:rPr>
                <w:sz w:val="18"/>
              </w:rPr>
            </w:pPr>
            <w:r>
              <w:rPr>
                <w:sz w:val="18"/>
              </w:rPr>
              <w:t>Titular De La Unidad de Información</w:t>
            </w:r>
          </w:p>
        </w:tc>
      </w:tr>
      <w:tr>
        <w:trPr>
          <w:trHeight w:val="631" w:hRule="exact"/>
        </w:trPr>
        <w:tc>
          <w:tcPr>
            <w:tcW w:w="3780" w:type="dxa"/>
            <w:tcBorders>
              <w:top w:val="single" w:sz="4" w:space="0" w:color="000000"/>
              <w:bottom w:val="single" w:sz="4" w:space="0" w:color="000000"/>
            </w:tcBorders>
          </w:tcPr>
          <w:p>
            <w:pPr>
              <w:pStyle w:val="TableParagraph"/>
              <w:spacing w:before="150"/>
              <w:ind w:left="59"/>
              <w:jc w:val="left"/>
              <w:rPr>
                <w:b/>
                <w:sz w:val="18"/>
              </w:rPr>
            </w:pPr>
            <w:r>
              <w:rPr>
                <w:b/>
                <w:sz w:val="18"/>
              </w:rPr>
              <w:t>TENANGO DEL VALLE</w:t>
            </w:r>
          </w:p>
        </w:tc>
        <w:tc>
          <w:tcPr>
            <w:tcW w:w="4052" w:type="dxa"/>
            <w:tcBorders>
              <w:top w:val="single" w:sz="4" w:space="0" w:color="000000"/>
              <w:bottom w:val="single" w:sz="4" w:space="0" w:color="000000"/>
              <w:right w:val="single" w:sz="4" w:space="0" w:color="000000"/>
            </w:tcBorders>
          </w:tcPr>
          <w:p>
            <w:pPr>
              <w:pStyle w:val="TableParagraph"/>
              <w:spacing w:before="155"/>
              <w:ind w:left="134" w:right="138"/>
              <w:rPr>
                <w:sz w:val="18"/>
              </w:rPr>
            </w:pPr>
            <w:r>
              <w:rPr>
                <w:sz w:val="18"/>
              </w:rPr>
              <w:t>Mtro. Jaime Bernal García</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55"/>
              <w:ind w:left="64" w:right="70"/>
              <w:rPr>
                <w:sz w:val="18"/>
              </w:rPr>
            </w:pPr>
            <w:r>
              <w:rPr>
                <w:sz w:val="18"/>
              </w:rPr>
              <w:t>M.</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362" w:lineRule="auto"/>
              <w:ind w:left="1879" w:right="317" w:hanging="1496"/>
              <w:jc w:val="left"/>
              <w:rPr>
                <w:sz w:val="18"/>
              </w:rPr>
            </w:pPr>
            <w:r>
              <w:rPr>
                <w:sz w:val="18"/>
              </w:rPr>
              <w:t>Titular De La Unidad de Información. Secretario Técnico Y De Programas De Gobierno</w:t>
            </w:r>
          </w:p>
        </w:tc>
      </w:tr>
      <w:tr>
        <w:trPr>
          <w:trHeight w:val="632" w:hRule="exact"/>
        </w:trPr>
        <w:tc>
          <w:tcPr>
            <w:tcW w:w="3780" w:type="dxa"/>
            <w:tcBorders>
              <w:top w:val="single" w:sz="4" w:space="0" w:color="000000"/>
              <w:bottom w:val="single" w:sz="4" w:space="0" w:color="000000"/>
            </w:tcBorders>
          </w:tcPr>
          <w:p>
            <w:pPr>
              <w:pStyle w:val="TableParagraph"/>
              <w:spacing w:before="151"/>
              <w:ind w:left="59"/>
              <w:jc w:val="left"/>
              <w:rPr>
                <w:b/>
                <w:sz w:val="18"/>
              </w:rPr>
            </w:pPr>
            <w:r>
              <w:rPr>
                <w:b/>
                <w:sz w:val="18"/>
              </w:rPr>
              <w:t>TEOLOYUCAN</w:t>
            </w:r>
          </w:p>
        </w:tc>
        <w:tc>
          <w:tcPr>
            <w:tcW w:w="4052" w:type="dxa"/>
            <w:tcBorders>
              <w:top w:val="single" w:sz="4" w:space="0" w:color="000000"/>
              <w:bottom w:val="single" w:sz="4" w:space="0" w:color="000000"/>
              <w:right w:val="single" w:sz="4" w:space="0" w:color="000000"/>
            </w:tcBorders>
          </w:tcPr>
          <w:p>
            <w:pPr>
              <w:pStyle w:val="TableParagraph"/>
              <w:spacing w:before="155"/>
              <w:ind w:left="679"/>
              <w:jc w:val="left"/>
              <w:rPr>
                <w:sz w:val="18"/>
              </w:rPr>
            </w:pPr>
            <w:r>
              <w:rPr>
                <w:sz w:val="18"/>
              </w:rPr>
              <w:t>C. Edgar Roberto Dávila Jiménez</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before="155"/>
              <w:ind w:left="69" w:right="70"/>
              <w:rPr>
                <w:sz w:val="18"/>
              </w:rPr>
            </w:pPr>
            <w:r>
              <w:rPr>
                <w:sz w:val="18"/>
              </w:rPr>
              <w:t>NO</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362" w:lineRule="auto"/>
              <w:ind w:left="1248" w:right="367" w:hanging="867"/>
              <w:jc w:val="left"/>
              <w:rPr>
                <w:sz w:val="18"/>
              </w:rPr>
            </w:pPr>
            <w:r>
              <w:rPr>
                <w:sz w:val="18"/>
              </w:rPr>
              <w:t>Titular De La Unidad de Información. Director De Información, Planeación, Programación Y Evaluación</w:t>
            </w:r>
          </w:p>
        </w:tc>
      </w:tr>
      <w:tr>
        <w:trPr>
          <w:trHeight w:val="322" w:hRule="exact"/>
        </w:trPr>
        <w:tc>
          <w:tcPr>
            <w:tcW w:w="3780" w:type="dxa"/>
            <w:tcBorders>
              <w:top w:val="single" w:sz="4" w:space="0" w:color="000000"/>
              <w:bottom w:val="single" w:sz="4" w:space="0" w:color="000000"/>
            </w:tcBorders>
          </w:tcPr>
          <w:p>
            <w:pPr>
              <w:pStyle w:val="TableParagraph"/>
              <w:spacing w:line="201" w:lineRule="exact"/>
              <w:ind w:left="59"/>
              <w:jc w:val="left"/>
              <w:rPr>
                <w:b/>
                <w:sz w:val="18"/>
              </w:rPr>
            </w:pPr>
            <w:r>
              <w:rPr>
                <w:b/>
                <w:sz w:val="18"/>
              </w:rPr>
              <w:t>TEOTIHUACAN</w:t>
            </w:r>
          </w:p>
        </w:tc>
        <w:tc>
          <w:tcPr>
            <w:tcW w:w="4052" w:type="dxa"/>
            <w:tcBorders>
              <w:top w:val="single" w:sz="4" w:space="0" w:color="000000"/>
              <w:bottom w:val="single" w:sz="4" w:space="0" w:color="000000"/>
              <w:right w:val="single" w:sz="4" w:space="0" w:color="000000"/>
            </w:tcBorders>
          </w:tcPr>
          <w:p>
            <w:pPr>
              <w:pStyle w:val="TableParagraph"/>
              <w:spacing w:line="206" w:lineRule="exact"/>
              <w:ind w:left="821"/>
              <w:jc w:val="left"/>
              <w:rPr>
                <w:sz w:val="18"/>
              </w:rPr>
            </w:pPr>
            <w:r>
              <w:rPr>
                <w:sz w:val="18"/>
              </w:rPr>
              <w:t>C. Gerardo Balcázar Sánchez</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9" w:right="70"/>
              <w:rPr>
                <w:sz w:val="18"/>
              </w:rPr>
            </w:pPr>
            <w:r>
              <w:rPr>
                <w:sz w:val="18"/>
              </w:rPr>
              <w:t>NO</w:t>
            </w:r>
          </w:p>
        </w:tc>
        <w:tc>
          <w:tcPr>
            <w:tcW w:w="572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7" w:right="68"/>
              <w:rPr>
                <w:sz w:val="18"/>
              </w:rPr>
            </w:pPr>
            <w:r>
              <w:rPr>
                <w:sz w:val="18"/>
              </w:rPr>
              <w:t>Titular De La Unidad de Información</w:t>
            </w:r>
          </w:p>
        </w:tc>
      </w:tr>
    </w:tbl>
    <w:p>
      <w:pPr>
        <w:spacing w:after="0" w:line="206" w:lineRule="exact"/>
        <w:rPr>
          <w:sz w:val="18"/>
        </w:rPr>
        <w:sectPr>
          <w:pgSz w:w="15840" w:h="12240" w:orient="landscape"/>
          <w:pgMar w:header="0" w:footer="975" w:top="1140" w:bottom="1160" w:left="600" w:right="580"/>
        </w:sectPr>
      </w:pPr>
    </w:p>
    <w:p>
      <w:pPr>
        <w:pStyle w:val="BodyText"/>
        <w:rPr>
          <w:rFonts w:ascii="Times New Roman"/>
          <w:sz w:val="20"/>
        </w:rPr>
      </w:pPr>
    </w:p>
    <w:p>
      <w:pPr>
        <w:pStyle w:val="BodyText"/>
        <w:spacing w:before="10"/>
        <w:rPr>
          <w:rFonts w:ascii="Times New Roman"/>
          <w:sz w:val="28"/>
        </w:rPr>
      </w:pPr>
    </w:p>
    <w:tbl>
      <w:tblPr>
        <w:tblW w:w="0" w:type="auto"/>
        <w:jc w:val="left"/>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780"/>
        <w:gridCol w:w="4052"/>
        <w:gridCol w:w="972"/>
        <w:gridCol w:w="5597"/>
      </w:tblGrid>
      <w:tr>
        <w:trPr>
          <w:trHeight w:val="430" w:hRule="exact"/>
        </w:trPr>
        <w:tc>
          <w:tcPr>
            <w:tcW w:w="14402" w:type="dxa"/>
            <w:gridSpan w:val="4"/>
            <w:shd w:val="clear" w:color="auto" w:fill="92D050"/>
          </w:tcPr>
          <w:p>
            <w:pPr>
              <w:pStyle w:val="TableParagraph"/>
              <w:spacing w:before="44"/>
              <w:ind w:left="2719"/>
              <w:jc w:val="left"/>
              <w:rPr>
                <w:b/>
                <w:sz w:val="18"/>
              </w:rPr>
            </w:pPr>
            <w:r>
              <w:rPr>
                <w:b/>
                <w:sz w:val="18"/>
              </w:rPr>
              <w:t>Anexo 22. Municipios que publican apartado de responsable de la unidad de información (Continuación)</w:t>
            </w:r>
          </w:p>
        </w:tc>
      </w:tr>
      <w:tr>
        <w:trPr>
          <w:trHeight w:val="1272" w:hRule="exact"/>
        </w:trPr>
        <w:tc>
          <w:tcPr>
            <w:tcW w:w="3780" w:type="dxa"/>
            <w:tcBorders>
              <w:bottom w:val="single" w:sz="4" w:space="0" w:color="000000"/>
              <w:right w:val="single" w:sz="4" w:space="0" w:color="000000"/>
            </w:tcBorders>
            <w:shd w:val="clear" w:color="auto" w:fill="C5DFB3"/>
          </w:tcPr>
          <w:p>
            <w:pPr>
              <w:pStyle w:val="TableParagraph"/>
              <w:jc w:val="left"/>
              <w:rPr>
                <w:rFonts w:ascii="Times New Roman"/>
                <w:sz w:val="18"/>
              </w:rPr>
            </w:pPr>
          </w:p>
          <w:p>
            <w:pPr>
              <w:pStyle w:val="TableParagraph"/>
              <w:spacing w:before="4"/>
              <w:jc w:val="left"/>
              <w:rPr>
                <w:rFonts w:ascii="Times New Roman"/>
                <w:sz w:val="22"/>
              </w:rPr>
            </w:pPr>
          </w:p>
          <w:p>
            <w:pPr>
              <w:pStyle w:val="TableParagraph"/>
              <w:spacing w:before="1"/>
              <w:ind w:left="1441" w:right="1444"/>
              <w:rPr>
                <w:b/>
                <w:sz w:val="18"/>
              </w:rPr>
            </w:pPr>
            <w:r>
              <w:rPr>
                <w:b/>
                <w:sz w:val="18"/>
              </w:rPr>
              <w:t>Municipio</w:t>
            </w:r>
          </w:p>
        </w:tc>
        <w:tc>
          <w:tcPr>
            <w:tcW w:w="4052" w:type="dxa"/>
            <w:tcBorders>
              <w:left w:val="single" w:sz="4" w:space="0" w:color="000000"/>
              <w:right w:val="single" w:sz="4" w:space="0" w:color="000000"/>
            </w:tcBorders>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17"/>
              </w:rPr>
            </w:pPr>
          </w:p>
          <w:p>
            <w:pPr>
              <w:pStyle w:val="TableParagraph"/>
              <w:spacing w:before="1"/>
              <w:jc w:val="left"/>
              <w:rPr>
                <w:b/>
                <w:sz w:val="18"/>
              </w:rPr>
            </w:pPr>
            <w:r>
              <w:rPr>
                <w:b/>
                <w:w w:val="99"/>
                <w:sz w:val="18"/>
              </w:rPr>
              <w:t>Res</w:t>
            </w:r>
            <w:r>
              <w:rPr>
                <w:b/>
                <w:w w:val="100"/>
                <w:sz w:val="18"/>
              </w:rPr>
              <w:t>po</w:t>
            </w:r>
            <w:r>
              <w:rPr>
                <w:b/>
                <w:sz w:val="18"/>
              </w:rPr>
              <w:t>n</w:t>
            </w:r>
            <w:r>
              <w:rPr>
                <w:b/>
                <w:spacing w:val="-2"/>
                <w:sz w:val="18"/>
              </w:rPr>
              <w:t>s</w:t>
            </w:r>
            <w:r>
              <w:rPr>
                <w:b/>
                <w:w w:val="99"/>
                <w:sz w:val="18"/>
              </w:rPr>
              <w:t>a</w:t>
            </w:r>
            <w:r>
              <w:rPr>
                <w:b/>
                <w:w w:val="100"/>
                <w:sz w:val="18"/>
              </w:rPr>
              <w:t>bl</w:t>
            </w:r>
            <w:r>
              <w:rPr>
                <w:b/>
                <w:w w:val="99"/>
                <w:sz w:val="18"/>
              </w:rPr>
              <w:t>e</w:t>
            </w:r>
          </w:p>
        </w:tc>
        <w:tc>
          <w:tcPr>
            <w:tcW w:w="972" w:type="dxa"/>
            <w:tcBorders>
              <w:left w:val="single" w:sz="4" w:space="0" w:color="000000"/>
              <w:right w:val="single" w:sz="4" w:space="0" w:color="000000"/>
            </w:tcBorders>
            <w:shd w:val="clear" w:color="auto" w:fill="C5DFB3"/>
            <w:textDirection w:val="btLr"/>
          </w:tcPr>
          <w:p>
            <w:pPr>
              <w:pStyle w:val="TableParagraph"/>
              <w:spacing w:line="369" w:lineRule="auto" w:before="160"/>
              <w:ind w:right="307"/>
              <w:jc w:val="left"/>
              <w:rPr>
                <w:b/>
                <w:sz w:val="18"/>
              </w:rPr>
            </w:pPr>
            <w:r>
              <w:rPr>
                <w:b/>
                <w:w w:val="99"/>
                <w:sz w:val="18"/>
              </w:rPr>
              <w:t>Profe</w:t>
            </w:r>
            <w:r>
              <w:rPr>
                <w:b/>
                <w:w w:val="99"/>
                <w:sz w:val="18"/>
              </w:rPr>
              <w:t>s</w:t>
            </w:r>
            <w:r>
              <w:rPr>
                <w:b/>
                <w:w w:val="100"/>
                <w:sz w:val="18"/>
              </w:rPr>
              <w:t>ión</w:t>
            </w:r>
            <w:r>
              <w:rPr>
                <w:b/>
                <w:sz w:val="18"/>
              </w:rPr>
              <w:t> </w:t>
            </w:r>
            <w:r>
              <w:rPr>
                <w:b/>
                <w:w w:val="100"/>
                <w:sz w:val="18"/>
              </w:rPr>
              <w:t>/ </w:t>
            </w:r>
            <w:r>
              <w:rPr>
                <w:b/>
                <w:spacing w:val="-1"/>
                <w:w w:val="100"/>
                <w:sz w:val="18"/>
              </w:rPr>
              <w:t>G</w:t>
            </w:r>
            <w:r>
              <w:rPr>
                <w:b/>
                <w:w w:val="99"/>
                <w:sz w:val="18"/>
              </w:rPr>
              <w:t>rad</w:t>
            </w:r>
            <w:r>
              <w:rPr>
                <w:b/>
                <w:w w:val="100"/>
                <w:sz w:val="18"/>
              </w:rPr>
              <w:t>o</w:t>
            </w:r>
          </w:p>
        </w:tc>
        <w:tc>
          <w:tcPr>
            <w:tcW w:w="5597" w:type="dxa"/>
            <w:tcBorders>
              <w:left w:val="single" w:sz="4" w:space="0" w:color="000000"/>
            </w:tcBorders>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148"/>
              <w:jc w:val="left"/>
              <w:rPr>
                <w:b/>
                <w:sz w:val="18"/>
              </w:rPr>
            </w:pPr>
            <w:r>
              <w:rPr>
                <w:b/>
                <w:w w:val="99"/>
                <w:sz w:val="18"/>
              </w:rPr>
              <w:t>Cargo </w:t>
            </w:r>
            <w:r>
              <w:rPr>
                <w:b/>
                <w:w w:val="99"/>
                <w:sz w:val="18"/>
              </w:rPr>
              <w:t>(s</w:t>
            </w:r>
            <w:r>
              <w:rPr>
                <w:b/>
                <w:w w:val="99"/>
                <w:sz w:val="18"/>
              </w:rPr>
              <w:t>)</w:t>
            </w:r>
          </w:p>
        </w:tc>
      </w:tr>
      <w:tr>
        <w:trPr>
          <w:trHeight w:val="326" w:hRule="exact"/>
        </w:trPr>
        <w:tc>
          <w:tcPr>
            <w:tcW w:w="378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64"/>
              <w:jc w:val="left"/>
              <w:rPr>
                <w:b/>
                <w:sz w:val="18"/>
              </w:rPr>
            </w:pPr>
            <w:r>
              <w:rPr>
                <w:b/>
                <w:color w:val="333333"/>
                <w:sz w:val="18"/>
              </w:rPr>
              <w:t>TEPETLAOXTOC</w:t>
            </w:r>
          </w:p>
        </w:tc>
        <w:tc>
          <w:tcPr>
            <w:tcW w:w="4052" w:type="dxa"/>
            <w:tcBorders>
              <w:left w:val="single" w:sz="4" w:space="0" w:color="000000"/>
              <w:bottom w:val="single" w:sz="4" w:space="0" w:color="000000"/>
              <w:right w:val="single" w:sz="4" w:space="0" w:color="000000"/>
            </w:tcBorders>
          </w:tcPr>
          <w:p>
            <w:pPr>
              <w:pStyle w:val="TableParagraph"/>
              <w:spacing w:line="206" w:lineRule="exact"/>
              <w:ind w:left="569" w:right="569"/>
              <w:rPr>
                <w:sz w:val="18"/>
              </w:rPr>
            </w:pPr>
            <w:r>
              <w:rPr>
                <w:sz w:val="18"/>
              </w:rPr>
              <w:t>Lic. Joel Velázquez Alpuche</w:t>
            </w:r>
          </w:p>
        </w:tc>
        <w:tc>
          <w:tcPr>
            <w:tcW w:w="972" w:type="dxa"/>
            <w:tcBorders>
              <w:left w:val="single" w:sz="4" w:space="0" w:color="000000"/>
              <w:bottom w:val="single" w:sz="4" w:space="0" w:color="000000"/>
              <w:right w:val="single" w:sz="4" w:space="0" w:color="000000"/>
            </w:tcBorders>
          </w:tcPr>
          <w:p>
            <w:pPr>
              <w:pStyle w:val="TableParagraph"/>
              <w:spacing w:line="206" w:lineRule="exact"/>
              <w:ind w:left="130" w:right="130"/>
              <w:rPr>
                <w:sz w:val="18"/>
              </w:rPr>
            </w:pPr>
            <w:r>
              <w:rPr>
                <w:sz w:val="18"/>
              </w:rPr>
              <w:t>Lic.</w:t>
            </w:r>
          </w:p>
        </w:tc>
        <w:tc>
          <w:tcPr>
            <w:tcW w:w="5597" w:type="dxa"/>
            <w:tcBorders>
              <w:left w:val="single" w:sz="4" w:space="0" w:color="000000"/>
              <w:bottom w:val="single" w:sz="4" w:space="0" w:color="000000"/>
              <w:right w:val="single" w:sz="4" w:space="0" w:color="000000"/>
            </w:tcBorders>
          </w:tcPr>
          <w:p>
            <w:pPr>
              <w:pStyle w:val="TableParagraph"/>
              <w:spacing w:line="206" w:lineRule="exact"/>
              <w:ind w:left="80" w:right="82"/>
              <w:rPr>
                <w:sz w:val="18"/>
              </w:rPr>
            </w:pPr>
            <w:r>
              <w:rPr>
                <w:sz w:val="18"/>
              </w:rPr>
              <w:t>Titular De La Unidad de Información</w:t>
            </w:r>
          </w:p>
        </w:tc>
      </w:tr>
      <w:tr>
        <w:trPr>
          <w:trHeight w:val="632" w:hRule="exact"/>
        </w:trPr>
        <w:tc>
          <w:tcPr>
            <w:tcW w:w="3780" w:type="dxa"/>
            <w:tcBorders>
              <w:top w:val="single" w:sz="4" w:space="0" w:color="000000"/>
              <w:left w:val="single" w:sz="4" w:space="0" w:color="000000"/>
              <w:bottom w:val="single" w:sz="4" w:space="0" w:color="000000"/>
              <w:right w:val="single" w:sz="4" w:space="0" w:color="000000"/>
            </w:tcBorders>
          </w:tcPr>
          <w:p>
            <w:pPr>
              <w:pStyle w:val="TableParagraph"/>
              <w:spacing w:before="148"/>
              <w:ind w:left="64"/>
              <w:jc w:val="left"/>
              <w:rPr>
                <w:b/>
                <w:sz w:val="18"/>
              </w:rPr>
            </w:pPr>
            <w:r>
              <w:rPr>
                <w:b/>
                <w:color w:val="333333"/>
                <w:sz w:val="18"/>
              </w:rPr>
              <w:t>TEPETLIXPA</w:t>
            </w:r>
          </w:p>
        </w:tc>
        <w:tc>
          <w:tcPr>
            <w:tcW w:w="4052" w:type="dxa"/>
            <w:tcBorders>
              <w:top w:val="single" w:sz="4" w:space="0" w:color="000000"/>
              <w:left w:val="single" w:sz="4" w:space="0" w:color="000000"/>
              <w:bottom w:val="single" w:sz="4" w:space="0" w:color="000000"/>
              <w:right w:val="single" w:sz="4" w:space="0" w:color="000000"/>
            </w:tcBorders>
          </w:tcPr>
          <w:p>
            <w:pPr>
              <w:pStyle w:val="TableParagraph"/>
              <w:spacing w:before="153"/>
              <w:ind w:left="569" w:right="570"/>
              <w:rPr>
                <w:sz w:val="18"/>
              </w:rPr>
            </w:pPr>
            <w:r>
              <w:rPr>
                <w:sz w:val="18"/>
              </w:rPr>
              <w:t>Lic. Jesús Adán Hernández Moreno</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before="153"/>
              <w:ind w:left="130" w:right="130"/>
              <w:rPr>
                <w:sz w:val="18"/>
              </w:rPr>
            </w:pPr>
            <w:r>
              <w:rPr>
                <w:sz w:val="18"/>
              </w:rPr>
              <w:t>Lic.</w:t>
            </w:r>
          </w:p>
        </w:tc>
        <w:tc>
          <w:tcPr>
            <w:tcW w:w="5597" w:type="dxa"/>
            <w:tcBorders>
              <w:top w:val="single" w:sz="4" w:space="0" w:color="000000"/>
              <w:left w:val="single" w:sz="4" w:space="0" w:color="000000"/>
              <w:bottom w:val="single" w:sz="4" w:space="0" w:color="000000"/>
              <w:right w:val="single" w:sz="4" w:space="0" w:color="000000"/>
            </w:tcBorders>
          </w:tcPr>
          <w:p>
            <w:pPr>
              <w:pStyle w:val="TableParagraph"/>
              <w:spacing w:line="360" w:lineRule="auto"/>
              <w:ind w:left="1972" w:right="138" w:hanging="1815"/>
              <w:jc w:val="left"/>
              <w:rPr>
                <w:sz w:val="18"/>
              </w:rPr>
            </w:pPr>
            <w:r>
              <w:rPr>
                <w:sz w:val="18"/>
              </w:rPr>
              <w:t>Titular De La Unidad de . Director De La Unidad De Información Y Transparencia Mpal.</w:t>
            </w:r>
          </w:p>
        </w:tc>
      </w:tr>
      <w:tr>
        <w:trPr>
          <w:trHeight w:val="910" w:hRule="exact"/>
        </w:trPr>
        <w:tc>
          <w:tcPr>
            <w:tcW w:w="3780" w:type="dxa"/>
            <w:tcBorders>
              <w:top w:val="single" w:sz="4" w:space="0" w:color="000000"/>
              <w:left w:val="single" w:sz="4" w:space="0" w:color="000000"/>
              <w:bottom w:val="single" w:sz="4" w:space="0" w:color="000000"/>
              <w:right w:val="single" w:sz="4" w:space="0" w:color="000000"/>
            </w:tcBorders>
          </w:tcPr>
          <w:p>
            <w:pPr>
              <w:pStyle w:val="TableParagraph"/>
              <w:spacing w:before="11"/>
              <w:jc w:val="left"/>
              <w:rPr>
                <w:rFonts w:ascii="Times New Roman"/>
                <w:sz w:val="24"/>
              </w:rPr>
            </w:pPr>
          </w:p>
          <w:p>
            <w:pPr>
              <w:pStyle w:val="TableParagraph"/>
              <w:ind w:left="64"/>
              <w:jc w:val="left"/>
              <w:rPr>
                <w:b/>
                <w:sz w:val="18"/>
              </w:rPr>
            </w:pPr>
            <w:r>
              <w:rPr>
                <w:b/>
                <w:color w:val="333333"/>
                <w:sz w:val="18"/>
              </w:rPr>
              <w:t>TEPOTZOTLAN</w:t>
            </w:r>
          </w:p>
        </w:tc>
        <w:tc>
          <w:tcPr>
            <w:tcW w:w="4052" w:type="dxa"/>
            <w:tcBorders>
              <w:top w:val="single" w:sz="4" w:space="0" w:color="000000"/>
              <w:left w:val="single" w:sz="4" w:space="0" w:color="000000"/>
              <w:bottom w:val="single" w:sz="4" w:space="0" w:color="000000"/>
              <w:right w:val="single" w:sz="4" w:space="0" w:color="000000"/>
            </w:tcBorders>
          </w:tcPr>
          <w:p>
            <w:pPr>
              <w:pStyle w:val="TableParagraph"/>
              <w:spacing w:before="4"/>
              <w:jc w:val="left"/>
              <w:rPr>
                <w:rFonts w:ascii="Times New Roman"/>
                <w:sz w:val="25"/>
              </w:rPr>
            </w:pPr>
          </w:p>
          <w:p>
            <w:pPr>
              <w:pStyle w:val="TableParagraph"/>
              <w:ind w:left="874"/>
              <w:jc w:val="left"/>
              <w:rPr>
                <w:sz w:val="18"/>
              </w:rPr>
            </w:pPr>
            <w:r>
              <w:rPr>
                <w:sz w:val="18"/>
              </w:rPr>
              <w:t>C. Eder Rafael Lozano Peña</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before="4"/>
              <w:jc w:val="left"/>
              <w:rPr>
                <w:rFonts w:ascii="Times New Roman"/>
                <w:sz w:val="25"/>
              </w:rPr>
            </w:pPr>
          </w:p>
          <w:p>
            <w:pPr>
              <w:pStyle w:val="TableParagraph"/>
              <w:ind w:left="127" w:right="131"/>
              <w:rPr>
                <w:sz w:val="18"/>
              </w:rPr>
            </w:pPr>
            <w:r>
              <w:rPr>
                <w:sz w:val="18"/>
              </w:rPr>
              <w:t>NO</w:t>
            </w:r>
          </w:p>
        </w:tc>
        <w:tc>
          <w:tcPr>
            <w:tcW w:w="5597" w:type="dxa"/>
            <w:tcBorders>
              <w:top w:val="single" w:sz="4" w:space="0" w:color="000000"/>
              <w:left w:val="single" w:sz="4" w:space="0" w:color="000000"/>
              <w:bottom w:val="single" w:sz="4" w:space="0" w:color="000000"/>
              <w:right w:val="single" w:sz="4" w:space="0" w:color="000000"/>
            </w:tcBorders>
          </w:tcPr>
          <w:p>
            <w:pPr>
              <w:pStyle w:val="TableParagraph"/>
              <w:spacing w:line="360" w:lineRule="auto" w:before="138"/>
              <w:ind w:left="127" w:firstLine="204"/>
              <w:jc w:val="left"/>
              <w:rPr>
                <w:sz w:val="18"/>
              </w:rPr>
            </w:pPr>
            <w:r>
              <w:rPr>
                <w:sz w:val="18"/>
              </w:rPr>
              <w:t>Titular De La Unidad de Información. Titular De La Unidad De Transparencia Y Acceso A La Información Pública De Tepotzotlán.</w:t>
            </w:r>
          </w:p>
        </w:tc>
      </w:tr>
      <w:tr>
        <w:trPr>
          <w:trHeight w:val="610" w:hRule="exact"/>
        </w:trPr>
        <w:tc>
          <w:tcPr>
            <w:tcW w:w="3780" w:type="dxa"/>
            <w:tcBorders>
              <w:top w:val="single" w:sz="4" w:space="0" w:color="000000"/>
              <w:left w:val="single" w:sz="4" w:space="0" w:color="000000"/>
              <w:bottom w:val="single" w:sz="4" w:space="0" w:color="000000"/>
              <w:right w:val="single" w:sz="4" w:space="0" w:color="000000"/>
            </w:tcBorders>
          </w:tcPr>
          <w:p>
            <w:pPr>
              <w:pStyle w:val="TableParagraph"/>
              <w:spacing w:before="138"/>
              <w:ind w:left="64"/>
              <w:jc w:val="left"/>
              <w:rPr>
                <w:b/>
                <w:sz w:val="18"/>
              </w:rPr>
            </w:pPr>
            <w:r>
              <w:rPr>
                <w:b/>
                <w:color w:val="333333"/>
                <w:sz w:val="18"/>
              </w:rPr>
              <w:t>TEQUIXQUIAC</w:t>
            </w:r>
          </w:p>
        </w:tc>
        <w:tc>
          <w:tcPr>
            <w:tcW w:w="4052" w:type="dxa"/>
            <w:tcBorders>
              <w:top w:val="single" w:sz="4" w:space="0" w:color="000000"/>
              <w:left w:val="single" w:sz="4" w:space="0" w:color="000000"/>
              <w:bottom w:val="single" w:sz="4" w:space="0" w:color="000000"/>
              <w:right w:val="single" w:sz="4" w:space="0" w:color="000000"/>
            </w:tcBorders>
          </w:tcPr>
          <w:p>
            <w:pPr>
              <w:pStyle w:val="TableParagraph"/>
              <w:spacing w:before="143"/>
              <w:ind w:left="569" w:right="569"/>
              <w:rPr>
                <w:sz w:val="18"/>
              </w:rPr>
            </w:pPr>
            <w:r>
              <w:rPr>
                <w:sz w:val="18"/>
              </w:rPr>
              <w:t>Lic. Juan Francisco Tapia López</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before="143"/>
              <w:ind w:left="130" w:right="130"/>
              <w:rPr>
                <w:sz w:val="18"/>
              </w:rPr>
            </w:pPr>
            <w:r>
              <w:rPr>
                <w:sz w:val="18"/>
              </w:rPr>
              <w:t>Lic.</w:t>
            </w:r>
          </w:p>
        </w:tc>
        <w:tc>
          <w:tcPr>
            <w:tcW w:w="5597" w:type="dxa"/>
            <w:tcBorders>
              <w:top w:val="single" w:sz="4" w:space="0" w:color="000000"/>
              <w:left w:val="single" w:sz="4" w:space="0" w:color="000000"/>
              <w:bottom w:val="single" w:sz="4" w:space="0" w:color="000000"/>
              <w:right w:val="single" w:sz="4" w:space="0" w:color="000000"/>
            </w:tcBorders>
          </w:tcPr>
          <w:p>
            <w:pPr>
              <w:pStyle w:val="TableParagraph"/>
              <w:spacing w:before="143"/>
              <w:ind w:left="78" w:right="82"/>
              <w:rPr>
                <w:sz w:val="18"/>
              </w:rPr>
            </w:pPr>
            <w:r>
              <w:rPr>
                <w:sz w:val="18"/>
              </w:rPr>
              <w:t>Titular De La Unidad de Información. Secretario Del Ayuntamiento</w:t>
            </w:r>
          </w:p>
        </w:tc>
      </w:tr>
      <w:tr>
        <w:trPr>
          <w:trHeight w:val="631" w:hRule="exact"/>
        </w:trPr>
        <w:tc>
          <w:tcPr>
            <w:tcW w:w="3780" w:type="dxa"/>
            <w:tcBorders>
              <w:top w:val="single" w:sz="4" w:space="0" w:color="000000"/>
              <w:left w:val="single" w:sz="4" w:space="0" w:color="000000"/>
              <w:bottom w:val="single" w:sz="4" w:space="0" w:color="000000"/>
              <w:right w:val="single" w:sz="4" w:space="0" w:color="000000"/>
            </w:tcBorders>
          </w:tcPr>
          <w:p>
            <w:pPr>
              <w:pStyle w:val="TableParagraph"/>
              <w:spacing w:before="150"/>
              <w:ind w:left="64"/>
              <w:jc w:val="left"/>
              <w:rPr>
                <w:b/>
                <w:sz w:val="18"/>
              </w:rPr>
            </w:pPr>
            <w:r>
              <w:rPr>
                <w:b/>
                <w:color w:val="333333"/>
                <w:sz w:val="18"/>
              </w:rPr>
              <w:t>TEXCALTITL�N</w:t>
            </w:r>
          </w:p>
        </w:tc>
        <w:tc>
          <w:tcPr>
            <w:tcW w:w="4052" w:type="dxa"/>
            <w:tcBorders>
              <w:top w:val="single" w:sz="4" w:space="0" w:color="000000"/>
              <w:left w:val="single" w:sz="4" w:space="0" w:color="000000"/>
              <w:bottom w:val="single" w:sz="4" w:space="0" w:color="000000"/>
              <w:right w:val="single" w:sz="4" w:space="0" w:color="000000"/>
            </w:tcBorders>
          </w:tcPr>
          <w:p>
            <w:pPr>
              <w:pStyle w:val="TableParagraph"/>
              <w:spacing w:before="155"/>
              <w:ind w:left="850"/>
              <w:jc w:val="left"/>
              <w:rPr>
                <w:sz w:val="18"/>
              </w:rPr>
            </w:pPr>
            <w:r>
              <w:rPr>
                <w:sz w:val="18"/>
              </w:rPr>
              <w:t>P. Laet. Edgar Chiquillo Valle</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before="155"/>
              <w:ind w:left="130" w:right="131"/>
              <w:rPr>
                <w:sz w:val="18"/>
              </w:rPr>
            </w:pPr>
            <w:r>
              <w:rPr>
                <w:sz w:val="18"/>
              </w:rPr>
              <w:t>Pasante</w:t>
            </w:r>
          </w:p>
        </w:tc>
        <w:tc>
          <w:tcPr>
            <w:tcW w:w="5597" w:type="dxa"/>
            <w:tcBorders>
              <w:top w:val="single" w:sz="4" w:space="0" w:color="000000"/>
              <w:left w:val="single" w:sz="4" w:space="0" w:color="000000"/>
              <w:bottom w:val="single" w:sz="4" w:space="0" w:color="000000"/>
              <w:right w:val="single" w:sz="4" w:space="0" w:color="000000"/>
            </w:tcBorders>
          </w:tcPr>
          <w:p>
            <w:pPr>
              <w:pStyle w:val="TableParagraph"/>
              <w:spacing w:line="360" w:lineRule="auto"/>
              <w:ind w:left="787" w:right="138" w:hanging="382"/>
              <w:jc w:val="left"/>
              <w:rPr>
                <w:sz w:val="18"/>
              </w:rPr>
            </w:pPr>
            <w:r>
              <w:rPr>
                <w:sz w:val="18"/>
              </w:rPr>
              <w:t>Titular De La Unidad de Información. Titular Del Instituto De Transparencia Y Acceso A La Información Publica</w:t>
            </w:r>
          </w:p>
        </w:tc>
      </w:tr>
      <w:tr>
        <w:trPr>
          <w:trHeight w:val="610" w:hRule="exact"/>
        </w:trPr>
        <w:tc>
          <w:tcPr>
            <w:tcW w:w="3780" w:type="dxa"/>
            <w:tcBorders>
              <w:top w:val="single" w:sz="4" w:space="0" w:color="000000"/>
              <w:left w:val="single" w:sz="4" w:space="0" w:color="000000"/>
              <w:bottom w:val="single" w:sz="4" w:space="0" w:color="000000"/>
              <w:right w:val="single" w:sz="4" w:space="0" w:color="000000"/>
            </w:tcBorders>
          </w:tcPr>
          <w:p>
            <w:pPr>
              <w:pStyle w:val="TableParagraph"/>
              <w:spacing w:before="138"/>
              <w:ind w:left="64"/>
              <w:jc w:val="left"/>
              <w:rPr>
                <w:b/>
                <w:sz w:val="18"/>
              </w:rPr>
            </w:pPr>
            <w:r>
              <w:rPr>
                <w:b/>
                <w:color w:val="333333"/>
                <w:sz w:val="18"/>
              </w:rPr>
              <w:t>TEXCALYACAC</w:t>
            </w:r>
          </w:p>
        </w:tc>
        <w:tc>
          <w:tcPr>
            <w:tcW w:w="4052" w:type="dxa"/>
            <w:tcBorders>
              <w:top w:val="single" w:sz="4" w:space="0" w:color="000000"/>
              <w:left w:val="single" w:sz="4" w:space="0" w:color="000000"/>
              <w:bottom w:val="single" w:sz="4" w:space="0" w:color="000000"/>
              <w:right w:val="single" w:sz="4" w:space="0" w:color="000000"/>
            </w:tcBorders>
          </w:tcPr>
          <w:p>
            <w:pPr>
              <w:pStyle w:val="TableParagraph"/>
              <w:spacing w:before="143"/>
              <w:ind w:left="919"/>
              <w:jc w:val="left"/>
              <w:rPr>
                <w:sz w:val="18"/>
              </w:rPr>
            </w:pPr>
            <w:r>
              <w:rPr>
                <w:sz w:val="18"/>
              </w:rPr>
              <w:t>C. Juan Carlos Díaz Muños</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before="143"/>
              <w:ind w:left="127" w:right="131"/>
              <w:rPr>
                <w:sz w:val="18"/>
              </w:rPr>
            </w:pPr>
            <w:r>
              <w:rPr>
                <w:sz w:val="18"/>
              </w:rPr>
              <w:t>NO</w:t>
            </w:r>
          </w:p>
        </w:tc>
        <w:tc>
          <w:tcPr>
            <w:tcW w:w="5597" w:type="dxa"/>
            <w:tcBorders>
              <w:top w:val="single" w:sz="4" w:space="0" w:color="000000"/>
              <w:left w:val="single" w:sz="4" w:space="0" w:color="000000"/>
              <w:bottom w:val="single" w:sz="4" w:space="0" w:color="000000"/>
              <w:right w:val="single" w:sz="4" w:space="0" w:color="000000"/>
            </w:tcBorders>
          </w:tcPr>
          <w:p>
            <w:pPr>
              <w:pStyle w:val="TableParagraph"/>
              <w:spacing w:before="143"/>
              <w:ind w:left="82" w:right="82"/>
              <w:rPr>
                <w:sz w:val="18"/>
              </w:rPr>
            </w:pPr>
            <w:r>
              <w:rPr>
                <w:sz w:val="18"/>
              </w:rPr>
              <w:t>Titular De La Unidad de Información. Auxiliar de Contraloría Interna</w:t>
            </w:r>
          </w:p>
        </w:tc>
      </w:tr>
      <w:tr>
        <w:trPr>
          <w:trHeight w:val="631" w:hRule="exact"/>
        </w:trPr>
        <w:tc>
          <w:tcPr>
            <w:tcW w:w="3780" w:type="dxa"/>
            <w:tcBorders>
              <w:top w:val="single" w:sz="4" w:space="0" w:color="000000"/>
              <w:left w:val="single" w:sz="4" w:space="0" w:color="000000"/>
              <w:bottom w:val="single" w:sz="4" w:space="0" w:color="000000"/>
              <w:right w:val="single" w:sz="4" w:space="0" w:color="000000"/>
            </w:tcBorders>
          </w:tcPr>
          <w:p>
            <w:pPr>
              <w:pStyle w:val="TableParagraph"/>
              <w:spacing w:before="150"/>
              <w:ind w:left="64"/>
              <w:jc w:val="left"/>
              <w:rPr>
                <w:b/>
                <w:sz w:val="18"/>
              </w:rPr>
            </w:pPr>
            <w:r>
              <w:rPr>
                <w:b/>
                <w:color w:val="333333"/>
                <w:sz w:val="18"/>
              </w:rPr>
              <w:t>TEXCOCO</w:t>
            </w:r>
          </w:p>
        </w:tc>
        <w:tc>
          <w:tcPr>
            <w:tcW w:w="4052" w:type="dxa"/>
            <w:tcBorders>
              <w:top w:val="single" w:sz="4" w:space="0" w:color="000000"/>
              <w:left w:val="single" w:sz="4" w:space="0" w:color="000000"/>
              <w:bottom w:val="single" w:sz="4" w:space="0" w:color="000000"/>
              <w:right w:val="single" w:sz="4" w:space="0" w:color="000000"/>
            </w:tcBorders>
          </w:tcPr>
          <w:p>
            <w:pPr>
              <w:pStyle w:val="TableParagraph"/>
              <w:spacing w:before="155"/>
              <w:ind w:left="569" w:right="569"/>
              <w:rPr>
                <w:sz w:val="18"/>
              </w:rPr>
            </w:pPr>
            <w:r>
              <w:rPr>
                <w:sz w:val="18"/>
              </w:rPr>
              <w:t>Lic. Guadalupe Ramírez Peña</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before="155"/>
              <w:ind w:left="130" w:right="130"/>
              <w:rPr>
                <w:sz w:val="18"/>
              </w:rPr>
            </w:pPr>
            <w:r>
              <w:rPr>
                <w:sz w:val="18"/>
              </w:rPr>
              <w:t>Lic.</w:t>
            </w:r>
          </w:p>
        </w:tc>
        <w:tc>
          <w:tcPr>
            <w:tcW w:w="5597" w:type="dxa"/>
            <w:tcBorders>
              <w:top w:val="single" w:sz="4" w:space="0" w:color="000000"/>
              <w:left w:val="single" w:sz="4" w:space="0" w:color="000000"/>
              <w:bottom w:val="single" w:sz="4" w:space="0" w:color="000000"/>
              <w:right w:val="single" w:sz="4" w:space="0" w:color="000000"/>
            </w:tcBorders>
          </w:tcPr>
          <w:p>
            <w:pPr>
              <w:pStyle w:val="TableParagraph"/>
              <w:spacing w:line="360" w:lineRule="auto"/>
              <w:ind w:left="381" w:right="138" w:hanging="51"/>
              <w:jc w:val="left"/>
              <w:rPr>
                <w:sz w:val="18"/>
              </w:rPr>
            </w:pPr>
            <w:r>
              <w:rPr>
                <w:sz w:val="18"/>
              </w:rPr>
              <w:t>Titular De La Unidad de Información. Titular De La Unidad De Transparencia Y Acceso A La Información Pública Municipal</w:t>
            </w:r>
          </w:p>
        </w:tc>
      </w:tr>
      <w:tr>
        <w:trPr>
          <w:trHeight w:val="319" w:hRule="exact"/>
        </w:trPr>
        <w:tc>
          <w:tcPr>
            <w:tcW w:w="378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4"/>
              <w:jc w:val="left"/>
              <w:rPr>
                <w:b/>
                <w:sz w:val="18"/>
              </w:rPr>
            </w:pPr>
            <w:r>
              <w:rPr>
                <w:b/>
                <w:color w:val="333333"/>
                <w:sz w:val="18"/>
              </w:rPr>
              <w:t>TEZOYUCA</w:t>
            </w:r>
          </w:p>
        </w:tc>
        <w:tc>
          <w:tcPr>
            <w:tcW w:w="40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69" w:right="569"/>
              <w:rPr>
                <w:sz w:val="18"/>
              </w:rPr>
            </w:pPr>
            <w:r>
              <w:rPr>
                <w:sz w:val="18"/>
              </w:rPr>
              <w:t>Lic. Rosa María Martínez García</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30" w:right="130"/>
              <w:rPr>
                <w:sz w:val="18"/>
              </w:rPr>
            </w:pPr>
            <w:r>
              <w:rPr>
                <w:sz w:val="18"/>
              </w:rPr>
              <w:t>Lic.</w:t>
            </w:r>
          </w:p>
        </w:tc>
        <w:tc>
          <w:tcPr>
            <w:tcW w:w="559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81" w:right="82"/>
              <w:rPr>
                <w:sz w:val="18"/>
              </w:rPr>
            </w:pPr>
            <w:r>
              <w:rPr>
                <w:sz w:val="18"/>
              </w:rPr>
              <w:t>Titular De La Unidad de Información</w:t>
            </w:r>
          </w:p>
        </w:tc>
      </w:tr>
      <w:tr>
        <w:trPr>
          <w:trHeight w:val="322" w:hRule="exact"/>
        </w:trPr>
        <w:tc>
          <w:tcPr>
            <w:tcW w:w="378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4"/>
              <w:jc w:val="left"/>
              <w:rPr>
                <w:b/>
                <w:sz w:val="18"/>
              </w:rPr>
            </w:pPr>
            <w:r>
              <w:rPr>
                <w:b/>
                <w:color w:val="333333"/>
                <w:sz w:val="18"/>
              </w:rPr>
              <w:t>TIANGUISTENCO</w:t>
            </w:r>
          </w:p>
        </w:tc>
        <w:tc>
          <w:tcPr>
            <w:tcW w:w="40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69" w:right="569"/>
              <w:rPr>
                <w:sz w:val="18"/>
              </w:rPr>
            </w:pPr>
            <w:r>
              <w:rPr>
                <w:sz w:val="18"/>
              </w:rPr>
              <w:t>Octavio Aguilar Rivera</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7" w:right="131"/>
              <w:rPr>
                <w:sz w:val="18"/>
              </w:rPr>
            </w:pPr>
            <w:r>
              <w:rPr>
                <w:sz w:val="18"/>
              </w:rPr>
              <w:t>NO</w:t>
            </w:r>
          </w:p>
        </w:tc>
        <w:tc>
          <w:tcPr>
            <w:tcW w:w="559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80" w:right="82"/>
              <w:rPr>
                <w:sz w:val="18"/>
              </w:rPr>
            </w:pPr>
            <w:r>
              <w:rPr>
                <w:sz w:val="18"/>
              </w:rPr>
              <w:t>Titular De La Unidad de Información</w:t>
            </w:r>
          </w:p>
        </w:tc>
      </w:tr>
      <w:tr>
        <w:trPr>
          <w:trHeight w:val="319" w:hRule="exact"/>
        </w:trPr>
        <w:tc>
          <w:tcPr>
            <w:tcW w:w="378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4"/>
              <w:jc w:val="left"/>
              <w:rPr>
                <w:b/>
                <w:sz w:val="18"/>
              </w:rPr>
            </w:pPr>
            <w:r>
              <w:rPr>
                <w:b/>
                <w:color w:val="333333"/>
                <w:sz w:val="18"/>
              </w:rPr>
              <w:t>TIMILPAN</w:t>
            </w:r>
          </w:p>
        </w:tc>
        <w:tc>
          <w:tcPr>
            <w:tcW w:w="40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68" w:right="570"/>
              <w:rPr>
                <w:sz w:val="18"/>
              </w:rPr>
            </w:pPr>
            <w:r>
              <w:rPr>
                <w:sz w:val="18"/>
              </w:rPr>
              <w:t>Ing. Raúl Bernardo Bardomiano</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30" w:right="130"/>
              <w:rPr>
                <w:sz w:val="18"/>
              </w:rPr>
            </w:pPr>
            <w:r>
              <w:rPr>
                <w:sz w:val="18"/>
              </w:rPr>
              <w:t>Ing.</w:t>
            </w:r>
          </w:p>
        </w:tc>
        <w:tc>
          <w:tcPr>
            <w:tcW w:w="559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80" w:right="82"/>
              <w:rPr>
                <w:sz w:val="18"/>
              </w:rPr>
            </w:pPr>
            <w:r>
              <w:rPr>
                <w:sz w:val="18"/>
              </w:rPr>
              <w:t>Titular De La Unidad de Información</w:t>
            </w:r>
          </w:p>
        </w:tc>
      </w:tr>
      <w:tr>
        <w:trPr>
          <w:trHeight w:val="632" w:hRule="exact"/>
        </w:trPr>
        <w:tc>
          <w:tcPr>
            <w:tcW w:w="3780" w:type="dxa"/>
            <w:tcBorders>
              <w:top w:val="single" w:sz="4" w:space="0" w:color="000000"/>
              <w:left w:val="single" w:sz="4" w:space="0" w:color="000000"/>
              <w:bottom w:val="single" w:sz="4" w:space="0" w:color="000000"/>
              <w:right w:val="single" w:sz="4" w:space="0" w:color="000000"/>
            </w:tcBorders>
          </w:tcPr>
          <w:p>
            <w:pPr>
              <w:pStyle w:val="TableParagraph"/>
              <w:spacing w:before="150"/>
              <w:ind w:left="64"/>
              <w:jc w:val="left"/>
              <w:rPr>
                <w:b/>
                <w:sz w:val="18"/>
              </w:rPr>
            </w:pPr>
            <w:r>
              <w:rPr>
                <w:b/>
                <w:color w:val="333333"/>
                <w:sz w:val="18"/>
              </w:rPr>
              <w:t>TLALMANALCO</w:t>
            </w:r>
          </w:p>
        </w:tc>
        <w:tc>
          <w:tcPr>
            <w:tcW w:w="4052" w:type="dxa"/>
            <w:tcBorders>
              <w:top w:val="single" w:sz="4" w:space="0" w:color="000000"/>
              <w:left w:val="single" w:sz="4" w:space="0" w:color="000000"/>
              <w:bottom w:val="single" w:sz="4" w:space="0" w:color="000000"/>
              <w:right w:val="single" w:sz="4" w:space="0" w:color="000000"/>
            </w:tcBorders>
          </w:tcPr>
          <w:p>
            <w:pPr>
              <w:pStyle w:val="TableParagraph"/>
              <w:spacing w:before="155"/>
              <w:ind w:left="569" w:right="569"/>
              <w:rPr>
                <w:sz w:val="18"/>
              </w:rPr>
            </w:pPr>
            <w:r>
              <w:rPr>
                <w:sz w:val="18"/>
              </w:rPr>
              <w:t>Lic. Erica J. Martínez Pérez</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before="155"/>
              <w:ind w:left="130" w:right="130"/>
              <w:rPr>
                <w:sz w:val="18"/>
              </w:rPr>
            </w:pPr>
            <w:r>
              <w:rPr>
                <w:sz w:val="18"/>
              </w:rPr>
              <w:t>Lic.</w:t>
            </w:r>
          </w:p>
        </w:tc>
        <w:tc>
          <w:tcPr>
            <w:tcW w:w="5597" w:type="dxa"/>
            <w:tcBorders>
              <w:top w:val="single" w:sz="4" w:space="0" w:color="000000"/>
              <w:left w:val="single" w:sz="4" w:space="0" w:color="000000"/>
              <w:bottom w:val="single" w:sz="4" w:space="0" w:color="000000"/>
              <w:right w:val="single" w:sz="4" w:space="0" w:color="000000"/>
            </w:tcBorders>
          </w:tcPr>
          <w:p>
            <w:pPr>
              <w:pStyle w:val="TableParagraph"/>
              <w:spacing w:line="360" w:lineRule="auto" w:before="1"/>
              <w:ind w:left="1106" w:right="315" w:hanging="776"/>
              <w:jc w:val="left"/>
              <w:rPr>
                <w:sz w:val="18"/>
              </w:rPr>
            </w:pPr>
            <w:r>
              <w:rPr>
                <w:sz w:val="18"/>
              </w:rPr>
              <w:t>Titular De La Unidad de Información. Titular De La Unidad De Transparencia Y Acceso A La Información</w:t>
            </w:r>
          </w:p>
        </w:tc>
      </w:tr>
      <w:tr>
        <w:trPr>
          <w:trHeight w:val="322" w:hRule="exact"/>
        </w:trPr>
        <w:tc>
          <w:tcPr>
            <w:tcW w:w="378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4"/>
              <w:jc w:val="left"/>
              <w:rPr>
                <w:b/>
                <w:sz w:val="18"/>
              </w:rPr>
            </w:pPr>
            <w:r>
              <w:rPr>
                <w:b/>
                <w:color w:val="333333"/>
                <w:sz w:val="18"/>
              </w:rPr>
              <w:t>TLALNEPANTLA DE BAZ</w:t>
            </w:r>
          </w:p>
        </w:tc>
        <w:tc>
          <w:tcPr>
            <w:tcW w:w="40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814"/>
              <w:jc w:val="left"/>
              <w:rPr>
                <w:sz w:val="18"/>
              </w:rPr>
            </w:pPr>
            <w:r>
              <w:rPr>
                <w:sz w:val="18"/>
              </w:rPr>
              <w:t>C. Mariamnee Vega Blancarte</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7" w:right="131"/>
              <w:rPr>
                <w:sz w:val="18"/>
              </w:rPr>
            </w:pPr>
            <w:r>
              <w:rPr>
                <w:sz w:val="18"/>
              </w:rPr>
              <w:t>NO</w:t>
            </w:r>
          </w:p>
        </w:tc>
        <w:tc>
          <w:tcPr>
            <w:tcW w:w="559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80" w:right="82"/>
              <w:rPr>
                <w:sz w:val="18"/>
              </w:rPr>
            </w:pPr>
            <w:r>
              <w:rPr>
                <w:sz w:val="18"/>
              </w:rPr>
              <w:t>Titular De La Unidad de Información</w:t>
            </w:r>
          </w:p>
        </w:tc>
      </w:tr>
      <w:tr>
        <w:trPr>
          <w:trHeight w:val="319" w:hRule="exact"/>
        </w:trPr>
        <w:tc>
          <w:tcPr>
            <w:tcW w:w="378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4"/>
              <w:jc w:val="left"/>
              <w:rPr>
                <w:b/>
                <w:sz w:val="18"/>
              </w:rPr>
            </w:pPr>
            <w:r>
              <w:rPr>
                <w:b/>
                <w:color w:val="333333"/>
                <w:sz w:val="18"/>
              </w:rPr>
              <w:t>TLATLAYA</w:t>
            </w:r>
          </w:p>
        </w:tc>
        <w:tc>
          <w:tcPr>
            <w:tcW w:w="405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569" w:right="570"/>
              <w:rPr>
                <w:sz w:val="18"/>
              </w:rPr>
            </w:pPr>
            <w:r>
              <w:rPr>
                <w:sz w:val="18"/>
              </w:rPr>
              <w:t>Ariel Lopez Estrada</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7" w:right="131"/>
              <w:rPr>
                <w:sz w:val="18"/>
              </w:rPr>
            </w:pPr>
            <w:r>
              <w:rPr>
                <w:sz w:val="18"/>
              </w:rPr>
              <w:t>NO</w:t>
            </w:r>
          </w:p>
        </w:tc>
        <w:tc>
          <w:tcPr>
            <w:tcW w:w="559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80" w:right="82"/>
              <w:rPr>
                <w:sz w:val="18"/>
              </w:rPr>
            </w:pPr>
            <w:r>
              <w:rPr>
                <w:sz w:val="18"/>
              </w:rPr>
              <w:t>Titular De La Unidad de Información</w:t>
            </w:r>
          </w:p>
        </w:tc>
      </w:tr>
      <w:tr>
        <w:trPr>
          <w:trHeight w:val="631" w:hRule="exact"/>
        </w:trPr>
        <w:tc>
          <w:tcPr>
            <w:tcW w:w="3780" w:type="dxa"/>
            <w:tcBorders>
              <w:top w:val="single" w:sz="4" w:space="0" w:color="000000"/>
              <w:left w:val="single" w:sz="4" w:space="0" w:color="000000"/>
              <w:bottom w:val="single" w:sz="4" w:space="0" w:color="000000"/>
              <w:right w:val="single" w:sz="4" w:space="0" w:color="000000"/>
            </w:tcBorders>
          </w:tcPr>
          <w:p>
            <w:pPr>
              <w:pStyle w:val="TableParagraph"/>
              <w:spacing w:before="150"/>
              <w:ind w:left="64"/>
              <w:jc w:val="left"/>
              <w:rPr>
                <w:b/>
                <w:sz w:val="18"/>
              </w:rPr>
            </w:pPr>
            <w:r>
              <w:rPr>
                <w:b/>
                <w:sz w:val="18"/>
              </w:rPr>
              <w:t>TOLUCA</w:t>
            </w:r>
          </w:p>
        </w:tc>
        <w:tc>
          <w:tcPr>
            <w:tcW w:w="4052" w:type="dxa"/>
            <w:tcBorders>
              <w:top w:val="single" w:sz="4" w:space="0" w:color="000000"/>
              <w:left w:val="single" w:sz="4" w:space="0" w:color="000000"/>
              <w:bottom w:val="single" w:sz="4" w:space="0" w:color="000000"/>
              <w:right w:val="single" w:sz="4" w:space="0" w:color="000000"/>
            </w:tcBorders>
          </w:tcPr>
          <w:p>
            <w:pPr>
              <w:pStyle w:val="TableParagraph"/>
              <w:spacing w:before="155"/>
              <w:ind w:left="569" w:right="569"/>
              <w:rPr>
                <w:sz w:val="18"/>
              </w:rPr>
            </w:pPr>
            <w:r>
              <w:rPr>
                <w:sz w:val="18"/>
              </w:rPr>
              <w:t>Lic. Martha Mejía Márquez</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before="155"/>
              <w:ind w:left="130" w:right="130"/>
              <w:rPr>
                <w:sz w:val="18"/>
              </w:rPr>
            </w:pPr>
            <w:r>
              <w:rPr>
                <w:sz w:val="18"/>
              </w:rPr>
              <w:t>Lic.</w:t>
            </w:r>
          </w:p>
        </w:tc>
        <w:tc>
          <w:tcPr>
            <w:tcW w:w="5597" w:type="dxa"/>
            <w:tcBorders>
              <w:top w:val="single" w:sz="4" w:space="0" w:color="000000"/>
              <w:left w:val="single" w:sz="4" w:space="0" w:color="000000"/>
              <w:bottom w:val="single" w:sz="4" w:space="0" w:color="000000"/>
              <w:right w:val="single" w:sz="4" w:space="0" w:color="000000"/>
            </w:tcBorders>
          </w:tcPr>
          <w:p>
            <w:pPr>
              <w:pStyle w:val="TableParagraph"/>
              <w:spacing w:line="360" w:lineRule="auto" w:before="1"/>
              <w:ind w:left="691" w:right="440" w:hanging="236"/>
              <w:jc w:val="left"/>
              <w:rPr>
                <w:sz w:val="18"/>
              </w:rPr>
            </w:pPr>
            <w:r>
              <w:rPr>
                <w:sz w:val="18"/>
              </w:rPr>
              <w:t>Titular De La Unidad de Información. Jefe de la Unidad De Información Planeación, Programación Y Evaluación</w:t>
            </w:r>
          </w:p>
        </w:tc>
      </w:tr>
    </w:tbl>
    <w:p>
      <w:pPr>
        <w:spacing w:after="0" w:line="360" w:lineRule="auto"/>
        <w:jc w:val="left"/>
        <w:rPr>
          <w:sz w:val="18"/>
        </w:rPr>
        <w:sectPr>
          <w:pgSz w:w="15840" w:h="12240" w:orient="landscape"/>
          <w:pgMar w:header="0" w:footer="975" w:top="1140" w:bottom="1160" w:left="600" w:right="580"/>
        </w:sectPr>
      </w:pPr>
    </w:p>
    <w:p>
      <w:pPr>
        <w:pStyle w:val="BodyText"/>
        <w:rPr>
          <w:rFonts w:ascii="Times New Roman"/>
          <w:sz w:val="20"/>
        </w:rPr>
      </w:pPr>
    </w:p>
    <w:p>
      <w:pPr>
        <w:pStyle w:val="BodyText"/>
        <w:spacing w:before="10"/>
        <w:rPr>
          <w:rFonts w:ascii="Times New Roman"/>
          <w:sz w:val="28"/>
        </w:rPr>
      </w:pPr>
    </w:p>
    <w:tbl>
      <w:tblPr>
        <w:tblW w:w="0" w:type="auto"/>
        <w:jc w:val="left"/>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780"/>
        <w:gridCol w:w="4052"/>
        <w:gridCol w:w="972"/>
        <w:gridCol w:w="5597"/>
      </w:tblGrid>
      <w:tr>
        <w:trPr>
          <w:trHeight w:val="430" w:hRule="exact"/>
        </w:trPr>
        <w:tc>
          <w:tcPr>
            <w:tcW w:w="14402" w:type="dxa"/>
            <w:gridSpan w:val="4"/>
            <w:shd w:val="clear" w:color="auto" w:fill="92D050"/>
          </w:tcPr>
          <w:p>
            <w:pPr>
              <w:pStyle w:val="TableParagraph"/>
              <w:spacing w:before="44"/>
              <w:ind w:left="2729"/>
              <w:jc w:val="left"/>
              <w:rPr>
                <w:b/>
                <w:sz w:val="18"/>
              </w:rPr>
            </w:pPr>
            <w:r>
              <w:rPr>
                <w:b/>
                <w:sz w:val="18"/>
              </w:rPr>
              <w:t>Anexo 22. Municipios que publican apartado de responsable de la unidad de información (Finaliza tabla)</w:t>
            </w:r>
          </w:p>
        </w:tc>
      </w:tr>
      <w:tr>
        <w:trPr>
          <w:trHeight w:val="434" w:hRule="exact"/>
        </w:trPr>
        <w:tc>
          <w:tcPr>
            <w:tcW w:w="3780" w:type="dxa"/>
            <w:tcBorders>
              <w:right w:val="single" w:sz="4" w:space="0" w:color="000000"/>
            </w:tcBorders>
            <w:shd w:val="clear" w:color="auto" w:fill="C5DFB3"/>
          </w:tcPr>
          <w:p>
            <w:pPr>
              <w:pStyle w:val="TableParagraph"/>
              <w:spacing w:before="97"/>
              <w:ind w:left="1441" w:right="1444"/>
              <w:rPr>
                <w:b/>
                <w:sz w:val="18"/>
              </w:rPr>
            </w:pPr>
            <w:r>
              <w:rPr>
                <w:b/>
                <w:sz w:val="18"/>
              </w:rPr>
              <w:t>Municipio</w:t>
            </w:r>
          </w:p>
        </w:tc>
        <w:tc>
          <w:tcPr>
            <w:tcW w:w="4052" w:type="dxa"/>
            <w:tcBorders>
              <w:left w:val="single" w:sz="4" w:space="0" w:color="000000"/>
              <w:right w:val="single" w:sz="4" w:space="0" w:color="000000"/>
            </w:tcBorders>
            <w:shd w:val="clear" w:color="auto" w:fill="C5DFB3"/>
          </w:tcPr>
          <w:p>
            <w:pPr>
              <w:pStyle w:val="TableParagraph"/>
              <w:spacing w:before="97"/>
              <w:ind w:left="569" w:right="569"/>
              <w:rPr>
                <w:b/>
                <w:sz w:val="18"/>
              </w:rPr>
            </w:pPr>
            <w:r>
              <w:rPr>
                <w:b/>
                <w:sz w:val="18"/>
              </w:rPr>
              <w:t>Responsable</w:t>
            </w:r>
          </w:p>
        </w:tc>
        <w:tc>
          <w:tcPr>
            <w:tcW w:w="972" w:type="dxa"/>
            <w:tcBorders>
              <w:left w:val="single" w:sz="4" w:space="0" w:color="000000"/>
              <w:right w:val="single" w:sz="4" w:space="0" w:color="000000"/>
            </w:tcBorders>
            <w:shd w:val="clear" w:color="auto" w:fill="C5DFB3"/>
          </w:tcPr>
          <w:p>
            <w:pPr>
              <w:pStyle w:val="TableParagraph"/>
              <w:spacing w:line="201" w:lineRule="exact"/>
              <w:ind w:left="64"/>
              <w:jc w:val="left"/>
              <w:rPr>
                <w:b/>
                <w:sz w:val="18"/>
              </w:rPr>
            </w:pPr>
            <w:r>
              <w:rPr>
                <w:b/>
                <w:sz w:val="18"/>
              </w:rPr>
              <w:t>Profesión</w:t>
            </w:r>
          </w:p>
          <w:p>
            <w:pPr>
              <w:pStyle w:val="TableParagraph"/>
              <w:spacing w:line="207" w:lineRule="exact"/>
              <w:ind w:left="163"/>
              <w:jc w:val="left"/>
              <w:rPr>
                <w:b/>
                <w:sz w:val="18"/>
              </w:rPr>
            </w:pPr>
            <w:r>
              <w:rPr>
                <w:b/>
                <w:sz w:val="18"/>
              </w:rPr>
              <w:t>/ Grado</w:t>
            </w:r>
          </w:p>
        </w:tc>
        <w:tc>
          <w:tcPr>
            <w:tcW w:w="5597" w:type="dxa"/>
            <w:tcBorders>
              <w:left w:val="single" w:sz="4" w:space="0" w:color="000000"/>
            </w:tcBorders>
            <w:shd w:val="clear" w:color="auto" w:fill="C5DFB3"/>
          </w:tcPr>
          <w:p>
            <w:pPr>
              <w:pStyle w:val="TableParagraph"/>
              <w:spacing w:before="97"/>
              <w:ind w:left="2378" w:right="2373"/>
              <w:rPr>
                <w:b/>
                <w:sz w:val="18"/>
              </w:rPr>
            </w:pPr>
            <w:r>
              <w:rPr>
                <w:b/>
                <w:sz w:val="18"/>
              </w:rPr>
              <w:t>Cargo (s)</w:t>
            </w:r>
          </w:p>
        </w:tc>
      </w:tr>
      <w:tr>
        <w:trPr>
          <w:trHeight w:val="614" w:hRule="exact"/>
        </w:trPr>
        <w:tc>
          <w:tcPr>
            <w:tcW w:w="3780" w:type="dxa"/>
            <w:tcBorders>
              <w:bottom w:val="single" w:sz="4" w:space="0" w:color="000000"/>
            </w:tcBorders>
          </w:tcPr>
          <w:p>
            <w:pPr>
              <w:pStyle w:val="TableParagraph"/>
              <w:spacing w:before="7"/>
              <w:jc w:val="left"/>
              <w:rPr>
                <w:rFonts w:ascii="Times New Roman"/>
                <w:sz w:val="16"/>
              </w:rPr>
            </w:pPr>
          </w:p>
          <w:p>
            <w:pPr>
              <w:pStyle w:val="TableParagraph"/>
              <w:ind w:left="59"/>
              <w:jc w:val="left"/>
              <w:rPr>
                <w:b/>
                <w:sz w:val="18"/>
              </w:rPr>
            </w:pPr>
            <w:r>
              <w:rPr>
                <w:b/>
                <w:sz w:val="18"/>
              </w:rPr>
              <w:t>TONANITLA</w:t>
            </w:r>
          </w:p>
        </w:tc>
        <w:tc>
          <w:tcPr>
            <w:tcW w:w="4052" w:type="dxa"/>
            <w:tcBorders>
              <w:bottom w:val="single" w:sz="4" w:space="0" w:color="000000"/>
              <w:right w:val="single" w:sz="4" w:space="0" w:color="000000"/>
            </w:tcBorders>
          </w:tcPr>
          <w:p>
            <w:pPr>
              <w:pStyle w:val="TableParagraph"/>
              <w:jc w:val="left"/>
              <w:rPr>
                <w:rFonts w:ascii="Times New Roman"/>
                <w:sz w:val="17"/>
              </w:rPr>
            </w:pPr>
          </w:p>
          <w:p>
            <w:pPr>
              <w:pStyle w:val="TableParagraph"/>
              <w:ind w:left="619"/>
              <w:jc w:val="left"/>
              <w:rPr>
                <w:sz w:val="18"/>
              </w:rPr>
            </w:pPr>
            <w:r>
              <w:rPr>
                <w:sz w:val="18"/>
              </w:rPr>
              <w:t>C. José Felipe Martínez Velázquez</w:t>
            </w:r>
          </w:p>
        </w:tc>
        <w:tc>
          <w:tcPr>
            <w:tcW w:w="972" w:type="dxa"/>
            <w:tcBorders>
              <w:left w:val="single" w:sz="4" w:space="0" w:color="000000"/>
              <w:bottom w:val="single" w:sz="4" w:space="0" w:color="000000"/>
              <w:right w:val="single" w:sz="4" w:space="0" w:color="000000"/>
            </w:tcBorders>
          </w:tcPr>
          <w:p>
            <w:pPr>
              <w:pStyle w:val="TableParagraph"/>
              <w:jc w:val="left"/>
              <w:rPr>
                <w:rFonts w:ascii="Times New Roman"/>
                <w:sz w:val="17"/>
              </w:rPr>
            </w:pPr>
          </w:p>
          <w:p>
            <w:pPr>
              <w:pStyle w:val="TableParagraph"/>
              <w:ind w:left="127" w:right="131"/>
              <w:rPr>
                <w:sz w:val="18"/>
              </w:rPr>
            </w:pPr>
            <w:r>
              <w:rPr>
                <w:sz w:val="18"/>
              </w:rPr>
              <w:t>NO</w:t>
            </w:r>
          </w:p>
        </w:tc>
        <w:tc>
          <w:tcPr>
            <w:tcW w:w="5597" w:type="dxa"/>
            <w:tcBorders>
              <w:left w:val="single" w:sz="4" w:space="0" w:color="000000"/>
              <w:bottom w:val="single" w:sz="4" w:space="0" w:color="000000"/>
              <w:right w:val="single" w:sz="4" w:space="0" w:color="000000"/>
            </w:tcBorders>
          </w:tcPr>
          <w:p>
            <w:pPr>
              <w:pStyle w:val="TableParagraph"/>
              <w:jc w:val="left"/>
              <w:rPr>
                <w:rFonts w:ascii="Times New Roman"/>
                <w:sz w:val="17"/>
              </w:rPr>
            </w:pPr>
          </w:p>
          <w:p>
            <w:pPr>
              <w:pStyle w:val="TableParagraph"/>
              <w:ind w:left="80" w:right="82"/>
              <w:rPr>
                <w:sz w:val="18"/>
              </w:rPr>
            </w:pPr>
            <w:r>
              <w:rPr>
                <w:sz w:val="18"/>
              </w:rPr>
              <w:t>Titular De La Unidad de Información</w:t>
            </w:r>
          </w:p>
        </w:tc>
      </w:tr>
      <w:tr>
        <w:trPr>
          <w:trHeight w:val="425" w:hRule="exact"/>
        </w:trPr>
        <w:tc>
          <w:tcPr>
            <w:tcW w:w="3780" w:type="dxa"/>
            <w:tcBorders>
              <w:top w:val="single" w:sz="4" w:space="0" w:color="000000"/>
              <w:bottom w:val="single" w:sz="4" w:space="0" w:color="000000"/>
            </w:tcBorders>
          </w:tcPr>
          <w:p>
            <w:pPr>
              <w:pStyle w:val="TableParagraph"/>
              <w:spacing w:before="97"/>
              <w:ind w:left="59"/>
              <w:jc w:val="left"/>
              <w:rPr>
                <w:b/>
                <w:sz w:val="18"/>
              </w:rPr>
            </w:pPr>
            <w:r>
              <w:rPr>
                <w:b/>
                <w:sz w:val="18"/>
              </w:rPr>
              <w:t>TONATICO</w:t>
            </w:r>
          </w:p>
        </w:tc>
        <w:tc>
          <w:tcPr>
            <w:tcW w:w="4052" w:type="dxa"/>
            <w:tcBorders>
              <w:top w:val="single" w:sz="4" w:space="0" w:color="000000"/>
              <w:bottom w:val="single" w:sz="4" w:space="0" w:color="000000"/>
              <w:right w:val="single" w:sz="4" w:space="0" w:color="000000"/>
            </w:tcBorders>
          </w:tcPr>
          <w:p>
            <w:pPr>
              <w:pStyle w:val="TableParagraph"/>
              <w:spacing w:before="102"/>
              <w:ind w:left="134" w:right="137"/>
              <w:rPr>
                <w:sz w:val="18"/>
              </w:rPr>
            </w:pPr>
            <w:r>
              <w:rPr>
                <w:sz w:val="18"/>
              </w:rPr>
              <w:t>Maria Del Socorro Acosta Guadarrama</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before="102"/>
              <w:ind w:left="127" w:right="131"/>
              <w:rPr>
                <w:sz w:val="18"/>
              </w:rPr>
            </w:pPr>
            <w:r>
              <w:rPr>
                <w:sz w:val="18"/>
              </w:rPr>
              <w:t>NO</w:t>
            </w:r>
          </w:p>
        </w:tc>
        <w:tc>
          <w:tcPr>
            <w:tcW w:w="5597" w:type="dxa"/>
            <w:tcBorders>
              <w:top w:val="single" w:sz="4" w:space="0" w:color="000000"/>
              <w:left w:val="single" w:sz="4" w:space="0" w:color="000000"/>
              <w:bottom w:val="single" w:sz="4" w:space="0" w:color="000000"/>
              <w:right w:val="single" w:sz="4" w:space="0" w:color="000000"/>
            </w:tcBorders>
          </w:tcPr>
          <w:p>
            <w:pPr>
              <w:pStyle w:val="TableParagraph"/>
              <w:ind w:left="2361" w:right="138" w:hanging="2040"/>
              <w:jc w:val="left"/>
              <w:rPr>
                <w:sz w:val="18"/>
              </w:rPr>
            </w:pPr>
            <w:r>
              <w:rPr>
                <w:sz w:val="18"/>
              </w:rPr>
              <w:t>Titular De La Unidad de Información. Secretaria Particular Del Presidente</w:t>
            </w:r>
          </w:p>
        </w:tc>
      </w:tr>
      <w:tr>
        <w:trPr>
          <w:trHeight w:val="610" w:hRule="exact"/>
        </w:trPr>
        <w:tc>
          <w:tcPr>
            <w:tcW w:w="3780" w:type="dxa"/>
            <w:tcBorders>
              <w:top w:val="single" w:sz="4" w:space="0" w:color="000000"/>
              <w:bottom w:val="single" w:sz="4" w:space="0" w:color="000000"/>
            </w:tcBorders>
          </w:tcPr>
          <w:p>
            <w:pPr>
              <w:pStyle w:val="TableParagraph"/>
              <w:spacing w:before="7"/>
              <w:jc w:val="left"/>
              <w:rPr>
                <w:rFonts w:ascii="Times New Roman"/>
                <w:sz w:val="16"/>
              </w:rPr>
            </w:pPr>
          </w:p>
          <w:p>
            <w:pPr>
              <w:pStyle w:val="TableParagraph"/>
              <w:ind w:left="59"/>
              <w:jc w:val="left"/>
              <w:rPr>
                <w:b/>
                <w:sz w:val="18"/>
              </w:rPr>
            </w:pPr>
            <w:r>
              <w:rPr>
                <w:b/>
                <w:sz w:val="18"/>
              </w:rPr>
              <w:t>TULTEPEC</w:t>
            </w:r>
          </w:p>
        </w:tc>
        <w:tc>
          <w:tcPr>
            <w:tcW w:w="4052" w:type="dxa"/>
            <w:tcBorders>
              <w:top w:val="single" w:sz="4" w:space="0" w:color="000000"/>
              <w:bottom w:val="single" w:sz="4" w:space="0" w:color="000000"/>
              <w:right w:val="single" w:sz="4" w:space="0" w:color="000000"/>
            </w:tcBorders>
          </w:tcPr>
          <w:p>
            <w:pPr>
              <w:pStyle w:val="TableParagraph"/>
              <w:spacing w:before="1"/>
              <w:jc w:val="left"/>
              <w:rPr>
                <w:rFonts w:ascii="Times New Roman"/>
                <w:sz w:val="17"/>
              </w:rPr>
            </w:pPr>
          </w:p>
          <w:p>
            <w:pPr>
              <w:pStyle w:val="TableParagraph"/>
              <w:ind w:left="134" w:right="138"/>
              <w:rPr>
                <w:sz w:val="18"/>
              </w:rPr>
            </w:pPr>
            <w:r>
              <w:rPr>
                <w:sz w:val="18"/>
              </w:rPr>
              <w:t>Lic. Armando Cervantes Punzo</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before="1"/>
              <w:jc w:val="left"/>
              <w:rPr>
                <w:rFonts w:ascii="Times New Roman"/>
                <w:sz w:val="17"/>
              </w:rPr>
            </w:pPr>
          </w:p>
          <w:p>
            <w:pPr>
              <w:pStyle w:val="TableParagraph"/>
              <w:ind w:left="130" w:right="130"/>
              <w:rPr>
                <w:sz w:val="18"/>
              </w:rPr>
            </w:pPr>
            <w:r>
              <w:rPr>
                <w:sz w:val="18"/>
              </w:rPr>
              <w:t>Lic.</w:t>
            </w:r>
          </w:p>
        </w:tc>
        <w:tc>
          <w:tcPr>
            <w:tcW w:w="5597" w:type="dxa"/>
            <w:tcBorders>
              <w:top w:val="single" w:sz="4" w:space="0" w:color="000000"/>
              <w:left w:val="single" w:sz="4" w:space="0" w:color="000000"/>
              <w:bottom w:val="single" w:sz="4" w:space="0" w:color="000000"/>
              <w:right w:val="single" w:sz="4" w:space="0" w:color="000000"/>
            </w:tcBorders>
          </w:tcPr>
          <w:p>
            <w:pPr>
              <w:pStyle w:val="TableParagraph"/>
              <w:spacing w:before="92"/>
              <w:ind w:left="1797" w:hanging="1656"/>
              <w:jc w:val="left"/>
              <w:rPr>
                <w:sz w:val="18"/>
              </w:rPr>
            </w:pPr>
            <w:r>
              <w:rPr>
                <w:sz w:val="18"/>
              </w:rPr>
              <w:t>Titular De La Unidad de Información. Dirección De Administración, Planeación Y Evaluación</w:t>
            </w:r>
          </w:p>
        </w:tc>
      </w:tr>
      <w:tr>
        <w:trPr>
          <w:trHeight w:val="310" w:hRule="exact"/>
        </w:trPr>
        <w:tc>
          <w:tcPr>
            <w:tcW w:w="3780" w:type="dxa"/>
            <w:tcBorders>
              <w:top w:val="single" w:sz="4" w:space="0" w:color="000000"/>
              <w:bottom w:val="single" w:sz="4" w:space="0" w:color="000000"/>
            </w:tcBorders>
          </w:tcPr>
          <w:p>
            <w:pPr>
              <w:pStyle w:val="TableParagraph"/>
              <w:spacing w:before="40"/>
              <w:ind w:left="59"/>
              <w:jc w:val="left"/>
              <w:rPr>
                <w:b/>
                <w:sz w:val="18"/>
              </w:rPr>
            </w:pPr>
            <w:r>
              <w:rPr>
                <w:b/>
                <w:sz w:val="18"/>
              </w:rPr>
              <w:t>TULTITLAN</w:t>
            </w:r>
          </w:p>
        </w:tc>
        <w:tc>
          <w:tcPr>
            <w:tcW w:w="4052" w:type="dxa"/>
            <w:tcBorders>
              <w:top w:val="single" w:sz="4" w:space="0" w:color="000000"/>
              <w:bottom w:val="single" w:sz="4" w:space="0" w:color="000000"/>
              <w:right w:val="single" w:sz="4" w:space="0" w:color="000000"/>
            </w:tcBorders>
          </w:tcPr>
          <w:p>
            <w:pPr>
              <w:pStyle w:val="TableParagraph"/>
              <w:spacing w:before="44"/>
              <w:ind w:left="134" w:right="139"/>
              <w:rPr>
                <w:sz w:val="18"/>
              </w:rPr>
            </w:pPr>
            <w:r>
              <w:rPr>
                <w:sz w:val="18"/>
              </w:rPr>
              <w:t>Lic. Jorge Ulises Villegas Hidalgo</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before="44"/>
              <w:ind w:left="130" w:right="130"/>
              <w:rPr>
                <w:sz w:val="18"/>
              </w:rPr>
            </w:pPr>
            <w:r>
              <w:rPr>
                <w:sz w:val="18"/>
              </w:rPr>
              <w:t>Lic.</w:t>
            </w:r>
          </w:p>
        </w:tc>
        <w:tc>
          <w:tcPr>
            <w:tcW w:w="5597" w:type="dxa"/>
            <w:tcBorders>
              <w:top w:val="single" w:sz="4" w:space="0" w:color="000000"/>
              <w:left w:val="single" w:sz="4" w:space="0" w:color="000000"/>
              <w:bottom w:val="single" w:sz="4" w:space="0" w:color="000000"/>
              <w:right w:val="single" w:sz="4" w:space="0" w:color="000000"/>
            </w:tcBorders>
          </w:tcPr>
          <w:p>
            <w:pPr>
              <w:pStyle w:val="TableParagraph"/>
              <w:spacing w:before="44"/>
              <w:ind w:left="80" w:right="82"/>
              <w:rPr>
                <w:sz w:val="18"/>
              </w:rPr>
            </w:pPr>
            <w:r>
              <w:rPr>
                <w:sz w:val="18"/>
              </w:rPr>
              <w:t>Titular De La Unidad de Información</w:t>
            </w:r>
          </w:p>
        </w:tc>
      </w:tr>
      <w:tr>
        <w:trPr>
          <w:trHeight w:val="425" w:hRule="exact"/>
        </w:trPr>
        <w:tc>
          <w:tcPr>
            <w:tcW w:w="3780" w:type="dxa"/>
            <w:tcBorders>
              <w:top w:val="single" w:sz="4" w:space="0" w:color="000000"/>
              <w:bottom w:val="single" w:sz="4" w:space="0" w:color="000000"/>
            </w:tcBorders>
          </w:tcPr>
          <w:p>
            <w:pPr>
              <w:pStyle w:val="TableParagraph"/>
              <w:spacing w:before="97"/>
              <w:ind w:left="59"/>
              <w:jc w:val="left"/>
              <w:rPr>
                <w:b/>
                <w:sz w:val="18"/>
              </w:rPr>
            </w:pPr>
            <w:r>
              <w:rPr>
                <w:b/>
                <w:sz w:val="18"/>
              </w:rPr>
              <w:t>VALLE DE BRAVO</w:t>
            </w:r>
          </w:p>
        </w:tc>
        <w:tc>
          <w:tcPr>
            <w:tcW w:w="4052" w:type="dxa"/>
            <w:tcBorders>
              <w:top w:val="single" w:sz="4" w:space="0" w:color="000000"/>
              <w:bottom w:val="single" w:sz="4" w:space="0" w:color="000000"/>
              <w:right w:val="single" w:sz="4" w:space="0" w:color="000000"/>
            </w:tcBorders>
          </w:tcPr>
          <w:p>
            <w:pPr>
              <w:pStyle w:val="TableParagraph"/>
              <w:spacing w:before="102"/>
              <w:ind w:left="283"/>
              <w:jc w:val="left"/>
              <w:rPr>
                <w:sz w:val="18"/>
              </w:rPr>
            </w:pPr>
            <w:r>
              <w:rPr>
                <w:sz w:val="18"/>
              </w:rPr>
              <w:t>L.S De C.A. Francisco Miguel Álvarez Lona</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before="102"/>
              <w:ind w:left="130" w:right="130"/>
              <w:rPr>
                <w:sz w:val="18"/>
              </w:rPr>
            </w:pPr>
            <w:r>
              <w:rPr>
                <w:sz w:val="18"/>
              </w:rPr>
              <w:t>Lic.</w:t>
            </w:r>
          </w:p>
        </w:tc>
        <w:tc>
          <w:tcPr>
            <w:tcW w:w="5597" w:type="dxa"/>
            <w:tcBorders>
              <w:top w:val="single" w:sz="4" w:space="0" w:color="000000"/>
              <w:left w:val="single" w:sz="4" w:space="0" w:color="000000"/>
              <w:bottom w:val="single" w:sz="4" w:space="0" w:color="000000"/>
              <w:right w:val="single" w:sz="4" w:space="0" w:color="000000"/>
            </w:tcBorders>
          </w:tcPr>
          <w:p>
            <w:pPr>
              <w:pStyle w:val="TableParagraph"/>
              <w:ind w:left="787" w:right="131" w:hanging="644"/>
              <w:jc w:val="left"/>
              <w:rPr>
                <w:sz w:val="18"/>
              </w:rPr>
            </w:pPr>
            <w:r>
              <w:rPr>
                <w:sz w:val="18"/>
              </w:rPr>
              <w:t>Titular De La Unidad de Información. Encargado De La Unidad De Transparencia Y Acceso A La Información Pública</w:t>
            </w:r>
          </w:p>
        </w:tc>
      </w:tr>
      <w:tr>
        <w:trPr>
          <w:trHeight w:val="266" w:hRule="exact"/>
        </w:trPr>
        <w:tc>
          <w:tcPr>
            <w:tcW w:w="3780" w:type="dxa"/>
            <w:tcBorders>
              <w:top w:val="single" w:sz="4" w:space="0" w:color="000000"/>
              <w:bottom w:val="single" w:sz="4" w:space="0" w:color="000000"/>
            </w:tcBorders>
          </w:tcPr>
          <w:p>
            <w:pPr>
              <w:pStyle w:val="TableParagraph"/>
              <w:spacing w:before="20"/>
              <w:ind w:left="59"/>
              <w:jc w:val="left"/>
              <w:rPr>
                <w:b/>
                <w:sz w:val="18"/>
              </w:rPr>
            </w:pPr>
            <w:r>
              <w:rPr>
                <w:b/>
                <w:sz w:val="18"/>
              </w:rPr>
              <w:t>VALLE DE CHALCO SOLIDARIDAD</w:t>
            </w:r>
          </w:p>
        </w:tc>
        <w:tc>
          <w:tcPr>
            <w:tcW w:w="4052" w:type="dxa"/>
            <w:tcBorders>
              <w:top w:val="single" w:sz="4" w:space="0" w:color="000000"/>
              <w:bottom w:val="single" w:sz="4" w:space="0" w:color="000000"/>
              <w:right w:val="single" w:sz="4" w:space="0" w:color="000000"/>
            </w:tcBorders>
          </w:tcPr>
          <w:p>
            <w:pPr>
              <w:pStyle w:val="TableParagraph"/>
              <w:spacing w:before="25"/>
              <w:ind w:left="799"/>
              <w:jc w:val="left"/>
              <w:rPr>
                <w:sz w:val="18"/>
              </w:rPr>
            </w:pPr>
            <w:r>
              <w:rPr>
                <w:sz w:val="18"/>
              </w:rPr>
              <w:t>P.D. Rosa Elena Cuevas Tello</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before="25"/>
              <w:ind w:left="130" w:right="131"/>
              <w:rPr>
                <w:sz w:val="18"/>
              </w:rPr>
            </w:pPr>
            <w:r>
              <w:rPr>
                <w:sz w:val="18"/>
              </w:rPr>
              <w:t>Pasante</w:t>
            </w:r>
          </w:p>
        </w:tc>
        <w:tc>
          <w:tcPr>
            <w:tcW w:w="5597" w:type="dxa"/>
            <w:tcBorders>
              <w:top w:val="single" w:sz="4" w:space="0" w:color="000000"/>
              <w:left w:val="single" w:sz="4" w:space="0" w:color="000000"/>
              <w:bottom w:val="single" w:sz="4" w:space="0" w:color="000000"/>
              <w:right w:val="single" w:sz="4" w:space="0" w:color="000000"/>
            </w:tcBorders>
          </w:tcPr>
          <w:p>
            <w:pPr>
              <w:pStyle w:val="TableParagraph"/>
              <w:spacing w:before="25"/>
              <w:ind w:left="80" w:right="82"/>
              <w:rPr>
                <w:sz w:val="18"/>
              </w:rPr>
            </w:pPr>
            <w:r>
              <w:rPr>
                <w:sz w:val="18"/>
              </w:rPr>
              <w:t>Titular De La Unidad de Información</w:t>
            </w:r>
          </w:p>
        </w:tc>
      </w:tr>
      <w:tr>
        <w:trPr>
          <w:trHeight w:val="425" w:hRule="exact"/>
        </w:trPr>
        <w:tc>
          <w:tcPr>
            <w:tcW w:w="3780" w:type="dxa"/>
            <w:tcBorders>
              <w:top w:val="single" w:sz="4" w:space="0" w:color="000000"/>
              <w:bottom w:val="single" w:sz="4" w:space="0" w:color="000000"/>
            </w:tcBorders>
          </w:tcPr>
          <w:p>
            <w:pPr>
              <w:pStyle w:val="TableParagraph"/>
              <w:spacing w:before="100"/>
              <w:ind w:left="59"/>
              <w:jc w:val="left"/>
              <w:rPr>
                <w:b/>
                <w:sz w:val="18"/>
              </w:rPr>
            </w:pPr>
            <w:r>
              <w:rPr>
                <w:b/>
                <w:sz w:val="18"/>
              </w:rPr>
              <w:t>VILLA DE ALLENDE</w:t>
            </w:r>
          </w:p>
        </w:tc>
        <w:tc>
          <w:tcPr>
            <w:tcW w:w="4052" w:type="dxa"/>
            <w:tcBorders>
              <w:top w:val="single" w:sz="4" w:space="0" w:color="000000"/>
              <w:bottom w:val="single" w:sz="4" w:space="0" w:color="000000"/>
              <w:right w:val="single" w:sz="4" w:space="0" w:color="000000"/>
            </w:tcBorders>
          </w:tcPr>
          <w:p>
            <w:pPr>
              <w:pStyle w:val="TableParagraph"/>
              <w:spacing w:before="1"/>
              <w:ind w:left="1680" w:right="388" w:hanging="1283"/>
              <w:jc w:val="left"/>
              <w:rPr>
                <w:sz w:val="18"/>
              </w:rPr>
            </w:pPr>
            <w:r>
              <w:rPr>
                <w:sz w:val="18"/>
              </w:rPr>
              <w:t>Lic. En Educ. Cinthia Marlen Mondragón Jiménez</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before="104"/>
              <w:ind w:left="130" w:right="130"/>
              <w:rPr>
                <w:sz w:val="18"/>
              </w:rPr>
            </w:pPr>
            <w:r>
              <w:rPr>
                <w:sz w:val="18"/>
              </w:rPr>
              <w:t>Lic.</w:t>
            </w:r>
          </w:p>
        </w:tc>
        <w:tc>
          <w:tcPr>
            <w:tcW w:w="5597" w:type="dxa"/>
            <w:tcBorders>
              <w:top w:val="single" w:sz="4" w:space="0" w:color="000000"/>
              <w:left w:val="single" w:sz="4" w:space="0" w:color="000000"/>
              <w:bottom w:val="single" w:sz="4" w:space="0" w:color="000000"/>
              <w:right w:val="single" w:sz="4" w:space="0" w:color="000000"/>
            </w:tcBorders>
          </w:tcPr>
          <w:p>
            <w:pPr>
              <w:pStyle w:val="TableParagraph"/>
              <w:spacing w:before="1"/>
              <w:ind w:left="1521" w:right="200" w:hanging="1306"/>
              <w:jc w:val="left"/>
              <w:rPr>
                <w:sz w:val="18"/>
              </w:rPr>
            </w:pPr>
            <w:r>
              <w:rPr>
                <w:sz w:val="18"/>
              </w:rPr>
              <w:t>Titular De La Unidad de Información. Directora De La Unidad De Información De Villa De Allende</w:t>
            </w:r>
          </w:p>
        </w:tc>
      </w:tr>
      <w:tr>
        <w:trPr>
          <w:trHeight w:val="367" w:hRule="exact"/>
        </w:trPr>
        <w:tc>
          <w:tcPr>
            <w:tcW w:w="3780" w:type="dxa"/>
            <w:tcBorders>
              <w:top w:val="single" w:sz="4" w:space="0" w:color="000000"/>
              <w:bottom w:val="single" w:sz="4" w:space="0" w:color="000000"/>
            </w:tcBorders>
          </w:tcPr>
          <w:p>
            <w:pPr>
              <w:pStyle w:val="TableParagraph"/>
              <w:spacing w:before="71"/>
              <w:ind w:left="59"/>
              <w:jc w:val="left"/>
              <w:rPr>
                <w:b/>
                <w:sz w:val="18"/>
              </w:rPr>
            </w:pPr>
            <w:r>
              <w:rPr>
                <w:b/>
                <w:sz w:val="18"/>
              </w:rPr>
              <w:t>VILLA DEL CARBON</w:t>
            </w:r>
          </w:p>
        </w:tc>
        <w:tc>
          <w:tcPr>
            <w:tcW w:w="4052" w:type="dxa"/>
            <w:tcBorders>
              <w:top w:val="single" w:sz="4" w:space="0" w:color="000000"/>
              <w:bottom w:val="single" w:sz="4" w:space="0" w:color="000000"/>
              <w:right w:val="single" w:sz="4" w:space="0" w:color="000000"/>
            </w:tcBorders>
          </w:tcPr>
          <w:p>
            <w:pPr>
              <w:pStyle w:val="TableParagraph"/>
              <w:spacing w:before="76"/>
              <w:ind w:left="134" w:right="138"/>
              <w:rPr>
                <w:sz w:val="18"/>
              </w:rPr>
            </w:pPr>
            <w:r>
              <w:rPr>
                <w:sz w:val="18"/>
              </w:rPr>
              <w:t>Lic. Lorena Cruz Robledo</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before="76"/>
              <w:ind w:left="130" w:right="130"/>
              <w:rPr>
                <w:sz w:val="18"/>
              </w:rPr>
            </w:pPr>
            <w:r>
              <w:rPr>
                <w:sz w:val="18"/>
              </w:rPr>
              <w:t>Lic.</w:t>
            </w:r>
          </w:p>
        </w:tc>
        <w:tc>
          <w:tcPr>
            <w:tcW w:w="5597" w:type="dxa"/>
            <w:tcBorders>
              <w:top w:val="single" w:sz="4" w:space="0" w:color="000000"/>
              <w:left w:val="single" w:sz="4" w:space="0" w:color="000000"/>
              <w:bottom w:val="single" w:sz="4" w:space="0" w:color="000000"/>
              <w:right w:val="single" w:sz="4" w:space="0" w:color="000000"/>
            </w:tcBorders>
          </w:tcPr>
          <w:p>
            <w:pPr>
              <w:pStyle w:val="TableParagraph"/>
              <w:spacing w:before="76"/>
              <w:ind w:left="80" w:right="82"/>
              <w:rPr>
                <w:sz w:val="18"/>
              </w:rPr>
            </w:pPr>
            <w:r>
              <w:rPr>
                <w:sz w:val="18"/>
              </w:rPr>
              <w:t>Titular De La Unidad de Información</w:t>
            </w:r>
          </w:p>
        </w:tc>
      </w:tr>
      <w:tr>
        <w:trPr>
          <w:trHeight w:val="312" w:hRule="exact"/>
        </w:trPr>
        <w:tc>
          <w:tcPr>
            <w:tcW w:w="3780" w:type="dxa"/>
            <w:tcBorders>
              <w:top w:val="single" w:sz="4" w:space="0" w:color="000000"/>
              <w:bottom w:val="single" w:sz="4" w:space="0" w:color="000000"/>
            </w:tcBorders>
          </w:tcPr>
          <w:p>
            <w:pPr>
              <w:pStyle w:val="TableParagraph"/>
              <w:spacing w:before="42"/>
              <w:ind w:left="59"/>
              <w:jc w:val="left"/>
              <w:rPr>
                <w:b/>
                <w:sz w:val="18"/>
              </w:rPr>
            </w:pPr>
            <w:r>
              <w:rPr>
                <w:b/>
                <w:sz w:val="18"/>
              </w:rPr>
              <w:t>VILLA GUERRERO</w:t>
            </w:r>
          </w:p>
        </w:tc>
        <w:tc>
          <w:tcPr>
            <w:tcW w:w="4052" w:type="dxa"/>
            <w:tcBorders>
              <w:top w:val="single" w:sz="4" w:space="0" w:color="000000"/>
              <w:bottom w:val="single" w:sz="4" w:space="0" w:color="000000"/>
              <w:right w:val="single" w:sz="4" w:space="0" w:color="000000"/>
            </w:tcBorders>
          </w:tcPr>
          <w:p>
            <w:pPr>
              <w:pStyle w:val="TableParagraph"/>
              <w:spacing w:before="47"/>
              <w:ind w:left="134" w:right="138"/>
              <w:rPr>
                <w:sz w:val="18"/>
              </w:rPr>
            </w:pPr>
            <w:r>
              <w:rPr>
                <w:sz w:val="18"/>
              </w:rPr>
              <w:t>Ignacio Estrada Bernal</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before="47"/>
              <w:ind w:left="127" w:right="131"/>
              <w:rPr>
                <w:sz w:val="18"/>
              </w:rPr>
            </w:pPr>
            <w:r>
              <w:rPr>
                <w:sz w:val="18"/>
              </w:rPr>
              <w:t>NO</w:t>
            </w:r>
          </w:p>
        </w:tc>
        <w:tc>
          <w:tcPr>
            <w:tcW w:w="5597" w:type="dxa"/>
            <w:tcBorders>
              <w:top w:val="single" w:sz="4" w:space="0" w:color="000000"/>
              <w:left w:val="single" w:sz="4" w:space="0" w:color="000000"/>
              <w:bottom w:val="single" w:sz="4" w:space="0" w:color="000000"/>
              <w:right w:val="single" w:sz="4" w:space="0" w:color="000000"/>
            </w:tcBorders>
          </w:tcPr>
          <w:p>
            <w:pPr>
              <w:pStyle w:val="TableParagraph"/>
              <w:spacing w:before="47"/>
              <w:ind w:left="81" w:right="82"/>
              <w:rPr>
                <w:sz w:val="18"/>
              </w:rPr>
            </w:pPr>
            <w:r>
              <w:rPr>
                <w:sz w:val="18"/>
              </w:rPr>
              <w:t>Titular De La Unidad de Información</w:t>
            </w:r>
          </w:p>
        </w:tc>
      </w:tr>
      <w:tr>
        <w:trPr>
          <w:trHeight w:val="310" w:hRule="exact"/>
        </w:trPr>
        <w:tc>
          <w:tcPr>
            <w:tcW w:w="3780" w:type="dxa"/>
            <w:tcBorders>
              <w:top w:val="single" w:sz="4" w:space="0" w:color="000000"/>
              <w:bottom w:val="single" w:sz="4" w:space="0" w:color="000000"/>
            </w:tcBorders>
          </w:tcPr>
          <w:p>
            <w:pPr>
              <w:pStyle w:val="TableParagraph"/>
              <w:spacing w:before="40"/>
              <w:ind w:left="59"/>
              <w:jc w:val="left"/>
              <w:rPr>
                <w:b/>
                <w:sz w:val="18"/>
              </w:rPr>
            </w:pPr>
            <w:r>
              <w:rPr>
                <w:b/>
                <w:sz w:val="18"/>
              </w:rPr>
              <w:t>VILLA VICTORIA</w:t>
            </w:r>
          </w:p>
        </w:tc>
        <w:tc>
          <w:tcPr>
            <w:tcW w:w="4052" w:type="dxa"/>
            <w:tcBorders>
              <w:top w:val="single" w:sz="4" w:space="0" w:color="000000"/>
              <w:bottom w:val="single" w:sz="4" w:space="0" w:color="000000"/>
              <w:right w:val="single" w:sz="4" w:space="0" w:color="000000"/>
            </w:tcBorders>
          </w:tcPr>
          <w:p>
            <w:pPr>
              <w:pStyle w:val="TableParagraph"/>
              <w:spacing w:before="44"/>
              <w:ind w:left="785"/>
              <w:jc w:val="left"/>
              <w:rPr>
                <w:sz w:val="18"/>
              </w:rPr>
            </w:pPr>
            <w:r>
              <w:rPr>
                <w:sz w:val="18"/>
              </w:rPr>
              <w:t>P.D. Gabriela Ascencio Valdez</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before="44"/>
              <w:ind w:left="130" w:right="131"/>
              <w:rPr>
                <w:sz w:val="18"/>
              </w:rPr>
            </w:pPr>
            <w:r>
              <w:rPr>
                <w:sz w:val="18"/>
              </w:rPr>
              <w:t>Pasante</w:t>
            </w:r>
          </w:p>
        </w:tc>
        <w:tc>
          <w:tcPr>
            <w:tcW w:w="5597" w:type="dxa"/>
            <w:tcBorders>
              <w:top w:val="single" w:sz="4" w:space="0" w:color="000000"/>
              <w:left w:val="single" w:sz="4" w:space="0" w:color="000000"/>
              <w:bottom w:val="single" w:sz="4" w:space="0" w:color="000000"/>
              <w:right w:val="single" w:sz="4" w:space="0" w:color="000000"/>
            </w:tcBorders>
          </w:tcPr>
          <w:p>
            <w:pPr>
              <w:pStyle w:val="TableParagraph"/>
              <w:spacing w:before="44"/>
              <w:ind w:left="80" w:right="82"/>
              <w:rPr>
                <w:sz w:val="18"/>
              </w:rPr>
            </w:pPr>
            <w:r>
              <w:rPr>
                <w:sz w:val="18"/>
              </w:rPr>
              <w:t>Titular De La Unidad de Información</w:t>
            </w:r>
          </w:p>
        </w:tc>
      </w:tr>
      <w:tr>
        <w:trPr>
          <w:trHeight w:val="310" w:hRule="exact"/>
        </w:trPr>
        <w:tc>
          <w:tcPr>
            <w:tcW w:w="3780" w:type="dxa"/>
            <w:tcBorders>
              <w:top w:val="single" w:sz="4" w:space="0" w:color="000000"/>
              <w:bottom w:val="single" w:sz="4" w:space="0" w:color="000000"/>
            </w:tcBorders>
          </w:tcPr>
          <w:p>
            <w:pPr>
              <w:pStyle w:val="TableParagraph"/>
              <w:spacing w:before="40"/>
              <w:ind w:left="59"/>
              <w:jc w:val="left"/>
              <w:rPr>
                <w:b/>
                <w:sz w:val="18"/>
              </w:rPr>
            </w:pPr>
            <w:r>
              <w:rPr>
                <w:b/>
                <w:sz w:val="18"/>
              </w:rPr>
              <w:t>XALATLACO</w:t>
            </w:r>
          </w:p>
        </w:tc>
        <w:tc>
          <w:tcPr>
            <w:tcW w:w="4052" w:type="dxa"/>
            <w:tcBorders>
              <w:top w:val="single" w:sz="4" w:space="0" w:color="000000"/>
              <w:bottom w:val="single" w:sz="4" w:space="0" w:color="000000"/>
              <w:right w:val="single" w:sz="4" w:space="0" w:color="000000"/>
            </w:tcBorders>
          </w:tcPr>
          <w:p>
            <w:pPr>
              <w:pStyle w:val="TableParagraph"/>
              <w:spacing w:before="44"/>
              <w:ind w:left="638"/>
              <w:jc w:val="left"/>
              <w:rPr>
                <w:sz w:val="18"/>
              </w:rPr>
            </w:pPr>
            <w:r>
              <w:rPr>
                <w:sz w:val="18"/>
              </w:rPr>
              <w:t>L.I.A Carlos Antonio Avelino Rojas</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before="44"/>
              <w:ind w:left="130" w:right="130"/>
              <w:rPr>
                <w:sz w:val="18"/>
              </w:rPr>
            </w:pPr>
            <w:r>
              <w:rPr>
                <w:sz w:val="18"/>
              </w:rPr>
              <w:t>Lic.</w:t>
            </w:r>
          </w:p>
        </w:tc>
        <w:tc>
          <w:tcPr>
            <w:tcW w:w="5597" w:type="dxa"/>
            <w:tcBorders>
              <w:top w:val="single" w:sz="4" w:space="0" w:color="000000"/>
              <w:left w:val="single" w:sz="4" w:space="0" w:color="000000"/>
              <w:bottom w:val="single" w:sz="4" w:space="0" w:color="000000"/>
              <w:right w:val="single" w:sz="4" w:space="0" w:color="000000"/>
            </w:tcBorders>
          </w:tcPr>
          <w:p>
            <w:pPr>
              <w:pStyle w:val="TableParagraph"/>
              <w:spacing w:before="44"/>
              <w:ind w:left="80" w:right="82"/>
              <w:rPr>
                <w:sz w:val="18"/>
              </w:rPr>
            </w:pPr>
            <w:r>
              <w:rPr>
                <w:sz w:val="18"/>
              </w:rPr>
              <w:t>Titular De La Unidad de Información</w:t>
            </w:r>
          </w:p>
        </w:tc>
      </w:tr>
      <w:tr>
        <w:trPr>
          <w:trHeight w:val="310" w:hRule="exact"/>
        </w:trPr>
        <w:tc>
          <w:tcPr>
            <w:tcW w:w="3780" w:type="dxa"/>
            <w:tcBorders>
              <w:top w:val="single" w:sz="4" w:space="0" w:color="000000"/>
              <w:bottom w:val="single" w:sz="4" w:space="0" w:color="000000"/>
            </w:tcBorders>
          </w:tcPr>
          <w:p>
            <w:pPr>
              <w:pStyle w:val="TableParagraph"/>
              <w:spacing w:before="40"/>
              <w:ind w:left="59"/>
              <w:jc w:val="left"/>
              <w:rPr>
                <w:b/>
                <w:sz w:val="18"/>
              </w:rPr>
            </w:pPr>
            <w:r>
              <w:rPr>
                <w:b/>
                <w:sz w:val="18"/>
              </w:rPr>
              <w:t>XONACATLAN</w:t>
            </w:r>
          </w:p>
        </w:tc>
        <w:tc>
          <w:tcPr>
            <w:tcW w:w="4052" w:type="dxa"/>
            <w:tcBorders>
              <w:top w:val="single" w:sz="4" w:space="0" w:color="000000"/>
              <w:bottom w:val="single" w:sz="4" w:space="0" w:color="000000"/>
              <w:right w:val="single" w:sz="4" w:space="0" w:color="000000"/>
            </w:tcBorders>
          </w:tcPr>
          <w:p>
            <w:pPr>
              <w:pStyle w:val="TableParagraph"/>
              <w:spacing w:before="44"/>
              <w:ind w:left="460"/>
              <w:jc w:val="left"/>
              <w:rPr>
                <w:sz w:val="18"/>
              </w:rPr>
            </w:pPr>
            <w:r>
              <w:rPr>
                <w:sz w:val="18"/>
              </w:rPr>
              <w:t>P. En D. Edgar Arnoby Estrada Arenas</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before="44"/>
              <w:ind w:left="130" w:right="131"/>
              <w:rPr>
                <w:sz w:val="18"/>
              </w:rPr>
            </w:pPr>
            <w:r>
              <w:rPr>
                <w:sz w:val="18"/>
              </w:rPr>
              <w:t>Pasante</w:t>
            </w:r>
          </w:p>
        </w:tc>
        <w:tc>
          <w:tcPr>
            <w:tcW w:w="5597" w:type="dxa"/>
            <w:tcBorders>
              <w:top w:val="single" w:sz="4" w:space="0" w:color="000000"/>
              <w:left w:val="single" w:sz="4" w:space="0" w:color="000000"/>
              <w:bottom w:val="single" w:sz="4" w:space="0" w:color="000000"/>
              <w:right w:val="single" w:sz="4" w:space="0" w:color="000000"/>
            </w:tcBorders>
          </w:tcPr>
          <w:p>
            <w:pPr>
              <w:pStyle w:val="TableParagraph"/>
              <w:spacing w:before="44"/>
              <w:ind w:left="81" w:right="82"/>
              <w:rPr>
                <w:sz w:val="18"/>
              </w:rPr>
            </w:pPr>
            <w:r>
              <w:rPr>
                <w:sz w:val="18"/>
              </w:rPr>
              <w:t>Titular De La Unidad de Información</w:t>
            </w:r>
          </w:p>
        </w:tc>
      </w:tr>
      <w:tr>
        <w:trPr>
          <w:trHeight w:val="310" w:hRule="exact"/>
        </w:trPr>
        <w:tc>
          <w:tcPr>
            <w:tcW w:w="3780" w:type="dxa"/>
            <w:tcBorders>
              <w:top w:val="single" w:sz="4" w:space="0" w:color="000000"/>
              <w:bottom w:val="single" w:sz="4" w:space="0" w:color="000000"/>
            </w:tcBorders>
          </w:tcPr>
          <w:p>
            <w:pPr>
              <w:pStyle w:val="TableParagraph"/>
              <w:spacing w:before="42"/>
              <w:ind w:left="59"/>
              <w:jc w:val="left"/>
              <w:rPr>
                <w:b/>
                <w:sz w:val="18"/>
              </w:rPr>
            </w:pPr>
            <w:r>
              <w:rPr>
                <w:b/>
                <w:sz w:val="18"/>
              </w:rPr>
              <w:t>ZACAZONAPAN</w:t>
            </w:r>
          </w:p>
        </w:tc>
        <w:tc>
          <w:tcPr>
            <w:tcW w:w="4052" w:type="dxa"/>
            <w:tcBorders>
              <w:top w:val="single" w:sz="4" w:space="0" w:color="000000"/>
              <w:bottom w:val="single" w:sz="4" w:space="0" w:color="000000"/>
              <w:right w:val="single" w:sz="4" w:space="0" w:color="000000"/>
            </w:tcBorders>
          </w:tcPr>
          <w:p>
            <w:pPr>
              <w:pStyle w:val="TableParagraph"/>
              <w:spacing w:before="47"/>
              <w:ind w:left="134" w:right="136"/>
              <w:rPr>
                <w:sz w:val="18"/>
              </w:rPr>
            </w:pPr>
            <w:r>
              <w:rPr>
                <w:sz w:val="18"/>
              </w:rPr>
              <w:t>Lic. Noé Jaramillo Lujano</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before="47"/>
              <w:ind w:left="130" w:right="130"/>
              <w:rPr>
                <w:sz w:val="18"/>
              </w:rPr>
            </w:pPr>
            <w:r>
              <w:rPr>
                <w:sz w:val="18"/>
              </w:rPr>
              <w:t>Lic.</w:t>
            </w:r>
          </w:p>
        </w:tc>
        <w:tc>
          <w:tcPr>
            <w:tcW w:w="5597" w:type="dxa"/>
            <w:tcBorders>
              <w:top w:val="single" w:sz="4" w:space="0" w:color="000000"/>
              <w:left w:val="single" w:sz="4" w:space="0" w:color="000000"/>
              <w:bottom w:val="single" w:sz="4" w:space="0" w:color="000000"/>
              <w:right w:val="single" w:sz="4" w:space="0" w:color="000000"/>
            </w:tcBorders>
          </w:tcPr>
          <w:p>
            <w:pPr>
              <w:pStyle w:val="TableParagraph"/>
              <w:spacing w:before="47"/>
              <w:ind w:left="80" w:right="82"/>
              <w:rPr>
                <w:sz w:val="18"/>
              </w:rPr>
            </w:pPr>
            <w:r>
              <w:rPr>
                <w:sz w:val="18"/>
              </w:rPr>
              <w:t>Titular De La Unidad de Información</w:t>
            </w:r>
          </w:p>
        </w:tc>
      </w:tr>
      <w:tr>
        <w:trPr>
          <w:trHeight w:val="310" w:hRule="exact"/>
        </w:trPr>
        <w:tc>
          <w:tcPr>
            <w:tcW w:w="3780" w:type="dxa"/>
            <w:tcBorders>
              <w:top w:val="single" w:sz="4" w:space="0" w:color="000000"/>
              <w:left w:val="single" w:sz="4" w:space="0" w:color="000000"/>
              <w:bottom w:val="single" w:sz="4" w:space="0" w:color="000000"/>
              <w:right w:val="single" w:sz="4" w:space="0" w:color="000000"/>
            </w:tcBorders>
          </w:tcPr>
          <w:p>
            <w:pPr>
              <w:pStyle w:val="TableParagraph"/>
              <w:spacing w:before="42"/>
              <w:ind w:left="64"/>
              <w:jc w:val="left"/>
              <w:rPr>
                <w:b/>
                <w:sz w:val="18"/>
              </w:rPr>
            </w:pPr>
            <w:r>
              <w:rPr>
                <w:b/>
                <w:sz w:val="18"/>
              </w:rPr>
              <w:t>ZACUALPAN</w:t>
            </w:r>
          </w:p>
        </w:tc>
        <w:tc>
          <w:tcPr>
            <w:tcW w:w="4052" w:type="dxa"/>
            <w:tcBorders>
              <w:top w:val="single" w:sz="4" w:space="0" w:color="000000"/>
              <w:left w:val="single" w:sz="4" w:space="0" w:color="000000"/>
              <w:bottom w:val="single" w:sz="4" w:space="0" w:color="000000"/>
              <w:right w:val="single" w:sz="4" w:space="0" w:color="000000"/>
            </w:tcBorders>
          </w:tcPr>
          <w:p>
            <w:pPr>
              <w:pStyle w:val="TableParagraph"/>
              <w:spacing w:before="47"/>
              <w:ind w:left="508"/>
              <w:jc w:val="left"/>
              <w:rPr>
                <w:sz w:val="18"/>
              </w:rPr>
            </w:pPr>
            <w:r>
              <w:rPr>
                <w:sz w:val="18"/>
              </w:rPr>
              <w:t>C. Carlos Alberto Anastasio González</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before="47"/>
              <w:ind w:left="127" w:right="131"/>
              <w:rPr>
                <w:sz w:val="18"/>
              </w:rPr>
            </w:pPr>
            <w:r>
              <w:rPr>
                <w:sz w:val="18"/>
              </w:rPr>
              <w:t>NO</w:t>
            </w:r>
          </w:p>
        </w:tc>
        <w:tc>
          <w:tcPr>
            <w:tcW w:w="5597" w:type="dxa"/>
            <w:tcBorders>
              <w:top w:val="single" w:sz="4" w:space="0" w:color="000000"/>
              <w:left w:val="single" w:sz="4" w:space="0" w:color="000000"/>
              <w:bottom w:val="single" w:sz="4" w:space="0" w:color="000000"/>
              <w:right w:val="single" w:sz="4" w:space="0" w:color="000000"/>
            </w:tcBorders>
          </w:tcPr>
          <w:p>
            <w:pPr>
              <w:pStyle w:val="TableParagraph"/>
              <w:spacing w:before="47"/>
              <w:ind w:left="80" w:right="82"/>
              <w:rPr>
                <w:sz w:val="18"/>
              </w:rPr>
            </w:pPr>
            <w:r>
              <w:rPr>
                <w:sz w:val="18"/>
              </w:rPr>
              <w:t>Titular De La Unidad de Información</w:t>
            </w:r>
          </w:p>
        </w:tc>
      </w:tr>
      <w:tr>
        <w:trPr>
          <w:trHeight w:val="312" w:hRule="exact"/>
        </w:trPr>
        <w:tc>
          <w:tcPr>
            <w:tcW w:w="3780" w:type="dxa"/>
            <w:tcBorders>
              <w:top w:val="single" w:sz="4" w:space="0" w:color="000000"/>
              <w:left w:val="single" w:sz="4" w:space="0" w:color="000000"/>
              <w:bottom w:val="single" w:sz="4" w:space="0" w:color="000000"/>
              <w:right w:val="single" w:sz="4" w:space="0" w:color="000000"/>
            </w:tcBorders>
          </w:tcPr>
          <w:p>
            <w:pPr>
              <w:pStyle w:val="TableParagraph"/>
              <w:spacing w:before="42"/>
              <w:ind w:left="64"/>
              <w:jc w:val="left"/>
              <w:rPr>
                <w:b/>
                <w:sz w:val="18"/>
              </w:rPr>
            </w:pPr>
            <w:r>
              <w:rPr>
                <w:b/>
                <w:sz w:val="18"/>
              </w:rPr>
              <w:t>ZINACANTEPEC</w:t>
            </w:r>
          </w:p>
        </w:tc>
        <w:tc>
          <w:tcPr>
            <w:tcW w:w="4052" w:type="dxa"/>
            <w:tcBorders>
              <w:top w:val="single" w:sz="4" w:space="0" w:color="000000"/>
              <w:left w:val="single" w:sz="4" w:space="0" w:color="000000"/>
              <w:bottom w:val="single" w:sz="4" w:space="0" w:color="000000"/>
              <w:right w:val="single" w:sz="4" w:space="0" w:color="000000"/>
            </w:tcBorders>
          </w:tcPr>
          <w:p>
            <w:pPr>
              <w:pStyle w:val="TableParagraph"/>
              <w:spacing w:before="47"/>
              <w:ind w:left="840"/>
              <w:jc w:val="left"/>
              <w:rPr>
                <w:sz w:val="18"/>
              </w:rPr>
            </w:pPr>
            <w:r>
              <w:rPr>
                <w:sz w:val="18"/>
              </w:rPr>
              <w:t>C. Carlos González Sandoval</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before="47"/>
              <w:ind w:left="127" w:right="131"/>
              <w:rPr>
                <w:sz w:val="18"/>
              </w:rPr>
            </w:pPr>
            <w:r>
              <w:rPr>
                <w:sz w:val="18"/>
              </w:rPr>
              <w:t>NO</w:t>
            </w:r>
          </w:p>
        </w:tc>
        <w:tc>
          <w:tcPr>
            <w:tcW w:w="5597" w:type="dxa"/>
            <w:tcBorders>
              <w:top w:val="single" w:sz="4" w:space="0" w:color="000000"/>
              <w:left w:val="single" w:sz="4" w:space="0" w:color="000000"/>
              <w:bottom w:val="single" w:sz="4" w:space="0" w:color="000000"/>
              <w:right w:val="single" w:sz="4" w:space="0" w:color="000000"/>
            </w:tcBorders>
          </w:tcPr>
          <w:p>
            <w:pPr>
              <w:pStyle w:val="TableParagraph"/>
              <w:spacing w:before="47"/>
              <w:ind w:left="82" w:right="82"/>
              <w:rPr>
                <w:sz w:val="18"/>
              </w:rPr>
            </w:pPr>
            <w:r>
              <w:rPr>
                <w:sz w:val="18"/>
              </w:rPr>
              <w:t>Titular De La Unidad de Información</w:t>
            </w:r>
          </w:p>
        </w:tc>
      </w:tr>
      <w:tr>
        <w:trPr>
          <w:trHeight w:val="422" w:hRule="exact"/>
        </w:trPr>
        <w:tc>
          <w:tcPr>
            <w:tcW w:w="3780" w:type="dxa"/>
            <w:tcBorders>
              <w:top w:val="single" w:sz="4" w:space="0" w:color="000000"/>
              <w:left w:val="single" w:sz="4" w:space="0" w:color="000000"/>
              <w:bottom w:val="single" w:sz="4" w:space="0" w:color="000000"/>
              <w:right w:val="single" w:sz="4" w:space="0" w:color="000000"/>
            </w:tcBorders>
          </w:tcPr>
          <w:p>
            <w:pPr>
              <w:pStyle w:val="TableParagraph"/>
              <w:spacing w:before="97"/>
              <w:ind w:left="64"/>
              <w:jc w:val="left"/>
              <w:rPr>
                <w:b/>
                <w:sz w:val="18"/>
              </w:rPr>
            </w:pPr>
            <w:r>
              <w:rPr>
                <w:b/>
                <w:sz w:val="18"/>
              </w:rPr>
              <w:t>ZUMPAHUACAN</w:t>
            </w:r>
          </w:p>
        </w:tc>
        <w:tc>
          <w:tcPr>
            <w:tcW w:w="4052" w:type="dxa"/>
            <w:tcBorders>
              <w:top w:val="single" w:sz="4" w:space="0" w:color="000000"/>
              <w:left w:val="single" w:sz="4" w:space="0" w:color="000000"/>
              <w:bottom w:val="single" w:sz="4" w:space="0" w:color="000000"/>
              <w:right w:val="single" w:sz="4" w:space="0" w:color="000000"/>
            </w:tcBorders>
          </w:tcPr>
          <w:p>
            <w:pPr>
              <w:pStyle w:val="TableParagraph"/>
              <w:spacing w:before="102"/>
              <w:ind w:left="569" w:right="570"/>
              <w:rPr>
                <w:sz w:val="18"/>
              </w:rPr>
            </w:pPr>
            <w:r>
              <w:rPr>
                <w:sz w:val="18"/>
              </w:rPr>
              <w:t>Tsu. Admón Olivia García Pichardo</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before="102"/>
              <w:ind w:left="130" w:right="130"/>
              <w:rPr>
                <w:sz w:val="18"/>
              </w:rPr>
            </w:pPr>
            <w:r>
              <w:rPr>
                <w:sz w:val="18"/>
              </w:rPr>
              <w:t>Tec.</w:t>
            </w:r>
          </w:p>
        </w:tc>
        <w:tc>
          <w:tcPr>
            <w:tcW w:w="5597" w:type="dxa"/>
            <w:tcBorders>
              <w:top w:val="single" w:sz="4" w:space="0" w:color="000000"/>
              <w:left w:val="single" w:sz="4" w:space="0" w:color="000000"/>
              <w:bottom w:val="single" w:sz="4" w:space="0" w:color="000000"/>
              <w:right w:val="single" w:sz="4" w:space="0" w:color="000000"/>
            </w:tcBorders>
          </w:tcPr>
          <w:p>
            <w:pPr>
              <w:pStyle w:val="TableParagraph"/>
              <w:ind w:left="2267" w:right="126" w:hanging="2129"/>
              <w:jc w:val="left"/>
              <w:rPr>
                <w:sz w:val="18"/>
              </w:rPr>
            </w:pPr>
            <w:r>
              <w:rPr>
                <w:sz w:val="18"/>
              </w:rPr>
              <w:t>Titular De La Unidad de Información. Coordinadora De Planeación Y Evaluación</w:t>
            </w:r>
          </w:p>
        </w:tc>
      </w:tr>
      <w:tr>
        <w:trPr>
          <w:trHeight w:val="425" w:hRule="exact"/>
        </w:trPr>
        <w:tc>
          <w:tcPr>
            <w:tcW w:w="3780" w:type="dxa"/>
            <w:tcBorders>
              <w:top w:val="single" w:sz="4" w:space="0" w:color="000000"/>
              <w:left w:val="single" w:sz="4" w:space="0" w:color="000000"/>
              <w:bottom w:val="single" w:sz="4" w:space="0" w:color="000000"/>
              <w:right w:val="single" w:sz="4" w:space="0" w:color="000000"/>
            </w:tcBorders>
          </w:tcPr>
          <w:p>
            <w:pPr>
              <w:pStyle w:val="TableParagraph"/>
              <w:spacing w:before="97"/>
              <w:ind w:left="64"/>
              <w:jc w:val="left"/>
              <w:rPr>
                <w:b/>
                <w:sz w:val="18"/>
              </w:rPr>
            </w:pPr>
            <w:r>
              <w:rPr>
                <w:b/>
                <w:sz w:val="18"/>
              </w:rPr>
              <w:t>ZUMPANGO</w:t>
            </w:r>
          </w:p>
        </w:tc>
        <w:tc>
          <w:tcPr>
            <w:tcW w:w="4052" w:type="dxa"/>
            <w:tcBorders>
              <w:top w:val="single" w:sz="4" w:space="0" w:color="000000"/>
              <w:left w:val="single" w:sz="4" w:space="0" w:color="000000"/>
              <w:bottom w:val="single" w:sz="4" w:space="0" w:color="000000"/>
              <w:right w:val="single" w:sz="4" w:space="0" w:color="000000"/>
            </w:tcBorders>
          </w:tcPr>
          <w:p>
            <w:pPr>
              <w:pStyle w:val="TableParagraph"/>
              <w:spacing w:before="102"/>
              <w:ind w:left="569" w:right="569"/>
              <w:rPr>
                <w:sz w:val="18"/>
              </w:rPr>
            </w:pPr>
            <w:r>
              <w:rPr>
                <w:sz w:val="18"/>
              </w:rPr>
              <w:t>Lic. Saraí Rubí Aguilera Cárdenas</w:t>
            </w:r>
          </w:p>
        </w:tc>
        <w:tc>
          <w:tcPr>
            <w:tcW w:w="972" w:type="dxa"/>
            <w:tcBorders>
              <w:top w:val="single" w:sz="4" w:space="0" w:color="000000"/>
              <w:left w:val="single" w:sz="4" w:space="0" w:color="000000"/>
              <w:bottom w:val="single" w:sz="4" w:space="0" w:color="000000"/>
              <w:right w:val="single" w:sz="4" w:space="0" w:color="000000"/>
            </w:tcBorders>
          </w:tcPr>
          <w:p>
            <w:pPr>
              <w:pStyle w:val="TableParagraph"/>
              <w:spacing w:before="102"/>
              <w:ind w:left="130" w:right="130"/>
              <w:rPr>
                <w:sz w:val="18"/>
              </w:rPr>
            </w:pPr>
            <w:r>
              <w:rPr>
                <w:sz w:val="18"/>
              </w:rPr>
              <w:t>Lic.</w:t>
            </w:r>
          </w:p>
        </w:tc>
        <w:tc>
          <w:tcPr>
            <w:tcW w:w="5597" w:type="dxa"/>
            <w:tcBorders>
              <w:top w:val="single" w:sz="4" w:space="0" w:color="000000"/>
              <w:left w:val="single" w:sz="4" w:space="0" w:color="000000"/>
              <w:bottom w:val="single" w:sz="4" w:space="0" w:color="000000"/>
              <w:right w:val="single" w:sz="4" w:space="0" w:color="000000"/>
            </w:tcBorders>
          </w:tcPr>
          <w:p>
            <w:pPr>
              <w:pStyle w:val="TableParagraph"/>
              <w:ind w:left="1106" w:right="200" w:hanging="891"/>
              <w:jc w:val="left"/>
              <w:rPr>
                <w:sz w:val="18"/>
              </w:rPr>
            </w:pPr>
            <w:r>
              <w:rPr>
                <w:sz w:val="18"/>
              </w:rPr>
              <w:t>Titular De La Unidad de Información. Directora De La Unidad De Transparencia Y Acceso A La Información</w:t>
            </w:r>
          </w:p>
        </w:tc>
      </w:tr>
    </w:tbl>
    <w:p>
      <w:pPr>
        <w:spacing w:before="44"/>
        <w:ind w:left="189" w:right="0" w:firstLine="0"/>
        <w:jc w:val="left"/>
        <w:rPr>
          <w:sz w:val="18"/>
        </w:rPr>
      </w:pPr>
      <w:r>
        <w:rPr>
          <w:sz w:val="18"/>
        </w:rPr>
        <w:t>Fuente: Elaboración propia con datos del INFOEM.</w:t>
      </w:r>
    </w:p>
    <w:p>
      <w:pPr>
        <w:spacing w:after="0"/>
        <w:jc w:val="left"/>
        <w:rPr>
          <w:sz w:val="18"/>
        </w:rPr>
        <w:sectPr>
          <w:pgSz w:w="15840" w:h="12240" w:orient="landscape"/>
          <w:pgMar w:header="0" w:footer="975" w:top="1140" w:bottom="1160" w:left="600" w:right="580"/>
        </w:sectPr>
      </w:pPr>
    </w:p>
    <w:p>
      <w:pPr>
        <w:pStyle w:val="BodyText"/>
        <w:spacing w:before="11"/>
        <w:rPr>
          <w:rFonts w:ascii="Times New Roman"/>
          <w:sz w:val="8"/>
        </w:rPr>
      </w:pPr>
    </w:p>
    <w:tbl>
      <w:tblPr>
        <w:tblW w:w="0" w:type="auto"/>
        <w:jc w:val="left"/>
        <w:tblInd w:w="11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602"/>
        <w:gridCol w:w="499"/>
        <w:gridCol w:w="502"/>
        <w:gridCol w:w="499"/>
        <w:gridCol w:w="500"/>
      </w:tblGrid>
      <w:tr>
        <w:trPr>
          <w:trHeight w:val="332" w:hRule="exact"/>
        </w:trPr>
        <w:tc>
          <w:tcPr>
            <w:tcW w:w="6602" w:type="dxa"/>
            <w:gridSpan w:val="5"/>
            <w:shd w:val="clear" w:color="auto" w:fill="92D050"/>
          </w:tcPr>
          <w:p>
            <w:pPr>
              <w:pStyle w:val="TableParagraph"/>
              <w:spacing w:line="202" w:lineRule="exact"/>
              <w:ind w:left="1222"/>
              <w:jc w:val="left"/>
              <w:rPr>
                <w:b/>
                <w:sz w:val="18"/>
              </w:rPr>
            </w:pPr>
            <w:r>
              <w:rPr>
                <w:b/>
                <w:sz w:val="18"/>
              </w:rPr>
              <w:t>Anexo 23. Municipios que publican organigrama</w:t>
            </w:r>
          </w:p>
        </w:tc>
      </w:tr>
      <w:tr>
        <w:trPr>
          <w:trHeight w:val="1219" w:hRule="exact"/>
        </w:trPr>
        <w:tc>
          <w:tcPr>
            <w:tcW w:w="4602" w:type="dxa"/>
            <w:tcBorders>
              <w:bottom w:val="single" w:sz="4" w:space="0" w:color="000000"/>
              <w:right w:val="single" w:sz="4" w:space="0" w:color="000000"/>
            </w:tcBorders>
            <w:shd w:val="clear" w:color="auto" w:fill="A8D08D"/>
          </w:tcPr>
          <w:p>
            <w:pPr>
              <w:pStyle w:val="TableParagraph"/>
              <w:jc w:val="left"/>
              <w:rPr>
                <w:rFonts w:ascii="Times New Roman"/>
                <w:sz w:val="18"/>
              </w:rPr>
            </w:pPr>
          </w:p>
          <w:p>
            <w:pPr>
              <w:pStyle w:val="TableParagraph"/>
              <w:spacing w:before="3"/>
              <w:jc w:val="left"/>
              <w:rPr>
                <w:rFonts w:ascii="Times New Roman"/>
                <w:sz w:val="20"/>
              </w:rPr>
            </w:pPr>
          </w:p>
          <w:p>
            <w:pPr>
              <w:pStyle w:val="TableParagraph"/>
              <w:ind w:left="1853" w:right="1853"/>
              <w:rPr>
                <w:b/>
                <w:sz w:val="18"/>
              </w:rPr>
            </w:pPr>
            <w:r>
              <w:rPr>
                <w:b/>
                <w:sz w:val="18"/>
              </w:rPr>
              <w:t>Municipio</w:t>
            </w:r>
          </w:p>
        </w:tc>
        <w:tc>
          <w:tcPr>
            <w:tcW w:w="499" w:type="dxa"/>
            <w:tcBorders>
              <w:left w:val="single" w:sz="4" w:space="0" w:color="000000"/>
              <w:bottom w:val="single" w:sz="4" w:space="0" w:color="000000"/>
              <w:right w:val="single" w:sz="4" w:space="0" w:color="000000"/>
            </w:tcBorders>
            <w:shd w:val="clear" w:color="auto" w:fill="A8D08D"/>
            <w:textDirection w:val="btLr"/>
          </w:tcPr>
          <w:p>
            <w:pPr>
              <w:pStyle w:val="TableParagraph"/>
              <w:spacing w:before="64"/>
              <w:ind w:left="83" w:right="-17"/>
              <w:jc w:val="left"/>
              <w:rPr>
                <w:b/>
                <w:sz w:val="18"/>
              </w:rPr>
            </w:pPr>
            <w:r>
              <w:rPr>
                <w:b/>
                <w:w w:val="99"/>
                <w:sz w:val="18"/>
              </w:rPr>
              <w:t>Dep</w:t>
            </w:r>
            <w:r>
              <w:rPr>
                <w:b/>
                <w:w w:val="99"/>
                <w:sz w:val="18"/>
              </w:rPr>
              <w:t>e</w:t>
            </w:r>
            <w:r>
              <w:rPr>
                <w:b/>
                <w:w w:val="100"/>
                <w:sz w:val="18"/>
              </w:rPr>
              <w:t>nd</w:t>
            </w:r>
            <w:r>
              <w:rPr>
                <w:b/>
                <w:w w:val="99"/>
                <w:sz w:val="18"/>
              </w:rPr>
              <w:t>e</w:t>
            </w:r>
            <w:r>
              <w:rPr>
                <w:b/>
                <w:spacing w:val="-2"/>
                <w:w w:val="100"/>
                <w:sz w:val="18"/>
              </w:rPr>
              <w:t>n</w:t>
            </w:r>
            <w:r>
              <w:rPr>
                <w:b/>
                <w:w w:val="99"/>
                <w:sz w:val="18"/>
              </w:rPr>
              <w:t>c</w:t>
            </w:r>
            <w:r>
              <w:rPr>
                <w:b/>
                <w:w w:val="100"/>
                <w:sz w:val="18"/>
              </w:rPr>
              <w:t>ia</w:t>
            </w:r>
          </w:p>
        </w:tc>
        <w:tc>
          <w:tcPr>
            <w:tcW w:w="502" w:type="dxa"/>
            <w:tcBorders>
              <w:left w:val="single" w:sz="4" w:space="0" w:color="000000"/>
              <w:bottom w:val="single" w:sz="4" w:space="0" w:color="000000"/>
              <w:right w:val="single" w:sz="4" w:space="0" w:color="000000"/>
            </w:tcBorders>
            <w:shd w:val="clear" w:color="auto" w:fill="A8D08D"/>
            <w:textDirection w:val="btLr"/>
          </w:tcPr>
          <w:p>
            <w:pPr>
              <w:pStyle w:val="TableParagraph"/>
              <w:spacing w:before="107"/>
              <w:ind w:left="374" w:right="-20"/>
              <w:jc w:val="left"/>
              <w:rPr>
                <w:b/>
                <w:sz w:val="18"/>
              </w:rPr>
            </w:pPr>
            <w:r>
              <w:rPr>
                <w:b/>
                <w:w w:val="99"/>
                <w:sz w:val="18"/>
              </w:rPr>
              <w:t>Reg</w:t>
            </w:r>
            <w:r>
              <w:rPr>
                <w:b/>
                <w:w w:val="100"/>
                <w:sz w:val="18"/>
              </w:rPr>
              <w:t>id</w:t>
            </w:r>
            <w:r>
              <w:rPr>
                <w:b/>
                <w:sz w:val="18"/>
              </w:rPr>
              <w:t>uría</w:t>
            </w:r>
          </w:p>
        </w:tc>
        <w:tc>
          <w:tcPr>
            <w:tcW w:w="499" w:type="dxa"/>
            <w:tcBorders>
              <w:left w:val="single" w:sz="4" w:space="0" w:color="000000"/>
              <w:bottom w:val="single" w:sz="4" w:space="0" w:color="000000"/>
              <w:right w:val="single" w:sz="4" w:space="0" w:color="000000"/>
            </w:tcBorders>
            <w:shd w:val="clear" w:color="auto" w:fill="A8D08D"/>
            <w:textDirection w:val="btLr"/>
          </w:tcPr>
          <w:p>
            <w:pPr>
              <w:pStyle w:val="TableParagraph"/>
              <w:spacing w:before="64"/>
              <w:ind w:left="64" w:right="-18"/>
              <w:jc w:val="left"/>
              <w:rPr>
                <w:b/>
                <w:sz w:val="18"/>
              </w:rPr>
            </w:pPr>
            <w:r>
              <w:rPr>
                <w:b/>
                <w:w w:val="99"/>
                <w:sz w:val="18"/>
              </w:rPr>
              <w:t>Rem</w:t>
            </w:r>
            <w:r>
              <w:rPr>
                <w:b/>
                <w:w w:val="100"/>
                <w:sz w:val="18"/>
              </w:rPr>
              <w:t>un</w:t>
            </w:r>
            <w:r>
              <w:rPr>
                <w:b/>
                <w:w w:val="99"/>
                <w:sz w:val="18"/>
              </w:rPr>
              <w:t>era</w:t>
            </w:r>
            <w:r>
              <w:rPr>
                <w:b/>
                <w:spacing w:val="-2"/>
                <w:w w:val="99"/>
                <w:sz w:val="18"/>
              </w:rPr>
              <w:t>c</w:t>
            </w:r>
            <w:r>
              <w:rPr>
                <w:b/>
                <w:w w:val="100"/>
                <w:sz w:val="18"/>
              </w:rPr>
              <w:t>ió</w:t>
            </w:r>
          </w:p>
        </w:tc>
        <w:tc>
          <w:tcPr>
            <w:tcW w:w="500" w:type="dxa"/>
            <w:tcBorders>
              <w:left w:val="single" w:sz="4" w:space="0" w:color="000000"/>
              <w:bottom w:val="single" w:sz="4" w:space="0" w:color="000000"/>
            </w:tcBorders>
            <w:shd w:val="clear" w:color="auto" w:fill="A8D08D"/>
            <w:textDirection w:val="btLr"/>
          </w:tcPr>
          <w:p>
            <w:pPr>
              <w:pStyle w:val="TableParagraph"/>
              <w:spacing w:before="104"/>
              <w:ind w:left="775" w:right="-21"/>
              <w:jc w:val="left"/>
              <w:rPr>
                <w:b/>
                <w:sz w:val="18"/>
              </w:rPr>
            </w:pPr>
            <w:r>
              <w:rPr>
                <w:b/>
                <w:w w:val="100"/>
                <w:sz w:val="18"/>
              </w:rPr>
              <w:t>To</w:t>
            </w:r>
            <w:r>
              <w:rPr>
                <w:b/>
                <w:w w:val="99"/>
                <w:sz w:val="18"/>
              </w:rPr>
              <w:t>ta</w:t>
            </w:r>
            <w:r>
              <w:rPr>
                <w:b/>
                <w:w w:val="100"/>
                <w:sz w:val="18"/>
              </w:rPr>
              <w:t>l</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ACAMBAY</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4"/>
              <w:jc w:val="left"/>
              <w:rPr>
                <w:sz w:val="18"/>
              </w:rPr>
            </w:pPr>
            <w:r>
              <w:rPr>
                <w:sz w:val="18"/>
              </w:rPr>
              <w:t>27</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43"/>
              <w:jc w:val="right"/>
              <w:rPr>
                <w:sz w:val="18"/>
              </w:rPr>
            </w:pPr>
            <w:r>
              <w:rPr>
                <w:w w:val="95"/>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5" w:right="125"/>
              <w:rPr>
                <w:b/>
                <w:sz w:val="18"/>
              </w:rPr>
            </w:pPr>
            <w:r>
              <w:rPr>
                <w:b/>
                <w:sz w:val="18"/>
              </w:rPr>
              <w:t>38</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7"/>
              <w:jc w:val="left"/>
              <w:rPr>
                <w:b/>
                <w:sz w:val="18"/>
              </w:rPr>
            </w:pPr>
            <w:r>
              <w:rPr>
                <w:b/>
                <w:sz w:val="18"/>
              </w:rPr>
              <w:t>ACOLMAN</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1"/>
              <w:ind w:left="144"/>
              <w:jc w:val="left"/>
              <w:rPr>
                <w:sz w:val="18"/>
              </w:rPr>
            </w:pPr>
            <w:r>
              <w:rPr>
                <w:sz w:val="18"/>
              </w:rPr>
              <w:t>23</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1"/>
              <w:ind w:right="193"/>
              <w:jc w:val="righ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125" w:right="125"/>
              <w:rPr>
                <w:b/>
                <w:sz w:val="18"/>
              </w:rPr>
            </w:pPr>
            <w:r>
              <w:rPr>
                <w:b/>
                <w:sz w:val="18"/>
              </w:rPr>
              <w:t>24</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ACULCO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4"/>
              <w:jc w:val="left"/>
              <w:rPr>
                <w:sz w:val="18"/>
              </w:rPr>
            </w:pPr>
            <w:r>
              <w:rPr>
                <w:sz w:val="18"/>
              </w:rPr>
              <w:t>29</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43"/>
              <w:jc w:val="right"/>
              <w:rPr>
                <w:sz w:val="18"/>
              </w:rPr>
            </w:pPr>
            <w:r>
              <w:rPr>
                <w:w w:val="95"/>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5" w:right="125"/>
              <w:rPr>
                <w:b/>
                <w:sz w:val="18"/>
              </w:rPr>
            </w:pPr>
            <w:r>
              <w:rPr>
                <w:b/>
                <w:sz w:val="18"/>
              </w:rPr>
              <w:t>40</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ALMOLOYA DE ALQUISIRAS</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94"/>
              <w:jc w:val="left"/>
              <w:rPr>
                <w:sz w:val="18"/>
              </w:rPr>
            </w:pPr>
            <w:r>
              <w:rPr>
                <w:w w:val="99"/>
                <w:sz w:val="18"/>
              </w:rPr>
              <w:t>0</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93"/>
              <w:jc w:val="righ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right="1"/>
              <w:rPr>
                <w:b/>
                <w:sz w:val="18"/>
              </w:rPr>
            </w:pPr>
            <w:r>
              <w:rPr>
                <w:b/>
                <w:w w:val="99"/>
                <w:sz w:val="18"/>
              </w:rPr>
              <w:t>0</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ALMOLOYA DE JUAREZ</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4"/>
              <w:jc w:val="left"/>
              <w:rPr>
                <w:sz w:val="18"/>
              </w:rPr>
            </w:pPr>
            <w:r>
              <w:rPr>
                <w:sz w:val="18"/>
              </w:rPr>
              <w:t>37</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93"/>
              <w:jc w:val="right"/>
              <w:rPr>
                <w:sz w:val="18"/>
              </w:rPr>
            </w:pPr>
            <w:r>
              <w:rPr>
                <w:w w:val="99"/>
                <w:sz w:val="18"/>
              </w:rPr>
              <w:t>8</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5" w:right="125"/>
              <w:rPr>
                <w:b/>
                <w:sz w:val="18"/>
              </w:rPr>
            </w:pPr>
            <w:r>
              <w:rPr>
                <w:b/>
                <w:sz w:val="18"/>
              </w:rPr>
              <w:t>46</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ALMOLOYA DEL RIO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4"/>
              <w:jc w:val="left"/>
              <w:rPr>
                <w:sz w:val="18"/>
              </w:rPr>
            </w:pPr>
            <w:r>
              <w:rPr>
                <w:sz w:val="18"/>
              </w:rPr>
              <w:t>22</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43"/>
              <w:jc w:val="right"/>
              <w:rPr>
                <w:sz w:val="18"/>
              </w:rPr>
            </w:pPr>
            <w:r>
              <w:rPr>
                <w:w w:val="95"/>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5" w:right="125"/>
              <w:rPr>
                <w:b/>
                <w:sz w:val="18"/>
              </w:rPr>
            </w:pPr>
            <w:r>
              <w:rPr>
                <w:b/>
                <w:sz w:val="18"/>
              </w:rPr>
              <w:t>33</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67"/>
              <w:jc w:val="left"/>
              <w:rPr>
                <w:b/>
                <w:sz w:val="18"/>
              </w:rPr>
            </w:pPr>
            <w:r>
              <w:rPr>
                <w:b/>
                <w:sz w:val="18"/>
              </w:rPr>
              <w:t>AMANALCO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44"/>
              <w:jc w:val="left"/>
              <w:rPr>
                <w:sz w:val="18"/>
              </w:rPr>
            </w:pPr>
            <w:r>
              <w:rPr>
                <w:sz w:val="18"/>
              </w:rPr>
              <w:t>29</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43"/>
              <w:jc w:val="right"/>
              <w:rPr>
                <w:sz w:val="18"/>
              </w:rPr>
            </w:pPr>
            <w:r>
              <w:rPr>
                <w:w w:val="95"/>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125" w:right="125"/>
              <w:rPr>
                <w:b/>
                <w:sz w:val="18"/>
              </w:rPr>
            </w:pPr>
            <w:r>
              <w:rPr>
                <w:b/>
                <w:sz w:val="18"/>
              </w:rPr>
              <w:t>40</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AMATEPEC</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4"/>
              <w:jc w:val="left"/>
              <w:rPr>
                <w:sz w:val="18"/>
              </w:rPr>
            </w:pPr>
            <w:r>
              <w:rPr>
                <w:sz w:val="18"/>
              </w:rPr>
              <w:t>22</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43"/>
              <w:jc w:val="right"/>
              <w:rPr>
                <w:sz w:val="18"/>
              </w:rPr>
            </w:pPr>
            <w:r>
              <w:rPr>
                <w:w w:val="95"/>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5" w:right="125"/>
              <w:rPr>
                <w:b/>
                <w:sz w:val="18"/>
              </w:rPr>
            </w:pPr>
            <w:r>
              <w:rPr>
                <w:b/>
                <w:sz w:val="18"/>
              </w:rPr>
              <w:t>32</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AMECAMECA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4"/>
              <w:jc w:val="left"/>
              <w:rPr>
                <w:sz w:val="18"/>
              </w:rPr>
            </w:pPr>
            <w:r>
              <w:rPr>
                <w:sz w:val="18"/>
              </w:rPr>
              <w:t>22</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43"/>
              <w:jc w:val="right"/>
              <w:rPr>
                <w:sz w:val="18"/>
              </w:rPr>
            </w:pPr>
            <w:r>
              <w:rPr>
                <w:w w:val="95"/>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5" w:right="125"/>
              <w:rPr>
                <w:b/>
                <w:sz w:val="18"/>
              </w:rPr>
            </w:pPr>
            <w:r>
              <w:rPr>
                <w:b/>
                <w:sz w:val="18"/>
              </w:rPr>
              <w:t>32</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APAXCO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4"/>
              <w:jc w:val="left"/>
              <w:rPr>
                <w:sz w:val="18"/>
              </w:rPr>
            </w:pPr>
            <w:r>
              <w:rPr>
                <w:sz w:val="18"/>
              </w:rPr>
              <w:t>26</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93"/>
              <w:jc w:val="righ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5" w:right="125"/>
              <w:rPr>
                <w:b/>
                <w:sz w:val="18"/>
              </w:rPr>
            </w:pPr>
            <w:r>
              <w:rPr>
                <w:b/>
                <w:sz w:val="18"/>
              </w:rPr>
              <w:t>26</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ATENCO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94"/>
              <w:jc w:val="left"/>
              <w:rPr>
                <w:sz w:val="18"/>
              </w:rPr>
            </w:pPr>
            <w:r>
              <w:rPr>
                <w:w w:val="99"/>
                <w:sz w:val="18"/>
              </w:rPr>
              <w:t>0</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93"/>
              <w:jc w:val="righ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right="1"/>
              <w:rPr>
                <w:b/>
                <w:sz w:val="18"/>
              </w:rPr>
            </w:pPr>
            <w:r>
              <w:rPr>
                <w:b/>
                <w:w w:val="99"/>
                <w:sz w:val="18"/>
              </w:rPr>
              <w:t>0</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ATIZAPAN</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4"/>
              <w:jc w:val="left"/>
              <w:rPr>
                <w:sz w:val="18"/>
              </w:rPr>
            </w:pPr>
            <w:r>
              <w:rPr>
                <w:sz w:val="18"/>
              </w:rPr>
              <w:t>25</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43"/>
              <w:jc w:val="right"/>
              <w:rPr>
                <w:sz w:val="18"/>
              </w:rPr>
            </w:pPr>
            <w:r>
              <w:rPr>
                <w:w w:val="95"/>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5" w:right="125"/>
              <w:rPr>
                <w:b/>
                <w:sz w:val="18"/>
              </w:rPr>
            </w:pPr>
            <w:r>
              <w:rPr>
                <w:b/>
                <w:sz w:val="18"/>
              </w:rPr>
              <w:t>35</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ATIZAPAN DE ZARAGOZA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4"/>
              <w:jc w:val="left"/>
              <w:rPr>
                <w:sz w:val="18"/>
              </w:rPr>
            </w:pPr>
            <w:r>
              <w:rPr>
                <w:sz w:val="18"/>
              </w:rPr>
              <w:t>21</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43"/>
              <w:jc w:val="right"/>
              <w:rPr>
                <w:sz w:val="18"/>
              </w:rPr>
            </w:pPr>
            <w:r>
              <w:rPr>
                <w:w w:val="95"/>
                <w:sz w:val="18"/>
              </w:rPr>
              <w:t>13</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5" w:right="125"/>
              <w:rPr>
                <w:b/>
                <w:sz w:val="18"/>
              </w:rPr>
            </w:pPr>
            <w:r>
              <w:rPr>
                <w:b/>
                <w:sz w:val="18"/>
              </w:rPr>
              <w:t>35</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ATLACOMULCO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4"/>
              <w:jc w:val="left"/>
              <w:rPr>
                <w:sz w:val="18"/>
              </w:rPr>
            </w:pPr>
            <w:r>
              <w:rPr>
                <w:sz w:val="18"/>
              </w:rPr>
              <w:t>21</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42"/>
              <w:jc w:val="right"/>
              <w:rPr>
                <w:sz w:val="18"/>
              </w:rPr>
            </w:pPr>
            <w:r>
              <w:rPr>
                <w:w w:val="95"/>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5" w:right="125"/>
              <w:rPr>
                <w:b/>
                <w:sz w:val="18"/>
              </w:rPr>
            </w:pPr>
            <w:r>
              <w:rPr>
                <w:b/>
                <w:sz w:val="18"/>
              </w:rPr>
              <w:t>32</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7"/>
              <w:jc w:val="left"/>
              <w:rPr>
                <w:b/>
                <w:sz w:val="18"/>
              </w:rPr>
            </w:pPr>
            <w:r>
              <w:rPr>
                <w:b/>
                <w:sz w:val="18"/>
              </w:rPr>
              <w:t>ATLAUTLA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1"/>
              <w:ind w:left="144"/>
              <w:jc w:val="left"/>
              <w:rPr>
                <w:sz w:val="18"/>
              </w:rPr>
            </w:pPr>
            <w:r>
              <w:rPr>
                <w:sz w:val="18"/>
              </w:rPr>
              <w:t>21</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1"/>
              <w:ind w:right="143"/>
              <w:jc w:val="right"/>
              <w:rPr>
                <w:sz w:val="18"/>
              </w:rPr>
            </w:pPr>
            <w:r>
              <w:rPr>
                <w:w w:val="95"/>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125" w:right="125"/>
              <w:rPr>
                <w:b/>
                <w:sz w:val="18"/>
              </w:rPr>
            </w:pPr>
            <w:r>
              <w:rPr>
                <w:b/>
                <w:sz w:val="18"/>
              </w:rPr>
              <w:t>32</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AXAPUSCO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4"/>
              <w:jc w:val="left"/>
              <w:rPr>
                <w:sz w:val="18"/>
              </w:rPr>
            </w:pPr>
            <w:r>
              <w:rPr>
                <w:sz w:val="18"/>
              </w:rPr>
              <w:t>11</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93"/>
              <w:jc w:val="righ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5" w:right="125"/>
              <w:rPr>
                <w:b/>
                <w:sz w:val="18"/>
              </w:rPr>
            </w:pPr>
            <w:r>
              <w:rPr>
                <w:b/>
                <w:sz w:val="18"/>
              </w:rPr>
              <w:t>12</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7"/>
              <w:jc w:val="left"/>
              <w:rPr>
                <w:b/>
                <w:sz w:val="18"/>
              </w:rPr>
            </w:pPr>
            <w:r>
              <w:rPr>
                <w:b/>
                <w:sz w:val="18"/>
              </w:rPr>
              <w:t>AYAPANGO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1"/>
              <w:ind w:left="194"/>
              <w:jc w:val="left"/>
              <w:rPr>
                <w:sz w:val="18"/>
              </w:rPr>
            </w:pPr>
            <w:r>
              <w:rPr>
                <w:w w:val="99"/>
                <w:sz w:val="18"/>
              </w:rPr>
              <w:t>0</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1"/>
              <w:ind w:right="193"/>
              <w:jc w:val="righ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right="1"/>
              <w:rPr>
                <w:b/>
                <w:sz w:val="18"/>
              </w:rPr>
            </w:pPr>
            <w:r>
              <w:rPr>
                <w:b/>
                <w:w w:val="99"/>
                <w:sz w:val="18"/>
              </w:rPr>
              <w:t>0</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67"/>
              <w:jc w:val="left"/>
              <w:rPr>
                <w:b/>
                <w:sz w:val="18"/>
              </w:rPr>
            </w:pPr>
            <w:r>
              <w:rPr>
                <w:b/>
                <w:sz w:val="18"/>
              </w:rPr>
              <w:t>CALIMAYA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left="144"/>
              <w:jc w:val="left"/>
              <w:rPr>
                <w:sz w:val="18"/>
              </w:rPr>
            </w:pPr>
            <w:r>
              <w:rPr>
                <w:sz w:val="18"/>
              </w:rPr>
              <w:t>22</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ind w:right="143"/>
              <w:jc w:val="right"/>
              <w:rPr>
                <w:sz w:val="18"/>
              </w:rPr>
            </w:pPr>
            <w:r>
              <w:rPr>
                <w:w w:val="95"/>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7" w:lineRule="exac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2" w:lineRule="exact"/>
              <w:ind w:left="125" w:right="125"/>
              <w:rPr>
                <w:b/>
                <w:sz w:val="18"/>
              </w:rPr>
            </w:pPr>
            <w:r>
              <w:rPr>
                <w:b/>
                <w:sz w:val="18"/>
              </w:rPr>
              <w:t>33</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CAPULHUAC</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4"/>
              <w:jc w:val="left"/>
              <w:rPr>
                <w:sz w:val="18"/>
              </w:rPr>
            </w:pPr>
            <w:r>
              <w:rPr>
                <w:sz w:val="18"/>
              </w:rPr>
              <w:t>19</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43"/>
              <w:jc w:val="right"/>
              <w:rPr>
                <w:sz w:val="18"/>
              </w:rPr>
            </w:pPr>
            <w:r>
              <w:rPr>
                <w:w w:val="95"/>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5" w:right="125"/>
              <w:rPr>
                <w:b/>
                <w:sz w:val="18"/>
              </w:rPr>
            </w:pPr>
            <w:r>
              <w:rPr>
                <w:b/>
                <w:sz w:val="18"/>
              </w:rPr>
              <w:t>29</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CHALCO</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4"/>
              <w:jc w:val="left"/>
              <w:rPr>
                <w:sz w:val="18"/>
              </w:rPr>
            </w:pPr>
            <w:r>
              <w:rPr>
                <w:sz w:val="18"/>
              </w:rPr>
              <w:t>22</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43"/>
              <w:jc w:val="right"/>
              <w:rPr>
                <w:sz w:val="18"/>
              </w:rPr>
            </w:pPr>
            <w:r>
              <w:rPr>
                <w:w w:val="95"/>
                <w:sz w:val="18"/>
              </w:rPr>
              <w:t>13</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5" w:right="125"/>
              <w:rPr>
                <w:b/>
                <w:sz w:val="18"/>
              </w:rPr>
            </w:pPr>
            <w:r>
              <w:rPr>
                <w:b/>
                <w:sz w:val="18"/>
              </w:rPr>
              <w:t>36</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CHAPA DE MOTA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4"/>
              <w:jc w:val="left"/>
              <w:rPr>
                <w:sz w:val="18"/>
              </w:rPr>
            </w:pPr>
            <w:r>
              <w:rPr>
                <w:sz w:val="18"/>
              </w:rPr>
              <w:t>28</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43"/>
              <w:jc w:val="right"/>
              <w:rPr>
                <w:sz w:val="18"/>
              </w:rPr>
            </w:pPr>
            <w:r>
              <w:rPr>
                <w:w w:val="95"/>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5" w:right="125"/>
              <w:rPr>
                <w:b/>
                <w:sz w:val="18"/>
              </w:rPr>
            </w:pPr>
            <w:r>
              <w:rPr>
                <w:b/>
                <w:sz w:val="18"/>
              </w:rPr>
              <w:t>39</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CHAPULTEPEC</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4"/>
              <w:jc w:val="left"/>
              <w:rPr>
                <w:sz w:val="18"/>
              </w:rPr>
            </w:pPr>
            <w:r>
              <w:rPr>
                <w:sz w:val="18"/>
              </w:rPr>
              <w:t>15</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43"/>
              <w:jc w:val="right"/>
              <w:rPr>
                <w:sz w:val="18"/>
              </w:rPr>
            </w:pPr>
            <w:r>
              <w:rPr>
                <w:w w:val="95"/>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5" w:right="125"/>
              <w:rPr>
                <w:b/>
                <w:sz w:val="18"/>
              </w:rPr>
            </w:pPr>
            <w:r>
              <w:rPr>
                <w:b/>
                <w:sz w:val="18"/>
              </w:rPr>
              <w:t>26</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CHIAUTLA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94"/>
              <w:jc w:val="left"/>
              <w:rPr>
                <w:sz w:val="18"/>
              </w:rPr>
            </w:pPr>
            <w:r>
              <w:rPr>
                <w:w w:val="99"/>
                <w:sz w:val="18"/>
              </w:rPr>
              <w:t>0</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93"/>
              <w:jc w:val="righ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right="1"/>
              <w:rPr>
                <w:b/>
                <w:sz w:val="18"/>
              </w:rPr>
            </w:pPr>
            <w:r>
              <w:rPr>
                <w:b/>
                <w:w w:val="99"/>
                <w:sz w:val="18"/>
              </w:rPr>
              <w:t>0</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CHICOLOAPAN</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4"/>
              <w:jc w:val="left"/>
              <w:rPr>
                <w:sz w:val="18"/>
              </w:rPr>
            </w:pPr>
            <w:r>
              <w:rPr>
                <w:sz w:val="18"/>
              </w:rPr>
              <w:t>33</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43"/>
              <w:jc w:val="right"/>
              <w:rPr>
                <w:sz w:val="18"/>
              </w:rPr>
            </w:pPr>
            <w:r>
              <w:rPr>
                <w:w w:val="95"/>
                <w:sz w:val="18"/>
              </w:rPr>
              <w:t>13</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5" w:right="125"/>
              <w:rPr>
                <w:b/>
                <w:sz w:val="18"/>
              </w:rPr>
            </w:pPr>
            <w:r>
              <w:rPr>
                <w:b/>
                <w:sz w:val="18"/>
              </w:rPr>
              <w:t>46</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CHICONCUAC</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4"/>
              <w:jc w:val="left"/>
              <w:rPr>
                <w:sz w:val="18"/>
              </w:rPr>
            </w:pPr>
            <w:r>
              <w:rPr>
                <w:sz w:val="18"/>
              </w:rPr>
              <w:t>24</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43"/>
              <w:jc w:val="right"/>
              <w:rPr>
                <w:sz w:val="18"/>
              </w:rPr>
            </w:pPr>
            <w:r>
              <w:rPr>
                <w:w w:val="95"/>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5" w:right="125"/>
              <w:rPr>
                <w:b/>
                <w:sz w:val="18"/>
              </w:rPr>
            </w:pPr>
            <w:r>
              <w:rPr>
                <w:b/>
                <w:sz w:val="18"/>
              </w:rPr>
              <w:t>35</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CHIMALHUACAN</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94"/>
              <w:jc w:val="left"/>
              <w:rPr>
                <w:sz w:val="18"/>
              </w:rPr>
            </w:pPr>
            <w:r>
              <w:rPr>
                <w:w w:val="99"/>
                <w:sz w:val="18"/>
              </w:rPr>
              <w:t>0</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93"/>
              <w:jc w:val="righ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right="1"/>
              <w:rPr>
                <w:b/>
                <w:sz w:val="18"/>
              </w:rPr>
            </w:pPr>
            <w:r>
              <w:rPr>
                <w:b/>
                <w:w w:val="99"/>
                <w:sz w:val="18"/>
              </w:rPr>
              <w:t>1</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COACALCO DE BERRIOZABAL</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4"/>
              <w:jc w:val="left"/>
              <w:rPr>
                <w:sz w:val="18"/>
              </w:rPr>
            </w:pPr>
            <w:r>
              <w:rPr>
                <w:sz w:val="18"/>
              </w:rPr>
              <w:t>22</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93"/>
              <w:jc w:val="righ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5" w:right="125"/>
              <w:rPr>
                <w:b/>
                <w:sz w:val="18"/>
              </w:rPr>
            </w:pPr>
            <w:r>
              <w:rPr>
                <w:b/>
                <w:sz w:val="18"/>
              </w:rPr>
              <w:t>22</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COATEPEC HARINAS</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4"/>
              <w:jc w:val="left"/>
              <w:rPr>
                <w:sz w:val="18"/>
              </w:rPr>
            </w:pPr>
            <w:r>
              <w:rPr>
                <w:sz w:val="18"/>
              </w:rPr>
              <w:t>35</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43"/>
              <w:jc w:val="right"/>
              <w:rPr>
                <w:sz w:val="18"/>
              </w:rPr>
            </w:pPr>
            <w:r>
              <w:rPr>
                <w:w w:val="95"/>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5" w:right="125"/>
              <w:rPr>
                <w:b/>
                <w:sz w:val="18"/>
              </w:rPr>
            </w:pPr>
            <w:r>
              <w:rPr>
                <w:b/>
                <w:sz w:val="18"/>
              </w:rPr>
              <w:t>45</w:t>
            </w:r>
          </w:p>
        </w:tc>
      </w:tr>
      <w:tr>
        <w:trPr>
          <w:trHeight w:val="319"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COCOTITLAN</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94"/>
              <w:jc w:val="left"/>
              <w:rPr>
                <w:sz w:val="18"/>
              </w:rPr>
            </w:pPr>
            <w:r>
              <w:rPr>
                <w:w w:val="99"/>
                <w:sz w:val="18"/>
              </w:rPr>
              <w:t>0</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93"/>
              <w:jc w:val="righ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0</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right="1"/>
              <w:rPr>
                <w:b/>
                <w:sz w:val="18"/>
              </w:rPr>
            </w:pPr>
            <w:r>
              <w:rPr>
                <w:b/>
                <w:w w:val="99"/>
                <w:sz w:val="18"/>
              </w:rPr>
              <w:t>0</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67"/>
              <w:jc w:val="left"/>
              <w:rPr>
                <w:b/>
                <w:sz w:val="18"/>
              </w:rPr>
            </w:pPr>
            <w:r>
              <w:rPr>
                <w:b/>
                <w:sz w:val="18"/>
              </w:rPr>
              <w:t>COYOTEPEC</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1"/>
              <w:ind w:left="144"/>
              <w:jc w:val="left"/>
              <w:rPr>
                <w:sz w:val="18"/>
              </w:rPr>
            </w:pPr>
            <w:r>
              <w:rPr>
                <w:sz w:val="18"/>
              </w:rPr>
              <w:t>16</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before="1"/>
              <w:ind w:right="193"/>
              <w:jc w:val="righ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before="1"/>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ind w:left="125" w:right="125"/>
              <w:rPr>
                <w:b/>
                <w:sz w:val="18"/>
              </w:rPr>
            </w:pPr>
            <w:r>
              <w:rPr>
                <w:b/>
                <w:sz w:val="18"/>
              </w:rPr>
              <w:t>17</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color w:val="333333"/>
                <w:sz w:val="18"/>
              </w:rPr>
              <w:t>CUAUTITLAN</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4"/>
              <w:jc w:val="left"/>
              <w:rPr>
                <w:sz w:val="18"/>
              </w:rPr>
            </w:pPr>
            <w:r>
              <w:rPr>
                <w:color w:val="006000"/>
                <w:sz w:val="18"/>
              </w:rPr>
              <w:t>23</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right="193"/>
              <w:jc w:val="right"/>
              <w:rPr>
                <w:sz w:val="18"/>
              </w:rPr>
            </w:pPr>
            <w:r>
              <w:rPr>
                <w:w w:val="99"/>
                <w:sz w:val="18"/>
              </w:rPr>
              <w:t>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color w:val="006000"/>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5" w:right="125"/>
              <w:rPr>
                <w:b/>
                <w:sz w:val="18"/>
              </w:rPr>
            </w:pPr>
            <w:r>
              <w:rPr>
                <w:b/>
                <w:sz w:val="18"/>
              </w:rPr>
              <w:t>24</w:t>
            </w:r>
          </w:p>
        </w:tc>
      </w:tr>
    </w:tbl>
    <w:p>
      <w:pPr>
        <w:spacing w:after="0" w:line="201" w:lineRule="exact"/>
        <w:rPr>
          <w:sz w:val="18"/>
        </w:rPr>
        <w:sectPr>
          <w:footerReference w:type="default" r:id="rId351"/>
          <w:pgSz w:w="12240" w:h="15840"/>
          <w:pgMar w:footer="975" w:header="0" w:top="1500" w:bottom="1160" w:left="1720" w:right="1720"/>
          <w:pgNumType w:start="425"/>
        </w:sectPr>
      </w:pPr>
    </w:p>
    <w:tbl>
      <w:tblPr>
        <w:tblW w:w="0" w:type="auto"/>
        <w:jc w:val="left"/>
        <w:tblInd w:w="11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602"/>
        <w:gridCol w:w="499"/>
        <w:gridCol w:w="502"/>
        <w:gridCol w:w="499"/>
        <w:gridCol w:w="500"/>
      </w:tblGrid>
      <w:tr>
        <w:trPr>
          <w:trHeight w:val="330" w:hRule="exact"/>
        </w:trPr>
        <w:tc>
          <w:tcPr>
            <w:tcW w:w="6602" w:type="dxa"/>
            <w:gridSpan w:val="5"/>
            <w:shd w:val="clear" w:color="auto" w:fill="92D050"/>
          </w:tcPr>
          <w:p>
            <w:pPr>
              <w:pStyle w:val="TableParagraph"/>
              <w:spacing w:line="200" w:lineRule="exact"/>
              <w:ind w:left="571"/>
              <w:jc w:val="left"/>
              <w:rPr>
                <w:b/>
                <w:sz w:val="18"/>
              </w:rPr>
            </w:pPr>
            <w:r>
              <w:rPr>
                <w:b/>
                <w:sz w:val="18"/>
              </w:rPr>
              <w:t>Anexo 23. Municipios que publican organigrama (Finaliza tabla)</w:t>
            </w:r>
          </w:p>
        </w:tc>
      </w:tr>
      <w:tr>
        <w:trPr>
          <w:trHeight w:val="1454" w:hRule="exact"/>
        </w:trPr>
        <w:tc>
          <w:tcPr>
            <w:tcW w:w="4602" w:type="dxa"/>
            <w:tcBorders>
              <w:bottom w:val="single" w:sz="4" w:space="0" w:color="000000"/>
              <w:right w:val="single" w:sz="4" w:space="0" w:color="000000"/>
            </w:tcBorders>
            <w:shd w:val="clear" w:color="auto" w:fill="A8D08D"/>
          </w:tcPr>
          <w:p>
            <w:pPr>
              <w:pStyle w:val="TableParagraph"/>
              <w:jc w:val="left"/>
              <w:rPr>
                <w:rFonts w:ascii="Times New Roman"/>
                <w:sz w:val="18"/>
              </w:rPr>
            </w:pPr>
          </w:p>
          <w:p>
            <w:pPr>
              <w:pStyle w:val="TableParagraph"/>
              <w:jc w:val="left"/>
              <w:rPr>
                <w:rFonts w:ascii="Times New Roman"/>
                <w:sz w:val="18"/>
              </w:rPr>
            </w:pPr>
          </w:p>
          <w:p>
            <w:pPr>
              <w:pStyle w:val="TableParagraph"/>
              <w:spacing w:before="144"/>
              <w:ind w:left="1853" w:right="1853"/>
              <w:rPr>
                <w:b/>
                <w:sz w:val="18"/>
              </w:rPr>
            </w:pPr>
            <w:r>
              <w:rPr>
                <w:b/>
                <w:sz w:val="18"/>
              </w:rPr>
              <w:t>Municipio</w:t>
            </w:r>
          </w:p>
        </w:tc>
        <w:tc>
          <w:tcPr>
            <w:tcW w:w="499" w:type="dxa"/>
            <w:tcBorders>
              <w:left w:val="single" w:sz="4" w:space="0" w:color="000000"/>
              <w:bottom w:val="single" w:sz="4" w:space="0" w:color="000000"/>
              <w:right w:val="single" w:sz="4" w:space="0" w:color="000000"/>
            </w:tcBorders>
            <w:shd w:val="clear" w:color="auto" w:fill="A8D08D"/>
            <w:textDirection w:val="btLr"/>
          </w:tcPr>
          <w:p>
            <w:pPr>
              <w:pStyle w:val="TableParagraph"/>
              <w:spacing w:before="104"/>
              <w:ind w:left="221" w:right="-20"/>
              <w:jc w:val="left"/>
              <w:rPr>
                <w:b/>
                <w:sz w:val="18"/>
              </w:rPr>
            </w:pPr>
            <w:r>
              <w:rPr>
                <w:b/>
                <w:w w:val="99"/>
                <w:sz w:val="18"/>
              </w:rPr>
              <w:t>Dep</w:t>
            </w:r>
            <w:r>
              <w:rPr>
                <w:b/>
                <w:w w:val="99"/>
                <w:sz w:val="18"/>
              </w:rPr>
              <w:t>e</w:t>
            </w:r>
            <w:r>
              <w:rPr>
                <w:b/>
                <w:w w:val="100"/>
                <w:sz w:val="18"/>
              </w:rPr>
              <w:t>nd</w:t>
            </w:r>
            <w:r>
              <w:rPr>
                <w:b/>
                <w:w w:val="99"/>
                <w:sz w:val="18"/>
              </w:rPr>
              <w:t>e</w:t>
            </w:r>
            <w:r>
              <w:rPr>
                <w:b/>
                <w:spacing w:val="-2"/>
                <w:w w:val="100"/>
                <w:sz w:val="18"/>
              </w:rPr>
              <w:t>n</w:t>
            </w:r>
            <w:r>
              <w:rPr>
                <w:b/>
                <w:w w:val="99"/>
                <w:sz w:val="18"/>
              </w:rPr>
              <w:t>c</w:t>
            </w:r>
            <w:r>
              <w:rPr>
                <w:b/>
                <w:w w:val="100"/>
                <w:sz w:val="18"/>
              </w:rPr>
              <w:t>ia</w:t>
            </w:r>
            <w:r>
              <w:rPr>
                <w:b/>
                <w:w w:val="99"/>
                <w:sz w:val="18"/>
              </w:rPr>
              <w:t>s</w:t>
            </w:r>
          </w:p>
        </w:tc>
        <w:tc>
          <w:tcPr>
            <w:tcW w:w="502" w:type="dxa"/>
            <w:tcBorders>
              <w:left w:val="single" w:sz="4" w:space="0" w:color="000000"/>
              <w:bottom w:val="single" w:sz="4" w:space="0" w:color="000000"/>
              <w:right w:val="single" w:sz="4" w:space="0" w:color="000000"/>
            </w:tcBorders>
            <w:shd w:val="clear" w:color="auto" w:fill="A8D08D"/>
            <w:textDirection w:val="btLr"/>
          </w:tcPr>
          <w:p>
            <w:pPr>
              <w:pStyle w:val="TableParagraph"/>
              <w:spacing w:before="107"/>
              <w:ind w:left="612" w:right="-23"/>
              <w:jc w:val="left"/>
              <w:rPr>
                <w:b/>
                <w:sz w:val="18"/>
              </w:rPr>
            </w:pPr>
            <w:r>
              <w:rPr>
                <w:b/>
                <w:w w:val="99"/>
                <w:sz w:val="18"/>
              </w:rPr>
              <w:t>Reg</w:t>
            </w:r>
            <w:r>
              <w:rPr>
                <w:b/>
                <w:w w:val="100"/>
                <w:sz w:val="18"/>
              </w:rPr>
              <w:t>i</w:t>
            </w:r>
            <w:r>
              <w:rPr>
                <w:b/>
                <w:w w:val="100"/>
                <w:sz w:val="18"/>
              </w:rPr>
              <w:t>du</w:t>
            </w:r>
            <w:r>
              <w:rPr>
                <w:b/>
                <w:w w:val="99"/>
                <w:sz w:val="18"/>
              </w:rPr>
              <w:t>ría</w:t>
            </w:r>
          </w:p>
        </w:tc>
        <w:tc>
          <w:tcPr>
            <w:tcW w:w="499" w:type="dxa"/>
            <w:tcBorders>
              <w:left w:val="single" w:sz="4" w:space="0" w:color="000000"/>
              <w:bottom w:val="single" w:sz="4" w:space="0" w:color="000000"/>
              <w:right w:val="single" w:sz="4" w:space="0" w:color="000000"/>
            </w:tcBorders>
            <w:shd w:val="clear" w:color="auto" w:fill="A8D08D"/>
            <w:textDirection w:val="btLr"/>
          </w:tcPr>
          <w:p>
            <w:pPr>
              <w:pStyle w:val="TableParagraph"/>
              <w:spacing w:before="104"/>
              <w:ind w:left="192" w:right="-21"/>
              <w:jc w:val="left"/>
              <w:rPr>
                <w:b/>
                <w:sz w:val="18"/>
              </w:rPr>
            </w:pPr>
            <w:r>
              <w:rPr>
                <w:b/>
                <w:w w:val="99"/>
                <w:sz w:val="18"/>
              </w:rPr>
              <w:t>Rem</w:t>
            </w:r>
            <w:r>
              <w:rPr>
                <w:b/>
                <w:w w:val="100"/>
                <w:sz w:val="18"/>
              </w:rPr>
              <w:t>un</w:t>
            </w:r>
            <w:r>
              <w:rPr>
                <w:b/>
                <w:w w:val="99"/>
                <w:sz w:val="18"/>
              </w:rPr>
              <w:t>era</w:t>
            </w:r>
            <w:r>
              <w:rPr>
                <w:b/>
                <w:spacing w:val="-2"/>
                <w:w w:val="99"/>
                <w:sz w:val="18"/>
              </w:rPr>
              <w:t>c</w:t>
            </w:r>
            <w:r>
              <w:rPr>
                <w:b/>
                <w:w w:val="100"/>
                <w:sz w:val="18"/>
              </w:rPr>
              <w:t>ión</w:t>
            </w:r>
          </w:p>
        </w:tc>
        <w:tc>
          <w:tcPr>
            <w:tcW w:w="500" w:type="dxa"/>
            <w:tcBorders>
              <w:left w:val="single" w:sz="4" w:space="0" w:color="000000"/>
              <w:bottom w:val="single" w:sz="4" w:space="0" w:color="000000"/>
            </w:tcBorders>
            <w:shd w:val="clear" w:color="auto" w:fill="A8D08D"/>
            <w:textDirection w:val="btLr"/>
          </w:tcPr>
          <w:p>
            <w:pPr>
              <w:pStyle w:val="TableParagraph"/>
              <w:spacing w:before="104"/>
              <w:ind w:right="-5"/>
              <w:jc w:val="right"/>
              <w:rPr>
                <w:b/>
                <w:sz w:val="18"/>
              </w:rPr>
            </w:pPr>
            <w:r>
              <w:rPr>
                <w:b/>
                <w:w w:val="100"/>
                <w:sz w:val="18"/>
              </w:rPr>
              <w:t>To</w:t>
            </w:r>
            <w:r>
              <w:rPr>
                <w:b/>
                <w:w w:val="99"/>
                <w:sz w:val="18"/>
              </w:rPr>
              <w:t>ta</w:t>
            </w:r>
            <w:r>
              <w:rPr>
                <w:b/>
                <w:w w:val="100"/>
                <w:sz w:val="18"/>
              </w:rPr>
              <w:t>l</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67"/>
              <w:jc w:val="left"/>
              <w:rPr>
                <w:b/>
                <w:sz w:val="18"/>
              </w:rPr>
            </w:pPr>
            <w:r>
              <w:rPr>
                <w:b/>
                <w:sz w:val="18"/>
              </w:rPr>
              <w:t>CUAUTITLAN IZCALLI</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24" w:right="124"/>
              <w:rPr>
                <w:sz w:val="18"/>
              </w:rPr>
            </w:pPr>
            <w:r>
              <w:rPr>
                <w:sz w:val="18"/>
              </w:rPr>
              <w:t>21</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46"/>
              <w:jc w:val="left"/>
              <w:rPr>
                <w:sz w:val="18"/>
              </w:rPr>
            </w:pPr>
            <w:r>
              <w:rPr>
                <w:sz w:val="18"/>
              </w:rPr>
              <w:t>16</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201" w:lineRule="exact"/>
              <w:ind w:left="125" w:right="125"/>
              <w:rPr>
                <w:b/>
                <w:sz w:val="18"/>
              </w:rPr>
            </w:pPr>
            <w:r>
              <w:rPr>
                <w:b/>
                <w:sz w:val="18"/>
              </w:rPr>
              <w:t>38</w:t>
            </w:r>
          </w:p>
        </w:tc>
      </w:tr>
      <w:tr>
        <w:trPr>
          <w:trHeight w:val="322" w:hRule="exact"/>
        </w:trPr>
        <w:tc>
          <w:tcPr>
            <w:tcW w:w="4602"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67"/>
              <w:jc w:val="left"/>
              <w:rPr>
                <w:b/>
                <w:sz w:val="18"/>
              </w:rPr>
            </w:pPr>
            <w:r>
              <w:rPr>
                <w:b/>
                <w:sz w:val="18"/>
              </w:rPr>
              <w:t>DONATO GUERRA</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24" w:right="124"/>
              <w:rPr>
                <w:sz w:val="18"/>
              </w:rPr>
            </w:pPr>
            <w:r>
              <w:rPr>
                <w:sz w:val="18"/>
              </w:rPr>
              <w:t>21</w:t>
            </w:r>
          </w:p>
        </w:tc>
        <w:tc>
          <w:tcPr>
            <w:tcW w:w="502"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ind w:left="146"/>
              <w:jc w:val="left"/>
              <w:rPr>
                <w:sz w:val="18"/>
              </w:rPr>
            </w:pPr>
            <w:r>
              <w:rPr>
                <w:sz w:val="18"/>
              </w:rPr>
              <w:t>10</w:t>
            </w:r>
          </w:p>
        </w:tc>
        <w:tc>
          <w:tcPr>
            <w:tcW w:w="499" w:type="dxa"/>
            <w:tcBorders>
              <w:top w:val="single" w:sz="4" w:space="0" w:color="000000"/>
              <w:left w:val="single" w:sz="4" w:space="0" w:color="000000"/>
              <w:bottom w:val="single" w:sz="4" w:space="0" w:color="000000"/>
              <w:right w:val="single" w:sz="4" w:space="0" w:color="000000"/>
            </w:tcBorders>
          </w:tcPr>
          <w:p>
            <w:pPr>
              <w:pStyle w:val="TableParagraph"/>
              <w:spacing w:line="203" w:lineRule="exact"/>
              <w:rPr>
                <w:sz w:val="18"/>
              </w:rPr>
            </w:pPr>
            <w:r>
              <w:rPr>
                <w:w w:val="99"/>
                <w:sz w:val="18"/>
              </w:rPr>
              <w:t>1</w:t>
            </w:r>
          </w:p>
        </w:tc>
        <w:tc>
          <w:tcPr>
            <w:tcW w:w="500" w:type="dxa"/>
            <w:tcBorders>
              <w:top w:val="single" w:sz="4" w:space="0" w:color="000000"/>
              <w:left w:val="single" w:sz="4" w:space="0" w:color="000000"/>
              <w:bottom w:val="single" w:sz="4" w:space="0" w:color="000000"/>
              <w:right w:val="single" w:sz="4" w:space="0" w:color="000000"/>
            </w:tcBorders>
          </w:tcPr>
          <w:p>
            <w:pPr>
              <w:pStyle w:val="TableParagraph"/>
              <w:spacing w:line="199" w:lineRule="exact"/>
              <w:ind w:left="125" w:right="125"/>
              <w:rPr>
                <w:b/>
                <w:sz w:val="18"/>
              </w:rPr>
            </w:pPr>
            <w:r>
              <w:rPr>
                <w:b/>
                <w:sz w:val="18"/>
              </w:rPr>
              <w:t>32</w:t>
            </w:r>
          </w:p>
        </w:tc>
      </w:tr>
    </w:tbl>
    <w:p>
      <w:pPr>
        <w:spacing w:line="203" w:lineRule="exact" w:before="0"/>
        <w:ind w:left="1218" w:right="552" w:firstLine="0"/>
        <w:jc w:val="left"/>
        <w:rPr>
          <w:sz w:val="18"/>
        </w:rPr>
      </w:pPr>
      <w:r>
        <w:rPr>
          <w:sz w:val="18"/>
        </w:rPr>
        <w:t>Elaboración propia con datos del INFOEM.</w:t>
      </w:r>
    </w:p>
    <w:p>
      <w:pPr>
        <w:spacing w:after="0" w:line="203" w:lineRule="exact"/>
        <w:jc w:val="left"/>
        <w:rPr>
          <w:sz w:val="18"/>
        </w:rPr>
        <w:sectPr>
          <w:pgSz w:w="12240" w:h="15840"/>
          <w:pgMar w:header="0" w:footer="975" w:top="1420" w:bottom="1160" w:left="1720" w:right="1720"/>
        </w:sectPr>
      </w:pPr>
    </w:p>
    <w:p>
      <w:pPr>
        <w:pStyle w:val="BodyText"/>
        <w:rPr>
          <w:rFonts w:ascii="Times New Roman"/>
          <w:sz w:val="20"/>
        </w:rPr>
      </w:pPr>
    </w:p>
    <w:p>
      <w:pPr>
        <w:pStyle w:val="BodyText"/>
        <w:spacing w:before="10"/>
        <w:rPr>
          <w:rFonts w:ascii="Times New Roman"/>
          <w:sz w:val="28"/>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00"/>
        <w:gridCol w:w="1645"/>
        <w:gridCol w:w="643"/>
        <w:gridCol w:w="641"/>
        <w:gridCol w:w="1644"/>
        <w:gridCol w:w="1644"/>
        <w:gridCol w:w="643"/>
        <w:gridCol w:w="641"/>
        <w:gridCol w:w="1644"/>
      </w:tblGrid>
      <w:tr>
        <w:trPr>
          <w:trHeight w:val="420" w:hRule="exact"/>
        </w:trPr>
        <w:tc>
          <w:tcPr>
            <w:tcW w:w="12945" w:type="dxa"/>
            <w:gridSpan w:val="9"/>
            <w:shd w:val="clear" w:color="auto" w:fill="C5DFB3"/>
          </w:tcPr>
          <w:p>
            <w:pPr>
              <w:pStyle w:val="TableParagraph"/>
              <w:spacing w:before="44"/>
              <w:ind w:left="3540"/>
              <w:jc w:val="left"/>
              <w:rPr>
                <w:b/>
                <w:sz w:val="18"/>
              </w:rPr>
            </w:pPr>
            <w:r>
              <w:rPr>
                <w:b/>
                <w:sz w:val="18"/>
              </w:rPr>
              <w:t>Anexo 24. Municipios que publican apartado presupuesto 2006-2007</w:t>
            </w:r>
          </w:p>
        </w:tc>
      </w:tr>
      <w:tr>
        <w:trPr>
          <w:trHeight w:val="319" w:hRule="exact"/>
        </w:trPr>
        <w:tc>
          <w:tcPr>
            <w:tcW w:w="3800"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2"/>
              <w:jc w:val="left"/>
              <w:rPr>
                <w:rFonts w:ascii="Times New Roman"/>
                <w:sz w:val="23"/>
              </w:rPr>
            </w:pPr>
          </w:p>
          <w:p>
            <w:pPr>
              <w:pStyle w:val="TableParagraph"/>
              <w:ind w:left="1455" w:right="1455"/>
              <w:rPr>
                <w:b/>
                <w:sz w:val="18"/>
              </w:rPr>
            </w:pPr>
            <w:r>
              <w:rPr>
                <w:b/>
                <w:sz w:val="18"/>
              </w:rPr>
              <w:t>Municipio</w:t>
            </w:r>
          </w:p>
        </w:tc>
        <w:tc>
          <w:tcPr>
            <w:tcW w:w="4573" w:type="dxa"/>
            <w:gridSpan w:val="4"/>
            <w:shd w:val="clear" w:color="auto" w:fill="C5DFB3"/>
          </w:tcPr>
          <w:p>
            <w:pPr>
              <w:pStyle w:val="TableParagraph"/>
              <w:spacing w:line="201" w:lineRule="exact"/>
              <w:ind w:left="2065" w:right="2058"/>
              <w:rPr>
                <w:b/>
                <w:sz w:val="18"/>
              </w:rPr>
            </w:pPr>
            <w:r>
              <w:rPr>
                <w:b/>
                <w:sz w:val="18"/>
              </w:rPr>
              <w:t>2006</w:t>
            </w:r>
          </w:p>
        </w:tc>
        <w:tc>
          <w:tcPr>
            <w:tcW w:w="4573" w:type="dxa"/>
            <w:gridSpan w:val="4"/>
            <w:shd w:val="clear" w:color="auto" w:fill="C5DFB3"/>
          </w:tcPr>
          <w:p>
            <w:pPr>
              <w:pStyle w:val="TableParagraph"/>
              <w:spacing w:line="201" w:lineRule="exact"/>
              <w:ind w:left="2064" w:right="2058"/>
              <w:rPr>
                <w:b/>
                <w:sz w:val="18"/>
              </w:rPr>
            </w:pPr>
            <w:r>
              <w:rPr>
                <w:b/>
                <w:sz w:val="18"/>
              </w:rPr>
              <w:t>2007</w:t>
            </w:r>
          </w:p>
        </w:tc>
      </w:tr>
      <w:tr>
        <w:trPr>
          <w:trHeight w:val="1375" w:hRule="exact"/>
        </w:trPr>
        <w:tc>
          <w:tcPr>
            <w:tcW w:w="3800" w:type="dxa"/>
            <w:vMerge/>
            <w:shd w:val="clear" w:color="auto" w:fill="C5DFB3"/>
          </w:tcPr>
          <w:p>
            <w:pPr/>
          </w:p>
        </w:tc>
        <w:tc>
          <w:tcPr>
            <w:tcW w:w="1645"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21"/>
              </w:rPr>
            </w:pPr>
          </w:p>
          <w:p>
            <w:pPr>
              <w:pStyle w:val="TableParagraph"/>
              <w:ind w:left="251"/>
              <w:jc w:val="left"/>
              <w:rPr>
                <w:sz w:val="18"/>
              </w:rPr>
            </w:pPr>
            <w:r>
              <w:rPr>
                <w:w w:val="99"/>
                <w:sz w:val="18"/>
              </w:rPr>
              <w:t>Au</w:t>
            </w:r>
            <w:r>
              <w:rPr>
                <w:w w:val="100"/>
                <w:sz w:val="18"/>
              </w:rPr>
              <w:t>to</w:t>
            </w:r>
            <w:r>
              <w:rPr>
                <w:w w:val="99"/>
                <w:sz w:val="18"/>
              </w:rPr>
              <w:t>r</w:t>
            </w:r>
            <w:r>
              <w:rPr>
                <w:spacing w:val="-2"/>
                <w:w w:val="99"/>
                <w:sz w:val="18"/>
              </w:rPr>
              <w:t>i</w:t>
            </w:r>
            <w:r>
              <w:rPr>
                <w:spacing w:val="1"/>
                <w:sz w:val="18"/>
              </w:rPr>
              <w:t>z</w:t>
            </w:r>
            <w:r>
              <w:rPr>
                <w:w w:val="99"/>
                <w:sz w:val="18"/>
              </w:rPr>
              <w:t>ado</w:t>
            </w:r>
          </w:p>
        </w:tc>
        <w:tc>
          <w:tcPr>
            <w:tcW w:w="643" w:type="dxa"/>
            <w:shd w:val="clear" w:color="auto" w:fill="C5DFB3"/>
            <w:textDirection w:val="btLr"/>
          </w:tcPr>
          <w:p>
            <w:pPr>
              <w:pStyle w:val="TableParagraph"/>
              <w:spacing w:before="157"/>
              <w:ind w:left="247"/>
              <w:jc w:val="left"/>
              <w:rPr>
                <w:sz w:val="18"/>
              </w:rPr>
            </w:pPr>
            <w:r>
              <w:rPr>
                <w:spacing w:val="1"/>
                <w:w w:val="99"/>
                <w:sz w:val="18"/>
              </w:rPr>
              <w:t>M</w:t>
            </w:r>
            <w:r>
              <w:rPr>
                <w:w w:val="99"/>
                <w:sz w:val="18"/>
              </w:rPr>
              <w:t>od</w:t>
            </w:r>
            <w:r>
              <w:rPr>
                <w:spacing w:val="-2"/>
                <w:w w:val="99"/>
                <w:sz w:val="18"/>
              </w:rPr>
              <w:t>i</w:t>
            </w:r>
            <w:r>
              <w:rPr>
                <w:sz w:val="18"/>
              </w:rPr>
              <w:t>f</w:t>
            </w:r>
            <w:r>
              <w:rPr>
                <w:spacing w:val="1"/>
                <w:sz w:val="18"/>
              </w:rPr>
              <w:t>i</w:t>
            </w:r>
            <w:r>
              <w:rPr>
                <w:spacing w:val="-2"/>
                <w:sz w:val="18"/>
              </w:rPr>
              <w:t>c</w:t>
            </w:r>
            <w:r>
              <w:rPr>
                <w:w w:val="99"/>
                <w:sz w:val="18"/>
              </w:rPr>
              <w:t>ado</w:t>
            </w:r>
          </w:p>
        </w:tc>
        <w:tc>
          <w:tcPr>
            <w:tcW w:w="641" w:type="dxa"/>
            <w:shd w:val="clear" w:color="auto" w:fill="C5DFB3"/>
            <w:textDirection w:val="btLr"/>
          </w:tcPr>
          <w:p>
            <w:pPr>
              <w:pStyle w:val="TableParagraph"/>
              <w:spacing w:before="155"/>
              <w:ind w:left="357"/>
              <w:jc w:val="left"/>
              <w:rPr>
                <w:sz w:val="18"/>
              </w:rPr>
            </w:pPr>
            <w:r>
              <w:rPr>
                <w:w w:val="99"/>
                <w:sz w:val="18"/>
              </w:rPr>
              <w:t>Eje</w:t>
            </w:r>
            <w:r>
              <w:rPr>
                <w:w w:val="99"/>
                <w:sz w:val="18"/>
              </w:rPr>
              <w:t>r</w:t>
            </w:r>
            <w:r>
              <w:rPr>
                <w:spacing w:val="1"/>
                <w:w w:val="99"/>
                <w:sz w:val="18"/>
              </w:rPr>
              <w:t>c</w:t>
            </w:r>
            <w:r>
              <w:rPr>
                <w:spacing w:val="-2"/>
                <w:w w:val="99"/>
                <w:sz w:val="18"/>
              </w:rPr>
              <w:t>i</w:t>
            </w:r>
            <w:r>
              <w:rPr>
                <w:w w:val="99"/>
                <w:sz w:val="18"/>
              </w:rPr>
              <w:t>do</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21"/>
              </w:rPr>
            </w:pPr>
          </w:p>
          <w:p>
            <w:pPr>
              <w:pStyle w:val="TableParagraph"/>
              <w:ind w:left="242"/>
              <w:jc w:val="left"/>
              <w:rPr>
                <w:sz w:val="18"/>
              </w:rPr>
            </w:pPr>
            <w:r>
              <w:rPr>
                <w:w w:val="99"/>
                <w:sz w:val="18"/>
              </w:rPr>
              <w:t>Po</w:t>
            </w:r>
            <w:r>
              <w:rPr>
                <w:w w:val="99"/>
                <w:sz w:val="18"/>
              </w:rPr>
              <w:t>r </w:t>
            </w:r>
            <w:r>
              <w:rPr>
                <w:w w:val="99"/>
                <w:sz w:val="18"/>
              </w:rPr>
              <w:t>e</w:t>
            </w:r>
            <w:r>
              <w:rPr>
                <w:w w:val="99"/>
                <w:sz w:val="18"/>
              </w:rPr>
              <w:t>j</w:t>
            </w:r>
            <w:r>
              <w:rPr>
                <w:w w:val="99"/>
                <w:sz w:val="18"/>
              </w:rPr>
              <w:t>e</w:t>
            </w:r>
            <w:r>
              <w:rPr>
                <w:spacing w:val="-3"/>
                <w:w w:val="99"/>
                <w:sz w:val="18"/>
              </w:rPr>
              <w:t>r</w:t>
            </w:r>
            <w:r>
              <w:rPr>
                <w:spacing w:val="1"/>
                <w:w w:val="99"/>
                <w:sz w:val="18"/>
              </w:rPr>
              <w:t>c</w:t>
            </w:r>
            <w:r>
              <w:rPr>
                <w:spacing w:val="1"/>
                <w:w w:val="99"/>
                <w:sz w:val="18"/>
              </w:rPr>
              <w:t>e</w:t>
            </w:r>
            <w:r>
              <w:rPr>
                <w:w w:val="99"/>
                <w:sz w:val="18"/>
              </w:rPr>
              <w:t>r</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21"/>
              </w:rPr>
            </w:pPr>
          </w:p>
          <w:p>
            <w:pPr>
              <w:pStyle w:val="TableParagraph"/>
              <w:ind w:left="251"/>
              <w:jc w:val="left"/>
              <w:rPr>
                <w:sz w:val="18"/>
              </w:rPr>
            </w:pPr>
            <w:r>
              <w:rPr>
                <w:w w:val="99"/>
                <w:sz w:val="18"/>
              </w:rPr>
              <w:t>Au</w:t>
            </w:r>
            <w:r>
              <w:rPr>
                <w:w w:val="100"/>
                <w:sz w:val="18"/>
              </w:rPr>
              <w:t>to</w:t>
            </w:r>
            <w:r>
              <w:rPr>
                <w:w w:val="99"/>
                <w:sz w:val="18"/>
              </w:rPr>
              <w:t>r</w:t>
            </w:r>
            <w:r>
              <w:rPr>
                <w:spacing w:val="-2"/>
                <w:w w:val="99"/>
                <w:sz w:val="18"/>
              </w:rPr>
              <w:t>i</w:t>
            </w:r>
            <w:r>
              <w:rPr>
                <w:spacing w:val="1"/>
                <w:sz w:val="18"/>
              </w:rPr>
              <w:t>z</w:t>
            </w:r>
            <w:r>
              <w:rPr>
                <w:w w:val="99"/>
                <w:sz w:val="18"/>
              </w:rPr>
              <w:t>ado</w:t>
            </w:r>
          </w:p>
        </w:tc>
        <w:tc>
          <w:tcPr>
            <w:tcW w:w="643" w:type="dxa"/>
            <w:shd w:val="clear" w:color="auto" w:fill="C5DFB3"/>
            <w:textDirection w:val="btLr"/>
          </w:tcPr>
          <w:p>
            <w:pPr>
              <w:pStyle w:val="TableParagraph"/>
              <w:spacing w:before="157"/>
              <w:ind w:left="247"/>
              <w:jc w:val="left"/>
              <w:rPr>
                <w:sz w:val="18"/>
              </w:rPr>
            </w:pPr>
            <w:r>
              <w:rPr>
                <w:spacing w:val="1"/>
                <w:w w:val="99"/>
                <w:sz w:val="18"/>
              </w:rPr>
              <w:t>M</w:t>
            </w:r>
            <w:r>
              <w:rPr>
                <w:w w:val="99"/>
                <w:sz w:val="18"/>
              </w:rPr>
              <w:t>od</w:t>
            </w:r>
            <w:r>
              <w:rPr>
                <w:spacing w:val="-2"/>
                <w:w w:val="99"/>
                <w:sz w:val="18"/>
              </w:rPr>
              <w:t>i</w:t>
            </w:r>
            <w:r>
              <w:rPr>
                <w:sz w:val="18"/>
              </w:rPr>
              <w:t>f</w:t>
            </w:r>
            <w:r>
              <w:rPr>
                <w:spacing w:val="1"/>
                <w:sz w:val="18"/>
              </w:rPr>
              <w:t>i</w:t>
            </w:r>
            <w:r>
              <w:rPr>
                <w:spacing w:val="-2"/>
                <w:sz w:val="18"/>
              </w:rPr>
              <w:t>c</w:t>
            </w:r>
            <w:r>
              <w:rPr>
                <w:w w:val="99"/>
                <w:sz w:val="18"/>
              </w:rPr>
              <w:t>ado</w:t>
            </w:r>
          </w:p>
        </w:tc>
        <w:tc>
          <w:tcPr>
            <w:tcW w:w="641" w:type="dxa"/>
            <w:shd w:val="clear" w:color="auto" w:fill="C5DFB3"/>
            <w:textDirection w:val="btLr"/>
          </w:tcPr>
          <w:p>
            <w:pPr>
              <w:pStyle w:val="TableParagraph"/>
              <w:spacing w:before="155"/>
              <w:ind w:left="357"/>
              <w:jc w:val="left"/>
              <w:rPr>
                <w:sz w:val="18"/>
              </w:rPr>
            </w:pPr>
            <w:r>
              <w:rPr>
                <w:w w:val="99"/>
                <w:sz w:val="18"/>
              </w:rPr>
              <w:t>Eje</w:t>
            </w:r>
            <w:r>
              <w:rPr>
                <w:w w:val="99"/>
                <w:sz w:val="18"/>
              </w:rPr>
              <w:t>r</w:t>
            </w:r>
            <w:r>
              <w:rPr>
                <w:spacing w:val="1"/>
                <w:w w:val="99"/>
                <w:sz w:val="18"/>
              </w:rPr>
              <w:t>c</w:t>
            </w:r>
            <w:r>
              <w:rPr>
                <w:spacing w:val="-2"/>
                <w:w w:val="99"/>
                <w:sz w:val="18"/>
              </w:rPr>
              <w:t>i</w:t>
            </w:r>
            <w:r>
              <w:rPr>
                <w:w w:val="99"/>
                <w:sz w:val="18"/>
              </w:rPr>
              <w:t>do</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21"/>
              </w:rPr>
            </w:pPr>
          </w:p>
          <w:p>
            <w:pPr>
              <w:pStyle w:val="TableParagraph"/>
              <w:ind w:left="242"/>
              <w:jc w:val="left"/>
              <w:rPr>
                <w:sz w:val="18"/>
              </w:rPr>
            </w:pPr>
            <w:r>
              <w:rPr>
                <w:w w:val="99"/>
                <w:sz w:val="18"/>
              </w:rPr>
              <w:t>Po</w:t>
            </w:r>
            <w:r>
              <w:rPr>
                <w:w w:val="99"/>
                <w:sz w:val="18"/>
              </w:rPr>
              <w:t>r </w:t>
            </w:r>
            <w:r>
              <w:rPr>
                <w:w w:val="99"/>
                <w:sz w:val="18"/>
              </w:rPr>
              <w:t>e</w:t>
            </w:r>
            <w:r>
              <w:rPr>
                <w:w w:val="99"/>
                <w:sz w:val="18"/>
              </w:rPr>
              <w:t>j</w:t>
            </w:r>
            <w:r>
              <w:rPr>
                <w:w w:val="99"/>
                <w:sz w:val="18"/>
              </w:rPr>
              <w:t>e</w:t>
            </w:r>
            <w:r>
              <w:rPr>
                <w:spacing w:val="-3"/>
                <w:w w:val="99"/>
                <w:sz w:val="18"/>
              </w:rPr>
              <w:t>r</w:t>
            </w:r>
            <w:r>
              <w:rPr>
                <w:spacing w:val="1"/>
                <w:w w:val="99"/>
                <w:sz w:val="18"/>
              </w:rPr>
              <w:t>c</w:t>
            </w:r>
            <w:r>
              <w:rPr>
                <w:w w:val="99"/>
                <w:sz w:val="18"/>
              </w:rPr>
              <w:t>e</w:t>
            </w:r>
            <w:r>
              <w:rPr>
                <w:w w:val="99"/>
                <w:sz w:val="18"/>
              </w:rPr>
              <w:t>r</w:t>
            </w:r>
          </w:p>
        </w:tc>
      </w:tr>
      <w:tr>
        <w:trPr>
          <w:trHeight w:val="322" w:hRule="exact"/>
        </w:trPr>
        <w:tc>
          <w:tcPr>
            <w:tcW w:w="3800" w:type="dxa"/>
          </w:tcPr>
          <w:p>
            <w:pPr>
              <w:pStyle w:val="TableParagraph"/>
              <w:spacing w:line="202" w:lineRule="exact"/>
              <w:ind w:left="64"/>
              <w:jc w:val="left"/>
              <w:rPr>
                <w:b/>
                <w:sz w:val="18"/>
              </w:rPr>
            </w:pPr>
            <w:r>
              <w:rPr>
                <w:b/>
                <w:color w:val="333333"/>
                <w:sz w:val="18"/>
              </w:rPr>
              <w:t>ACAMBAY</w:t>
            </w:r>
          </w:p>
        </w:tc>
        <w:tc>
          <w:tcPr>
            <w:tcW w:w="1645" w:type="dxa"/>
          </w:tcPr>
          <w:p>
            <w:pPr>
              <w:pStyle w:val="TableParagraph"/>
              <w:spacing w:line="207" w:lineRule="exact"/>
              <w:ind w:left="121" w:right="117"/>
              <w:rPr>
                <w:sz w:val="18"/>
              </w:rPr>
            </w:pPr>
            <w:r>
              <w:rPr>
                <w:sz w:val="18"/>
              </w:rPr>
              <w:t>$0.00</w:t>
            </w:r>
          </w:p>
        </w:tc>
        <w:tc>
          <w:tcPr>
            <w:tcW w:w="643" w:type="dxa"/>
          </w:tcPr>
          <w:p>
            <w:pPr>
              <w:pStyle w:val="TableParagraph"/>
              <w:spacing w:line="207" w:lineRule="exact"/>
              <w:ind w:left="71" w:right="70"/>
              <w:rPr>
                <w:sz w:val="18"/>
              </w:rPr>
            </w:pPr>
            <w:r>
              <w:rPr>
                <w:sz w:val="18"/>
              </w:rPr>
              <w:t>$0.00</w:t>
            </w:r>
          </w:p>
        </w:tc>
        <w:tc>
          <w:tcPr>
            <w:tcW w:w="641" w:type="dxa"/>
          </w:tcPr>
          <w:p>
            <w:pPr>
              <w:pStyle w:val="TableParagraph"/>
              <w:spacing w:line="207" w:lineRule="exact"/>
              <w:ind w:left="43" w:right="44"/>
              <w:rPr>
                <w:sz w:val="18"/>
              </w:rPr>
            </w:pPr>
            <w:r>
              <w:rPr>
                <w:sz w:val="18"/>
              </w:rPr>
              <w:t>$0.00</w:t>
            </w:r>
          </w:p>
        </w:tc>
        <w:tc>
          <w:tcPr>
            <w:tcW w:w="1644" w:type="dxa"/>
          </w:tcPr>
          <w:p>
            <w:pPr>
              <w:pStyle w:val="TableParagraph"/>
              <w:spacing w:line="207" w:lineRule="exact"/>
              <w:ind w:left="47" w:right="44"/>
              <w:rPr>
                <w:sz w:val="18"/>
              </w:rPr>
            </w:pPr>
            <w:r>
              <w:rPr>
                <w:sz w:val="18"/>
              </w:rPr>
              <w:t>$0.00</w:t>
            </w:r>
          </w:p>
        </w:tc>
        <w:tc>
          <w:tcPr>
            <w:tcW w:w="1644" w:type="dxa"/>
          </w:tcPr>
          <w:p>
            <w:pPr>
              <w:pStyle w:val="TableParagraph"/>
              <w:spacing w:line="207" w:lineRule="exact"/>
              <w:ind w:left="46" w:right="43"/>
              <w:rPr>
                <w:sz w:val="18"/>
              </w:rPr>
            </w:pPr>
            <w:r>
              <w:rPr>
                <w:sz w:val="18"/>
              </w:rPr>
              <w:t>$0.00</w:t>
            </w:r>
          </w:p>
        </w:tc>
        <w:tc>
          <w:tcPr>
            <w:tcW w:w="643" w:type="dxa"/>
          </w:tcPr>
          <w:p>
            <w:pPr>
              <w:pStyle w:val="TableParagraph"/>
              <w:spacing w:line="207" w:lineRule="exact"/>
              <w:ind w:left="71" w:right="70"/>
              <w:rPr>
                <w:sz w:val="18"/>
              </w:rPr>
            </w:pPr>
            <w:r>
              <w:rPr>
                <w:sz w:val="18"/>
              </w:rPr>
              <w:t>$0.00</w:t>
            </w:r>
          </w:p>
        </w:tc>
        <w:tc>
          <w:tcPr>
            <w:tcW w:w="641" w:type="dxa"/>
          </w:tcPr>
          <w:p>
            <w:pPr>
              <w:pStyle w:val="TableParagraph"/>
              <w:spacing w:line="207" w:lineRule="exact"/>
              <w:ind w:left="70" w:right="71"/>
              <w:rPr>
                <w:sz w:val="18"/>
              </w:rPr>
            </w:pPr>
            <w:r>
              <w:rPr>
                <w:sz w:val="18"/>
              </w:rPr>
              <w:t>$0.00</w:t>
            </w:r>
          </w:p>
        </w:tc>
        <w:tc>
          <w:tcPr>
            <w:tcW w:w="1644" w:type="dxa"/>
          </w:tcPr>
          <w:p>
            <w:pPr>
              <w:pStyle w:val="TableParagraph"/>
              <w:spacing w:line="207" w:lineRule="exact"/>
              <w:ind w:left="46" w:right="43"/>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ACOLMAN</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color w:val="333333"/>
                <w:sz w:val="18"/>
              </w:rPr>
              <w:t>ACULCO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ALMOLOYA DE ALQUISIRAS</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color w:val="333333"/>
                <w:sz w:val="18"/>
              </w:rPr>
              <w:t>ALMOLOYA DE JUAREZ</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ALMOLOYA DEL RIO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22" w:hRule="exact"/>
        </w:trPr>
        <w:tc>
          <w:tcPr>
            <w:tcW w:w="3800" w:type="dxa"/>
          </w:tcPr>
          <w:p>
            <w:pPr>
              <w:pStyle w:val="TableParagraph"/>
              <w:spacing w:line="204" w:lineRule="exact"/>
              <w:ind w:left="64"/>
              <w:jc w:val="left"/>
              <w:rPr>
                <w:b/>
                <w:sz w:val="18"/>
              </w:rPr>
            </w:pPr>
            <w:r>
              <w:rPr>
                <w:b/>
                <w:color w:val="333333"/>
                <w:sz w:val="18"/>
              </w:rPr>
              <w:t>AMANALCO</w:t>
            </w:r>
          </w:p>
        </w:tc>
        <w:tc>
          <w:tcPr>
            <w:tcW w:w="1645" w:type="dxa"/>
          </w:tcPr>
          <w:p>
            <w:pPr>
              <w:pStyle w:val="TableParagraph"/>
              <w:spacing w:before="1"/>
              <w:ind w:left="121" w:right="117"/>
              <w:rPr>
                <w:sz w:val="18"/>
              </w:rPr>
            </w:pPr>
            <w:r>
              <w:rPr>
                <w:sz w:val="18"/>
              </w:rPr>
              <w:t>$0.00</w:t>
            </w:r>
          </w:p>
        </w:tc>
        <w:tc>
          <w:tcPr>
            <w:tcW w:w="643" w:type="dxa"/>
          </w:tcPr>
          <w:p>
            <w:pPr>
              <w:pStyle w:val="TableParagraph"/>
              <w:spacing w:before="1"/>
              <w:ind w:left="71" w:right="70"/>
              <w:rPr>
                <w:sz w:val="18"/>
              </w:rPr>
            </w:pPr>
            <w:r>
              <w:rPr>
                <w:sz w:val="18"/>
              </w:rPr>
              <w:t>$0.00</w:t>
            </w:r>
          </w:p>
        </w:tc>
        <w:tc>
          <w:tcPr>
            <w:tcW w:w="641" w:type="dxa"/>
          </w:tcPr>
          <w:p>
            <w:pPr>
              <w:pStyle w:val="TableParagraph"/>
              <w:spacing w:before="1"/>
              <w:ind w:left="43" w:right="44"/>
              <w:rPr>
                <w:sz w:val="18"/>
              </w:rPr>
            </w:pPr>
            <w:r>
              <w:rPr>
                <w:sz w:val="18"/>
              </w:rPr>
              <w:t>$0.00</w:t>
            </w:r>
          </w:p>
        </w:tc>
        <w:tc>
          <w:tcPr>
            <w:tcW w:w="1644" w:type="dxa"/>
          </w:tcPr>
          <w:p>
            <w:pPr>
              <w:pStyle w:val="TableParagraph"/>
              <w:spacing w:before="1"/>
              <w:ind w:left="47" w:right="44"/>
              <w:rPr>
                <w:sz w:val="18"/>
              </w:rPr>
            </w:pPr>
            <w:r>
              <w:rPr>
                <w:sz w:val="18"/>
              </w:rPr>
              <w:t>$0.00</w:t>
            </w:r>
          </w:p>
        </w:tc>
        <w:tc>
          <w:tcPr>
            <w:tcW w:w="1644" w:type="dxa"/>
          </w:tcPr>
          <w:p>
            <w:pPr>
              <w:pStyle w:val="TableParagraph"/>
              <w:spacing w:before="1"/>
              <w:ind w:left="46" w:right="43"/>
              <w:rPr>
                <w:sz w:val="18"/>
              </w:rPr>
            </w:pPr>
            <w:r>
              <w:rPr>
                <w:sz w:val="18"/>
              </w:rPr>
              <w:t>$0.00</w:t>
            </w:r>
          </w:p>
        </w:tc>
        <w:tc>
          <w:tcPr>
            <w:tcW w:w="643" w:type="dxa"/>
          </w:tcPr>
          <w:p>
            <w:pPr>
              <w:pStyle w:val="TableParagraph"/>
              <w:spacing w:before="1"/>
              <w:ind w:left="71" w:right="70"/>
              <w:rPr>
                <w:sz w:val="18"/>
              </w:rPr>
            </w:pPr>
            <w:r>
              <w:rPr>
                <w:sz w:val="18"/>
              </w:rPr>
              <w:t>$0.00</w:t>
            </w:r>
          </w:p>
        </w:tc>
        <w:tc>
          <w:tcPr>
            <w:tcW w:w="641" w:type="dxa"/>
          </w:tcPr>
          <w:p>
            <w:pPr>
              <w:pStyle w:val="TableParagraph"/>
              <w:spacing w:before="1"/>
              <w:ind w:left="70" w:right="71"/>
              <w:rPr>
                <w:sz w:val="18"/>
              </w:rPr>
            </w:pPr>
            <w:r>
              <w:rPr>
                <w:sz w:val="18"/>
              </w:rPr>
              <w:t>$0.00</w:t>
            </w:r>
          </w:p>
        </w:tc>
        <w:tc>
          <w:tcPr>
            <w:tcW w:w="1644" w:type="dxa"/>
          </w:tcPr>
          <w:p>
            <w:pPr>
              <w:pStyle w:val="TableParagraph"/>
              <w:spacing w:before="1"/>
              <w:ind w:left="46" w:right="43"/>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AMATEPEC</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22" w:hRule="exact"/>
        </w:trPr>
        <w:tc>
          <w:tcPr>
            <w:tcW w:w="3800" w:type="dxa"/>
          </w:tcPr>
          <w:p>
            <w:pPr>
              <w:pStyle w:val="TableParagraph"/>
              <w:spacing w:line="204" w:lineRule="exact"/>
              <w:ind w:left="64"/>
              <w:jc w:val="left"/>
              <w:rPr>
                <w:b/>
                <w:sz w:val="18"/>
              </w:rPr>
            </w:pPr>
            <w:r>
              <w:rPr>
                <w:b/>
                <w:color w:val="333333"/>
                <w:sz w:val="18"/>
              </w:rPr>
              <w:t>AMECAMECA</w:t>
            </w:r>
          </w:p>
        </w:tc>
        <w:tc>
          <w:tcPr>
            <w:tcW w:w="1645" w:type="dxa"/>
          </w:tcPr>
          <w:p>
            <w:pPr>
              <w:pStyle w:val="TableParagraph"/>
              <w:spacing w:before="1"/>
              <w:ind w:left="121" w:right="117"/>
              <w:rPr>
                <w:sz w:val="18"/>
              </w:rPr>
            </w:pPr>
            <w:r>
              <w:rPr>
                <w:sz w:val="18"/>
              </w:rPr>
              <w:t>$0.00</w:t>
            </w:r>
          </w:p>
        </w:tc>
        <w:tc>
          <w:tcPr>
            <w:tcW w:w="643" w:type="dxa"/>
          </w:tcPr>
          <w:p>
            <w:pPr>
              <w:pStyle w:val="TableParagraph"/>
              <w:spacing w:before="1"/>
              <w:ind w:left="71" w:right="70"/>
              <w:rPr>
                <w:sz w:val="18"/>
              </w:rPr>
            </w:pPr>
            <w:r>
              <w:rPr>
                <w:sz w:val="18"/>
              </w:rPr>
              <w:t>$0.00</w:t>
            </w:r>
          </w:p>
        </w:tc>
        <w:tc>
          <w:tcPr>
            <w:tcW w:w="641" w:type="dxa"/>
          </w:tcPr>
          <w:p>
            <w:pPr>
              <w:pStyle w:val="TableParagraph"/>
              <w:spacing w:before="1"/>
              <w:ind w:left="43" w:right="44"/>
              <w:rPr>
                <w:sz w:val="18"/>
              </w:rPr>
            </w:pPr>
            <w:r>
              <w:rPr>
                <w:sz w:val="18"/>
              </w:rPr>
              <w:t>$0.00</w:t>
            </w:r>
          </w:p>
        </w:tc>
        <w:tc>
          <w:tcPr>
            <w:tcW w:w="1644" w:type="dxa"/>
          </w:tcPr>
          <w:p>
            <w:pPr>
              <w:pStyle w:val="TableParagraph"/>
              <w:spacing w:before="1"/>
              <w:ind w:left="47" w:right="44"/>
              <w:rPr>
                <w:sz w:val="18"/>
              </w:rPr>
            </w:pPr>
            <w:r>
              <w:rPr>
                <w:sz w:val="18"/>
              </w:rPr>
              <w:t>$0.00</w:t>
            </w:r>
          </w:p>
        </w:tc>
        <w:tc>
          <w:tcPr>
            <w:tcW w:w="1644" w:type="dxa"/>
          </w:tcPr>
          <w:p>
            <w:pPr>
              <w:pStyle w:val="TableParagraph"/>
              <w:spacing w:before="1"/>
              <w:ind w:left="46" w:right="43"/>
              <w:rPr>
                <w:sz w:val="18"/>
              </w:rPr>
            </w:pPr>
            <w:r>
              <w:rPr>
                <w:sz w:val="18"/>
              </w:rPr>
              <w:t>$0.00</w:t>
            </w:r>
          </w:p>
        </w:tc>
        <w:tc>
          <w:tcPr>
            <w:tcW w:w="643" w:type="dxa"/>
          </w:tcPr>
          <w:p>
            <w:pPr>
              <w:pStyle w:val="TableParagraph"/>
              <w:spacing w:before="1"/>
              <w:ind w:left="71" w:right="70"/>
              <w:rPr>
                <w:sz w:val="18"/>
              </w:rPr>
            </w:pPr>
            <w:r>
              <w:rPr>
                <w:sz w:val="18"/>
              </w:rPr>
              <w:t>$0.00</w:t>
            </w:r>
          </w:p>
        </w:tc>
        <w:tc>
          <w:tcPr>
            <w:tcW w:w="641" w:type="dxa"/>
          </w:tcPr>
          <w:p>
            <w:pPr>
              <w:pStyle w:val="TableParagraph"/>
              <w:spacing w:before="1"/>
              <w:ind w:left="70" w:right="71"/>
              <w:rPr>
                <w:sz w:val="18"/>
              </w:rPr>
            </w:pPr>
            <w:r>
              <w:rPr>
                <w:sz w:val="18"/>
              </w:rPr>
              <w:t>$0.00</w:t>
            </w:r>
          </w:p>
        </w:tc>
        <w:tc>
          <w:tcPr>
            <w:tcW w:w="1644" w:type="dxa"/>
          </w:tcPr>
          <w:p>
            <w:pPr>
              <w:pStyle w:val="TableParagraph"/>
              <w:spacing w:before="1"/>
              <w:ind w:left="46" w:right="43"/>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color w:val="333333"/>
                <w:sz w:val="18"/>
              </w:rPr>
              <w:t>APAXCO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ATENCO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color w:val="333333"/>
                <w:sz w:val="18"/>
              </w:rPr>
              <w:t>ATIZAPAN</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ATIZAPAN DE ZARAGOZA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color w:val="333333"/>
                <w:sz w:val="18"/>
              </w:rPr>
              <w:t>ATLACOMULCO</w:t>
            </w:r>
          </w:p>
        </w:tc>
        <w:tc>
          <w:tcPr>
            <w:tcW w:w="1645" w:type="dxa"/>
          </w:tcPr>
          <w:p>
            <w:pPr>
              <w:pStyle w:val="TableParagraph"/>
              <w:spacing w:line="206" w:lineRule="exact"/>
              <w:ind w:left="121" w:right="117"/>
              <w:rPr>
                <w:sz w:val="18"/>
              </w:rPr>
            </w:pPr>
            <w:r>
              <w:rPr>
                <w:sz w:val="18"/>
              </w:rPr>
              <w:t>$147,249,093.51</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3"/>
              <w:rPr>
                <w:sz w:val="18"/>
              </w:rPr>
            </w:pPr>
            <w:r>
              <w:rPr>
                <w:sz w:val="18"/>
              </w:rPr>
              <w:t>$147,249,093.51</w:t>
            </w:r>
          </w:p>
        </w:tc>
        <w:tc>
          <w:tcPr>
            <w:tcW w:w="1644" w:type="dxa"/>
          </w:tcPr>
          <w:p>
            <w:pPr>
              <w:pStyle w:val="TableParagraph"/>
              <w:spacing w:line="206" w:lineRule="exact"/>
              <w:ind w:left="46" w:right="42"/>
              <w:rPr>
                <w:sz w:val="18"/>
              </w:rPr>
            </w:pPr>
            <w:r>
              <w:rPr>
                <w:sz w:val="18"/>
              </w:rPr>
              <w:t>$174,746,295.79</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2"/>
              <w:rPr>
                <w:sz w:val="18"/>
              </w:rPr>
            </w:pPr>
            <w:r>
              <w:rPr>
                <w:sz w:val="18"/>
              </w:rPr>
              <w:t>$174,746,295.79</w:t>
            </w:r>
          </w:p>
        </w:tc>
      </w:tr>
      <w:tr>
        <w:trPr>
          <w:trHeight w:val="319" w:hRule="exact"/>
        </w:trPr>
        <w:tc>
          <w:tcPr>
            <w:tcW w:w="3800" w:type="dxa"/>
          </w:tcPr>
          <w:p>
            <w:pPr>
              <w:pStyle w:val="TableParagraph"/>
              <w:spacing w:line="201" w:lineRule="exact"/>
              <w:ind w:left="64"/>
              <w:jc w:val="left"/>
              <w:rPr>
                <w:b/>
                <w:sz w:val="18"/>
              </w:rPr>
            </w:pPr>
            <w:r>
              <w:rPr>
                <w:b/>
                <w:color w:val="333333"/>
                <w:sz w:val="18"/>
              </w:rPr>
              <w:t>ATLAUTLA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color w:val="333333"/>
                <w:sz w:val="18"/>
              </w:rPr>
              <w:t>AXAPUSCO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AYAPANGO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22" w:hRule="exact"/>
        </w:trPr>
        <w:tc>
          <w:tcPr>
            <w:tcW w:w="3800" w:type="dxa"/>
          </w:tcPr>
          <w:p>
            <w:pPr>
              <w:pStyle w:val="TableParagraph"/>
              <w:spacing w:line="202" w:lineRule="exact"/>
              <w:ind w:left="64"/>
              <w:jc w:val="left"/>
              <w:rPr>
                <w:b/>
                <w:sz w:val="18"/>
              </w:rPr>
            </w:pPr>
            <w:r>
              <w:rPr>
                <w:b/>
                <w:color w:val="333333"/>
                <w:sz w:val="18"/>
              </w:rPr>
              <w:t>CALIMAYA</w:t>
            </w:r>
          </w:p>
        </w:tc>
        <w:tc>
          <w:tcPr>
            <w:tcW w:w="1645" w:type="dxa"/>
          </w:tcPr>
          <w:p>
            <w:pPr>
              <w:pStyle w:val="TableParagraph"/>
              <w:spacing w:line="207" w:lineRule="exact"/>
              <w:ind w:left="121" w:right="117"/>
              <w:rPr>
                <w:sz w:val="18"/>
              </w:rPr>
            </w:pPr>
            <w:r>
              <w:rPr>
                <w:sz w:val="18"/>
              </w:rPr>
              <w:t>$0.00</w:t>
            </w:r>
          </w:p>
        </w:tc>
        <w:tc>
          <w:tcPr>
            <w:tcW w:w="643" w:type="dxa"/>
          </w:tcPr>
          <w:p>
            <w:pPr>
              <w:pStyle w:val="TableParagraph"/>
              <w:spacing w:line="207" w:lineRule="exact"/>
              <w:ind w:left="71" w:right="70"/>
              <w:rPr>
                <w:sz w:val="18"/>
              </w:rPr>
            </w:pPr>
            <w:r>
              <w:rPr>
                <w:sz w:val="18"/>
              </w:rPr>
              <w:t>$0.00</w:t>
            </w:r>
          </w:p>
        </w:tc>
        <w:tc>
          <w:tcPr>
            <w:tcW w:w="641" w:type="dxa"/>
          </w:tcPr>
          <w:p>
            <w:pPr>
              <w:pStyle w:val="TableParagraph"/>
              <w:spacing w:line="207" w:lineRule="exact"/>
              <w:ind w:left="43" w:right="44"/>
              <w:rPr>
                <w:sz w:val="18"/>
              </w:rPr>
            </w:pPr>
            <w:r>
              <w:rPr>
                <w:sz w:val="18"/>
              </w:rPr>
              <w:t>$0.00</w:t>
            </w:r>
          </w:p>
        </w:tc>
        <w:tc>
          <w:tcPr>
            <w:tcW w:w="1644" w:type="dxa"/>
          </w:tcPr>
          <w:p>
            <w:pPr>
              <w:pStyle w:val="TableParagraph"/>
              <w:spacing w:line="207" w:lineRule="exact"/>
              <w:ind w:left="47" w:right="44"/>
              <w:rPr>
                <w:sz w:val="18"/>
              </w:rPr>
            </w:pPr>
            <w:r>
              <w:rPr>
                <w:sz w:val="18"/>
              </w:rPr>
              <w:t>$0.00</w:t>
            </w:r>
          </w:p>
        </w:tc>
        <w:tc>
          <w:tcPr>
            <w:tcW w:w="1644" w:type="dxa"/>
          </w:tcPr>
          <w:p>
            <w:pPr>
              <w:pStyle w:val="TableParagraph"/>
              <w:spacing w:line="207" w:lineRule="exact"/>
              <w:ind w:left="46" w:right="43"/>
              <w:rPr>
                <w:sz w:val="18"/>
              </w:rPr>
            </w:pPr>
            <w:r>
              <w:rPr>
                <w:sz w:val="18"/>
              </w:rPr>
              <w:t>$0.00</w:t>
            </w:r>
          </w:p>
        </w:tc>
        <w:tc>
          <w:tcPr>
            <w:tcW w:w="643" w:type="dxa"/>
          </w:tcPr>
          <w:p>
            <w:pPr>
              <w:pStyle w:val="TableParagraph"/>
              <w:spacing w:line="207" w:lineRule="exact"/>
              <w:ind w:left="71" w:right="70"/>
              <w:rPr>
                <w:sz w:val="18"/>
              </w:rPr>
            </w:pPr>
            <w:r>
              <w:rPr>
                <w:sz w:val="18"/>
              </w:rPr>
              <w:t>$0.00</w:t>
            </w:r>
          </w:p>
        </w:tc>
        <w:tc>
          <w:tcPr>
            <w:tcW w:w="641" w:type="dxa"/>
          </w:tcPr>
          <w:p>
            <w:pPr>
              <w:pStyle w:val="TableParagraph"/>
              <w:spacing w:line="207" w:lineRule="exact"/>
              <w:ind w:left="70" w:right="71"/>
              <w:rPr>
                <w:sz w:val="18"/>
              </w:rPr>
            </w:pPr>
            <w:r>
              <w:rPr>
                <w:sz w:val="18"/>
              </w:rPr>
              <w:t>$0.00</w:t>
            </w:r>
          </w:p>
        </w:tc>
        <w:tc>
          <w:tcPr>
            <w:tcW w:w="1644" w:type="dxa"/>
          </w:tcPr>
          <w:p>
            <w:pPr>
              <w:pStyle w:val="TableParagraph"/>
              <w:spacing w:line="207" w:lineRule="exact"/>
              <w:ind w:left="46" w:right="43"/>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CAPULHUAC</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22" w:hRule="exact"/>
        </w:trPr>
        <w:tc>
          <w:tcPr>
            <w:tcW w:w="3800" w:type="dxa"/>
          </w:tcPr>
          <w:p>
            <w:pPr>
              <w:pStyle w:val="TableParagraph"/>
              <w:spacing w:line="201" w:lineRule="exact"/>
              <w:ind w:left="1454" w:right="1455"/>
              <w:rPr>
                <w:b/>
                <w:sz w:val="18"/>
              </w:rPr>
            </w:pPr>
            <w:r>
              <w:rPr>
                <w:b/>
                <w:color w:val="333333"/>
                <w:sz w:val="18"/>
              </w:rPr>
              <w:t>CHALCO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22" w:hRule="exact"/>
        </w:trPr>
        <w:tc>
          <w:tcPr>
            <w:tcW w:w="3800" w:type="dxa"/>
          </w:tcPr>
          <w:p>
            <w:pPr>
              <w:pStyle w:val="TableParagraph"/>
              <w:spacing w:line="201" w:lineRule="exact"/>
              <w:ind w:left="1135"/>
              <w:jc w:val="left"/>
              <w:rPr>
                <w:b/>
                <w:sz w:val="18"/>
              </w:rPr>
            </w:pPr>
            <w:r>
              <w:rPr>
                <w:b/>
                <w:color w:val="333333"/>
                <w:sz w:val="18"/>
              </w:rPr>
              <w:t>CHAPA DE MOTA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bl>
    <w:p>
      <w:pPr>
        <w:spacing w:after="0" w:line="206" w:lineRule="exact"/>
        <w:rPr>
          <w:sz w:val="18"/>
        </w:rPr>
        <w:sectPr>
          <w:footerReference w:type="default" r:id="rId352"/>
          <w:pgSz w:w="15840" w:h="12240" w:orient="landscape"/>
          <w:pgMar w:footer="975" w:header="0" w:top="1140" w:bottom="1160" w:left="820" w:right="1840"/>
          <w:pgNumType w:start="427"/>
        </w:sectPr>
      </w:pPr>
    </w:p>
    <w:p>
      <w:pPr>
        <w:pStyle w:val="BodyText"/>
        <w:rPr>
          <w:rFonts w:ascii="Times New Roman"/>
          <w:sz w:val="20"/>
        </w:rPr>
      </w:pPr>
    </w:p>
    <w:p>
      <w:pPr>
        <w:pStyle w:val="BodyText"/>
        <w:spacing w:before="10"/>
        <w:rPr>
          <w:rFonts w:ascii="Times New Roman"/>
          <w:sz w:val="28"/>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00"/>
        <w:gridCol w:w="1645"/>
        <w:gridCol w:w="643"/>
        <w:gridCol w:w="641"/>
        <w:gridCol w:w="1644"/>
        <w:gridCol w:w="1644"/>
        <w:gridCol w:w="643"/>
        <w:gridCol w:w="641"/>
        <w:gridCol w:w="1644"/>
      </w:tblGrid>
      <w:tr>
        <w:trPr>
          <w:trHeight w:val="420" w:hRule="exact"/>
        </w:trPr>
        <w:tc>
          <w:tcPr>
            <w:tcW w:w="12945" w:type="dxa"/>
            <w:gridSpan w:val="9"/>
            <w:shd w:val="clear" w:color="auto" w:fill="C5DFB3"/>
          </w:tcPr>
          <w:p>
            <w:pPr>
              <w:pStyle w:val="TableParagraph"/>
              <w:spacing w:before="44"/>
              <w:ind w:left="2880"/>
              <w:jc w:val="left"/>
              <w:rPr>
                <w:b/>
                <w:sz w:val="18"/>
              </w:rPr>
            </w:pPr>
            <w:r>
              <w:rPr>
                <w:b/>
                <w:sz w:val="18"/>
              </w:rPr>
              <w:t>Anexo 24. Municipios que publican apartado presupuesto 2006-2007 (Continuación)</w:t>
            </w:r>
          </w:p>
        </w:tc>
      </w:tr>
      <w:tr>
        <w:trPr>
          <w:trHeight w:val="319" w:hRule="exact"/>
        </w:trPr>
        <w:tc>
          <w:tcPr>
            <w:tcW w:w="3800"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2"/>
              <w:jc w:val="left"/>
              <w:rPr>
                <w:rFonts w:ascii="Times New Roman"/>
                <w:sz w:val="23"/>
              </w:rPr>
            </w:pPr>
          </w:p>
          <w:p>
            <w:pPr>
              <w:pStyle w:val="TableParagraph"/>
              <w:ind w:left="1455" w:right="1455"/>
              <w:rPr>
                <w:b/>
                <w:sz w:val="18"/>
              </w:rPr>
            </w:pPr>
            <w:r>
              <w:rPr>
                <w:b/>
                <w:sz w:val="18"/>
              </w:rPr>
              <w:t>Municipio</w:t>
            </w:r>
          </w:p>
        </w:tc>
        <w:tc>
          <w:tcPr>
            <w:tcW w:w="4573" w:type="dxa"/>
            <w:gridSpan w:val="4"/>
            <w:shd w:val="clear" w:color="auto" w:fill="C5DFB3"/>
          </w:tcPr>
          <w:p>
            <w:pPr>
              <w:pStyle w:val="TableParagraph"/>
              <w:spacing w:line="201" w:lineRule="exact"/>
              <w:ind w:left="2065" w:right="2058"/>
              <w:rPr>
                <w:b/>
                <w:sz w:val="18"/>
              </w:rPr>
            </w:pPr>
            <w:r>
              <w:rPr>
                <w:b/>
                <w:sz w:val="18"/>
              </w:rPr>
              <w:t>2006</w:t>
            </w:r>
          </w:p>
        </w:tc>
        <w:tc>
          <w:tcPr>
            <w:tcW w:w="4573" w:type="dxa"/>
            <w:gridSpan w:val="4"/>
            <w:shd w:val="clear" w:color="auto" w:fill="C5DFB3"/>
          </w:tcPr>
          <w:p>
            <w:pPr>
              <w:pStyle w:val="TableParagraph"/>
              <w:spacing w:line="201" w:lineRule="exact"/>
              <w:ind w:left="2064" w:right="2058"/>
              <w:rPr>
                <w:b/>
                <w:sz w:val="18"/>
              </w:rPr>
            </w:pPr>
            <w:r>
              <w:rPr>
                <w:b/>
                <w:sz w:val="18"/>
              </w:rPr>
              <w:t>2007</w:t>
            </w:r>
          </w:p>
        </w:tc>
      </w:tr>
      <w:tr>
        <w:trPr>
          <w:trHeight w:val="1375" w:hRule="exact"/>
        </w:trPr>
        <w:tc>
          <w:tcPr>
            <w:tcW w:w="3800" w:type="dxa"/>
            <w:vMerge/>
            <w:shd w:val="clear" w:color="auto" w:fill="C5DFB3"/>
          </w:tcPr>
          <w:p>
            <w:pPr/>
          </w:p>
        </w:tc>
        <w:tc>
          <w:tcPr>
            <w:tcW w:w="1645"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21"/>
              </w:rPr>
            </w:pPr>
          </w:p>
          <w:p>
            <w:pPr>
              <w:pStyle w:val="TableParagraph"/>
              <w:ind w:left="251"/>
              <w:jc w:val="left"/>
              <w:rPr>
                <w:sz w:val="18"/>
              </w:rPr>
            </w:pPr>
            <w:r>
              <w:rPr>
                <w:w w:val="99"/>
                <w:sz w:val="18"/>
              </w:rPr>
              <w:t>Au</w:t>
            </w:r>
            <w:r>
              <w:rPr>
                <w:w w:val="100"/>
                <w:sz w:val="18"/>
              </w:rPr>
              <w:t>to</w:t>
            </w:r>
            <w:r>
              <w:rPr>
                <w:w w:val="99"/>
                <w:sz w:val="18"/>
              </w:rPr>
              <w:t>r</w:t>
            </w:r>
            <w:r>
              <w:rPr>
                <w:spacing w:val="-2"/>
                <w:w w:val="99"/>
                <w:sz w:val="18"/>
              </w:rPr>
              <w:t>i</w:t>
            </w:r>
            <w:r>
              <w:rPr>
                <w:spacing w:val="1"/>
                <w:sz w:val="18"/>
              </w:rPr>
              <w:t>z</w:t>
            </w:r>
            <w:r>
              <w:rPr>
                <w:w w:val="99"/>
                <w:sz w:val="18"/>
              </w:rPr>
              <w:t>ado</w:t>
            </w:r>
          </w:p>
        </w:tc>
        <w:tc>
          <w:tcPr>
            <w:tcW w:w="643" w:type="dxa"/>
            <w:shd w:val="clear" w:color="auto" w:fill="C5DFB3"/>
            <w:textDirection w:val="btLr"/>
          </w:tcPr>
          <w:p>
            <w:pPr>
              <w:pStyle w:val="TableParagraph"/>
              <w:spacing w:before="157"/>
              <w:ind w:left="247"/>
              <w:jc w:val="left"/>
              <w:rPr>
                <w:sz w:val="18"/>
              </w:rPr>
            </w:pPr>
            <w:r>
              <w:rPr>
                <w:spacing w:val="1"/>
                <w:w w:val="99"/>
                <w:sz w:val="18"/>
              </w:rPr>
              <w:t>M</w:t>
            </w:r>
            <w:r>
              <w:rPr>
                <w:w w:val="99"/>
                <w:sz w:val="18"/>
              </w:rPr>
              <w:t>od</w:t>
            </w:r>
            <w:r>
              <w:rPr>
                <w:spacing w:val="-2"/>
                <w:w w:val="99"/>
                <w:sz w:val="18"/>
              </w:rPr>
              <w:t>i</w:t>
            </w:r>
            <w:r>
              <w:rPr>
                <w:sz w:val="18"/>
              </w:rPr>
              <w:t>f</w:t>
            </w:r>
            <w:r>
              <w:rPr>
                <w:spacing w:val="1"/>
                <w:sz w:val="18"/>
              </w:rPr>
              <w:t>i</w:t>
            </w:r>
            <w:r>
              <w:rPr>
                <w:spacing w:val="-2"/>
                <w:sz w:val="18"/>
              </w:rPr>
              <w:t>c</w:t>
            </w:r>
            <w:r>
              <w:rPr>
                <w:w w:val="99"/>
                <w:sz w:val="18"/>
              </w:rPr>
              <w:t>ado</w:t>
            </w:r>
          </w:p>
        </w:tc>
        <w:tc>
          <w:tcPr>
            <w:tcW w:w="641" w:type="dxa"/>
            <w:shd w:val="clear" w:color="auto" w:fill="C5DFB3"/>
            <w:textDirection w:val="btLr"/>
          </w:tcPr>
          <w:p>
            <w:pPr>
              <w:pStyle w:val="TableParagraph"/>
              <w:spacing w:before="155"/>
              <w:ind w:left="357"/>
              <w:jc w:val="left"/>
              <w:rPr>
                <w:sz w:val="18"/>
              </w:rPr>
            </w:pPr>
            <w:r>
              <w:rPr>
                <w:w w:val="99"/>
                <w:sz w:val="18"/>
              </w:rPr>
              <w:t>Eje</w:t>
            </w:r>
            <w:r>
              <w:rPr>
                <w:w w:val="99"/>
                <w:sz w:val="18"/>
              </w:rPr>
              <w:t>r</w:t>
            </w:r>
            <w:r>
              <w:rPr>
                <w:spacing w:val="1"/>
                <w:w w:val="99"/>
                <w:sz w:val="18"/>
              </w:rPr>
              <w:t>c</w:t>
            </w:r>
            <w:r>
              <w:rPr>
                <w:spacing w:val="-2"/>
                <w:w w:val="99"/>
                <w:sz w:val="18"/>
              </w:rPr>
              <w:t>i</w:t>
            </w:r>
            <w:r>
              <w:rPr>
                <w:w w:val="99"/>
                <w:sz w:val="18"/>
              </w:rPr>
              <w:t>do</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21"/>
              </w:rPr>
            </w:pPr>
          </w:p>
          <w:p>
            <w:pPr>
              <w:pStyle w:val="TableParagraph"/>
              <w:ind w:left="242"/>
              <w:jc w:val="left"/>
              <w:rPr>
                <w:sz w:val="18"/>
              </w:rPr>
            </w:pPr>
            <w:r>
              <w:rPr>
                <w:w w:val="99"/>
                <w:sz w:val="18"/>
              </w:rPr>
              <w:t>Po</w:t>
            </w:r>
            <w:r>
              <w:rPr>
                <w:w w:val="99"/>
                <w:sz w:val="18"/>
              </w:rPr>
              <w:t>r </w:t>
            </w:r>
            <w:r>
              <w:rPr>
                <w:w w:val="99"/>
                <w:sz w:val="18"/>
              </w:rPr>
              <w:t>e</w:t>
            </w:r>
            <w:r>
              <w:rPr>
                <w:w w:val="99"/>
                <w:sz w:val="18"/>
              </w:rPr>
              <w:t>j</w:t>
            </w:r>
            <w:r>
              <w:rPr>
                <w:w w:val="99"/>
                <w:sz w:val="18"/>
              </w:rPr>
              <w:t>e</w:t>
            </w:r>
            <w:r>
              <w:rPr>
                <w:spacing w:val="-3"/>
                <w:w w:val="99"/>
                <w:sz w:val="18"/>
              </w:rPr>
              <w:t>r</w:t>
            </w:r>
            <w:r>
              <w:rPr>
                <w:spacing w:val="1"/>
                <w:w w:val="99"/>
                <w:sz w:val="18"/>
              </w:rPr>
              <w:t>c</w:t>
            </w:r>
            <w:r>
              <w:rPr>
                <w:w w:val="99"/>
                <w:sz w:val="18"/>
              </w:rPr>
              <w:t>e</w:t>
            </w:r>
            <w:r>
              <w:rPr>
                <w:w w:val="99"/>
                <w:sz w:val="18"/>
              </w:rPr>
              <w:t>r</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21"/>
              </w:rPr>
            </w:pPr>
          </w:p>
          <w:p>
            <w:pPr>
              <w:pStyle w:val="TableParagraph"/>
              <w:ind w:left="251"/>
              <w:jc w:val="left"/>
              <w:rPr>
                <w:sz w:val="18"/>
              </w:rPr>
            </w:pPr>
            <w:r>
              <w:rPr>
                <w:w w:val="99"/>
                <w:sz w:val="18"/>
              </w:rPr>
              <w:t>Au</w:t>
            </w:r>
            <w:r>
              <w:rPr>
                <w:w w:val="100"/>
                <w:sz w:val="18"/>
              </w:rPr>
              <w:t>to</w:t>
            </w:r>
            <w:r>
              <w:rPr>
                <w:w w:val="99"/>
                <w:sz w:val="18"/>
              </w:rPr>
              <w:t>r</w:t>
            </w:r>
            <w:r>
              <w:rPr>
                <w:spacing w:val="-2"/>
                <w:w w:val="99"/>
                <w:sz w:val="18"/>
              </w:rPr>
              <w:t>i</w:t>
            </w:r>
            <w:r>
              <w:rPr>
                <w:spacing w:val="1"/>
                <w:sz w:val="18"/>
              </w:rPr>
              <w:t>z</w:t>
            </w:r>
            <w:r>
              <w:rPr>
                <w:w w:val="99"/>
                <w:sz w:val="18"/>
              </w:rPr>
              <w:t>ado</w:t>
            </w:r>
          </w:p>
        </w:tc>
        <w:tc>
          <w:tcPr>
            <w:tcW w:w="643" w:type="dxa"/>
            <w:shd w:val="clear" w:color="auto" w:fill="C5DFB3"/>
            <w:textDirection w:val="btLr"/>
          </w:tcPr>
          <w:p>
            <w:pPr>
              <w:pStyle w:val="TableParagraph"/>
              <w:spacing w:before="157"/>
              <w:ind w:left="247"/>
              <w:jc w:val="left"/>
              <w:rPr>
                <w:sz w:val="18"/>
              </w:rPr>
            </w:pPr>
            <w:r>
              <w:rPr>
                <w:spacing w:val="1"/>
                <w:w w:val="99"/>
                <w:sz w:val="18"/>
              </w:rPr>
              <w:t>M</w:t>
            </w:r>
            <w:r>
              <w:rPr>
                <w:w w:val="99"/>
                <w:sz w:val="18"/>
              </w:rPr>
              <w:t>od</w:t>
            </w:r>
            <w:r>
              <w:rPr>
                <w:spacing w:val="-2"/>
                <w:w w:val="99"/>
                <w:sz w:val="18"/>
              </w:rPr>
              <w:t>i</w:t>
            </w:r>
            <w:r>
              <w:rPr>
                <w:sz w:val="18"/>
              </w:rPr>
              <w:t>f</w:t>
            </w:r>
            <w:r>
              <w:rPr>
                <w:spacing w:val="1"/>
                <w:sz w:val="18"/>
              </w:rPr>
              <w:t>i</w:t>
            </w:r>
            <w:r>
              <w:rPr>
                <w:spacing w:val="-2"/>
                <w:sz w:val="18"/>
              </w:rPr>
              <w:t>c</w:t>
            </w:r>
            <w:r>
              <w:rPr>
                <w:w w:val="99"/>
                <w:sz w:val="18"/>
              </w:rPr>
              <w:t>ado</w:t>
            </w:r>
          </w:p>
        </w:tc>
        <w:tc>
          <w:tcPr>
            <w:tcW w:w="641" w:type="dxa"/>
            <w:shd w:val="clear" w:color="auto" w:fill="C5DFB3"/>
            <w:textDirection w:val="btLr"/>
          </w:tcPr>
          <w:p>
            <w:pPr>
              <w:pStyle w:val="TableParagraph"/>
              <w:spacing w:before="155"/>
              <w:ind w:left="357"/>
              <w:jc w:val="left"/>
              <w:rPr>
                <w:sz w:val="18"/>
              </w:rPr>
            </w:pPr>
            <w:r>
              <w:rPr>
                <w:w w:val="99"/>
                <w:sz w:val="18"/>
              </w:rPr>
              <w:t>Eje</w:t>
            </w:r>
            <w:r>
              <w:rPr>
                <w:w w:val="99"/>
                <w:sz w:val="18"/>
              </w:rPr>
              <w:t>r</w:t>
            </w:r>
            <w:r>
              <w:rPr>
                <w:spacing w:val="1"/>
                <w:w w:val="99"/>
                <w:sz w:val="18"/>
              </w:rPr>
              <w:t>c</w:t>
            </w:r>
            <w:r>
              <w:rPr>
                <w:spacing w:val="-2"/>
                <w:w w:val="99"/>
                <w:sz w:val="18"/>
              </w:rPr>
              <w:t>i</w:t>
            </w:r>
            <w:r>
              <w:rPr>
                <w:w w:val="99"/>
                <w:sz w:val="18"/>
              </w:rPr>
              <w:t>do</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21"/>
              </w:rPr>
            </w:pPr>
          </w:p>
          <w:p>
            <w:pPr>
              <w:pStyle w:val="TableParagraph"/>
              <w:ind w:left="242"/>
              <w:jc w:val="left"/>
              <w:rPr>
                <w:sz w:val="18"/>
              </w:rPr>
            </w:pPr>
            <w:r>
              <w:rPr>
                <w:w w:val="99"/>
                <w:sz w:val="18"/>
              </w:rPr>
              <w:t>Po</w:t>
            </w:r>
            <w:r>
              <w:rPr>
                <w:w w:val="99"/>
                <w:sz w:val="18"/>
              </w:rPr>
              <w:t>r </w:t>
            </w:r>
            <w:r>
              <w:rPr>
                <w:w w:val="99"/>
                <w:sz w:val="18"/>
              </w:rPr>
              <w:t>e</w:t>
            </w:r>
            <w:r>
              <w:rPr>
                <w:w w:val="99"/>
                <w:sz w:val="18"/>
              </w:rPr>
              <w:t>j</w:t>
            </w:r>
            <w:r>
              <w:rPr>
                <w:w w:val="99"/>
                <w:sz w:val="18"/>
              </w:rPr>
              <w:t>e</w:t>
            </w:r>
            <w:r>
              <w:rPr>
                <w:spacing w:val="-3"/>
                <w:w w:val="99"/>
                <w:sz w:val="18"/>
              </w:rPr>
              <w:t>r</w:t>
            </w:r>
            <w:r>
              <w:rPr>
                <w:spacing w:val="1"/>
                <w:w w:val="99"/>
                <w:sz w:val="18"/>
              </w:rPr>
              <w:t>c</w:t>
            </w:r>
            <w:r>
              <w:rPr>
                <w:w w:val="99"/>
                <w:sz w:val="18"/>
              </w:rPr>
              <w:t>e</w:t>
            </w:r>
            <w:r>
              <w:rPr>
                <w:w w:val="99"/>
                <w:sz w:val="18"/>
              </w:rPr>
              <w:t>r</w:t>
            </w:r>
          </w:p>
        </w:tc>
      </w:tr>
      <w:tr>
        <w:trPr>
          <w:trHeight w:val="322" w:hRule="exact"/>
        </w:trPr>
        <w:tc>
          <w:tcPr>
            <w:tcW w:w="3800" w:type="dxa"/>
          </w:tcPr>
          <w:p>
            <w:pPr>
              <w:pStyle w:val="TableParagraph"/>
              <w:spacing w:line="202" w:lineRule="exact"/>
              <w:ind w:left="64"/>
              <w:jc w:val="left"/>
              <w:rPr>
                <w:b/>
                <w:sz w:val="18"/>
              </w:rPr>
            </w:pPr>
            <w:r>
              <w:rPr>
                <w:b/>
                <w:color w:val="333333"/>
                <w:sz w:val="18"/>
              </w:rPr>
              <w:t>CHAPULTEPEC</w:t>
            </w:r>
          </w:p>
        </w:tc>
        <w:tc>
          <w:tcPr>
            <w:tcW w:w="1645" w:type="dxa"/>
          </w:tcPr>
          <w:p>
            <w:pPr>
              <w:pStyle w:val="TableParagraph"/>
              <w:spacing w:line="207" w:lineRule="exact"/>
              <w:ind w:left="121" w:right="117"/>
              <w:rPr>
                <w:sz w:val="18"/>
              </w:rPr>
            </w:pPr>
            <w:r>
              <w:rPr>
                <w:sz w:val="18"/>
              </w:rPr>
              <w:t>$0.00</w:t>
            </w:r>
          </w:p>
        </w:tc>
        <w:tc>
          <w:tcPr>
            <w:tcW w:w="643" w:type="dxa"/>
          </w:tcPr>
          <w:p>
            <w:pPr>
              <w:pStyle w:val="TableParagraph"/>
              <w:spacing w:line="207" w:lineRule="exact"/>
              <w:ind w:left="71" w:right="70"/>
              <w:rPr>
                <w:sz w:val="18"/>
              </w:rPr>
            </w:pPr>
            <w:r>
              <w:rPr>
                <w:sz w:val="18"/>
              </w:rPr>
              <w:t>$0.00</w:t>
            </w:r>
          </w:p>
        </w:tc>
        <w:tc>
          <w:tcPr>
            <w:tcW w:w="641" w:type="dxa"/>
          </w:tcPr>
          <w:p>
            <w:pPr>
              <w:pStyle w:val="TableParagraph"/>
              <w:spacing w:line="207" w:lineRule="exact"/>
              <w:ind w:left="43" w:right="44"/>
              <w:rPr>
                <w:sz w:val="18"/>
              </w:rPr>
            </w:pPr>
            <w:r>
              <w:rPr>
                <w:sz w:val="18"/>
              </w:rPr>
              <w:t>$0.00</w:t>
            </w:r>
          </w:p>
        </w:tc>
        <w:tc>
          <w:tcPr>
            <w:tcW w:w="1644" w:type="dxa"/>
          </w:tcPr>
          <w:p>
            <w:pPr>
              <w:pStyle w:val="TableParagraph"/>
              <w:spacing w:line="207" w:lineRule="exact"/>
              <w:ind w:left="47" w:right="44"/>
              <w:rPr>
                <w:sz w:val="18"/>
              </w:rPr>
            </w:pPr>
            <w:r>
              <w:rPr>
                <w:sz w:val="18"/>
              </w:rPr>
              <w:t>$0.00</w:t>
            </w:r>
          </w:p>
        </w:tc>
        <w:tc>
          <w:tcPr>
            <w:tcW w:w="1644" w:type="dxa"/>
          </w:tcPr>
          <w:p>
            <w:pPr>
              <w:pStyle w:val="TableParagraph"/>
              <w:spacing w:line="207" w:lineRule="exact"/>
              <w:ind w:right="587"/>
              <w:jc w:val="right"/>
              <w:rPr>
                <w:sz w:val="18"/>
              </w:rPr>
            </w:pPr>
            <w:r>
              <w:rPr>
                <w:w w:val="95"/>
                <w:sz w:val="18"/>
              </w:rPr>
              <w:t>$0.00</w:t>
            </w:r>
          </w:p>
        </w:tc>
        <w:tc>
          <w:tcPr>
            <w:tcW w:w="643" w:type="dxa"/>
          </w:tcPr>
          <w:p>
            <w:pPr>
              <w:pStyle w:val="TableParagraph"/>
              <w:spacing w:line="207" w:lineRule="exact"/>
              <w:ind w:left="71" w:right="70"/>
              <w:rPr>
                <w:sz w:val="18"/>
              </w:rPr>
            </w:pPr>
            <w:r>
              <w:rPr>
                <w:sz w:val="18"/>
              </w:rPr>
              <w:t>$0.00</w:t>
            </w:r>
          </w:p>
        </w:tc>
        <w:tc>
          <w:tcPr>
            <w:tcW w:w="641" w:type="dxa"/>
          </w:tcPr>
          <w:p>
            <w:pPr>
              <w:pStyle w:val="TableParagraph"/>
              <w:spacing w:line="207" w:lineRule="exact"/>
              <w:ind w:left="70" w:right="71"/>
              <w:rPr>
                <w:sz w:val="18"/>
              </w:rPr>
            </w:pPr>
            <w:r>
              <w:rPr>
                <w:sz w:val="18"/>
              </w:rPr>
              <w:t>$0.00</w:t>
            </w:r>
          </w:p>
        </w:tc>
        <w:tc>
          <w:tcPr>
            <w:tcW w:w="1644" w:type="dxa"/>
          </w:tcPr>
          <w:p>
            <w:pPr>
              <w:pStyle w:val="TableParagraph"/>
              <w:spacing w:line="207" w:lineRule="exact"/>
              <w:ind w:left="592"/>
              <w:jc w:val="left"/>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CHIAUTLA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color w:val="333333"/>
                <w:sz w:val="18"/>
              </w:rPr>
              <w:t>CHICOLOAPAN</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CHICONCUAC</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color w:val="333333"/>
                <w:sz w:val="18"/>
              </w:rPr>
              <w:t>CHIMALHUACAN</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COACALCO DE BERRIOZABAL</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r>
        <w:trPr>
          <w:trHeight w:val="322" w:hRule="exact"/>
        </w:trPr>
        <w:tc>
          <w:tcPr>
            <w:tcW w:w="3800" w:type="dxa"/>
          </w:tcPr>
          <w:p>
            <w:pPr>
              <w:pStyle w:val="TableParagraph"/>
              <w:spacing w:line="204" w:lineRule="exact"/>
              <w:ind w:left="64"/>
              <w:jc w:val="left"/>
              <w:rPr>
                <w:b/>
                <w:sz w:val="18"/>
              </w:rPr>
            </w:pPr>
            <w:r>
              <w:rPr>
                <w:b/>
                <w:color w:val="333333"/>
                <w:sz w:val="18"/>
              </w:rPr>
              <w:t>COATEPEC HARINAS</w:t>
            </w:r>
          </w:p>
        </w:tc>
        <w:tc>
          <w:tcPr>
            <w:tcW w:w="1645" w:type="dxa"/>
          </w:tcPr>
          <w:p>
            <w:pPr>
              <w:pStyle w:val="TableParagraph"/>
              <w:spacing w:before="1"/>
              <w:ind w:left="121" w:right="117"/>
              <w:rPr>
                <w:sz w:val="18"/>
              </w:rPr>
            </w:pPr>
            <w:r>
              <w:rPr>
                <w:sz w:val="18"/>
              </w:rPr>
              <w:t>$0.00</w:t>
            </w:r>
          </w:p>
        </w:tc>
        <w:tc>
          <w:tcPr>
            <w:tcW w:w="643" w:type="dxa"/>
          </w:tcPr>
          <w:p>
            <w:pPr>
              <w:pStyle w:val="TableParagraph"/>
              <w:spacing w:before="1"/>
              <w:ind w:left="71" w:right="70"/>
              <w:rPr>
                <w:sz w:val="18"/>
              </w:rPr>
            </w:pPr>
            <w:r>
              <w:rPr>
                <w:sz w:val="18"/>
              </w:rPr>
              <w:t>$0.00</w:t>
            </w:r>
          </w:p>
        </w:tc>
        <w:tc>
          <w:tcPr>
            <w:tcW w:w="641" w:type="dxa"/>
          </w:tcPr>
          <w:p>
            <w:pPr>
              <w:pStyle w:val="TableParagraph"/>
              <w:spacing w:before="1"/>
              <w:ind w:left="43" w:right="44"/>
              <w:rPr>
                <w:sz w:val="18"/>
              </w:rPr>
            </w:pPr>
            <w:r>
              <w:rPr>
                <w:sz w:val="18"/>
              </w:rPr>
              <w:t>$0.00</w:t>
            </w:r>
          </w:p>
        </w:tc>
        <w:tc>
          <w:tcPr>
            <w:tcW w:w="1644" w:type="dxa"/>
          </w:tcPr>
          <w:p>
            <w:pPr>
              <w:pStyle w:val="TableParagraph"/>
              <w:spacing w:before="1"/>
              <w:ind w:left="47" w:right="44"/>
              <w:rPr>
                <w:sz w:val="18"/>
              </w:rPr>
            </w:pPr>
            <w:r>
              <w:rPr>
                <w:sz w:val="18"/>
              </w:rPr>
              <w:t>$0.00</w:t>
            </w:r>
          </w:p>
        </w:tc>
        <w:tc>
          <w:tcPr>
            <w:tcW w:w="1644" w:type="dxa"/>
          </w:tcPr>
          <w:p>
            <w:pPr>
              <w:pStyle w:val="TableParagraph"/>
              <w:spacing w:before="1"/>
              <w:ind w:right="587"/>
              <w:jc w:val="right"/>
              <w:rPr>
                <w:sz w:val="18"/>
              </w:rPr>
            </w:pPr>
            <w:r>
              <w:rPr>
                <w:w w:val="95"/>
                <w:sz w:val="18"/>
              </w:rPr>
              <w:t>$0.00</w:t>
            </w:r>
          </w:p>
        </w:tc>
        <w:tc>
          <w:tcPr>
            <w:tcW w:w="643" w:type="dxa"/>
          </w:tcPr>
          <w:p>
            <w:pPr>
              <w:pStyle w:val="TableParagraph"/>
              <w:spacing w:before="1"/>
              <w:ind w:left="71" w:right="70"/>
              <w:rPr>
                <w:sz w:val="18"/>
              </w:rPr>
            </w:pPr>
            <w:r>
              <w:rPr>
                <w:sz w:val="18"/>
              </w:rPr>
              <w:t>$0.00</w:t>
            </w:r>
          </w:p>
        </w:tc>
        <w:tc>
          <w:tcPr>
            <w:tcW w:w="641" w:type="dxa"/>
          </w:tcPr>
          <w:p>
            <w:pPr>
              <w:pStyle w:val="TableParagraph"/>
              <w:spacing w:before="1"/>
              <w:ind w:left="70" w:right="71"/>
              <w:rPr>
                <w:sz w:val="18"/>
              </w:rPr>
            </w:pPr>
            <w:r>
              <w:rPr>
                <w:sz w:val="18"/>
              </w:rPr>
              <w:t>$0.00</w:t>
            </w:r>
          </w:p>
        </w:tc>
        <w:tc>
          <w:tcPr>
            <w:tcW w:w="1644" w:type="dxa"/>
          </w:tcPr>
          <w:p>
            <w:pPr>
              <w:pStyle w:val="TableParagraph"/>
              <w:spacing w:before="1"/>
              <w:ind w:left="592"/>
              <w:jc w:val="left"/>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COCOTITLAN</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r>
        <w:trPr>
          <w:trHeight w:val="322" w:hRule="exact"/>
        </w:trPr>
        <w:tc>
          <w:tcPr>
            <w:tcW w:w="3800" w:type="dxa"/>
          </w:tcPr>
          <w:p>
            <w:pPr>
              <w:pStyle w:val="TableParagraph"/>
              <w:spacing w:line="204" w:lineRule="exact"/>
              <w:ind w:left="64"/>
              <w:jc w:val="left"/>
              <w:rPr>
                <w:b/>
                <w:sz w:val="18"/>
              </w:rPr>
            </w:pPr>
            <w:r>
              <w:rPr>
                <w:b/>
                <w:color w:val="333333"/>
                <w:sz w:val="18"/>
              </w:rPr>
              <w:t>COYOTEPEC</w:t>
            </w:r>
          </w:p>
        </w:tc>
        <w:tc>
          <w:tcPr>
            <w:tcW w:w="1645" w:type="dxa"/>
          </w:tcPr>
          <w:p>
            <w:pPr>
              <w:pStyle w:val="TableParagraph"/>
              <w:spacing w:before="1"/>
              <w:ind w:left="121" w:right="117"/>
              <w:rPr>
                <w:sz w:val="18"/>
              </w:rPr>
            </w:pPr>
            <w:r>
              <w:rPr>
                <w:sz w:val="18"/>
              </w:rPr>
              <w:t>$0.00</w:t>
            </w:r>
          </w:p>
        </w:tc>
        <w:tc>
          <w:tcPr>
            <w:tcW w:w="643" w:type="dxa"/>
          </w:tcPr>
          <w:p>
            <w:pPr>
              <w:pStyle w:val="TableParagraph"/>
              <w:spacing w:before="1"/>
              <w:ind w:left="71" w:right="70"/>
              <w:rPr>
                <w:sz w:val="18"/>
              </w:rPr>
            </w:pPr>
            <w:r>
              <w:rPr>
                <w:sz w:val="18"/>
              </w:rPr>
              <w:t>$0.00</w:t>
            </w:r>
          </w:p>
        </w:tc>
        <w:tc>
          <w:tcPr>
            <w:tcW w:w="641" w:type="dxa"/>
          </w:tcPr>
          <w:p>
            <w:pPr>
              <w:pStyle w:val="TableParagraph"/>
              <w:spacing w:before="1"/>
              <w:ind w:left="43" w:right="44"/>
              <w:rPr>
                <w:sz w:val="18"/>
              </w:rPr>
            </w:pPr>
            <w:r>
              <w:rPr>
                <w:sz w:val="18"/>
              </w:rPr>
              <w:t>$0.00</w:t>
            </w:r>
          </w:p>
        </w:tc>
        <w:tc>
          <w:tcPr>
            <w:tcW w:w="1644" w:type="dxa"/>
          </w:tcPr>
          <w:p>
            <w:pPr>
              <w:pStyle w:val="TableParagraph"/>
              <w:spacing w:before="1"/>
              <w:ind w:left="47" w:right="44"/>
              <w:rPr>
                <w:sz w:val="18"/>
              </w:rPr>
            </w:pPr>
            <w:r>
              <w:rPr>
                <w:sz w:val="18"/>
              </w:rPr>
              <w:t>$0.00</w:t>
            </w:r>
          </w:p>
        </w:tc>
        <w:tc>
          <w:tcPr>
            <w:tcW w:w="1644" w:type="dxa"/>
          </w:tcPr>
          <w:p>
            <w:pPr>
              <w:pStyle w:val="TableParagraph"/>
              <w:spacing w:before="1"/>
              <w:ind w:right="587"/>
              <w:jc w:val="right"/>
              <w:rPr>
                <w:sz w:val="18"/>
              </w:rPr>
            </w:pPr>
            <w:r>
              <w:rPr>
                <w:w w:val="95"/>
                <w:sz w:val="18"/>
              </w:rPr>
              <w:t>$0.00</w:t>
            </w:r>
          </w:p>
        </w:tc>
        <w:tc>
          <w:tcPr>
            <w:tcW w:w="643" w:type="dxa"/>
          </w:tcPr>
          <w:p>
            <w:pPr>
              <w:pStyle w:val="TableParagraph"/>
              <w:spacing w:before="1"/>
              <w:ind w:left="71" w:right="70"/>
              <w:rPr>
                <w:sz w:val="18"/>
              </w:rPr>
            </w:pPr>
            <w:r>
              <w:rPr>
                <w:sz w:val="18"/>
              </w:rPr>
              <w:t>$0.00</w:t>
            </w:r>
          </w:p>
        </w:tc>
        <w:tc>
          <w:tcPr>
            <w:tcW w:w="641" w:type="dxa"/>
          </w:tcPr>
          <w:p>
            <w:pPr>
              <w:pStyle w:val="TableParagraph"/>
              <w:spacing w:before="1"/>
              <w:ind w:left="70" w:right="71"/>
              <w:rPr>
                <w:sz w:val="18"/>
              </w:rPr>
            </w:pPr>
            <w:r>
              <w:rPr>
                <w:sz w:val="18"/>
              </w:rPr>
              <w:t>$0.00</w:t>
            </w:r>
          </w:p>
        </w:tc>
        <w:tc>
          <w:tcPr>
            <w:tcW w:w="1644" w:type="dxa"/>
          </w:tcPr>
          <w:p>
            <w:pPr>
              <w:pStyle w:val="TableParagraph"/>
              <w:spacing w:before="1"/>
              <w:ind w:left="592"/>
              <w:jc w:val="left"/>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color w:val="333333"/>
                <w:sz w:val="18"/>
              </w:rPr>
              <w:t>CUAUTITLAN</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CUAUTITLAN IZCALLI</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color w:val="333333"/>
                <w:sz w:val="18"/>
              </w:rPr>
              <w:t>DONATO GUERRA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ECATEPEC DE MORELOS</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color w:val="333333"/>
                <w:sz w:val="18"/>
              </w:rPr>
              <w:t>ECATZINGO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EL ORO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color w:val="333333"/>
                <w:sz w:val="18"/>
              </w:rPr>
              <w:t>HUEHUETOCA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HUEYPOXTLA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4"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r>
        <w:trPr>
          <w:trHeight w:val="322" w:hRule="exact"/>
        </w:trPr>
        <w:tc>
          <w:tcPr>
            <w:tcW w:w="3800" w:type="dxa"/>
          </w:tcPr>
          <w:p>
            <w:pPr>
              <w:pStyle w:val="TableParagraph"/>
              <w:spacing w:line="202" w:lineRule="exact"/>
              <w:ind w:left="64"/>
              <w:jc w:val="left"/>
              <w:rPr>
                <w:b/>
                <w:sz w:val="18"/>
              </w:rPr>
            </w:pPr>
            <w:r>
              <w:rPr>
                <w:b/>
                <w:color w:val="333333"/>
                <w:sz w:val="18"/>
              </w:rPr>
              <w:t>HUIXQUILUCAN</w:t>
            </w:r>
          </w:p>
        </w:tc>
        <w:tc>
          <w:tcPr>
            <w:tcW w:w="1645" w:type="dxa"/>
          </w:tcPr>
          <w:p>
            <w:pPr>
              <w:pStyle w:val="TableParagraph"/>
              <w:spacing w:line="207" w:lineRule="exact"/>
              <w:ind w:left="121" w:right="117"/>
              <w:rPr>
                <w:sz w:val="18"/>
              </w:rPr>
            </w:pPr>
            <w:r>
              <w:rPr>
                <w:sz w:val="18"/>
              </w:rPr>
              <w:t>$0.00</w:t>
            </w:r>
          </w:p>
        </w:tc>
        <w:tc>
          <w:tcPr>
            <w:tcW w:w="643" w:type="dxa"/>
          </w:tcPr>
          <w:p>
            <w:pPr>
              <w:pStyle w:val="TableParagraph"/>
              <w:spacing w:line="207" w:lineRule="exact"/>
              <w:ind w:left="71" w:right="70"/>
              <w:rPr>
                <w:sz w:val="18"/>
              </w:rPr>
            </w:pPr>
            <w:r>
              <w:rPr>
                <w:sz w:val="18"/>
              </w:rPr>
              <w:t>$0.00</w:t>
            </w:r>
          </w:p>
        </w:tc>
        <w:tc>
          <w:tcPr>
            <w:tcW w:w="641" w:type="dxa"/>
          </w:tcPr>
          <w:p>
            <w:pPr>
              <w:pStyle w:val="TableParagraph"/>
              <w:spacing w:line="207" w:lineRule="exact"/>
              <w:ind w:left="43" w:right="44"/>
              <w:rPr>
                <w:sz w:val="18"/>
              </w:rPr>
            </w:pPr>
            <w:r>
              <w:rPr>
                <w:sz w:val="18"/>
              </w:rPr>
              <w:t>$0.00</w:t>
            </w:r>
          </w:p>
        </w:tc>
        <w:tc>
          <w:tcPr>
            <w:tcW w:w="1644" w:type="dxa"/>
          </w:tcPr>
          <w:p>
            <w:pPr>
              <w:pStyle w:val="TableParagraph"/>
              <w:spacing w:line="207" w:lineRule="exact"/>
              <w:ind w:left="47" w:right="44"/>
              <w:rPr>
                <w:sz w:val="18"/>
              </w:rPr>
            </w:pPr>
            <w:r>
              <w:rPr>
                <w:sz w:val="18"/>
              </w:rPr>
              <w:t>$0.00</w:t>
            </w:r>
          </w:p>
        </w:tc>
        <w:tc>
          <w:tcPr>
            <w:tcW w:w="1644" w:type="dxa"/>
          </w:tcPr>
          <w:p>
            <w:pPr>
              <w:pStyle w:val="TableParagraph"/>
              <w:spacing w:line="207" w:lineRule="exact"/>
              <w:ind w:right="587"/>
              <w:jc w:val="right"/>
              <w:rPr>
                <w:sz w:val="18"/>
              </w:rPr>
            </w:pPr>
            <w:r>
              <w:rPr>
                <w:w w:val="95"/>
                <w:sz w:val="18"/>
              </w:rPr>
              <w:t>$0.00</w:t>
            </w:r>
          </w:p>
        </w:tc>
        <w:tc>
          <w:tcPr>
            <w:tcW w:w="643" w:type="dxa"/>
          </w:tcPr>
          <w:p>
            <w:pPr>
              <w:pStyle w:val="TableParagraph"/>
              <w:spacing w:line="207" w:lineRule="exact"/>
              <w:ind w:left="71" w:right="70"/>
              <w:rPr>
                <w:sz w:val="18"/>
              </w:rPr>
            </w:pPr>
            <w:r>
              <w:rPr>
                <w:sz w:val="18"/>
              </w:rPr>
              <w:t>$0.00</w:t>
            </w:r>
          </w:p>
        </w:tc>
        <w:tc>
          <w:tcPr>
            <w:tcW w:w="641" w:type="dxa"/>
          </w:tcPr>
          <w:p>
            <w:pPr>
              <w:pStyle w:val="TableParagraph"/>
              <w:spacing w:line="207" w:lineRule="exact"/>
              <w:ind w:left="70" w:right="71"/>
              <w:rPr>
                <w:sz w:val="18"/>
              </w:rPr>
            </w:pPr>
            <w:r>
              <w:rPr>
                <w:sz w:val="18"/>
              </w:rPr>
              <w:t>$0.00</w:t>
            </w:r>
          </w:p>
        </w:tc>
        <w:tc>
          <w:tcPr>
            <w:tcW w:w="1644" w:type="dxa"/>
          </w:tcPr>
          <w:p>
            <w:pPr>
              <w:pStyle w:val="TableParagraph"/>
              <w:spacing w:line="207" w:lineRule="exact"/>
              <w:ind w:left="592"/>
              <w:jc w:val="left"/>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ISIDRO FABELA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color w:val="333333"/>
                <w:sz w:val="18"/>
              </w:rPr>
              <w:t>IXTAPALUCA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color w:val="333333"/>
                <w:sz w:val="18"/>
              </w:rPr>
              <w:t>IXTAPAN DE LA SAL</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bl>
    <w:p>
      <w:pPr>
        <w:spacing w:after="0" w:line="206" w:lineRule="exact"/>
        <w:jc w:val="left"/>
        <w:rPr>
          <w:sz w:val="18"/>
        </w:rPr>
        <w:sectPr>
          <w:pgSz w:w="15840" w:h="12240" w:orient="landscape"/>
          <w:pgMar w:header="0" w:footer="975" w:top="1140" w:bottom="1160" w:left="820" w:right="1840"/>
        </w:sectPr>
      </w:pPr>
    </w:p>
    <w:p>
      <w:pPr>
        <w:pStyle w:val="BodyText"/>
        <w:rPr>
          <w:rFonts w:ascii="Times New Roman"/>
          <w:sz w:val="20"/>
        </w:rPr>
      </w:pPr>
    </w:p>
    <w:p>
      <w:pPr>
        <w:pStyle w:val="BodyText"/>
        <w:spacing w:before="10"/>
        <w:rPr>
          <w:rFonts w:ascii="Times New Roman"/>
          <w:sz w:val="28"/>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00"/>
        <w:gridCol w:w="1645"/>
        <w:gridCol w:w="643"/>
        <w:gridCol w:w="641"/>
        <w:gridCol w:w="1644"/>
        <w:gridCol w:w="1644"/>
        <w:gridCol w:w="643"/>
        <w:gridCol w:w="641"/>
        <w:gridCol w:w="1644"/>
      </w:tblGrid>
      <w:tr>
        <w:trPr>
          <w:trHeight w:val="420" w:hRule="exact"/>
        </w:trPr>
        <w:tc>
          <w:tcPr>
            <w:tcW w:w="12945" w:type="dxa"/>
            <w:gridSpan w:val="9"/>
            <w:shd w:val="clear" w:color="auto" w:fill="C5DFB3"/>
          </w:tcPr>
          <w:p>
            <w:pPr>
              <w:pStyle w:val="TableParagraph"/>
              <w:spacing w:before="44"/>
              <w:ind w:left="2880"/>
              <w:jc w:val="left"/>
              <w:rPr>
                <w:b/>
                <w:sz w:val="18"/>
              </w:rPr>
            </w:pPr>
            <w:r>
              <w:rPr>
                <w:b/>
                <w:sz w:val="18"/>
              </w:rPr>
              <w:t>Anexo 24. Municipios que publican apartado presupuesto 2006-2007 (Continuación)</w:t>
            </w:r>
          </w:p>
        </w:tc>
      </w:tr>
      <w:tr>
        <w:trPr>
          <w:trHeight w:val="319" w:hRule="exact"/>
        </w:trPr>
        <w:tc>
          <w:tcPr>
            <w:tcW w:w="3800"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2"/>
              <w:jc w:val="left"/>
              <w:rPr>
                <w:rFonts w:ascii="Times New Roman"/>
                <w:sz w:val="23"/>
              </w:rPr>
            </w:pPr>
          </w:p>
          <w:p>
            <w:pPr>
              <w:pStyle w:val="TableParagraph"/>
              <w:ind w:left="1455" w:right="1455"/>
              <w:rPr>
                <w:b/>
                <w:sz w:val="18"/>
              </w:rPr>
            </w:pPr>
            <w:r>
              <w:rPr>
                <w:b/>
                <w:sz w:val="18"/>
              </w:rPr>
              <w:t>Municipio</w:t>
            </w:r>
          </w:p>
        </w:tc>
        <w:tc>
          <w:tcPr>
            <w:tcW w:w="4573" w:type="dxa"/>
            <w:gridSpan w:val="4"/>
            <w:shd w:val="clear" w:color="auto" w:fill="C5DFB3"/>
          </w:tcPr>
          <w:p>
            <w:pPr>
              <w:pStyle w:val="TableParagraph"/>
              <w:spacing w:line="201" w:lineRule="exact"/>
              <w:ind w:left="2065" w:right="2058"/>
              <w:rPr>
                <w:b/>
                <w:sz w:val="18"/>
              </w:rPr>
            </w:pPr>
            <w:r>
              <w:rPr>
                <w:b/>
                <w:sz w:val="18"/>
              </w:rPr>
              <w:t>2006</w:t>
            </w:r>
          </w:p>
        </w:tc>
        <w:tc>
          <w:tcPr>
            <w:tcW w:w="4573" w:type="dxa"/>
            <w:gridSpan w:val="4"/>
            <w:shd w:val="clear" w:color="auto" w:fill="C5DFB3"/>
          </w:tcPr>
          <w:p>
            <w:pPr>
              <w:pStyle w:val="TableParagraph"/>
              <w:spacing w:line="201" w:lineRule="exact"/>
              <w:ind w:left="2064" w:right="2058"/>
              <w:rPr>
                <w:b/>
                <w:sz w:val="18"/>
              </w:rPr>
            </w:pPr>
            <w:r>
              <w:rPr>
                <w:b/>
                <w:sz w:val="18"/>
              </w:rPr>
              <w:t>2007</w:t>
            </w:r>
          </w:p>
        </w:tc>
      </w:tr>
      <w:tr>
        <w:trPr>
          <w:trHeight w:val="1375" w:hRule="exact"/>
        </w:trPr>
        <w:tc>
          <w:tcPr>
            <w:tcW w:w="3800" w:type="dxa"/>
            <w:vMerge/>
            <w:shd w:val="clear" w:color="auto" w:fill="C5DFB3"/>
          </w:tcPr>
          <w:p>
            <w:pPr/>
          </w:p>
        </w:tc>
        <w:tc>
          <w:tcPr>
            <w:tcW w:w="1645"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21"/>
              </w:rPr>
            </w:pPr>
          </w:p>
          <w:p>
            <w:pPr>
              <w:pStyle w:val="TableParagraph"/>
              <w:ind w:left="251"/>
              <w:jc w:val="left"/>
              <w:rPr>
                <w:sz w:val="18"/>
              </w:rPr>
            </w:pPr>
            <w:r>
              <w:rPr>
                <w:w w:val="99"/>
                <w:sz w:val="18"/>
              </w:rPr>
              <w:t>Au</w:t>
            </w:r>
            <w:r>
              <w:rPr>
                <w:w w:val="100"/>
                <w:sz w:val="18"/>
              </w:rPr>
              <w:t>to</w:t>
            </w:r>
            <w:r>
              <w:rPr>
                <w:w w:val="99"/>
                <w:sz w:val="18"/>
              </w:rPr>
              <w:t>r</w:t>
            </w:r>
            <w:r>
              <w:rPr>
                <w:spacing w:val="-2"/>
                <w:w w:val="99"/>
                <w:sz w:val="18"/>
              </w:rPr>
              <w:t>i</w:t>
            </w:r>
            <w:r>
              <w:rPr>
                <w:spacing w:val="1"/>
                <w:sz w:val="18"/>
              </w:rPr>
              <w:t>z</w:t>
            </w:r>
            <w:r>
              <w:rPr>
                <w:w w:val="99"/>
                <w:sz w:val="18"/>
              </w:rPr>
              <w:t>ado</w:t>
            </w:r>
          </w:p>
        </w:tc>
        <w:tc>
          <w:tcPr>
            <w:tcW w:w="643" w:type="dxa"/>
            <w:shd w:val="clear" w:color="auto" w:fill="C5DFB3"/>
            <w:textDirection w:val="btLr"/>
          </w:tcPr>
          <w:p>
            <w:pPr>
              <w:pStyle w:val="TableParagraph"/>
              <w:spacing w:before="157"/>
              <w:ind w:left="247"/>
              <w:jc w:val="left"/>
              <w:rPr>
                <w:sz w:val="18"/>
              </w:rPr>
            </w:pPr>
            <w:r>
              <w:rPr>
                <w:spacing w:val="1"/>
                <w:w w:val="99"/>
                <w:sz w:val="18"/>
              </w:rPr>
              <w:t>M</w:t>
            </w:r>
            <w:r>
              <w:rPr>
                <w:w w:val="99"/>
                <w:sz w:val="18"/>
              </w:rPr>
              <w:t>od</w:t>
            </w:r>
            <w:r>
              <w:rPr>
                <w:spacing w:val="-2"/>
                <w:w w:val="99"/>
                <w:sz w:val="18"/>
              </w:rPr>
              <w:t>i</w:t>
            </w:r>
            <w:r>
              <w:rPr>
                <w:sz w:val="18"/>
              </w:rPr>
              <w:t>f</w:t>
            </w:r>
            <w:r>
              <w:rPr>
                <w:spacing w:val="1"/>
                <w:sz w:val="18"/>
              </w:rPr>
              <w:t>i</w:t>
            </w:r>
            <w:r>
              <w:rPr>
                <w:spacing w:val="-2"/>
                <w:sz w:val="18"/>
              </w:rPr>
              <w:t>c</w:t>
            </w:r>
            <w:r>
              <w:rPr>
                <w:w w:val="99"/>
                <w:sz w:val="18"/>
              </w:rPr>
              <w:t>ado</w:t>
            </w:r>
          </w:p>
        </w:tc>
        <w:tc>
          <w:tcPr>
            <w:tcW w:w="641" w:type="dxa"/>
            <w:shd w:val="clear" w:color="auto" w:fill="C5DFB3"/>
            <w:textDirection w:val="btLr"/>
          </w:tcPr>
          <w:p>
            <w:pPr>
              <w:pStyle w:val="TableParagraph"/>
              <w:spacing w:before="155"/>
              <w:ind w:left="357"/>
              <w:jc w:val="left"/>
              <w:rPr>
                <w:sz w:val="18"/>
              </w:rPr>
            </w:pPr>
            <w:r>
              <w:rPr>
                <w:w w:val="99"/>
                <w:sz w:val="18"/>
              </w:rPr>
              <w:t>Eje</w:t>
            </w:r>
            <w:r>
              <w:rPr>
                <w:w w:val="99"/>
                <w:sz w:val="18"/>
              </w:rPr>
              <w:t>r</w:t>
            </w:r>
            <w:r>
              <w:rPr>
                <w:spacing w:val="1"/>
                <w:w w:val="99"/>
                <w:sz w:val="18"/>
              </w:rPr>
              <w:t>c</w:t>
            </w:r>
            <w:r>
              <w:rPr>
                <w:spacing w:val="-2"/>
                <w:w w:val="99"/>
                <w:sz w:val="18"/>
              </w:rPr>
              <w:t>i</w:t>
            </w:r>
            <w:r>
              <w:rPr>
                <w:w w:val="99"/>
                <w:sz w:val="18"/>
              </w:rPr>
              <w:t>do</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21"/>
              </w:rPr>
            </w:pPr>
          </w:p>
          <w:p>
            <w:pPr>
              <w:pStyle w:val="TableParagraph"/>
              <w:ind w:left="242"/>
              <w:jc w:val="left"/>
              <w:rPr>
                <w:sz w:val="18"/>
              </w:rPr>
            </w:pPr>
            <w:r>
              <w:rPr>
                <w:w w:val="99"/>
                <w:sz w:val="18"/>
              </w:rPr>
              <w:t>Po</w:t>
            </w:r>
            <w:r>
              <w:rPr>
                <w:w w:val="99"/>
                <w:sz w:val="18"/>
              </w:rPr>
              <w:t>r </w:t>
            </w:r>
            <w:r>
              <w:rPr>
                <w:w w:val="99"/>
                <w:sz w:val="18"/>
              </w:rPr>
              <w:t>e</w:t>
            </w:r>
            <w:r>
              <w:rPr>
                <w:w w:val="99"/>
                <w:sz w:val="18"/>
              </w:rPr>
              <w:t>j</w:t>
            </w:r>
            <w:r>
              <w:rPr>
                <w:w w:val="99"/>
                <w:sz w:val="18"/>
              </w:rPr>
              <w:t>e</w:t>
            </w:r>
            <w:r>
              <w:rPr>
                <w:spacing w:val="-3"/>
                <w:w w:val="99"/>
                <w:sz w:val="18"/>
              </w:rPr>
              <w:t>r</w:t>
            </w:r>
            <w:r>
              <w:rPr>
                <w:spacing w:val="1"/>
                <w:w w:val="99"/>
                <w:sz w:val="18"/>
              </w:rPr>
              <w:t>c</w:t>
            </w:r>
            <w:r>
              <w:rPr>
                <w:w w:val="99"/>
                <w:sz w:val="18"/>
              </w:rPr>
              <w:t>e</w:t>
            </w:r>
            <w:r>
              <w:rPr>
                <w:w w:val="99"/>
                <w:sz w:val="18"/>
              </w:rPr>
              <w:t>r</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21"/>
              </w:rPr>
            </w:pPr>
          </w:p>
          <w:p>
            <w:pPr>
              <w:pStyle w:val="TableParagraph"/>
              <w:ind w:left="251"/>
              <w:jc w:val="left"/>
              <w:rPr>
                <w:sz w:val="18"/>
              </w:rPr>
            </w:pPr>
            <w:r>
              <w:rPr>
                <w:w w:val="99"/>
                <w:sz w:val="18"/>
              </w:rPr>
              <w:t>Au</w:t>
            </w:r>
            <w:r>
              <w:rPr>
                <w:w w:val="100"/>
                <w:sz w:val="18"/>
              </w:rPr>
              <w:t>to</w:t>
            </w:r>
            <w:r>
              <w:rPr>
                <w:w w:val="99"/>
                <w:sz w:val="18"/>
              </w:rPr>
              <w:t>r</w:t>
            </w:r>
            <w:r>
              <w:rPr>
                <w:spacing w:val="-2"/>
                <w:w w:val="99"/>
                <w:sz w:val="18"/>
              </w:rPr>
              <w:t>i</w:t>
            </w:r>
            <w:r>
              <w:rPr>
                <w:spacing w:val="1"/>
                <w:sz w:val="18"/>
              </w:rPr>
              <w:t>z</w:t>
            </w:r>
            <w:r>
              <w:rPr>
                <w:w w:val="99"/>
                <w:sz w:val="18"/>
              </w:rPr>
              <w:t>ado</w:t>
            </w:r>
          </w:p>
        </w:tc>
        <w:tc>
          <w:tcPr>
            <w:tcW w:w="643" w:type="dxa"/>
            <w:shd w:val="clear" w:color="auto" w:fill="C5DFB3"/>
            <w:textDirection w:val="btLr"/>
          </w:tcPr>
          <w:p>
            <w:pPr>
              <w:pStyle w:val="TableParagraph"/>
              <w:spacing w:before="157"/>
              <w:ind w:left="247"/>
              <w:jc w:val="left"/>
              <w:rPr>
                <w:sz w:val="18"/>
              </w:rPr>
            </w:pPr>
            <w:r>
              <w:rPr>
                <w:spacing w:val="1"/>
                <w:w w:val="99"/>
                <w:sz w:val="18"/>
              </w:rPr>
              <w:t>M</w:t>
            </w:r>
            <w:r>
              <w:rPr>
                <w:w w:val="99"/>
                <w:sz w:val="18"/>
              </w:rPr>
              <w:t>od</w:t>
            </w:r>
            <w:r>
              <w:rPr>
                <w:spacing w:val="-2"/>
                <w:w w:val="99"/>
                <w:sz w:val="18"/>
              </w:rPr>
              <w:t>i</w:t>
            </w:r>
            <w:r>
              <w:rPr>
                <w:sz w:val="18"/>
              </w:rPr>
              <w:t>f</w:t>
            </w:r>
            <w:r>
              <w:rPr>
                <w:spacing w:val="1"/>
                <w:sz w:val="18"/>
              </w:rPr>
              <w:t>i</w:t>
            </w:r>
            <w:r>
              <w:rPr>
                <w:spacing w:val="-2"/>
                <w:sz w:val="18"/>
              </w:rPr>
              <w:t>c</w:t>
            </w:r>
            <w:r>
              <w:rPr>
                <w:w w:val="99"/>
                <w:sz w:val="18"/>
              </w:rPr>
              <w:t>ado</w:t>
            </w:r>
          </w:p>
        </w:tc>
        <w:tc>
          <w:tcPr>
            <w:tcW w:w="641" w:type="dxa"/>
            <w:shd w:val="clear" w:color="auto" w:fill="C5DFB3"/>
            <w:textDirection w:val="btLr"/>
          </w:tcPr>
          <w:p>
            <w:pPr>
              <w:pStyle w:val="TableParagraph"/>
              <w:spacing w:before="155"/>
              <w:ind w:left="357"/>
              <w:jc w:val="left"/>
              <w:rPr>
                <w:sz w:val="18"/>
              </w:rPr>
            </w:pPr>
            <w:r>
              <w:rPr>
                <w:w w:val="99"/>
                <w:sz w:val="18"/>
              </w:rPr>
              <w:t>Eje</w:t>
            </w:r>
            <w:r>
              <w:rPr>
                <w:w w:val="99"/>
                <w:sz w:val="18"/>
              </w:rPr>
              <w:t>r</w:t>
            </w:r>
            <w:r>
              <w:rPr>
                <w:spacing w:val="1"/>
                <w:w w:val="99"/>
                <w:sz w:val="18"/>
              </w:rPr>
              <w:t>c</w:t>
            </w:r>
            <w:r>
              <w:rPr>
                <w:spacing w:val="-2"/>
                <w:w w:val="99"/>
                <w:sz w:val="18"/>
              </w:rPr>
              <w:t>i</w:t>
            </w:r>
            <w:r>
              <w:rPr>
                <w:w w:val="99"/>
                <w:sz w:val="18"/>
              </w:rPr>
              <w:t>do</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21"/>
              </w:rPr>
            </w:pPr>
          </w:p>
          <w:p>
            <w:pPr>
              <w:pStyle w:val="TableParagraph"/>
              <w:ind w:left="242"/>
              <w:jc w:val="left"/>
              <w:rPr>
                <w:sz w:val="18"/>
              </w:rPr>
            </w:pPr>
            <w:r>
              <w:rPr>
                <w:w w:val="99"/>
                <w:sz w:val="18"/>
              </w:rPr>
              <w:t>Po</w:t>
            </w:r>
            <w:r>
              <w:rPr>
                <w:w w:val="99"/>
                <w:sz w:val="18"/>
              </w:rPr>
              <w:t>r </w:t>
            </w:r>
            <w:r>
              <w:rPr>
                <w:w w:val="99"/>
                <w:sz w:val="18"/>
              </w:rPr>
              <w:t>e</w:t>
            </w:r>
            <w:r>
              <w:rPr>
                <w:w w:val="99"/>
                <w:sz w:val="18"/>
              </w:rPr>
              <w:t>j</w:t>
            </w:r>
            <w:r>
              <w:rPr>
                <w:w w:val="99"/>
                <w:sz w:val="18"/>
              </w:rPr>
              <w:t>e</w:t>
            </w:r>
            <w:r>
              <w:rPr>
                <w:spacing w:val="-3"/>
                <w:w w:val="99"/>
                <w:sz w:val="18"/>
              </w:rPr>
              <w:t>r</w:t>
            </w:r>
            <w:r>
              <w:rPr>
                <w:spacing w:val="1"/>
                <w:w w:val="99"/>
                <w:sz w:val="18"/>
              </w:rPr>
              <w:t>c</w:t>
            </w:r>
            <w:r>
              <w:rPr>
                <w:w w:val="99"/>
                <w:sz w:val="18"/>
              </w:rPr>
              <w:t>e</w:t>
            </w:r>
            <w:r>
              <w:rPr>
                <w:w w:val="99"/>
                <w:sz w:val="18"/>
              </w:rPr>
              <w:t>r</w:t>
            </w:r>
          </w:p>
        </w:tc>
      </w:tr>
      <w:tr>
        <w:trPr>
          <w:trHeight w:val="322" w:hRule="exact"/>
        </w:trPr>
        <w:tc>
          <w:tcPr>
            <w:tcW w:w="3800" w:type="dxa"/>
          </w:tcPr>
          <w:p>
            <w:pPr>
              <w:pStyle w:val="TableParagraph"/>
              <w:spacing w:line="202" w:lineRule="exact"/>
              <w:ind w:left="64"/>
              <w:jc w:val="left"/>
              <w:rPr>
                <w:b/>
                <w:sz w:val="18"/>
              </w:rPr>
            </w:pPr>
            <w:r>
              <w:rPr>
                <w:b/>
                <w:color w:val="333333"/>
                <w:sz w:val="18"/>
              </w:rPr>
              <w:t>IXTAPAN DEL ORO</w:t>
            </w:r>
          </w:p>
        </w:tc>
        <w:tc>
          <w:tcPr>
            <w:tcW w:w="1645" w:type="dxa"/>
          </w:tcPr>
          <w:p>
            <w:pPr>
              <w:pStyle w:val="TableParagraph"/>
              <w:spacing w:line="207" w:lineRule="exact"/>
              <w:ind w:left="121" w:right="117"/>
              <w:rPr>
                <w:sz w:val="18"/>
              </w:rPr>
            </w:pPr>
            <w:r>
              <w:rPr>
                <w:sz w:val="18"/>
              </w:rPr>
              <w:t>$0.00</w:t>
            </w:r>
          </w:p>
        </w:tc>
        <w:tc>
          <w:tcPr>
            <w:tcW w:w="643" w:type="dxa"/>
          </w:tcPr>
          <w:p>
            <w:pPr>
              <w:pStyle w:val="TableParagraph"/>
              <w:spacing w:line="207" w:lineRule="exact"/>
              <w:ind w:left="71" w:right="70"/>
              <w:rPr>
                <w:sz w:val="18"/>
              </w:rPr>
            </w:pPr>
            <w:r>
              <w:rPr>
                <w:sz w:val="18"/>
              </w:rPr>
              <w:t>$0.00</w:t>
            </w:r>
          </w:p>
        </w:tc>
        <w:tc>
          <w:tcPr>
            <w:tcW w:w="641" w:type="dxa"/>
          </w:tcPr>
          <w:p>
            <w:pPr>
              <w:pStyle w:val="TableParagraph"/>
              <w:spacing w:line="207" w:lineRule="exact"/>
              <w:ind w:left="43" w:right="44"/>
              <w:rPr>
                <w:sz w:val="18"/>
              </w:rPr>
            </w:pPr>
            <w:r>
              <w:rPr>
                <w:sz w:val="18"/>
              </w:rPr>
              <w:t>$0.00</w:t>
            </w:r>
          </w:p>
        </w:tc>
        <w:tc>
          <w:tcPr>
            <w:tcW w:w="1644" w:type="dxa"/>
          </w:tcPr>
          <w:p>
            <w:pPr>
              <w:pStyle w:val="TableParagraph"/>
              <w:spacing w:line="207" w:lineRule="exact"/>
              <w:ind w:left="47" w:right="43"/>
              <w:rPr>
                <w:sz w:val="18"/>
              </w:rPr>
            </w:pPr>
            <w:r>
              <w:rPr>
                <w:sz w:val="18"/>
              </w:rPr>
              <w:t>$0.00</w:t>
            </w:r>
          </w:p>
        </w:tc>
        <w:tc>
          <w:tcPr>
            <w:tcW w:w="1644" w:type="dxa"/>
          </w:tcPr>
          <w:p>
            <w:pPr>
              <w:pStyle w:val="TableParagraph"/>
              <w:spacing w:line="207" w:lineRule="exact"/>
              <w:ind w:left="46" w:right="43"/>
              <w:rPr>
                <w:sz w:val="18"/>
              </w:rPr>
            </w:pPr>
            <w:r>
              <w:rPr>
                <w:sz w:val="18"/>
              </w:rPr>
              <w:t>$0.00</w:t>
            </w:r>
          </w:p>
        </w:tc>
        <w:tc>
          <w:tcPr>
            <w:tcW w:w="643" w:type="dxa"/>
          </w:tcPr>
          <w:p>
            <w:pPr>
              <w:pStyle w:val="TableParagraph"/>
              <w:spacing w:line="207" w:lineRule="exact"/>
              <w:ind w:left="71" w:right="70"/>
              <w:rPr>
                <w:sz w:val="18"/>
              </w:rPr>
            </w:pPr>
            <w:r>
              <w:rPr>
                <w:sz w:val="18"/>
              </w:rPr>
              <w:t>$0.00</w:t>
            </w:r>
          </w:p>
        </w:tc>
        <w:tc>
          <w:tcPr>
            <w:tcW w:w="641" w:type="dxa"/>
          </w:tcPr>
          <w:p>
            <w:pPr>
              <w:pStyle w:val="TableParagraph"/>
              <w:spacing w:line="207" w:lineRule="exact"/>
              <w:ind w:left="70" w:right="71"/>
              <w:rPr>
                <w:sz w:val="18"/>
              </w:rPr>
            </w:pPr>
            <w:r>
              <w:rPr>
                <w:sz w:val="18"/>
              </w:rPr>
              <w:t>$0.00</w:t>
            </w:r>
          </w:p>
        </w:tc>
        <w:tc>
          <w:tcPr>
            <w:tcW w:w="1644" w:type="dxa"/>
          </w:tcPr>
          <w:p>
            <w:pPr>
              <w:pStyle w:val="TableParagraph"/>
              <w:spacing w:line="207" w:lineRule="exact"/>
              <w:ind w:left="46" w:right="43"/>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IXTLAHUACA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color w:val="333333"/>
                <w:sz w:val="18"/>
              </w:rPr>
              <w:t>JALTENCO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JILOTEPEC</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color w:val="333333"/>
                <w:sz w:val="18"/>
              </w:rPr>
              <w:t>JILOTZINGO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JIQUIPILCO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22" w:hRule="exact"/>
        </w:trPr>
        <w:tc>
          <w:tcPr>
            <w:tcW w:w="3800" w:type="dxa"/>
          </w:tcPr>
          <w:p>
            <w:pPr>
              <w:pStyle w:val="TableParagraph"/>
              <w:spacing w:line="204" w:lineRule="exact"/>
              <w:ind w:left="64"/>
              <w:jc w:val="left"/>
              <w:rPr>
                <w:b/>
                <w:sz w:val="18"/>
              </w:rPr>
            </w:pPr>
            <w:r>
              <w:rPr>
                <w:b/>
                <w:color w:val="333333"/>
                <w:sz w:val="18"/>
              </w:rPr>
              <w:t>JOCOTITLAN</w:t>
            </w:r>
          </w:p>
        </w:tc>
        <w:tc>
          <w:tcPr>
            <w:tcW w:w="1645" w:type="dxa"/>
          </w:tcPr>
          <w:p>
            <w:pPr>
              <w:pStyle w:val="TableParagraph"/>
              <w:spacing w:before="1"/>
              <w:ind w:left="121" w:right="117"/>
              <w:rPr>
                <w:sz w:val="18"/>
              </w:rPr>
            </w:pPr>
            <w:r>
              <w:rPr>
                <w:sz w:val="18"/>
              </w:rPr>
              <w:t>$0.00</w:t>
            </w:r>
          </w:p>
        </w:tc>
        <w:tc>
          <w:tcPr>
            <w:tcW w:w="643" w:type="dxa"/>
          </w:tcPr>
          <w:p>
            <w:pPr>
              <w:pStyle w:val="TableParagraph"/>
              <w:spacing w:before="1"/>
              <w:ind w:left="71" w:right="70"/>
              <w:rPr>
                <w:sz w:val="18"/>
              </w:rPr>
            </w:pPr>
            <w:r>
              <w:rPr>
                <w:sz w:val="18"/>
              </w:rPr>
              <w:t>$0.00</w:t>
            </w:r>
          </w:p>
        </w:tc>
        <w:tc>
          <w:tcPr>
            <w:tcW w:w="641" w:type="dxa"/>
          </w:tcPr>
          <w:p>
            <w:pPr>
              <w:pStyle w:val="TableParagraph"/>
              <w:spacing w:before="1"/>
              <w:ind w:left="43" w:right="44"/>
              <w:rPr>
                <w:sz w:val="18"/>
              </w:rPr>
            </w:pPr>
            <w:r>
              <w:rPr>
                <w:sz w:val="18"/>
              </w:rPr>
              <w:t>$0.00</w:t>
            </w:r>
          </w:p>
        </w:tc>
        <w:tc>
          <w:tcPr>
            <w:tcW w:w="1644" w:type="dxa"/>
          </w:tcPr>
          <w:p>
            <w:pPr>
              <w:pStyle w:val="TableParagraph"/>
              <w:spacing w:before="1"/>
              <w:ind w:left="47" w:right="44"/>
              <w:rPr>
                <w:sz w:val="18"/>
              </w:rPr>
            </w:pPr>
            <w:r>
              <w:rPr>
                <w:sz w:val="18"/>
              </w:rPr>
              <w:t>$0.00</w:t>
            </w:r>
          </w:p>
        </w:tc>
        <w:tc>
          <w:tcPr>
            <w:tcW w:w="1644" w:type="dxa"/>
          </w:tcPr>
          <w:p>
            <w:pPr>
              <w:pStyle w:val="TableParagraph"/>
              <w:spacing w:before="1"/>
              <w:ind w:left="46" w:right="43"/>
              <w:rPr>
                <w:sz w:val="18"/>
              </w:rPr>
            </w:pPr>
            <w:r>
              <w:rPr>
                <w:sz w:val="18"/>
              </w:rPr>
              <w:t>$0.00</w:t>
            </w:r>
          </w:p>
        </w:tc>
        <w:tc>
          <w:tcPr>
            <w:tcW w:w="643" w:type="dxa"/>
          </w:tcPr>
          <w:p>
            <w:pPr>
              <w:pStyle w:val="TableParagraph"/>
              <w:spacing w:before="1"/>
              <w:ind w:left="71" w:right="70"/>
              <w:rPr>
                <w:sz w:val="18"/>
              </w:rPr>
            </w:pPr>
            <w:r>
              <w:rPr>
                <w:sz w:val="18"/>
              </w:rPr>
              <w:t>$0.00</w:t>
            </w:r>
          </w:p>
        </w:tc>
        <w:tc>
          <w:tcPr>
            <w:tcW w:w="641" w:type="dxa"/>
          </w:tcPr>
          <w:p>
            <w:pPr>
              <w:pStyle w:val="TableParagraph"/>
              <w:spacing w:before="1"/>
              <w:ind w:left="70" w:right="71"/>
              <w:rPr>
                <w:sz w:val="18"/>
              </w:rPr>
            </w:pPr>
            <w:r>
              <w:rPr>
                <w:sz w:val="18"/>
              </w:rPr>
              <w:t>$0.00</w:t>
            </w:r>
          </w:p>
        </w:tc>
        <w:tc>
          <w:tcPr>
            <w:tcW w:w="1644" w:type="dxa"/>
          </w:tcPr>
          <w:p>
            <w:pPr>
              <w:pStyle w:val="TableParagraph"/>
              <w:spacing w:before="1"/>
              <w:ind w:left="46" w:right="43"/>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JOQUICINGO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22" w:hRule="exact"/>
        </w:trPr>
        <w:tc>
          <w:tcPr>
            <w:tcW w:w="3800" w:type="dxa"/>
          </w:tcPr>
          <w:p>
            <w:pPr>
              <w:pStyle w:val="TableParagraph"/>
              <w:spacing w:line="204" w:lineRule="exact"/>
              <w:ind w:left="64"/>
              <w:jc w:val="left"/>
              <w:rPr>
                <w:b/>
                <w:sz w:val="18"/>
              </w:rPr>
            </w:pPr>
            <w:r>
              <w:rPr>
                <w:b/>
                <w:color w:val="333333"/>
                <w:sz w:val="18"/>
              </w:rPr>
              <w:t>JUCHITEPEC</w:t>
            </w:r>
          </w:p>
        </w:tc>
        <w:tc>
          <w:tcPr>
            <w:tcW w:w="1645" w:type="dxa"/>
          </w:tcPr>
          <w:p>
            <w:pPr>
              <w:pStyle w:val="TableParagraph"/>
              <w:spacing w:before="1"/>
              <w:ind w:left="121" w:right="117"/>
              <w:rPr>
                <w:sz w:val="18"/>
              </w:rPr>
            </w:pPr>
            <w:r>
              <w:rPr>
                <w:sz w:val="18"/>
              </w:rPr>
              <w:t>$0.00</w:t>
            </w:r>
          </w:p>
        </w:tc>
        <w:tc>
          <w:tcPr>
            <w:tcW w:w="643" w:type="dxa"/>
          </w:tcPr>
          <w:p>
            <w:pPr>
              <w:pStyle w:val="TableParagraph"/>
              <w:spacing w:before="1"/>
              <w:ind w:left="71" w:right="70"/>
              <w:rPr>
                <w:sz w:val="18"/>
              </w:rPr>
            </w:pPr>
            <w:r>
              <w:rPr>
                <w:sz w:val="18"/>
              </w:rPr>
              <w:t>$0.00</w:t>
            </w:r>
          </w:p>
        </w:tc>
        <w:tc>
          <w:tcPr>
            <w:tcW w:w="641" w:type="dxa"/>
          </w:tcPr>
          <w:p>
            <w:pPr>
              <w:pStyle w:val="TableParagraph"/>
              <w:spacing w:before="1"/>
              <w:ind w:left="43" w:right="44"/>
              <w:rPr>
                <w:sz w:val="18"/>
              </w:rPr>
            </w:pPr>
            <w:r>
              <w:rPr>
                <w:sz w:val="18"/>
              </w:rPr>
              <w:t>$0.00</w:t>
            </w:r>
          </w:p>
        </w:tc>
        <w:tc>
          <w:tcPr>
            <w:tcW w:w="1644" w:type="dxa"/>
          </w:tcPr>
          <w:p>
            <w:pPr>
              <w:pStyle w:val="TableParagraph"/>
              <w:spacing w:before="1"/>
              <w:ind w:left="47" w:right="44"/>
              <w:rPr>
                <w:sz w:val="18"/>
              </w:rPr>
            </w:pPr>
            <w:r>
              <w:rPr>
                <w:sz w:val="18"/>
              </w:rPr>
              <w:t>$0.00</w:t>
            </w:r>
          </w:p>
        </w:tc>
        <w:tc>
          <w:tcPr>
            <w:tcW w:w="1644" w:type="dxa"/>
          </w:tcPr>
          <w:p>
            <w:pPr>
              <w:pStyle w:val="TableParagraph"/>
              <w:spacing w:before="1"/>
              <w:ind w:left="46" w:right="43"/>
              <w:rPr>
                <w:sz w:val="18"/>
              </w:rPr>
            </w:pPr>
            <w:r>
              <w:rPr>
                <w:sz w:val="18"/>
              </w:rPr>
              <w:t>$0.00</w:t>
            </w:r>
          </w:p>
        </w:tc>
        <w:tc>
          <w:tcPr>
            <w:tcW w:w="643" w:type="dxa"/>
          </w:tcPr>
          <w:p>
            <w:pPr>
              <w:pStyle w:val="TableParagraph"/>
              <w:spacing w:before="1"/>
              <w:ind w:left="71" w:right="70"/>
              <w:rPr>
                <w:sz w:val="18"/>
              </w:rPr>
            </w:pPr>
            <w:r>
              <w:rPr>
                <w:sz w:val="18"/>
              </w:rPr>
              <w:t>$0.00</w:t>
            </w:r>
          </w:p>
        </w:tc>
        <w:tc>
          <w:tcPr>
            <w:tcW w:w="641" w:type="dxa"/>
          </w:tcPr>
          <w:p>
            <w:pPr>
              <w:pStyle w:val="TableParagraph"/>
              <w:spacing w:before="1"/>
              <w:ind w:left="70" w:right="71"/>
              <w:rPr>
                <w:sz w:val="18"/>
              </w:rPr>
            </w:pPr>
            <w:r>
              <w:rPr>
                <w:sz w:val="18"/>
              </w:rPr>
              <w:t>$0.00</w:t>
            </w:r>
          </w:p>
        </w:tc>
        <w:tc>
          <w:tcPr>
            <w:tcW w:w="1644" w:type="dxa"/>
          </w:tcPr>
          <w:p>
            <w:pPr>
              <w:pStyle w:val="TableParagraph"/>
              <w:spacing w:before="1"/>
              <w:ind w:left="46" w:right="43"/>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color w:val="333333"/>
                <w:sz w:val="18"/>
              </w:rPr>
              <w:t>LA PAZ</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LERMA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color w:val="333333"/>
                <w:sz w:val="18"/>
              </w:rPr>
              <w:t>LUVIANOS</w:t>
            </w:r>
          </w:p>
        </w:tc>
        <w:tc>
          <w:tcPr>
            <w:tcW w:w="1645" w:type="dxa"/>
          </w:tcPr>
          <w:p>
            <w:pPr>
              <w:pStyle w:val="TableParagraph"/>
              <w:spacing w:line="206" w:lineRule="exact"/>
              <w:ind w:left="121" w:right="117"/>
              <w:rPr>
                <w:sz w:val="18"/>
              </w:rPr>
            </w:pPr>
            <w:r>
              <w:rPr>
                <w:sz w:val="18"/>
              </w:rPr>
              <w:t>$95,221,258.90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2"/>
              <w:rPr>
                <w:sz w:val="18"/>
              </w:rPr>
            </w:pPr>
            <w:r>
              <w:rPr>
                <w:sz w:val="18"/>
              </w:rPr>
              <w:t>$95,221,258.90</w:t>
            </w:r>
          </w:p>
        </w:tc>
        <w:tc>
          <w:tcPr>
            <w:tcW w:w="1644" w:type="dxa"/>
          </w:tcPr>
          <w:p>
            <w:pPr>
              <w:pStyle w:val="TableParagraph"/>
              <w:spacing w:line="206" w:lineRule="exact"/>
              <w:ind w:left="46" w:right="42"/>
              <w:rPr>
                <w:sz w:val="18"/>
              </w:rPr>
            </w:pPr>
            <w:r>
              <w:rPr>
                <w:sz w:val="18"/>
              </w:rPr>
              <w:t>$126,969,891.00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2"/>
              <w:rPr>
                <w:sz w:val="18"/>
              </w:rPr>
            </w:pPr>
            <w:r>
              <w:rPr>
                <w:sz w:val="18"/>
              </w:rPr>
              <w:t>$126,969,891.00</w:t>
            </w:r>
          </w:p>
        </w:tc>
      </w:tr>
      <w:tr>
        <w:trPr>
          <w:trHeight w:val="319" w:hRule="exact"/>
        </w:trPr>
        <w:tc>
          <w:tcPr>
            <w:tcW w:w="3800" w:type="dxa"/>
          </w:tcPr>
          <w:p>
            <w:pPr>
              <w:pStyle w:val="TableParagraph"/>
              <w:spacing w:line="201" w:lineRule="exact"/>
              <w:ind w:left="64"/>
              <w:jc w:val="left"/>
              <w:rPr>
                <w:b/>
                <w:sz w:val="18"/>
              </w:rPr>
            </w:pPr>
            <w:r>
              <w:rPr>
                <w:b/>
                <w:color w:val="333333"/>
                <w:sz w:val="18"/>
              </w:rPr>
              <w:t>MALINALCO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2"/>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color w:val="333333"/>
                <w:sz w:val="18"/>
              </w:rPr>
              <w:t>MELCHOR OCAMPO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METEPEC</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color w:val="333333"/>
                <w:sz w:val="18"/>
              </w:rPr>
              <w:t>MEXICALTCINGO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MORELOS</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22" w:hRule="exact"/>
        </w:trPr>
        <w:tc>
          <w:tcPr>
            <w:tcW w:w="3800" w:type="dxa"/>
          </w:tcPr>
          <w:p>
            <w:pPr>
              <w:pStyle w:val="TableParagraph"/>
              <w:spacing w:line="202" w:lineRule="exact"/>
              <w:ind w:left="64"/>
              <w:jc w:val="left"/>
              <w:rPr>
                <w:b/>
                <w:sz w:val="18"/>
              </w:rPr>
            </w:pPr>
            <w:r>
              <w:rPr>
                <w:b/>
                <w:color w:val="333333"/>
                <w:sz w:val="18"/>
              </w:rPr>
              <w:t>NAUCALPAN DE JUAREZ</w:t>
            </w:r>
          </w:p>
        </w:tc>
        <w:tc>
          <w:tcPr>
            <w:tcW w:w="1645" w:type="dxa"/>
          </w:tcPr>
          <w:p>
            <w:pPr>
              <w:pStyle w:val="TableParagraph"/>
              <w:spacing w:line="207" w:lineRule="exact"/>
              <w:ind w:left="121" w:right="117"/>
              <w:rPr>
                <w:sz w:val="18"/>
              </w:rPr>
            </w:pPr>
            <w:r>
              <w:rPr>
                <w:sz w:val="18"/>
              </w:rPr>
              <w:t>$0.00</w:t>
            </w:r>
          </w:p>
        </w:tc>
        <w:tc>
          <w:tcPr>
            <w:tcW w:w="643" w:type="dxa"/>
          </w:tcPr>
          <w:p>
            <w:pPr>
              <w:pStyle w:val="TableParagraph"/>
              <w:spacing w:line="207" w:lineRule="exact"/>
              <w:ind w:left="71" w:right="70"/>
              <w:rPr>
                <w:sz w:val="18"/>
              </w:rPr>
            </w:pPr>
            <w:r>
              <w:rPr>
                <w:sz w:val="18"/>
              </w:rPr>
              <w:t>$0.00</w:t>
            </w:r>
          </w:p>
        </w:tc>
        <w:tc>
          <w:tcPr>
            <w:tcW w:w="641" w:type="dxa"/>
          </w:tcPr>
          <w:p>
            <w:pPr>
              <w:pStyle w:val="TableParagraph"/>
              <w:spacing w:line="207" w:lineRule="exact"/>
              <w:ind w:left="43" w:right="44"/>
              <w:rPr>
                <w:sz w:val="18"/>
              </w:rPr>
            </w:pPr>
            <w:r>
              <w:rPr>
                <w:sz w:val="18"/>
              </w:rPr>
              <w:t>$0.00</w:t>
            </w:r>
          </w:p>
        </w:tc>
        <w:tc>
          <w:tcPr>
            <w:tcW w:w="1644" w:type="dxa"/>
          </w:tcPr>
          <w:p>
            <w:pPr>
              <w:pStyle w:val="TableParagraph"/>
              <w:spacing w:line="207" w:lineRule="exact"/>
              <w:ind w:left="47" w:right="44"/>
              <w:rPr>
                <w:sz w:val="18"/>
              </w:rPr>
            </w:pPr>
            <w:r>
              <w:rPr>
                <w:sz w:val="18"/>
              </w:rPr>
              <w:t>$0.00</w:t>
            </w:r>
          </w:p>
        </w:tc>
        <w:tc>
          <w:tcPr>
            <w:tcW w:w="1644" w:type="dxa"/>
          </w:tcPr>
          <w:p>
            <w:pPr>
              <w:pStyle w:val="TableParagraph"/>
              <w:spacing w:line="207" w:lineRule="exact"/>
              <w:ind w:left="46" w:right="41"/>
              <w:rPr>
                <w:sz w:val="18"/>
              </w:rPr>
            </w:pPr>
            <w:r>
              <w:rPr>
                <w:sz w:val="18"/>
              </w:rPr>
              <w:t>$91,145,621.00</w:t>
            </w:r>
          </w:p>
        </w:tc>
        <w:tc>
          <w:tcPr>
            <w:tcW w:w="643" w:type="dxa"/>
          </w:tcPr>
          <w:p>
            <w:pPr>
              <w:pStyle w:val="TableParagraph"/>
              <w:spacing w:line="207" w:lineRule="exact"/>
              <w:ind w:left="71" w:right="70"/>
              <w:rPr>
                <w:sz w:val="18"/>
              </w:rPr>
            </w:pPr>
            <w:r>
              <w:rPr>
                <w:sz w:val="18"/>
              </w:rPr>
              <w:t>$0.00</w:t>
            </w:r>
          </w:p>
        </w:tc>
        <w:tc>
          <w:tcPr>
            <w:tcW w:w="641" w:type="dxa"/>
          </w:tcPr>
          <w:p>
            <w:pPr>
              <w:pStyle w:val="TableParagraph"/>
              <w:spacing w:line="207" w:lineRule="exact"/>
              <w:ind w:left="70" w:right="71"/>
              <w:rPr>
                <w:sz w:val="18"/>
              </w:rPr>
            </w:pPr>
            <w:r>
              <w:rPr>
                <w:sz w:val="18"/>
              </w:rPr>
              <w:t>$0.00</w:t>
            </w:r>
          </w:p>
        </w:tc>
        <w:tc>
          <w:tcPr>
            <w:tcW w:w="1644" w:type="dxa"/>
          </w:tcPr>
          <w:p>
            <w:pPr>
              <w:pStyle w:val="TableParagraph"/>
              <w:spacing w:line="207" w:lineRule="exact"/>
              <w:ind w:left="46" w:right="41"/>
              <w:rPr>
                <w:sz w:val="18"/>
              </w:rPr>
            </w:pPr>
            <w:r>
              <w:rPr>
                <w:sz w:val="18"/>
              </w:rPr>
              <w:t>$91,145,621.00</w:t>
            </w:r>
          </w:p>
        </w:tc>
      </w:tr>
      <w:tr>
        <w:trPr>
          <w:trHeight w:val="319" w:hRule="exact"/>
        </w:trPr>
        <w:tc>
          <w:tcPr>
            <w:tcW w:w="3800" w:type="dxa"/>
          </w:tcPr>
          <w:p>
            <w:pPr>
              <w:pStyle w:val="TableParagraph"/>
              <w:spacing w:line="201" w:lineRule="exact"/>
              <w:ind w:left="64"/>
              <w:jc w:val="left"/>
              <w:rPr>
                <w:b/>
                <w:sz w:val="18"/>
              </w:rPr>
            </w:pPr>
            <w:r>
              <w:rPr>
                <w:b/>
                <w:color w:val="333333"/>
                <w:sz w:val="18"/>
              </w:rPr>
              <w:t>NEXTLALPAN</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color w:val="333333"/>
                <w:sz w:val="18"/>
              </w:rPr>
              <w:t>NEZAHUALCOYOTL</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color w:val="333333"/>
                <w:sz w:val="18"/>
              </w:rPr>
              <w:t>NICOLAS ROMERO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bl>
    <w:p>
      <w:pPr>
        <w:spacing w:after="0" w:line="206" w:lineRule="exact"/>
        <w:rPr>
          <w:sz w:val="18"/>
        </w:rPr>
        <w:sectPr>
          <w:pgSz w:w="15840" w:h="12240" w:orient="landscape"/>
          <w:pgMar w:header="0" w:footer="975" w:top="1140" w:bottom="1160" w:left="820" w:right="1840"/>
        </w:sectPr>
      </w:pPr>
    </w:p>
    <w:p>
      <w:pPr>
        <w:pStyle w:val="BodyText"/>
        <w:rPr>
          <w:rFonts w:ascii="Times New Roman"/>
          <w:sz w:val="20"/>
        </w:rPr>
      </w:pPr>
    </w:p>
    <w:p>
      <w:pPr>
        <w:pStyle w:val="BodyText"/>
        <w:spacing w:before="10"/>
        <w:rPr>
          <w:rFonts w:ascii="Times New Roman"/>
          <w:sz w:val="28"/>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00"/>
        <w:gridCol w:w="1645"/>
        <w:gridCol w:w="643"/>
        <w:gridCol w:w="641"/>
        <w:gridCol w:w="1644"/>
        <w:gridCol w:w="1644"/>
        <w:gridCol w:w="643"/>
        <w:gridCol w:w="641"/>
        <w:gridCol w:w="1644"/>
      </w:tblGrid>
      <w:tr>
        <w:trPr>
          <w:trHeight w:val="420" w:hRule="exact"/>
        </w:trPr>
        <w:tc>
          <w:tcPr>
            <w:tcW w:w="12945" w:type="dxa"/>
            <w:gridSpan w:val="9"/>
            <w:shd w:val="clear" w:color="auto" w:fill="C5DFB3"/>
          </w:tcPr>
          <w:p>
            <w:pPr>
              <w:pStyle w:val="TableParagraph"/>
              <w:spacing w:before="44"/>
              <w:ind w:left="2880"/>
              <w:jc w:val="left"/>
              <w:rPr>
                <w:b/>
                <w:sz w:val="18"/>
              </w:rPr>
            </w:pPr>
            <w:r>
              <w:rPr>
                <w:b/>
                <w:sz w:val="18"/>
              </w:rPr>
              <w:t>Anexo 24. Municipios que publican apartado presupuesto 2006-2007 (Continuación)</w:t>
            </w:r>
          </w:p>
        </w:tc>
      </w:tr>
      <w:tr>
        <w:trPr>
          <w:trHeight w:val="319" w:hRule="exact"/>
        </w:trPr>
        <w:tc>
          <w:tcPr>
            <w:tcW w:w="3800"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2"/>
              <w:jc w:val="left"/>
              <w:rPr>
                <w:rFonts w:ascii="Times New Roman"/>
                <w:sz w:val="23"/>
              </w:rPr>
            </w:pPr>
          </w:p>
          <w:p>
            <w:pPr>
              <w:pStyle w:val="TableParagraph"/>
              <w:ind w:left="1455" w:right="1455"/>
              <w:rPr>
                <w:b/>
                <w:sz w:val="18"/>
              </w:rPr>
            </w:pPr>
            <w:r>
              <w:rPr>
                <w:b/>
                <w:sz w:val="18"/>
              </w:rPr>
              <w:t>Municipio</w:t>
            </w:r>
          </w:p>
        </w:tc>
        <w:tc>
          <w:tcPr>
            <w:tcW w:w="4573" w:type="dxa"/>
            <w:gridSpan w:val="4"/>
            <w:shd w:val="clear" w:color="auto" w:fill="C5DFB3"/>
          </w:tcPr>
          <w:p>
            <w:pPr>
              <w:pStyle w:val="TableParagraph"/>
              <w:spacing w:line="201" w:lineRule="exact"/>
              <w:ind w:left="2065" w:right="2058"/>
              <w:rPr>
                <w:b/>
                <w:sz w:val="18"/>
              </w:rPr>
            </w:pPr>
            <w:r>
              <w:rPr>
                <w:b/>
                <w:sz w:val="18"/>
              </w:rPr>
              <w:t>2006</w:t>
            </w:r>
          </w:p>
        </w:tc>
        <w:tc>
          <w:tcPr>
            <w:tcW w:w="4573" w:type="dxa"/>
            <w:gridSpan w:val="4"/>
            <w:shd w:val="clear" w:color="auto" w:fill="C5DFB3"/>
          </w:tcPr>
          <w:p>
            <w:pPr>
              <w:pStyle w:val="TableParagraph"/>
              <w:spacing w:line="201" w:lineRule="exact"/>
              <w:ind w:left="2064" w:right="2058"/>
              <w:rPr>
                <w:b/>
                <w:sz w:val="18"/>
              </w:rPr>
            </w:pPr>
            <w:r>
              <w:rPr>
                <w:b/>
                <w:sz w:val="18"/>
              </w:rPr>
              <w:t>2007</w:t>
            </w:r>
          </w:p>
        </w:tc>
      </w:tr>
      <w:tr>
        <w:trPr>
          <w:trHeight w:val="1375" w:hRule="exact"/>
        </w:trPr>
        <w:tc>
          <w:tcPr>
            <w:tcW w:w="3800" w:type="dxa"/>
            <w:vMerge/>
            <w:shd w:val="clear" w:color="auto" w:fill="C5DFB3"/>
          </w:tcPr>
          <w:p>
            <w:pPr/>
          </w:p>
        </w:tc>
        <w:tc>
          <w:tcPr>
            <w:tcW w:w="1645"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21"/>
              </w:rPr>
            </w:pPr>
          </w:p>
          <w:p>
            <w:pPr>
              <w:pStyle w:val="TableParagraph"/>
              <w:ind w:left="251"/>
              <w:jc w:val="left"/>
              <w:rPr>
                <w:sz w:val="18"/>
              </w:rPr>
            </w:pPr>
            <w:r>
              <w:rPr>
                <w:w w:val="99"/>
                <w:sz w:val="18"/>
              </w:rPr>
              <w:t>Au</w:t>
            </w:r>
            <w:r>
              <w:rPr>
                <w:w w:val="100"/>
                <w:sz w:val="18"/>
              </w:rPr>
              <w:t>to</w:t>
            </w:r>
            <w:r>
              <w:rPr>
                <w:w w:val="99"/>
                <w:sz w:val="18"/>
              </w:rPr>
              <w:t>r</w:t>
            </w:r>
            <w:r>
              <w:rPr>
                <w:spacing w:val="-2"/>
                <w:w w:val="99"/>
                <w:sz w:val="18"/>
              </w:rPr>
              <w:t>i</w:t>
            </w:r>
            <w:r>
              <w:rPr>
                <w:spacing w:val="1"/>
                <w:sz w:val="18"/>
              </w:rPr>
              <w:t>z</w:t>
            </w:r>
            <w:r>
              <w:rPr>
                <w:w w:val="99"/>
                <w:sz w:val="18"/>
              </w:rPr>
              <w:t>ado</w:t>
            </w:r>
          </w:p>
        </w:tc>
        <w:tc>
          <w:tcPr>
            <w:tcW w:w="643" w:type="dxa"/>
            <w:shd w:val="clear" w:color="auto" w:fill="C5DFB3"/>
            <w:textDirection w:val="btLr"/>
          </w:tcPr>
          <w:p>
            <w:pPr>
              <w:pStyle w:val="TableParagraph"/>
              <w:spacing w:before="157"/>
              <w:ind w:left="247"/>
              <w:jc w:val="left"/>
              <w:rPr>
                <w:sz w:val="18"/>
              </w:rPr>
            </w:pPr>
            <w:r>
              <w:rPr>
                <w:spacing w:val="1"/>
                <w:w w:val="99"/>
                <w:sz w:val="18"/>
              </w:rPr>
              <w:t>M</w:t>
            </w:r>
            <w:r>
              <w:rPr>
                <w:w w:val="99"/>
                <w:sz w:val="18"/>
              </w:rPr>
              <w:t>od</w:t>
            </w:r>
            <w:r>
              <w:rPr>
                <w:spacing w:val="-2"/>
                <w:w w:val="99"/>
                <w:sz w:val="18"/>
              </w:rPr>
              <w:t>i</w:t>
            </w:r>
            <w:r>
              <w:rPr>
                <w:sz w:val="18"/>
              </w:rPr>
              <w:t>f</w:t>
            </w:r>
            <w:r>
              <w:rPr>
                <w:spacing w:val="1"/>
                <w:sz w:val="18"/>
              </w:rPr>
              <w:t>i</w:t>
            </w:r>
            <w:r>
              <w:rPr>
                <w:spacing w:val="-2"/>
                <w:sz w:val="18"/>
              </w:rPr>
              <w:t>c</w:t>
            </w:r>
            <w:r>
              <w:rPr>
                <w:w w:val="99"/>
                <w:sz w:val="18"/>
              </w:rPr>
              <w:t>ado</w:t>
            </w:r>
          </w:p>
        </w:tc>
        <w:tc>
          <w:tcPr>
            <w:tcW w:w="641" w:type="dxa"/>
            <w:shd w:val="clear" w:color="auto" w:fill="C5DFB3"/>
            <w:textDirection w:val="btLr"/>
          </w:tcPr>
          <w:p>
            <w:pPr>
              <w:pStyle w:val="TableParagraph"/>
              <w:spacing w:before="155"/>
              <w:ind w:left="357"/>
              <w:jc w:val="left"/>
              <w:rPr>
                <w:sz w:val="18"/>
              </w:rPr>
            </w:pPr>
            <w:r>
              <w:rPr>
                <w:w w:val="99"/>
                <w:sz w:val="18"/>
              </w:rPr>
              <w:t>Eje</w:t>
            </w:r>
            <w:r>
              <w:rPr>
                <w:w w:val="99"/>
                <w:sz w:val="18"/>
              </w:rPr>
              <w:t>r</w:t>
            </w:r>
            <w:r>
              <w:rPr>
                <w:spacing w:val="1"/>
                <w:w w:val="99"/>
                <w:sz w:val="18"/>
              </w:rPr>
              <w:t>c</w:t>
            </w:r>
            <w:r>
              <w:rPr>
                <w:spacing w:val="-2"/>
                <w:w w:val="99"/>
                <w:sz w:val="18"/>
              </w:rPr>
              <w:t>i</w:t>
            </w:r>
            <w:r>
              <w:rPr>
                <w:w w:val="99"/>
                <w:sz w:val="18"/>
              </w:rPr>
              <w:t>do</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21"/>
              </w:rPr>
            </w:pPr>
          </w:p>
          <w:p>
            <w:pPr>
              <w:pStyle w:val="TableParagraph"/>
              <w:ind w:left="242"/>
              <w:jc w:val="left"/>
              <w:rPr>
                <w:sz w:val="18"/>
              </w:rPr>
            </w:pPr>
            <w:r>
              <w:rPr>
                <w:w w:val="99"/>
                <w:sz w:val="18"/>
              </w:rPr>
              <w:t>Po</w:t>
            </w:r>
            <w:r>
              <w:rPr>
                <w:w w:val="99"/>
                <w:sz w:val="18"/>
              </w:rPr>
              <w:t>r </w:t>
            </w:r>
            <w:r>
              <w:rPr>
                <w:w w:val="99"/>
                <w:sz w:val="18"/>
              </w:rPr>
              <w:t>e</w:t>
            </w:r>
            <w:r>
              <w:rPr>
                <w:w w:val="99"/>
                <w:sz w:val="18"/>
              </w:rPr>
              <w:t>j</w:t>
            </w:r>
            <w:r>
              <w:rPr>
                <w:w w:val="99"/>
                <w:sz w:val="18"/>
              </w:rPr>
              <w:t>e</w:t>
            </w:r>
            <w:r>
              <w:rPr>
                <w:spacing w:val="-3"/>
                <w:w w:val="99"/>
                <w:sz w:val="18"/>
              </w:rPr>
              <w:t>r</w:t>
            </w:r>
            <w:r>
              <w:rPr>
                <w:spacing w:val="1"/>
                <w:w w:val="99"/>
                <w:sz w:val="18"/>
              </w:rPr>
              <w:t>c</w:t>
            </w:r>
            <w:r>
              <w:rPr>
                <w:w w:val="99"/>
                <w:sz w:val="18"/>
              </w:rPr>
              <w:t>e</w:t>
            </w:r>
            <w:r>
              <w:rPr>
                <w:w w:val="99"/>
                <w:sz w:val="18"/>
              </w:rPr>
              <w:t>r</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21"/>
              </w:rPr>
            </w:pPr>
          </w:p>
          <w:p>
            <w:pPr>
              <w:pStyle w:val="TableParagraph"/>
              <w:ind w:left="251"/>
              <w:jc w:val="left"/>
              <w:rPr>
                <w:sz w:val="18"/>
              </w:rPr>
            </w:pPr>
            <w:r>
              <w:rPr>
                <w:w w:val="99"/>
                <w:sz w:val="18"/>
              </w:rPr>
              <w:t>Au</w:t>
            </w:r>
            <w:r>
              <w:rPr>
                <w:w w:val="100"/>
                <w:sz w:val="18"/>
              </w:rPr>
              <w:t>to</w:t>
            </w:r>
            <w:r>
              <w:rPr>
                <w:w w:val="99"/>
                <w:sz w:val="18"/>
              </w:rPr>
              <w:t>r</w:t>
            </w:r>
            <w:r>
              <w:rPr>
                <w:spacing w:val="-2"/>
                <w:w w:val="99"/>
                <w:sz w:val="18"/>
              </w:rPr>
              <w:t>i</w:t>
            </w:r>
            <w:r>
              <w:rPr>
                <w:spacing w:val="1"/>
                <w:sz w:val="18"/>
              </w:rPr>
              <w:t>z</w:t>
            </w:r>
            <w:r>
              <w:rPr>
                <w:w w:val="99"/>
                <w:sz w:val="18"/>
              </w:rPr>
              <w:t>ado</w:t>
            </w:r>
          </w:p>
        </w:tc>
        <w:tc>
          <w:tcPr>
            <w:tcW w:w="643" w:type="dxa"/>
            <w:shd w:val="clear" w:color="auto" w:fill="C5DFB3"/>
            <w:textDirection w:val="btLr"/>
          </w:tcPr>
          <w:p>
            <w:pPr>
              <w:pStyle w:val="TableParagraph"/>
              <w:spacing w:before="157"/>
              <w:ind w:left="247"/>
              <w:jc w:val="left"/>
              <w:rPr>
                <w:sz w:val="18"/>
              </w:rPr>
            </w:pPr>
            <w:r>
              <w:rPr>
                <w:spacing w:val="1"/>
                <w:w w:val="99"/>
                <w:sz w:val="18"/>
              </w:rPr>
              <w:t>M</w:t>
            </w:r>
            <w:r>
              <w:rPr>
                <w:w w:val="99"/>
                <w:sz w:val="18"/>
              </w:rPr>
              <w:t>od</w:t>
            </w:r>
            <w:r>
              <w:rPr>
                <w:spacing w:val="-2"/>
                <w:w w:val="99"/>
                <w:sz w:val="18"/>
              </w:rPr>
              <w:t>i</w:t>
            </w:r>
            <w:r>
              <w:rPr>
                <w:sz w:val="18"/>
              </w:rPr>
              <w:t>f</w:t>
            </w:r>
            <w:r>
              <w:rPr>
                <w:spacing w:val="1"/>
                <w:sz w:val="18"/>
              </w:rPr>
              <w:t>i</w:t>
            </w:r>
            <w:r>
              <w:rPr>
                <w:spacing w:val="-2"/>
                <w:sz w:val="18"/>
              </w:rPr>
              <w:t>c</w:t>
            </w:r>
            <w:r>
              <w:rPr>
                <w:w w:val="99"/>
                <w:sz w:val="18"/>
              </w:rPr>
              <w:t>ado</w:t>
            </w:r>
          </w:p>
        </w:tc>
        <w:tc>
          <w:tcPr>
            <w:tcW w:w="641" w:type="dxa"/>
            <w:shd w:val="clear" w:color="auto" w:fill="C5DFB3"/>
            <w:textDirection w:val="btLr"/>
          </w:tcPr>
          <w:p>
            <w:pPr>
              <w:pStyle w:val="TableParagraph"/>
              <w:spacing w:before="155"/>
              <w:ind w:left="357"/>
              <w:jc w:val="left"/>
              <w:rPr>
                <w:sz w:val="18"/>
              </w:rPr>
            </w:pPr>
            <w:r>
              <w:rPr>
                <w:w w:val="99"/>
                <w:sz w:val="18"/>
              </w:rPr>
              <w:t>Eje</w:t>
            </w:r>
            <w:r>
              <w:rPr>
                <w:w w:val="99"/>
                <w:sz w:val="18"/>
              </w:rPr>
              <w:t>r</w:t>
            </w:r>
            <w:r>
              <w:rPr>
                <w:spacing w:val="1"/>
                <w:w w:val="99"/>
                <w:sz w:val="18"/>
              </w:rPr>
              <w:t>c</w:t>
            </w:r>
            <w:r>
              <w:rPr>
                <w:spacing w:val="-2"/>
                <w:w w:val="99"/>
                <w:sz w:val="18"/>
              </w:rPr>
              <w:t>i</w:t>
            </w:r>
            <w:r>
              <w:rPr>
                <w:w w:val="99"/>
                <w:sz w:val="18"/>
              </w:rPr>
              <w:t>do</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21"/>
              </w:rPr>
            </w:pPr>
          </w:p>
          <w:p>
            <w:pPr>
              <w:pStyle w:val="TableParagraph"/>
              <w:ind w:left="242"/>
              <w:jc w:val="left"/>
              <w:rPr>
                <w:sz w:val="18"/>
              </w:rPr>
            </w:pPr>
            <w:r>
              <w:rPr>
                <w:w w:val="99"/>
                <w:sz w:val="18"/>
              </w:rPr>
              <w:t>Po</w:t>
            </w:r>
            <w:r>
              <w:rPr>
                <w:w w:val="99"/>
                <w:sz w:val="18"/>
              </w:rPr>
              <w:t>r </w:t>
            </w:r>
            <w:r>
              <w:rPr>
                <w:w w:val="99"/>
                <w:sz w:val="18"/>
              </w:rPr>
              <w:t>e</w:t>
            </w:r>
            <w:r>
              <w:rPr>
                <w:w w:val="99"/>
                <w:sz w:val="18"/>
              </w:rPr>
              <w:t>j</w:t>
            </w:r>
            <w:r>
              <w:rPr>
                <w:w w:val="99"/>
                <w:sz w:val="18"/>
              </w:rPr>
              <w:t>e</w:t>
            </w:r>
            <w:r>
              <w:rPr>
                <w:spacing w:val="-3"/>
                <w:w w:val="99"/>
                <w:sz w:val="18"/>
              </w:rPr>
              <w:t>r</w:t>
            </w:r>
            <w:r>
              <w:rPr>
                <w:spacing w:val="1"/>
                <w:w w:val="99"/>
                <w:sz w:val="18"/>
              </w:rPr>
              <w:t>c</w:t>
            </w:r>
            <w:r>
              <w:rPr>
                <w:w w:val="99"/>
                <w:sz w:val="18"/>
              </w:rPr>
              <w:t>e</w:t>
            </w:r>
            <w:r>
              <w:rPr>
                <w:w w:val="99"/>
                <w:sz w:val="18"/>
              </w:rPr>
              <w:t>r</w:t>
            </w:r>
          </w:p>
        </w:tc>
      </w:tr>
      <w:tr>
        <w:trPr>
          <w:trHeight w:val="322" w:hRule="exact"/>
        </w:trPr>
        <w:tc>
          <w:tcPr>
            <w:tcW w:w="3800" w:type="dxa"/>
          </w:tcPr>
          <w:p>
            <w:pPr>
              <w:pStyle w:val="TableParagraph"/>
              <w:spacing w:line="202" w:lineRule="exact"/>
              <w:ind w:left="64"/>
              <w:jc w:val="left"/>
              <w:rPr>
                <w:b/>
                <w:sz w:val="18"/>
              </w:rPr>
            </w:pPr>
            <w:r>
              <w:rPr>
                <w:b/>
                <w:sz w:val="18"/>
              </w:rPr>
              <w:t>NOPALTEPEC</w:t>
            </w:r>
          </w:p>
        </w:tc>
        <w:tc>
          <w:tcPr>
            <w:tcW w:w="1645" w:type="dxa"/>
          </w:tcPr>
          <w:p>
            <w:pPr>
              <w:pStyle w:val="TableParagraph"/>
              <w:spacing w:line="207" w:lineRule="exact"/>
              <w:ind w:left="121" w:right="117"/>
              <w:rPr>
                <w:sz w:val="18"/>
              </w:rPr>
            </w:pPr>
            <w:r>
              <w:rPr>
                <w:sz w:val="18"/>
              </w:rPr>
              <w:t>$0.00</w:t>
            </w:r>
          </w:p>
        </w:tc>
        <w:tc>
          <w:tcPr>
            <w:tcW w:w="643" w:type="dxa"/>
          </w:tcPr>
          <w:p>
            <w:pPr>
              <w:pStyle w:val="TableParagraph"/>
              <w:spacing w:line="207" w:lineRule="exact"/>
              <w:ind w:left="71" w:right="70"/>
              <w:rPr>
                <w:sz w:val="18"/>
              </w:rPr>
            </w:pPr>
            <w:r>
              <w:rPr>
                <w:sz w:val="18"/>
              </w:rPr>
              <w:t>$0.00</w:t>
            </w:r>
          </w:p>
        </w:tc>
        <w:tc>
          <w:tcPr>
            <w:tcW w:w="641" w:type="dxa"/>
          </w:tcPr>
          <w:p>
            <w:pPr>
              <w:pStyle w:val="TableParagraph"/>
              <w:spacing w:line="207" w:lineRule="exact"/>
              <w:ind w:left="43" w:right="44"/>
              <w:rPr>
                <w:sz w:val="18"/>
              </w:rPr>
            </w:pPr>
            <w:r>
              <w:rPr>
                <w:sz w:val="18"/>
              </w:rPr>
              <w:t>$0.00</w:t>
            </w:r>
          </w:p>
        </w:tc>
        <w:tc>
          <w:tcPr>
            <w:tcW w:w="1644" w:type="dxa"/>
          </w:tcPr>
          <w:p>
            <w:pPr>
              <w:pStyle w:val="TableParagraph"/>
              <w:spacing w:line="207" w:lineRule="exact"/>
              <w:ind w:left="47" w:right="44"/>
              <w:rPr>
                <w:sz w:val="18"/>
              </w:rPr>
            </w:pPr>
            <w:r>
              <w:rPr>
                <w:sz w:val="18"/>
              </w:rPr>
              <w:t>$0.00</w:t>
            </w:r>
          </w:p>
        </w:tc>
        <w:tc>
          <w:tcPr>
            <w:tcW w:w="1644" w:type="dxa"/>
          </w:tcPr>
          <w:p>
            <w:pPr>
              <w:pStyle w:val="TableParagraph"/>
              <w:spacing w:line="207" w:lineRule="exact"/>
              <w:ind w:right="587"/>
              <w:jc w:val="right"/>
              <w:rPr>
                <w:sz w:val="18"/>
              </w:rPr>
            </w:pPr>
            <w:r>
              <w:rPr>
                <w:w w:val="95"/>
                <w:sz w:val="18"/>
              </w:rPr>
              <w:t>$0.00</w:t>
            </w:r>
          </w:p>
        </w:tc>
        <w:tc>
          <w:tcPr>
            <w:tcW w:w="643" w:type="dxa"/>
          </w:tcPr>
          <w:p>
            <w:pPr>
              <w:pStyle w:val="TableParagraph"/>
              <w:spacing w:line="207" w:lineRule="exact"/>
              <w:ind w:left="71" w:right="70"/>
              <w:rPr>
                <w:sz w:val="18"/>
              </w:rPr>
            </w:pPr>
            <w:r>
              <w:rPr>
                <w:sz w:val="18"/>
              </w:rPr>
              <w:t>$0.00</w:t>
            </w:r>
          </w:p>
        </w:tc>
        <w:tc>
          <w:tcPr>
            <w:tcW w:w="641" w:type="dxa"/>
          </w:tcPr>
          <w:p>
            <w:pPr>
              <w:pStyle w:val="TableParagraph"/>
              <w:spacing w:line="207" w:lineRule="exact"/>
              <w:ind w:left="70" w:right="71"/>
              <w:rPr>
                <w:sz w:val="18"/>
              </w:rPr>
            </w:pPr>
            <w:r>
              <w:rPr>
                <w:sz w:val="18"/>
              </w:rPr>
              <w:t>$0.00</w:t>
            </w:r>
          </w:p>
        </w:tc>
        <w:tc>
          <w:tcPr>
            <w:tcW w:w="1644" w:type="dxa"/>
          </w:tcPr>
          <w:p>
            <w:pPr>
              <w:pStyle w:val="TableParagraph"/>
              <w:spacing w:line="207" w:lineRule="exact"/>
              <w:ind w:left="592"/>
              <w:jc w:val="left"/>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sz w:val="18"/>
              </w:rPr>
              <w:t>OCOYOACAC</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sz w:val="18"/>
              </w:rPr>
              <w:t>OCUILAN</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sz w:val="18"/>
              </w:rPr>
              <w:t>OTUMBA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sz w:val="18"/>
              </w:rPr>
              <w:t>OTZOLOAPAN</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sz w:val="18"/>
              </w:rPr>
              <w:t>OTZOLOTEPEC</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r>
        <w:trPr>
          <w:trHeight w:val="322" w:hRule="exact"/>
        </w:trPr>
        <w:tc>
          <w:tcPr>
            <w:tcW w:w="3800" w:type="dxa"/>
          </w:tcPr>
          <w:p>
            <w:pPr>
              <w:pStyle w:val="TableParagraph"/>
              <w:spacing w:line="204" w:lineRule="exact"/>
              <w:ind w:left="64"/>
              <w:jc w:val="left"/>
              <w:rPr>
                <w:b/>
                <w:sz w:val="18"/>
              </w:rPr>
            </w:pPr>
            <w:r>
              <w:rPr>
                <w:b/>
                <w:sz w:val="18"/>
              </w:rPr>
              <w:t>OZUMBA</w:t>
            </w:r>
          </w:p>
        </w:tc>
        <w:tc>
          <w:tcPr>
            <w:tcW w:w="1645" w:type="dxa"/>
          </w:tcPr>
          <w:p>
            <w:pPr>
              <w:pStyle w:val="TableParagraph"/>
              <w:spacing w:before="1"/>
              <w:ind w:left="121" w:right="117"/>
              <w:rPr>
                <w:sz w:val="18"/>
              </w:rPr>
            </w:pPr>
            <w:r>
              <w:rPr>
                <w:sz w:val="18"/>
              </w:rPr>
              <w:t>$0.00</w:t>
            </w:r>
          </w:p>
        </w:tc>
        <w:tc>
          <w:tcPr>
            <w:tcW w:w="643" w:type="dxa"/>
          </w:tcPr>
          <w:p>
            <w:pPr>
              <w:pStyle w:val="TableParagraph"/>
              <w:spacing w:before="1"/>
              <w:ind w:left="71" w:right="70"/>
              <w:rPr>
                <w:sz w:val="18"/>
              </w:rPr>
            </w:pPr>
            <w:r>
              <w:rPr>
                <w:sz w:val="18"/>
              </w:rPr>
              <w:t>$0.00</w:t>
            </w:r>
          </w:p>
        </w:tc>
        <w:tc>
          <w:tcPr>
            <w:tcW w:w="641" w:type="dxa"/>
          </w:tcPr>
          <w:p>
            <w:pPr>
              <w:pStyle w:val="TableParagraph"/>
              <w:spacing w:before="1"/>
              <w:ind w:left="43" w:right="44"/>
              <w:rPr>
                <w:sz w:val="18"/>
              </w:rPr>
            </w:pPr>
            <w:r>
              <w:rPr>
                <w:sz w:val="18"/>
              </w:rPr>
              <w:t>$0.00</w:t>
            </w:r>
          </w:p>
        </w:tc>
        <w:tc>
          <w:tcPr>
            <w:tcW w:w="1644" w:type="dxa"/>
          </w:tcPr>
          <w:p>
            <w:pPr>
              <w:pStyle w:val="TableParagraph"/>
              <w:spacing w:before="1"/>
              <w:ind w:left="47" w:right="44"/>
              <w:rPr>
                <w:sz w:val="18"/>
              </w:rPr>
            </w:pPr>
            <w:r>
              <w:rPr>
                <w:sz w:val="18"/>
              </w:rPr>
              <w:t>$0.00</w:t>
            </w:r>
          </w:p>
        </w:tc>
        <w:tc>
          <w:tcPr>
            <w:tcW w:w="1644" w:type="dxa"/>
          </w:tcPr>
          <w:p>
            <w:pPr>
              <w:pStyle w:val="TableParagraph"/>
              <w:spacing w:before="1"/>
              <w:ind w:right="587"/>
              <w:jc w:val="right"/>
              <w:rPr>
                <w:sz w:val="18"/>
              </w:rPr>
            </w:pPr>
            <w:r>
              <w:rPr>
                <w:w w:val="95"/>
                <w:sz w:val="18"/>
              </w:rPr>
              <w:t>$0.00</w:t>
            </w:r>
          </w:p>
        </w:tc>
        <w:tc>
          <w:tcPr>
            <w:tcW w:w="643" w:type="dxa"/>
          </w:tcPr>
          <w:p>
            <w:pPr>
              <w:pStyle w:val="TableParagraph"/>
              <w:spacing w:before="1"/>
              <w:ind w:left="71" w:right="70"/>
              <w:rPr>
                <w:sz w:val="18"/>
              </w:rPr>
            </w:pPr>
            <w:r>
              <w:rPr>
                <w:sz w:val="18"/>
              </w:rPr>
              <w:t>$0.00</w:t>
            </w:r>
          </w:p>
        </w:tc>
        <w:tc>
          <w:tcPr>
            <w:tcW w:w="641" w:type="dxa"/>
          </w:tcPr>
          <w:p>
            <w:pPr>
              <w:pStyle w:val="TableParagraph"/>
              <w:spacing w:before="1"/>
              <w:ind w:left="70" w:right="71"/>
              <w:rPr>
                <w:sz w:val="18"/>
              </w:rPr>
            </w:pPr>
            <w:r>
              <w:rPr>
                <w:sz w:val="18"/>
              </w:rPr>
              <w:t>$0.00</w:t>
            </w:r>
          </w:p>
        </w:tc>
        <w:tc>
          <w:tcPr>
            <w:tcW w:w="1644" w:type="dxa"/>
          </w:tcPr>
          <w:p>
            <w:pPr>
              <w:pStyle w:val="TableParagraph"/>
              <w:spacing w:before="1"/>
              <w:ind w:left="592"/>
              <w:jc w:val="left"/>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sz w:val="18"/>
              </w:rPr>
              <w:t>PAPALOTLA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r>
        <w:trPr>
          <w:trHeight w:val="322" w:hRule="exact"/>
        </w:trPr>
        <w:tc>
          <w:tcPr>
            <w:tcW w:w="3800" w:type="dxa"/>
          </w:tcPr>
          <w:p>
            <w:pPr>
              <w:pStyle w:val="TableParagraph"/>
              <w:spacing w:line="204" w:lineRule="exact"/>
              <w:ind w:left="64"/>
              <w:jc w:val="left"/>
              <w:rPr>
                <w:b/>
                <w:sz w:val="18"/>
              </w:rPr>
            </w:pPr>
            <w:r>
              <w:rPr>
                <w:b/>
                <w:sz w:val="18"/>
              </w:rPr>
              <w:t>POLOTITLAN</w:t>
            </w:r>
          </w:p>
        </w:tc>
        <w:tc>
          <w:tcPr>
            <w:tcW w:w="1645" w:type="dxa"/>
          </w:tcPr>
          <w:p>
            <w:pPr>
              <w:pStyle w:val="TableParagraph"/>
              <w:spacing w:before="1"/>
              <w:ind w:left="121" w:right="117"/>
              <w:rPr>
                <w:sz w:val="18"/>
              </w:rPr>
            </w:pPr>
            <w:r>
              <w:rPr>
                <w:sz w:val="18"/>
              </w:rPr>
              <w:t>$0.00</w:t>
            </w:r>
          </w:p>
        </w:tc>
        <w:tc>
          <w:tcPr>
            <w:tcW w:w="643" w:type="dxa"/>
          </w:tcPr>
          <w:p>
            <w:pPr>
              <w:pStyle w:val="TableParagraph"/>
              <w:spacing w:before="1"/>
              <w:ind w:left="71" w:right="70"/>
              <w:rPr>
                <w:sz w:val="18"/>
              </w:rPr>
            </w:pPr>
            <w:r>
              <w:rPr>
                <w:sz w:val="18"/>
              </w:rPr>
              <w:t>$0.00</w:t>
            </w:r>
          </w:p>
        </w:tc>
        <w:tc>
          <w:tcPr>
            <w:tcW w:w="641" w:type="dxa"/>
          </w:tcPr>
          <w:p>
            <w:pPr>
              <w:pStyle w:val="TableParagraph"/>
              <w:spacing w:before="1"/>
              <w:ind w:left="43" w:right="44"/>
              <w:rPr>
                <w:sz w:val="18"/>
              </w:rPr>
            </w:pPr>
            <w:r>
              <w:rPr>
                <w:sz w:val="18"/>
              </w:rPr>
              <w:t>$0.00</w:t>
            </w:r>
          </w:p>
        </w:tc>
        <w:tc>
          <w:tcPr>
            <w:tcW w:w="1644" w:type="dxa"/>
          </w:tcPr>
          <w:p>
            <w:pPr>
              <w:pStyle w:val="TableParagraph"/>
              <w:spacing w:before="1"/>
              <w:ind w:left="47" w:right="44"/>
              <w:rPr>
                <w:sz w:val="18"/>
              </w:rPr>
            </w:pPr>
            <w:r>
              <w:rPr>
                <w:sz w:val="18"/>
              </w:rPr>
              <w:t>$0.00</w:t>
            </w:r>
          </w:p>
        </w:tc>
        <w:tc>
          <w:tcPr>
            <w:tcW w:w="1644" w:type="dxa"/>
          </w:tcPr>
          <w:p>
            <w:pPr>
              <w:pStyle w:val="TableParagraph"/>
              <w:spacing w:before="1"/>
              <w:ind w:right="587"/>
              <w:jc w:val="right"/>
              <w:rPr>
                <w:sz w:val="18"/>
              </w:rPr>
            </w:pPr>
            <w:r>
              <w:rPr>
                <w:w w:val="95"/>
                <w:sz w:val="18"/>
              </w:rPr>
              <w:t>$0.00</w:t>
            </w:r>
          </w:p>
        </w:tc>
        <w:tc>
          <w:tcPr>
            <w:tcW w:w="643" w:type="dxa"/>
          </w:tcPr>
          <w:p>
            <w:pPr>
              <w:pStyle w:val="TableParagraph"/>
              <w:spacing w:before="1"/>
              <w:ind w:left="71" w:right="70"/>
              <w:rPr>
                <w:sz w:val="18"/>
              </w:rPr>
            </w:pPr>
            <w:r>
              <w:rPr>
                <w:sz w:val="18"/>
              </w:rPr>
              <w:t>$0.00</w:t>
            </w:r>
          </w:p>
        </w:tc>
        <w:tc>
          <w:tcPr>
            <w:tcW w:w="641" w:type="dxa"/>
          </w:tcPr>
          <w:p>
            <w:pPr>
              <w:pStyle w:val="TableParagraph"/>
              <w:spacing w:before="1"/>
              <w:ind w:left="70" w:right="71"/>
              <w:rPr>
                <w:sz w:val="18"/>
              </w:rPr>
            </w:pPr>
            <w:r>
              <w:rPr>
                <w:sz w:val="18"/>
              </w:rPr>
              <w:t>$0.00</w:t>
            </w:r>
          </w:p>
        </w:tc>
        <w:tc>
          <w:tcPr>
            <w:tcW w:w="1644" w:type="dxa"/>
          </w:tcPr>
          <w:p>
            <w:pPr>
              <w:pStyle w:val="TableParagraph"/>
              <w:spacing w:before="1"/>
              <w:ind w:left="592"/>
              <w:jc w:val="left"/>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sz w:val="18"/>
              </w:rPr>
              <w:t>RAYON</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sz w:val="18"/>
              </w:rPr>
              <w:t>SAN ANTONIO LA ISLA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sz w:val="18"/>
              </w:rPr>
              <w:t>SAN FELIPE DEL PROGRESO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sz w:val="18"/>
              </w:rPr>
              <w:t>SAN JOSE DEL RINCON</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sz w:val="18"/>
              </w:rPr>
              <w:t>SAN MARTÍN DE LAS PIRAMIDES</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sz w:val="18"/>
              </w:rPr>
              <w:t>SAN MATEO ATENCO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sz w:val="18"/>
              </w:rPr>
              <w:t>SAN SIMON DE GUERRERO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sz w:val="18"/>
              </w:rPr>
              <w:t>SANTO TOMAS</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r>
        <w:trPr>
          <w:trHeight w:val="322" w:hRule="exact"/>
        </w:trPr>
        <w:tc>
          <w:tcPr>
            <w:tcW w:w="3800" w:type="dxa"/>
          </w:tcPr>
          <w:p>
            <w:pPr>
              <w:pStyle w:val="TableParagraph"/>
              <w:spacing w:line="202" w:lineRule="exact"/>
              <w:ind w:left="64"/>
              <w:jc w:val="left"/>
              <w:rPr>
                <w:b/>
                <w:sz w:val="18"/>
              </w:rPr>
            </w:pPr>
            <w:r>
              <w:rPr>
                <w:b/>
                <w:sz w:val="18"/>
              </w:rPr>
              <w:t>SOYANIQUILPAN DE JUAREZ</w:t>
            </w:r>
          </w:p>
        </w:tc>
        <w:tc>
          <w:tcPr>
            <w:tcW w:w="1645" w:type="dxa"/>
          </w:tcPr>
          <w:p>
            <w:pPr>
              <w:pStyle w:val="TableParagraph"/>
              <w:spacing w:line="207" w:lineRule="exact"/>
              <w:ind w:left="121" w:right="117"/>
              <w:rPr>
                <w:sz w:val="18"/>
              </w:rPr>
            </w:pPr>
            <w:r>
              <w:rPr>
                <w:sz w:val="18"/>
              </w:rPr>
              <w:t>$0.00</w:t>
            </w:r>
          </w:p>
        </w:tc>
        <w:tc>
          <w:tcPr>
            <w:tcW w:w="643" w:type="dxa"/>
          </w:tcPr>
          <w:p>
            <w:pPr>
              <w:pStyle w:val="TableParagraph"/>
              <w:spacing w:line="207" w:lineRule="exact"/>
              <w:ind w:left="71" w:right="70"/>
              <w:rPr>
                <w:sz w:val="18"/>
              </w:rPr>
            </w:pPr>
            <w:r>
              <w:rPr>
                <w:sz w:val="18"/>
              </w:rPr>
              <w:t>$0.00</w:t>
            </w:r>
          </w:p>
        </w:tc>
        <w:tc>
          <w:tcPr>
            <w:tcW w:w="641" w:type="dxa"/>
          </w:tcPr>
          <w:p>
            <w:pPr>
              <w:pStyle w:val="TableParagraph"/>
              <w:spacing w:line="207" w:lineRule="exact"/>
              <w:ind w:left="43" w:right="44"/>
              <w:rPr>
                <w:sz w:val="18"/>
              </w:rPr>
            </w:pPr>
            <w:r>
              <w:rPr>
                <w:sz w:val="18"/>
              </w:rPr>
              <w:t>$0.00</w:t>
            </w:r>
          </w:p>
        </w:tc>
        <w:tc>
          <w:tcPr>
            <w:tcW w:w="1644" w:type="dxa"/>
          </w:tcPr>
          <w:p>
            <w:pPr>
              <w:pStyle w:val="TableParagraph"/>
              <w:spacing w:line="207" w:lineRule="exact"/>
              <w:ind w:left="47" w:right="44"/>
              <w:rPr>
                <w:sz w:val="18"/>
              </w:rPr>
            </w:pPr>
            <w:r>
              <w:rPr>
                <w:sz w:val="18"/>
              </w:rPr>
              <w:t>$0.00</w:t>
            </w:r>
          </w:p>
        </w:tc>
        <w:tc>
          <w:tcPr>
            <w:tcW w:w="1644" w:type="dxa"/>
          </w:tcPr>
          <w:p>
            <w:pPr>
              <w:pStyle w:val="TableParagraph"/>
              <w:spacing w:line="207" w:lineRule="exact"/>
              <w:ind w:right="587"/>
              <w:jc w:val="right"/>
              <w:rPr>
                <w:sz w:val="18"/>
              </w:rPr>
            </w:pPr>
            <w:r>
              <w:rPr>
                <w:w w:val="95"/>
                <w:sz w:val="18"/>
              </w:rPr>
              <w:t>$0.00</w:t>
            </w:r>
          </w:p>
        </w:tc>
        <w:tc>
          <w:tcPr>
            <w:tcW w:w="643" w:type="dxa"/>
          </w:tcPr>
          <w:p>
            <w:pPr>
              <w:pStyle w:val="TableParagraph"/>
              <w:spacing w:line="207" w:lineRule="exact"/>
              <w:ind w:left="71" w:right="70"/>
              <w:rPr>
                <w:sz w:val="18"/>
              </w:rPr>
            </w:pPr>
            <w:r>
              <w:rPr>
                <w:sz w:val="18"/>
              </w:rPr>
              <w:t>$0.00</w:t>
            </w:r>
          </w:p>
        </w:tc>
        <w:tc>
          <w:tcPr>
            <w:tcW w:w="641" w:type="dxa"/>
          </w:tcPr>
          <w:p>
            <w:pPr>
              <w:pStyle w:val="TableParagraph"/>
              <w:spacing w:line="207" w:lineRule="exact"/>
              <w:ind w:left="70" w:right="71"/>
              <w:rPr>
                <w:sz w:val="18"/>
              </w:rPr>
            </w:pPr>
            <w:r>
              <w:rPr>
                <w:sz w:val="18"/>
              </w:rPr>
              <w:t>$0.00</w:t>
            </w:r>
          </w:p>
        </w:tc>
        <w:tc>
          <w:tcPr>
            <w:tcW w:w="1644" w:type="dxa"/>
          </w:tcPr>
          <w:p>
            <w:pPr>
              <w:pStyle w:val="TableParagraph"/>
              <w:spacing w:line="207" w:lineRule="exact"/>
              <w:ind w:left="592"/>
              <w:jc w:val="left"/>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sz w:val="18"/>
              </w:rPr>
              <w:t>SULTEPEC</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sz w:val="18"/>
              </w:rPr>
              <w:t>TECAMAC</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sz w:val="18"/>
              </w:rPr>
              <w:t>TEJUPILCO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right="587"/>
              <w:jc w:val="right"/>
              <w:rPr>
                <w:sz w:val="18"/>
              </w:rPr>
            </w:pPr>
            <w:r>
              <w:rPr>
                <w:w w:val="95"/>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592"/>
              <w:jc w:val="left"/>
              <w:rPr>
                <w:sz w:val="18"/>
              </w:rPr>
            </w:pPr>
            <w:r>
              <w:rPr>
                <w:sz w:val="18"/>
              </w:rPr>
              <w:t>$0.00</w:t>
            </w:r>
          </w:p>
        </w:tc>
      </w:tr>
    </w:tbl>
    <w:p>
      <w:pPr>
        <w:spacing w:after="0" w:line="206" w:lineRule="exact"/>
        <w:jc w:val="left"/>
        <w:rPr>
          <w:sz w:val="18"/>
        </w:rPr>
        <w:sectPr>
          <w:pgSz w:w="15840" w:h="12240" w:orient="landscape"/>
          <w:pgMar w:header="0" w:footer="975" w:top="1140" w:bottom="1160" w:left="820" w:right="1840"/>
        </w:sectPr>
      </w:pPr>
    </w:p>
    <w:p>
      <w:pPr>
        <w:pStyle w:val="BodyText"/>
        <w:rPr>
          <w:rFonts w:ascii="Times New Roman"/>
          <w:sz w:val="20"/>
        </w:rPr>
      </w:pPr>
    </w:p>
    <w:p>
      <w:pPr>
        <w:pStyle w:val="BodyText"/>
        <w:spacing w:before="10"/>
        <w:rPr>
          <w:rFonts w:ascii="Times New Roman"/>
          <w:sz w:val="28"/>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00"/>
        <w:gridCol w:w="1645"/>
        <w:gridCol w:w="643"/>
        <w:gridCol w:w="641"/>
        <w:gridCol w:w="1644"/>
        <w:gridCol w:w="1644"/>
        <w:gridCol w:w="643"/>
        <w:gridCol w:w="641"/>
        <w:gridCol w:w="1644"/>
      </w:tblGrid>
      <w:tr>
        <w:trPr>
          <w:trHeight w:val="420" w:hRule="exact"/>
        </w:trPr>
        <w:tc>
          <w:tcPr>
            <w:tcW w:w="12945" w:type="dxa"/>
            <w:gridSpan w:val="9"/>
            <w:shd w:val="clear" w:color="auto" w:fill="C5DFB3"/>
          </w:tcPr>
          <w:p>
            <w:pPr>
              <w:pStyle w:val="TableParagraph"/>
              <w:spacing w:before="44"/>
              <w:ind w:left="2880"/>
              <w:jc w:val="left"/>
              <w:rPr>
                <w:b/>
                <w:sz w:val="18"/>
              </w:rPr>
            </w:pPr>
            <w:r>
              <w:rPr>
                <w:b/>
                <w:sz w:val="18"/>
              </w:rPr>
              <w:t>Anexo 24. Municipios que publican apartado presupuesto 2006-2007 (Continuación)</w:t>
            </w:r>
          </w:p>
        </w:tc>
      </w:tr>
      <w:tr>
        <w:trPr>
          <w:trHeight w:val="280" w:hRule="exact"/>
        </w:trPr>
        <w:tc>
          <w:tcPr>
            <w:tcW w:w="3800"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1"/>
              <w:jc w:val="left"/>
              <w:rPr>
                <w:rFonts w:ascii="Times New Roman"/>
                <w:sz w:val="26"/>
              </w:rPr>
            </w:pPr>
          </w:p>
          <w:p>
            <w:pPr>
              <w:pStyle w:val="TableParagraph"/>
              <w:ind w:left="1455" w:right="1455"/>
              <w:rPr>
                <w:b/>
                <w:sz w:val="18"/>
              </w:rPr>
            </w:pPr>
            <w:r>
              <w:rPr>
                <w:b/>
                <w:sz w:val="18"/>
              </w:rPr>
              <w:t>Municipio</w:t>
            </w:r>
          </w:p>
        </w:tc>
        <w:tc>
          <w:tcPr>
            <w:tcW w:w="4573" w:type="dxa"/>
            <w:gridSpan w:val="4"/>
            <w:shd w:val="clear" w:color="auto" w:fill="C5DFB3"/>
          </w:tcPr>
          <w:p>
            <w:pPr>
              <w:pStyle w:val="TableParagraph"/>
              <w:spacing w:before="25"/>
              <w:ind w:left="2065" w:right="2058"/>
              <w:rPr>
                <w:b/>
                <w:sz w:val="18"/>
              </w:rPr>
            </w:pPr>
            <w:r>
              <w:rPr>
                <w:b/>
                <w:sz w:val="18"/>
              </w:rPr>
              <w:t>2006</w:t>
            </w:r>
          </w:p>
        </w:tc>
        <w:tc>
          <w:tcPr>
            <w:tcW w:w="4573" w:type="dxa"/>
            <w:gridSpan w:val="4"/>
            <w:shd w:val="clear" w:color="auto" w:fill="C5DFB3"/>
          </w:tcPr>
          <w:p>
            <w:pPr>
              <w:pStyle w:val="TableParagraph"/>
              <w:spacing w:before="25"/>
              <w:ind w:left="2064" w:right="2058"/>
              <w:rPr>
                <w:b/>
                <w:sz w:val="18"/>
              </w:rPr>
            </w:pPr>
            <w:r>
              <w:rPr>
                <w:b/>
                <w:sz w:val="18"/>
              </w:rPr>
              <w:t>2007</w:t>
            </w:r>
          </w:p>
        </w:tc>
      </w:tr>
      <w:tr>
        <w:trPr>
          <w:trHeight w:val="1374" w:hRule="exact"/>
        </w:trPr>
        <w:tc>
          <w:tcPr>
            <w:tcW w:w="3800" w:type="dxa"/>
            <w:vMerge/>
            <w:shd w:val="clear" w:color="auto" w:fill="C5DFB3"/>
          </w:tcPr>
          <w:p>
            <w:pPr/>
          </w:p>
        </w:tc>
        <w:tc>
          <w:tcPr>
            <w:tcW w:w="1645"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1"/>
              <w:jc w:val="left"/>
              <w:rPr>
                <w:rFonts w:ascii="Times New Roman"/>
                <w:sz w:val="25"/>
              </w:rPr>
            </w:pPr>
          </w:p>
          <w:p>
            <w:pPr>
              <w:pStyle w:val="TableParagraph"/>
              <w:ind w:left="251"/>
              <w:jc w:val="left"/>
              <w:rPr>
                <w:sz w:val="18"/>
              </w:rPr>
            </w:pPr>
            <w:r>
              <w:rPr>
                <w:w w:val="99"/>
                <w:sz w:val="18"/>
              </w:rPr>
              <w:t>Au</w:t>
            </w:r>
            <w:r>
              <w:rPr>
                <w:w w:val="100"/>
                <w:sz w:val="18"/>
              </w:rPr>
              <w:t>to</w:t>
            </w:r>
            <w:r>
              <w:rPr>
                <w:w w:val="99"/>
                <w:sz w:val="18"/>
              </w:rPr>
              <w:t>r</w:t>
            </w:r>
            <w:r>
              <w:rPr>
                <w:spacing w:val="-2"/>
                <w:w w:val="99"/>
                <w:sz w:val="18"/>
              </w:rPr>
              <w:t>i</w:t>
            </w:r>
            <w:r>
              <w:rPr>
                <w:spacing w:val="1"/>
                <w:sz w:val="18"/>
              </w:rPr>
              <w:t>z</w:t>
            </w:r>
            <w:r>
              <w:rPr>
                <w:w w:val="99"/>
                <w:sz w:val="18"/>
              </w:rPr>
              <w:t>ado</w:t>
            </w:r>
          </w:p>
        </w:tc>
        <w:tc>
          <w:tcPr>
            <w:tcW w:w="643" w:type="dxa"/>
            <w:shd w:val="clear" w:color="auto" w:fill="C5DFB3"/>
            <w:textDirection w:val="btLr"/>
          </w:tcPr>
          <w:p>
            <w:pPr>
              <w:pStyle w:val="TableParagraph"/>
              <w:spacing w:before="3"/>
              <w:jc w:val="left"/>
              <w:rPr>
                <w:rFonts w:ascii="Times New Roman"/>
                <w:sz w:val="18"/>
              </w:rPr>
            </w:pPr>
          </w:p>
          <w:p>
            <w:pPr>
              <w:pStyle w:val="TableParagraph"/>
              <w:ind w:left="247"/>
              <w:jc w:val="left"/>
              <w:rPr>
                <w:sz w:val="18"/>
              </w:rPr>
            </w:pPr>
            <w:r>
              <w:rPr>
                <w:spacing w:val="1"/>
                <w:w w:val="99"/>
                <w:sz w:val="18"/>
              </w:rPr>
              <w:t>M</w:t>
            </w:r>
            <w:r>
              <w:rPr>
                <w:w w:val="99"/>
                <w:sz w:val="18"/>
              </w:rPr>
              <w:t>od</w:t>
            </w:r>
            <w:r>
              <w:rPr>
                <w:spacing w:val="-2"/>
                <w:w w:val="99"/>
                <w:sz w:val="18"/>
              </w:rPr>
              <w:t>i</w:t>
            </w:r>
            <w:r>
              <w:rPr>
                <w:sz w:val="18"/>
              </w:rPr>
              <w:t>f</w:t>
            </w:r>
            <w:r>
              <w:rPr>
                <w:spacing w:val="1"/>
                <w:sz w:val="18"/>
              </w:rPr>
              <w:t>i</w:t>
            </w:r>
            <w:r>
              <w:rPr>
                <w:spacing w:val="-2"/>
                <w:sz w:val="18"/>
              </w:rPr>
              <w:t>c</w:t>
            </w:r>
            <w:r>
              <w:rPr>
                <w:w w:val="99"/>
                <w:sz w:val="18"/>
              </w:rPr>
              <w:t>ado</w:t>
            </w:r>
          </w:p>
        </w:tc>
        <w:tc>
          <w:tcPr>
            <w:tcW w:w="641" w:type="dxa"/>
            <w:shd w:val="clear" w:color="auto" w:fill="C5DFB3"/>
            <w:textDirection w:val="btLr"/>
          </w:tcPr>
          <w:p>
            <w:pPr>
              <w:pStyle w:val="TableParagraph"/>
              <w:spacing w:before="3"/>
              <w:jc w:val="left"/>
              <w:rPr>
                <w:rFonts w:ascii="Times New Roman"/>
                <w:sz w:val="18"/>
              </w:rPr>
            </w:pPr>
          </w:p>
          <w:p>
            <w:pPr>
              <w:pStyle w:val="TableParagraph"/>
              <w:ind w:left="357"/>
              <w:jc w:val="left"/>
              <w:rPr>
                <w:sz w:val="18"/>
              </w:rPr>
            </w:pPr>
            <w:r>
              <w:rPr>
                <w:w w:val="99"/>
                <w:sz w:val="18"/>
              </w:rPr>
              <w:t>Eje</w:t>
            </w:r>
            <w:r>
              <w:rPr>
                <w:w w:val="99"/>
                <w:sz w:val="18"/>
              </w:rPr>
              <w:t>r</w:t>
            </w:r>
            <w:r>
              <w:rPr>
                <w:spacing w:val="1"/>
                <w:w w:val="99"/>
                <w:sz w:val="18"/>
              </w:rPr>
              <w:t>c</w:t>
            </w:r>
            <w:r>
              <w:rPr>
                <w:spacing w:val="-2"/>
                <w:w w:val="99"/>
                <w:sz w:val="18"/>
              </w:rPr>
              <w:t>i</w:t>
            </w:r>
            <w:r>
              <w:rPr>
                <w:w w:val="99"/>
                <w:sz w:val="18"/>
              </w:rPr>
              <w:t>do</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5"/>
              </w:rPr>
            </w:pPr>
          </w:p>
          <w:p>
            <w:pPr>
              <w:pStyle w:val="TableParagraph"/>
              <w:ind w:left="242"/>
              <w:jc w:val="left"/>
              <w:rPr>
                <w:sz w:val="18"/>
              </w:rPr>
            </w:pPr>
            <w:r>
              <w:rPr>
                <w:w w:val="99"/>
                <w:sz w:val="18"/>
              </w:rPr>
              <w:t>Po</w:t>
            </w:r>
            <w:r>
              <w:rPr>
                <w:w w:val="99"/>
                <w:sz w:val="18"/>
              </w:rPr>
              <w:t>r </w:t>
            </w:r>
            <w:r>
              <w:rPr>
                <w:w w:val="99"/>
                <w:sz w:val="18"/>
              </w:rPr>
              <w:t>e</w:t>
            </w:r>
            <w:r>
              <w:rPr>
                <w:w w:val="99"/>
                <w:sz w:val="18"/>
              </w:rPr>
              <w:t>j</w:t>
            </w:r>
            <w:r>
              <w:rPr>
                <w:w w:val="99"/>
                <w:sz w:val="18"/>
              </w:rPr>
              <w:t>e</w:t>
            </w:r>
            <w:r>
              <w:rPr>
                <w:spacing w:val="-3"/>
                <w:w w:val="99"/>
                <w:sz w:val="18"/>
              </w:rPr>
              <w:t>r</w:t>
            </w:r>
            <w:r>
              <w:rPr>
                <w:spacing w:val="1"/>
                <w:w w:val="99"/>
                <w:sz w:val="18"/>
              </w:rPr>
              <w:t>c</w:t>
            </w:r>
            <w:r>
              <w:rPr>
                <w:w w:val="99"/>
                <w:sz w:val="18"/>
              </w:rPr>
              <w:t>e</w:t>
            </w:r>
            <w:r>
              <w:rPr>
                <w:w w:val="99"/>
                <w:sz w:val="18"/>
              </w:rPr>
              <w:t>r</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5"/>
              </w:rPr>
            </w:pPr>
          </w:p>
          <w:p>
            <w:pPr>
              <w:pStyle w:val="TableParagraph"/>
              <w:ind w:left="251"/>
              <w:jc w:val="left"/>
              <w:rPr>
                <w:sz w:val="18"/>
              </w:rPr>
            </w:pPr>
            <w:r>
              <w:rPr>
                <w:w w:val="99"/>
                <w:sz w:val="18"/>
              </w:rPr>
              <w:t>Au</w:t>
            </w:r>
            <w:r>
              <w:rPr>
                <w:w w:val="100"/>
                <w:sz w:val="18"/>
              </w:rPr>
              <w:t>to</w:t>
            </w:r>
            <w:r>
              <w:rPr>
                <w:w w:val="99"/>
                <w:sz w:val="18"/>
              </w:rPr>
              <w:t>r</w:t>
            </w:r>
            <w:r>
              <w:rPr>
                <w:spacing w:val="-2"/>
                <w:w w:val="99"/>
                <w:sz w:val="18"/>
              </w:rPr>
              <w:t>i</w:t>
            </w:r>
            <w:r>
              <w:rPr>
                <w:spacing w:val="1"/>
                <w:sz w:val="18"/>
              </w:rPr>
              <w:t>z</w:t>
            </w:r>
            <w:r>
              <w:rPr>
                <w:w w:val="99"/>
                <w:sz w:val="18"/>
              </w:rPr>
              <w:t>ado</w:t>
            </w:r>
          </w:p>
        </w:tc>
        <w:tc>
          <w:tcPr>
            <w:tcW w:w="643" w:type="dxa"/>
            <w:shd w:val="clear" w:color="auto" w:fill="C5DFB3"/>
            <w:textDirection w:val="btLr"/>
          </w:tcPr>
          <w:p>
            <w:pPr>
              <w:pStyle w:val="TableParagraph"/>
              <w:spacing w:before="3"/>
              <w:jc w:val="left"/>
              <w:rPr>
                <w:rFonts w:ascii="Times New Roman"/>
                <w:sz w:val="18"/>
              </w:rPr>
            </w:pPr>
          </w:p>
          <w:p>
            <w:pPr>
              <w:pStyle w:val="TableParagraph"/>
              <w:ind w:left="247"/>
              <w:jc w:val="left"/>
              <w:rPr>
                <w:sz w:val="18"/>
              </w:rPr>
            </w:pPr>
            <w:r>
              <w:rPr>
                <w:spacing w:val="1"/>
                <w:w w:val="99"/>
                <w:sz w:val="18"/>
              </w:rPr>
              <w:t>M</w:t>
            </w:r>
            <w:r>
              <w:rPr>
                <w:w w:val="99"/>
                <w:sz w:val="18"/>
              </w:rPr>
              <w:t>od</w:t>
            </w:r>
            <w:r>
              <w:rPr>
                <w:spacing w:val="-2"/>
                <w:w w:val="99"/>
                <w:sz w:val="18"/>
              </w:rPr>
              <w:t>i</w:t>
            </w:r>
            <w:r>
              <w:rPr>
                <w:sz w:val="18"/>
              </w:rPr>
              <w:t>f</w:t>
            </w:r>
            <w:r>
              <w:rPr>
                <w:spacing w:val="1"/>
                <w:sz w:val="18"/>
              </w:rPr>
              <w:t>i</w:t>
            </w:r>
            <w:r>
              <w:rPr>
                <w:spacing w:val="-2"/>
                <w:sz w:val="18"/>
              </w:rPr>
              <w:t>c</w:t>
            </w:r>
            <w:r>
              <w:rPr>
                <w:w w:val="99"/>
                <w:sz w:val="18"/>
              </w:rPr>
              <w:t>ado</w:t>
            </w:r>
          </w:p>
        </w:tc>
        <w:tc>
          <w:tcPr>
            <w:tcW w:w="641" w:type="dxa"/>
            <w:shd w:val="clear" w:color="auto" w:fill="C5DFB3"/>
            <w:textDirection w:val="btLr"/>
          </w:tcPr>
          <w:p>
            <w:pPr>
              <w:pStyle w:val="TableParagraph"/>
              <w:spacing w:before="3"/>
              <w:jc w:val="left"/>
              <w:rPr>
                <w:rFonts w:ascii="Times New Roman"/>
                <w:sz w:val="18"/>
              </w:rPr>
            </w:pPr>
          </w:p>
          <w:p>
            <w:pPr>
              <w:pStyle w:val="TableParagraph"/>
              <w:ind w:left="357"/>
              <w:jc w:val="left"/>
              <w:rPr>
                <w:sz w:val="18"/>
              </w:rPr>
            </w:pPr>
            <w:r>
              <w:rPr>
                <w:w w:val="99"/>
                <w:sz w:val="18"/>
              </w:rPr>
              <w:t>Eje</w:t>
            </w:r>
            <w:r>
              <w:rPr>
                <w:w w:val="99"/>
                <w:sz w:val="18"/>
              </w:rPr>
              <w:t>r</w:t>
            </w:r>
            <w:r>
              <w:rPr>
                <w:spacing w:val="1"/>
                <w:w w:val="99"/>
                <w:sz w:val="18"/>
              </w:rPr>
              <w:t>c</w:t>
            </w:r>
            <w:r>
              <w:rPr>
                <w:spacing w:val="-2"/>
                <w:w w:val="99"/>
                <w:sz w:val="18"/>
              </w:rPr>
              <w:t>i</w:t>
            </w:r>
            <w:r>
              <w:rPr>
                <w:w w:val="99"/>
                <w:sz w:val="18"/>
              </w:rPr>
              <w:t>do</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5"/>
              </w:rPr>
            </w:pPr>
          </w:p>
          <w:p>
            <w:pPr>
              <w:pStyle w:val="TableParagraph"/>
              <w:ind w:left="242"/>
              <w:jc w:val="left"/>
              <w:rPr>
                <w:sz w:val="18"/>
              </w:rPr>
            </w:pPr>
            <w:r>
              <w:rPr>
                <w:w w:val="99"/>
                <w:sz w:val="18"/>
              </w:rPr>
              <w:t>Po</w:t>
            </w:r>
            <w:r>
              <w:rPr>
                <w:w w:val="99"/>
                <w:sz w:val="18"/>
              </w:rPr>
              <w:t>r </w:t>
            </w:r>
            <w:r>
              <w:rPr>
                <w:w w:val="99"/>
                <w:sz w:val="18"/>
              </w:rPr>
              <w:t>e</w:t>
            </w:r>
            <w:r>
              <w:rPr>
                <w:w w:val="99"/>
                <w:sz w:val="18"/>
              </w:rPr>
              <w:t>j</w:t>
            </w:r>
            <w:r>
              <w:rPr>
                <w:w w:val="99"/>
                <w:sz w:val="18"/>
              </w:rPr>
              <w:t>e</w:t>
            </w:r>
            <w:r>
              <w:rPr>
                <w:spacing w:val="-3"/>
                <w:w w:val="99"/>
                <w:sz w:val="18"/>
              </w:rPr>
              <w:t>r</w:t>
            </w:r>
            <w:r>
              <w:rPr>
                <w:spacing w:val="1"/>
                <w:w w:val="99"/>
                <w:sz w:val="18"/>
              </w:rPr>
              <w:t>c</w:t>
            </w:r>
            <w:r>
              <w:rPr>
                <w:w w:val="99"/>
                <w:sz w:val="18"/>
              </w:rPr>
              <w:t>e</w:t>
            </w:r>
            <w:r>
              <w:rPr>
                <w:w w:val="99"/>
                <w:sz w:val="18"/>
              </w:rPr>
              <w:t>r</w:t>
            </w:r>
          </w:p>
        </w:tc>
      </w:tr>
      <w:tr>
        <w:trPr>
          <w:trHeight w:val="313" w:hRule="exact"/>
        </w:trPr>
        <w:tc>
          <w:tcPr>
            <w:tcW w:w="3800" w:type="dxa"/>
          </w:tcPr>
          <w:p>
            <w:pPr>
              <w:pStyle w:val="TableParagraph"/>
              <w:spacing w:before="43"/>
              <w:ind w:left="64"/>
              <w:jc w:val="left"/>
              <w:rPr>
                <w:b/>
                <w:sz w:val="18"/>
              </w:rPr>
            </w:pPr>
            <w:r>
              <w:rPr>
                <w:b/>
                <w:sz w:val="18"/>
              </w:rPr>
              <w:t>TEMAMATLA</w:t>
            </w:r>
          </w:p>
        </w:tc>
        <w:tc>
          <w:tcPr>
            <w:tcW w:w="1645" w:type="dxa"/>
          </w:tcPr>
          <w:p>
            <w:pPr>
              <w:pStyle w:val="TableParagraph"/>
              <w:spacing w:before="47"/>
              <w:ind w:left="121" w:right="117"/>
              <w:rPr>
                <w:sz w:val="18"/>
              </w:rPr>
            </w:pPr>
            <w:r>
              <w:rPr>
                <w:sz w:val="18"/>
              </w:rPr>
              <w:t>$0.00</w:t>
            </w:r>
          </w:p>
        </w:tc>
        <w:tc>
          <w:tcPr>
            <w:tcW w:w="643" w:type="dxa"/>
          </w:tcPr>
          <w:p>
            <w:pPr>
              <w:pStyle w:val="TableParagraph"/>
              <w:spacing w:before="47"/>
              <w:ind w:left="71" w:right="70"/>
              <w:rPr>
                <w:sz w:val="18"/>
              </w:rPr>
            </w:pPr>
            <w:r>
              <w:rPr>
                <w:sz w:val="18"/>
              </w:rPr>
              <w:t>$0.00</w:t>
            </w:r>
          </w:p>
        </w:tc>
        <w:tc>
          <w:tcPr>
            <w:tcW w:w="641" w:type="dxa"/>
          </w:tcPr>
          <w:p>
            <w:pPr>
              <w:pStyle w:val="TableParagraph"/>
              <w:spacing w:before="47"/>
              <w:ind w:left="43" w:right="44"/>
              <w:rPr>
                <w:sz w:val="18"/>
              </w:rPr>
            </w:pPr>
            <w:r>
              <w:rPr>
                <w:sz w:val="18"/>
              </w:rPr>
              <w:t>$0.00</w:t>
            </w:r>
          </w:p>
        </w:tc>
        <w:tc>
          <w:tcPr>
            <w:tcW w:w="1644" w:type="dxa"/>
          </w:tcPr>
          <w:p>
            <w:pPr>
              <w:pStyle w:val="TableParagraph"/>
              <w:spacing w:before="47"/>
              <w:ind w:left="47" w:right="44"/>
              <w:rPr>
                <w:sz w:val="18"/>
              </w:rPr>
            </w:pPr>
            <w:r>
              <w:rPr>
                <w:sz w:val="18"/>
              </w:rPr>
              <w:t>$0.00</w:t>
            </w:r>
          </w:p>
        </w:tc>
        <w:tc>
          <w:tcPr>
            <w:tcW w:w="1644" w:type="dxa"/>
          </w:tcPr>
          <w:p>
            <w:pPr>
              <w:pStyle w:val="TableParagraph"/>
              <w:spacing w:before="47"/>
              <w:ind w:right="587"/>
              <w:jc w:val="right"/>
              <w:rPr>
                <w:sz w:val="18"/>
              </w:rPr>
            </w:pPr>
            <w:r>
              <w:rPr>
                <w:w w:val="95"/>
                <w:sz w:val="18"/>
              </w:rPr>
              <w:t>$0.00</w:t>
            </w:r>
          </w:p>
        </w:tc>
        <w:tc>
          <w:tcPr>
            <w:tcW w:w="643" w:type="dxa"/>
          </w:tcPr>
          <w:p>
            <w:pPr>
              <w:pStyle w:val="TableParagraph"/>
              <w:spacing w:before="47"/>
              <w:ind w:left="71" w:right="70"/>
              <w:rPr>
                <w:sz w:val="18"/>
              </w:rPr>
            </w:pPr>
            <w:r>
              <w:rPr>
                <w:sz w:val="18"/>
              </w:rPr>
              <w:t>$0.00</w:t>
            </w:r>
          </w:p>
        </w:tc>
        <w:tc>
          <w:tcPr>
            <w:tcW w:w="641" w:type="dxa"/>
          </w:tcPr>
          <w:p>
            <w:pPr>
              <w:pStyle w:val="TableParagraph"/>
              <w:spacing w:before="47"/>
              <w:ind w:left="70" w:right="71"/>
              <w:rPr>
                <w:sz w:val="18"/>
              </w:rPr>
            </w:pPr>
            <w:r>
              <w:rPr>
                <w:sz w:val="18"/>
              </w:rPr>
              <w:t>$0.00</w:t>
            </w:r>
          </w:p>
        </w:tc>
        <w:tc>
          <w:tcPr>
            <w:tcW w:w="1644" w:type="dxa"/>
          </w:tcPr>
          <w:p>
            <w:pPr>
              <w:pStyle w:val="TableParagraph"/>
              <w:spacing w:before="47"/>
              <w:ind w:left="592"/>
              <w:jc w:val="left"/>
              <w:rPr>
                <w:sz w:val="18"/>
              </w:rPr>
            </w:pPr>
            <w:r>
              <w:rPr>
                <w:sz w:val="18"/>
              </w:rPr>
              <w:t>$0.00</w:t>
            </w:r>
          </w:p>
        </w:tc>
      </w:tr>
      <w:tr>
        <w:trPr>
          <w:trHeight w:val="310" w:hRule="exact"/>
        </w:trPr>
        <w:tc>
          <w:tcPr>
            <w:tcW w:w="3800" w:type="dxa"/>
          </w:tcPr>
          <w:p>
            <w:pPr>
              <w:pStyle w:val="TableParagraph"/>
              <w:spacing w:before="40"/>
              <w:ind w:left="64"/>
              <w:jc w:val="left"/>
              <w:rPr>
                <w:b/>
                <w:sz w:val="18"/>
              </w:rPr>
            </w:pPr>
            <w:r>
              <w:rPr>
                <w:b/>
                <w:sz w:val="18"/>
              </w:rPr>
              <w:t>TEMASCALAPA</w:t>
            </w:r>
          </w:p>
        </w:tc>
        <w:tc>
          <w:tcPr>
            <w:tcW w:w="1645" w:type="dxa"/>
          </w:tcPr>
          <w:p>
            <w:pPr>
              <w:pStyle w:val="TableParagraph"/>
              <w:spacing w:before="44"/>
              <w:ind w:left="121" w:right="117"/>
              <w:rPr>
                <w:sz w:val="18"/>
              </w:rPr>
            </w:pPr>
            <w:r>
              <w:rPr>
                <w:sz w:val="18"/>
              </w:rPr>
              <w:t>$0.00</w:t>
            </w:r>
          </w:p>
        </w:tc>
        <w:tc>
          <w:tcPr>
            <w:tcW w:w="643" w:type="dxa"/>
          </w:tcPr>
          <w:p>
            <w:pPr>
              <w:pStyle w:val="TableParagraph"/>
              <w:spacing w:before="44"/>
              <w:ind w:left="71" w:right="70"/>
              <w:rPr>
                <w:sz w:val="18"/>
              </w:rPr>
            </w:pPr>
            <w:r>
              <w:rPr>
                <w:sz w:val="18"/>
              </w:rPr>
              <w:t>$0.00</w:t>
            </w:r>
          </w:p>
        </w:tc>
        <w:tc>
          <w:tcPr>
            <w:tcW w:w="641" w:type="dxa"/>
          </w:tcPr>
          <w:p>
            <w:pPr>
              <w:pStyle w:val="TableParagraph"/>
              <w:spacing w:before="44"/>
              <w:ind w:left="43" w:right="44"/>
              <w:rPr>
                <w:sz w:val="18"/>
              </w:rPr>
            </w:pPr>
            <w:r>
              <w:rPr>
                <w:sz w:val="18"/>
              </w:rPr>
              <w:t>$0.00</w:t>
            </w:r>
          </w:p>
        </w:tc>
        <w:tc>
          <w:tcPr>
            <w:tcW w:w="1644" w:type="dxa"/>
          </w:tcPr>
          <w:p>
            <w:pPr>
              <w:pStyle w:val="TableParagraph"/>
              <w:spacing w:before="44"/>
              <w:ind w:left="47" w:right="44"/>
              <w:rPr>
                <w:sz w:val="18"/>
              </w:rPr>
            </w:pPr>
            <w:r>
              <w:rPr>
                <w:sz w:val="18"/>
              </w:rPr>
              <w:t>$0.00</w:t>
            </w:r>
          </w:p>
        </w:tc>
        <w:tc>
          <w:tcPr>
            <w:tcW w:w="1644" w:type="dxa"/>
          </w:tcPr>
          <w:p>
            <w:pPr>
              <w:pStyle w:val="TableParagraph"/>
              <w:spacing w:before="44"/>
              <w:ind w:right="587"/>
              <w:jc w:val="right"/>
              <w:rPr>
                <w:sz w:val="18"/>
              </w:rPr>
            </w:pPr>
            <w:r>
              <w:rPr>
                <w:w w:val="95"/>
                <w:sz w:val="18"/>
              </w:rPr>
              <w:t>$0.00</w:t>
            </w:r>
          </w:p>
        </w:tc>
        <w:tc>
          <w:tcPr>
            <w:tcW w:w="643" w:type="dxa"/>
          </w:tcPr>
          <w:p>
            <w:pPr>
              <w:pStyle w:val="TableParagraph"/>
              <w:spacing w:before="44"/>
              <w:ind w:left="71" w:right="70"/>
              <w:rPr>
                <w:sz w:val="18"/>
              </w:rPr>
            </w:pPr>
            <w:r>
              <w:rPr>
                <w:sz w:val="18"/>
              </w:rPr>
              <w:t>$0.00</w:t>
            </w:r>
          </w:p>
        </w:tc>
        <w:tc>
          <w:tcPr>
            <w:tcW w:w="641" w:type="dxa"/>
          </w:tcPr>
          <w:p>
            <w:pPr>
              <w:pStyle w:val="TableParagraph"/>
              <w:spacing w:before="44"/>
              <w:ind w:left="70" w:right="71"/>
              <w:rPr>
                <w:sz w:val="18"/>
              </w:rPr>
            </w:pPr>
            <w:r>
              <w:rPr>
                <w:sz w:val="18"/>
              </w:rPr>
              <w:t>$0.00</w:t>
            </w:r>
          </w:p>
        </w:tc>
        <w:tc>
          <w:tcPr>
            <w:tcW w:w="1644" w:type="dxa"/>
          </w:tcPr>
          <w:p>
            <w:pPr>
              <w:pStyle w:val="TableParagraph"/>
              <w:spacing w:before="44"/>
              <w:ind w:left="592"/>
              <w:jc w:val="left"/>
              <w:rPr>
                <w:sz w:val="18"/>
              </w:rPr>
            </w:pPr>
            <w:r>
              <w:rPr>
                <w:sz w:val="18"/>
              </w:rPr>
              <w:t>$0.00</w:t>
            </w:r>
          </w:p>
        </w:tc>
      </w:tr>
      <w:tr>
        <w:trPr>
          <w:trHeight w:val="310" w:hRule="exact"/>
        </w:trPr>
        <w:tc>
          <w:tcPr>
            <w:tcW w:w="3800" w:type="dxa"/>
          </w:tcPr>
          <w:p>
            <w:pPr>
              <w:pStyle w:val="TableParagraph"/>
              <w:spacing w:before="40"/>
              <w:ind w:left="64"/>
              <w:jc w:val="left"/>
              <w:rPr>
                <w:b/>
                <w:sz w:val="18"/>
              </w:rPr>
            </w:pPr>
            <w:r>
              <w:rPr>
                <w:b/>
                <w:sz w:val="18"/>
              </w:rPr>
              <w:t>TEMASCALCINGO</w:t>
            </w:r>
          </w:p>
        </w:tc>
        <w:tc>
          <w:tcPr>
            <w:tcW w:w="1645" w:type="dxa"/>
          </w:tcPr>
          <w:p>
            <w:pPr>
              <w:pStyle w:val="TableParagraph"/>
              <w:spacing w:before="44"/>
              <w:ind w:left="121" w:right="117"/>
              <w:rPr>
                <w:sz w:val="18"/>
              </w:rPr>
            </w:pPr>
            <w:r>
              <w:rPr>
                <w:sz w:val="18"/>
              </w:rPr>
              <w:t>$0.00</w:t>
            </w:r>
          </w:p>
        </w:tc>
        <w:tc>
          <w:tcPr>
            <w:tcW w:w="643" w:type="dxa"/>
          </w:tcPr>
          <w:p>
            <w:pPr>
              <w:pStyle w:val="TableParagraph"/>
              <w:spacing w:before="44"/>
              <w:ind w:left="71" w:right="70"/>
              <w:rPr>
                <w:sz w:val="18"/>
              </w:rPr>
            </w:pPr>
            <w:r>
              <w:rPr>
                <w:sz w:val="18"/>
              </w:rPr>
              <w:t>$0.00</w:t>
            </w:r>
          </w:p>
        </w:tc>
        <w:tc>
          <w:tcPr>
            <w:tcW w:w="641" w:type="dxa"/>
          </w:tcPr>
          <w:p>
            <w:pPr>
              <w:pStyle w:val="TableParagraph"/>
              <w:spacing w:before="44"/>
              <w:ind w:left="43" w:right="44"/>
              <w:rPr>
                <w:sz w:val="18"/>
              </w:rPr>
            </w:pPr>
            <w:r>
              <w:rPr>
                <w:sz w:val="18"/>
              </w:rPr>
              <w:t>$0.00</w:t>
            </w:r>
          </w:p>
        </w:tc>
        <w:tc>
          <w:tcPr>
            <w:tcW w:w="1644" w:type="dxa"/>
          </w:tcPr>
          <w:p>
            <w:pPr>
              <w:pStyle w:val="TableParagraph"/>
              <w:spacing w:before="44"/>
              <w:ind w:left="47" w:right="44"/>
              <w:rPr>
                <w:sz w:val="18"/>
              </w:rPr>
            </w:pPr>
            <w:r>
              <w:rPr>
                <w:sz w:val="18"/>
              </w:rPr>
              <w:t>$0.00</w:t>
            </w:r>
          </w:p>
        </w:tc>
        <w:tc>
          <w:tcPr>
            <w:tcW w:w="1644" w:type="dxa"/>
          </w:tcPr>
          <w:p>
            <w:pPr>
              <w:pStyle w:val="TableParagraph"/>
              <w:spacing w:before="44"/>
              <w:ind w:right="587"/>
              <w:jc w:val="right"/>
              <w:rPr>
                <w:sz w:val="18"/>
              </w:rPr>
            </w:pPr>
            <w:r>
              <w:rPr>
                <w:w w:val="95"/>
                <w:sz w:val="18"/>
              </w:rPr>
              <w:t>$0.00</w:t>
            </w:r>
          </w:p>
        </w:tc>
        <w:tc>
          <w:tcPr>
            <w:tcW w:w="643" w:type="dxa"/>
          </w:tcPr>
          <w:p>
            <w:pPr>
              <w:pStyle w:val="TableParagraph"/>
              <w:spacing w:before="44"/>
              <w:ind w:left="71" w:right="70"/>
              <w:rPr>
                <w:sz w:val="18"/>
              </w:rPr>
            </w:pPr>
            <w:r>
              <w:rPr>
                <w:sz w:val="18"/>
              </w:rPr>
              <w:t>$0.00</w:t>
            </w:r>
          </w:p>
        </w:tc>
        <w:tc>
          <w:tcPr>
            <w:tcW w:w="641" w:type="dxa"/>
          </w:tcPr>
          <w:p>
            <w:pPr>
              <w:pStyle w:val="TableParagraph"/>
              <w:spacing w:before="44"/>
              <w:ind w:left="70" w:right="71"/>
              <w:rPr>
                <w:sz w:val="18"/>
              </w:rPr>
            </w:pPr>
            <w:r>
              <w:rPr>
                <w:sz w:val="18"/>
              </w:rPr>
              <w:t>$0.00</w:t>
            </w:r>
          </w:p>
        </w:tc>
        <w:tc>
          <w:tcPr>
            <w:tcW w:w="1644" w:type="dxa"/>
          </w:tcPr>
          <w:p>
            <w:pPr>
              <w:pStyle w:val="TableParagraph"/>
              <w:spacing w:before="44"/>
              <w:ind w:left="592"/>
              <w:jc w:val="left"/>
              <w:rPr>
                <w:sz w:val="18"/>
              </w:rPr>
            </w:pPr>
            <w:r>
              <w:rPr>
                <w:sz w:val="18"/>
              </w:rPr>
              <w:t>$0.00</w:t>
            </w:r>
          </w:p>
        </w:tc>
      </w:tr>
      <w:tr>
        <w:trPr>
          <w:trHeight w:val="310" w:hRule="exact"/>
        </w:trPr>
        <w:tc>
          <w:tcPr>
            <w:tcW w:w="3800" w:type="dxa"/>
          </w:tcPr>
          <w:p>
            <w:pPr>
              <w:pStyle w:val="TableParagraph"/>
              <w:spacing w:before="40"/>
              <w:ind w:left="64"/>
              <w:jc w:val="left"/>
              <w:rPr>
                <w:b/>
                <w:sz w:val="18"/>
              </w:rPr>
            </w:pPr>
            <w:r>
              <w:rPr>
                <w:b/>
                <w:sz w:val="18"/>
              </w:rPr>
              <w:t>TEMASCALTEPEC</w:t>
            </w:r>
          </w:p>
        </w:tc>
        <w:tc>
          <w:tcPr>
            <w:tcW w:w="1645" w:type="dxa"/>
          </w:tcPr>
          <w:p>
            <w:pPr>
              <w:pStyle w:val="TableParagraph"/>
              <w:spacing w:before="44"/>
              <w:ind w:left="121" w:right="117"/>
              <w:rPr>
                <w:sz w:val="18"/>
              </w:rPr>
            </w:pPr>
            <w:r>
              <w:rPr>
                <w:sz w:val="18"/>
              </w:rPr>
              <w:t>$0.00</w:t>
            </w:r>
          </w:p>
        </w:tc>
        <w:tc>
          <w:tcPr>
            <w:tcW w:w="643" w:type="dxa"/>
          </w:tcPr>
          <w:p>
            <w:pPr>
              <w:pStyle w:val="TableParagraph"/>
              <w:spacing w:before="44"/>
              <w:ind w:left="71" w:right="70"/>
              <w:rPr>
                <w:sz w:val="18"/>
              </w:rPr>
            </w:pPr>
            <w:r>
              <w:rPr>
                <w:sz w:val="18"/>
              </w:rPr>
              <w:t>$0.00</w:t>
            </w:r>
          </w:p>
        </w:tc>
        <w:tc>
          <w:tcPr>
            <w:tcW w:w="641" w:type="dxa"/>
          </w:tcPr>
          <w:p>
            <w:pPr>
              <w:pStyle w:val="TableParagraph"/>
              <w:spacing w:before="44"/>
              <w:ind w:left="43" w:right="44"/>
              <w:rPr>
                <w:sz w:val="18"/>
              </w:rPr>
            </w:pPr>
            <w:r>
              <w:rPr>
                <w:sz w:val="18"/>
              </w:rPr>
              <w:t>$0.00</w:t>
            </w:r>
          </w:p>
        </w:tc>
        <w:tc>
          <w:tcPr>
            <w:tcW w:w="1644" w:type="dxa"/>
          </w:tcPr>
          <w:p>
            <w:pPr>
              <w:pStyle w:val="TableParagraph"/>
              <w:spacing w:before="44"/>
              <w:ind w:left="47" w:right="44"/>
              <w:rPr>
                <w:sz w:val="18"/>
              </w:rPr>
            </w:pPr>
            <w:r>
              <w:rPr>
                <w:sz w:val="18"/>
              </w:rPr>
              <w:t>$0.00</w:t>
            </w:r>
          </w:p>
        </w:tc>
        <w:tc>
          <w:tcPr>
            <w:tcW w:w="1644" w:type="dxa"/>
          </w:tcPr>
          <w:p>
            <w:pPr>
              <w:pStyle w:val="TableParagraph"/>
              <w:spacing w:before="44"/>
              <w:ind w:right="587"/>
              <w:jc w:val="right"/>
              <w:rPr>
                <w:sz w:val="18"/>
              </w:rPr>
            </w:pPr>
            <w:r>
              <w:rPr>
                <w:w w:val="95"/>
                <w:sz w:val="18"/>
              </w:rPr>
              <w:t>$0.00</w:t>
            </w:r>
          </w:p>
        </w:tc>
        <w:tc>
          <w:tcPr>
            <w:tcW w:w="643" w:type="dxa"/>
          </w:tcPr>
          <w:p>
            <w:pPr>
              <w:pStyle w:val="TableParagraph"/>
              <w:spacing w:before="44"/>
              <w:ind w:left="71" w:right="70"/>
              <w:rPr>
                <w:sz w:val="18"/>
              </w:rPr>
            </w:pPr>
            <w:r>
              <w:rPr>
                <w:sz w:val="18"/>
              </w:rPr>
              <w:t>$0.00</w:t>
            </w:r>
          </w:p>
        </w:tc>
        <w:tc>
          <w:tcPr>
            <w:tcW w:w="641" w:type="dxa"/>
          </w:tcPr>
          <w:p>
            <w:pPr>
              <w:pStyle w:val="TableParagraph"/>
              <w:spacing w:before="44"/>
              <w:ind w:left="70" w:right="71"/>
              <w:rPr>
                <w:sz w:val="18"/>
              </w:rPr>
            </w:pPr>
            <w:r>
              <w:rPr>
                <w:sz w:val="18"/>
              </w:rPr>
              <w:t>$0.00</w:t>
            </w:r>
          </w:p>
        </w:tc>
        <w:tc>
          <w:tcPr>
            <w:tcW w:w="1644" w:type="dxa"/>
          </w:tcPr>
          <w:p>
            <w:pPr>
              <w:pStyle w:val="TableParagraph"/>
              <w:spacing w:before="44"/>
              <w:ind w:left="592"/>
              <w:jc w:val="left"/>
              <w:rPr>
                <w:sz w:val="18"/>
              </w:rPr>
            </w:pPr>
            <w:r>
              <w:rPr>
                <w:sz w:val="18"/>
              </w:rPr>
              <w:t>$0.00</w:t>
            </w:r>
          </w:p>
        </w:tc>
      </w:tr>
      <w:tr>
        <w:trPr>
          <w:trHeight w:val="310" w:hRule="exact"/>
        </w:trPr>
        <w:tc>
          <w:tcPr>
            <w:tcW w:w="3800" w:type="dxa"/>
          </w:tcPr>
          <w:p>
            <w:pPr>
              <w:pStyle w:val="TableParagraph"/>
              <w:spacing w:before="42"/>
              <w:ind w:left="64"/>
              <w:jc w:val="left"/>
              <w:rPr>
                <w:b/>
                <w:sz w:val="18"/>
              </w:rPr>
            </w:pPr>
            <w:r>
              <w:rPr>
                <w:b/>
                <w:sz w:val="18"/>
              </w:rPr>
              <w:t>TEMOAYA</w:t>
            </w:r>
          </w:p>
        </w:tc>
        <w:tc>
          <w:tcPr>
            <w:tcW w:w="1645" w:type="dxa"/>
          </w:tcPr>
          <w:p>
            <w:pPr>
              <w:pStyle w:val="TableParagraph"/>
              <w:spacing w:before="47"/>
              <w:ind w:left="121" w:right="117"/>
              <w:rPr>
                <w:sz w:val="18"/>
              </w:rPr>
            </w:pPr>
            <w:r>
              <w:rPr>
                <w:sz w:val="18"/>
              </w:rPr>
              <w:t>$0.00</w:t>
            </w:r>
          </w:p>
        </w:tc>
        <w:tc>
          <w:tcPr>
            <w:tcW w:w="643" w:type="dxa"/>
          </w:tcPr>
          <w:p>
            <w:pPr>
              <w:pStyle w:val="TableParagraph"/>
              <w:spacing w:before="47"/>
              <w:ind w:left="71" w:right="70"/>
              <w:rPr>
                <w:sz w:val="18"/>
              </w:rPr>
            </w:pPr>
            <w:r>
              <w:rPr>
                <w:sz w:val="18"/>
              </w:rPr>
              <w:t>$0.00</w:t>
            </w:r>
          </w:p>
        </w:tc>
        <w:tc>
          <w:tcPr>
            <w:tcW w:w="641" w:type="dxa"/>
          </w:tcPr>
          <w:p>
            <w:pPr>
              <w:pStyle w:val="TableParagraph"/>
              <w:spacing w:before="47"/>
              <w:ind w:left="43" w:right="44"/>
              <w:rPr>
                <w:sz w:val="18"/>
              </w:rPr>
            </w:pPr>
            <w:r>
              <w:rPr>
                <w:sz w:val="18"/>
              </w:rPr>
              <w:t>$0.00</w:t>
            </w:r>
          </w:p>
        </w:tc>
        <w:tc>
          <w:tcPr>
            <w:tcW w:w="1644" w:type="dxa"/>
          </w:tcPr>
          <w:p>
            <w:pPr>
              <w:pStyle w:val="TableParagraph"/>
              <w:spacing w:before="47"/>
              <w:ind w:left="47" w:right="44"/>
              <w:rPr>
                <w:sz w:val="18"/>
              </w:rPr>
            </w:pPr>
            <w:r>
              <w:rPr>
                <w:sz w:val="18"/>
              </w:rPr>
              <w:t>$0.00</w:t>
            </w:r>
          </w:p>
        </w:tc>
        <w:tc>
          <w:tcPr>
            <w:tcW w:w="1644" w:type="dxa"/>
          </w:tcPr>
          <w:p>
            <w:pPr>
              <w:pStyle w:val="TableParagraph"/>
              <w:spacing w:before="47"/>
              <w:ind w:right="587"/>
              <w:jc w:val="right"/>
              <w:rPr>
                <w:sz w:val="18"/>
              </w:rPr>
            </w:pPr>
            <w:r>
              <w:rPr>
                <w:w w:val="95"/>
                <w:sz w:val="18"/>
              </w:rPr>
              <w:t>$0.00</w:t>
            </w:r>
          </w:p>
        </w:tc>
        <w:tc>
          <w:tcPr>
            <w:tcW w:w="643" w:type="dxa"/>
          </w:tcPr>
          <w:p>
            <w:pPr>
              <w:pStyle w:val="TableParagraph"/>
              <w:spacing w:before="47"/>
              <w:ind w:left="71" w:right="70"/>
              <w:rPr>
                <w:sz w:val="18"/>
              </w:rPr>
            </w:pPr>
            <w:r>
              <w:rPr>
                <w:sz w:val="18"/>
              </w:rPr>
              <w:t>$0.00</w:t>
            </w:r>
          </w:p>
        </w:tc>
        <w:tc>
          <w:tcPr>
            <w:tcW w:w="641" w:type="dxa"/>
          </w:tcPr>
          <w:p>
            <w:pPr>
              <w:pStyle w:val="TableParagraph"/>
              <w:spacing w:before="47"/>
              <w:ind w:left="70" w:right="71"/>
              <w:rPr>
                <w:sz w:val="18"/>
              </w:rPr>
            </w:pPr>
            <w:r>
              <w:rPr>
                <w:sz w:val="18"/>
              </w:rPr>
              <w:t>$0.00</w:t>
            </w:r>
          </w:p>
        </w:tc>
        <w:tc>
          <w:tcPr>
            <w:tcW w:w="1644" w:type="dxa"/>
          </w:tcPr>
          <w:p>
            <w:pPr>
              <w:pStyle w:val="TableParagraph"/>
              <w:spacing w:before="47"/>
              <w:ind w:left="592"/>
              <w:jc w:val="left"/>
              <w:rPr>
                <w:sz w:val="18"/>
              </w:rPr>
            </w:pPr>
            <w:r>
              <w:rPr>
                <w:sz w:val="18"/>
              </w:rPr>
              <w:t>$0.00</w:t>
            </w:r>
          </w:p>
        </w:tc>
      </w:tr>
      <w:tr>
        <w:trPr>
          <w:trHeight w:val="310" w:hRule="exact"/>
        </w:trPr>
        <w:tc>
          <w:tcPr>
            <w:tcW w:w="3800" w:type="dxa"/>
          </w:tcPr>
          <w:p>
            <w:pPr>
              <w:pStyle w:val="TableParagraph"/>
              <w:spacing w:before="42"/>
              <w:ind w:left="64"/>
              <w:jc w:val="left"/>
              <w:rPr>
                <w:b/>
                <w:sz w:val="18"/>
              </w:rPr>
            </w:pPr>
            <w:r>
              <w:rPr>
                <w:b/>
                <w:sz w:val="18"/>
              </w:rPr>
              <w:t>TENANCINGO</w:t>
            </w:r>
          </w:p>
        </w:tc>
        <w:tc>
          <w:tcPr>
            <w:tcW w:w="1645" w:type="dxa"/>
          </w:tcPr>
          <w:p>
            <w:pPr>
              <w:pStyle w:val="TableParagraph"/>
              <w:spacing w:before="47"/>
              <w:ind w:left="121" w:right="117"/>
              <w:rPr>
                <w:sz w:val="18"/>
              </w:rPr>
            </w:pPr>
            <w:r>
              <w:rPr>
                <w:sz w:val="18"/>
              </w:rPr>
              <w:t>$0.00</w:t>
            </w:r>
          </w:p>
        </w:tc>
        <w:tc>
          <w:tcPr>
            <w:tcW w:w="643" w:type="dxa"/>
          </w:tcPr>
          <w:p>
            <w:pPr>
              <w:pStyle w:val="TableParagraph"/>
              <w:spacing w:before="47"/>
              <w:ind w:left="71" w:right="70"/>
              <w:rPr>
                <w:sz w:val="18"/>
              </w:rPr>
            </w:pPr>
            <w:r>
              <w:rPr>
                <w:sz w:val="18"/>
              </w:rPr>
              <w:t>$0.00</w:t>
            </w:r>
          </w:p>
        </w:tc>
        <w:tc>
          <w:tcPr>
            <w:tcW w:w="641" w:type="dxa"/>
          </w:tcPr>
          <w:p>
            <w:pPr>
              <w:pStyle w:val="TableParagraph"/>
              <w:spacing w:before="47"/>
              <w:ind w:left="43" w:right="44"/>
              <w:rPr>
                <w:sz w:val="18"/>
              </w:rPr>
            </w:pPr>
            <w:r>
              <w:rPr>
                <w:sz w:val="18"/>
              </w:rPr>
              <w:t>$0.00</w:t>
            </w:r>
          </w:p>
        </w:tc>
        <w:tc>
          <w:tcPr>
            <w:tcW w:w="1644" w:type="dxa"/>
          </w:tcPr>
          <w:p>
            <w:pPr>
              <w:pStyle w:val="TableParagraph"/>
              <w:spacing w:before="47"/>
              <w:ind w:left="47" w:right="44"/>
              <w:rPr>
                <w:sz w:val="18"/>
              </w:rPr>
            </w:pPr>
            <w:r>
              <w:rPr>
                <w:sz w:val="18"/>
              </w:rPr>
              <w:t>$0.00</w:t>
            </w:r>
          </w:p>
        </w:tc>
        <w:tc>
          <w:tcPr>
            <w:tcW w:w="1644" w:type="dxa"/>
          </w:tcPr>
          <w:p>
            <w:pPr>
              <w:pStyle w:val="TableParagraph"/>
              <w:spacing w:before="47"/>
              <w:ind w:right="587"/>
              <w:jc w:val="right"/>
              <w:rPr>
                <w:sz w:val="18"/>
              </w:rPr>
            </w:pPr>
            <w:r>
              <w:rPr>
                <w:w w:val="95"/>
                <w:sz w:val="18"/>
              </w:rPr>
              <w:t>$0.00</w:t>
            </w:r>
          </w:p>
        </w:tc>
        <w:tc>
          <w:tcPr>
            <w:tcW w:w="643" w:type="dxa"/>
          </w:tcPr>
          <w:p>
            <w:pPr>
              <w:pStyle w:val="TableParagraph"/>
              <w:spacing w:before="47"/>
              <w:ind w:left="71" w:right="70"/>
              <w:rPr>
                <w:sz w:val="18"/>
              </w:rPr>
            </w:pPr>
            <w:r>
              <w:rPr>
                <w:sz w:val="18"/>
              </w:rPr>
              <w:t>$0.00</w:t>
            </w:r>
          </w:p>
        </w:tc>
        <w:tc>
          <w:tcPr>
            <w:tcW w:w="641" w:type="dxa"/>
          </w:tcPr>
          <w:p>
            <w:pPr>
              <w:pStyle w:val="TableParagraph"/>
              <w:spacing w:before="47"/>
              <w:ind w:left="70" w:right="71"/>
              <w:rPr>
                <w:sz w:val="18"/>
              </w:rPr>
            </w:pPr>
            <w:r>
              <w:rPr>
                <w:sz w:val="18"/>
              </w:rPr>
              <w:t>$0.00</w:t>
            </w:r>
          </w:p>
        </w:tc>
        <w:tc>
          <w:tcPr>
            <w:tcW w:w="1644" w:type="dxa"/>
          </w:tcPr>
          <w:p>
            <w:pPr>
              <w:pStyle w:val="TableParagraph"/>
              <w:spacing w:before="47"/>
              <w:ind w:left="592"/>
              <w:jc w:val="left"/>
              <w:rPr>
                <w:sz w:val="18"/>
              </w:rPr>
            </w:pPr>
            <w:r>
              <w:rPr>
                <w:sz w:val="18"/>
              </w:rPr>
              <w:t>$0.00</w:t>
            </w:r>
          </w:p>
        </w:tc>
      </w:tr>
      <w:tr>
        <w:trPr>
          <w:trHeight w:val="312" w:hRule="exact"/>
        </w:trPr>
        <w:tc>
          <w:tcPr>
            <w:tcW w:w="3800" w:type="dxa"/>
          </w:tcPr>
          <w:p>
            <w:pPr>
              <w:pStyle w:val="TableParagraph"/>
              <w:spacing w:before="42"/>
              <w:ind w:left="64"/>
              <w:jc w:val="left"/>
              <w:rPr>
                <w:b/>
                <w:sz w:val="18"/>
              </w:rPr>
            </w:pPr>
            <w:r>
              <w:rPr>
                <w:b/>
                <w:sz w:val="18"/>
              </w:rPr>
              <w:t>TENANGO DEL AIRE</w:t>
            </w:r>
          </w:p>
        </w:tc>
        <w:tc>
          <w:tcPr>
            <w:tcW w:w="1645" w:type="dxa"/>
          </w:tcPr>
          <w:p>
            <w:pPr>
              <w:pStyle w:val="TableParagraph"/>
              <w:spacing w:before="47"/>
              <w:ind w:left="121" w:right="117"/>
              <w:rPr>
                <w:sz w:val="18"/>
              </w:rPr>
            </w:pPr>
            <w:r>
              <w:rPr>
                <w:sz w:val="18"/>
              </w:rPr>
              <w:t>$0.00</w:t>
            </w:r>
          </w:p>
        </w:tc>
        <w:tc>
          <w:tcPr>
            <w:tcW w:w="643" w:type="dxa"/>
          </w:tcPr>
          <w:p>
            <w:pPr>
              <w:pStyle w:val="TableParagraph"/>
              <w:spacing w:before="47"/>
              <w:ind w:left="71" w:right="70"/>
              <w:rPr>
                <w:sz w:val="18"/>
              </w:rPr>
            </w:pPr>
            <w:r>
              <w:rPr>
                <w:sz w:val="18"/>
              </w:rPr>
              <w:t>$0.00</w:t>
            </w:r>
          </w:p>
        </w:tc>
        <w:tc>
          <w:tcPr>
            <w:tcW w:w="641" w:type="dxa"/>
          </w:tcPr>
          <w:p>
            <w:pPr>
              <w:pStyle w:val="TableParagraph"/>
              <w:spacing w:before="47"/>
              <w:ind w:left="43" w:right="44"/>
              <w:rPr>
                <w:sz w:val="18"/>
              </w:rPr>
            </w:pPr>
            <w:r>
              <w:rPr>
                <w:sz w:val="18"/>
              </w:rPr>
              <w:t>$0.00</w:t>
            </w:r>
          </w:p>
        </w:tc>
        <w:tc>
          <w:tcPr>
            <w:tcW w:w="1644" w:type="dxa"/>
          </w:tcPr>
          <w:p>
            <w:pPr>
              <w:pStyle w:val="TableParagraph"/>
              <w:spacing w:before="47"/>
              <w:ind w:left="47" w:right="44"/>
              <w:rPr>
                <w:sz w:val="18"/>
              </w:rPr>
            </w:pPr>
            <w:r>
              <w:rPr>
                <w:sz w:val="18"/>
              </w:rPr>
              <w:t>$0.00</w:t>
            </w:r>
          </w:p>
        </w:tc>
        <w:tc>
          <w:tcPr>
            <w:tcW w:w="1644" w:type="dxa"/>
          </w:tcPr>
          <w:p>
            <w:pPr>
              <w:pStyle w:val="TableParagraph"/>
              <w:spacing w:before="47"/>
              <w:ind w:right="587"/>
              <w:jc w:val="right"/>
              <w:rPr>
                <w:sz w:val="18"/>
              </w:rPr>
            </w:pPr>
            <w:r>
              <w:rPr>
                <w:w w:val="95"/>
                <w:sz w:val="18"/>
              </w:rPr>
              <w:t>$0.00</w:t>
            </w:r>
          </w:p>
        </w:tc>
        <w:tc>
          <w:tcPr>
            <w:tcW w:w="643" w:type="dxa"/>
          </w:tcPr>
          <w:p>
            <w:pPr>
              <w:pStyle w:val="TableParagraph"/>
              <w:spacing w:before="47"/>
              <w:ind w:left="71" w:right="70"/>
              <w:rPr>
                <w:sz w:val="18"/>
              </w:rPr>
            </w:pPr>
            <w:r>
              <w:rPr>
                <w:sz w:val="18"/>
              </w:rPr>
              <w:t>$0.00</w:t>
            </w:r>
          </w:p>
        </w:tc>
        <w:tc>
          <w:tcPr>
            <w:tcW w:w="641" w:type="dxa"/>
          </w:tcPr>
          <w:p>
            <w:pPr>
              <w:pStyle w:val="TableParagraph"/>
              <w:spacing w:before="47"/>
              <w:ind w:left="70" w:right="71"/>
              <w:rPr>
                <w:sz w:val="18"/>
              </w:rPr>
            </w:pPr>
            <w:r>
              <w:rPr>
                <w:sz w:val="18"/>
              </w:rPr>
              <w:t>$0.00</w:t>
            </w:r>
          </w:p>
        </w:tc>
        <w:tc>
          <w:tcPr>
            <w:tcW w:w="1644" w:type="dxa"/>
          </w:tcPr>
          <w:p>
            <w:pPr>
              <w:pStyle w:val="TableParagraph"/>
              <w:spacing w:before="47"/>
              <w:ind w:left="592"/>
              <w:jc w:val="left"/>
              <w:rPr>
                <w:sz w:val="18"/>
              </w:rPr>
            </w:pPr>
            <w:r>
              <w:rPr>
                <w:sz w:val="18"/>
              </w:rPr>
              <w:t>$0.00</w:t>
            </w:r>
          </w:p>
        </w:tc>
      </w:tr>
      <w:tr>
        <w:trPr>
          <w:trHeight w:val="310" w:hRule="exact"/>
        </w:trPr>
        <w:tc>
          <w:tcPr>
            <w:tcW w:w="3800" w:type="dxa"/>
          </w:tcPr>
          <w:p>
            <w:pPr>
              <w:pStyle w:val="TableParagraph"/>
              <w:spacing w:before="40"/>
              <w:ind w:left="64"/>
              <w:jc w:val="left"/>
              <w:rPr>
                <w:b/>
                <w:sz w:val="18"/>
              </w:rPr>
            </w:pPr>
            <w:r>
              <w:rPr>
                <w:b/>
                <w:sz w:val="18"/>
              </w:rPr>
              <w:t>TENANGO DEL VALLE</w:t>
            </w:r>
          </w:p>
        </w:tc>
        <w:tc>
          <w:tcPr>
            <w:tcW w:w="1645" w:type="dxa"/>
          </w:tcPr>
          <w:p>
            <w:pPr>
              <w:pStyle w:val="TableParagraph"/>
              <w:spacing w:before="44"/>
              <w:ind w:left="121" w:right="117"/>
              <w:rPr>
                <w:sz w:val="18"/>
              </w:rPr>
            </w:pPr>
            <w:r>
              <w:rPr>
                <w:sz w:val="18"/>
              </w:rPr>
              <w:t>$0.00</w:t>
            </w:r>
          </w:p>
        </w:tc>
        <w:tc>
          <w:tcPr>
            <w:tcW w:w="643" w:type="dxa"/>
          </w:tcPr>
          <w:p>
            <w:pPr>
              <w:pStyle w:val="TableParagraph"/>
              <w:spacing w:before="44"/>
              <w:ind w:left="71" w:right="70"/>
              <w:rPr>
                <w:sz w:val="18"/>
              </w:rPr>
            </w:pPr>
            <w:r>
              <w:rPr>
                <w:sz w:val="18"/>
              </w:rPr>
              <w:t>$0.00</w:t>
            </w:r>
          </w:p>
        </w:tc>
        <w:tc>
          <w:tcPr>
            <w:tcW w:w="641" w:type="dxa"/>
          </w:tcPr>
          <w:p>
            <w:pPr>
              <w:pStyle w:val="TableParagraph"/>
              <w:spacing w:before="44"/>
              <w:ind w:left="43" w:right="44"/>
              <w:rPr>
                <w:sz w:val="18"/>
              </w:rPr>
            </w:pPr>
            <w:r>
              <w:rPr>
                <w:sz w:val="18"/>
              </w:rPr>
              <w:t>$0.00</w:t>
            </w:r>
          </w:p>
        </w:tc>
        <w:tc>
          <w:tcPr>
            <w:tcW w:w="1644" w:type="dxa"/>
          </w:tcPr>
          <w:p>
            <w:pPr>
              <w:pStyle w:val="TableParagraph"/>
              <w:spacing w:before="44"/>
              <w:ind w:left="47" w:right="44"/>
              <w:rPr>
                <w:sz w:val="18"/>
              </w:rPr>
            </w:pPr>
            <w:r>
              <w:rPr>
                <w:sz w:val="18"/>
              </w:rPr>
              <w:t>$0.00</w:t>
            </w:r>
          </w:p>
        </w:tc>
        <w:tc>
          <w:tcPr>
            <w:tcW w:w="1644" w:type="dxa"/>
          </w:tcPr>
          <w:p>
            <w:pPr>
              <w:pStyle w:val="TableParagraph"/>
              <w:spacing w:before="44"/>
              <w:ind w:right="587"/>
              <w:jc w:val="right"/>
              <w:rPr>
                <w:sz w:val="18"/>
              </w:rPr>
            </w:pPr>
            <w:r>
              <w:rPr>
                <w:w w:val="95"/>
                <w:sz w:val="18"/>
              </w:rPr>
              <w:t>$0.00</w:t>
            </w:r>
          </w:p>
        </w:tc>
        <w:tc>
          <w:tcPr>
            <w:tcW w:w="643" w:type="dxa"/>
          </w:tcPr>
          <w:p>
            <w:pPr>
              <w:pStyle w:val="TableParagraph"/>
              <w:spacing w:before="44"/>
              <w:ind w:left="71" w:right="70"/>
              <w:rPr>
                <w:sz w:val="18"/>
              </w:rPr>
            </w:pPr>
            <w:r>
              <w:rPr>
                <w:sz w:val="18"/>
              </w:rPr>
              <w:t>$0.00</w:t>
            </w:r>
          </w:p>
        </w:tc>
        <w:tc>
          <w:tcPr>
            <w:tcW w:w="641" w:type="dxa"/>
          </w:tcPr>
          <w:p>
            <w:pPr>
              <w:pStyle w:val="TableParagraph"/>
              <w:spacing w:before="44"/>
              <w:ind w:left="70" w:right="71"/>
              <w:rPr>
                <w:sz w:val="18"/>
              </w:rPr>
            </w:pPr>
            <w:r>
              <w:rPr>
                <w:sz w:val="18"/>
              </w:rPr>
              <w:t>$0.00</w:t>
            </w:r>
          </w:p>
        </w:tc>
        <w:tc>
          <w:tcPr>
            <w:tcW w:w="1644" w:type="dxa"/>
          </w:tcPr>
          <w:p>
            <w:pPr>
              <w:pStyle w:val="TableParagraph"/>
              <w:spacing w:before="44"/>
              <w:ind w:left="592"/>
              <w:jc w:val="left"/>
              <w:rPr>
                <w:sz w:val="18"/>
              </w:rPr>
            </w:pPr>
            <w:r>
              <w:rPr>
                <w:sz w:val="18"/>
              </w:rPr>
              <w:t>$0.00</w:t>
            </w:r>
          </w:p>
        </w:tc>
      </w:tr>
      <w:tr>
        <w:trPr>
          <w:trHeight w:val="310" w:hRule="exact"/>
        </w:trPr>
        <w:tc>
          <w:tcPr>
            <w:tcW w:w="3800" w:type="dxa"/>
          </w:tcPr>
          <w:p>
            <w:pPr>
              <w:pStyle w:val="TableParagraph"/>
              <w:spacing w:before="40"/>
              <w:ind w:left="64"/>
              <w:jc w:val="left"/>
              <w:rPr>
                <w:b/>
                <w:sz w:val="18"/>
              </w:rPr>
            </w:pPr>
            <w:r>
              <w:rPr>
                <w:b/>
                <w:sz w:val="18"/>
              </w:rPr>
              <w:t>TEOLOYUCAN</w:t>
            </w:r>
          </w:p>
        </w:tc>
        <w:tc>
          <w:tcPr>
            <w:tcW w:w="1645" w:type="dxa"/>
          </w:tcPr>
          <w:p>
            <w:pPr>
              <w:pStyle w:val="TableParagraph"/>
              <w:spacing w:before="44"/>
              <w:ind w:left="121" w:right="119"/>
              <w:rPr>
                <w:sz w:val="18"/>
              </w:rPr>
            </w:pPr>
            <w:r>
              <w:rPr>
                <w:sz w:val="18"/>
              </w:rPr>
              <w:t>$9,000,000.00</w:t>
            </w:r>
          </w:p>
        </w:tc>
        <w:tc>
          <w:tcPr>
            <w:tcW w:w="643" w:type="dxa"/>
          </w:tcPr>
          <w:p>
            <w:pPr>
              <w:pStyle w:val="TableParagraph"/>
              <w:spacing w:before="44"/>
              <w:ind w:left="71" w:right="70"/>
              <w:rPr>
                <w:sz w:val="18"/>
              </w:rPr>
            </w:pPr>
            <w:r>
              <w:rPr>
                <w:sz w:val="18"/>
              </w:rPr>
              <w:t>$0.00</w:t>
            </w:r>
          </w:p>
        </w:tc>
        <w:tc>
          <w:tcPr>
            <w:tcW w:w="641" w:type="dxa"/>
          </w:tcPr>
          <w:p>
            <w:pPr>
              <w:pStyle w:val="TableParagraph"/>
              <w:spacing w:before="44"/>
              <w:ind w:left="43" w:right="44"/>
              <w:rPr>
                <w:sz w:val="18"/>
              </w:rPr>
            </w:pPr>
            <w:r>
              <w:rPr>
                <w:sz w:val="18"/>
              </w:rPr>
              <w:t>$0.00</w:t>
            </w:r>
          </w:p>
        </w:tc>
        <w:tc>
          <w:tcPr>
            <w:tcW w:w="1644" w:type="dxa"/>
          </w:tcPr>
          <w:p>
            <w:pPr>
              <w:pStyle w:val="TableParagraph"/>
              <w:spacing w:before="44"/>
              <w:ind w:left="47" w:right="45"/>
              <w:rPr>
                <w:sz w:val="18"/>
              </w:rPr>
            </w:pPr>
            <w:r>
              <w:rPr>
                <w:sz w:val="18"/>
              </w:rPr>
              <w:t>$9,000,000.00</w:t>
            </w:r>
          </w:p>
        </w:tc>
        <w:tc>
          <w:tcPr>
            <w:tcW w:w="1644" w:type="dxa"/>
          </w:tcPr>
          <w:p>
            <w:pPr>
              <w:pStyle w:val="TableParagraph"/>
              <w:spacing w:before="44"/>
              <w:ind w:right="587"/>
              <w:jc w:val="right"/>
              <w:rPr>
                <w:sz w:val="18"/>
              </w:rPr>
            </w:pPr>
            <w:r>
              <w:rPr>
                <w:w w:val="95"/>
                <w:sz w:val="18"/>
              </w:rPr>
              <w:t>$0.00</w:t>
            </w:r>
          </w:p>
        </w:tc>
        <w:tc>
          <w:tcPr>
            <w:tcW w:w="643" w:type="dxa"/>
          </w:tcPr>
          <w:p>
            <w:pPr>
              <w:pStyle w:val="TableParagraph"/>
              <w:spacing w:before="44"/>
              <w:ind w:left="71" w:right="70"/>
              <w:rPr>
                <w:sz w:val="18"/>
              </w:rPr>
            </w:pPr>
            <w:r>
              <w:rPr>
                <w:sz w:val="18"/>
              </w:rPr>
              <w:t>$0.00</w:t>
            </w:r>
          </w:p>
        </w:tc>
        <w:tc>
          <w:tcPr>
            <w:tcW w:w="641" w:type="dxa"/>
          </w:tcPr>
          <w:p>
            <w:pPr>
              <w:pStyle w:val="TableParagraph"/>
              <w:spacing w:before="44"/>
              <w:ind w:left="70" w:right="71"/>
              <w:rPr>
                <w:sz w:val="18"/>
              </w:rPr>
            </w:pPr>
            <w:r>
              <w:rPr>
                <w:sz w:val="18"/>
              </w:rPr>
              <w:t>$0.00</w:t>
            </w:r>
          </w:p>
        </w:tc>
        <w:tc>
          <w:tcPr>
            <w:tcW w:w="1644" w:type="dxa"/>
          </w:tcPr>
          <w:p>
            <w:pPr>
              <w:pStyle w:val="TableParagraph"/>
              <w:spacing w:before="44"/>
              <w:ind w:left="592"/>
              <w:jc w:val="left"/>
              <w:rPr>
                <w:sz w:val="18"/>
              </w:rPr>
            </w:pPr>
            <w:r>
              <w:rPr>
                <w:sz w:val="18"/>
              </w:rPr>
              <w:t>$0.00</w:t>
            </w:r>
          </w:p>
        </w:tc>
      </w:tr>
      <w:tr>
        <w:trPr>
          <w:trHeight w:val="310" w:hRule="exact"/>
        </w:trPr>
        <w:tc>
          <w:tcPr>
            <w:tcW w:w="3800" w:type="dxa"/>
          </w:tcPr>
          <w:p>
            <w:pPr>
              <w:pStyle w:val="TableParagraph"/>
              <w:spacing w:before="40"/>
              <w:ind w:left="64"/>
              <w:jc w:val="left"/>
              <w:rPr>
                <w:b/>
                <w:sz w:val="18"/>
              </w:rPr>
            </w:pPr>
            <w:r>
              <w:rPr>
                <w:b/>
                <w:sz w:val="18"/>
              </w:rPr>
              <w:t>TEOTIHUACAN</w:t>
            </w:r>
          </w:p>
        </w:tc>
        <w:tc>
          <w:tcPr>
            <w:tcW w:w="1645" w:type="dxa"/>
          </w:tcPr>
          <w:p>
            <w:pPr>
              <w:pStyle w:val="TableParagraph"/>
              <w:spacing w:before="45"/>
              <w:ind w:left="121" w:right="117"/>
              <w:rPr>
                <w:sz w:val="18"/>
              </w:rPr>
            </w:pPr>
            <w:r>
              <w:rPr>
                <w:sz w:val="18"/>
              </w:rPr>
              <w:t>$0.00</w:t>
            </w:r>
          </w:p>
        </w:tc>
        <w:tc>
          <w:tcPr>
            <w:tcW w:w="643" w:type="dxa"/>
          </w:tcPr>
          <w:p>
            <w:pPr>
              <w:pStyle w:val="TableParagraph"/>
              <w:spacing w:before="45"/>
              <w:ind w:left="71" w:right="70"/>
              <w:rPr>
                <w:sz w:val="18"/>
              </w:rPr>
            </w:pPr>
            <w:r>
              <w:rPr>
                <w:sz w:val="18"/>
              </w:rPr>
              <w:t>$0.00</w:t>
            </w:r>
          </w:p>
        </w:tc>
        <w:tc>
          <w:tcPr>
            <w:tcW w:w="641" w:type="dxa"/>
          </w:tcPr>
          <w:p>
            <w:pPr>
              <w:pStyle w:val="TableParagraph"/>
              <w:spacing w:before="45"/>
              <w:ind w:left="43" w:right="44"/>
              <w:rPr>
                <w:sz w:val="18"/>
              </w:rPr>
            </w:pPr>
            <w:r>
              <w:rPr>
                <w:sz w:val="18"/>
              </w:rPr>
              <w:t>$0.00</w:t>
            </w:r>
          </w:p>
        </w:tc>
        <w:tc>
          <w:tcPr>
            <w:tcW w:w="1644" w:type="dxa"/>
          </w:tcPr>
          <w:p>
            <w:pPr>
              <w:pStyle w:val="TableParagraph"/>
              <w:spacing w:before="45"/>
              <w:ind w:left="47" w:right="44"/>
              <w:rPr>
                <w:sz w:val="18"/>
              </w:rPr>
            </w:pPr>
            <w:r>
              <w:rPr>
                <w:sz w:val="18"/>
              </w:rPr>
              <w:t>$0.00</w:t>
            </w:r>
          </w:p>
        </w:tc>
        <w:tc>
          <w:tcPr>
            <w:tcW w:w="1644" w:type="dxa"/>
          </w:tcPr>
          <w:p>
            <w:pPr>
              <w:pStyle w:val="TableParagraph"/>
              <w:spacing w:before="45"/>
              <w:ind w:right="587"/>
              <w:jc w:val="right"/>
              <w:rPr>
                <w:sz w:val="18"/>
              </w:rPr>
            </w:pPr>
            <w:r>
              <w:rPr>
                <w:w w:val="95"/>
                <w:sz w:val="18"/>
              </w:rPr>
              <w:t>$0.00</w:t>
            </w:r>
          </w:p>
        </w:tc>
        <w:tc>
          <w:tcPr>
            <w:tcW w:w="643" w:type="dxa"/>
          </w:tcPr>
          <w:p>
            <w:pPr>
              <w:pStyle w:val="TableParagraph"/>
              <w:spacing w:before="45"/>
              <w:ind w:left="71" w:right="70"/>
              <w:rPr>
                <w:sz w:val="18"/>
              </w:rPr>
            </w:pPr>
            <w:r>
              <w:rPr>
                <w:sz w:val="18"/>
              </w:rPr>
              <w:t>$0.00</w:t>
            </w:r>
          </w:p>
        </w:tc>
        <w:tc>
          <w:tcPr>
            <w:tcW w:w="641" w:type="dxa"/>
          </w:tcPr>
          <w:p>
            <w:pPr>
              <w:pStyle w:val="TableParagraph"/>
              <w:spacing w:before="45"/>
              <w:ind w:left="70" w:right="71"/>
              <w:rPr>
                <w:sz w:val="18"/>
              </w:rPr>
            </w:pPr>
            <w:r>
              <w:rPr>
                <w:sz w:val="18"/>
              </w:rPr>
              <w:t>$0.00</w:t>
            </w:r>
          </w:p>
        </w:tc>
        <w:tc>
          <w:tcPr>
            <w:tcW w:w="1644" w:type="dxa"/>
          </w:tcPr>
          <w:p>
            <w:pPr>
              <w:pStyle w:val="TableParagraph"/>
              <w:spacing w:before="45"/>
              <w:ind w:left="592"/>
              <w:jc w:val="left"/>
              <w:rPr>
                <w:sz w:val="18"/>
              </w:rPr>
            </w:pPr>
            <w:r>
              <w:rPr>
                <w:sz w:val="18"/>
              </w:rPr>
              <w:t>$0.00</w:t>
            </w:r>
          </w:p>
        </w:tc>
      </w:tr>
      <w:tr>
        <w:trPr>
          <w:trHeight w:val="310" w:hRule="exact"/>
        </w:trPr>
        <w:tc>
          <w:tcPr>
            <w:tcW w:w="3800" w:type="dxa"/>
          </w:tcPr>
          <w:p>
            <w:pPr>
              <w:pStyle w:val="TableParagraph"/>
              <w:spacing w:before="42"/>
              <w:ind w:left="64"/>
              <w:jc w:val="left"/>
              <w:rPr>
                <w:b/>
                <w:sz w:val="18"/>
              </w:rPr>
            </w:pPr>
            <w:r>
              <w:rPr>
                <w:b/>
                <w:sz w:val="18"/>
              </w:rPr>
              <w:t>TEPETLAOXTOC</w:t>
            </w:r>
          </w:p>
        </w:tc>
        <w:tc>
          <w:tcPr>
            <w:tcW w:w="1645" w:type="dxa"/>
          </w:tcPr>
          <w:p>
            <w:pPr>
              <w:pStyle w:val="TableParagraph"/>
              <w:spacing w:before="47"/>
              <w:ind w:left="121" w:right="117"/>
              <w:rPr>
                <w:sz w:val="18"/>
              </w:rPr>
            </w:pPr>
            <w:r>
              <w:rPr>
                <w:sz w:val="18"/>
              </w:rPr>
              <w:t>$0.00</w:t>
            </w:r>
          </w:p>
        </w:tc>
        <w:tc>
          <w:tcPr>
            <w:tcW w:w="643" w:type="dxa"/>
          </w:tcPr>
          <w:p>
            <w:pPr>
              <w:pStyle w:val="TableParagraph"/>
              <w:spacing w:before="47"/>
              <w:ind w:left="71" w:right="70"/>
              <w:rPr>
                <w:sz w:val="18"/>
              </w:rPr>
            </w:pPr>
            <w:r>
              <w:rPr>
                <w:sz w:val="18"/>
              </w:rPr>
              <w:t>$0.00</w:t>
            </w:r>
          </w:p>
        </w:tc>
        <w:tc>
          <w:tcPr>
            <w:tcW w:w="641" w:type="dxa"/>
          </w:tcPr>
          <w:p>
            <w:pPr>
              <w:pStyle w:val="TableParagraph"/>
              <w:spacing w:before="47"/>
              <w:ind w:left="43" w:right="44"/>
              <w:rPr>
                <w:sz w:val="18"/>
              </w:rPr>
            </w:pPr>
            <w:r>
              <w:rPr>
                <w:sz w:val="18"/>
              </w:rPr>
              <w:t>$0.00</w:t>
            </w:r>
          </w:p>
        </w:tc>
        <w:tc>
          <w:tcPr>
            <w:tcW w:w="1644" w:type="dxa"/>
          </w:tcPr>
          <w:p>
            <w:pPr>
              <w:pStyle w:val="TableParagraph"/>
              <w:spacing w:before="47"/>
              <w:ind w:left="47" w:right="44"/>
              <w:rPr>
                <w:sz w:val="18"/>
              </w:rPr>
            </w:pPr>
            <w:r>
              <w:rPr>
                <w:sz w:val="18"/>
              </w:rPr>
              <w:t>$0.00</w:t>
            </w:r>
          </w:p>
        </w:tc>
        <w:tc>
          <w:tcPr>
            <w:tcW w:w="1644" w:type="dxa"/>
          </w:tcPr>
          <w:p>
            <w:pPr>
              <w:pStyle w:val="TableParagraph"/>
              <w:spacing w:before="47"/>
              <w:ind w:right="587"/>
              <w:jc w:val="right"/>
              <w:rPr>
                <w:sz w:val="18"/>
              </w:rPr>
            </w:pPr>
            <w:r>
              <w:rPr>
                <w:w w:val="95"/>
                <w:sz w:val="18"/>
              </w:rPr>
              <w:t>$0.00</w:t>
            </w:r>
          </w:p>
        </w:tc>
        <w:tc>
          <w:tcPr>
            <w:tcW w:w="643" w:type="dxa"/>
          </w:tcPr>
          <w:p>
            <w:pPr>
              <w:pStyle w:val="TableParagraph"/>
              <w:spacing w:before="47"/>
              <w:ind w:left="71" w:right="70"/>
              <w:rPr>
                <w:sz w:val="18"/>
              </w:rPr>
            </w:pPr>
            <w:r>
              <w:rPr>
                <w:sz w:val="18"/>
              </w:rPr>
              <w:t>$0.00</w:t>
            </w:r>
          </w:p>
        </w:tc>
        <w:tc>
          <w:tcPr>
            <w:tcW w:w="641" w:type="dxa"/>
          </w:tcPr>
          <w:p>
            <w:pPr>
              <w:pStyle w:val="TableParagraph"/>
              <w:spacing w:before="47"/>
              <w:ind w:left="70" w:right="71"/>
              <w:rPr>
                <w:sz w:val="18"/>
              </w:rPr>
            </w:pPr>
            <w:r>
              <w:rPr>
                <w:sz w:val="18"/>
              </w:rPr>
              <w:t>$0.00</w:t>
            </w:r>
          </w:p>
        </w:tc>
        <w:tc>
          <w:tcPr>
            <w:tcW w:w="1644" w:type="dxa"/>
          </w:tcPr>
          <w:p>
            <w:pPr>
              <w:pStyle w:val="TableParagraph"/>
              <w:spacing w:before="47"/>
              <w:ind w:left="592"/>
              <w:jc w:val="left"/>
              <w:rPr>
                <w:sz w:val="18"/>
              </w:rPr>
            </w:pPr>
            <w:r>
              <w:rPr>
                <w:sz w:val="18"/>
              </w:rPr>
              <w:t>$0.00</w:t>
            </w:r>
          </w:p>
        </w:tc>
      </w:tr>
      <w:tr>
        <w:trPr>
          <w:trHeight w:val="310" w:hRule="exact"/>
        </w:trPr>
        <w:tc>
          <w:tcPr>
            <w:tcW w:w="3800" w:type="dxa"/>
          </w:tcPr>
          <w:p>
            <w:pPr>
              <w:pStyle w:val="TableParagraph"/>
              <w:spacing w:before="42"/>
              <w:ind w:left="64"/>
              <w:jc w:val="left"/>
              <w:rPr>
                <w:b/>
                <w:sz w:val="18"/>
              </w:rPr>
            </w:pPr>
            <w:r>
              <w:rPr>
                <w:b/>
                <w:sz w:val="18"/>
              </w:rPr>
              <w:t>TEPETLIXPA</w:t>
            </w:r>
          </w:p>
        </w:tc>
        <w:tc>
          <w:tcPr>
            <w:tcW w:w="1645" w:type="dxa"/>
          </w:tcPr>
          <w:p>
            <w:pPr>
              <w:pStyle w:val="TableParagraph"/>
              <w:spacing w:before="47"/>
              <w:ind w:left="121" w:right="117"/>
              <w:rPr>
                <w:sz w:val="18"/>
              </w:rPr>
            </w:pPr>
            <w:r>
              <w:rPr>
                <w:sz w:val="18"/>
              </w:rPr>
              <w:t>$0.00</w:t>
            </w:r>
          </w:p>
        </w:tc>
        <w:tc>
          <w:tcPr>
            <w:tcW w:w="643" w:type="dxa"/>
          </w:tcPr>
          <w:p>
            <w:pPr>
              <w:pStyle w:val="TableParagraph"/>
              <w:spacing w:before="47"/>
              <w:ind w:left="71" w:right="70"/>
              <w:rPr>
                <w:sz w:val="18"/>
              </w:rPr>
            </w:pPr>
            <w:r>
              <w:rPr>
                <w:sz w:val="18"/>
              </w:rPr>
              <w:t>$0.00</w:t>
            </w:r>
          </w:p>
        </w:tc>
        <w:tc>
          <w:tcPr>
            <w:tcW w:w="641" w:type="dxa"/>
          </w:tcPr>
          <w:p>
            <w:pPr>
              <w:pStyle w:val="TableParagraph"/>
              <w:spacing w:before="47"/>
              <w:ind w:left="43" w:right="44"/>
              <w:rPr>
                <w:sz w:val="18"/>
              </w:rPr>
            </w:pPr>
            <w:r>
              <w:rPr>
                <w:sz w:val="18"/>
              </w:rPr>
              <w:t>$0.00</w:t>
            </w:r>
          </w:p>
        </w:tc>
        <w:tc>
          <w:tcPr>
            <w:tcW w:w="1644" w:type="dxa"/>
          </w:tcPr>
          <w:p>
            <w:pPr>
              <w:pStyle w:val="TableParagraph"/>
              <w:spacing w:before="47"/>
              <w:ind w:left="47" w:right="44"/>
              <w:rPr>
                <w:sz w:val="18"/>
              </w:rPr>
            </w:pPr>
            <w:r>
              <w:rPr>
                <w:sz w:val="18"/>
              </w:rPr>
              <w:t>$0.00</w:t>
            </w:r>
          </w:p>
        </w:tc>
        <w:tc>
          <w:tcPr>
            <w:tcW w:w="1644" w:type="dxa"/>
          </w:tcPr>
          <w:p>
            <w:pPr>
              <w:pStyle w:val="TableParagraph"/>
              <w:spacing w:before="47"/>
              <w:ind w:right="587"/>
              <w:jc w:val="right"/>
              <w:rPr>
                <w:sz w:val="18"/>
              </w:rPr>
            </w:pPr>
            <w:r>
              <w:rPr>
                <w:w w:val="95"/>
                <w:sz w:val="18"/>
              </w:rPr>
              <w:t>$0.00</w:t>
            </w:r>
          </w:p>
        </w:tc>
        <w:tc>
          <w:tcPr>
            <w:tcW w:w="643" w:type="dxa"/>
          </w:tcPr>
          <w:p>
            <w:pPr>
              <w:pStyle w:val="TableParagraph"/>
              <w:spacing w:before="47"/>
              <w:ind w:left="71" w:right="70"/>
              <w:rPr>
                <w:sz w:val="18"/>
              </w:rPr>
            </w:pPr>
            <w:r>
              <w:rPr>
                <w:sz w:val="18"/>
              </w:rPr>
              <w:t>$0.00</w:t>
            </w:r>
          </w:p>
        </w:tc>
        <w:tc>
          <w:tcPr>
            <w:tcW w:w="641" w:type="dxa"/>
          </w:tcPr>
          <w:p>
            <w:pPr>
              <w:pStyle w:val="TableParagraph"/>
              <w:spacing w:before="47"/>
              <w:ind w:left="70" w:right="71"/>
              <w:rPr>
                <w:sz w:val="18"/>
              </w:rPr>
            </w:pPr>
            <w:r>
              <w:rPr>
                <w:sz w:val="18"/>
              </w:rPr>
              <w:t>$0.00</w:t>
            </w:r>
          </w:p>
        </w:tc>
        <w:tc>
          <w:tcPr>
            <w:tcW w:w="1644" w:type="dxa"/>
          </w:tcPr>
          <w:p>
            <w:pPr>
              <w:pStyle w:val="TableParagraph"/>
              <w:spacing w:before="47"/>
              <w:ind w:left="592"/>
              <w:jc w:val="left"/>
              <w:rPr>
                <w:sz w:val="18"/>
              </w:rPr>
            </w:pPr>
            <w:r>
              <w:rPr>
                <w:sz w:val="18"/>
              </w:rPr>
              <w:t>$0.00</w:t>
            </w:r>
          </w:p>
        </w:tc>
      </w:tr>
      <w:tr>
        <w:trPr>
          <w:trHeight w:val="312" w:hRule="exact"/>
        </w:trPr>
        <w:tc>
          <w:tcPr>
            <w:tcW w:w="3800" w:type="dxa"/>
          </w:tcPr>
          <w:p>
            <w:pPr>
              <w:pStyle w:val="TableParagraph"/>
              <w:spacing w:before="42"/>
              <w:ind w:left="64"/>
              <w:jc w:val="left"/>
              <w:rPr>
                <w:b/>
                <w:sz w:val="18"/>
              </w:rPr>
            </w:pPr>
            <w:r>
              <w:rPr>
                <w:b/>
                <w:sz w:val="18"/>
              </w:rPr>
              <w:t>TEPOTZOTLAN</w:t>
            </w:r>
          </w:p>
        </w:tc>
        <w:tc>
          <w:tcPr>
            <w:tcW w:w="1645" w:type="dxa"/>
          </w:tcPr>
          <w:p>
            <w:pPr>
              <w:pStyle w:val="TableParagraph"/>
              <w:spacing w:before="47"/>
              <w:ind w:left="121" w:right="117"/>
              <w:rPr>
                <w:sz w:val="18"/>
              </w:rPr>
            </w:pPr>
            <w:r>
              <w:rPr>
                <w:sz w:val="18"/>
              </w:rPr>
              <w:t>$0.00</w:t>
            </w:r>
          </w:p>
        </w:tc>
        <w:tc>
          <w:tcPr>
            <w:tcW w:w="643" w:type="dxa"/>
          </w:tcPr>
          <w:p>
            <w:pPr>
              <w:pStyle w:val="TableParagraph"/>
              <w:spacing w:before="47"/>
              <w:ind w:left="71" w:right="70"/>
              <w:rPr>
                <w:sz w:val="18"/>
              </w:rPr>
            </w:pPr>
            <w:r>
              <w:rPr>
                <w:sz w:val="18"/>
              </w:rPr>
              <w:t>$0.00</w:t>
            </w:r>
          </w:p>
        </w:tc>
        <w:tc>
          <w:tcPr>
            <w:tcW w:w="641" w:type="dxa"/>
          </w:tcPr>
          <w:p>
            <w:pPr>
              <w:pStyle w:val="TableParagraph"/>
              <w:spacing w:before="47"/>
              <w:ind w:left="43" w:right="44"/>
              <w:rPr>
                <w:sz w:val="18"/>
              </w:rPr>
            </w:pPr>
            <w:r>
              <w:rPr>
                <w:sz w:val="18"/>
              </w:rPr>
              <w:t>$0.00</w:t>
            </w:r>
          </w:p>
        </w:tc>
        <w:tc>
          <w:tcPr>
            <w:tcW w:w="1644" w:type="dxa"/>
          </w:tcPr>
          <w:p>
            <w:pPr>
              <w:pStyle w:val="TableParagraph"/>
              <w:spacing w:before="47"/>
              <w:ind w:left="47" w:right="44"/>
              <w:rPr>
                <w:sz w:val="18"/>
              </w:rPr>
            </w:pPr>
            <w:r>
              <w:rPr>
                <w:sz w:val="18"/>
              </w:rPr>
              <w:t>$0.00</w:t>
            </w:r>
          </w:p>
        </w:tc>
        <w:tc>
          <w:tcPr>
            <w:tcW w:w="1644" w:type="dxa"/>
          </w:tcPr>
          <w:p>
            <w:pPr>
              <w:pStyle w:val="TableParagraph"/>
              <w:spacing w:before="47"/>
              <w:ind w:right="587"/>
              <w:jc w:val="right"/>
              <w:rPr>
                <w:sz w:val="18"/>
              </w:rPr>
            </w:pPr>
            <w:r>
              <w:rPr>
                <w:w w:val="95"/>
                <w:sz w:val="18"/>
              </w:rPr>
              <w:t>$0.00</w:t>
            </w:r>
          </w:p>
        </w:tc>
        <w:tc>
          <w:tcPr>
            <w:tcW w:w="643" w:type="dxa"/>
          </w:tcPr>
          <w:p>
            <w:pPr>
              <w:pStyle w:val="TableParagraph"/>
              <w:spacing w:before="47"/>
              <w:ind w:left="71" w:right="70"/>
              <w:rPr>
                <w:sz w:val="18"/>
              </w:rPr>
            </w:pPr>
            <w:r>
              <w:rPr>
                <w:sz w:val="18"/>
              </w:rPr>
              <w:t>$0.00</w:t>
            </w:r>
          </w:p>
        </w:tc>
        <w:tc>
          <w:tcPr>
            <w:tcW w:w="641" w:type="dxa"/>
          </w:tcPr>
          <w:p>
            <w:pPr>
              <w:pStyle w:val="TableParagraph"/>
              <w:spacing w:before="47"/>
              <w:ind w:left="70" w:right="71"/>
              <w:rPr>
                <w:sz w:val="18"/>
              </w:rPr>
            </w:pPr>
            <w:r>
              <w:rPr>
                <w:sz w:val="18"/>
              </w:rPr>
              <w:t>$0.00</w:t>
            </w:r>
          </w:p>
        </w:tc>
        <w:tc>
          <w:tcPr>
            <w:tcW w:w="1644" w:type="dxa"/>
          </w:tcPr>
          <w:p>
            <w:pPr>
              <w:pStyle w:val="TableParagraph"/>
              <w:spacing w:before="47"/>
              <w:ind w:left="592"/>
              <w:jc w:val="left"/>
              <w:rPr>
                <w:sz w:val="18"/>
              </w:rPr>
            </w:pPr>
            <w:r>
              <w:rPr>
                <w:sz w:val="18"/>
              </w:rPr>
              <w:t>$0.00</w:t>
            </w:r>
          </w:p>
        </w:tc>
      </w:tr>
      <w:tr>
        <w:trPr>
          <w:trHeight w:val="310" w:hRule="exact"/>
        </w:trPr>
        <w:tc>
          <w:tcPr>
            <w:tcW w:w="3800" w:type="dxa"/>
          </w:tcPr>
          <w:p>
            <w:pPr>
              <w:pStyle w:val="TableParagraph"/>
              <w:spacing w:before="40"/>
              <w:ind w:left="64"/>
              <w:jc w:val="left"/>
              <w:rPr>
                <w:b/>
                <w:sz w:val="18"/>
              </w:rPr>
            </w:pPr>
            <w:r>
              <w:rPr>
                <w:b/>
                <w:sz w:val="18"/>
              </w:rPr>
              <w:t>TEQUIXQUIAC</w:t>
            </w:r>
          </w:p>
        </w:tc>
        <w:tc>
          <w:tcPr>
            <w:tcW w:w="1645" w:type="dxa"/>
          </w:tcPr>
          <w:p>
            <w:pPr>
              <w:pStyle w:val="TableParagraph"/>
              <w:spacing w:before="44"/>
              <w:ind w:left="121" w:right="117"/>
              <w:rPr>
                <w:sz w:val="18"/>
              </w:rPr>
            </w:pPr>
            <w:r>
              <w:rPr>
                <w:sz w:val="18"/>
              </w:rPr>
              <w:t>$0.00</w:t>
            </w:r>
          </w:p>
        </w:tc>
        <w:tc>
          <w:tcPr>
            <w:tcW w:w="643" w:type="dxa"/>
          </w:tcPr>
          <w:p>
            <w:pPr>
              <w:pStyle w:val="TableParagraph"/>
              <w:spacing w:before="44"/>
              <w:ind w:left="71" w:right="70"/>
              <w:rPr>
                <w:sz w:val="18"/>
              </w:rPr>
            </w:pPr>
            <w:r>
              <w:rPr>
                <w:sz w:val="18"/>
              </w:rPr>
              <w:t>$0.00</w:t>
            </w:r>
          </w:p>
        </w:tc>
        <w:tc>
          <w:tcPr>
            <w:tcW w:w="641" w:type="dxa"/>
          </w:tcPr>
          <w:p>
            <w:pPr>
              <w:pStyle w:val="TableParagraph"/>
              <w:spacing w:before="44"/>
              <w:ind w:left="43" w:right="44"/>
              <w:rPr>
                <w:sz w:val="18"/>
              </w:rPr>
            </w:pPr>
            <w:r>
              <w:rPr>
                <w:sz w:val="18"/>
              </w:rPr>
              <w:t>$0.00</w:t>
            </w:r>
          </w:p>
        </w:tc>
        <w:tc>
          <w:tcPr>
            <w:tcW w:w="1644" w:type="dxa"/>
          </w:tcPr>
          <w:p>
            <w:pPr>
              <w:pStyle w:val="TableParagraph"/>
              <w:spacing w:before="44"/>
              <w:ind w:left="47" w:right="44"/>
              <w:rPr>
                <w:sz w:val="18"/>
              </w:rPr>
            </w:pPr>
            <w:r>
              <w:rPr>
                <w:sz w:val="18"/>
              </w:rPr>
              <w:t>$0.00</w:t>
            </w:r>
          </w:p>
        </w:tc>
        <w:tc>
          <w:tcPr>
            <w:tcW w:w="1644" w:type="dxa"/>
          </w:tcPr>
          <w:p>
            <w:pPr>
              <w:pStyle w:val="TableParagraph"/>
              <w:spacing w:before="44"/>
              <w:ind w:right="587"/>
              <w:jc w:val="right"/>
              <w:rPr>
                <w:sz w:val="18"/>
              </w:rPr>
            </w:pPr>
            <w:r>
              <w:rPr>
                <w:w w:val="95"/>
                <w:sz w:val="18"/>
              </w:rPr>
              <w:t>$0.00</w:t>
            </w:r>
          </w:p>
        </w:tc>
        <w:tc>
          <w:tcPr>
            <w:tcW w:w="643" w:type="dxa"/>
          </w:tcPr>
          <w:p>
            <w:pPr>
              <w:pStyle w:val="TableParagraph"/>
              <w:spacing w:before="44"/>
              <w:ind w:left="71" w:right="70"/>
              <w:rPr>
                <w:sz w:val="18"/>
              </w:rPr>
            </w:pPr>
            <w:r>
              <w:rPr>
                <w:sz w:val="18"/>
              </w:rPr>
              <w:t>$0.00</w:t>
            </w:r>
          </w:p>
        </w:tc>
        <w:tc>
          <w:tcPr>
            <w:tcW w:w="641" w:type="dxa"/>
          </w:tcPr>
          <w:p>
            <w:pPr>
              <w:pStyle w:val="TableParagraph"/>
              <w:spacing w:before="44"/>
              <w:ind w:left="70" w:right="71"/>
              <w:rPr>
                <w:sz w:val="18"/>
              </w:rPr>
            </w:pPr>
            <w:r>
              <w:rPr>
                <w:sz w:val="18"/>
              </w:rPr>
              <w:t>$0.00</w:t>
            </w:r>
          </w:p>
        </w:tc>
        <w:tc>
          <w:tcPr>
            <w:tcW w:w="1644" w:type="dxa"/>
          </w:tcPr>
          <w:p>
            <w:pPr>
              <w:pStyle w:val="TableParagraph"/>
              <w:spacing w:before="44"/>
              <w:ind w:left="592"/>
              <w:jc w:val="left"/>
              <w:rPr>
                <w:sz w:val="18"/>
              </w:rPr>
            </w:pPr>
            <w:r>
              <w:rPr>
                <w:sz w:val="18"/>
              </w:rPr>
              <w:t>$0.00</w:t>
            </w:r>
          </w:p>
        </w:tc>
      </w:tr>
      <w:tr>
        <w:trPr>
          <w:trHeight w:val="310" w:hRule="exact"/>
        </w:trPr>
        <w:tc>
          <w:tcPr>
            <w:tcW w:w="3800" w:type="dxa"/>
          </w:tcPr>
          <w:p>
            <w:pPr>
              <w:pStyle w:val="TableParagraph"/>
              <w:spacing w:before="40"/>
              <w:ind w:left="64"/>
              <w:jc w:val="left"/>
              <w:rPr>
                <w:b/>
                <w:sz w:val="18"/>
              </w:rPr>
            </w:pPr>
            <w:r>
              <w:rPr>
                <w:b/>
                <w:sz w:val="18"/>
              </w:rPr>
              <w:t>TEXCALTITL�N</w:t>
            </w:r>
          </w:p>
        </w:tc>
        <w:tc>
          <w:tcPr>
            <w:tcW w:w="1645" w:type="dxa"/>
          </w:tcPr>
          <w:p>
            <w:pPr>
              <w:pStyle w:val="TableParagraph"/>
              <w:spacing w:before="44"/>
              <w:ind w:left="121" w:right="117"/>
              <w:rPr>
                <w:sz w:val="18"/>
              </w:rPr>
            </w:pPr>
            <w:r>
              <w:rPr>
                <w:sz w:val="18"/>
              </w:rPr>
              <w:t>$0.00</w:t>
            </w:r>
          </w:p>
        </w:tc>
        <w:tc>
          <w:tcPr>
            <w:tcW w:w="643" w:type="dxa"/>
          </w:tcPr>
          <w:p>
            <w:pPr>
              <w:pStyle w:val="TableParagraph"/>
              <w:spacing w:before="44"/>
              <w:ind w:left="71" w:right="70"/>
              <w:rPr>
                <w:sz w:val="18"/>
              </w:rPr>
            </w:pPr>
            <w:r>
              <w:rPr>
                <w:sz w:val="18"/>
              </w:rPr>
              <w:t>$0.00</w:t>
            </w:r>
          </w:p>
        </w:tc>
        <w:tc>
          <w:tcPr>
            <w:tcW w:w="641" w:type="dxa"/>
          </w:tcPr>
          <w:p>
            <w:pPr>
              <w:pStyle w:val="TableParagraph"/>
              <w:spacing w:before="44"/>
              <w:ind w:left="43" w:right="44"/>
              <w:rPr>
                <w:sz w:val="18"/>
              </w:rPr>
            </w:pPr>
            <w:r>
              <w:rPr>
                <w:sz w:val="18"/>
              </w:rPr>
              <w:t>$0.00</w:t>
            </w:r>
          </w:p>
        </w:tc>
        <w:tc>
          <w:tcPr>
            <w:tcW w:w="1644" w:type="dxa"/>
          </w:tcPr>
          <w:p>
            <w:pPr>
              <w:pStyle w:val="TableParagraph"/>
              <w:spacing w:before="44"/>
              <w:ind w:left="47" w:right="44"/>
              <w:rPr>
                <w:sz w:val="18"/>
              </w:rPr>
            </w:pPr>
            <w:r>
              <w:rPr>
                <w:sz w:val="18"/>
              </w:rPr>
              <w:t>$0.00</w:t>
            </w:r>
          </w:p>
        </w:tc>
        <w:tc>
          <w:tcPr>
            <w:tcW w:w="1644" w:type="dxa"/>
          </w:tcPr>
          <w:p>
            <w:pPr>
              <w:pStyle w:val="TableParagraph"/>
              <w:spacing w:before="44"/>
              <w:ind w:right="587"/>
              <w:jc w:val="right"/>
              <w:rPr>
                <w:sz w:val="18"/>
              </w:rPr>
            </w:pPr>
            <w:r>
              <w:rPr>
                <w:w w:val="95"/>
                <w:sz w:val="18"/>
              </w:rPr>
              <w:t>$0.00</w:t>
            </w:r>
          </w:p>
        </w:tc>
        <w:tc>
          <w:tcPr>
            <w:tcW w:w="643" w:type="dxa"/>
          </w:tcPr>
          <w:p>
            <w:pPr>
              <w:pStyle w:val="TableParagraph"/>
              <w:spacing w:before="44"/>
              <w:ind w:left="71" w:right="70"/>
              <w:rPr>
                <w:sz w:val="18"/>
              </w:rPr>
            </w:pPr>
            <w:r>
              <w:rPr>
                <w:sz w:val="18"/>
              </w:rPr>
              <w:t>$0.00</w:t>
            </w:r>
          </w:p>
        </w:tc>
        <w:tc>
          <w:tcPr>
            <w:tcW w:w="641" w:type="dxa"/>
          </w:tcPr>
          <w:p>
            <w:pPr>
              <w:pStyle w:val="TableParagraph"/>
              <w:spacing w:before="44"/>
              <w:ind w:left="70" w:right="71"/>
              <w:rPr>
                <w:sz w:val="18"/>
              </w:rPr>
            </w:pPr>
            <w:r>
              <w:rPr>
                <w:sz w:val="18"/>
              </w:rPr>
              <w:t>$0.00</w:t>
            </w:r>
          </w:p>
        </w:tc>
        <w:tc>
          <w:tcPr>
            <w:tcW w:w="1644" w:type="dxa"/>
          </w:tcPr>
          <w:p>
            <w:pPr>
              <w:pStyle w:val="TableParagraph"/>
              <w:spacing w:before="44"/>
              <w:ind w:left="592"/>
              <w:jc w:val="left"/>
              <w:rPr>
                <w:sz w:val="18"/>
              </w:rPr>
            </w:pPr>
            <w:r>
              <w:rPr>
                <w:sz w:val="18"/>
              </w:rPr>
              <w:t>$0.00</w:t>
            </w:r>
          </w:p>
        </w:tc>
      </w:tr>
      <w:tr>
        <w:trPr>
          <w:trHeight w:val="310" w:hRule="exact"/>
        </w:trPr>
        <w:tc>
          <w:tcPr>
            <w:tcW w:w="3800" w:type="dxa"/>
          </w:tcPr>
          <w:p>
            <w:pPr>
              <w:pStyle w:val="TableParagraph"/>
              <w:spacing w:before="40"/>
              <w:ind w:left="64"/>
              <w:jc w:val="left"/>
              <w:rPr>
                <w:b/>
                <w:sz w:val="18"/>
              </w:rPr>
            </w:pPr>
            <w:r>
              <w:rPr>
                <w:b/>
                <w:sz w:val="18"/>
              </w:rPr>
              <w:t>TEXCALYACAC</w:t>
            </w:r>
          </w:p>
        </w:tc>
        <w:tc>
          <w:tcPr>
            <w:tcW w:w="1645" w:type="dxa"/>
          </w:tcPr>
          <w:p>
            <w:pPr>
              <w:pStyle w:val="TableParagraph"/>
              <w:spacing w:before="44"/>
              <w:ind w:left="121" w:right="117"/>
              <w:rPr>
                <w:sz w:val="18"/>
              </w:rPr>
            </w:pPr>
            <w:r>
              <w:rPr>
                <w:sz w:val="18"/>
              </w:rPr>
              <w:t>$0.00</w:t>
            </w:r>
          </w:p>
        </w:tc>
        <w:tc>
          <w:tcPr>
            <w:tcW w:w="643" w:type="dxa"/>
          </w:tcPr>
          <w:p>
            <w:pPr>
              <w:pStyle w:val="TableParagraph"/>
              <w:spacing w:before="44"/>
              <w:ind w:left="71" w:right="70"/>
              <w:rPr>
                <w:sz w:val="18"/>
              </w:rPr>
            </w:pPr>
            <w:r>
              <w:rPr>
                <w:sz w:val="18"/>
              </w:rPr>
              <w:t>$0.00</w:t>
            </w:r>
          </w:p>
        </w:tc>
        <w:tc>
          <w:tcPr>
            <w:tcW w:w="641" w:type="dxa"/>
          </w:tcPr>
          <w:p>
            <w:pPr>
              <w:pStyle w:val="TableParagraph"/>
              <w:spacing w:before="44"/>
              <w:ind w:left="43" w:right="44"/>
              <w:rPr>
                <w:sz w:val="18"/>
              </w:rPr>
            </w:pPr>
            <w:r>
              <w:rPr>
                <w:sz w:val="18"/>
              </w:rPr>
              <w:t>$0.00</w:t>
            </w:r>
          </w:p>
        </w:tc>
        <w:tc>
          <w:tcPr>
            <w:tcW w:w="1644" w:type="dxa"/>
          </w:tcPr>
          <w:p>
            <w:pPr>
              <w:pStyle w:val="TableParagraph"/>
              <w:spacing w:before="44"/>
              <w:ind w:left="47" w:right="44"/>
              <w:rPr>
                <w:sz w:val="18"/>
              </w:rPr>
            </w:pPr>
            <w:r>
              <w:rPr>
                <w:sz w:val="18"/>
              </w:rPr>
              <w:t>$0.00</w:t>
            </w:r>
          </w:p>
        </w:tc>
        <w:tc>
          <w:tcPr>
            <w:tcW w:w="1644" w:type="dxa"/>
          </w:tcPr>
          <w:p>
            <w:pPr>
              <w:pStyle w:val="TableParagraph"/>
              <w:spacing w:before="44"/>
              <w:ind w:right="587"/>
              <w:jc w:val="right"/>
              <w:rPr>
                <w:sz w:val="18"/>
              </w:rPr>
            </w:pPr>
            <w:r>
              <w:rPr>
                <w:w w:val="95"/>
                <w:sz w:val="18"/>
              </w:rPr>
              <w:t>$0.00</w:t>
            </w:r>
          </w:p>
        </w:tc>
        <w:tc>
          <w:tcPr>
            <w:tcW w:w="643" w:type="dxa"/>
          </w:tcPr>
          <w:p>
            <w:pPr>
              <w:pStyle w:val="TableParagraph"/>
              <w:spacing w:before="44"/>
              <w:ind w:left="71" w:right="70"/>
              <w:rPr>
                <w:sz w:val="18"/>
              </w:rPr>
            </w:pPr>
            <w:r>
              <w:rPr>
                <w:sz w:val="18"/>
              </w:rPr>
              <w:t>$0.00</w:t>
            </w:r>
          </w:p>
        </w:tc>
        <w:tc>
          <w:tcPr>
            <w:tcW w:w="641" w:type="dxa"/>
          </w:tcPr>
          <w:p>
            <w:pPr>
              <w:pStyle w:val="TableParagraph"/>
              <w:spacing w:before="44"/>
              <w:ind w:left="70" w:right="71"/>
              <w:rPr>
                <w:sz w:val="18"/>
              </w:rPr>
            </w:pPr>
            <w:r>
              <w:rPr>
                <w:sz w:val="18"/>
              </w:rPr>
              <w:t>$0.00</w:t>
            </w:r>
          </w:p>
        </w:tc>
        <w:tc>
          <w:tcPr>
            <w:tcW w:w="1644" w:type="dxa"/>
          </w:tcPr>
          <w:p>
            <w:pPr>
              <w:pStyle w:val="TableParagraph"/>
              <w:spacing w:before="44"/>
              <w:ind w:left="592"/>
              <w:jc w:val="left"/>
              <w:rPr>
                <w:sz w:val="18"/>
              </w:rPr>
            </w:pPr>
            <w:r>
              <w:rPr>
                <w:sz w:val="18"/>
              </w:rPr>
              <w:t>$0.00</w:t>
            </w:r>
          </w:p>
        </w:tc>
      </w:tr>
      <w:tr>
        <w:trPr>
          <w:trHeight w:val="310" w:hRule="exact"/>
        </w:trPr>
        <w:tc>
          <w:tcPr>
            <w:tcW w:w="3800" w:type="dxa"/>
          </w:tcPr>
          <w:p>
            <w:pPr>
              <w:pStyle w:val="TableParagraph"/>
              <w:spacing w:before="42"/>
              <w:ind w:left="64"/>
              <w:jc w:val="left"/>
              <w:rPr>
                <w:b/>
                <w:sz w:val="18"/>
              </w:rPr>
            </w:pPr>
            <w:r>
              <w:rPr>
                <w:b/>
                <w:sz w:val="18"/>
              </w:rPr>
              <w:t>TEXCOCO</w:t>
            </w:r>
          </w:p>
        </w:tc>
        <w:tc>
          <w:tcPr>
            <w:tcW w:w="1645" w:type="dxa"/>
          </w:tcPr>
          <w:p>
            <w:pPr>
              <w:pStyle w:val="TableParagraph"/>
              <w:spacing w:before="47"/>
              <w:ind w:left="121" w:right="117"/>
              <w:rPr>
                <w:sz w:val="18"/>
              </w:rPr>
            </w:pPr>
            <w:r>
              <w:rPr>
                <w:sz w:val="18"/>
              </w:rPr>
              <w:t>$0.00</w:t>
            </w:r>
          </w:p>
        </w:tc>
        <w:tc>
          <w:tcPr>
            <w:tcW w:w="643" w:type="dxa"/>
          </w:tcPr>
          <w:p>
            <w:pPr>
              <w:pStyle w:val="TableParagraph"/>
              <w:spacing w:before="47"/>
              <w:ind w:left="71" w:right="70"/>
              <w:rPr>
                <w:sz w:val="18"/>
              </w:rPr>
            </w:pPr>
            <w:r>
              <w:rPr>
                <w:sz w:val="18"/>
              </w:rPr>
              <w:t>$0.00</w:t>
            </w:r>
          </w:p>
        </w:tc>
        <w:tc>
          <w:tcPr>
            <w:tcW w:w="641" w:type="dxa"/>
          </w:tcPr>
          <w:p>
            <w:pPr>
              <w:pStyle w:val="TableParagraph"/>
              <w:spacing w:before="47"/>
              <w:ind w:left="43" w:right="44"/>
              <w:rPr>
                <w:sz w:val="18"/>
              </w:rPr>
            </w:pPr>
            <w:r>
              <w:rPr>
                <w:sz w:val="18"/>
              </w:rPr>
              <w:t>$0.00</w:t>
            </w:r>
          </w:p>
        </w:tc>
        <w:tc>
          <w:tcPr>
            <w:tcW w:w="1644" w:type="dxa"/>
          </w:tcPr>
          <w:p>
            <w:pPr>
              <w:pStyle w:val="TableParagraph"/>
              <w:spacing w:before="47"/>
              <w:ind w:left="47" w:right="44"/>
              <w:rPr>
                <w:sz w:val="18"/>
              </w:rPr>
            </w:pPr>
            <w:r>
              <w:rPr>
                <w:sz w:val="18"/>
              </w:rPr>
              <w:t>$0.00</w:t>
            </w:r>
          </w:p>
        </w:tc>
        <w:tc>
          <w:tcPr>
            <w:tcW w:w="1644" w:type="dxa"/>
          </w:tcPr>
          <w:p>
            <w:pPr>
              <w:pStyle w:val="TableParagraph"/>
              <w:spacing w:before="47"/>
              <w:ind w:right="587"/>
              <w:jc w:val="right"/>
              <w:rPr>
                <w:sz w:val="18"/>
              </w:rPr>
            </w:pPr>
            <w:r>
              <w:rPr>
                <w:w w:val="95"/>
                <w:sz w:val="18"/>
              </w:rPr>
              <w:t>$0.00</w:t>
            </w:r>
          </w:p>
        </w:tc>
        <w:tc>
          <w:tcPr>
            <w:tcW w:w="643" w:type="dxa"/>
          </w:tcPr>
          <w:p>
            <w:pPr>
              <w:pStyle w:val="TableParagraph"/>
              <w:spacing w:before="47"/>
              <w:ind w:left="71" w:right="70"/>
              <w:rPr>
                <w:sz w:val="18"/>
              </w:rPr>
            </w:pPr>
            <w:r>
              <w:rPr>
                <w:sz w:val="18"/>
              </w:rPr>
              <w:t>$0.00</w:t>
            </w:r>
          </w:p>
        </w:tc>
        <w:tc>
          <w:tcPr>
            <w:tcW w:w="641" w:type="dxa"/>
          </w:tcPr>
          <w:p>
            <w:pPr>
              <w:pStyle w:val="TableParagraph"/>
              <w:spacing w:before="47"/>
              <w:ind w:left="70" w:right="71"/>
              <w:rPr>
                <w:sz w:val="18"/>
              </w:rPr>
            </w:pPr>
            <w:r>
              <w:rPr>
                <w:sz w:val="18"/>
              </w:rPr>
              <w:t>$0.00</w:t>
            </w:r>
          </w:p>
        </w:tc>
        <w:tc>
          <w:tcPr>
            <w:tcW w:w="1644" w:type="dxa"/>
          </w:tcPr>
          <w:p>
            <w:pPr>
              <w:pStyle w:val="TableParagraph"/>
              <w:spacing w:before="47"/>
              <w:ind w:left="592"/>
              <w:jc w:val="left"/>
              <w:rPr>
                <w:sz w:val="18"/>
              </w:rPr>
            </w:pPr>
            <w:r>
              <w:rPr>
                <w:sz w:val="18"/>
              </w:rPr>
              <w:t>$0.00</w:t>
            </w:r>
          </w:p>
        </w:tc>
      </w:tr>
      <w:tr>
        <w:trPr>
          <w:trHeight w:val="310" w:hRule="exact"/>
        </w:trPr>
        <w:tc>
          <w:tcPr>
            <w:tcW w:w="3800" w:type="dxa"/>
          </w:tcPr>
          <w:p>
            <w:pPr>
              <w:pStyle w:val="TableParagraph"/>
              <w:spacing w:before="42"/>
              <w:ind w:left="64"/>
              <w:jc w:val="left"/>
              <w:rPr>
                <w:b/>
                <w:sz w:val="18"/>
              </w:rPr>
            </w:pPr>
            <w:r>
              <w:rPr>
                <w:b/>
                <w:sz w:val="18"/>
              </w:rPr>
              <w:t>TEZOYUCA</w:t>
            </w:r>
          </w:p>
        </w:tc>
        <w:tc>
          <w:tcPr>
            <w:tcW w:w="1645" w:type="dxa"/>
          </w:tcPr>
          <w:p>
            <w:pPr>
              <w:pStyle w:val="TableParagraph"/>
              <w:spacing w:before="47"/>
              <w:ind w:left="121" w:right="117"/>
              <w:rPr>
                <w:sz w:val="18"/>
              </w:rPr>
            </w:pPr>
            <w:r>
              <w:rPr>
                <w:sz w:val="18"/>
              </w:rPr>
              <w:t>$0.00</w:t>
            </w:r>
          </w:p>
        </w:tc>
        <w:tc>
          <w:tcPr>
            <w:tcW w:w="643" w:type="dxa"/>
          </w:tcPr>
          <w:p>
            <w:pPr>
              <w:pStyle w:val="TableParagraph"/>
              <w:spacing w:before="47"/>
              <w:ind w:left="71" w:right="70"/>
              <w:rPr>
                <w:sz w:val="18"/>
              </w:rPr>
            </w:pPr>
            <w:r>
              <w:rPr>
                <w:sz w:val="18"/>
              </w:rPr>
              <w:t>$0.00</w:t>
            </w:r>
          </w:p>
        </w:tc>
        <w:tc>
          <w:tcPr>
            <w:tcW w:w="641" w:type="dxa"/>
          </w:tcPr>
          <w:p>
            <w:pPr>
              <w:pStyle w:val="TableParagraph"/>
              <w:spacing w:before="47"/>
              <w:ind w:left="43" w:right="44"/>
              <w:rPr>
                <w:sz w:val="18"/>
              </w:rPr>
            </w:pPr>
            <w:r>
              <w:rPr>
                <w:sz w:val="18"/>
              </w:rPr>
              <w:t>$0.00</w:t>
            </w:r>
          </w:p>
        </w:tc>
        <w:tc>
          <w:tcPr>
            <w:tcW w:w="1644" w:type="dxa"/>
          </w:tcPr>
          <w:p>
            <w:pPr>
              <w:pStyle w:val="TableParagraph"/>
              <w:spacing w:before="47"/>
              <w:ind w:left="47" w:right="44"/>
              <w:rPr>
                <w:sz w:val="18"/>
              </w:rPr>
            </w:pPr>
            <w:r>
              <w:rPr>
                <w:sz w:val="18"/>
              </w:rPr>
              <w:t>$0.00</w:t>
            </w:r>
          </w:p>
        </w:tc>
        <w:tc>
          <w:tcPr>
            <w:tcW w:w="1644" w:type="dxa"/>
          </w:tcPr>
          <w:p>
            <w:pPr>
              <w:pStyle w:val="TableParagraph"/>
              <w:spacing w:before="47"/>
              <w:ind w:right="587"/>
              <w:jc w:val="right"/>
              <w:rPr>
                <w:sz w:val="18"/>
              </w:rPr>
            </w:pPr>
            <w:r>
              <w:rPr>
                <w:w w:val="95"/>
                <w:sz w:val="18"/>
              </w:rPr>
              <w:t>$0.00</w:t>
            </w:r>
          </w:p>
        </w:tc>
        <w:tc>
          <w:tcPr>
            <w:tcW w:w="643" w:type="dxa"/>
          </w:tcPr>
          <w:p>
            <w:pPr>
              <w:pStyle w:val="TableParagraph"/>
              <w:spacing w:before="47"/>
              <w:ind w:left="71" w:right="70"/>
              <w:rPr>
                <w:sz w:val="18"/>
              </w:rPr>
            </w:pPr>
            <w:r>
              <w:rPr>
                <w:sz w:val="18"/>
              </w:rPr>
              <w:t>$0.00</w:t>
            </w:r>
          </w:p>
        </w:tc>
        <w:tc>
          <w:tcPr>
            <w:tcW w:w="641" w:type="dxa"/>
          </w:tcPr>
          <w:p>
            <w:pPr>
              <w:pStyle w:val="TableParagraph"/>
              <w:spacing w:before="47"/>
              <w:ind w:left="70" w:right="71"/>
              <w:rPr>
                <w:sz w:val="18"/>
              </w:rPr>
            </w:pPr>
            <w:r>
              <w:rPr>
                <w:sz w:val="18"/>
              </w:rPr>
              <w:t>$0.00</w:t>
            </w:r>
          </w:p>
        </w:tc>
        <w:tc>
          <w:tcPr>
            <w:tcW w:w="1644" w:type="dxa"/>
          </w:tcPr>
          <w:p>
            <w:pPr>
              <w:pStyle w:val="TableParagraph"/>
              <w:spacing w:before="47"/>
              <w:ind w:left="592"/>
              <w:jc w:val="left"/>
              <w:rPr>
                <w:sz w:val="18"/>
              </w:rPr>
            </w:pPr>
            <w:r>
              <w:rPr>
                <w:sz w:val="18"/>
              </w:rPr>
              <w:t>$0.00</w:t>
            </w:r>
          </w:p>
        </w:tc>
      </w:tr>
      <w:tr>
        <w:trPr>
          <w:trHeight w:val="312" w:hRule="exact"/>
        </w:trPr>
        <w:tc>
          <w:tcPr>
            <w:tcW w:w="3800" w:type="dxa"/>
          </w:tcPr>
          <w:p>
            <w:pPr>
              <w:pStyle w:val="TableParagraph"/>
              <w:spacing w:before="42"/>
              <w:ind w:left="64"/>
              <w:jc w:val="left"/>
              <w:rPr>
                <w:b/>
                <w:sz w:val="18"/>
              </w:rPr>
            </w:pPr>
            <w:r>
              <w:rPr>
                <w:b/>
                <w:sz w:val="18"/>
              </w:rPr>
              <w:t>TIANGUISTENCO</w:t>
            </w:r>
          </w:p>
        </w:tc>
        <w:tc>
          <w:tcPr>
            <w:tcW w:w="1645" w:type="dxa"/>
          </w:tcPr>
          <w:p>
            <w:pPr>
              <w:pStyle w:val="TableParagraph"/>
              <w:spacing w:before="47"/>
              <w:ind w:left="121" w:right="116"/>
              <w:rPr>
                <w:sz w:val="18"/>
              </w:rPr>
            </w:pPr>
            <w:r>
              <w:rPr>
                <w:sz w:val="18"/>
              </w:rPr>
              <w:t>$0.00</w:t>
            </w:r>
          </w:p>
        </w:tc>
        <w:tc>
          <w:tcPr>
            <w:tcW w:w="643" w:type="dxa"/>
          </w:tcPr>
          <w:p>
            <w:pPr>
              <w:pStyle w:val="TableParagraph"/>
              <w:spacing w:before="47"/>
              <w:ind w:left="71" w:right="70"/>
              <w:rPr>
                <w:sz w:val="18"/>
              </w:rPr>
            </w:pPr>
            <w:r>
              <w:rPr>
                <w:sz w:val="18"/>
              </w:rPr>
              <w:t>$0.00</w:t>
            </w:r>
          </w:p>
        </w:tc>
        <w:tc>
          <w:tcPr>
            <w:tcW w:w="641" w:type="dxa"/>
          </w:tcPr>
          <w:p>
            <w:pPr>
              <w:pStyle w:val="TableParagraph"/>
              <w:spacing w:before="47"/>
              <w:ind w:left="43" w:right="44"/>
              <w:rPr>
                <w:sz w:val="18"/>
              </w:rPr>
            </w:pPr>
            <w:r>
              <w:rPr>
                <w:sz w:val="18"/>
              </w:rPr>
              <w:t>$0.00</w:t>
            </w:r>
          </w:p>
        </w:tc>
        <w:tc>
          <w:tcPr>
            <w:tcW w:w="1644" w:type="dxa"/>
          </w:tcPr>
          <w:p>
            <w:pPr>
              <w:pStyle w:val="TableParagraph"/>
              <w:spacing w:before="47"/>
              <w:ind w:left="47" w:right="44"/>
              <w:rPr>
                <w:sz w:val="18"/>
              </w:rPr>
            </w:pPr>
            <w:r>
              <w:rPr>
                <w:sz w:val="18"/>
              </w:rPr>
              <w:t>$0.00</w:t>
            </w:r>
          </w:p>
        </w:tc>
        <w:tc>
          <w:tcPr>
            <w:tcW w:w="1644" w:type="dxa"/>
          </w:tcPr>
          <w:p>
            <w:pPr>
              <w:pStyle w:val="TableParagraph"/>
              <w:spacing w:before="47"/>
              <w:ind w:right="587"/>
              <w:jc w:val="right"/>
              <w:rPr>
                <w:sz w:val="18"/>
              </w:rPr>
            </w:pPr>
            <w:r>
              <w:rPr>
                <w:w w:val="95"/>
                <w:sz w:val="18"/>
              </w:rPr>
              <w:t>$0.00</w:t>
            </w:r>
          </w:p>
        </w:tc>
        <w:tc>
          <w:tcPr>
            <w:tcW w:w="643" w:type="dxa"/>
          </w:tcPr>
          <w:p>
            <w:pPr>
              <w:pStyle w:val="TableParagraph"/>
              <w:spacing w:before="47"/>
              <w:ind w:left="71" w:right="70"/>
              <w:rPr>
                <w:sz w:val="18"/>
              </w:rPr>
            </w:pPr>
            <w:r>
              <w:rPr>
                <w:sz w:val="18"/>
              </w:rPr>
              <w:t>$0.00</w:t>
            </w:r>
          </w:p>
        </w:tc>
        <w:tc>
          <w:tcPr>
            <w:tcW w:w="641" w:type="dxa"/>
          </w:tcPr>
          <w:p>
            <w:pPr>
              <w:pStyle w:val="TableParagraph"/>
              <w:spacing w:before="47"/>
              <w:ind w:left="70" w:right="71"/>
              <w:rPr>
                <w:sz w:val="18"/>
              </w:rPr>
            </w:pPr>
            <w:r>
              <w:rPr>
                <w:sz w:val="18"/>
              </w:rPr>
              <w:t>$0.00</w:t>
            </w:r>
          </w:p>
        </w:tc>
        <w:tc>
          <w:tcPr>
            <w:tcW w:w="1644" w:type="dxa"/>
          </w:tcPr>
          <w:p>
            <w:pPr>
              <w:pStyle w:val="TableParagraph"/>
              <w:spacing w:before="47"/>
              <w:ind w:left="592"/>
              <w:jc w:val="left"/>
              <w:rPr>
                <w:sz w:val="18"/>
              </w:rPr>
            </w:pPr>
            <w:r>
              <w:rPr>
                <w:sz w:val="18"/>
              </w:rPr>
              <w:t>$0.00</w:t>
            </w:r>
          </w:p>
        </w:tc>
      </w:tr>
      <w:tr>
        <w:trPr>
          <w:trHeight w:val="310" w:hRule="exact"/>
        </w:trPr>
        <w:tc>
          <w:tcPr>
            <w:tcW w:w="3800" w:type="dxa"/>
          </w:tcPr>
          <w:p>
            <w:pPr>
              <w:pStyle w:val="TableParagraph"/>
              <w:spacing w:before="40"/>
              <w:ind w:left="64"/>
              <w:jc w:val="left"/>
              <w:rPr>
                <w:b/>
                <w:sz w:val="18"/>
              </w:rPr>
            </w:pPr>
            <w:r>
              <w:rPr>
                <w:b/>
                <w:sz w:val="18"/>
              </w:rPr>
              <w:t>TIMILPAN</w:t>
            </w:r>
          </w:p>
        </w:tc>
        <w:tc>
          <w:tcPr>
            <w:tcW w:w="1645" w:type="dxa"/>
          </w:tcPr>
          <w:p>
            <w:pPr>
              <w:pStyle w:val="TableParagraph"/>
              <w:spacing w:before="44"/>
              <w:ind w:left="121" w:right="117"/>
              <w:rPr>
                <w:sz w:val="18"/>
              </w:rPr>
            </w:pPr>
            <w:r>
              <w:rPr>
                <w:sz w:val="18"/>
              </w:rPr>
              <w:t>$0.00</w:t>
            </w:r>
          </w:p>
        </w:tc>
        <w:tc>
          <w:tcPr>
            <w:tcW w:w="643" w:type="dxa"/>
          </w:tcPr>
          <w:p>
            <w:pPr>
              <w:pStyle w:val="TableParagraph"/>
              <w:spacing w:before="44"/>
              <w:ind w:left="71" w:right="70"/>
              <w:rPr>
                <w:sz w:val="18"/>
              </w:rPr>
            </w:pPr>
            <w:r>
              <w:rPr>
                <w:sz w:val="18"/>
              </w:rPr>
              <w:t>$0.00</w:t>
            </w:r>
          </w:p>
        </w:tc>
        <w:tc>
          <w:tcPr>
            <w:tcW w:w="641" w:type="dxa"/>
          </w:tcPr>
          <w:p>
            <w:pPr>
              <w:pStyle w:val="TableParagraph"/>
              <w:spacing w:before="44"/>
              <w:ind w:left="43" w:right="44"/>
              <w:rPr>
                <w:sz w:val="18"/>
              </w:rPr>
            </w:pPr>
            <w:r>
              <w:rPr>
                <w:sz w:val="18"/>
              </w:rPr>
              <w:t>$0.00</w:t>
            </w:r>
          </w:p>
        </w:tc>
        <w:tc>
          <w:tcPr>
            <w:tcW w:w="1644" w:type="dxa"/>
          </w:tcPr>
          <w:p>
            <w:pPr>
              <w:pStyle w:val="TableParagraph"/>
              <w:spacing w:before="44"/>
              <w:ind w:left="47" w:right="44"/>
              <w:rPr>
                <w:sz w:val="18"/>
              </w:rPr>
            </w:pPr>
            <w:r>
              <w:rPr>
                <w:sz w:val="18"/>
              </w:rPr>
              <w:t>$0.00</w:t>
            </w:r>
          </w:p>
        </w:tc>
        <w:tc>
          <w:tcPr>
            <w:tcW w:w="1644" w:type="dxa"/>
          </w:tcPr>
          <w:p>
            <w:pPr>
              <w:pStyle w:val="TableParagraph"/>
              <w:spacing w:before="44"/>
              <w:ind w:right="587"/>
              <w:jc w:val="right"/>
              <w:rPr>
                <w:sz w:val="18"/>
              </w:rPr>
            </w:pPr>
            <w:r>
              <w:rPr>
                <w:w w:val="95"/>
                <w:sz w:val="18"/>
              </w:rPr>
              <w:t>$0.00</w:t>
            </w:r>
          </w:p>
        </w:tc>
        <w:tc>
          <w:tcPr>
            <w:tcW w:w="643" w:type="dxa"/>
          </w:tcPr>
          <w:p>
            <w:pPr>
              <w:pStyle w:val="TableParagraph"/>
              <w:spacing w:before="44"/>
              <w:ind w:left="71" w:right="70"/>
              <w:rPr>
                <w:sz w:val="18"/>
              </w:rPr>
            </w:pPr>
            <w:r>
              <w:rPr>
                <w:sz w:val="18"/>
              </w:rPr>
              <w:t>$0.00</w:t>
            </w:r>
          </w:p>
        </w:tc>
        <w:tc>
          <w:tcPr>
            <w:tcW w:w="641" w:type="dxa"/>
          </w:tcPr>
          <w:p>
            <w:pPr>
              <w:pStyle w:val="TableParagraph"/>
              <w:spacing w:before="44"/>
              <w:ind w:left="70" w:right="71"/>
              <w:rPr>
                <w:sz w:val="18"/>
              </w:rPr>
            </w:pPr>
            <w:r>
              <w:rPr>
                <w:sz w:val="18"/>
              </w:rPr>
              <w:t>$0.00</w:t>
            </w:r>
          </w:p>
        </w:tc>
        <w:tc>
          <w:tcPr>
            <w:tcW w:w="1644" w:type="dxa"/>
          </w:tcPr>
          <w:p>
            <w:pPr>
              <w:pStyle w:val="TableParagraph"/>
              <w:spacing w:before="44"/>
              <w:ind w:left="592"/>
              <w:jc w:val="left"/>
              <w:rPr>
                <w:sz w:val="18"/>
              </w:rPr>
            </w:pPr>
            <w:r>
              <w:rPr>
                <w:sz w:val="18"/>
              </w:rPr>
              <w:t>$0.00</w:t>
            </w:r>
          </w:p>
        </w:tc>
      </w:tr>
      <w:tr>
        <w:trPr>
          <w:trHeight w:val="310" w:hRule="exact"/>
        </w:trPr>
        <w:tc>
          <w:tcPr>
            <w:tcW w:w="3800" w:type="dxa"/>
          </w:tcPr>
          <w:p>
            <w:pPr>
              <w:pStyle w:val="TableParagraph"/>
              <w:spacing w:before="40"/>
              <w:ind w:left="64"/>
              <w:jc w:val="left"/>
              <w:rPr>
                <w:b/>
                <w:sz w:val="18"/>
              </w:rPr>
            </w:pPr>
            <w:r>
              <w:rPr>
                <w:b/>
                <w:sz w:val="18"/>
              </w:rPr>
              <w:t>TLALMANALCO</w:t>
            </w:r>
          </w:p>
        </w:tc>
        <w:tc>
          <w:tcPr>
            <w:tcW w:w="1645" w:type="dxa"/>
          </w:tcPr>
          <w:p>
            <w:pPr>
              <w:pStyle w:val="TableParagraph"/>
              <w:spacing w:before="44"/>
              <w:ind w:left="121" w:right="117"/>
              <w:rPr>
                <w:sz w:val="18"/>
              </w:rPr>
            </w:pPr>
            <w:r>
              <w:rPr>
                <w:sz w:val="18"/>
              </w:rPr>
              <w:t>$0.00</w:t>
            </w:r>
          </w:p>
        </w:tc>
        <w:tc>
          <w:tcPr>
            <w:tcW w:w="643" w:type="dxa"/>
          </w:tcPr>
          <w:p>
            <w:pPr>
              <w:pStyle w:val="TableParagraph"/>
              <w:spacing w:before="44"/>
              <w:ind w:left="71" w:right="70"/>
              <w:rPr>
                <w:sz w:val="18"/>
              </w:rPr>
            </w:pPr>
            <w:r>
              <w:rPr>
                <w:sz w:val="18"/>
              </w:rPr>
              <w:t>$0.00</w:t>
            </w:r>
          </w:p>
        </w:tc>
        <w:tc>
          <w:tcPr>
            <w:tcW w:w="641" w:type="dxa"/>
          </w:tcPr>
          <w:p>
            <w:pPr>
              <w:pStyle w:val="TableParagraph"/>
              <w:spacing w:before="44"/>
              <w:ind w:left="43" w:right="44"/>
              <w:rPr>
                <w:sz w:val="18"/>
              </w:rPr>
            </w:pPr>
            <w:r>
              <w:rPr>
                <w:sz w:val="18"/>
              </w:rPr>
              <w:t>$0.00</w:t>
            </w:r>
          </w:p>
        </w:tc>
        <w:tc>
          <w:tcPr>
            <w:tcW w:w="1644" w:type="dxa"/>
          </w:tcPr>
          <w:p>
            <w:pPr>
              <w:pStyle w:val="TableParagraph"/>
              <w:spacing w:before="44"/>
              <w:ind w:left="47" w:right="44"/>
              <w:rPr>
                <w:sz w:val="18"/>
              </w:rPr>
            </w:pPr>
            <w:r>
              <w:rPr>
                <w:sz w:val="18"/>
              </w:rPr>
              <w:t>$0.00</w:t>
            </w:r>
          </w:p>
        </w:tc>
        <w:tc>
          <w:tcPr>
            <w:tcW w:w="1644" w:type="dxa"/>
          </w:tcPr>
          <w:p>
            <w:pPr>
              <w:pStyle w:val="TableParagraph"/>
              <w:spacing w:before="44"/>
              <w:ind w:right="587"/>
              <w:jc w:val="right"/>
              <w:rPr>
                <w:sz w:val="18"/>
              </w:rPr>
            </w:pPr>
            <w:r>
              <w:rPr>
                <w:w w:val="95"/>
                <w:sz w:val="18"/>
              </w:rPr>
              <w:t>$0.00</w:t>
            </w:r>
          </w:p>
        </w:tc>
        <w:tc>
          <w:tcPr>
            <w:tcW w:w="643" w:type="dxa"/>
          </w:tcPr>
          <w:p>
            <w:pPr>
              <w:pStyle w:val="TableParagraph"/>
              <w:spacing w:before="44"/>
              <w:ind w:left="71" w:right="70"/>
              <w:rPr>
                <w:sz w:val="18"/>
              </w:rPr>
            </w:pPr>
            <w:r>
              <w:rPr>
                <w:sz w:val="18"/>
              </w:rPr>
              <w:t>$0.00</w:t>
            </w:r>
          </w:p>
        </w:tc>
        <w:tc>
          <w:tcPr>
            <w:tcW w:w="641" w:type="dxa"/>
          </w:tcPr>
          <w:p>
            <w:pPr>
              <w:pStyle w:val="TableParagraph"/>
              <w:spacing w:before="44"/>
              <w:ind w:left="70" w:right="71"/>
              <w:rPr>
                <w:sz w:val="18"/>
              </w:rPr>
            </w:pPr>
            <w:r>
              <w:rPr>
                <w:sz w:val="18"/>
              </w:rPr>
              <w:t>$0.00</w:t>
            </w:r>
          </w:p>
        </w:tc>
        <w:tc>
          <w:tcPr>
            <w:tcW w:w="1644" w:type="dxa"/>
          </w:tcPr>
          <w:p>
            <w:pPr>
              <w:pStyle w:val="TableParagraph"/>
              <w:spacing w:before="44"/>
              <w:ind w:left="592"/>
              <w:jc w:val="left"/>
              <w:rPr>
                <w:sz w:val="18"/>
              </w:rPr>
            </w:pPr>
            <w:r>
              <w:rPr>
                <w:sz w:val="18"/>
              </w:rPr>
              <w:t>$0.00</w:t>
            </w:r>
          </w:p>
        </w:tc>
      </w:tr>
    </w:tbl>
    <w:p>
      <w:pPr>
        <w:spacing w:after="0"/>
        <w:jc w:val="left"/>
        <w:rPr>
          <w:sz w:val="18"/>
        </w:rPr>
        <w:sectPr>
          <w:pgSz w:w="15840" w:h="12240" w:orient="landscape"/>
          <w:pgMar w:header="0" w:footer="975" w:top="1140" w:bottom="1160" w:left="820" w:right="1840"/>
        </w:sectPr>
      </w:pPr>
    </w:p>
    <w:p>
      <w:pPr>
        <w:pStyle w:val="BodyText"/>
        <w:rPr>
          <w:rFonts w:ascii="Times New Roman"/>
          <w:sz w:val="20"/>
        </w:rPr>
      </w:pPr>
    </w:p>
    <w:p>
      <w:pPr>
        <w:pStyle w:val="BodyText"/>
        <w:spacing w:before="10"/>
        <w:rPr>
          <w:rFonts w:ascii="Times New Roman"/>
          <w:sz w:val="28"/>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00"/>
        <w:gridCol w:w="1645"/>
        <w:gridCol w:w="643"/>
        <w:gridCol w:w="641"/>
        <w:gridCol w:w="1644"/>
        <w:gridCol w:w="1644"/>
        <w:gridCol w:w="643"/>
        <w:gridCol w:w="641"/>
        <w:gridCol w:w="1644"/>
      </w:tblGrid>
      <w:tr>
        <w:trPr>
          <w:trHeight w:val="420" w:hRule="exact"/>
        </w:trPr>
        <w:tc>
          <w:tcPr>
            <w:tcW w:w="12945" w:type="dxa"/>
            <w:gridSpan w:val="9"/>
            <w:shd w:val="clear" w:color="auto" w:fill="C5DFB3"/>
          </w:tcPr>
          <w:p>
            <w:pPr>
              <w:pStyle w:val="TableParagraph"/>
              <w:spacing w:before="44"/>
              <w:ind w:left="2861"/>
              <w:jc w:val="left"/>
              <w:rPr>
                <w:b/>
                <w:sz w:val="18"/>
              </w:rPr>
            </w:pPr>
            <w:r>
              <w:rPr>
                <w:b/>
                <w:sz w:val="18"/>
              </w:rPr>
              <w:t>Anexo 24. Municipios que publican apartado presupuesto 2006-2007 (Finaliza tabla))</w:t>
            </w:r>
          </w:p>
        </w:tc>
      </w:tr>
      <w:tr>
        <w:trPr>
          <w:trHeight w:val="319" w:hRule="exact"/>
        </w:trPr>
        <w:tc>
          <w:tcPr>
            <w:tcW w:w="3800"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2"/>
              <w:jc w:val="left"/>
              <w:rPr>
                <w:rFonts w:ascii="Times New Roman"/>
                <w:sz w:val="23"/>
              </w:rPr>
            </w:pPr>
          </w:p>
          <w:p>
            <w:pPr>
              <w:pStyle w:val="TableParagraph"/>
              <w:ind w:left="1455" w:right="1455"/>
              <w:rPr>
                <w:b/>
                <w:sz w:val="18"/>
              </w:rPr>
            </w:pPr>
            <w:r>
              <w:rPr>
                <w:b/>
                <w:sz w:val="18"/>
              </w:rPr>
              <w:t>Municipio</w:t>
            </w:r>
          </w:p>
        </w:tc>
        <w:tc>
          <w:tcPr>
            <w:tcW w:w="4573" w:type="dxa"/>
            <w:gridSpan w:val="4"/>
            <w:shd w:val="clear" w:color="auto" w:fill="C5DFB3"/>
          </w:tcPr>
          <w:p>
            <w:pPr>
              <w:pStyle w:val="TableParagraph"/>
              <w:spacing w:line="201" w:lineRule="exact"/>
              <w:ind w:left="2065" w:right="2058"/>
              <w:rPr>
                <w:b/>
                <w:sz w:val="18"/>
              </w:rPr>
            </w:pPr>
            <w:r>
              <w:rPr>
                <w:b/>
                <w:sz w:val="18"/>
              </w:rPr>
              <w:t>2006</w:t>
            </w:r>
          </w:p>
        </w:tc>
        <w:tc>
          <w:tcPr>
            <w:tcW w:w="4573" w:type="dxa"/>
            <w:gridSpan w:val="4"/>
            <w:shd w:val="clear" w:color="auto" w:fill="C5DFB3"/>
          </w:tcPr>
          <w:p>
            <w:pPr>
              <w:pStyle w:val="TableParagraph"/>
              <w:spacing w:line="201" w:lineRule="exact"/>
              <w:ind w:left="2064" w:right="2058"/>
              <w:rPr>
                <w:b/>
                <w:sz w:val="18"/>
              </w:rPr>
            </w:pPr>
            <w:r>
              <w:rPr>
                <w:b/>
                <w:sz w:val="18"/>
              </w:rPr>
              <w:t>2007</w:t>
            </w:r>
          </w:p>
        </w:tc>
      </w:tr>
      <w:tr>
        <w:trPr>
          <w:trHeight w:val="1375" w:hRule="exact"/>
        </w:trPr>
        <w:tc>
          <w:tcPr>
            <w:tcW w:w="3800" w:type="dxa"/>
            <w:vMerge/>
            <w:shd w:val="clear" w:color="auto" w:fill="C5DFB3"/>
          </w:tcPr>
          <w:p>
            <w:pPr/>
          </w:p>
        </w:tc>
        <w:tc>
          <w:tcPr>
            <w:tcW w:w="1645"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21"/>
              </w:rPr>
            </w:pPr>
          </w:p>
          <w:p>
            <w:pPr>
              <w:pStyle w:val="TableParagraph"/>
              <w:ind w:left="251"/>
              <w:jc w:val="left"/>
              <w:rPr>
                <w:sz w:val="18"/>
              </w:rPr>
            </w:pPr>
            <w:r>
              <w:rPr>
                <w:w w:val="99"/>
                <w:sz w:val="18"/>
              </w:rPr>
              <w:t>Au</w:t>
            </w:r>
            <w:r>
              <w:rPr>
                <w:w w:val="100"/>
                <w:sz w:val="18"/>
              </w:rPr>
              <w:t>to</w:t>
            </w:r>
            <w:r>
              <w:rPr>
                <w:w w:val="99"/>
                <w:sz w:val="18"/>
              </w:rPr>
              <w:t>r</w:t>
            </w:r>
            <w:r>
              <w:rPr>
                <w:spacing w:val="-2"/>
                <w:w w:val="99"/>
                <w:sz w:val="18"/>
              </w:rPr>
              <w:t>i</w:t>
            </w:r>
            <w:r>
              <w:rPr>
                <w:spacing w:val="1"/>
                <w:sz w:val="18"/>
              </w:rPr>
              <w:t>z</w:t>
            </w:r>
            <w:r>
              <w:rPr>
                <w:w w:val="99"/>
                <w:sz w:val="18"/>
              </w:rPr>
              <w:t>ado</w:t>
            </w:r>
          </w:p>
        </w:tc>
        <w:tc>
          <w:tcPr>
            <w:tcW w:w="643" w:type="dxa"/>
            <w:shd w:val="clear" w:color="auto" w:fill="C5DFB3"/>
            <w:textDirection w:val="btLr"/>
          </w:tcPr>
          <w:p>
            <w:pPr>
              <w:pStyle w:val="TableParagraph"/>
              <w:spacing w:before="157"/>
              <w:ind w:left="247"/>
              <w:jc w:val="left"/>
              <w:rPr>
                <w:sz w:val="18"/>
              </w:rPr>
            </w:pPr>
            <w:r>
              <w:rPr>
                <w:spacing w:val="1"/>
                <w:w w:val="99"/>
                <w:sz w:val="18"/>
              </w:rPr>
              <w:t>M</w:t>
            </w:r>
            <w:r>
              <w:rPr>
                <w:w w:val="99"/>
                <w:sz w:val="18"/>
              </w:rPr>
              <w:t>od</w:t>
            </w:r>
            <w:r>
              <w:rPr>
                <w:spacing w:val="-2"/>
                <w:w w:val="99"/>
                <w:sz w:val="18"/>
              </w:rPr>
              <w:t>i</w:t>
            </w:r>
            <w:r>
              <w:rPr>
                <w:sz w:val="18"/>
              </w:rPr>
              <w:t>f</w:t>
            </w:r>
            <w:r>
              <w:rPr>
                <w:spacing w:val="1"/>
                <w:sz w:val="18"/>
              </w:rPr>
              <w:t>i</w:t>
            </w:r>
            <w:r>
              <w:rPr>
                <w:spacing w:val="-2"/>
                <w:sz w:val="18"/>
              </w:rPr>
              <w:t>c</w:t>
            </w:r>
            <w:r>
              <w:rPr>
                <w:w w:val="99"/>
                <w:sz w:val="18"/>
              </w:rPr>
              <w:t>ado</w:t>
            </w:r>
          </w:p>
        </w:tc>
        <w:tc>
          <w:tcPr>
            <w:tcW w:w="641" w:type="dxa"/>
            <w:shd w:val="clear" w:color="auto" w:fill="C5DFB3"/>
            <w:textDirection w:val="btLr"/>
          </w:tcPr>
          <w:p>
            <w:pPr>
              <w:pStyle w:val="TableParagraph"/>
              <w:spacing w:before="155"/>
              <w:ind w:left="357"/>
              <w:jc w:val="left"/>
              <w:rPr>
                <w:sz w:val="18"/>
              </w:rPr>
            </w:pPr>
            <w:r>
              <w:rPr>
                <w:w w:val="99"/>
                <w:sz w:val="18"/>
              </w:rPr>
              <w:t>Eje</w:t>
            </w:r>
            <w:r>
              <w:rPr>
                <w:w w:val="99"/>
                <w:sz w:val="18"/>
              </w:rPr>
              <w:t>r</w:t>
            </w:r>
            <w:r>
              <w:rPr>
                <w:spacing w:val="1"/>
                <w:w w:val="99"/>
                <w:sz w:val="18"/>
              </w:rPr>
              <w:t>c</w:t>
            </w:r>
            <w:r>
              <w:rPr>
                <w:spacing w:val="-2"/>
                <w:w w:val="99"/>
                <w:sz w:val="18"/>
              </w:rPr>
              <w:t>i</w:t>
            </w:r>
            <w:r>
              <w:rPr>
                <w:w w:val="99"/>
                <w:sz w:val="18"/>
              </w:rPr>
              <w:t>do</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21"/>
              </w:rPr>
            </w:pPr>
          </w:p>
          <w:p>
            <w:pPr>
              <w:pStyle w:val="TableParagraph"/>
              <w:ind w:left="242"/>
              <w:jc w:val="left"/>
              <w:rPr>
                <w:sz w:val="18"/>
              </w:rPr>
            </w:pPr>
            <w:r>
              <w:rPr>
                <w:w w:val="99"/>
                <w:sz w:val="18"/>
              </w:rPr>
              <w:t>Po</w:t>
            </w:r>
            <w:r>
              <w:rPr>
                <w:w w:val="99"/>
                <w:sz w:val="18"/>
              </w:rPr>
              <w:t>r </w:t>
            </w:r>
            <w:r>
              <w:rPr>
                <w:w w:val="99"/>
                <w:sz w:val="18"/>
              </w:rPr>
              <w:t>e</w:t>
            </w:r>
            <w:r>
              <w:rPr>
                <w:w w:val="99"/>
                <w:sz w:val="18"/>
              </w:rPr>
              <w:t>j</w:t>
            </w:r>
            <w:r>
              <w:rPr>
                <w:w w:val="99"/>
                <w:sz w:val="18"/>
              </w:rPr>
              <w:t>e</w:t>
            </w:r>
            <w:r>
              <w:rPr>
                <w:spacing w:val="-3"/>
                <w:w w:val="99"/>
                <w:sz w:val="18"/>
              </w:rPr>
              <w:t>r</w:t>
            </w:r>
            <w:r>
              <w:rPr>
                <w:spacing w:val="1"/>
                <w:w w:val="99"/>
                <w:sz w:val="18"/>
              </w:rPr>
              <w:t>c</w:t>
            </w:r>
            <w:r>
              <w:rPr>
                <w:w w:val="99"/>
                <w:sz w:val="18"/>
              </w:rPr>
              <w:t>e</w:t>
            </w:r>
            <w:r>
              <w:rPr>
                <w:w w:val="99"/>
                <w:sz w:val="18"/>
              </w:rPr>
              <w:t>r</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21"/>
              </w:rPr>
            </w:pPr>
          </w:p>
          <w:p>
            <w:pPr>
              <w:pStyle w:val="TableParagraph"/>
              <w:ind w:left="251"/>
              <w:jc w:val="left"/>
              <w:rPr>
                <w:sz w:val="18"/>
              </w:rPr>
            </w:pPr>
            <w:r>
              <w:rPr>
                <w:w w:val="99"/>
                <w:sz w:val="18"/>
              </w:rPr>
              <w:t>Au</w:t>
            </w:r>
            <w:r>
              <w:rPr>
                <w:w w:val="100"/>
                <w:sz w:val="18"/>
              </w:rPr>
              <w:t>to</w:t>
            </w:r>
            <w:r>
              <w:rPr>
                <w:w w:val="99"/>
                <w:sz w:val="18"/>
              </w:rPr>
              <w:t>r</w:t>
            </w:r>
            <w:r>
              <w:rPr>
                <w:spacing w:val="-2"/>
                <w:w w:val="99"/>
                <w:sz w:val="18"/>
              </w:rPr>
              <w:t>i</w:t>
            </w:r>
            <w:r>
              <w:rPr>
                <w:spacing w:val="1"/>
                <w:sz w:val="18"/>
              </w:rPr>
              <w:t>z</w:t>
            </w:r>
            <w:r>
              <w:rPr>
                <w:w w:val="99"/>
                <w:sz w:val="18"/>
              </w:rPr>
              <w:t>ado</w:t>
            </w:r>
          </w:p>
        </w:tc>
        <w:tc>
          <w:tcPr>
            <w:tcW w:w="643" w:type="dxa"/>
            <w:shd w:val="clear" w:color="auto" w:fill="C5DFB3"/>
            <w:textDirection w:val="btLr"/>
          </w:tcPr>
          <w:p>
            <w:pPr>
              <w:pStyle w:val="TableParagraph"/>
              <w:spacing w:before="157"/>
              <w:ind w:left="247"/>
              <w:jc w:val="left"/>
              <w:rPr>
                <w:sz w:val="18"/>
              </w:rPr>
            </w:pPr>
            <w:r>
              <w:rPr>
                <w:spacing w:val="1"/>
                <w:w w:val="99"/>
                <w:sz w:val="18"/>
              </w:rPr>
              <w:t>M</w:t>
            </w:r>
            <w:r>
              <w:rPr>
                <w:w w:val="99"/>
                <w:sz w:val="18"/>
              </w:rPr>
              <w:t>od</w:t>
            </w:r>
            <w:r>
              <w:rPr>
                <w:spacing w:val="-2"/>
                <w:w w:val="99"/>
                <w:sz w:val="18"/>
              </w:rPr>
              <w:t>i</w:t>
            </w:r>
            <w:r>
              <w:rPr>
                <w:sz w:val="18"/>
              </w:rPr>
              <w:t>f</w:t>
            </w:r>
            <w:r>
              <w:rPr>
                <w:spacing w:val="1"/>
                <w:sz w:val="18"/>
              </w:rPr>
              <w:t>i</w:t>
            </w:r>
            <w:r>
              <w:rPr>
                <w:spacing w:val="-2"/>
                <w:sz w:val="18"/>
              </w:rPr>
              <w:t>c</w:t>
            </w:r>
            <w:r>
              <w:rPr>
                <w:w w:val="99"/>
                <w:sz w:val="18"/>
              </w:rPr>
              <w:t>ado</w:t>
            </w:r>
          </w:p>
        </w:tc>
        <w:tc>
          <w:tcPr>
            <w:tcW w:w="641" w:type="dxa"/>
            <w:shd w:val="clear" w:color="auto" w:fill="C5DFB3"/>
            <w:textDirection w:val="btLr"/>
          </w:tcPr>
          <w:p>
            <w:pPr>
              <w:pStyle w:val="TableParagraph"/>
              <w:spacing w:before="155"/>
              <w:ind w:left="357"/>
              <w:jc w:val="left"/>
              <w:rPr>
                <w:sz w:val="18"/>
              </w:rPr>
            </w:pPr>
            <w:r>
              <w:rPr>
                <w:w w:val="99"/>
                <w:sz w:val="18"/>
              </w:rPr>
              <w:t>Eje</w:t>
            </w:r>
            <w:r>
              <w:rPr>
                <w:w w:val="99"/>
                <w:sz w:val="18"/>
              </w:rPr>
              <w:t>r</w:t>
            </w:r>
            <w:r>
              <w:rPr>
                <w:spacing w:val="1"/>
                <w:w w:val="99"/>
                <w:sz w:val="18"/>
              </w:rPr>
              <w:t>c</w:t>
            </w:r>
            <w:r>
              <w:rPr>
                <w:spacing w:val="-2"/>
                <w:w w:val="99"/>
                <w:sz w:val="18"/>
              </w:rPr>
              <w:t>i</w:t>
            </w:r>
            <w:r>
              <w:rPr>
                <w:w w:val="99"/>
                <w:sz w:val="18"/>
              </w:rPr>
              <w:t>do</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21"/>
              </w:rPr>
            </w:pPr>
          </w:p>
          <w:p>
            <w:pPr>
              <w:pStyle w:val="TableParagraph"/>
              <w:ind w:left="242"/>
              <w:jc w:val="left"/>
              <w:rPr>
                <w:sz w:val="18"/>
              </w:rPr>
            </w:pPr>
            <w:r>
              <w:rPr>
                <w:w w:val="99"/>
                <w:sz w:val="18"/>
              </w:rPr>
              <w:t>Po</w:t>
            </w:r>
            <w:r>
              <w:rPr>
                <w:w w:val="99"/>
                <w:sz w:val="18"/>
              </w:rPr>
              <w:t>r </w:t>
            </w:r>
            <w:r>
              <w:rPr>
                <w:w w:val="99"/>
                <w:sz w:val="18"/>
              </w:rPr>
              <w:t>e</w:t>
            </w:r>
            <w:r>
              <w:rPr>
                <w:w w:val="99"/>
                <w:sz w:val="18"/>
              </w:rPr>
              <w:t>j</w:t>
            </w:r>
            <w:r>
              <w:rPr>
                <w:w w:val="99"/>
                <w:sz w:val="18"/>
              </w:rPr>
              <w:t>e</w:t>
            </w:r>
            <w:r>
              <w:rPr>
                <w:spacing w:val="-3"/>
                <w:w w:val="99"/>
                <w:sz w:val="18"/>
              </w:rPr>
              <w:t>r</w:t>
            </w:r>
            <w:r>
              <w:rPr>
                <w:spacing w:val="1"/>
                <w:w w:val="99"/>
                <w:sz w:val="18"/>
              </w:rPr>
              <w:t>c</w:t>
            </w:r>
            <w:r>
              <w:rPr>
                <w:w w:val="99"/>
                <w:sz w:val="18"/>
              </w:rPr>
              <w:t>e</w:t>
            </w:r>
            <w:r>
              <w:rPr>
                <w:w w:val="99"/>
                <w:sz w:val="18"/>
              </w:rPr>
              <w:t>r</w:t>
            </w:r>
          </w:p>
        </w:tc>
      </w:tr>
      <w:tr>
        <w:trPr>
          <w:trHeight w:val="322" w:hRule="exact"/>
        </w:trPr>
        <w:tc>
          <w:tcPr>
            <w:tcW w:w="3800" w:type="dxa"/>
          </w:tcPr>
          <w:p>
            <w:pPr>
              <w:pStyle w:val="TableParagraph"/>
              <w:spacing w:line="202" w:lineRule="exact"/>
              <w:ind w:left="64"/>
              <w:jc w:val="left"/>
              <w:rPr>
                <w:b/>
                <w:sz w:val="18"/>
              </w:rPr>
            </w:pPr>
            <w:r>
              <w:rPr>
                <w:b/>
                <w:color w:val="333333"/>
                <w:sz w:val="18"/>
              </w:rPr>
              <w:t>TLALNEPANTLA DE BAZ</w:t>
            </w:r>
          </w:p>
        </w:tc>
        <w:tc>
          <w:tcPr>
            <w:tcW w:w="1645" w:type="dxa"/>
          </w:tcPr>
          <w:p>
            <w:pPr>
              <w:pStyle w:val="TableParagraph"/>
              <w:spacing w:line="207" w:lineRule="exact"/>
              <w:ind w:left="121" w:right="117"/>
              <w:rPr>
                <w:sz w:val="18"/>
              </w:rPr>
            </w:pPr>
            <w:r>
              <w:rPr>
                <w:sz w:val="18"/>
              </w:rPr>
              <w:t>$0.00</w:t>
            </w:r>
          </w:p>
        </w:tc>
        <w:tc>
          <w:tcPr>
            <w:tcW w:w="643" w:type="dxa"/>
          </w:tcPr>
          <w:p>
            <w:pPr>
              <w:pStyle w:val="TableParagraph"/>
              <w:spacing w:line="207" w:lineRule="exact"/>
              <w:ind w:left="71" w:right="70"/>
              <w:rPr>
                <w:sz w:val="18"/>
              </w:rPr>
            </w:pPr>
            <w:r>
              <w:rPr>
                <w:sz w:val="18"/>
              </w:rPr>
              <w:t>$0.00</w:t>
            </w:r>
          </w:p>
        </w:tc>
        <w:tc>
          <w:tcPr>
            <w:tcW w:w="641" w:type="dxa"/>
          </w:tcPr>
          <w:p>
            <w:pPr>
              <w:pStyle w:val="TableParagraph"/>
              <w:spacing w:line="207" w:lineRule="exact"/>
              <w:ind w:left="43" w:right="44"/>
              <w:rPr>
                <w:sz w:val="18"/>
              </w:rPr>
            </w:pPr>
            <w:r>
              <w:rPr>
                <w:sz w:val="18"/>
              </w:rPr>
              <w:t>$0.00</w:t>
            </w:r>
          </w:p>
        </w:tc>
        <w:tc>
          <w:tcPr>
            <w:tcW w:w="1644" w:type="dxa"/>
          </w:tcPr>
          <w:p>
            <w:pPr>
              <w:pStyle w:val="TableParagraph"/>
              <w:spacing w:line="207" w:lineRule="exact"/>
              <w:ind w:left="47" w:right="44"/>
              <w:rPr>
                <w:sz w:val="18"/>
              </w:rPr>
            </w:pPr>
            <w:r>
              <w:rPr>
                <w:sz w:val="18"/>
              </w:rPr>
              <w:t>$0.00</w:t>
            </w:r>
          </w:p>
        </w:tc>
        <w:tc>
          <w:tcPr>
            <w:tcW w:w="1644" w:type="dxa"/>
          </w:tcPr>
          <w:p>
            <w:pPr>
              <w:pStyle w:val="TableParagraph"/>
              <w:spacing w:line="207" w:lineRule="exact"/>
              <w:ind w:left="46" w:right="43"/>
              <w:rPr>
                <w:sz w:val="18"/>
              </w:rPr>
            </w:pPr>
            <w:r>
              <w:rPr>
                <w:sz w:val="18"/>
              </w:rPr>
              <w:t>$0.00</w:t>
            </w:r>
          </w:p>
        </w:tc>
        <w:tc>
          <w:tcPr>
            <w:tcW w:w="643" w:type="dxa"/>
          </w:tcPr>
          <w:p>
            <w:pPr>
              <w:pStyle w:val="TableParagraph"/>
              <w:spacing w:line="207" w:lineRule="exact"/>
              <w:ind w:left="71" w:right="70"/>
              <w:rPr>
                <w:sz w:val="18"/>
              </w:rPr>
            </w:pPr>
            <w:r>
              <w:rPr>
                <w:sz w:val="18"/>
              </w:rPr>
              <w:t>$0.00</w:t>
            </w:r>
          </w:p>
        </w:tc>
        <w:tc>
          <w:tcPr>
            <w:tcW w:w="641" w:type="dxa"/>
          </w:tcPr>
          <w:p>
            <w:pPr>
              <w:pStyle w:val="TableParagraph"/>
              <w:spacing w:line="207" w:lineRule="exact"/>
              <w:ind w:left="70" w:right="71"/>
              <w:rPr>
                <w:sz w:val="18"/>
              </w:rPr>
            </w:pPr>
            <w:r>
              <w:rPr>
                <w:sz w:val="18"/>
              </w:rPr>
              <w:t>$0.00</w:t>
            </w:r>
          </w:p>
        </w:tc>
        <w:tc>
          <w:tcPr>
            <w:tcW w:w="1644" w:type="dxa"/>
          </w:tcPr>
          <w:p>
            <w:pPr>
              <w:pStyle w:val="TableParagraph"/>
              <w:spacing w:line="207" w:lineRule="exact"/>
              <w:ind w:left="46" w:right="43"/>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TLATLAYA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color w:val="333333"/>
                <w:sz w:val="18"/>
              </w:rPr>
              <w:t>TOLUCA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TONANITLA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color w:val="333333"/>
                <w:sz w:val="18"/>
              </w:rPr>
              <w:t>TONATICO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TULTEPEC</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22" w:hRule="exact"/>
        </w:trPr>
        <w:tc>
          <w:tcPr>
            <w:tcW w:w="3800" w:type="dxa"/>
          </w:tcPr>
          <w:p>
            <w:pPr>
              <w:pStyle w:val="TableParagraph"/>
              <w:spacing w:line="204" w:lineRule="exact"/>
              <w:ind w:left="64"/>
              <w:jc w:val="left"/>
              <w:rPr>
                <w:b/>
                <w:sz w:val="18"/>
              </w:rPr>
            </w:pPr>
            <w:r>
              <w:rPr>
                <w:b/>
                <w:color w:val="333333"/>
                <w:sz w:val="18"/>
              </w:rPr>
              <w:t>TULTITLAN</w:t>
            </w:r>
          </w:p>
        </w:tc>
        <w:tc>
          <w:tcPr>
            <w:tcW w:w="1645" w:type="dxa"/>
          </w:tcPr>
          <w:p>
            <w:pPr>
              <w:pStyle w:val="TableParagraph"/>
              <w:spacing w:before="1"/>
              <w:ind w:left="121" w:right="117"/>
              <w:rPr>
                <w:sz w:val="18"/>
              </w:rPr>
            </w:pPr>
            <w:r>
              <w:rPr>
                <w:sz w:val="18"/>
              </w:rPr>
              <w:t>$0.00</w:t>
            </w:r>
          </w:p>
        </w:tc>
        <w:tc>
          <w:tcPr>
            <w:tcW w:w="643" w:type="dxa"/>
          </w:tcPr>
          <w:p>
            <w:pPr>
              <w:pStyle w:val="TableParagraph"/>
              <w:spacing w:before="1"/>
              <w:ind w:left="71" w:right="70"/>
              <w:rPr>
                <w:sz w:val="18"/>
              </w:rPr>
            </w:pPr>
            <w:r>
              <w:rPr>
                <w:sz w:val="18"/>
              </w:rPr>
              <w:t>$0.00</w:t>
            </w:r>
          </w:p>
        </w:tc>
        <w:tc>
          <w:tcPr>
            <w:tcW w:w="641" w:type="dxa"/>
          </w:tcPr>
          <w:p>
            <w:pPr>
              <w:pStyle w:val="TableParagraph"/>
              <w:spacing w:before="1"/>
              <w:ind w:left="43" w:right="44"/>
              <w:rPr>
                <w:sz w:val="18"/>
              </w:rPr>
            </w:pPr>
            <w:r>
              <w:rPr>
                <w:sz w:val="18"/>
              </w:rPr>
              <w:t>$0.00</w:t>
            </w:r>
          </w:p>
        </w:tc>
        <w:tc>
          <w:tcPr>
            <w:tcW w:w="1644" w:type="dxa"/>
          </w:tcPr>
          <w:p>
            <w:pPr>
              <w:pStyle w:val="TableParagraph"/>
              <w:spacing w:before="1"/>
              <w:ind w:left="47" w:right="44"/>
              <w:rPr>
                <w:sz w:val="18"/>
              </w:rPr>
            </w:pPr>
            <w:r>
              <w:rPr>
                <w:sz w:val="18"/>
              </w:rPr>
              <w:t>$0.00</w:t>
            </w:r>
          </w:p>
        </w:tc>
        <w:tc>
          <w:tcPr>
            <w:tcW w:w="1644" w:type="dxa"/>
          </w:tcPr>
          <w:p>
            <w:pPr>
              <w:pStyle w:val="TableParagraph"/>
              <w:spacing w:before="1"/>
              <w:ind w:left="46" w:right="43"/>
              <w:rPr>
                <w:sz w:val="18"/>
              </w:rPr>
            </w:pPr>
            <w:r>
              <w:rPr>
                <w:sz w:val="18"/>
              </w:rPr>
              <w:t>$0.00</w:t>
            </w:r>
          </w:p>
        </w:tc>
        <w:tc>
          <w:tcPr>
            <w:tcW w:w="643" w:type="dxa"/>
          </w:tcPr>
          <w:p>
            <w:pPr>
              <w:pStyle w:val="TableParagraph"/>
              <w:spacing w:before="1"/>
              <w:ind w:left="71" w:right="70"/>
              <w:rPr>
                <w:sz w:val="18"/>
              </w:rPr>
            </w:pPr>
            <w:r>
              <w:rPr>
                <w:sz w:val="18"/>
              </w:rPr>
              <w:t>$0.00</w:t>
            </w:r>
          </w:p>
        </w:tc>
        <w:tc>
          <w:tcPr>
            <w:tcW w:w="641" w:type="dxa"/>
          </w:tcPr>
          <w:p>
            <w:pPr>
              <w:pStyle w:val="TableParagraph"/>
              <w:spacing w:before="1"/>
              <w:ind w:left="70" w:right="71"/>
              <w:rPr>
                <w:sz w:val="18"/>
              </w:rPr>
            </w:pPr>
            <w:r>
              <w:rPr>
                <w:sz w:val="18"/>
              </w:rPr>
              <w:t>$0.00</w:t>
            </w:r>
          </w:p>
        </w:tc>
        <w:tc>
          <w:tcPr>
            <w:tcW w:w="1644" w:type="dxa"/>
          </w:tcPr>
          <w:p>
            <w:pPr>
              <w:pStyle w:val="TableParagraph"/>
              <w:spacing w:before="1"/>
              <w:ind w:left="46" w:right="43"/>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VALLE DE BRAVO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22" w:hRule="exact"/>
        </w:trPr>
        <w:tc>
          <w:tcPr>
            <w:tcW w:w="3800" w:type="dxa"/>
          </w:tcPr>
          <w:p>
            <w:pPr>
              <w:pStyle w:val="TableParagraph"/>
              <w:spacing w:line="204" w:lineRule="exact"/>
              <w:ind w:left="64"/>
              <w:jc w:val="left"/>
              <w:rPr>
                <w:b/>
                <w:sz w:val="18"/>
              </w:rPr>
            </w:pPr>
            <w:r>
              <w:rPr>
                <w:b/>
                <w:color w:val="333333"/>
                <w:sz w:val="18"/>
              </w:rPr>
              <w:t>VALLE DE CHALCO SOLIDARIDAD</w:t>
            </w:r>
          </w:p>
        </w:tc>
        <w:tc>
          <w:tcPr>
            <w:tcW w:w="1645" w:type="dxa"/>
          </w:tcPr>
          <w:p>
            <w:pPr>
              <w:pStyle w:val="TableParagraph"/>
              <w:spacing w:before="1"/>
              <w:ind w:left="121" w:right="117"/>
              <w:rPr>
                <w:sz w:val="18"/>
              </w:rPr>
            </w:pPr>
            <w:r>
              <w:rPr>
                <w:sz w:val="18"/>
              </w:rPr>
              <w:t>$0.00</w:t>
            </w:r>
          </w:p>
        </w:tc>
        <w:tc>
          <w:tcPr>
            <w:tcW w:w="643" w:type="dxa"/>
          </w:tcPr>
          <w:p>
            <w:pPr>
              <w:pStyle w:val="TableParagraph"/>
              <w:spacing w:before="1"/>
              <w:ind w:left="71" w:right="70"/>
              <w:rPr>
                <w:sz w:val="18"/>
              </w:rPr>
            </w:pPr>
            <w:r>
              <w:rPr>
                <w:sz w:val="18"/>
              </w:rPr>
              <w:t>$0.00</w:t>
            </w:r>
          </w:p>
        </w:tc>
        <w:tc>
          <w:tcPr>
            <w:tcW w:w="641" w:type="dxa"/>
          </w:tcPr>
          <w:p>
            <w:pPr>
              <w:pStyle w:val="TableParagraph"/>
              <w:spacing w:before="1"/>
              <w:ind w:left="43" w:right="44"/>
              <w:rPr>
                <w:sz w:val="18"/>
              </w:rPr>
            </w:pPr>
            <w:r>
              <w:rPr>
                <w:sz w:val="18"/>
              </w:rPr>
              <w:t>$0.00</w:t>
            </w:r>
          </w:p>
        </w:tc>
        <w:tc>
          <w:tcPr>
            <w:tcW w:w="1644" w:type="dxa"/>
          </w:tcPr>
          <w:p>
            <w:pPr>
              <w:pStyle w:val="TableParagraph"/>
              <w:spacing w:before="1"/>
              <w:ind w:left="47" w:right="44"/>
              <w:rPr>
                <w:sz w:val="18"/>
              </w:rPr>
            </w:pPr>
            <w:r>
              <w:rPr>
                <w:sz w:val="18"/>
              </w:rPr>
              <w:t>$0.00</w:t>
            </w:r>
          </w:p>
        </w:tc>
        <w:tc>
          <w:tcPr>
            <w:tcW w:w="1644" w:type="dxa"/>
          </w:tcPr>
          <w:p>
            <w:pPr>
              <w:pStyle w:val="TableParagraph"/>
              <w:spacing w:before="1"/>
              <w:ind w:left="46" w:right="43"/>
              <w:rPr>
                <w:sz w:val="18"/>
              </w:rPr>
            </w:pPr>
            <w:r>
              <w:rPr>
                <w:sz w:val="18"/>
              </w:rPr>
              <w:t>$0.00</w:t>
            </w:r>
          </w:p>
        </w:tc>
        <w:tc>
          <w:tcPr>
            <w:tcW w:w="643" w:type="dxa"/>
          </w:tcPr>
          <w:p>
            <w:pPr>
              <w:pStyle w:val="TableParagraph"/>
              <w:spacing w:before="1"/>
              <w:ind w:left="71" w:right="70"/>
              <w:rPr>
                <w:sz w:val="18"/>
              </w:rPr>
            </w:pPr>
            <w:r>
              <w:rPr>
                <w:sz w:val="18"/>
              </w:rPr>
              <w:t>$0.00</w:t>
            </w:r>
          </w:p>
        </w:tc>
        <w:tc>
          <w:tcPr>
            <w:tcW w:w="641" w:type="dxa"/>
          </w:tcPr>
          <w:p>
            <w:pPr>
              <w:pStyle w:val="TableParagraph"/>
              <w:spacing w:before="1"/>
              <w:ind w:left="70" w:right="71"/>
              <w:rPr>
                <w:sz w:val="18"/>
              </w:rPr>
            </w:pPr>
            <w:r>
              <w:rPr>
                <w:sz w:val="18"/>
              </w:rPr>
              <w:t>$0.00</w:t>
            </w:r>
          </w:p>
        </w:tc>
        <w:tc>
          <w:tcPr>
            <w:tcW w:w="1644" w:type="dxa"/>
          </w:tcPr>
          <w:p>
            <w:pPr>
              <w:pStyle w:val="TableParagraph"/>
              <w:spacing w:before="1"/>
              <w:ind w:left="46" w:right="43"/>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color w:val="333333"/>
                <w:sz w:val="18"/>
              </w:rPr>
              <w:t>VILLA DE ALLENDE</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VILLA DEL CARBON</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color w:val="333333"/>
                <w:sz w:val="18"/>
              </w:rPr>
              <w:t>VILLA GUERRERO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VILLA VICTORIA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color w:val="333333"/>
                <w:sz w:val="18"/>
              </w:rPr>
              <w:t>XALATLACO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XONACATLAN</w:t>
            </w:r>
          </w:p>
        </w:tc>
        <w:tc>
          <w:tcPr>
            <w:tcW w:w="1645" w:type="dxa"/>
          </w:tcPr>
          <w:p>
            <w:pPr>
              <w:pStyle w:val="TableParagraph"/>
              <w:spacing w:line="206" w:lineRule="exact"/>
              <w:ind w:left="121" w:right="119"/>
              <w:rPr>
                <w:sz w:val="18"/>
              </w:rPr>
            </w:pPr>
            <w:r>
              <w:rPr>
                <w:sz w:val="18"/>
              </w:rPr>
              <w:t>$3,292,691.18</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$3,292,691.18</w:t>
            </w:r>
          </w:p>
        </w:tc>
        <w:tc>
          <w:tcPr>
            <w:tcW w:w="1644" w:type="dxa"/>
          </w:tcPr>
          <w:p>
            <w:pPr>
              <w:pStyle w:val="TableParagraph"/>
              <w:spacing w:line="206" w:lineRule="exact"/>
              <w:ind w:left="46" w:right="44"/>
              <w:rPr>
                <w:sz w:val="18"/>
              </w:rPr>
            </w:pPr>
            <w:r>
              <w:rPr>
                <w:sz w:val="18"/>
              </w:rPr>
              <w:t>$3,282,416.09</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4"/>
              <w:rPr>
                <w:sz w:val="18"/>
              </w:rPr>
            </w:pPr>
            <w:r>
              <w:rPr>
                <w:sz w:val="18"/>
              </w:rPr>
              <w:t>$3,282,416.09</w:t>
            </w:r>
          </w:p>
        </w:tc>
      </w:tr>
      <w:tr>
        <w:trPr>
          <w:trHeight w:val="322" w:hRule="exact"/>
        </w:trPr>
        <w:tc>
          <w:tcPr>
            <w:tcW w:w="3800" w:type="dxa"/>
          </w:tcPr>
          <w:p>
            <w:pPr>
              <w:pStyle w:val="TableParagraph"/>
              <w:spacing w:line="201" w:lineRule="exact"/>
              <w:ind w:left="64"/>
              <w:jc w:val="left"/>
              <w:rPr>
                <w:b/>
                <w:sz w:val="18"/>
              </w:rPr>
            </w:pPr>
            <w:r>
              <w:rPr>
                <w:b/>
                <w:color w:val="333333"/>
                <w:sz w:val="18"/>
              </w:rPr>
              <w:t>ZACAZONAPAN</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ZACUALPAN</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22" w:hRule="exact"/>
        </w:trPr>
        <w:tc>
          <w:tcPr>
            <w:tcW w:w="3800" w:type="dxa"/>
          </w:tcPr>
          <w:p>
            <w:pPr>
              <w:pStyle w:val="TableParagraph"/>
              <w:spacing w:line="202" w:lineRule="exact"/>
              <w:ind w:left="64"/>
              <w:jc w:val="left"/>
              <w:rPr>
                <w:b/>
                <w:sz w:val="18"/>
              </w:rPr>
            </w:pPr>
            <w:r>
              <w:rPr>
                <w:b/>
                <w:color w:val="333333"/>
                <w:sz w:val="18"/>
              </w:rPr>
              <w:t>ZINACANTEPEC</w:t>
            </w:r>
          </w:p>
        </w:tc>
        <w:tc>
          <w:tcPr>
            <w:tcW w:w="1645" w:type="dxa"/>
          </w:tcPr>
          <w:p>
            <w:pPr>
              <w:pStyle w:val="TableParagraph"/>
              <w:spacing w:line="207" w:lineRule="exact"/>
              <w:ind w:left="121" w:right="117"/>
              <w:rPr>
                <w:sz w:val="18"/>
              </w:rPr>
            </w:pPr>
            <w:r>
              <w:rPr>
                <w:sz w:val="18"/>
              </w:rPr>
              <w:t>$0.00</w:t>
            </w:r>
          </w:p>
        </w:tc>
        <w:tc>
          <w:tcPr>
            <w:tcW w:w="643" w:type="dxa"/>
          </w:tcPr>
          <w:p>
            <w:pPr>
              <w:pStyle w:val="TableParagraph"/>
              <w:spacing w:line="207" w:lineRule="exact"/>
              <w:ind w:left="71" w:right="70"/>
              <w:rPr>
                <w:sz w:val="18"/>
              </w:rPr>
            </w:pPr>
            <w:r>
              <w:rPr>
                <w:sz w:val="18"/>
              </w:rPr>
              <w:t>$0.00</w:t>
            </w:r>
          </w:p>
        </w:tc>
        <w:tc>
          <w:tcPr>
            <w:tcW w:w="641" w:type="dxa"/>
          </w:tcPr>
          <w:p>
            <w:pPr>
              <w:pStyle w:val="TableParagraph"/>
              <w:spacing w:line="207" w:lineRule="exact"/>
              <w:ind w:left="43" w:right="44"/>
              <w:rPr>
                <w:sz w:val="18"/>
              </w:rPr>
            </w:pPr>
            <w:r>
              <w:rPr>
                <w:sz w:val="18"/>
              </w:rPr>
              <w:t>$0.00</w:t>
            </w:r>
          </w:p>
        </w:tc>
        <w:tc>
          <w:tcPr>
            <w:tcW w:w="1644" w:type="dxa"/>
          </w:tcPr>
          <w:p>
            <w:pPr>
              <w:pStyle w:val="TableParagraph"/>
              <w:spacing w:line="207" w:lineRule="exact"/>
              <w:ind w:left="47" w:right="44"/>
              <w:rPr>
                <w:sz w:val="18"/>
              </w:rPr>
            </w:pPr>
            <w:r>
              <w:rPr>
                <w:sz w:val="18"/>
              </w:rPr>
              <w:t>$0.00</w:t>
            </w:r>
          </w:p>
        </w:tc>
        <w:tc>
          <w:tcPr>
            <w:tcW w:w="1644" w:type="dxa"/>
          </w:tcPr>
          <w:p>
            <w:pPr>
              <w:pStyle w:val="TableParagraph"/>
              <w:spacing w:line="207" w:lineRule="exact"/>
              <w:ind w:left="46" w:right="43"/>
              <w:rPr>
                <w:sz w:val="18"/>
              </w:rPr>
            </w:pPr>
            <w:r>
              <w:rPr>
                <w:sz w:val="18"/>
              </w:rPr>
              <w:t>$0.00</w:t>
            </w:r>
          </w:p>
        </w:tc>
        <w:tc>
          <w:tcPr>
            <w:tcW w:w="643" w:type="dxa"/>
          </w:tcPr>
          <w:p>
            <w:pPr>
              <w:pStyle w:val="TableParagraph"/>
              <w:spacing w:line="207" w:lineRule="exact"/>
              <w:ind w:left="71" w:right="70"/>
              <w:rPr>
                <w:sz w:val="18"/>
              </w:rPr>
            </w:pPr>
            <w:r>
              <w:rPr>
                <w:sz w:val="18"/>
              </w:rPr>
              <w:t>$0.00</w:t>
            </w:r>
          </w:p>
        </w:tc>
        <w:tc>
          <w:tcPr>
            <w:tcW w:w="641" w:type="dxa"/>
          </w:tcPr>
          <w:p>
            <w:pPr>
              <w:pStyle w:val="TableParagraph"/>
              <w:spacing w:line="207" w:lineRule="exact"/>
              <w:ind w:left="70" w:right="71"/>
              <w:rPr>
                <w:sz w:val="18"/>
              </w:rPr>
            </w:pPr>
            <w:r>
              <w:rPr>
                <w:sz w:val="18"/>
              </w:rPr>
              <w:t>$0.00</w:t>
            </w:r>
          </w:p>
        </w:tc>
        <w:tc>
          <w:tcPr>
            <w:tcW w:w="1644" w:type="dxa"/>
          </w:tcPr>
          <w:p>
            <w:pPr>
              <w:pStyle w:val="TableParagraph"/>
              <w:spacing w:line="207" w:lineRule="exact"/>
              <w:ind w:left="46" w:right="43"/>
              <w:rPr>
                <w:sz w:val="18"/>
              </w:rPr>
            </w:pPr>
            <w:r>
              <w:rPr>
                <w:sz w:val="18"/>
              </w:rPr>
              <w:t>$0.00</w:t>
            </w:r>
          </w:p>
        </w:tc>
      </w:tr>
      <w:tr>
        <w:trPr>
          <w:trHeight w:val="319" w:hRule="exact"/>
        </w:trPr>
        <w:tc>
          <w:tcPr>
            <w:tcW w:w="3800" w:type="dxa"/>
          </w:tcPr>
          <w:p>
            <w:pPr>
              <w:pStyle w:val="TableParagraph"/>
              <w:spacing w:line="201" w:lineRule="exact"/>
              <w:ind w:left="64"/>
              <w:jc w:val="left"/>
              <w:rPr>
                <w:b/>
                <w:sz w:val="18"/>
              </w:rPr>
            </w:pPr>
            <w:r>
              <w:rPr>
                <w:b/>
                <w:color w:val="333333"/>
                <w:sz w:val="18"/>
              </w:rPr>
              <w:t>ZUMPAHUACAN</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4"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r>
        <w:trPr>
          <w:trHeight w:val="322" w:hRule="exact"/>
        </w:trPr>
        <w:tc>
          <w:tcPr>
            <w:tcW w:w="3800" w:type="dxa"/>
          </w:tcPr>
          <w:p>
            <w:pPr>
              <w:pStyle w:val="TableParagraph"/>
              <w:spacing w:line="201" w:lineRule="exact"/>
              <w:ind w:left="64"/>
              <w:jc w:val="left"/>
              <w:rPr>
                <w:b/>
                <w:sz w:val="18"/>
              </w:rPr>
            </w:pPr>
            <w:r>
              <w:rPr>
                <w:b/>
                <w:color w:val="333333"/>
                <w:sz w:val="18"/>
              </w:rPr>
              <w:t>ZUMPANGO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43" w:right="44"/>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44" w:type="dxa"/>
          </w:tcPr>
          <w:p>
            <w:pPr>
              <w:pStyle w:val="TableParagraph"/>
              <w:spacing w:line="206" w:lineRule="exact"/>
              <w:ind w:left="46" w:right="43"/>
              <w:rPr>
                <w:sz w:val="18"/>
              </w:rPr>
            </w:pPr>
            <w:r>
              <w:rPr>
                <w:sz w:val="18"/>
              </w:rPr>
              <w:t>$0.00</w:t>
            </w:r>
          </w:p>
        </w:tc>
        <w:tc>
          <w:tcPr>
            <w:tcW w:w="643" w:type="dxa"/>
          </w:tcPr>
          <w:p>
            <w:pPr>
              <w:pStyle w:val="TableParagraph"/>
              <w:spacing w:line="206" w:lineRule="exact"/>
              <w:ind w:left="71" w:right="70"/>
              <w:rPr>
                <w:sz w:val="18"/>
              </w:rPr>
            </w:pPr>
            <w:r>
              <w:rPr>
                <w:sz w:val="18"/>
              </w:rPr>
              <w:t>$0.00</w:t>
            </w:r>
          </w:p>
        </w:tc>
        <w:tc>
          <w:tcPr>
            <w:tcW w:w="641" w:type="dxa"/>
          </w:tcPr>
          <w:p>
            <w:pPr>
              <w:pStyle w:val="TableParagraph"/>
              <w:spacing w:line="206" w:lineRule="exact"/>
              <w:ind w:left="70" w:right="71"/>
              <w:rPr>
                <w:sz w:val="18"/>
              </w:rPr>
            </w:pPr>
            <w:r>
              <w:rPr>
                <w:sz w:val="18"/>
              </w:rPr>
              <w:t>$0.00</w:t>
            </w:r>
          </w:p>
        </w:tc>
        <w:tc>
          <w:tcPr>
            <w:tcW w:w="1644" w:type="dxa"/>
          </w:tcPr>
          <w:p>
            <w:pPr>
              <w:pStyle w:val="TableParagraph"/>
              <w:spacing w:line="206" w:lineRule="exact"/>
              <w:ind w:left="46" w:right="43"/>
              <w:rPr>
                <w:sz w:val="18"/>
              </w:rPr>
            </w:pPr>
            <w:r>
              <w:rPr>
                <w:sz w:val="18"/>
              </w:rPr>
              <w:t>$0.00</w:t>
            </w:r>
          </w:p>
        </w:tc>
      </w:tr>
    </w:tbl>
    <w:p>
      <w:pPr>
        <w:spacing w:line="206" w:lineRule="exact" w:before="0"/>
        <w:ind w:left="187" w:right="0" w:firstLine="0"/>
        <w:jc w:val="left"/>
        <w:rPr>
          <w:sz w:val="18"/>
        </w:rPr>
      </w:pPr>
      <w:r>
        <w:rPr>
          <w:sz w:val="18"/>
        </w:rPr>
        <w:t>Fuente: Elaboración propia con datos del INFOEM.</w:t>
      </w:r>
    </w:p>
    <w:p>
      <w:pPr>
        <w:spacing w:after="0" w:line="206" w:lineRule="exact"/>
        <w:jc w:val="left"/>
        <w:rPr>
          <w:sz w:val="18"/>
        </w:rPr>
        <w:sectPr>
          <w:pgSz w:w="15840" w:h="12240" w:orient="landscape"/>
          <w:pgMar w:header="0" w:footer="975" w:top="1140" w:bottom="1160" w:left="820" w:right="1840"/>
        </w:sectPr>
      </w:pPr>
    </w:p>
    <w:p>
      <w:pPr>
        <w:pStyle w:val="BodyText"/>
        <w:rPr>
          <w:rFonts w:ascii="Times New Roman"/>
          <w:sz w:val="20"/>
        </w:rPr>
      </w:pPr>
    </w:p>
    <w:p>
      <w:pPr>
        <w:pStyle w:val="BodyText"/>
        <w:spacing w:before="10"/>
        <w:rPr>
          <w:rFonts w:ascii="Times New Roman"/>
          <w:sz w:val="28"/>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88"/>
        <w:gridCol w:w="1645"/>
        <w:gridCol w:w="643"/>
        <w:gridCol w:w="670"/>
        <w:gridCol w:w="1644"/>
        <w:gridCol w:w="1644"/>
        <w:gridCol w:w="643"/>
        <w:gridCol w:w="1645"/>
        <w:gridCol w:w="1644"/>
      </w:tblGrid>
      <w:tr>
        <w:trPr>
          <w:trHeight w:val="430" w:hRule="exact"/>
        </w:trPr>
        <w:tc>
          <w:tcPr>
            <w:tcW w:w="13965" w:type="dxa"/>
            <w:gridSpan w:val="9"/>
            <w:shd w:val="clear" w:color="auto" w:fill="C5DFB3"/>
          </w:tcPr>
          <w:p>
            <w:pPr>
              <w:pStyle w:val="TableParagraph"/>
              <w:spacing w:before="49"/>
              <w:ind w:left="3984"/>
              <w:jc w:val="left"/>
              <w:rPr>
                <w:b/>
                <w:sz w:val="18"/>
              </w:rPr>
            </w:pPr>
            <w:r>
              <w:rPr>
                <w:b/>
                <w:sz w:val="18"/>
              </w:rPr>
              <w:t>Anexo 24A. Municipios que publican apartado presupuesto 2008-2009</w:t>
            </w:r>
          </w:p>
        </w:tc>
      </w:tr>
      <w:tr>
        <w:trPr>
          <w:trHeight w:val="320" w:hRule="exact"/>
        </w:trPr>
        <w:tc>
          <w:tcPr>
            <w:tcW w:w="3788"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23"/>
              </w:rPr>
            </w:pPr>
          </w:p>
          <w:p>
            <w:pPr>
              <w:pStyle w:val="TableParagraph"/>
              <w:ind w:left="1449" w:right="1448"/>
              <w:rPr>
                <w:b/>
                <w:sz w:val="18"/>
              </w:rPr>
            </w:pPr>
            <w:r>
              <w:rPr>
                <w:b/>
                <w:sz w:val="18"/>
              </w:rPr>
              <w:t>Municipio</w:t>
            </w:r>
          </w:p>
        </w:tc>
        <w:tc>
          <w:tcPr>
            <w:tcW w:w="4602" w:type="dxa"/>
            <w:gridSpan w:val="4"/>
            <w:shd w:val="clear" w:color="auto" w:fill="C5DFB3"/>
          </w:tcPr>
          <w:p>
            <w:pPr>
              <w:pStyle w:val="TableParagraph"/>
              <w:spacing w:line="201" w:lineRule="exact"/>
              <w:ind w:left="2076" w:right="2074"/>
              <w:rPr>
                <w:b/>
                <w:sz w:val="18"/>
              </w:rPr>
            </w:pPr>
            <w:r>
              <w:rPr>
                <w:b/>
                <w:sz w:val="18"/>
              </w:rPr>
              <w:t>2008</w:t>
            </w:r>
          </w:p>
        </w:tc>
        <w:tc>
          <w:tcPr>
            <w:tcW w:w="5576" w:type="dxa"/>
            <w:gridSpan w:val="4"/>
            <w:shd w:val="clear" w:color="auto" w:fill="C5DFB3"/>
          </w:tcPr>
          <w:p>
            <w:pPr>
              <w:pStyle w:val="TableParagraph"/>
              <w:spacing w:line="201" w:lineRule="exact"/>
              <w:ind w:left="2562" w:right="2563"/>
              <w:rPr>
                <w:b/>
                <w:sz w:val="18"/>
              </w:rPr>
            </w:pPr>
            <w:r>
              <w:rPr>
                <w:b/>
                <w:sz w:val="18"/>
              </w:rPr>
              <w:t>2009</w:t>
            </w:r>
          </w:p>
        </w:tc>
      </w:tr>
      <w:tr>
        <w:trPr>
          <w:trHeight w:val="1374" w:hRule="exact"/>
        </w:trPr>
        <w:tc>
          <w:tcPr>
            <w:tcW w:w="3788" w:type="dxa"/>
            <w:vMerge/>
            <w:shd w:val="clear" w:color="auto" w:fill="C5DFB3"/>
          </w:tcPr>
          <w:p>
            <w:pPr/>
          </w:p>
        </w:tc>
        <w:tc>
          <w:tcPr>
            <w:tcW w:w="1645"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21"/>
              </w:rPr>
            </w:pPr>
          </w:p>
          <w:p>
            <w:pPr>
              <w:pStyle w:val="TableParagraph"/>
              <w:ind w:left="211"/>
              <w:jc w:val="left"/>
              <w:rPr>
                <w:b/>
                <w:sz w:val="18"/>
              </w:rPr>
            </w:pPr>
            <w:r>
              <w:rPr>
                <w:b/>
                <w:w w:val="100"/>
                <w:sz w:val="18"/>
              </w:rPr>
              <w:t>Autoriz</w:t>
            </w:r>
            <w:r>
              <w:rPr>
                <w:b/>
                <w:w w:val="99"/>
                <w:sz w:val="18"/>
              </w:rPr>
              <w:t>a</w:t>
            </w:r>
            <w:r>
              <w:rPr>
                <w:b/>
                <w:w w:val="100"/>
                <w:sz w:val="18"/>
              </w:rPr>
              <w:t>do</w:t>
            </w:r>
          </w:p>
        </w:tc>
        <w:tc>
          <w:tcPr>
            <w:tcW w:w="643" w:type="dxa"/>
            <w:shd w:val="clear" w:color="auto" w:fill="C5DFB3"/>
            <w:textDirection w:val="btLr"/>
          </w:tcPr>
          <w:p>
            <w:pPr>
              <w:pStyle w:val="TableParagraph"/>
              <w:spacing w:before="157"/>
              <w:ind w:left="206"/>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670" w:type="dxa"/>
            <w:shd w:val="clear" w:color="auto" w:fill="C5DFB3"/>
            <w:textDirection w:val="btLr"/>
          </w:tcPr>
          <w:p>
            <w:pPr>
              <w:pStyle w:val="TableParagraph"/>
              <w:spacing w:before="8"/>
              <w:jc w:val="left"/>
              <w:rPr>
                <w:rFonts w:ascii="Times New Roman"/>
                <w:sz w:val="14"/>
              </w:rPr>
            </w:pPr>
          </w:p>
          <w:p>
            <w:pPr>
              <w:pStyle w:val="TableParagraph"/>
              <w:ind w:left="326"/>
              <w:jc w:val="left"/>
              <w:rPr>
                <w:b/>
                <w:sz w:val="18"/>
              </w:rPr>
            </w:pPr>
            <w:r>
              <w:rPr>
                <w:b/>
                <w:w w:val="100"/>
                <w:sz w:val="18"/>
              </w:rPr>
              <w:t>Ej</w:t>
            </w:r>
            <w:r>
              <w:rPr>
                <w:b/>
                <w:spacing w:val="1"/>
                <w:w w:val="100"/>
                <w:sz w:val="18"/>
              </w:rPr>
              <w:t>e</w:t>
            </w:r>
            <w:r>
              <w:rPr>
                <w:b/>
                <w:w w:val="99"/>
                <w:sz w:val="18"/>
              </w:rPr>
              <w:t>rci</w:t>
            </w:r>
            <w:r>
              <w:rPr>
                <w:b/>
                <w:w w:val="100"/>
                <w:sz w:val="18"/>
              </w:rPr>
              <w:t>do</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
              <w:jc w:val="left"/>
              <w:rPr>
                <w:rFonts w:ascii="Times New Roman"/>
                <w:sz w:val="21"/>
              </w:rPr>
            </w:pPr>
          </w:p>
          <w:p>
            <w:pPr>
              <w:pStyle w:val="TableParagraph"/>
              <w:ind w:left="211"/>
              <w:jc w:val="left"/>
              <w:rPr>
                <w:b/>
                <w:sz w:val="18"/>
              </w:rPr>
            </w:pPr>
            <w:r>
              <w:rPr>
                <w:b/>
                <w:sz w:val="18"/>
              </w:rPr>
              <w:t>Por </w:t>
            </w:r>
            <w:r>
              <w:rPr>
                <w:b/>
                <w:w w:val="99"/>
                <w:sz w:val="18"/>
              </w:rPr>
              <w:t>e</w:t>
            </w:r>
            <w:r>
              <w:rPr>
                <w:b/>
                <w:w w:val="100"/>
                <w:sz w:val="18"/>
              </w:rPr>
              <w:t>je</w:t>
            </w:r>
            <w:r>
              <w:rPr>
                <w:b/>
                <w:w w:val="99"/>
                <w:sz w:val="18"/>
              </w:rPr>
              <w:t>rcer</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
              <w:jc w:val="left"/>
              <w:rPr>
                <w:rFonts w:ascii="Times New Roman"/>
                <w:sz w:val="21"/>
              </w:rPr>
            </w:pPr>
          </w:p>
          <w:p>
            <w:pPr>
              <w:pStyle w:val="TableParagraph"/>
              <w:ind w:left="211"/>
              <w:jc w:val="left"/>
              <w:rPr>
                <w:b/>
                <w:sz w:val="18"/>
              </w:rPr>
            </w:pPr>
            <w:r>
              <w:rPr>
                <w:b/>
                <w:w w:val="100"/>
                <w:sz w:val="18"/>
              </w:rPr>
              <w:t>Autoriz</w:t>
            </w:r>
            <w:r>
              <w:rPr>
                <w:b/>
                <w:w w:val="99"/>
                <w:sz w:val="18"/>
              </w:rPr>
              <w:t>a</w:t>
            </w:r>
            <w:r>
              <w:rPr>
                <w:b/>
                <w:w w:val="100"/>
                <w:sz w:val="18"/>
              </w:rPr>
              <w:t>do</w:t>
            </w:r>
          </w:p>
        </w:tc>
        <w:tc>
          <w:tcPr>
            <w:tcW w:w="643" w:type="dxa"/>
            <w:shd w:val="clear" w:color="auto" w:fill="C5DFB3"/>
            <w:textDirection w:val="btLr"/>
          </w:tcPr>
          <w:p>
            <w:pPr>
              <w:pStyle w:val="TableParagraph"/>
              <w:spacing w:before="157"/>
              <w:ind w:left="206"/>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645"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
              <w:jc w:val="left"/>
              <w:rPr>
                <w:rFonts w:ascii="Times New Roman"/>
                <w:sz w:val="21"/>
              </w:rPr>
            </w:pPr>
          </w:p>
          <w:p>
            <w:pPr>
              <w:pStyle w:val="TableParagraph"/>
              <w:spacing w:before="1"/>
              <w:ind w:left="326"/>
              <w:jc w:val="left"/>
              <w:rPr>
                <w:b/>
                <w:sz w:val="18"/>
              </w:rPr>
            </w:pPr>
            <w:r>
              <w:rPr>
                <w:b/>
                <w:w w:val="100"/>
                <w:sz w:val="18"/>
              </w:rPr>
              <w:t>Eje</w:t>
            </w:r>
            <w:r>
              <w:rPr>
                <w:b/>
                <w:w w:val="99"/>
                <w:sz w:val="18"/>
              </w:rPr>
              <w:t>rci</w:t>
            </w:r>
            <w:r>
              <w:rPr>
                <w:b/>
                <w:w w:val="100"/>
                <w:sz w:val="18"/>
              </w:rPr>
              <w:t>do</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
              <w:jc w:val="left"/>
              <w:rPr>
                <w:rFonts w:ascii="Times New Roman"/>
                <w:sz w:val="21"/>
              </w:rPr>
            </w:pPr>
          </w:p>
          <w:p>
            <w:pPr>
              <w:pStyle w:val="TableParagraph"/>
              <w:ind w:left="211"/>
              <w:jc w:val="left"/>
              <w:rPr>
                <w:b/>
                <w:sz w:val="18"/>
              </w:rPr>
            </w:pPr>
            <w:r>
              <w:rPr>
                <w:b/>
                <w:sz w:val="18"/>
              </w:rPr>
              <w:t>Por </w:t>
            </w:r>
            <w:r>
              <w:rPr>
                <w:b/>
                <w:w w:val="99"/>
                <w:sz w:val="18"/>
              </w:rPr>
              <w:t>e</w:t>
            </w:r>
            <w:r>
              <w:rPr>
                <w:b/>
                <w:w w:val="100"/>
                <w:sz w:val="18"/>
              </w:rPr>
              <w:t>je</w:t>
            </w:r>
            <w:r>
              <w:rPr>
                <w:b/>
                <w:w w:val="99"/>
                <w:sz w:val="18"/>
              </w:rPr>
              <w:t>rcer</w:t>
            </w:r>
          </w:p>
        </w:tc>
      </w:tr>
      <w:tr>
        <w:trPr>
          <w:trHeight w:val="322" w:hRule="exact"/>
        </w:trPr>
        <w:tc>
          <w:tcPr>
            <w:tcW w:w="3788" w:type="dxa"/>
          </w:tcPr>
          <w:p>
            <w:pPr>
              <w:pStyle w:val="TableParagraph"/>
              <w:spacing w:line="204" w:lineRule="exact"/>
              <w:ind w:left="64"/>
              <w:jc w:val="left"/>
              <w:rPr>
                <w:b/>
                <w:sz w:val="18"/>
              </w:rPr>
            </w:pPr>
            <w:r>
              <w:rPr>
                <w:b/>
                <w:color w:val="333333"/>
                <w:sz w:val="18"/>
              </w:rPr>
              <w:t>ACAMBAY</w:t>
            </w:r>
          </w:p>
        </w:tc>
        <w:tc>
          <w:tcPr>
            <w:tcW w:w="1645" w:type="dxa"/>
          </w:tcPr>
          <w:p>
            <w:pPr>
              <w:pStyle w:val="TableParagraph"/>
              <w:spacing w:before="2"/>
              <w:ind w:left="121" w:right="117"/>
              <w:rPr>
                <w:sz w:val="18"/>
              </w:rPr>
            </w:pPr>
            <w:r>
              <w:rPr>
                <w:sz w:val="18"/>
              </w:rPr>
              <w:t>$0.00</w:t>
            </w:r>
          </w:p>
        </w:tc>
        <w:tc>
          <w:tcPr>
            <w:tcW w:w="643" w:type="dxa"/>
          </w:tcPr>
          <w:p>
            <w:pPr>
              <w:pStyle w:val="TableParagraph"/>
              <w:spacing w:before="2"/>
              <w:ind w:left="91"/>
              <w:jc w:val="left"/>
              <w:rPr>
                <w:sz w:val="18"/>
              </w:rPr>
            </w:pPr>
            <w:r>
              <w:rPr>
                <w:sz w:val="18"/>
              </w:rPr>
              <w:t>$0.00</w:t>
            </w:r>
          </w:p>
        </w:tc>
        <w:tc>
          <w:tcPr>
            <w:tcW w:w="670" w:type="dxa"/>
          </w:tcPr>
          <w:p>
            <w:pPr>
              <w:pStyle w:val="TableParagraph"/>
              <w:spacing w:before="2"/>
              <w:ind w:left="83" w:right="84"/>
              <w:rPr>
                <w:sz w:val="18"/>
              </w:rPr>
            </w:pPr>
            <w:r>
              <w:rPr>
                <w:sz w:val="18"/>
              </w:rPr>
              <w:t>$0.00</w:t>
            </w:r>
          </w:p>
        </w:tc>
        <w:tc>
          <w:tcPr>
            <w:tcW w:w="1644" w:type="dxa"/>
          </w:tcPr>
          <w:p>
            <w:pPr>
              <w:pStyle w:val="TableParagraph"/>
              <w:spacing w:before="2"/>
              <w:ind w:left="44" w:right="45"/>
              <w:rPr>
                <w:sz w:val="18"/>
              </w:rPr>
            </w:pPr>
            <w:r>
              <w:rPr>
                <w:sz w:val="18"/>
              </w:rPr>
              <w:t>$0.00</w:t>
            </w:r>
          </w:p>
        </w:tc>
        <w:tc>
          <w:tcPr>
            <w:tcW w:w="1644" w:type="dxa"/>
          </w:tcPr>
          <w:p>
            <w:pPr>
              <w:pStyle w:val="TableParagraph"/>
              <w:spacing w:before="2"/>
              <w:ind w:left="44" w:right="45"/>
              <w:rPr>
                <w:sz w:val="18"/>
              </w:rPr>
            </w:pPr>
            <w:r>
              <w:rPr>
                <w:sz w:val="18"/>
              </w:rPr>
              <w:t>$7,015,705.00</w:t>
            </w:r>
          </w:p>
        </w:tc>
        <w:tc>
          <w:tcPr>
            <w:tcW w:w="643" w:type="dxa"/>
          </w:tcPr>
          <w:p>
            <w:pPr>
              <w:pStyle w:val="TableParagraph"/>
              <w:spacing w:before="2"/>
              <w:ind w:left="70" w:right="71"/>
              <w:rPr>
                <w:sz w:val="18"/>
              </w:rPr>
            </w:pPr>
            <w:r>
              <w:rPr>
                <w:sz w:val="18"/>
              </w:rPr>
              <w:t>$0.00</w:t>
            </w:r>
          </w:p>
        </w:tc>
        <w:tc>
          <w:tcPr>
            <w:tcW w:w="1645" w:type="dxa"/>
          </w:tcPr>
          <w:p>
            <w:pPr>
              <w:pStyle w:val="TableParagraph"/>
              <w:spacing w:before="2"/>
              <w:ind w:left="119" w:right="119"/>
              <w:rPr>
                <w:sz w:val="18"/>
              </w:rPr>
            </w:pPr>
            <w:r>
              <w:rPr>
                <w:sz w:val="18"/>
              </w:rPr>
              <w:t>$0.00</w:t>
            </w:r>
          </w:p>
        </w:tc>
        <w:tc>
          <w:tcPr>
            <w:tcW w:w="1644" w:type="dxa"/>
          </w:tcPr>
          <w:p>
            <w:pPr>
              <w:pStyle w:val="TableParagraph"/>
              <w:spacing w:before="2"/>
              <w:ind w:left="44" w:right="45"/>
              <w:rPr>
                <w:sz w:val="18"/>
              </w:rPr>
            </w:pPr>
            <w:r>
              <w:rPr>
                <w:sz w:val="18"/>
              </w:rPr>
              <w:t>$7,015,705.00</w:t>
            </w:r>
          </w:p>
        </w:tc>
      </w:tr>
      <w:tr>
        <w:trPr>
          <w:trHeight w:val="319" w:hRule="exact"/>
        </w:trPr>
        <w:tc>
          <w:tcPr>
            <w:tcW w:w="3788" w:type="dxa"/>
          </w:tcPr>
          <w:p>
            <w:pPr>
              <w:pStyle w:val="TableParagraph"/>
              <w:spacing w:line="201" w:lineRule="exact"/>
              <w:ind w:left="64"/>
              <w:jc w:val="left"/>
              <w:rPr>
                <w:b/>
                <w:sz w:val="18"/>
              </w:rPr>
            </w:pPr>
            <w:r>
              <w:rPr>
                <w:b/>
                <w:color w:val="333333"/>
                <w:sz w:val="18"/>
              </w:rPr>
              <w:t>ACOLMAN</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4" w:lineRule="exact"/>
              <w:ind w:left="64"/>
              <w:jc w:val="left"/>
              <w:rPr>
                <w:b/>
                <w:sz w:val="18"/>
              </w:rPr>
            </w:pPr>
            <w:r>
              <w:rPr>
                <w:b/>
                <w:color w:val="333333"/>
                <w:sz w:val="18"/>
              </w:rPr>
              <w:t>ACULCO</w:t>
            </w:r>
          </w:p>
        </w:tc>
        <w:tc>
          <w:tcPr>
            <w:tcW w:w="1645" w:type="dxa"/>
          </w:tcPr>
          <w:p>
            <w:pPr>
              <w:pStyle w:val="TableParagraph"/>
              <w:spacing w:before="1"/>
              <w:ind w:left="121" w:right="117"/>
              <w:rPr>
                <w:sz w:val="18"/>
              </w:rPr>
            </w:pPr>
            <w:r>
              <w:rPr>
                <w:sz w:val="18"/>
              </w:rPr>
              <w:t>$0.00</w:t>
            </w:r>
          </w:p>
        </w:tc>
        <w:tc>
          <w:tcPr>
            <w:tcW w:w="643" w:type="dxa"/>
          </w:tcPr>
          <w:p>
            <w:pPr>
              <w:pStyle w:val="TableParagraph"/>
              <w:spacing w:before="1"/>
              <w:ind w:left="91"/>
              <w:jc w:val="left"/>
              <w:rPr>
                <w:sz w:val="18"/>
              </w:rPr>
            </w:pPr>
            <w:r>
              <w:rPr>
                <w:sz w:val="18"/>
              </w:rPr>
              <w:t>$0.00</w:t>
            </w:r>
          </w:p>
        </w:tc>
        <w:tc>
          <w:tcPr>
            <w:tcW w:w="670" w:type="dxa"/>
          </w:tcPr>
          <w:p>
            <w:pPr>
              <w:pStyle w:val="TableParagraph"/>
              <w:spacing w:before="1"/>
              <w:ind w:left="83" w:right="84"/>
              <w:rPr>
                <w:sz w:val="18"/>
              </w:rPr>
            </w:pPr>
            <w:r>
              <w:rPr>
                <w:sz w:val="18"/>
              </w:rPr>
              <w:t>$0.00</w:t>
            </w:r>
          </w:p>
        </w:tc>
        <w:tc>
          <w:tcPr>
            <w:tcW w:w="1644" w:type="dxa"/>
          </w:tcPr>
          <w:p>
            <w:pPr>
              <w:pStyle w:val="TableParagraph"/>
              <w:spacing w:before="1"/>
              <w:ind w:left="44" w:right="45"/>
              <w:rPr>
                <w:sz w:val="18"/>
              </w:rPr>
            </w:pPr>
            <w:r>
              <w:rPr>
                <w:sz w:val="18"/>
              </w:rPr>
              <w:t>$0.00</w:t>
            </w:r>
          </w:p>
        </w:tc>
        <w:tc>
          <w:tcPr>
            <w:tcW w:w="1644" w:type="dxa"/>
          </w:tcPr>
          <w:p>
            <w:pPr>
              <w:pStyle w:val="TableParagraph"/>
              <w:spacing w:before="1"/>
              <w:ind w:left="44" w:right="45"/>
              <w:rPr>
                <w:sz w:val="18"/>
              </w:rPr>
            </w:pPr>
            <w:r>
              <w:rPr>
                <w:sz w:val="18"/>
              </w:rPr>
              <w:t>$0.00</w:t>
            </w:r>
          </w:p>
        </w:tc>
        <w:tc>
          <w:tcPr>
            <w:tcW w:w="643" w:type="dxa"/>
          </w:tcPr>
          <w:p>
            <w:pPr>
              <w:pStyle w:val="TableParagraph"/>
              <w:spacing w:before="1"/>
              <w:ind w:left="70" w:right="71"/>
              <w:rPr>
                <w:sz w:val="18"/>
              </w:rPr>
            </w:pPr>
            <w:r>
              <w:rPr>
                <w:sz w:val="18"/>
              </w:rPr>
              <w:t>$0.00</w:t>
            </w:r>
          </w:p>
        </w:tc>
        <w:tc>
          <w:tcPr>
            <w:tcW w:w="1645" w:type="dxa"/>
          </w:tcPr>
          <w:p>
            <w:pPr>
              <w:pStyle w:val="TableParagraph"/>
              <w:spacing w:before="1"/>
              <w:ind w:left="119" w:right="119"/>
              <w:rPr>
                <w:sz w:val="18"/>
              </w:rPr>
            </w:pPr>
            <w:r>
              <w:rPr>
                <w:sz w:val="18"/>
              </w:rPr>
              <w:t>$0.00</w:t>
            </w:r>
          </w:p>
        </w:tc>
        <w:tc>
          <w:tcPr>
            <w:tcW w:w="1644" w:type="dxa"/>
          </w:tcPr>
          <w:p>
            <w:pPr>
              <w:pStyle w:val="TableParagraph"/>
              <w:spacing w:before="1"/>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color w:val="333333"/>
                <w:sz w:val="18"/>
              </w:rPr>
              <w:t>ALMOLOYA DE ALQUISIRAS</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4" w:lineRule="exact"/>
              <w:ind w:left="64"/>
              <w:jc w:val="left"/>
              <w:rPr>
                <w:b/>
                <w:sz w:val="18"/>
              </w:rPr>
            </w:pPr>
            <w:r>
              <w:rPr>
                <w:b/>
                <w:color w:val="333333"/>
                <w:sz w:val="18"/>
              </w:rPr>
              <w:t>ALMOLOYA DE JUAREZ</w:t>
            </w:r>
          </w:p>
        </w:tc>
        <w:tc>
          <w:tcPr>
            <w:tcW w:w="1645" w:type="dxa"/>
          </w:tcPr>
          <w:p>
            <w:pPr>
              <w:pStyle w:val="TableParagraph"/>
              <w:spacing w:before="1"/>
              <w:ind w:left="121" w:right="117"/>
              <w:rPr>
                <w:sz w:val="18"/>
              </w:rPr>
            </w:pPr>
            <w:r>
              <w:rPr>
                <w:sz w:val="18"/>
              </w:rPr>
              <w:t>$0.00</w:t>
            </w:r>
          </w:p>
        </w:tc>
        <w:tc>
          <w:tcPr>
            <w:tcW w:w="643" w:type="dxa"/>
          </w:tcPr>
          <w:p>
            <w:pPr>
              <w:pStyle w:val="TableParagraph"/>
              <w:spacing w:before="1"/>
              <w:ind w:left="91"/>
              <w:jc w:val="left"/>
              <w:rPr>
                <w:sz w:val="18"/>
              </w:rPr>
            </w:pPr>
            <w:r>
              <w:rPr>
                <w:sz w:val="18"/>
              </w:rPr>
              <w:t>$0.00</w:t>
            </w:r>
          </w:p>
        </w:tc>
        <w:tc>
          <w:tcPr>
            <w:tcW w:w="670" w:type="dxa"/>
          </w:tcPr>
          <w:p>
            <w:pPr>
              <w:pStyle w:val="TableParagraph"/>
              <w:spacing w:before="1"/>
              <w:ind w:left="83" w:right="84"/>
              <w:rPr>
                <w:sz w:val="18"/>
              </w:rPr>
            </w:pPr>
            <w:r>
              <w:rPr>
                <w:sz w:val="18"/>
              </w:rPr>
              <w:t>$0.00</w:t>
            </w:r>
          </w:p>
        </w:tc>
        <w:tc>
          <w:tcPr>
            <w:tcW w:w="1644" w:type="dxa"/>
          </w:tcPr>
          <w:p>
            <w:pPr>
              <w:pStyle w:val="TableParagraph"/>
              <w:spacing w:before="1"/>
              <w:ind w:left="44" w:right="45"/>
              <w:rPr>
                <w:sz w:val="18"/>
              </w:rPr>
            </w:pPr>
            <w:r>
              <w:rPr>
                <w:sz w:val="18"/>
              </w:rPr>
              <w:t>$0.00</w:t>
            </w:r>
          </w:p>
        </w:tc>
        <w:tc>
          <w:tcPr>
            <w:tcW w:w="1644" w:type="dxa"/>
          </w:tcPr>
          <w:p>
            <w:pPr>
              <w:pStyle w:val="TableParagraph"/>
              <w:spacing w:before="1"/>
              <w:ind w:left="44" w:right="45"/>
              <w:rPr>
                <w:sz w:val="18"/>
              </w:rPr>
            </w:pPr>
            <w:r>
              <w:rPr>
                <w:sz w:val="18"/>
              </w:rPr>
              <w:t>$0.00</w:t>
            </w:r>
          </w:p>
        </w:tc>
        <w:tc>
          <w:tcPr>
            <w:tcW w:w="643" w:type="dxa"/>
          </w:tcPr>
          <w:p>
            <w:pPr>
              <w:pStyle w:val="TableParagraph"/>
              <w:spacing w:before="1"/>
              <w:ind w:left="70" w:right="71"/>
              <w:rPr>
                <w:sz w:val="18"/>
              </w:rPr>
            </w:pPr>
            <w:r>
              <w:rPr>
                <w:sz w:val="18"/>
              </w:rPr>
              <w:t>$0.00</w:t>
            </w:r>
          </w:p>
        </w:tc>
        <w:tc>
          <w:tcPr>
            <w:tcW w:w="1645" w:type="dxa"/>
          </w:tcPr>
          <w:p>
            <w:pPr>
              <w:pStyle w:val="TableParagraph"/>
              <w:spacing w:before="1"/>
              <w:ind w:left="119" w:right="119"/>
              <w:rPr>
                <w:sz w:val="18"/>
              </w:rPr>
            </w:pPr>
            <w:r>
              <w:rPr>
                <w:sz w:val="18"/>
              </w:rPr>
              <w:t>$0.00</w:t>
            </w:r>
          </w:p>
        </w:tc>
        <w:tc>
          <w:tcPr>
            <w:tcW w:w="1644" w:type="dxa"/>
          </w:tcPr>
          <w:p>
            <w:pPr>
              <w:pStyle w:val="TableParagraph"/>
              <w:spacing w:before="1"/>
              <w:ind w:left="44"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color w:val="333333"/>
                <w:sz w:val="18"/>
              </w:rPr>
              <w:t>ALMOLOYA DEL RIO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color w:val="333333"/>
                <w:sz w:val="18"/>
              </w:rPr>
              <w:t>AMANALCO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color w:val="333333"/>
                <w:sz w:val="18"/>
              </w:rPr>
              <w:t>AMATEPEC</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0" w:hRule="exact"/>
        </w:trPr>
        <w:tc>
          <w:tcPr>
            <w:tcW w:w="3788" w:type="dxa"/>
          </w:tcPr>
          <w:p>
            <w:pPr>
              <w:pStyle w:val="TableParagraph"/>
              <w:spacing w:line="201" w:lineRule="exact"/>
              <w:ind w:left="64"/>
              <w:jc w:val="left"/>
              <w:rPr>
                <w:b/>
                <w:sz w:val="18"/>
              </w:rPr>
            </w:pPr>
            <w:r>
              <w:rPr>
                <w:b/>
                <w:color w:val="333333"/>
                <w:sz w:val="18"/>
              </w:rPr>
              <w:t>AMECAMECA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color w:val="333333"/>
                <w:sz w:val="18"/>
              </w:rPr>
              <w:t>APAXCO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color w:val="333333"/>
                <w:sz w:val="18"/>
              </w:rPr>
              <w:t>ATENCO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color w:val="333333"/>
                <w:sz w:val="18"/>
              </w:rPr>
              <w:t>ATIZAPAN</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color w:val="333333"/>
                <w:sz w:val="18"/>
              </w:rPr>
              <w:t>ATIZAPAN DE ZARAGOZA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color w:val="333333"/>
                <w:sz w:val="18"/>
              </w:rPr>
              <w:t>ATLACOMULCO</w:t>
            </w:r>
          </w:p>
        </w:tc>
        <w:tc>
          <w:tcPr>
            <w:tcW w:w="1645" w:type="dxa"/>
          </w:tcPr>
          <w:p>
            <w:pPr>
              <w:pStyle w:val="TableParagraph"/>
              <w:spacing w:line="206" w:lineRule="exact"/>
              <w:ind w:left="121" w:right="117"/>
              <w:rPr>
                <w:sz w:val="18"/>
              </w:rPr>
            </w:pPr>
            <w:r>
              <w:rPr>
                <w:sz w:val="18"/>
              </w:rPr>
              <w:t>$162,480,163.56</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5" w:right="45"/>
              <w:rPr>
                <w:sz w:val="18"/>
              </w:rPr>
            </w:pPr>
            <w:r>
              <w:rPr>
                <w:sz w:val="18"/>
              </w:rPr>
              <w:t>$162,480,163.56</w:t>
            </w:r>
          </w:p>
        </w:tc>
        <w:tc>
          <w:tcPr>
            <w:tcW w:w="1644" w:type="dxa"/>
          </w:tcPr>
          <w:p>
            <w:pPr>
              <w:pStyle w:val="TableParagraph"/>
              <w:spacing w:line="206" w:lineRule="exact"/>
              <w:ind w:left="45" w:right="45"/>
              <w:rPr>
                <w:sz w:val="18"/>
              </w:rPr>
            </w:pPr>
            <w:r>
              <w:rPr>
                <w:sz w:val="18"/>
              </w:rPr>
              <w:t>$269,323,377.71</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5" w:right="45"/>
              <w:rPr>
                <w:sz w:val="18"/>
              </w:rPr>
            </w:pPr>
            <w:r>
              <w:rPr>
                <w:sz w:val="18"/>
              </w:rPr>
              <w:t>$269,323,377.71</w:t>
            </w:r>
          </w:p>
        </w:tc>
      </w:tr>
      <w:tr>
        <w:trPr>
          <w:trHeight w:val="319" w:hRule="exact"/>
        </w:trPr>
        <w:tc>
          <w:tcPr>
            <w:tcW w:w="3788" w:type="dxa"/>
          </w:tcPr>
          <w:p>
            <w:pPr>
              <w:pStyle w:val="TableParagraph"/>
              <w:spacing w:line="201" w:lineRule="exact"/>
              <w:ind w:left="64"/>
              <w:jc w:val="left"/>
              <w:rPr>
                <w:b/>
                <w:sz w:val="18"/>
              </w:rPr>
            </w:pPr>
            <w:r>
              <w:rPr>
                <w:b/>
                <w:color w:val="333333"/>
                <w:sz w:val="18"/>
              </w:rPr>
              <w:t>ATLAUTLA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5"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color w:val="333333"/>
                <w:sz w:val="18"/>
              </w:rPr>
              <w:t>AXAPUSCO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color w:val="333333"/>
                <w:sz w:val="18"/>
              </w:rPr>
              <w:t>AYAPANGO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4" w:lineRule="exact"/>
              <w:ind w:left="64"/>
              <w:jc w:val="left"/>
              <w:rPr>
                <w:b/>
                <w:sz w:val="18"/>
              </w:rPr>
            </w:pPr>
            <w:r>
              <w:rPr>
                <w:b/>
                <w:color w:val="333333"/>
                <w:sz w:val="18"/>
              </w:rPr>
              <w:t>CALIMAYA</w:t>
            </w:r>
          </w:p>
        </w:tc>
        <w:tc>
          <w:tcPr>
            <w:tcW w:w="1645" w:type="dxa"/>
          </w:tcPr>
          <w:p>
            <w:pPr>
              <w:pStyle w:val="TableParagraph"/>
              <w:spacing w:before="2"/>
              <w:ind w:left="121" w:right="117"/>
              <w:rPr>
                <w:sz w:val="18"/>
              </w:rPr>
            </w:pPr>
            <w:r>
              <w:rPr>
                <w:sz w:val="18"/>
              </w:rPr>
              <w:t>$0.00</w:t>
            </w:r>
          </w:p>
        </w:tc>
        <w:tc>
          <w:tcPr>
            <w:tcW w:w="643" w:type="dxa"/>
          </w:tcPr>
          <w:p>
            <w:pPr>
              <w:pStyle w:val="TableParagraph"/>
              <w:spacing w:before="2"/>
              <w:ind w:left="91"/>
              <w:jc w:val="left"/>
              <w:rPr>
                <w:sz w:val="18"/>
              </w:rPr>
            </w:pPr>
            <w:r>
              <w:rPr>
                <w:sz w:val="18"/>
              </w:rPr>
              <w:t>$0.00</w:t>
            </w:r>
          </w:p>
        </w:tc>
        <w:tc>
          <w:tcPr>
            <w:tcW w:w="670" w:type="dxa"/>
          </w:tcPr>
          <w:p>
            <w:pPr>
              <w:pStyle w:val="TableParagraph"/>
              <w:spacing w:before="2"/>
              <w:ind w:left="83" w:right="84"/>
              <w:rPr>
                <w:sz w:val="18"/>
              </w:rPr>
            </w:pPr>
            <w:r>
              <w:rPr>
                <w:sz w:val="18"/>
              </w:rPr>
              <w:t>$0.00</w:t>
            </w:r>
          </w:p>
        </w:tc>
        <w:tc>
          <w:tcPr>
            <w:tcW w:w="1644" w:type="dxa"/>
          </w:tcPr>
          <w:p>
            <w:pPr>
              <w:pStyle w:val="TableParagraph"/>
              <w:spacing w:before="2"/>
              <w:ind w:left="44" w:right="45"/>
              <w:rPr>
                <w:sz w:val="18"/>
              </w:rPr>
            </w:pPr>
            <w:r>
              <w:rPr>
                <w:sz w:val="18"/>
              </w:rPr>
              <w:t>$0.00</w:t>
            </w:r>
          </w:p>
        </w:tc>
        <w:tc>
          <w:tcPr>
            <w:tcW w:w="1644" w:type="dxa"/>
          </w:tcPr>
          <w:p>
            <w:pPr>
              <w:pStyle w:val="TableParagraph"/>
              <w:spacing w:before="2"/>
              <w:ind w:left="44" w:right="45"/>
              <w:rPr>
                <w:sz w:val="18"/>
              </w:rPr>
            </w:pPr>
            <w:r>
              <w:rPr>
                <w:sz w:val="18"/>
              </w:rPr>
              <w:t>$0.00</w:t>
            </w:r>
          </w:p>
        </w:tc>
        <w:tc>
          <w:tcPr>
            <w:tcW w:w="643" w:type="dxa"/>
          </w:tcPr>
          <w:p>
            <w:pPr>
              <w:pStyle w:val="TableParagraph"/>
              <w:spacing w:before="2"/>
              <w:ind w:left="70" w:right="71"/>
              <w:rPr>
                <w:sz w:val="18"/>
              </w:rPr>
            </w:pPr>
            <w:r>
              <w:rPr>
                <w:sz w:val="18"/>
              </w:rPr>
              <w:t>$0.00</w:t>
            </w:r>
          </w:p>
        </w:tc>
        <w:tc>
          <w:tcPr>
            <w:tcW w:w="1645" w:type="dxa"/>
          </w:tcPr>
          <w:p>
            <w:pPr>
              <w:pStyle w:val="TableParagraph"/>
              <w:spacing w:before="2"/>
              <w:ind w:left="119" w:right="119"/>
              <w:rPr>
                <w:sz w:val="18"/>
              </w:rPr>
            </w:pPr>
            <w:r>
              <w:rPr>
                <w:sz w:val="18"/>
              </w:rPr>
              <w:t>$0.00</w:t>
            </w:r>
          </w:p>
        </w:tc>
        <w:tc>
          <w:tcPr>
            <w:tcW w:w="1644" w:type="dxa"/>
          </w:tcPr>
          <w:p>
            <w:pPr>
              <w:pStyle w:val="TableParagraph"/>
              <w:spacing w:before="2"/>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color w:val="333333"/>
                <w:sz w:val="18"/>
              </w:rPr>
              <w:t>CAPULHUAC</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4" w:lineRule="exact"/>
              <w:ind w:left="64"/>
              <w:jc w:val="left"/>
              <w:rPr>
                <w:b/>
                <w:sz w:val="18"/>
              </w:rPr>
            </w:pPr>
            <w:r>
              <w:rPr>
                <w:b/>
                <w:color w:val="333333"/>
                <w:sz w:val="18"/>
              </w:rPr>
              <w:t>CHALCO</w:t>
            </w:r>
          </w:p>
        </w:tc>
        <w:tc>
          <w:tcPr>
            <w:tcW w:w="1645" w:type="dxa"/>
          </w:tcPr>
          <w:p>
            <w:pPr>
              <w:pStyle w:val="TableParagraph"/>
              <w:spacing w:before="1"/>
              <w:ind w:left="121" w:right="117"/>
              <w:rPr>
                <w:sz w:val="18"/>
              </w:rPr>
            </w:pPr>
            <w:r>
              <w:rPr>
                <w:sz w:val="18"/>
              </w:rPr>
              <w:t>$0.00</w:t>
            </w:r>
          </w:p>
        </w:tc>
        <w:tc>
          <w:tcPr>
            <w:tcW w:w="643" w:type="dxa"/>
          </w:tcPr>
          <w:p>
            <w:pPr>
              <w:pStyle w:val="TableParagraph"/>
              <w:spacing w:before="1"/>
              <w:ind w:left="91"/>
              <w:jc w:val="left"/>
              <w:rPr>
                <w:sz w:val="18"/>
              </w:rPr>
            </w:pPr>
            <w:r>
              <w:rPr>
                <w:sz w:val="18"/>
              </w:rPr>
              <w:t>$0.00</w:t>
            </w:r>
          </w:p>
        </w:tc>
        <w:tc>
          <w:tcPr>
            <w:tcW w:w="670" w:type="dxa"/>
          </w:tcPr>
          <w:p>
            <w:pPr>
              <w:pStyle w:val="TableParagraph"/>
              <w:spacing w:before="1"/>
              <w:ind w:left="83" w:right="84"/>
              <w:rPr>
                <w:sz w:val="18"/>
              </w:rPr>
            </w:pPr>
            <w:r>
              <w:rPr>
                <w:sz w:val="18"/>
              </w:rPr>
              <w:t>$0.00</w:t>
            </w:r>
          </w:p>
        </w:tc>
        <w:tc>
          <w:tcPr>
            <w:tcW w:w="1644" w:type="dxa"/>
          </w:tcPr>
          <w:p>
            <w:pPr>
              <w:pStyle w:val="TableParagraph"/>
              <w:spacing w:before="1"/>
              <w:ind w:left="44" w:right="45"/>
              <w:rPr>
                <w:sz w:val="18"/>
              </w:rPr>
            </w:pPr>
            <w:r>
              <w:rPr>
                <w:sz w:val="18"/>
              </w:rPr>
              <w:t>$0.00</w:t>
            </w:r>
          </w:p>
        </w:tc>
        <w:tc>
          <w:tcPr>
            <w:tcW w:w="1644" w:type="dxa"/>
          </w:tcPr>
          <w:p>
            <w:pPr>
              <w:pStyle w:val="TableParagraph"/>
              <w:spacing w:before="1"/>
              <w:ind w:left="44" w:right="45"/>
              <w:rPr>
                <w:sz w:val="18"/>
              </w:rPr>
            </w:pPr>
            <w:r>
              <w:rPr>
                <w:sz w:val="18"/>
              </w:rPr>
              <w:t>$0.00</w:t>
            </w:r>
          </w:p>
        </w:tc>
        <w:tc>
          <w:tcPr>
            <w:tcW w:w="643" w:type="dxa"/>
          </w:tcPr>
          <w:p>
            <w:pPr>
              <w:pStyle w:val="TableParagraph"/>
              <w:spacing w:before="1"/>
              <w:ind w:left="70" w:right="71"/>
              <w:rPr>
                <w:sz w:val="18"/>
              </w:rPr>
            </w:pPr>
            <w:r>
              <w:rPr>
                <w:sz w:val="18"/>
              </w:rPr>
              <w:t>$0.00</w:t>
            </w:r>
          </w:p>
        </w:tc>
        <w:tc>
          <w:tcPr>
            <w:tcW w:w="1645" w:type="dxa"/>
          </w:tcPr>
          <w:p>
            <w:pPr>
              <w:pStyle w:val="TableParagraph"/>
              <w:spacing w:before="1"/>
              <w:ind w:left="119" w:right="119"/>
              <w:rPr>
                <w:sz w:val="18"/>
              </w:rPr>
            </w:pPr>
            <w:r>
              <w:rPr>
                <w:sz w:val="18"/>
              </w:rPr>
              <w:t>$0.00</w:t>
            </w:r>
          </w:p>
        </w:tc>
        <w:tc>
          <w:tcPr>
            <w:tcW w:w="1644" w:type="dxa"/>
          </w:tcPr>
          <w:p>
            <w:pPr>
              <w:pStyle w:val="TableParagraph"/>
              <w:spacing w:before="1"/>
              <w:ind w:left="44"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color w:val="333333"/>
                <w:sz w:val="18"/>
              </w:rPr>
              <w:t>CHAPA DE MOTA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bl>
    <w:p>
      <w:pPr>
        <w:spacing w:after="0" w:line="206" w:lineRule="exact"/>
        <w:rPr>
          <w:sz w:val="18"/>
        </w:rPr>
        <w:sectPr>
          <w:pgSz w:w="15840" w:h="12240" w:orient="landscape"/>
          <w:pgMar w:header="0" w:footer="975" w:top="1140" w:bottom="1160" w:left="820" w:right="820"/>
        </w:sectPr>
      </w:pPr>
    </w:p>
    <w:p>
      <w:pPr>
        <w:pStyle w:val="BodyText"/>
        <w:rPr>
          <w:rFonts w:ascii="Times New Roman"/>
          <w:sz w:val="20"/>
        </w:rPr>
      </w:pPr>
    </w:p>
    <w:p>
      <w:pPr>
        <w:pStyle w:val="BodyText"/>
        <w:spacing w:before="10"/>
        <w:rPr>
          <w:rFonts w:ascii="Times New Roman"/>
          <w:sz w:val="28"/>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88"/>
        <w:gridCol w:w="1645"/>
        <w:gridCol w:w="643"/>
        <w:gridCol w:w="670"/>
        <w:gridCol w:w="1644"/>
        <w:gridCol w:w="1644"/>
        <w:gridCol w:w="643"/>
        <w:gridCol w:w="1645"/>
        <w:gridCol w:w="1644"/>
      </w:tblGrid>
      <w:tr>
        <w:trPr>
          <w:trHeight w:val="430" w:hRule="exact"/>
        </w:trPr>
        <w:tc>
          <w:tcPr>
            <w:tcW w:w="13965" w:type="dxa"/>
            <w:gridSpan w:val="9"/>
            <w:shd w:val="clear" w:color="auto" w:fill="C5DFB3"/>
          </w:tcPr>
          <w:p>
            <w:pPr>
              <w:pStyle w:val="TableParagraph"/>
              <w:spacing w:before="49"/>
              <w:ind w:left="3324"/>
              <w:jc w:val="left"/>
              <w:rPr>
                <w:b/>
                <w:sz w:val="18"/>
              </w:rPr>
            </w:pPr>
            <w:r>
              <w:rPr>
                <w:b/>
                <w:sz w:val="18"/>
              </w:rPr>
              <w:t>Anexo 24A. Municipios que publican apartado presupuesto 2008-2009 (Continuación)</w:t>
            </w:r>
          </w:p>
        </w:tc>
      </w:tr>
      <w:tr>
        <w:trPr>
          <w:trHeight w:val="320" w:hRule="exact"/>
        </w:trPr>
        <w:tc>
          <w:tcPr>
            <w:tcW w:w="3788"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23"/>
              </w:rPr>
            </w:pPr>
          </w:p>
          <w:p>
            <w:pPr>
              <w:pStyle w:val="TableParagraph"/>
              <w:ind w:left="1449" w:right="1448"/>
              <w:rPr>
                <w:b/>
                <w:sz w:val="18"/>
              </w:rPr>
            </w:pPr>
            <w:r>
              <w:rPr>
                <w:b/>
                <w:sz w:val="18"/>
              </w:rPr>
              <w:t>Municipio</w:t>
            </w:r>
          </w:p>
        </w:tc>
        <w:tc>
          <w:tcPr>
            <w:tcW w:w="4602" w:type="dxa"/>
            <w:gridSpan w:val="4"/>
            <w:shd w:val="clear" w:color="auto" w:fill="C5DFB3"/>
          </w:tcPr>
          <w:p>
            <w:pPr>
              <w:pStyle w:val="TableParagraph"/>
              <w:spacing w:line="201" w:lineRule="exact"/>
              <w:ind w:left="2076" w:right="2074"/>
              <w:rPr>
                <w:b/>
                <w:sz w:val="18"/>
              </w:rPr>
            </w:pPr>
            <w:r>
              <w:rPr>
                <w:b/>
                <w:sz w:val="18"/>
              </w:rPr>
              <w:t>2008</w:t>
            </w:r>
          </w:p>
        </w:tc>
        <w:tc>
          <w:tcPr>
            <w:tcW w:w="5576" w:type="dxa"/>
            <w:gridSpan w:val="4"/>
            <w:shd w:val="clear" w:color="auto" w:fill="C5DFB3"/>
          </w:tcPr>
          <w:p>
            <w:pPr>
              <w:pStyle w:val="TableParagraph"/>
              <w:spacing w:line="201" w:lineRule="exact"/>
              <w:ind w:left="2562" w:right="2563"/>
              <w:rPr>
                <w:b/>
                <w:sz w:val="18"/>
              </w:rPr>
            </w:pPr>
            <w:r>
              <w:rPr>
                <w:b/>
                <w:sz w:val="18"/>
              </w:rPr>
              <w:t>2009</w:t>
            </w:r>
          </w:p>
        </w:tc>
      </w:tr>
      <w:tr>
        <w:trPr>
          <w:trHeight w:val="1374" w:hRule="exact"/>
        </w:trPr>
        <w:tc>
          <w:tcPr>
            <w:tcW w:w="3788" w:type="dxa"/>
            <w:vMerge/>
            <w:shd w:val="clear" w:color="auto" w:fill="C5DFB3"/>
          </w:tcPr>
          <w:p>
            <w:pPr/>
          </w:p>
        </w:tc>
        <w:tc>
          <w:tcPr>
            <w:tcW w:w="1645"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21"/>
              </w:rPr>
            </w:pPr>
          </w:p>
          <w:p>
            <w:pPr>
              <w:pStyle w:val="TableParagraph"/>
              <w:ind w:left="211"/>
              <w:jc w:val="left"/>
              <w:rPr>
                <w:b/>
                <w:sz w:val="18"/>
              </w:rPr>
            </w:pPr>
            <w:r>
              <w:rPr>
                <w:b/>
                <w:w w:val="100"/>
                <w:sz w:val="18"/>
              </w:rPr>
              <w:t>Autoriz</w:t>
            </w:r>
            <w:r>
              <w:rPr>
                <w:b/>
                <w:w w:val="99"/>
                <w:sz w:val="18"/>
              </w:rPr>
              <w:t>a</w:t>
            </w:r>
            <w:r>
              <w:rPr>
                <w:b/>
                <w:w w:val="100"/>
                <w:sz w:val="18"/>
              </w:rPr>
              <w:t>do</w:t>
            </w:r>
          </w:p>
        </w:tc>
        <w:tc>
          <w:tcPr>
            <w:tcW w:w="643" w:type="dxa"/>
            <w:shd w:val="clear" w:color="auto" w:fill="C5DFB3"/>
            <w:textDirection w:val="btLr"/>
          </w:tcPr>
          <w:p>
            <w:pPr>
              <w:pStyle w:val="TableParagraph"/>
              <w:spacing w:before="157"/>
              <w:ind w:left="206"/>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670" w:type="dxa"/>
            <w:shd w:val="clear" w:color="auto" w:fill="C5DFB3"/>
            <w:textDirection w:val="btLr"/>
          </w:tcPr>
          <w:p>
            <w:pPr>
              <w:pStyle w:val="TableParagraph"/>
              <w:spacing w:before="8"/>
              <w:jc w:val="left"/>
              <w:rPr>
                <w:rFonts w:ascii="Times New Roman"/>
                <w:sz w:val="14"/>
              </w:rPr>
            </w:pPr>
          </w:p>
          <w:p>
            <w:pPr>
              <w:pStyle w:val="TableParagraph"/>
              <w:ind w:left="326"/>
              <w:jc w:val="left"/>
              <w:rPr>
                <w:b/>
                <w:sz w:val="18"/>
              </w:rPr>
            </w:pPr>
            <w:r>
              <w:rPr>
                <w:b/>
                <w:w w:val="100"/>
                <w:sz w:val="18"/>
              </w:rPr>
              <w:t>Eje</w:t>
            </w:r>
            <w:r>
              <w:rPr>
                <w:b/>
                <w:w w:val="99"/>
                <w:sz w:val="18"/>
              </w:rPr>
              <w:t>rci</w:t>
            </w:r>
            <w:r>
              <w:rPr>
                <w:b/>
                <w:w w:val="100"/>
                <w:sz w:val="18"/>
              </w:rPr>
              <w:t>do</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
              <w:jc w:val="left"/>
              <w:rPr>
                <w:rFonts w:ascii="Times New Roman"/>
                <w:sz w:val="21"/>
              </w:rPr>
            </w:pPr>
          </w:p>
          <w:p>
            <w:pPr>
              <w:pStyle w:val="TableParagraph"/>
              <w:ind w:left="211"/>
              <w:jc w:val="left"/>
              <w:rPr>
                <w:b/>
                <w:sz w:val="18"/>
              </w:rPr>
            </w:pPr>
            <w:r>
              <w:rPr>
                <w:b/>
                <w:sz w:val="18"/>
              </w:rPr>
              <w:t>Por </w:t>
            </w:r>
            <w:r>
              <w:rPr>
                <w:b/>
                <w:w w:val="99"/>
                <w:sz w:val="18"/>
              </w:rPr>
              <w:t>e</w:t>
            </w:r>
            <w:r>
              <w:rPr>
                <w:b/>
                <w:w w:val="100"/>
                <w:sz w:val="18"/>
              </w:rPr>
              <w:t>je</w:t>
            </w:r>
            <w:r>
              <w:rPr>
                <w:b/>
                <w:w w:val="99"/>
                <w:sz w:val="18"/>
              </w:rPr>
              <w:t>rcer</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
              <w:jc w:val="left"/>
              <w:rPr>
                <w:rFonts w:ascii="Times New Roman"/>
                <w:sz w:val="21"/>
              </w:rPr>
            </w:pPr>
          </w:p>
          <w:p>
            <w:pPr>
              <w:pStyle w:val="TableParagraph"/>
              <w:ind w:left="211"/>
              <w:jc w:val="left"/>
              <w:rPr>
                <w:b/>
                <w:sz w:val="18"/>
              </w:rPr>
            </w:pPr>
            <w:r>
              <w:rPr>
                <w:b/>
                <w:w w:val="100"/>
                <w:sz w:val="18"/>
              </w:rPr>
              <w:t>Autoriz</w:t>
            </w:r>
            <w:r>
              <w:rPr>
                <w:b/>
                <w:w w:val="99"/>
                <w:sz w:val="18"/>
              </w:rPr>
              <w:t>a</w:t>
            </w:r>
            <w:r>
              <w:rPr>
                <w:b/>
                <w:spacing w:val="1"/>
                <w:w w:val="100"/>
                <w:sz w:val="18"/>
              </w:rPr>
              <w:t>d</w:t>
            </w:r>
            <w:r>
              <w:rPr>
                <w:b/>
                <w:w w:val="100"/>
                <w:sz w:val="18"/>
              </w:rPr>
              <w:t>o</w:t>
            </w:r>
          </w:p>
        </w:tc>
        <w:tc>
          <w:tcPr>
            <w:tcW w:w="643" w:type="dxa"/>
            <w:shd w:val="clear" w:color="auto" w:fill="C5DFB3"/>
            <w:textDirection w:val="btLr"/>
          </w:tcPr>
          <w:p>
            <w:pPr>
              <w:pStyle w:val="TableParagraph"/>
              <w:spacing w:before="157"/>
              <w:ind w:left="206"/>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645"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
              <w:jc w:val="left"/>
              <w:rPr>
                <w:rFonts w:ascii="Times New Roman"/>
                <w:sz w:val="21"/>
              </w:rPr>
            </w:pPr>
          </w:p>
          <w:p>
            <w:pPr>
              <w:pStyle w:val="TableParagraph"/>
              <w:spacing w:before="1"/>
              <w:ind w:left="326"/>
              <w:jc w:val="left"/>
              <w:rPr>
                <w:b/>
                <w:sz w:val="18"/>
              </w:rPr>
            </w:pPr>
            <w:r>
              <w:rPr>
                <w:b/>
                <w:w w:val="100"/>
                <w:sz w:val="18"/>
              </w:rPr>
              <w:t>Eje</w:t>
            </w:r>
            <w:r>
              <w:rPr>
                <w:b/>
                <w:w w:val="99"/>
                <w:sz w:val="18"/>
              </w:rPr>
              <w:t>rci</w:t>
            </w:r>
            <w:r>
              <w:rPr>
                <w:b/>
                <w:w w:val="100"/>
                <w:sz w:val="18"/>
              </w:rPr>
              <w:t>do</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
              <w:jc w:val="left"/>
              <w:rPr>
                <w:rFonts w:ascii="Times New Roman"/>
                <w:sz w:val="21"/>
              </w:rPr>
            </w:pPr>
          </w:p>
          <w:p>
            <w:pPr>
              <w:pStyle w:val="TableParagraph"/>
              <w:ind w:left="211"/>
              <w:jc w:val="left"/>
              <w:rPr>
                <w:b/>
                <w:sz w:val="18"/>
              </w:rPr>
            </w:pPr>
            <w:r>
              <w:rPr>
                <w:b/>
                <w:sz w:val="18"/>
              </w:rPr>
              <w:t>Por </w:t>
            </w:r>
            <w:r>
              <w:rPr>
                <w:b/>
                <w:w w:val="99"/>
                <w:sz w:val="18"/>
              </w:rPr>
              <w:t>e</w:t>
            </w:r>
            <w:r>
              <w:rPr>
                <w:b/>
                <w:w w:val="100"/>
                <w:sz w:val="18"/>
              </w:rPr>
              <w:t>je</w:t>
            </w:r>
            <w:r>
              <w:rPr>
                <w:b/>
                <w:w w:val="99"/>
                <w:sz w:val="18"/>
              </w:rPr>
              <w:t>rcer</w:t>
            </w:r>
          </w:p>
        </w:tc>
      </w:tr>
      <w:tr>
        <w:trPr>
          <w:trHeight w:val="322" w:hRule="exact"/>
        </w:trPr>
        <w:tc>
          <w:tcPr>
            <w:tcW w:w="3788" w:type="dxa"/>
          </w:tcPr>
          <w:p>
            <w:pPr>
              <w:pStyle w:val="TableParagraph"/>
              <w:spacing w:line="204" w:lineRule="exact"/>
              <w:ind w:left="64"/>
              <w:jc w:val="left"/>
              <w:rPr>
                <w:b/>
                <w:sz w:val="18"/>
              </w:rPr>
            </w:pPr>
            <w:r>
              <w:rPr>
                <w:b/>
                <w:color w:val="333333"/>
                <w:sz w:val="18"/>
              </w:rPr>
              <w:t>CHAPULTEPEC</w:t>
            </w:r>
          </w:p>
        </w:tc>
        <w:tc>
          <w:tcPr>
            <w:tcW w:w="1645" w:type="dxa"/>
          </w:tcPr>
          <w:p>
            <w:pPr>
              <w:pStyle w:val="TableParagraph"/>
              <w:spacing w:before="2"/>
              <w:ind w:left="121" w:right="117"/>
              <w:rPr>
                <w:sz w:val="18"/>
              </w:rPr>
            </w:pPr>
            <w:r>
              <w:rPr>
                <w:sz w:val="18"/>
              </w:rPr>
              <w:t>$0.00</w:t>
            </w:r>
          </w:p>
        </w:tc>
        <w:tc>
          <w:tcPr>
            <w:tcW w:w="643" w:type="dxa"/>
          </w:tcPr>
          <w:p>
            <w:pPr>
              <w:pStyle w:val="TableParagraph"/>
              <w:spacing w:before="2"/>
              <w:ind w:left="91"/>
              <w:jc w:val="left"/>
              <w:rPr>
                <w:sz w:val="18"/>
              </w:rPr>
            </w:pPr>
            <w:r>
              <w:rPr>
                <w:sz w:val="18"/>
              </w:rPr>
              <w:t>$0.00</w:t>
            </w:r>
          </w:p>
        </w:tc>
        <w:tc>
          <w:tcPr>
            <w:tcW w:w="670" w:type="dxa"/>
          </w:tcPr>
          <w:p>
            <w:pPr>
              <w:pStyle w:val="TableParagraph"/>
              <w:spacing w:before="2"/>
              <w:ind w:left="83" w:right="84"/>
              <w:rPr>
                <w:sz w:val="18"/>
              </w:rPr>
            </w:pPr>
            <w:r>
              <w:rPr>
                <w:sz w:val="18"/>
              </w:rPr>
              <w:t>$0.00</w:t>
            </w:r>
          </w:p>
        </w:tc>
        <w:tc>
          <w:tcPr>
            <w:tcW w:w="1644" w:type="dxa"/>
          </w:tcPr>
          <w:p>
            <w:pPr>
              <w:pStyle w:val="TableParagraph"/>
              <w:spacing w:before="2"/>
              <w:ind w:left="590" w:right="358"/>
              <w:jc w:val="left"/>
              <w:rPr>
                <w:sz w:val="18"/>
              </w:rPr>
            </w:pPr>
            <w:r>
              <w:rPr>
                <w:sz w:val="18"/>
              </w:rPr>
              <w:t>$0.00</w:t>
            </w:r>
          </w:p>
        </w:tc>
        <w:tc>
          <w:tcPr>
            <w:tcW w:w="1644" w:type="dxa"/>
          </w:tcPr>
          <w:p>
            <w:pPr>
              <w:pStyle w:val="TableParagraph"/>
              <w:spacing w:before="2"/>
              <w:ind w:left="44" w:right="45"/>
              <w:rPr>
                <w:sz w:val="18"/>
              </w:rPr>
            </w:pPr>
            <w:r>
              <w:rPr>
                <w:sz w:val="18"/>
              </w:rPr>
              <w:t>$0.00</w:t>
            </w:r>
          </w:p>
        </w:tc>
        <w:tc>
          <w:tcPr>
            <w:tcW w:w="643" w:type="dxa"/>
          </w:tcPr>
          <w:p>
            <w:pPr>
              <w:pStyle w:val="TableParagraph"/>
              <w:spacing w:before="2"/>
              <w:ind w:left="70" w:right="71"/>
              <w:rPr>
                <w:sz w:val="18"/>
              </w:rPr>
            </w:pPr>
            <w:r>
              <w:rPr>
                <w:sz w:val="18"/>
              </w:rPr>
              <w:t>$0.00</w:t>
            </w:r>
          </w:p>
        </w:tc>
        <w:tc>
          <w:tcPr>
            <w:tcW w:w="1645" w:type="dxa"/>
          </w:tcPr>
          <w:p>
            <w:pPr>
              <w:pStyle w:val="TableParagraph"/>
              <w:spacing w:before="2"/>
              <w:ind w:left="119" w:right="119"/>
              <w:rPr>
                <w:sz w:val="18"/>
              </w:rPr>
            </w:pPr>
            <w:r>
              <w:rPr>
                <w:sz w:val="18"/>
              </w:rPr>
              <w:t>$0.00</w:t>
            </w:r>
          </w:p>
        </w:tc>
        <w:tc>
          <w:tcPr>
            <w:tcW w:w="1644" w:type="dxa"/>
          </w:tcPr>
          <w:p>
            <w:pPr>
              <w:pStyle w:val="TableParagraph"/>
              <w:spacing w:before="2"/>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color w:val="333333"/>
                <w:sz w:val="18"/>
              </w:rPr>
              <w:t>CHIAUTLA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4" w:lineRule="exact"/>
              <w:ind w:left="64"/>
              <w:jc w:val="left"/>
              <w:rPr>
                <w:b/>
                <w:sz w:val="18"/>
              </w:rPr>
            </w:pPr>
            <w:r>
              <w:rPr>
                <w:b/>
                <w:color w:val="333333"/>
                <w:sz w:val="18"/>
              </w:rPr>
              <w:t>CHICOLOAPAN</w:t>
            </w:r>
          </w:p>
        </w:tc>
        <w:tc>
          <w:tcPr>
            <w:tcW w:w="1645" w:type="dxa"/>
          </w:tcPr>
          <w:p>
            <w:pPr>
              <w:pStyle w:val="TableParagraph"/>
              <w:spacing w:before="1"/>
              <w:ind w:left="121" w:right="117"/>
              <w:rPr>
                <w:sz w:val="18"/>
              </w:rPr>
            </w:pPr>
            <w:r>
              <w:rPr>
                <w:sz w:val="18"/>
              </w:rPr>
              <w:t>$0.00</w:t>
            </w:r>
          </w:p>
        </w:tc>
        <w:tc>
          <w:tcPr>
            <w:tcW w:w="643" w:type="dxa"/>
          </w:tcPr>
          <w:p>
            <w:pPr>
              <w:pStyle w:val="TableParagraph"/>
              <w:spacing w:before="1"/>
              <w:ind w:left="91"/>
              <w:jc w:val="left"/>
              <w:rPr>
                <w:sz w:val="18"/>
              </w:rPr>
            </w:pPr>
            <w:r>
              <w:rPr>
                <w:sz w:val="18"/>
              </w:rPr>
              <w:t>$0.00</w:t>
            </w:r>
          </w:p>
        </w:tc>
        <w:tc>
          <w:tcPr>
            <w:tcW w:w="670" w:type="dxa"/>
          </w:tcPr>
          <w:p>
            <w:pPr>
              <w:pStyle w:val="TableParagraph"/>
              <w:spacing w:before="1"/>
              <w:ind w:left="83" w:right="84"/>
              <w:rPr>
                <w:sz w:val="18"/>
              </w:rPr>
            </w:pPr>
            <w:r>
              <w:rPr>
                <w:sz w:val="18"/>
              </w:rPr>
              <w:t>$0.00</w:t>
            </w:r>
          </w:p>
        </w:tc>
        <w:tc>
          <w:tcPr>
            <w:tcW w:w="1644" w:type="dxa"/>
          </w:tcPr>
          <w:p>
            <w:pPr>
              <w:pStyle w:val="TableParagraph"/>
              <w:spacing w:before="1"/>
              <w:ind w:left="590" w:right="358"/>
              <w:jc w:val="left"/>
              <w:rPr>
                <w:sz w:val="18"/>
              </w:rPr>
            </w:pPr>
            <w:r>
              <w:rPr>
                <w:sz w:val="18"/>
              </w:rPr>
              <w:t>$0.00</w:t>
            </w:r>
          </w:p>
        </w:tc>
        <w:tc>
          <w:tcPr>
            <w:tcW w:w="1644" w:type="dxa"/>
          </w:tcPr>
          <w:p>
            <w:pPr>
              <w:pStyle w:val="TableParagraph"/>
              <w:spacing w:before="1"/>
              <w:ind w:left="44" w:right="45"/>
              <w:rPr>
                <w:sz w:val="18"/>
              </w:rPr>
            </w:pPr>
            <w:r>
              <w:rPr>
                <w:sz w:val="18"/>
              </w:rPr>
              <w:t>$0.00</w:t>
            </w:r>
          </w:p>
        </w:tc>
        <w:tc>
          <w:tcPr>
            <w:tcW w:w="643" w:type="dxa"/>
          </w:tcPr>
          <w:p>
            <w:pPr>
              <w:pStyle w:val="TableParagraph"/>
              <w:spacing w:before="1"/>
              <w:ind w:left="70" w:right="71"/>
              <w:rPr>
                <w:sz w:val="18"/>
              </w:rPr>
            </w:pPr>
            <w:r>
              <w:rPr>
                <w:sz w:val="18"/>
              </w:rPr>
              <w:t>$0.00</w:t>
            </w:r>
          </w:p>
        </w:tc>
        <w:tc>
          <w:tcPr>
            <w:tcW w:w="1645" w:type="dxa"/>
          </w:tcPr>
          <w:p>
            <w:pPr>
              <w:pStyle w:val="TableParagraph"/>
              <w:spacing w:before="1"/>
              <w:ind w:left="119" w:right="119"/>
              <w:rPr>
                <w:sz w:val="18"/>
              </w:rPr>
            </w:pPr>
            <w:r>
              <w:rPr>
                <w:sz w:val="18"/>
              </w:rPr>
              <w:t>$0.00</w:t>
            </w:r>
          </w:p>
        </w:tc>
        <w:tc>
          <w:tcPr>
            <w:tcW w:w="1644" w:type="dxa"/>
          </w:tcPr>
          <w:p>
            <w:pPr>
              <w:pStyle w:val="TableParagraph"/>
              <w:spacing w:before="1"/>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color w:val="333333"/>
                <w:sz w:val="18"/>
              </w:rPr>
              <w:t>CHICONCUAC</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4" w:lineRule="exact"/>
              <w:ind w:left="64"/>
              <w:jc w:val="left"/>
              <w:rPr>
                <w:b/>
                <w:sz w:val="18"/>
              </w:rPr>
            </w:pPr>
            <w:r>
              <w:rPr>
                <w:b/>
                <w:color w:val="333333"/>
                <w:sz w:val="18"/>
              </w:rPr>
              <w:t>CHIMALHUACAN</w:t>
            </w:r>
          </w:p>
        </w:tc>
        <w:tc>
          <w:tcPr>
            <w:tcW w:w="1645" w:type="dxa"/>
          </w:tcPr>
          <w:p>
            <w:pPr>
              <w:pStyle w:val="TableParagraph"/>
              <w:spacing w:before="1"/>
              <w:ind w:left="121" w:right="117"/>
              <w:rPr>
                <w:sz w:val="18"/>
              </w:rPr>
            </w:pPr>
            <w:r>
              <w:rPr>
                <w:sz w:val="18"/>
              </w:rPr>
              <w:t>$0.00</w:t>
            </w:r>
          </w:p>
        </w:tc>
        <w:tc>
          <w:tcPr>
            <w:tcW w:w="643" w:type="dxa"/>
          </w:tcPr>
          <w:p>
            <w:pPr>
              <w:pStyle w:val="TableParagraph"/>
              <w:spacing w:before="1"/>
              <w:ind w:left="91"/>
              <w:jc w:val="left"/>
              <w:rPr>
                <w:sz w:val="18"/>
              </w:rPr>
            </w:pPr>
            <w:r>
              <w:rPr>
                <w:sz w:val="18"/>
              </w:rPr>
              <w:t>$0.00</w:t>
            </w:r>
          </w:p>
        </w:tc>
        <w:tc>
          <w:tcPr>
            <w:tcW w:w="670" w:type="dxa"/>
          </w:tcPr>
          <w:p>
            <w:pPr>
              <w:pStyle w:val="TableParagraph"/>
              <w:spacing w:before="1"/>
              <w:ind w:left="83" w:right="84"/>
              <w:rPr>
                <w:sz w:val="18"/>
              </w:rPr>
            </w:pPr>
            <w:r>
              <w:rPr>
                <w:sz w:val="18"/>
              </w:rPr>
              <w:t>$0.00</w:t>
            </w:r>
          </w:p>
        </w:tc>
        <w:tc>
          <w:tcPr>
            <w:tcW w:w="1644" w:type="dxa"/>
          </w:tcPr>
          <w:p>
            <w:pPr>
              <w:pStyle w:val="TableParagraph"/>
              <w:spacing w:before="1"/>
              <w:ind w:left="590" w:right="358"/>
              <w:jc w:val="left"/>
              <w:rPr>
                <w:sz w:val="18"/>
              </w:rPr>
            </w:pPr>
            <w:r>
              <w:rPr>
                <w:sz w:val="18"/>
              </w:rPr>
              <w:t>$0.00</w:t>
            </w:r>
          </w:p>
        </w:tc>
        <w:tc>
          <w:tcPr>
            <w:tcW w:w="1644" w:type="dxa"/>
          </w:tcPr>
          <w:p>
            <w:pPr>
              <w:pStyle w:val="TableParagraph"/>
              <w:spacing w:before="1"/>
              <w:ind w:left="45" w:right="45"/>
              <w:rPr>
                <w:sz w:val="18"/>
              </w:rPr>
            </w:pPr>
            <w:r>
              <w:rPr>
                <w:sz w:val="18"/>
              </w:rPr>
              <w:t>$830,236,885.00</w:t>
            </w:r>
          </w:p>
        </w:tc>
        <w:tc>
          <w:tcPr>
            <w:tcW w:w="643" w:type="dxa"/>
          </w:tcPr>
          <w:p>
            <w:pPr>
              <w:pStyle w:val="TableParagraph"/>
              <w:spacing w:before="1"/>
              <w:ind w:left="70" w:right="71"/>
              <w:rPr>
                <w:sz w:val="18"/>
              </w:rPr>
            </w:pPr>
            <w:r>
              <w:rPr>
                <w:sz w:val="18"/>
              </w:rPr>
              <w:t>$0.00</w:t>
            </w:r>
          </w:p>
        </w:tc>
        <w:tc>
          <w:tcPr>
            <w:tcW w:w="1645" w:type="dxa"/>
          </w:tcPr>
          <w:p>
            <w:pPr>
              <w:pStyle w:val="TableParagraph"/>
              <w:spacing w:before="1"/>
              <w:ind w:left="119" w:right="119"/>
              <w:rPr>
                <w:sz w:val="18"/>
              </w:rPr>
            </w:pPr>
            <w:r>
              <w:rPr>
                <w:sz w:val="18"/>
              </w:rPr>
              <w:t>$0.00</w:t>
            </w:r>
          </w:p>
        </w:tc>
        <w:tc>
          <w:tcPr>
            <w:tcW w:w="1644" w:type="dxa"/>
          </w:tcPr>
          <w:p>
            <w:pPr>
              <w:pStyle w:val="TableParagraph"/>
              <w:spacing w:before="1"/>
              <w:ind w:left="45" w:right="45"/>
              <w:rPr>
                <w:sz w:val="18"/>
              </w:rPr>
            </w:pPr>
            <w:r>
              <w:rPr>
                <w:sz w:val="18"/>
              </w:rPr>
              <w:t>$830,236,885.00</w:t>
            </w:r>
          </w:p>
        </w:tc>
      </w:tr>
      <w:tr>
        <w:trPr>
          <w:trHeight w:val="322" w:hRule="exact"/>
        </w:trPr>
        <w:tc>
          <w:tcPr>
            <w:tcW w:w="3788" w:type="dxa"/>
          </w:tcPr>
          <w:p>
            <w:pPr>
              <w:pStyle w:val="TableParagraph"/>
              <w:spacing w:line="201" w:lineRule="exact"/>
              <w:ind w:left="64"/>
              <w:jc w:val="left"/>
              <w:rPr>
                <w:b/>
                <w:sz w:val="18"/>
              </w:rPr>
            </w:pPr>
            <w:r>
              <w:rPr>
                <w:b/>
                <w:color w:val="333333"/>
                <w:sz w:val="18"/>
              </w:rPr>
              <w:t>COACALCO DE BERRIOZABAL</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color w:val="333333"/>
                <w:sz w:val="18"/>
              </w:rPr>
              <w:t>COATEPEC HARINAS</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color w:val="333333"/>
                <w:sz w:val="18"/>
              </w:rPr>
              <w:t>COCOTITLAN</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0" w:hRule="exact"/>
        </w:trPr>
        <w:tc>
          <w:tcPr>
            <w:tcW w:w="3788" w:type="dxa"/>
          </w:tcPr>
          <w:p>
            <w:pPr>
              <w:pStyle w:val="TableParagraph"/>
              <w:spacing w:line="201" w:lineRule="exact"/>
              <w:ind w:left="64"/>
              <w:jc w:val="left"/>
              <w:rPr>
                <w:b/>
                <w:sz w:val="18"/>
              </w:rPr>
            </w:pPr>
            <w:r>
              <w:rPr>
                <w:b/>
                <w:color w:val="333333"/>
                <w:sz w:val="18"/>
              </w:rPr>
              <w:t>COYOTEPEC</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color w:val="333333"/>
                <w:sz w:val="18"/>
              </w:rPr>
              <w:t>CUAUTITLAN</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color w:val="333333"/>
                <w:sz w:val="18"/>
              </w:rPr>
              <w:t>CUAUTITLAN IZCALLI</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color w:val="333333"/>
                <w:sz w:val="18"/>
              </w:rPr>
              <w:t>DONATO GUERRA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color w:val="333333"/>
                <w:sz w:val="18"/>
              </w:rPr>
              <w:t>ECATEPEC DE MORELOS</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color w:val="333333"/>
                <w:sz w:val="18"/>
              </w:rPr>
              <w:t>ECATZINGO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color w:val="333333"/>
                <w:sz w:val="18"/>
              </w:rPr>
              <w:t>EL ORO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color w:val="333333"/>
                <w:sz w:val="18"/>
              </w:rPr>
              <w:t>HUEHUETOCA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5" w:right="45"/>
              <w:rPr>
                <w:sz w:val="18"/>
              </w:rPr>
            </w:pPr>
            <w:r>
              <w:rPr>
                <w:sz w:val="18"/>
              </w:rPr>
              <w:t>$244,209,073.00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5" w:right="45"/>
              <w:rPr>
                <w:sz w:val="18"/>
              </w:rPr>
            </w:pPr>
            <w:r>
              <w:rPr>
                <w:sz w:val="18"/>
              </w:rPr>
              <w:t>$244,209,073.00</w:t>
            </w:r>
          </w:p>
        </w:tc>
      </w:tr>
      <w:tr>
        <w:trPr>
          <w:trHeight w:val="319" w:hRule="exact"/>
        </w:trPr>
        <w:tc>
          <w:tcPr>
            <w:tcW w:w="3788" w:type="dxa"/>
          </w:tcPr>
          <w:p>
            <w:pPr>
              <w:pStyle w:val="TableParagraph"/>
              <w:spacing w:line="201" w:lineRule="exact"/>
              <w:ind w:left="64"/>
              <w:jc w:val="left"/>
              <w:rPr>
                <w:b/>
                <w:sz w:val="18"/>
              </w:rPr>
            </w:pPr>
            <w:r>
              <w:rPr>
                <w:b/>
                <w:color w:val="333333"/>
                <w:sz w:val="18"/>
              </w:rPr>
              <w:t>HUEYPOXTLA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4" w:lineRule="exact"/>
              <w:ind w:left="64"/>
              <w:jc w:val="left"/>
              <w:rPr>
                <w:b/>
                <w:sz w:val="18"/>
              </w:rPr>
            </w:pPr>
            <w:r>
              <w:rPr>
                <w:b/>
                <w:color w:val="333333"/>
                <w:sz w:val="18"/>
              </w:rPr>
              <w:t>HUIXQUILUCAN</w:t>
            </w:r>
          </w:p>
        </w:tc>
        <w:tc>
          <w:tcPr>
            <w:tcW w:w="1645" w:type="dxa"/>
          </w:tcPr>
          <w:p>
            <w:pPr>
              <w:pStyle w:val="TableParagraph"/>
              <w:spacing w:before="2"/>
              <w:ind w:left="121" w:right="117"/>
              <w:rPr>
                <w:sz w:val="18"/>
              </w:rPr>
            </w:pPr>
            <w:r>
              <w:rPr>
                <w:sz w:val="18"/>
              </w:rPr>
              <w:t>$0.00</w:t>
            </w:r>
          </w:p>
        </w:tc>
        <w:tc>
          <w:tcPr>
            <w:tcW w:w="643" w:type="dxa"/>
          </w:tcPr>
          <w:p>
            <w:pPr>
              <w:pStyle w:val="TableParagraph"/>
              <w:spacing w:before="2"/>
              <w:ind w:left="91"/>
              <w:jc w:val="left"/>
              <w:rPr>
                <w:sz w:val="18"/>
              </w:rPr>
            </w:pPr>
            <w:r>
              <w:rPr>
                <w:sz w:val="18"/>
              </w:rPr>
              <w:t>$0.00</w:t>
            </w:r>
          </w:p>
        </w:tc>
        <w:tc>
          <w:tcPr>
            <w:tcW w:w="670" w:type="dxa"/>
          </w:tcPr>
          <w:p>
            <w:pPr>
              <w:pStyle w:val="TableParagraph"/>
              <w:spacing w:before="2"/>
              <w:ind w:left="83" w:right="84"/>
              <w:rPr>
                <w:sz w:val="18"/>
              </w:rPr>
            </w:pPr>
            <w:r>
              <w:rPr>
                <w:sz w:val="18"/>
              </w:rPr>
              <w:t>$0.00</w:t>
            </w:r>
          </w:p>
        </w:tc>
        <w:tc>
          <w:tcPr>
            <w:tcW w:w="1644" w:type="dxa"/>
          </w:tcPr>
          <w:p>
            <w:pPr>
              <w:pStyle w:val="TableParagraph"/>
              <w:spacing w:before="2"/>
              <w:ind w:left="590" w:right="358"/>
              <w:jc w:val="left"/>
              <w:rPr>
                <w:sz w:val="18"/>
              </w:rPr>
            </w:pPr>
            <w:r>
              <w:rPr>
                <w:sz w:val="18"/>
              </w:rPr>
              <w:t>$0.00</w:t>
            </w:r>
          </w:p>
        </w:tc>
        <w:tc>
          <w:tcPr>
            <w:tcW w:w="1644" w:type="dxa"/>
          </w:tcPr>
          <w:p>
            <w:pPr>
              <w:pStyle w:val="TableParagraph"/>
              <w:spacing w:before="2"/>
              <w:ind w:left="44" w:right="45"/>
              <w:rPr>
                <w:sz w:val="18"/>
              </w:rPr>
            </w:pPr>
            <w:r>
              <w:rPr>
                <w:sz w:val="18"/>
              </w:rPr>
              <w:t>$0.00</w:t>
            </w:r>
          </w:p>
        </w:tc>
        <w:tc>
          <w:tcPr>
            <w:tcW w:w="643" w:type="dxa"/>
          </w:tcPr>
          <w:p>
            <w:pPr>
              <w:pStyle w:val="TableParagraph"/>
              <w:spacing w:before="2"/>
              <w:ind w:left="70" w:right="71"/>
              <w:rPr>
                <w:sz w:val="18"/>
              </w:rPr>
            </w:pPr>
            <w:r>
              <w:rPr>
                <w:sz w:val="18"/>
              </w:rPr>
              <w:t>$0.00</w:t>
            </w:r>
          </w:p>
        </w:tc>
        <w:tc>
          <w:tcPr>
            <w:tcW w:w="1645" w:type="dxa"/>
          </w:tcPr>
          <w:p>
            <w:pPr>
              <w:pStyle w:val="TableParagraph"/>
              <w:spacing w:before="2"/>
              <w:ind w:left="119" w:right="119"/>
              <w:rPr>
                <w:sz w:val="18"/>
              </w:rPr>
            </w:pPr>
            <w:r>
              <w:rPr>
                <w:sz w:val="18"/>
              </w:rPr>
              <w:t>$0.00</w:t>
            </w:r>
          </w:p>
        </w:tc>
        <w:tc>
          <w:tcPr>
            <w:tcW w:w="1644" w:type="dxa"/>
          </w:tcPr>
          <w:p>
            <w:pPr>
              <w:pStyle w:val="TableParagraph"/>
              <w:spacing w:before="2"/>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color w:val="333333"/>
                <w:sz w:val="18"/>
              </w:rPr>
              <w:t>ISIDRO FABELA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4" w:lineRule="exact"/>
              <w:ind w:left="64"/>
              <w:jc w:val="left"/>
              <w:rPr>
                <w:b/>
                <w:sz w:val="18"/>
              </w:rPr>
            </w:pPr>
            <w:r>
              <w:rPr>
                <w:b/>
                <w:color w:val="333333"/>
                <w:sz w:val="18"/>
              </w:rPr>
              <w:t>IXTAPALUCA</w:t>
            </w:r>
          </w:p>
        </w:tc>
        <w:tc>
          <w:tcPr>
            <w:tcW w:w="1645" w:type="dxa"/>
          </w:tcPr>
          <w:p>
            <w:pPr>
              <w:pStyle w:val="TableParagraph"/>
              <w:spacing w:before="1"/>
              <w:ind w:left="121" w:right="117"/>
              <w:rPr>
                <w:sz w:val="18"/>
              </w:rPr>
            </w:pPr>
            <w:r>
              <w:rPr>
                <w:sz w:val="18"/>
              </w:rPr>
              <w:t>$0.00</w:t>
            </w:r>
          </w:p>
        </w:tc>
        <w:tc>
          <w:tcPr>
            <w:tcW w:w="643" w:type="dxa"/>
          </w:tcPr>
          <w:p>
            <w:pPr>
              <w:pStyle w:val="TableParagraph"/>
              <w:spacing w:before="1"/>
              <w:ind w:left="91"/>
              <w:jc w:val="left"/>
              <w:rPr>
                <w:sz w:val="18"/>
              </w:rPr>
            </w:pPr>
            <w:r>
              <w:rPr>
                <w:sz w:val="18"/>
              </w:rPr>
              <w:t>$0.00</w:t>
            </w:r>
          </w:p>
        </w:tc>
        <w:tc>
          <w:tcPr>
            <w:tcW w:w="670" w:type="dxa"/>
          </w:tcPr>
          <w:p>
            <w:pPr>
              <w:pStyle w:val="TableParagraph"/>
              <w:spacing w:before="1"/>
              <w:ind w:left="84" w:right="84"/>
              <w:rPr>
                <w:sz w:val="18"/>
              </w:rPr>
            </w:pPr>
            <w:r>
              <w:rPr>
                <w:sz w:val="18"/>
              </w:rPr>
              <w:t>$0.00</w:t>
            </w:r>
          </w:p>
        </w:tc>
        <w:tc>
          <w:tcPr>
            <w:tcW w:w="1644" w:type="dxa"/>
          </w:tcPr>
          <w:p>
            <w:pPr>
              <w:pStyle w:val="TableParagraph"/>
              <w:spacing w:before="1"/>
              <w:ind w:left="590" w:right="358"/>
              <w:jc w:val="left"/>
              <w:rPr>
                <w:sz w:val="18"/>
              </w:rPr>
            </w:pPr>
            <w:r>
              <w:rPr>
                <w:sz w:val="18"/>
              </w:rPr>
              <w:t>$0.00</w:t>
            </w:r>
          </w:p>
        </w:tc>
        <w:tc>
          <w:tcPr>
            <w:tcW w:w="1644" w:type="dxa"/>
          </w:tcPr>
          <w:p>
            <w:pPr>
              <w:pStyle w:val="TableParagraph"/>
              <w:spacing w:before="1"/>
              <w:ind w:left="44" w:right="45"/>
              <w:rPr>
                <w:sz w:val="18"/>
              </w:rPr>
            </w:pPr>
            <w:r>
              <w:rPr>
                <w:sz w:val="18"/>
              </w:rPr>
              <w:t>$0.00</w:t>
            </w:r>
          </w:p>
        </w:tc>
        <w:tc>
          <w:tcPr>
            <w:tcW w:w="643" w:type="dxa"/>
          </w:tcPr>
          <w:p>
            <w:pPr>
              <w:pStyle w:val="TableParagraph"/>
              <w:spacing w:before="1"/>
              <w:ind w:left="70" w:right="71"/>
              <w:rPr>
                <w:sz w:val="18"/>
              </w:rPr>
            </w:pPr>
            <w:r>
              <w:rPr>
                <w:sz w:val="18"/>
              </w:rPr>
              <w:t>$0.00</w:t>
            </w:r>
          </w:p>
        </w:tc>
        <w:tc>
          <w:tcPr>
            <w:tcW w:w="1645" w:type="dxa"/>
          </w:tcPr>
          <w:p>
            <w:pPr>
              <w:pStyle w:val="TableParagraph"/>
              <w:spacing w:before="1"/>
              <w:ind w:left="119" w:right="119"/>
              <w:rPr>
                <w:sz w:val="18"/>
              </w:rPr>
            </w:pPr>
            <w:r>
              <w:rPr>
                <w:sz w:val="18"/>
              </w:rPr>
              <w:t>$0.00</w:t>
            </w:r>
          </w:p>
        </w:tc>
        <w:tc>
          <w:tcPr>
            <w:tcW w:w="1644" w:type="dxa"/>
          </w:tcPr>
          <w:p>
            <w:pPr>
              <w:pStyle w:val="TableParagraph"/>
              <w:spacing w:before="1"/>
              <w:ind w:left="44"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color w:val="333333"/>
                <w:sz w:val="18"/>
              </w:rPr>
              <w:t>IXTAPAN DE LA SAL</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bl>
    <w:p>
      <w:pPr>
        <w:spacing w:after="0" w:line="206" w:lineRule="exact"/>
        <w:rPr>
          <w:sz w:val="18"/>
        </w:rPr>
        <w:sectPr>
          <w:pgSz w:w="15840" w:h="12240" w:orient="landscape"/>
          <w:pgMar w:header="0" w:footer="975" w:top="1140" w:bottom="1160" w:left="820" w:right="820"/>
        </w:sectPr>
      </w:pPr>
    </w:p>
    <w:p>
      <w:pPr>
        <w:pStyle w:val="BodyText"/>
        <w:rPr>
          <w:rFonts w:ascii="Times New Roman"/>
          <w:sz w:val="20"/>
        </w:rPr>
      </w:pPr>
    </w:p>
    <w:p>
      <w:pPr>
        <w:pStyle w:val="BodyText"/>
        <w:spacing w:before="10"/>
        <w:rPr>
          <w:rFonts w:ascii="Times New Roman"/>
          <w:sz w:val="28"/>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88"/>
        <w:gridCol w:w="1645"/>
        <w:gridCol w:w="643"/>
        <w:gridCol w:w="670"/>
        <w:gridCol w:w="1644"/>
        <w:gridCol w:w="1644"/>
        <w:gridCol w:w="643"/>
        <w:gridCol w:w="1645"/>
        <w:gridCol w:w="1644"/>
      </w:tblGrid>
      <w:tr>
        <w:trPr>
          <w:trHeight w:val="430" w:hRule="exact"/>
        </w:trPr>
        <w:tc>
          <w:tcPr>
            <w:tcW w:w="13965" w:type="dxa"/>
            <w:gridSpan w:val="9"/>
            <w:shd w:val="clear" w:color="auto" w:fill="C5DFB3"/>
          </w:tcPr>
          <w:p>
            <w:pPr>
              <w:pStyle w:val="TableParagraph"/>
              <w:spacing w:before="49"/>
              <w:ind w:left="3324"/>
              <w:jc w:val="left"/>
              <w:rPr>
                <w:b/>
                <w:sz w:val="18"/>
              </w:rPr>
            </w:pPr>
            <w:r>
              <w:rPr>
                <w:b/>
                <w:sz w:val="18"/>
              </w:rPr>
              <w:t>Anexo 24A. Municipios que publican apartado presupuesto 2008-2009 (Continuación)</w:t>
            </w:r>
          </w:p>
        </w:tc>
      </w:tr>
      <w:tr>
        <w:trPr>
          <w:trHeight w:val="340" w:hRule="exact"/>
        </w:trPr>
        <w:tc>
          <w:tcPr>
            <w:tcW w:w="3788" w:type="dxa"/>
            <w:vMerge w:val="restart"/>
            <w:shd w:val="clear" w:color="auto" w:fill="C5DFB3"/>
          </w:tcPr>
          <w:p>
            <w:pPr>
              <w:pStyle w:val="TableParagraph"/>
              <w:jc w:val="left"/>
              <w:rPr>
                <w:rFonts w:ascii="Times New Roman"/>
                <w:sz w:val="18"/>
              </w:rPr>
            </w:pPr>
          </w:p>
          <w:p>
            <w:pPr>
              <w:pStyle w:val="TableParagraph"/>
              <w:spacing w:before="11"/>
              <w:jc w:val="left"/>
              <w:rPr>
                <w:rFonts w:ascii="Times New Roman"/>
                <w:sz w:val="21"/>
              </w:rPr>
            </w:pPr>
          </w:p>
          <w:p>
            <w:pPr>
              <w:pStyle w:val="TableParagraph"/>
              <w:ind w:left="1446" w:right="1448"/>
              <w:rPr>
                <w:rFonts w:ascii="Calibri"/>
                <w:b/>
                <w:sz w:val="18"/>
              </w:rPr>
            </w:pPr>
            <w:r>
              <w:rPr>
                <w:rFonts w:ascii="Calibri"/>
                <w:b/>
                <w:sz w:val="18"/>
              </w:rPr>
              <w:t>Municipio</w:t>
            </w:r>
          </w:p>
        </w:tc>
        <w:tc>
          <w:tcPr>
            <w:tcW w:w="4602" w:type="dxa"/>
            <w:gridSpan w:val="4"/>
            <w:shd w:val="clear" w:color="auto" w:fill="C5DFB3"/>
          </w:tcPr>
          <w:p>
            <w:pPr>
              <w:pStyle w:val="TableParagraph"/>
              <w:spacing w:line="219" w:lineRule="exact"/>
              <w:ind w:left="2076" w:right="2074"/>
              <w:rPr>
                <w:rFonts w:ascii="Calibri"/>
                <w:b/>
                <w:sz w:val="18"/>
              </w:rPr>
            </w:pPr>
            <w:r>
              <w:rPr>
                <w:rFonts w:ascii="Calibri"/>
                <w:b/>
                <w:sz w:val="18"/>
              </w:rPr>
              <w:t>2008</w:t>
            </w:r>
          </w:p>
        </w:tc>
        <w:tc>
          <w:tcPr>
            <w:tcW w:w="5576" w:type="dxa"/>
            <w:gridSpan w:val="4"/>
            <w:shd w:val="clear" w:color="auto" w:fill="C5DFB3"/>
          </w:tcPr>
          <w:p>
            <w:pPr>
              <w:pStyle w:val="TableParagraph"/>
              <w:spacing w:line="219" w:lineRule="exact"/>
              <w:ind w:left="2562" w:right="2563"/>
              <w:rPr>
                <w:rFonts w:ascii="Calibri"/>
                <w:b/>
                <w:sz w:val="18"/>
              </w:rPr>
            </w:pPr>
            <w:r>
              <w:rPr>
                <w:rFonts w:ascii="Calibri"/>
                <w:b/>
                <w:sz w:val="18"/>
              </w:rPr>
              <w:t>2009</w:t>
            </w:r>
          </w:p>
        </w:tc>
      </w:tr>
      <w:tr>
        <w:trPr>
          <w:trHeight w:val="923" w:hRule="exact"/>
        </w:trPr>
        <w:tc>
          <w:tcPr>
            <w:tcW w:w="3788" w:type="dxa"/>
            <w:vMerge/>
            <w:shd w:val="clear" w:color="auto" w:fill="C5DFB3"/>
          </w:tcPr>
          <w:p>
            <w:pPr/>
          </w:p>
        </w:tc>
        <w:tc>
          <w:tcPr>
            <w:tcW w:w="1645"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6"/>
              <w:jc w:val="left"/>
              <w:rPr>
                <w:rFonts w:ascii="Times New Roman"/>
                <w:sz w:val="20"/>
              </w:rPr>
            </w:pPr>
          </w:p>
          <w:p>
            <w:pPr>
              <w:pStyle w:val="TableParagraph"/>
              <w:ind w:left="40"/>
              <w:jc w:val="left"/>
              <w:rPr>
                <w:rFonts w:ascii="Calibri"/>
                <w:b/>
                <w:sz w:val="18"/>
              </w:rPr>
            </w:pPr>
            <w:r>
              <w:rPr>
                <w:rFonts w:ascii="Calibri"/>
                <w:b/>
                <w:spacing w:val="-2"/>
                <w:sz w:val="18"/>
              </w:rPr>
              <w:t>A</w:t>
            </w:r>
            <w:r>
              <w:rPr>
                <w:rFonts w:ascii="Calibri"/>
                <w:b/>
                <w:spacing w:val="-1"/>
                <w:sz w:val="18"/>
              </w:rPr>
              <w:t>u</w:t>
            </w:r>
            <w:r>
              <w:rPr>
                <w:rFonts w:ascii="Calibri"/>
                <w:b/>
                <w:sz w:val="18"/>
              </w:rPr>
              <w:t>t</w:t>
            </w:r>
            <w:r>
              <w:rPr>
                <w:rFonts w:ascii="Calibri"/>
                <w:b/>
                <w:spacing w:val="-1"/>
                <w:sz w:val="18"/>
              </w:rPr>
              <w:t>o</w:t>
            </w:r>
            <w:r>
              <w:rPr>
                <w:rFonts w:ascii="Calibri"/>
                <w:b/>
                <w:sz w:val="18"/>
              </w:rPr>
              <w:t>r</w:t>
            </w:r>
            <w:r>
              <w:rPr>
                <w:rFonts w:ascii="Calibri"/>
                <w:b/>
                <w:spacing w:val="-1"/>
                <w:sz w:val="18"/>
              </w:rPr>
              <w:t>iza</w:t>
            </w:r>
            <w:r>
              <w:rPr>
                <w:rFonts w:ascii="Calibri"/>
                <w:b/>
                <w:spacing w:val="2"/>
                <w:sz w:val="18"/>
              </w:rPr>
              <w:t>d</w:t>
            </w:r>
            <w:r>
              <w:rPr>
                <w:rFonts w:ascii="Calibri"/>
                <w:b/>
                <w:sz w:val="18"/>
              </w:rPr>
              <w:t>o</w:t>
            </w:r>
          </w:p>
        </w:tc>
        <w:tc>
          <w:tcPr>
            <w:tcW w:w="643" w:type="dxa"/>
            <w:shd w:val="clear" w:color="auto" w:fill="C5DFB3"/>
            <w:textDirection w:val="btLr"/>
          </w:tcPr>
          <w:p>
            <w:pPr>
              <w:pStyle w:val="TableParagraph"/>
              <w:spacing w:before="148"/>
              <w:ind w:left="28"/>
              <w:jc w:val="left"/>
              <w:rPr>
                <w:rFonts w:ascii="Calibri"/>
                <w:b/>
                <w:sz w:val="18"/>
              </w:rPr>
            </w:pPr>
            <w:r>
              <w:rPr>
                <w:rFonts w:ascii="Calibri"/>
                <w:b/>
                <w:sz w:val="18"/>
              </w:rPr>
              <w:t>M</w:t>
            </w:r>
            <w:r>
              <w:rPr>
                <w:rFonts w:ascii="Calibri"/>
                <w:b/>
                <w:spacing w:val="-1"/>
                <w:sz w:val="18"/>
              </w:rPr>
              <w:t>odi</w:t>
            </w:r>
            <w:r>
              <w:rPr>
                <w:rFonts w:ascii="Calibri"/>
                <w:b/>
                <w:sz w:val="18"/>
              </w:rPr>
              <w:t>f</w:t>
            </w:r>
            <w:r>
              <w:rPr>
                <w:rFonts w:ascii="Calibri"/>
                <w:b/>
                <w:spacing w:val="-1"/>
                <w:sz w:val="18"/>
              </w:rPr>
              <w:t>ic</w:t>
            </w:r>
            <w:r>
              <w:rPr>
                <w:rFonts w:ascii="Calibri"/>
                <w:b/>
                <w:sz w:val="18"/>
              </w:rPr>
              <w:t>a</w:t>
            </w:r>
            <w:r>
              <w:rPr>
                <w:rFonts w:ascii="Calibri"/>
                <w:b/>
                <w:spacing w:val="1"/>
                <w:sz w:val="18"/>
              </w:rPr>
              <w:t>d</w:t>
            </w:r>
            <w:r>
              <w:rPr>
                <w:rFonts w:ascii="Calibri"/>
                <w:b/>
                <w:sz w:val="18"/>
              </w:rPr>
              <w:t>o</w:t>
            </w:r>
          </w:p>
        </w:tc>
        <w:tc>
          <w:tcPr>
            <w:tcW w:w="670" w:type="dxa"/>
            <w:shd w:val="clear" w:color="auto" w:fill="C5DFB3"/>
            <w:textDirection w:val="btLr"/>
          </w:tcPr>
          <w:p>
            <w:pPr>
              <w:pStyle w:val="TableParagraph"/>
              <w:spacing w:before="160"/>
              <w:ind w:left="153"/>
              <w:jc w:val="left"/>
              <w:rPr>
                <w:rFonts w:ascii="Calibri"/>
                <w:b/>
                <w:sz w:val="18"/>
              </w:rPr>
            </w:pPr>
            <w:r>
              <w:rPr>
                <w:rFonts w:ascii="Calibri"/>
                <w:b/>
                <w:sz w:val="18"/>
              </w:rPr>
              <w:t>E</w:t>
            </w:r>
            <w:r>
              <w:rPr>
                <w:rFonts w:ascii="Calibri"/>
                <w:b/>
                <w:spacing w:val="-1"/>
                <w:sz w:val="18"/>
              </w:rPr>
              <w:t>je</w:t>
            </w:r>
            <w:r>
              <w:rPr>
                <w:rFonts w:ascii="Calibri"/>
                <w:b/>
                <w:spacing w:val="1"/>
                <w:sz w:val="18"/>
              </w:rPr>
              <w:t>r</w:t>
            </w:r>
            <w:r>
              <w:rPr>
                <w:rFonts w:ascii="Calibri"/>
                <w:b/>
                <w:spacing w:val="-1"/>
                <w:sz w:val="18"/>
              </w:rPr>
              <w:t>cid</w:t>
            </w:r>
            <w:r>
              <w:rPr>
                <w:rFonts w:ascii="Calibri"/>
                <w:b/>
                <w:sz w:val="18"/>
              </w:rPr>
              <w:t>o</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20"/>
              </w:rPr>
            </w:pPr>
          </w:p>
          <w:p>
            <w:pPr>
              <w:pStyle w:val="TableParagraph"/>
              <w:ind w:left="45"/>
              <w:jc w:val="left"/>
              <w:rPr>
                <w:rFonts w:ascii="Calibri"/>
                <w:b/>
                <w:sz w:val="18"/>
              </w:rPr>
            </w:pPr>
            <w:r>
              <w:rPr>
                <w:rFonts w:ascii="Calibri"/>
                <w:b/>
                <w:spacing w:val="-1"/>
                <w:sz w:val="18"/>
              </w:rPr>
              <w:t>Po</w:t>
            </w:r>
            <w:r>
              <w:rPr>
                <w:rFonts w:ascii="Calibri"/>
                <w:b/>
                <w:sz w:val="18"/>
              </w:rPr>
              <w:t>r e</w:t>
            </w:r>
            <w:r>
              <w:rPr>
                <w:rFonts w:ascii="Calibri"/>
                <w:b/>
                <w:spacing w:val="-1"/>
                <w:sz w:val="18"/>
              </w:rPr>
              <w:t>je</w:t>
            </w:r>
            <w:r>
              <w:rPr>
                <w:rFonts w:ascii="Calibri"/>
                <w:b/>
                <w:spacing w:val="1"/>
                <w:sz w:val="18"/>
              </w:rPr>
              <w:t>r</w:t>
            </w:r>
            <w:r>
              <w:rPr>
                <w:rFonts w:ascii="Calibri"/>
                <w:b/>
                <w:spacing w:val="-1"/>
                <w:sz w:val="18"/>
              </w:rPr>
              <w:t>c</w:t>
            </w:r>
            <w:r>
              <w:rPr>
                <w:rFonts w:ascii="Calibri"/>
                <w:b/>
                <w:sz w:val="18"/>
              </w:rPr>
              <w:t>er</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20"/>
              </w:rPr>
            </w:pPr>
          </w:p>
          <w:p>
            <w:pPr>
              <w:pStyle w:val="TableParagraph"/>
              <w:ind w:left="40"/>
              <w:jc w:val="left"/>
              <w:rPr>
                <w:rFonts w:ascii="Calibri"/>
                <w:b/>
                <w:sz w:val="18"/>
              </w:rPr>
            </w:pPr>
            <w:r>
              <w:rPr>
                <w:rFonts w:ascii="Calibri"/>
                <w:b/>
                <w:spacing w:val="-2"/>
                <w:sz w:val="18"/>
              </w:rPr>
              <w:t>A</w:t>
            </w:r>
            <w:r>
              <w:rPr>
                <w:rFonts w:ascii="Calibri"/>
                <w:b/>
                <w:spacing w:val="-1"/>
                <w:sz w:val="18"/>
              </w:rPr>
              <w:t>u</w:t>
            </w:r>
            <w:r>
              <w:rPr>
                <w:rFonts w:ascii="Calibri"/>
                <w:b/>
                <w:sz w:val="18"/>
              </w:rPr>
              <w:t>t</w:t>
            </w:r>
            <w:r>
              <w:rPr>
                <w:rFonts w:ascii="Calibri"/>
                <w:b/>
                <w:spacing w:val="-1"/>
                <w:sz w:val="18"/>
              </w:rPr>
              <w:t>o</w:t>
            </w:r>
            <w:r>
              <w:rPr>
                <w:rFonts w:ascii="Calibri"/>
                <w:b/>
                <w:sz w:val="18"/>
              </w:rPr>
              <w:t>r</w:t>
            </w:r>
            <w:r>
              <w:rPr>
                <w:rFonts w:ascii="Calibri"/>
                <w:b/>
                <w:spacing w:val="-1"/>
                <w:sz w:val="18"/>
              </w:rPr>
              <w:t>i</w:t>
            </w:r>
            <w:r>
              <w:rPr>
                <w:rFonts w:ascii="Calibri"/>
                <w:b/>
                <w:sz w:val="18"/>
              </w:rPr>
              <w:t>za</w:t>
            </w:r>
            <w:r>
              <w:rPr>
                <w:rFonts w:ascii="Calibri"/>
                <w:b/>
                <w:spacing w:val="1"/>
                <w:sz w:val="18"/>
              </w:rPr>
              <w:t>d</w:t>
            </w:r>
            <w:r>
              <w:rPr>
                <w:rFonts w:ascii="Calibri"/>
                <w:b/>
                <w:sz w:val="18"/>
              </w:rPr>
              <w:t>o</w:t>
            </w:r>
          </w:p>
        </w:tc>
        <w:tc>
          <w:tcPr>
            <w:tcW w:w="643" w:type="dxa"/>
            <w:shd w:val="clear" w:color="auto" w:fill="C5DFB3"/>
            <w:textDirection w:val="btLr"/>
          </w:tcPr>
          <w:p>
            <w:pPr>
              <w:pStyle w:val="TableParagraph"/>
              <w:spacing w:before="148"/>
              <w:ind w:left="28"/>
              <w:jc w:val="left"/>
              <w:rPr>
                <w:rFonts w:ascii="Calibri"/>
                <w:b/>
                <w:sz w:val="18"/>
              </w:rPr>
            </w:pPr>
            <w:r>
              <w:rPr>
                <w:rFonts w:ascii="Calibri"/>
                <w:b/>
                <w:sz w:val="18"/>
              </w:rPr>
              <w:t>M</w:t>
            </w:r>
            <w:r>
              <w:rPr>
                <w:rFonts w:ascii="Calibri"/>
                <w:b/>
                <w:spacing w:val="-1"/>
                <w:sz w:val="18"/>
              </w:rPr>
              <w:t>odi</w:t>
            </w:r>
            <w:r>
              <w:rPr>
                <w:rFonts w:ascii="Calibri"/>
                <w:b/>
                <w:sz w:val="18"/>
              </w:rPr>
              <w:t>f</w:t>
            </w:r>
            <w:r>
              <w:rPr>
                <w:rFonts w:ascii="Calibri"/>
                <w:b/>
                <w:spacing w:val="-1"/>
                <w:sz w:val="18"/>
              </w:rPr>
              <w:t>ic</w:t>
            </w:r>
            <w:r>
              <w:rPr>
                <w:rFonts w:ascii="Calibri"/>
                <w:b/>
                <w:sz w:val="18"/>
              </w:rPr>
              <w:t>a</w:t>
            </w:r>
            <w:r>
              <w:rPr>
                <w:rFonts w:ascii="Calibri"/>
                <w:b/>
                <w:spacing w:val="1"/>
                <w:sz w:val="18"/>
              </w:rPr>
              <w:t>d</w:t>
            </w:r>
            <w:r>
              <w:rPr>
                <w:rFonts w:ascii="Calibri"/>
                <w:b/>
                <w:sz w:val="18"/>
              </w:rPr>
              <w:t>o</w:t>
            </w:r>
          </w:p>
        </w:tc>
        <w:tc>
          <w:tcPr>
            <w:tcW w:w="1645"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20"/>
              </w:rPr>
            </w:pPr>
          </w:p>
          <w:p>
            <w:pPr>
              <w:pStyle w:val="TableParagraph"/>
              <w:ind w:left="153"/>
              <w:jc w:val="left"/>
              <w:rPr>
                <w:rFonts w:ascii="Calibri"/>
                <w:b/>
                <w:sz w:val="18"/>
              </w:rPr>
            </w:pPr>
            <w:r>
              <w:rPr>
                <w:rFonts w:ascii="Calibri"/>
                <w:b/>
                <w:sz w:val="18"/>
              </w:rPr>
              <w:t>E</w:t>
            </w:r>
            <w:r>
              <w:rPr>
                <w:rFonts w:ascii="Calibri"/>
                <w:b/>
                <w:spacing w:val="-1"/>
                <w:sz w:val="18"/>
              </w:rPr>
              <w:t>je</w:t>
            </w:r>
            <w:r>
              <w:rPr>
                <w:rFonts w:ascii="Calibri"/>
                <w:b/>
                <w:spacing w:val="1"/>
                <w:sz w:val="18"/>
              </w:rPr>
              <w:t>r</w:t>
            </w:r>
            <w:r>
              <w:rPr>
                <w:rFonts w:ascii="Calibri"/>
                <w:b/>
                <w:spacing w:val="-1"/>
                <w:sz w:val="18"/>
              </w:rPr>
              <w:t>cid</w:t>
            </w:r>
            <w:r>
              <w:rPr>
                <w:rFonts w:ascii="Calibri"/>
                <w:b/>
                <w:sz w:val="18"/>
              </w:rPr>
              <w:t>o</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20"/>
              </w:rPr>
            </w:pPr>
          </w:p>
          <w:p>
            <w:pPr>
              <w:pStyle w:val="TableParagraph"/>
              <w:ind w:left="45"/>
              <w:jc w:val="left"/>
              <w:rPr>
                <w:rFonts w:ascii="Calibri"/>
                <w:b/>
                <w:sz w:val="18"/>
              </w:rPr>
            </w:pPr>
            <w:r>
              <w:rPr>
                <w:rFonts w:ascii="Calibri"/>
                <w:b/>
                <w:spacing w:val="-1"/>
                <w:sz w:val="18"/>
              </w:rPr>
              <w:t>Po</w:t>
            </w:r>
            <w:r>
              <w:rPr>
                <w:rFonts w:ascii="Calibri"/>
                <w:b/>
                <w:sz w:val="18"/>
              </w:rPr>
              <w:t>r e</w:t>
            </w:r>
            <w:r>
              <w:rPr>
                <w:rFonts w:ascii="Calibri"/>
                <w:b/>
                <w:spacing w:val="-1"/>
                <w:sz w:val="18"/>
              </w:rPr>
              <w:t>je</w:t>
            </w:r>
            <w:r>
              <w:rPr>
                <w:rFonts w:ascii="Calibri"/>
                <w:b/>
                <w:spacing w:val="1"/>
                <w:sz w:val="18"/>
              </w:rPr>
              <w:t>r</w:t>
            </w:r>
            <w:r>
              <w:rPr>
                <w:rFonts w:ascii="Calibri"/>
                <w:b/>
                <w:spacing w:val="-1"/>
                <w:sz w:val="18"/>
              </w:rPr>
              <w:t>c</w:t>
            </w:r>
            <w:r>
              <w:rPr>
                <w:rFonts w:ascii="Calibri"/>
                <w:b/>
                <w:sz w:val="18"/>
              </w:rPr>
              <w:t>er</w:t>
            </w:r>
          </w:p>
        </w:tc>
      </w:tr>
      <w:tr>
        <w:trPr>
          <w:trHeight w:val="338" w:hRule="exact"/>
        </w:trPr>
        <w:tc>
          <w:tcPr>
            <w:tcW w:w="3788" w:type="dxa"/>
          </w:tcPr>
          <w:p>
            <w:pPr>
              <w:pStyle w:val="TableParagraph"/>
              <w:spacing w:line="219" w:lineRule="exact"/>
              <w:ind w:left="64"/>
              <w:jc w:val="left"/>
              <w:rPr>
                <w:rFonts w:ascii="Calibri"/>
                <w:b/>
                <w:sz w:val="18"/>
              </w:rPr>
            </w:pPr>
            <w:r>
              <w:rPr>
                <w:rFonts w:ascii="Calibri"/>
                <w:b/>
                <w:sz w:val="18"/>
              </w:rPr>
              <w:t>IXTAPAN DEL ORO</w:t>
            </w:r>
          </w:p>
        </w:tc>
        <w:tc>
          <w:tcPr>
            <w:tcW w:w="1645" w:type="dxa"/>
          </w:tcPr>
          <w:p>
            <w:pPr>
              <w:pStyle w:val="TableParagraph"/>
              <w:spacing w:line="219" w:lineRule="exact"/>
              <w:ind w:left="121" w:right="116"/>
              <w:rPr>
                <w:rFonts w:ascii="Calibri"/>
                <w:sz w:val="18"/>
              </w:rPr>
            </w:pPr>
            <w:r>
              <w:rPr>
                <w:rFonts w:ascii="Calibri"/>
                <w:sz w:val="18"/>
              </w:rPr>
              <w:t>$0.00</w:t>
            </w:r>
          </w:p>
        </w:tc>
        <w:tc>
          <w:tcPr>
            <w:tcW w:w="643" w:type="dxa"/>
          </w:tcPr>
          <w:p>
            <w:pPr>
              <w:pStyle w:val="TableParagraph"/>
              <w:spacing w:line="219" w:lineRule="exact"/>
              <w:ind w:left="112"/>
              <w:jc w:val="left"/>
              <w:rPr>
                <w:rFonts w:ascii="Calibri"/>
                <w:sz w:val="18"/>
              </w:rPr>
            </w:pPr>
            <w:r>
              <w:rPr>
                <w:rFonts w:ascii="Calibri"/>
                <w:sz w:val="18"/>
              </w:rPr>
              <w:t>$0.00</w:t>
            </w:r>
          </w:p>
        </w:tc>
        <w:tc>
          <w:tcPr>
            <w:tcW w:w="670" w:type="dxa"/>
          </w:tcPr>
          <w:p>
            <w:pPr>
              <w:pStyle w:val="TableParagraph"/>
              <w:spacing w:line="219" w:lineRule="exact"/>
              <w:ind w:left="124"/>
              <w:jc w:val="left"/>
              <w:rPr>
                <w:rFonts w:ascii="Calibri"/>
                <w:sz w:val="18"/>
              </w:rPr>
            </w:pPr>
            <w:r>
              <w:rPr>
                <w:rFonts w:ascii="Calibri"/>
                <w:sz w:val="18"/>
              </w:rPr>
              <w:t>$0.00</w:t>
            </w:r>
          </w:p>
        </w:tc>
        <w:tc>
          <w:tcPr>
            <w:tcW w:w="1644" w:type="dxa"/>
          </w:tcPr>
          <w:p>
            <w:pPr>
              <w:pStyle w:val="TableParagraph"/>
              <w:spacing w:line="219" w:lineRule="exact"/>
              <w:ind w:left="45" w:right="45"/>
              <w:rPr>
                <w:rFonts w:ascii="Calibri"/>
                <w:sz w:val="18"/>
              </w:rPr>
            </w:pPr>
            <w:r>
              <w:rPr>
                <w:rFonts w:ascii="Calibri"/>
                <w:sz w:val="18"/>
              </w:rPr>
              <w:t>$0.00</w:t>
            </w:r>
          </w:p>
        </w:tc>
        <w:tc>
          <w:tcPr>
            <w:tcW w:w="1644" w:type="dxa"/>
          </w:tcPr>
          <w:p>
            <w:pPr>
              <w:pStyle w:val="TableParagraph"/>
              <w:spacing w:line="219" w:lineRule="exact"/>
              <w:ind w:left="45" w:right="45"/>
              <w:rPr>
                <w:rFonts w:ascii="Calibri"/>
                <w:sz w:val="18"/>
              </w:rPr>
            </w:pPr>
            <w:r>
              <w:rPr>
                <w:rFonts w:ascii="Calibri"/>
                <w:sz w:val="18"/>
              </w:rPr>
              <w:t>$0.00</w:t>
            </w:r>
          </w:p>
        </w:tc>
        <w:tc>
          <w:tcPr>
            <w:tcW w:w="643" w:type="dxa"/>
          </w:tcPr>
          <w:p>
            <w:pPr>
              <w:pStyle w:val="TableParagraph"/>
              <w:spacing w:line="219" w:lineRule="exact"/>
              <w:ind w:right="110"/>
              <w:jc w:val="right"/>
              <w:rPr>
                <w:rFonts w:ascii="Calibri"/>
                <w:sz w:val="18"/>
              </w:rPr>
            </w:pPr>
            <w:r>
              <w:rPr>
                <w:rFonts w:ascii="Calibri"/>
                <w:sz w:val="18"/>
              </w:rPr>
              <w:t>$0.00</w:t>
            </w:r>
          </w:p>
        </w:tc>
        <w:tc>
          <w:tcPr>
            <w:tcW w:w="1645" w:type="dxa"/>
          </w:tcPr>
          <w:p>
            <w:pPr>
              <w:pStyle w:val="TableParagraph"/>
              <w:spacing w:line="219" w:lineRule="exact"/>
              <w:ind w:left="119" w:right="119"/>
              <w:rPr>
                <w:rFonts w:ascii="Calibri"/>
                <w:sz w:val="18"/>
              </w:rPr>
            </w:pPr>
            <w:r>
              <w:rPr>
                <w:rFonts w:ascii="Calibri"/>
                <w:sz w:val="18"/>
              </w:rPr>
              <w:t>$0.00</w:t>
            </w:r>
          </w:p>
        </w:tc>
        <w:tc>
          <w:tcPr>
            <w:tcW w:w="1644" w:type="dxa"/>
          </w:tcPr>
          <w:p>
            <w:pPr>
              <w:pStyle w:val="TableParagraph"/>
              <w:spacing w:line="219" w:lineRule="exact"/>
              <w:ind w:left="45" w:right="45"/>
              <w:rPr>
                <w:rFonts w:ascii="Calibri"/>
                <w:sz w:val="18"/>
              </w:rPr>
            </w:pPr>
            <w:r>
              <w:rPr>
                <w:rFonts w:ascii="Calibri"/>
                <w:sz w:val="18"/>
              </w:rPr>
              <w:t>$0.00</w:t>
            </w:r>
          </w:p>
        </w:tc>
      </w:tr>
      <w:tr>
        <w:trPr>
          <w:trHeight w:val="341" w:hRule="exact"/>
        </w:trPr>
        <w:tc>
          <w:tcPr>
            <w:tcW w:w="3788" w:type="dxa"/>
          </w:tcPr>
          <w:p>
            <w:pPr>
              <w:pStyle w:val="TableParagraph"/>
              <w:spacing w:before="1"/>
              <w:ind w:left="64"/>
              <w:jc w:val="left"/>
              <w:rPr>
                <w:rFonts w:ascii="Calibri"/>
                <w:b/>
                <w:sz w:val="18"/>
              </w:rPr>
            </w:pPr>
            <w:r>
              <w:rPr>
                <w:rFonts w:ascii="Calibri"/>
                <w:b/>
                <w:sz w:val="18"/>
              </w:rPr>
              <w:t>IXTLAHUACA</w:t>
            </w:r>
          </w:p>
        </w:tc>
        <w:tc>
          <w:tcPr>
            <w:tcW w:w="1645" w:type="dxa"/>
          </w:tcPr>
          <w:p>
            <w:pPr>
              <w:pStyle w:val="TableParagraph"/>
              <w:spacing w:before="1"/>
              <w:ind w:left="121" w:right="116"/>
              <w:rPr>
                <w:rFonts w:ascii="Calibri"/>
                <w:sz w:val="18"/>
              </w:rPr>
            </w:pPr>
            <w:r>
              <w:rPr>
                <w:rFonts w:ascii="Calibri"/>
                <w:sz w:val="18"/>
              </w:rPr>
              <w:t>$0.00</w:t>
            </w:r>
          </w:p>
        </w:tc>
        <w:tc>
          <w:tcPr>
            <w:tcW w:w="643" w:type="dxa"/>
          </w:tcPr>
          <w:p>
            <w:pPr>
              <w:pStyle w:val="TableParagraph"/>
              <w:spacing w:before="1"/>
              <w:ind w:left="112"/>
              <w:jc w:val="left"/>
              <w:rPr>
                <w:rFonts w:ascii="Calibri"/>
                <w:sz w:val="18"/>
              </w:rPr>
            </w:pPr>
            <w:r>
              <w:rPr>
                <w:rFonts w:ascii="Calibri"/>
                <w:sz w:val="18"/>
              </w:rPr>
              <w:t>$0.00</w:t>
            </w:r>
          </w:p>
        </w:tc>
        <w:tc>
          <w:tcPr>
            <w:tcW w:w="670" w:type="dxa"/>
          </w:tcPr>
          <w:p>
            <w:pPr>
              <w:pStyle w:val="TableParagraph"/>
              <w:spacing w:before="1"/>
              <w:ind w:left="124"/>
              <w:jc w:val="left"/>
              <w:rPr>
                <w:rFonts w:ascii="Calibri"/>
                <w:sz w:val="18"/>
              </w:rPr>
            </w:pPr>
            <w:r>
              <w:rPr>
                <w:rFonts w:ascii="Calibri"/>
                <w:sz w:val="18"/>
              </w:rPr>
              <w:t>$0.00</w:t>
            </w:r>
          </w:p>
        </w:tc>
        <w:tc>
          <w:tcPr>
            <w:tcW w:w="1644" w:type="dxa"/>
          </w:tcPr>
          <w:p>
            <w:pPr>
              <w:pStyle w:val="TableParagraph"/>
              <w:spacing w:before="1"/>
              <w:ind w:left="45" w:right="45"/>
              <w:rPr>
                <w:rFonts w:ascii="Calibri"/>
                <w:sz w:val="18"/>
              </w:rPr>
            </w:pPr>
            <w:r>
              <w:rPr>
                <w:rFonts w:ascii="Calibri"/>
                <w:sz w:val="18"/>
              </w:rPr>
              <w:t>$0.00</w:t>
            </w:r>
          </w:p>
        </w:tc>
        <w:tc>
          <w:tcPr>
            <w:tcW w:w="1644" w:type="dxa"/>
          </w:tcPr>
          <w:p>
            <w:pPr>
              <w:pStyle w:val="TableParagraph"/>
              <w:spacing w:before="1"/>
              <w:ind w:left="45" w:right="45"/>
              <w:rPr>
                <w:rFonts w:ascii="Calibri"/>
                <w:sz w:val="18"/>
              </w:rPr>
            </w:pPr>
            <w:r>
              <w:rPr>
                <w:rFonts w:ascii="Calibri"/>
                <w:sz w:val="18"/>
              </w:rPr>
              <w:t>$0.00</w:t>
            </w:r>
          </w:p>
        </w:tc>
        <w:tc>
          <w:tcPr>
            <w:tcW w:w="643" w:type="dxa"/>
          </w:tcPr>
          <w:p>
            <w:pPr>
              <w:pStyle w:val="TableParagraph"/>
              <w:spacing w:before="1"/>
              <w:ind w:right="110"/>
              <w:jc w:val="right"/>
              <w:rPr>
                <w:rFonts w:ascii="Calibri"/>
                <w:sz w:val="18"/>
              </w:rPr>
            </w:pPr>
            <w:r>
              <w:rPr>
                <w:rFonts w:ascii="Calibri"/>
                <w:sz w:val="18"/>
              </w:rPr>
              <w:t>$0.00</w:t>
            </w:r>
          </w:p>
        </w:tc>
        <w:tc>
          <w:tcPr>
            <w:tcW w:w="1645" w:type="dxa"/>
          </w:tcPr>
          <w:p>
            <w:pPr>
              <w:pStyle w:val="TableParagraph"/>
              <w:spacing w:before="1"/>
              <w:ind w:left="119" w:right="119"/>
              <w:rPr>
                <w:rFonts w:ascii="Calibri"/>
                <w:sz w:val="18"/>
              </w:rPr>
            </w:pPr>
            <w:r>
              <w:rPr>
                <w:rFonts w:ascii="Calibri"/>
                <w:sz w:val="18"/>
              </w:rPr>
              <w:t>$0.00</w:t>
            </w:r>
          </w:p>
        </w:tc>
        <w:tc>
          <w:tcPr>
            <w:tcW w:w="1644" w:type="dxa"/>
          </w:tcPr>
          <w:p>
            <w:pPr>
              <w:pStyle w:val="TableParagraph"/>
              <w:spacing w:before="1"/>
              <w:ind w:left="45" w:right="45"/>
              <w:rPr>
                <w:rFonts w:ascii="Calibri"/>
                <w:sz w:val="18"/>
              </w:rPr>
            </w:pPr>
            <w:r>
              <w:rPr>
                <w:rFonts w:ascii="Calibri"/>
                <w:sz w:val="18"/>
              </w:rPr>
              <w:t>$0.00</w:t>
            </w:r>
          </w:p>
        </w:tc>
      </w:tr>
      <w:tr>
        <w:trPr>
          <w:trHeight w:val="338" w:hRule="exact"/>
        </w:trPr>
        <w:tc>
          <w:tcPr>
            <w:tcW w:w="3788" w:type="dxa"/>
          </w:tcPr>
          <w:p>
            <w:pPr>
              <w:pStyle w:val="TableParagraph"/>
              <w:spacing w:line="219" w:lineRule="exact"/>
              <w:ind w:left="64"/>
              <w:jc w:val="left"/>
              <w:rPr>
                <w:rFonts w:ascii="Calibri"/>
                <w:b/>
                <w:sz w:val="18"/>
              </w:rPr>
            </w:pPr>
            <w:r>
              <w:rPr>
                <w:rFonts w:ascii="Calibri"/>
                <w:b/>
                <w:sz w:val="18"/>
              </w:rPr>
              <w:t>JALTENCO</w:t>
            </w:r>
          </w:p>
        </w:tc>
        <w:tc>
          <w:tcPr>
            <w:tcW w:w="1645" w:type="dxa"/>
          </w:tcPr>
          <w:p>
            <w:pPr>
              <w:pStyle w:val="TableParagraph"/>
              <w:spacing w:line="219" w:lineRule="exact"/>
              <w:ind w:left="121" w:right="116"/>
              <w:rPr>
                <w:rFonts w:ascii="Calibri"/>
                <w:sz w:val="18"/>
              </w:rPr>
            </w:pPr>
            <w:r>
              <w:rPr>
                <w:rFonts w:ascii="Calibri"/>
                <w:sz w:val="18"/>
              </w:rPr>
              <w:t>$0.00</w:t>
            </w:r>
          </w:p>
        </w:tc>
        <w:tc>
          <w:tcPr>
            <w:tcW w:w="643" w:type="dxa"/>
          </w:tcPr>
          <w:p>
            <w:pPr>
              <w:pStyle w:val="TableParagraph"/>
              <w:spacing w:line="219" w:lineRule="exact"/>
              <w:ind w:left="112"/>
              <w:jc w:val="left"/>
              <w:rPr>
                <w:rFonts w:ascii="Calibri"/>
                <w:sz w:val="18"/>
              </w:rPr>
            </w:pPr>
            <w:r>
              <w:rPr>
                <w:rFonts w:ascii="Calibri"/>
                <w:sz w:val="18"/>
              </w:rPr>
              <w:t>$0.00</w:t>
            </w:r>
          </w:p>
        </w:tc>
        <w:tc>
          <w:tcPr>
            <w:tcW w:w="670" w:type="dxa"/>
          </w:tcPr>
          <w:p>
            <w:pPr>
              <w:pStyle w:val="TableParagraph"/>
              <w:spacing w:line="219" w:lineRule="exact"/>
              <w:ind w:left="124"/>
              <w:jc w:val="left"/>
              <w:rPr>
                <w:rFonts w:ascii="Calibri"/>
                <w:sz w:val="18"/>
              </w:rPr>
            </w:pPr>
            <w:r>
              <w:rPr>
                <w:rFonts w:ascii="Calibri"/>
                <w:sz w:val="18"/>
              </w:rPr>
              <w:t>$0.00</w:t>
            </w:r>
          </w:p>
        </w:tc>
        <w:tc>
          <w:tcPr>
            <w:tcW w:w="1644" w:type="dxa"/>
          </w:tcPr>
          <w:p>
            <w:pPr>
              <w:pStyle w:val="TableParagraph"/>
              <w:spacing w:line="219" w:lineRule="exact"/>
              <w:ind w:left="45" w:right="45"/>
              <w:rPr>
                <w:rFonts w:ascii="Calibri"/>
                <w:sz w:val="18"/>
              </w:rPr>
            </w:pPr>
            <w:r>
              <w:rPr>
                <w:rFonts w:ascii="Calibri"/>
                <w:sz w:val="18"/>
              </w:rPr>
              <w:t>$0.00</w:t>
            </w:r>
          </w:p>
        </w:tc>
        <w:tc>
          <w:tcPr>
            <w:tcW w:w="1644" w:type="dxa"/>
          </w:tcPr>
          <w:p>
            <w:pPr>
              <w:pStyle w:val="TableParagraph"/>
              <w:spacing w:line="219" w:lineRule="exact"/>
              <w:ind w:left="45" w:right="45"/>
              <w:rPr>
                <w:rFonts w:ascii="Calibri"/>
                <w:sz w:val="18"/>
              </w:rPr>
            </w:pPr>
            <w:r>
              <w:rPr>
                <w:rFonts w:ascii="Calibri"/>
                <w:sz w:val="18"/>
              </w:rPr>
              <w:t>$0.00</w:t>
            </w:r>
          </w:p>
        </w:tc>
        <w:tc>
          <w:tcPr>
            <w:tcW w:w="643" w:type="dxa"/>
          </w:tcPr>
          <w:p>
            <w:pPr>
              <w:pStyle w:val="TableParagraph"/>
              <w:spacing w:line="219" w:lineRule="exact"/>
              <w:ind w:right="110"/>
              <w:jc w:val="right"/>
              <w:rPr>
                <w:rFonts w:ascii="Calibri"/>
                <w:sz w:val="18"/>
              </w:rPr>
            </w:pPr>
            <w:r>
              <w:rPr>
                <w:rFonts w:ascii="Calibri"/>
                <w:sz w:val="18"/>
              </w:rPr>
              <w:t>$0.00</w:t>
            </w:r>
          </w:p>
        </w:tc>
        <w:tc>
          <w:tcPr>
            <w:tcW w:w="1645" w:type="dxa"/>
          </w:tcPr>
          <w:p>
            <w:pPr>
              <w:pStyle w:val="TableParagraph"/>
              <w:spacing w:line="219" w:lineRule="exact"/>
              <w:ind w:left="119" w:right="119"/>
              <w:rPr>
                <w:rFonts w:ascii="Calibri"/>
                <w:sz w:val="18"/>
              </w:rPr>
            </w:pPr>
            <w:r>
              <w:rPr>
                <w:rFonts w:ascii="Calibri"/>
                <w:sz w:val="18"/>
              </w:rPr>
              <w:t>$0.00</w:t>
            </w:r>
          </w:p>
        </w:tc>
        <w:tc>
          <w:tcPr>
            <w:tcW w:w="1644" w:type="dxa"/>
          </w:tcPr>
          <w:p>
            <w:pPr>
              <w:pStyle w:val="TableParagraph"/>
              <w:spacing w:line="219" w:lineRule="exact"/>
              <w:ind w:left="45" w:right="45"/>
              <w:rPr>
                <w:rFonts w:ascii="Calibri"/>
                <w:sz w:val="18"/>
              </w:rPr>
            </w:pPr>
            <w:r>
              <w:rPr>
                <w:rFonts w:ascii="Calibri"/>
                <w:sz w:val="18"/>
              </w:rPr>
              <w:t>$0.00</w:t>
            </w:r>
          </w:p>
        </w:tc>
      </w:tr>
      <w:tr>
        <w:trPr>
          <w:trHeight w:val="341" w:hRule="exact"/>
        </w:trPr>
        <w:tc>
          <w:tcPr>
            <w:tcW w:w="3788" w:type="dxa"/>
          </w:tcPr>
          <w:p>
            <w:pPr>
              <w:pStyle w:val="TableParagraph"/>
              <w:spacing w:before="1"/>
              <w:ind w:left="64"/>
              <w:jc w:val="left"/>
              <w:rPr>
                <w:rFonts w:ascii="Calibri"/>
                <w:b/>
                <w:sz w:val="18"/>
              </w:rPr>
            </w:pPr>
            <w:r>
              <w:rPr>
                <w:rFonts w:ascii="Calibri"/>
                <w:b/>
                <w:sz w:val="18"/>
              </w:rPr>
              <w:t>JILOTEPEC</w:t>
            </w:r>
          </w:p>
        </w:tc>
        <w:tc>
          <w:tcPr>
            <w:tcW w:w="1645" w:type="dxa"/>
          </w:tcPr>
          <w:p>
            <w:pPr>
              <w:pStyle w:val="TableParagraph"/>
              <w:spacing w:before="1"/>
              <w:ind w:left="121" w:right="116"/>
              <w:rPr>
                <w:rFonts w:ascii="Calibri"/>
                <w:sz w:val="18"/>
              </w:rPr>
            </w:pPr>
            <w:r>
              <w:rPr>
                <w:rFonts w:ascii="Calibri"/>
                <w:sz w:val="18"/>
              </w:rPr>
              <w:t>$0.00</w:t>
            </w:r>
          </w:p>
        </w:tc>
        <w:tc>
          <w:tcPr>
            <w:tcW w:w="643" w:type="dxa"/>
          </w:tcPr>
          <w:p>
            <w:pPr>
              <w:pStyle w:val="TableParagraph"/>
              <w:spacing w:before="1"/>
              <w:ind w:left="112"/>
              <w:jc w:val="left"/>
              <w:rPr>
                <w:rFonts w:ascii="Calibri"/>
                <w:sz w:val="18"/>
              </w:rPr>
            </w:pPr>
            <w:r>
              <w:rPr>
                <w:rFonts w:ascii="Calibri"/>
                <w:sz w:val="18"/>
              </w:rPr>
              <w:t>$0.00</w:t>
            </w:r>
          </w:p>
        </w:tc>
        <w:tc>
          <w:tcPr>
            <w:tcW w:w="670" w:type="dxa"/>
          </w:tcPr>
          <w:p>
            <w:pPr>
              <w:pStyle w:val="TableParagraph"/>
              <w:spacing w:before="1"/>
              <w:ind w:left="124"/>
              <w:jc w:val="left"/>
              <w:rPr>
                <w:rFonts w:ascii="Calibri"/>
                <w:sz w:val="18"/>
              </w:rPr>
            </w:pPr>
            <w:r>
              <w:rPr>
                <w:rFonts w:ascii="Calibri"/>
                <w:sz w:val="18"/>
              </w:rPr>
              <w:t>$0.00</w:t>
            </w:r>
          </w:p>
        </w:tc>
        <w:tc>
          <w:tcPr>
            <w:tcW w:w="1644" w:type="dxa"/>
          </w:tcPr>
          <w:p>
            <w:pPr>
              <w:pStyle w:val="TableParagraph"/>
              <w:spacing w:before="1"/>
              <w:ind w:left="45" w:right="45"/>
              <w:rPr>
                <w:rFonts w:ascii="Calibri"/>
                <w:sz w:val="18"/>
              </w:rPr>
            </w:pPr>
            <w:r>
              <w:rPr>
                <w:rFonts w:ascii="Calibri"/>
                <w:sz w:val="18"/>
              </w:rPr>
              <w:t>$0.00</w:t>
            </w:r>
          </w:p>
        </w:tc>
        <w:tc>
          <w:tcPr>
            <w:tcW w:w="1644" w:type="dxa"/>
          </w:tcPr>
          <w:p>
            <w:pPr>
              <w:pStyle w:val="TableParagraph"/>
              <w:spacing w:before="1"/>
              <w:ind w:left="45" w:right="45"/>
              <w:rPr>
                <w:rFonts w:ascii="Calibri"/>
                <w:sz w:val="18"/>
              </w:rPr>
            </w:pPr>
            <w:r>
              <w:rPr>
                <w:rFonts w:ascii="Calibri"/>
                <w:sz w:val="18"/>
              </w:rPr>
              <w:t>$0.00</w:t>
            </w:r>
          </w:p>
        </w:tc>
        <w:tc>
          <w:tcPr>
            <w:tcW w:w="643" w:type="dxa"/>
          </w:tcPr>
          <w:p>
            <w:pPr>
              <w:pStyle w:val="TableParagraph"/>
              <w:spacing w:before="1"/>
              <w:ind w:right="110"/>
              <w:jc w:val="right"/>
              <w:rPr>
                <w:rFonts w:ascii="Calibri"/>
                <w:sz w:val="18"/>
              </w:rPr>
            </w:pPr>
            <w:r>
              <w:rPr>
                <w:rFonts w:ascii="Calibri"/>
                <w:sz w:val="18"/>
              </w:rPr>
              <w:t>$0.00</w:t>
            </w:r>
          </w:p>
        </w:tc>
        <w:tc>
          <w:tcPr>
            <w:tcW w:w="1645" w:type="dxa"/>
          </w:tcPr>
          <w:p>
            <w:pPr>
              <w:pStyle w:val="TableParagraph"/>
              <w:spacing w:before="1"/>
              <w:ind w:left="119" w:right="119"/>
              <w:rPr>
                <w:rFonts w:ascii="Calibri"/>
                <w:sz w:val="18"/>
              </w:rPr>
            </w:pPr>
            <w:r>
              <w:rPr>
                <w:rFonts w:ascii="Calibri"/>
                <w:sz w:val="18"/>
              </w:rPr>
              <w:t>$0.00</w:t>
            </w:r>
          </w:p>
        </w:tc>
        <w:tc>
          <w:tcPr>
            <w:tcW w:w="1644" w:type="dxa"/>
          </w:tcPr>
          <w:p>
            <w:pPr>
              <w:pStyle w:val="TableParagraph"/>
              <w:spacing w:before="1"/>
              <w:ind w:left="45" w:right="45"/>
              <w:rPr>
                <w:rFonts w:ascii="Calibri"/>
                <w:sz w:val="18"/>
              </w:rPr>
            </w:pPr>
            <w:r>
              <w:rPr>
                <w:rFonts w:ascii="Calibri"/>
                <w:sz w:val="18"/>
              </w:rPr>
              <w:t>$0.00</w:t>
            </w:r>
          </w:p>
        </w:tc>
      </w:tr>
      <w:tr>
        <w:trPr>
          <w:trHeight w:val="338" w:hRule="exact"/>
        </w:trPr>
        <w:tc>
          <w:tcPr>
            <w:tcW w:w="3788" w:type="dxa"/>
          </w:tcPr>
          <w:p>
            <w:pPr>
              <w:pStyle w:val="TableParagraph"/>
              <w:spacing w:line="219" w:lineRule="exact"/>
              <w:ind w:left="64"/>
              <w:jc w:val="left"/>
              <w:rPr>
                <w:rFonts w:ascii="Calibri"/>
                <w:b/>
                <w:sz w:val="18"/>
              </w:rPr>
            </w:pPr>
            <w:r>
              <w:rPr>
                <w:rFonts w:ascii="Calibri"/>
                <w:b/>
                <w:sz w:val="18"/>
              </w:rPr>
              <w:t>JILOTZINGO</w:t>
            </w:r>
          </w:p>
        </w:tc>
        <w:tc>
          <w:tcPr>
            <w:tcW w:w="1645" w:type="dxa"/>
          </w:tcPr>
          <w:p>
            <w:pPr>
              <w:pStyle w:val="TableParagraph"/>
              <w:spacing w:line="219" w:lineRule="exact"/>
              <w:ind w:left="121" w:right="116"/>
              <w:rPr>
                <w:rFonts w:ascii="Calibri"/>
                <w:sz w:val="18"/>
              </w:rPr>
            </w:pPr>
            <w:r>
              <w:rPr>
                <w:rFonts w:ascii="Calibri"/>
                <w:sz w:val="18"/>
              </w:rPr>
              <w:t>$0.00</w:t>
            </w:r>
          </w:p>
        </w:tc>
        <w:tc>
          <w:tcPr>
            <w:tcW w:w="643" w:type="dxa"/>
          </w:tcPr>
          <w:p>
            <w:pPr>
              <w:pStyle w:val="TableParagraph"/>
              <w:spacing w:line="219" w:lineRule="exact"/>
              <w:ind w:left="112"/>
              <w:jc w:val="left"/>
              <w:rPr>
                <w:rFonts w:ascii="Calibri"/>
                <w:sz w:val="18"/>
              </w:rPr>
            </w:pPr>
            <w:r>
              <w:rPr>
                <w:rFonts w:ascii="Calibri"/>
                <w:sz w:val="18"/>
              </w:rPr>
              <w:t>$0.00</w:t>
            </w:r>
          </w:p>
        </w:tc>
        <w:tc>
          <w:tcPr>
            <w:tcW w:w="670" w:type="dxa"/>
          </w:tcPr>
          <w:p>
            <w:pPr>
              <w:pStyle w:val="TableParagraph"/>
              <w:spacing w:line="219" w:lineRule="exact"/>
              <w:ind w:left="124"/>
              <w:jc w:val="left"/>
              <w:rPr>
                <w:rFonts w:ascii="Calibri"/>
                <w:sz w:val="18"/>
              </w:rPr>
            </w:pPr>
            <w:r>
              <w:rPr>
                <w:rFonts w:ascii="Calibri"/>
                <w:sz w:val="18"/>
              </w:rPr>
              <w:t>$0.00</w:t>
            </w:r>
          </w:p>
        </w:tc>
        <w:tc>
          <w:tcPr>
            <w:tcW w:w="1644" w:type="dxa"/>
          </w:tcPr>
          <w:p>
            <w:pPr>
              <w:pStyle w:val="TableParagraph"/>
              <w:spacing w:line="219" w:lineRule="exact"/>
              <w:ind w:left="45" w:right="45"/>
              <w:rPr>
                <w:rFonts w:ascii="Calibri"/>
                <w:sz w:val="18"/>
              </w:rPr>
            </w:pPr>
            <w:r>
              <w:rPr>
                <w:rFonts w:ascii="Calibri"/>
                <w:sz w:val="18"/>
              </w:rPr>
              <w:t>$0.00</w:t>
            </w:r>
          </w:p>
        </w:tc>
        <w:tc>
          <w:tcPr>
            <w:tcW w:w="1644" w:type="dxa"/>
          </w:tcPr>
          <w:p>
            <w:pPr>
              <w:pStyle w:val="TableParagraph"/>
              <w:spacing w:line="219" w:lineRule="exact"/>
              <w:ind w:left="45" w:right="45"/>
              <w:rPr>
                <w:rFonts w:ascii="Calibri"/>
                <w:sz w:val="18"/>
              </w:rPr>
            </w:pPr>
            <w:r>
              <w:rPr>
                <w:rFonts w:ascii="Calibri"/>
                <w:sz w:val="18"/>
              </w:rPr>
              <w:t>$0.00</w:t>
            </w:r>
          </w:p>
        </w:tc>
        <w:tc>
          <w:tcPr>
            <w:tcW w:w="643" w:type="dxa"/>
          </w:tcPr>
          <w:p>
            <w:pPr>
              <w:pStyle w:val="TableParagraph"/>
              <w:spacing w:line="219" w:lineRule="exact"/>
              <w:ind w:right="110"/>
              <w:jc w:val="right"/>
              <w:rPr>
                <w:rFonts w:ascii="Calibri"/>
                <w:sz w:val="18"/>
              </w:rPr>
            </w:pPr>
            <w:r>
              <w:rPr>
                <w:rFonts w:ascii="Calibri"/>
                <w:sz w:val="18"/>
              </w:rPr>
              <w:t>$0.00</w:t>
            </w:r>
          </w:p>
        </w:tc>
        <w:tc>
          <w:tcPr>
            <w:tcW w:w="1645" w:type="dxa"/>
          </w:tcPr>
          <w:p>
            <w:pPr>
              <w:pStyle w:val="TableParagraph"/>
              <w:spacing w:line="219" w:lineRule="exact"/>
              <w:ind w:left="119" w:right="119"/>
              <w:rPr>
                <w:rFonts w:ascii="Calibri"/>
                <w:sz w:val="18"/>
              </w:rPr>
            </w:pPr>
            <w:r>
              <w:rPr>
                <w:rFonts w:ascii="Calibri"/>
                <w:sz w:val="18"/>
              </w:rPr>
              <w:t>$0.00</w:t>
            </w:r>
          </w:p>
        </w:tc>
        <w:tc>
          <w:tcPr>
            <w:tcW w:w="1644" w:type="dxa"/>
          </w:tcPr>
          <w:p>
            <w:pPr>
              <w:pStyle w:val="TableParagraph"/>
              <w:spacing w:line="219" w:lineRule="exact"/>
              <w:ind w:left="45" w:right="45"/>
              <w:rPr>
                <w:rFonts w:ascii="Calibri"/>
                <w:sz w:val="18"/>
              </w:rPr>
            </w:pPr>
            <w:r>
              <w:rPr>
                <w:rFonts w:ascii="Calibri"/>
                <w:sz w:val="18"/>
              </w:rPr>
              <w:t>$0.00</w:t>
            </w:r>
          </w:p>
        </w:tc>
      </w:tr>
      <w:tr>
        <w:trPr>
          <w:trHeight w:val="341" w:hRule="exact"/>
        </w:trPr>
        <w:tc>
          <w:tcPr>
            <w:tcW w:w="3788" w:type="dxa"/>
          </w:tcPr>
          <w:p>
            <w:pPr>
              <w:pStyle w:val="TableParagraph"/>
              <w:spacing w:before="1"/>
              <w:ind w:left="64"/>
              <w:jc w:val="left"/>
              <w:rPr>
                <w:rFonts w:ascii="Calibri"/>
                <w:b/>
                <w:sz w:val="18"/>
              </w:rPr>
            </w:pPr>
            <w:r>
              <w:rPr>
                <w:rFonts w:ascii="Calibri"/>
                <w:b/>
                <w:sz w:val="18"/>
              </w:rPr>
              <w:t>JIQUIPILCO</w:t>
            </w:r>
          </w:p>
        </w:tc>
        <w:tc>
          <w:tcPr>
            <w:tcW w:w="1645" w:type="dxa"/>
          </w:tcPr>
          <w:p>
            <w:pPr>
              <w:pStyle w:val="TableParagraph"/>
              <w:spacing w:before="1"/>
              <w:ind w:left="121" w:right="116"/>
              <w:rPr>
                <w:rFonts w:ascii="Calibri"/>
                <w:sz w:val="18"/>
              </w:rPr>
            </w:pPr>
            <w:r>
              <w:rPr>
                <w:rFonts w:ascii="Calibri"/>
                <w:sz w:val="18"/>
              </w:rPr>
              <w:t>$0.00</w:t>
            </w:r>
          </w:p>
        </w:tc>
        <w:tc>
          <w:tcPr>
            <w:tcW w:w="643" w:type="dxa"/>
          </w:tcPr>
          <w:p>
            <w:pPr>
              <w:pStyle w:val="TableParagraph"/>
              <w:spacing w:before="1"/>
              <w:ind w:left="112"/>
              <w:jc w:val="left"/>
              <w:rPr>
                <w:rFonts w:ascii="Calibri"/>
                <w:sz w:val="18"/>
              </w:rPr>
            </w:pPr>
            <w:r>
              <w:rPr>
                <w:rFonts w:ascii="Calibri"/>
                <w:sz w:val="18"/>
              </w:rPr>
              <w:t>$0.00</w:t>
            </w:r>
          </w:p>
        </w:tc>
        <w:tc>
          <w:tcPr>
            <w:tcW w:w="670" w:type="dxa"/>
          </w:tcPr>
          <w:p>
            <w:pPr>
              <w:pStyle w:val="TableParagraph"/>
              <w:spacing w:before="1"/>
              <w:ind w:left="124"/>
              <w:jc w:val="left"/>
              <w:rPr>
                <w:rFonts w:ascii="Calibri"/>
                <w:sz w:val="18"/>
              </w:rPr>
            </w:pPr>
            <w:r>
              <w:rPr>
                <w:rFonts w:ascii="Calibri"/>
                <w:sz w:val="18"/>
              </w:rPr>
              <w:t>$0.00</w:t>
            </w:r>
          </w:p>
        </w:tc>
        <w:tc>
          <w:tcPr>
            <w:tcW w:w="1644" w:type="dxa"/>
          </w:tcPr>
          <w:p>
            <w:pPr>
              <w:pStyle w:val="TableParagraph"/>
              <w:spacing w:before="1"/>
              <w:ind w:left="45" w:right="45"/>
              <w:rPr>
                <w:rFonts w:ascii="Calibri"/>
                <w:sz w:val="18"/>
              </w:rPr>
            </w:pPr>
            <w:r>
              <w:rPr>
                <w:rFonts w:ascii="Calibri"/>
                <w:sz w:val="18"/>
              </w:rPr>
              <w:t>$0.00</w:t>
            </w:r>
          </w:p>
        </w:tc>
        <w:tc>
          <w:tcPr>
            <w:tcW w:w="1644" w:type="dxa"/>
          </w:tcPr>
          <w:p>
            <w:pPr>
              <w:pStyle w:val="TableParagraph"/>
              <w:spacing w:before="1"/>
              <w:ind w:left="45" w:right="45"/>
              <w:rPr>
                <w:rFonts w:ascii="Calibri"/>
                <w:sz w:val="18"/>
              </w:rPr>
            </w:pPr>
            <w:r>
              <w:rPr>
                <w:rFonts w:ascii="Calibri"/>
                <w:sz w:val="18"/>
              </w:rPr>
              <w:t>$0.00</w:t>
            </w:r>
          </w:p>
        </w:tc>
        <w:tc>
          <w:tcPr>
            <w:tcW w:w="643" w:type="dxa"/>
          </w:tcPr>
          <w:p>
            <w:pPr>
              <w:pStyle w:val="TableParagraph"/>
              <w:spacing w:before="1"/>
              <w:ind w:right="110"/>
              <w:jc w:val="right"/>
              <w:rPr>
                <w:rFonts w:ascii="Calibri"/>
                <w:sz w:val="18"/>
              </w:rPr>
            </w:pPr>
            <w:r>
              <w:rPr>
                <w:rFonts w:ascii="Calibri"/>
                <w:sz w:val="18"/>
              </w:rPr>
              <w:t>$0.00</w:t>
            </w:r>
          </w:p>
        </w:tc>
        <w:tc>
          <w:tcPr>
            <w:tcW w:w="1645" w:type="dxa"/>
          </w:tcPr>
          <w:p>
            <w:pPr>
              <w:pStyle w:val="TableParagraph"/>
              <w:spacing w:before="1"/>
              <w:ind w:left="119" w:right="119"/>
              <w:rPr>
                <w:rFonts w:ascii="Calibri"/>
                <w:sz w:val="18"/>
              </w:rPr>
            </w:pPr>
            <w:r>
              <w:rPr>
                <w:rFonts w:ascii="Calibri"/>
                <w:sz w:val="18"/>
              </w:rPr>
              <w:t>$0.00</w:t>
            </w:r>
          </w:p>
        </w:tc>
        <w:tc>
          <w:tcPr>
            <w:tcW w:w="1644" w:type="dxa"/>
          </w:tcPr>
          <w:p>
            <w:pPr>
              <w:pStyle w:val="TableParagraph"/>
              <w:spacing w:before="1"/>
              <w:ind w:left="45" w:right="45"/>
              <w:rPr>
                <w:rFonts w:ascii="Calibri"/>
                <w:sz w:val="18"/>
              </w:rPr>
            </w:pPr>
            <w:r>
              <w:rPr>
                <w:rFonts w:ascii="Calibri"/>
                <w:sz w:val="18"/>
              </w:rPr>
              <w:t>$0.00</w:t>
            </w:r>
          </w:p>
        </w:tc>
      </w:tr>
      <w:tr>
        <w:trPr>
          <w:trHeight w:val="338" w:hRule="exact"/>
        </w:trPr>
        <w:tc>
          <w:tcPr>
            <w:tcW w:w="3788" w:type="dxa"/>
          </w:tcPr>
          <w:p>
            <w:pPr>
              <w:pStyle w:val="TableParagraph"/>
              <w:spacing w:line="219" w:lineRule="exact"/>
              <w:ind w:left="64"/>
              <w:jc w:val="left"/>
              <w:rPr>
                <w:rFonts w:ascii="Calibri"/>
                <w:b/>
                <w:sz w:val="18"/>
              </w:rPr>
            </w:pPr>
            <w:r>
              <w:rPr>
                <w:rFonts w:ascii="Calibri"/>
                <w:b/>
                <w:sz w:val="18"/>
              </w:rPr>
              <w:t>JOCOTITLAN</w:t>
            </w:r>
          </w:p>
        </w:tc>
        <w:tc>
          <w:tcPr>
            <w:tcW w:w="1645" w:type="dxa"/>
          </w:tcPr>
          <w:p>
            <w:pPr>
              <w:pStyle w:val="TableParagraph"/>
              <w:spacing w:line="219" w:lineRule="exact"/>
              <w:ind w:left="121" w:right="116"/>
              <w:rPr>
                <w:rFonts w:ascii="Calibri"/>
                <w:sz w:val="18"/>
              </w:rPr>
            </w:pPr>
            <w:r>
              <w:rPr>
                <w:rFonts w:ascii="Calibri"/>
                <w:sz w:val="18"/>
              </w:rPr>
              <w:t>$0.00</w:t>
            </w:r>
          </w:p>
        </w:tc>
        <w:tc>
          <w:tcPr>
            <w:tcW w:w="643" w:type="dxa"/>
          </w:tcPr>
          <w:p>
            <w:pPr>
              <w:pStyle w:val="TableParagraph"/>
              <w:spacing w:line="219" w:lineRule="exact"/>
              <w:ind w:left="112"/>
              <w:jc w:val="left"/>
              <w:rPr>
                <w:rFonts w:ascii="Calibri"/>
                <w:sz w:val="18"/>
              </w:rPr>
            </w:pPr>
            <w:r>
              <w:rPr>
                <w:rFonts w:ascii="Calibri"/>
                <w:sz w:val="18"/>
              </w:rPr>
              <w:t>$0.00</w:t>
            </w:r>
          </w:p>
        </w:tc>
        <w:tc>
          <w:tcPr>
            <w:tcW w:w="670" w:type="dxa"/>
          </w:tcPr>
          <w:p>
            <w:pPr>
              <w:pStyle w:val="TableParagraph"/>
              <w:spacing w:line="219" w:lineRule="exact"/>
              <w:ind w:left="124"/>
              <w:jc w:val="left"/>
              <w:rPr>
                <w:rFonts w:ascii="Calibri"/>
                <w:sz w:val="18"/>
              </w:rPr>
            </w:pPr>
            <w:r>
              <w:rPr>
                <w:rFonts w:ascii="Calibri"/>
                <w:sz w:val="18"/>
              </w:rPr>
              <w:t>$0.00</w:t>
            </w:r>
          </w:p>
        </w:tc>
        <w:tc>
          <w:tcPr>
            <w:tcW w:w="1644" w:type="dxa"/>
          </w:tcPr>
          <w:p>
            <w:pPr>
              <w:pStyle w:val="TableParagraph"/>
              <w:spacing w:line="219" w:lineRule="exact"/>
              <w:ind w:left="45" w:right="45"/>
              <w:rPr>
                <w:rFonts w:ascii="Calibri"/>
                <w:sz w:val="18"/>
              </w:rPr>
            </w:pPr>
            <w:r>
              <w:rPr>
                <w:rFonts w:ascii="Calibri"/>
                <w:sz w:val="18"/>
              </w:rPr>
              <w:t>$0.00</w:t>
            </w:r>
          </w:p>
        </w:tc>
        <w:tc>
          <w:tcPr>
            <w:tcW w:w="1644" w:type="dxa"/>
          </w:tcPr>
          <w:p>
            <w:pPr>
              <w:pStyle w:val="TableParagraph"/>
              <w:spacing w:line="219" w:lineRule="exact"/>
              <w:ind w:left="45" w:right="45"/>
              <w:rPr>
                <w:rFonts w:ascii="Calibri"/>
                <w:sz w:val="18"/>
              </w:rPr>
            </w:pPr>
            <w:r>
              <w:rPr>
                <w:rFonts w:ascii="Calibri"/>
                <w:sz w:val="18"/>
              </w:rPr>
              <w:t>$0.00</w:t>
            </w:r>
          </w:p>
        </w:tc>
        <w:tc>
          <w:tcPr>
            <w:tcW w:w="643" w:type="dxa"/>
          </w:tcPr>
          <w:p>
            <w:pPr>
              <w:pStyle w:val="TableParagraph"/>
              <w:spacing w:line="219" w:lineRule="exact"/>
              <w:ind w:right="110"/>
              <w:jc w:val="right"/>
              <w:rPr>
                <w:rFonts w:ascii="Calibri"/>
                <w:sz w:val="18"/>
              </w:rPr>
            </w:pPr>
            <w:r>
              <w:rPr>
                <w:rFonts w:ascii="Calibri"/>
                <w:sz w:val="18"/>
              </w:rPr>
              <w:t>$0.00</w:t>
            </w:r>
          </w:p>
        </w:tc>
        <w:tc>
          <w:tcPr>
            <w:tcW w:w="1645" w:type="dxa"/>
          </w:tcPr>
          <w:p>
            <w:pPr>
              <w:pStyle w:val="TableParagraph"/>
              <w:spacing w:line="219" w:lineRule="exact"/>
              <w:ind w:left="119" w:right="119"/>
              <w:rPr>
                <w:rFonts w:ascii="Calibri"/>
                <w:sz w:val="18"/>
              </w:rPr>
            </w:pPr>
            <w:r>
              <w:rPr>
                <w:rFonts w:ascii="Calibri"/>
                <w:sz w:val="18"/>
              </w:rPr>
              <w:t>$0.00</w:t>
            </w:r>
          </w:p>
        </w:tc>
        <w:tc>
          <w:tcPr>
            <w:tcW w:w="1644" w:type="dxa"/>
          </w:tcPr>
          <w:p>
            <w:pPr>
              <w:pStyle w:val="TableParagraph"/>
              <w:spacing w:line="219" w:lineRule="exact"/>
              <w:ind w:left="45" w:right="45"/>
              <w:rPr>
                <w:rFonts w:ascii="Calibri"/>
                <w:sz w:val="18"/>
              </w:rPr>
            </w:pPr>
            <w:r>
              <w:rPr>
                <w:rFonts w:ascii="Calibri"/>
                <w:sz w:val="18"/>
              </w:rPr>
              <w:t>$0.00</w:t>
            </w:r>
          </w:p>
        </w:tc>
      </w:tr>
      <w:tr>
        <w:trPr>
          <w:trHeight w:val="341" w:hRule="exact"/>
        </w:trPr>
        <w:tc>
          <w:tcPr>
            <w:tcW w:w="3788" w:type="dxa"/>
          </w:tcPr>
          <w:p>
            <w:pPr>
              <w:pStyle w:val="TableParagraph"/>
              <w:spacing w:before="1"/>
              <w:ind w:left="64"/>
              <w:jc w:val="left"/>
              <w:rPr>
                <w:rFonts w:ascii="Calibri"/>
                <w:b/>
                <w:sz w:val="18"/>
              </w:rPr>
            </w:pPr>
            <w:r>
              <w:rPr>
                <w:rFonts w:ascii="Calibri"/>
                <w:b/>
                <w:sz w:val="18"/>
              </w:rPr>
              <w:t>JOQUICINGO</w:t>
            </w:r>
          </w:p>
        </w:tc>
        <w:tc>
          <w:tcPr>
            <w:tcW w:w="1645" w:type="dxa"/>
          </w:tcPr>
          <w:p>
            <w:pPr>
              <w:pStyle w:val="TableParagraph"/>
              <w:spacing w:before="1"/>
              <w:ind w:left="121" w:right="116"/>
              <w:rPr>
                <w:rFonts w:ascii="Calibri"/>
                <w:sz w:val="18"/>
              </w:rPr>
            </w:pPr>
            <w:r>
              <w:rPr>
                <w:rFonts w:ascii="Calibri"/>
                <w:sz w:val="18"/>
              </w:rPr>
              <w:t>$0.00</w:t>
            </w:r>
          </w:p>
        </w:tc>
        <w:tc>
          <w:tcPr>
            <w:tcW w:w="643" w:type="dxa"/>
          </w:tcPr>
          <w:p>
            <w:pPr>
              <w:pStyle w:val="TableParagraph"/>
              <w:spacing w:before="1"/>
              <w:ind w:left="112"/>
              <w:jc w:val="left"/>
              <w:rPr>
                <w:rFonts w:ascii="Calibri"/>
                <w:sz w:val="18"/>
              </w:rPr>
            </w:pPr>
            <w:r>
              <w:rPr>
                <w:rFonts w:ascii="Calibri"/>
                <w:sz w:val="18"/>
              </w:rPr>
              <w:t>$0.00</w:t>
            </w:r>
          </w:p>
        </w:tc>
        <w:tc>
          <w:tcPr>
            <w:tcW w:w="670" w:type="dxa"/>
          </w:tcPr>
          <w:p>
            <w:pPr>
              <w:pStyle w:val="TableParagraph"/>
              <w:spacing w:before="1"/>
              <w:ind w:left="124"/>
              <w:jc w:val="left"/>
              <w:rPr>
                <w:rFonts w:ascii="Calibri"/>
                <w:sz w:val="18"/>
              </w:rPr>
            </w:pPr>
            <w:r>
              <w:rPr>
                <w:rFonts w:ascii="Calibri"/>
                <w:sz w:val="18"/>
              </w:rPr>
              <w:t>$0.00</w:t>
            </w:r>
          </w:p>
        </w:tc>
        <w:tc>
          <w:tcPr>
            <w:tcW w:w="1644" w:type="dxa"/>
          </w:tcPr>
          <w:p>
            <w:pPr>
              <w:pStyle w:val="TableParagraph"/>
              <w:spacing w:before="1"/>
              <w:ind w:left="45" w:right="45"/>
              <w:rPr>
                <w:rFonts w:ascii="Calibri"/>
                <w:sz w:val="18"/>
              </w:rPr>
            </w:pPr>
            <w:r>
              <w:rPr>
                <w:rFonts w:ascii="Calibri"/>
                <w:sz w:val="18"/>
              </w:rPr>
              <w:t>$0.00</w:t>
            </w:r>
          </w:p>
        </w:tc>
        <w:tc>
          <w:tcPr>
            <w:tcW w:w="1644" w:type="dxa"/>
          </w:tcPr>
          <w:p>
            <w:pPr>
              <w:pStyle w:val="TableParagraph"/>
              <w:spacing w:before="1"/>
              <w:ind w:left="45" w:right="45"/>
              <w:rPr>
                <w:rFonts w:ascii="Calibri"/>
                <w:sz w:val="18"/>
              </w:rPr>
            </w:pPr>
            <w:r>
              <w:rPr>
                <w:rFonts w:ascii="Calibri"/>
                <w:sz w:val="18"/>
              </w:rPr>
              <w:t>$0.00</w:t>
            </w:r>
          </w:p>
        </w:tc>
        <w:tc>
          <w:tcPr>
            <w:tcW w:w="643" w:type="dxa"/>
          </w:tcPr>
          <w:p>
            <w:pPr>
              <w:pStyle w:val="TableParagraph"/>
              <w:spacing w:before="1"/>
              <w:ind w:right="110"/>
              <w:jc w:val="right"/>
              <w:rPr>
                <w:rFonts w:ascii="Calibri"/>
                <w:sz w:val="18"/>
              </w:rPr>
            </w:pPr>
            <w:r>
              <w:rPr>
                <w:rFonts w:ascii="Calibri"/>
                <w:sz w:val="18"/>
              </w:rPr>
              <w:t>$0.00</w:t>
            </w:r>
          </w:p>
        </w:tc>
        <w:tc>
          <w:tcPr>
            <w:tcW w:w="1645" w:type="dxa"/>
          </w:tcPr>
          <w:p>
            <w:pPr>
              <w:pStyle w:val="TableParagraph"/>
              <w:spacing w:before="1"/>
              <w:ind w:left="119" w:right="119"/>
              <w:rPr>
                <w:rFonts w:ascii="Calibri"/>
                <w:sz w:val="18"/>
              </w:rPr>
            </w:pPr>
            <w:r>
              <w:rPr>
                <w:rFonts w:ascii="Calibri"/>
                <w:sz w:val="18"/>
              </w:rPr>
              <w:t>$0.00</w:t>
            </w:r>
          </w:p>
        </w:tc>
        <w:tc>
          <w:tcPr>
            <w:tcW w:w="1644" w:type="dxa"/>
          </w:tcPr>
          <w:p>
            <w:pPr>
              <w:pStyle w:val="TableParagraph"/>
              <w:spacing w:before="1"/>
              <w:ind w:left="45" w:right="45"/>
              <w:rPr>
                <w:rFonts w:ascii="Calibri"/>
                <w:sz w:val="18"/>
              </w:rPr>
            </w:pPr>
            <w:r>
              <w:rPr>
                <w:rFonts w:ascii="Calibri"/>
                <w:sz w:val="18"/>
              </w:rPr>
              <w:t>$0.00</w:t>
            </w:r>
          </w:p>
        </w:tc>
      </w:tr>
      <w:tr>
        <w:trPr>
          <w:trHeight w:val="338" w:hRule="exact"/>
        </w:trPr>
        <w:tc>
          <w:tcPr>
            <w:tcW w:w="3788" w:type="dxa"/>
          </w:tcPr>
          <w:p>
            <w:pPr>
              <w:pStyle w:val="TableParagraph"/>
              <w:spacing w:line="219" w:lineRule="exact"/>
              <w:ind w:left="64"/>
              <w:jc w:val="left"/>
              <w:rPr>
                <w:rFonts w:ascii="Calibri"/>
                <w:b/>
                <w:sz w:val="18"/>
              </w:rPr>
            </w:pPr>
            <w:r>
              <w:rPr>
                <w:rFonts w:ascii="Calibri"/>
                <w:b/>
                <w:sz w:val="18"/>
              </w:rPr>
              <w:t>JUCHITEPEC</w:t>
            </w:r>
          </w:p>
        </w:tc>
        <w:tc>
          <w:tcPr>
            <w:tcW w:w="1645" w:type="dxa"/>
          </w:tcPr>
          <w:p>
            <w:pPr>
              <w:pStyle w:val="TableParagraph"/>
              <w:spacing w:line="219" w:lineRule="exact"/>
              <w:ind w:left="121" w:right="116"/>
              <w:rPr>
                <w:rFonts w:ascii="Calibri"/>
                <w:sz w:val="18"/>
              </w:rPr>
            </w:pPr>
            <w:r>
              <w:rPr>
                <w:rFonts w:ascii="Calibri"/>
                <w:sz w:val="18"/>
              </w:rPr>
              <w:t>$0.00</w:t>
            </w:r>
          </w:p>
        </w:tc>
        <w:tc>
          <w:tcPr>
            <w:tcW w:w="643" w:type="dxa"/>
          </w:tcPr>
          <w:p>
            <w:pPr>
              <w:pStyle w:val="TableParagraph"/>
              <w:spacing w:line="219" w:lineRule="exact"/>
              <w:ind w:left="112"/>
              <w:jc w:val="left"/>
              <w:rPr>
                <w:rFonts w:ascii="Calibri"/>
                <w:sz w:val="18"/>
              </w:rPr>
            </w:pPr>
            <w:r>
              <w:rPr>
                <w:rFonts w:ascii="Calibri"/>
                <w:sz w:val="18"/>
              </w:rPr>
              <w:t>$0.00</w:t>
            </w:r>
          </w:p>
        </w:tc>
        <w:tc>
          <w:tcPr>
            <w:tcW w:w="670" w:type="dxa"/>
          </w:tcPr>
          <w:p>
            <w:pPr>
              <w:pStyle w:val="TableParagraph"/>
              <w:spacing w:line="219" w:lineRule="exact"/>
              <w:ind w:left="124"/>
              <w:jc w:val="left"/>
              <w:rPr>
                <w:rFonts w:ascii="Calibri"/>
                <w:sz w:val="18"/>
              </w:rPr>
            </w:pPr>
            <w:r>
              <w:rPr>
                <w:rFonts w:ascii="Calibri"/>
                <w:sz w:val="18"/>
              </w:rPr>
              <w:t>$0.00</w:t>
            </w:r>
          </w:p>
        </w:tc>
        <w:tc>
          <w:tcPr>
            <w:tcW w:w="1644" w:type="dxa"/>
          </w:tcPr>
          <w:p>
            <w:pPr>
              <w:pStyle w:val="TableParagraph"/>
              <w:spacing w:line="219" w:lineRule="exact"/>
              <w:ind w:left="45" w:right="45"/>
              <w:rPr>
                <w:rFonts w:ascii="Calibri"/>
                <w:sz w:val="18"/>
              </w:rPr>
            </w:pPr>
            <w:r>
              <w:rPr>
                <w:rFonts w:ascii="Calibri"/>
                <w:sz w:val="18"/>
              </w:rPr>
              <w:t>$0.00</w:t>
            </w:r>
          </w:p>
        </w:tc>
        <w:tc>
          <w:tcPr>
            <w:tcW w:w="1644" w:type="dxa"/>
          </w:tcPr>
          <w:p>
            <w:pPr>
              <w:pStyle w:val="TableParagraph"/>
              <w:spacing w:line="219" w:lineRule="exact"/>
              <w:ind w:left="45" w:right="45"/>
              <w:rPr>
                <w:rFonts w:ascii="Calibri"/>
                <w:sz w:val="18"/>
              </w:rPr>
            </w:pPr>
            <w:r>
              <w:rPr>
                <w:rFonts w:ascii="Calibri"/>
                <w:sz w:val="18"/>
              </w:rPr>
              <w:t>$0.00</w:t>
            </w:r>
          </w:p>
        </w:tc>
        <w:tc>
          <w:tcPr>
            <w:tcW w:w="643" w:type="dxa"/>
          </w:tcPr>
          <w:p>
            <w:pPr>
              <w:pStyle w:val="TableParagraph"/>
              <w:spacing w:line="219" w:lineRule="exact"/>
              <w:ind w:right="110"/>
              <w:jc w:val="right"/>
              <w:rPr>
                <w:rFonts w:ascii="Calibri"/>
                <w:sz w:val="18"/>
              </w:rPr>
            </w:pPr>
            <w:r>
              <w:rPr>
                <w:rFonts w:ascii="Calibri"/>
                <w:sz w:val="18"/>
              </w:rPr>
              <w:t>$0.00</w:t>
            </w:r>
          </w:p>
        </w:tc>
        <w:tc>
          <w:tcPr>
            <w:tcW w:w="1645" w:type="dxa"/>
          </w:tcPr>
          <w:p>
            <w:pPr>
              <w:pStyle w:val="TableParagraph"/>
              <w:spacing w:line="219" w:lineRule="exact"/>
              <w:ind w:left="119" w:right="119"/>
              <w:rPr>
                <w:rFonts w:ascii="Calibri"/>
                <w:sz w:val="18"/>
              </w:rPr>
            </w:pPr>
            <w:r>
              <w:rPr>
                <w:rFonts w:ascii="Calibri"/>
                <w:sz w:val="18"/>
              </w:rPr>
              <w:t>$0.00</w:t>
            </w:r>
          </w:p>
        </w:tc>
        <w:tc>
          <w:tcPr>
            <w:tcW w:w="1644" w:type="dxa"/>
          </w:tcPr>
          <w:p>
            <w:pPr>
              <w:pStyle w:val="TableParagraph"/>
              <w:spacing w:line="219" w:lineRule="exact"/>
              <w:ind w:left="45" w:right="45"/>
              <w:rPr>
                <w:rFonts w:ascii="Calibri"/>
                <w:sz w:val="18"/>
              </w:rPr>
            </w:pPr>
            <w:r>
              <w:rPr>
                <w:rFonts w:ascii="Calibri"/>
                <w:sz w:val="18"/>
              </w:rPr>
              <w:t>$0.00</w:t>
            </w:r>
          </w:p>
        </w:tc>
      </w:tr>
      <w:tr>
        <w:trPr>
          <w:trHeight w:val="341" w:hRule="exact"/>
        </w:trPr>
        <w:tc>
          <w:tcPr>
            <w:tcW w:w="3788" w:type="dxa"/>
          </w:tcPr>
          <w:p>
            <w:pPr>
              <w:pStyle w:val="TableParagraph"/>
              <w:spacing w:before="1"/>
              <w:ind w:left="64"/>
              <w:jc w:val="left"/>
              <w:rPr>
                <w:rFonts w:ascii="Calibri"/>
                <w:b/>
                <w:sz w:val="18"/>
              </w:rPr>
            </w:pPr>
            <w:r>
              <w:rPr>
                <w:rFonts w:ascii="Calibri"/>
                <w:b/>
                <w:sz w:val="18"/>
              </w:rPr>
              <w:t>LA PAZ</w:t>
            </w:r>
          </w:p>
        </w:tc>
        <w:tc>
          <w:tcPr>
            <w:tcW w:w="1645" w:type="dxa"/>
          </w:tcPr>
          <w:p>
            <w:pPr>
              <w:pStyle w:val="TableParagraph"/>
              <w:spacing w:before="1"/>
              <w:ind w:left="121" w:right="116"/>
              <w:rPr>
                <w:rFonts w:ascii="Calibri"/>
                <w:sz w:val="18"/>
              </w:rPr>
            </w:pPr>
            <w:r>
              <w:rPr>
                <w:rFonts w:ascii="Calibri"/>
                <w:sz w:val="18"/>
              </w:rPr>
              <w:t>$0.00</w:t>
            </w:r>
          </w:p>
        </w:tc>
        <w:tc>
          <w:tcPr>
            <w:tcW w:w="643" w:type="dxa"/>
          </w:tcPr>
          <w:p>
            <w:pPr>
              <w:pStyle w:val="TableParagraph"/>
              <w:spacing w:before="1"/>
              <w:ind w:left="112"/>
              <w:jc w:val="left"/>
              <w:rPr>
                <w:rFonts w:ascii="Calibri"/>
                <w:sz w:val="18"/>
              </w:rPr>
            </w:pPr>
            <w:r>
              <w:rPr>
                <w:rFonts w:ascii="Calibri"/>
                <w:sz w:val="18"/>
              </w:rPr>
              <w:t>$0.00</w:t>
            </w:r>
          </w:p>
        </w:tc>
        <w:tc>
          <w:tcPr>
            <w:tcW w:w="670" w:type="dxa"/>
          </w:tcPr>
          <w:p>
            <w:pPr>
              <w:pStyle w:val="TableParagraph"/>
              <w:spacing w:before="1"/>
              <w:ind w:left="124"/>
              <w:jc w:val="left"/>
              <w:rPr>
                <w:rFonts w:ascii="Calibri"/>
                <w:sz w:val="18"/>
              </w:rPr>
            </w:pPr>
            <w:r>
              <w:rPr>
                <w:rFonts w:ascii="Calibri"/>
                <w:sz w:val="18"/>
              </w:rPr>
              <w:t>$0.00</w:t>
            </w:r>
          </w:p>
        </w:tc>
        <w:tc>
          <w:tcPr>
            <w:tcW w:w="1644" w:type="dxa"/>
          </w:tcPr>
          <w:p>
            <w:pPr>
              <w:pStyle w:val="TableParagraph"/>
              <w:spacing w:before="1"/>
              <w:ind w:left="45" w:right="45"/>
              <w:rPr>
                <w:rFonts w:ascii="Calibri"/>
                <w:sz w:val="18"/>
              </w:rPr>
            </w:pPr>
            <w:r>
              <w:rPr>
                <w:rFonts w:ascii="Calibri"/>
                <w:sz w:val="18"/>
              </w:rPr>
              <w:t>$0.00</w:t>
            </w:r>
          </w:p>
        </w:tc>
        <w:tc>
          <w:tcPr>
            <w:tcW w:w="1644" w:type="dxa"/>
          </w:tcPr>
          <w:p>
            <w:pPr>
              <w:pStyle w:val="TableParagraph"/>
              <w:spacing w:before="1"/>
              <w:ind w:left="45" w:right="45"/>
              <w:rPr>
                <w:rFonts w:ascii="Calibri"/>
                <w:sz w:val="18"/>
              </w:rPr>
            </w:pPr>
            <w:r>
              <w:rPr>
                <w:rFonts w:ascii="Calibri"/>
                <w:sz w:val="18"/>
              </w:rPr>
              <w:t>$0.00</w:t>
            </w:r>
          </w:p>
        </w:tc>
        <w:tc>
          <w:tcPr>
            <w:tcW w:w="643" w:type="dxa"/>
          </w:tcPr>
          <w:p>
            <w:pPr>
              <w:pStyle w:val="TableParagraph"/>
              <w:spacing w:before="1"/>
              <w:ind w:right="110"/>
              <w:jc w:val="right"/>
              <w:rPr>
                <w:rFonts w:ascii="Calibri"/>
                <w:sz w:val="18"/>
              </w:rPr>
            </w:pPr>
            <w:r>
              <w:rPr>
                <w:rFonts w:ascii="Calibri"/>
                <w:sz w:val="18"/>
              </w:rPr>
              <w:t>$0.00</w:t>
            </w:r>
          </w:p>
        </w:tc>
        <w:tc>
          <w:tcPr>
            <w:tcW w:w="1645" w:type="dxa"/>
          </w:tcPr>
          <w:p>
            <w:pPr>
              <w:pStyle w:val="TableParagraph"/>
              <w:spacing w:before="1"/>
              <w:ind w:left="119" w:right="119"/>
              <w:rPr>
                <w:rFonts w:ascii="Calibri"/>
                <w:sz w:val="18"/>
              </w:rPr>
            </w:pPr>
            <w:r>
              <w:rPr>
                <w:rFonts w:ascii="Calibri"/>
                <w:sz w:val="18"/>
              </w:rPr>
              <w:t>$0.00</w:t>
            </w:r>
          </w:p>
        </w:tc>
        <w:tc>
          <w:tcPr>
            <w:tcW w:w="1644" w:type="dxa"/>
          </w:tcPr>
          <w:p>
            <w:pPr>
              <w:pStyle w:val="TableParagraph"/>
              <w:spacing w:before="1"/>
              <w:ind w:left="45" w:right="45"/>
              <w:rPr>
                <w:rFonts w:ascii="Calibri"/>
                <w:sz w:val="18"/>
              </w:rPr>
            </w:pPr>
            <w:r>
              <w:rPr>
                <w:rFonts w:ascii="Calibri"/>
                <w:sz w:val="18"/>
              </w:rPr>
              <w:t>$0.00</w:t>
            </w:r>
          </w:p>
        </w:tc>
      </w:tr>
      <w:tr>
        <w:trPr>
          <w:trHeight w:val="338" w:hRule="exact"/>
        </w:trPr>
        <w:tc>
          <w:tcPr>
            <w:tcW w:w="3788" w:type="dxa"/>
          </w:tcPr>
          <w:p>
            <w:pPr>
              <w:pStyle w:val="TableParagraph"/>
              <w:spacing w:line="219" w:lineRule="exact"/>
              <w:ind w:left="64"/>
              <w:jc w:val="left"/>
              <w:rPr>
                <w:rFonts w:ascii="Calibri"/>
                <w:b/>
                <w:sz w:val="18"/>
              </w:rPr>
            </w:pPr>
            <w:r>
              <w:rPr>
                <w:rFonts w:ascii="Calibri"/>
                <w:b/>
                <w:sz w:val="18"/>
              </w:rPr>
              <w:t>LERMA</w:t>
            </w:r>
          </w:p>
        </w:tc>
        <w:tc>
          <w:tcPr>
            <w:tcW w:w="1645" w:type="dxa"/>
          </w:tcPr>
          <w:p>
            <w:pPr>
              <w:pStyle w:val="TableParagraph"/>
              <w:spacing w:line="219" w:lineRule="exact"/>
              <w:ind w:left="121" w:right="116"/>
              <w:rPr>
                <w:rFonts w:ascii="Calibri"/>
                <w:sz w:val="18"/>
              </w:rPr>
            </w:pPr>
            <w:r>
              <w:rPr>
                <w:rFonts w:ascii="Calibri"/>
                <w:sz w:val="18"/>
              </w:rPr>
              <w:t>$0.00</w:t>
            </w:r>
          </w:p>
        </w:tc>
        <w:tc>
          <w:tcPr>
            <w:tcW w:w="643" w:type="dxa"/>
          </w:tcPr>
          <w:p>
            <w:pPr>
              <w:pStyle w:val="TableParagraph"/>
              <w:spacing w:line="219" w:lineRule="exact"/>
              <w:ind w:left="112"/>
              <w:jc w:val="left"/>
              <w:rPr>
                <w:rFonts w:ascii="Calibri"/>
                <w:sz w:val="18"/>
              </w:rPr>
            </w:pPr>
            <w:r>
              <w:rPr>
                <w:rFonts w:ascii="Calibri"/>
                <w:sz w:val="18"/>
              </w:rPr>
              <w:t>$0.00</w:t>
            </w:r>
          </w:p>
        </w:tc>
        <w:tc>
          <w:tcPr>
            <w:tcW w:w="670" w:type="dxa"/>
          </w:tcPr>
          <w:p>
            <w:pPr>
              <w:pStyle w:val="TableParagraph"/>
              <w:spacing w:line="219" w:lineRule="exact"/>
              <w:ind w:left="124"/>
              <w:jc w:val="left"/>
              <w:rPr>
                <w:rFonts w:ascii="Calibri"/>
                <w:sz w:val="18"/>
              </w:rPr>
            </w:pPr>
            <w:r>
              <w:rPr>
                <w:rFonts w:ascii="Calibri"/>
                <w:sz w:val="18"/>
              </w:rPr>
              <w:t>$0.00</w:t>
            </w:r>
          </w:p>
        </w:tc>
        <w:tc>
          <w:tcPr>
            <w:tcW w:w="1644" w:type="dxa"/>
          </w:tcPr>
          <w:p>
            <w:pPr>
              <w:pStyle w:val="TableParagraph"/>
              <w:spacing w:line="219" w:lineRule="exact"/>
              <w:ind w:left="45" w:right="45"/>
              <w:rPr>
                <w:rFonts w:ascii="Calibri"/>
                <w:sz w:val="18"/>
              </w:rPr>
            </w:pPr>
            <w:r>
              <w:rPr>
                <w:rFonts w:ascii="Calibri"/>
                <w:sz w:val="18"/>
              </w:rPr>
              <w:t>$0.00</w:t>
            </w:r>
          </w:p>
        </w:tc>
        <w:tc>
          <w:tcPr>
            <w:tcW w:w="1644" w:type="dxa"/>
          </w:tcPr>
          <w:p>
            <w:pPr>
              <w:pStyle w:val="TableParagraph"/>
              <w:spacing w:line="219" w:lineRule="exact"/>
              <w:ind w:left="45" w:right="45"/>
              <w:rPr>
                <w:rFonts w:ascii="Calibri"/>
                <w:sz w:val="18"/>
              </w:rPr>
            </w:pPr>
            <w:r>
              <w:rPr>
                <w:rFonts w:ascii="Calibri"/>
                <w:sz w:val="18"/>
              </w:rPr>
              <w:t>$0.00</w:t>
            </w:r>
          </w:p>
        </w:tc>
        <w:tc>
          <w:tcPr>
            <w:tcW w:w="643" w:type="dxa"/>
          </w:tcPr>
          <w:p>
            <w:pPr>
              <w:pStyle w:val="TableParagraph"/>
              <w:spacing w:line="219" w:lineRule="exact"/>
              <w:ind w:right="110"/>
              <w:jc w:val="right"/>
              <w:rPr>
                <w:rFonts w:ascii="Calibri"/>
                <w:sz w:val="18"/>
              </w:rPr>
            </w:pPr>
            <w:r>
              <w:rPr>
                <w:rFonts w:ascii="Calibri"/>
                <w:sz w:val="18"/>
              </w:rPr>
              <w:t>$0.00</w:t>
            </w:r>
          </w:p>
        </w:tc>
        <w:tc>
          <w:tcPr>
            <w:tcW w:w="1645" w:type="dxa"/>
          </w:tcPr>
          <w:p>
            <w:pPr>
              <w:pStyle w:val="TableParagraph"/>
              <w:spacing w:line="219" w:lineRule="exact"/>
              <w:ind w:left="119" w:right="119"/>
              <w:rPr>
                <w:rFonts w:ascii="Calibri"/>
                <w:sz w:val="18"/>
              </w:rPr>
            </w:pPr>
            <w:r>
              <w:rPr>
                <w:rFonts w:ascii="Calibri"/>
                <w:sz w:val="18"/>
              </w:rPr>
              <w:t>$0.00</w:t>
            </w:r>
          </w:p>
        </w:tc>
        <w:tc>
          <w:tcPr>
            <w:tcW w:w="1644" w:type="dxa"/>
          </w:tcPr>
          <w:p>
            <w:pPr>
              <w:pStyle w:val="TableParagraph"/>
              <w:spacing w:line="219" w:lineRule="exact"/>
              <w:ind w:left="45" w:right="45"/>
              <w:rPr>
                <w:rFonts w:ascii="Calibri"/>
                <w:sz w:val="18"/>
              </w:rPr>
            </w:pPr>
            <w:r>
              <w:rPr>
                <w:rFonts w:ascii="Calibri"/>
                <w:sz w:val="18"/>
              </w:rPr>
              <w:t>$0.00</w:t>
            </w:r>
          </w:p>
        </w:tc>
      </w:tr>
      <w:tr>
        <w:trPr>
          <w:trHeight w:val="341" w:hRule="exact"/>
        </w:trPr>
        <w:tc>
          <w:tcPr>
            <w:tcW w:w="3788" w:type="dxa"/>
          </w:tcPr>
          <w:p>
            <w:pPr>
              <w:pStyle w:val="TableParagraph"/>
              <w:spacing w:before="1"/>
              <w:ind w:left="64"/>
              <w:jc w:val="left"/>
              <w:rPr>
                <w:rFonts w:ascii="Calibri"/>
                <w:b/>
                <w:sz w:val="18"/>
              </w:rPr>
            </w:pPr>
            <w:r>
              <w:rPr>
                <w:rFonts w:ascii="Calibri"/>
                <w:b/>
                <w:sz w:val="18"/>
              </w:rPr>
              <w:t>LUVIANOS</w:t>
            </w:r>
          </w:p>
        </w:tc>
        <w:tc>
          <w:tcPr>
            <w:tcW w:w="1645" w:type="dxa"/>
          </w:tcPr>
          <w:p>
            <w:pPr>
              <w:pStyle w:val="TableParagraph"/>
              <w:spacing w:before="1"/>
              <w:ind w:left="121" w:right="117"/>
              <w:rPr>
                <w:rFonts w:ascii="Calibri"/>
                <w:sz w:val="18"/>
              </w:rPr>
            </w:pPr>
            <w:r>
              <w:rPr>
                <w:rFonts w:ascii="Calibri"/>
                <w:sz w:val="18"/>
              </w:rPr>
              <w:t>$137,668,390.11</w:t>
            </w:r>
          </w:p>
        </w:tc>
        <w:tc>
          <w:tcPr>
            <w:tcW w:w="643" w:type="dxa"/>
          </w:tcPr>
          <w:p>
            <w:pPr>
              <w:pStyle w:val="TableParagraph"/>
              <w:spacing w:before="1"/>
              <w:ind w:left="112"/>
              <w:jc w:val="left"/>
              <w:rPr>
                <w:rFonts w:ascii="Calibri"/>
                <w:sz w:val="18"/>
              </w:rPr>
            </w:pPr>
            <w:r>
              <w:rPr>
                <w:rFonts w:ascii="Calibri"/>
                <w:sz w:val="18"/>
              </w:rPr>
              <w:t>$0.00</w:t>
            </w:r>
          </w:p>
        </w:tc>
        <w:tc>
          <w:tcPr>
            <w:tcW w:w="670" w:type="dxa"/>
          </w:tcPr>
          <w:p>
            <w:pPr>
              <w:pStyle w:val="TableParagraph"/>
              <w:spacing w:before="1"/>
              <w:ind w:left="124"/>
              <w:jc w:val="left"/>
              <w:rPr>
                <w:rFonts w:ascii="Calibri"/>
                <w:sz w:val="18"/>
              </w:rPr>
            </w:pPr>
            <w:r>
              <w:rPr>
                <w:rFonts w:ascii="Calibri"/>
                <w:sz w:val="18"/>
              </w:rPr>
              <w:t>$0.00</w:t>
            </w:r>
          </w:p>
        </w:tc>
        <w:tc>
          <w:tcPr>
            <w:tcW w:w="1644" w:type="dxa"/>
          </w:tcPr>
          <w:p>
            <w:pPr>
              <w:pStyle w:val="TableParagraph"/>
              <w:spacing w:before="1"/>
              <w:ind w:left="45" w:right="45"/>
              <w:rPr>
                <w:rFonts w:ascii="Calibri"/>
                <w:sz w:val="18"/>
              </w:rPr>
            </w:pPr>
            <w:r>
              <w:rPr>
                <w:rFonts w:ascii="Calibri"/>
                <w:sz w:val="18"/>
              </w:rPr>
              <w:t>$137,668,390.11</w:t>
            </w:r>
          </w:p>
        </w:tc>
        <w:tc>
          <w:tcPr>
            <w:tcW w:w="1644" w:type="dxa"/>
          </w:tcPr>
          <w:p>
            <w:pPr>
              <w:pStyle w:val="TableParagraph"/>
              <w:spacing w:before="1"/>
              <w:ind w:left="45" w:right="45"/>
              <w:rPr>
                <w:rFonts w:ascii="Calibri"/>
                <w:sz w:val="18"/>
              </w:rPr>
            </w:pPr>
            <w:r>
              <w:rPr>
                <w:rFonts w:ascii="Calibri"/>
                <w:sz w:val="18"/>
              </w:rPr>
              <w:t>$136,317,340.00</w:t>
            </w:r>
          </w:p>
        </w:tc>
        <w:tc>
          <w:tcPr>
            <w:tcW w:w="643" w:type="dxa"/>
          </w:tcPr>
          <w:p>
            <w:pPr>
              <w:pStyle w:val="TableParagraph"/>
              <w:spacing w:before="1"/>
              <w:ind w:right="110"/>
              <w:jc w:val="right"/>
              <w:rPr>
                <w:rFonts w:ascii="Calibri"/>
                <w:sz w:val="18"/>
              </w:rPr>
            </w:pPr>
            <w:r>
              <w:rPr>
                <w:rFonts w:ascii="Calibri"/>
                <w:sz w:val="18"/>
              </w:rPr>
              <w:t>$0.00</w:t>
            </w:r>
          </w:p>
        </w:tc>
        <w:tc>
          <w:tcPr>
            <w:tcW w:w="1645" w:type="dxa"/>
          </w:tcPr>
          <w:p>
            <w:pPr>
              <w:pStyle w:val="TableParagraph"/>
              <w:spacing w:before="1"/>
              <w:ind w:left="119" w:right="119"/>
              <w:rPr>
                <w:rFonts w:ascii="Calibri"/>
                <w:sz w:val="18"/>
              </w:rPr>
            </w:pPr>
            <w:r>
              <w:rPr>
                <w:rFonts w:ascii="Calibri"/>
                <w:sz w:val="18"/>
              </w:rPr>
              <w:t>$0.00</w:t>
            </w:r>
          </w:p>
        </w:tc>
        <w:tc>
          <w:tcPr>
            <w:tcW w:w="1644" w:type="dxa"/>
          </w:tcPr>
          <w:p>
            <w:pPr>
              <w:pStyle w:val="TableParagraph"/>
              <w:spacing w:before="1"/>
              <w:ind w:left="45" w:right="45"/>
              <w:rPr>
                <w:rFonts w:ascii="Calibri"/>
                <w:sz w:val="18"/>
              </w:rPr>
            </w:pPr>
            <w:r>
              <w:rPr>
                <w:rFonts w:ascii="Calibri"/>
                <w:sz w:val="18"/>
              </w:rPr>
              <w:t>$136,317,340.00</w:t>
            </w:r>
          </w:p>
        </w:tc>
      </w:tr>
      <w:tr>
        <w:trPr>
          <w:trHeight w:val="338" w:hRule="exact"/>
        </w:trPr>
        <w:tc>
          <w:tcPr>
            <w:tcW w:w="3788" w:type="dxa"/>
          </w:tcPr>
          <w:p>
            <w:pPr>
              <w:pStyle w:val="TableParagraph"/>
              <w:spacing w:line="219" w:lineRule="exact"/>
              <w:ind w:left="64"/>
              <w:jc w:val="left"/>
              <w:rPr>
                <w:rFonts w:ascii="Calibri"/>
                <w:b/>
                <w:sz w:val="18"/>
              </w:rPr>
            </w:pPr>
            <w:r>
              <w:rPr>
                <w:rFonts w:ascii="Calibri"/>
                <w:b/>
                <w:sz w:val="18"/>
              </w:rPr>
              <w:t>MALINALCO</w:t>
            </w:r>
          </w:p>
        </w:tc>
        <w:tc>
          <w:tcPr>
            <w:tcW w:w="1645" w:type="dxa"/>
          </w:tcPr>
          <w:p>
            <w:pPr>
              <w:pStyle w:val="TableParagraph"/>
              <w:spacing w:line="219" w:lineRule="exact"/>
              <w:ind w:left="121" w:right="116"/>
              <w:rPr>
                <w:rFonts w:ascii="Calibri"/>
                <w:sz w:val="18"/>
              </w:rPr>
            </w:pPr>
            <w:r>
              <w:rPr>
                <w:rFonts w:ascii="Calibri"/>
                <w:sz w:val="18"/>
              </w:rPr>
              <w:t>$0.00</w:t>
            </w:r>
          </w:p>
        </w:tc>
        <w:tc>
          <w:tcPr>
            <w:tcW w:w="643" w:type="dxa"/>
          </w:tcPr>
          <w:p>
            <w:pPr>
              <w:pStyle w:val="TableParagraph"/>
              <w:spacing w:line="219" w:lineRule="exact"/>
              <w:ind w:left="112"/>
              <w:jc w:val="left"/>
              <w:rPr>
                <w:rFonts w:ascii="Calibri"/>
                <w:sz w:val="18"/>
              </w:rPr>
            </w:pPr>
            <w:r>
              <w:rPr>
                <w:rFonts w:ascii="Calibri"/>
                <w:sz w:val="18"/>
              </w:rPr>
              <w:t>$0.00</w:t>
            </w:r>
          </w:p>
        </w:tc>
        <w:tc>
          <w:tcPr>
            <w:tcW w:w="670" w:type="dxa"/>
          </w:tcPr>
          <w:p>
            <w:pPr>
              <w:pStyle w:val="TableParagraph"/>
              <w:spacing w:line="219" w:lineRule="exact"/>
              <w:ind w:left="124"/>
              <w:jc w:val="left"/>
              <w:rPr>
                <w:rFonts w:ascii="Calibri"/>
                <w:sz w:val="18"/>
              </w:rPr>
            </w:pPr>
            <w:r>
              <w:rPr>
                <w:rFonts w:ascii="Calibri"/>
                <w:sz w:val="18"/>
              </w:rPr>
              <w:t>$0.00</w:t>
            </w:r>
          </w:p>
        </w:tc>
        <w:tc>
          <w:tcPr>
            <w:tcW w:w="1644" w:type="dxa"/>
          </w:tcPr>
          <w:p>
            <w:pPr>
              <w:pStyle w:val="TableParagraph"/>
              <w:spacing w:line="219" w:lineRule="exact"/>
              <w:ind w:left="45" w:right="45"/>
              <w:rPr>
                <w:rFonts w:ascii="Calibri"/>
                <w:sz w:val="18"/>
              </w:rPr>
            </w:pPr>
            <w:r>
              <w:rPr>
                <w:rFonts w:ascii="Calibri"/>
                <w:sz w:val="18"/>
              </w:rPr>
              <w:t>$0.00</w:t>
            </w:r>
          </w:p>
        </w:tc>
        <w:tc>
          <w:tcPr>
            <w:tcW w:w="1644" w:type="dxa"/>
          </w:tcPr>
          <w:p>
            <w:pPr>
              <w:pStyle w:val="TableParagraph"/>
              <w:spacing w:line="219" w:lineRule="exact"/>
              <w:ind w:left="45" w:right="45"/>
              <w:rPr>
                <w:rFonts w:ascii="Calibri"/>
                <w:sz w:val="18"/>
              </w:rPr>
            </w:pPr>
            <w:r>
              <w:rPr>
                <w:rFonts w:ascii="Calibri"/>
                <w:sz w:val="18"/>
              </w:rPr>
              <w:t>$0.00</w:t>
            </w:r>
          </w:p>
        </w:tc>
        <w:tc>
          <w:tcPr>
            <w:tcW w:w="643" w:type="dxa"/>
          </w:tcPr>
          <w:p>
            <w:pPr>
              <w:pStyle w:val="TableParagraph"/>
              <w:spacing w:line="219" w:lineRule="exact"/>
              <w:ind w:right="110"/>
              <w:jc w:val="right"/>
              <w:rPr>
                <w:rFonts w:ascii="Calibri"/>
                <w:sz w:val="18"/>
              </w:rPr>
            </w:pPr>
            <w:r>
              <w:rPr>
                <w:rFonts w:ascii="Calibri"/>
                <w:sz w:val="18"/>
              </w:rPr>
              <w:t>$0.00</w:t>
            </w:r>
          </w:p>
        </w:tc>
        <w:tc>
          <w:tcPr>
            <w:tcW w:w="1645" w:type="dxa"/>
          </w:tcPr>
          <w:p>
            <w:pPr>
              <w:pStyle w:val="TableParagraph"/>
              <w:spacing w:line="219" w:lineRule="exact"/>
              <w:ind w:left="119" w:right="119"/>
              <w:rPr>
                <w:rFonts w:ascii="Calibri"/>
                <w:sz w:val="18"/>
              </w:rPr>
            </w:pPr>
            <w:r>
              <w:rPr>
                <w:rFonts w:ascii="Calibri"/>
                <w:sz w:val="18"/>
              </w:rPr>
              <w:t>$0.00</w:t>
            </w:r>
          </w:p>
        </w:tc>
        <w:tc>
          <w:tcPr>
            <w:tcW w:w="1644" w:type="dxa"/>
          </w:tcPr>
          <w:p>
            <w:pPr>
              <w:pStyle w:val="TableParagraph"/>
              <w:spacing w:line="219" w:lineRule="exact"/>
              <w:ind w:left="45" w:right="45"/>
              <w:rPr>
                <w:rFonts w:ascii="Calibri"/>
                <w:sz w:val="18"/>
              </w:rPr>
            </w:pPr>
            <w:r>
              <w:rPr>
                <w:rFonts w:ascii="Calibri"/>
                <w:sz w:val="18"/>
              </w:rPr>
              <w:t>$0.00</w:t>
            </w:r>
          </w:p>
        </w:tc>
      </w:tr>
      <w:tr>
        <w:trPr>
          <w:trHeight w:val="341" w:hRule="exact"/>
        </w:trPr>
        <w:tc>
          <w:tcPr>
            <w:tcW w:w="3788" w:type="dxa"/>
          </w:tcPr>
          <w:p>
            <w:pPr>
              <w:pStyle w:val="TableParagraph"/>
              <w:spacing w:before="1"/>
              <w:ind w:left="64"/>
              <w:jc w:val="left"/>
              <w:rPr>
                <w:rFonts w:ascii="Calibri"/>
                <w:b/>
                <w:sz w:val="18"/>
              </w:rPr>
            </w:pPr>
            <w:r>
              <w:rPr>
                <w:rFonts w:ascii="Calibri"/>
                <w:b/>
                <w:sz w:val="18"/>
              </w:rPr>
              <w:t>MELCHOR OCAMPO</w:t>
            </w:r>
          </w:p>
        </w:tc>
        <w:tc>
          <w:tcPr>
            <w:tcW w:w="1645" w:type="dxa"/>
          </w:tcPr>
          <w:p>
            <w:pPr>
              <w:pStyle w:val="TableParagraph"/>
              <w:spacing w:before="1"/>
              <w:ind w:left="121" w:right="116"/>
              <w:rPr>
                <w:rFonts w:ascii="Calibri"/>
                <w:sz w:val="18"/>
              </w:rPr>
            </w:pPr>
            <w:r>
              <w:rPr>
                <w:rFonts w:ascii="Calibri"/>
                <w:sz w:val="18"/>
              </w:rPr>
              <w:t>$0.00</w:t>
            </w:r>
          </w:p>
        </w:tc>
        <w:tc>
          <w:tcPr>
            <w:tcW w:w="643" w:type="dxa"/>
          </w:tcPr>
          <w:p>
            <w:pPr>
              <w:pStyle w:val="TableParagraph"/>
              <w:spacing w:before="1"/>
              <w:ind w:left="112"/>
              <w:jc w:val="left"/>
              <w:rPr>
                <w:rFonts w:ascii="Calibri"/>
                <w:sz w:val="18"/>
              </w:rPr>
            </w:pPr>
            <w:r>
              <w:rPr>
                <w:rFonts w:ascii="Calibri"/>
                <w:sz w:val="18"/>
              </w:rPr>
              <w:t>$0.00</w:t>
            </w:r>
          </w:p>
        </w:tc>
        <w:tc>
          <w:tcPr>
            <w:tcW w:w="670" w:type="dxa"/>
          </w:tcPr>
          <w:p>
            <w:pPr>
              <w:pStyle w:val="TableParagraph"/>
              <w:spacing w:before="1"/>
              <w:ind w:left="124"/>
              <w:jc w:val="left"/>
              <w:rPr>
                <w:rFonts w:ascii="Calibri"/>
                <w:sz w:val="18"/>
              </w:rPr>
            </w:pPr>
            <w:r>
              <w:rPr>
                <w:rFonts w:ascii="Calibri"/>
                <w:sz w:val="18"/>
              </w:rPr>
              <w:t>$0.00</w:t>
            </w:r>
          </w:p>
        </w:tc>
        <w:tc>
          <w:tcPr>
            <w:tcW w:w="1644" w:type="dxa"/>
          </w:tcPr>
          <w:p>
            <w:pPr>
              <w:pStyle w:val="TableParagraph"/>
              <w:spacing w:before="1"/>
              <w:ind w:left="45" w:right="45"/>
              <w:rPr>
                <w:rFonts w:ascii="Calibri"/>
                <w:sz w:val="18"/>
              </w:rPr>
            </w:pPr>
            <w:r>
              <w:rPr>
                <w:rFonts w:ascii="Calibri"/>
                <w:sz w:val="18"/>
              </w:rPr>
              <w:t>$0.00</w:t>
            </w:r>
          </w:p>
        </w:tc>
        <w:tc>
          <w:tcPr>
            <w:tcW w:w="1644" w:type="dxa"/>
          </w:tcPr>
          <w:p>
            <w:pPr>
              <w:pStyle w:val="TableParagraph"/>
              <w:spacing w:before="1"/>
              <w:ind w:left="45" w:right="45"/>
              <w:rPr>
                <w:rFonts w:ascii="Calibri"/>
                <w:sz w:val="18"/>
              </w:rPr>
            </w:pPr>
            <w:r>
              <w:rPr>
                <w:rFonts w:ascii="Calibri"/>
                <w:sz w:val="18"/>
              </w:rPr>
              <w:t>$0.00</w:t>
            </w:r>
          </w:p>
        </w:tc>
        <w:tc>
          <w:tcPr>
            <w:tcW w:w="643" w:type="dxa"/>
          </w:tcPr>
          <w:p>
            <w:pPr>
              <w:pStyle w:val="TableParagraph"/>
              <w:spacing w:before="1"/>
              <w:ind w:right="110"/>
              <w:jc w:val="right"/>
              <w:rPr>
                <w:rFonts w:ascii="Calibri"/>
                <w:sz w:val="18"/>
              </w:rPr>
            </w:pPr>
            <w:r>
              <w:rPr>
                <w:rFonts w:ascii="Calibri"/>
                <w:sz w:val="18"/>
              </w:rPr>
              <w:t>$0.00</w:t>
            </w:r>
          </w:p>
        </w:tc>
        <w:tc>
          <w:tcPr>
            <w:tcW w:w="1645" w:type="dxa"/>
          </w:tcPr>
          <w:p>
            <w:pPr>
              <w:pStyle w:val="TableParagraph"/>
              <w:spacing w:before="1"/>
              <w:ind w:left="119" w:right="119"/>
              <w:rPr>
                <w:rFonts w:ascii="Calibri"/>
                <w:sz w:val="18"/>
              </w:rPr>
            </w:pPr>
            <w:r>
              <w:rPr>
                <w:rFonts w:ascii="Calibri"/>
                <w:sz w:val="18"/>
              </w:rPr>
              <w:t>$0.00</w:t>
            </w:r>
          </w:p>
        </w:tc>
        <w:tc>
          <w:tcPr>
            <w:tcW w:w="1644" w:type="dxa"/>
          </w:tcPr>
          <w:p>
            <w:pPr>
              <w:pStyle w:val="TableParagraph"/>
              <w:spacing w:before="1"/>
              <w:ind w:left="45" w:right="45"/>
              <w:rPr>
                <w:rFonts w:ascii="Calibri"/>
                <w:sz w:val="18"/>
              </w:rPr>
            </w:pPr>
            <w:r>
              <w:rPr>
                <w:rFonts w:ascii="Calibri"/>
                <w:sz w:val="18"/>
              </w:rPr>
              <w:t>$0.00</w:t>
            </w:r>
          </w:p>
        </w:tc>
      </w:tr>
      <w:tr>
        <w:trPr>
          <w:trHeight w:val="338" w:hRule="exact"/>
        </w:trPr>
        <w:tc>
          <w:tcPr>
            <w:tcW w:w="3788" w:type="dxa"/>
          </w:tcPr>
          <w:p>
            <w:pPr>
              <w:pStyle w:val="TableParagraph"/>
              <w:spacing w:line="219" w:lineRule="exact"/>
              <w:ind w:left="64"/>
              <w:jc w:val="left"/>
              <w:rPr>
                <w:rFonts w:ascii="Calibri"/>
                <w:b/>
                <w:sz w:val="18"/>
              </w:rPr>
            </w:pPr>
            <w:r>
              <w:rPr>
                <w:rFonts w:ascii="Calibri"/>
                <w:b/>
                <w:sz w:val="18"/>
              </w:rPr>
              <w:t>METEPEC</w:t>
            </w:r>
          </w:p>
        </w:tc>
        <w:tc>
          <w:tcPr>
            <w:tcW w:w="1645" w:type="dxa"/>
          </w:tcPr>
          <w:p>
            <w:pPr>
              <w:pStyle w:val="TableParagraph"/>
              <w:spacing w:line="219" w:lineRule="exact"/>
              <w:ind w:left="121" w:right="116"/>
              <w:rPr>
                <w:rFonts w:ascii="Calibri"/>
                <w:sz w:val="18"/>
              </w:rPr>
            </w:pPr>
            <w:r>
              <w:rPr>
                <w:rFonts w:ascii="Calibri"/>
                <w:sz w:val="18"/>
              </w:rPr>
              <w:t>$0.00</w:t>
            </w:r>
          </w:p>
        </w:tc>
        <w:tc>
          <w:tcPr>
            <w:tcW w:w="643" w:type="dxa"/>
          </w:tcPr>
          <w:p>
            <w:pPr>
              <w:pStyle w:val="TableParagraph"/>
              <w:spacing w:line="219" w:lineRule="exact"/>
              <w:ind w:left="112"/>
              <w:jc w:val="left"/>
              <w:rPr>
                <w:rFonts w:ascii="Calibri"/>
                <w:sz w:val="18"/>
              </w:rPr>
            </w:pPr>
            <w:r>
              <w:rPr>
                <w:rFonts w:ascii="Calibri"/>
                <w:sz w:val="18"/>
              </w:rPr>
              <w:t>$0.00</w:t>
            </w:r>
          </w:p>
        </w:tc>
        <w:tc>
          <w:tcPr>
            <w:tcW w:w="670" w:type="dxa"/>
          </w:tcPr>
          <w:p>
            <w:pPr>
              <w:pStyle w:val="TableParagraph"/>
              <w:spacing w:line="219" w:lineRule="exact"/>
              <w:ind w:left="124"/>
              <w:jc w:val="left"/>
              <w:rPr>
                <w:rFonts w:ascii="Calibri"/>
                <w:sz w:val="18"/>
              </w:rPr>
            </w:pPr>
            <w:r>
              <w:rPr>
                <w:rFonts w:ascii="Calibri"/>
                <w:sz w:val="18"/>
              </w:rPr>
              <w:t>$0.00</w:t>
            </w:r>
          </w:p>
        </w:tc>
        <w:tc>
          <w:tcPr>
            <w:tcW w:w="1644" w:type="dxa"/>
          </w:tcPr>
          <w:p>
            <w:pPr>
              <w:pStyle w:val="TableParagraph"/>
              <w:spacing w:line="219" w:lineRule="exact"/>
              <w:ind w:left="45" w:right="45"/>
              <w:rPr>
                <w:rFonts w:ascii="Calibri"/>
                <w:sz w:val="18"/>
              </w:rPr>
            </w:pPr>
            <w:r>
              <w:rPr>
                <w:rFonts w:ascii="Calibri"/>
                <w:sz w:val="18"/>
              </w:rPr>
              <w:t>$0.00</w:t>
            </w:r>
          </w:p>
        </w:tc>
        <w:tc>
          <w:tcPr>
            <w:tcW w:w="1644" w:type="dxa"/>
          </w:tcPr>
          <w:p>
            <w:pPr>
              <w:pStyle w:val="TableParagraph"/>
              <w:spacing w:line="219" w:lineRule="exact"/>
              <w:ind w:left="45" w:right="45"/>
              <w:rPr>
                <w:rFonts w:ascii="Calibri"/>
                <w:sz w:val="18"/>
              </w:rPr>
            </w:pPr>
            <w:r>
              <w:rPr>
                <w:rFonts w:ascii="Calibri"/>
                <w:sz w:val="18"/>
              </w:rPr>
              <w:t>$0.00</w:t>
            </w:r>
          </w:p>
        </w:tc>
        <w:tc>
          <w:tcPr>
            <w:tcW w:w="643" w:type="dxa"/>
          </w:tcPr>
          <w:p>
            <w:pPr>
              <w:pStyle w:val="TableParagraph"/>
              <w:spacing w:line="219" w:lineRule="exact"/>
              <w:ind w:right="110"/>
              <w:jc w:val="right"/>
              <w:rPr>
                <w:rFonts w:ascii="Calibri"/>
                <w:sz w:val="18"/>
              </w:rPr>
            </w:pPr>
            <w:r>
              <w:rPr>
                <w:rFonts w:ascii="Calibri"/>
                <w:sz w:val="18"/>
              </w:rPr>
              <w:t>$0.00</w:t>
            </w:r>
          </w:p>
        </w:tc>
        <w:tc>
          <w:tcPr>
            <w:tcW w:w="1645" w:type="dxa"/>
          </w:tcPr>
          <w:p>
            <w:pPr>
              <w:pStyle w:val="TableParagraph"/>
              <w:spacing w:line="219" w:lineRule="exact"/>
              <w:ind w:left="119" w:right="119"/>
              <w:rPr>
                <w:rFonts w:ascii="Calibri"/>
                <w:sz w:val="18"/>
              </w:rPr>
            </w:pPr>
            <w:r>
              <w:rPr>
                <w:rFonts w:ascii="Calibri"/>
                <w:sz w:val="18"/>
              </w:rPr>
              <w:t>$0.00</w:t>
            </w:r>
          </w:p>
        </w:tc>
        <w:tc>
          <w:tcPr>
            <w:tcW w:w="1644" w:type="dxa"/>
          </w:tcPr>
          <w:p>
            <w:pPr>
              <w:pStyle w:val="TableParagraph"/>
              <w:spacing w:line="219" w:lineRule="exact"/>
              <w:ind w:left="45" w:right="45"/>
              <w:rPr>
                <w:rFonts w:ascii="Calibri"/>
                <w:sz w:val="18"/>
              </w:rPr>
            </w:pPr>
            <w:r>
              <w:rPr>
                <w:rFonts w:ascii="Calibri"/>
                <w:sz w:val="18"/>
              </w:rPr>
              <w:t>$0.00</w:t>
            </w:r>
          </w:p>
        </w:tc>
      </w:tr>
      <w:tr>
        <w:trPr>
          <w:trHeight w:val="341" w:hRule="exact"/>
        </w:trPr>
        <w:tc>
          <w:tcPr>
            <w:tcW w:w="3788" w:type="dxa"/>
          </w:tcPr>
          <w:p>
            <w:pPr>
              <w:pStyle w:val="TableParagraph"/>
              <w:spacing w:before="1"/>
              <w:ind w:left="64"/>
              <w:jc w:val="left"/>
              <w:rPr>
                <w:rFonts w:ascii="Calibri"/>
                <w:b/>
                <w:sz w:val="18"/>
              </w:rPr>
            </w:pPr>
            <w:r>
              <w:rPr>
                <w:rFonts w:ascii="Calibri"/>
                <w:b/>
                <w:sz w:val="18"/>
              </w:rPr>
              <w:t>MEXICALTCINGO</w:t>
            </w:r>
          </w:p>
        </w:tc>
        <w:tc>
          <w:tcPr>
            <w:tcW w:w="1645" w:type="dxa"/>
          </w:tcPr>
          <w:p>
            <w:pPr>
              <w:pStyle w:val="TableParagraph"/>
              <w:spacing w:before="1"/>
              <w:ind w:left="121" w:right="116"/>
              <w:rPr>
                <w:rFonts w:ascii="Calibri"/>
                <w:sz w:val="18"/>
              </w:rPr>
            </w:pPr>
            <w:r>
              <w:rPr>
                <w:rFonts w:ascii="Calibri"/>
                <w:sz w:val="18"/>
              </w:rPr>
              <w:t>$0.00</w:t>
            </w:r>
          </w:p>
        </w:tc>
        <w:tc>
          <w:tcPr>
            <w:tcW w:w="643" w:type="dxa"/>
          </w:tcPr>
          <w:p>
            <w:pPr>
              <w:pStyle w:val="TableParagraph"/>
              <w:spacing w:before="1"/>
              <w:ind w:left="112"/>
              <w:jc w:val="left"/>
              <w:rPr>
                <w:rFonts w:ascii="Calibri"/>
                <w:sz w:val="18"/>
              </w:rPr>
            </w:pPr>
            <w:r>
              <w:rPr>
                <w:rFonts w:ascii="Calibri"/>
                <w:sz w:val="18"/>
              </w:rPr>
              <w:t>$0.00</w:t>
            </w:r>
          </w:p>
        </w:tc>
        <w:tc>
          <w:tcPr>
            <w:tcW w:w="670" w:type="dxa"/>
          </w:tcPr>
          <w:p>
            <w:pPr>
              <w:pStyle w:val="TableParagraph"/>
              <w:spacing w:before="1"/>
              <w:ind w:left="124"/>
              <w:jc w:val="left"/>
              <w:rPr>
                <w:rFonts w:ascii="Calibri"/>
                <w:sz w:val="18"/>
              </w:rPr>
            </w:pPr>
            <w:r>
              <w:rPr>
                <w:rFonts w:ascii="Calibri"/>
                <w:sz w:val="18"/>
              </w:rPr>
              <w:t>$0.00</w:t>
            </w:r>
          </w:p>
        </w:tc>
        <w:tc>
          <w:tcPr>
            <w:tcW w:w="1644" w:type="dxa"/>
          </w:tcPr>
          <w:p>
            <w:pPr>
              <w:pStyle w:val="TableParagraph"/>
              <w:spacing w:before="1"/>
              <w:ind w:left="45" w:right="45"/>
              <w:rPr>
                <w:rFonts w:ascii="Calibri"/>
                <w:sz w:val="18"/>
              </w:rPr>
            </w:pPr>
            <w:r>
              <w:rPr>
                <w:rFonts w:ascii="Calibri"/>
                <w:sz w:val="18"/>
              </w:rPr>
              <w:t>$0.00</w:t>
            </w:r>
          </w:p>
        </w:tc>
        <w:tc>
          <w:tcPr>
            <w:tcW w:w="1644" w:type="dxa"/>
          </w:tcPr>
          <w:p>
            <w:pPr>
              <w:pStyle w:val="TableParagraph"/>
              <w:spacing w:before="1"/>
              <w:ind w:left="45" w:right="45"/>
              <w:rPr>
                <w:rFonts w:ascii="Calibri"/>
                <w:sz w:val="18"/>
              </w:rPr>
            </w:pPr>
            <w:r>
              <w:rPr>
                <w:rFonts w:ascii="Calibri"/>
                <w:sz w:val="18"/>
              </w:rPr>
              <w:t>$0.00</w:t>
            </w:r>
          </w:p>
        </w:tc>
        <w:tc>
          <w:tcPr>
            <w:tcW w:w="643" w:type="dxa"/>
          </w:tcPr>
          <w:p>
            <w:pPr>
              <w:pStyle w:val="TableParagraph"/>
              <w:spacing w:before="1"/>
              <w:ind w:right="110"/>
              <w:jc w:val="right"/>
              <w:rPr>
                <w:rFonts w:ascii="Calibri"/>
                <w:sz w:val="18"/>
              </w:rPr>
            </w:pPr>
            <w:r>
              <w:rPr>
                <w:rFonts w:ascii="Calibri"/>
                <w:sz w:val="18"/>
              </w:rPr>
              <w:t>$0.00</w:t>
            </w:r>
          </w:p>
        </w:tc>
        <w:tc>
          <w:tcPr>
            <w:tcW w:w="1645" w:type="dxa"/>
          </w:tcPr>
          <w:p>
            <w:pPr>
              <w:pStyle w:val="TableParagraph"/>
              <w:spacing w:before="1"/>
              <w:ind w:left="119" w:right="119"/>
              <w:rPr>
                <w:rFonts w:ascii="Calibri"/>
                <w:sz w:val="18"/>
              </w:rPr>
            </w:pPr>
            <w:r>
              <w:rPr>
                <w:rFonts w:ascii="Calibri"/>
                <w:sz w:val="18"/>
              </w:rPr>
              <w:t>$0.00</w:t>
            </w:r>
          </w:p>
        </w:tc>
        <w:tc>
          <w:tcPr>
            <w:tcW w:w="1644" w:type="dxa"/>
          </w:tcPr>
          <w:p>
            <w:pPr>
              <w:pStyle w:val="TableParagraph"/>
              <w:spacing w:before="1"/>
              <w:ind w:left="45" w:right="45"/>
              <w:rPr>
                <w:rFonts w:ascii="Calibri"/>
                <w:sz w:val="18"/>
              </w:rPr>
            </w:pPr>
            <w:r>
              <w:rPr>
                <w:rFonts w:ascii="Calibri"/>
                <w:sz w:val="18"/>
              </w:rPr>
              <w:t>$0.00</w:t>
            </w:r>
          </w:p>
        </w:tc>
      </w:tr>
      <w:tr>
        <w:trPr>
          <w:trHeight w:val="338" w:hRule="exact"/>
        </w:trPr>
        <w:tc>
          <w:tcPr>
            <w:tcW w:w="3788" w:type="dxa"/>
          </w:tcPr>
          <w:p>
            <w:pPr>
              <w:pStyle w:val="TableParagraph"/>
              <w:spacing w:line="219" w:lineRule="exact"/>
              <w:ind w:left="64"/>
              <w:jc w:val="left"/>
              <w:rPr>
                <w:rFonts w:ascii="Calibri"/>
                <w:b/>
                <w:sz w:val="18"/>
              </w:rPr>
            </w:pPr>
            <w:r>
              <w:rPr>
                <w:rFonts w:ascii="Calibri"/>
                <w:b/>
                <w:sz w:val="18"/>
              </w:rPr>
              <w:t>MORELOS</w:t>
            </w:r>
          </w:p>
        </w:tc>
        <w:tc>
          <w:tcPr>
            <w:tcW w:w="1645" w:type="dxa"/>
          </w:tcPr>
          <w:p>
            <w:pPr>
              <w:pStyle w:val="TableParagraph"/>
              <w:spacing w:line="219" w:lineRule="exact"/>
              <w:ind w:left="121" w:right="116"/>
              <w:rPr>
                <w:rFonts w:ascii="Calibri"/>
                <w:sz w:val="18"/>
              </w:rPr>
            </w:pPr>
            <w:r>
              <w:rPr>
                <w:rFonts w:ascii="Calibri"/>
                <w:sz w:val="18"/>
              </w:rPr>
              <w:t>$0.00</w:t>
            </w:r>
          </w:p>
        </w:tc>
        <w:tc>
          <w:tcPr>
            <w:tcW w:w="643" w:type="dxa"/>
          </w:tcPr>
          <w:p>
            <w:pPr>
              <w:pStyle w:val="TableParagraph"/>
              <w:spacing w:line="219" w:lineRule="exact"/>
              <w:ind w:left="112"/>
              <w:jc w:val="left"/>
              <w:rPr>
                <w:rFonts w:ascii="Calibri"/>
                <w:sz w:val="18"/>
              </w:rPr>
            </w:pPr>
            <w:r>
              <w:rPr>
                <w:rFonts w:ascii="Calibri"/>
                <w:sz w:val="18"/>
              </w:rPr>
              <w:t>$0.00</w:t>
            </w:r>
          </w:p>
        </w:tc>
        <w:tc>
          <w:tcPr>
            <w:tcW w:w="670" w:type="dxa"/>
          </w:tcPr>
          <w:p>
            <w:pPr>
              <w:pStyle w:val="TableParagraph"/>
              <w:spacing w:line="219" w:lineRule="exact"/>
              <w:ind w:left="124"/>
              <w:jc w:val="left"/>
              <w:rPr>
                <w:rFonts w:ascii="Calibri"/>
                <w:sz w:val="18"/>
              </w:rPr>
            </w:pPr>
            <w:r>
              <w:rPr>
                <w:rFonts w:ascii="Calibri"/>
                <w:sz w:val="18"/>
              </w:rPr>
              <w:t>$0.00</w:t>
            </w:r>
          </w:p>
        </w:tc>
        <w:tc>
          <w:tcPr>
            <w:tcW w:w="1644" w:type="dxa"/>
          </w:tcPr>
          <w:p>
            <w:pPr>
              <w:pStyle w:val="TableParagraph"/>
              <w:spacing w:line="219" w:lineRule="exact"/>
              <w:ind w:left="45" w:right="45"/>
              <w:rPr>
                <w:rFonts w:ascii="Calibri"/>
                <w:sz w:val="18"/>
              </w:rPr>
            </w:pPr>
            <w:r>
              <w:rPr>
                <w:rFonts w:ascii="Calibri"/>
                <w:sz w:val="18"/>
              </w:rPr>
              <w:t>$0.00</w:t>
            </w:r>
          </w:p>
        </w:tc>
        <w:tc>
          <w:tcPr>
            <w:tcW w:w="1644" w:type="dxa"/>
          </w:tcPr>
          <w:p>
            <w:pPr>
              <w:pStyle w:val="TableParagraph"/>
              <w:spacing w:line="219" w:lineRule="exact"/>
              <w:ind w:left="45" w:right="45"/>
              <w:rPr>
                <w:rFonts w:ascii="Calibri"/>
                <w:sz w:val="18"/>
              </w:rPr>
            </w:pPr>
            <w:r>
              <w:rPr>
                <w:rFonts w:ascii="Calibri"/>
                <w:sz w:val="18"/>
              </w:rPr>
              <w:t>$145,543,145.74</w:t>
            </w:r>
          </w:p>
        </w:tc>
        <w:tc>
          <w:tcPr>
            <w:tcW w:w="643" w:type="dxa"/>
          </w:tcPr>
          <w:p>
            <w:pPr>
              <w:pStyle w:val="TableParagraph"/>
              <w:spacing w:line="219" w:lineRule="exact"/>
              <w:ind w:right="110"/>
              <w:jc w:val="right"/>
              <w:rPr>
                <w:rFonts w:ascii="Calibri"/>
                <w:sz w:val="18"/>
              </w:rPr>
            </w:pPr>
            <w:r>
              <w:rPr>
                <w:rFonts w:ascii="Calibri"/>
                <w:sz w:val="18"/>
              </w:rPr>
              <w:t>$0.00</w:t>
            </w:r>
          </w:p>
        </w:tc>
        <w:tc>
          <w:tcPr>
            <w:tcW w:w="1645" w:type="dxa"/>
          </w:tcPr>
          <w:p>
            <w:pPr>
              <w:pStyle w:val="TableParagraph"/>
              <w:spacing w:line="219" w:lineRule="exact"/>
              <w:ind w:left="119" w:right="119"/>
              <w:rPr>
                <w:rFonts w:ascii="Calibri"/>
                <w:sz w:val="18"/>
              </w:rPr>
            </w:pPr>
            <w:r>
              <w:rPr>
                <w:rFonts w:ascii="Calibri"/>
                <w:sz w:val="18"/>
              </w:rPr>
              <w:t>$115,386,894.16</w:t>
            </w:r>
          </w:p>
        </w:tc>
        <w:tc>
          <w:tcPr>
            <w:tcW w:w="1644" w:type="dxa"/>
          </w:tcPr>
          <w:p>
            <w:pPr>
              <w:pStyle w:val="TableParagraph"/>
              <w:spacing w:line="219" w:lineRule="exact"/>
              <w:ind w:left="45" w:right="45"/>
              <w:rPr>
                <w:rFonts w:ascii="Calibri"/>
                <w:sz w:val="18"/>
              </w:rPr>
            </w:pPr>
            <w:r>
              <w:rPr>
                <w:rFonts w:ascii="Calibri"/>
                <w:sz w:val="18"/>
              </w:rPr>
              <w:t>$30,156,251.58</w:t>
            </w:r>
          </w:p>
        </w:tc>
      </w:tr>
      <w:tr>
        <w:trPr>
          <w:trHeight w:val="341" w:hRule="exact"/>
        </w:trPr>
        <w:tc>
          <w:tcPr>
            <w:tcW w:w="3788" w:type="dxa"/>
          </w:tcPr>
          <w:p>
            <w:pPr>
              <w:pStyle w:val="TableParagraph"/>
              <w:spacing w:before="2"/>
              <w:ind w:left="64"/>
              <w:jc w:val="left"/>
              <w:rPr>
                <w:rFonts w:ascii="Calibri"/>
                <w:b/>
                <w:sz w:val="18"/>
              </w:rPr>
            </w:pPr>
            <w:r>
              <w:rPr>
                <w:rFonts w:ascii="Calibri"/>
                <w:b/>
                <w:sz w:val="18"/>
              </w:rPr>
              <w:t>NAUCALPAN DE JUAREZ</w:t>
            </w:r>
          </w:p>
        </w:tc>
        <w:tc>
          <w:tcPr>
            <w:tcW w:w="1645" w:type="dxa"/>
          </w:tcPr>
          <w:p>
            <w:pPr>
              <w:pStyle w:val="TableParagraph"/>
              <w:spacing w:before="2"/>
              <w:ind w:left="121" w:right="117"/>
              <w:rPr>
                <w:rFonts w:ascii="Calibri"/>
                <w:sz w:val="18"/>
              </w:rPr>
            </w:pPr>
            <w:r>
              <w:rPr>
                <w:rFonts w:ascii="Calibri"/>
                <w:sz w:val="18"/>
              </w:rPr>
              <w:t>$118,168,076.00</w:t>
            </w:r>
          </w:p>
        </w:tc>
        <w:tc>
          <w:tcPr>
            <w:tcW w:w="643" w:type="dxa"/>
          </w:tcPr>
          <w:p>
            <w:pPr>
              <w:pStyle w:val="TableParagraph"/>
              <w:spacing w:before="2"/>
              <w:ind w:left="112"/>
              <w:jc w:val="left"/>
              <w:rPr>
                <w:rFonts w:ascii="Calibri"/>
                <w:sz w:val="18"/>
              </w:rPr>
            </w:pPr>
            <w:r>
              <w:rPr>
                <w:rFonts w:ascii="Calibri"/>
                <w:sz w:val="18"/>
              </w:rPr>
              <w:t>$0.00</w:t>
            </w:r>
          </w:p>
        </w:tc>
        <w:tc>
          <w:tcPr>
            <w:tcW w:w="670" w:type="dxa"/>
          </w:tcPr>
          <w:p>
            <w:pPr>
              <w:pStyle w:val="TableParagraph"/>
              <w:spacing w:before="2"/>
              <w:ind w:left="124"/>
              <w:jc w:val="left"/>
              <w:rPr>
                <w:rFonts w:ascii="Calibri"/>
                <w:sz w:val="18"/>
              </w:rPr>
            </w:pPr>
            <w:r>
              <w:rPr>
                <w:rFonts w:ascii="Calibri"/>
                <w:sz w:val="18"/>
              </w:rPr>
              <w:t>$0.00</w:t>
            </w:r>
          </w:p>
        </w:tc>
        <w:tc>
          <w:tcPr>
            <w:tcW w:w="1644" w:type="dxa"/>
          </w:tcPr>
          <w:p>
            <w:pPr>
              <w:pStyle w:val="TableParagraph"/>
              <w:spacing w:before="2"/>
              <w:ind w:left="45" w:right="45"/>
              <w:rPr>
                <w:rFonts w:ascii="Calibri"/>
                <w:sz w:val="18"/>
              </w:rPr>
            </w:pPr>
            <w:r>
              <w:rPr>
                <w:rFonts w:ascii="Calibri"/>
                <w:sz w:val="18"/>
              </w:rPr>
              <w:t>$118,168,076.00</w:t>
            </w:r>
          </w:p>
        </w:tc>
        <w:tc>
          <w:tcPr>
            <w:tcW w:w="1644" w:type="dxa"/>
          </w:tcPr>
          <w:p>
            <w:pPr>
              <w:pStyle w:val="TableParagraph"/>
              <w:spacing w:before="2"/>
              <w:ind w:left="45" w:right="45"/>
              <w:rPr>
                <w:rFonts w:ascii="Calibri"/>
                <w:sz w:val="18"/>
              </w:rPr>
            </w:pPr>
            <w:r>
              <w:rPr>
                <w:rFonts w:ascii="Calibri"/>
                <w:sz w:val="18"/>
              </w:rPr>
              <w:t>$141,295,256.00</w:t>
            </w:r>
          </w:p>
        </w:tc>
        <w:tc>
          <w:tcPr>
            <w:tcW w:w="643" w:type="dxa"/>
          </w:tcPr>
          <w:p>
            <w:pPr>
              <w:pStyle w:val="TableParagraph"/>
              <w:spacing w:before="2"/>
              <w:ind w:right="110"/>
              <w:jc w:val="right"/>
              <w:rPr>
                <w:rFonts w:ascii="Calibri"/>
                <w:sz w:val="18"/>
              </w:rPr>
            </w:pPr>
            <w:r>
              <w:rPr>
                <w:rFonts w:ascii="Calibri"/>
                <w:sz w:val="18"/>
              </w:rPr>
              <w:t>$0.00</w:t>
            </w:r>
          </w:p>
        </w:tc>
        <w:tc>
          <w:tcPr>
            <w:tcW w:w="1645" w:type="dxa"/>
          </w:tcPr>
          <w:p>
            <w:pPr>
              <w:pStyle w:val="TableParagraph"/>
              <w:spacing w:before="2"/>
              <w:ind w:left="119" w:right="119"/>
              <w:rPr>
                <w:rFonts w:ascii="Calibri"/>
                <w:sz w:val="18"/>
              </w:rPr>
            </w:pPr>
            <w:r>
              <w:rPr>
                <w:rFonts w:ascii="Calibri"/>
                <w:sz w:val="18"/>
              </w:rPr>
              <w:t>$0.00</w:t>
            </w:r>
          </w:p>
        </w:tc>
        <w:tc>
          <w:tcPr>
            <w:tcW w:w="1644" w:type="dxa"/>
          </w:tcPr>
          <w:p>
            <w:pPr>
              <w:pStyle w:val="TableParagraph"/>
              <w:spacing w:before="2"/>
              <w:ind w:left="45" w:right="45"/>
              <w:rPr>
                <w:rFonts w:ascii="Calibri"/>
                <w:sz w:val="18"/>
              </w:rPr>
            </w:pPr>
            <w:r>
              <w:rPr>
                <w:rFonts w:ascii="Calibri"/>
                <w:sz w:val="18"/>
              </w:rPr>
              <w:t>$141,295,256.00</w:t>
            </w:r>
          </w:p>
        </w:tc>
      </w:tr>
      <w:tr>
        <w:trPr>
          <w:trHeight w:val="338" w:hRule="exact"/>
        </w:trPr>
        <w:tc>
          <w:tcPr>
            <w:tcW w:w="3788" w:type="dxa"/>
          </w:tcPr>
          <w:p>
            <w:pPr>
              <w:pStyle w:val="TableParagraph"/>
              <w:spacing w:line="219" w:lineRule="exact"/>
              <w:ind w:left="64"/>
              <w:jc w:val="left"/>
              <w:rPr>
                <w:rFonts w:ascii="Calibri"/>
                <w:b/>
                <w:sz w:val="18"/>
              </w:rPr>
            </w:pPr>
            <w:r>
              <w:rPr>
                <w:rFonts w:ascii="Calibri"/>
                <w:b/>
                <w:sz w:val="18"/>
              </w:rPr>
              <w:t>NEXTLALPAN</w:t>
            </w:r>
          </w:p>
        </w:tc>
        <w:tc>
          <w:tcPr>
            <w:tcW w:w="1645" w:type="dxa"/>
          </w:tcPr>
          <w:p>
            <w:pPr>
              <w:pStyle w:val="TableParagraph"/>
              <w:spacing w:line="219" w:lineRule="exact"/>
              <w:ind w:left="121" w:right="116"/>
              <w:rPr>
                <w:rFonts w:ascii="Calibri"/>
                <w:sz w:val="18"/>
              </w:rPr>
            </w:pPr>
            <w:r>
              <w:rPr>
                <w:rFonts w:ascii="Calibri"/>
                <w:sz w:val="18"/>
              </w:rPr>
              <w:t>$0.00</w:t>
            </w:r>
          </w:p>
        </w:tc>
        <w:tc>
          <w:tcPr>
            <w:tcW w:w="643" w:type="dxa"/>
          </w:tcPr>
          <w:p>
            <w:pPr>
              <w:pStyle w:val="TableParagraph"/>
              <w:spacing w:line="219" w:lineRule="exact"/>
              <w:ind w:left="112"/>
              <w:jc w:val="left"/>
              <w:rPr>
                <w:rFonts w:ascii="Calibri"/>
                <w:sz w:val="18"/>
              </w:rPr>
            </w:pPr>
            <w:r>
              <w:rPr>
                <w:rFonts w:ascii="Calibri"/>
                <w:sz w:val="18"/>
              </w:rPr>
              <w:t>$0.00</w:t>
            </w:r>
          </w:p>
        </w:tc>
        <w:tc>
          <w:tcPr>
            <w:tcW w:w="670" w:type="dxa"/>
          </w:tcPr>
          <w:p>
            <w:pPr>
              <w:pStyle w:val="TableParagraph"/>
              <w:spacing w:line="219" w:lineRule="exact"/>
              <w:ind w:left="124"/>
              <w:jc w:val="left"/>
              <w:rPr>
                <w:rFonts w:ascii="Calibri"/>
                <w:sz w:val="18"/>
              </w:rPr>
            </w:pPr>
            <w:r>
              <w:rPr>
                <w:rFonts w:ascii="Calibri"/>
                <w:sz w:val="18"/>
              </w:rPr>
              <w:t>$0.00</w:t>
            </w:r>
          </w:p>
        </w:tc>
        <w:tc>
          <w:tcPr>
            <w:tcW w:w="1644" w:type="dxa"/>
          </w:tcPr>
          <w:p>
            <w:pPr>
              <w:pStyle w:val="TableParagraph"/>
              <w:spacing w:line="219" w:lineRule="exact"/>
              <w:ind w:left="45" w:right="45"/>
              <w:rPr>
                <w:rFonts w:ascii="Calibri"/>
                <w:sz w:val="18"/>
              </w:rPr>
            </w:pPr>
            <w:r>
              <w:rPr>
                <w:rFonts w:ascii="Calibri"/>
                <w:sz w:val="18"/>
              </w:rPr>
              <w:t>$0.00</w:t>
            </w:r>
          </w:p>
        </w:tc>
        <w:tc>
          <w:tcPr>
            <w:tcW w:w="1644" w:type="dxa"/>
          </w:tcPr>
          <w:p>
            <w:pPr>
              <w:pStyle w:val="TableParagraph"/>
              <w:spacing w:line="219" w:lineRule="exact"/>
              <w:ind w:left="45" w:right="45"/>
              <w:rPr>
                <w:rFonts w:ascii="Calibri"/>
                <w:sz w:val="18"/>
              </w:rPr>
            </w:pPr>
            <w:r>
              <w:rPr>
                <w:rFonts w:ascii="Calibri"/>
                <w:sz w:val="18"/>
              </w:rPr>
              <w:t>$0.00</w:t>
            </w:r>
          </w:p>
        </w:tc>
        <w:tc>
          <w:tcPr>
            <w:tcW w:w="643" w:type="dxa"/>
          </w:tcPr>
          <w:p>
            <w:pPr>
              <w:pStyle w:val="TableParagraph"/>
              <w:spacing w:line="219" w:lineRule="exact"/>
              <w:ind w:right="110"/>
              <w:jc w:val="right"/>
              <w:rPr>
                <w:rFonts w:ascii="Calibri"/>
                <w:sz w:val="18"/>
              </w:rPr>
            </w:pPr>
            <w:r>
              <w:rPr>
                <w:rFonts w:ascii="Calibri"/>
                <w:sz w:val="18"/>
              </w:rPr>
              <w:t>$0.00</w:t>
            </w:r>
          </w:p>
        </w:tc>
        <w:tc>
          <w:tcPr>
            <w:tcW w:w="1645" w:type="dxa"/>
          </w:tcPr>
          <w:p>
            <w:pPr>
              <w:pStyle w:val="TableParagraph"/>
              <w:spacing w:line="219" w:lineRule="exact"/>
              <w:ind w:left="119" w:right="119"/>
              <w:rPr>
                <w:rFonts w:ascii="Calibri"/>
                <w:sz w:val="18"/>
              </w:rPr>
            </w:pPr>
            <w:r>
              <w:rPr>
                <w:rFonts w:ascii="Calibri"/>
                <w:sz w:val="18"/>
              </w:rPr>
              <w:t>$0.00</w:t>
            </w:r>
          </w:p>
        </w:tc>
        <w:tc>
          <w:tcPr>
            <w:tcW w:w="1644" w:type="dxa"/>
          </w:tcPr>
          <w:p>
            <w:pPr>
              <w:pStyle w:val="TableParagraph"/>
              <w:spacing w:line="219" w:lineRule="exact"/>
              <w:ind w:left="45" w:right="45"/>
              <w:rPr>
                <w:rFonts w:ascii="Calibri"/>
                <w:sz w:val="18"/>
              </w:rPr>
            </w:pPr>
            <w:r>
              <w:rPr>
                <w:rFonts w:ascii="Calibri"/>
                <w:sz w:val="18"/>
              </w:rPr>
              <w:t>$0.00</w:t>
            </w:r>
          </w:p>
        </w:tc>
      </w:tr>
      <w:tr>
        <w:trPr>
          <w:trHeight w:val="341" w:hRule="exact"/>
        </w:trPr>
        <w:tc>
          <w:tcPr>
            <w:tcW w:w="3788" w:type="dxa"/>
          </w:tcPr>
          <w:p>
            <w:pPr>
              <w:pStyle w:val="TableParagraph"/>
              <w:spacing w:before="1"/>
              <w:ind w:left="64"/>
              <w:jc w:val="left"/>
              <w:rPr>
                <w:rFonts w:ascii="Calibri"/>
                <w:b/>
                <w:sz w:val="18"/>
              </w:rPr>
            </w:pPr>
            <w:r>
              <w:rPr>
                <w:rFonts w:ascii="Calibri"/>
                <w:b/>
                <w:sz w:val="18"/>
              </w:rPr>
              <w:t>NEZAHUALCOYOTL</w:t>
            </w:r>
          </w:p>
        </w:tc>
        <w:tc>
          <w:tcPr>
            <w:tcW w:w="1645" w:type="dxa"/>
          </w:tcPr>
          <w:p>
            <w:pPr>
              <w:pStyle w:val="TableParagraph"/>
              <w:spacing w:before="1"/>
              <w:ind w:left="121" w:right="116"/>
              <w:rPr>
                <w:rFonts w:ascii="Calibri"/>
                <w:sz w:val="18"/>
              </w:rPr>
            </w:pPr>
            <w:r>
              <w:rPr>
                <w:rFonts w:ascii="Calibri"/>
                <w:sz w:val="18"/>
              </w:rPr>
              <w:t>$0.00</w:t>
            </w:r>
          </w:p>
        </w:tc>
        <w:tc>
          <w:tcPr>
            <w:tcW w:w="643" w:type="dxa"/>
          </w:tcPr>
          <w:p>
            <w:pPr>
              <w:pStyle w:val="TableParagraph"/>
              <w:spacing w:before="1"/>
              <w:ind w:left="112"/>
              <w:jc w:val="left"/>
              <w:rPr>
                <w:rFonts w:ascii="Calibri"/>
                <w:sz w:val="18"/>
              </w:rPr>
            </w:pPr>
            <w:r>
              <w:rPr>
                <w:rFonts w:ascii="Calibri"/>
                <w:sz w:val="18"/>
              </w:rPr>
              <w:t>$0.00</w:t>
            </w:r>
          </w:p>
        </w:tc>
        <w:tc>
          <w:tcPr>
            <w:tcW w:w="670" w:type="dxa"/>
          </w:tcPr>
          <w:p>
            <w:pPr>
              <w:pStyle w:val="TableParagraph"/>
              <w:spacing w:before="1"/>
              <w:ind w:left="124"/>
              <w:jc w:val="left"/>
              <w:rPr>
                <w:rFonts w:ascii="Calibri"/>
                <w:sz w:val="18"/>
              </w:rPr>
            </w:pPr>
            <w:r>
              <w:rPr>
                <w:rFonts w:ascii="Calibri"/>
                <w:sz w:val="18"/>
              </w:rPr>
              <w:t>$0.00</w:t>
            </w:r>
          </w:p>
        </w:tc>
        <w:tc>
          <w:tcPr>
            <w:tcW w:w="1644" w:type="dxa"/>
          </w:tcPr>
          <w:p>
            <w:pPr>
              <w:pStyle w:val="TableParagraph"/>
              <w:spacing w:before="1"/>
              <w:ind w:left="45" w:right="45"/>
              <w:rPr>
                <w:rFonts w:ascii="Calibri"/>
                <w:sz w:val="18"/>
              </w:rPr>
            </w:pPr>
            <w:r>
              <w:rPr>
                <w:rFonts w:ascii="Calibri"/>
                <w:sz w:val="18"/>
              </w:rPr>
              <w:t>$0.00</w:t>
            </w:r>
          </w:p>
        </w:tc>
        <w:tc>
          <w:tcPr>
            <w:tcW w:w="1644" w:type="dxa"/>
          </w:tcPr>
          <w:p>
            <w:pPr>
              <w:pStyle w:val="TableParagraph"/>
              <w:spacing w:before="1"/>
              <w:ind w:left="45" w:right="45"/>
              <w:rPr>
                <w:rFonts w:ascii="Calibri"/>
                <w:sz w:val="18"/>
              </w:rPr>
            </w:pPr>
            <w:r>
              <w:rPr>
                <w:rFonts w:ascii="Calibri"/>
                <w:sz w:val="18"/>
              </w:rPr>
              <w:t>$0.00</w:t>
            </w:r>
          </w:p>
        </w:tc>
        <w:tc>
          <w:tcPr>
            <w:tcW w:w="643" w:type="dxa"/>
          </w:tcPr>
          <w:p>
            <w:pPr>
              <w:pStyle w:val="TableParagraph"/>
              <w:spacing w:before="1"/>
              <w:ind w:right="110"/>
              <w:jc w:val="right"/>
              <w:rPr>
                <w:rFonts w:ascii="Calibri"/>
                <w:sz w:val="18"/>
              </w:rPr>
            </w:pPr>
            <w:r>
              <w:rPr>
                <w:rFonts w:ascii="Calibri"/>
                <w:sz w:val="18"/>
              </w:rPr>
              <w:t>$0.00</w:t>
            </w:r>
          </w:p>
        </w:tc>
        <w:tc>
          <w:tcPr>
            <w:tcW w:w="1645" w:type="dxa"/>
          </w:tcPr>
          <w:p>
            <w:pPr>
              <w:pStyle w:val="TableParagraph"/>
              <w:spacing w:before="1"/>
              <w:ind w:left="119" w:right="119"/>
              <w:rPr>
                <w:rFonts w:ascii="Calibri"/>
                <w:sz w:val="18"/>
              </w:rPr>
            </w:pPr>
            <w:r>
              <w:rPr>
                <w:rFonts w:ascii="Calibri"/>
                <w:sz w:val="18"/>
              </w:rPr>
              <w:t>$0.00</w:t>
            </w:r>
          </w:p>
        </w:tc>
        <w:tc>
          <w:tcPr>
            <w:tcW w:w="1644" w:type="dxa"/>
          </w:tcPr>
          <w:p>
            <w:pPr>
              <w:pStyle w:val="TableParagraph"/>
              <w:spacing w:before="1"/>
              <w:ind w:left="45" w:right="45"/>
              <w:rPr>
                <w:rFonts w:ascii="Calibri"/>
                <w:sz w:val="18"/>
              </w:rPr>
            </w:pPr>
            <w:r>
              <w:rPr>
                <w:rFonts w:ascii="Calibri"/>
                <w:sz w:val="18"/>
              </w:rPr>
              <w:t>$0.00</w:t>
            </w:r>
          </w:p>
        </w:tc>
      </w:tr>
      <w:tr>
        <w:trPr>
          <w:trHeight w:val="341" w:hRule="exact"/>
        </w:trPr>
        <w:tc>
          <w:tcPr>
            <w:tcW w:w="3788" w:type="dxa"/>
          </w:tcPr>
          <w:p>
            <w:pPr>
              <w:pStyle w:val="TableParagraph"/>
              <w:spacing w:line="219" w:lineRule="exact"/>
              <w:ind w:left="64"/>
              <w:jc w:val="left"/>
              <w:rPr>
                <w:rFonts w:ascii="Calibri"/>
                <w:b/>
                <w:sz w:val="18"/>
              </w:rPr>
            </w:pPr>
            <w:r>
              <w:rPr>
                <w:rFonts w:ascii="Calibri"/>
                <w:b/>
                <w:sz w:val="18"/>
              </w:rPr>
              <w:t>NICOLAS ROMERO</w:t>
            </w:r>
          </w:p>
        </w:tc>
        <w:tc>
          <w:tcPr>
            <w:tcW w:w="1645" w:type="dxa"/>
          </w:tcPr>
          <w:p>
            <w:pPr>
              <w:pStyle w:val="TableParagraph"/>
              <w:spacing w:line="219" w:lineRule="exact"/>
              <w:ind w:left="121" w:right="116"/>
              <w:rPr>
                <w:rFonts w:ascii="Calibri"/>
                <w:sz w:val="18"/>
              </w:rPr>
            </w:pPr>
            <w:r>
              <w:rPr>
                <w:rFonts w:ascii="Calibri"/>
                <w:sz w:val="18"/>
              </w:rPr>
              <w:t>$0.00</w:t>
            </w:r>
          </w:p>
        </w:tc>
        <w:tc>
          <w:tcPr>
            <w:tcW w:w="643" w:type="dxa"/>
          </w:tcPr>
          <w:p>
            <w:pPr>
              <w:pStyle w:val="TableParagraph"/>
              <w:spacing w:line="219" w:lineRule="exact"/>
              <w:ind w:left="112"/>
              <w:jc w:val="left"/>
              <w:rPr>
                <w:rFonts w:ascii="Calibri"/>
                <w:sz w:val="18"/>
              </w:rPr>
            </w:pPr>
            <w:r>
              <w:rPr>
                <w:rFonts w:ascii="Calibri"/>
                <w:sz w:val="18"/>
              </w:rPr>
              <w:t>$0.00</w:t>
            </w:r>
          </w:p>
        </w:tc>
        <w:tc>
          <w:tcPr>
            <w:tcW w:w="670" w:type="dxa"/>
          </w:tcPr>
          <w:p>
            <w:pPr>
              <w:pStyle w:val="TableParagraph"/>
              <w:spacing w:line="219" w:lineRule="exact"/>
              <w:ind w:left="124"/>
              <w:jc w:val="left"/>
              <w:rPr>
                <w:rFonts w:ascii="Calibri"/>
                <w:sz w:val="18"/>
              </w:rPr>
            </w:pPr>
            <w:r>
              <w:rPr>
                <w:rFonts w:ascii="Calibri"/>
                <w:sz w:val="18"/>
              </w:rPr>
              <w:t>$0.00</w:t>
            </w:r>
          </w:p>
        </w:tc>
        <w:tc>
          <w:tcPr>
            <w:tcW w:w="1644" w:type="dxa"/>
          </w:tcPr>
          <w:p>
            <w:pPr>
              <w:pStyle w:val="TableParagraph"/>
              <w:spacing w:line="219" w:lineRule="exact"/>
              <w:ind w:left="45" w:right="45"/>
              <w:rPr>
                <w:rFonts w:ascii="Calibri"/>
                <w:sz w:val="18"/>
              </w:rPr>
            </w:pPr>
            <w:r>
              <w:rPr>
                <w:rFonts w:ascii="Calibri"/>
                <w:sz w:val="18"/>
              </w:rPr>
              <w:t>$0.00</w:t>
            </w:r>
          </w:p>
        </w:tc>
        <w:tc>
          <w:tcPr>
            <w:tcW w:w="1644" w:type="dxa"/>
          </w:tcPr>
          <w:p>
            <w:pPr>
              <w:pStyle w:val="TableParagraph"/>
              <w:spacing w:line="219" w:lineRule="exact"/>
              <w:ind w:left="45" w:right="45"/>
              <w:rPr>
                <w:rFonts w:ascii="Calibri"/>
                <w:sz w:val="18"/>
              </w:rPr>
            </w:pPr>
            <w:r>
              <w:rPr>
                <w:rFonts w:ascii="Calibri"/>
                <w:sz w:val="18"/>
              </w:rPr>
              <w:t>$553,618,426.75</w:t>
            </w:r>
          </w:p>
        </w:tc>
        <w:tc>
          <w:tcPr>
            <w:tcW w:w="643" w:type="dxa"/>
          </w:tcPr>
          <w:p>
            <w:pPr>
              <w:pStyle w:val="TableParagraph"/>
              <w:spacing w:line="219" w:lineRule="exact"/>
              <w:ind w:right="110"/>
              <w:jc w:val="right"/>
              <w:rPr>
                <w:rFonts w:ascii="Calibri"/>
                <w:sz w:val="18"/>
              </w:rPr>
            </w:pPr>
            <w:r>
              <w:rPr>
                <w:rFonts w:ascii="Calibri"/>
                <w:sz w:val="18"/>
              </w:rPr>
              <w:t>$0.00</w:t>
            </w:r>
          </w:p>
        </w:tc>
        <w:tc>
          <w:tcPr>
            <w:tcW w:w="1645" w:type="dxa"/>
          </w:tcPr>
          <w:p>
            <w:pPr>
              <w:pStyle w:val="TableParagraph"/>
              <w:spacing w:line="219" w:lineRule="exact"/>
              <w:ind w:left="119" w:right="119"/>
              <w:rPr>
                <w:rFonts w:ascii="Calibri"/>
                <w:sz w:val="18"/>
              </w:rPr>
            </w:pPr>
            <w:r>
              <w:rPr>
                <w:rFonts w:ascii="Calibri"/>
                <w:sz w:val="18"/>
              </w:rPr>
              <w:t>$0.00</w:t>
            </w:r>
          </w:p>
        </w:tc>
        <w:tc>
          <w:tcPr>
            <w:tcW w:w="1644" w:type="dxa"/>
          </w:tcPr>
          <w:p>
            <w:pPr>
              <w:pStyle w:val="TableParagraph"/>
              <w:spacing w:line="219" w:lineRule="exact"/>
              <w:ind w:left="45" w:right="45"/>
              <w:rPr>
                <w:rFonts w:ascii="Calibri"/>
                <w:sz w:val="18"/>
              </w:rPr>
            </w:pPr>
            <w:r>
              <w:rPr>
                <w:rFonts w:ascii="Calibri"/>
                <w:sz w:val="18"/>
              </w:rPr>
              <w:t>$553,618,426.75</w:t>
            </w:r>
          </w:p>
        </w:tc>
      </w:tr>
    </w:tbl>
    <w:p>
      <w:pPr>
        <w:spacing w:after="0" w:line="219" w:lineRule="exact"/>
        <w:rPr>
          <w:rFonts w:ascii="Calibri"/>
          <w:sz w:val="18"/>
        </w:rPr>
        <w:sectPr>
          <w:pgSz w:w="15840" w:h="12240" w:orient="landscape"/>
          <w:pgMar w:header="0" w:footer="975" w:top="1140" w:bottom="1160" w:left="820" w:right="820"/>
        </w:sectPr>
      </w:pPr>
    </w:p>
    <w:p>
      <w:pPr>
        <w:pStyle w:val="BodyText"/>
        <w:rPr>
          <w:rFonts w:ascii="Times New Roman"/>
          <w:sz w:val="20"/>
        </w:rPr>
      </w:pPr>
    </w:p>
    <w:p>
      <w:pPr>
        <w:pStyle w:val="BodyText"/>
        <w:spacing w:before="10"/>
        <w:rPr>
          <w:rFonts w:ascii="Times New Roman"/>
          <w:sz w:val="28"/>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88"/>
        <w:gridCol w:w="1645"/>
        <w:gridCol w:w="643"/>
        <w:gridCol w:w="670"/>
        <w:gridCol w:w="1644"/>
        <w:gridCol w:w="1644"/>
        <w:gridCol w:w="643"/>
        <w:gridCol w:w="1645"/>
        <w:gridCol w:w="1644"/>
      </w:tblGrid>
      <w:tr>
        <w:trPr>
          <w:trHeight w:val="430" w:hRule="exact"/>
        </w:trPr>
        <w:tc>
          <w:tcPr>
            <w:tcW w:w="13965" w:type="dxa"/>
            <w:gridSpan w:val="9"/>
            <w:shd w:val="clear" w:color="auto" w:fill="C5DFB3"/>
          </w:tcPr>
          <w:p>
            <w:pPr>
              <w:pStyle w:val="TableParagraph"/>
              <w:spacing w:before="49"/>
              <w:ind w:left="3324"/>
              <w:jc w:val="left"/>
              <w:rPr>
                <w:b/>
                <w:sz w:val="18"/>
              </w:rPr>
            </w:pPr>
            <w:r>
              <w:rPr>
                <w:b/>
                <w:sz w:val="18"/>
              </w:rPr>
              <w:t>Anexo 24A. Municipios que publican apartado presupuesto 2008-2009 (Continuación)</w:t>
            </w:r>
          </w:p>
        </w:tc>
      </w:tr>
      <w:tr>
        <w:trPr>
          <w:trHeight w:val="320" w:hRule="exact"/>
        </w:trPr>
        <w:tc>
          <w:tcPr>
            <w:tcW w:w="3788"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23"/>
              </w:rPr>
            </w:pPr>
          </w:p>
          <w:p>
            <w:pPr>
              <w:pStyle w:val="TableParagraph"/>
              <w:ind w:left="1449" w:right="1448"/>
              <w:rPr>
                <w:b/>
                <w:sz w:val="18"/>
              </w:rPr>
            </w:pPr>
            <w:r>
              <w:rPr>
                <w:b/>
                <w:sz w:val="18"/>
              </w:rPr>
              <w:t>Municipio</w:t>
            </w:r>
          </w:p>
        </w:tc>
        <w:tc>
          <w:tcPr>
            <w:tcW w:w="4602" w:type="dxa"/>
            <w:gridSpan w:val="4"/>
            <w:shd w:val="clear" w:color="auto" w:fill="C5DFB3"/>
          </w:tcPr>
          <w:p>
            <w:pPr>
              <w:pStyle w:val="TableParagraph"/>
              <w:spacing w:line="201" w:lineRule="exact"/>
              <w:ind w:left="2076" w:right="2074"/>
              <w:rPr>
                <w:b/>
                <w:sz w:val="18"/>
              </w:rPr>
            </w:pPr>
            <w:r>
              <w:rPr>
                <w:b/>
                <w:sz w:val="18"/>
              </w:rPr>
              <w:t>2008</w:t>
            </w:r>
          </w:p>
        </w:tc>
        <w:tc>
          <w:tcPr>
            <w:tcW w:w="5576" w:type="dxa"/>
            <w:gridSpan w:val="4"/>
            <w:shd w:val="clear" w:color="auto" w:fill="C5DFB3"/>
          </w:tcPr>
          <w:p>
            <w:pPr>
              <w:pStyle w:val="TableParagraph"/>
              <w:spacing w:line="201" w:lineRule="exact"/>
              <w:ind w:left="2562" w:right="2563"/>
              <w:rPr>
                <w:b/>
                <w:sz w:val="18"/>
              </w:rPr>
            </w:pPr>
            <w:r>
              <w:rPr>
                <w:b/>
                <w:sz w:val="18"/>
              </w:rPr>
              <w:t>2009</w:t>
            </w:r>
          </w:p>
        </w:tc>
      </w:tr>
      <w:tr>
        <w:trPr>
          <w:trHeight w:val="1374" w:hRule="exact"/>
        </w:trPr>
        <w:tc>
          <w:tcPr>
            <w:tcW w:w="3788" w:type="dxa"/>
            <w:vMerge/>
            <w:shd w:val="clear" w:color="auto" w:fill="C5DFB3"/>
          </w:tcPr>
          <w:p>
            <w:pPr/>
          </w:p>
        </w:tc>
        <w:tc>
          <w:tcPr>
            <w:tcW w:w="1645"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21"/>
              </w:rPr>
            </w:pPr>
          </w:p>
          <w:p>
            <w:pPr>
              <w:pStyle w:val="TableParagraph"/>
              <w:ind w:left="251"/>
              <w:jc w:val="left"/>
              <w:rPr>
                <w:sz w:val="18"/>
              </w:rPr>
            </w:pPr>
            <w:r>
              <w:rPr>
                <w:w w:val="99"/>
                <w:sz w:val="18"/>
              </w:rPr>
              <w:t>Au</w:t>
            </w:r>
            <w:r>
              <w:rPr>
                <w:w w:val="100"/>
                <w:sz w:val="18"/>
              </w:rPr>
              <w:t>to</w:t>
            </w:r>
            <w:r>
              <w:rPr>
                <w:w w:val="99"/>
                <w:sz w:val="18"/>
              </w:rPr>
              <w:t>r</w:t>
            </w:r>
            <w:r>
              <w:rPr>
                <w:spacing w:val="-2"/>
                <w:w w:val="99"/>
                <w:sz w:val="18"/>
              </w:rPr>
              <w:t>i</w:t>
            </w:r>
            <w:r>
              <w:rPr>
                <w:spacing w:val="1"/>
                <w:sz w:val="18"/>
              </w:rPr>
              <w:t>z</w:t>
            </w:r>
            <w:r>
              <w:rPr>
                <w:w w:val="99"/>
                <w:sz w:val="18"/>
              </w:rPr>
              <w:t>ado</w:t>
            </w:r>
          </w:p>
        </w:tc>
        <w:tc>
          <w:tcPr>
            <w:tcW w:w="643" w:type="dxa"/>
            <w:shd w:val="clear" w:color="auto" w:fill="C5DFB3"/>
            <w:textDirection w:val="btLr"/>
          </w:tcPr>
          <w:p>
            <w:pPr>
              <w:pStyle w:val="TableParagraph"/>
              <w:spacing w:before="157"/>
              <w:ind w:left="247"/>
              <w:jc w:val="left"/>
              <w:rPr>
                <w:sz w:val="18"/>
              </w:rPr>
            </w:pPr>
            <w:r>
              <w:rPr>
                <w:spacing w:val="1"/>
                <w:w w:val="99"/>
                <w:sz w:val="18"/>
              </w:rPr>
              <w:t>M</w:t>
            </w:r>
            <w:r>
              <w:rPr>
                <w:w w:val="99"/>
                <w:sz w:val="18"/>
              </w:rPr>
              <w:t>od</w:t>
            </w:r>
            <w:r>
              <w:rPr>
                <w:spacing w:val="-2"/>
                <w:w w:val="99"/>
                <w:sz w:val="18"/>
              </w:rPr>
              <w:t>i</w:t>
            </w:r>
            <w:r>
              <w:rPr>
                <w:sz w:val="18"/>
              </w:rPr>
              <w:t>f</w:t>
            </w:r>
            <w:r>
              <w:rPr>
                <w:spacing w:val="1"/>
                <w:sz w:val="18"/>
              </w:rPr>
              <w:t>i</w:t>
            </w:r>
            <w:r>
              <w:rPr>
                <w:spacing w:val="-2"/>
                <w:sz w:val="18"/>
              </w:rPr>
              <w:t>c</w:t>
            </w:r>
            <w:r>
              <w:rPr>
                <w:w w:val="99"/>
                <w:sz w:val="18"/>
              </w:rPr>
              <w:t>ado</w:t>
            </w:r>
          </w:p>
        </w:tc>
        <w:tc>
          <w:tcPr>
            <w:tcW w:w="670" w:type="dxa"/>
            <w:shd w:val="clear" w:color="auto" w:fill="C5DFB3"/>
            <w:textDirection w:val="btLr"/>
          </w:tcPr>
          <w:p>
            <w:pPr>
              <w:pStyle w:val="TableParagraph"/>
              <w:spacing w:before="8"/>
              <w:jc w:val="left"/>
              <w:rPr>
                <w:rFonts w:ascii="Times New Roman"/>
                <w:sz w:val="14"/>
              </w:rPr>
            </w:pPr>
          </w:p>
          <w:p>
            <w:pPr>
              <w:pStyle w:val="TableParagraph"/>
              <w:ind w:left="357"/>
              <w:jc w:val="left"/>
              <w:rPr>
                <w:sz w:val="18"/>
              </w:rPr>
            </w:pPr>
            <w:r>
              <w:rPr>
                <w:w w:val="99"/>
                <w:sz w:val="18"/>
              </w:rPr>
              <w:t>Eje</w:t>
            </w:r>
            <w:r>
              <w:rPr>
                <w:w w:val="99"/>
                <w:sz w:val="18"/>
              </w:rPr>
              <w:t>r</w:t>
            </w:r>
            <w:r>
              <w:rPr>
                <w:spacing w:val="1"/>
                <w:w w:val="99"/>
                <w:sz w:val="18"/>
              </w:rPr>
              <w:t>c</w:t>
            </w:r>
            <w:r>
              <w:rPr>
                <w:spacing w:val="-2"/>
                <w:w w:val="99"/>
                <w:sz w:val="18"/>
              </w:rPr>
              <w:t>i</w:t>
            </w:r>
            <w:r>
              <w:rPr>
                <w:w w:val="99"/>
                <w:sz w:val="18"/>
              </w:rPr>
              <w:t>do</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
              <w:jc w:val="left"/>
              <w:rPr>
                <w:rFonts w:ascii="Times New Roman"/>
                <w:sz w:val="21"/>
              </w:rPr>
            </w:pPr>
          </w:p>
          <w:p>
            <w:pPr>
              <w:pStyle w:val="TableParagraph"/>
              <w:ind w:left="242"/>
              <w:jc w:val="left"/>
              <w:rPr>
                <w:sz w:val="18"/>
              </w:rPr>
            </w:pPr>
            <w:r>
              <w:rPr>
                <w:w w:val="99"/>
                <w:sz w:val="18"/>
              </w:rPr>
              <w:t>Po</w:t>
            </w:r>
            <w:r>
              <w:rPr>
                <w:w w:val="99"/>
                <w:sz w:val="18"/>
              </w:rPr>
              <w:t>r </w:t>
            </w:r>
            <w:r>
              <w:rPr>
                <w:w w:val="99"/>
                <w:sz w:val="18"/>
              </w:rPr>
              <w:t>e</w:t>
            </w:r>
            <w:r>
              <w:rPr>
                <w:w w:val="99"/>
                <w:sz w:val="18"/>
              </w:rPr>
              <w:t>j</w:t>
            </w:r>
            <w:r>
              <w:rPr>
                <w:w w:val="99"/>
                <w:sz w:val="18"/>
              </w:rPr>
              <w:t>e</w:t>
            </w:r>
            <w:r>
              <w:rPr>
                <w:spacing w:val="-3"/>
                <w:w w:val="99"/>
                <w:sz w:val="18"/>
              </w:rPr>
              <w:t>r</w:t>
            </w:r>
            <w:r>
              <w:rPr>
                <w:spacing w:val="1"/>
                <w:w w:val="99"/>
                <w:sz w:val="18"/>
              </w:rPr>
              <w:t>c</w:t>
            </w:r>
            <w:r>
              <w:rPr>
                <w:w w:val="99"/>
                <w:sz w:val="18"/>
              </w:rPr>
              <w:t>e</w:t>
            </w:r>
            <w:r>
              <w:rPr>
                <w:w w:val="99"/>
                <w:sz w:val="18"/>
              </w:rPr>
              <w:t>r</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
              <w:jc w:val="left"/>
              <w:rPr>
                <w:rFonts w:ascii="Times New Roman"/>
                <w:sz w:val="21"/>
              </w:rPr>
            </w:pPr>
          </w:p>
          <w:p>
            <w:pPr>
              <w:pStyle w:val="TableParagraph"/>
              <w:ind w:left="251"/>
              <w:jc w:val="left"/>
              <w:rPr>
                <w:sz w:val="18"/>
              </w:rPr>
            </w:pPr>
            <w:r>
              <w:rPr>
                <w:w w:val="99"/>
                <w:sz w:val="18"/>
              </w:rPr>
              <w:t>Au</w:t>
            </w:r>
            <w:r>
              <w:rPr>
                <w:w w:val="100"/>
                <w:sz w:val="18"/>
              </w:rPr>
              <w:t>to</w:t>
            </w:r>
            <w:r>
              <w:rPr>
                <w:w w:val="99"/>
                <w:sz w:val="18"/>
              </w:rPr>
              <w:t>r</w:t>
            </w:r>
            <w:r>
              <w:rPr>
                <w:spacing w:val="-2"/>
                <w:w w:val="99"/>
                <w:sz w:val="18"/>
              </w:rPr>
              <w:t>i</w:t>
            </w:r>
            <w:r>
              <w:rPr>
                <w:spacing w:val="1"/>
                <w:sz w:val="18"/>
              </w:rPr>
              <w:t>z</w:t>
            </w:r>
            <w:r>
              <w:rPr>
                <w:w w:val="99"/>
                <w:sz w:val="18"/>
              </w:rPr>
              <w:t>ado</w:t>
            </w:r>
          </w:p>
        </w:tc>
        <w:tc>
          <w:tcPr>
            <w:tcW w:w="643" w:type="dxa"/>
            <w:shd w:val="clear" w:color="auto" w:fill="C5DFB3"/>
            <w:textDirection w:val="btLr"/>
          </w:tcPr>
          <w:p>
            <w:pPr>
              <w:pStyle w:val="TableParagraph"/>
              <w:spacing w:before="157"/>
              <w:ind w:left="247"/>
              <w:jc w:val="left"/>
              <w:rPr>
                <w:sz w:val="18"/>
              </w:rPr>
            </w:pPr>
            <w:r>
              <w:rPr>
                <w:spacing w:val="1"/>
                <w:w w:val="99"/>
                <w:sz w:val="18"/>
              </w:rPr>
              <w:t>M</w:t>
            </w:r>
            <w:r>
              <w:rPr>
                <w:w w:val="99"/>
                <w:sz w:val="18"/>
              </w:rPr>
              <w:t>od</w:t>
            </w:r>
            <w:r>
              <w:rPr>
                <w:spacing w:val="-2"/>
                <w:w w:val="99"/>
                <w:sz w:val="18"/>
              </w:rPr>
              <w:t>i</w:t>
            </w:r>
            <w:r>
              <w:rPr>
                <w:sz w:val="18"/>
              </w:rPr>
              <w:t>f</w:t>
            </w:r>
            <w:r>
              <w:rPr>
                <w:spacing w:val="1"/>
                <w:sz w:val="18"/>
              </w:rPr>
              <w:t>i</w:t>
            </w:r>
            <w:r>
              <w:rPr>
                <w:spacing w:val="-2"/>
                <w:sz w:val="18"/>
              </w:rPr>
              <w:t>c</w:t>
            </w:r>
            <w:r>
              <w:rPr>
                <w:w w:val="99"/>
                <w:sz w:val="18"/>
              </w:rPr>
              <w:t>ado</w:t>
            </w:r>
          </w:p>
        </w:tc>
        <w:tc>
          <w:tcPr>
            <w:tcW w:w="1645"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
              <w:jc w:val="left"/>
              <w:rPr>
                <w:rFonts w:ascii="Times New Roman"/>
                <w:sz w:val="21"/>
              </w:rPr>
            </w:pPr>
          </w:p>
          <w:p>
            <w:pPr>
              <w:pStyle w:val="TableParagraph"/>
              <w:spacing w:before="1"/>
              <w:ind w:left="357"/>
              <w:jc w:val="left"/>
              <w:rPr>
                <w:sz w:val="18"/>
              </w:rPr>
            </w:pPr>
            <w:r>
              <w:rPr>
                <w:w w:val="99"/>
                <w:sz w:val="18"/>
              </w:rPr>
              <w:t>Eje</w:t>
            </w:r>
            <w:r>
              <w:rPr>
                <w:w w:val="99"/>
                <w:sz w:val="18"/>
              </w:rPr>
              <w:t>r</w:t>
            </w:r>
            <w:r>
              <w:rPr>
                <w:spacing w:val="1"/>
                <w:w w:val="99"/>
                <w:sz w:val="18"/>
              </w:rPr>
              <w:t>c</w:t>
            </w:r>
            <w:r>
              <w:rPr>
                <w:spacing w:val="-2"/>
                <w:w w:val="99"/>
                <w:sz w:val="18"/>
              </w:rPr>
              <w:t>i</w:t>
            </w:r>
            <w:r>
              <w:rPr>
                <w:w w:val="99"/>
                <w:sz w:val="18"/>
              </w:rPr>
              <w:t>do</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
              <w:jc w:val="left"/>
              <w:rPr>
                <w:rFonts w:ascii="Times New Roman"/>
                <w:sz w:val="21"/>
              </w:rPr>
            </w:pPr>
          </w:p>
          <w:p>
            <w:pPr>
              <w:pStyle w:val="TableParagraph"/>
              <w:ind w:left="242"/>
              <w:jc w:val="left"/>
              <w:rPr>
                <w:sz w:val="18"/>
              </w:rPr>
            </w:pPr>
            <w:r>
              <w:rPr>
                <w:w w:val="99"/>
                <w:sz w:val="18"/>
              </w:rPr>
              <w:t>Po</w:t>
            </w:r>
            <w:r>
              <w:rPr>
                <w:w w:val="99"/>
                <w:sz w:val="18"/>
              </w:rPr>
              <w:t>r </w:t>
            </w:r>
            <w:r>
              <w:rPr>
                <w:w w:val="99"/>
                <w:sz w:val="18"/>
              </w:rPr>
              <w:t>e</w:t>
            </w:r>
            <w:r>
              <w:rPr>
                <w:w w:val="99"/>
                <w:sz w:val="18"/>
              </w:rPr>
              <w:t>j</w:t>
            </w:r>
            <w:r>
              <w:rPr>
                <w:w w:val="99"/>
                <w:sz w:val="18"/>
              </w:rPr>
              <w:t>e</w:t>
            </w:r>
            <w:r>
              <w:rPr>
                <w:spacing w:val="-3"/>
                <w:w w:val="99"/>
                <w:sz w:val="18"/>
              </w:rPr>
              <w:t>r</w:t>
            </w:r>
            <w:r>
              <w:rPr>
                <w:spacing w:val="1"/>
                <w:w w:val="99"/>
                <w:sz w:val="18"/>
              </w:rPr>
              <w:t>c</w:t>
            </w:r>
            <w:r>
              <w:rPr>
                <w:w w:val="99"/>
                <w:sz w:val="18"/>
              </w:rPr>
              <w:t>e</w:t>
            </w:r>
            <w:r>
              <w:rPr>
                <w:w w:val="99"/>
                <w:sz w:val="18"/>
              </w:rPr>
              <w:t>r</w:t>
            </w:r>
          </w:p>
        </w:tc>
      </w:tr>
      <w:tr>
        <w:trPr>
          <w:trHeight w:val="322" w:hRule="exact"/>
        </w:trPr>
        <w:tc>
          <w:tcPr>
            <w:tcW w:w="3788" w:type="dxa"/>
          </w:tcPr>
          <w:p>
            <w:pPr>
              <w:pStyle w:val="TableParagraph"/>
              <w:spacing w:line="204" w:lineRule="exact"/>
              <w:ind w:left="64"/>
              <w:jc w:val="left"/>
              <w:rPr>
                <w:b/>
                <w:sz w:val="18"/>
              </w:rPr>
            </w:pPr>
            <w:r>
              <w:rPr>
                <w:b/>
                <w:sz w:val="18"/>
              </w:rPr>
              <w:t>NOPALTEPEC</w:t>
            </w:r>
          </w:p>
        </w:tc>
        <w:tc>
          <w:tcPr>
            <w:tcW w:w="1645" w:type="dxa"/>
          </w:tcPr>
          <w:p>
            <w:pPr>
              <w:pStyle w:val="TableParagraph"/>
              <w:spacing w:before="2"/>
              <w:ind w:left="121" w:right="117"/>
              <w:rPr>
                <w:sz w:val="18"/>
              </w:rPr>
            </w:pPr>
            <w:r>
              <w:rPr>
                <w:sz w:val="18"/>
              </w:rPr>
              <w:t>$0.00</w:t>
            </w:r>
          </w:p>
        </w:tc>
        <w:tc>
          <w:tcPr>
            <w:tcW w:w="643" w:type="dxa"/>
          </w:tcPr>
          <w:p>
            <w:pPr>
              <w:pStyle w:val="TableParagraph"/>
              <w:spacing w:before="2"/>
              <w:ind w:left="91"/>
              <w:jc w:val="left"/>
              <w:rPr>
                <w:sz w:val="18"/>
              </w:rPr>
            </w:pPr>
            <w:r>
              <w:rPr>
                <w:sz w:val="18"/>
              </w:rPr>
              <w:t>$0.00</w:t>
            </w:r>
          </w:p>
        </w:tc>
        <w:tc>
          <w:tcPr>
            <w:tcW w:w="670" w:type="dxa"/>
          </w:tcPr>
          <w:p>
            <w:pPr>
              <w:pStyle w:val="TableParagraph"/>
              <w:spacing w:before="2"/>
              <w:ind w:left="83" w:right="84"/>
              <w:rPr>
                <w:sz w:val="18"/>
              </w:rPr>
            </w:pPr>
            <w:r>
              <w:rPr>
                <w:sz w:val="18"/>
              </w:rPr>
              <w:t>$0.00</w:t>
            </w:r>
          </w:p>
        </w:tc>
        <w:tc>
          <w:tcPr>
            <w:tcW w:w="1644" w:type="dxa"/>
          </w:tcPr>
          <w:p>
            <w:pPr>
              <w:pStyle w:val="TableParagraph"/>
              <w:spacing w:before="2"/>
              <w:ind w:left="590" w:right="358"/>
              <w:jc w:val="left"/>
              <w:rPr>
                <w:sz w:val="18"/>
              </w:rPr>
            </w:pPr>
            <w:r>
              <w:rPr>
                <w:sz w:val="18"/>
              </w:rPr>
              <w:t>$0.00</w:t>
            </w:r>
          </w:p>
        </w:tc>
        <w:tc>
          <w:tcPr>
            <w:tcW w:w="1644" w:type="dxa"/>
          </w:tcPr>
          <w:p>
            <w:pPr>
              <w:pStyle w:val="TableParagraph"/>
              <w:spacing w:before="2"/>
              <w:ind w:left="44" w:right="45"/>
              <w:rPr>
                <w:sz w:val="18"/>
              </w:rPr>
            </w:pPr>
            <w:r>
              <w:rPr>
                <w:sz w:val="18"/>
              </w:rPr>
              <w:t>$0.00</w:t>
            </w:r>
          </w:p>
        </w:tc>
        <w:tc>
          <w:tcPr>
            <w:tcW w:w="643" w:type="dxa"/>
          </w:tcPr>
          <w:p>
            <w:pPr>
              <w:pStyle w:val="TableParagraph"/>
              <w:spacing w:before="2"/>
              <w:ind w:left="70" w:right="71"/>
              <w:rPr>
                <w:sz w:val="18"/>
              </w:rPr>
            </w:pPr>
            <w:r>
              <w:rPr>
                <w:sz w:val="18"/>
              </w:rPr>
              <w:t>$0.00</w:t>
            </w:r>
          </w:p>
        </w:tc>
        <w:tc>
          <w:tcPr>
            <w:tcW w:w="1645" w:type="dxa"/>
          </w:tcPr>
          <w:p>
            <w:pPr>
              <w:pStyle w:val="TableParagraph"/>
              <w:spacing w:before="2"/>
              <w:ind w:left="119" w:right="119"/>
              <w:rPr>
                <w:sz w:val="18"/>
              </w:rPr>
            </w:pPr>
            <w:r>
              <w:rPr>
                <w:sz w:val="18"/>
              </w:rPr>
              <w:t>$0.00</w:t>
            </w:r>
          </w:p>
        </w:tc>
        <w:tc>
          <w:tcPr>
            <w:tcW w:w="1644" w:type="dxa"/>
          </w:tcPr>
          <w:p>
            <w:pPr>
              <w:pStyle w:val="TableParagraph"/>
              <w:spacing w:before="2"/>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sz w:val="18"/>
              </w:rPr>
              <w:t>OCOYOACAC</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4" w:lineRule="exact"/>
              <w:ind w:left="64"/>
              <w:jc w:val="left"/>
              <w:rPr>
                <w:b/>
                <w:sz w:val="18"/>
              </w:rPr>
            </w:pPr>
            <w:r>
              <w:rPr>
                <w:b/>
                <w:sz w:val="18"/>
              </w:rPr>
              <w:t>OCUILAN</w:t>
            </w:r>
          </w:p>
        </w:tc>
        <w:tc>
          <w:tcPr>
            <w:tcW w:w="1645" w:type="dxa"/>
          </w:tcPr>
          <w:p>
            <w:pPr>
              <w:pStyle w:val="TableParagraph"/>
              <w:spacing w:before="1"/>
              <w:ind w:left="121" w:right="117"/>
              <w:rPr>
                <w:sz w:val="18"/>
              </w:rPr>
            </w:pPr>
            <w:r>
              <w:rPr>
                <w:sz w:val="18"/>
              </w:rPr>
              <w:t>$0.00</w:t>
            </w:r>
          </w:p>
        </w:tc>
        <w:tc>
          <w:tcPr>
            <w:tcW w:w="643" w:type="dxa"/>
          </w:tcPr>
          <w:p>
            <w:pPr>
              <w:pStyle w:val="TableParagraph"/>
              <w:spacing w:before="1"/>
              <w:ind w:left="91"/>
              <w:jc w:val="left"/>
              <w:rPr>
                <w:sz w:val="18"/>
              </w:rPr>
            </w:pPr>
            <w:r>
              <w:rPr>
                <w:sz w:val="18"/>
              </w:rPr>
              <w:t>$0.00</w:t>
            </w:r>
          </w:p>
        </w:tc>
        <w:tc>
          <w:tcPr>
            <w:tcW w:w="670" w:type="dxa"/>
          </w:tcPr>
          <w:p>
            <w:pPr>
              <w:pStyle w:val="TableParagraph"/>
              <w:spacing w:before="1"/>
              <w:ind w:left="83" w:right="84"/>
              <w:rPr>
                <w:sz w:val="18"/>
              </w:rPr>
            </w:pPr>
            <w:r>
              <w:rPr>
                <w:sz w:val="18"/>
              </w:rPr>
              <w:t>$0.00</w:t>
            </w:r>
          </w:p>
        </w:tc>
        <w:tc>
          <w:tcPr>
            <w:tcW w:w="1644" w:type="dxa"/>
          </w:tcPr>
          <w:p>
            <w:pPr>
              <w:pStyle w:val="TableParagraph"/>
              <w:spacing w:before="1"/>
              <w:ind w:left="590" w:right="358"/>
              <w:jc w:val="left"/>
              <w:rPr>
                <w:sz w:val="18"/>
              </w:rPr>
            </w:pPr>
            <w:r>
              <w:rPr>
                <w:sz w:val="18"/>
              </w:rPr>
              <w:t>$0.00</w:t>
            </w:r>
          </w:p>
        </w:tc>
        <w:tc>
          <w:tcPr>
            <w:tcW w:w="1644" w:type="dxa"/>
          </w:tcPr>
          <w:p>
            <w:pPr>
              <w:pStyle w:val="TableParagraph"/>
              <w:spacing w:before="1"/>
              <w:ind w:left="44" w:right="45"/>
              <w:rPr>
                <w:sz w:val="18"/>
              </w:rPr>
            </w:pPr>
            <w:r>
              <w:rPr>
                <w:sz w:val="18"/>
              </w:rPr>
              <w:t>$0.00</w:t>
            </w:r>
          </w:p>
        </w:tc>
        <w:tc>
          <w:tcPr>
            <w:tcW w:w="643" w:type="dxa"/>
          </w:tcPr>
          <w:p>
            <w:pPr>
              <w:pStyle w:val="TableParagraph"/>
              <w:spacing w:before="1"/>
              <w:ind w:left="70" w:right="71"/>
              <w:rPr>
                <w:sz w:val="18"/>
              </w:rPr>
            </w:pPr>
            <w:r>
              <w:rPr>
                <w:sz w:val="18"/>
              </w:rPr>
              <w:t>$0.00</w:t>
            </w:r>
          </w:p>
        </w:tc>
        <w:tc>
          <w:tcPr>
            <w:tcW w:w="1645" w:type="dxa"/>
          </w:tcPr>
          <w:p>
            <w:pPr>
              <w:pStyle w:val="TableParagraph"/>
              <w:spacing w:before="1"/>
              <w:ind w:left="119" w:right="119"/>
              <w:rPr>
                <w:sz w:val="18"/>
              </w:rPr>
            </w:pPr>
            <w:r>
              <w:rPr>
                <w:sz w:val="18"/>
              </w:rPr>
              <w:t>$0.00</w:t>
            </w:r>
          </w:p>
        </w:tc>
        <w:tc>
          <w:tcPr>
            <w:tcW w:w="1644" w:type="dxa"/>
          </w:tcPr>
          <w:p>
            <w:pPr>
              <w:pStyle w:val="TableParagraph"/>
              <w:spacing w:before="1"/>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sz w:val="18"/>
              </w:rPr>
              <w:t>OTUMBA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4" w:lineRule="exact"/>
              <w:ind w:left="64"/>
              <w:jc w:val="left"/>
              <w:rPr>
                <w:b/>
                <w:sz w:val="18"/>
              </w:rPr>
            </w:pPr>
            <w:r>
              <w:rPr>
                <w:b/>
                <w:sz w:val="18"/>
              </w:rPr>
              <w:t>OTZOLOAPAN</w:t>
            </w:r>
          </w:p>
        </w:tc>
        <w:tc>
          <w:tcPr>
            <w:tcW w:w="1645" w:type="dxa"/>
          </w:tcPr>
          <w:p>
            <w:pPr>
              <w:pStyle w:val="TableParagraph"/>
              <w:spacing w:before="1"/>
              <w:ind w:left="121" w:right="117"/>
              <w:rPr>
                <w:sz w:val="18"/>
              </w:rPr>
            </w:pPr>
            <w:r>
              <w:rPr>
                <w:sz w:val="18"/>
              </w:rPr>
              <w:t>$0.00</w:t>
            </w:r>
          </w:p>
        </w:tc>
        <w:tc>
          <w:tcPr>
            <w:tcW w:w="643" w:type="dxa"/>
          </w:tcPr>
          <w:p>
            <w:pPr>
              <w:pStyle w:val="TableParagraph"/>
              <w:spacing w:before="1"/>
              <w:ind w:left="91"/>
              <w:jc w:val="left"/>
              <w:rPr>
                <w:sz w:val="18"/>
              </w:rPr>
            </w:pPr>
            <w:r>
              <w:rPr>
                <w:sz w:val="18"/>
              </w:rPr>
              <w:t>$0.00</w:t>
            </w:r>
          </w:p>
        </w:tc>
        <w:tc>
          <w:tcPr>
            <w:tcW w:w="670" w:type="dxa"/>
          </w:tcPr>
          <w:p>
            <w:pPr>
              <w:pStyle w:val="TableParagraph"/>
              <w:spacing w:before="1"/>
              <w:ind w:left="83" w:right="84"/>
              <w:rPr>
                <w:sz w:val="18"/>
              </w:rPr>
            </w:pPr>
            <w:r>
              <w:rPr>
                <w:sz w:val="18"/>
              </w:rPr>
              <w:t>$0.00</w:t>
            </w:r>
          </w:p>
        </w:tc>
        <w:tc>
          <w:tcPr>
            <w:tcW w:w="1644" w:type="dxa"/>
          </w:tcPr>
          <w:p>
            <w:pPr>
              <w:pStyle w:val="TableParagraph"/>
              <w:spacing w:before="1"/>
              <w:ind w:left="590" w:right="358"/>
              <w:jc w:val="left"/>
              <w:rPr>
                <w:sz w:val="18"/>
              </w:rPr>
            </w:pPr>
            <w:r>
              <w:rPr>
                <w:sz w:val="18"/>
              </w:rPr>
              <w:t>$0.00</w:t>
            </w:r>
          </w:p>
        </w:tc>
        <w:tc>
          <w:tcPr>
            <w:tcW w:w="1644" w:type="dxa"/>
          </w:tcPr>
          <w:p>
            <w:pPr>
              <w:pStyle w:val="TableParagraph"/>
              <w:spacing w:before="1"/>
              <w:ind w:left="44" w:right="45"/>
              <w:rPr>
                <w:sz w:val="18"/>
              </w:rPr>
            </w:pPr>
            <w:r>
              <w:rPr>
                <w:sz w:val="18"/>
              </w:rPr>
              <w:t>$0.00</w:t>
            </w:r>
          </w:p>
        </w:tc>
        <w:tc>
          <w:tcPr>
            <w:tcW w:w="643" w:type="dxa"/>
          </w:tcPr>
          <w:p>
            <w:pPr>
              <w:pStyle w:val="TableParagraph"/>
              <w:spacing w:before="1"/>
              <w:ind w:left="70" w:right="71"/>
              <w:rPr>
                <w:sz w:val="18"/>
              </w:rPr>
            </w:pPr>
            <w:r>
              <w:rPr>
                <w:sz w:val="18"/>
              </w:rPr>
              <w:t>$0.00</w:t>
            </w:r>
          </w:p>
        </w:tc>
        <w:tc>
          <w:tcPr>
            <w:tcW w:w="1645" w:type="dxa"/>
          </w:tcPr>
          <w:p>
            <w:pPr>
              <w:pStyle w:val="TableParagraph"/>
              <w:spacing w:before="1"/>
              <w:ind w:left="119" w:right="119"/>
              <w:rPr>
                <w:sz w:val="18"/>
              </w:rPr>
            </w:pPr>
            <w:r>
              <w:rPr>
                <w:sz w:val="18"/>
              </w:rPr>
              <w:t>$0.00</w:t>
            </w:r>
          </w:p>
        </w:tc>
        <w:tc>
          <w:tcPr>
            <w:tcW w:w="1644" w:type="dxa"/>
          </w:tcPr>
          <w:p>
            <w:pPr>
              <w:pStyle w:val="TableParagraph"/>
              <w:spacing w:before="1"/>
              <w:ind w:left="44"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sz w:val="18"/>
              </w:rPr>
              <w:t>OTZOLOTEPEC</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sz w:val="18"/>
              </w:rPr>
              <w:t>OZUMBA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sz w:val="18"/>
              </w:rPr>
              <w:t>PAPALOTLA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0" w:hRule="exact"/>
        </w:trPr>
        <w:tc>
          <w:tcPr>
            <w:tcW w:w="3788" w:type="dxa"/>
          </w:tcPr>
          <w:p>
            <w:pPr>
              <w:pStyle w:val="TableParagraph"/>
              <w:spacing w:line="201" w:lineRule="exact"/>
              <w:ind w:left="64"/>
              <w:jc w:val="left"/>
              <w:rPr>
                <w:b/>
                <w:sz w:val="18"/>
              </w:rPr>
            </w:pPr>
            <w:r>
              <w:rPr>
                <w:b/>
                <w:sz w:val="18"/>
              </w:rPr>
              <w:t>POLOTITLAN</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sz w:val="18"/>
              </w:rPr>
              <w:t>RAYON</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sz w:val="18"/>
              </w:rPr>
              <w:t>SAN ANTONIO LA ISLA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sz w:val="18"/>
              </w:rPr>
              <w:t>SAN FELIPE DEL PROGRESO</w:t>
            </w:r>
          </w:p>
        </w:tc>
        <w:tc>
          <w:tcPr>
            <w:tcW w:w="1645" w:type="dxa"/>
          </w:tcPr>
          <w:p>
            <w:pPr>
              <w:pStyle w:val="TableParagraph"/>
              <w:spacing w:line="206" w:lineRule="exact"/>
              <w:ind w:left="121" w:right="116"/>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sz w:val="18"/>
              </w:rPr>
              <w:t>SAN JOSE DEL RINCON</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sz w:val="18"/>
              </w:rPr>
              <w:t>SAN MARTÍN DE LAS PIRAMIDES</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5" w:right="45"/>
              <w:rPr>
                <w:sz w:val="18"/>
              </w:rPr>
            </w:pPr>
            <w:r>
              <w:rPr>
                <w:sz w:val="18"/>
              </w:rPr>
              <w:t>$66,639,000.00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5" w:right="45"/>
              <w:rPr>
                <w:sz w:val="18"/>
              </w:rPr>
            </w:pPr>
            <w:r>
              <w:rPr>
                <w:sz w:val="18"/>
              </w:rPr>
              <w:t>$66,639,000.00</w:t>
            </w:r>
          </w:p>
        </w:tc>
      </w:tr>
      <w:tr>
        <w:trPr>
          <w:trHeight w:val="319" w:hRule="exact"/>
        </w:trPr>
        <w:tc>
          <w:tcPr>
            <w:tcW w:w="3788" w:type="dxa"/>
          </w:tcPr>
          <w:p>
            <w:pPr>
              <w:pStyle w:val="TableParagraph"/>
              <w:spacing w:line="201" w:lineRule="exact"/>
              <w:ind w:left="64"/>
              <w:jc w:val="left"/>
              <w:rPr>
                <w:b/>
                <w:sz w:val="18"/>
              </w:rPr>
            </w:pPr>
            <w:r>
              <w:rPr>
                <w:b/>
                <w:sz w:val="18"/>
              </w:rPr>
              <w:t>SAN MATEO ATENCO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sz w:val="18"/>
              </w:rPr>
              <w:t>SAN SIMON DE GUERRERO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sz w:val="18"/>
              </w:rPr>
              <w:t>SANTO TOMAS</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4" w:lineRule="exact"/>
              <w:ind w:left="64"/>
              <w:jc w:val="left"/>
              <w:rPr>
                <w:b/>
                <w:sz w:val="18"/>
              </w:rPr>
            </w:pPr>
            <w:r>
              <w:rPr>
                <w:b/>
                <w:sz w:val="18"/>
              </w:rPr>
              <w:t>SOYANIQUILPAN DE JUAREZ</w:t>
            </w:r>
          </w:p>
        </w:tc>
        <w:tc>
          <w:tcPr>
            <w:tcW w:w="1645" w:type="dxa"/>
          </w:tcPr>
          <w:p>
            <w:pPr>
              <w:pStyle w:val="TableParagraph"/>
              <w:spacing w:before="2"/>
              <w:ind w:left="121" w:right="117"/>
              <w:rPr>
                <w:sz w:val="18"/>
              </w:rPr>
            </w:pPr>
            <w:r>
              <w:rPr>
                <w:sz w:val="18"/>
              </w:rPr>
              <w:t>$0.00</w:t>
            </w:r>
          </w:p>
        </w:tc>
        <w:tc>
          <w:tcPr>
            <w:tcW w:w="643" w:type="dxa"/>
          </w:tcPr>
          <w:p>
            <w:pPr>
              <w:pStyle w:val="TableParagraph"/>
              <w:spacing w:before="2"/>
              <w:ind w:left="91"/>
              <w:jc w:val="left"/>
              <w:rPr>
                <w:sz w:val="18"/>
              </w:rPr>
            </w:pPr>
            <w:r>
              <w:rPr>
                <w:sz w:val="18"/>
              </w:rPr>
              <w:t>$0.00</w:t>
            </w:r>
          </w:p>
        </w:tc>
        <w:tc>
          <w:tcPr>
            <w:tcW w:w="670" w:type="dxa"/>
          </w:tcPr>
          <w:p>
            <w:pPr>
              <w:pStyle w:val="TableParagraph"/>
              <w:spacing w:before="2"/>
              <w:ind w:left="83" w:right="84"/>
              <w:rPr>
                <w:sz w:val="18"/>
              </w:rPr>
            </w:pPr>
            <w:r>
              <w:rPr>
                <w:sz w:val="18"/>
              </w:rPr>
              <w:t>$0.00</w:t>
            </w:r>
          </w:p>
        </w:tc>
        <w:tc>
          <w:tcPr>
            <w:tcW w:w="1644" w:type="dxa"/>
          </w:tcPr>
          <w:p>
            <w:pPr>
              <w:pStyle w:val="TableParagraph"/>
              <w:spacing w:before="2"/>
              <w:ind w:left="590" w:right="358"/>
              <w:jc w:val="left"/>
              <w:rPr>
                <w:sz w:val="18"/>
              </w:rPr>
            </w:pPr>
            <w:r>
              <w:rPr>
                <w:sz w:val="18"/>
              </w:rPr>
              <w:t>$0.00</w:t>
            </w:r>
          </w:p>
        </w:tc>
        <w:tc>
          <w:tcPr>
            <w:tcW w:w="1644" w:type="dxa"/>
          </w:tcPr>
          <w:p>
            <w:pPr>
              <w:pStyle w:val="TableParagraph"/>
              <w:spacing w:before="2"/>
              <w:ind w:left="44" w:right="45"/>
              <w:rPr>
                <w:sz w:val="18"/>
              </w:rPr>
            </w:pPr>
            <w:r>
              <w:rPr>
                <w:sz w:val="18"/>
              </w:rPr>
              <w:t>$0.00</w:t>
            </w:r>
          </w:p>
        </w:tc>
        <w:tc>
          <w:tcPr>
            <w:tcW w:w="643" w:type="dxa"/>
          </w:tcPr>
          <w:p>
            <w:pPr>
              <w:pStyle w:val="TableParagraph"/>
              <w:spacing w:before="2"/>
              <w:ind w:left="70" w:right="71"/>
              <w:rPr>
                <w:sz w:val="18"/>
              </w:rPr>
            </w:pPr>
            <w:r>
              <w:rPr>
                <w:sz w:val="18"/>
              </w:rPr>
              <w:t>$0.00</w:t>
            </w:r>
          </w:p>
        </w:tc>
        <w:tc>
          <w:tcPr>
            <w:tcW w:w="1645" w:type="dxa"/>
          </w:tcPr>
          <w:p>
            <w:pPr>
              <w:pStyle w:val="TableParagraph"/>
              <w:spacing w:before="2"/>
              <w:ind w:left="119" w:right="119"/>
              <w:rPr>
                <w:sz w:val="18"/>
              </w:rPr>
            </w:pPr>
            <w:r>
              <w:rPr>
                <w:sz w:val="18"/>
              </w:rPr>
              <w:t>$0.00</w:t>
            </w:r>
          </w:p>
        </w:tc>
        <w:tc>
          <w:tcPr>
            <w:tcW w:w="1644" w:type="dxa"/>
          </w:tcPr>
          <w:p>
            <w:pPr>
              <w:pStyle w:val="TableParagraph"/>
              <w:spacing w:before="2"/>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sz w:val="18"/>
              </w:rPr>
              <w:t>SULTEPEC</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4" w:lineRule="exact"/>
              <w:ind w:left="64"/>
              <w:jc w:val="left"/>
              <w:rPr>
                <w:b/>
                <w:sz w:val="18"/>
              </w:rPr>
            </w:pPr>
            <w:r>
              <w:rPr>
                <w:b/>
                <w:sz w:val="18"/>
              </w:rPr>
              <w:t>TECAMAC</w:t>
            </w:r>
          </w:p>
        </w:tc>
        <w:tc>
          <w:tcPr>
            <w:tcW w:w="1645" w:type="dxa"/>
          </w:tcPr>
          <w:p>
            <w:pPr>
              <w:pStyle w:val="TableParagraph"/>
              <w:spacing w:before="1"/>
              <w:ind w:left="121" w:right="117"/>
              <w:rPr>
                <w:sz w:val="18"/>
              </w:rPr>
            </w:pPr>
            <w:r>
              <w:rPr>
                <w:sz w:val="18"/>
              </w:rPr>
              <w:t>$0.00</w:t>
            </w:r>
          </w:p>
        </w:tc>
        <w:tc>
          <w:tcPr>
            <w:tcW w:w="643" w:type="dxa"/>
          </w:tcPr>
          <w:p>
            <w:pPr>
              <w:pStyle w:val="TableParagraph"/>
              <w:spacing w:before="1"/>
              <w:ind w:left="91"/>
              <w:jc w:val="left"/>
              <w:rPr>
                <w:sz w:val="18"/>
              </w:rPr>
            </w:pPr>
            <w:r>
              <w:rPr>
                <w:sz w:val="18"/>
              </w:rPr>
              <w:t>$0.00</w:t>
            </w:r>
          </w:p>
        </w:tc>
        <w:tc>
          <w:tcPr>
            <w:tcW w:w="670" w:type="dxa"/>
          </w:tcPr>
          <w:p>
            <w:pPr>
              <w:pStyle w:val="TableParagraph"/>
              <w:spacing w:before="1"/>
              <w:ind w:left="83" w:right="84"/>
              <w:rPr>
                <w:sz w:val="18"/>
              </w:rPr>
            </w:pPr>
            <w:r>
              <w:rPr>
                <w:sz w:val="18"/>
              </w:rPr>
              <w:t>$0.00</w:t>
            </w:r>
          </w:p>
        </w:tc>
        <w:tc>
          <w:tcPr>
            <w:tcW w:w="1644" w:type="dxa"/>
          </w:tcPr>
          <w:p>
            <w:pPr>
              <w:pStyle w:val="TableParagraph"/>
              <w:spacing w:before="1"/>
              <w:ind w:left="590" w:right="358"/>
              <w:jc w:val="left"/>
              <w:rPr>
                <w:sz w:val="18"/>
              </w:rPr>
            </w:pPr>
            <w:r>
              <w:rPr>
                <w:sz w:val="18"/>
              </w:rPr>
              <w:t>$0.00</w:t>
            </w:r>
          </w:p>
        </w:tc>
        <w:tc>
          <w:tcPr>
            <w:tcW w:w="1644" w:type="dxa"/>
          </w:tcPr>
          <w:p>
            <w:pPr>
              <w:pStyle w:val="TableParagraph"/>
              <w:spacing w:before="1"/>
              <w:ind w:left="44" w:right="45"/>
              <w:rPr>
                <w:sz w:val="18"/>
              </w:rPr>
            </w:pPr>
            <w:r>
              <w:rPr>
                <w:sz w:val="18"/>
              </w:rPr>
              <w:t>$0.00</w:t>
            </w:r>
          </w:p>
        </w:tc>
        <w:tc>
          <w:tcPr>
            <w:tcW w:w="643" w:type="dxa"/>
          </w:tcPr>
          <w:p>
            <w:pPr>
              <w:pStyle w:val="TableParagraph"/>
              <w:spacing w:before="1"/>
              <w:ind w:left="70" w:right="71"/>
              <w:rPr>
                <w:sz w:val="18"/>
              </w:rPr>
            </w:pPr>
            <w:r>
              <w:rPr>
                <w:sz w:val="18"/>
              </w:rPr>
              <w:t>$0.00</w:t>
            </w:r>
          </w:p>
        </w:tc>
        <w:tc>
          <w:tcPr>
            <w:tcW w:w="1645" w:type="dxa"/>
          </w:tcPr>
          <w:p>
            <w:pPr>
              <w:pStyle w:val="TableParagraph"/>
              <w:spacing w:before="1"/>
              <w:ind w:left="119" w:right="119"/>
              <w:rPr>
                <w:sz w:val="18"/>
              </w:rPr>
            </w:pPr>
            <w:r>
              <w:rPr>
                <w:sz w:val="18"/>
              </w:rPr>
              <w:t>$0.00</w:t>
            </w:r>
          </w:p>
        </w:tc>
        <w:tc>
          <w:tcPr>
            <w:tcW w:w="1644" w:type="dxa"/>
          </w:tcPr>
          <w:p>
            <w:pPr>
              <w:pStyle w:val="TableParagraph"/>
              <w:spacing w:before="1"/>
              <w:ind w:left="44"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sz w:val="18"/>
              </w:rPr>
              <w:t>TEJUPILCO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bl>
    <w:p>
      <w:pPr>
        <w:spacing w:after="0" w:line="206" w:lineRule="exact"/>
        <w:rPr>
          <w:sz w:val="18"/>
        </w:rPr>
        <w:sectPr>
          <w:pgSz w:w="15840" w:h="12240" w:orient="landscape"/>
          <w:pgMar w:header="0" w:footer="975" w:top="1140" w:bottom="1160" w:left="820" w:right="820"/>
        </w:sectPr>
      </w:pPr>
    </w:p>
    <w:p>
      <w:pPr>
        <w:pStyle w:val="BodyText"/>
        <w:rPr>
          <w:rFonts w:ascii="Times New Roman"/>
          <w:sz w:val="20"/>
        </w:rPr>
      </w:pPr>
    </w:p>
    <w:p>
      <w:pPr>
        <w:pStyle w:val="BodyText"/>
        <w:spacing w:before="10"/>
        <w:rPr>
          <w:rFonts w:ascii="Times New Roman"/>
          <w:sz w:val="28"/>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88"/>
        <w:gridCol w:w="1645"/>
        <w:gridCol w:w="643"/>
        <w:gridCol w:w="670"/>
        <w:gridCol w:w="1644"/>
        <w:gridCol w:w="1644"/>
        <w:gridCol w:w="643"/>
        <w:gridCol w:w="1645"/>
        <w:gridCol w:w="1644"/>
      </w:tblGrid>
      <w:tr>
        <w:trPr>
          <w:trHeight w:val="430" w:hRule="exact"/>
        </w:trPr>
        <w:tc>
          <w:tcPr>
            <w:tcW w:w="13965" w:type="dxa"/>
            <w:gridSpan w:val="9"/>
            <w:shd w:val="clear" w:color="auto" w:fill="C5DFB3"/>
          </w:tcPr>
          <w:p>
            <w:pPr>
              <w:pStyle w:val="TableParagraph"/>
              <w:spacing w:before="49"/>
              <w:ind w:left="3324"/>
              <w:jc w:val="left"/>
              <w:rPr>
                <w:b/>
                <w:sz w:val="18"/>
              </w:rPr>
            </w:pPr>
            <w:r>
              <w:rPr>
                <w:b/>
                <w:sz w:val="18"/>
              </w:rPr>
              <w:t>Anexo 24A. Municipios que publican apartado presupuesto 2008-2009 (Continuación)</w:t>
            </w:r>
          </w:p>
        </w:tc>
      </w:tr>
      <w:tr>
        <w:trPr>
          <w:trHeight w:val="320" w:hRule="exact"/>
        </w:trPr>
        <w:tc>
          <w:tcPr>
            <w:tcW w:w="3788"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23"/>
              </w:rPr>
            </w:pPr>
          </w:p>
          <w:p>
            <w:pPr>
              <w:pStyle w:val="TableParagraph"/>
              <w:ind w:left="1449" w:right="1448"/>
              <w:rPr>
                <w:b/>
                <w:sz w:val="18"/>
              </w:rPr>
            </w:pPr>
            <w:r>
              <w:rPr>
                <w:b/>
                <w:sz w:val="18"/>
              </w:rPr>
              <w:t>Municipio</w:t>
            </w:r>
          </w:p>
        </w:tc>
        <w:tc>
          <w:tcPr>
            <w:tcW w:w="4602" w:type="dxa"/>
            <w:gridSpan w:val="4"/>
            <w:shd w:val="clear" w:color="auto" w:fill="C5DFB3"/>
          </w:tcPr>
          <w:p>
            <w:pPr>
              <w:pStyle w:val="TableParagraph"/>
              <w:spacing w:line="201" w:lineRule="exact"/>
              <w:ind w:left="2076" w:right="2074"/>
              <w:rPr>
                <w:b/>
                <w:sz w:val="18"/>
              </w:rPr>
            </w:pPr>
            <w:r>
              <w:rPr>
                <w:b/>
                <w:sz w:val="18"/>
              </w:rPr>
              <w:t>2008</w:t>
            </w:r>
          </w:p>
        </w:tc>
        <w:tc>
          <w:tcPr>
            <w:tcW w:w="5576" w:type="dxa"/>
            <w:gridSpan w:val="4"/>
            <w:shd w:val="clear" w:color="auto" w:fill="C5DFB3"/>
          </w:tcPr>
          <w:p>
            <w:pPr>
              <w:pStyle w:val="TableParagraph"/>
              <w:spacing w:line="201" w:lineRule="exact"/>
              <w:ind w:left="2562" w:right="2563"/>
              <w:rPr>
                <w:b/>
                <w:sz w:val="18"/>
              </w:rPr>
            </w:pPr>
            <w:r>
              <w:rPr>
                <w:b/>
                <w:sz w:val="18"/>
              </w:rPr>
              <w:t>2009</w:t>
            </w:r>
          </w:p>
        </w:tc>
      </w:tr>
      <w:tr>
        <w:trPr>
          <w:trHeight w:val="1374" w:hRule="exact"/>
        </w:trPr>
        <w:tc>
          <w:tcPr>
            <w:tcW w:w="3788" w:type="dxa"/>
            <w:vMerge/>
            <w:shd w:val="clear" w:color="auto" w:fill="C5DFB3"/>
          </w:tcPr>
          <w:p>
            <w:pPr/>
          </w:p>
        </w:tc>
        <w:tc>
          <w:tcPr>
            <w:tcW w:w="1645"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21"/>
              </w:rPr>
            </w:pPr>
          </w:p>
          <w:p>
            <w:pPr>
              <w:pStyle w:val="TableParagraph"/>
              <w:ind w:left="251"/>
              <w:jc w:val="left"/>
              <w:rPr>
                <w:sz w:val="18"/>
              </w:rPr>
            </w:pPr>
            <w:r>
              <w:rPr>
                <w:w w:val="99"/>
                <w:sz w:val="18"/>
              </w:rPr>
              <w:t>Au</w:t>
            </w:r>
            <w:r>
              <w:rPr>
                <w:w w:val="100"/>
                <w:sz w:val="18"/>
              </w:rPr>
              <w:t>to</w:t>
            </w:r>
            <w:r>
              <w:rPr>
                <w:w w:val="99"/>
                <w:sz w:val="18"/>
              </w:rPr>
              <w:t>r</w:t>
            </w:r>
            <w:r>
              <w:rPr>
                <w:spacing w:val="-2"/>
                <w:w w:val="99"/>
                <w:sz w:val="18"/>
              </w:rPr>
              <w:t>i</w:t>
            </w:r>
            <w:r>
              <w:rPr>
                <w:spacing w:val="1"/>
                <w:sz w:val="18"/>
              </w:rPr>
              <w:t>z</w:t>
            </w:r>
            <w:r>
              <w:rPr>
                <w:w w:val="99"/>
                <w:sz w:val="18"/>
              </w:rPr>
              <w:t>a</w:t>
            </w:r>
            <w:r>
              <w:rPr>
                <w:spacing w:val="1"/>
                <w:w w:val="99"/>
                <w:sz w:val="18"/>
              </w:rPr>
              <w:t>d</w:t>
            </w:r>
            <w:r>
              <w:rPr>
                <w:w w:val="99"/>
                <w:sz w:val="18"/>
              </w:rPr>
              <w:t>o</w:t>
            </w:r>
          </w:p>
        </w:tc>
        <w:tc>
          <w:tcPr>
            <w:tcW w:w="643" w:type="dxa"/>
            <w:shd w:val="clear" w:color="auto" w:fill="C5DFB3"/>
            <w:textDirection w:val="btLr"/>
          </w:tcPr>
          <w:p>
            <w:pPr>
              <w:pStyle w:val="TableParagraph"/>
              <w:spacing w:before="157"/>
              <w:ind w:left="247"/>
              <w:jc w:val="left"/>
              <w:rPr>
                <w:sz w:val="18"/>
              </w:rPr>
            </w:pPr>
            <w:r>
              <w:rPr>
                <w:spacing w:val="1"/>
                <w:w w:val="99"/>
                <w:sz w:val="18"/>
              </w:rPr>
              <w:t>M</w:t>
            </w:r>
            <w:r>
              <w:rPr>
                <w:w w:val="99"/>
                <w:sz w:val="18"/>
              </w:rPr>
              <w:t>od</w:t>
            </w:r>
            <w:r>
              <w:rPr>
                <w:spacing w:val="-2"/>
                <w:w w:val="99"/>
                <w:sz w:val="18"/>
              </w:rPr>
              <w:t>i</w:t>
            </w:r>
            <w:r>
              <w:rPr>
                <w:sz w:val="18"/>
              </w:rPr>
              <w:t>f</w:t>
            </w:r>
            <w:r>
              <w:rPr>
                <w:spacing w:val="1"/>
                <w:sz w:val="18"/>
              </w:rPr>
              <w:t>i</w:t>
            </w:r>
            <w:r>
              <w:rPr>
                <w:spacing w:val="-2"/>
                <w:sz w:val="18"/>
              </w:rPr>
              <w:t>c</w:t>
            </w:r>
            <w:r>
              <w:rPr>
                <w:w w:val="99"/>
                <w:sz w:val="18"/>
              </w:rPr>
              <w:t>ado</w:t>
            </w:r>
          </w:p>
        </w:tc>
        <w:tc>
          <w:tcPr>
            <w:tcW w:w="670" w:type="dxa"/>
            <w:shd w:val="clear" w:color="auto" w:fill="C5DFB3"/>
            <w:textDirection w:val="btLr"/>
          </w:tcPr>
          <w:p>
            <w:pPr>
              <w:pStyle w:val="TableParagraph"/>
              <w:spacing w:before="8"/>
              <w:jc w:val="left"/>
              <w:rPr>
                <w:rFonts w:ascii="Times New Roman"/>
                <w:sz w:val="14"/>
              </w:rPr>
            </w:pPr>
          </w:p>
          <w:p>
            <w:pPr>
              <w:pStyle w:val="TableParagraph"/>
              <w:ind w:left="357"/>
              <w:jc w:val="left"/>
              <w:rPr>
                <w:sz w:val="18"/>
              </w:rPr>
            </w:pPr>
            <w:r>
              <w:rPr>
                <w:w w:val="99"/>
                <w:sz w:val="18"/>
              </w:rPr>
              <w:t>Eje</w:t>
            </w:r>
            <w:r>
              <w:rPr>
                <w:w w:val="99"/>
                <w:sz w:val="18"/>
              </w:rPr>
              <w:t>r</w:t>
            </w:r>
            <w:r>
              <w:rPr>
                <w:spacing w:val="1"/>
                <w:w w:val="99"/>
                <w:sz w:val="18"/>
              </w:rPr>
              <w:t>c</w:t>
            </w:r>
            <w:r>
              <w:rPr>
                <w:spacing w:val="-2"/>
                <w:w w:val="99"/>
                <w:sz w:val="18"/>
              </w:rPr>
              <w:t>i</w:t>
            </w:r>
            <w:r>
              <w:rPr>
                <w:w w:val="99"/>
                <w:sz w:val="18"/>
              </w:rPr>
              <w:t>do</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
              <w:jc w:val="left"/>
              <w:rPr>
                <w:rFonts w:ascii="Times New Roman"/>
                <w:sz w:val="21"/>
              </w:rPr>
            </w:pPr>
          </w:p>
          <w:p>
            <w:pPr>
              <w:pStyle w:val="TableParagraph"/>
              <w:ind w:left="242"/>
              <w:jc w:val="left"/>
              <w:rPr>
                <w:sz w:val="18"/>
              </w:rPr>
            </w:pPr>
            <w:r>
              <w:rPr>
                <w:w w:val="99"/>
                <w:sz w:val="18"/>
              </w:rPr>
              <w:t>Po</w:t>
            </w:r>
            <w:r>
              <w:rPr>
                <w:w w:val="99"/>
                <w:sz w:val="18"/>
              </w:rPr>
              <w:t>r </w:t>
            </w:r>
            <w:r>
              <w:rPr>
                <w:w w:val="99"/>
                <w:sz w:val="18"/>
              </w:rPr>
              <w:t>e</w:t>
            </w:r>
            <w:r>
              <w:rPr>
                <w:w w:val="99"/>
                <w:sz w:val="18"/>
              </w:rPr>
              <w:t>j</w:t>
            </w:r>
            <w:r>
              <w:rPr>
                <w:w w:val="99"/>
                <w:sz w:val="18"/>
              </w:rPr>
              <w:t>e</w:t>
            </w:r>
            <w:r>
              <w:rPr>
                <w:spacing w:val="-3"/>
                <w:w w:val="99"/>
                <w:sz w:val="18"/>
              </w:rPr>
              <w:t>r</w:t>
            </w:r>
            <w:r>
              <w:rPr>
                <w:spacing w:val="1"/>
                <w:w w:val="99"/>
                <w:sz w:val="18"/>
              </w:rPr>
              <w:t>c</w:t>
            </w:r>
            <w:r>
              <w:rPr>
                <w:w w:val="99"/>
                <w:sz w:val="18"/>
              </w:rPr>
              <w:t>e</w:t>
            </w:r>
            <w:r>
              <w:rPr>
                <w:w w:val="99"/>
                <w:sz w:val="18"/>
              </w:rPr>
              <w:t>r</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
              <w:jc w:val="left"/>
              <w:rPr>
                <w:rFonts w:ascii="Times New Roman"/>
                <w:sz w:val="21"/>
              </w:rPr>
            </w:pPr>
          </w:p>
          <w:p>
            <w:pPr>
              <w:pStyle w:val="TableParagraph"/>
              <w:ind w:left="251"/>
              <w:jc w:val="left"/>
              <w:rPr>
                <w:sz w:val="18"/>
              </w:rPr>
            </w:pPr>
            <w:r>
              <w:rPr>
                <w:w w:val="99"/>
                <w:sz w:val="18"/>
              </w:rPr>
              <w:t>Au</w:t>
            </w:r>
            <w:r>
              <w:rPr>
                <w:w w:val="100"/>
                <w:sz w:val="18"/>
              </w:rPr>
              <w:t>to</w:t>
            </w:r>
            <w:r>
              <w:rPr>
                <w:w w:val="99"/>
                <w:sz w:val="18"/>
              </w:rPr>
              <w:t>r</w:t>
            </w:r>
            <w:r>
              <w:rPr>
                <w:spacing w:val="-2"/>
                <w:w w:val="99"/>
                <w:sz w:val="18"/>
              </w:rPr>
              <w:t>i</w:t>
            </w:r>
            <w:r>
              <w:rPr>
                <w:spacing w:val="1"/>
                <w:sz w:val="18"/>
              </w:rPr>
              <w:t>z</w:t>
            </w:r>
            <w:r>
              <w:rPr>
                <w:w w:val="99"/>
                <w:sz w:val="18"/>
              </w:rPr>
              <w:t>ado</w:t>
            </w:r>
          </w:p>
        </w:tc>
        <w:tc>
          <w:tcPr>
            <w:tcW w:w="643" w:type="dxa"/>
            <w:shd w:val="clear" w:color="auto" w:fill="C5DFB3"/>
            <w:textDirection w:val="btLr"/>
          </w:tcPr>
          <w:p>
            <w:pPr>
              <w:pStyle w:val="TableParagraph"/>
              <w:spacing w:before="157"/>
              <w:ind w:left="247"/>
              <w:jc w:val="left"/>
              <w:rPr>
                <w:sz w:val="18"/>
              </w:rPr>
            </w:pPr>
            <w:r>
              <w:rPr>
                <w:spacing w:val="1"/>
                <w:w w:val="99"/>
                <w:sz w:val="18"/>
              </w:rPr>
              <w:t>M</w:t>
            </w:r>
            <w:r>
              <w:rPr>
                <w:w w:val="99"/>
                <w:sz w:val="18"/>
              </w:rPr>
              <w:t>od</w:t>
            </w:r>
            <w:r>
              <w:rPr>
                <w:spacing w:val="-2"/>
                <w:w w:val="99"/>
                <w:sz w:val="18"/>
              </w:rPr>
              <w:t>i</w:t>
            </w:r>
            <w:r>
              <w:rPr>
                <w:sz w:val="18"/>
              </w:rPr>
              <w:t>f</w:t>
            </w:r>
            <w:r>
              <w:rPr>
                <w:spacing w:val="1"/>
                <w:sz w:val="18"/>
              </w:rPr>
              <w:t>i</w:t>
            </w:r>
            <w:r>
              <w:rPr>
                <w:spacing w:val="-2"/>
                <w:sz w:val="18"/>
              </w:rPr>
              <w:t>c</w:t>
            </w:r>
            <w:r>
              <w:rPr>
                <w:w w:val="99"/>
                <w:sz w:val="18"/>
              </w:rPr>
              <w:t>ado</w:t>
            </w:r>
          </w:p>
        </w:tc>
        <w:tc>
          <w:tcPr>
            <w:tcW w:w="1645"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
              <w:jc w:val="left"/>
              <w:rPr>
                <w:rFonts w:ascii="Times New Roman"/>
                <w:sz w:val="21"/>
              </w:rPr>
            </w:pPr>
          </w:p>
          <w:p>
            <w:pPr>
              <w:pStyle w:val="TableParagraph"/>
              <w:spacing w:before="1"/>
              <w:ind w:left="357"/>
              <w:jc w:val="left"/>
              <w:rPr>
                <w:sz w:val="18"/>
              </w:rPr>
            </w:pPr>
            <w:r>
              <w:rPr>
                <w:w w:val="99"/>
                <w:sz w:val="18"/>
              </w:rPr>
              <w:t>Eje</w:t>
            </w:r>
            <w:r>
              <w:rPr>
                <w:w w:val="99"/>
                <w:sz w:val="18"/>
              </w:rPr>
              <w:t>r</w:t>
            </w:r>
            <w:r>
              <w:rPr>
                <w:spacing w:val="1"/>
                <w:w w:val="99"/>
                <w:sz w:val="18"/>
              </w:rPr>
              <w:t>c</w:t>
            </w:r>
            <w:r>
              <w:rPr>
                <w:spacing w:val="-2"/>
                <w:w w:val="99"/>
                <w:sz w:val="18"/>
              </w:rPr>
              <w:t>i</w:t>
            </w:r>
            <w:r>
              <w:rPr>
                <w:w w:val="99"/>
                <w:sz w:val="18"/>
              </w:rPr>
              <w:t>do</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
              <w:jc w:val="left"/>
              <w:rPr>
                <w:rFonts w:ascii="Times New Roman"/>
                <w:sz w:val="21"/>
              </w:rPr>
            </w:pPr>
          </w:p>
          <w:p>
            <w:pPr>
              <w:pStyle w:val="TableParagraph"/>
              <w:ind w:left="242"/>
              <w:jc w:val="left"/>
              <w:rPr>
                <w:sz w:val="18"/>
              </w:rPr>
            </w:pPr>
            <w:r>
              <w:rPr>
                <w:w w:val="99"/>
                <w:sz w:val="18"/>
              </w:rPr>
              <w:t>Po</w:t>
            </w:r>
            <w:r>
              <w:rPr>
                <w:w w:val="99"/>
                <w:sz w:val="18"/>
              </w:rPr>
              <w:t>r </w:t>
            </w:r>
            <w:r>
              <w:rPr>
                <w:w w:val="99"/>
                <w:sz w:val="18"/>
              </w:rPr>
              <w:t>e</w:t>
            </w:r>
            <w:r>
              <w:rPr>
                <w:w w:val="99"/>
                <w:sz w:val="18"/>
              </w:rPr>
              <w:t>j</w:t>
            </w:r>
            <w:r>
              <w:rPr>
                <w:w w:val="99"/>
                <w:sz w:val="18"/>
              </w:rPr>
              <w:t>e</w:t>
            </w:r>
            <w:r>
              <w:rPr>
                <w:spacing w:val="-3"/>
                <w:w w:val="99"/>
                <w:sz w:val="18"/>
              </w:rPr>
              <w:t>r</w:t>
            </w:r>
            <w:r>
              <w:rPr>
                <w:spacing w:val="1"/>
                <w:w w:val="99"/>
                <w:sz w:val="18"/>
              </w:rPr>
              <w:t>c</w:t>
            </w:r>
            <w:r>
              <w:rPr>
                <w:w w:val="99"/>
                <w:sz w:val="18"/>
              </w:rPr>
              <w:t>e</w:t>
            </w:r>
            <w:r>
              <w:rPr>
                <w:w w:val="99"/>
                <w:sz w:val="18"/>
              </w:rPr>
              <w:t>r</w:t>
            </w:r>
          </w:p>
        </w:tc>
      </w:tr>
      <w:tr>
        <w:trPr>
          <w:trHeight w:val="322" w:hRule="exact"/>
        </w:trPr>
        <w:tc>
          <w:tcPr>
            <w:tcW w:w="3788" w:type="dxa"/>
          </w:tcPr>
          <w:p>
            <w:pPr>
              <w:pStyle w:val="TableParagraph"/>
              <w:spacing w:line="204" w:lineRule="exact"/>
              <w:ind w:left="64"/>
              <w:jc w:val="left"/>
              <w:rPr>
                <w:b/>
                <w:sz w:val="18"/>
              </w:rPr>
            </w:pPr>
            <w:r>
              <w:rPr>
                <w:b/>
                <w:color w:val="333333"/>
                <w:sz w:val="18"/>
              </w:rPr>
              <w:t>TEMAMATLA</w:t>
            </w:r>
          </w:p>
        </w:tc>
        <w:tc>
          <w:tcPr>
            <w:tcW w:w="1645" w:type="dxa"/>
          </w:tcPr>
          <w:p>
            <w:pPr>
              <w:pStyle w:val="TableParagraph"/>
              <w:spacing w:before="2"/>
              <w:ind w:left="121" w:right="117"/>
              <w:rPr>
                <w:sz w:val="18"/>
              </w:rPr>
            </w:pPr>
            <w:r>
              <w:rPr>
                <w:sz w:val="18"/>
              </w:rPr>
              <w:t>$0.00</w:t>
            </w:r>
          </w:p>
        </w:tc>
        <w:tc>
          <w:tcPr>
            <w:tcW w:w="643" w:type="dxa"/>
          </w:tcPr>
          <w:p>
            <w:pPr>
              <w:pStyle w:val="TableParagraph"/>
              <w:spacing w:before="2"/>
              <w:ind w:left="91"/>
              <w:jc w:val="left"/>
              <w:rPr>
                <w:sz w:val="18"/>
              </w:rPr>
            </w:pPr>
            <w:r>
              <w:rPr>
                <w:sz w:val="18"/>
              </w:rPr>
              <w:t>$0.00</w:t>
            </w:r>
          </w:p>
        </w:tc>
        <w:tc>
          <w:tcPr>
            <w:tcW w:w="670" w:type="dxa"/>
          </w:tcPr>
          <w:p>
            <w:pPr>
              <w:pStyle w:val="TableParagraph"/>
              <w:spacing w:before="2"/>
              <w:ind w:left="83" w:right="84"/>
              <w:rPr>
                <w:sz w:val="18"/>
              </w:rPr>
            </w:pPr>
            <w:r>
              <w:rPr>
                <w:sz w:val="18"/>
              </w:rPr>
              <w:t>$0.00</w:t>
            </w:r>
          </w:p>
        </w:tc>
        <w:tc>
          <w:tcPr>
            <w:tcW w:w="1644" w:type="dxa"/>
          </w:tcPr>
          <w:p>
            <w:pPr>
              <w:pStyle w:val="TableParagraph"/>
              <w:spacing w:before="2"/>
              <w:ind w:left="590" w:right="358"/>
              <w:jc w:val="left"/>
              <w:rPr>
                <w:sz w:val="18"/>
              </w:rPr>
            </w:pPr>
            <w:r>
              <w:rPr>
                <w:sz w:val="18"/>
              </w:rPr>
              <w:t>$0.00</w:t>
            </w:r>
          </w:p>
        </w:tc>
        <w:tc>
          <w:tcPr>
            <w:tcW w:w="1644" w:type="dxa"/>
          </w:tcPr>
          <w:p>
            <w:pPr>
              <w:pStyle w:val="TableParagraph"/>
              <w:spacing w:before="2"/>
              <w:ind w:left="44" w:right="45"/>
              <w:rPr>
                <w:sz w:val="18"/>
              </w:rPr>
            </w:pPr>
            <w:r>
              <w:rPr>
                <w:sz w:val="18"/>
              </w:rPr>
              <w:t>$0.00</w:t>
            </w:r>
          </w:p>
        </w:tc>
        <w:tc>
          <w:tcPr>
            <w:tcW w:w="643" w:type="dxa"/>
          </w:tcPr>
          <w:p>
            <w:pPr>
              <w:pStyle w:val="TableParagraph"/>
              <w:spacing w:before="2"/>
              <w:ind w:left="70" w:right="71"/>
              <w:rPr>
                <w:sz w:val="18"/>
              </w:rPr>
            </w:pPr>
            <w:r>
              <w:rPr>
                <w:sz w:val="18"/>
              </w:rPr>
              <w:t>$0.00</w:t>
            </w:r>
          </w:p>
        </w:tc>
        <w:tc>
          <w:tcPr>
            <w:tcW w:w="1645" w:type="dxa"/>
          </w:tcPr>
          <w:p>
            <w:pPr>
              <w:pStyle w:val="TableParagraph"/>
              <w:spacing w:before="2"/>
              <w:ind w:left="119" w:right="119"/>
              <w:rPr>
                <w:sz w:val="18"/>
              </w:rPr>
            </w:pPr>
            <w:r>
              <w:rPr>
                <w:sz w:val="18"/>
              </w:rPr>
              <w:t>$0.00</w:t>
            </w:r>
          </w:p>
        </w:tc>
        <w:tc>
          <w:tcPr>
            <w:tcW w:w="1644" w:type="dxa"/>
          </w:tcPr>
          <w:p>
            <w:pPr>
              <w:pStyle w:val="TableParagraph"/>
              <w:spacing w:before="2"/>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color w:val="333333"/>
                <w:sz w:val="18"/>
              </w:rPr>
              <w:t>TEMASCALAPA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4" w:lineRule="exact"/>
              <w:ind w:left="64"/>
              <w:jc w:val="left"/>
              <w:rPr>
                <w:b/>
                <w:sz w:val="18"/>
              </w:rPr>
            </w:pPr>
            <w:r>
              <w:rPr>
                <w:b/>
                <w:color w:val="333333"/>
                <w:sz w:val="18"/>
              </w:rPr>
              <w:t>TEMASCALCINGO</w:t>
            </w:r>
          </w:p>
        </w:tc>
        <w:tc>
          <w:tcPr>
            <w:tcW w:w="1645" w:type="dxa"/>
          </w:tcPr>
          <w:p>
            <w:pPr>
              <w:pStyle w:val="TableParagraph"/>
              <w:spacing w:before="1"/>
              <w:ind w:left="121" w:right="117"/>
              <w:rPr>
                <w:sz w:val="18"/>
              </w:rPr>
            </w:pPr>
            <w:r>
              <w:rPr>
                <w:sz w:val="18"/>
              </w:rPr>
              <w:t>$0.00</w:t>
            </w:r>
          </w:p>
        </w:tc>
        <w:tc>
          <w:tcPr>
            <w:tcW w:w="643" w:type="dxa"/>
          </w:tcPr>
          <w:p>
            <w:pPr>
              <w:pStyle w:val="TableParagraph"/>
              <w:spacing w:before="1"/>
              <w:ind w:left="91"/>
              <w:jc w:val="left"/>
              <w:rPr>
                <w:sz w:val="18"/>
              </w:rPr>
            </w:pPr>
            <w:r>
              <w:rPr>
                <w:sz w:val="18"/>
              </w:rPr>
              <w:t>$0.00</w:t>
            </w:r>
          </w:p>
        </w:tc>
        <w:tc>
          <w:tcPr>
            <w:tcW w:w="670" w:type="dxa"/>
          </w:tcPr>
          <w:p>
            <w:pPr>
              <w:pStyle w:val="TableParagraph"/>
              <w:spacing w:before="1"/>
              <w:ind w:left="83" w:right="84"/>
              <w:rPr>
                <w:sz w:val="18"/>
              </w:rPr>
            </w:pPr>
            <w:r>
              <w:rPr>
                <w:sz w:val="18"/>
              </w:rPr>
              <w:t>$0.00</w:t>
            </w:r>
          </w:p>
        </w:tc>
        <w:tc>
          <w:tcPr>
            <w:tcW w:w="1644" w:type="dxa"/>
          </w:tcPr>
          <w:p>
            <w:pPr>
              <w:pStyle w:val="TableParagraph"/>
              <w:spacing w:before="1"/>
              <w:ind w:left="590" w:right="358"/>
              <w:jc w:val="left"/>
              <w:rPr>
                <w:sz w:val="18"/>
              </w:rPr>
            </w:pPr>
            <w:r>
              <w:rPr>
                <w:sz w:val="18"/>
              </w:rPr>
              <w:t>$0.00</w:t>
            </w:r>
          </w:p>
        </w:tc>
        <w:tc>
          <w:tcPr>
            <w:tcW w:w="1644" w:type="dxa"/>
          </w:tcPr>
          <w:p>
            <w:pPr>
              <w:pStyle w:val="TableParagraph"/>
              <w:spacing w:before="1"/>
              <w:ind w:left="44" w:right="45"/>
              <w:rPr>
                <w:sz w:val="18"/>
              </w:rPr>
            </w:pPr>
            <w:r>
              <w:rPr>
                <w:sz w:val="18"/>
              </w:rPr>
              <w:t>$0.00</w:t>
            </w:r>
          </w:p>
        </w:tc>
        <w:tc>
          <w:tcPr>
            <w:tcW w:w="643" w:type="dxa"/>
          </w:tcPr>
          <w:p>
            <w:pPr>
              <w:pStyle w:val="TableParagraph"/>
              <w:spacing w:before="1"/>
              <w:ind w:left="70" w:right="71"/>
              <w:rPr>
                <w:sz w:val="18"/>
              </w:rPr>
            </w:pPr>
            <w:r>
              <w:rPr>
                <w:sz w:val="18"/>
              </w:rPr>
              <w:t>$0.00</w:t>
            </w:r>
          </w:p>
        </w:tc>
        <w:tc>
          <w:tcPr>
            <w:tcW w:w="1645" w:type="dxa"/>
          </w:tcPr>
          <w:p>
            <w:pPr>
              <w:pStyle w:val="TableParagraph"/>
              <w:spacing w:before="1"/>
              <w:ind w:left="119" w:right="119"/>
              <w:rPr>
                <w:sz w:val="18"/>
              </w:rPr>
            </w:pPr>
            <w:r>
              <w:rPr>
                <w:sz w:val="18"/>
              </w:rPr>
              <w:t>$0.00</w:t>
            </w:r>
          </w:p>
        </w:tc>
        <w:tc>
          <w:tcPr>
            <w:tcW w:w="1644" w:type="dxa"/>
          </w:tcPr>
          <w:p>
            <w:pPr>
              <w:pStyle w:val="TableParagraph"/>
              <w:spacing w:before="1"/>
              <w:ind w:left="45"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color w:val="333333"/>
                <w:sz w:val="18"/>
              </w:rPr>
              <w:t>TEMASCALTEPEC</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4" w:lineRule="exact"/>
              <w:ind w:left="64"/>
              <w:jc w:val="left"/>
              <w:rPr>
                <w:b/>
                <w:sz w:val="18"/>
              </w:rPr>
            </w:pPr>
            <w:r>
              <w:rPr>
                <w:b/>
                <w:color w:val="333333"/>
                <w:sz w:val="18"/>
              </w:rPr>
              <w:t>TEMOAYA</w:t>
            </w:r>
          </w:p>
        </w:tc>
        <w:tc>
          <w:tcPr>
            <w:tcW w:w="1645" w:type="dxa"/>
          </w:tcPr>
          <w:p>
            <w:pPr>
              <w:pStyle w:val="TableParagraph"/>
              <w:spacing w:before="1"/>
              <w:ind w:left="121" w:right="117"/>
              <w:rPr>
                <w:sz w:val="18"/>
              </w:rPr>
            </w:pPr>
            <w:r>
              <w:rPr>
                <w:sz w:val="18"/>
              </w:rPr>
              <w:t>$0.00</w:t>
            </w:r>
          </w:p>
        </w:tc>
        <w:tc>
          <w:tcPr>
            <w:tcW w:w="643" w:type="dxa"/>
          </w:tcPr>
          <w:p>
            <w:pPr>
              <w:pStyle w:val="TableParagraph"/>
              <w:spacing w:before="1"/>
              <w:ind w:left="91"/>
              <w:jc w:val="left"/>
              <w:rPr>
                <w:sz w:val="18"/>
              </w:rPr>
            </w:pPr>
            <w:r>
              <w:rPr>
                <w:sz w:val="18"/>
              </w:rPr>
              <w:t>$0.00</w:t>
            </w:r>
          </w:p>
        </w:tc>
        <w:tc>
          <w:tcPr>
            <w:tcW w:w="670" w:type="dxa"/>
          </w:tcPr>
          <w:p>
            <w:pPr>
              <w:pStyle w:val="TableParagraph"/>
              <w:spacing w:before="1"/>
              <w:ind w:left="83" w:right="84"/>
              <w:rPr>
                <w:sz w:val="18"/>
              </w:rPr>
            </w:pPr>
            <w:r>
              <w:rPr>
                <w:sz w:val="18"/>
              </w:rPr>
              <w:t>$0.00</w:t>
            </w:r>
          </w:p>
        </w:tc>
        <w:tc>
          <w:tcPr>
            <w:tcW w:w="1644" w:type="dxa"/>
          </w:tcPr>
          <w:p>
            <w:pPr>
              <w:pStyle w:val="TableParagraph"/>
              <w:spacing w:before="1"/>
              <w:ind w:left="590" w:right="358"/>
              <w:jc w:val="left"/>
              <w:rPr>
                <w:sz w:val="18"/>
              </w:rPr>
            </w:pPr>
            <w:r>
              <w:rPr>
                <w:sz w:val="18"/>
              </w:rPr>
              <w:t>$0.00</w:t>
            </w:r>
          </w:p>
        </w:tc>
        <w:tc>
          <w:tcPr>
            <w:tcW w:w="1644" w:type="dxa"/>
          </w:tcPr>
          <w:p>
            <w:pPr>
              <w:pStyle w:val="TableParagraph"/>
              <w:spacing w:before="1"/>
              <w:ind w:left="44" w:right="45"/>
              <w:rPr>
                <w:sz w:val="18"/>
              </w:rPr>
            </w:pPr>
            <w:r>
              <w:rPr>
                <w:sz w:val="18"/>
              </w:rPr>
              <w:t>$0.00</w:t>
            </w:r>
          </w:p>
        </w:tc>
        <w:tc>
          <w:tcPr>
            <w:tcW w:w="643" w:type="dxa"/>
          </w:tcPr>
          <w:p>
            <w:pPr>
              <w:pStyle w:val="TableParagraph"/>
              <w:spacing w:before="1"/>
              <w:ind w:left="70" w:right="71"/>
              <w:rPr>
                <w:sz w:val="18"/>
              </w:rPr>
            </w:pPr>
            <w:r>
              <w:rPr>
                <w:sz w:val="18"/>
              </w:rPr>
              <w:t>$0.00</w:t>
            </w:r>
          </w:p>
        </w:tc>
        <w:tc>
          <w:tcPr>
            <w:tcW w:w="1645" w:type="dxa"/>
          </w:tcPr>
          <w:p>
            <w:pPr>
              <w:pStyle w:val="TableParagraph"/>
              <w:spacing w:before="1"/>
              <w:ind w:left="119" w:right="119"/>
              <w:rPr>
                <w:sz w:val="18"/>
              </w:rPr>
            </w:pPr>
            <w:r>
              <w:rPr>
                <w:sz w:val="18"/>
              </w:rPr>
              <w:t>$0.00</w:t>
            </w:r>
          </w:p>
        </w:tc>
        <w:tc>
          <w:tcPr>
            <w:tcW w:w="1644" w:type="dxa"/>
          </w:tcPr>
          <w:p>
            <w:pPr>
              <w:pStyle w:val="TableParagraph"/>
              <w:spacing w:before="1"/>
              <w:ind w:left="44"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color w:val="333333"/>
                <w:sz w:val="18"/>
              </w:rPr>
              <w:t>TENANCINGO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color w:val="333333"/>
                <w:sz w:val="18"/>
              </w:rPr>
              <w:t>TENANGO DEL AIRE</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color w:val="333333"/>
                <w:sz w:val="18"/>
              </w:rPr>
              <w:t>TENANGO DEL VALLE</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0" w:hRule="exact"/>
        </w:trPr>
        <w:tc>
          <w:tcPr>
            <w:tcW w:w="3788" w:type="dxa"/>
          </w:tcPr>
          <w:p>
            <w:pPr>
              <w:pStyle w:val="TableParagraph"/>
              <w:spacing w:line="201" w:lineRule="exact"/>
              <w:ind w:left="64"/>
              <w:jc w:val="left"/>
              <w:rPr>
                <w:b/>
                <w:sz w:val="18"/>
              </w:rPr>
            </w:pPr>
            <w:r>
              <w:rPr>
                <w:b/>
                <w:color w:val="333333"/>
                <w:sz w:val="18"/>
              </w:rPr>
              <w:t>TEOLOYUCAN</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color w:val="333333"/>
                <w:sz w:val="18"/>
              </w:rPr>
              <w:t>TEOTIHUACAN</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color w:val="333333"/>
                <w:sz w:val="18"/>
              </w:rPr>
              <w:t>TEPETLAOXTOC</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color w:val="333333"/>
                <w:sz w:val="18"/>
              </w:rPr>
              <w:t>TEPETLIXPA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color w:val="333333"/>
                <w:sz w:val="18"/>
              </w:rPr>
              <w:t>TEPOTZOTLAN</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color w:val="333333"/>
                <w:sz w:val="18"/>
              </w:rPr>
              <w:t>TEQUIXQUIAC</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color w:val="333333"/>
                <w:sz w:val="18"/>
              </w:rPr>
              <w:t>TEXCALTITL�N</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color w:val="333333"/>
                <w:sz w:val="18"/>
              </w:rPr>
              <w:t>TEXCALYACAC</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color w:val="333333"/>
                <w:sz w:val="18"/>
              </w:rPr>
              <w:t>TEXCOCO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4" w:lineRule="exact"/>
              <w:ind w:left="64"/>
              <w:jc w:val="left"/>
              <w:rPr>
                <w:b/>
                <w:sz w:val="18"/>
              </w:rPr>
            </w:pPr>
            <w:r>
              <w:rPr>
                <w:b/>
                <w:color w:val="333333"/>
                <w:sz w:val="18"/>
              </w:rPr>
              <w:t>TEZOYUCA</w:t>
            </w:r>
          </w:p>
        </w:tc>
        <w:tc>
          <w:tcPr>
            <w:tcW w:w="1645" w:type="dxa"/>
          </w:tcPr>
          <w:p>
            <w:pPr>
              <w:pStyle w:val="TableParagraph"/>
              <w:spacing w:before="2"/>
              <w:ind w:left="121" w:right="117"/>
              <w:rPr>
                <w:sz w:val="18"/>
              </w:rPr>
            </w:pPr>
            <w:r>
              <w:rPr>
                <w:sz w:val="18"/>
              </w:rPr>
              <w:t>$0.00</w:t>
            </w:r>
          </w:p>
        </w:tc>
        <w:tc>
          <w:tcPr>
            <w:tcW w:w="643" w:type="dxa"/>
          </w:tcPr>
          <w:p>
            <w:pPr>
              <w:pStyle w:val="TableParagraph"/>
              <w:spacing w:before="2"/>
              <w:ind w:left="91"/>
              <w:jc w:val="left"/>
              <w:rPr>
                <w:sz w:val="18"/>
              </w:rPr>
            </w:pPr>
            <w:r>
              <w:rPr>
                <w:sz w:val="18"/>
              </w:rPr>
              <w:t>$0.00</w:t>
            </w:r>
          </w:p>
        </w:tc>
        <w:tc>
          <w:tcPr>
            <w:tcW w:w="670" w:type="dxa"/>
          </w:tcPr>
          <w:p>
            <w:pPr>
              <w:pStyle w:val="TableParagraph"/>
              <w:spacing w:before="2"/>
              <w:ind w:left="83" w:right="84"/>
              <w:rPr>
                <w:sz w:val="18"/>
              </w:rPr>
            </w:pPr>
            <w:r>
              <w:rPr>
                <w:sz w:val="18"/>
              </w:rPr>
              <w:t>$0.00</w:t>
            </w:r>
          </w:p>
        </w:tc>
        <w:tc>
          <w:tcPr>
            <w:tcW w:w="1644" w:type="dxa"/>
          </w:tcPr>
          <w:p>
            <w:pPr>
              <w:pStyle w:val="TableParagraph"/>
              <w:spacing w:before="2"/>
              <w:ind w:left="590" w:right="358"/>
              <w:jc w:val="left"/>
              <w:rPr>
                <w:sz w:val="18"/>
              </w:rPr>
            </w:pPr>
            <w:r>
              <w:rPr>
                <w:sz w:val="18"/>
              </w:rPr>
              <w:t>$0.00</w:t>
            </w:r>
          </w:p>
        </w:tc>
        <w:tc>
          <w:tcPr>
            <w:tcW w:w="1644" w:type="dxa"/>
          </w:tcPr>
          <w:p>
            <w:pPr>
              <w:pStyle w:val="TableParagraph"/>
              <w:spacing w:before="2"/>
              <w:ind w:left="44" w:right="45"/>
              <w:rPr>
                <w:sz w:val="18"/>
              </w:rPr>
            </w:pPr>
            <w:r>
              <w:rPr>
                <w:sz w:val="18"/>
              </w:rPr>
              <w:t>$0.00</w:t>
            </w:r>
          </w:p>
        </w:tc>
        <w:tc>
          <w:tcPr>
            <w:tcW w:w="643" w:type="dxa"/>
          </w:tcPr>
          <w:p>
            <w:pPr>
              <w:pStyle w:val="TableParagraph"/>
              <w:spacing w:before="2"/>
              <w:ind w:left="70" w:right="71"/>
              <w:rPr>
                <w:sz w:val="18"/>
              </w:rPr>
            </w:pPr>
            <w:r>
              <w:rPr>
                <w:sz w:val="18"/>
              </w:rPr>
              <w:t>$0.00</w:t>
            </w:r>
          </w:p>
        </w:tc>
        <w:tc>
          <w:tcPr>
            <w:tcW w:w="1645" w:type="dxa"/>
          </w:tcPr>
          <w:p>
            <w:pPr>
              <w:pStyle w:val="TableParagraph"/>
              <w:spacing w:before="2"/>
              <w:ind w:left="119" w:right="119"/>
              <w:rPr>
                <w:sz w:val="18"/>
              </w:rPr>
            </w:pPr>
            <w:r>
              <w:rPr>
                <w:sz w:val="18"/>
              </w:rPr>
              <w:t>$0.00</w:t>
            </w:r>
          </w:p>
        </w:tc>
        <w:tc>
          <w:tcPr>
            <w:tcW w:w="1644" w:type="dxa"/>
          </w:tcPr>
          <w:p>
            <w:pPr>
              <w:pStyle w:val="TableParagraph"/>
              <w:spacing w:before="2"/>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color w:val="333333"/>
                <w:sz w:val="18"/>
              </w:rPr>
              <w:t>TIANGUISTENCO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4" w:lineRule="exact"/>
              <w:ind w:left="64"/>
              <w:jc w:val="left"/>
              <w:rPr>
                <w:b/>
                <w:sz w:val="18"/>
              </w:rPr>
            </w:pPr>
            <w:r>
              <w:rPr>
                <w:b/>
                <w:color w:val="333333"/>
                <w:sz w:val="18"/>
              </w:rPr>
              <w:t>TIMILPAN</w:t>
            </w:r>
          </w:p>
        </w:tc>
        <w:tc>
          <w:tcPr>
            <w:tcW w:w="1645" w:type="dxa"/>
          </w:tcPr>
          <w:p>
            <w:pPr>
              <w:pStyle w:val="TableParagraph"/>
              <w:spacing w:before="1"/>
              <w:ind w:left="121" w:right="117"/>
              <w:rPr>
                <w:sz w:val="18"/>
              </w:rPr>
            </w:pPr>
            <w:r>
              <w:rPr>
                <w:sz w:val="18"/>
              </w:rPr>
              <w:t>$0.00</w:t>
            </w:r>
          </w:p>
        </w:tc>
        <w:tc>
          <w:tcPr>
            <w:tcW w:w="643" w:type="dxa"/>
          </w:tcPr>
          <w:p>
            <w:pPr>
              <w:pStyle w:val="TableParagraph"/>
              <w:spacing w:before="1"/>
              <w:ind w:left="91"/>
              <w:jc w:val="left"/>
              <w:rPr>
                <w:sz w:val="18"/>
              </w:rPr>
            </w:pPr>
            <w:r>
              <w:rPr>
                <w:sz w:val="18"/>
              </w:rPr>
              <w:t>$0.00</w:t>
            </w:r>
          </w:p>
        </w:tc>
        <w:tc>
          <w:tcPr>
            <w:tcW w:w="670" w:type="dxa"/>
          </w:tcPr>
          <w:p>
            <w:pPr>
              <w:pStyle w:val="TableParagraph"/>
              <w:spacing w:before="1"/>
              <w:ind w:left="83" w:right="84"/>
              <w:rPr>
                <w:sz w:val="18"/>
              </w:rPr>
            </w:pPr>
            <w:r>
              <w:rPr>
                <w:sz w:val="18"/>
              </w:rPr>
              <w:t>$0.00</w:t>
            </w:r>
          </w:p>
        </w:tc>
        <w:tc>
          <w:tcPr>
            <w:tcW w:w="1644" w:type="dxa"/>
          </w:tcPr>
          <w:p>
            <w:pPr>
              <w:pStyle w:val="TableParagraph"/>
              <w:spacing w:before="1"/>
              <w:ind w:left="590" w:right="358"/>
              <w:jc w:val="left"/>
              <w:rPr>
                <w:sz w:val="18"/>
              </w:rPr>
            </w:pPr>
            <w:r>
              <w:rPr>
                <w:sz w:val="18"/>
              </w:rPr>
              <w:t>$0.00</w:t>
            </w:r>
          </w:p>
        </w:tc>
        <w:tc>
          <w:tcPr>
            <w:tcW w:w="1644" w:type="dxa"/>
          </w:tcPr>
          <w:p>
            <w:pPr>
              <w:pStyle w:val="TableParagraph"/>
              <w:spacing w:before="1"/>
              <w:ind w:left="44" w:right="45"/>
              <w:rPr>
                <w:sz w:val="18"/>
              </w:rPr>
            </w:pPr>
            <w:r>
              <w:rPr>
                <w:sz w:val="18"/>
              </w:rPr>
              <w:t>$0.00</w:t>
            </w:r>
          </w:p>
        </w:tc>
        <w:tc>
          <w:tcPr>
            <w:tcW w:w="643" w:type="dxa"/>
          </w:tcPr>
          <w:p>
            <w:pPr>
              <w:pStyle w:val="TableParagraph"/>
              <w:spacing w:before="1"/>
              <w:ind w:left="70" w:right="71"/>
              <w:rPr>
                <w:sz w:val="18"/>
              </w:rPr>
            </w:pPr>
            <w:r>
              <w:rPr>
                <w:sz w:val="18"/>
              </w:rPr>
              <w:t>$0.00</w:t>
            </w:r>
          </w:p>
        </w:tc>
        <w:tc>
          <w:tcPr>
            <w:tcW w:w="1645" w:type="dxa"/>
          </w:tcPr>
          <w:p>
            <w:pPr>
              <w:pStyle w:val="TableParagraph"/>
              <w:spacing w:before="1"/>
              <w:ind w:left="119" w:right="119"/>
              <w:rPr>
                <w:sz w:val="18"/>
              </w:rPr>
            </w:pPr>
            <w:r>
              <w:rPr>
                <w:sz w:val="18"/>
              </w:rPr>
              <w:t>$0.00</w:t>
            </w:r>
          </w:p>
        </w:tc>
        <w:tc>
          <w:tcPr>
            <w:tcW w:w="1644" w:type="dxa"/>
          </w:tcPr>
          <w:p>
            <w:pPr>
              <w:pStyle w:val="TableParagraph"/>
              <w:spacing w:before="1"/>
              <w:ind w:left="44"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color w:val="333333"/>
                <w:sz w:val="18"/>
              </w:rPr>
              <w:t>TLALMANALCO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590" w:right="358"/>
              <w:jc w:val="left"/>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bl>
    <w:p>
      <w:pPr>
        <w:spacing w:after="0" w:line="206" w:lineRule="exact"/>
        <w:rPr>
          <w:sz w:val="18"/>
        </w:rPr>
        <w:sectPr>
          <w:pgSz w:w="15840" w:h="12240" w:orient="landscape"/>
          <w:pgMar w:header="0" w:footer="975" w:top="1140" w:bottom="1160" w:left="820" w:right="820"/>
        </w:sectPr>
      </w:pPr>
    </w:p>
    <w:p>
      <w:pPr>
        <w:pStyle w:val="BodyText"/>
        <w:rPr>
          <w:rFonts w:ascii="Times New Roman"/>
          <w:sz w:val="20"/>
        </w:rPr>
      </w:pPr>
    </w:p>
    <w:p>
      <w:pPr>
        <w:pStyle w:val="BodyText"/>
        <w:spacing w:before="10"/>
        <w:rPr>
          <w:rFonts w:ascii="Times New Roman"/>
          <w:sz w:val="28"/>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88"/>
        <w:gridCol w:w="1645"/>
        <w:gridCol w:w="643"/>
        <w:gridCol w:w="670"/>
        <w:gridCol w:w="1644"/>
        <w:gridCol w:w="1644"/>
        <w:gridCol w:w="643"/>
        <w:gridCol w:w="1645"/>
        <w:gridCol w:w="1644"/>
      </w:tblGrid>
      <w:tr>
        <w:trPr>
          <w:trHeight w:val="430" w:hRule="exact"/>
        </w:trPr>
        <w:tc>
          <w:tcPr>
            <w:tcW w:w="13965" w:type="dxa"/>
            <w:gridSpan w:val="9"/>
            <w:shd w:val="clear" w:color="auto" w:fill="C5DFB3"/>
          </w:tcPr>
          <w:p>
            <w:pPr>
              <w:pStyle w:val="TableParagraph"/>
              <w:spacing w:before="100"/>
              <w:ind w:left="3334"/>
              <w:jc w:val="left"/>
              <w:rPr>
                <w:b/>
                <w:sz w:val="18"/>
              </w:rPr>
            </w:pPr>
            <w:r>
              <w:rPr>
                <w:b/>
                <w:sz w:val="18"/>
              </w:rPr>
              <w:t>Anexo 24A. Municipios que publican apartado presupuesto 2008-2009 (Finaliza tabla)</w:t>
            </w:r>
          </w:p>
        </w:tc>
      </w:tr>
      <w:tr>
        <w:trPr>
          <w:trHeight w:val="216" w:hRule="exact"/>
        </w:trPr>
        <w:tc>
          <w:tcPr>
            <w:tcW w:w="3788"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6"/>
              <w:jc w:val="left"/>
              <w:rPr>
                <w:rFonts w:ascii="Times New Roman"/>
                <w:sz w:val="16"/>
              </w:rPr>
            </w:pPr>
          </w:p>
          <w:p>
            <w:pPr>
              <w:pStyle w:val="TableParagraph"/>
              <w:ind w:left="1449" w:right="1448"/>
              <w:rPr>
                <w:b/>
                <w:sz w:val="18"/>
              </w:rPr>
            </w:pPr>
            <w:r>
              <w:rPr>
                <w:b/>
                <w:sz w:val="18"/>
              </w:rPr>
              <w:t>Municipio</w:t>
            </w:r>
          </w:p>
        </w:tc>
        <w:tc>
          <w:tcPr>
            <w:tcW w:w="4602" w:type="dxa"/>
            <w:gridSpan w:val="4"/>
            <w:shd w:val="clear" w:color="auto" w:fill="C5DFB3"/>
          </w:tcPr>
          <w:p>
            <w:pPr>
              <w:pStyle w:val="TableParagraph"/>
              <w:spacing w:line="201" w:lineRule="exact"/>
              <w:ind w:left="2076" w:right="2074"/>
              <w:rPr>
                <w:b/>
                <w:sz w:val="18"/>
              </w:rPr>
            </w:pPr>
            <w:r>
              <w:rPr>
                <w:b/>
                <w:sz w:val="18"/>
              </w:rPr>
              <w:t>2008</w:t>
            </w:r>
          </w:p>
        </w:tc>
        <w:tc>
          <w:tcPr>
            <w:tcW w:w="5576" w:type="dxa"/>
            <w:gridSpan w:val="4"/>
            <w:shd w:val="clear" w:color="auto" w:fill="C5DFB3"/>
          </w:tcPr>
          <w:p>
            <w:pPr>
              <w:pStyle w:val="TableParagraph"/>
              <w:spacing w:line="201" w:lineRule="exact"/>
              <w:ind w:left="2562" w:right="2563"/>
              <w:rPr>
                <w:b/>
                <w:sz w:val="18"/>
              </w:rPr>
            </w:pPr>
            <w:r>
              <w:rPr>
                <w:b/>
                <w:sz w:val="18"/>
              </w:rPr>
              <w:t>2009</w:t>
            </w:r>
          </w:p>
        </w:tc>
      </w:tr>
      <w:tr>
        <w:trPr>
          <w:trHeight w:val="1222" w:hRule="exact"/>
        </w:trPr>
        <w:tc>
          <w:tcPr>
            <w:tcW w:w="3788" w:type="dxa"/>
            <w:vMerge/>
            <w:shd w:val="clear" w:color="auto" w:fill="C5DFB3"/>
          </w:tcPr>
          <w:p>
            <w:pPr/>
          </w:p>
        </w:tc>
        <w:tc>
          <w:tcPr>
            <w:tcW w:w="1645"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1"/>
              <w:jc w:val="left"/>
              <w:rPr>
                <w:rFonts w:ascii="Times New Roman"/>
                <w:sz w:val="25"/>
              </w:rPr>
            </w:pPr>
          </w:p>
          <w:p>
            <w:pPr>
              <w:pStyle w:val="TableParagraph"/>
              <w:ind w:left="175"/>
              <w:jc w:val="left"/>
              <w:rPr>
                <w:sz w:val="18"/>
              </w:rPr>
            </w:pPr>
            <w:r>
              <w:rPr>
                <w:w w:val="99"/>
                <w:sz w:val="18"/>
              </w:rPr>
              <w:t>Au</w:t>
            </w:r>
            <w:r>
              <w:rPr>
                <w:w w:val="100"/>
                <w:sz w:val="18"/>
              </w:rPr>
              <w:t>to</w:t>
            </w:r>
            <w:r>
              <w:rPr>
                <w:w w:val="99"/>
                <w:sz w:val="18"/>
              </w:rPr>
              <w:t>r</w:t>
            </w:r>
            <w:r>
              <w:rPr>
                <w:spacing w:val="-2"/>
                <w:w w:val="99"/>
                <w:sz w:val="18"/>
              </w:rPr>
              <w:t>i</w:t>
            </w:r>
            <w:r>
              <w:rPr>
                <w:spacing w:val="1"/>
                <w:sz w:val="18"/>
              </w:rPr>
              <w:t>z</w:t>
            </w:r>
            <w:r>
              <w:rPr>
                <w:w w:val="99"/>
                <w:sz w:val="18"/>
              </w:rPr>
              <w:t>ado</w:t>
            </w:r>
          </w:p>
        </w:tc>
        <w:tc>
          <w:tcPr>
            <w:tcW w:w="643" w:type="dxa"/>
            <w:shd w:val="clear" w:color="auto" w:fill="C5DFB3"/>
            <w:textDirection w:val="btLr"/>
          </w:tcPr>
          <w:p>
            <w:pPr>
              <w:pStyle w:val="TableParagraph"/>
              <w:spacing w:before="3"/>
              <w:jc w:val="left"/>
              <w:rPr>
                <w:rFonts w:ascii="Times New Roman"/>
                <w:sz w:val="18"/>
              </w:rPr>
            </w:pPr>
          </w:p>
          <w:p>
            <w:pPr>
              <w:pStyle w:val="TableParagraph"/>
              <w:ind w:left="170"/>
              <w:jc w:val="left"/>
              <w:rPr>
                <w:sz w:val="18"/>
              </w:rPr>
            </w:pPr>
            <w:r>
              <w:rPr>
                <w:spacing w:val="1"/>
                <w:w w:val="99"/>
                <w:sz w:val="18"/>
              </w:rPr>
              <w:t>M</w:t>
            </w:r>
            <w:r>
              <w:rPr>
                <w:w w:val="99"/>
                <w:sz w:val="18"/>
              </w:rPr>
              <w:t>od</w:t>
            </w:r>
            <w:r>
              <w:rPr>
                <w:spacing w:val="-2"/>
                <w:w w:val="99"/>
                <w:sz w:val="18"/>
              </w:rPr>
              <w:t>i</w:t>
            </w:r>
            <w:r>
              <w:rPr>
                <w:sz w:val="18"/>
              </w:rPr>
              <w:t>f</w:t>
            </w:r>
            <w:r>
              <w:rPr>
                <w:spacing w:val="1"/>
                <w:sz w:val="18"/>
              </w:rPr>
              <w:t>i</w:t>
            </w:r>
            <w:r>
              <w:rPr>
                <w:spacing w:val="-2"/>
                <w:sz w:val="18"/>
              </w:rPr>
              <w:t>c</w:t>
            </w:r>
            <w:r>
              <w:rPr>
                <w:w w:val="99"/>
                <w:sz w:val="18"/>
              </w:rPr>
              <w:t>ado</w:t>
            </w:r>
          </w:p>
        </w:tc>
        <w:tc>
          <w:tcPr>
            <w:tcW w:w="670" w:type="dxa"/>
            <w:shd w:val="clear" w:color="auto" w:fill="C5DFB3"/>
            <w:textDirection w:val="btLr"/>
          </w:tcPr>
          <w:p>
            <w:pPr>
              <w:pStyle w:val="TableParagraph"/>
              <w:spacing w:before="3"/>
              <w:jc w:val="left"/>
              <w:rPr>
                <w:rFonts w:ascii="Times New Roman"/>
                <w:sz w:val="19"/>
              </w:rPr>
            </w:pPr>
          </w:p>
          <w:p>
            <w:pPr>
              <w:pStyle w:val="TableParagraph"/>
              <w:spacing w:before="1"/>
              <w:ind w:left="280"/>
              <w:jc w:val="left"/>
              <w:rPr>
                <w:sz w:val="18"/>
              </w:rPr>
            </w:pPr>
            <w:r>
              <w:rPr>
                <w:w w:val="99"/>
                <w:sz w:val="18"/>
              </w:rPr>
              <w:t>Eje</w:t>
            </w:r>
            <w:r>
              <w:rPr>
                <w:w w:val="99"/>
                <w:sz w:val="18"/>
              </w:rPr>
              <w:t>r</w:t>
            </w:r>
            <w:r>
              <w:rPr>
                <w:spacing w:val="1"/>
                <w:w w:val="99"/>
                <w:sz w:val="18"/>
              </w:rPr>
              <w:t>c</w:t>
            </w:r>
            <w:r>
              <w:rPr>
                <w:spacing w:val="-2"/>
                <w:w w:val="99"/>
                <w:sz w:val="18"/>
              </w:rPr>
              <w:t>i</w:t>
            </w:r>
            <w:r>
              <w:rPr>
                <w:w w:val="99"/>
                <w:sz w:val="18"/>
              </w:rPr>
              <w:t>do</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5"/>
              </w:rPr>
            </w:pPr>
          </w:p>
          <w:p>
            <w:pPr>
              <w:pStyle w:val="TableParagraph"/>
              <w:ind w:left="165"/>
              <w:jc w:val="left"/>
              <w:rPr>
                <w:sz w:val="18"/>
              </w:rPr>
            </w:pPr>
            <w:r>
              <w:rPr>
                <w:w w:val="99"/>
                <w:sz w:val="18"/>
              </w:rPr>
              <w:t>Po</w:t>
            </w:r>
            <w:r>
              <w:rPr>
                <w:w w:val="99"/>
                <w:sz w:val="18"/>
              </w:rPr>
              <w:t>r </w:t>
            </w:r>
            <w:r>
              <w:rPr>
                <w:w w:val="99"/>
                <w:sz w:val="18"/>
              </w:rPr>
              <w:t>e</w:t>
            </w:r>
            <w:r>
              <w:rPr>
                <w:w w:val="99"/>
                <w:sz w:val="18"/>
              </w:rPr>
              <w:t>j</w:t>
            </w:r>
            <w:r>
              <w:rPr>
                <w:w w:val="99"/>
                <w:sz w:val="18"/>
              </w:rPr>
              <w:t>e</w:t>
            </w:r>
            <w:r>
              <w:rPr>
                <w:spacing w:val="-3"/>
                <w:w w:val="99"/>
                <w:sz w:val="18"/>
              </w:rPr>
              <w:t>r</w:t>
            </w:r>
            <w:r>
              <w:rPr>
                <w:spacing w:val="1"/>
                <w:w w:val="99"/>
                <w:sz w:val="18"/>
              </w:rPr>
              <w:t>c</w:t>
            </w:r>
            <w:r>
              <w:rPr>
                <w:w w:val="99"/>
                <w:sz w:val="18"/>
              </w:rPr>
              <w:t>e</w:t>
            </w:r>
            <w:r>
              <w:rPr>
                <w:w w:val="99"/>
                <w:sz w:val="18"/>
              </w:rPr>
              <w:t>r</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5"/>
              </w:rPr>
            </w:pPr>
          </w:p>
          <w:p>
            <w:pPr>
              <w:pStyle w:val="TableParagraph"/>
              <w:ind w:left="175"/>
              <w:jc w:val="left"/>
              <w:rPr>
                <w:sz w:val="18"/>
              </w:rPr>
            </w:pPr>
            <w:r>
              <w:rPr>
                <w:w w:val="99"/>
                <w:sz w:val="18"/>
              </w:rPr>
              <w:t>Au</w:t>
            </w:r>
            <w:r>
              <w:rPr>
                <w:w w:val="100"/>
                <w:sz w:val="18"/>
              </w:rPr>
              <w:t>to</w:t>
            </w:r>
            <w:r>
              <w:rPr>
                <w:w w:val="99"/>
                <w:sz w:val="18"/>
              </w:rPr>
              <w:t>r</w:t>
            </w:r>
            <w:r>
              <w:rPr>
                <w:spacing w:val="-2"/>
                <w:w w:val="99"/>
                <w:sz w:val="18"/>
              </w:rPr>
              <w:t>i</w:t>
            </w:r>
            <w:r>
              <w:rPr>
                <w:spacing w:val="1"/>
                <w:sz w:val="18"/>
              </w:rPr>
              <w:t>z</w:t>
            </w:r>
            <w:r>
              <w:rPr>
                <w:w w:val="99"/>
                <w:sz w:val="18"/>
              </w:rPr>
              <w:t>ado</w:t>
            </w:r>
          </w:p>
        </w:tc>
        <w:tc>
          <w:tcPr>
            <w:tcW w:w="643" w:type="dxa"/>
            <w:shd w:val="clear" w:color="auto" w:fill="C5DFB3"/>
            <w:textDirection w:val="btLr"/>
          </w:tcPr>
          <w:p>
            <w:pPr>
              <w:pStyle w:val="TableParagraph"/>
              <w:spacing w:before="3"/>
              <w:jc w:val="left"/>
              <w:rPr>
                <w:rFonts w:ascii="Times New Roman"/>
                <w:sz w:val="18"/>
              </w:rPr>
            </w:pPr>
          </w:p>
          <w:p>
            <w:pPr>
              <w:pStyle w:val="TableParagraph"/>
              <w:ind w:left="170"/>
              <w:jc w:val="left"/>
              <w:rPr>
                <w:sz w:val="18"/>
              </w:rPr>
            </w:pPr>
            <w:r>
              <w:rPr>
                <w:spacing w:val="1"/>
                <w:w w:val="99"/>
                <w:sz w:val="18"/>
              </w:rPr>
              <w:t>M</w:t>
            </w:r>
            <w:r>
              <w:rPr>
                <w:w w:val="99"/>
                <w:sz w:val="18"/>
              </w:rPr>
              <w:t>od</w:t>
            </w:r>
            <w:r>
              <w:rPr>
                <w:spacing w:val="-2"/>
                <w:w w:val="99"/>
                <w:sz w:val="18"/>
              </w:rPr>
              <w:t>i</w:t>
            </w:r>
            <w:r>
              <w:rPr>
                <w:sz w:val="18"/>
              </w:rPr>
              <w:t>f</w:t>
            </w:r>
            <w:r>
              <w:rPr>
                <w:spacing w:val="1"/>
                <w:sz w:val="18"/>
              </w:rPr>
              <w:t>i</w:t>
            </w:r>
            <w:r>
              <w:rPr>
                <w:spacing w:val="-2"/>
                <w:sz w:val="18"/>
              </w:rPr>
              <w:t>c</w:t>
            </w:r>
            <w:r>
              <w:rPr>
                <w:w w:val="99"/>
                <w:sz w:val="18"/>
              </w:rPr>
              <w:t>ado</w:t>
            </w:r>
          </w:p>
        </w:tc>
        <w:tc>
          <w:tcPr>
            <w:tcW w:w="1645"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5"/>
              </w:rPr>
            </w:pPr>
          </w:p>
          <w:p>
            <w:pPr>
              <w:pStyle w:val="TableParagraph"/>
              <w:ind w:left="280"/>
              <w:jc w:val="left"/>
              <w:rPr>
                <w:sz w:val="18"/>
              </w:rPr>
            </w:pPr>
            <w:r>
              <w:rPr>
                <w:w w:val="99"/>
                <w:sz w:val="18"/>
              </w:rPr>
              <w:t>Eje</w:t>
            </w:r>
            <w:r>
              <w:rPr>
                <w:w w:val="99"/>
                <w:sz w:val="18"/>
              </w:rPr>
              <w:t>r</w:t>
            </w:r>
            <w:r>
              <w:rPr>
                <w:spacing w:val="1"/>
                <w:w w:val="99"/>
                <w:sz w:val="18"/>
              </w:rPr>
              <w:t>c</w:t>
            </w:r>
            <w:r>
              <w:rPr>
                <w:spacing w:val="-2"/>
                <w:w w:val="99"/>
                <w:sz w:val="18"/>
              </w:rPr>
              <w:t>i</w:t>
            </w:r>
            <w:r>
              <w:rPr>
                <w:w w:val="99"/>
                <w:sz w:val="18"/>
              </w:rPr>
              <w:t>do</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5"/>
              </w:rPr>
            </w:pPr>
          </w:p>
          <w:p>
            <w:pPr>
              <w:pStyle w:val="TableParagraph"/>
              <w:ind w:left="165"/>
              <w:jc w:val="left"/>
              <w:rPr>
                <w:sz w:val="18"/>
              </w:rPr>
            </w:pPr>
            <w:r>
              <w:rPr>
                <w:w w:val="99"/>
                <w:sz w:val="18"/>
              </w:rPr>
              <w:t>Po</w:t>
            </w:r>
            <w:r>
              <w:rPr>
                <w:w w:val="99"/>
                <w:sz w:val="18"/>
              </w:rPr>
              <w:t>r </w:t>
            </w:r>
            <w:r>
              <w:rPr>
                <w:w w:val="99"/>
                <w:sz w:val="18"/>
              </w:rPr>
              <w:t>e</w:t>
            </w:r>
            <w:r>
              <w:rPr>
                <w:w w:val="99"/>
                <w:sz w:val="18"/>
              </w:rPr>
              <w:t>j</w:t>
            </w:r>
            <w:r>
              <w:rPr>
                <w:w w:val="99"/>
                <w:sz w:val="18"/>
              </w:rPr>
              <w:t>e</w:t>
            </w:r>
            <w:r>
              <w:rPr>
                <w:spacing w:val="-3"/>
                <w:w w:val="99"/>
                <w:sz w:val="18"/>
              </w:rPr>
              <w:t>r</w:t>
            </w:r>
            <w:r>
              <w:rPr>
                <w:spacing w:val="1"/>
                <w:w w:val="99"/>
                <w:sz w:val="18"/>
              </w:rPr>
              <w:t>c</w:t>
            </w:r>
            <w:r>
              <w:rPr>
                <w:w w:val="99"/>
                <w:sz w:val="18"/>
              </w:rPr>
              <w:t>e</w:t>
            </w:r>
            <w:r>
              <w:rPr>
                <w:w w:val="99"/>
                <w:sz w:val="18"/>
              </w:rPr>
              <w:t>r</w:t>
            </w:r>
          </w:p>
        </w:tc>
      </w:tr>
      <w:tr>
        <w:trPr>
          <w:trHeight w:val="322" w:hRule="exact"/>
        </w:trPr>
        <w:tc>
          <w:tcPr>
            <w:tcW w:w="3788" w:type="dxa"/>
          </w:tcPr>
          <w:p>
            <w:pPr>
              <w:pStyle w:val="TableParagraph"/>
              <w:spacing w:line="201" w:lineRule="exact"/>
              <w:ind w:left="64"/>
              <w:jc w:val="left"/>
              <w:rPr>
                <w:b/>
                <w:sz w:val="18"/>
              </w:rPr>
            </w:pPr>
            <w:r>
              <w:rPr>
                <w:b/>
                <w:color w:val="333333"/>
                <w:sz w:val="18"/>
              </w:rPr>
              <w:t>TLALNEPANTLA DE BAZ</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0" w:hRule="exact"/>
        </w:trPr>
        <w:tc>
          <w:tcPr>
            <w:tcW w:w="3788" w:type="dxa"/>
          </w:tcPr>
          <w:p>
            <w:pPr>
              <w:pStyle w:val="TableParagraph"/>
              <w:spacing w:line="202" w:lineRule="exact"/>
              <w:ind w:left="64"/>
              <w:jc w:val="left"/>
              <w:rPr>
                <w:b/>
                <w:sz w:val="18"/>
              </w:rPr>
            </w:pPr>
            <w:r>
              <w:rPr>
                <w:b/>
                <w:color w:val="333333"/>
                <w:sz w:val="18"/>
              </w:rPr>
              <w:t>TLATLAYA</w:t>
            </w:r>
          </w:p>
        </w:tc>
        <w:tc>
          <w:tcPr>
            <w:tcW w:w="1645" w:type="dxa"/>
          </w:tcPr>
          <w:p>
            <w:pPr>
              <w:pStyle w:val="TableParagraph"/>
              <w:spacing w:line="207" w:lineRule="exact"/>
              <w:ind w:left="121" w:right="117"/>
              <w:rPr>
                <w:sz w:val="18"/>
              </w:rPr>
            </w:pPr>
            <w:r>
              <w:rPr>
                <w:sz w:val="18"/>
              </w:rPr>
              <w:t>$0.00</w:t>
            </w:r>
          </w:p>
        </w:tc>
        <w:tc>
          <w:tcPr>
            <w:tcW w:w="643" w:type="dxa"/>
          </w:tcPr>
          <w:p>
            <w:pPr>
              <w:pStyle w:val="TableParagraph"/>
              <w:spacing w:line="207" w:lineRule="exact"/>
              <w:ind w:left="91"/>
              <w:jc w:val="left"/>
              <w:rPr>
                <w:sz w:val="18"/>
              </w:rPr>
            </w:pPr>
            <w:r>
              <w:rPr>
                <w:sz w:val="18"/>
              </w:rPr>
              <w:t>$0.00</w:t>
            </w:r>
          </w:p>
        </w:tc>
        <w:tc>
          <w:tcPr>
            <w:tcW w:w="670" w:type="dxa"/>
          </w:tcPr>
          <w:p>
            <w:pPr>
              <w:pStyle w:val="TableParagraph"/>
              <w:spacing w:line="207" w:lineRule="exact"/>
              <w:ind w:left="83" w:right="84"/>
              <w:rPr>
                <w:sz w:val="18"/>
              </w:rPr>
            </w:pPr>
            <w:r>
              <w:rPr>
                <w:sz w:val="18"/>
              </w:rPr>
              <w:t>$0.00</w:t>
            </w:r>
          </w:p>
        </w:tc>
        <w:tc>
          <w:tcPr>
            <w:tcW w:w="1644" w:type="dxa"/>
          </w:tcPr>
          <w:p>
            <w:pPr>
              <w:pStyle w:val="TableParagraph"/>
              <w:spacing w:line="207" w:lineRule="exact"/>
              <w:ind w:left="44" w:right="45"/>
              <w:rPr>
                <w:sz w:val="18"/>
              </w:rPr>
            </w:pPr>
            <w:r>
              <w:rPr>
                <w:sz w:val="18"/>
              </w:rPr>
              <w:t>$0.00</w:t>
            </w:r>
          </w:p>
        </w:tc>
        <w:tc>
          <w:tcPr>
            <w:tcW w:w="1644" w:type="dxa"/>
          </w:tcPr>
          <w:p>
            <w:pPr>
              <w:pStyle w:val="TableParagraph"/>
              <w:spacing w:line="207" w:lineRule="exact"/>
              <w:ind w:left="44" w:right="45"/>
              <w:rPr>
                <w:sz w:val="18"/>
              </w:rPr>
            </w:pPr>
            <w:r>
              <w:rPr>
                <w:sz w:val="18"/>
              </w:rPr>
              <w:t>$0.00</w:t>
            </w:r>
          </w:p>
        </w:tc>
        <w:tc>
          <w:tcPr>
            <w:tcW w:w="643" w:type="dxa"/>
          </w:tcPr>
          <w:p>
            <w:pPr>
              <w:pStyle w:val="TableParagraph"/>
              <w:spacing w:line="207" w:lineRule="exact"/>
              <w:ind w:left="70" w:right="71"/>
              <w:rPr>
                <w:sz w:val="18"/>
              </w:rPr>
            </w:pPr>
            <w:r>
              <w:rPr>
                <w:sz w:val="18"/>
              </w:rPr>
              <w:t>$0.00</w:t>
            </w:r>
          </w:p>
        </w:tc>
        <w:tc>
          <w:tcPr>
            <w:tcW w:w="1645" w:type="dxa"/>
          </w:tcPr>
          <w:p>
            <w:pPr>
              <w:pStyle w:val="TableParagraph"/>
              <w:spacing w:line="207" w:lineRule="exact"/>
              <w:ind w:left="119" w:right="119"/>
              <w:rPr>
                <w:sz w:val="18"/>
              </w:rPr>
            </w:pPr>
            <w:r>
              <w:rPr>
                <w:sz w:val="18"/>
              </w:rPr>
              <w:t>$0.00</w:t>
            </w:r>
          </w:p>
        </w:tc>
        <w:tc>
          <w:tcPr>
            <w:tcW w:w="1644" w:type="dxa"/>
          </w:tcPr>
          <w:p>
            <w:pPr>
              <w:pStyle w:val="TableParagraph"/>
              <w:spacing w:line="207" w:lineRule="exact"/>
              <w:ind w:left="44"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color w:val="333333"/>
                <w:sz w:val="18"/>
              </w:rPr>
              <w:t>TOLUCA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color w:val="333333"/>
                <w:sz w:val="18"/>
              </w:rPr>
              <w:t>TONANITLA</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5"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color w:val="333333"/>
                <w:sz w:val="18"/>
              </w:rPr>
              <w:t>TONATICO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color w:val="333333"/>
                <w:sz w:val="18"/>
              </w:rPr>
              <w:t>TULTEPEC</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color w:val="333333"/>
                <w:sz w:val="18"/>
              </w:rPr>
              <w:t>TULTITLAN</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color w:val="333333"/>
                <w:sz w:val="18"/>
              </w:rPr>
              <w:t>VALLE DE BRAVO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color w:val="333333"/>
                <w:sz w:val="18"/>
              </w:rPr>
              <w:t>VALLE DE CHALCO SOLIDARIDAD</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0" w:hRule="exact"/>
        </w:trPr>
        <w:tc>
          <w:tcPr>
            <w:tcW w:w="3788" w:type="dxa"/>
          </w:tcPr>
          <w:p>
            <w:pPr>
              <w:pStyle w:val="TableParagraph"/>
              <w:spacing w:line="201" w:lineRule="exact"/>
              <w:ind w:left="64"/>
              <w:jc w:val="left"/>
              <w:rPr>
                <w:b/>
                <w:sz w:val="18"/>
              </w:rPr>
            </w:pPr>
            <w:r>
              <w:rPr>
                <w:b/>
                <w:color w:val="333333"/>
                <w:sz w:val="18"/>
              </w:rPr>
              <w:t>VILLA DE ALLENDE</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4" w:lineRule="exact"/>
              <w:ind w:left="64"/>
              <w:jc w:val="left"/>
              <w:rPr>
                <w:b/>
                <w:sz w:val="18"/>
              </w:rPr>
            </w:pPr>
            <w:r>
              <w:rPr>
                <w:b/>
                <w:color w:val="333333"/>
                <w:sz w:val="18"/>
              </w:rPr>
              <w:t>VILLA DEL CARBON</w:t>
            </w:r>
          </w:p>
        </w:tc>
        <w:tc>
          <w:tcPr>
            <w:tcW w:w="1645" w:type="dxa"/>
          </w:tcPr>
          <w:p>
            <w:pPr>
              <w:pStyle w:val="TableParagraph"/>
              <w:spacing w:before="1"/>
              <w:ind w:left="121" w:right="117"/>
              <w:rPr>
                <w:sz w:val="18"/>
              </w:rPr>
            </w:pPr>
            <w:r>
              <w:rPr>
                <w:sz w:val="18"/>
              </w:rPr>
              <w:t>$0.00</w:t>
            </w:r>
          </w:p>
        </w:tc>
        <w:tc>
          <w:tcPr>
            <w:tcW w:w="643" w:type="dxa"/>
          </w:tcPr>
          <w:p>
            <w:pPr>
              <w:pStyle w:val="TableParagraph"/>
              <w:spacing w:before="1"/>
              <w:ind w:left="91"/>
              <w:jc w:val="left"/>
              <w:rPr>
                <w:sz w:val="18"/>
              </w:rPr>
            </w:pPr>
            <w:r>
              <w:rPr>
                <w:sz w:val="18"/>
              </w:rPr>
              <w:t>$0.00</w:t>
            </w:r>
          </w:p>
        </w:tc>
        <w:tc>
          <w:tcPr>
            <w:tcW w:w="670" w:type="dxa"/>
          </w:tcPr>
          <w:p>
            <w:pPr>
              <w:pStyle w:val="TableParagraph"/>
              <w:spacing w:before="1"/>
              <w:ind w:left="83" w:right="84"/>
              <w:rPr>
                <w:sz w:val="18"/>
              </w:rPr>
            </w:pPr>
            <w:r>
              <w:rPr>
                <w:sz w:val="18"/>
              </w:rPr>
              <w:t>$0.00</w:t>
            </w:r>
          </w:p>
        </w:tc>
        <w:tc>
          <w:tcPr>
            <w:tcW w:w="1644" w:type="dxa"/>
          </w:tcPr>
          <w:p>
            <w:pPr>
              <w:pStyle w:val="TableParagraph"/>
              <w:spacing w:before="1"/>
              <w:ind w:left="44" w:right="45"/>
              <w:rPr>
                <w:sz w:val="18"/>
              </w:rPr>
            </w:pPr>
            <w:r>
              <w:rPr>
                <w:sz w:val="18"/>
              </w:rPr>
              <w:t>$0.00</w:t>
            </w:r>
          </w:p>
        </w:tc>
        <w:tc>
          <w:tcPr>
            <w:tcW w:w="1644" w:type="dxa"/>
          </w:tcPr>
          <w:p>
            <w:pPr>
              <w:pStyle w:val="TableParagraph"/>
              <w:spacing w:before="1"/>
              <w:ind w:left="44" w:right="45"/>
              <w:rPr>
                <w:sz w:val="18"/>
              </w:rPr>
            </w:pPr>
            <w:r>
              <w:rPr>
                <w:sz w:val="18"/>
              </w:rPr>
              <w:t>$0.00</w:t>
            </w:r>
          </w:p>
        </w:tc>
        <w:tc>
          <w:tcPr>
            <w:tcW w:w="643" w:type="dxa"/>
          </w:tcPr>
          <w:p>
            <w:pPr>
              <w:pStyle w:val="TableParagraph"/>
              <w:spacing w:before="1"/>
              <w:ind w:left="70" w:right="71"/>
              <w:rPr>
                <w:sz w:val="18"/>
              </w:rPr>
            </w:pPr>
            <w:r>
              <w:rPr>
                <w:sz w:val="18"/>
              </w:rPr>
              <w:t>$0.00</w:t>
            </w:r>
          </w:p>
        </w:tc>
        <w:tc>
          <w:tcPr>
            <w:tcW w:w="1645" w:type="dxa"/>
          </w:tcPr>
          <w:p>
            <w:pPr>
              <w:pStyle w:val="TableParagraph"/>
              <w:spacing w:before="1"/>
              <w:ind w:left="119" w:right="119"/>
              <w:rPr>
                <w:sz w:val="18"/>
              </w:rPr>
            </w:pPr>
            <w:r>
              <w:rPr>
                <w:sz w:val="18"/>
              </w:rPr>
              <w:t>$0.00</w:t>
            </w:r>
          </w:p>
        </w:tc>
        <w:tc>
          <w:tcPr>
            <w:tcW w:w="1644" w:type="dxa"/>
          </w:tcPr>
          <w:p>
            <w:pPr>
              <w:pStyle w:val="TableParagraph"/>
              <w:spacing w:before="1"/>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color w:val="333333"/>
                <w:sz w:val="18"/>
              </w:rPr>
              <w:t>VILLA GUERRERO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5" w:right="45"/>
              <w:rPr>
                <w:sz w:val="18"/>
              </w:rPr>
            </w:pPr>
            <w:r>
              <w:rPr>
                <w:sz w:val="18"/>
              </w:rPr>
              <w:t>$0.00</w:t>
            </w:r>
          </w:p>
        </w:tc>
      </w:tr>
      <w:tr>
        <w:trPr>
          <w:trHeight w:val="322" w:hRule="exact"/>
        </w:trPr>
        <w:tc>
          <w:tcPr>
            <w:tcW w:w="3788" w:type="dxa"/>
          </w:tcPr>
          <w:p>
            <w:pPr>
              <w:pStyle w:val="TableParagraph"/>
              <w:spacing w:line="204" w:lineRule="exact"/>
              <w:ind w:left="64"/>
              <w:jc w:val="left"/>
              <w:rPr>
                <w:b/>
                <w:sz w:val="18"/>
              </w:rPr>
            </w:pPr>
            <w:r>
              <w:rPr>
                <w:b/>
                <w:color w:val="333333"/>
                <w:sz w:val="18"/>
              </w:rPr>
              <w:t>VILLA VICTORIA</w:t>
            </w:r>
          </w:p>
        </w:tc>
        <w:tc>
          <w:tcPr>
            <w:tcW w:w="1645" w:type="dxa"/>
          </w:tcPr>
          <w:p>
            <w:pPr>
              <w:pStyle w:val="TableParagraph"/>
              <w:spacing w:before="1"/>
              <w:ind w:left="121" w:right="117"/>
              <w:rPr>
                <w:sz w:val="18"/>
              </w:rPr>
            </w:pPr>
            <w:r>
              <w:rPr>
                <w:sz w:val="18"/>
              </w:rPr>
              <w:t>$0.00</w:t>
            </w:r>
          </w:p>
        </w:tc>
        <w:tc>
          <w:tcPr>
            <w:tcW w:w="643" w:type="dxa"/>
          </w:tcPr>
          <w:p>
            <w:pPr>
              <w:pStyle w:val="TableParagraph"/>
              <w:spacing w:before="1"/>
              <w:ind w:left="91"/>
              <w:jc w:val="left"/>
              <w:rPr>
                <w:sz w:val="18"/>
              </w:rPr>
            </w:pPr>
            <w:r>
              <w:rPr>
                <w:sz w:val="18"/>
              </w:rPr>
              <w:t>$0.00</w:t>
            </w:r>
          </w:p>
        </w:tc>
        <w:tc>
          <w:tcPr>
            <w:tcW w:w="670" w:type="dxa"/>
          </w:tcPr>
          <w:p>
            <w:pPr>
              <w:pStyle w:val="TableParagraph"/>
              <w:spacing w:before="1"/>
              <w:ind w:left="83" w:right="84"/>
              <w:rPr>
                <w:sz w:val="18"/>
              </w:rPr>
            </w:pPr>
            <w:r>
              <w:rPr>
                <w:sz w:val="18"/>
              </w:rPr>
              <w:t>$0.00</w:t>
            </w:r>
          </w:p>
        </w:tc>
        <w:tc>
          <w:tcPr>
            <w:tcW w:w="1644" w:type="dxa"/>
          </w:tcPr>
          <w:p>
            <w:pPr>
              <w:pStyle w:val="TableParagraph"/>
              <w:spacing w:before="1"/>
              <w:ind w:left="44" w:right="45"/>
              <w:rPr>
                <w:sz w:val="18"/>
              </w:rPr>
            </w:pPr>
            <w:r>
              <w:rPr>
                <w:sz w:val="18"/>
              </w:rPr>
              <w:t>$0.00</w:t>
            </w:r>
          </w:p>
        </w:tc>
        <w:tc>
          <w:tcPr>
            <w:tcW w:w="1644" w:type="dxa"/>
          </w:tcPr>
          <w:p>
            <w:pPr>
              <w:pStyle w:val="TableParagraph"/>
              <w:spacing w:before="1"/>
              <w:ind w:left="44" w:right="45"/>
              <w:rPr>
                <w:sz w:val="18"/>
              </w:rPr>
            </w:pPr>
            <w:r>
              <w:rPr>
                <w:sz w:val="18"/>
              </w:rPr>
              <w:t>$0.00</w:t>
            </w:r>
          </w:p>
        </w:tc>
        <w:tc>
          <w:tcPr>
            <w:tcW w:w="643" w:type="dxa"/>
          </w:tcPr>
          <w:p>
            <w:pPr>
              <w:pStyle w:val="TableParagraph"/>
              <w:spacing w:before="1"/>
              <w:ind w:left="70" w:right="71"/>
              <w:rPr>
                <w:sz w:val="18"/>
              </w:rPr>
            </w:pPr>
            <w:r>
              <w:rPr>
                <w:sz w:val="18"/>
              </w:rPr>
              <w:t>$0.00</w:t>
            </w:r>
          </w:p>
        </w:tc>
        <w:tc>
          <w:tcPr>
            <w:tcW w:w="1645" w:type="dxa"/>
          </w:tcPr>
          <w:p>
            <w:pPr>
              <w:pStyle w:val="TableParagraph"/>
              <w:spacing w:before="1"/>
              <w:ind w:left="119" w:right="119"/>
              <w:rPr>
                <w:sz w:val="18"/>
              </w:rPr>
            </w:pPr>
            <w:r>
              <w:rPr>
                <w:sz w:val="18"/>
              </w:rPr>
              <w:t>$0.00</w:t>
            </w:r>
          </w:p>
        </w:tc>
        <w:tc>
          <w:tcPr>
            <w:tcW w:w="1644" w:type="dxa"/>
          </w:tcPr>
          <w:p>
            <w:pPr>
              <w:pStyle w:val="TableParagraph"/>
              <w:spacing w:before="1"/>
              <w:ind w:left="44"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color w:val="333333"/>
                <w:sz w:val="18"/>
              </w:rPr>
              <w:t>XALATLACO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color w:val="333333"/>
                <w:sz w:val="18"/>
              </w:rPr>
              <w:t>XONACATLAN</w:t>
            </w:r>
          </w:p>
        </w:tc>
        <w:tc>
          <w:tcPr>
            <w:tcW w:w="1645" w:type="dxa"/>
          </w:tcPr>
          <w:p>
            <w:pPr>
              <w:pStyle w:val="TableParagraph"/>
              <w:spacing w:line="206" w:lineRule="exact"/>
              <w:ind w:left="121" w:right="119"/>
              <w:rPr>
                <w:sz w:val="18"/>
              </w:rPr>
            </w:pPr>
            <w:r>
              <w:rPr>
                <w:sz w:val="18"/>
              </w:rPr>
              <w:t>$4,909,958.00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5" w:right="45"/>
              <w:rPr>
                <w:sz w:val="18"/>
              </w:rPr>
            </w:pPr>
            <w:r>
              <w:rPr>
                <w:sz w:val="18"/>
              </w:rPr>
              <w:t>$4,909,958.00</w:t>
            </w:r>
          </w:p>
        </w:tc>
        <w:tc>
          <w:tcPr>
            <w:tcW w:w="1644" w:type="dxa"/>
          </w:tcPr>
          <w:p>
            <w:pPr>
              <w:pStyle w:val="TableParagraph"/>
              <w:spacing w:line="206" w:lineRule="exact"/>
              <w:ind w:left="44" w:right="45"/>
              <w:rPr>
                <w:sz w:val="18"/>
              </w:rPr>
            </w:pPr>
            <w:r>
              <w:rPr>
                <w:sz w:val="18"/>
              </w:rPr>
              <w:t>$4,840,405.71</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$4,840,405.71</w:t>
            </w:r>
          </w:p>
        </w:tc>
      </w:tr>
      <w:tr>
        <w:trPr>
          <w:trHeight w:val="322" w:hRule="exact"/>
        </w:trPr>
        <w:tc>
          <w:tcPr>
            <w:tcW w:w="3788" w:type="dxa"/>
          </w:tcPr>
          <w:p>
            <w:pPr>
              <w:pStyle w:val="TableParagraph"/>
              <w:spacing w:line="201" w:lineRule="exact"/>
              <w:ind w:left="64"/>
              <w:jc w:val="left"/>
              <w:rPr>
                <w:b/>
                <w:sz w:val="18"/>
              </w:rPr>
            </w:pPr>
            <w:r>
              <w:rPr>
                <w:b/>
                <w:color w:val="333333"/>
                <w:sz w:val="18"/>
              </w:rPr>
              <w:t>ZACAZONAPAN</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1644" w:type="dxa"/>
          </w:tcPr>
          <w:p>
            <w:pPr>
              <w:pStyle w:val="TableParagraph"/>
              <w:spacing w:line="206" w:lineRule="exact"/>
              <w:ind w:left="45"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color w:val="333333"/>
                <w:sz w:val="18"/>
              </w:rPr>
              <w:t>ZACUALPAN</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color w:val="333333"/>
                <w:sz w:val="18"/>
              </w:rPr>
              <w:t>ZINACANTEPEC</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19" w:hRule="exact"/>
        </w:trPr>
        <w:tc>
          <w:tcPr>
            <w:tcW w:w="3788" w:type="dxa"/>
          </w:tcPr>
          <w:p>
            <w:pPr>
              <w:pStyle w:val="TableParagraph"/>
              <w:spacing w:line="201" w:lineRule="exact"/>
              <w:ind w:left="64"/>
              <w:jc w:val="left"/>
              <w:rPr>
                <w:b/>
                <w:sz w:val="18"/>
              </w:rPr>
            </w:pPr>
            <w:r>
              <w:rPr>
                <w:b/>
                <w:color w:val="333333"/>
                <w:sz w:val="18"/>
              </w:rPr>
              <w:t>ZUMPAHUACAN</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r>
        <w:trPr>
          <w:trHeight w:val="322" w:hRule="exact"/>
        </w:trPr>
        <w:tc>
          <w:tcPr>
            <w:tcW w:w="3788" w:type="dxa"/>
          </w:tcPr>
          <w:p>
            <w:pPr>
              <w:pStyle w:val="TableParagraph"/>
              <w:spacing w:line="201" w:lineRule="exact"/>
              <w:ind w:left="64"/>
              <w:jc w:val="left"/>
              <w:rPr>
                <w:b/>
                <w:sz w:val="18"/>
              </w:rPr>
            </w:pPr>
            <w:r>
              <w:rPr>
                <w:b/>
                <w:color w:val="333333"/>
                <w:sz w:val="18"/>
              </w:rPr>
              <w:t>ZUMPANGO</w:t>
            </w:r>
          </w:p>
        </w:tc>
        <w:tc>
          <w:tcPr>
            <w:tcW w:w="1645" w:type="dxa"/>
          </w:tcPr>
          <w:p>
            <w:pPr>
              <w:pStyle w:val="TableParagraph"/>
              <w:spacing w:line="206" w:lineRule="exact"/>
              <w:ind w:left="121" w:right="117"/>
              <w:rPr>
                <w:sz w:val="18"/>
              </w:rPr>
            </w:pPr>
            <w:r>
              <w:rPr>
                <w:sz w:val="18"/>
              </w:rPr>
              <w:t>$0.00</w:t>
            </w:r>
          </w:p>
        </w:tc>
        <w:tc>
          <w:tcPr>
            <w:tcW w:w="643" w:type="dxa"/>
          </w:tcPr>
          <w:p>
            <w:pPr>
              <w:pStyle w:val="TableParagraph"/>
              <w:spacing w:line="206" w:lineRule="exact"/>
              <w:ind w:left="91"/>
              <w:jc w:val="left"/>
              <w:rPr>
                <w:sz w:val="18"/>
              </w:rPr>
            </w:pPr>
            <w:r>
              <w:rPr>
                <w:sz w:val="18"/>
              </w:rPr>
              <w:t>$0.00</w:t>
            </w:r>
          </w:p>
        </w:tc>
        <w:tc>
          <w:tcPr>
            <w:tcW w:w="670" w:type="dxa"/>
          </w:tcPr>
          <w:p>
            <w:pPr>
              <w:pStyle w:val="TableParagraph"/>
              <w:spacing w:line="206" w:lineRule="exact"/>
              <w:ind w:left="83" w:right="84"/>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1644" w:type="dxa"/>
          </w:tcPr>
          <w:p>
            <w:pPr>
              <w:pStyle w:val="TableParagraph"/>
              <w:spacing w:line="206" w:lineRule="exact"/>
              <w:ind w:left="44" w:right="45"/>
              <w:rPr>
                <w:sz w:val="18"/>
              </w:rPr>
            </w:pPr>
            <w:r>
              <w:rPr>
                <w:sz w:val="18"/>
              </w:rPr>
              <w:t>$0.00</w:t>
            </w:r>
          </w:p>
        </w:tc>
        <w:tc>
          <w:tcPr>
            <w:tcW w:w="643" w:type="dxa"/>
          </w:tcPr>
          <w:p>
            <w:pPr>
              <w:pStyle w:val="TableParagraph"/>
              <w:spacing w:line="206" w:lineRule="exact"/>
              <w:ind w:left="70" w:right="71"/>
              <w:rPr>
                <w:sz w:val="18"/>
              </w:rPr>
            </w:pPr>
            <w:r>
              <w:rPr>
                <w:sz w:val="18"/>
              </w:rPr>
              <w:t>$0.00</w:t>
            </w:r>
          </w:p>
        </w:tc>
        <w:tc>
          <w:tcPr>
            <w:tcW w:w="1645" w:type="dxa"/>
          </w:tcPr>
          <w:p>
            <w:pPr>
              <w:pStyle w:val="TableParagraph"/>
              <w:spacing w:line="206" w:lineRule="exact"/>
              <w:ind w:left="119" w:right="119"/>
              <w:rPr>
                <w:sz w:val="18"/>
              </w:rPr>
            </w:pPr>
            <w:r>
              <w:rPr>
                <w:sz w:val="18"/>
              </w:rPr>
              <w:t>$0.00</w:t>
            </w:r>
          </w:p>
        </w:tc>
        <w:tc>
          <w:tcPr>
            <w:tcW w:w="1644" w:type="dxa"/>
          </w:tcPr>
          <w:p>
            <w:pPr>
              <w:pStyle w:val="TableParagraph"/>
              <w:spacing w:line="206" w:lineRule="exact"/>
              <w:ind w:left="44" w:right="45"/>
              <w:rPr>
                <w:sz w:val="18"/>
              </w:rPr>
            </w:pPr>
            <w:r>
              <w:rPr>
                <w:sz w:val="18"/>
              </w:rPr>
              <w:t>$0.00</w:t>
            </w:r>
          </w:p>
        </w:tc>
      </w:tr>
    </w:tbl>
    <w:p>
      <w:pPr>
        <w:spacing w:line="206" w:lineRule="exact" w:before="0"/>
        <w:ind w:left="187" w:right="0" w:firstLine="0"/>
        <w:jc w:val="left"/>
        <w:rPr>
          <w:sz w:val="18"/>
        </w:rPr>
      </w:pPr>
      <w:r>
        <w:rPr>
          <w:sz w:val="18"/>
        </w:rPr>
        <w:t>Fuente: Elaboración propia con datos del INFOEM.</w:t>
      </w:r>
    </w:p>
    <w:p>
      <w:pPr>
        <w:spacing w:after="0" w:line="206" w:lineRule="exact"/>
        <w:jc w:val="left"/>
        <w:rPr>
          <w:sz w:val="18"/>
        </w:rPr>
        <w:sectPr>
          <w:pgSz w:w="15840" w:h="12240" w:orient="landscape"/>
          <w:pgMar w:header="0" w:footer="975" w:top="1140" w:bottom="1160" w:left="820" w:right="820"/>
        </w:sectPr>
      </w:pPr>
    </w:p>
    <w:p>
      <w:pPr>
        <w:pStyle w:val="BodyText"/>
        <w:rPr>
          <w:rFonts w:ascii="Times New Roman"/>
          <w:sz w:val="20"/>
        </w:rPr>
      </w:pPr>
    </w:p>
    <w:p>
      <w:pPr>
        <w:pStyle w:val="BodyText"/>
        <w:spacing w:before="10"/>
        <w:rPr>
          <w:rFonts w:ascii="Times New Roman"/>
          <w:sz w:val="28"/>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20"/>
        <w:gridCol w:w="1726"/>
        <w:gridCol w:w="1392"/>
        <w:gridCol w:w="1541"/>
        <w:gridCol w:w="1841"/>
        <w:gridCol w:w="1642"/>
        <w:gridCol w:w="1661"/>
        <w:gridCol w:w="1702"/>
        <w:gridCol w:w="1982"/>
      </w:tblGrid>
      <w:tr>
        <w:trPr>
          <w:trHeight w:val="430" w:hRule="exact"/>
        </w:trPr>
        <w:tc>
          <w:tcPr>
            <w:tcW w:w="15108" w:type="dxa"/>
            <w:gridSpan w:val="9"/>
            <w:shd w:val="clear" w:color="auto" w:fill="C5DFB3"/>
          </w:tcPr>
          <w:p>
            <w:pPr>
              <w:pStyle w:val="TableParagraph"/>
              <w:spacing w:before="49"/>
              <w:ind w:left="4558"/>
              <w:jc w:val="left"/>
              <w:rPr>
                <w:b/>
                <w:sz w:val="18"/>
              </w:rPr>
            </w:pPr>
            <w:r>
              <w:rPr>
                <w:b/>
                <w:sz w:val="18"/>
              </w:rPr>
              <w:t>Anexo 24B. Municipios que publican apartado presupuesto 2010-2011</w:t>
            </w:r>
          </w:p>
        </w:tc>
      </w:tr>
      <w:tr>
        <w:trPr>
          <w:trHeight w:val="422" w:hRule="exact"/>
        </w:trPr>
        <w:tc>
          <w:tcPr>
            <w:tcW w:w="1620"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112"/>
              <w:ind w:left="383" w:right="65"/>
              <w:jc w:val="left"/>
              <w:rPr>
                <w:b/>
                <w:sz w:val="18"/>
              </w:rPr>
            </w:pPr>
            <w:r>
              <w:rPr>
                <w:b/>
                <w:sz w:val="18"/>
              </w:rPr>
              <w:t>Municipio</w:t>
            </w:r>
          </w:p>
        </w:tc>
        <w:tc>
          <w:tcPr>
            <w:tcW w:w="6500" w:type="dxa"/>
            <w:gridSpan w:val="4"/>
            <w:shd w:val="clear" w:color="auto" w:fill="C5DFB3"/>
          </w:tcPr>
          <w:p>
            <w:pPr>
              <w:pStyle w:val="TableParagraph"/>
              <w:spacing w:before="44"/>
              <w:ind w:left="3022" w:right="3022"/>
              <w:rPr>
                <w:b/>
                <w:sz w:val="18"/>
              </w:rPr>
            </w:pPr>
            <w:r>
              <w:rPr>
                <w:b/>
                <w:sz w:val="18"/>
              </w:rPr>
              <w:t>2010</w:t>
            </w:r>
          </w:p>
        </w:tc>
        <w:tc>
          <w:tcPr>
            <w:tcW w:w="6987" w:type="dxa"/>
            <w:gridSpan w:val="4"/>
            <w:shd w:val="clear" w:color="auto" w:fill="C5DFB3"/>
          </w:tcPr>
          <w:p>
            <w:pPr>
              <w:pStyle w:val="TableParagraph"/>
              <w:spacing w:before="44"/>
              <w:ind w:left="3269" w:right="3267"/>
              <w:rPr>
                <w:b/>
                <w:sz w:val="18"/>
              </w:rPr>
            </w:pPr>
            <w:r>
              <w:rPr>
                <w:b/>
                <w:sz w:val="18"/>
              </w:rPr>
              <w:t>2011</w:t>
            </w:r>
          </w:p>
        </w:tc>
      </w:tr>
      <w:tr>
        <w:trPr>
          <w:trHeight w:val="1375" w:hRule="exact"/>
        </w:trPr>
        <w:tc>
          <w:tcPr>
            <w:tcW w:w="1620" w:type="dxa"/>
            <w:vMerge/>
            <w:shd w:val="clear" w:color="auto" w:fill="C5DFB3"/>
          </w:tcPr>
          <w:p>
            <w:pPr/>
          </w:p>
        </w:tc>
        <w:tc>
          <w:tcPr>
            <w:tcW w:w="1726"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7"/>
              <w:jc w:val="left"/>
              <w:rPr>
                <w:rFonts w:ascii="Times New Roman"/>
                <w:sz w:val="24"/>
              </w:rPr>
            </w:pPr>
          </w:p>
          <w:p>
            <w:pPr>
              <w:pStyle w:val="TableParagraph"/>
              <w:ind w:left="211"/>
              <w:jc w:val="left"/>
              <w:rPr>
                <w:b/>
                <w:sz w:val="18"/>
              </w:rPr>
            </w:pPr>
            <w:r>
              <w:rPr>
                <w:b/>
                <w:w w:val="100"/>
                <w:sz w:val="18"/>
              </w:rPr>
              <w:t>Autoriz</w:t>
            </w:r>
            <w:r>
              <w:rPr>
                <w:b/>
                <w:w w:val="99"/>
                <w:sz w:val="18"/>
              </w:rPr>
              <w:t>a</w:t>
            </w:r>
            <w:r>
              <w:rPr>
                <w:b/>
                <w:w w:val="100"/>
                <w:sz w:val="18"/>
              </w:rPr>
              <w:t>do</w:t>
            </w:r>
          </w:p>
        </w:tc>
        <w:tc>
          <w:tcPr>
            <w:tcW w:w="139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18"/>
              <w:ind w:left="206"/>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54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6"/>
              <w:jc w:val="left"/>
              <w:rPr>
                <w:rFonts w:ascii="Times New Roman"/>
                <w:sz w:val="16"/>
              </w:rPr>
            </w:pPr>
          </w:p>
          <w:p>
            <w:pPr>
              <w:pStyle w:val="TableParagraph"/>
              <w:ind w:left="326"/>
              <w:jc w:val="left"/>
              <w:rPr>
                <w:b/>
                <w:sz w:val="18"/>
              </w:rPr>
            </w:pPr>
            <w:r>
              <w:rPr>
                <w:b/>
                <w:w w:val="100"/>
                <w:sz w:val="18"/>
              </w:rPr>
              <w:t>Eje</w:t>
            </w:r>
            <w:r>
              <w:rPr>
                <w:b/>
                <w:w w:val="99"/>
                <w:sz w:val="18"/>
              </w:rPr>
              <w:t>rci</w:t>
            </w:r>
            <w:r>
              <w:rPr>
                <w:b/>
                <w:w w:val="100"/>
                <w:sz w:val="18"/>
              </w:rPr>
              <w:t>do</w:t>
            </w:r>
          </w:p>
        </w:tc>
        <w:tc>
          <w:tcPr>
            <w:tcW w:w="184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134"/>
              <w:ind w:left="211"/>
              <w:jc w:val="left"/>
              <w:rPr>
                <w:b/>
                <w:sz w:val="18"/>
              </w:rPr>
            </w:pPr>
            <w:r>
              <w:rPr>
                <w:b/>
                <w:sz w:val="18"/>
              </w:rPr>
              <w:t>Por </w:t>
            </w:r>
            <w:r>
              <w:rPr>
                <w:b/>
                <w:w w:val="99"/>
                <w:sz w:val="18"/>
              </w:rPr>
              <w:t>e</w:t>
            </w:r>
            <w:r>
              <w:rPr>
                <w:b/>
                <w:w w:val="100"/>
                <w:sz w:val="18"/>
              </w:rPr>
              <w:t>je</w:t>
            </w:r>
            <w:r>
              <w:rPr>
                <w:b/>
                <w:w w:val="99"/>
                <w:sz w:val="18"/>
              </w:rPr>
              <w:t>rcer</w:t>
            </w:r>
          </w:p>
        </w:tc>
        <w:tc>
          <w:tcPr>
            <w:tcW w:w="164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0"/>
              </w:rPr>
            </w:pPr>
          </w:p>
          <w:p>
            <w:pPr>
              <w:pStyle w:val="TableParagraph"/>
              <w:spacing w:before="1"/>
              <w:ind w:left="211"/>
              <w:jc w:val="left"/>
              <w:rPr>
                <w:b/>
                <w:sz w:val="18"/>
              </w:rPr>
            </w:pPr>
            <w:r>
              <w:rPr>
                <w:b/>
                <w:w w:val="100"/>
                <w:sz w:val="18"/>
              </w:rPr>
              <w:t>Autoriz</w:t>
            </w:r>
            <w:r>
              <w:rPr>
                <w:b/>
                <w:w w:val="99"/>
                <w:sz w:val="18"/>
              </w:rPr>
              <w:t>a</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06"/>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70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7"/>
              <w:jc w:val="left"/>
              <w:rPr>
                <w:rFonts w:ascii="Times New Roman"/>
                <w:sz w:val="23"/>
              </w:rPr>
            </w:pPr>
          </w:p>
          <w:p>
            <w:pPr>
              <w:pStyle w:val="TableParagraph"/>
              <w:ind w:left="326"/>
              <w:jc w:val="left"/>
              <w:rPr>
                <w:b/>
                <w:sz w:val="18"/>
              </w:rPr>
            </w:pPr>
            <w:r>
              <w:rPr>
                <w:b/>
                <w:w w:val="100"/>
                <w:sz w:val="18"/>
              </w:rPr>
              <w:t>Eje</w:t>
            </w:r>
            <w:r>
              <w:rPr>
                <w:b/>
                <w:w w:val="99"/>
                <w:sz w:val="18"/>
              </w:rPr>
              <w:t>rci</w:t>
            </w:r>
            <w:r>
              <w:rPr>
                <w:b/>
                <w:w w:val="100"/>
                <w:sz w:val="18"/>
              </w:rPr>
              <w:t>do</w:t>
            </w:r>
          </w:p>
        </w:tc>
        <w:tc>
          <w:tcPr>
            <w:tcW w:w="198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17"/>
              </w:rPr>
            </w:pPr>
          </w:p>
          <w:p>
            <w:pPr>
              <w:pStyle w:val="TableParagraph"/>
              <w:ind w:left="211"/>
              <w:jc w:val="left"/>
              <w:rPr>
                <w:b/>
                <w:sz w:val="18"/>
              </w:rPr>
            </w:pPr>
            <w:r>
              <w:rPr>
                <w:b/>
                <w:sz w:val="18"/>
              </w:rPr>
              <w:t>Por </w:t>
            </w:r>
            <w:r>
              <w:rPr>
                <w:b/>
                <w:w w:val="99"/>
                <w:sz w:val="18"/>
              </w:rPr>
              <w:t>e</w:t>
            </w:r>
            <w:r>
              <w:rPr>
                <w:b/>
                <w:w w:val="100"/>
                <w:sz w:val="18"/>
              </w:rPr>
              <w:t>je</w:t>
            </w:r>
            <w:r>
              <w:rPr>
                <w:b/>
                <w:w w:val="99"/>
                <w:sz w:val="18"/>
              </w:rPr>
              <w:t>rcer</w:t>
            </w:r>
          </w:p>
        </w:tc>
      </w:tr>
      <w:tr>
        <w:trPr>
          <w:trHeight w:val="320" w:hRule="exact"/>
        </w:trPr>
        <w:tc>
          <w:tcPr>
            <w:tcW w:w="1620" w:type="dxa"/>
          </w:tcPr>
          <w:p>
            <w:pPr>
              <w:pStyle w:val="TableParagraph"/>
              <w:spacing w:line="202" w:lineRule="exact"/>
              <w:ind w:left="64" w:right="65"/>
              <w:jc w:val="left"/>
              <w:rPr>
                <w:b/>
                <w:sz w:val="18"/>
              </w:rPr>
            </w:pPr>
            <w:r>
              <w:rPr>
                <w:b/>
                <w:sz w:val="18"/>
              </w:rPr>
              <w:t>ACAMBAY</w:t>
            </w:r>
          </w:p>
        </w:tc>
        <w:tc>
          <w:tcPr>
            <w:tcW w:w="1726" w:type="dxa"/>
          </w:tcPr>
          <w:p>
            <w:pPr>
              <w:pStyle w:val="TableParagraph"/>
              <w:spacing w:line="207" w:lineRule="exact"/>
              <w:ind w:left="85" w:right="86"/>
              <w:rPr>
                <w:sz w:val="18"/>
              </w:rPr>
            </w:pPr>
            <w:r>
              <w:rPr>
                <w:sz w:val="18"/>
              </w:rPr>
              <w:t>$7,589,442.86</w:t>
            </w:r>
          </w:p>
        </w:tc>
        <w:tc>
          <w:tcPr>
            <w:tcW w:w="1392" w:type="dxa"/>
          </w:tcPr>
          <w:p>
            <w:pPr>
              <w:pStyle w:val="TableParagraph"/>
              <w:spacing w:line="207" w:lineRule="exact"/>
              <w:ind w:left="45" w:right="44"/>
              <w:rPr>
                <w:sz w:val="18"/>
              </w:rPr>
            </w:pPr>
            <w:r>
              <w:rPr>
                <w:sz w:val="18"/>
              </w:rPr>
              <w:t>$0.00</w:t>
            </w:r>
          </w:p>
        </w:tc>
        <w:tc>
          <w:tcPr>
            <w:tcW w:w="1541" w:type="dxa"/>
          </w:tcPr>
          <w:p>
            <w:pPr>
              <w:pStyle w:val="TableParagraph"/>
              <w:spacing w:line="207" w:lineRule="exact"/>
              <w:ind w:left="519" w:right="520"/>
              <w:rPr>
                <w:sz w:val="18"/>
              </w:rPr>
            </w:pPr>
            <w:r>
              <w:rPr>
                <w:sz w:val="18"/>
              </w:rPr>
              <w:t>$0.00</w:t>
            </w:r>
          </w:p>
        </w:tc>
        <w:tc>
          <w:tcPr>
            <w:tcW w:w="1841" w:type="dxa"/>
          </w:tcPr>
          <w:p>
            <w:pPr>
              <w:pStyle w:val="TableParagraph"/>
              <w:spacing w:line="207" w:lineRule="exact"/>
              <w:ind w:left="144" w:right="145"/>
              <w:rPr>
                <w:sz w:val="18"/>
              </w:rPr>
            </w:pPr>
            <w:r>
              <w:rPr>
                <w:sz w:val="18"/>
              </w:rPr>
              <w:t>$7,589,442.86</w:t>
            </w:r>
          </w:p>
        </w:tc>
        <w:tc>
          <w:tcPr>
            <w:tcW w:w="1642" w:type="dxa"/>
          </w:tcPr>
          <w:p>
            <w:pPr>
              <w:pStyle w:val="TableParagraph"/>
              <w:spacing w:line="207" w:lineRule="exact"/>
              <w:ind w:left="43" w:right="43"/>
              <w:rPr>
                <w:sz w:val="18"/>
              </w:rPr>
            </w:pPr>
            <w:r>
              <w:rPr>
                <w:sz w:val="18"/>
              </w:rPr>
              <w:t>$261,995,801.59</w:t>
            </w:r>
          </w:p>
        </w:tc>
        <w:tc>
          <w:tcPr>
            <w:tcW w:w="1661" w:type="dxa"/>
          </w:tcPr>
          <w:p>
            <w:pPr>
              <w:pStyle w:val="TableParagraph"/>
              <w:spacing w:line="207" w:lineRule="exact"/>
              <w:ind w:left="53" w:right="54"/>
              <w:rPr>
                <w:sz w:val="18"/>
              </w:rPr>
            </w:pPr>
            <w:r>
              <w:rPr>
                <w:sz w:val="18"/>
              </w:rPr>
              <w:t>$0.00</w:t>
            </w:r>
          </w:p>
        </w:tc>
        <w:tc>
          <w:tcPr>
            <w:tcW w:w="1702" w:type="dxa"/>
          </w:tcPr>
          <w:p>
            <w:pPr>
              <w:pStyle w:val="TableParagraph"/>
              <w:spacing w:line="207" w:lineRule="exact"/>
              <w:ind w:left="74" w:right="74"/>
              <w:rPr>
                <w:sz w:val="18"/>
              </w:rPr>
            </w:pPr>
            <w:r>
              <w:rPr>
                <w:sz w:val="18"/>
              </w:rPr>
              <w:t>$0.00</w:t>
            </w:r>
          </w:p>
        </w:tc>
        <w:tc>
          <w:tcPr>
            <w:tcW w:w="1982" w:type="dxa"/>
          </w:tcPr>
          <w:p>
            <w:pPr>
              <w:pStyle w:val="TableParagraph"/>
              <w:spacing w:line="207" w:lineRule="exact"/>
              <w:ind w:left="215" w:right="215"/>
              <w:rPr>
                <w:sz w:val="18"/>
              </w:rPr>
            </w:pPr>
            <w:r>
              <w:rPr>
                <w:sz w:val="18"/>
              </w:rPr>
              <w:t>$261,995,801.59</w:t>
            </w:r>
          </w:p>
        </w:tc>
      </w:tr>
      <w:tr>
        <w:trPr>
          <w:trHeight w:val="322" w:hRule="exact"/>
        </w:trPr>
        <w:tc>
          <w:tcPr>
            <w:tcW w:w="1620" w:type="dxa"/>
          </w:tcPr>
          <w:p>
            <w:pPr>
              <w:pStyle w:val="TableParagraph"/>
              <w:spacing w:line="201" w:lineRule="exact"/>
              <w:ind w:left="64" w:right="65"/>
              <w:jc w:val="left"/>
              <w:rPr>
                <w:b/>
                <w:sz w:val="18"/>
              </w:rPr>
            </w:pPr>
            <w:r>
              <w:rPr>
                <w:b/>
                <w:sz w:val="18"/>
              </w:rPr>
              <w:t>ACOLMAN</w:t>
            </w:r>
          </w:p>
        </w:tc>
        <w:tc>
          <w:tcPr>
            <w:tcW w:w="1726" w:type="dxa"/>
          </w:tcPr>
          <w:p>
            <w:pPr>
              <w:pStyle w:val="TableParagraph"/>
              <w:spacing w:line="206" w:lineRule="exact"/>
              <w:ind w:left="85" w:right="86"/>
              <w:rPr>
                <w:sz w:val="18"/>
              </w:rPr>
            </w:pPr>
            <w:r>
              <w:rPr>
                <w:sz w:val="18"/>
              </w:rPr>
              <w:t>$0.00</w:t>
            </w:r>
          </w:p>
        </w:tc>
        <w:tc>
          <w:tcPr>
            <w:tcW w:w="1392" w:type="dxa"/>
          </w:tcPr>
          <w:p>
            <w:pPr>
              <w:pStyle w:val="TableParagraph"/>
              <w:spacing w:line="206" w:lineRule="exact"/>
              <w:ind w:left="45" w:right="44"/>
              <w:rPr>
                <w:sz w:val="18"/>
              </w:rPr>
            </w:pPr>
            <w:r>
              <w:rPr>
                <w:sz w:val="18"/>
              </w:rPr>
              <w:t>$0.00</w:t>
            </w:r>
          </w:p>
        </w:tc>
        <w:tc>
          <w:tcPr>
            <w:tcW w:w="1541" w:type="dxa"/>
          </w:tcPr>
          <w:p>
            <w:pPr>
              <w:pStyle w:val="TableParagraph"/>
              <w:spacing w:line="206" w:lineRule="exact"/>
              <w:ind w:left="519" w:right="520"/>
              <w:rPr>
                <w:sz w:val="18"/>
              </w:rPr>
            </w:pPr>
            <w:r>
              <w:rPr>
                <w:sz w:val="18"/>
              </w:rPr>
              <w:t>$0.00</w:t>
            </w:r>
          </w:p>
        </w:tc>
        <w:tc>
          <w:tcPr>
            <w:tcW w:w="1841" w:type="dxa"/>
          </w:tcPr>
          <w:p>
            <w:pPr>
              <w:pStyle w:val="TableParagraph"/>
              <w:spacing w:line="206" w:lineRule="exact"/>
              <w:ind w:left="144" w:right="145"/>
              <w:rPr>
                <w:sz w:val="18"/>
              </w:rPr>
            </w:pPr>
            <w:r>
              <w:rPr>
                <w:sz w:val="18"/>
              </w:rPr>
              <w:t>$0.00</w:t>
            </w:r>
          </w:p>
        </w:tc>
        <w:tc>
          <w:tcPr>
            <w:tcW w:w="1642" w:type="dxa"/>
          </w:tcPr>
          <w:p>
            <w:pPr>
              <w:pStyle w:val="TableParagraph"/>
              <w:spacing w:line="206" w:lineRule="exact"/>
              <w:ind w:left="44" w:right="43"/>
              <w:rPr>
                <w:sz w:val="18"/>
              </w:rPr>
            </w:pPr>
            <w:r>
              <w:rPr>
                <w:sz w:val="18"/>
              </w:rPr>
              <w:t>$0.00</w:t>
            </w:r>
          </w:p>
        </w:tc>
        <w:tc>
          <w:tcPr>
            <w:tcW w:w="1661" w:type="dxa"/>
          </w:tcPr>
          <w:p>
            <w:pPr>
              <w:pStyle w:val="TableParagraph"/>
              <w:spacing w:line="206" w:lineRule="exact"/>
              <w:ind w:left="53" w:right="54"/>
              <w:rPr>
                <w:sz w:val="18"/>
              </w:rPr>
            </w:pPr>
            <w:r>
              <w:rPr>
                <w:sz w:val="18"/>
              </w:rPr>
              <w:t>$0.00</w:t>
            </w:r>
          </w:p>
        </w:tc>
        <w:tc>
          <w:tcPr>
            <w:tcW w:w="1702" w:type="dxa"/>
          </w:tcPr>
          <w:p>
            <w:pPr>
              <w:pStyle w:val="TableParagraph"/>
              <w:spacing w:line="206" w:lineRule="exact"/>
              <w:ind w:left="74" w:right="74"/>
              <w:rPr>
                <w:sz w:val="18"/>
              </w:rPr>
            </w:pPr>
            <w:r>
              <w:rPr>
                <w:sz w:val="18"/>
              </w:rPr>
              <w:t>$0.00</w:t>
            </w:r>
          </w:p>
        </w:tc>
        <w:tc>
          <w:tcPr>
            <w:tcW w:w="1982" w:type="dxa"/>
          </w:tcPr>
          <w:p>
            <w:pPr>
              <w:pStyle w:val="TableParagraph"/>
              <w:spacing w:line="206" w:lineRule="exact"/>
              <w:ind w:left="215" w:right="214"/>
              <w:rPr>
                <w:sz w:val="18"/>
              </w:rPr>
            </w:pPr>
            <w:r>
              <w:rPr>
                <w:sz w:val="18"/>
              </w:rPr>
              <w:t>$0.00</w:t>
            </w:r>
          </w:p>
        </w:tc>
      </w:tr>
      <w:tr>
        <w:trPr>
          <w:trHeight w:val="319" w:hRule="exact"/>
        </w:trPr>
        <w:tc>
          <w:tcPr>
            <w:tcW w:w="1620" w:type="dxa"/>
          </w:tcPr>
          <w:p>
            <w:pPr>
              <w:pStyle w:val="TableParagraph"/>
              <w:spacing w:line="201" w:lineRule="exact"/>
              <w:ind w:left="64" w:right="65"/>
              <w:jc w:val="left"/>
              <w:rPr>
                <w:b/>
                <w:sz w:val="18"/>
              </w:rPr>
            </w:pPr>
            <w:r>
              <w:rPr>
                <w:b/>
                <w:sz w:val="18"/>
              </w:rPr>
              <w:t>ACULCO</w:t>
            </w:r>
          </w:p>
        </w:tc>
        <w:tc>
          <w:tcPr>
            <w:tcW w:w="1726" w:type="dxa"/>
          </w:tcPr>
          <w:p>
            <w:pPr>
              <w:pStyle w:val="TableParagraph"/>
              <w:spacing w:line="206" w:lineRule="exact"/>
              <w:ind w:left="85" w:right="86"/>
              <w:rPr>
                <w:sz w:val="18"/>
              </w:rPr>
            </w:pPr>
            <w:r>
              <w:rPr>
                <w:sz w:val="18"/>
              </w:rPr>
              <w:t>$0.00</w:t>
            </w:r>
          </w:p>
        </w:tc>
        <w:tc>
          <w:tcPr>
            <w:tcW w:w="1392" w:type="dxa"/>
          </w:tcPr>
          <w:p>
            <w:pPr>
              <w:pStyle w:val="TableParagraph"/>
              <w:spacing w:line="206" w:lineRule="exact"/>
              <w:ind w:left="45" w:right="44"/>
              <w:rPr>
                <w:sz w:val="18"/>
              </w:rPr>
            </w:pPr>
            <w:r>
              <w:rPr>
                <w:sz w:val="18"/>
              </w:rPr>
              <w:t>$0.00</w:t>
            </w:r>
          </w:p>
        </w:tc>
        <w:tc>
          <w:tcPr>
            <w:tcW w:w="1541" w:type="dxa"/>
          </w:tcPr>
          <w:p>
            <w:pPr>
              <w:pStyle w:val="TableParagraph"/>
              <w:spacing w:line="206" w:lineRule="exact"/>
              <w:ind w:left="519" w:right="520"/>
              <w:rPr>
                <w:sz w:val="18"/>
              </w:rPr>
            </w:pPr>
            <w:r>
              <w:rPr>
                <w:sz w:val="18"/>
              </w:rPr>
              <w:t>$0.00</w:t>
            </w:r>
          </w:p>
        </w:tc>
        <w:tc>
          <w:tcPr>
            <w:tcW w:w="1841" w:type="dxa"/>
          </w:tcPr>
          <w:p>
            <w:pPr>
              <w:pStyle w:val="TableParagraph"/>
              <w:spacing w:line="206" w:lineRule="exact"/>
              <w:ind w:left="144" w:right="145"/>
              <w:rPr>
                <w:sz w:val="18"/>
              </w:rPr>
            </w:pPr>
            <w:r>
              <w:rPr>
                <w:sz w:val="18"/>
              </w:rPr>
              <w:t>$0.00</w:t>
            </w:r>
          </w:p>
        </w:tc>
        <w:tc>
          <w:tcPr>
            <w:tcW w:w="1642" w:type="dxa"/>
          </w:tcPr>
          <w:p>
            <w:pPr>
              <w:pStyle w:val="TableParagraph"/>
              <w:spacing w:line="206" w:lineRule="exact"/>
              <w:ind w:left="43" w:right="43"/>
              <w:rPr>
                <w:sz w:val="18"/>
              </w:rPr>
            </w:pPr>
            <w:r>
              <w:rPr>
                <w:sz w:val="18"/>
              </w:rPr>
              <w:t>$221,164,062.58</w:t>
            </w:r>
          </w:p>
        </w:tc>
        <w:tc>
          <w:tcPr>
            <w:tcW w:w="1661" w:type="dxa"/>
          </w:tcPr>
          <w:p>
            <w:pPr>
              <w:pStyle w:val="TableParagraph"/>
              <w:spacing w:line="206" w:lineRule="exact"/>
              <w:ind w:left="52" w:right="54"/>
              <w:rPr>
                <w:sz w:val="18"/>
              </w:rPr>
            </w:pPr>
            <w:r>
              <w:rPr>
                <w:sz w:val="18"/>
              </w:rPr>
              <w:t>$4,050,216.74</w:t>
            </w:r>
          </w:p>
        </w:tc>
        <w:tc>
          <w:tcPr>
            <w:tcW w:w="1702" w:type="dxa"/>
          </w:tcPr>
          <w:p>
            <w:pPr>
              <w:pStyle w:val="TableParagraph"/>
              <w:spacing w:line="206" w:lineRule="exact"/>
              <w:ind w:left="74" w:right="74"/>
              <w:rPr>
                <w:sz w:val="18"/>
              </w:rPr>
            </w:pPr>
            <w:r>
              <w:rPr>
                <w:sz w:val="18"/>
              </w:rPr>
              <w:t>$0.00</w:t>
            </w:r>
          </w:p>
        </w:tc>
        <w:tc>
          <w:tcPr>
            <w:tcW w:w="1982" w:type="dxa"/>
          </w:tcPr>
          <w:p>
            <w:pPr>
              <w:pStyle w:val="TableParagraph"/>
              <w:spacing w:line="206" w:lineRule="exact"/>
              <w:ind w:left="215" w:right="215"/>
              <w:rPr>
                <w:sz w:val="18"/>
              </w:rPr>
            </w:pPr>
            <w:r>
              <w:rPr>
                <w:sz w:val="18"/>
              </w:rPr>
              <w:t>$225,214,279.32</w:t>
            </w:r>
          </w:p>
        </w:tc>
      </w:tr>
      <w:tr>
        <w:trPr>
          <w:trHeight w:val="631" w:hRule="exact"/>
        </w:trPr>
        <w:tc>
          <w:tcPr>
            <w:tcW w:w="1620" w:type="dxa"/>
          </w:tcPr>
          <w:p>
            <w:pPr>
              <w:pStyle w:val="TableParagraph"/>
              <w:spacing w:line="362" w:lineRule="auto"/>
              <w:ind w:left="64" w:right="65"/>
              <w:jc w:val="left"/>
              <w:rPr>
                <w:b/>
                <w:sz w:val="18"/>
              </w:rPr>
            </w:pPr>
            <w:r>
              <w:rPr>
                <w:b/>
                <w:sz w:val="18"/>
              </w:rPr>
              <w:t>ALMOLOYA DE ALQUISIRAS</w:t>
            </w:r>
          </w:p>
        </w:tc>
        <w:tc>
          <w:tcPr>
            <w:tcW w:w="1726" w:type="dxa"/>
          </w:tcPr>
          <w:p>
            <w:pPr>
              <w:pStyle w:val="TableParagraph"/>
              <w:spacing w:before="155"/>
              <w:ind w:left="85" w:right="86"/>
              <w:rPr>
                <w:sz w:val="18"/>
              </w:rPr>
            </w:pPr>
            <w:r>
              <w:rPr>
                <w:sz w:val="18"/>
              </w:rPr>
              <w:t>$0.00</w:t>
            </w:r>
          </w:p>
        </w:tc>
        <w:tc>
          <w:tcPr>
            <w:tcW w:w="1392" w:type="dxa"/>
          </w:tcPr>
          <w:p>
            <w:pPr>
              <w:pStyle w:val="TableParagraph"/>
              <w:spacing w:before="155"/>
              <w:ind w:left="45" w:right="44"/>
              <w:rPr>
                <w:sz w:val="18"/>
              </w:rPr>
            </w:pPr>
            <w:r>
              <w:rPr>
                <w:sz w:val="18"/>
              </w:rPr>
              <w:t>$0.00</w:t>
            </w:r>
          </w:p>
        </w:tc>
        <w:tc>
          <w:tcPr>
            <w:tcW w:w="1541" w:type="dxa"/>
          </w:tcPr>
          <w:p>
            <w:pPr>
              <w:pStyle w:val="TableParagraph"/>
              <w:spacing w:before="155"/>
              <w:ind w:left="519" w:right="520"/>
              <w:rPr>
                <w:sz w:val="18"/>
              </w:rPr>
            </w:pPr>
            <w:r>
              <w:rPr>
                <w:sz w:val="18"/>
              </w:rPr>
              <w:t>$0.00</w:t>
            </w:r>
          </w:p>
        </w:tc>
        <w:tc>
          <w:tcPr>
            <w:tcW w:w="1841" w:type="dxa"/>
          </w:tcPr>
          <w:p>
            <w:pPr>
              <w:pStyle w:val="TableParagraph"/>
              <w:spacing w:before="155"/>
              <w:ind w:left="144" w:right="144"/>
              <w:rPr>
                <w:sz w:val="18"/>
              </w:rPr>
            </w:pPr>
            <w:r>
              <w:rPr>
                <w:sz w:val="18"/>
              </w:rPr>
              <w:t>$0.00</w:t>
            </w:r>
          </w:p>
        </w:tc>
        <w:tc>
          <w:tcPr>
            <w:tcW w:w="1642" w:type="dxa"/>
          </w:tcPr>
          <w:p>
            <w:pPr>
              <w:pStyle w:val="TableParagraph"/>
              <w:spacing w:before="155"/>
              <w:ind w:left="44" w:right="43"/>
              <w:rPr>
                <w:sz w:val="18"/>
              </w:rPr>
            </w:pPr>
            <w:r>
              <w:rPr>
                <w:sz w:val="18"/>
              </w:rPr>
              <w:t>$0.00</w:t>
            </w:r>
          </w:p>
        </w:tc>
        <w:tc>
          <w:tcPr>
            <w:tcW w:w="1661" w:type="dxa"/>
          </w:tcPr>
          <w:p>
            <w:pPr>
              <w:pStyle w:val="TableParagraph"/>
              <w:spacing w:before="155"/>
              <w:ind w:left="53" w:right="54"/>
              <w:rPr>
                <w:sz w:val="18"/>
              </w:rPr>
            </w:pPr>
            <w:r>
              <w:rPr>
                <w:sz w:val="18"/>
              </w:rPr>
              <w:t>$0.00</w:t>
            </w:r>
          </w:p>
        </w:tc>
        <w:tc>
          <w:tcPr>
            <w:tcW w:w="1702" w:type="dxa"/>
          </w:tcPr>
          <w:p>
            <w:pPr>
              <w:pStyle w:val="TableParagraph"/>
              <w:spacing w:before="155"/>
              <w:ind w:left="74" w:right="74"/>
              <w:rPr>
                <w:sz w:val="18"/>
              </w:rPr>
            </w:pPr>
            <w:r>
              <w:rPr>
                <w:sz w:val="18"/>
              </w:rPr>
              <w:t>$0.00</w:t>
            </w:r>
          </w:p>
        </w:tc>
        <w:tc>
          <w:tcPr>
            <w:tcW w:w="1982" w:type="dxa"/>
          </w:tcPr>
          <w:p>
            <w:pPr>
              <w:pStyle w:val="TableParagraph"/>
              <w:spacing w:before="155"/>
              <w:ind w:left="215" w:right="214"/>
              <w:rPr>
                <w:sz w:val="18"/>
              </w:rPr>
            </w:pPr>
            <w:r>
              <w:rPr>
                <w:sz w:val="18"/>
              </w:rPr>
              <w:t>$0.00</w:t>
            </w:r>
          </w:p>
        </w:tc>
      </w:tr>
      <w:tr>
        <w:trPr>
          <w:trHeight w:val="631" w:hRule="exact"/>
        </w:trPr>
        <w:tc>
          <w:tcPr>
            <w:tcW w:w="1620" w:type="dxa"/>
          </w:tcPr>
          <w:p>
            <w:pPr>
              <w:pStyle w:val="TableParagraph"/>
              <w:spacing w:line="362" w:lineRule="auto"/>
              <w:ind w:left="64" w:right="65"/>
              <w:jc w:val="left"/>
              <w:rPr>
                <w:b/>
                <w:sz w:val="18"/>
              </w:rPr>
            </w:pPr>
            <w:r>
              <w:rPr>
                <w:b/>
                <w:sz w:val="18"/>
              </w:rPr>
              <w:t>ALMOLOYA DE JUAREZ</w:t>
            </w:r>
          </w:p>
        </w:tc>
        <w:tc>
          <w:tcPr>
            <w:tcW w:w="1726" w:type="dxa"/>
          </w:tcPr>
          <w:p>
            <w:pPr>
              <w:pStyle w:val="TableParagraph"/>
              <w:spacing w:before="155"/>
              <w:ind w:left="85" w:right="86"/>
              <w:rPr>
                <w:sz w:val="18"/>
              </w:rPr>
            </w:pPr>
            <w:r>
              <w:rPr>
                <w:sz w:val="18"/>
              </w:rPr>
              <w:t>$0.00</w:t>
            </w:r>
          </w:p>
        </w:tc>
        <w:tc>
          <w:tcPr>
            <w:tcW w:w="1392" w:type="dxa"/>
          </w:tcPr>
          <w:p>
            <w:pPr>
              <w:pStyle w:val="TableParagraph"/>
              <w:spacing w:before="155"/>
              <w:ind w:left="45" w:right="44"/>
              <w:rPr>
                <w:sz w:val="18"/>
              </w:rPr>
            </w:pPr>
            <w:r>
              <w:rPr>
                <w:sz w:val="18"/>
              </w:rPr>
              <w:t>$0.00</w:t>
            </w:r>
          </w:p>
        </w:tc>
        <w:tc>
          <w:tcPr>
            <w:tcW w:w="1541" w:type="dxa"/>
          </w:tcPr>
          <w:p>
            <w:pPr>
              <w:pStyle w:val="TableParagraph"/>
              <w:spacing w:before="155"/>
              <w:ind w:left="519" w:right="520"/>
              <w:rPr>
                <w:sz w:val="18"/>
              </w:rPr>
            </w:pPr>
            <w:r>
              <w:rPr>
                <w:sz w:val="18"/>
              </w:rPr>
              <w:t>$0.00</w:t>
            </w:r>
          </w:p>
        </w:tc>
        <w:tc>
          <w:tcPr>
            <w:tcW w:w="1841" w:type="dxa"/>
          </w:tcPr>
          <w:p>
            <w:pPr>
              <w:pStyle w:val="TableParagraph"/>
              <w:spacing w:before="155"/>
              <w:ind w:left="144" w:right="145"/>
              <w:rPr>
                <w:sz w:val="18"/>
              </w:rPr>
            </w:pPr>
            <w:r>
              <w:rPr>
                <w:sz w:val="18"/>
              </w:rPr>
              <w:t>$0.00</w:t>
            </w:r>
          </w:p>
        </w:tc>
        <w:tc>
          <w:tcPr>
            <w:tcW w:w="1642" w:type="dxa"/>
          </w:tcPr>
          <w:p>
            <w:pPr>
              <w:pStyle w:val="TableParagraph"/>
              <w:spacing w:before="155"/>
              <w:ind w:left="43" w:right="43"/>
              <w:rPr>
                <w:sz w:val="18"/>
              </w:rPr>
            </w:pPr>
            <w:r>
              <w:rPr>
                <w:sz w:val="18"/>
              </w:rPr>
              <w:t>$393,996,938.65</w:t>
            </w:r>
          </w:p>
        </w:tc>
        <w:tc>
          <w:tcPr>
            <w:tcW w:w="1661" w:type="dxa"/>
          </w:tcPr>
          <w:p>
            <w:pPr>
              <w:pStyle w:val="TableParagraph"/>
              <w:spacing w:before="155"/>
              <w:ind w:left="53" w:right="54"/>
              <w:rPr>
                <w:sz w:val="18"/>
              </w:rPr>
            </w:pPr>
            <w:r>
              <w:rPr>
                <w:sz w:val="18"/>
              </w:rPr>
              <w:t>$0.00</w:t>
            </w:r>
          </w:p>
        </w:tc>
        <w:tc>
          <w:tcPr>
            <w:tcW w:w="1702" w:type="dxa"/>
          </w:tcPr>
          <w:p>
            <w:pPr>
              <w:pStyle w:val="TableParagraph"/>
              <w:spacing w:before="155"/>
              <w:ind w:left="74" w:right="74"/>
              <w:rPr>
                <w:sz w:val="18"/>
              </w:rPr>
            </w:pPr>
            <w:r>
              <w:rPr>
                <w:sz w:val="18"/>
              </w:rPr>
              <w:t>$0.00</w:t>
            </w:r>
          </w:p>
        </w:tc>
        <w:tc>
          <w:tcPr>
            <w:tcW w:w="1982" w:type="dxa"/>
          </w:tcPr>
          <w:p>
            <w:pPr>
              <w:pStyle w:val="TableParagraph"/>
              <w:spacing w:before="155"/>
              <w:ind w:left="215" w:right="215"/>
              <w:rPr>
                <w:sz w:val="18"/>
              </w:rPr>
            </w:pPr>
            <w:r>
              <w:rPr>
                <w:sz w:val="18"/>
              </w:rPr>
              <w:t>$393,996,938.65</w:t>
            </w:r>
          </w:p>
        </w:tc>
      </w:tr>
      <w:tr>
        <w:trPr>
          <w:trHeight w:val="632" w:hRule="exact"/>
        </w:trPr>
        <w:tc>
          <w:tcPr>
            <w:tcW w:w="1620" w:type="dxa"/>
          </w:tcPr>
          <w:p>
            <w:pPr>
              <w:pStyle w:val="TableParagraph"/>
              <w:spacing w:line="362" w:lineRule="auto"/>
              <w:ind w:left="64" w:right="65"/>
              <w:jc w:val="left"/>
              <w:rPr>
                <w:b/>
                <w:sz w:val="18"/>
              </w:rPr>
            </w:pPr>
            <w:r>
              <w:rPr>
                <w:b/>
                <w:sz w:val="18"/>
              </w:rPr>
              <w:t>ALMOLOYA DEL RIO</w:t>
            </w:r>
          </w:p>
        </w:tc>
        <w:tc>
          <w:tcPr>
            <w:tcW w:w="1726" w:type="dxa"/>
          </w:tcPr>
          <w:p>
            <w:pPr>
              <w:pStyle w:val="TableParagraph"/>
              <w:spacing w:before="155"/>
              <w:ind w:left="85" w:right="86"/>
              <w:rPr>
                <w:sz w:val="18"/>
              </w:rPr>
            </w:pPr>
            <w:r>
              <w:rPr>
                <w:sz w:val="18"/>
              </w:rPr>
              <w:t>$0.00</w:t>
            </w:r>
          </w:p>
        </w:tc>
        <w:tc>
          <w:tcPr>
            <w:tcW w:w="1392" w:type="dxa"/>
          </w:tcPr>
          <w:p>
            <w:pPr>
              <w:pStyle w:val="TableParagraph"/>
              <w:spacing w:before="155"/>
              <w:ind w:left="45" w:right="44"/>
              <w:rPr>
                <w:sz w:val="18"/>
              </w:rPr>
            </w:pPr>
            <w:r>
              <w:rPr>
                <w:sz w:val="18"/>
              </w:rPr>
              <w:t>$0.00</w:t>
            </w:r>
          </w:p>
        </w:tc>
        <w:tc>
          <w:tcPr>
            <w:tcW w:w="1541" w:type="dxa"/>
          </w:tcPr>
          <w:p>
            <w:pPr>
              <w:pStyle w:val="TableParagraph"/>
              <w:spacing w:before="155"/>
              <w:ind w:left="519" w:right="520"/>
              <w:rPr>
                <w:sz w:val="18"/>
              </w:rPr>
            </w:pPr>
            <w:r>
              <w:rPr>
                <w:sz w:val="18"/>
              </w:rPr>
              <w:t>$0.00</w:t>
            </w:r>
          </w:p>
        </w:tc>
        <w:tc>
          <w:tcPr>
            <w:tcW w:w="1841" w:type="dxa"/>
          </w:tcPr>
          <w:p>
            <w:pPr>
              <w:pStyle w:val="TableParagraph"/>
              <w:spacing w:before="155"/>
              <w:ind w:left="144" w:right="145"/>
              <w:rPr>
                <w:sz w:val="18"/>
              </w:rPr>
            </w:pPr>
            <w:r>
              <w:rPr>
                <w:sz w:val="18"/>
              </w:rPr>
              <w:t>$0.00</w:t>
            </w:r>
          </w:p>
        </w:tc>
        <w:tc>
          <w:tcPr>
            <w:tcW w:w="1642" w:type="dxa"/>
          </w:tcPr>
          <w:p>
            <w:pPr>
              <w:pStyle w:val="TableParagraph"/>
              <w:spacing w:before="155"/>
              <w:ind w:left="44" w:right="43"/>
              <w:rPr>
                <w:sz w:val="18"/>
              </w:rPr>
            </w:pPr>
            <w:r>
              <w:rPr>
                <w:sz w:val="18"/>
              </w:rPr>
              <w:t>$0.00</w:t>
            </w:r>
          </w:p>
        </w:tc>
        <w:tc>
          <w:tcPr>
            <w:tcW w:w="1661" w:type="dxa"/>
          </w:tcPr>
          <w:p>
            <w:pPr>
              <w:pStyle w:val="TableParagraph"/>
              <w:spacing w:before="155"/>
              <w:ind w:left="53" w:right="54"/>
              <w:rPr>
                <w:sz w:val="18"/>
              </w:rPr>
            </w:pPr>
            <w:r>
              <w:rPr>
                <w:sz w:val="18"/>
              </w:rPr>
              <w:t>$0.00</w:t>
            </w:r>
          </w:p>
        </w:tc>
        <w:tc>
          <w:tcPr>
            <w:tcW w:w="1702" w:type="dxa"/>
          </w:tcPr>
          <w:p>
            <w:pPr>
              <w:pStyle w:val="TableParagraph"/>
              <w:spacing w:before="155"/>
              <w:ind w:left="74" w:right="74"/>
              <w:rPr>
                <w:sz w:val="18"/>
              </w:rPr>
            </w:pPr>
            <w:r>
              <w:rPr>
                <w:sz w:val="18"/>
              </w:rPr>
              <w:t>$0.00</w:t>
            </w:r>
          </w:p>
        </w:tc>
        <w:tc>
          <w:tcPr>
            <w:tcW w:w="1982" w:type="dxa"/>
          </w:tcPr>
          <w:p>
            <w:pPr>
              <w:pStyle w:val="TableParagraph"/>
              <w:spacing w:before="155"/>
              <w:ind w:left="215" w:right="214"/>
              <w:rPr>
                <w:sz w:val="18"/>
              </w:rPr>
            </w:pPr>
            <w:r>
              <w:rPr>
                <w:sz w:val="18"/>
              </w:rPr>
              <w:t>$0.00</w:t>
            </w:r>
          </w:p>
        </w:tc>
      </w:tr>
      <w:tr>
        <w:trPr>
          <w:trHeight w:val="319" w:hRule="exact"/>
        </w:trPr>
        <w:tc>
          <w:tcPr>
            <w:tcW w:w="1620" w:type="dxa"/>
          </w:tcPr>
          <w:p>
            <w:pPr>
              <w:pStyle w:val="TableParagraph"/>
              <w:spacing w:line="201" w:lineRule="exact"/>
              <w:ind w:left="64" w:right="65"/>
              <w:jc w:val="left"/>
              <w:rPr>
                <w:b/>
                <w:sz w:val="18"/>
              </w:rPr>
            </w:pPr>
            <w:r>
              <w:rPr>
                <w:b/>
                <w:sz w:val="18"/>
              </w:rPr>
              <w:t>AMANALCO</w:t>
            </w:r>
          </w:p>
        </w:tc>
        <w:tc>
          <w:tcPr>
            <w:tcW w:w="1726" w:type="dxa"/>
          </w:tcPr>
          <w:p>
            <w:pPr>
              <w:pStyle w:val="TableParagraph"/>
              <w:spacing w:line="206" w:lineRule="exact"/>
              <w:ind w:left="85" w:right="86"/>
              <w:rPr>
                <w:sz w:val="18"/>
              </w:rPr>
            </w:pPr>
            <w:r>
              <w:rPr>
                <w:sz w:val="18"/>
              </w:rPr>
              <w:t>$0.00</w:t>
            </w:r>
          </w:p>
        </w:tc>
        <w:tc>
          <w:tcPr>
            <w:tcW w:w="1392" w:type="dxa"/>
          </w:tcPr>
          <w:p>
            <w:pPr>
              <w:pStyle w:val="TableParagraph"/>
              <w:spacing w:line="206" w:lineRule="exact"/>
              <w:ind w:left="45" w:right="44"/>
              <w:rPr>
                <w:sz w:val="18"/>
              </w:rPr>
            </w:pPr>
            <w:r>
              <w:rPr>
                <w:sz w:val="18"/>
              </w:rPr>
              <w:t>$0.00</w:t>
            </w:r>
          </w:p>
        </w:tc>
        <w:tc>
          <w:tcPr>
            <w:tcW w:w="1541" w:type="dxa"/>
          </w:tcPr>
          <w:p>
            <w:pPr>
              <w:pStyle w:val="TableParagraph"/>
              <w:spacing w:line="206" w:lineRule="exact"/>
              <w:ind w:left="519" w:right="520"/>
              <w:rPr>
                <w:sz w:val="18"/>
              </w:rPr>
            </w:pPr>
            <w:r>
              <w:rPr>
                <w:sz w:val="18"/>
              </w:rPr>
              <w:t>$0.00</w:t>
            </w:r>
          </w:p>
        </w:tc>
        <w:tc>
          <w:tcPr>
            <w:tcW w:w="1841" w:type="dxa"/>
          </w:tcPr>
          <w:p>
            <w:pPr>
              <w:pStyle w:val="TableParagraph"/>
              <w:spacing w:line="206" w:lineRule="exact"/>
              <w:ind w:left="144" w:right="145"/>
              <w:rPr>
                <w:sz w:val="18"/>
              </w:rPr>
            </w:pPr>
            <w:r>
              <w:rPr>
                <w:sz w:val="18"/>
              </w:rPr>
              <w:t>$0.00</w:t>
            </w:r>
          </w:p>
        </w:tc>
        <w:tc>
          <w:tcPr>
            <w:tcW w:w="1642" w:type="dxa"/>
          </w:tcPr>
          <w:p>
            <w:pPr>
              <w:pStyle w:val="TableParagraph"/>
              <w:spacing w:line="206" w:lineRule="exact"/>
              <w:ind w:left="43" w:right="43"/>
              <w:rPr>
                <w:sz w:val="18"/>
              </w:rPr>
            </w:pPr>
            <w:r>
              <w:rPr>
                <w:sz w:val="18"/>
              </w:rPr>
              <w:t>$138,286,332.05</w:t>
            </w:r>
          </w:p>
        </w:tc>
        <w:tc>
          <w:tcPr>
            <w:tcW w:w="1661" w:type="dxa"/>
          </w:tcPr>
          <w:p>
            <w:pPr>
              <w:pStyle w:val="TableParagraph"/>
              <w:spacing w:line="206" w:lineRule="exact"/>
              <w:ind w:left="53" w:right="54"/>
              <w:rPr>
                <w:sz w:val="18"/>
              </w:rPr>
            </w:pPr>
            <w:r>
              <w:rPr>
                <w:sz w:val="18"/>
              </w:rPr>
              <w:t>$20,551,886.78</w:t>
            </w:r>
          </w:p>
        </w:tc>
        <w:tc>
          <w:tcPr>
            <w:tcW w:w="1702" w:type="dxa"/>
          </w:tcPr>
          <w:p>
            <w:pPr>
              <w:pStyle w:val="TableParagraph"/>
              <w:spacing w:line="206" w:lineRule="exact"/>
              <w:ind w:left="73" w:right="74"/>
              <w:rPr>
                <w:sz w:val="18"/>
              </w:rPr>
            </w:pPr>
            <w:r>
              <w:rPr>
                <w:sz w:val="18"/>
              </w:rPr>
              <w:t>$159,048,051.55</w:t>
            </w:r>
          </w:p>
        </w:tc>
        <w:tc>
          <w:tcPr>
            <w:tcW w:w="1982" w:type="dxa"/>
          </w:tcPr>
          <w:p>
            <w:pPr>
              <w:pStyle w:val="TableParagraph"/>
              <w:spacing w:line="206" w:lineRule="exact"/>
              <w:ind w:left="215" w:right="215"/>
              <w:rPr>
                <w:sz w:val="18"/>
              </w:rPr>
            </w:pPr>
            <w:r>
              <w:rPr>
                <w:sz w:val="18"/>
              </w:rPr>
              <w:t>$209,832.72</w:t>
            </w:r>
          </w:p>
        </w:tc>
      </w:tr>
      <w:tr>
        <w:trPr>
          <w:trHeight w:val="322" w:hRule="exact"/>
        </w:trPr>
        <w:tc>
          <w:tcPr>
            <w:tcW w:w="1620" w:type="dxa"/>
          </w:tcPr>
          <w:p>
            <w:pPr>
              <w:pStyle w:val="TableParagraph"/>
              <w:spacing w:line="204" w:lineRule="exact"/>
              <w:ind w:left="64" w:right="65"/>
              <w:jc w:val="left"/>
              <w:rPr>
                <w:b/>
                <w:sz w:val="18"/>
              </w:rPr>
            </w:pPr>
            <w:r>
              <w:rPr>
                <w:b/>
                <w:sz w:val="18"/>
              </w:rPr>
              <w:t>AMATEPEC</w:t>
            </w:r>
          </w:p>
        </w:tc>
        <w:tc>
          <w:tcPr>
            <w:tcW w:w="1726" w:type="dxa"/>
          </w:tcPr>
          <w:p>
            <w:pPr>
              <w:pStyle w:val="TableParagraph"/>
              <w:spacing w:before="1"/>
              <w:ind w:left="85" w:right="86"/>
              <w:rPr>
                <w:sz w:val="18"/>
              </w:rPr>
            </w:pPr>
            <w:r>
              <w:rPr>
                <w:sz w:val="18"/>
              </w:rPr>
              <w:t>$0.00</w:t>
            </w:r>
          </w:p>
        </w:tc>
        <w:tc>
          <w:tcPr>
            <w:tcW w:w="1392" w:type="dxa"/>
          </w:tcPr>
          <w:p>
            <w:pPr>
              <w:pStyle w:val="TableParagraph"/>
              <w:spacing w:before="1"/>
              <w:ind w:left="45" w:right="44"/>
              <w:rPr>
                <w:sz w:val="18"/>
              </w:rPr>
            </w:pPr>
            <w:r>
              <w:rPr>
                <w:sz w:val="18"/>
              </w:rPr>
              <w:t>$0.00</w:t>
            </w:r>
          </w:p>
        </w:tc>
        <w:tc>
          <w:tcPr>
            <w:tcW w:w="1541" w:type="dxa"/>
          </w:tcPr>
          <w:p>
            <w:pPr>
              <w:pStyle w:val="TableParagraph"/>
              <w:spacing w:before="1"/>
              <w:ind w:left="519" w:right="520"/>
              <w:rPr>
                <w:sz w:val="18"/>
              </w:rPr>
            </w:pPr>
            <w:r>
              <w:rPr>
                <w:sz w:val="18"/>
              </w:rPr>
              <w:t>$0.00</w:t>
            </w:r>
          </w:p>
        </w:tc>
        <w:tc>
          <w:tcPr>
            <w:tcW w:w="1841" w:type="dxa"/>
          </w:tcPr>
          <w:p>
            <w:pPr>
              <w:pStyle w:val="TableParagraph"/>
              <w:spacing w:before="1"/>
              <w:ind w:left="144" w:right="145"/>
              <w:rPr>
                <w:sz w:val="18"/>
              </w:rPr>
            </w:pPr>
            <w:r>
              <w:rPr>
                <w:sz w:val="18"/>
              </w:rPr>
              <w:t>$0.00</w:t>
            </w:r>
          </w:p>
        </w:tc>
        <w:tc>
          <w:tcPr>
            <w:tcW w:w="1642" w:type="dxa"/>
          </w:tcPr>
          <w:p>
            <w:pPr>
              <w:pStyle w:val="TableParagraph"/>
              <w:spacing w:before="1"/>
              <w:ind w:left="44" w:right="43"/>
              <w:rPr>
                <w:sz w:val="18"/>
              </w:rPr>
            </w:pPr>
            <w:r>
              <w:rPr>
                <w:sz w:val="18"/>
              </w:rPr>
              <w:t>$0.00</w:t>
            </w:r>
          </w:p>
        </w:tc>
        <w:tc>
          <w:tcPr>
            <w:tcW w:w="1661" w:type="dxa"/>
          </w:tcPr>
          <w:p>
            <w:pPr>
              <w:pStyle w:val="TableParagraph"/>
              <w:spacing w:before="1"/>
              <w:ind w:left="53" w:right="54"/>
              <w:rPr>
                <w:sz w:val="18"/>
              </w:rPr>
            </w:pPr>
            <w:r>
              <w:rPr>
                <w:sz w:val="18"/>
              </w:rPr>
              <w:t>$0.00</w:t>
            </w:r>
          </w:p>
        </w:tc>
        <w:tc>
          <w:tcPr>
            <w:tcW w:w="1702" w:type="dxa"/>
          </w:tcPr>
          <w:p>
            <w:pPr>
              <w:pStyle w:val="TableParagraph"/>
              <w:spacing w:before="1"/>
              <w:ind w:left="74" w:right="74"/>
              <w:rPr>
                <w:sz w:val="18"/>
              </w:rPr>
            </w:pPr>
            <w:r>
              <w:rPr>
                <w:sz w:val="18"/>
              </w:rPr>
              <w:t>$0.00</w:t>
            </w:r>
          </w:p>
        </w:tc>
        <w:tc>
          <w:tcPr>
            <w:tcW w:w="1982" w:type="dxa"/>
          </w:tcPr>
          <w:p>
            <w:pPr>
              <w:pStyle w:val="TableParagraph"/>
              <w:spacing w:before="1"/>
              <w:ind w:left="215" w:right="214"/>
              <w:rPr>
                <w:sz w:val="18"/>
              </w:rPr>
            </w:pPr>
            <w:r>
              <w:rPr>
                <w:sz w:val="18"/>
              </w:rPr>
              <w:t>$0.00</w:t>
            </w:r>
          </w:p>
        </w:tc>
      </w:tr>
      <w:tr>
        <w:trPr>
          <w:trHeight w:val="461" w:hRule="exact"/>
        </w:trPr>
        <w:tc>
          <w:tcPr>
            <w:tcW w:w="1620" w:type="dxa"/>
          </w:tcPr>
          <w:p>
            <w:pPr>
              <w:pStyle w:val="TableParagraph"/>
              <w:spacing w:before="64"/>
              <w:ind w:left="64" w:right="65"/>
              <w:jc w:val="left"/>
              <w:rPr>
                <w:b/>
                <w:sz w:val="18"/>
              </w:rPr>
            </w:pPr>
            <w:r>
              <w:rPr>
                <w:b/>
                <w:sz w:val="18"/>
              </w:rPr>
              <w:t>AMECAMECA</w:t>
            </w:r>
          </w:p>
        </w:tc>
        <w:tc>
          <w:tcPr>
            <w:tcW w:w="1726" w:type="dxa"/>
          </w:tcPr>
          <w:p>
            <w:pPr>
              <w:pStyle w:val="TableParagraph"/>
              <w:spacing w:before="68"/>
              <w:ind w:left="85" w:right="86"/>
              <w:rPr>
                <w:sz w:val="18"/>
              </w:rPr>
            </w:pPr>
            <w:r>
              <w:rPr>
                <w:sz w:val="18"/>
              </w:rPr>
              <w:t>$0.00</w:t>
            </w:r>
          </w:p>
        </w:tc>
        <w:tc>
          <w:tcPr>
            <w:tcW w:w="1392" w:type="dxa"/>
          </w:tcPr>
          <w:p>
            <w:pPr>
              <w:pStyle w:val="TableParagraph"/>
              <w:spacing w:before="68"/>
              <w:ind w:left="45" w:right="44"/>
              <w:rPr>
                <w:sz w:val="18"/>
              </w:rPr>
            </w:pPr>
            <w:r>
              <w:rPr>
                <w:sz w:val="18"/>
              </w:rPr>
              <w:t>$0.00</w:t>
            </w:r>
          </w:p>
        </w:tc>
        <w:tc>
          <w:tcPr>
            <w:tcW w:w="1541" w:type="dxa"/>
          </w:tcPr>
          <w:p>
            <w:pPr>
              <w:pStyle w:val="TableParagraph"/>
              <w:spacing w:before="68"/>
              <w:ind w:left="519" w:right="520"/>
              <w:rPr>
                <w:sz w:val="18"/>
              </w:rPr>
            </w:pPr>
            <w:r>
              <w:rPr>
                <w:sz w:val="18"/>
              </w:rPr>
              <w:t>$0.00</w:t>
            </w:r>
          </w:p>
        </w:tc>
        <w:tc>
          <w:tcPr>
            <w:tcW w:w="1841" w:type="dxa"/>
          </w:tcPr>
          <w:p>
            <w:pPr>
              <w:pStyle w:val="TableParagraph"/>
              <w:spacing w:before="68"/>
              <w:ind w:left="144" w:right="145"/>
              <w:rPr>
                <w:sz w:val="18"/>
              </w:rPr>
            </w:pPr>
            <w:r>
              <w:rPr>
                <w:sz w:val="18"/>
              </w:rPr>
              <w:t>$0.00</w:t>
            </w:r>
          </w:p>
        </w:tc>
        <w:tc>
          <w:tcPr>
            <w:tcW w:w="1642" w:type="dxa"/>
          </w:tcPr>
          <w:p>
            <w:pPr>
              <w:pStyle w:val="TableParagraph"/>
              <w:spacing w:before="68"/>
              <w:ind w:left="44" w:right="43"/>
              <w:rPr>
                <w:sz w:val="18"/>
              </w:rPr>
            </w:pPr>
            <w:r>
              <w:rPr>
                <w:sz w:val="18"/>
              </w:rPr>
              <w:t>$0.00</w:t>
            </w:r>
          </w:p>
        </w:tc>
        <w:tc>
          <w:tcPr>
            <w:tcW w:w="1661" w:type="dxa"/>
          </w:tcPr>
          <w:p>
            <w:pPr>
              <w:pStyle w:val="TableParagraph"/>
              <w:spacing w:before="68"/>
              <w:ind w:left="53" w:right="54"/>
              <w:rPr>
                <w:sz w:val="18"/>
              </w:rPr>
            </w:pPr>
            <w:r>
              <w:rPr>
                <w:sz w:val="18"/>
              </w:rPr>
              <w:t>$0.00</w:t>
            </w:r>
          </w:p>
        </w:tc>
        <w:tc>
          <w:tcPr>
            <w:tcW w:w="1702" w:type="dxa"/>
          </w:tcPr>
          <w:p>
            <w:pPr>
              <w:pStyle w:val="TableParagraph"/>
              <w:spacing w:before="68"/>
              <w:ind w:left="74" w:right="74"/>
              <w:rPr>
                <w:sz w:val="18"/>
              </w:rPr>
            </w:pPr>
            <w:r>
              <w:rPr>
                <w:sz w:val="18"/>
              </w:rPr>
              <w:t>$0.00</w:t>
            </w:r>
          </w:p>
        </w:tc>
        <w:tc>
          <w:tcPr>
            <w:tcW w:w="1982" w:type="dxa"/>
          </w:tcPr>
          <w:p>
            <w:pPr>
              <w:pStyle w:val="TableParagraph"/>
              <w:spacing w:before="68"/>
              <w:ind w:left="215" w:right="214"/>
              <w:rPr>
                <w:sz w:val="18"/>
              </w:rPr>
            </w:pPr>
            <w:r>
              <w:rPr>
                <w:sz w:val="18"/>
              </w:rPr>
              <w:t>$0.00</w:t>
            </w:r>
          </w:p>
        </w:tc>
      </w:tr>
      <w:tr>
        <w:trPr>
          <w:trHeight w:val="319" w:hRule="exact"/>
        </w:trPr>
        <w:tc>
          <w:tcPr>
            <w:tcW w:w="1620" w:type="dxa"/>
          </w:tcPr>
          <w:p>
            <w:pPr>
              <w:pStyle w:val="TableParagraph"/>
              <w:spacing w:line="201" w:lineRule="exact"/>
              <w:ind w:left="64" w:right="65"/>
              <w:jc w:val="left"/>
              <w:rPr>
                <w:b/>
                <w:sz w:val="18"/>
              </w:rPr>
            </w:pPr>
            <w:r>
              <w:rPr>
                <w:b/>
                <w:sz w:val="18"/>
              </w:rPr>
              <w:t>APAXCO</w:t>
            </w:r>
          </w:p>
        </w:tc>
        <w:tc>
          <w:tcPr>
            <w:tcW w:w="1726" w:type="dxa"/>
          </w:tcPr>
          <w:p>
            <w:pPr>
              <w:pStyle w:val="TableParagraph"/>
              <w:spacing w:line="206" w:lineRule="exact"/>
              <w:ind w:left="85" w:right="86"/>
              <w:rPr>
                <w:sz w:val="18"/>
              </w:rPr>
            </w:pPr>
            <w:r>
              <w:rPr>
                <w:sz w:val="18"/>
              </w:rPr>
              <w:t>$0.00</w:t>
            </w:r>
          </w:p>
        </w:tc>
        <w:tc>
          <w:tcPr>
            <w:tcW w:w="1392" w:type="dxa"/>
          </w:tcPr>
          <w:p>
            <w:pPr>
              <w:pStyle w:val="TableParagraph"/>
              <w:spacing w:line="206" w:lineRule="exact"/>
              <w:ind w:left="45" w:right="44"/>
              <w:rPr>
                <w:sz w:val="18"/>
              </w:rPr>
            </w:pPr>
            <w:r>
              <w:rPr>
                <w:sz w:val="18"/>
              </w:rPr>
              <w:t>$0.00</w:t>
            </w:r>
          </w:p>
        </w:tc>
        <w:tc>
          <w:tcPr>
            <w:tcW w:w="1541" w:type="dxa"/>
          </w:tcPr>
          <w:p>
            <w:pPr>
              <w:pStyle w:val="TableParagraph"/>
              <w:spacing w:line="206" w:lineRule="exact"/>
              <w:ind w:left="519" w:right="520"/>
              <w:rPr>
                <w:sz w:val="18"/>
              </w:rPr>
            </w:pPr>
            <w:r>
              <w:rPr>
                <w:sz w:val="18"/>
              </w:rPr>
              <w:t>$0.00</w:t>
            </w:r>
          </w:p>
        </w:tc>
        <w:tc>
          <w:tcPr>
            <w:tcW w:w="1841" w:type="dxa"/>
          </w:tcPr>
          <w:p>
            <w:pPr>
              <w:pStyle w:val="TableParagraph"/>
              <w:spacing w:line="206" w:lineRule="exact"/>
              <w:ind w:left="144" w:right="145"/>
              <w:rPr>
                <w:sz w:val="18"/>
              </w:rPr>
            </w:pPr>
            <w:r>
              <w:rPr>
                <w:sz w:val="18"/>
              </w:rPr>
              <w:t>$0.00</w:t>
            </w:r>
          </w:p>
        </w:tc>
        <w:tc>
          <w:tcPr>
            <w:tcW w:w="1642" w:type="dxa"/>
          </w:tcPr>
          <w:p>
            <w:pPr>
              <w:pStyle w:val="TableParagraph"/>
              <w:spacing w:line="206" w:lineRule="exact"/>
              <w:ind w:left="44" w:right="43"/>
              <w:rPr>
                <w:sz w:val="18"/>
              </w:rPr>
            </w:pPr>
            <w:r>
              <w:rPr>
                <w:sz w:val="18"/>
              </w:rPr>
              <w:t>$0.00</w:t>
            </w:r>
          </w:p>
        </w:tc>
        <w:tc>
          <w:tcPr>
            <w:tcW w:w="1661" w:type="dxa"/>
          </w:tcPr>
          <w:p>
            <w:pPr>
              <w:pStyle w:val="TableParagraph"/>
              <w:spacing w:line="206" w:lineRule="exact"/>
              <w:ind w:left="53" w:right="54"/>
              <w:rPr>
                <w:sz w:val="18"/>
              </w:rPr>
            </w:pPr>
            <w:r>
              <w:rPr>
                <w:sz w:val="18"/>
              </w:rPr>
              <w:t>$0.00</w:t>
            </w:r>
          </w:p>
        </w:tc>
        <w:tc>
          <w:tcPr>
            <w:tcW w:w="1702" w:type="dxa"/>
          </w:tcPr>
          <w:p>
            <w:pPr>
              <w:pStyle w:val="TableParagraph"/>
              <w:spacing w:line="206" w:lineRule="exact"/>
              <w:ind w:left="74" w:right="74"/>
              <w:rPr>
                <w:sz w:val="18"/>
              </w:rPr>
            </w:pPr>
            <w:r>
              <w:rPr>
                <w:sz w:val="18"/>
              </w:rPr>
              <w:t>$0.00</w:t>
            </w:r>
          </w:p>
        </w:tc>
        <w:tc>
          <w:tcPr>
            <w:tcW w:w="1982" w:type="dxa"/>
          </w:tcPr>
          <w:p>
            <w:pPr>
              <w:pStyle w:val="TableParagraph"/>
              <w:spacing w:line="206" w:lineRule="exact"/>
              <w:ind w:left="215" w:right="214"/>
              <w:rPr>
                <w:sz w:val="18"/>
              </w:rPr>
            </w:pPr>
            <w:r>
              <w:rPr>
                <w:sz w:val="18"/>
              </w:rPr>
              <w:t>$0.00</w:t>
            </w:r>
          </w:p>
        </w:tc>
      </w:tr>
      <w:tr>
        <w:trPr>
          <w:trHeight w:val="322" w:hRule="exact"/>
        </w:trPr>
        <w:tc>
          <w:tcPr>
            <w:tcW w:w="1620" w:type="dxa"/>
          </w:tcPr>
          <w:p>
            <w:pPr>
              <w:pStyle w:val="TableParagraph"/>
              <w:spacing w:line="201" w:lineRule="exact"/>
              <w:ind w:left="64" w:right="65"/>
              <w:jc w:val="left"/>
              <w:rPr>
                <w:b/>
                <w:sz w:val="18"/>
              </w:rPr>
            </w:pPr>
            <w:r>
              <w:rPr>
                <w:b/>
                <w:sz w:val="18"/>
              </w:rPr>
              <w:t>ATENCO</w:t>
            </w:r>
          </w:p>
        </w:tc>
        <w:tc>
          <w:tcPr>
            <w:tcW w:w="1726" w:type="dxa"/>
          </w:tcPr>
          <w:p>
            <w:pPr>
              <w:pStyle w:val="TableParagraph"/>
              <w:spacing w:line="206" w:lineRule="exact"/>
              <w:ind w:left="85" w:right="86"/>
              <w:rPr>
                <w:sz w:val="18"/>
              </w:rPr>
            </w:pPr>
            <w:r>
              <w:rPr>
                <w:sz w:val="18"/>
              </w:rPr>
              <w:t>$0.00</w:t>
            </w:r>
          </w:p>
        </w:tc>
        <w:tc>
          <w:tcPr>
            <w:tcW w:w="1392" w:type="dxa"/>
          </w:tcPr>
          <w:p>
            <w:pPr>
              <w:pStyle w:val="TableParagraph"/>
              <w:spacing w:line="206" w:lineRule="exact"/>
              <w:ind w:left="45" w:right="44"/>
              <w:rPr>
                <w:sz w:val="18"/>
              </w:rPr>
            </w:pPr>
            <w:r>
              <w:rPr>
                <w:sz w:val="18"/>
              </w:rPr>
              <w:t>$0.00</w:t>
            </w:r>
          </w:p>
        </w:tc>
        <w:tc>
          <w:tcPr>
            <w:tcW w:w="1541" w:type="dxa"/>
          </w:tcPr>
          <w:p>
            <w:pPr>
              <w:pStyle w:val="TableParagraph"/>
              <w:spacing w:line="206" w:lineRule="exact"/>
              <w:ind w:left="519" w:right="520"/>
              <w:rPr>
                <w:sz w:val="18"/>
              </w:rPr>
            </w:pPr>
            <w:r>
              <w:rPr>
                <w:sz w:val="18"/>
              </w:rPr>
              <w:t>$0.00</w:t>
            </w:r>
          </w:p>
        </w:tc>
        <w:tc>
          <w:tcPr>
            <w:tcW w:w="1841" w:type="dxa"/>
          </w:tcPr>
          <w:p>
            <w:pPr>
              <w:pStyle w:val="TableParagraph"/>
              <w:spacing w:line="206" w:lineRule="exact"/>
              <w:ind w:left="144" w:right="145"/>
              <w:rPr>
                <w:sz w:val="18"/>
              </w:rPr>
            </w:pPr>
            <w:r>
              <w:rPr>
                <w:sz w:val="18"/>
              </w:rPr>
              <w:t>$0.00</w:t>
            </w:r>
          </w:p>
        </w:tc>
        <w:tc>
          <w:tcPr>
            <w:tcW w:w="1642" w:type="dxa"/>
          </w:tcPr>
          <w:p>
            <w:pPr>
              <w:pStyle w:val="TableParagraph"/>
              <w:spacing w:line="206" w:lineRule="exact"/>
              <w:ind w:left="44" w:right="43"/>
              <w:rPr>
                <w:sz w:val="18"/>
              </w:rPr>
            </w:pPr>
            <w:r>
              <w:rPr>
                <w:sz w:val="18"/>
              </w:rPr>
              <w:t>$0.00</w:t>
            </w:r>
          </w:p>
        </w:tc>
        <w:tc>
          <w:tcPr>
            <w:tcW w:w="1661" w:type="dxa"/>
          </w:tcPr>
          <w:p>
            <w:pPr>
              <w:pStyle w:val="TableParagraph"/>
              <w:spacing w:line="206" w:lineRule="exact"/>
              <w:ind w:left="53" w:right="54"/>
              <w:rPr>
                <w:sz w:val="18"/>
              </w:rPr>
            </w:pPr>
            <w:r>
              <w:rPr>
                <w:sz w:val="18"/>
              </w:rPr>
              <w:t>$0.00</w:t>
            </w:r>
          </w:p>
        </w:tc>
        <w:tc>
          <w:tcPr>
            <w:tcW w:w="1702" w:type="dxa"/>
          </w:tcPr>
          <w:p>
            <w:pPr>
              <w:pStyle w:val="TableParagraph"/>
              <w:spacing w:line="206" w:lineRule="exact"/>
              <w:ind w:left="74" w:right="74"/>
              <w:rPr>
                <w:sz w:val="18"/>
              </w:rPr>
            </w:pPr>
            <w:r>
              <w:rPr>
                <w:sz w:val="18"/>
              </w:rPr>
              <w:t>$0.00</w:t>
            </w:r>
          </w:p>
        </w:tc>
        <w:tc>
          <w:tcPr>
            <w:tcW w:w="1982" w:type="dxa"/>
          </w:tcPr>
          <w:p>
            <w:pPr>
              <w:pStyle w:val="TableParagraph"/>
              <w:spacing w:line="206" w:lineRule="exact"/>
              <w:ind w:left="215" w:right="214"/>
              <w:rPr>
                <w:sz w:val="18"/>
              </w:rPr>
            </w:pPr>
            <w:r>
              <w:rPr>
                <w:sz w:val="18"/>
              </w:rPr>
              <w:t>$0.00</w:t>
            </w:r>
          </w:p>
        </w:tc>
      </w:tr>
      <w:tr>
        <w:trPr>
          <w:trHeight w:val="319" w:hRule="exact"/>
        </w:trPr>
        <w:tc>
          <w:tcPr>
            <w:tcW w:w="1620" w:type="dxa"/>
          </w:tcPr>
          <w:p>
            <w:pPr>
              <w:pStyle w:val="TableParagraph"/>
              <w:spacing w:line="201" w:lineRule="exact"/>
              <w:ind w:left="64" w:right="65"/>
              <w:jc w:val="left"/>
              <w:rPr>
                <w:b/>
                <w:sz w:val="18"/>
              </w:rPr>
            </w:pPr>
            <w:r>
              <w:rPr>
                <w:b/>
                <w:sz w:val="18"/>
              </w:rPr>
              <w:t>ATIZAPAN</w:t>
            </w:r>
          </w:p>
        </w:tc>
        <w:tc>
          <w:tcPr>
            <w:tcW w:w="1726" w:type="dxa"/>
          </w:tcPr>
          <w:p>
            <w:pPr>
              <w:pStyle w:val="TableParagraph"/>
              <w:spacing w:line="206" w:lineRule="exact"/>
              <w:ind w:left="85" w:right="86"/>
              <w:rPr>
                <w:sz w:val="18"/>
              </w:rPr>
            </w:pPr>
            <w:r>
              <w:rPr>
                <w:sz w:val="18"/>
              </w:rPr>
              <w:t>$0.00</w:t>
            </w:r>
          </w:p>
        </w:tc>
        <w:tc>
          <w:tcPr>
            <w:tcW w:w="1392" w:type="dxa"/>
          </w:tcPr>
          <w:p>
            <w:pPr>
              <w:pStyle w:val="TableParagraph"/>
              <w:spacing w:line="206" w:lineRule="exact"/>
              <w:ind w:left="45" w:right="44"/>
              <w:rPr>
                <w:sz w:val="18"/>
              </w:rPr>
            </w:pPr>
            <w:r>
              <w:rPr>
                <w:sz w:val="18"/>
              </w:rPr>
              <w:t>$0.00</w:t>
            </w:r>
          </w:p>
        </w:tc>
        <w:tc>
          <w:tcPr>
            <w:tcW w:w="1541" w:type="dxa"/>
          </w:tcPr>
          <w:p>
            <w:pPr>
              <w:pStyle w:val="TableParagraph"/>
              <w:spacing w:line="206" w:lineRule="exact"/>
              <w:ind w:left="519" w:right="520"/>
              <w:rPr>
                <w:sz w:val="18"/>
              </w:rPr>
            </w:pPr>
            <w:r>
              <w:rPr>
                <w:sz w:val="18"/>
              </w:rPr>
              <w:t>$0.00</w:t>
            </w:r>
          </w:p>
        </w:tc>
        <w:tc>
          <w:tcPr>
            <w:tcW w:w="1841" w:type="dxa"/>
          </w:tcPr>
          <w:p>
            <w:pPr>
              <w:pStyle w:val="TableParagraph"/>
              <w:spacing w:line="206" w:lineRule="exact"/>
              <w:ind w:left="144" w:right="145"/>
              <w:rPr>
                <w:sz w:val="18"/>
              </w:rPr>
            </w:pPr>
            <w:r>
              <w:rPr>
                <w:sz w:val="18"/>
              </w:rPr>
              <w:t>$0.00</w:t>
            </w:r>
          </w:p>
        </w:tc>
        <w:tc>
          <w:tcPr>
            <w:tcW w:w="1642" w:type="dxa"/>
          </w:tcPr>
          <w:p>
            <w:pPr>
              <w:pStyle w:val="TableParagraph"/>
              <w:spacing w:line="206" w:lineRule="exact"/>
              <w:ind w:left="44" w:right="43"/>
              <w:rPr>
                <w:sz w:val="18"/>
              </w:rPr>
            </w:pPr>
            <w:r>
              <w:rPr>
                <w:sz w:val="18"/>
              </w:rPr>
              <w:t>$0.00</w:t>
            </w:r>
          </w:p>
        </w:tc>
        <w:tc>
          <w:tcPr>
            <w:tcW w:w="1661" w:type="dxa"/>
          </w:tcPr>
          <w:p>
            <w:pPr>
              <w:pStyle w:val="TableParagraph"/>
              <w:spacing w:line="206" w:lineRule="exact"/>
              <w:ind w:left="53" w:right="54"/>
              <w:rPr>
                <w:sz w:val="18"/>
              </w:rPr>
            </w:pPr>
            <w:r>
              <w:rPr>
                <w:sz w:val="18"/>
              </w:rPr>
              <w:t>$0.00</w:t>
            </w:r>
          </w:p>
        </w:tc>
        <w:tc>
          <w:tcPr>
            <w:tcW w:w="1702" w:type="dxa"/>
          </w:tcPr>
          <w:p>
            <w:pPr>
              <w:pStyle w:val="TableParagraph"/>
              <w:spacing w:line="206" w:lineRule="exact"/>
              <w:ind w:left="74" w:right="74"/>
              <w:rPr>
                <w:sz w:val="18"/>
              </w:rPr>
            </w:pPr>
            <w:r>
              <w:rPr>
                <w:sz w:val="18"/>
              </w:rPr>
              <w:t>$0.00</w:t>
            </w:r>
          </w:p>
        </w:tc>
        <w:tc>
          <w:tcPr>
            <w:tcW w:w="1982" w:type="dxa"/>
          </w:tcPr>
          <w:p>
            <w:pPr>
              <w:pStyle w:val="TableParagraph"/>
              <w:spacing w:line="206" w:lineRule="exact"/>
              <w:ind w:left="215" w:right="214"/>
              <w:rPr>
                <w:sz w:val="18"/>
              </w:rPr>
            </w:pPr>
            <w:r>
              <w:rPr>
                <w:sz w:val="18"/>
              </w:rPr>
              <w:t>$0.00</w:t>
            </w:r>
          </w:p>
        </w:tc>
      </w:tr>
      <w:tr>
        <w:trPr>
          <w:trHeight w:val="632" w:hRule="exact"/>
        </w:trPr>
        <w:tc>
          <w:tcPr>
            <w:tcW w:w="1620" w:type="dxa"/>
          </w:tcPr>
          <w:p>
            <w:pPr>
              <w:pStyle w:val="TableParagraph"/>
              <w:tabs>
                <w:tab w:pos="1293" w:val="left" w:leader="none"/>
              </w:tabs>
              <w:spacing w:line="362" w:lineRule="auto"/>
              <w:ind w:left="64" w:right="65"/>
              <w:jc w:val="left"/>
              <w:rPr>
                <w:b/>
                <w:sz w:val="18"/>
              </w:rPr>
            </w:pPr>
            <w:r>
              <w:rPr>
                <w:b/>
                <w:sz w:val="18"/>
              </w:rPr>
              <w:t>ATIZAPAN</w:t>
              <w:tab/>
              <w:t>DE ZARAGOZA</w:t>
            </w:r>
          </w:p>
        </w:tc>
        <w:tc>
          <w:tcPr>
            <w:tcW w:w="1726" w:type="dxa"/>
          </w:tcPr>
          <w:p>
            <w:pPr>
              <w:pStyle w:val="TableParagraph"/>
              <w:spacing w:before="155"/>
              <w:ind w:left="85" w:right="86"/>
              <w:rPr>
                <w:sz w:val="18"/>
              </w:rPr>
            </w:pPr>
            <w:r>
              <w:rPr>
                <w:sz w:val="18"/>
              </w:rPr>
              <w:t>$0.00</w:t>
            </w:r>
          </w:p>
        </w:tc>
        <w:tc>
          <w:tcPr>
            <w:tcW w:w="1392" w:type="dxa"/>
          </w:tcPr>
          <w:p>
            <w:pPr>
              <w:pStyle w:val="TableParagraph"/>
              <w:spacing w:before="155"/>
              <w:ind w:left="45" w:right="44"/>
              <w:rPr>
                <w:sz w:val="18"/>
              </w:rPr>
            </w:pPr>
            <w:r>
              <w:rPr>
                <w:sz w:val="18"/>
              </w:rPr>
              <w:t>$0.00</w:t>
            </w:r>
          </w:p>
        </w:tc>
        <w:tc>
          <w:tcPr>
            <w:tcW w:w="1541" w:type="dxa"/>
          </w:tcPr>
          <w:p>
            <w:pPr>
              <w:pStyle w:val="TableParagraph"/>
              <w:spacing w:before="155"/>
              <w:ind w:left="519" w:right="520"/>
              <w:rPr>
                <w:sz w:val="18"/>
              </w:rPr>
            </w:pPr>
            <w:r>
              <w:rPr>
                <w:sz w:val="18"/>
              </w:rPr>
              <w:t>$0.00</w:t>
            </w:r>
          </w:p>
        </w:tc>
        <w:tc>
          <w:tcPr>
            <w:tcW w:w="1841" w:type="dxa"/>
          </w:tcPr>
          <w:p>
            <w:pPr>
              <w:pStyle w:val="TableParagraph"/>
              <w:spacing w:before="155"/>
              <w:ind w:left="144" w:right="145"/>
              <w:rPr>
                <w:sz w:val="18"/>
              </w:rPr>
            </w:pPr>
            <w:r>
              <w:rPr>
                <w:sz w:val="18"/>
              </w:rPr>
              <w:t>$0.00</w:t>
            </w:r>
          </w:p>
        </w:tc>
        <w:tc>
          <w:tcPr>
            <w:tcW w:w="1642" w:type="dxa"/>
          </w:tcPr>
          <w:p>
            <w:pPr>
              <w:pStyle w:val="TableParagraph"/>
              <w:spacing w:before="155"/>
              <w:ind w:left="43" w:right="43"/>
              <w:rPr>
                <w:sz w:val="18"/>
              </w:rPr>
            </w:pPr>
            <w:r>
              <w:rPr>
                <w:sz w:val="18"/>
              </w:rPr>
              <w:t>$2,944,368,620.00</w:t>
            </w:r>
          </w:p>
        </w:tc>
        <w:tc>
          <w:tcPr>
            <w:tcW w:w="1661" w:type="dxa"/>
          </w:tcPr>
          <w:p>
            <w:pPr>
              <w:pStyle w:val="TableParagraph"/>
              <w:spacing w:before="155"/>
              <w:ind w:left="53" w:right="54"/>
              <w:rPr>
                <w:sz w:val="18"/>
              </w:rPr>
            </w:pPr>
            <w:r>
              <w:rPr>
                <w:sz w:val="18"/>
              </w:rPr>
              <w:t>$0.00</w:t>
            </w:r>
          </w:p>
        </w:tc>
        <w:tc>
          <w:tcPr>
            <w:tcW w:w="1702" w:type="dxa"/>
          </w:tcPr>
          <w:p>
            <w:pPr>
              <w:pStyle w:val="TableParagraph"/>
              <w:spacing w:before="155"/>
              <w:ind w:left="74" w:right="74"/>
              <w:rPr>
                <w:sz w:val="18"/>
              </w:rPr>
            </w:pPr>
            <w:r>
              <w:rPr>
                <w:sz w:val="18"/>
              </w:rPr>
              <w:t>$0.00</w:t>
            </w:r>
          </w:p>
        </w:tc>
        <w:tc>
          <w:tcPr>
            <w:tcW w:w="1982" w:type="dxa"/>
          </w:tcPr>
          <w:p>
            <w:pPr>
              <w:pStyle w:val="TableParagraph"/>
              <w:spacing w:before="155"/>
              <w:ind w:left="215" w:right="215"/>
              <w:rPr>
                <w:sz w:val="18"/>
              </w:rPr>
            </w:pPr>
            <w:r>
              <w:rPr>
                <w:sz w:val="18"/>
              </w:rPr>
              <w:t>$2,944,368,620.00</w:t>
            </w:r>
          </w:p>
        </w:tc>
      </w:tr>
      <w:tr>
        <w:trPr>
          <w:trHeight w:val="461" w:hRule="exact"/>
        </w:trPr>
        <w:tc>
          <w:tcPr>
            <w:tcW w:w="1620" w:type="dxa"/>
          </w:tcPr>
          <w:p>
            <w:pPr>
              <w:pStyle w:val="TableParagraph"/>
              <w:spacing w:before="64"/>
              <w:ind w:left="64" w:right="65"/>
              <w:jc w:val="left"/>
              <w:rPr>
                <w:b/>
                <w:sz w:val="18"/>
              </w:rPr>
            </w:pPr>
            <w:r>
              <w:rPr>
                <w:b/>
                <w:sz w:val="18"/>
              </w:rPr>
              <w:t>ATLACOMULCO</w:t>
            </w:r>
          </w:p>
        </w:tc>
        <w:tc>
          <w:tcPr>
            <w:tcW w:w="1726" w:type="dxa"/>
          </w:tcPr>
          <w:p>
            <w:pPr>
              <w:pStyle w:val="TableParagraph"/>
              <w:spacing w:before="68"/>
              <w:ind w:left="86" w:right="86"/>
              <w:rPr>
                <w:sz w:val="18"/>
              </w:rPr>
            </w:pPr>
            <w:r>
              <w:rPr>
                <w:sz w:val="18"/>
              </w:rPr>
              <w:t>$254,906,350.66</w:t>
            </w:r>
          </w:p>
        </w:tc>
        <w:tc>
          <w:tcPr>
            <w:tcW w:w="1392" w:type="dxa"/>
          </w:tcPr>
          <w:p>
            <w:pPr>
              <w:pStyle w:val="TableParagraph"/>
              <w:spacing w:before="68"/>
              <w:ind w:left="45" w:right="44"/>
              <w:rPr>
                <w:sz w:val="18"/>
              </w:rPr>
            </w:pPr>
            <w:r>
              <w:rPr>
                <w:sz w:val="18"/>
              </w:rPr>
              <w:t>$0.00</w:t>
            </w:r>
          </w:p>
        </w:tc>
        <w:tc>
          <w:tcPr>
            <w:tcW w:w="1541" w:type="dxa"/>
          </w:tcPr>
          <w:p>
            <w:pPr>
              <w:pStyle w:val="TableParagraph"/>
              <w:spacing w:before="68"/>
              <w:ind w:left="519" w:right="520"/>
              <w:rPr>
                <w:sz w:val="18"/>
              </w:rPr>
            </w:pPr>
            <w:r>
              <w:rPr>
                <w:sz w:val="18"/>
              </w:rPr>
              <w:t>$0.00</w:t>
            </w:r>
          </w:p>
        </w:tc>
        <w:tc>
          <w:tcPr>
            <w:tcW w:w="1841" w:type="dxa"/>
          </w:tcPr>
          <w:p>
            <w:pPr>
              <w:pStyle w:val="TableParagraph"/>
              <w:spacing w:before="68"/>
              <w:ind w:left="144" w:right="144"/>
              <w:rPr>
                <w:sz w:val="18"/>
              </w:rPr>
            </w:pPr>
            <w:r>
              <w:rPr>
                <w:sz w:val="18"/>
              </w:rPr>
              <w:t>$254,906,350.66</w:t>
            </w:r>
          </w:p>
        </w:tc>
        <w:tc>
          <w:tcPr>
            <w:tcW w:w="1642" w:type="dxa"/>
          </w:tcPr>
          <w:p>
            <w:pPr>
              <w:pStyle w:val="TableParagraph"/>
              <w:spacing w:before="68"/>
              <w:ind w:left="43" w:right="43"/>
              <w:rPr>
                <w:sz w:val="18"/>
              </w:rPr>
            </w:pPr>
            <w:r>
              <w:rPr>
                <w:sz w:val="18"/>
              </w:rPr>
              <w:t>$297,014,333.56</w:t>
            </w:r>
          </w:p>
        </w:tc>
        <w:tc>
          <w:tcPr>
            <w:tcW w:w="1661" w:type="dxa"/>
          </w:tcPr>
          <w:p>
            <w:pPr>
              <w:pStyle w:val="TableParagraph"/>
              <w:spacing w:before="68"/>
              <w:ind w:left="53" w:right="54"/>
              <w:rPr>
                <w:sz w:val="18"/>
              </w:rPr>
            </w:pPr>
            <w:r>
              <w:rPr>
                <w:sz w:val="18"/>
              </w:rPr>
              <w:t>$0.00</w:t>
            </w:r>
          </w:p>
        </w:tc>
        <w:tc>
          <w:tcPr>
            <w:tcW w:w="1702" w:type="dxa"/>
          </w:tcPr>
          <w:p>
            <w:pPr>
              <w:pStyle w:val="TableParagraph"/>
              <w:spacing w:before="68"/>
              <w:ind w:left="74" w:right="74"/>
              <w:rPr>
                <w:sz w:val="18"/>
              </w:rPr>
            </w:pPr>
            <w:r>
              <w:rPr>
                <w:sz w:val="18"/>
              </w:rPr>
              <w:t>$0.00</w:t>
            </w:r>
          </w:p>
        </w:tc>
        <w:tc>
          <w:tcPr>
            <w:tcW w:w="1982" w:type="dxa"/>
          </w:tcPr>
          <w:p>
            <w:pPr>
              <w:pStyle w:val="TableParagraph"/>
              <w:spacing w:before="68"/>
              <w:ind w:left="215" w:right="215"/>
              <w:rPr>
                <w:sz w:val="18"/>
              </w:rPr>
            </w:pPr>
            <w:r>
              <w:rPr>
                <w:sz w:val="18"/>
              </w:rPr>
              <w:t>$297,014,333.56</w:t>
            </w:r>
          </w:p>
        </w:tc>
      </w:tr>
      <w:tr>
        <w:trPr>
          <w:trHeight w:val="322" w:hRule="exact"/>
        </w:trPr>
        <w:tc>
          <w:tcPr>
            <w:tcW w:w="1620" w:type="dxa"/>
          </w:tcPr>
          <w:p>
            <w:pPr>
              <w:pStyle w:val="TableParagraph"/>
              <w:spacing w:line="201" w:lineRule="exact"/>
              <w:ind w:left="64" w:right="65"/>
              <w:jc w:val="left"/>
              <w:rPr>
                <w:b/>
                <w:sz w:val="18"/>
              </w:rPr>
            </w:pPr>
            <w:r>
              <w:rPr>
                <w:b/>
                <w:sz w:val="18"/>
              </w:rPr>
              <w:t>ATLAUTLA</w:t>
            </w:r>
          </w:p>
        </w:tc>
        <w:tc>
          <w:tcPr>
            <w:tcW w:w="1726" w:type="dxa"/>
          </w:tcPr>
          <w:p>
            <w:pPr>
              <w:pStyle w:val="TableParagraph"/>
              <w:spacing w:line="206" w:lineRule="exact"/>
              <w:ind w:left="86" w:right="86"/>
              <w:rPr>
                <w:sz w:val="18"/>
              </w:rPr>
            </w:pPr>
            <w:r>
              <w:rPr>
                <w:sz w:val="18"/>
              </w:rPr>
              <w:t>$97,300,000.00</w:t>
            </w:r>
          </w:p>
        </w:tc>
        <w:tc>
          <w:tcPr>
            <w:tcW w:w="1392" w:type="dxa"/>
          </w:tcPr>
          <w:p>
            <w:pPr>
              <w:pStyle w:val="TableParagraph"/>
              <w:spacing w:line="206" w:lineRule="exact"/>
              <w:ind w:left="45" w:right="44"/>
              <w:rPr>
                <w:sz w:val="18"/>
              </w:rPr>
            </w:pPr>
            <w:r>
              <w:rPr>
                <w:sz w:val="18"/>
              </w:rPr>
              <w:t>$0.00</w:t>
            </w:r>
          </w:p>
        </w:tc>
        <w:tc>
          <w:tcPr>
            <w:tcW w:w="1541" w:type="dxa"/>
          </w:tcPr>
          <w:p>
            <w:pPr>
              <w:pStyle w:val="TableParagraph"/>
              <w:spacing w:line="206" w:lineRule="exact"/>
              <w:ind w:left="519" w:right="520"/>
              <w:rPr>
                <w:sz w:val="18"/>
              </w:rPr>
            </w:pPr>
            <w:r>
              <w:rPr>
                <w:sz w:val="18"/>
              </w:rPr>
              <w:t>$0.00</w:t>
            </w:r>
          </w:p>
        </w:tc>
        <w:tc>
          <w:tcPr>
            <w:tcW w:w="1841" w:type="dxa"/>
          </w:tcPr>
          <w:p>
            <w:pPr>
              <w:pStyle w:val="TableParagraph"/>
              <w:spacing w:line="206" w:lineRule="exact"/>
              <w:ind w:left="144" w:right="144"/>
              <w:rPr>
                <w:sz w:val="18"/>
              </w:rPr>
            </w:pPr>
            <w:r>
              <w:rPr>
                <w:sz w:val="18"/>
              </w:rPr>
              <w:t>$97,300,000.00</w:t>
            </w:r>
          </w:p>
        </w:tc>
        <w:tc>
          <w:tcPr>
            <w:tcW w:w="1642" w:type="dxa"/>
          </w:tcPr>
          <w:p>
            <w:pPr>
              <w:pStyle w:val="TableParagraph"/>
              <w:spacing w:line="206" w:lineRule="exact"/>
              <w:ind w:left="42" w:right="43"/>
              <w:rPr>
                <w:sz w:val="18"/>
              </w:rPr>
            </w:pPr>
            <w:r>
              <w:rPr>
                <w:sz w:val="18"/>
              </w:rPr>
              <w:t>$97,608,525.00</w:t>
            </w:r>
          </w:p>
        </w:tc>
        <w:tc>
          <w:tcPr>
            <w:tcW w:w="1661" w:type="dxa"/>
          </w:tcPr>
          <w:p>
            <w:pPr>
              <w:pStyle w:val="TableParagraph"/>
              <w:spacing w:line="206" w:lineRule="exact"/>
              <w:ind w:left="53" w:right="54"/>
              <w:rPr>
                <w:sz w:val="18"/>
              </w:rPr>
            </w:pPr>
            <w:r>
              <w:rPr>
                <w:sz w:val="18"/>
              </w:rPr>
              <w:t>$0.00</w:t>
            </w:r>
          </w:p>
        </w:tc>
        <w:tc>
          <w:tcPr>
            <w:tcW w:w="1702" w:type="dxa"/>
          </w:tcPr>
          <w:p>
            <w:pPr>
              <w:pStyle w:val="TableParagraph"/>
              <w:spacing w:line="206" w:lineRule="exact"/>
              <w:ind w:left="74" w:right="74"/>
              <w:rPr>
                <w:sz w:val="18"/>
              </w:rPr>
            </w:pPr>
            <w:r>
              <w:rPr>
                <w:sz w:val="18"/>
              </w:rPr>
              <w:t>$0.00</w:t>
            </w:r>
          </w:p>
        </w:tc>
        <w:tc>
          <w:tcPr>
            <w:tcW w:w="1982" w:type="dxa"/>
          </w:tcPr>
          <w:p>
            <w:pPr>
              <w:pStyle w:val="TableParagraph"/>
              <w:spacing w:line="206" w:lineRule="exact"/>
              <w:ind w:left="214" w:right="215"/>
              <w:rPr>
                <w:sz w:val="18"/>
              </w:rPr>
            </w:pPr>
            <w:r>
              <w:rPr>
                <w:sz w:val="18"/>
              </w:rPr>
              <w:t>$97,608,525.00</w:t>
            </w:r>
          </w:p>
        </w:tc>
      </w:tr>
    </w:tbl>
    <w:p>
      <w:pPr>
        <w:spacing w:after="0" w:line="206" w:lineRule="exact"/>
        <w:rPr>
          <w:sz w:val="18"/>
        </w:rPr>
        <w:sectPr>
          <w:pgSz w:w="15840" w:h="12240" w:orient="landscape"/>
          <w:pgMar w:header="0" w:footer="975" w:top="1140" w:bottom="1160" w:left="260" w:right="240"/>
        </w:sectPr>
      </w:pPr>
    </w:p>
    <w:p>
      <w:pPr>
        <w:pStyle w:val="BodyText"/>
        <w:rPr>
          <w:rFonts w:ascii="Times New Roman"/>
          <w:sz w:val="20"/>
        </w:rPr>
      </w:pPr>
    </w:p>
    <w:p>
      <w:pPr>
        <w:pStyle w:val="BodyText"/>
        <w:spacing w:before="10"/>
        <w:rPr>
          <w:rFonts w:ascii="Times New Roman"/>
          <w:sz w:val="28"/>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20"/>
        <w:gridCol w:w="1726"/>
        <w:gridCol w:w="1392"/>
        <w:gridCol w:w="1541"/>
        <w:gridCol w:w="1841"/>
        <w:gridCol w:w="1642"/>
        <w:gridCol w:w="1661"/>
        <w:gridCol w:w="1702"/>
        <w:gridCol w:w="1961"/>
      </w:tblGrid>
      <w:tr>
        <w:trPr>
          <w:trHeight w:val="319" w:hRule="exact"/>
        </w:trPr>
        <w:tc>
          <w:tcPr>
            <w:tcW w:w="15086" w:type="dxa"/>
            <w:gridSpan w:val="9"/>
            <w:shd w:val="clear" w:color="auto" w:fill="C5DFB3"/>
          </w:tcPr>
          <w:p>
            <w:pPr>
              <w:pStyle w:val="TableParagraph"/>
              <w:spacing w:line="201" w:lineRule="exact"/>
              <w:ind w:left="3888"/>
              <w:jc w:val="left"/>
              <w:rPr>
                <w:b/>
                <w:sz w:val="18"/>
              </w:rPr>
            </w:pPr>
            <w:r>
              <w:rPr>
                <w:b/>
                <w:sz w:val="18"/>
              </w:rPr>
              <w:t>Anexo 24B. Municipios que publican apartado presupuesto 2010-2011 (Continuación)</w:t>
            </w:r>
          </w:p>
        </w:tc>
      </w:tr>
      <w:tr>
        <w:trPr>
          <w:trHeight w:val="322" w:hRule="exact"/>
        </w:trPr>
        <w:tc>
          <w:tcPr>
            <w:tcW w:w="1620"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120"/>
              <w:ind w:left="386" w:right="65"/>
              <w:jc w:val="left"/>
              <w:rPr>
                <w:b/>
                <w:sz w:val="18"/>
              </w:rPr>
            </w:pPr>
            <w:r>
              <w:rPr>
                <w:b/>
                <w:sz w:val="18"/>
              </w:rPr>
              <w:t>Municipio</w:t>
            </w:r>
          </w:p>
        </w:tc>
        <w:tc>
          <w:tcPr>
            <w:tcW w:w="6500" w:type="dxa"/>
            <w:gridSpan w:val="4"/>
            <w:shd w:val="clear" w:color="auto" w:fill="C5DFB3"/>
          </w:tcPr>
          <w:p>
            <w:pPr>
              <w:pStyle w:val="TableParagraph"/>
              <w:spacing w:line="201" w:lineRule="exact"/>
              <w:ind w:left="3024" w:right="3020"/>
              <w:rPr>
                <w:b/>
                <w:sz w:val="18"/>
              </w:rPr>
            </w:pPr>
            <w:r>
              <w:rPr>
                <w:b/>
                <w:sz w:val="18"/>
              </w:rPr>
              <w:t>2010</w:t>
            </w:r>
          </w:p>
        </w:tc>
        <w:tc>
          <w:tcPr>
            <w:tcW w:w="6966" w:type="dxa"/>
            <w:gridSpan w:val="4"/>
            <w:shd w:val="clear" w:color="auto" w:fill="C5DFB3"/>
          </w:tcPr>
          <w:p>
            <w:pPr>
              <w:pStyle w:val="TableParagraph"/>
              <w:spacing w:line="201" w:lineRule="exact"/>
              <w:ind w:left="3259" w:right="3255"/>
              <w:rPr>
                <w:b/>
                <w:sz w:val="18"/>
              </w:rPr>
            </w:pPr>
            <w:r>
              <w:rPr>
                <w:b/>
                <w:sz w:val="18"/>
              </w:rPr>
              <w:t>2011</w:t>
            </w:r>
          </w:p>
        </w:tc>
      </w:tr>
      <w:tr>
        <w:trPr>
          <w:trHeight w:val="1078" w:hRule="exact"/>
        </w:trPr>
        <w:tc>
          <w:tcPr>
            <w:tcW w:w="1620" w:type="dxa"/>
            <w:vMerge/>
            <w:shd w:val="clear" w:color="auto" w:fill="C5DFB3"/>
          </w:tcPr>
          <w:p>
            <w:pPr/>
          </w:p>
        </w:tc>
        <w:tc>
          <w:tcPr>
            <w:tcW w:w="1726"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9"/>
              <w:jc w:val="left"/>
              <w:rPr>
                <w:rFonts w:ascii="Times New Roman"/>
                <w:sz w:val="24"/>
              </w:rPr>
            </w:pPr>
          </w:p>
          <w:p>
            <w:pPr>
              <w:pStyle w:val="TableParagraph"/>
              <w:spacing w:before="1"/>
              <w:ind w:left="62"/>
              <w:jc w:val="left"/>
              <w:rPr>
                <w:b/>
                <w:sz w:val="18"/>
              </w:rPr>
            </w:pPr>
            <w:r>
              <w:rPr>
                <w:b/>
                <w:w w:val="100"/>
                <w:sz w:val="18"/>
              </w:rPr>
              <w:t>Autoriz</w:t>
            </w:r>
            <w:r>
              <w:rPr>
                <w:b/>
                <w:w w:val="99"/>
                <w:sz w:val="18"/>
              </w:rPr>
              <w:t>a</w:t>
            </w:r>
            <w:r>
              <w:rPr>
                <w:b/>
                <w:w w:val="100"/>
                <w:sz w:val="18"/>
              </w:rPr>
              <w:t>do</w:t>
            </w:r>
          </w:p>
        </w:tc>
        <w:tc>
          <w:tcPr>
            <w:tcW w:w="139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18"/>
              <w:ind w:left="57"/>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54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9"/>
              <w:jc w:val="left"/>
              <w:rPr>
                <w:rFonts w:ascii="Times New Roman"/>
                <w:sz w:val="16"/>
              </w:rPr>
            </w:pPr>
          </w:p>
          <w:p>
            <w:pPr>
              <w:pStyle w:val="TableParagraph"/>
              <w:ind w:left="177"/>
              <w:jc w:val="left"/>
              <w:rPr>
                <w:b/>
                <w:sz w:val="18"/>
              </w:rPr>
            </w:pPr>
            <w:r>
              <w:rPr>
                <w:b/>
                <w:w w:val="100"/>
                <w:sz w:val="18"/>
              </w:rPr>
              <w:t>Eje</w:t>
            </w:r>
            <w:r>
              <w:rPr>
                <w:b/>
                <w:w w:val="99"/>
                <w:sz w:val="18"/>
              </w:rPr>
              <w:t>rci</w:t>
            </w:r>
            <w:r>
              <w:rPr>
                <w:b/>
                <w:w w:val="100"/>
                <w:sz w:val="18"/>
              </w:rPr>
              <w:t>do</w:t>
            </w:r>
          </w:p>
        </w:tc>
        <w:tc>
          <w:tcPr>
            <w:tcW w:w="184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134"/>
              <w:ind w:left="62"/>
              <w:jc w:val="left"/>
              <w:rPr>
                <w:b/>
                <w:sz w:val="18"/>
              </w:rPr>
            </w:pPr>
            <w:r>
              <w:rPr>
                <w:b/>
                <w:sz w:val="18"/>
              </w:rPr>
              <w:t>Por </w:t>
            </w:r>
            <w:r>
              <w:rPr>
                <w:b/>
                <w:w w:val="99"/>
                <w:sz w:val="18"/>
              </w:rPr>
              <w:t>e</w:t>
            </w:r>
            <w:r>
              <w:rPr>
                <w:b/>
                <w:w w:val="100"/>
                <w:sz w:val="18"/>
              </w:rPr>
              <w:t>je</w:t>
            </w:r>
            <w:r>
              <w:rPr>
                <w:b/>
                <w:w w:val="99"/>
                <w:sz w:val="18"/>
              </w:rPr>
              <w:t>rcer</w:t>
            </w:r>
          </w:p>
        </w:tc>
        <w:tc>
          <w:tcPr>
            <w:tcW w:w="164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
              <w:jc w:val="left"/>
              <w:rPr>
                <w:rFonts w:ascii="Times New Roman"/>
                <w:sz w:val="21"/>
              </w:rPr>
            </w:pPr>
          </w:p>
          <w:p>
            <w:pPr>
              <w:pStyle w:val="TableParagraph"/>
              <w:ind w:left="62"/>
              <w:jc w:val="left"/>
              <w:rPr>
                <w:b/>
                <w:sz w:val="18"/>
              </w:rPr>
            </w:pPr>
            <w:r>
              <w:rPr>
                <w:b/>
                <w:w w:val="100"/>
                <w:sz w:val="18"/>
              </w:rPr>
              <w:t>Autoriz</w:t>
            </w:r>
            <w:r>
              <w:rPr>
                <w:b/>
                <w:w w:val="99"/>
                <w:sz w:val="18"/>
              </w:rPr>
              <w:t>a</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57"/>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70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7"/>
              <w:jc w:val="left"/>
              <w:rPr>
                <w:rFonts w:ascii="Times New Roman"/>
                <w:sz w:val="23"/>
              </w:rPr>
            </w:pPr>
          </w:p>
          <w:p>
            <w:pPr>
              <w:pStyle w:val="TableParagraph"/>
              <w:ind w:left="177"/>
              <w:jc w:val="left"/>
              <w:rPr>
                <w:b/>
                <w:sz w:val="18"/>
              </w:rPr>
            </w:pPr>
            <w:r>
              <w:rPr>
                <w:b/>
                <w:spacing w:val="-1"/>
                <w:w w:val="100"/>
                <w:sz w:val="18"/>
              </w:rPr>
              <w:t>E</w:t>
            </w:r>
            <w:r>
              <w:rPr>
                <w:b/>
                <w:w w:val="100"/>
                <w:sz w:val="18"/>
              </w:rPr>
              <w:t>je</w:t>
            </w:r>
            <w:r>
              <w:rPr>
                <w:b/>
                <w:w w:val="99"/>
                <w:sz w:val="18"/>
              </w:rPr>
              <w:t>rci</w:t>
            </w:r>
            <w:r>
              <w:rPr>
                <w:b/>
                <w:w w:val="100"/>
                <w:sz w:val="18"/>
              </w:rPr>
              <w:t>do</w:t>
            </w:r>
          </w:p>
        </w:tc>
        <w:tc>
          <w:tcPr>
            <w:tcW w:w="19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16"/>
              </w:rPr>
            </w:pPr>
          </w:p>
          <w:p>
            <w:pPr>
              <w:pStyle w:val="TableParagraph"/>
              <w:ind w:left="62"/>
              <w:jc w:val="left"/>
              <w:rPr>
                <w:b/>
                <w:sz w:val="18"/>
              </w:rPr>
            </w:pPr>
            <w:r>
              <w:rPr>
                <w:b/>
                <w:sz w:val="18"/>
              </w:rPr>
              <w:t>Por </w:t>
            </w:r>
            <w:r>
              <w:rPr>
                <w:b/>
                <w:w w:val="99"/>
                <w:sz w:val="18"/>
              </w:rPr>
              <w:t>e</w:t>
            </w:r>
            <w:r>
              <w:rPr>
                <w:b/>
                <w:w w:val="100"/>
                <w:sz w:val="18"/>
              </w:rPr>
              <w:t>je</w:t>
            </w:r>
            <w:r>
              <w:rPr>
                <w:b/>
                <w:w w:val="99"/>
                <w:sz w:val="18"/>
              </w:rPr>
              <w:t>rcer</w:t>
            </w:r>
          </w:p>
        </w:tc>
      </w:tr>
      <w:tr>
        <w:trPr>
          <w:trHeight w:val="319" w:hRule="exact"/>
        </w:trPr>
        <w:tc>
          <w:tcPr>
            <w:tcW w:w="1620" w:type="dxa"/>
          </w:tcPr>
          <w:p>
            <w:pPr>
              <w:pStyle w:val="TableParagraph"/>
              <w:spacing w:line="201" w:lineRule="exact"/>
              <w:ind w:left="67" w:right="65"/>
              <w:jc w:val="left"/>
              <w:rPr>
                <w:b/>
                <w:sz w:val="18"/>
              </w:rPr>
            </w:pPr>
            <w:r>
              <w:rPr>
                <w:b/>
                <w:color w:val="333333"/>
                <w:sz w:val="18"/>
              </w:rPr>
              <w:t>AXAPUSCO</w:t>
            </w:r>
          </w:p>
        </w:tc>
        <w:tc>
          <w:tcPr>
            <w:tcW w:w="1726" w:type="dxa"/>
          </w:tcPr>
          <w:p>
            <w:pPr>
              <w:pStyle w:val="TableParagraph"/>
              <w:spacing w:line="206" w:lineRule="exact"/>
              <w:ind w:left="88" w:right="85"/>
              <w:rPr>
                <w:sz w:val="18"/>
              </w:rPr>
            </w:pPr>
            <w:r>
              <w:rPr>
                <w:sz w:val="18"/>
              </w:rPr>
              <w:t>$0.00</w:t>
            </w:r>
          </w:p>
        </w:tc>
        <w:tc>
          <w:tcPr>
            <w:tcW w:w="1392" w:type="dxa"/>
          </w:tcPr>
          <w:p>
            <w:pPr>
              <w:pStyle w:val="TableParagraph"/>
              <w:spacing w:line="206" w:lineRule="exact"/>
              <w:ind w:left="468"/>
              <w:jc w:val="left"/>
              <w:rPr>
                <w:sz w:val="18"/>
              </w:rPr>
            </w:pPr>
            <w:r>
              <w:rPr>
                <w:sz w:val="18"/>
              </w:rPr>
              <w:t>$0.00</w:t>
            </w:r>
          </w:p>
        </w:tc>
        <w:tc>
          <w:tcPr>
            <w:tcW w:w="1541" w:type="dxa"/>
          </w:tcPr>
          <w:p>
            <w:pPr>
              <w:pStyle w:val="TableParagraph"/>
              <w:spacing w:line="206" w:lineRule="exact"/>
              <w:ind w:left="520" w:right="519"/>
              <w:rPr>
                <w:sz w:val="18"/>
              </w:rPr>
            </w:pPr>
            <w:r>
              <w:rPr>
                <w:sz w:val="18"/>
              </w:rPr>
              <w:t>$0.00</w:t>
            </w:r>
          </w:p>
        </w:tc>
        <w:tc>
          <w:tcPr>
            <w:tcW w:w="1841" w:type="dxa"/>
          </w:tcPr>
          <w:p>
            <w:pPr>
              <w:pStyle w:val="TableParagraph"/>
              <w:spacing w:line="206" w:lineRule="exact"/>
              <w:ind w:left="144" w:right="145"/>
              <w:rPr>
                <w:sz w:val="18"/>
              </w:rPr>
            </w:pPr>
            <w:r>
              <w:rPr>
                <w:sz w:val="18"/>
              </w:rPr>
              <w:t>$0.00</w:t>
            </w:r>
          </w:p>
        </w:tc>
        <w:tc>
          <w:tcPr>
            <w:tcW w:w="1642" w:type="dxa"/>
          </w:tcPr>
          <w:p>
            <w:pPr>
              <w:pStyle w:val="TableParagraph"/>
              <w:spacing w:line="206" w:lineRule="exact"/>
              <w:ind w:left="45" w:right="39"/>
              <w:rPr>
                <w:sz w:val="18"/>
              </w:rPr>
            </w:pPr>
            <w:r>
              <w:rPr>
                <w:sz w:val="18"/>
              </w:rPr>
              <w:t>$0.00</w:t>
            </w:r>
          </w:p>
        </w:tc>
        <w:tc>
          <w:tcPr>
            <w:tcW w:w="1661" w:type="dxa"/>
          </w:tcPr>
          <w:p>
            <w:pPr>
              <w:pStyle w:val="TableParagraph"/>
              <w:spacing w:line="206" w:lineRule="exact"/>
              <w:ind w:left="53" w:right="52"/>
              <w:rPr>
                <w:sz w:val="18"/>
              </w:rPr>
            </w:pPr>
            <w:r>
              <w:rPr>
                <w:sz w:val="18"/>
              </w:rPr>
              <w:t>$0.00</w:t>
            </w:r>
          </w:p>
        </w:tc>
        <w:tc>
          <w:tcPr>
            <w:tcW w:w="1702" w:type="dxa"/>
          </w:tcPr>
          <w:p>
            <w:pPr>
              <w:pStyle w:val="TableParagraph"/>
              <w:spacing w:line="206" w:lineRule="exact"/>
              <w:ind w:left="74" w:right="74"/>
              <w:rPr>
                <w:sz w:val="18"/>
              </w:rPr>
            </w:pPr>
            <w:r>
              <w:rPr>
                <w:sz w:val="18"/>
              </w:rPr>
              <w:t>$0.00</w:t>
            </w:r>
          </w:p>
        </w:tc>
        <w:tc>
          <w:tcPr>
            <w:tcW w:w="1961" w:type="dxa"/>
          </w:tcPr>
          <w:p>
            <w:pPr>
              <w:pStyle w:val="TableParagraph"/>
              <w:spacing w:line="206" w:lineRule="exact"/>
              <w:ind w:left="203" w:right="204"/>
              <w:rPr>
                <w:sz w:val="18"/>
              </w:rPr>
            </w:pPr>
            <w:r>
              <w:rPr>
                <w:sz w:val="18"/>
              </w:rPr>
              <w:t>$0.00</w:t>
            </w:r>
          </w:p>
        </w:tc>
      </w:tr>
      <w:tr>
        <w:trPr>
          <w:trHeight w:val="322" w:hRule="exact"/>
        </w:trPr>
        <w:tc>
          <w:tcPr>
            <w:tcW w:w="1620" w:type="dxa"/>
          </w:tcPr>
          <w:p>
            <w:pPr>
              <w:pStyle w:val="TableParagraph"/>
              <w:spacing w:line="201" w:lineRule="exact"/>
              <w:ind w:left="67" w:right="65"/>
              <w:jc w:val="left"/>
              <w:rPr>
                <w:b/>
                <w:sz w:val="18"/>
              </w:rPr>
            </w:pPr>
            <w:r>
              <w:rPr>
                <w:b/>
                <w:color w:val="333333"/>
                <w:sz w:val="18"/>
              </w:rPr>
              <w:t>AYAPANGO</w:t>
            </w:r>
          </w:p>
        </w:tc>
        <w:tc>
          <w:tcPr>
            <w:tcW w:w="1726" w:type="dxa"/>
          </w:tcPr>
          <w:p>
            <w:pPr>
              <w:pStyle w:val="TableParagraph"/>
              <w:spacing w:line="206" w:lineRule="exact"/>
              <w:ind w:left="88" w:right="85"/>
              <w:rPr>
                <w:sz w:val="18"/>
              </w:rPr>
            </w:pPr>
            <w:r>
              <w:rPr>
                <w:sz w:val="18"/>
              </w:rPr>
              <w:t>$0.00</w:t>
            </w:r>
          </w:p>
        </w:tc>
        <w:tc>
          <w:tcPr>
            <w:tcW w:w="1392" w:type="dxa"/>
          </w:tcPr>
          <w:p>
            <w:pPr>
              <w:pStyle w:val="TableParagraph"/>
              <w:spacing w:line="206" w:lineRule="exact"/>
              <w:ind w:left="468"/>
              <w:jc w:val="left"/>
              <w:rPr>
                <w:sz w:val="18"/>
              </w:rPr>
            </w:pPr>
            <w:r>
              <w:rPr>
                <w:sz w:val="18"/>
              </w:rPr>
              <w:t>$0.00</w:t>
            </w:r>
          </w:p>
        </w:tc>
        <w:tc>
          <w:tcPr>
            <w:tcW w:w="1541" w:type="dxa"/>
          </w:tcPr>
          <w:p>
            <w:pPr>
              <w:pStyle w:val="TableParagraph"/>
              <w:spacing w:line="206" w:lineRule="exact"/>
              <w:ind w:left="520" w:right="519"/>
              <w:rPr>
                <w:sz w:val="18"/>
              </w:rPr>
            </w:pPr>
            <w:r>
              <w:rPr>
                <w:sz w:val="18"/>
              </w:rPr>
              <w:t>$0.00</w:t>
            </w:r>
          </w:p>
        </w:tc>
        <w:tc>
          <w:tcPr>
            <w:tcW w:w="1841" w:type="dxa"/>
          </w:tcPr>
          <w:p>
            <w:pPr>
              <w:pStyle w:val="TableParagraph"/>
              <w:spacing w:line="206" w:lineRule="exact"/>
              <w:ind w:left="144" w:right="145"/>
              <w:rPr>
                <w:sz w:val="18"/>
              </w:rPr>
            </w:pPr>
            <w:r>
              <w:rPr>
                <w:sz w:val="18"/>
              </w:rPr>
              <w:t>$0.00</w:t>
            </w:r>
          </w:p>
        </w:tc>
        <w:tc>
          <w:tcPr>
            <w:tcW w:w="1642" w:type="dxa"/>
          </w:tcPr>
          <w:p>
            <w:pPr>
              <w:pStyle w:val="TableParagraph"/>
              <w:spacing w:line="206" w:lineRule="exact"/>
              <w:ind w:left="45" w:right="39"/>
              <w:rPr>
                <w:sz w:val="18"/>
              </w:rPr>
            </w:pPr>
            <w:r>
              <w:rPr>
                <w:sz w:val="18"/>
              </w:rPr>
              <w:t>$0.00</w:t>
            </w:r>
          </w:p>
        </w:tc>
        <w:tc>
          <w:tcPr>
            <w:tcW w:w="1661" w:type="dxa"/>
          </w:tcPr>
          <w:p>
            <w:pPr>
              <w:pStyle w:val="TableParagraph"/>
              <w:spacing w:line="206" w:lineRule="exact"/>
              <w:ind w:left="53" w:right="52"/>
              <w:rPr>
                <w:sz w:val="18"/>
              </w:rPr>
            </w:pPr>
            <w:r>
              <w:rPr>
                <w:sz w:val="18"/>
              </w:rPr>
              <w:t>$0.00</w:t>
            </w:r>
          </w:p>
        </w:tc>
        <w:tc>
          <w:tcPr>
            <w:tcW w:w="1702" w:type="dxa"/>
          </w:tcPr>
          <w:p>
            <w:pPr>
              <w:pStyle w:val="TableParagraph"/>
              <w:spacing w:line="206" w:lineRule="exact"/>
              <w:ind w:left="74" w:right="74"/>
              <w:rPr>
                <w:sz w:val="18"/>
              </w:rPr>
            </w:pPr>
            <w:r>
              <w:rPr>
                <w:sz w:val="18"/>
              </w:rPr>
              <w:t>$0.00</w:t>
            </w:r>
          </w:p>
        </w:tc>
        <w:tc>
          <w:tcPr>
            <w:tcW w:w="1961" w:type="dxa"/>
          </w:tcPr>
          <w:p>
            <w:pPr>
              <w:pStyle w:val="TableParagraph"/>
              <w:spacing w:line="206" w:lineRule="exact"/>
              <w:ind w:left="203" w:right="204"/>
              <w:rPr>
                <w:sz w:val="18"/>
              </w:rPr>
            </w:pPr>
            <w:r>
              <w:rPr>
                <w:sz w:val="18"/>
              </w:rPr>
              <w:t>$0.00</w:t>
            </w:r>
          </w:p>
        </w:tc>
      </w:tr>
      <w:tr>
        <w:trPr>
          <w:trHeight w:val="319" w:hRule="exact"/>
        </w:trPr>
        <w:tc>
          <w:tcPr>
            <w:tcW w:w="1620" w:type="dxa"/>
          </w:tcPr>
          <w:p>
            <w:pPr>
              <w:pStyle w:val="TableParagraph"/>
              <w:spacing w:line="201" w:lineRule="exact"/>
              <w:ind w:left="67" w:right="65"/>
              <w:jc w:val="left"/>
              <w:rPr>
                <w:b/>
                <w:sz w:val="18"/>
              </w:rPr>
            </w:pPr>
            <w:r>
              <w:rPr>
                <w:b/>
                <w:color w:val="333333"/>
                <w:sz w:val="18"/>
              </w:rPr>
              <w:t>CALIMAYA</w:t>
            </w:r>
          </w:p>
        </w:tc>
        <w:tc>
          <w:tcPr>
            <w:tcW w:w="1726" w:type="dxa"/>
          </w:tcPr>
          <w:p>
            <w:pPr>
              <w:pStyle w:val="TableParagraph"/>
              <w:spacing w:line="206" w:lineRule="exact"/>
              <w:ind w:left="88" w:right="86"/>
              <w:rPr>
                <w:sz w:val="18"/>
              </w:rPr>
            </w:pPr>
            <w:r>
              <w:rPr>
                <w:sz w:val="18"/>
              </w:rPr>
              <w:t>$9,351,261.52</w:t>
            </w:r>
          </w:p>
        </w:tc>
        <w:tc>
          <w:tcPr>
            <w:tcW w:w="1392" w:type="dxa"/>
          </w:tcPr>
          <w:p>
            <w:pPr>
              <w:pStyle w:val="TableParagraph"/>
              <w:spacing w:line="206" w:lineRule="exact"/>
              <w:ind w:left="468"/>
              <w:jc w:val="left"/>
              <w:rPr>
                <w:sz w:val="18"/>
              </w:rPr>
            </w:pPr>
            <w:r>
              <w:rPr>
                <w:sz w:val="18"/>
              </w:rPr>
              <w:t>$0.00</w:t>
            </w:r>
          </w:p>
        </w:tc>
        <w:tc>
          <w:tcPr>
            <w:tcW w:w="1541" w:type="dxa"/>
          </w:tcPr>
          <w:p>
            <w:pPr>
              <w:pStyle w:val="TableParagraph"/>
              <w:spacing w:line="206" w:lineRule="exact"/>
              <w:ind w:left="520" w:right="519"/>
              <w:rPr>
                <w:sz w:val="18"/>
              </w:rPr>
            </w:pPr>
            <w:r>
              <w:rPr>
                <w:sz w:val="18"/>
              </w:rPr>
              <w:t>$0.00</w:t>
            </w:r>
          </w:p>
        </w:tc>
        <w:tc>
          <w:tcPr>
            <w:tcW w:w="1841" w:type="dxa"/>
          </w:tcPr>
          <w:p>
            <w:pPr>
              <w:pStyle w:val="TableParagraph"/>
              <w:spacing w:line="206" w:lineRule="exact"/>
              <w:ind w:left="144" w:right="145"/>
              <w:rPr>
                <w:sz w:val="18"/>
              </w:rPr>
            </w:pPr>
            <w:r>
              <w:rPr>
                <w:sz w:val="18"/>
              </w:rPr>
              <w:t>$9,351,261.52</w:t>
            </w:r>
          </w:p>
        </w:tc>
        <w:tc>
          <w:tcPr>
            <w:tcW w:w="1642" w:type="dxa"/>
          </w:tcPr>
          <w:p>
            <w:pPr>
              <w:pStyle w:val="TableParagraph"/>
              <w:spacing w:line="206" w:lineRule="exact"/>
              <w:ind w:left="44" w:right="43"/>
              <w:rPr>
                <w:sz w:val="18"/>
              </w:rPr>
            </w:pPr>
            <w:r>
              <w:rPr>
                <w:sz w:val="18"/>
              </w:rPr>
              <w:t>$138,220,129.79</w:t>
            </w:r>
          </w:p>
        </w:tc>
        <w:tc>
          <w:tcPr>
            <w:tcW w:w="1661" w:type="dxa"/>
          </w:tcPr>
          <w:p>
            <w:pPr>
              <w:pStyle w:val="TableParagraph"/>
              <w:spacing w:line="206" w:lineRule="exact"/>
              <w:ind w:left="53" w:right="51"/>
              <w:rPr>
                <w:sz w:val="18"/>
              </w:rPr>
            </w:pPr>
            <w:r>
              <w:rPr>
                <w:sz w:val="18"/>
              </w:rPr>
              <w:t>$138,220,129.79</w:t>
            </w:r>
          </w:p>
        </w:tc>
        <w:tc>
          <w:tcPr>
            <w:tcW w:w="1702" w:type="dxa"/>
          </w:tcPr>
          <w:p>
            <w:pPr>
              <w:pStyle w:val="TableParagraph"/>
              <w:spacing w:line="206" w:lineRule="exact"/>
              <w:ind w:left="74" w:right="74"/>
              <w:rPr>
                <w:sz w:val="18"/>
              </w:rPr>
            </w:pPr>
            <w:r>
              <w:rPr>
                <w:sz w:val="18"/>
              </w:rPr>
              <w:t>$0.00</w:t>
            </w:r>
          </w:p>
        </w:tc>
        <w:tc>
          <w:tcPr>
            <w:tcW w:w="1961" w:type="dxa"/>
          </w:tcPr>
          <w:p>
            <w:pPr>
              <w:pStyle w:val="TableParagraph"/>
              <w:spacing w:line="206" w:lineRule="exact"/>
              <w:ind w:left="204" w:right="204"/>
              <w:rPr>
                <w:sz w:val="18"/>
              </w:rPr>
            </w:pPr>
            <w:r>
              <w:rPr>
                <w:sz w:val="18"/>
              </w:rPr>
              <w:t>$165,107,378.83</w:t>
            </w:r>
          </w:p>
        </w:tc>
      </w:tr>
      <w:tr>
        <w:trPr>
          <w:trHeight w:val="322" w:hRule="exact"/>
        </w:trPr>
        <w:tc>
          <w:tcPr>
            <w:tcW w:w="1620" w:type="dxa"/>
          </w:tcPr>
          <w:p>
            <w:pPr>
              <w:pStyle w:val="TableParagraph"/>
              <w:spacing w:line="201" w:lineRule="exact"/>
              <w:ind w:left="67" w:right="65"/>
              <w:jc w:val="left"/>
              <w:rPr>
                <w:b/>
                <w:sz w:val="18"/>
              </w:rPr>
            </w:pPr>
            <w:r>
              <w:rPr>
                <w:b/>
                <w:color w:val="333333"/>
                <w:sz w:val="18"/>
              </w:rPr>
              <w:t>CAPULHUAC</w:t>
            </w:r>
          </w:p>
        </w:tc>
        <w:tc>
          <w:tcPr>
            <w:tcW w:w="1726" w:type="dxa"/>
          </w:tcPr>
          <w:p>
            <w:pPr>
              <w:pStyle w:val="TableParagraph"/>
              <w:spacing w:line="206" w:lineRule="exact"/>
              <w:ind w:left="88" w:right="85"/>
              <w:rPr>
                <w:sz w:val="18"/>
              </w:rPr>
            </w:pPr>
            <w:r>
              <w:rPr>
                <w:sz w:val="18"/>
              </w:rPr>
              <w:t>$0.00</w:t>
            </w:r>
          </w:p>
        </w:tc>
        <w:tc>
          <w:tcPr>
            <w:tcW w:w="1392" w:type="dxa"/>
          </w:tcPr>
          <w:p>
            <w:pPr>
              <w:pStyle w:val="TableParagraph"/>
              <w:spacing w:line="206" w:lineRule="exact"/>
              <w:ind w:left="468"/>
              <w:jc w:val="left"/>
              <w:rPr>
                <w:sz w:val="18"/>
              </w:rPr>
            </w:pPr>
            <w:r>
              <w:rPr>
                <w:sz w:val="18"/>
              </w:rPr>
              <w:t>$0.00</w:t>
            </w:r>
          </w:p>
        </w:tc>
        <w:tc>
          <w:tcPr>
            <w:tcW w:w="1541" w:type="dxa"/>
          </w:tcPr>
          <w:p>
            <w:pPr>
              <w:pStyle w:val="TableParagraph"/>
              <w:spacing w:line="206" w:lineRule="exact"/>
              <w:ind w:left="520" w:right="519"/>
              <w:rPr>
                <w:sz w:val="18"/>
              </w:rPr>
            </w:pPr>
            <w:r>
              <w:rPr>
                <w:sz w:val="18"/>
              </w:rPr>
              <w:t>$0.00</w:t>
            </w:r>
          </w:p>
        </w:tc>
        <w:tc>
          <w:tcPr>
            <w:tcW w:w="1841" w:type="dxa"/>
          </w:tcPr>
          <w:p>
            <w:pPr>
              <w:pStyle w:val="TableParagraph"/>
              <w:spacing w:line="206" w:lineRule="exact"/>
              <w:ind w:left="144" w:right="145"/>
              <w:rPr>
                <w:sz w:val="18"/>
              </w:rPr>
            </w:pPr>
            <w:r>
              <w:rPr>
                <w:sz w:val="18"/>
              </w:rPr>
              <w:t>$0.00</w:t>
            </w:r>
          </w:p>
        </w:tc>
        <w:tc>
          <w:tcPr>
            <w:tcW w:w="1642" w:type="dxa"/>
          </w:tcPr>
          <w:p>
            <w:pPr>
              <w:pStyle w:val="TableParagraph"/>
              <w:spacing w:line="206" w:lineRule="exact"/>
              <w:ind w:left="45" w:right="42"/>
              <w:rPr>
                <w:sz w:val="18"/>
              </w:rPr>
            </w:pPr>
            <w:r>
              <w:rPr>
                <w:sz w:val="18"/>
              </w:rPr>
              <w:t>$96,388,716.19</w:t>
            </w:r>
          </w:p>
        </w:tc>
        <w:tc>
          <w:tcPr>
            <w:tcW w:w="1661" w:type="dxa"/>
          </w:tcPr>
          <w:p>
            <w:pPr>
              <w:pStyle w:val="TableParagraph"/>
              <w:spacing w:line="206" w:lineRule="exact"/>
              <w:ind w:left="53" w:right="52"/>
              <w:rPr>
                <w:sz w:val="18"/>
              </w:rPr>
            </w:pPr>
            <w:r>
              <w:rPr>
                <w:sz w:val="18"/>
              </w:rPr>
              <w:t>$0.00</w:t>
            </w:r>
          </w:p>
        </w:tc>
        <w:tc>
          <w:tcPr>
            <w:tcW w:w="1702" w:type="dxa"/>
          </w:tcPr>
          <w:p>
            <w:pPr>
              <w:pStyle w:val="TableParagraph"/>
              <w:spacing w:line="206" w:lineRule="exact"/>
              <w:ind w:left="71" w:right="74"/>
              <w:rPr>
                <w:sz w:val="18"/>
              </w:rPr>
            </w:pPr>
            <w:r>
              <w:rPr>
                <w:sz w:val="18"/>
              </w:rPr>
              <w:t>$126,104,170.22</w:t>
            </w:r>
          </w:p>
        </w:tc>
        <w:tc>
          <w:tcPr>
            <w:tcW w:w="1961" w:type="dxa"/>
          </w:tcPr>
          <w:p>
            <w:pPr>
              <w:pStyle w:val="TableParagraph"/>
              <w:spacing w:line="206" w:lineRule="exact"/>
              <w:ind w:left="204" w:right="204"/>
              <w:rPr>
                <w:sz w:val="18"/>
              </w:rPr>
            </w:pPr>
            <w:r>
              <w:rPr>
                <w:sz w:val="18"/>
              </w:rPr>
              <w:t>$29,715,454.03</w:t>
            </w:r>
          </w:p>
        </w:tc>
      </w:tr>
      <w:tr>
        <w:trPr>
          <w:trHeight w:val="319" w:hRule="exact"/>
        </w:trPr>
        <w:tc>
          <w:tcPr>
            <w:tcW w:w="1620" w:type="dxa"/>
          </w:tcPr>
          <w:p>
            <w:pPr>
              <w:pStyle w:val="TableParagraph"/>
              <w:spacing w:line="201" w:lineRule="exact"/>
              <w:ind w:left="67" w:right="65"/>
              <w:jc w:val="left"/>
              <w:rPr>
                <w:b/>
                <w:sz w:val="18"/>
              </w:rPr>
            </w:pPr>
            <w:r>
              <w:rPr>
                <w:b/>
                <w:color w:val="333333"/>
                <w:sz w:val="18"/>
              </w:rPr>
              <w:t>CHALCO</w:t>
            </w:r>
          </w:p>
        </w:tc>
        <w:tc>
          <w:tcPr>
            <w:tcW w:w="1726" w:type="dxa"/>
          </w:tcPr>
          <w:p>
            <w:pPr>
              <w:pStyle w:val="TableParagraph"/>
              <w:spacing w:line="206" w:lineRule="exact"/>
              <w:ind w:left="88" w:right="85"/>
              <w:rPr>
                <w:sz w:val="18"/>
              </w:rPr>
            </w:pPr>
            <w:r>
              <w:rPr>
                <w:sz w:val="18"/>
              </w:rPr>
              <w:t>$0.00</w:t>
            </w:r>
          </w:p>
        </w:tc>
        <w:tc>
          <w:tcPr>
            <w:tcW w:w="1392" w:type="dxa"/>
          </w:tcPr>
          <w:p>
            <w:pPr>
              <w:pStyle w:val="TableParagraph"/>
              <w:spacing w:line="206" w:lineRule="exact"/>
              <w:ind w:left="468"/>
              <w:jc w:val="left"/>
              <w:rPr>
                <w:sz w:val="18"/>
              </w:rPr>
            </w:pPr>
            <w:r>
              <w:rPr>
                <w:sz w:val="18"/>
              </w:rPr>
              <w:t>$0.00</w:t>
            </w:r>
          </w:p>
        </w:tc>
        <w:tc>
          <w:tcPr>
            <w:tcW w:w="1541" w:type="dxa"/>
          </w:tcPr>
          <w:p>
            <w:pPr>
              <w:pStyle w:val="TableParagraph"/>
              <w:spacing w:line="206" w:lineRule="exact"/>
              <w:ind w:left="520" w:right="519"/>
              <w:rPr>
                <w:sz w:val="18"/>
              </w:rPr>
            </w:pPr>
            <w:r>
              <w:rPr>
                <w:sz w:val="18"/>
              </w:rPr>
              <w:t>$0.00</w:t>
            </w:r>
          </w:p>
        </w:tc>
        <w:tc>
          <w:tcPr>
            <w:tcW w:w="1841" w:type="dxa"/>
          </w:tcPr>
          <w:p>
            <w:pPr>
              <w:pStyle w:val="TableParagraph"/>
              <w:spacing w:line="206" w:lineRule="exact"/>
              <w:ind w:left="144" w:right="145"/>
              <w:rPr>
                <w:sz w:val="18"/>
              </w:rPr>
            </w:pPr>
            <w:r>
              <w:rPr>
                <w:sz w:val="18"/>
              </w:rPr>
              <w:t>$0.00</w:t>
            </w:r>
          </w:p>
        </w:tc>
        <w:tc>
          <w:tcPr>
            <w:tcW w:w="1642" w:type="dxa"/>
          </w:tcPr>
          <w:p>
            <w:pPr>
              <w:pStyle w:val="TableParagraph"/>
              <w:spacing w:line="206" w:lineRule="exact"/>
              <w:ind w:left="44" w:right="43"/>
              <w:rPr>
                <w:sz w:val="18"/>
              </w:rPr>
            </w:pPr>
            <w:r>
              <w:rPr>
                <w:sz w:val="18"/>
              </w:rPr>
              <w:t>$927,497,842.00</w:t>
            </w:r>
          </w:p>
        </w:tc>
        <w:tc>
          <w:tcPr>
            <w:tcW w:w="1661" w:type="dxa"/>
          </w:tcPr>
          <w:p>
            <w:pPr>
              <w:pStyle w:val="TableParagraph"/>
              <w:spacing w:line="206" w:lineRule="exact"/>
              <w:ind w:left="53" w:right="51"/>
              <w:rPr>
                <w:sz w:val="18"/>
              </w:rPr>
            </w:pPr>
            <w:r>
              <w:rPr>
                <w:sz w:val="18"/>
              </w:rPr>
              <w:t>$255,769,509.75</w:t>
            </w:r>
          </w:p>
        </w:tc>
        <w:tc>
          <w:tcPr>
            <w:tcW w:w="1702" w:type="dxa"/>
          </w:tcPr>
          <w:p>
            <w:pPr>
              <w:pStyle w:val="TableParagraph"/>
              <w:spacing w:line="206" w:lineRule="exact"/>
              <w:ind w:left="71" w:right="74"/>
              <w:rPr>
                <w:sz w:val="18"/>
              </w:rPr>
            </w:pPr>
            <w:r>
              <w:rPr>
                <w:sz w:val="18"/>
              </w:rPr>
              <w:t>$671,135,410.72</w:t>
            </w:r>
          </w:p>
        </w:tc>
        <w:tc>
          <w:tcPr>
            <w:tcW w:w="1961" w:type="dxa"/>
          </w:tcPr>
          <w:p>
            <w:pPr>
              <w:pStyle w:val="TableParagraph"/>
              <w:spacing w:line="206" w:lineRule="exact"/>
              <w:ind w:left="204" w:right="204"/>
              <w:rPr>
                <w:sz w:val="18"/>
              </w:rPr>
            </w:pPr>
            <w:r>
              <w:rPr>
                <w:sz w:val="18"/>
              </w:rPr>
              <w:t>$592,921.53</w:t>
            </w:r>
          </w:p>
        </w:tc>
      </w:tr>
      <w:tr>
        <w:trPr>
          <w:trHeight w:val="631" w:hRule="exact"/>
        </w:trPr>
        <w:tc>
          <w:tcPr>
            <w:tcW w:w="1620" w:type="dxa"/>
          </w:tcPr>
          <w:p>
            <w:pPr>
              <w:pStyle w:val="TableParagraph"/>
              <w:tabs>
                <w:tab w:pos="1295" w:val="left" w:leader="none"/>
              </w:tabs>
              <w:spacing w:line="362" w:lineRule="auto"/>
              <w:ind w:left="67" w:right="63"/>
              <w:jc w:val="left"/>
              <w:rPr>
                <w:b/>
                <w:sz w:val="18"/>
              </w:rPr>
            </w:pPr>
            <w:r>
              <w:rPr>
                <w:b/>
                <w:color w:val="333333"/>
                <w:sz w:val="18"/>
              </w:rPr>
              <w:t>CHAPA</w:t>
              <w:tab/>
              <w:t>DE MOTA</w:t>
            </w:r>
          </w:p>
        </w:tc>
        <w:tc>
          <w:tcPr>
            <w:tcW w:w="1726" w:type="dxa"/>
          </w:tcPr>
          <w:p>
            <w:pPr>
              <w:pStyle w:val="TableParagraph"/>
              <w:spacing w:before="155"/>
              <w:ind w:left="88" w:right="85"/>
              <w:rPr>
                <w:sz w:val="18"/>
              </w:rPr>
            </w:pPr>
            <w:r>
              <w:rPr>
                <w:sz w:val="18"/>
              </w:rPr>
              <w:t>$0.00</w:t>
            </w:r>
          </w:p>
        </w:tc>
        <w:tc>
          <w:tcPr>
            <w:tcW w:w="1392" w:type="dxa"/>
          </w:tcPr>
          <w:p>
            <w:pPr>
              <w:pStyle w:val="TableParagraph"/>
              <w:spacing w:before="155"/>
              <w:ind w:left="468"/>
              <w:jc w:val="left"/>
              <w:rPr>
                <w:sz w:val="18"/>
              </w:rPr>
            </w:pPr>
            <w:r>
              <w:rPr>
                <w:sz w:val="18"/>
              </w:rPr>
              <w:t>$0.00</w:t>
            </w:r>
          </w:p>
        </w:tc>
        <w:tc>
          <w:tcPr>
            <w:tcW w:w="1541" w:type="dxa"/>
          </w:tcPr>
          <w:p>
            <w:pPr>
              <w:pStyle w:val="TableParagraph"/>
              <w:spacing w:before="155"/>
              <w:ind w:left="520" w:right="519"/>
              <w:rPr>
                <w:sz w:val="18"/>
              </w:rPr>
            </w:pPr>
            <w:r>
              <w:rPr>
                <w:sz w:val="18"/>
              </w:rPr>
              <w:t>$0.00</w:t>
            </w:r>
          </w:p>
        </w:tc>
        <w:tc>
          <w:tcPr>
            <w:tcW w:w="1841" w:type="dxa"/>
          </w:tcPr>
          <w:p>
            <w:pPr>
              <w:pStyle w:val="TableParagraph"/>
              <w:spacing w:before="155"/>
              <w:ind w:left="144" w:right="145"/>
              <w:rPr>
                <w:sz w:val="18"/>
              </w:rPr>
            </w:pPr>
            <w:r>
              <w:rPr>
                <w:sz w:val="18"/>
              </w:rPr>
              <w:t>$0.00</w:t>
            </w:r>
          </w:p>
        </w:tc>
        <w:tc>
          <w:tcPr>
            <w:tcW w:w="1642" w:type="dxa"/>
          </w:tcPr>
          <w:p>
            <w:pPr>
              <w:pStyle w:val="TableParagraph"/>
              <w:spacing w:before="155"/>
              <w:ind w:left="45" w:right="39"/>
              <w:rPr>
                <w:sz w:val="18"/>
              </w:rPr>
            </w:pPr>
            <w:r>
              <w:rPr>
                <w:sz w:val="18"/>
              </w:rPr>
              <w:t>$0.00</w:t>
            </w:r>
          </w:p>
        </w:tc>
        <w:tc>
          <w:tcPr>
            <w:tcW w:w="1661" w:type="dxa"/>
          </w:tcPr>
          <w:p>
            <w:pPr>
              <w:pStyle w:val="TableParagraph"/>
              <w:spacing w:before="155"/>
              <w:ind w:left="53" w:right="52"/>
              <w:rPr>
                <w:sz w:val="18"/>
              </w:rPr>
            </w:pPr>
            <w:r>
              <w:rPr>
                <w:sz w:val="18"/>
              </w:rPr>
              <w:t>$0.00</w:t>
            </w:r>
          </w:p>
        </w:tc>
        <w:tc>
          <w:tcPr>
            <w:tcW w:w="1702" w:type="dxa"/>
          </w:tcPr>
          <w:p>
            <w:pPr>
              <w:pStyle w:val="TableParagraph"/>
              <w:spacing w:before="155"/>
              <w:ind w:left="74" w:right="74"/>
              <w:rPr>
                <w:sz w:val="18"/>
              </w:rPr>
            </w:pPr>
            <w:r>
              <w:rPr>
                <w:sz w:val="18"/>
              </w:rPr>
              <w:t>$0.00</w:t>
            </w:r>
          </w:p>
        </w:tc>
        <w:tc>
          <w:tcPr>
            <w:tcW w:w="1961" w:type="dxa"/>
          </w:tcPr>
          <w:p>
            <w:pPr>
              <w:pStyle w:val="TableParagraph"/>
              <w:spacing w:before="155"/>
              <w:ind w:left="203" w:right="204"/>
              <w:rPr>
                <w:sz w:val="18"/>
              </w:rPr>
            </w:pPr>
            <w:r>
              <w:rPr>
                <w:sz w:val="18"/>
              </w:rPr>
              <w:t>$0.00</w:t>
            </w:r>
          </w:p>
        </w:tc>
      </w:tr>
      <w:tr>
        <w:trPr>
          <w:trHeight w:val="461" w:hRule="exact"/>
        </w:trPr>
        <w:tc>
          <w:tcPr>
            <w:tcW w:w="1620" w:type="dxa"/>
          </w:tcPr>
          <w:p>
            <w:pPr>
              <w:pStyle w:val="TableParagraph"/>
              <w:spacing w:before="64"/>
              <w:ind w:left="67" w:right="65"/>
              <w:jc w:val="left"/>
              <w:rPr>
                <w:b/>
                <w:sz w:val="18"/>
              </w:rPr>
            </w:pPr>
            <w:r>
              <w:rPr>
                <w:b/>
                <w:color w:val="333333"/>
                <w:sz w:val="18"/>
              </w:rPr>
              <w:t>CHAPULTEPEC</w:t>
            </w:r>
          </w:p>
        </w:tc>
        <w:tc>
          <w:tcPr>
            <w:tcW w:w="1726" w:type="dxa"/>
          </w:tcPr>
          <w:p>
            <w:pPr>
              <w:pStyle w:val="TableParagraph"/>
              <w:spacing w:before="68"/>
              <w:ind w:left="88" w:right="85"/>
              <w:rPr>
                <w:sz w:val="18"/>
              </w:rPr>
            </w:pPr>
            <w:r>
              <w:rPr>
                <w:sz w:val="18"/>
              </w:rPr>
              <w:t>$0.00</w:t>
            </w:r>
          </w:p>
        </w:tc>
        <w:tc>
          <w:tcPr>
            <w:tcW w:w="1392" w:type="dxa"/>
          </w:tcPr>
          <w:p>
            <w:pPr>
              <w:pStyle w:val="TableParagraph"/>
              <w:spacing w:before="68"/>
              <w:ind w:left="468"/>
              <w:jc w:val="left"/>
              <w:rPr>
                <w:sz w:val="18"/>
              </w:rPr>
            </w:pPr>
            <w:r>
              <w:rPr>
                <w:sz w:val="18"/>
              </w:rPr>
              <w:t>$0.00</w:t>
            </w:r>
          </w:p>
        </w:tc>
        <w:tc>
          <w:tcPr>
            <w:tcW w:w="1541" w:type="dxa"/>
          </w:tcPr>
          <w:p>
            <w:pPr>
              <w:pStyle w:val="TableParagraph"/>
              <w:spacing w:before="68"/>
              <w:ind w:left="520" w:right="519"/>
              <w:rPr>
                <w:sz w:val="18"/>
              </w:rPr>
            </w:pPr>
            <w:r>
              <w:rPr>
                <w:sz w:val="18"/>
              </w:rPr>
              <w:t>$0.00</w:t>
            </w:r>
          </w:p>
        </w:tc>
        <w:tc>
          <w:tcPr>
            <w:tcW w:w="1841" w:type="dxa"/>
          </w:tcPr>
          <w:p>
            <w:pPr>
              <w:pStyle w:val="TableParagraph"/>
              <w:spacing w:before="68"/>
              <w:ind w:left="144" w:right="145"/>
              <w:rPr>
                <w:sz w:val="18"/>
              </w:rPr>
            </w:pPr>
            <w:r>
              <w:rPr>
                <w:sz w:val="18"/>
              </w:rPr>
              <w:t>$0.00</w:t>
            </w:r>
          </w:p>
        </w:tc>
        <w:tc>
          <w:tcPr>
            <w:tcW w:w="1642" w:type="dxa"/>
          </w:tcPr>
          <w:p>
            <w:pPr>
              <w:pStyle w:val="TableParagraph"/>
              <w:spacing w:before="68"/>
              <w:ind w:left="45" w:right="39"/>
              <w:rPr>
                <w:sz w:val="18"/>
              </w:rPr>
            </w:pPr>
            <w:r>
              <w:rPr>
                <w:sz w:val="18"/>
              </w:rPr>
              <w:t>$0.00</w:t>
            </w:r>
          </w:p>
        </w:tc>
        <w:tc>
          <w:tcPr>
            <w:tcW w:w="1661" w:type="dxa"/>
          </w:tcPr>
          <w:p>
            <w:pPr>
              <w:pStyle w:val="TableParagraph"/>
              <w:spacing w:before="68"/>
              <w:ind w:left="53" w:right="52"/>
              <w:rPr>
                <w:sz w:val="18"/>
              </w:rPr>
            </w:pPr>
            <w:r>
              <w:rPr>
                <w:sz w:val="18"/>
              </w:rPr>
              <w:t>$0.00</w:t>
            </w:r>
          </w:p>
        </w:tc>
        <w:tc>
          <w:tcPr>
            <w:tcW w:w="1702" w:type="dxa"/>
          </w:tcPr>
          <w:p>
            <w:pPr>
              <w:pStyle w:val="TableParagraph"/>
              <w:spacing w:before="68"/>
              <w:ind w:left="74" w:right="74"/>
              <w:rPr>
                <w:sz w:val="18"/>
              </w:rPr>
            </w:pPr>
            <w:r>
              <w:rPr>
                <w:sz w:val="18"/>
              </w:rPr>
              <w:t>$0.00</w:t>
            </w:r>
          </w:p>
        </w:tc>
        <w:tc>
          <w:tcPr>
            <w:tcW w:w="1961" w:type="dxa"/>
          </w:tcPr>
          <w:p>
            <w:pPr>
              <w:pStyle w:val="TableParagraph"/>
              <w:spacing w:before="68"/>
              <w:ind w:left="203" w:right="204"/>
              <w:rPr>
                <w:sz w:val="18"/>
              </w:rPr>
            </w:pPr>
            <w:r>
              <w:rPr>
                <w:sz w:val="18"/>
              </w:rPr>
              <w:t>$0.00</w:t>
            </w:r>
          </w:p>
        </w:tc>
      </w:tr>
      <w:tr>
        <w:trPr>
          <w:trHeight w:val="319" w:hRule="exact"/>
        </w:trPr>
        <w:tc>
          <w:tcPr>
            <w:tcW w:w="1620" w:type="dxa"/>
          </w:tcPr>
          <w:p>
            <w:pPr>
              <w:pStyle w:val="TableParagraph"/>
              <w:spacing w:line="201" w:lineRule="exact"/>
              <w:ind w:left="67" w:right="65"/>
              <w:jc w:val="left"/>
              <w:rPr>
                <w:b/>
                <w:sz w:val="18"/>
              </w:rPr>
            </w:pPr>
            <w:r>
              <w:rPr>
                <w:b/>
                <w:color w:val="333333"/>
                <w:sz w:val="18"/>
              </w:rPr>
              <w:t>CHIAUTLA</w:t>
            </w:r>
          </w:p>
        </w:tc>
        <w:tc>
          <w:tcPr>
            <w:tcW w:w="1726" w:type="dxa"/>
          </w:tcPr>
          <w:p>
            <w:pPr>
              <w:pStyle w:val="TableParagraph"/>
              <w:spacing w:line="206" w:lineRule="exact"/>
              <w:ind w:left="88" w:right="85"/>
              <w:rPr>
                <w:sz w:val="18"/>
              </w:rPr>
            </w:pPr>
            <w:r>
              <w:rPr>
                <w:sz w:val="18"/>
              </w:rPr>
              <w:t>$0.00</w:t>
            </w:r>
          </w:p>
        </w:tc>
        <w:tc>
          <w:tcPr>
            <w:tcW w:w="1392" w:type="dxa"/>
          </w:tcPr>
          <w:p>
            <w:pPr>
              <w:pStyle w:val="TableParagraph"/>
              <w:spacing w:line="206" w:lineRule="exact"/>
              <w:ind w:left="468"/>
              <w:jc w:val="left"/>
              <w:rPr>
                <w:sz w:val="18"/>
              </w:rPr>
            </w:pPr>
            <w:r>
              <w:rPr>
                <w:sz w:val="18"/>
              </w:rPr>
              <w:t>$0.00</w:t>
            </w:r>
          </w:p>
        </w:tc>
        <w:tc>
          <w:tcPr>
            <w:tcW w:w="1541" w:type="dxa"/>
          </w:tcPr>
          <w:p>
            <w:pPr>
              <w:pStyle w:val="TableParagraph"/>
              <w:spacing w:line="206" w:lineRule="exact"/>
              <w:ind w:left="520" w:right="519"/>
              <w:rPr>
                <w:sz w:val="18"/>
              </w:rPr>
            </w:pPr>
            <w:r>
              <w:rPr>
                <w:sz w:val="18"/>
              </w:rPr>
              <w:t>$0.00</w:t>
            </w:r>
          </w:p>
        </w:tc>
        <w:tc>
          <w:tcPr>
            <w:tcW w:w="1841" w:type="dxa"/>
          </w:tcPr>
          <w:p>
            <w:pPr>
              <w:pStyle w:val="TableParagraph"/>
              <w:spacing w:line="206" w:lineRule="exact"/>
              <w:ind w:left="144" w:right="145"/>
              <w:rPr>
                <w:sz w:val="18"/>
              </w:rPr>
            </w:pPr>
            <w:r>
              <w:rPr>
                <w:sz w:val="18"/>
              </w:rPr>
              <w:t>$0.00</w:t>
            </w:r>
          </w:p>
        </w:tc>
        <w:tc>
          <w:tcPr>
            <w:tcW w:w="1642" w:type="dxa"/>
          </w:tcPr>
          <w:p>
            <w:pPr>
              <w:pStyle w:val="TableParagraph"/>
              <w:spacing w:line="206" w:lineRule="exact"/>
              <w:ind w:left="45" w:right="39"/>
              <w:rPr>
                <w:sz w:val="18"/>
              </w:rPr>
            </w:pPr>
            <w:r>
              <w:rPr>
                <w:sz w:val="18"/>
              </w:rPr>
              <w:t>$0.00</w:t>
            </w:r>
          </w:p>
        </w:tc>
        <w:tc>
          <w:tcPr>
            <w:tcW w:w="1661" w:type="dxa"/>
          </w:tcPr>
          <w:p>
            <w:pPr>
              <w:pStyle w:val="TableParagraph"/>
              <w:spacing w:line="206" w:lineRule="exact"/>
              <w:ind w:left="53" w:right="52"/>
              <w:rPr>
                <w:sz w:val="18"/>
              </w:rPr>
            </w:pPr>
            <w:r>
              <w:rPr>
                <w:sz w:val="18"/>
              </w:rPr>
              <w:t>$0.00</w:t>
            </w:r>
          </w:p>
        </w:tc>
        <w:tc>
          <w:tcPr>
            <w:tcW w:w="1702" w:type="dxa"/>
          </w:tcPr>
          <w:p>
            <w:pPr>
              <w:pStyle w:val="TableParagraph"/>
              <w:spacing w:line="206" w:lineRule="exact"/>
              <w:ind w:left="74" w:right="74"/>
              <w:rPr>
                <w:sz w:val="18"/>
              </w:rPr>
            </w:pPr>
            <w:r>
              <w:rPr>
                <w:sz w:val="18"/>
              </w:rPr>
              <w:t>$0.00</w:t>
            </w:r>
          </w:p>
        </w:tc>
        <w:tc>
          <w:tcPr>
            <w:tcW w:w="1961" w:type="dxa"/>
          </w:tcPr>
          <w:p>
            <w:pPr>
              <w:pStyle w:val="TableParagraph"/>
              <w:spacing w:line="206" w:lineRule="exact"/>
              <w:ind w:left="203" w:right="204"/>
              <w:rPr>
                <w:sz w:val="18"/>
              </w:rPr>
            </w:pPr>
            <w:r>
              <w:rPr>
                <w:sz w:val="18"/>
              </w:rPr>
              <w:t>$0.00</w:t>
            </w:r>
          </w:p>
        </w:tc>
      </w:tr>
      <w:tr>
        <w:trPr>
          <w:trHeight w:val="461" w:hRule="exact"/>
        </w:trPr>
        <w:tc>
          <w:tcPr>
            <w:tcW w:w="1620" w:type="dxa"/>
          </w:tcPr>
          <w:p>
            <w:pPr>
              <w:pStyle w:val="TableParagraph"/>
              <w:spacing w:before="66"/>
              <w:ind w:left="67" w:right="65"/>
              <w:jc w:val="left"/>
              <w:rPr>
                <w:b/>
                <w:sz w:val="18"/>
              </w:rPr>
            </w:pPr>
            <w:r>
              <w:rPr>
                <w:b/>
                <w:color w:val="333333"/>
                <w:sz w:val="18"/>
              </w:rPr>
              <w:t>CHICOLOAPAN</w:t>
            </w:r>
          </w:p>
        </w:tc>
        <w:tc>
          <w:tcPr>
            <w:tcW w:w="1726" w:type="dxa"/>
          </w:tcPr>
          <w:p>
            <w:pPr>
              <w:pStyle w:val="TableParagraph"/>
              <w:spacing w:before="71"/>
              <w:ind w:left="88" w:right="85"/>
              <w:rPr>
                <w:sz w:val="18"/>
              </w:rPr>
            </w:pPr>
            <w:r>
              <w:rPr>
                <w:sz w:val="18"/>
              </w:rPr>
              <w:t>$0.00</w:t>
            </w:r>
          </w:p>
        </w:tc>
        <w:tc>
          <w:tcPr>
            <w:tcW w:w="1392" w:type="dxa"/>
          </w:tcPr>
          <w:p>
            <w:pPr>
              <w:pStyle w:val="TableParagraph"/>
              <w:spacing w:before="71"/>
              <w:ind w:left="468"/>
              <w:jc w:val="left"/>
              <w:rPr>
                <w:sz w:val="18"/>
              </w:rPr>
            </w:pPr>
            <w:r>
              <w:rPr>
                <w:sz w:val="18"/>
              </w:rPr>
              <w:t>$0.00</w:t>
            </w:r>
          </w:p>
        </w:tc>
        <w:tc>
          <w:tcPr>
            <w:tcW w:w="1541" w:type="dxa"/>
          </w:tcPr>
          <w:p>
            <w:pPr>
              <w:pStyle w:val="TableParagraph"/>
              <w:spacing w:before="71"/>
              <w:ind w:left="520" w:right="519"/>
              <w:rPr>
                <w:sz w:val="18"/>
              </w:rPr>
            </w:pPr>
            <w:r>
              <w:rPr>
                <w:sz w:val="18"/>
              </w:rPr>
              <w:t>$0.00</w:t>
            </w:r>
          </w:p>
        </w:tc>
        <w:tc>
          <w:tcPr>
            <w:tcW w:w="1841" w:type="dxa"/>
          </w:tcPr>
          <w:p>
            <w:pPr>
              <w:pStyle w:val="TableParagraph"/>
              <w:spacing w:before="71"/>
              <w:ind w:left="144" w:right="145"/>
              <w:rPr>
                <w:sz w:val="18"/>
              </w:rPr>
            </w:pPr>
            <w:r>
              <w:rPr>
                <w:sz w:val="18"/>
              </w:rPr>
              <w:t>$0.00</w:t>
            </w:r>
          </w:p>
        </w:tc>
        <w:tc>
          <w:tcPr>
            <w:tcW w:w="1642" w:type="dxa"/>
          </w:tcPr>
          <w:p>
            <w:pPr>
              <w:pStyle w:val="TableParagraph"/>
              <w:spacing w:before="71"/>
              <w:ind w:left="45" w:right="39"/>
              <w:rPr>
                <w:sz w:val="18"/>
              </w:rPr>
            </w:pPr>
            <w:r>
              <w:rPr>
                <w:sz w:val="18"/>
              </w:rPr>
              <w:t>$0.00</w:t>
            </w:r>
          </w:p>
        </w:tc>
        <w:tc>
          <w:tcPr>
            <w:tcW w:w="1661" w:type="dxa"/>
          </w:tcPr>
          <w:p>
            <w:pPr>
              <w:pStyle w:val="TableParagraph"/>
              <w:spacing w:before="71"/>
              <w:ind w:left="53" w:right="52"/>
              <w:rPr>
                <w:sz w:val="18"/>
              </w:rPr>
            </w:pPr>
            <w:r>
              <w:rPr>
                <w:sz w:val="18"/>
              </w:rPr>
              <w:t>$0.00</w:t>
            </w:r>
          </w:p>
        </w:tc>
        <w:tc>
          <w:tcPr>
            <w:tcW w:w="1702" w:type="dxa"/>
          </w:tcPr>
          <w:p>
            <w:pPr>
              <w:pStyle w:val="TableParagraph"/>
              <w:spacing w:before="71"/>
              <w:ind w:left="74" w:right="74"/>
              <w:rPr>
                <w:sz w:val="18"/>
              </w:rPr>
            </w:pPr>
            <w:r>
              <w:rPr>
                <w:sz w:val="18"/>
              </w:rPr>
              <w:t>$0.00</w:t>
            </w:r>
          </w:p>
        </w:tc>
        <w:tc>
          <w:tcPr>
            <w:tcW w:w="1961" w:type="dxa"/>
          </w:tcPr>
          <w:p>
            <w:pPr>
              <w:pStyle w:val="TableParagraph"/>
              <w:spacing w:before="71"/>
              <w:ind w:left="203" w:right="204"/>
              <w:rPr>
                <w:sz w:val="18"/>
              </w:rPr>
            </w:pPr>
            <w:r>
              <w:rPr>
                <w:sz w:val="18"/>
              </w:rPr>
              <w:t>$0.00</w:t>
            </w:r>
          </w:p>
        </w:tc>
      </w:tr>
      <w:tr>
        <w:trPr>
          <w:trHeight w:val="461" w:hRule="exact"/>
        </w:trPr>
        <w:tc>
          <w:tcPr>
            <w:tcW w:w="1620" w:type="dxa"/>
          </w:tcPr>
          <w:p>
            <w:pPr>
              <w:pStyle w:val="TableParagraph"/>
              <w:spacing w:before="64"/>
              <w:ind w:left="67" w:right="65"/>
              <w:jc w:val="left"/>
              <w:rPr>
                <w:b/>
                <w:sz w:val="18"/>
              </w:rPr>
            </w:pPr>
            <w:r>
              <w:rPr>
                <w:b/>
                <w:color w:val="333333"/>
                <w:sz w:val="18"/>
              </w:rPr>
              <w:t>CHICONCUAC</w:t>
            </w:r>
          </w:p>
        </w:tc>
        <w:tc>
          <w:tcPr>
            <w:tcW w:w="1726" w:type="dxa"/>
          </w:tcPr>
          <w:p>
            <w:pPr>
              <w:pStyle w:val="TableParagraph"/>
              <w:spacing w:before="68"/>
              <w:ind w:left="88" w:right="85"/>
              <w:rPr>
                <w:sz w:val="18"/>
              </w:rPr>
            </w:pPr>
            <w:r>
              <w:rPr>
                <w:sz w:val="18"/>
              </w:rPr>
              <w:t>$0.00</w:t>
            </w:r>
          </w:p>
        </w:tc>
        <w:tc>
          <w:tcPr>
            <w:tcW w:w="1392" w:type="dxa"/>
          </w:tcPr>
          <w:p>
            <w:pPr>
              <w:pStyle w:val="TableParagraph"/>
              <w:spacing w:before="68"/>
              <w:ind w:left="468"/>
              <w:jc w:val="left"/>
              <w:rPr>
                <w:sz w:val="18"/>
              </w:rPr>
            </w:pPr>
            <w:r>
              <w:rPr>
                <w:sz w:val="18"/>
              </w:rPr>
              <w:t>$0.00</w:t>
            </w:r>
          </w:p>
        </w:tc>
        <w:tc>
          <w:tcPr>
            <w:tcW w:w="1541" w:type="dxa"/>
          </w:tcPr>
          <w:p>
            <w:pPr>
              <w:pStyle w:val="TableParagraph"/>
              <w:spacing w:before="68"/>
              <w:ind w:left="520" w:right="519"/>
              <w:rPr>
                <w:sz w:val="18"/>
              </w:rPr>
            </w:pPr>
            <w:r>
              <w:rPr>
                <w:sz w:val="18"/>
              </w:rPr>
              <w:t>$0.00</w:t>
            </w:r>
          </w:p>
        </w:tc>
        <w:tc>
          <w:tcPr>
            <w:tcW w:w="1841" w:type="dxa"/>
          </w:tcPr>
          <w:p>
            <w:pPr>
              <w:pStyle w:val="TableParagraph"/>
              <w:spacing w:before="68"/>
              <w:ind w:left="144" w:right="145"/>
              <w:rPr>
                <w:sz w:val="18"/>
              </w:rPr>
            </w:pPr>
            <w:r>
              <w:rPr>
                <w:sz w:val="18"/>
              </w:rPr>
              <w:t>$0.00</w:t>
            </w:r>
          </w:p>
        </w:tc>
        <w:tc>
          <w:tcPr>
            <w:tcW w:w="1642" w:type="dxa"/>
          </w:tcPr>
          <w:p>
            <w:pPr>
              <w:pStyle w:val="TableParagraph"/>
              <w:spacing w:before="68"/>
              <w:ind w:left="45" w:right="39"/>
              <w:rPr>
                <w:sz w:val="18"/>
              </w:rPr>
            </w:pPr>
            <w:r>
              <w:rPr>
                <w:sz w:val="18"/>
              </w:rPr>
              <w:t>$0.00</w:t>
            </w:r>
          </w:p>
        </w:tc>
        <w:tc>
          <w:tcPr>
            <w:tcW w:w="1661" w:type="dxa"/>
          </w:tcPr>
          <w:p>
            <w:pPr>
              <w:pStyle w:val="TableParagraph"/>
              <w:spacing w:before="68"/>
              <w:ind w:left="53" w:right="52"/>
              <w:rPr>
                <w:sz w:val="18"/>
              </w:rPr>
            </w:pPr>
            <w:r>
              <w:rPr>
                <w:sz w:val="18"/>
              </w:rPr>
              <w:t>$0.00</w:t>
            </w:r>
          </w:p>
        </w:tc>
        <w:tc>
          <w:tcPr>
            <w:tcW w:w="1702" w:type="dxa"/>
          </w:tcPr>
          <w:p>
            <w:pPr>
              <w:pStyle w:val="TableParagraph"/>
              <w:spacing w:before="68"/>
              <w:ind w:left="74" w:right="74"/>
              <w:rPr>
                <w:sz w:val="18"/>
              </w:rPr>
            </w:pPr>
            <w:r>
              <w:rPr>
                <w:sz w:val="18"/>
              </w:rPr>
              <w:t>$0.00</w:t>
            </w:r>
          </w:p>
        </w:tc>
        <w:tc>
          <w:tcPr>
            <w:tcW w:w="1961" w:type="dxa"/>
          </w:tcPr>
          <w:p>
            <w:pPr>
              <w:pStyle w:val="TableParagraph"/>
              <w:spacing w:before="68"/>
              <w:ind w:left="203" w:right="204"/>
              <w:rPr>
                <w:sz w:val="18"/>
              </w:rPr>
            </w:pPr>
            <w:r>
              <w:rPr>
                <w:sz w:val="18"/>
              </w:rPr>
              <w:t>$0.00</w:t>
            </w:r>
          </w:p>
        </w:tc>
      </w:tr>
      <w:tr>
        <w:trPr>
          <w:trHeight w:val="458" w:hRule="exact"/>
        </w:trPr>
        <w:tc>
          <w:tcPr>
            <w:tcW w:w="1620" w:type="dxa"/>
          </w:tcPr>
          <w:p>
            <w:pPr>
              <w:pStyle w:val="TableParagraph"/>
              <w:spacing w:before="64"/>
              <w:ind w:left="67"/>
              <w:jc w:val="left"/>
              <w:rPr>
                <w:b/>
                <w:sz w:val="18"/>
              </w:rPr>
            </w:pPr>
            <w:r>
              <w:rPr>
                <w:b/>
                <w:color w:val="333333"/>
                <w:sz w:val="18"/>
              </w:rPr>
              <w:t>CHIMALHUACAN</w:t>
            </w:r>
          </w:p>
        </w:tc>
        <w:tc>
          <w:tcPr>
            <w:tcW w:w="1726" w:type="dxa"/>
          </w:tcPr>
          <w:p>
            <w:pPr>
              <w:pStyle w:val="TableParagraph"/>
              <w:spacing w:before="68"/>
              <w:ind w:left="88" w:right="86"/>
              <w:rPr>
                <w:sz w:val="18"/>
              </w:rPr>
            </w:pPr>
            <w:r>
              <w:rPr>
                <w:sz w:val="18"/>
              </w:rPr>
              <w:t>$1,204,749,689.00</w:t>
            </w:r>
          </w:p>
        </w:tc>
        <w:tc>
          <w:tcPr>
            <w:tcW w:w="1392" w:type="dxa"/>
          </w:tcPr>
          <w:p>
            <w:pPr>
              <w:pStyle w:val="TableParagraph"/>
              <w:spacing w:before="68"/>
              <w:ind w:left="468"/>
              <w:jc w:val="left"/>
              <w:rPr>
                <w:sz w:val="18"/>
              </w:rPr>
            </w:pPr>
            <w:r>
              <w:rPr>
                <w:sz w:val="18"/>
              </w:rPr>
              <w:t>$0.00</w:t>
            </w:r>
          </w:p>
        </w:tc>
        <w:tc>
          <w:tcPr>
            <w:tcW w:w="1541" w:type="dxa"/>
          </w:tcPr>
          <w:p>
            <w:pPr>
              <w:pStyle w:val="TableParagraph"/>
              <w:spacing w:before="68"/>
              <w:ind w:left="520" w:right="519"/>
              <w:rPr>
                <w:sz w:val="18"/>
              </w:rPr>
            </w:pPr>
            <w:r>
              <w:rPr>
                <w:sz w:val="18"/>
              </w:rPr>
              <w:t>$0.00</w:t>
            </w:r>
          </w:p>
        </w:tc>
        <w:tc>
          <w:tcPr>
            <w:tcW w:w="1841" w:type="dxa"/>
          </w:tcPr>
          <w:p>
            <w:pPr>
              <w:pStyle w:val="TableParagraph"/>
              <w:spacing w:before="68"/>
              <w:ind w:left="144" w:right="145"/>
              <w:rPr>
                <w:sz w:val="18"/>
              </w:rPr>
            </w:pPr>
            <w:r>
              <w:rPr>
                <w:sz w:val="18"/>
              </w:rPr>
              <w:t>$1,204,749,689.00</w:t>
            </w:r>
          </w:p>
        </w:tc>
        <w:tc>
          <w:tcPr>
            <w:tcW w:w="1642" w:type="dxa"/>
          </w:tcPr>
          <w:p>
            <w:pPr>
              <w:pStyle w:val="TableParagraph"/>
              <w:spacing w:before="68"/>
              <w:ind w:left="45" w:right="41"/>
              <w:rPr>
                <w:sz w:val="18"/>
              </w:rPr>
            </w:pPr>
            <w:r>
              <w:rPr>
                <w:sz w:val="18"/>
              </w:rPr>
              <w:t>$1,293,513,784.00</w:t>
            </w:r>
          </w:p>
        </w:tc>
        <w:tc>
          <w:tcPr>
            <w:tcW w:w="1661" w:type="dxa"/>
          </w:tcPr>
          <w:p>
            <w:pPr>
              <w:pStyle w:val="TableParagraph"/>
              <w:spacing w:before="68"/>
              <w:ind w:left="53" w:right="52"/>
              <w:rPr>
                <w:sz w:val="18"/>
              </w:rPr>
            </w:pPr>
            <w:r>
              <w:rPr>
                <w:sz w:val="18"/>
              </w:rPr>
              <w:t>$0.00</w:t>
            </w:r>
          </w:p>
        </w:tc>
        <w:tc>
          <w:tcPr>
            <w:tcW w:w="1702" w:type="dxa"/>
          </w:tcPr>
          <w:p>
            <w:pPr>
              <w:pStyle w:val="TableParagraph"/>
              <w:spacing w:before="68"/>
              <w:ind w:left="74" w:right="74"/>
              <w:rPr>
                <w:sz w:val="18"/>
              </w:rPr>
            </w:pPr>
            <w:r>
              <w:rPr>
                <w:sz w:val="18"/>
              </w:rPr>
              <w:t>$0.00</w:t>
            </w:r>
          </w:p>
        </w:tc>
        <w:tc>
          <w:tcPr>
            <w:tcW w:w="1961" w:type="dxa"/>
          </w:tcPr>
          <w:p>
            <w:pPr>
              <w:pStyle w:val="TableParagraph"/>
              <w:spacing w:before="68"/>
              <w:ind w:left="204" w:right="204"/>
              <w:rPr>
                <w:sz w:val="18"/>
              </w:rPr>
            </w:pPr>
            <w:r>
              <w:rPr>
                <w:sz w:val="18"/>
              </w:rPr>
              <w:t>$1,293,513,784.00</w:t>
            </w:r>
          </w:p>
        </w:tc>
      </w:tr>
      <w:tr>
        <w:trPr>
          <w:trHeight w:val="631" w:hRule="exact"/>
        </w:trPr>
        <w:tc>
          <w:tcPr>
            <w:tcW w:w="1620" w:type="dxa"/>
          </w:tcPr>
          <w:p>
            <w:pPr>
              <w:pStyle w:val="TableParagraph"/>
              <w:spacing w:line="362" w:lineRule="auto"/>
              <w:ind w:left="67" w:right="65"/>
              <w:jc w:val="left"/>
              <w:rPr>
                <w:b/>
                <w:sz w:val="18"/>
              </w:rPr>
            </w:pPr>
            <w:r>
              <w:rPr>
                <w:b/>
                <w:color w:val="333333"/>
                <w:sz w:val="18"/>
              </w:rPr>
              <w:t>COACALCO DE BERRIOZABAL</w:t>
            </w:r>
          </w:p>
        </w:tc>
        <w:tc>
          <w:tcPr>
            <w:tcW w:w="1726" w:type="dxa"/>
          </w:tcPr>
          <w:p>
            <w:pPr>
              <w:pStyle w:val="TableParagraph"/>
              <w:spacing w:before="155"/>
              <w:ind w:left="88" w:right="85"/>
              <w:rPr>
                <w:sz w:val="18"/>
              </w:rPr>
            </w:pPr>
            <w:r>
              <w:rPr>
                <w:sz w:val="18"/>
              </w:rPr>
              <w:t>$0.00</w:t>
            </w:r>
          </w:p>
        </w:tc>
        <w:tc>
          <w:tcPr>
            <w:tcW w:w="1392" w:type="dxa"/>
          </w:tcPr>
          <w:p>
            <w:pPr>
              <w:pStyle w:val="TableParagraph"/>
              <w:spacing w:before="155"/>
              <w:ind w:left="468"/>
              <w:jc w:val="left"/>
              <w:rPr>
                <w:sz w:val="18"/>
              </w:rPr>
            </w:pPr>
            <w:r>
              <w:rPr>
                <w:sz w:val="18"/>
              </w:rPr>
              <w:t>$0.00</w:t>
            </w:r>
          </w:p>
        </w:tc>
        <w:tc>
          <w:tcPr>
            <w:tcW w:w="1541" w:type="dxa"/>
          </w:tcPr>
          <w:p>
            <w:pPr>
              <w:pStyle w:val="TableParagraph"/>
              <w:spacing w:before="155"/>
              <w:ind w:left="520" w:right="519"/>
              <w:rPr>
                <w:sz w:val="18"/>
              </w:rPr>
            </w:pPr>
            <w:r>
              <w:rPr>
                <w:sz w:val="18"/>
              </w:rPr>
              <w:t>$0.00</w:t>
            </w:r>
          </w:p>
        </w:tc>
        <w:tc>
          <w:tcPr>
            <w:tcW w:w="1841" w:type="dxa"/>
          </w:tcPr>
          <w:p>
            <w:pPr>
              <w:pStyle w:val="TableParagraph"/>
              <w:spacing w:before="155"/>
              <w:ind w:left="144" w:right="145"/>
              <w:rPr>
                <w:sz w:val="18"/>
              </w:rPr>
            </w:pPr>
            <w:r>
              <w:rPr>
                <w:sz w:val="18"/>
              </w:rPr>
              <w:t>$0.00</w:t>
            </w:r>
          </w:p>
        </w:tc>
        <w:tc>
          <w:tcPr>
            <w:tcW w:w="1642" w:type="dxa"/>
          </w:tcPr>
          <w:p>
            <w:pPr>
              <w:pStyle w:val="TableParagraph"/>
              <w:spacing w:before="155"/>
              <w:ind w:left="45" w:right="39"/>
              <w:rPr>
                <w:sz w:val="18"/>
              </w:rPr>
            </w:pPr>
            <w:r>
              <w:rPr>
                <w:sz w:val="18"/>
              </w:rPr>
              <w:t>$0.00</w:t>
            </w:r>
          </w:p>
        </w:tc>
        <w:tc>
          <w:tcPr>
            <w:tcW w:w="1661" w:type="dxa"/>
          </w:tcPr>
          <w:p>
            <w:pPr>
              <w:pStyle w:val="TableParagraph"/>
              <w:spacing w:before="155"/>
              <w:ind w:left="53" w:right="52"/>
              <w:rPr>
                <w:sz w:val="18"/>
              </w:rPr>
            </w:pPr>
            <w:r>
              <w:rPr>
                <w:sz w:val="18"/>
              </w:rPr>
              <w:t>$0.00</w:t>
            </w:r>
          </w:p>
        </w:tc>
        <w:tc>
          <w:tcPr>
            <w:tcW w:w="1702" w:type="dxa"/>
          </w:tcPr>
          <w:p>
            <w:pPr>
              <w:pStyle w:val="TableParagraph"/>
              <w:spacing w:before="155"/>
              <w:ind w:left="74" w:right="74"/>
              <w:rPr>
                <w:sz w:val="18"/>
              </w:rPr>
            </w:pPr>
            <w:r>
              <w:rPr>
                <w:sz w:val="18"/>
              </w:rPr>
              <w:t>$0.00</w:t>
            </w:r>
          </w:p>
        </w:tc>
        <w:tc>
          <w:tcPr>
            <w:tcW w:w="1961" w:type="dxa"/>
          </w:tcPr>
          <w:p>
            <w:pPr>
              <w:pStyle w:val="TableParagraph"/>
              <w:spacing w:before="155"/>
              <w:ind w:left="203" w:right="204"/>
              <w:rPr>
                <w:sz w:val="18"/>
              </w:rPr>
            </w:pPr>
            <w:r>
              <w:rPr>
                <w:sz w:val="18"/>
              </w:rPr>
              <w:t>$0.00</w:t>
            </w:r>
          </w:p>
        </w:tc>
      </w:tr>
      <w:tr>
        <w:trPr>
          <w:trHeight w:val="631" w:hRule="exact"/>
        </w:trPr>
        <w:tc>
          <w:tcPr>
            <w:tcW w:w="1620" w:type="dxa"/>
          </w:tcPr>
          <w:p>
            <w:pPr>
              <w:pStyle w:val="TableParagraph"/>
              <w:spacing w:line="362" w:lineRule="auto"/>
              <w:ind w:left="67" w:right="523"/>
              <w:jc w:val="left"/>
              <w:rPr>
                <w:b/>
                <w:sz w:val="18"/>
              </w:rPr>
            </w:pPr>
            <w:r>
              <w:rPr>
                <w:b/>
                <w:color w:val="333333"/>
                <w:sz w:val="18"/>
              </w:rPr>
              <w:t>COATEPEC HARINAS</w:t>
            </w:r>
          </w:p>
        </w:tc>
        <w:tc>
          <w:tcPr>
            <w:tcW w:w="1726" w:type="dxa"/>
          </w:tcPr>
          <w:p>
            <w:pPr>
              <w:pStyle w:val="TableParagraph"/>
              <w:spacing w:before="155"/>
              <w:ind w:left="88" w:right="85"/>
              <w:rPr>
                <w:sz w:val="18"/>
              </w:rPr>
            </w:pPr>
            <w:r>
              <w:rPr>
                <w:sz w:val="18"/>
              </w:rPr>
              <w:t>$0.00</w:t>
            </w:r>
          </w:p>
        </w:tc>
        <w:tc>
          <w:tcPr>
            <w:tcW w:w="1392" w:type="dxa"/>
          </w:tcPr>
          <w:p>
            <w:pPr>
              <w:pStyle w:val="TableParagraph"/>
              <w:spacing w:before="155"/>
              <w:ind w:left="468"/>
              <w:jc w:val="left"/>
              <w:rPr>
                <w:sz w:val="18"/>
              </w:rPr>
            </w:pPr>
            <w:r>
              <w:rPr>
                <w:sz w:val="18"/>
              </w:rPr>
              <w:t>$0.00</w:t>
            </w:r>
          </w:p>
        </w:tc>
        <w:tc>
          <w:tcPr>
            <w:tcW w:w="1541" w:type="dxa"/>
          </w:tcPr>
          <w:p>
            <w:pPr>
              <w:pStyle w:val="TableParagraph"/>
              <w:spacing w:before="155"/>
              <w:ind w:left="520" w:right="519"/>
              <w:rPr>
                <w:sz w:val="18"/>
              </w:rPr>
            </w:pPr>
            <w:r>
              <w:rPr>
                <w:sz w:val="18"/>
              </w:rPr>
              <w:t>$0.00</w:t>
            </w:r>
          </w:p>
        </w:tc>
        <w:tc>
          <w:tcPr>
            <w:tcW w:w="1841" w:type="dxa"/>
          </w:tcPr>
          <w:p>
            <w:pPr>
              <w:pStyle w:val="TableParagraph"/>
              <w:spacing w:before="155"/>
              <w:ind w:left="144" w:right="145"/>
              <w:rPr>
                <w:sz w:val="18"/>
              </w:rPr>
            </w:pPr>
            <w:r>
              <w:rPr>
                <w:sz w:val="18"/>
              </w:rPr>
              <w:t>$0.00</w:t>
            </w:r>
          </w:p>
        </w:tc>
        <w:tc>
          <w:tcPr>
            <w:tcW w:w="1642" w:type="dxa"/>
          </w:tcPr>
          <w:p>
            <w:pPr>
              <w:pStyle w:val="TableParagraph"/>
              <w:spacing w:before="155"/>
              <w:ind w:left="45" w:right="39"/>
              <w:rPr>
                <w:sz w:val="18"/>
              </w:rPr>
            </w:pPr>
            <w:r>
              <w:rPr>
                <w:sz w:val="18"/>
              </w:rPr>
              <w:t>$0.00</w:t>
            </w:r>
          </w:p>
        </w:tc>
        <w:tc>
          <w:tcPr>
            <w:tcW w:w="1661" w:type="dxa"/>
          </w:tcPr>
          <w:p>
            <w:pPr>
              <w:pStyle w:val="TableParagraph"/>
              <w:spacing w:before="155"/>
              <w:ind w:left="53" w:right="52"/>
              <w:rPr>
                <w:sz w:val="18"/>
              </w:rPr>
            </w:pPr>
            <w:r>
              <w:rPr>
                <w:sz w:val="18"/>
              </w:rPr>
              <w:t>$0.00</w:t>
            </w:r>
          </w:p>
        </w:tc>
        <w:tc>
          <w:tcPr>
            <w:tcW w:w="1702" w:type="dxa"/>
          </w:tcPr>
          <w:p>
            <w:pPr>
              <w:pStyle w:val="TableParagraph"/>
              <w:spacing w:before="155"/>
              <w:ind w:left="74" w:right="74"/>
              <w:rPr>
                <w:sz w:val="18"/>
              </w:rPr>
            </w:pPr>
            <w:r>
              <w:rPr>
                <w:sz w:val="18"/>
              </w:rPr>
              <w:t>$0.00</w:t>
            </w:r>
          </w:p>
        </w:tc>
        <w:tc>
          <w:tcPr>
            <w:tcW w:w="1961" w:type="dxa"/>
          </w:tcPr>
          <w:p>
            <w:pPr>
              <w:pStyle w:val="TableParagraph"/>
              <w:spacing w:before="155"/>
              <w:ind w:left="203" w:right="204"/>
              <w:rPr>
                <w:sz w:val="18"/>
              </w:rPr>
            </w:pPr>
            <w:r>
              <w:rPr>
                <w:sz w:val="18"/>
              </w:rPr>
              <w:t>$0.00</w:t>
            </w:r>
          </w:p>
        </w:tc>
      </w:tr>
      <w:tr>
        <w:trPr>
          <w:trHeight w:val="322" w:hRule="exact"/>
        </w:trPr>
        <w:tc>
          <w:tcPr>
            <w:tcW w:w="1620" w:type="dxa"/>
          </w:tcPr>
          <w:p>
            <w:pPr>
              <w:pStyle w:val="TableParagraph"/>
              <w:spacing w:line="201" w:lineRule="exact"/>
              <w:ind w:left="67" w:right="65"/>
              <w:jc w:val="left"/>
              <w:rPr>
                <w:b/>
                <w:sz w:val="18"/>
              </w:rPr>
            </w:pPr>
            <w:r>
              <w:rPr>
                <w:b/>
                <w:color w:val="333333"/>
                <w:sz w:val="18"/>
              </w:rPr>
              <w:t>COCOTITLAN</w:t>
            </w:r>
          </w:p>
        </w:tc>
        <w:tc>
          <w:tcPr>
            <w:tcW w:w="1726" w:type="dxa"/>
          </w:tcPr>
          <w:p>
            <w:pPr>
              <w:pStyle w:val="TableParagraph"/>
              <w:spacing w:line="206" w:lineRule="exact"/>
              <w:ind w:left="88" w:right="85"/>
              <w:rPr>
                <w:sz w:val="18"/>
              </w:rPr>
            </w:pPr>
            <w:r>
              <w:rPr>
                <w:sz w:val="18"/>
              </w:rPr>
              <w:t>$0.00</w:t>
            </w:r>
          </w:p>
        </w:tc>
        <w:tc>
          <w:tcPr>
            <w:tcW w:w="1392" w:type="dxa"/>
          </w:tcPr>
          <w:p>
            <w:pPr>
              <w:pStyle w:val="TableParagraph"/>
              <w:spacing w:line="206" w:lineRule="exact"/>
              <w:ind w:left="468"/>
              <w:jc w:val="left"/>
              <w:rPr>
                <w:sz w:val="18"/>
              </w:rPr>
            </w:pPr>
            <w:r>
              <w:rPr>
                <w:sz w:val="18"/>
              </w:rPr>
              <w:t>$0.00</w:t>
            </w:r>
          </w:p>
        </w:tc>
        <w:tc>
          <w:tcPr>
            <w:tcW w:w="1541" w:type="dxa"/>
          </w:tcPr>
          <w:p>
            <w:pPr>
              <w:pStyle w:val="TableParagraph"/>
              <w:spacing w:line="206" w:lineRule="exact"/>
              <w:ind w:left="520" w:right="519"/>
              <w:rPr>
                <w:sz w:val="18"/>
              </w:rPr>
            </w:pPr>
            <w:r>
              <w:rPr>
                <w:sz w:val="18"/>
              </w:rPr>
              <w:t>$0.00</w:t>
            </w:r>
          </w:p>
        </w:tc>
        <w:tc>
          <w:tcPr>
            <w:tcW w:w="1841" w:type="dxa"/>
          </w:tcPr>
          <w:p>
            <w:pPr>
              <w:pStyle w:val="TableParagraph"/>
              <w:spacing w:line="206" w:lineRule="exact"/>
              <w:ind w:left="144" w:right="145"/>
              <w:rPr>
                <w:sz w:val="18"/>
              </w:rPr>
            </w:pPr>
            <w:r>
              <w:rPr>
                <w:sz w:val="18"/>
              </w:rPr>
              <w:t>$0.00</w:t>
            </w:r>
          </w:p>
        </w:tc>
        <w:tc>
          <w:tcPr>
            <w:tcW w:w="1642" w:type="dxa"/>
          </w:tcPr>
          <w:p>
            <w:pPr>
              <w:pStyle w:val="TableParagraph"/>
              <w:spacing w:line="206" w:lineRule="exact"/>
              <w:ind w:left="45" w:right="39"/>
              <w:rPr>
                <w:sz w:val="18"/>
              </w:rPr>
            </w:pPr>
            <w:r>
              <w:rPr>
                <w:sz w:val="18"/>
              </w:rPr>
              <w:t>$0.00</w:t>
            </w:r>
          </w:p>
        </w:tc>
        <w:tc>
          <w:tcPr>
            <w:tcW w:w="1661" w:type="dxa"/>
          </w:tcPr>
          <w:p>
            <w:pPr>
              <w:pStyle w:val="TableParagraph"/>
              <w:spacing w:line="206" w:lineRule="exact"/>
              <w:ind w:left="53" w:right="52"/>
              <w:rPr>
                <w:sz w:val="18"/>
              </w:rPr>
            </w:pPr>
            <w:r>
              <w:rPr>
                <w:sz w:val="18"/>
              </w:rPr>
              <w:t>$0.00</w:t>
            </w:r>
          </w:p>
        </w:tc>
        <w:tc>
          <w:tcPr>
            <w:tcW w:w="1702" w:type="dxa"/>
          </w:tcPr>
          <w:p>
            <w:pPr>
              <w:pStyle w:val="TableParagraph"/>
              <w:spacing w:line="206" w:lineRule="exact"/>
              <w:ind w:left="74" w:right="74"/>
              <w:rPr>
                <w:sz w:val="18"/>
              </w:rPr>
            </w:pPr>
            <w:r>
              <w:rPr>
                <w:sz w:val="18"/>
              </w:rPr>
              <w:t>$0.00</w:t>
            </w:r>
          </w:p>
        </w:tc>
        <w:tc>
          <w:tcPr>
            <w:tcW w:w="1961" w:type="dxa"/>
          </w:tcPr>
          <w:p>
            <w:pPr>
              <w:pStyle w:val="TableParagraph"/>
              <w:spacing w:line="206" w:lineRule="exact"/>
              <w:ind w:left="203" w:right="204"/>
              <w:rPr>
                <w:sz w:val="18"/>
              </w:rPr>
            </w:pPr>
            <w:r>
              <w:rPr>
                <w:sz w:val="18"/>
              </w:rPr>
              <w:t>$0.00</w:t>
            </w:r>
          </w:p>
        </w:tc>
      </w:tr>
      <w:tr>
        <w:trPr>
          <w:trHeight w:val="319" w:hRule="exact"/>
        </w:trPr>
        <w:tc>
          <w:tcPr>
            <w:tcW w:w="1620" w:type="dxa"/>
          </w:tcPr>
          <w:p>
            <w:pPr>
              <w:pStyle w:val="TableParagraph"/>
              <w:spacing w:line="201" w:lineRule="exact"/>
              <w:ind w:left="67" w:right="65"/>
              <w:jc w:val="left"/>
              <w:rPr>
                <w:b/>
                <w:sz w:val="18"/>
              </w:rPr>
            </w:pPr>
            <w:r>
              <w:rPr>
                <w:b/>
                <w:color w:val="333333"/>
                <w:sz w:val="18"/>
              </w:rPr>
              <w:t>COYOTEPEC</w:t>
            </w:r>
          </w:p>
        </w:tc>
        <w:tc>
          <w:tcPr>
            <w:tcW w:w="1726" w:type="dxa"/>
          </w:tcPr>
          <w:p>
            <w:pPr>
              <w:pStyle w:val="TableParagraph"/>
              <w:spacing w:line="206" w:lineRule="exact"/>
              <w:ind w:left="88" w:right="85"/>
              <w:rPr>
                <w:sz w:val="18"/>
              </w:rPr>
            </w:pPr>
            <w:r>
              <w:rPr>
                <w:sz w:val="18"/>
              </w:rPr>
              <w:t>$0.00</w:t>
            </w:r>
          </w:p>
        </w:tc>
        <w:tc>
          <w:tcPr>
            <w:tcW w:w="1392" w:type="dxa"/>
          </w:tcPr>
          <w:p>
            <w:pPr>
              <w:pStyle w:val="TableParagraph"/>
              <w:spacing w:line="206" w:lineRule="exact"/>
              <w:ind w:left="468"/>
              <w:jc w:val="left"/>
              <w:rPr>
                <w:sz w:val="18"/>
              </w:rPr>
            </w:pPr>
            <w:r>
              <w:rPr>
                <w:sz w:val="18"/>
              </w:rPr>
              <w:t>$0.00</w:t>
            </w:r>
          </w:p>
        </w:tc>
        <w:tc>
          <w:tcPr>
            <w:tcW w:w="1541" w:type="dxa"/>
          </w:tcPr>
          <w:p>
            <w:pPr>
              <w:pStyle w:val="TableParagraph"/>
              <w:spacing w:line="206" w:lineRule="exact"/>
              <w:ind w:left="520" w:right="519"/>
              <w:rPr>
                <w:sz w:val="18"/>
              </w:rPr>
            </w:pPr>
            <w:r>
              <w:rPr>
                <w:sz w:val="18"/>
              </w:rPr>
              <w:t>$0.00</w:t>
            </w:r>
          </w:p>
        </w:tc>
        <w:tc>
          <w:tcPr>
            <w:tcW w:w="1841" w:type="dxa"/>
          </w:tcPr>
          <w:p>
            <w:pPr>
              <w:pStyle w:val="TableParagraph"/>
              <w:spacing w:line="206" w:lineRule="exact"/>
              <w:ind w:left="144" w:right="145"/>
              <w:rPr>
                <w:sz w:val="18"/>
              </w:rPr>
            </w:pPr>
            <w:r>
              <w:rPr>
                <w:sz w:val="18"/>
              </w:rPr>
              <w:t>$0.00</w:t>
            </w:r>
          </w:p>
        </w:tc>
        <w:tc>
          <w:tcPr>
            <w:tcW w:w="1642" w:type="dxa"/>
          </w:tcPr>
          <w:p>
            <w:pPr>
              <w:pStyle w:val="TableParagraph"/>
              <w:spacing w:line="206" w:lineRule="exact"/>
              <w:ind w:left="45" w:right="39"/>
              <w:rPr>
                <w:sz w:val="18"/>
              </w:rPr>
            </w:pPr>
            <w:r>
              <w:rPr>
                <w:sz w:val="18"/>
              </w:rPr>
              <w:t>$0.00</w:t>
            </w:r>
          </w:p>
        </w:tc>
        <w:tc>
          <w:tcPr>
            <w:tcW w:w="1661" w:type="dxa"/>
          </w:tcPr>
          <w:p>
            <w:pPr>
              <w:pStyle w:val="TableParagraph"/>
              <w:spacing w:line="206" w:lineRule="exact"/>
              <w:ind w:left="53" w:right="52"/>
              <w:rPr>
                <w:sz w:val="18"/>
              </w:rPr>
            </w:pPr>
            <w:r>
              <w:rPr>
                <w:sz w:val="18"/>
              </w:rPr>
              <w:t>$0.00</w:t>
            </w:r>
          </w:p>
        </w:tc>
        <w:tc>
          <w:tcPr>
            <w:tcW w:w="1702" w:type="dxa"/>
          </w:tcPr>
          <w:p>
            <w:pPr>
              <w:pStyle w:val="TableParagraph"/>
              <w:spacing w:line="206" w:lineRule="exact"/>
              <w:ind w:left="74" w:right="74"/>
              <w:rPr>
                <w:sz w:val="18"/>
              </w:rPr>
            </w:pPr>
            <w:r>
              <w:rPr>
                <w:sz w:val="18"/>
              </w:rPr>
              <w:t>$0.00</w:t>
            </w:r>
          </w:p>
        </w:tc>
        <w:tc>
          <w:tcPr>
            <w:tcW w:w="1961" w:type="dxa"/>
          </w:tcPr>
          <w:p>
            <w:pPr>
              <w:pStyle w:val="TableParagraph"/>
              <w:spacing w:line="206" w:lineRule="exact"/>
              <w:ind w:left="203" w:right="204"/>
              <w:rPr>
                <w:sz w:val="18"/>
              </w:rPr>
            </w:pPr>
            <w:r>
              <w:rPr>
                <w:sz w:val="18"/>
              </w:rPr>
              <w:t>$0.00</w:t>
            </w:r>
          </w:p>
        </w:tc>
      </w:tr>
    </w:tbl>
    <w:p>
      <w:pPr>
        <w:spacing w:after="0" w:line="206" w:lineRule="exact"/>
        <w:rPr>
          <w:sz w:val="18"/>
        </w:rPr>
        <w:sectPr>
          <w:pgSz w:w="15840" w:h="12240" w:orient="landscape"/>
          <w:pgMar w:header="0" w:footer="975" w:top="1140" w:bottom="1160" w:left="260" w:right="260"/>
        </w:sectPr>
      </w:pPr>
    </w:p>
    <w:p>
      <w:pPr>
        <w:pStyle w:val="BodyText"/>
        <w:rPr>
          <w:rFonts w:ascii="Times New Roman"/>
          <w:sz w:val="20"/>
        </w:rPr>
      </w:pPr>
    </w:p>
    <w:p>
      <w:pPr>
        <w:pStyle w:val="BodyText"/>
        <w:spacing w:before="10"/>
        <w:rPr>
          <w:rFonts w:ascii="Times New Roman"/>
          <w:sz w:val="28"/>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20"/>
        <w:gridCol w:w="1702"/>
        <w:gridCol w:w="1416"/>
        <w:gridCol w:w="1702"/>
        <w:gridCol w:w="1702"/>
        <w:gridCol w:w="1700"/>
        <w:gridCol w:w="1560"/>
        <w:gridCol w:w="1985"/>
        <w:gridCol w:w="1817"/>
      </w:tblGrid>
      <w:tr>
        <w:trPr>
          <w:trHeight w:val="460" w:hRule="exact"/>
        </w:trPr>
        <w:tc>
          <w:tcPr>
            <w:tcW w:w="15103" w:type="dxa"/>
            <w:gridSpan w:val="9"/>
            <w:shd w:val="clear" w:color="auto" w:fill="C5DFB3"/>
          </w:tcPr>
          <w:p>
            <w:pPr>
              <w:pStyle w:val="TableParagraph"/>
              <w:spacing w:before="64"/>
              <w:ind w:left="3895"/>
              <w:jc w:val="left"/>
              <w:rPr>
                <w:b/>
                <w:sz w:val="18"/>
              </w:rPr>
            </w:pPr>
            <w:r>
              <w:rPr>
                <w:b/>
                <w:sz w:val="18"/>
              </w:rPr>
              <w:t>Anexo 24B. Municipios que publican apartado presupuesto 2010-2011 (Continuación)</w:t>
            </w:r>
          </w:p>
        </w:tc>
      </w:tr>
      <w:tr>
        <w:trPr>
          <w:trHeight w:val="460" w:hRule="exact"/>
        </w:trPr>
        <w:tc>
          <w:tcPr>
            <w:tcW w:w="1520"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7"/>
              </w:rPr>
            </w:pPr>
          </w:p>
          <w:p>
            <w:pPr>
              <w:pStyle w:val="TableParagraph"/>
              <w:ind w:left="335"/>
              <w:jc w:val="left"/>
              <w:rPr>
                <w:b/>
                <w:sz w:val="18"/>
              </w:rPr>
            </w:pPr>
            <w:r>
              <w:rPr>
                <w:b/>
                <w:sz w:val="18"/>
              </w:rPr>
              <w:t>Municipio</w:t>
            </w:r>
          </w:p>
        </w:tc>
        <w:tc>
          <w:tcPr>
            <w:tcW w:w="6521" w:type="dxa"/>
            <w:gridSpan w:val="4"/>
            <w:shd w:val="clear" w:color="auto" w:fill="C5DFB3"/>
          </w:tcPr>
          <w:p>
            <w:pPr>
              <w:pStyle w:val="TableParagraph"/>
              <w:spacing w:before="65"/>
              <w:ind w:left="3036" w:right="3035"/>
              <w:rPr>
                <w:b/>
                <w:sz w:val="18"/>
              </w:rPr>
            </w:pPr>
            <w:r>
              <w:rPr>
                <w:b/>
                <w:sz w:val="18"/>
              </w:rPr>
              <w:t>2010</w:t>
            </w:r>
          </w:p>
        </w:tc>
        <w:tc>
          <w:tcPr>
            <w:tcW w:w="7062" w:type="dxa"/>
            <w:gridSpan w:val="4"/>
            <w:shd w:val="clear" w:color="auto" w:fill="C5DFB3"/>
          </w:tcPr>
          <w:p>
            <w:pPr>
              <w:pStyle w:val="TableParagraph"/>
              <w:spacing w:before="65"/>
              <w:ind w:left="3305" w:right="3305"/>
              <w:rPr>
                <w:b/>
                <w:sz w:val="18"/>
              </w:rPr>
            </w:pPr>
            <w:r>
              <w:rPr>
                <w:b/>
                <w:sz w:val="18"/>
              </w:rPr>
              <w:t>2011</w:t>
            </w:r>
          </w:p>
        </w:tc>
      </w:tr>
      <w:tr>
        <w:trPr>
          <w:trHeight w:val="1092" w:hRule="exact"/>
        </w:trPr>
        <w:tc>
          <w:tcPr>
            <w:tcW w:w="1520" w:type="dxa"/>
            <w:vMerge/>
            <w:shd w:val="clear" w:color="auto" w:fill="C5DFB3"/>
          </w:tcPr>
          <w:p>
            <w:pPr/>
          </w:p>
        </w:tc>
        <w:tc>
          <w:tcPr>
            <w:tcW w:w="170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9"/>
              <w:jc w:val="left"/>
              <w:rPr>
                <w:rFonts w:ascii="Times New Roman"/>
                <w:sz w:val="23"/>
              </w:rPr>
            </w:pPr>
          </w:p>
          <w:p>
            <w:pPr>
              <w:pStyle w:val="TableParagraph"/>
              <w:ind w:left="69"/>
              <w:jc w:val="left"/>
              <w:rPr>
                <w:b/>
                <w:sz w:val="18"/>
              </w:rPr>
            </w:pPr>
            <w:r>
              <w:rPr>
                <w:b/>
                <w:w w:val="100"/>
                <w:sz w:val="18"/>
              </w:rPr>
              <w:t>Autoriz</w:t>
            </w:r>
            <w:r>
              <w:rPr>
                <w:b/>
                <w:w w:val="99"/>
                <w:sz w:val="18"/>
              </w:rPr>
              <w:t>a</w:t>
            </w:r>
            <w:r>
              <w:rPr>
                <w:b/>
                <w:w w:val="100"/>
                <w:sz w:val="18"/>
              </w:rPr>
              <w:t>do</w:t>
            </w:r>
          </w:p>
        </w:tc>
        <w:tc>
          <w:tcPr>
            <w:tcW w:w="1416"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30"/>
              <w:ind w:left="64"/>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70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3"/>
              </w:rPr>
            </w:pPr>
          </w:p>
          <w:p>
            <w:pPr>
              <w:pStyle w:val="TableParagraph"/>
              <w:ind w:left="184"/>
              <w:jc w:val="left"/>
              <w:rPr>
                <w:b/>
                <w:sz w:val="18"/>
              </w:rPr>
            </w:pPr>
            <w:r>
              <w:rPr>
                <w:b/>
                <w:w w:val="100"/>
                <w:sz w:val="18"/>
              </w:rPr>
              <w:t>Eje</w:t>
            </w:r>
            <w:r>
              <w:rPr>
                <w:b/>
                <w:w w:val="99"/>
                <w:sz w:val="18"/>
              </w:rPr>
              <w:t>rci</w:t>
            </w:r>
            <w:r>
              <w:rPr>
                <w:b/>
                <w:w w:val="100"/>
                <w:sz w:val="18"/>
              </w:rPr>
              <w:t>do</w:t>
            </w:r>
          </w:p>
        </w:tc>
        <w:tc>
          <w:tcPr>
            <w:tcW w:w="170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7"/>
              <w:jc w:val="left"/>
              <w:rPr>
                <w:rFonts w:ascii="Times New Roman"/>
                <w:sz w:val="23"/>
              </w:rPr>
            </w:pPr>
          </w:p>
          <w:p>
            <w:pPr>
              <w:pStyle w:val="TableParagraph"/>
              <w:ind w:left="69"/>
              <w:jc w:val="left"/>
              <w:rPr>
                <w:b/>
                <w:sz w:val="18"/>
              </w:rPr>
            </w:pPr>
            <w:r>
              <w:rPr>
                <w:b/>
                <w:sz w:val="18"/>
              </w:rPr>
              <w:t>Por </w:t>
            </w:r>
            <w:r>
              <w:rPr>
                <w:b/>
                <w:w w:val="99"/>
                <w:sz w:val="18"/>
              </w:rPr>
              <w:t>e</w:t>
            </w:r>
            <w:r>
              <w:rPr>
                <w:b/>
                <w:w w:val="100"/>
                <w:sz w:val="18"/>
              </w:rPr>
              <w:t>je</w:t>
            </w:r>
            <w:r>
              <w:rPr>
                <w:b/>
                <w:w w:val="99"/>
                <w:sz w:val="18"/>
              </w:rPr>
              <w:t>rcer</w:t>
            </w:r>
          </w:p>
        </w:tc>
        <w:tc>
          <w:tcPr>
            <w:tcW w:w="1700"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7"/>
              <w:jc w:val="left"/>
              <w:rPr>
                <w:rFonts w:ascii="Times New Roman"/>
                <w:sz w:val="23"/>
              </w:rPr>
            </w:pPr>
          </w:p>
          <w:p>
            <w:pPr>
              <w:pStyle w:val="TableParagraph"/>
              <w:ind w:left="69"/>
              <w:jc w:val="left"/>
              <w:rPr>
                <w:b/>
                <w:sz w:val="18"/>
              </w:rPr>
            </w:pPr>
            <w:r>
              <w:rPr>
                <w:b/>
                <w:w w:val="100"/>
                <w:sz w:val="18"/>
              </w:rPr>
              <w:t>Autoriz</w:t>
            </w:r>
            <w:r>
              <w:rPr>
                <w:b/>
                <w:w w:val="99"/>
                <w:sz w:val="18"/>
              </w:rPr>
              <w:t>a</w:t>
            </w:r>
            <w:r>
              <w:rPr>
                <w:b/>
                <w:w w:val="100"/>
                <w:sz w:val="18"/>
              </w:rPr>
              <w:t>do</w:t>
            </w:r>
          </w:p>
        </w:tc>
        <w:tc>
          <w:tcPr>
            <w:tcW w:w="1560"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6"/>
              <w:jc w:val="left"/>
              <w:rPr>
                <w:rFonts w:ascii="Times New Roman"/>
                <w:sz w:val="17"/>
              </w:rPr>
            </w:pPr>
          </w:p>
          <w:p>
            <w:pPr>
              <w:pStyle w:val="TableParagraph"/>
              <w:ind w:left="64"/>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985"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2"/>
              <w:jc w:val="left"/>
              <w:rPr>
                <w:rFonts w:ascii="Times New Roman"/>
                <w:sz w:val="18"/>
              </w:rPr>
            </w:pPr>
          </w:p>
          <w:p>
            <w:pPr>
              <w:pStyle w:val="TableParagraph"/>
              <w:ind w:left="184"/>
              <w:jc w:val="left"/>
              <w:rPr>
                <w:b/>
                <w:sz w:val="18"/>
              </w:rPr>
            </w:pPr>
            <w:r>
              <w:rPr>
                <w:b/>
                <w:w w:val="100"/>
                <w:sz w:val="18"/>
              </w:rPr>
              <w:t>Eje</w:t>
            </w:r>
            <w:r>
              <w:rPr>
                <w:b/>
                <w:w w:val="99"/>
                <w:sz w:val="18"/>
              </w:rPr>
              <w:t>rci</w:t>
            </w:r>
            <w:r>
              <w:rPr>
                <w:b/>
                <w:w w:val="100"/>
                <w:sz w:val="18"/>
              </w:rPr>
              <w:t>do</w:t>
            </w:r>
          </w:p>
        </w:tc>
        <w:tc>
          <w:tcPr>
            <w:tcW w:w="1817"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122"/>
              <w:ind w:left="69"/>
              <w:jc w:val="left"/>
              <w:rPr>
                <w:b/>
                <w:sz w:val="18"/>
              </w:rPr>
            </w:pPr>
            <w:r>
              <w:rPr>
                <w:b/>
                <w:sz w:val="18"/>
              </w:rPr>
              <w:t>Por </w:t>
            </w:r>
            <w:r>
              <w:rPr>
                <w:b/>
                <w:w w:val="99"/>
                <w:sz w:val="18"/>
              </w:rPr>
              <w:t>e</w:t>
            </w:r>
            <w:r>
              <w:rPr>
                <w:b/>
                <w:w w:val="100"/>
                <w:sz w:val="18"/>
              </w:rPr>
              <w:t>je</w:t>
            </w:r>
            <w:r>
              <w:rPr>
                <w:b/>
                <w:w w:val="99"/>
                <w:sz w:val="18"/>
              </w:rPr>
              <w:t>rcer</w:t>
            </w:r>
          </w:p>
        </w:tc>
      </w:tr>
      <w:tr>
        <w:trPr>
          <w:trHeight w:val="459" w:hRule="exact"/>
        </w:trPr>
        <w:tc>
          <w:tcPr>
            <w:tcW w:w="1520" w:type="dxa"/>
          </w:tcPr>
          <w:p>
            <w:pPr>
              <w:pStyle w:val="TableParagraph"/>
              <w:spacing w:before="64"/>
              <w:ind w:left="67"/>
              <w:jc w:val="left"/>
              <w:rPr>
                <w:b/>
                <w:sz w:val="18"/>
              </w:rPr>
            </w:pPr>
            <w:r>
              <w:rPr>
                <w:b/>
                <w:sz w:val="18"/>
              </w:rPr>
              <w:t>CUAUTITLAN</w:t>
            </w:r>
          </w:p>
        </w:tc>
        <w:tc>
          <w:tcPr>
            <w:tcW w:w="1702" w:type="dxa"/>
          </w:tcPr>
          <w:p>
            <w:pPr>
              <w:pStyle w:val="TableParagraph"/>
              <w:spacing w:before="68"/>
              <w:ind w:left="170"/>
              <w:jc w:val="left"/>
              <w:rPr>
                <w:sz w:val="18"/>
              </w:rPr>
            </w:pPr>
            <w:r>
              <w:rPr>
                <w:sz w:val="18"/>
              </w:rPr>
              <w:t>$640,235,410.00</w:t>
            </w:r>
          </w:p>
        </w:tc>
        <w:tc>
          <w:tcPr>
            <w:tcW w:w="1416" w:type="dxa"/>
          </w:tcPr>
          <w:p>
            <w:pPr>
              <w:pStyle w:val="TableParagraph"/>
              <w:spacing w:before="68"/>
              <w:ind w:left="57" w:right="56"/>
              <w:rPr>
                <w:sz w:val="18"/>
              </w:rPr>
            </w:pPr>
            <w:r>
              <w:rPr>
                <w:sz w:val="18"/>
              </w:rPr>
              <w:t>$0.00</w:t>
            </w:r>
          </w:p>
        </w:tc>
        <w:tc>
          <w:tcPr>
            <w:tcW w:w="1702" w:type="dxa"/>
          </w:tcPr>
          <w:p>
            <w:pPr>
              <w:pStyle w:val="TableParagraph"/>
              <w:spacing w:before="68"/>
              <w:ind w:left="76" w:right="72"/>
              <w:rPr>
                <w:sz w:val="18"/>
              </w:rPr>
            </w:pPr>
            <w:r>
              <w:rPr>
                <w:sz w:val="18"/>
              </w:rPr>
              <w:t>$0.00</w:t>
            </w:r>
          </w:p>
        </w:tc>
        <w:tc>
          <w:tcPr>
            <w:tcW w:w="1702" w:type="dxa"/>
          </w:tcPr>
          <w:p>
            <w:pPr>
              <w:pStyle w:val="TableParagraph"/>
              <w:spacing w:before="68"/>
              <w:ind w:left="75" w:right="75"/>
              <w:rPr>
                <w:sz w:val="18"/>
              </w:rPr>
            </w:pPr>
            <w:r>
              <w:rPr>
                <w:sz w:val="18"/>
              </w:rPr>
              <w:t>$640,235,410.00</w:t>
            </w:r>
          </w:p>
        </w:tc>
        <w:tc>
          <w:tcPr>
            <w:tcW w:w="1700" w:type="dxa"/>
          </w:tcPr>
          <w:p>
            <w:pPr>
              <w:pStyle w:val="TableParagraph"/>
              <w:spacing w:before="68"/>
              <w:ind w:right="168"/>
              <w:jc w:val="right"/>
              <w:rPr>
                <w:sz w:val="18"/>
              </w:rPr>
            </w:pPr>
            <w:r>
              <w:rPr>
                <w:sz w:val="18"/>
              </w:rPr>
              <w:t>$591,909,004.00</w:t>
            </w:r>
          </w:p>
        </w:tc>
        <w:tc>
          <w:tcPr>
            <w:tcW w:w="1560" w:type="dxa"/>
          </w:tcPr>
          <w:p>
            <w:pPr>
              <w:pStyle w:val="TableParagraph"/>
              <w:spacing w:before="68"/>
              <w:ind w:left="80" w:right="75"/>
              <w:rPr>
                <w:sz w:val="18"/>
              </w:rPr>
            </w:pPr>
            <w:r>
              <w:rPr>
                <w:sz w:val="18"/>
              </w:rPr>
              <w:t>$0.00</w:t>
            </w:r>
          </w:p>
        </w:tc>
        <w:tc>
          <w:tcPr>
            <w:tcW w:w="1985" w:type="dxa"/>
          </w:tcPr>
          <w:p>
            <w:pPr>
              <w:pStyle w:val="TableParagraph"/>
              <w:spacing w:before="68"/>
              <w:ind w:left="216" w:right="216"/>
              <w:rPr>
                <w:sz w:val="18"/>
              </w:rPr>
            </w:pPr>
            <w:r>
              <w:rPr>
                <w:sz w:val="18"/>
              </w:rPr>
              <w:t>$548,463,729.05</w:t>
            </w:r>
          </w:p>
        </w:tc>
        <w:tc>
          <w:tcPr>
            <w:tcW w:w="1817" w:type="dxa"/>
          </w:tcPr>
          <w:p>
            <w:pPr>
              <w:pStyle w:val="TableParagraph"/>
              <w:spacing w:before="68"/>
              <w:ind w:left="131" w:right="131"/>
              <w:rPr>
                <w:sz w:val="18"/>
              </w:rPr>
            </w:pPr>
            <w:r>
              <w:rPr>
                <w:sz w:val="18"/>
              </w:rPr>
              <w:t>$43,445,274.95</w:t>
            </w:r>
          </w:p>
        </w:tc>
      </w:tr>
      <w:tr>
        <w:trPr>
          <w:trHeight w:val="631" w:hRule="exact"/>
        </w:trPr>
        <w:tc>
          <w:tcPr>
            <w:tcW w:w="1520" w:type="dxa"/>
          </w:tcPr>
          <w:p>
            <w:pPr>
              <w:pStyle w:val="TableParagraph"/>
              <w:spacing w:line="360" w:lineRule="auto"/>
              <w:ind w:left="67"/>
              <w:jc w:val="left"/>
              <w:rPr>
                <w:b/>
                <w:sz w:val="18"/>
              </w:rPr>
            </w:pPr>
            <w:r>
              <w:rPr>
                <w:b/>
                <w:sz w:val="18"/>
              </w:rPr>
              <w:t>CUAUTITLAN IZCALLI</w:t>
            </w:r>
          </w:p>
        </w:tc>
        <w:tc>
          <w:tcPr>
            <w:tcW w:w="1702" w:type="dxa"/>
          </w:tcPr>
          <w:p>
            <w:pPr>
              <w:pStyle w:val="TableParagraph"/>
              <w:spacing w:before="155"/>
              <w:ind w:left="602" w:right="599"/>
              <w:rPr>
                <w:sz w:val="18"/>
              </w:rPr>
            </w:pPr>
            <w:r>
              <w:rPr>
                <w:sz w:val="18"/>
              </w:rPr>
              <w:t>$0.00</w:t>
            </w:r>
          </w:p>
        </w:tc>
        <w:tc>
          <w:tcPr>
            <w:tcW w:w="1416" w:type="dxa"/>
          </w:tcPr>
          <w:p>
            <w:pPr>
              <w:pStyle w:val="TableParagraph"/>
              <w:spacing w:before="155"/>
              <w:ind w:left="57" w:right="56"/>
              <w:rPr>
                <w:sz w:val="18"/>
              </w:rPr>
            </w:pPr>
            <w:r>
              <w:rPr>
                <w:sz w:val="18"/>
              </w:rPr>
              <w:t>$0.00</w:t>
            </w:r>
          </w:p>
        </w:tc>
        <w:tc>
          <w:tcPr>
            <w:tcW w:w="1702" w:type="dxa"/>
          </w:tcPr>
          <w:p>
            <w:pPr>
              <w:pStyle w:val="TableParagraph"/>
              <w:spacing w:before="155"/>
              <w:ind w:left="76" w:right="72"/>
              <w:rPr>
                <w:sz w:val="18"/>
              </w:rPr>
            </w:pPr>
            <w:r>
              <w:rPr>
                <w:sz w:val="18"/>
              </w:rPr>
              <w:t>$0.00</w:t>
            </w:r>
          </w:p>
        </w:tc>
        <w:tc>
          <w:tcPr>
            <w:tcW w:w="1702" w:type="dxa"/>
          </w:tcPr>
          <w:p>
            <w:pPr>
              <w:pStyle w:val="TableParagraph"/>
              <w:spacing w:before="155"/>
              <w:ind w:left="75" w:right="72"/>
              <w:rPr>
                <w:sz w:val="18"/>
              </w:rPr>
            </w:pPr>
            <w:r>
              <w:rPr>
                <w:sz w:val="18"/>
              </w:rPr>
              <w:t>$0.00</w:t>
            </w:r>
          </w:p>
        </w:tc>
        <w:tc>
          <w:tcPr>
            <w:tcW w:w="1700" w:type="dxa"/>
          </w:tcPr>
          <w:p>
            <w:pPr>
              <w:pStyle w:val="TableParagraph"/>
              <w:spacing w:before="155"/>
              <w:ind w:right="91"/>
              <w:jc w:val="right"/>
              <w:rPr>
                <w:sz w:val="18"/>
              </w:rPr>
            </w:pPr>
            <w:r>
              <w:rPr>
                <w:sz w:val="18"/>
              </w:rPr>
              <w:t>$1,864,118,666.92</w:t>
            </w:r>
          </w:p>
        </w:tc>
        <w:tc>
          <w:tcPr>
            <w:tcW w:w="1560" w:type="dxa"/>
          </w:tcPr>
          <w:p>
            <w:pPr>
              <w:pStyle w:val="TableParagraph"/>
              <w:spacing w:before="155"/>
              <w:ind w:left="80" w:right="78"/>
              <w:rPr>
                <w:sz w:val="18"/>
              </w:rPr>
            </w:pPr>
            <w:r>
              <w:rPr>
                <w:sz w:val="18"/>
              </w:rPr>
              <w:t>$115,226,776.92</w:t>
            </w:r>
          </w:p>
        </w:tc>
        <w:tc>
          <w:tcPr>
            <w:tcW w:w="1985" w:type="dxa"/>
          </w:tcPr>
          <w:p>
            <w:pPr>
              <w:pStyle w:val="TableParagraph"/>
              <w:spacing w:before="155"/>
              <w:ind w:left="216" w:right="216"/>
              <w:rPr>
                <w:sz w:val="18"/>
              </w:rPr>
            </w:pPr>
            <w:r>
              <w:rPr>
                <w:sz w:val="18"/>
              </w:rPr>
              <w:t>$226,141,427.69</w:t>
            </w:r>
          </w:p>
        </w:tc>
        <w:tc>
          <w:tcPr>
            <w:tcW w:w="1817" w:type="dxa"/>
          </w:tcPr>
          <w:p>
            <w:pPr>
              <w:pStyle w:val="TableParagraph"/>
              <w:spacing w:before="155"/>
              <w:ind w:left="133" w:right="131"/>
              <w:rPr>
                <w:sz w:val="18"/>
              </w:rPr>
            </w:pPr>
            <w:r>
              <w:rPr>
                <w:sz w:val="18"/>
              </w:rPr>
              <w:t>$1,753,204,016.15</w:t>
            </w:r>
          </w:p>
        </w:tc>
      </w:tr>
      <w:tr>
        <w:trPr>
          <w:trHeight w:val="631" w:hRule="exact"/>
        </w:trPr>
        <w:tc>
          <w:tcPr>
            <w:tcW w:w="1520" w:type="dxa"/>
          </w:tcPr>
          <w:p>
            <w:pPr>
              <w:pStyle w:val="TableParagraph"/>
              <w:spacing w:line="362" w:lineRule="auto"/>
              <w:ind w:left="67" w:right="643"/>
              <w:jc w:val="left"/>
              <w:rPr>
                <w:b/>
                <w:sz w:val="18"/>
              </w:rPr>
            </w:pPr>
            <w:r>
              <w:rPr>
                <w:b/>
                <w:sz w:val="18"/>
              </w:rPr>
              <w:t>DONATO GUERRA</w:t>
            </w:r>
          </w:p>
        </w:tc>
        <w:tc>
          <w:tcPr>
            <w:tcW w:w="1702" w:type="dxa"/>
          </w:tcPr>
          <w:p>
            <w:pPr>
              <w:pStyle w:val="TableParagraph"/>
              <w:spacing w:before="155"/>
              <w:ind w:left="602" w:right="599"/>
              <w:rPr>
                <w:sz w:val="18"/>
              </w:rPr>
            </w:pPr>
            <w:r>
              <w:rPr>
                <w:sz w:val="18"/>
              </w:rPr>
              <w:t>$0.00</w:t>
            </w:r>
          </w:p>
        </w:tc>
        <w:tc>
          <w:tcPr>
            <w:tcW w:w="1416" w:type="dxa"/>
          </w:tcPr>
          <w:p>
            <w:pPr>
              <w:pStyle w:val="TableParagraph"/>
              <w:spacing w:before="155"/>
              <w:ind w:left="57" w:right="56"/>
              <w:rPr>
                <w:sz w:val="18"/>
              </w:rPr>
            </w:pPr>
            <w:r>
              <w:rPr>
                <w:sz w:val="18"/>
              </w:rPr>
              <w:t>$0.00</w:t>
            </w:r>
          </w:p>
        </w:tc>
        <w:tc>
          <w:tcPr>
            <w:tcW w:w="1702" w:type="dxa"/>
          </w:tcPr>
          <w:p>
            <w:pPr>
              <w:pStyle w:val="TableParagraph"/>
              <w:spacing w:before="155"/>
              <w:ind w:left="76" w:right="72"/>
              <w:rPr>
                <w:sz w:val="18"/>
              </w:rPr>
            </w:pPr>
            <w:r>
              <w:rPr>
                <w:sz w:val="18"/>
              </w:rPr>
              <w:t>$0.00</w:t>
            </w:r>
          </w:p>
        </w:tc>
        <w:tc>
          <w:tcPr>
            <w:tcW w:w="1702" w:type="dxa"/>
          </w:tcPr>
          <w:p>
            <w:pPr>
              <w:pStyle w:val="TableParagraph"/>
              <w:spacing w:before="155"/>
              <w:ind w:left="75" w:right="72"/>
              <w:rPr>
                <w:sz w:val="18"/>
              </w:rPr>
            </w:pPr>
            <w:r>
              <w:rPr>
                <w:sz w:val="18"/>
              </w:rPr>
              <w:t>$0.00</w:t>
            </w:r>
          </w:p>
        </w:tc>
        <w:tc>
          <w:tcPr>
            <w:tcW w:w="1700" w:type="dxa"/>
          </w:tcPr>
          <w:p>
            <w:pPr>
              <w:pStyle w:val="TableParagraph"/>
              <w:spacing w:before="155"/>
              <w:ind w:left="600" w:right="599"/>
              <w:rPr>
                <w:sz w:val="18"/>
              </w:rPr>
            </w:pPr>
            <w:r>
              <w:rPr>
                <w:sz w:val="18"/>
              </w:rPr>
              <w:t>$0.00</w:t>
            </w:r>
          </w:p>
        </w:tc>
        <w:tc>
          <w:tcPr>
            <w:tcW w:w="1560" w:type="dxa"/>
          </w:tcPr>
          <w:p>
            <w:pPr>
              <w:pStyle w:val="TableParagraph"/>
              <w:spacing w:before="155"/>
              <w:ind w:left="80" w:right="75"/>
              <w:rPr>
                <w:sz w:val="18"/>
              </w:rPr>
            </w:pPr>
            <w:r>
              <w:rPr>
                <w:sz w:val="18"/>
              </w:rPr>
              <w:t>$0.00</w:t>
            </w:r>
          </w:p>
        </w:tc>
        <w:tc>
          <w:tcPr>
            <w:tcW w:w="1985" w:type="dxa"/>
          </w:tcPr>
          <w:p>
            <w:pPr>
              <w:pStyle w:val="TableParagraph"/>
              <w:spacing w:before="155"/>
              <w:ind w:left="218" w:right="214"/>
              <w:rPr>
                <w:sz w:val="18"/>
              </w:rPr>
            </w:pPr>
            <w:r>
              <w:rPr>
                <w:sz w:val="18"/>
              </w:rPr>
              <w:t>$0.00</w:t>
            </w:r>
          </w:p>
        </w:tc>
        <w:tc>
          <w:tcPr>
            <w:tcW w:w="1817" w:type="dxa"/>
          </w:tcPr>
          <w:p>
            <w:pPr>
              <w:pStyle w:val="TableParagraph"/>
              <w:spacing w:before="155"/>
              <w:ind w:left="133" w:right="130"/>
              <w:rPr>
                <w:sz w:val="18"/>
              </w:rPr>
            </w:pPr>
            <w:r>
              <w:rPr>
                <w:sz w:val="18"/>
              </w:rPr>
              <w:t>$0.00</w:t>
            </w:r>
          </w:p>
        </w:tc>
      </w:tr>
      <w:tr>
        <w:trPr>
          <w:trHeight w:val="631" w:hRule="exact"/>
        </w:trPr>
        <w:tc>
          <w:tcPr>
            <w:tcW w:w="1520" w:type="dxa"/>
          </w:tcPr>
          <w:p>
            <w:pPr>
              <w:pStyle w:val="TableParagraph"/>
              <w:spacing w:line="362" w:lineRule="auto"/>
              <w:ind w:left="67"/>
              <w:jc w:val="left"/>
              <w:rPr>
                <w:b/>
                <w:sz w:val="18"/>
              </w:rPr>
            </w:pPr>
            <w:r>
              <w:rPr>
                <w:b/>
                <w:sz w:val="18"/>
              </w:rPr>
              <w:t>ECATEPEC DE MORELOS</w:t>
            </w:r>
          </w:p>
        </w:tc>
        <w:tc>
          <w:tcPr>
            <w:tcW w:w="1702" w:type="dxa"/>
          </w:tcPr>
          <w:p>
            <w:pPr>
              <w:pStyle w:val="TableParagraph"/>
              <w:spacing w:before="155"/>
              <w:ind w:left="602" w:right="599"/>
              <w:rPr>
                <w:sz w:val="18"/>
              </w:rPr>
            </w:pPr>
            <w:r>
              <w:rPr>
                <w:sz w:val="18"/>
              </w:rPr>
              <w:t>$0.00</w:t>
            </w:r>
          </w:p>
        </w:tc>
        <w:tc>
          <w:tcPr>
            <w:tcW w:w="1416" w:type="dxa"/>
          </w:tcPr>
          <w:p>
            <w:pPr>
              <w:pStyle w:val="TableParagraph"/>
              <w:spacing w:before="155"/>
              <w:ind w:left="57" w:right="56"/>
              <w:rPr>
                <w:sz w:val="18"/>
              </w:rPr>
            </w:pPr>
            <w:r>
              <w:rPr>
                <w:sz w:val="18"/>
              </w:rPr>
              <w:t>$0.00</w:t>
            </w:r>
          </w:p>
        </w:tc>
        <w:tc>
          <w:tcPr>
            <w:tcW w:w="1702" w:type="dxa"/>
          </w:tcPr>
          <w:p>
            <w:pPr>
              <w:pStyle w:val="TableParagraph"/>
              <w:spacing w:before="155"/>
              <w:ind w:left="76" w:right="72"/>
              <w:rPr>
                <w:sz w:val="18"/>
              </w:rPr>
            </w:pPr>
            <w:r>
              <w:rPr>
                <w:sz w:val="18"/>
              </w:rPr>
              <w:t>$0.00</w:t>
            </w:r>
          </w:p>
        </w:tc>
        <w:tc>
          <w:tcPr>
            <w:tcW w:w="1702" w:type="dxa"/>
          </w:tcPr>
          <w:p>
            <w:pPr>
              <w:pStyle w:val="TableParagraph"/>
              <w:spacing w:before="155"/>
              <w:ind w:left="75" w:right="72"/>
              <w:rPr>
                <w:sz w:val="18"/>
              </w:rPr>
            </w:pPr>
            <w:r>
              <w:rPr>
                <w:sz w:val="18"/>
              </w:rPr>
              <w:t>$0.00</w:t>
            </w:r>
          </w:p>
        </w:tc>
        <w:tc>
          <w:tcPr>
            <w:tcW w:w="1700" w:type="dxa"/>
          </w:tcPr>
          <w:p>
            <w:pPr>
              <w:pStyle w:val="TableParagraph"/>
              <w:spacing w:before="155"/>
              <w:ind w:right="91"/>
              <w:jc w:val="right"/>
              <w:rPr>
                <w:sz w:val="18"/>
              </w:rPr>
            </w:pPr>
            <w:r>
              <w:rPr>
                <w:sz w:val="18"/>
              </w:rPr>
              <w:t>$3,490,027,824.54</w:t>
            </w:r>
          </w:p>
        </w:tc>
        <w:tc>
          <w:tcPr>
            <w:tcW w:w="1560" w:type="dxa"/>
          </w:tcPr>
          <w:p>
            <w:pPr>
              <w:pStyle w:val="TableParagraph"/>
              <w:spacing w:before="155"/>
              <w:ind w:left="80" w:right="78"/>
              <w:rPr>
                <w:sz w:val="18"/>
              </w:rPr>
            </w:pPr>
            <w:r>
              <w:rPr>
                <w:sz w:val="18"/>
              </w:rPr>
              <w:t>$189,649,582.49</w:t>
            </w:r>
          </w:p>
        </w:tc>
        <w:tc>
          <w:tcPr>
            <w:tcW w:w="1985" w:type="dxa"/>
          </w:tcPr>
          <w:p>
            <w:pPr>
              <w:pStyle w:val="TableParagraph"/>
              <w:spacing w:before="155"/>
              <w:ind w:left="218" w:right="216"/>
              <w:rPr>
                <w:sz w:val="18"/>
              </w:rPr>
            </w:pPr>
            <w:r>
              <w:rPr>
                <w:sz w:val="18"/>
              </w:rPr>
              <w:t>$2,540,673,540.76</w:t>
            </w:r>
          </w:p>
        </w:tc>
        <w:tc>
          <w:tcPr>
            <w:tcW w:w="1817" w:type="dxa"/>
          </w:tcPr>
          <w:p>
            <w:pPr>
              <w:pStyle w:val="TableParagraph"/>
              <w:spacing w:before="155"/>
              <w:ind w:left="133" w:right="131"/>
              <w:rPr>
                <w:sz w:val="18"/>
              </w:rPr>
            </w:pPr>
            <w:r>
              <w:rPr>
                <w:sz w:val="18"/>
              </w:rPr>
              <w:t>$1,139,003,866.27</w:t>
            </w:r>
          </w:p>
        </w:tc>
      </w:tr>
      <w:tr>
        <w:trPr>
          <w:trHeight w:val="322" w:hRule="exact"/>
        </w:trPr>
        <w:tc>
          <w:tcPr>
            <w:tcW w:w="1520" w:type="dxa"/>
          </w:tcPr>
          <w:p>
            <w:pPr>
              <w:pStyle w:val="TableParagraph"/>
              <w:spacing w:line="201" w:lineRule="exact"/>
              <w:ind w:left="67"/>
              <w:jc w:val="left"/>
              <w:rPr>
                <w:b/>
                <w:sz w:val="18"/>
              </w:rPr>
            </w:pPr>
            <w:r>
              <w:rPr>
                <w:b/>
                <w:sz w:val="18"/>
              </w:rPr>
              <w:t>ECATZINGO</w:t>
            </w:r>
          </w:p>
        </w:tc>
        <w:tc>
          <w:tcPr>
            <w:tcW w:w="1702" w:type="dxa"/>
          </w:tcPr>
          <w:p>
            <w:pPr>
              <w:pStyle w:val="TableParagraph"/>
              <w:spacing w:line="206" w:lineRule="exact"/>
              <w:ind w:left="602" w:right="599"/>
              <w:rPr>
                <w:sz w:val="18"/>
              </w:rPr>
            </w:pPr>
            <w:r>
              <w:rPr>
                <w:sz w:val="18"/>
              </w:rPr>
              <w:t>$0.00</w:t>
            </w:r>
          </w:p>
        </w:tc>
        <w:tc>
          <w:tcPr>
            <w:tcW w:w="1416" w:type="dxa"/>
          </w:tcPr>
          <w:p>
            <w:pPr>
              <w:pStyle w:val="TableParagraph"/>
              <w:spacing w:line="206" w:lineRule="exact"/>
              <w:ind w:left="57" w:right="56"/>
              <w:rPr>
                <w:sz w:val="18"/>
              </w:rPr>
            </w:pPr>
            <w:r>
              <w:rPr>
                <w:sz w:val="18"/>
              </w:rPr>
              <w:t>$0.00</w:t>
            </w:r>
          </w:p>
        </w:tc>
        <w:tc>
          <w:tcPr>
            <w:tcW w:w="1702" w:type="dxa"/>
          </w:tcPr>
          <w:p>
            <w:pPr>
              <w:pStyle w:val="TableParagraph"/>
              <w:spacing w:line="206" w:lineRule="exact"/>
              <w:ind w:left="76" w:right="72"/>
              <w:rPr>
                <w:sz w:val="18"/>
              </w:rPr>
            </w:pPr>
            <w:r>
              <w:rPr>
                <w:sz w:val="18"/>
              </w:rPr>
              <w:t>$0.00</w:t>
            </w:r>
          </w:p>
        </w:tc>
        <w:tc>
          <w:tcPr>
            <w:tcW w:w="1702" w:type="dxa"/>
          </w:tcPr>
          <w:p>
            <w:pPr>
              <w:pStyle w:val="TableParagraph"/>
              <w:spacing w:line="206" w:lineRule="exact"/>
              <w:ind w:left="75" w:right="72"/>
              <w:rPr>
                <w:sz w:val="18"/>
              </w:rPr>
            </w:pPr>
            <w:r>
              <w:rPr>
                <w:sz w:val="18"/>
              </w:rPr>
              <w:t>$0.00</w:t>
            </w:r>
          </w:p>
        </w:tc>
        <w:tc>
          <w:tcPr>
            <w:tcW w:w="1700" w:type="dxa"/>
          </w:tcPr>
          <w:p>
            <w:pPr>
              <w:pStyle w:val="TableParagraph"/>
              <w:spacing w:line="206" w:lineRule="exact"/>
              <w:ind w:left="600" w:right="599"/>
              <w:rPr>
                <w:sz w:val="18"/>
              </w:rPr>
            </w:pPr>
            <w:r>
              <w:rPr>
                <w:sz w:val="18"/>
              </w:rPr>
              <w:t>$0.00</w:t>
            </w:r>
          </w:p>
        </w:tc>
        <w:tc>
          <w:tcPr>
            <w:tcW w:w="1560" w:type="dxa"/>
          </w:tcPr>
          <w:p>
            <w:pPr>
              <w:pStyle w:val="TableParagraph"/>
              <w:spacing w:line="206" w:lineRule="exact"/>
              <w:ind w:left="80" w:right="75"/>
              <w:rPr>
                <w:sz w:val="18"/>
              </w:rPr>
            </w:pPr>
            <w:r>
              <w:rPr>
                <w:sz w:val="18"/>
              </w:rPr>
              <w:t>$0.00</w:t>
            </w:r>
          </w:p>
        </w:tc>
        <w:tc>
          <w:tcPr>
            <w:tcW w:w="1985" w:type="dxa"/>
          </w:tcPr>
          <w:p>
            <w:pPr>
              <w:pStyle w:val="TableParagraph"/>
              <w:spacing w:line="206" w:lineRule="exact"/>
              <w:ind w:left="218" w:right="214"/>
              <w:rPr>
                <w:sz w:val="18"/>
              </w:rPr>
            </w:pPr>
            <w:r>
              <w:rPr>
                <w:sz w:val="18"/>
              </w:rPr>
              <w:t>$0.00</w:t>
            </w:r>
          </w:p>
        </w:tc>
        <w:tc>
          <w:tcPr>
            <w:tcW w:w="1817" w:type="dxa"/>
          </w:tcPr>
          <w:p>
            <w:pPr>
              <w:pStyle w:val="TableParagraph"/>
              <w:spacing w:line="206" w:lineRule="exact"/>
              <w:ind w:left="133" w:right="130"/>
              <w:rPr>
                <w:sz w:val="18"/>
              </w:rPr>
            </w:pPr>
            <w:r>
              <w:rPr>
                <w:sz w:val="18"/>
              </w:rPr>
              <w:t>$0.00</w:t>
            </w:r>
          </w:p>
        </w:tc>
      </w:tr>
      <w:tr>
        <w:trPr>
          <w:trHeight w:val="320" w:hRule="exact"/>
        </w:trPr>
        <w:tc>
          <w:tcPr>
            <w:tcW w:w="1520" w:type="dxa"/>
          </w:tcPr>
          <w:p>
            <w:pPr>
              <w:pStyle w:val="TableParagraph"/>
              <w:spacing w:line="201" w:lineRule="exact"/>
              <w:ind w:left="67"/>
              <w:jc w:val="left"/>
              <w:rPr>
                <w:b/>
                <w:sz w:val="18"/>
              </w:rPr>
            </w:pPr>
            <w:r>
              <w:rPr>
                <w:b/>
                <w:sz w:val="18"/>
              </w:rPr>
              <w:t>EL ORO</w:t>
            </w:r>
          </w:p>
        </w:tc>
        <w:tc>
          <w:tcPr>
            <w:tcW w:w="1702" w:type="dxa"/>
          </w:tcPr>
          <w:p>
            <w:pPr>
              <w:pStyle w:val="TableParagraph"/>
              <w:spacing w:line="206" w:lineRule="exact"/>
              <w:ind w:left="602" w:right="599"/>
              <w:rPr>
                <w:sz w:val="18"/>
              </w:rPr>
            </w:pPr>
            <w:r>
              <w:rPr>
                <w:sz w:val="18"/>
              </w:rPr>
              <w:t>$0.00</w:t>
            </w:r>
          </w:p>
        </w:tc>
        <w:tc>
          <w:tcPr>
            <w:tcW w:w="1416" w:type="dxa"/>
          </w:tcPr>
          <w:p>
            <w:pPr>
              <w:pStyle w:val="TableParagraph"/>
              <w:spacing w:line="206" w:lineRule="exact"/>
              <w:ind w:left="57" w:right="56"/>
              <w:rPr>
                <w:sz w:val="18"/>
              </w:rPr>
            </w:pPr>
            <w:r>
              <w:rPr>
                <w:sz w:val="18"/>
              </w:rPr>
              <w:t>$0.00</w:t>
            </w:r>
          </w:p>
        </w:tc>
        <w:tc>
          <w:tcPr>
            <w:tcW w:w="1702" w:type="dxa"/>
          </w:tcPr>
          <w:p>
            <w:pPr>
              <w:pStyle w:val="TableParagraph"/>
              <w:spacing w:line="206" w:lineRule="exact"/>
              <w:ind w:left="76" w:right="72"/>
              <w:rPr>
                <w:sz w:val="18"/>
              </w:rPr>
            </w:pPr>
            <w:r>
              <w:rPr>
                <w:sz w:val="18"/>
              </w:rPr>
              <w:t>$0.00</w:t>
            </w:r>
          </w:p>
        </w:tc>
        <w:tc>
          <w:tcPr>
            <w:tcW w:w="1702" w:type="dxa"/>
          </w:tcPr>
          <w:p>
            <w:pPr>
              <w:pStyle w:val="TableParagraph"/>
              <w:spacing w:line="206" w:lineRule="exact"/>
              <w:ind w:left="75" w:right="72"/>
              <w:rPr>
                <w:sz w:val="18"/>
              </w:rPr>
            </w:pPr>
            <w:r>
              <w:rPr>
                <w:sz w:val="18"/>
              </w:rPr>
              <w:t>$0.00</w:t>
            </w:r>
          </w:p>
        </w:tc>
        <w:tc>
          <w:tcPr>
            <w:tcW w:w="1700" w:type="dxa"/>
          </w:tcPr>
          <w:p>
            <w:pPr>
              <w:pStyle w:val="TableParagraph"/>
              <w:spacing w:line="206" w:lineRule="exact"/>
              <w:ind w:right="168"/>
              <w:jc w:val="right"/>
              <w:rPr>
                <w:sz w:val="18"/>
              </w:rPr>
            </w:pPr>
            <w:r>
              <w:rPr>
                <w:sz w:val="18"/>
              </w:rPr>
              <w:t>$167,204,621.75</w:t>
            </w:r>
          </w:p>
        </w:tc>
        <w:tc>
          <w:tcPr>
            <w:tcW w:w="1560" w:type="dxa"/>
          </w:tcPr>
          <w:p>
            <w:pPr>
              <w:pStyle w:val="TableParagraph"/>
              <w:spacing w:line="206" w:lineRule="exact"/>
              <w:ind w:left="80" w:right="75"/>
              <w:rPr>
                <w:sz w:val="18"/>
              </w:rPr>
            </w:pPr>
            <w:r>
              <w:rPr>
                <w:sz w:val="18"/>
              </w:rPr>
              <w:t>$1,215,509.32</w:t>
            </w:r>
          </w:p>
        </w:tc>
        <w:tc>
          <w:tcPr>
            <w:tcW w:w="1985" w:type="dxa"/>
          </w:tcPr>
          <w:p>
            <w:pPr>
              <w:pStyle w:val="TableParagraph"/>
              <w:spacing w:line="206" w:lineRule="exact"/>
              <w:ind w:left="216" w:right="216"/>
              <w:rPr>
                <w:sz w:val="18"/>
              </w:rPr>
            </w:pPr>
            <w:r>
              <w:rPr>
                <w:sz w:val="18"/>
              </w:rPr>
              <w:t>$170,255,574.67</w:t>
            </w:r>
          </w:p>
        </w:tc>
        <w:tc>
          <w:tcPr>
            <w:tcW w:w="1817" w:type="dxa"/>
          </w:tcPr>
          <w:p>
            <w:pPr>
              <w:pStyle w:val="TableParagraph"/>
              <w:spacing w:line="206" w:lineRule="exact"/>
              <w:ind w:left="133" w:right="131"/>
              <w:rPr>
                <w:sz w:val="18"/>
              </w:rPr>
            </w:pPr>
            <w:r>
              <w:rPr>
                <w:sz w:val="18"/>
              </w:rPr>
              <w:t>$1,835,443.60</w:t>
            </w:r>
          </w:p>
        </w:tc>
      </w:tr>
      <w:tr>
        <w:trPr>
          <w:trHeight w:val="461" w:hRule="exact"/>
        </w:trPr>
        <w:tc>
          <w:tcPr>
            <w:tcW w:w="1520" w:type="dxa"/>
          </w:tcPr>
          <w:p>
            <w:pPr>
              <w:pStyle w:val="TableParagraph"/>
              <w:spacing w:before="64"/>
              <w:ind w:left="67"/>
              <w:jc w:val="left"/>
              <w:rPr>
                <w:b/>
                <w:sz w:val="18"/>
              </w:rPr>
            </w:pPr>
            <w:r>
              <w:rPr>
                <w:b/>
                <w:sz w:val="18"/>
              </w:rPr>
              <w:t>HUEHUETOCA</w:t>
            </w:r>
          </w:p>
        </w:tc>
        <w:tc>
          <w:tcPr>
            <w:tcW w:w="1702" w:type="dxa"/>
          </w:tcPr>
          <w:p>
            <w:pPr>
              <w:pStyle w:val="TableParagraph"/>
              <w:spacing w:before="68"/>
              <w:ind w:left="170"/>
              <w:jc w:val="left"/>
              <w:rPr>
                <w:sz w:val="18"/>
              </w:rPr>
            </w:pPr>
            <w:r>
              <w:rPr>
                <w:sz w:val="18"/>
              </w:rPr>
              <w:t>$249,404,903.00</w:t>
            </w:r>
          </w:p>
        </w:tc>
        <w:tc>
          <w:tcPr>
            <w:tcW w:w="1416" w:type="dxa"/>
          </w:tcPr>
          <w:p>
            <w:pPr>
              <w:pStyle w:val="TableParagraph"/>
              <w:spacing w:before="68"/>
              <w:ind w:left="57" w:right="56"/>
              <w:rPr>
                <w:sz w:val="18"/>
              </w:rPr>
            </w:pPr>
            <w:r>
              <w:rPr>
                <w:sz w:val="18"/>
              </w:rPr>
              <w:t>$0.00</w:t>
            </w:r>
          </w:p>
        </w:tc>
        <w:tc>
          <w:tcPr>
            <w:tcW w:w="1702" w:type="dxa"/>
          </w:tcPr>
          <w:p>
            <w:pPr>
              <w:pStyle w:val="TableParagraph"/>
              <w:spacing w:before="68"/>
              <w:ind w:left="76" w:right="72"/>
              <w:rPr>
                <w:sz w:val="18"/>
              </w:rPr>
            </w:pPr>
            <w:r>
              <w:rPr>
                <w:sz w:val="18"/>
              </w:rPr>
              <w:t>$0.00</w:t>
            </w:r>
          </w:p>
        </w:tc>
        <w:tc>
          <w:tcPr>
            <w:tcW w:w="1702" w:type="dxa"/>
          </w:tcPr>
          <w:p>
            <w:pPr>
              <w:pStyle w:val="TableParagraph"/>
              <w:spacing w:before="68"/>
              <w:ind w:left="75" w:right="75"/>
              <w:rPr>
                <w:sz w:val="18"/>
              </w:rPr>
            </w:pPr>
            <w:r>
              <w:rPr>
                <w:sz w:val="18"/>
              </w:rPr>
              <w:t>$249,404,903.00</w:t>
            </w:r>
          </w:p>
        </w:tc>
        <w:tc>
          <w:tcPr>
            <w:tcW w:w="1700" w:type="dxa"/>
          </w:tcPr>
          <w:p>
            <w:pPr>
              <w:pStyle w:val="TableParagraph"/>
              <w:spacing w:before="68"/>
              <w:ind w:right="168"/>
              <w:jc w:val="right"/>
              <w:rPr>
                <w:sz w:val="18"/>
              </w:rPr>
            </w:pPr>
            <w:r>
              <w:rPr>
                <w:sz w:val="18"/>
              </w:rPr>
              <w:t>$286,231,358.00</w:t>
            </w:r>
          </w:p>
        </w:tc>
        <w:tc>
          <w:tcPr>
            <w:tcW w:w="1560" w:type="dxa"/>
          </w:tcPr>
          <w:p>
            <w:pPr>
              <w:pStyle w:val="TableParagraph"/>
              <w:spacing w:before="68"/>
              <w:ind w:left="80" w:right="75"/>
              <w:rPr>
                <w:sz w:val="18"/>
              </w:rPr>
            </w:pPr>
            <w:r>
              <w:rPr>
                <w:sz w:val="18"/>
              </w:rPr>
              <w:t>$0.00</w:t>
            </w:r>
          </w:p>
        </w:tc>
        <w:tc>
          <w:tcPr>
            <w:tcW w:w="1985" w:type="dxa"/>
          </w:tcPr>
          <w:p>
            <w:pPr>
              <w:pStyle w:val="TableParagraph"/>
              <w:spacing w:before="68"/>
              <w:ind w:left="218" w:right="214"/>
              <w:rPr>
                <w:sz w:val="18"/>
              </w:rPr>
            </w:pPr>
            <w:r>
              <w:rPr>
                <w:sz w:val="18"/>
              </w:rPr>
              <w:t>$0.00</w:t>
            </w:r>
          </w:p>
        </w:tc>
        <w:tc>
          <w:tcPr>
            <w:tcW w:w="1817" w:type="dxa"/>
          </w:tcPr>
          <w:p>
            <w:pPr>
              <w:pStyle w:val="TableParagraph"/>
              <w:spacing w:before="68"/>
              <w:ind w:left="131" w:right="131"/>
              <w:rPr>
                <w:sz w:val="18"/>
              </w:rPr>
            </w:pPr>
            <w:r>
              <w:rPr>
                <w:sz w:val="18"/>
              </w:rPr>
              <w:t>$286,231,358.00</w:t>
            </w:r>
          </w:p>
        </w:tc>
      </w:tr>
      <w:tr>
        <w:trPr>
          <w:trHeight w:val="458" w:hRule="exact"/>
        </w:trPr>
        <w:tc>
          <w:tcPr>
            <w:tcW w:w="1520" w:type="dxa"/>
          </w:tcPr>
          <w:p>
            <w:pPr>
              <w:pStyle w:val="TableParagraph"/>
              <w:spacing w:before="64"/>
              <w:ind w:left="67"/>
              <w:jc w:val="left"/>
              <w:rPr>
                <w:b/>
                <w:sz w:val="18"/>
              </w:rPr>
            </w:pPr>
            <w:r>
              <w:rPr>
                <w:b/>
                <w:sz w:val="18"/>
              </w:rPr>
              <w:t>HUEYPOXTLA</w:t>
            </w:r>
          </w:p>
        </w:tc>
        <w:tc>
          <w:tcPr>
            <w:tcW w:w="1702" w:type="dxa"/>
          </w:tcPr>
          <w:p>
            <w:pPr>
              <w:pStyle w:val="TableParagraph"/>
              <w:spacing w:before="68"/>
              <w:ind w:left="602" w:right="599"/>
              <w:rPr>
                <w:sz w:val="18"/>
              </w:rPr>
            </w:pPr>
            <w:r>
              <w:rPr>
                <w:sz w:val="18"/>
              </w:rPr>
              <w:t>$0.00</w:t>
            </w:r>
          </w:p>
        </w:tc>
        <w:tc>
          <w:tcPr>
            <w:tcW w:w="1416" w:type="dxa"/>
          </w:tcPr>
          <w:p>
            <w:pPr>
              <w:pStyle w:val="TableParagraph"/>
              <w:spacing w:before="68"/>
              <w:ind w:left="57" w:right="56"/>
              <w:rPr>
                <w:sz w:val="18"/>
              </w:rPr>
            </w:pPr>
            <w:r>
              <w:rPr>
                <w:sz w:val="18"/>
              </w:rPr>
              <w:t>$0.00</w:t>
            </w:r>
          </w:p>
        </w:tc>
        <w:tc>
          <w:tcPr>
            <w:tcW w:w="1702" w:type="dxa"/>
          </w:tcPr>
          <w:p>
            <w:pPr>
              <w:pStyle w:val="TableParagraph"/>
              <w:spacing w:before="68"/>
              <w:ind w:left="76" w:right="72"/>
              <w:rPr>
                <w:sz w:val="18"/>
              </w:rPr>
            </w:pPr>
            <w:r>
              <w:rPr>
                <w:sz w:val="18"/>
              </w:rPr>
              <w:t>$0.00</w:t>
            </w:r>
          </w:p>
        </w:tc>
        <w:tc>
          <w:tcPr>
            <w:tcW w:w="1702" w:type="dxa"/>
          </w:tcPr>
          <w:p>
            <w:pPr>
              <w:pStyle w:val="TableParagraph"/>
              <w:spacing w:before="68"/>
              <w:ind w:left="75" w:right="72"/>
              <w:rPr>
                <w:sz w:val="18"/>
              </w:rPr>
            </w:pPr>
            <w:r>
              <w:rPr>
                <w:sz w:val="18"/>
              </w:rPr>
              <w:t>$0.00</w:t>
            </w:r>
          </w:p>
        </w:tc>
        <w:tc>
          <w:tcPr>
            <w:tcW w:w="1700" w:type="dxa"/>
          </w:tcPr>
          <w:p>
            <w:pPr>
              <w:pStyle w:val="TableParagraph"/>
              <w:spacing w:before="68"/>
              <w:ind w:left="600" w:right="599"/>
              <w:rPr>
                <w:sz w:val="18"/>
              </w:rPr>
            </w:pPr>
            <w:r>
              <w:rPr>
                <w:sz w:val="18"/>
              </w:rPr>
              <w:t>$0.00</w:t>
            </w:r>
          </w:p>
        </w:tc>
        <w:tc>
          <w:tcPr>
            <w:tcW w:w="1560" w:type="dxa"/>
          </w:tcPr>
          <w:p>
            <w:pPr>
              <w:pStyle w:val="TableParagraph"/>
              <w:spacing w:before="68"/>
              <w:ind w:left="80" w:right="75"/>
              <w:rPr>
                <w:sz w:val="18"/>
              </w:rPr>
            </w:pPr>
            <w:r>
              <w:rPr>
                <w:sz w:val="18"/>
              </w:rPr>
              <w:t>$0.00</w:t>
            </w:r>
          </w:p>
        </w:tc>
        <w:tc>
          <w:tcPr>
            <w:tcW w:w="1985" w:type="dxa"/>
          </w:tcPr>
          <w:p>
            <w:pPr>
              <w:pStyle w:val="TableParagraph"/>
              <w:spacing w:before="68"/>
              <w:ind w:left="218" w:right="214"/>
              <w:rPr>
                <w:sz w:val="18"/>
              </w:rPr>
            </w:pPr>
            <w:r>
              <w:rPr>
                <w:sz w:val="18"/>
              </w:rPr>
              <w:t>$0.00</w:t>
            </w:r>
          </w:p>
        </w:tc>
        <w:tc>
          <w:tcPr>
            <w:tcW w:w="1817" w:type="dxa"/>
          </w:tcPr>
          <w:p>
            <w:pPr>
              <w:pStyle w:val="TableParagraph"/>
              <w:spacing w:before="68"/>
              <w:ind w:left="133" w:right="130"/>
              <w:rPr>
                <w:sz w:val="18"/>
              </w:rPr>
            </w:pPr>
            <w:r>
              <w:rPr>
                <w:sz w:val="18"/>
              </w:rPr>
              <w:t>$0.00</w:t>
            </w:r>
          </w:p>
        </w:tc>
      </w:tr>
      <w:tr>
        <w:trPr>
          <w:trHeight w:val="461" w:hRule="exact"/>
        </w:trPr>
        <w:tc>
          <w:tcPr>
            <w:tcW w:w="1520" w:type="dxa"/>
          </w:tcPr>
          <w:p>
            <w:pPr>
              <w:pStyle w:val="TableParagraph"/>
              <w:spacing w:before="66"/>
              <w:ind w:left="67"/>
              <w:jc w:val="left"/>
              <w:rPr>
                <w:b/>
                <w:sz w:val="18"/>
              </w:rPr>
            </w:pPr>
            <w:r>
              <w:rPr>
                <w:b/>
                <w:sz w:val="18"/>
              </w:rPr>
              <w:t>HUIXQUILUCAN</w:t>
            </w:r>
          </w:p>
        </w:tc>
        <w:tc>
          <w:tcPr>
            <w:tcW w:w="1702" w:type="dxa"/>
          </w:tcPr>
          <w:p>
            <w:pPr>
              <w:pStyle w:val="TableParagraph"/>
              <w:spacing w:before="71"/>
              <w:ind w:left="220"/>
              <w:jc w:val="left"/>
              <w:rPr>
                <w:sz w:val="18"/>
              </w:rPr>
            </w:pPr>
            <w:r>
              <w:rPr>
                <w:sz w:val="18"/>
              </w:rPr>
              <w:t>$61,705,038.60</w:t>
            </w:r>
          </w:p>
        </w:tc>
        <w:tc>
          <w:tcPr>
            <w:tcW w:w="1416" w:type="dxa"/>
          </w:tcPr>
          <w:p>
            <w:pPr>
              <w:pStyle w:val="TableParagraph"/>
              <w:spacing w:before="71"/>
              <w:ind w:left="57" w:right="58"/>
              <w:rPr>
                <w:sz w:val="18"/>
              </w:rPr>
            </w:pPr>
            <w:r>
              <w:rPr>
                <w:sz w:val="18"/>
              </w:rPr>
              <w:t>$19,874,849.39</w:t>
            </w:r>
          </w:p>
        </w:tc>
        <w:tc>
          <w:tcPr>
            <w:tcW w:w="1702" w:type="dxa"/>
          </w:tcPr>
          <w:p>
            <w:pPr>
              <w:pStyle w:val="TableParagraph"/>
              <w:spacing w:before="71"/>
              <w:ind w:left="76" w:right="74"/>
              <w:rPr>
                <w:sz w:val="18"/>
              </w:rPr>
            </w:pPr>
            <w:r>
              <w:rPr>
                <w:sz w:val="18"/>
              </w:rPr>
              <w:t>$81,579,887.99</w:t>
            </w:r>
          </w:p>
        </w:tc>
        <w:tc>
          <w:tcPr>
            <w:tcW w:w="1702" w:type="dxa"/>
          </w:tcPr>
          <w:p>
            <w:pPr>
              <w:pStyle w:val="TableParagraph"/>
              <w:spacing w:before="71"/>
              <w:ind w:left="75" w:right="72"/>
              <w:rPr>
                <w:sz w:val="18"/>
              </w:rPr>
            </w:pPr>
            <w:r>
              <w:rPr>
                <w:sz w:val="18"/>
              </w:rPr>
              <w:t>$0.00</w:t>
            </w:r>
          </w:p>
        </w:tc>
        <w:tc>
          <w:tcPr>
            <w:tcW w:w="1700" w:type="dxa"/>
          </w:tcPr>
          <w:p>
            <w:pPr>
              <w:pStyle w:val="TableParagraph"/>
              <w:spacing w:before="71"/>
              <w:ind w:right="91"/>
              <w:jc w:val="right"/>
              <w:rPr>
                <w:sz w:val="18"/>
              </w:rPr>
            </w:pPr>
            <w:r>
              <w:rPr>
                <w:sz w:val="18"/>
              </w:rPr>
              <w:t>$1,577,458,259.97</w:t>
            </w:r>
          </w:p>
        </w:tc>
        <w:tc>
          <w:tcPr>
            <w:tcW w:w="1560" w:type="dxa"/>
          </w:tcPr>
          <w:p>
            <w:pPr>
              <w:pStyle w:val="TableParagraph"/>
              <w:spacing w:before="71"/>
              <w:ind w:left="80" w:right="78"/>
              <w:rPr>
                <w:sz w:val="18"/>
              </w:rPr>
            </w:pPr>
            <w:r>
              <w:rPr>
                <w:sz w:val="18"/>
              </w:rPr>
              <w:t>$220,103,451.22</w:t>
            </w:r>
          </w:p>
        </w:tc>
        <w:tc>
          <w:tcPr>
            <w:tcW w:w="1985" w:type="dxa"/>
          </w:tcPr>
          <w:p>
            <w:pPr>
              <w:pStyle w:val="TableParagraph"/>
              <w:spacing w:before="71"/>
              <w:ind w:left="218" w:right="216"/>
              <w:rPr>
                <w:sz w:val="18"/>
              </w:rPr>
            </w:pPr>
            <w:r>
              <w:rPr>
                <w:sz w:val="18"/>
              </w:rPr>
              <w:t>$1,798,115,618.32</w:t>
            </w:r>
          </w:p>
        </w:tc>
        <w:tc>
          <w:tcPr>
            <w:tcW w:w="1817" w:type="dxa"/>
          </w:tcPr>
          <w:p>
            <w:pPr>
              <w:pStyle w:val="TableParagraph"/>
              <w:spacing w:before="71"/>
              <w:ind w:left="131" w:right="131"/>
              <w:rPr>
                <w:sz w:val="18"/>
              </w:rPr>
            </w:pPr>
            <w:r>
              <w:rPr>
                <w:sz w:val="18"/>
              </w:rPr>
              <w:t>$553,907.13</w:t>
            </w:r>
          </w:p>
        </w:tc>
      </w:tr>
      <w:tr>
        <w:trPr>
          <w:trHeight w:val="631" w:hRule="exact"/>
        </w:trPr>
        <w:tc>
          <w:tcPr>
            <w:tcW w:w="1520" w:type="dxa"/>
          </w:tcPr>
          <w:p>
            <w:pPr>
              <w:pStyle w:val="TableParagraph"/>
              <w:spacing w:line="362" w:lineRule="auto"/>
              <w:ind w:left="67" w:right="693"/>
              <w:jc w:val="left"/>
              <w:rPr>
                <w:b/>
                <w:sz w:val="18"/>
              </w:rPr>
            </w:pPr>
            <w:r>
              <w:rPr>
                <w:b/>
                <w:sz w:val="18"/>
              </w:rPr>
              <w:t>ISIDRO FABELA</w:t>
            </w:r>
          </w:p>
        </w:tc>
        <w:tc>
          <w:tcPr>
            <w:tcW w:w="1702" w:type="dxa"/>
          </w:tcPr>
          <w:p>
            <w:pPr>
              <w:pStyle w:val="TableParagraph"/>
              <w:spacing w:before="155"/>
              <w:ind w:left="602" w:right="599"/>
              <w:rPr>
                <w:sz w:val="18"/>
              </w:rPr>
            </w:pPr>
            <w:r>
              <w:rPr>
                <w:sz w:val="18"/>
              </w:rPr>
              <w:t>$0.00</w:t>
            </w:r>
          </w:p>
        </w:tc>
        <w:tc>
          <w:tcPr>
            <w:tcW w:w="1416" w:type="dxa"/>
          </w:tcPr>
          <w:p>
            <w:pPr>
              <w:pStyle w:val="TableParagraph"/>
              <w:spacing w:before="155"/>
              <w:ind w:left="57" w:right="56"/>
              <w:rPr>
                <w:sz w:val="18"/>
              </w:rPr>
            </w:pPr>
            <w:r>
              <w:rPr>
                <w:sz w:val="18"/>
              </w:rPr>
              <w:t>$0.00</w:t>
            </w:r>
          </w:p>
        </w:tc>
        <w:tc>
          <w:tcPr>
            <w:tcW w:w="1702" w:type="dxa"/>
          </w:tcPr>
          <w:p>
            <w:pPr>
              <w:pStyle w:val="TableParagraph"/>
              <w:spacing w:before="155"/>
              <w:ind w:left="76" w:right="72"/>
              <w:rPr>
                <w:sz w:val="18"/>
              </w:rPr>
            </w:pPr>
            <w:r>
              <w:rPr>
                <w:sz w:val="18"/>
              </w:rPr>
              <w:t>$0.00</w:t>
            </w:r>
          </w:p>
        </w:tc>
        <w:tc>
          <w:tcPr>
            <w:tcW w:w="1702" w:type="dxa"/>
          </w:tcPr>
          <w:p>
            <w:pPr>
              <w:pStyle w:val="TableParagraph"/>
              <w:spacing w:before="155"/>
              <w:ind w:left="75" w:right="72"/>
              <w:rPr>
                <w:sz w:val="18"/>
              </w:rPr>
            </w:pPr>
            <w:r>
              <w:rPr>
                <w:sz w:val="18"/>
              </w:rPr>
              <w:t>$0.00</w:t>
            </w:r>
          </w:p>
        </w:tc>
        <w:tc>
          <w:tcPr>
            <w:tcW w:w="1700" w:type="dxa"/>
          </w:tcPr>
          <w:p>
            <w:pPr>
              <w:pStyle w:val="TableParagraph"/>
              <w:spacing w:before="155"/>
              <w:ind w:left="600" w:right="599"/>
              <w:rPr>
                <w:sz w:val="18"/>
              </w:rPr>
            </w:pPr>
            <w:r>
              <w:rPr>
                <w:sz w:val="18"/>
              </w:rPr>
              <w:t>$0.00</w:t>
            </w:r>
          </w:p>
        </w:tc>
        <w:tc>
          <w:tcPr>
            <w:tcW w:w="1560" w:type="dxa"/>
          </w:tcPr>
          <w:p>
            <w:pPr>
              <w:pStyle w:val="TableParagraph"/>
              <w:spacing w:before="155"/>
              <w:ind w:left="80" w:right="75"/>
              <w:rPr>
                <w:sz w:val="18"/>
              </w:rPr>
            </w:pPr>
            <w:r>
              <w:rPr>
                <w:sz w:val="18"/>
              </w:rPr>
              <w:t>$0.00</w:t>
            </w:r>
          </w:p>
        </w:tc>
        <w:tc>
          <w:tcPr>
            <w:tcW w:w="1985" w:type="dxa"/>
          </w:tcPr>
          <w:p>
            <w:pPr>
              <w:pStyle w:val="TableParagraph"/>
              <w:spacing w:before="155"/>
              <w:ind w:left="218" w:right="214"/>
              <w:rPr>
                <w:sz w:val="18"/>
              </w:rPr>
            </w:pPr>
            <w:r>
              <w:rPr>
                <w:sz w:val="18"/>
              </w:rPr>
              <w:t>$0.00</w:t>
            </w:r>
          </w:p>
        </w:tc>
        <w:tc>
          <w:tcPr>
            <w:tcW w:w="1817" w:type="dxa"/>
          </w:tcPr>
          <w:p>
            <w:pPr>
              <w:pStyle w:val="TableParagraph"/>
              <w:spacing w:before="155"/>
              <w:ind w:left="133" w:right="130"/>
              <w:rPr>
                <w:sz w:val="18"/>
              </w:rPr>
            </w:pPr>
            <w:r>
              <w:rPr>
                <w:sz w:val="18"/>
              </w:rPr>
              <w:t>$0.00</w:t>
            </w:r>
          </w:p>
        </w:tc>
      </w:tr>
      <w:tr>
        <w:trPr>
          <w:trHeight w:val="461" w:hRule="exact"/>
        </w:trPr>
        <w:tc>
          <w:tcPr>
            <w:tcW w:w="1520" w:type="dxa"/>
          </w:tcPr>
          <w:p>
            <w:pPr>
              <w:pStyle w:val="TableParagraph"/>
              <w:spacing w:before="64"/>
              <w:ind w:left="67"/>
              <w:jc w:val="left"/>
              <w:rPr>
                <w:b/>
                <w:sz w:val="18"/>
              </w:rPr>
            </w:pPr>
            <w:r>
              <w:rPr>
                <w:b/>
                <w:sz w:val="18"/>
              </w:rPr>
              <w:t>IXTAPALUCA</w:t>
            </w:r>
          </w:p>
        </w:tc>
        <w:tc>
          <w:tcPr>
            <w:tcW w:w="1702" w:type="dxa"/>
          </w:tcPr>
          <w:p>
            <w:pPr>
              <w:pStyle w:val="TableParagraph"/>
              <w:spacing w:before="68"/>
              <w:ind w:left="602" w:right="599"/>
              <w:rPr>
                <w:sz w:val="18"/>
              </w:rPr>
            </w:pPr>
            <w:r>
              <w:rPr>
                <w:sz w:val="18"/>
              </w:rPr>
              <w:t>$0.00</w:t>
            </w:r>
          </w:p>
        </w:tc>
        <w:tc>
          <w:tcPr>
            <w:tcW w:w="1416" w:type="dxa"/>
          </w:tcPr>
          <w:p>
            <w:pPr>
              <w:pStyle w:val="TableParagraph"/>
              <w:spacing w:before="68"/>
              <w:ind w:left="57" w:right="56"/>
              <w:rPr>
                <w:sz w:val="18"/>
              </w:rPr>
            </w:pPr>
            <w:r>
              <w:rPr>
                <w:sz w:val="18"/>
              </w:rPr>
              <w:t>$0.00</w:t>
            </w:r>
          </w:p>
        </w:tc>
        <w:tc>
          <w:tcPr>
            <w:tcW w:w="1702" w:type="dxa"/>
          </w:tcPr>
          <w:p>
            <w:pPr>
              <w:pStyle w:val="TableParagraph"/>
              <w:spacing w:before="68"/>
              <w:ind w:left="76" w:right="72"/>
              <w:rPr>
                <w:sz w:val="18"/>
              </w:rPr>
            </w:pPr>
            <w:r>
              <w:rPr>
                <w:sz w:val="18"/>
              </w:rPr>
              <w:t>$0.00</w:t>
            </w:r>
          </w:p>
        </w:tc>
        <w:tc>
          <w:tcPr>
            <w:tcW w:w="1702" w:type="dxa"/>
          </w:tcPr>
          <w:p>
            <w:pPr>
              <w:pStyle w:val="TableParagraph"/>
              <w:spacing w:before="68"/>
              <w:ind w:left="75" w:right="72"/>
              <w:rPr>
                <w:sz w:val="18"/>
              </w:rPr>
            </w:pPr>
            <w:r>
              <w:rPr>
                <w:sz w:val="18"/>
              </w:rPr>
              <w:t>$0.00</w:t>
            </w:r>
          </w:p>
        </w:tc>
        <w:tc>
          <w:tcPr>
            <w:tcW w:w="1700" w:type="dxa"/>
          </w:tcPr>
          <w:p>
            <w:pPr>
              <w:pStyle w:val="TableParagraph"/>
              <w:spacing w:before="68"/>
              <w:ind w:left="600" w:right="599"/>
              <w:rPr>
                <w:sz w:val="18"/>
              </w:rPr>
            </w:pPr>
            <w:r>
              <w:rPr>
                <w:sz w:val="18"/>
              </w:rPr>
              <w:t>$0.00</w:t>
            </w:r>
          </w:p>
        </w:tc>
        <w:tc>
          <w:tcPr>
            <w:tcW w:w="1560" w:type="dxa"/>
          </w:tcPr>
          <w:p>
            <w:pPr>
              <w:pStyle w:val="TableParagraph"/>
              <w:spacing w:before="68"/>
              <w:ind w:left="80" w:right="75"/>
              <w:rPr>
                <w:sz w:val="18"/>
              </w:rPr>
            </w:pPr>
            <w:r>
              <w:rPr>
                <w:sz w:val="18"/>
              </w:rPr>
              <w:t>$0.00</w:t>
            </w:r>
          </w:p>
        </w:tc>
        <w:tc>
          <w:tcPr>
            <w:tcW w:w="1985" w:type="dxa"/>
          </w:tcPr>
          <w:p>
            <w:pPr>
              <w:pStyle w:val="TableParagraph"/>
              <w:spacing w:before="68"/>
              <w:ind w:left="218" w:right="214"/>
              <w:rPr>
                <w:sz w:val="18"/>
              </w:rPr>
            </w:pPr>
            <w:r>
              <w:rPr>
                <w:sz w:val="18"/>
              </w:rPr>
              <w:t>$0.00</w:t>
            </w:r>
          </w:p>
        </w:tc>
        <w:tc>
          <w:tcPr>
            <w:tcW w:w="1817" w:type="dxa"/>
          </w:tcPr>
          <w:p>
            <w:pPr>
              <w:pStyle w:val="TableParagraph"/>
              <w:spacing w:before="68"/>
              <w:ind w:left="133" w:right="130"/>
              <w:rPr>
                <w:sz w:val="18"/>
              </w:rPr>
            </w:pPr>
            <w:r>
              <w:rPr>
                <w:sz w:val="18"/>
              </w:rPr>
              <w:t>$0.00</w:t>
            </w:r>
          </w:p>
        </w:tc>
      </w:tr>
      <w:tr>
        <w:trPr>
          <w:trHeight w:val="632" w:hRule="exact"/>
        </w:trPr>
        <w:tc>
          <w:tcPr>
            <w:tcW w:w="1520" w:type="dxa"/>
          </w:tcPr>
          <w:p>
            <w:pPr>
              <w:pStyle w:val="TableParagraph"/>
              <w:spacing w:line="360" w:lineRule="auto"/>
              <w:ind w:left="67" w:right="43"/>
              <w:jc w:val="left"/>
              <w:rPr>
                <w:b/>
                <w:sz w:val="18"/>
              </w:rPr>
            </w:pPr>
            <w:r>
              <w:rPr>
                <w:b/>
                <w:sz w:val="18"/>
              </w:rPr>
              <w:t>IXTAPAN DE LA SAL</w:t>
            </w:r>
          </w:p>
        </w:tc>
        <w:tc>
          <w:tcPr>
            <w:tcW w:w="1702" w:type="dxa"/>
          </w:tcPr>
          <w:p>
            <w:pPr>
              <w:pStyle w:val="TableParagraph"/>
              <w:spacing w:before="153"/>
              <w:ind w:left="602" w:right="599"/>
              <w:rPr>
                <w:sz w:val="18"/>
              </w:rPr>
            </w:pPr>
            <w:r>
              <w:rPr>
                <w:sz w:val="18"/>
              </w:rPr>
              <w:t>$0.00</w:t>
            </w:r>
          </w:p>
        </w:tc>
        <w:tc>
          <w:tcPr>
            <w:tcW w:w="1416" w:type="dxa"/>
          </w:tcPr>
          <w:p>
            <w:pPr>
              <w:pStyle w:val="TableParagraph"/>
              <w:spacing w:before="153"/>
              <w:ind w:left="57" w:right="56"/>
              <w:rPr>
                <w:sz w:val="18"/>
              </w:rPr>
            </w:pPr>
            <w:r>
              <w:rPr>
                <w:sz w:val="18"/>
              </w:rPr>
              <w:t>$0.00</w:t>
            </w:r>
          </w:p>
        </w:tc>
        <w:tc>
          <w:tcPr>
            <w:tcW w:w="1702" w:type="dxa"/>
          </w:tcPr>
          <w:p>
            <w:pPr>
              <w:pStyle w:val="TableParagraph"/>
              <w:spacing w:before="153"/>
              <w:ind w:left="76" w:right="72"/>
              <w:rPr>
                <w:sz w:val="18"/>
              </w:rPr>
            </w:pPr>
            <w:r>
              <w:rPr>
                <w:sz w:val="18"/>
              </w:rPr>
              <w:t>$0.00</w:t>
            </w:r>
          </w:p>
        </w:tc>
        <w:tc>
          <w:tcPr>
            <w:tcW w:w="1702" w:type="dxa"/>
          </w:tcPr>
          <w:p>
            <w:pPr>
              <w:pStyle w:val="TableParagraph"/>
              <w:spacing w:before="153"/>
              <w:ind w:left="75" w:right="72"/>
              <w:rPr>
                <w:sz w:val="18"/>
              </w:rPr>
            </w:pPr>
            <w:r>
              <w:rPr>
                <w:sz w:val="18"/>
              </w:rPr>
              <w:t>$0.00</w:t>
            </w:r>
          </w:p>
        </w:tc>
        <w:tc>
          <w:tcPr>
            <w:tcW w:w="1700" w:type="dxa"/>
          </w:tcPr>
          <w:p>
            <w:pPr>
              <w:pStyle w:val="TableParagraph"/>
              <w:spacing w:before="153"/>
              <w:ind w:right="168"/>
              <w:jc w:val="right"/>
              <w:rPr>
                <w:sz w:val="18"/>
              </w:rPr>
            </w:pPr>
            <w:r>
              <w:rPr>
                <w:sz w:val="18"/>
              </w:rPr>
              <w:t>$155,668,415.00</w:t>
            </w:r>
          </w:p>
        </w:tc>
        <w:tc>
          <w:tcPr>
            <w:tcW w:w="1560" w:type="dxa"/>
          </w:tcPr>
          <w:p>
            <w:pPr>
              <w:pStyle w:val="TableParagraph"/>
              <w:spacing w:before="153"/>
              <w:ind w:left="80" w:right="75"/>
              <w:rPr>
                <w:sz w:val="18"/>
              </w:rPr>
            </w:pPr>
            <w:r>
              <w:rPr>
                <w:sz w:val="18"/>
              </w:rPr>
              <w:t>$0.00</w:t>
            </w:r>
          </w:p>
        </w:tc>
        <w:tc>
          <w:tcPr>
            <w:tcW w:w="1985" w:type="dxa"/>
          </w:tcPr>
          <w:p>
            <w:pPr>
              <w:pStyle w:val="TableParagraph"/>
              <w:spacing w:before="153"/>
              <w:ind w:left="218" w:right="214"/>
              <w:rPr>
                <w:sz w:val="18"/>
              </w:rPr>
            </w:pPr>
            <w:r>
              <w:rPr>
                <w:sz w:val="18"/>
              </w:rPr>
              <w:t>$0.00</w:t>
            </w:r>
          </w:p>
        </w:tc>
        <w:tc>
          <w:tcPr>
            <w:tcW w:w="1817" w:type="dxa"/>
          </w:tcPr>
          <w:p>
            <w:pPr>
              <w:pStyle w:val="TableParagraph"/>
              <w:spacing w:before="153"/>
              <w:ind w:left="133" w:right="105"/>
              <w:rPr>
                <w:sz w:val="18"/>
              </w:rPr>
            </w:pPr>
            <w:r>
              <w:rPr>
                <w:sz w:val="18"/>
              </w:rPr>
              <w:t>$155,668,415.00</w:t>
            </w:r>
          </w:p>
        </w:tc>
      </w:tr>
    </w:tbl>
    <w:p>
      <w:pPr>
        <w:spacing w:after="0"/>
        <w:rPr>
          <w:sz w:val="18"/>
        </w:rPr>
        <w:sectPr>
          <w:pgSz w:w="15840" w:h="12240" w:orient="landscape"/>
          <w:pgMar w:header="0" w:footer="975" w:top="1140" w:bottom="1160" w:left="240" w:right="260"/>
        </w:sectPr>
      </w:pPr>
    </w:p>
    <w:p>
      <w:pPr>
        <w:pStyle w:val="BodyText"/>
        <w:rPr>
          <w:rFonts w:ascii="Times New Roman"/>
          <w:sz w:val="20"/>
        </w:rPr>
      </w:pPr>
    </w:p>
    <w:p>
      <w:pPr>
        <w:pStyle w:val="BodyText"/>
        <w:spacing w:before="10"/>
        <w:rPr>
          <w:rFonts w:ascii="Times New Roman"/>
          <w:sz w:val="28"/>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56"/>
        <w:gridCol w:w="1702"/>
        <w:gridCol w:w="1417"/>
        <w:gridCol w:w="1560"/>
        <w:gridCol w:w="1702"/>
        <w:gridCol w:w="1702"/>
        <w:gridCol w:w="1558"/>
        <w:gridCol w:w="1844"/>
        <w:gridCol w:w="1843"/>
      </w:tblGrid>
      <w:tr>
        <w:trPr>
          <w:trHeight w:val="460" w:hRule="exact"/>
        </w:trPr>
        <w:tc>
          <w:tcPr>
            <w:tcW w:w="14983" w:type="dxa"/>
            <w:gridSpan w:val="9"/>
            <w:shd w:val="clear" w:color="auto" w:fill="C5DFB3"/>
          </w:tcPr>
          <w:p>
            <w:pPr>
              <w:pStyle w:val="TableParagraph"/>
              <w:spacing w:before="64"/>
              <w:ind w:left="3833"/>
              <w:jc w:val="left"/>
              <w:rPr>
                <w:b/>
                <w:sz w:val="18"/>
              </w:rPr>
            </w:pPr>
            <w:r>
              <w:rPr>
                <w:b/>
                <w:sz w:val="18"/>
              </w:rPr>
              <w:t>Anexo 24B. Municipios que publican apartado presupuesto 2010-2011 (Continuación)</w:t>
            </w:r>
          </w:p>
        </w:tc>
      </w:tr>
      <w:tr>
        <w:trPr>
          <w:trHeight w:val="460" w:hRule="exact"/>
        </w:trPr>
        <w:tc>
          <w:tcPr>
            <w:tcW w:w="1656"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119"/>
              <w:ind w:left="403" w:right="66"/>
              <w:jc w:val="left"/>
              <w:rPr>
                <w:b/>
                <w:sz w:val="18"/>
              </w:rPr>
            </w:pPr>
            <w:r>
              <w:rPr>
                <w:b/>
                <w:sz w:val="18"/>
              </w:rPr>
              <w:t>Municipio</w:t>
            </w:r>
          </w:p>
        </w:tc>
        <w:tc>
          <w:tcPr>
            <w:tcW w:w="6380" w:type="dxa"/>
            <w:gridSpan w:val="4"/>
            <w:shd w:val="clear" w:color="auto" w:fill="C5DFB3"/>
          </w:tcPr>
          <w:p>
            <w:pPr>
              <w:pStyle w:val="TableParagraph"/>
              <w:spacing w:before="65"/>
              <w:ind w:left="2964" w:right="2964"/>
              <w:rPr>
                <w:b/>
                <w:sz w:val="18"/>
              </w:rPr>
            </w:pPr>
            <w:r>
              <w:rPr>
                <w:b/>
                <w:sz w:val="18"/>
              </w:rPr>
              <w:t>2010</w:t>
            </w:r>
          </w:p>
        </w:tc>
        <w:tc>
          <w:tcPr>
            <w:tcW w:w="6947" w:type="dxa"/>
            <w:gridSpan w:val="4"/>
            <w:shd w:val="clear" w:color="auto" w:fill="C5DFB3"/>
          </w:tcPr>
          <w:p>
            <w:pPr>
              <w:pStyle w:val="TableParagraph"/>
              <w:spacing w:before="65"/>
              <w:ind w:left="3248" w:right="3248"/>
              <w:rPr>
                <w:b/>
                <w:sz w:val="18"/>
              </w:rPr>
            </w:pPr>
            <w:r>
              <w:rPr>
                <w:b/>
                <w:sz w:val="18"/>
              </w:rPr>
              <w:t>2011</w:t>
            </w:r>
          </w:p>
        </w:tc>
      </w:tr>
      <w:tr>
        <w:trPr>
          <w:trHeight w:val="938" w:hRule="exact"/>
        </w:trPr>
        <w:tc>
          <w:tcPr>
            <w:tcW w:w="1656" w:type="dxa"/>
            <w:vMerge/>
            <w:shd w:val="clear" w:color="auto" w:fill="C5DFB3"/>
          </w:tcPr>
          <w:p>
            <w:pPr/>
          </w:p>
        </w:tc>
        <w:tc>
          <w:tcPr>
            <w:tcW w:w="170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line="369" w:lineRule="auto" w:before="113"/>
              <w:ind w:left="407" w:right="31" w:hanging="360"/>
              <w:jc w:val="left"/>
              <w:rPr>
                <w:b/>
                <w:sz w:val="18"/>
              </w:rPr>
            </w:pPr>
            <w:r>
              <w:rPr>
                <w:b/>
                <w:w w:val="100"/>
                <w:sz w:val="18"/>
              </w:rPr>
              <w:t>Autoriz</w:t>
            </w:r>
            <w:r>
              <w:rPr>
                <w:b/>
                <w:w w:val="99"/>
                <w:sz w:val="18"/>
              </w:rPr>
              <w:t>a</w:t>
            </w:r>
            <w:r>
              <w:rPr>
                <w:b/>
                <w:w w:val="100"/>
                <w:sz w:val="18"/>
              </w:rPr>
              <w:t>d o</w:t>
            </w:r>
          </w:p>
        </w:tc>
        <w:tc>
          <w:tcPr>
            <w:tcW w:w="1417" w:type="dxa"/>
            <w:shd w:val="clear" w:color="auto" w:fill="C5DFB3"/>
            <w:textDirection w:val="btLr"/>
          </w:tcPr>
          <w:p>
            <w:pPr>
              <w:pStyle w:val="TableParagraph"/>
              <w:jc w:val="left"/>
              <w:rPr>
                <w:rFonts w:ascii="Times New Roman"/>
                <w:sz w:val="18"/>
              </w:rPr>
            </w:pPr>
          </w:p>
          <w:p>
            <w:pPr>
              <w:pStyle w:val="TableParagraph"/>
              <w:spacing w:before="3"/>
              <w:jc w:val="left"/>
              <w:rPr>
                <w:rFonts w:ascii="Times New Roman"/>
                <w:sz w:val="15"/>
              </w:rPr>
            </w:pPr>
          </w:p>
          <w:p>
            <w:pPr>
              <w:pStyle w:val="TableParagraph"/>
              <w:spacing w:line="369" w:lineRule="auto"/>
              <w:ind w:left="407" w:right="27" w:hanging="365"/>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 o</w:t>
            </w:r>
          </w:p>
        </w:tc>
        <w:tc>
          <w:tcPr>
            <w:tcW w:w="1560"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6"/>
              <w:jc w:val="left"/>
              <w:rPr>
                <w:rFonts w:ascii="Times New Roman"/>
                <w:sz w:val="17"/>
              </w:rPr>
            </w:pPr>
          </w:p>
          <w:p>
            <w:pPr>
              <w:pStyle w:val="TableParagraph"/>
              <w:ind w:left="107" w:right="31"/>
              <w:jc w:val="left"/>
              <w:rPr>
                <w:b/>
                <w:sz w:val="18"/>
              </w:rPr>
            </w:pPr>
            <w:r>
              <w:rPr>
                <w:b/>
                <w:w w:val="100"/>
                <w:sz w:val="18"/>
              </w:rPr>
              <w:t>Eje</w:t>
            </w:r>
            <w:r>
              <w:rPr>
                <w:b/>
                <w:w w:val="99"/>
                <w:sz w:val="18"/>
              </w:rPr>
              <w:t>rci</w:t>
            </w:r>
            <w:r>
              <w:rPr>
                <w:b/>
                <w:w w:val="100"/>
                <w:sz w:val="18"/>
              </w:rPr>
              <w:t>do</w:t>
            </w:r>
          </w:p>
        </w:tc>
        <w:tc>
          <w:tcPr>
            <w:tcW w:w="170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line="369" w:lineRule="auto" w:before="113"/>
              <w:ind w:left="167" w:right="151" w:firstLine="146"/>
              <w:jc w:val="left"/>
              <w:rPr>
                <w:b/>
                <w:sz w:val="18"/>
              </w:rPr>
            </w:pPr>
            <w:r>
              <w:rPr>
                <w:b/>
                <w:sz w:val="18"/>
              </w:rPr>
              <w:t>Por </w:t>
            </w:r>
            <w:r>
              <w:rPr>
                <w:b/>
                <w:w w:val="99"/>
                <w:sz w:val="18"/>
              </w:rPr>
              <w:t>e</w:t>
            </w:r>
            <w:r>
              <w:rPr>
                <w:b/>
                <w:w w:val="100"/>
                <w:sz w:val="18"/>
              </w:rPr>
              <w:t>je</w:t>
            </w:r>
            <w:r>
              <w:rPr>
                <w:b/>
                <w:w w:val="99"/>
                <w:sz w:val="18"/>
              </w:rPr>
              <w:t>rcer</w:t>
            </w:r>
          </w:p>
        </w:tc>
        <w:tc>
          <w:tcPr>
            <w:tcW w:w="170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line="367" w:lineRule="auto" w:before="113"/>
              <w:ind w:left="407" w:right="31" w:hanging="360"/>
              <w:jc w:val="left"/>
              <w:rPr>
                <w:b/>
                <w:sz w:val="18"/>
              </w:rPr>
            </w:pPr>
            <w:r>
              <w:rPr>
                <w:b/>
                <w:w w:val="100"/>
                <w:sz w:val="18"/>
              </w:rPr>
              <w:t>Autoriz</w:t>
            </w:r>
            <w:r>
              <w:rPr>
                <w:b/>
                <w:w w:val="99"/>
                <w:sz w:val="18"/>
              </w:rPr>
              <w:t>a</w:t>
            </w:r>
            <w:r>
              <w:rPr>
                <w:b/>
                <w:w w:val="100"/>
                <w:sz w:val="18"/>
              </w:rPr>
              <w:t>d o</w:t>
            </w:r>
          </w:p>
        </w:tc>
        <w:tc>
          <w:tcPr>
            <w:tcW w:w="1558" w:type="dxa"/>
            <w:shd w:val="clear" w:color="auto" w:fill="C5DFB3"/>
            <w:textDirection w:val="btLr"/>
          </w:tcPr>
          <w:p>
            <w:pPr>
              <w:pStyle w:val="TableParagraph"/>
              <w:jc w:val="left"/>
              <w:rPr>
                <w:rFonts w:ascii="Times New Roman"/>
                <w:sz w:val="18"/>
              </w:rPr>
            </w:pPr>
          </w:p>
          <w:p>
            <w:pPr>
              <w:pStyle w:val="TableParagraph"/>
              <w:spacing w:before="6"/>
              <w:jc w:val="left"/>
              <w:rPr>
                <w:rFonts w:ascii="Times New Roman"/>
                <w:sz w:val="21"/>
              </w:rPr>
            </w:pPr>
          </w:p>
          <w:p>
            <w:pPr>
              <w:pStyle w:val="TableParagraph"/>
              <w:spacing w:line="369" w:lineRule="auto"/>
              <w:ind w:left="407" w:right="27" w:hanging="365"/>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 o</w:t>
            </w:r>
          </w:p>
        </w:tc>
        <w:tc>
          <w:tcPr>
            <w:tcW w:w="18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137"/>
              <w:ind w:left="107" w:right="31"/>
              <w:jc w:val="left"/>
              <w:rPr>
                <w:b/>
                <w:sz w:val="18"/>
              </w:rPr>
            </w:pPr>
            <w:r>
              <w:rPr>
                <w:b/>
                <w:w w:val="100"/>
                <w:sz w:val="18"/>
              </w:rPr>
              <w:t>Eje</w:t>
            </w:r>
            <w:r>
              <w:rPr>
                <w:b/>
                <w:w w:val="99"/>
                <w:sz w:val="18"/>
              </w:rPr>
              <w:t>rci</w:t>
            </w:r>
            <w:r>
              <w:rPr>
                <w:b/>
                <w:w w:val="100"/>
                <w:sz w:val="18"/>
              </w:rPr>
              <w:t>do</w:t>
            </w:r>
          </w:p>
        </w:tc>
        <w:tc>
          <w:tcPr>
            <w:tcW w:w="1843"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15"/>
              </w:rPr>
            </w:pPr>
          </w:p>
          <w:p>
            <w:pPr>
              <w:pStyle w:val="TableParagraph"/>
              <w:spacing w:line="369" w:lineRule="auto"/>
              <w:ind w:left="167" w:right="151" w:firstLine="146"/>
              <w:jc w:val="left"/>
              <w:rPr>
                <w:b/>
                <w:sz w:val="18"/>
              </w:rPr>
            </w:pPr>
            <w:r>
              <w:rPr>
                <w:b/>
                <w:sz w:val="18"/>
              </w:rPr>
              <w:t>Por </w:t>
            </w:r>
            <w:r>
              <w:rPr>
                <w:b/>
                <w:w w:val="99"/>
                <w:sz w:val="18"/>
              </w:rPr>
              <w:t>e</w:t>
            </w:r>
            <w:r>
              <w:rPr>
                <w:b/>
                <w:w w:val="100"/>
                <w:sz w:val="18"/>
              </w:rPr>
              <w:t>je</w:t>
            </w:r>
            <w:r>
              <w:rPr>
                <w:b/>
                <w:w w:val="99"/>
                <w:sz w:val="18"/>
              </w:rPr>
              <w:t>rcer</w:t>
            </w:r>
          </w:p>
        </w:tc>
      </w:tr>
      <w:tr>
        <w:trPr>
          <w:trHeight w:val="632" w:hRule="exact"/>
        </w:trPr>
        <w:tc>
          <w:tcPr>
            <w:tcW w:w="1656" w:type="dxa"/>
          </w:tcPr>
          <w:p>
            <w:pPr>
              <w:pStyle w:val="TableParagraph"/>
              <w:tabs>
                <w:tab w:pos="1218" w:val="left" w:leader="none"/>
              </w:tabs>
              <w:spacing w:line="360" w:lineRule="auto"/>
              <w:ind w:left="64" w:right="66"/>
              <w:jc w:val="left"/>
              <w:rPr>
                <w:b/>
                <w:sz w:val="18"/>
              </w:rPr>
            </w:pPr>
            <w:r>
              <w:rPr>
                <w:b/>
                <w:color w:val="333333"/>
                <w:sz w:val="18"/>
              </w:rPr>
              <w:t>IXTAPAN</w:t>
              <w:tab/>
              <w:t>DEL ORO</w:t>
            </w:r>
          </w:p>
        </w:tc>
        <w:tc>
          <w:tcPr>
            <w:tcW w:w="1702" w:type="dxa"/>
          </w:tcPr>
          <w:p>
            <w:pPr>
              <w:pStyle w:val="TableParagraph"/>
              <w:spacing w:before="155"/>
              <w:ind w:left="74" w:right="75"/>
              <w:rPr>
                <w:sz w:val="18"/>
              </w:rPr>
            </w:pPr>
            <w:r>
              <w:rPr>
                <w:sz w:val="18"/>
              </w:rPr>
              <w:t>$0.00</w:t>
            </w:r>
          </w:p>
        </w:tc>
        <w:tc>
          <w:tcPr>
            <w:tcW w:w="1417" w:type="dxa"/>
          </w:tcPr>
          <w:p>
            <w:pPr>
              <w:pStyle w:val="TableParagraph"/>
              <w:spacing w:before="155"/>
              <w:ind w:left="455" w:right="455"/>
              <w:rPr>
                <w:sz w:val="18"/>
              </w:rPr>
            </w:pPr>
            <w:r>
              <w:rPr>
                <w:sz w:val="18"/>
              </w:rPr>
              <w:t>$0.00</w:t>
            </w:r>
          </w:p>
        </w:tc>
        <w:tc>
          <w:tcPr>
            <w:tcW w:w="1560" w:type="dxa"/>
          </w:tcPr>
          <w:p>
            <w:pPr>
              <w:pStyle w:val="TableParagraph"/>
              <w:spacing w:before="155"/>
              <w:ind w:left="80" w:right="75"/>
              <w:rPr>
                <w:sz w:val="18"/>
              </w:rPr>
            </w:pPr>
            <w:r>
              <w:rPr>
                <w:sz w:val="18"/>
              </w:rPr>
              <w:t>$0.00</w:t>
            </w:r>
          </w:p>
        </w:tc>
        <w:tc>
          <w:tcPr>
            <w:tcW w:w="1702" w:type="dxa"/>
          </w:tcPr>
          <w:p>
            <w:pPr>
              <w:pStyle w:val="TableParagraph"/>
              <w:spacing w:before="155"/>
              <w:ind w:left="75" w:right="72"/>
              <w:rPr>
                <w:sz w:val="18"/>
              </w:rPr>
            </w:pPr>
            <w:r>
              <w:rPr>
                <w:sz w:val="18"/>
              </w:rPr>
              <w:t>$0.00</w:t>
            </w:r>
          </w:p>
        </w:tc>
        <w:tc>
          <w:tcPr>
            <w:tcW w:w="1702" w:type="dxa"/>
          </w:tcPr>
          <w:p>
            <w:pPr>
              <w:pStyle w:val="TableParagraph"/>
              <w:spacing w:before="155"/>
              <w:ind w:left="75" w:right="75"/>
              <w:rPr>
                <w:sz w:val="18"/>
              </w:rPr>
            </w:pPr>
            <w:r>
              <w:rPr>
                <w:sz w:val="18"/>
              </w:rPr>
              <w:t>$0.00</w:t>
            </w:r>
          </w:p>
        </w:tc>
        <w:tc>
          <w:tcPr>
            <w:tcW w:w="1558" w:type="dxa"/>
          </w:tcPr>
          <w:p>
            <w:pPr>
              <w:pStyle w:val="TableParagraph"/>
              <w:spacing w:before="155"/>
              <w:ind w:left="77" w:right="78"/>
              <w:rPr>
                <w:sz w:val="18"/>
              </w:rPr>
            </w:pPr>
            <w:r>
              <w:rPr>
                <w:sz w:val="18"/>
              </w:rPr>
              <w:t>$0.00</w:t>
            </w:r>
          </w:p>
        </w:tc>
        <w:tc>
          <w:tcPr>
            <w:tcW w:w="1844" w:type="dxa"/>
          </w:tcPr>
          <w:p>
            <w:pPr>
              <w:pStyle w:val="TableParagraph"/>
              <w:spacing w:before="155"/>
              <w:ind w:left="221" w:right="215"/>
              <w:rPr>
                <w:sz w:val="18"/>
              </w:rPr>
            </w:pPr>
            <w:r>
              <w:rPr>
                <w:sz w:val="18"/>
              </w:rPr>
              <w:t>$0.00</w:t>
            </w:r>
          </w:p>
        </w:tc>
        <w:tc>
          <w:tcPr>
            <w:tcW w:w="1843" w:type="dxa"/>
          </w:tcPr>
          <w:p>
            <w:pPr>
              <w:pStyle w:val="TableParagraph"/>
              <w:spacing w:before="155"/>
              <w:ind w:left="221" w:right="220"/>
              <w:rPr>
                <w:sz w:val="18"/>
              </w:rPr>
            </w:pPr>
            <w:r>
              <w:rPr>
                <w:sz w:val="18"/>
              </w:rPr>
              <w:t>$0.00</w:t>
            </w:r>
          </w:p>
        </w:tc>
      </w:tr>
      <w:tr>
        <w:trPr>
          <w:trHeight w:val="461" w:hRule="exact"/>
        </w:trPr>
        <w:tc>
          <w:tcPr>
            <w:tcW w:w="1656" w:type="dxa"/>
          </w:tcPr>
          <w:p>
            <w:pPr>
              <w:pStyle w:val="TableParagraph"/>
              <w:spacing w:before="64"/>
              <w:ind w:left="64" w:right="66"/>
              <w:jc w:val="left"/>
              <w:rPr>
                <w:b/>
                <w:sz w:val="18"/>
              </w:rPr>
            </w:pPr>
            <w:r>
              <w:rPr>
                <w:b/>
                <w:color w:val="333333"/>
                <w:sz w:val="18"/>
              </w:rPr>
              <w:t>IXTLAHUACA</w:t>
            </w:r>
          </w:p>
        </w:tc>
        <w:tc>
          <w:tcPr>
            <w:tcW w:w="1702" w:type="dxa"/>
          </w:tcPr>
          <w:p>
            <w:pPr>
              <w:pStyle w:val="TableParagraph"/>
              <w:spacing w:before="68"/>
              <w:ind w:left="74" w:right="75"/>
              <w:rPr>
                <w:sz w:val="18"/>
              </w:rPr>
            </w:pPr>
            <w:r>
              <w:rPr>
                <w:sz w:val="18"/>
              </w:rPr>
              <w:t>$0.00</w:t>
            </w:r>
          </w:p>
        </w:tc>
        <w:tc>
          <w:tcPr>
            <w:tcW w:w="1417" w:type="dxa"/>
          </w:tcPr>
          <w:p>
            <w:pPr>
              <w:pStyle w:val="TableParagraph"/>
              <w:spacing w:before="68"/>
              <w:ind w:left="455" w:right="455"/>
              <w:rPr>
                <w:sz w:val="18"/>
              </w:rPr>
            </w:pPr>
            <w:r>
              <w:rPr>
                <w:sz w:val="18"/>
              </w:rPr>
              <w:t>$0.00</w:t>
            </w:r>
          </w:p>
        </w:tc>
        <w:tc>
          <w:tcPr>
            <w:tcW w:w="1560" w:type="dxa"/>
          </w:tcPr>
          <w:p>
            <w:pPr>
              <w:pStyle w:val="TableParagraph"/>
              <w:spacing w:before="68"/>
              <w:ind w:left="80" w:right="75"/>
              <w:rPr>
                <w:sz w:val="18"/>
              </w:rPr>
            </w:pPr>
            <w:r>
              <w:rPr>
                <w:sz w:val="18"/>
              </w:rPr>
              <w:t>$0.00</w:t>
            </w:r>
          </w:p>
        </w:tc>
        <w:tc>
          <w:tcPr>
            <w:tcW w:w="1702" w:type="dxa"/>
          </w:tcPr>
          <w:p>
            <w:pPr>
              <w:pStyle w:val="TableParagraph"/>
              <w:spacing w:before="68"/>
              <w:ind w:left="75" w:right="72"/>
              <w:rPr>
                <w:sz w:val="18"/>
              </w:rPr>
            </w:pPr>
            <w:r>
              <w:rPr>
                <w:sz w:val="18"/>
              </w:rPr>
              <w:t>$0.00</w:t>
            </w:r>
          </w:p>
        </w:tc>
        <w:tc>
          <w:tcPr>
            <w:tcW w:w="1702" w:type="dxa"/>
          </w:tcPr>
          <w:p>
            <w:pPr>
              <w:pStyle w:val="TableParagraph"/>
              <w:spacing w:before="68"/>
              <w:ind w:left="75" w:right="75"/>
              <w:rPr>
                <w:sz w:val="18"/>
              </w:rPr>
            </w:pPr>
            <w:r>
              <w:rPr>
                <w:sz w:val="18"/>
              </w:rPr>
              <w:t>$0.00</w:t>
            </w:r>
          </w:p>
        </w:tc>
        <w:tc>
          <w:tcPr>
            <w:tcW w:w="1558" w:type="dxa"/>
          </w:tcPr>
          <w:p>
            <w:pPr>
              <w:pStyle w:val="TableParagraph"/>
              <w:spacing w:before="68"/>
              <w:ind w:left="77" w:right="78"/>
              <w:rPr>
                <w:sz w:val="18"/>
              </w:rPr>
            </w:pPr>
            <w:r>
              <w:rPr>
                <w:sz w:val="18"/>
              </w:rPr>
              <w:t>$0.00</w:t>
            </w:r>
          </w:p>
        </w:tc>
        <w:tc>
          <w:tcPr>
            <w:tcW w:w="1844" w:type="dxa"/>
          </w:tcPr>
          <w:p>
            <w:pPr>
              <w:pStyle w:val="TableParagraph"/>
              <w:spacing w:before="68"/>
              <w:ind w:left="221" w:right="215"/>
              <w:rPr>
                <w:sz w:val="18"/>
              </w:rPr>
            </w:pPr>
            <w:r>
              <w:rPr>
                <w:sz w:val="18"/>
              </w:rPr>
              <w:t>$0.00</w:t>
            </w:r>
          </w:p>
        </w:tc>
        <w:tc>
          <w:tcPr>
            <w:tcW w:w="1843" w:type="dxa"/>
          </w:tcPr>
          <w:p>
            <w:pPr>
              <w:pStyle w:val="TableParagraph"/>
              <w:spacing w:before="68"/>
              <w:ind w:left="221" w:right="220"/>
              <w:rPr>
                <w:sz w:val="18"/>
              </w:rPr>
            </w:pPr>
            <w:r>
              <w:rPr>
                <w:sz w:val="18"/>
              </w:rPr>
              <w:t>$0.00</w:t>
            </w:r>
          </w:p>
        </w:tc>
      </w:tr>
      <w:tr>
        <w:trPr>
          <w:trHeight w:val="319" w:hRule="exact"/>
        </w:trPr>
        <w:tc>
          <w:tcPr>
            <w:tcW w:w="1656" w:type="dxa"/>
          </w:tcPr>
          <w:p>
            <w:pPr>
              <w:pStyle w:val="TableParagraph"/>
              <w:spacing w:line="201" w:lineRule="exact"/>
              <w:ind w:left="64" w:right="66"/>
              <w:jc w:val="left"/>
              <w:rPr>
                <w:b/>
                <w:sz w:val="18"/>
              </w:rPr>
            </w:pPr>
            <w:r>
              <w:rPr>
                <w:b/>
                <w:color w:val="333333"/>
                <w:sz w:val="18"/>
              </w:rPr>
              <w:t>JALTENCO</w:t>
            </w:r>
          </w:p>
        </w:tc>
        <w:tc>
          <w:tcPr>
            <w:tcW w:w="1702" w:type="dxa"/>
          </w:tcPr>
          <w:p>
            <w:pPr>
              <w:pStyle w:val="TableParagraph"/>
              <w:spacing w:line="206" w:lineRule="exact"/>
              <w:ind w:left="74" w:right="75"/>
              <w:rPr>
                <w:sz w:val="18"/>
              </w:rPr>
            </w:pPr>
            <w:r>
              <w:rPr>
                <w:sz w:val="18"/>
              </w:rPr>
              <w:t>$0.00</w:t>
            </w:r>
          </w:p>
        </w:tc>
        <w:tc>
          <w:tcPr>
            <w:tcW w:w="1417" w:type="dxa"/>
          </w:tcPr>
          <w:p>
            <w:pPr>
              <w:pStyle w:val="TableParagraph"/>
              <w:spacing w:line="206" w:lineRule="exact"/>
              <w:ind w:left="455" w:right="455"/>
              <w:rPr>
                <w:sz w:val="18"/>
              </w:rPr>
            </w:pPr>
            <w:r>
              <w:rPr>
                <w:sz w:val="18"/>
              </w:rPr>
              <w:t>$0.00</w:t>
            </w:r>
          </w:p>
        </w:tc>
        <w:tc>
          <w:tcPr>
            <w:tcW w:w="1560" w:type="dxa"/>
          </w:tcPr>
          <w:p>
            <w:pPr>
              <w:pStyle w:val="TableParagraph"/>
              <w:spacing w:line="206" w:lineRule="exact"/>
              <w:ind w:left="80" w:right="75"/>
              <w:rPr>
                <w:sz w:val="18"/>
              </w:rPr>
            </w:pPr>
            <w:r>
              <w:rPr>
                <w:sz w:val="18"/>
              </w:rPr>
              <w:t>$0.00</w:t>
            </w:r>
          </w:p>
        </w:tc>
        <w:tc>
          <w:tcPr>
            <w:tcW w:w="1702" w:type="dxa"/>
          </w:tcPr>
          <w:p>
            <w:pPr>
              <w:pStyle w:val="TableParagraph"/>
              <w:spacing w:line="206" w:lineRule="exact"/>
              <w:ind w:left="75" w:right="72"/>
              <w:rPr>
                <w:sz w:val="18"/>
              </w:rPr>
            </w:pPr>
            <w:r>
              <w:rPr>
                <w:sz w:val="18"/>
              </w:rPr>
              <w:t>$0.00</w:t>
            </w:r>
          </w:p>
        </w:tc>
        <w:tc>
          <w:tcPr>
            <w:tcW w:w="1702" w:type="dxa"/>
          </w:tcPr>
          <w:p>
            <w:pPr>
              <w:pStyle w:val="TableParagraph"/>
              <w:spacing w:line="206" w:lineRule="exact"/>
              <w:ind w:left="75" w:right="75"/>
              <w:rPr>
                <w:sz w:val="18"/>
              </w:rPr>
            </w:pPr>
            <w:r>
              <w:rPr>
                <w:sz w:val="18"/>
              </w:rPr>
              <w:t>$0.00</w:t>
            </w:r>
          </w:p>
        </w:tc>
        <w:tc>
          <w:tcPr>
            <w:tcW w:w="1558" w:type="dxa"/>
          </w:tcPr>
          <w:p>
            <w:pPr>
              <w:pStyle w:val="TableParagraph"/>
              <w:spacing w:line="206" w:lineRule="exact"/>
              <w:ind w:left="77" w:right="78"/>
              <w:rPr>
                <w:sz w:val="18"/>
              </w:rPr>
            </w:pPr>
            <w:r>
              <w:rPr>
                <w:sz w:val="18"/>
              </w:rPr>
              <w:t>$0.00</w:t>
            </w:r>
          </w:p>
        </w:tc>
        <w:tc>
          <w:tcPr>
            <w:tcW w:w="1844" w:type="dxa"/>
          </w:tcPr>
          <w:p>
            <w:pPr>
              <w:pStyle w:val="TableParagraph"/>
              <w:spacing w:line="206" w:lineRule="exact"/>
              <w:ind w:left="221" w:right="215"/>
              <w:rPr>
                <w:sz w:val="18"/>
              </w:rPr>
            </w:pPr>
            <w:r>
              <w:rPr>
                <w:sz w:val="18"/>
              </w:rPr>
              <w:t>$0.00</w:t>
            </w:r>
          </w:p>
        </w:tc>
        <w:tc>
          <w:tcPr>
            <w:tcW w:w="1843" w:type="dxa"/>
          </w:tcPr>
          <w:p>
            <w:pPr>
              <w:pStyle w:val="TableParagraph"/>
              <w:spacing w:line="206" w:lineRule="exact"/>
              <w:ind w:left="221" w:right="220"/>
              <w:rPr>
                <w:sz w:val="18"/>
              </w:rPr>
            </w:pPr>
            <w:r>
              <w:rPr>
                <w:sz w:val="18"/>
              </w:rPr>
              <w:t>$0.00</w:t>
            </w:r>
          </w:p>
        </w:tc>
      </w:tr>
      <w:tr>
        <w:trPr>
          <w:trHeight w:val="322" w:hRule="exact"/>
        </w:trPr>
        <w:tc>
          <w:tcPr>
            <w:tcW w:w="1656" w:type="dxa"/>
          </w:tcPr>
          <w:p>
            <w:pPr>
              <w:pStyle w:val="TableParagraph"/>
              <w:spacing w:line="204" w:lineRule="exact"/>
              <w:ind w:left="64" w:right="66"/>
              <w:jc w:val="left"/>
              <w:rPr>
                <w:b/>
                <w:sz w:val="18"/>
              </w:rPr>
            </w:pPr>
            <w:r>
              <w:rPr>
                <w:b/>
                <w:color w:val="333333"/>
                <w:sz w:val="18"/>
              </w:rPr>
              <w:t>JILOTEPEC</w:t>
            </w:r>
          </w:p>
        </w:tc>
        <w:tc>
          <w:tcPr>
            <w:tcW w:w="1702" w:type="dxa"/>
          </w:tcPr>
          <w:p>
            <w:pPr>
              <w:pStyle w:val="TableParagraph"/>
              <w:spacing w:before="1"/>
              <w:ind w:left="74" w:right="75"/>
              <w:rPr>
                <w:sz w:val="18"/>
              </w:rPr>
            </w:pPr>
            <w:r>
              <w:rPr>
                <w:sz w:val="18"/>
              </w:rPr>
              <w:t>$0.00</w:t>
            </w:r>
          </w:p>
        </w:tc>
        <w:tc>
          <w:tcPr>
            <w:tcW w:w="1417" w:type="dxa"/>
          </w:tcPr>
          <w:p>
            <w:pPr>
              <w:pStyle w:val="TableParagraph"/>
              <w:spacing w:before="1"/>
              <w:ind w:left="455" w:right="455"/>
              <w:rPr>
                <w:sz w:val="18"/>
              </w:rPr>
            </w:pPr>
            <w:r>
              <w:rPr>
                <w:sz w:val="18"/>
              </w:rPr>
              <w:t>$0.00</w:t>
            </w:r>
          </w:p>
        </w:tc>
        <w:tc>
          <w:tcPr>
            <w:tcW w:w="1560" w:type="dxa"/>
          </w:tcPr>
          <w:p>
            <w:pPr>
              <w:pStyle w:val="TableParagraph"/>
              <w:spacing w:before="1"/>
              <w:ind w:left="80" w:right="75"/>
              <w:rPr>
                <w:sz w:val="18"/>
              </w:rPr>
            </w:pPr>
            <w:r>
              <w:rPr>
                <w:sz w:val="18"/>
              </w:rPr>
              <w:t>$0.00</w:t>
            </w:r>
          </w:p>
        </w:tc>
        <w:tc>
          <w:tcPr>
            <w:tcW w:w="1702" w:type="dxa"/>
          </w:tcPr>
          <w:p>
            <w:pPr>
              <w:pStyle w:val="TableParagraph"/>
              <w:spacing w:before="1"/>
              <w:ind w:left="75" w:right="72"/>
              <w:rPr>
                <w:sz w:val="18"/>
              </w:rPr>
            </w:pPr>
            <w:r>
              <w:rPr>
                <w:sz w:val="18"/>
              </w:rPr>
              <w:t>$0.00</w:t>
            </w:r>
          </w:p>
        </w:tc>
        <w:tc>
          <w:tcPr>
            <w:tcW w:w="1702" w:type="dxa"/>
          </w:tcPr>
          <w:p>
            <w:pPr>
              <w:pStyle w:val="TableParagraph"/>
              <w:spacing w:before="1"/>
              <w:ind w:right="220"/>
              <w:jc w:val="right"/>
              <w:rPr>
                <w:sz w:val="18"/>
              </w:rPr>
            </w:pPr>
            <w:r>
              <w:rPr>
                <w:sz w:val="18"/>
              </w:rPr>
              <w:t>$17,174,607.96</w:t>
            </w:r>
          </w:p>
        </w:tc>
        <w:tc>
          <w:tcPr>
            <w:tcW w:w="1558" w:type="dxa"/>
          </w:tcPr>
          <w:p>
            <w:pPr>
              <w:pStyle w:val="TableParagraph"/>
              <w:spacing w:before="1"/>
              <w:ind w:left="77" w:right="78"/>
              <w:rPr>
                <w:sz w:val="18"/>
              </w:rPr>
            </w:pPr>
            <w:r>
              <w:rPr>
                <w:sz w:val="18"/>
              </w:rPr>
              <w:t>$0.00</w:t>
            </w:r>
          </w:p>
        </w:tc>
        <w:tc>
          <w:tcPr>
            <w:tcW w:w="1844" w:type="dxa"/>
          </w:tcPr>
          <w:p>
            <w:pPr>
              <w:pStyle w:val="TableParagraph"/>
              <w:spacing w:before="1"/>
              <w:ind w:left="221" w:right="215"/>
              <w:rPr>
                <w:sz w:val="18"/>
              </w:rPr>
            </w:pPr>
            <w:r>
              <w:rPr>
                <w:sz w:val="18"/>
              </w:rPr>
              <w:t>$0.00</w:t>
            </w:r>
          </w:p>
        </w:tc>
        <w:tc>
          <w:tcPr>
            <w:tcW w:w="1843" w:type="dxa"/>
          </w:tcPr>
          <w:p>
            <w:pPr>
              <w:pStyle w:val="TableParagraph"/>
              <w:spacing w:before="1"/>
              <w:ind w:left="222" w:right="219"/>
              <w:rPr>
                <w:sz w:val="18"/>
              </w:rPr>
            </w:pPr>
            <w:r>
              <w:rPr>
                <w:sz w:val="18"/>
              </w:rPr>
              <w:t>$17,174,607.96</w:t>
            </w:r>
          </w:p>
        </w:tc>
      </w:tr>
      <w:tr>
        <w:trPr>
          <w:trHeight w:val="319" w:hRule="exact"/>
        </w:trPr>
        <w:tc>
          <w:tcPr>
            <w:tcW w:w="1656" w:type="dxa"/>
          </w:tcPr>
          <w:p>
            <w:pPr>
              <w:pStyle w:val="TableParagraph"/>
              <w:spacing w:line="201" w:lineRule="exact"/>
              <w:ind w:left="64" w:right="66"/>
              <w:jc w:val="left"/>
              <w:rPr>
                <w:b/>
                <w:sz w:val="18"/>
              </w:rPr>
            </w:pPr>
            <w:r>
              <w:rPr>
                <w:b/>
                <w:color w:val="333333"/>
                <w:sz w:val="18"/>
              </w:rPr>
              <w:t>JILOTZINGO</w:t>
            </w:r>
          </w:p>
        </w:tc>
        <w:tc>
          <w:tcPr>
            <w:tcW w:w="1702" w:type="dxa"/>
          </w:tcPr>
          <w:p>
            <w:pPr>
              <w:pStyle w:val="TableParagraph"/>
              <w:spacing w:line="206" w:lineRule="exact"/>
              <w:ind w:left="74" w:right="75"/>
              <w:rPr>
                <w:sz w:val="18"/>
              </w:rPr>
            </w:pPr>
            <w:r>
              <w:rPr>
                <w:sz w:val="18"/>
              </w:rPr>
              <w:t>$0.00</w:t>
            </w:r>
          </w:p>
        </w:tc>
        <w:tc>
          <w:tcPr>
            <w:tcW w:w="1417" w:type="dxa"/>
          </w:tcPr>
          <w:p>
            <w:pPr>
              <w:pStyle w:val="TableParagraph"/>
              <w:spacing w:line="206" w:lineRule="exact"/>
              <w:ind w:left="455" w:right="455"/>
              <w:rPr>
                <w:sz w:val="18"/>
              </w:rPr>
            </w:pPr>
            <w:r>
              <w:rPr>
                <w:sz w:val="18"/>
              </w:rPr>
              <w:t>$0.00</w:t>
            </w:r>
          </w:p>
        </w:tc>
        <w:tc>
          <w:tcPr>
            <w:tcW w:w="1560" w:type="dxa"/>
          </w:tcPr>
          <w:p>
            <w:pPr>
              <w:pStyle w:val="TableParagraph"/>
              <w:spacing w:line="206" w:lineRule="exact"/>
              <w:ind w:left="80" w:right="75"/>
              <w:rPr>
                <w:sz w:val="18"/>
              </w:rPr>
            </w:pPr>
            <w:r>
              <w:rPr>
                <w:sz w:val="18"/>
              </w:rPr>
              <w:t>$0.00</w:t>
            </w:r>
          </w:p>
        </w:tc>
        <w:tc>
          <w:tcPr>
            <w:tcW w:w="1702" w:type="dxa"/>
          </w:tcPr>
          <w:p>
            <w:pPr>
              <w:pStyle w:val="TableParagraph"/>
              <w:spacing w:line="206" w:lineRule="exact"/>
              <w:ind w:left="75" w:right="72"/>
              <w:rPr>
                <w:sz w:val="18"/>
              </w:rPr>
            </w:pPr>
            <w:r>
              <w:rPr>
                <w:sz w:val="18"/>
              </w:rPr>
              <w:t>$0.00</w:t>
            </w:r>
          </w:p>
        </w:tc>
        <w:tc>
          <w:tcPr>
            <w:tcW w:w="1702" w:type="dxa"/>
          </w:tcPr>
          <w:p>
            <w:pPr>
              <w:pStyle w:val="TableParagraph"/>
              <w:spacing w:line="206" w:lineRule="exact"/>
              <w:ind w:left="75" w:right="75"/>
              <w:rPr>
                <w:sz w:val="18"/>
              </w:rPr>
            </w:pPr>
            <w:r>
              <w:rPr>
                <w:sz w:val="18"/>
              </w:rPr>
              <w:t>$0.00</w:t>
            </w:r>
          </w:p>
        </w:tc>
        <w:tc>
          <w:tcPr>
            <w:tcW w:w="1558" w:type="dxa"/>
          </w:tcPr>
          <w:p>
            <w:pPr>
              <w:pStyle w:val="TableParagraph"/>
              <w:spacing w:line="206" w:lineRule="exact"/>
              <w:ind w:left="77" w:right="78"/>
              <w:rPr>
                <w:sz w:val="18"/>
              </w:rPr>
            </w:pPr>
            <w:r>
              <w:rPr>
                <w:sz w:val="18"/>
              </w:rPr>
              <w:t>$0.00</w:t>
            </w:r>
          </w:p>
        </w:tc>
        <w:tc>
          <w:tcPr>
            <w:tcW w:w="1844" w:type="dxa"/>
          </w:tcPr>
          <w:p>
            <w:pPr>
              <w:pStyle w:val="TableParagraph"/>
              <w:spacing w:line="206" w:lineRule="exact"/>
              <w:ind w:left="221" w:right="215"/>
              <w:rPr>
                <w:sz w:val="18"/>
              </w:rPr>
            </w:pPr>
            <w:r>
              <w:rPr>
                <w:sz w:val="18"/>
              </w:rPr>
              <w:t>$0.00</w:t>
            </w:r>
          </w:p>
        </w:tc>
        <w:tc>
          <w:tcPr>
            <w:tcW w:w="1843" w:type="dxa"/>
          </w:tcPr>
          <w:p>
            <w:pPr>
              <w:pStyle w:val="TableParagraph"/>
              <w:spacing w:line="206" w:lineRule="exact"/>
              <w:ind w:left="221" w:right="220"/>
              <w:rPr>
                <w:sz w:val="18"/>
              </w:rPr>
            </w:pPr>
            <w:r>
              <w:rPr>
                <w:sz w:val="18"/>
              </w:rPr>
              <w:t>$0.00</w:t>
            </w:r>
          </w:p>
        </w:tc>
      </w:tr>
      <w:tr>
        <w:trPr>
          <w:trHeight w:val="322" w:hRule="exact"/>
        </w:trPr>
        <w:tc>
          <w:tcPr>
            <w:tcW w:w="1656" w:type="dxa"/>
          </w:tcPr>
          <w:p>
            <w:pPr>
              <w:pStyle w:val="TableParagraph"/>
              <w:spacing w:line="204" w:lineRule="exact"/>
              <w:ind w:left="64" w:right="66"/>
              <w:jc w:val="left"/>
              <w:rPr>
                <w:b/>
                <w:sz w:val="18"/>
              </w:rPr>
            </w:pPr>
            <w:r>
              <w:rPr>
                <w:b/>
                <w:color w:val="333333"/>
                <w:sz w:val="18"/>
              </w:rPr>
              <w:t>JIQUIPILCO</w:t>
            </w:r>
          </w:p>
        </w:tc>
        <w:tc>
          <w:tcPr>
            <w:tcW w:w="1702" w:type="dxa"/>
          </w:tcPr>
          <w:p>
            <w:pPr>
              <w:pStyle w:val="TableParagraph"/>
              <w:spacing w:before="1"/>
              <w:ind w:left="74" w:right="75"/>
              <w:rPr>
                <w:sz w:val="18"/>
              </w:rPr>
            </w:pPr>
            <w:r>
              <w:rPr>
                <w:sz w:val="18"/>
              </w:rPr>
              <w:t>$0.00</w:t>
            </w:r>
          </w:p>
        </w:tc>
        <w:tc>
          <w:tcPr>
            <w:tcW w:w="1417" w:type="dxa"/>
          </w:tcPr>
          <w:p>
            <w:pPr>
              <w:pStyle w:val="TableParagraph"/>
              <w:spacing w:before="1"/>
              <w:ind w:left="455" w:right="455"/>
              <w:rPr>
                <w:sz w:val="18"/>
              </w:rPr>
            </w:pPr>
            <w:r>
              <w:rPr>
                <w:sz w:val="18"/>
              </w:rPr>
              <w:t>$0.00</w:t>
            </w:r>
          </w:p>
        </w:tc>
        <w:tc>
          <w:tcPr>
            <w:tcW w:w="1560" w:type="dxa"/>
          </w:tcPr>
          <w:p>
            <w:pPr>
              <w:pStyle w:val="TableParagraph"/>
              <w:spacing w:before="1"/>
              <w:ind w:left="80" w:right="75"/>
              <w:rPr>
                <w:sz w:val="18"/>
              </w:rPr>
            </w:pPr>
            <w:r>
              <w:rPr>
                <w:sz w:val="18"/>
              </w:rPr>
              <w:t>$0.00</w:t>
            </w:r>
          </w:p>
        </w:tc>
        <w:tc>
          <w:tcPr>
            <w:tcW w:w="1702" w:type="dxa"/>
          </w:tcPr>
          <w:p>
            <w:pPr>
              <w:pStyle w:val="TableParagraph"/>
              <w:spacing w:before="1"/>
              <w:ind w:left="75" w:right="72"/>
              <w:rPr>
                <w:sz w:val="18"/>
              </w:rPr>
            </w:pPr>
            <w:r>
              <w:rPr>
                <w:sz w:val="18"/>
              </w:rPr>
              <w:t>$0.00</w:t>
            </w:r>
          </w:p>
        </w:tc>
        <w:tc>
          <w:tcPr>
            <w:tcW w:w="1702" w:type="dxa"/>
          </w:tcPr>
          <w:p>
            <w:pPr>
              <w:pStyle w:val="TableParagraph"/>
              <w:spacing w:before="1"/>
              <w:ind w:right="171"/>
              <w:jc w:val="right"/>
              <w:rPr>
                <w:sz w:val="18"/>
              </w:rPr>
            </w:pPr>
            <w:r>
              <w:rPr>
                <w:sz w:val="18"/>
              </w:rPr>
              <w:t>$188,567,721.00</w:t>
            </w:r>
          </w:p>
        </w:tc>
        <w:tc>
          <w:tcPr>
            <w:tcW w:w="1558" w:type="dxa"/>
          </w:tcPr>
          <w:p>
            <w:pPr>
              <w:pStyle w:val="TableParagraph"/>
              <w:spacing w:before="1"/>
              <w:ind w:left="77" w:right="78"/>
              <w:rPr>
                <w:sz w:val="18"/>
              </w:rPr>
            </w:pPr>
            <w:r>
              <w:rPr>
                <w:sz w:val="18"/>
              </w:rPr>
              <w:t>$0.00</w:t>
            </w:r>
          </w:p>
        </w:tc>
        <w:tc>
          <w:tcPr>
            <w:tcW w:w="1844" w:type="dxa"/>
          </w:tcPr>
          <w:p>
            <w:pPr>
              <w:pStyle w:val="TableParagraph"/>
              <w:spacing w:before="1"/>
              <w:ind w:left="221" w:right="215"/>
              <w:rPr>
                <w:sz w:val="18"/>
              </w:rPr>
            </w:pPr>
            <w:r>
              <w:rPr>
                <w:sz w:val="18"/>
              </w:rPr>
              <w:t>$0.00</w:t>
            </w:r>
          </w:p>
        </w:tc>
        <w:tc>
          <w:tcPr>
            <w:tcW w:w="1843" w:type="dxa"/>
          </w:tcPr>
          <w:p>
            <w:pPr>
              <w:pStyle w:val="TableParagraph"/>
              <w:spacing w:before="1"/>
              <w:ind w:left="222" w:right="220"/>
              <w:rPr>
                <w:sz w:val="18"/>
              </w:rPr>
            </w:pPr>
            <w:r>
              <w:rPr>
                <w:sz w:val="18"/>
              </w:rPr>
              <w:t>$188,567,721.00</w:t>
            </w:r>
          </w:p>
        </w:tc>
      </w:tr>
      <w:tr>
        <w:trPr>
          <w:trHeight w:val="322" w:hRule="exact"/>
        </w:trPr>
        <w:tc>
          <w:tcPr>
            <w:tcW w:w="1656" w:type="dxa"/>
          </w:tcPr>
          <w:p>
            <w:pPr>
              <w:pStyle w:val="TableParagraph"/>
              <w:spacing w:line="201" w:lineRule="exact"/>
              <w:ind w:left="64" w:right="66"/>
              <w:jc w:val="left"/>
              <w:rPr>
                <w:b/>
                <w:sz w:val="18"/>
              </w:rPr>
            </w:pPr>
            <w:r>
              <w:rPr>
                <w:b/>
                <w:color w:val="333333"/>
                <w:sz w:val="18"/>
              </w:rPr>
              <w:t>JOCOTITLAN</w:t>
            </w:r>
          </w:p>
        </w:tc>
        <w:tc>
          <w:tcPr>
            <w:tcW w:w="1702" w:type="dxa"/>
          </w:tcPr>
          <w:p>
            <w:pPr>
              <w:pStyle w:val="TableParagraph"/>
              <w:spacing w:line="206" w:lineRule="exact"/>
              <w:ind w:left="73" w:right="75"/>
              <w:rPr>
                <w:sz w:val="18"/>
              </w:rPr>
            </w:pPr>
            <w:r>
              <w:rPr>
                <w:sz w:val="18"/>
              </w:rPr>
              <w:t>$170,220,662.93</w:t>
            </w:r>
          </w:p>
        </w:tc>
        <w:tc>
          <w:tcPr>
            <w:tcW w:w="1417" w:type="dxa"/>
          </w:tcPr>
          <w:p>
            <w:pPr>
              <w:pStyle w:val="TableParagraph"/>
              <w:spacing w:line="206" w:lineRule="exact"/>
              <w:ind w:left="455" w:right="455"/>
              <w:rPr>
                <w:sz w:val="18"/>
              </w:rPr>
            </w:pPr>
            <w:r>
              <w:rPr>
                <w:sz w:val="18"/>
              </w:rPr>
              <w:t>$0.00</w:t>
            </w:r>
          </w:p>
        </w:tc>
        <w:tc>
          <w:tcPr>
            <w:tcW w:w="1560" w:type="dxa"/>
          </w:tcPr>
          <w:p>
            <w:pPr>
              <w:pStyle w:val="TableParagraph"/>
              <w:spacing w:line="206" w:lineRule="exact"/>
              <w:ind w:left="80" w:right="75"/>
              <w:rPr>
                <w:sz w:val="18"/>
              </w:rPr>
            </w:pPr>
            <w:r>
              <w:rPr>
                <w:sz w:val="18"/>
              </w:rPr>
              <w:t>$0.00</w:t>
            </w:r>
          </w:p>
        </w:tc>
        <w:tc>
          <w:tcPr>
            <w:tcW w:w="1702" w:type="dxa"/>
          </w:tcPr>
          <w:p>
            <w:pPr>
              <w:pStyle w:val="TableParagraph"/>
              <w:spacing w:line="206" w:lineRule="exact"/>
              <w:ind w:left="75" w:right="75"/>
              <w:rPr>
                <w:sz w:val="18"/>
              </w:rPr>
            </w:pPr>
            <w:r>
              <w:rPr>
                <w:sz w:val="18"/>
              </w:rPr>
              <w:t>$170,220,662.93</w:t>
            </w:r>
          </w:p>
        </w:tc>
        <w:tc>
          <w:tcPr>
            <w:tcW w:w="1702" w:type="dxa"/>
          </w:tcPr>
          <w:p>
            <w:pPr>
              <w:pStyle w:val="TableParagraph"/>
              <w:spacing w:line="206" w:lineRule="exact"/>
              <w:ind w:right="171"/>
              <w:jc w:val="right"/>
              <w:rPr>
                <w:sz w:val="18"/>
              </w:rPr>
            </w:pPr>
            <w:r>
              <w:rPr>
                <w:sz w:val="18"/>
              </w:rPr>
              <w:t>$207,290,533.84</w:t>
            </w:r>
          </w:p>
        </w:tc>
        <w:tc>
          <w:tcPr>
            <w:tcW w:w="1558" w:type="dxa"/>
          </w:tcPr>
          <w:p>
            <w:pPr>
              <w:pStyle w:val="TableParagraph"/>
              <w:spacing w:line="206" w:lineRule="exact"/>
              <w:ind w:left="77" w:right="78"/>
              <w:rPr>
                <w:sz w:val="18"/>
              </w:rPr>
            </w:pPr>
            <w:r>
              <w:rPr>
                <w:sz w:val="18"/>
              </w:rPr>
              <w:t>$0.00</w:t>
            </w:r>
          </w:p>
        </w:tc>
        <w:tc>
          <w:tcPr>
            <w:tcW w:w="1844" w:type="dxa"/>
          </w:tcPr>
          <w:p>
            <w:pPr>
              <w:pStyle w:val="TableParagraph"/>
              <w:spacing w:line="206" w:lineRule="exact"/>
              <w:ind w:left="221" w:right="215"/>
              <w:rPr>
                <w:sz w:val="18"/>
              </w:rPr>
            </w:pPr>
            <w:r>
              <w:rPr>
                <w:sz w:val="18"/>
              </w:rPr>
              <w:t>$0.00</w:t>
            </w:r>
          </w:p>
        </w:tc>
        <w:tc>
          <w:tcPr>
            <w:tcW w:w="1843" w:type="dxa"/>
          </w:tcPr>
          <w:p>
            <w:pPr>
              <w:pStyle w:val="TableParagraph"/>
              <w:spacing w:line="206" w:lineRule="exact"/>
              <w:ind w:left="222" w:right="220"/>
              <w:rPr>
                <w:sz w:val="18"/>
              </w:rPr>
            </w:pPr>
            <w:r>
              <w:rPr>
                <w:sz w:val="18"/>
              </w:rPr>
              <w:t>$207,290,533.84</w:t>
            </w:r>
          </w:p>
        </w:tc>
      </w:tr>
      <w:tr>
        <w:trPr>
          <w:trHeight w:val="319" w:hRule="exact"/>
        </w:trPr>
        <w:tc>
          <w:tcPr>
            <w:tcW w:w="1656" w:type="dxa"/>
          </w:tcPr>
          <w:p>
            <w:pPr>
              <w:pStyle w:val="TableParagraph"/>
              <w:spacing w:line="201" w:lineRule="exact"/>
              <w:ind w:left="64" w:right="66"/>
              <w:jc w:val="left"/>
              <w:rPr>
                <w:b/>
                <w:sz w:val="18"/>
              </w:rPr>
            </w:pPr>
            <w:r>
              <w:rPr>
                <w:b/>
                <w:color w:val="333333"/>
                <w:sz w:val="18"/>
              </w:rPr>
              <w:t>JOQUICINGO</w:t>
            </w:r>
          </w:p>
        </w:tc>
        <w:tc>
          <w:tcPr>
            <w:tcW w:w="1702" w:type="dxa"/>
          </w:tcPr>
          <w:p>
            <w:pPr>
              <w:pStyle w:val="TableParagraph"/>
              <w:spacing w:line="206" w:lineRule="exact"/>
              <w:ind w:left="74" w:right="75"/>
              <w:rPr>
                <w:sz w:val="18"/>
              </w:rPr>
            </w:pPr>
            <w:r>
              <w:rPr>
                <w:sz w:val="18"/>
              </w:rPr>
              <w:t>$0.00</w:t>
            </w:r>
          </w:p>
        </w:tc>
        <w:tc>
          <w:tcPr>
            <w:tcW w:w="1417" w:type="dxa"/>
          </w:tcPr>
          <w:p>
            <w:pPr>
              <w:pStyle w:val="TableParagraph"/>
              <w:spacing w:line="206" w:lineRule="exact"/>
              <w:ind w:left="455" w:right="455"/>
              <w:rPr>
                <w:sz w:val="18"/>
              </w:rPr>
            </w:pPr>
            <w:r>
              <w:rPr>
                <w:sz w:val="18"/>
              </w:rPr>
              <w:t>$0.00</w:t>
            </w:r>
          </w:p>
        </w:tc>
        <w:tc>
          <w:tcPr>
            <w:tcW w:w="1560" w:type="dxa"/>
          </w:tcPr>
          <w:p>
            <w:pPr>
              <w:pStyle w:val="TableParagraph"/>
              <w:spacing w:line="206" w:lineRule="exact"/>
              <w:ind w:left="80" w:right="75"/>
              <w:rPr>
                <w:sz w:val="18"/>
              </w:rPr>
            </w:pPr>
            <w:r>
              <w:rPr>
                <w:sz w:val="18"/>
              </w:rPr>
              <w:t>$0.00</w:t>
            </w:r>
          </w:p>
        </w:tc>
        <w:tc>
          <w:tcPr>
            <w:tcW w:w="1702" w:type="dxa"/>
          </w:tcPr>
          <w:p>
            <w:pPr>
              <w:pStyle w:val="TableParagraph"/>
              <w:spacing w:line="206" w:lineRule="exact"/>
              <w:ind w:left="75" w:right="72"/>
              <w:rPr>
                <w:sz w:val="18"/>
              </w:rPr>
            </w:pPr>
            <w:r>
              <w:rPr>
                <w:sz w:val="18"/>
              </w:rPr>
              <w:t>$0.00</w:t>
            </w:r>
          </w:p>
        </w:tc>
        <w:tc>
          <w:tcPr>
            <w:tcW w:w="1702" w:type="dxa"/>
          </w:tcPr>
          <w:p>
            <w:pPr>
              <w:pStyle w:val="TableParagraph"/>
              <w:spacing w:line="206" w:lineRule="exact"/>
              <w:ind w:left="75" w:right="75"/>
              <w:rPr>
                <w:sz w:val="18"/>
              </w:rPr>
            </w:pPr>
            <w:r>
              <w:rPr>
                <w:sz w:val="18"/>
              </w:rPr>
              <w:t>$0.00</w:t>
            </w:r>
          </w:p>
        </w:tc>
        <w:tc>
          <w:tcPr>
            <w:tcW w:w="1558" w:type="dxa"/>
          </w:tcPr>
          <w:p>
            <w:pPr>
              <w:pStyle w:val="TableParagraph"/>
              <w:spacing w:line="206" w:lineRule="exact"/>
              <w:ind w:left="77" w:right="78"/>
              <w:rPr>
                <w:sz w:val="18"/>
              </w:rPr>
            </w:pPr>
            <w:r>
              <w:rPr>
                <w:sz w:val="18"/>
              </w:rPr>
              <w:t>$0.00</w:t>
            </w:r>
          </w:p>
        </w:tc>
        <w:tc>
          <w:tcPr>
            <w:tcW w:w="1844" w:type="dxa"/>
          </w:tcPr>
          <w:p>
            <w:pPr>
              <w:pStyle w:val="TableParagraph"/>
              <w:spacing w:line="206" w:lineRule="exact"/>
              <w:ind w:left="221" w:right="215"/>
              <w:rPr>
                <w:sz w:val="18"/>
              </w:rPr>
            </w:pPr>
            <w:r>
              <w:rPr>
                <w:sz w:val="18"/>
              </w:rPr>
              <w:t>$0.00</w:t>
            </w:r>
          </w:p>
        </w:tc>
        <w:tc>
          <w:tcPr>
            <w:tcW w:w="1843" w:type="dxa"/>
          </w:tcPr>
          <w:p>
            <w:pPr>
              <w:pStyle w:val="TableParagraph"/>
              <w:spacing w:line="206" w:lineRule="exact"/>
              <w:ind w:left="221" w:right="220"/>
              <w:rPr>
                <w:sz w:val="18"/>
              </w:rPr>
            </w:pPr>
            <w:r>
              <w:rPr>
                <w:sz w:val="18"/>
              </w:rPr>
              <w:t>$0.00</w:t>
            </w:r>
          </w:p>
        </w:tc>
      </w:tr>
      <w:tr>
        <w:trPr>
          <w:trHeight w:val="322" w:hRule="exact"/>
        </w:trPr>
        <w:tc>
          <w:tcPr>
            <w:tcW w:w="1656" w:type="dxa"/>
          </w:tcPr>
          <w:p>
            <w:pPr>
              <w:pStyle w:val="TableParagraph"/>
              <w:spacing w:line="202" w:lineRule="exact"/>
              <w:ind w:left="64" w:right="66"/>
              <w:jc w:val="left"/>
              <w:rPr>
                <w:b/>
                <w:sz w:val="18"/>
              </w:rPr>
            </w:pPr>
            <w:r>
              <w:rPr>
                <w:b/>
                <w:color w:val="333333"/>
                <w:sz w:val="18"/>
              </w:rPr>
              <w:t>JUCHITEPEC</w:t>
            </w:r>
          </w:p>
        </w:tc>
        <w:tc>
          <w:tcPr>
            <w:tcW w:w="1702" w:type="dxa"/>
          </w:tcPr>
          <w:p>
            <w:pPr>
              <w:pStyle w:val="TableParagraph"/>
              <w:spacing w:line="207" w:lineRule="exact"/>
              <w:ind w:left="74" w:right="75"/>
              <w:rPr>
                <w:sz w:val="18"/>
              </w:rPr>
            </w:pPr>
            <w:r>
              <w:rPr>
                <w:sz w:val="18"/>
              </w:rPr>
              <w:t>$0.00</w:t>
            </w:r>
          </w:p>
        </w:tc>
        <w:tc>
          <w:tcPr>
            <w:tcW w:w="1417" w:type="dxa"/>
          </w:tcPr>
          <w:p>
            <w:pPr>
              <w:pStyle w:val="TableParagraph"/>
              <w:spacing w:line="207" w:lineRule="exact"/>
              <w:ind w:left="455" w:right="455"/>
              <w:rPr>
                <w:sz w:val="18"/>
              </w:rPr>
            </w:pPr>
            <w:r>
              <w:rPr>
                <w:sz w:val="18"/>
              </w:rPr>
              <w:t>$0.00</w:t>
            </w:r>
          </w:p>
        </w:tc>
        <w:tc>
          <w:tcPr>
            <w:tcW w:w="1560" w:type="dxa"/>
          </w:tcPr>
          <w:p>
            <w:pPr>
              <w:pStyle w:val="TableParagraph"/>
              <w:spacing w:line="207" w:lineRule="exact"/>
              <w:ind w:left="80" w:right="75"/>
              <w:rPr>
                <w:sz w:val="18"/>
              </w:rPr>
            </w:pPr>
            <w:r>
              <w:rPr>
                <w:sz w:val="18"/>
              </w:rPr>
              <w:t>$0.00</w:t>
            </w:r>
          </w:p>
        </w:tc>
        <w:tc>
          <w:tcPr>
            <w:tcW w:w="1702" w:type="dxa"/>
          </w:tcPr>
          <w:p>
            <w:pPr>
              <w:pStyle w:val="TableParagraph"/>
              <w:spacing w:line="207" w:lineRule="exact"/>
              <w:ind w:left="75" w:right="72"/>
              <w:rPr>
                <w:sz w:val="18"/>
              </w:rPr>
            </w:pPr>
            <w:r>
              <w:rPr>
                <w:sz w:val="18"/>
              </w:rPr>
              <w:t>$0.00</w:t>
            </w:r>
          </w:p>
        </w:tc>
        <w:tc>
          <w:tcPr>
            <w:tcW w:w="1702" w:type="dxa"/>
          </w:tcPr>
          <w:p>
            <w:pPr>
              <w:pStyle w:val="TableParagraph"/>
              <w:spacing w:line="207" w:lineRule="exact"/>
              <w:ind w:left="75" w:right="75"/>
              <w:rPr>
                <w:sz w:val="18"/>
              </w:rPr>
            </w:pPr>
            <w:r>
              <w:rPr>
                <w:sz w:val="18"/>
              </w:rPr>
              <w:t>$0.00</w:t>
            </w:r>
          </w:p>
        </w:tc>
        <w:tc>
          <w:tcPr>
            <w:tcW w:w="1558" w:type="dxa"/>
          </w:tcPr>
          <w:p>
            <w:pPr>
              <w:pStyle w:val="TableParagraph"/>
              <w:spacing w:line="207" w:lineRule="exact"/>
              <w:ind w:left="77" w:right="78"/>
              <w:rPr>
                <w:sz w:val="18"/>
              </w:rPr>
            </w:pPr>
            <w:r>
              <w:rPr>
                <w:sz w:val="18"/>
              </w:rPr>
              <w:t>$0.00</w:t>
            </w:r>
          </w:p>
        </w:tc>
        <w:tc>
          <w:tcPr>
            <w:tcW w:w="1844" w:type="dxa"/>
          </w:tcPr>
          <w:p>
            <w:pPr>
              <w:pStyle w:val="TableParagraph"/>
              <w:spacing w:line="207" w:lineRule="exact"/>
              <w:ind w:left="221" w:right="215"/>
              <w:rPr>
                <w:sz w:val="18"/>
              </w:rPr>
            </w:pPr>
            <w:r>
              <w:rPr>
                <w:sz w:val="18"/>
              </w:rPr>
              <w:t>$0.00</w:t>
            </w:r>
          </w:p>
        </w:tc>
        <w:tc>
          <w:tcPr>
            <w:tcW w:w="1843" w:type="dxa"/>
          </w:tcPr>
          <w:p>
            <w:pPr>
              <w:pStyle w:val="TableParagraph"/>
              <w:spacing w:line="207" w:lineRule="exact"/>
              <w:ind w:left="221" w:right="220"/>
              <w:rPr>
                <w:sz w:val="18"/>
              </w:rPr>
            </w:pPr>
            <w:r>
              <w:rPr>
                <w:sz w:val="18"/>
              </w:rPr>
              <w:t>$0.00</w:t>
            </w:r>
          </w:p>
        </w:tc>
      </w:tr>
      <w:tr>
        <w:trPr>
          <w:trHeight w:val="319" w:hRule="exact"/>
        </w:trPr>
        <w:tc>
          <w:tcPr>
            <w:tcW w:w="1656" w:type="dxa"/>
          </w:tcPr>
          <w:p>
            <w:pPr>
              <w:pStyle w:val="TableParagraph"/>
              <w:spacing w:line="201" w:lineRule="exact"/>
              <w:ind w:left="64" w:right="66"/>
              <w:jc w:val="left"/>
              <w:rPr>
                <w:b/>
                <w:sz w:val="18"/>
              </w:rPr>
            </w:pPr>
            <w:r>
              <w:rPr>
                <w:b/>
                <w:color w:val="333333"/>
                <w:sz w:val="18"/>
              </w:rPr>
              <w:t>LA PAZ</w:t>
            </w:r>
          </w:p>
        </w:tc>
        <w:tc>
          <w:tcPr>
            <w:tcW w:w="1702" w:type="dxa"/>
          </w:tcPr>
          <w:p>
            <w:pPr>
              <w:pStyle w:val="TableParagraph"/>
              <w:spacing w:line="206" w:lineRule="exact"/>
              <w:ind w:left="74" w:right="75"/>
              <w:rPr>
                <w:sz w:val="18"/>
              </w:rPr>
            </w:pPr>
            <w:r>
              <w:rPr>
                <w:sz w:val="18"/>
              </w:rPr>
              <w:t>$0.00</w:t>
            </w:r>
          </w:p>
        </w:tc>
        <w:tc>
          <w:tcPr>
            <w:tcW w:w="1417" w:type="dxa"/>
          </w:tcPr>
          <w:p>
            <w:pPr>
              <w:pStyle w:val="TableParagraph"/>
              <w:spacing w:line="206" w:lineRule="exact"/>
              <w:ind w:left="455" w:right="455"/>
              <w:rPr>
                <w:sz w:val="18"/>
              </w:rPr>
            </w:pPr>
            <w:r>
              <w:rPr>
                <w:sz w:val="18"/>
              </w:rPr>
              <w:t>$0.00</w:t>
            </w:r>
          </w:p>
        </w:tc>
        <w:tc>
          <w:tcPr>
            <w:tcW w:w="1560" w:type="dxa"/>
          </w:tcPr>
          <w:p>
            <w:pPr>
              <w:pStyle w:val="TableParagraph"/>
              <w:spacing w:line="206" w:lineRule="exact"/>
              <w:ind w:left="80" w:right="75"/>
              <w:rPr>
                <w:sz w:val="18"/>
              </w:rPr>
            </w:pPr>
            <w:r>
              <w:rPr>
                <w:sz w:val="18"/>
              </w:rPr>
              <w:t>$0.00</w:t>
            </w:r>
          </w:p>
        </w:tc>
        <w:tc>
          <w:tcPr>
            <w:tcW w:w="1702" w:type="dxa"/>
          </w:tcPr>
          <w:p>
            <w:pPr>
              <w:pStyle w:val="TableParagraph"/>
              <w:spacing w:line="206" w:lineRule="exact"/>
              <w:ind w:left="75" w:right="72"/>
              <w:rPr>
                <w:sz w:val="18"/>
              </w:rPr>
            </w:pPr>
            <w:r>
              <w:rPr>
                <w:sz w:val="18"/>
              </w:rPr>
              <w:t>$0.00</w:t>
            </w:r>
          </w:p>
        </w:tc>
        <w:tc>
          <w:tcPr>
            <w:tcW w:w="1702" w:type="dxa"/>
          </w:tcPr>
          <w:p>
            <w:pPr>
              <w:pStyle w:val="TableParagraph"/>
              <w:spacing w:line="206" w:lineRule="exact"/>
              <w:ind w:left="75" w:right="75"/>
              <w:rPr>
                <w:sz w:val="18"/>
              </w:rPr>
            </w:pPr>
            <w:r>
              <w:rPr>
                <w:sz w:val="18"/>
              </w:rPr>
              <w:t>$0.00</w:t>
            </w:r>
          </w:p>
        </w:tc>
        <w:tc>
          <w:tcPr>
            <w:tcW w:w="1558" w:type="dxa"/>
          </w:tcPr>
          <w:p>
            <w:pPr>
              <w:pStyle w:val="TableParagraph"/>
              <w:spacing w:line="206" w:lineRule="exact"/>
              <w:ind w:left="77" w:right="78"/>
              <w:rPr>
                <w:sz w:val="18"/>
              </w:rPr>
            </w:pPr>
            <w:r>
              <w:rPr>
                <w:sz w:val="18"/>
              </w:rPr>
              <w:t>$0.00</w:t>
            </w:r>
          </w:p>
        </w:tc>
        <w:tc>
          <w:tcPr>
            <w:tcW w:w="1844" w:type="dxa"/>
          </w:tcPr>
          <w:p>
            <w:pPr>
              <w:pStyle w:val="TableParagraph"/>
              <w:spacing w:line="206" w:lineRule="exact"/>
              <w:ind w:left="221" w:right="215"/>
              <w:rPr>
                <w:sz w:val="18"/>
              </w:rPr>
            </w:pPr>
            <w:r>
              <w:rPr>
                <w:sz w:val="18"/>
              </w:rPr>
              <w:t>$0.00</w:t>
            </w:r>
          </w:p>
        </w:tc>
        <w:tc>
          <w:tcPr>
            <w:tcW w:w="1843" w:type="dxa"/>
          </w:tcPr>
          <w:p>
            <w:pPr>
              <w:pStyle w:val="TableParagraph"/>
              <w:spacing w:line="206" w:lineRule="exact"/>
              <w:ind w:left="221" w:right="220"/>
              <w:rPr>
                <w:sz w:val="18"/>
              </w:rPr>
            </w:pPr>
            <w:r>
              <w:rPr>
                <w:sz w:val="18"/>
              </w:rPr>
              <w:t>$0.00</w:t>
            </w:r>
          </w:p>
        </w:tc>
      </w:tr>
      <w:tr>
        <w:trPr>
          <w:trHeight w:val="322" w:hRule="exact"/>
        </w:trPr>
        <w:tc>
          <w:tcPr>
            <w:tcW w:w="1656" w:type="dxa"/>
          </w:tcPr>
          <w:p>
            <w:pPr>
              <w:pStyle w:val="TableParagraph"/>
              <w:spacing w:line="201" w:lineRule="exact"/>
              <w:ind w:left="64" w:right="66"/>
              <w:jc w:val="left"/>
              <w:rPr>
                <w:b/>
                <w:sz w:val="18"/>
              </w:rPr>
            </w:pPr>
            <w:r>
              <w:rPr>
                <w:b/>
                <w:color w:val="333333"/>
                <w:sz w:val="18"/>
              </w:rPr>
              <w:t>LERMA</w:t>
            </w:r>
          </w:p>
        </w:tc>
        <w:tc>
          <w:tcPr>
            <w:tcW w:w="1702" w:type="dxa"/>
          </w:tcPr>
          <w:p>
            <w:pPr>
              <w:pStyle w:val="TableParagraph"/>
              <w:spacing w:line="206" w:lineRule="exact"/>
              <w:ind w:left="74" w:right="75"/>
              <w:rPr>
                <w:sz w:val="18"/>
              </w:rPr>
            </w:pPr>
            <w:r>
              <w:rPr>
                <w:sz w:val="18"/>
              </w:rPr>
              <w:t>$0.00</w:t>
            </w:r>
          </w:p>
        </w:tc>
        <w:tc>
          <w:tcPr>
            <w:tcW w:w="1417" w:type="dxa"/>
          </w:tcPr>
          <w:p>
            <w:pPr>
              <w:pStyle w:val="TableParagraph"/>
              <w:spacing w:line="206" w:lineRule="exact"/>
              <w:ind w:left="455" w:right="455"/>
              <w:rPr>
                <w:sz w:val="18"/>
              </w:rPr>
            </w:pPr>
            <w:r>
              <w:rPr>
                <w:sz w:val="18"/>
              </w:rPr>
              <w:t>$0.00</w:t>
            </w:r>
          </w:p>
        </w:tc>
        <w:tc>
          <w:tcPr>
            <w:tcW w:w="1560" w:type="dxa"/>
          </w:tcPr>
          <w:p>
            <w:pPr>
              <w:pStyle w:val="TableParagraph"/>
              <w:spacing w:line="206" w:lineRule="exact"/>
              <w:ind w:left="80" w:right="75"/>
              <w:rPr>
                <w:sz w:val="18"/>
              </w:rPr>
            </w:pPr>
            <w:r>
              <w:rPr>
                <w:sz w:val="18"/>
              </w:rPr>
              <w:t>$0.00</w:t>
            </w:r>
          </w:p>
        </w:tc>
        <w:tc>
          <w:tcPr>
            <w:tcW w:w="1702" w:type="dxa"/>
          </w:tcPr>
          <w:p>
            <w:pPr>
              <w:pStyle w:val="TableParagraph"/>
              <w:spacing w:line="206" w:lineRule="exact"/>
              <w:ind w:left="75" w:right="72"/>
              <w:rPr>
                <w:sz w:val="18"/>
              </w:rPr>
            </w:pPr>
            <w:r>
              <w:rPr>
                <w:sz w:val="18"/>
              </w:rPr>
              <w:t>$0.00</w:t>
            </w:r>
          </w:p>
        </w:tc>
        <w:tc>
          <w:tcPr>
            <w:tcW w:w="1702" w:type="dxa"/>
          </w:tcPr>
          <w:p>
            <w:pPr>
              <w:pStyle w:val="TableParagraph"/>
              <w:spacing w:line="206" w:lineRule="exact"/>
              <w:ind w:right="171"/>
              <w:jc w:val="right"/>
              <w:rPr>
                <w:sz w:val="18"/>
              </w:rPr>
            </w:pPr>
            <w:r>
              <w:rPr>
                <w:sz w:val="18"/>
              </w:rPr>
              <w:t>$552,601,542.00</w:t>
            </w:r>
          </w:p>
        </w:tc>
        <w:tc>
          <w:tcPr>
            <w:tcW w:w="1558" w:type="dxa"/>
          </w:tcPr>
          <w:p>
            <w:pPr>
              <w:pStyle w:val="TableParagraph"/>
              <w:spacing w:line="206" w:lineRule="exact"/>
              <w:ind w:left="78" w:right="78"/>
              <w:rPr>
                <w:sz w:val="18"/>
              </w:rPr>
            </w:pPr>
            <w:r>
              <w:rPr>
                <w:sz w:val="18"/>
              </w:rPr>
              <w:t>$630,264.92</w:t>
            </w:r>
          </w:p>
        </w:tc>
        <w:tc>
          <w:tcPr>
            <w:tcW w:w="1844" w:type="dxa"/>
          </w:tcPr>
          <w:p>
            <w:pPr>
              <w:pStyle w:val="TableParagraph"/>
              <w:spacing w:line="206" w:lineRule="exact"/>
              <w:ind w:left="221" w:right="220"/>
              <w:rPr>
                <w:sz w:val="18"/>
              </w:rPr>
            </w:pPr>
            <w:r>
              <w:rPr>
                <w:sz w:val="18"/>
              </w:rPr>
              <w:t>$391,492,959.45</w:t>
            </w:r>
          </w:p>
        </w:tc>
        <w:tc>
          <w:tcPr>
            <w:tcW w:w="1843" w:type="dxa"/>
          </w:tcPr>
          <w:p>
            <w:pPr>
              <w:pStyle w:val="TableParagraph"/>
              <w:spacing w:line="206" w:lineRule="exact"/>
              <w:ind w:left="222" w:right="220"/>
              <w:rPr>
                <w:sz w:val="18"/>
              </w:rPr>
            </w:pPr>
            <w:r>
              <w:rPr>
                <w:sz w:val="18"/>
              </w:rPr>
              <w:t>$161,738,847.47</w:t>
            </w:r>
          </w:p>
        </w:tc>
      </w:tr>
      <w:tr>
        <w:trPr>
          <w:trHeight w:val="319" w:hRule="exact"/>
        </w:trPr>
        <w:tc>
          <w:tcPr>
            <w:tcW w:w="1656" w:type="dxa"/>
          </w:tcPr>
          <w:p>
            <w:pPr>
              <w:pStyle w:val="TableParagraph"/>
              <w:spacing w:line="201" w:lineRule="exact"/>
              <w:ind w:left="64" w:right="66"/>
              <w:jc w:val="left"/>
              <w:rPr>
                <w:b/>
                <w:sz w:val="18"/>
              </w:rPr>
            </w:pPr>
            <w:r>
              <w:rPr>
                <w:b/>
                <w:color w:val="333333"/>
                <w:sz w:val="18"/>
              </w:rPr>
              <w:t>LUVIANOS</w:t>
            </w:r>
          </w:p>
        </w:tc>
        <w:tc>
          <w:tcPr>
            <w:tcW w:w="1702" w:type="dxa"/>
          </w:tcPr>
          <w:p>
            <w:pPr>
              <w:pStyle w:val="TableParagraph"/>
              <w:spacing w:line="206" w:lineRule="exact"/>
              <w:ind w:left="73" w:right="75"/>
              <w:rPr>
                <w:sz w:val="18"/>
              </w:rPr>
            </w:pPr>
            <w:r>
              <w:rPr>
                <w:sz w:val="18"/>
              </w:rPr>
              <w:t>$142,399,200.00</w:t>
            </w:r>
          </w:p>
        </w:tc>
        <w:tc>
          <w:tcPr>
            <w:tcW w:w="1417" w:type="dxa"/>
          </w:tcPr>
          <w:p>
            <w:pPr>
              <w:pStyle w:val="TableParagraph"/>
              <w:spacing w:line="206" w:lineRule="exact"/>
              <w:ind w:left="455" w:right="455"/>
              <w:rPr>
                <w:sz w:val="18"/>
              </w:rPr>
            </w:pPr>
            <w:r>
              <w:rPr>
                <w:sz w:val="18"/>
              </w:rPr>
              <w:t>$0.00</w:t>
            </w:r>
          </w:p>
        </w:tc>
        <w:tc>
          <w:tcPr>
            <w:tcW w:w="1560" w:type="dxa"/>
          </w:tcPr>
          <w:p>
            <w:pPr>
              <w:pStyle w:val="TableParagraph"/>
              <w:spacing w:line="206" w:lineRule="exact"/>
              <w:ind w:left="80" w:right="78"/>
              <w:rPr>
                <w:sz w:val="18"/>
              </w:rPr>
            </w:pPr>
            <w:r>
              <w:rPr>
                <w:sz w:val="18"/>
              </w:rPr>
              <w:t>$102,938,424.53</w:t>
            </w:r>
          </w:p>
        </w:tc>
        <w:tc>
          <w:tcPr>
            <w:tcW w:w="1702" w:type="dxa"/>
          </w:tcPr>
          <w:p>
            <w:pPr>
              <w:pStyle w:val="TableParagraph"/>
              <w:spacing w:line="206" w:lineRule="exact"/>
              <w:ind w:left="75" w:right="75"/>
              <w:rPr>
                <w:sz w:val="18"/>
              </w:rPr>
            </w:pPr>
            <w:r>
              <w:rPr>
                <w:sz w:val="18"/>
              </w:rPr>
              <w:t>$39,460,775.47</w:t>
            </w:r>
          </w:p>
        </w:tc>
        <w:tc>
          <w:tcPr>
            <w:tcW w:w="1702" w:type="dxa"/>
          </w:tcPr>
          <w:p>
            <w:pPr>
              <w:pStyle w:val="TableParagraph"/>
              <w:spacing w:line="206" w:lineRule="exact"/>
              <w:ind w:right="171"/>
              <w:jc w:val="right"/>
              <w:rPr>
                <w:sz w:val="18"/>
              </w:rPr>
            </w:pPr>
            <w:r>
              <w:rPr>
                <w:sz w:val="18"/>
              </w:rPr>
              <w:t>$154,286,585.00</w:t>
            </w:r>
          </w:p>
        </w:tc>
        <w:tc>
          <w:tcPr>
            <w:tcW w:w="1558" w:type="dxa"/>
          </w:tcPr>
          <w:p>
            <w:pPr>
              <w:pStyle w:val="TableParagraph"/>
              <w:spacing w:line="206" w:lineRule="exact"/>
              <w:ind w:left="78" w:right="78"/>
              <w:rPr>
                <w:sz w:val="18"/>
              </w:rPr>
            </w:pPr>
            <w:r>
              <w:rPr>
                <w:sz w:val="18"/>
              </w:rPr>
              <w:t>$419,999.95</w:t>
            </w:r>
          </w:p>
        </w:tc>
        <w:tc>
          <w:tcPr>
            <w:tcW w:w="1844" w:type="dxa"/>
          </w:tcPr>
          <w:p>
            <w:pPr>
              <w:pStyle w:val="TableParagraph"/>
              <w:spacing w:line="206" w:lineRule="exact"/>
              <w:ind w:left="221" w:right="220"/>
              <w:rPr>
                <w:sz w:val="18"/>
              </w:rPr>
            </w:pPr>
            <w:r>
              <w:rPr>
                <w:sz w:val="18"/>
              </w:rPr>
              <w:t>$138,090,445.56</w:t>
            </w:r>
          </w:p>
        </w:tc>
        <w:tc>
          <w:tcPr>
            <w:tcW w:w="1843" w:type="dxa"/>
          </w:tcPr>
          <w:p>
            <w:pPr>
              <w:pStyle w:val="TableParagraph"/>
              <w:spacing w:line="206" w:lineRule="exact"/>
              <w:ind w:left="222" w:right="219"/>
              <w:rPr>
                <w:sz w:val="18"/>
              </w:rPr>
            </w:pPr>
            <w:r>
              <w:rPr>
                <w:sz w:val="18"/>
              </w:rPr>
              <w:t>$16,616,139.39</w:t>
            </w:r>
          </w:p>
        </w:tc>
      </w:tr>
      <w:tr>
        <w:trPr>
          <w:trHeight w:val="322" w:hRule="exact"/>
        </w:trPr>
        <w:tc>
          <w:tcPr>
            <w:tcW w:w="1656" w:type="dxa"/>
          </w:tcPr>
          <w:p>
            <w:pPr>
              <w:pStyle w:val="TableParagraph"/>
              <w:spacing w:line="201" w:lineRule="exact"/>
              <w:ind w:left="64" w:right="66"/>
              <w:jc w:val="left"/>
              <w:rPr>
                <w:b/>
                <w:sz w:val="18"/>
              </w:rPr>
            </w:pPr>
            <w:r>
              <w:rPr>
                <w:b/>
                <w:color w:val="333333"/>
                <w:sz w:val="18"/>
              </w:rPr>
              <w:t>MALINALCO</w:t>
            </w:r>
          </w:p>
        </w:tc>
        <w:tc>
          <w:tcPr>
            <w:tcW w:w="1702" w:type="dxa"/>
          </w:tcPr>
          <w:p>
            <w:pPr>
              <w:pStyle w:val="TableParagraph"/>
              <w:spacing w:line="206" w:lineRule="exact"/>
              <w:ind w:left="74" w:right="75"/>
              <w:rPr>
                <w:sz w:val="18"/>
              </w:rPr>
            </w:pPr>
            <w:r>
              <w:rPr>
                <w:sz w:val="18"/>
              </w:rPr>
              <w:t>$0.00</w:t>
            </w:r>
          </w:p>
        </w:tc>
        <w:tc>
          <w:tcPr>
            <w:tcW w:w="1417" w:type="dxa"/>
          </w:tcPr>
          <w:p>
            <w:pPr>
              <w:pStyle w:val="TableParagraph"/>
              <w:spacing w:line="206" w:lineRule="exact"/>
              <w:ind w:left="455" w:right="455"/>
              <w:rPr>
                <w:sz w:val="18"/>
              </w:rPr>
            </w:pPr>
            <w:r>
              <w:rPr>
                <w:sz w:val="18"/>
              </w:rPr>
              <w:t>$0.00</w:t>
            </w:r>
          </w:p>
        </w:tc>
        <w:tc>
          <w:tcPr>
            <w:tcW w:w="1560" w:type="dxa"/>
          </w:tcPr>
          <w:p>
            <w:pPr>
              <w:pStyle w:val="TableParagraph"/>
              <w:spacing w:line="206" w:lineRule="exact"/>
              <w:ind w:left="80" w:right="75"/>
              <w:rPr>
                <w:sz w:val="18"/>
              </w:rPr>
            </w:pPr>
            <w:r>
              <w:rPr>
                <w:sz w:val="18"/>
              </w:rPr>
              <w:t>$0.00</w:t>
            </w:r>
          </w:p>
        </w:tc>
        <w:tc>
          <w:tcPr>
            <w:tcW w:w="1702" w:type="dxa"/>
          </w:tcPr>
          <w:p>
            <w:pPr>
              <w:pStyle w:val="TableParagraph"/>
              <w:spacing w:line="206" w:lineRule="exact"/>
              <w:ind w:left="75" w:right="72"/>
              <w:rPr>
                <w:sz w:val="18"/>
              </w:rPr>
            </w:pPr>
            <w:r>
              <w:rPr>
                <w:sz w:val="18"/>
              </w:rPr>
              <w:t>$0.00</w:t>
            </w:r>
          </w:p>
        </w:tc>
        <w:tc>
          <w:tcPr>
            <w:tcW w:w="1702" w:type="dxa"/>
          </w:tcPr>
          <w:p>
            <w:pPr>
              <w:pStyle w:val="TableParagraph"/>
              <w:spacing w:line="206" w:lineRule="exact"/>
              <w:ind w:right="171"/>
              <w:jc w:val="right"/>
              <w:rPr>
                <w:sz w:val="18"/>
              </w:rPr>
            </w:pPr>
            <w:r>
              <w:rPr>
                <w:sz w:val="18"/>
              </w:rPr>
              <w:t>$101,067,771.00</w:t>
            </w:r>
          </w:p>
        </w:tc>
        <w:tc>
          <w:tcPr>
            <w:tcW w:w="1558" w:type="dxa"/>
          </w:tcPr>
          <w:p>
            <w:pPr>
              <w:pStyle w:val="TableParagraph"/>
              <w:spacing w:line="206" w:lineRule="exact"/>
              <w:ind w:left="77" w:right="78"/>
              <w:rPr>
                <w:sz w:val="18"/>
              </w:rPr>
            </w:pPr>
            <w:r>
              <w:rPr>
                <w:sz w:val="18"/>
              </w:rPr>
              <w:t>$0.00</w:t>
            </w:r>
          </w:p>
        </w:tc>
        <w:tc>
          <w:tcPr>
            <w:tcW w:w="1844" w:type="dxa"/>
          </w:tcPr>
          <w:p>
            <w:pPr>
              <w:pStyle w:val="TableParagraph"/>
              <w:spacing w:line="206" w:lineRule="exact"/>
              <w:ind w:left="221" w:right="215"/>
              <w:rPr>
                <w:sz w:val="18"/>
              </w:rPr>
            </w:pPr>
            <w:r>
              <w:rPr>
                <w:sz w:val="18"/>
              </w:rPr>
              <w:t>$0.00</w:t>
            </w:r>
          </w:p>
        </w:tc>
        <w:tc>
          <w:tcPr>
            <w:tcW w:w="1843" w:type="dxa"/>
          </w:tcPr>
          <w:p>
            <w:pPr>
              <w:pStyle w:val="TableParagraph"/>
              <w:spacing w:line="206" w:lineRule="exact"/>
              <w:ind w:left="222" w:right="220"/>
              <w:rPr>
                <w:sz w:val="18"/>
              </w:rPr>
            </w:pPr>
            <w:r>
              <w:rPr>
                <w:sz w:val="18"/>
              </w:rPr>
              <w:t>$101,067,771.00</w:t>
            </w:r>
          </w:p>
        </w:tc>
      </w:tr>
      <w:tr>
        <w:trPr>
          <w:trHeight w:val="631" w:hRule="exact"/>
        </w:trPr>
        <w:tc>
          <w:tcPr>
            <w:tcW w:w="1656" w:type="dxa"/>
          </w:tcPr>
          <w:p>
            <w:pPr>
              <w:pStyle w:val="TableParagraph"/>
              <w:spacing w:line="360" w:lineRule="auto"/>
              <w:ind w:left="64" w:right="652"/>
              <w:jc w:val="left"/>
              <w:rPr>
                <w:b/>
                <w:sz w:val="18"/>
              </w:rPr>
            </w:pPr>
            <w:r>
              <w:rPr>
                <w:b/>
                <w:color w:val="333333"/>
                <w:sz w:val="18"/>
              </w:rPr>
              <w:t>MELCHOR OCAMPO</w:t>
            </w:r>
          </w:p>
        </w:tc>
        <w:tc>
          <w:tcPr>
            <w:tcW w:w="1702" w:type="dxa"/>
          </w:tcPr>
          <w:p>
            <w:pPr>
              <w:pStyle w:val="TableParagraph"/>
              <w:spacing w:before="155"/>
              <w:ind w:left="74" w:right="75"/>
              <w:rPr>
                <w:sz w:val="18"/>
              </w:rPr>
            </w:pPr>
            <w:r>
              <w:rPr>
                <w:sz w:val="18"/>
              </w:rPr>
              <w:t>$0.00</w:t>
            </w:r>
          </w:p>
        </w:tc>
        <w:tc>
          <w:tcPr>
            <w:tcW w:w="1417" w:type="dxa"/>
          </w:tcPr>
          <w:p>
            <w:pPr>
              <w:pStyle w:val="TableParagraph"/>
              <w:spacing w:before="155"/>
              <w:ind w:left="455" w:right="455"/>
              <w:rPr>
                <w:sz w:val="18"/>
              </w:rPr>
            </w:pPr>
            <w:r>
              <w:rPr>
                <w:sz w:val="18"/>
              </w:rPr>
              <w:t>$0.00</w:t>
            </w:r>
          </w:p>
        </w:tc>
        <w:tc>
          <w:tcPr>
            <w:tcW w:w="1560" w:type="dxa"/>
          </w:tcPr>
          <w:p>
            <w:pPr>
              <w:pStyle w:val="TableParagraph"/>
              <w:spacing w:before="155"/>
              <w:ind w:left="80" w:right="75"/>
              <w:rPr>
                <w:sz w:val="18"/>
              </w:rPr>
            </w:pPr>
            <w:r>
              <w:rPr>
                <w:sz w:val="18"/>
              </w:rPr>
              <w:t>$0.00</w:t>
            </w:r>
          </w:p>
        </w:tc>
        <w:tc>
          <w:tcPr>
            <w:tcW w:w="1702" w:type="dxa"/>
          </w:tcPr>
          <w:p>
            <w:pPr>
              <w:pStyle w:val="TableParagraph"/>
              <w:spacing w:before="155"/>
              <w:ind w:left="75" w:right="72"/>
              <w:rPr>
                <w:sz w:val="18"/>
              </w:rPr>
            </w:pPr>
            <w:r>
              <w:rPr>
                <w:sz w:val="18"/>
              </w:rPr>
              <w:t>$0.00</w:t>
            </w:r>
          </w:p>
        </w:tc>
        <w:tc>
          <w:tcPr>
            <w:tcW w:w="1702" w:type="dxa"/>
          </w:tcPr>
          <w:p>
            <w:pPr>
              <w:pStyle w:val="TableParagraph"/>
              <w:spacing w:before="155"/>
              <w:ind w:left="75" w:right="75"/>
              <w:rPr>
                <w:sz w:val="18"/>
              </w:rPr>
            </w:pPr>
            <w:r>
              <w:rPr>
                <w:sz w:val="18"/>
              </w:rPr>
              <w:t>$0.00</w:t>
            </w:r>
          </w:p>
        </w:tc>
        <w:tc>
          <w:tcPr>
            <w:tcW w:w="1558" w:type="dxa"/>
          </w:tcPr>
          <w:p>
            <w:pPr>
              <w:pStyle w:val="TableParagraph"/>
              <w:spacing w:before="155"/>
              <w:ind w:left="77" w:right="78"/>
              <w:rPr>
                <w:sz w:val="18"/>
              </w:rPr>
            </w:pPr>
            <w:r>
              <w:rPr>
                <w:sz w:val="18"/>
              </w:rPr>
              <w:t>$0.00</w:t>
            </w:r>
          </w:p>
        </w:tc>
        <w:tc>
          <w:tcPr>
            <w:tcW w:w="1844" w:type="dxa"/>
          </w:tcPr>
          <w:p>
            <w:pPr>
              <w:pStyle w:val="TableParagraph"/>
              <w:spacing w:before="155"/>
              <w:ind w:left="221" w:right="215"/>
              <w:rPr>
                <w:sz w:val="18"/>
              </w:rPr>
            </w:pPr>
            <w:r>
              <w:rPr>
                <w:sz w:val="18"/>
              </w:rPr>
              <w:t>$0.00</w:t>
            </w:r>
          </w:p>
        </w:tc>
        <w:tc>
          <w:tcPr>
            <w:tcW w:w="1843" w:type="dxa"/>
          </w:tcPr>
          <w:p>
            <w:pPr>
              <w:pStyle w:val="TableParagraph"/>
              <w:spacing w:before="155"/>
              <w:ind w:left="221" w:right="220"/>
              <w:rPr>
                <w:sz w:val="18"/>
              </w:rPr>
            </w:pPr>
            <w:r>
              <w:rPr>
                <w:sz w:val="18"/>
              </w:rPr>
              <w:t>$0.00</w:t>
            </w:r>
          </w:p>
        </w:tc>
      </w:tr>
      <w:tr>
        <w:trPr>
          <w:trHeight w:val="319" w:hRule="exact"/>
        </w:trPr>
        <w:tc>
          <w:tcPr>
            <w:tcW w:w="1656" w:type="dxa"/>
          </w:tcPr>
          <w:p>
            <w:pPr>
              <w:pStyle w:val="TableParagraph"/>
              <w:spacing w:line="201" w:lineRule="exact"/>
              <w:ind w:left="64" w:right="66"/>
              <w:jc w:val="left"/>
              <w:rPr>
                <w:b/>
                <w:sz w:val="18"/>
              </w:rPr>
            </w:pPr>
            <w:r>
              <w:rPr>
                <w:b/>
                <w:color w:val="333333"/>
                <w:sz w:val="18"/>
              </w:rPr>
              <w:t>METEPEC</w:t>
            </w:r>
          </w:p>
        </w:tc>
        <w:tc>
          <w:tcPr>
            <w:tcW w:w="1702" w:type="dxa"/>
          </w:tcPr>
          <w:p>
            <w:pPr>
              <w:pStyle w:val="TableParagraph"/>
              <w:spacing w:line="206" w:lineRule="exact"/>
              <w:ind w:left="74" w:right="75"/>
              <w:rPr>
                <w:sz w:val="18"/>
              </w:rPr>
            </w:pPr>
            <w:r>
              <w:rPr>
                <w:sz w:val="18"/>
              </w:rPr>
              <w:t>$0.00</w:t>
            </w:r>
          </w:p>
        </w:tc>
        <w:tc>
          <w:tcPr>
            <w:tcW w:w="1417" w:type="dxa"/>
          </w:tcPr>
          <w:p>
            <w:pPr>
              <w:pStyle w:val="TableParagraph"/>
              <w:spacing w:line="206" w:lineRule="exact"/>
              <w:ind w:left="455" w:right="455"/>
              <w:rPr>
                <w:sz w:val="18"/>
              </w:rPr>
            </w:pPr>
            <w:r>
              <w:rPr>
                <w:sz w:val="18"/>
              </w:rPr>
              <w:t>$0.00</w:t>
            </w:r>
          </w:p>
        </w:tc>
        <w:tc>
          <w:tcPr>
            <w:tcW w:w="1560" w:type="dxa"/>
          </w:tcPr>
          <w:p>
            <w:pPr>
              <w:pStyle w:val="TableParagraph"/>
              <w:spacing w:line="206" w:lineRule="exact"/>
              <w:ind w:left="80" w:right="75"/>
              <w:rPr>
                <w:sz w:val="18"/>
              </w:rPr>
            </w:pPr>
            <w:r>
              <w:rPr>
                <w:sz w:val="18"/>
              </w:rPr>
              <w:t>$0.00</w:t>
            </w:r>
          </w:p>
        </w:tc>
        <w:tc>
          <w:tcPr>
            <w:tcW w:w="1702" w:type="dxa"/>
          </w:tcPr>
          <w:p>
            <w:pPr>
              <w:pStyle w:val="TableParagraph"/>
              <w:spacing w:line="206" w:lineRule="exact"/>
              <w:ind w:left="75" w:right="72"/>
              <w:rPr>
                <w:sz w:val="18"/>
              </w:rPr>
            </w:pPr>
            <w:r>
              <w:rPr>
                <w:sz w:val="18"/>
              </w:rPr>
              <w:t>$0.00</w:t>
            </w:r>
          </w:p>
        </w:tc>
        <w:tc>
          <w:tcPr>
            <w:tcW w:w="1702" w:type="dxa"/>
          </w:tcPr>
          <w:p>
            <w:pPr>
              <w:pStyle w:val="TableParagraph"/>
              <w:spacing w:line="206" w:lineRule="exact"/>
              <w:ind w:right="171"/>
              <w:jc w:val="right"/>
              <w:rPr>
                <w:sz w:val="18"/>
              </w:rPr>
            </w:pPr>
            <w:r>
              <w:rPr>
                <w:sz w:val="18"/>
              </w:rPr>
              <w:t>$961,315,249.00</w:t>
            </w:r>
          </w:p>
        </w:tc>
        <w:tc>
          <w:tcPr>
            <w:tcW w:w="1558" w:type="dxa"/>
          </w:tcPr>
          <w:p>
            <w:pPr>
              <w:pStyle w:val="TableParagraph"/>
              <w:spacing w:line="206" w:lineRule="exact"/>
              <w:ind w:left="78" w:right="78"/>
              <w:rPr>
                <w:sz w:val="18"/>
              </w:rPr>
            </w:pPr>
            <w:r>
              <w:rPr>
                <w:sz w:val="18"/>
              </w:rPr>
              <w:t>$105,832,963.00</w:t>
            </w:r>
          </w:p>
        </w:tc>
        <w:tc>
          <w:tcPr>
            <w:tcW w:w="1844" w:type="dxa"/>
          </w:tcPr>
          <w:p>
            <w:pPr>
              <w:pStyle w:val="TableParagraph"/>
              <w:spacing w:line="206" w:lineRule="exact"/>
              <w:ind w:left="221" w:right="220"/>
              <w:rPr>
                <w:sz w:val="18"/>
              </w:rPr>
            </w:pPr>
            <w:r>
              <w:rPr>
                <w:sz w:val="18"/>
              </w:rPr>
              <w:t>$945,292,745.00</w:t>
            </w:r>
          </w:p>
        </w:tc>
        <w:tc>
          <w:tcPr>
            <w:tcW w:w="1843" w:type="dxa"/>
          </w:tcPr>
          <w:p>
            <w:pPr>
              <w:pStyle w:val="TableParagraph"/>
              <w:spacing w:line="206" w:lineRule="exact"/>
              <w:ind w:left="222" w:right="220"/>
              <w:rPr>
                <w:sz w:val="18"/>
              </w:rPr>
            </w:pPr>
            <w:r>
              <w:rPr>
                <w:sz w:val="18"/>
              </w:rPr>
              <w:t>$121,855,467.00</w:t>
            </w:r>
          </w:p>
        </w:tc>
      </w:tr>
      <w:tr>
        <w:trPr>
          <w:trHeight w:val="461" w:hRule="exact"/>
        </w:trPr>
        <w:tc>
          <w:tcPr>
            <w:tcW w:w="1656" w:type="dxa"/>
          </w:tcPr>
          <w:p>
            <w:pPr>
              <w:pStyle w:val="TableParagraph"/>
              <w:spacing w:before="64"/>
              <w:ind w:left="64"/>
              <w:jc w:val="left"/>
              <w:rPr>
                <w:b/>
                <w:sz w:val="18"/>
              </w:rPr>
            </w:pPr>
            <w:r>
              <w:rPr>
                <w:b/>
                <w:color w:val="333333"/>
                <w:sz w:val="18"/>
              </w:rPr>
              <w:t>MEXICALTCINGO</w:t>
            </w:r>
          </w:p>
        </w:tc>
        <w:tc>
          <w:tcPr>
            <w:tcW w:w="1702" w:type="dxa"/>
          </w:tcPr>
          <w:p>
            <w:pPr>
              <w:pStyle w:val="TableParagraph"/>
              <w:spacing w:before="69"/>
              <w:ind w:left="74" w:right="75"/>
              <w:rPr>
                <w:sz w:val="18"/>
              </w:rPr>
            </w:pPr>
            <w:r>
              <w:rPr>
                <w:sz w:val="18"/>
              </w:rPr>
              <w:t>$0.00</w:t>
            </w:r>
          </w:p>
        </w:tc>
        <w:tc>
          <w:tcPr>
            <w:tcW w:w="1417" w:type="dxa"/>
          </w:tcPr>
          <w:p>
            <w:pPr>
              <w:pStyle w:val="TableParagraph"/>
              <w:spacing w:before="69"/>
              <w:ind w:left="455" w:right="455"/>
              <w:rPr>
                <w:sz w:val="18"/>
              </w:rPr>
            </w:pPr>
            <w:r>
              <w:rPr>
                <w:sz w:val="18"/>
              </w:rPr>
              <w:t>$0.00</w:t>
            </w:r>
          </w:p>
        </w:tc>
        <w:tc>
          <w:tcPr>
            <w:tcW w:w="1560" w:type="dxa"/>
          </w:tcPr>
          <w:p>
            <w:pPr>
              <w:pStyle w:val="TableParagraph"/>
              <w:spacing w:before="69"/>
              <w:ind w:left="80" w:right="75"/>
              <w:rPr>
                <w:sz w:val="18"/>
              </w:rPr>
            </w:pPr>
            <w:r>
              <w:rPr>
                <w:sz w:val="18"/>
              </w:rPr>
              <w:t>$0.00</w:t>
            </w:r>
          </w:p>
        </w:tc>
        <w:tc>
          <w:tcPr>
            <w:tcW w:w="1702" w:type="dxa"/>
          </w:tcPr>
          <w:p>
            <w:pPr>
              <w:pStyle w:val="TableParagraph"/>
              <w:spacing w:before="69"/>
              <w:ind w:left="75" w:right="72"/>
              <w:rPr>
                <w:sz w:val="18"/>
              </w:rPr>
            </w:pPr>
            <w:r>
              <w:rPr>
                <w:sz w:val="18"/>
              </w:rPr>
              <w:t>$0.00</w:t>
            </w:r>
          </w:p>
        </w:tc>
        <w:tc>
          <w:tcPr>
            <w:tcW w:w="1702" w:type="dxa"/>
          </w:tcPr>
          <w:p>
            <w:pPr>
              <w:pStyle w:val="TableParagraph"/>
              <w:spacing w:before="69"/>
              <w:ind w:right="220"/>
              <w:jc w:val="right"/>
              <w:rPr>
                <w:sz w:val="18"/>
              </w:rPr>
            </w:pPr>
            <w:r>
              <w:rPr>
                <w:sz w:val="18"/>
              </w:rPr>
              <w:t>$64,493,313.00</w:t>
            </w:r>
          </w:p>
        </w:tc>
        <w:tc>
          <w:tcPr>
            <w:tcW w:w="1558" w:type="dxa"/>
          </w:tcPr>
          <w:p>
            <w:pPr>
              <w:pStyle w:val="TableParagraph"/>
              <w:spacing w:before="69"/>
              <w:ind w:left="77" w:right="78"/>
              <w:rPr>
                <w:sz w:val="18"/>
              </w:rPr>
            </w:pPr>
            <w:r>
              <w:rPr>
                <w:sz w:val="18"/>
              </w:rPr>
              <w:t>$0.00</w:t>
            </w:r>
          </w:p>
        </w:tc>
        <w:tc>
          <w:tcPr>
            <w:tcW w:w="1844" w:type="dxa"/>
          </w:tcPr>
          <w:p>
            <w:pPr>
              <w:pStyle w:val="TableParagraph"/>
              <w:spacing w:before="69"/>
              <w:ind w:left="221" w:right="215"/>
              <w:rPr>
                <w:sz w:val="18"/>
              </w:rPr>
            </w:pPr>
            <w:r>
              <w:rPr>
                <w:sz w:val="18"/>
              </w:rPr>
              <w:t>$0.00</w:t>
            </w:r>
          </w:p>
        </w:tc>
        <w:tc>
          <w:tcPr>
            <w:tcW w:w="1843" w:type="dxa"/>
          </w:tcPr>
          <w:p>
            <w:pPr>
              <w:pStyle w:val="TableParagraph"/>
              <w:spacing w:before="69"/>
              <w:ind w:left="222" w:right="219"/>
              <w:rPr>
                <w:sz w:val="18"/>
              </w:rPr>
            </w:pPr>
            <w:r>
              <w:rPr>
                <w:sz w:val="18"/>
              </w:rPr>
              <w:t>$64,493,313.00</w:t>
            </w:r>
          </w:p>
        </w:tc>
      </w:tr>
      <w:tr>
        <w:trPr>
          <w:trHeight w:val="322" w:hRule="exact"/>
        </w:trPr>
        <w:tc>
          <w:tcPr>
            <w:tcW w:w="1656" w:type="dxa"/>
          </w:tcPr>
          <w:p>
            <w:pPr>
              <w:pStyle w:val="TableParagraph"/>
              <w:spacing w:line="201" w:lineRule="exact"/>
              <w:ind w:left="64" w:right="66"/>
              <w:jc w:val="left"/>
              <w:rPr>
                <w:b/>
                <w:sz w:val="18"/>
              </w:rPr>
            </w:pPr>
            <w:r>
              <w:rPr>
                <w:b/>
                <w:color w:val="333333"/>
                <w:sz w:val="18"/>
              </w:rPr>
              <w:t>MORELOS</w:t>
            </w:r>
          </w:p>
        </w:tc>
        <w:tc>
          <w:tcPr>
            <w:tcW w:w="1702" w:type="dxa"/>
          </w:tcPr>
          <w:p>
            <w:pPr>
              <w:pStyle w:val="TableParagraph"/>
              <w:spacing w:line="206" w:lineRule="exact"/>
              <w:ind w:left="73" w:right="75"/>
              <w:rPr>
                <w:sz w:val="18"/>
              </w:rPr>
            </w:pPr>
            <w:r>
              <w:rPr>
                <w:sz w:val="18"/>
              </w:rPr>
              <w:t>$159,666,130.00</w:t>
            </w:r>
          </w:p>
        </w:tc>
        <w:tc>
          <w:tcPr>
            <w:tcW w:w="1417" w:type="dxa"/>
          </w:tcPr>
          <w:p>
            <w:pPr>
              <w:pStyle w:val="TableParagraph"/>
              <w:spacing w:line="206" w:lineRule="exact"/>
              <w:ind w:left="455" w:right="455"/>
              <w:rPr>
                <w:sz w:val="18"/>
              </w:rPr>
            </w:pPr>
            <w:r>
              <w:rPr>
                <w:sz w:val="18"/>
              </w:rPr>
              <w:t>$0.00</w:t>
            </w:r>
          </w:p>
        </w:tc>
        <w:tc>
          <w:tcPr>
            <w:tcW w:w="1560" w:type="dxa"/>
          </w:tcPr>
          <w:p>
            <w:pPr>
              <w:pStyle w:val="TableParagraph"/>
              <w:spacing w:line="206" w:lineRule="exact"/>
              <w:ind w:left="80" w:right="78"/>
              <w:rPr>
                <w:sz w:val="18"/>
              </w:rPr>
            </w:pPr>
            <w:r>
              <w:rPr>
                <w:sz w:val="18"/>
              </w:rPr>
              <w:t>$124,933,861.10</w:t>
            </w:r>
          </w:p>
        </w:tc>
        <w:tc>
          <w:tcPr>
            <w:tcW w:w="1702" w:type="dxa"/>
          </w:tcPr>
          <w:p>
            <w:pPr>
              <w:pStyle w:val="TableParagraph"/>
              <w:spacing w:line="206" w:lineRule="exact"/>
              <w:ind w:left="75" w:right="75"/>
              <w:rPr>
                <w:sz w:val="18"/>
              </w:rPr>
            </w:pPr>
            <w:r>
              <w:rPr>
                <w:sz w:val="18"/>
              </w:rPr>
              <w:t>$34,732,268.90</w:t>
            </w:r>
          </w:p>
        </w:tc>
        <w:tc>
          <w:tcPr>
            <w:tcW w:w="1702" w:type="dxa"/>
          </w:tcPr>
          <w:p>
            <w:pPr>
              <w:pStyle w:val="TableParagraph"/>
              <w:spacing w:line="206" w:lineRule="exact"/>
              <w:ind w:right="171"/>
              <w:jc w:val="right"/>
              <w:rPr>
                <w:sz w:val="18"/>
              </w:rPr>
            </w:pPr>
            <w:r>
              <w:rPr>
                <w:sz w:val="18"/>
              </w:rPr>
              <w:t>$161,816,060.00</w:t>
            </w:r>
          </w:p>
        </w:tc>
        <w:tc>
          <w:tcPr>
            <w:tcW w:w="1558" w:type="dxa"/>
          </w:tcPr>
          <w:p>
            <w:pPr>
              <w:pStyle w:val="TableParagraph"/>
              <w:spacing w:line="206" w:lineRule="exact"/>
              <w:ind w:left="77" w:right="78"/>
              <w:rPr>
                <w:sz w:val="18"/>
              </w:rPr>
            </w:pPr>
            <w:r>
              <w:rPr>
                <w:sz w:val="18"/>
              </w:rPr>
              <w:t>$0.00</w:t>
            </w:r>
          </w:p>
        </w:tc>
        <w:tc>
          <w:tcPr>
            <w:tcW w:w="1844" w:type="dxa"/>
          </w:tcPr>
          <w:p>
            <w:pPr>
              <w:pStyle w:val="TableParagraph"/>
              <w:spacing w:line="206" w:lineRule="exact"/>
              <w:ind w:left="221" w:right="220"/>
              <w:rPr>
                <w:sz w:val="18"/>
              </w:rPr>
            </w:pPr>
            <w:r>
              <w:rPr>
                <w:sz w:val="18"/>
              </w:rPr>
              <w:t>$132,886,510.31</w:t>
            </w:r>
          </w:p>
        </w:tc>
        <w:tc>
          <w:tcPr>
            <w:tcW w:w="1843" w:type="dxa"/>
          </w:tcPr>
          <w:p>
            <w:pPr>
              <w:pStyle w:val="TableParagraph"/>
              <w:spacing w:line="206" w:lineRule="exact"/>
              <w:ind w:left="222" w:right="219"/>
              <w:rPr>
                <w:sz w:val="18"/>
              </w:rPr>
            </w:pPr>
            <w:r>
              <w:rPr>
                <w:sz w:val="18"/>
              </w:rPr>
              <w:t>$28,929,549.69</w:t>
            </w:r>
          </w:p>
        </w:tc>
      </w:tr>
    </w:tbl>
    <w:p>
      <w:pPr>
        <w:spacing w:after="0" w:line="206" w:lineRule="exact"/>
        <w:rPr>
          <w:sz w:val="18"/>
        </w:rPr>
        <w:sectPr>
          <w:pgSz w:w="15840" w:h="12240" w:orient="landscape"/>
          <w:pgMar w:header="0" w:footer="975" w:top="1140" w:bottom="1160" w:left="320" w:right="300"/>
        </w:sectPr>
      </w:pPr>
    </w:p>
    <w:p>
      <w:pPr>
        <w:pStyle w:val="BodyText"/>
        <w:rPr>
          <w:rFonts w:ascii="Times New Roman"/>
          <w:sz w:val="20"/>
        </w:rPr>
      </w:pPr>
    </w:p>
    <w:p>
      <w:pPr>
        <w:pStyle w:val="BodyText"/>
        <w:spacing w:before="10"/>
        <w:rPr>
          <w:rFonts w:ascii="Times New Roman"/>
          <w:sz w:val="28"/>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40"/>
        <w:gridCol w:w="1560"/>
        <w:gridCol w:w="1417"/>
        <w:gridCol w:w="1632"/>
        <w:gridCol w:w="1630"/>
        <w:gridCol w:w="1663"/>
        <w:gridCol w:w="1454"/>
        <w:gridCol w:w="1702"/>
        <w:gridCol w:w="1632"/>
      </w:tblGrid>
      <w:tr>
        <w:trPr>
          <w:trHeight w:val="460" w:hRule="exact"/>
        </w:trPr>
        <w:tc>
          <w:tcPr>
            <w:tcW w:w="14630" w:type="dxa"/>
            <w:gridSpan w:val="9"/>
            <w:shd w:val="clear" w:color="auto" w:fill="C5DFB3"/>
          </w:tcPr>
          <w:p>
            <w:pPr>
              <w:pStyle w:val="TableParagraph"/>
              <w:spacing w:before="64"/>
              <w:ind w:left="3660"/>
              <w:jc w:val="left"/>
              <w:rPr>
                <w:b/>
                <w:sz w:val="18"/>
              </w:rPr>
            </w:pPr>
            <w:r>
              <w:rPr>
                <w:b/>
                <w:sz w:val="18"/>
              </w:rPr>
              <w:t>Anexo 24B. Municipios que publican apartado presupuesto 2010-2011 (Continuación)</w:t>
            </w:r>
          </w:p>
        </w:tc>
      </w:tr>
      <w:tr>
        <w:trPr>
          <w:trHeight w:val="395" w:hRule="exact"/>
        </w:trPr>
        <w:tc>
          <w:tcPr>
            <w:tcW w:w="1940"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150"/>
              <w:ind w:left="547"/>
              <w:jc w:val="left"/>
              <w:rPr>
                <w:b/>
                <w:sz w:val="18"/>
              </w:rPr>
            </w:pPr>
            <w:r>
              <w:rPr>
                <w:b/>
                <w:sz w:val="18"/>
              </w:rPr>
              <w:t>Municipio</w:t>
            </w:r>
          </w:p>
        </w:tc>
        <w:tc>
          <w:tcPr>
            <w:tcW w:w="6239" w:type="dxa"/>
            <w:gridSpan w:val="4"/>
            <w:shd w:val="clear" w:color="auto" w:fill="C5DFB3"/>
          </w:tcPr>
          <w:p>
            <w:pPr>
              <w:pStyle w:val="TableParagraph"/>
              <w:spacing w:before="31"/>
              <w:ind w:left="2895" w:right="2893"/>
              <w:rPr>
                <w:b/>
                <w:sz w:val="18"/>
              </w:rPr>
            </w:pPr>
            <w:r>
              <w:rPr>
                <w:b/>
                <w:sz w:val="18"/>
              </w:rPr>
              <w:t>2010</w:t>
            </w:r>
          </w:p>
        </w:tc>
        <w:tc>
          <w:tcPr>
            <w:tcW w:w="6452" w:type="dxa"/>
            <w:gridSpan w:val="4"/>
            <w:shd w:val="clear" w:color="auto" w:fill="C5DFB3"/>
          </w:tcPr>
          <w:p>
            <w:pPr>
              <w:pStyle w:val="TableParagraph"/>
              <w:spacing w:before="31"/>
              <w:ind w:left="3000" w:right="3000"/>
              <w:rPr>
                <w:b/>
                <w:sz w:val="18"/>
              </w:rPr>
            </w:pPr>
            <w:r>
              <w:rPr>
                <w:b/>
                <w:sz w:val="18"/>
              </w:rPr>
              <w:t>2011</w:t>
            </w:r>
          </w:p>
        </w:tc>
      </w:tr>
      <w:tr>
        <w:trPr>
          <w:trHeight w:val="1066" w:hRule="exact"/>
        </w:trPr>
        <w:tc>
          <w:tcPr>
            <w:tcW w:w="1940" w:type="dxa"/>
            <w:vMerge/>
            <w:shd w:val="clear" w:color="auto" w:fill="C5DFB3"/>
          </w:tcPr>
          <w:p>
            <w:pPr/>
          </w:p>
        </w:tc>
        <w:tc>
          <w:tcPr>
            <w:tcW w:w="1560"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6"/>
              <w:jc w:val="left"/>
              <w:rPr>
                <w:rFonts w:ascii="Times New Roman"/>
                <w:sz w:val="17"/>
              </w:rPr>
            </w:pPr>
          </w:p>
          <w:p>
            <w:pPr>
              <w:pStyle w:val="TableParagraph"/>
              <w:ind w:left="57"/>
              <w:jc w:val="left"/>
              <w:rPr>
                <w:b/>
                <w:sz w:val="18"/>
              </w:rPr>
            </w:pPr>
            <w:r>
              <w:rPr>
                <w:b/>
                <w:w w:val="100"/>
                <w:sz w:val="18"/>
              </w:rPr>
              <w:t>Autoriz</w:t>
            </w:r>
            <w:r>
              <w:rPr>
                <w:b/>
                <w:w w:val="99"/>
                <w:sz w:val="18"/>
              </w:rPr>
              <w:t>a</w:t>
            </w:r>
            <w:r>
              <w:rPr>
                <w:b/>
                <w:w w:val="100"/>
                <w:sz w:val="18"/>
              </w:rPr>
              <w:t>do</w:t>
            </w:r>
          </w:p>
        </w:tc>
        <w:tc>
          <w:tcPr>
            <w:tcW w:w="1417"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30"/>
              <w:ind w:left="52"/>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63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0"/>
              </w:rPr>
            </w:pPr>
          </w:p>
          <w:p>
            <w:pPr>
              <w:pStyle w:val="TableParagraph"/>
              <w:ind w:left="172" w:right="83"/>
              <w:jc w:val="left"/>
              <w:rPr>
                <w:b/>
                <w:sz w:val="18"/>
              </w:rPr>
            </w:pPr>
            <w:r>
              <w:rPr>
                <w:b/>
                <w:w w:val="100"/>
                <w:sz w:val="18"/>
              </w:rPr>
              <w:t>Eje</w:t>
            </w:r>
            <w:r>
              <w:rPr>
                <w:b/>
                <w:w w:val="99"/>
                <w:sz w:val="18"/>
              </w:rPr>
              <w:t>rci</w:t>
            </w:r>
            <w:r>
              <w:rPr>
                <w:b/>
                <w:w w:val="100"/>
                <w:sz w:val="18"/>
              </w:rPr>
              <w:t>do</w:t>
            </w:r>
          </w:p>
        </w:tc>
        <w:tc>
          <w:tcPr>
            <w:tcW w:w="1630"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0"/>
              </w:rPr>
            </w:pPr>
          </w:p>
          <w:p>
            <w:pPr>
              <w:pStyle w:val="TableParagraph"/>
              <w:ind w:left="57"/>
              <w:jc w:val="left"/>
              <w:rPr>
                <w:b/>
                <w:sz w:val="18"/>
              </w:rPr>
            </w:pPr>
            <w:r>
              <w:rPr>
                <w:b/>
                <w:sz w:val="18"/>
              </w:rPr>
              <w:t>Por </w:t>
            </w:r>
            <w:r>
              <w:rPr>
                <w:b/>
                <w:w w:val="99"/>
                <w:sz w:val="18"/>
              </w:rPr>
              <w:t>e</w:t>
            </w:r>
            <w:r>
              <w:rPr>
                <w:b/>
                <w:w w:val="100"/>
                <w:sz w:val="18"/>
              </w:rPr>
              <w:t>je</w:t>
            </w:r>
            <w:r>
              <w:rPr>
                <w:b/>
                <w:w w:val="99"/>
                <w:sz w:val="18"/>
              </w:rPr>
              <w:t>rcer</w:t>
            </w:r>
          </w:p>
        </w:tc>
        <w:tc>
          <w:tcPr>
            <w:tcW w:w="1663"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57"/>
              <w:jc w:val="left"/>
              <w:rPr>
                <w:b/>
                <w:sz w:val="18"/>
              </w:rPr>
            </w:pPr>
            <w:r>
              <w:rPr>
                <w:b/>
                <w:w w:val="100"/>
                <w:sz w:val="18"/>
              </w:rPr>
              <w:t>Autoriz</w:t>
            </w:r>
            <w:r>
              <w:rPr>
                <w:b/>
                <w:w w:val="99"/>
                <w:sz w:val="18"/>
              </w:rPr>
              <w:t>a</w:t>
            </w:r>
            <w:r>
              <w:rPr>
                <w:b/>
                <w:w w:val="100"/>
                <w:sz w:val="18"/>
              </w:rPr>
              <w:t>do</w:t>
            </w:r>
          </w:p>
        </w:tc>
        <w:tc>
          <w:tcPr>
            <w:tcW w:w="145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49"/>
              <w:ind w:left="52"/>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70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3"/>
              </w:rPr>
            </w:pPr>
          </w:p>
          <w:p>
            <w:pPr>
              <w:pStyle w:val="TableParagraph"/>
              <w:ind w:left="172" w:right="83"/>
              <w:jc w:val="left"/>
              <w:rPr>
                <w:b/>
                <w:sz w:val="18"/>
              </w:rPr>
            </w:pPr>
            <w:r>
              <w:rPr>
                <w:b/>
                <w:w w:val="100"/>
                <w:sz w:val="18"/>
              </w:rPr>
              <w:t>Eje</w:t>
            </w:r>
            <w:r>
              <w:rPr>
                <w:b/>
                <w:w w:val="99"/>
                <w:sz w:val="18"/>
              </w:rPr>
              <w:t>rci</w:t>
            </w:r>
            <w:r>
              <w:rPr>
                <w:b/>
                <w:w w:val="100"/>
                <w:sz w:val="18"/>
              </w:rPr>
              <w:t>do</w:t>
            </w:r>
          </w:p>
        </w:tc>
        <w:tc>
          <w:tcPr>
            <w:tcW w:w="163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0"/>
              </w:rPr>
            </w:pPr>
          </w:p>
          <w:p>
            <w:pPr>
              <w:pStyle w:val="TableParagraph"/>
              <w:ind w:left="57"/>
              <w:jc w:val="left"/>
              <w:rPr>
                <w:b/>
                <w:sz w:val="18"/>
              </w:rPr>
            </w:pPr>
            <w:r>
              <w:rPr>
                <w:b/>
                <w:sz w:val="18"/>
              </w:rPr>
              <w:t>Por </w:t>
            </w:r>
            <w:r>
              <w:rPr>
                <w:b/>
                <w:w w:val="99"/>
                <w:sz w:val="18"/>
              </w:rPr>
              <w:t>e</w:t>
            </w:r>
            <w:r>
              <w:rPr>
                <w:b/>
                <w:w w:val="100"/>
                <w:sz w:val="18"/>
              </w:rPr>
              <w:t>je</w:t>
            </w:r>
            <w:r>
              <w:rPr>
                <w:b/>
                <w:w w:val="99"/>
                <w:sz w:val="18"/>
              </w:rPr>
              <w:t>rcer</w:t>
            </w:r>
          </w:p>
        </w:tc>
      </w:tr>
      <w:tr>
        <w:trPr>
          <w:trHeight w:val="632" w:hRule="exact"/>
        </w:trPr>
        <w:tc>
          <w:tcPr>
            <w:tcW w:w="1940" w:type="dxa"/>
          </w:tcPr>
          <w:p>
            <w:pPr>
              <w:pStyle w:val="TableParagraph"/>
              <w:tabs>
                <w:tab w:pos="1614" w:val="left" w:leader="none"/>
              </w:tabs>
              <w:spacing w:line="362" w:lineRule="auto"/>
              <w:ind w:left="67" w:right="63"/>
              <w:jc w:val="left"/>
              <w:rPr>
                <w:b/>
                <w:sz w:val="18"/>
              </w:rPr>
            </w:pPr>
            <w:r>
              <w:rPr>
                <w:b/>
                <w:color w:val="333333"/>
                <w:sz w:val="18"/>
              </w:rPr>
              <w:t>NAUCALPAN</w:t>
              <w:tab/>
              <w:t>DE JUAREZ</w:t>
            </w:r>
          </w:p>
        </w:tc>
        <w:tc>
          <w:tcPr>
            <w:tcW w:w="1560" w:type="dxa"/>
          </w:tcPr>
          <w:p>
            <w:pPr>
              <w:pStyle w:val="TableParagraph"/>
              <w:spacing w:before="155"/>
              <w:ind w:left="80" w:right="78"/>
              <w:rPr>
                <w:sz w:val="18"/>
              </w:rPr>
            </w:pPr>
            <w:r>
              <w:rPr>
                <w:sz w:val="18"/>
              </w:rPr>
              <w:t>$205,082,820.00</w:t>
            </w:r>
          </w:p>
        </w:tc>
        <w:tc>
          <w:tcPr>
            <w:tcW w:w="1417" w:type="dxa"/>
          </w:tcPr>
          <w:p>
            <w:pPr>
              <w:pStyle w:val="TableParagraph"/>
              <w:spacing w:before="155"/>
              <w:ind w:left="458" w:right="453"/>
              <w:rPr>
                <w:sz w:val="18"/>
              </w:rPr>
            </w:pPr>
            <w:r>
              <w:rPr>
                <w:sz w:val="18"/>
              </w:rPr>
              <w:t>$0.00</w:t>
            </w:r>
          </w:p>
        </w:tc>
        <w:tc>
          <w:tcPr>
            <w:tcW w:w="1632" w:type="dxa"/>
          </w:tcPr>
          <w:p>
            <w:pPr>
              <w:pStyle w:val="TableParagraph"/>
              <w:spacing w:before="155"/>
              <w:ind w:left="116" w:right="111"/>
              <w:rPr>
                <w:sz w:val="18"/>
              </w:rPr>
            </w:pPr>
            <w:r>
              <w:rPr>
                <w:sz w:val="18"/>
              </w:rPr>
              <w:t>$0.00</w:t>
            </w:r>
          </w:p>
        </w:tc>
        <w:tc>
          <w:tcPr>
            <w:tcW w:w="1630" w:type="dxa"/>
          </w:tcPr>
          <w:p>
            <w:pPr>
              <w:pStyle w:val="TableParagraph"/>
              <w:spacing w:before="155"/>
              <w:ind w:left="114" w:right="114"/>
              <w:rPr>
                <w:sz w:val="18"/>
              </w:rPr>
            </w:pPr>
            <w:r>
              <w:rPr>
                <w:sz w:val="18"/>
              </w:rPr>
              <w:t>$205,082,820.00</w:t>
            </w:r>
          </w:p>
        </w:tc>
        <w:tc>
          <w:tcPr>
            <w:tcW w:w="1663" w:type="dxa"/>
          </w:tcPr>
          <w:p>
            <w:pPr>
              <w:pStyle w:val="TableParagraph"/>
              <w:spacing w:before="155"/>
              <w:ind w:left="56" w:right="56"/>
              <w:rPr>
                <w:sz w:val="18"/>
              </w:rPr>
            </w:pPr>
            <w:r>
              <w:rPr>
                <w:sz w:val="18"/>
              </w:rPr>
              <w:t>$148,647,472.00</w:t>
            </w:r>
          </w:p>
        </w:tc>
        <w:tc>
          <w:tcPr>
            <w:tcW w:w="1454" w:type="dxa"/>
          </w:tcPr>
          <w:p>
            <w:pPr>
              <w:pStyle w:val="TableParagraph"/>
              <w:spacing w:before="155"/>
              <w:ind w:left="76" w:right="75"/>
              <w:rPr>
                <w:sz w:val="18"/>
              </w:rPr>
            </w:pPr>
            <w:r>
              <w:rPr>
                <w:sz w:val="18"/>
              </w:rPr>
              <w:t>$0.00</w:t>
            </w:r>
          </w:p>
        </w:tc>
        <w:tc>
          <w:tcPr>
            <w:tcW w:w="1702" w:type="dxa"/>
          </w:tcPr>
          <w:p>
            <w:pPr>
              <w:pStyle w:val="TableParagraph"/>
              <w:spacing w:before="155"/>
              <w:ind w:left="76" w:right="72"/>
              <w:rPr>
                <w:sz w:val="18"/>
              </w:rPr>
            </w:pPr>
            <w:r>
              <w:rPr>
                <w:sz w:val="18"/>
              </w:rPr>
              <w:t>$0.00</w:t>
            </w:r>
          </w:p>
        </w:tc>
        <w:tc>
          <w:tcPr>
            <w:tcW w:w="1632" w:type="dxa"/>
          </w:tcPr>
          <w:p>
            <w:pPr>
              <w:pStyle w:val="TableParagraph"/>
              <w:spacing w:before="155"/>
              <w:ind w:left="116" w:right="114"/>
              <w:rPr>
                <w:sz w:val="18"/>
              </w:rPr>
            </w:pPr>
            <w:r>
              <w:rPr>
                <w:sz w:val="18"/>
              </w:rPr>
              <w:t>$148,647,472.00</w:t>
            </w:r>
          </w:p>
        </w:tc>
      </w:tr>
      <w:tr>
        <w:trPr>
          <w:trHeight w:val="461" w:hRule="exact"/>
        </w:trPr>
        <w:tc>
          <w:tcPr>
            <w:tcW w:w="1940" w:type="dxa"/>
          </w:tcPr>
          <w:p>
            <w:pPr>
              <w:pStyle w:val="TableParagraph"/>
              <w:spacing w:before="64"/>
              <w:ind w:left="67"/>
              <w:jc w:val="left"/>
              <w:rPr>
                <w:b/>
                <w:sz w:val="18"/>
              </w:rPr>
            </w:pPr>
            <w:r>
              <w:rPr>
                <w:b/>
                <w:color w:val="333333"/>
                <w:sz w:val="18"/>
              </w:rPr>
              <w:t>NEXTLALPAN</w:t>
            </w:r>
          </w:p>
        </w:tc>
        <w:tc>
          <w:tcPr>
            <w:tcW w:w="1560" w:type="dxa"/>
          </w:tcPr>
          <w:p>
            <w:pPr>
              <w:pStyle w:val="TableParagraph"/>
              <w:spacing w:before="68"/>
              <w:ind w:left="80" w:right="75"/>
              <w:rPr>
                <w:sz w:val="18"/>
              </w:rPr>
            </w:pPr>
            <w:r>
              <w:rPr>
                <w:sz w:val="18"/>
              </w:rPr>
              <w:t>$0.00</w:t>
            </w:r>
          </w:p>
        </w:tc>
        <w:tc>
          <w:tcPr>
            <w:tcW w:w="1417" w:type="dxa"/>
          </w:tcPr>
          <w:p>
            <w:pPr>
              <w:pStyle w:val="TableParagraph"/>
              <w:spacing w:before="68"/>
              <w:ind w:left="458" w:right="453"/>
              <w:rPr>
                <w:sz w:val="18"/>
              </w:rPr>
            </w:pPr>
            <w:r>
              <w:rPr>
                <w:sz w:val="18"/>
              </w:rPr>
              <w:t>$0.00</w:t>
            </w:r>
          </w:p>
        </w:tc>
        <w:tc>
          <w:tcPr>
            <w:tcW w:w="1632" w:type="dxa"/>
          </w:tcPr>
          <w:p>
            <w:pPr>
              <w:pStyle w:val="TableParagraph"/>
              <w:spacing w:before="68"/>
              <w:ind w:left="116" w:right="111"/>
              <w:rPr>
                <w:sz w:val="18"/>
              </w:rPr>
            </w:pPr>
            <w:r>
              <w:rPr>
                <w:sz w:val="18"/>
              </w:rPr>
              <w:t>$0.00</w:t>
            </w:r>
          </w:p>
        </w:tc>
        <w:tc>
          <w:tcPr>
            <w:tcW w:w="1630" w:type="dxa"/>
          </w:tcPr>
          <w:p>
            <w:pPr>
              <w:pStyle w:val="TableParagraph"/>
              <w:spacing w:before="68"/>
              <w:ind w:left="114" w:right="111"/>
              <w:rPr>
                <w:sz w:val="18"/>
              </w:rPr>
            </w:pPr>
            <w:r>
              <w:rPr>
                <w:sz w:val="18"/>
              </w:rPr>
              <w:t>$0.00</w:t>
            </w:r>
          </w:p>
        </w:tc>
        <w:tc>
          <w:tcPr>
            <w:tcW w:w="1663" w:type="dxa"/>
          </w:tcPr>
          <w:p>
            <w:pPr>
              <w:pStyle w:val="TableParagraph"/>
              <w:spacing w:before="68"/>
              <w:ind w:left="55" w:right="56"/>
              <w:rPr>
                <w:sz w:val="18"/>
              </w:rPr>
            </w:pPr>
            <w:r>
              <w:rPr>
                <w:sz w:val="18"/>
              </w:rPr>
              <w:t>$0.00</w:t>
            </w:r>
          </w:p>
        </w:tc>
        <w:tc>
          <w:tcPr>
            <w:tcW w:w="1454" w:type="dxa"/>
          </w:tcPr>
          <w:p>
            <w:pPr>
              <w:pStyle w:val="TableParagraph"/>
              <w:spacing w:before="68"/>
              <w:ind w:left="76" w:right="75"/>
              <w:rPr>
                <w:sz w:val="18"/>
              </w:rPr>
            </w:pPr>
            <w:r>
              <w:rPr>
                <w:sz w:val="18"/>
              </w:rPr>
              <w:t>$0.00</w:t>
            </w:r>
          </w:p>
        </w:tc>
        <w:tc>
          <w:tcPr>
            <w:tcW w:w="1702" w:type="dxa"/>
          </w:tcPr>
          <w:p>
            <w:pPr>
              <w:pStyle w:val="TableParagraph"/>
              <w:spacing w:before="68"/>
              <w:ind w:left="76" w:right="72"/>
              <w:rPr>
                <w:sz w:val="18"/>
              </w:rPr>
            </w:pPr>
            <w:r>
              <w:rPr>
                <w:sz w:val="18"/>
              </w:rPr>
              <w:t>$0.00</w:t>
            </w:r>
          </w:p>
        </w:tc>
        <w:tc>
          <w:tcPr>
            <w:tcW w:w="1632" w:type="dxa"/>
          </w:tcPr>
          <w:p>
            <w:pPr>
              <w:pStyle w:val="TableParagraph"/>
              <w:spacing w:before="68"/>
              <w:ind w:left="116" w:right="111"/>
              <w:rPr>
                <w:sz w:val="18"/>
              </w:rPr>
            </w:pPr>
            <w:r>
              <w:rPr>
                <w:sz w:val="18"/>
              </w:rPr>
              <w:t>$0.00</w:t>
            </w:r>
          </w:p>
        </w:tc>
      </w:tr>
      <w:tr>
        <w:trPr>
          <w:trHeight w:val="458" w:hRule="exact"/>
        </w:trPr>
        <w:tc>
          <w:tcPr>
            <w:tcW w:w="1940" w:type="dxa"/>
          </w:tcPr>
          <w:p>
            <w:pPr>
              <w:pStyle w:val="TableParagraph"/>
              <w:spacing w:before="64"/>
              <w:ind w:left="67"/>
              <w:jc w:val="left"/>
              <w:rPr>
                <w:b/>
                <w:sz w:val="18"/>
              </w:rPr>
            </w:pPr>
            <w:r>
              <w:rPr>
                <w:b/>
                <w:color w:val="333333"/>
                <w:sz w:val="18"/>
              </w:rPr>
              <w:t>NEZAHUALCOYOTL</w:t>
            </w:r>
          </w:p>
        </w:tc>
        <w:tc>
          <w:tcPr>
            <w:tcW w:w="1560" w:type="dxa"/>
          </w:tcPr>
          <w:p>
            <w:pPr>
              <w:pStyle w:val="TableParagraph"/>
              <w:spacing w:before="68"/>
              <w:ind w:left="80" w:right="75"/>
              <w:rPr>
                <w:sz w:val="18"/>
              </w:rPr>
            </w:pPr>
            <w:r>
              <w:rPr>
                <w:sz w:val="18"/>
              </w:rPr>
              <w:t>$0.00</w:t>
            </w:r>
          </w:p>
        </w:tc>
        <w:tc>
          <w:tcPr>
            <w:tcW w:w="1417" w:type="dxa"/>
          </w:tcPr>
          <w:p>
            <w:pPr>
              <w:pStyle w:val="TableParagraph"/>
              <w:spacing w:before="68"/>
              <w:ind w:left="458" w:right="453"/>
              <w:rPr>
                <w:sz w:val="18"/>
              </w:rPr>
            </w:pPr>
            <w:r>
              <w:rPr>
                <w:sz w:val="18"/>
              </w:rPr>
              <w:t>$0.00</w:t>
            </w:r>
          </w:p>
        </w:tc>
        <w:tc>
          <w:tcPr>
            <w:tcW w:w="1632" w:type="dxa"/>
          </w:tcPr>
          <w:p>
            <w:pPr>
              <w:pStyle w:val="TableParagraph"/>
              <w:spacing w:before="68"/>
              <w:ind w:left="116" w:right="111"/>
              <w:rPr>
                <w:sz w:val="18"/>
              </w:rPr>
            </w:pPr>
            <w:r>
              <w:rPr>
                <w:sz w:val="18"/>
              </w:rPr>
              <w:t>$0.00</w:t>
            </w:r>
          </w:p>
        </w:tc>
        <w:tc>
          <w:tcPr>
            <w:tcW w:w="1630" w:type="dxa"/>
          </w:tcPr>
          <w:p>
            <w:pPr>
              <w:pStyle w:val="TableParagraph"/>
              <w:spacing w:before="68"/>
              <w:ind w:left="114" w:right="111"/>
              <w:rPr>
                <w:sz w:val="18"/>
              </w:rPr>
            </w:pPr>
            <w:r>
              <w:rPr>
                <w:sz w:val="18"/>
              </w:rPr>
              <w:t>$0.00</w:t>
            </w:r>
          </w:p>
        </w:tc>
        <w:tc>
          <w:tcPr>
            <w:tcW w:w="1663" w:type="dxa"/>
          </w:tcPr>
          <w:p>
            <w:pPr>
              <w:pStyle w:val="TableParagraph"/>
              <w:spacing w:before="68"/>
              <w:ind w:left="56" w:right="56"/>
              <w:rPr>
                <w:sz w:val="18"/>
              </w:rPr>
            </w:pPr>
            <w:r>
              <w:rPr>
                <w:sz w:val="18"/>
              </w:rPr>
              <w:t>$2,833,963,749.20</w:t>
            </w:r>
          </w:p>
        </w:tc>
        <w:tc>
          <w:tcPr>
            <w:tcW w:w="1454" w:type="dxa"/>
          </w:tcPr>
          <w:p>
            <w:pPr>
              <w:pStyle w:val="TableParagraph"/>
              <w:spacing w:before="68"/>
              <w:ind w:left="76" w:right="75"/>
              <w:rPr>
                <w:sz w:val="18"/>
              </w:rPr>
            </w:pPr>
            <w:r>
              <w:rPr>
                <w:sz w:val="18"/>
              </w:rPr>
              <w:t>$0.00</w:t>
            </w:r>
          </w:p>
        </w:tc>
        <w:tc>
          <w:tcPr>
            <w:tcW w:w="1702" w:type="dxa"/>
          </w:tcPr>
          <w:p>
            <w:pPr>
              <w:pStyle w:val="TableParagraph"/>
              <w:spacing w:before="68"/>
              <w:ind w:left="76" w:right="74"/>
              <w:rPr>
                <w:sz w:val="18"/>
              </w:rPr>
            </w:pPr>
            <w:r>
              <w:rPr>
                <w:sz w:val="18"/>
              </w:rPr>
              <w:t>$2,700,229,663.00</w:t>
            </w:r>
          </w:p>
        </w:tc>
        <w:tc>
          <w:tcPr>
            <w:tcW w:w="1632" w:type="dxa"/>
          </w:tcPr>
          <w:p>
            <w:pPr>
              <w:pStyle w:val="TableParagraph"/>
              <w:spacing w:before="68"/>
              <w:ind w:left="116" w:right="114"/>
              <w:rPr>
                <w:sz w:val="18"/>
              </w:rPr>
            </w:pPr>
            <w:r>
              <w:rPr>
                <w:sz w:val="18"/>
              </w:rPr>
              <w:t>$133,734,086.20</w:t>
            </w:r>
          </w:p>
        </w:tc>
      </w:tr>
      <w:tr>
        <w:trPr>
          <w:trHeight w:val="461" w:hRule="exact"/>
        </w:trPr>
        <w:tc>
          <w:tcPr>
            <w:tcW w:w="1940" w:type="dxa"/>
          </w:tcPr>
          <w:p>
            <w:pPr>
              <w:pStyle w:val="TableParagraph"/>
              <w:spacing w:before="66"/>
              <w:ind w:left="67"/>
              <w:jc w:val="left"/>
              <w:rPr>
                <w:b/>
                <w:sz w:val="18"/>
              </w:rPr>
            </w:pPr>
            <w:r>
              <w:rPr>
                <w:b/>
                <w:color w:val="333333"/>
                <w:sz w:val="18"/>
              </w:rPr>
              <w:t>NICOLAS ROMERO</w:t>
            </w:r>
          </w:p>
        </w:tc>
        <w:tc>
          <w:tcPr>
            <w:tcW w:w="1560" w:type="dxa"/>
          </w:tcPr>
          <w:p>
            <w:pPr>
              <w:pStyle w:val="TableParagraph"/>
              <w:spacing w:before="71"/>
              <w:ind w:left="80" w:right="78"/>
              <w:rPr>
                <w:sz w:val="18"/>
              </w:rPr>
            </w:pPr>
            <w:r>
              <w:rPr>
                <w:sz w:val="18"/>
              </w:rPr>
              <w:t>$685,091,044.76</w:t>
            </w:r>
          </w:p>
        </w:tc>
        <w:tc>
          <w:tcPr>
            <w:tcW w:w="1417" w:type="dxa"/>
          </w:tcPr>
          <w:p>
            <w:pPr>
              <w:pStyle w:val="TableParagraph"/>
              <w:spacing w:before="71"/>
              <w:ind w:left="458" w:right="453"/>
              <w:rPr>
                <w:sz w:val="18"/>
              </w:rPr>
            </w:pPr>
            <w:r>
              <w:rPr>
                <w:sz w:val="18"/>
              </w:rPr>
              <w:t>$0.00</w:t>
            </w:r>
          </w:p>
        </w:tc>
        <w:tc>
          <w:tcPr>
            <w:tcW w:w="1632" w:type="dxa"/>
          </w:tcPr>
          <w:p>
            <w:pPr>
              <w:pStyle w:val="TableParagraph"/>
              <w:spacing w:before="71"/>
              <w:ind w:left="116" w:right="110"/>
              <w:rPr>
                <w:sz w:val="18"/>
              </w:rPr>
            </w:pPr>
            <w:r>
              <w:rPr>
                <w:sz w:val="18"/>
              </w:rPr>
              <w:t>$0.00</w:t>
            </w:r>
          </w:p>
        </w:tc>
        <w:tc>
          <w:tcPr>
            <w:tcW w:w="1630" w:type="dxa"/>
          </w:tcPr>
          <w:p>
            <w:pPr>
              <w:pStyle w:val="TableParagraph"/>
              <w:spacing w:before="71"/>
              <w:ind w:left="114" w:right="114"/>
              <w:rPr>
                <w:sz w:val="18"/>
              </w:rPr>
            </w:pPr>
            <w:r>
              <w:rPr>
                <w:sz w:val="18"/>
              </w:rPr>
              <w:t>$685,091,044.76</w:t>
            </w:r>
          </w:p>
        </w:tc>
        <w:tc>
          <w:tcPr>
            <w:tcW w:w="1663" w:type="dxa"/>
          </w:tcPr>
          <w:p>
            <w:pPr>
              <w:pStyle w:val="TableParagraph"/>
              <w:spacing w:before="71"/>
              <w:ind w:left="56" w:right="56"/>
              <w:rPr>
                <w:sz w:val="18"/>
              </w:rPr>
            </w:pPr>
            <w:r>
              <w:rPr>
                <w:sz w:val="18"/>
              </w:rPr>
              <w:t>$851,729,217.28</w:t>
            </w:r>
          </w:p>
        </w:tc>
        <w:tc>
          <w:tcPr>
            <w:tcW w:w="1454" w:type="dxa"/>
          </w:tcPr>
          <w:p>
            <w:pPr>
              <w:pStyle w:val="TableParagraph"/>
              <w:spacing w:before="71"/>
              <w:ind w:left="76" w:right="75"/>
              <w:rPr>
                <w:sz w:val="18"/>
              </w:rPr>
            </w:pPr>
            <w:r>
              <w:rPr>
                <w:sz w:val="18"/>
              </w:rPr>
              <w:t>$0.00</w:t>
            </w:r>
          </w:p>
        </w:tc>
        <w:tc>
          <w:tcPr>
            <w:tcW w:w="1702" w:type="dxa"/>
          </w:tcPr>
          <w:p>
            <w:pPr>
              <w:pStyle w:val="TableParagraph"/>
              <w:spacing w:before="71"/>
              <w:ind w:left="74" w:right="74"/>
              <w:rPr>
                <w:sz w:val="18"/>
              </w:rPr>
            </w:pPr>
            <w:r>
              <w:rPr>
                <w:sz w:val="18"/>
              </w:rPr>
              <w:t>$660,962,674.75</w:t>
            </w:r>
          </w:p>
        </w:tc>
        <w:tc>
          <w:tcPr>
            <w:tcW w:w="1632" w:type="dxa"/>
          </w:tcPr>
          <w:p>
            <w:pPr>
              <w:pStyle w:val="TableParagraph"/>
              <w:spacing w:before="71"/>
              <w:ind w:left="116" w:right="114"/>
              <w:rPr>
                <w:sz w:val="18"/>
              </w:rPr>
            </w:pPr>
            <w:r>
              <w:rPr>
                <w:sz w:val="18"/>
              </w:rPr>
              <w:t>$190,766,542.53</w:t>
            </w:r>
          </w:p>
        </w:tc>
      </w:tr>
      <w:tr>
        <w:trPr>
          <w:trHeight w:val="461" w:hRule="exact"/>
        </w:trPr>
        <w:tc>
          <w:tcPr>
            <w:tcW w:w="1940" w:type="dxa"/>
          </w:tcPr>
          <w:p>
            <w:pPr>
              <w:pStyle w:val="TableParagraph"/>
              <w:spacing w:before="64"/>
              <w:ind w:left="67"/>
              <w:jc w:val="left"/>
              <w:rPr>
                <w:b/>
                <w:sz w:val="18"/>
              </w:rPr>
            </w:pPr>
            <w:r>
              <w:rPr>
                <w:b/>
                <w:color w:val="333333"/>
                <w:sz w:val="18"/>
              </w:rPr>
              <w:t>NOPALTEPEC</w:t>
            </w:r>
          </w:p>
        </w:tc>
        <w:tc>
          <w:tcPr>
            <w:tcW w:w="1560" w:type="dxa"/>
          </w:tcPr>
          <w:p>
            <w:pPr>
              <w:pStyle w:val="TableParagraph"/>
              <w:spacing w:before="68"/>
              <w:ind w:left="80" w:right="75"/>
              <w:rPr>
                <w:sz w:val="18"/>
              </w:rPr>
            </w:pPr>
            <w:r>
              <w:rPr>
                <w:sz w:val="18"/>
              </w:rPr>
              <w:t>$0.00</w:t>
            </w:r>
          </w:p>
        </w:tc>
        <w:tc>
          <w:tcPr>
            <w:tcW w:w="1417" w:type="dxa"/>
          </w:tcPr>
          <w:p>
            <w:pPr>
              <w:pStyle w:val="TableParagraph"/>
              <w:spacing w:before="68"/>
              <w:ind w:left="458" w:right="453"/>
              <w:rPr>
                <w:sz w:val="18"/>
              </w:rPr>
            </w:pPr>
            <w:r>
              <w:rPr>
                <w:sz w:val="18"/>
              </w:rPr>
              <w:t>$0.00</w:t>
            </w:r>
          </w:p>
        </w:tc>
        <w:tc>
          <w:tcPr>
            <w:tcW w:w="1632" w:type="dxa"/>
          </w:tcPr>
          <w:p>
            <w:pPr>
              <w:pStyle w:val="TableParagraph"/>
              <w:spacing w:before="68"/>
              <w:ind w:left="116" w:right="111"/>
              <w:rPr>
                <w:sz w:val="18"/>
              </w:rPr>
            </w:pPr>
            <w:r>
              <w:rPr>
                <w:sz w:val="18"/>
              </w:rPr>
              <w:t>$0.00</w:t>
            </w:r>
          </w:p>
        </w:tc>
        <w:tc>
          <w:tcPr>
            <w:tcW w:w="1630" w:type="dxa"/>
          </w:tcPr>
          <w:p>
            <w:pPr>
              <w:pStyle w:val="TableParagraph"/>
              <w:spacing w:before="68"/>
              <w:ind w:left="114" w:right="111"/>
              <w:rPr>
                <w:sz w:val="18"/>
              </w:rPr>
            </w:pPr>
            <w:r>
              <w:rPr>
                <w:sz w:val="18"/>
              </w:rPr>
              <w:t>$0.00</w:t>
            </w:r>
          </w:p>
        </w:tc>
        <w:tc>
          <w:tcPr>
            <w:tcW w:w="1663" w:type="dxa"/>
          </w:tcPr>
          <w:p>
            <w:pPr>
              <w:pStyle w:val="TableParagraph"/>
              <w:spacing w:before="68"/>
              <w:ind w:left="55" w:right="56"/>
              <w:rPr>
                <w:sz w:val="18"/>
              </w:rPr>
            </w:pPr>
            <w:r>
              <w:rPr>
                <w:sz w:val="18"/>
              </w:rPr>
              <w:t>$0.00</w:t>
            </w:r>
          </w:p>
        </w:tc>
        <w:tc>
          <w:tcPr>
            <w:tcW w:w="1454" w:type="dxa"/>
          </w:tcPr>
          <w:p>
            <w:pPr>
              <w:pStyle w:val="TableParagraph"/>
              <w:spacing w:before="68"/>
              <w:ind w:left="76" w:right="75"/>
              <w:rPr>
                <w:sz w:val="18"/>
              </w:rPr>
            </w:pPr>
            <w:r>
              <w:rPr>
                <w:sz w:val="18"/>
              </w:rPr>
              <w:t>$0.00</w:t>
            </w:r>
          </w:p>
        </w:tc>
        <w:tc>
          <w:tcPr>
            <w:tcW w:w="1702" w:type="dxa"/>
          </w:tcPr>
          <w:p>
            <w:pPr>
              <w:pStyle w:val="TableParagraph"/>
              <w:spacing w:before="68"/>
              <w:ind w:left="76" w:right="72"/>
              <w:rPr>
                <w:sz w:val="18"/>
              </w:rPr>
            </w:pPr>
            <w:r>
              <w:rPr>
                <w:sz w:val="18"/>
              </w:rPr>
              <w:t>$0.00</w:t>
            </w:r>
          </w:p>
        </w:tc>
        <w:tc>
          <w:tcPr>
            <w:tcW w:w="1632" w:type="dxa"/>
          </w:tcPr>
          <w:p>
            <w:pPr>
              <w:pStyle w:val="TableParagraph"/>
              <w:spacing w:before="68"/>
              <w:ind w:left="116" w:right="111"/>
              <w:rPr>
                <w:sz w:val="18"/>
              </w:rPr>
            </w:pPr>
            <w:r>
              <w:rPr>
                <w:sz w:val="18"/>
              </w:rPr>
              <w:t>$0.00</w:t>
            </w:r>
          </w:p>
        </w:tc>
      </w:tr>
      <w:tr>
        <w:trPr>
          <w:trHeight w:val="458" w:hRule="exact"/>
        </w:trPr>
        <w:tc>
          <w:tcPr>
            <w:tcW w:w="1940" w:type="dxa"/>
          </w:tcPr>
          <w:p>
            <w:pPr>
              <w:pStyle w:val="TableParagraph"/>
              <w:spacing w:before="64"/>
              <w:ind w:left="67"/>
              <w:jc w:val="left"/>
              <w:rPr>
                <w:b/>
                <w:sz w:val="18"/>
              </w:rPr>
            </w:pPr>
            <w:r>
              <w:rPr>
                <w:b/>
                <w:color w:val="333333"/>
                <w:sz w:val="18"/>
              </w:rPr>
              <w:t>OCOYOACAC</w:t>
            </w:r>
          </w:p>
        </w:tc>
        <w:tc>
          <w:tcPr>
            <w:tcW w:w="1560" w:type="dxa"/>
          </w:tcPr>
          <w:p>
            <w:pPr>
              <w:pStyle w:val="TableParagraph"/>
              <w:spacing w:before="68"/>
              <w:ind w:left="80" w:right="75"/>
              <w:rPr>
                <w:sz w:val="18"/>
              </w:rPr>
            </w:pPr>
            <w:r>
              <w:rPr>
                <w:sz w:val="18"/>
              </w:rPr>
              <w:t>$0.00</w:t>
            </w:r>
          </w:p>
        </w:tc>
        <w:tc>
          <w:tcPr>
            <w:tcW w:w="1417" w:type="dxa"/>
          </w:tcPr>
          <w:p>
            <w:pPr>
              <w:pStyle w:val="TableParagraph"/>
              <w:spacing w:before="68"/>
              <w:ind w:left="458" w:right="453"/>
              <w:rPr>
                <w:sz w:val="18"/>
              </w:rPr>
            </w:pPr>
            <w:r>
              <w:rPr>
                <w:sz w:val="18"/>
              </w:rPr>
              <w:t>$0.00</w:t>
            </w:r>
          </w:p>
        </w:tc>
        <w:tc>
          <w:tcPr>
            <w:tcW w:w="1632" w:type="dxa"/>
          </w:tcPr>
          <w:p>
            <w:pPr>
              <w:pStyle w:val="TableParagraph"/>
              <w:spacing w:before="68"/>
              <w:ind w:left="116" w:right="111"/>
              <w:rPr>
                <w:sz w:val="18"/>
              </w:rPr>
            </w:pPr>
            <w:r>
              <w:rPr>
                <w:sz w:val="18"/>
              </w:rPr>
              <w:t>$0.00</w:t>
            </w:r>
          </w:p>
        </w:tc>
        <w:tc>
          <w:tcPr>
            <w:tcW w:w="1630" w:type="dxa"/>
          </w:tcPr>
          <w:p>
            <w:pPr>
              <w:pStyle w:val="TableParagraph"/>
              <w:spacing w:before="68"/>
              <w:ind w:left="114" w:right="111"/>
              <w:rPr>
                <w:sz w:val="18"/>
              </w:rPr>
            </w:pPr>
            <w:r>
              <w:rPr>
                <w:sz w:val="18"/>
              </w:rPr>
              <w:t>$0.00</w:t>
            </w:r>
          </w:p>
        </w:tc>
        <w:tc>
          <w:tcPr>
            <w:tcW w:w="1663" w:type="dxa"/>
          </w:tcPr>
          <w:p>
            <w:pPr>
              <w:pStyle w:val="TableParagraph"/>
              <w:spacing w:before="68"/>
              <w:ind w:left="55" w:right="56"/>
              <w:rPr>
                <w:sz w:val="18"/>
              </w:rPr>
            </w:pPr>
            <w:r>
              <w:rPr>
                <w:sz w:val="18"/>
              </w:rPr>
              <w:t>$0.00</w:t>
            </w:r>
          </w:p>
        </w:tc>
        <w:tc>
          <w:tcPr>
            <w:tcW w:w="1454" w:type="dxa"/>
          </w:tcPr>
          <w:p>
            <w:pPr>
              <w:pStyle w:val="TableParagraph"/>
              <w:spacing w:before="68"/>
              <w:ind w:left="76" w:right="75"/>
              <w:rPr>
                <w:sz w:val="18"/>
              </w:rPr>
            </w:pPr>
            <w:r>
              <w:rPr>
                <w:sz w:val="18"/>
              </w:rPr>
              <w:t>$0.00</w:t>
            </w:r>
          </w:p>
        </w:tc>
        <w:tc>
          <w:tcPr>
            <w:tcW w:w="1702" w:type="dxa"/>
          </w:tcPr>
          <w:p>
            <w:pPr>
              <w:pStyle w:val="TableParagraph"/>
              <w:spacing w:before="68"/>
              <w:ind w:left="76" w:right="72"/>
              <w:rPr>
                <w:sz w:val="18"/>
              </w:rPr>
            </w:pPr>
            <w:r>
              <w:rPr>
                <w:sz w:val="18"/>
              </w:rPr>
              <w:t>$0.00</w:t>
            </w:r>
          </w:p>
        </w:tc>
        <w:tc>
          <w:tcPr>
            <w:tcW w:w="1632" w:type="dxa"/>
          </w:tcPr>
          <w:p>
            <w:pPr>
              <w:pStyle w:val="TableParagraph"/>
              <w:spacing w:before="68"/>
              <w:ind w:left="116" w:right="111"/>
              <w:rPr>
                <w:sz w:val="18"/>
              </w:rPr>
            </w:pPr>
            <w:r>
              <w:rPr>
                <w:sz w:val="18"/>
              </w:rPr>
              <w:t>$0.00</w:t>
            </w:r>
          </w:p>
        </w:tc>
      </w:tr>
      <w:tr>
        <w:trPr>
          <w:trHeight w:val="456" w:hRule="exact"/>
        </w:trPr>
        <w:tc>
          <w:tcPr>
            <w:tcW w:w="1940" w:type="dxa"/>
          </w:tcPr>
          <w:p>
            <w:pPr>
              <w:pStyle w:val="TableParagraph"/>
              <w:spacing w:before="64"/>
              <w:ind w:left="67"/>
              <w:jc w:val="left"/>
              <w:rPr>
                <w:b/>
                <w:sz w:val="18"/>
              </w:rPr>
            </w:pPr>
            <w:r>
              <w:rPr>
                <w:b/>
                <w:color w:val="333333"/>
                <w:sz w:val="18"/>
              </w:rPr>
              <w:t>OCUILAN</w:t>
            </w:r>
          </w:p>
        </w:tc>
        <w:tc>
          <w:tcPr>
            <w:tcW w:w="1560" w:type="dxa"/>
          </w:tcPr>
          <w:p>
            <w:pPr>
              <w:pStyle w:val="TableParagraph"/>
              <w:spacing w:before="69"/>
              <w:ind w:left="80" w:right="75"/>
              <w:rPr>
                <w:sz w:val="18"/>
              </w:rPr>
            </w:pPr>
            <w:r>
              <w:rPr>
                <w:sz w:val="18"/>
              </w:rPr>
              <w:t>$0.00</w:t>
            </w:r>
          </w:p>
        </w:tc>
        <w:tc>
          <w:tcPr>
            <w:tcW w:w="1417" w:type="dxa"/>
          </w:tcPr>
          <w:p>
            <w:pPr>
              <w:pStyle w:val="TableParagraph"/>
              <w:spacing w:before="69"/>
              <w:ind w:left="458" w:right="453"/>
              <w:rPr>
                <w:sz w:val="18"/>
              </w:rPr>
            </w:pPr>
            <w:r>
              <w:rPr>
                <w:sz w:val="18"/>
              </w:rPr>
              <w:t>$0.00</w:t>
            </w:r>
          </w:p>
        </w:tc>
        <w:tc>
          <w:tcPr>
            <w:tcW w:w="1632" w:type="dxa"/>
          </w:tcPr>
          <w:p>
            <w:pPr>
              <w:pStyle w:val="TableParagraph"/>
              <w:spacing w:before="69"/>
              <w:ind w:left="116" w:right="111"/>
              <w:rPr>
                <w:sz w:val="18"/>
              </w:rPr>
            </w:pPr>
            <w:r>
              <w:rPr>
                <w:sz w:val="18"/>
              </w:rPr>
              <w:t>$0.00</w:t>
            </w:r>
          </w:p>
        </w:tc>
        <w:tc>
          <w:tcPr>
            <w:tcW w:w="1630" w:type="dxa"/>
          </w:tcPr>
          <w:p>
            <w:pPr>
              <w:pStyle w:val="TableParagraph"/>
              <w:spacing w:before="69"/>
              <w:ind w:left="114" w:right="111"/>
              <w:rPr>
                <w:sz w:val="18"/>
              </w:rPr>
            </w:pPr>
            <w:r>
              <w:rPr>
                <w:sz w:val="18"/>
              </w:rPr>
              <w:t>$0.00</w:t>
            </w:r>
          </w:p>
        </w:tc>
        <w:tc>
          <w:tcPr>
            <w:tcW w:w="1663" w:type="dxa"/>
          </w:tcPr>
          <w:p>
            <w:pPr>
              <w:pStyle w:val="TableParagraph"/>
              <w:spacing w:before="69"/>
              <w:ind w:left="55" w:right="56"/>
              <w:rPr>
                <w:sz w:val="18"/>
              </w:rPr>
            </w:pPr>
            <w:r>
              <w:rPr>
                <w:sz w:val="18"/>
              </w:rPr>
              <w:t>$0.00</w:t>
            </w:r>
          </w:p>
        </w:tc>
        <w:tc>
          <w:tcPr>
            <w:tcW w:w="1454" w:type="dxa"/>
          </w:tcPr>
          <w:p>
            <w:pPr>
              <w:pStyle w:val="TableParagraph"/>
              <w:spacing w:before="69"/>
              <w:ind w:left="76" w:right="75"/>
              <w:rPr>
                <w:sz w:val="18"/>
              </w:rPr>
            </w:pPr>
            <w:r>
              <w:rPr>
                <w:sz w:val="18"/>
              </w:rPr>
              <w:t>$0.00</w:t>
            </w:r>
          </w:p>
        </w:tc>
        <w:tc>
          <w:tcPr>
            <w:tcW w:w="1702" w:type="dxa"/>
          </w:tcPr>
          <w:p>
            <w:pPr>
              <w:pStyle w:val="TableParagraph"/>
              <w:spacing w:before="69"/>
              <w:ind w:left="76" w:right="72"/>
              <w:rPr>
                <w:sz w:val="18"/>
              </w:rPr>
            </w:pPr>
            <w:r>
              <w:rPr>
                <w:sz w:val="18"/>
              </w:rPr>
              <w:t>$0.00</w:t>
            </w:r>
          </w:p>
        </w:tc>
        <w:tc>
          <w:tcPr>
            <w:tcW w:w="1632" w:type="dxa"/>
          </w:tcPr>
          <w:p>
            <w:pPr>
              <w:pStyle w:val="TableParagraph"/>
              <w:spacing w:before="69"/>
              <w:ind w:left="116" w:right="111"/>
              <w:rPr>
                <w:sz w:val="18"/>
              </w:rPr>
            </w:pPr>
            <w:r>
              <w:rPr>
                <w:sz w:val="18"/>
              </w:rPr>
              <w:t>$0.00</w:t>
            </w:r>
          </w:p>
        </w:tc>
      </w:tr>
      <w:tr>
        <w:trPr>
          <w:trHeight w:val="322" w:hRule="exact"/>
        </w:trPr>
        <w:tc>
          <w:tcPr>
            <w:tcW w:w="1940" w:type="dxa"/>
          </w:tcPr>
          <w:p>
            <w:pPr>
              <w:pStyle w:val="TableParagraph"/>
              <w:spacing w:line="201" w:lineRule="exact"/>
              <w:ind w:left="67"/>
              <w:jc w:val="left"/>
              <w:rPr>
                <w:b/>
                <w:sz w:val="18"/>
              </w:rPr>
            </w:pPr>
            <w:r>
              <w:rPr>
                <w:b/>
                <w:color w:val="333333"/>
                <w:sz w:val="18"/>
              </w:rPr>
              <w:t>OTUMBA</w:t>
            </w:r>
          </w:p>
        </w:tc>
        <w:tc>
          <w:tcPr>
            <w:tcW w:w="1560" w:type="dxa"/>
          </w:tcPr>
          <w:p>
            <w:pPr>
              <w:pStyle w:val="TableParagraph"/>
              <w:spacing w:line="206" w:lineRule="exact"/>
              <w:ind w:left="80" w:right="75"/>
              <w:rPr>
                <w:sz w:val="18"/>
              </w:rPr>
            </w:pPr>
            <w:r>
              <w:rPr>
                <w:sz w:val="18"/>
              </w:rPr>
              <w:t>$0.00</w:t>
            </w:r>
          </w:p>
        </w:tc>
        <w:tc>
          <w:tcPr>
            <w:tcW w:w="1417" w:type="dxa"/>
          </w:tcPr>
          <w:p>
            <w:pPr>
              <w:pStyle w:val="TableParagraph"/>
              <w:spacing w:line="206" w:lineRule="exact"/>
              <w:ind w:left="458" w:right="453"/>
              <w:rPr>
                <w:sz w:val="18"/>
              </w:rPr>
            </w:pPr>
            <w:r>
              <w:rPr>
                <w:sz w:val="18"/>
              </w:rPr>
              <w:t>$0.00</w:t>
            </w:r>
          </w:p>
        </w:tc>
        <w:tc>
          <w:tcPr>
            <w:tcW w:w="1632" w:type="dxa"/>
          </w:tcPr>
          <w:p>
            <w:pPr>
              <w:pStyle w:val="TableParagraph"/>
              <w:spacing w:line="206" w:lineRule="exact"/>
              <w:ind w:left="116" w:right="111"/>
              <w:rPr>
                <w:sz w:val="18"/>
              </w:rPr>
            </w:pPr>
            <w:r>
              <w:rPr>
                <w:sz w:val="18"/>
              </w:rPr>
              <w:t>$0.00</w:t>
            </w:r>
          </w:p>
        </w:tc>
        <w:tc>
          <w:tcPr>
            <w:tcW w:w="1630" w:type="dxa"/>
          </w:tcPr>
          <w:p>
            <w:pPr>
              <w:pStyle w:val="TableParagraph"/>
              <w:spacing w:line="206" w:lineRule="exact"/>
              <w:ind w:left="114" w:right="111"/>
              <w:rPr>
                <w:sz w:val="18"/>
              </w:rPr>
            </w:pPr>
            <w:r>
              <w:rPr>
                <w:sz w:val="18"/>
              </w:rPr>
              <w:t>$0.00</w:t>
            </w:r>
          </w:p>
        </w:tc>
        <w:tc>
          <w:tcPr>
            <w:tcW w:w="1663" w:type="dxa"/>
          </w:tcPr>
          <w:p>
            <w:pPr>
              <w:pStyle w:val="TableParagraph"/>
              <w:spacing w:line="206" w:lineRule="exact"/>
              <w:ind w:left="55" w:right="56"/>
              <w:rPr>
                <w:sz w:val="18"/>
              </w:rPr>
            </w:pPr>
            <w:r>
              <w:rPr>
                <w:sz w:val="18"/>
              </w:rPr>
              <w:t>$0.00</w:t>
            </w:r>
          </w:p>
        </w:tc>
        <w:tc>
          <w:tcPr>
            <w:tcW w:w="1454" w:type="dxa"/>
          </w:tcPr>
          <w:p>
            <w:pPr>
              <w:pStyle w:val="TableParagraph"/>
              <w:spacing w:line="206" w:lineRule="exact"/>
              <w:ind w:left="76" w:right="75"/>
              <w:rPr>
                <w:sz w:val="18"/>
              </w:rPr>
            </w:pPr>
            <w:r>
              <w:rPr>
                <w:sz w:val="18"/>
              </w:rPr>
              <w:t>$0.00</w:t>
            </w:r>
          </w:p>
        </w:tc>
        <w:tc>
          <w:tcPr>
            <w:tcW w:w="1702" w:type="dxa"/>
          </w:tcPr>
          <w:p>
            <w:pPr>
              <w:pStyle w:val="TableParagraph"/>
              <w:spacing w:line="206" w:lineRule="exact"/>
              <w:ind w:left="76" w:right="72"/>
              <w:rPr>
                <w:sz w:val="18"/>
              </w:rPr>
            </w:pPr>
            <w:r>
              <w:rPr>
                <w:sz w:val="18"/>
              </w:rPr>
              <w:t>$0.00</w:t>
            </w:r>
          </w:p>
        </w:tc>
        <w:tc>
          <w:tcPr>
            <w:tcW w:w="1632" w:type="dxa"/>
          </w:tcPr>
          <w:p>
            <w:pPr>
              <w:pStyle w:val="TableParagraph"/>
              <w:spacing w:line="206" w:lineRule="exact"/>
              <w:ind w:left="116" w:right="111"/>
              <w:rPr>
                <w:sz w:val="18"/>
              </w:rPr>
            </w:pPr>
            <w:r>
              <w:rPr>
                <w:sz w:val="18"/>
              </w:rPr>
              <w:t>$0.00</w:t>
            </w:r>
          </w:p>
        </w:tc>
      </w:tr>
      <w:tr>
        <w:trPr>
          <w:trHeight w:val="458" w:hRule="exact"/>
        </w:trPr>
        <w:tc>
          <w:tcPr>
            <w:tcW w:w="1940" w:type="dxa"/>
          </w:tcPr>
          <w:p>
            <w:pPr>
              <w:pStyle w:val="TableParagraph"/>
              <w:spacing w:before="64"/>
              <w:ind w:left="67"/>
              <w:jc w:val="left"/>
              <w:rPr>
                <w:b/>
                <w:sz w:val="18"/>
              </w:rPr>
            </w:pPr>
            <w:r>
              <w:rPr>
                <w:b/>
                <w:color w:val="333333"/>
                <w:sz w:val="18"/>
              </w:rPr>
              <w:t>OTZOLOAPAN</w:t>
            </w:r>
          </w:p>
        </w:tc>
        <w:tc>
          <w:tcPr>
            <w:tcW w:w="1560" w:type="dxa"/>
          </w:tcPr>
          <w:p>
            <w:pPr>
              <w:pStyle w:val="TableParagraph"/>
              <w:spacing w:before="68"/>
              <w:ind w:left="80" w:right="75"/>
              <w:rPr>
                <w:sz w:val="18"/>
              </w:rPr>
            </w:pPr>
            <w:r>
              <w:rPr>
                <w:sz w:val="18"/>
              </w:rPr>
              <w:t>$0.00</w:t>
            </w:r>
          </w:p>
        </w:tc>
        <w:tc>
          <w:tcPr>
            <w:tcW w:w="1417" w:type="dxa"/>
          </w:tcPr>
          <w:p>
            <w:pPr>
              <w:pStyle w:val="TableParagraph"/>
              <w:spacing w:before="68"/>
              <w:ind w:left="458" w:right="453"/>
              <w:rPr>
                <w:sz w:val="18"/>
              </w:rPr>
            </w:pPr>
            <w:r>
              <w:rPr>
                <w:sz w:val="18"/>
              </w:rPr>
              <w:t>$0.00</w:t>
            </w:r>
          </w:p>
        </w:tc>
        <w:tc>
          <w:tcPr>
            <w:tcW w:w="1632" w:type="dxa"/>
          </w:tcPr>
          <w:p>
            <w:pPr>
              <w:pStyle w:val="TableParagraph"/>
              <w:spacing w:before="68"/>
              <w:ind w:left="116" w:right="111"/>
              <w:rPr>
                <w:sz w:val="18"/>
              </w:rPr>
            </w:pPr>
            <w:r>
              <w:rPr>
                <w:sz w:val="18"/>
              </w:rPr>
              <w:t>$0.00</w:t>
            </w:r>
          </w:p>
        </w:tc>
        <w:tc>
          <w:tcPr>
            <w:tcW w:w="1630" w:type="dxa"/>
          </w:tcPr>
          <w:p>
            <w:pPr>
              <w:pStyle w:val="TableParagraph"/>
              <w:spacing w:before="68"/>
              <w:ind w:left="114" w:right="111"/>
              <w:rPr>
                <w:sz w:val="18"/>
              </w:rPr>
            </w:pPr>
            <w:r>
              <w:rPr>
                <w:sz w:val="18"/>
              </w:rPr>
              <w:t>$0.00</w:t>
            </w:r>
          </w:p>
        </w:tc>
        <w:tc>
          <w:tcPr>
            <w:tcW w:w="1663" w:type="dxa"/>
          </w:tcPr>
          <w:p>
            <w:pPr>
              <w:pStyle w:val="TableParagraph"/>
              <w:spacing w:before="68"/>
              <w:ind w:left="55" w:right="56"/>
              <w:rPr>
                <w:sz w:val="18"/>
              </w:rPr>
            </w:pPr>
            <w:r>
              <w:rPr>
                <w:sz w:val="18"/>
              </w:rPr>
              <w:t>$0.00</w:t>
            </w:r>
          </w:p>
        </w:tc>
        <w:tc>
          <w:tcPr>
            <w:tcW w:w="1454" w:type="dxa"/>
          </w:tcPr>
          <w:p>
            <w:pPr>
              <w:pStyle w:val="TableParagraph"/>
              <w:spacing w:before="68"/>
              <w:ind w:left="76" w:right="75"/>
              <w:rPr>
                <w:sz w:val="18"/>
              </w:rPr>
            </w:pPr>
            <w:r>
              <w:rPr>
                <w:sz w:val="18"/>
              </w:rPr>
              <w:t>$0.00</w:t>
            </w:r>
          </w:p>
        </w:tc>
        <w:tc>
          <w:tcPr>
            <w:tcW w:w="1702" w:type="dxa"/>
          </w:tcPr>
          <w:p>
            <w:pPr>
              <w:pStyle w:val="TableParagraph"/>
              <w:spacing w:before="68"/>
              <w:ind w:left="76" w:right="72"/>
              <w:rPr>
                <w:sz w:val="18"/>
              </w:rPr>
            </w:pPr>
            <w:r>
              <w:rPr>
                <w:sz w:val="18"/>
              </w:rPr>
              <w:t>$0.00</w:t>
            </w:r>
          </w:p>
        </w:tc>
        <w:tc>
          <w:tcPr>
            <w:tcW w:w="1632" w:type="dxa"/>
          </w:tcPr>
          <w:p>
            <w:pPr>
              <w:pStyle w:val="TableParagraph"/>
              <w:spacing w:before="68"/>
              <w:ind w:left="116" w:right="111"/>
              <w:rPr>
                <w:sz w:val="18"/>
              </w:rPr>
            </w:pPr>
            <w:r>
              <w:rPr>
                <w:sz w:val="18"/>
              </w:rPr>
              <w:t>$0.00</w:t>
            </w:r>
          </w:p>
        </w:tc>
      </w:tr>
      <w:tr>
        <w:trPr>
          <w:trHeight w:val="461" w:hRule="exact"/>
        </w:trPr>
        <w:tc>
          <w:tcPr>
            <w:tcW w:w="1940" w:type="dxa"/>
          </w:tcPr>
          <w:p>
            <w:pPr>
              <w:pStyle w:val="TableParagraph"/>
              <w:spacing w:before="64"/>
              <w:ind w:left="67"/>
              <w:jc w:val="left"/>
              <w:rPr>
                <w:b/>
                <w:sz w:val="18"/>
              </w:rPr>
            </w:pPr>
            <w:r>
              <w:rPr>
                <w:b/>
                <w:color w:val="333333"/>
                <w:sz w:val="18"/>
              </w:rPr>
              <w:t>OTZOLOTEPEC</w:t>
            </w:r>
          </w:p>
        </w:tc>
        <w:tc>
          <w:tcPr>
            <w:tcW w:w="1560" w:type="dxa"/>
          </w:tcPr>
          <w:p>
            <w:pPr>
              <w:pStyle w:val="TableParagraph"/>
              <w:spacing w:before="68"/>
              <w:ind w:left="80" w:right="75"/>
              <w:rPr>
                <w:sz w:val="18"/>
              </w:rPr>
            </w:pPr>
            <w:r>
              <w:rPr>
                <w:sz w:val="18"/>
              </w:rPr>
              <w:t>$0.00</w:t>
            </w:r>
          </w:p>
        </w:tc>
        <w:tc>
          <w:tcPr>
            <w:tcW w:w="1417" w:type="dxa"/>
          </w:tcPr>
          <w:p>
            <w:pPr>
              <w:pStyle w:val="TableParagraph"/>
              <w:spacing w:before="68"/>
              <w:ind w:left="458" w:right="453"/>
              <w:rPr>
                <w:sz w:val="18"/>
              </w:rPr>
            </w:pPr>
            <w:r>
              <w:rPr>
                <w:sz w:val="18"/>
              </w:rPr>
              <w:t>$0.00</w:t>
            </w:r>
          </w:p>
        </w:tc>
        <w:tc>
          <w:tcPr>
            <w:tcW w:w="1632" w:type="dxa"/>
          </w:tcPr>
          <w:p>
            <w:pPr>
              <w:pStyle w:val="TableParagraph"/>
              <w:spacing w:before="68"/>
              <w:ind w:left="116" w:right="111"/>
              <w:rPr>
                <w:sz w:val="18"/>
              </w:rPr>
            </w:pPr>
            <w:r>
              <w:rPr>
                <w:sz w:val="18"/>
              </w:rPr>
              <w:t>$0.00</w:t>
            </w:r>
          </w:p>
        </w:tc>
        <w:tc>
          <w:tcPr>
            <w:tcW w:w="1630" w:type="dxa"/>
          </w:tcPr>
          <w:p>
            <w:pPr>
              <w:pStyle w:val="TableParagraph"/>
              <w:spacing w:before="68"/>
              <w:ind w:left="114" w:right="111"/>
              <w:rPr>
                <w:sz w:val="18"/>
              </w:rPr>
            </w:pPr>
            <w:r>
              <w:rPr>
                <w:sz w:val="18"/>
              </w:rPr>
              <w:t>$0.00</w:t>
            </w:r>
          </w:p>
        </w:tc>
        <w:tc>
          <w:tcPr>
            <w:tcW w:w="1663" w:type="dxa"/>
          </w:tcPr>
          <w:p>
            <w:pPr>
              <w:pStyle w:val="TableParagraph"/>
              <w:spacing w:before="68"/>
              <w:ind w:left="56" w:right="56"/>
              <w:rPr>
                <w:sz w:val="18"/>
              </w:rPr>
            </w:pPr>
            <w:r>
              <w:rPr>
                <w:sz w:val="18"/>
              </w:rPr>
              <w:t>$176,145,383.72</w:t>
            </w:r>
          </w:p>
        </w:tc>
        <w:tc>
          <w:tcPr>
            <w:tcW w:w="1454" w:type="dxa"/>
          </w:tcPr>
          <w:p>
            <w:pPr>
              <w:pStyle w:val="TableParagraph"/>
              <w:spacing w:before="68"/>
              <w:ind w:left="76" w:right="77"/>
              <w:rPr>
                <w:sz w:val="18"/>
              </w:rPr>
            </w:pPr>
            <w:r>
              <w:rPr>
                <w:sz w:val="18"/>
              </w:rPr>
              <w:t>$37,128,947.66</w:t>
            </w:r>
          </w:p>
        </w:tc>
        <w:tc>
          <w:tcPr>
            <w:tcW w:w="1702" w:type="dxa"/>
          </w:tcPr>
          <w:p>
            <w:pPr>
              <w:pStyle w:val="TableParagraph"/>
              <w:spacing w:before="68"/>
              <w:ind w:left="74" w:right="74"/>
              <w:rPr>
                <w:sz w:val="18"/>
              </w:rPr>
            </w:pPr>
            <w:r>
              <w:rPr>
                <w:sz w:val="18"/>
              </w:rPr>
              <w:t>$202,810,564.67</w:t>
            </w:r>
          </w:p>
        </w:tc>
        <w:tc>
          <w:tcPr>
            <w:tcW w:w="1632" w:type="dxa"/>
          </w:tcPr>
          <w:p>
            <w:pPr>
              <w:pStyle w:val="TableParagraph"/>
              <w:spacing w:before="68"/>
              <w:ind w:left="116" w:right="113"/>
              <w:rPr>
                <w:sz w:val="18"/>
              </w:rPr>
            </w:pPr>
            <w:r>
              <w:rPr>
                <w:sz w:val="18"/>
              </w:rPr>
              <w:t>$10,463,766.71</w:t>
            </w:r>
          </w:p>
        </w:tc>
      </w:tr>
      <w:tr>
        <w:trPr>
          <w:trHeight w:val="319" w:hRule="exact"/>
        </w:trPr>
        <w:tc>
          <w:tcPr>
            <w:tcW w:w="1940" w:type="dxa"/>
          </w:tcPr>
          <w:p>
            <w:pPr>
              <w:pStyle w:val="TableParagraph"/>
              <w:spacing w:line="201" w:lineRule="exact"/>
              <w:ind w:left="67"/>
              <w:jc w:val="left"/>
              <w:rPr>
                <w:b/>
                <w:sz w:val="18"/>
              </w:rPr>
            </w:pPr>
            <w:r>
              <w:rPr>
                <w:b/>
                <w:color w:val="333333"/>
                <w:sz w:val="18"/>
              </w:rPr>
              <w:t>OZUMBA</w:t>
            </w:r>
          </w:p>
        </w:tc>
        <w:tc>
          <w:tcPr>
            <w:tcW w:w="1560" w:type="dxa"/>
          </w:tcPr>
          <w:p>
            <w:pPr>
              <w:pStyle w:val="TableParagraph"/>
              <w:spacing w:line="206" w:lineRule="exact"/>
              <w:ind w:left="80" w:right="75"/>
              <w:rPr>
                <w:sz w:val="18"/>
              </w:rPr>
            </w:pPr>
            <w:r>
              <w:rPr>
                <w:sz w:val="18"/>
              </w:rPr>
              <w:t>$0.00</w:t>
            </w:r>
          </w:p>
        </w:tc>
        <w:tc>
          <w:tcPr>
            <w:tcW w:w="1417" w:type="dxa"/>
          </w:tcPr>
          <w:p>
            <w:pPr>
              <w:pStyle w:val="TableParagraph"/>
              <w:spacing w:line="206" w:lineRule="exact"/>
              <w:ind w:left="458" w:right="453"/>
              <w:rPr>
                <w:sz w:val="18"/>
              </w:rPr>
            </w:pPr>
            <w:r>
              <w:rPr>
                <w:sz w:val="18"/>
              </w:rPr>
              <w:t>$0.00</w:t>
            </w:r>
          </w:p>
        </w:tc>
        <w:tc>
          <w:tcPr>
            <w:tcW w:w="1632" w:type="dxa"/>
          </w:tcPr>
          <w:p>
            <w:pPr>
              <w:pStyle w:val="TableParagraph"/>
              <w:spacing w:line="206" w:lineRule="exact"/>
              <w:ind w:left="116" w:right="111"/>
              <w:rPr>
                <w:sz w:val="18"/>
              </w:rPr>
            </w:pPr>
            <w:r>
              <w:rPr>
                <w:sz w:val="18"/>
              </w:rPr>
              <w:t>$0.00</w:t>
            </w:r>
          </w:p>
        </w:tc>
        <w:tc>
          <w:tcPr>
            <w:tcW w:w="1630" w:type="dxa"/>
          </w:tcPr>
          <w:p>
            <w:pPr>
              <w:pStyle w:val="TableParagraph"/>
              <w:spacing w:line="206" w:lineRule="exact"/>
              <w:ind w:left="114" w:right="111"/>
              <w:rPr>
                <w:sz w:val="18"/>
              </w:rPr>
            </w:pPr>
            <w:r>
              <w:rPr>
                <w:sz w:val="18"/>
              </w:rPr>
              <w:t>$0.00</w:t>
            </w:r>
          </w:p>
        </w:tc>
        <w:tc>
          <w:tcPr>
            <w:tcW w:w="1663" w:type="dxa"/>
          </w:tcPr>
          <w:p>
            <w:pPr>
              <w:pStyle w:val="TableParagraph"/>
              <w:spacing w:line="206" w:lineRule="exact"/>
              <w:ind w:left="55" w:right="56"/>
              <w:rPr>
                <w:sz w:val="18"/>
              </w:rPr>
            </w:pPr>
            <w:r>
              <w:rPr>
                <w:sz w:val="18"/>
              </w:rPr>
              <w:t>$0.00</w:t>
            </w:r>
          </w:p>
        </w:tc>
        <w:tc>
          <w:tcPr>
            <w:tcW w:w="1454" w:type="dxa"/>
          </w:tcPr>
          <w:p>
            <w:pPr>
              <w:pStyle w:val="TableParagraph"/>
              <w:spacing w:line="206" w:lineRule="exact"/>
              <w:ind w:left="76" w:right="75"/>
              <w:rPr>
                <w:sz w:val="18"/>
              </w:rPr>
            </w:pPr>
            <w:r>
              <w:rPr>
                <w:sz w:val="18"/>
              </w:rPr>
              <w:t>$0.00</w:t>
            </w:r>
          </w:p>
        </w:tc>
        <w:tc>
          <w:tcPr>
            <w:tcW w:w="1702" w:type="dxa"/>
          </w:tcPr>
          <w:p>
            <w:pPr>
              <w:pStyle w:val="TableParagraph"/>
              <w:spacing w:line="206" w:lineRule="exact"/>
              <w:ind w:left="76" w:right="72"/>
              <w:rPr>
                <w:sz w:val="18"/>
              </w:rPr>
            </w:pPr>
            <w:r>
              <w:rPr>
                <w:sz w:val="18"/>
              </w:rPr>
              <w:t>$0.00</w:t>
            </w:r>
          </w:p>
        </w:tc>
        <w:tc>
          <w:tcPr>
            <w:tcW w:w="1632" w:type="dxa"/>
          </w:tcPr>
          <w:p>
            <w:pPr>
              <w:pStyle w:val="TableParagraph"/>
              <w:spacing w:line="206" w:lineRule="exact"/>
              <w:ind w:left="116" w:right="111"/>
              <w:rPr>
                <w:sz w:val="18"/>
              </w:rPr>
            </w:pPr>
            <w:r>
              <w:rPr>
                <w:sz w:val="18"/>
              </w:rPr>
              <w:t>$0.00</w:t>
            </w:r>
          </w:p>
        </w:tc>
      </w:tr>
      <w:tr>
        <w:trPr>
          <w:trHeight w:val="322" w:hRule="exact"/>
        </w:trPr>
        <w:tc>
          <w:tcPr>
            <w:tcW w:w="1940" w:type="dxa"/>
          </w:tcPr>
          <w:p>
            <w:pPr>
              <w:pStyle w:val="TableParagraph"/>
              <w:spacing w:line="204" w:lineRule="exact"/>
              <w:ind w:left="67"/>
              <w:jc w:val="left"/>
              <w:rPr>
                <w:b/>
                <w:sz w:val="18"/>
              </w:rPr>
            </w:pPr>
            <w:r>
              <w:rPr>
                <w:b/>
                <w:color w:val="333333"/>
                <w:sz w:val="18"/>
              </w:rPr>
              <w:t>PAPALOTLA</w:t>
            </w:r>
          </w:p>
        </w:tc>
        <w:tc>
          <w:tcPr>
            <w:tcW w:w="1560" w:type="dxa"/>
          </w:tcPr>
          <w:p>
            <w:pPr>
              <w:pStyle w:val="TableParagraph"/>
              <w:spacing w:before="1"/>
              <w:ind w:left="80" w:right="75"/>
              <w:rPr>
                <w:sz w:val="18"/>
              </w:rPr>
            </w:pPr>
            <w:r>
              <w:rPr>
                <w:sz w:val="18"/>
              </w:rPr>
              <w:t>$0.00</w:t>
            </w:r>
          </w:p>
        </w:tc>
        <w:tc>
          <w:tcPr>
            <w:tcW w:w="1417" w:type="dxa"/>
          </w:tcPr>
          <w:p>
            <w:pPr>
              <w:pStyle w:val="TableParagraph"/>
              <w:spacing w:before="1"/>
              <w:ind w:left="458" w:right="453"/>
              <w:rPr>
                <w:sz w:val="18"/>
              </w:rPr>
            </w:pPr>
            <w:r>
              <w:rPr>
                <w:sz w:val="18"/>
              </w:rPr>
              <w:t>$0.00</w:t>
            </w:r>
          </w:p>
        </w:tc>
        <w:tc>
          <w:tcPr>
            <w:tcW w:w="1632" w:type="dxa"/>
          </w:tcPr>
          <w:p>
            <w:pPr>
              <w:pStyle w:val="TableParagraph"/>
              <w:spacing w:before="1"/>
              <w:ind w:left="116" w:right="111"/>
              <w:rPr>
                <w:sz w:val="18"/>
              </w:rPr>
            </w:pPr>
            <w:r>
              <w:rPr>
                <w:sz w:val="18"/>
              </w:rPr>
              <w:t>$0.00</w:t>
            </w:r>
          </w:p>
        </w:tc>
        <w:tc>
          <w:tcPr>
            <w:tcW w:w="1630" w:type="dxa"/>
          </w:tcPr>
          <w:p>
            <w:pPr>
              <w:pStyle w:val="TableParagraph"/>
              <w:spacing w:before="1"/>
              <w:ind w:left="114" w:right="111"/>
              <w:rPr>
                <w:sz w:val="18"/>
              </w:rPr>
            </w:pPr>
            <w:r>
              <w:rPr>
                <w:sz w:val="18"/>
              </w:rPr>
              <w:t>$0.00</w:t>
            </w:r>
          </w:p>
        </w:tc>
        <w:tc>
          <w:tcPr>
            <w:tcW w:w="1663" w:type="dxa"/>
          </w:tcPr>
          <w:p>
            <w:pPr>
              <w:pStyle w:val="TableParagraph"/>
              <w:spacing w:before="1"/>
              <w:ind w:left="55" w:right="56"/>
              <w:rPr>
                <w:sz w:val="18"/>
              </w:rPr>
            </w:pPr>
            <w:r>
              <w:rPr>
                <w:sz w:val="18"/>
              </w:rPr>
              <w:t>$0.00</w:t>
            </w:r>
          </w:p>
        </w:tc>
        <w:tc>
          <w:tcPr>
            <w:tcW w:w="1454" w:type="dxa"/>
          </w:tcPr>
          <w:p>
            <w:pPr>
              <w:pStyle w:val="TableParagraph"/>
              <w:spacing w:before="1"/>
              <w:ind w:left="76" w:right="75"/>
              <w:rPr>
                <w:sz w:val="18"/>
              </w:rPr>
            </w:pPr>
            <w:r>
              <w:rPr>
                <w:sz w:val="18"/>
              </w:rPr>
              <w:t>$0.00</w:t>
            </w:r>
          </w:p>
        </w:tc>
        <w:tc>
          <w:tcPr>
            <w:tcW w:w="1702" w:type="dxa"/>
          </w:tcPr>
          <w:p>
            <w:pPr>
              <w:pStyle w:val="TableParagraph"/>
              <w:spacing w:before="1"/>
              <w:ind w:left="76" w:right="72"/>
              <w:rPr>
                <w:sz w:val="18"/>
              </w:rPr>
            </w:pPr>
            <w:r>
              <w:rPr>
                <w:sz w:val="18"/>
              </w:rPr>
              <w:t>$0.00</w:t>
            </w:r>
          </w:p>
        </w:tc>
        <w:tc>
          <w:tcPr>
            <w:tcW w:w="1632" w:type="dxa"/>
          </w:tcPr>
          <w:p>
            <w:pPr>
              <w:pStyle w:val="TableParagraph"/>
              <w:spacing w:before="1"/>
              <w:ind w:left="116" w:right="111"/>
              <w:rPr>
                <w:sz w:val="18"/>
              </w:rPr>
            </w:pPr>
            <w:r>
              <w:rPr>
                <w:sz w:val="18"/>
              </w:rPr>
              <w:t>$0.00</w:t>
            </w:r>
          </w:p>
        </w:tc>
      </w:tr>
      <w:tr>
        <w:trPr>
          <w:trHeight w:val="319" w:hRule="exact"/>
        </w:trPr>
        <w:tc>
          <w:tcPr>
            <w:tcW w:w="1940" w:type="dxa"/>
          </w:tcPr>
          <w:p>
            <w:pPr>
              <w:pStyle w:val="TableParagraph"/>
              <w:spacing w:line="201" w:lineRule="exact"/>
              <w:ind w:left="67"/>
              <w:jc w:val="left"/>
              <w:rPr>
                <w:b/>
                <w:sz w:val="18"/>
              </w:rPr>
            </w:pPr>
            <w:r>
              <w:rPr>
                <w:b/>
                <w:color w:val="333333"/>
                <w:sz w:val="18"/>
              </w:rPr>
              <w:t>POLOTITLAN</w:t>
            </w:r>
          </w:p>
        </w:tc>
        <w:tc>
          <w:tcPr>
            <w:tcW w:w="1560" w:type="dxa"/>
          </w:tcPr>
          <w:p>
            <w:pPr>
              <w:pStyle w:val="TableParagraph"/>
              <w:spacing w:line="206" w:lineRule="exact"/>
              <w:ind w:left="80" w:right="75"/>
              <w:rPr>
                <w:sz w:val="18"/>
              </w:rPr>
            </w:pPr>
            <w:r>
              <w:rPr>
                <w:sz w:val="18"/>
              </w:rPr>
              <w:t>$0.00</w:t>
            </w:r>
          </w:p>
        </w:tc>
        <w:tc>
          <w:tcPr>
            <w:tcW w:w="1417" w:type="dxa"/>
          </w:tcPr>
          <w:p>
            <w:pPr>
              <w:pStyle w:val="TableParagraph"/>
              <w:spacing w:line="206" w:lineRule="exact"/>
              <w:ind w:left="458" w:right="453"/>
              <w:rPr>
                <w:sz w:val="18"/>
              </w:rPr>
            </w:pPr>
            <w:r>
              <w:rPr>
                <w:sz w:val="18"/>
              </w:rPr>
              <w:t>$0.00</w:t>
            </w:r>
          </w:p>
        </w:tc>
        <w:tc>
          <w:tcPr>
            <w:tcW w:w="1632" w:type="dxa"/>
          </w:tcPr>
          <w:p>
            <w:pPr>
              <w:pStyle w:val="TableParagraph"/>
              <w:spacing w:line="206" w:lineRule="exact"/>
              <w:ind w:left="116" w:right="111"/>
              <w:rPr>
                <w:sz w:val="18"/>
              </w:rPr>
            </w:pPr>
            <w:r>
              <w:rPr>
                <w:sz w:val="18"/>
              </w:rPr>
              <w:t>$0.00</w:t>
            </w:r>
          </w:p>
        </w:tc>
        <w:tc>
          <w:tcPr>
            <w:tcW w:w="1630" w:type="dxa"/>
          </w:tcPr>
          <w:p>
            <w:pPr>
              <w:pStyle w:val="TableParagraph"/>
              <w:spacing w:line="206" w:lineRule="exact"/>
              <w:ind w:left="114" w:right="111"/>
              <w:rPr>
                <w:sz w:val="18"/>
              </w:rPr>
            </w:pPr>
            <w:r>
              <w:rPr>
                <w:sz w:val="18"/>
              </w:rPr>
              <w:t>$0.00</w:t>
            </w:r>
          </w:p>
        </w:tc>
        <w:tc>
          <w:tcPr>
            <w:tcW w:w="1663" w:type="dxa"/>
          </w:tcPr>
          <w:p>
            <w:pPr>
              <w:pStyle w:val="TableParagraph"/>
              <w:spacing w:line="206" w:lineRule="exact"/>
              <w:ind w:left="55" w:right="56"/>
              <w:rPr>
                <w:sz w:val="18"/>
              </w:rPr>
            </w:pPr>
            <w:r>
              <w:rPr>
                <w:sz w:val="18"/>
              </w:rPr>
              <w:t>$0.00</w:t>
            </w:r>
          </w:p>
        </w:tc>
        <w:tc>
          <w:tcPr>
            <w:tcW w:w="1454" w:type="dxa"/>
          </w:tcPr>
          <w:p>
            <w:pPr>
              <w:pStyle w:val="TableParagraph"/>
              <w:spacing w:line="206" w:lineRule="exact"/>
              <w:ind w:left="76" w:right="75"/>
              <w:rPr>
                <w:sz w:val="18"/>
              </w:rPr>
            </w:pPr>
            <w:r>
              <w:rPr>
                <w:sz w:val="18"/>
              </w:rPr>
              <w:t>$0.00</w:t>
            </w:r>
          </w:p>
        </w:tc>
        <w:tc>
          <w:tcPr>
            <w:tcW w:w="1702" w:type="dxa"/>
          </w:tcPr>
          <w:p>
            <w:pPr>
              <w:pStyle w:val="TableParagraph"/>
              <w:spacing w:line="206" w:lineRule="exact"/>
              <w:ind w:left="76" w:right="72"/>
              <w:rPr>
                <w:sz w:val="18"/>
              </w:rPr>
            </w:pPr>
            <w:r>
              <w:rPr>
                <w:sz w:val="18"/>
              </w:rPr>
              <w:t>$0.00</w:t>
            </w:r>
          </w:p>
        </w:tc>
        <w:tc>
          <w:tcPr>
            <w:tcW w:w="1632" w:type="dxa"/>
          </w:tcPr>
          <w:p>
            <w:pPr>
              <w:pStyle w:val="TableParagraph"/>
              <w:spacing w:line="206" w:lineRule="exact"/>
              <w:ind w:left="116" w:right="111"/>
              <w:rPr>
                <w:sz w:val="18"/>
              </w:rPr>
            </w:pPr>
            <w:r>
              <w:rPr>
                <w:sz w:val="18"/>
              </w:rPr>
              <w:t>$0.00</w:t>
            </w:r>
          </w:p>
        </w:tc>
      </w:tr>
      <w:tr>
        <w:trPr>
          <w:trHeight w:val="322" w:hRule="exact"/>
        </w:trPr>
        <w:tc>
          <w:tcPr>
            <w:tcW w:w="1940" w:type="dxa"/>
          </w:tcPr>
          <w:p>
            <w:pPr>
              <w:pStyle w:val="TableParagraph"/>
              <w:spacing w:line="204" w:lineRule="exact"/>
              <w:ind w:left="67"/>
              <w:jc w:val="left"/>
              <w:rPr>
                <w:b/>
                <w:sz w:val="18"/>
              </w:rPr>
            </w:pPr>
            <w:r>
              <w:rPr>
                <w:b/>
                <w:color w:val="333333"/>
                <w:sz w:val="18"/>
              </w:rPr>
              <w:t>RAYON</w:t>
            </w:r>
          </w:p>
        </w:tc>
        <w:tc>
          <w:tcPr>
            <w:tcW w:w="1560" w:type="dxa"/>
          </w:tcPr>
          <w:p>
            <w:pPr>
              <w:pStyle w:val="TableParagraph"/>
              <w:spacing w:before="2"/>
              <w:ind w:left="80" w:right="75"/>
              <w:rPr>
                <w:sz w:val="18"/>
              </w:rPr>
            </w:pPr>
            <w:r>
              <w:rPr>
                <w:sz w:val="18"/>
              </w:rPr>
              <w:t>$0.00</w:t>
            </w:r>
          </w:p>
        </w:tc>
        <w:tc>
          <w:tcPr>
            <w:tcW w:w="1417" w:type="dxa"/>
          </w:tcPr>
          <w:p>
            <w:pPr>
              <w:pStyle w:val="TableParagraph"/>
              <w:spacing w:before="2"/>
              <w:ind w:left="458" w:right="453"/>
              <w:rPr>
                <w:sz w:val="18"/>
              </w:rPr>
            </w:pPr>
            <w:r>
              <w:rPr>
                <w:sz w:val="18"/>
              </w:rPr>
              <w:t>$0.00</w:t>
            </w:r>
          </w:p>
        </w:tc>
        <w:tc>
          <w:tcPr>
            <w:tcW w:w="1632" w:type="dxa"/>
          </w:tcPr>
          <w:p>
            <w:pPr>
              <w:pStyle w:val="TableParagraph"/>
              <w:spacing w:before="2"/>
              <w:ind w:left="116" w:right="111"/>
              <w:rPr>
                <w:sz w:val="18"/>
              </w:rPr>
            </w:pPr>
            <w:r>
              <w:rPr>
                <w:sz w:val="18"/>
              </w:rPr>
              <w:t>$0.00</w:t>
            </w:r>
          </w:p>
        </w:tc>
        <w:tc>
          <w:tcPr>
            <w:tcW w:w="1630" w:type="dxa"/>
          </w:tcPr>
          <w:p>
            <w:pPr>
              <w:pStyle w:val="TableParagraph"/>
              <w:spacing w:before="2"/>
              <w:ind w:left="114" w:right="111"/>
              <w:rPr>
                <w:sz w:val="18"/>
              </w:rPr>
            </w:pPr>
            <w:r>
              <w:rPr>
                <w:sz w:val="18"/>
              </w:rPr>
              <w:t>$0.00</w:t>
            </w:r>
          </w:p>
        </w:tc>
        <w:tc>
          <w:tcPr>
            <w:tcW w:w="1663" w:type="dxa"/>
          </w:tcPr>
          <w:p>
            <w:pPr>
              <w:pStyle w:val="TableParagraph"/>
              <w:spacing w:before="2"/>
              <w:ind w:left="55" w:right="56"/>
              <w:rPr>
                <w:sz w:val="18"/>
              </w:rPr>
            </w:pPr>
            <w:r>
              <w:rPr>
                <w:sz w:val="18"/>
              </w:rPr>
              <w:t>$0.00</w:t>
            </w:r>
          </w:p>
        </w:tc>
        <w:tc>
          <w:tcPr>
            <w:tcW w:w="1454" w:type="dxa"/>
          </w:tcPr>
          <w:p>
            <w:pPr>
              <w:pStyle w:val="TableParagraph"/>
              <w:spacing w:before="2"/>
              <w:ind w:left="76" w:right="75"/>
              <w:rPr>
                <w:sz w:val="18"/>
              </w:rPr>
            </w:pPr>
            <w:r>
              <w:rPr>
                <w:sz w:val="18"/>
              </w:rPr>
              <w:t>$0.00</w:t>
            </w:r>
          </w:p>
        </w:tc>
        <w:tc>
          <w:tcPr>
            <w:tcW w:w="1702" w:type="dxa"/>
          </w:tcPr>
          <w:p>
            <w:pPr>
              <w:pStyle w:val="TableParagraph"/>
              <w:spacing w:before="2"/>
              <w:ind w:left="76" w:right="72"/>
              <w:rPr>
                <w:sz w:val="18"/>
              </w:rPr>
            </w:pPr>
            <w:r>
              <w:rPr>
                <w:sz w:val="18"/>
              </w:rPr>
              <w:t>$0.00</w:t>
            </w:r>
          </w:p>
        </w:tc>
        <w:tc>
          <w:tcPr>
            <w:tcW w:w="1632" w:type="dxa"/>
          </w:tcPr>
          <w:p>
            <w:pPr>
              <w:pStyle w:val="TableParagraph"/>
              <w:spacing w:before="2"/>
              <w:ind w:left="116" w:right="111"/>
              <w:rPr>
                <w:sz w:val="18"/>
              </w:rPr>
            </w:pPr>
            <w:r>
              <w:rPr>
                <w:sz w:val="18"/>
              </w:rPr>
              <w:t>$0.00</w:t>
            </w:r>
          </w:p>
        </w:tc>
      </w:tr>
      <w:tr>
        <w:trPr>
          <w:trHeight w:val="631" w:hRule="exact"/>
        </w:trPr>
        <w:tc>
          <w:tcPr>
            <w:tcW w:w="1940" w:type="dxa"/>
          </w:tcPr>
          <w:p>
            <w:pPr>
              <w:pStyle w:val="TableParagraph"/>
              <w:spacing w:line="360" w:lineRule="auto"/>
              <w:ind w:left="67"/>
              <w:jc w:val="left"/>
              <w:rPr>
                <w:b/>
                <w:sz w:val="18"/>
              </w:rPr>
            </w:pPr>
            <w:r>
              <w:rPr>
                <w:b/>
                <w:color w:val="333333"/>
                <w:sz w:val="18"/>
              </w:rPr>
              <w:t>SAN ANTONIO LA ISLA</w:t>
            </w:r>
          </w:p>
        </w:tc>
        <w:tc>
          <w:tcPr>
            <w:tcW w:w="1560" w:type="dxa"/>
          </w:tcPr>
          <w:p>
            <w:pPr>
              <w:pStyle w:val="TableParagraph"/>
              <w:spacing w:before="155"/>
              <w:ind w:left="80" w:right="75"/>
              <w:rPr>
                <w:sz w:val="18"/>
              </w:rPr>
            </w:pPr>
            <w:r>
              <w:rPr>
                <w:sz w:val="18"/>
              </w:rPr>
              <w:t>$0.00</w:t>
            </w:r>
          </w:p>
        </w:tc>
        <w:tc>
          <w:tcPr>
            <w:tcW w:w="1417" w:type="dxa"/>
          </w:tcPr>
          <w:p>
            <w:pPr>
              <w:pStyle w:val="TableParagraph"/>
              <w:spacing w:before="155"/>
              <w:ind w:left="458" w:right="453"/>
              <w:rPr>
                <w:sz w:val="18"/>
              </w:rPr>
            </w:pPr>
            <w:r>
              <w:rPr>
                <w:sz w:val="18"/>
              </w:rPr>
              <w:t>$0.00</w:t>
            </w:r>
          </w:p>
        </w:tc>
        <w:tc>
          <w:tcPr>
            <w:tcW w:w="1632" w:type="dxa"/>
          </w:tcPr>
          <w:p>
            <w:pPr>
              <w:pStyle w:val="TableParagraph"/>
              <w:spacing w:before="155"/>
              <w:ind w:left="116" w:right="111"/>
              <w:rPr>
                <w:sz w:val="18"/>
              </w:rPr>
            </w:pPr>
            <w:r>
              <w:rPr>
                <w:sz w:val="18"/>
              </w:rPr>
              <w:t>$0.00</w:t>
            </w:r>
          </w:p>
        </w:tc>
        <w:tc>
          <w:tcPr>
            <w:tcW w:w="1630" w:type="dxa"/>
          </w:tcPr>
          <w:p>
            <w:pPr>
              <w:pStyle w:val="TableParagraph"/>
              <w:spacing w:before="155"/>
              <w:ind w:left="114" w:right="111"/>
              <w:rPr>
                <w:sz w:val="18"/>
              </w:rPr>
            </w:pPr>
            <w:r>
              <w:rPr>
                <w:sz w:val="18"/>
              </w:rPr>
              <w:t>$0.00</w:t>
            </w:r>
          </w:p>
        </w:tc>
        <w:tc>
          <w:tcPr>
            <w:tcW w:w="1663" w:type="dxa"/>
          </w:tcPr>
          <w:p>
            <w:pPr>
              <w:pStyle w:val="TableParagraph"/>
              <w:spacing w:before="155"/>
              <w:ind w:left="55" w:right="56"/>
              <w:rPr>
                <w:sz w:val="18"/>
              </w:rPr>
            </w:pPr>
            <w:r>
              <w:rPr>
                <w:sz w:val="18"/>
              </w:rPr>
              <w:t>$0.00</w:t>
            </w:r>
          </w:p>
        </w:tc>
        <w:tc>
          <w:tcPr>
            <w:tcW w:w="1454" w:type="dxa"/>
          </w:tcPr>
          <w:p>
            <w:pPr>
              <w:pStyle w:val="TableParagraph"/>
              <w:spacing w:before="155"/>
              <w:ind w:left="76" w:right="75"/>
              <w:rPr>
                <w:sz w:val="18"/>
              </w:rPr>
            </w:pPr>
            <w:r>
              <w:rPr>
                <w:sz w:val="18"/>
              </w:rPr>
              <w:t>$0.00</w:t>
            </w:r>
          </w:p>
        </w:tc>
        <w:tc>
          <w:tcPr>
            <w:tcW w:w="1702" w:type="dxa"/>
          </w:tcPr>
          <w:p>
            <w:pPr>
              <w:pStyle w:val="TableParagraph"/>
              <w:spacing w:before="155"/>
              <w:ind w:left="76" w:right="72"/>
              <w:rPr>
                <w:sz w:val="18"/>
              </w:rPr>
            </w:pPr>
            <w:r>
              <w:rPr>
                <w:sz w:val="18"/>
              </w:rPr>
              <w:t>$0.00</w:t>
            </w:r>
          </w:p>
        </w:tc>
        <w:tc>
          <w:tcPr>
            <w:tcW w:w="1632" w:type="dxa"/>
          </w:tcPr>
          <w:p>
            <w:pPr>
              <w:pStyle w:val="TableParagraph"/>
              <w:spacing w:before="155"/>
              <w:ind w:left="116" w:right="111"/>
              <w:rPr>
                <w:sz w:val="18"/>
              </w:rPr>
            </w:pPr>
            <w:r>
              <w:rPr>
                <w:sz w:val="18"/>
              </w:rPr>
              <w:t>$0.00</w:t>
            </w:r>
          </w:p>
        </w:tc>
      </w:tr>
    </w:tbl>
    <w:p>
      <w:pPr>
        <w:spacing w:after="0"/>
        <w:rPr>
          <w:sz w:val="18"/>
        </w:rPr>
        <w:sectPr>
          <w:pgSz w:w="15840" w:h="12240" w:orient="landscape"/>
          <w:pgMar w:header="0" w:footer="975" w:top="1140" w:bottom="1160" w:left="500" w:right="480"/>
        </w:sectPr>
      </w:pPr>
    </w:p>
    <w:p>
      <w:pPr>
        <w:pStyle w:val="BodyText"/>
        <w:rPr>
          <w:rFonts w:ascii="Times New Roman"/>
          <w:sz w:val="20"/>
        </w:rPr>
      </w:pPr>
    </w:p>
    <w:p>
      <w:pPr>
        <w:pStyle w:val="BodyText"/>
        <w:spacing w:before="10"/>
        <w:rPr>
          <w:rFonts w:ascii="Times New Roman"/>
          <w:sz w:val="28"/>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43"/>
        <w:gridCol w:w="1490"/>
        <w:gridCol w:w="1683"/>
        <w:gridCol w:w="1416"/>
        <w:gridCol w:w="1493"/>
        <w:gridCol w:w="1541"/>
        <w:gridCol w:w="1702"/>
        <w:gridCol w:w="1597"/>
        <w:gridCol w:w="1702"/>
      </w:tblGrid>
      <w:tr>
        <w:trPr>
          <w:trHeight w:val="460" w:hRule="exact"/>
        </w:trPr>
        <w:tc>
          <w:tcPr>
            <w:tcW w:w="14366" w:type="dxa"/>
            <w:gridSpan w:val="9"/>
            <w:shd w:val="clear" w:color="auto" w:fill="C5DFB3"/>
          </w:tcPr>
          <w:p>
            <w:pPr>
              <w:pStyle w:val="TableParagraph"/>
              <w:spacing w:before="64"/>
              <w:ind w:left="3526"/>
              <w:jc w:val="left"/>
              <w:rPr>
                <w:b/>
                <w:sz w:val="18"/>
              </w:rPr>
            </w:pPr>
            <w:r>
              <w:rPr>
                <w:b/>
                <w:sz w:val="18"/>
              </w:rPr>
              <w:t>Anexo 24B. Municipios que publican apartado presupuesto 2010-2011 (Continuación)</w:t>
            </w:r>
          </w:p>
        </w:tc>
      </w:tr>
      <w:tr>
        <w:trPr>
          <w:trHeight w:val="320" w:hRule="exact"/>
        </w:trPr>
        <w:tc>
          <w:tcPr>
            <w:tcW w:w="1743"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112"/>
              <w:ind w:left="444" w:right="149"/>
              <w:jc w:val="left"/>
              <w:rPr>
                <w:b/>
                <w:sz w:val="18"/>
              </w:rPr>
            </w:pPr>
            <w:r>
              <w:rPr>
                <w:b/>
                <w:sz w:val="18"/>
              </w:rPr>
              <w:t>Municipio</w:t>
            </w:r>
          </w:p>
        </w:tc>
        <w:tc>
          <w:tcPr>
            <w:tcW w:w="6082" w:type="dxa"/>
            <w:gridSpan w:val="4"/>
            <w:shd w:val="clear" w:color="auto" w:fill="C5DFB3"/>
          </w:tcPr>
          <w:p>
            <w:pPr>
              <w:pStyle w:val="TableParagraph"/>
              <w:spacing w:line="203" w:lineRule="exact"/>
              <w:ind w:left="2815" w:right="2817"/>
              <w:rPr>
                <w:b/>
                <w:sz w:val="18"/>
              </w:rPr>
            </w:pPr>
            <w:r>
              <w:rPr>
                <w:b/>
                <w:sz w:val="18"/>
              </w:rPr>
              <w:t>2010</w:t>
            </w:r>
          </w:p>
        </w:tc>
        <w:tc>
          <w:tcPr>
            <w:tcW w:w="6541" w:type="dxa"/>
            <w:gridSpan w:val="4"/>
            <w:shd w:val="clear" w:color="auto" w:fill="C5DFB3"/>
          </w:tcPr>
          <w:p>
            <w:pPr>
              <w:pStyle w:val="TableParagraph"/>
              <w:spacing w:line="203" w:lineRule="exact"/>
              <w:ind w:left="3045" w:right="3045"/>
              <w:rPr>
                <w:b/>
                <w:sz w:val="18"/>
              </w:rPr>
            </w:pPr>
            <w:r>
              <w:rPr>
                <w:b/>
                <w:sz w:val="18"/>
              </w:rPr>
              <w:t>2011</w:t>
            </w:r>
          </w:p>
        </w:tc>
      </w:tr>
      <w:tr>
        <w:trPr>
          <w:trHeight w:val="1066" w:hRule="exact"/>
        </w:trPr>
        <w:tc>
          <w:tcPr>
            <w:tcW w:w="1743" w:type="dxa"/>
            <w:vMerge/>
            <w:shd w:val="clear" w:color="auto" w:fill="C5DFB3"/>
          </w:tcPr>
          <w:p>
            <w:pPr/>
          </w:p>
        </w:tc>
        <w:tc>
          <w:tcPr>
            <w:tcW w:w="1490"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5"/>
              <w:jc w:val="left"/>
              <w:rPr>
                <w:rFonts w:ascii="Times New Roman"/>
                <w:sz w:val="14"/>
              </w:rPr>
            </w:pPr>
          </w:p>
          <w:p>
            <w:pPr>
              <w:pStyle w:val="TableParagraph"/>
              <w:ind w:left="57"/>
              <w:jc w:val="left"/>
              <w:rPr>
                <w:b/>
                <w:sz w:val="18"/>
              </w:rPr>
            </w:pPr>
            <w:r>
              <w:rPr>
                <w:b/>
                <w:w w:val="100"/>
                <w:sz w:val="18"/>
              </w:rPr>
              <w:t>Autoriz</w:t>
            </w:r>
            <w:r>
              <w:rPr>
                <w:b/>
                <w:w w:val="99"/>
                <w:sz w:val="18"/>
              </w:rPr>
              <w:t>a</w:t>
            </w:r>
            <w:r>
              <w:rPr>
                <w:b/>
                <w:w w:val="100"/>
                <w:sz w:val="18"/>
              </w:rPr>
              <w:t>do</w:t>
            </w:r>
          </w:p>
        </w:tc>
        <w:tc>
          <w:tcPr>
            <w:tcW w:w="1683"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9"/>
              <w:jc w:val="left"/>
              <w:rPr>
                <w:rFonts w:ascii="Times New Roman"/>
                <w:sz w:val="22"/>
              </w:rPr>
            </w:pPr>
          </w:p>
          <w:p>
            <w:pPr>
              <w:pStyle w:val="TableParagraph"/>
              <w:ind w:left="52"/>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416"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27"/>
              <w:ind w:left="172" w:right="83"/>
              <w:jc w:val="left"/>
              <w:rPr>
                <w:b/>
                <w:sz w:val="18"/>
              </w:rPr>
            </w:pPr>
            <w:r>
              <w:rPr>
                <w:b/>
                <w:w w:val="100"/>
                <w:sz w:val="18"/>
              </w:rPr>
              <w:t>Eje</w:t>
            </w:r>
            <w:r>
              <w:rPr>
                <w:b/>
                <w:w w:val="99"/>
                <w:sz w:val="18"/>
              </w:rPr>
              <w:t>rci</w:t>
            </w:r>
            <w:r>
              <w:rPr>
                <w:b/>
                <w:w w:val="100"/>
                <w:sz w:val="18"/>
              </w:rPr>
              <w:t>do</w:t>
            </w:r>
          </w:p>
        </w:tc>
        <w:tc>
          <w:tcPr>
            <w:tcW w:w="1493"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5"/>
              <w:jc w:val="left"/>
              <w:rPr>
                <w:rFonts w:ascii="Times New Roman"/>
                <w:sz w:val="14"/>
              </w:rPr>
            </w:pPr>
          </w:p>
          <w:p>
            <w:pPr>
              <w:pStyle w:val="TableParagraph"/>
              <w:ind w:left="57"/>
              <w:jc w:val="left"/>
              <w:rPr>
                <w:b/>
                <w:sz w:val="18"/>
              </w:rPr>
            </w:pPr>
            <w:r>
              <w:rPr>
                <w:b/>
                <w:sz w:val="18"/>
              </w:rPr>
              <w:t>Por </w:t>
            </w:r>
            <w:r>
              <w:rPr>
                <w:b/>
                <w:w w:val="99"/>
                <w:sz w:val="18"/>
              </w:rPr>
              <w:t>e</w:t>
            </w:r>
            <w:r>
              <w:rPr>
                <w:b/>
                <w:w w:val="100"/>
                <w:sz w:val="18"/>
              </w:rPr>
              <w:t>je</w:t>
            </w:r>
            <w:r>
              <w:rPr>
                <w:b/>
                <w:w w:val="99"/>
                <w:sz w:val="18"/>
              </w:rPr>
              <w:t>rcer</w:t>
            </w:r>
          </w:p>
        </w:tc>
        <w:tc>
          <w:tcPr>
            <w:tcW w:w="154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6"/>
              <w:jc w:val="left"/>
              <w:rPr>
                <w:rFonts w:ascii="Times New Roman"/>
                <w:sz w:val="16"/>
              </w:rPr>
            </w:pPr>
          </w:p>
          <w:p>
            <w:pPr>
              <w:pStyle w:val="TableParagraph"/>
              <w:ind w:left="57"/>
              <w:jc w:val="left"/>
              <w:rPr>
                <w:b/>
                <w:sz w:val="18"/>
              </w:rPr>
            </w:pPr>
            <w:r>
              <w:rPr>
                <w:b/>
                <w:w w:val="100"/>
                <w:sz w:val="18"/>
              </w:rPr>
              <w:t>Autoriz</w:t>
            </w:r>
            <w:r>
              <w:rPr>
                <w:b/>
                <w:w w:val="99"/>
                <w:sz w:val="18"/>
              </w:rPr>
              <w:t>a</w:t>
            </w:r>
            <w:r>
              <w:rPr>
                <w:b/>
                <w:w w:val="100"/>
                <w:sz w:val="18"/>
              </w:rPr>
              <w:t>do</w:t>
            </w:r>
          </w:p>
        </w:tc>
        <w:tc>
          <w:tcPr>
            <w:tcW w:w="170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23"/>
              </w:rPr>
            </w:pPr>
          </w:p>
          <w:p>
            <w:pPr>
              <w:pStyle w:val="TableParagraph"/>
              <w:ind w:left="52"/>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597"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18"/>
              </w:rPr>
            </w:pPr>
          </w:p>
          <w:p>
            <w:pPr>
              <w:pStyle w:val="TableParagraph"/>
              <w:ind w:left="172" w:right="83"/>
              <w:jc w:val="left"/>
              <w:rPr>
                <w:b/>
                <w:sz w:val="18"/>
              </w:rPr>
            </w:pPr>
            <w:r>
              <w:rPr>
                <w:b/>
                <w:w w:val="100"/>
                <w:sz w:val="18"/>
              </w:rPr>
              <w:t>Eje</w:t>
            </w:r>
            <w:r>
              <w:rPr>
                <w:b/>
                <w:w w:val="99"/>
                <w:sz w:val="18"/>
              </w:rPr>
              <w:t>rci</w:t>
            </w:r>
            <w:r>
              <w:rPr>
                <w:b/>
                <w:w w:val="100"/>
                <w:sz w:val="18"/>
              </w:rPr>
              <w:t>do</w:t>
            </w:r>
          </w:p>
        </w:tc>
        <w:tc>
          <w:tcPr>
            <w:tcW w:w="170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23"/>
              </w:rPr>
            </w:pPr>
          </w:p>
          <w:p>
            <w:pPr>
              <w:pStyle w:val="TableParagraph"/>
              <w:ind w:left="57"/>
              <w:jc w:val="left"/>
              <w:rPr>
                <w:b/>
                <w:sz w:val="18"/>
              </w:rPr>
            </w:pPr>
            <w:r>
              <w:rPr>
                <w:b/>
                <w:sz w:val="18"/>
              </w:rPr>
              <w:t>Por </w:t>
            </w:r>
            <w:r>
              <w:rPr>
                <w:b/>
                <w:w w:val="99"/>
                <w:sz w:val="18"/>
              </w:rPr>
              <w:t>e</w:t>
            </w:r>
            <w:r>
              <w:rPr>
                <w:b/>
                <w:w w:val="100"/>
                <w:sz w:val="18"/>
              </w:rPr>
              <w:t>je</w:t>
            </w:r>
            <w:r>
              <w:rPr>
                <w:b/>
                <w:w w:val="99"/>
                <w:sz w:val="18"/>
              </w:rPr>
              <w:t>rcer</w:t>
            </w:r>
          </w:p>
        </w:tc>
      </w:tr>
      <w:tr>
        <w:trPr>
          <w:trHeight w:val="632" w:hRule="exact"/>
        </w:trPr>
        <w:tc>
          <w:tcPr>
            <w:tcW w:w="1743" w:type="dxa"/>
          </w:tcPr>
          <w:p>
            <w:pPr>
              <w:pStyle w:val="TableParagraph"/>
              <w:spacing w:line="360" w:lineRule="auto"/>
              <w:ind w:left="64" w:right="149"/>
              <w:jc w:val="left"/>
              <w:rPr>
                <w:b/>
                <w:sz w:val="18"/>
              </w:rPr>
            </w:pPr>
            <w:r>
              <w:rPr>
                <w:b/>
                <w:color w:val="333333"/>
                <w:sz w:val="18"/>
              </w:rPr>
              <w:t>SAN FELIPE DEL PROGRESO</w:t>
            </w:r>
          </w:p>
        </w:tc>
        <w:tc>
          <w:tcPr>
            <w:tcW w:w="1490" w:type="dxa"/>
          </w:tcPr>
          <w:p>
            <w:pPr>
              <w:pStyle w:val="TableParagraph"/>
              <w:spacing w:before="155"/>
              <w:ind w:left="41" w:right="45"/>
              <w:rPr>
                <w:sz w:val="18"/>
              </w:rPr>
            </w:pPr>
            <w:r>
              <w:rPr>
                <w:sz w:val="18"/>
              </w:rPr>
              <w:t>$0.00</w:t>
            </w:r>
          </w:p>
        </w:tc>
        <w:tc>
          <w:tcPr>
            <w:tcW w:w="1683" w:type="dxa"/>
          </w:tcPr>
          <w:p>
            <w:pPr>
              <w:pStyle w:val="TableParagraph"/>
              <w:spacing w:before="155"/>
              <w:ind w:left="609"/>
              <w:jc w:val="left"/>
              <w:rPr>
                <w:sz w:val="18"/>
              </w:rPr>
            </w:pPr>
            <w:r>
              <w:rPr>
                <w:sz w:val="18"/>
              </w:rPr>
              <w:t>$0.00</w:t>
            </w:r>
          </w:p>
        </w:tc>
        <w:tc>
          <w:tcPr>
            <w:tcW w:w="1416" w:type="dxa"/>
          </w:tcPr>
          <w:p>
            <w:pPr>
              <w:pStyle w:val="TableParagraph"/>
              <w:spacing w:before="155"/>
              <w:ind w:left="57" w:right="58"/>
              <w:rPr>
                <w:sz w:val="18"/>
              </w:rPr>
            </w:pPr>
            <w:r>
              <w:rPr>
                <w:sz w:val="18"/>
              </w:rPr>
              <w:t>$0.00</w:t>
            </w:r>
          </w:p>
        </w:tc>
        <w:tc>
          <w:tcPr>
            <w:tcW w:w="1493" w:type="dxa"/>
          </w:tcPr>
          <w:p>
            <w:pPr>
              <w:pStyle w:val="TableParagraph"/>
              <w:spacing w:before="155"/>
              <w:ind w:left="44" w:right="45"/>
              <w:rPr>
                <w:sz w:val="18"/>
              </w:rPr>
            </w:pPr>
            <w:r>
              <w:rPr>
                <w:sz w:val="18"/>
              </w:rPr>
              <w:t>$0.00</w:t>
            </w:r>
          </w:p>
        </w:tc>
        <w:tc>
          <w:tcPr>
            <w:tcW w:w="1541" w:type="dxa"/>
          </w:tcPr>
          <w:p>
            <w:pPr>
              <w:pStyle w:val="TableParagraph"/>
              <w:spacing w:before="155"/>
              <w:ind w:left="69" w:right="70"/>
              <w:rPr>
                <w:sz w:val="18"/>
              </w:rPr>
            </w:pPr>
            <w:r>
              <w:rPr>
                <w:sz w:val="18"/>
              </w:rPr>
              <w:t>$0.00</w:t>
            </w:r>
          </w:p>
        </w:tc>
        <w:tc>
          <w:tcPr>
            <w:tcW w:w="1702" w:type="dxa"/>
          </w:tcPr>
          <w:p>
            <w:pPr>
              <w:pStyle w:val="TableParagraph"/>
              <w:spacing w:before="155"/>
              <w:ind w:left="74" w:right="75"/>
              <w:rPr>
                <w:sz w:val="18"/>
              </w:rPr>
            </w:pPr>
            <w:r>
              <w:rPr>
                <w:sz w:val="18"/>
              </w:rPr>
              <w:t>$0.00</w:t>
            </w:r>
          </w:p>
        </w:tc>
        <w:tc>
          <w:tcPr>
            <w:tcW w:w="1597" w:type="dxa"/>
          </w:tcPr>
          <w:p>
            <w:pPr>
              <w:pStyle w:val="TableParagraph"/>
              <w:spacing w:before="155"/>
              <w:ind w:left="96" w:right="99"/>
              <w:rPr>
                <w:sz w:val="18"/>
              </w:rPr>
            </w:pPr>
            <w:r>
              <w:rPr>
                <w:sz w:val="18"/>
              </w:rPr>
              <w:t>$0.00</w:t>
            </w:r>
          </w:p>
        </w:tc>
        <w:tc>
          <w:tcPr>
            <w:tcW w:w="1702" w:type="dxa"/>
          </w:tcPr>
          <w:p>
            <w:pPr>
              <w:pStyle w:val="TableParagraph"/>
              <w:spacing w:before="155"/>
              <w:ind w:left="75" w:right="75"/>
              <w:rPr>
                <w:sz w:val="18"/>
              </w:rPr>
            </w:pPr>
            <w:r>
              <w:rPr>
                <w:sz w:val="18"/>
              </w:rPr>
              <w:t>$0.00</w:t>
            </w:r>
          </w:p>
        </w:tc>
      </w:tr>
      <w:tr>
        <w:trPr>
          <w:trHeight w:val="629" w:hRule="exact"/>
        </w:trPr>
        <w:tc>
          <w:tcPr>
            <w:tcW w:w="1743" w:type="dxa"/>
          </w:tcPr>
          <w:p>
            <w:pPr>
              <w:pStyle w:val="TableParagraph"/>
              <w:spacing w:line="360" w:lineRule="auto"/>
              <w:ind w:left="64" w:right="149"/>
              <w:jc w:val="left"/>
              <w:rPr>
                <w:b/>
                <w:sz w:val="18"/>
              </w:rPr>
            </w:pPr>
            <w:r>
              <w:rPr>
                <w:b/>
                <w:color w:val="333333"/>
                <w:sz w:val="18"/>
              </w:rPr>
              <w:t>SAN JOSE DEL RINCON</w:t>
            </w:r>
          </w:p>
        </w:tc>
        <w:tc>
          <w:tcPr>
            <w:tcW w:w="1490" w:type="dxa"/>
          </w:tcPr>
          <w:p>
            <w:pPr>
              <w:pStyle w:val="TableParagraph"/>
              <w:spacing w:before="152"/>
              <w:ind w:left="43" w:right="45"/>
              <w:rPr>
                <w:sz w:val="18"/>
              </w:rPr>
            </w:pPr>
            <w:r>
              <w:rPr>
                <w:sz w:val="18"/>
              </w:rPr>
              <w:t>$346,434,066.48</w:t>
            </w:r>
          </w:p>
        </w:tc>
        <w:tc>
          <w:tcPr>
            <w:tcW w:w="1683" w:type="dxa"/>
          </w:tcPr>
          <w:p>
            <w:pPr>
              <w:pStyle w:val="TableParagraph"/>
              <w:spacing w:before="152"/>
              <w:ind w:left="609"/>
              <w:jc w:val="left"/>
              <w:rPr>
                <w:sz w:val="18"/>
              </w:rPr>
            </w:pPr>
            <w:r>
              <w:rPr>
                <w:sz w:val="18"/>
              </w:rPr>
              <w:t>$0.00</w:t>
            </w:r>
          </w:p>
        </w:tc>
        <w:tc>
          <w:tcPr>
            <w:tcW w:w="1416" w:type="dxa"/>
          </w:tcPr>
          <w:p>
            <w:pPr>
              <w:pStyle w:val="TableParagraph"/>
              <w:spacing w:before="152"/>
              <w:ind w:left="57" w:right="58"/>
              <w:rPr>
                <w:sz w:val="18"/>
              </w:rPr>
            </w:pPr>
            <w:r>
              <w:rPr>
                <w:sz w:val="18"/>
              </w:rPr>
              <w:t>$0.00</w:t>
            </w:r>
          </w:p>
        </w:tc>
        <w:tc>
          <w:tcPr>
            <w:tcW w:w="1493" w:type="dxa"/>
          </w:tcPr>
          <w:p>
            <w:pPr>
              <w:pStyle w:val="TableParagraph"/>
              <w:spacing w:before="152"/>
              <w:ind w:left="45" w:right="45"/>
              <w:rPr>
                <w:sz w:val="18"/>
              </w:rPr>
            </w:pPr>
            <w:r>
              <w:rPr>
                <w:sz w:val="18"/>
              </w:rPr>
              <w:t>$346,434,066.48</w:t>
            </w:r>
          </w:p>
        </w:tc>
        <w:tc>
          <w:tcPr>
            <w:tcW w:w="1541" w:type="dxa"/>
          </w:tcPr>
          <w:p>
            <w:pPr>
              <w:pStyle w:val="TableParagraph"/>
              <w:spacing w:before="152"/>
              <w:ind w:left="70" w:right="70"/>
              <w:rPr>
                <w:sz w:val="18"/>
              </w:rPr>
            </w:pPr>
            <w:r>
              <w:rPr>
                <w:sz w:val="18"/>
              </w:rPr>
              <w:t>$382,803,095.76</w:t>
            </w:r>
          </w:p>
        </w:tc>
        <w:tc>
          <w:tcPr>
            <w:tcW w:w="1702" w:type="dxa"/>
          </w:tcPr>
          <w:p>
            <w:pPr>
              <w:pStyle w:val="TableParagraph"/>
              <w:spacing w:before="152"/>
              <w:ind w:left="74" w:right="75"/>
              <w:rPr>
                <w:sz w:val="18"/>
              </w:rPr>
            </w:pPr>
            <w:r>
              <w:rPr>
                <w:sz w:val="18"/>
              </w:rPr>
              <w:t>$0.00</w:t>
            </w:r>
          </w:p>
        </w:tc>
        <w:tc>
          <w:tcPr>
            <w:tcW w:w="1597" w:type="dxa"/>
          </w:tcPr>
          <w:p>
            <w:pPr>
              <w:pStyle w:val="TableParagraph"/>
              <w:spacing w:before="152"/>
              <w:ind w:left="96" w:right="99"/>
              <w:rPr>
                <w:sz w:val="18"/>
              </w:rPr>
            </w:pPr>
            <w:r>
              <w:rPr>
                <w:sz w:val="18"/>
              </w:rPr>
              <w:t>$0.00</w:t>
            </w:r>
          </w:p>
        </w:tc>
        <w:tc>
          <w:tcPr>
            <w:tcW w:w="1702" w:type="dxa"/>
          </w:tcPr>
          <w:p>
            <w:pPr>
              <w:pStyle w:val="TableParagraph"/>
              <w:spacing w:before="152"/>
              <w:ind w:left="73" w:right="75"/>
              <w:rPr>
                <w:sz w:val="18"/>
              </w:rPr>
            </w:pPr>
            <w:r>
              <w:rPr>
                <w:sz w:val="18"/>
              </w:rPr>
              <w:t>$382,803,095.76</w:t>
            </w:r>
          </w:p>
        </w:tc>
      </w:tr>
      <w:tr>
        <w:trPr>
          <w:trHeight w:val="631" w:hRule="exact"/>
        </w:trPr>
        <w:tc>
          <w:tcPr>
            <w:tcW w:w="1743" w:type="dxa"/>
          </w:tcPr>
          <w:p>
            <w:pPr>
              <w:pStyle w:val="TableParagraph"/>
              <w:spacing w:line="360" w:lineRule="auto"/>
              <w:ind w:left="64" w:right="149"/>
              <w:jc w:val="left"/>
              <w:rPr>
                <w:b/>
                <w:sz w:val="18"/>
              </w:rPr>
            </w:pPr>
            <w:r>
              <w:rPr>
                <w:b/>
                <w:color w:val="333333"/>
                <w:sz w:val="18"/>
              </w:rPr>
              <w:t>SAN MARTÍN DE LAS PIRAMIDES</w:t>
            </w:r>
          </w:p>
        </w:tc>
        <w:tc>
          <w:tcPr>
            <w:tcW w:w="1490" w:type="dxa"/>
          </w:tcPr>
          <w:p>
            <w:pPr>
              <w:pStyle w:val="TableParagraph"/>
              <w:spacing w:before="155"/>
              <w:ind w:left="43" w:right="45"/>
              <w:rPr>
                <w:sz w:val="18"/>
              </w:rPr>
            </w:pPr>
            <w:r>
              <w:rPr>
                <w:sz w:val="18"/>
              </w:rPr>
              <w:t>$72,725,334.00</w:t>
            </w:r>
          </w:p>
        </w:tc>
        <w:tc>
          <w:tcPr>
            <w:tcW w:w="1683" w:type="dxa"/>
          </w:tcPr>
          <w:p>
            <w:pPr>
              <w:pStyle w:val="TableParagraph"/>
              <w:spacing w:before="155"/>
              <w:ind w:left="609"/>
              <w:jc w:val="left"/>
              <w:rPr>
                <w:sz w:val="18"/>
              </w:rPr>
            </w:pPr>
            <w:r>
              <w:rPr>
                <w:sz w:val="18"/>
              </w:rPr>
              <w:t>$0.00</w:t>
            </w:r>
          </w:p>
        </w:tc>
        <w:tc>
          <w:tcPr>
            <w:tcW w:w="1416" w:type="dxa"/>
          </w:tcPr>
          <w:p>
            <w:pPr>
              <w:pStyle w:val="TableParagraph"/>
              <w:spacing w:before="155"/>
              <w:ind w:left="57" w:right="58"/>
              <w:rPr>
                <w:sz w:val="18"/>
              </w:rPr>
            </w:pPr>
            <w:r>
              <w:rPr>
                <w:sz w:val="18"/>
              </w:rPr>
              <w:t>$0.00</w:t>
            </w:r>
          </w:p>
        </w:tc>
        <w:tc>
          <w:tcPr>
            <w:tcW w:w="1493" w:type="dxa"/>
          </w:tcPr>
          <w:p>
            <w:pPr>
              <w:pStyle w:val="TableParagraph"/>
              <w:spacing w:before="155"/>
              <w:ind w:left="44" w:right="45"/>
              <w:rPr>
                <w:sz w:val="18"/>
              </w:rPr>
            </w:pPr>
            <w:r>
              <w:rPr>
                <w:sz w:val="18"/>
              </w:rPr>
              <w:t>$72,725,334.00</w:t>
            </w:r>
          </w:p>
        </w:tc>
        <w:tc>
          <w:tcPr>
            <w:tcW w:w="1541" w:type="dxa"/>
          </w:tcPr>
          <w:p>
            <w:pPr>
              <w:pStyle w:val="TableParagraph"/>
              <w:spacing w:before="155"/>
              <w:ind w:left="69" w:right="70"/>
              <w:rPr>
                <w:sz w:val="18"/>
              </w:rPr>
            </w:pPr>
            <w:r>
              <w:rPr>
                <w:sz w:val="18"/>
              </w:rPr>
              <w:t>$94,123,200.00</w:t>
            </w:r>
          </w:p>
        </w:tc>
        <w:tc>
          <w:tcPr>
            <w:tcW w:w="1702" w:type="dxa"/>
          </w:tcPr>
          <w:p>
            <w:pPr>
              <w:pStyle w:val="TableParagraph"/>
              <w:spacing w:before="155"/>
              <w:ind w:left="74" w:right="75"/>
              <w:rPr>
                <w:sz w:val="18"/>
              </w:rPr>
            </w:pPr>
            <w:r>
              <w:rPr>
                <w:sz w:val="18"/>
              </w:rPr>
              <w:t>$0.00</w:t>
            </w:r>
          </w:p>
        </w:tc>
        <w:tc>
          <w:tcPr>
            <w:tcW w:w="1597" w:type="dxa"/>
          </w:tcPr>
          <w:p>
            <w:pPr>
              <w:pStyle w:val="TableParagraph"/>
              <w:spacing w:before="155"/>
              <w:ind w:left="96" w:right="99"/>
              <w:rPr>
                <w:sz w:val="18"/>
              </w:rPr>
            </w:pPr>
            <w:r>
              <w:rPr>
                <w:sz w:val="18"/>
              </w:rPr>
              <w:t>$139,386.00</w:t>
            </w:r>
          </w:p>
        </w:tc>
        <w:tc>
          <w:tcPr>
            <w:tcW w:w="1702" w:type="dxa"/>
          </w:tcPr>
          <w:p>
            <w:pPr>
              <w:pStyle w:val="TableParagraph"/>
              <w:spacing w:before="155"/>
              <w:ind w:left="73" w:right="75"/>
              <w:rPr>
                <w:sz w:val="18"/>
              </w:rPr>
            </w:pPr>
            <w:r>
              <w:rPr>
                <w:sz w:val="18"/>
              </w:rPr>
              <w:t>$93,983,814.00</w:t>
            </w:r>
          </w:p>
        </w:tc>
      </w:tr>
      <w:tr>
        <w:trPr>
          <w:trHeight w:val="631" w:hRule="exact"/>
        </w:trPr>
        <w:tc>
          <w:tcPr>
            <w:tcW w:w="1743" w:type="dxa"/>
          </w:tcPr>
          <w:p>
            <w:pPr>
              <w:pStyle w:val="TableParagraph"/>
              <w:tabs>
                <w:tab w:pos="1012" w:val="left" w:leader="none"/>
              </w:tabs>
              <w:spacing w:line="360" w:lineRule="auto"/>
              <w:ind w:left="64" w:right="69"/>
              <w:jc w:val="left"/>
              <w:rPr>
                <w:b/>
                <w:sz w:val="18"/>
              </w:rPr>
            </w:pPr>
            <w:r>
              <w:rPr>
                <w:b/>
                <w:color w:val="333333"/>
                <w:sz w:val="18"/>
              </w:rPr>
              <w:t>SAN</w:t>
              <w:tab/>
              <w:t>MATEO ATENCO</w:t>
            </w:r>
          </w:p>
        </w:tc>
        <w:tc>
          <w:tcPr>
            <w:tcW w:w="1490" w:type="dxa"/>
          </w:tcPr>
          <w:p>
            <w:pPr>
              <w:pStyle w:val="TableParagraph"/>
              <w:spacing w:before="155"/>
              <w:ind w:left="41" w:right="45"/>
              <w:rPr>
                <w:sz w:val="18"/>
              </w:rPr>
            </w:pPr>
            <w:r>
              <w:rPr>
                <w:sz w:val="18"/>
              </w:rPr>
              <w:t>$0.00</w:t>
            </w:r>
          </w:p>
        </w:tc>
        <w:tc>
          <w:tcPr>
            <w:tcW w:w="1683" w:type="dxa"/>
          </w:tcPr>
          <w:p>
            <w:pPr>
              <w:pStyle w:val="TableParagraph"/>
              <w:spacing w:before="155"/>
              <w:ind w:left="609"/>
              <w:jc w:val="left"/>
              <w:rPr>
                <w:sz w:val="18"/>
              </w:rPr>
            </w:pPr>
            <w:r>
              <w:rPr>
                <w:sz w:val="18"/>
              </w:rPr>
              <w:t>$0.00</w:t>
            </w:r>
          </w:p>
        </w:tc>
        <w:tc>
          <w:tcPr>
            <w:tcW w:w="1416" w:type="dxa"/>
          </w:tcPr>
          <w:p>
            <w:pPr>
              <w:pStyle w:val="TableParagraph"/>
              <w:spacing w:before="155"/>
              <w:ind w:left="57" w:right="58"/>
              <w:rPr>
                <w:sz w:val="18"/>
              </w:rPr>
            </w:pPr>
            <w:r>
              <w:rPr>
                <w:sz w:val="18"/>
              </w:rPr>
              <w:t>$0.00</w:t>
            </w:r>
          </w:p>
        </w:tc>
        <w:tc>
          <w:tcPr>
            <w:tcW w:w="1493" w:type="dxa"/>
          </w:tcPr>
          <w:p>
            <w:pPr>
              <w:pStyle w:val="TableParagraph"/>
              <w:spacing w:before="155"/>
              <w:ind w:left="44" w:right="45"/>
              <w:rPr>
                <w:sz w:val="18"/>
              </w:rPr>
            </w:pPr>
            <w:r>
              <w:rPr>
                <w:sz w:val="18"/>
              </w:rPr>
              <w:t>$0.00</w:t>
            </w:r>
          </w:p>
        </w:tc>
        <w:tc>
          <w:tcPr>
            <w:tcW w:w="1541" w:type="dxa"/>
          </w:tcPr>
          <w:p>
            <w:pPr>
              <w:pStyle w:val="TableParagraph"/>
              <w:spacing w:before="155"/>
              <w:ind w:left="70" w:right="70"/>
              <w:rPr>
                <w:sz w:val="18"/>
              </w:rPr>
            </w:pPr>
            <w:r>
              <w:rPr>
                <w:sz w:val="18"/>
              </w:rPr>
              <w:t>$182,282,318.04</w:t>
            </w:r>
          </w:p>
        </w:tc>
        <w:tc>
          <w:tcPr>
            <w:tcW w:w="1702" w:type="dxa"/>
          </w:tcPr>
          <w:p>
            <w:pPr>
              <w:pStyle w:val="TableParagraph"/>
              <w:spacing w:before="155"/>
              <w:ind w:left="74" w:right="75"/>
              <w:rPr>
                <w:sz w:val="18"/>
              </w:rPr>
            </w:pPr>
            <w:r>
              <w:rPr>
                <w:sz w:val="18"/>
              </w:rPr>
              <w:t>$0.00</w:t>
            </w:r>
          </w:p>
        </w:tc>
        <w:tc>
          <w:tcPr>
            <w:tcW w:w="1597" w:type="dxa"/>
          </w:tcPr>
          <w:p>
            <w:pPr>
              <w:pStyle w:val="TableParagraph"/>
              <w:spacing w:before="155"/>
              <w:ind w:left="96" w:right="99"/>
              <w:rPr>
                <w:sz w:val="18"/>
              </w:rPr>
            </w:pPr>
            <w:r>
              <w:rPr>
                <w:sz w:val="18"/>
              </w:rPr>
              <w:t>$0.00</w:t>
            </w:r>
          </w:p>
        </w:tc>
        <w:tc>
          <w:tcPr>
            <w:tcW w:w="1702" w:type="dxa"/>
          </w:tcPr>
          <w:p>
            <w:pPr>
              <w:pStyle w:val="TableParagraph"/>
              <w:spacing w:before="155"/>
              <w:ind w:left="73" w:right="75"/>
              <w:rPr>
                <w:sz w:val="18"/>
              </w:rPr>
            </w:pPr>
            <w:r>
              <w:rPr>
                <w:sz w:val="18"/>
              </w:rPr>
              <w:t>$182,282,318.04</w:t>
            </w:r>
          </w:p>
        </w:tc>
      </w:tr>
      <w:tr>
        <w:trPr>
          <w:trHeight w:val="632" w:hRule="exact"/>
        </w:trPr>
        <w:tc>
          <w:tcPr>
            <w:tcW w:w="1743" w:type="dxa"/>
          </w:tcPr>
          <w:p>
            <w:pPr>
              <w:pStyle w:val="TableParagraph"/>
              <w:spacing w:line="362" w:lineRule="auto"/>
              <w:ind w:left="64" w:right="149"/>
              <w:jc w:val="left"/>
              <w:rPr>
                <w:b/>
                <w:sz w:val="18"/>
              </w:rPr>
            </w:pPr>
            <w:r>
              <w:rPr>
                <w:b/>
                <w:color w:val="333333"/>
                <w:sz w:val="18"/>
              </w:rPr>
              <w:t>SAN SIMON DE GUERRERO</w:t>
            </w:r>
          </w:p>
        </w:tc>
        <w:tc>
          <w:tcPr>
            <w:tcW w:w="1490" w:type="dxa"/>
          </w:tcPr>
          <w:p>
            <w:pPr>
              <w:pStyle w:val="TableParagraph"/>
              <w:spacing w:before="155"/>
              <w:ind w:left="41" w:right="45"/>
              <w:rPr>
                <w:sz w:val="18"/>
              </w:rPr>
            </w:pPr>
            <w:r>
              <w:rPr>
                <w:sz w:val="18"/>
              </w:rPr>
              <w:t>$0.00</w:t>
            </w:r>
          </w:p>
        </w:tc>
        <w:tc>
          <w:tcPr>
            <w:tcW w:w="1683" w:type="dxa"/>
          </w:tcPr>
          <w:p>
            <w:pPr>
              <w:pStyle w:val="TableParagraph"/>
              <w:spacing w:before="155"/>
              <w:ind w:left="609"/>
              <w:jc w:val="left"/>
              <w:rPr>
                <w:sz w:val="18"/>
              </w:rPr>
            </w:pPr>
            <w:r>
              <w:rPr>
                <w:sz w:val="18"/>
              </w:rPr>
              <w:t>$0.00</w:t>
            </w:r>
          </w:p>
        </w:tc>
        <w:tc>
          <w:tcPr>
            <w:tcW w:w="1416" w:type="dxa"/>
          </w:tcPr>
          <w:p>
            <w:pPr>
              <w:pStyle w:val="TableParagraph"/>
              <w:spacing w:before="155"/>
              <w:ind w:left="57" w:right="58"/>
              <w:rPr>
                <w:sz w:val="18"/>
              </w:rPr>
            </w:pPr>
            <w:r>
              <w:rPr>
                <w:sz w:val="18"/>
              </w:rPr>
              <w:t>$0.00</w:t>
            </w:r>
          </w:p>
        </w:tc>
        <w:tc>
          <w:tcPr>
            <w:tcW w:w="1493" w:type="dxa"/>
          </w:tcPr>
          <w:p>
            <w:pPr>
              <w:pStyle w:val="TableParagraph"/>
              <w:spacing w:before="155"/>
              <w:ind w:left="44" w:right="45"/>
              <w:rPr>
                <w:sz w:val="18"/>
              </w:rPr>
            </w:pPr>
            <w:r>
              <w:rPr>
                <w:sz w:val="18"/>
              </w:rPr>
              <w:t>$0.00</w:t>
            </w:r>
          </w:p>
        </w:tc>
        <w:tc>
          <w:tcPr>
            <w:tcW w:w="1541" w:type="dxa"/>
          </w:tcPr>
          <w:p>
            <w:pPr>
              <w:pStyle w:val="TableParagraph"/>
              <w:spacing w:before="155"/>
              <w:ind w:left="69" w:right="70"/>
              <w:rPr>
                <w:sz w:val="18"/>
              </w:rPr>
            </w:pPr>
            <w:r>
              <w:rPr>
                <w:sz w:val="18"/>
              </w:rPr>
              <w:t>$0.00</w:t>
            </w:r>
          </w:p>
        </w:tc>
        <w:tc>
          <w:tcPr>
            <w:tcW w:w="1702" w:type="dxa"/>
          </w:tcPr>
          <w:p>
            <w:pPr>
              <w:pStyle w:val="TableParagraph"/>
              <w:spacing w:before="155"/>
              <w:ind w:left="74" w:right="75"/>
              <w:rPr>
                <w:sz w:val="18"/>
              </w:rPr>
            </w:pPr>
            <w:r>
              <w:rPr>
                <w:sz w:val="18"/>
              </w:rPr>
              <w:t>$0.00</w:t>
            </w:r>
          </w:p>
        </w:tc>
        <w:tc>
          <w:tcPr>
            <w:tcW w:w="1597" w:type="dxa"/>
          </w:tcPr>
          <w:p>
            <w:pPr>
              <w:pStyle w:val="TableParagraph"/>
              <w:spacing w:before="155"/>
              <w:ind w:left="96" w:right="99"/>
              <w:rPr>
                <w:sz w:val="18"/>
              </w:rPr>
            </w:pPr>
            <w:r>
              <w:rPr>
                <w:sz w:val="18"/>
              </w:rPr>
              <w:t>$0.00</w:t>
            </w:r>
          </w:p>
        </w:tc>
        <w:tc>
          <w:tcPr>
            <w:tcW w:w="1702" w:type="dxa"/>
          </w:tcPr>
          <w:p>
            <w:pPr>
              <w:pStyle w:val="TableParagraph"/>
              <w:spacing w:before="155"/>
              <w:ind w:left="74" w:right="75"/>
              <w:rPr>
                <w:sz w:val="18"/>
              </w:rPr>
            </w:pPr>
            <w:r>
              <w:rPr>
                <w:sz w:val="18"/>
              </w:rPr>
              <w:t>$0.00</w:t>
            </w:r>
          </w:p>
        </w:tc>
      </w:tr>
      <w:tr>
        <w:trPr>
          <w:trHeight w:val="461" w:hRule="exact"/>
        </w:trPr>
        <w:tc>
          <w:tcPr>
            <w:tcW w:w="1743" w:type="dxa"/>
          </w:tcPr>
          <w:p>
            <w:pPr>
              <w:pStyle w:val="TableParagraph"/>
              <w:spacing w:before="64"/>
              <w:ind w:left="64" w:right="149"/>
              <w:jc w:val="left"/>
              <w:rPr>
                <w:b/>
                <w:sz w:val="18"/>
              </w:rPr>
            </w:pPr>
            <w:r>
              <w:rPr>
                <w:b/>
                <w:color w:val="333333"/>
                <w:sz w:val="18"/>
              </w:rPr>
              <w:t>SANTO TOMAS</w:t>
            </w:r>
          </w:p>
        </w:tc>
        <w:tc>
          <w:tcPr>
            <w:tcW w:w="1490" w:type="dxa"/>
          </w:tcPr>
          <w:p>
            <w:pPr>
              <w:pStyle w:val="TableParagraph"/>
              <w:spacing w:before="68"/>
              <w:ind w:left="41" w:right="45"/>
              <w:rPr>
                <w:sz w:val="18"/>
              </w:rPr>
            </w:pPr>
            <w:r>
              <w:rPr>
                <w:sz w:val="18"/>
              </w:rPr>
              <w:t>$0.00</w:t>
            </w:r>
          </w:p>
        </w:tc>
        <w:tc>
          <w:tcPr>
            <w:tcW w:w="1683" w:type="dxa"/>
          </w:tcPr>
          <w:p>
            <w:pPr>
              <w:pStyle w:val="TableParagraph"/>
              <w:spacing w:before="68"/>
              <w:ind w:left="609"/>
              <w:jc w:val="left"/>
              <w:rPr>
                <w:sz w:val="18"/>
              </w:rPr>
            </w:pPr>
            <w:r>
              <w:rPr>
                <w:sz w:val="18"/>
              </w:rPr>
              <w:t>$0.00</w:t>
            </w:r>
          </w:p>
        </w:tc>
        <w:tc>
          <w:tcPr>
            <w:tcW w:w="1416" w:type="dxa"/>
          </w:tcPr>
          <w:p>
            <w:pPr>
              <w:pStyle w:val="TableParagraph"/>
              <w:spacing w:before="68"/>
              <w:ind w:left="57" w:right="58"/>
              <w:rPr>
                <w:sz w:val="18"/>
              </w:rPr>
            </w:pPr>
            <w:r>
              <w:rPr>
                <w:sz w:val="18"/>
              </w:rPr>
              <w:t>$0.00</w:t>
            </w:r>
          </w:p>
        </w:tc>
        <w:tc>
          <w:tcPr>
            <w:tcW w:w="1493" w:type="dxa"/>
          </w:tcPr>
          <w:p>
            <w:pPr>
              <w:pStyle w:val="TableParagraph"/>
              <w:spacing w:before="68"/>
              <w:ind w:left="44" w:right="45"/>
              <w:rPr>
                <w:sz w:val="18"/>
              </w:rPr>
            </w:pPr>
            <w:r>
              <w:rPr>
                <w:sz w:val="18"/>
              </w:rPr>
              <w:t>$0.00</w:t>
            </w:r>
          </w:p>
        </w:tc>
        <w:tc>
          <w:tcPr>
            <w:tcW w:w="1541" w:type="dxa"/>
          </w:tcPr>
          <w:p>
            <w:pPr>
              <w:pStyle w:val="TableParagraph"/>
              <w:spacing w:before="68"/>
              <w:ind w:left="69" w:right="70"/>
              <w:rPr>
                <w:sz w:val="18"/>
              </w:rPr>
            </w:pPr>
            <w:r>
              <w:rPr>
                <w:sz w:val="18"/>
              </w:rPr>
              <w:t>$0.00</w:t>
            </w:r>
          </w:p>
        </w:tc>
        <w:tc>
          <w:tcPr>
            <w:tcW w:w="1702" w:type="dxa"/>
          </w:tcPr>
          <w:p>
            <w:pPr>
              <w:pStyle w:val="TableParagraph"/>
              <w:spacing w:before="68"/>
              <w:ind w:left="74" w:right="75"/>
              <w:rPr>
                <w:sz w:val="18"/>
              </w:rPr>
            </w:pPr>
            <w:r>
              <w:rPr>
                <w:sz w:val="18"/>
              </w:rPr>
              <w:t>$0.00</w:t>
            </w:r>
          </w:p>
        </w:tc>
        <w:tc>
          <w:tcPr>
            <w:tcW w:w="1597" w:type="dxa"/>
          </w:tcPr>
          <w:p>
            <w:pPr>
              <w:pStyle w:val="TableParagraph"/>
              <w:spacing w:before="68"/>
              <w:ind w:left="96" w:right="99"/>
              <w:rPr>
                <w:sz w:val="18"/>
              </w:rPr>
            </w:pPr>
            <w:r>
              <w:rPr>
                <w:sz w:val="18"/>
              </w:rPr>
              <w:t>$0.00</w:t>
            </w:r>
          </w:p>
        </w:tc>
        <w:tc>
          <w:tcPr>
            <w:tcW w:w="1702" w:type="dxa"/>
          </w:tcPr>
          <w:p>
            <w:pPr>
              <w:pStyle w:val="TableParagraph"/>
              <w:spacing w:before="68"/>
              <w:ind w:left="74" w:right="75"/>
              <w:rPr>
                <w:sz w:val="18"/>
              </w:rPr>
            </w:pPr>
            <w:r>
              <w:rPr>
                <w:sz w:val="18"/>
              </w:rPr>
              <w:t>$0.00</w:t>
            </w:r>
          </w:p>
        </w:tc>
      </w:tr>
      <w:tr>
        <w:trPr>
          <w:trHeight w:val="631" w:hRule="exact"/>
        </w:trPr>
        <w:tc>
          <w:tcPr>
            <w:tcW w:w="1743" w:type="dxa"/>
          </w:tcPr>
          <w:p>
            <w:pPr>
              <w:pStyle w:val="TableParagraph"/>
              <w:spacing w:line="360" w:lineRule="auto"/>
              <w:ind w:left="64" w:right="149"/>
              <w:jc w:val="left"/>
              <w:rPr>
                <w:b/>
                <w:sz w:val="18"/>
              </w:rPr>
            </w:pPr>
            <w:r>
              <w:rPr>
                <w:b/>
                <w:color w:val="333333"/>
                <w:sz w:val="18"/>
              </w:rPr>
              <w:t>SOYANIQUILPAN DE JUAREZ</w:t>
            </w:r>
          </w:p>
        </w:tc>
        <w:tc>
          <w:tcPr>
            <w:tcW w:w="1490" w:type="dxa"/>
          </w:tcPr>
          <w:p>
            <w:pPr>
              <w:pStyle w:val="TableParagraph"/>
              <w:spacing w:before="155"/>
              <w:ind w:left="41" w:right="45"/>
              <w:rPr>
                <w:sz w:val="18"/>
              </w:rPr>
            </w:pPr>
            <w:r>
              <w:rPr>
                <w:sz w:val="18"/>
              </w:rPr>
              <w:t>$0.00</w:t>
            </w:r>
          </w:p>
        </w:tc>
        <w:tc>
          <w:tcPr>
            <w:tcW w:w="1683" w:type="dxa"/>
          </w:tcPr>
          <w:p>
            <w:pPr>
              <w:pStyle w:val="TableParagraph"/>
              <w:spacing w:before="155"/>
              <w:ind w:left="609"/>
              <w:jc w:val="left"/>
              <w:rPr>
                <w:sz w:val="18"/>
              </w:rPr>
            </w:pPr>
            <w:r>
              <w:rPr>
                <w:sz w:val="18"/>
              </w:rPr>
              <w:t>$0.00</w:t>
            </w:r>
          </w:p>
        </w:tc>
        <w:tc>
          <w:tcPr>
            <w:tcW w:w="1416" w:type="dxa"/>
          </w:tcPr>
          <w:p>
            <w:pPr>
              <w:pStyle w:val="TableParagraph"/>
              <w:spacing w:before="155"/>
              <w:ind w:left="57" w:right="58"/>
              <w:rPr>
                <w:sz w:val="18"/>
              </w:rPr>
            </w:pPr>
            <w:r>
              <w:rPr>
                <w:sz w:val="18"/>
              </w:rPr>
              <w:t>$0.00</w:t>
            </w:r>
          </w:p>
        </w:tc>
        <w:tc>
          <w:tcPr>
            <w:tcW w:w="1493" w:type="dxa"/>
          </w:tcPr>
          <w:p>
            <w:pPr>
              <w:pStyle w:val="TableParagraph"/>
              <w:spacing w:before="155"/>
              <w:ind w:left="44" w:right="45"/>
              <w:rPr>
                <w:sz w:val="18"/>
              </w:rPr>
            </w:pPr>
            <w:r>
              <w:rPr>
                <w:sz w:val="18"/>
              </w:rPr>
              <w:t>$0.00</w:t>
            </w:r>
          </w:p>
        </w:tc>
        <w:tc>
          <w:tcPr>
            <w:tcW w:w="1541" w:type="dxa"/>
          </w:tcPr>
          <w:p>
            <w:pPr>
              <w:pStyle w:val="TableParagraph"/>
              <w:spacing w:before="155"/>
              <w:ind w:left="69" w:right="70"/>
              <w:rPr>
                <w:sz w:val="18"/>
              </w:rPr>
            </w:pPr>
            <w:r>
              <w:rPr>
                <w:sz w:val="18"/>
              </w:rPr>
              <w:t>$0.00</w:t>
            </w:r>
          </w:p>
        </w:tc>
        <w:tc>
          <w:tcPr>
            <w:tcW w:w="1702" w:type="dxa"/>
          </w:tcPr>
          <w:p>
            <w:pPr>
              <w:pStyle w:val="TableParagraph"/>
              <w:spacing w:before="155"/>
              <w:ind w:left="74" w:right="75"/>
              <w:rPr>
                <w:sz w:val="18"/>
              </w:rPr>
            </w:pPr>
            <w:r>
              <w:rPr>
                <w:sz w:val="18"/>
              </w:rPr>
              <w:t>$0.00</w:t>
            </w:r>
          </w:p>
        </w:tc>
        <w:tc>
          <w:tcPr>
            <w:tcW w:w="1597" w:type="dxa"/>
          </w:tcPr>
          <w:p>
            <w:pPr>
              <w:pStyle w:val="TableParagraph"/>
              <w:spacing w:before="155"/>
              <w:ind w:left="96" w:right="99"/>
              <w:rPr>
                <w:sz w:val="18"/>
              </w:rPr>
            </w:pPr>
            <w:r>
              <w:rPr>
                <w:sz w:val="18"/>
              </w:rPr>
              <w:t>$0.00</w:t>
            </w:r>
          </w:p>
        </w:tc>
        <w:tc>
          <w:tcPr>
            <w:tcW w:w="1702" w:type="dxa"/>
          </w:tcPr>
          <w:p>
            <w:pPr>
              <w:pStyle w:val="TableParagraph"/>
              <w:spacing w:before="155"/>
              <w:ind w:left="74" w:right="75"/>
              <w:rPr>
                <w:sz w:val="18"/>
              </w:rPr>
            </w:pPr>
            <w:r>
              <w:rPr>
                <w:sz w:val="18"/>
              </w:rPr>
              <w:t>$0.00</w:t>
            </w:r>
          </w:p>
        </w:tc>
      </w:tr>
      <w:tr>
        <w:trPr>
          <w:trHeight w:val="319" w:hRule="exact"/>
        </w:trPr>
        <w:tc>
          <w:tcPr>
            <w:tcW w:w="1743" w:type="dxa"/>
          </w:tcPr>
          <w:p>
            <w:pPr>
              <w:pStyle w:val="TableParagraph"/>
              <w:spacing w:line="201" w:lineRule="exact"/>
              <w:ind w:left="64" w:right="149"/>
              <w:jc w:val="left"/>
              <w:rPr>
                <w:b/>
                <w:sz w:val="18"/>
              </w:rPr>
            </w:pPr>
            <w:r>
              <w:rPr>
                <w:b/>
                <w:color w:val="333333"/>
                <w:sz w:val="18"/>
              </w:rPr>
              <w:t>SULTEPEC</w:t>
            </w:r>
          </w:p>
        </w:tc>
        <w:tc>
          <w:tcPr>
            <w:tcW w:w="1490" w:type="dxa"/>
          </w:tcPr>
          <w:p>
            <w:pPr>
              <w:pStyle w:val="TableParagraph"/>
              <w:spacing w:line="206" w:lineRule="exact"/>
              <w:ind w:left="41" w:right="45"/>
              <w:rPr>
                <w:sz w:val="18"/>
              </w:rPr>
            </w:pPr>
            <w:r>
              <w:rPr>
                <w:sz w:val="18"/>
              </w:rPr>
              <w:t>$0.00</w:t>
            </w:r>
          </w:p>
        </w:tc>
        <w:tc>
          <w:tcPr>
            <w:tcW w:w="1683" w:type="dxa"/>
          </w:tcPr>
          <w:p>
            <w:pPr>
              <w:pStyle w:val="TableParagraph"/>
              <w:spacing w:line="206" w:lineRule="exact"/>
              <w:ind w:left="609"/>
              <w:jc w:val="left"/>
              <w:rPr>
                <w:sz w:val="18"/>
              </w:rPr>
            </w:pPr>
            <w:r>
              <w:rPr>
                <w:sz w:val="18"/>
              </w:rPr>
              <w:t>$0.00</w:t>
            </w:r>
          </w:p>
        </w:tc>
        <w:tc>
          <w:tcPr>
            <w:tcW w:w="1416" w:type="dxa"/>
          </w:tcPr>
          <w:p>
            <w:pPr>
              <w:pStyle w:val="TableParagraph"/>
              <w:spacing w:line="206" w:lineRule="exact"/>
              <w:ind w:left="57" w:right="58"/>
              <w:rPr>
                <w:sz w:val="18"/>
              </w:rPr>
            </w:pPr>
            <w:r>
              <w:rPr>
                <w:sz w:val="18"/>
              </w:rPr>
              <w:t>$0.00</w:t>
            </w:r>
          </w:p>
        </w:tc>
        <w:tc>
          <w:tcPr>
            <w:tcW w:w="1493" w:type="dxa"/>
          </w:tcPr>
          <w:p>
            <w:pPr>
              <w:pStyle w:val="TableParagraph"/>
              <w:spacing w:line="206" w:lineRule="exact"/>
              <w:ind w:left="44" w:right="45"/>
              <w:rPr>
                <w:sz w:val="18"/>
              </w:rPr>
            </w:pPr>
            <w:r>
              <w:rPr>
                <w:sz w:val="18"/>
              </w:rPr>
              <w:t>$0.00</w:t>
            </w:r>
          </w:p>
        </w:tc>
        <w:tc>
          <w:tcPr>
            <w:tcW w:w="1541" w:type="dxa"/>
          </w:tcPr>
          <w:p>
            <w:pPr>
              <w:pStyle w:val="TableParagraph"/>
              <w:spacing w:line="206" w:lineRule="exact"/>
              <w:ind w:left="69" w:right="70"/>
              <w:rPr>
                <w:sz w:val="18"/>
              </w:rPr>
            </w:pPr>
            <w:r>
              <w:rPr>
                <w:sz w:val="18"/>
              </w:rPr>
              <w:t>$0.00</w:t>
            </w:r>
          </w:p>
        </w:tc>
        <w:tc>
          <w:tcPr>
            <w:tcW w:w="1702" w:type="dxa"/>
          </w:tcPr>
          <w:p>
            <w:pPr>
              <w:pStyle w:val="TableParagraph"/>
              <w:spacing w:line="206" w:lineRule="exact"/>
              <w:ind w:left="74" w:right="75"/>
              <w:rPr>
                <w:sz w:val="18"/>
              </w:rPr>
            </w:pPr>
            <w:r>
              <w:rPr>
                <w:sz w:val="18"/>
              </w:rPr>
              <w:t>$0.00</w:t>
            </w:r>
          </w:p>
        </w:tc>
        <w:tc>
          <w:tcPr>
            <w:tcW w:w="1597" w:type="dxa"/>
          </w:tcPr>
          <w:p>
            <w:pPr>
              <w:pStyle w:val="TableParagraph"/>
              <w:spacing w:line="206" w:lineRule="exact"/>
              <w:ind w:left="96" w:right="99"/>
              <w:rPr>
                <w:sz w:val="18"/>
              </w:rPr>
            </w:pPr>
            <w:r>
              <w:rPr>
                <w:sz w:val="18"/>
              </w:rPr>
              <w:t>$0.00</w:t>
            </w:r>
          </w:p>
        </w:tc>
        <w:tc>
          <w:tcPr>
            <w:tcW w:w="1702" w:type="dxa"/>
          </w:tcPr>
          <w:p>
            <w:pPr>
              <w:pStyle w:val="TableParagraph"/>
              <w:spacing w:line="206" w:lineRule="exact"/>
              <w:ind w:left="74" w:right="75"/>
              <w:rPr>
                <w:sz w:val="18"/>
              </w:rPr>
            </w:pPr>
            <w:r>
              <w:rPr>
                <w:sz w:val="18"/>
              </w:rPr>
              <w:t>$0.00</w:t>
            </w:r>
          </w:p>
        </w:tc>
      </w:tr>
      <w:tr>
        <w:trPr>
          <w:trHeight w:val="322" w:hRule="exact"/>
        </w:trPr>
        <w:tc>
          <w:tcPr>
            <w:tcW w:w="1743" w:type="dxa"/>
          </w:tcPr>
          <w:p>
            <w:pPr>
              <w:pStyle w:val="TableParagraph"/>
              <w:spacing w:line="201" w:lineRule="exact"/>
              <w:ind w:left="64" w:right="149"/>
              <w:jc w:val="left"/>
              <w:rPr>
                <w:b/>
                <w:sz w:val="18"/>
              </w:rPr>
            </w:pPr>
            <w:r>
              <w:rPr>
                <w:b/>
                <w:color w:val="333333"/>
                <w:sz w:val="18"/>
              </w:rPr>
              <w:t>TECAMAC</w:t>
            </w:r>
          </w:p>
        </w:tc>
        <w:tc>
          <w:tcPr>
            <w:tcW w:w="1490" w:type="dxa"/>
          </w:tcPr>
          <w:p>
            <w:pPr>
              <w:pStyle w:val="TableParagraph"/>
              <w:spacing w:line="206" w:lineRule="exact"/>
              <w:ind w:left="41" w:right="45"/>
              <w:rPr>
                <w:sz w:val="18"/>
              </w:rPr>
            </w:pPr>
            <w:r>
              <w:rPr>
                <w:sz w:val="18"/>
              </w:rPr>
              <w:t>$0.00</w:t>
            </w:r>
          </w:p>
        </w:tc>
        <w:tc>
          <w:tcPr>
            <w:tcW w:w="1683" w:type="dxa"/>
          </w:tcPr>
          <w:p>
            <w:pPr>
              <w:pStyle w:val="TableParagraph"/>
              <w:spacing w:line="206" w:lineRule="exact"/>
              <w:ind w:left="609"/>
              <w:jc w:val="left"/>
              <w:rPr>
                <w:sz w:val="18"/>
              </w:rPr>
            </w:pPr>
            <w:r>
              <w:rPr>
                <w:sz w:val="18"/>
              </w:rPr>
              <w:t>$0.00</w:t>
            </w:r>
          </w:p>
        </w:tc>
        <w:tc>
          <w:tcPr>
            <w:tcW w:w="1416" w:type="dxa"/>
          </w:tcPr>
          <w:p>
            <w:pPr>
              <w:pStyle w:val="TableParagraph"/>
              <w:spacing w:line="206" w:lineRule="exact"/>
              <w:ind w:left="57" w:right="58"/>
              <w:rPr>
                <w:sz w:val="18"/>
              </w:rPr>
            </w:pPr>
            <w:r>
              <w:rPr>
                <w:sz w:val="18"/>
              </w:rPr>
              <w:t>$0.00</w:t>
            </w:r>
          </w:p>
        </w:tc>
        <w:tc>
          <w:tcPr>
            <w:tcW w:w="1493" w:type="dxa"/>
          </w:tcPr>
          <w:p>
            <w:pPr>
              <w:pStyle w:val="TableParagraph"/>
              <w:spacing w:line="206" w:lineRule="exact"/>
              <w:ind w:left="44" w:right="45"/>
              <w:rPr>
                <w:sz w:val="18"/>
              </w:rPr>
            </w:pPr>
            <w:r>
              <w:rPr>
                <w:sz w:val="18"/>
              </w:rPr>
              <w:t>$0.00</w:t>
            </w:r>
          </w:p>
        </w:tc>
        <w:tc>
          <w:tcPr>
            <w:tcW w:w="1541" w:type="dxa"/>
          </w:tcPr>
          <w:p>
            <w:pPr>
              <w:pStyle w:val="TableParagraph"/>
              <w:spacing w:line="206" w:lineRule="exact"/>
              <w:ind w:left="70" w:right="70"/>
              <w:rPr>
                <w:sz w:val="18"/>
              </w:rPr>
            </w:pPr>
            <w:r>
              <w:rPr>
                <w:sz w:val="18"/>
              </w:rPr>
              <w:t>$816,096,461.00</w:t>
            </w:r>
          </w:p>
        </w:tc>
        <w:tc>
          <w:tcPr>
            <w:tcW w:w="1702" w:type="dxa"/>
          </w:tcPr>
          <w:p>
            <w:pPr>
              <w:pStyle w:val="TableParagraph"/>
              <w:spacing w:line="206" w:lineRule="exact"/>
              <w:ind w:left="74" w:right="75"/>
              <w:rPr>
                <w:sz w:val="18"/>
              </w:rPr>
            </w:pPr>
            <w:r>
              <w:rPr>
                <w:sz w:val="18"/>
              </w:rPr>
              <w:t>$0.00</w:t>
            </w:r>
          </w:p>
        </w:tc>
        <w:tc>
          <w:tcPr>
            <w:tcW w:w="1597" w:type="dxa"/>
          </w:tcPr>
          <w:p>
            <w:pPr>
              <w:pStyle w:val="TableParagraph"/>
              <w:spacing w:line="206" w:lineRule="exact"/>
              <w:ind w:left="96" w:right="99"/>
              <w:rPr>
                <w:sz w:val="18"/>
              </w:rPr>
            </w:pPr>
            <w:r>
              <w:rPr>
                <w:sz w:val="18"/>
              </w:rPr>
              <w:t>$925,530,122.49</w:t>
            </w:r>
          </w:p>
        </w:tc>
        <w:tc>
          <w:tcPr>
            <w:tcW w:w="1702" w:type="dxa"/>
          </w:tcPr>
          <w:p>
            <w:pPr>
              <w:pStyle w:val="TableParagraph"/>
              <w:spacing w:line="206" w:lineRule="exact"/>
              <w:ind w:left="73" w:right="75"/>
              <w:rPr>
                <w:sz w:val="18"/>
              </w:rPr>
            </w:pPr>
            <w:r>
              <w:rPr>
                <w:sz w:val="18"/>
              </w:rPr>
              <w:t>$109,433,661.49</w:t>
            </w:r>
          </w:p>
        </w:tc>
      </w:tr>
      <w:tr>
        <w:trPr>
          <w:trHeight w:val="319" w:hRule="exact"/>
        </w:trPr>
        <w:tc>
          <w:tcPr>
            <w:tcW w:w="1743" w:type="dxa"/>
          </w:tcPr>
          <w:p>
            <w:pPr>
              <w:pStyle w:val="TableParagraph"/>
              <w:spacing w:line="201" w:lineRule="exact"/>
              <w:ind w:left="64" w:right="149"/>
              <w:jc w:val="left"/>
              <w:rPr>
                <w:b/>
                <w:sz w:val="18"/>
              </w:rPr>
            </w:pPr>
            <w:r>
              <w:rPr>
                <w:b/>
                <w:color w:val="333333"/>
                <w:sz w:val="18"/>
              </w:rPr>
              <w:t>TEJUPILCO</w:t>
            </w:r>
          </w:p>
        </w:tc>
        <w:tc>
          <w:tcPr>
            <w:tcW w:w="1490" w:type="dxa"/>
          </w:tcPr>
          <w:p>
            <w:pPr>
              <w:pStyle w:val="TableParagraph"/>
              <w:spacing w:line="206" w:lineRule="exact"/>
              <w:ind w:left="41" w:right="45"/>
              <w:rPr>
                <w:sz w:val="18"/>
              </w:rPr>
            </w:pPr>
            <w:r>
              <w:rPr>
                <w:sz w:val="18"/>
              </w:rPr>
              <w:t>$0.00</w:t>
            </w:r>
          </w:p>
        </w:tc>
        <w:tc>
          <w:tcPr>
            <w:tcW w:w="1683" w:type="dxa"/>
          </w:tcPr>
          <w:p>
            <w:pPr>
              <w:pStyle w:val="TableParagraph"/>
              <w:spacing w:line="206" w:lineRule="exact"/>
              <w:ind w:left="609"/>
              <w:jc w:val="left"/>
              <w:rPr>
                <w:sz w:val="18"/>
              </w:rPr>
            </w:pPr>
            <w:r>
              <w:rPr>
                <w:sz w:val="18"/>
              </w:rPr>
              <w:t>$0.00</w:t>
            </w:r>
          </w:p>
        </w:tc>
        <w:tc>
          <w:tcPr>
            <w:tcW w:w="1416" w:type="dxa"/>
          </w:tcPr>
          <w:p>
            <w:pPr>
              <w:pStyle w:val="TableParagraph"/>
              <w:spacing w:line="206" w:lineRule="exact"/>
              <w:ind w:left="57" w:right="58"/>
              <w:rPr>
                <w:sz w:val="18"/>
              </w:rPr>
            </w:pPr>
            <w:r>
              <w:rPr>
                <w:sz w:val="18"/>
              </w:rPr>
              <w:t>$0.00</w:t>
            </w:r>
          </w:p>
        </w:tc>
        <w:tc>
          <w:tcPr>
            <w:tcW w:w="1493" w:type="dxa"/>
          </w:tcPr>
          <w:p>
            <w:pPr>
              <w:pStyle w:val="TableParagraph"/>
              <w:spacing w:line="206" w:lineRule="exact"/>
              <w:ind w:left="44" w:right="45"/>
              <w:rPr>
                <w:sz w:val="18"/>
              </w:rPr>
            </w:pPr>
            <w:r>
              <w:rPr>
                <w:sz w:val="18"/>
              </w:rPr>
              <w:t>$0.00</w:t>
            </w:r>
          </w:p>
        </w:tc>
        <w:tc>
          <w:tcPr>
            <w:tcW w:w="1541" w:type="dxa"/>
          </w:tcPr>
          <w:p>
            <w:pPr>
              <w:pStyle w:val="TableParagraph"/>
              <w:spacing w:line="206" w:lineRule="exact"/>
              <w:ind w:left="69" w:right="70"/>
              <w:rPr>
                <w:sz w:val="18"/>
              </w:rPr>
            </w:pPr>
            <w:r>
              <w:rPr>
                <w:sz w:val="18"/>
              </w:rPr>
              <w:t>$0.00</w:t>
            </w:r>
          </w:p>
        </w:tc>
        <w:tc>
          <w:tcPr>
            <w:tcW w:w="1702" w:type="dxa"/>
          </w:tcPr>
          <w:p>
            <w:pPr>
              <w:pStyle w:val="TableParagraph"/>
              <w:spacing w:line="206" w:lineRule="exact"/>
              <w:ind w:left="74" w:right="75"/>
              <w:rPr>
                <w:sz w:val="18"/>
              </w:rPr>
            </w:pPr>
            <w:r>
              <w:rPr>
                <w:sz w:val="18"/>
              </w:rPr>
              <w:t>$0.00</w:t>
            </w:r>
          </w:p>
        </w:tc>
        <w:tc>
          <w:tcPr>
            <w:tcW w:w="1597" w:type="dxa"/>
          </w:tcPr>
          <w:p>
            <w:pPr>
              <w:pStyle w:val="TableParagraph"/>
              <w:spacing w:line="206" w:lineRule="exact"/>
              <w:ind w:left="96" w:right="99"/>
              <w:rPr>
                <w:sz w:val="18"/>
              </w:rPr>
            </w:pPr>
            <w:r>
              <w:rPr>
                <w:sz w:val="18"/>
              </w:rPr>
              <w:t>$0.00</w:t>
            </w:r>
          </w:p>
        </w:tc>
        <w:tc>
          <w:tcPr>
            <w:tcW w:w="1702" w:type="dxa"/>
          </w:tcPr>
          <w:p>
            <w:pPr>
              <w:pStyle w:val="TableParagraph"/>
              <w:spacing w:line="206" w:lineRule="exact"/>
              <w:ind w:left="74" w:right="75"/>
              <w:rPr>
                <w:sz w:val="18"/>
              </w:rPr>
            </w:pPr>
            <w:r>
              <w:rPr>
                <w:sz w:val="18"/>
              </w:rPr>
              <w:t>$0.00</w:t>
            </w:r>
          </w:p>
        </w:tc>
      </w:tr>
      <w:tr>
        <w:trPr>
          <w:trHeight w:val="461" w:hRule="exact"/>
        </w:trPr>
        <w:tc>
          <w:tcPr>
            <w:tcW w:w="1743" w:type="dxa"/>
          </w:tcPr>
          <w:p>
            <w:pPr>
              <w:pStyle w:val="TableParagraph"/>
              <w:spacing w:before="66"/>
              <w:ind w:left="64" w:right="149"/>
              <w:jc w:val="left"/>
              <w:rPr>
                <w:b/>
                <w:sz w:val="18"/>
              </w:rPr>
            </w:pPr>
            <w:r>
              <w:rPr>
                <w:b/>
                <w:color w:val="333333"/>
                <w:sz w:val="18"/>
              </w:rPr>
              <w:t>TEMAMATLA</w:t>
            </w:r>
          </w:p>
        </w:tc>
        <w:tc>
          <w:tcPr>
            <w:tcW w:w="1490" w:type="dxa"/>
          </w:tcPr>
          <w:p>
            <w:pPr>
              <w:pStyle w:val="TableParagraph"/>
              <w:spacing w:before="71"/>
              <w:ind w:left="41" w:right="45"/>
              <w:rPr>
                <w:sz w:val="18"/>
              </w:rPr>
            </w:pPr>
            <w:r>
              <w:rPr>
                <w:sz w:val="18"/>
              </w:rPr>
              <w:t>$0.00</w:t>
            </w:r>
          </w:p>
        </w:tc>
        <w:tc>
          <w:tcPr>
            <w:tcW w:w="1683" w:type="dxa"/>
          </w:tcPr>
          <w:p>
            <w:pPr>
              <w:pStyle w:val="TableParagraph"/>
              <w:spacing w:before="71"/>
              <w:ind w:left="609"/>
              <w:jc w:val="left"/>
              <w:rPr>
                <w:sz w:val="18"/>
              </w:rPr>
            </w:pPr>
            <w:r>
              <w:rPr>
                <w:sz w:val="18"/>
              </w:rPr>
              <w:t>$0.00</w:t>
            </w:r>
          </w:p>
        </w:tc>
        <w:tc>
          <w:tcPr>
            <w:tcW w:w="1416" w:type="dxa"/>
          </w:tcPr>
          <w:p>
            <w:pPr>
              <w:pStyle w:val="TableParagraph"/>
              <w:spacing w:before="71"/>
              <w:ind w:left="57" w:right="58"/>
              <w:rPr>
                <w:sz w:val="18"/>
              </w:rPr>
            </w:pPr>
            <w:r>
              <w:rPr>
                <w:sz w:val="18"/>
              </w:rPr>
              <w:t>$0.00</w:t>
            </w:r>
          </w:p>
        </w:tc>
        <w:tc>
          <w:tcPr>
            <w:tcW w:w="1493" w:type="dxa"/>
          </w:tcPr>
          <w:p>
            <w:pPr>
              <w:pStyle w:val="TableParagraph"/>
              <w:spacing w:before="71"/>
              <w:ind w:left="44" w:right="45"/>
              <w:rPr>
                <w:sz w:val="18"/>
              </w:rPr>
            </w:pPr>
            <w:r>
              <w:rPr>
                <w:sz w:val="18"/>
              </w:rPr>
              <w:t>$0.00</w:t>
            </w:r>
          </w:p>
        </w:tc>
        <w:tc>
          <w:tcPr>
            <w:tcW w:w="1541" w:type="dxa"/>
          </w:tcPr>
          <w:p>
            <w:pPr>
              <w:pStyle w:val="TableParagraph"/>
              <w:spacing w:before="71"/>
              <w:ind w:left="69" w:right="70"/>
              <w:rPr>
                <w:sz w:val="18"/>
              </w:rPr>
            </w:pPr>
            <w:r>
              <w:rPr>
                <w:sz w:val="18"/>
              </w:rPr>
              <w:t>$0.00</w:t>
            </w:r>
          </w:p>
        </w:tc>
        <w:tc>
          <w:tcPr>
            <w:tcW w:w="1702" w:type="dxa"/>
          </w:tcPr>
          <w:p>
            <w:pPr>
              <w:pStyle w:val="TableParagraph"/>
              <w:spacing w:before="71"/>
              <w:ind w:left="74" w:right="75"/>
              <w:rPr>
                <w:sz w:val="18"/>
              </w:rPr>
            </w:pPr>
            <w:r>
              <w:rPr>
                <w:sz w:val="18"/>
              </w:rPr>
              <w:t>$0.00</w:t>
            </w:r>
          </w:p>
        </w:tc>
        <w:tc>
          <w:tcPr>
            <w:tcW w:w="1597" w:type="dxa"/>
          </w:tcPr>
          <w:p>
            <w:pPr>
              <w:pStyle w:val="TableParagraph"/>
              <w:spacing w:before="71"/>
              <w:ind w:left="96" w:right="99"/>
              <w:rPr>
                <w:sz w:val="18"/>
              </w:rPr>
            </w:pPr>
            <w:r>
              <w:rPr>
                <w:sz w:val="18"/>
              </w:rPr>
              <w:t>$0.00</w:t>
            </w:r>
          </w:p>
        </w:tc>
        <w:tc>
          <w:tcPr>
            <w:tcW w:w="1702" w:type="dxa"/>
          </w:tcPr>
          <w:p>
            <w:pPr>
              <w:pStyle w:val="TableParagraph"/>
              <w:spacing w:before="71"/>
              <w:ind w:left="74" w:right="75"/>
              <w:rPr>
                <w:sz w:val="18"/>
              </w:rPr>
            </w:pPr>
            <w:r>
              <w:rPr>
                <w:sz w:val="18"/>
              </w:rPr>
              <w:t>$0.00</w:t>
            </w:r>
          </w:p>
        </w:tc>
      </w:tr>
      <w:tr>
        <w:trPr>
          <w:trHeight w:val="322" w:hRule="exact"/>
        </w:trPr>
        <w:tc>
          <w:tcPr>
            <w:tcW w:w="1743" w:type="dxa"/>
          </w:tcPr>
          <w:p>
            <w:pPr>
              <w:pStyle w:val="TableParagraph"/>
              <w:spacing w:line="202" w:lineRule="exact"/>
              <w:ind w:left="64" w:right="149"/>
              <w:jc w:val="left"/>
              <w:rPr>
                <w:b/>
                <w:sz w:val="18"/>
              </w:rPr>
            </w:pPr>
            <w:r>
              <w:rPr>
                <w:b/>
                <w:color w:val="333333"/>
                <w:sz w:val="18"/>
              </w:rPr>
              <w:t>TEMASCALAPA</w:t>
            </w:r>
          </w:p>
        </w:tc>
        <w:tc>
          <w:tcPr>
            <w:tcW w:w="1490" w:type="dxa"/>
          </w:tcPr>
          <w:p>
            <w:pPr>
              <w:pStyle w:val="TableParagraph"/>
              <w:spacing w:line="207" w:lineRule="exact"/>
              <w:ind w:left="41" w:right="45"/>
              <w:rPr>
                <w:sz w:val="18"/>
              </w:rPr>
            </w:pPr>
            <w:r>
              <w:rPr>
                <w:sz w:val="18"/>
              </w:rPr>
              <w:t>$0.00</w:t>
            </w:r>
          </w:p>
        </w:tc>
        <w:tc>
          <w:tcPr>
            <w:tcW w:w="1683" w:type="dxa"/>
          </w:tcPr>
          <w:p>
            <w:pPr>
              <w:pStyle w:val="TableParagraph"/>
              <w:spacing w:line="207" w:lineRule="exact"/>
              <w:ind w:left="609"/>
              <w:jc w:val="left"/>
              <w:rPr>
                <w:sz w:val="18"/>
              </w:rPr>
            </w:pPr>
            <w:r>
              <w:rPr>
                <w:sz w:val="18"/>
              </w:rPr>
              <w:t>$0.00</w:t>
            </w:r>
          </w:p>
        </w:tc>
        <w:tc>
          <w:tcPr>
            <w:tcW w:w="1416" w:type="dxa"/>
          </w:tcPr>
          <w:p>
            <w:pPr>
              <w:pStyle w:val="TableParagraph"/>
              <w:spacing w:line="207" w:lineRule="exact"/>
              <w:ind w:left="57" w:right="58"/>
              <w:rPr>
                <w:sz w:val="18"/>
              </w:rPr>
            </w:pPr>
            <w:r>
              <w:rPr>
                <w:sz w:val="18"/>
              </w:rPr>
              <w:t>$0.00</w:t>
            </w:r>
          </w:p>
        </w:tc>
        <w:tc>
          <w:tcPr>
            <w:tcW w:w="1493" w:type="dxa"/>
          </w:tcPr>
          <w:p>
            <w:pPr>
              <w:pStyle w:val="TableParagraph"/>
              <w:spacing w:line="207" w:lineRule="exact"/>
              <w:ind w:left="44" w:right="45"/>
              <w:rPr>
                <w:sz w:val="18"/>
              </w:rPr>
            </w:pPr>
            <w:r>
              <w:rPr>
                <w:sz w:val="18"/>
              </w:rPr>
              <w:t>$0.00</w:t>
            </w:r>
          </w:p>
        </w:tc>
        <w:tc>
          <w:tcPr>
            <w:tcW w:w="1541" w:type="dxa"/>
          </w:tcPr>
          <w:p>
            <w:pPr>
              <w:pStyle w:val="TableParagraph"/>
              <w:spacing w:line="207" w:lineRule="exact"/>
              <w:ind w:left="70" w:right="70"/>
              <w:rPr>
                <w:sz w:val="18"/>
              </w:rPr>
            </w:pPr>
            <w:r>
              <w:rPr>
                <w:sz w:val="18"/>
              </w:rPr>
              <w:t>$116,810,856.00</w:t>
            </w:r>
          </w:p>
        </w:tc>
        <w:tc>
          <w:tcPr>
            <w:tcW w:w="1702" w:type="dxa"/>
          </w:tcPr>
          <w:p>
            <w:pPr>
              <w:pStyle w:val="TableParagraph"/>
              <w:spacing w:line="207" w:lineRule="exact"/>
              <w:ind w:left="74" w:right="75"/>
              <w:rPr>
                <w:sz w:val="18"/>
              </w:rPr>
            </w:pPr>
            <w:r>
              <w:rPr>
                <w:sz w:val="18"/>
              </w:rPr>
              <w:t>$0.00</w:t>
            </w:r>
          </w:p>
        </w:tc>
        <w:tc>
          <w:tcPr>
            <w:tcW w:w="1597" w:type="dxa"/>
          </w:tcPr>
          <w:p>
            <w:pPr>
              <w:pStyle w:val="TableParagraph"/>
              <w:spacing w:line="207" w:lineRule="exact"/>
              <w:ind w:left="96" w:right="99"/>
              <w:rPr>
                <w:sz w:val="18"/>
              </w:rPr>
            </w:pPr>
            <w:r>
              <w:rPr>
                <w:sz w:val="18"/>
              </w:rPr>
              <w:t>$0.00</w:t>
            </w:r>
          </w:p>
        </w:tc>
        <w:tc>
          <w:tcPr>
            <w:tcW w:w="1702" w:type="dxa"/>
          </w:tcPr>
          <w:p>
            <w:pPr>
              <w:pStyle w:val="TableParagraph"/>
              <w:spacing w:line="207" w:lineRule="exact"/>
              <w:ind w:left="73" w:right="75"/>
              <w:rPr>
                <w:sz w:val="18"/>
              </w:rPr>
            </w:pPr>
            <w:r>
              <w:rPr>
                <w:sz w:val="18"/>
              </w:rPr>
              <w:t>$116,810,856.00</w:t>
            </w:r>
          </w:p>
        </w:tc>
      </w:tr>
      <w:tr>
        <w:trPr>
          <w:trHeight w:val="319" w:hRule="exact"/>
        </w:trPr>
        <w:tc>
          <w:tcPr>
            <w:tcW w:w="1743" w:type="dxa"/>
          </w:tcPr>
          <w:p>
            <w:pPr>
              <w:pStyle w:val="TableParagraph"/>
              <w:spacing w:line="201" w:lineRule="exact"/>
              <w:ind w:left="64"/>
              <w:jc w:val="left"/>
              <w:rPr>
                <w:b/>
                <w:sz w:val="18"/>
              </w:rPr>
            </w:pPr>
            <w:r>
              <w:rPr>
                <w:b/>
                <w:color w:val="333333"/>
                <w:sz w:val="18"/>
              </w:rPr>
              <w:t>TEMASCALCINGO</w:t>
            </w:r>
          </w:p>
        </w:tc>
        <w:tc>
          <w:tcPr>
            <w:tcW w:w="1490" w:type="dxa"/>
          </w:tcPr>
          <w:p>
            <w:pPr>
              <w:pStyle w:val="TableParagraph"/>
              <w:spacing w:line="206" w:lineRule="exact"/>
              <w:ind w:left="41" w:right="45"/>
              <w:rPr>
                <w:sz w:val="18"/>
              </w:rPr>
            </w:pPr>
            <w:r>
              <w:rPr>
                <w:sz w:val="18"/>
              </w:rPr>
              <w:t>$0.00</w:t>
            </w:r>
          </w:p>
        </w:tc>
        <w:tc>
          <w:tcPr>
            <w:tcW w:w="1683" w:type="dxa"/>
          </w:tcPr>
          <w:p>
            <w:pPr>
              <w:pStyle w:val="TableParagraph"/>
              <w:spacing w:line="206" w:lineRule="exact"/>
              <w:ind w:left="609"/>
              <w:jc w:val="left"/>
              <w:rPr>
                <w:sz w:val="18"/>
              </w:rPr>
            </w:pPr>
            <w:r>
              <w:rPr>
                <w:sz w:val="18"/>
              </w:rPr>
              <w:t>$0.00</w:t>
            </w:r>
          </w:p>
        </w:tc>
        <w:tc>
          <w:tcPr>
            <w:tcW w:w="1416" w:type="dxa"/>
          </w:tcPr>
          <w:p>
            <w:pPr>
              <w:pStyle w:val="TableParagraph"/>
              <w:spacing w:line="206" w:lineRule="exact"/>
              <w:ind w:left="57" w:right="58"/>
              <w:rPr>
                <w:sz w:val="18"/>
              </w:rPr>
            </w:pPr>
            <w:r>
              <w:rPr>
                <w:sz w:val="18"/>
              </w:rPr>
              <w:t>$0.00</w:t>
            </w:r>
          </w:p>
        </w:tc>
        <w:tc>
          <w:tcPr>
            <w:tcW w:w="1493" w:type="dxa"/>
          </w:tcPr>
          <w:p>
            <w:pPr>
              <w:pStyle w:val="TableParagraph"/>
              <w:spacing w:line="206" w:lineRule="exact"/>
              <w:ind w:left="44" w:right="45"/>
              <w:rPr>
                <w:sz w:val="18"/>
              </w:rPr>
            </w:pPr>
            <w:r>
              <w:rPr>
                <w:sz w:val="18"/>
              </w:rPr>
              <w:t>$0.00</w:t>
            </w:r>
          </w:p>
        </w:tc>
        <w:tc>
          <w:tcPr>
            <w:tcW w:w="1541" w:type="dxa"/>
          </w:tcPr>
          <w:p>
            <w:pPr>
              <w:pStyle w:val="TableParagraph"/>
              <w:spacing w:line="206" w:lineRule="exact"/>
              <w:ind w:left="69" w:right="70"/>
              <w:rPr>
                <w:sz w:val="18"/>
              </w:rPr>
            </w:pPr>
            <w:r>
              <w:rPr>
                <w:sz w:val="18"/>
              </w:rPr>
              <w:t>$0.00</w:t>
            </w:r>
          </w:p>
        </w:tc>
        <w:tc>
          <w:tcPr>
            <w:tcW w:w="1702" w:type="dxa"/>
          </w:tcPr>
          <w:p>
            <w:pPr>
              <w:pStyle w:val="TableParagraph"/>
              <w:spacing w:line="206" w:lineRule="exact"/>
              <w:ind w:left="74" w:right="75"/>
              <w:rPr>
                <w:sz w:val="18"/>
              </w:rPr>
            </w:pPr>
            <w:r>
              <w:rPr>
                <w:sz w:val="18"/>
              </w:rPr>
              <w:t>$0.00</w:t>
            </w:r>
          </w:p>
        </w:tc>
        <w:tc>
          <w:tcPr>
            <w:tcW w:w="1597" w:type="dxa"/>
          </w:tcPr>
          <w:p>
            <w:pPr>
              <w:pStyle w:val="TableParagraph"/>
              <w:spacing w:line="206" w:lineRule="exact"/>
              <w:ind w:left="96" w:right="99"/>
              <w:rPr>
                <w:sz w:val="18"/>
              </w:rPr>
            </w:pPr>
            <w:r>
              <w:rPr>
                <w:sz w:val="18"/>
              </w:rPr>
              <w:t>$0.00</w:t>
            </w:r>
          </w:p>
        </w:tc>
        <w:tc>
          <w:tcPr>
            <w:tcW w:w="1702" w:type="dxa"/>
          </w:tcPr>
          <w:p>
            <w:pPr>
              <w:pStyle w:val="TableParagraph"/>
              <w:spacing w:line="206" w:lineRule="exact"/>
              <w:ind w:left="74" w:right="75"/>
              <w:rPr>
                <w:sz w:val="18"/>
              </w:rPr>
            </w:pPr>
            <w:r>
              <w:rPr>
                <w:sz w:val="18"/>
              </w:rPr>
              <w:t>$0.00</w:t>
            </w:r>
          </w:p>
        </w:tc>
      </w:tr>
      <w:tr>
        <w:trPr>
          <w:trHeight w:val="322" w:hRule="exact"/>
        </w:trPr>
        <w:tc>
          <w:tcPr>
            <w:tcW w:w="1743" w:type="dxa"/>
          </w:tcPr>
          <w:p>
            <w:pPr>
              <w:pStyle w:val="TableParagraph"/>
              <w:spacing w:line="201" w:lineRule="exact"/>
              <w:ind w:left="64"/>
              <w:jc w:val="left"/>
              <w:rPr>
                <w:b/>
                <w:sz w:val="18"/>
              </w:rPr>
            </w:pPr>
            <w:r>
              <w:rPr>
                <w:b/>
                <w:color w:val="333333"/>
                <w:sz w:val="18"/>
              </w:rPr>
              <w:t>TEMASCALTEPEC</w:t>
            </w:r>
          </w:p>
        </w:tc>
        <w:tc>
          <w:tcPr>
            <w:tcW w:w="1490" w:type="dxa"/>
          </w:tcPr>
          <w:p>
            <w:pPr>
              <w:pStyle w:val="TableParagraph"/>
              <w:spacing w:line="206" w:lineRule="exact"/>
              <w:ind w:left="41" w:right="45"/>
              <w:rPr>
                <w:sz w:val="18"/>
              </w:rPr>
            </w:pPr>
            <w:r>
              <w:rPr>
                <w:sz w:val="18"/>
              </w:rPr>
              <w:t>$0.00</w:t>
            </w:r>
          </w:p>
        </w:tc>
        <w:tc>
          <w:tcPr>
            <w:tcW w:w="1683" w:type="dxa"/>
          </w:tcPr>
          <w:p>
            <w:pPr>
              <w:pStyle w:val="TableParagraph"/>
              <w:spacing w:line="206" w:lineRule="exact"/>
              <w:ind w:left="609"/>
              <w:jc w:val="left"/>
              <w:rPr>
                <w:sz w:val="18"/>
              </w:rPr>
            </w:pPr>
            <w:r>
              <w:rPr>
                <w:sz w:val="18"/>
              </w:rPr>
              <w:t>$0.00</w:t>
            </w:r>
          </w:p>
        </w:tc>
        <w:tc>
          <w:tcPr>
            <w:tcW w:w="1416" w:type="dxa"/>
          </w:tcPr>
          <w:p>
            <w:pPr>
              <w:pStyle w:val="TableParagraph"/>
              <w:spacing w:line="206" w:lineRule="exact"/>
              <w:ind w:left="57" w:right="58"/>
              <w:rPr>
                <w:sz w:val="18"/>
              </w:rPr>
            </w:pPr>
            <w:r>
              <w:rPr>
                <w:sz w:val="18"/>
              </w:rPr>
              <w:t>$0.00</w:t>
            </w:r>
          </w:p>
        </w:tc>
        <w:tc>
          <w:tcPr>
            <w:tcW w:w="1493" w:type="dxa"/>
          </w:tcPr>
          <w:p>
            <w:pPr>
              <w:pStyle w:val="TableParagraph"/>
              <w:spacing w:line="206" w:lineRule="exact"/>
              <w:ind w:left="44" w:right="45"/>
              <w:rPr>
                <w:sz w:val="18"/>
              </w:rPr>
            </w:pPr>
            <w:r>
              <w:rPr>
                <w:sz w:val="18"/>
              </w:rPr>
              <w:t>$0.00</w:t>
            </w:r>
          </w:p>
        </w:tc>
        <w:tc>
          <w:tcPr>
            <w:tcW w:w="1541" w:type="dxa"/>
          </w:tcPr>
          <w:p>
            <w:pPr>
              <w:pStyle w:val="TableParagraph"/>
              <w:spacing w:line="206" w:lineRule="exact"/>
              <w:ind w:left="69" w:right="70"/>
              <w:rPr>
                <w:sz w:val="18"/>
              </w:rPr>
            </w:pPr>
            <w:r>
              <w:rPr>
                <w:sz w:val="18"/>
              </w:rPr>
              <w:t>$0.00</w:t>
            </w:r>
          </w:p>
        </w:tc>
        <w:tc>
          <w:tcPr>
            <w:tcW w:w="1702" w:type="dxa"/>
          </w:tcPr>
          <w:p>
            <w:pPr>
              <w:pStyle w:val="TableParagraph"/>
              <w:spacing w:line="206" w:lineRule="exact"/>
              <w:ind w:left="74" w:right="75"/>
              <w:rPr>
                <w:sz w:val="18"/>
              </w:rPr>
            </w:pPr>
            <w:r>
              <w:rPr>
                <w:sz w:val="18"/>
              </w:rPr>
              <w:t>$0.00</w:t>
            </w:r>
          </w:p>
        </w:tc>
        <w:tc>
          <w:tcPr>
            <w:tcW w:w="1597" w:type="dxa"/>
          </w:tcPr>
          <w:p>
            <w:pPr>
              <w:pStyle w:val="TableParagraph"/>
              <w:spacing w:line="206" w:lineRule="exact"/>
              <w:ind w:left="96" w:right="99"/>
              <w:rPr>
                <w:sz w:val="18"/>
              </w:rPr>
            </w:pPr>
            <w:r>
              <w:rPr>
                <w:sz w:val="18"/>
              </w:rPr>
              <w:t>$0.00</w:t>
            </w:r>
          </w:p>
        </w:tc>
        <w:tc>
          <w:tcPr>
            <w:tcW w:w="1702" w:type="dxa"/>
          </w:tcPr>
          <w:p>
            <w:pPr>
              <w:pStyle w:val="TableParagraph"/>
              <w:spacing w:line="206" w:lineRule="exact"/>
              <w:ind w:left="74" w:right="75"/>
              <w:rPr>
                <w:sz w:val="18"/>
              </w:rPr>
            </w:pPr>
            <w:r>
              <w:rPr>
                <w:sz w:val="18"/>
              </w:rPr>
              <w:t>$0.00</w:t>
            </w:r>
          </w:p>
        </w:tc>
      </w:tr>
    </w:tbl>
    <w:p>
      <w:pPr>
        <w:spacing w:after="0" w:line="206" w:lineRule="exact"/>
        <w:rPr>
          <w:sz w:val="18"/>
        </w:rPr>
        <w:sectPr>
          <w:pgSz w:w="15840" w:h="12240" w:orient="landscape"/>
          <w:pgMar w:header="0" w:footer="975" w:top="1140" w:bottom="1160" w:left="620" w:right="620"/>
        </w:sectPr>
      </w:pPr>
    </w:p>
    <w:p>
      <w:pPr>
        <w:pStyle w:val="BodyText"/>
        <w:rPr>
          <w:rFonts w:ascii="Times New Roman"/>
          <w:sz w:val="20"/>
        </w:rPr>
      </w:pPr>
    </w:p>
    <w:p>
      <w:pPr>
        <w:pStyle w:val="BodyText"/>
        <w:spacing w:before="10"/>
        <w:rPr>
          <w:rFonts w:ascii="Times New Roman"/>
          <w:sz w:val="28"/>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05"/>
        <w:gridCol w:w="1418"/>
        <w:gridCol w:w="1700"/>
        <w:gridCol w:w="1418"/>
        <w:gridCol w:w="1560"/>
        <w:gridCol w:w="1512"/>
        <w:gridCol w:w="1606"/>
        <w:gridCol w:w="1702"/>
        <w:gridCol w:w="1627"/>
      </w:tblGrid>
      <w:tr>
        <w:trPr>
          <w:trHeight w:val="319" w:hRule="exact"/>
        </w:trPr>
        <w:tc>
          <w:tcPr>
            <w:tcW w:w="14349" w:type="dxa"/>
            <w:gridSpan w:val="9"/>
            <w:shd w:val="clear" w:color="auto" w:fill="C5DFB3"/>
          </w:tcPr>
          <w:p>
            <w:pPr>
              <w:pStyle w:val="TableParagraph"/>
              <w:spacing w:line="201" w:lineRule="exact"/>
              <w:ind w:left="3516"/>
              <w:jc w:val="left"/>
              <w:rPr>
                <w:b/>
                <w:sz w:val="18"/>
              </w:rPr>
            </w:pPr>
            <w:r>
              <w:rPr>
                <w:b/>
                <w:sz w:val="18"/>
              </w:rPr>
              <w:t>Anexo 24B. Municipios que publican apartado presupuesto 2010-2011 (Continuación)</w:t>
            </w:r>
          </w:p>
        </w:tc>
      </w:tr>
      <w:tr>
        <w:trPr>
          <w:trHeight w:val="322" w:hRule="exact"/>
        </w:trPr>
        <w:tc>
          <w:tcPr>
            <w:tcW w:w="1805"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113"/>
              <w:ind w:left="475" w:right="66"/>
              <w:jc w:val="left"/>
              <w:rPr>
                <w:b/>
                <w:sz w:val="18"/>
              </w:rPr>
            </w:pPr>
            <w:r>
              <w:rPr>
                <w:b/>
                <w:sz w:val="18"/>
              </w:rPr>
              <w:t>Municipio</w:t>
            </w:r>
          </w:p>
        </w:tc>
        <w:tc>
          <w:tcPr>
            <w:tcW w:w="6097" w:type="dxa"/>
            <w:gridSpan w:val="4"/>
            <w:tcBorders>
              <w:right w:val="single" w:sz="4" w:space="0" w:color="000000"/>
            </w:tcBorders>
            <w:shd w:val="clear" w:color="auto" w:fill="C5DFB3"/>
          </w:tcPr>
          <w:p>
            <w:pPr>
              <w:pStyle w:val="TableParagraph"/>
              <w:spacing w:line="201" w:lineRule="exact"/>
              <w:ind w:left="2823" w:right="2823"/>
              <w:rPr>
                <w:b/>
                <w:sz w:val="18"/>
              </w:rPr>
            </w:pPr>
            <w:r>
              <w:rPr>
                <w:b/>
                <w:sz w:val="18"/>
              </w:rPr>
              <w:t>2010</w:t>
            </w:r>
          </w:p>
        </w:tc>
        <w:tc>
          <w:tcPr>
            <w:tcW w:w="6447" w:type="dxa"/>
            <w:gridSpan w:val="4"/>
            <w:tcBorders>
              <w:left w:val="single" w:sz="4" w:space="0" w:color="000000"/>
            </w:tcBorders>
            <w:shd w:val="clear" w:color="auto" w:fill="C5DFB3"/>
          </w:tcPr>
          <w:p>
            <w:pPr>
              <w:pStyle w:val="TableParagraph"/>
              <w:spacing w:line="201" w:lineRule="exact"/>
              <w:ind w:left="2998" w:right="2998"/>
              <w:rPr>
                <w:b/>
                <w:sz w:val="18"/>
              </w:rPr>
            </w:pPr>
            <w:r>
              <w:rPr>
                <w:b/>
                <w:sz w:val="18"/>
              </w:rPr>
              <w:t>2011</w:t>
            </w:r>
          </w:p>
        </w:tc>
      </w:tr>
      <w:tr>
        <w:trPr>
          <w:trHeight w:val="1063" w:hRule="exact"/>
        </w:trPr>
        <w:tc>
          <w:tcPr>
            <w:tcW w:w="1805" w:type="dxa"/>
            <w:vMerge/>
            <w:shd w:val="clear" w:color="auto" w:fill="C5DFB3"/>
          </w:tcPr>
          <w:p>
            <w:pPr/>
          </w:p>
        </w:tc>
        <w:tc>
          <w:tcPr>
            <w:tcW w:w="141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30"/>
              <w:ind w:left="55"/>
              <w:jc w:val="left"/>
              <w:rPr>
                <w:b/>
                <w:sz w:val="18"/>
              </w:rPr>
            </w:pPr>
            <w:r>
              <w:rPr>
                <w:b/>
                <w:w w:val="100"/>
                <w:sz w:val="18"/>
              </w:rPr>
              <w:t>Autoriz</w:t>
            </w:r>
            <w:r>
              <w:rPr>
                <w:b/>
                <w:w w:val="99"/>
                <w:sz w:val="18"/>
              </w:rPr>
              <w:t>a</w:t>
            </w:r>
            <w:r>
              <w:rPr>
                <w:b/>
                <w:w w:val="100"/>
                <w:sz w:val="18"/>
              </w:rPr>
              <w:t>do</w:t>
            </w:r>
          </w:p>
        </w:tc>
        <w:tc>
          <w:tcPr>
            <w:tcW w:w="1700"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7"/>
              <w:jc w:val="left"/>
              <w:rPr>
                <w:rFonts w:ascii="Times New Roman"/>
                <w:sz w:val="23"/>
              </w:rPr>
            </w:pPr>
          </w:p>
          <w:p>
            <w:pPr>
              <w:pStyle w:val="TableParagraph"/>
              <w:ind w:left="50"/>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41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30"/>
              <w:ind w:left="170"/>
              <w:jc w:val="left"/>
              <w:rPr>
                <w:b/>
                <w:sz w:val="18"/>
              </w:rPr>
            </w:pPr>
            <w:r>
              <w:rPr>
                <w:b/>
                <w:w w:val="100"/>
                <w:sz w:val="18"/>
              </w:rPr>
              <w:t>Eje</w:t>
            </w:r>
            <w:r>
              <w:rPr>
                <w:b/>
                <w:w w:val="99"/>
                <w:sz w:val="18"/>
              </w:rPr>
              <w:t>rci</w:t>
            </w:r>
            <w:r>
              <w:rPr>
                <w:b/>
                <w:w w:val="100"/>
                <w:sz w:val="18"/>
              </w:rPr>
              <w:t>do</w:t>
            </w:r>
          </w:p>
        </w:tc>
        <w:tc>
          <w:tcPr>
            <w:tcW w:w="1560" w:type="dxa"/>
            <w:tcBorders>
              <w:right w:val="single" w:sz="4" w:space="0" w:color="000000"/>
            </w:tcBorders>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17"/>
              </w:rPr>
            </w:pPr>
          </w:p>
          <w:p>
            <w:pPr>
              <w:pStyle w:val="TableParagraph"/>
              <w:ind w:left="55"/>
              <w:jc w:val="left"/>
              <w:rPr>
                <w:b/>
                <w:sz w:val="18"/>
              </w:rPr>
            </w:pPr>
            <w:r>
              <w:rPr>
                <w:b/>
                <w:sz w:val="18"/>
              </w:rPr>
              <w:t>Por </w:t>
            </w:r>
            <w:r>
              <w:rPr>
                <w:b/>
                <w:w w:val="99"/>
                <w:sz w:val="18"/>
              </w:rPr>
              <w:t>e</w:t>
            </w:r>
            <w:r>
              <w:rPr>
                <w:b/>
                <w:w w:val="100"/>
                <w:sz w:val="18"/>
              </w:rPr>
              <w:t>je</w:t>
            </w:r>
            <w:r>
              <w:rPr>
                <w:b/>
                <w:w w:val="99"/>
                <w:sz w:val="18"/>
              </w:rPr>
              <w:t>rcer</w:t>
            </w:r>
          </w:p>
        </w:tc>
        <w:tc>
          <w:tcPr>
            <w:tcW w:w="1512" w:type="dxa"/>
            <w:tcBorders>
              <w:left w:val="single" w:sz="4" w:space="0" w:color="000000"/>
            </w:tcBorders>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5"/>
              <w:jc w:val="left"/>
              <w:rPr>
                <w:rFonts w:ascii="Times New Roman"/>
                <w:sz w:val="15"/>
              </w:rPr>
            </w:pPr>
          </w:p>
          <w:p>
            <w:pPr>
              <w:pStyle w:val="TableParagraph"/>
              <w:ind w:left="55"/>
              <w:jc w:val="left"/>
              <w:rPr>
                <w:b/>
                <w:sz w:val="18"/>
              </w:rPr>
            </w:pPr>
            <w:r>
              <w:rPr>
                <w:b/>
                <w:w w:val="100"/>
                <w:sz w:val="18"/>
              </w:rPr>
              <w:t>Autoriz</w:t>
            </w:r>
            <w:r>
              <w:rPr>
                <w:b/>
                <w:w w:val="99"/>
                <w:sz w:val="18"/>
              </w:rPr>
              <w:t>a</w:t>
            </w:r>
            <w:r>
              <w:rPr>
                <w:b/>
                <w:w w:val="100"/>
                <w:sz w:val="18"/>
              </w:rPr>
              <w:t>do</w:t>
            </w:r>
          </w:p>
        </w:tc>
        <w:tc>
          <w:tcPr>
            <w:tcW w:w="1606"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5"/>
              <w:jc w:val="left"/>
              <w:rPr>
                <w:rFonts w:ascii="Times New Roman"/>
                <w:sz w:val="19"/>
              </w:rPr>
            </w:pPr>
          </w:p>
          <w:p>
            <w:pPr>
              <w:pStyle w:val="TableParagraph"/>
              <w:ind w:left="50"/>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70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7"/>
              <w:jc w:val="left"/>
              <w:rPr>
                <w:rFonts w:ascii="Times New Roman"/>
                <w:sz w:val="23"/>
              </w:rPr>
            </w:pPr>
          </w:p>
          <w:p>
            <w:pPr>
              <w:pStyle w:val="TableParagraph"/>
              <w:ind w:left="170"/>
              <w:jc w:val="left"/>
              <w:rPr>
                <w:b/>
                <w:sz w:val="18"/>
              </w:rPr>
            </w:pPr>
            <w:r>
              <w:rPr>
                <w:b/>
                <w:w w:val="100"/>
                <w:sz w:val="18"/>
              </w:rPr>
              <w:t>Eje</w:t>
            </w:r>
            <w:r>
              <w:rPr>
                <w:b/>
                <w:w w:val="99"/>
                <w:sz w:val="18"/>
              </w:rPr>
              <w:t>rci</w:t>
            </w:r>
            <w:r>
              <w:rPr>
                <w:b/>
                <w:w w:val="100"/>
                <w:sz w:val="18"/>
              </w:rPr>
              <w:t>do</w:t>
            </w:r>
          </w:p>
        </w:tc>
        <w:tc>
          <w:tcPr>
            <w:tcW w:w="1627"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20"/>
              </w:rPr>
            </w:pPr>
          </w:p>
          <w:p>
            <w:pPr>
              <w:pStyle w:val="TableParagraph"/>
              <w:ind w:left="55"/>
              <w:jc w:val="left"/>
              <w:rPr>
                <w:b/>
                <w:sz w:val="18"/>
              </w:rPr>
            </w:pPr>
            <w:r>
              <w:rPr>
                <w:b/>
                <w:sz w:val="18"/>
              </w:rPr>
              <w:t>Por </w:t>
            </w:r>
            <w:r>
              <w:rPr>
                <w:b/>
                <w:w w:val="99"/>
                <w:sz w:val="18"/>
              </w:rPr>
              <w:t>e</w:t>
            </w:r>
            <w:r>
              <w:rPr>
                <w:b/>
                <w:w w:val="100"/>
                <w:sz w:val="18"/>
              </w:rPr>
              <w:t>je</w:t>
            </w:r>
            <w:r>
              <w:rPr>
                <w:b/>
                <w:w w:val="99"/>
                <w:sz w:val="18"/>
              </w:rPr>
              <w:t>rcer</w:t>
            </w:r>
          </w:p>
        </w:tc>
      </w:tr>
      <w:tr>
        <w:trPr>
          <w:trHeight w:val="319" w:hRule="exact"/>
        </w:trPr>
        <w:tc>
          <w:tcPr>
            <w:tcW w:w="1805" w:type="dxa"/>
          </w:tcPr>
          <w:p>
            <w:pPr>
              <w:pStyle w:val="TableParagraph"/>
              <w:spacing w:line="201" w:lineRule="exact"/>
              <w:ind w:left="64" w:right="66"/>
              <w:jc w:val="left"/>
              <w:rPr>
                <w:b/>
                <w:sz w:val="18"/>
              </w:rPr>
            </w:pPr>
            <w:r>
              <w:rPr>
                <w:b/>
                <w:color w:val="333333"/>
                <w:sz w:val="18"/>
              </w:rPr>
              <w:t>TEMOAYA</w:t>
            </w:r>
          </w:p>
        </w:tc>
        <w:tc>
          <w:tcPr>
            <w:tcW w:w="1418" w:type="dxa"/>
          </w:tcPr>
          <w:p>
            <w:pPr>
              <w:pStyle w:val="TableParagraph"/>
              <w:spacing w:line="206" w:lineRule="exact"/>
              <w:ind w:left="57" w:right="58"/>
              <w:rPr>
                <w:sz w:val="18"/>
              </w:rPr>
            </w:pPr>
            <w:r>
              <w:rPr>
                <w:sz w:val="18"/>
              </w:rPr>
              <w:t>$0.00</w:t>
            </w:r>
          </w:p>
        </w:tc>
        <w:tc>
          <w:tcPr>
            <w:tcW w:w="1700" w:type="dxa"/>
          </w:tcPr>
          <w:p>
            <w:pPr>
              <w:pStyle w:val="TableParagraph"/>
              <w:spacing w:line="206" w:lineRule="exact"/>
              <w:ind w:left="619"/>
              <w:jc w:val="left"/>
              <w:rPr>
                <w:sz w:val="18"/>
              </w:rPr>
            </w:pPr>
            <w:r>
              <w:rPr>
                <w:sz w:val="18"/>
              </w:rPr>
              <w:t>$0.00</w:t>
            </w:r>
          </w:p>
        </w:tc>
        <w:tc>
          <w:tcPr>
            <w:tcW w:w="1418" w:type="dxa"/>
          </w:tcPr>
          <w:p>
            <w:pPr>
              <w:pStyle w:val="TableParagraph"/>
              <w:spacing w:line="206" w:lineRule="exact"/>
              <w:ind w:left="57" w:right="54"/>
              <w:rPr>
                <w:sz w:val="18"/>
              </w:rPr>
            </w:pPr>
            <w:r>
              <w:rPr>
                <w:sz w:val="18"/>
              </w:rPr>
              <w:t>$0.00</w:t>
            </w:r>
          </w:p>
        </w:tc>
        <w:tc>
          <w:tcPr>
            <w:tcW w:w="1560" w:type="dxa"/>
            <w:tcBorders>
              <w:right w:val="single" w:sz="4" w:space="0" w:color="000000"/>
            </w:tcBorders>
          </w:tcPr>
          <w:p>
            <w:pPr>
              <w:pStyle w:val="TableParagraph"/>
              <w:spacing w:line="206" w:lineRule="exact"/>
              <w:ind w:left="79" w:right="78"/>
              <w:rPr>
                <w:sz w:val="18"/>
              </w:rPr>
            </w:pPr>
            <w:r>
              <w:rPr>
                <w:sz w:val="18"/>
              </w:rPr>
              <w:t>$0.00</w:t>
            </w:r>
          </w:p>
        </w:tc>
        <w:tc>
          <w:tcPr>
            <w:tcW w:w="1512" w:type="dxa"/>
            <w:tcBorders>
              <w:left w:val="single" w:sz="4" w:space="0" w:color="000000"/>
            </w:tcBorders>
          </w:tcPr>
          <w:p>
            <w:pPr>
              <w:pStyle w:val="TableParagraph"/>
              <w:spacing w:line="206" w:lineRule="exact"/>
              <w:ind w:left="55" w:right="54"/>
              <w:rPr>
                <w:sz w:val="18"/>
              </w:rPr>
            </w:pPr>
            <w:r>
              <w:rPr>
                <w:sz w:val="18"/>
              </w:rPr>
              <w:t>$0.00</w:t>
            </w:r>
          </w:p>
        </w:tc>
        <w:tc>
          <w:tcPr>
            <w:tcW w:w="1606" w:type="dxa"/>
          </w:tcPr>
          <w:p>
            <w:pPr>
              <w:pStyle w:val="TableParagraph"/>
              <w:spacing w:line="206" w:lineRule="exact"/>
              <w:ind w:left="327" w:right="324"/>
              <w:rPr>
                <w:sz w:val="18"/>
              </w:rPr>
            </w:pPr>
            <w:r>
              <w:rPr>
                <w:sz w:val="18"/>
              </w:rPr>
              <w:t>$0.00</w:t>
            </w:r>
          </w:p>
        </w:tc>
        <w:tc>
          <w:tcPr>
            <w:tcW w:w="1702" w:type="dxa"/>
          </w:tcPr>
          <w:p>
            <w:pPr>
              <w:pStyle w:val="TableParagraph"/>
              <w:spacing w:line="206" w:lineRule="exact"/>
              <w:ind w:left="74" w:right="74"/>
              <w:rPr>
                <w:sz w:val="18"/>
              </w:rPr>
            </w:pPr>
            <w:r>
              <w:rPr>
                <w:sz w:val="18"/>
              </w:rPr>
              <w:t>$0.00</w:t>
            </w:r>
          </w:p>
        </w:tc>
        <w:tc>
          <w:tcPr>
            <w:tcW w:w="1627" w:type="dxa"/>
          </w:tcPr>
          <w:p>
            <w:pPr>
              <w:pStyle w:val="TableParagraph"/>
              <w:spacing w:line="206" w:lineRule="exact"/>
              <w:ind w:left="113" w:right="112"/>
              <w:rPr>
                <w:sz w:val="18"/>
              </w:rPr>
            </w:pPr>
            <w:r>
              <w:rPr>
                <w:sz w:val="18"/>
              </w:rPr>
              <w:t>$0.00</w:t>
            </w:r>
          </w:p>
        </w:tc>
      </w:tr>
      <w:tr>
        <w:trPr>
          <w:trHeight w:val="461" w:hRule="exact"/>
        </w:trPr>
        <w:tc>
          <w:tcPr>
            <w:tcW w:w="1805" w:type="dxa"/>
          </w:tcPr>
          <w:p>
            <w:pPr>
              <w:pStyle w:val="TableParagraph"/>
              <w:spacing w:before="64"/>
              <w:ind w:left="64" w:right="66"/>
              <w:jc w:val="left"/>
              <w:rPr>
                <w:b/>
                <w:sz w:val="18"/>
              </w:rPr>
            </w:pPr>
            <w:r>
              <w:rPr>
                <w:b/>
                <w:color w:val="333333"/>
                <w:sz w:val="18"/>
              </w:rPr>
              <w:t>TENANCINGO</w:t>
            </w:r>
          </w:p>
        </w:tc>
        <w:tc>
          <w:tcPr>
            <w:tcW w:w="1418" w:type="dxa"/>
          </w:tcPr>
          <w:p>
            <w:pPr>
              <w:pStyle w:val="TableParagraph"/>
              <w:spacing w:before="68"/>
              <w:ind w:left="57" w:right="58"/>
              <w:rPr>
                <w:sz w:val="18"/>
              </w:rPr>
            </w:pPr>
            <w:r>
              <w:rPr>
                <w:sz w:val="18"/>
              </w:rPr>
              <w:t>$0.00</w:t>
            </w:r>
          </w:p>
        </w:tc>
        <w:tc>
          <w:tcPr>
            <w:tcW w:w="1700" w:type="dxa"/>
          </w:tcPr>
          <w:p>
            <w:pPr>
              <w:pStyle w:val="TableParagraph"/>
              <w:spacing w:before="68"/>
              <w:ind w:left="619"/>
              <w:jc w:val="left"/>
              <w:rPr>
                <w:sz w:val="18"/>
              </w:rPr>
            </w:pPr>
            <w:r>
              <w:rPr>
                <w:sz w:val="18"/>
              </w:rPr>
              <w:t>$0.00</w:t>
            </w:r>
          </w:p>
        </w:tc>
        <w:tc>
          <w:tcPr>
            <w:tcW w:w="1418" w:type="dxa"/>
          </w:tcPr>
          <w:p>
            <w:pPr>
              <w:pStyle w:val="TableParagraph"/>
              <w:spacing w:before="68"/>
              <w:ind w:left="57" w:right="54"/>
              <w:rPr>
                <w:sz w:val="18"/>
              </w:rPr>
            </w:pPr>
            <w:r>
              <w:rPr>
                <w:sz w:val="18"/>
              </w:rPr>
              <w:t>$0.00</w:t>
            </w:r>
          </w:p>
        </w:tc>
        <w:tc>
          <w:tcPr>
            <w:tcW w:w="1560" w:type="dxa"/>
            <w:tcBorders>
              <w:right w:val="single" w:sz="4" w:space="0" w:color="000000"/>
            </w:tcBorders>
          </w:tcPr>
          <w:p>
            <w:pPr>
              <w:pStyle w:val="TableParagraph"/>
              <w:spacing w:before="68"/>
              <w:ind w:left="79" w:right="78"/>
              <w:rPr>
                <w:sz w:val="18"/>
              </w:rPr>
            </w:pPr>
            <w:r>
              <w:rPr>
                <w:sz w:val="18"/>
              </w:rPr>
              <w:t>$0.00</w:t>
            </w:r>
          </w:p>
        </w:tc>
        <w:tc>
          <w:tcPr>
            <w:tcW w:w="1512" w:type="dxa"/>
            <w:tcBorders>
              <w:left w:val="single" w:sz="4" w:space="0" w:color="000000"/>
            </w:tcBorders>
          </w:tcPr>
          <w:p>
            <w:pPr>
              <w:pStyle w:val="TableParagraph"/>
              <w:spacing w:before="68"/>
              <w:ind w:left="54" w:right="55"/>
              <w:rPr>
                <w:sz w:val="18"/>
              </w:rPr>
            </w:pPr>
            <w:r>
              <w:rPr>
                <w:sz w:val="18"/>
              </w:rPr>
              <w:t>$90,905,330.71</w:t>
            </w:r>
          </w:p>
        </w:tc>
        <w:tc>
          <w:tcPr>
            <w:tcW w:w="1606" w:type="dxa"/>
          </w:tcPr>
          <w:p>
            <w:pPr>
              <w:pStyle w:val="TableParagraph"/>
              <w:spacing w:before="68"/>
              <w:ind w:left="327" w:right="324"/>
              <w:rPr>
                <w:sz w:val="18"/>
              </w:rPr>
            </w:pPr>
            <w:r>
              <w:rPr>
                <w:sz w:val="18"/>
              </w:rPr>
              <w:t>$0.00</w:t>
            </w:r>
          </w:p>
        </w:tc>
        <w:tc>
          <w:tcPr>
            <w:tcW w:w="1702" w:type="dxa"/>
          </w:tcPr>
          <w:p>
            <w:pPr>
              <w:pStyle w:val="TableParagraph"/>
              <w:spacing w:before="68"/>
              <w:ind w:left="74" w:right="74"/>
              <w:rPr>
                <w:sz w:val="18"/>
              </w:rPr>
            </w:pPr>
            <w:r>
              <w:rPr>
                <w:sz w:val="18"/>
              </w:rPr>
              <w:t>$0.00</w:t>
            </w:r>
          </w:p>
        </w:tc>
        <w:tc>
          <w:tcPr>
            <w:tcW w:w="1627" w:type="dxa"/>
          </w:tcPr>
          <w:p>
            <w:pPr>
              <w:pStyle w:val="TableParagraph"/>
              <w:spacing w:before="68"/>
              <w:ind w:left="112" w:right="113"/>
              <w:rPr>
                <w:sz w:val="18"/>
              </w:rPr>
            </w:pPr>
            <w:r>
              <w:rPr>
                <w:sz w:val="18"/>
              </w:rPr>
              <w:t>$90,905,330.71</w:t>
            </w:r>
          </w:p>
        </w:tc>
      </w:tr>
      <w:tr>
        <w:trPr>
          <w:trHeight w:val="631" w:hRule="exact"/>
        </w:trPr>
        <w:tc>
          <w:tcPr>
            <w:tcW w:w="1805" w:type="dxa"/>
          </w:tcPr>
          <w:p>
            <w:pPr>
              <w:pStyle w:val="TableParagraph"/>
              <w:tabs>
                <w:tab w:pos="1367" w:val="left" w:leader="none"/>
              </w:tabs>
              <w:spacing w:line="360" w:lineRule="auto"/>
              <w:ind w:left="64" w:right="66"/>
              <w:jc w:val="left"/>
              <w:rPr>
                <w:b/>
                <w:sz w:val="18"/>
              </w:rPr>
            </w:pPr>
            <w:r>
              <w:rPr>
                <w:b/>
                <w:color w:val="333333"/>
                <w:sz w:val="18"/>
              </w:rPr>
              <w:t>TENANGO</w:t>
              <w:tab/>
              <w:t>DEL AIRE</w:t>
            </w:r>
          </w:p>
        </w:tc>
        <w:tc>
          <w:tcPr>
            <w:tcW w:w="1418" w:type="dxa"/>
          </w:tcPr>
          <w:p>
            <w:pPr>
              <w:pStyle w:val="TableParagraph"/>
              <w:spacing w:before="155"/>
              <w:ind w:left="57" w:right="58"/>
              <w:rPr>
                <w:sz w:val="18"/>
              </w:rPr>
            </w:pPr>
            <w:r>
              <w:rPr>
                <w:sz w:val="18"/>
              </w:rPr>
              <w:t>$0.00</w:t>
            </w:r>
          </w:p>
        </w:tc>
        <w:tc>
          <w:tcPr>
            <w:tcW w:w="1700" w:type="dxa"/>
          </w:tcPr>
          <w:p>
            <w:pPr>
              <w:pStyle w:val="TableParagraph"/>
              <w:spacing w:before="155"/>
              <w:ind w:left="619"/>
              <w:jc w:val="left"/>
              <w:rPr>
                <w:sz w:val="18"/>
              </w:rPr>
            </w:pPr>
            <w:r>
              <w:rPr>
                <w:sz w:val="18"/>
              </w:rPr>
              <w:t>$0.00</w:t>
            </w:r>
          </w:p>
        </w:tc>
        <w:tc>
          <w:tcPr>
            <w:tcW w:w="1418" w:type="dxa"/>
          </w:tcPr>
          <w:p>
            <w:pPr>
              <w:pStyle w:val="TableParagraph"/>
              <w:spacing w:before="155"/>
              <w:ind w:left="57" w:right="54"/>
              <w:rPr>
                <w:sz w:val="18"/>
              </w:rPr>
            </w:pPr>
            <w:r>
              <w:rPr>
                <w:sz w:val="18"/>
              </w:rPr>
              <w:t>$0.00</w:t>
            </w:r>
          </w:p>
        </w:tc>
        <w:tc>
          <w:tcPr>
            <w:tcW w:w="1560" w:type="dxa"/>
            <w:tcBorders>
              <w:right w:val="single" w:sz="4" w:space="0" w:color="000000"/>
            </w:tcBorders>
          </w:tcPr>
          <w:p>
            <w:pPr>
              <w:pStyle w:val="TableParagraph"/>
              <w:spacing w:before="155"/>
              <w:ind w:left="79" w:right="78"/>
              <w:rPr>
                <w:sz w:val="18"/>
              </w:rPr>
            </w:pPr>
            <w:r>
              <w:rPr>
                <w:sz w:val="18"/>
              </w:rPr>
              <w:t>$0.00</w:t>
            </w:r>
          </w:p>
        </w:tc>
        <w:tc>
          <w:tcPr>
            <w:tcW w:w="1512" w:type="dxa"/>
            <w:tcBorders>
              <w:left w:val="single" w:sz="4" w:space="0" w:color="000000"/>
            </w:tcBorders>
          </w:tcPr>
          <w:p>
            <w:pPr>
              <w:pStyle w:val="TableParagraph"/>
              <w:spacing w:before="155"/>
              <w:ind w:left="55" w:right="54"/>
              <w:rPr>
                <w:sz w:val="18"/>
              </w:rPr>
            </w:pPr>
            <w:r>
              <w:rPr>
                <w:sz w:val="18"/>
              </w:rPr>
              <w:t>$0.00</w:t>
            </w:r>
          </w:p>
        </w:tc>
        <w:tc>
          <w:tcPr>
            <w:tcW w:w="1606" w:type="dxa"/>
          </w:tcPr>
          <w:p>
            <w:pPr>
              <w:pStyle w:val="TableParagraph"/>
              <w:spacing w:before="155"/>
              <w:ind w:left="327" w:right="324"/>
              <w:rPr>
                <w:sz w:val="18"/>
              </w:rPr>
            </w:pPr>
            <w:r>
              <w:rPr>
                <w:sz w:val="18"/>
              </w:rPr>
              <w:t>$0.00</w:t>
            </w:r>
          </w:p>
        </w:tc>
        <w:tc>
          <w:tcPr>
            <w:tcW w:w="1702" w:type="dxa"/>
          </w:tcPr>
          <w:p>
            <w:pPr>
              <w:pStyle w:val="TableParagraph"/>
              <w:spacing w:before="155"/>
              <w:ind w:left="74" w:right="74"/>
              <w:rPr>
                <w:sz w:val="18"/>
              </w:rPr>
            </w:pPr>
            <w:r>
              <w:rPr>
                <w:sz w:val="18"/>
              </w:rPr>
              <w:t>$0.00</w:t>
            </w:r>
          </w:p>
        </w:tc>
        <w:tc>
          <w:tcPr>
            <w:tcW w:w="1627" w:type="dxa"/>
          </w:tcPr>
          <w:p>
            <w:pPr>
              <w:pStyle w:val="TableParagraph"/>
              <w:spacing w:before="155"/>
              <w:ind w:left="113" w:right="112"/>
              <w:rPr>
                <w:sz w:val="18"/>
              </w:rPr>
            </w:pPr>
            <w:r>
              <w:rPr>
                <w:sz w:val="18"/>
              </w:rPr>
              <w:t>$0.00</w:t>
            </w:r>
          </w:p>
        </w:tc>
      </w:tr>
      <w:tr>
        <w:trPr>
          <w:trHeight w:val="631" w:hRule="exact"/>
        </w:trPr>
        <w:tc>
          <w:tcPr>
            <w:tcW w:w="1805" w:type="dxa"/>
          </w:tcPr>
          <w:p>
            <w:pPr>
              <w:pStyle w:val="TableParagraph"/>
              <w:tabs>
                <w:tab w:pos="1367" w:val="left" w:leader="none"/>
              </w:tabs>
              <w:spacing w:line="360" w:lineRule="auto"/>
              <w:ind w:left="64" w:right="66"/>
              <w:jc w:val="left"/>
              <w:rPr>
                <w:b/>
                <w:sz w:val="18"/>
              </w:rPr>
            </w:pPr>
            <w:r>
              <w:rPr>
                <w:b/>
                <w:color w:val="333333"/>
                <w:sz w:val="18"/>
              </w:rPr>
              <w:t>TENANGO</w:t>
              <w:tab/>
              <w:t>DEL VALLE</w:t>
            </w:r>
          </w:p>
        </w:tc>
        <w:tc>
          <w:tcPr>
            <w:tcW w:w="1418" w:type="dxa"/>
          </w:tcPr>
          <w:p>
            <w:pPr>
              <w:pStyle w:val="TableParagraph"/>
              <w:spacing w:before="155"/>
              <w:ind w:left="57" w:right="58"/>
              <w:rPr>
                <w:sz w:val="18"/>
              </w:rPr>
            </w:pPr>
            <w:r>
              <w:rPr>
                <w:sz w:val="18"/>
              </w:rPr>
              <w:t>$0.00</w:t>
            </w:r>
          </w:p>
        </w:tc>
        <w:tc>
          <w:tcPr>
            <w:tcW w:w="1700" w:type="dxa"/>
          </w:tcPr>
          <w:p>
            <w:pPr>
              <w:pStyle w:val="TableParagraph"/>
              <w:spacing w:before="155"/>
              <w:ind w:left="619"/>
              <w:jc w:val="left"/>
              <w:rPr>
                <w:sz w:val="18"/>
              </w:rPr>
            </w:pPr>
            <w:r>
              <w:rPr>
                <w:sz w:val="18"/>
              </w:rPr>
              <w:t>$0.00</w:t>
            </w:r>
          </w:p>
        </w:tc>
        <w:tc>
          <w:tcPr>
            <w:tcW w:w="1418" w:type="dxa"/>
          </w:tcPr>
          <w:p>
            <w:pPr>
              <w:pStyle w:val="TableParagraph"/>
              <w:spacing w:before="155"/>
              <w:ind w:left="57" w:right="54"/>
              <w:rPr>
                <w:sz w:val="18"/>
              </w:rPr>
            </w:pPr>
            <w:r>
              <w:rPr>
                <w:sz w:val="18"/>
              </w:rPr>
              <w:t>$0.00</w:t>
            </w:r>
          </w:p>
        </w:tc>
        <w:tc>
          <w:tcPr>
            <w:tcW w:w="1560" w:type="dxa"/>
            <w:tcBorders>
              <w:right w:val="single" w:sz="4" w:space="0" w:color="000000"/>
            </w:tcBorders>
          </w:tcPr>
          <w:p>
            <w:pPr>
              <w:pStyle w:val="TableParagraph"/>
              <w:spacing w:before="155"/>
              <w:ind w:left="79" w:right="78"/>
              <w:rPr>
                <w:sz w:val="18"/>
              </w:rPr>
            </w:pPr>
            <w:r>
              <w:rPr>
                <w:sz w:val="18"/>
              </w:rPr>
              <w:t>$0.00</w:t>
            </w:r>
          </w:p>
        </w:tc>
        <w:tc>
          <w:tcPr>
            <w:tcW w:w="1512" w:type="dxa"/>
            <w:tcBorders>
              <w:left w:val="single" w:sz="4" w:space="0" w:color="000000"/>
            </w:tcBorders>
          </w:tcPr>
          <w:p>
            <w:pPr>
              <w:pStyle w:val="TableParagraph"/>
              <w:spacing w:before="155"/>
              <w:ind w:left="55" w:right="54"/>
              <w:rPr>
                <w:sz w:val="18"/>
              </w:rPr>
            </w:pPr>
            <w:r>
              <w:rPr>
                <w:sz w:val="18"/>
              </w:rPr>
              <w:t>$0.00</w:t>
            </w:r>
          </w:p>
        </w:tc>
        <w:tc>
          <w:tcPr>
            <w:tcW w:w="1606" w:type="dxa"/>
          </w:tcPr>
          <w:p>
            <w:pPr>
              <w:pStyle w:val="TableParagraph"/>
              <w:spacing w:before="155"/>
              <w:ind w:left="327" w:right="324"/>
              <w:rPr>
                <w:sz w:val="18"/>
              </w:rPr>
            </w:pPr>
            <w:r>
              <w:rPr>
                <w:sz w:val="18"/>
              </w:rPr>
              <w:t>$0.00</w:t>
            </w:r>
          </w:p>
        </w:tc>
        <w:tc>
          <w:tcPr>
            <w:tcW w:w="1702" w:type="dxa"/>
          </w:tcPr>
          <w:p>
            <w:pPr>
              <w:pStyle w:val="TableParagraph"/>
              <w:spacing w:before="155"/>
              <w:ind w:left="74" w:right="74"/>
              <w:rPr>
                <w:sz w:val="18"/>
              </w:rPr>
            </w:pPr>
            <w:r>
              <w:rPr>
                <w:sz w:val="18"/>
              </w:rPr>
              <w:t>$0.00</w:t>
            </w:r>
          </w:p>
        </w:tc>
        <w:tc>
          <w:tcPr>
            <w:tcW w:w="1627" w:type="dxa"/>
          </w:tcPr>
          <w:p>
            <w:pPr>
              <w:pStyle w:val="TableParagraph"/>
              <w:spacing w:before="155"/>
              <w:ind w:left="113" w:right="112"/>
              <w:rPr>
                <w:sz w:val="18"/>
              </w:rPr>
            </w:pPr>
            <w:r>
              <w:rPr>
                <w:sz w:val="18"/>
              </w:rPr>
              <w:t>$0.00</w:t>
            </w:r>
          </w:p>
        </w:tc>
      </w:tr>
      <w:tr>
        <w:trPr>
          <w:trHeight w:val="458" w:hRule="exact"/>
        </w:trPr>
        <w:tc>
          <w:tcPr>
            <w:tcW w:w="1805" w:type="dxa"/>
          </w:tcPr>
          <w:p>
            <w:pPr>
              <w:pStyle w:val="TableParagraph"/>
              <w:spacing w:before="64"/>
              <w:ind w:left="64" w:right="66"/>
              <w:jc w:val="left"/>
              <w:rPr>
                <w:b/>
                <w:sz w:val="18"/>
              </w:rPr>
            </w:pPr>
            <w:r>
              <w:rPr>
                <w:b/>
                <w:color w:val="333333"/>
                <w:sz w:val="18"/>
              </w:rPr>
              <w:t>TEOLOYUCAN</w:t>
            </w:r>
          </w:p>
        </w:tc>
        <w:tc>
          <w:tcPr>
            <w:tcW w:w="1418" w:type="dxa"/>
          </w:tcPr>
          <w:p>
            <w:pPr>
              <w:pStyle w:val="TableParagraph"/>
              <w:spacing w:before="68"/>
              <w:ind w:left="57" w:right="59"/>
              <w:rPr>
                <w:sz w:val="18"/>
              </w:rPr>
            </w:pPr>
            <w:r>
              <w:rPr>
                <w:sz w:val="18"/>
              </w:rPr>
              <w:t>$13,379,329.00</w:t>
            </w:r>
          </w:p>
        </w:tc>
        <w:tc>
          <w:tcPr>
            <w:tcW w:w="1700" w:type="dxa"/>
          </w:tcPr>
          <w:p>
            <w:pPr>
              <w:pStyle w:val="TableParagraph"/>
              <w:spacing w:before="68"/>
              <w:ind w:left="619"/>
              <w:jc w:val="left"/>
              <w:rPr>
                <w:sz w:val="18"/>
              </w:rPr>
            </w:pPr>
            <w:r>
              <w:rPr>
                <w:sz w:val="18"/>
              </w:rPr>
              <w:t>$0.00</w:t>
            </w:r>
          </w:p>
        </w:tc>
        <w:tc>
          <w:tcPr>
            <w:tcW w:w="1418" w:type="dxa"/>
          </w:tcPr>
          <w:p>
            <w:pPr>
              <w:pStyle w:val="TableParagraph"/>
              <w:spacing w:before="68"/>
              <w:ind w:left="57" w:right="54"/>
              <w:rPr>
                <w:sz w:val="18"/>
              </w:rPr>
            </w:pPr>
            <w:r>
              <w:rPr>
                <w:sz w:val="18"/>
              </w:rPr>
              <w:t>$0.00</w:t>
            </w:r>
          </w:p>
        </w:tc>
        <w:tc>
          <w:tcPr>
            <w:tcW w:w="1560" w:type="dxa"/>
            <w:tcBorders>
              <w:right w:val="single" w:sz="4" w:space="0" w:color="000000"/>
            </w:tcBorders>
          </w:tcPr>
          <w:p>
            <w:pPr>
              <w:pStyle w:val="TableParagraph"/>
              <w:spacing w:before="68"/>
              <w:ind w:left="77" w:right="78"/>
              <w:rPr>
                <w:sz w:val="18"/>
              </w:rPr>
            </w:pPr>
            <w:r>
              <w:rPr>
                <w:sz w:val="18"/>
              </w:rPr>
              <w:t>$13,379,329.00</w:t>
            </w:r>
          </w:p>
        </w:tc>
        <w:tc>
          <w:tcPr>
            <w:tcW w:w="1512" w:type="dxa"/>
            <w:tcBorders>
              <w:left w:val="single" w:sz="4" w:space="0" w:color="000000"/>
            </w:tcBorders>
          </w:tcPr>
          <w:p>
            <w:pPr>
              <w:pStyle w:val="TableParagraph"/>
              <w:spacing w:before="68"/>
              <w:ind w:left="54" w:right="55"/>
              <w:rPr>
                <w:sz w:val="18"/>
              </w:rPr>
            </w:pPr>
            <w:r>
              <w:rPr>
                <w:sz w:val="18"/>
              </w:rPr>
              <w:t>$16,333,776.00</w:t>
            </w:r>
          </w:p>
        </w:tc>
        <w:tc>
          <w:tcPr>
            <w:tcW w:w="1606" w:type="dxa"/>
          </w:tcPr>
          <w:p>
            <w:pPr>
              <w:pStyle w:val="TableParagraph"/>
              <w:spacing w:before="68"/>
              <w:ind w:left="327" w:right="324"/>
              <w:rPr>
                <w:sz w:val="18"/>
              </w:rPr>
            </w:pPr>
            <w:r>
              <w:rPr>
                <w:sz w:val="18"/>
              </w:rPr>
              <w:t>$0.00</w:t>
            </w:r>
          </w:p>
        </w:tc>
        <w:tc>
          <w:tcPr>
            <w:tcW w:w="1702" w:type="dxa"/>
          </w:tcPr>
          <w:p>
            <w:pPr>
              <w:pStyle w:val="TableParagraph"/>
              <w:spacing w:before="68"/>
              <w:ind w:left="74" w:right="74"/>
              <w:rPr>
                <w:sz w:val="18"/>
              </w:rPr>
            </w:pPr>
            <w:r>
              <w:rPr>
                <w:sz w:val="18"/>
              </w:rPr>
              <w:t>$0.00</w:t>
            </w:r>
          </w:p>
        </w:tc>
        <w:tc>
          <w:tcPr>
            <w:tcW w:w="1627" w:type="dxa"/>
          </w:tcPr>
          <w:p>
            <w:pPr>
              <w:pStyle w:val="TableParagraph"/>
              <w:spacing w:before="68"/>
              <w:ind w:left="112" w:right="113"/>
              <w:rPr>
                <w:sz w:val="18"/>
              </w:rPr>
            </w:pPr>
            <w:r>
              <w:rPr>
                <w:sz w:val="18"/>
              </w:rPr>
              <w:t>$16,333,776.00</w:t>
            </w:r>
          </w:p>
        </w:tc>
      </w:tr>
      <w:tr>
        <w:trPr>
          <w:trHeight w:val="461" w:hRule="exact"/>
        </w:trPr>
        <w:tc>
          <w:tcPr>
            <w:tcW w:w="1805" w:type="dxa"/>
          </w:tcPr>
          <w:p>
            <w:pPr>
              <w:pStyle w:val="TableParagraph"/>
              <w:spacing w:before="66"/>
              <w:ind w:left="64" w:right="66"/>
              <w:jc w:val="left"/>
              <w:rPr>
                <w:b/>
                <w:sz w:val="18"/>
              </w:rPr>
            </w:pPr>
            <w:r>
              <w:rPr>
                <w:b/>
                <w:color w:val="333333"/>
                <w:sz w:val="18"/>
              </w:rPr>
              <w:t>TEOTIHUACAN</w:t>
            </w:r>
          </w:p>
        </w:tc>
        <w:tc>
          <w:tcPr>
            <w:tcW w:w="1418" w:type="dxa"/>
          </w:tcPr>
          <w:p>
            <w:pPr>
              <w:pStyle w:val="TableParagraph"/>
              <w:spacing w:before="71"/>
              <w:ind w:left="57" w:right="58"/>
              <w:rPr>
                <w:sz w:val="18"/>
              </w:rPr>
            </w:pPr>
            <w:r>
              <w:rPr>
                <w:sz w:val="18"/>
              </w:rPr>
              <w:t>$0.00</w:t>
            </w:r>
          </w:p>
        </w:tc>
        <w:tc>
          <w:tcPr>
            <w:tcW w:w="1700" w:type="dxa"/>
          </w:tcPr>
          <w:p>
            <w:pPr>
              <w:pStyle w:val="TableParagraph"/>
              <w:spacing w:before="71"/>
              <w:ind w:left="619"/>
              <w:jc w:val="left"/>
              <w:rPr>
                <w:sz w:val="18"/>
              </w:rPr>
            </w:pPr>
            <w:r>
              <w:rPr>
                <w:sz w:val="18"/>
              </w:rPr>
              <w:t>$0.00</w:t>
            </w:r>
          </w:p>
        </w:tc>
        <w:tc>
          <w:tcPr>
            <w:tcW w:w="1418" w:type="dxa"/>
          </w:tcPr>
          <w:p>
            <w:pPr>
              <w:pStyle w:val="TableParagraph"/>
              <w:spacing w:before="71"/>
              <w:ind w:left="57" w:right="54"/>
              <w:rPr>
                <w:sz w:val="18"/>
              </w:rPr>
            </w:pPr>
            <w:r>
              <w:rPr>
                <w:sz w:val="18"/>
              </w:rPr>
              <w:t>$0.00</w:t>
            </w:r>
          </w:p>
        </w:tc>
        <w:tc>
          <w:tcPr>
            <w:tcW w:w="1560" w:type="dxa"/>
            <w:tcBorders>
              <w:right w:val="single" w:sz="4" w:space="0" w:color="000000"/>
            </w:tcBorders>
          </w:tcPr>
          <w:p>
            <w:pPr>
              <w:pStyle w:val="TableParagraph"/>
              <w:spacing w:before="71"/>
              <w:ind w:left="79" w:right="78"/>
              <w:rPr>
                <w:sz w:val="18"/>
              </w:rPr>
            </w:pPr>
            <w:r>
              <w:rPr>
                <w:sz w:val="18"/>
              </w:rPr>
              <w:t>$0.00</w:t>
            </w:r>
          </w:p>
        </w:tc>
        <w:tc>
          <w:tcPr>
            <w:tcW w:w="1512" w:type="dxa"/>
            <w:tcBorders>
              <w:left w:val="single" w:sz="4" w:space="0" w:color="000000"/>
            </w:tcBorders>
          </w:tcPr>
          <w:p>
            <w:pPr>
              <w:pStyle w:val="TableParagraph"/>
              <w:spacing w:before="71"/>
              <w:ind w:left="55" w:right="55"/>
              <w:rPr>
                <w:sz w:val="18"/>
              </w:rPr>
            </w:pPr>
            <w:r>
              <w:rPr>
                <w:sz w:val="18"/>
              </w:rPr>
              <w:t>$161,361,276.00</w:t>
            </w:r>
          </w:p>
        </w:tc>
        <w:tc>
          <w:tcPr>
            <w:tcW w:w="1606" w:type="dxa"/>
          </w:tcPr>
          <w:p>
            <w:pPr>
              <w:pStyle w:val="TableParagraph"/>
              <w:spacing w:before="71"/>
              <w:ind w:left="327" w:right="324"/>
              <w:rPr>
                <w:sz w:val="18"/>
              </w:rPr>
            </w:pPr>
            <w:r>
              <w:rPr>
                <w:sz w:val="18"/>
              </w:rPr>
              <w:t>$0.00</w:t>
            </w:r>
          </w:p>
        </w:tc>
        <w:tc>
          <w:tcPr>
            <w:tcW w:w="1702" w:type="dxa"/>
          </w:tcPr>
          <w:p>
            <w:pPr>
              <w:pStyle w:val="TableParagraph"/>
              <w:spacing w:before="71"/>
              <w:ind w:left="74" w:right="74"/>
              <w:rPr>
                <w:sz w:val="18"/>
              </w:rPr>
            </w:pPr>
            <w:r>
              <w:rPr>
                <w:sz w:val="18"/>
              </w:rPr>
              <w:t>$0.00</w:t>
            </w:r>
          </w:p>
        </w:tc>
        <w:tc>
          <w:tcPr>
            <w:tcW w:w="1627" w:type="dxa"/>
          </w:tcPr>
          <w:p>
            <w:pPr>
              <w:pStyle w:val="TableParagraph"/>
              <w:spacing w:before="71"/>
              <w:ind w:left="113" w:right="113"/>
              <w:rPr>
                <w:sz w:val="18"/>
              </w:rPr>
            </w:pPr>
            <w:r>
              <w:rPr>
                <w:sz w:val="18"/>
              </w:rPr>
              <w:t>$161,361,276.00</w:t>
            </w:r>
          </w:p>
        </w:tc>
      </w:tr>
      <w:tr>
        <w:trPr>
          <w:trHeight w:val="461" w:hRule="exact"/>
        </w:trPr>
        <w:tc>
          <w:tcPr>
            <w:tcW w:w="1805" w:type="dxa"/>
          </w:tcPr>
          <w:p>
            <w:pPr>
              <w:pStyle w:val="TableParagraph"/>
              <w:spacing w:before="64"/>
              <w:ind w:left="64" w:right="66"/>
              <w:jc w:val="left"/>
              <w:rPr>
                <w:b/>
                <w:sz w:val="18"/>
              </w:rPr>
            </w:pPr>
            <w:r>
              <w:rPr>
                <w:b/>
                <w:color w:val="333333"/>
                <w:sz w:val="18"/>
              </w:rPr>
              <w:t>TEPETLAOXTOC</w:t>
            </w:r>
          </w:p>
        </w:tc>
        <w:tc>
          <w:tcPr>
            <w:tcW w:w="1418" w:type="dxa"/>
          </w:tcPr>
          <w:p>
            <w:pPr>
              <w:pStyle w:val="TableParagraph"/>
              <w:spacing w:before="68"/>
              <w:ind w:left="57" w:right="58"/>
              <w:rPr>
                <w:sz w:val="18"/>
              </w:rPr>
            </w:pPr>
            <w:r>
              <w:rPr>
                <w:sz w:val="18"/>
              </w:rPr>
              <w:t>$0.00</w:t>
            </w:r>
          </w:p>
        </w:tc>
        <w:tc>
          <w:tcPr>
            <w:tcW w:w="1700" w:type="dxa"/>
          </w:tcPr>
          <w:p>
            <w:pPr>
              <w:pStyle w:val="TableParagraph"/>
              <w:spacing w:before="68"/>
              <w:ind w:left="619"/>
              <w:jc w:val="left"/>
              <w:rPr>
                <w:sz w:val="18"/>
              </w:rPr>
            </w:pPr>
            <w:r>
              <w:rPr>
                <w:sz w:val="18"/>
              </w:rPr>
              <w:t>$0.00</w:t>
            </w:r>
          </w:p>
        </w:tc>
        <w:tc>
          <w:tcPr>
            <w:tcW w:w="1418" w:type="dxa"/>
          </w:tcPr>
          <w:p>
            <w:pPr>
              <w:pStyle w:val="TableParagraph"/>
              <w:spacing w:before="68"/>
              <w:ind w:left="57" w:right="54"/>
              <w:rPr>
                <w:sz w:val="18"/>
              </w:rPr>
            </w:pPr>
            <w:r>
              <w:rPr>
                <w:sz w:val="18"/>
              </w:rPr>
              <w:t>$0.00</w:t>
            </w:r>
          </w:p>
        </w:tc>
        <w:tc>
          <w:tcPr>
            <w:tcW w:w="1560" w:type="dxa"/>
            <w:tcBorders>
              <w:right w:val="single" w:sz="4" w:space="0" w:color="000000"/>
            </w:tcBorders>
          </w:tcPr>
          <w:p>
            <w:pPr>
              <w:pStyle w:val="TableParagraph"/>
              <w:spacing w:before="68"/>
              <w:ind w:left="79" w:right="78"/>
              <w:rPr>
                <w:sz w:val="18"/>
              </w:rPr>
            </w:pPr>
            <w:r>
              <w:rPr>
                <w:sz w:val="18"/>
              </w:rPr>
              <w:t>$0.00</w:t>
            </w:r>
          </w:p>
        </w:tc>
        <w:tc>
          <w:tcPr>
            <w:tcW w:w="1512" w:type="dxa"/>
            <w:tcBorders>
              <w:left w:val="single" w:sz="4" w:space="0" w:color="000000"/>
            </w:tcBorders>
          </w:tcPr>
          <w:p>
            <w:pPr>
              <w:pStyle w:val="TableParagraph"/>
              <w:spacing w:before="68"/>
              <w:ind w:left="55" w:right="54"/>
              <w:rPr>
                <w:sz w:val="18"/>
              </w:rPr>
            </w:pPr>
            <w:r>
              <w:rPr>
                <w:sz w:val="18"/>
              </w:rPr>
              <w:t>$0.00</w:t>
            </w:r>
          </w:p>
        </w:tc>
        <w:tc>
          <w:tcPr>
            <w:tcW w:w="1606" w:type="dxa"/>
          </w:tcPr>
          <w:p>
            <w:pPr>
              <w:pStyle w:val="TableParagraph"/>
              <w:spacing w:before="68"/>
              <w:ind w:left="327" w:right="324"/>
              <w:rPr>
                <w:sz w:val="18"/>
              </w:rPr>
            </w:pPr>
            <w:r>
              <w:rPr>
                <w:sz w:val="18"/>
              </w:rPr>
              <w:t>$0.00</w:t>
            </w:r>
          </w:p>
        </w:tc>
        <w:tc>
          <w:tcPr>
            <w:tcW w:w="1702" w:type="dxa"/>
          </w:tcPr>
          <w:p>
            <w:pPr>
              <w:pStyle w:val="TableParagraph"/>
              <w:spacing w:before="68"/>
              <w:ind w:left="74" w:right="74"/>
              <w:rPr>
                <w:sz w:val="18"/>
              </w:rPr>
            </w:pPr>
            <w:r>
              <w:rPr>
                <w:sz w:val="18"/>
              </w:rPr>
              <w:t>$0.00</w:t>
            </w:r>
          </w:p>
        </w:tc>
        <w:tc>
          <w:tcPr>
            <w:tcW w:w="1627" w:type="dxa"/>
          </w:tcPr>
          <w:p>
            <w:pPr>
              <w:pStyle w:val="TableParagraph"/>
              <w:spacing w:before="68"/>
              <w:ind w:left="113" w:right="112"/>
              <w:rPr>
                <w:sz w:val="18"/>
              </w:rPr>
            </w:pPr>
            <w:r>
              <w:rPr>
                <w:sz w:val="18"/>
              </w:rPr>
              <w:t>$0.00</w:t>
            </w:r>
          </w:p>
        </w:tc>
      </w:tr>
      <w:tr>
        <w:trPr>
          <w:trHeight w:val="319" w:hRule="exact"/>
        </w:trPr>
        <w:tc>
          <w:tcPr>
            <w:tcW w:w="1805" w:type="dxa"/>
          </w:tcPr>
          <w:p>
            <w:pPr>
              <w:pStyle w:val="TableParagraph"/>
              <w:spacing w:line="201" w:lineRule="exact"/>
              <w:ind w:left="64" w:right="66"/>
              <w:jc w:val="left"/>
              <w:rPr>
                <w:b/>
                <w:sz w:val="18"/>
              </w:rPr>
            </w:pPr>
            <w:r>
              <w:rPr>
                <w:b/>
                <w:color w:val="333333"/>
                <w:sz w:val="18"/>
              </w:rPr>
              <w:t>TEPETLIXPA</w:t>
            </w:r>
          </w:p>
        </w:tc>
        <w:tc>
          <w:tcPr>
            <w:tcW w:w="1418" w:type="dxa"/>
          </w:tcPr>
          <w:p>
            <w:pPr>
              <w:pStyle w:val="TableParagraph"/>
              <w:spacing w:line="206" w:lineRule="exact"/>
              <w:ind w:left="57" w:right="58"/>
              <w:rPr>
                <w:sz w:val="18"/>
              </w:rPr>
            </w:pPr>
            <w:r>
              <w:rPr>
                <w:sz w:val="18"/>
              </w:rPr>
              <w:t>$0.00</w:t>
            </w:r>
          </w:p>
        </w:tc>
        <w:tc>
          <w:tcPr>
            <w:tcW w:w="1700" w:type="dxa"/>
          </w:tcPr>
          <w:p>
            <w:pPr>
              <w:pStyle w:val="TableParagraph"/>
              <w:spacing w:line="206" w:lineRule="exact"/>
              <w:ind w:left="619"/>
              <w:jc w:val="left"/>
              <w:rPr>
                <w:sz w:val="18"/>
              </w:rPr>
            </w:pPr>
            <w:r>
              <w:rPr>
                <w:sz w:val="18"/>
              </w:rPr>
              <w:t>$0.00</w:t>
            </w:r>
          </w:p>
        </w:tc>
        <w:tc>
          <w:tcPr>
            <w:tcW w:w="1418" w:type="dxa"/>
          </w:tcPr>
          <w:p>
            <w:pPr>
              <w:pStyle w:val="TableParagraph"/>
              <w:spacing w:line="206" w:lineRule="exact"/>
              <w:ind w:left="57" w:right="54"/>
              <w:rPr>
                <w:sz w:val="18"/>
              </w:rPr>
            </w:pPr>
            <w:r>
              <w:rPr>
                <w:sz w:val="18"/>
              </w:rPr>
              <w:t>$0.00</w:t>
            </w:r>
          </w:p>
        </w:tc>
        <w:tc>
          <w:tcPr>
            <w:tcW w:w="1560" w:type="dxa"/>
            <w:tcBorders>
              <w:right w:val="single" w:sz="4" w:space="0" w:color="000000"/>
            </w:tcBorders>
          </w:tcPr>
          <w:p>
            <w:pPr>
              <w:pStyle w:val="TableParagraph"/>
              <w:spacing w:line="206" w:lineRule="exact"/>
              <w:ind w:left="79" w:right="78"/>
              <w:rPr>
                <w:sz w:val="18"/>
              </w:rPr>
            </w:pPr>
            <w:r>
              <w:rPr>
                <w:sz w:val="18"/>
              </w:rPr>
              <w:t>$0.00</w:t>
            </w:r>
          </w:p>
        </w:tc>
        <w:tc>
          <w:tcPr>
            <w:tcW w:w="1512" w:type="dxa"/>
            <w:tcBorders>
              <w:left w:val="single" w:sz="4" w:space="0" w:color="000000"/>
            </w:tcBorders>
          </w:tcPr>
          <w:p>
            <w:pPr>
              <w:pStyle w:val="TableParagraph"/>
              <w:spacing w:line="206" w:lineRule="exact"/>
              <w:ind w:left="55" w:right="54"/>
              <w:rPr>
                <w:sz w:val="18"/>
              </w:rPr>
            </w:pPr>
            <w:r>
              <w:rPr>
                <w:sz w:val="18"/>
              </w:rPr>
              <w:t>$0.00</w:t>
            </w:r>
          </w:p>
        </w:tc>
        <w:tc>
          <w:tcPr>
            <w:tcW w:w="1606" w:type="dxa"/>
          </w:tcPr>
          <w:p>
            <w:pPr>
              <w:pStyle w:val="TableParagraph"/>
              <w:spacing w:line="206" w:lineRule="exact"/>
              <w:ind w:left="327" w:right="324"/>
              <w:rPr>
                <w:sz w:val="18"/>
              </w:rPr>
            </w:pPr>
            <w:r>
              <w:rPr>
                <w:sz w:val="18"/>
              </w:rPr>
              <w:t>$0.00</w:t>
            </w:r>
          </w:p>
        </w:tc>
        <w:tc>
          <w:tcPr>
            <w:tcW w:w="1702" w:type="dxa"/>
          </w:tcPr>
          <w:p>
            <w:pPr>
              <w:pStyle w:val="TableParagraph"/>
              <w:spacing w:line="206" w:lineRule="exact"/>
              <w:ind w:left="74" w:right="74"/>
              <w:rPr>
                <w:sz w:val="18"/>
              </w:rPr>
            </w:pPr>
            <w:r>
              <w:rPr>
                <w:sz w:val="18"/>
              </w:rPr>
              <w:t>$0.00</w:t>
            </w:r>
          </w:p>
        </w:tc>
        <w:tc>
          <w:tcPr>
            <w:tcW w:w="1627" w:type="dxa"/>
          </w:tcPr>
          <w:p>
            <w:pPr>
              <w:pStyle w:val="TableParagraph"/>
              <w:spacing w:line="206" w:lineRule="exact"/>
              <w:ind w:left="113" w:right="112"/>
              <w:rPr>
                <w:sz w:val="18"/>
              </w:rPr>
            </w:pPr>
            <w:r>
              <w:rPr>
                <w:sz w:val="18"/>
              </w:rPr>
              <w:t>$0.00</w:t>
            </w:r>
          </w:p>
        </w:tc>
      </w:tr>
      <w:tr>
        <w:trPr>
          <w:trHeight w:val="461" w:hRule="exact"/>
        </w:trPr>
        <w:tc>
          <w:tcPr>
            <w:tcW w:w="1805" w:type="dxa"/>
          </w:tcPr>
          <w:p>
            <w:pPr>
              <w:pStyle w:val="TableParagraph"/>
              <w:spacing w:before="64"/>
              <w:ind w:left="64" w:right="66"/>
              <w:jc w:val="left"/>
              <w:rPr>
                <w:b/>
                <w:sz w:val="18"/>
              </w:rPr>
            </w:pPr>
            <w:r>
              <w:rPr>
                <w:b/>
                <w:color w:val="333333"/>
                <w:sz w:val="18"/>
              </w:rPr>
              <w:t>TEPOTZOTLAN</w:t>
            </w:r>
          </w:p>
        </w:tc>
        <w:tc>
          <w:tcPr>
            <w:tcW w:w="1418" w:type="dxa"/>
          </w:tcPr>
          <w:p>
            <w:pPr>
              <w:pStyle w:val="TableParagraph"/>
              <w:spacing w:before="68"/>
              <w:ind w:left="57" w:right="58"/>
              <w:rPr>
                <w:sz w:val="18"/>
              </w:rPr>
            </w:pPr>
            <w:r>
              <w:rPr>
                <w:sz w:val="18"/>
              </w:rPr>
              <w:t>$0.00</w:t>
            </w:r>
          </w:p>
        </w:tc>
        <w:tc>
          <w:tcPr>
            <w:tcW w:w="1700" w:type="dxa"/>
          </w:tcPr>
          <w:p>
            <w:pPr>
              <w:pStyle w:val="TableParagraph"/>
              <w:spacing w:before="68"/>
              <w:ind w:left="619"/>
              <w:jc w:val="left"/>
              <w:rPr>
                <w:sz w:val="18"/>
              </w:rPr>
            </w:pPr>
            <w:r>
              <w:rPr>
                <w:sz w:val="18"/>
              </w:rPr>
              <w:t>$0.00</w:t>
            </w:r>
          </w:p>
        </w:tc>
        <w:tc>
          <w:tcPr>
            <w:tcW w:w="1418" w:type="dxa"/>
          </w:tcPr>
          <w:p>
            <w:pPr>
              <w:pStyle w:val="TableParagraph"/>
              <w:spacing w:before="68"/>
              <w:ind w:left="57" w:right="54"/>
              <w:rPr>
                <w:sz w:val="18"/>
              </w:rPr>
            </w:pPr>
            <w:r>
              <w:rPr>
                <w:sz w:val="18"/>
              </w:rPr>
              <w:t>$0.00</w:t>
            </w:r>
          </w:p>
        </w:tc>
        <w:tc>
          <w:tcPr>
            <w:tcW w:w="1560" w:type="dxa"/>
            <w:tcBorders>
              <w:right w:val="single" w:sz="4" w:space="0" w:color="000000"/>
            </w:tcBorders>
          </w:tcPr>
          <w:p>
            <w:pPr>
              <w:pStyle w:val="TableParagraph"/>
              <w:spacing w:before="68"/>
              <w:ind w:left="79" w:right="78"/>
              <w:rPr>
                <w:sz w:val="18"/>
              </w:rPr>
            </w:pPr>
            <w:r>
              <w:rPr>
                <w:sz w:val="18"/>
              </w:rPr>
              <w:t>$0.00</w:t>
            </w:r>
          </w:p>
        </w:tc>
        <w:tc>
          <w:tcPr>
            <w:tcW w:w="1512" w:type="dxa"/>
            <w:tcBorders>
              <w:left w:val="single" w:sz="4" w:space="0" w:color="000000"/>
            </w:tcBorders>
          </w:tcPr>
          <w:p>
            <w:pPr>
              <w:pStyle w:val="TableParagraph"/>
              <w:spacing w:before="68"/>
              <w:ind w:left="55" w:right="55"/>
              <w:rPr>
                <w:sz w:val="18"/>
              </w:rPr>
            </w:pPr>
            <w:r>
              <w:rPr>
                <w:sz w:val="18"/>
              </w:rPr>
              <w:t>$356,848,643.00</w:t>
            </w:r>
          </w:p>
        </w:tc>
        <w:tc>
          <w:tcPr>
            <w:tcW w:w="1606" w:type="dxa"/>
          </w:tcPr>
          <w:p>
            <w:pPr>
              <w:pStyle w:val="TableParagraph"/>
              <w:spacing w:before="68"/>
              <w:ind w:left="327" w:right="324"/>
              <w:rPr>
                <w:sz w:val="18"/>
              </w:rPr>
            </w:pPr>
            <w:r>
              <w:rPr>
                <w:sz w:val="18"/>
              </w:rPr>
              <w:t>$0.00</w:t>
            </w:r>
          </w:p>
        </w:tc>
        <w:tc>
          <w:tcPr>
            <w:tcW w:w="1702" w:type="dxa"/>
          </w:tcPr>
          <w:p>
            <w:pPr>
              <w:pStyle w:val="TableParagraph"/>
              <w:spacing w:before="68"/>
              <w:ind w:left="74" w:right="74"/>
              <w:rPr>
                <w:sz w:val="18"/>
              </w:rPr>
            </w:pPr>
            <w:r>
              <w:rPr>
                <w:sz w:val="18"/>
              </w:rPr>
              <w:t>$0.00</w:t>
            </w:r>
          </w:p>
        </w:tc>
        <w:tc>
          <w:tcPr>
            <w:tcW w:w="1627" w:type="dxa"/>
          </w:tcPr>
          <w:p>
            <w:pPr>
              <w:pStyle w:val="TableParagraph"/>
              <w:spacing w:before="68"/>
              <w:ind w:left="113" w:right="113"/>
              <w:rPr>
                <w:sz w:val="18"/>
              </w:rPr>
            </w:pPr>
            <w:r>
              <w:rPr>
                <w:sz w:val="18"/>
              </w:rPr>
              <w:t>$356,848,643.00</w:t>
            </w:r>
          </w:p>
        </w:tc>
      </w:tr>
      <w:tr>
        <w:trPr>
          <w:trHeight w:val="319" w:hRule="exact"/>
        </w:trPr>
        <w:tc>
          <w:tcPr>
            <w:tcW w:w="1805" w:type="dxa"/>
          </w:tcPr>
          <w:p>
            <w:pPr>
              <w:pStyle w:val="TableParagraph"/>
              <w:spacing w:line="201" w:lineRule="exact"/>
              <w:ind w:left="64" w:right="66"/>
              <w:jc w:val="left"/>
              <w:rPr>
                <w:b/>
                <w:sz w:val="18"/>
              </w:rPr>
            </w:pPr>
            <w:r>
              <w:rPr>
                <w:b/>
                <w:color w:val="333333"/>
                <w:sz w:val="18"/>
              </w:rPr>
              <w:t>TEQUIXQUIAC</w:t>
            </w:r>
          </w:p>
        </w:tc>
        <w:tc>
          <w:tcPr>
            <w:tcW w:w="1418" w:type="dxa"/>
          </w:tcPr>
          <w:p>
            <w:pPr>
              <w:pStyle w:val="TableParagraph"/>
              <w:spacing w:line="206" w:lineRule="exact"/>
              <w:ind w:left="57" w:right="58"/>
              <w:rPr>
                <w:sz w:val="18"/>
              </w:rPr>
            </w:pPr>
            <w:r>
              <w:rPr>
                <w:sz w:val="18"/>
              </w:rPr>
              <w:t>$0.00</w:t>
            </w:r>
          </w:p>
        </w:tc>
        <w:tc>
          <w:tcPr>
            <w:tcW w:w="1700" w:type="dxa"/>
          </w:tcPr>
          <w:p>
            <w:pPr>
              <w:pStyle w:val="TableParagraph"/>
              <w:spacing w:line="206" w:lineRule="exact"/>
              <w:ind w:left="619"/>
              <w:jc w:val="left"/>
              <w:rPr>
                <w:sz w:val="18"/>
              </w:rPr>
            </w:pPr>
            <w:r>
              <w:rPr>
                <w:sz w:val="18"/>
              </w:rPr>
              <w:t>$0.00</w:t>
            </w:r>
          </w:p>
        </w:tc>
        <w:tc>
          <w:tcPr>
            <w:tcW w:w="1418" w:type="dxa"/>
          </w:tcPr>
          <w:p>
            <w:pPr>
              <w:pStyle w:val="TableParagraph"/>
              <w:spacing w:line="206" w:lineRule="exact"/>
              <w:ind w:left="57" w:right="54"/>
              <w:rPr>
                <w:sz w:val="18"/>
              </w:rPr>
            </w:pPr>
            <w:r>
              <w:rPr>
                <w:sz w:val="18"/>
              </w:rPr>
              <w:t>$0.00</w:t>
            </w:r>
          </w:p>
        </w:tc>
        <w:tc>
          <w:tcPr>
            <w:tcW w:w="1560" w:type="dxa"/>
            <w:tcBorders>
              <w:right w:val="single" w:sz="4" w:space="0" w:color="000000"/>
            </w:tcBorders>
          </w:tcPr>
          <w:p>
            <w:pPr>
              <w:pStyle w:val="TableParagraph"/>
              <w:spacing w:line="206" w:lineRule="exact"/>
              <w:ind w:left="79" w:right="78"/>
              <w:rPr>
                <w:sz w:val="18"/>
              </w:rPr>
            </w:pPr>
            <w:r>
              <w:rPr>
                <w:sz w:val="18"/>
              </w:rPr>
              <w:t>$0.00</w:t>
            </w:r>
          </w:p>
        </w:tc>
        <w:tc>
          <w:tcPr>
            <w:tcW w:w="1512" w:type="dxa"/>
            <w:tcBorders>
              <w:left w:val="single" w:sz="4" w:space="0" w:color="000000"/>
            </w:tcBorders>
          </w:tcPr>
          <w:p>
            <w:pPr>
              <w:pStyle w:val="TableParagraph"/>
              <w:spacing w:line="206" w:lineRule="exact"/>
              <w:ind w:left="55" w:right="54"/>
              <w:rPr>
                <w:sz w:val="18"/>
              </w:rPr>
            </w:pPr>
            <w:r>
              <w:rPr>
                <w:sz w:val="18"/>
              </w:rPr>
              <w:t>$0.00</w:t>
            </w:r>
          </w:p>
        </w:tc>
        <w:tc>
          <w:tcPr>
            <w:tcW w:w="1606" w:type="dxa"/>
          </w:tcPr>
          <w:p>
            <w:pPr>
              <w:pStyle w:val="TableParagraph"/>
              <w:spacing w:line="206" w:lineRule="exact"/>
              <w:ind w:left="327" w:right="324"/>
              <w:rPr>
                <w:sz w:val="18"/>
              </w:rPr>
            </w:pPr>
            <w:r>
              <w:rPr>
                <w:sz w:val="18"/>
              </w:rPr>
              <w:t>$0.00</w:t>
            </w:r>
          </w:p>
        </w:tc>
        <w:tc>
          <w:tcPr>
            <w:tcW w:w="1702" w:type="dxa"/>
          </w:tcPr>
          <w:p>
            <w:pPr>
              <w:pStyle w:val="TableParagraph"/>
              <w:spacing w:line="206" w:lineRule="exact"/>
              <w:ind w:left="74" w:right="74"/>
              <w:rPr>
                <w:sz w:val="18"/>
              </w:rPr>
            </w:pPr>
            <w:r>
              <w:rPr>
                <w:sz w:val="18"/>
              </w:rPr>
              <w:t>$0.00</w:t>
            </w:r>
          </w:p>
        </w:tc>
        <w:tc>
          <w:tcPr>
            <w:tcW w:w="1627" w:type="dxa"/>
          </w:tcPr>
          <w:p>
            <w:pPr>
              <w:pStyle w:val="TableParagraph"/>
              <w:spacing w:line="206" w:lineRule="exact"/>
              <w:ind w:left="113" w:right="112"/>
              <w:rPr>
                <w:sz w:val="18"/>
              </w:rPr>
            </w:pPr>
            <w:r>
              <w:rPr>
                <w:sz w:val="18"/>
              </w:rPr>
              <w:t>$0.00</w:t>
            </w:r>
          </w:p>
        </w:tc>
      </w:tr>
      <w:tr>
        <w:trPr>
          <w:trHeight w:val="322" w:hRule="exact"/>
        </w:trPr>
        <w:tc>
          <w:tcPr>
            <w:tcW w:w="1805" w:type="dxa"/>
          </w:tcPr>
          <w:p>
            <w:pPr>
              <w:pStyle w:val="TableParagraph"/>
              <w:spacing w:line="204" w:lineRule="exact"/>
              <w:ind w:left="64" w:right="66"/>
              <w:jc w:val="left"/>
              <w:rPr>
                <w:b/>
                <w:sz w:val="18"/>
              </w:rPr>
            </w:pPr>
            <w:r>
              <w:rPr>
                <w:b/>
                <w:color w:val="333333"/>
                <w:sz w:val="18"/>
              </w:rPr>
              <w:t>TEXCALTITL�N</w:t>
            </w:r>
          </w:p>
        </w:tc>
        <w:tc>
          <w:tcPr>
            <w:tcW w:w="1418" w:type="dxa"/>
          </w:tcPr>
          <w:p>
            <w:pPr>
              <w:pStyle w:val="TableParagraph"/>
              <w:spacing w:before="1"/>
              <w:ind w:left="57" w:right="58"/>
              <w:rPr>
                <w:sz w:val="18"/>
              </w:rPr>
            </w:pPr>
            <w:r>
              <w:rPr>
                <w:sz w:val="18"/>
              </w:rPr>
              <w:t>$0.00</w:t>
            </w:r>
          </w:p>
        </w:tc>
        <w:tc>
          <w:tcPr>
            <w:tcW w:w="1700" w:type="dxa"/>
          </w:tcPr>
          <w:p>
            <w:pPr>
              <w:pStyle w:val="TableParagraph"/>
              <w:spacing w:before="1"/>
              <w:ind w:left="619"/>
              <w:jc w:val="left"/>
              <w:rPr>
                <w:sz w:val="18"/>
              </w:rPr>
            </w:pPr>
            <w:r>
              <w:rPr>
                <w:sz w:val="18"/>
              </w:rPr>
              <w:t>$0.00</w:t>
            </w:r>
          </w:p>
        </w:tc>
        <w:tc>
          <w:tcPr>
            <w:tcW w:w="1418" w:type="dxa"/>
          </w:tcPr>
          <w:p>
            <w:pPr>
              <w:pStyle w:val="TableParagraph"/>
              <w:spacing w:before="1"/>
              <w:ind w:left="57" w:right="54"/>
              <w:rPr>
                <w:sz w:val="18"/>
              </w:rPr>
            </w:pPr>
            <w:r>
              <w:rPr>
                <w:sz w:val="18"/>
              </w:rPr>
              <w:t>$0.00</w:t>
            </w:r>
          </w:p>
        </w:tc>
        <w:tc>
          <w:tcPr>
            <w:tcW w:w="1560" w:type="dxa"/>
            <w:tcBorders>
              <w:right w:val="single" w:sz="4" w:space="0" w:color="000000"/>
            </w:tcBorders>
          </w:tcPr>
          <w:p>
            <w:pPr>
              <w:pStyle w:val="TableParagraph"/>
              <w:spacing w:before="1"/>
              <w:ind w:left="79" w:right="78"/>
              <w:rPr>
                <w:sz w:val="18"/>
              </w:rPr>
            </w:pPr>
            <w:r>
              <w:rPr>
                <w:sz w:val="18"/>
              </w:rPr>
              <w:t>$0.00</w:t>
            </w:r>
          </w:p>
        </w:tc>
        <w:tc>
          <w:tcPr>
            <w:tcW w:w="1512" w:type="dxa"/>
            <w:tcBorders>
              <w:left w:val="single" w:sz="4" w:space="0" w:color="000000"/>
            </w:tcBorders>
          </w:tcPr>
          <w:p>
            <w:pPr>
              <w:pStyle w:val="TableParagraph"/>
              <w:spacing w:before="1"/>
              <w:ind w:left="55" w:right="54"/>
              <w:rPr>
                <w:sz w:val="18"/>
              </w:rPr>
            </w:pPr>
            <w:r>
              <w:rPr>
                <w:sz w:val="18"/>
              </w:rPr>
              <w:t>$0.00</w:t>
            </w:r>
          </w:p>
        </w:tc>
        <w:tc>
          <w:tcPr>
            <w:tcW w:w="1606" w:type="dxa"/>
          </w:tcPr>
          <w:p>
            <w:pPr>
              <w:pStyle w:val="TableParagraph"/>
              <w:spacing w:before="1"/>
              <w:ind w:left="327" w:right="324"/>
              <w:rPr>
                <w:sz w:val="18"/>
              </w:rPr>
            </w:pPr>
            <w:r>
              <w:rPr>
                <w:sz w:val="18"/>
              </w:rPr>
              <w:t>$0.00</w:t>
            </w:r>
          </w:p>
        </w:tc>
        <w:tc>
          <w:tcPr>
            <w:tcW w:w="1702" w:type="dxa"/>
          </w:tcPr>
          <w:p>
            <w:pPr>
              <w:pStyle w:val="TableParagraph"/>
              <w:spacing w:before="1"/>
              <w:ind w:left="74" w:right="74"/>
              <w:rPr>
                <w:sz w:val="18"/>
              </w:rPr>
            </w:pPr>
            <w:r>
              <w:rPr>
                <w:sz w:val="18"/>
              </w:rPr>
              <w:t>$0.00</w:t>
            </w:r>
          </w:p>
        </w:tc>
        <w:tc>
          <w:tcPr>
            <w:tcW w:w="1627" w:type="dxa"/>
          </w:tcPr>
          <w:p>
            <w:pPr>
              <w:pStyle w:val="TableParagraph"/>
              <w:spacing w:before="1"/>
              <w:ind w:left="113" w:right="112"/>
              <w:rPr>
                <w:sz w:val="18"/>
              </w:rPr>
            </w:pPr>
            <w:r>
              <w:rPr>
                <w:sz w:val="18"/>
              </w:rPr>
              <w:t>$0.00</w:t>
            </w:r>
          </w:p>
        </w:tc>
      </w:tr>
      <w:tr>
        <w:trPr>
          <w:trHeight w:val="322" w:hRule="exact"/>
        </w:trPr>
        <w:tc>
          <w:tcPr>
            <w:tcW w:w="1805" w:type="dxa"/>
          </w:tcPr>
          <w:p>
            <w:pPr>
              <w:pStyle w:val="TableParagraph"/>
              <w:spacing w:line="201" w:lineRule="exact"/>
              <w:ind w:left="64" w:right="66"/>
              <w:jc w:val="left"/>
              <w:rPr>
                <w:b/>
                <w:sz w:val="18"/>
              </w:rPr>
            </w:pPr>
            <w:r>
              <w:rPr>
                <w:b/>
                <w:color w:val="333333"/>
                <w:sz w:val="18"/>
              </w:rPr>
              <w:t>TEXCALYACAC</w:t>
            </w:r>
          </w:p>
        </w:tc>
        <w:tc>
          <w:tcPr>
            <w:tcW w:w="1418" w:type="dxa"/>
          </w:tcPr>
          <w:p>
            <w:pPr>
              <w:pStyle w:val="TableParagraph"/>
              <w:spacing w:line="206" w:lineRule="exact"/>
              <w:ind w:left="57" w:right="58"/>
              <w:rPr>
                <w:sz w:val="18"/>
              </w:rPr>
            </w:pPr>
            <w:r>
              <w:rPr>
                <w:sz w:val="18"/>
              </w:rPr>
              <w:t>$0.00</w:t>
            </w:r>
          </w:p>
        </w:tc>
        <w:tc>
          <w:tcPr>
            <w:tcW w:w="1700" w:type="dxa"/>
          </w:tcPr>
          <w:p>
            <w:pPr>
              <w:pStyle w:val="TableParagraph"/>
              <w:spacing w:line="206" w:lineRule="exact"/>
              <w:ind w:left="619"/>
              <w:jc w:val="left"/>
              <w:rPr>
                <w:sz w:val="18"/>
              </w:rPr>
            </w:pPr>
            <w:r>
              <w:rPr>
                <w:sz w:val="18"/>
              </w:rPr>
              <w:t>$0.00</w:t>
            </w:r>
          </w:p>
        </w:tc>
        <w:tc>
          <w:tcPr>
            <w:tcW w:w="1418" w:type="dxa"/>
          </w:tcPr>
          <w:p>
            <w:pPr>
              <w:pStyle w:val="TableParagraph"/>
              <w:spacing w:line="206" w:lineRule="exact"/>
              <w:ind w:left="57" w:right="54"/>
              <w:rPr>
                <w:sz w:val="18"/>
              </w:rPr>
            </w:pPr>
            <w:r>
              <w:rPr>
                <w:sz w:val="18"/>
              </w:rPr>
              <w:t>$0.00</w:t>
            </w:r>
          </w:p>
        </w:tc>
        <w:tc>
          <w:tcPr>
            <w:tcW w:w="1560" w:type="dxa"/>
            <w:tcBorders>
              <w:right w:val="single" w:sz="4" w:space="0" w:color="000000"/>
            </w:tcBorders>
          </w:tcPr>
          <w:p>
            <w:pPr>
              <w:pStyle w:val="TableParagraph"/>
              <w:spacing w:line="206" w:lineRule="exact"/>
              <w:ind w:left="79" w:right="78"/>
              <w:rPr>
                <w:sz w:val="18"/>
              </w:rPr>
            </w:pPr>
            <w:r>
              <w:rPr>
                <w:sz w:val="18"/>
              </w:rPr>
              <w:t>$0.00</w:t>
            </w:r>
          </w:p>
        </w:tc>
        <w:tc>
          <w:tcPr>
            <w:tcW w:w="1512" w:type="dxa"/>
            <w:tcBorders>
              <w:left w:val="single" w:sz="4" w:space="0" w:color="000000"/>
            </w:tcBorders>
          </w:tcPr>
          <w:p>
            <w:pPr>
              <w:pStyle w:val="TableParagraph"/>
              <w:spacing w:line="206" w:lineRule="exact"/>
              <w:ind w:left="55" w:right="54"/>
              <w:rPr>
                <w:sz w:val="18"/>
              </w:rPr>
            </w:pPr>
            <w:r>
              <w:rPr>
                <w:sz w:val="18"/>
              </w:rPr>
              <w:t>$0.00</w:t>
            </w:r>
          </w:p>
        </w:tc>
        <w:tc>
          <w:tcPr>
            <w:tcW w:w="1606" w:type="dxa"/>
          </w:tcPr>
          <w:p>
            <w:pPr>
              <w:pStyle w:val="TableParagraph"/>
              <w:spacing w:line="206" w:lineRule="exact"/>
              <w:ind w:left="327" w:right="324"/>
              <w:rPr>
                <w:sz w:val="18"/>
              </w:rPr>
            </w:pPr>
            <w:r>
              <w:rPr>
                <w:sz w:val="18"/>
              </w:rPr>
              <w:t>$0.00</w:t>
            </w:r>
          </w:p>
        </w:tc>
        <w:tc>
          <w:tcPr>
            <w:tcW w:w="1702" w:type="dxa"/>
          </w:tcPr>
          <w:p>
            <w:pPr>
              <w:pStyle w:val="TableParagraph"/>
              <w:spacing w:line="206" w:lineRule="exact"/>
              <w:ind w:left="74" w:right="74"/>
              <w:rPr>
                <w:sz w:val="18"/>
              </w:rPr>
            </w:pPr>
            <w:r>
              <w:rPr>
                <w:sz w:val="18"/>
              </w:rPr>
              <w:t>$0.00</w:t>
            </w:r>
          </w:p>
        </w:tc>
        <w:tc>
          <w:tcPr>
            <w:tcW w:w="1627" w:type="dxa"/>
          </w:tcPr>
          <w:p>
            <w:pPr>
              <w:pStyle w:val="TableParagraph"/>
              <w:spacing w:line="206" w:lineRule="exact"/>
              <w:ind w:left="113" w:right="112"/>
              <w:rPr>
                <w:sz w:val="18"/>
              </w:rPr>
            </w:pPr>
            <w:r>
              <w:rPr>
                <w:sz w:val="18"/>
              </w:rPr>
              <w:t>$0.00</w:t>
            </w:r>
          </w:p>
        </w:tc>
      </w:tr>
      <w:tr>
        <w:trPr>
          <w:trHeight w:val="319" w:hRule="exact"/>
        </w:trPr>
        <w:tc>
          <w:tcPr>
            <w:tcW w:w="1805" w:type="dxa"/>
          </w:tcPr>
          <w:p>
            <w:pPr>
              <w:pStyle w:val="TableParagraph"/>
              <w:spacing w:line="201" w:lineRule="exact"/>
              <w:ind w:left="64" w:right="66"/>
              <w:jc w:val="left"/>
              <w:rPr>
                <w:b/>
                <w:sz w:val="18"/>
              </w:rPr>
            </w:pPr>
            <w:r>
              <w:rPr>
                <w:b/>
                <w:color w:val="333333"/>
                <w:sz w:val="18"/>
              </w:rPr>
              <w:t>TEXCOCO</w:t>
            </w:r>
          </w:p>
        </w:tc>
        <w:tc>
          <w:tcPr>
            <w:tcW w:w="1418" w:type="dxa"/>
          </w:tcPr>
          <w:p>
            <w:pPr>
              <w:pStyle w:val="TableParagraph"/>
              <w:spacing w:line="206" w:lineRule="exact"/>
              <w:ind w:left="57" w:right="58"/>
              <w:rPr>
                <w:sz w:val="18"/>
              </w:rPr>
            </w:pPr>
            <w:r>
              <w:rPr>
                <w:sz w:val="18"/>
              </w:rPr>
              <w:t>$0.00</w:t>
            </w:r>
          </w:p>
        </w:tc>
        <w:tc>
          <w:tcPr>
            <w:tcW w:w="1700" w:type="dxa"/>
          </w:tcPr>
          <w:p>
            <w:pPr>
              <w:pStyle w:val="TableParagraph"/>
              <w:spacing w:line="206" w:lineRule="exact"/>
              <w:ind w:left="619"/>
              <w:jc w:val="left"/>
              <w:rPr>
                <w:sz w:val="18"/>
              </w:rPr>
            </w:pPr>
            <w:r>
              <w:rPr>
                <w:sz w:val="18"/>
              </w:rPr>
              <w:t>$0.00</w:t>
            </w:r>
          </w:p>
        </w:tc>
        <w:tc>
          <w:tcPr>
            <w:tcW w:w="1418" w:type="dxa"/>
          </w:tcPr>
          <w:p>
            <w:pPr>
              <w:pStyle w:val="TableParagraph"/>
              <w:spacing w:line="206" w:lineRule="exact"/>
              <w:ind w:left="57" w:right="54"/>
              <w:rPr>
                <w:sz w:val="18"/>
              </w:rPr>
            </w:pPr>
            <w:r>
              <w:rPr>
                <w:sz w:val="18"/>
              </w:rPr>
              <w:t>$0.00</w:t>
            </w:r>
          </w:p>
        </w:tc>
        <w:tc>
          <w:tcPr>
            <w:tcW w:w="1560" w:type="dxa"/>
            <w:tcBorders>
              <w:right w:val="single" w:sz="4" w:space="0" w:color="000000"/>
            </w:tcBorders>
          </w:tcPr>
          <w:p>
            <w:pPr>
              <w:pStyle w:val="TableParagraph"/>
              <w:spacing w:line="206" w:lineRule="exact"/>
              <w:ind w:left="79" w:right="78"/>
              <w:rPr>
                <w:sz w:val="18"/>
              </w:rPr>
            </w:pPr>
            <w:r>
              <w:rPr>
                <w:sz w:val="18"/>
              </w:rPr>
              <w:t>$0.00</w:t>
            </w:r>
          </w:p>
        </w:tc>
        <w:tc>
          <w:tcPr>
            <w:tcW w:w="1512" w:type="dxa"/>
            <w:tcBorders>
              <w:left w:val="single" w:sz="4" w:space="0" w:color="000000"/>
            </w:tcBorders>
          </w:tcPr>
          <w:p>
            <w:pPr>
              <w:pStyle w:val="TableParagraph"/>
              <w:spacing w:line="206" w:lineRule="exact"/>
              <w:ind w:left="55" w:right="54"/>
              <w:rPr>
                <w:sz w:val="18"/>
              </w:rPr>
            </w:pPr>
            <w:r>
              <w:rPr>
                <w:sz w:val="18"/>
              </w:rPr>
              <w:t>$0.00</w:t>
            </w:r>
          </w:p>
        </w:tc>
        <w:tc>
          <w:tcPr>
            <w:tcW w:w="1606" w:type="dxa"/>
          </w:tcPr>
          <w:p>
            <w:pPr>
              <w:pStyle w:val="TableParagraph"/>
              <w:spacing w:line="206" w:lineRule="exact"/>
              <w:ind w:left="327" w:right="324"/>
              <w:rPr>
                <w:sz w:val="18"/>
              </w:rPr>
            </w:pPr>
            <w:r>
              <w:rPr>
                <w:sz w:val="18"/>
              </w:rPr>
              <w:t>$0.00</w:t>
            </w:r>
          </w:p>
        </w:tc>
        <w:tc>
          <w:tcPr>
            <w:tcW w:w="1702" w:type="dxa"/>
          </w:tcPr>
          <w:p>
            <w:pPr>
              <w:pStyle w:val="TableParagraph"/>
              <w:spacing w:line="206" w:lineRule="exact"/>
              <w:ind w:left="74" w:right="74"/>
              <w:rPr>
                <w:sz w:val="18"/>
              </w:rPr>
            </w:pPr>
            <w:r>
              <w:rPr>
                <w:sz w:val="18"/>
              </w:rPr>
              <w:t>$0.00</w:t>
            </w:r>
          </w:p>
        </w:tc>
        <w:tc>
          <w:tcPr>
            <w:tcW w:w="1627" w:type="dxa"/>
          </w:tcPr>
          <w:p>
            <w:pPr>
              <w:pStyle w:val="TableParagraph"/>
              <w:spacing w:line="206" w:lineRule="exact"/>
              <w:ind w:left="113" w:right="112"/>
              <w:rPr>
                <w:sz w:val="18"/>
              </w:rPr>
            </w:pPr>
            <w:r>
              <w:rPr>
                <w:sz w:val="18"/>
              </w:rPr>
              <w:t>$0.00</w:t>
            </w:r>
          </w:p>
        </w:tc>
      </w:tr>
      <w:tr>
        <w:trPr>
          <w:trHeight w:val="322" w:hRule="exact"/>
        </w:trPr>
        <w:tc>
          <w:tcPr>
            <w:tcW w:w="1805" w:type="dxa"/>
          </w:tcPr>
          <w:p>
            <w:pPr>
              <w:pStyle w:val="TableParagraph"/>
              <w:spacing w:line="201" w:lineRule="exact"/>
              <w:ind w:left="64" w:right="66"/>
              <w:jc w:val="left"/>
              <w:rPr>
                <w:b/>
                <w:sz w:val="18"/>
              </w:rPr>
            </w:pPr>
            <w:r>
              <w:rPr>
                <w:b/>
                <w:color w:val="333333"/>
                <w:sz w:val="18"/>
              </w:rPr>
              <w:t>TEZOYUCA</w:t>
            </w:r>
          </w:p>
        </w:tc>
        <w:tc>
          <w:tcPr>
            <w:tcW w:w="1418" w:type="dxa"/>
          </w:tcPr>
          <w:p>
            <w:pPr>
              <w:pStyle w:val="TableParagraph"/>
              <w:spacing w:line="206" w:lineRule="exact"/>
              <w:ind w:left="57" w:right="58"/>
              <w:rPr>
                <w:sz w:val="18"/>
              </w:rPr>
            </w:pPr>
            <w:r>
              <w:rPr>
                <w:sz w:val="18"/>
              </w:rPr>
              <w:t>$0.00</w:t>
            </w:r>
          </w:p>
        </w:tc>
        <w:tc>
          <w:tcPr>
            <w:tcW w:w="1700" w:type="dxa"/>
          </w:tcPr>
          <w:p>
            <w:pPr>
              <w:pStyle w:val="TableParagraph"/>
              <w:spacing w:line="206" w:lineRule="exact"/>
              <w:ind w:left="619"/>
              <w:jc w:val="left"/>
              <w:rPr>
                <w:sz w:val="18"/>
              </w:rPr>
            </w:pPr>
            <w:r>
              <w:rPr>
                <w:sz w:val="18"/>
              </w:rPr>
              <w:t>$0.00</w:t>
            </w:r>
          </w:p>
        </w:tc>
        <w:tc>
          <w:tcPr>
            <w:tcW w:w="1418" w:type="dxa"/>
          </w:tcPr>
          <w:p>
            <w:pPr>
              <w:pStyle w:val="TableParagraph"/>
              <w:spacing w:line="206" w:lineRule="exact"/>
              <w:ind w:left="57" w:right="54"/>
              <w:rPr>
                <w:sz w:val="18"/>
              </w:rPr>
            </w:pPr>
            <w:r>
              <w:rPr>
                <w:sz w:val="18"/>
              </w:rPr>
              <w:t>$0.00</w:t>
            </w:r>
          </w:p>
        </w:tc>
        <w:tc>
          <w:tcPr>
            <w:tcW w:w="1560" w:type="dxa"/>
            <w:tcBorders>
              <w:right w:val="single" w:sz="4" w:space="0" w:color="000000"/>
            </w:tcBorders>
          </w:tcPr>
          <w:p>
            <w:pPr>
              <w:pStyle w:val="TableParagraph"/>
              <w:spacing w:line="206" w:lineRule="exact"/>
              <w:ind w:left="79" w:right="78"/>
              <w:rPr>
                <w:sz w:val="18"/>
              </w:rPr>
            </w:pPr>
            <w:r>
              <w:rPr>
                <w:sz w:val="18"/>
              </w:rPr>
              <w:t>$0.00</w:t>
            </w:r>
          </w:p>
        </w:tc>
        <w:tc>
          <w:tcPr>
            <w:tcW w:w="1512" w:type="dxa"/>
            <w:tcBorders>
              <w:left w:val="single" w:sz="4" w:space="0" w:color="000000"/>
            </w:tcBorders>
          </w:tcPr>
          <w:p>
            <w:pPr>
              <w:pStyle w:val="TableParagraph"/>
              <w:spacing w:line="206" w:lineRule="exact"/>
              <w:ind w:left="54" w:right="55"/>
              <w:rPr>
                <w:sz w:val="18"/>
              </w:rPr>
            </w:pPr>
            <w:r>
              <w:rPr>
                <w:sz w:val="18"/>
              </w:rPr>
              <w:t>$67,091,667.00</w:t>
            </w:r>
          </w:p>
        </w:tc>
        <w:tc>
          <w:tcPr>
            <w:tcW w:w="1606" w:type="dxa"/>
          </w:tcPr>
          <w:p>
            <w:pPr>
              <w:pStyle w:val="TableParagraph"/>
              <w:spacing w:line="206" w:lineRule="exact"/>
              <w:ind w:left="327" w:right="324"/>
              <w:rPr>
                <w:sz w:val="18"/>
              </w:rPr>
            </w:pPr>
            <w:r>
              <w:rPr>
                <w:sz w:val="18"/>
              </w:rPr>
              <w:t>$0.00</w:t>
            </w:r>
          </w:p>
        </w:tc>
        <w:tc>
          <w:tcPr>
            <w:tcW w:w="1702" w:type="dxa"/>
          </w:tcPr>
          <w:p>
            <w:pPr>
              <w:pStyle w:val="TableParagraph"/>
              <w:spacing w:line="206" w:lineRule="exact"/>
              <w:ind w:left="74" w:right="74"/>
              <w:rPr>
                <w:sz w:val="18"/>
              </w:rPr>
            </w:pPr>
            <w:r>
              <w:rPr>
                <w:sz w:val="18"/>
              </w:rPr>
              <w:t>$0.00</w:t>
            </w:r>
          </w:p>
        </w:tc>
        <w:tc>
          <w:tcPr>
            <w:tcW w:w="1627" w:type="dxa"/>
          </w:tcPr>
          <w:p>
            <w:pPr>
              <w:pStyle w:val="TableParagraph"/>
              <w:spacing w:line="206" w:lineRule="exact"/>
              <w:ind w:left="112" w:right="113"/>
              <w:rPr>
                <w:sz w:val="18"/>
              </w:rPr>
            </w:pPr>
            <w:r>
              <w:rPr>
                <w:sz w:val="18"/>
              </w:rPr>
              <w:t>$67,091,667.00</w:t>
            </w:r>
          </w:p>
        </w:tc>
      </w:tr>
      <w:tr>
        <w:trPr>
          <w:trHeight w:val="320" w:hRule="exact"/>
        </w:trPr>
        <w:tc>
          <w:tcPr>
            <w:tcW w:w="1805" w:type="dxa"/>
          </w:tcPr>
          <w:p>
            <w:pPr>
              <w:pStyle w:val="TableParagraph"/>
              <w:spacing w:line="202" w:lineRule="exact"/>
              <w:ind w:left="64" w:right="66"/>
              <w:jc w:val="left"/>
              <w:rPr>
                <w:b/>
                <w:sz w:val="18"/>
              </w:rPr>
            </w:pPr>
            <w:r>
              <w:rPr>
                <w:b/>
                <w:color w:val="333333"/>
                <w:sz w:val="18"/>
              </w:rPr>
              <w:t>TIANGUISTENCO</w:t>
            </w:r>
          </w:p>
        </w:tc>
        <w:tc>
          <w:tcPr>
            <w:tcW w:w="1418" w:type="dxa"/>
          </w:tcPr>
          <w:p>
            <w:pPr>
              <w:pStyle w:val="TableParagraph"/>
              <w:spacing w:line="207" w:lineRule="exact"/>
              <w:ind w:left="57" w:right="58"/>
              <w:rPr>
                <w:sz w:val="18"/>
              </w:rPr>
            </w:pPr>
            <w:r>
              <w:rPr>
                <w:sz w:val="18"/>
              </w:rPr>
              <w:t>$0.00</w:t>
            </w:r>
          </w:p>
        </w:tc>
        <w:tc>
          <w:tcPr>
            <w:tcW w:w="1700" w:type="dxa"/>
          </w:tcPr>
          <w:p>
            <w:pPr>
              <w:pStyle w:val="TableParagraph"/>
              <w:spacing w:line="207" w:lineRule="exact"/>
              <w:ind w:left="619"/>
              <w:jc w:val="left"/>
              <w:rPr>
                <w:sz w:val="18"/>
              </w:rPr>
            </w:pPr>
            <w:r>
              <w:rPr>
                <w:sz w:val="18"/>
              </w:rPr>
              <w:t>$0.00</w:t>
            </w:r>
          </w:p>
        </w:tc>
        <w:tc>
          <w:tcPr>
            <w:tcW w:w="1418" w:type="dxa"/>
          </w:tcPr>
          <w:p>
            <w:pPr>
              <w:pStyle w:val="TableParagraph"/>
              <w:spacing w:line="207" w:lineRule="exact"/>
              <w:ind w:left="57" w:right="54"/>
              <w:rPr>
                <w:sz w:val="18"/>
              </w:rPr>
            </w:pPr>
            <w:r>
              <w:rPr>
                <w:sz w:val="18"/>
              </w:rPr>
              <w:t>$0.00</w:t>
            </w:r>
          </w:p>
        </w:tc>
        <w:tc>
          <w:tcPr>
            <w:tcW w:w="1560" w:type="dxa"/>
            <w:tcBorders>
              <w:right w:val="single" w:sz="4" w:space="0" w:color="000000"/>
            </w:tcBorders>
          </w:tcPr>
          <w:p>
            <w:pPr>
              <w:pStyle w:val="TableParagraph"/>
              <w:spacing w:line="207" w:lineRule="exact"/>
              <w:ind w:left="79" w:right="78"/>
              <w:rPr>
                <w:sz w:val="18"/>
              </w:rPr>
            </w:pPr>
            <w:r>
              <w:rPr>
                <w:sz w:val="18"/>
              </w:rPr>
              <w:t>$0.00</w:t>
            </w:r>
          </w:p>
        </w:tc>
        <w:tc>
          <w:tcPr>
            <w:tcW w:w="1512" w:type="dxa"/>
            <w:tcBorders>
              <w:left w:val="single" w:sz="4" w:space="0" w:color="000000"/>
            </w:tcBorders>
          </w:tcPr>
          <w:p>
            <w:pPr>
              <w:pStyle w:val="TableParagraph"/>
              <w:spacing w:line="207" w:lineRule="exact"/>
              <w:ind w:left="55" w:right="54"/>
              <w:rPr>
                <w:sz w:val="18"/>
              </w:rPr>
            </w:pPr>
            <w:r>
              <w:rPr>
                <w:sz w:val="18"/>
              </w:rPr>
              <w:t>$0.00</w:t>
            </w:r>
          </w:p>
        </w:tc>
        <w:tc>
          <w:tcPr>
            <w:tcW w:w="1606" w:type="dxa"/>
          </w:tcPr>
          <w:p>
            <w:pPr>
              <w:pStyle w:val="TableParagraph"/>
              <w:spacing w:line="207" w:lineRule="exact"/>
              <w:ind w:left="327" w:right="324"/>
              <w:rPr>
                <w:sz w:val="18"/>
              </w:rPr>
            </w:pPr>
            <w:r>
              <w:rPr>
                <w:sz w:val="18"/>
              </w:rPr>
              <w:t>$0.00</w:t>
            </w:r>
          </w:p>
        </w:tc>
        <w:tc>
          <w:tcPr>
            <w:tcW w:w="1702" w:type="dxa"/>
          </w:tcPr>
          <w:p>
            <w:pPr>
              <w:pStyle w:val="TableParagraph"/>
              <w:spacing w:line="207" w:lineRule="exact"/>
              <w:ind w:left="74" w:right="74"/>
              <w:rPr>
                <w:sz w:val="18"/>
              </w:rPr>
            </w:pPr>
            <w:r>
              <w:rPr>
                <w:sz w:val="18"/>
              </w:rPr>
              <w:t>$0.00</w:t>
            </w:r>
          </w:p>
        </w:tc>
        <w:tc>
          <w:tcPr>
            <w:tcW w:w="1627" w:type="dxa"/>
          </w:tcPr>
          <w:p>
            <w:pPr>
              <w:pStyle w:val="TableParagraph"/>
              <w:spacing w:line="207" w:lineRule="exact"/>
              <w:ind w:left="113" w:right="112"/>
              <w:rPr>
                <w:sz w:val="18"/>
              </w:rPr>
            </w:pPr>
            <w:r>
              <w:rPr>
                <w:sz w:val="18"/>
              </w:rPr>
              <w:t>$0.00</w:t>
            </w:r>
          </w:p>
        </w:tc>
      </w:tr>
      <w:tr>
        <w:trPr>
          <w:trHeight w:val="322" w:hRule="exact"/>
        </w:trPr>
        <w:tc>
          <w:tcPr>
            <w:tcW w:w="1805" w:type="dxa"/>
          </w:tcPr>
          <w:p>
            <w:pPr>
              <w:pStyle w:val="TableParagraph"/>
              <w:spacing w:line="201" w:lineRule="exact"/>
              <w:ind w:left="64" w:right="66"/>
              <w:jc w:val="left"/>
              <w:rPr>
                <w:b/>
                <w:sz w:val="18"/>
              </w:rPr>
            </w:pPr>
            <w:r>
              <w:rPr>
                <w:b/>
                <w:color w:val="333333"/>
                <w:sz w:val="18"/>
              </w:rPr>
              <w:t>TIMILPAN</w:t>
            </w:r>
          </w:p>
        </w:tc>
        <w:tc>
          <w:tcPr>
            <w:tcW w:w="1418" w:type="dxa"/>
          </w:tcPr>
          <w:p>
            <w:pPr>
              <w:pStyle w:val="TableParagraph"/>
              <w:spacing w:line="206" w:lineRule="exact"/>
              <w:ind w:left="57" w:right="58"/>
              <w:rPr>
                <w:sz w:val="18"/>
              </w:rPr>
            </w:pPr>
            <w:r>
              <w:rPr>
                <w:sz w:val="18"/>
              </w:rPr>
              <w:t>$0.00</w:t>
            </w:r>
          </w:p>
        </w:tc>
        <w:tc>
          <w:tcPr>
            <w:tcW w:w="1700" w:type="dxa"/>
          </w:tcPr>
          <w:p>
            <w:pPr>
              <w:pStyle w:val="TableParagraph"/>
              <w:spacing w:line="206" w:lineRule="exact"/>
              <w:ind w:left="619"/>
              <w:jc w:val="left"/>
              <w:rPr>
                <w:sz w:val="18"/>
              </w:rPr>
            </w:pPr>
            <w:r>
              <w:rPr>
                <w:sz w:val="18"/>
              </w:rPr>
              <w:t>$0.00</w:t>
            </w:r>
          </w:p>
        </w:tc>
        <w:tc>
          <w:tcPr>
            <w:tcW w:w="1418" w:type="dxa"/>
          </w:tcPr>
          <w:p>
            <w:pPr>
              <w:pStyle w:val="TableParagraph"/>
              <w:spacing w:line="206" w:lineRule="exact"/>
              <w:ind w:left="57" w:right="54"/>
              <w:rPr>
                <w:sz w:val="18"/>
              </w:rPr>
            </w:pPr>
            <w:r>
              <w:rPr>
                <w:sz w:val="18"/>
              </w:rPr>
              <w:t>$0.00</w:t>
            </w:r>
          </w:p>
        </w:tc>
        <w:tc>
          <w:tcPr>
            <w:tcW w:w="1560" w:type="dxa"/>
            <w:tcBorders>
              <w:right w:val="single" w:sz="4" w:space="0" w:color="000000"/>
            </w:tcBorders>
          </w:tcPr>
          <w:p>
            <w:pPr>
              <w:pStyle w:val="TableParagraph"/>
              <w:spacing w:line="206" w:lineRule="exact"/>
              <w:ind w:left="79" w:right="78"/>
              <w:rPr>
                <w:sz w:val="18"/>
              </w:rPr>
            </w:pPr>
            <w:r>
              <w:rPr>
                <w:sz w:val="18"/>
              </w:rPr>
              <w:t>$0.00</w:t>
            </w:r>
          </w:p>
        </w:tc>
        <w:tc>
          <w:tcPr>
            <w:tcW w:w="1512" w:type="dxa"/>
            <w:tcBorders>
              <w:left w:val="single" w:sz="4" w:space="0" w:color="000000"/>
            </w:tcBorders>
          </w:tcPr>
          <w:p>
            <w:pPr>
              <w:pStyle w:val="TableParagraph"/>
              <w:spacing w:line="206" w:lineRule="exact"/>
              <w:ind w:left="55" w:right="55"/>
              <w:rPr>
                <w:sz w:val="18"/>
              </w:rPr>
            </w:pPr>
            <w:r>
              <w:rPr>
                <w:sz w:val="18"/>
              </w:rPr>
              <w:t>$121,488,653.00</w:t>
            </w:r>
          </w:p>
        </w:tc>
        <w:tc>
          <w:tcPr>
            <w:tcW w:w="1606" w:type="dxa"/>
          </w:tcPr>
          <w:p>
            <w:pPr>
              <w:pStyle w:val="TableParagraph"/>
              <w:spacing w:line="206" w:lineRule="exact"/>
              <w:ind w:left="327" w:right="327"/>
              <w:rPr>
                <w:sz w:val="18"/>
              </w:rPr>
            </w:pPr>
            <w:r>
              <w:rPr>
                <w:sz w:val="18"/>
              </w:rPr>
              <w:t>$54,682.00</w:t>
            </w:r>
          </w:p>
        </w:tc>
        <w:tc>
          <w:tcPr>
            <w:tcW w:w="1702" w:type="dxa"/>
          </w:tcPr>
          <w:p>
            <w:pPr>
              <w:pStyle w:val="TableParagraph"/>
              <w:spacing w:line="206" w:lineRule="exact"/>
              <w:ind w:left="74" w:right="74"/>
              <w:rPr>
                <w:sz w:val="18"/>
              </w:rPr>
            </w:pPr>
            <w:r>
              <w:rPr>
                <w:sz w:val="18"/>
              </w:rPr>
              <w:t>$2,680,262.00</w:t>
            </w:r>
          </w:p>
        </w:tc>
        <w:tc>
          <w:tcPr>
            <w:tcW w:w="1627" w:type="dxa"/>
          </w:tcPr>
          <w:p>
            <w:pPr>
              <w:pStyle w:val="TableParagraph"/>
              <w:spacing w:line="206" w:lineRule="exact"/>
              <w:ind w:left="113" w:right="113"/>
              <w:rPr>
                <w:sz w:val="18"/>
              </w:rPr>
            </w:pPr>
            <w:r>
              <w:rPr>
                <w:sz w:val="18"/>
              </w:rPr>
              <w:t>$118,863,073.00</w:t>
            </w:r>
          </w:p>
        </w:tc>
      </w:tr>
    </w:tbl>
    <w:p>
      <w:pPr>
        <w:spacing w:after="0" w:line="206" w:lineRule="exact"/>
        <w:rPr>
          <w:sz w:val="18"/>
        </w:rPr>
        <w:sectPr>
          <w:pgSz w:w="15840" w:h="12240" w:orient="landscape"/>
          <w:pgMar w:header="0" w:footer="975" w:top="1140" w:bottom="1160" w:left="640" w:right="620"/>
        </w:sectPr>
      </w:pPr>
    </w:p>
    <w:p>
      <w:pPr>
        <w:pStyle w:val="BodyText"/>
        <w:rPr>
          <w:rFonts w:ascii="Times New Roman"/>
          <w:sz w:val="20"/>
        </w:rPr>
      </w:pPr>
    </w:p>
    <w:p>
      <w:pPr>
        <w:pStyle w:val="BodyText"/>
        <w:spacing w:before="10"/>
        <w:rPr>
          <w:rFonts w:ascii="Times New Roman"/>
          <w:sz w:val="28"/>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5"/>
        <w:gridCol w:w="544"/>
        <w:gridCol w:w="1294"/>
        <w:gridCol w:w="1560"/>
        <w:gridCol w:w="1702"/>
        <w:gridCol w:w="1524"/>
        <w:gridCol w:w="1644"/>
        <w:gridCol w:w="1613"/>
        <w:gridCol w:w="1702"/>
        <w:gridCol w:w="2002"/>
      </w:tblGrid>
      <w:tr>
        <w:trPr>
          <w:trHeight w:val="319" w:hRule="exact"/>
        </w:trPr>
        <w:tc>
          <w:tcPr>
            <w:tcW w:w="14620" w:type="dxa"/>
            <w:gridSpan w:val="10"/>
            <w:shd w:val="clear" w:color="auto" w:fill="C5DFB3"/>
          </w:tcPr>
          <w:p>
            <w:pPr>
              <w:pStyle w:val="TableParagraph"/>
              <w:spacing w:line="201" w:lineRule="exact"/>
              <w:ind w:left="3655"/>
              <w:jc w:val="left"/>
              <w:rPr>
                <w:b/>
                <w:sz w:val="18"/>
              </w:rPr>
            </w:pPr>
            <w:r>
              <w:rPr>
                <w:b/>
                <w:sz w:val="18"/>
              </w:rPr>
              <w:t>Anexo 24B. Municipios que publican apartado presupuesto 2010-2011 (Continuación)</w:t>
            </w:r>
          </w:p>
        </w:tc>
      </w:tr>
      <w:tr>
        <w:trPr>
          <w:trHeight w:val="322" w:hRule="exact"/>
        </w:trPr>
        <w:tc>
          <w:tcPr>
            <w:tcW w:w="1580" w:type="dxa"/>
            <w:gridSpan w:val="2"/>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113"/>
              <w:ind w:left="367" w:right="43"/>
              <w:jc w:val="left"/>
              <w:rPr>
                <w:b/>
                <w:sz w:val="18"/>
              </w:rPr>
            </w:pPr>
            <w:r>
              <w:rPr>
                <w:b/>
                <w:sz w:val="18"/>
              </w:rPr>
              <w:t>Municipio</w:t>
            </w:r>
          </w:p>
        </w:tc>
        <w:tc>
          <w:tcPr>
            <w:tcW w:w="6080" w:type="dxa"/>
            <w:gridSpan w:val="4"/>
            <w:shd w:val="clear" w:color="auto" w:fill="C5DFB3"/>
          </w:tcPr>
          <w:p>
            <w:pPr>
              <w:pStyle w:val="TableParagraph"/>
              <w:spacing w:line="201" w:lineRule="exact"/>
              <w:ind w:left="2596" w:right="2590"/>
              <w:rPr>
                <w:b/>
                <w:sz w:val="18"/>
              </w:rPr>
            </w:pPr>
            <w:r>
              <w:rPr>
                <w:b/>
                <w:sz w:val="18"/>
              </w:rPr>
              <w:t>2010</w:t>
            </w:r>
          </w:p>
        </w:tc>
        <w:tc>
          <w:tcPr>
            <w:tcW w:w="6961" w:type="dxa"/>
            <w:gridSpan w:val="4"/>
            <w:shd w:val="clear" w:color="auto" w:fill="C5DFB3"/>
          </w:tcPr>
          <w:p>
            <w:pPr>
              <w:pStyle w:val="TableParagraph"/>
              <w:spacing w:line="201" w:lineRule="exact"/>
              <w:ind w:left="3037" w:right="3033"/>
              <w:rPr>
                <w:b/>
                <w:sz w:val="18"/>
              </w:rPr>
            </w:pPr>
            <w:r>
              <w:rPr>
                <w:b/>
                <w:sz w:val="18"/>
              </w:rPr>
              <w:t>2011</w:t>
            </w:r>
          </w:p>
        </w:tc>
      </w:tr>
      <w:tr>
        <w:trPr>
          <w:trHeight w:val="1063" w:hRule="exact"/>
        </w:trPr>
        <w:tc>
          <w:tcPr>
            <w:tcW w:w="1580" w:type="dxa"/>
            <w:gridSpan w:val="2"/>
            <w:vMerge/>
            <w:shd w:val="clear" w:color="auto" w:fill="C5DFB3"/>
          </w:tcPr>
          <w:p>
            <w:pPr/>
          </w:p>
        </w:tc>
        <w:tc>
          <w:tcPr>
            <w:tcW w:w="1294" w:type="dxa"/>
            <w:shd w:val="clear" w:color="auto" w:fill="C5DFB3"/>
            <w:textDirection w:val="btLr"/>
          </w:tcPr>
          <w:p>
            <w:pPr>
              <w:pStyle w:val="TableParagraph"/>
              <w:jc w:val="left"/>
              <w:rPr>
                <w:rFonts w:ascii="Times New Roman"/>
                <w:sz w:val="18"/>
              </w:rPr>
            </w:pPr>
          </w:p>
          <w:p>
            <w:pPr>
              <w:pStyle w:val="TableParagraph"/>
              <w:spacing w:before="10"/>
              <w:jc w:val="left"/>
              <w:rPr>
                <w:rFonts w:ascii="Times New Roman"/>
                <w:sz w:val="23"/>
              </w:rPr>
            </w:pPr>
          </w:p>
          <w:p>
            <w:pPr>
              <w:pStyle w:val="TableParagraph"/>
              <w:ind w:left="55"/>
              <w:jc w:val="left"/>
              <w:rPr>
                <w:b/>
                <w:sz w:val="18"/>
              </w:rPr>
            </w:pPr>
            <w:r>
              <w:rPr>
                <w:b/>
                <w:w w:val="100"/>
                <w:sz w:val="18"/>
              </w:rPr>
              <w:t>Autoriz</w:t>
            </w:r>
            <w:r>
              <w:rPr>
                <w:b/>
                <w:w w:val="99"/>
                <w:sz w:val="18"/>
              </w:rPr>
              <w:t>a</w:t>
            </w:r>
            <w:r>
              <w:rPr>
                <w:b/>
                <w:w w:val="100"/>
                <w:sz w:val="18"/>
              </w:rPr>
              <w:t>do</w:t>
            </w:r>
          </w:p>
        </w:tc>
        <w:tc>
          <w:tcPr>
            <w:tcW w:w="1560"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6"/>
              <w:jc w:val="left"/>
              <w:rPr>
                <w:rFonts w:ascii="Times New Roman"/>
                <w:sz w:val="17"/>
              </w:rPr>
            </w:pPr>
          </w:p>
          <w:p>
            <w:pPr>
              <w:pStyle w:val="TableParagraph"/>
              <w:ind w:left="50"/>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70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7"/>
              <w:jc w:val="left"/>
              <w:rPr>
                <w:rFonts w:ascii="Times New Roman"/>
                <w:sz w:val="23"/>
              </w:rPr>
            </w:pPr>
          </w:p>
          <w:p>
            <w:pPr>
              <w:pStyle w:val="TableParagraph"/>
              <w:ind w:left="170"/>
              <w:jc w:val="left"/>
              <w:rPr>
                <w:b/>
                <w:sz w:val="18"/>
              </w:rPr>
            </w:pPr>
            <w:r>
              <w:rPr>
                <w:b/>
                <w:w w:val="100"/>
                <w:sz w:val="18"/>
              </w:rPr>
              <w:t>Eje</w:t>
            </w:r>
            <w:r>
              <w:rPr>
                <w:b/>
                <w:w w:val="99"/>
                <w:sz w:val="18"/>
              </w:rPr>
              <w:t>rci</w:t>
            </w:r>
            <w:r>
              <w:rPr>
                <w:b/>
                <w:w w:val="100"/>
                <w:sz w:val="18"/>
              </w:rPr>
              <w:t>do</w:t>
            </w:r>
          </w:p>
        </w:tc>
        <w:tc>
          <w:tcPr>
            <w:tcW w:w="152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15"/>
              </w:rPr>
            </w:pPr>
          </w:p>
          <w:p>
            <w:pPr>
              <w:pStyle w:val="TableParagraph"/>
              <w:ind w:left="55"/>
              <w:jc w:val="left"/>
              <w:rPr>
                <w:b/>
                <w:sz w:val="18"/>
              </w:rPr>
            </w:pPr>
            <w:r>
              <w:rPr>
                <w:b/>
                <w:sz w:val="18"/>
              </w:rPr>
              <w:t>Por </w:t>
            </w:r>
            <w:r>
              <w:rPr>
                <w:b/>
                <w:w w:val="99"/>
                <w:sz w:val="18"/>
              </w:rPr>
              <w:t>e</w:t>
            </w:r>
            <w:r>
              <w:rPr>
                <w:b/>
                <w:w w:val="100"/>
                <w:sz w:val="18"/>
              </w:rPr>
              <w:t>je</w:t>
            </w:r>
            <w:r>
              <w:rPr>
                <w:b/>
                <w:w w:val="99"/>
                <w:sz w:val="18"/>
              </w:rPr>
              <w:t>rcer</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
              <w:jc w:val="left"/>
              <w:rPr>
                <w:rFonts w:ascii="Times New Roman"/>
                <w:sz w:val="21"/>
              </w:rPr>
            </w:pPr>
          </w:p>
          <w:p>
            <w:pPr>
              <w:pStyle w:val="TableParagraph"/>
              <w:ind w:left="55"/>
              <w:jc w:val="left"/>
              <w:rPr>
                <w:b/>
                <w:sz w:val="18"/>
              </w:rPr>
            </w:pPr>
            <w:r>
              <w:rPr>
                <w:b/>
                <w:w w:val="100"/>
                <w:sz w:val="18"/>
              </w:rPr>
              <w:t>Autoriz</w:t>
            </w:r>
            <w:r>
              <w:rPr>
                <w:b/>
                <w:w w:val="99"/>
                <w:sz w:val="18"/>
              </w:rPr>
              <w:t>a</w:t>
            </w:r>
            <w:r>
              <w:rPr>
                <w:b/>
                <w:w w:val="100"/>
                <w:sz w:val="18"/>
              </w:rPr>
              <w:t>do</w:t>
            </w:r>
          </w:p>
        </w:tc>
        <w:tc>
          <w:tcPr>
            <w:tcW w:w="1613"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9"/>
              <w:jc w:val="left"/>
              <w:rPr>
                <w:rFonts w:ascii="Times New Roman"/>
                <w:sz w:val="19"/>
              </w:rPr>
            </w:pPr>
          </w:p>
          <w:p>
            <w:pPr>
              <w:pStyle w:val="TableParagraph"/>
              <w:spacing w:before="1"/>
              <w:ind w:left="50"/>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70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3"/>
              </w:rPr>
            </w:pPr>
          </w:p>
          <w:p>
            <w:pPr>
              <w:pStyle w:val="TableParagraph"/>
              <w:ind w:left="170"/>
              <w:jc w:val="left"/>
              <w:rPr>
                <w:b/>
                <w:sz w:val="18"/>
              </w:rPr>
            </w:pPr>
            <w:r>
              <w:rPr>
                <w:b/>
                <w:w w:val="100"/>
                <w:sz w:val="18"/>
              </w:rPr>
              <w:t>Eje</w:t>
            </w:r>
            <w:r>
              <w:rPr>
                <w:b/>
                <w:w w:val="99"/>
                <w:sz w:val="18"/>
              </w:rPr>
              <w:t>rci</w:t>
            </w:r>
            <w:r>
              <w:rPr>
                <w:b/>
                <w:w w:val="100"/>
                <w:sz w:val="18"/>
              </w:rPr>
              <w:t>do</w:t>
            </w:r>
          </w:p>
        </w:tc>
        <w:tc>
          <w:tcPr>
            <w:tcW w:w="200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18"/>
              </w:rPr>
            </w:pPr>
          </w:p>
          <w:p>
            <w:pPr>
              <w:pStyle w:val="TableParagraph"/>
              <w:spacing w:before="1"/>
              <w:ind w:left="55"/>
              <w:jc w:val="left"/>
              <w:rPr>
                <w:b/>
                <w:sz w:val="18"/>
              </w:rPr>
            </w:pPr>
            <w:r>
              <w:rPr>
                <w:b/>
                <w:sz w:val="18"/>
              </w:rPr>
              <w:t>Por </w:t>
            </w:r>
            <w:r>
              <w:rPr>
                <w:b/>
                <w:w w:val="99"/>
                <w:sz w:val="18"/>
              </w:rPr>
              <w:t>e</w:t>
            </w:r>
            <w:r>
              <w:rPr>
                <w:b/>
                <w:w w:val="100"/>
                <w:sz w:val="18"/>
              </w:rPr>
              <w:t>je</w:t>
            </w:r>
            <w:r>
              <w:rPr>
                <w:b/>
                <w:w w:val="99"/>
                <w:sz w:val="18"/>
              </w:rPr>
              <w:t>rcer</w:t>
            </w:r>
          </w:p>
        </w:tc>
      </w:tr>
      <w:tr>
        <w:trPr>
          <w:trHeight w:val="322" w:hRule="exact"/>
        </w:trPr>
        <w:tc>
          <w:tcPr>
            <w:tcW w:w="1580" w:type="dxa"/>
            <w:gridSpan w:val="2"/>
          </w:tcPr>
          <w:p>
            <w:pPr>
              <w:pStyle w:val="TableParagraph"/>
              <w:spacing w:line="201" w:lineRule="exact"/>
              <w:ind w:left="67" w:right="43"/>
              <w:jc w:val="left"/>
              <w:rPr>
                <w:b/>
                <w:sz w:val="18"/>
              </w:rPr>
            </w:pPr>
            <w:r>
              <w:rPr>
                <w:b/>
                <w:sz w:val="18"/>
              </w:rPr>
              <w:t>TLALMANALCO</w:t>
            </w:r>
          </w:p>
        </w:tc>
        <w:tc>
          <w:tcPr>
            <w:tcW w:w="1294" w:type="dxa"/>
          </w:tcPr>
          <w:p>
            <w:pPr>
              <w:pStyle w:val="TableParagraph"/>
              <w:spacing w:line="206" w:lineRule="exact"/>
              <w:ind w:left="47" w:right="44"/>
              <w:rPr>
                <w:sz w:val="18"/>
              </w:rPr>
            </w:pPr>
            <w:r>
              <w:rPr>
                <w:sz w:val="18"/>
              </w:rPr>
              <w:t>$0.00</w:t>
            </w:r>
          </w:p>
        </w:tc>
        <w:tc>
          <w:tcPr>
            <w:tcW w:w="1560" w:type="dxa"/>
          </w:tcPr>
          <w:p>
            <w:pPr>
              <w:pStyle w:val="TableParagraph"/>
              <w:spacing w:line="206" w:lineRule="exact"/>
              <w:ind w:left="549"/>
              <w:jc w:val="left"/>
              <w:rPr>
                <w:sz w:val="18"/>
              </w:rPr>
            </w:pPr>
            <w:r>
              <w:rPr>
                <w:sz w:val="18"/>
              </w:rPr>
              <w:t>$0.00</w:t>
            </w:r>
          </w:p>
        </w:tc>
        <w:tc>
          <w:tcPr>
            <w:tcW w:w="1702" w:type="dxa"/>
          </w:tcPr>
          <w:p>
            <w:pPr>
              <w:pStyle w:val="TableParagraph"/>
              <w:spacing w:line="206" w:lineRule="exact"/>
              <w:ind w:right="616"/>
              <w:jc w:val="right"/>
              <w:rPr>
                <w:sz w:val="18"/>
              </w:rPr>
            </w:pPr>
            <w:r>
              <w:rPr>
                <w:w w:val="95"/>
                <w:sz w:val="18"/>
              </w:rPr>
              <w:t>$0.00</w:t>
            </w:r>
          </w:p>
        </w:tc>
        <w:tc>
          <w:tcPr>
            <w:tcW w:w="1524" w:type="dxa"/>
          </w:tcPr>
          <w:p>
            <w:pPr>
              <w:pStyle w:val="TableParagraph"/>
              <w:spacing w:line="206" w:lineRule="exact"/>
              <w:ind w:right="529"/>
              <w:jc w:val="right"/>
              <w:rPr>
                <w:sz w:val="18"/>
              </w:rPr>
            </w:pPr>
            <w:r>
              <w:rPr>
                <w:w w:val="95"/>
                <w:sz w:val="18"/>
              </w:rPr>
              <w:t>$0.00</w:t>
            </w:r>
          </w:p>
        </w:tc>
        <w:tc>
          <w:tcPr>
            <w:tcW w:w="1644" w:type="dxa"/>
          </w:tcPr>
          <w:p>
            <w:pPr>
              <w:pStyle w:val="TableParagraph"/>
              <w:spacing w:line="206" w:lineRule="exact"/>
              <w:ind w:left="47" w:right="44"/>
              <w:rPr>
                <w:sz w:val="18"/>
              </w:rPr>
            </w:pPr>
            <w:r>
              <w:rPr>
                <w:sz w:val="18"/>
              </w:rPr>
              <w:t>$0.00</w:t>
            </w:r>
          </w:p>
        </w:tc>
        <w:tc>
          <w:tcPr>
            <w:tcW w:w="1613" w:type="dxa"/>
          </w:tcPr>
          <w:p>
            <w:pPr>
              <w:pStyle w:val="TableParagraph"/>
              <w:spacing w:line="206" w:lineRule="exact"/>
              <w:ind w:left="156" w:right="155"/>
              <w:rPr>
                <w:sz w:val="18"/>
              </w:rPr>
            </w:pPr>
            <w:r>
              <w:rPr>
                <w:sz w:val="18"/>
              </w:rPr>
              <w:t>$0.00</w:t>
            </w:r>
          </w:p>
        </w:tc>
        <w:tc>
          <w:tcPr>
            <w:tcW w:w="1702" w:type="dxa"/>
          </w:tcPr>
          <w:p>
            <w:pPr>
              <w:pStyle w:val="TableParagraph"/>
              <w:spacing w:line="206" w:lineRule="exact"/>
              <w:ind w:left="76" w:right="72"/>
              <w:rPr>
                <w:sz w:val="18"/>
              </w:rPr>
            </w:pPr>
            <w:r>
              <w:rPr>
                <w:sz w:val="18"/>
              </w:rPr>
              <w:t>$0.00</w:t>
            </w:r>
          </w:p>
        </w:tc>
        <w:tc>
          <w:tcPr>
            <w:tcW w:w="2002" w:type="dxa"/>
          </w:tcPr>
          <w:p>
            <w:pPr>
              <w:pStyle w:val="TableParagraph"/>
              <w:spacing w:line="206" w:lineRule="exact"/>
              <w:ind w:left="301" w:right="296"/>
              <w:rPr>
                <w:sz w:val="18"/>
              </w:rPr>
            </w:pPr>
            <w:r>
              <w:rPr>
                <w:sz w:val="18"/>
              </w:rPr>
              <w:t>$0.00</w:t>
            </w:r>
          </w:p>
        </w:tc>
      </w:tr>
      <w:tr>
        <w:trPr>
          <w:trHeight w:val="632" w:hRule="exact"/>
        </w:trPr>
        <w:tc>
          <w:tcPr>
            <w:tcW w:w="1580" w:type="dxa"/>
            <w:gridSpan w:val="2"/>
          </w:tcPr>
          <w:p>
            <w:pPr>
              <w:pStyle w:val="TableParagraph"/>
              <w:spacing w:line="360" w:lineRule="auto"/>
              <w:ind w:left="67" w:right="43"/>
              <w:jc w:val="left"/>
              <w:rPr>
                <w:b/>
                <w:sz w:val="18"/>
              </w:rPr>
            </w:pPr>
            <w:r>
              <w:rPr>
                <w:b/>
                <w:sz w:val="18"/>
              </w:rPr>
              <w:t>TLALNEPANTLA DE BAZ</w:t>
            </w:r>
          </w:p>
        </w:tc>
        <w:tc>
          <w:tcPr>
            <w:tcW w:w="1294" w:type="dxa"/>
          </w:tcPr>
          <w:p>
            <w:pPr>
              <w:pStyle w:val="TableParagraph"/>
              <w:spacing w:before="155"/>
              <w:ind w:left="47" w:right="44"/>
              <w:rPr>
                <w:sz w:val="18"/>
              </w:rPr>
            </w:pPr>
            <w:r>
              <w:rPr>
                <w:sz w:val="18"/>
              </w:rPr>
              <w:t>$0.00</w:t>
            </w:r>
          </w:p>
        </w:tc>
        <w:tc>
          <w:tcPr>
            <w:tcW w:w="1560" w:type="dxa"/>
          </w:tcPr>
          <w:p>
            <w:pPr>
              <w:pStyle w:val="TableParagraph"/>
              <w:spacing w:before="155"/>
              <w:ind w:left="549"/>
              <w:jc w:val="left"/>
              <w:rPr>
                <w:sz w:val="18"/>
              </w:rPr>
            </w:pPr>
            <w:r>
              <w:rPr>
                <w:sz w:val="18"/>
              </w:rPr>
              <w:t>$0.00</w:t>
            </w:r>
          </w:p>
        </w:tc>
        <w:tc>
          <w:tcPr>
            <w:tcW w:w="1702" w:type="dxa"/>
          </w:tcPr>
          <w:p>
            <w:pPr>
              <w:pStyle w:val="TableParagraph"/>
              <w:spacing w:before="155"/>
              <w:ind w:right="616"/>
              <w:jc w:val="right"/>
              <w:rPr>
                <w:sz w:val="18"/>
              </w:rPr>
            </w:pPr>
            <w:r>
              <w:rPr>
                <w:w w:val="95"/>
                <w:sz w:val="18"/>
              </w:rPr>
              <w:t>$0.00</w:t>
            </w:r>
          </w:p>
        </w:tc>
        <w:tc>
          <w:tcPr>
            <w:tcW w:w="1524" w:type="dxa"/>
          </w:tcPr>
          <w:p>
            <w:pPr>
              <w:pStyle w:val="TableParagraph"/>
              <w:spacing w:before="155"/>
              <w:ind w:right="529"/>
              <w:jc w:val="right"/>
              <w:rPr>
                <w:sz w:val="18"/>
              </w:rPr>
            </w:pPr>
            <w:r>
              <w:rPr>
                <w:w w:val="95"/>
                <w:sz w:val="18"/>
              </w:rPr>
              <w:t>$0.00</w:t>
            </w:r>
          </w:p>
        </w:tc>
        <w:tc>
          <w:tcPr>
            <w:tcW w:w="1644" w:type="dxa"/>
          </w:tcPr>
          <w:p>
            <w:pPr>
              <w:pStyle w:val="TableParagraph"/>
              <w:spacing w:before="155"/>
              <w:ind w:left="47" w:right="45"/>
              <w:rPr>
                <w:sz w:val="18"/>
              </w:rPr>
            </w:pPr>
            <w:r>
              <w:rPr>
                <w:sz w:val="18"/>
              </w:rPr>
              <w:t>$2,665,378,055.19</w:t>
            </w:r>
          </w:p>
        </w:tc>
        <w:tc>
          <w:tcPr>
            <w:tcW w:w="1613" w:type="dxa"/>
          </w:tcPr>
          <w:p>
            <w:pPr>
              <w:pStyle w:val="TableParagraph"/>
              <w:spacing w:before="155"/>
              <w:ind w:left="156" w:right="155"/>
              <w:rPr>
                <w:sz w:val="18"/>
              </w:rPr>
            </w:pPr>
            <w:r>
              <w:rPr>
                <w:sz w:val="18"/>
              </w:rPr>
              <w:t>$0.00</w:t>
            </w:r>
          </w:p>
        </w:tc>
        <w:tc>
          <w:tcPr>
            <w:tcW w:w="1702" w:type="dxa"/>
          </w:tcPr>
          <w:p>
            <w:pPr>
              <w:pStyle w:val="TableParagraph"/>
              <w:spacing w:before="155"/>
              <w:ind w:left="76" w:right="74"/>
              <w:rPr>
                <w:sz w:val="18"/>
              </w:rPr>
            </w:pPr>
            <w:r>
              <w:rPr>
                <w:sz w:val="18"/>
              </w:rPr>
              <w:t>$2,665,378,055.19</w:t>
            </w:r>
          </w:p>
        </w:tc>
        <w:tc>
          <w:tcPr>
            <w:tcW w:w="2002" w:type="dxa"/>
          </w:tcPr>
          <w:p>
            <w:pPr>
              <w:pStyle w:val="TableParagraph"/>
              <w:spacing w:before="155"/>
              <w:ind w:left="301" w:right="296"/>
              <w:rPr>
                <w:sz w:val="18"/>
              </w:rPr>
            </w:pPr>
            <w:r>
              <w:rPr>
                <w:sz w:val="18"/>
              </w:rPr>
              <w:t>$0.00</w:t>
            </w:r>
          </w:p>
        </w:tc>
      </w:tr>
      <w:tr>
        <w:trPr>
          <w:trHeight w:val="319" w:hRule="exact"/>
        </w:trPr>
        <w:tc>
          <w:tcPr>
            <w:tcW w:w="1580" w:type="dxa"/>
            <w:gridSpan w:val="2"/>
          </w:tcPr>
          <w:p>
            <w:pPr>
              <w:pStyle w:val="TableParagraph"/>
              <w:spacing w:line="201" w:lineRule="exact"/>
              <w:ind w:left="67" w:right="43"/>
              <w:jc w:val="left"/>
              <w:rPr>
                <w:b/>
                <w:sz w:val="18"/>
              </w:rPr>
            </w:pPr>
            <w:r>
              <w:rPr>
                <w:b/>
                <w:sz w:val="18"/>
              </w:rPr>
              <w:t>TLATLAYA</w:t>
            </w:r>
          </w:p>
        </w:tc>
        <w:tc>
          <w:tcPr>
            <w:tcW w:w="1294" w:type="dxa"/>
          </w:tcPr>
          <w:p>
            <w:pPr>
              <w:pStyle w:val="TableParagraph"/>
              <w:spacing w:line="206" w:lineRule="exact"/>
              <w:ind w:left="47" w:right="44"/>
              <w:rPr>
                <w:sz w:val="18"/>
              </w:rPr>
            </w:pPr>
            <w:r>
              <w:rPr>
                <w:sz w:val="18"/>
              </w:rPr>
              <w:t>$0.00</w:t>
            </w:r>
          </w:p>
        </w:tc>
        <w:tc>
          <w:tcPr>
            <w:tcW w:w="1560" w:type="dxa"/>
          </w:tcPr>
          <w:p>
            <w:pPr>
              <w:pStyle w:val="TableParagraph"/>
              <w:spacing w:line="206" w:lineRule="exact"/>
              <w:ind w:left="549"/>
              <w:jc w:val="left"/>
              <w:rPr>
                <w:sz w:val="18"/>
              </w:rPr>
            </w:pPr>
            <w:r>
              <w:rPr>
                <w:sz w:val="18"/>
              </w:rPr>
              <w:t>$0.00</w:t>
            </w:r>
          </w:p>
        </w:tc>
        <w:tc>
          <w:tcPr>
            <w:tcW w:w="1702" w:type="dxa"/>
          </w:tcPr>
          <w:p>
            <w:pPr>
              <w:pStyle w:val="TableParagraph"/>
              <w:spacing w:line="206" w:lineRule="exact"/>
              <w:ind w:right="616"/>
              <w:jc w:val="right"/>
              <w:rPr>
                <w:sz w:val="18"/>
              </w:rPr>
            </w:pPr>
            <w:r>
              <w:rPr>
                <w:w w:val="95"/>
                <w:sz w:val="18"/>
              </w:rPr>
              <w:t>$0.00</w:t>
            </w:r>
          </w:p>
        </w:tc>
        <w:tc>
          <w:tcPr>
            <w:tcW w:w="1524" w:type="dxa"/>
          </w:tcPr>
          <w:p>
            <w:pPr>
              <w:pStyle w:val="TableParagraph"/>
              <w:spacing w:line="206" w:lineRule="exact"/>
              <w:ind w:right="529"/>
              <w:jc w:val="right"/>
              <w:rPr>
                <w:sz w:val="18"/>
              </w:rPr>
            </w:pPr>
            <w:r>
              <w:rPr>
                <w:w w:val="95"/>
                <w:sz w:val="18"/>
              </w:rPr>
              <w:t>$0.00</w:t>
            </w:r>
          </w:p>
        </w:tc>
        <w:tc>
          <w:tcPr>
            <w:tcW w:w="1644" w:type="dxa"/>
          </w:tcPr>
          <w:p>
            <w:pPr>
              <w:pStyle w:val="TableParagraph"/>
              <w:spacing w:line="206" w:lineRule="exact"/>
              <w:ind w:left="47" w:right="44"/>
              <w:rPr>
                <w:sz w:val="18"/>
              </w:rPr>
            </w:pPr>
            <w:r>
              <w:rPr>
                <w:sz w:val="18"/>
              </w:rPr>
              <w:t>$0.00</w:t>
            </w:r>
          </w:p>
        </w:tc>
        <w:tc>
          <w:tcPr>
            <w:tcW w:w="1613" w:type="dxa"/>
          </w:tcPr>
          <w:p>
            <w:pPr>
              <w:pStyle w:val="TableParagraph"/>
              <w:spacing w:line="206" w:lineRule="exact"/>
              <w:ind w:left="156" w:right="155"/>
              <w:rPr>
                <w:sz w:val="18"/>
              </w:rPr>
            </w:pPr>
            <w:r>
              <w:rPr>
                <w:sz w:val="18"/>
              </w:rPr>
              <w:t>$0.00</w:t>
            </w:r>
          </w:p>
        </w:tc>
        <w:tc>
          <w:tcPr>
            <w:tcW w:w="1702" w:type="dxa"/>
          </w:tcPr>
          <w:p>
            <w:pPr>
              <w:pStyle w:val="TableParagraph"/>
              <w:spacing w:line="206" w:lineRule="exact"/>
              <w:ind w:left="76" w:right="72"/>
              <w:rPr>
                <w:sz w:val="18"/>
              </w:rPr>
            </w:pPr>
            <w:r>
              <w:rPr>
                <w:sz w:val="18"/>
              </w:rPr>
              <w:t>$0.00</w:t>
            </w:r>
          </w:p>
        </w:tc>
        <w:tc>
          <w:tcPr>
            <w:tcW w:w="2002" w:type="dxa"/>
          </w:tcPr>
          <w:p>
            <w:pPr>
              <w:pStyle w:val="TableParagraph"/>
              <w:spacing w:line="206" w:lineRule="exact"/>
              <w:ind w:left="301" w:right="296"/>
              <w:rPr>
                <w:sz w:val="18"/>
              </w:rPr>
            </w:pPr>
            <w:r>
              <w:rPr>
                <w:sz w:val="18"/>
              </w:rPr>
              <w:t>$0.00</w:t>
            </w:r>
          </w:p>
        </w:tc>
      </w:tr>
      <w:tr>
        <w:trPr>
          <w:trHeight w:val="322" w:hRule="exact"/>
        </w:trPr>
        <w:tc>
          <w:tcPr>
            <w:tcW w:w="1580" w:type="dxa"/>
            <w:gridSpan w:val="2"/>
          </w:tcPr>
          <w:p>
            <w:pPr>
              <w:pStyle w:val="TableParagraph"/>
              <w:spacing w:line="201" w:lineRule="exact"/>
              <w:ind w:left="67" w:right="43"/>
              <w:jc w:val="left"/>
              <w:rPr>
                <w:b/>
                <w:sz w:val="18"/>
              </w:rPr>
            </w:pPr>
            <w:r>
              <w:rPr>
                <w:b/>
                <w:sz w:val="18"/>
              </w:rPr>
              <w:t>TOLUCA</w:t>
            </w:r>
          </w:p>
        </w:tc>
        <w:tc>
          <w:tcPr>
            <w:tcW w:w="1294" w:type="dxa"/>
          </w:tcPr>
          <w:p>
            <w:pPr>
              <w:pStyle w:val="TableParagraph"/>
              <w:spacing w:line="206" w:lineRule="exact"/>
              <w:ind w:left="47" w:right="44"/>
              <w:rPr>
                <w:sz w:val="18"/>
              </w:rPr>
            </w:pPr>
            <w:r>
              <w:rPr>
                <w:sz w:val="18"/>
              </w:rPr>
              <w:t>$0.00</w:t>
            </w:r>
          </w:p>
        </w:tc>
        <w:tc>
          <w:tcPr>
            <w:tcW w:w="1560" w:type="dxa"/>
          </w:tcPr>
          <w:p>
            <w:pPr>
              <w:pStyle w:val="TableParagraph"/>
              <w:spacing w:line="206" w:lineRule="exact"/>
              <w:ind w:left="549"/>
              <w:jc w:val="left"/>
              <w:rPr>
                <w:sz w:val="18"/>
              </w:rPr>
            </w:pPr>
            <w:r>
              <w:rPr>
                <w:sz w:val="18"/>
              </w:rPr>
              <w:t>$0.00</w:t>
            </w:r>
          </w:p>
        </w:tc>
        <w:tc>
          <w:tcPr>
            <w:tcW w:w="1702" w:type="dxa"/>
          </w:tcPr>
          <w:p>
            <w:pPr>
              <w:pStyle w:val="TableParagraph"/>
              <w:spacing w:line="206" w:lineRule="exact"/>
              <w:ind w:right="616"/>
              <w:jc w:val="right"/>
              <w:rPr>
                <w:sz w:val="18"/>
              </w:rPr>
            </w:pPr>
            <w:r>
              <w:rPr>
                <w:w w:val="95"/>
                <w:sz w:val="18"/>
              </w:rPr>
              <w:t>$0.00</w:t>
            </w:r>
          </w:p>
        </w:tc>
        <w:tc>
          <w:tcPr>
            <w:tcW w:w="1524" w:type="dxa"/>
          </w:tcPr>
          <w:p>
            <w:pPr>
              <w:pStyle w:val="TableParagraph"/>
              <w:spacing w:line="206" w:lineRule="exact"/>
              <w:ind w:right="529"/>
              <w:jc w:val="right"/>
              <w:rPr>
                <w:sz w:val="18"/>
              </w:rPr>
            </w:pPr>
            <w:r>
              <w:rPr>
                <w:w w:val="95"/>
                <w:sz w:val="18"/>
              </w:rPr>
              <w:t>$0.00</w:t>
            </w:r>
          </w:p>
        </w:tc>
        <w:tc>
          <w:tcPr>
            <w:tcW w:w="1644" w:type="dxa"/>
          </w:tcPr>
          <w:p>
            <w:pPr>
              <w:pStyle w:val="TableParagraph"/>
              <w:spacing w:line="206" w:lineRule="exact"/>
              <w:ind w:left="47" w:right="45"/>
              <w:rPr>
                <w:sz w:val="18"/>
              </w:rPr>
            </w:pPr>
            <w:r>
              <w:rPr>
                <w:sz w:val="18"/>
              </w:rPr>
              <w:t>$3,747,940,786.85</w:t>
            </w:r>
          </w:p>
        </w:tc>
        <w:tc>
          <w:tcPr>
            <w:tcW w:w="1613" w:type="dxa"/>
          </w:tcPr>
          <w:p>
            <w:pPr>
              <w:pStyle w:val="TableParagraph"/>
              <w:spacing w:line="206" w:lineRule="exact"/>
              <w:ind w:left="157" w:right="155"/>
              <w:rPr>
                <w:sz w:val="18"/>
              </w:rPr>
            </w:pPr>
            <w:r>
              <w:rPr>
                <w:sz w:val="18"/>
              </w:rPr>
              <w:t>$466,944.92</w:t>
            </w:r>
          </w:p>
        </w:tc>
        <w:tc>
          <w:tcPr>
            <w:tcW w:w="1702" w:type="dxa"/>
          </w:tcPr>
          <w:p>
            <w:pPr>
              <w:pStyle w:val="TableParagraph"/>
              <w:spacing w:line="206" w:lineRule="exact"/>
              <w:ind w:left="76" w:right="74"/>
              <w:rPr>
                <w:sz w:val="18"/>
              </w:rPr>
            </w:pPr>
            <w:r>
              <w:rPr>
                <w:sz w:val="18"/>
              </w:rPr>
              <w:t>$2,996,803,687.86</w:t>
            </w:r>
          </w:p>
        </w:tc>
        <w:tc>
          <w:tcPr>
            <w:tcW w:w="2002" w:type="dxa"/>
          </w:tcPr>
          <w:p>
            <w:pPr>
              <w:pStyle w:val="TableParagraph"/>
              <w:spacing w:line="206" w:lineRule="exact"/>
              <w:ind w:left="301" w:right="299"/>
              <w:rPr>
                <w:sz w:val="18"/>
              </w:rPr>
            </w:pPr>
            <w:r>
              <w:rPr>
                <w:sz w:val="18"/>
              </w:rPr>
              <w:t>$750,670,154.07</w:t>
            </w:r>
          </w:p>
        </w:tc>
      </w:tr>
      <w:tr>
        <w:trPr>
          <w:trHeight w:val="319" w:hRule="exact"/>
        </w:trPr>
        <w:tc>
          <w:tcPr>
            <w:tcW w:w="1580" w:type="dxa"/>
            <w:gridSpan w:val="2"/>
          </w:tcPr>
          <w:p>
            <w:pPr>
              <w:pStyle w:val="TableParagraph"/>
              <w:spacing w:line="201" w:lineRule="exact"/>
              <w:ind w:left="67" w:right="43"/>
              <w:jc w:val="left"/>
              <w:rPr>
                <w:b/>
                <w:sz w:val="18"/>
              </w:rPr>
            </w:pPr>
            <w:r>
              <w:rPr>
                <w:b/>
                <w:sz w:val="18"/>
              </w:rPr>
              <w:t>TONANITLA</w:t>
            </w:r>
          </w:p>
        </w:tc>
        <w:tc>
          <w:tcPr>
            <w:tcW w:w="1294" w:type="dxa"/>
          </w:tcPr>
          <w:p>
            <w:pPr>
              <w:pStyle w:val="TableParagraph"/>
              <w:spacing w:line="206" w:lineRule="exact"/>
              <w:ind w:left="47" w:right="44"/>
              <w:rPr>
                <w:sz w:val="18"/>
              </w:rPr>
            </w:pPr>
            <w:r>
              <w:rPr>
                <w:sz w:val="18"/>
              </w:rPr>
              <w:t>$0.00</w:t>
            </w:r>
          </w:p>
        </w:tc>
        <w:tc>
          <w:tcPr>
            <w:tcW w:w="1560" w:type="dxa"/>
          </w:tcPr>
          <w:p>
            <w:pPr>
              <w:pStyle w:val="TableParagraph"/>
              <w:spacing w:line="206" w:lineRule="exact"/>
              <w:ind w:left="549"/>
              <w:jc w:val="left"/>
              <w:rPr>
                <w:sz w:val="18"/>
              </w:rPr>
            </w:pPr>
            <w:r>
              <w:rPr>
                <w:sz w:val="18"/>
              </w:rPr>
              <w:t>$0.00</w:t>
            </w:r>
          </w:p>
        </w:tc>
        <w:tc>
          <w:tcPr>
            <w:tcW w:w="1702" w:type="dxa"/>
          </w:tcPr>
          <w:p>
            <w:pPr>
              <w:pStyle w:val="TableParagraph"/>
              <w:spacing w:line="206" w:lineRule="exact"/>
              <w:ind w:right="616"/>
              <w:jc w:val="right"/>
              <w:rPr>
                <w:sz w:val="18"/>
              </w:rPr>
            </w:pPr>
            <w:r>
              <w:rPr>
                <w:w w:val="95"/>
                <w:sz w:val="18"/>
              </w:rPr>
              <w:t>$0.00</w:t>
            </w:r>
          </w:p>
        </w:tc>
        <w:tc>
          <w:tcPr>
            <w:tcW w:w="1524" w:type="dxa"/>
          </w:tcPr>
          <w:p>
            <w:pPr>
              <w:pStyle w:val="TableParagraph"/>
              <w:spacing w:line="206" w:lineRule="exact"/>
              <w:ind w:right="529"/>
              <w:jc w:val="right"/>
              <w:rPr>
                <w:sz w:val="18"/>
              </w:rPr>
            </w:pPr>
            <w:r>
              <w:rPr>
                <w:w w:val="95"/>
                <w:sz w:val="18"/>
              </w:rPr>
              <w:t>$0.00</w:t>
            </w:r>
          </w:p>
        </w:tc>
        <w:tc>
          <w:tcPr>
            <w:tcW w:w="1644" w:type="dxa"/>
          </w:tcPr>
          <w:p>
            <w:pPr>
              <w:pStyle w:val="TableParagraph"/>
              <w:spacing w:line="206" w:lineRule="exact"/>
              <w:ind w:left="47" w:right="44"/>
              <w:rPr>
                <w:sz w:val="18"/>
              </w:rPr>
            </w:pPr>
            <w:r>
              <w:rPr>
                <w:sz w:val="18"/>
              </w:rPr>
              <w:t>$0.00</w:t>
            </w:r>
          </w:p>
        </w:tc>
        <w:tc>
          <w:tcPr>
            <w:tcW w:w="1613" w:type="dxa"/>
          </w:tcPr>
          <w:p>
            <w:pPr>
              <w:pStyle w:val="TableParagraph"/>
              <w:spacing w:line="206" w:lineRule="exact"/>
              <w:ind w:left="156" w:right="155"/>
              <w:rPr>
                <w:sz w:val="18"/>
              </w:rPr>
            </w:pPr>
            <w:r>
              <w:rPr>
                <w:sz w:val="18"/>
              </w:rPr>
              <w:t>$0.00</w:t>
            </w:r>
          </w:p>
        </w:tc>
        <w:tc>
          <w:tcPr>
            <w:tcW w:w="1702" w:type="dxa"/>
          </w:tcPr>
          <w:p>
            <w:pPr>
              <w:pStyle w:val="TableParagraph"/>
              <w:spacing w:line="206" w:lineRule="exact"/>
              <w:ind w:left="76" w:right="72"/>
              <w:rPr>
                <w:sz w:val="18"/>
              </w:rPr>
            </w:pPr>
            <w:r>
              <w:rPr>
                <w:sz w:val="18"/>
              </w:rPr>
              <w:t>$0.00</w:t>
            </w:r>
          </w:p>
        </w:tc>
        <w:tc>
          <w:tcPr>
            <w:tcW w:w="2002" w:type="dxa"/>
          </w:tcPr>
          <w:p>
            <w:pPr>
              <w:pStyle w:val="TableParagraph"/>
              <w:spacing w:line="206" w:lineRule="exact"/>
              <w:ind w:left="301" w:right="296"/>
              <w:rPr>
                <w:sz w:val="18"/>
              </w:rPr>
            </w:pPr>
            <w:r>
              <w:rPr>
                <w:sz w:val="18"/>
              </w:rPr>
              <w:t>$0.00</w:t>
            </w:r>
          </w:p>
        </w:tc>
      </w:tr>
      <w:tr>
        <w:trPr>
          <w:trHeight w:val="322" w:hRule="exact"/>
        </w:trPr>
        <w:tc>
          <w:tcPr>
            <w:tcW w:w="1580" w:type="dxa"/>
            <w:gridSpan w:val="2"/>
          </w:tcPr>
          <w:p>
            <w:pPr>
              <w:pStyle w:val="TableParagraph"/>
              <w:spacing w:line="201" w:lineRule="exact"/>
              <w:ind w:left="67" w:right="43"/>
              <w:jc w:val="left"/>
              <w:rPr>
                <w:b/>
                <w:sz w:val="18"/>
              </w:rPr>
            </w:pPr>
            <w:r>
              <w:rPr>
                <w:b/>
                <w:sz w:val="18"/>
              </w:rPr>
              <w:t>TONATICO</w:t>
            </w:r>
          </w:p>
        </w:tc>
        <w:tc>
          <w:tcPr>
            <w:tcW w:w="1294" w:type="dxa"/>
          </w:tcPr>
          <w:p>
            <w:pPr>
              <w:pStyle w:val="TableParagraph"/>
              <w:spacing w:line="206" w:lineRule="exact"/>
              <w:ind w:left="47" w:right="44"/>
              <w:rPr>
                <w:sz w:val="18"/>
              </w:rPr>
            </w:pPr>
            <w:r>
              <w:rPr>
                <w:sz w:val="18"/>
              </w:rPr>
              <w:t>$0.00</w:t>
            </w:r>
          </w:p>
        </w:tc>
        <w:tc>
          <w:tcPr>
            <w:tcW w:w="1560" w:type="dxa"/>
          </w:tcPr>
          <w:p>
            <w:pPr>
              <w:pStyle w:val="TableParagraph"/>
              <w:spacing w:line="206" w:lineRule="exact"/>
              <w:ind w:left="549"/>
              <w:jc w:val="left"/>
              <w:rPr>
                <w:sz w:val="18"/>
              </w:rPr>
            </w:pPr>
            <w:r>
              <w:rPr>
                <w:sz w:val="18"/>
              </w:rPr>
              <w:t>$0.00</w:t>
            </w:r>
          </w:p>
        </w:tc>
        <w:tc>
          <w:tcPr>
            <w:tcW w:w="1702" w:type="dxa"/>
          </w:tcPr>
          <w:p>
            <w:pPr>
              <w:pStyle w:val="TableParagraph"/>
              <w:spacing w:line="206" w:lineRule="exact"/>
              <w:ind w:right="616"/>
              <w:jc w:val="right"/>
              <w:rPr>
                <w:sz w:val="18"/>
              </w:rPr>
            </w:pPr>
            <w:r>
              <w:rPr>
                <w:w w:val="95"/>
                <w:sz w:val="18"/>
              </w:rPr>
              <w:t>$0.00</w:t>
            </w:r>
          </w:p>
        </w:tc>
        <w:tc>
          <w:tcPr>
            <w:tcW w:w="1524" w:type="dxa"/>
          </w:tcPr>
          <w:p>
            <w:pPr>
              <w:pStyle w:val="TableParagraph"/>
              <w:spacing w:line="206" w:lineRule="exact"/>
              <w:ind w:right="529"/>
              <w:jc w:val="right"/>
              <w:rPr>
                <w:sz w:val="18"/>
              </w:rPr>
            </w:pPr>
            <w:r>
              <w:rPr>
                <w:w w:val="95"/>
                <w:sz w:val="18"/>
              </w:rPr>
              <w:t>$0.00</w:t>
            </w:r>
          </w:p>
        </w:tc>
        <w:tc>
          <w:tcPr>
            <w:tcW w:w="1644" w:type="dxa"/>
          </w:tcPr>
          <w:p>
            <w:pPr>
              <w:pStyle w:val="TableParagraph"/>
              <w:spacing w:line="206" w:lineRule="exact"/>
              <w:ind w:left="47" w:right="44"/>
              <w:rPr>
                <w:sz w:val="18"/>
              </w:rPr>
            </w:pPr>
            <w:r>
              <w:rPr>
                <w:sz w:val="18"/>
              </w:rPr>
              <w:t>$0.00</w:t>
            </w:r>
          </w:p>
        </w:tc>
        <w:tc>
          <w:tcPr>
            <w:tcW w:w="1613" w:type="dxa"/>
          </w:tcPr>
          <w:p>
            <w:pPr>
              <w:pStyle w:val="TableParagraph"/>
              <w:spacing w:line="206" w:lineRule="exact"/>
              <w:ind w:left="156" w:right="155"/>
              <w:rPr>
                <w:sz w:val="18"/>
              </w:rPr>
            </w:pPr>
            <w:r>
              <w:rPr>
                <w:sz w:val="18"/>
              </w:rPr>
              <w:t>$0.00</w:t>
            </w:r>
          </w:p>
        </w:tc>
        <w:tc>
          <w:tcPr>
            <w:tcW w:w="1702" w:type="dxa"/>
          </w:tcPr>
          <w:p>
            <w:pPr>
              <w:pStyle w:val="TableParagraph"/>
              <w:spacing w:line="206" w:lineRule="exact"/>
              <w:ind w:left="76" w:right="72"/>
              <w:rPr>
                <w:sz w:val="18"/>
              </w:rPr>
            </w:pPr>
            <w:r>
              <w:rPr>
                <w:sz w:val="18"/>
              </w:rPr>
              <w:t>$0.00</w:t>
            </w:r>
          </w:p>
        </w:tc>
        <w:tc>
          <w:tcPr>
            <w:tcW w:w="2002" w:type="dxa"/>
          </w:tcPr>
          <w:p>
            <w:pPr>
              <w:pStyle w:val="TableParagraph"/>
              <w:spacing w:line="206" w:lineRule="exact"/>
              <w:ind w:left="301" w:right="295"/>
              <w:rPr>
                <w:sz w:val="18"/>
              </w:rPr>
            </w:pPr>
            <w:r>
              <w:rPr>
                <w:sz w:val="18"/>
              </w:rPr>
              <w:t>$0.00</w:t>
            </w:r>
          </w:p>
        </w:tc>
      </w:tr>
      <w:tr>
        <w:trPr>
          <w:trHeight w:val="319" w:hRule="exact"/>
        </w:trPr>
        <w:tc>
          <w:tcPr>
            <w:tcW w:w="1580" w:type="dxa"/>
            <w:gridSpan w:val="2"/>
          </w:tcPr>
          <w:p>
            <w:pPr>
              <w:pStyle w:val="TableParagraph"/>
              <w:spacing w:line="201" w:lineRule="exact"/>
              <w:ind w:left="67" w:right="43"/>
              <w:jc w:val="left"/>
              <w:rPr>
                <w:b/>
                <w:sz w:val="18"/>
              </w:rPr>
            </w:pPr>
            <w:r>
              <w:rPr>
                <w:b/>
                <w:sz w:val="18"/>
              </w:rPr>
              <w:t>TULTEPEC</w:t>
            </w:r>
          </w:p>
        </w:tc>
        <w:tc>
          <w:tcPr>
            <w:tcW w:w="1294" w:type="dxa"/>
          </w:tcPr>
          <w:p>
            <w:pPr>
              <w:pStyle w:val="TableParagraph"/>
              <w:spacing w:line="206" w:lineRule="exact"/>
              <w:ind w:left="47" w:right="44"/>
              <w:rPr>
                <w:sz w:val="18"/>
              </w:rPr>
            </w:pPr>
            <w:r>
              <w:rPr>
                <w:sz w:val="18"/>
              </w:rPr>
              <w:t>$0.00</w:t>
            </w:r>
          </w:p>
        </w:tc>
        <w:tc>
          <w:tcPr>
            <w:tcW w:w="1560" w:type="dxa"/>
          </w:tcPr>
          <w:p>
            <w:pPr>
              <w:pStyle w:val="TableParagraph"/>
              <w:spacing w:line="206" w:lineRule="exact"/>
              <w:ind w:left="549"/>
              <w:jc w:val="left"/>
              <w:rPr>
                <w:sz w:val="18"/>
              </w:rPr>
            </w:pPr>
            <w:r>
              <w:rPr>
                <w:sz w:val="18"/>
              </w:rPr>
              <w:t>$0.00</w:t>
            </w:r>
          </w:p>
        </w:tc>
        <w:tc>
          <w:tcPr>
            <w:tcW w:w="1702" w:type="dxa"/>
          </w:tcPr>
          <w:p>
            <w:pPr>
              <w:pStyle w:val="TableParagraph"/>
              <w:spacing w:line="206" w:lineRule="exact"/>
              <w:ind w:right="616"/>
              <w:jc w:val="right"/>
              <w:rPr>
                <w:sz w:val="18"/>
              </w:rPr>
            </w:pPr>
            <w:r>
              <w:rPr>
                <w:w w:val="95"/>
                <w:sz w:val="18"/>
              </w:rPr>
              <w:t>$0.00</w:t>
            </w:r>
          </w:p>
        </w:tc>
        <w:tc>
          <w:tcPr>
            <w:tcW w:w="1524" w:type="dxa"/>
          </w:tcPr>
          <w:p>
            <w:pPr>
              <w:pStyle w:val="TableParagraph"/>
              <w:spacing w:line="206" w:lineRule="exact"/>
              <w:ind w:right="529"/>
              <w:jc w:val="right"/>
              <w:rPr>
                <w:sz w:val="18"/>
              </w:rPr>
            </w:pPr>
            <w:r>
              <w:rPr>
                <w:w w:val="95"/>
                <w:sz w:val="18"/>
              </w:rPr>
              <w:t>$0.00</w:t>
            </w:r>
          </w:p>
        </w:tc>
        <w:tc>
          <w:tcPr>
            <w:tcW w:w="1644" w:type="dxa"/>
          </w:tcPr>
          <w:p>
            <w:pPr>
              <w:pStyle w:val="TableParagraph"/>
              <w:spacing w:line="206" w:lineRule="exact"/>
              <w:ind w:left="47" w:right="44"/>
              <w:rPr>
                <w:sz w:val="18"/>
              </w:rPr>
            </w:pPr>
            <w:r>
              <w:rPr>
                <w:sz w:val="18"/>
              </w:rPr>
              <w:t>$0.00</w:t>
            </w:r>
          </w:p>
        </w:tc>
        <w:tc>
          <w:tcPr>
            <w:tcW w:w="1613" w:type="dxa"/>
          </w:tcPr>
          <w:p>
            <w:pPr>
              <w:pStyle w:val="TableParagraph"/>
              <w:spacing w:line="206" w:lineRule="exact"/>
              <w:ind w:left="156" w:right="155"/>
              <w:rPr>
                <w:sz w:val="18"/>
              </w:rPr>
            </w:pPr>
            <w:r>
              <w:rPr>
                <w:sz w:val="18"/>
              </w:rPr>
              <w:t>$0.00</w:t>
            </w:r>
          </w:p>
        </w:tc>
        <w:tc>
          <w:tcPr>
            <w:tcW w:w="1702" w:type="dxa"/>
          </w:tcPr>
          <w:p>
            <w:pPr>
              <w:pStyle w:val="TableParagraph"/>
              <w:spacing w:line="206" w:lineRule="exact"/>
              <w:ind w:left="76" w:right="72"/>
              <w:rPr>
                <w:sz w:val="18"/>
              </w:rPr>
            </w:pPr>
            <w:r>
              <w:rPr>
                <w:sz w:val="18"/>
              </w:rPr>
              <w:t>$0.00</w:t>
            </w:r>
          </w:p>
        </w:tc>
        <w:tc>
          <w:tcPr>
            <w:tcW w:w="2002" w:type="dxa"/>
          </w:tcPr>
          <w:p>
            <w:pPr>
              <w:pStyle w:val="TableParagraph"/>
              <w:spacing w:line="206" w:lineRule="exact"/>
              <w:ind w:left="301" w:right="296"/>
              <w:rPr>
                <w:sz w:val="18"/>
              </w:rPr>
            </w:pPr>
            <w:r>
              <w:rPr>
                <w:sz w:val="18"/>
              </w:rPr>
              <w:t>$0.00</w:t>
            </w:r>
          </w:p>
        </w:tc>
      </w:tr>
      <w:tr>
        <w:trPr>
          <w:trHeight w:val="322" w:hRule="exact"/>
        </w:trPr>
        <w:tc>
          <w:tcPr>
            <w:tcW w:w="1580" w:type="dxa"/>
            <w:gridSpan w:val="2"/>
          </w:tcPr>
          <w:p>
            <w:pPr>
              <w:pStyle w:val="TableParagraph"/>
              <w:spacing w:line="201" w:lineRule="exact"/>
              <w:ind w:left="67" w:right="43"/>
              <w:jc w:val="left"/>
              <w:rPr>
                <w:b/>
                <w:sz w:val="18"/>
              </w:rPr>
            </w:pPr>
            <w:r>
              <w:rPr>
                <w:b/>
                <w:sz w:val="18"/>
              </w:rPr>
              <w:t>TULTITLAN</w:t>
            </w:r>
          </w:p>
        </w:tc>
        <w:tc>
          <w:tcPr>
            <w:tcW w:w="1294" w:type="dxa"/>
          </w:tcPr>
          <w:p>
            <w:pPr>
              <w:pStyle w:val="TableParagraph"/>
              <w:spacing w:line="206" w:lineRule="exact"/>
              <w:ind w:left="47" w:right="44"/>
              <w:rPr>
                <w:sz w:val="18"/>
              </w:rPr>
            </w:pPr>
            <w:r>
              <w:rPr>
                <w:sz w:val="18"/>
              </w:rPr>
              <w:t>$0.00</w:t>
            </w:r>
          </w:p>
        </w:tc>
        <w:tc>
          <w:tcPr>
            <w:tcW w:w="1560" w:type="dxa"/>
          </w:tcPr>
          <w:p>
            <w:pPr>
              <w:pStyle w:val="TableParagraph"/>
              <w:spacing w:line="206" w:lineRule="exact"/>
              <w:ind w:left="549"/>
              <w:jc w:val="left"/>
              <w:rPr>
                <w:sz w:val="18"/>
              </w:rPr>
            </w:pPr>
            <w:r>
              <w:rPr>
                <w:sz w:val="18"/>
              </w:rPr>
              <w:t>$0.00</w:t>
            </w:r>
          </w:p>
        </w:tc>
        <w:tc>
          <w:tcPr>
            <w:tcW w:w="1702" w:type="dxa"/>
          </w:tcPr>
          <w:p>
            <w:pPr>
              <w:pStyle w:val="TableParagraph"/>
              <w:spacing w:line="206" w:lineRule="exact"/>
              <w:ind w:right="616"/>
              <w:jc w:val="right"/>
              <w:rPr>
                <w:sz w:val="18"/>
              </w:rPr>
            </w:pPr>
            <w:r>
              <w:rPr>
                <w:w w:val="95"/>
                <w:sz w:val="18"/>
              </w:rPr>
              <w:t>$0.00</w:t>
            </w:r>
          </w:p>
        </w:tc>
        <w:tc>
          <w:tcPr>
            <w:tcW w:w="1524" w:type="dxa"/>
          </w:tcPr>
          <w:p>
            <w:pPr>
              <w:pStyle w:val="TableParagraph"/>
              <w:spacing w:line="206" w:lineRule="exact"/>
              <w:ind w:right="529"/>
              <w:jc w:val="right"/>
              <w:rPr>
                <w:sz w:val="18"/>
              </w:rPr>
            </w:pPr>
            <w:r>
              <w:rPr>
                <w:w w:val="95"/>
                <w:sz w:val="18"/>
              </w:rPr>
              <w:t>$0.00</w:t>
            </w:r>
          </w:p>
        </w:tc>
        <w:tc>
          <w:tcPr>
            <w:tcW w:w="1644" w:type="dxa"/>
          </w:tcPr>
          <w:p>
            <w:pPr>
              <w:pStyle w:val="TableParagraph"/>
              <w:spacing w:line="206" w:lineRule="exact"/>
              <w:ind w:left="47" w:right="44"/>
              <w:rPr>
                <w:sz w:val="18"/>
              </w:rPr>
            </w:pPr>
            <w:r>
              <w:rPr>
                <w:sz w:val="18"/>
              </w:rPr>
              <w:t>$0.00</w:t>
            </w:r>
          </w:p>
        </w:tc>
        <w:tc>
          <w:tcPr>
            <w:tcW w:w="1613" w:type="dxa"/>
          </w:tcPr>
          <w:p>
            <w:pPr>
              <w:pStyle w:val="TableParagraph"/>
              <w:spacing w:line="206" w:lineRule="exact"/>
              <w:ind w:left="156" w:right="155"/>
              <w:rPr>
                <w:sz w:val="18"/>
              </w:rPr>
            </w:pPr>
            <w:r>
              <w:rPr>
                <w:sz w:val="18"/>
              </w:rPr>
              <w:t>$0.00</w:t>
            </w:r>
          </w:p>
        </w:tc>
        <w:tc>
          <w:tcPr>
            <w:tcW w:w="1702" w:type="dxa"/>
          </w:tcPr>
          <w:p>
            <w:pPr>
              <w:pStyle w:val="TableParagraph"/>
              <w:spacing w:line="206" w:lineRule="exact"/>
              <w:ind w:left="76" w:right="72"/>
              <w:rPr>
                <w:sz w:val="18"/>
              </w:rPr>
            </w:pPr>
            <w:r>
              <w:rPr>
                <w:sz w:val="18"/>
              </w:rPr>
              <w:t>$0.00</w:t>
            </w:r>
          </w:p>
        </w:tc>
        <w:tc>
          <w:tcPr>
            <w:tcW w:w="2002" w:type="dxa"/>
          </w:tcPr>
          <w:p>
            <w:pPr>
              <w:pStyle w:val="TableParagraph"/>
              <w:spacing w:line="206" w:lineRule="exact"/>
              <w:ind w:left="301" w:right="296"/>
              <w:rPr>
                <w:sz w:val="18"/>
              </w:rPr>
            </w:pPr>
            <w:r>
              <w:rPr>
                <w:sz w:val="18"/>
              </w:rPr>
              <w:t>$0.00</w:t>
            </w:r>
          </w:p>
        </w:tc>
      </w:tr>
      <w:tr>
        <w:trPr>
          <w:trHeight w:val="632" w:hRule="exact"/>
        </w:trPr>
        <w:tc>
          <w:tcPr>
            <w:tcW w:w="1035" w:type="dxa"/>
            <w:tcBorders>
              <w:right w:val="nil"/>
            </w:tcBorders>
          </w:tcPr>
          <w:p>
            <w:pPr>
              <w:pStyle w:val="TableParagraph"/>
              <w:spacing w:line="360" w:lineRule="auto"/>
              <w:ind w:left="67" w:right="293"/>
              <w:jc w:val="left"/>
              <w:rPr>
                <w:b/>
                <w:sz w:val="18"/>
              </w:rPr>
            </w:pPr>
            <w:r>
              <w:rPr>
                <w:b/>
                <w:sz w:val="18"/>
              </w:rPr>
              <w:t>VALLE BRAVO</w:t>
            </w:r>
          </w:p>
        </w:tc>
        <w:tc>
          <w:tcPr>
            <w:tcW w:w="544" w:type="dxa"/>
            <w:tcBorders>
              <w:left w:val="nil"/>
            </w:tcBorders>
          </w:tcPr>
          <w:p>
            <w:pPr>
              <w:pStyle w:val="TableParagraph"/>
              <w:spacing w:line="201" w:lineRule="exact"/>
              <w:ind w:left="202" w:right="43"/>
              <w:rPr>
                <w:b/>
                <w:sz w:val="18"/>
              </w:rPr>
            </w:pPr>
            <w:r>
              <w:rPr>
                <w:b/>
                <w:sz w:val="18"/>
              </w:rPr>
              <w:t>DE</w:t>
            </w:r>
          </w:p>
        </w:tc>
        <w:tc>
          <w:tcPr>
            <w:tcW w:w="1294" w:type="dxa"/>
          </w:tcPr>
          <w:p>
            <w:pPr>
              <w:pStyle w:val="TableParagraph"/>
              <w:spacing w:before="155"/>
              <w:ind w:left="47" w:right="44"/>
              <w:rPr>
                <w:sz w:val="18"/>
              </w:rPr>
            </w:pPr>
            <w:r>
              <w:rPr>
                <w:sz w:val="18"/>
              </w:rPr>
              <w:t>$0.00</w:t>
            </w:r>
          </w:p>
        </w:tc>
        <w:tc>
          <w:tcPr>
            <w:tcW w:w="1560" w:type="dxa"/>
          </w:tcPr>
          <w:p>
            <w:pPr>
              <w:pStyle w:val="TableParagraph"/>
              <w:spacing w:before="155"/>
              <w:ind w:left="549"/>
              <w:jc w:val="left"/>
              <w:rPr>
                <w:sz w:val="18"/>
              </w:rPr>
            </w:pPr>
            <w:r>
              <w:rPr>
                <w:sz w:val="18"/>
              </w:rPr>
              <w:t>$0.00</w:t>
            </w:r>
          </w:p>
        </w:tc>
        <w:tc>
          <w:tcPr>
            <w:tcW w:w="1702" w:type="dxa"/>
          </w:tcPr>
          <w:p>
            <w:pPr>
              <w:pStyle w:val="TableParagraph"/>
              <w:spacing w:before="155"/>
              <w:ind w:right="616"/>
              <w:jc w:val="right"/>
              <w:rPr>
                <w:sz w:val="18"/>
              </w:rPr>
            </w:pPr>
            <w:r>
              <w:rPr>
                <w:w w:val="95"/>
                <w:sz w:val="18"/>
              </w:rPr>
              <w:t>$0.00</w:t>
            </w:r>
          </w:p>
        </w:tc>
        <w:tc>
          <w:tcPr>
            <w:tcW w:w="1524" w:type="dxa"/>
          </w:tcPr>
          <w:p>
            <w:pPr>
              <w:pStyle w:val="TableParagraph"/>
              <w:spacing w:before="155"/>
              <w:ind w:right="529"/>
              <w:jc w:val="right"/>
              <w:rPr>
                <w:sz w:val="18"/>
              </w:rPr>
            </w:pPr>
            <w:r>
              <w:rPr>
                <w:w w:val="95"/>
                <w:sz w:val="18"/>
              </w:rPr>
              <w:t>$0.00</w:t>
            </w:r>
          </w:p>
        </w:tc>
        <w:tc>
          <w:tcPr>
            <w:tcW w:w="1644" w:type="dxa"/>
          </w:tcPr>
          <w:p>
            <w:pPr>
              <w:pStyle w:val="TableParagraph"/>
              <w:spacing w:before="155"/>
              <w:ind w:left="47" w:right="44"/>
              <w:rPr>
                <w:sz w:val="18"/>
              </w:rPr>
            </w:pPr>
            <w:r>
              <w:rPr>
                <w:sz w:val="18"/>
              </w:rPr>
              <w:t>$0.00</w:t>
            </w:r>
          </w:p>
        </w:tc>
        <w:tc>
          <w:tcPr>
            <w:tcW w:w="1613" w:type="dxa"/>
          </w:tcPr>
          <w:p>
            <w:pPr>
              <w:pStyle w:val="TableParagraph"/>
              <w:spacing w:before="155"/>
              <w:ind w:left="156" w:right="155"/>
              <w:rPr>
                <w:sz w:val="18"/>
              </w:rPr>
            </w:pPr>
            <w:r>
              <w:rPr>
                <w:sz w:val="18"/>
              </w:rPr>
              <w:t>$0.00</w:t>
            </w:r>
          </w:p>
        </w:tc>
        <w:tc>
          <w:tcPr>
            <w:tcW w:w="1702" w:type="dxa"/>
          </w:tcPr>
          <w:p>
            <w:pPr>
              <w:pStyle w:val="TableParagraph"/>
              <w:spacing w:before="155"/>
              <w:ind w:left="76" w:right="72"/>
              <w:rPr>
                <w:sz w:val="18"/>
              </w:rPr>
            </w:pPr>
            <w:r>
              <w:rPr>
                <w:sz w:val="18"/>
              </w:rPr>
              <w:t>$0.00</w:t>
            </w:r>
          </w:p>
        </w:tc>
        <w:tc>
          <w:tcPr>
            <w:tcW w:w="2002" w:type="dxa"/>
          </w:tcPr>
          <w:p>
            <w:pPr>
              <w:pStyle w:val="TableParagraph"/>
              <w:spacing w:before="155"/>
              <w:ind w:left="301" w:right="296"/>
              <w:rPr>
                <w:sz w:val="18"/>
              </w:rPr>
            </w:pPr>
            <w:r>
              <w:rPr>
                <w:sz w:val="18"/>
              </w:rPr>
              <w:t>$0.00</w:t>
            </w:r>
          </w:p>
        </w:tc>
      </w:tr>
      <w:tr>
        <w:trPr>
          <w:trHeight w:val="941" w:hRule="exact"/>
        </w:trPr>
        <w:tc>
          <w:tcPr>
            <w:tcW w:w="1580" w:type="dxa"/>
            <w:gridSpan w:val="2"/>
          </w:tcPr>
          <w:p>
            <w:pPr>
              <w:pStyle w:val="TableParagraph"/>
              <w:tabs>
                <w:tab w:pos="1254" w:val="left" w:leader="none"/>
              </w:tabs>
              <w:spacing w:line="360" w:lineRule="auto"/>
              <w:ind w:left="67" w:right="63"/>
              <w:jc w:val="left"/>
              <w:rPr>
                <w:b/>
                <w:sz w:val="18"/>
              </w:rPr>
            </w:pPr>
            <w:r>
              <w:rPr>
                <w:b/>
                <w:sz w:val="18"/>
              </w:rPr>
              <w:t>VALLE</w:t>
              <w:tab/>
              <w:t>DE CHALCO SOLIDARIDAD</w:t>
            </w:r>
          </w:p>
        </w:tc>
        <w:tc>
          <w:tcPr>
            <w:tcW w:w="1294" w:type="dxa"/>
          </w:tcPr>
          <w:p>
            <w:pPr>
              <w:pStyle w:val="TableParagraph"/>
              <w:spacing w:before="9"/>
              <w:jc w:val="left"/>
              <w:rPr>
                <w:rFonts w:ascii="Times New Roman"/>
                <w:sz w:val="26"/>
              </w:rPr>
            </w:pPr>
          </w:p>
          <w:p>
            <w:pPr>
              <w:pStyle w:val="TableParagraph"/>
              <w:ind w:left="47" w:right="44"/>
              <w:rPr>
                <w:sz w:val="18"/>
              </w:rPr>
            </w:pPr>
            <w:r>
              <w:rPr>
                <w:sz w:val="18"/>
              </w:rPr>
              <w:t>$0.00</w:t>
            </w:r>
          </w:p>
        </w:tc>
        <w:tc>
          <w:tcPr>
            <w:tcW w:w="1560" w:type="dxa"/>
          </w:tcPr>
          <w:p>
            <w:pPr>
              <w:pStyle w:val="TableParagraph"/>
              <w:spacing w:before="9"/>
              <w:jc w:val="left"/>
              <w:rPr>
                <w:rFonts w:ascii="Times New Roman"/>
                <w:sz w:val="26"/>
              </w:rPr>
            </w:pPr>
          </w:p>
          <w:p>
            <w:pPr>
              <w:pStyle w:val="TableParagraph"/>
              <w:ind w:left="549"/>
              <w:jc w:val="left"/>
              <w:rPr>
                <w:sz w:val="18"/>
              </w:rPr>
            </w:pPr>
            <w:r>
              <w:rPr>
                <w:sz w:val="18"/>
              </w:rPr>
              <w:t>$0.00</w:t>
            </w:r>
          </w:p>
        </w:tc>
        <w:tc>
          <w:tcPr>
            <w:tcW w:w="1702" w:type="dxa"/>
          </w:tcPr>
          <w:p>
            <w:pPr>
              <w:pStyle w:val="TableParagraph"/>
              <w:spacing w:before="9"/>
              <w:jc w:val="left"/>
              <w:rPr>
                <w:rFonts w:ascii="Times New Roman"/>
                <w:sz w:val="26"/>
              </w:rPr>
            </w:pPr>
          </w:p>
          <w:p>
            <w:pPr>
              <w:pStyle w:val="TableParagraph"/>
              <w:ind w:right="616"/>
              <w:jc w:val="right"/>
              <w:rPr>
                <w:sz w:val="18"/>
              </w:rPr>
            </w:pPr>
            <w:r>
              <w:rPr>
                <w:w w:val="95"/>
                <w:sz w:val="18"/>
              </w:rPr>
              <w:t>$0.00</w:t>
            </w:r>
          </w:p>
        </w:tc>
        <w:tc>
          <w:tcPr>
            <w:tcW w:w="1524" w:type="dxa"/>
          </w:tcPr>
          <w:p>
            <w:pPr>
              <w:pStyle w:val="TableParagraph"/>
              <w:spacing w:before="9"/>
              <w:jc w:val="left"/>
              <w:rPr>
                <w:rFonts w:ascii="Times New Roman"/>
                <w:sz w:val="26"/>
              </w:rPr>
            </w:pPr>
          </w:p>
          <w:p>
            <w:pPr>
              <w:pStyle w:val="TableParagraph"/>
              <w:ind w:right="529"/>
              <w:jc w:val="right"/>
              <w:rPr>
                <w:sz w:val="18"/>
              </w:rPr>
            </w:pPr>
            <w:r>
              <w:rPr>
                <w:w w:val="95"/>
                <w:sz w:val="18"/>
              </w:rPr>
              <w:t>$0.00</w:t>
            </w:r>
          </w:p>
        </w:tc>
        <w:tc>
          <w:tcPr>
            <w:tcW w:w="1644" w:type="dxa"/>
          </w:tcPr>
          <w:p>
            <w:pPr>
              <w:pStyle w:val="TableParagraph"/>
              <w:spacing w:before="9"/>
              <w:jc w:val="left"/>
              <w:rPr>
                <w:rFonts w:ascii="Times New Roman"/>
                <w:sz w:val="26"/>
              </w:rPr>
            </w:pPr>
          </w:p>
          <w:p>
            <w:pPr>
              <w:pStyle w:val="TableParagraph"/>
              <w:ind w:left="45" w:right="45"/>
              <w:rPr>
                <w:sz w:val="18"/>
              </w:rPr>
            </w:pPr>
            <w:r>
              <w:rPr>
                <w:sz w:val="18"/>
              </w:rPr>
              <w:t>$677,205,997.00</w:t>
            </w:r>
          </w:p>
        </w:tc>
        <w:tc>
          <w:tcPr>
            <w:tcW w:w="1613" w:type="dxa"/>
          </w:tcPr>
          <w:p>
            <w:pPr>
              <w:pStyle w:val="TableParagraph"/>
              <w:spacing w:before="9"/>
              <w:jc w:val="left"/>
              <w:rPr>
                <w:rFonts w:ascii="Times New Roman"/>
                <w:sz w:val="26"/>
              </w:rPr>
            </w:pPr>
          </w:p>
          <w:p>
            <w:pPr>
              <w:pStyle w:val="TableParagraph"/>
              <w:ind w:left="156" w:right="155"/>
              <w:rPr>
                <w:sz w:val="18"/>
              </w:rPr>
            </w:pPr>
            <w:r>
              <w:rPr>
                <w:sz w:val="18"/>
              </w:rPr>
              <w:t>$0.00</w:t>
            </w:r>
          </w:p>
        </w:tc>
        <w:tc>
          <w:tcPr>
            <w:tcW w:w="1702" w:type="dxa"/>
          </w:tcPr>
          <w:p>
            <w:pPr>
              <w:pStyle w:val="TableParagraph"/>
              <w:spacing w:before="9"/>
              <w:jc w:val="left"/>
              <w:rPr>
                <w:rFonts w:ascii="Times New Roman"/>
                <w:sz w:val="26"/>
              </w:rPr>
            </w:pPr>
          </w:p>
          <w:p>
            <w:pPr>
              <w:pStyle w:val="TableParagraph"/>
              <w:ind w:left="76" w:right="72"/>
              <w:rPr>
                <w:sz w:val="18"/>
              </w:rPr>
            </w:pPr>
            <w:r>
              <w:rPr>
                <w:sz w:val="18"/>
              </w:rPr>
              <w:t>$0.00</w:t>
            </w:r>
          </w:p>
        </w:tc>
        <w:tc>
          <w:tcPr>
            <w:tcW w:w="2002" w:type="dxa"/>
          </w:tcPr>
          <w:p>
            <w:pPr>
              <w:pStyle w:val="TableParagraph"/>
              <w:spacing w:before="9"/>
              <w:jc w:val="left"/>
              <w:rPr>
                <w:rFonts w:ascii="Times New Roman"/>
                <w:sz w:val="26"/>
              </w:rPr>
            </w:pPr>
          </w:p>
          <w:p>
            <w:pPr>
              <w:pStyle w:val="TableParagraph"/>
              <w:ind w:left="301" w:right="299"/>
              <w:rPr>
                <w:sz w:val="18"/>
              </w:rPr>
            </w:pPr>
            <w:r>
              <w:rPr>
                <w:sz w:val="18"/>
              </w:rPr>
              <w:t>$677,205,997.00</w:t>
            </w:r>
          </w:p>
        </w:tc>
      </w:tr>
      <w:tr>
        <w:trPr>
          <w:trHeight w:val="631" w:hRule="exact"/>
        </w:trPr>
        <w:tc>
          <w:tcPr>
            <w:tcW w:w="1035" w:type="dxa"/>
            <w:tcBorders>
              <w:right w:val="nil"/>
            </w:tcBorders>
          </w:tcPr>
          <w:p>
            <w:pPr>
              <w:pStyle w:val="TableParagraph"/>
              <w:spacing w:line="360" w:lineRule="auto"/>
              <w:ind w:left="67"/>
              <w:jc w:val="left"/>
              <w:rPr>
                <w:b/>
                <w:sz w:val="18"/>
              </w:rPr>
            </w:pPr>
            <w:r>
              <w:rPr>
                <w:b/>
                <w:sz w:val="18"/>
              </w:rPr>
              <w:t>VILLA ALLENDE</w:t>
            </w:r>
          </w:p>
        </w:tc>
        <w:tc>
          <w:tcPr>
            <w:tcW w:w="544" w:type="dxa"/>
            <w:tcBorders>
              <w:left w:val="nil"/>
            </w:tcBorders>
          </w:tcPr>
          <w:p>
            <w:pPr>
              <w:pStyle w:val="TableParagraph"/>
              <w:spacing w:line="201" w:lineRule="exact"/>
              <w:ind w:left="202" w:right="43"/>
              <w:rPr>
                <w:b/>
                <w:sz w:val="18"/>
              </w:rPr>
            </w:pPr>
            <w:r>
              <w:rPr>
                <w:b/>
                <w:sz w:val="18"/>
              </w:rPr>
              <w:t>DE</w:t>
            </w:r>
          </w:p>
        </w:tc>
        <w:tc>
          <w:tcPr>
            <w:tcW w:w="1294" w:type="dxa"/>
          </w:tcPr>
          <w:p>
            <w:pPr>
              <w:pStyle w:val="TableParagraph"/>
              <w:spacing w:before="155"/>
              <w:ind w:left="47" w:right="44"/>
              <w:rPr>
                <w:sz w:val="18"/>
              </w:rPr>
            </w:pPr>
            <w:r>
              <w:rPr>
                <w:sz w:val="18"/>
              </w:rPr>
              <w:t>$0.00</w:t>
            </w:r>
          </w:p>
        </w:tc>
        <w:tc>
          <w:tcPr>
            <w:tcW w:w="1560" w:type="dxa"/>
          </w:tcPr>
          <w:p>
            <w:pPr>
              <w:pStyle w:val="TableParagraph"/>
              <w:spacing w:before="155"/>
              <w:ind w:left="549"/>
              <w:jc w:val="left"/>
              <w:rPr>
                <w:sz w:val="18"/>
              </w:rPr>
            </w:pPr>
            <w:r>
              <w:rPr>
                <w:sz w:val="18"/>
              </w:rPr>
              <w:t>$0.00</w:t>
            </w:r>
          </w:p>
        </w:tc>
        <w:tc>
          <w:tcPr>
            <w:tcW w:w="1702" w:type="dxa"/>
          </w:tcPr>
          <w:p>
            <w:pPr>
              <w:pStyle w:val="TableParagraph"/>
              <w:spacing w:before="155"/>
              <w:ind w:right="616"/>
              <w:jc w:val="right"/>
              <w:rPr>
                <w:sz w:val="18"/>
              </w:rPr>
            </w:pPr>
            <w:r>
              <w:rPr>
                <w:w w:val="95"/>
                <w:sz w:val="18"/>
              </w:rPr>
              <w:t>$0.00</w:t>
            </w:r>
          </w:p>
        </w:tc>
        <w:tc>
          <w:tcPr>
            <w:tcW w:w="1524" w:type="dxa"/>
          </w:tcPr>
          <w:p>
            <w:pPr>
              <w:pStyle w:val="TableParagraph"/>
              <w:spacing w:before="155"/>
              <w:ind w:right="529"/>
              <w:jc w:val="right"/>
              <w:rPr>
                <w:sz w:val="18"/>
              </w:rPr>
            </w:pPr>
            <w:r>
              <w:rPr>
                <w:w w:val="95"/>
                <w:sz w:val="18"/>
              </w:rPr>
              <w:t>$0.00</w:t>
            </w:r>
          </w:p>
        </w:tc>
        <w:tc>
          <w:tcPr>
            <w:tcW w:w="1644" w:type="dxa"/>
          </w:tcPr>
          <w:p>
            <w:pPr>
              <w:pStyle w:val="TableParagraph"/>
              <w:spacing w:before="155"/>
              <w:ind w:left="47" w:right="44"/>
              <w:rPr>
                <w:sz w:val="18"/>
              </w:rPr>
            </w:pPr>
            <w:r>
              <w:rPr>
                <w:sz w:val="18"/>
              </w:rPr>
              <w:t>$0.00</w:t>
            </w:r>
          </w:p>
        </w:tc>
        <w:tc>
          <w:tcPr>
            <w:tcW w:w="1613" w:type="dxa"/>
          </w:tcPr>
          <w:p>
            <w:pPr>
              <w:pStyle w:val="TableParagraph"/>
              <w:spacing w:before="155"/>
              <w:ind w:left="156" w:right="155"/>
              <w:rPr>
                <w:sz w:val="18"/>
              </w:rPr>
            </w:pPr>
            <w:r>
              <w:rPr>
                <w:sz w:val="18"/>
              </w:rPr>
              <w:t>$0.00</w:t>
            </w:r>
          </w:p>
        </w:tc>
        <w:tc>
          <w:tcPr>
            <w:tcW w:w="1702" w:type="dxa"/>
          </w:tcPr>
          <w:p>
            <w:pPr>
              <w:pStyle w:val="TableParagraph"/>
              <w:spacing w:before="155"/>
              <w:ind w:left="76" w:right="72"/>
              <w:rPr>
                <w:sz w:val="18"/>
              </w:rPr>
            </w:pPr>
            <w:r>
              <w:rPr>
                <w:sz w:val="18"/>
              </w:rPr>
              <w:t>$0.00</w:t>
            </w:r>
          </w:p>
        </w:tc>
        <w:tc>
          <w:tcPr>
            <w:tcW w:w="2002" w:type="dxa"/>
          </w:tcPr>
          <w:p>
            <w:pPr>
              <w:pStyle w:val="TableParagraph"/>
              <w:spacing w:before="155"/>
              <w:ind w:left="301" w:right="296"/>
              <w:rPr>
                <w:sz w:val="18"/>
              </w:rPr>
            </w:pPr>
            <w:r>
              <w:rPr>
                <w:sz w:val="18"/>
              </w:rPr>
              <w:t>$0.00</w:t>
            </w:r>
          </w:p>
        </w:tc>
      </w:tr>
      <w:tr>
        <w:trPr>
          <w:trHeight w:val="631" w:hRule="exact"/>
        </w:trPr>
        <w:tc>
          <w:tcPr>
            <w:tcW w:w="1035" w:type="dxa"/>
            <w:tcBorders>
              <w:right w:val="nil"/>
            </w:tcBorders>
          </w:tcPr>
          <w:p>
            <w:pPr>
              <w:pStyle w:val="TableParagraph"/>
              <w:spacing w:line="360" w:lineRule="auto"/>
              <w:ind w:left="67" w:right="153"/>
              <w:jc w:val="left"/>
              <w:rPr>
                <w:b/>
                <w:sz w:val="18"/>
              </w:rPr>
            </w:pPr>
            <w:r>
              <w:rPr>
                <w:b/>
                <w:sz w:val="18"/>
              </w:rPr>
              <w:t>VILLA CARBON</w:t>
            </w:r>
          </w:p>
        </w:tc>
        <w:tc>
          <w:tcPr>
            <w:tcW w:w="544" w:type="dxa"/>
            <w:tcBorders>
              <w:left w:val="nil"/>
            </w:tcBorders>
          </w:tcPr>
          <w:p>
            <w:pPr>
              <w:pStyle w:val="TableParagraph"/>
              <w:spacing w:line="201" w:lineRule="exact"/>
              <w:ind w:left="96" w:right="43"/>
              <w:rPr>
                <w:b/>
                <w:sz w:val="18"/>
              </w:rPr>
            </w:pPr>
            <w:r>
              <w:rPr>
                <w:b/>
                <w:sz w:val="18"/>
              </w:rPr>
              <w:t>DEL</w:t>
            </w:r>
          </w:p>
        </w:tc>
        <w:tc>
          <w:tcPr>
            <w:tcW w:w="1294" w:type="dxa"/>
          </w:tcPr>
          <w:p>
            <w:pPr>
              <w:pStyle w:val="TableParagraph"/>
              <w:spacing w:before="155"/>
              <w:ind w:left="47" w:right="44"/>
              <w:rPr>
                <w:sz w:val="18"/>
              </w:rPr>
            </w:pPr>
            <w:r>
              <w:rPr>
                <w:sz w:val="18"/>
              </w:rPr>
              <w:t>$0.00</w:t>
            </w:r>
          </w:p>
        </w:tc>
        <w:tc>
          <w:tcPr>
            <w:tcW w:w="1560" w:type="dxa"/>
          </w:tcPr>
          <w:p>
            <w:pPr>
              <w:pStyle w:val="TableParagraph"/>
              <w:spacing w:before="155"/>
              <w:ind w:left="549"/>
              <w:jc w:val="left"/>
              <w:rPr>
                <w:sz w:val="18"/>
              </w:rPr>
            </w:pPr>
            <w:r>
              <w:rPr>
                <w:sz w:val="18"/>
              </w:rPr>
              <w:t>$0.00</w:t>
            </w:r>
          </w:p>
        </w:tc>
        <w:tc>
          <w:tcPr>
            <w:tcW w:w="1702" w:type="dxa"/>
          </w:tcPr>
          <w:p>
            <w:pPr>
              <w:pStyle w:val="TableParagraph"/>
              <w:spacing w:before="155"/>
              <w:ind w:right="616"/>
              <w:jc w:val="right"/>
              <w:rPr>
                <w:sz w:val="18"/>
              </w:rPr>
            </w:pPr>
            <w:r>
              <w:rPr>
                <w:w w:val="95"/>
                <w:sz w:val="18"/>
              </w:rPr>
              <w:t>$0.00</w:t>
            </w:r>
          </w:p>
        </w:tc>
        <w:tc>
          <w:tcPr>
            <w:tcW w:w="1524" w:type="dxa"/>
          </w:tcPr>
          <w:p>
            <w:pPr>
              <w:pStyle w:val="TableParagraph"/>
              <w:spacing w:before="155"/>
              <w:ind w:right="529"/>
              <w:jc w:val="right"/>
              <w:rPr>
                <w:sz w:val="18"/>
              </w:rPr>
            </w:pPr>
            <w:r>
              <w:rPr>
                <w:w w:val="95"/>
                <w:sz w:val="18"/>
              </w:rPr>
              <w:t>$0.00</w:t>
            </w:r>
          </w:p>
        </w:tc>
        <w:tc>
          <w:tcPr>
            <w:tcW w:w="1644" w:type="dxa"/>
          </w:tcPr>
          <w:p>
            <w:pPr>
              <w:pStyle w:val="TableParagraph"/>
              <w:spacing w:before="155"/>
              <w:ind w:left="47" w:right="44"/>
              <w:rPr>
                <w:sz w:val="18"/>
              </w:rPr>
            </w:pPr>
            <w:r>
              <w:rPr>
                <w:sz w:val="18"/>
              </w:rPr>
              <w:t>$0.00</w:t>
            </w:r>
          </w:p>
        </w:tc>
        <w:tc>
          <w:tcPr>
            <w:tcW w:w="1613" w:type="dxa"/>
          </w:tcPr>
          <w:p>
            <w:pPr>
              <w:pStyle w:val="TableParagraph"/>
              <w:spacing w:before="155"/>
              <w:ind w:left="156" w:right="155"/>
              <w:rPr>
                <w:sz w:val="18"/>
              </w:rPr>
            </w:pPr>
            <w:r>
              <w:rPr>
                <w:sz w:val="18"/>
              </w:rPr>
              <w:t>$0.00</w:t>
            </w:r>
          </w:p>
        </w:tc>
        <w:tc>
          <w:tcPr>
            <w:tcW w:w="1702" w:type="dxa"/>
          </w:tcPr>
          <w:p>
            <w:pPr>
              <w:pStyle w:val="TableParagraph"/>
              <w:spacing w:before="155"/>
              <w:ind w:left="76" w:right="72"/>
              <w:rPr>
                <w:sz w:val="18"/>
              </w:rPr>
            </w:pPr>
            <w:r>
              <w:rPr>
                <w:sz w:val="18"/>
              </w:rPr>
              <w:t>$0.00</w:t>
            </w:r>
          </w:p>
        </w:tc>
        <w:tc>
          <w:tcPr>
            <w:tcW w:w="2002" w:type="dxa"/>
          </w:tcPr>
          <w:p>
            <w:pPr>
              <w:pStyle w:val="TableParagraph"/>
              <w:spacing w:before="155"/>
              <w:ind w:left="301" w:right="296"/>
              <w:rPr>
                <w:sz w:val="18"/>
              </w:rPr>
            </w:pPr>
            <w:r>
              <w:rPr>
                <w:sz w:val="18"/>
              </w:rPr>
              <w:t>$0.00</w:t>
            </w:r>
          </w:p>
        </w:tc>
      </w:tr>
      <w:tr>
        <w:trPr>
          <w:trHeight w:val="632" w:hRule="exact"/>
        </w:trPr>
        <w:tc>
          <w:tcPr>
            <w:tcW w:w="1580" w:type="dxa"/>
            <w:gridSpan w:val="2"/>
          </w:tcPr>
          <w:p>
            <w:pPr>
              <w:pStyle w:val="TableParagraph"/>
              <w:spacing w:line="360" w:lineRule="auto"/>
              <w:ind w:left="67" w:right="43"/>
              <w:jc w:val="left"/>
              <w:rPr>
                <w:b/>
                <w:sz w:val="18"/>
              </w:rPr>
            </w:pPr>
            <w:r>
              <w:rPr>
                <w:b/>
                <w:sz w:val="18"/>
              </w:rPr>
              <w:t>VILLA GUERRERO</w:t>
            </w:r>
          </w:p>
        </w:tc>
        <w:tc>
          <w:tcPr>
            <w:tcW w:w="1294" w:type="dxa"/>
          </w:tcPr>
          <w:p>
            <w:pPr>
              <w:pStyle w:val="TableParagraph"/>
              <w:spacing w:before="155"/>
              <w:ind w:left="47" w:right="44"/>
              <w:rPr>
                <w:sz w:val="18"/>
              </w:rPr>
            </w:pPr>
            <w:r>
              <w:rPr>
                <w:sz w:val="18"/>
              </w:rPr>
              <w:t>$0.00</w:t>
            </w:r>
          </w:p>
        </w:tc>
        <w:tc>
          <w:tcPr>
            <w:tcW w:w="1560" w:type="dxa"/>
          </w:tcPr>
          <w:p>
            <w:pPr>
              <w:pStyle w:val="TableParagraph"/>
              <w:spacing w:before="155"/>
              <w:ind w:left="549"/>
              <w:jc w:val="left"/>
              <w:rPr>
                <w:sz w:val="18"/>
              </w:rPr>
            </w:pPr>
            <w:r>
              <w:rPr>
                <w:sz w:val="18"/>
              </w:rPr>
              <w:t>$0.00</w:t>
            </w:r>
          </w:p>
        </w:tc>
        <w:tc>
          <w:tcPr>
            <w:tcW w:w="1702" w:type="dxa"/>
          </w:tcPr>
          <w:p>
            <w:pPr>
              <w:pStyle w:val="TableParagraph"/>
              <w:spacing w:before="155"/>
              <w:ind w:right="616"/>
              <w:jc w:val="right"/>
              <w:rPr>
                <w:sz w:val="18"/>
              </w:rPr>
            </w:pPr>
            <w:r>
              <w:rPr>
                <w:w w:val="95"/>
                <w:sz w:val="18"/>
              </w:rPr>
              <w:t>$0.00</w:t>
            </w:r>
          </w:p>
        </w:tc>
        <w:tc>
          <w:tcPr>
            <w:tcW w:w="1524" w:type="dxa"/>
          </w:tcPr>
          <w:p>
            <w:pPr>
              <w:pStyle w:val="TableParagraph"/>
              <w:spacing w:before="155"/>
              <w:ind w:right="529"/>
              <w:jc w:val="right"/>
              <w:rPr>
                <w:sz w:val="18"/>
              </w:rPr>
            </w:pPr>
            <w:r>
              <w:rPr>
                <w:w w:val="95"/>
                <w:sz w:val="18"/>
              </w:rPr>
              <w:t>$0.00</w:t>
            </w:r>
          </w:p>
        </w:tc>
        <w:tc>
          <w:tcPr>
            <w:tcW w:w="1644" w:type="dxa"/>
          </w:tcPr>
          <w:p>
            <w:pPr>
              <w:pStyle w:val="TableParagraph"/>
              <w:spacing w:before="155"/>
              <w:ind w:left="45" w:right="45"/>
              <w:rPr>
                <w:sz w:val="18"/>
              </w:rPr>
            </w:pPr>
            <w:r>
              <w:rPr>
                <w:sz w:val="18"/>
              </w:rPr>
              <w:t>$181,355,382.00</w:t>
            </w:r>
          </w:p>
        </w:tc>
        <w:tc>
          <w:tcPr>
            <w:tcW w:w="1613" w:type="dxa"/>
          </w:tcPr>
          <w:p>
            <w:pPr>
              <w:pStyle w:val="TableParagraph"/>
              <w:spacing w:before="155"/>
              <w:ind w:left="157" w:right="155"/>
              <w:rPr>
                <w:sz w:val="18"/>
              </w:rPr>
            </w:pPr>
            <w:r>
              <w:rPr>
                <w:sz w:val="18"/>
              </w:rPr>
              <w:t>$16,979,751.28</w:t>
            </w:r>
          </w:p>
        </w:tc>
        <w:tc>
          <w:tcPr>
            <w:tcW w:w="1702" w:type="dxa"/>
          </w:tcPr>
          <w:p>
            <w:pPr>
              <w:pStyle w:val="TableParagraph"/>
              <w:spacing w:before="155"/>
              <w:ind w:left="74" w:right="74"/>
              <w:rPr>
                <w:sz w:val="18"/>
              </w:rPr>
            </w:pPr>
            <w:r>
              <w:rPr>
                <w:sz w:val="18"/>
              </w:rPr>
              <w:t>$176,897,369.31</w:t>
            </w:r>
          </w:p>
        </w:tc>
        <w:tc>
          <w:tcPr>
            <w:tcW w:w="2002" w:type="dxa"/>
          </w:tcPr>
          <w:p>
            <w:pPr>
              <w:pStyle w:val="TableParagraph"/>
              <w:spacing w:before="155"/>
              <w:ind w:left="301" w:right="297"/>
              <w:rPr>
                <w:sz w:val="18"/>
              </w:rPr>
            </w:pPr>
            <w:r>
              <w:rPr>
                <w:sz w:val="18"/>
              </w:rPr>
              <w:t>$21,437,763.97</w:t>
            </w:r>
          </w:p>
        </w:tc>
      </w:tr>
      <w:tr>
        <w:trPr>
          <w:trHeight w:val="458" w:hRule="exact"/>
        </w:trPr>
        <w:tc>
          <w:tcPr>
            <w:tcW w:w="1580" w:type="dxa"/>
            <w:gridSpan w:val="2"/>
          </w:tcPr>
          <w:p>
            <w:pPr>
              <w:pStyle w:val="TableParagraph"/>
              <w:spacing w:before="64"/>
              <w:ind w:left="67"/>
              <w:jc w:val="left"/>
              <w:rPr>
                <w:b/>
                <w:sz w:val="18"/>
              </w:rPr>
            </w:pPr>
            <w:r>
              <w:rPr>
                <w:b/>
                <w:sz w:val="18"/>
              </w:rPr>
              <w:t>VILLA VICTORIA</w:t>
            </w:r>
          </w:p>
        </w:tc>
        <w:tc>
          <w:tcPr>
            <w:tcW w:w="1294" w:type="dxa"/>
          </w:tcPr>
          <w:p>
            <w:pPr>
              <w:pStyle w:val="TableParagraph"/>
              <w:spacing w:before="68"/>
              <w:ind w:left="47" w:right="44"/>
              <w:rPr>
                <w:sz w:val="18"/>
              </w:rPr>
            </w:pPr>
            <w:r>
              <w:rPr>
                <w:sz w:val="18"/>
              </w:rPr>
              <w:t>$0.00</w:t>
            </w:r>
          </w:p>
        </w:tc>
        <w:tc>
          <w:tcPr>
            <w:tcW w:w="1560" w:type="dxa"/>
          </w:tcPr>
          <w:p>
            <w:pPr>
              <w:pStyle w:val="TableParagraph"/>
              <w:spacing w:before="68"/>
              <w:ind w:left="549"/>
              <w:jc w:val="left"/>
              <w:rPr>
                <w:sz w:val="18"/>
              </w:rPr>
            </w:pPr>
            <w:r>
              <w:rPr>
                <w:sz w:val="18"/>
              </w:rPr>
              <w:t>$0.00</w:t>
            </w:r>
          </w:p>
        </w:tc>
        <w:tc>
          <w:tcPr>
            <w:tcW w:w="1702" w:type="dxa"/>
          </w:tcPr>
          <w:p>
            <w:pPr>
              <w:pStyle w:val="TableParagraph"/>
              <w:spacing w:before="68"/>
              <w:ind w:right="616"/>
              <w:jc w:val="right"/>
              <w:rPr>
                <w:sz w:val="18"/>
              </w:rPr>
            </w:pPr>
            <w:r>
              <w:rPr>
                <w:w w:val="95"/>
                <w:sz w:val="18"/>
              </w:rPr>
              <w:t>$0.00</w:t>
            </w:r>
          </w:p>
        </w:tc>
        <w:tc>
          <w:tcPr>
            <w:tcW w:w="1524" w:type="dxa"/>
          </w:tcPr>
          <w:p>
            <w:pPr>
              <w:pStyle w:val="TableParagraph"/>
              <w:spacing w:before="68"/>
              <w:ind w:right="529"/>
              <w:jc w:val="right"/>
              <w:rPr>
                <w:sz w:val="18"/>
              </w:rPr>
            </w:pPr>
            <w:r>
              <w:rPr>
                <w:w w:val="95"/>
                <w:sz w:val="18"/>
              </w:rPr>
              <w:t>$0.00</w:t>
            </w:r>
          </w:p>
        </w:tc>
        <w:tc>
          <w:tcPr>
            <w:tcW w:w="1644" w:type="dxa"/>
          </w:tcPr>
          <w:p>
            <w:pPr>
              <w:pStyle w:val="TableParagraph"/>
              <w:spacing w:before="68"/>
              <w:ind w:left="45" w:right="45"/>
              <w:rPr>
                <w:sz w:val="18"/>
              </w:rPr>
            </w:pPr>
            <w:r>
              <w:rPr>
                <w:sz w:val="18"/>
              </w:rPr>
              <w:t>$242,059,339.00</w:t>
            </w:r>
          </w:p>
        </w:tc>
        <w:tc>
          <w:tcPr>
            <w:tcW w:w="1613" w:type="dxa"/>
          </w:tcPr>
          <w:p>
            <w:pPr>
              <w:pStyle w:val="TableParagraph"/>
              <w:spacing w:before="68"/>
              <w:ind w:left="156" w:right="155"/>
              <w:rPr>
                <w:sz w:val="18"/>
              </w:rPr>
            </w:pPr>
            <w:r>
              <w:rPr>
                <w:sz w:val="18"/>
              </w:rPr>
              <w:t>$0.00</w:t>
            </w:r>
          </w:p>
        </w:tc>
        <w:tc>
          <w:tcPr>
            <w:tcW w:w="1702" w:type="dxa"/>
          </w:tcPr>
          <w:p>
            <w:pPr>
              <w:pStyle w:val="TableParagraph"/>
              <w:spacing w:before="68"/>
              <w:ind w:left="76" w:right="72"/>
              <w:rPr>
                <w:sz w:val="18"/>
              </w:rPr>
            </w:pPr>
            <w:r>
              <w:rPr>
                <w:sz w:val="18"/>
              </w:rPr>
              <w:t>$0.00</w:t>
            </w:r>
          </w:p>
        </w:tc>
        <w:tc>
          <w:tcPr>
            <w:tcW w:w="2002" w:type="dxa"/>
          </w:tcPr>
          <w:p>
            <w:pPr>
              <w:pStyle w:val="TableParagraph"/>
              <w:spacing w:before="68"/>
              <w:ind w:left="301" w:right="299"/>
              <w:rPr>
                <w:sz w:val="18"/>
              </w:rPr>
            </w:pPr>
            <w:r>
              <w:rPr>
                <w:sz w:val="18"/>
              </w:rPr>
              <w:t>$242,059,339.00</w:t>
            </w:r>
          </w:p>
        </w:tc>
      </w:tr>
    </w:tbl>
    <w:p>
      <w:pPr>
        <w:spacing w:after="0"/>
        <w:rPr>
          <w:sz w:val="18"/>
        </w:rPr>
        <w:sectPr>
          <w:pgSz w:w="15840" w:h="12240" w:orient="landscape"/>
          <w:pgMar w:header="0" w:footer="975" w:top="1140" w:bottom="1160" w:left="500" w:right="500"/>
        </w:sectPr>
      </w:pPr>
    </w:p>
    <w:p>
      <w:pPr>
        <w:pStyle w:val="BodyText"/>
        <w:rPr>
          <w:rFonts w:ascii="Times New Roman"/>
          <w:sz w:val="20"/>
        </w:rPr>
      </w:pPr>
    </w:p>
    <w:p>
      <w:pPr>
        <w:pStyle w:val="BodyText"/>
        <w:spacing w:before="10"/>
        <w:rPr>
          <w:rFonts w:ascii="Times New Roman"/>
          <w:sz w:val="28"/>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80"/>
        <w:gridCol w:w="1294"/>
        <w:gridCol w:w="1560"/>
        <w:gridCol w:w="1702"/>
        <w:gridCol w:w="1524"/>
        <w:gridCol w:w="1644"/>
        <w:gridCol w:w="1613"/>
        <w:gridCol w:w="1702"/>
        <w:gridCol w:w="2002"/>
      </w:tblGrid>
      <w:tr>
        <w:trPr>
          <w:trHeight w:val="319" w:hRule="exact"/>
        </w:trPr>
        <w:tc>
          <w:tcPr>
            <w:tcW w:w="14620" w:type="dxa"/>
            <w:gridSpan w:val="9"/>
            <w:shd w:val="clear" w:color="auto" w:fill="C5DFB3"/>
          </w:tcPr>
          <w:p>
            <w:pPr>
              <w:pStyle w:val="TableParagraph"/>
              <w:spacing w:line="201" w:lineRule="exact"/>
              <w:ind w:left="3665"/>
              <w:jc w:val="left"/>
              <w:rPr>
                <w:b/>
                <w:sz w:val="18"/>
              </w:rPr>
            </w:pPr>
            <w:r>
              <w:rPr>
                <w:b/>
                <w:sz w:val="18"/>
              </w:rPr>
              <w:t>Anexo 24B. Municipios que publican apartado presupuesto 2010-2011 (Finaliza tabla)</w:t>
            </w:r>
          </w:p>
        </w:tc>
      </w:tr>
      <w:tr>
        <w:trPr>
          <w:trHeight w:val="322" w:hRule="exact"/>
        </w:trPr>
        <w:tc>
          <w:tcPr>
            <w:tcW w:w="1580"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113"/>
              <w:ind w:left="367" w:right="43"/>
              <w:jc w:val="left"/>
              <w:rPr>
                <w:b/>
                <w:sz w:val="18"/>
              </w:rPr>
            </w:pPr>
            <w:r>
              <w:rPr>
                <w:b/>
                <w:sz w:val="18"/>
              </w:rPr>
              <w:t>Municipio</w:t>
            </w:r>
          </w:p>
        </w:tc>
        <w:tc>
          <w:tcPr>
            <w:tcW w:w="6080" w:type="dxa"/>
            <w:gridSpan w:val="4"/>
            <w:shd w:val="clear" w:color="auto" w:fill="C5DFB3"/>
          </w:tcPr>
          <w:p>
            <w:pPr>
              <w:pStyle w:val="TableParagraph"/>
              <w:spacing w:line="201" w:lineRule="exact"/>
              <w:ind w:left="2596" w:right="2593"/>
              <w:rPr>
                <w:b/>
                <w:sz w:val="18"/>
              </w:rPr>
            </w:pPr>
            <w:r>
              <w:rPr>
                <w:b/>
                <w:sz w:val="18"/>
              </w:rPr>
              <w:t>Municipio</w:t>
            </w:r>
          </w:p>
        </w:tc>
        <w:tc>
          <w:tcPr>
            <w:tcW w:w="6961" w:type="dxa"/>
            <w:gridSpan w:val="4"/>
            <w:shd w:val="clear" w:color="auto" w:fill="C5DFB3"/>
          </w:tcPr>
          <w:p>
            <w:pPr>
              <w:pStyle w:val="TableParagraph"/>
              <w:spacing w:line="201" w:lineRule="exact"/>
              <w:ind w:left="3038" w:right="3033"/>
              <w:rPr>
                <w:b/>
                <w:sz w:val="18"/>
              </w:rPr>
            </w:pPr>
            <w:r>
              <w:rPr>
                <w:b/>
                <w:sz w:val="18"/>
              </w:rPr>
              <w:t>Municipio</w:t>
            </w:r>
          </w:p>
        </w:tc>
      </w:tr>
      <w:tr>
        <w:trPr>
          <w:trHeight w:val="1063" w:hRule="exact"/>
        </w:trPr>
        <w:tc>
          <w:tcPr>
            <w:tcW w:w="1580" w:type="dxa"/>
            <w:vMerge/>
            <w:shd w:val="clear" w:color="auto" w:fill="C5DFB3"/>
          </w:tcPr>
          <w:p>
            <w:pPr/>
          </w:p>
        </w:tc>
        <w:tc>
          <w:tcPr>
            <w:tcW w:w="1294" w:type="dxa"/>
            <w:shd w:val="clear" w:color="auto" w:fill="C5DFB3"/>
            <w:textDirection w:val="btLr"/>
          </w:tcPr>
          <w:p>
            <w:pPr>
              <w:pStyle w:val="TableParagraph"/>
              <w:jc w:val="left"/>
              <w:rPr>
                <w:rFonts w:ascii="Times New Roman"/>
                <w:sz w:val="18"/>
              </w:rPr>
            </w:pPr>
          </w:p>
          <w:p>
            <w:pPr>
              <w:pStyle w:val="TableParagraph"/>
              <w:spacing w:before="10"/>
              <w:jc w:val="left"/>
              <w:rPr>
                <w:rFonts w:ascii="Times New Roman"/>
                <w:sz w:val="23"/>
              </w:rPr>
            </w:pPr>
          </w:p>
          <w:p>
            <w:pPr>
              <w:pStyle w:val="TableParagraph"/>
              <w:ind w:left="55"/>
              <w:jc w:val="left"/>
              <w:rPr>
                <w:b/>
                <w:sz w:val="18"/>
              </w:rPr>
            </w:pPr>
            <w:r>
              <w:rPr>
                <w:b/>
                <w:w w:val="100"/>
                <w:sz w:val="18"/>
              </w:rPr>
              <w:t>Autoriz</w:t>
            </w:r>
            <w:r>
              <w:rPr>
                <w:b/>
                <w:w w:val="99"/>
                <w:sz w:val="18"/>
              </w:rPr>
              <w:t>a</w:t>
            </w:r>
            <w:r>
              <w:rPr>
                <w:b/>
                <w:w w:val="100"/>
                <w:sz w:val="18"/>
              </w:rPr>
              <w:t>do</w:t>
            </w:r>
          </w:p>
        </w:tc>
        <w:tc>
          <w:tcPr>
            <w:tcW w:w="1560"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6"/>
              <w:jc w:val="left"/>
              <w:rPr>
                <w:rFonts w:ascii="Times New Roman"/>
                <w:sz w:val="17"/>
              </w:rPr>
            </w:pPr>
          </w:p>
          <w:p>
            <w:pPr>
              <w:pStyle w:val="TableParagraph"/>
              <w:ind w:left="50"/>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70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7"/>
              <w:jc w:val="left"/>
              <w:rPr>
                <w:rFonts w:ascii="Times New Roman"/>
                <w:sz w:val="23"/>
              </w:rPr>
            </w:pPr>
          </w:p>
          <w:p>
            <w:pPr>
              <w:pStyle w:val="TableParagraph"/>
              <w:ind w:left="170"/>
              <w:jc w:val="left"/>
              <w:rPr>
                <w:b/>
                <w:sz w:val="18"/>
              </w:rPr>
            </w:pPr>
            <w:r>
              <w:rPr>
                <w:b/>
                <w:w w:val="100"/>
                <w:sz w:val="18"/>
              </w:rPr>
              <w:t>Eje</w:t>
            </w:r>
            <w:r>
              <w:rPr>
                <w:b/>
                <w:w w:val="99"/>
                <w:sz w:val="18"/>
              </w:rPr>
              <w:t>rci</w:t>
            </w:r>
            <w:r>
              <w:rPr>
                <w:b/>
                <w:w w:val="100"/>
                <w:sz w:val="18"/>
              </w:rPr>
              <w:t>do</w:t>
            </w:r>
          </w:p>
        </w:tc>
        <w:tc>
          <w:tcPr>
            <w:tcW w:w="152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15"/>
              </w:rPr>
            </w:pPr>
          </w:p>
          <w:p>
            <w:pPr>
              <w:pStyle w:val="TableParagraph"/>
              <w:ind w:left="55"/>
              <w:jc w:val="left"/>
              <w:rPr>
                <w:b/>
                <w:sz w:val="18"/>
              </w:rPr>
            </w:pPr>
            <w:r>
              <w:rPr>
                <w:b/>
                <w:sz w:val="18"/>
              </w:rPr>
              <w:t>Por </w:t>
            </w:r>
            <w:r>
              <w:rPr>
                <w:b/>
                <w:w w:val="99"/>
                <w:sz w:val="18"/>
              </w:rPr>
              <w:t>e</w:t>
            </w:r>
            <w:r>
              <w:rPr>
                <w:b/>
                <w:w w:val="100"/>
                <w:sz w:val="18"/>
              </w:rPr>
              <w:t>je</w:t>
            </w:r>
            <w:r>
              <w:rPr>
                <w:b/>
                <w:w w:val="99"/>
                <w:sz w:val="18"/>
              </w:rPr>
              <w:t>rcer</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
              <w:jc w:val="left"/>
              <w:rPr>
                <w:rFonts w:ascii="Times New Roman"/>
                <w:sz w:val="21"/>
              </w:rPr>
            </w:pPr>
          </w:p>
          <w:p>
            <w:pPr>
              <w:pStyle w:val="TableParagraph"/>
              <w:ind w:left="55"/>
              <w:jc w:val="left"/>
              <w:rPr>
                <w:b/>
                <w:sz w:val="18"/>
              </w:rPr>
            </w:pPr>
            <w:r>
              <w:rPr>
                <w:b/>
                <w:w w:val="100"/>
                <w:sz w:val="18"/>
              </w:rPr>
              <w:t>Autori</w:t>
            </w:r>
            <w:r>
              <w:rPr>
                <w:b/>
                <w:spacing w:val="1"/>
                <w:w w:val="100"/>
                <w:sz w:val="18"/>
              </w:rPr>
              <w:t>z</w:t>
            </w:r>
            <w:r>
              <w:rPr>
                <w:b/>
                <w:w w:val="99"/>
                <w:sz w:val="18"/>
              </w:rPr>
              <w:t>a</w:t>
            </w:r>
            <w:r>
              <w:rPr>
                <w:b/>
                <w:w w:val="100"/>
                <w:sz w:val="18"/>
              </w:rPr>
              <w:t>do</w:t>
            </w:r>
          </w:p>
        </w:tc>
        <w:tc>
          <w:tcPr>
            <w:tcW w:w="1613"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9"/>
              <w:jc w:val="left"/>
              <w:rPr>
                <w:rFonts w:ascii="Times New Roman"/>
                <w:sz w:val="19"/>
              </w:rPr>
            </w:pPr>
          </w:p>
          <w:p>
            <w:pPr>
              <w:pStyle w:val="TableParagraph"/>
              <w:spacing w:before="1"/>
              <w:ind w:left="50"/>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70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3"/>
              </w:rPr>
            </w:pPr>
          </w:p>
          <w:p>
            <w:pPr>
              <w:pStyle w:val="TableParagraph"/>
              <w:ind w:left="170"/>
              <w:jc w:val="left"/>
              <w:rPr>
                <w:b/>
                <w:sz w:val="18"/>
              </w:rPr>
            </w:pPr>
            <w:r>
              <w:rPr>
                <w:b/>
                <w:w w:val="100"/>
                <w:sz w:val="18"/>
              </w:rPr>
              <w:t>Eje</w:t>
            </w:r>
            <w:r>
              <w:rPr>
                <w:b/>
                <w:w w:val="99"/>
                <w:sz w:val="18"/>
              </w:rPr>
              <w:t>rci</w:t>
            </w:r>
            <w:r>
              <w:rPr>
                <w:b/>
                <w:w w:val="100"/>
                <w:sz w:val="18"/>
              </w:rPr>
              <w:t>do</w:t>
            </w:r>
          </w:p>
        </w:tc>
        <w:tc>
          <w:tcPr>
            <w:tcW w:w="200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18"/>
              </w:rPr>
            </w:pPr>
          </w:p>
          <w:p>
            <w:pPr>
              <w:pStyle w:val="TableParagraph"/>
              <w:spacing w:before="1"/>
              <w:ind w:left="55"/>
              <w:jc w:val="left"/>
              <w:rPr>
                <w:b/>
                <w:sz w:val="18"/>
              </w:rPr>
            </w:pPr>
            <w:r>
              <w:rPr>
                <w:b/>
                <w:sz w:val="18"/>
              </w:rPr>
              <w:t>Por </w:t>
            </w:r>
            <w:r>
              <w:rPr>
                <w:b/>
                <w:w w:val="99"/>
                <w:sz w:val="18"/>
              </w:rPr>
              <w:t>e</w:t>
            </w:r>
            <w:r>
              <w:rPr>
                <w:b/>
                <w:w w:val="100"/>
                <w:sz w:val="18"/>
              </w:rPr>
              <w:t>je</w:t>
            </w:r>
            <w:r>
              <w:rPr>
                <w:b/>
                <w:w w:val="99"/>
                <w:sz w:val="18"/>
              </w:rPr>
              <w:t>rcer</w:t>
            </w:r>
          </w:p>
        </w:tc>
      </w:tr>
      <w:tr>
        <w:trPr>
          <w:trHeight w:val="319" w:hRule="exact"/>
        </w:trPr>
        <w:tc>
          <w:tcPr>
            <w:tcW w:w="1580" w:type="dxa"/>
          </w:tcPr>
          <w:p>
            <w:pPr>
              <w:pStyle w:val="TableParagraph"/>
              <w:spacing w:line="201" w:lineRule="exact"/>
              <w:ind w:left="67" w:right="43"/>
              <w:jc w:val="left"/>
              <w:rPr>
                <w:b/>
                <w:sz w:val="18"/>
              </w:rPr>
            </w:pPr>
            <w:r>
              <w:rPr>
                <w:b/>
                <w:color w:val="333333"/>
                <w:sz w:val="18"/>
              </w:rPr>
              <w:t>XALATLACO</w:t>
            </w:r>
          </w:p>
        </w:tc>
        <w:tc>
          <w:tcPr>
            <w:tcW w:w="1294" w:type="dxa"/>
          </w:tcPr>
          <w:p>
            <w:pPr>
              <w:pStyle w:val="TableParagraph"/>
              <w:spacing w:line="206" w:lineRule="exact"/>
              <w:ind w:left="47" w:right="44"/>
              <w:rPr>
                <w:sz w:val="18"/>
              </w:rPr>
            </w:pPr>
            <w:r>
              <w:rPr>
                <w:sz w:val="18"/>
              </w:rPr>
              <w:t>$0.00</w:t>
            </w:r>
          </w:p>
        </w:tc>
        <w:tc>
          <w:tcPr>
            <w:tcW w:w="1560" w:type="dxa"/>
          </w:tcPr>
          <w:p>
            <w:pPr>
              <w:pStyle w:val="TableParagraph"/>
              <w:spacing w:line="206" w:lineRule="exact"/>
              <w:ind w:left="549"/>
              <w:jc w:val="left"/>
              <w:rPr>
                <w:sz w:val="18"/>
              </w:rPr>
            </w:pPr>
            <w:r>
              <w:rPr>
                <w:sz w:val="18"/>
              </w:rPr>
              <w:t>$0.00</w:t>
            </w:r>
          </w:p>
        </w:tc>
        <w:tc>
          <w:tcPr>
            <w:tcW w:w="1702" w:type="dxa"/>
          </w:tcPr>
          <w:p>
            <w:pPr>
              <w:pStyle w:val="TableParagraph"/>
              <w:spacing w:line="206" w:lineRule="exact"/>
              <w:ind w:right="616"/>
              <w:jc w:val="right"/>
              <w:rPr>
                <w:sz w:val="18"/>
              </w:rPr>
            </w:pPr>
            <w:r>
              <w:rPr>
                <w:w w:val="95"/>
                <w:sz w:val="18"/>
              </w:rPr>
              <w:t>$0.00</w:t>
            </w:r>
          </w:p>
        </w:tc>
        <w:tc>
          <w:tcPr>
            <w:tcW w:w="1524" w:type="dxa"/>
          </w:tcPr>
          <w:p>
            <w:pPr>
              <w:pStyle w:val="TableParagraph"/>
              <w:spacing w:line="206" w:lineRule="exact"/>
              <w:ind w:left="161" w:right="162"/>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13" w:type="dxa"/>
          </w:tcPr>
          <w:p>
            <w:pPr>
              <w:pStyle w:val="TableParagraph"/>
              <w:spacing w:line="206" w:lineRule="exact"/>
              <w:ind w:left="156" w:right="155"/>
              <w:rPr>
                <w:sz w:val="18"/>
              </w:rPr>
            </w:pPr>
            <w:r>
              <w:rPr>
                <w:sz w:val="18"/>
              </w:rPr>
              <w:t>$0.00</w:t>
            </w:r>
          </w:p>
        </w:tc>
        <w:tc>
          <w:tcPr>
            <w:tcW w:w="1702" w:type="dxa"/>
          </w:tcPr>
          <w:p>
            <w:pPr>
              <w:pStyle w:val="TableParagraph"/>
              <w:spacing w:line="206" w:lineRule="exact"/>
              <w:ind w:left="76" w:right="72"/>
              <w:rPr>
                <w:sz w:val="18"/>
              </w:rPr>
            </w:pPr>
            <w:r>
              <w:rPr>
                <w:sz w:val="18"/>
              </w:rPr>
              <w:t>$0.00</w:t>
            </w:r>
          </w:p>
        </w:tc>
        <w:tc>
          <w:tcPr>
            <w:tcW w:w="2002" w:type="dxa"/>
          </w:tcPr>
          <w:p>
            <w:pPr>
              <w:pStyle w:val="TableParagraph"/>
              <w:spacing w:line="206" w:lineRule="exact"/>
              <w:ind w:left="301" w:right="296"/>
              <w:rPr>
                <w:sz w:val="18"/>
              </w:rPr>
            </w:pPr>
            <w:r>
              <w:rPr>
                <w:sz w:val="18"/>
              </w:rPr>
              <w:t>$0.00</w:t>
            </w:r>
          </w:p>
        </w:tc>
      </w:tr>
      <w:tr>
        <w:trPr>
          <w:trHeight w:val="461" w:hRule="exact"/>
        </w:trPr>
        <w:tc>
          <w:tcPr>
            <w:tcW w:w="1580" w:type="dxa"/>
          </w:tcPr>
          <w:p>
            <w:pPr>
              <w:pStyle w:val="TableParagraph"/>
              <w:spacing w:before="64"/>
              <w:ind w:left="67" w:right="43"/>
              <w:jc w:val="left"/>
              <w:rPr>
                <w:b/>
                <w:sz w:val="18"/>
              </w:rPr>
            </w:pPr>
            <w:r>
              <w:rPr>
                <w:b/>
                <w:color w:val="333333"/>
                <w:sz w:val="18"/>
              </w:rPr>
              <w:t>XONACATLAN</w:t>
            </w:r>
          </w:p>
        </w:tc>
        <w:tc>
          <w:tcPr>
            <w:tcW w:w="1294" w:type="dxa"/>
          </w:tcPr>
          <w:p>
            <w:pPr>
              <w:pStyle w:val="TableParagraph"/>
              <w:spacing w:before="68"/>
              <w:ind w:left="47" w:right="45"/>
              <w:rPr>
                <w:sz w:val="18"/>
              </w:rPr>
            </w:pPr>
            <w:r>
              <w:rPr>
                <w:sz w:val="18"/>
              </w:rPr>
              <w:t>$4,587,200.00</w:t>
            </w:r>
          </w:p>
        </w:tc>
        <w:tc>
          <w:tcPr>
            <w:tcW w:w="1560" w:type="dxa"/>
          </w:tcPr>
          <w:p>
            <w:pPr>
              <w:pStyle w:val="TableParagraph"/>
              <w:spacing w:before="68"/>
              <w:ind w:left="549"/>
              <w:jc w:val="left"/>
              <w:rPr>
                <w:sz w:val="18"/>
              </w:rPr>
            </w:pPr>
            <w:r>
              <w:rPr>
                <w:sz w:val="18"/>
              </w:rPr>
              <w:t>$0.00</w:t>
            </w:r>
          </w:p>
        </w:tc>
        <w:tc>
          <w:tcPr>
            <w:tcW w:w="1702" w:type="dxa"/>
          </w:tcPr>
          <w:p>
            <w:pPr>
              <w:pStyle w:val="TableParagraph"/>
              <w:spacing w:before="68"/>
              <w:ind w:right="616"/>
              <w:jc w:val="right"/>
              <w:rPr>
                <w:sz w:val="18"/>
              </w:rPr>
            </w:pPr>
            <w:r>
              <w:rPr>
                <w:w w:val="95"/>
                <w:sz w:val="18"/>
              </w:rPr>
              <w:t>$0.00</w:t>
            </w:r>
          </w:p>
        </w:tc>
        <w:tc>
          <w:tcPr>
            <w:tcW w:w="1524" w:type="dxa"/>
          </w:tcPr>
          <w:p>
            <w:pPr>
              <w:pStyle w:val="TableParagraph"/>
              <w:spacing w:before="68"/>
              <w:ind w:left="161" w:right="162"/>
              <w:rPr>
                <w:sz w:val="18"/>
              </w:rPr>
            </w:pPr>
            <w:r>
              <w:rPr>
                <w:sz w:val="18"/>
              </w:rPr>
              <w:t>$4,587,200.00</w:t>
            </w:r>
          </w:p>
        </w:tc>
        <w:tc>
          <w:tcPr>
            <w:tcW w:w="1644" w:type="dxa"/>
          </w:tcPr>
          <w:p>
            <w:pPr>
              <w:pStyle w:val="TableParagraph"/>
              <w:spacing w:before="68"/>
              <w:ind w:left="47" w:right="45"/>
              <w:rPr>
                <w:sz w:val="18"/>
              </w:rPr>
            </w:pPr>
            <w:r>
              <w:rPr>
                <w:sz w:val="18"/>
              </w:rPr>
              <w:t>$6,989,933.78</w:t>
            </w:r>
          </w:p>
        </w:tc>
        <w:tc>
          <w:tcPr>
            <w:tcW w:w="1613" w:type="dxa"/>
          </w:tcPr>
          <w:p>
            <w:pPr>
              <w:pStyle w:val="TableParagraph"/>
              <w:spacing w:before="68"/>
              <w:ind w:left="156" w:right="155"/>
              <w:rPr>
                <w:sz w:val="18"/>
              </w:rPr>
            </w:pPr>
            <w:r>
              <w:rPr>
                <w:sz w:val="18"/>
              </w:rPr>
              <w:t>$0.00</w:t>
            </w:r>
          </w:p>
        </w:tc>
        <w:tc>
          <w:tcPr>
            <w:tcW w:w="1702" w:type="dxa"/>
          </w:tcPr>
          <w:p>
            <w:pPr>
              <w:pStyle w:val="TableParagraph"/>
              <w:spacing w:before="68"/>
              <w:ind w:left="76" w:right="72"/>
              <w:rPr>
                <w:sz w:val="18"/>
              </w:rPr>
            </w:pPr>
            <w:r>
              <w:rPr>
                <w:sz w:val="18"/>
              </w:rPr>
              <w:t>$0.00</w:t>
            </w:r>
          </w:p>
        </w:tc>
        <w:tc>
          <w:tcPr>
            <w:tcW w:w="2002" w:type="dxa"/>
          </w:tcPr>
          <w:p>
            <w:pPr>
              <w:pStyle w:val="TableParagraph"/>
              <w:spacing w:before="68"/>
              <w:ind w:left="301" w:right="296"/>
              <w:rPr>
                <w:sz w:val="18"/>
              </w:rPr>
            </w:pPr>
            <w:r>
              <w:rPr>
                <w:sz w:val="18"/>
              </w:rPr>
              <w:t>$6,989,933.78</w:t>
            </w:r>
          </w:p>
        </w:tc>
      </w:tr>
      <w:tr>
        <w:trPr>
          <w:trHeight w:val="461" w:hRule="exact"/>
        </w:trPr>
        <w:tc>
          <w:tcPr>
            <w:tcW w:w="1580" w:type="dxa"/>
          </w:tcPr>
          <w:p>
            <w:pPr>
              <w:pStyle w:val="TableParagraph"/>
              <w:spacing w:before="64"/>
              <w:ind w:left="67" w:right="43"/>
              <w:jc w:val="left"/>
              <w:rPr>
                <w:b/>
                <w:sz w:val="18"/>
              </w:rPr>
            </w:pPr>
            <w:r>
              <w:rPr>
                <w:b/>
                <w:color w:val="333333"/>
                <w:sz w:val="18"/>
              </w:rPr>
              <w:t>ZACAZONAPAN</w:t>
            </w:r>
          </w:p>
        </w:tc>
        <w:tc>
          <w:tcPr>
            <w:tcW w:w="1294" w:type="dxa"/>
          </w:tcPr>
          <w:p>
            <w:pPr>
              <w:pStyle w:val="TableParagraph"/>
              <w:spacing w:before="68"/>
              <w:ind w:left="47" w:right="44"/>
              <w:rPr>
                <w:sz w:val="18"/>
              </w:rPr>
            </w:pPr>
            <w:r>
              <w:rPr>
                <w:sz w:val="18"/>
              </w:rPr>
              <w:t>$0.00</w:t>
            </w:r>
          </w:p>
        </w:tc>
        <w:tc>
          <w:tcPr>
            <w:tcW w:w="1560" w:type="dxa"/>
          </w:tcPr>
          <w:p>
            <w:pPr>
              <w:pStyle w:val="TableParagraph"/>
              <w:spacing w:before="68"/>
              <w:ind w:left="549"/>
              <w:jc w:val="left"/>
              <w:rPr>
                <w:sz w:val="18"/>
              </w:rPr>
            </w:pPr>
            <w:r>
              <w:rPr>
                <w:sz w:val="18"/>
              </w:rPr>
              <w:t>$0.00</w:t>
            </w:r>
          </w:p>
        </w:tc>
        <w:tc>
          <w:tcPr>
            <w:tcW w:w="1702" w:type="dxa"/>
          </w:tcPr>
          <w:p>
            <w:pPr>
              <w:pStyle w:val="TableParagraph"/>
              <w:spacing w:before="68"/>
              <w:ind w:right="616"/>
              <w:jc w:val="right"/>
              <w:rPr>
                <w:sz w:val="18"/>
              </w:rPr>
            </w:pPr>
            <w:r>
              <w:rPr>
                <w:w w:val="95"/>
                <w:sz w:val="18"/>
              </w:rPr>
              <w:t>$0.00</w:t>
            </w:r>
          </w:p>
        </w:tc>
        <w:tc>
          <w:tcPr>
            <w:tcW w:w="1524" w:type="dxa"/>
          </w:tcPr>
          <w:p>
            <w:pPr>
              <w:pStyle w:val="TableParagraph"/>
              <w:spacing w:before="68"/>
              <w:ind w:left="161" w:right="162"/>
              <w:rPr>
                <w:sz w:val="18"/>
              </w:rPr>
            </w:pPr>
            <w:r>
              <w:rPr>
                <w:sz w:val="18"/>
              </w:rPr>
              <w:t>$0.00</w:t>
            </w:r>
          </w:p>
        </w:tc>
        <w:tc>
          <w:tcPr>
            <w:tcW w:w="1644" w:type="dxa"/>
          </w:tcPr>
          <w:p>
            <w:pPr>
              <w:pStyle w:val="TableParagraph"/>
              <w:spacing w:before="68"/>
              <w:ind w:left="47" w:right="44"/>
              <w:rPr>
                <w:sz w:val="18"/>
              </w:rPr>
            </w:pPr>
            <w:r>
              <w:rPr>
                <w:sz w:val="18"/>
              </w:rPr>
              <w:t>$0.00</w:t>
            </w:r>
          </w:p>
        </w:tc>
        <w:tc>
          <w:tcPr>
            <w:tcW w:w="1613" w:type="dxa"/>
          </w:tcPr>
          <w:p>
            <w:pPr>
              <w:pStyle w:val="TableParagraph"/>
              <w:spacing w:before="68"/>
              <w:ind w:left="156" w:right="155"/>
              <w:rPr>
                <w:sz w:val="18"/>
              </w:rPr>
            </w:pPr>
            <w:r>
              <w:rPr>
                <w:sz w:val="18"/>
              </w:rPr>
              <w:t>$0.00</w:t>
            </w:r>
          </w:p>
        </w:tc>
        <w:tc>
          <w:tcPr>
            <w:tcW w:w="1702" w:type="dxa"/>
          </w:tcPr>
          <w:p>
            <w:pPr>
              <w:pStyle w:val="TableParagraph"/>
              <w:spacing w:before="68"/>
              <w:ind w:left="76" w:right="72"/>
              <w:rPr>
                <w:sz w:val="18"/>
              </w:rPr>
            </w:pPr>
            <w:r>
              <w:rPr>
                <w:sz w:val="18"/>
              </w:rPr>
              <w:t>$0.00</w:t>
            </w:r>
          </w:p>
        </w:tc>
        <w:tc>
          <w:tcPr>
            <w:tcW w:w="2002" w:type="dxa"/>
          </w:tcPr>
          <w:p>
            <w:pPr>
              <w:pStyle w:val="TableParagraph"/>
              <w:spacing w:before="68"/>
              <w:ind w:left="301" w:right="296"/>
              <w:rPr>
                <w:sz w:val="18"/>
              </w:rPr>
            </w:pPr>
            <w:r>
              <w:rPr>
                <w:sz w:val="18"/>
              </w:rPr>
              <w:t>$0.00</w:t>
            </w:r>
          </w:p>
        </w:tc>
      </w:tr>
      <w:tr>
        <w:trPr>
          <w:trHeight w:val="319" w:hRule="exact"/>
        </w:trPr>
        <w:tc>
          <w:tcPr>
            <w:tcW w:w="1580" w:type="dxa"/>
          </w:tcPr>
          <w:p>
            <w:pPr>
              <w:pStyle w:val="TableParagraph"/>
              <w:spacing w:line="201" w:lineRule="exact"/>
              <w:ind w:left="67" w:right="43"/>
              <w:jc w:val="left"/>
              <w:rPr>
                <w:b/>
                <w:sz w:val="18"/>
              </w:rPr>
            </w:pPr>
            <w:r>
              <w:rPr>
                <w:b/>
                <w:color w:val="333333"/>
                <w:sz w:val="18"/>
              </w:rPr>
              <w:t>ZACUALPAN</w:t>
            </w:r>
          </w:p>
        </w:tc>
        <w:tc>
          <w:tcPr>
            <w:tcW w:w="1294" w:type="dxa"/>
          </w:tcPr>
          <w:p>
            <w:pPr>
              <w:pStyle w:val="TableParagraph"/>
              <w:spacing w:line="206" w:lineRule="exact"/>
              <w:ind w:left="47" w:right="44"/>
              <w:rPr>
                <w:sz w:val="18"/>
              </w:rPr>
            </w:pPr>
            <w:r>
              <w:rPr>
                <w:sz w:val="18"/>
              </w:rPr>
              <w:t>$0.00</w:t>
            </w:r>
          </w:p>
        </w:tc>
        <w:tc>
          <w:tcPr>
            <w:tcW w:w="1560" w:type="dxa"/>
          </w:tcPr>
          <w:p>
            <w:pPr>
              <w:pStyle w:val="TableParagraph"/>
              <w:spacing w:line="206" w:lineRule="exact"/>
              <w:ind w:left="549"/>
              <w:jc w:val="left"/>
              <w:rPr>
                <w:sz w:val="18"/>
              </w:rPr>
            </w:pPr>
            <w:r>
              <w:rPr>
                <w:sz w:val="18"/>
              </w:rPr>
              <w:t>$0.00</w:t>
            </w:r>
          </w:p>
        </w:tc>
        <w:tc>
          <w:tcPr>
            <w:tcW w:w="1702" w:type="dxa"/>
          </w:tcPr>
          <w:p>
            <w:pPr>
              <w:pStyle w:val="TableParagraph"/>
              <w:spacing w:line="206" w:lineRule="exact"/>
              <w:ind w:right="616"/>
              <w:jc w:val="right"/>
              <w:rPr>
                <w:sz w:val="18"/>
              </w:rPr>
            </w:pPr>
            <w:r>
              <w:rPr>
                <w:w w:val="95"/>
                <w:sz w:val="18"/>
              </w:rPr>
              <w:t>$0.00</w:t>
            </w:r>
          </w:p>
        </w:tc>
        <w:tc>
          <w:tcPr>
            <w:tcW w:w="1524" w:type="dxa"/>
          </w:tcPr>
          <w:p>
            <w:pPr>
              <w:pStyle w:val="TableParagraph"/>
              <w:spacing w:line="206" w:lineRule="exact"/>
              <w:ind w:left="161" w:right="162"/>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613" w:type="dxa"/>
          </w:tcPr>
          <w:p>
            <w:pPr>
              <w:pStyle w:val="TableParagraph"/>
              <w:spacing w:line="206" w:lineRule="exact"/>
              <w:ind w:left="156" w:right="155"/>
              <w:rPr>
                <w:sz w:val="18"/>
              </w:rPr>
            </w:pPr>
            <w:r>
              <w:rPr>
                <w:sz w:val="18"/>
              </w:rPr>
              <w:t>$0.00</w:t>
            </w:r>
          </w:p>
        </w:tc>
        <w:tc>
          <w:tcPr>
            <w:tcW w:w="1702" w:type="dxa"/>
          </w:tcPr>
          <w:p>
            <w:pPr>
              <w:pStyle w:val="TableParagraph"/>
              <w:spacing w:line="206" w:lineRule="exact"/>
              <w:ind w:left="76" w:right="72"/>
              <w:rPr>
                <w:sz w:val="18"/>
              </w:rPr>
            </w:pPr>
            <w:r>
              <w:rPr>
                <w:sz w:val="18"/>
              </w:rPr>
              <w:t>$0.00</w:t>
            </w:r>
          </w:p>
        </w:tc>
        <w:tc>
          <w:tcPr>
            <w:tcW w:w="2002" w:type="dxa"/>
          </w:tcPr>
          <w:p>
            <w:pPr>
              <w:pStyle w:val="TableParagraph"/>
              <w:spacing w:line="206" w:lineRule="exact"/>
              <w:ind w:left="301" w:right="296"/>
              <w:rPr>
                <w:sz w:val="18"/>
              </w:rPr>
            </w:pPr>
            <w:r>
              <w:rPr>
                <w:sz w:val="18"/>
              </w:rPr>
              <w:t>$0.00</w:t>
            </w:r>
          </w:p>
        </w:tc>
      </w:tr>
      <w:tr>
        <w:trPr>
          <w:trHeight w:val="461" w:hRule="exact"/>
        </w:trPr>
        <w:tc>
          <w:tcPr>
            <w:tcW w:w="1580" w:type="dxa"/>
          </w:tcPr>
          <w:p>
            <w:pPr>
              <w:pStyle w:val="TableParagraph"/>
              <w:spacing w:before="64"/>
              <w:ind w:left="67" w:right="43"/>
              <w:jc w:val="left"/>
              <w:rPr>
                <w:b/>
                <w:sz w:val="18"/>
              </w:rPr>
            </w:pPr>
            <w:r>
              <w:rPr>
                <w:b/>
                <w:color w:val="333333"/>
                <w:sz w:val="18"/>
              </w:rPr>
              <w:t>ZINACANTEPEC</w:t>
            </w:r>
          </w:p>
        </w:tc>
        <w:tc>
          <w:tcPr>
            <w:tcW w:w="1294" w:type="dxa"/>
          </w:tcPr>
          <w:p>
            <w:pPr>
              <w:pStyle w:val="TableParagraph"/>
              <w:spacing w:before="68"/>
              <w:ind w:left="47" w:right="44"/>
              <w:rPr>
                <w:sz w:val="18"/>
              </w:rPr>
            </w:pPr>
            <w:r>
              <w:rPr>
                <w:sz w:val="18"/>
              </w:rPr>
              <w:t>$0.00</w:t>
            </w:r>
          </w:p>
        </w:tc>
        <w:tc>
          <w:tcPr>
            <w:tcW w:w="1560" w:type="dxa"/>
          </w:tcPr>
          <w:p>
            <w:pPr>
              <w:pStyle w:val="TableParagraph"/>
              <w:spacing w:before="68"/>
              <w:ind w:left="549"/>
              <w:jc w:val="left"/>
              <w:rPr>
                <w:sz w:val="18"/>
              </w:rPr>
            </w:pPr>
            <w:r>
              <w:rPr>
                <w:sz w:val="18"/>
              </w:rPr>
              <w:t>$0.00</w:t>
            </w:r>
          </w:p>
        </w:tc>
        <w:tc>
          <w:tcPr>
            <w:tcW w:w="1702" w:type="dxa"/>
          </w:tcPr>
          <w:p>
            <w:pPr>
              <w:pStyle w:val="TableParagraph"/>
              <w:spacing w:before="68"/>
              <w:ind w:right="616"/>
              <w:jc w:val="right"/>
              <w:rPr>
                <w:sz w:val="18"/>
              </w:rPr>
            </w:pPr>
            <w:r>
              <w:rPr>
                <w:w w:val="95"/>
                <w:sz w:val="18"/>
              </w:rPr>
              <w:t>$0.00</w:t>
            </w:r>
          </w:p>
        </w:tc>
        <w:tc>
          <w:tcPr>
            <w:tcW w:w="1524" w:type="dxa"/>
          </w:tcPr>
          <w:p>
            <w:pPr>
              <w:pStyle w:val="TableParagraph"/>
              <w:spacing w:before="68"/>
              <w:ind w:left="161" w:right="162"/>
              <w:rPr>
                <w:sz w:val="18"/>
              </w:rPr>
            </w:pPr>
            <w:r>
              <w:rPr>
                <w:sz w:val="18"/>
              </w:rPr>
              <w:t>$0.00</w:t>
            </w:r>
          </w:p>
        </w:tc>
        <w:tc>
          <w:tcPr>
            <w:tcW w:w="1644" w:type="dxa"/>
          </w:tcPr>
          <w:p>
            <w:pPr>
              <w:pStyle w:val="TableParagraph"/>
              <w:spacing w:before="68"/>
              <w:ind w:left="45" w:right="45"/>
              <w:rPr>
                <w:sz w:val="18"/>
              </w:rPr>
            </w:pPr>
            <w:r>
              <w:rPr>
                <w:sz w:val="18"/>
              </w:rPr>
              <w:t>$58,166,213.39</w:t>
            </w:r>
          </w:p>
        </w:tc>
        <w:tc>
          <w:tcPr>
            <w:tcW w:w="1613" w:type="dxa"/>
          </w:tcPr>
          <w:p>
            <w:pPr>
              <w:pStyle w:val="TableParagraph"/>
              <w:spacing w:before="68"/>
              <w:ind w:left="156" w:right="155"/>
              <w:rPr>
                <w:sz w:val="18"/>
              </w:rPr>
            </w:pPr>
            <w:r>
              <w:rPr>
                <w:sz w:val="18"/>
              </w:rPr>
              <w:t>$0.00</w:t>
            </w:r>
          </w:p>
        </w:tc>
        <w:tc>
          <w:tcPr>
            <w:tcW w:w="1702" w:type="dxa"/>
          </w:tcPr>
          <w:p>
            <w:pPr>
              <w:pStyle w:val="TableParagraph"/>
              <w:spacing w:before="68"/>
              <w:ind w:left="74" w:right="74"/>
              <w:rPr>
                <w:sz w:val="18"/>
              </w:rPr>
            </w:pPr>
            <w:r>
              <w:rPr>
                <w:sz w:val="18"/>
              </w:rPr>
              <w:t>$61,601,363.64</w:t>
            </w:r>
          </w:p>
        </w:tc>
        <w:tc>
          <w:tcPr>
            <w:tcW w:w="2002" w:type="dxa"/>
          </w:tcPr>
          <w:p>
            <w:pPr>
              <w:pStyle w:val="TableParagraph"/>
              <w:spacing w:before="68"/>
              <w:ind w:left="301" w:right="299"/>
              <w:rPr>
                <w:sz w:val="18"/>
              </w:rPr>
            </w:pPr>
            <w:r>
              <w:rPr>
                <w:sz w:val="18"/>
              </w:rPr>
              <w:t>$596,564,849.75</w:t>
            </w:r>
          </w:p>
        </w:tc>
      </w:tr>
      <w:tr>
        <w:trPr>
          <w:trHeight w:val="458" w:hRule="exact"/>
        </w:trPr>
        <w:tc>
          <w:tcPr>
            <w:tcW w:w="1580" w:type="dxa"/>
          </w:tcPr>
          <w:p>
            <w:pPr>
              <w:pStyle w:val="TableParagraph"/>
              <w:spacing w:before="64"/>
              <w:ind w:left="67"/>
              <w:jc w:val="left"/>
              <w:rPr>
                <w:b/>
                <w:sz w:val="18"/>
              </w:rPr>
            </w:pPr>
            <w:r>
              <w:rPr>
                <w:b/>
                <w:color w:val="333333"/>
                <w:sz w:val="18"/>
              </w:rPr>
              <w:t>ZUMPAHUACAN</w:t>
            </w:r>
          </w:p>
        </w:tc>
        <w:tc>
          <w:tcPr>
            <w:tcW w:w="1294" w:type="dxa"/>
          </w:tcPr>
          <w:p>
            <w:pPr>
              <w:pStyle w:val="TableParagraph"/>
              <w:spacing w:before="68"/>
              <w:ind w:left="47" w:right="44"/>
              <w:rPr>
                <w:sz w:val="18"/>
              </w:rPr>
            </w:pPr>
            <w:r>
              <w:rPr>
                <w:sz w:val="18"/>
              </w:rPr>
              <w:t>$0.00</w:t>
            </w:r>
          </w:p>
        </w:tc>
        <w:tc>
          <w:tcPr>
            <w:tcW w:w="1560" w:type="dxa"/>
          </w:tcPr>
          <w:p>
            <w:pPr>
              <w:pStyle w:val="TableParagraph"/>
              <w:spacing w:before="68"/>
              <w:ind w:left="549"/>
              <w:jc w:val="left"/>
              <w:rPr>
                <w:sz w:val="18"/>
              </w:rPr>
            </w:pPr>
            <w:r>
              <w:rPr>
                <w:sz w:val="18"/>
              </w:rPr>
              <w:t>$0.00</w:t>
            </w:r>
          </w:p>
        </w:tc>
        <w:tc>
          <w:tcPr>
            <w:tcW w:w="1702" w:type="dxa"/>
          </w:tcPr>
          <w:p>
            <w:pPr>
              <w:pStyle w:val="TableParagraph"/>
              <w:spacing w:before="68"/>
              <w:ind w:right="616"/>
              <w:jc w:val="right"/>
              <w:rPr>
                <w:sz w:val="18"/>
              </w:rPr>
            </w:pPr>
            <w:r>
              <w:rPr>
                <w:w w:val="95"/>
                <w:sz w:val="18"/>
              </w:rPr>
              <w:t>$0.00</w:t>
            </w:r>
          </w:p>
        </w:tc>
        <w:tc>
          <w:tcPr>
            <w:tcW w:w="1524" w:type="dxa"/>
          </w:tcPr>
          <w:p>
            <w:pPr>
              <w:pStyle w:val="TableParagraph"/>
              <w:spacing w:before="68"/>
              <w:ind w:left="161" w:right="162"/>
              <w:rPr>
                <w:sz w:val="18"/>
              </w:rPr>
            </w:pPr>
            <w:r>
              <w:rPr>
                <w:sz w:val="18"/>
              </w:rPr>
              <w:t>$0.00</w:t>
            </w:r>
          </w:p>
        </w:tc>
        <w:tc>
          <w:tcPr>
            <w:tcW w:w="1644" w:type="dxa"/>
          </w:tcPr>
          <w:p>
            <w:pPr>
              <w:pStyle w:val="TableParagraph"/>
              <w:spacing w:before="68"/>
              <w:ind w:left="47" w:right="44"/>
              <w:rPr>
                <w:sz w:val="18"/>
              </w:rPr>
            </w:pPr>
            <w:r>
              <w:rPr>
                <w:sz w:val="18"/>
              </w:rPr>
              <w:t>$0.00</w:t>
            </w:r>
          </w:p>
        </w:tc>
        <w:tc>
          <w:tcPr>
            <w:tcW w:w="1613" w:type="dxa"/>
          </w:tcPr>
          <w:p>
            <w:pPr>
              <w:pStyle w:val="TableParagraph"/>
              <w:spacing w:before="68"/>
              <w:ind w:left="156" w:right="155"/>
              <w:rPr>
                <w:sz w:val="18"/>
              </w:rPr>
            </w:pPr>
            <w:r>
              <w:rPr>
                <w:sz w:val="18"/>
              </w:rPr>
              <w:t>$0.00</w:t>
            </w:r>
          </w:p>
        </w:tc>
        <w:tc>
          <w:tcPr>
            <w:tcW w:w="1702" w:type="dxa"/>
          </w:tcPr>
          <w:p>
            <w:pPr>
              <w:pStyle w:val="TableParagraph"/>
              <w:spacing w:before="68"/>
              <w:ind w:left="76" w:right="72"/>
              <w:rPr>
                <w:sz w:val="18"/>
              </w:rPr>
            </w:pPr>
            <w:r>
              <w:rPr>
                <w:sz w:val="18"/>
              </w:rPr>
              <w:t>$0.00</w:t>
            </w:r>
          </w:p>
        </w:tc>
        <w:tc>
          <w:tcPr>
            <w:tcW w:w="2002" w:type="dxa"/>
          </w:tcPr>
          <w:p>
            <w:pPr>
              <w:pStyle w:val="TableParagraph"/>
              <w:spacing w:before="68"/>
              <w:ind w:left="301" w:right="296"/>
              <w:rPr>
                <w:sz w:val="18"/>
              </w:rPr>
            </w:pPr>
            <w:r>
              <w:rPr>
                <w:sz w:val="18"/>
              </w:rPr>
              <w:t>$0.00</w:t>
            </w:r>
          </w:p>
        </w:tc>
      </w:tr>
      <w:tr>
        <w:trPr>
          <w:trHeight w:val="322" w:hRule="exact"/>
        </w:trPr>
        <w:tc>
          <w:tcPr>
            <w:tcW w:w="1580" w:type="dxa"/>
          </w:tcPr>
          <w:p>
            <w:pPr>
              <w:pStyle w:val="TableParagraph"/>
              <w:spacing w:line="204" w:lineRule="exact"/>
              <w:ind w:left="67" w:right="43"/>
              <w:jc w:val="left"/>
              <w:rPr>
                <w:b/>
                <w:sz w:val="18"/>
              </w:rPr>
            </w:pPr>
            <w:r>
              <w:rPr>
                <w:b/>
                <w:color w:val="333333"/>
                <w:sz w:val="18"/>
              </w:rPr>
              <w:t>ZUMPANGO</w:t>
            </w:r>
          </w:p>
        </w:tc>
        <w:tc>
          <w:tcPr>
            <w:tcW w:w="1294" w:type="dxa"/>
          </w:tcPr>
          <w:p>
            <w:pPr>
              <w:pStyle w:val="TableParagraph"/>
              <w:spacing w:before="1"/>
              <w:ind w:left="47" w:right="44"/>
              <w:rPr>
                <w:sz w:val="18"/>
              </w:rPr>
            </w:pPr>
            <w:r>
              <w:rPr>
                <w:sz w:val="18"/>
              </w:rPr>
              <w:t>$0.00</w:t>
            </w:r>
          </w:p>
        </w:tc>
        <w:tc>
          <w:tcPr>
            <w:tcW w:w="1560" w:type="dxa"/>
          </w:tcPr>
          <w:p>
            <w:pPr>
              <w:pStyle w:val="TableParagraph"/>
              <w:spacing w:before="1"/>
              <w:ind w:left="549"/>
              <w:jc w:val="left"/>
              <w:rPr>
                <w:sz w:val="18"/>
              </w:rPr>
            </w:pPr>
            <w:r>
              <w:rPr>
                <w:sz w:val="18"/>
              </w:rPr>
              <w:t>$0.00</w:t>
            </w:r>
          </w:p>
        </w:tc>
        <w:tc>
          <w:tcPr>
            <w:tcW w:w="1702" w:type="dxa"/>
          </w:tcPr>
          <w:p>
            <w:pPr>
              <w:pStyle w:val="TableParagraph"/>
              <w:spacing w:before="1"/>
              <w:ind w:right="616"/>
              <w:jc w:val="right"/>
              <w:rPr>
                <w:sz w:val="18"/>
              </w:rPr>
            </w:pPr>
            <w:r>
              <w:rPr>
                <w:w w:val="95"/>
                <w:sz w:val="18"/>
              </w:rPr>
              <w:t>$0.00</w:t>
            </w:r>
          </w:p>
        </w:tc>
        <w:tc>
          <w:tcPr>
            <w:tcW w:w="1524" w:type="dxa"/>
          </w:tcPr>
          <w:p>
            <w:pPr>
              <w:pStyle w:val="TableParagraph"/>
              <w:spacing w:before="1"/>
              <w:ind w:left="161" w:right="162"/>
              <w:rPr>
                <w:sz w:val="18"/>
              </w:rPr>
            </w:pPr>
            <w:r>
              <w:rPr>
                <w:sz w:val="18"/>
              </w:rPr>
              <w:t>$0.00</w:t>
            </w:r>
          </w:p>
        </w:tc>
        <w:tc>
          <w:tcPr>
            <w:tcW w:w="1644" w:type="dxa"/>
          </w:tcPr>
          <w:p>
            <w:pPr>
              <w:pStyle w:val="TableParagraph"/>
              <w:spacing w:before="1"/>
              <w:ind w:left="47" w:right="44"/>
              <w:rPr>
                <w:sz w:val="18"/>
              </w:rPr>
            </w:pPr>
            <w:r>
              <w:rPr>
                <w:sz w:val="18"/>
              </w:rPr>
              <w:t>$0.00</w:t>
            </w:r>
          </w:p>
        </w:tc>
        <w:tc>
          <w:tcPr>
            <w:tcW w:w="1613" w:type="dxa"/>
          </w:tcPr>
          <w:p>
            <w:pPr>
              <w:pStyle w:val="TableParagraph"/>
              <w:spacing w:before="1"/>
              <w:ind w:left="156" w:right="155"/>
              <w:rPr>
                <w:sz w:val="18"/>
              </w:rPr>
            </w:pPr>
            <w:r>
              <w:rPr>
                <w:sz w:val="18"/>
              </w:rPr>
              <w:t>$0.00</w:t>
            </w:r>
          </w:p>
        </w:tc>
        <w:tc>
          <w:tcPr>
            <w:tcW w:w="1702" w:type="dxa"/>
          </w:tcPr>
          <w:p>
            <w:pPr>
              <w:pStyle w:val="TableParagraph"/>
              <w:spacing w:before="1"/>
              <w:ind w:left="76" w:right="72"/>
              <w:rPr>
                <w:sz w:val="18"/>
              </w:rPr>
            </w:pPr>
            <w:r>
              <w:rPr>
                <w:sz w:val="18"/>
              </w:rPr>
              <w:t>$0.00</w:t>
            </w:r>
          </w:p>
        </w:tc>
        <w:tc>
          <w:tcPr>
            <w:tcW w:w="2002" w:type="dxa"/>
          </w:tcPr>
          <w:p>
            <w:pPr>
              <w:pStyle w:val="TableParagraph"/>
              <w:spacing w:before="1"/>
              <w:ind w:left="301" w:right="295"/>
              <w:rPr>
                <w:sz w:val="18"/>
              </w:rPr>
            </w:pPr>
            <w:r>
              <w:rPr>
                <w:sz w:val="18"/>
              </w:rPr>
              <w:t>$0.00</w:t>
            </w:r>
          </w:p>
        </w:tc>
      </w:tr>
    </w:tbl>
    <w:p>
      <w:pPr>
        <w:spacing w:line="206" w:lineRule="exact" w:before="0"/>
        <w:ind w:left="181" w:right="0" w:firstLine="0"/>
        <w:jc w:val="left"/>
        <w:rPr>
          <w:sz w:val="18"/>
        </w:rPr>
      </w:pPr>
      <w:r>
        <w:rPr>
          <w:sz w:val="18"/>
        </w:rPr>
        <w:t>Fuente: Elaboración propia con datos del INFOEM.</w:t>
      </w:r>
    </w:p>
    <w:p>
      <w:pPr>
        <w:spacing w:after="0" w:line="206" w:lineRule="exact"/>
        <w:jc w:val="left"/>
        <w:rPr>
          <w:sz w:val="18"/>
        </w:rPr>
        <w:sectPr>
          <w:pgSz w:w="15840" w:h="12240" w:orient="landscape"/>
          <w:pgMar w:header="0" w:footer="975" w:top="1140" w:bottom="1160" w:left="500" w:right="500"/>
        </w:sectPr>
      </w:pPr>
    </w:p>
    <w:p>
      <w:pPr>
        <w:pStyle w:val="BodyText"/>
        <w:rPr>
          <w:rFonts w:ascii="Times New Roman"/>
          <w:sz w:val="20"/>
        </w:rPr>
      </w:pPr>
    </w:p>
    <w:p>
      <w:pPr>
        <w:pStyle w:val="BodyText"/>
        <w:spacing w:before="10"/>
        <w:rPr>
          <w:rFonts w:ascii="Times New Roman"/>
          <w:sz w:val="28"/>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41"/>
        <w:gridCol w:w="1658"/>
        <w:gridCol w:w="1508"/>
        <w:gridCol w:w="1661"/>
        <w:gridCol w:w="1661"/>
        <w:gridCol w:w="1658"/>
        <w:gridCol w:w="1508"/>
        <w:gridCol w:w="1661"/>
        <w:gridCol w:w="1661"/>
      </w:tblGrid>
      <w:tr>
        <w:trPr>
          <w:trHeight w:val="430" w:hRule="exact"/>
        </w:trPr>
        <w:tc>
          <w:tcPr>
            <w:tcW w:w="15117" w:type="dxa"/>
            <w:gridSpan w:val="9"/>
            <w:shd w:val="clear" w:color="auto" w:fill="C5DFB3"/>
          </w:tcPr>
          <w:p>
            <w:pPr>
              <w:pStyle w:val="TableParagraph"/>
              <w:spacing w:before="49"/>
              <w:ind w:left="4560"/>
              <w:jc w:val="left"/>
              <w:rPr>
                <w:b/>
                <w:sz w:val="18"/>
              </w:rPr>
            </w:pPr>
            <w:r>
              <w:rPr>
                <w:b/>
                <w:sz w:val="18"/>
              </w:rPr>
              <w:t>Anexo 24C. Municipios que publican apartado presupuesto 2012-2013</w:t>
            </w:r>
          </w:p>
        </w:tc>
      </w:tr>
      <w:tr>
        <w:trPr>
          <w:trHeight w:val="320" w:hRule="exact"/>
        </w:trPr>
        <w:tc>
          <w:tcPr>
            <w:tcW w:w="2141"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23"/>
              </w:rPr>
            </w:pPr>
          </w:p>
          <w:p>
            <w:pPr>
              <w:pStyle w:val="TableParagraph"/>
              <w:ind w:left="643" w:right="67"/>
              <w:jc w:val="left"/>
              <w:rPr>
                <w:b/>
                <w:sz w:val="18"/>
              </w:rPr>
            </w:pPr>
            <w:r>
              <w:rPr>
                <w:b/>
                <w:sz w:val="18"/>
              </w:rPr>
              <w:t>Municipio</w:t>
            </w:r>
          </w:p>
        </w:tc>
        <w:tc>
          <w:tcPr>
            <w:tcW w:w="6488" w:type="dxa"/>
            <w:gridSpan w:val="4"/>
            <w:shd w:val="clear" w:color="auto" w:fill="C5DFB3"/>
          </w:tcPr>
          <w:p>
            <w:pPr>
              <w:pStyle w:val="TableParagraph"/>
              <w:spacing w:line="201" w:lineRule="exact"/>
              <w:ind w:left="3020" w:right="3018"/>
              <w:rPr>
                <w:b/>
                <w:sz w:val="18"/>
              </w:rPr>
            </w:pPr>
            <w:r>
              <w:rPr>
                <w:b/>
                <w:sz w:val="18"/>
              </w:rPr>
              <w:t>2012</w:t>
            </w:r>
          </w:p>
        </w:tc>
        <w:tc>
          <w:tcPr>
            <w:tcW w:w="6488" w:type="dxa"/>
            <w:gridSpan w:val="4"/>
            <w:shd w:val="clear" w:color="auto" w:fill="C5DFB3"/>
          </w:tcPr>
          <w:p>
            <w:pPr>
              <w:pStyle w:val="TableParagraph"/>
              <w:spacing w:line="201" w:lineRule="exact"/>
              <w:ind w:left="3019" w:right="3018"/>
              <w:rPr>
                <w:b/>
                <w:sz w:val="18"/>
              </w:rPr>
            </w:pPr>
            <w:r>
              <w:rPr>
                <w:b/>
                <w:sz w:val="18"/>
              </w:rPr>
              <w:t>2013</w:t>
            </w:r>
          </w:p>
        </w:tc>
      </w:tr>
      <w:tr>
        <w:trPr>
          <w:trHeight w:val="1374" w:hRule="exact"/>
        </w:trPr>
        <w:tc>
          <w:tcPr>
            <w:tcW w:w="2141" w:type="dxa"/>
            <w:vMerge/>
            <w:shd w:val="clear" w:color="auto" w:fill="C5DFB3"/>
          </w:tcPr>
          <w:p>
            <w:pPr/>
          </w:p>
        </w:tc>
        <w:tc>
          <w:tcPr>
            <w:tcW w:w="165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w w:val="100"/>
                <w:sz w:val="18"/>
              </w:rPr>
              <w:t>Autoriz</w:t>
            </w:r>
            <w:r>
              <w:rPr>
                <w:b/>
                <w:w w:val="99"/>
                <w:sz w:val="18"/>
              </w:rPr>
              <w:t>a</w:t>
            </w:r>
            <w:r>
              <w:rPr>
                <w:b/>
                <w:w w:val="100"/>
                <w:sz w:val="18"/>
              </w:rPr>
              <w:t>do</w:t>
            </w:r>
          </w:p>
        </w:tc>
        <w:tc>
          <w:tcPr>
            <w:tcW w:w="150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15"/>
              </w:rPr>
            </w:pPr>
          </w:p>
          <w:p>
            <w:pPr>
              <w:pStyle w:val="TableParagraph"/>
              <w:ind w:left="206"/>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326"/>
              <w:jc w:val="left"/>
              <w:rPr>
                <w:b/>
                <w:sz w:val="18"/>
              </w:rPr>
            </w:pPr>
            <w:r>
              <w:rPr>
                <w:b/>
                <w:w w:val="100"/>
                <w:sz w:val="18"/>
              </w:rPr>
              <w:t>Eje</w:t>
            </w:r>
            <w:r>
              <w:rPr>
                <w:b/>
                <w:w w:val="99"/>
                <w:sz w:val="18"/>
              </w:rPr>
              <w:t>rci</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211"/>
              <w:jc w:val="left"/>
              <w:rPr>
                <w:b/>
                <w:sz w:val="18"/>
              </w:rPr>
            </w:pPr>
            <w:r>
              <w:rPr>
                <w:b/>
                <w:sz w:val="18"/>
              </w:rPr>
              <w:t>Por </w:t>
            </w:r>
            <w:r>
              <w:rPr>
                <w:b/>
                <w:w w:val="99"/>
                <w:sz w:val="18"/>
              </w:rPr>
              <w:t>e</w:t>
            </w:r>
            <w:r>
              <w:rPr>
                <w:b/>
                <w:w w:val="100"/>
                <w:sz w:val="18"/>
              </w:rPr>
              <w:t>je</w:t>
            </w:r>
            <w:r>
              <w:rPr>
                <w:b/>
                <w:w w:val="99"/>
                <w:sz w:val="18"/>
              </w:rPr>
              <w:t>rcer</w:t>
            </w:r>
          </w:p>
        </w:tc>
        <w:tc>
          <w:tcPr>
            <w:tcW w:w="165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w w:val="100"/>
                <w:sz w:val="18"/>
              </w:rPr>
              <w:t>Autoriz</w:t>
            </w:r>
            <w:r>
              <w:rPr>
                <w:b/>
                <w:w w:val="99"/>
                <w:sz w:val="18"/>
              </w:rPr>
              <w:t>a</w:t>
            </w:r>
            <w:r>
              <w:rPr>
                <w:b/>
                <w:w w:val="100"/>
                <w:sz w:val="18"/>
              </w:rPr>
              <w:t>do</w:t>
            </w:r>
          </w:p>
        </w:tc>
        <w:tc>
          <w:tcPr>
            <w:tcW w:w="150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15"/>
              </w:rPr>
            </w:pPr>
          </w:p>
          <w:p>
            <w:pPr>
              <w:pStyle w:val="TableParagraph"/>
              <w:ind w:left="206"/>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326"/>
              <w:jc w:val="left"/>
              <w:rPr>
                <w:b/>
                <w:sz w:val="18"/>
              </w:rPr>
            </w:pPr>
            <w:r>
              <w:rPr>
                <w:b/>
                <w:w w:val="100"/>
                <w:sz w:val="18"/>
              </w:rPr>
              <w:t>Eje</w:t>
            </w:r>
            <w:r>
              <w:rPr>
                <w:b/>
                <w:w w:val="99"/>
                <w:sz w:val="18"/>
              </w:rPr>
              <w:t>rci</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sz w:val="18"/>
              </w:rPr>
              <w:t>Por </w:t>
            </w:r>
            <w:r>
              <w:rPr>
                <w:b/>
                <w:w w:val="99"/>
                <w:sz w:val="18"/>
              </w:rPr>
              <w:t>e</w:t>
            </w:r>
            <w:r>
              <w:rPr>
                <w:b/>
                <w:w w:val="100"/>
                <w:sz w:val="18"/>
              </w:rPr>
              <w:t>je</w:t>
            </w:r>
            <w:r>
              <w:rPr>
                <w:b/>
                <w:w w:val="99"/>
                <w:sz w:val="18"/>
              </w:rPr>
              <w:t>rcer</w:t>
            </w:r>
          </w:p>
        </w:tc>
      </w:tr>
      <w:tr>
        <w:trPr>
          <w:trHeight w:val="521" w:hRule="exact"/>
        </w:trPr>
        <w:tc>
          <w:tcPr>
            <w:tcW w:w="2141" w:type="dxa"/>
          </w:tcPr>
          <w:p>
            <w:pPr>
              <w:pStyle w:val="TableParagraph"/>
              <w:spacing w:before="95"/>
              <w:ind w:left="64" w:right="67"/>
              <w:jc w:val="left"/>
              <w:rPr>
                <w:b/>
                <w:sz w:val="18"/>
              </w:rPr>
            </w:pPr>
            <w:r>
              <w:rPr>
                <w:b/>
                <w:color w:val="333333"/>
                <w:sz w:val="18"/>
              </w:rPr>
              <w:t>ACAMBAY</w:t>
            </w:r>
          </w:p>
        </w:tc>
        <w:tc>
          <w:tcPr>
            <w:tcW w:w="1658" w:type="dxa"/>
          </w:tcPr>
          <w:p>
            <w:pPr>
              <w:pStyle w:val="TableParagraph"/>
              <w:spacing w:before="100"/>
              <w:ind w:left="53" w:right="51"/>
              <w:rPr>
                <w:sz w:val="18"/>
              </w:rPr>
            </w:pPr>
            <w:r>
              <w:rPr>
                <w:sz w:val="18"/>
              </w:rPr>
              <w:t>$268,620,925.98</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4"/>
              <w:rPr>
                <w:sz w:val="18"/>
              </w:rPr>
            </w:pPr>
            <w:r>
              <w:rPr>
                <w:sz w:val="18"/>
              </w:rPr>
              <w:t>$268,620,925.98</w:t>
            </w:r>
          </w:p>
        </w:tc>
        <w:tc>
          <w:tcPr>
            <w:tcW w:w="1658" w:type="dxa"/>
          </w:tcPr>
          <w:p>
            <w:pPr>
              <w:pStyle w:val="TableParagraph"/>
              <w:spacing w:before="100"/>
              <w:ind w:left="53" w:right="53"/>
              <w:rPr>
                <w:sz w:val="18"/>
              </w:rPr>
            </w:pPr>
            <w:r>
              <w:rPr>
                <w:sz w:val="18"/>
              </w:rPr>
              <w:t>$252,650,987.88</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148"/>
              <w:jc w:val="left"/>
              <w:rPr>
                <w:sz w:val="18"/>
              </w:rPr>
            </w:pPr>
            <w:r>
              <w:rPr>
                <w:sz w:val="18"/>
              </w:rPr>
              <w:t>$252,650,987.88</w:t>
            </w:r>
          </w:p>
        </w:tc>
      </w:tr>
      <w:tr>
        <w:trPr>
          <w:trHeight w:val="521" w:hRule="exact"/>
        </w:trPr>
        <w:tc>
          <w:tcPr>
            <w:tcW w:w="2141" w:type="dxa"/>
          </w:tcPr>
          <w:p>
            <w:pPr>
              <w:pStyle w:val="TableParagraph"/>
              <w:spacing w:before="95"/>
              <w:ind w:left="64" w:right="67"/>
              <w:jc w:val="left"/>
              <w:rPr>
                <w:b/>
                <w:sz w:val="18"/>
              </w:rPr>
            </w:pPr>
            <w:r>
              <w:rPr>
                <w:b/>
                <w:color w:val="333333"/>
                <w:sz w:val="18"/>
              </w:rPr>
              <w:t>ACOLMAN</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3" w:right="53"/>
              <w:rPr>
                <w:sz w:val="18"/>
              </w:rPr>
            </w:pPr>
            <w:r>
              <w:rPr>
                <w:sz w:val="18"/>
              </w:rPr>
              <w:t>$270,200,710.81</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148"/>
              <w:jc w:val="left"/>
              <w:rPr>
                <w:sz w:val="18"/>
              </w:rPr>
            </w:pPr>
            <w:r>
              <w:rPr>
                <w:sz w:val="18"/>
              </w:rPr>
              <w:t>$270,200,710.81</w:t>
            </w:r>
          </w:p>
        </w:tc>
      </w:tr>
      <w:tr>
        <w:trPr>
          <w:trHeight w:val="518" w:hRule="exact"/>
        </w:trPr>
        <w:tc>
          <w:tcPr>
            <w:tcW w:w="2141" w:type="dxa"/>
          </w:tcPr>
          <w:p>
            <w:pPr>
              <w:pStyle w:val="TableParagraph"/>
              <w:spacing w:before="92"/>
              <w:ind w:left="64" w:right="67"/>
              <w:jc w:val="left"/>
              <w:rPr>
                <w:b/>
                <w:sz w:val="18"/>
              </w:rPr>
            </w:pPr>
            <w:r>
              <w:rPr>
                <w:b/>
                <w:color w:val="333333"/>
                <w:sz w:val="18"/>
              </w:rPr>
              <w:t>ACULCO</w:t>
            </w:r>
          </w:p>
        </w:tc>
        <w:tc>
          <w:tcPr>
            <w:tcW w:w="1658" w:type="dxa"/>
          </w:tcPr>
          <w:p>
            <w:pPr>
              <w:pStyle w:val="TableParagraph"/>
              <w:spacing w:before="97"/>
              <w:ind w:left="52" w:right="53"/>
              <w:rPr>
                <w:sz w:val="18"/>
              </w:rPr>
            </w:pPr>
            <w:r>
              <w:rPr>
                <w:sz w:val="18"/>
              </w:rPr>
              <w:t>$6,675,760.58</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54" w:right="56"/>
              <w:rPr>
                <w:sz w:val="18"/>
              </w:rPr>
            </w:pPr>
            <w:r>
              <w:rPr>
                <w:sz w:val="18"/>
              </w:rPr>
              <w:t>$6,675,760.58</w:t>
            </w:r>
          </w:p>
        </w:tc>
        <w:tc>
          <w:tcPr>
            <w:tcW w:w="1658" w:type="dxa"/>
          </w:tcPr>
          <w:p>
            <w:pPr>
              <w:pStyle w:val="TableParagraph"/>
              <w:spacing w:before="97"/>
              <w:ind w:left="53" w:right="53"/>
              <w:rPr>
                <w:sz w:val="18"/>
              </w:rPr>
            </w:pPr>
            <w:r>
              <w:rPr>
                <w:sz w:val="18"/>
              </w:rPr>
              <w:t>$238,348,924.00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148"/>
              <w:jc w:val="left"/>
              <w:rPr>
                <w:sz w:val="18"/>
              </w:rPr>
            </w:pPr>
            <w:r>
              <w:rPr>
                <w:sz w:val="18"/>
              </w:rPr>
              <w:t>$238,348,924.00</w:t>
            </w:r>
          </w:p>
        </w:tc>
      </w:tr>
      <w:tr>
        <w:trPr>
          <w:trHeight w:val="775" w:hRule="exact"/>
        </w:trPr>
        <w:tc>
          <w:tcPr>
            <w:tcW w:w="2141" w:type="dxa"/>
          </w:tcPr>
          <w:p>
            <w:pPr>
              <w:pStyle w:val="TableParagraph"/>
              <w:tabs>
                <w:tab w:pos="1811" w:val="left" w:leader="none"/>
              </w:tabs>
              <w:spacing w:line="360" w:lineRule="auto" w:before="68"/>
              <w:ind w:left="64" w:right="68"/>
              <w:jc w:val="left"/>
              <w:rPr>
                <w:b/>
                <w:sz w:val="18"/>
              </w:rPr>
            </w:pPr>
            <w:r>
              <w:rPr>
                <w:b/>
                <w:color w:val="333333"/>
                <w:sz w:val="18"/>
              </w:rPr>
              <w:t>ALMOLOYA</w:t>
              <w:tab/>
              <w:t>DE ALQUISIRAS</w:t>
            </w:r>
          </w:p>
        </w:tc>
        <w:tc>
          <w:tcPr>
            <w:tcW w:w="1658" w:type="dxa"/>
          </w:tcPr>
          <w:p>
            <w:pPr>
              <w:pStyle w:val="TableParagraph"/>
              <w:spacing w:before="8"/>
              <w:jc w:val="left"/>
              <w:rPr>
                <w:rFonts w:ascii="Times New Roman"/>
                <w:sz w:val="19"/>
              </w:rPr>
            </w:pPr>
          </w:p>
          <w:p>
            <w:pPr>
              <w:pStyle w:val="TableParagraph"/>
              <w:ind w:left="52" w:right="53"/>
              <w:rPr>
                <w:sz w:val="18"/>
              </w:rPr>
            </w:pPr>
            <w:r>
              <w:rPr>
                <w:sz w:val="18"/>
              </w:rPr>
              <w:t>$0.00</w:t>
            </w:r>
          </w:p>
        </w:tc>
        <w:tc>
          <w:tcPr>
            <w:tcW w:w="1508" w:type="dxa"/>
          </w:tcPr>
          <w:p>
            <w:pPr>
              <w:pStyle w:val="TableParagraph"/>
              <w:spacing w:before="8"/>
              <w:jc w:val="left"/>
              <w:rPr>
                <w:rFonts w:ascii="Times New Roman"/>
                <w:sz w:val="19"/>
              </w:rPr>
            </w:pPr>
          </w:p>
          <w:p>
            <w:pPr>
              <w:pStyle w:val="TableParagraph"/>
              <w:ind w:left="53" w:right="48"/>
              <w:rPr>
                <w:sz w:val="18"/>
              </w:rPr>
            </w:pPr>
            <w:r>
              <w:rPr>
                <w:sz w:val="18"/>
              </w:rPr>
              <w:t>$0.00</w:t>
            </w:r>
          </w:p>
        </w:tc>
        <w:tc>
          <w:tcPr>
            <w:tcW w:w="1661" w:type="dxa"/>
          </w:tcPr>
          <w:p>
            <w:pPr>
              <w:pStyle w:val="TableParagraph"/>
              <w:spacing w:before="8"/>
              <w:jc w:val="left"/>
              <w:rPr>
                <w:rFonts w:ascii="Times New Roman"/>
                <w:sz w:val="19"/>
              </w:rPr>
            </w:pPr>
          </w:p>
          <w:p>
            <w:pPr>
              <w:pStyle w:val="TableParagraph"/>
              <w:ind w:left="53" w:right="52"/>
              <w:rPr>
                <w:sz w:val="18"/>
              </w:rPr>
            </w:pPr>
            <w:r>
              <w:rPr>
                <w:sz w:val="18"/>
              </w:rPr>
              <w:t>$0.00</w:t>
            </w:r>
          </w:p>
        </w:tc>
        <w:tc>
          <w:tcPr>
            <w:tcW w:w="1661" w:type="dxa"/>
          </w:tcPr>
          <w:p>
            <w:pPr>
              <w:pStyle w:val="TableParagraph"/>
              <w:spacing w:before="8"/>
              <w:jc w:val="left"/>
              <w:rPr>
                <w:rFonts w:ascii="Times New Roman"/>
                <w:sz w:val="19"/>
              </w:rPr>
            </w:pPr>
          </w:p>
          <w:p>
            <w:pPr>
              <w:pStyle w:val="TableParagraph"/>
              <w:ind w:left="54" w:right="56"/>
              <w:rPr>
                <w:sz w:val="18"/>
              </w:rPr>
            </w:pPr>
            <w:r>
              <w:rPr>
                <w:sz w:val="18"/>
              </w:rPr>
              <w:t>$0.00</w:t>
            </w:r>
          </w:p>
        </w:tc>
        <w:tc>
          <w:tcPr>
            <w:tcW w:w="1658" w:type="dxa"/>
          </w:tcPr>
          <w:p>
            <w:pPr>
              <w:pStyle w:val="TableParagraph"/>
              <w:spacing w:before="8"/>
              <w:jc w:val="left"/>
              <w:rPr>
                <w:rFonts w:ascii="Times New Roman"/>
                <w:sz w:val="19"/>
              </w:rPr>
            </w:pPr>
          </w:p>
          <w:p>
            <w:pPr>
              <w:pStyle w:val="TableParagraph"/>
              <w:ind w:left="52" w:right="53"/>
              <w:rPr>
                <w:sz w:val="18"/>
              </w:rPr>
            </w:pPr>
            <w:r>
              <w:rPr>
                <w:sz w:val="18"/>
              </w:rPr>
              <w:t>$0.00</w:t>
            </w:r>
          </w:p>
        </w:tc>
        <w:tc>
          <w:tcPr>
            <w:tcW w:w="1508" w:type="dxa"/>
          </w:tcPr>
          <w:p>
            <w:pPr>
              <w:pStyle w:val="TableParagraph"/>
              <w:spacing w:before="8"/>
              <w:jc w:val="left"/>
              <w:rPr>
                <w:rFonts w:ascii="Times New Roman"/>
                <w:sz w:val="19"/>
              </w:rPr>
            </w:pPr>
          </w:p>
          <w:p>
            <w:pPr>
              <w:pStyle w:val="TableParagraph"/>
              <w:ind w:left="53" w:right="48"/>
              <w:rPr>
                <w:sz w:val="18"/>
              </w:rPr>
            </w:pPr>
            <w:r>
              <w:rPr>
                <w:sz w:val="18"/>
              </w:rPr>
              <w:t>$0.00</w:t>
            </w:r>
          </w:p>
        </w:tc>
        <w:tc>
          <w:tcPr>
            <w:tcW w:w="1661" w:type="dxa"/>
          </w:tcPr>
          <w:p>
            <w:pPr>
              <w:pStyle w:val="TableParagraph"/>
              <w:spacing w:before="8"/>
              <w:jc w:val="left"/>
              <w:rPr>
                <w:rFonts w:ascii="Times New Roman"/>
                <w:sz w:val="19"/>
              </w:rPr>
            </w:pPr>
          </w:p>
          <w:p>
            <w:pPr>
              <w:pStyle w:val="TableParagraph"/>
              <w:ind w:left="53" w:right="52"/>
              <w:rPr>
                <w:sz w:val="18"/>
              </w:rPr>
            </w:pPr>
            <w:r>
              <w:rPr>
                <w:sz w:val="18"/>
              </w:rPr>
              <w:t>$0.00</w:t>
            </w:r>
          </w:p>
        </w:tc>
        <w:tc>
          <w:tcPr>
            <w:tcW w:w="1661" w:type="dxa"/>
          </w:tcPr>
          <w:p>
            <w:pPr>
              <w:pStyle w:val="TableParagraph"/>
              <w:spacing w:before="8"/>
              <w:jc w:val="left"/>
              <w:rPr>
                <w:rFonts w:ascii="Times New Roman"/>
                <w:sz w:val="19"/>
              </w:rPr>
            </w:pPr>
          </w:p>
          <w:p>
            <w:pPr>
              <w:pStyle w:val="TableParagraph"/>
              <w:ind w:left="53" w:right="54"/>
              <w:rPr>
                <w:sz w:val="18"/>
              </w:rPr>
            </w:pPr>
            <w:r>
              <w:rPr>
                <w:sz w:val="18"/>
              </w:rPr>
              <w:t>$0.00</w:t>
            </w:r>
          </w:p>
        </w:tc>
      </w:tr>
      <w:tr>
        <w:trPr>
          <w:trHeight w:val="632" w:hRule="exact"/>
        </w:trPr>
        <w:tc>
          <w:tcPr>
            <w:tcW w:w="2141" w:type="dxa"/>
          </w:tcPr>
          <w:p>
            <w:pPr>
              <w:pStyle w:val="TableParagraph"/>
              <w:tabs>
                <w:tab w:pos="1811" w:val="left" w:leader="none"/>
              </w:tabs>
              <w:spacing w:line="362" w:lineRule="auto"/>
              <w:ind w:left="64" w:right="68"/>
              <w:jc w:val="left"/>
              <w:rPr>
                <w:b/>
                <w:sz w:val="18"/>
              </w:rPr>
            </w:pPr>
            <w:r>
              <w:rPr>
                <w:b/>
                <w:color w:val="333333"/>
                <w:sz w:val="18"/>
              </w:rPr>
              <w:t>ALMOLOYA</w:t>
              <w:tab/>
              <w:t>DE JUAREZ</w:t>
            </w:r>
          </w:p>
        </w:tc>
        <w:tc>
          <w:tcPr>
            <w:tcW w:w="1658" w:type="dxa"/>
          </w:tcPr>
          <w:p>
            <w:pPr>
              <w:pStyle w:val="TableParagraph"/>
              <w:spacing w:before="155"/>
              <w:ind w:left="53" w:right="53"/>
              <w:rPr>
                <w:sz w:val="18"/>
              </w:rPr>
            </w:pPr>
            <w:r>
              <w:rPr>
                <w:sz w:val="18"/>
              </w:rPr>
              <w:t>$433,831,188.00</w:t>
            </w:r>
          </w:p>
        </w:tc>
        <w:tc>
          <w:tcPr>
            <w:tcW w:w="1508" w:type="dxa"/>
          </w:tcPr>
          <w:p>
            <w:pPr>
              <w:pStyle w:val="TableParagraph"/>
              <w:spacing w:before="155"/>
              <w:ind w:left="53" w:right="48"/>
              <w:rPr>
                <w:sz w:val="18"/>
              </w:rPr>
            </w:pPr>
            <w:r>
              <w:rPr>
                <w:sz w:val="18"/>
              </w:rPr>
              <w:t>$0.00</w:t>
            </w:r>
          </w:p>
        </w:tc>
        <w:tc>
          <w:tcPr>
            <w:tcW w:w="1661" w:type="dxa"/>
          </w:tcPr>
          <w:p>
            <w:pPr>
              <w:pStyle w:val="TableParagraph"/>
              <w:spacing w:before="155"/>
              <w:ind w:left="53" w:right="52"/>
              <w:rPr>
                <w:sz w:val="18"/>
              </w:rPr>
            </w:pPr>
            <w:r>
              <w:rPr>
                <w:sz w:val="18"/>
              </w:rPr>
              <w:t>$0.00</w:t>
            </w:r>
          </w:p>
        </w:tc>
        <w:tc>
          <w:tcPr>
            <w:tcW w:w="1661" w:type="dxa"/>
          </w:tcPr>
          <w:p>
            <w:pPr>
              <w:pStyle w:val="TableParagraph"/>
              <w:spacing w:before="155"/>
              <w:ind w:left="54" w:right="54"/>
              <w:rPr>
                <w:sz w:val="18"/>
              </w:rPr>
            </w:pPr>
            <w:r>
              <w:rPr>
                <w:sz w:val="18"/>
              </w:rPr>
              <w:t>$433,831,188.00</w:t>
            </w:r>
          </w:p>
        </w:tc>
        <w:tc>
          <w:tcPr>
            <w:tcW w:w="1658" w:type="dxa"/>
          </w:tcPr>
          <w:p>
            <w:pPr>
              <w:pStyle w:val="TableParagraph"/>
              <w:spacing w:before="155"/>
              <w:ind w:left="53" w:right="53"/>
              <w:rPr>
                <w:sz w:val="18"/>
              </w:rPr>
            </w:pPr>
            <w:r>
              <w:rPr>
                <w:sz w:val="18"/>
              </w:rPr>
              <w:t>$371,251,858.00</w:t>
            </w:r>
          </w:p>
        </w:tc>
        <w:tc>
          <w:tcPr>
            <w:tcW w:w="1508" w:type="dxa"/>
          </w:tcPr>
          <w:p>
            <w:pPr>
              <w:pStyle w:val="TableParagraph"/>
              <w:spacing w:before="155"/>
              <w:ind w:left="53" w:right="48"/>
              <w:rPr>
                <w:sz w:val="18"/>
              </w:rPr>
            </w:pPr>
            <w:r>
              <w:rPr>
                <w:sz w:val="18"/>
              </w:rPr>
              <w:t>$0.00</w:t>
            </w:r>
          </w:p>
        </w:tc>
        <w:tc>
          <w:tcPr>
            <w:tcW w:w="1661" w:type="dxa"/>
          </w:tcPr>
          <w:p>
            <w:pPr>
              <w:pStyle w:val="TableParagraph"/>
              <w:spacing w:before="155"/>
              <w:ind w:left="53" w:right="52"/>
              <w:rPr>
                <w:sz w:val="18"/>
              </w:rPr>
            </w:pPr>
            <w:r>
              <w:rPr>
                <w:sz w:val="18"/>
              </w:rPr>
              <w:t>$0.00</w:t>
            </w:r>
          </w:p>
        </w:tc>
        <w:tc>
          <w:tcPr>
            <w:tcW w:w="1661" w:type="dxa"/>
          </w:tcPr>
          <w:p>
            <w:pPr>
              <w:pStyle w:val="TableParagraph"/>
              <w:spacing w:before="155"/>
              <w:ind w:left="148"/>
              <w:jc w:val="left"/>
              <w:rPr>
                <w:sz w:val="18"/>
              </w:rPr>
            </w:pPr>
            <w:r>
              <w:rPr>
                <w:sz w:val="18"/>
              </w:rPr>
              <w:t>$371,251,858.00</w:t>
            </w:r>
          </w:p>
        </w:tc>
      </w:tr>
      <w:tr>
        <w:trPr>
          <w:trHeight w:val="521" w:hRule="exact"/>
        </w:trPr>
        <w:tc>
          <w:tcPr>
            <w:tcW w:w="2141" w:type="dxa"/>
          </w:tcPr>
          <w:p>
            <w:pPr>
              <w:pStyle w:val="TableParagraph"/>
              <w:spacing w:before="95"/>
              <w:ind w:left="64" w:right="67"/>
              <w:jc w:val="left"/>
              <w:rPr>
                <w:b/>
                <w:sz w:val="18"/>
              </w:rPr>
            </w:pPr>
            <w:r>
              <w:rPr>
                <w:b/>
                <w:color w:val="333333"/>
                <w:sz w:val="18"/>
              </w:rPr>
              <w:t>ALMOLOYA DEL RIO</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3" w:right="53"/>
              <w:rPr>
                <w:sz w:val="18"/>
              </w:rPr>
            </w:pPr>
            <w:r>
              <w:rPr>
                <w:sz w:val="18"/>
              </w:rPr>
              <w:t>$45,584,669.34</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3" w:right="54"/>
              <w:rPr>
                <w:sz w:val="18"/>
              </w:rPr>
            </w:pPr>
            <w:r>
              <w:rPr>
                <w:sz w:val="18"/>
              </w:rPr>
              <w:t>$0.00</w:t>
            </w:r>
          </w:p>
        </w:tc>
      </w:tr>
      <w:tr>
        <w:trPr>
          <w:trHeight w:val="521" w:hRule="exact"/>
        </w:trPr>
        <w:tc>
          <w:tcPr>
            <w:tcW w:w="2141" w:type="dxa"/>
          </w:tcPr>
          <w:p>
            <w:pPr>
              <w:pStyle w:val="TableParagraph"/>
              <w:spacing w:before="95"/>
              <w:ind w:left="64" w:right="67"/>
              <w:jc w:val="left"/>
              <w:rPr>
                <w:b/>
                <w:sz w:val="18"/>
              </w:rPr>
            </w:pPr>
            <w:r>
              <w:rPr>
                <w:b/>
                <w:color w:val="333333"/>
                <w:sz w:val="18"/>
              </w:rPr>
              <w:t>AMANALCO</w:t>
            </w:r>
          </w:p>
        </w:tc>
        <w:tc>
          <w:tcPr>
            <w:tcW w:w="1658" w:type="dxa"/>
          </w:tcPr>
          <w:p>
            <w:pPr>
              <w:pStyle w:val="TableParagraph"/>
              <w:spacing w:before="100"/>
              <w:ind w:left="53" w:right="53"/>
              <w:rPr>
                <w:sz w:val="18"/>
              </w:rPr>
            </w:pPr>
            <w:r>
              <w:rPr>
                <w:sz w:val="18"/>
              </w:rPr>
              <w:t>$120,545,812.16</w:t>
            </w:r>
          </w:p>
        </w:tc>
        <w:tc>
          <w:tcPr>
            <w:tcW w:w="1508" w:type="dxa"/>
          </w:tcPr>
          <w:p>
            <w:pPr>
              <w:pStyle w:val="TableParagraph"/>
              <w:spacing w:before="100"/>
              <w:ind w:left="53" w:right="49"/>
              <w:rPr>
                <w:sz w:val="18"/>
              </w:rPr>
            </w:pPr>
            <w:r>
              <w:rPr>
                <w:sz w:val="18"/>
              </w:rPr>
              <w:t>$1,766,256.17</w:t>
            </w:r>
          </w:p>
        </w:tc>
        <w:tc>
          <w:tcPr>
            <w:tcW w:w="1661" w:type="dxa"/>
          </w:tcPr>
          <w:p>
            <w:pPr>
              <w:pStyle w:val="TableParagraph"/>
              <w:spacing w:before="100"/>
              <w:ind w:left="53" w:right="51"/>
              <w:rPr>
                <w:sz w:val="18"/>
              </w:rPr>
            </w:pPr>
            <w:r>
              <w:rPr>
                <w:sz w:val="18"/>
              </w:rPr>
              <w:t>$102,413,082.61</w:t>
            </w:r>
          </w:p>
        </w:tc>
        <w:tc>
          <w:tcPr>
            <w:tcW w:w="1661" w:type="dxa"/>
          </w:tcPr>
          <w:p>
            <w:pPr>
              <w:pStyle w:val="TableParagraph"/>
              <w:spacing w:before="100"/>
              <w:ind w:left="54" w:right="54"/>
              <w:rPr>
                <w:sz w:val="18"/>
              </w:rPr>
            </w:pPr>
            <w:r>
              <w:rPr>
                <w:sz w:val="18"/>
              </w:rPr>
              <w:t>$16,366,473.38</w:t>
            </w:r>
          </w:p>
        </w:tc>
        <w:tc>
          <w:tcPr>
            <w:tcW w:w="1658" w:type="dxa"/>
          </w:tcPr>
          <w:p>
            <w:pPr>
              <w:pStyle w:val="TableParagraph"/>
              <w:spacing w:before="100"/>
              <w:ind w:left="53" w:right="53"/>
              <w:rPr>
                <w:sz w:val="18"/>
              </w:rPr>
            </w:pPr>
            <w:r>
              <w:rPr>
                <w:sz w:val="18"/>
              </w:rPr>
              <w:t>$79,460,522.45</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0"/>
              <w:rPr>
                <w:sz w:val="18"/>
              </w:rPr>
            </w:pPr>
            <w:r>
              <w:rPr>
                <w:sz w:val="18"/>
              </w:rPr>
              <w:t>$57,433,274.91</w:t>
            </w:r>
          </w:p>
        </w:tc>
        <w:tc>
          <w:tcPr>
            <w:tcW w:w="1661" w:type="dxa"/>
          </w:tcPr>
          <w:p>
            <w:pPr>
              <w:pStyle w:val="TableParagraph"/>
              <w:spacing w:before="100"/>
              <w:ind w:left="199"/>
              <w:jc w:val="left"/>
              <w:rPr>
                <w:sz w:val="18"/>
              </w:rPr>
            </w:pPr>
            <w:r>
              <w:rPr>
                <w:sz w:val="18"/>
              </w:rPr>
              <w:t>$22,027,247.54</w:t>
            </w:r>
          </w:p>
        </w:tc>
      </w:tr>
      <w:tr>
        <w:trPr>
          <w:trHeight w:val="518" w:hRule="exact"/>
        </w:trPr>
        <w:tc>
          <w:tcPr>
            <w:tcW w:w="2141" w:type="dxa"/>
          </w:tcPr>
          <w:p>
            <w:pPr>
              <w:pStyle w:val="TableParagraph"/>
              <w:spacing w:before="92"/>
              <w:ind w:left="64" w:right="67"/>
              <w:jc w:val="left"/>
              <w:rPr>
                <w:b/>
                <w:sz w:val="18"/>
              </w:rPr>
            </w:pPr>
            <w:r>
              <w:rPr>
                <w:b/>
                <w:color w:val="333333"/>
                <w:sz w:val="18"/>
              </w:rPr>
              <w:t>AMATEPEC</w:t>
            </w:r>
          </w:p>
        </w:tc>
        <w:tc>
          <w:tcPr>
            <w:tcW w:w="1658" w:type="dxa"/>
          </w:tcPr>
          <w:p>
            <w:pPr>
              <w:pStyle w:val="TableParagraph"/>
              <w:spacing w:before="97"/>
              <w:ind w:left="53" w:right="53"/>
              <w:rPr>
                <w:sz w:val="18"/>
              </w:rPr>
            </w:pPr>
            <w:r>
              <w:rPr>
                <w:sz w:val="18"/>
              </w:rPr>
              <w:t>$156,913,744.00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54" w:right="54"/>
              <w:rPr>
                <w:sz w:val="18"/>
              </w:rPr>
            </w:pPr>
            <w:r>
              <w:rPr>
                <w:sz w:val="18"/>
              </w:rPr>
              <w:t>$156,913,744.00</w:t>
            </w:r>
          </w:p>
        </w:tc>
        <w:tc>
          <w:tcPr>
            <w:tcW w:w="1658" w:type="dxa"/>
          </w:tcPr>
          <w:p>
            <w:pPr>
              <w:pStyle w:val="TableParagraph"/>
              <w:spacing w:before="97"/>
              <w:ind w:left="53" w:right="53"/>
              <w:rPr>
                <w:sz w:val="18"/>
              </w:rPr>
            </w:pPr>
            <w:r>
              <w:rPr>
                <w:sz w:val="18"/>
              </w:rPr>
              <w:t>$142,197,521.73</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148"/>
              <w:jc w:val="left"/>
              <w:rPr>
                <w:sz w:val="18"/>
              </w:rPr>
            </w:pPr>
            <w:r>
              <w:rPr>
                <w:sz w:val="18"/>
              </w:rPr>
              <w:t>$142,197,521.73</w:t>
            </w:r>
          </w:p>
        </w:tc>
      </w:tr>
      <w:tr>
        <w:trPr>
          <w:trHeight w:val="521" w:hRule="exact"/>
        </w:trPr>
        <w:tc>
          <w:tcPr>
            <w:tcW w:w="2141" w:type="dxa"/>
          </w:tcPr>
          <w:p>
            <w:pPr>
              <w:pStyle w:val="TableParagraph"/>
              <w:spacing w:before="95"/>
              <w:ind w:left="64" w:right="67"/>
              <w:jc w:val="left"/>
              <w:rPr>
                <w:b/>
                <w:sz w:val="18"/>
              </w:rPr>
            </w:pPr>
            <w:r>
              <w:rPr>
                <w:b/>
                <w:color w:val="333333"/>
                <w:sz w:val="18"/>
              </w:rPr>
              <w:t>AMECAMECA</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3" w:right="54"/>
              <w:rPr>
                <w:sz w:val="18"/>
              </w:rPr>
            </w:pPr>
            <w:r>
              <w:rPr>
                <w:sz w:val="18"/>
              </w:rPr>
              <w:t>$0.00</w:t>
            </w:r>
          </w:p>
        </w:tc>
      </w:tr>
      <w:tr>
        <w:trPr>
          <w:trHeight w:val="521" w:hRule="exact"/>
        </w:trPr>
        <w:tc>
          <w:tcPr>
            <w:tcW w:w="2141" w:type="dxa"/>
          </w:tcPr>
          <w:p>
            <w:pPr>
              <w:pStyle w:val="TableParagraph"/>
              <w:spacing w:before="95"/>
              <w:ind w:left="64" w:right="67"/>
              <w:jc w:val="left"/>
              <w:rPr>
                <w:b/>
                <w:sz w:val="18"/>
              </w:rPr>
            </w:pPr>
            <w:r>
              <w:rPr>
                <w:b/>
                <w:color w:val="333333"/>
                <w:sz w:val="18"/>
              </w:rPr>
              <w:t>APAXCO</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3" w:right="54"/>
              <w:rPr>
                <w:sz w:val="18"/>
              </w:rPr>
            </w:pPr>
            <w:r>
              <w:rPr>
                <w:sz w:val="18"/>
              </w:rPr>
              <w:t>$0.00</w:t>
            </w:r>
          </w:p>
        </w:tc>
      </w:tr>
      <w:tr>
        <w:trPr>
          <w:trHeight w:val="518" w:hRule="exact"/>
        </w:trPr>
        <w:tc>
          <w:tcPr>
            <w:tcW w:w="2141" w:type="dxa"/>
          </w:tcPr>
          <w:p>
            <w:pPr>
              <w:pStyle w:val="TableParagraph"/>
              <w:spacing w:before="92"/>
              <w:ind w:left="64" w:right="67"/>
              <w:jc w:val="left"/>
              <w:rPr>
                <w:b/>
                <w:sz w:val="18"/>
              </w:rPr>
            </w:pPr>
            <w:r>
              <w:rPr>
                <w:b/>
                <w:color w:val="333333"/>
                <w:sz w:val="18"/>
              </w:rPr>
              <w:t>ATENCO</w:t>
            </w:r>
          </w:p>
        </w:tc>
        <w:tc>
          <w:tcPr>
            <w:tcW w:w="1658" w:type="dxa"/>
          </w:tcPr>
          <w:p>
            <w:pPr>
              <w:pStyle w:val="TableParagraph"/>
              <w:spacing w:before="97"/>
              <w:ind w:left="52" w:right="53"/>
              <w:rPr>
                <w:sz w:val="18"/>
              </w:rPr>
            </w:pPr>
            <w:r>
              <w:rPr>
                <w:sz w:val="18"/>
              </w:rPr>
              <w:t>$0.00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54" w:right="56"/>
              <w:rPr>
                <w:sz w:val="18"/>
              </w:rPr>
            </w:pPr>
            <w:r>
              <w:rPr>
                <w:sz w:val="18"/>
              </w:rPr>
              <w:t>$0.00</w:t>
            </w:r>
          </w:p>
        </w:tc>
        <w:tc>
          <w:tcPr>
            <w:tcW w:w="1658" w:type="dxa"/>
          </w:tcPr>
          <w:p>
            <w:pPr>
              <w:pStyle w:val="TableParagraph"/>
              <w:spacing w:before="97"/>
              <w:ind w:left="52" w:right="53"/>
              <w:rPr>
                <w:sz w:val="18"/>
              </w:rPr>
            </w:pPr>
            <w:r>
              <w:rPr>
                <w:sz w:val="18"/>
              </w:rPr>
              <w:t>$0.00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53" w:right="54"/>
              <w:rPr>
                <w:sz w:val="18"/>
              </w:rPr>
            </w:pPr>
            <w:r>
              <w:rPr>
                <w:sz w:val="18"/>
              </w:rPr>
              <w:t>$0.00</w:t>
            </w:r>
          </w:p>
        </w:tc>
      </w:tr>
    </w:tbl>
    <w:p>
      <w:pPr>
        <w:spacing w:after="0"/>
        <w:rPr>
          <w:sz w:val="18"/>
        </w:rPr>
        <w:sectPr>
          <w:pgSz w:w="15840" w:h="12240" w:orient="landscape"/>
          <w:pgMar w:header="0" w:footer="975" w:top="1140" w:bottom="1160" w:left="240" w:right="240"/>
        </w:sectPr>
      </w:pPr>
    </w:p>
    <w:p>
      <w:pPr>
        <w:pStyle w:val="BodyText"/>
        <w:rPr>
          <w:rFonts w:ascii="Times New Roman"/>
          <w:sz w:val="20"/>
        </w:rPr>
      </w:pPr>
    </w:p>
    <w:p>
      <w:pPr>
        <w:pStyle w:val="BodyText"/>
        <w:spacing w:before="10"/>
        <w:rPr>
          <w:rFonts w:ascii="Times New Roman"/>
          <w:sz w:val="28"/>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41"/>
        <w:gridCol w:w="1658"/>
        <w:gridCol w:w="1508"/>
        <w:gridCol w:w="1661"/>
        <w:gridCol w:w="1661"/>
        <w:gridCol w:w="1658"/>
        <w:gridCol w:w="1508"/>
        <w:gridCol w:w="1661"/>
        <w:gridCol w:w="1661"/>
      </w:tblGrid>
      <w:tr>
        <w:trPr>
          <w:trHeight w:val="430" w:hRule="exact"/>
        </w:trPr>
        <w:tc>
          <w:tcPr>
            <w:tcW w:w="15117" w:type="dxa"/>
            <w:gridSpan w:val="9"/>
            <w:shd w:val="clear" w:color="auto" w:fill="C5DFB3"/>
          </w:tcPr>
          <w:p>
            <w:pPr>
              <w:pStyle w:val="TableParagraph"/>
              <w:spacing w:before="49"/>
              <w:ind w:left="3900"/>
              <w:jc w:val="left"/>
              <w:rPr>
                <w:b/>
                <w:sz w:val="18"/>
              </w:rPr>
            </w:pPr>
            <w:r>
              <w:rPr>
                <w:b/>
                <w:sz w:val="18"/>
              </w:rPr>
              <w:t>Anexo 24C. Municipios que publican apartado presupuesto 2012-2013 (Continuación)</w:t>
            </w:r>
          </w:p>
        </w:tc>
      </w:tr>
      <w:tr>
        <w:trPr>
          <w:trHeight w:val="320" w:hRule="exact"/>
        </w:trPr>
        <w:tc>
          <w:tcPr>
            <w:tcW w:w="2141"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23"/>
              </w:rPr>
            </w:pPr>
          </w:p>
          <w:p>
            <w:pPr>
              <w:pStyle w:val="TableParagraph"/>
              <w:ind w:left="643" w:right="67"/>
              <w:jc w:val="left"/>
              <w:rPr>
                <w:b/>
                <w:sz w:val="18"/>
              </w:rPr>
            </w:pPr>
            <w:r>
              <w:rPr>
                <w:b/>
                <w:sz w:val="18"/>
              </w:rPr>
              <w:t>Municipio</w:t>
            </w:r>
          </w:p>
        </w:tc>
        <w:tc>
          <w:tcPr>
            <w:tcW w:w="6488" w:type="dxa"/>
            <w:gridSpan w:val="4"/>
            <w:shd w:val="clear" w:color="auto" w:fill="C5DFB3"/>
          </w:tcPr>
          <w:p>
            <w:pPr>
              <w:pStyle w:val="TableParagraph"/>
              <w:spacing w:line="201" w:lineRule="exact"/>
              <w:ind w:left="3020" w:right="3018"/>
              <w:rPr>
                <w:b/>
                <w:sz w:val="18"/>
              </w:rPr>
            </w:pPr>
            <w:r>
              <w:rPr>
                <w:b/>
                <w:sz w:val="18"/>
              </w:rPr>
              <w:t>2012</w:t>
            </w:r>
          </w:p>
        </w:tc>
        <w:tc>
          <w:tcPr>
            <w:tcW w:w="6488" w:type="dxa"/>
            <w:gridSpan w:val="4"/>
            <w:shd w:val="clear" w:color="auto" w:fill="C5DFB3"/>
          </w:tcPr>
          <w:p>
            <w:pPr>
              <w:pStyle w:val="TableParagraph"/>
              <w:spacing w:line="201" w:lineRule="exact"/>
              <w:ind w:left="3019" w:right="3018"/>
              <w:rPr>
                <w:b/>
                <w:sz w:val="18"/>
              </w:rPr>
            </w:pPr>
            <w:r>
              <w:rPr>
                <w:b/>
                <w:sz w:val="18"/>
              </w:rPr>
              <w:t>2013</w:t>
            </w:r>
          </w:p>
        </w:tc>
      </w:tr>
      <w:tr>
        <w:trPr>
          <w:trHeight w:val="1374" w:hRule="exact"/>
        </w:trPr>
        <w:tc>
          <w:tcPr>
            <w:tcW w:w="2141" w:type="dxa"/>
            <w:vMerge/>
            <w:shd w:val="clear" w:color="auto" w:fill="C5DFB3"/>
          </w:tcPr>
          <w:p>
            <w:pPr/>
          </w:p>
        </w:tc>
        <w:tc>
          <w:tcPr>
            <w:tcW w:w="165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w w:val="100"/>
                <w:sz w:val="18"/>
              </w:rPr>
              <w:t>Autoriz</w:t>
            </w:r>
            <w:r>
              <w:rPr>
                <w:b/>
                <w:w w:val="99"/>
                <w:sz w:val="18"/>
              </w:rPr>
              <w:t>a</w:t>
            </w:r>
            <w:r>
              <w:rPr>
                <w:b/>
                <w:w w:val="100"/>
                <w:sz w:val="18"/>
              </w:rPr>
              <w:t>do</w:t>
            </w:r>
          </w:p>
        </w:tc>
        <w:tc>
          <w:tcPr>
            <w:tcW w:w="150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15"/>
              </w:rPr>
            </w:pPr>
          </w:p>
          <w:p>
            <w:pPr>
              <w:pStyle w:val="TableParagraph"/>
              <w:ind w:left="206"/>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326"/>
              <w:jc w:val="left"/>
              <w:rPr>
                <w:b/>
                <w:sz w:val="18"/>
              </w:rPr>
            </w:pPr>
            <w:r>
              <w:rPr>
                <w:b/>
                <w:w w:val="100"/>
                <w:sz w:val="18"/>
              </w:rPr>
              <w:t>Eje</w:t>
            </w:r>
            <w:r>
              <w:rPr>
                <w:b/>
                <w:w w:val="99"/>
                <w:sz w:val="18"/>
              </w:rPr>
              <w:t>rc</w:t>
            </w:r>
            <w:r>
              <w:rPr>
                <w:b/>
                <w:w w:val="100"/>
                <w:sz w:val="18"/>
              </w:rPr>
              <w:t>ido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211"/>
              <w:jc w:val="left"/>
              <w:rPr>
                <w:b/>
                <w:sz w:val="18"/>
              </w:rPr>
            </w:pPr>
            <w:r>
              <w:rPr>
                <w:b/>
                <w:sz w:val="18"/>
              </w:rPr>
              <w:t>Por </w:t>
            </w:r>
            <w:r>
              <w:rPr>
                <w:b/>
                <w:w w:val="99"/>
                <w:sz w:val="18"/>
              </w:rPr>
              <w:t>e</w:t>
            </w:r>
            <w:r>
              <w:rPr>
                <w:b/>
                <w:w w:val="100"/>
                <w:sz w:val="18"/>
              </w:rPr>
              <w:t>je</w:t>
            </w:r>
            <w:r>
              <w:rPr>
                <w:b/>
                <w:w w:val="99"/>
                <w:sz w:val="18"/>
              </w:rPr>
              <w:t>rcer</w:t>
            </w:r>
          </w:p>
        </w:tc>
        <w:tc>
          <w:tcPr>
            <w:tcW w:w="165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w w:val="100"/>
                <w:sz w:val="18"/>
              </w:rPr>
              <w:t>Autoriz</w:t>
            </w:r>
            <w:r>
              <w:rPr>
                <w:b/>
                <w:w w:val="99"/>
                <w:sz w:val="18"/>
              </w:rPr>
              <w:t>a</w:t>
            </w:r>
            <w:r>
              <w:rPr>
                <w:b/>
                <w:w w:val="100"/>
                <w:sz w:val="18"/>
              </w:rPr>
              <w:t>do</w:t>
            </w:r>
          </w:p>
        </w:tc>
        <w:tc>
          <w:tcPr>
            <w:tcW w:w="150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15"/>
              </w:rPr>
            </w:pPr>
          </w:p>
          <w:p>
            <w:pPr>
              <w:pStyle w:val="TableParagraph"/>
              <w:ind w:left="206"/>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326"/>
              <w:jc w:val="left"/>
              <w:rPr>
                <w:b/>
                <w:sz w:val="18"/>
              </w:rPr>
            </w:pPr>
            <w:r>
              <w:rPr>
                <w:b/>
                <w:w w:val="100"/>
                <w:sz w:val="18"/>
              </w:rPr>
              <w:t>Eje</w:t>
            </w:r>
            <w:r>
              <w:rPr>
                <w:b/>
                <w:w w:val="99"/>
                <w:sz w:val="18"/>
              </w:rPr>
              <w:t>rci</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sz w:val="18"/>
              </w:rPr>
              <w:t>Por </w:t>
            </w:r>
            <w:r>
              <w:rPr>
                <w:b/>
                <w:w w:val="99"/>
                <w:sz w:val="18"/>
              </w:rPr>
              <w:t>e</w:t>
            </w:r>
            <w:r>
              <w:rPr>
                <w:b/>
                <w:w w:val="100"/>
                <w:sz w:val="18"/>
              </w:rPr>
              <w:t>je</w:t>
            </w:r>
            <w:r>
              <w:rPr>
                <w:b/>
                <w:w w:val="99"/>
                <w:sz w:val="18"/>
              </w:rPr>
              <w:t>rcer</w:t>
            </w:r>
          </w:p>
        </w:tc>
      </w:tr>
      <w:tr>
        <w:trPr>
          <w:trHeight w:val="521" w:hRule="exact"/>
        </w:trPr>
        <w:tc>
          <w:tcPr>
            <w:tcW w:w="2141" w:type="dxa"/>
          </w:tcPr>
          <w:p>
            <w:pPr>
              <w:pStyle w:val="TableParagraph"/>
              <w:spacing w:before="95"/>
              <w:ind w:left="64" w:right="67"/>
              <w:jc w:val="left"/>
              <w:rPr>
                <w:b/>
                <w:sz w:val="18"/>
              </w:rPr>
            </w:pPr>
            <w:r>
              <w:rPr>
                <w:b/>
                <w:color w:val="333333"/>
                <w:sz w:val="18"/>
              </w:rPr>
              <w:t>ATIZAPAN</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3" w:right="54"/>
              <w:rPr>
                <w:sz w:val="18"/>
              </w:rPr>
            </w:pPr>
            <w:r>
              <w:rPr>
                <w:sz w:val="18"/>
              </w:rPr>
              <w:t>$0.00</w:t>
            </w:r>
          </w:p>
        </w:tc>
      </w:tr>
      <w:tr>
        <w:trPr>
          <w:trHeight w:val="775" w:hRule="exact"/>
        </w:trPr>
        <w:tc>
          <w:tcPr>
            <w:tcW w:w="2141" w:type="dxa"/>
          </w:tcPr>
          <w:p>
            <w:pPr>
              <w:pStyle w:val="TableParagraph"/>
              <w:tabs>
                <w:tab w:pos="1811" w:val="left" w:leader="none"/>
              </w:tabs>
              <w:spacing w:line="362" w:lineRule="auto" w:before="66"/>
              <w:ind w:left="64" w:right="68"/>
              <w:jc w:val="left"/>
              <w:rPr>
                <w:b/>
                <w:sz w:val="18"/>
              </w:rPr>
            </w:pPr>
            <w:r>
              <w:rPr>
                <w:b/>
                <w:color w:val="333333"/>
                <w:sz w:val="18"/>
              </w:rPr>
              <w:t>ATIZAPAN</w:t>
              <w:tab/>
              <w:t>DE ZARAGOZA</w:t>
            </w:r>
          </w:p>
        </w:tc>
        <w:tc>
          <w:tcPr>
            <w:tcW w:w="1658" w:type="dxa"/>
          </w:tcPr>
          <w:p>
            <w:pPr>
              <w:pStyle w:val="TableParagraph"/>
              <w:spacing w:before="8"/>
              <w:jc w:val="left"/>
              <w:rPr>
                <w:rFonts w:ascii="Times New Roman"/>
                <w:sz w:val="19"/>
              </w:rPr>
            </w:pPr>
          </w:p>
          <w:p>
            <w:pPr>
              <w:pStyle w:val="TableParagraph"/>
              <w:ind w:left="53" w:right="53"/>
              <w:rPr>
                <w:sz w:val="18"/>
              </w:rPr>
            </w:pPr>
            <w:r>
              <w:rPr>
                <w:sz w:val="18"/>
              </w:rPr>
              <w:t>$3,183,069,456.00</w:t>
            </w:r>
          </w:p>
        </w:tc>
        <w:tc>
          <w:tcPr>
            <w:tcW w:w="1508" w:type="dxa"/>
          </w:tcPr>
          <w:p>
            <w:pPr>
              <w:pStyle w:val="TableParagraph"/>
              <w:spacing w:before="8"/>
              <w:jc w:val="left"/>
              <w:rPr>
                <w:rFonts w:ascii="Times New Roman"/>
                <w:sz w:val="19"/>
              </w:rPr>
            </w:pPr>
          </w:p>
          <w:p>
            <w:pPr>
              <w:pStyle w:val="TableParagraph"/>
              <w:ind w:left="53" w:right="48"/>
              <w:rPr>
                <w:sz w:val="18"/>
              </w:rPr>
            </w:pPr>
            <w:r>
              <w:rPr>
                <w:sz w:val="18"/>
              </w:rPr>
              <w:t>$0.00</w:t>
            </w:r>
          </w:p>
        </w:tc>
        <w:tc>
          <w:tcPr>
            <w:tcW w:w="1661" w:type="dxa"/>
          </w:tcPr>
          <w:p>
            <w:pPr>
              <w:pStyle w:val="TableParagraph"/>
              <w:spacing w:before="8"/>
              <w:jc w:val="left"/>
              <w:rPr>
                <w:rFonts w:ascii="Times New Roman"/>
                <w:sz w:val="19"/>
              </w:rPr>
            </w:pPr>
          </w:p>
          <w:p>
            <w:pPr>
              <w:pStyle w:val="TableParagraph"/>
              <w:ind w:left="53" w:right="53"/>
              <w:rPr>
                <w:sz w:val="18"/>
              </w:rPr>
            </w:pPr>
            <w:r>
              <w:rPr>
                <w:sz w:val="18"/>
              </w:rPr>
              <w:t>$1,623,484,836.40</w:t>
            </w:r>
          </w:p>
        </w:tc>
        <w:tc>
          <w:tcPr>
            <w:tcW w:w="1661" w:type="dxa"/>
          </w:tcPr>
          <w:p>
            <w:pPr>
              <w:pStyle w:val="TableParagraph"/>
              <w:spacing w:before="8"/>
              <w:jc w:val="left"/>
              <w:rPr>
                <w:rFonts w:ascii="Times New Roman"/>
                <w:sz w:val="19"/>
              </w:rPr>
            </w:pPr>
          </w:p>
          <w:p>
            <w:pPr>
              <w:pStyle w:val="TableParagraph"/>
              <w:ind w:left="54" w:right="56"/>
              <w:rPr>
                <w:sz w:val="18"/>
              </w:rPr>
            </w:pPr>
            <w:r>
              <w:rPr>
                <w:sz w:val="18"/>
              </w:rPr>
              <w:t>$1,559,584,619.60</w:t>
            </w:r>
          </w:p>
        </w:tc>
        <w:tc>
          <w:tcPr>
            <w:tcW w:w="1658" w:type="dxa"/>
          </w:tcPr>
          <w:p>
            <w:pPr>
              <w:pStyle w:val="TableParagraph"/>
              <w:spacing w:before="8"/>
              <w:jc w:val="left"/>
              <w:rPr>
                <w:rFonts w:ascii="Times New Roman"/>
                <w:sz w:val="19"/>
              </w:rPr>
            </w:pPr>
          </w:p>
          <w:p>
            <w:pPr>
              <w:pStyle w:val="TableParagraph"/>
              <w:ind w:left="53" w:right="53"/>
              <w:rPr>
                <w:sz w:val="18"/>
              </w:rPr>
            </w:pPr>
            <w:r>
              <w:rPr>
                <w:sz w:val="18"/>
              </w:rPr>
              <w:t>$2,862,442,032.00</w:t>
            </w:r>
          </w:p>
        </w:tc>
        <w:tc>
          <w:tcPr>
            <w:tcW w:w="1508" w:type="dxa"/>
          </w:tcPr>
          <w:p>
            <w:pPr>
              <w:pStyle w:val="TableParagraph"/>
              <w:spacing w:before="8"/>
              <w:jc w:val="left"/>
              <w:rPr>
                <w:rFonts w:ascii="Times New Roman"/>
                <w:sz w:val="19"/>
              </w:rPr>
            </w:pPr>
          </w:p>
          <w:p>
            <w:pPr>
              <w:pStyle w:val="TableParagraph"/>
              <w:ind w:left="53" w:right="52"/>
              <w:rPr>
                <w:sz w:val="18"/>
              </w:rPr>
            </w:pPr>
            <w:r>
              <w:rPr>
                <w:sz w:val="18"/>
              </w:rPr>
              <w:t>$135,091,830.88</w:t>
            </w:r>
          </w:p>
        </w:tc>
        <w:tc>
          <w:tcPr>
            <w:tcW w:w="1661" w:type="dxa"/>
          </w:tcPr>
          <w:p>
            <w:pPr>
              <w:pStyle w:val="TableParagraph"/>
              <w:spacing w:before="8"/>
              <w:jc w:val="left"/>
              <w:rPr>
                <w:rFonts w:ascii="Times New Roman"/>
                <w:sz w:val="19"/>
              </w:rPr>
            </w:pPr>
          </w:p>
          <w:p>
            <w:pPr>
              <w:pStyle w:val="TableParagraph"/>
              <w:ind w:left="53" w:right="53"/>
              <w:rPr>
                <w:sz w:val="18"/>
              </w:rPr>
            </w:pPr>
            <w:r>
              <w:rPr>
                <w:sz w:val="18"/>
              </w:rPr>
              <w:t>$1,141,724,164.01</w:t>
            </w:r>
          </w:p>
        </w:tc>
        <w:tc>
          <w:tcPr>
            <w:tcW w:w="1661" w:type="dxa"/>
          </w:tcPr>
          <w:p>
            <w:pPr>
              <w:pStyle w:val="TableParagraph"/>
              <w:spacing w:before="8"/>
              <w:jc w:val="left"/>
              <w:rPr>
                <w:rFonts w:ascii="Times New Roman"/>
                <w:sz w:val="19"/>
              </w:rPr>
            </w:pPr>
          </w:p>
          <w:p>
            <w:pPr>
              <w:pStyle w:val="TableParagraph"/>
              <w:ind w:left="52" w:right="54"/>
              <w:rPr>
                <w:sz w:val="18"/>
              </w:rPr>
            </w:pPr>
            <w:r>
              <w:rPr>
                <w:sz w:val="18"/>
              </w:rPr>
              <w:t>$1,585,626,037.11</w:t>
            </w:r>
          </w:p>
        </w:tc>
      </w:tr>
      <w:tr>
        <w:trPr>
          <w:trHeight w:val="521" w:hRule="exact"/>
        </w:trPr>
        <w:tc>
          <w:tcPr>
            <w:tcW w:w="2141" w:type="dxa"/>
          </w:tcPr>
          <w:p>
            <w:pPr>
              <w:pStyle w:val="TableParagraph"/>
              <w:spacing w:before="95"/>
              <w:ind w:left="64" w:right="67"/>
              <w:jc w:val="left"/>
              <w:rPr>
                <w:b/>
                <w:sz w:val="18"/>
              </w:rPr>
            </w:pPr>
            <w:r>
              <w:rPr>
                <w:b/>
                <w:color w:val="333333"/>
                <w:sz w:val="18"/>
              </w:rPr>
              <w:t>ATLACOMULCO</w:t>
            </w:r>
          </w:p>
        </w:tc>
        <w:tc>
          <w:tcPr>
            <w:tcW w:w="1658" w:type="dxa"/>
          </w:tcPr>
          <w:p>
            <w:pPr>
              <w:pStyle w:val="TableParagraph"/>
              <w:spacing w:before="100"/>
              <w:ind w:left="53" w:right="53"/>
              <w:rPr>
                <w:sz w:val="18"/>
              </w:rPr>
            </w:pPr>
            <w:r>
              <w:rPr>
                <w:sz w:val="18"/>
              </w:rPr>
              <w:t>$380,159,628.15</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4"/>
              <w:rPr>
                <w:sz w:val="18"/>
              </w:rPr>
            </w:pPr>
            <w:r>
              <w:rPr>
                <w:sz w:val="18"/>
              </w:rPr>
              <w:t>$380,159,628.15</w:t>
            </w:r>
          </w:p>
        </w:tc>
        <w:tc>
          <w:tcPr>
            <w:tcW w:w="1658" w:type="dxa"/>
          </w:tcPr>
          <w:p>
            <w:pPr>
              <w:pStyle w:val="TableParagraph"/>
              <w:spacing w:before="100"/>
              <w:ind w:left="53" w:right="53"/>
              <w:rPr>
                <w:sz w:val="18"/>
              </w:rPr>
            </w:pPr>
            <w:r>
              <w:rPr>
                <w:sz w:val="18"/>
              </w:rPr>
              <w:t>$367,852,302.93</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3" w:right="53"/>
              <w:rPr>
                <w:sz w:val="18"/>
              </w:rPr>
            </w:pPr>
            <w:r>
              <w:rPr>
                <w:sz w:val="18"/>
              </w:rPr>
              <w:t>$367,852,302.93</w:t>
            </w:r>
          </w:p>
        </w:tc>
      </w:tr>
      <w:tr>
        <w:trPr>
          <w:trHeight w:val="518" w:hRule="exact"/>
        </w:trPr>
        <w:tc>
          <w:tcPr>
            <w:tcW w:w="2141" w:type="dxa"/>
          </w:tcPr>
          <w:p>
            <w:pPr>
              <w:pStyle w:val="TableParagraph"/>
              <w:spacing w:before="92"/>
              <w:ind w:left="64" w:right="67"/>
              <w:jc w:val="left"/>
              <w:rPr>
                <w:b/>
                <w:sz w:val="18"/>
              </w:rPr>
            </w:pPr>
            <w:r>
              <w:rPr>
                <w:b/>
                <w:color w:val="333333"/>
                <w:sz w:val="18"/>
              </w:rPr>
              <w:t>ATLAUTLA</w:t>
            </w:r>
          </w:p>
        </w:tc>
        <w:tc>
          <w:tcPr>
            <w:tcW w:w="1658" w:type="dxa"/>
          </w:tcPr>
          <w:p>
            <w:pPr>
              <w:pStyle w:val="TableParagraph"/>
              <w:spacing w:before="97"/>
              <w:ind w:left="53" w:right="53"/>
              <w:rPr>
                <w:sz w:val="18"/>
              </w:rPr>
            </w:pPr>
            <w:r>
              <w:rPr>
                <w:sz w:val="18"/>
              </w:rPr>
              <w:t>$120,000,000.00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54" w:right="54"/>
              <w:rPr>
                <w:sz w:val="18"/>
              </w:rPr>
            </w:pPr>
            <w:r>
              <w:rPr>
                <w:sz w:val="18"/>
              </w:rPr>
              <w:t>$120,000,000.00</w:t>
            </w:r>
          </w:p>
        </w:tc>
        <w:tc>
          <w:tcPr>
            <w:tcW w:w="1658" w:type="dxa"/>
          </w:tcPr>
          <w:p>
            <w:pPr>
              <w:pStyle w:val="TableParagraph"/>
              <w:spacing w:before="97"/>
              <w:ind w:left="53" w:right="53"/>
              <w:rPr>
                <w:sz w:val="18"/>
              </w:rPr>
            </w:pPr>
            <w:r>
              <w:rPr>
                <w:sz w:val="18"/>
              </w:rPr>
              <w:t>$126,875,000.00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53" w:right="53"/>
              <w:rPr>
                <w:sz w:val="18"/>
              </w:rPr>
            </w:pPr>
            <w:r>
              <w:rPr>
                <w:sz w:val="18"/>
              </w:rPr>
              <w:t>$126,875,000.00</w:t>
            </w:r>
          </w:p>
        </w:tc>
      </w:tr>
      <w:tr>
        <w:trPr>
          <w:trHeight w:val="521" w:hRule="exact"/>
        </w:trPr>
        <w:tc>
          <w:tcPr>
            <w:tcW w:w="2141" w:type="dxa"/>
          </w:tcPr>
          <w:p>
            <w:pPr>
              <w:pStyle w:val="TableParagraph"/>
              <w:spacing w:before="95"/>
              <w:ind w:left="64" w:right="67"/>
              <w:jc w:val="left"/>
              <w:rPr>
                <w:b/>
                <w:sz w:val="18"/>
              </w:rPr>
            </w:pPr>
            <w:r>
              <w:rPr>
                <w:b/>
                <w:color w:val="333333"/>
                <w:sz w:val="18"/>
              </w:rPr>
              <w:t>AXAPUSCO</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3" w:right="54"/>
              <w:rPr>
                <w:sz w:val="18"/>
              </w:rPr>
            </w:pPr>
            <w:r>
              <w:rPr>
                <w:sz w:val="18"/>
              </w:rPr>
              <w:t>$0.00</w:t>
            </w:r>
          </w:p>
        </w:tc>
      </w:tr>
      <w:tr>
        <w:trPr>
          <w:trHeight w:val="521" w:hRule="exact"/>
        </w:trPr>
        <w:tc>
          <w:tcPr>
            <w:tcW w:w="2141" w:type="dxa"/>
          </w:tcPr>
          <w:p>
            <w:pPr>
              <w:pStyle w:val="TableParagraph"/>
              <w:spacing w:before="95"/>
              <w:ind w:left="64" w:right="67"/>
              <w:jc w:val="left"/>
              <w:rPr>
                <w:b/>
                <w:sz w:val="18"/>
              </w:rPr>
            </w:pPr>
            <w:r>
              <w:rPr>
                <w:b/>
                <w:color w:val="333333"/>
                <w:sz w:val="18"/>
              </w:rPr>
              <w:t>AYAPANGO</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3" w:right="54"/>
              <w:rPr>
                <w:sz w:val="18"/>
              </w:rPr>
            </w:pPr>
            <w:r>
              <w:rPr>
                <w:sz w:val="18"/>
              </w:rPr>
              <w:t>$0.00</w:t>
            </w:r>
          </w:p>
        </w:tc>
      </w:tr>
      <w:tr>
        <w:trPr>
          <w:trHeight w:val="518" w:hRule="exact"/>
        </w:trPr>
        <w:tc>
          <w:tcPr>
            <w:tcW w:w="2141" w:type="dxa"/>
          </w:tcPr>
          <w:p>
            <w:pPr>
              <w:pStyle w:val="TableParagraph"/>
              <w:spacing w:before="92"/>
              <w:ind w:left="64" w:right="67"/>
              <w:jc w:val="left"/>
              <w:rPr>
                <w:b/>
                <w:sz w:val="18"/>
              </w:rPr>
            </w:pPr>
            <w:r>
              <w:rPr>
                <w:b/>
                <w:color w:val="333333"/>
                <w:sz w:val="18"/>
              </w:rPr>
              <w:t>CALIMAYA</w:t>
            </w:r>
          </w:p>
        </w:tc>
        <w:tc>
          <w:tcPr>
            <w:tcW w:w="1658" w:type="dxa"/>
          </w:tcPr>
          <w:p>
            <w:pPr>
              <w:pStyle w:val="TableParagraph"/>
              <w:spacing w:before="97"/>
              <w:ind w:left="53" w:right="53"/>
              <w:rPr>
                <w:sz w:val="18"/>
              </w:rPr>
            </w:pPr>
            <w:r>
              <w:rPr>
                <w:sz w:val="18"/>
              </w:rPr>
              <w:t>$159,537,146.40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1"/>
              <w:rPr>
                <w:sz w:val="18"/>
              </w:rPr>
            </w:pPr>
            <w:r>
              <w:rPr>
                <w:sz w:val="18"/>
              </w:rPr>
              <w:t>$150,951,905.19</w:t>
            </w:r>
          </w:p>
        </w:tc>
        <w:tc>
          <w:tcPr>
            <w:tcW w:w="1661" w:type="dxa"/>
          </w:tcPr>
          <w:p>
            <w:pPr>
              <w:pStyle w:val="TableParagraph"/>
              <w:spacing w:before="97"/>
              <w:ind w:left="54" w:right="56"/>
              <w:rPr>
                <w:sz w:val="18"/>
              </w:rPr>
            </w:pPr>
            <w:r>
              <w:rPr>
                <w:sz w:val="18"/>
              </w:rPr>
              <w:t>$8,585,241.21</w:t>
            </w:r>
          </w:p>
        </w:tc>
        <w:tc>
          <w:tcPr>
            <w:tcW w:w="1658" w:type="dxa"/>
          </w:tcPr>
          <w:p>
            <w:pPr>
              <w:pStyle w:val="TableParagraph"/>
              <w:spacing w:before="97"/>
              <w:ind w:left="53" w:right="53"/>
              <w:rPr>
                <w:sz w:val="18"/>
              </w:rPr>
            </w:pPr>
            <w:r>
              <w:rPr>
                <w:sz w:val="18"/>
              </w:rPr>
              <w:t>$191,463,695.91</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1"/>
              <w:rPr>
                <w:sz w:val="18"/>
              </w:rPr>
            </w:pPr>
            <w:r>
              <w:rPr>
                <w:sz w:val="18"/>
              </w:rPr>
              <w:t>$165,653,265.98</w:t>
            </w:r>
          </w:p>
        </w:tc>
        <w:tc>
          <w:tcPr>
            <w:tcW w:w="1661" w:type="dxa"/>
          </w:tcPr>
          <w:p>
            <w:pPr>
              <w:pStyle w:val="TableParagraph"/>
              <w:spacing w:before="97"/>
              <w:ind w:left="53" w:right="54"/>
              <w:rPr>
                <w:sz w:val="18"/>
              </w:rPr>
            </w:pPr>
            <w:r>
              <w:rPr>
                <w:sz w:val="18"/>
              </w:rPr>
              <w:t>$25,810,429.93</w:t>
            </w:r>
          </w:p>
        </w:tc>
      </w:tr>
      <w:tr>
        <w:trPr>
          <w:trHeight w:val="521" w:hRule="exact"/>
        </w:trPr>
        <w:tc>
          <w:tcPr>
            <w:tcW w:w="2141" w:type="dxa"/>
          </w:tcPr>
          <w:p>
            <w:pPr>
              <w:pStyle w:val="TableParagraph"/>
              <w:spacing w:before="95"/>
              <w:ind w:left="64" w:right="67"/>
              <w:jc w:val="left"/>
              <w:rPr>
                <w:b/>
                <w:sz w:val="18"/>
              </w:rPr>
            </w:pPr>
            <w:r>
              <w:rPr>
                <w:b/>
                <w:color w:val="333333"/>
                <w:sz w:val="18"/>
              </w:rPr>
              <w:t>CAPULHUAC</w:t>
            </w:r>
          </w:p>
        </w:tc>
        <w:tc>
          <w:tcPr>
            <w:tcW w:w="1658" w:type="dxa"/>
          </w:tcPr>
          <w:p>
            <w:pPr>
              <w:pStyle w:val="TableParagraph"/>
              <w:spacing w:before="100"/>
              <w:ind w:left="53" w:right="53"/>
              <w:rPr>
                <w:sz w:val="18"/>
              </w:rPr>
            </w:pPr>
            <w:r>
              <w:rPr>
                <w:sz w:val="18"/>
              </w:rPr>
              <w:t>$141,980,775.00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0"/>
              <w:rPr>
                <w:sz w:val="18"/>
              </w:rPr>
            </w:pPr>
            <w:r>
              <w:rPr>
                <w:sz w:val="18"/>
              </w:rPr>
              <w:t>$96,597,635.57</w:t>
            </w:r>
          </w:p>
        </w:tc>
        <w:tc>
          <w:tcPr>
            <w:tcW w:w="1661" w:type="dxa"/>
          </w:tcPr>
          <w:p>
            <w:pPr>
              <w:pStyle w:val="TableParagraph"/>
              <w:spacing w:before="100"/>
              <w:ind w:left="54" w:right="54"/>
              <w:rPr>
                <w:sz w:val="18"/>
              </w:rPr>
            </w:pPr>
            <w:r>
              <w:rPr>
                <w:sz w:val="18"/>
              </w:rPr>
              <w:t>$45,383,139.43</w:t>
            </w:r>
          </w:p>
        </w:tc>
        <w:tc>
          <w:tcPr>
            <w:tcW w:w="1658" w:type="dxa"/>
          </w:tcPr>
          <w:p>
            <w:pPr>
              <w:pStyle w:val="TableParagraph"/>
              <w:spacing w:before="100"/>
              <w:ind w:left="53" w:right="52"/>
              <w:rPr>
                <w:sz w:val="18"/>
              </w:rPr>
            </w:pPr>
            <w:r>
              <w:rPr>
                <w:sz w:val="18"/>
              </w:rPr>
              <w:t>$79,251,201.57</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0"/>
              <w:rPr>
                <w:sz w:val="18"/>
              </w:rPr>
            </w:pPr>
            <w:r>
              <w:rPr>
                <w:sz w:val="18"/>
              </w:rPr>
              <w:t>$82,548,129.05</w:t>
            </w:r>
          </w:p>
        </w:tc>
        <w:tc>
          <w:tcPr>
            <w:tcW w:w="1661" w:type="dxa"/>
          </w:tcPr>
          <w:p>
            <w:pPr>
              <w:pStyle w:val="TableParagraph"/>
              <w:spacing w:before="100"/>
              <w:ind w:left="52" w:right="54"/>
              <w:rPr>
                <w:sz w:val="18"/>
              </w:rPr>
            </w:pPr>
            <w:r>
              <w:rPr>
                <w:sz w:val="18"/>
              </w:rPr>
              <w:t>$3,296,927.48</w:t>
            </w:r>
          </w:p>
        </w:tc>
      </w:tr>
      <w:tr>
        <w:trPr>
          <w:trHeight w:val="521" w:hRule="exact"/>
        </w:trPr>
        <w:tc>
          <w:tcPr>
            <w:tcW w:w="2141" w:type="dxa"/>
          </w:tcPr>
          <w:p>
            <w:pPr>
              <w:pStyle w:val="TableParagraph"/>
              <w:spacing w:before="95"/>
              <w:ind w:left="64" w:right="67"/>
              <w:jc w:val="left"/>
              <w:rPr>
                <w:b/>
                <w:sz w:val="18"/>
              </w:rPr>
            </w:pPr>
            <w:r>
              <w:rPr>
                <w:b/>
                <w:color w:val="333333"/>
                <w:sz w:val="18"/>
              </w:rPr>
              <w:t>CHALCO</w:t>
            </w:r>
          </w:p>
        </w:tc>
        <w:tc>
          <w:tcPr>
            <w:tcW w:w="1658" w:type="dxa"/>
          </w:tcPr>
          <w:p>
            <w:pPr>
              <w:pStyle w:val="TableParagraph"/>
              <w:spacing w:before="100"/>
              <w:ind w:left="53" w:right="53"/>
              <w:rPr>
                <w:sz w:val="18"/>
              </w:rPr>
            </w:pPr>
            <w:r>
              <w:rPr>
                <w:sz w:val="18"/>
              </w:rPr>
              <w:t>$738,697,530.00</w:t>
            </w:r>
          </w:p>
        </w:tc>
        <w:tc>
          <w:tcPr>
            <w:tcW w:w="1508" w:type="dxa"/>
          </w:tcPr>
          <w:p>
            <w:pPr>
              <w:pStyle w:val="TableParagraph"/>
              <w:spacing w:before="100"/>
              <w:ind w:left="53" w:right="51"/>
              <w:rPr>
                <w:sz w:val="18"/>
              </w:rPr>
            </w:pPr>
            <w:r>
              <w:rPr>
                <w:sz w:val="18"/>
              </w:rPr>
              <w:t>$26,305,634.64</w:t>
            </w:r>
          </w:p>
        </w:tc>
        <w:tc>
          <w:tcPr>
            <w:tcW w:w="1661" w:type="dxa"/>
          </w:tcPr>
          <w:p>
            <w:pPr>
              <w:pStyle w:val="TableParagraph"/>
              <w:spacing w:before="100"/>
              <w:ind w:left="53" w:right="51"/>
              <w:rPr>
                <w:sz w:val="18"/>
              </w:rPr>
            </w:pPr>
            <w:r>
              <w:rPr>
                <w:sz w:val="18"/>
              </w:rPr>
              <w:t>$711,718,646.89</w:t>
            </w:r>
          </w:p>
        </w:tc>
        <w:tc>
          <w:tcPr>
            <w:tcW w:w="1661" w:type="dxa"/>
          </w:tcPr>
          <w:p>
            <w:pPr>
              <w:pStyle w:val="TableParagraph"/>
              <w:spacing w:before="100"/>
              <w:ind w:left="54" w:right="54"/>
              <w:rPr>
                <w:sz w:val="18"/>
              </w:rPr>
            </w:pPr>
            <w:r>
              <w:rPr>
                <w:sz w:val="18"/>
              </w:rPr>
              <w:t>$673,248.47</w:t>
            </w:r>
          </w:p>
        </w:tc>
        <w:tc>
          <w:tcPr>
            <w:tcW w:w="1658" w:type="dxa"/>
          </w:tcPr>
          <w:p>
            <w:pPr>
              <w:pStyle w:val="TableParagraph"/>
              <w:spacing w:before="100"/>
              <w:ind w:left="53" w:right="53"/>
              <w:rPr>
                <w:sz w:val="18"/>
              </w:rPr>
            </w:pPr>
            <w:r>
              <w:rPr>
                <w:sz w:val="18"/>
              </w:rPr>
              <w:t>$771,442,062.00</w:t>
            </w:r>
          </w:p>
        </w:tc>
        <w:tc>
          <w:tcPr>
            <w:tcW w:w="1508" w:type="dxa"/>
          </w:tcPr>
          <w:p>
            <w:pPr>
              <w:pStyle w:val="TableParagraph"/>
              <w:spacing w:before="100"/>
              <w:ind w:left="53" w:right="51"/>
              <w:rPr>
                <w:sz w:val="18"/>
              </w:rPr>
            </w:pPr>
            <w:r>
              <w:rPr>
                <w:sz w:val="18"/>
              </w:rPr>
              <w:t>$12,221,487.18</w:t>
            </w:r>
          </w:p>
        </w:tc>
        <w:tc>
          <w:tcPr>
            <w:tcW w:w="1661" w:type="dxa"/>
          </w:tcPr>
          <w:p>
            <w:pPr>
              <w:pStyle w:val="TableParagraph"/>
              <w:spacing w:before="100"/>
              <w:ind w:left="53" w:right="51"/>
              <w:rPr>
                <w:sz w:val="18"/>
              </w:rPr>
            </w:pPr>
            <w:r>
              <w:rPr>
                <w:sz w:val="18"/>
              </w:rPr>
              <w:t>$420,356,210.15</w:t>
            </w:r>
          </w:p>
        </w:tc>
        <w:tc>
          <w:tcPr>
            <w:tcW w:w="1661" w:type="dxa"/>
          </w:tcPr>
          <w:p>
            <w:pPr>
              <w:pStyle w:val="TableParagraph"/>
              <w:spacing w:before="100"/>
              <w:ind w:left="53" w:right="53"/>
              <w:rPr>
                <w:sz w:val="18"/>
              </w:rPr>
            </w:pPr>
            <w:r>
              <w:rPr>
                <w:sz w:val="18"/>
              </w:rPr>
              <w:t>$338,864,364.67</w:t>
            </w:r>
          </w:p>
        </w:tc>
      </w:tr>
      <w:tr>
        <w:trPr>
          <w:trHeight w:val="519" w:hRule="exact"/>
        </w:trPr>
        <w:tc>
          <w:tcPr>
            <w:tcW w:w="2141" w:type="dxa"/>
            <w:tcBorders>
              <w:bottom w:val="single" w:sz="4" w:space="0" w:color="000000"/>
            </w:tcBorders>
          </w:tcPr>
          <w:p>
            <w:pPr>
              <w:pStyle w:val="TableParagraph"/>
              <w:spacing w:before="92"/>
              <w:ind w:left="64" w:right="67"/>
              <w:jc w:val="left"/>
              <w:rPr>
                <w:b/>
                <w:sz w:val="18"/>
              </w:rPr>
            </w:pPr>
            <w:r>
              <w:rPr>
                <w:b/>
                <w:color w:val="333333"/>
                <w:sz w:val="18"/>
              </w:rPr>
              <w:t>CHAPA DE MOTA</w:t>
            </w:r>
          </w:p>
        </w:tc>
        <w:tc>
          <w:tcPr>
            <w:tcW w:w="1658" w:type="dxa"/>
            <w:tcBorders>
              <w:bottom w:val="single" w:sz="4" w:space="0" w:color="000000"/>
            </w:tcBorders>
          </w:tcPr>
          <w:p>
            <w:pPr>
              <w:pStyle w:val="TableParagraph"/>
              <w:spacing w:before="97"/>
              <w:ind w:left="53" w:right="53"/>
              <w:rPr>
                <w:sz w:val="18"/>
              </w:rPr>
            </w:pPr>
            <w:r>
              <w:rPr>
                <w:sz w:val="18"/>
              </w:rPr>
              <w:t>$113,084,794.00</w:t>
            </w:r>
          </w:p>
        </w:tc>
        <w:tc>
          <w:tcPr>
            <w:tcW w:w="1508" w:type="dxa"/>
            <w:tcBorders>
              <w:bottom w:val="single" w:sz="4" w:space="0" w:color="000000"/>
            </w:tcBorders>
          </w:tcPr>
          <w:p>
            <w:pPr>
              <w:pStyle w:val="TableParagraph"/>
              <w:spacing w:before="97"/>
              <w:ind w:left="53" w:right="48"/>
              <w:rPr>
                <w:sz w:val="18"/>
              </w:rPr>
            </w:pPr>
            <w:r>
              <w:rPr>
                <w:sz w:val="18"/>
              </w:rPr>
              <w:t>$0.00</w:t>
            </w:r>
          </w:p>
        </w:tc>
        <w:tc>
          <w:tcPr>
            <w:tcW w:w="1661" w:type="dxa"/>
            <w:tcBorders>
              <w:bottom w:val="single" w:sz="4" w:space="0" w:color="000000"/>
            </w:tcBorders>
          </w:tcPr>
          <w:p>
            <w:pPr>
              <w:pStyle w:val="TableParagraph"/>
              <w:spacing w:before="97"/>
              <w:ind w:left="53" w:right="52"/>
              <w:rPr>
                <w:sz w:val="18"/>
              </w:rPr>
            </w:pPr>
            <w:r>
              <w:rPr>
                <w:sz w:val="18"/>
              </w:rPr>
              <w:t>$0.00</w:t>
            </w:r>
          </w:p>
        </w:tc>
        <w:tc>
          <w:tcPr>
            <w:tcW w:w="1661" w:type="dxa"/>
            <w:tcBorders>
              <w:bottom w:val="single" w:sz="4" w:space="0" w:color="000000"/>
            </w:tcBorders>
          </w:tcPr>
          <w:p>
            <w:pPr>
              <w:pStyle w:val="TableParagraph"/>
              <w:spacing w:before="97"/>
              <w:ind w:left="54" w:right="54"/>
              <w:rPr>
                <w:sz w:val="18"/>
              </w:rPr>
            </w:pPr>
            <w:r>
              <w:rPr>
                <w:sz w:val="18"/>
              </w:rPr>
              <w:t>$113,084,794.00</w:t>
            </w:r>
          </w:p>
        </w:tc>
        <w:tc>
          <w:tcPr>
            <w:tcW w:w="1658" w:type="dxa"/>
            <w:tcBorders>
              <w:bottom w:val="single" w:sz="4" w:space="0" w:color="000000"/>
            </w:tcBorders>
          </w:tcPr>
          <w:p>
            <w:pPr>
              <w:pStyle w:val="TableParagraph"/>
              <w:spacing w:before="97"/>
              <w:ind w:left="53" w:right="53"/>
              <w:rPr>
                <w:sz w:val="18"/>
              </w:rPr>
            </w:pPr>
            <w:r>
              <w:rPr>
                <w:sz w:val="18"/>
              </w:rPr>
              <w:t>$93,994,763.00</w:t>
            </w:r>
          </w:p>
        </w:tc>
        <w:tc>
          <w:tcPr>
            <w:tcW w:w="1508" w:type="dxa"/>
            <w:tcBorders>
              <w:bottom w:val="single" w:sz="4" w:space="0" w:color="000000"/>
            </w:tcBorders>
          </w:tcPr>
          <w:p>
            <w:pPr>
              <w:pStyle w:val="TableParagraph"/>
              <w:spacing w:before="97"/>
              <w:ind w:left="53" w:right="48"/>
              <w:rPr>
                <w:sz w:val="18"/>
              </w:rPr>
            </w:pPr>
            <w:r>
              <w:rPr>
                <w:sz w:val="18"/>
              </w:rPr>
              <w:t>$0.00</w:t>
            </w:r>
          </w:p>
        </w:tc>
        <w:tc>
          <w:tcPr>
            <w:tcW w:w="1661" w:type="dxa"/>
            <w:tcBorders>
              <w:bottom w:val="single" w:sz="4" w:space="0" w:color="000000"/>
            </w:tcBorders>
          </w:tcPr>
          <w:p>
            <w:pPr>
              <w:pStyle w:val="TableParagraph"/>
              <w:spacing w:before="97"/>
              <w:ind w:left="53" w:right="52"/>
              <w:rPr>
                <w:sz w:val="18"/>
              </w:rPr>
            </w:pPr>
            <w:r>
              <w:rPr>
                <w:sz w:val="18"/>
              </w:rPr>
              <w:t>$0.00</w:t>
            </w:r>
          </w:p>
        </w:tc>
        <w:tc>
          <w:tcPr>
            <w:tcW w:w="1661" w:type="dxa"/>
            <w:tcBorders>
              <w:bottom w:val="single" w:sz="4" w:space="0" w:color="000000"/>
            </w:tcBorders>
          </w:tcPr>
          <w:p>
            <w:pPr>
              <w:pStyle w:val="TableParagraph"/>
              <w:spacing w:before="97"/>
              <w:ind w:left="53" w:right="54"/>
              <w:rPr>
                <w:sz w:val="18"/>
              </w:rPr>
            </w:pPr>
            <w:r>
              <w:rPr>
                <w:sz w:val="18"/>
              </w:rPr>
              <w:t>$93,994,763.00</w:t>
            </w:r>
          </w:p>
        </w:tc>
      </w:tr>
      <w:tr>
        <w:trPr>
          <w:trHeight w:val="521" w:hRule="exact"/>
        </w:trPr>
        <w:tc>
          <w:tcPr>
            <w:tcW w:w="2141" w:type="dxa"/>
            <w:tcBorders>
              <w:top w:val="single" w:sz="4" w:space="0" w:color="000000"/>
            </w:tcBorders>
          </w:tcPr>
          <w:p>
            <w:pPr>
              <w:pStyle w:val="TableParagraph"/>
              <w:spacing w:before="95"/>
              <w:ind w:left="64" w:right="67"/>
              <w:jc w:val="left"/>
              <w:rPr>
                <w:b/>
                <w:sz w:val="18"/>
              </w:rPr>
            </w:pPr>
            <w:r>
              <w:rPr>
                <w:b/>
                <w:color w:val="333333"/>
                <w:sz w:val="18"/>
              </w:rPr>
              <w:t>CHAPULTEPEC</w:t>
            </w:r>
          </w:p>
        </w:tc>
        <w:tc>
          <w:tcPr>
            <w:tcW w:w="1658" w:type="dxa"/>
            <w:tcBorders>
              <w:top w:val="single" w:sz="4" w:space="0" w:color="000000"/>
            </w:tcBorders>
          </w:tcPr>
          <w:p>
            <w:pPr>
              <w:pStyle w:val="TableParagraph"/>
              <w:spacing w:before="100"/>
              <w:ind w:left="52" w:right="53"/>
              <w:rPr>
                <w:sz w:val="18"/>
              </w:rPr>
            </w:pPr>
            <w:r>
              <w:rPr>
                <w:sz w:val="18"/>
              </w:rPr>
              <w:t>$2,280,000.00</w:t>
            </w:r>
          </w:p>
        </w:tc>
        <w:tc>
          <w:tcPr>
            <w:tcW w:w="1508" w:type="dxa"/>
            <w:tcBorders>
              <w:top w:val="single" w:sz="4" w:space="0" w:color="000000"/>
            </w:tcBorders>
          </w:tcPr>
          <w:p>
            <w:pPr>
              <w:pStyle w:val="TableParagraph"/>
              <w:spacing w:before="100"/>
              <w:ind w:left="53" w:right="48"/>
              <w:rPr>
                <w:sz w:val="18"/>
              </w:rPr>
            </w:pPr>
            <w:r>
              <w:rPr>
                <w:sz w:val="18"/>
              </w:rPr>
              <w:t>$0.00</w:t>
            </w:r>
          </w:p>
        </w:tc>
        <w:tc>
          <w:tcPr>
            <w:tcW w:w="1661" w:type="dxa"/>
            <w:tcBorders>
              <w:top w:val="single" w:sz="4" w:space="0" w:color="000000"/>
            </w:tcBorders>
          </w:tcPr>
          <w:p>
            <w:pPr>
              <w:pStyle w:val="TableParagraph"/>
              <w:spacing w:before="100"/>
              <w:ind w:left="53" w:right="52"/>
              <w:rPr>
                <w:sz w:val="18"/>
              </w:rPr>
            </w:pPr>
            <w:r>
              <w:rPr>
                <w:sz w:val="18"/>
              </w:rPr>
              <w:t>$0.00</w:t>
            </w:r>
          </w:p>
        </w:tc>
        <w:tc>
          <w:tcPr>
            <w:tcW w:w="1661" w:type="dxa"/>
            <w:tcBorders>
              <w:top w:val="single" w:sz="4" w:space="0" w:color="000000"/>
            </w:tcBorders>
          </w:tcPr>
          <w:p>
            <w:pPr>
              <w:pStyle w:val="TableParagraph"/>
              <w:spacing w:before="100"/>
              <w:ind w:left="54" w:right="56"/>
              <w:rPr>
                <w:sz w:val="18"/>
              </w:rPr>
            </w:pPr>
            <w:r>
              <w:rPr>
                <w:sz w:val="18"/>
              </w:rPr>
              <w:t>$2,280,000.00</w:t>
            </w:r>
          </w:p>
        </w:tc>
        <w:tc>
          <w:tcPr>
            <w:tcW w:w="1658" w:type="dxa"/>
            <w:tcBorders>
              <w:top w:val="single" w:sz="4" w:space="0" w:color="000000"/>
            </w:tcBorders>
          </w:tcPr>
          <w:p>
            <w:pPr>
              <w:pStyle w:val="TableParagraph"/>
              <w:spacing w:before="100"/>
              <w:ind w:left="53" w:right="53"/>
              <w:rPr>
                <w:sz w:val="18"/>
              </w:rPr>
            </w:pPr>
            <w:r>
              <w:rPr>
                <w:sz w:val="18"/>
              </w:rPr>
              <w:t>$42,867,884.17</w:t>
            </w:r>
          </w:p>
        </w:tc>
        <w:tc>
          <w:tcPr>
            <w:tcW w:w="1508" w:type="dxa"/>
            <w:tcBorders>
              <w:top w:val="single" w:sz="4" w:space="0" w:color="000000"/>
            </w:tcBorders>
          </w:tcPr>
          <w:p>
            <w:pPr>
              <w:pStyle w:val="TableParagraph"/>
              <w:spacing w:before="100"/>
              <w:ind w:left="53" w:right="48"/>
              <w:rPr>
                <w:sz w:val="18"/>
              </w:rPr>
            </w:pPr>
            <w:r>
              <w:rPr>
                <w:sz w:val="18"/>
              </w:rPr>
              <w:t>$0.00</w:t>
            </w:r>
          </w:p>
        </w:tc>
        <w:tc>
          <w:tcPr>
            <w:tcW w:w="1661" w:type="dxa"/>
            <w:tcBorders>
              <w:top w:val="single" w:sz="4" w:space="0" w:color="000000"/>
            </w:tcBorders>
          </w:tcPr>
          <w:p>
            <w:pPr>
              <w:pStyle w:val="TableParagraph"/>
              <w:spacing w:before="100"/>
              <w:ind w:left="53" w:right="50"/>
              <w:rPr>
                <w:sz w:val="18"/>
              </w:rPr>
            </w:pPr>
            <w:r>
              <w:rPr>
                <w:sz w:val="18"/>
              </w:rPr>
              <w:t>$40,057,652.17</w:t>
            </w:r>
          </w:p>
        </w:tc>
        <w:tc>
          <w:tcPr>
            <w:tcW w:w="1661" w:type="dxa"/>
            <w:tcBorders>
              <w:top w:val="single" w:sz="4" w:space="0" w:color="000000"/>
            </w:tcBorders>
          </w:tcPr>
          <w:p>
            <w:pPr>
              <w:pStyle w:val="TableParagraph"/>
              <w:spacing w:before="100"/>
              <w:ind w:left="52" w:right="54"/>
              <w:rPr>
                <w:sz w:val="18"/>
              </w:rPr>
            </w:pPr>
            <w:r>
              <w:rPr>
                <w:sz w:val="18"/>
              </w:rPr>
              <w:t>$2,810,232.00</w:t>
            </w:r>
          </w:p>
        </w:tc>
      </w:tr>
    </w:tbl>
    <w:p>
      <w:pPr>
        <w:spacing w:after="0"/>
        <w:rPr>
          <w:sz w:val="18"/>
        </w:rPr>
        <w:sectPr>
          <w:pgSz w:w="15840" w:h="12240" w:orient="landscape"/>
          <w:pgMar w:header="0" w:footer="975" w:top="1140" w:bottom="1160" w:left="240" w:right="240"/>
        </w:sectPr>
      </w:pPr>
    </w:p>
    <w:p>
      <w:pPr>
        <w:pStyle w:val="BodyText"/>
        <w:rPr>
          <w:rFonts w:ascii="Times New Roman"/>
          <w:sz w:val="20"/>
        </w:rPr>
      </w:pPr>
    </w:p>
    <w:p>
      <w:pPr>
        <w:pStyle w:val="BodyText"/>
        <w:spacing w:before="10"/>
        <w:rPr>
          <w:rFonts w:ascii="Times New Roman"/>
          <w:sz w:val="28"/>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41"/>
        <w:gridCol w:w="1658"/>
        <w:gridCol w:w="1508"/>
        <w:gridCol w:w="1661"/>
        <w:gridCol w:w="1661"/>
        <w:gridCol w:w="1658"/>
        <w:gridCol w:w="1508"/>
        <w:gridCol w:w="1661"/>
        <w:gridCol w:w="1661"/>
      </w:tblGrid>
      <w:tr>
        <w:trPr>
          <w:trHeight w:val="430" w:hRule="exact"/>
        </w:trPr>
        <w:tc>
          <w:tcPr>
            <w:tcW w:w="15117" w:type="dxa"/>
            <w:gridSpan w:val="9"/>
            <w:shd w:val="clear" w:color="auto" w:fill="C5DFB3"/>
          </w:tcPr>
          <w:p>
            <w:pPr>
              <w:pStyle w:val="TableParagraph"/>
              <w:spacing w:before="49"/>
              <w:ind w:left="3900"/>
              <w:jc w:val="left"/>
              <w:rPr>
                <w:b/>
                <w:sz w:val="18"/>
              </w:rPr>
            </w:pPr>
            <w:r>
              <w:rPr>
                <w:b/>
                <w:sz w:val="18"/>
              </w:rPr>
              <w:t>Anexo 24C. Municipios que publican apartado presupuesto 2012-2013 (Continuación)</w:t>
            </w:r>
          </w:p>
        </w:tc>
      </w:tr>
      <w:tr>
        <w:trPr>
          <w:trHeight w:val="320" w:hRule="exact"/>
        </w:trPr>
        <w:tc>
          <w:tcPr>
            <w:tcW w:w="2141"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23"/>
              </w:rPr>
            </w:pPr>
          </w:p>
          <w:p>
            <w:pPr>
              <w:pStyle w:val="TableParagraph"/>
              <w:ind w:left="643" w:right="67"/>
              <w:jc w:val="left"/>
              <w:rPr>
                <w:b/>
                <w:sz w:val="18"/>
              </w:rPr>
            </w:pPr>
            <w:r>
              <w:rPr>
                <w:b/>
                <w:sz w:val="18"/>
              </w:rPr>
              <w:t>Municipio</w:t>
            </w:r>
          </w:p>
        </w:tc>
        <w:tc>
          <w:tcPr>
            <w:tcW w:w="6488" w:type="dxa"/>
            <w:gridSpan w:val="4"/>
            <w:shd w:val="clear" w:color="auto" w:fill="C5DFB3"/>
          </w:tcPr>
          <w:p>
            <w:pPr>
              <w:pStyle w:val="TableParagraph"/>
              <w:spacing w:line="201" w:lineRule="exact"/>
              <w:ind w:left="3020" w:right="3018"/>
              <w:rPr>
                <w:b/>
                <w:sz w:val="18"/>
              </w:rPr>
            </w:pPr>
            <w:r>
              <w:rPr>
                <w:b/>
                <w:sz w:val="18"/>
              </w:rPr>
              <w:t>2012</w:t>
            </w:r>
          </w:p>
        </w:tc>
        <w:tc>
          <w:tcPr>
            <w:tcW w:w="6488" w:type="dxa"/>
            <w:gridSpan w:val="4"/>
            <w:shd w:val="clear" w:color="auto" w:fill="C5DFB3"/>
          </w:tcPr>
          <w:p>
            <w:pPr>
              <w:pStyle w:val="TableParagraph"/>
              <w:spacing w:line="201" w:lineRule="exact"/>
              <w:ind w:left="3019" w:right="3018"/>
              <w:rPr>
                <w:b/>
                <w:sz w:val="18"/>
              </w:rPr>
            </w:pPr>
            <w:r>
              <w:rPr>
                <w:b/>
                <w:sz w:val="18"/>
              </w:rPr>
              <w:t>2013</w:t>
            </w:r>
          </w:p>
        </w:tc>
      </w:tr>
      <w:tr>
        <w:trPr>
          <w:trHeight w:val="1374" w:hRule="exact"/>
        </w:trPr>
        <w:tc>
          <w:tcPr>
            <w:tcW w:w="2141" w:type="dxa"/>
            <w:vMerge/>
            <w:shd w:val="clear" w:color="auto" w:fill="C5DFB3"/>
          </w:tcPr>
          <w:p>
            <w:pPr/>
          </w:p>
        </w:tc>
        <w:tc>
          <w:tcPr>
            <w:tcW w:w="165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w w:val="100"/>
                <w:sz w:val="18"/>
              </w:rPr>
              <w:t>Autoriz</w:t>
            </w:r>
            <w:r>
              <w:rPr>
                <w:b/>
                <w:w w:val="99"/>
                <w:sz w:val="18"/>
              </w:rPr>
              <w:t>a</w:t>
            </w:r>
            <w:r>
              <w:rPr>
                <w:b/>
                <w:w w:val="100"/>
                <w:sz w:val="18"/>
              </w:rPr>
              <w:t>do</w:t>
            </w:r>
          </w:p>
        </w:tc>
        <w:tc>
          <w:tcPr>
            <w:tcW w:w="150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15"/>
              </w:rPr>
            </w:pPr>
          </w:p>
          <w:p>
            <w:pPr>
              <w:pStyle w:val="TableParagraph"/>
              <w:ind w:left="206"/>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326"/>
              <w:jc w:val="left"/>
              <w:rPr>
                <w:b/>
                <w:sz w:val="18"/>
              </w:rPr>
            </w:pPr>
            <w:r>
              <w:rPr>
                <w:b/>
                <w:w w:val="100"/>
                <w:sz w:val="18"/>
              </w:rPr>
              <w:t>Eje</w:t>
            </w:r>
            <w:r>
              <w:rPr>
                <w:b/>
                <w:w w:val="99"/>
                <w:sz w:val="18"/>
              </w:rPr>
              <w:t>rc</w:t>
            </w:r>
            <w:r>
              <w:rPr>
                <w:b/>
                <w:w w:val="100"/>
                <w:sz w:val="18"/>
              </w:rPr>
              <w:t>ido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211"/>
              <w:jc w:val="left"/>
              <w:rPr>
                <w:b/>
                <w:sz w:val="18"/>
              </w:rPr>
            </w:pPr>
            <w:r>
              <w:rPr>
                <w:b/>
                <w:sz w:val="18"/>
              </w:rPr>
              <w:t>Por </w:t>
            </w:r>
            <w:r>
              <w:rPr>
                <w:b/>
                <w:w w:val="99"/>
                <w:sz w:val="18"/>
              </w:rPr>
              <w:t>e</w:t>
            </w:r>
            <w:r>
              <w:rPr>
                <w:b/>
                <w:w w:val="100"/>
                <w:sz w:val="18"/>
              </w:rPr>
              <w:t>je</w:t>
            </w:r>
            <w:r>
              <w:rPr>
                <w:b/>
                <w:w w:val="99"/>
                <w:sz w:val="18"/>
              </w:rPr>
              <w:t>rcer</w:t>
            </w:r>
          </w:p>
        </w:tc>
        <w:tc>
          <w:tcPr>
            <w:tcW w:w="165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w w:val="100"/>
                <w:sz w:val="18"/>
              </w:rPr>
              <w:t>Autoriz</w:t>
            </w:r>
            <w:r>
              <w:rPr>
                <w:b/>
                <w:w w:val="99"/>
                <w:sz w:val="18"/>
              </w:rPr>
              <w:t>a</w:t>
            </w:r>
            <w:r>
              <w:rPr>
                <w:b/>
                <w:w w:val="100"/>
                <w:sz w:val="18"/>
              </w:rPr>
              <w:t>do</w:t>
            </w:r>
          </w:p>
        </w:tc>
        <w:tc>
          <w:tcPr>
            <w:tcW w:w="150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15"/>
              </w:rPr>
            </w:pPr>
          </w:p>
          <w:p>
            <w:pPr>
              <w:pStyle w:val="TableParagraph"/>
              <w:ind w:left="206"/>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326"/>
              <w:jc w:val="left"/>
              <w:rPr>
                <w:b/>
                <w:sz w:val="18"/>
              </w:rPr>
            </w:pPr>
            <w:r>
              <w:rPr>
                <w:b/>
                <w:w w:val="100"/>
                <w:sz w:val="18"/>
              </w:rPr>
              <w:t>Eje</w:t>
            </w:r>
            <w:r>
              <w:rPr>
                <w:b/>
                <w:w w:val="99"/>
                <w:sz w:val="18"/>
              </w:rPr>
              <w:t>rci</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sz w:val="18"/>
              </w:rPr>
              <w:t>Por </w:t>
            </w:r>
            <w:r>
              <w:rPr>
                <w:b/>
                <w:w w:val="99"/>
                <w:sz w:val="18"/>
              </w:rPr>
              <w:t>e</w:t>
            </w:r>
            <w:r>
              <w:rPr>
                <w:b/>
                <w:w w:val="100"/>
                <w:sz w:val="18"/>
              </w:rPr>
              <w:t>je</w:t>
            </w:r>
            <w:r>
              <w:rPr>
                <w:b/>
                <w:w w:val="99"/>
                <w:sz w:val="18"/>
              </w:rPr>
              <w:t>rcer</w:t>
            </w:r>
          </w:p>
        </w:tc>
      </w:tr>
      <w:tr>
        <w:trPr>
          <w:trHeight w:val="521" w:hRule="exact"/>
        </w:trPr>
        <w:tc>
          <w:tcPr>
            <w:tcW w:w="2141" w:type="dxa"/>
          </w:tcPr>
          <w:p>
            <w:pPr>
              <w:pStyle w:val="TableParagraph"/>
              <w:spacing w:before="95"/>
              <w:ind w:left="64" w:right="67"/>
              <w:jc w:val="left"/>
              <w:rPr>
                <w:b/>
                <w:sz w:val="18"/>
              </w:rPr>
            </w:pPr>
            <w:r>
              <w:rPr>
                <w:b/>
                <w:color w:val="333333"/>
                <w:sz w:val="18"/>
              </w:rPr>
              <w:t>CHIAUTLA</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3" w:right="54"/>
              <w:rPr>
                <w:sz w:val="18"/>
              </w:rPr>
            </w:pPr>
            <w:r>
              <w:rPr>
                <w:sz w:val="18"/>
              </w:rPr>
              <w:t>$0.00</w:t>
            </w:r>
          </w:p>
        </w:tc>
      </w:tr>
      <w:tr>
        <w:trPr>
          <w:trHeight w:val="521" w:hRule="exact"/>
        </w:trPr>
        <w:tc>
          <w:tcPr>
            <w:tcW w:w="2141" w:type="dxa"/>
          </w:tcPr>
          <w:p>
            <w:pPr>
              <w:pStyle w:val="TableParagraph"/>
              <w:spacing w:before="95"/>
              <w:ind w:left="64" w:right="67"/>
              <w:jc w:val="left"/>
              <w:rPr>
                <w:b/>
                <w:sz w:val="18"/>
              </w:rPr>
            </w:pPr>
            <w:r>
              <w:rPr>
                <w:b/>
                <w:color w:val="333333"/>
                <w:sz w:val="18"/>
              </w:rPr>
              <w:t>CHICOLOAPAN</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3" w:right="53"/>
              <w:rPr>
                <w:sz w:val="18"/>
              </w:rPr>
            </w:pPr>
            <w:r>
              <w:rPr>
                <w:sz w:val="18"/>
              </w:rPr>
              <w:t>$296,726,723.00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3" w:right="53"/>
              <w:rPr>
                <w:sz w:val="18"/>
              </w:rPr>
            </w:pPr>
            <w:r>
              <w:rPr>
                <w:sz w:val="18"/>
              </w:rPr>
              <w:t>$296,726,723.00</w:t>
            </w:r>
          </w:p>
        </w:tc>
      </w:tr>
      <w:tr>
        <w:trPr>
          <w:trHeight w:val="518" w:hRule="exact"/>
        </w:trPr>
        <w:tc>
          <w:tcPr>
            <w:tcW w:w="2141" w:type="dxa"/>
          </w:tcPr>
          <w:p>
            <w:pPr>
              <w:pStyle w:val="TableParagraph"/>
              <w:spacing w:before="92"/>
              <w:ind w:left="64" w:right="67"/>
              <w:jc w:val="left"/>
              <w:rPr>
                <w:b/>
                <w:sz w:val="18"/>
              </w:rPr>
            </w:pPr>
            <w:r>
              <w:rPr>
                <w:b/>
                <w:color w:val="333333"/>
                <w:sz w:val="18"/>
              </w:rPr>
              <w:t>CHICONCUAC</w:t>
            </w:r>
          </w:p>
        </w:tc>
        <w:tc>
          <w:tcPr>
            <w:tcW w:w="1658" w:type="dxa"/>
          </w:tcPr>
          <w:p>
            <w:pPr>
              <w:pStyle w:val="TableParagraph"/>
              <w:spacing w:before="97"/>
              <w:ind w:left="52" w:right="53"/>
              <w:rPr>
                <w:sz w:val="18"/>
              </w:rPr>
            </w:pPr>
            <w:r>
              <w:rPr>
                <w:sz w:val="18"/>
              </w:rPr>
              <w:t>$0.00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54" w:right="56"/>
              <w:rPr>
                <w:sz w:val="18"/>
              </w:rPr>
            </w:pPr>
            <w:r>
              <w:rPr>
                <w:sz w:val="18"/>
              </w:rPr>
              <w:t>$0.00</w:t>
            </w:r>
          </w:p>
        </w:tc>
        <w:tc>
          <w:tcPr>
            <w:tcW w:w="1658" w:type="dxa"/>
          </w:tcPr>
          <w:p>
            <w:pPr>
              <w:pStyle w:val="TableParagraph"/>
              <w:spacing w:before="97"/>
              <w:ind w:left="53" w:right="53"/>
              <w:rPr>
                <w:sz w:val="18"/>
              </w:rPr>
            </w:pPr>
            <w:r>
              <w:rPr>
                <w:sz w:val="18"/>
              </w:rPr>
              <w:t>$104,593,042.00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0"/>
              <w:rPr>
                <w:sz w:val="18"/>
              </w:rPr>
            </w:pPr>
            <w:r>
              <w:rPr>
                <w:sz w:val="18"/>
              </w:rPr>
              <w:t>$35,714,752.79</w:t>
            </w:r>
          </w:p>
        </w:tc>
        <w:tc>
          <w:tcPr>
            <w:tcW w:w="1661" w:type="dxa"/>
          </w:tcPr>
          <w:p>
            <w:pPr>
              <w:pStyle w:val="TableParagraph"/>
              <w:spacing w:before="97"/>
              <w:ind w:left="53" w:right="54"/>
              <w:rPr>
                <w:sz w:val="18"/>
              </w:rPr>
            </w:pPr>
            <w:r>
              <w:rPr>
                <w:sz w:val="18"/>
              </w:rPr>
              <w:t>$68,878,289.21</w:t>
            </w:r>
          </w:p>
        </w:tc>
      </w:tr>
      <w:tr>
        <w:trPr>
          <w:trHeight w:val="521" w:hRule="exact"/>
        </w:trPr>
        <w:tc>
          <w:tcPr>
            <w:tcW w:w="2141" w:type="dxa"/>
          </w:tcPr>
          <w:p>
            <w:pPr>
              <w:pStyle w:val="TableParagraph"/>
              <w:spacing w:before="95"/>
              <w:ind w:left="64" w:right="67"/>
              <w:jc w:val="left"/>
              <w:rPr>
                <w:b/>
                <w:sz w:val="18"/>
              </w:rPr>
            </w:pPr>
            <w:r>
              <w:rPr>
                <w:b/>
                <w:color w:val="333333"/>
                <w:sz w:val="18"/>
              </w:rPr>
              <w:t>CHIMALHUACAN</w:t>
            </w:r>
          </w:p>
        </w:tc>
        <w:tc>
          <w:tcPr>
            <w:tcW w:w="1658" w:type="dxa"/>
          </w:tcPr>
          <w:p>
            <w:pPr>
              <w:pStyle w:val="TableParagraph"/>
              <w:spacing w:before="100"/>
              <w:ind w:left="53" w:right="53"/>
              <w:rPr>
                <w:sz w:val="18"/>
              </w:rPr>
            </w:pPr>
            <w:r>
              <w:rPr>
                <w:sz w:val="18"/>
              </w:rPr>
              <w:t>$1,417,481,823.00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3"/>
              <w:rPr>
                <w:sz w:val="18"/>
              </w:rPr>
            </w:pPr>
            <w:r>
              <w:rPr>
                <w:sz w:val="18"/>
              </w:rPr>
              <w:t>$1,525,664,489.51</w:t>
            </w:r>
          </w:p>
        </w:tc>
        <w:tc>
          <w:tcPr>
            <w:tcW w:w="1661" w:type="dxa"/>
          </w:tcPr>
          <w:p>
            <w:pPr>
              <w:pStyle w:val="TableParagraph"/>
              <w:spacing w:before="100"/>
              <w:ind w:left="54" w:right="54"/>
              <w:rPr>
                <w:sz w:val="18"/>
              </w:rPr>
            </w:pPr>
            <w:r>
              <w:rPr>
                <w:sz w:val="18"/>
              </w:rPr>
              <w:t>$108,182,666.51</w:t>
            </w:r>
          </w:p>
        </w:tc>
        <w:tc>
          <w:tcPr>
            <w:tcW w:w="1658" w:type="dxa"/>
          </w:tcPr>
          <w:p>
            <w:pPr>
              <w:pStyle w:val="TableParagraph"/>
              <w:spacing w:before="100"/>
              <w:ind w:left="53" w:right="53"/>
              <w:rPr>
                <w:sz w:val="18"/>
              </w:rPr>
            </w:pPr>
            <w:r>
              <w:rPr>
                <w:sz w:val="18"/>
              </w:rPr>
              <w:t>$1,751,620,630.00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3"/>
              <w:rPr>
                <w:sz w:val="18"/>
              </w:rPr>
            </w:pPr>
            <w:r>
              <w:rPr>
                <w:sz w:val="18"/>
              </w:rPr>
              <w:t>$1,455,897,035.09</w:t>
            </w:r>
          </w:p>
        </w:tc>
        <w:tc>
          <w:tcPr>
            <w:tcW w:w="1661" w:type="dxa"/>
          </w:tcPr>
          <w:p>
            <w:pPr>
              <w:pStyle w:val="TableParagraph"/>
              <w:spacing w:before="100"/>
              <w:ind w:left="53" w:right="53"/>
              <w:rPr>
                <w:sz w:val="18"/>
              </w:rPr>
            </w:pPr>
            <w:r>
              <w:rPr>
                <w:sz w:val="18"/>
              </w:rPr>
              <w:t>$295,723,594.91</w:t>
            </w:r>
          </w:p>
        </w:tc>
      </w:tr>
      <w:tr>
        <w:trPr>
          <w:trHeight w:val="776" w:hRule="exact"/>
        </w:trPr>
        <w:tc>
          <w:tcPr>
            <w:tcW w:w="2141" w:type="dxa"/>
          </w:tcPr>
          <w:p>
            <w:pPr>
              <w:pStyle w:val="TableParagraph"/>
              <w:tabs>
                <w:tab w:pos="1811" w:val="left" w:leader="none"/>
              </w:tabs>
              <w:spacing w:line="362" w:lineRule="auto" w:before="66"/>
              <w:ind w:left="64" w:right="67"/>
              <w:jc w:val="left"/>
              <w:rPr>
                <w:b/>
                <w:sz w:val="18"/>
              </w:rPr>
            </w:pPr>
            <w:r>
              <w:rPr>
                <w:b/>
                <w:color w:val="333333"/>
                <w:sz w:val="18"/>
              </w:rPr>
              <w:t>COACALCO</w:t>
              <w:tab/>
              <w:t>DE BERRIOZABAL</w:t>
            </w:r>
          </w:p>
        </w:tc>
        <w:tc>
          <w:tcPr>
            <w:tcW w:w="1658" w:type="dxa"/>
          </w:tcPr>
          <w:p>
            <w:pPr>
              <w:pStyle w:val="TableParagraph"/>
              <w:spacing w:before="8"/>
              <w:jc w:val="left"/>
              <w:rPr>
                <w:rFonts w:ascii="Times New Roman"/>
                <w:sz w:val="19"/>
              </w:rPr>
            </w:pPr>
          </w:p>
          <w:p>
            <w:pPr>
              <w:pStyle w:val="TableParagraph"/>
              <w:ind w:left="52" w:right="53"/>
              <w:rPr>
                <w:sz w:val="18"/>
              </w:rPr>
            </w:pPr>
            <w:r>
              <w:rPr>
                <w:sz w:val="18"/>
              </w:rPr>
              <w:t>$0.00</w:t>
            </w:r>
          </w:p>
        </w:tc>
        <w:tc>
          <w:tcPr>
            <w:tcW w:w="1508" w:type="dxa"/>
          </w:tcPr>
          <w:p>
            <w:pPr>
              <w:pStyle w:val="TableParagraph"/>
              <w:spacing w:before="8"/>
              <w:jc w:val="left"/>
              <w:rPr>
                <w:rFonts w:ascii="Times New Roman"/>
                <w:sz w:val="19"/>
              </w:rPr>
            </w:pPr>
          </w:p>
          <w:p>
            <w:pPr>
              <w:pStyle w:val="TableParagraph"/>
              <w:ind w:left="53" w:right="48"/>
              <w:rPr>
                <w:sz w:val="18"/>
              </w:rPr>
            </w:pPr>
            <w:r>
              <w:rPr>
                <w:sz w:val="18"/>
              </w:rPr>
              <w:t>$0.00</w:t>
            </w:r>
          </w:p>
        </w:tc>
        <w:tc>
          <w:tcPr>
            <w:tcW w:w="1661" w:type="dxa"/>
          </w:tcPr>
          <w:p>
            <w:pPr>
              <w:pStyle w:val="TableParagraph"/>
              <w:spacing w:before="8"/>
              <w:jc w:val="left"/>
              <w:rPr>
                <w:rFonts w:ascii="Times New Roman"/>
                <w:sz w:val="19"/>
              </w:rPr>
            </w:pPr>
          </w:p>
          <w:p>
            <w:pPr>
              <w:pStyle w:val="TableParagraph"/>
              <w:ind w:left="53" w:right="52"/>
              <w:rPr>
                <w:sz w:val="18"/>
              </w:rPr>
            </w:pPr>
            <w:r>
              <w:rPr>
                <w:sz w:val="18"/>
              </w:rPr>
              <w:t>$0.00</w:t>
            </w:r>
          </w:p>
        </w:tc>
        <w:tc>
          <w:tcPr>
            <w:tcW w:w="1661" w:type="dxa"/>
          </w:tcPr>
          <w:p>
            <w:pPr>
              <w:pStyle w:val="TableParagraph"/>
              <w:spacing w:before="8"/>
              <w:jc w:val="left"/>
              <w:rPr>
                <w:rFonts w:ascii="Times New Roman"/>
                <w:sz w:val="19"/>
              </w:rPr>
            </w:pPr>
          </w:p>
          <w:p>
            <w:pPr>
              <w:pStyle w:val="TableParagraph"/>
              <w:ind w:left="54" w:right="56"/>
              <w:rPr>
                <w:sz w:val="18"/>
              </w:rPr>
            </w:pPr>
            <w:r>
              <w:rPr>
                <w:sz w:val="18"/>
              </w:rPr>
              <w:t>$0.00</w:t>
            </w:r>
          </w:p>
        </w:tc>
        <w:tc>
          <w:tcPr>
            <w:tcW w:w="1658" w:type="dxa"/>
          </w:tcPr>
          <w:p>
            <w:pPr>
              <w:pStyle w:val="TableParagraph"/>
              <w:spacing w:before="8"/>
              <w:jc w:val="left"/>
              <w:rPr>
                <w:rFonts w:ascii="Times New Roman"/>
                <w:sz w:val="19"/>
              </w:rPr>
            </w:pPr>
          </w:p>
          <w:p>
            <w:pPr>
              <w:pStyle w:val="TableParagraph"/>
              <w:ind w:left="53" w:right="53"/>
              <w:rPr>
                <w:sz w:val="18"/>
              </w:rPr>
            </w:pPr>
            <w:r>
              <w:rPr>
                <w:sz w:val="18"/>
              </w:rPr>
              <w:t>$566,832,661.00</w:t>
            </w:r>
          </w:p>
        </w:tc>
        <w:tc>
          <w:tcPr>
            <w:tcW w:w="1508" w:type="dxa"/>
          </w:tcPr>
          <w:p>
            <w:pPr>
              <w:pStyle w:val="TableParagraph"/>
              <w:spacing w:before="8"/>
              <w:jc w:val="left"/>
              <w:rPr>
                <w:rFonts w:ascii="Times New Roman"/>
                <w:sz w:val="19"/>
              </w:rPr>
            </w:pPr>
          </w:p>
          <w:p>
            <w:pPr>
              <w:pStyle w:val="TableParagraph"/>
              <w:ind w:left="53" w:right="48"/>
              <w:rPr>
                <w:sz w:val="18"/>
              </w:rPr>
            </w:pPr>
            <w:r>
              <w:rPr>
                <w:sz w:val="18"/>
              </w:rPr>
              <w:t>$0.00</w:t>
            </w:r>
          </w:p>
        </w:tc>
        <w:tc>
          <w:tcPr>
            <w:tcW w:w="1661" w:type="dxa"/>
          </w:tcPr>
          <w:p>
            <w:pPr>
              <w:pStyle w:val="TableParagraph"/>
              <w:spacing w:before="8"/>
              <w:jc w:val="left"/>
              <w:rPr>
                <w:rFonts w:ascii="Times New Roman"/>
                <w:sz w:val="19"/>
              </w:rPr>
            </w:pPr>
          </w:p>
          <w:p>
            <w:pPr>
              <w:pStyle w:val="TableParagraph"/>
              <w:ind w:left="53" w:right="52"/>
              <w:rPr>
                <w:sz w:val="18"/>
              </w:rPr>
            </w:pPr>
            <w:r>
              <w:rPr>
                <w:sz w:val="18"/>
              </w:rPr>
              <w:t>$0.00</w:t>
            </w:r>
          </w:p>
        </w:tc>
        <w:tc>
          <w:tcPr>
            <w:tcW w:w="1661" w:type="dxa"/>
          </w:tcPr>
          <w:p>
            <w:pPr>
              <w:pStyle w:val="TableParagraph"/>
              <w:spacing w:before="8"/>
              <w:jc w:val="left"/>
              <w:rPr>
                <w:rFonts w:ascii="Times New Roman"/>
                <w:sz w:val="19"/>
              </w:rPr>
            </w:pPr>
          </w:p>
          <w:p>
            <w:pPr>
              <w:pStyle w:val="TableParagraph"/>
              <w:ind w:left="53" w:right="53"/>
              <w:rPr>
                <w:sz w:val="18"/>
              </w:rPr>
            </w:pPr>
            <w:r>
              <w:rPr>
                <w:sz w:val="18"/>
              </w:rPr>
              <w:t>$566,832,661.00</w:t>
            </w:r>
          </w:p>
        </w:tc>
      </w:tr>
      <w:tr>
        <w:trPr>
          <w:trHeight w:val="521" w:hRule="exact"/>
        </w:trPr>
        <w:tc>
          <w:tcPr>
            <w:tcW w:w="2141" w:type="dxa"/>
          </w:tcPr>
          <w:p>
            <w:pPr>
              <w:pStyle w:val="TableParagraph"/>
              <w:spacing w:before="95"/>
              <w:ind w:left="64" w:right="67"/>
              <w:jc w:val="left"/>
              <w:rPr>
                <w:b/>
                <w:sz w:val="18"/>
              </w:rPr>
            </w:pPr>
            <w:r>
              <w:rPr>
                <w:b/>
                <w:color w:val="333333"/>
                <w:sz w:val="18"/>
              </w:rPr>
              <w:t>COATEPEC HARINAS</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3" w:right="53"/>
              <w:rPr>
                <w:sz w:val="18"/>
              </w:rPr>
            </w:pPr>
            <w:r>
              <w:rPr>
                <w:sz w:val="18"/>
              </w:rPr>
              <w:t>$94,123,605.06</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3" w:right="54"/>
              <w:rPr>
                <w:sz w:val="18"/>
              </w:rPr>
            </w:pPr>
            <w:r>
              <w:rPr>
                <w:sz w:val="18"/>
              </w:rPr>
              <w:t>$94,123,605.06</w:t>
            </w:r>
          </w:p>
        </w:tc>
      </w:tr>
      <w:tr>
        <w:trPr>
          <w:trHeight w:val="518" w:hRule="exact"/>
        </w:trPr>
        <w:tc>
          <w:tcPr>
            <w:tcW w:w="2141" w:type="dxa"/>
          </w:tcPr>
          <w:p>
            <w:pPr>
              <w:pStyle w:val="TableParagraph"/>
              <w:spacing w:before="92"/>
              <w:ind w:left="64" w:right="67"/>
              <w:jc w:val="left"/>
              <w:rPr>
                <w:b/>
                <w:sz w:val="18"/>
              </w:rPr>
            </w:pPr>
            <w:r>
              <w:rPr>
                <w:b/>
                <w:color w:val="333333"/>
                <w:sz w:val="18"/>
              </w:rPr>
              <w:t>COCOTITLAN</w:t>
            </w:r>
          </w:p>
        </w:tc>
        <w:tc>
          <w:tcPr>
            <w:tcW w:w="1658" w:type="dxa"/>
          </w:tcPr>
          <w:p>
            <w:pPr>
              <w:pStyle w:val="TableParagraph"/>
              <w:spacing w:before="97"/>
              <w:ind w:left="52" w:right="53"/>
              <w:rPr>
                <w:sz w:val="18"/>
              </w:rPr>
            </w:pPr>
            <w:r>
              <w:rPr>
                <w:sz w:val="18"/>
              </w:rPr>
              <w:t>$0.00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54" w:right="56"/>
              <w:rPr>
                <w:sz w:val="18"/>
              </w:rPr>
            </w:pPr>
            <w:r>
              <w:rPr>
                <w:sz w:val="18"/>
              </w:rPr>
              <w:t>$0.00</w:t>
            </w:r>
          </w:p>
        </w:tc>
        <w:tc>
          <w:tcPr>
            <w:tcW w:w="1658" w:type="dxa"/>
          </w:tcPr>
          <w:p>
            <w:pPr>
              <w:pStyle w:val="TableParagraph"/>
              <w:spacing w:before="97"/>
              <w:ind w:left="52" w:right="53"/>
              <w:rPr>
                <w:sz w:val="18"/>
              </w:rPr>
            </w:pPr>
            <w:r>
              <w:rPr>
                <w:sz w:val="18"/>
              </w:rPr>
              <w:t>$0.00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53" w:right="54"/>
              <w:rPr>
                <w:sz w:val="18"/>
              </w:rPr>
            </w:pPr>
            <w:r>
              <w:rPr>
                <w:sz w:val="18"/>
              </w:rPr>
              <w:t>$0.00</w:t>
            </w:r>
          </w:p>
        </w:tc>
      </w:tr>
      <w:tr>
        <w:trPr>
          <w:trHeight w:val="521" w:hRule="exact"/>
        </w:trPr>
        <w:tc>
          <w:tcPr>
            <w:tcW w:w="2141" w:type="dxa"/>
          </w:tcPr>
          <w:p>
            <w:pPr>
              <w:pStyle w:val="TableParagraph"/>
              <w:spacing w:before="95"/>
              <w:ind w:left="64" w:right="67"/>
              <w:jc w:val="left"/>
              <w:rPr>
                <w:b/>
                <w:sz w:val="18"/>
              </w:rPr>
            </w:pPr>
            <w:r>
              <w:rPr>
                <w:b/>
                <w:color w:val="333333"/>
                <w:sz w:val="18"/>
              </w:rPr>
              <w:t>COYOTEPEC</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3" w:right="53"/>
              <w:rPr>
                <w:sz w:val="18"/>
              </w:rPr>
            </w:pPr>
            <w:r>
              <w:rPr>
                <w:sz w:val="18"/>
              </w:rPr>
              <w:t>$118,553,039.00</w:t>
            </w:r>
          </w:p>
        </w:tc>
        <w:tc>
          <w:tcPr>
            <w:tcW w:w="1508" w:type="dxa"/>
          </w:tcPr>
          <w:p>
            <w:pPr>
              <w:pStyle w:val="TableParagraph"/>
              <w:spacing w:before="100"/>
              <w:ind w:left="53" w:right="49"/>
              <w:rPr>
                <w:sz w:val="18"/>
              </w:rPr>
            </w:pPr>
            <w:r>
              <w:rPr>
                <w:sz w:val="18"/>
              </w:rPr>
              <w:t>$1,200,145.29</w:t>
            </w:r>
          </w:p>
        </w:tc>
        <w:tc>
          <w:tcPr>
            <w:tcW w:w="1661" w:type="dxa"/>
          </w:tcPr>
          <w:p>
            <w:pPr>
              <w:pStyle w:val="TableParagraph"/>
              <w:spacing w:before="100"/>
              <w:ind w:left="53" w:right="51"/>
              <w:rPr>
                <w:sz w:val="18"/>
              </w:rPr>
            </w:pPr>
            <w:r>
              <w:rPr>
                <w:sz w:val="18"/>
              </w:rPr>
              <w:t>$119,753,184.29</w:t>
            </w:r>
          </w:p>
        </w:tc>
        <w:tc>
          <w:tcPr>
            <w:tcW w:w="1661" w:type="dxa"/>
          </w:tcPr>
          <w:p>
            <w:pPr>
              <w:pStyle w:val="TableParagraph"/>
              <w:spacing w:before="100"/>
              <w:ind w:left="53" w:right="54"/>
              <w:rPr>
                <w:sz w:val="18"/>
              </w:rPr>
            </w:pPr>
            <w:r>
              <w:rPr>
                <w:sz w:val="18"/>
              </w:rPr>
              <w:t>$0.00</w:t>
            </w:r>
          </w:p>
        </w:tc>
      </w:tr>
      <w:tr>
        <w:trPr>
          <w:trHeight w:val="521" w:hRule="exact"/>
        </w:trPr>
        <w:tc>
          <w:tcPr>
            <w:tcW w:w="2141" w:type="dxa"/>
          </w:tcPr>
          <w:p>
            <w:pPr>
              <w:pStyle w:val="TableParagraph"/>
              <w:spacing w:before="95"/>
              <w:ind w:left="64" w:right="67"/>
              <w:jc w:val="left"/>
              <w:rPr>
                <w:b/>
                <w:sz w:val="18"/>
              </w:rPr>
            </w:pPr>
            <w:r>
              <w:rPr>
                <w:b/>
                <w:color w:val="333333"/>
                <w:sz w:val="18"/>
              </w:rPr>
              <w:t>CUAUTITLAN</w:t>
            </w:r>
          </w:p>
        </w:tc>
        <w:tc>
          <w:tcPr>
            <w:tcW w:w="1658" w:type="dxa"/>
          </w:tcPr>
          <w:p>
            <w:pPr>
              <w:pStyle w:val="TableParagraph"/>
              <w:spacing w:before="100"/>
              <w:ind w:left="53" w:right="53"/>
              <w:rPr>
                <w:sz w:val="18"/>
              </w:rPr>
            </w:pPr>
            <w:r>
              <w:rPr>
                <w:sz w:val="18"/>
              </w:rPr>
              <w:t>$465,891,706.00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1"/>
              <w:rPr>
                <w:sz w:val="18"/>
              </w:rPr>
            </w:pPr>
            <w:r>
              <w:rPr>
                <w:sz w:val="18"/>
              </w:rPr>
              <w:t>$541,251,117.15</w:t>
            </w:r>
          </w:p>
        </w:tc>
        <w:tc>
          <w:tcPr>
            <w:tcW w:w="1661" w:type="dxa"/>
          </w:tcPr>
          <w:p>
            <w:pPr>
              <w:pStyle w:val="TableParagraph"/>
              <w:spacing w:before="100"/>
              <w:ind w:left="54" w:right="54"/>
              <w:rPr>
                <w:sz w:val="18"/>
              </w:rPr>
            </w:pPr>
            <w:r>
              <w:rPr>
                <w:sz w:val="18"/>
              </w:rPr>
              <w:t>$75,359,411.15</w:t>
            </w:r>
          </w:p>
        </w:tc>
        <w:tc>
          <w:tcPr>
            <w:tcW w:w="1658" w:type="dxa"/>
          </w:tcPr>
          <w:p>
            <w:pPr>
              <w:pStyle w:val="TableParagraph"/>
              <w:spacing w:before="100"/>
              <w:ind w:left="53" w:right="53"/>
              <w:rPr>
                <w:sz w:val="18"/>
              </w:rPr>
            </w:pPr>
            <w:r>
              <w:rPr>
                <w:sz w:val="18"/>
              </w:rPr>
              <w:t>$626,300,000.00</w:t>
            </w:r>
          </w:p>
        </w:tc>
        <w:tc>
          <w:tcPr>
            <w:tcW w:w="1508" w:type="dxa"/>
          </w:tcPr>
          <w:p>
            <w:pPr>
              <w:pStyle w:val="TableParagraph"/>
              <w:spacing w:before="100"/>
              <w:ind w:left="53" w:right="51"/>
              <w:rPr>
                <w:sz w:val="18"/>
              </w:rPr>
            </w:pPr>
            <w:r>
              <w:rPr>
                <w:sz w:val="18"/>
              </w:rPr>
              <w:t>$19,053,915.10</w:t>
            </w:r>
          </w:p>
        </w:tc>
        <w:tc>
          <w:tcPr>
            <w:tcW w:w="1661" w:type="dxa"/>
          </w:tcPr>
          <w:p>
            <w:pPr>
              <w:pStyle w:val="TableParagraph"/>
              <w:spacing w:before="100"/>
              <w:ind w:left="53" w:right="51"/>
              <w:rPr>
                <w:sz w:val="18"/>
              </w:rPr>
            </w:pPr>
            <w:r>
              <w:rPr>
                <w:sz w:val="18"/>
              </w:rPr>
              <w:t>$493,666,144.84</w:t>
            </w:r>
          </w:p>
        </w:tc>
        <w:tc>
          <w:tcPr>
            <w:tcW w:w="1661" w:type="dxa"/>
          </w:tcPr>
          <w:p>
            <w:pPr>
              <w:pStyle w:val="TableParagraph"/>
              <w:spacing w:before="100"/>
              <w:ind w:left="53" w:right="53"/>
              <w:rPr>
                <w:sz w:val="18"/>
              </w:rPr>
            </w:pPr>
            <w:r>
              <w:rPr>
                <w:sz w:val="18"/>
              </w:rPr>
              <w:t>$113,579,940.06</w:t>
            </w:r>
          </w:p>
        </w:tc>
      </w:tr>
      <w:tr>
        <w:trPr>
          <w:trHeight w:val="519" w:hRule="exact"/>
        </w:trPr>
        <w:tc>
          <w:tcPr>
            <w:tcW w:w="2141" w:type="dxa"/>
            <w:tcBorders>
              <w:bottom w:val="single" w:sz="4" w:space="0" w:color="000000"/>
            </w:tcBorders>
          </w:tcPr>
          <w:p>
            <w:pPr>
              <w:pStyle w:val="TableParagraph"/>
              <w:spacing w:before="92"/>
              <w:ind w:left="64" w:right="67"/>
              <w:jc w:val="left"/>
              <w:rPr>
                <w:b/>
                <w:sz w:val="18"/>
              </w:rPr>
            </w:pPr>
            <w:r>
              <w:rPr>
                <w:b/>
                <w:color w:val="333333"/>
                <w:sz w:val="18"/>
              </w:rPr>
              <w:t>CUAUTITLAN IZCALLI</w:t>
            </w:r>
          </w:p>
        </w:tc>
        <w:tc>
          <w:tcPr>
            <w:tcW w:w="1658" w:type="dxa"/>
            <w:tcBorders>
              <w:bottom w:val="single" w:sz="4" w:space="0" w:color="000000"/>
            </w:tcBorders>
          </w:tcPr>
          <w:p>
            <w:pPr>
              <w:pStyle w:val="TableParagraph"/>
              <w:spacing w:before="97"/>
              <w:ind w:left="53" w:right="53"/>
              <w:rPr>
                <w:sz w:val="18"/>
              </w:rPr>
            </w:pPr>
            <w:r>
              <w:rPr>
                <w:sz w:val="18"/>
              </w:rPr>
              <w:t>$2,478,015,473.39</w:t>
            </w:r>
          </w:p>
        </w:tc>
        <w:tc>
          <w:tcPr>
            <w:tcW w:w="1508" w:type="dxa"/>
            <w:tcBorders>
              <w:bottom w:val="single" w:sz="4" w:space="0" w:color="000000"/>
            </w:tcBorders>
          </w:tcPr>
          <w:p>
            <w:pPr>
              <w:pStyle w:val="TableParagraph"/>
              <w:spacing w:before="97"/>
              <w:ind w:left="53" w:right="49"/>
              <w:rPr>
                <w:sz w:val="18"/>
              </w:rPr>
            </w:pPr>
            <w:r>
              <w:rPr>
                <w:sz w:val="18"/>
              </w:rPr>
              <w:t>$4,243,579.93</w:t>
            </w:r>
          </w:p>
        </w:tc>
        <w:tc>
          <w:tcPr>
            <w:tcW w:w="1661" w:type="dxa"/>
            <w:tcBorders>
              <w:bottom w:val="single" w:sz="4" w:space="0" w:color="000000"/>
            </w:tcBorders>
          </w:tcPr>
          <w:p>
            <w:pPr>
              <w:pStyle w:val="TableParagraph"/>
              <w:spacing w:before="97"/>
              <w:ind w:left="53" w:right="51"/>
              <w:rPr>
                <w:sz w:val="18"/>
              </w:rPr>
            </w:pPr>
            <w:r>
              <w:rPr>
                <w:sz w:val="18"/>
              </w:rPr>
              <w:t>$258,132,277.99</w:t>
            </w:r>
          </w:p>
        </w:tc>
        <w:tc>
          <w:tcPr>
            <w:tcW w:w="1661" w:type="dxa"/>
            <w:tcBorders>
              <w:bottom w:val="single" w:sz="4" w:space="0" w:color="000000"/>
            </w:tcBorders>
          </w:tcPr>
          <w:p>
            <w:pPr>
              <w:pStyle w:val="TableParagraph"/>
              <w:spacing w:before="97"/>
              <w:ind w:left="54" w:right="56"/>
              <w:rPr>
                <w:sz w:val="18"/>
              </w:rPr>
            </w:pPr>
            <w:r>
              <w:rPr>
                <w:sz w:val="18"/>
              </w:rPr>
              <w:t>$2,215,639,615.47</w:t>
            </w:r>
          </w:p>
        </w:tc>
        <w:tc>
          <w:tcPr>
            <w:tcW w:w="1658" w:type="dxa"/>
            <w:tcBorders>
              <w:bottom w:val="single" w:sz="4" w:space="0" w:color="000000"/>
            </w:tcBorders>
          </w:tcPr>
          <w:p>
            <w:pPr>
              <w:pStyle w:val="TableParagraph"/>
              <w:spacing w:before="97"/>
              <w:ind w:left="53" w:right="53"/>
              <w:rPr>
                <w:sz w:val="18"/>
              </w:rPr>
            </w:pPr>
            <w:r>
              <w:rPr>
                <w:sz w:val="18"/>
              </w:rPr>
              <w:t>$2,334,922,226.97</w:t>
            </w:r>
          </w:p>
        </w:tc>
        <w:tc>
          <w:tcPr>
            <w:tcW w:w="1508" w:type="dxa"/>
            <w:tcBorders>
              <w:bottom w:val="single" w:sz="4" w:space="0" w:color="000000"/>
            </w:tcBorders>
          </w:tcPr>
          <w:p>
            <w:pPr>
              <w:pStyle w:val="TableParagraph"/>
              <w:spacing w:before="97"/>
              <w:ind w:left="53" w:right="51"/>
              <w:rPr>
                <w:sz w:val="18"/>
              </w:rPr>
            </w:pPr>
            <w:r>
              <w:rPr>
                <w:sz w:val="18"/>
              </w:rPr>
              <w:t>$41,976,228.00</w:t>
            </w:r>
          </w:p>
        </w:tc>
        <w:tc>
          <w:tcPr>
            <w:tcW w:w="1661" w:type="dxa"/>
            <w:tcBorders>
              <w:bottom w:val="single" w:sz="4" w:space="0" w:color="000000"/>
            </w:tcBorders>
          </w:tcPr>
          <w:p>
            <w:pPr>
              <w:pStyle w:val="TableParagraph"/>
              <w:spacing w:before="97"/>
              <w:ind w:left="53" w:right="50"/>
              <w:rPr>
                <w:sz w:val="18"/>
              </w:rPr>
            </w:pPr>
            <w:r>
              <w:rPr>
                <w:sz w:val="18"/>
              </w:rPr>
              <w:t>$89,820,532.43</w:t>
            </w:r>
          </w:p>
        </w:tc>
        <w:tc>
          <w:tcPr>
            <w:tcW w:w="1661" w:type="dxa"/>
            <w:tcBorders>
              <w:bottom w:val="single" w:sz="4" w:space="0" w:color="000000"/>
            </w:tcBorders>
          </w:tcPr>
          <w:p>
            <w:pPr>
              <w:pStyle w:val="TableParagraph"/>
              <w:spacing w:before="97"/>
              <w:ind w:left="52" w:right="54"/>
              <w:rPr>
                <w:sz w:val="18"/>
              </w:rPr>
            </w:pPr>
            <w:r>
              <w:rPr>
                <w:sz w:val="18"/>
              </w:rPr>
              <w:t>$2,203,125,466.54</w:t>
            </w:r>
          </w:p>
        </w:tc>
      </w:tr>
      <w:tr>
        <w:trPr>
          <w:trHeight w:val="521" w:hRule="exact"/>
        </w:trPr>
        <w:tc>
          <w:tcPr>
            <w:tcW w:w="2141" w:type="dxa"/>
            <w:tcBorders>
              <w:top w:val="single" w:sz="4" w:space="0" w:color="000000"/>
            </w:tcBorders>
          </w:tcPr>
          <w:p>
            <w:pPr>
              <w:pStyle w:val="TableParagraph"/>
              <w:spacing w:before="95"/>
              <w:ind w:left="64" w:right="67"/>
              <w:jc w:val="left"/>
              <w:rPr>
                <w:b/>
                <w:sz w:val="18"/>
              </w:rPr>
            </w:pPr>
            <w:r>
              <w:rPr>
                <w:b/>
                <w:color w:val="333333"/>
                <w:sz w:val="18"/>
              </w:rPr>
              <w:t>DONATO GUERRA</w:t>
            </w:r>
          </w:p>
        </w:tc>
        <w:tc>
          <w:tcPr>
            <w:tcW w:w="1658" w:type="dxa"/>
            <w:tcBorders>
              <w:top w:val="single" w:sz="4" w:space="0" w:color="000000"/>
            </w:tcBorders>
          </w:tcPr>
          <w:p>
            <w:pPr>
              <w:pStyle w:val="TableParagraph"/>
              <w:spacing w:before="100"/>
              <w:ind w:left="52" w:right="53"/>
              <w:rPr>
                <w:sz w:val="18"/>
              </w:rPr>
            </w:pPr>
            <w:r>
              <w:rPr>
                <w:sz w:val="18"/>
              </w:rPr>
              <w:t>$0.00</w:t>
            </w:r>
          </w:p>
        </w:tc>
        <w:tc>
          <w:tcPr>
            <w:tcW w:w="1508" w:type="dxa"/>
            <w:tcBorders>
              <w:top w:val="single" w:sz="4" w:space="0" w:color="000000"/>
            </w:tcBorders>
          </w:tcPr>
          <w:p>
            <w:pPr>
              <w:pStyle w:val="TableParagraph"/>
              <w:spacing w:before="100"/>
              <w:ind w:left="53" w:right="48"/>
              <w:rPr>
                <w:sz w:val="18"/>
              </w:rPr>
            </w:pPr>
            <w:r>
              <w:rPr>
                <w:sz w:val="18"/>
              </w:rPr>
              <w:t>$0.00</w:t>
            </w:r>
          </w:p>
        </w:tc>
        <w:tc>
          <w:tcPr>
            <w:tcW w:w="1661" w:type="dxa"/>
            <w:tcBorders>
              <w:top w:val="single" w:sz="4" w:space="0" w:color="000000"/>
            </w:tcBorders>
          </w:tcPr>
          <w:p>
            <w:pPr>
              <w:pStyle w:val="TableParagraph"/>
              <w:spacing w:before="100"/>
              <w:ind w:left="53" w:right="52"/>
              <w:rPr>
                <w:sz w:val="18"/>
              </w:rPr>
            </w:pPr>
            <w:r>
              <w:rPr>
                <w:sz w:val="18"/>
              </w:rPr>
              <w:t>$0.00</w:t>
            </w:r>
          </w:p>
        </w:tc>
        <w:tc>
          <w:tcPr>
            <w:tcW w:w="1661" w:type="dxa"/>
            <w:tcBorders>
              <w:top w:val="single" w:sz="4" w:space="0" w:color="000000"/>
            </w:tcBorders>
          </w:tcPr>
          <w:p>
            <w:pPr>
              <w:pStyle w:val="TableParagraph"/>
              <w:spacing w:before="100"/>
              <w:ind w:left="54" w:right="56"/>
              <w:rPr>
                <w:sz w:val="18"/>
              </w:rPr>
            </w:pPr>
            <w:r>
              <w:rPr>
                <w:sz w:val="18"/>
              </w:rPr>
              <w:t>$0.00</w:t>
            </w:r>
          </w:p>
        </w:tc>
        <w:tc>
          <w:tcPr>
            <w:tcW w:w="1658" w:type="dxa"/>
            <w:tcBorders>
              <w:top w:val="single" w:sz="4" w:space="0" w:color="000000"/>
            </w:tcBorders>
          </w:tcPr>
          <w:p>
            <w:pPr>
              <w:pStyle w:val="TableParagraph"/>
              <w:spacing w:before="100"/>
              <w:ind w:left="52" w:right="53"/>
              <w:rPr>
                <w:sz w:val="18"/>
              </w:rPr>
            </w:pPr>
            <w:r>
              <w:rPr>
                <w:sz w:val="18"/>
              </w:rPr>
              <w:t>$0.00</w:t>
            </w:r>
          </w:p>
        </w:tc>
        <w:tc>
          <w:tcPr>
            <w:tcW w:w="1508" w:type="dxa"/>
            <w:tcBorders>
              <w:top w:val="single" w:sz="4" w:space="0" w:color="000000"/>
            </w:tcBorders>
          </w:tcPr>
          <w:p>
            <w:pPr>
              <w:pStyle w:val="TableParagraph"/>
              <w:spacing w:before="100"/>
              <w:ind w:left="53" w:right="48"/>
              <w:rPr>
                <w:sz w:val="18"/>
              </w:rPr>
            </w:pPr>
            <w:r>
              <w:rPr>
                <w:sz w:val="18"/>
              </w:rPr>
              <w:t>$0.00</w:t>
            </w:r>
          </w:p>
        </w:tc>
        <w:tc>
          <w:tcPr>
            <w:tcW w:w="1661" w:type="dxa"/>
            <w:tcBorders>
              <w:top w:val="single" w:sz="4" w:space="0" w:color="000000"/>
            </w:tcBorders>
          </w:tcPr>
          <w:p>
            <w:pPr>
              <w:pStyle w:val="TableParagraph"/>
              <w:spacing w:before="100"/>
              <w:ind w:left="53" w:right="52"/>
              <w:rPr>
                <w:sz w:val="18"/>
              </w:rPr>
            </w:pPr>
            <w:r>
              <w:rPr>
                <w:sz w:val="18"/>
              </w:rPr>
              <w:t>$0.00</w:t>
            </w:r>
          </w:p>
        </w:tc>
        <w:tc>
          <w:tcPr>
            <w:tcW w:w="1661" w:type="dxa"/>
            <w:tcBorders>
              <w:top w:val="single" w:sz="4" w:space="0" w:color="000000"/>
            </w:tcBorders>
          </w:tcPr>
          <w:p>
            <w:pPr>
              <w:pStyle w:val="TableParagraph"/>
              <w:spacing w:before="100"/>
              <w:ind w:left="53" w:right="54"/>
              <w:rPr>
                <w:sz w:val="18"/>
              </w:rPr>
            </w:pPr>
            <w:r>
              <w:rPr>
                <w:sz w:val="18"/>
              </w:rPr>
              <w:t>$0.00</w:t>
            </w:r>
          </w:p>
        </w:tc>
      </w:tr>
    </w:tbl>
    <w:p>
      <w:pPr>
        <w:spacing w:after="0"/>
        <w:rPr>
          <w:sz w:val="18"/>
        </w:rPr>
        <w:sectPr>
          <w:pgSz w:w="15840" w:h="12240" w:orient="landscape"/>
          <w:pgMar w:header="0" w:footer="975" w:top="1140" w:bottom="1160" w:left="240" w:right="240"/>
        </w:sectPr>
      </w:pPr>
    </w:p>
    <w:p>
      <w:pPr>
        <w:pStyle w:val="BodyText"/>
        <w:rPr>
          <w:rFonts w:ascii="Times New Roman"/>
          <w:sz w:val="20"/>
        </w:rPr>
      </w:pPr>
    </w:p>
    <w:p>
      <w:pPr>
        <w:pStyle w:val="BodyText"/>
        <w:spacing w:before="10"/>
        <w:rPr>
          <w:rFonts w:ascii="Times New Roman"/>
          <w:sz w:val="28"/>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41"/>
        <w:gridCol w:w="1658"/>
        <w:gridCol w:w="1508"/>
        <w:gridCol w:w="1661"/>
        <w:gridCol w:w="1661"/>
        <w:gridCol w:w="1658"/>
        <w:gridCol w:w="1508"/>
        <w:gridCol w:w="1661"/>
        <w:gridCol w:w="1661"/>
      </w:tblGrid>
      <w:tr>
        <w:trPr>
          <w:trHeight w:val="430" w:hRule="exact"/>
        </w:trPr>
        <w:tc>
          <w:tcPr>
            <w:tcW w:w="15117" w:type="dxa"/>
            <w:gridSpan w:val="9"/>
            <w:shd w:val="clear" w:color="auto" w:fill="C5DFB3"/>
          </w:tcPr>
          <w:p>
            <w:pPr>
              <w:pStyle w:val="TableParagraph"/>
              <w:spacing w:before="49"/>
              <w:ind w:left="3900"/>
              <w:jc w:val="left"/>
              <w:rPr>
                <w:b/>
                <w:sz w:val="18"/>
              </w:rPr>
            </w:pPr>
            <w:r>
              <w:rPr>
                <w:b/>
                <w:sz w:val="18"/>
              </w:rPr>
              <w:t>Anexo 24C. Municipios que publican apartado presupuesto 2012-2013 (Continuación)</w:t>
            </w:r>
          </w:p>
        </w:tc>
      </w:tr>
      <w:tr>
        <w:trPr>
          <w:trHeight w:val="320" w:hRule="exact"/>
        </w:trPr>
        <w:tc>
          <w:tcPr>
            <w:tcW w:w="2141"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23"/>
              </w:rPr>
            </w:pPr>
          </w:p>
          <w:p>
            <w:pPr>
              <w:pStyle w:val="TableParagraph"/>
              <w:ind w:left="643" w:right="67"/>
              <w:jc w:val="left"/>
              <w:rPr>
                <w:b/>
                <w:sz w:val="18"/>
              </w:rPr>
            </w:pPr>
            <w:r>
              <w:rPr>
                <w:b/>
                <w:sz w:val="18"/>
              </w:rPr>
              <w:t>Municipio</w:t>
            </w:r>
          </w:p>
        </w:tc>
        <w:tc>
          <w:tcPr>
            <w:tcW w:w="6488" w:type="dxa"/>
            <w:gridSpan w:val="4"/>
            <w:shd w:val="clear" w:color="auto" w:fill="C5DFB3"/>
          </w:tcPr>
          <w:p>
            <w:pPr>
              <w:pStyle w:val="TableParagraph"/>
              <w:spacing w:line="201" w:lineRule="exact"/>
              <w:ind w:left="3020" w:right="3018"/>
              <w:rPr>
                <w:b/>
                <w:sz w:val="18"/>
              </w:rPr>
            </w:pPr>
            <w:r>
              <w:rPr>
                <w:b/>
                <w:sz w:val="18"/>
              </w:rPr>
              <w:t>2012</w:t>
            </w:r>
          </w:p>
        </w:tc>
        <w:tc>
          <w:tcPr>
            <w:tcW w:w="6488" w:type="dxa"/>
            <w:gridSpan w:val="4"/>
            <w:shd w:val="clear" w:color="auto" w:fill="C5DFB3"/>
          </w:tcPr>
          <w:p>
            <w:pPr>
              <w:pStyle w:val="TableParagraph"/>
              <w:spacing w:line="201" w:lineRule="exact"/>
              <w:ind w:left="3019" w:right="3018"/>
              <w:rPr>
                <w:b/>
                <w:sz w:val="18"/>
              </w:rPr>
            </w:pPr>
            <w:r>
              <w:rPr>
                <w:b/>
                <w:sz w:val="18"/>
              </w:rPr>
              <w:t>2013</w:t>
            </w:r>
          </w:p>
        </w:tc>
      </w:tr>
      <w:tr>
        <w:trPr>
          <w:trHeight w:val="1374" w:hRule="exact"/>
        </w:trPr>
        <w:tc>
          <w:tcPr>
            <w:tcW w:w="2141" w:type="dxa"/>
            <w:vMerge/>
            <w:shd w:val="clear" w:color="auto" w:fill="C5DFB3"/>
          </w:tcPr>
          <w:p>
            <w:pPr/>
          </w:p>
        </w:tc>
        <w:tc>
          <w:tcPr>
            <w:tcW w:w="165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w w:val="100"/>
                <w:sz w:val="18"/>
              </w:rPr>
              <w:t>Autoriz</w:t>
            </w:r>
            <w:r>
              <w:rPr>
                <w:b/>
                <w:w w:val="99"/>
                <w:sz w:val="18"/>
              </w:rPr>
              <w:t>a</w:t>
            </w:r>
            <w:r>
              <w:rPr>
                <w:b/>
                <w:w w:val="100"/>
                <w:sz w:val="18"/>
              </w:rPr>
              <w:t>do</w:t>
            </w:r>
          </w:p>
        </w:tc>
        <w:tc>
          <w:tcPr>
            <w:tcW w:w="150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15"/>
              </w:rPr>
            </w:pPr>
          </w:p>
          <w:p>
            <w:pPr>
              <w:pStyle w:val="TableParagraph"/>
              <w:ind w:left="206"/>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326"/>
              <w:jc w:val="left"/>
              <w:rPr>
                <w:b/>
                <w:sz w:val="18"/>
              </w:rPr>
            </w:pPr>
            <w:r>
              <w:rPr>
                <w:b/>
                <w:w w:val="100"/>
                <w:sz w:val="18"/>
              </w:rPr>
              <w:t>Eje</w:t>
            </w:r>
            <w:r>
              <w:rPr>
                <w:b/>
                <w:w w:val="99"/>
                <w:sz w:val="18"/>
              </w:rPr>
              <w:t>rci</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211"/>
              <w:jc w:val="left"/>
              <w:rPr>
                <w:b/>
                <w:sz w:val="18"/>
              </w:rPr>
            </w:pPr>
            <w:r>
              <w:rPr>
                <w:b/>
                <w:sz w:val="18"/>
              </w:rPr>
              <w:t>Por </w:t>
            </w:r>
            <w:r>
              <w:rPr>
                <w:b/>
                <w:w w:val="99"/>
                <w:sz w:val="18"/>
              </w:rPr>
              <w:t>e</w:t>
            </w:r>
            <w:r>
              <w:rPr>
                <w:b/>
                <w:w w:val="100"/>
                <w:sz w:val="18"/>
              </w:rPr>
              <w:t>je</w:t>
            </w:r>
            <w:r>
              <w:rPr>
                <w:b/>
                <w:w w:val="99"/>
                <w:sz w:val="18"/>
              </w:rPr>
              <w:t>rcer</w:t>
            </w:r>
          </w:p>
        </w:tc>
        <w:tc>
          <w:tcPr>
            <w:tcW w:w="165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w w:val="100"/>
                <w:sz w:val="18"/>
              </w:rPr>
              <w:t>Autoriz</w:t>
            </w:r>
            <w:r>
              <w:rPr>
                <w:b/>
                <w:w w:val="99"/>
                <w:sz w:val="18"/>
              </w:rPr>
              <w:t>a</w:t>
            </w:r>
            <w:r>
              <w:rPr>
                <w:b/>
                <w:w w:val="100"/>
                <w:sz w:val="18"/>
              </w:rPr>
              <w:t>do</w:t>
            </w:r>
          </w:p>
        </w:tc>
        <w:tc>
          <w:tcPr>
            <w:tcW w:w="150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15"/>
              </w:rPr>
            </w:pPr>
          </w:p>
          <w:p>
            <w:pPr>
              <w:pStyle w:val="TableParagraph"/>
              <w:ind w:left="206"/>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326"/>
              <w:jc w:val="left"/>
              <w:rPr>
                <w:b/>
                <w:sz w:val="18"/>
              </w:rPr>
            </w:pPr>
            <w:r>
              <w:rPr>
                <w:b/>
                <w:w w:val="100"/>
                <w:sz w:val="18"/>
              </w:rPr>
              <w:t>Eje</w:t>
            </w:r>
            <w:r>
              <w:rPr>
                <w:b/>
                <w:w w:val="99"/>
                <w:sz w:val="18"/>
              </w:rPr>
              <w:t>rci</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sz w:val="18"/>
              </w:rPr>
              <w:t>Por </w:t>
            </w:r>
            <w:r>
              <w:rPr>
                <w:b/>
                <w:w w:val="99"/>
                <w:sz w:val="18"/>
              </w:rPr>
              <w:t>e</w:t>
            </w:r>
            <w:r>
              <w:rPr>
                <w:b/>
                <w:w w:val="100"/>
                <w:sz w:val="18"/>
              </w:rPr>
              <w:t>je</w:t>
            </w:r>
            <w:r>
              <w:rPr>
                <w:b/>
                <w:w w:val="99"/>
                <w:sz w:val="18"/>
              </w:rPr>
              <w:t>rcer</w:t>
            </w:r>
          </w:p>
        </w:tc>
      </w:tr>
      <w:tr>
        <w:trPr>
          <w:trHeight w:val="632" w:hRule="exact"/>
        </w:trPr>
        <w:tc>
          <w:tcPr>
            <w:tcW w:w="2141" w:type="dxa"/>
          </w:tcPr>
          <w:p>
            <w:pPr>
              <w:pStyle w:val="TableParagraph"/>
              <w:tabs>
                <w:tab w:pos="1811" w:val="left" w:leader="none"/>
              </w:tabs>
              <w:spacing w:line="360" w:lineRule="auto"/>
              <w:ind w:left="64" w:right="67"/>
              <w:jc w:val="left"/>
              <w:rPr>
                <w:b/>
                <w:sz w:val="18"/>
              </w:rPr>
            </w:pPr>
            <w:r>
              <w:rPr>
                <w:b/>
                <w:color w:val="333333"/>
                <w:sz w:val="18"/>
              </w:rPr>
              <w:t>ECATEPEC</w:t>
              <w:tab/>
              <w:t>DE MORELOS</w:t>
            </w:r>
          </w:p>
        </w:tc>
        <w:tc>
          <w:tcPr>
            <w:tcW w:w="1658" w:type="dxa"/>
          </w:tcPr>
          <w:p>
            <w:pPr>
              <w:pStyle w:val="TableParagraph"/>
              <w:spacing w:before="155"/>
              <w:ind w:left="53" w:right="53"/>
              <w:rPr>
                <w:sz w:val="18"/>
              </w:rPr>
            </w:pPr>
            <w:r>
              <w:rPr>
                <w:sz w:val="18"/>
              </w:rPr>
              <w:t>$4,105,131,365.34</w:t>
            </w:r>
          </w:p>
        </w:tc>
        <w:tc>
          <w:tcPr>
            <w:tcW w:w="1508" w:type="dxa"/>
          </w:tcPr>
          <w:p>
            <w:pPr>
              <w:pStyle w:val="TableParagraph"/>
              <w:spacing w:before="155"/>
              <w:ind w:left="53" w:right="52"/>
              <w:rPr>
                <w:sz w:val="18"/>
              </w:rPr>
            </w:pPr>
            <w:r>
              <w:rPr>
                <w:sz w:val="18"/>
              </w:rPr>
              <w:t>$569,854,844.40</w:t>
            </w:r>
          </w:p>
        </w:tc>
        <w:tc>
          <w:tcPr>
            <w:tcW w:w="1661" w:type="dxa"/>
          </w:tcPr>
          <w:p>
            <w:pPr>
              <w:pStyle w:val="TableParagraph"/>
              <w:spacing w:before="155"/>
              <w:ind w:left="53" w:right="53"/>
              <w:rPr>
                <w:sz w:val="18"/>
              </w:rPr>
            </w:pPr>
            <w:r>
              <w:rPr>
                <w:sz w:val="18"/>
              </w:rPr>
              <w:t>$4,488,841,793.03</w:t>
            </w:r>
          </w:p>
        </w:tc>
        <w:tc>
          <w:tcPr>
            <w:tcW w:w="1661" w:type="dxa"/>
          </w:tcPr>
          <w:p>
            <w:pPr>
              <w:pStyle w:val="TableParagraph"/>
              <w:spacing w:before="155"/>
              <w:ind w:left="54" w:right="54"/>
              <w:rPr>
                <w:sz w:val="18"/>
              </w:rPr>
            </w:pPr>
            <w:r>
              <w:rPr>
                <w:sz w:val="18"/>
              </w:rPr>
              <w:t>$186,144,416.71</w:t>
            </w:r>
          </w:p>
        </w:tc>
        <w:tc>
          <w:tcPr>
            <w:tcW w:w="1658" w:type="dxa"/>
          </w:tcPr>
          <w:p>
            <w:pPr>
              <w:pStyle w:val="TableParagraph"/>
              <w:spacing w:before="155"/>
              <w:ind w:left="53" w:right="53"/>
              <w:rPr>
                <w:sz w:val="18"/>
              </w:rPr>
            </w:pPr>
            <w:r>
              <w:rPr>
                <w:sz w:val="18"/>
              </w:rPr>
              <w:t>$4,403,803,262.88</w:t>
            </w:r>
          </w:p>
        </w:tc>
        <w:tc>
          <w:tcPr>
            <w:tcW w:w="1508" w:type="dxa"/>
          </w:tcPr>
          <w:p>
            <w:pPr>
              <w:pStyle w:val="TableParagraph"/>
              <w:spacing w:before="155"/>
              <w:ind w:left="53" w:right="51"/>
              <w:rPr>
                <w:sz w:val="18"/>
              </w:rPr>
            </w:pPr>
            <w:r>
              <w:rPr>
                <w:sz w:val="18"/>
              </w:rPr>
              <w:t>$86,023,120.63</w:t>
            </w:r>
          </w:p>
        </w:tc>
        <w:tc>
          <w:tcPr>
            <w:tcW w:w="1661" w:type="dxa"/>
          </w:tcPr>
          <w:p>
            <w:pPr>
              <w:pStyle w:val="TableParagraph"/>
              <w:spacing w:before="155"/>
              <w:ind w:left="53" w:right="53"/>
              <w:rPr>
                <w:sz w:val="18"/>
              </w:rPr>
            </w:pPr>
            <w:r>
              <w:rPr>
                <w:sz w:val="18"/>
              </w:rPr>
              <w:t>$3,638,772,373.63</w:t>
            </w:r>
          </w:p>
        </w:tc>
        <w:tc>
          <w:tcPr>
            <w:tcW w:w="1661" w:type="dxa"/>
          </w:tcPr>
          <w:p>
            <w:pPr>
              <w:pStyle w:val="TableParagraph"/>
              <w:spacing w:before="155"/>
              <w:ind w:left="148"/>
              <w:jc w:val="left"/>
              <w:rPr>
                <w:sz w:val="18"/>
              </w:rPr>
            </w:pPr>
            <w:r>
              <w:rPr>
                <w:sz w:val="18"/>
              </w:rPr>
              <w:t>$851,054,009.88</w:t>
            </w:r>
          </w:p>
        </w:tc>
      </w:tr>
      <w:tr>
        <w:trPr>
          <w:trHeight w:val="521" w:hRule="exact"/>
        </w:trPr>
        <w:tc>
          <w:tcPr>
            <w:tcW w:w="2141" w:type="dxa"/>
          </w:tcPr>
          <w:p>
            <w:pPr>
              <w:pStyle w:val="TableParagraph"/>
              <w:spacing w:before="95"/>
              <w:ind w:left="64" w:right="67"/>
              <w:jc w:val="left"/>
              <w:rPr>
                <w:b/>
                <w:sz w:val="18"/>
              </w:rPr>
            </w:pPr>
            <w:r>
              <w:rPr>
                <w:b/>
                <w:color w:val="333333"/>
                <w:sz w:val="18"/>
              </w:rPr>
              <w:t>ECATZINGO</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3" w:right="54"/>
              <w:rPr>
                <w:sz w:val="18"/>
              </w:rPr>
            </w:pPr>
            <w:r>
              <w:rPr>
                <w:sz w:val="18"/>
              </w:rPr>
              <w:t>$0.00</w:t>
            </w:r>
          </w:p>
        </w:tc>
      </w:tr>
      <w:tr>
        <w:trPr>
          <w:trHeight w:val="521" w:hRule="exact"/>
        </w:trPr>
        <w:tc>
          <w:tcPr>
            <w:tcW w:w="2141" w:type="dxa"/>
          </w:tcPr>
          <w:p>
            <w:pPr>
              <w:pStyle w:val="TableParagraph"/>
              <w:spacing w:before="95"/>
              <w:ind w:left="64" w:right="67"/>
              <w:jc w:val="left"/>
              <w:rPr>
                <w:b/>
                <w:sz w:val="18"/>
              </w:rPr>
            </w:pPr>
            <w:r>
              <w:rPr>
                <w:b/>
                <w:color w:val="333333"/>
                <w:sz w:val="18"/>
              </w:rPr>
              <w:t>EL ORO</w:t>
            </w:r>
          </w:p>
        </w:tc>
        <w:tc>
          <w:tcPr>
            <w:tcW w:w="1658" w:type="dxa"/>
          </w:tcPr>
          <w:p>
            <w:pPr>
              <w:pStyle w:val="TableParagraph"/>
              <w:spacing w:before="100"/>
              <w:ind w:left="53" w:right="53"/>
              <w:rPr>
                <w:sz w:val="18"/>
              </w:rPr>
            </w:pPr>
            <w:r>
              <w:rPr>
                <w:sz w:val="18"/>
              </w:rPr>
              <w:t>$188,505,273.40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1"/>
              <w:rPr>
                <w:sz w:val="18"/>
              </w:rPr>
            </w:pPr>
            <w:r>
              <w:rPr>
                <w:sz w:val="18"/>
              </w:rPr>
              <w:t>$186,601,343.08</w:t>
            </w:r>
          </w:p>
        </w:tc>
        <w:tc>
          <w:tcPr>
            <w:tcW w:w="1661" w:type="dxa"/>
          </w:tcPr>
          <w:p>
            <w:pPr>
              <w:pStyle w:val="TableParagraph"/>
              <w:spacing w:before="100"/>
              <w:ind w:left="54" w:right="56"/>
              <w:rPr>
                <w:sz w:val="18"/>
              </w:rPr>
            </w:pPr>
            <w:r>
              <w:rPr>
                <w:sz w:val="18"/>
              </w:rPr>
              <w:t>$1,903,930.32</w:t>
            </w:r>
          </w:p>
        </w:tc>
        <w:tc>
          <w:tcPr>
            <w:tcW w:w="1658" w:type="dxa"/>
          </w:tcPr>
          <w:p>
            <w:pPr>
              <w:pStyle w:val="TableParagraph"/>
              <w:spacing w:before="100"/>
              <w:ind w:left="53" w:right="53"/>
              <w:rPr>
                <w:sz w:val="18"/>
              </w:rPr>
            </w:pPr>
            <w:r>
              <w:rPr>
                <w:sz w:val="18"/>
              </w:rPr>
              <w:t>$174,946,180.90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1"/>
              <w:rPr>
                <w:sz w:val="18"/>
              </w:rPr>
            </w:pPr>
            <w:r>
              <w:rPr>
                <w:sz w:val="18"/>
              </w:rPr>
              <w:t>$200,368,037.61</w:t>
            </w:r>
          </w:p>
        </w:tc>
        <w:tc>
          <w:tcPr>
            <w:tcW w:w="1661" w:type="dxa"/>
          </w:tcPr>
          <w:p>
            <w:pPr>
              <w:pStyle w:val="TableParagraph"/>
              <w:spacing w:before="100"/>
              <w:ind w:left="199"/>
              <w:jc w:val="left"/>
              <w:rPr>
                <w:sz w:val="18"/>
              </w:rPr>
            </w:pPr>
            <w:r>
              <w:rPr>
                <w:sz w:val="18"/>
              </w:rPr>
              <w:t>$25,421,856.71</w:t>
            </w:r>
          </w:p>
        </w:tc>
      </w:tr>
      <w:tr>
        <w:trPr>
          <w:trHeight w:val="518" w:hRule="exact"/>
        </w:trPr>
        <w:tc>
          <w:tcPr>
            <w:tcW w:w="2141" w:type="dxa"/>
          </w:tcPr>
          <w:p>
            <w:pPr>
              <w:pStyle w:val="TableParagraph"/>
              <w:spacing w:before="92"/>
              <w:ind w:left="64" w:right="67"/>
              <w:jc w:val="left"/>
              <w:rPr>
                <w:b/>
                <w:sz w:val="18"/>
              </w:rPr>
            </w:pPr>
            <w:r>
              <w:rPr>
                <w:b/>
                <w:color w:val="333333"/>
                <w:sz w:val="18"/>
              </w:rPr>
              <w:t>HUEHUETOCA</w:t>
            </w:r>
          </w:p>
        </w:tc>
        <w:tc>
          <w:tcPr>
            <w:tcW w:w="1658" w:type="dxa"/>
          </w:tcPr>
          <w:p>
            <w:pPr>
              <w:pStyle w:val="TableParagraph"/>
              <w:spacing w:before="97"/>
              <w:ind w:left="53" w:right="53"/>
              <w:rPr>
                <w:sz w:val="18"/>
              </w:rPr>
            </w:pPr>
            <w:r>
              <w:rPr>
                <w:sz w:val="18"/>
              </w:rPr>
              <w:t>$359,700,729.00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54" w:right="54"/>
              <w:rPr>
                <w:sz w:val="18"/>
              </w:rPr>
            </w:pPr>
            <w:r>
              <w:rPr>
                <w:sz w:val="18"/>
              </w:rPr>
              <w:t>$359,700,729.00</w:t>
            </w:r>
          </w:p>
        </w:tc>
        <w:tc>
          <w:tcPr>
            <w:tcW w:w="1658" w:type="dxa"/>
          </w:tcPr>
          <w:p>
            <w:pPr>
              <w:pStyle w:val="TableParagraph"/>
              <w:spacing w:before="97"/>
              <w:ind w:left="53" w:right="53"/>
              <w:rPr>
                <w:sz w:val="18"/>
              </w:rPr>
            </w:pPr>
            <w:r>
              <w:rPr>
                <w:sz w:val="18"/>
              </w:rPr>
              <w:t>$451,957,616.00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148"/>
              <w:jc w:val="left"/>
              <w:rPr>
                <w:sz w:val="18"/>
              </w:rPr>
            </w:pPr>
            <w:r>
              <w:rPr>
                <w:sz w:val="18"/>
              </w:rPr>
              <w:t>$451,957,616.00</w:t>
            </w:r>
          </w:p>
        </w:tc>
      </w:tr>
      <w:tr>
        <w:trPr>
          <w:trHeight w:val="521" w:hRule="exact"/>
        </w:trPr>
        <w:tc>
          <w:tcPr>
            <w:tcW w:w="2141" w:type="dxa"/>
          </w:tcPr>
          <w:p>
            <w:pPr>
              <w:pStyle w:val="TableParagraph"/>
              <w:spacing w:before="95"/>
              <w:ind w:left="64" w:right="67"/>
              <w:jc w:val="left"/>
              <w:rPr>
                <w:b/>
                <w:sz w:val="18"/>
              </w:rPr>
            </w:pPr>
            <w:r>
              <w:rPr>
                <w:b/>
                <w:color w:val="333333"/>
                <w:sz w:val="18"/>
              </w:rPr>
              <w:t>HUEYPOXTLA</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3" w:right="54"/>
              <w:rPr>
                <w:sz w:val="18"/>
              </w:rPr>
            </w:pPr>
            <w:r>
              <w:rPr>
                <w:sz w:val="18"/>
              </w:rPr>
              <w:t>$0.00</w:t>
            </w:r>
          </w:p>
        </w:tc>
      </w:tr>
      <w:tr>
        <w:trPr>
          <w:trHeight w:val="521" w:hRule="exact"/>
        </w:trPr>
        <w:tc>
          <w:tcPr>
            <w:tcW w:w="2141" w:type="dxa"/>
          </w:tcPr>
          <w:p>
            <w:pPr>
              <w:pStyle w:val="TableParagraph"/>
              <w:spacing w:before="95"/>
              <w:ind w:left="64" w:right="67"/>
              <w:jc w:val="left"/>
              <w:rPr>
                <w:b/>
                <w:sz w:val="18"/>
              </w:rPr>
            </w:pPr>
            <w:r>
              <w:rPr>
                <w:b/>
                <w:color w:val="333333"/>
                <w:sz w:val="18"/>
              </w:rPr>
              <w:t>HUIXQUILUCAN</w:t>
            </w:r>
          </w:p>
        </w:tc>
        <w:tc>
          <w:tcPr>
            <w:tcW w:w="1658" w:type="dxa"/>
          </w:tcPr>
          <w:p>
            <w:pPr>
              <w:pStyle w:val="TableParagraph"/>
              <w:spacing w:before="100"/>
              <w:ind w:left="53" w:right="53"/>
              <w:rPr>
                <w:sz w:val="18"/>
              </w:rPr>
            </w:pPr>
            <w:r>
              <w:rPr>
                <w:sz w:val="18"/>
              </w:rPr>
              <w:t>$2,081,638,981.74</w:t>
            </w:r>
          </w:p>
        </w:tc>
        <w:tc>
          <w:tcPr>
            <w:tcW w:w="1508" w:type="dxa"/>
          </w:tcPr>
          <w:p>
            <w:pPr>
              <w:pStyle w:val="TableParagraph"/>
              <w:spacing w:before="100"/>
              <w:ind w:left="53" w:right="49"/>
              <w:rPr>
                <w:sz w:val="18"/>
              </w:rPr>
            </w:pPr>
            <w:r>
              <w:rPr>
                <w:sz w:val="18"/>
              </w:rPr>
              <w:t>$2,290,041.87</w:t>
            </w:r>
          </w:p>
        </w:tc>
        <w:tc>
          <w:tcPr>
            <w:tcW w:w="1661" w:type="dxa"/>
          </w:tcPr>
          <w:p>
            <w:pPr>
              <w:pStyle w:val="TableParagraph"/>
              <w:spacing w:before="100"/>
              <w:ind w:left="53" w:right="53"/>
              <w:rPr>
                <w:sz w:val="18"/>
              </w:rPr>
            </w:pPr>
            <w:r>
              <w:rPr>
                <w:sz w:val="18"/>
              </w:rPr>
              <w:t>$2,079,419,601.21</w:t>
            </w:r>
          </w:p>
        </w:tc>
        <w:tc>
          <w:tcPr>
            <w:tcW w:w="1661" w:type="dxa"/>
          </w:tcPr>
          <w:p>
            <w:pPr>
              <w:pStyle w:val="TableParagraph"/>
              <w:spacing w:before="100"/>
              <w:ind w:left="54" w:right="55"/>
              <w:rPr>
                <w:sz w:val="18"/>
              </w:rPr>
            </w:pPr>
            <w:r>
              <w:rPr>
                <w:sz w:val="18"/>
              </w:rPr>
              <w:t>$70,661.34</w:t>
            </w:r>
          </w:p>
        </w:tc>
        <w:tc>
          <w:tcPr>
            <w:tcW w:w="1658" w:type="dxa"/>
          </w:tcPr>
          <w:p>
            <w:pPr>
              <w:pStyle w:val="TableParagraph"/>
              <w:spacing w:before="100"/>
              <w:ind w:left="53" w:right="53"/>
              <w:rPr>
                <w:sz w:val="18"/>
              </w:rPr>
            </w:pPr>
            <w:r>
              <w:rPr>
                <w:sz w:val="18"/>
              </w:rPr>
              <w:t>$2,217,765,825.93</w:t>
            </w:r>
          </w:p>
        </w:tc>
        <w:tc>
          <w:tcPr>
            <w:tcW w:w="1508" w:type="dxa"/>
          </w:tcPr>
          <w:p>
            <w:pPr>
              <w:pStyle w:val="TableParagraph"/>
              <w:spacing w:before="100"/>
              <w:ind w:left="53" w:right="52"/>
              <w:rPr>
                <w:sz w:val="18"/>
              </w:rPr>
            </w:pPr>
            <w:r>
              <w:rPr>
                <w:sz w:val="18"/>
              </w:rPr>
              <w:t>$415,988,511.15</w:t>
            </w:r>
          </w:p>
        </w:tc>
        <w:tc>
          <w:tcPr>
            <w:tcW w:w="1661" w:type="dxa"/>
          </w:tcPr>
          <w:p>
            <w:pPr>
              <w:pStyle w:val="TableParagraph"/>
              <w:spacing w:before="100"/>
              <w:ind w:left="53" w:right="53"/>
              <w:rPr>
                <w:sz w:val="18"/>
              </w:rPr>
            </w:pPr>
            <w:r>
              <w:rPr>
                <w:sz w:val="18"/>
              </w:rPr>
              <w:t>$2,510,457,270.25</w:t>
            </w:r>
          </w:p>
        </w:tc>
        <w:tc>
          <w:tcPr>
            <w:tcW w:w="1661" w:type="dxa"/>
          </w:tcPr>
          <w:p>
            <w:pPr>
              <w:pStyle w:val="TableParagraph"/>
              <w:spacing w:before="100"/>
              <w:ind w:left="148"/>
              <w:jc w:val="left"/>
              <w:rPr>
                <w:sz w:val="18"/>
              </w:rPr>
            </w:pPr>
            <w:r>
              <w:rPr>
                <w:sz w:val="18"/>
              </w:rPr>
              <w:t>$123,297,066.83</w:t>
            </w:r>
          </w:p>
        </w:tc>
      </w:tr>
      <w:tr>
        <w:trPr>
          <w:trHeight w:val="518" w:hRule="exact"/>
        </w:trPr>
        <w:tc>
          <w:tcPr>
            <w:tcW w:w="2141" w:type="dxa"/>
          </w:tcPr>
          <w:p>
            <w:pPr>
              <w:pStyle w:val="TableParagraph"/>
              <w:spacing w:before="92"/>
              <w:ind w:left="64" w:right="67"/>
              <w:jc w:val="left"/>
              <w:rPr>
                <w:b/>
                <w:sz w:val="18"/>
              </w:rPr>
            </w:pPr>
            <w:r>
              <w:rPr>
                <w:b/>
                <w:color w:val="333333"/>
                <w:sz w:val="18"/>
              </w:rPr>
              <w:t>ISIDRO FABELA</w:t>
            </w:r>
          </w:p>
        </w:tc>
        <w:tc>
          <w:tcPr>
            <w:tcW w:w="1658" w:type="dxa"/>
          </w:tcPr>
          <w:p>
            <w:pPr>
              <w:pStyle w:val="TableParagraph"/>
              <w:spacing w:before="97"/>
              <w:ind w:left="52" w:right="53"/>
              <w:rPr>
                <w:sz w:val="18"/>
              </w:rPr>
            </w:pPr>
            <w:r>
              <w:rPr>
                <w:sz w:val="18"/>
              </w:rPr>
              <w:t>$0.00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54" w:right="56"/>
              <w:rPr>
                <w:sz w:val="18"/>
              </w:rPr>
            </w:pPr>
            <w:r>
              <w:rPr>
                <w:sz w:val="18"/>
              </w:rPr>
              <w:t>$0.00</w:t>
            </w:r>
          </w:p>
        </w:tc>
        <w:tc>
          <w:tcPr>
            <w:tcW w:w="1658" w:type="dxa"/>
          </w:tcPr>
          <w:p>
            <w:pPr>
              <w:pStyle w:val="TableParagraph"/>
              <w:spacing w:before="97"/>
              <w:ind w:left="52" w:right="53"/>
              <w:rPr>
                <w:sz w:val="18"/>
              </w:rPr>
            </w:pPr>
            <w:r>
              <w:rPr>
                <w:sz w:val="18"/>
              </w:rPr>
              <w:t>$0.00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53" w:right="54"/>
              <w:rPr>
                <w:sz w:val="18"/>
              </w:rPr>
            </w:pPr>
            <w:r>
              <w:rPr>
                <w:sz w:val="18"/>
              </w:rPr>
              <w:t>$0.00</w:t>
            </w:r>
          </w:p>
        </w:tc>
      </w:tr>
      <w:tr>
        <w:trPr>
          <w:trHeight w:val="521" w:hRule="exact"/>
        </w:trPr>
        <w:tc>
          <w:tcPr>
            <w:tcW w:w="2141" w:type="dxa"/>
          </w:tcPr>
          <w:p>
            <w:pPr>
              <w:pStyle w:val="TableParagraph"/>
              <w:spacing w:before="95"/>
              <w:ind w:left="64" w:right="67"/>
              <w:jc w:val="left"/>
              <w:rPr>
                <w:b/>
                <w:sz w:val="18"/>
              </w:rPr>
            </w:pPr>
            <w:r>
              <w:rPr>
                <w:b/>
                <w:color w:val="333333"/>
                <w:sz w:val="18"/>
              </w:rPr>
              <w:t>IXTAPALUCA</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3" w:right="54"/>
              <w:rPr>
                <w:sz w:val="18"/>
              </w:rPr>
            </w:pPr>
            <w:r>
              <w:rPr>
                <w:sz w:val="18"/>
              </w:rPr>
              <w:t>$0.00</w:t>
            </w:r>
          </w:p>
        </w:tc>
      </w:tr>
      <w:tr>
        <w:trPr>
          <w:trHeight w:val="521" w:hRule="exact"/>
        </w:trPr>
        <w:tc>
          <w:tcPr>
            <w:tcW w:w="2141" w:type="dxa"/>
          </w:tcPr>
          <w:p>
            <w:pPr>
              <w:pStyle w:val="TableParagraph"/>
              <w:spacing w:before="95"/>
              <w:ind w:left="64" w:right="67"/>
              <w:jc w:val="left"/>
              <w:rPr>
                <w:b/>
                <w:sz w:val="18"/>
              </w:rPr>
            </w:pPr>
            <w:r>
              <w:rPr>
                <w:b/>
                <w:color w:val="333333"/>
                <w:sz w:val="18"/>
              </w:rPr>
              <w:t>IXTAPAN DE LA SAL</w:t>
            </w:r>
          </w:p>
        </w:tc>
        <w:tc>
          <w:tcPr>
            <w:tcW w:w="1658" w:type="dxa"/>
          </w:tcPr>
          <w:p>
            <w:pPr>
              <w:pStyle w:val="TableParagraph"/>
              <w:spacing w:before="100"/>
              <w:ind w:left="53" w:right="53"/>
              <w:rPr>
                <w:sz w:val="18"/>
              </w:rPr>
            </w:pPr>
            <w:r>
              <w:rPr>
                <w:sz w:val="18"/>
              </w:rPr>
              <w:t>$310,264,541.00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4"/>
              <w:rPr>
                <w:sz w:val="18"/>
              </w:rPr>
            </w:pPr>
            <w:r>
              <w:rPr>
                <w:sz w:val="18"/>
              </w:rPr>
              <w:t>$310,264,541.00</w:t>
            </w:r>
          </w:p>
        </w:tc>
        <w:tc>
          <w:tcPr>
            <w:tcW w:w="1658" w:type="dxa"/>
          </w:tcPr>
          <w:p>
            <w:pPr>
              <w:pStyle w:val="TableParagraph"/>
              <w:spacing w:before="100"/>
              <w:ind w:left="53" w:right="53"/>
              <w:rPr>
                <w:sz w:val="18"/>
              </w:rPr>
            </w:pPr>
            <w:r>
              <w:rPr>
                <w:sz w:val="18"/>
              </w:rPr>
              <w:t>$205,547,856.58</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148"/>
              <w:jc w:val="left"/>
              <w:rPr>
                <w:sz w:val="18"/>
              </w:rPr>
            </w:pPr>
            <w:r>
              <w:rPr>
                <w:sz w:val="18"/>
              </w:rPr>
              <w:t>$205,547,856.58</w:t>
            </w:r>
          </w:p>
        </w:tc>
      </w:tr>
      <w:tr>
        <w:trPr>
          <w:trHeight w:val="518" w:hRule="exact"/>
        </w:trPr>
        <w:tc>
          <w:tcPr>
            <w:tcW w:w="2141" w:type="dxa"/>
          </w:tcPr>
          <w:p>
            <w:pPr>
              <w:pStyle w:val="TableParagraph"/>
              <w:spacing w:before="92"/>
              <w:ind w:left="64" w:right="67"/>
              <w:jc w:val="left"/>
              <w:rPr>
                <w:b/>
                <w:sz w:val="18"/>
              </w:rPr>
            </w:pPr>
            <w:r>
              <w:rPr>
                <w:b/>
                <w:color w:val="333333"/>
                <w:sz w:val="18"/>
              </w:rPr>
              <w:t>IXTAPAN DEL ORO</w:t>
            </w:r>
          </w:p>
        </w:tc>
        <w:tc>
          <w:tcPr>
            <w:tcW w:w="1658" w:type="dxa"/>
          </w:tcPr>
          <w:p>
            <w:pPr>
              <w:pStyle w:val="TableParagraph"/>
              <w:spacing w:before="97"/>
              <w:ind w:left="52" w:right="53"/>
              <w:rPr>
                <w:sz w:val="18"/>
              </w:rPr>
            </w:pPr>
            <w:r>
              <w:rPr>
                <w:sz w:val="18"/>
              </w:rPr>
              <w:t>$0.00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54" w:right="56"/>
              <w:rPr>
                <w:sz w:val="18"/>
              </w:rPr>
            </w:pPr>
            <w:r>
              <w:rPr>
                <w:sz w:val="18"/>
              </w:rPr>
              <w:t>$0.00</w:t>
            </w:r>
          </w:p>
        </w:tc>
        <w:tc>
          <w:tcPr>
            <w:tcW w:w="1658" w:type="dxa"/>
          </w:tcPr>
          <w:p>
            <w:pPr>
              <w:pStyle w:val="TableParagraph"/>
              <w:spacing w:before="97"/>
              <w:ind w:left="52" w:right="53"/>
              <w:rPr>
                <w:sz w:val="18"/>
              </w:rPr>
            </w:pPr>
            <w:r>
              <w:rPr>
                <w:sz w:val="18"/>
              </w:rPr>
              <w:t>$0.00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53" w:right="54"/>
              <w:rPr>
                <w:sz w:val="18"/>
              </w:rPr>
            </w:pPr>
            <w:r>
              <w:rPr>
                <w:sz w:val="18"/>
              </w:rPr>
              <w:t>$0.00</w:t>
            </w:r>
          </w:p>
        </w:tc>
      </w:tr>
      <w:tr>
        <w:trPr>
          <w:trHeight w:val="521" w:hRule="exact"/>
        </w:trPr>
        <w:tc>
          <w:tcPr>
            <w:tcW w:w="2141" w:type="dxa"/>
          </w:tcPr>
          <w:p>
            <w:pPr>
              <w:pStyle w:val="TableParagraph"/>
              <w:spacing w:before="95"/>
              <w:ind w:left="64" w:right="67"/>
              <w:jc w:val="left"/>
              <w:rPr>
                <w:b/>
                <w:sz w:val="18"/>
              </w:rPr>
            </w:pPr>
            <w:r>
              <w:rPr>
                <w:b/>
                <w:color w:val="333333"/>
                <w:sz w:val="18"/>
              </w:rPr>
              <w:t>IXTLAHUACA</w:t>
            </w:r>
          </w:p>
        </w:tc>
        <w:tc>
          <w:tcPr>
            <w:tcW w:w="1658" w:type="dxa"/>
          </w:tcPr>
          <w:p>
            <w:pPr>
              <w:pStyle w:val="TableParagraph"/>
              <w:spacing w:before="100"/>
              <w:ind w:left="53" w:right="53"/>
              <w:rPr>
                <w:sz w:val="18"/>
              </w:rPr>
            </w:pPr>
            <w:r>
              <w:rPr>
                <w:sz w:val="18"/>
              </w:rPr>
              <w:t>$485,945,878.00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4"/>
              <w:rPr>
                <w:sz w:val="18"/>
              </w:rPr>
            </w:pPr>
            <w:r>
              <w:rPr>
                <w:sz w:val="18"/>
              </w:rPr>
              <w:t>$485,945,878.00</w:t>
            </w:r>
          </w:p>
        </w:tc>
        <w:tc>
          <w:tcPr>
            <w:tcW w:w="1658" w:type="dxa"/>
          </w:tcPr>
          <w:p>
            <w:pPr>
              <w:pStyle w:val="TableParagraph"/>
              <w:spacing w:before="100"/>
              <w:ind w:left="53" w:right="53"/>
              <w:rPr>
                <w:sz w:val="18"/>
              </w:rPr>
            </w:pPr>
            <w:r>
              <w:rPr>
                <w:sz w:val="18"/>
              </w:rPr>
              <w:t>$418,205,990.00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148"/>
              <w:jc w:val="left"/>
              <w:rPr>
                <w:sz w:val="18"/>
              </w:rPr>
            </w:pPr>
            <w:r>
              <w:rPr>
                <w:sz w:val="18"/>
              </w:rPr>
              <w:t>$418,205,990.00</w:t>
            </w:r>
          </w:p>
        </w:tc>
      </w:tr>
      <w:tr>
        <w:trPr>
          <w:trHeight w:val="521" w:hRule="exact"/>
        </w:trPr>
        <w:tc>
          <w:tcPr>
            <w:tcW w:w="2141" w:type="dxa"/>
          </w:tcPr>
          <w:p>
            <w:pPr>
              <w:pStyle w:val="TableParagraph"/>
              <w:spacing w:before="95"/>
              <w:ind w:left="64" w:right="67"/>
              <w:jc w:val="left"/>
              <w:rPr>
                <w:b/>
                <w:sz w:val="18"/>
              </w:rPr>
            </w:pPr>
            <w:r>
              <w:rPr>
                <w:b/>
                <w:color w:val="333333"/>
                <w:sz w:val="18"/>
              </w:rPr>
              <w:t>JALTENCO</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3" w:right="54"/>
              <w:rPr>
                <w:sz w:val="18"/>
              </w:rPr>
            </w:pPr>
            <w:r>
              <w:rPr>
                <w:sz w:val="18"/>
              </w:rPr>
              <w:t>$0.00</w:t>
            </w:r>
          </w:p>
        </w:tc>
      </w:tr>
    </w:tbl>
    <w:p>
      <w:pPr>
        <w:spacing w:after="0"/>
        <w:rPr>
          <w:sz w:val="18"/>
        </w:rPr>
        <w:sectPr>
          <w:pgSz w:w="15840" w:h="12240" w:orient="landscape"/>
          <w:pgMar w:header="0" w:footer="975" w:top="1140" w:bottom="1160" w:left="240" w:right="240"/>
        </w:sectPr>
      </w:pPr>
    </w:p>
    <w:p>
      <w:pPr>
        <w:pStyle w:val="BodyText"/>
        <w:rPr>
          <w:rFonts w:ascii="Times New Roman"/>
          <w:sz w:val="20"/>
        </w:rPr>
      </w:pPr>
    </w:p>
    <w:p>
      <w:pPr>
        <w:pStyle w:val="BodyText"/>
        <w:spacing w:before="10"/>
        <w:rPr>
          <w:rFonts w:ascii="Times New Roman"/>
          <w:sz w:val="28"/>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41"/>
        <w:gridCol w:w="1658"/>
        <w:gridCol w:w="1508"/>
        <w:gridCol w:w="1661"/>
        <w:gridCol w:w="1661"/>
        <w:gridCol w:w="1658"/>
        <w:gridCol w:w="1508"/>
        <w:gridCol w:w="1661"/>
        <w:gridCol w:w="1661"/>
      </w:tblGrid>
      <w:tr>
        <w:trPr>
          <w:trHeight w:val="430" w:hRule="exact"/>
        </w:trPr>
        <w:tc>
          <w:tcPr>
            <w:tcW w:w="15117" w:type="dxa"/>
            <w:gridSpan w:val="9"/>
            <w:shd w:val="clear" w:color="auto" w:fill="C5DFB3"/>
          </w:tcPr>
          <w:p>
            <w:pPr>
              <w:pStyle w:val="TableParagraph"/>
              <w:spacing w:before="49"/>
              <w:ind w:left="3900"/>
              <w:jc w:val="left"/>
              <w:rPr>
                <w:b/>
                <w:sz w:val="18"/>
              </w:rPr>
            </w:pPr>
            <w:r>
              <w:rPr>
                <w:b/>
                <w:sz w:val="18"/>
              </w:rPr>
              <w:t>Anexo 24C. Municipios que publican apartado presupuesto 2012-2013 (Continuación)</w:t>
            </w:r>
          </w:p>
        </w:tc>
      </w:tr>
      <w:tr>
        <w:trPr>
          <w:trHeight w:val="320" w:hRule="exact"/>
        </w:trPr>
        <w:tc>
          <w:tcPr>
            <w:tcW w:w="2141"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23"/>
              </w:rPr>
            </w:pPr>
          </w:p>
          <w:p>
            <w:pPr>
              <w:pStyle w:val="TableParagraph"/>
              <w:ind w:left="643" w:right="67"/>
              <w:jc w:val="left"/>
              <w:rPr>
                <w:b/>
                <w:sz w:val="18"/>
              </w:rPr>
            </w:pPr>
            <w:r>
              <w:rPr>
                <w:b/>
                <w:sz w:val="18"/>
              </w:rPr>
              <w:t>Municipio</w:t>
            </w:r>
          </w:p>
        </w:tc>
        <w:tc>
          <w:tcPr>
            <w:tcW w:w="6488" w:type="dxa"/>
            <w:gridSpan w:val="4"/>
            <w:shd w:val="clear" w:color="auto" w:fill="C5DFB3"/>
          </w:tcPr>
          <w:p>
            <w:pPr>
              <w:pStyle w:val="TableParagraph"/>
              <w:spacing w:line="201" w:lineRule="exact"/>
              <w:ind w:left="3020" w:right="3018"/>
              <w:rPr>
                <w:b/>
                <w:sz w:val="18"/>
              </w:rPr>
            </w:pPr>
            <w:r>
              <w:rPr>
                <w:b/>
                <w:sz w:val="18"/>
              </w:rPr>
              <w:t>2012</w:t>
            </w:r>
          </w:p>
        </w:tc>
        <w:tc>
          <w:tcPr>
            <w:tcW w:w="6488" w:type="dxa"/>
            <w:gridSpan w:val="4"/>
            <w:shd w:val="clear" w:color="auto" w:fill="C5DFB3"/>
          </w:tcPr>
          <w:p>
            <w:pPr>
              <w:pStyle w:val="TableParagraph"/>
              <w:spacing w:line="201" w:lineRule="exact"/>
              <w:ind w:left="3019" w:right="3018"/>
              <w:rPr>
                <w:b/>
                <w:sz w:val="18"/>
              </w:rPr>
            </w:pPr>
            <w:r>
              <w:rPr>
                <w:b/>
                <w:sz w:val="18"/>
              </w:rPr>
              <w:t>2013</w:t>
            </w:r>
          </w:p>
        </w:tc>
      </w:tr>
      <w:tr>
        <w:trPr>
          <w:trHeight w:val="1374" w:hRule="exact"/>
        </w:trPr>
        <w:tc>
          <w:tcPr>
            <w:tcW w:w="2141" w:type="dxa"/>
            <w:vMerge/>
            <w:shd w:val="clear" w:color="auto" w:fill="C5DFB3"/>
          </w:tcPr>
          <w:p>
            <w:pPr/>
          </w:p>
        </w:tc>
        <w:tc>
          <w:tcPr>
            <w:tcW w:w="165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w w:val="100"/>
                <w:sz w:val="18"/>
              </w:rPr>
              <w:t>Autoriz</w:t>
            </w:r>
            <w:r>
              <w:rPr>
                <w:b/>
                <w:w w:val="99"/>
                <w:sz w:val="18"/>
              </w:rPr>
              <w:t>a</w:t>
            </w:r>
            <w:r>
              <w:rPr>
                <w:b/>
                <w:w w:val="100"/>
                <w:sz w:val="18"/>
              </w:rPr>
              <w:t>do</w:t>
            </w:r>
          </w:p>
        </w:tc>
        <w:tc>
          <w:tcPr>
            <w:tcW w:w="150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15"/>
              </w:rPr>
            </w:pPr>
          </w:p>
          <w:p>
            <w:pPr>
              <w:pStyle w:val="TableParagraph"/>
              <w:ind w:left="206"/>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326"/>
              <w:jc w:val="left"/>
              <w:rPr>
                <w:b/>
                <w:sz w:val="18"/>
              </w:rPr>
            </w:pPr>
            <w:r>
              <w:rPr>
                <w:b/>
                <w:w w:val="100"/>
                <w:sz w:val="18"/>
              </w:rPr>
              <w:t>Eje</w:t>
            </w:r>
            <w:r>
              <w:rPr>
                <w:b/>
                <w:w w:val="99"/>
                <w:sz w:val="18"/>
              </w:rPr>
              <w:t>rci</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211"/>
              <w:jc w:val="left"/>
              <w:rPr>
                <w:b/>
                <w:sz w:val="18"/>
              </w:rPr>
            </w:pPr>
            <w:r>
              <w:rPr>
                <w:b/>
                <w:sz w:val="18"/>
              </w:rPr>
              <w:t>Por </w:t>
            </w:r>
            <w:r>
              <w:rPr>
                <w:b/>
                <w:w w:val="99"/>
                <w:sz w:val="18"/>
              </w:rPr>
              <w:t>e</w:t>
            </w:r>
            <w:r>
              <w:rPr>
                <w:b/>
                <w:w w:val="100"/>
                <w:sz w:val="18"/>
              </w:rPr>
              <w:t>je</w:t>
            </w:r>
            <w:r>
              <w:rPr>
                <w:b/>
                <w:w w:val="99"/>
                <w:sz w:val="18"/>
              </w:rPr>
              <w:t>rcer</w:t>
            </w:r>
          </w:p>
        </w:tc>
        <w:tc>
          <w:tcPr>
            <w:tcW w:w="165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w w:val="100"/>
                <w:sz w:val="18"/>
              </w:rPr>
              <w:t>Autoriz</w:t>
            </w:r>
            <w:r>
              <w:rPr>
                <w:b/>
                <w:w w:val="99"/>
                <w:sz w:val="18"/>
              </w:rPr>
              <w:t>a</w:t>
            </w:r>
            <w:r>
              <w:rPr>
                <w:b/>
                <w:w w:val="100"/>
                <w:sz w:val="18"/>
              </w:rPr>
              <w:t>do</w:t>
            </w:r>
          </w:p>
        </w:tc>
        <w:tc>
          <w:tcPr>
            <w:tcW w:w="150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15"/>
              </w:rPr>
            </w:pPr>
          </w:p>
          <w:p>
            <w:pPr>
              <w:pStyle w:val="TableParagraph"/>
              <w:ind w:left="206"/>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326"/>
              <w:jc w:val="left"/>
              <w:rPr>
                <w:b/>
                <w:sz w:val="18"/>
              </w:rPr>
            </w:pPr>
            <w:r>
              <w:rPr>
                <w:b/>
                <w:w w:val="100"/>
                <w:sz w:val="18"/>
              </w:rPr>
              <w:t>Eje</w:t>
            </w:r>
            <w:r>
              <w:rPr>
                <w:b/>
                <w:w w:val="99"/>
                <w:sz w:val="18"/>
              </w:rPr>
              <w:t>rci</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sz w:val="18"/>
              </w:rPr>
              <w:t>Por </w:t>
            </w:r>
            <w:r>
              <w:rPr>
                <w:b/>
                <w:w w:val="99"/>
                <w:sz w:val="18"/>
              </w:rPr>
              <w:t>e</w:t>
            </w:r>
            <w:r>
              <w:rPr>
                <w:b/>
                <w:w w:val="100"/>
                <w:sz w:val="18"/>
              </w:rPr>
              <w:t>je</w:t>
            </w:r>
            <w:r>
              <w:rPr>
                <w:b/>
                <w:w w:val="99"/>
                <w:sz w:val="18"/>
              </w:rPr>
              <w:t>rcer</w:t>
            </w:r>
          </w:p>
        </w:tc>
      </w:tr>
      <w:tr>
        <w:trPr>
          <w:trHeight w:val="521" w:hRule="exact"/>
        </w:trPr>
        <w:tc>
          <w:tcPr>
            <w:tcW w:w="2141" w:type="dxa"/>
          </w:tcPr>
          <w:p>
            <w:pPr>
              <w:pStyle w:val="TableParagraph"/>
              <w:spacing w:before="95"/>
              <w:ind w:left="64" w:right="67"/>
              <w:jc w:val="left"/>
              <w:rPr>
                <w:b/>
                <w:sz w:val="18"/>
              </w:rPr>
            </w:pPr>
            <w:r>
              <w:rPr>
                <w:b/>
                <w:color w:val="333333"/>
                <w:sz w:val="18"/>
              </w:rPr>
              <w:t>JILOTEPEC</w:t>
            </w:r>
          </w:p>
        </w:tc>
        <w:tc>
          <w:tcPr>
            <w:tcW w:w="1658" w:type="dxa"/>
          </w:tcPr>
          <w:p>
            <w:pPr>
              <w:pStyle w:val="TableParagraph"/>
              <w:spacing w:before="100"/>
              <w:ind w:left="53" w:right="53"/>
              <w:rPr>
                <w:sz w:val="18"/>
              </w:rPr>
            </w:pPr>
            <w:r>
              <w:rPr>
                <w:sz w:val="18"/>
              </w:rPr>
              <w:t>$50,835,915.52</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4"/>
              <w:rPr>
                <w:sz w:val="18"/>
              </w:rPr>
            </w:pPr>
            <w:r>
              <w:rPr>
                <w:sz w:val="18"/>
              </w:rPr>
              <w:t>$50,835,915.52</w:t>
            </w:r>
          </w:p>
        </w:tc>
        <w:tc>
          <w:tcPr>
            <w:tcW w:w="1658" w:type="dxa"/>
          </w:tcPr>
          <w:p>
            <w:pPr>
              <w:pStyle w:val="TableParagraph"/>
              <w:spacing w:before="100"/>
              <w:ind w:left="53" w:right="53"/>
              <w:rPr>
                <w:sz w:val="18"/>
              </w:rPr>
            </w:pPr>
            <w:r>
              <w:rPr>
                <w:sz w:val="18"/>
              </w:rPr>
              <w:t>$365,683,899.48</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148"/>
              <w:jc w:val="left"/>
              <w:rPr>
                <w:sz w:val="18"/>
              </w:rPr>
            </w:pPr>
            <w:r>
              <w:rPr>
                <w:sz w:val="18"/>
              </w:rPr>
              <w:t>$365,683,899.48</w:t>
            </w:r>
          </w:p>
        </w:tc>
      </w:tr>
      <w:tr>
        <w:trPr>
          <w:trHeight w:val="521" w:hRule="exact"/>
        </w:trPr>
        <w:tc>
          <w:tcPr>
            <w:tcW w:w="2141" w:type="dxa"/>
          </w:tcPr>
          <w:p>
            <w:pPr>
              <w:pStyle w:val="TableParagraph"/>
              <w:spacing w:before="95"/>
              <w:ind w:left="64" w:right="67"/>
              <w:jc w:val="left"/>
              <w:rPr>
                <w:b/>
                <w:sz w:val="18"/>
              </w:rPr>
            </w:pPr>
            <w:r>
              <w:rPr>
                <w:b/>
                <w:color w:val="333333"/>
                <w:sz w:val="18"/>
              </w:rPr>
              <w:t>JILOTZINGO</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3" w:right="53"/>
              <w:rPr>
                <w:sz w:val="18"/>
              </w:rPr>
            </w:pPr>
            <w:r>
              <w:rPr>
                <w:sz w:val="18"/>
              </w:rPr>
              <w:t>$76,903,484.99</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199"/>
              <w:jc w:val="left"/>
              <w:rPr>
                <w:sz w:val="18"/>
              </w:rPr>
            </w:pPr>
            <w:r>
              <w:rPr>
                <w:sz w:val="18"/>
              </w:rPr>
              <w:t>$76,903,484.99</w:t>
            </w:r>
          </w:p>
        </w:tc>
      </w:tr>
      <w:tr>
        <w:trPr>
          <w:trHeight w:val="518" w:hRule="exact"/>
        </w:trPr>
        <w:tc>
          <w:tcPr>
            <w:tcW w:w="2141" w:type="dxa"/>
          </w:tcPr>
          <w:p>
            <w:pPr>
              <w:pStyle w:val="TableParagraph"/>
              <w:spacing w:before="92"/>
              <w:ind w:left="64" w:right="67"/>
              <w:jc w:val="left"/>
              <w:rPr>
                <w:b/>
                <w:sz w:val="18"/>
              </w:rPr>
            </w:pPr>
            <w:r>
              <w:rPr>
                <w:b/>
                <w:color w:val="333333"/>
                <w:sz w:val="18"/>
              </w:rPr>
              <w:t>JIQUIPILCO</w:t>
            </w:r>
          </w:p>
        </w:tc>
        <w:tc>
          <w:tcPr>
            <w:tcW w:w="1658" w:type="dxa"/>
          </w:tcPr>
          <w:p>
            <w:pPr>
              <w:pStyle w:val="TableParagraph"/>
              <w:spacing w:before="97"/>
              <w:ind w:left="53" w:right="53"/>
              <w:rPr>
                <w:sz w:val="18"/>
              </w:rPr>
            </w:pPr>
            <w:r>
              <w:rPr>
                <w:sz w:val="18"/>
              </w:rPr>
              <w:t>$204,998,451.15</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54" w:right="54"/>
              <w:rPr>
                <w:sz w:val="18"/>
              </w:rPr>
            </w:pPr>
            <w:r>
              <w:rPr>
                <w:sz w:val="18"/>
              </w:rPr>
              <w:t>$204,998,451.15</w:t>
            </w:r>
          </w:p>
        </w:tc>
        <w:tc>
          <w:tcPr>
            <w:tcW w:w="1658" w:type="dxa"/>
          </w:tcPr>
          <w:p>
            <w:pPr>
              <w:pStyle w:val="TableParagraph"/>
              <w:spacing w:before="97"/>
              <w:ind w:left="52" w:right="53"/>
              <w:rPr>
                <w:sz w:val="18"/>
              </w:rPr>
            </w:pPr>
            <w:r>
              <w:rPr>
                <w:sz w:val="18"/>
              </w:rPr>
              <w:t>$0.00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53" w:right="54"/>
              <w:rPr>
                <w:sz w:val="18"/>
              </w:rPr>
            </w:pPr>
            <w:r>
              <w:rPr>
                <w:sz w:val="18"/>
              </w:rPr>
              <w:t>$0.00</w:t>
            </w:r>
          </w:p>
        </w:tc>
      </w:tr>
      <w:tr>
        <w:trPr>
          <w:trHeight w:val="521" w:hRule="exact"/>
        </w:trPr>
        <w:tc>
          <w:tcPr>
            <w:tcW w:w="2141" w:type="dxa"/>
          </w:tcPr>
          <w:p>
            <w:pPr>
              <w:pStyle w:val="TableParagraph"/>
              <w:spacing w:before="95"/>
              <w:ind w:left="64" w:right="67"/>
              <w:jc w:val="left"/>
              <w:rPr>
                <w:b/>
                <w:sz w:val="18"/>
              </w:rPr>
            </w:pPr>
            <w:r>
              <w:rPr>
                <w:b/>
                <w:color w:val="333333"/>
                <w:sz w:val="18"/>
              </w:rPr>
              <w:t>JOCOTITLAN</w:t>
            </w:r>
          </w:p>
        </w:tc>
        <w:tc>
          <w:tcPr>
            <w:tcW w:w="1658" w:type="dxa"/>
          </w:tcPr>
          <w:p>
            <w:pPr>
              <w:pStyle w:val="TableParagraph"/>
              <w:spacing w:before="100"/>
              <w:ind w:left="53" w:right="53"/>
              <w:rPr>
                <w:sz w:val="18"/>
              </w:rPr>
            </w:pPr>
            <w:r>
              <w:rPr>
                <w:sz w:val="18"/>
              </w:rPr>
              <w:t>$197,446,162.69</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4"/>
              <w:rPr>
                <w:sz w:val="18"/>
              </w:rPr>
            </w:pPr>
            <w:r>
              <w:rPr>
                <w:sz w:val="18"/>
              </w:rPr>
              <w:t>$197,446,162.69</w:t>
            </w:r>
          </w:p>
        </w:tc>
        <w:tc>
          <w:tcPr>
            <w:tcW w:w="1658" w:type="dxa"/>
          </w:tcPr>
          <w:p>
            <w:pPr>
              <w:pStyle w:val="TableParagraph"/>
              <w:spacing w:before="100"/>
              <w:ind w:left="53" w:right="53"/>
              <w:rPr>
                <w:sz w:val="18"/>
              </w:rPr>
            </w:pPr>
            <w:r>
              <w:rPr>
                <w:sz w:val="18"/>
              </w:rPr>
              <w:t>$195,805,416.83</w:t>
            </w:r>
          </w:p>
        </w:tc>
        <w:tc>
          <w:tcPr>
            <w:tcW w:w="1508" w:type="dxa"/>
          </w:tcPr>
          <w:p>
            <w:pPr>
              <w:pStyle w:val="TableParagraph"/>
              <w:spacing w:before="100"/>
              <w:ind w:left="53" w:right="49"/>
              <w:rPr>
                <w:sz w:val="18"/>
              </w:rPr>
            </w:pPr>
            <w:r>
              <w:rPr>
                <w:sz w:val="18"/>
              </w:rPr>
              <w:t>$3,214,580.53</w:t>
            </w:r>
          </w:p>
        </w:tc>
        <w:tc>
          <w:tcPr>
            <w:tcW w:w="1661" w:type="dxa"/>
          </w:tcPr>
          <w:p>
            <w:pPr>
              <w:pStyle w:val="TableParagraph"/>
              <w:spacing w:before="100"/>
              <w:ind w:right="146"/>
              <w:jc w:val="right"/>
              <w:rPr>
                <w:sz w:val="18"/>
              </w:rPr>
            </w:pPr>
            <w:r>
              <w:rPr>
                <w:sz w:val="18"/>
              </w:rPr>
              <w:t>$182,632,159.30</w:t>
            </w:r>
          </w:p>
        </w:tc>
        <w:tc>
          <w:tcPr>
            <w:tcW w:w="1661" w:type="dxa"/>
          </w:tcPr>
          <w:p>
            <w:pPr>
              <w:pStyle w:val="TableParagraph"/>
              <w:spacing w:before="100"/>
              <w:ind w:left="247"/>
              <w:jc w:val="left"/>
              <w:rPr>
                <w:sz w:val="18"/>
              </w:rPr>
            </w:pPr>
            <w:r>
              <w:rPr>
                <w:sz w:val="18"/>
              </w:rPr>
              <w:t>$9,958,677.00</w:t>
            </w:r>
          </w:p>
        </w:tc>
      </w:tr>
      <w:tr>
        <w:trPr>
          <w:trHeight w:val="521" w:hRule="exact"/>
        </w:trPr>
        <w:tc>
          <w:tcPr>
            <w:tcW w:w="2141" w:type="dxa"/>
          </w:tcPr>
          <w:p>
            <w:pPr>
              <w:pStyle w:val="TableParagraph"/>
              <w:spacing w:before="95"/>
              <w:ind w:left="64" w:right="67"/>
              <w:jc w:val="left"/>
              <w:rPr>
                <w:b/>
                <w:sz w:val="18"/>
              </w:rPr>
            </w:pPr>
            <w:r>
              <w:rPr>
                <w:b/>
                <w:color w:val="333333"/>
                <w:sz w:val="18"/>
              </w:rPr>
              <w:t>JOQUICINGO</w:t>
            </w:r>
          </w:p>
        </w:tc>
        <w:tc>
          <w:tcPr>
            <w:tcW w:w="1658" w:type="dxa"/>
          </w:tcPr>
          <w:p>
            <w:pPr>
              <w:pStyle w:val="TableParagraph"/>
              <w:spacing w:before="100"/>
              <w:ind w:left="53" w:right="53"/>
              <w:rPr>
                <w:sz w:val="18"/>
              </w:rPr>
            </w:pPr>
            <w:r>
              <w:rPr>
                <w:sz w:val="18"/>
              </w:rPr>
              <w:t>$63,606.30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5"/>
              <w:rPr>
                <w:sz w:val="18"/>
              </w:rPr>
            </w:pPr>
            <w:r>
              <w:rPr>
                <w:sz w:val="18"/>
              </w:rPr>
              <w:t>$63,606.30</w:t>
            </w:r>
          </w:p>
        </w:tc>
        <w:tc>
          <w:tcPr>
            <w:tcW w:w="1658" w:type="dxa"/>
          </w:tcPr>
          <w:p>
            <w:pPr>
              <w:pStyle w:val="TableParagraph"/>
              <w:spacing w:before="100"/>
              <w:ind w:left="53" w:right="53"/>
              <w:rPr>
                <w:sz w:val="18"/>
              </w:rPr>
            </w:pPr>
            <w:r>
              <w:rPr>
                <w:sz w:val="18"/>
              </w:rPr>
              <w:t>$71,282,832.00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199"/>
              <w:jc w:val="left"/>
              <w:rPr>
                <w:sz w:val="18"/>
              </w:rPr>
            </w:pPr>
            <w:r>
              <w:rPr>
                <w:sz w:val="18"/>
              </w:rPr>
              <w:t>$71,282,832.00</w:t>
            </w:r>
          </w:p>
        </w:tc>
      </w:tr>
      <w:tr>
        <w:trPr>
          <w:trHeight w:val="519" w:hRule="exact"/>
        </w:trPr>
        <w:tc>
          <w:tcPr>
            <w:tcW w:w="2141" w:type="dxa"/>
          </w:tcPr>
          <w:p>
            <w:pPr>
              <w:pStyle w:val="TableParagraph"/>
              <w:spacing w:before="93"/>
              <w:ind w:left="64" w:right="67"/>
              <w:jc w:val="left"/>
              <w:rPr>
                <w:b/>
                <w:sz w:val="18"/>
              </w:rPr>
            </w:pPr>
            <w:r>
              <w:rPr>
                <w:b/>
                <w:color w:val="333333"/>
                <w:sz w:val="18"/>
              </w:rPr>
              <w:t>JUCHITEPEC</w:t>
            </w:r>
          </w:p>
        </w:tc>
        <w:tc>
          <w:tcPr>
            <w:tcW w:w="1658" w:type="dxa"/>
          </w:tcPr>
          <w:p>
            <w:pPr>
              <w:pStyle w:val="TableParagraph"/>
              <w:spacing w:before="98"/>
              <w:ind w:left="52" w:right="53"/>
              <w:rPr>
                <w:sz w:val="18"/>
              </w:rPr>
            </w:pPr>
            <w:r>
              <w:rPr>
                <w:sz w:val="18"/>
              </w:rPr>
              <w:t>$0.00</w:t>
            </w:r>
          </w:p>
        </w:tc>
        <w:tc>
          <w:tcPr>
            <w:tcW w:w="1508" w:type="dxa"/>
          </w:tcPr>
          <w:p>
            <w:pPr>
              <w:pStyle w:val="TableParagraph"/>
              <w:spacing w:before="98"/>
              <w:ind w:left="53" w:right="48"/>
              <w:rPr>
                <w:sz w:val="18"/>
              </w:rPr>
            </w:pPr>
            <w:r>
              <w:rPr>
                <w:sz w:val="18"/>
              </w:rPr>
              <w:t>$0.00</w:t>
            </w:r>
          </w:p>
        </w:tc>
        <w:tc>
          <w:tcPr>
            <w:tcW w:w="1661" w:type="dxa"/>
          </w:tcPr>
          <w:p>
            <w:pPr>
              <w:pStyle w:val="TableParagraph"/>
              <w:spacing w:before="98"/>
              <w:ind w:left="53" w:right="52"/>
              <w:rPr>
                <w:sz w:val="18"/>
              </w:rPr>
            </w:pPr>
            <w:r>
              <w:rPr>
                <w:sz w:val="18"/>
              </w:rPr>
              <w:t>$0.00</w:t>
            </w:r>
          </w:p>
        </w:tc>
        <w:tc>
          <w:tcPr>
            <w:tcW w:w="1661" w:type="dxa"/>
          </w:tcPr>
          <w:p>
            <w:pPr>
              <w:pStyle w:val="TableParagraph"/>
              <w:spacing w:before="98"/>
              <w:ind w:left="54" w:right="56"/>
              <w:rPr>
                <w:sz w:val="18"/>
              </w:rPr>
            </w:pPr>
            <w:r>
              <w:rPr>
                <w:sz w:val="18"/>
              </w:rPr>
              <w:t>$0.00</w:t>
            </w:r>
          </w:p>
        </w:tc>
        <w:tc>
          <w:tcPr>
            <w:tcW w:w="1658" w:type="dxa"/>
          </w:tcPr>
          <w:p>
            <w:pPr>
              <w:pStyle w:val="TableParagraph"/>
              <w:spacing w:before="98"/>
              <w:ind w:left="53" w:right="53"/>
              <w:rPr>
                <w:sz w:val="18"/>
              </w:rPr>
            </w:pPr>
            <w:r>
              <w:rPr>
                <w:sz w:val="18"/>
              </w:rPr>
              <w:t>$104,617,200.00</w:t>
            </w:r>
          </w:p>
        </w:tc>
        <w:tc>
          <w:tcPr>
            <w:tcW w:w="1508" w:type="dxa"/>
          </w:tcPr>
          <w:p>
            <w:pPr>
              <w:pStyle w:val="TableParagraph"/>
              <w:spacing w:before="98"/>
              <w:ind w:left="53" w:right="50"/>
              <w:rPr>
                <w:sz w:val="18"/>
              </w:rPr>
            </w:pPr>
            <w:r>
              <w:rPr>
                <w:sz w:val="18"/>
              </w:rPr>
              <w:t>$12,448,450.63</w:t>
            </w:r>
          </w:p>
        </w:tc>
        <w:tc>
          <w:tcPr>
            <w:tcW w:w="1661" w:type="dxa"/>
          </w:tcPr>
          <w:p>
            <w:pPr>
              <w:pStyle w:val="TableParagraph"/>
              <w:spacing w:before="98"/>
              <w:ind w:right="196"/>
              <w:jc w:val="right"/>
              <w:rPr>
                <w:sz w:val="18"/>
              </w:rPr>
            </w:pPr>
            <w:r>
              <w:rPr>
                <w:sz w:val="18"/>
              </w:rPr>
              <w:t>$76,473,422.83</w:t>
            </w:r>
          </w:p>
        </w:tc>
        <w:tc>
          <w:tcPr>
            <w:tcW w:w="1661" w:type="dxa"/>
          </w:tcPr>
          <w:p>
            <w:pPr>
              <w:pStyle w:val="TableParagraph"/>
              <w:spacing w:before="98"/>
              <w:ind w:left="199"/>
              <w:jc w:val="left"/>
              <w:rPr>
                <w:sz w:val="18"/>
              </w:rPr>
            </w:pPr>
            <w:r>
              <w:rPr>
                <w:sz w:val="18"/>
              </w:rPr>
              <w:t>$15,695,326.54</w:t>
            </w:r>
          </w:p>
        </w:tc>
      </w:tr>
      <w:tr>
        <w:trPr>
          <w:trHeight w:val="521" w:hRule="exact"/>
        </w:trPr>
        <w:tc>
          <w:tcPr>
            <w:tcW w:w="2141" w:type="dxa"/>
          </w:tcPr>
          <w:p>
            <w:pPr>
              <w:pStyle w:val="TableParagraph"/>
              <w:spacing w:before="95"/>
              <w:ind w:left="64" w:right="67"/>
              <w:jc w:val="left"/>
              <w:rPr>
                <w:b/>
                <w:sz w:val="18"/>
              </w:rPr>
            </w:pPr>
            <w:r>
              <w:rPr>
                <w:b/>
                <w:color w:val="333333"/>
                <w:sz w:val="18"/>
              </w:rPr>
              <w:t>LA PAZ</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3" w:right="53"/>
              <w:rPr>
                <w:sz w:val="18"/>
              </w:rPr>
            </w:pPr>
            <w:r>
              <w:rPr>
                <w:sz w:val="18"/>
              </w:rPr>
              <w:t>$822,322,927.00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right="146"/>
              <w:jc w:val="right"/>
              <w:rPr>
                <w:sz w:val="18"/>
              </w:rPr>
            </w:pPr>
            <w:r>
              <w:rPr>
                <w:sz w:val="18"/>
              </w:rPr>
              <w:t>$436,576,010.91</w:t>
            </w:r>
          </w:p>
        </w:tc>
        <w:tc>
          <w:tcPr>
            <w:tcW w:w="1661" w:type="dxa"/>
          </w:tcPr>
          <w:p>
            <w:pPr>
              <w:pStyle w:val="TableParagraph"/>
              <w:spacing w:before="100"/>
              <w:ind w:left="148"/>
              <w:jc w:val="left"/>
              <w:rPr>
                <w:sz w:val="18"/>
              </w:rPr>
            </w:pPr>
            <w:r>
              <w:rPr>
                <w:sz w:val="18"/>
              </w:rPr>
              <w:t>$385,746,916.09</w:t>
            </w:r>
          </w:p>
        </w:tc>
      </w:tr>
      <w:tr>
        <w:trPr>
          <w:trHeight w:val="521" w:hRule="exact"/>
        </w:trPr>
        <w:tc>
          <w:tcPr>
            <w:tcW w:w="2141" w:type="dxa"/>
          </w:tcPr>
          <w:p>
            <w:pPr>
              <w:pStyle w:val="TableParagraph"/>
              <w:spacing w:before="95"/>
              <w:ind w:left="64" w:right="67"/>
              <w:jc w:val="left"/>
              <w:rPr>
                <w:b/>
                <w:sz w:val="18"/>
              </w:rPr>
            </w:pPr>
            <w:r>
              <w:rPr>
                <w:b/>
                <w:color w:val="333333"/>
                <w:sz w:val="18"/>
              </w:rPr>
              <w:t>LERMA</w:t>
            </w:r>
          </w:p>
        </w:tc>
        <w:tc>
          <w:tcPr>
            <w:tcW w:w="1658" w:type="dxa"/>
          </w:tcPr>
          <w:p>
            <w:pPr>
              <w:pStyle w:val="TableParagraph"/>
              <w:spacing w:before="100"/>
              <w:ind w:left="53" w:right="53"/>
              <w:rPr>
                <w:sz w:val="18"/>
              </w:rPr>
            </w:pPr>
            <w:r>
              <w:rPr>
                <w:sz w:val="18"/>
              </w:rPr>
              <w:t>$617,313,389.00</w:t>
            </w:r>
          </w:p>
        </w:tc>
        <w:tc>
          <w:tcPr>
            <w:tcW w:w="1508" w:type="dxa"/>
          </w:tcPr>
          <w:p>
            <w:pPr>
              <w:pStyle w:val="TableParagraph"/>
              <w:spacing w:before="100"/>
              <w:ind w:left="53" w:right="51"/>
              <w:rPr>
                <w:sz w:val="18"/>
              </w:rPr>
            </w:pPr>
            <w:r>
              <w:rPr>
                <w:sz w:val="18"/>
              </w:rPr>
              <w:t>$17,652,091.44</w:t>
            </w:r>
          </w:p>
        </w:tc>
        <w:tc>
          <w:tcPr>
            <w:tcW w:w="1661" w:type="dxa"/>
          </w:tcPr>
          <w:p>
            <w:pPr>
              <w:pStyle w:val="TableParagraph"/>
              <w:spacing w:before="100"/>
              <w:ind w:left="53" w:right="51"/>
              <w:rPr>
                <w:sz w:val="18"/>
              </w:rPr>
            </w:pPr>
            <w:r>
              <w:rPr>
                <w:sz w:val="18"/>
              </w:rPr>
              <w:t>$462,478,155.21</w:t>
            </w:r>
          </w:p>
        </w:tc>
        <w:tc>
          <w:tcPr>
            <w:tcW w:w="1661" w:type="dxa"/>
          </w:tcPr>
          <w:p>
            <w:pPr>
              <w:pStyle w:val="TableParagraph"/>
              <w:spacing w:before="100"/>
              <w:ind w:left="54" w:right="54"/>
              <w:rPr>
                <w:sz w:val="18"/>
              </w:rPr>
            </w:pPr>
            <w:r>
              <w:rPr>
                <w:sz w:val="18"/>
              </w:rPr>
              <w:t>$172,487,325.23</w:t>
            </w:r>
          </w:p>
        </w:tc>
        <w:tc>
          <w:tcPr>
            <w:tcW w:w="1658" w:type="dxa"/>
          </w:tcPr>
          <w:p>
            <w:pPr>
              <w:pStyle w:val="TableParagraph"/>
              <w:spacing w:before="100"/>
              <w:ind w:left="53" w:right="53"/>
              <w:rPr>
                <w:sz w:val="18"/>
              </w:rPr>
            </w:pPr>
            <w:r>
              <w:rPr>
                <w:sz w:val="18"/>
              </w:rPr>
              <w:t>$728,985,180.16</w:t>
            </w:r>
          </w:p>
        </w:tc>
        <w:tc>
          <w:tcPr>
            <w:tcW w:w="1508" w:type="dxa"/>
          </w:tcPr>
          <w:p>
            <w:pPr>
              <w:pStyle w:val="TableParagraph"/>
              <w:spacing w:before="100"/>
              <w:ind w:left="53" w:right="51"/>
              <w:rPr>
                <w:sz w:val="18"/>
              </w:rPr>
            </w:pPr>
            <w:r>
              <w:rPr>
                <w:sz w:val="18"/>
              </w:rPr>
              <w:t>$699,062.92</w:t>
            </w:r>
          </w:p>
        </w:tc>
        <w:tc>
          <w:tcPr>
            <w:tcW w:w="1661" w:type="dxa"/>
          </w:tcPr>
          <w:p>
            <w:pPr>
              <w:pStyle w:val="TableParagraph"/>
              <w:spacing w:before="100"/>
              <w:ind w:right="146"/>
              <w:jc w:val="right"/>
              <w:rPr>
                <w:sz w:val="18"/>
              </w:rPr>
            </w:pPr>
            <w:r>
              <w:rPr>
                <w:sz w:val="18"/>
              </w:rPr>
              <w:t>$488,609,533.64</w:t>
            </w:r>
          </w:p>
        </w:tc>
        <w:tc>
          <w:tcPr>
            <w:tcW w:w="1661" w:type="dxa"/>
          </w:tcPr>
          <w:p>
            <w:pPr>
              <w:pStyle w:val="TableParagraph"/>
              <w:spacing w:before="100"/>
              <w:ind w:left="148"/>
              <w:jc w:val="left"/>
              <w:rPr>
                <w:sz w:val="18"/>
              </w:rPr>
            </w:pPr>
            <w:r>
              <w:rPr>
                <w:sz w:val="18"/>
              </w:rPr>
              <w:t>$241,074,709.44</w:t>
            </w:r>
          </w:p>
        </w:tc>
      </w:tr>
      <w:tr>
        <w:trPr>
          <w:trHeight w:val="518" w:hRule="exact"/>
        </w:trPr>
        <w:tc>
          <w:tcPr>
            <w:tcW w:w="2141" w:type="dxa"/>
          </w:tcPr>
          <w:p>
            <w:pPr>
              <w:pStyle w:val="TableParagraph"/>
              <w:spacing w:before="92"/>
              <w:ind w:left="64" w:right="67"/>
              <w:jc w:val="left"/>
              <w:rPr>
                <w:b/>
                <w:sz w:val="18"/>
              </w:rPr>
            </w:pPr>
            <w:r>
              <w:rPr>
                <w:b/>
                <w:color w:val="333333"/>
                <w:sz w:val="18"/>
              </w:rPr>
              <w:t>LUVIANOS</w:t>
            </w:r>
          </w:p>
        </w:tc>
        <w:tc>
          <w:tcPr>
            <w:tcW w:w="1658" w:type="dxa"/>
          </w:tcPr>
          <w:p>
            <w:pPr>
              <w:pStyle w:val="TableParagraph"/>
              <w:spacing w:before="97"/>
              <w:ind w:left="53" w:right="53"/>
              <w:rPr>
                <w:sz w:val="18"/>
              </w:rPr>
            </w:pPr>
            <w:r>
              <w:rPr>
                <w:sz w:val="18"/>
              </w:rPr>
              <w:t>$55,051,904.00</w:t>
            </w:r>
          </w:p>
        </w:tc>
        <w:tc>
          <w:tcPr>
            <w:tcW w:w="1508" w:type="dxa"/>
          </w:tcPr>
          <w:p>
            <w:pPr>
              <w:pStyle w:val="TableParagraph"/>
              <w:spacing w:before="97"/>
              <w:ind w:left="53" w:right="51"/>
              <w:rPr>
                <w:sz w:val="18"/>
              </w:rPr>
            </w:pPr>
            <w:r>
              <w:rPr>
                <w:sz w:val="18"/>
              </w:rPr>
              <w:t>$195,226.00</w:t>
            </w:r>
          </w:p>
        </w:tc>
        <w:tc>
          <w:tcPr>
            <w:tcW w:w="1661" w:type="dxa"/>
          </w:tcPr>
          <w:p>
            <w:pPr>
              <w:pStyle w:val="TableParagraph"/>
              <w:spacing w:before="97"/>
              <w:ind w:left="53" w:right="51"/>
              <w:rPr>
                <w:sz w:val="18"/>
              </w:rPr>
            </w:pPr>
            <w:r>
              <w:rPr>
                <w:sz w:val="18"/>
              </w:rPr>
              <w:t>$147,713,747.62</w:t>
            </w:r>
          </w:p>
        </w:tc>
        <w:tc>
          <w:tcPr>
            <w:tcW w:w="1661" w:type="dxa"/>
          </w:tcPr>
          <w:p>
            <w:pPr>
              <w:pStyle w:val="TableParagraph"/>
              <w:spacing w:before="97"/>
              <w:ind w:left="54" w:right="56"/>
              <w:rPr>
                <w:sz w:val="18"/>
              </w:rPr>
            </w:pPr>
            <w:r>
              <w:rPr>
                <w:sz w:val="18"/>
              </w:rPr>
              <w:t>$7,142,930.38</w:t>
            </w:r>
          </w:p>
        </w:tc>
        <w:tc>
          <w:tcPr>
            <w:tcW w:w="1658" w:type="dxa"/>
          </w:tcPr>
          <w:p>
            <w:pPr>
              <w:pStyle w:val="TableParagraph"/>
              <w:spacing w:before="97"/>
              <w:ind w:left="52" w:right="53"/>
              <w:rPr>
                <w:sz w:val="18"/>
              </w:rPr>
            </w:pPr>
            <w:r>
              <w:rPr>
                <w:sz w:val="18"/>
              </w:rPr>
              <w:t>$0.00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53" w:right="54"/>
              <w:rPr>
                <w:sz w:val="18"/>
              </w:rPr>
            </w:pPr>
            <w:r>
              <w:rPr>
                <w:sz w:val="18"/>
              </w:rPr>
              <w:t>$0.00</w:t>
            </w:r>
          </w:p>
        </w:tc>
      </w:tr>
      <w:tr>
        <w:trPr>
          <w:trHeight w:val="521" w:hRule="exact"/>
        </w:trPr>
        <w:tc>
          <w:tcPr>
            <w:tcW w:w="2141" w:type="dxa"/>
          </w:tcPr>
          <w:p>
            <w:pPr>
              <w:pStyle w:val="TableParagraph"/>
              <w:spacing w:before="95"/>
              <w:ind w:left="64" w:right="67"/>
              <w:jc w:val="left"/>
              <w:rPr>
                <w:b/>
                <w:sz w:val="18"/>
              </w:rPr>
            </w:pPr>
            <w:r>
              <w:rPr>
                <w:b/>
                <w:color w:val="333333"/>
                <w:sz w:val="18"/>
              </w:rPr>
              <w:t>MALINALCO</w:t>
            </w:r>
          </w:p>
        </w:tc>
        <w:tc>
          <w:tcPr>
            <w:tcW w:w="1658" w:type="dxa"/>
          </w:tcPr>
          <w:p>
            <w:pPr>
              <w:pStyle w:val="TableParagraph"/>
              <w:spacing w:before="100"/>
              <w:ind w:left="53" w:right="53"/>
              <w:rPr>
                <w:sz w:val="18"/>
              </w:rPr>
            </w:pPr>
            <w:r>
              <w:rPr>
                <w:sz w:val="18"/>
              </w:rPr>
              <w:t>$109,042,800.00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4"/>
              <w:rPr>
                <w:sz w:val="18"/>
              </w:rPr>
            </w:pPr>
            <w:r>
              <w:rPr>
                <w:sz w:val="18"/>
              </w:rPr>
              <w:t>$109,042,800.00</w:t>
            </w:r>
          </w:p>
        </w:tc>
        <w:tc>
          <w:tcPr>
            <w:tcW w:w="1658" w:type="dxa"/>
          </w:tcPr>
          <w:p>
            <w:pPr>
              <w:pStyle w:val="TableParagraph"/>
              <w:spacing w:before="100"/>
              <w:ind w:left="53" w:right="53"/>
              <w:rPr>
                <w:sz w:val="18"/>
              </w:rPr>
            </w:pPr>
            <w:r>
              <w:rPr>
                <w:sz w:val="18"/>
              </w:rPr>
              <w:t>$113,840,706.00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148"/>
              <w:jc w:val="left"/>
              <w:rPr>
                <w:sz w:val="18"/>
              </w:rPr>
            </w:pPr>
            <w:r>
              <w:rPr>
                <w:sz w:val="18"/>
              </w:rPr>
              <w:t>$113,840,706.00</w:t>
            </w:r>
          </w:p>
        </w:tc>
      </w:tr>
      <w:tr>
        <w:trPr>
          <w:trHeight w:val="521" w:hRule="exact"/>
        </w:trPr>
        <w:tc>
          <w:tcPr>
            <w:tcW w:w="2141" w:type="dxa"/>
          </w:tcPr>
          <w:p>
            <w:pPr>
              <w:pStyle w:val="TableParagraph"/>
              <w:spacing w:before="95"/>
              <w:ind w:left="64" w:right="67"/>
              <w:jc w:val="left"/>
              <w:rPr>
                <w:b/>
                <w:sz w:val="18"/>
              </w:rPr>
            </w:pPr>
            <w:r>
              <w:rPr>
                <w:b/>
                <w:color w:val="333333"/>
                <w:sz w:val="18"/>
              </w:rPr>
              <w:t>MELCHOR OCAMPO</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3" w:right="54"/>
              <w:rPr>
                <w:sz w:val="18"/>
              </w:rPr>
            </w:pPr>
            <w:r>
              <w:rPr>
                <w:sz w:val="18"/>
              </w:rPr>
              <w:t>$0.00</w:t>
            </w:r>
          </w:p>
        </w:tc>
      </w:tr>
      <w:tr>
        <w:trPr>
          <w:trHeight w:val="521" w:hRule="exact"/>
        </w:trPr>
        <w:tc>
          <w:tcPr>
            <w:tcW w:w="2141" w:type="dxa"/>
          </w:tcPr>
          <w:p>
            <w:pPr>
              <w:pStyle w:val="TableParagraph"/>
              <w:spacing w:before="92"/>
              <w:ind w:left="64" w:right="67"/>
              <w:jc w:val="left"/>
              <w:rPr>
                <w:b/>
                <w:sz w:val="18"/>
              </w:rPr>
            </w:pPr>
            <w:r>
              <w:rPr>
                <w:b/>
                <w:color w:val="333333"/>
                <w:sz w:val="18"/>
              </w:rPr>
              <w:t>METEPEC</w:t>
            </w:r>
          </w:p>
        </w:tc>
        <w:tc>
          <w:tcPr>
            <w:tcW w:w="1658" w:type="dxa"/>
          </w:tcPr>
          <w:p>
            <w:pPr>
              <w:pStyle w:val="TableParagraph"/>
              <w:spacing w:before="97"/>
              <w:ind w:left="52" w:right="53"/>
              <w:rPr>
                <w:sz w:val="18"/>
              </w:rPr>
            </w:pPr>
            <w:r>
              <w:rPr>
                <w:sz w:val="18"/>
              </w:rPr>
              <w:t>$5,929,178.86</w:t>
            </w:r>
          </w:p>
        </w:tc>
        <w:tc>
          <w:tcPr>
            <w:tcW w:w="1508" w:type="dxa"/>
          </w:tcPr>
          <w:p>
            <w:pPr>
              <w:pStyle w:val="TableParagraph"/>
              <w:spacing w:before="97"/>
              <w:ind w:left="53" w:right="51"/>
              <w:rPr>
                <w:sz w:val="18"/>
              </w:rPr>
            </w:pPr>
            <w:r>
              <w:rPr>
                <w:sz w:val="18"/>
              </w:rPr>
              <w:t>$57,860.24</w:t>
            </w:r>
          </w:p>
        </w:tc>
        <w:tc>
          <w:tcPr>
            <w:tcW w:w="1661" w:type="dxa"/>
          </w:tcPr>
          <w:p>
            <w:pPr>
              <w:pStyle w:val="TableParagraph"/>
              <w:spacing w:before="97"/>
              <w:ind w:left="53" w:right="53"/>
              <w:rPr>
                <w:sz w:val="18"/>
              </w:rPr>
            </w:pPr>
            <w:r>
              <w:rPr>
                <w:sz w:val="18"/>
              </w:rPr>
              <w:t>$5,776,637.59</w:t>
            </w:r>
          </w:p>
        </w:tc>
        <w:tc>
          <w:tcPr>
            <w:tcW w:w="1661" w:type="dxa"/>
          </w:tcPr>
          <w:p>
            <w:pPr>
              <w:pStyle w:val="TableParagraph"/>
              <w:spacing w:before="97"/>
              <w:ind w:left="54" w:right="54"/>
              <w:rPr>
                <w:sz w:val="18"/>
              </w:rPr>
            </w:pPr>
            <w:r>
              <w:rPr>
                <w:sz w:val="18"/>
              </w:rPr>
              <w:t>$210,401.51</w:t>
            </w:r>
          </w:p>
        </w:tc>
        <w:tc>
          <w:tcPr>
            <w:tcW w:w="1658" w:type="dxa"/>
          </w:tcPr>
          <w:p>
            <w:pPr>
              <w:pStyle w:val="TableParagraph"/>
              <w:spacing w:before="97"/>
              <w:ind w:left="53" w:right="53"/>
              <w:rPr>
                <w:sz w:val="18"/>
              </w:rPr>
            </w:pPr>
            <w:r>
              <w:rPr>
                <w:sz w:val="18"/>
              </w:rPr>
              <w:t>$1,322,447,951.99</w:t>
            </w:r>
          </w:p>
        </w:tc>
        <w:tc>
          <w:tcPr>
            <w:tcW w:w="1508" w:type="dxa"/>
          </w:tcPr>
          <w:p>
            <w:pPr>
              <w:pStyle w:val="TableParagraph"/>
              <w:spacing w:before="97"/>
              <w:ind w:left="53" w:right="48"/>
              <w:rPr>
                <w:sz w:val="18"/>
              </w:rPr>
            </w:pPr>
            <w:r>
              <w:rPr>
                <w:sz w:val="18"/>
              </w:rPr>
              <w:t>$0.05</w:t>
            </w:r>
          </w:p>
        </w:tc>
        <w:tc>
          <w:tcPr>
            <w:tcW w:w="1661" w:type="dxa"/>
          </w:tcPr>
          <w:p>
            <w:pPr>
              <w:pStyle w:val="TableParagraph"/>
              <w:spacing w:before="97"/>
              <w:ind w:right="146"/>
              <w:jc w:val="right"/>
              <w:rPr>
                <w:sz w:val="18"/>
              </w:rPr>
            </w:pPr>
            <w:r>
              <w:rPr>
                <w:sz w:val="18"/>
              </w:rPr>
              <w:t>$536,937,634.61</w:t>
            </w:r>
          </w:p>
        </w:tc>
        <w:tc>
          <w:tcPr>
            <w:tcW w:w="1661" w:type="dxa"/>
          </w:tcPr>
          <w:p>
            <w:pPr>
              <w:pStyle w:val="TableParagraph"/>
              <w:spacing w:before="97"/>
              <w:ind w:left="148"/>
              <w:jc w:val="left"/>
              <w:rPr>
                <w:sz w:val="18"/>
              </w:rPr>
            </w:pPr>
            <w:r>
              <w:rPr>
                <w:sz w:val="18"/>
              </w:rPr>
              <w:t>$785,510,317.43</w:t>
            </w:r>
          </w:p>
        </w:tc>
      </w:tr>
    </w:tbl>
    <w:p>
      <w:pPr>
        <w:spacing w:after="0"/>
        <w:jc w:val="left"/>
        <w:rPr>
          <w:sz w:val="18"/>
        </w:rPr>
        <w:sectPr>
          <w:pgSz w:w="15840" w:h="12240" w:orient="landscape"/>
          <w:pgMar w:header="0" w:footer="975" w:top="1140" w:bottom="1160" w:left="240" w:right="240"/>
        </w:sectPr>
      </w:pPr>
    </w:p>
    <w:p>
      <w:pPr>
        <w:pStyle w:val="BodyText"/>
        <w:rPr>
          <w:rFonts w:ascii="Times New Roman"/>
          <w:sz w:val="20"/>
        </w:rPr>
      </w:pPr>
    </w:p>
    <w:p>
      <w:pPr>
        <w:pStyle w:val="BodyText"/>
        <w:spacing w:before="10"/>
        <w:rPr>
          <w:rFonts w:ascii="Times New Roman"/>
          <w:sz w:val="28"/>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41"/>
        <w:gridCol w:w="1658"/>
        <w:gridCol w:w="1508"/>
        <w:gridCol w:w="1661"/>
        <w:gridCol w:w="1661"/>
        <w:gridCol w:w="1658"/>
        <w:gridCol w:w="1508"/>
        <w:gridCol w:w="1661"/>
        <w:gridCol w:w="1661"/>
      </w:tblGrid>
      <w:tr>
        <w:trPr>
          <w:trHeight w:val="430" w:hRule="exact"/>
        </w:trPr>
        <w:tc>
          <w:tcPr>
            <w:tcW w:w="15117" w:type="dxa"/>
            <w:gridSpan w:val="9"/>
            <w:shd w:val="clear" w:color="auto" w:fill="C5DFB3"/>
          </w:tcPr>
          <w:p>
            <w:pPr>
              <w:pStyle w:val="TableParagraph"/>
              <w:spacing w:before="49"/>
              <w:ind w:left="3900"/>
              <w:jc w:val="left"/>
              <w:rPr>
                <w:b/>
                <w:sz w:val="18"/>
              </w:rPr>
            </w:pPr>
            <w:r>
              <w:rPr>
                <w:b/>
                <w:sz w:val="18"/>
              </w:rPr>
              <w:t>Anexo 24C. Municipios que publican apartado presupuesto 2012-2013 (Continuación)</w:t>
            </w:r>
          </w:p>
        </w:tc>
      </w:tr>
      <w:tr>
        <w:trPr>
          <w:trHeight w:val="320" w:hRule="exact"/>
        </w:trPr>
        <w:tc>
          <w:tcPr>
            <w:tcW w:w="2141"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23"/>
              </w:rPr>
            </w:pPr>
          </w:p>
          <w:p>
            <w:pPr>
              <w:pStyle w:val="TableParagraph"/>
              <w:ind w:left="643" w:right="67"/>
              <w:jc w:val="left"/>
              <w:rPr>
                <w:b/>
                <w:sz w:val="18"/>
              </w:rPr>
            </w:pPr>
            <w:r>
              <w:rPr>
                <w:b/>
                <w:sz w:val="18"/>
              </w:rPr>
              <w:t>Municipio</w:t>
            </w:r>
          </w:p>
        </w:tc>
        <w:tc>
          <w:tcPr>
            <w:tcW w:w="6488" w:type="dxa"/>
            <w:gridSpan w:val="4"/>
            <w:shd w:val="clear" w:color="auto" w:fill="C5DFB3"/>
          </w:tcPr>
          <w:p>
            <w:pPr>
              <w:pStyle w:val="TableParagraph"/>
              <w:spacing w:line="201" w:lineRule="exact"/>
              <w:ind w:left="3020" w:right="3018"/>
              <w:rPr>
                <w:b/>
                <w:sz w:val="18"/>
              </w:rPr>
            </w:pPr>
            <w:r>
              <w:rPr>
                <w:b/>
                <w:sz w:val="18"/>
              </w:rPr>
              <w:t>2012</w:t>
            </w:r>
          </w:p>
        </w:tc>
        <w:tc>
          <w:tcPr>
            <w:tcW w:w="6488" w:type="dxa"/>
            <w:gridSpan w:val="4"/>
            <w:shd w:val="clear" w:color="auto" w:fill="C5DFB3"/>
          </w:tcPr>
          <w:p>
            <w:pPr>
              <w:pStyle w:val="TableParagraph"/>
              <w:spacing w:line="201" w:lineRule="exact"/>
              <w:ind w:left="3019" w:right="3018"/>
              <w:rPr>
                <w:b/>
                <w:sz w:val="18"/>
              </w:rPr>
            </w:pPr>
            <w:r>
              <w:rPr>
                <w:b/>
                <w:sz w:val="18"/>
              </w:rPr>
              <w:t>2013</w:t>
            </w:r>
          </w:p>
        </w:tc>
      </w:tr>
      <w:tr>
        <w:trPr>
          <w:trHeight w:val="1374" w:hRule="exact"/>
        </w:trPr>
        <w:tc>
          <w:tcPr>
            <w:tcW w:w="2141" w:type="dxa"/>
            <w:vMerge/>
            <w:shd w:val="clear" w:color="auto" w:fill="C5DFB3"/>
          </w:tcPr>
          <w:p>
            <w:pPr/>
          </w:p>
        </w:tc>
        <w:tc>
          <w:tcPr>
            <w:tcW w:w="165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w w:val="100"/>
                <w:sz w:val="18"/>
              </w:rPr>
              <w:t>Autoriz</w:t>
            </w:r>
            <w:r>
              <w:rPr>
                <w:b/>
                <w:w w:val="99"/>
                <w:sz w:val="18"/>
              </w:rPr>
              <w:t>a</w:t>
            </w:r>
            <w:r>
              <w:rPr>
                <w:b/>
                <w:w w:val="100"/>
                <w:sz w:val="18"/>
              </w:rPr>
              <w:t>do</w:t>
            </w:r>
          </w:p>
        </w:tc>
        <w:tc>
          <w:tcPr>
            <w:tcW w:w="150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15"/>
              </w:rPr>
            </w:pPr>
          </w:p>
          <w:p>
            <w:pPr>
              <w:pStyle w:val="TableParagraph"/>
              <w:ind w:left="206"/>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326"/>
              <w:jc w:val="left"/>
              <w:rPr>
                <w:b/>
                <w:sz w:val="18"/>
              </w:rPr>
            </w:pPr>
            <w:r>
              <w:rPr>
                <w:b/>
                <w:w w:val="100"/>
                <w:sz w:val="18"/>
              </w:rPr>
              <w:t>Eje</w:t>
            </w:r>
            <w:r>
              <w:rPr>
                <w:b/>
                <w:w w:val="99"/>
                <w:sz w:val="18"/>
              </w:rPr>
              <w:t>rci</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211"/>
              <w:jc w:val="left"/>
              <w:rPr>
                <w:b/>
                <w:sz w:val="18"/>
              </w:rPr>
            </w:pPr>
            <w:r>
              <w:rPr>
                <w:b/>
                <w:sz w:val="18"/>
              </w:rPr>
              <w:t>Por </w:t>
            </w:r>
            <w:r>
              <w:rPr>
                <w:b/>
                <w:w w:val="99"/>
                <w:sz w:val="18"/>
              </w:rPr>
              <w:t>e</w:t>
            </w:r>
            <w:r>
              <w:rPr>
                <w:b/>
                <w:w w:val="100"/>
                <w:sz w:val="18"/>
              </w:rPr>
              <w:t>j</w:t>
            </w:r>
            <w:r>
              <w:rPr>
                <w:b/>
                <w:spacing w:val="1"/>
                <w:w w:val="100"/>
                <w:sz w:val="18"/>
              </w:rPr>
              <w:t>e</w:t>
            </w:r>
            <w:r>
              <w:rPr>
                <w:b/>
                <w:w w:val="99"/>
                <w:sz w:val="18"/>
              </w:rPr>
              <w:t>rcer</w:t>
            </w:r>
          </w:p>
        </w:tc>
        <w:tc>
          <w:tcPr>
            <w:tcW w:w="165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w w:val="100"/>
                <w:sz w:val="18"/>
              </w:rPr>
              <w:t>Autoriz</w:t>
            </w:r>
            <w:r>
              <w:rPr>
                <w:b/>
                <w:w w:val="99"/>
                <w:sz w:val="18"/>
              </w:rPr>
              <w:t>a</w:t>
            </w:r>
            <w:r>
              <w:rPr>
                <w:b/>
                <w:w w:val="100"/>
                <w:sz w:val="18"/>
              </w:rPr>
              <w:t>do</w:t>
            </w:r>
          </w:p>
        </w:tc>
        <w:tc>
          <w:tcPr>
            <w:tcW w:w="150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15"/>
              </w:rPr>
            </w:pPr>
          </w:p>
          <w:p>
            <w:pPr>
              <w:pStyle w:val="TableParagraph"/>
              <w:ind w:left="206"/>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326"/>
              <w:jc w:val="left"/>
              <w:rPr>
                <w:b/>
                <w:sz w:val="18"/>
              </w:rPr>
            </w:pPr>
            <w:r>
              <w:rPr>
                <w:b/>
                <w:w w:val="100"/>
                <w:sz w:val="18"/>
              </w:rPr>
              <w:t>Eje</w:t>
            </w:r>
            <w:r>
              <w:rPr>
                <w:b/>
                <w:w w:val="99"/>
                <w:sz w:val="18"/>
              </w:rPr>
              <w:t>rci</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sz w:val="18"/>
              </w:rPr>
              <w:t>Por </w:t>
            </w:r>
            <w:r>
              <w:rPr>
                <w:b/>
                <w:w w:val="99"/>
                <w:sz w:val="18"/>
              </w:rPr>
              <w:t>e</w:t>
            </w:r>
            <w:r>
              <w:rPr>
                <w:b/>
                <w:w w:val="100"/>
                <w:sz w:val="18"/>
              </w:rPr>
              <w:t>je</w:t>
            </w:r>
            <w:r>
              <w:rPr>
                <w:b/>
                <w:w w:val="99"/>
                <w:sz w:val="18"/>
              </w:rPr>
              <w:t>rcer</w:t>
            </w:r>
          </w:p>
        </w:tc>
      </w:tr>
      <w:tr>
        <w:trPr>
          <w:trHeight w:val="521" w:hRule="exact"/>
        </w:trPr>
        <w:tc>
          <w:tcPr>
            <w:tcW w:w="2141" w:type="dxa"/>
          </w:tcPr>
          <w:p>
            <w:pPr>
              <w:pStyle w:val="TableParagraph"/>
              <w:spacing w:before="95"/>
              <w:ind w:left="64" w:right="67"/>
              <w:jc w:val="left"/>
              <w:rPr>
                <w:b/>
                <w:sz w:val="18"/>
              </w:rPr>
            </w:pPr>
            <w:r>
              <w:rPr>
                <w:b/>
                <w:color w:val="333333"/>
                <w:sz w:val="18"/>
              </w:rPr>
              <w:t>MEXICALTCINGO</w:t>
            </w:r>
          </w:p>
        </w:tc>
        <w:tc>
          <w:tcPr>
            <w:tcW w:w="1658" w:type="dxa"/>
          </w:tcPr>
          <w:p>
            <w:pPr>
              <w:pStyle w:val="TableParagraph"/>
              <w:spacing w:before="100"/>
              <w:ind w:left="52" w:right="53"/>
              <w:rPr>
                <w:sz w:val="18"/>
              </w:rPr>
            </w:pPr>
            <w:r>
              <w:rPr>
                <w:sz w:val="18"/>
              </w:rPr>
              <w:t>$3,685,334.00</w:t>
            </w:r>
          </w:p>
        </w:tc>
        <w:tc>
          <w:tcPr>
            <w:tcW w:w="1508" w:type="dxa"/>
          </w:tcPr>
          <w:p>
            <w:pPr>
              <w:pStyle w:val="TableParagraph"/>
              <w:spacing w:before="100"/>
              <w:ind w:left="53" w:right="51"/>
              <w:rPr>
                <w:sz w:val="18"/>
              </w:rPr>
            </w:pPr>
            <w:r>
              <w:rPr>
                <w:sz w:val="18"/>
              </w:rPr>
              <w:t>$140,092.71</w:t>
            </w:r>
          </w:p>
        </w:tc>
        <w:tc>
          <w:tcPr>
            <w:tcW w:w="1661" w:type="dxa"/>
          </w:tcPr>
          <w:p>
            <w:pPr>
              <w:pStyle w:val="TableParagraph"/>
              <w:spacing w:before="100"/>
              <w:ind w:left="53" w:right="53"/>
              <w:rPr>
                <w:sz w:val="18"/>
              </w:rPr>
            </w:pPr>
            <w:r>
              <w:rPr>
                <w:sz w:val="18"/>
              </w:rPr>
              <w:t>$3,482,607.58</w:t>
            </w:r>
          </w:p>
        </w:tc>
        <w:tc>
          <w:tcPr>
            <w:tcW w:w="1661" w:type="dxa"/>
          </w:tcPr>
          <w:p>
            <w:pPr>
              <w:pStyle w:val="TableParagraph"/>
              <w:spacing w:before="100"/>
              <w:ind w:left="54" w:right="55"/>
              <w:rPr>
                <w:sz w:val="18"/>
              </w:rPr>
            </w:pPr>
            <w:r>
              <w:rPr>
                <w:sz w:val="18"/>
              </w:rPr>
              <w:t>$62,633.71</w:t>
            </w:r>
          </w:p>
        </w:tc>
        <w:tc>
          <w:tcPr>
            <w:tcW w:w="1658" w:type="dxa"/>
          </w:tcPr>
          <w:p>
            <w:pPr>
              <w:pStyle w:val="TableParagraph"/>
              <w:spacing w:before="100"/>
              <w:ind w:left="53" w:right="53"/>
              <w:rPr>
                <w:sz w:val="18"/>
              </w:rPr>
            </w:pPr>
            <w:r>
              <w:rPr>
                <w:sz w:val="18"/>
              </w:rPr>
              <w:t>$75,384,299.00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3" w:right="54"/>
              <w:rPr>
                <w:sz w:val="18"/>
              </w:rPr>
            </w:pPr>
            <w:r>
              <w:rPr>
                <w:sz w:val="18"/>
              </w:rPr>
              <w:t>$75,384,299.00</w:t>
            </w:r>
          </w:p>
        </w:tc>
      </w:tr>
      <w:tr>
        <w:trPr>
          <w:trHeight w:val="521" w:hRule="exact"/>
        </w:trPr>
        <w:tc>
          <w:tcPr>
            <w:tcW w:w="2141" w:type="dxa"/>
          </w:tcPr>
          <w:p>
            <w:pPr>
              <w:pStyle w:val="TableParagraph"/>
              <w:spacing w:before="95"/>
              <w:ind w:left="64" w:right="67"/>
              <w:jc w:val="left"/>
              <w:rPr>
                <w:b/>
                <w:sz w:val="18"/>
              </w:rPr>
            </w:pPr>
            <w:r>
              <w:rPr>
                <w:b/>
                <w:color w:val="333333"/>
                <w:sz w:val="18"/>
              </w:rPr>
              <w:t>MORELOS</w:t>
            </w:r>
          </w:p>
        </w:tc>
        <w:tc>
          <w:tcPr>
            <w:tcW w:w="1658" w:type="dxa"/>
          </w:tcPr>
          <w:p>
            <w:pPr>
              <w:pStyle w:val="TableParagraph"/>
              <w:spacing w:before="100"/>
              <w:ind w:left="53" w:right="53"/>
              <w:rPr>
                <w:sz w:val="18"/>
              </w:rPr>
            </w:pPr>
            <w:r>
              <w:rPr>
                <w:sz w:val="18"/>
              </w:rPr>
              <w:t>$156,372,798.00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1"/>
              <w:rPr>
                <w:sz w:val="18"/>
              </w:rPr>
            </w:pPr>
            <w:r>
              <w:rPr>
                <w:sz w:val="18"/>
              </w:rPr>
              <w:t>$128,973,536.55</w:t>
            </w:r>
          </w:p>
        </w:tc>
        <w:tc>
          <w:tcPr>
            <w:tcW w:w="1661" w:type="dxa"/>
          </w:tcPr>
          <w:p>
            <w:pPr>
              <w:pStyle w:val="TableParagraph"/>
              <w:spacing w:before="100"/>
              <w:ind w:left="54" w:right="54"/>
              <w:rPr>
                <w:sz w:val="18"/>
              </w:rPr>
            </w:pPr>
            <w:r>
              <w:rPr>
                <w:sz w:val="18"/>
              </w:rPr>
              <w:t>$27,399,261.45</w:t>
            </w:r>
          </w:p>
        </w:tc>
        <w:tc>
          <w:tcPr>
            <w:tcW w:w="1658" w:type="dxa"/>
          </w:tcPr>
          <w:p>
            <w:pPr>
              <w:pStyle w:val="TableParagraph"/>
              <w:spacing w:before="100"/>
              <w:ind w:left="53" w:right="53"/>
              <w:rPr>
                <w:sz w:val="18"/>
              </w:rPr>
            </w:pPr>
            <w:r>
              <w:rPr>
                <w:sz w:val="18"/>
              </w:rPr>
              <w:t>$154,051,661.00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1"/>
              <w:rPr>
                <w:sz w:val="18"/>
              </w:rPr>
            </w:pPr>
            <w:r>
              <w:rPr>
                <w:sz w:val="18"/>
              </w:rPr>
              <w:t>$114,508,428.91</w:t>
            </w:r>
          </w:p>
        </w:tc>
        <w:tc>
          <w:tcPr>
            <w:tcW w:w="1661" w:type="dxa"/>
          </w:tcPr>
          <w:p>
            <w:pPr>
              <w:pStyle w:val="TableParagraph"/>
              <w:spacing w:before="100"/>
              <w:ind w:left="53" w:right="54"/>
              <w:rPr>
                <w:sz w:val="18"/>
              </w:rPr>
            </w:pPr>
            <w:r>
              <w:rPr>
                <w:sz w:val="18"/>
              </w:rPr>
              <w:t>$39,543,232.09</w:t>
            </w:r>
          </w:p>
        </w:tc>
      </w:tr>
      <w:tr>
        <w:trPr>
          <w:trHeight w:val="631" w:hRule="exact"/>
        </w:trPr>
        <w:tc>
          <w:tcPr>
            <w:tcW w:w="2141" w:type="dxa"/>
          </w:tcPr>
          <w:p>
            <w:pPr>
              <w:pStyle w:val="TableParagraph"/>
              <w:tabs>
                <w:tab w:pos="1811" w:val="left" w:leader="none"/>
              </w:tabs>
              <w:spacing w:line="360" w:lineRule="auto"/>
              <w:ind w:left="64" w:right="68"/>
              <w:jc w:val="left"/>
              <w:rPr>
                <w:b/>
                <w:sz w:val="18"/>
              </w:rPr>
            </w:pPr>
            <w:r>
              <w:rPr>
                <w:b/>
                <w:color w:val="333333"/>
                <w:sz w:val="18"/>
              </w:rPr>
              <w:t>NAUCALPAN</w:t>
              <w:tab/>
              <w:t>DE JUAREZ</w:t>
            </w:r>
          </w:p>
        </w:tc>
        <w:tc>
          <w:tcPr>
            <w:tcW w:w="1658" w:type="dxa"/>
          </w:tcPr>
          <w:p>
            <w:pPr>
              <w:pStyle w:val="TableParagraph"/>
              <w:spacing w:before="155"/>
              <w:ind w:left="53" w:right="53"/>
              <w:rPr>
                <w:sz w:val="18"/>
              </w:rPr>
            </w:pPr>
            <w:r>
              <w:rPr>
                <w:sz w:val="18"/>
              </w:rPr>
              <w:t>$177,761,518.97</w:t>
            </w:r>
          </w:p>
        </w:tc>
        <w:tc>
          <w:tcPr>
            <w:tcW w:w="1508" w:type="dxa"/>
          </w:tcPr>
          <w:p>
            <w:pPr>
              <w:pStyle w:val="TableParagraph"/>
              <w:spacing w:before="155"/>
              <w:ind w:left="53" w:right="48"/>
              <w:rPr>
                <w:sz w:val="18"/>
              </w:rPr>
            </w:pPr>
            <w:r>
              <w:rPr>
                <w:sz w:val="18"/>
              </w:rPr>
              <w:t>$0.00</w:t>
            </w:r>
          </w:p>
        </w:tc>
        <w:tc>
          <w:tcPr>
            <w:tcW w:w="1661" w:type="dxa"/>
          </w:tcPr>
          <w:p>
            <w:pPr>
              <w:pStyle w:val="TableParagraph"/>
              <w:spacing w:before="155"/>
              <w:ind w:left="53" w:right="52"/>
              <w:rPr>
                <w:sz w:val="18"/>
              </w:rPr>
            </w:pPr>
            <w:r>
              <w:rPr>
                <w:sz w:val="18"/>
              </w:rPr>
              <w:t>$0.00</w:t>
            </w:r>
          </w:p>
        </w:tc>
        <w:tc>
          <w:tcPr>
            <w:tcW w:w="1661" w:type="dxa"/>
          </w:tcPr>
          <w:p>
            <w:pPr>
              <w:pStyle w:val="TableParagraph"/>
              <w:spacing w:before="155"/>
              <w:ind w:left="54" w:right="54"/>
              <w:rPr>
                <w:sz w:val="18"/>
              </w:rPr>
            </w:pPr>
            <w:r>
              <w:rPr>
                <w:sz w:val="18"/>
              </w:rPr>
              <w:t>$177,761,518.97</w:t>
            </w:r>
          </w:p>
        </w:tc>
        <w:tc>
          <w:tcPr>
            <w:tcW w:w="1658" w:type="dxa"/>
          </w:tcPr>
          <w:p>
            <w:pPr>
              <w:pStyle w:val="TableParagraph"/>
              <w:spacing w:before="155"/>
              <w:ind w:left="53" w:right="53"/>
              <w:rPr>
                <w:sz w:val="18"/>
              </w:rPr>
            </w:pPr>
            <w:r>
              <w:rPr>
                <w:sz w:val="18"/>
              </w:rPr>
              <w:t>$4,347,275,836.83</w:t>
            </w:r>
          </w:p>
        </w:tc>
        <w:tc>
          <w:tcPr>
            <w:tcW w:w="1508" w:type="dxa"/>
          </w:tcPr>
          <w:p>
            <w:pPr>
              <w:pStyle w:val="TableParagraph"/>
              <w:spacing w:before="155"/>
              <w:ind w:left="53" w:right="51"/>
              <w:rPr>
                <w:sz w:val="18"/>
              </w:rPr>
            </w:pPr>
            <w:r>
              <w:rPr>
                <w:sz w:val="18"/>
              </w:rPr>
              <w:t>$62,066,801.84</w:t>
            </w:r>
          </w:p>
        </w:tc>
        <w:tc>
          <w:tcPr>
            <w:tcW w:w="1661" w:type="dxa"/>
          </w:tcPr>
          <w:p>
            <w:pPr>
              <w:pStyle w:val="TableParagraph"/>
              <w:spacing w:before="155"/>
              <w:ind w:left="53" w:right="53"/>
              <w:rPr>
                <w:sz w:val="18"/>
              </w:rPr>
            </w:pPr>
            <w:r>
              <w:rPr>
                <w:sz w:val="18"/>
              </w:rPr>
              <w:t>$1,150,704,133.31</w:t>
            </w:r>
          </w:p>
        </w:tc>
        <w:tc>
          <w:tcPr>
            <w:tcW w:w="1661" w:type="dxa"/>
          </w:tcPr>
          <w:p>
            <w:pPr>
              <w:pStyle w:val="TableParagraph"/>
              <w:spacing w:before="155"/>
              <w:ind w:left="52" w:right="54"/>
              <w:rPr>
                <w:sz w:val="18"/>
              </w:rPr>
            </w:pPr>
            <w:r>
              <w:rPr>
                <w:sz w:val="18"/>
              </w:rPr>
              <w:t>$3,134,504,901.68</w:t>
            </w:r>
          </w:p>
        </w:tc>
      </w:tr>
      <w:tr>
        <w:trPr>
          <w:trHeight w:val="518" w:hRule="exact"/>
        </w:trPr>
        <w:tc>
          <w:tcPr>
            <w:tcW w:w="2141" w:type="dxa"/>
          </w:tcPr>
          <w:p>
            <w:pPr>
              <w:pStyle w:val="TableParagraph"/>
              <w:spacing w:before="92"/>
              <w:ind w:left="64" w:right="67"/>
              <w:jc w:val="left"/>
              <w:rPr>
                <w:b/>
                <w:sz w:val="18"/>
              </w:rPr>
            </w:pPr>
            <w:r>
              <w:rPr>
                <w:b/>
                <w:color w:val="333333"/>
                <w:sz w:val="18"/>
              </w:rPr>
              <w:t>NEXTLALPAN</w:t>
            </w:r>
          </w:p>
        </w:tc>
        <w:tc>
          <w:tcPr>
            <w:tcW w:w="1658" w:type="dxa"/>
          </w:tcPr>
          <w:p>
            <w:pPr>
              <w:pStyle w:val="TableParagraph"/>
              <w:spacing w:before="97"/>
              <w:ind w:left="52" w:right="53"/>
              <w:rPr>
                <w:sz w:val="18"/>
              </w:rPr>
            </w:pPr>
            <w:r>
              <w:rPr>
                <w:sz w:val="18"/>
              </w:rPr>
              <w:t>$0.00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54" w:right="56"/>
              <w:rPr>
                <w:sz w:val="18"/>
              </w:rPr>
            </w:pPr>
            <w:r>
              <w:rPr>
                <w:sz w:val="18"/>
              </w:rPr>
              <w:t>$0.00</w:t>
            </w:r>
          </w:p>
        </w:tc>
        <w:tc>
          <w:tcPr>
            <w:tcW w:w="1658" w:type="dxa"/>
          </w:tcPr>
          <w:p>
            <w:pPr>
              <w:pStyle w:val="TableParagraph"/>
              <w:spacing w:before="97"/>
              <w:ind w:left="53" w:right="53"/>
              <w:rPr>
                <w:sz w:val="18"/>
              </w:rPr>
            </w:pPr>
            <w:r>
              <w:rPr>
                <w:sz w:val="18"/>
              </w:rPr>
              <w:t>$111,404,071.72</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53" w:right="53"/>
              <w:rPr>
                <w:sz w:val="18"/>
              </w:rPr>
            </w:pPr>
            <w:r>
              <w:rPr>
                <w:sz w:val="18"/>
              </w:rPr>
              <w:t>$111,404,071.72</w:t>
            </w:r>
          </w:p>
        </w:tc>
      </w:tr>
      <w:tr>
        <w:trPr>
          <w:trHeight w:val="521" w:hRule="exact"/>
        </w:trPr>
        <w:tc>
          <w:tcPr>
            <w:tcW w:w="2141" w:type="dxa"/>
          </w:tcPr>
          <w:p>
            <w:pPr>
              <w:pStyle w:val="TableParagraph"/>
              <w:spacing w:before="95"/>
              <w:ind w:left="64" w:right="67"/>
              <w:jc w:val="left"/>
              <w:rPr>
                <w:b/>
                <w:sz w:val="18"/>
              </w:rPr>
            </w:pPr>
            <w:r>
              <w:rPr>
                <w:b/>
                <w:color w:val="333333"/>
                <w:sz w:val="18"/>
              </w:rPr>
              <w:t>NEZAHUALCOYOTL</w:t>
            </w:r>
          </w:p>
        </w:tc>
        <w:tc>
          <w:tcPr>
            <w:tcW w:w="1658" w:type="dxa"/>
          </w:tcPr>
          <w:p>
            <w:pPr>
              <w:pStyle w:val="TableParagraph"/>
              <w:spacing w:before="100"/>
              <w:ind w:left="52" w:right="53"/>
              <w:rPr>
                <w:sz w:val="18"/>
              </w:rPr>
            </w:pPr>
            <w:r>
              <w:rPr>
                <w:sz w:val="18"/>
              </w:rPr>
              <w:t>$2,643,908,620.27</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3"/>
              <w:rPr>
                <w:sz w:val="18"/>
              </w:rPr>
            </w:pPr>
            <w:r>
              <w:rPr>
                <w:sz w:val="18"/>
              </w:rPr>
              <w:t>$2,607,073,643.93</w:t>
            </w:r>
          </w:p>
        </w:tc>
        <w:tc>
          <w:tcPr>
            <w:tcW w:w="1661" w:type="dxa"/>
          </w:tcPr>
          <w:p>
            <w:pPr>
              <w:pStyle w:val="TableParagraph"/>
              <w:spacing w:before="100"/>
              <w:ind w:left="54" w:right="54"/>
              <w:rPr>
                <w:sz w:val="18"/>
              </w:rPr>
            </w:pPr>
            <w:r>
              <w:rPr>
                <w:sz w:val="18"/>
              </w:rPr>
              <w:t>$36,834,976.34</w:t>
            </w:r>
          </w:p>
        </w:tc>
        <w:tc>
          <w:tcPr>
            <w:tcW w:w="1658" w:type="dxa"/>
          </w:tcPr>
          <w:p>
            <w:pPr>
              <w:pStyle w:val="TableParagraph"/>
              <w:spacing w:before="100"/>
              <w:ind w:left="53" w:right="53"/>
              <w:rPr>
                <w:sz w:val="18"/>
              </w:rPr>
            </w:pPr>
            <w:r>
              <w:rPr>
                <w:sz w:val="18"/>
              </w:rPr>
              <w:t>$2,743,538,939.73</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2" w:right="54"/>
              <w:rPr>
                <w:sz w:val="18"/>
              </w:rPr>
            </w:pPr>
            <w:r>
              <w:rPr>
                <w:sz w:val="18"/>
              </w:rPr>
              <w:t>$2,743,538,939.73</w:t>
            </w:r>
          </w:p>
        </w:tc>
      </w:tr>
      <w:tr>
        <w:trPr>
          <w:trHeight w:val="521" w:hRule="exact"/>
        </w:trPr>
        <w:tc>
          <w:tcPr>
            <w:tcW w:w="2141" w:type="dxa"/>
          </w:tcPr>
          <w:p>
            <w:pPr>
              <w:pStyle w:val="TableParagraph"/>
              <w:spacing w:before="95"/>
              <w:ind w:left="64" w:right="67"/>
              <w:jc w:val="left"/>
              <w:rPr>
                <w:b/>
                <w:sz w:val="18"/>
              </w:rPr>
            </w:pPr>
            <w:r>
              <w:rPr>
                <w:b/>
                <w:color w:val="333333"/>
                <w:sz w:val="18"/>
              </w:rPr>
              <w:t>NICOLAS ROMERO</w:t>
            </w:r>
          </w:p>
        </w:tc>
        <w:tc>
          <w:tcPr>
            <w:tcW w:w="1658" w:type="dxa"/>
          </w:tcPr>
          <w:p>
            <w:pPr>
              <w:pStyle w:val="TableParagraph"/>
              <w:spacing w:before="100"/>
              <w:ind w:left="53" w:right="53"/>
              <w:rPr>
                <w:sz w:val="18"/>
              </w:rPr>
            </w:pPr>
            <w:r>
              <w:rPr>
                <w:sz w:val="18"/>
              </w:rPr>
              <w:t>$798,757,523.21</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1"/>
              <w:rPr>
                <w:sz w:val="18"/>
              </w:rPr>
            </w:pPr>
            <w:r>
              <w:rPr>
                <w:sz w:val="18"/>
              </w:rPr>
              <w:t>$787,646,573.16</w:t>
            </w:r>
          </w:p>
        </w:tc>
        <w:tc>
          <w:tcPr>
            <w:tcW w:w="1661" w:type="dxa"/>
          </w:tcPr>
          <w:p>
            <w:pPr>
              <w:pStyle w:val="TableParagraph"/>
              <w:spacing w:before="100"/>
              <w:ind w:left="54" w:right="54"/>
              <w:rPr>
                <w:sz w:val="18"/>
              </w:rPr>
            </w:pPr>
            <w:r>
              <w:rPr>
                <w:sz w:val="18"/>
              </w:rPr>
              <w:t>$11,110,950.05</w:t>
            </w:r>
          </w:p>
        </w:tc>
        <w:tc>
          <w:tcPr>
            <w:tcW w:w="1658" w:type="dxa"/>
          </w:tcPr>
          <w:p>
            <w:pPr>
              <w:pStyle w:val="TableParagraph"/>
              <w:spacing w:before="100"/>
              <w:ind w:left="53" w:right="53"/>
              <w:rPr>
                <w:sz w:val="18"/>
              </w:rPr>
            </w:pPr>
            <w:r>
              <w:rPr>
                <w:sz w:val="18"/>
              </w:rPr>
              <w:t>$831,005,904.56</w:t>
            </w:r>
          </w:p>
        </w:tc>
        <w:tc>
          <w:tcPr>
            <w:tcW w:w="1508" w:type="dxa"/>
          </w:tcPr>
          <w:p>
            <w:pPr>
              <w:pStyle w:val="TableParagraph"/>
              <w:spacing w:before="100"/>
              <w:ind w:left="53" w:right="48"/>
              <w:rPr>
                <w:sz w:val="18"/>
              </w:rPr>
            </w:pPr>
            <w:r>
              <w:rPr>
                <w:sz w:val="18"/>
              </w:rPr>
              <w:t>$0.02</w:t>
            </w:r>
          </w:p>
        </w:tc>
        <w:tc>
          <w:tcPr>
            <w:tcW w:w="1661" w:type="dxa"/>
          </w:tcPr>
          <w:p>
            <w:pPr>
              <w:pStyle w:val="TableParagraph"/>
              <w:spacing w:before="100"/>
              <w:ind w:left="53" w:right="51"/>
              <w:rPr>
                <w:sz w:val="18"/>
              </w:rPr>
            </w:pPr>
            <w:r>
              <w:rPr>
                <w:sz w:val="18"/>
              </w:rPr>
              <w:t>$653,127,179.45</w:t>
            </w:r>
          </w:p>
        </w:tc>
        <w:tc>
          <w:tcPr>
            <w:tcW w:w="1661" w:type="dxa"/>
          </w:tcPr>
          <w:p>
            <w:pPr>
              <w:pStyle w:val="TableParagraph"/>
              <w:spacing w:before="100"/>
              <w:ind w:left="53" w:right="53"/>
              <w:rPr>
                <w:sz w:val="18"/>
              </w:rPr>
            </w:pPr>
            <w:r>
              <w:rPr>
                <w:sz w:val="18"/>
              </w:rPr>
              <w:t>$177,878,725.09</w:t>
            </w:r>
          </w:p>
        </w:tc>
      </w:tr>
      <w:tr>
        <w:trPr>
          <w:trHeight w:val="518" w:hRule="exact"/>
        </w:trPr>
        <w:tc>
          <w:tcPr>
            <w:tcW w:w="2141" w:type="dxa"/>
          </w:tcPr>
          <w:p>
            <w:pPr>
              <w:pStyle w:val="TableParagraph"/>
              <w:spacing w:before="92"/>
              <w:ind w:left="64" w:right="67"/>
              <w:jc w:val="left"/>
              <w:rPr>
                <w:b/>
                <w:sz w:val="18"/>
              </w:rPr>
            </w:pPr>
            <w:r>
              <w:rPr>
                <w:b/>
                <w:color w:val="333333"/>
                <w:sz w:val="18"/>
              </w:rPr>
              <w:t>NOPALTEPEC</w:t>
            </w:r>
          </w:p>
        </w:tc>
        <w:tc>
          <w:tcPr>
            <w:tcW w:w="1658" w:type="dxa"/>
          </w:tcPr>
          <w:p>
            <w:pPr>
              <w:pStyle w:val="TableParagraph"/>
              <w:spacing w:before="97"/>
              <w:ind w:left="52" w:right="53"/>
              <w:rPr>
                <w:sz w:val="18"/>
              </w:rPr>
            </w:pPr>
            <w:r>
              <w:rPr>
                <w:sz w:val="18"/>
              </w:rPr>
              <w:t>$0.00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54" w:right="56"/>
              <w:rPr>
                <w:sz w:val="18"/>
              </w:rPr>
            </w:pPr>
            <w:r>
              <w:rPr>
                <w:sz w:val="18"/>
              </w:rPr>
              <w:t>$0.00</w:t>
            </w:r>
          </w:p>
        </w:tc>
        <w:tc>
          <w:tcPr>
            <w:tcW w:w="1658" w:type="dxa"/>
          </w:tcPr>
          <w:p>
            <w:pPr>
              <w:pStyle w:val="TableParagraph"/>
              <w:spacing w:before="97"/>
              <w:ind w:left="53" w:right="52"/>
              <w:rPr>
                <w:sz w:val="18"/>
              </w:rPr>
            </w:pPr>
            <w:r>
              <w:rPr>
                <w:sz w:val="18"/>
              </w:rPr>
              <w:t>$66,836,975.57</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0"/>
              <w:rPr>
                <w:sz w:val="18"/>
              </w:rPr>
            </w:pPr>
            <w:r>
              <w:rPr>
                <w:sz w:val="18"/>
              </w:rPr>
              <w:t>$43,284,605.09</w:t>
            </w:r>
          </w:p>
        </w:tc>
        <w:tc>
          <w:tcPr>
            <w:tcW w:w="1661" w:type="dxa"/>
          </w:tcPr>
          <w:p>
            <w:pPr>
              <w:pStyle w:val="TableParagraph"/>
              <w:spacing w:before="97"/>
              <w:ind w:left="53" w:right="54"/>
              <w:rPr>
                <w:sz w:val="18"/>
              </w:rPr>
            </w:pPr>
            <w:r>
              <w:rPr>
                <w:sz w:val="18"/>
              </w:rPr>
              <w:t>$23,552,370.48</w:t>
            </w:r>
          </w:p>
        </w:tc>
      </w:tr>
      <w:tr>
        <w:trPr>
          <w:trHeight w:val="521" w:hRule="exact"/>
        </w:trPr>
        <w:tc>
          <w:tcPr>
            <w:tcW w:w="2141" w:type="dxa"/>
          </w:tcPr>
          <w:p>
            <w:pPr>
              <w:pStyle w:val="TableParagraph"/>
              <w:spacing w:before="95"/>
              <w:ind w:left="64" w:right="67"/>
              <w:jc w:val="left"/>
              <w:rPr>
                <w:b/>
                <w:sz w:val="18"/>
              </w:rPr>
            </w:pPr>
            <w:r>
              <w:rPr>
                <w:b/>
                <w:color w:val="333333"/>
                <w:sz w:val="18"/>
              </w:rPr>
              <w:t>OCOYOACAC</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3" w:right="53"/>
              <w:rPr>
                <w:sz w:val="18"/>
              </w:rPr>
            </w:pPr>
            <w:r>
              <w:rPr>
                <w:sz w:val="18"/>
              </w:rPr>
              <w:t>$172,580,380.00</w:t>
            </w:r>
          </w:p>
        </w:tc>
        <w:tc>
          <w:tcPr>
            <w:tcW w:w="1508" w:type="dxa"/>
          </w:tcPr>
          <w:p>
            <w:pPr>
              <w:pStyle w:val="TableParagraph"/>
              <w:spacing w:before="100"/>
              <w:ind w:left="53" w:right="51"/>
              <w:rPr>
                <w:sz w:val="18"/>
              </w:rPr>
            </w:pPr>
            <w:r>
              <w:rPr>
                <w:sz w:val="18"/>
              </w:rPr>
              <w:t>$33,503,190.00</w:t>
            </w:r>
          </w:p>
        </w:tc>
        <w:tc>
          <w:tcPr>
            <w:tcW w:w="1661" w:type="dxa"/>
          </w:tcPr>
          <w:p>
            <w:pPr>
              <w:pStyle w:val="TableParagraph"/>
              <w:spacing w:before="100"/>
              <w:ind w:left="53" w:right="51"/>
              <w:rPr>
                <w:sz w:val="18"/>
              </w:rPr>
            </w:pPr>
            <w:r>
              <w:rPr>
                <w:sz w:val="18"/>
              </w:rPr>
              <w:t>$194,146,590.00</w:t>
            </w:r>
          </w:p>
        </w:tc>
        <w:tc>
          <w:tcPr>
            <w:tcW w:w="1661" w:type="dxa"/>
          </w:tcPr>
          <w:p>
            <w:pPr>
              <w:pStyle w:val="TableParagraph"/>
              <w:spacing w:before="100"/>
              <w:ind w:left="53" w:right="54"/>
              <w:rPr>
                <w:sz w:val="18"/>
              </w:rPr>
            </w:pPr>
            <w:r>
              <w:rPr>
                <w:sz w:val="18"/>
              </w:rPr>
              <w:t>$11,936,980.00</w:t>
            </w:r>
          </w:p>
        </w:tc>
      </w:tr>
      <w:tr>
        <w:trPr>
          <w:trHeight w:val="521" w:hRule="exact"/>
        </w:trPr>
        <w:tc>
          <w:tcPr>
            <w:tcW w:w="2141" w:type="dxa"/>
          </w:tcPr>
          <w:p>
            <w:pPr>
              <w:pStyle w:val="TableParagraph"/>
              <w:spacing w:before="95"/>
              <w:ind w:left="64" w:right="67"/>
              <w:jc w:val="left"/>
              <w:rPr>
                <w:b/>
                <w:sz w:val="18"/>
              </w:rPr>
            </w:pPr>
            <w:r>
              <w:rPr>
                <w:b/>
                <w:color w:val="333333"/>
                <w:sz w:val="18"/>
              </w:rPr>
              <w:t>OCUILAN</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3" w:right="53"/>
              <w:rPr>
                <w:sz w:val="18"/>
              </w:rPr>
            </w:pPr>
            <w:r>
              <w:rPr>
                <w:sz w:val="18"/>
              </w:rPr>
              <w:t>$168,972,447.00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1"/>
              <w:rPr>
                <w:sz w:val="18"/>
              </w:rPr>
            </w:pPr>
            <w:r>
              <w:rPr>
                <w:sz w:val="18"/>
              </w:rPr>
              <w:t>$122,302,745.18</w:t>
            </w:r>
          </w:p>
        </w:tc>
        <w:tc>
          <w:tcPr>
            <w:tcW w:w="1661" w:type="dxa"/>
          </w:tcPr>
          <w:p>
            <w:pPr>
              <w:pStyle w:val="TableParagraph"/>
              <w:spacing w:before="100"/>
              <w:ind w:left="53" w:right="54"/>
              <w:rPr>
                <w:sz w:val="18"/>
              </w:rPr>
            </w:pPr>
            <w:r>
              <w:rPr>
                <w:sz w:val="18"/>
              </w:rPr>
              <w:t>$46,669,701.82</w:t>
            </w:r>
          </w:p>
        </w:tc>
      </w:tr>
      <w:tr>
        <w:trPr>
          <w:trHeight w:val="518" w:hRule="exact"/>
        </w:trPr>
        <w:tc>
          <w:tcPr>
            <w:tcW w:w="2141" w:type="dxa"/>
          </w:tcPr>
          <w:p>
            <w:pPr>
              <w:pStyle w:val="TableParagraph"/>
              <w:spacing w:before="92"/>
              <w:ind w:left="64" w:right="67"/>
              <w:jc w:val="left"/>
              <w:rPr>
                <w:b/>
                <w:sz w:val="18"/>
              </w:rPr>
            </w:pPr>
            <w:r>
              <w:rPr>
                <w:b/>
                <w:color w:val="333333"/>
                <w:sz w:val="18"/>
              </w:rPr>
              <w:t>OTUMBA</w:t>
            </w:r>
          </w:p>
        </w:tc>
        <w:tc>
          <w:tcPr>
            <w:tcW w:w="1658" w:type="dxa"/>
          </w:tcPr>
          <w:p>
            <w:pPr>
              <w:pStyle w:val="TableParagraph"/>
              <w:spacing w:before="97"/>
              <w:ind w:left="52" w:right="53"/>
              <w:rPr>
                <w:sz w:val="18"/>
              </w:rPr>
            </w:pPr>
            <w:r>
              <w:rPr>
                <w:sz w:val="18"/>
              </w:rPr>
              <w:t>$0.00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54" w:right="56"/>
              <w:rPr>
                <w:sz w:val="18"/>
              </w:rPr>
            </w:pPr>
            <w:r>
              <w:rPr>
                <w:sz w:val="18"/>
              </w:rPr>
              <w:t>$0.00</w:t>
            </w:r>
          </w:p>
        </w:tc>
        <w:tc>
          <w:tcPr>
            <w:tcW w:w="1658" w:type="dxa"/>
          </w:tcPr>
          <w:p>
            <w:pPr>
              <w:pStyle w:val="TableParagraph"/>
              <w:spacing w:before="97"/>
              <w:ind w:left="53" w:right="53"/>
              <w:rPr>
                <w:sz w:val="18"/>
              </w:rPr>
            </w:pPr>
            <w:r>
              <w:rPr>
                <w:sz w:val="18"/>
              </w:rPr>
              <w:t>$133,665,188.00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0"/>
              <w:rPr>
                <w:sz w:val="18"/>
              </w:rPr>
            </w:pPr>
            <w:r>
              <w:rPr>
                <w:sz w:val="18"/>
              </w:rPr>
              <w:t>$91,082,704.75</w:t>
            </w:r>
          </w:p>
        </w:tc>
        <w:tc>
          <w:tcPr>
            <w:tcW w:w="1661" w:type="dxa"/>
          </w:tcPr>
          <w:p>
            <w:pPr>
              <w:pStyle w:val="TableParagraph"/>
              <w:spacing w:before="97"/>
              <w:ind w:left="53" w:right="54"/>
              <w:rPr>
                <w:sz w:val="18"/>
              </w:rPr>
            </w:pPr>
            <w:r>
              <w:rPr>
                <w:sz w:val="18"/>
              </w:rPr>
              <w:t>$42,582,483.25</w:t>
            </w:r>
          </w:p>
        </w:tc>
      </w:tr>
      <w:tr>
        <w:trPr>
          <w:trHeight w:val="521" w:hRule="exact"/>
        </w:trPr>
        <w:tc>
          <w:tcPr>
            <w:tcW w:w="2141" w:type="dxa"/>
          </w:tcPr>
          <w:p>
            <w:pPr>
              <w:pStyle w:val="TableParagraph"/>
              <w:spacing w:before="95"/>
              <w:ind w:left="64" w:right="67"/>
              <w:jc w:val="left"/>
              <w:rPr>
                <w:b/>
                <w:sz w:val="18"/>
              </w:rPr>
            </w:pPr>
            <w:r>
              <w:rPr>
                <w:b/>
                <w:color w:val="333333"/>
                <w:sz w:val="18"/>
              </w:rPr>
              <w:t>OTZOLOAPAN</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3" w:right="54"/>
              <w:rPr>
                <w:sz w:val="18"/>
              </w:rPr>
            </w:pPr>
            <w:r>
              <w:rPr>
                <w:sz w:val="18"/>
              </w:rPr>
              <w:t>$0.00</w:t>
            </w:r>
          </w:p>
        </w:tc>
      </w:tr>
      <w:tr>
        <w:trPr>
          <w:trHeight w:val="521" w:hRule="exact"/>
        </w:trPr>
        <w:tc>
          <w:tcPr>
            <w:tcW w:w="2141" w:type="dxa"/>
          </w:tcPr>
          <w:p>
            <w:pPr>
              <w:pStyle w:val="TableParagraph"/>
              <w:spacing w:before="95"/>
              <w:ind w:left="64" w:right="67"/>
              <w:jc w:val="left"/>
              <w:rPr>
                <w:b/>
                <w:sz w:val="18"/>
              </w:rPr>
            </w:pPr>
            <w:r>
              <w:rPr>
                <w:b/>
                <w:color w:val="333333"/>
                <w:sz w:val="18"/>
              </w:rPr>
              <w:t>OTZOLOTEPEC</w:t>
            </w:r>
          </w:p>
        </w:tc>
        <w:tc>
          <w:tcPr>
            <w:tcW w:w="1658" w:type="dxa"/>
          </w:tcPr>
          <w:p>
            <w:pPr>
              <w:pStyle w:val="TableParagraph"/>
              <w:spacing w:before="100"/>
              <w:ind w:left="53" w:right="53"/>
              <w:rPr>
                <w:sz w:val="18"/>
              </w:rPr>
            </w:pPr>
            <w:r>
              <w:rPr>
                <w:sz w:val="18"/>
              </w:rPr>
              <w:t>$173,355,976.40</w:t>
            </w:r>
          </w:p>
        </w:tc>
        <w:tc>
          <w:tcPr>
            <w:tcW w:w="1508" w:type="dxa"/>
          </w:tcPr>
          <w:p>
            <w:pPr>
              <w:pStyle w:val="TableParagraph"/>
              <w:spacing w:before="100"/>
              <w:ind w:left="53" w:right="49"/>
              <w:rPr>
                <w:sz w:val="18"/>
              </w:rPr>
            </w:pPr>
            <w:r>
              <w:rPr>
                <w:sz w:val="18"/>
              </w:rPr>
              <w:t>$3,178,176.26</w:t>
            </w:r>
          </w:p>
        </w:tc>
        <w:tc>
          <w:tcPr>
            <w:tcW w:w="1661" w:type="dxa"/>
          </w:tcPr>
          <w:p>
            <w:pPr>
              <w:pStyle w:val="TableParagraph"/>
              <w:spacing w:before="100"/>
              <w:ind w:left="53" w:right="51"/>
              <w:rPr>
                <w:sz w:val="18"/>
              </w:rPr>
            </w:pPr>
            <w:r>
              <w:rPr>
                <w:sz w:val="18"/>
              </w:rPr>
              <w:t>$169,286,340.00</w:t>
            </w:r>
          </w:p>
        </w:tc>
        <w:tc>
          <w:tcPr>
            <w:tcW w:w="1661" w:type="dxa"/>
          </w:tcPr>
          <w:p>
            <w:pPr>
              <w:pStyle w:val="TableParagraph"/>
              <w:spacing w:before="100"/>
              <w:ind w:left="54" w:right="56"/>
              <w:rPr>
                <w:sz w:val="18"/>
              </w:rPr>
            </w:pPr>
            <w:r>
              <w:rPr>
                <w:sz w:val="18"/>
              </w:rPr>
              <w:t>$7,247,812.66</w:t>
            </w:r>
          </w:p>
        </w:tc>
        <w:tc>
          <w:tcPr>
            <w:tcW w:w="1658" w:type="dxa"/>
          </w:tcPr>
          <w:p>
            <w:pPr>
              <w:pStyle w:val="TableParagraph"/>
              <w:spacing w:before="100"/>
              <w:ind w:left="53" w:right="53"/>
              <w:rPr>
                <w:sz w:val="18"/>
              </w:rPr>
            </w:pPr>
            <w:r>
              <w:rPr>
                <w:sz w:val="18"/>
              </w:rPr>
              <w:t>$200,481,739.47</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1"/>
              <w:rPr>
                <w:sz w:val="18"/>
              </w:rPr>
            </w:pPr>
            <w:r>
              <w:rPr>
                <w:sz w:val="18"/>
              </w:rPr>
              <w:t>$169,211,863.90</w:t>
            </w:r>
          </w:p>
        </w:tc>
        <w:tc>
          <w:tcPr>
            <w:tcW w:w="1661" w:type="dxa"/>
          </w:tcPr>
          <w:p>
            <w:pPr>
              <w:pStyle w:val="TableParagraph"/>
              <w:spacing w:before="100"/>
              <w:ind w:left="53" w:right="54"/>
              <w:rPr>
                <w:sz w:val="18"/>
              </w:rPr>
            </w:pPr>
            <w:r>
              <w:rPr>
                <w:sz w:val="18"/>
              </w:rPr>
              <w:t>$31,269,875.57</w:t>
            </w:r>
          </w:p>
        </w:tc>
      </w:tr>
    </w:tbl>
    <w:p>
      <w:pPr>
        <w:spacing w:after="0"/>
        <w:rPr>
          <w:sz w:val="18"/>
        </w:rPr>
        <w:sectPr>
          <w:pgSz w:w="15840" w:h="12240" w:orient="landscape"/>
          <w:pgMar w:header="0" w:footer="975" w:top="1140" w:bottom="1160" w:left="240" w:right="240"/>
        </w:sectPr>
      </w:pPr>
    </w:p>
    <w:p>
      <w:pPr>
        <w:pStyle w:val="BodyText"/>
        <w:rPr>
          <w:rFonts w:ascii="Times New Roman"/>
          <w:sz w:val="20"/>
        </w:rPr>
      </w:pPr>
    </w:p>
    <w:p>
      <w:pPr>
        <w:pStyle w:val="BodyText"/>
        <w:spacing w:before="10"/>
        <w:rPr>
          <w:rFonts w:ascii="Times New Roman"/>
          <w:sz w:val="28"/>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41"/>
        <w:gridCol w:w="1658"/>
        <w:gridCol w:w="1508"/>
        <w:gridCol w:w="1661"/>
        <w:gridCol w:w="1661"/>
        <w:gridCol w:w="1658"/>
        <w:gridCol w:w="1508"/>
        <w:gridCol w:w="1661"/>
        <w:gridCol w:w="1661"/>
      </w:tblGrid>
      <w:tr>
        <w:trPr>
          <w:trHeight w:val="430" w:hRule="exact"/>
        </w:trPr>
        <w:tc>
          <w:tcPr>
            <w:tcW w:w="15117" w:type="dxa"/>
            <w:gridSpan w:val="9"/>
            <w:shd w:val="clear" w:color="auto" w:fill="C5DFB3"/>
          </w:tcPr>
          <w:p>
            <w:pPr>
              <w:pStyle w:val="TableParagraph"/>
              <w:spacing w:before="49"/>
              <w:ind w:left="3900"/>
              <w:jc w:val="left"/>
              <w:rPr>
                <w:b/>
                <w:sz w:val="18"/>
              </w:rPr>
            </w:pPr>
            <w:r>
              <w:rPr>
                <w:b/>
                <w:sz w:val="18"/>
              </w:rPr>
              <w:t>Anexo 24C. Municipios que publican apartado presupuesto 2012-2013 (Continuación)</w:t>
            </w:r>
          </w:p>
        </w:tc>
      </w:tr>
      <w:tr>
        <w:trPr>
          <w:trHeight w:val="320" w:hRule="exact"/>
        </w:trPr>
        <w:tc>
          <w:tcPr>
            <w:tcW w:w="2141"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23"/>
              </w:rPr>
            </w:pPr>
          </w:p>
          <w:p>
            <w:pPr>
              <w:pStyle w:val="TableParagraph"/>
              <w:ind w:left="643" w:right="67"/>
              <w:jc w:val="left"/>
              <w:rPr>
                <w:b/>
                <w:sz w:val="18"/>
              </w:rPr>
            </w:pPr>
            <w:r>
              <w:rPr>
                <w:b/>
                <w:sz w:val="18"/>
              </w:rPr>
              <w:t>Municipio</w:t>
            </w:r>
          </w:p>
        </w:tc>
        <w:tc>
          <w:tcPr>
            <w:tcW w:w="6488" w:type="dxa"/>
            <w:gridSpan w:val="4"/>
            <w:shd w:val="clear" w:color="auto" w:fill="C5DFB3"/>
          </w:tcPr>
          <w:p>
            <w:pPr>
              <w:pStyle w:val="TableParagraph"/>
              <w:spacing w:line="201" w:lineRule="exact"/>
              <w:ind w:left="3020" w:right="3018"/>
              <w:rPr>
                <w:b/>
                <w:sz w:val="18"/>
              </w:rPr>
            </w:pPr>
            <w:r>
              <w:rPr>
                <w:b/>
                <w:sz w:val="18"/>
              </w:rPr>
              <w:t>2012</w:t>
            </w:r>
          </w:p>
        </w:tc>
        <w:tc>
          <w:tcPr>
            <w:tcW w:w="6488" w:type="dxa"/>
            <w:gridSpan w:val="4"/>
            <w:shd w:val="clear" w:color="auto" w:fill="C5DFB3"/>
          </w:tcPr>
          <w:p>
            <w:pPr>
              <w:pStyle w:val="TableParagraph"/>
              <w:spacing w:line="201" w:lineRule="exact"/>
              <w:ind w:left="3019" w:right="3018"/>
              <w:rPr>
                <w:b/>
                <w:sz w:val="18"/>
              </w:rPr>
            </w:pPr>
            <w:r>
              <w:rPr>
                <w:b/>
                <w:sz w:val="18"/>
              </w:rPr>
              <w:t>2013</w:t>
            </w:r>
          </w:p>
        </w:tc>
      </w:tr>
      <w:tr>
        <w:trPr>
          <w:trHeight w:val="1374" w:hRule="exact"/>
        </w:trPr>
        <w:tc>
          <w:tcPr>
            <w:tcW w:w="2141" w:type="dxa"/>
            <w:vMerge/>
            <w:shd w:val="clear" w:color="auto" w:fill="C5DFB3"/>
          </w:tcPr>
          <w:p>
            <w:pPr/>
          </w:p>
        </w:tc>
        <w:tc>
          <w:tcPr>
            <w:tcW w:w="165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w w:val="100"/>
                <w:sz w:val="18"/>
              </w:rPr>
              <w:t>Autoriz</w:t>
            </w:r>
            <w:r>
              <w:rPr>
                <w:b/>
                <w:w w:val="99"/>
                <w:sz w:val="18"/>
              </w:rPr>
              <w:t>a</w:t>
            </w:r>
            <w:r>
              <w:rPr>
                <w:b/>
                <w:w w:val="100"/>
                <w:sz w:val="18"/>
              </w:rPr>
              <w:t>do</w:t>
            </w:r>
          </w:p>
        </w:tc>
        <w:tc>
          <w:tcPr>
            <w:tcW w:w="150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15"/>
              </w:rPr>
            </w:pPr>
          </w:p>
          <w:p>
            <w:pPr>
              <w:pStyle w:val="TableParagraph"/>
              <w:ind w:left="206"/>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326"/>
              <w:jc w:val="left"/>
              <w:rPr>
                <w:b/>
                <w:sz w:val="18"/>
              </w:rPr>
            </w:pPr>
            <w:r>
              <w:rPr>
                <w:b/>
                <w:w w:val="100"/>
                <w:sz w:val="18"/>
              </w:rPr>
              <w:t>Eje</w:t>
            </w:r>
            <w:r>
              <w:rPr>
                <w:b/>
                <w:w w:val="99"/>
                <w:sz w:val="18"/>
              </w:rPr>
              <w:t>rci</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211"/>
              <w:jc w:val="left"/>
              <w:rPr>
                <w:b/>
                <w:sz w:val="18"/>
              </w:rPr>
            </w:pPr>
            <w:r>
              <w:rPr>
                <w:b/>
                <w:sz w:val="18"/>
              </w:rPr>
              <w:t>Por </w:t>
            </w:r>
            <w:r>
              <w:rPr>
                <w:b/>
                <w:w w:val="99"/>
                <w:sz w:val="18"/>
              </w:rPr>
              <w:t>e</w:t>
            </w:r>
            <w:r>
              <w:rPr>
                <w:b/>
                <w:w w:val="100"/>
                <w:sz w:val="18"/>
              </w:rPr>
              <w:t>je</w:t>
            </w:r>
            <w:r>
              <w:rPr>
                <w:b/>
                <w:w w:val="99"/>
                <w:sz w:val="18"/>
              </w:rPr>
              <w:t>rcer</w:t>
            </w:r>
          </w:p>
        </w:tc>
        <w:tc>
          <w:tcPr>
            <w:tcW w:w="165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w w:val="100"/>
                <w:sz w:val="18"/>
              </w:rPr>
              <w:t>Autoriz</w:t>
            </w:r>
            <w:r>
              <w:rPr>
                <w:b/>
                <w:w w:val="99"/>
                <w:sz w:val="18"/>
              </w:rPr>
              <w:t>a</w:t>
            </w:r>
            <w:r>
              <w:rPr>
                <w:b/>
                <w:w w:val="100"/>
                <w:sz w:val="18"/>
              </w:rPr>
              <w:t>do</w:t>
            </w:r>
          </w:p>
        </w:tc>
        <w:tc>
          <w:tcPr>
            <w:tcW w:w="150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15"/>
              </w:rPr>
            </w:pPr>
          </w:p>
          <w:p>
            <w:pPr>
              <w:pStyle w:val="TableParagraph"/>
              <w:ind w:left="206"/>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326"/>
              <w:jc w:val="left"/>
              <w:rPr>
                <w:b/>
                <w:sz w:val="18"/>
              </w:rPr>
            </w:pPr>
            <w:r>
              <w:rPr>
                <w:b/>
                <w:w w:val="100"/>
                <w:sz w:val="18"/>
              </w:rPr>
              <w:t>Eje</w:t>
            </w:r>
            <w:r>
              <w:rPr>
                <w:b/>
                <w:w w:val="99"/>
                <w:sz w:val="18"/>
              </w:rPr>
              <w:t>rci</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sz w:val="18"/>
              </w:rPr>
              <w:t>Por </w:t>
            </w:r>
            <w:r>
              <w:rPr>
                <w:b/>
                <w:w w:val="99"/>
                <w:sz w:val="18"/>
              </w:rPr>
              <w:t>e</w:t>
            </w:r>
            <w:r>
              <w:rPr>
                <w:b/>
                <w:w w:val="100"/>
                <w:sz w:val="18"/>
              </w:rPr>
              <w:t>je</w:t>
            </w:r>
            <w:r>
              <w:rPr>
                <w:b/>
                <w:w w:val="99"/>
                <w:sz w:val="18"/>
              </w:rPr>
              <w:t>rcer</w:t>
            </w:r>
          </w:p>
        </w:tc>
      </w:tr>
      <w:tr>
        <w:trPr>
          <w:trHeight w:val="521" w:hRule="exact"/>
        </w:trPr>
        <w:tc>
          <w:tcPr>
            <w:tcW w:w="2141" w:type="dxa"/>
          </w:tcPr>
          <w:p>
            <w:pPr>
              <w:pStyle w:val="TableParagraph"/>
              <w:spacing w:before="95"/>
              <w:ind w:left="64" w:right="67"/>
              <w:jc w:val="left"/>
              <w:rPr>
                <w:b/>
                <w:sz w:val="18"/>
              </w:rPr>
            </w:pPr>
            <w:r>
              <w:rPr>
                <w:b/>
                <w:color w:val="333333"/>
                <w:sz w:val="18"/>
              </w:rPr>
              <w:t>OZUMBA</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3" w:right="53"/>
              <w:rPr>
                <w:sz w:val="18"/>
              </w:rPr>
            </w:pPr>
            <w:r>
              <w:rPr>
                <w:sz w:val="18"/>
              </w:rPr>
              <w:t>$109,294,292.00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right="196"/>
              <w:jc w:val="right"/>
              <w:rPr>
                <w:sz w:val="18"/>
              </w:rPr>
            </w:pPr>
            <w:r>
              <w:rPr>
                <w:sz w:val="18"/>
              </w:rPr>
              <w:t>$90,280,380.36</w:t>
            </w:r>
          </w:p>
        </w:tc>
        <w:tc>
          <w:tcPr>
            <w:tcW w:w="1661" w:type="dxa"/>
          </w:tcPr>
          <w:p>
            <w:pPr>
              <w:pStyle w:val="TableParagraph"/>
              <w:spacing w:before="100"/>
              <w:ind w:left="199"/>
              <w:jc w:val="left"/>
              <w:rPr>
                <w:sz w:val="18"/>
              </w:rPr>
            </w:pPr>
            <w:r>
              <w:rPr>
                <w:sz w:val="18"/>
              </w:rPr>
              <w:t>$19,013,911.64</w:t>
            </w:r>
          </w:p>
        </w:tc>
      </w:tr>
      <w:tr>
        <w:trPr>
          <w:trHeight w:val="521" w:hRule="exact"/>
        </w:trPr>
        <w:tc>
          <w:tcPr>
            <w:tcW w:w="2141" w:type="dxa"/>
          </w:tcPr>
          <w:p>
            <w:pPr>
              <w:pStyle w:val="TableParagraph"/>
              <w:spacing w:before="95"/>
              <w:ind w:left="64" w:right="67"/>
              <w:jc w:val="left"/>
              <w:rPr>
                <w:b/>
                <w:sz w:val="18"/>
              </w:rPr>
            </w:pPr>
            <w:r>
              <w:rPr>
                <w:b/>
                <w:color w:val="333333"/>
                <w:sz w:val="18"/>
              </w:rPr>
              <w:t>PAPALOTLA</w:t>
            </w:r>
          </w:p>
        </w:tc>
        <w:tc>
          <w:tcPr>
            <w:tcW w:w="1658" w:type="dxa"/>
          </w:tcPr>
          <w:p>
            <w:pPr>
              <w:pStyle w:val="TableParagraph"/>
              <w:spacing w:before="100"/>
              <w:ind w:left="53" w:right="53"/>
              <w:rPr>
                <w:sz w:val="18"/>
              </w:rPr>
            </w:pPr>
            <w:r>
              <w:rPr>
                <w:sz w:val="18"/>
              </w:rPr>
              <w:t>$12,545,893.00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4"/>
              <w:rPr>
                <w:sz w:val="18"/>
              </w:rPr>
            </w:pPr>
            <w:r>
              <w:rPr>
                <w:sz w:val="18"/>
              </w:rPr>
              <w:t>$12,545,893.00</w:t>
            </w:r>
          </w:p>
        </w:tc>
        <w:tc>
          <w:tcPr>
            <w:tcW w:w="1658" w:type="dxa"/>
          </w:tcPr>
          <w:p>
            <w:pPr>
              <w:pStyle w:val="TableParagraph"/>
              <w:spacing w:before="100"/>
              <w:ind w:left="53" w:right="53"/>
              <w:rPr>
                <w:sz w:val="18"/>
              </w:rPr>
            </w:pPr>
            <w:r>
              <w:rPr>
                <w:sz w:val="18"/>
              </w:rPr>
              <w:t>$14,680,512.00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199"/>
              <w:jc w:val="left"/>
              <w:rPr>
                <w:sz w:val="18"/>
              </w:rPr>
            </w:pPr>
            <w:r>
              <w:rPr>
                <w:sz w:val="18"/>
              </w:rPr>
              <w:t>$14,680,512.00</w:t>
            </w:r>
          </w:p>
        </w:tc>
      </w:tr>
      <w:tr>
        <w:trPr>
          <w:trHeight w:val="518" w:hRule="exact"/>
        </w:trPr>
        <w:tc>
          <w:tcPr>
            <w:tcW w:w="2141" w:type="dxa"/>
          </w:tcPr>
          <w:p>
            <w:pPr>
              <w:pStyle w:val="TableParagraph"/>
              <w:spacing w:before="92"/>
              <w:ind w:left="64" w:right="67"/>
              <w:jc w:val="left"/>
              <w:rPr>
                <w:b/>
                <w:sz w:val="18"/>
              </w:rPr>
            </w:pPr>
            <w:r>
              <w:rPr>
                <w:b/>
                <w:color w:val="333333"/>
                <w:sz w:val="18"/>
              </w:rPr>
              <w:t>POLOTITLAN</w:t>
            </w:r>
          </w:p>
        </w:tc>
        <w:tc>
          <w:tcPr>
            <w:tcW w:w="1658" w:type="dxa"/>
          </w:tcPr>
          <w:p>
            <w:pPr>
              <w:pStyle w:val="TableParagraph"/>
              <w:spacing w:before="97"/>
              <w:ind w:left="52" w:right="53"/>
              <w:rPr>
                <w:sz w:val="18"/>
              </w:rPr>
            </w:pPr>
            <w:r>
              <w:rPr>
                <w:sz w:val="18"/>
              </w:rPr>
              <w:t>$0.00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54" w:right="56"/>
              <w:rPr>
                <w:sz w:val="18"/>
              </w:rPr>
            </w:pPr>
            <w:r>
              <w:rPr>
                <w:sz w:val="18"/>
              </w:rPr>
              <w:t>$0.00</w:t>
            </w:r>
          </w:p>
        </w:tc>
        <w:tc>
          <w:tcPr>
            <w:tcW w:w="1658" w:type="dxa"/>
          </w:tcPr>
          <w:p>
            <w:pPr>
              <w:pStyle w:val="TableParagraph"/>
              <w:spacing w:before="97"/>
              <w:ind w:left="53" w:right="53"/>
              <w:rPr>
                <w:sz w:val="18"/>
              </w:rPr>
            </w:pPr>
            <w:r>
              <w:rPr>
                <w:sz w:val="18"/>
              </w:rPr>
              <w:t>$110,769,494.12</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148"/>
              <w:jc w:val="left"/>
              <w:rPr>
                <w:sz w:val="18"/>
              </w:rPr>
            </w:pPr>
            <w:r>
              <w:rPr>
                <w:sz w:val="18"/>
              </w:rPr>
              <w:t>$110,769,494.12</w:t>
            </w:r>
          </w:p>
        </w:tc>
      </w:tr>
      <w:tr>
        <w:trPr>
          <w:trHeight w:val="521" w:hRule="exact"/>
        </w:trPr>
        <w:tc>
          <w:tcPr>
            <w:tcW w:w="2141" w:type="dxa"/>
          </w:tcPr>
          <w:p>
            <w:pPr>
              <w:pStyle w:val="TableParagraph"/>
              <w:spacing w:before="95"/>
              <w:ind w:left="64" w:right="67"/>
              <w:jc w:val="left"/>
              <w:rPr>
                <w:b/>
                <w:sz w:val="18"/>
              </w:rPr>
            </w:pPr>
            <w:r>
              <w:rPr>
                <w:b/>
                <w:color w:val="333333"/>
                <w:sz w:val="18"/>
              </w:rPr>
              <w:t>RAYON</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3" w:right="53"/>
              <w:rPr>
                <w:sz w:val="18"/>
              </w:rPr>
            </w:pPr>
            <w:r>
              <w:rPr>
                <w:sz w:val="18"/>
              </w:rPr>
              <w:t>$53,853,313.00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199"/>
              <w:jc w:val="left"/>
              <w:rPr>
                <w:sz w:val="18"/>
              </w:rPr>
            </w:pPr>
            <w:r>
              <w:rPr>
                <w:sz w:val="18"/>
              </w:rPr>
              <w:t>$53,853,313.00</w:t>
            </w:r>
          </w:p>
        </w:tc>
      </w:tr>
      <w:tr>
        <w:trPr>
          <w:trHeight w:val="521" w:hRule="exact"/>
        </w:trPr>
        <w:tc>
          <w:tcPr>
            <w:tcW w:w="2141" w:type="dxa"/>
          </w:tcPr>
          <w:p>
            <w:pPr>
              <w:pStyle w:val="TableParagraph"/>
              <w:spacing w:before="95"/>
              <w:ind w:left="64"/>
              <w:jc w:val="left"/>
              <w:rPr>
                <w:b/>
                <w:sz w:val="18"/>
              </w:rPr>
            </w:pPr>
            <w:r>
              <w:rPr>
                <w:b/>
                <w:color w:val="333333"/>
                <w:sz w:val="18"/>
              </w:rPr>
              <w:t>SAN ANTONIO LA ISLA</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3" w:right="54"/>
              <w:rPr>
                <w:sz w:val="18"/>
              </w:rPr>
            </w:pPr>
            <w:r>
              <w:rPr>
                <w:sz w:val="18"/>
              </w:rPr>
              <w:t>$0.00</w:t>
            </w:r>
          </w:p>
        </w:tc>
      </w:tr>
      <w:tr>
        <w:trPr>
          <w:trHeight w:val="776" w:hRule="exact"/>
        </w:trPr>
        <w:tc>
          <w:tcPr>
            <w:tcW w:w="2141" w:type="dxa"/>
          </w:tcPr>
          <w:p>
            <w:pPr>
              <w:pStyle w:val="TableParagraph"/>
              <w:tabs>
                <w:tab w:pos="757" w:val="left" w:leader="none"/>
                <w:tab w:pos="1703" w:val="left" w:leader="none"/>
              </w:tabs>
              <w:spacing w:line="360" w:lineRule="auto" w:before="66"/>
              <w:ind w:left="64" w:right="66"/>
              <w:jc w:val="left"/>
              <w:rPr>
                <w:b/>
                <w:sz w:val="18"/>
              </w:rPr>
            </w:pPr>
            <w:r>
              <w:rPr>
                <w:b/>
                <w:color w:val="333333"/>
                <w:sz w:val="18"/>
              </w:rPr>
              <w:t>SAN</w:t>
              <w:tab/>
              <w:t>FELIPE</w:t>
              <w:tab/>
              <w:t>DEL PROGRESO</w:t>
            </w:r>
          </w:p>
        </w:tc>
        <w:tc>
          <w:tcPr>
            <w:tcW w:w="1658" w:type="dxa"/>
          </w:tcPr>
          <w:p>
            <w:pPr>
              <w:pStyle w:val="TableParagraph"/>
              <w:spacing w:before="9"/>
              <w:jc w:val="left"/>
              <w:rPr>
                <w:rFonts w:ascii="Times New Roman"/>
                <w:sz w:val="19"/>
              </w:rPr>
            </w:pPr>
          </w:p>
          <w:p>
            <w:pPr>
              <w:pStyle w:val="TableParagraph"/>
              <w:ind w:left="52" w:right="53"/>
              <w:rPr>
                <w:sz w:val="18"/>
              </w:rPr>
            </w:pPr>
            <w:r>
              <w:rPr>
                <w:sz w:val="18"/>
              </w:rPr>
              <w:t>$0.00</w:t>
            </w:r>
          </w:p>
        </w:tc>
        <w:tc>
          <w:tcPr>
            <w:tcW w:w="1508" w:type="dxa"/>
          </w:tcPr>
          <w:p>
            <w:pPr>
              <w:pStyle w:val="TableParagraph"/>
              <w:spacing w:before="9"/>
              <w:jc w:val="left"/>
              <w:rPr>
                <w:rFonts w:ascii="Times New Roman"/>
                <w:sz w:val="19"/>
              </w:rPr>
            </w:pPr>
          </w:p>
          <w:p>
            <w:pPr>
              <w:pStyle w:val="TableParagraph"/>
              <w:ind w:left="53" w:right="48"/>
              <w:rPr>
                <w:sz w:val="18"/>
              </w:rPr>
            </w:pPr>
            <w:r>
              <w:rPr>
                <w:sz w:val="18"/>
              </w:rPr>
              <w:t>$0.00</w:t>
            </w:r>
          </w:p>
        </w:tc>
        <w:tc>
          <w:tcPr>
            <w:tcW w:w="1661" w:type="dxa"/>
          </w:tcPr>
          <w:p>
            <w:pPr>
              <w:pStyle w:val="TableParagraph"/>
              <w:spacing w:before="9"/>
              <w:jc w:val="left"/>
              <w:rPr>
                <w:rFonts w:ascii="Times New Roman"/>
                <w:sz w:val="19"/>
              </w:rPr>
            </w:pPr>
          </w:p>
          <w:p>
            <w:pPr>
              <w:pStyle w:val="TableParagraph"/>
              <w:ind w:left="53" w:right="52"/>
              <w:rPr>
                <w:sz w:val="18"/>
              </w:rPr>
            </w:pPr>
            <w:r>
              <w:rPr>
                <w:sz w:val="18"/>
              </w:rPr>
              <w:t>$0.00</w:t>
            </w:r>
          </w:p>
        </w:tc>
        <w:tc>
          <w:tcPr>
            <w:tcW w:w="1661" w:type="dxa"/>
          </w:tcPr>
          <w:p>
            <w:pPr>
              <w:pStyle w:val="TableParagraph"/>
              <w:spacing w:before="9"/>
              <w:jc w:val="left"/>
              <w:rPr>
                <w:rFonts w:ascii="Times New Roman"/>
                <w:sz w:val="19"/>
              </w:rPr>
            </w:pPr>
          </w:p>
          <w:p>
            <w:pPr>
              <w:pStyle w:val="TableParagraph"/>
              <w:ind w:left="54" w:right="56"/>
              <w:rPr>
                <w:sz w:val="18"/>
              </w:rPr>
            </w:pPr>
            <w:r>
              <w:rPr>
                <w:sz w:val="18"/>
              </w:rPr>
              <w:t>$0.00</w:t>
            </w:r>
          </w:p>
        </w:tc>
        <w:tc>
          <w:tcPr>
            <w:tcW w:w="1658" w:type="dxa"/>
          </w:tcPr>
          <w:p>
            <w:pPr>
              <w:pStyle w:val="TableParagraph"/>
              <w:spacing w:before="9"/>
              <w:jc w:val="left"/>
              <w:rPr>
                <w:rFonts w:ascii="Times New Roman"/>
                <w:sz w:val="19"/>
              </w:rPr>
            </w:pPr>
          </w:p>
          <w:p>
            <w:pPr>
              <w:pStyle w:val="TableParagraph"/>
              <w:ind w:left="52" w:right="53"/>
              <w:rPr>
                <w:sz w:val="18"/>
              </w:rPr>
            </w:pPr>
            <w:r>
              <w:rPr>
                <w:sz w:val="18"/>
              </w:rPr>
              <w:t>$0.00</w:t>
            </w:r>
          </w:p>
        </w:tc>
        <w:tc>
          <w:tcPr>
            <w:tcW w:w="1508" w:type="dxa"/>
          </w:tcPr>
          <w:p>
            <w:pPr>
              <w:pStyle w:val="TableParagraph"/>
              <w:spacing w:before="9"/>
              <w:jc w:val="left"/>
              <w:rPr>
                <w:rFonts w:ascii="Times New Roman"/>
                <w:sz w:val="19"/>
              </w:rPr>
            </w:pPr>
          </w:p>
          <w:p>
            <w:pPr>
              <w:pStyle w:val="TableParagraph"/>
              <w:ind w:left="53" w:right="48"/>
              <w:rPr>
                <w:sz w:val="18"/>
              </w:rPr>
            </w:pPr>
            <w:r>
              <w:rPr>
                <w:sz w:val="18"/>
              </w:rPr>
              <w:t>$0.00</w:t>
            </w:r>
          </w:p>
        </w:tc>
        <w:tc>
          <w:tcPr>
            <w:tcW w:w="1661" w:type="dxa"/>
          </w:tcPr>
          <w:p>
            <w:pPr>
              <w:pStyle w:val="TableParagraph"/>
              <w:spacing w:before="9"/>
              <w:jc w:val="left"/>
              <w:rPr>
                <w:rFonts w:ascii="Times New Roman"/>
                <w:sz w:val="19"/>
              </w:rPr>
            </w:pPr>
          </w:p>
          <w:p>
            <w:pPr>
              <w:pStyle w:val="TableParagraph"/>
              <w:ind w:left="53" w:right="52"/>
              <w:rPr>
                <w:sz w:val="18"/>
              </w:rPr>
            </w:pPr>
            <w:r>
              <w:rPr>
                <w:sz w:val="18"/>
              </w:rPr>
              <w:t>$0.00</w:t>
            </w:r>
          </w:p>
        </w:tc>
        <w:tc>
          <w:tcPr>
            <w:tcW w:w="1661" w:type="dxa"/>
          </w:tcPr>
          <w:p>
            <w:pPr>
              <w:pStyle w:val="TableParagraph"/>
              <w:spacing w:before="9"/>
              <w:jc w:val="left"/>
              <w:rPr>
                <w:rFonts w:ascii="Times New Roman"/>
                <w:sz w:val="19"/>
              </w:rPr>
            </w:pPr>
          </w:p>
          <w:p>
            <w:pPr>
              <w:pStyle w:val="TableParagraph"/>
              <w:ind w:left="53" w:right="54"/>
              <w:rPr>
                <w:sz w:val="18"/>
              </w:rPr>
            </w:pPr>
            <w:r>
              <w:rPr>
                <w:sz w:val="18"/>
              </w:rPr>
              <w:t>$0.00</w:t>
            </w:r>
          </w:p>
        </w:tc>
      </w:tr>
      <w:tr>
        <w:trPr>
          <w:trHeight w:val="631" w:hRule="exact"/>
        </w:trPr>
        <w:tc>
          <w:tcPr>
            <w:tcW w:w="2141" w:type="dxa"/>
          </w:tcPr>
          <w:p>
            <w:pPr>
              <w:pStyle w:val="TableParagraph"/>
              <w:tabs>
                <w:tab w:pos="832" w:val="left" w:leader="none"/>
                <w:tab w:pos="1703" w:val="left" w:leader="none"/>
              </w:tabs>
              <w:spacing w:line="360" w:lineRule="auto"/>
              <w:ind w:left="64" w:right="66"/>
              <w:jc w:val="left"/>
              <w:rPr>
                <w:b/>
                <w:sz w:val="18"/>
              </w:rPr>
            </w:pPr>
            <w:r>
              <w:rPr>
                <w:b/>
                <w:color w:val="333333"/>
                <w:sz w:val="18"/>
              </w:rPr>
              <w:t>SAN</w:t>
              <w:tab/>
              <w:t>JOSE</w:t>
              <w:tab/>
              <w:t>DEL RINCON</w:t>
            </w:r>
          </w:p>
        </w:tc>
        <w:tc>
          <w:tcPr>
            <w:tcW w:w="1658" w:type="dxa"/>
          </w:tcPr>
          <w:p>
            <w:pPr>
              <w:pStyle w:val="TableParagraph"/>
              <w:spacing w:before="152"/>
              <w:ind w:left="53" w:right="53"/>
              <w:rPr>
                <w:sz w:val="18"/>
              </w:rPr>
            </w:pPr>
            <w:r>
              <w:rPr>
                <w:sz w:val="18"/>
              </w:rPr>
              <w:t>$458,558,584.86</w:t>
            </w:r>
          </w:p>
        </w:tc>
        <w:tc>
          <w:tcPr>
            <w:tcW w:w="1508" w:type="dxa"/>
          </w:tcPr>
          <w:p>
            <w:pPr>
              <w:pStyle w:val="TableParagraph"/>
              <w:spacing w:before="152"/>
              <w:ind w:left="53" w:right="48"/>
              <w:rPr>
                <w:sz w:val="18"/>
              </w:rPr>
            </w:pPr>
            <w:r>
              <w:rPr>
                <w:sz w:val="18"/>
              </w:rPr>
              <w:t>$0.00</w:t>
            </w:r>
          </w:p>
        </w:tc>
        <w:tc>
          <w:tcPr>
            <w:tcW w:w="1661" w:type="dxa"/>
          </w:tcPr>
          <w:p>
            <w:pPr>
              <w:pStyle w:val="TableParagraph"/>
              <w:spacing w:before="152"/>
              <w:ind w:left="53" w:right="52"/>
              <w:rPr>
                <w:sz w:val="18"/>
              </w:rPr>
            </w:pPr>
            <w:r>
              <w:rPr>
                <w:sz w:val="18"/>
              </w:rPr>
              <w:t>$0.00</w:t>
            </w:r>
          </w:p>
        </w:tc>
        <w:tc>
          <w:tcPr>
            <w:tcW w:w="1661" w:type="dxa"/>
          </w:tcPr>
          <w:p>
            <w:pPr>
              <w:pStyle w:val="TableParagraph"/>
              <w:spacing w:before="152"/>
              <w:ind w:left="54" w:right="54"/>
              <w:rPr>
                <w:sz w:val="18"/>
              </w:rPr>
            </w:pPr>
            <w:r>
              <w:rPr>
                <w:sz w:val="18"/>
              </w:rPr>
              <w:t>$458,558,584.86</w:t>
            </w:r>
          </w:p>
        </w:tc>
        <w:tc>
          <w:tcPr>
            <w:tcW w:w="1658" w:type="dxa"/>
          </w:tcPr>
          <w:p>
            <w:pPr>
              <w:pStyle w:val="TableParagraph"/>
              <w:spacing w:before="152"/>
              <w:ind w:left="53" w:right="53"/>
              <w:rPr>
                <w:sz w:val="18"/>
              </w:rPr>
            </w:pPr>
            <w:r>
              <w:rPr>
                <w:sz w:val="18"/>
              </w:rPr>
              <w:t>$446,602,997.39</w:t>
            </w:r>
          </w:p>
        </w:tc>
        <w:tc>
          <w:tcPr>
            <w:tcW w:w="1508" w:type="dxa"/>
          </w:tcPr>
          <w:p>
            <w:pPr>
              <w:pStyle w:val="TableParagraph"/>
              <w:spacing w:before="152"/>
              <w:ind w:left="53" w:right="48"/>
              <w:rPr>
                <w:sz w:val="18"/>
              </w:rPr>
            </w:pPr>
            <w:r>
              <w:rPr>
                <w:sz w:val="18"/>
              </w:rPr>
              <w:t>$0.00</w:t>
            </w:r>
          </w:p>
        </w:tc>
        <w:tc>
          <w:tcPr>
            <w:tcW w:w="1661" w:type="dxa"/>
          </w:tcPr>
          <w:p>
            <w:pPr>
              <w:pStyle w:val="TableParagraph"/>
              <w:spacing w:before="152"/>
              <w:ind w:left="53" w:right="52"/>
              <w:rPr>
                <w:sz w:val="18"/>
              </w:rPr>
            </w:pPr>
            <w:r>
              <w:rPr>
                <w:sz w:val="18"/>
              </w:rPr>
              <w:t>$0.00</w:t>
            </w:r>
          </w:p>
        </w:tc>
        <w:tc>
          <w:tcPr>
            <w:tcW w:w="1661" w:type="dxa"/>
          </w:tcPr>
          <w:p>
            <w:pPr>
              <w:pStyle w:val="TableParagraph"/>
              <w:spacing w:before="152"/>
              <w:ind w:left="148"/>
              <w:jc w:val="left"/>
              <w:rPr>
                <w:sz w:val="18"/>
              </w:rPr>
            </w:pPr>
            <w:r>
              <w:rPr>
                <w:sz w:val="18"/>
              </w:rPr>
              <w:t>$446,602,997.39</w:t>
            </w:r>
          </w:p>
        </w:tc>
      </w:tr>
      <w:tr>
        <w:trPr>
          <w:trHeight w:val="773" w:hRule="exact"/>
        </w:trPr>
        <w:tc>
          <w:tcPr>
            <w:tcW w:w="2141" w:type="dxa"/>
          </w:tcPr>
          <w:p>
            <w:pPr>
              <w:pStyle w:val="TableParagraph"/>
              <w:spacing w:line="360" w:lineRule="auto" w:before="66"/>
              <w:ind w:left="64" w:right="67"/>
              <w:jc w:val="left"/>
              <w:rPr>
                <w:b/>
                <w:sz w:val="18"/>
              </w:rPr>
            </w:pPr>
            <w:r>
              <w:rPr>
                <w:b/>
                <w:color w:val="333333"/>
                <w:sz w:val="18"/>
              </w:rPr>
              <w:t>SAN MARTÍN DE LAS PIRAMIDES</w:t>
            </w:r>
          </w:p>
        </w:tc>
        <w:tc>
          <w:tcPr>
            <w:tcW w:w="1658" w:type="dxa"/>
          </w:tcPr>
          <w:p>
            <w:pPr>
              <w:pStyle w:val="TableParagraph"/>
              <w:spacing w:before="6"/>
              <w:jc w:val="left"/>
              <w:rPr>
                <w:rFonts w:ascii="Times New Roman"/>
                <w:sz w:val="19"/>
              </w:rPr>
            </w:pPr>
          </w:p>
          <w:p>
            <w:pPr>
              <w:pStyle w:val="TableParagraph"/>
              <w:ind w:left="53" w:right="53"/>
              <w:rPr>
                <w:sz w:val="18"/>
              </w:rPr>
            </w:pPr>
            <w:r>
              <w:rPr>
                <w:sz w:val="18"/>
              </w:rPr>
              <w:t>$86,292,400.00</w:t>
            </w:r>
          </w:p>
        </w:tc>
        <w:tc>
          <w:tcPr>
            <w:tcW w:w="1508" w:type="dxa"/>
          </w:tcPr>
          <w:p>
            <w:pPr>
              <w:pStyle w:val="TableParagraph"/>
              <w:spacing w:before="6"/>
              <w:jc w:val="left"/>
              <w:rPr>
                <w:rFonts w:ascii="Times New Roman"/>
                <w:sz w:val="19"/>
              </w:rPr>
            </w:pPr>
          </w:p>
          <w:p>
            <w:pPr>
              <w:pStyle w:val="TableParagraph"/>
              <w:ind w:left="53" w:right="48"/>
              <w:rPr>
                <w:sz w:val="18"/>
              </w:rPr>
            </w:pPr>
            <w:r>
              <w:rPr>
                <w:sz w:val="18"/>
              </w:rPr>
              <w:t>$0.00</w:t>
            </w:r>
          </w:p>
        </w:tc>
        <w:tc>
          <w:tcPr>
            <w:tcW w:w="1661" w:type="dxa"/>
          </w:tcPr>
          <w:p>
            <w:pPr>
              <w:pStyle w:val="TableParagraph"/>
              <w:spacing w:before="6"/>
              <w:jc w:val="left"/>
              <w:rPr>
                <w:rFonts w:ascii="Times New Roman"/>
                <w:sz w:val="19"/>
              </w:rPr>
            </w:pPr>
          </w:p>
          <w:p>
            <w:pPr>
              <w:pStyle w:val="TableParagraph"/>
              <w:ind w:left="53" w:right="51"/>
              <w:rPr>
                <w:sz w:val="18"/>
              </w:rPr>
            </w:pPr>
            <w:r>
              <w:rPr>
                <w:sz w:val="18"/>
              </w:rPr>
              <w:t>$529,755.00</w:t>
            </w:r>
          </w:p>
        </w:tc>
        <w:tc>
          <w:tcPr>
            <w:tcW w:w="1661" w:type="dxa"/>
          </w:tcPr>
          <w:p>
            <w:pPr>
              <w:pStyle w:val="TableParagraph"/>
              <w:spacing w:before="6"/>
              <w:jc w:val="left"/>
              <w:rPr>
                <w:rFonts w:ascii="Times New Roman"/>
                <w:sz w:val="19"/>
              </w:rPr>
            </w:pPr>
          </w:p>
          <w:p>
            <w:pPr>
              <w:pStyle w:val="TableParagraph"/>
              <w:ind w:left="54" w:right="54"/>
              <w:rPr>
                <w:sz w:val="18"/>
              </w:rPr>
            </w:pPr>
            <w:r>
              <w:rPr>
                <w:sz w:val="18"/>
              </w:rPr>
              <w:t>$85,762,645.00</w:t>
            </w:r>
          </w:p>
        </w:tc>
        <w:tc>
          <w:tcPr>
            <w:tcW w:w="1658" w:type="dxa"/>
          </w:tcPr>
          <w:p>
            <w:pPr>
              <w:pStyle w:val="TableParagraph"/>
              <w:spacing w:before="6"/>
              <w:jc w:val="left"/>
              <w:rPr>
                <w:rFonts w:ascii="Times New Roman"/>
                <w:sz w:val="19"/>
              </w:rPr>
            </w:pPr>
          </w:p>
          <w:p>
            <w:pPr>
              <w:pStyle w:val="TableParagraph"/>
              <w:ind w:left="53" w:right="53"/>
              <w:rPr>
                <w:sz w:val="18"/>
              </w:rPr>
            </w:pPr>
            <w:r>
              <w:rPr>
                <w:sz w:val="18"/>
              </w:rPr>
              <w:t>$73,117,100.00</w:t>
            </w:r>
          </w:p>
        </w:tc>
        <w:tc>
          <w:tcPr>
            <w:tcW w:w="1508" w:type="dxa"/>
          </w:tcPr>
          <w:p>
            <w:pPr>
              <w:pStyle w:val="TableParagraph"/>
              <w:spacing w:before="6"/>
              <w:jc w:val="left"/>
              <w:rPr>
                <w:rFonts w:ascii="Times New Roman"/>
                <w:sz w:val="19"/>
              </w:rPr>
            </w:pPr>
          </w:p>
          <w:p>
            <w:pPr>
              <w:pStyle w:val="TableParagraph"/>
              <w:ind w:left="53" w:right="51"/>
              <w:rPr>
                <w:sz w:val="18"/>
              </w:rPr>
            </w:pPr>
            <w:r>
              <w:rPr>
                <w:sz w:val="18"/>
              </w:rPr>
              <w:t>$11,322,593.00</w:t>
            </w:r>
          </w:p>
        </w:tc>
        <w:tc>
          <w:tcPr>
            <w:tcW w:w="1661" w:type="dxa"/>
          </w:tcPr>
          <w:p>
            <w:pPr>
              <w:pStyle w:val="TableParagraph"/>
              <w:spacing w:before="6"/>
              <w:jc w:val="left"/>
              <w:rPr>
                <w:rFonts w:ascii="Times New Roman"/>
                <w:sz w:val="19"/>
              </w:rPr>
            </w:pPr>
          </w:p>
          <w:p>
            <w:pPr>
              <w:pStyle w:val="TableParagraph"/>
              <w:ind w:right="196"/>
              <w:jc w:val="right"/>
              <w:rPr>
                <w:sz w:val="18"/>
              </w:rPr>
            </w:pPr>
            <w:r>
              <w:rPr>
                <w:sz w:val="18"/>
              </w:rPr>
              <w:t>$81,571,302.86</w:t>
            </w:r>
          </w:p>
        </w:tc>
        <w:tc>
          <w:tcPr>
            <w:tcW w:w="1661" w:type="dxa"/>
          </w:tcPr>
          <w:p>
            <w:pPr>
              <w:pStyle w:val="TableParagraph"/>
              <w:spacing w:before="6"/>
              <w:jc w:val="left"/>
              <w:rPr>
                <w:rFonts w:ascii="Times New Roman"/>
                <w:sz w:val="19"/>
              </w:rPr>
            </w:pPr>
          </w:p>
          <w:p>
            <w:pPr>
              <w:pStyle w:val="TableParagraph"/>
              <w:ind w:left="247"/>
              <w:jc w:val="left"/>
              <w:rPr>
                <w:sz w:val="18"/>
              </w:rPr>
            </w:pPr>
            <w:r>
              <w:rPr>
                <w:sz w:val="18"/>
              </w:rPr>
              <w:t>$2,868,390.14</w:t>
            </w:r>
          </w:p>
        </w:tc>
      </w:tr>
      <w:tr>
        <w:trPr>
          <w:trHeight w:val="521" w:hRule="exact"/>
        </w:trPr>
        <w:tc>
          <w:tcPr>
            <w:tcW w:w="2141" w:type="dxa"/>
          </w:tcPr>
          <w:p>
            <w:pPr>
              <w:pStyle w:val="TableParagraph"/>
              <w:spacing w:before="95"/>
              <w:ind w:left="64" w:right="67"/>
              <w:jc w:val="left"/>
              <w:rPr>
                <w:b/>
                <w:sz w:val="18"/>
              </w:rPr>
            </w:pPr>
            <w:r>
              <w:rPr>
                <w:b/>
                <w:color w:val="333333"/>
                <w:sz w:val="18"/>
              </w:rPr>
              <w:t>SAN MATEO ATENCO</w:t>
            </w:r>
          </w:p>
        </w:tc>
        <w:tc>
          <w:tcPr>
            <w:tcW w:w="1658" w:type="dxa"/>
          </w:tcPr>
          <w:p>
            <w:pPr>
              <w:pStyle w:val="TableParagraph"/>
              <w:spacing w:before="100"/>
              <w:ind w:left="53" w:right="53"/>
              <w:rPr>
                <w:sz w:val="18"/>
              </w:rPr>
            </w:pPr>
            <w:r>
              <w:rPr>
                <w:sz w:val="18"/>
              </w:rPr>
              <w:t>$166,426,017.00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4"/>
              <w:rPr>
                <w:sz w:val="18"/>
              </w:rPr>
            </w:pPr>
            <w:r>
              <w:rPr>
                <w:sz w:val="18"/>
              </w:rPr>
              <w:t>$166,426,017.00</w:t>
            </w:r>
          </w:p>
        </w:tc>
        <w:tc>
          <w:tcPr>
            <w:tcW w:w="1658" w:type="dxa"/>
          </w:tcPr>
          <w:p>
            <w:pPr>
              <w:pStyle w:val="TableParagraph"/>
              <w:spacing w:before="100"/>
              <w:ind w:left="53" w:right="53"/>
              <w:rPr>
                <w:sz w:val="18"/>
              </w:rPr>
            </w:pPr>
            <w:r>
              <w:rPr>
                <w:sz w:val="18"/>
              </w:rPr>
              <w:t>$189,689,341.17</w:t>
            </w:r>
          </w:p>
        </w:tc>
        <w:tc>
          <w:tcPr>
            <w:tcW w:w="1508" w:type="dxa"/>
          </w:tcPr>
          <w:p>
            <w:pPr>
              <w:pStyle w:val="TableParagraph"/>
              <w:spacing w:before="100"/>
              <w:ind w:left="53" w:right="52"/>
              <w:rPr>
                <w:sz w:val="18"/>
              </w:rPr>
            </w:pPr>
            <w:r>
              <w:rPr>
                <w:sz w:val="18"/>
              </w:rPr>
              <w:t>$168,372,256.70</w:t>
            </w:r>
          </w:p>
        </w:tc>
        <w:tc>
          <w:tcPr>
            <w:tcW w:w="1661" w:type="dxa"/>
          </w:tcPr>
          <w:p>
            <w:pPr>
              <w:pStyle w:val="TableParagraph"/>
              <w:spacing w:before="100"/>
              <w:ind w:right="146"/>
              <w:jc w:val="right"/>
              <w:rPr>
                <w:sz w:val="18"/>
              </w:rPr>
            </w:pPr>
            <w:r>
              <w:rPr>
                <w:sz w:val="18"/>
              </w:rPr>
              <w:t>$227,979,924.27</w:t>
            </w:r>
          </w:p>
        </w:tc>
        <w:tc>
          <w:tcPr>
            <w:tcW w:w="1661" w:type="dxa"/>
          </w:tcPr>
          <w:p>
            <w:pPr>
              <w:pStyle w:val="TableParagraph"/>
              <w:spacing w:before="100"/>
              <w:ind w:left="148"/>
              <w:jc w:val="left"/>
              <w:rPr>
                <w:sz w:val="18"/>
              </w:rPr>
            </w:pPr>
            <w:r>
              <w:rPr>
                <w:sz w:val="18"/>
              </w:rPr>
              <w:t>$130,081,673.60</w:t>
            </w:r>
          </w:p>
        </w:tc>
      </w:tr>
      <w:tr>
        <w:trPr>
          <w:trHeight w:val="776" w:hRule="exact"/>
        </w:trPr>
        <w:tc>
          <w:tcPr>
            <w:tcW w:w="2141" w:type="dxa"/>
          </w:tcPr>
          <w:p>
            <w:pPr>
              <w:pStyle w:val="TableParagraph"/>
              <w:tabs>
                <w:tab w:pos="832" w:val="left" w:leader="none"/>
                <w:tab w:pos="1813" w:val="left" w:leader="none"/>
              </w:tabs>
              <w:spacing w:line="362" w:lineRule="auto" w:before="67"/>
              <w:ind w:left="64" w:right="65"/>
              <w:jc w:val="left"/>
              <w:rPr>
                <w:b/>
                <w:sz w:val="18"/>
              </w:rPr>
            </w:pPr>
            <w:r>
              <w:rPr>
                <w:b/>
                <w:color w:val="333333"/>
                <w:sz w:val="18"/>
              </w:rPr>
              <w:t>SAN</w:t>
              <w:tab/>
              <w:t>SIMON</w:t>
              <w:tab/>
              <w:t>DE GUERRERO</w:t>
            </w:r>
          </w:p>
        </w:tc>
        <w:tc>
          <w:tcPr>
            <w:tcW w:w="1658" w:type="dxa"/>
          </w:tcPr>
          <w:p>
            <w:pPr>
              <w:pStyle w:val="TableParagraph"/>
              <w:spacing w:before="9"/>
              <w:jc w:val="left"/>
              <w:rPr>
                <w:rFonts w:ascii="Times New Roman"/>
                <w:sz w:val="19"/>
              </w:rPr>
            </w:pPr>
          </w:p>
          <w:p>
            <w:pPr>
              <w:pStyle w:val="TableParagraph"/>
              <w:ind w:left="52" w:right="53"/>
              <w:rPr>
                <w:sz w:val="18"/>
              </w:rPr>
            </w:pPr>
            <w:r>
              <w:rPr>
                <w:sz w:val="18"/>
              </w:rPr>
              <w:t>$0.00</w:t>
            </w:r>
          </w:p>
        </w:tc>
        <w:tc>
          <w:tcPr>
            <w:tcW w:w="1508" w:type="dxa"/>
          </w:tcPr>
          <w:p>
            <w:pPr>
              <w:pStyle w:val="TableParagraph"/>
              <w:spacing w:before="9"/>
              <w:jc w:val="left"/>
              <w:rPr>
                <w:rFonts w:ascii="Times New Roman"/>
                <w:sz w:val="19"/>
              </w:rPr>
            </w:pPr>
          </w:p>
          <w:p>
            <w:pPr>
              <w:pStyle w:val="TableParagraph"/>
              <w:ind w:left="53" w:right="48"/>
              <w:rPr>
                <w:sz w:val="18"/>
              </w:rPr>
            </w:pPr>
            <w:r>
              <w:rPr>
                <w:sz w:val="18"/>
              </w:rPr>
              <w:t>$0.00</w:t>
            </w:r>
          </w:p>
        </w:tc>
        <w:tc>
          <w:tcPr>
            <w:tcW w:w="1661" w:type="dxa"/>
          </w:tcPr>
          <w:p>
            <w:pPr>
              <w:pStyle w:val="TableParagraph"/>
              <w:spacing w:before="9"/>
              <w:jc w:val="left"/>
              <w:rPr>
                <w:rFonts w:ascii="Times New Roman"/>
                <w:sz w:val="19"/>
              </w:rPr>
            </w:pPr>
          </w:p>
          <w:p>
            <w:pPr>
              <w:pStyle w:val="TableParagraph"/>
              <w:ind w:left="53" w:right="52"/>
              <w:rPr>
                <w:sz w:val="18"/>
              </w:rPr>
            </w:pPr>
            <w:r>
              <w:rPr>
                <w:sz w:val="18"/>
              </w:rPr>
              <w:t>$0.00</w:t>
            </w:r>
          </w:p>
        </w:tc>
        <w:tc>
          <w:tcPr>
            <w:tcW w:w="1661" w:type="dxa"/>
          </w:tcPr>
          <w:p>
            <w:pPr>
              <w:pStyle w:val="TableParagraph"/>
              <w:spacing w:before="9"/>
              <w:jc w:val="left"/>
              <w:rPr>
                <w:rFonts w:ascii="Times New Roman"/>
                <w:sz w:val="19"/>
              </w:rPr>
            </w:pPr>
          </w:p>
          <w:p>
            <w:pPr>
              <w:pStyle w:val="TableParagraph"/>
              <w:ind w:left="54" w:right="56"/>
              <w:rPr>
                <w:sz w:val="18"/>
              </w:rPr>
            </w:pPr>
            <w:r>
              <w:rPr>
                <w:sz w:val="18"/>
              </w:rPr>
              <w:t>$0.00</w:t>
            </w:r>
          </w:p>
        </w:tc>
        <w:tc>
          <w:tcPr>
            <w:tcW w:w="1658" w:type="dxa"/>
          </w:tcPr>
          <w:p>
            <w:pPr>
              <w:pStyle w:val="TableParagraph"/>
              <w:spacing w:before="9"/>
              <w:jc w:val="left"/>
              <w:rPr>
                <w:rFonts w:ascii="Times New Roman"/>
                <w:sz w:val="19"/>
              </w:rPr>
            </w:pPr>
          </w:p>
          <w:p>
            <w:pPr>
              <w:pStyle w:val="TableParagraph"/>
              <w:ind w:left="52" w:right="53"/>
              <w:rPr>
                <w:sz w:val="18"/>
              </w:rPr>
            </w:pPr>
            <w:r>
              <w:rPr>
                <w:sz w:val="18"/>
              </w:rPr>
              <w:t>$0.00</w:t>
            </w:r>
          </w:p>
        </w:tc>
        <w:tc>
          <w:tcPr>
            <w:tcW w:w="1508" w:type="dxa"/>
          </w:tcPr>
          <w:p>
            <w:pPr>
              <w:pStyle w:val="TableParagraph"/>
              <w:spacing w:before="9"/>
              <w:jc w:val="left"/>
              <w:rPr>
                <w:rFonts w:ascii="Times New Roman"/>
                <w:sz w:val="19"/>
              </w:rPr>
            </w:pPr>
          </w:p>
          <w:p>
            <w:pPr>
              <w:pStyle w:val="TableParagraph"/>
              <w:ind w:left="53" w:right="48"/>
              <w:rPr>
                <w:sz w:val="18"/>
              </w:rPr>
            </w:pPr>
            <w:r>
              <w:rPr>
                <w:sz w:val="18"/>
              </w:rPr>
              <w:t>$0.00</w:t>
            </w:r>
          </w:p>
        </w:tc>
        <w:tc>
          <w:tcPr>
            <w:tcW w:w="1661" w:type="dxa"/>
          </w:tcPr>
          <w:p>
            <w:pPr>
              <w:pStyle w:val="TableParagraph"/>
              <w:spacing w:before="9"/>
              <w:jc w:val="left"/>
              <w:rPr>
                <w:rFonts w:ascii="Times New Roman"/>
                <w:sz w:val="19"/>
              </w:rPr>
            </w:pPr>
          </w:p>
          <w:p>
            <w:pPr>
              <w:pStyle w:val="TableParagraph"/>
              <w:ind w:left="53" w:right="52"/>
              <w:rPr>
                <w:sz w:val="18"/>
              </w:rPr>
            </w:pPr>
            <w:r>
              <w:rPr>
                <w:sz w:val="18"/>
              </w:rPr>
              <w:t>$0.00</w:t>
            </w:r>
          </w:p>
        </w:tc>
        <w:tc>
          <w:tcPr>
            <w:tcW w:w="1661" w:type="dxa"/>
          </w:tcPr>
          <w:p>
            <w:pPr>
              <w:pStyle w:val="TableParagraph"/>
              <w:spacing w:before="9"/>
              <w:jc w:val="left"/>
              <w:rPr>
                <w:rFonts w:ascii="Times New Roman"/>
                <w:sz w:val="19"/>
              </w:rPr>
            </w:pPr>
          </w:p>
          <w:p>
            <w:pPr>
              <w:pStyle w:val="TableParagraph"/>
              <w:ind w:left="53" w:right="54"/>
              <w:rPr>
                <w:sz w:val="18"/>
              </w:rPr>
            </w:pPr>
            <w:r>
              <w:rPr>
                <w:sz w:val="18"/>
              </w:rPr>
              <w:t>$0.00</w:t>
            </w:r>
          </w:p>
        </w:tc>
      </w:tr>
    </w:tbl>
    <w:p>
      <w:pPr>
        <w:spacing w:after="0"/>
        <w:rPr>
          <w:sz w:val="18"/>
        </w:rPr>
        <w:sectPr>
          <w:pgSz w:w="15840" w:h="12240" w:orient="landscape"/>
          <w:pgMar w:header="0" w:footer="975" w:top="1140" w:bottom="1160" w:left="240" w:right="240"/>
        </w:sectPr>
      </w:pPr>
    </w:p>
    <w:p>
      <w:pPr>
        <w:pStyle w:val="BodyText"/>
        <w:rPr>
          <w:rFonts w:ascii="Times New Roman"/>
          <w:sz w:val="20"/>
        </w:rPr>
      </w:pPr>
    </w:p>
    <w:p>
      <w:pPr>
        <w:pStyle w:val="BodyText"/>
        <w:spacing w:before="10"/>
        <w:rPr>
          <w:rFonts w:ascii="Times New Roman"/>
          <w:sz w:val="28"/>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41"/>
        <w:gridCol w:w="1658"/>
        <w:gridCol w:w="1508"/>
        <w:gridCol w:w="1661"/>
        <w:gridCol w:w="1661"/>
        <w:gridCol w:w="1658"/>
        <w:gridCol w:w="1508"/>
        <w:gridCol w:w="1661"/>
        <w:gridCol w:w="1661"/>
      </w:tblGrid>
      <w:tr>
        <w:trPr>
          <w:trHeight w:val="430" w:hRule="exact"/>
        </w:trPr>
        <w:tc>
          <w:tcPr>
            <w:tcW w:w="15117" w:type="dxa"/>
            <w:gridSpan w:val="9"/>
            <w:shd w:val="clear" w:color="auto" w:fill="C5DFB3"/>
          </w:tcPr>
          <w:p>
            <w:pPr>
              <w:pStyle w:val="TableParagraph"/>
              <w:spacing w:before="49"/>
              <w:ind w:left="3900"/>
              <w:jc w:val="left"/>
              <w:rPr>
                <w:b/>
                <w:sz w:val="18"/>
              </w:rPr>
            </w:pPr>
            <w:r>
              <w:rPr>
                <w:b/>
                <w:sz w:val="18"/>
              </w:rPr>
              <w:t>Anexo 24C. Municipios que publican apartado presupuesto 2012-2013 (Continuación)</w:t>
            </w:r>
          </w:p>
        </w:tc>
      </w:tr>
      <w:tr>
        <w:trPr>
          <w:trHeight w:val="320" w:hRule="exact"/>
        </w:trPr>
        <w:tc>
          <w:tcPr>
            <w:tcW w:w="2141"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23"/>
              </w:rPr>
            </w:pPr>
          </w:p>
          <w:p>
            <w:pPr>
              <w:pStyle w:val="TableParagraph"/>
              <w:ind w:left="643" w:right="67"/>
              <w:jc w:val="left"/>
              <w:rPr>
                <w:b/>
                <w:sz w:val="18"/>
              </w:rPr>
            </w:pPr>
            <w:r>
              <w:rPr>
                <w:b/>
                <w:sz w:val="18"/>
              </w:rPr>
              <w:t>Municipio</w:t>
            </w:r>
          </w:p>
        </w:tc>
        <w:tc>
          <w:tcPr>
            <w:tcW w:w="6488" w:type="dxa"/>
            <w:gridSpan w:val="4"/>
            <w:shd w:val="clear" w:color="auto" w:fill="C5DFB3"/>
          </w:tcPr>
          <w:p>
            <w:pPr>
              <w:pStyle w:val="TableParagraph"/>
              <w:spacing w:line="201" w:lineRule="exact"/>
              <w:ind w:left="3020" w:right="3018"/>
              <w:rPr>
                <w:b/>
                <w:sz w:val="18"/>
              </w:rPr>
            </w:pPr>
            <w:r>
              <w:rPr>
                <w:b/>
                <w:sz w:val="18"/>
              </w:rPr>
              <w:t>2012</w:t>
            </w:r>
          </w:p>
        </w:tc>
        <w:tc>
          <w:tcPr>
            <w:tcW w:w="6488" w:type="dxa"/>
            <w:gridSpan w:val="4"/>
            <w:shd w:val="clear" w:color="auto" w:fill="C5DFB3"/>
          </w:tcPr>
          <w:p>
            <w:pPr>
              <w:pStyle w:val="TableParagraph"/>
              <w:spacing w:line="201" w:lineRule="exact"/>
              <w:ind w:left="3019" w:right="3018"/>
              <w:rPr>
                <w:b/>
                <w:sz w:val="18"/>
              </w:rPr>
            </w:pPr>
            <w:r>
              <w:rPr>
                <w:b/>
                <w:sz w:val="18"/>
              </w:rPr>
              <w:t>2013</w:t>
            </w:r>
          </w:p>
        </w:tc>
      </w:tr>
      <w:tr>
        <w:trPr>
          <w:trHeight w:val="1374" w:hRule="exact"/>
        </w:trPr>
        <w:tc>
          <w:tcPr>
            <w:tcW w:w="2141" w:type="dxa"/>
            <w:vMerge/>
            <w:shd w:val="clear" w:color="auto" w:fill="C5DFB3"/>
          </w:tcPr>
          <w:p>
            <w:pPr/>
          </w:p>
        </w:tc>
        <w:tc>
          <w:tcPr>
            <w:tcW w:w="165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w w:val="100"/>
                <w:sz w:val="18"/>
              </w:rPr>
              <w:t>Autoriz</w:t>
            </w:r>
            <w:r>
              <w:rPr>
                <w:b/>
                <w:w w:val="99"/>
                <w:sz w:val="18"/>
              </w:rPr>
              <w:t>a</w:t>
            </w:r>
            <w:r>
              <w:rPr>
                <w:b/>
                <w:w w:val="100"/>
                <w:sz w:val="18"/>
              </w:rPr>
              <w:t>do</w:t>
            </w:r>
          </w:p>
        </w:tc>
        <w:tc>
          <w:tcPr>
            <w:tcW w:w="150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15"/>
              </w:rPr>
            </w:pPr>
          </w:p>
          <w:p>
            <w:pPr>
              <w:pStyle w:val="TableParagraph"/>
              <w:ind w:left="206"/>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326"/>
              <w:jc w:val="left"/>
              <w:rPr>
                <w:b/>
                <w:sz w:val="18"/>
              </w:rPr>
            </w:pPr>
            <w:r>
              <w:rPr>
                <w:b/>
                <w:w w:val="100"/>
                <w:sz w:val="18"/>
              </w:rPr>
              <w:t>Eje</w:t>
            </w:r>
            <w:r>
              <w:rPr>
                <w:b/>
                <w:w w:val="99"/>
                <w:sz w:val="18"/>
              </w:rPr>
              <w:t>rci</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211"/>
              <w:jc w:val="left"/>
              <w:rPr>
                <w:b/>
                <w:sz w:val="18"/>
              </w:rPr>
            </w:pPr>
            <w:r>
              <w:rPr>
                <w:b/>
                <w:sz w:val="18"/>
              </w:rPr>
              <w:t>Por </w:t>
            </w:r>
            <w:r>
              <w:rPr>
                <w:b/>
                <w:w w:val="99"/>
                <w:sz w:val="18"/>
              </w:rPr>
              <w:t>e</w:t>
            </w:r>
            <w:r>
              <w:rPr>
                <w:b/>
                <w:w w:val="100"/>
                <w:sz w:val="18"/>
              </w:rPr>
              <w:t>je</w:t>
            </w:r>
            <w:r>
              <w:rPr>
                <w:b/>
                <w:w w:val="99"/>
                <w:sz w:val="18"/>
              </w:rPr>
              <w:t>rcer</w:t>
            </w:r>
          </w:p>
        </w:tc>
        <w:tc>
          <w:tcPr>
            <w:tcW w:w="165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w w:val="100"/>
                <w:sz w:val="18"/>
              </w:rPr>
              <w:t>Autoriz</w:t>
            </w:r>
            <w:r>
              <w:rPr>
                <w:b/>
                <w:w w:val="99"/>
                <w:sz w:val="18"/>
              </w:rPr>
              <w:t>a</w:t>
            </w:r>
            <w:r>
              <w:rPr>
                <w:b/>
                <w:w w:val="100"/>
                <w:sz w:val="18"/>
              </w:rPr>
              <w:t>do</w:t>
            </w:r>
          </w:p>
        </w:tc>
        <w:tc>
          <w:tcPr>
            <w:tcW w:w="150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15"/>
              </w:rPr>
            </w:pPr>
          </w:p>
          <w:p>
            <w:pPr>
              <w:pStyle w:val="TableParagraph"/>
              <w:ind w:left="206"/>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326"/>
              <w:jc w:val="left"/>
              <w:rPr>
                <w:b/>
                <w:sz w:val="18"/>
              </w:rPr>
            </w:pPr>
            <w:r>
              <w:rPr>
                <w:b/>
                <w:w w:val="100"/>
                <w:sz w:val="18"/>
              </w:rPr>
              <w:t>Eje</w:t>
            </w:r>
            <w:r>
              <w:rPr>
                <w:b/>
                <w:w w:val="99"/>
                <w:sz w:val="18"/>
              </w:rPr>
              <w:t>rci</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spacing w:val="-1"/>
                <w:w w:val="100"/>
                <w:sz w:val="18"/>
              </w:rPr>
              <w:t>P</w:t>
            </w:r>
            <w:r>
              <w:rPr>
                <w:b/>
                <w:w w:val="100"/>
                <w:sz w:val="18"/>
              </w:rPr>
              <w:t>or </w:t>
            </w:r>
            <w:r>
              <w:rPr>
                <w:b/>
                <w:w w:val="99"/>
                <w:sz w:val="18"/>
              </w:rPr>
              <w:t>e</w:t>
            </w:r>
            <w:r>
              <w:rPr>
                <w:b/>
                <w:w w:val="100"/>
                <w:sz w:val="18"/>
              </w:rPr>
              <w:t>je</w:t>
            </w:r>
            <w:r>
              <w:rPr>
                <w:b/>
                <w:w w:val="99"/>
                <w:sz w:val="18"/>
              </w:rPr>
              <w:t>rcer</w:t>
            </w:r>
          </w:p>
        </w:tc>
      </w:tr>
      <w:tr>
        <w:trPr>
          <w:trHeight w:val="521" w:hRule="exact"/>
        </w:trPr>
        <w:tc>
          <w:tcPr>
            <w:tcW w:w="2141" w:type="dxa"/>
          </w:tcPr>
          <w:p>
            <w:pPr>
              <w:pStyle w:val="TableParagraph"/>
              <w:spacing w:before="95"/>
              <w:ind w:left="64" w:right="67"/>
              <w:jc w:val="left"/>
              <w:rPr>
                <w:b/>
                <w:sz w:val="18"/>
              </w:rPr>
            </w:pPr>
            <w:r>
              <w:rPr>
                <w:b/>
                <w:color w:val="333333"/>
                <w:sz w:val="18"/>
              </w:rPr>
              <w:t>SANTO TOMAS</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3" w:right="54"/>
              <w:rPr>
                <w:sz w:val="18"/>
              </w:rPr>
            </w:pPr>
            <w:r>
              <w:rPr>
                <w:sz w:val="18"/>
              </w:rPr>
              <w:t>$0.00</w:t>
            </w:r>
          </w:p>
        </w:tc>
      </w:tr>
      <w:tr>
        <w:trPr>
          <w:trHeight w:val="775" w:hRule="exact"/>
        </w:trPr>
        <w:tc>
          <w:tcPr>
            <w:tcW w:w="2141" w:type="dxa"/>
          </w:tcPr>
          <w:p>
            <w:pPr>
              <w:pStyle w:val="TableParagraph"/>
              <w:tabs>
                <w:tab w:pos="1811" w:val="left" w:leader="none"/>
              </w:tabs>
              <w:spacing w:line="362" w:lineRule="auto" w:before="66"/>
              <w:ind w:left="64" w:right="68"/>
              <w:jc w:val="left"/>
              <w:rPr>
                <w:b/>
                <w:sz w:val="18"/>
              </w:rPr>
            </w:pPr>
            <w:r>
              <w:rPr>
                <w:b/>
                <w:color w:val="333333"/>
                <w:sz w:val="18"/>
              </w:rPr>
              <w:t>SOYANIQUILPAN</w:t>
              <w:tab/>
              <w:t>DE JUAREZ</w:t>
            </w:r>
          </w:p>
        </w:tc>
        <w:tc>
          <w:tcPr>
            <w:tcW w:w="1658" w:type="dxa"/>
          </w:tcPr>
          <w:p>
            <w:pPr>
              <w:pStyle w:val="TableParagraph"/>
              <w:spacing w:before="8"/>
              <w:jc w:val="left"/>
              <w:rPr>
                <w:rFonts w:ascii="Times New Roman"/>
                <w:sz w:val="19"/>
              </w:rPr>
            </w:pPr>
          </w:p>
          <w:p>
            <w:pPr>
              <w:pStyle w:val="TableParagraph"/>
              <w:ind w:left="52" w:right="53"/>
              <w:rPr>
                <w:sz w:val="18"/>
              </w:rPr>
            </w:pPr>
            <w:r>
              <w:rPr>
                <w:sz w:val="18"/>
              </w:rPr>
              <w:t>$0.00</w:t>
            </w:r>
          </w:p>
        </w:tc>
        <w:tc>
          <w:tcPr>
            <w:tcW w:w="1508" w:type="dxa"/>
          </w:tcPr>
          <w:p>
            <w:pPr>
              <w:pStyle w:val="TableParagraph"/>
              <w:spacing w:before="8"/>
              <w:jc w:val="left"/>
              <w:rPr>
                <w:rFonts w:ascii="Times New Roman"/>
                <w:sz w:val="19"/>
              </w:rPr>
            </w:pPr>
          </w:p>
          <w:p>
            <w:pPr>
              <w:pStyle w:val="TableParagraph"/>
              <w:ind w:left="53" w:right="48"/>
              <w:rPr>
                <w:sz w:val="18"/>
              </w:rPr>
            </w:pPr>
            <w:r>
              <w:rPr>
                <w:sz w:val="18"/>
              </w:rPr>
              <w:t>$0.00</w:t>
            </w:r>
          </w:p>
        </w:tc>
        <w:tc>
          <w:tcPr>
            <w:tcW w:w="1661" w:type="dxa"/>
          </w:tcPr>
          <w:p>
            <w:pPr>
              <w:pStyle w:val="TableParagraph"/>
              <w:spacing w:before="8"/>
              <w:jc w:val="left"/>
              <w:rPr>
                <w:rFonts w:ascii="Times New Roman"/>
                <w:sz w:val="19"/>
              </w:rPr>
            </w:pPr>
          </w:p>
          <w:p>
            <w:pPr>
              <w:pStyle w:val="TableParagraph"/>
              <w:ind w:left="53" w:right="52"/>
              <w:rPr>
                <w:sz w:val="18"/>
              </w:rPr>
            </w:pPr>
            <w:r>
              <w:rPr>
                <w:sz w:val="18"/>
              </w:rPr>
              <w:t>$0.00</w:t>
            </w:r>
          </w:p>
        </w:tc>
        <w:tc>
          <w:tcPr>
            <w:tcW w:w="1661" w:type="dxa"/>
          </w:tcPr>
          <w:p>
            <w:pPr>
              <w:pStyle w:val="TableParagraph"/>
              <w:spacing w:before="8"/>
              <w:jc w:val="left"/>
              <w:rPr>
                <w:rFonts w:ascii="Times New Roman"/>
                <w:sz w:val="19"/>
              </w:rPr>
            </w:pPr>
          </w:p>
          <w:p>
            <w:pPr>
              <w:pStyle w:val="TableParagraph"/>
              <w:ind w:left="54" w:right="56"/>
              <w:rPr>
                <w:sz w:val="18"/>
              </w:rPr>
            </w:pPr>
            <w:r>
              <w:rPr>
                <w:sz w:val="18"/>
              </w:rPr>
              <w:t>$0.00</w:t>
            </w:r>
          </w:p>
        </w:tc>
        <w:tc>
          <w:tcPr>
            <w:tcW w:w="1658" w:type="dxa"/>
          </w:tcPr>
          <w:p>
            <w:pPr>
              <w:pStyle w:val="TableParagraph"/>
              <w:spacing w:before="8"/>
              <w:jc w:val="left"/>
              <w:rPr>
                <w:rFonts w:ascii="Times New Roman"/>
                <w:sz w:val="19"/>
              </w:rPr>
            </w:pPr>
          </w:p>
          <w:p>
            <w:pPr>
              <w:pStyle w:val="TableParagraph"/>
              <w:ind w:left="53" w:right="53"/>
              <w:rPr>
                <w:sz w:val="18"/>
              </w:rPr>
            </w:pPr>
            <w:r>
              <w:rPr>
                <w:sz w:val="18"/>
              </w:rPr>
              <w:t>$171,535,132.00</w:t>
            </w:r>
          </w:p>
        </w:tc>
        <w:tc>
          <w:tcPr>
            <w:tcW w:w="1508" w:type="dxa"/>
          </w:tcPr>
          <w:p>
            <w:pPr>
              <w:pStyle w:val="TableParagraph"/>
              <w:spacing w:before="8"/>
              <w:jc w:val="left"/>
              <w:rPr>
                <w:rFonts w:ascii="Times New Roman"/>
                <w:sz w:val="19"/>
              </w:rPr>
            </w:pPr>
          </w:p>
          <w:p>
            <w:pPr>
              <w:pStyle w:val="TableParagraph"/>
              <w:ind w:left="53" w:right="51"/>
              <w:rPr>
                <w:sz w:val="18"/>
              </w:rPr>
            </w:pPr>
            <w:r>
              <w:rPr>
                <w:sz w:val="18"/>
              </w:rPr>
              <w:t>$11,877.65</w:t>
            </w:r>
          </w:p>
        </w:tc>
        <w:tc>
          <w:tcPr>
            <w:tcW w:w="1661" w:type="dxa"/>
          </w:tcPr>
          <w:p>
            <w:pPr>
              <w:pStyle w:val="TableParagraph"/>
              <w:spacing w:before="8"/>
              <w:jc w:val="left"/>
              <w:rPr>
                <w:rFonts w:ascii="Times New Roman"/>
                <w:sz w:val="19"/>
              </w:rPr>
            </w:pPr>
          </w:p>
          <w:p>
            <w:pPr>
              <w:pStyle w:val="TableParagraph"/>
              <w:ind w:left="53" w:right="50"/>
              <w:rPr>
                <w:sz w:val="18"/>
              </w:rPr>
            </w:pPr>
            <w:r>
              <w:rPr>
                <w:sz w:val="18"/>
              </w:rPr>
              <w:t>$20,241,489.30</w:t>
            </w:r>
          </w:p>
        </w:tc>
        <w:tc>
          <w:tcPr>
            <w:tcW w:w="1661" w:type="dxa"/>
          </w:tcPr>
          <w:p>
            <w:pPr>
              <w:pStyle w:val="TableParagraph"/>
              <w:spacing w:before="8"/>
              <w:jc w:val="left"/>
              <w:rPr>
                <w:rFonts w:ascii="Times New Roman"/>
                <w:sz w:val="19"/>
              </w:rPr>
            </w:pPr>
          </w:p>
          <w:p>
            <w:pPr>
              <w:pStyle w:val="TableParagraph"/>
              <w:ind w:left="148"/>
              <w:jc w:val="left"/>
              <w:rPr>
                <w:sz w:val="18"/>
              </w:rPr>
            </w:pPr>
            <w:r>
              <w:rPr>
                <w:sz w:val="18"/>
              </w:rPr>
              <w:t>$151,281,765.05</w:t>
            </w:r>
          </w:p>
        </w:tc>
      </w:tr>
      <w:tr>
        <w:trPr>
          <w:trHeight w:val="521" w:hRule="exact"/>
        </w:trPr>
        <w:tc>
          <w:tcPr>
            <w:tcW w:w="2141" w:type="dxa"/>
          </w:tcPr>
          <w:p>
            <w:pPr>
              <w:pStyle w:val="TableParagraph"/>
              <w:spacing w:before="95"/>
              <w:ind w:left="64" w:right="67"/>
              <w:jc w:val="left"/>
              <w:rPr>
                <w:b/>
                <w:sz w:val="18"/>
              </w:rPr>
            </w:pPr>
            <w:r>
              <w:rPr>
                <w:b/>
                <w:color w:val="333333"/>
                <w:sz w:val="18"/>
              </w:rPr>
              <w:t>SULTEPEC</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3" w:right="53"/>
              <w:rPr>
                <w:sz w:val="18"/>
              </w:rPr>
            </w:pPr>
            <w:r>
              <w:rPr>
                <w:sz w:val="18"/>
              </w:rPr>
              <w:t>$161,153,573.00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1"/>
              <w:rPr>
                <w:sz w:val="18"/>
              </w:rPr>
            </w:pPr>
            <w:r>
              <w:rPr>
                <w:sz w:val="18"/>
              </w:rPr>
              <w:t>$118,778,594.58</w:t>
            </w:r>
          </w:p>
        </w:tc>
        <w:tc>
          <w:tcPr>
            <w:tcW w:w="1661" w:type="dxa"/>
          </w:tcPr>
          <w:p>
            <w:pPr>
              <w:pStyle w:val="TableParagraph"/>
              <w:spacing w:before="100"/>
              <w:ind w:left="199"/>
              <w:jc w:val="left"/>
              <w:rPr>
                <w:sz w:val="18"/>
              </w:rPr>
            </w:pPr>
            <w:r>
              <w:rPr>
                <w:sz w:val="18"/>
              </w:rPr>
              <w:t>$42,374,978.42</w:t>
            </w:r>
          </w:p>
        </w:tc>
      </w:tr>
      <w:tr>
        <w:trPr>
          <w:trHeight w:val="518" w:hRule="exact"/>
        </w:trPr>
        <w:tc>
          <w:tcPr>
            <w:tcW w:w="2141" w:type="dxa"/>
          </w:tcPr>
          <w:p>
            <w:pPr>
              <w:pStyle w:val="TableParagraph"/>
              <w:spacing w:before="92"/>
              <w:ind w:left="64" w:right="67"/>
              <w:jc w:val="left"/>
              <w:rPr>
                <w:b/>
                <w:sz w:val="18"/>
              </w:rPr>
            </w:pPr>
            <w:r>
              <w:rPr>
                <w:b/>
                <w:color w:val="333333"/>
                <w:sz w:val="18"/>
              </w:rPr>
              <w:t>TECAMAC</w:t>
            </w:r>
          </w:p>
        </w:tc>
        <w:tc>
          <w:tcPr>
            <w:tcW w:w="1658" w:type="dxa"/>
          </w:tcPr>
          <w:p>
            <w:pPr>
              <w:pStyle w:val="TableParagraph"/>
              <w:spacing w:before="97"/>
              <w:ind w:left="53" w:right="53"/>
              <w:rPr>
                <w:sz w:val="18"/>
              </w:rPr>
            </w:pPr>
            <w:r>
              <w:rPr>
                <w:sz w:val="18"/>
              </w:rPr>
              <w:t>$851,702,817.00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3"/>
              <w:rPr>
                <w:sz w:val="18"/>
              </w:rPr>
            </w:pPr>
            <w:r>
              <w:rPr>
                <w:sz w:val="18"/>
              </w:rPr>
              <w:t>$1,168,238,871.03</w:t>
            </w:r>
          </w:p>
        </w:tc>
        <w:tc>
          <w:tcPr>
            <w:tcW w:w="1661" w:type="dxa"/>
          </w:tcPr>
          <w:p>
            <w:pPr>
              <w:pStyle w:val="TableParagraph"/>
              <w:spacing w:before="97"/>
              <w:ind w:left="54" w:right="54"/>
              <w:rPr>
                <w:sz w:val="18"/>
              </w:rPr>
            </w:pPr>
            <w:r>
              <w:rPr>
                <w:sz w:val="18"/>
              </w:rPr>
              <w:t>$316,536,054.03</w:t>
            </w:r>
          </w:p>
        </w:tc>
        <w:tc>
          <w:tcPr>
            <w:tcW w:w="1658" w:type="dxa"/>
          </w:tcPr>
          <w:p>
            <w:pPr>
              <w:pStyle w:val="TableParagraph"/>
              <w:spacing w:before="97"/>
              <w:ind w:left="53" w:right="53"/>
              <w:rPr>
                <w:sz w:val="18"/>
              </w:rPr>
            </w:pPr>
            <w:r>
              <w:rPr>
                <w:sz w:val="18"/>
              </w:rPr>
              <w:t>$788,132,879.00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3"/>
              <w:rPr>
                <w:sz w:val="18"/>
              </w:rPr>
            </w:pPr>
            <w:r>
              <w:rPr>
                <w:sz w:val="18"/>
              </w:rPr>
              <w:t>$1,093,987,331.63</w:t>
            </w:r>
          </w:p>
        </w:tc>
        <w:tc>
          <w:tcPr>
            <w:tcW w:w="1661" w:type="dxa"/>
          </w:tcPr>
          <w:p>
            <w:pPr>
              <w:pStyle w:val="TableParagraph"/>
              <w:spacing w:before="97"/>
              <w:ind w:left="148"/>
              <w:jc w:val="left"/>
              <w:rPr>
                <w:sz w:val="18"/>
              </w:rPr>
            </w:pPr>
            <w:r>
              <w:rPr>
                <w:sz w:val="18"/>
              </w:rPr>
              <w:t>$305,854,452.63</w:t>
            </w:r>
          </w:p>
        </w:tc>
      </w:tr>
      <w:tr>
        <w:trPr>
          <w:trHeight w:val="521" w:hRule="exact"/>
        </w:trPr>
        <w:tc>
          <w:tcPr>
            <w:tcW w:w="2141" w:type="dxa"/>
          </w:tcPr>
          <w:p>
            <w:pPr>
              <w:pStyle w:val="TableParagraph"/>
              <w:spacing w:before="95"/>
              <w:ind w:left="64" w:right="67"/>
              <w:jc w:val="left"/>
              <w:rPr>
                <w:b/>
                <w:sz w:val="18"/>
              </w:rPr>
            </w:pPr>
            <w:r>
              <w:rPr>
                <w:b/>
                <w:color w:val="333333"/>
                <w:sz w:val="18"/>
              </w:rPr>
              <w:t>TEJUPILCO</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3" w:right="53"/>
              <w:rPr>
                <w:sz w:val="18"/>
              </w:rPr>
            </w:pPr>
            <w:r>
              <w:rPr>
                <w:sz w:val="18"/>
              </w:rPr>
              <w:t>$309,478,502.86</w:t>
            </w:r>
          </w:p>
        </w:tc>
        <w:tc>
          <w:tcPr>
            <w:tcW w:w="1508" w:type="dxa"/>
          </w:tcPr>
          <w:p>
            <w:pPr>
              <w:pStyle w:val="TableParagraph"/>
              <w:spacing w:before="100"/>
              <w:ind w:left="53" w:right="51"/>
              <w:rPr>
                <w:sz w:val="18"/>
              </w:rPr>
            </w:pPr>
            <w:r>
              <w:rPr>
                <w:sz w:val="18"/>
              </w:rPr>
              <w:t>$11,332,597.30</w:t>
            </w:r>
          </w:p>
        </w:tc>
        <w:tc>
          <w:tcPr>
            <w:tcW w:w="1661" w:type="dxa"/>
          </w:tcPr>
          <w:p>
            <w:pPr>
              <w:pStyle w:val="TableParagraph"/>
              <w:spacing w:before="100"/>
              <w:ind w:left="53" w:right="51"/>
              <w:rPr>
                <w:sz w:val="18"/>
              </w:rPr>
            </w:pPr>
            <w:r>
              <w:rPr>
                <w:sz w:val="18"/>
              </w:rPr>
              <w:t>$339,836,222.44</w:t>
            </w:r>
          </w:p>
        </w:tc>
        <w:tc>
          <w:tcPr>
            <w:tcW w:w="1661" w:type="dxa"/>
          </w:tcPr>
          <w:p>
            <w:pPr>
              <w:pStyle w:val="TableParagraph"/>
              <w:spacing w:before="100"/>
              <w:ind w:left="199"/>
              <w:jc w:val="left"/>
              <w:rPr>
                <w:sz w:val="18"/>
              </w:rPr>
            </w:pPr>
            <w:r>
              <w:rPr>
                <w:sz w:val="18"/>
              </w:rPr>
              <w:t>$19,025,122.28</w:t>
            </w:r>
          </w:p>
        </w:tc>
      </w:tr>
      <w:tr>
        <w:trPr>
          <w:trHeight w:val="521" w:hRule="exact"/>
        </w:trPr>
        <w:tc>
          <w:tcPr>
            <w:tcW w:w="2141" w:type="dxa"/>
          </w:tcPr>
          <w:p>
            <w:pPr>
              <w:pStyle w:val="TableParagraph"/>
              <w:spacing w:before="95"/>
              <w:ind w:left="64" w:right="67"/>
              <w:jc w:val="left"/>
              <w:rPr>
                <w:b/>
                <w:sz w:val="18"/>
              </w:rPr>
            </w:pPr>
            <w:r>
              <w:rPr>
                <w:b/>
                <w:color w:val="333333"/>
                <w:sz w:val="18"/>
              </w:rPr>
              <w:t>TEMAMATLA</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3" w:right="54"/>
              <w:rPr>
                <w:sz w:val="18"/>
              </w:rPr>
            </w:pPr>
            <w:r>
              <w:rPr>
                <w:sz w:val="18"/>
              </w:rPr>
              <w:t>$0.00</w:t>
            </w:r>
          </w:p>
        </w:tc>
      </w:tr>
      <w:tr>
        <w:trPr>
          <w:trHeight w:val="518" w:hRule="exact"/>
        </w:trPr>
        <w:tc>
          <w:tcPr>
            <w:tcW w:w="2141" w:type="dxa"/>
          </w:tcPr>
          <w:p>
            <w:pPr>
              <w:pStyle w:val="TableParagraph"/>
              <w:spacing w:before="92"/>
              <w:ind w:left="64" w:right="67"/>
              <w:jc w:val="left"/>
              <w:rPr>
                <w:b/>
                <w:sz w:val="18"/>
              </w:rPr>
            </w:pPr>
            <w:r>
              <w:rPr>
                <w:b/>
                <w:color w:val="333333"/>
                <w:sz w:val="18"/>
              </w:rPr>
              <w:t>TEMASCALAPA</w:t>
            </w:r>
          </w:p>
        </w:tc>
        <w:tc>
          <w:tcPr>
            <w:tcW w:w="1658" w:type="dxa"/>
          </w:tcPr>
          <w:p>
            <w:pPr>
              <w:pStyle w:val="TableParagraph"/>
              <w:spacing w:before="97"/>
              <w:ind w:left="53" w:right="53"/>
              <w:rPr>
                <w:sz w:val="18"/>
              </w:rPr>
            </w:pPr>
            <w:r>
              <w:rPr>
                <w:sz w:val="18"/>
              </w:rPr>
              <w:t>$117,444,473.00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54" w:right="54"/>
              <w:rPr>
                <w:sz w:val="18"/>
              </w:rPr>
            </w:pPr>
            <w:r>
              <w:rPr>
                <w:sz w:val="18"/>
              </w:rPr>
              <w:t>$117,444,473.00</w:t>
            </w:r>
          </w:p>
        </w:tc>
        <w:tc>
          <w:tcPr>
            <w:tcW w:w="1658" w:type="dxa"/>
          </w:tcPr>
          <w:p>
            <w:pPr>
              <w:pStyle w:val="TableParagraph"/>
              <w:spacing w:before="97"/>
              <w:ind w:left="53" w:right="53"/>
              <w:rPr>
                <w:sz w:val="18"/>
              </w:rPr>
            </w:pPr>
            <w:r>
              <w:rPr>
                <w:sz w:val="18"/>
              </w:rPr>
              <w:t>$114,364,406.10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148"/>
              <w:jc w:val="left"/>
              <w:rPr>
                <w:sz w:val="18"/>
              </w:rPr>
            </w:pPr>
            <w:r>
              <w:rPr>
                <w:sz w:val="18"/>
              </w:rPr>
              <w:t>$114,364,406.10</w:t>
            </w:r>
          </w:p>
        </w:tc>
      </w:tr>
      <w:tr>
        <w:trPr>
          <w:trHeight w:val="521" w:hRule="exact"/>
        </w:trPr>
        <w:tc>
          <w:tcPr>
            <w:tcW w:w="2141" w:type="dxa"/>
          </w:tcPr>
          <w:p>
            <w:pPr>
              <w:pStyle w:val="TableParagraph"/>
              <w:spacing w:before="95"/>
              <w:ind w:left="64" w:right="67"/>
              <w:jc w:val="left"/>
              <w:rPr>
                <w:b/>
                <w:sz w:val="18"/>
              </w:rPr>
            </w:pPr>
            <w:r>
              <w:rPr>
                <w:b/>
                <w:color w:val="333333"/>
                <w:sz w:val="18"/>
              </w:rPr>
              <w:t>TEMASCALCINGO</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3" w:right="53"/>
              <w:rPr>
                <w:sz w:val="18"/>
              </w:rPr>
            </w:pPr>
            <w:r>
              <w:rPr>
                <w:sz w:val="18"/>
              </w:rPr>
              <w:t>$270,551,333.00</w:t>
            </w:r>
          </w:p>
        </w:tc>
        <w:tc>
          <w:tcPr>
            <w:tcW w:w="1508" w:type="dxa"/>
          </w:tcPr>
          <w:p>
            <w:pPr>
              <w:pStyle w:val="TableParagraph"/>
              <w:spacing w:before="100"/>
              <w:ind w:left="53" w:right="51"/>
              <w:rPr>
                <w:sz w:val="18"/>
              </w:rPr>
            </w:pPr>
            <w:r>
              <w:rPr>
                <w:sz w:val="18"/>
              </w:rPr>
              <w:t>$60,532,947.00</w:t>
            </w:r>
          </w:p>
        </w:tc>
        <w:tc>
          <w:tcPr>
            <w:tcW w:w="1661" w:type="dxa"/>
          </w:tcPr>
          <w:p>
            <w:pPr>
              <w:pStyle w:val="TableParagraph"/>
              <w:spacing w:before="100"/>
              <w:ind w:left="53" w:right="51"/>
              <w:rPr>
                <w:sz w:val="18"/>
              </w:rPr>
            </w:pPr>
            <w:r>
              <w:rPr>
                <w:sz w:val="18"/>
              </w:rPr>
              <w:t>$200,649,235.00</w:t>
            </w:r>
          </w:p>
        </w:tc>
        <w:tc>
          <w:tcPr>
            <w:tcW w:w="1661" w:type="dxa"/>
          </w:tcPr>
          <w:p>
            <w:pPr>
              <w:pStyle w:val="TableParagraph"/>
              <w:spacing w:before="100"/>
              <w:ind w:left="247"/>
              <w:jc w:val="left"/>
              <w:rPr>
                <w:sz w:val="18"/>
              </w:rPr>
            </w:pPr>
            <w:r>
              <w:rPr>
                <w:sz w:val="18"/>
              </w:rPr>
              <w:t>$9,369,151.00</w:t>
            </w:r>
          </w:p>
        </w:tc>
      </w:tr>
      <w:tr>
        <w:trPr>
          <w:trHeight w:val="521" w:hRule="exact"/>
        </w:trPr>
        <w:tc>
          <w:tcPr>
            <w:tcW w:w="2141" w:type="dxa"/>
          </w:tcPr>
          <w:p>
            <w:pPr>
              <w:pStyle w:val="TableParagraph"/>
              <w:spacing w:before="95"/>
              <w:ind w:left="64" w:right="67"/>
              <w:jc w:val="left"/>
              <w:rPr>
                <w:b/>
                <w:sz w:val="18"/>
              </w:rPr>
            </w:pPr>
            <w:r>
              <w:rPr>
                <w:b/>
                <w:color w:val="333333"/>
                <w:sz w:val="18"/>
              </w:rPr>
              <w:t>TEMASCALTEPEC</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7"/>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3" w:right="54"/>
              <w:rPr>
                <w:sz w:val="18"/>
              </w:rPr>
            </w:pPr>
            <w:r>
              <w:rPr>
                <w:sz w:val="18"/>
              </w:rPr>
              <w:t>$0.00</w:t>
            </w:r>
          </w:p>
        </w:tc>
      </w:tr>
      <w:tr>
        <w:trPr>
          <w:trHeight w:val="519" w:hRule="exact"/>
        </w:trPr>
        <w:tc>
          <w:tcPr>
            <w:tcW w:w="2141" w:type="dxa"/>
            <w:tcBorders>
              <w:bottom w:val="single" w:sz="4" w:space="0" w:color="000000"/>
            </w:tcBorders>
          </w:tcPr>
          <w:p>
            <w:pPr>
              <w:pStyle w:val="TableParagraph"/>
              <w:spacing w:before="92"/>
              <w:ind w:left="64" w:right="67"/>
              <w:jc w:val="left"/>
              <w:rPr>
                <w:b/>
                <w:sz w:val="18"/>
              </w:rPr>
            </w:pPr>
            <w:r>
              <w:rPr>
                <w:b/>
                <w:color w:val="333333"/>
                <w:sz w:val="18"/>
              </w:rPr>
              <w:t>TEMOAYA</w:t>
            </w:r>
          </w:p>
        </w:tc>
        <w:tc>
          <w:tcPr>
            <w:tcW w:w="1658" w:type="dxa"/>
            <w:tcBorders>
              <w:bottom w:val="single" w:sz="4" w:space="0" w:color="000000"/>
            </w:tcBorders>
          </w:tcPr>
          <w:p>
            <w:pPr>
              <w:pStyle w:val="TableParagraph"/>
              <w:spacing w:before="97"/>
              <w:ind w:left="52" w:right="53"/>
              <w:rPr>
                <w:sz w:val="18"/>
              </w:rPr>
            </w:pPr>
            <w:r>
              <w:rPr>
                <w:sz w:val="18"/>
              </w:rPr>
              <w:t>$0.00</w:t>
            </w:r>
          </w:p>
        </w:tc>
        <w:tc>
          <w:tcPr>
            <w:tcW w:w="1508" w:type="dxa"/>
            <w:tcBorders>
              <w:bottom w:val="single" w:sz="4" w:space="0" w:color="000000"/>
            </w:tcBorders>
          </w:tcPr>
          <w:p>
            <w:pPr>
              <w:pStyle w:val="TableParagraph"/>
              <w:spacing w:before="97"/>
              <w:ind w:left="53" w:right="48"/>
              <w:rPr>
                <w:sz w:val="18"/>
              </w:rPr>
            </w:pPr>
            <w:r>
              <w:rPr>
                <w:sz w:val="18"/>
              </w:rPr>
              <w:t>$0.00</w:t>
            </w:r>
          </w:p>
        </w:tc>
        <w:tc>
          <w:tcPr>
            <w:tcW w:w="1661" w:type="dxa"/>
            <w:tcBorders>
              <w:bottom w:val="single" w:sz="4" w:space="0" w:color="000000"/>
            </w:tcBorders>
          </w:tcPr>
          <w:p>
            <w:pPr>
              <w:pStyle w:val="TableParagraph"/>
              <w:spacing w:before="97"/>
              <w:ind w:left="53" w:right="52"/>
              <w:rPr>
                <w:sz w:val="18"/>
              </w:rPr>
            </w:pPr>
            <w:r>
              <w:rPr>
                <w:sz w:val="18"/>
              </w:rPr>
              <w:t>$0.00</w:t>
            </w:r>
          </w:p>
        </w:tc>
        <w:tc>
          <w:tcPr>
            <w:tcW w:w="1661" w:type="dxa"/>
            <w:tcBorders>
              <w:bottom w:val="single" w:sz="4" w:space="0" w:color="000000"/>
            </w:tcBorders>
          </w:tcPr>
          <w:p>
            <w:pPr>
              <w:pStyle w:val="TableParagraph"/>
              <w:spacing w:before="97"/>
              <w:ind w:left="54" w:right="56"/>
              <w:rPr>
                <w:sz w:val="18"/>
              </w:rPr>
            </w:pPr>
            <w:r>
              <w:rPr>
                <w:sz w:val="18"/>
              </w:rPr>
              <w:t>$0.00</w:t>
            </w:r>
          </w:p>
        </w:tc>
        <w:tc>
          <w:tcPr>
            <w:tcW w:w="1658" w:type="dxa"/>
            <w:tcBorders>
              <w:bottom w:val="single" w:sz="4" w:space="0" w:color="000000"/>
            </w:tcBorders>
          </w:tcPr>
          <w:p>
            <w:pPr>
              <w:pStyle w:val="TableParagraph"/>
              <w:spacing w:before="97"/>
              <w:ind w:left="53" w:right="53"/>
              <w:rPr>
                <w:sz w:val="18"/>
              </w:rPr>
            </w:pPr>
            <w:r>
              <w:rPr>
                <w:sz w:val="18"/>
              </w:rPr>
              <w:t>$241,539,026.76</w:t>
            </w:r>
          </w:p>
        </w:tc>
        <w:tc>
          <w:tcPr>
            <w:tcW w:w="1508" w:type="dxa"/>
            <w:tcBorders>
              <w:bottom w:val="single" w:sz="4" w:space="0" w:color="000000"/>
            </w:tcBorders>
          </w:tcPr>
          <w:p>
            <w:pPr>
              <w:pStyle w:val="TableParagraph"/>
              <w:spacing w:before="97"/>
              <w:ind w:left="53" w:right="49"/>
              <w:rPr>
                <w:sz w:val="18"/>
              </w:rPr>
            </w:pPr>
            <w:r>
              <w:rPr>
                <w:sz w:val="18"/>
              </w:rPr>
              <w:t>$1,410,360.94</w:t>
            </w:r>
          </w:p>
        </w:tc>
        <w:tc>
          <w:tcPr>
            <w:tcW w:w="1661" w:type="dxa"/>
            <w:tcBorders>
              <w:bottom w:val="single" w:sz="4" w:space="0" w:color="000000"/>
            </w:tcBorders>
          </w:tcPr>
          <w:p>
            <w:pPr>
              <w:pStyle w:val="TableParagraph"/>
              <w:spacing w:before="97"/>
              <w:ind w:left="53" w:right="51"/>
              <w:rPr>
                <w:sz w:val="18"/>
              </w:rPr>
            </w:pPr>
            <w:r>
              <w:rPr>
                <w:sz w:val="18"/>
              </w:rPr>
              <w:t>$211,606,085.75</w:t>
            </w:r>
          </w:p>
        </w:tc>
        <w:tc>
          <w:tcPr>
            <w:tcW w:w="1661" w:type="dxa"/>
            <w:tcBorders>
              <w:bottom w:val="single" w:sz="4" w:space="0" w:color="000000"/>
            </w:tcBorders>
          </w:tcPr>
          <w:p>
            <w:pPr>
              <w:pStyle w:val="TableParagraph"/>
              <w:spacing w:before="97"/>
              <w:ind w:left="199"/>
              <w:jc w:val="left"/>
              <w:rPr>
                <w:sz w:val="18"/>
              </w:rPr>
            </w:pPr>
            <w:r>
              <w:rPr>
                <w:sz w:val="18"/>
              </w:rPr>
              <w:t>$31,343,301.95</w:t>
            </w:r>
          </w:p>
        </w:tc>
      </w:tr>
      <w:tr>
        <w:trPr>
          <w:trHeight w:val="521" w:hRule="exact"/>
        </w:trPr>
        <w:tc>
          <w:tcPr>
            <w:tcW w:w="2141" w:type="dxa"/>
            <w:tcBorders>
              <w:top w:val="single" w:sz="4" w:space="0" w:color="000000"/>
            </w:tcBorders>
          </w:tcPr>
          <w:p>
            <w:pPr>
              <w:pStyle w:val="TableParagraph"/>
              <w:spacing w:before="95"/>
              <w:ind w:left="64" w:right="67"/>
              <w:jc w:val="left"/>
              <w:rPr>
                <w:b/>
                <w:sz w:val="18"/>
              </w:rPr>
            </w:pPr>
            <w:r>
              <w:rPr>
                <w:b/>
                <w:color w:val="333333"/>
                <w:sz w:val="18"/>
              </w:rPr>
              <w:t>TENANCINGO</w:t>
            </w:r>
          </w:p>
        </w:tc>
        <w:tc>
          <w:tcPr>
            <w:tcW w:w="1658" w:type="dxa"/>
            <w:tcBorders>
              <w:top w:val="single" w:sz="4" w:space="0" w:color="000000"/>
            </w:tcBorders>
          </w:tcPr>
          <w:p>
            <w:pPr>
              <w:pStyle w:val="TableParagraph"/>
              <w:spacing w:before="100"/>
              <w:ind w:left="53" w:right="53"/>
              <w:rPr>
                <w:sz w:val="18"/>
              </w:rPr>
            </w:pPr>
            <w:r>
              <w:rPr>
                <w:sz w:val="18"/>
              </w:rPr>
              <w:t>$271,866,486.32</w:t>
            </w:r>
          </w:p>
        </w:tc>
        <w:tc>
          <w:tcPr>
            <w:tcW w:w="1508" w:type="dxa"/>
            <w:tcBorders>
              <w:top w:val="single" w:sz="4" w:space="0" w:color="000000"/>
            </w:tcBorders>
          </w:tcPr>
          <w:p>
            <w:pPr>
              <w:pStyle w:val="TableParagraph"/>
              <w:spacing w:before="100"/>
              <w:ind w:left="53" w:right="48"/>
              <w:rPr>
                <w:sz w:val="18"/>
              </w:rPr>
            </w:pPr>
            <w:r>
              <w:rPr>
                <w:sz w:val="18"/>
              </w:rPr>
              <w:t>$0.00</w:t>
            </w:r>
          </w:p>
        </w:tc>
        <w:tc>
          <w:tcPr>
            <w:tcW w:w="1661" w:type="dxa"/>
            <w:tcBorders>
              <w:top w:val="single" w:sz="4" w:space="0" w:color="000000"/>
            </w:tcBorders>
          </w:tcPr>
          <w:p>
            <w:pPr>
              <w:pStyle w:val="TableParagraph"/>
              <w:spacing w:before="100"/>
              <w:ind w:left="53" w:right="52"/>
              <w:rPr>
                <w:sz w:val="18"/>
              </w:rPr>
            </w:pPr>
            <w:r>
              <w:rPr>
                <w:sz w:val="18"/>
              </w:rPr>
              <w:t>$0.00</w:t>
            </w:r>
          </w:p>
        </w:tc>
        <w:tc>
          <w:tcPr>
            <w:tcW w:w="1661" w:type="dxa"/>
            <w:tcBorders>
              <w:top w:val="single" w:sz="4" w:space="0" w:color="000000"/>
            </w:tcBorders>
          </w:tcPr>
          <w:p>
            <w:pPr>
              <w:pStyle w:val="TableParagraph"/>
              <w:spacing w:before="100"/>
              <w:ind w:left="54" w:right="54"/>
              <w:rPr>
                <w:sz w:val="18"/>
              </w:rPr>
            </w:pPr>
            <w:r>
              <w:rPr>
                <w:sz w:val="18"/>
              </w:rPr>
              <w:t>$271,866,486.32</w:t>
            </w:r>
          </w:p>
        </w:tc>
        <w:tc>
          <w:tcPr>
            <w:tcW w:w="1658" w:type="dxa"/>
            <w:tcBorders>
              <w:top w:val="single" w:sz="4" w:space="0" w:color="000000"/>
            </w:tcBorders>
          </w:tcPr>
          <w:p>
            <w:pPr>
              <w:pStyle w:val="TableParagraph"/>
              <w:spacing w:before="100"/>
              <w:ind w:left="53" w:right="53"/>
              <w:rPr>
                <w:sz w:val="18"/>
              </w:rPr>
            </w:pPr>
            <w:r>
              <w:rPr>
                <w:sz w:val="18"/>
              </w:rPr>
              <w:t>$274,784,460.53</w:t>
            </w:r>
          </w:p>
        </w:tc>
        <w:tc>
          <w:tcPr>
            <w:tcW w:w="1508" w:type="dxa"/>
            <w:tcBorders>
              <w:top w:val="single" w:sz="4" w:space="0" w:color="000000"/>
            </w:tcBorders>
          </w:tcPr>
          <w:p>
            <w:pPr>
              <w:pStyle w:val="TableParagraph"/>
              <w:spacing w:before="100"/>
              <w:ind w:left="53" w:right="48"/>
              <w:rPr>
                <w:sz w:val="18"/>
              </w:rPr>
            </w:pPr>
            <w:r>
              <w:rPr>
                <w:sz w:val="18"/>
              </w:rPr>
              <w:t>$0.00</w:t>
            </w:r>
          </w:p>
        </w:tc>
        <w:tc>
          <w:tcPr>
            <w:tcW w:w="1661" w:type="dxa"/>
            <w:tcBorders>
              <w:top w:val="single" w:sz="4" w:space="0" w:color="000000"/>
            </w:tcBorders>
          </w:tcPr>
          <w:p>
            <w:pPr>
              <w:pStyle w:val="TableParagraph"/>
              <w:spacing w:before="100"/>
              <w:ind w:left="53" w:right="52"/>
              <w:rPr>
                <w:sz w:val="18"/>
              </w:rPr>
            </w:pPr>
            <w:r>
              <w:rPr>
                <w:sz w:val="18"/>
              </w:rPr>
              <w:t>$0.00</w:t>
            </w:r>
          </w:p>
        </w:tc>
        <w:tc>
          <w:tcPr>
            <w:tcW w:w="1661" w:type="dxa"/>
            <w:tcBorders>
              <w:top w:val="single" w:sz="4" w:space="0" w:color="000000"/>
            </w:tcBorders>
          </w:tcPr>
          <w:p>
            <w:pPr>
              <w:pStyle w:val="TableParagraph"/>
              <w:spacing w:before="100"/>
              <w:ind w:left="148"/>
              <w:jc w:val="left"/>
              <w:rPr>
                <w:sz w:val="18"/>
              </w:rPr>
            </w:pPr>
            <w:r>
              <w:rPr>
                <w:sz w:val="18"/>
              </w:rPr>
              <w:t>$274,784,460.53</w:t>
            </w:r>
          </w:p>
        </w:tc>
      </w:tr>
    </w:tbl>
    <w:p>
      <w:pPr>
        <w:spacing w:after="0"/>
        <w:jc w:val="left"/>
        <w:rPr>
          <w:sz w:val="18"/>
        </w:rPr>
        <w:sectPr>
          <w:pgSz w:w="15840" w:h="12240" w:orient="landscape"/>
          <w:pgMar w:header="0" w:footer="975" w:top="1140" w:bottom="1160" w:left="240" w:right="240"/>
        </w:sectPr>
      </w:pPr>
    </w:p>
    <w:p>
      <w:pPr>
        <w:pStyle w:val="BodyText"/>
        <w:rPr>
          <w:rFonts w:ascii="Times New Roman"/>
          <w:sz w:val="20"/>
        </w:rPr>
      </w:pPr>
    </w:p>
    <w:p>
      <w:pPr>
        <w:pStyle w:val="BodyText"/>
        <w:spacing w:before="10"/>
        <w:rPr>
          <w:rFonts w:ascii="Times New Roman"/>
          <w:sz w:val="28"/>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41"/>
        <w:gridCol w:w="1658"/>
        <w:gridCol w:w="1508"/>
        <w:gridCol w:w="1661"/>
        <w:gridCol w:w="1661"/>
        <w:gridCol w:w="1658"/>
        <w:gridCol w:w="1508"/>
        <w:gridCol w:w="1661"/>
        <w:gridCol w:w="1661"/>
      </w:tblGrid>
      <w:tr>
        <w:trPr>
          <w:trHeight w:val="430" w:hRule="exact"/>
        </w:trPr>
        <w:tc>
          <w:tcPr>
            <w:tcW w:w="15117" w:type="dxa"/>
            <w:gridSpan w:val="9"/>
            <w:shd w:val="clear" w:color="auto" w:fill="C5DFB3"/>
          </w:tcPr>
          <w:p>
            <w:pPr>
              <w:pStyle w:val="TableParagraph"/>
              <w:spacing w:before="49"/>
              <w:ind w:left="3900"/>
              <w:jc w:val="left"/>
              <w:rPr>
                <w:b/>
                <w:sz w:val="18"/>
              </w:rPr>
            </w:pPr>
            <w:r>
              <w:rPr>
                <w:b/>
                <w:sz w:val="18"/>
              </w:rPr>
              <w:t>Anexo 24C. Municipios que publican apartado presupuesto 2012-2013 (Continuación)</w:t>
            </w:r>
          </w:p>
        </w:tc>
      </w:tr>
      <w:tr>
        <w:trPr>
          <w:trHeight w:val="320" w:hRule="exact"/>
        </w:trPr>
        <w:tc>
          <w:tcPr>
            <w:tcW w:w="2141"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23"/>
              </w:rPr>
            </w:pPr>
          </w:p>
          <w:p>
            <w:pPr>
              <w:pStyle w:val="TableParagraph"/>
              <w:ind w:left="643" w:right="67"/>
              <w:jc w:val="left"/>
              <w:rPr>
                <w:b/>
                <w:sz w:val="18"/>
              </w:rPr>
            </w:pPr>
            <w:r>
              <w:rPr>
                <w:b/>
                <w:sz w:val="18"/>
              </w:rPr>
              <w:t>Municipio</w:t>
            </w:r>
          </w:p>
        </w:tc>
        <w:tc>
          <w:tcPr>
            <w:tcW w:w="6488" w:type="dxa"/>
            <w:gridSpan w:val="4"/>
            <w:shd w:val="clear" w:color="auto" w:fill="C5DFB3"/>
          </w:tcPr>
          <w:p>
            <w:pPr>
              <w:pStyle w:val="TableParagraph"/>
              <w:spacing w:line="201" w:lineRule="exact"/>
              <w:ind w:left="3020" w:right="3018"/>
              <w:rPr>
                <w:b/>
                <w:sz w:val="18"/>
              </w:rPr>
            </w:pPr>
            <w:r>
              <w:rPr>
                <w:b/>
                <w:sz w:val="18"/>
              </w:rPr>
              <w:t>2012</w:t>
            </w:r>
          </w:p>
        </w:tc>
        <w:tc>
          <w:tcPr>
            <w:tcW w:w="6488" w:type="dxa"/>
            <w:gridSpan w:val="4"/>
            <w:shd w:val="clear" w:color="auto" w:fill="C5DFB3"/>
          </w:tcPr>
          <w:p>
            <w:pPr>
              <w:pStyle w:val="TableParagraph"/>
              <w:spacing w:line="201" w:lineRule="exact"/>
              <w:ind w:left="3019" w:right="3018"/>
              <w:rPr>
                <w:b/>
                <w:sz w:val="18"/>
              </w:rPr>
            </w:pPr>
            <w:r>
              <w:rPr>
                <w:b/>
                <w:sz w:val="18"/>
              </w:rPr>
              <w:t>2013</w:t>
            </w:r>
          </w:p>
        </w:tc>
      </w:tr>
      <w:tr>
        <w:trPr>
          <w:trHeight w:val="1374" w:hRule="exact"/>
        </w:trPr>
        <w:tc>
          <w:tcPr>
            <w:tcW w:w="2141" w:type="dxa"/>
            <w:vMerge/>
            <w:shd w:val="clear" w:color="auto" w:fill="C5DFB3"/>
          </w:tcPr>
          <w:p>
            <w:pPr/>
          </w:p>
        </w:tc>
        <w:tc>
          <w:tcPr>
            <w:tcW w:w="165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w w:val="100"/>
                <w:sz w:val="18"/>
              </w:rPr>
              <w:t>Autoriz</w:t>
            </w:r>
            <w:r>
              <w:rPr>
                <w:b/>
                <w:w w:val="99"/>
                <w:sz w:val="18"/>
              </w:rPr>
              <w:t>a</w:t>
            </w:r>
            <w:r>
              <w:rPr>
                <w:b/>
                <w:w w:val="100"/>
                <w:sz w:val="18"/>
              </w:rPr>
              <w:t>do</w:t>
            </w:r>
          </w:p>
        </w:tc>
        <w:tc>
          <w:tcPr>
            <w:tcW w:w="150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15"/>
              </w:rPr>
            </w:pPr>
          </w:p>
          <w:p>
            <w:pPr>
              <w:pStyle w:val="TableParagraph"/>
              <w:ind w:left="206"/>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326"/>
              <w:jc w:val="left"/>
              <w:rPr>
                <w:b/>
                <w:sz w:val="18"/>
              </w:rPr>
            </w:pPr>
            <w:r>
              <w:rPr>
                <w:b/>
                <w:w w:val="100"/>
                <w:sz w:val="18"/>
              </w:rPr>
              <w:t>Eje</w:t>
            </w:r>
            <w:r>
              <w:rPr>
                <w:b/>
                <w:w w:val="99"/>
                <w:sz w:val="18"/>
              </w:rPr>
              <w:t>rci</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211"/>
              <w:jc w:val="left"/>
              <w:rPr>
                <w:b/>
                <w:sz w:val="18"/>
              </w:rPr>
            </w:pPr>
            <w:r>
              <w:rPr>
                <w:b/>
                <w:sz w:val="18"/>
              </w:rPr>
              <w:t>Por </w:t>
            </w:r>
            <w:r>
              <w:rPr>
                <w:b/>
                <w:w w:val="99"/>
                <w:sz w:val="18"/>
              </w:rPr>
              <w:t>e</w:t>
            </w:r>
            <w:r>
              <w:rPr>
                <w:b/>
                <w:w w:val="100"/>
                <w:sz w:val="18"/>
              </w:rPr>
              <w:t>je</w:t>
            </w:r>
            <w:r>
              <w:rPr>
                <w:b/>
                <w:w w:val="99"/>
                <w:sz w:val="18"/>
              </w:rPr>
              <w:t>rcer</w:t>
            </w:r>
          </w:p>
        </w:tc>
        <w:tc>
          <w:tcPr>
            <w:tcW w:w="165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w w:val="100"/>
                <w:sz w:val="18"/>
              </w:rPr>
              <w:t>Autoriz</w:t>
            </w:r>
            <w:r>
              <w:rPr>
                <w:b/>
                <w:w w:val="99"/>
                <w:sz w:val="18"/>
              </w:rPr>
              <w:t>a</w:t>
            </w:r>
            <w:r>
              <w:rPr>
                <w:b/>
                <w:w w:val="100"/>
                <w:sz w:val="18"/>
              </w:rPr>
              <w:t>do</w:t>
            </w:r>
          </w:p>
        </w:tc>
        <w:tc>
          <w:tcPr>
            <w:tcW w:w="150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15"/>
              </w:rPr>
            </w:pPr>
          </w:p>
          <w:p>
            <w:pPr>
              <w:pStyle w:val="TableParagraph"/>
              <w:ind w:left="206"/>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326"/>
              <w:jc w:val="left"/>
              <w:rPr>
                <w:b/>
                <w:sz w:val="18"/>
              </w:rPr>
            </w:pPr>
            <w:r>
              <w:rPr>
                <w:b/>
                <w:w w:val="100"/>
                <w:sz w:val="18"/>
              </w:rPr>
              <w:t>Eje</w:t>
            </w:r>
            <w:r>
              <w:rPr>
                <w:b/>
                <w:w w:val="99"/>
                <w:sz w:val="18"/>
              </w:rPr>
              <w:t>rci</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sz w:val="18"/>
              </w:rPr>
              <w:t>Por </w:t>
            </w:r>
            <w:r>
              <w:rPr>
                <w:b/>
                <w:w w:val="99"/>
                <w:sz w:val="18"/>
              </w:rPr>
              <w:t>e</w:t>
            </w:r>
            <w:r>
              <w:rPr>
                <w:b/>
                <w:w w:val="100"/>
                <w:sz w:val="18"/>
              </w:rPr>
              <w:t>je</w:t>
            </w:r>
            <w:r>
              <w:rPr>
                <w:b/>
                <w:w w:val="99"/>
                <w:sz w:val="18"/>
              </w:rPr>
              <w:t>rcer</w:t>
            </w:r>
          </w:p>
        </w:tc>
      </w:tr>
      <w:tr>
        <w:trPr>
          <w:trHeight w:val="521" w:hRule="exact"/>
        </w:trPr>
        <w:tc>
          <w:tcPr>
            <w:tcW w:w="2141" w:type="dxa"/>
          </w:tcPr>
          <w:p>
            <w:pPr>
              <w:pStyle w:val="TableParagraph"/>
              <w:spacing w:before="95"/>
              <w:ind w:left="64" w:right="67"/>
              <w:jc w:val="left"/>
              <w:rPr>
                <w:b/>
                <w:sz w:val="18"/>
              </w:rPr>
            </w:pPr>
            <w:r>
              <w:rPr>
                <w:b/>
                <w:color w:val="333333"/>
                <w:sz w:val="18"/>
              </w:rPr>
              <w:t>TENANGO DEL AIRE</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3" w:right="53"/>
              <w:rPr>
                <w:sz w:val="18"/>
              </w:rPr>
            </w:pPr>
            <w:r>
              <w:rPr>
                <w:sz w:val="18"/>
              </w:rPr>
              <w:t>$240,470,992.54</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right="196"/>
              <w:jc w:val="right"/>
              <w:rPr>
                <w:sz w:val="18"/>
              </w:rPr>
            </w:pPr>
            <w:r>
              <w:rPr>
                <w:sz w:val="18"/>
              </w:rPr>
              <w:t>$56,237,196.85</w:t>
            </w:r>
          </w:p>
        </w:tc>
        <w:tc>
          <w:tcPr>
            <w:tcW w:w="1661" w:type="dxa"/>
          </w:tcPr>
          <w:p>
            <w:pPr>
              <w:pStyle w:val="TableParagraph"/>
              <w:spacing w:before="100"/>
              <w:ind w:left="148"/>
              <w:jc w:val="left"/>
              <w:rPr>
                <w:sz w:val="18"/>
              </w:rPr>
            </w:pPr>
            <w:r>
              <w:rPr>
                <w:sz w:val="18"/>
              </w:rPr>
              <w:t>$184,233,795.69</w:t>
            </w:r>
          </w:p>
        </w:tc>
      </w:tr>
      <w:tr>
        <w:trPr>
          <w:trHeight w:val="521" w:hRule="exact"/>
        </w:trPr>
        <w:tc>
          <w:tcPr>
            <w:tcW w:w="2141" w:type="dxa"/>
          </w:tcPr>
          <w:p>
            <w:pPr>
              <w:pStyle w:val="TableParagraph"/>
              <w:spacing w:before="95"/>
              <w:ind w:left="64" w:right="67"/>
              <w:jc w:val="left"/>
              <w:rPr>
                <w:b/>
                <w:sz w:val="18"/>
              </w:rPr>
            </w:pPr>
            <w:r>
              <w:rPr>
                <w:b/>
                <w:color w:val="333333"/>
                <w:sz w:val="18"/>
              </w:rPr>
              <w:t>TENANGO DEL VALLE</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3" w:right="53"/>
              <w:rPr>
                <w:sz w:val="18"/>
              </w:rPr>
            </w:pPr>
            <w:r>
              <w:rPr>
                <w:sz w:val="18"/>
              </w:rPr>
              <w:t>$240,470,992.54</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right="196"/>
              <w:jc w:val="right"/>
              <w:rPr>
                <w:sz w:val="18"/>
              </w:rPr>
            </w:pPr>
            <w:r>
              <w:rPr>
                <w:sz w:val="18"/>
              </w:rPr>
              <w:t>$56,237,196.85</w:t>
            </w:r>
          </w:p>
        </w:tc>
        <w:tc>
          <w:tcPr>
            <w:tcW w:w="1661" w:type="dxa"/>
          </w:tcPr>
          <w:p>
            <w:pPr>
              <w:pStyle w:val="TableParagraph"/>
              <w:spacing w:before="100"/>
              <w:ind w:left="148"/>
              <w:jc w:val="left"/>
              <w:rPr>
                <w:sz w:val="18"/>
              </w:rPr>
            </w:pPr>
            <w:r>
              <w:rPr>
                <w:sz w:val="18"/>
              </w:rPr>
              <w:t>$184,233,795.69</w:t>
            </w:r>
          </w:p>
        </w:tc>
      </w:tr>
      <w:tr>
        <w:trPr>
          <w:trHeight w:val="518" w:hRule="exact"/>
        </w:trPr>
        <w:tc>
          <w:tcPr>
            <w:tcW w:w="2141" w:type="dxa"/>
          </w:tcPr>
          <w:p>
            <w:pPr>
              <w:pStyle w:val="TableParagraph"/>
              <w:spacing w:before="92"/>
              <w:ind w:left="64" w:right="67"/>
              <w:jc w:val="left"/>
              <w:rPr>
                <w:b/>
                <w:sz w:val="18"/>
              </w:rPr>
            </w:pPr>
            <w:r>
              <w:rPr>
                <w:b/>
                <w:color w:val="333333"/>
                <w:sz w:val="18"/>
              </w:rPr>
              <w:t>TEOLOYUCAN</w:t>
            </w:r>
          </w:p>
        </w:tc>
        <w:tc>
          <w:tcPr>
            <w:tcW w:w="1658" w:type="dxa"/>
          </w:tcPr>
          <w:p>
            <w:pPr>
              <w:pStyle w:val="TableParagraph"/>
              <w:spacing w:before="97"/>
              <w:ind w:left="53" w:right="53"/>
              <w:rPr>
                <w:sz w:val="18"/>
              </w:rPr>
            </w:pPr>
            <w:r>
              <w:rPr>
                <w:sz w:val="18"/>
              </w:rPr>
              <w:t>$15,520,465.00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54" w:right="54"/>
              <w:rPr>
                <w:sz w:val="18"/>
              </w:rPr>
            </w:pPr>
            <w:r>
              <w:rPr>
                <w:sz w:val="18"/>
              </w:rPr>
              <w:t>$15,520,465.00</w:t>
            </w:r>
          </w:p>
        </w:tc>
        <w:tc>
          <w:tcPr>
            <w:tcW w:w="1658" w:type="dxa"/>
          </w:tcPr>
          <w:p>
            <w:pPr>
              <w:pStyle w:val="TableParagraph"/>
              <w:spacing w:before="97"/>
              <w:ind w:left="53" w:right="53"/>
              <w:rPr>
                <w:sz w:val="18"/>
              </w:rPr>
            </w:pPr>
            <w:r>
              <w:rPr>
                <w:sz w:val="18"/>
              </w:rPr>
              <w:t>$35,580,763.45</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right="196"/>
              <w:jc w:val="right"/>
              <w:rPr>
                <w:sz w:val="18"/>
              </w:rPr>
            </w:pPr>
            <w:r>
              <w:rPr>
                <w:sz w:val="18"/>
              </w:rPr>
              <w:t>$18,862,965.15</w:t>
            </w:r>
          </w:p>
        </w:tc>
        <w:tc>
          <w:tcPr>
            <w:tcW w:w="1661" w:type="dxa"/>
          </w:tcPr>
          <w:p>
            <w:pPr>
              <w:pStyle w:val="TableParagraph"/>
              <w:spacing w:before="97"/>
              <w:ind w:left="199"/>
              <w:jc w:val="left"/>
              <w:rPr>
                <w:sz w:val="18"/>
              </w:rPr>
            </w:pPr>
            <w:r>
              <w:rPr>
                <w:sz w:val="18"/>
              </w:rPr>
              <w:t>$16,717,798.30</w:t>
            </w:r>
          </w:p>
        </w:tc>
      </w:tr>
      <w:tr>
        <w:trPr>
          <w:trHeight w:val="521" w:hRule="exact"/>
        </w:trPr>
        <w:tc>
          <w:tcPr>
            <w:tcW w:w="2141" w:type="dxa"/>
          </w:tcPr>
          <w:p>
            <w:pPr>
              <w:pStyle w:val="TableParagraph"/>
              <w:spacing w:before="95"/>
              <w:ind w:left="64" w:right="67"/>
              <w:jc w:val="left"/>
              <w:rPr>
                <w:b/>
                <w:sz w:val="18"/>
              </w:rPr>
            </w:pPr>
            <w:r>
              <w:rPr>
                <w:b/>
                <w:color w:val="333333"/>
                <w:sz w:val="18"/>
              </w:rPr>
              <w:t>TEOTIHUACAN</w:t>
            </w:r>
          </w:p>
        </w:tc>
        <w:tc>
          <w:tcPr>
            <w:tcW w:w="1658" w:type="dxa"/>
          </w:tcPr>
          <w:p>
            <w:pPr>
              <w:pStyle w:val="TableParagraph"/>
              <w:spacing w:before="100"/>
              <w:ind w:left="53" w:right="53"/>
              <w:rPr>
                <w:sz w:val="18"/>
              </w:rPr>
            </w:pPr>
            <w:r>
              <w:rPr>
                <w:sz w:val="18"/>
              </w:rPr>
              <w:t>$154,234,770.00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0"/>
              <w:rPr>
                <w:sz w:val="18"/>
              </w:rPr>
            </w:pPr>
            <w:r>
              <w:rPr>
                <w:sz w:val="18"/>
              </w:rPr>
              <w:t>$128,610,750.00</w:t>
            </w:r>
          </w:p>
        </w:tc>
        <w:tc>
          <w:tcPr>
            <w:tcW w:w="1661" w:type="dxa"/>
          </w:tcPr>
          <w:p>
            <w:pPr>
              <w:pStyle w:val="TableParagraph"/>
              <w:spacing w:before="100"/>
              <w:ind w:left="54" w:right="54"/>
              <w:rPr>
                <w:sz w:val="18"/>
              </w:rPr>
            </w:pPr>
            <w:r>
              <w:rPr>
                <w:sz w:val="18"/>
              </w:rPr>
              <w:t>$25,624,020.00</w:t>
            </w:r>
          </w:p>
        </w:tc>
        <w:tc>
          <w:tcPr>
            <w:tcW w:w="1658" w:type="dxa"/>
          </w:tcPr>
          <w:p>
            <w:pPr>
              <w:pStyle w:val="TableParagraph"/>
              <w:spacing w:before="100"/>
              <w:ind w:left="53" w:right="53"/>
              <w:rPr>
                <w:sz w:val="18"/>
              </w:rPr>
            </w:pPr>
            <w:r>
              <w:rPr>
                <w:sz w:val="18"/>
              </w:rPr>
              <w:t>$215,583,008.00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148"/>
              <w:jc w:val="left"/>
              <w:rPr>
                <w:sz w:val="18"/>
              </w:rPr>
            </w:pPr>
            <w:r>
              <w:rPr>
                <w:sz w:val="18"/>
              </w:rPr>
              <w:t>$215,583,008.00</w:t>
            </w:r>
          </w:p>
        </w:tc>
      </w:tr>
      <w:tr>
        <w:trPr>
          <w:trHeight w:val="521" w:hRule="exact"/>
        </w:trPr>
        <w:tc>
          <w:tcPr>
            <w:tcW w:w="2141" w:type="dxa"/>
          </w:tcPr>
          <w:p>
            <w:pPr>
              <w:pStyle w:val="TableParagraph"/>
              <w:spacing w:before="95"/>
              <w:ind w:left="64" w:right="67"/>
              <w:jc w:val="left"/>
              <w:rPr>
                <w:b/>
                <w:sz w:val="18"/>
              </w:rPr>
            </w:pPr>
            <w:r>
              <w:rPr>
                <w:b/>
                <w:color w:val="333333"/>
                <w:sz w:val="18"/>
              </w:rPr>
              <w:t>TEPETLAOXTOC</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3" w:right="54"/>
              <w:rPr>
                <w:sz w:val="18"/>
              </w:rPr>
            </w:pPr>
            <w:r>
              <w:rPr>
                <w:sz w:val="18"/>
              </w:rPr>
              <w:t>$0.00</w:t>
            </w:r>
          </w:p>
        </w:tc>
      </w:tr>
      <w:tr>
        <w:trPr>
          <w:trHeight w:val="519" w:hRule="exact"/>
        </w:trPr>
        <w:tc>
          <w:tcPr>
            <w:tcW w:w="2141" w:type="dxa"/>
          </w:tcPr>
          <w:p>
            <w:pPr>
              <w:pStyle w:val="TableParagraph"/>
              <w:spacing w:before="93"/>
              <w:ind w:left="64" w:right="67"/>
              <w:jc w:val="left"/>
              <w:rPr>
                <w:b/>
                <w:sz w:val="18"/>
              </w:rPr>
            </w:pPr>
            <w:r>
              <w:rPr>
                <w:b/>
                <w:color w:val="333333"/>
                <w:sz w:val="18"/>
              </w:rPr>
              <w:t>TEPETLIXPA</w:t>
            </w:r>
          </w:p>
        </w:tc>
        <w:tc>
          <w:tcPr>
            <w:tcW w:w="1658" w:type="dxa"/>
          </w:tcPr>
          <w:p>
            <w:pPr>
              <w:pStyle w:val="TableParagraph"/>
              <w:spacing w:before="98"/>
              <w:ind w:left="52" w:right="53"/>
              <w:rPr>
                <w:sz w:val="18"/>
              </w:rPr>
            </w:pPr>
            <w:r>
              <w:rPr>
                <w:sz w:val="18"/>
              </w:rPr>
              <w:t>$0.00</w:t>
            </w:r>
          </w:p>
        </w:tc>
        <w:tc>
          <w:tcPr>
            <w:tcW w:w="1508" w:type="dxa"/>
          </w:tcPr>
          <w:p>
            <w:pPr>
              <w:pStyle w:val="TableParagraph"/>
              <w:spacing w:before="98"/>
              <w:ind w:left="53" w:right="48"/>
              <w:rPr>
                <w:sz w:val="18"/>
              </w:rPr>
            </w:pPr>
            <w:r>
              <w:rPr>
                <w:sz w:val="18"/>
              </w:rPr>
              <w:t>$0.00</w:t>
            </w:r>
          </w:p>
        </w:tc>
        <w:tc>
          <w:tcPr>
            <w:tcW w:w="1661" w:type="dxa"/>
          </w:tcPr>
          <w:p>
            <w:pPr>
              <w:pStyle w:val="TableParagraph"/>
              <w:spacing w:before="98"/>
              <w:ind w:left="53" w:right="52"/>
              <w:rPr>
                <w:sz w:val="18"/>
              </w:rPr>
            </w:pPr>
            <w:r>
              <w:rPr>
                <w:sz w:val="18"/>
              </w:rPr>
              <w:t>$0.00</w:t>
            </w:r>
          </w:p>
        </w:tc>
        <w:tc>
          <w:tcPr>
            <w:tcW w:w="1661" w:type="dxa"/>
          </w:tcPr>
          <w:p>
            <w:pPr>
              <w:pStyle w:val="TableParagraph"/>
              <w:spacing w:before="98"/>
              <w:ind w:left="54" w:right="56"/>
              <w:rPr>
                <w:sz w:val="18"/>
              </w:rPr>
            </w:pPr>
            <w:r>
              <w:rPr>
                <w:sz w:val="18"/>
              </w:rPr>
              <w:t>$0.00</w:t>
            </w:r>
          </w:p>
        </w:tc>
        <w:tc>
          <w:tcPr>
            <w:tcW w:w="1658" w:type="dxa"/>
          </w:tcPr>
          <w:p>
            <w:pPr>
              <w:pStyle w:val="TableParagraph"/>
              <w:spacing w:before="98"/>
              <w:ind w:left="52" w:right="53"/>
              <w:rPr>
                <w:sz w:val="18"/>
              </w:rPr>
            </w:pPr>
            <w:r>
              <w:rPr>
                <w:sz w:val="18"/>
              </w:rPr>
              <w:t>$0.00</w:t>
            </w:r>
          </w:p>
        </w:tc>
        <w:tc>
          <w:tcPr>
            <w:tcW w:w="1508" w:type="dxa"/>
          </w:tcPr>
          <w:p>
            <w:pPr>
              <w:pStyle w:val="TableParagraph"/>
              <w:spacing w:before="98"/>
              <w:ind w:left="53" w:right="48"/>
              <w:rPr>
                <w:sz w:val="18"/>
              </w:rPr>
            </w:pPr>
            <w:r>
              <w:rPr>
                <w:sz w:val="18"/>
              </w:rPr>
              <w:t>$0.00</w:t>
            </w:r>
          </w:p>
        </w:tc>
        <w:tc>
          <w:tcPr>
            <w:tcW w:w="1661" w:type="dxa"/>
          </w:tcPr>
          <w:p>
            <w:pPr>
              <w:pStyle w:val="TableParagraph"/>
              <w:spacing w:before="98"/>
              <w:ind w:left="53" w:right="52"/>
              <w:rPr>
                <w:sz w:val="18"/>
              </w:rPr>
            </w:pPr>
            <w:r>
              <w:rPr>
                <w:sz w:val="18"/>
              </w:rPr>
              <w:t>$0.00</w:t>
            </w:r>
          </w:p>
        </w:tc>
        <w:tc>
          <w:tcPr>
            <w:tcW w:w="1661" w:type="dxa"/>
          </w:tcPr>
          <w:p>
            <w:pPr>
              <w:pStyle w:val="TableParagraph"/>
              <w:spacing w:before="98"/>
              <w:ind w:left="53" w:right="54"/>
              <w:rPr>
                <w:sz w:val="18"/>
              </w:rPr>
            </w:pPr>
            <w:r>
              <w:rPr>
                <w:sz w:val="18"/>
              </w:rPr>
              <w:t>$0.00</w:t>
            </w:r>
          </w:p>
        </w:tc>
      </w:tr>
      <w:tr>
        <w:trPr>
          <w:trHeight w:val="521" w:hRule="exact"/>
        </w:trPr>
        <w:tc>
          <w:tcPr>
            <w:tcW w:w="2141" w:type="dxa"/>
          </w:tcPr>
          <w:p>
            <w:pPr>
              <w:pStyle w:val="TableParagraph"/>
              <w:spacing w:before="95"/>
              <w:ind w:left="64" w:right="67"/>
              <w:jc w:val="left"/>
              <w:rPr>
                <w:b/>
                <w:sz w:val="18"/>
              </w:rPr>
            </w:pPr>
            <w:r>
              <w:rPr>
                <w:b/>
                <w:color w:val="333333"/>
                <w:sz w:val="18"/>
              </w:rPr>
              <w:t>TEPOTZOTLAN</w:t>
            </w:r>
          </w:p>
        </w:tc>
        <w:tc>
          <w:tcPr>
            <w:tcW w:w="1658" w:type="dxa"/>
          </w:tcPr>
          <w:p>
            <w:pPr>
              <w:pStyle w:val="TableParagraph"/>
              <w:spacing w:before="100"/>
              <w:ind w:left="53" w:right="53"/>
              <w:rPr>
                <w:sz w:val="18"/>
              </w:rPr>
            </w:pPr>
            <w:r>
              <w:rPr>
                <w:sz w:val="18"/>
              </w:rPr>
              <w:t>$314,865,416.00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4"/>
              <w:rPr>
                <w:sz w:val="18"/>
              </w:rPr>
            </w:pPr>
            <w:r>
              <w:rPr>
                <w:sz w:val="18"/>
              </w:rPr>
              <w:t>$314,865,416.00</w:t>
            </w:r>
          </w:p>
        </w:tc>
        <w:tc>
          <w:tcPr>
            <w:tcW w:w="1658" w:type="dxa"/>
          </w:tcPr>
          <w:p>
            <w:pPr>
              <w:pStyle w:val="TableParagraph"/>
              <w:spacing w:before="100"/>
              <w:ind w:left="53" w:right="51"/>
              <w:rPr>
                <w:sz w:val="18"/>
              </w:rPr>
            </w:pPr>
            <w:r>
              <w:rPr>
                <w:sz w:val="18"/>
              </w:rPr>
              <w:t>$303,599,370.00</w:t>
            </w:r>
          </w:p>
        </w:tc>
        <w:tc>
          <w:tcPr>
            <w:tcW w:w="1508" w:type="dxa"/>
          </w:tcPr>
          <w:p>
            <w:pPr>
              <w:pStyle w:val="TableParagraph"/>
              <w:spacing w:before="100"/>
              <w:ind w:left="53" w:right="49"/>
              <w:rPr>
                <w:sz w:val="18"/>
              </w:rPr>
            </w:pPr>
            <w:r>
              <w:rPr>
                <w:sz w:val="18"/>
              </w:rPr>
              <w:t>$3,689,289.88</w:t>
            </w:r>
          </w:p>
        </w:tc>
        <w:tc>
          <w:tcPr>
            <w:tcW w:w="1661" w:type="dxa"/>
          </w:tcPr>
          <w:p>
            <w:pPr>
              <w:pStyle w:val="TableParagraph"/>
              <w:spacing w:before="100"/>
              <w:ind w:right="146"/>
              <w:jc w:val="right"/>
              <w:rPr>
                <w:sz w:val="18"/>
              </w:rPr>
            </w:pPr>
            <w:r>
              <w:rPr>
                <w:sz w:val="18"/>
              </w:rPr>
              <w:t>$297,524,842.24</w:t>
            </w:r>
          </w:p>
        </w:tc>
        <w:tc>
          <w:tcPr>
            <w:tcW w:w="1661" w:type="dxa"/>
          </w:tcPr>
          <w:p>
            <w:pPr>
              <w:pStyle w:val="TableParagraph"/>
              <w:spacing w:before="100"/>
              <w:ind w:left="247"/>
              <w:jc w:val="left"/>
              <w:rPr>
                <w:sz w:val="18"/>
              </w:rPr>
            </w:pPr>
            <w:r>
              <w:rPr>
                <w:sz w:val="18"/>
              </w:rPr>
              <w:t>$9,763,817.64</w:t>
            </w:r>
          </w:p>
        </w:tc>
      </w:tr>
      <w:tr>
        <w:trPr>
          <w:trHeight w:val="521" w:hRule="exact"/>
        </w:trPr>
        <w:tc>
          <w:tcPr>
            <w:tcW w:w="2141" w:type="dxa"/>
          </w:tcPr>
          <w:p>
            <w:pPr>
              <w:pStyle w:val="TableParagraph"/>
              <w:spacing w:before="95"/>
              <w:ind w:left="64" w:right="67"/>
              <w:jc w:val="left"/>
              <w:rPr>
                <w:b/>
                <w:sz w:val="18"/>
              </w:rPr>
            </w:pPr>
            <w:r>
              <w:rPr>
                <w:b/>
                <w:color w:val="333333"/>
                <w:sz w:val="18"/>
              </w:rPr>
              <w:t>TEQUIXQUIAC</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3" w:right="54"/>
              <w:rPr>
                <w:sz w:val="18"/>
              </w:rPr>
            </w:pPr>
            <w:r>
              <w:rPr>
                <w:sz w:val="18"/>
              </w:rPr>
              <w:t>$0.00</w:t>
            </w:r>
          </w:p>
        </w:tc>
      </w:tr>
      <w:tr>
        <w:trPr>
          <w:trHeight w:val="518" w:hRule="exact"/>
        </w:trPr>
        <w:tc>
          <w:tcPr>
            <w:tcW w:w="2141" w:type="dxa"/>
          </w:tcPr>
          <w:p>
            <w:pPr>
              <w:pStyle w:val="TableParagraph"/>
              <w:spacing w:before="92"/>
              <w:ind w:left="64" w:right="67"/>
              <w:jc w:val="left"/>
              <w:rPr>
                <w:b/>
                <w:sz w:val="18"/>
              </w:rPr>
            </w:pPr>
            <w:r>
              <w:rPr>
                <w:b/>
                <w:color w:val="333333"/>
                <w:sz w:val="18"/>
              </w:rPr>
              <w:t>TEXCALTITL�N</w:t>
            </w:r>
          </w:p>
        </w:tc>
        <w:tc>
          <w:tcPr>
            <w:tcW w:w="1658" w:type="dxa"/>
          </w:tcPr>
          <w:p>
            <w:pPr>
              <w:pStyle w:val="TableParagraph"/>
              <w:spacing w:before="97"/>
              <w:ind w:left="52" w:right="53"/>
              <w:rPr>
                <w:sz w:val="18"/>
              </w:rPr>
            </w:pPr>
            <w:r>
              <w:rPr>
                <w:sz w:val="18"/>
              </w:rPr>
              <w:t>$0.00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54" w:right="56"/>
              <w:rPr>
                <w:sz w:val="18"/>
              </w:rPr>
            </w:pPr>
            <w:r>
              <w:rPr>
                <w:sz w:val="18"/>
              </w:rPr>
              <w:t>$0.00</w:t>
            </w:r>
          </w:p>
        </w:tc>
        <w:tc>
          <w:tcPr>
            <w:tcW w:w="1658" w:type="dxa"/>
          </w:tcPr>
          <w:p>
            <w:pPr>
              <w:pStyle w:val="TableParagraph"/>
              <w:spacing w:before="97"/>
              <w:ind w:left="52" w:right="53"/>
              <w:rPr>
                <w:sz w:val="18"/>
              </w:rPr>
            </w:pPr>
            <w:r>
              <w:rPr>
                <w:sz w:val="18"/>
              </w:rPr>
              <w:t>$0.00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53" w:right="54"/>
              <w:rPr>
                <w:sz w:val="18"/>
              </w:rPr>
            </w:pPr>
            <w:r>
              <w:rPr>
                <w:sz w:val="18"/>
              </w:rPr>
              <w:t>$0.00</w:t>
            </w:r>
          </w:p>
        </w:tc>
      </w:tr>
      <w:tr>
        <w:trPr>
          <w:trHeight w:val="521" w:hRule="exact"/>
        </w:trPr>
        <w:tc>
          <w:tcPr>
            <w:tcW w:w="2141" w:type="dxa"/>
          </w:tcPr>
          <w:p>
            <w:pPr>
              <w:pStyle w:val="TableParagraph"/>
              <w:spacing w:before="95"/>
              <w:ind w:left="64" w:right="67"/>
              <w:jc w:val="left"/>
              <w:rPr>
                <w:b/>
                <w:sz w:val="18"/>
              </w:rPr>
            </w:pPr>
            <w:r>
              <w:rPr>
                <w:b/>
                <w:color w:val="333333"/>
                <w:sz w:val="18"/>
              </w:rPr>
              <w:t>TEXCALYACAC</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3" w:right="53"/>
              <w:rPr>
                <w:sz w:val="18"/>
              </w:rPr>
            </w:pPr>
            <w:r>
              <w:rPr>
                <w:sz w:val="18"/>
              </w:rPr>
              <w:t>$36,125,371.35</w:t>
            </w:r>
          </w:p>
        </w:tc>
        <w:tc>
          <w:tcPr>
            <w:tcW w:w="1508" w:type="dxa"/>
          </w:tcPr>
          <w:p>
            <w:pPr>
              <w:pStyle w:val="TableParagraph"/>
              <w:spacing w:before="100"/>
              <w:ind w:left="53" w:right="49"/>
              <w:rPr>
                <w:sz w:val="18"/>
              </w:rPr>
            </w:pPr>
            <w:r>
              <w:rPr>
                <w:sz w:val="18"/>
              </w:rPr>
              <w:t>$7,216,534.79</w:t>
            </w:r>
          </w:p>
        </w:tc>
        <w:tc>
          <w:tcPr>
            <w:tcW w:w="1661" w:type="dxa"/>
          </w:tcPr>
          <w:p>
            <w:pPr>
              <w:pStyle w:val="TableParagraph"/>
              <w:spacing w:before="100"/>
              <w:ind w:right="196"/>
              <w:jc w:val="right"/>
              <w:rPr>
                <w:sz w:val="18"/>
              </w:rPr>
            </w:pPr>
            <w:r>
              <w:rPr>
                <w:sz w:val="18"/>
              </w:rPr>
              <w:t>$28,908,836.56</w:t>
            </w:r>
          </w:p>
        </w:tc>
        <w:tc>
          <w:tcPr>
            <w:tcW w:w="1661" w:type="dxa"/>
          </w:tcPr>
          <w:p>
            <w:pPr>
              <w:pStyle w:val="TableParagraph"/>
              <w:spacing w:before="100"/>
              <w:ind w:left="53" w:right="54"/>
              <w:rPr>
                <w:sz w:val="18"/>
              </w:rPr>
            </w:pPr>
            <w:r>
              <w:rPr>
                <w:sz w:val="18"/>
              </w:rPr>
              <w:t>$0.00</w:t>
            </w:r>
          </w:p>
        </w:tc>
      </w:tr>
      <w:tr>
        <w:trPr>
          <w:trHeight w:val="521" w:hRule="exact"/>
        </w:trPr>
        <w:tc>
          <w:tcPr>
            <w:tcW w:w="2141" w:type="dxa"/>
          </w:tcPr>
          <w:p>
            <w:pPr>
              <w:pStyle w:val="TableParagraph"/>
              <w:spacing w:before="95"/>
              <w:ind w:left="64" w:right="67"/>
              <w:jc w:val="left"/>
              <w:rPr>
                <w:b/>
                <w:sz w:val="18"/>
              </w:rPr>
            </w:pPr>
            <w:r>
              <w:rPr>
                <w:b/>
                <w:color w:val="333333"/>
                <w:sz w:val="18"/>
              </w:rPr>
              <w:t>TEXCOCO</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3" w:right="53"/>
              <w:rPr>
                <w:sz w:val="18"/>
              </w:rPr>
            </w:pPr>
            <w:r>
              <w:rPr>
                <w:sz w:val="18"/>
              </w:rPr>
              <w:t>$975,315,990.73</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right="146"/>
              <w:jc w:val="right"/>
              <w:rPr>
                <w:sz w:val="18"/>
              </w:rPr>
            </w:pPr>
            <w:r>
              <w:rPr>
                <w:sz w:val="18"/>
              </w:rPr>
              <w:t>$866,940,098.71</w:t>
            </w:r>
          </w:p>
        </w:tc>
        <w:tc>
          <w:tcPr>
            <w:tcW w:w="1661" w:type="dxa"/>
          </w:tcPr>
          <w:p>
            <w:pPr>
              <w:pStyle w:val="TableParagraph"/>
              <w:spacing w:before="100"/>
              <w:ind w:left="148"/>
              <w:jc w:val="left"/>
              <w:rPr>
                <w:sz w:val="18"/>
              </w:rPr>
            </w:pPr>
            <w:r>
              <w:rPr>
                <w:sz w:val="18"/>
              </w:rPr>
              <w:t>$108,375,892.02</w:t>
            </w:r>
          </w:p>
        </w:tc>
      </w:tr>
      <w:tr>
        <w:trPr>
          <w:trHeight w:val="521" w:hRule="exact"/>
        </w:trPr>
        <w:tc>
          <w:tcPr>
            <w:tcW w:w="2141" w:type="dxa"/>
          </w:tcPr>
          <w:p>
            <w:pPr>
              <w:pStyle w:val="TableParagraph"/>
              <w:spacing w:before="92"/>
              <w:ind w:left="64" w:right="67"/>
              <w:jc w:val="left"/>
              <w:rPr>
                <w:b/>
                <w:sz w:val="18"/>
              </w:rPr>
            </w:pPr>
            <w:r>
              <w:rPr>
                <w:b/>
                <w:color w:val="333333"/>
                <w:sz w:val="18"/>
              </w:rPr>
              <w:t>TEZOYUCA</w:t>
            </w:r>
          </w:p>
        </w:tc>
        <w:tc>
          <w:tcPr>
            <w:tcW w:w="1658" w:type="dxa"/>
          </w:tcPr>
          <w:p>
            <w:pPr>
              <w:pStyle w:val="TableParagraph"/>
              <w:spacing w:before="97"/>
              <w:ind w:left="53" w:right="53"/>
              <w:rPr>
                <w:sz w:val="18"/>
              </w:rPr>
            </w:pPr>
            <w:r>
              <w:rPr>
                <w:sz w:val="18"/>
              </w:rPr>
              <w:t>$79,957,522.00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54" w:right="54"/>
              <w:rPr>
                <w:sz w:val="18"/>
              </w:rPr>
            </w:pPr>
            <w:r>
              <w:rPr>
                <w:sz w:val="18"/>
              </w:rPr>
              <w:t>$79,957,522.00</w:t>
            </w:r>
          </w:p>
        </w:tc>
        <w:tc>
          <w:tcPr>
            <w:tcW w:w="1658" w:type="dxa"/>
          </w:tcPr>
          <w:p>
            <w:pPr>
              <w:pStyle w:val="TableParagraph"/>
              <w:spacing w:before="97"/>
              <w:ind w:left="53" w:right="53"/>
              <w:rPr>
                <w:sz w:val="18"/>
              </w:rPr>
            </w:pPr>
            <w:r>
              <w:rPr>
                <w:sz w:val="18"/>
              </w:rPr>
              <w:t>$127,431,000.00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148"/>
              <w:jc w:val="left"/>
              <w:rPr>
                <w:sz w:val="18"/>
              </w:rPr>
            </w:pPr>
            <w:r>
              <w:rPr>
                <w:sz w:val="18"/>
              </w:rPr>
              <w:t>$127,431,000.00</w:t>
            </w:r>
          </w:p>
        </w:tc>
      </w:tr>
    </w:tbl>
    <w:p>
      <w:pPr>
        <w:spacing w:after="0"/>
        <w:jc w:val="left"/>
        <w:rPr>
          <w:sz w:val="18"/>
        </w:rPr>
        <w:sectPr>
          <w:pgSz w:w="15840" w:h="12240" w:orient="landscape"/>
          <w:pgMar w:header="0" w:footer="975" w:top="1140" w:bottom="1160" w:left="240" w:right="240"/>
        </w:sectPr>
      </w:pPr>
    </w:p>
    <w:p>
      <w:pPr>
        <w:pStyle w:val="BodyText"/>
        <w:rPr>
          <w:rFonts w:ascii="Times New Roman"/>
          <w:sz w:val="20"/>
        </w:rPr>
      </w:pPr>
    </w:p>
    <w:p>
      <w:pPr>
        <w:pStyle w:val="BodyText"/>
        <w:spacing w:before="10"/>
        <w:rPr>
          <w:rFonts w:ascii="Times New Roman"/>
          <w:sz w:val="28"/>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41"/>
        <w:gridCol w:w="1658"/>
        <w:gridCol w:w="1508"/>
        <w:gridCol w:w="1661"/>
        <w:gridCol w:w="1661"/>
        <w:gridCol w:w="1658"/>
        <w:gridCol w:w="1508"/>
        <w:gridCol w:w="1661"/>
        <w:gridCol w:w="1661"/>
      </w:tblGrid>
      <w:tr>
        <w:trPr>
          <w:trHeight w:val="430" w:hRule="exact"/>
        </w:trPr>
        <w:tc>
          <w:tcPr>
            <w:tcW w:w="15117" w:type="dxa"/>
            <w:gridSpan w:val="9"/>
            <w:shd w:val="clear" w:color="auto" w:fill="C5DFB3"/>
          </w:tcPr>
          <w:p>
            <w:pPr>
              <w:pStyle w:val="TableParagraph"/>
              <w:spacing w:before="49"/>
              <w:ind w:left="3900"/>
              <w:jc w:val="left"/>
              <w:rPr>
                <w:b/>
                <w:sz w:val="18"/>
              </w:rPr>
            </w:pPr>
            <w:r>
              <w:rPr>
                <w:b/>
                <w:sz w:val="18"/>
              </w:rPr>
              <w:t>Anexo 24C. Municipios que publican apartado presupuesto 2012-2013 (Continuación)</w:t>
            </w:r>
          </w:p>
        </w:tc>
      </w:tr>
      <w:tr>
        <w:trPr>
          <w:trHeight w:val="320" w:hRule="exact"/>
        </w:trPr>
        <w:tc>
          <w:tcPr>
            <w:tcW w:w="2141"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23"/>
              </w:rPr>
            </w:pPr>
          </w:p>
          <w:p>
            <w:pPr>
              <w:pStyle w:val="TableParagraph"/>
              <w:ind w:left="643" w:right="67"/>
              <w:jc w:val="left"/>
              <w:rPr>
                <w:b/>
                <w:sz w:val="18"/>
              </w:rPr>
            </w:pPr>
            <w:r>
              <w:rPr>
                <w:b/>
                <w:sz w:val="18"/>
              </w:rPr>
              <w:t>Municipio</w:t>
            </w:r>
          </w:p>
        </w:tc>
        <w:tc>
          <w:tcPr>
            <w:tcW w:w="6488" w:type="dxa"/>
            <w:gridSpan w:val="4"/>
            <w:shd w:val="clear" w:color="auto" w:fill="C5DFB3"/>
          </w:tcPr>
          <w:p>
            <w:pPr>
              <w:pStyle w:val="TableParagraph"/>
              <w:spacing w:line="201" w:lineRule="exact"/>
              <w:ind w:left="3020" w:right="3018"/>
              <w:rPr>
                <w:b/>
                <w:sz w:val="18"/>
              </w:rPr>
            </w:pPr>
            <w:r>
              <w:rPr>
                <w:b/>
                <w:sz w:val="18"/>
              </w:rPr>
              <w:t>2012</w:t>
            </w:r>
          </w:p>
        </w:tc>
        <w:tc>
          <w:tcPr>
            <w:tcW w:w="6488" w:type="dxa"/>
            <w:gridSpan w:val="4"/>
            <w:shd w:val="clear" w:color="auto" w:fill="C5DFB3"/>
          </w:tcPr>
          <w:p>
            <w:pPr>
              <w:pStyle w:val="TableParagraph"/>
              <w:spacing w:line="201" w:lineRule="exact"/>
              <w:ind w:left="3019" w:right="3018"/>
              <w:rPr>
                <w:b/>
                <w:sz w:val="18"/>
              </w:rPr>
            </w:pPr>
            <w:r>
              <w:rPr>
                <w:b/>
                <w:sz w:val="18"/>
              </w:rPr>
              <w:t>2013</w:t>
            </w:r>
          </w:p>
        </w:tc>
      </w:tr>
      <w:tr>
        <w:trPr>
          <w:trHeight w:val="1374" w:hRule="exact"/>
        </w:trPr>
        <w:tc>
          <w:tcPr>
            <w:tcW w:w="2141" w:type="dxa"/>
            <w:vMerge/>
            <w:shd w:val="clear" w:color="auto" w:fill="C5DFB3"/>
          </w:tcPr>
          <w:p>
            <w:pPr/>
          </w:p>
        </w:tc>
        <w:tc>
          <w:tcPr>
            <w:tcW w:w="165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w w:val="100"/>
                <w:sz w:val="18"/>
              </w:rPr>
              <w:t>Autoriz</w:t>
            </w:r>
            <w:r>
              <w:rPr>
                <w:b/>
                <w:w w:val="99"/>
                <w:sz w:val="18"/>
              </w:rPr>
              <w:t>a</w:t>
            </w:r>
            <w:r>
              <w:rPr>
                <w:b/>
                <w:w w:val="100"/>
                <w:sz w:val="18"/>
              </w:rPr>
              <w:t>do</w:t>
            </w:r>
          </w:p>
        </w:tc>
        <w:tc>
          <w:tcPr>
            <w:tcW w:w="150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15"/>
              </w:rPr>
            </w:pPr>
          </w:p>
          <w:p>
            <w:pPr>
              <w:pStyle w:val="TableParagraph"/>
              <w:ind w:left="206"/>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326"/>
              <w:jc w:val="left"/>
              <w:rPr>
                <w:b/>
                <w:sz w:val="18"/>
              </w:rPr>
            </w:pPr>
            <w:r>
              <w:rPr>
                <w:b/>
                <w:w w:val="100"/>
                <w:sz w:val="18"/>
              </w:rPr>
              <w:t>Eje</w:t>
            </w:r>
            <w:r>
              <w:rPr>
                <w:b/>
                <w:w w:val="99"/>
                <w:sz w:val="18"/>
              </w:rPr>
              <w:t>rci</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211"/>
              <w:jc w:val="left"/>
              <w:rPr>
                <w:b/>
                <w:sz w:val="18"/>
              </w:rPr>
            </w:pPr>
            <w:r>
              <w:rPr>
                <w:b/>
                <w:sz w:val="18"/>
              </w:rPr>
              <w:t>Por </w:t>
            </w:r>
            <w:r>
              <w:rPr>
                <w:b/>
                <w:w w:val="99"/>
                <w:sz w:val="18"/>
              </w:rPr>
              <w:t>e</w:t>
            </w:r>
            <w:r>
              <w:rPr>
                <w:b/>
                <w:w w:val="100"/>
                <w:sz w:val="18"/>
              </w:rPr>
              <w:t>je</w:t>
            </w:r>
            <w:r>
              <w:rPr>
                <w:b/>
                <w:w w:val="99"/>
                <w:sz w:val="18"/>
              </w:rPr>
              <w:t>rcer</w:t>
            </w:r>
          </w:p>
        </w:tc>
        <w:tc>
          <w:tcPr>
            <w:tcW w:w="165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w w:val="100"/>
                <w:sz w:val="18"/>
              </w:rPr>
              <w:t>Autoriz</w:t>
            </w:r>
            <w:r>
              <w:rPr>
                <w:b/>
                <w:w w:val="99"/>
                <w:sz w:val="18"/>
              </w:rPr>
              <w:t>a</w:t>
            </w:r>
            <w:r>
              <w:rPr>
                <w:b/>
                <w:w w:val="100"/>
                <w:sz w:val="18"/>
              </w:rPr>
              <w:t>do</w:t>
            </w:r>
          </w:p>
        </w:tc>
        <w:tc>
          <w:tcPr>
            <w:tcW w:w="150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15"/>
              </w:rPr>
            </w:pPr>
          </w:p>
          <w:p>
            <w:pPr>
              <w:pStyle w:val="TableParagraph"/>
              <w:ind w:left="206"/>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326"/>
              <w:jc w:val="left"/>
              <w:rPr>
                <w:b/>
                <w:sz w:val="18"/>
              </w:rPr>
            </w:pPr>
            <w:r>
              <w:rPr>
                <w:b/>
                <w:w w:val="100"/>
                <w:sz w:val="18"/>
              </w:rPr>
              <w:t>Eje</w:t>
            </w:r>
            <w:r>
              <w:rPr>
                <w:b/>
                <w:w w:val="99"/>
                <w:sz w:val="18"/>
              </w:rPr>
              <w:t>rci</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sz w:val="18"/>
              </w:rPr>
              <w:t>Por </w:t>
            </w:r>
            <w:r>
              <w:rPr>
                <w:b/>
                <w:w w:val="99"/>
                <w:sz w:val="18"/>
              </w:rPr>
              <w:t>e</w:t>
            </w:r>
            <w:r>
              <w:rPr>
                <w:b/>
                <w:w w:val="100"/>
                <w:sz w:val="18"/>
              </w:rPr>
              <w:t>je</w:t>
            </w:r>
            <w:r>
              <w:rPr>
                <w:b/>
                <w:w w:val="99"/>
                <w:sz w:val="18"/>
              </w:rPr>
              <w:t>rcer</w:t>
            </w:r>
          </w:p>
        </w:tc>
      </w:tr>
      <w:tr>
        <w:trPr>
          <w:trHeight w:val="521" w:hRule="exact"/>
        </w:trPr>
        <w:tc>
          <w:tcPr>
            <w:tcW w:w="2141" w:type="dxa"/>
          </w:tcPr>
          <w:p>
            <w:pPr>
              <w:pStyle w:val="TableParagraph"/>
              <w:spacing w:before="95"/>
              <w:ind w:left="64" w:right="67"/>
              <w:jc w:val="left"/>
              <w:rPr>
                <w:b/>
                <w:sz w:val="18"/>
              </w:rPr>
            </w:pPr>
            <w:r>
              <w:rPr>
                <w:b/>
                <w:color w:val="333333"/>
                <w:sz w:val="18"/>
              </w:rPr>
              <w:t>TIANGUISTENCO</w:t>
            </w:r>
          </w:p>
        </w:tc>
        <w:tc>
          <w:tcPr>
            <w:tcW w:w="1658" w:type="dxa"/>
          </w:tcPr>
          <w:p>
            <w:pPr>
              <w:pStyle w:val="TableParagraph"/>
              <w:spacing w:before="100"/>
              <w:ind w:left="53" w:right="53"/>
              <w:rPr>
                <w:sz w:val="18"/>
              </w:rPr>
            </w:pPr>
            <w:r>
              <w:rPr>
                <w:sz w:val="18"/>
              </w:rPr>
              <w:t>$195,553,878.00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4"/>
              <w:rPr>
                <w:sz w:val="18"/>
              </w:rPr>
            </w:pPr>
            <w:r>
              <w:rPr>
                <w:sz w:val="18"/>
              </w:rPr>
              <w:t>$195,553,878.00</w:t>
            </w:r>
          </w:p>
        </w:tc>
        <w:tc>
          <w:tcPr>
            <w:tcW w:w="1658" w:type="dxa"/>
          </w:tcPr>
          <w:p>
            <w:pPr>
              <w:pStyle w:val="TableParagraph"/>
              <w:spacing w:before="100"/>
              <w:ind w:left="53" w:right="53"/>
              <w:rPr>
                <w:sz w:val="18"/>
              </w:rPr>
            </w:pPr>
            <w:r>
              <w:rPr>
                <w:sz w:val="18"/>
              </w:rPr>
              <w:t>$205,970,803.00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3" w:right="53"/>
              <w:rPr>
                <w:sz w:val="18"/>
              </w:rPr>
            </w:pPr>
            <w:r>
              <w:rPr>
                <w:sz w:val="18"/>
              </w:rPr>
              <w:t>$205,970,803.00</w:t>
            </w:r>
          </w:p>
        </w:tc>
      </w:tr>
      <w:tr>
        <w:trPr>
          <w:trHeight w:val="521" w:hRule="exact"/>
        </w:trPr>
        <w:tc>
          <w:tcPr>
            <w:tcW w:w="2141" w:type="dxa"/>
          </w:tcPr>
          <w:p>
            <w:pPr>
              <w:pStyle w:val="TableParagraph"/>
              <w:spacing w:before="95"/>
              <w:ind w:left="64" w:right="67"/>
              <w:jc w:val="left"/>
              <w:rPr>
                <w:b/>
                <w:sz w:val="18"/>
              </w:rPr>
            </w:pPr>
            <w:r>
              <w:rPr>
                <w:b/>
                <w:color w:val="333333"/>
                <w:sz w:val="18"/>
              </w:rPr>
              <w:t>TIMILPAN</w:t>
            </w:r>
          </w:p>
        </w:tc>
        <w:tc>
          <w:tcPr>
            <w:tcW w:w="1658" w:type="dxa"/>
          </w:tcPr>
          <w:p>
            <w:pPr>
              <w:pStyle w:val="TableParagraph"/>
              <w:spacing w:before="100"/>
              <w:ind w:left="53" w:right="53"/>
              <w:rPr>
                <w:sz w:val="18"/>
              </w:rPr>
            </w:pPr>
            <w:r>
              <w:rPr>
                <w:sz w:val="18"/>
              </w:rPr>
              <w:t>$140,856,808.00</w:t>
            </w:r>
          </w:p>
        </w:tc>
        <w:tc>
          <w:tcPr>
            <w:tcW w:w="1508" w:type="dxa"/>
          </w:tcPr>
          <w:p>
            <w:pPr>
              <w:pStyle w:val="TableParagraph"/>
              <w:spacing w:before="100"/>
              <w:ind w:left="53" w:right="50"/>
              <w:rPr>
                <w:sz w:val="18"/>
              </w:rPr>
            </w:pPr>
            <w:r>
              <w:rPr>
                <w:sz w:val="18"/>
              </w:rPr>
              <w:t>$75,991.00</w:t>
            </w:r>
          </w:p>
        </w:tc>
        <w:tc>
          <w:tcPr>
            <w:tcW w:w="1661" w:type="dxa"/>
          </w:tcPr>
          <w:p>
            <w:pPr>
              <w:pStyle w:val="TableParagraph"/>
              <w:spacing w:before="100"/>
              <w:ind w:left="53" w:right="53"/>
              <w:rPr>
                <w:sz w:val="18"/>
              </w:rPr>
            </w:pPr>
            <w:r>
              <w:rPr>
                <w:sz w:val="18"/>
              </w:rPr>
              <w:t>$2,390,309.00</w:t>
            </w:r>
          </w:p>
        </w:tc>
        <w:tc>
          <w:tcPr>
            <w:tcW w:w="1661" w:type="dxa"/>
          </w:tcPr>
          <w:p>
            <w:pPr>
              <w:pStyle w:val="TableParagraph"/>
              <w:spacing w:before="100"/>
              <w:ind w:left="54" w:right="54"/>
              <w:rPr>
                <w:sz w:val="18"/>
              </w:rPr>
            </w:pPr>
            <w:r>
              <w:rPr>
                <w:sz w:val="18"/>
              </w:rPr>
              <w:t>$138,390,508.00</w:t>
            </w:r>
          </w:p>
        </w:tc>
        <w:tc>
          <w:tcPr>
            <w:tcW w:w="1658" w:type="dxa"/>
          </w:tcPr>
          <w:p>
            <w:pPr>
              <w:pStyle w:val="TableParagraph"/>
              <w:spacing w:before="100"/>
              <w:ind w:left="53" w:right="53"/>
              <w:rPr>
                <w:sz w:val="18"/>
              </w:rPr>
            </w:pPr>
            <w:r>
              <w:rPr>
                <w:sz w:val="18"/>
              </w:rPr>
              <w:t>$105,577,778.00</w:t>
            </w:r>
          </w:p>
        </w:tc>
        <w:tc>
          <w:tcPr>
            <w:tcW w:w="1508" w:type="dxa"/>
          </w:tcPr>
          <w:p>
            <w:pPr>
              <w:pStyle w:val="TableParagraph"/>
              <w:spacing w:before="100"/>
              <w:ind w:left="53" w:right="51"/>
              <w:rPr>
                <w:sz w:val="18"/>
              </w:rPr>
            </w:pPr>
            <w:r>
              <w:rPr>
                <w:sz w:val="18"/>
              </w:rPr>
              <w:t>$583,401.77</w:t>
            </w:r>
          </w:p>
        </w:tc>
        <w:tc>
          <w:tcPr>
            <w:tcW w:w="1661" w:type="dxa"/>
          </w:tcPr>
          <w:p>
            <w:pPr>
              <w:pStyle w:val="TableParagraph"/>
              <w:spacing w:before="100"/>
              <w:ind w:left="53" w:right="53"/>
              <w:rPr>
                <w:sz w:val="18"/>
              </w:rPr>
            </w:pPr>
            <w:r>
              <w:rPr>
                <w:sz w:val="18"/>
              </w:rPr>
              <w:t>$2,682,500.23</w:t>
            </w:r>
          </w:p>
        </w:tc>
        <w:tc>
          <w:tcPr>
            <w:tcW w:w="1661" w:type="dxa"/>
          </w:tcPr>
          <w:p>
            <w:pPr>
              <w:pStyle w:val="TableParagraph"/>
              <w:spacing w:before="100"/>
              <w:ind w:left="53" w:right="53"/>
              <w:rPr>
                <w:sz w:val="18"/>
              </w:rPr>
            </w:pPr>
            <w:r>
              <w:rPr>
                <w:sz w:val="18"/>
              </w:rPr>
              <w:t>$102,311,876.00</w:t>
            </w:r>
          </w:p>
        </w:tc>
      </w:tr>
      <w:tr>
        <w:trPr>
          <w:trHeight w:val="518" w:hRule="exact"/>
        </w:trPr>
        <w:tc>
          <w:tcPr>
            <w:tcW w:w="2141" w:type="dxa"/>
          </w:tcPr>
          <w:p>
            <w:pPr>
              <w:pStyle w:val="TableParagraph"/>
              <w:spacing w:before="92"/>
              <w:ind w:left="64" w:right="67"/>
              <w:jc w:val="left"/>
              <w:rPr>
                <w:b/>
                <w:sz w:val="18"/>
              </w:rPr>
            </w:pPr>
            <w:r>
              <w:rPr>
                <w:b/>
                <w:color w:val="333333"/>
                <w:sz w:val="18"/>
              </w:rPr>
              <w:t>TLALMANALCO</w:t>
            </w:r>
          </w:p>
        </w:tc>
        <w:tc>
          <w:tcPr>
            <w:tcW w:w="1658" w:type="dxa"/>
          </w:tcPr>
          <w:p>
            <w:pPr>
              <w:pStyle w:val="TableParagraph"/>
              <w:spacing w:before="97"/>
              <w:ind w:left="52" w:right="53"/>
              <w:rPr>
                <w:sz w:val="18"/>
              </w:rPr>
            </w:pPr>
            <w:r>
              <w:rPr>
                <w:sz w:val="18"/>
              </w:rPr>
              <w:t>$0.00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54" w:right="56"/>
              <w:rPr>
                <w:sz w:val="18"/>
              </w:rPr>
            </w:pPr>
            <w:r>
              <w:rPr>
                <w:sz w:val="18"/>
              </w:rPr>
              <w:t>$0.00</w:t>
            </w:r>
          </w:p>
        </w:tc>
        <w:tc>
          <w:tcPr>
            <w:tcW w:w="1658" w:type="dxa"/>
          </w:tcPr>
          <w:p>
            <w:pPr>
              <w:pStyle w:val="TableParagraph"/>
              <w:spacing w:before="97"/>
              <w:ind w:left="52" w:right="53"/>
              <w:rPr>
                <w:sz w:val="18"/>
              </w:rPr>
            </w:pPr>
            <w:r>
              <w:rPr>
                <w:sz w:val="18"/>
              </w:rPr>
              <w:t>$0.00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53" w:right="54"/>
              <w:rPr>
                <w:sz w:val="18"/>
              </w:rPr>
            </w:pPr>
            <w:r>
              <w:rPr>
                <w:sz w:val="18"/>
              </w:rPr>
              <w:t>$0.00</w:t>
            </w:r>
          </w:p>
        </w:tc>
      </w:tr>
      <w:tr>
        <w:trPr>
          <w:trHeight w:val="631" w:hRule="exact"/>
        </w:trPr>
        <w:tc>
          <w:tcPr>
            <w:tcW w:w="2141" w:type="dxa"/>
          </w:tcPr>
          <w:p>
            <w:pPr>
              <w:pStyle w:val="TableParagraph"/>
              <w:tabs>
                <w:tab w:pos="1811" w:val="left" w:leader="none"/>
              </w:tabs>
              <w:spacing w:line="360" w:lineRule="auto"/>
              <w:ind w:left="64" w:right="68"/>
              <w:jc w:val="left"/>
              <w:rPr>
                <w:b/>
                <w:sz w:val="18"/>
              </w:rPr>
            </w:pPr>
            <w:r>
              <w:rPr>
                <w:b/>
                <w:color w:val="333333"/>
                <w:sz w:val="18"/>
              </w:rPr>
              <w:t>TLALNEPANTLA</w:t>
              <w:tab/>
              <w:t>DE BAZ</w:t>
            </w:r>
          </w:p>
        </w:tc>
        <w:tc>
          <w:tcPr>
            <w:tcW w:w="1658" w:type="dxa"/>
          </w:tcPr>
          <w:p>
            <w:pPr>
              <w:pStyle w:val="TableParagraph"/>
              <w:spacing w:before="155"/>
              <w:ind w:left="53" w:right="53"/>
              <w:rPr>
                <w:sz w:val="18"/>
              </w:rPr>
            </w:pPr>
            <w:r>
              <w:rPr>
                <w:sz w:val="18"/>
              </w:rPr>
              <w:t>$2,825,989,593.17</w:t>
            </w:r>
          </w:p>
        </w:tc>
        <w:tc>
          <w:tcPr>
            <w:tcW w:w="1508" w:type="dxa"/>
          </w:tcPr>
          <w:p>
            <w:pPr>
              <w:pStyle w:val="TableParagraph"/>
              <w:spacing w:before="155"/>
              <w:ind w:left="53" w:right="48"/>
              <w:rPr>
                <w:sz w:val="18"/>
              </w:rPr>
            </w:pPr>
            <w:r>
              <w:rPr>
                <w:sz w:val="18"/>
              </w:rPr>
              <w:t>$0.00</w:t>
            </w:r>
          </w:p>
        </w:tc>
        <w:tc>
          <w:tcPr>
            <w:tcW w:w="1661" w:type="dxa"/>
          </w:tcPr>
          <w:p>
            <w:pPr>
              <w:pStyle w:val="TableParagraph"/>
              <w:spacing w:before="155"/>
              <w:ind w:left="53" w:right="53"/>
              <w:rPr>
                <w:sz w:val="18"/>
              </w:rPr>
            </w:pPr>
            <w:r>
              <w:rPr>
                <w:sz w:val="18"/>
              </w:rPr>
              <w:t>$2,824,881,591.17</w:t>
            </w:r>
          </w:p>
        </w:tc>
        <w:tc>
          <w:tcPr>
            <w:tcW w:w="1661" w:type="dxa"/>
          </w:tcPr>
          <w:p>
            <w:pPr>
              <w:pStyle w:val="TableParagraph"/>
              <w:spacing w:before="155"/>
              <w:ind w:left="54" w:right="56"/>
              <w:rPr>
                <w:sz w:val="18"/>
              </w:rPr>
            </w:pPr>
            <w:r>
              <w:rPr>
                <w:sz w:val="18"/>
              </w:rPr>
              <w:t>$1,108,002.00</w:t>
            </w:r>
          </w:p>
        </w:tc>
        <w:tc>
          <w:tcPr>
            <w:tcW w:w="1658" w:type="dxa"/>
          </w:tcPr>
          <w:p>
            <w:pPr>
              <w:pStyle w:val="TableParagraph"/>
              <w:spacing w:before="155"/>
              <w:ind w:left="53" w:right="53"/>
              <w:rPr>
                <w:sz w:val="18"/>
              </w:rPr>
            </w:pPr>
            <w:r>
              <w:rPr>
                <w:sz w:val="18"/>
              </w:rPr>
              <w:t>$3,487,539,139.89</w:t>
            </w:r>
          </w:p>
        </w:tc>
        <w:tc>
          <w:tcPr>
            <w:tcW w:w="1508" w:type="dxa"/>
          </w:tcPr>
          <w:p>
            <w:pPr>
              <w:pStyle w:val="TableParagraph"/>
              <w:spacing w:before="155"/>
              <w:ind w:left="53" w:right="50"/>
              <w:rPr>
                <w:sz w:val="18"/>
              </w:rPr>
            </w:pPr>
            <w:r>
              <w:rPr>
                <w:sz w:val="18"/>
              </w:rPr>
              <w:t>$33,476,639.22</w:t>
            </w:r>
          </w:p>
        </w:tc>
        <w:tc>
          <w:tcPr>
            <w:tcW w:w="1661" w:type="dxa"/>
          </w:tcPr>
          <w:p>
            <w:pPr>
              <w:pStyle w:val="TableParagraph"/>
              <w:spacing w:before="155"/>
              <w:ind w:left="53" w:right="53"/>
              <w:rPr>
                <w:sz w:val="18"/>
              </w:rPr>
            </w:pPr>
            <w:r>
              <w:rPr>
                <w:sz w:val="18"/>
              </w:rPr>
              <w:t>$3,487,577,915.14</w:t>
            </w:r>
          </w:p>
        </w:tc>
        <w:tc>
          <w:tcPr>
            <w:tcW w:w="1661" w:type="dxa"/>
          </w:tcPr>
          <w:p>
            <w:pPr>
              <w:pStyle w:val="TableParagraph"/>
              <w:spacing w:before="155"/>
              <w:ind w:left="53" w:right="54"/>
              <w:rPr>
                <w:sz w:val="18"/>
              </w:rPr>
            </w:pPr>
            <w:r>
              <w:rPr>
                <w:sz w:val="18"/>
              </w:rPr>
              <w:t>$33,437,863.97</w:t>
            </w:r>
          </w:p>
        </w:tc>
      </w:tr>
      <w:tr>
        <w:trPr>
          <w:trHeight w:val="521" w:hRule="exact"/>
        </w:trPr>
        <w:tc>
          <w:tcPr>
            <w:tcW w:w="2141" w:type="dxa"/>
          </w:tcPr>
          <w:p>
            <w:pPr>
              <w:pStyle w:val="TableParagraph"/>
              <w:spacing w:before="95"/>
              <w:ind w:left="64" w:right="67"/>
              <w:jc w:val="left"/>
              <w:rPr>
                <w:b/>
                <w:sz w:val="18"/>
              </w:rPr>
            </w:pPr>
            <w:r>
              <w:rPr>
                <w:b/>
                <w:color w:val="333333"/>
                <w:sz w:val="18"/>
              </w:rPr>
              <w:t>TLATLAYA</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3" w:right="54"/>
              <w:rPr>
                <w:sz w:val="18"/>
              </w:rPr>
            </w:pPr>
            <w:r>
              <w:rPr>
                <w:sz w:val="18"/>
              </w:rPr>
              <w:t>$0.00</w:t>
            </w:r>
          </w:p>
        </w:tc>
      </w:tr>
      <w:tr>
        <w:trPr>
          <w:trHeight w:val="521" w:hRule="exact"/>
        </w:trPr>
        <w:tc>
          <w:tcPr>
            <w:tcW w:w="2141" w:type="dxa"/>
          </w:tcPr>
          <w:p>
            <w:pPr>
              <w:pStyle w:val="TableParagraph"/>
              <w:spacing w:before="95"/>
              <w:ind w:left="64" w:right="67"/>
              <w:jc w:val="left"/>
              <w:rPr>
                <w:b/>
                <w:sz w:val="18"/>
              </w:rPr>
            </w:pPr>
            <w:r>
              <w:rPr>
                <w:b/>
                <w:color w:val="333333"/>
                <w:sz w:val="18"/>
              </w:rPr>
              <w:t>TOLUCA</w:t>
            </w:r>
          </w:p>
        </w:tc>
        <w:tc>
          <w:tcPr>
            <w:tcW w:w="1658" w:type="dxa"/>
          </w:tcPr>
          <w:p>
            <w:pPr>
              <w:pStyle w:val="TableParagraph"/>
              <w:spacing w:before="100"/>
              <w:ind w:left="53" w:right="53"/>
              <w:rPr>
                <w:sz w:val="18"/>
              </w:rPr>
            </w:pPr>
            <w:r>
              <w:rPr>
                <w:sz w:val="18"/>
              </w:rPr>
              <w:t>$3,539,248,284.00</w:t>
            </w:r>
          </w:p>
        </w:tc>
        <w:tc>
          <w:tcPr>
            <w:tcW w:w="1508" w:type="dxa"/>
          </w:tcPr>
          <w:p>
            <w:pPr>
              <w:pStyle w:val="TableParagraph"/>
              <w:spacing w:before="100"/>
              <w:ind w:left="53" w:right="51"/>
              <w:rPr>
                <w:sz w:val="18"/>
              </w:rPr>
            </w:pPr>
            <w:r>
              <w:rPr>
                <w:sz w:val="18"/>
              </w:rPr>
              <w:t>$13,320,490.51</w:t>
            </w:r>
          </w:p>
        </w:tc>
        <w:tc>
          <w:tcPr>
            <w:tcW w:w="1661" w:type="dxa"/>
          </w:tcPr>
          <w:p>
            <w:pPr>
              <w:pStyle w:val="TableParagraph"/>
              <w:spacing w:before="100"/>
              <w:ind w:left="53" w:right="53"/>
              <w:rPr>
                <w:sz w:val="18"/>
              </w:rPr>
            </w:pPr>
            <w:r>
              <w:rPr>
                <w:sz w:val="18"/>
              </w:rPr>
              <w:t>$3,104,015,182.33</w:t>
            </w:r>
          </w:p>
        </w:tc>
        <w:tc>
          <w:tcPr>
            <w:tcW w:w="1661" w:type="dxa"/>
          </w:tcPr>
          <w:p>
            <w:pPr>
              <w:pStyle w:val="TableParagraph"/>
              <w:spacing w:before="100"/>
              <w:ind w:left="54" w:right="54"/>
              <w:rPr>
                <w:sz w:val="18"/>
              </w:rPr>
            </w:pPr>
            <w:r>
              <w:rPr>
                <w:sz w:val="18"/>
              </w:rPr>
              <w:t>$448,553,592.18</w:t>
            </w:r>
          </w:p>
        </w:tc>
        <w:tc>
          <w:tcPr>
            <w:tcW w:w="1658" w:type="dxa"/>
          </w:tcPr>
          <w:p>
            <w:pPr>
              <w:pStyle w:val="TableParagraph"/>
              <w:spacing w:before="100"/>
              <w:ind w:left="53" w:right="53"/>
              <w:rPr>
                <w:sz w:val="18"/>
              </w:rPr>
            </w:pPr>
            <w:r>
              <w:rPr>
                <w:sz w:val="18"/>
              </w:rPr>
              <w:t>$3,515,199,876.26</w:t>
            </w:r>
          </w:p>
        </w:tc>
        <w:tc>
          <w:tcPr>
            <w:tcW w:w="1508" w:type="dxa"/>
          </w:tcPr>
          <w:p>
            <w:pPr>
              <w:pStyle w:val="TableParagraph"/>
              <w:spacing w:before="100"/>
              <w:ind w:left="53" w:right="49"/>
              <w:rPr>
                <w:sz w:val="18"/>
              </w:rPr>
            </w:pPr>
            <w:r>
              <w:rPr>
                <w:sz w:val="18"/>
              </w:rPr>
              <w:t>$1,527,999.96</w:t>
            </w:r>
          </w:p>
        </w:tc>
        <w:tc>
          <w:tcPr>
            <w:tcW w:w="1661" w:type="dxa"/>
          </w:tcPr>
          <w:p>
            <w:pPr>
              <w:pStyle w:val="TableParagraph"/>
              <w:spacing w:before="100"/>
              <w:ind w:left="53" w:right="53"/>
              <w:rPr>
                <w:sz w:val="18"/>
              </w:rPr>
            </w:pPr>
            <w:r>
              <w:rPr>
                <w:sz w:val="18"/>
              </w:rPr>
              <w:t>$2,093,120,682.12</w:t>
            </w:r>
          </w:p>
        </w:tc>
        <w:tc>
          <w:tcPr>
            <w:tcW w:w="1661" w:type="dxa"/>
          </w:tcPr>
          <w:p>
            <w:pPr>
              <w:pStyle w:val="TableParagraph"/>
              <w:spacing w:before="100"/>
              <w:ind w:left="52" w:right="54"/>
              <w:rPr>
                <w:sz w:val="18"/>
              </w:rPr>
            </w:pPr>
            <w:r>
              <w:rPr>
                <w:sz w:val="18"/>
              </w:rPr>
              <w:t>$1,420,551,194.18</w:t>
            </w:r>
          </w:p>
        </w:tc>
      </w:tr>
      <w:tr>
        <w:trPr>
          <w:trHeight w:val="518" w:hRule="exact"/>
        </w:trPr>
        <w:tc>
          <w:tcPr>
            <w:tcW w:w="2141" w:type="dxa"/>
          </w:tcPr>
          <w:p>
            <w:pPr>
              <w:pStyle w:val="TableParagraph"/>
              <w:spacing w:before="92"/>
              <w:ind w:left="64" w:right="67"/>
              <w:jc w:val="left"/>
              <w:rPr>
                <w:b/>
                <w:sz w:val="18"/>
              </w:rPr>
            </w:pPr>
            <w:r>
              <w:rPr>
                <w:b/>
                <w:color w:val="333333"/>
                <w:sz w:val="18"/>
              </w:rPr>
              <w:t>TONANITLA</w:t>
            </w:r>
          </w:p>
        </w:tc>
        <w:tc>
          <w:tcPr>
            <w:tcW w:w="1658" w:type="dxa"/>
          </w:tcPr>
          <w:p>
            <w:pPr>
              <w:pStyle w:val="TableParagraph"/>
              <w:spacing w:before="97"/>
              <w:ind w:left="53" w:right="53"/>
              <w:rPr>
                <w:sz w:val="18"/>
              </w:rPr>
            </w:pPr>
            <w:r>
              <w:rPr>
                <w:sz w:val="18"/>
              </w:rPr>
              <w:t>$0.00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54" w:right="56"/>
              <w:rPr>
                <w:sz w:val="18"/>
              </w:rPr>
            </w:pPr>
            <w:r>
              <w:rPr>
                <w:sz w:val="18"/>
              </w:rPr>
              <w:t>$0.00</w:t>
            </w:r>
          </w:p>
        </w:tc>
        <w:tc>
          <w:tcPr>
            <w:tcW w:w="1658" w:type="dxa"/>
          </w:tcPr>
          <w:p>
            <w:pPr>
              <w:pStyle w:val="TableParagraph"/>
              <w:spacing w:before="97"/>
              <w:ind w:left="52" w:right="53"/>
              <w:rPr>
                <w:sz w:val="18"/>
              </w:rPr>
            </w:pPr>
            <w:r>
              <w:rPr>
                <w:sz w:val="18"/>
              </w:rPr>
              <w:t>$0.00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53" w:right="54"/>
              <w:rPr>
                <w:sz w:val="18"/>
              </w:rPr>
            </w:pPr>
            <w:r>
              <w:rPr>
                <w:sz w:val="18"/>
              </w:rPr>
              <w:t>$0.00</w:t>
            </w:r>
          </w:p>
        </w:tc>
      </w:tr>
      <w:tr>
        <w:trPr>
          <w:trHeight w:val="521" w:hRule="exact"/>
        </w:trPr>
        <w:tc>
          <w:tcPr>
            <w:tcW w:w="2141" w:type="dxa"/>
          </w:tcPr>
          <w:p>
            <w:pPr>
              <w:pStyle w:val="TableParagraph"/>
              <w:spacing w:before="95"/>
              <w:ind w:left="64" w:right="67"/>
              <w:jc w:val="left"/>
              <w:rPr>
                <w:b/>
                <w:sz w:val="18"/>
              </w:rPr>
            </w:pPr>
            <w:r>
              <w:rPr>
                <w:b/>
                <w:color w:val="333333"/>
                <w:sz w:val="18"/>
              </w:rPr>
              <w:t>TONATICO</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3" w:right="54"/>
              <w:rPr>
                <w:sz w:val="18"/>
              </w:rPr>
            </w:pPr>
            <w:r>
              <w:rPr>
                <w:sz w:val="18"/>
              </w:rPr>
              <w:t>$0.00</w:t>
            </w:r>
          </w:p>
        </w:tc>
      </w:tr>
      <w:tr>
        <w:trPr>
          <w:trHeight w:val="521" w:hRule="exact"/>
        </w:trPr>
        <w:tc>
          <w:tcPr>
            <w:tcW w:w="2141" w:type="dxa"/>
          </w:tcPr>
          <w:p>
            <w:pPr>
              <w:pStyle w:val="TableParagraph"/>
              <w:spacing w:before="95"/>
              <w:ind w:left="64" w:right="67"/>
              <w:jc w:val="left"/>
              <w:rPr>
                <w:b/>
                <w:sz w:val="18"/>
              </w:rPr>
            </w:pPr>
            <w:r>
              <w:rPr>
                <w:b/>
                <w:color w:val="333333"/>
                <w:sz w:val="18"/>
              </w:rPr>
              <w:t>TULTEPEC</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3" w:right="54"/>
              <w:rPr>
                <w:sz w:val="18"/>
              </w:rPr>
            </w:pPr>
            <w:r>
              <w:rPr>
                <w:sz w:val="18"/>
              </w:rPr>
              <w:t>$0.00</w:t>
            </w:r>
          </w:p>
        </w:tc>
      </w:tr>
      <w:tr>
        <w:trPr>
          <w:trHeight w:val="518" w:hRule="exact"/>
        </w:trPr>
        <w:tc>
          <w:tcPr>
            <w:tcW w:w="2141" w:type="dxa"/>
          </w:tcPr>
          <w:p>
            <w:pPr>
              <w:pStyle w:val="TableParagraph"/>
              <w:spacing w:before="92"/>
              <w:ind w:left="64" w:right="67"/>
              <w:jc w:val="left"/>
              <w:rPr>
                <w:b/>
                <w:sz w:val="18"/>
              </w:rPr>
            </w:pPr>
            <w:r>
              <w:rPr>
                <w:b/>
                <w:color w:val="333333"/>
                <w:sz w:val="18"/>
              </w:rPr>
              <w:t>TULTITLAN</w:t>
            </w:r>
          </w:p>
        </w:tc>
        <w:tc>
          <w:tcPr>
            <w:tcW w:w="1658" w:type="dxa"/>
          </w:tcPr>
          <w:p>
            <w:pPr>
              <w:pStyle w:val="TableParagraph"/>
              <w:spacing w:before="97"/>
              <w:ind w:left="53" w:right="53"/>
              <w:rPr>
                <w:sz w:val="18"/>
              </w:rPr>
            </w:pPr>
            <w:r>
              <w:rPr>
                <w:sz w:val="18"/>
              </w:rPr>
              <w:t>$1,028,252,431.00</w:t>
            </w:r>
          </w:p>
        </w:tc>
        <w:tc>
          <w:tcPr>
            <w:tcW w:w="1508" w:type="dxa"/>
          </w:tcPr>
          <w:p>
            <w:pPr>
              <w:pStyle w:val="TableParagraph"/>
              <w:spacing w:before="97"/>
              <w:ind w:left="53" w:right="51"/>
              <w:rPr>
                <w:sz w:val="18"/>
              </w:rPr>
            </w:pPr>
            <w:r>
              <w:rPr>
                <w:sz w:val="18"/>
              </w:rPr>
              <w:t>$20,692,149.40</w:t>
            </w:r>
          </w:p>
        </w:tc>
        <w:tc>
          <w:tcPr>
            <w:tcW w:w="1661" w:type="dxa"/>
          </w:tcPr>
          <w:p>
            <w:pPr>
              <w:pStyle w:val="TableParagraph"/>
              <w:spacing w:before="97"/>
              <w:ind w:left="53" w:right="53"/>
              <w:rPr>
                <w:sz w:val="18"/>
              </w:rPr>
            </w:pPr>
            <w:r>
              <w:rPr>
                <w:sz w:val="18"/>
              </w:rPr>
              <w:t>$1,029,157,577.03</w:t>
            </w:r>
          </w:p>
        </w:tc>
        <w:tc>
          <w:tcPr>
            <w:tcW w:w="1661" w:type="dxa"/>
          </w:tcPr>
          <w:p>
            <w:pPr>
              <w:pStyle w:val="TableParagraph"/>
              <w:spacing w:before="97"/>
              <w:ind w:left="54" w:right="54"/>
              <w:rPr>
                <w:sz w:val="18"/>
              </w:rPr>
            </w:pPr>
            <w:r>
              <w:rPr>
                <w:sz w:val="18"/>
              </w:rPr>
              <w:t>$19,787,003.37</w:t>
            </w:r>
          </w:p>
        </w:tc>
        <w:tc>
          <w:tcPr>
            <w:tcW w:w="1658" w:type="dxa"/>
          </w:tcPr>
          <w:p>
            <w:pPr>
              <w:pStyle w:val="TableParagraph"/>
              <w:spacing w:before="97"/>
              <w:ind w:left="53" w:right="53"/>
              <w:rPr>
                <w:sz w:val="18"/>
              </w:rPr>
            </w:pPr>
            <w:r>
              <w:rPr>
                <w:sz w:val="18"/>
              </w:rPr>
              <w:t>$1,636,028,707.07</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1"/>
              <w:rPr>
                <w:sz w:val="18"/>
              </w:rPr>
            </w:pPr>
            <w:r>
              <w:rPr>
                <w:sz w:val="18"/>
              </w:rPr>
              <w:t>$946,950,568.71</w:t>
            </w:r>
          </w:p>
        </w:tc>
        <w:tc>
          <w:tcPr>
            <w:tcW w:w="1661" w:type="dxa"/>
          </w:tcPr>
          <w:p>
            <w:pPr>
              <w:pStyle w:val="TableParagraph"/>
              <w:spacing w:before="97"/>
              <w:ind w:left="53" w:right="53"/>
              <w:rPr>
                <w:sz w:val="18"/>
              </w:rPr>
            </w:pPr>
            <w:r>
              <w:rPr>
                <w:sz w:val="18"/>
              </w:rPr>
              <w:t>$689,078,138.36</w:t>
            </w:r>
          </w:p>
        </w:tc>
      </w:tr>
      <w:tr>
        <w:trPr>
          <w:trHeight w:val="521" w:hRule="exact"/>
        </w:trPr>
        <w:tc>
          <w:tcPr>
            <w:tcW w:w="2141" w:type="dxa"/>
          </w:tcPr>
          <w:p>
            <w:pPr>
              <w:pStyle w:val="TableParagraph"/>
              <w:spacing w:before="95"/>
              <w:ind w:left="64" w:right="67"/>
              <w:jc w:val="left"/>
              <w:rPr>
                <w:b/>
                <w:sz w:val="18"/>
              </w:rPr>
            </w:pPr>
            <w:r>
              <w:rPr>
                <w:b/>
                <w:color w:val="333333"/>
                <w:sz w:val="18"/>
              </w:rPr>
              <w:t>VALLE DE BRAVO</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3" w:right="53"/>
              <w:rPr>
                <w:sz w:val="18"/>
              </w:rPr>
            </w:pPr>
            <w:r>
              <w:rPr>
                <w:sz w:val="18"/>
              </w:rPr>
              <w:t>$594,963,104.86</w:t>
            </w:r>
          </w:p>
        </w:tc>
        <w:tc>
          <w:tcPr>
            <w:tcW w:w="1508" w:type="dxa"/>
          </w:tcPr>
          <w:p>
            <w:pPr>
              <w:pStyle w:val="TableParagraph"/>
              <w:spacing w:before="100"/>
              <w:ind w:left="53" w:right="51"/>
              <w:rPr>
                <w:sz w:val="18"/>
              </w:rPr>
            </w:pPr>
            <w:r>
              <w:rPr>
                <w:sz w:val="18"/>
              </w:rPr>
              <w:t>$52,380,173.80</w:t>
            </w:r>
          </w:p>
        </w:tc>
        <w:tc>
          <w:tcPr>
            <w:tcW w:w="1661" w:type="dxa"/>
          </w:tcPr>
          <w:p>
            <w:pPr>
              <w:pStyle w:val="TableParagraph"/>
              <w:spacing w:before="100"/>
              <w:ind w:left="53" w:right="51"/>
              <w:rPr>
                <w:sz w:val="18"/>
              </w:rPr>
            </w:pPr>
            <w:r>
              <w:rPr>
                <w:sz w:val="18"/>
              </w:rPr>
              <w:t>$214,002,755.68</w:t>
            </w:r>
          </w:p>
        </w:tc>
        <w:tc>
          <w:tcPr>
            <w:tcW w:w="1661" w:type="dxa"/>
          </w:tcPr>
          <w:p>
            <w:pPr>
              <w:pStyle w:val="TableParagraph"/>
              <w:spacing w:before="100"/>
              <w:ind w:left="53" w:right="53"/>
              <w:rPr>
                <w:sz w:val="18"/>
              </w:rPr>
            </w:pPr>
            <w:r>
              <w:rPr>
                <w:sz w:val="18"/>
              </w:rPr>
              <w:t>$433,340,522.98</w:t>
            </w:r>
          </w:p>
        </w:tc>
      </w:tr>
    </w:tbl>
    <w:p>
      <w:pPr>
        <w:spacing w:after="0"/>
        <w:rPr>
          <w:sz w:val="18"/>
        </w:rPr>
        <w:sectPr>
          <w:pgSz w:w="15840" w:h="12240" w:orient="landscape"/>
          <w:pgMar w:header="0" w:footer="975" w:top="1140" w:bottom="1160" w:left="240" w:right="240"/>
        </w:sectPr>
      </w:pPr>
    </w:p>
    <w:p>
      <w:pPr>
        <w:pStyle w:val="BodyText"/>
        <w:rPr>
          <w:rFonts w:ascii="Times New Roman"/>
          <w:sz w:val="20"/>
        </w:rPr>
      </w:pPr>
    </w:p>
    <w:p>
      <w:pPr>
        <w:pStyle w:val="BodyText"/>
        <w:spacing w:before="10"/>
        <w:rPr>
          <w:rFonts w:ascii="Times New Roman"/>
          <w:sz w:val="28"/>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41"/>
        <w:gridCol w:w="1658"/>
        <w:gridCol w:w="1508"/>
        <w:gridCol w:w="1661"/>
        <w:gridCol w:w="1661"/>
        <w:gridCol w:w="1658"/>
        <w:gridCol w:w="1508"/>
        <w:gridCol w:w="1661"/>
        <w:gridCol w:w="1661"/>
      </w:tblGrid>
      <w:tr>
        <w:trPr>
          <w:trHeight w:val="430" w:hRule="exact"/>
        </w:trPr>
        <w:tc>
          <w:tcPr>
            <w:tcW w:w="15117" w:type="dxa"/>
            <w:gridSpan w:val="9"/>
            <w:shd w:val="clear" w:color="auto" w:fill="C5DFB3"/>
          </w:tcPr>
          <w:p>
            <w:pPr>
              <w:pStyle w:val="TableParagraph"/>
              <w:spacing w:before="49"/>
              <w:ind w:left="3910"/>
              <w:jc w:val="left"/>
              <w:rPr>
                <w:b/>
                <w:sz w:val="18"/>
              </w:rPr>
            </w:pPr>
            <w:r>
              <w:rPr>
                <w:b/>
                <w:sz w:val="18"/>
              </w:rPr>
              <w:t>Anexo 24C. Municipios que publican apartado presupuesto 2012-2013 (Finaliza tabla)</w:t>
            </w:r>
          </w:p>
        </w:tc>
      </w:tr>
      <w:tr>
        <w:trPr>
          <w:trHeight w:val="320" w:hRule="exact"/>
        </w:trPr>
        <w:tc>
          <w:tcPr>
            <w:tcW w:w="2141"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23"/>
              </w:rPr>
            </w:pPr>
          </w:p>
          <w:p>
            <w:pPr>
              <w:pStyle w:val="TableParagraph"/>
              <w:ind w:left="643" w:right="67"/>
              <w:jc w:val="left"/>
              <w:rPr>
                <w:b/>
                <w:sz w:val="18"/>
              </w:rPr>
            </w:pPr>
            <w:r>
              <w:rPr>
                <w:b/>
                <w:sz w:val="18"/>
              </w:rPr>
              <w:t>Municipio</w:t>
            </w:r>
          </w:p>
        </w:tc>
        <w:tc>
          <w:tcPr>
            <w:tcW w:w="6488" w:type="dxa"/>
            <w:gridSpan w:val="4"/>
            <w:shd w:val="clear" w:color="auto" w:fill="C5DFB3"/>
          </w:tcPr>
          <w:p>
            <w:pPr>
              <w:pStyle w:val="TableParagraph"/>
              <w:spacing w:line="201" w:lineRule="exact"/>
              <w:ind w:left="3020" w:right="3018"/>
              <w:rPr>
                <w:b/>
                <w:sz w:val="18"/>
              </w:rPr>
            </w:pPr>
            <w:r>
              <w:rPr>
                <w:b/>
                <w:sz w:val="18"/>
              </w:rPr>
              <w:t>2012</w:t>
            </w:r>
          </w:p>
        </w:tc>
        <w:tc>
          <w:tcPr>
            <w:tcW w:w="6488" w:type="dxa"/>
            <w:gridSpan w:val="4"/>
            <w:shd w:val="clear" w:color="auto" w:fill="C5DFB3"/>
          </w:tcPr>
          <w:p>
            <w:pPr>
              <w:pStyle w:val="TableParagraph"/>
              <w:spacing w:line="201" w:lineRule="exact"/>
              <w:ind w:left="3019" w:right="3018"/>
              <w:rPr>
                <w:b/>
                <w:sz w:val="18"/>
              </w:rPr>
            </w:pPr>
            <w:r>
              <w:rPr>
                <w:b/>
                <w:sz w:val="18"/>
              </w:rPr>
              <w:t>2013</w:t>
            </w:r>
          </w:p>
        </w:tc>
      </w:tr>
      <w:tr>
        <w:trPr>
          <w:trHeight w:val="1374" w:hRule="exact"/>
        </w:trPr>
        <w:tc>
          <w:tcPr>
            <w:tcW w:w="2141" w:type="dxa"/>
            <w:vMerge/>
            <w:shd w:val="clear" w:color="auto" w:fill="C5DFB3"/>
          </w:tcPr>
          <w:p>
            <w:pPr/>
          </w:p>
        </w:tc>
        <w:tc>
          <w:tcPr>
            <w:tcW w:w="165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w w:val="100"/>
                <w:sz w:val="18"/>
              </w:rPr>
              <w:t>Auto</w:t>
            </w:r>
            <w:r>
              <w:rPr>
                <w:b/>
                <w:spacing w:val="-1"/>
                <w:w w:val="99"/>
                <w:sz w:val="18"/>
              </w:rPr>
              <w:t>r</w:t>
            </w:r>
            <w:r>
              <w:rPr>
                <w:b/>
                <w:w w:val="100"/>
                <w:sz w:val="18"/>
              </w:rPr>
              <w:t>i</w:t>
            </w:r>
            <w:r>
              <w:rPr>
                <w:b/>
                <w:spacing w:val="1"/>
                <w:w w:val="100"/>
                <w:sz w:val="18"/>
              </w:rPr>
              <w:t>z</w:t>
            </w:r>
            <w:r>
              <w:rPr>
                <w:b/>
                <w:w w:val="99"/>
                <w:sz w:val="18"/>
              </w:rPr>
              <w:t>a</w:t>
            </w:r>
            <w:r>
              <w:rPr>
                <w:b/>
                <w:w w:val="100"/>
                <w:sz w:val="18"/>
              </w:rPr>
              <w:t>do</w:t>
            </w:r>
          </w:p>
        </w:tc>
        <w:tc>
          <w:tcPr>
            <w:tcW w:w="150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15"/>
              </w:rPr>
            </w:pPr>
          </w:p>
          <w:p>
            <w:pPr>
              <w:pStyle w:val="TableParagraph"/>
              <w:ind w:left="206"/>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326"/>
              <w:jc w:val="left"/>
              <w:rPr>
                <w:b/>
                <w:sz w:val="18"/>
              </w:rPr>
            </w:pPr>
            <w:r>
              <w:rPr>
                <w:b/>
                <w:w w:val="100"/>
                <w:sz w:val="18"/>
              </w:rPr>
              <w:t>Eje</w:t>
            </w:r>
            <w:r>
              <w:rPr>
                <w:b/>
                <w:w w:val="99"/>
                <w:sz w:val="18"/>
              </w:rPr>
              <w:t>rci</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211"/>
              <w:jc w:val="left"/>
              <w:rPr>
                <w:b/>
                <w:sz w:val="18"/>
              </w:rPr>
            </w:pPr>
            <w:r>
              <w:rPr>
                <w:b/>
                <w:sz w:val="18"/>
              </w:rPr>
              <w:t>Por </w:t>
            </w:r>
            <w:r>
              <w:rPr>
                <w:b/>
                <w:w w:val="99"/>
                <w:sz w:val="18"/>
              </w:rPr>
              <w:t>e</w:t>
            </w:r>
            <w:r>
              <w:rPr>
                <w:b/>
                <w:w w:val="100"/>
                <w:sz w:val="18"/>
              </w:rPr>
              <w:t>je</w:t>
            </w:r>
            <w:r>
              <w:rPr>
                <w:b/>
                <w:w w:val="99"/>
                <w:sz w:val="18"/>
              </w:rPr>
              <w:t>rcer</w:t>
            </w:r>
          </w:p>
        </w:tc>
        <w:tc>
          <w:tcPr>
            <w:tcW w:w="165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w w:val="100"/>
                <w:sz w:val="18"/>
              </w:rPr>
              <w:t>Autoriz</w:t>
            </w:r>
            <w:r>
              <w:rPr>
                <w:b/>
                <w:w w:val="99"/>
                <w:sz w:val="18"/>
              </w:rPr>
              <w:t>a</w:t>
            </w:r>
            <w:r>
              <w:rPr>
                <w:b/>
                <w:w w:val="100"/>
                <w:sz w:val="18"/>
              </w:rPr>
              <w:t>do</w:t>
            </w:r>
          </w:p>
        </w:tc>
        <w:tc>
          <w:tcPr>
            <w:tcW w:w="150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15"/>
              </w:rPr>
            </w:pPr>
          </w:p>
          <w:p>
            <w:pPr>
              <w:pStyle w:val="TableParagraph"/>
              <w:ind w:left="206"/>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326"/>
              <w:jc w:val="left"/>
              <w:rPr>
                <w:b/>
                <w:sz w:val="18"/>
              </w:rPr>
            </w:pPr>
            <w:r>
              <w:rPr>
                <w:b/>
                <w:w w:val="100"/>
                <w:sz w:val="18"/>
              </w:rPr>
              <w:t>Eje</w:t>
            </w:r>
            <w:r>
              <w:rPr>
                <w:b/>
                <w:w w:val="99"/>
                <w:sz w:val="18"/>
              </w:rPr>
              <w:t>rci</w:t>
            </w:r>
            <w:r>
              <w:rPr>
                <w:b/>
                <w:w w:val="100"/>
                <w:sz w:val="18"/>
              </w:rPr>
              <w:t>do</w:t>
            </w:r>
          </w:p>
        </w:tc>
        <w:tc>
          <w:tcPr>
            <w:tcW w:w="166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1"/>
              </w:rPr>
            </w:pPr>
          </w:p>
          <w:p>
            <w:pPr>
              <w:pStyle w:val="TableParagraph"/>
              <w:ind w:left="211"/>
              <w:jc w:val="left"/>
              <w:rPr>
                <w:b/>
                <w:sz w:val="18"/>
              </w:rPr>
            </w:pPr>
            <w:r>
              <w:rPr>
                <w:b/>
                <w:sz w:val="18"/>
              </w:rPr>
              <w:t>Por </w:t>
            </w:r>
            <w:r>
              <w:rPr>
                <w:b/>
                <w:w w:val="99"/>
                <w:sz w:val="18"/>
              </w:rPr>
              <w:t>e</w:t>
            </w:r>
            <w:r>
              <w:rPr>
                <w:b/>
                <w:w w:val="100"/>
                <w:sz w:val="18"/>
              </w:rPr>
              <w:t>je</w:t>
            </w:r>
            <w:r>
              <w:rPr>
                <w:b/>
                <w:w w:val="99"/>
                <w:sz w:val="18"/>
              </w:rPr>
              <w:t>rcer</w:t>
            </w:r>
          </w:p>
        </w:tc>
      </w:tr>
      <w:tr>
        <w:trPr>
          <w:trHeight w:val="776" w:hRule="exact"/>
        </w:trPr>
        <w:tc>
          <w:tcPr>
            <w:tcW w:w="2141" w:type="dxa"/>
          </w:tcPr>
          <w:p>
            <w:pPr>
              <w:pStyle w:val="TableParagraph"/>
              <w:spacing w:line="360" w:lineRule="auto" w:before="69"/>
              <w:ind w:left="64" w:right="67"/>
              <w:jc w:val="left"/>
              <w:rPr>
                <w:b/>
                <w:sz w:val="18"/>
              </w:rPr>
            </w:pPr>
            <w:r>
              <w:rPr>
                <w:b/>
                <w:color w:val="333333"/>
                <w:sz w:val="18"/>
              </w:rPr>
              <w:t>VALLE DE CHALCO SOLIDARIDAD</w:t>
            </w:r>
          </w:p>
        </w:tc>
        <w:tc>
          <w:tcPr>
            <w:tcW w:w="1658" w:type="dxa"/>
          </w:tcPr>
          <w:p>
            <w:pPr>
              <w:pStyle w:val="TableParagraph"/>
              <w:spacing w:before="9"/>
              <w:jc w:val="left"/>
              <w:rPr>
                <w:rFonts w:ascii="Times New Roman"/>
                <w:sz w:val="19"/>
              </w:rPr>
            </w:pPr>
          </w:p>
          <w:p>
            <w:pPr>
              <w:pStyle w:val="TableParagraph"/>
              <w:ind w:left="53" w:right="53"/>
              <w:rPr>
                <w:sz w:val="18"/>
              </w:rPr>
            </w:pPr>
            <w:r>
              <w:rPr>
                <w:sz w:val="18"/>
              </w:rPr>
              <w:t>$650,104,022.00</w:t>
            </w:r>
          </w:p>
        </w:tc>
        <w:tc>
          <w:tcPr>
            <w:tcW w:w="1508" w:type="dxa"/>
          </w:tcPr>
          <w:p>
            <w:pPr>
              <w:pStyle w:val="TableParagraph"/>
              <w:spacing w:before="9"/>
              <w:jc w:val="left"/>
              <w:rPr>
                <w:rFonts w:ascii="Times New Roman"/>
                <w:sz w:val="19"/>
              </w:rPr>
            </w:pPr>
          </w:p>
          <w:p>
            <w:pPr>
              <w:pStyle w:val="TableParagraph"/>
              <w:ind w:left="53" w:right="48"/>
              <w:rPr>
                <w:sz w:val="18"/>
              </w:rPr>
            </w:pPr>
            <w:r>
              <w:rPr>
                <w:sz w:val="18"/>
              </w:rPr>
              <w:t>$0.00</w:t>
            </w:r>
          </w:p>
        </w:tc>
        <w:tc>
          <w:tcPr>
            <w:tcW w:w="1661" w:type="dxa"/>
          </w:tcPr>
          <w:p>
            <w:pPr>
              <w:pStyle w:val="TableParagraph"/>
              <w:spacing w:before="9"/>
              <w:jc w:val="left"/>
              <w:rPr>
                <w:rFonts w:ascii="Times New Roman"/>
                <w:sz w:val="19"/>
              </w:rPr>
            </w:pPr>
          </w:p>
          <w:p>
            <w:pPr>
              <w:pStyle w:val="TableParagraph"/>
              <w:ind w:left="53" w:right="52"/>
              <w:rPr>
                <w:sz w:val="18"/>
              </w:rPr>
            </w:pPr>
            <w:r>
              <w:rPr>
                <w:sz w:val="18"/>
              </w:rPr>
              <w:t>$0.00</w:t>
            </w:r>
          </w:p>
        </w:tc>
        <w:tc>
          <w:tcPr>
            <w:tcW w:w="1661" w:type="dxa"/>
          </w:tcPr>
          <w:p>
            <w:pPr>
              <w:pStyle w:val="TableParagraph"/>
              <w:spacing w:before="9"/>
              <w:jc w:val="left"/>
              <w:rPr>
                <w:rFonts w:ascii="Times New Roman"/>
                <w:sz w:val="19"/>
              </w:rPr>
            </w:pPr>
          </w:p>
          <w:p>
            <w:pPr>
              <w:pStyle w:val="TableParagraph"/>
              <w:ind w:left="54" w:right="54"/>
              <w:rPr>
                <w:sz w:val="18"/>
              </w:rPr>
            </w:pPr>
            <w:r>
              <w:rPr>
                <w:sz w:val="18"/>
              </w:rPr>
              <w:t>$650,104,022.00</w:t>
            </w:r>
          </w:p>
        </w:tc>
        <w:tc>
          <w:tcPr>
            <w:tcW w:w="1658" w:type="dxa"/>
          </w:tcPr>
          <w:p>
            <w:pPr>
              <w:pStyle w:val="TableParagraph"/>
              <w:spacing w:before="9"/>
              <w:jc w:val="left"/>
              <w:rPr>
                <w:rFonts w:ascii="Times New Roman"/>
                <w:sz w:val="19"/>
              </w:rPr>
            </w:pPr>
          </w:p>
          <w:p>
            <w:pPr>
              <w:pStyle w:val="TableParagraph"/>
              <w:ind w:left="53" w:right="53"/>
              <w:rPr>
                <w:sz w:val="18"/>
              </w:rPr>
            </w:pPr>
            <w:r>
              <w:rPr>
                <w:sz w:val="18"/>
              </w:rPr>
              <w:t>$716,559,992.00</w:t>
            </w:r>
          </w:p>
        </w:tc>
        <w:tc>
          <w:tcPr>
            <w:tcW w:w="1508" w:type="dxa"/>
          </w:tcPr>
          <w:p>
            <w:pPr>
              <w:pStyle w:val="TableParagraph"/>
              <w:spacing w:before="9"/>
              <w:jc w:val="left"/>
              <w:rPr>
                <w:rFonts w:ascii="Times New Roman"/>
                <w:sz w:val="19"/>
              </w:rPr>
            </w:pPr>
          </w:p>
          <w:p>
            <w:pPr>
              <w:pStyle w:val="TableParagraph"/>
              <w:ind w:left="53" w:right="48"/>
              <w:rPr>
                <w:sz w:val="18"/>
              </w:rPr>
            </w:pPr>
            <w:r>
              <w:rPr>
                <w:sz w:val="18"/>
              </w:rPr>
              <w:t>$0.00</w:t>
            </w:r>
          </w:p>
        </w:tc>
        <w:tc>
          <w:tcPr>
            <w:tcW w:w="1661" w:type="dxa"/>
          </w:tcPr>
          <w:p>
            <w:pPr>
              <w:pStyle w:val="TableParagraph"/>
              <w:spacing w:before="9"/>
              <w:jc w:val="left"/>
              <w:rPr>
                <w:rFonts w:ascii="Times New Roman"/>
                <w:sz w:val="19"/>
              </w:rPr>
            </w:pPr>
          </w:p>
          <w:p>
            <w:pPr>
              <w:pStyle w:val="TableParagraph"/>
              <w:ind w:left="53" w:right="52"/>
              <w:rPr>
                <w:sz w:val="18"/>
              </w:rPr>
            </w:pPr>
            <w:r>
              <w:rPr>
                <w:sz w:val="18"/>
              </w:rPr>
              <w:t>$0.00</w:t>
            </w:r>
          </w:p>
        </w:tc>
        <w:tc>
          <w:tcPr>
            <w:tcW w:w="1661" w:type="dxa"/>
          </w:tcPr>
          <w:p>
            <w:pPr>
              <w:pStyle w:val="TableParagraph"/>
              <w:spacing w:before="9"/>
              <w:jc w:val="left"/>
              <w:rPr>
                <w:rFonts w:ascii="Times New Roman"/>
                <w:sz w:val="19"/>
              </w:rPr>
            </w:pPr>
          </w:p>
          <w:p>
            <w:pPr>
              <w:pStyle w:val="TableParagraph"/>
              <w:ind w:left="148"/>
              <w:jc w:val="left"/>
              <w:rPr>
                <w:sz w:val="18"/>
              </w:rPr>
            </w:pPr>
            <w:r>
              <w:rPr>
                <w:sz w:val="18"/>
              </w:rPr>
              <w:t>$716,559,992.00</w:t>
            </w:r>
          </w:p>
        </w:tc>
      </w:tr>
      <w:tr>
        <w:trPr>
          <w:trHeight w:val="521" w:hRule="exact"/>
        </w:trPr>
        <w:tc>
          <w:tcPr>
            <w:tcW w:w="2141" w:type="dxa"/>
          </w:tcPr>
          <w:p>
            <w:pPr>
              <w:pStyle w:val="TableParagraph"/>
              <w:spacing w:before="95"/>
              <w:ind w:left="64" w:right="67"/>
              <w:jc w:val="left"/>
              <w:rPr>
                <w:b/>
                <w:sz w:val="18"/>
              </w:rPr>
            </w:pPr>
            <w:r>
              <w:rPr>
                <w:b/>
                <w:color w:val="333333"/>
                <w:sz w:val="18"/>
              </w:rPr>
              <w:t>VILLA DE ALLENDE</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3" w:right="53"/>
              <w:rPr>
                <w:sz w:val="18"/>
              </w:rPr>
            </w:pPr>
            <w:r>
              <w:rPr>
                <w:sz w:val="18"/>
              </w:rPr>
              <w:t>$177,239,100.00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148"/>
              <w:jc w:val="left"/>
              <w:rPr>
                <w:sz w:val="18"/>
              </w:rPr>
            </w:pPr>
            <w:r>
              <w:rPr>
                <w:sz w:val="18"/>
              </w:rPr>
              <w:t>$177,239,100.00</w:t>
            </w:r>
          </w:p>
        </w:tc>
      </w:tr>
      <w:tr>
        <w:trPr>
          <w:trHeight w:val="521" w:hRule="exact"/>
        </w:trPr>
        <w:tc>
          <w:tcPr>
            <w:tcW w:w="2141" w:type="dxa"/>
          </w:tcPr>
          <w:p>
            <w:pPr>
              <w:pStyle w:val="TableParagraph"/>
              <w:spacing w:before="95"/>
              <w:ind w:left="64" w:right="67"/>
              <w:jc w:val="left"/>
              <w:rPr>
                <w:b/>
                <w:sz w:val="18"/>
              </w:rPr>
            </w:pPr>
            <w:r>
              <w:rPr>
                <w:b/>
                <w:color w:val="333333"/>
                <w:sz w:val="18"/>
              </w:rPr>
              <w:t>VILLA DEL CARBON</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3" w:right="54"/>
              <w:rPr>
                <w:sz w:val="18"/>
              </w:rPr>
            </w:pPr>
            <w:r>
              <w:rPr>
                <w:sz w:val="18"/>
              </w:rPr>
              <w:t>$0.00</w:t>
            </w:r>
          </w:p>
        </w:tc>
      </w:tr>
      <w:tr>
        <w:trPr>
          <w:trHeight w:val="518" w:hRule="exact"/>
        </w:trPr>
        <w:tc>
          <w:tcPr>
            <w:tcW w:w="2141" w:type="dxa"/>
          </w:tcPr>
          <w:p>
            <w:pPr>
              <w:pStyle w:val="TableParagraph"/>
              <w:spacing w:before="92"/>
              <w:ind w:left="64" w:right="67"/>
              <w:jc w:val="left"/>
              <w:rPr>
                <w:b/>
                <w:sz w:val="18"/>
              </w:rPr>
            </w:pPr>
            <w:r>
              <w:rPr>
                <w:b/>
                <w:color w:val="333333"/>
                <w:sz w:val="18"/>
              </w:rPr>
              <w:t>VILLA GUERRERO</w:t>
            </w:r>
          </w:p>
        </w:tc>
        <w:tc>
          <w:tcPr>
            <w:tcW w:w="1658" w:type="dxa"/>
          </w:tcPr>
          <w:p>
            <w:pPr>
              <w:pStyle w:val="TableParagraph"/>
              <w:spacing w:before="97"/>
              <w:ind w:left="53" w:right="53"/>
              <w:rPr>
                <w:sz w:val="18"/>
              </w:rPr>
            </w:pPr>
            <w:r>
              <w:rPr>
                <w:sz w:val="18"/>
              </w:rPr>
              <w:t>$179,760,788.00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1"/>
              <w:rPr>
                <w:sz w:val="18"/>
              </w:rPr>
            </w:pPr>
            <w:r>
              <w:rPr>
                <w:sz w:val="18"/>
              </w:rPr>
              <w:t>$178,519,696.58</w:t>
            </w:r>
          </w:p>
        </w:tc>
        <w:tc>
          <w:tcPr>
            <w:tcW w:w="1661" w:type="dxa"/>
          </w:tcPr>
          <w:p>
            <w:pPr>
              <w:pStyle w:val="TableParagraph"/>
              <w:spacing w:before="97"/>
              <w:ind w:left="54" w:right="56"/>
              <w:rPr>
                <w:sz w:val="18"/>
              </w:rPr>
            </w:pPr>
            <w:r>
              <w:rPr>
                <w:sz w:val="18"/>
              </w:rPr>
              <w:t>$1,241,091.42</w:t>
            </w:r>
          </w:p>
        </w:tc>
        <w:tc>
          <w:tcPr>
            <w:tcW w:w="1658" w:type="dxa"/>
          </w:tcPr>
          <w:p>
            <w:pPr>
              <w:pStyle w:val="TableParagraph"/>
              <w:spacing w:before="97"/>
              <w:ind w:left="53" w:right="53"/>
              <w:rPr>
                <w:sz w:val="18"/>
              </w:rPr>
            </w:pPr>
            <w:r>
              <w:rPr>
                <w:sz w:val="18"/>
              </w:rPr>
              <w:t>$176,219,230.00</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1"/>
              <w:rPr>
                <w:sz w:val="18"/>
              </w:rPr>
            </w:pPr>
            <w:r>
              <w:rPr>
                <w:sz w:val="18"/>
              </w:rPr>
              <w:t>$154,204,158.47</w:t>
            </w:r>
          </w:p>
        </w:tc>
        <w:tc>
          <w:tcPr>
            <w:tcW w:w="1661" w:type="dxa"/>
          </w:tcPr>
          <w:p>
            <w:pPr>
              <w:pStyle w:val="TableParagraph"/>
              <w:spacing w:before="97"/>
              <w:ind w:left="199"/>
              <w:jc w:val="left"/>
              <w:rPr>
                <w:sz w:val="18"/>
              </w:rPr>
            </w:pPr>
            <w:r>
              <w:rPr>
                <w:sz w:val="18"/>
              </w:rPr>
              <w:t>$22,015,071.53</w:t>
            </w:r>
          </w:p>
        </w:tc>
      </w:tr>
      <w:tr>
        <w:trPr>
          <w:trHeight w:val="521" w:hRule="exact"/>
        </w:trPr>
        <w:tc>
          <w:tcPr>
            <w:tcW w:w="2141" w:type="dxa"/>
          </w:tcPr>
          <w:p>
            <w:pPr>
              <w:pStyle w:val="TableParagraph"/>
              <w:spacing w:before="95"/>
              <w:ind w:left="64" w:right="67"/>
              <w:jc w:val="left"/>
              <w:rPr>
                <w:b/>
                <w:sz w:val="18"/>
              </w:rPr>
            </w:pPr>
            <w:r>
              <w:rPr>
                <w:b/>
                <w:color w:val="333333"/>
                <w:sz w:val="18"/>
              </w:rPr>
              <w:t>VILLA VICTORIA</w:t>
            </w:r>
          </w:p>
        </w:tc>
        <w:tc>
          <w:tcPr>
            <w:tcW w:w="1658" w:type="dxa"/>
          </w:tcPr>
          <w:p>
            <w:pPr>
              <w:pStyle w:val="TableParagraph"/>
              <w:spacing w:before="100"/>
              <w:ind w:left="53" w:right="53"/>
              <w:rPr>
                <w:sz w:val="18"/>
              </w:rPr>
            </w:pPr>
            <w:r>
              <w:rPr>
                <w:sz w:val="18"/>
              </w:rPr>
              <w:t>$238,481,316.00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1"/>
              <w:rPr>
                <w:sz w:val="18"/>
              </w:rPr>
            </w:pPr>
            <w:r>
              <w:rPr>
                <w:sz w:val="18"/>
              </w:rPr>
              <w:t>$0.00</w:t>
            </w:r>
          </w:p>
        </w:tc>
        <w:tc>
          <w:tcPr>
            <w:tcW w:w="1661" w:type="dxa"/>
          </w:tcPr>
          <w:p>
            <w:pPr>
              <w:pStyle w:val="TableParagraph"/>
              <w:spacing w:before="100"/>
              <w:ind w:left="54" w:right="54"/>
              <w:rPr>
                <w:sz w:val="18"/>
              </w:rPr>
            </w:pPr>
            <w:r>
              <w:rPr>
                <w:sz w:val="18"/>
              </w:rPr>
              <w:t>$238,481,316.00</w:t>
            </w:r>
          </w:p>
        </w:tc>
        <w:tc>
          <w:tcPr>
            <w:tcW w:w="1658" w:type="dxa"/>
          </w:tcPr>
          <w:p>
            <w:pPr>
              <w:pStyle w:val="TableParagraph"/>
              <w:spacing w:before="100"/>
              <w:ind w:left="53" w:right="53"/>
              <w:rPr>
                <w:sz w:val="18"/>
              </w:rPr>
            </w:pPr>
            <w:r>
              <w:rPr>
                <w:sz w:val="18"/>
              </w:rPr>
              <w:t>$244,568,342.00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148"/>
              <w:jc w:val="left"/>
              <w:rPr>
                <w:sz w:val="18"/>
              </w:rPr>
            </w:pPr>
            <w:r>
              <w:rPr>
                <w:sz w:val="18"/>
              </w:rPr>
              <w:t>$244,568,342.00</w:t>
            </w:r>
          </w:p>
        </w:tc>
      </w:tr>
      <w:tr>
        <w:trPr>
          <w:trHeight w:val="521" w:hRule="exact"/>
        </w:trPr>
        <w:tc>
          <w:tcPr>
            <w:tcW w:w="2141" w:type="dxa"/>
          </w:tcPr>
          <w:p>
            <w:pPr>
              <w:pStyle w:val="TableParagraph"/>
              <w:spacing w:before="95"/>
              <w:ind w:left="64" w:right="67"/>
              <w:jc w:val="left"/>
              <w:rPr>
                <w:b/>
                <w:sz w:val="18"/>
              </w:rPr>
            </w:pPr>
            <w:r>
              <w:rPr>
                <w:b/>
                <w:color w:val="333333"/>
                <w:sz w:val="18"/>
              </w:rPr>
              <w:t>XALATLACO</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3" w:right="53"/>
              <w:rPr>
                <w:sz w:val="18"/>
              </w:rPr>
            </w:pPr>
            <w:r>
              <w:rPr>
                <w:sz w:val="18"/>
              </w:rPr>
              <w:t>$102,182,317.00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148"/>
              <w:jc w:val="left"/>
              <w:rPr>
                <w:sz w:val="18"/>
              </w:rPr>
            </w:pPr>
            <w:r>
              <w:rPr>
                <w:sz w:val="18"/>
              </w:rPr>
              <w:t>$102,182,317.00</w:t>
            </w:r>
          </w:p>
        </w:tc>
      </w:tr>
      <w:tr>
        <w:trPr>
          <w:trHeight w:val="518" w:hRule="exact"/>
        </w:trPr>
        <w:tc>
          <w:tcPr>
            <w:tcW w:w="2141" w:type="dxa"/>
          </w:tcPr>
          <w:p>
            <w:pPr>
              <w:pStyle w:val="TableParagraph"/>
              <w:spacing w:before="92"/>
              <w:ind w:left="64" w:right="67"/>
              <w:jc w:val="left"/>
              <w:rPr>
                <w:b/>
                <w:sz w:val="18"/>
              </w:rPr>
            </w:pPr>
            <w:r>
              <w:rPr>
                <w:b/>
                <w:color w:val="333333"/>
                <w:sz w:val="18"/>
              </w:rPr>
              <w:t>XONACATLAN</w:t>
            </w:r>
          </w:p>
        </w:tc>
        <w:tc>
          <w:tcPr>
            <w:tcW w:w="1658" w:type="dxa"/>
          </w:tcPr>
          <w:p>
            <w:pPr>
              <w:pStyle w:val="TableParagraph"/>
              <w:spacing w:before="97"/>
              <w:ind w:left="53" w:right="53"/>
              <w:rPr>
                <w:sz w:val="18"/>
              </w:rPr>
            </w:pPr>
            <w:r>
              <w:rPr>
                <w:sz w:val="18"/>
              </w:rPr>
              <w:t>$125,084,947.83</w:t>
            </w:r>
          </w:p>
        </w:tc>
        <w:tc>
          <w:tcPr>
            <w:tcW w:w="1508" w:type="dxa"/>
          </w:tcPr>
          <w:p>
            <w:pPr>
              <w:pStyle w:val="TableParagraph"/>
              <w:spacing w:before="97"/>
              <w:ind w:left="53" w:right="48"/>
              <w:rPr>
                <w:sz w:val="18"/>
              </w:rPr>
            </w:pPr>
            <w:r>
              <w:rPr>
                <w:sz w:val="18"/>
              </w:rPr>
              <w:t>$0.00</w:t>
            </w:r>
          </w:p>
        </w:tc>
        <w:tc>
          <w:tcPr>
            <w:tcW w:w="1661" w:type="dxa"/>
          </w:tcPr>
          <w:p>
            <w:pPr>
              <w:pStyle w:val="TableParagraph"/>
              <w:spacing w:before="97"/>
              <w:ind w:left="53" w:right="52"/>
              <w:rPr>
                <w:sz w:val="18"/>
              </w:rPr>
            </w:pPr>
            <w:r>
              <w:rPr>
                <w:sz w:val="18"/>
              </w:rPr>
              <w:t>$0.00</w:t>
            </w:r>
          </w:p>
        </w:tc>
        <w:tc>
          <w:tcPr>
            <w:tcW w:w="1661" w:type="dxa"/>
          </w:tcPr>
          <w:p>
            <w:pPr>
              <w:pStyle w:val="TableParagraph"/>
              <w:spacing w:before="97"/>
              <w:ind w:left="54" w:right="54"/>
              <w:rPr>
                <w:sz w:val="18"/>
              </w:rPr>
            </w:pPr>
            <w:r>
              <w:rPr>
                <w:sz w:val="18"/>
              </w:rPr>
              <w:t>$125,084,947.83</w:t>
            </w:r>
          </w:p>
        </w:tc>
        <w:tc>
          <w:tcPr>
            <w:tcW w:w="1658" w:type="dxa"/>
          </w:tcPr>
          <w:p>
            <w:pPr>
              <w:pStyle w:val="TableParagraph"/>
              <w:spacing w:before="97"/>
              <w:ind w:left="53" w:right="53"/>
              <w:rPr>
                <w:sz w:val="18"/>
              </w:rPr>
            </w:pPr>
            <w:r>
              <w:rPr>
                <w:sz w:val="18"/>
              </w:rPr>
              <w:t>$116,327,655.71</w:t>
            </w:r>
          </w:p>
        </w:tc>
        <w:tc>
          <w:tcPr>
            <w:tcW w:w="1508" w:type="dxa"/>
          </w:tcPr>
          <w:p>
            <w:pPr>
              <w:pStyle w:val="TableParagraph"/>
              <w:spacing w:before="97"/>
              <w:ind w:left="53" w:right="49"/>
              <w:rPr>
                <w:sz w:val="18"/>
              </w:rPr>
            </w:pPr>
            <w:r>
              <w:rPr>
                <w:sz w:val="18"/>
              </w:rPr>
              <w:t>$3,544,398.98</w:t>
            </w:r>
          </w:p>
        </w:tc>
        <w:tc>
          <w:tcPr>
            <w:tcW w:w="1661" w:type="dxa"/>
          </w:tcPr>
          <w:p>
            <w:pPr>
              <w:pStyle w:val="TableParagraph"/>
              <w:spacing w:before="97"/>
              <w:ind w:left="53" w:right="51"/>
              <w:rPr>
                <w:sz w:val="18"/>
              </w:rPr>
            </w:pPr>
            <w:r>
              <w:rPr>
                <w:sz w:val="18"/>
              </w:rPr>
              <w:t>$107,336,558.21</w:t>
            </w:r>
          </w:p>
        </w:tc>
        <w:tc>
          <w:tcPr>
            <w:tcW w:w="1661" w:type="dxa"/>
          </w:tcPr>
          <w:p>
            <w:pPr>
              <w:pStyle w:val="TableParagraph"/>
              <w:spacing w:before="97"/>
              <w:ind w:left="247"/>
              <w:jc w:val="left"/>
              <w:rPr>
                <w:sz w:val="18"/>
              </w:rPr>
            </w:pPr>
            <w:r>
              <w:rPr>
                <w:sz w:val="18"/>
              </w:rPr>
              <w:t>$2,535,496.48</w:t>
            </w:r>
          </w:p>
        </w:tc>
      </w:tr>
      <w:tr>
        <w:trPr>
          <w:trHeight w:val="521" w:hRule="exact"/>
        </w:trPr>
        <w:tc>
          <w:tcPr>
            <w:tcW w:w="2141" w:type="dxa"/>
          </w:tcPr>
          <w:p>
            <w:pPr>
              <w:pStyle w:val="TableParagraph"/>
              <w:spacing w:before="95"/>
              <w:ind w:left="64" w:right="67"/>
              <w:jc w:val="left"/>
              <w:rPr>
                <w:b/>
                <w:sz w:val="18"/>
              </w:rPr>
            </w:pPr>
            <w:r>
              <w:rPr>
                <w:b/>
                <w:color w:val="333333"/>
                <w:sz w:val="18"/>
              </w:rPr>
              <w:t>ZACAZONAPAN</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3" w:right="54"/>
              <w:rPr>
                <w:sz w:val="18"/>
              </w:rPr>
            </w:pPr>
            <w:r>
              <w:rPr>
                <w:sz w:val="18"/>
              </w:rPr>
              <w:t>$0.00</w:t>
            </w:r>
          </w:p>
        </w:tc>
      </w:tr>
      <w:tr>
        <w:trPr>
          <w:trHeight w:val="521" w:hRule="exact"/>
        </w:trPr>
        <w:tc>
          <w:tcPr>
            <w:tcW w:w="2141" w:type="dxa"/>
          </w:tcPr>
          <w:p>
            <w:pPr>
              <w:pStyle w:val="TableParagraph"/>
              <w:spacing w:before="95"/>
              <w:ind w:left="64" w:right="67"/>
              <w:jc w:val="left"/>
              <w:rPr>
                <w:b/>
                <w:sz w:val="18"/>
              </w:rPr>
            </w:pPr>
            <w:r>
              <w:rPr>
                <w:b/>
                <w:color w:val="333333"/>
                <w:sz w:val="18"/>
              </w:rPr>
              <w:t>ZACUALPAN</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4" w:right="56"/>
              <w:rPr>
                <w:sz w:val="18"/>
              </w:rPr>
            </w:pPr>
            <w:r>
              <w:rPr>
                <w:sz w:val="18"/>
              </w:rPr>
              <w:t>$0.00</w:t>
            </w:r>
          </w:p>
        </w:tc>
        <w:tc>
          <w:tcPr>
            <w:tcW w:w="1658" w:type="dxa"/>
          </w:tcPr>
          <w:p>
            <w:pPr>
              <w:pStyle w:val="TableParagraph"/>
              <w:spacing w:before="100"/>
              <w:ind w:left="52" w:right="53"/>
              <w:rPr>
                <w:sz w:val="18"/>
              </w:rPr>
            </w:pPr>
            <w:r>
              <w:rPr>
                <w:sz w:val="18"/>
              </w:rPr>
              <w:t>$0.00</w:t>
            </w:r>
          </w:p>
        </w:tc>
        <w:tc>
          <w:tcPr>
            <w:tcW w:w="1508" w:type="dxa"/>
          </w:tcPr>
          <w:p>
            <w:pPr>
              <w:pStyle w:val="TableParagraph"/>
              <w:spacing w:before="100"/>
              <w:ind w:left="53" w:right="48"/>
              <w:rPr>
                <w:sz w:val="18"/>
              </w:rPr>
            </w:pPr>
            <w:r>
              <w:rPr>
                <w:sz w:val="18"/>
              </w:rPr>
              <w:t>$0.00</w:t>
            </w:r>
          </w:p>
        </w:tc>
        <w:tc>
          <w:tcPr>
            <w:tcW w:w="1661" w:type="dxa"/>
          </w:tcPr>
          <w:p>
            <w:pPr>
              <w:pStyle w:val="TableParagraph"/>
              <w:spacing w:before="100"/>
              <w:ind w:left="53" w:right="52"/>
              <w:rPr>
                <w:sz w:val="18"/>
              </w:rPr>
            </w:pPr>
            <w:r>
              <w:rPr>
                <w:sz w:val="18"/>
              </w:rPr>
              <w:t>$0.00</w:t>
            </w:r>
          </w:p>
        </w:tc>
        <w:tc>
          <w:tcPr>
            <w:tcW w:w="1661" w:type="dxa"/>
          </w:tcPr>
          <w:p>
            <w:pPr>
              <w:pStyle w:val="TableParagraph"/>
              <w:spacing w:before="100"/>
              <w:ind w:left="53" w:right="54"/>
              <w:rPr>
                <w:sz w:val="18"/>
              </w:rPr>
            </w:pPr>
            <w:r>
              <w:rPr>
                <w:sz w:val="18"/>
              </w:rPr>
              <w:t>$0.00</w:t>
            </w:r>
          </w:p>
        </w:tc>
      </w:tr>
      <w:tr>
        <w:trPr>
          <w:trHeight w:val="519" w:hRule="exact"/>
        </w:trPr>
        <w:tc>
          <w:tcPr>
            <w:tcW w:w="2141" w:type="dxa"/>
            <w:tcBorders>
              <w:bottom w:val="single" w:sz="4" w:space="0" w:color="000000"/>
            </w:tcBorders>
          </w:tcPr>
          <w:p>
            <w:pPr>
              <w:pStyle w:val="TableParagraph"/>
              <w:spacing w:before="92"/>
              <w:ind w:left="64" w:right="67"/>
              <w:jc w:val="left"/>
              <w:rPr>
                <w:b/>
                <w:sz w:val="18"/>
              </w:rPr>
            </w:pPr>
            <w:r>
              <w:rPr>
                <w:b/>
                <w:color w:val="333333"/>
                <w:sz w:val="18"/>
              </w:rPr>
              <w:t>ZINACANTEPEC</w:t>
            </w:r>
          </w:p>
        </w:tc>
        <w:tc>
          <w:tcPr>
            <w:tcW w:w="1658" w:type="dxa"/>
            <w:tcBorders>
              <w:bottom w:val="single" w:sz="4" w:space="0" w:color="000000"/>
            </w:tcBorders>
          </w:tcPr>
          <w:p>
            <w:pPr>
              <w:pStyle w:val="TableParagraph"/>
              <w:spacing w:before="97"/>
              <w:ind w:left="53" w:right="53"/>
              <w:rPr>
                <w:sz w:val="18"/>
              </w:rPr>
            </w:pPr>
            <w:r>
              <w:rPr>
                <w:sz w:val="18"/>
              </w:rPr>
              <w:t>$527,032,236.00</w:t>
            </w:r>
          </w:p>
        </w:tc>
        <w:tc>
          <w:tcPr>
            <w:tcW w:w="1508" w:type="dxa"/>
            <w:tcBorders>
              <w:bottom w:val="single" w:sz="4" w:space="0" w:color="000000"/>
            </w:tcBorders>
          </w:tcPr>
          <w:p>
            <w:pPr>
              <w:pStyle w:val="TableParagraph"/>
              <w:spacing w:before="97"/>
              <w:ind w:left="53" w:right="51"/>
              <w:rPr>
                <w:sz w:val="18"/>
              </w:rPr>
            </w:pPr>
            <w:r>
              <w:rPr>
                <w:sz w:val="18"/>
              </w:rPr>
              <w:t>$780,073.47</w:t>
            </w:r>
          </w:p>
        </w:tc>
        <w:tc>
          <w:tcPr>
            <w:tcW w:w="1661" w:type="dxa"/>
            <w:tcBorders>
              <w:bottom w:val="single" w:sz="4" w:space="0" w:color="000000"/>
            </w:tcBorders>
          </w:tcPr>
          <w:p>
            <w:pPr>
              <w:pStyle w:val="TableParagraph"/>
              <w:spacing w:before="97"/>
              <w:ind w:left="53" w:right="50"/>
              <w:rPr>
                <w:sz w:val="18"/>
              </w:rPr>
            </w:pPr>
            <w:r>
              <w:rPr>
                <w:sz w:val="18"/>
              </w:rPr>
              <w:t>$20,195,414.00</w:t>
            </w:r>
          </w:p>
        </w:tc>
        <w:tc>
          <w:tcPr>
            <w:tcW w:w="1661" w:type="dxa"/>
            <w:tcBorders>
              <w:bottom w:val="single" w:sz="4" w:space="0" w:color="000000"/>
            </w:tcBorders>
          </w:tcPr>
          <w:p>
            <w:pPr>
              <w:pStyle w:val="TableParagraph"/>
              <w:spacing w:before="97"/>
              <w:ind w:left="54" w:right="54"/>
              <w:rPr>
                <w:sz w:val="18"/>
              </w:rPr>
            </w:pPr>
            <w:r>
              <w:rPr>
                <w:sz w:val="18"/>
              </w:rPr>
              <w:t>$507,616,895.47</w:t>
            </w:r>
          </w:p>
        </w:tc>
        <w:tc>
          <w:tcPr>
            <w:tcW w:w="1658" w:type="dxa"/>
            <w:tcBorders>
              <w:bottom w:val="single" w:sz="4" w:space="0" w:color="000000"/>
            </w:tcBorders>
          </w:tcPr>
          <w:p>
            <w:pPr>
              <w:pStyle w:val="TableParagraph"/>
              <w:spacing w:before="97"/>
              <w:ind w:left="53" w:right="53"/>
              <w:rPr>
                <w:sz w:val="18"/>
              </w:rPr>
            </w:pPr>
            <w:r>
              <w:rPr>
                <w:sz w:val="18"/>
              </w:rPr>
              <w:t>$927,800,008.18</w:t>
            </w:r>
          </w:p>
        </w:tc>
        <w:tc>
          <w:tcPr>
            <w:tcW w:w="1508" w:type="dxa"/>
            <w:tcBorders>
              <w:bottom w:val="single" w:sz="4" w:space="0" w:color="000000"/>
            </w:tcBorders>
          </w:tcPr>
          <w:p>
            <w:pPr>
              <w:pStyle w:val="TableParagraph"/>
              <w:spacing w:before="97"/>
              <w:ind w:left="53" w:right="51"/>
              <w:rPr>
                <w:sz w:val="18"/>
              </w:rPr>
            </w:pPr>
            <w:r>
              <w:rPr>
                <w:sz w:val="18"/>
              </w:rPr>
              <w:t>$10,480,661.00</w:t>
            </w:r>
          </w:p>
        </w:tc>
        <w:tc>
          <w:tcPr>
            <w:tcW w:w="1661" w:type="dxa"/>
            <w:tcBorders>
              <w:bottom w:val="single" w:sz="4" w:space="0" w:color="000000"/>
            </w:tcBorders>
          </w:tcPr>
          <w:p>
            <w:pPr>
              <w:pStyle w:val="TableParagraph"/>
              <w:spacing w:before="97"/>
              <w:ind w:left="53" w:right="51"/>
              <w:rPr>
                <w:sz w:val="18"/>
              </w:rPr>
            </w:pPr>
            <w:r>
              <w:rPr>
                <w:sz w:val="18"/>
              </w:rPr>
              <w:t>$564,047,430.94</w:t>
            </w:r>
          </w:p>
        </w:tc>
        <w:tc>
          <w:tcPr>
            <w:tcW w:w="1661" w:type="dxa"/>
            <w:tcBorders>
              <w:bottom w:val="single" w:sz="4" w:space="0" w:color="000000"/>
            </w:tcBorders>
          </w:tcPr>
          <w:p>
            <w:pPr>
              <w:pStyle w:val="TableParagraph"/>
              <w:spacing w:before="97"/>
              <w:ind w:left="148"/>
              <w:jc w:val="left"/>
              <w:rPr>
                <w:sz w:val="18"/>
              </w:rPr>
            </w:pPr>
            <w:r>
              <w:rPr>
                <w:sz w:val="18"/>
              </w:rPr>
              <w:t>$374,233,238.24</w:t>
            </w:r>
          </w:p>
        </w:tc>
      </w:tr>
      <w:tr>
        <w:trPr>
          <w:trHeight w:val="521" w:hRule="exact"/>
        </w:trPr>
        <w:tc>
          <w:tcPr>
            <w:tcW w:w="2141" w:type="dxa"/>
            <w:tcBorders>
              <w:top w:val="single" w:sz="4" w:space="0" w:color="000000"/>
            </w:tcBorders>
          </w:tcPr>
          <w:p>
            <w:pPr>
              <w:pStyle w:val="TableParagraph"/>
              <w:spacing w:before="95"/>
              <w:ind w:left="64" w:right="67"/>
              <w:jc w:val="left"/>
              <w:rPr>
                <w:b/>
                <w:sz w:val="18"/>
              </w:rPr>
            </w:pPr>
            <w:r>
              <w:rPr>
                <w:b/>
                <w:color w:val="333333"/>
                <w:sz w:val="18"/>
              </w:rPr>
              <w:t>ZUMPAHUACAN</w:t>
            </w:r>
          </w:p>
        </w:tc>
        <w:tc>
          <w:tcPr>
            <w:tcW w:w="1658" w:type="dxa"/>
            <w:tcBorders>
              <w:top w:val="single" w:sz="4" w:space="0" w:color="000000"/>
            </w:tcBorders>
          </w:tcPr>
          <w:p>
            <w:pPr>
              <w:pStyle w:val="TableParagraph"/>
              <w:spacing w:before="100"/>
              <w:ind w:left="52" w:right="53"/>
              <w:rPr>
                <w:sz w:val="18"/>
              </w:rPr>
            </w:pPr>
            <w:r>
              <w:rPr>
                <w:sz w:val="18"/>
              </w:rPr>
              <w:t>$0.00</w:t>
            </w:r>
          </w:p>
        </w:tc>
        <w:tc>
          <w:tcPr>
            <w:tcW w:w="1508" w:type="dxa"/>
            <w:tcBorders>
              <w:top w:val="single" w:sz="4" w:space="0" w:color="000000"/>
            </w:tcBorders>
          </w:tcPr>
          <w:p>
            <w:pPr>
              <w:pStyle w:val="TableParagraph"/>
              <w:spacing w:before="100"/>
              <w:ind w:left="53" w:right="48"/>
              <w:rPr>
                <w:sz w:val="18"/>
              </w:rPr>
            </w:pPr>
            <w:r>
              <w:rPr>
                <w:sz w:val="18"/>
              </w:rPr>
              <w:t>$0.00</w:t>
            </w:r>
          </w:p>
        </w:tc>
        <w:tc>
          <w:tcPr>
            <w:tcW w:w="1661" w:type="dxa"/>
            <w:tcBorders>
              <w:top w:val="single" w:sz="4" w:space="0" w:color="000000"/>
            </w:tcBorders>
          </w:tcPr>
          <w:p>
            <w:pPr>
              <w:pStyle w:val="TableParagraph"/>
              <w:spacing w:before="100"/>
              <w:ind w:left="53" w:right="52"/>
              <w:rPr>
                <w:sz w:val="18"/>
              </w:rPr>
            </w:pPr>
            <w:r>
              <w:rPr>
                <w:sz w:val="18"/>
              </w:rPr>
              <w:t>$0.00</w:t>
            </w:r>
          </w:p>
        </w:tc>
        <w:tc>
          <w:tcPr>
            <w:tcW w:w="1661" w:type="dxa"/>
            <w:tcBorders>
              <w:top w:val="single" w:sz="4" w:space="0" w:color="000000"/>
            </w:tcBorders>
          </w:tcPr>
          <w:p>
            <w:pPr>
              <w:pStyle w:val="TableParagraph"/>
              <w:spacing w:before="100"/>
              <w:ind w:left="54" w:right="56"/>
              <w:rPr>
                <w:sz w:val="18"/>
              </w:rPr>
            </w:pPr>
            <w:r>
              <w:rPr>
                <w:sz w:val="18"/>
              </w:rPr>
              <w:t>$0.00</w:t>
            </w:r>
          </w:p>
        </w:tc>
        <w:tc>
          <w:tcPr>
            <w:tcW w:w="1658" w:type="dxa"/>
            <w:tcBorders>
              <w:top w:val="single" w:sz="4" w:space="0" w:color="000000"/>
            </w:tcBorders>
          </w:tcPr>
          <w:p>
            <w:pPr>
              <w:pStyle w:val="TableParagraph"/>
              <w:spacing w:before="100"/>
              <w:ind w:left="52" w:right="53"/>
              <w:rPr>
                <w:sz w:val="18"/>
              </w:rPr>
            </w:pPr>
            <w:r>
              <w:rPr>
                <w:sz w:val="18"/>
              </w:rPr>
              <w:t>$0.00</w:t>
            </w:r>
          </w:p>
        </w:tc>
        <w:tc>
          <w:tcPr>
            <w:tcW w:w="1508" w:type="dxa"/>
            <w:tcBorders>
              <w:top w:val="single" w:sz="4" w:space="0" w:color="000000"/>
            </w:tcBorders>
          </w:tcPr>
          <w:p>
            <w:pPr>
              <w:pStyle w:val="TableParagraph"/>
              <w:spacing w:before="100"/>
              <w:ind w:left="53" w:right="48"/>
              <w:rPr>
                <w:sz w:val="18"/>
              </w:rPr>
            </w:pPr>
            <w:r>
              <w:rPr>
                <w:sz w:val="18"/>
              </w:rPr>
              <w:t>$0.00</w:t>
            </w:r>
          </w:p>
        </w:tc>
        <w:tc>
          <w:tcPr>
            <w:tcW w:w="1661" w:type="dxa"/>
            <w:tcBorders>
              <w:top w:val="single" w:sz="4" w:space="0" w:color="000000"/>
            </w:tcBorders>
          </w:tcPr>
          <w:p>
            <w:pPr>
              <w:pStyle w:val="TableParagraph"/>
              <w:spacing w:before="100"/>
              <w:ind w:left="53" w:right="52"/>
              <w:rPr>
                <w:sz w:val="18"/>
              </w:rPr>
            </w:pPr>
            <w:r>
              <w:rPr>
                <w:sz w:val="18"/>
              </w:rPr>
              <w:t>$0.00</w:t>
            </w:r>
          </w:p>
        </w:tc>
        <w:tc>
          <w:tcPr>
            <w:tcW w:w="1661" w:type="dxa"/>
            <w:tcBorders>
              <w:top w:val="single" w:sz="4" w:space="0" w:color="000000"/>
            </w:tcBorders>
          </w:tcPr>
          <w:p>
            <w:pPr>
              <w:pStyle w:val="TableParagraph"/>
              <w:spacing w:before="100"/>
              <w:ind w:left="53" w:right="54"/>
              <w:rPr>
                <w:sz w:val="18"/>
              </w:rPr>
            </w:pPr>
            <w:r>
              <w:rPr>
                <w:sz w:val="18"/>
              </w:rPr>
              <w:t>$0.00</w:t>
            </w:r>
          </w:p>
        </w:tc>
      </w:tr>
      <w:tr>
        <w:trPr>
          <w:trHeight w:val="535" w:hRule="exact"/>
        </w:trPr>
        <w:tc>
          <w:tcPr>
            <w:tcW w:w="2141" w:type="dxa"/>
          </w:tcPr>
          <w:p>
            <w:pPr>
              <w:pStyle w:val="TableParagraph"/>
              <w:spacing w:before="102"/>
              <w:ind w:left="64" w:right="67"/>
              <w:jc w:val="left"/>
              <w:rPr>
                <w:b/>
                <w:sz w:val="18"/>
              </w:rPr>
            </w:pPr>
            <w:r>
              <w:rPr>
                <w:b/>
                <w:color w:val="333333"/>
                <w:sz w:val="18"/>
              </w:rPr>
              <w:t>ZUMPANGO</w:t>
            </w:r>
          </w:p>
        </w:tc>
        <w:tc>
          <w:tcPr>
            <w:tcW w:w="1658" w:type="dxa"/>
          </w:tcPr>
          <w:p>
            <w:pPr>
              <w:pStyle w:val="TableParagraph"/>
              <w:spacing w:before="107"/>
              <w:ind w:left="52" w:right="53"/>
              <w:rPr>
                <w:sz w:val="18"/>
              </w:rPr>
            </w:pPr>
            <w:r>
              <w:rPr>
                <w:sz w:val="18"/>
              </w:rPr>
              <w:t>$0.00</w:t>
            </w:r>
          </w:p>
        </w:tc>
        <w:tc>
          <w:tcPr>
            <w:tcW w:w="1508" w:type="dxa"/>
          </w:tcPr>
          <w:p>
            <w:pPr>
              <w:pStyle w:val="TableParagraph"/>
              <w:spacing w:before="107"/>
              <w:ind w:left="53" w:right="48"/>
              <w:rPr>
                <w:sz w:val="18"/>
              </w:rPr>
            </w:pPr>
            <w:r>
              <w:rPr>
                <w:sz w:val="18"/>
              </w:rPr>
              <w:t>$0.00</w:t>
            </w:r>
          </w:p>
        </w:tc>
        <w:tc>
          <w:tcPr>
            <w:tcW w:w="1661" w:type="dxa"/>
          </w:tcPr>
          <w:p>
            <w:pPr>
              <w:pStyle w:val="TableParagraph"/>
              <w:spacing w:before="107"/>
              <w:ind w:left="53" w:right="52"/>
              <w:rPr>
                <w:sz w:val="18"/>
              </w:rPr>
            </w:pPr>
            <w:r>
              <w:rPr>
                <w:sz w:val="18"/>
              </w:rPr>
              <w:t>$0.00</w:t>
            </w:r>
          </w:p>
        </w:tc>
        <w:tc>
          <w:tcPr>
            <w:tcW w:w="1661" w:type="dxa"/>
          </w:tcPr>
          <w:p>
            <w:pPr>
              <w:pStyle w:val="TableParagraph"/>
              <w:spacing w:before="107"/>
              <w:ind w:left="54" w:right="56"/>
              <w:rPr>
                <w:sz w:val="18"/>
              </w:rPr>
            </w:pPr>
            <w:r>
              <w:rPr>
                <w:sz w:val="18"/>
              </w:rPr>
              <w:t>$0.00</w:t>
            </w:r>
          </w:p>
        </w:tc>
        <w:tc>
          <w:tcPr>
            <w:tcW w:w="1658" w:type="dxa"/>
          </w:tcPr>
          <w:p>
            <w:pPr>
              <w:pStyle w:val="TableParagraph"/>
              <w:spacing w:before="107"/>
              <w:ind w:left="53" w:right="53"/>
              <w:rPr>
                <w:sz w:val="18"/>
              </w:rPr>
            </w:pPr>
            <w:r>
              <w:rPr>
                <w:sz w:val="18"/>
              </w:rPr>
              <w:t>$590,909,682.00</w:t>
            </w:r>
          </w:p>
        </w:tc>
        <w:tc>
          <w:tcPr>
            <w:tcW w:w="1508" w:type="dxa"/>
          </w:tcPr>
          <w:p>
            <w:pPr>
              <w:pStyle w:val="TableParagraph"/>
              <w:spacing w:before="107"/>
              <w:ind w:left="53" w:right="48"/>
              <w:rPr>
                <w:sz w:val="18"/>
              </w:rPr>
            </w:pPr>
            <w:r>
              <w:rPr>
                <w:sz w:val="18"/>
              </w:rPr>
              <w:t>$0.00</w:t>
            </w:r>
          </w:p>
        </w:tc>
        <w:tc>
          <w:tcPr>
            <w:tcW w:w="1661" w:type="dxa"/>
          </w:tcPr>
          <w:p>
            <w:pPr>
              <w:pStyle w:val="TableParagraph"/>
              <w:spacing w:before="107"/>
              <w:ind w:left="53" w:right="51"/>
              <w:rPr>
                <w:sz w:val="18"/>
              </w:rPr>
            </w:pPr>
            <w:r>
              <w:rPr>
                <w:sz w:val="18"/>
              </w:rPr>
              <w:t>$232,520,747.89</w:t>
            </w:r>
          </w:p>
        </w:tc>
        <w:tc>
          <w:tcPr>
            <w:tcW w:w="1661" w:type="dxa"/>
          </w:tcPr>
          <w:p>
            <w:pPr>
              <w:pStyle w:val="TableParagraph"/>
              <w:spacing w:before="107"/>
              <w:ind w:left="148"/>
              <w:jc w:val="left"/>
              <w:rPr>
                <w:sz w:val="18"/>
              </w:rPr>
            </w:pPr>
            <w:r>
              <w:rPr>
                <w:sz w:val="18"/>
              </w:rPr>
              <w:t>$358,388,934.11</w:t>
            </w:r>
          </w:p>
        </w:tc>
      </w:tr>
    </w:tbl>
    <w:p>
      <w:pPr>
        <w:spacing w:after="0"/>
        <w:jc w:val="left"/>
        <w:rPr>
          <w:sz w:val="18"/>
        </w:rPr>
        <w:sectPr>
          <w:pgSz w:w="15840" w:h="12240" w:orient="landscape"/>
          <w:pgMar w:header="0" w:footer="975" w:top="1140" w:bottom="1160" w:left="240" w:right="240"/>
        </w:sectPr>
      </w:pPr>
    </w:p>
    <w:p>
      <w:pPr>
        <w:pStyle w:val="BodyText"/>
        <w:rPr>
          <w:rFonts w:ascii="Times New Roman"/>
          <w:sz w:val="20"/>
        </w:rPr>
      </w:pPr>
    </w:p>
    <w:p>
      <w:pPr>
        <w:pStyle w:val="BodyText"/>
        <w:spacing w:before="10"/>
        <w:rPr>
          <w:rFonts w:ascii="Times New Roman"/>
          <w:sz w:val="28"/>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41"/>
        <w:gridCol w:w="1670"/>
        <w:gridCol w:w="1562"/>
        <w:gridCol w:w="1599"/>
        <w:gridCol w:w="1644"/>
        <w:gridCol w:w="1800"/>
        <w:gridCol w:w="1702"/>
        <w:gridCol w:w="1808"/>
        <w:gridCol w:w="1877"/>
      </w:tblGrid>
      <w:tr>
        <w:trPr>
          <w:trHeight w:val="430" w:hRule="exact"/>
        </w:trPr>
        <w:tc>
          <w:tcPr>
            <w:tcW w:w="15204" w:type="dxa"/>
            <w:gridSpan w:val="9"/>
            <w:shd w:val="clear" w:color="auto" w:fill="C5DFB3"/>
          </w:tcPr>
          <w:p>
            <w:pPr>
              <w:pStyle w:val="TableParagraph"/>
              <w:spacing w:before="49"/>
              <w:ind w:left="4606"/>
              <w:jc w:val="left"/>
              <w:rPr>
                <w:b/>
                <w:sz w:val="18"/>
              </w:rPr>
            </w:pPr>
            <w:r>
              <w:rPr>
                <w:b/>
                <w:sz w:val="18"/>
              </w:rPr>
              <w:t>Anexo 24D. Municipios que publican apartado presupuesto 2014-2015</w:t>
            </w:r>
          </w:p>
        </w:tc>
      </w:tr>
      <w:tr>
        <w:trPr>
          <w:trHeight w:val="320" w:hRule="exact"/>
        </w:trPr>
        <w:tc>
          <w:tcPr>
            <w:tcW w:w="1541"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4"/>
              <w:jc w:val="left"/>
              <w:rPr>
                <w:rFonts w:ascii="Times New Roman"/>
                <w:sz w:val="23"/>
              </w:rPr>
            </w:pPr>
          </w:p>
          <w:p>
            <w:pPr>
              <w:pStyle w:val="TableParagraph"/>
              <w:ind w:left="343"/>
              <w:jc w:val="left"/>
              <w:rPr>
                <w:b/>
                <w:sz w:val="18"/>
              </w:rPr>
            </w:pPr>
            <w:r>
              <w:rPr>
                <w:b/>
                <w:sz w:val="18"/>
              </w:rPr>
              <w:t>Municipio</w:t>
            </w:r>
          </w:p>
        </w:tc>
        <w:tc>
          <w:tcPr>
            <w:tcW w:w="6476" w:type="dxa"/>
            <w:gridSpan w:val="4"/>
            <w:shd w:val="clear" w:color="auto" w:fill="C5DFB3"/>
          </w:tcPr>
          <w:p>
            <w:pPr>
              <w:pStyle w:val="TableParagraph"/>
              <w:spacing w:line="201" w:lineRule="exact"/>
              <w:ind w:left="3012" w:right="3012"/>
              <w:rPr>
                <w:b/>
                <w:sz w:val="18"/>
              </w:rPr>
            </w:pPr>
            <w:r>
              <w:rPr>
                <w:b/>
                <w:sz w:val="18"/>
              </w:rPr>
              <w:t>2014</w:t>
            </w:r>
          </w:p>
        </w:tc>
        <w:tc>
          <w:tcPr>
            <w:tcW w:w="7187" w:type="dxa"/>
            <w:gridSpan w:val="4"/>
            <w:shd w:val="clear" w:color="auto" w:fill="C5DFB3"/>
          </w:tcPr>
          <w:p>
            <w:pPr>
              <w:pStyle w:val="TableParagraph"/>
              <w:spacing w:line="201" w:lineRule="exact"/>
              <w:ind w:left="3368" w:right="3368"/>
              <w:rPr>
                <w:b/>
                <w:sz w:val="18"/>
              </w:rPr>
            </w:pPr>
            <w:r>
              <w:rPr>
                <w:b/>
                <w:sz w:val="18"/>
              </w:rPr>
              <w:t>2015</w:t>
            </w:r>
          </w:p>
        </w:tc>
      </w:tr>
      <w:tr>
        <w:trPr>
          <w:trHeight w:val="1374" w:hRule="exact"/>
        </w:trPr>
        <w:tc>
          <w:tcPr>
            <w:tcW w:w="1541" w:type="dxa"/>
            <w:vMerge/>
            <w:shd w:val="clear" w:color="auto" w:fill="C5DFB3"/>
          </w:tcPr>
          <w:p>
            <w:pPr/>
          </w:p>
        </w:tc>
        <w:tc>
          <w:tcPr>
            <w:tcW w:w="1670"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
              <w:jc w:val="left"/>
              <w:rPr>
                <w:rFonts w:ascii="Times New Roman"/>
                <w:sz w:val="22"/>
              </w:rPr>
            </w:pPr>
          </w:p>
          <w:p>
            <w:pPr>
              <w:pStyle w:val="TableParagraph"/>
              <w:ind w:left="211"/>
              <w:jc w:val="left"/>
              <w:rPr>
                <w:b/>
                <w:sz w:val="18"/>
              </w:rPr>
            </w:pPr>
            <w:r>
              <w:rPr>
                <w:b/>
                <w:w w:val="100"/>
                <w:sz w:val="18"/>
              </w:rPr>
              <w:t>Autoriz</w:t>
            </w:r>
            <w:r>
              <w:rPr>
                <w:b/>
                <w:w w:val="99"/>
                <w:sz w:val="18"/>
              </w:rPr>
              <w:t>a</w:t>
            </w:r>
            <w:r>
              <w:rPr>
                <w:b/>
                <w:w w:val="100"/>
                <w:sz w:val="18"/>
              </w:rPr>
              <w:t>do</w:t>
            </w:r>
          </w:p>
        </w:tc>
        <w:tc>
          <w:tcPr>
            <w:tcW w:w="156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6"/>
              <w:jc w:val="left"/>
              <w:rPr>
                <w:rFonts w:ascii="Times New Roman"/>
                <w:sz w:val="17"/>
              </w:rPr>
            </w:pPr>
          </w:p>
          <w:p>
            <w:pPr>
              <w:pStyle w:val="TableParagraph"/>
              <w:ind w:left="206"/>
              <w:jc w:val="left"/>
              <w:rPr>
                <w:b/>
                <w:sz w:val="18"/>
              </w:rPr>
            </w:pPr>
            <w:r>
              <w:rPr>
                <w:b/>
                <w:spacing w:val="1"/>
                <w:w w:val="100"/>
                <w:sz w:val="18"/>
              </w:rPr>
              <w:t>M</w:t>
            </w:r>
            <w:r>
              <w:rPr>
                <w:b/>
                <w:w w:val="100"/>
                <w:sz w:val="18"/>
              </w:rPr>
              <w:t>o</w:t>
            </w:r>
            <w:r>
              <w:rPr>
                <w:b/>
                <w:w w:val="100"/>
                <w:sz w:val="18"/>
              </w:rPr>
              <w:t>dif</w:t>
            </w:r>
            <w:r>
              <w:rPr>
                <w:b/>
                <w:spacing w:val="-2"/>
                <w:w w:val="100"/>
                <w:sz w:val="18"/>
              </w:rPr>
              <w:t>i</w:t>
            </w:r>
            <w:r>
              <w:rPr>
                <w:b/>
                <w:w w:val="99"/>
                <w:sz w:val="18"/>
              </w:rPr>
              <w:t>ca</w:t>
            </w:r>
            <w:r>
              <w:rPr>
                <w:b/>
                <w:w w:val="100"/>
                <w:sz w:val="18"/>
              </w:rPr>
              <w:t>do</w:t>
            </w:r>
          </w:p>
        </w:tc>
        <w:tc>
          <w:tcPr>
            <w:tcW w:w="1599"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19"/>
              </w:rPr>
            </w:pPr>
          </w:p>
          <w:p>
            <w:pPr>
              <w:pStyle w:val="TableParagraph"/>
              <w:ind w:left="326"/>
              <w:jc w:val="left"/>
              <w:rPr>
                <w:b/>
                <w:sz w:val="18"/>
              </w:rPr>
            </w:pPr>
            <w:r>
              <w:rPr>
                <w:b/>
                <w:w w:val="100"/>
                <w:sz w:val="18"/>
              </w:rPr>
              <w:t>Eje</w:t>
            </w:r>
            <w:r>
              <w:rPr>
                <w:b/>
                <w:w w:val="99"/>
                <w:sz w:val="18"/>
              </w:rPr>
              <w:t>rci</w:t>
            </w:r>
            <w:r>
              <w:rPr>
                <w:b/>
                <w:w w:val="100"/>
                <w:sz w:val="18"/>
              </w:rPr>
              <w:t>do</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
              <w:jc w:val="left"/>
              <w:rPr>
                <w:rFonts w:ascii="Times New Roman"/>
                <w:sz w:val="21"/>
              </w:rPr>
            </w:pPr>
          </w:p>
          <w:p>
            <w:pPr>
              <w:pStyle w:val="TableParagraph"/>
              <w:ind w:left="211"/>
              <w:jc w:val="left"/>
              <w:rPr>
                <w:b/>
                <w:sz w:val="18"/>
              </w:rPr>
            </w:pPr>
            <w:r>
              <w:rPr>
                <w:b/>
                <w:sz w:val="18"/>
              </w:rPr>
              <w:t>Por </w:t>
            </w:r>
            <w:r>
              <w:rPr>
                <w:b/>
                <w:w w:val="99"/>
                <w:sz w:val="18"/>
              </w:rPr>
              <w:t>e</w:t>
            </w:r>
            <w:r>
              <w:rPr>
                <w:b/>
                <w:w w:val="100"/>
                <w:sz w:val="18"/>
              </w:rPr>
              <w:t>je</w:t>
            </w:r>
            <w:r>
              <w:rPr>
                <w:b/>
                <w:w w:val="99"/>
                <w:sz w:val="18"/>
              </w:rPr>
              <w:t>rcer</w:t>
            </w:r>
          </w:p>
        </w:tc>
        <w:tc>
          <w:tcPr>
            <w:tcW w:w="1800"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113"/>
              <w:ind w:left="211"/>
              <w:jc w:val="left"/>
              <w:rPr>
                <w:b/>
                <w:sz w:val="18"/>
              </w:rPr>
            </w:pPr>
            <w:r>
              <w:rPr>
                <w:b/>
                <w:w w:val="100"/>
                <w:sz w:val="18"/>
              </w:rPr>
              <w:t>Autoriz</w:t>
            </w:r>
            <w:r>
              <w:rPr>
                <w:b/>
                <w:w w:val="99"/>
                <w:sz w:val="18"/>
              </w:rPr>
              <w:t>a</w:t>
            </w:r>
            <w:r>
              <w:rPr>
                <w:b/>
                <w:w w:val="100"/>
                <w:sz w:val="18"/>
              </w:rPr>
              <w:t>do</w:t>
            </w:r>
          </w:p>
        </w:tc>
        <w:tc>
          <w:tcPr>
            <w:tcW w:w="170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7"/>
              <w:jc w:val="left"/>
              <w:rPr>
                <w:rFonts w:ascii="Times New Roman"/>
                <w:sz w:val="23"/>
              </w:rPr>
            </w:pPr>
          </w:p>
          <w:p>
            <w:pPr>
              <w:pStyle w:val="TableParagraph"/>
              <w:ind w:left="206"/>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80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118"/>
              <w:ind w:left="326"/>
              <w:jc w:val="left"/>
              <w:rPr>
                <w:b/>
                <w:sz w:val="18"/>
              </w:rPr>
            </w:pPr>
            <w:r>
              <w:rPr>
                <w:b/>
                <w:w w:val="100"/>
                <w:sz w:val="18"/>
              </w:rPr>
              <w:t>Eje</w:t>
            </w:r>
            <w:r>
              <w:rPr>
                <w:b/>
                <w:w w:val="99"/>
                <w:sz w:val="18"/>
              </w:rPr>
              <w:t>rci</w:t>
            </w:r>
            <w:r>
              <w:rPr>
                <w:b/>
                <w:w w:val="100"/>
                <w:sz w:val="18"/>
              </w:rPr>
              <w:t>do</w:t>
            </w:r>
          </w:p>
        </w:tc>
        <w:tc>
          <w:tcPr>
            <w:tcW w:w="1877"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151"/>
              <w:ind w:left="211"/>
              <w:jc w:val="left"/>
              <w:rPr>
                <w:b/>
                <w:sz w:val="18"/>
              </w:rPr>
            </w:pPr>
            <w:r>
              <w:rPr>
                <w:b/>
                <w:sz w:val="18"/>
              </w:rPr>
              <w:t>Por </w:t>
            </w:r>
            <w:r>
              <w:rPr>
                <w:b/>
                <w:w w:val="99"/>
                <w:sz w:val="18"/>
              </w:rPr>
              <w:t>e</w:t>
            </w:r>
            <w:r>
              <w:rPr>
                <w:b/>
                <w:w w:val="100"/>
                <w:sz w:val="18"/>
              </w:rPr>
              <w:t>je</w:t>
            </w:r>
            <w:r>
              <w:rPr>
                <w:b/>
                <w:w w:val="99"/>
                <w:sz w:val="18"/>
              </w:rPr>
              <w:t>rcer</w:t>
            </w:r>
          </w:p>
        </w:tc>
      </w:tr>
      <w:tr>
        <w:trPr>
          <w:trHeight w:val="521" w:hRule="exact"/>
        </w:trPr>
        <w:tc>
          <w:tcPr>
            <w:tcW w:w="1541" w:type="dxa"/>
          </w:tcPr>
          <w:p>
            <w:pPr>
              <w:pStyle w:val="TableParagraph"/>
              <w:spacing w:before="95"/>
              <w:ind w:left="64"/>
              <w:jc w:val="left"/>
              <w:rPr>
                <w:b/>
                <w:sz w:val="18"/>
              </w:rPr>
            </w:pPr>
            <w:r>
              <w:rPr>
                <w:b/>
                <w:color w:val="333333"/>
                <w:sz w:val="18"/>
              </w:rPr>
              <w:t>ACAMBAY</w:t>
            </w:r>
          </w:p>
        </w:tc>
        <w:tc>
          <w:tcPr>
            <w:tcW w:w="1670" w:type="dxa"/>
          </w:tcPr>
          <w:p>
            <w:pPr>
              <w:pStyle w:val="TableParagraph"/>
              <w:spacing w:before="100"/>
              <w:ind w:left="134" w:right="134"/>
              <w:rPr>
                <w:sz w:val="18"/>
              </w:rPr>
            </w:pPr>
            <w:r>
              <w:rPr>
                <w:sz w:val="18"/>
              </w:rPr>
              <w:t>$295,961,902.19</w:t>
            </w:r>
          </w:p>
        </w:tc>
        <w:tc>
          <w:tcPr>
            <w:tcW w:w="1562" w:type="dxa"/>
          </w:tcPr>
          <w:p>
            <w:pPr>
              <w:pStyle w:val="TableParagraph"/>
              <w:spacing w:before="100"/>
              <w:ind w:left="530" w:right="531"/>
              <w:rPr>
                <w:sz w:val="18"/>
              </w:rPr>
            </w:pPr>
            <w:r>
              <w:rPr>
                <w:sz w:val="18"/>
              </w:rPr>
              <w:t>$0.00</w:t>
            </w:r>
          </w:p>
        </w:tc>
        <w:tc>
          <w:tcPr>
            <w:tcW w:w="1599" w:type="dxa"/>
          </w:tcPr>
          <w:p>
            <w:pPr>
              <w:pStyle w:val="TableParagraph"/>
              <w:spacing w:before="100"/>
              <w:ind w:left="148" w:right="149"/>
              <w:rPr>
                <w:sz w:val="18"/>
              </w:rPr>
            </w:pPr>
            <w:r>
              <w:rPr>
                <w:sz w:val="18"/>
              </w:rPr>
              <w:t>$0.00</w:t>
            </w:r>
          </w:p>
        </w:tc>
        <w:tc>
          <w:tcPr>
            <w:tcW w:w="1644" w:type="dxa"/>
          </w:tcPr>
          <w:p>
            <w:pPr>
              <w:pStyle w:val="TableParagraph"/>
              <w:spacing w:before="100"/>
              <w:ind w:right="142"/>
              <w:jc w:val="right"/>
              <w:rPr>
                <w:sz w:val="18"/>
              </w:rPr>
            </w:pPr>
            <w:r>
              <w:rPr>
                <w:sz w:val="18"/>
              </w:rPr>
              <w:t>$295,961,902.19</w:t>
            </w:r>
          </w:p>
        </w:tc>
        <w:tc>
          <w:tcPr>
            <w:tcW w:w="1800" w:type="dxa"/>
          </w:tcPr>
          <w:p>
            <w:pPr>
              <w:pStyle w:val="TableParagraph"/>
              <w:spacing w:before="100"/>
              <w:ind w:right="219"/>
              <w:jc w:val="right"/>
              <w:rPr>
                <w:sz w:val="18"/>
              </w:rPr>
            </w:pPr>
            <w:r>
              <w:rPr>
                <w:sz w:val="18"/>
              </w:rPr>
              <w:t>$377,099,416.62</w:t>
            </w:r>
          </w:p>
        </w:tc>
        <w:tc>
          <w:tcPr>
            <w:tcW w:w="1702" w:type="dxa"/>
          </w:tcPr>
          <w:p>
            <w:pPr>
              <w:pStyle w:val="TableParagraph"/>
              <w:spacing w:before="100"/>
              <w:ind w:left="74" w:right="75"/>
              <w:rPr>
                <w:sz w:val="18"/>
              </w:rPr>
            </w:pPr>
            <w:r>
              <w:rPr>
                <w:sz w:val="18"/>
              </w:rPr>
              <w:t>$0.00</w:t>
            </w:r>
          </w:p>
        </w:tc>
        <w:tc>
          <w:tcPr>
            <w:tcW w:w="1808" w:type="dxa"/>
          </w:tcPr>
          <w:p>
            <w:pPr>
              <w:pStyle w:val="TableParagraph"/>
              <w:spacing w:before="100"/>
              <w:ind w:left="253" w:right="253"/>
              <w:rPr>
                <w:sz w:val="18"/>
              </w:rPr>
            </w:pPr>
            <w:r>
              <w:rPr>
                <w:sz w:val="18"/>
              </w:rPr>
              <w:t>$0.00</w:t>
            </w:r>
          </w:p>
        </w:tc>
        <w:tc>
          <w:tcPr>
            <w:tcW w:w="1877" w:type="dxa"/>
          </w:tcPr>
          <w:p>
            <w:pPr>
              <w:pStyle w:val="TableParagraph"/>
              <w:spacing w:before="100"/>
              <w:ind w:left="237" w:right="237"/>
              <w:rPr>
                <w:sz w:val="18"/>
              </w:rPr>
            </w:pPr>
            <w:r>
              <w:rPr>
                <w:sz w:val="18"/>
              </w:rPr>
              <w:t>$377,099,416.62</w:t>
            </w:r>
          </w:p>
        </w:tc>
      </w:tr>
      <w:tr>
        <w:trPr>
          <w:trHeight w:val="521" w:hRule="exact"/>
        </w:trPr>
        <w:tc>
          <w:tcPr>
            <w:tcW w:w="1541" w:type="dxa"/>
          </w:tcPr>
          <w:p>
            <w:pPr>
              <w:pStyle w:val="TableParagraph"/>
              <w:spacing w:before="95"/>
              <w:ind w:left="64"/>
              <w:jc w:val="left"/>
              <w:rPr>
                <w:b/>
                <w:sz w:val="18"/>
              </w:rPr>
            </w:pPr>
            <w:r>
              <w:rPr>
                <w:b/>
                <w:color w:val="333333"/>
                <w:sz w:val="18"/>
              </w:rPr>
              <w:t>ACOLMAN</w:t>
            </w:r>
          </w:p>
        </w:tc>
        <w:tc>
          <w:tcPr>
            <w:tcW w:w="1670" w:type="dxa"/>
          </w:tcPr>
          <w:p>
            <w:pPr>
              <w:pStyle w:val="TableParagraph"/>
              <w:spacing w:before="100"/>
              <w:ind w:left="134" w:right="134"/>
              <w:rPr>
                <w:sz w:val="18"/>
              </w:rPr>
            </w:pPr>
            <w:r>
              <w:rPr>
                <w:sz w:val="18"/>
              </w:rPr>
              <w:t>$325,270,660.00</w:t>
            </w:r>
          </w:p>
        </w:tc>
        <w:tc>
          <w:tcPr>
            <w:tcW w:w="1562" w:type="dxa"/>
          </w:tcPr>
          <w:p>
            <w:pPr>
              <w:pStyle w:val="TableParagraph"/>
              <w:spacing w:before="100"/>
              <w:ind w:left="530" w:right="531"/>
              <w:rPr>
                <w:sz w:val="18"/>
              </w:rPr>
            </w:pPr>
            <w:r>
              <w:rPr>
                <w:sz w:val="18"/>
              </w:rPr>
              <w:t>$0.00</w:t>
            </w:r>
          </w:p>
        </w:tc>
        <w:tc>
          <w:tcPr>
            <w:tcW w:w="1599" w:type="dxa"/>
          </w:tcPr>
          <w:p>
            <w:pPr>
              <w:pStyle w:val="TableParagraph"/>
              <w:spacing w:before="100"/>
              <w:ind w:left="148" w:right="149"/>
              <w:rPr>
                <w:sz w:val="18"/>
              </w:rPr>
            </w:pPr>
            <w:r>
              <w:rPr>
                <w:sz w:val="18"/>
              </w:rPr>
              <w:t>$0.00</w:t>
            </w:r>
          </w:p>
        </w:tc>
        <w:tc>
          <w:tcPr>
            <w:tcW w:w="1644" w:type="dxa"/>
          </w:tcPr>
          <w:p>
            <w:pPr>
              <w:pStyle w:val="TableParagraph"/>
              <w:spacing w:before="100"/>
              <w:ind w:right="142"/>
              <w:jc w:val="right"/>
              <w:rPr>
                <w:sz w:val="18"/>
              </w:rPr>
            </w:pPr>
            <w:r>
              <w:rPr>
                <w:sz w:val="18"/>
              </w:rPr>
              <w:t>$325,270,660.00</w:t>
            </w:r>
          </w:p>
        </w:tc>
        <w:tc>
          <w:tcPr>
            <w:tcW w:w="1800" w:type="dxa"/>
          </w:tcPr>
          <w:p>
            <w:pPr>
              <w:pStyle w:val="TableParagraph"/>
              <w:spacing w:before="100"/>
              <w:ind w:right="270"/>
              <w:jc w:val="right"/>
              <w:rPr>
                <w:sz w:val="18"/>
              </w:rPr>
            </w:pPr>
            <w:r>
              <w:rPr>
                <w:sz w:val="18"/>
              </w:rPr>
              <w:t>$22,651,407.00</w:t>
            </w:r>
          </w:p>
        </w:tc>
        <w:tc>
          <w:tcPr>
            <w:tcW w:w="1702" w:type="dxa"/>
          </w:tcPr>
          <w:p>
            <w:pPr>
              <w:pStyle w:val="TableParagraph"/>
              <w:spacing w:before="100"/>
              <w:ind w:left="74" w:right="75"/>
              <w:rPr>
                <w:sz w:val="18"/>
              </w:rPr>
            </w:pPr>
            <w:r>
              <w:rPr>
                <w:sz w:val="18"/>
              </w:rPr>
              <w:t>$0.00</w:t>
            </w:r>
          </w:p>
        </w:tc>
        <w:tc>
          <w:tcPr>
            <w:tcW w:w="1808" w:type="dxa"/>
          </w:tcPr>
          <w:p>
            <w:pPr>
              <w:pStyle w:val="TableParagraph"/>
              <w:spacing w:before="100"/>
              <w:ind w:left="253" w:right="253"/>
              <w:rPr>
                <w:sz w:val="18"/>
              </w:rPr>
            </w:pPr>
            <w:r>
              <w:rPr>
                <w:sz w:val="18"/>
              </w:rPr>
              <w:t>$0.00</w:t>
            </w:r>
          </w:p>
        </w:tc>
        <w:tc>
          <w:tcPr>
            <w:tcW w:w="1877" w:type="dxa"/>
          </w:tcPr>
          <w:p>
            <w:pPr>
              <w:pStyle w:val="TableParagraph"/>
              <w:spacing w:before="100"/>
              <w:ind w:left="236" w:right="237"/>
              <w:rPr>
                <w:sz w:val="18"/>
              </w:rPr>
            </w:pPr>
            <w:r>
              <w:rPr>
                <w:sz w:val="18"/>
              </w:rPr>
              <w:t>$22,651,407.00</w:t>
            </w:r>
          </w:p>
        </w:tc>
      </w:tr>
      <w:tr>
        <w:trPr>
          <w:trHeight w:val="518" w:hRule="exact"/>
        </w:trPr>
        <w:tc>
          <w:tcPr>
            <w:tcW w:w="1541" w:type="dxa"/>
          </w:tcPr>
          <w:p>
            <w:pPr>
              <w:pStyle w:val="TableParagraph"/>
              <w:spacing w:before="92"/>
              <w:ind w:left="64"/>
              <w:jc w:val="left"/>
              <w:rPr>
                <w:b/>
                <w:sz w:val="18"/>
              </w:rPr>
            </w:pPr>
            <w:r>
              <w:rPr>
                <w:b/>
                <w:color w:val="333333"/>
                <w:sz w:val="18"/>
              </w:rPr>
              <w:t>ACULCO</w:t>
            </w:r>
          </w:p>
        </w:tc>
        <w:tc>
          <w:tcPr>
            <w:tcW w:w="1670" w:type="dxa"/>
          </w:tcPr>
          <w:p>
            <w:pPr>
              <w:pStyle w:val="TableParagraph"/>
              <w:spacing w:before="97"/>
              <w:ind w:left="134" w:right="134"/>
              <w:rPr>
                <w:sz w:val="18"/>
              </w:rPr>
            </w:pPr>
            <w:r>
              <w:rPr>
                <w:sz w:val="18"/>
              </w:rPr>
              <w:t>$282,961,428.00</w:t>
            </w:r>
          </w:p>
        </w:tc>
        <w:tc>
          <w:tcPr>
            <w:tcW w:w="1562" w:type="dxa"/>
          </w:tcPr>
          <w:p>
            <w:pPr>
              <w:pStyle w:val="TableParagraph"/>
              <w:spacing w:before="97"/>
              <w:ind w:left="530" w:right="531"/>
              <w:rPr>
                <w:sz w:val="18"/>
              </w:rPr>
            </w:pPr>
            <w:r>
              <w:rPr>
                <w:sz w:val="18"/>
              </w:rPr>
              <w:t>$0.00</w:t>
            </w:r>
          </w:p>
        </w:tc>
        <w:tc>
          <w:tcPr>
            <w:tcW w:w="1599" w:type="dxa"/>
          </w:tcPr>
          <w:p>
            <w:pPr>
              <w:pStyle w:val="TableParagraph"/>
              <w:spacing w:before="97"/>
              <w:ind w:left="148" w:right="149"/>
              <w:rPr>
                <w:sz w:val="18"/>
              </w:rPr>
            </w:pPr>
            <w:r>
              <w:rPr>
                <w:sz w:val="18"/>
              </w:rPr>
              <w:t>$0.00</w:t>
            </w:r>
          </w:p>
        </w:tc>
        <w:tc>
          <w:tcPr>
            <w:tcW w:w="1644" w:type="dxa"/>
          </w:tcPr>
          <w:p>
            <w:pPr>
              <w:pStyle w:val="TableParagraph"/>
              <w:spacing w:before="97"/>
              <w:ind w:right="142"/>
              <w:jc w:val="right"/>
              <w:rPr>
                <w:sz w:val="18"/>
              </w:rPr>
            </w:pPr>
            <w:r>
              <w:rPr>
                <w:sz w:val="18"/>
              </w:rPr>
              <w:t>$282,961,428.00</w:t>
            </w:r>
          </w:p>
        </w:tc>
        <w:tc>
          <w:tcPr>
            <w:tcW w:w="1800" w:type="dxa"/>
          </w:tcPr>
          <w:p>
            <w:pPr>
              <w:pStyle w:val="TableParagraph"/>
              <w:spacing w:before="97"/>
              <w:ind w:right="219"/>
              <w:jc w:val="right"/>
              <w:rPr>
                <w:sz w:val="18"/>
              </w:rPr>
            </w:pPr>
            <w:r>
              <w:rPr>
                <w:sz w:val="18"/>
              </w:rPr>
              <w:t>$254,046,351.00</w:t>
            </w:r>
          </w:p>
        </w:tc>
        <w:tc>
          <w:tcPr>
            <w:tcW w:w="1702" w:type="dxa"/>
          </w:tcPr>
          <w:p>
            <w:pPr>
              <w:pStyle w:val="TableParagraph"/>
              <w:spacing w:before="97"/>
              <w:ind w:left="74" w:right="75"/>
              <w:rPr>
                <w:sz w:val="18"/>
              </w:rPr>
            </w:pPr>
            <w:r>
              <w:rPr>
                <w:sz w:val="18"/>
              </w:rPr>
              <w:t>$0.00</w:t>
            </w:r>
          </w:p>
        </w:tc>
        <w:tc>
          <w:tcPr>
            <w:tcW w:w="1808" w:type="dxa"/>
          </w:tcPr>
          <w:p>
            <w:pPr>
              <w:pStyle w:val="TableParagraph"/>
              <w:spacing w:before="97"/>
              <w:ind w:left="253" w:right="253"/>
              <w:rPr>
                <w:sz w:val="18"/>
              </w:rPr>
            </w:pPr>
            <w:r>
              <w:rPr>
                <w:sz w:val="18"/>
              </w:rPr>
              <w:t>$0.00</w:t>
            </w:r>
          </w:p>
        </w:tc>
        <w:tc>
          <w:tcPr>
            <w:tcW w:w="1877" w:type="dxa"/>
          </w:tcPr>
          <w:p>
            <w:pPr>
              <w:pStyle w:val="TableParagraph"/>
              <w:spacing w:before="97"/>
              <w:ind w:left="237" w:right="237"/>
              <w:rPr>
                <w:sz w:val="18"/>
              </w:rPr>
            </w:pPr>
            <w:r>
              <w:rPr>
                <w:sz w:val="18"/>
              </w:rPr>
              <w:t>$254,046,351.00</w:t>
            </w:r>
          </w:p>
        </w:tc>
      </w:tr>
      <w:tr>
        <w:trPr>
          <w:trHeight w:val="775" w:hRule="exact"/>
        </w:trPr>
        <w:tc>
          <w:tcPr>
            <w:tcW w:w="1541" w:type="dxa"/>
          </w:tcPr>
          <w:p>
            <w:pPr>
              <w:pStyle w:val="TableParagraph"/>
              <w:spacing w:line="360" w:lineRule="auto" w:before="68"/>
              <w:ind w:left="64"/>
              <w:jc w:val="left"/>
              <w:rPr>
                <w:b/>
                <w:sz w:val="18"/>
              </w:rPr>
            </w:pPr>
            <w:r>
              <w:rPr>
                <w:b/>
                <w:color w:val="333333"/>
                <w:sz w:val="18"/>
              </w:rPr>
              <w:t>ALMOLOYA DE ALQUISIRAS</w:t>
            </w:r>
          </w:p>
        </w:tc>
        <w:tc>
          <w:tcPr>
            <w:tcW w:w="1670" w:type="dxa"/>
          </w:tcPr>
          <w:p>
            <w:pPr>
              <w:pStyle w:val="TableParagraph"/>
              <w:spacing w:before="8"/>
              <w:jc w:val="left"/>
              <w:rPr>
                <w:rFonts w:ascii="Times New Roman"/>
                <w:sz w:val="19"/>
              </w:rPr>
            </w:pPr>
          </w:p>
          <w:p>
            <w:pPr>
              <w:pStyle w:val="TableParagraph"/>
              <w:ind w:left="134" w:right="133"/>
              <w:rPr>
                <w:sz w:val="18"/>
              </w:rPr>
            </w:pPr>
            <w:r>
              <w:rPr>
                <w:sz w:val="18"/>
              </w:rPr>
              <w:t>$0.00</w:t>
            </w:r>
          </w:p>
        </w:tc>
        <w:tc>
          <w:tcPr>
            <w:tcW w:w="1562" w:type="dxa"/>
          </w:tcPr>
          <w:p>
            <w:pPr>
              <w:pStyle w:val="TableParagraph"/>
              <w:spacing w:before="8"/>
              <w:jc w:val="left"/>
              <w:rPr>
                <w:rFonts w:ascii="Times New Roman"/>
                <w:sz w:val="19"/>
              </w:rPr>
            </w:pPr>
          </w:p>
          <w:p>
            <w:pPr>
              <w:pStyle w:val="TableParagraph"/>
              <w:ind w:left="530" w:right="531"/>
              <w:rPr>
                <w:sz w:val="18"/>
              </w:rPr>
            </w:pPr>
            <w:r>
              <w:rPr>
                <w:sz w:val="18"/>
              </w:rPr>
              <w:t>$0.00</w:t>
            </w:r>
          </w:p>
        </w:tc>
        <w:tc>
          <w:tcPr>
            <w:tcW w:w="1599" w:type="dxa"/>
          </w:tcPr>
          <w:p>
            <w:pPr>
              <w:pStyle w:val="TableParagraph"/>
              <w:spacing w:before="8"/>
              <w:jc w:val="left"/>
              <w:rPr>
                <w:rFonts w:ascii="Times New Roman"/>
                <w:sz w:val="19"/>
              </w:rPr>
            </w:pPr>
          </w:p>
          <w:p>
            <w:pPr>
              <w:pStyle w:val="TableParagraph"/>
              <w:ind w:left="148" w:right="149"/>
              <w:rPr>
                <w:sz w:val="18"/>
              </w:rPr>
            </w:pPr>
            <w:r>
              <w:rPr>
                <w:sz w:val="18"/>
              </w:rPr>
              <w:t>$0.00</w:t>
            </w:r>
          </w:p>
        </w:tc>
        <w:tc>
          <w:tcPr>
            <w:tcW w:w="1644" w:type="dxa"/>
          </w:tcPr>
          <w:p>
            <w:pPr>
              <w:pStyle w:val="TableParagraph"/>
              <w:spacing w:before="8"/>
              <w:jc w:val="left"/>
              <w:rPr>
                <w:rFonts w:ascii="Times New Roman"/>
                <w:sz w:val="19"/>
              </w:rPr>
            </w:pPr>
          </w:p>
          <w:p>
            <w:pPr>
              <w:pStyle w:val="TableParagraph"/>
              <w:ind w:left="44" w:right="45"/>
              <w:rPr>
                <w:sz w:val="18"/>
              </w:rPr>
            </w:pPr>
            <w:r>
              <w:rPr>
                <w:sz w:val="18"/>
              </w:rPr>
              <w:t>$0.00</w:t>
            </w:r>
          </w:p>
        </w:tc>
        <w:tc>
          <w:tcPr>
            <w:tcW w:w="1800" w:type="dxa"/>
          </w:tcPr>
          <w:p>
            <w:pPr>
              <w:pStyle w:val="TableParagraph"/>
              <w:spacing w:before="8"/>
              <w:jc w:val="left"/>
              <w:rPr>
                <w:rFonts w:ascii="Times New Roman"/>
                <w:sz w:val="19"/>
              </w:rPr>
            </w:pPr>
          </w:p>
          <w:p>
            <w:pPr>
              <w:pStyle w:val="TableParagraph"/>
              <w:ind w:left="650" w:right="649"/>
              <w:rPr>
                <w:sz w:val="18"/>
              </w:rPr>
            </w:pPr>
            <w:r>
              <w:rPr>
                <w:sz w:val="18"/>
              </w:rPr>
              <w:t>$0.00</w:t>
            </w:r>
          </w:p>
        </w:tc>
        <w:tc>
          <w:tcPr>
            <w:tcW w:w="1702" w:type="dxa"/>
          </w:tcPr>
          <w:p>
            <w:pPr>
              <w:pStyle w:val="TableParagraph"/>
              <w:spacing w:before="8"/>
              <w:jc w:val="left"/>
              <w:rPr>
                <w:rFonts w:ascii="Times New Roman"/>
                <w:sz w:val="19"/>
              </w:rPr>
            </w:pPr>
          </w:p>
          <w:p>
            <w:pPr>
              <w:pStyle w:val="TableParagraph"/>
              <w:ind w:left="74" w:right="75"/>
              <w:rPr>
                <w:sz w:val="18"/>
              </w:rPr>
            </w:pPr>
            <w:r>
              <w:rPr>
                <w:sz w:val="18"/>
              </w:rPr>
              <w:t>$0.00</w:t>
            </w:r>
          </w:p>
        </w:tc>
        <w:tc>
          <w:tcPr>
            <w:tcW w:w="1808" w:type="dxa"/>
          </w:tcPr>
          <w:p>
            <w:pPr>
              <w:pStyle w:val="TableParagraph"/>
              <w:spacing w:before="8"/>
              <w:jc w:val="left"/>
              <w:rPr>
                <w:rFonts w:ascii="Times New Roman"/>
                <w:sz w:val="19"/>
              </w:rPr>
            </w:pPr>
          </w:p>
          <w:p>
            <w:pPr>
              <w:pStyle w:val="TableParagraph"/>
              <w:ind w:left="253" w:right="253"/>
              <w:rPr>
                <w:sz w:val="18"/>
              </w:rPr>
            </w:pPr>
            <w:r>
              <w:rPr>
                <w:sz w:val="18"/>
              </w:rPr>
              <w:t>$0.00</w:t>
            </w:r>
          </w:p>
        </w:tc>
        <w:tc>
          <w:tcPr>
            <w:tcW w:w="1877" w:type="dxa"/>
          </w:tcPr>
          <w:p>
            <w:pPr>
              <w:pStyle w:val="TableParagraph"/>
              <w:spacing w:before="8"/>
              <w:jc w:val="left"/>
              <w:rPr>
                <w:rFonts w:ascii="Times New Roman"/>
                <w:sz w:val="19"/>
              </w:rPr>
            </w:pPr>
          </w:p>
          <w:p>
            <w:pPr>
              <w:pStyle w:val="TableParagraph"/>
              <w:ind w:left="237" w:right="236"/>
              <w:rPr>
                <w:sz w:val="18"/>
              </w:rPr>
            </w:pPr>
            <w:r>
              <w:rPr>
                <w:sz w:val="18"/>
              </w:rPr>
              <w:t>$0.00</w:t>
            </w:r>
          </w:p>
        </w:tc>
      </w:tr>
      <w:tr>
        <w:trPr>
          <w:trHeight w:val="632" w:hRule="exact"/>
        </w:trPr>
        <w:tc>
          <w:tcPr>
            <w:tcW w:w="1541" w:type="dxa"/>
          </w:tcPr>
          <w:p>
            <w:pPr>
              <w:pStyle w:val="TableParagraph"/>
              <w:spacing w:line="362" w:lineRule="auto"/>
              <w:ind w:left="64"/>
              <w:jc w:val="left"/>
              <w:rPr>
                <w:b/>
                <w:sz w:val="18"/>
              </w:rPr>
            </w:pPr>
            <w:r>
              <w:rPr>
                <w:b/>
                <w:color w:val="333333"/>
                <w:sz w:val="18"/>
              </w:rPr>
              <w:t>ALMOLOYA DE JUAREZ</w:t>
            </w:r>
          </w:p>
        </w:tc>
        <w:tc>
          <w:tcPr>
            <w:tcW w:w="1670" w:type="dxa"/>
          </w:tcPr>
          <w:p>
            <w:pPr>
              <w:pStyle w:val="TableParagraph"/>
              <w:spacing w:before="155"/>
              <w:ind w:left="134" w:right="134"/>
              <w:rPr>
                <w:sz w:val="18"/>
              </w:rPr>
            </w:pPr>
            <w:r>
              <w:rPr>
                <w:sz w:val="18"/>
              </w:rPr>
              <w:t>$444,249,416.93</w:t>
            </w:r>
          </w:p>
        </w:tc>
        <w:tc>
          <w:tcPr>
            <w:tcW w:w="1562" w:type="dxa"/>
          </w:tcPr>
          <w:p>
            <w:pPr>
              <w:pStyle w:val="TableParagraph"/>
              <w:spacing w:before="155"/>
              <w:ind w:left="530" w:right="531"/>
              <w:rPr>
                <w:sz w:val="18"/>
              </w:rPr>
            </w:pPr>
            <w:r>
              <w:rPr>
                <w:sz w:val="18"/>
              </w:rPr>
              <w:t>$0.00</w:t>
            </w:r>
          </w:p>
        </w:tc>
        <w:tc>
          <w:tcPr>
            <w:tcW w:w="1599" w:type="dxa"/>
          </w:tcPr>
          <w:p>
            <w:pPr>
              <w:pStyle w:val="TableParagraph"/>
              <w:spacing w:before="155"/>
              <w:ind w:left="148" w:right="149"/>
              <w:rPr>
                <w:sz w:val="18"/>
              </w:rPr>
            </w:pPr>
            <w:r>
              <w:rPr>
                <w:sz w:val="18"/>
              </w:rPr>
              <w:t>$0.00</w:t>
            </w:r>
          </w:p>
        </w:tc>
        <w:tc>
          <w:tcPr>
            <w:tcW w:w="1644" w:type="dxa"/>
          </w:tcPr>
          <w:p>
            <w:pPr>
              <w:pStyle w:val="TableParagraph"/>
              <w:spacing w:before="155"/>
              <w:ind w:right="142"/>
              <w:jc w:val="right"/>
              <w:rPr>
                <w:sz w:val="18"/>
              </w:rPr>
            </w:pPr>
            <w:r>
              <w:rPr>
                <w:sz w:val="18"/>
              </w:rPr>
              <w:t>$444,249,416.93</w:t>
            </w:r>
          </w:p>
        </w:tc>
        <w:tc>
          <w:tcPr>
            <w:tcW w:w="1800" w:type="dxa"/>
          </w:tcPr>
          <w:p>
            <w:pPr>
              <w:pStyle w:val="TableParagraph"/>
              <w:spacing w:before="155"/>
              <w:ind w:right="219"/>
              <w:jc w:val="right"/>
              <w:rPr>
                <w:sz w:val="18"/>
              </w:rPr>
            </w:pPr>
            <w:r>
              <w:rPr>
                <w:sz w:val="18"/>
              </w:rPr>
              <w:t>$385,188,296.00</w:t>
            </w:r>
          </w:p>
        </w:tc>
        <w:tc>
          <w:tcPr>
            <w:tcW w:w="1702" w:type="dxa"/>
          </w:tcPr>
          <w:p>
            <w:pPr>
              <w:pStyle w:val="TableParagraph"/>
              <w:spacing w:before="155"/>
              <w:ind w:left="74" w:right="75"/>
              <w:rPr>
                <w:sz w:val="18"/>
              </w:rPr>
            </w:pPr>
            <w:r>
              <w:rPr>
                <w:sz w:val="18"/>
              </w:rPr>
              <w:t>$0.00</w:t>
            </w:r>
          </w:p>
        </w:tc>
        <w:tc>
          <w:tcPr>
            <w:tcW w:w="1808" w:type="dxa"/>
          </w:tcPr>
          <w:p>
            <w:pPr>
              <w:pStyle w:val="TableParagraph"/>
              <w:spacing w:before="155"/>
              <w:ind w:left="253" w:right="253"/>
              <w:rPr>
                <w:sz w:val="18"/>
              </w:rPr>
            </w:pPr>
            <w:r>
              <w:rPr>
                <w:sz w:val="18"/>
              </w:rPr>
              <w:t>$0.00</w:t>
            </w:r>
          </w:p>
        </w:tc>
        <w:tc>
          <w:tcPr>
            <w:tcW w:w="1877" w:type="dxa"/>
          </w:tcPr>
          <w:p>
            <w:pPr>
              <w:pStyle w:val="TableParagraph"/>
              <w:spacing w:before="155"/>
              <w:ind w:left="237" w:right="237"/>
              <w:rPr>
                <w:sz w:val="18"/>
              </w:rPr>
            </w:pPr>
            <w:r>
              <w:rPr>
                <w:sz w:val="18"/>
              </w:rPr>
              <w:t>$385,188,296.00</w:t>
            </w:r>
          </w:p>
        </w:tc>
      </w:tr>
      <w:tr>
        <w:trPr>
          <w:trHeight w:val="631" w:hRule="exact"/>
        </w:trPr>
        <w:tc>
          <w:tcPr>
            <w:tcW w:w="1541" w:type="dxa"/>
          </w:tcPr>
          <w:p>
            <w:pPr>
              <w:pStyle w:val="TableParagraph"/>
              <w:spacing w:line="362" w:lineRule="auto"/>
              <w:ind w:left="64" w:right="417"/>
              <w:jc w:val="left"/>
              <w:rPr>
                <w:b/>
                <w:sz w:val="18"/>
              </w:rPr>
            </w:pPr>
            <w:r>
              <w:rPr>
                <w:b/>
                <w:color w:val="333333"/>
                <w:sz w:val="18"/>
              </w:rPr>
              <w:t>ALMOLOYA DEL RIO</w:t>
            </w:r>
          </w:p>
        </w:tc>
        <w:tc>
          <w:tcPr>
            <w:tcW w:w="1670" w:type="dxa"/>
          </w:tcPr>
          <w:p>
            <w:pPr>
              <w:pStyle w:val="TableParagraph"/>
              <w:spacing w:before="155"/>
              <w:ind w:left="133" w:right="134"/>
              <w:rPr>
                <w:sz w:val="18"/>
              </w:rPr>
            </w:pPr>
            <w:r>
              <w:rPr>
                <w:sz w:val="18"/>
              </w:rPr>
              <w:t>$44,111,315.87</w:t>
            </w:r>
          </w:p>
        </w:tc>
        <w:tc>
          <w:tcPr>
            <w:tcW w:w="1562" w:type="dxa"/>
          </w:tcPr>
          <w:p>
            <w:pPr>
              <w:pStyle w:val="TableParagraph"/>
              <w:spacing w:before="155"/>
              <w:ind w:left="530" w:right="531"/>
              <w:rPr>
                <w:sz w:val="18"/>
              </w:rPr>
            </w:pPr>
            <w:r>
              <w:rPr>
                <w:sz w:val="18"/>
              </w:rPr>
              <w:t>$0.00</w:t>
            </w:r>
          </w:p>
        </w:tc>
        <w:tc>
          <w:tcPr>
            <w:tcW w:w="1599" w:type="dxa"/>
          </w:tcPr>
          <w:p>
            <w:pPr>
              <w:pStyle w:val="TableParagraph"/>
              <w:spacing w:before="155"/>
              <w:ind w:left="148" w:right="149"/>
              <w:rPr>
                <w:sz w:val="18"/>
              </w:rPr>
            </w:pPr>
            <w:r>
              <w:rPr>
                <w:sz w:val="18"/>
              </w:rPr>
              <w:t>$0.00</w:t>
            </w:r>
          </w:p>
        </w:tc>
        <w:tc>
          <w:tcPr>
            <w:tcW w:w="1644" w:type="dxa"/>
          </w:tcPr>
          <w:p>
            <w:pPr>
              <w:pStyle w:val="TableParagraph"/>
              <w:spacing w:before="155"/>
              <w:ind w:left="44" w:right="45"/>
              <w:rPr>
                <w:sz w:val="18"/>
              </w:rPr>
            </w:pPr>
            <w:r>
              <w:rPr>
                <w:sz w:val="18"/>
              </w:rPr>
              <w:t>$0.00</w:t>
            </w:r>
          </w:p>
        </w:tc>
        <w:tc>
          <w:tcPr>
            <w:tcW w:w="1800" w:type="dxa"/>
          </w:tcPr>
          <w:p>
            <w:pPr>
              <w:pStyle w:val="TableParagraph"/>
              <w:spacing w:before="155"/>
              <w:ind w:right="270"/>
              <w:jc w:val="right"/>
              <w:rPr>
                <w:sz w:val="18"/>
              </w:rPr>
            </w:pPr>
            <w:r>
              <w:rPr>
                <w:sz w:val="18"/>
              </w:rPr>
              <w:t>$45,460,286.82</w:t>
            </w:r>
          </w:p>
        </w:tc>
        <w:tc>
          <w:tcPr>
            <w:tcW w:w="1702" w:type="dxa"/>
          </w:tcPr>
          <w:p>
            <w:pPr>
              <w:pStyle w:val="TableParagraph"/>
              <w:spacing w:before="155"/>
              <w:ind w:left="74" w:right="75"/>
              <w:rPr>
                <w:sz w:val="18"/>
              </w:rPr>
            </w:pPr>
            <w:r>
              <w:rPr>
                <w:sz w:val="18"/>
              </w:rPr>
              <w:t>$0.00</w:t>
            </w:r>
          </w:p>
        </w:tc>
        <w:tc>
          <w:tcPr>
            <w:tcW w:w="1808" w:type="dxa"/>
          </w:tcPr>
          <w:p>
            <w:pPr>
              <w:pStyle w:val="TableParagraph"/>
              <w:spacing w:before="155"/>
              <w:ind w:left="253" w:right="253"/>
              <w:rPr>
                <w:sz w:val="18"/>
              </w:rPr>
            </w:pPr>
            <w:r>
              <w:rPr>
                <w:sz w:val="18"/>
              </w:rPr>
              <w:t>$0.00</w:t>
            </w:r>
          </w:p>
        </w:tc>
        <w:tc>
          <w:tcPr>
            <w:tcW w:w="1877" w:type="dxa"/>
          </w:tcPr>
          <w:p>
            <w:pPr>
              <w:pStyle w:val="TableParagraph"/>
              <w:spacing w:before="155"/>
              <w:ind w:left="237" w:right="236"/>
              <w:rPr>
                <w:sz w:val="18"/>
              </w:rPr>
            </w:pPr>
            <w:r>
              <w:rPr>
                <w:sz w:val="18"/>
              </w:rPr>
              <w:t>$0.00</w:t>
            </w:r>
          </w:p>
        </w:tc>
      </w:tr>
      <w:tr>
        <w:trPr>
          <w:trHeight w:val="521" w:hRule="exact"/>
        </w:trPr>
        <w:tc>
          <w:tcPr>
            <w:tcW w:w="1541" w:type="dxa"/>
          </w:tcPr>
          <w:p>
            <w:pPr>
              <w:pStyle w:val="TableParagraph"/>
              <w:spacing w:before="95"/>
              <w:ind w:left="64"/>
              <w:jc w:val="left"/>
              <w:rPr>
                <w:b/>
                <w:sz w:val="18"/>
              </w:rPr>
            </w:pPr>
            <w:r>
              <w:rPr>
                <w:b/>
                <w:color w:val="333333"/>
                <w:sz w:val="18"/>
              </w:rPr>
              <w:t>AMANALCO</w:t>
            </w:r>
          </w:p>
        </w:tc>
        <w:tc>
          <w:tcPr>
            <w:tcW w:w="1670" w:type="dxa"/>
          </w:tcPr>
          <w:p>
            <w:pPr>
              <w:pStyle w:val="TableParagraph"/>
              <w:spacing w:before="100"/>
              <w:ind w:left="134" w:right="134"/>
              <w:rPr>
                <w:sz w:val="18"/>
              </w:rPr>
            </w:pPr>
            <w:r>
              <w:rPr>
                <w:sz w:val="18"/>
              </w:rPr>
              <w:t>$132,076,304.13</w:t>
            </w:r>
          </w:p>
        </w:tc>
        <w:tc>
          <w:tcPr>
            <w:tcW w:w="1562" w:type="dxa"/>
          </w:tcPr>
          <w:p>
            <w:pPr>
              <w:pStyle w:val="TableParagraph"/>
              <w:spacing w:before="100"/>
              <w:ind w:left="530" w:right="531"/>
              <w:rPr>
                <w:sz w:val="18"/>
              </w:rPr>
            </w:pPr>
            <w:r>
              <w:rPr>
                <w:sz w:val="18"/>
              </w:rPr>
              <w:t>$0.00</w:t>
            </w:r>
          </w:p>
        </w:tc>
        <w:tc>
          <w:tcPr>
            <w:tcW w:w="1599" w:type="dxa"/>
          </w:tcPr>
          <w:p>
            <w:pPr>
              <w:pStyle w:val="TableParagraph"/>
              <w:spacing w:before="100"/>
              <w:ind w:left="148" w:right="149"/>
              <w:rPr>
                <w:sz w:val="18"/>
              </w:rPr>
            </w:pPr>
            <w:r>
              <w:rPr>
                <w:sz w:val="18"/>
              </w:rPr>
              <w:t>$90,950,007.15</w:t>
            </w:r>
          </w:p>
        </w:tc>
        <w:tc>
          <w:tcPr>
            <w:tcW w:w="1644" w:type="dxa"/>
          </w:tcPr>
          <w:p>
            <w:pPr>
              <w:pStyle w:val="TableParagraph"/>
              <w:spacing w:before="100"/>
              <w:ind w:right="191"/>
              <w:jc w:val="right"/>
              <w:rPr>
                <w:sz w:val="18"/>
              </w:rPr>
            </w:pPr>
            <w:r>
              <w:rPr>
                <w:sz w:val="18"/>
              </w:rPr>
              <w:t>$41,126,296.98</w:t>
            </w:r>
          </w:p>
        </w:tc>
        <w:tc>
          <w:tcPr>
            <w:tcW w:w="1800" w:type="dxa"/>
          </w:tcPr>
          <w:p>
            <w:pPr>
              <w:pStyle w:val="TableParagraph"/>
              <w:spacing w:before="100"/>
              <w:ind w:right="219"/>
              <w:jc w:val="right"/>
              <w:rPr>
                <w:sz w:val="18"/>
              </w:rPr>
            </w:pPr>
            <w:r>
              <w:rPr>
                <w:sz w:val="18"/>
              </w:rPr>
              <w:t>$168,263,126.05</w:t>
            </w:r>
          </w:p>
        </w:tc>
        <w:tc>
          <w:tcPr>
            <w:tcW w:w="1702" w:type="dxa"/>
          </w:tcPr>
          <w:p>
            <w:pPr>
              <w:pStyle w:val="TableParagraph"/>
              <w:spacing w:before="100"/>
              <w:ind w:left="74" w:right="75"/>
              <w:rPr>
                <w:sz w:val="18"/>
              </w:rPr>
            </w:pPr>
            <w:r>
              <w:rPr>
                <w:sz w:val="18"/>
              </w:rPr>
              <w:t>$0.00</w:t>
            </w:r>
          </w:p>
        </w:tc>
        <w:tc>
          <w:tcPr>
            <w:tcW w:w="1808" w:type="dxa"/>
          </w:tcPr>
          <w:p>
            <w:pPr>
              <w:pStyle w:val="TableParagraph"/>
              <w:spacing w:before="100"/>
              <w:ind w:left="254" w:right="253"/>
              <w:rPr>
                <w:sz w:val="18"/>
              </w:rPr>
            </w:pPr>
            <w:r>
              <w:rPr>
                <w:sz w:val="18"/>
              </w:rPr>
              <w:t>$26,984,038.75</w:t>
            </w:r>
          </w:p>
        </w:tc>
        <w:tc>
          <w:tcPr>
            <w:tcW w:w="1877" w:type="dxa"/>
          </w:tcPr>
          <w:p>
            <w:pPr>
              <w:pStyle w:val="TableParagraph"/>
              <w:spacing w:before="100"/>
              <w:ind w:left="237" w:right="237"/>
              <w:rPr>
                <w:sz w:val="18"/>
              </w:rPr>
            </w:pPr>
            <w:r>
              <w:rPr>
                <w:sz w:val="18"/>
              </w:rPr>
              <w:t>$141,279,087.30</w:t>
            </w:r>
          </w:p>
        </w:tc>
      </w:tr>
      <w:tr>
        <w:trPr>
          <w:trHeight w:val="518" w:hRule="exact"/>
        </w:trPr>
        <w:tc>
          <w:tcPr>
            <w:tcW w:w="1541" w:type="dxa"/>
          </w:tcPr>
          <w:p>
            <w:pPr>
              <w:pStyle w:val="TableParagraph"/>
              <w:spacing w:before="92"/>
              <w:ind w:left="64"/>
              <w:jc w:val="left"/>
              <w:rPr>
                <w:b/>
                <w:sz w:val="18"/>
              </w:rPr>
            </w:pPr>
            <w:r>
              <w:rPr>
                <w:b/>
                <w:color w:val="333333"/>
                <w:sz w:val="18"/>
              </w:rPr>
              <w:t>AMATEPEC</w:t>
            </w:r>
          </w:p>
        </w:tc>
        <w:tc>
          <w:tcPr>
            <w:tcW w:w="1670" w:type="dxa"/>
          </w:tcPr>
          <w:p>
            <w:pPr>
              <w:pStyle w:val="TableParagraph"/>
              <w:spacing w:before="97"/>
              <w:ind w:left="134" w:right="133"/>
              <w:rPr>
                <w:sz w:val="18"/>
              </w:rPr>
            </w:pPr>
            <w:r>
              <w:rPr>
                <w:sz w:val="18"/>
              </w:rPr>
              <w:t>$0.00</w:t>
            </w:r>
          </w:p>
        </w:tc>
        <w:tc>
          <w:tcPr>
            <w:tcW w:w="1562" w:type="dxa"/>
          </w:tcPr>
          <w:p>
            <w:pPr>
              <w:pStyle w:val="TableParagraph"/>
              <w:spacing w:before="97"/>
              <w:ind w:left="530" w:right="531"/>
              <w:rPr>
                <w:sz w:val="18"/>
              </w:rPr>
            </w:pPr>
            <w:r>
              <w:rPr>
                <w:sz w:val="18"/>
              </w:rPr>
              <w:t>$0.00</w:t>
            </w:r>
          </w:p>
        </w:tc>
        <w:tc>
          <w:tcPr>
            <w:tcW w:w="1599" w:type="dxa"/>
          </w:tcPr>
          <w:p>
            <w:pPr>
              <w:pStyle w:val="TableParagraph"/>
              <w:spacing w:before="97"/>
              <w:ind w:left="148" w:right="149"/>
              <w:rPr>
                <w:sz w:val="18"/>
              </w:rPr>
            </w:pPr>
            <w:r>
              <w:rPr>
                <w:sz w:val="18"/>
              </w:rPr>
              <w:t>$0.00</w:t>
            </w:r>
          </w:p>
        </w:tc>
        <w:tc>
          <w:tcPr>
            <w:tcW w:w="1644" w:type="dxa"/>
          </w:tcPr>
          <w:p>
            <w:pPr>
              <w:pStyle w:val="TableParagraph"/>
              <w:spacing w:before="97"/>
              <w:ind w:left="44" w:right="45"/>
              <w:rPr>
                <w:sz w:val="18"/>
              </w:rPr>
            </w:pPr>
            <w:r>
              <w:rPr>
                <w:sz w:val="18"/>
              </w:rPr>
              <w:t>$0.00</w:t>
            </w:r>
          </w:p>
        </w:tc>
        <w:tc>
          <w:tcPr>
            <w:tcW w:w="1800" w:type="dxa"/>
          </w:tcPr>
          <w:p>
            <w:pPr>
              <w:pStyle w:val="TableParagraph"/>
              <w:spacing w:before="97"/>
              <w:ind w:left="650" w:right="649"/>
              <w:rPr>
                <w:sz w:val="18"/>
              </w:rPr>
            </w:pPr>
            <w:r>
              <w:rPr>
                <w:sz w:val="18"/>
              </w:rPr>
              <w:t>$0.00</w:t>
            </w:r>
          </w:p>
        </w:tc>
        <w:tc>
          <w:tcPr>
            <w:tcW w:w="1702" w:type="dxa"/>
          </w:tcPr>
          <w:p>
            <w:pPr>
              <w:pStyle w:val="TableParagraph"/>
              <w:spacing w:before="97"/>
              <w:ind w:left="74" w:right="75"/>
              <w:rPr>
                <w:sz w:val="18"/>
              </w:rPr>
            </w:pPr>
            <w:r>
              <w:rPr>
                <w:sz w:val="18"/>
              </w:rPr>
              <w:t>$0.00</w:t>
            </w:r>
          </w:p>
        </w:tc>
        <w:tc>
          <w:tcPr>
            <w:tcW w:w="1808" w:type="dxa"/>
          </w:tcPr>
          <w:p>
            <w:pPr>
              <w:pStyle w:val="TableParagraph"/>
              <w:spacing w:before="97"/>
              <w:ind w:left="253" w:right="253"/>
              <w:rPr>
                <w:sz w:val="18"/>
              </w:rPr>
            </w:pPr>
            <w:r>
              <w:rPr>
                <w:sz w:val="18"/>
              </w:rPr>
              <w:t>$0.00</w:t>
            </w:r>
          </w:p>
        </w:tc>
        <w:tc>
          <w:tcPr>
            <w:tcW w:w="1877" w:type="dxa"/>
          </w:tcPr>
          <w:p>
            <w:pPr>
              <w:pStyle w:val="TableParagraph"/>
              <w:spacing w:before="97"/>
              <w:ind w:left="237" w:right="236"/>
              <w:rPr>
                <w:sz w:val="18"/>
              </w:rPr>
            </w:pPr>
            <w:r>
              <w:rPr>
                <w:sz w:val="18"/>
              </w:rPr>
              <w:t>$0.00</w:t>
            </w:r>
          </w:p>
        </w:tc>
      </w:tr>
      <w:tr>
        <w:trPr>
          <w:trHeight w:val="521" w:hRule="exact"/>
        </w:trPr>
        <w:tc>
          <w:tcPr>
            <w:tcW w:w="1541" w:type="dxa"/>
          </w:tcPr>
          <w:p>
            <w:pPr>
              <w:pStyle w:val="TableParagraph"/>
              <w:spacing w:before="95"/>
              <w:ind w:left="64"/>
              <w:jc w:val="left"/>
              <w:rPr>
                <w:b/>
                <w:sz w:val="18"/>
              </w:rPr>
            </w:pPr>
            <w:r>
              <w:rPr>
                <w:b/>
                <w:color w:val="333333"/>
                <w:sz w:val="18"/>
              </w:rPr>
              <w:t>AMECAMECA</w:t>
            </w:r>
          </w:p>
        </w:tc>
        <w:tc>
          <w:tcPr>
            <w:tcW w:w="1670" w:type="dxa"/>
          </w:tcPr>
          <w:p>
            <w:pPr>
              <w:pStyle w:val="TableParagraph"/>
              <w:spacing w:before="100"/>
              <w:ind w:left="134" w:right="133"/>
              <w:rPr>
                <w:sz w:val="18"/>
              </w:rPr>
            </w:pPr>
            <w:r>
              <w:rPr>
                <w:sz w:val="18"/>
              </w:rPr>
              <w:t>$0.00</w:t>
            </w:r>
          </w:p>
        </w:tc>
        <w:tc>
          <w:tcPr>
            <w:tcW w:w="1562" w:type="dxa"/>
          </w:tcPr>
          <w:p>
            <w:pPr>
              <w:pStyle w:val="TableParagraph"/>
              <w:spacing w:before="100"/>
              <w:ind w:left="530" w:right="531"/>
              <w:rPr>
                <w:sz w:val="18"/>
              </w:rPr>
            </w:pPr>
            <w:r>
              <w:rPr>
                <w:sz w:val="18"/>
              </w:rPr>
              <w:t>$0.00</w:t>
            </w:r>
          </w:p>
        </w:tc>
        <w:tc>
          <w:tcPr>
            <w:tcW w:w="1599" w:type="dxa"/>
          </w:tcPr>
          <w:p>
            <w:pPr>
              <w:pStyle w:val="TableParagraph"/>
              <w:spacing w:before="100"/>
              <w:ind w:left="148" w:right="149"/>
              <w:rPr>
                <w:sz w:val="18"/>
              </w:rPr>
            </w:pPr>
            <w:r>
              <w:rPr>
                <w:sz w:val="18"/>
              </w:rPr>
              <w:t>$0.00</w:t>
            </w:r>
          </w:p>
        </w:tc>
        <w:tc>
          <w:tcPr>
            <w:tcW w:w="1644" w:type="dxa"/>
          </w:tcPr>
          <w:p>
            <w:pPr>
              <w:pStyle w:val="TableParagraph"/>
              <w:spacing w:before="100"/>
              <w:ind w:left="44" w:right="45"/>
              <w:rPr>
                <w:sz w:val="18"/>
              </w:rPr>
            </w:pPr>
            <w:r>
              <w:rPr>
                <w:sz w:val="18"/>
              </w:rPr>
              <w:t>$0.00</w:t>
            </w:r>
          </w:p>
        </w:tc>
        <w:tc>
          <w:tcPr>
            <w:tcW w:w="1800" w:type="dxa"/>
          </w:tcPr>
          <w:p>
            <w:pPr>
              <w:pStyle w:val="TableParagraph"/>
              <w:spacing w:before="100"/>
              <w:ind w:left="650" w:right="649"/>
              <w:rPr>
                <w:sz w:val="18"/>
              </w:rPr>
            </w:pPr>
            <w:r>
              <w:rPr>
                <w:sz w:val="18"/>
              </w:rPr>
              <w:t>$0.00</w:t>
            </w:r>
          </w:p>
        </w:tc>
        <w:tc>
          <w:tcPr>
            <w:tcW w:w="1702" w:type="dxa"/>
          </w:tcPr>
          <w:p>
            <w:pPr>
              <w:pStyle w:val="TableParagraph"/>
              <w:spacing w:before="100"/>
              <w:ind w:left="74" w:right="75"/>
              <w:rPr>
                <w:sz w:val="18"/>
              </w:rPr>
            </w:pPr>
            <w:r>
              <w:rPr>
                <w:sz w:val="18"/>
              </w:rPr>
              <w:t>$0.00</w:t>
            </w:r>
          </w:p>
        </w:tc>
        <w:tc>
          <w:tcPr>
            <w:tcW w:w="1808" w:type="dxa"/>
          </w:tcPr>
          <w:p>
            <w:pPr>
              <w:pStyle w:val="TableParagraph"/>
              <w:spacing w:before="100"/>
              <w:ind w:left="253" w:right="253"/>
              <w:rPr>
                <w:sz w:val="18"/>
              </w:rPr>
            </w:pPr>
            <w:r>
              <w:rPr>
                <w:sz w:val="18"/>
              </w:rPr>
              <w:t>$0.00</w:t>
            </w:r>
          </w:p>
        </w:tc>
        <w:tc>
          <w:tcPr>
            <w:tcW w:w="1877" w:type="dxa"/>
          </w:tcPr>
          <w:p>
            <w:pPr>
              <w:pStyle w:val="TableParagraph"/>
              <w:spacing w:before="100"/>
              <w:ind w:left="237" w:right="236"/>
              <w:rPr>
                <w:sz w:val="18"/>
              </w:rPr>
            </w:pPr>
            <w:r>
              <w:rPr>
                <w:sz w:val="18"/>
              </w:rPr>
              <w:t>$0.00</w:t>
            </w:r>
          </w:p>
        </w:tc>
      </w:tr>
      <w:tr>
        <w:trPr>
          <w:trHeight w:val="521" w:hRule="exact"/>
        </w:trPr>
        <w:tc>
          <w:tcPr>
            <w:tcW w:w="1541" w:type="dxa"/>
          </w:tcPr>
          <w:p>
            <w:pPr>
              <w:pStyle w:val="TableParagraph"/>
              <w:spacing w:before="95"/>
              <w:ind w:left="64"/>
              <w:jc w:val="left"/>
              <w:rPr>
                <w:b/>
                <w:sz w:val="18"/>
              </w:rPr>
            </w:pPr>
            <w:r>
              <w:rPr>
                <w:b/>
                <w:color w:val="333333"/>
                <w:sz w:val="18"/>
              </w:rPr>
              <w:t>APAXCO</w:t>
            </w:r>
          </w:p>
        </w:tc>
        <w:tc>
          <w:tcPr>
            <w:tcW w:w="1670" w:type="dxa"/>
          </w:tcPr>
          <w:p>
            <w:pPr>
              <w:pStyle w:val="TableParagraph"/>
              <w:spacing w:before="100"/>
              <w:ind w:left="134" w:right="133"/>
              <w:rPr>
                <w:sz w:val="18"/>
              </w:rPr>
            </w:pPr>
            <w:r>
              <w:rPr>
                <w:sz w:val="18"/>
              </w:rPr>
              <w:t>$0.00</w:t>
            </w:r>
          </w:p>
        </w:tc>
        <w:tc>
          <w:tcPr>
            <w:tcW w:w="1562" w:type="dxa"/>
          </w:tcPr>
          <w:p>
            <w:pPr>
              <w:pStyle w:val="TableParagraph"/>
              <w:spacing w:before="100"/>
              <w:ind w:left="530" w:right="531"/>
              <w:rPr>
                <w:sz w:val="18"/>
              </w:rPr>
            </w:pPr>
            <w:r>
              <w:rPr>
                <w:sz w:val="18"/>
              </w:rPr>
              <w:t>$0.00</w:t>
            </w:r>
          </w:p>
        </w:tc>
        <w:tc>
          <w:tcPr>
            <w:tcW w:w="1599" w:type="dxa"/>
          </w:tcPr>
          <w:p>
            <w:pPr>
              <w:pStyle w:val="TableParagraph"/>
              <w:spacing w:before="100"/>
              <w:ind w:left="148" w:right="149"/>
              <w:rPr>
                <w:sz w:val="18"/>
              </w:rPr>
            </w:pPr>
            <w:r>
              <w:rPr>
                <w:sz w:val="18"/>
              </w:rPr>
              <w:t>$0.00</w:t>
            </w:r>
          </w:p>
        </w:tc>
        <w:tc>
          <w:tcPr>
            <w:tcW w:w="1644" w:type="dxa"/>
          </w:tcPr>
          <w:p>
            <w:pPr>
              <w:pStyle w:val="TableParagraph"/>
              <w:spacing w:before="100"/>
              <w:ind w:left="44" w:right="45"/>
              <w:rPr>
                <w:sz w:val="18"/>
              </w:rPr>
            </w:pPr>
            <w:r>
              <w:rPr>
                <w:sz w:val="18"/>
              </w:rPr>
              <w:t>$0.00</w:t>
            </w:r>
          </w:p>
        </w:tc>
        <w:tc>
          <w:tcPr>
            <w:tcW w:w="1800" w:type="dxa"/>
          </w:tcPr>
          <w:p>
            <w:pPr>
              <w:pStyle w:val="TableParagraph"/>
              <w:spacing w:before="100"/>
              <w:ind w:left="650" w:right="649"/>
              <w:rPr>
                <w:sz w:val="18"/>
              </w:rPr>
            </w:pPr>
            <w:r>
              <w:rPr>
                <w:sz w:val="18"/>
              </w:rPr>
              <w:t>$0.00</w:t>
            </w:r>
          </w:p>
        </w:tc>
        <w:tc>
          <w:tcPr>
            <w:tcW w:w="1702" w:type="dxa"/>
          </w:tcPr>
          <w:p>
            <w:pPr>
              <w:pStyle w:val="TableParagraph"/>
              <w:spacing w:before="100"/>
              <w:ind w:left="74" w:right="75"/>
              <w:rPr>
                <w:sz w:val="18"/>
              </w:rPr>
            </w:pPr>
            <w:r>
              <w:rPr>
                <w:sz w:val="18"/>
              </w:rPr>
              <w:t>$0.00</w:t>
            </w:r>
          </w:p>
        </w:tc>
        <w:tc>
          <w:tcPr>
            <w:tcW w:w="1808" w:type="dxa"/>
          </w:tcPr>
          <w:p>
            <w:pPr>
              <w:pStyle w:val="TableParagraph"/>
              <w:spacing w:before="100"/>
              <w:ind w:left="253" w:right="253"/>
              <w:rPr>
                <w:sz w:val="18"/>
              </w:rPr>
            </w:pPr>
            <w:r>
              <w:rPr>
                <w:sz w:val="18"/>
              </w:rPr>
              <w:t>$0.00</w:t>
            </w:r>
          </w:p>
        </w:tc>
        <w:tc>
          <w:tcPr>
            <w:tcW w:w="1877" w:type="dxa"/>
          </w:tcPr>
          <w:p>
            <w:pPr>
              <w:pStyle w:val="TableParagraph"/>
              <w:spacing w:before="100"/>
              <w:ind w:left="237" w:right="236"/>
              <w:rPr>
                <w:sz w:val="18"/>
              </w:rPr>
            </w:pPr>
            <w:r>
              <w:rPr>
                <w:sz w:val="18"/>
              </w:rPr>
              <w:t>$0.00</w:t>
            </w:r>
          </w:p>
        </w:tc>
      </w:tr>
      <w:tr>
        <w:trPr>
          <w:trHeight w:val="521" w:hRule="exact"/>
        </w:trPr>
        <w:tc>
          <w:tcPr>
            <w:tcW w:w="1541" w:type="dxa"/>
          </w:tcPr>
          <w:p>
            <w:pPr>
              <w:pStyle w:val="TableParagraph"/>
              <w:spacing w:before="92"/>
              <w:ind w:left="64"/>
              <w:jc w:val="left"/>
              <w:rPr>
                <w:b/>
                <w:sz w:val="18"/>
              </w:rPr>
            </w:pPr>
            <w:r>
              <w:rPr>
                <w:b/>
                <w:color w:val="333333"/>
                <w:sz w:val="18"/>
              </w:rPr>
              <w:t>ATENCO</w:t>
            </w:r>
          </w:p>
        </w:tc>
        <w:tc>
          <w:tcPr>
            <w:tcW w:w="1670" w:type="dxa"/>
          </w:tcPr>
          <w:p>
            <w:pPr>
              <w:pStyle w:val="TableParagraph"/>
              <w:spacing w:before="97"/>
              <w:ind w:left="134" w:right="133"/>
              <w:rPr>
                <w:sz w:val="18"/>
              </w:rPr>
            </w:pPr>
            <w:r>
              <w:rPr>
                <w:sz w:val="18"/>
              </w:rPr>
              <w:t>$0.00</w:t>
            </w:r>
          </w:p>
        </w:tc>
        <w:tc>
          <w:tcPr>
            <w:tcW w:w="1562" w:type="dxa"/>
          </w:tcPr>
          <w:p>
            <w:pPr>
              <w:pStyle w:val="TableParagraph"/>
              <w:spacing w:before="97"/>
              <w:ind w:left="530" w:right="531"/>
              <w:rPr>
                <w:sz w:val="18"/>
              </w:rPr>
            </w:pPr>
            <w:r>
              <w:rPr>
                <w:sz w:val="18"/>
              </w:rPr>
              <w:t>$0.00</w:t>
            </w:r>
          </w:p>
        </w:tc>
        <w:tc>
          <w:tcPr>
            <w:tcW w:w="1599" w:type="dxa"/>
          </w:tcPr>
          <w:p>
            <w:pPr>
              <w:pStyle w:val="TableParagraph"/>
              <w:spacing w:before="97"/>
              <w:ind w:left="148" w:right="149"/>
              <w:rPr>
                <w:sz w:val="18"/>
              </w:rPr>
            </w:pPr>
            <w:r>
              <w:rPr>
                <w:sz w:val="18"/>
              </w:rPr>
              <w:t>$0.00</w:t>
            </w:r>
          </w:p>
        </w:tc>
        <w:tc>
          <w:tcPr>
            <w:tcW w:w="1644" w:type="dxa"/>
          </w:tcPr>
          <w:p>
            <w:pPr>
              <w:pStyle w:val="TableParagraph"/>
              <w:spacing w:before="97"/>
              <w:ind w:left="44" w:right="45"/>
              <w:rPr>
                <w:sz w:val="18"/>
              </w:rPr>
            </w:pPr>
            <w:r>
              <w:rPr>
                <w:sz w:val="18"/>
              </w:rPr>
              <w:t>$0.00</w:t>
            </w:r>
          </w:p>
        </w:tc>
        <w:tc>
          <w:tcPr>
            <w:tcW w:w="1800" w:type="dxa"/>
          </w:tcPr>
          <w:p>
            <w:pPr>
              <w:pStyle w:val="TableParagraph"/>
              <w:spacing w:before="97"/>
              <w:ind w:left="650" w:right="649"/>
              <w:rPr>
                <w:sz w:val="18"/>
              </w:rPr>
            </w:pPr>
            <w:r>
              <w:rPr>
                <w:sz w:val="18"/>
              </w:rPr>
              <w:t>$0.00</w:t>
            </w:r>
          </w:p>
        </w:tc>
        <w:tc>
          <w:tcPr>
            <w:tcW w:w="1702" w:type="dxa"/>
          </w:tcPr>
          <w:p>
            <w:pPr>
              <w:pStyle w:val="TableParagraph"/>
              <w:spacing w:before="97"/>
              <w:ind w:left="74" w:right="75"/>
              <w:rPr>
                <w:sz w:val="18"/>
              </w:rPr>
            </w:pPr>
            <w:r>
              <w:rPr>
                <w:sz w:val="18"/>
              </w:rPr>
              <w:t>$0.00</w:t>
            </w:r>
          </w:p>
        </w:tc>
        <w:tc>
          <w:tcPr>
            <w:tcW w:w="1808" w:type="dxa"/>
          </w:tcPr>
          <w:p>
            <w:pPr>
              <w:pStyle w:val="TableParagraph"/>
              <w:spacing w:before="97"/>
              <w:ind w:left="253" w:right="253"/>
              <w:rPr>
                <w:sz w:val="18"/>
              </w:rPr>
            </w:pPr>
            <w:r>
              <w:rPr>
                <w:sz w:val="18"/>
              </w:rPr>
              <w:t>$0.00</w:t>
            </w:r>
          </w:p>
        </w:tc>
        <w:tc>
          <w:tcPr>
            <w:tcW w:w="1877" w:type="dxa"/>
          </w:tcPr>
          <w:p>
            <w:pPr>
              <w:pStyle w:val="TableParagraph"/>
              <w:spacing w:before="97"/>
              <w:ind w:left="237" w:right="236"/>
              <w:rPr>
                <w:sz w:val="18"/>
              </w:rPr>
            </w:pPr>
            <w:r>
              <w:rPr>
                <w:sz w:val="18"/>
              </w:rPr>
              <w:t>$0.00</w:t>
            </w:r>
          </w:p>
        </w:tc>
      </w:tr>
    </w:tbl>
    <w:p>
      <w:pPr>
        <w:spacing w:after="0"/>
        <w:rPr>
          <w:sz w:val="18"/>
        </w:rPr>
        <w:sectPr>
          <w:pgSz w:w="15840" w:h="12240" w:orient="landscape"/>
          <w:pgMar w:header="0" w:footer="975" w:top="1140" w:bottom="1160" w:left="200" w:right="200"/>
        </w:sectPr>
      </w:pPr>
    </w:p>
    <w:p>
      <w:pPr>
        <w:pStyle w:val="BodyText"/>
        <w:rPr>
          <w:rFonts w:ascii="Times New Roman"/>
          <w:sz w:val="20"/>
        </w:rPr>
      </w:pPr>
    </w:p>
    <w:p>
      <w:pPr>
        <w:pStyle w:val="BodyText"/>
        <w:spacing w:before="10"/>
        <w:rPr>
          <w:rFonts w:ascii="Times New Roman"/>
          <w:sz w:val="28"/>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1"/>
        <w:gridCol w:w="1642"/>
        <w:gridCol w:w="1505"/>
        <w:gridCol w:w="1493"/>
        <w:gridCol w:w="1663"/>
        <w:gridCol w:w="1702"/>
        <w:gridCol w:w="1841"/>
        <w:gridCol w:w="1702"/>
        <w:gridCol w:w="1702"/>
      </w:tblGrid>
      <w:tr>
        <w:trPr>
          <w:trHeight w:val="520" w:hRule="exact"/>
        </w:trPr>
        <w:tc>
          <w:tcPr>
            <w:tcW w:w="14800" w:type="dxa"/>
            <w:gridSpan w:val="9"/>
            <w:shd w:val="clear" w:color="auto" w:fill="C5DFB3"/>
          </w:tcPr>
          <w:p>
            <w:pPr>
              <w:pStyle w:val="TableParagraph"/>
              <w:spacing w:before="92"/>
              <w:ind w:left="3742"/>
              <w:jc w:val="left"/>
              <w:rPr>
                <w:b/>
                <w:sz w:val="18"/>
              </w:rPr>
            </w:pPr>
            <w:r>
              <w:rPr>
                <w:b/>
                <w:sz w:val="18"/>
              </w:rPr>
              <w:t>Anexo 24D. Municipios que publican apartado presupuesto 2014-2015 (Continuación)</w:t>
            </w:r>
          </w:p>
        </w:tc>
      </w:tr>
      <w:tr>
        <w:trPr>
          <w:trHeight w:val="337" w:hRule="exact"/>
        </w:trPr>
        <w:tc>
          <w:tcPr>
            <w:tcW w:w="1551" w:type="dxa"/>
            <w:vMerge w:val="restart"/>
            <w:shd w:val="clear" w:color="auto" w:fill="C5DFB3"/>
          </w:tcPr>
          <w:p>
            <w:pPr>
              <w:pStyle w:val="TableParagraph"/>
              <w:jc w:val="left"/>
              <w:rPr>
                <w:rFonts w:ascii="Times New Roman"/>
                <w:sz w:val="18"/>
              </w:rPr>
            </w:pPr>
          </w:p>
          <w:p>
            <w:pPr>
              <w:pStyle w:val="TableParagraph"/>
              <w:jc w:val="left"/>
              <w:rPr>
                <w:rFonts w:ascii="Times New Roman"/>
                <w:sz w:val="25"/>
              </w:rPr>
            </w:pPr>
          </w:p>
          <w:p>
            <w:pPr>
              <w:pStyle w:val="TableParagraph"/>
              <w:ind w:left="350" w:right="65"/>
              <w:jc w:val="left"/>
              <w:rPr>
                <w:b/>
                <w:sz w:val="18"/>
              </w:rPr>
            </w:pPr>
            <w:r>
              <w:rPr>
                <w:b/>
                <w:sz w:val="18"/>
              </w:rPr>
              <w:t>Municipio</w:t>
            </w:r>
          </w:p>
        </w:tc>
        <w:tc>
          <w:tcPr>
            <w:tcW w:w="6303" w:type="dxa"/>
            <w:gridSpan w:val="4"/>
            <w:shd w:val="clear" w:color="auto" w:fill="C5DFB3"/>
          </w:tcPr>
          <w:p>
            <w:pPr>
              <w:pStyle w:val="TableParagraph"/>
              <w:spacing w:before="2"/>
              <w:ind w:left="2926" w:right="2926"/>
              <w:rPr>
                <w:b/>
                <w:sz w:val="18"/>
              </w:rPr>
            </w:pPr>
            <w:r>
              <w:rPr>
                <w:b/>
                <w:sz w:val="18"/>
              </w:rPr>
              <w:t>2014</w:t>
            </w:r>
          </w:p>
        </w:tc>
        <w:tc>
          <w:tcPr>
            <w:tcW w:w="6947" w:type="dxa"/>
            <w:gridSpan w:val="4"/>
            <w:shd w:val="clear" w:color="auto" w:fill="C5DFB3"/>
          </w:tcPr>
          <w:p>
            <w:pPr>
              <w:pStyle w:val="TableParagraph"/>
              <w:spacing w:before="2"/>
              <w:ind w:left="3248" w:right="3248"/>
              <w:rPr>
                <w:b/>
                <w:sz w:val="18"/>
              </w:rPr>
            </w:pPr>
            <w:r>
              <w:rPr>
                <w:b/>
                <w:sz w:val="18"/>
              </w:rPr>
              <w:t>2015</w:t>
            </w:r>
          </w:p>
        </w:tc>
      </w:tr>
      <w:tr>
        <w:trPr>
          <w:trHeight w:val="982" w:hRule="exact"/>
        </w:trPr>
        <w:tc>
          <w:tcPr>
            <w:tcW w:w="1551" w:type="dxa"/>
            <w:vMerge/>
            <w:shd w:val="clear" w:color="auto" w:fill="C5DFB3"/>
          </w:tcPr>
          <w:p>
            <w:pPr/>
          </w:p>
        </w:tc>
        <w:tc>
          <w:tcPr>
            <w:tcW w:w="164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
              <w:jc w:val="left"/>
              <w:rPr>
                <w:rFonts w:ascii="Times New Roman"/>
                <w:sz w:val="21"/>
              </w:rPr>
            </w:pPr>
          </w:p>
          <w:p>
            <w:pPr>
              <w:pStyle w:val="TableParagraph"/>
              <w:ind w:left="14" w:right="-2"/>
              <w:jc w:val="left"/>
              <w:rPr>
                <w:b/>
                <w:sz w:val="18"/>
              </w:rPr>
            </w:pPr>
            <w:r>
              <w:rPr>
                <w:b/>
                <w:w w:val="100"/>
                <w:sz w:val="18"/>
              </w:rPr>
              <w:t>Autoriz</w:t>
            </w:r>
            <w:r>
              <w:rPr>
                <w:b/>
                <w:w w:val="99"/>
                <w:sz w:val="18"/>
              </w:rPr>
              <w:t>a</w:t>
            </w:r>
            <w:r>
              <w:rPr>
                <w:b/>
                <w:w w:val="100"/>
                <w:sz w:val="18"/>
              </w:rPr>
              <w:t>do</w:t>
            </w:r>
          </w:p>
        </w:tc>
        <w:tc>
          <w:tcPr>
            <w:tcW w:w="1505"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5"/>
              </w:rPr>
            </w:pPr>
          </w:p>
          <w:p>
            <w:pPr>
              <w:pStyle w:val="TableParagraph"/>
              <w:ind w:left="9" w:right="-7"/>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493"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7"/>
              <w:jc w:val="left"/>
              <w:rPr>
                <w:rFonts w:ascii="Times New Roman"/>
                <w:sz w:val="14"/>
              </w:rPr>
            </w:pPr>
          </w:p>
          <w:p>
            <w:pPr>
              <w:pStyle w:val="TableParagraph"/>
              <w:ind w:left="129" w:right="-2"/>
              <w:jc w:val="left"/>
              <w:rPr>
                <w:b/>
                <w:sz w:val="18"/>
              </w:rPr>
            </w:pPr>
            <w:r>
              <w:rPr>
                <w:b/>
                <w:w w:val="100"/>
                <w:sz w:val="18"/>
              </w:rPr>
              <w:t>Eje</w:t>
            </w:r>
            <w:r>
              <w:rPr>
                <w:b/>
                <w:w w:val="99"/>
                <w:sz w:val="18"/>
              </w:rPr>
              <w:t>rci</w:t>
            </w:r>
            <w:r>
              <w:rPr>
                <w:b/>
                <w:w w:val="100"/>
                <w:sz w:val="18"/>
              </w:rPr>
              <w:t>do</w:t>
            </w:r>
          </w:p>
        </w:tc>
        <w:tc>
          <w:tcPr>
            <w:tcW w:w="1663"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1"/>
              </w:rPr>
            </w:pPr>
          </w:p>
          <w:p>
            <w:pPr>
              <w:pStyle w:val="TableParagraph"/>
              <w:spacing w:before="1"/>
              <w:ind w:left="14" w:right="-3"/>
              <w:jc w:val="left"/>
              <w:rPr>
                <w:b/>
                <w:sz w:val="18"/>
              </w:rPr>
            </w:pPr>
            <w:r>
              <w:rPr>
                <w:b/>
                <w:sz w:val="18"/>
              </w:rPr>
              <w:t>Por </w:t>
            </w:r>
            <w:r>
              <w:rPr>
                <w:b/>
                <w:w w:val="99"/>
                <w:sz w:val="18"/>
              </w:rPr>
              <w:t>e</w:t>
            </w:r>
            <w:r>
              <w:rPr>
                <w:b/>
                <w:w w:val="100"/>
                <w:sz w:val="18"/>
              </w:rPr>
              <w:t>je</w:t>
            </w:r>
            <w:r>
              <w:rPr>
                <w:b/>
                <w:w w:val="99"/>
                <w:sz w:val="18"/>
              </w:rPr>
              <w:t>rcer</w:t>
            </w:r>
          </w:p>
        </w:tc>
        <w:tc>
          <w:tcPr>
            <w:tcW w:w="170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7"/>
              <w:jc w:val="left"/>
              <w:rPr>
                <w:rFonts w:ascii="Times New Roman"/>
                <w:sz w:val="23"/>
              </w:rPr>
            </w:pPr>
          </w:p>
          <w:p>
            <w:pPr>
              <w:pStyle w:val="TableParagraph"/>
              <w:ind w:left="14" w:right="-2"/>
              <w:jc w:val="left"/>
              <w:rPr>
                <w:b/>
                <w:sz w:val="18"/>
              </w:rPr>
            </w:pPr>
            <w:r>
              <w:rPr>
                <w:b/>
                <w:w w:val="100"/>
                <w:sz w:val="18"/>
              </w:rPr>
              <w:t>Autoriz</w:t>
            </w:r>
            <w:r>
              <w:rPr>
                <w:b/>
                <w:w w:val="99"/>
                <w:sz w:val="18"/>
              </w:rPr>
              <w:t>a</w:t>
            </w:r>
            <w:r>
              <w:rPr>
                <w:b/>
                <w:w w:val="100"/>
                <w:sz w:val="18"/>
              </w:rPr>
              <w:t>do</w:t>
            </w:r>
          </w:p>
        </w:tc>
        <w:tc>
          <w:tcPr>
            <w:tcW w:w="1841"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134"/>
              <w:ind w:left="9" w:right="-7"/>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70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7"/>
              <w:jc w:val="left"/>
              <w:rPr>
                <w:rFonts w:ascii="Times New Roman"/>
                <w:sz w:val="23"/>
              </w:rPr>
            </w:pPr>
          </w:p>
          <w:p>
            <w:pPr>
              <w:pStyle w:val="TableParagraph"/>
              <w:ind w:left="129" w:right="-2"/>
              <w:jc w:val="left"/>
              <w:rPr>
                <w:b/>
                <w:sz w:val="18"/>
              </w:rPr>
            </w:pPr>
            <w:r>
              <w:rPr>
                <w:b/>
                <w:w w:val="100"/>
                <w:sz w:val="18"/>
              </w:rPr>
              <w:t>Eje</w:t>
            </w:r>
            <w:r>
              <w:rPr>
                <w:b/>
                <w:w w:val="99"/>
                <w:sz w:val="18"/>
              </w:rPr>
              <w:t>rci</w:t>
            </w:r>
            <w:r>
              <w:rPr>
                <w:b/>
                <w:w w:val="100"/>
                <w:sz w:val="18"/>
              </w:rPr>
              <w:t>do</w:t>
            </w:r>
          </w:p>
        </w:tc>
        <w:tc>
          <w:tcPr>
            <w:tcW w:w="170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7"/>
              <w:jc w:val="left"/>
              <w:rPr>
                <w:rFonts w:ascii="Times New Roman"/>
                <w:sz w:val="23"/>
              </w:rPr>
            </w:pPr>
          </w:p>
          <w:p>
            <w:pPr>
              <w:pStyle w:val="TableParagraph"/>
              <w:ind w:left="14" w:right="-3"/>
              <w:jc w:val="left"/>
              <w:rPr>
                <w:b/>
                <w:sz w:val="18"/>
              </w:rPr>
            </w:pPr>
            <w:r>
              <w:rPr>
                <w:b/>
                <w:sz w:val="18"/>
              </w:rPr>
              <w:t>Por </w:t>
            </w:r>
            <w:r>
              <w:rPr>
                <w:b/>
                <w:w w:val="99"/>
                <w:sz w:val="18"/>
              </w:rPr>
              <w:t>e</w:t>
            </w:r>
            <w:r>
              <w:rPr>
                <w:b/>
                <w:w w:val="100"/>
                <w:sz w:val="18"/>
              </w:rPr>
              <w:t>je</w:t>
            </w:r>
            <w:r>
              <w:rPr>
                <w:b/>
                <w:w w:val="99"/>
                <w:sz w:val="18"/>
              </w:rPr>
              <w:t>rcer</w:t>
            </w:r>
          </w:p>
        </w:tc>
      </w:tr>
      <w:tr>
        <w:trPr>
          <w:trHeight w:val="521" w:hRule="exact"/>
        </w:trPr>
        <w:tc>
          <w:tcPr>
            <w:tcW w:w="1551" w:type="dxa"/>
          </w:tcPr>
          <w:p>
            <w:pPr>
              <w:pStyle w:val="TableParagraph"/>
              <w:spacing w:before="95"/>
              <w:ind w:left="64" w:right="65"/>
              <w:jc w:val="left"/>
              <w:rPr>
                <w:b/>
                <w:sz w:val="18"/>
              </w:rPr>
            </w:pPr>
            <w:r>
              <w:rPr>
                <w:b/>
                <w:color w:val="333333"/>
                <w:sz w:val="18"/>
              </w:rPr>
              <w:t>ATIZAPAN</w:t>
            </w:r>
          </w:p>
        </w:tc>
        <w:tc>
          <w:tcPr>
            <w:tcW w:w="1642" w:type="dxa"/>
          </w:tcPr>
          <w:p>
            <w:pPr>
              <w:pStyle w:val="TableParagraph"/>
              <w:spacing w:before="100"/>
              <w:ind w:left="45" w:right="44"/>
              <w:rPr>
                <w:sz w:val="18"/>
              </w:rPr>
            </w:pPr>
            <w:r>
              <w:rPr>
                <w:sz w:val="18"/>
              </w:rPr>
              <w:t>$0.00</w:t>
            </w:r>
          </w:p>
        </w:tc>
        <w:tc>
          <w:tcPr>
            <w:tcW w:w="1505" w:type="dxa"/>
          </w:tcPr>
          <w:p>
            <w:pPr>
              <w:pStyle w:val="TableParagraph"/>
              <w:spacing w:before="100"/>
              <w:ind w:left="101" w:right="102"/>
              <w:rPr>
                <w:sz w:val="18"/>
              </w:rPr>
            </w:pPr>
            <w:r>
              <w:rPr>
                <w:sz w:val="18"/>
              </w:rPr>
              <w:t>$0.00</w:t>
            </w:r>
          </w:p>
        </w:tc>
        <w:tc>
          <w:tcPr>
            <w:tcW w:w="1493" w:type="dxa"/>
          </w:tcPr>
          <w:p>
            <w:pPr>
              <w:pStyle w:val="TableParagraph"/>
              <w:spacing w:before="100"/>
              <w:ind w:left="44" w:right="45"/>
              <w:rPr>
                <w:sz w:val="18"/>
              </w:rPr>
            </w:pPr>
            <w:r>
              <w:rPr>
                <w:sz w:val="18"/>
              </w:rPr>
              <w:t>$0.00</w:t>
            </w:r>
          </w:p>
        </w:tc>
        <w:tc>
          <w:tcPr>
            <w:tcW w:w="1663" w:type="dxa"/>
          </w:tcPr>
          <w:p>
            <w:pPr>
              <w:pStyle w:val="TableParagraph"/>
              <w:spacing w:before="100"/>
              <w:ind w:left="55" w:right="56"/>
              <w:rPr>
                <w:sz w:val="18"/>
              </w:rPr>
            </w:pPr>
            <w:r>
              <w:rPr>
                <w:sz w:val="18"/>
              </w:rPr>
              <w:t>$0.00</w:t>
            </w:r>
          </w:p>
        </w:tc>
        <w:tc>
          <w:tcPr>
            <w:tcW w:w="1702" w:type="dxa"/>
          </w:tcPr>
          <w:p>
            <w:pPr>
              <w:pStyle w:val="TableParagraph"/>
              <w:spacing w:before="100"/>
              <w:ind w:left="75" w:right="75"/>
              <w:rPr>
                <w:sz w:val="18"/>
              </w:rPr>
            </w:pPr>
            <w:r>
              <w:rPr>
                <w:sz w:val="18"/>
              </w:rPr>
              <w:t>$0.00</w:t>
            </w:r>
          </w:p>
        </w:tc>
        <w:tc>
          <w:tcPr>
            <w:tcW w:w="1841" w:type="dxa"/>
          </w:tcPr>
          <w:p>
            <w:pPr>
              <w:pStyle w:val="TableParagraph"/>
              <w:spacing w:before="100"/>
              <w:ind w:left="144" w:right="145"/>
              <w:rPr>
                <w:sz w:val="18"/>
              </w:rPr>
            </w:pPr>
            <w:r>
              <w:rPr>
                <w:sz w:val="18"/>
              </w:rPr>
              <w:t>$0.00</w:t>
            </w:r>
          </w:p>
        </w:tc>
        <w:tc>
          <w:tcPr>
            <w:tcW w:w="1702" w:type="dxa"/>
          </w:tcPr>
          <w:p>
            <w:pPr>
              <w:pStyle w:val="TableParagraph"/>
              <w:spacing w:before="100"/>
              <w:ind w:left="76" w:right="72"/>
              <w:rPr>
                <w:sz w:val="18"/>
              </w:rPr>
            </w:pPr>
            <w:r>
              <w:rPr>
                <w:sz w:val="18"/>
              </w:rPr>
              <w:t>$0.00</w:t>
            </w:r>
          </w:p>
        </w:tc>
        <w:tc>
          <w:tcPr>
            <w:tcW w:w="1702" w:type="dxa"/>
          </w:tcPr>
          <w:p>
            <w:pPr>
              <w:pStyle w:val="TableParagraph"/>
              <w:spacing w:before="100"/>
              <w:ind w:left="74" w:right="75"/>
              <w:rPr>
                <w:sz w:val="18"/>
              </w:rPr>
            </w:pPr>
            <w:r>
              <w:rPr>
                <w:sz w:val="18"/>
              </w:rPr>
              <w:t>$0.00</w:t>
            </w:r>
          </w:p>
        </w:tc>
      </w:tr>
      <w:tr>
        <w:trPr>
          <w:trHeight w:val="631" w:hRule="exact"/>
        </w:trPr>
        <w:tc>
          <w:tcPr>
            <w:tcW w:w="1551" w:type="dxa"/>
          </w:tcPr>
          <w:p>
            <w:pPr>
              <w:pStyle w:val="TableParagraph"/>
              <w:tabs>
                <w:tab w:pos="1223" w:val="left" w:leader="none"/>
              </w:tabs>
              <w:spacing w:line="360" w:lineRule="auto"/>
              <w:ind w:left="64" w:right="65"/>
              <w:jc w:val="left"/>
              <w:rPr>
                <w:b/>
                <w:sz w:val="18"/>
              </w:rPr>
            </w:pPr>
            <w:r>
              <w:rPr>
                <w:b/>
                <w:color w:val="333333"/>
                <w:sz w:val="18"/>
              </w:rPr>
              <w:t>ATIZAPAN</w:t>
              <w:tab/>
              <w:t>DE ZARAGOZA</w:t>
            </w:r>
          </w:p>
        </w:tc>
        <w:tc>
          <w:tcPr>
            <w:tcW w:w="1642" w:type="dxa"/>
          </w:tcPr>
          <w:p>
            <w:pPr>
              <w:pStyle w:val="TableParagraph"/>
              <w:spacing w:before="155"/>
              <w:ind w:left="45" w:right="45"/>
              <w:rPr>
                <w:sz w:val="18"/>
              </w:rPr>
            </w:pPr>
            <w:r>
              <w:rPr>
                <w:sz w:val="18"/>
              </w:rPr>
              <w:t>$3,288,004,543.00</w:t>
            </w:r>
          </w:p>
        </w:tc>
        <w:tc>
          <w:tcPr>
            <w:tcW w:w="1505" w:type="dxa"/>
          </w:tcPr>
          <w:p>
            <w:pPr>
              <w:pStyle w:val="TableParagraph"/>
              <w:spacing w:before="155"/>
              <w:ind w:left="102" w:right="102"/>
              <w:rPr>
                <w:sz w:val="18"/>
              </w:rPr>
            </w:pPr>
            <w:r>
              <w:rPr>
                <w:sz w:val="18"/>
              </w:rPr>
              <w:t>$50,012,275.39</w:t>
            </w:r>
          </w:p>
        </w:tc>
        <w:tc>
          <w:tcPr>
            <w:tcW w:w="1493" w:type="dxa"/>
          </w:tcPr>
          <w:p>
            <w:pPr>
              <w:pStyle w:val="TableParagraph"/>
              <w:spacing w:before="155"/>
              <w:ind w:left="44" w:right="45"/>
              <w:rPr>
                <w:sz w:val="18"/>
              </w:rPr>
            </w:pPr>
            <w:r>
              <w:rPr>
                <w:sz w:val="18"/>
              </w:rPr>
              <w:t>$693,256,828.62</w:t>
            </w:r>
          </w:p>
        </w:tc>
        <w:tc>
          <w:tcPr>
            <w:tcW w:w="1663" w:type="dxa"/>
          </w:tcPr>
          <w:p>
            <w:pPr>
              <w:pStyle w:val="TableParagraph"/>
              <w:spacing w:before="155"/>
              <w:ind w:left="56" w:right="56"/>
              <w:rPr>
                <w:sz w:val="18"/>
              </w:rPr>
            </w:pPr>
            <w:r>
              <w:rPr>
                <w:sz w:val="18"/>
              </w:rPr>
              <w:t>$2,544,735,438.99</w:t>
            </w:r>
          </w:p>
        </w:tc>
        <w:tc>
          <w:tcPr>
            <w:tcW w:w="1702" w:type="dxa"/>
          </w:tcPr>
          <w:p>
            <w:pPr>
              <w:pStyle w:val="TableParagraph"/>
              <w:spacing w:before="155"/>
              <w:ind w:left="75" w:right="75"/>
              <w:rPr>
                <w:sz w:val="18"/>
              </w:rPr>
            </w:pPr>
            <w:r>
              <w:rPr>
                <w:sz w:val="18"/>
              </w:rPr>
              <w:t>$3,383,962,654.00</w:t>
            </w:r>
          </w:p>
        </w:tc>
        <w:tc>
          <w:tcPr>
            <w:tcW w:w="1841" w:type="dxa"/>
          </w:tcPr>
          <w:p>
            <w:pPr>
              <w:pStyle w:val="TableParagraph"/>
              <w:spacing w:before="155"/>
              <w:ind w:left="144" w:right="145"/>
              <w:rPr>
                <w:sz w:val="18"/>
              </w:rPr>
            </w:pPr>
            <w:r>
              <w:rPr>
                <w:sz w:val="18"/>
              </w:rPr>
              <w:t>$0.00</w:t>
            </w:r>
          </w:p>
        </w:tc>
        <w:tc>
          <w:tcPr>
            <w:tcW w:w="1702" w:type="dxa"/>
          </w:tcPr>
          <w:p>
            <w:pPr>
              <w:pStyle w:val="TableParagraph"/>
              <w:spacing w:before="155"/>
              <w:ind w:left="76" w:right="72"/>
              <w:rPr>
                <w:sz w:val="18"/>
              </w:rPr>
            </w:pPr>
            <w:r>
              <w:rPr>
                <w:sz w:val="18"/>
              </w:rPr>
              <w:t>$0.00</w:t>
            </w:r>
          </w:p>
        </w:tc>
        <w:tc>
          <w:tcPr>
            <w:tcW w:w="1702" w:type="dxa"/>
          </w:tcPr>
          <w:p>
            <w:pPr>
              <w:pStyle w:val="TableParagraph"/>
              <w:spacing w:before="155"/>
              <w:ind w:left="75" w:right="75"/>
              <w:rPr>
                <w:sz w:val="18"/>
              </w:rPr>
            </w:pPr>
            <w:r>
              <w:rPr>
                <w:sz w:val="18"/>
              </w:rPr>
              <w:t>$3,383,962,654.00</w:t>
            </w:r>
          </w:p>
        </w:tc>
      </w:tr>
      <w:tr>
        <w:trPr>
          <w:trHeight w:val="518" w:hRule="exact"/>
        </w:trPr>
        <w:tc>
          <w:tcPr>
            <w:tcW w:w="1551" w:type="dxa"/>
          </w:tcPr>
          <w:p>
            <w:pPr>
              <w:pStyle w:val="TableParagraph"/>
              <w:spacing w:before="92"/>
              <w:ind w:left="64"/>
              <w:jc w:val="left"/>
              <w:rPr>
                <w:b/>
                <w:sz w:val="18"/>
              </w:rPr>
            </w:pPr>
            <w:r>
              <w:rPr>
                <w:b/>
                <w:color w:val="333333"/>
                <w:sz w:val="18"/>
              </w:rPr>
              <w:t>ATLACOMULCO</w:t>
            </w:r>
          </w:p>
        </w:tc>
        <w:tc>
          <w:tcPr>
            <w:tcW w:w="1642" w:type="dxa"/>
          </w:tcPr>
          <w:p>
            <w:pPr>
              <w:pStyle w:val="TableParagraph"/>
              <w:spacing w:before="97"/>
              <w:ind w:left="45" w:right="45"/>
              <w:rPr>
                <w:sz w:val="18"/>
              </w:rPr>
            </w:pPr>
            <w:r>
              <w:rPr>
                <w:sz w:val="18"/>
              </w:rPr>
              <w:t>$383,036,229.12</w:t>
            </w:r>
          </w:p>
        </w:tc>
        <w:tc>
          <w:tcPr>
            <w:tcW w:w="1505" w:type="dxa"/>
          </w:tcPr>
          <w:p>
            <w:pPr>
              <w:pStyle w:val="TableParagraph"/>
              <w:spacing w:before="97"/>
              <w:ind w:left="101" w:right="102"/>
              <w:rPr>
                <w:sz w:val="18"/>
              </w:rPr>
            </w:pPr>
            <w:r>
              <w:rPr>
                <w:sz w:val="18"/>
              </w:rPr>
              <w:t>$0.00</w:t>
            </w:r>
          </w:p>
        </w:tc>
        <w:tc>
          <w:tcPr>
            <w:tcW w:w="1493" w:type="dxa"/>
          </w:tcPr>
          <w:p>
            <w:pPr>
              <w:pStyle w:val="TableParagraph"/>
              <w:spacing w:before="97"/>
              <w:ind w:left="44" w:right="45"/>
              <w:rPr>
                <w:sz w:val="18"/>
              </w:rPr>
            </w:pPr>
            <w:r>
              <w:rPr>
                <w:sz w:val="18"/>
              </w:rPr>
              <w:t>$0.00</w:t>
            </w:r>
          </w:p>
        </w:tc>
        <w:tc>
          <w:tcPr>
            <w:tcW w:w="1663" w:type="dxa"/>
          </w:tcPr>
          <w:p>
            <w:pPr>
              <w:pStyle w:val="TableParagraph"/>
              <w:spacing w:before="97"/>
              <w:ind w:left="56" w:right="56"/>
              <w:rPr>
                <w:sz w:val="18"/>
              </w:rPr>
            </w:pPr>
            <w:r>
              <w:rPr>
                <w:sz w:val="18"/>
              </w:rPr>
              <w:t>$383,036,229.12</w:t>
            </w:r>
          </w:p>
        </w:tc>
        <w:tc>
          <w:tcPr>
            <w:tcW w:w="1702" w:type="dxa"/>
          </w:tcPr>
          <w:p>
            <w:pPr>
              <w:pStyle w:val="TableParagraph"/>
              <w:spacing w:before="97"/>
              <w:ind w:left="72" w:right="75"/>
              <w:rPr>
                <w:sz w:val="18"/>
              </w:rPr>
            </w:pPr>
            <w:r>
              <w:rPr>
                <w:sz w:val="18"/>
              </w:rPr>
              <w:t>$464,398,399.71</w:t>
            </w:r>
          </w:p>
        </w:tc>
        <w:tc>
          <w:tcPr>
            <w:tcW w:w="1841" w:type="dxa"/>
          </w:tcPr>
          <w:p>
            <w:pPr>
              <w:pStyle w:val="TableParagraph"/>
              <w:spacing w:before="97"/>
              <w:ind w:left="144" w:right="145"/>
              <w:rPr>
                <w:sz w:val="18"/>
              </w:rPr>
            </w:pPr>
            <w:r>
              <w:rPr>
                <w:sz w:val="18"/>
              </w:rPr>
              <w:t>$0.00</w:t>
            </w:r>
          </w:p>
        </w:tc>
        <w:tc>
          <w:tcPr>
            <w:tcW w:w="1702" w:type="dxa"/>
          </w:tcPr>
          <w:p>
            <w:pPr>
              <w:pStyle w:val="TableParagraph"/>
              <w:spacing w:before="97"/>
              <w:ind w:left="76" w:right="72"/>
              <w:rPr>
                <w:sz w:val="18"/>
              </w:rPr>
            </w:pPr>
            <w:r>
              <w:rPr>
                <w:sz w:val="18"/>
              </w:rPr>
              <w:t>$0.00</w:t>
            </w:r>
          </w:p>
        </w:tc>
        <w:tc>
          <w:tcPr>
            <w:tcW w:w="1702" w:type="dxa"/>
          </w:tcPr>
          <w:p>
            <w:pPr>
              <w:pStyle w:val="TableParagraph"/>
              <w:spacing w:before="97"/>
              <w:ind w:left="73" w:right="75"/>
              <w:rPr>
                <w:sz w:val="18"/>
              </w:rPr>
            </w:pPr>
            <w:r>
              <w:rPr>
                <w:sz w:val="18"/>
              </w:rPr>
              <w:t>$464,398,399.71</w:t>
            </w:r>
          </w:p>
        </w:tc>
      </w:tr>
      <w:tr>
        <w:trPr>
          <w:trHeight w:val="521" w:hRule="exact"/>
        </w:trPr>
        <w:tc>
          <w:tcPr>
            <w:tcW w:w="1551" w:type="dxa"/>
          </w:tcPr>
          <w:p>
            <w:pPr>
              <w:pStyle w:val="TableParagraph"/>
              <w:spacing w:before="95"/>
              <w:ind w:left="64" w:right="65"/>
              <w:jc w:val="left"/>
              <w:rPr>
                <w:b/>
                <w:sz w:val="18"/>
              </w:rPr>
            </w:pPr>
            <w:r>
              <w:rPr>
                <w:b/>
                <w:color w:val="333333"/>
                <w:sz w:val="18"/>
              </w:rPr>
              <w:t>ATLAUTLA</w:t>
            </w:r>
          </w:p>
        </w:tc>
        <w:tc>
          <w:tcPr>
            <w:tcW w:w="1642" w:type="dxa"/>
          </w:tcPr>
          <w:p>
            <w:pPr>
              <w:pStyle w:val="TableParagraph"/>
              <w:spacing w:before="100"/>
              <w:ind w:left="45" w:right="44"/>
              <w:rPr>
                <w:sz w:val="18"/>
              </w:rPr>
            </w:pPr>
            <w:r>
              <w:rPr>
                <w:sz w:val="18"/>
              </w:rPr>
              <w:t>$0.00</w:t>
            </w:r>
          </w:p>
        </w:tc>
        <w:tc>
          <w:tcPr>
            <w:tcW w:w="1505" w:type="dxa"/>
          </w:tcPr>
          <w:p>
            <w:pPr>
              <w:pStyle w:val="TableParagraph"/>
              <w:spacing w:before="100"/>
              <w:ind w:left="101" w:right="102"/>
              <w:rPr>
                <w:sz w:val="18"/>
              </w:rPr>
            </w:pPr>
            <w:r>
              <w:rPr>
                <w:sz w:val="18"/>
              </w:rPr>
              <w:t>$0.00</w:t>
            </w:r>
          </w:p>
        </w:tc>
        <w:tc>
          <w:tcPr>
            <w:tcW w:w="1493" w:type="dxa"/>
          </w:tcPr>
          <w:p>
            <w:pPr>
              <w:pStyle w:val="TableParagraph"/>
              <w:spacing w:before="100"/>
              <w:ind w:left="44" w:right="45"/>
              <w:rPr>
                <w:sz w:val="18"/>
              </w:rPr>
            </w:pPr>
            <w:r>
              <w:rPr>
                <w:sz w:val="18"/>
              </w:rPr>
              <w:t>$0.00</w:t>
            </w:r>
          </w:p>
        </w:tc>
        <w:tc>
          <w:tcPr>
            <w:tcW w:w="1663" w:type="dxa"/>
          </w:tcPr>
          <w:p>
            <w:pPr>
              <w:pStyle w:val="TableParagraph"/>
              <w:spacing w:before="100"/>
              <w:ind w:left="55" w:right="56"/>
              <w:rPr>
                <w:sz w:val="18"/>
              </w:rPr>
            </w:pPr>
            <w:r>
              <w:rPr>
                <w:sz w:val="18"/>
              </w:rPr>
              <w:t>$0.00</w:t>
            </w:r>
          </w:p>
        </w:tc>
        <w:tc>
          <w:tcPr>
            <w:tcW w:w="1702" w:type="dxa"/>
          </w:tcPr>
          <w:p>
            <w:pPr>
              <w:pStyle w:val="TableParagraph"/>
              <w:spacing w:before="100"/>
              <w:ind w:left="75" w:right="75"/>
              <w:rPr>
                <w:sz w:val="18"/>
              </w:rPr>
            </w:pPr>
            <w:r>
              <w:rPr>
                <w:sz w:val="18"/>
              </w:rPr>
              <w:t>$0.00</w:t>
            </w:r>
          </w:p>
        </w:tc>
        <w:tc>
          <w:tcPr>
            <w:tcW w:w="1841" w:type="dxa"/>
          </w:tcPr>
          <w:p>
            <w:pPr>
              <w:pStyle w:val="TableParagraph"/>
              <w:spacing w:before="100"/>
              <w:ind w:left="144" w:right="145"/>
              <w:rPr>
                <w:sz w:val="18"/>
              </w:rPr>
            </w:pPr>
            <w:r>
              <w:rPr>
                <w:sz w:val="18"/>
              </w:rPr>
              <w:t>$0.00</w:t>
            </w:r>
          </w:p>
        </w:tc>
        <w:tc>
          <w:tcPr>
            <w:tcW w:w="1702" w:type="dxa"/>
          </w:tcPr>
          <w:p>
            <w:pPr>
              <w:pStyle w:val="TableParagraph"/>
              <w:spacing w:before="100"/>
              <w:ind w:left="76" w:right="72"/>
              <w:rPr>
                <w:sz w:val="18"/>
              </w:rPr>
            </w:pPr>
            <w:r>
              <w:rPr>
                <w:sz w:val="18"/>
              </w:rPr>
              <w:t>$0.00</w:t>
            </w:r>
          </w:p>
        </w:tc>
        <w:tc>
          <w:tcPr>
            <w:tcW w:w="1702" w:type="dxa"/>
          </w:tcPr>
          <w:p>
            <w:pPr>
              <w:pStyle w:val="TableParagraph"/>
              <w:spacing w:before="100"/>
              <w:ind w:left="74" w:right="75"/>
              <w:rPr>
                <w:sz w:val="18"/>
              </w:rPr>
            </w:pPr>
            <w:r>
              <w:rPr>
                <w:sz w:val="18"/>
              </w:rPr>
              <w:t>$0.00</w:t>
            </w:r>
          </w:p>
        </w:tc>
      </w:tr>
      <w:tr>
        <w:trPr>
          <w:trHeight w:val="521" w:hRule="exact"/>
        </w:trPr>
        <w:tc>
          <w:tcPr>
            <w:tcW w:w="1551" w:type="dxa"/>
          </w:tcPr>
          <w:p>
            <w:pPr>
              <w:pStyle w:val="TableParagraph"/>
              <w:spacing w:before="95"/>
              <w:ind w:left="64" w:right="65"/>
              <w:jc w:val="left"/>
              <w:rPr>
                <w:b/>
                <w:sz w:val="18"/>
              </w:rPr>
            </w:pPr>
            <w:r>
              <w:rPr>
                <w:b/>
                <w:color w:val="333333"/>
                <w:sz w:val="18"/>
              </w:rPr>
              <w:t>AXAPUSCO</w:t>
            </w:r>
          </w:p>
        </w:tc>
        <w:tc>
          <w:tcPr>
            <w:tcW w:w="1642" w:type="dxa"/>
          </w:tcPr>
          <w:p>
            <w:pPr>
              <w:pStyle w:val="TableParagraph"/>
              <w:spacing w:before="100"/>
              <w:ind w:left="45" w:right="44"/>
              <w:rPr>
                <w:sz w:val="18"/>
              </w:rPr>
            </w:pPr>
            <w:r>
              <w:rPr>
                <w:sz w:val="18"/>
              </w:rPr>
              <w:t>$0.00</w:t>
            </w:r>
          </w:p>
        </w:tc>
        <w:tc>
          <w:tcPr>
            <w:tcW w:w="1505" w:type="dxa"/>
          </w:tcPr>
          <w:p>
            <w:pPr>
              <w:pStyle w:val="TableParagraph"/>
              <w:spacing w:before="100"/>
              <w:ind w:left="101" w:right="102"/>
              <w:rPr>
                <w:sz w:val="18"/>
              </w:rPr>
            </w:pPr>
            <w:r>
              <w:rPr>
                <w:sz w:val="18"/>
              </w:rPr>
              <w:t>$0.00</w:t>
            </w:r>
          </w:p>
        </w:tc>
        <w:tc>
          <w:tcPr>
            <w:tcW w:w="1493" w:type="dxa"/>
          </w:tcPr>
          <w:p>
            <w:pPr>
              <w:pStyle w:val="TableParagraph"/>
              <w:spacing w:before="100"/>
              <w:ind w:left="44" w:right="45"/>
              <w:rPr>
                <w:sz w:val="18"/>
              </w:rPr>
            </w:pPr>
            <w:r>
              <w:rPr>
                <w:sz w:val="18"/>
              </w:rPr>
              <w:t>$0.00</w:t>
            </w:r>
          </w:p>
        </w:tc>
        <w:tc>
          <w:tcPr>
            <w:tcW w:w="1663" w:type="dxa"/>
          </w:tcPr>
          <w:p>
            <w:pPr>
              <w:pStyle w:val="TableParagraph"/>
              <w:spacing w:before="100"/>
              <w:ind w:left="55" w:right="56"/>
              <w:rPr>
                <w:sz w:val="18"/>
              </w:rPr>
            </w:pPr>
            <w:r>
              <w:rPr>
                <w:sz w:val="18"/>
              </w:rPr>
              <w:t>$0.00</w:t>
            </w:r>
          </w:p>
        </w:tc>
        <w:tc>
          <w:tcPr>
            <w:tcW w:w="1702" w:type="dxa"/>
          </w:tcPr>
          <w:p>
            <w:pPr>
              <w:pStyle w:val="TableParagraph"/>
              <w:spacing w:before="100"/>
              <w:ind w:left="75" w:right="75"/>
              <w:rPr>
                <w:sz w:val="18"/>
              </w:rPr>
            </w:pPr>
            <w:r>
              <w:rPr>
                <w:sz w:val="18"/>
              </w:rPr>
              <w:t>$0.00</w:t>
            </w:r>
          </w:p>
        </w:tc>
        <w:tc>
          <w:tcPr>
            <w:tcW w:w="1841" w:type="dxa"/>
          </w:tcPr>
          <w:p>
            <w:pPr>
              <w:pStyle w:val="TableParagraph"/>
              <w:spacing w:before="100"/>
              <w:ind w:left="144" w:right="145"/>
              <w:rPr>
                <w:sz w:val="18"/>
              </w:rPr>
            </w:pPr>
            <w:r>
              <w:rPr>
                <w:sz w:val="18"/>
              </w:rPr>
              <w:t>$0.00</w:t>
            </w:r>
          </w:p>
        </w:tc>
        <w:tc>
          <w:tcPr>
            <w:tcW w:w="1702" w:type="dxa"/>
          </w:tcPr>
          <w:p>
            <w:pPr>
              <w:pStyle w:val="TableParagraph"/>
              <w:spacing w:before="100"/>
              <w:ind w:left="76" w:right="72"/>
              <w:rPr>
                <w:sz w:val="18"/>
              </w:rPr>
            </w:pPr>
            <w:r>
              <w:rPr>
                <w:sz w:val="18"/>
              </w:rPr>
              <w:t>$0.00</w:t>
            </w:r>
          </w:p>
        </w:tc>
        <w:tc>
          <w:tcPr>
            <w:tcW w:w="1702" w:type="dxa"/>
          </w:tcPr>
          <w:p>
            <w:pPr>
              <w:pStyle w:val="TableParagraph"/>
              <w:spacing w:before="100"/>
              <w:ind w:left="74" w:right="75"/>
              <w:rPr>
                <w:sz w:val="18"/>
              </w:rPr>
            </w:pPr>
            <w:r>
              <w:rPr>
                <w:sz w:val="18"/>
              </w:rPr>
              <w:t>$0.00</w:t>
            </w:r>
          </w:p>
        </w:tc>
      </w:tr>
      <w:tr>
        <w:trPr>
          <w:trHeight w:val="519" w:hRule="exact"/>
        </w:trPr>
        <w:tc>
          <w:tcPr>
            <w:tcW w:w="1551" w:type="dxa"/>
          </w:tcPr>
          <w:p>
            <w:pPr>
              <w:pStyle w:val="TableParagraph"/>
              <w:spacing w:before="92"/>
              <w:ind w:left="64" w:right="65"/>
              <w:jc w:val="left"/>
              <w:rPr>
                <w:b/>
                <w:sz w:val="18"/>
              </w:rPr>
            </w:pPr>
            <w:r>
              <w:rPr>
                <w:b/>
                <w:color w:val="333333"/>
                <w:sz w:val="18"/>
              </w:rPr>
              <w:t>AYAPANGO</w:t>
            </w:r>
          </w:p>
        </w:tc>
        <w:tc>
          <w:tcPr>
            <w:tcW w:w="1642" w:type="dxa"/>
          </w:tcPr>
          <w:p>
            <w:pPr>
              <w:pStyle w:val="TableParagraph"/>
              <w:spacing w:before="97"/>
              <w:ind w:left="45" w:right="44"/>
              <w:rPr>
                <w:sz w:val="18"/>
              </w:rPr>
            </w:pPr>
            <w:r>
              <w:rPr>
                <w:sz w:val="18"/>
              </w:rPr>
              <w:t>$0.00</w:t>
            </w:r>
          </w:p>
        </w:tc>
        <w:tc>
          <w:tcPr>
            <w:tcW w:w="1505" w:type="dxa"/>
          </w:tcPr>
          <w:p>
            <w:pPr>
              <w:pStyle w:val="TableParagraph"/>
              <w:spacing w:before="97"/>
              <w:ind w:left="101" w:right="102"/>
              <w:rPr>
                <w:sz w:val="18"/>
              </w:rPr>
            </w:pPr>
            <w:r>
              <w:rPr>
                <w:sz w:val="18"/>
              </w:rPr>
              <w:t>$0.00</w:t>
            </w:r>
          </w:p>
        </w:tc>
        <w:tc>
          <w:tcPr>
            <w:tcW w:w="1493" w:type="dxa"/>
          </w:tcPr>
          <w:p>
            <w:pPr>
              <w:pStyle w:val="TableParagraph"/>
              <w:spacing w:before="97"/>
              <w:ind w:left="44" w:right="45"/>
              <w:rPr>
                <w:sz w:val="18"/>
              </w:rPr>
            </w:pPr>
            <w:r>
              <w:rPr>
                <w:sz w:val="18"/>
              </w:rPr>
              <w:t>$0.00</w:t>
            </w:r>
          </w:p>
        </w:tc>
        <w:tc>
          <w:tcPr>
            <w:tcW w:w="1663" w:type="dxa"/>
          </w:tcPr>
          <w:p>
            <w:pPr>
              <w:pStyle w:val="TableParagraph"/>
              <w:spacing w:before="97"/>
              <w:ind w:left="55" w:right="56"/>
              <w:rPr>
                <w:sz w:val="18"/>
              </w:rPr>
            </w:pPr>
            <w:r>
              <w:rPr>
                <w:sz w:val="18"/>
              </w:rPr>
              <w:t>$0.00</w:t>
            </w:r>
          </w:p>
        </w:tc>
        <w:tc>
          <w:tcPr>
            <w:tcW w:w="1702" w:type="dxa"/>
          </w:tcPr>
          <w:p>
            <w:pPr>
              <w:pStyle w:val="TableParagraph"/>
              <w:spacing w:before="97"/>
              <w:ind w:left="75" w:right="75"/>
              <w:rPr>
                <w:sz w:val="18"/>
              </w:rPr>
            </w:pPr>
            <w:r>
              <w:rPr>
                <w:sz w:val="18"/>
              </w:rPr>
              <w:t>$0.00</w:t>
            </w:r>
          </w:p>
        </w:tc>
        <w:tc>
          <w:tcPr>
            <w:tcW w:w="1841" w:type="dxa"/>
          </w:tcPr>
          <w:p>
            <w:pPr>
              <w:pStyle w:val="TableParagraph"/>
              <w:spacing w:before="97"/>
              <w:ind w:left="144" w:right="145"/>
              <w:rPr>
                <w:sz w:val="18"/>
              </w:rPr>
            </w:pPr>
            <w:r>
              <w:rPr>
                <w:sz w:val="18"/>
              </w:rPr>
              <w:t>$0.00</w:t>
            </w:r>
          </w:p>
        </w:tc>
        <w:tc>
          <w:tcPr>
            <w:tcW w:w="1702" w:type="dxa"/>
          </w:tcPr>
          <w:p>
            <w:pPr>
              <w:pStyle w:val="TableParagraph"/>
              <w:spacing w:before="97"/>
              <w:ind w:left="76" w:right="72"/>
              <w:rPr>
                <w:sz w:val="18"/>
              </w:rPr>
            </w:pPr>
            <w:r>
              <w:rPr>
                <w:sz w:val="18"/>
              </w:rPr>
              <w:t>$0.00</w:t>
            </w:r>
          </w:p>
        </w:tc>
        <w:tc>
          <w:tcPr>
            <w:tcW w:w="1702" w:type="dxa"/>
          </w:tcPr>
          <w:p>
            <w:pPr>
              <w:pStyle w:val="TableParagraph"/>
              <w:spacing w:before="97"/>
              <w:ind w:left="74" w:right="75"/>
              <w:rPr>
                <w:sz w:val="18"/>
              </w:rPr>
            </w:pPr>
            <w:r>
              <w:rPr>
                <w:sz w:val="18"/>
              </w:rPr>
              <w:t>$0.00</w:t>
            </w:r>
          </w:p>
        </w:tc>
      </w:tr>
      <w:tr>
        <w:trPr>
          <w:trHeight w:val="521" w:hRule="exact"/>
        </w:trPr>
        <w:tc>
          <w:tcPr>
            <w:tcW w:w="1551" w:type="dxa"/>
          </w:tcPr>
          <w:p>
            <w:pPr>
              <w:pStyle w:val="TableParagraph"/>
              <w:spacing w:before="95"/>
              <w:ind w:left="64" w:right="65"/>
              <w:jc w:val="left"/>
              <w:rPr>
                <w:b/>
                <w:sz w:val="18"/>
              </w:rPr>
            </w:pPr>
            <w:r>
              <w:rPr>
                <w:b/>
                <w:color w:val="333333"/>
                <w:sz w:val="18"/>
              </w:rPr>
              <w:t>CALIMAYA</w:t>
            </w:r>
          </w:p>
        </w:tc>
        <w:tc>
          <w:tcPr>
            <w:tcW w:w="1642" w:type="dxa"/>
          </w:tcPr>
          <w:p>
            <w:pPr>
              <w:pStyle w:val="TableParagraph"/>
              <w:spacing w:before="100"/>
              <w:ind w:left="45" w:right="45"/>
              <w:rPr>
                <w:sz w:val="18"/>
              </w:rPr>
            </w:pPr>
            <w:r>
              <w:rPr>
                <w:sz w:val="18"/>
              </w:rPr>
              <w:t>$216,224,820.47</w:t>
            </w:r>
          </w:p>
        </w:tc>
        <w:tc>
          <w:tcPr>
            <w:tcW w:w="1505" w:type="dxa"/>
          </w:tcPr>
          <w:p>
            <w:pPr>
              <w:pStyle w:val="TableParagraph"/>
              <w:spacing w:before="100"/>
              <w:ind w:left="101" w:right="102"/>
              <w:rPr>
                <w:sz w:val="18"/>
              </w:rPr>
            </w:pPr>
            <w:r>
              <w:rPr>
                <w:sz w:val="18"/>
              </w:rPr>
              <w:t>$0.00</w:t>
            </w:r>
          </w:p>
        </w:tc>
        <w:tc>
          <w:tcPr>
            <w:tcW w:w="1493" w:type="dxa"/>
          </w:tcPr>
          <w:p>
            <w:pPr>
              <w:pStyle w:val="TableParagraph"/>
              <w:spacing w:before="100"/>
              <w:ind w:left="45" w:right="45"/>
              <w:rPr>
                <w:sz w:val="18"/>
              </w:rPr>
            </w:pPr>
            <w:r>
              <w:rPr>
                <w:sz w:val="18"/>
              </w:rPr>
              <w:t>$154,043,046.78</w:t>
            </w:r>
          </w:p>
        </w:tc>
        <w:tc>
          <w:tcPr>
            <w:tcW w:w="1663" w:type="dxa"/>
          </w:tcPr>
          <w:p>
            <w:pPr>
              <w:pStyle w:val="TableParagraph"/>
              <w:spacing w:before="100"/>
              <w:ind w:left="56" w:right="56"/>
              <w:rPr>
                <w:sz w:val="18"/>
              </w:rPr>
            </w:pPr>
            <w:r>
              <w:rPr>
                <w:sz w:val="18"/>
              </w:rPr>
              <w:t>$62,181,773.69</w:t>
            </w:r>
          </w:p>
        </w:tc>
        <w:tc>
          <w:tcPr>
            <w:tcW w:w="1702" w:type="dxa"/>
          </w:tcPr>
          <w:p>
            <w:pPr>
              <w:pStyle w:val="TableParagraph"/>
              <w:spacing w:before="100"/>
              <w:ind w:left="72" w:right="75"/>
              <w:rPr>
                <w:sz w:val="18"/>
              </w:rPr>
            </w:pPr>
            <w:r>
              <w:rPr>
                <w:sz w:val="18"/>
              </w:rPr>
              <w:t>$227,355,508.75</w:t>
            </w:r>
          </w:p>
        </w:tc>
        <w:tc>
          <w:tcPr>
            <w:tcW w:w="1841" w:type="dxa"/>
          </w:tcPr>
          <w:p>
            <w:pPr>
              <w:pStyle w:val="TableParagraph"/>
              <w:spacing w:before="100"/>
              <w:ind w:left="144" w:right="145"/>
              <w:rPr>
                <w:sz w:val="18"/>
              </w:rPr>
            </w:pPr>
            <w:r>
              <w:rPr>
                <w:sz w:val="18"/>
              </w:rPr>
              <w:t>$0.00</w:t>
            </w:r>
          </w:p>
        </w:tc>
        <w:tc>
          <w:tcPr>
            <w:tcW w:w="1702" w:type="dxa"/>
          </w:tcPr>
          <w:p>
            <w:pPr>
              <w:pStyle w:val="TableParagraph"/>
              <w:spacing w:before="100"/>
              <w:ind w:left="76" w:right="72"/>
              <w:rPr>
                <w:sz w:val="18"/>
              </w:rPr>
            </w:pPr>
            <w:r>
              <w:rPr>
                <w:sz w:val="18"/>
              </w:rPr>
              <w:t>$0.00</w:t>
            </w:r>
          </w:p>
        </w:tc>
        <w:tc>
          <w:tcPr>
            <w:tcW w:w="1702" w:type="dxa"/>
          </w:tcPr>
          <w:p>
            <w:pPr>
              <w:pStyle w:val="TableParagraph"/>
              <w:spacing w:before="100"/>
              <w:ind w:left="73" w:right="75"/>
              <w:rPr>
                <w:sz w:val="18"/>
              </w:rPr>
            </w:pPr>
            <w:r>
              <w:rPr>
                <w:sz w:val="18"/>
              </w:rPr>
              <w:t>$227,355,508.75</w:t>
            </w:r>
          </w:p>
        </w:tc>
      </w:tr>
      <w:tr>
        <w:trPr>
          <w:trHeight w:val="521" w:hRule="exact"/>
        </w:trPr>
        <w:tc>
          <w:tcPr>
            <w:tcW w:w="1551" w:type="dxa"/>
          </w:tcPr>
          <w:p>
            <w:pPr>
              <w:pStyle w:val="TableParagraph"/>
              <w:spacing w:before="95"/>
              <w:ind w:left="64" w:right="65"/>
              <w:jc w:val="left"/>
              <w:rPr>
                <w:b/>
                <w:sz w:val="18"/>
              </w:rPr>
            </w:pPr>
            <w:r>
              <w:rPr>
                <w:b/>
                <w:color w:val="333333"/>
                <w:sz w:val="18"/>
              </w:rPr>
              <w:t>CAPULHUAC</w:t>
            </w:r>
          </w:p>
        </w:tc>
        <w:tc>
          <w:tcPr>
            <w:tcW w:w="1642" w:type="dxa"/>
          </w:tcPr>
          <w:p>
            <w:pPr>
              <w:pStyle w:val="TableParagraph"/>
              <w:spacing w:before="100"/>
              <w:ind w:left="45" w:right="45"/>
              <w:rPr>
                <w:sz w:val="18"/>
              </w:rPr>
            </w:pPr>
            <w:r>
              <w:rPr>
                <w:sz w:val="18"/>
              </w:rPr>
              <w:t>$111,570,728.85</w:t>
            </w:r>
          </w:p>
        </w:tc>
        <w:tc>
          <w:tcPr>
            <w:tcW w:w="1505" w:type="dxa"/>
          </w:tcPr>
          <w:p>
            <w:pPr>
              <w:pStyle w:val="TableParagraph"/>
              <w:spacing w:before="100"/>
              <w:ind w:left="101" w:right="102"/>
              <w:rPr>
                <w:sz w:val="18"/>
              </w:rPr>
            </w:pPr>
            <w:r>
              <w:rPr>
                <w:sz w:val="18"/>
              </w:rPr>
              <w:t>$0.00</w:t>
            </w:r>
          </w:p>
        </w:tc>
        <w:tc>
          <w:tcPr>
            <w:tcW w:w="1493" w:type="dxa"/>
          </w:tcPr>
          <w:p>
            <w:pPr>
              <w:pStyle w:val="TableParagraph"/>
              <w:spacing w:before="100"/>
              <w:ind w:left="45" w:right="45"/>
              <w:rPr>
                <w:sz w:val="18"/>
              </w:rPr>
            </w:pPr>
            <w:r>
              <w:rPr>
                <w:sz w:val="18"/>
              </w:rPr>
              <w:t>$159,160,235.00</w:t>
            </w:r>
          </w:p>
        </w:tc>
        <w:tc>
          <w:tcPr>
            <w:tcW w:w="1663" w:type="dxa"/>
          </w:tcPr>
          <w:p>
            <w:pPr>
              <w:pStyle w:val="TableParagraph"/>
              <w:spacing w:before="100"/>
              <w:ind w:left="56" w:right="55"/>
              <w:rPr>
                <w:sz w:val="18"/>
              </w:rPr>
            </w:pPr>
            <w:r>
              <w:rPr>
                <w:sz w:val="18"/>
              </w:rPr>
              <w:t>$47,589,506.15</w:t>
            </w:r>
          </w:p>
        </w:tc>
        <w:tc>
          <w:tcPr>
            <w:tcW w:w="1702" w:type="dxa"/>
          </w:tcPr>
          <w:p>
            <w:pPr>
              <w:pStyle w:val="TableParagraph"/>
              <w:spacing w:before="100"/>
              <w:ind w:left="72" w:right="75"/>
              <w:rPr>
                <w:sz w:val="18"/>
              </w:rPr>
            </w:pPr>
            <w:r>
              <w:rPr>
                <w:sz w:val="18"/>
              </w:rPr>
              <w:t>$118,544,565.88</w:t>
            </w:r>
          </w:p>
        </w:tc>
        <w:tc>
          <w:tcPr>
            <w:tcW w:w="1841" w:type="dxa"/>
          </w:tcPr>
          <w:p>
            <w:pPr>
              <w:pStyle w:val="TableParagraph"/>
              <w:spacing w:before="100"/>
              <w:ind w:left="144" w:right="145"/>
              <w:rPr>
                <w:sz w:val="18"/>
              </w:rPr>
            </w:pPr>
            <w:r>
              <w:rPr>
                <w:sz w:val="18"/>
              </w:rPr>
              <w:t>$0.00</w:t>
            </w:r>
          </w:p>
        </w:tc>
        <w:tc>
          <w:tcPr>
            <w:tcW w:w="1702" w:type="dxa"/>
          </w:tcPr>
          <w:p>
            <w:pPr>
              <w:pStyle w:val="TableParagraph"/>
              <w:spacing w:before="100"/>
              <w:ind w:left="76" w:right="72"/>
              <w:rPr>
                <w:sz w:val="18"/>
              </w:rPr>
            </w:pPr>
            <w:r>
              <w:rPr>
                <w:sz w:val="18"/>
              </w:rPr>
              <w:t>$0.00</w:t>
            </w:r>
          </w:p>
        </w:tc>
        <w:tc>
          <w:tcPr>
            <w:tcW w:w="1702" w:type="dxa"/>
          </w:tcPr>
          <w:p>
            <w:pPr>
              <w:pStyle w:val="TableParagraph"/>
              <w:spacing w:before="100"/>
              <w:ind w:left="73" w:right="75"/>
              <w:rPr>
                <w:sz w:val="18"/>
              </w:rPr>
            </w:pPr>
            <w:r>
              <w:rPr>
                <w:sz w:val="18"/>
              </w:rPr>
              <w:t>$118,544,565.88</w:t>
            </w:r>
          </w:p>
        </w:tc>
      </w:tr>
      <w:tr>
        <w:trPr>
          <w:trHeight w:val="518" w:hRule="exact"/>
        </w:trPr>
        <w:tc>
          <w:tcPr>
            <w:tcW w:w="1551" w:type="dxa"/>
          </w:tcPr>
          <w:p>
            <w:pPr>
              <w:pStyle w:val="TableParagraph"/>
              <w:spacing w:before="92"/>
              <w:ind w:left="64" w:right="65"/>
              <w:jc w:val="left"/>
              <w:rPr>
                <w:b/>
                <w:sz w:val="18"/>
              </w:rPr>
            </w:pPr>
            <w:r>
              <w:rPr>
                <w:b/>
                <w:color w:val="333333"/>
                <w:sz w:val="18"/>
              </w:rPr>
              <w:t>CHALCO</w:t>
            </w:r>
          </w:p>
        </w:tc>
        <w:tc>
          <w:tcPr>
            <w:tcW w:w="1642" w:type="dxa"/>
          </w:tcPr>
          <w:p>
            <w:pPr>
              <w:pStyle w:val="TableParagraph"/>
              <w:spacing w:before="97"/>
              <w:ind w:left="45" w:right="45"/>
              <w:rPr>
                <w:sz w:val="18"/>
              </w:rPr>
            </w:pPr>
            <w:r>
              <w:rPr>
                <w:sz w:val="18"/>
              </w:rPr>
              <w:t>$1,248,139,312.00</w:t>
            </w:r>
          </w:p>
        </w:tc>
        <w:tc>
          <w:tcPr>
            <w:tcW w:w="1505" w:type="dxa"/>
          </w:tcPr>
          <w:p>
            <w:pPr>
              <w:pStyle w:val="TableParagraph"/>
              <w:spacing w:before="97"/>
              <w:ind w:left="102" w:right="102"/>
              <w:rPr>
                <w:sz w:val="18"/>
              </w:rPr>
            </w:pPr>
            <w:r>
              <w:rPr>
                <w:sz w:val="18"/>
              </w:rPr>
              <w:t>$16,752,469.78</w:t>
            </w:r>
          </w:p>
        </w:tc>
        <w:tc>
          <w:tcPr>
            <w:tcW w:w="1493" w:type="dxa"/>
          </w:tcPr>
          <w:p>
            <w:pPr>
              <w:pStyle w:val="TableParagraph"/>
              <w:spacing w:before="97"/>
              <w:ind w:left="44" w:right="45"/>
              <w:rPr>
                <w:sz w:val="18"/>
              </w:rPr>
            </w:pPr>
            <w:r>
              <w:rPr>
                <w:sz w:val="18"/>
              </w:rPr>
              <w:t>$90,466,582.80</w:t>
            </w:r>
          </w:p>
        </w:tc>
        <w:tc>
          <w:tcPr>
            <w:tcW w:w="1663" w:type="dxa"/>
          </w:tcPr>
          <w:p>
            <w:pPr>
              <w:pStyle w:val="TableParagraph"/>
              <w:spacing w:before="97"/>
              <w:ind w:left="56" w:right="56"/>
              <w:rPr>
                <w:sz w:val="18"/>
              </w:rPr>
            </w:pPr>
            <w:r>
              <w:rPr>
                <w:sz w:val="18"/>
              </w:rPr>
              <w:t>$1,174,425,198.98</w:t>
            </w:r>
          </w:p>
        </w:tc>
        <w:tc>
          <w:tcPr>
            <w:tcW w:w="1702" w:type="dxa"/>
          </w:tcPr>
          <w:p>
            <w:pPr>
              <w:pStyle w:val="TableParagraph"/>
              <w:spacing w:before="97"/>
              <w:ind w:left="75" w:right="75"/>
              <w:rPr>
                <w:sz w:val="18"/>
              </w:rPr>
            </w:pPr>
            <w:r>
              <w:rPr>
                <w:sz w:val="18"/>
              </w:rPr>
              <w:t>$1,176,604,518.00</w:t>
            </w:r>
          </w:p>
        </w:tc>
        <w:tc>
          <w:tcPr>
            <w:tcW w:w="1841" w:type="dxa"/>
          </w:tcPr>
          <w:p>
            <w:pPr>
              <w:pStyle w:val="TableParagraph"/>
              <w:spacing w:before="97"/>
              <w:ind w:left="144" w:right="145"/>
              <w:rPr>
                <w:sz w:val="18"/>
              </w:rPr>
            </w:pPr>
            <w:r>
              <w:rPr>
                <w:sz w:val="18"/>
              </w:rPr>
              <w:t>$0.00</w:t>
            </w:r>
          </w:p>
        </w:tc>
        <w:tc>
          <w:tcPr>
            <w:tcW w:w="1702" w:type="dxa"/>
          </w:tcPr>
          <w:p>
            <w:pPr>
              <w:pStyle w:val="TableParagraph"/>
              <w:spacing w:before="97"/>
              <w:ind w:left="76" w:right="72"/>
              <w:rPr>
                <w:sz w:val="18"/>
              </w:rPr>
            </w:pPr>
            <w:r>
              <w:rPr>
                <w:sz w:val="18"/>
              </w:rPr>
              <w:t>$0.00</w:t>
            </w:r>
          </w:p>
        </w:tc>
        <w:tc>
          <w:tcPr>
            <w:tcW w:w="1702" w:type="dxa"/>
          </w:tcPr>
          <w:p>
            <w:pPr>
              <w:pStyle w:val="TableParagraph"/>
              <w:spacing w:before="97"/>
              <w:ind w:left="75" w:right="75"/>
              <w:rPr>
                <w:sz w:val="18"/>
              </w:rPr>
            </w:pPr>
            <w:r>
              <w:rPr>
                <w:sz w:val="18"/>
              </w:rPr>
              <w:t>$1,176,604,518.00</w:t>
            </w:r>
          </w:p>
        </w:tc>
      </w:tr>
      <w:tr>
        <w:trPr>
          <w:trHeight w:val="631" w:hRule="exact"/>
        </w:trPr>
        <w:tc>
          <w:tcPr>
            <w:tcW w:w="1551" w:type="dxa"/>
          </w:tcPr>
          <w:p>
            <w:pPr>
              <w:pStyle w:val="TableParagraph"/>
              <w:tabs>
                <w:tab w:pos="1223" w:val="left" w:leader="none"/>
              </w:tabs>
              <w:spacing w:line="362" w:lineRule="auto"/>
              <w:ind w:left="64" w:right="65"/>
              <w:jc w:val="left"/>
              <w:rPr>
                <w:b/>
                <w:sz w:val="18"/>
              </w:rPr>
            </w:pPr>
            <w:r>
              <w:rPr>
                <w:b/>
                <w:color w:val="333333"/>
                <w:sz w:val="18"/>
              </w:rPr>
              <w:t>CHAPA</w:t>
              <w:tab/>
              <w:t>DE MOTA</w:t>
            </w:r>
          </w:p>
        </w:tc>
        <w:tc>
          <w:tcPr>
            <w:tcW w:w="1642" w:type="dxa"/>
          </w:tcPr>
          <w:p>
            <w:pPr>
              <w:pStyle w:val="TableParagraph"/>
              <w:spacing w:before="155"/>
              <w:ind w:left="45" w:right="45"/>
              <w:rPr>
                <w:sz w:val="18"/>
              </w:rPr>
            </w:pPr>
            <w:r>
              <w:rPr>
                <w:sz w:val="18"/>
              </w:rPr>
              <w:t>$142,325,603.65</w:t>
            </w:r>
          </w:p>
        </w:tc>
        <w:tc>
          <w:tcPr>
            <w:tcW w:w="1505" w:type="dxa"/>
          </w:tcPr>
          <w:p>
            <w:pPr>
              <w:pStyle w:val="TableParagraph"/>
              <w:spacing w:before="155"/>
              <w:ind w:left="101" w:right="102"/>
              <w:rPr>
                <w:sz w:val="18"/>
              </w:rPr>
            </w:pPr>
            <w:r>
              <w:rPr>
                <w:sz w:val="18"/>
              </w:rPr>
              <w:t>$0.00</w:t>
            </w:r>
          </w:p>
        </w:tc>
        <w:tc>
          <w:tcPr>
            <w:tcW w:w="1493" w:type="dxa"/>
          </w:tcPr>
          <w:p>
            <w:pPr>
              <w:pStyle w:val="TableParagraph"/>
              <w:spacing w:before="155"/>
              <w:ind w:left="44" w:right="45"/>
              <w:rPr>
                <w:sz w:val="18"/>
              </w:rPr>
            </w:pPr>
            <w:r>
              <w:rPr>
                <w:sz w:val="18"/>
              </w:rPr>
              <w:t>$0.00</w:t>
            </w:r>
          </w:p>
        </w:tc>
        <w:tc>
          <w:tcPr>
            <w:tcW w:w="1663" w:type="dxa"/>
          </w:tcPr>
          <w:p>
            <w:pPr>
              <w:pStyle w:val="TableParagraph"/>
              <w:spacing w:before="155"/>
              <w:ind w:left="56" w:right="56"/>
              <w:rPr>
                <w:sz w:val="18"/>
              </w:rPr>
            </w:pPr>
            <w:r>
              <w:rPr>
                <w:sz w:val="18"/>
              </w:rPr>
              <w:t>$142,325,603.65</w:t>
            </w:r>
          </w:p>
        </w:tc>
        <w:tc>
          <w:tcPr>
            <w:tcW w:w="1702" w:type="dxa"/>
          </w:tcPr>
          <w:p>
            <w:pPr>
              <w:pStyle w:val="TableParagraph"/>
              <w:spacing w:before="155"/>
              <w:ind w:left="72" w:right="75"/>
              <w:rPr>
                <w:sz w:val="18"/>
              </w:rPr>
            </w:pPr>
            <w:r>
              <w:rPr>
                <w:sz w:val="18"/>
              </w:rPr>
              <w:t>$122,822,556.51</w:t>
            </w:r>
          </w:p>
        </w:tc>
        <w:tc>
          <w:tcPr>
            <w:tcW w:w="1841" w:type="dxa"/>
          </w:tcPr>
          <w:p>
            <w:pPr>
              <w:pStyle w:val="TableParagraph"/>
              <w:spacing w:before="155"/>
              <w:ind w:left="144" w:right="144"/>
              <w:rPr>
                <w:sz w:val="18"/>
              </w:rPr>
            </w:pPr>
            <w:r>
              <w:rPr>
                <w:sz w:val="18"/>
              </w:rPr>
              <w:t>$0.00</w:t>
            </w:r>
          </w:p>
        </w:tc>
        <w:tc>
          <w:tcPr>
            <w:tcW w:w="1702" w:type="dxa"/>
          </w:tcPr>
          <w:p>
            <w:pPr>
              <w:pStyle w:val="TableParagraph"/>
              <w:spacing w:before="155"/>
              <w:ind w:left="76" w:right="72"/>
              <w:rPr>
                <w:sz w:val="18"/>
              </w:rPr>
            </w:pPr>
            <w:r>
              <w:rPr>
                <w:sz w:val="18"/>
              </w:rPr>
              <w:t>$0.00</w:t>
            </w:r>
          </w:p>
        </w:tc>
        <w:tc>
          <w:tcPr>
            <w:tcW w:w="1702" w:type="dxa"/>
          </w:tcPr>
          <w:p>
            <w:pPr>
              <w:pStyle w:val="TableParagraph"/>
              <w:spacing w:before="155"/>
              <w:ind w:left="73" w:right="75"/>
              <w:rPr>
                <w:sz w:val="18"/>
              </w:rPr>
            </w:pPr>
            <w:r>
              <w:rPr>
                <w:sz w:val="18"/>
              </w:rPr>
              <w:t>$122,822,556.51</w:t>
            </w:r>
          </w:p>
        </w:tc>
      </w:tr>
      <w:tr>
        <w:trPr>
          <w:trHeight w:val="521" w:hRule="exact"/>
        </w:trPr>
        <w:tc>
          <w:tcPr>
            <w:tcW w:w="1551" w:type="dxa"/>
          </w:tcPr>
          <w:p>
            <w:pPr>
              <w:pStyle w:val="TableParagraph"/>
              <w:spacing w:before="95"/>
              <w:ind w:left="64" w:right="65"/>
              <w:jc w:val="left"/>
              <w:rPr>
                <w:b/>
                <w:sz w:val="18"/>
              </w:rPr>
            </w:pPr>
            <w:r>
              <w:rPr>
                <w:b/>
                <w:color w:val="333333"/>
                <w:sz w:val="18"/>
              </w:rPr>
              <w:t>CHAPULTEPEC</w:t>
            </w:r>
          </w:p>
        </w:tc>
        <w:tc>
          <w:tcPr>
            <w:tcW w:w="1642" w:type="dxa"/>
          </w:tcPr>
          <w:p>
            <w:pPr>
              <w:pStyle w:val="TableParagraph"/>
              <w:spacing w:before="100"/>
              <w:ind w:left="44" w:right="45"/>
              <w:rPr>
                <w:sz w:val="18"/>
              </w:rPr>
            </w:pPr>
            <w:r>
              <w:rPr>
                <w:sz w:val="18"/>
              </w:rPr>
              <w:t>$40,674,221.57</w:t>
            </w:r>
          </w:p>
        </w:tc>
        <w:tc>
          <w:tcPr>
            <w:tcW w:w="1505" w:type="dxa"/>
          </w:tcPr>
          <w:p>
            <w:pPr>
              <w:pStyle w:val="TableParagraph"/>
              <w:spacing w:before="100"/>
              <w:ind w:left="101" w:right="102"/>
              <w:rPr>
                <w:sz w:val="18"/>
              </w:rPr>
            </w:pPr>
            <w:r>
              <w:rPr>
                <w:sz w:val="18"/>
              </w:rPr>
              <w:t>$0.00</w:t>
            </w:r>
          </w:p>
        </w:tc>
        <w:tc>
          <w:tcPr>
            <w:tcW w:w="1493" w:type="dxa"/>
          </w:tcPr>
          <w:p>
            <w:pPr>
              <w:pStyle w:val="TableParagraph"/>
              <w:spacing w:before="100"/>
              <w:ind w:left="44" w:right="45"/>
              <w:rPr>
                <w:sz w:val="18"/>
              </w:rPr>
            </w:pPr>
            <w:r>
              <w:rPr>
                <w:sz w:val="18"/>
              </w:rPr>
              <w:t>$40,674,221.57</w:t>
            </w:r>
          </w:p>
        </w:tc>
        <w:tc>
          <w:tcPr>
            <w:tcW w:w="1663" w:type="dxa"/>
          </w:tcPr>
          <w:p>
            <w:pPr>
              <w:pStyle w:val="TableParagraph"/>
              <w:spacing w:before="100"/>
              <w:ind w:left="55" w:right="56"/>
              <w:rPr>
                <w:sz w:val="18"/>
              </w:rPr>
            </w:pPr>
            <w:r>
              <w:rPr>
                <w:sz w:val="18"/>
              </w:rPr>
              <w:t>$0.00</w:t>
            </w:r>
          </w:p>
        </w:tc>
        <w:tc>
          <w:tcPr>
            <w:tcW w:w="1702" w:type="dxa"/>
          </w:tcPr>
          <w:p>
            <w:pPr>
              <w:pStyle w:val="TableParagraph"/>
              <w:spacing w:before="100"/>
              <w:ind w:left="73" w:right="75"/>
              <w:rPr>
                <w:sz w:val="18"/>
              </w:rPr>
            </w:pPr>
            <w:r>
              <w:rPr>
                <w:sz w:val="18"/>
              </w:rPr>
              <w:t>$56,640,343.72</w:t>
            </w:r>
          </w:p>
        </w:tc>
        <w:tc>
          <w:tcPr>
            <w:tcW w:w="1841" w:type="dxa"/>
          </w:tcPr>
          <w:p>
            <w:pPr>
              <w:pStyle w:val="TableParagraph"/>
              <w:spacing w:before="100"/>
              <w:ind w:left="144" w:right="145"/>
              <w:rPr>
                <w:sz w:val="18"/>
              </w:rPr>
            </w:pPr>
            <w:r>
              <w:rPr>
                <w:sz w:val="18"/>
              </w:rPr>
              <w:t>$0.00</w:t>
            </w:r>
          </w:p>
        </w:tc>
        <w:tc>
          <w:tcPr>
            <w:tcW w:w="1702" w:type="dxa"/>
          </w:tcPr>
          <w:p>
            <w:pPr>
              <w:pStyle w:val="TableParagraph"/>
              <w:spacing w:before="100"/>
              <w:ind w:left="76" w:right="72"/>
              <w:rPr>
                <w:sz w:val="18"/>
              </w:rPr>
            </w:pPr>
            <w:r>
              <w:rPr>
                <w:sz w:val="18"/>
              </w:rPr>
              <w:t>$0.00</w:t>
            </w:r>
          </w:p>
        </w:tc>
        <w:tc>
          <w:tcPr>
            <w:tcW w:w="1702" w:type="dxa"/>
          </w:tcPr>
          <w:p>
            <w:pPr>
              <w:pStyle w:val="TableParagraph"/>
              <w:spacing w:before="100"/>
              <w:ind w:left="73" w:right="75"/>
              <w:rPr>
                <w:sz w:val="18"/>
              </w:rPr>
            </w:pPr>
            <w:r>
              <w:rPr>
                <w:sz w:val="18"/>
              </w:rPr>
              <w:t>$56,640,343.72</w:t>
            </w:r>
          </w:p>
        </w:tc>
      </w:tr>
    </w:tbl>
    <w:p>
      <w:pPr>
        <w:spacing w:after="0"/>
        <w:rPr>
          <w:sz w:val="18"/>
        </w:rPr>
        <w:sectPr>
          <w:pgSz w:w="15840" w:h="12240" w:orient="landscape"/>
          <w:pgMar w:header="0" w:footer="975" w:top="1140" w:bottom="1160" w:left="400" w:right="400"/>
        </w:sectPr>
      </w:pPr>
    </w:p>
    <w:p>
      <w:pPr>
        <w:pStyle w:val="BodyText"/>
        <w:rPr>
          <w:rFonts w:ascii="Times New Roman"/>
          <w:sz w:val="20"/>
        </w:rPr>
      </w:pPr>
    </w:p>
    <w:p>
      <w:pPr>
        <w:pStyle w:val="BodyText"/>
        <w:spacing w:before="10"/>
        <w:rPr>
          <w:rFonts w:ascii="Times New Roman"/>
          <w:sz w:val="28"/>
        </w:rPr>
      </w:pP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20"/>
        <w:gridCol w:w="1642"/>
        <w:gridCol w:w="1395"/>
        <w:gridCol w:w="1642"/>
        <w:gridCol w:w="1803"/>
        <w:gridCol w:w="1699"/>
        <w:gridCol w:w="1510"/>
        <w:gridCol w:w="1642"/>
        <w:gridCol w:w="1642"/>
      </w:tblGrid>
      <w:tr>
        <w:trPr>
          <w:trHeight w:val="520" w:hRule="exact"/>
        </w:trPr>
        <w:tc>
          <w:tcPr>
            <w:tcW w:w="14594" w:type="dxa"/>
            <w:gridSpan w:val="9"/>
            <w:shd w:val="clear" w:color="auto" w:fill="C5DFB3"/>
          </w:tcPr>
          <w:p>
            <w:pPr>
              <w:pStyle w:val="TableParagraph"/>
              <w:spacing w:before="92"/>
              <w:ind w:left="3641"/>
              <w:jc w:val="left"/>
              <w:rPr>
                <w:b/>
                <w:sz w:val="18"/>
              </w:rPr>
            </w:pPr>
            <w:r>
              <w:rPr>
                <w:b/>
                <w:sz w:val="18"/>
              </w:rPr>
              <w:t>Anexo 24D. Municipios que publican apartado presupuesto 2014-2015 (Continuación)</w:t>
            </w:r>
          </w:p>
        </w:tc>
      </w:tr>
      <w:tr>
        <w:trPr>
          <w:trHeight w:val="520" w:hRule="exact"/>
        </w:trPr>
        <w:tc>
          <w:tcPr>
            <w:tcW w:w="1620"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19"/>
              </w:rPr>
            </w:pPr>
          </w:p>
          <w:p>
            <w:pPr>
              <w:pStyle w:val="TableParagraph"/>
              <w:spacing w:before="1"/>
              <w:ind w:left="383"/>
              <w:jc w:val="left"/>
              <w:rPr>
                <w:b/>
                <w:sz w:val="18"/>
              </w:rPr>
            </w:pPr>
            <w:r>
              <w:rPr>
                <w:b/>
                <w:sz w:val="18"/>
              </w:rPr>
              <w:t>Municipio</w:t>
            </w:r>
          </w:p>
        </w:tc>
        <w:tc>
          <w:tcPr>
            <w:tcW w:w="6481" w:type="dxa"/>
            <w:gridSpan w:val="4"/>
            <w:shd w:val="clear" w:color="auto" w:fill="C5DFB3"/>
          </w:tcPr>
          <w:p>
            <w:pPr>
              <w:pStyle w:val="TableParagraph"/>
              <w:spacing w:before="94"/>
              <w:ind w:left="2794" w:right="2796"/>
              <w:rPr>
                <w:b/>
                <w:sz w:val="18"/>
              </w:rPr>
            </w:pPr>
            <w:r>
              <w:rPr>
                <w:b/>
                <w:sz w:val="18"/>
              </w:rPr>
              <w:t>Municipio</w:t>
            </w:r>
          </w:p>
        </w:tc>
        <w:tc>
          <w:tcPr>
            <w:tcW w:w="6493" w:type="dxa"/>
            <w:gridSpan w:val="4"/>
            <w:shd w:val="clear" w:color="auto" w:fill="C5DFB3"/>
          </w:tcPr>
          <w:p>
            <w:pPr>
              <w:pStyle w:val="TableParagraph"/>
              <w:spacing w:before="94"/>
              <w:ind w:left="2801" w:right="2802"/>
              <w:rPr>
                <w:b/>
                <w:sz w:val="18"/>
              </w:rPr>
            </w:pPr>
            <w:r>
              <w:rPr>
                <w:b/>
                <w:sz w:val="18"/>
              </w:rPr>
              <w:t>Municipio</w:t>
            </w:r>
          </w:p>
        </w:tc>
      </w:tr>
      <w:tr>
        <w:trPr>
          <w:trHeight w:val="1082" w:hRule="exact"/>
        </w:trPr>
        <w:tc>
          <w:tcPr>
            <w:tcW w:w="1620" w:type="dxa"/>
            <w:vMerge/>
            <w:shd w:val="clear" w:color="auto" w:fill="C5DFB3"/>
          </w:tcPr>
          <w:p>
            <w:pPr/>
          </w:p>
        </w:tc>
        <w:tc>
          <w:tcPr>
            <w:tcW w:w="164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
              <w:jc w:val="left"/>
              <w:rPr>
                <w:rFonts w:ascii="Times New Roman"/>
                <w:sz w:val="21"/>
              </w:rPr>
            </w:pPr>
          </w:p>
          <w:p>
            <w:pPr>
              <w:pStyle w:val="TableParagraph"/>
              <w:ind w:left="64"/>
              <w:jc w:val="left"/>
              <w:rPr>
                <w:b/>
                <w:sz w:val="18"/>
              </w:rPr>
            </w:pPr>
            <w:r>
              <w:rPr>
                <w:b/>
                <w:w w:val="100"/>
                <w:sz w:val="18"/>
              </w:rPr>
              <w:t>Autoriz</w:t>
            </w:r>
            <w:r>
              <w:rPr>
                <w:b/>
                <w:w w:val="99"/>
                <w:sz w:val="18"/>
              </w:rPr>
              <w:t>a</w:t>
            </w:r>
            <w:r>
              <w:rPr>
                <w:b/>
                <w:w w:val="100"/>
                <w:sz w:val="18"/>
              </w:rPr>
              <w:t>do</w:t>
            </w:r>
          </w:p>
        </w:tc>
        <w:tc>
          <w:tcPr>
            <w:tcW w:w="1395"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18"/>
              <w:ind w:left="59"/>
              <w:jc w:val="left"/>
              <w:rPr>
                <w:b/>
                <w:sz w:val="18"/>
              </w:rPr>
            </w:pPr>
            <w:r>
              <w:rPr>
                <w:b/>
                <w:spacing w:val="1"/>
                <w:w w:val="99"/>
                <w:sz w:val="18"/>
              </w:rPr>
              <w:t>M</w:t>
            </w:r>
            <w:r>
              <w:rPr>
                <w:b/>
                <w:w w:val="100"/>
                <w:sz w:val="18"/>
              </w:rPr>
              <w:t>od</w:t>
            </w:r>
            <w:r>
              <w:rPr>
                <w:b/>
                <w:w w:val="100"/>
                <w:sz w:val="18"/>
              </w:rPr>
              <w:t>if</w:t>
            </w:r>
            <w:r>
              <w:rPr>
                <w:b/>
                <w:spacing w:val="-2"/>
                <w:w w:val="100"/>
                <w:sz w:val="18"/>
              </w:rPr>
              <w:t>i</w:t>
            </w:r>
            <w:r>
              <w:rPr>
                <w:b/>
                <w:spacing w:val="1"/>
                <w:w w:val="99"/>
                <w:sz w:val="18"/>
              </w:rPr>
              <w:t>c</w:t>
            </w:r>
            <w:r>
              <w:rPr>
                <w:b/>
                <w:w w:val="99"/>
                <w:sz w:val="18"/>
              </w:rPr>
              <w:t>a</w:t>
            </w:r>
            <w:r>
              <w:rPr>
                <w:b/>
                <w:w w:val="100"/>
                <w:sz w:val="18"/>
              </w:rPr>
              <w:t>do</w:t>
            </w:r>
          </w:p>
        </w:tc>
        <w:tc>
          <w:tcPr>
            <w:tcW w:w="164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
              <w:jc w:val="left"/>
              <w:rPr>
                <w:rFonts w:ascii="Times New Roman"/>
                <w:sz w:val="21"/>
              </w:rPr>
            </w:pPr>
          </w:p>
          <w:p>
            <w:pPr>
              <w:pStyle w:val="TableParagraph"/>
              <w:ind w:left="179"/>
              <w:jc w:val="left"/>
              <w:rPr>
                <w:b/>
                <w:sz w:val="18"/>
              </w:rPr>
            </w:pPr>
            <w:r>
              <w:rPr>
                <w:b/>
                <w:w w:val="100"/>
                <w:sz w:val="18"/>
              </w:rPr>
              <w:t>Eje</w:t>
            </w:r>
            <w:r>
              <w:rPr>
                <w:b/>
                <w:w w:val="99"/>
                <w:sz w:val="18"/>
              </w:rPr>
              <w:t>rci</w:t>
            </w:r>
            <w:r>
              <w:rPr>
                <w:b/>
                <w:w w:val="100"/>
                <w:sz w:val="18"/>
              </w:rPr>
              <w:t>do</w:t>
            </w:r>
          </w:p>
        </w:tc>
        <w:tc>
          <w:tcPr>
            <w:tcW w:w="1803"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115"/>
              <w:ind w:left="64"/>
              <w:jc w:val="left"/>
              <w:rPr>
                <w:b/>
                <w:sz w:val="18"/>
              </w:rPr>
            </w:pPr>
            <w:r>
              <w:rPr>
                <w:b/>
                <w:sz w:val="18"/>
              </w:rPr>
              <w:t>Por </w:t>
            </w:r>
            <w:r>
              <w:rPr>
                <w:b/>
                <w:w w:val="99"/>
                <w:sz w:val="18"/>
              </w:rPr>
              <w:t>e</w:t>
            </w:r>
            <w:r>
              <w:rPr>
                <w:b/>
                <w:w w:val="100"/>
                <w:sz w:val="18"/>
              </w:rPr>
              <w:t>je</w:t>
            </w:r>
            <w:r>
              <w:rPr>
                <w:b/>
                <w:w w:val="99"/>
                <w:sz w:val="18"/>
              </w:rPr>
              <w:t>rcer</w:t>
            </w:r>
          </w:p>
        </w:tc>
        <w:tc>
          <w:tcPr>
            <w:tcW w:w="1699"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7"/>
              <w:jc w:val="left"/>
              <w:rPr>
                <w:rFonts w:ascii="Times New Roman"/>
                <w:sz w:val="23"/>
              </w:rPr>
            </w:pPr>
          </w:p>
          <w:p>
            <w:pPr>
              <w:pStyle w:val="TableParagraph"/>
              <w:ind w:left="64"/>
              <w:jc w:val="left"/>
              <w:rPr>
                <w:b/>
                <w:sz w:val="18"/>
              </w:rPr>
            </w:pPr>
            <w:r>
              <w:rPr>
                <w:b/>
                <w:w w:val="100"/>
                <w:sz w:val="18"/>
              </w:rPr>
              <w:t>Autoriz</w:t>
            </w:r>
            <w:r>
              <w:rPr>
                <w:b/>
                <w:w w:val="99"/>
                <w:sz w:val="18"/>
              </w:rPr>
              <w:t>a</w:t>
            </w:r>
            <w:r>
              <w:rPr>
                <w:b/>
                <w:w w:val="100"/>
                <w:sz w:val="18"/>
              </w:rPr>
              <w:t>do</w:t>
            </w:r>
          </w:p>
        </w:tc>
        <w:tc>
          <w:tcPr>
            <w:tcW w:w="1510"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3"/>
              <w:jc w:val="left"/>
              <w:rPr>
                <w:rFonts w:ascii="Times New Roman"/>
                <w:sz w:val="15"/>
              </w:rPr>
            </w:pPr>
          </w:p>
          <w:p>
            <w:pPr>
              <w:pStyle w:val="TableParagraph"/>
              <w:ind w:left="59"/>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64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1"/>
              <w:jc w:val="left"/>
              <w:rPr>
                <w:rFonts w:ascii="Times New Roman"/>
                <w:sz w:val="20"/>
              </w:rPr>
            </w:pPr>
          </w:p>
          <w:p>
            <w:pPr>
              <w:pStyle w:val="TableParagraph"/>
              <w:ind w:left="179"/>
              <w:jc w:val="left"/>
              <w:rPr>
                <w:b/>
                <w:sz w:val="18"/>
              </w:rPr>
            </w:pPr>
            <w:r>
              <w:rPr>
                <w:b/>
                <w:w w:val="100"/>
                <w:sz w:val="18"/>
              </w:rPr>
              <w:t>Eje</w:t>
            </w:r>
            <w:r>
              <w:rPr>
                <w:b/>
                <w:w w:val="99"/>
                <w:sz w:val="18"/>
              </w:rPr>
              <w:t>rci</w:t>
            </w:r>
            <w:r>
              <w:rPr>
                <w:b/>
                <w:w w:val="100"/>
                <w:sz w:val="18"/>
              </w:rPr>
              <w:t>do</w:t>
            </w:r>
          </w:p>
        </w:tc>
        <w:tc>
          <w:tcPr>
            <w:tcW w:w="164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0"/>
              </w:rPr>
            </w:pPr>
          </w:p>
          <w:p>
            <w:pPr>
              <w:pStyle w:val="TableParagraph"/>
              <w:ind w:left="64"/>
              <w:jc w:val="left"/>
              <w:rPr>
                <w:b/>
                <w:sz w:val="18"/>
              </w:rPr>
            </w:pPr>
            <w:r>
              <w:rPr>
                <w:b/>
                <w:sz w:val="18"/>
              </w:rPr>
              <w:t>Por </w:t>
            </w:r>
            <w:r>
              <w:rPr>
                <w:b/>
                <w:w w:val="99"/>
                <w:sz w:val="18"/>
              </w:rPr>
              <w:t>e</w:t>
            </w:r>
            <w:r>
              <w:rPr>
                <w:b/>
                <w:w w:val="100"/>
                <w:sz w:val="18"/>
              </w:rPr>
              <w:t>je</w:t>
            </w:r>
            <w:r>
              <w:rPr>
                <w:b/>
                <w:w w:val="99"/>
                <w:sz w:val="18"/>
              </w:rPr>
              <w:t>rcer</w:t>
            </w:r>
          </w:p>
        </w:tc>
      </w:tr>
      <w:tr>
        <w:trPr>
          <w:trHeight w:val="521" w:hRule="exact"/>
        </w:trPr>
        <w:tc>
          <w:tcPr>
            <w:tcW w:w="1620" w:type="dxa"/>
          </w:tcPr>
          <w:p>
            <w:pPr>
              <w:pStyle w:val="TableParagraph"/>
              <w:spacing w:before="95"/>
              <w:ind w:left="64"/>
              <w:jc w:val="left"/>
              <w:rPr>
                <w:b/>
                <w:sz w:val="18"/>
              </w:rPr>
            </w:pPr>
            <w:r>
              <w:rPr>
                <w:b/>
                <w:color w:val="333333"/>
                <w:sz w:val="18"/>
              </w:rPr>
              <w:t>CHIAUTLA</w:t>
            </w:r>
          </w:p>
        </w:tc>
        <w:tc>
          <w:tcPr>
            <w:tcW w:w="1642" w:type="dxa"/>
          </w:tcPr>
          <w:p>
            <w:pPr>
              <w:pStyle w:val="TableParagraph"/>
              <w:spacing w:before="100"/>
              <w:ind w:left="45" w:right="44"/>
              <w:rPr>
                <w:sz w:val="18"/>
              </w:rPr>
            </w:pPr>
            <w:r>
              <w:rPr>
                <w:sz w:val="18"/>
              </w:rPr>
              <w:t>$0.00</w:t>
            </w:r>
          </w:p>
        </w:tc>
        <w:tc>
          <w:tcPr>
            <w:tcW w:w="1395" w:type="dxa"/>
          </w:tcPr>
          <w:p>
            <w:pPr>
              <w:pStyle w:val="TableParagraph"/>
              <w:spacing w:before="100"/>
              <w:ind w:left="96" w:right="97"/>
              <w:rPr>
                <w:sz w:val="18"/>
              </w:rPr>
            </w:pPr>
            <w:r>
              <w:rPr>
                <w:sz w:val="18"/>
              </w:rPr>
              <w:t>$0.00</w:t>
            </w:r>
          </w:p>
        </w:tc>
        <w:tc>
          <w:tcPr>
            <w:tcW w:w="1642" w:type="dxa"/>
          </w:tcPr>
          <w:p>
            <w:pPr>
              <w:pStyle w:val="TableParagraph"/>
              <w:spacing w:before="100"/>
              <w:ind w:left="45" w:right="44"/>
              <w:rPr>
                <w:sz w:val="18"/>
              </w:rPr>
            </w:pPr>
            <w:r>
              <w:rPr>
                <w:sz w:val="18"/>
              </w:rPr>
              <w:t>$0.00</w:t>
            </w:r>
          </w:p>
        </w:tc>
        <w:tc>
          <w:tcPr>
            <w:tcW w:w="1803" w:type="dxa"/>
          </w:tcPr>
          <w:p>
            <w:pPr>
              <w:pStyle w:val="TableParagraph"/>
              <w:spacing w:before="100"/>
              <w:ind w:left="124" w:right="125"/>
              <w:rPr>
                <w:sz w:val="18"/>
              </w:rPr>
            </w:pPr>
            <w:r>
              <w:rPr>
                <w:sz w:val="18"/>
              </w:rPr>
              <w:t>$0.00</w:t>
            </w:r>
          </w:p>
        </w:tc>
        <w:tc>
          <w:tcPr>
            <w:tcW w:w="1699" w:type="dxa"/>
          </w:tcPr>
          <w:p>
            <w:pPr>
              <w:pStyle w:val="TableParagraph"/>
              <w:spacing w:before="100"/>
              <w:ind w:left="74" w:right="73"/>
              <w:rPr>
                <w:sz w:val="18"/>
              </w:rPr>
            </w:pPr>
            <w:r>
              <w:rPr>
                <w:sz w:val="18"/>
              </w:rPr>
              <w:t>$0.00</w:t>
            </w:r>
          </w:p>
        </w:tc>
        <w:tc>
          <w:tcPr>
            <w:tcW w:w="1510" w:type="dxa"/>
          </w:tcPr>
          <w:p>
            <w:pPr>
              <w:pStyle w:val="TableParagraph"/>
              <w:spacing w:before="100"/>
              <w:ind w:right="520"/>
              <w:jc w:val="right"/>
              <w:rPr>
                <w:sz w:val="18"/>
              </w:rPr>
            </w:pPr>
            <w:r>
              <w:rPr>
                <w:w w:val="95"/>
                <w:sz w:val="18"/>
              </w:rPr>
              <w:t>$0.00</w:t>
            </w:r>
          </w:p>
        </w:tc>
        <w:tc>
          <w:tcPr>
            <w:tcW w:w="1642" w:type="dxa"/>
          </w:tcPr>
          <w:p>
            <w:pPr>
              <w:pStyle w:val="TableParagraph"/>
              <w:spacing w:before="100"/>
              <w:ind w:left="45" w:right="44"/>
              <w:rPr>
                <w:sz w:val="18"/>
              </w:rPr>
            </w:pPr>
            <w:r>
              <w:rPr>
                <w:sz w:val="18"/>
              </w:rPr>
              <w:t>$0.00</w:t>
            </w:r>
          </w:p>
        </w:tc>
        <w:tc>
          <w:tcPr>
            <w:tcW w:w="1642" w:type="dxa"/>
          </w:tcPr>
          <w:p>
            <w:pPr>
              <w:pStyle w:val="TableParagraph"/>
              <w:spacing w:before="100"/>
              <w:ind w:left="45" w:right="44"/>
              <w:rPr>
                <w:sz w:val="18"/>
              </w:rPr>
            </w:pPr>
            <w:r>
              <w:rPr>
                <w:sz w:val="18"/>
              </w:rPr>
              <w:t>$0.00</w:t>
            </w:r>
          </w:p>
        </w:tc>
      </w:tr>
      <w:tr>
        <w:trPr>
          <w:trHeight w:val="521" w:hRule="exact"/>
        </w:trPr>
        <w:tc>
          <w:tcPr>
            <w:tcW w:w="1620" w:type="dxa"/>
          </w:tcPr>
          <w:p>
            <w:pPr>
              <w:pStyle w:val="TableParagraph"/>
              <w:spacing w:before="95"/>
              <w:ind w:left="64"/>
              <w:jc w:val="left"/>
              <w:rPr>
                <w:b/>
                <w:sz w:val="18"/>
              </w:rPr>
            </w:pPr>
            <w:r>
              <w:rPr>
                <w:b/>
                <w:color w:val="333333"/>
                <w:sz w:val="18"/>
              </w:rPr>
              <w:t>CHICOLOAPAN</w:t>
            </w:r>
          </w:p>
        </w:tc>
        <w:tc>
          <w:tcPr>
            <w:tcW w:w="1642" w:type="dxa"/>
          </w:tcPr>
          <w:p>
            <w:pPr>
              <w:pStyle w:val="TableParagraph"/>
              <w:spacing w:before="100"/>
              <w:ind w:left="45" w:right="45"/>
              <w:rPr>
                <w:sz w:val="18"/>
              </w:rPr>
            </w:pPr>
            <w:r>
              <w:rPr>
                <w:sz w:val="18"/>
              </w:rPr>
              <w:t>$369,010,847.61</w:t>
            </w:r>
          </w:p>
        </w:tc>
        <w:tc>
          <w:tcPr>
            <w:tcW w:w="1395" w:type="dxa"/>
          </w:tcPr>
          <w:p>
            <w:pPr>
              <w:pStyle w:val="TableParagraph"/>
              <w:spacing w:before="100"/>
              <w:ind w:left="96" w:right="97"/>
              <w:rPr>
                <w:sz w:val="18"/>
              </w:rPr>
            </w:pPr>
            <w:r>
              <w:rPr>
                <w:sz w:val="18"/>
              </w:rPr>
              <w:t>$0.00</w:t>
            </w:r>
          </w:p>
        </w:tc>
        <w:tc>
          <w:tcPr>
            <w:tcW w:w="1642" w:type="dxa"/>
          </w:tcPr>
          <w:p>
            <w:pPr>
              <w:pStyle w:val="TableParagraph"/>
              <w:spacing w:before="100"/>
              <w:ind w:left="45" w:right="45"/>
              <w:rPr>
                <w:sz w:val="18"/>
              </w:rPr>
            </w:pPr>
            <w:r>
              <w:rPr>
                <w:sz w:val="18"/>
              </w:rPr>
              <w:t>$315,459,782.58</w:t>
            </w:r>
          </w:p>
        </w:tc>
        <w:tc>
          <w:tcPr>
            <w:tcW w:w="1803" w:type="dxa"/>
          </w:tcPr>
          <w:p>
            <w:pPr>
              <w:pStyle w:val="TableParagraph"/>
              <w:spacing w:before="100"/>
              <w:ind w:left="123" w:right="125"/>
              <w:rPr>
                <w:sz w:val="18"/>
              </w:rPr>
            </w:pPr>
            <w:r>
              <w:rPr>
                <w:sz w:val="18"/>
              </w:rPr>
              <w:t>$53,551,065.03</w:t>
            </w:r>
          </w:p>
        </w:tc>
        <w:tc>
          <w:tcPr>
            <w:tcW w:w="1699" w:type="dxa"/>
          </w:tcPr>
          <w:p>
            <w:pPr>
              <w:pStyle w:val="TableParagraph"/>
              <w:spacing w:before="100"/>
              <w:ind w:left="74" w:right="74"/>
              <w:rPr>
                <w:sz w:val="18"/>
              </w:rPr>
            </w:pPr>
            <w:r>
              <w:rPr>
                <w:sz w:val="18"/>
              </w:rPr>
              <w:t>$332,892,346.00</w:t>
            </w:r>
          </w:p>
        </w:tc>
        <w:tc>
          <w:tcPr>
            <w:tcW w:w="1510" w:type="dxa"/>
          </w:tcPr>
          <w:p>
            <w:pPr>
              <w:pStyle w:val="TableParagraph"/>
              <w:spacing w:before="100"/>
              <w:ind w:right="520"/>
              <w:jc w:val="right"/>
              <w:rPr>
                <w:sz w:val="18"/>
              </w:rPr>
            </w:pPr>
            <w:r>
              <w:rPr>
                <w:w w:val="95"/>
                <w:sz w:val="18"/>
              </w:rPr>
              <w:t>$0.00</w:t>
            </w:r>
          </w:p>
        </w:tc>
        <w:tc>
          <w:tcPr>
            <w:tcW w:w="1642" w:type="dxa"/>
          </w:tcPr>
          <w:p>
            <w:pPr>
              <w:pStyle w:val="TableParagraph"/>
              <w:spacing w:before="100"/>
              <w:ind w:left="44" w:right="45"/>
              <w:rPr>
                <w:sz w:val="18"/>
              </w:rPr>
            </w:pPr>
            <w:r>
              <w:rPr>
                <w:sz w:val="18"/>
              </w:rPr>
              <w:t>$142,711,819.63</w:t>
            </w:r>
          </w:p>
        </w:tc>
        <w:tc>
          <w:tcPr>
            <w:tcW w:w="1642" w:type="dxa"/>
          </w:tcPr>
          <w:p>
            <w:pPr>
              <w:pStyle w:val="TableParagraph"/>
              <w:spacing w:before="100"/>
              <w:ind w:left="45" w:right="45"/>
              <w:rPr>
                <w:sz w:val="18"/>
              </w:rPr>
            </w:pPr>
            <w:r>
              <w:rPr>
                <w:sz w:val="18"/>
              </w:rPr>
              <w:t>$190,180,526.37</w:t>
            </w:r>
          </w:p>
        </w:tc>
      </w:tr>
      <w:tr>
        <w:trPr>
          <w:trHeight w:val="518" w:hRule="exact"/>
        </w:trPr>
        <w:tc>
          <w:tcPr>
            <w:tcW w:w="1620" w:type="dxa"/>
          </w:tcPr>
          <w:p>
            <w:pPr>
              <w:pStyle w:val="TableParagraph"/>
              <w:spacing w:before="92"/>
              <w:ind w:left="64"/>
              <w:jc w:val="left"/>
              <w:rPr>
                <w:b/>
                <w:sz w:val="18"/>
              </w:rPr>
            </w:pPr>
            <w:r>
              <w:rPr>
                <w:b/>
                <w:color w:val="333333"/>
                <w:sz w:val="18"/>
              </w:rPr>
              <w:t>CHICONCUAC</w:t>
            </w:r>
          </w:p>
        </w:tc>
        <w:tc>
          <w:tcPr>
            <w:tcW w:w="1642" w:type="dxa"/>
          </w:tcPr>
          <w:p>
            <w:pPr>
              <w:pStyle w:val="TableParagraph"/>
              <w:spacing w:before="97"/>
              <w:ind w:left="45" w:right="45"/>
              <w:rPr>
                <w:sz w:val="18"/>
              </w:rPr>
            </w:pPr>
            <w:r>
              <w:rPr>
                <w:sz w:val="18"/>
              </w:rPr>
              <w:t>$127,658,372.00</w:t>
            </w:r>
          </w:p>
        </w:tc>
        <w:tc>
          <w:tcPr>
            <w:tcW w:w="1395" w:type="dxa"/>
          </w:tcPr>
          <w:p>
            <w:pPr>
              <w:pStyle w:val="TableParagraph"/>
              <w:spacing w:before="97"/>
              <w:ind w:left="96" w:right="97"/>
              <w:rPr>
                <w:sz w:val="18"/>
              </w:rPr>
            </w:pPr>
            <w:r>
              <w:rPr>
                <w:sz w:val="18"/>
              </w:rPr>
              <w:t>$0.00</w:t>
            </w:r>
          </w:p>
        </w:tc>
        <w:tc>
          <w:tcPr>
            <w:tcW w:w="1642" w:type="dxa"/>
          </w:tcPr>
          <w:p>
            <w:pPr>
              <w:pStyle w:val="TableParagraph"/>
              <w:spacing w:before="97"/>
              <w:ind w:left="45" w:right="44"/>
              <w:rPr>
                <w:sz w:val="18"/>
              </w:rPr>
            </w:pPr>
            <w:r>
              <w:rPr>
                <w:sz w:val="18"/>
              </w:rPr>
              <w:t>$0.00</w:t>
            </w:r>
          </w:p>
        </w:tc>
        <w:tc>
          <w:tcPr>
            <w:tcW w:w="1803" w:type="dxa"/>
          </w:tcPr>
          <w:p>
            <w:pPr>
              <w:pStyle w:val="TableParagraph"/>
              <w:spacing w:before="97"/>
              <w:ind w:left="122" w:right="125"/>
              <w:rPr>
                <w:sz w:val="18"/>
              </w:rPr>
            </w:pPr>
            <w:r>
              <w:rPr>
                <w:sz w:val="18"/>
              </w:rPr>
              <w:t>$127,658,372.00</w:t>
            </w:r>
          </w:p>
        </w:tc>
        <w:tc>
          <w:tcPr>
            <w:tcW w:w="1699" w:type="dxa"/>
          </w:tcPr>
          <w:p>
            <w:pPr>
              <w:pStyle w:val="TableParagraph"/>
              <w:spacing w:before="97"/>
              <w:ind w:left="74" w:right="74"/>
              <w:rPr>
                <w:sz w:val="18"/>
              </w:rPr>
            </w:pPr>
            <w:r>
              <w:rPr>
                <w:sz w:val="18"/>
              </w:rPr>
              <w:t>$120,000,000.00</w:t>
            </w:r>
          </w:p>
        </w:tc>
        <w:tc>
          <w:tcPr>
            <w:tcW w:w="1510" w:type="dxa"/>
          </w:tcPr>
          <w:p>
            <w:pPr>
              <w:pStyle w:val="TableParagraph"/>
              <w:spacing w:before="97"/>
              <w:ind w:right="520"/>
              <w:jc w:val="right"/>
              <w:rPr>
                <w:sz w:val="18"/>
              </w:rPr>
            </w:pPr>
            <w:r>
              <w:rPr>
                <w:w w:val="95"/>
                <w:sz w:val="18"/>
              </w:rPr>
              <w:t>$0.00</w:t>
            </w:r>
          </w:p>
        </w:tc>
        <w:tc>
          <w:tcPr>
            <w:tcW w:w="1642" w:type="dxa"/>
          </w:tcPr>
          <w:p>
            <w:pPr>
              <w:pStyle w:val="TableParagraph"/>
              <w:spacing w:before="97"/>
              <w:ind w:left="45" w:right="44"/>
              <w:rPr>
                <w:sz w:val="18"/>
              </w:rPr>
            </w:pPr>
            <w:r>
              <w:rPr>
                <w:sz w:val="18"/>
              </w:rPr>
              <w:t>$0.00</w:t>
            </w:r>
          </w:p>
        </w:tc>
        <w:tc>
          <w:tcPr>
            <w:tcW w:w="1642" w:type="dxa"/>
          </w:tcPr>
          <w:p>
            <w:pPr>
              <w:pStyle w:val="TableParagraph"/>
              <w:spacing w:before="97"/>
              <w:ind w:left="45" w:right="45"/>
              <w:rPr>
                <w:sz w:val="18"/>
              </w:rPr>
            </w:pPr>
            <w:r>
              <w:rPr>
                <w:sz w:val="18"/>
              </w:rPr>
              <w:t>$120,000,000.00</w:t>
            </w:r>
          </w:p>
        </w:tc>
      </w:tr>
      <w:tr>
        <w:trPr>
          <w:trHeight w:val="521" w:hRule="exact"/>
        </w:trPr>
        <w:tc>
          <w:tcPr>
            <w:tcW w:w="1620" w:type="dxa"/>
          </w:tcPr>
          <w:p>
            <w:pPr>
              <w:pStyle w:val="TableParagraph"/>
              <w:spacing w:before="95"/>
              <w:ind w:left="64"/>
              <w:jc w:val="left"/>
              <w:rPr>
                <w:b/>
                <w:sz w:val="18"/>
              </w:rPr>
            </w:pPr>
            <w:r>
              <w:rPr>
                <w:b/>
                <w:color w:val="333333"/>
                <w:sz w:val="18"/>
              </w:rPr>
              <w:t>CHIMALHUACAN</w:t>
            </w:r>
          </w:p>
        </w:tc>
        <w:tc>
          <w:tcPr>
            <w:tcW w:w="1642" w:type="dxa"/>
          </w:tcPr>
          <w:p>
            <w:pPr>
              <w:pStyle w:val="TableParagraph"/>
              <w:spacing w:before="100"/>
              <w:ind w:left="45" w:right="45"/>
              <w:rPr>
                <w:sz w:val="18"/>
              </w:rPr>
            </w:pPr>
            <w:r>
              <w:rPr>
                <w:sz w:val="18"/>
              </w:rPr>
              <w:t>$1,751,620,630.00</w:t>
            </w:r>
          </w:p>
        </w:tc>
        <w:tc>
          <w:tcPr>
            <w:tcW w:w="1395" w:type="dxa"/>
          </w:tcPr>
          <w:p>
            <w:pPr>
              <w:pStyle w:val="TableParagraph"/>
              <w:spacing w:before="100"/>
              <w:ind w:left="96" w:right="97"/>
              <w:rPr>
                <w:sz w:val="18"/>
              </w:rPr>
            </w:pPr>
            <w:r>
              <w:rPr>
                <w:sz w:val="18"/>
              </w:rPr>
              <w:t>$0.00</w:t>
            </w:r>
          </w:p>
        </w:tc>
        <w:tc>
          <w:tcPr>
            <w:tcW w:w="1642" w:type="dxa"/>
          </w:tcPr>
          <w:p>
            <w:pPr>
              <w:pStyle w:val="TableParagraph"/>
              <w:spacing w:before="100"/>
              <w:ind w:left="45" w:right="45"/>
              <w:rPr>
                <w:sz w:val="18"/>
              </w:rPr>
            </w:pPr>
            <w:r>
              <w:rPr>
                <w:sz w:val="18"/>
              </w:rPr>
              <w:t>$1,455,897,035.09</w:t>
            </w:r>
          </w:p>
        </w:tc>
        <w:tc>
          <w:tcPr>
            <w:tcW w:w="1803" w:type="dxa"/>
          </w:tcPr>
          <w:p>
            <w:pPr>
              <w:pStyle w:val="TableParagraph"/>
              <w:spacing w:before="100"/>
              <w:ind w:left="122" w:right="125"/>
              <w:rPr>
                <w:sz w:val="18"/>
              </w:rPr>
            </w:pPr>
            <w:r>
              <w:rPr>
                <w:sz w:val="18"/>
              </w:rPr>
              <w:t>$295,723,594.91</w:t>
            </w:r>
          </w:p>
        </w:tc>
        <w:tc>
          <w:tcPr>
            <w:tcW w:w="1699" w:type="dxa"/>
          </w:tcPr>
          <w:p>
            <w:pPr>
              <w:pStyle w:val="TableParagraph"/>
              <w:spacing w:before="100"/>
              <w:ind w:left="74" w:right="74"/>
              <w:rPr>
                <w:sz w:val="18"/>
              </w:rPr>
            </w:pPr>
            <w:r>
              <w:rPr>
                <w:sz w:val="18"/>
              </w:rPr>
              <w:t>$1,805,500,000.00</w:t>
            </w:r>
          </w:p>
        </w:tc>
        <w:tc>
          <w:tcPr>
            <w:tcW w:w="1510" w:type="dxa"/>
          </w:tcPr>
          <w:p>
            <w:pPr>
              <w:pStyle w:val="TableParagraph"/>
              <w:spacing w:before="100"/>
              <w:ind w:right="520"/>
              <w:jc w:val="right"/>
              <w:rPr>
                <w:sz w:val="18"/>
              </w:rPr>
            </w:pPr>
            <w:r>
              <w:rPr>
                <w:w w:val="95"/>
                <w:sz w:val="18"/>
              </w:rPr>
              <w:t>$0.00</w:t>
            </w:r>
          </w:p>
        </w:tc>
        <w:tc>
          <w:tcPr>
            <w:tcW w:w="1642" w:type="dxa"/>
          </w:tcPr>
          <w:p>
            <w:pPr>
              <w:pStyle w:val="TableParagraph"/>
              <w:spacing w:before="100"/>
              <w:ind w:left="45" w:right="45"/>
              <w:rPr>
                <w:sz w:val="18"/>
              </w:rPr>
            </w:pPr>
            <w:r>
              <w:rPr>
                <w:sz w:val="18"/>
              </w:rPr>
              <w:t>$1,994,164,478.00</w:t>
            </w:r>
          </w:p>
        </w:tc>
        <w:tc>
          <w:tcPr>
            <w:tcW w:w="1642" w:type="dxa"/>
          </w:tcPr>
          <w:p>
            <w:pPr>
              <w:pStyle w:val="TableParagraph"/>
              <w:spacing w:before="100"/>
              <w:ind w:left="45" w:right="45"/>
              <w:rPr>
                <w:sz w:val="18"/>
              </w:rPr>
            </w:pPr>
            <w:r>
              <w:rPr>
                <w:sz w:val="18"/>
              </w:rPr>
              <w:t>$188,664,478.00</w:t>
            </w:r>
          </w:p>
        </w:tc>
      </w:tr>
      <w:tr>
        <w:trPr>
          <w:trHeight w:val="776" w:hRule="exact"/>
        </w:trPr>
        <w:tc>
          <w:tcPr>
            <w:tcW w:w="1620" w:type="dxa"/>
          </w:tcPr>
          <w:p>
            <w:pPr>
              <w:pStyle w:val="TableParagraph"/>
              <w:spacing w:line="362" w:lineRule="auto" w:before="66"/>
              <w:ind w:left="64"/>
              <w:jc w:val="left"/>
              <w:rPr>
                <w:b/>
                <w:sz w:val="18"/>
              </w:rPr>
            </w:pPr>
            <w:r>
              <w:rPr>
                <w:b/>
                <w:color w:val="333333"/>
                <w:sz w:val="18"/>
              </w:rPr>
              <w:t>COACALCO DE BERRIOZABAL</w:t>
            </w:r>
          </w:p>
        </w:tc>
        <w:tc>
          <w:tcPr>
            <w:tcW w:w="1642" w:type="dxa"/>
          </w:tcPr>
          <w:p>
            <w:pPr>
              <w:pStyle w:val="TableParagraph"/>
              <w:spacing w:before="8"/>
              <w:jc w:val="left"/>
              <w:rPr>
                <w:rFonts w:ascii="Times New Roman"/>
                <w:sz w:val="19"/>
              </w:rPr>
            </w:pPr>
          </w:p>
          <w:p>
            <w:pPr>
              <w:pStyle w:val="TableParagraph"/>
              <w:ind w:left="44" w:right="45"/>
              <w:rPr>
                <w:sz w:val="18"/>
              </w:rPr>
            </w:pPr>
            <w:r>
              <w:rPr>
                <w:sz w:val="18"/>
              </w:rPr>
              <w:t>$831,848,966.92</w:t>
            </w:r>
          </w:p>
        </w:tc>
        <w:tc>
          <w:tcPr>
            <w:tcW w:w="1395" w:type="dxa"/>
          </w:tcPr>
          <w:p>
            <w:pPr>
              <w:pStyle w:val="TableParagraph"/>
              <w:spacing w:before="8"/>
              <w:jc w:val="left"/>
              <w:rPr>
                <w:rFonts w:ascii="Times New Roman"/>
                <w:sz w:val="19"/>
              </w:rPr>
            </w:pPr>
          </w:p>
          <w:p>
            <w:pPr>
              <w:pStyle w:val="TableParagraph"/>
              <w:ind w:left="96" w:right="97"/>
              <w:rPr>
                <w:sz w:val="18"/>
              </w:rPr>
            </w:pPr>
            <w:r>
              <w:rPr>
                <w:sz w:val="18"/>
              </w:rPr>
              <w:t>$0.00</w:t>
            </w:r>
          </w:p>
        </w:tc>
        <w:tc>
          <w:tcPr>
            <w:tcW w:w="1642" w:type="dxa"/>
          </w:tcPr>
          <w:p>
            <w:pPr>
              <w:pStyle w:val="TableParagraph"/>
              <w:spacing w:before="8"/>
              <w:jc w:val="left"/>
              <w:rPr>
                <w:rFonts w:ascii="Times New Roman"/>
                <w:sz w:val="19"/>
              </w:rPr>
            </w:pPr>
          </w:p>
          <w:p>
            <w:pPr>
              <w:pStyle w:val="TableParagraph"/>
              <w:ind w:left="45" w:right="44"/>
              <w:rPr>
                <w:sz w:val="18"/>
              </w:rPr>
            </w:pPr>
            <w:r>
              <w:rPr>
                <w:sz w:val="18"/>
              </w:rPr>
              <w:t>$0.00</w:t>
            </w:r>
          </w:p>
        </w:tc>
        <w:tc>
          <w:tcPr>
            <w:tcW w:w="1803" w:type="dxa"/>
          </w:tcPr>
          <w:p>
            <w:pPr>
              <w:pStyle w:val="TableParagraph"/>
              <w:spacing w:before="8"/>
              <w:jc w:val="left"/>
              <w:rPr>
                <w:rFonts w:ascii="Times New Roman"/>
                <w:sz w:val="19"/>
              </w:rPr>
            </w:pPr>
          </w:p>
          <w:p>
            <w:pPr>
              <w:pStyle w:val="TableParagraph"/>
              <w:ind w:left="122" w:right="125"/>
              <w:rPr>
                <w:sz w:val="18"/>
              </w:rPr>
            </w:pPr>
            <w:r>
              <w:rPr>
                <w:sz w:val="18"/>
              </w:rPr>
              <w:t>$831,848,966.92</w:t>
            </w:r>
          </w:p>
        </w:tc>
        <w:tc>
          <w:tcPr>
            <w:tcW w:w="1699" w:type="dxa"/>
          </w:tcPr>
          <w:p>
            <w:pPr>
              <w:pStyle w:val="TableParagraph"/>
              <w:spacing w:before="8"/>
              <w:jc w:val="left"/>
              <w:rPr>
                <w:rFonts w:ascii="Times New Roman"/>
                <w:sz w:val="19"/>
              </w:rPr>
            </w:pPr>
          </w:p>
          <w:p>
            <w:pPr>
              <w:pStyle w:val="TableParagraph"/>
              <w:ind w:left="74" w:right="74"/>
              <w:rPr>
                <w:sz w:val="18"/>
              </w:rPr>
            </w:pPr>
            <w:r>
              <w:rPr>
                <w:sz w:val="18"/>
              </w:rPr>
              <w:t>$774,176,242.00</w:t>
            </w:r>
          </w:p>
        </w:tc>
        <w:tc>
          <w:tcPr>
            <w:tcW w:w="1510" w:type="dxa"/>
          </w:tcPr>
          <w:p>
            <w:pPr>
              <w:pStyle w:val="TableParagraph"/>
              <w:spacing w:before="8"/>
              <w:jc w:val="left"/>
              <w:rPr>
                <w:rFonts w:ascii="Times New Roman"/>
                <w:sz w:val="19"/>
              </w:rPr>
            </w:pPr>
          </w:p>
          <w:p>
            <w:pPr>
              <w:pStyle w:val="TableParagraph"/>
              <w:ind w:right="520"/>
              <w:jc w:val="right"/>
              <w:rPr>
                <w:sz w:val="18"/>
              </w:rPr>
            </w:pPr>
            <w:r>
              <w:rPr>
                <w:w w:val="95"/>
                <w:sz w:val="18"/>
              </w:rPr>
              <w:t>$0.00</w:t>
            </w:r>
          </w:p>
        </w:tc>
        <w:tc>
          <w:tcPr>
            <w:tcW w:w="1642" w:type="dxa"/>
          </w:tcPr>
          <w:p>
            <w:pPr>
              <w:pStyle w:val="TableParagraph"/>
              <w:spacing w:before="8"/>
              <w:jc w:val="left"/>
              <w:rPr>
                <w:rFonts w:ascii="Times New Roman"/>
                <w:sz w:val="19"/>
              </w:rPr>
            </w:pPr>
          </w:p>
          <w:p>
            <w:pPr>
              <w:pStyle w:val="TableParagraph"/>
              <w:ind w:left="45" w:right="44"/>
              <w:rPr>
                <w:sz w:val="18"/>
              </w:rPr>
            </w:pPr>
            <w:r>
              <w:rPr>
                <w:sz w:val="18"/>
              </w:rPr>
              <w:t>$0.00</w:t>
            </w:r>
          </w:p>
        </w:tc>
        <w:tc>
          <w:tcPr>
            <w:tcW w:w="1642" w:type="dxa"/>
          </w:tcPr>
          <w:p>
            <w:pPr>
              <w:pStyle w:val="TableParagraph"/>
              <w:spacing w:before="8"/>
              <w:jc w:val="left"/>
              <w:rPr>
                <w:rFonts w:ascii="Times New Roman"/>
                <w:sz w:val="19"/>
              </w:rPr>
            </w:pPr>
          </w:p>
          <w:p>
            <w:pPr>
              <w:pStyle w:val="TableParagraph"/>
              <w:ind w:left="45" w:right="45"/>
              <w:rPr>
                <w:sz w:val="18"/>
              </w:rPr>
            </w:pPr>
            <w:r>
              <w:rPr>
                <w:sz w:val="18"/>
              </w:rPr>
              <w:t>$774,176,242.00</w:t>
            </w:r>
          </w:p>
        </w:tc>
      </w:tr>
      <w:tr>
        <w:trPr>
          <w:trHeight w:val="631" w:hRule="exact"/>
        </w:trPr>
        <w:tc>
          <w:tcPr>
            <w:tcW w:w="1620" w:type="dxa"/>
          </w:tcPr>
          <w:p>
            <w:pPr>
              <w:pStyle w:val="TableParagraph"/>
              <w:spacing w:line="360" w:lineRule="auto"/>
              <w:ind w:left="64" w:right="526"/>
              <w:jc w:val="left"/>
              <w:rPr>
                <w:b/>
                <w:sz w:val="18"/>
              </w:rPr>
            </w:pPr>
            <w:r>
              <w:rPr>
                <w:b/>
                <w:color w:val="333333"/>
                <w:sz w:val="18"/>
              </w:rPr>
              <w:t>COATEPEC HARINAS</w:t>
            </w:r>
          </w:p>
        </w:tc>
        <w:tc>
          <w:tcPr>
            <w:tcW w:w="1642" w:type="dxa"/>
          </w:tcPr>
          <w:p>
            <w:pPr>
              <w:pStyle w:val="TableParagraph"/>
              <w:spacing w:before="155"/>
              <w:ind w:left="45" w:right="45"/>
              <w:rPr>
                <w:sz w:val="18"/>
              </w:rPr>
            </w:pPr>
            <w:r>
              <w:rPr>
                <w:sz w:val="18"/>
              </w:rPr>
              <w:t>$4,785,148.00</w:t>
            </w:r>
          </w:p>
        </w:tc>
        <w:tc>
          <w:tcPr>
            <w:tcW w:w="1395" w:type="dxa"/>
          </w:tcPr>
          <w:p>
            <w:pPr>
              <w:pStyle w:val="TableParagraph"/>
              <w:spacing w:before="155"/>
              <w:ind w:left="96" w:right="97"/>
              <w:rPr>
                <w:sz w:val="18"/>
              </w:rPr>
            </w:pPr>
            <w:r>
              <w:rPr>
                <w:sz w:val="18"/>
              </w:rPr>
              <w:t>$0.00</w:t>
            </w:r>
          </w:p>
        </w:tc>
        <w:tc>
          <w:tcPr>
            <w:tcW w:w="1642" w:type="dxa"/>
          </w:tcPr>
          <w:p>
            <w:pPr>
              <w:pStyle w:val="TableParagraph"/>
              <w:spacing w:before="155"/>
              <w:ind w:left="45" w:right="44"/>
              <w:rPr>
                <w:sz w:val="18"/>
              </w:rPr>
            </w:pPr>
            <w:r>
              <w:rPr>
                <w:sz w:val="18"/>
              </w:rPr>
              <w:t>$0.00</w:t>
            </w:r>
          </w:p>
        </w:tc>
        <w:tc>
          <w:tcPr>
            <w:tcW w:w="1803" w:type="dxa"/>
          </w:tcPr>
          <w:p>
            <w:pPr>
              <w:pStyle w:val="TableParagraph"/>
              <w:spacing w:before="155"/>
              <w:ind w:left="125" w:right="125"/>
              <w:rPr>
                <w:sz w:val="18"/>
              </w:rPr>
            </w:pPr>
            <w:r>
              <w:rPr>
                <w:sz w:val="18"/>
              </w:rPr>
              <w:t>$4,785,148.00</w:t>
            </w:r>
          </w:p>
        </w:tc>
        <w:tc>
          <w:tcPr>
            <w:tcW w:w="1699" w:type="dxa"/>
          </w:tcPr>
          <w:p>
            <w:pPr>
              <w:pStyle w:val="TableParagraph"/>
              <w:spacing w:before="155"/>
              <w:ind w:left="74" w:right="74"/>
              <w:rPr>
                <w:sz w:val="18"/>
              </w:rPr>
            </w:pPr>
            <w:r>
              <w:rPr>
                <w:sz w:val="18"/>
              </w:rPr>
              <w:t>$120,760,292.01</w:t>
            </w:r>
          </w:p>
        </w:tc>
        <w:tc>
          <w:tcPr>
            <w:tcW w:w="1510" w:type="dxa"/>
          </w:tcPr>
          <w:p>
            <w:pPr>
              <w:pStyle w:val="TableParagraph"/>
              <w:spacing w:before="155"/>
              <w:ind w:right="520"/>
              <w:jc w:val="right"/>
              <w:rPr>
                <w:sz w:val="18"/>
              </w:rPr>
            </w:pPr>
            <w:r>
              <w:rPr>
                <w:w w:val="95"/>
                <w:sz w:val="18"/>
              </w:rPr>
              <w:t>$0.00</w:t>
            </w:r>
          </w:p>
        </w:tc>
        <w:tc>
          <w:tcPr>
            <w:tcW w:w="1642" w:type="dxa"/>
          </w:tcPr>
          <w:p>
            <w:pPr>
              <w:pStyle w:val="TableParagraph"/>
              <w:spacing w:before="155"/>
              <w:ind w:left="45" w:right="44"/>
              <w:rPr>
                <w:sz w:val="18"/>
              </w:rPr>
            </w:pPr>
            <w:r>
              <w:rPr>
                <w:sz w:val="18"/>
              </w:rPr>
              <w:t>$0.00</w:t>
            </w:r>
          </w:p>
        </w:tc>
        <w:tc>
          <w:tcPr>
            <w:tcW w:w="1642" w:type="dxa"/>
          </w:tcPr>
          <w:p>
            <w:pPr>
              <w:pStyle w:val="TableParagraph"/>
              <w:spacing w:before="155"/>
              <w:ind w:left="45" w:right="45"/>
              <w:rPr>
                <w:sz w:val="18"/>
              </w:rPr>
            </w:pPr>
            <w:r>
              <w:rPr>
                <w:sz w:val="18"/>
              </w:rPr>
              <w:t>$120,760,292.01</w:t>
            </w:r>
          </w:p>
        </w:tc>
      </w:tr>
      <w:tr>
        <w:trPr>
          <w:trHeight w:val="518" w:hRule="exact"/>
        </w:trPr>
        <w:tc>
          <w:tcPr>
            <w:tcW w:w="1620" w:type="dxa"/>
          </w:tcPr>
          <w:p>
            <w:pPr>
              <w:pStyle w:val="TableParagraph"/>
              <w:spacing w:before="95"/>
              <w:ind w:left="64"/>
              <w:jc w:val="left"/>
              <w:rPr>
                <w:b/>
                <w:sz w:val="18"/>
              </w:rPr>
            </w:pPr>
            <w:r>
              <w:rPr>
                <w:b/>
                <w:color w:val="333333"/>
                <w:sz w:val="18"/>
              </w:rPr>
              <w:t>COCOTITLAN</w:t>
            </w:r>
          </w:p>
        </w:tc>
        <w:tc>
          <w:tcPr>
            <w:tcW w:w="1642" w:type="dxa"/>
          </w:tcPr>
          <w:p>
            <w:pPr>
              <w:pStyle w:val="TableParagraph"/>
              <w:spacing w:before="100"/>
              <w:ind w:left="45" w:right="44"/>
              <w:rPr>
                <w:sz w:val="18"/>
              </w:rPr>
            </w:pPr>
            <w:r>
              <w:rPr>
                <w:sz w:val="18"/>
              </w:rPr>
              <w:t>$0.00</w:t>
            </w:r>
          </w:p>
        </w:tc>
        <w:tc>
          <w:tcPr>
            <w:tcW w:w="1395" w:type="dxa"/>
          </w:tcPr>
          <w:p>
            <w:pPr>
              <w:pStyle w:val="TableParagraph"/>
              <w:spacing w:before="100"/>
              <w:ind w:left="96" w:right="97"/>
              <w:rPr>
                <w:sz w:val="18"/>
              </w:rPr>
            </w:pPr>
            <w:r>
              <w:rPr>
                <w:sz w:val="18"/>
              </w:rPr>
              <w:t>$0.00</w:t>
            </w:r>
          </w:p>
        </w:tc>
        <w:tc>
          <w:tcPr>
            <w:tcW w:w="1642" w:type="dxa"/>
          </w:tcPr>
          <w:p>
            <w:pPr>
              <w:pStyle w:val="TableParagraph"/>
              <w:spacing w:before="100"/>
              <w:ind w:left="45" w:right="44"/>
              <w:rPr>
                <w:sz w:val="18"/>
              </w:rPr>
            </w:pPr>
            <w:r>
              <w:rPr>
                <w:sz w:val="18"/>
              </w:rPr>
              <w:t>$0.00</w:t>
            </w:r>
          </w:p>
        </w:tc>
        <w:tc>
          <w:tcPr>
            <w:tcW w:w="1803" w:type="dxa"/>
          </w:tcPr>
          <w:p>
            <w:pPr>
              <w:pStyle w:val="TableParagraph"/>
              <w:spacing w:before="100"/>
              <w:ind w:left="124" w:right="125"/>
              <w:rPr>
                <w:sz w:val="18"/>
              </w:rPr>
            </w:pPr>
            <w:r>
              <w:rPr>
                <w:sz w:val="18"/>
              </w:rPr>
              <w:t>$0.00</w:t>
            </w:r>
          </w:p>
        </w:tc>
        <w:tc>
          <w:tcPr>
            <w:tcW w:w="1699" w:type="dxa"/>
          </w:tcPr>
          <w:p>
            <w:pPr>
              <w:pStyle w:val="TableParagraph"/>
              <w:spacing w:before="100"/>
              <w:ind w:left="73" w:right="74"/>
              <w:rPr>
                <w:sz w:val="18"/>
              </w:rPr>
            </w:pPr>
            <w:r>
              <w:rPr>
                <w:sz w:val="18"/>
              </w:rPr>
              <w:t>$25,154.00</w:t>
            </w:r>
          </w:p>
        </w:tc>
        <w:tc>
          <w:tcPr>
            <w:tcW w:w="1510" w:type="dxa"/>
          </w:tcPr>
          <w:p>
            <w:pPr>
              <w:pStyle w:val="TableParagraph"/>
              <w:spacing w:before="100"/>
              <w:ind w:right="520"/>
              <w:jc w:val="right"/>
              <w:rPr>
                <w:sz w:val="18"/>
              </w:rPr>
            </w:pPr>
            <w:r>
              <w:rPr>
                <w:w w:val="95"/>
                <w:sz w:val="18"/>
              </w:rPr>
              <w:t>$0.00</w:t>
            </w:r>
          </w:p>
        </w:tc>
        <w:tc>
          <w:tcPr>
            <w:tcW w:w="1642" w:type="dxa"/>
          </w:tcPr>
          <w:p>
            <w:pPr>
              <w:pStyle w:val="TableParagraph"/>
              <w:spacing w:before="100"/>
              <w:ind w:left="45" w:right="44"/>
              <w:rPr>
                <w:sz w:val="18"/>
              </w:rPr>
            </w:pPr>
            <w:r>
              <w:rPr>
                <w:sz w:val="18"/>
              </w:rPr>
              <w:t>$0.00</w:t>
            </w:r>
          </w:p>
        </w:tc>
        <w:tc>
          <w:tcPr>
            <w:tcW w:w="1642" w:type="dxa"/>
          </w:tcPr>
          <w:p>
            <w:pPr>
              <w:pStyle w:val="TableParagraph"/>
              <w:spacing w:before="100"/>
              <w:ind w:left="44" w:right="45"/>
              <w:rPr>
                <w:sz w:val="18"/>
              </w:rPr>
            </w:pPr>
            <w:r>
              <w:rPr>
                <w:sz w:val="18"/>
              </w:rPr>
              <w:t>$25,154.00</w:t>
            </w:r>
          </w:p>
        </w:tc>
      </w:tr>
      <w:tr>
        <w:trPr>
          <w:trHeight w:val="521" w:hRule="exact"/>
        </w:trPr>
        <w:tc>
          <w:tcPr>
            <w:tcW w:w="1620" w:type="dxa"/>
          </w:tcPr>
          <w:p>
            <w:pPr>
              <w:pStyle w:val="TableParagraph"/>
              <w:spacing w:before="95"/>
              <w:ind w:left="64"/>
              <w:jc w:val="left"/>
              <w:rPr>
                <w:b/>
                <w:sz w:val="18"/>
              </w:rPr>
            </w:pPr>
            <w:r>
              <w:rPr>
                <w:b/>
                <w:color w:val="333333"/>
                <w:sz w:val="18"/>
              </w:rPr>
              <w:t>COYOTEPEC</w:t>
            </w:r>
          </w:p>
        </w:tc>
        <w:tc>
          <w:tcPr>
            <w:tcW w:w="1642" w:type="dxa"/>
          </w:tcPr>
          <w:p>
            <w:pPr>
              <w:pStyle w:val="TableParagraph"/>
              <w:spacing w:before="100"/>
              <w:ind w:left="45" w:right="45"/>
              <w:rPr>
                <w:sz w:val="18"/>
              </w:rPr>
            </w:pPr>
            <w:r>
              <w:rPr>
                <w:sz w:val="18"/>
              </w:rPr>
              <w:t>$135,778,905.00</w:t>
            </w:r>
          </w:p>
        </w:tc>
        <w:tc>
          <w:tcPr>
            <w:tcW w:w="1395" w:type="dxa"/>
          </w:tcPr>
          <w:p>
            <w:pPr>
              <w:pStyle w:val="TableParagraph"/>
              <w:spacing w:before="100"/>
              <w:ind w:left="97" w:right="97"/>
              <w:rPr>
                <w:sz w:val="18"/>
              </w:rPr>
            </w:pPr>
            <w:r>
              <w:rPr>
                <w:sz w:val="18"/>
              </w:rPr>
              <w:t>$5,406,045.62</w:t>
            </w:r>
          </w:p>
        </w:tc>
        <w:tc>
          <w:tcPr>
            <w:tcW w:w="1642" w:type="dxa"/>
          </w:tcPr>
          <w:p>
            <w:pPr>
              <w:pStyle w:val="TableParagraph"/>
              <w:spacing w:before="100"/>
              <w:ind w:left="45" w:right="45"/>
              <w:rPr>
                <w:sz w:val="18"/>
              </w:rPr>
            </w:pPr>
            <w:r>
              <w:rPr>
                <w:sz w:val="18"/>
              </w:rPr>
              <w:t>$141,184,950.62</w:t>
            </w:r>
          </w:p>
        </w:tc>
        <w:tc>
          <w:tcPr>
            <w:tcW w:w="1803" w:type="dxa"/>
          </w:tcPr>
          <w:p>
            <w:pPr>
              <w:pStyle w:val="TableParagraph"/>
              <w:spacing w:before="100"/>
              <w:ind w:left="124" w:right="125"/>
              <w:rPr>
                <w:sz w:val="18"/>
              </w:rPr>
            </w:pPr>
            <w:r>
              <w:rPr>
                <w:sz w:val="18"/>
              </w:rPr>
              <w:t>$0.00</w:t>
            </w:r>
          </w:p>
        </w:tc>
        <w:tc>
          <w:tcPr>
            <w:tcW w:w="1699" w:type="dxa"/>
          </w:tcPr>
          <w:p>
            <w:pPr>
              <w:pStyle w:val="TableParagraph"/>
              <w:spacing w:before="100"/>
              <w:ind w:left="74" w:right="74"/>
              <w:rPr>
                <w:sz w:val="18"/>
              </w:rPr>
            </w:pPr>
            <w:r>
              <w:rPr>
                <w:sz w:val="18"/>
              </w:rPr>
              <w:t>$133,714,130.00</w:t>
            </w:r>
          </w:p>
        </w:tc>
        <w:tc>
          <w:tcPr>
            <w:tcW w:w="1510" w:type="dxa"/>
          </w:tcPr>
          <w:p>
            <w:pPr>
              <w:pStyle w:val="TableParagraph"/>
              <w:spacing w:before="100"/>
              <w:ind w:right="520"/>
              <w:jc w:val="right"/>
              <w:rPr>
                <w:sz w:val="18"/>
              </w:rPr>
            </w:pPr>
            <w:r>
              <w:rPr>
                <w:w w:val="95"/>
                <w:sz w:val="18"/>
              </w:rPr>
              <w:t>$0.00</w:t>
            </w:r>
          </w:p>
        </w:tc>
        <w:tc>
          <w:tcPr>
            <w:tcW w:w="1642" w:type="dxa"/>
          </w:tcPr>
          <w:p>
            <w:pPr>
              <w:pStyle w:val="TableParagraph"/>
              <w:spacing w:before="100"/>
              <w:ind w:left="45" w:right="44"/>
              <w:rPr>
                <w:sz w:val="18"/>
              </w:rPr>
            </w:pPr>
            <w:r>
              <w:rPr>
                <w:sz w:val="18"/>
              </w:rPr>
              <w:t>$0.00</w:t>
            </w:r>
          </w:p>
        </w:tc>
        <w:tc>
          <w:tcPr>
            <w:tcW w:w="1642" w:type="dxa"/>
          </w:tcPr>
          <w:p>
            <w:pPr>
              <w:pStyle w:val="TableParagraph"/>
              <w:spacing w:before="100"/>
              <w:ind w:left="45" w:right="45"/>
              <w:rPr>
                <w:sz w:val="18"/>
              </w:rPr>
            </w:pPr>
            <w:r>
              <w:rPr>
                <w:sz w:val="18"/>
              </w:rPr>
              <w:t>$133,714,130.00</w:t>
            </w:r>
          </w:p>
        </w:tc>
      </w:tr>
      <w:tr>
        <w:trPr>
          <w:trHeight w:val="521" w:hRule="exact"/>
        </w:trPr>
        <w:tc>
          <w:tcPr>
            <w:tcW w:w="1620" w:type="dxa"/>
          </w:tcPr>
          <w:p>
            <w:pPr>
              <w:pStyle w:val="TableParagraph"/>
              <w:spacing w:before="95"/>
              <w:ind w:left="64"/>
              <w:jc w:val="left"/>
              <w:rPr>
                <w:b/>
                <w:sz w:val="18"/>
              </w:rPr>
            </w:pPr>
            <w:r>
              <w:rPr>
                <w:b/>
                <w:color w:val="333333"/>
                <w:sz w:val="18"/>
              </w:rPr>
              <w:t>CUAUTITLAN</w:t>
            </w:r>
          </w:p>
        </w:tc>
        <w:tc>
          <w:tcPr>
            <w:tcW w:w="1642" w:type="dxa"/>
          </w:tcPr>
          <w:p>
            <w:pPr>
              <w:pStyle w:val="TableParagraph"/>
              <w:spacing w:before="100"/>
              <w:ind w:left="45" w:right="45"/>
              <w:rPr>
                <w:sz w:val="18"/>
              </w:rPr>
            </w:pPr>
            <w:r>
              <w:rPr>
                <w:sz w:val="18"/>
              </w:rPr>
              <w:t>$727,251,678.00</w:t>
            </w:r>
          </w:p>
        </w:tc>
        <w:tc>
          <w:tcPr>
            <w:tcW w:w="1395" w:type="dxa"/>
          </w:tcPr>
          <w:p>
            <w:pPr>
              <w:pStyle w:val="TableParagraph"/>
              <w:spacing w:before="100"/>
              <w:ind w:left="96" w:right="97"/>
              <w:rPr>
                <w:sz w:val="18"/>
              </w:rPr>
            </w:pPr>
            <w:r>
              <w:rPr>
                <w:sz w:val="18"/>
              </w:rPr>
              <w:t>$0.00</w:t>
            </w:r>
          </w:p>
        </w:tc>
        <w:tc>
          <w:tcPr>
            <w:tcW w:w="1642" w:type="dxa"/>
          </w:tcPr>
          <w:p>
            <w:pPr>
              <w:pStyle w:val="TableParagraph"/>
              <w:spacing w:before="100"/>
              <w:ind w:left="45" w:right="45"/>
              <w:rPr>
                <w:sz w:val="18"/>
              </w:rPr>
            </w:pPr>
            <w:r>
              <w:rPr>
                <w:sz w:val="18"/>
              </w:rPr>
              <w:t>$548,097,826.53</w:t>
            </w:r>
          </w:p>
        </w:tc>
        <w:tc>
          <w:tcPr>
            <w:tcW w:w="1803" w:type="dxa"/>
          </w:tcPr>
          <w:p>
            <w:pPr>
              <w:pStyle w:val="TableParagraph"/>
              <w:spacing w:before="100"/>
              <w:ind w:left="122" w:right="125"/>
              <w:rPr>
                <w:sz w:val="18"/>
              </w:rPr>
            </w:pPr>
            <w:r>
              <w:rPr>
                <w:sz w:val="18"/>
              </w:rPr>
              <w:t>$548,097,826.53</w:t>
            </w:r>
          </w:p>
        </w:tc>
        <w:tc>
          <w:tcPr>
            <w:tcW w:w="1699" w:type="dxa"/>
          </w:tcPr>
          <w:p>
            <w:pPr>
              <w:pStyle w:val="TableParagraph"/>
              <w:spacing w:before="100"/>
              <w:ind w:left="74" w:right="74"/>
              <w:rPr>
                <w:sz w:val="18"/>
              </w:rPr>
            </w:pPr>
            <w:r>
              <w:rPr>
                <w:sz w:val="18"/>
              </w:rPr>
              <w:t>$542,609,704.43</w:t>
            </w:r>
          </w:p>
        </w:tc>
        <w:tc>
          <w:tcPr>
            <w:tcW w:w="1510" w:type="dxa"/>
          </w:tcPr>
          <w:p>
            <w:pPr>
              <w:pStyle w:val="TableParagraph"/>
              <w:spacing w:before="100"/>
              <w:ind w:right="520"/>
              <w:jc w:val="right"/>
              <w:rPr>
                <w:sz w:val="18"/>
              </w:rPr>
            </w:pPr>
            <w:r>
              <w:rPr>
                <w:w w:val="95"/>
                <w:sz w:val="18"/>
              </w:rPr>
              <w:t>$0.00</w:t>
            </w:r>
          </w:p>
        </w:tc>
        <w:tc>
          <w:tcPr>
            <w:tcW w:w="1642" w:type="dxa"/>
          </w:tcPr>
          <w:p>
            <w:pPr>
              <w:pStyle w:val="TableParagraph"/>
              <w:spacing w:before="100"/>
              <w:ind w:left="45" w:right="44"/>
              <w:rPr>
                <w:sz w:val="18"/>
              </w:rPr>
            </w:pPr>
            <w:r>
              <w:rPr>
                <w:sz w:val="18"/>
              </w:rPr>
              <w:t>$0.00</w:t>
            </w:r>
          </w:p>
        </w:tc>
        <w:tc>
          <w:tcPr>
            <w:tcW w:w="1642" w:type="dxa"/>
          </w:tcPr>
          <w:p>
            <w:pPr>
              <w:pStyle w:val="TableParagraph"/>
              <w:spacing w:before="100"/>
              <w:ind w:left="45" w:right="45"/>
              <w:rPr>
                <w:sz w:val="18"/>
              </w:rPr>
            </w:pPr>
            <w:r>
              <w:rPr>
                <w:sz w:val="18"/>
              </w:rPr>
              <w:t>$542,609,704.43</w:t>
            </w:r>
          </w:p>
        </w:tc>
      </w:tr>
      <w:tr>
        <w:trPr>
          <w:trHeight w:val="632" w:hRule="exact"/>
        </w:trPr>
        <w:tc>
          <w:tcPr>
            <w:tcW w:w="1620" w:type="dxa"/>
          </w:tcPr>
          <w:p>
            <w:pPr>
              <w:pStyle w:val="TableParagraph"/>
              <w:spacing w:line="360" w:lineRule="auto"/>
              <w:ind w:left="64"/>
              <w:jc w:val="left"/>
              <w:rPr>
                <w:b/>
                <w:sz w:val="18"/>
              </w:rPr>
            </w:pPr>
            <w:r>
              <w:rPr>
                <w:b/>
                <w:color w:val="333333"/>
                <w:sz w:val="18"/>
              </w:rPr>
              <w:t>CUAUTITLAN IZCALLI</w:t>
            </w:r>
          </w:p>
        </w:tc>
        <w:tc>
          <w:tcPr>
            <w:tcW w:w="1642" w:type="dxa"/>
          </w:tcPr>
          <w:p>
            <w:pPr>
              <w:pStyle w:val="TableParagraph"/>
              <w:spacing w:before="155"/>
              <w:ind w:left="45" w:right="45"/>
              <w:rPr>
                <w:sz w:val="18"/>
              </w:rPr>
            </w:pPr>
            <w:r>
              <w:rPr>
                <w:sz w:val="18"/>
              </w:rPr>
              <w:t>$2,485,100,470.16</w:t>
            </w:r>
          </w:p>
        </w:tc>
        <w:tc>
          <w:tcPr>
            <w:tcW w:w="1395" w:type="dxa"/>
          </w:tcPr>
          <w:p>
            <w:pPr>
              <w:pStyle w:val="TableParagraph"/>
              <w:spacing w:before="155"/>
              <w:ind w:left="96" w:right="97"/>
              <w:rPr>
                <w:sz w:val="18"/>
              </w:rPr>
            </w:pPr>
            <w:r>
              <w:rPr>
                <w:sz w:val="18"/>
              </w:rPr>
              <w:t>$0.00</w:t>
            </w:r>
          </w:p>
        </w:tc>
        <w:tc>
          <w:tcPr>
            <w:tcW w:w="1642" w:type="dxa"/>
          </w:tcPr>
          <w:p>
            <w:pPr>
              <w:pStyle w:val="TableParagraph"/>
              <w:spacing w:before="155"/>
              <w:ind w:left="45" w:right="44"/>
              <w:rPr>
                <w:sz w:val="18"/>
              </w:rPr>
            </w:pPr>
            <w:r>
              <w:rPr>
                <w:sz w:val="18"/>
              </w:rPr>
              <w:t>$0.00</w:t>
            </w:r>
          </w:p>
        </w:tc>
        <w:tc>
          <w:tcPr>
            <w:tcW w:w="1803" w:type="dxa"/>
          </w:tcPr>
          <w:p>
            <w:pPr>
              <w:pStyle w:val="TableParagraph"/>
              <w:spacing w:before="155"/>
              <w:ind w:left="125" w:right="125"/>
              <w:rPr>
                <w:sz w:val="18"/>
              </w:rPr>
            </w:pPr>
            <w:r>
              <w:rPr>
                <w:sz w:val="18"/>
              </w:rPr>
              <w:t>$2,485,100,470.16</w:t>
            </w:r>
          </w:p>
        </w:tc>
        <w:tc>
          <w:tcPr>
            <w:tcW w:w="1699" w:type="dxa"/>
          </w:tcPr>
          <w:p>
            <w:pPr>
              <w:pStyle w:val="TableParagraph"/>
              <w:spacing w:before="155"/>
              <w:ind w:left="74" w:right="74"/>
              <w:rPr>
                <w:sz w:val="18"/>
              </w:rPr>
            </w:pPr>
            <w:r>
              <w:rPr>
                <w:sz w:val="18"/>
              </w:rPr>
              <w:t>$2,611,288,960.94</w:t>
            </w:r>
          </w:p>
        </w:tc>
        <w:tc>
          <w:tcPr>
            <w:tcW w:w="1510" w:type="dxa"/>
          </w:tcPr>
          <w:p>
            <w:pPr>
              <w:pStyle w:val="TableParagraph"/>
              <w:spacing w:before="155"/>
              <w:ind w:right="520"/>
              <w:jc w:val="right"/>
              <w:rPr>
                <w:sz w:val="18"/>
              </w:rPr>
            </w:pPr>
            <w:r>
              <w:rPr>
                <w:w w:val="95"/>
                <w:sz w:val="18"/>
              </w:rPr>
              <w:t>$0.00</w:t>
            </w:r>
          </w:p>
        </w:tc>
        <w:tc>
          <w:tcPr>
            <w:tcW w:w="1642" w:type="dxa"/>
          </w:tcPr>
          <w:p>
            <w:pPr>
              <w:pStyle w:val="TableParagraph"/>
              <w:spacing w:before="155"/>
              <w:ind w:left="45" w:right="44"/>
              <w:rPr>
                <w:sz w:val="18"/>
              </w:rPr>
            </w:pPr>
            <w:r>
              <w:rPr>
                <w:sz w:val="18"/>
              </w:rPr>
              <w:t>$0.00</w:t>
            </w:r>
          </w:p>
        </w:tc>
        <w:tc>
          <w:tcPr>
            <w:tcW w:w="1642" w:type="dxa"/>
          </w:tcPr>
          <w:p>
            <w:pPr>
              <w:pStyle w:val="TableParagraph"/>
              <w:spacing w:before="155"/>
              <w:ind w:left="45" w:right="45"/>
              <w:rPr>
                <w:sz w:val="18"/>
              </w:rPr>
            </w:pPr>
            <w:r>
              <w:rPr>
                <w:sz w:val="18"/>
              </w:rPr>
              <w:t>$2,611,288,960.94</w:t>
            </w:r>
          </w:p>
        </w:tc>
      </w:tr>
    </w:tbl>
    <w:p>
      <w:pPr>
        <w:spacing w:after="0"/>
        <w:rPr>
          <w:sz w:val="18"/>
        </w:rPr>
        <w:sectPr>
          <w:pgSz w:w="15840" w:h="12240" w:orient="landscape"/>
          <w:pgMar w:header="0" w:footer="975" w:top="1140" w:bottom="1160" w:left="500" w:right="500"/>
        </w:sectPr>
      </w:pPr>
    </w:p>
    <w:p>
      <w:pPr>
        <w:pStyle w:val="BodyText"/>
        <w:rPr>
          <w:rFonts w:ascii="Times New Roman"/>
          <w:sz w:val="20"/>
        </w:rPr>
      </w:pPr>
    </w:p>
    <w:p>
      <w:pPr>
        <w:pStyle w:val="BodyText"/>
        <w:spacing w:before="10"/>
        <w:rPr>
          <w:rFonts w:ascii="Times New Roman"/>
          <w:sz w:val="28"/>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20"/>
        <w:gridCol w:w="1644"/>
        <w:gridCol w:w="1393"/>
        <w:gridCol w:w="1642"/>
        <w:gridCol w:w="1642"/>
        <w:gridCol w:w="1642"/>
        <w:gridCol w:w="1291"/>
        <w:gridCol w:w="1493"/>
        <w:gridCol w:w="2218"/>
      </w:tblGrid>
      <w:tr>
        <w:trPr>
          <w:trHeight w:val="631" w:hRule="exact"/>
        </w:trPr>
        <w:tc>
          <w:tcPr>
            <w:tcW w:w="14484" w:type="dxa"/>
            <w:gridSpan w:val="9"/>
            <w:shd w:val="clear" w:color="auto" w:fill="C5DFB3"/>
          </w:tcPr>
          <w:p>
            <w:pPr>
              <w:pStyle w:val="TableParagraph"/>
              <w:spacing w:before="150"/>
              <w:ind w:left="3578"/>
              <w:jc w:val="left"/>
              <w:rPr>
                <w:b/>
                <w:sz w:val="18"/>
              </w:rPr>
            </w:pPr>
            <w:r>
              <w:rPr>
                <w:b/>
                <w:sz w:val="18"/>
              </w:rPr>
              <w:t>Anexo 24D. Municipios que publican apartado presupuesto 2014-2015 (Continuación)</w:t>
            </w:r>
          </w:p>
        </w:tc>
      </w:tr>
      <w:tr>
        <w:trPr>
          <w:trHeight w:val="391" w:hRule="exact"/>
        </w:trPr>
        <w:tc>
          <w:tcPr>
            <w:tcW w:w="1520"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9"/>
              <w:jc w:val="left"/>
              <w:rPr>
                <w:rFonts w:ascii="Times New Roman"/>
                <w:sz w:val="23"/>
              </w:rPr>
            </w:pPr>
          </w:p>
          <w:p>
            <w:pPr>
              <w:pStyle w:val="TableParagraph"/>
              <w:ind w:left="333"/>
              <w:jc w:val="left"/>
              <w:rPr>
                <w:b/>
                <w:sz w:val="18"/>
              </w:rPr>
            </w:pPr>
            <w:r>
              <w:rPr>
                <w:b/>
                <w:sz w:val="18"/>
              </w:rPr>
              <w:t>Municipio</w:t>
            </w:r>
          </w:p>
        </w:tc>
        <w:tc>
          <w:tcPr>
            <w:tcW w:w="6320" w:type="dxa"/>
            <w:gridSpan w:val="4"/>
            <w:shd w:val="clear" w:color="auto" w:fill="C5DFB3"/>
          </w:tcPr>
          <w:p>
            <w:pPr>
              <w:pStyle w:val="TableParagraph"/>
              <w:spacing w:before="30"/>
              <w:ind w:left="2714" w:right="2715"/>
              <w:rPr>
                <w:b/>
                <w:sz w:val="18"/>
              </w:rPr>
            </w:pPr>
            <w:r>
              <w:rPr>
                <w:b/>
                <w:sz w:val="18"/>
              </w:rPr>
              <w:t>Municipio</w:t>
            </w:r>
          </w:p>
        </w:tc>
        <w:tc>
          <w:tcPr>
            <w:tcW w:w="6644" w:type="dxa"/>
            <w:gridSpan w:val="4"/>
            <w:shd w:val="clear" w:color="auto" w:fill="C5DFB3"/>
          </w:tcPr>
          <w:p>
            <w:pPr>
              <w:pStyle w:val="TableParagraph"/>
              <w:spacing w:before="30"/>
              <w:ind w:left="2871" w:right="2882"/>
              <w:rPr>
                <w:b/>
                <w:sz w:val="18"/>
              </w:rPr>
            </w:pPr>
            <w:r>
              <w:rPr>
                <w:b/>
                <w:sz w:val="18"/>
              </w:rPr>
              <w:t>Municipio</w:t>
            </w:r>
          </w:p>
        </w:tc>
      </w:tr>
      <w:tr>
        <w:trPr>
          <w:trHeight w:val="1316" w:hRule="exact"/>
        </w:trPr>
        <w:tc>
          <w:tcPr>
            <w:tcW w:w="1520" w:type="dxa"/>
            <w:vMerge/>
            <w:shd w:val="clear" w:color="auto" w:fill="C5DFB3"/>
          </w:tcPr>
          <w:p>
            <w:pP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
              <w:jc w:val="left"/>
              <w:rPr>
                <w:rFonts w:ascii="Times New Roman"/>
                <w:sz w:val="21"/>
              </w:rPr>
            </w:pPr>
          </w:p>
          <w:p>
            <w:pPr>
              <w:pStyle w:val="TableParagraph"/>
              <w:ind w:left="182"/>
              <w:jc w:val="left"/>
              <w:rPr>
                <w:b/>
                <w:sz w:val="18"/>
              </w:rPr>
            </w:pPr>
            <w:r>
              <w:rPr>
                <w:b/>
                <w:w w:val="100"/>
                <w:sz w:val="18"/>
              </w:rPr>
              <w:t>Autoriz</w:t>
            </w:r>
            <w:r>
              <w:rPr>
                <w:b/>
                <w:w w:val="99"/>
                <w:sz w:val="18"/>
              </w:rPr>
              <w:t>a</w:t>
            </w:r>
            <w:r>
              <w:rPr>
                <w:b/>
                <w:w w:val="100"/>
                <w:sz w:val="18"/>
              </w:rPr>
              <w:t>do</w:t>
            </w:r>
          </w:p>
        </w:tc>
        <w:tc>
          <w:tcPr>
            <w:tcW w:w="1393"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15"/>
              <w:ind w:left="178"/>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64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0"/>
              </w:rPr>
            </w:pPr>
          </w:p>
          <w:p>
            <w:pPr>
              <w:pStyle w:val="TableParagraph"/>
              <w:ind w:left="298"/>
              <w:jc w:val="left"/>
              <w:rPr>
                <w:b/>
                <w:sz w:val="18"/>
              </w:rPr>
            </w:pPr>
            <w:r>
              <w:rPr>
                <w:b/>
                <w:w w:val="100"/>
                <w:sz w:val="18"/>
              </w:rPr>
              <w:t>Eje</w:t>
            </w:r>
            <w:r>
              <w:rPr>
                <w:b/>
                <w:w w:val="99"/>
                <w:sz w:val="18"/>
              </w:rPr>
              <w:t>rci</w:t>
            </w:r>
            <w:r>
              <w:rPr>
                <w:b/>
                <w:w w:val="100"/>
                <w:sz w:val="18"/>
              </w:rPr>
              <w:t>do</w:t>
            </w:r>
          </w:p>
        </w:tc>
        <w:tc>
          <w:tcPr>
            <w:tcW w:w="164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0"/>
              </w:rPr>
            </w:pPr>
          </w:p>
          <w:p>
            <w:pPr>
              <w:pStyle w:val="TableParagraph"/>
              <w:ind w:left="182"/>
              <w:jc w:val="left"/>
              <w:rPr>
                <w:b/>
                <w:sz w:val="18"/>
              </w:rPr>
            </w:pPr>
            <w:r>
              <w:rPr>
                <w:b/>
                <w:sz w:val="18"/>
              </w:rPr>
              <w:t>Por </w:t>
            </w:r>
            <w:r>
              <w:rPr>
                <w:b/>
                <w:w w:val="99"/>
                <w:sz w:val="18"/>
              </w:rPr>
              <w:t>e</w:t>
            </w:r>
            <w:r>
              <w:rPr>
                <w:b/>
                <w:w w:val="100"/>
                <w:sz w:val="18"/>
              </w:rPr>
              <w:t>je</w:t>
            </w:r>
            <w:r>
              <w:rPr>
                <w:b/>
                <w:w w:val="99"/>
                <w:sz w:val="18"/>
              </w:rPr>
              <w:t>rcer</w:t>
            </w:r>
          </w:p>
        </w:tc>
        <w:tc>
          <w:tcPr>
            <w:tcW w:w="164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0"/>
              </w:rPr>
            </w:pPr>
          </w:p>
          <w:p>
            <w:pPr>
              <w:pStyle w:val="TableParagraph"/>
              <w:spacing w:before="1"/>
              <w:ind w:left="182"/>
              <w:jc w:val="left"/>
              <w:rPr>
                <w:b/>
                <w:sz w:val="18"/>
              </w:rPr>
            </w:pPr>
            <w:r>
              <w:rPr>
                <w:b/>
                <w:w w:val="100"/>
                <w:sz w:val="18"/>
              </w:rPr>
              <w:t>Autoriz</w:t>
            </w:r>
            <w:r>
              <w:rPr>
                <w:b/>
                <w:w w:val="99"/>
                <w:sz w:val="18"/>
              </w:rPr>
              <w:t>a</w:t>
            </w:r>
            <w:r>
              <w:rPr>
                <w:b/>
                <w:w w:val="100"/>
                <w:sz w:val="18"/>
              </w:rPr>
              <w:t>do</w:t>
            </w:r>
          </w:p>
        </w:tc>
        <w:tc>
          <w:tcPr>
            <w:tcW w:w="1291" w:type="dxa"/>
            <w:shd w:val="clear" w:color="auto" w:fill="C5DFB3"/>
            <w:textDirection w:val="btLr"/>
          </w:tcPr>
          <w:p>
            <w:pPr>
              <w:pStyle w:val="TableParagraph"/>
              <w:jc w:val="left"/>
              <w:rPr>
                <w:rFonts w:ascii="Times New Roman"/>
                <w:sz w:val="18"/>
              </w:rPr>
            </w:pPr>
          </w:p>
          <w:p>
            <w:pPr>
              <w:pStyle w:val="TableParagraph"/>
              <w:spacing w:before="10"/>
              <w:jc w:val="left"/>
              <w:rPr>
                <w:rFonts w:ascii="Times New Roman"/>
                <w:sz w:val="23"/>
              </w:rPr>
            </w:pPr>
          </w:p>
          <w:p>
            <w:pPr>
              <w:pStyle w:val="TableParagraph"/>
              <w:ind w:left="178"/>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493"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14"/>
              </w:rPr>
            </w:pPr>
          </w:p>
          <w:p>
            <w:pPr>
              <w:pStyle w:val="TableParagraph"/>
              <w:ind w:left="298"/>
              <w:jc w:val="left"/>
              <w:rPr>
                <w:b/>
                <w:sz w:val="18"/>
              </w:rPr>
            </w:pPr>
            <w:r>
              <w:rPr>
                <w:b/>
                <w:w w:val="100"/>
                <w:sz w:val="18"/>
              </w:rPr>
              <w:t>Eje</w:t>
            </w:r>
            <w:r>
              <w:rPr>
                <w:b/>
                <w:spacing w:val="-1"/>
                <w:w w:val="99"/>
                <w:sz w:val="18"/>
              </w:rPr>
              <w:t>r</w:t>
            </w:r>
            <w:r>
              <w:rPr>
                <w:b/>
                <w:w w:val="99"/>
                <w:sz w:val="18"/>
              </w:rPr>
              <w:t>c</w:t>
            </w:r>
            <w:r>
              <w:rPr>
                <w:b/>
                <w:w w:val="100"/>
                <w:sz w:val="18"/>
              </w:rPr>
              <w:t>ido</w:t>
            </w:r>
          </w:p>
        </w:tc>
        <w:tc>
          <w:tcPr>
            <w:tcW w:w="221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109"/>
              <w:ind w:left="182"/>
              <w:jc w:val="left"/>
              <w:rPr>
                <w:b/>
                <w:sz w:val="18"/>
              </w:rPr>
            </w:pPr>
            <w:r>
              <w:rPr>
                <w:b/>
                <w:sz w:val="18"/>
              </w:rPr>
              <w:t>Por </w:t>
            </w:r>
            <w:r>
              <w:rPr>
                <w:b/>
                <w:w w:val="99"/>
                <w:sz w:val="18"/>
              </w:rPr>
              <w:t>e</w:t>
            </w:r>
            <w:r>
              <w:rPr>
                <w:b/>
                <w:w w:val="100"/>
                <w:sz w:val="18"/>
              </w:rPr>
              <w:t>je</w:t>
            </w:r>
            <w:r>
              <w:rPr>
                <w:b/>
                <w:w w:val="99"/>
                <w:sz w:val="18"/>
              </w:rPr>
              <w:t>rcer</w:t>
            </w:r>
          </w:p>
        </w:tc>
      </w:tr>
      <w:tr>
        <w:trPr>
          <w:trHeight w:val="631" w:hRule="exact"/>
        </w:trPr>
        <w:tc>
          <w:tcPr>
            <w:tcW w:w="1520" w:type="dxa"/>
          </w:tcPr>
          <w:p>
            <w:pPr>
              <w:pStyle w:val="TableParagraph"/>
              <w:spacing w:line="360" w:lineRule="auto"/>
              <w:ind w:left="64" w:right="645"/>
              <w:jc w:val="left"/>
              <w:rPr>
                <w:b/>
                <w:sz w:val="18"/>
              </w:rPr>
            </w:pPr>
            <w:r>
              <w:rPr>
                <w:b/>
                <w:color w:val="333333"/>
                <w:sz w:val="18"/>
              </w:rPr>
              <w:t>DONATO GUERRA</w:t>
            </w:r>
          </w:p>
        </w:tc>
        <w:tc>
          <w:tcPr>
            <w:tcW w:w="1644" w:type="dxa"/>
          </w:tcPr>
          <w:p>
            <w:pPr>
              <w:pStyle w:val="TableParagraph"/>
              <w:spacing w:before="155"/>
              <w:ind w:left="44" w:right="45"/>
              <w:rPr>
                <w:sz w:val="18"/>
              </w:rPr>
            </w:pPr>
            <w:r>
              <w:rPr>
                <w:sz w:val="18"/>
              </w:rPr>
              <w:t>$0.00</w:t>
            </w:r>
          </w:p>
        </w:tc>
        <w:tc>
          <w:tcPr>
            <w:tcW w:w="1393" w:type="dxa"/>
          </w:tcPr>
          <w:p>
            <w:pPr>
              <w:pStyle w:val="TableParagraph"/>
              <w:spacing w:before="155"/>
              <w:ind w:left="95" w:right="95"/>
              <w:rPr>
                <w:sz w:val="18"/>
              </w:rPr>
            </w:pPr>
            <w:r>
              <w:rPr>
                <w:sz w:val="18"/>
              </w:rPr>
              <w:t>$0.00</w:t>
            </w:r>
          </w:p>
        </w:tc>
        <w:tc>
          <w:tcPr>
            <w:tcW w:w="1642" w:type="dxa"/>
          </w:tcPr>
          <w:p>
            <w:pPr>
              <w:pStyle w:val="TableParagraph"/>
              <w:spacing w:before="155"/>
              <w:ind w:left="45" w:right="44"/>
              <w:rPr>
                <w:sz w:val="18"/>
              </w:rPr>
            </w:pPr>
            <w:r>
              <w:rPr>
                <w:sz w:val="18"/>
              </w:rPr>
              <w:t>$0.00</w:t>
            </w:r>
          </w:p>
        </w:tc>
        <w:tc>
          <w:tcPr>
            <w:tcW w:w="1642" w:type="dxa"/>
          </w:tcPr>
          <w:p>
            <w:pPr>
              <w:pStyle w:val="TableParagraph"/>
              <w:spacing w:before="155"/>
              <w:ind w:left="45" w:right="44"/>
              <w:rPr>
                <w:sz w:val="18"/>
              </w:rPr>
            </w:pPr>
            <w:r>
              <w:rPr>
                <w:sz w:val="18"/>
              </w:rPr>
              <w:t>$0.00</w:t>
            </w:r>
          </w:p>
        </w:tc>
        <w:tc>
          <w:tcPr>
            <w:tcW w:w="1642" w:type="dxa"/>
          </w:tcPr>
          <w:p>
            <w:pPr>
              <w:pStyle w:val="TableParagraph"/>
              <w:spacing w:before="155"/>
              <w:ind w:left="44" w:right="43"/>
              <w:rPr>
                <w:sz w:val="18"/>
              </w:rPr>
            </w:pPr>
            <w:r>
              <w:rPr>
                <w:sz w:val="18"/>
              </w:rPr>
              <w:t>$0.00</w:t>
            </w:r>
          </w:p>
        </w:tc>
        <w:tc>
          <w:tcPr>
            <w:tcW w:w="1291" w:type="dxa"/>
          </w:tcPr>
          <w:p>
            <w:pPr>
              <w:pStyle w:val="TableParagraph"/>
              <w:spacing w:before="155"/>
              <w:ind w:left="396" w:right="395"/>
              <w:rPr>
                <w:sz w:val="18"/>
              </w:rPr>
            </w:pPr>
            <w:r>
              <w:rPr>
                <w:sz w:val="18"/>
              </w:rPr>
              <w:t>$0.00</w:t>
            </w:r>
          </w:p>
        </w:tc>
        <w:tc>
          <w:tcPr>
            <w:tcW w:w="1493" w:type="dxa"/>
          </w:tcPr>
          <w:p>
            <w:pPr>
              <w:pStyle w:val="TableParagraph"/>
              <w:spacing w:before="155"/>
              <w:ind w:left="44" w:right="46"/>
              <w:rPr>
                <w:sz w:val="18"/>
              </w:rPr>
            </w:pPr>
            <w:r>
              <w:rPr>
                <w:sz w:val="18"/>
              </w:rPr>
              <w:t>$0.00</w:t>
            </w:r>
          </w:p>
        </w:tc>
        <w:tc>
          <w:tcPr>
            <w:tcW w:w="2218" w:type="dxa"/>
          </w:tcPr>
          <w:p>
            <w:pPr>
              <w:pStyle w:val="TableParagraph"/>
              <w:spacing w:before="155"/>
              <w:ind w:left="322" w:right="333"/>
              <w:rPr>
                <w:sz w:val="18"/>
              </w:rPr>
            </w:pPr>
            <w:r>
              <w:rPr>
                <w:sz w:val="18"/>
              </w:rPr>
              <w:t>$0.00</w:t>
            </w:r>
          </w:p>
        </w:tc>
      </w:tr>
      <w:tr>
        <w:trPr>
          <w:trHeight w:val="631" w:hRule="exact"/>
        </w:trPr>
        <w:tc>
          <w:tcPr>
            <w:tcW w:w="1520" w:type="dxa"/>
          </w:tcPr>
          <w:p>
            <w:pPr>
              <w:pStyle w:val="TableParagraph"/>
              <w:spacing w:line="362" w:lineRule="auto"/>
              <w:ind w:left="64"/>
              <w:jc w:val="left"/>
              <w:rPr>
                <w:b/>
                <w:sz w:val="18"/>
              </w:rPr>
            </w:pPr>
            <w:r>
              <w:rPr>
                <w:b/>
                <w:color w:val="333333"/>
                <w:sz w:val="18"/>
              </w:rPr>
              <w:t>ECATEPEC DE MORELOS</w:t>
            </w:r>
          </w:p>
        </w:tc>
        <w:tc>
          <w:tcPr>
            <w:tcW w:w="1644" w:type="dxa"/>
          </w:tcPr>
          <w:p>
            <w:pPr>
              <w:pStyle w:val="TableParagraph"/>
              <w:spacing w:before="155"/>
              <w:ind w:left="45" w:right="45"/>
              <w:rPr>
                <w:sz w:val="18"/>
              </w:rPr>
            </w:pPr>
            <w:r>
              <w:rPr>
                <w:sz w:val="18"/>
              </w:rPr>
              <w:t>$4,360,926,623.31</w:t>
            </w:r>
          </w:p>
        </w:tc>
        <w:tc>
          <w:tcPr>
            <w:tcW w:w="1393" w:type="dxa"/>
          </w:tcPr>
          <w:p>
            <w:pPr>
              <w:pStyle w:val="TableParagraph"/>
              <w:spacing w:before="155"/>
              <w:ind w:left="95" w:right="95"/>
              <w:rPr>
                <w:sz w:val="18"/>
              </w:rPr>
            </w:pPr>
            <w:r>
              <w:rPr>
                <w:sz w:val="18"/>
              </w:rPr>
              <w:t>$9,947,385.30</w:t>
            </w:r>
          </w:p>
        </w:tc>
        <w:tc>
          <w:tcPr>
            <w:tcW w:w="1642" w:type="dxa"/>
          </w:tcPr>
          <w:p>
            <w:pPr>
              <w:pStyle w:val="TableParagraph"/>
              <w:spacing w:before="155"/>
              <w:ind w:left="45" w:right="45"/>
              <w:rPr>
                <w:sz w:val="18"/>
              </w:rPr>
            </w:pPr>
            <w:r>
              <w:rPr>
                <w:sz w:val="18"/>
              </w:rPr>
              <w:t>$2,399,996,420.77</w:t>
            </w:r>
          </w:p>
        </w:tc>
        <w:tc>
          <w:tcPr>
            <w:tcW w:w="1642" w:type="dxa"/>
          </w:tcPr>
          <w:p>
            <w:pPr>
              <w:pStyle w:val="TableParagraph"/>
              <w:spacing w:before="155"/>
              <w:ind w:left="45" w:right="45"/>
              <w:rPr>
                <w:sz w:val="18"/>
              </w:rPr>
            </w:pPr>
            <w:r>
              <w:rPr>
                <w:sz w:val="18"/>
              </w:rPr>
              <w:t>$1,970,877,587.84</w:t>
            </w:r>
          </w:p>
        </w:tc>
        <w:tc>
          <w:tcPr>
            <w:tcW w:w="1642" w:type="dxa"/>
          </w:tcPr>
          <w:p>
            <w:pPr>
              <w:pStyle w:val="TableParagraph"/>
              <w:spacing w:before="155"/>
              <w:ind w:left="43" w:right="43"/>
              <w:rPr>
                <w:sz w:val="18"/>
              </w:rPr>
            </w:pPr>
            <w:r>
              <w:rPr>
                <w:sz w:val="18"/>
              </w:rPr>
              <w:t>$4,799,338,770.00</w:t>
            </w:r>
          </w:p>
        </w:tc>
        <w:tc>
          <w:tcPr>
            <w:tcW w:w="1291" w:type="dxa"/>
          </w:tcPr>
          <w:p>
            <w:pPr>
              <w:pStyle w:val="TableParagraph"/>
              <w:spacing w:before="155"/>
              <w:ind w:left="396" w:right="395"/>
              <w:rPr>
                <w:sz w:val="18"/>
              </w:rPr>
            </w:pPr>
            <w:r>
              <w:rPr>
                <w:sz w:val="18"/>
              </w:rPr>
              <w:t>$0.00</w:t>
            </w:r>
          </w:p>
        </w:tc>
        <w:tc>
          <w:tcPr>
            <w:tcW w:w="1493" w:type="dxa"/>
          </w:tcPr>
          <w:p>
            <w:pPr>
              <w:pStyle w:val="TableParagraph"/>
              <w:spacing w:before="155"/>
              <w:ind w:left="44" w:right="46"/>
              <w:rPr>
                <w:sz w:val="18"/>
              </w:rPr>
            </w:pPr>
            <w:r>
              <w:rPr>
                <w:sz w:val="18"/>
              </w:rPr>
              <w:t>$0.00</w:t>
            </w:r>
          </w:p>
        </w:tc>
        <w:tc>
          <w:tcPr>
            <w:tcW w:w="2218" w:type="dxa"/>
          </w:tcPr>
          <w:p>
            <w:pPr>
              <w:pStyle w:val="TableParagraph"/>
              <w:spacing w:before="155"/>
              <w:ind w:left="333" w:right="333"/>
              <w:rPr>
                <w:sz w:val="18"/>
              </w:rPr>
            </w:pPr>
            <w:r>
              <w:rPr>
                <w:sz w:val="18"/>
              </w:rPr>
              <w:t>$4,799,338,770.00</w:t>
            </w:r>
          </w:p>
        </w:tc>
      </w:tr>
      <w:tr>
        <w:trPr>
          <w:trHeight w:val="631" w:hRule="exact"/>
        </w:trPr>
        <w:tc>
          <w:tcPr>
            <w:tcW w:w="1520" w:type="dxa"/>
          </w:tcPr>
          <w:p>
            <w:pPr>
              <w:pStyle w:val="TableParagraph"/>
              <w:spacing w:before="150"/>
              <w:ind w:left="64"/>
              <w:jc w:val="left"/>
              <w:rPr>
                <w:b/>
                <w:sz w:val="18"/>
              </w:rPr>
            </w:pPr>
            <w:r>
              <w:rPr>
                <w:b/>
                <w:color w:val="333333"/>
                <w:sz w:val="18"/>
              </w:rPr>
              <w:t>ECATZINGO</w:t>
            </w:r>
          </w:p>
        </w:tc>
        <w:tc>
          <w:tcPr>
            <w:tcW w:w="1644" w:type="dxa"/>
          </w:tcPr>
          <w:p>
            <w:pPr>
              <w:pStyle w:val="TableParagraph"/>
              <w:spacing w:before="155"/>
              <w:ind w:left="44" w:right="45"/>
              <w:rPr>
                <w:sz w:val="18"/>
              </w:rPr>
            </w:pPr>
            <w:r>
              <w:rPr>
                <w:sz w:val="18"/>
              </w:rPr>
              <w:t>$0.00</w:t>
            </w:r>
          </w:p>
        </w:tc>
        <w:tc>
          <w:tcPr>
            <w:tcW w:w="1393" w:type="dxa"/>
          </w:tcPr>
          <w:p>
            <w:pPr>
              <w:pStyle w:val="TableParagraph"/>
              <w:spacing w:before="155"/>
              <w:ind w:left="95" w:right="95"/>
              <w:rPr>
                <w:sz w:val="18"/>
              </w:rPr>
            </w:pPr>
            <w:r>
              <w:rPr>
                <w:sz w:val="18"/>
              </w:rPr>
              <w:t>$0.00</w:t>
            </w:r>
          </w:p>
        </w:tc>
        <w:tc>
          <w:tcPr>
            <w:tcW w:w="1642" w:type="dxa"/>
          </w:tcPr>
          <w:p>
            <w:pPr>
              <w:pStyle w:val="TableParagraph"/>
              <w:spacing w:before="155"/>
              <w:ind w:left="45" w:right="44"/>
              <w:rPr>
                <w:sz w:val="18"/>
              </w:rPr>
            </w:pPr>
            <w:r>
              <w:rPr>
                <w:sz w:val="18"/>
              </w:rPr>
              <w:t>$0.00</w:t>
            </w:r>
          </w:p>
        </w:tc>
        <w:tc>
          <w:tcPr>
            <w:tcW w:w="1642" w:type="dxa"/>
          </w:tcPr>
          <w:p>
            <w:pPr>
              <w:pStyle w:val="TableParagraph"/>
              <w:spacing w:before="155"/>
              <w:ind w:left="45" w:right="44"/>
              <w:rPr>
                <w:sz w:val="18"/>
              </w:rPr>
            </w:pPr>
            <w:r>
              <w:rPr>
                <w:sz w:val="18"/>
              </w:rPr>
              <w:t>$0.00</w:t>
            </w:r>
          </w:p>
        </w:tc>
        <w:tc>
          <w:tcPr>
            <w:tcW w:w="1642" w:type="dxa"/>
          </w:tcPr>
          <w:p>
            <w:pPr>
              <w:pStyle w:val="TableParagraph"/>
              <w:spacing w:before="155"/>
              <w:ind w:left="45" w:right="43"/>
              <w:rPr>
                <w:sz w:val="18"/>
              </w:rPr>
            </w:pPr>
            <w:r>
              <w:rPr>
                <w:sz w:val="18"/>
              </w:rPr>
              <w:t>$0.00</w:t>
            </w:r>
          </w:p>
        </w:tc>
        <w:tc>
          <w:tcPr>
            <w:tcW w:w="1291" w:type="dxa"/>
          </w:tcPr>
          <w:p>
            <w:pPr>
              <w:pStyle w:val="TableParagraph"/>
              <w:spacing w:before="155"/>
              <w:ind w:left="396" w:right="395"/>
              <w:rPr>
                <w:sz w:val="18"/>
              </w:rPr>
            </w:pPr>
            <w:r>
              <w:rPr>
                <w:sz w:val="18"/>
              </w:rPr>
              <w:t>$0.00</w:t>
            </w:r>
          </w:p>
        </w:tc>
        <w:tc>
          <w:tcPr>
            <w:tcW w:w="1493" w:type="dxa"/>
          </w:tcPr>
          <w:p>
            <w:pPr>
              <w:pStyle w:val="TableParagraph"/>
              <w:spacing w:before="155"/>
              <w:ind w:left="44" w:right="46"/>
              <w:rPr>
                <w:sz w:val="18"/>
              </w:rPr>
            </w:pPr>
            <w:r>
              <w:rPr>
                <w:sz w:val="18"/>
              </w:rPr>
              <w:t>$0.00</w:t>
            </w:r>
          </w:p>
        </w:tc>
        <w:tc>
          <w:tcPr>
            <w:tcW w:w="2218" w:type="dxa"/>
          </w:tcPr>
          <w:p>
            <w:pPr>
              <w:pStyle w:val="TableParagraph"/>
              <w:spacing w:before="155"/>
              <w:ind w:left="333" w:right="332"/>
              <w:rPr>
                <w:sz w:val="18"/>
              </w:rPr>
            </w:pPr>
            <w:r>
              <w:rPr>
                <w:sz w:val="18"/>
              </w:rPr>
              <w:t>$0.00</w:t>
            </w:r>
          </w:p>
        </w:tc>
      </w:tr>
      <w:tr>
        <w:trPr>
          <w:trHeight w:val="631" w:hRule="exact"/>
        </w:trPr>
        <w:tc>
          <w:tcPr>
            <w:tcW w:w="1520" w:type="dxa"/>
          </w:tcPr>
          <w:p>
            <w:pPr>
              <w:pStyle w:val="TableParagraph"/>
              <w:spacing w:before="150"/>
              <w:ind w:left="64"/>
              <w:jc w:val="left"/>
              <w:rPr>
                <w:b/>
                <w:sz w:val="18"/>
              </w:rPr>
            </w:pPr>
            <w:r>
              <w:rPr>
                <w:b/>
                <w:color w:val="333333"/>
                <w:sz w:val="18"/>
              </w:rPr>
              <w:t>EL ORO</w:t>
            </w:r>
          </w:p>
        </w:tc>
        <w:tc>
          <w:tcPr>
            <w:tcW w:w="1644" w:type="dxa"/>
          </w:tcPr>
          <w:p>
            <w:pPr>
              <w:pStyle w:val="TableParagraph"/>
              <w:spacing w:before="155"/>
              <w:ind w:left="43" w:right="45"/>
              <w:rPr>
                <w:sz w:val="18"/>
              </w:rPr>
            </w:pPr>
            <w:r>
              <w:rPr>
                <w:sz w:val="18"/>
              </w:rPr>
              <w:t>$234,611,887.92</w:t>
            </w:r>
          </w:p>
        </w:tc>
        <w:tc>
          <w:tcPr>
            <w:tcW w:w="1393" w:type="dxa"/>
          </w:tcPr>
          <w:p>
            <w:pPr>
              <w:pStyle w:val="TableParagraph"/>
              <w:spacing w:before="155"/>
              <w:ind w:left="95" w:right="95"/>
              <w:rPr>
                <w:sz w:val="18"/>
              </w:rPr>
            </w:pPr>
            <w:r>
              <w:rPr>
                <w:sz w:val="18"/>
              </w:rPr>
              <w:t>$6,000,000.00</w:t>
            </w:r>
          </w:p>
        </w:tc>
        <w:tc>
          <w:tcPr>
            <w:tcW w:w="1642" w:type="dxa"/>
          </w:tcPr>
          <w:p>
            <w:pPr>
              <w:pStyle w:val="TableParagraph"/>
              <w:spacing w:before="155"/>
              <w:ind w:left="45" w:right="45"/>
              <w:rPr>
                <w:sz w:val="18"/>
              </w:rPr>
            </w:pPr>
            <w:r>
              <w:rPr>
                <w:sz w:val="18"/>
              </w:rPr>
              <w:t>$220,277,482.38</w:t>
            </w:r>
          </w:p>
        </w:tc>
        <w:tc>
          <w:tcPr>
            <w:tcW w:w="1642" w:type="dxa"/>
          </w:tcPr>
          <w:p>
            <w:pPr>
              <w:pStyle w:val="TableParagraph"/>
              <w:spacing w:before="155"/>
              <w:ind w:left="44" w:right="45"/>
              <w:rPr>
                <w:sz w:val="18"/>
              </w:rPr>
            </w:pPr>
            <w:r>
              <w:rPr>
                <w:sz w:val="18"/>
              </w:rPr>
              <w:t>$20,334,405.54</w:t>
            </w:r>
          </w:p>
        </w:tc>
        <w:tc>
          <w:tcPr>
            <w:tcW w:w="1642" w:type="dxa"/>
          </w:tcPr>
          <w:p>
            <w:pPr>
              <w:pStyle w:val="TableParagraph"/>
              <w:spacing w:before="155"/>
              <w:ind w:left="43" w:right="43"/>
              <w:rPr>
                <w:sz w:val="18"/>
              </w:rPr>
            </w:pPr>
            <w:r>
              <w:rPr>
                <w:sz w:val="18"/>
              </w:rPr>
              <w:t>$249,319,767.84</w:t>
            </w:r>
          </w:p>
        </w:tc>
        <w:tc>
          <w:tcPr>
            <w:tcW w:w="1291" w:type="dxa"/>
          </w:tcPr>
          <w:p>
            <w:pPr>
              <w:pStyle w:val="TableParagraph"/>
              <w:spacing w:before="155"/>
              <w:ind w:left="396" w:right="395"/>
              <w:rPr>
                <w:sz w:val="18"/>
              </w:rPr>
            </w:pPr>
            <w:r>
              <w:rPr>
                <w:sz w:val="18"/>
              </w:rPr>
              <w:t>$0.00</w:t>
            </w:r>
          </w:p>
        </w:tc>
        <w:tc>
          <w:tcPr>
            <w:tcW w:w="1493" w:type="dxa"/>
          </w:tcPr>
          <w:p>
            <w:pPr>
              <w:pStyle w:val="TableParagraph"/>
              <w:spacing w:before="155"/>
              <w:ind w:left="45" w:right="46"/>
              <w:rPr>
                <w:sz w:val="18"/>
              </w:rPr>
            </w:pPr>
            <w:r>
              <w:rPr>
                <w:sz w:val="18"/>
              </w:rPr>
              <w:t>$158,743,254.69</w:t>
            </w:r>
          </w:p>
        </w:tc>
        <w:tc>
          <w:tcPr>
            <w:tcW w:w="2218" w:type="dxa"/>
          </w:tcPr>
          <w:p>
            <w:pPr>
              <w:pStyle w:val="TableParagraph"/>
              <w:spacing w:before="155"/>
              <w:ind w:left="332" w:right="333"/>
              <w:rPr>
                <w:sz w:val="18"/>
              </w:rPr>
            </w:pPr>
            <w:r>
              <w:rPr>
                <w:sz w:val="18"/>
              </w:rPr>
              <w:t>$90,576,513.15</w:t>
            </w:r>
          </w:p>
        </w:tc>
      </w:tr>
      <w:tr>
        <w:trPr>
          <w:trHeight w:val="632" w:hRule="exact"/>
        </w:trPr>
        <w:tc>
          <w:tcPr>
            <w:tcW w:w="1520" w:type="dxa"/>
          </w:tcPr>
          <w:p>
            <w:pPr>
              <w:pStyle w:val="TableParagraph"/>
              <w:spacing w:before="150"/>
              <w:ind w:left="64"/>
              <w:jc w:val="left"/>
              <w:rPr>
                <w:b/>
                <w:sz w:val="18"/>
              </w:rPr>
            </w:pPr>
            <w:r>
              <w:rPr>
                <w:b/>
                <w:color w:val="333333"/>
                <w:sz w:val="18"/>
              </w:rPr>
              <w:t>HUEHUETOCA</w:t>
            </w:r>
          </w:p>
        </w:tc>
        <w:tc>
          <w:tcPr>
            <w:tcW w:w="1644" w:type="dxa"/>
          </w:tcPr>
          <w:p>
            <w:pPr>
              <w:pStyle w:val="TableParagraph"/>
              <w:spacing w:before="155"/>
              <w:ind w:left="43" w:right="45"/>
              <w:rPr>
                <w:sz w:val="18"/>
              </w:rPr>
            </w:pPr>
            <w:r>
              <w:rPr>
                <w:sz w:val="18"/>
              </w:rPr>
              <w:t>$476,125,527.95</w:t>
            </w:r>
          </w:p>
        </w:tc>
        <w:tc>
          <w:tcPr>
            <w:tcW w:w="1393" w:type="dxa"/>
          </w:tcPr>
          <w:p>
            <w:pPr>
              <w:pStyle w:val="TableParagraph"/>
              <w:spacing w:before="155"/>
              <w:ind w:left="95" w:right="95"/>
              <w:rPr>
                <w:sz w:val="18"/>
              </w:rPr>
            </w:pPr>
            <w:r>
              <w:rPr>
                <w:sz w:val="18"/>
              </w:rPr>
              <w:t>$0.00</w:t>
            </w:r>
          </w:p>
        </w:tc>
        <w:tc>
          <w:tcPr>
            <w:tcW w:w="1642" w:type="dxa"/>
          </w:tcPr>
          <w:p>
            <w:pPr>
              <w:pStyle w:val="TableParagraph"/>
              <w:spacing w:before="155"/>
              <w:ind w:left="45" w:right="44"/>
              <w:rPr>
                <w:sz w:val="18"/>
              </w:rPr>
            </w:pPr>
            <w:r>
              <w:rPr>
                <w:sz w:val="18"/>
              </w:rPr>
              <w:t>$0.00</w:t>
            </w:r>
          </w:p>
        </w:tc>
        <w:tc>
          <w:tcPr>
            <w:tcW w:w="1642" w:type="dxa"/>
          </w:tcPr>
          <w:p>
            <w:pPr>
              <w:pStyle w:val="TableParagraph"/>
              <w:spacing w:before="155"/>
              <w:ind w:left="45" w:right="45"/>
              <w:rPr>
                <w:sz w:val="18"/>
              </w:rPr>
            </w:pPr>
            <w:r>
              <w:rPr>
                <w:sz w:val="18"/>
              </w:rPr>
              <w:t>$476,125,527.95</w:t>
            </w:r>
          </w:p>
        </w:tc>
        <w:tc>
          <w:tcPr>
            <w:tcW w:w="1642" w:type="dxa"/>
          </w:tcPr>
          <w:p>
            <w:pPr>
              <w:pStyle w:val="TableParagraph"/>
              <w:spacing w:before="155"/>
              <w:ind w:left="43" w:right="43"/>
              <w:rPr>
                <w:sz w:val="18"/>
              </w:rPr>
            </w:pPr>
            <w:r>
              <w:rPr>
                <w:sz w:val="18"/>
              </w:rPr>
              <w:t>$518,751,773.74</w:t>
            </w:r>
          </w:p>
        </w:tc>
        <w:tc>
          <w:tcPr>
            <w:tcW w:w="1291" w:type="dxa"/>
          </w:tcPr>
          <w:p>
            <w:pPr>
              <w:pStyle w:val="TableParagraph"/>
              <w:spacing w:before="155"/>
              <w:ind w:left="396" w:right="395"/>
              <w:rPr>
                <w:sz w:val="18"/>
              </w:rPr>
            </w:pPr>
            <w:r>
              <w:rPr>
                <w:sz w:val="18"/>
              </w:rPr>
              <w:t>$0.00</w:t>
            </w:r>
          </w:p>
        </w:tc>
        <w:tc>
          <w:tcPr>
            <w:tcW w:w="1493" w:type="dxa"/>
          </w:tcPr>
          <w:p>
            <w:pPr>
              <w:pStyle w:val="TableParagraph"/>
              <w:spacing w:before="155"/>
              <w:ind w:left="44" w:right="46"/>
              <w:rPr>
                <w:sz w:val="18"/>
              </w:rPr>
            </w:pPr>
            <w:r>
              <w:rPr>
                <w:sz w:val="18"/>
              </w:rPr>
              <w:t>$0.00</w:t>
            </w:r>
          </w:p>
        </w:tc>
        <w:tc>
          <w:tcPr>
            <w:tcW w:w="2218" w:type="dxa"/>
          </w:tcPr>
          <w:p>
            <w:pPr>
              <w:pStyle w:val="TableParagraph"/>
              <w:spacing w:before="155"/>
              <w:ind w:left="333" w:right="333"/>
              <w:rPr>
                <w:sz w:val="18"/>
              </w:rPr>
            </w:pPr>
            <w:r>
              <w:rPr>
                <w:sz w:val="18"/>
              </w:rPr>
              <w:t>$518,751,773.74</w:t>
            </w:r>
          </w:p>
        </w:tc>
      </w:tr>
      <w:tr>
        <w:trPr>
          <w:trHeight w:val="631" w:hRule="exact"/>
        </w:trPr>
        <w:tc>
          <w:tcPr>
            <w:tcW w:w="1520" w:type="dxa"/>
          </w:tcPr>
          <w:p>
            <w:pPr>
              <w:pStyle w:val="TableParagraph"/>
              <w:spacing w:before="150"/>
              <w:ind w:left="64"/>
              <w:jc w:val="left"/>
              <w:rPr>
                <w:b/>
                <w:sz w:val="18"/>
              </w:rPr>
            </w:pPr>
            <w:r>
              <w:rPr>
                <w:b/>
                <w:color w:val="333333"/>
                <w:sz w:val="18"/>
              </w:rPr>
              <w:t>HUEYPOXTLA</w:t>
            </w:r>
          </w:p>
        </w:tc>
        <w:tc>
          <w:tcPr>
            <w:tcW w:w="1644" w:type="dxa"/>
          </w:tcPr>
          <w:p>
            <w:pPr>
              <w:pStyle w:val="TableParagraph"/>
              <w:spacing w:before="155"/>
              <w:ind w:left="45" w:right="45"/>
              <w:rPr>
                <w:sz w:val="18"/>
              </w:rPr>
            </w:pPr>
            <w:r>
              <w:rPr>
                <w:sz w:val="18"/>
              </w:rPr>
              <w:t>$0.00</w:t>
            </w:r>
          </w:p>
        </w:tc>
        <w:tc>
          <w:tcPr>
            <w:tcW w:w="1393" w:type="dxa"/>
          </w:tcPr>
          <w:p>
            <w:pPr>
              <w:pStyle w:val="TableParagraph"/>
              <w:spacing w:before="155"/>
              <w:ind w:left="95" w:right="95"/>
              <w:rPr>
                <w:sz w:val="18"/>
              </w:rPr>
            </w:pPr>
            <w:r>
              <w:rPr>
                <w:sz w:val="18"/>
              </w:rPr>
              <w:t>$0.00</w:t>
            </w:r>
          </w:p>
        </w:tc>
        <w:tc>
          <w:tcPr>
            <w:tcW w:w="1642" w:type="dxa"/>
          </w:tcPr>
          <w:p>
            <w:pPr>
              <w:pStyle w:val="TableParagraph"/>
              <w:spacing w:before="155"/>
              <w:ind w:left="45" w:right="44"/>
              <w:rPr>
                <w:sz w:val="18"/>
              </w:rPr>
            </w:pPr>
            <w:r>
              <w:rPr>
                <w:sz w:val="18"/>
              </w:rPr>
              <w:t>$0.00</w:t>
            </w:r>
          </w:p>
        </w:tc>
        <w:tc>
          <w:tcPr>
            <w:tcW w:w="1642" w:type="dxa"/>
          </w:tcPr>
          <w:p>
            <w:pPr>
              <w:pStyle w:val="TableParagraph"/>
              <w:spacing w:before="155"/>
              <w:ind w:left="45" w:right="44"/>
              <w:rPr>
                <w:sz w:val="18"/>
              </w:rPr>
            </w:pPr>
            <w:r>
              <w:rPr>
                <w:sz w:val="18"/>
              </w:rPr>
              <w:t>$0.00</w:t>
            </w:r>
          </w:p>
        </w:tc>
        <w:tc>
          <w:tcPr>
            <w:tcW w:w="1642" w:type="dxa"/>
          </w:tcPr>
          <w:p>
            <w:pPr>
              <w:pStyle w:val="TableParagraph"/>
              <w:spacing w:before="155"/>
              <w:ind w:left="44" w:right="43"/>
              <w:rPr>
                <w:sz w:val="18"/>
              </w:rPr>
            </w:pPr>
            <w:r>
              <w:rPr>
                <w:sz w:val="18"/>
              </w:rPr>
              <w:t>$0.00</w:t>
            </w:r>
          </w:p>
        </w:tc>
        <w:tc>
          <w:tcPr>
            <w:tcW w:w="1291" w:type="dxa"/>
          </w:tcPr>
          <w:p>
            <w:pPr>
              <w:pStyle w:val="TableParagraph"/>
              <w:spacing w:before="155"/>
              <w:ind w:left="396" w:right="395"/>
              <w:rPr>
                <w:sz w:val="18"/>
              </w:rPr>
            </w:pPr>
            <w:r>
              <w:rPr>
                <w:sz w:val="18"/>
              </w:rPr>
              <w:t>$0.00</w:t>
            </w:r>
          </w:p>
        </w:tc>
        <w:tc>
          <w:tcPr>
            <w:tcW w:w="1493" w:type="dxa"/>
          </w:tcPr>
          <w:p>
            <w:pPr>
              <w:pStyle w:val="TableParagraph"/>
              <w:spacing w:before="155"/>
              <w:ind w:left="44" w:right="46"/>
              <w:rPr>
                <w:sz w:val="18"/>
              </w:rPr>
            </w:pPr>
            <w:r>
              <w:rPr>
                <w:sz w:val="18"/>
              </w:rPr>
              <w:t>$0.00</w:t>
            </w:r>
          </w:p>
        </w:tc>
        <w:tc>
          <w:tcPr>
            <w:tcW w:w="2218" w:type="dxa"/>
          </w:tcPr>
          <w:p>
            <w:pPr>
              <w:pStyle w:val="TableParagraph"/>
              <w:spacing w:before="155"/>
              <w:ind w:left="333" w:right="332"/>
              <w:rPr>
                <w:sz w:val="18"/>
              </w:rPr>
            </w:pPr>
            <w:r>
              <w:rPr>
                <w:sz w:val="18"/>
              </w:rPr>
              <w:t>$0.00</w:t>
            </w:r>
          </w:p>
        </w:tc>
      </w:tr>
      <w:tr>
        <w:trPr>
          <w:trHeight w:val="631" w:hRule="exact"/>
        </w:trPr>
        <w:tc>
          <w:tcPr>
            <w:tcW w:w="1520" w:type="dxa"/>
          </w:tcPr>
          <w:p>
            <w:pPr>
              <w:pStyle w:val="TableParagraph"/>
              <w:spacing w:before="150"/>
              <w:ind w:left="64"/>
              <w:jc w:val="left"/>
              <w:rPr>
                <w:b/>
                <w:sz w:val="18"/>
              </w:rPr>
            </w:pPr>
            <w:r>
              <w:rPr>
                <w:b/>
                <w:color w:val="333333"/>
                <w:sz w:val="18"/>
              </w:rPr>
              <w:t>HUIXQUILUCAN</w:t>
            </w:r>
          </w:p>
        </w:tc>
        <w:tc>
          <w:tcPr>
            <w:tcW w:w="1644" w:type="dxa"/>
          </w:tcPr>
          <w:p>
            <w:pPr>
              <w:pStyle w:val="TableParagraph"/>
              <w:spacing w:before="155"/>
              <w:ind w:left="45" w:right="45"/>
              <w:rPr>
                <w:sz w:val="18"/>
              </w:rPr>
            </w:pPr>
            <w:r>
              <w:rPr>
                <w:sz w:val="18"/>
              </w:rPr>
              <w:t>$2,404,044,368.77</w:t>
            </w:r>
          </w:p>
        </w:tc>
        <w:tc>
          <w:tcPr>
            <w:tcW w:w="1393" w:type="dxa"/>
          </w:tcPr>
          <w:p>
            <w:pPr>
              <w:pStyle w:val="TableParagraph"/>
              <w:spacing w:before="155"/>
              <w:ind w:left="95" w:right="95"/>
              <w:rPr>
                <w:sz w:val="18"/>
              </w:rPr>
            </w:pPr>
            <w:r>
              <w:rPr>
                <w:sz w:val="18"/>
              </w:rPr>
              <w:t>$1,168,544.85</w:t>
            </w:r>
          </w:p>
        </w:tc>
        <w:tc>
          <w:tcPr>
            <w:tcW w:w="1642" w:type="dxa"/>
          </w:tcPr>
          <w:p>
            <w:pPr>
              <w:pStyle w:val="TableParagraph"/>
              <w:spacing w:before="155"/>
              <w:ind w:left="45" w:right="45"/>
              <w:rPr>
                <w:sz w:val="18"/>
              </w:rPr>
            </w:pPr>
            <w:r>
              <w:rPr>
                <w:sz w:val="18"/>
              </w:rPr>
              <w:t>$1,701,551,303.39</w:t>
            </w:r>
          </w:p>
        </w:tc>
        <w:tc>
          <w:tcPr>
            <w:tcW w:w="1642" w:type="dxa"/>
          </w:tcPr>
          <w:p>
            <w:pPr>
              <w:pStyle w:val="TableParagraph"/>
              <w:spacing w:before="155"/>
              <w:ind w:left="45" w:right="45"/>
              <w:rPr>
                <w:sz w:val="18"/>
              </w:rPr>
            </w:pPr>
            <w:r>
              <w:rPr>
                <w:sz w:val="18"/>
              </w:rPr>
              <w:t>$703,661,610.23</w:t>
            </w:r>
          </w:p>
        </w:tc>
        <w:tc>
          <w:tcPr>
            <w:tcW w:w="1642" w:type="dxa"/>
          </w:tcPr>
          <w:p>
            <w:pPr>
              <w:pStyle w:val="TableParagraph"/>
              <w:spacing w:before="155"/>
              <w:ind w:left="43" w:right="43"/>
              <w:rPr>
                <w:sz w:val="18"/>
              </w:rPr>
            </w:pPr>
            <w:r>
              <w:rPr>
                <w:sz w:val="18"/>
              </w:rPr>
              <w:t>$2,391,341,357.49</w:t>
            </w:r>
          </w:p>
        </w:tc>
        <w:tc>
          <w:tcPr>
            <w:tcW w:w="1291" w:type="dxa"/>
          </w:tcPr>
          <w:p>
            <w:pPr>
              <w:pStyle w:val="TableParagraph"/>
              <w:spacing w:before="155"/>
              <w:ind w:left="396" w:right="395"/>
              <w:rPr>
                <w:sz w:val="18"/>
              </w:rPr>
            </w:pPr>
            <w:r>
              <w:rPr>
                <w:sz w:val="18"/>
              </w:rPr>
              <w:t>$0.00</w:t>
            </w:r>
          </w:p>
        </w:tc>
        <w:tc>
          <w:tcPr>
            <w:tcW w:w="1493" w:type="dxa"/>
          </w:tcPr>
          <w:p>
            <w:pPr>
              <w:pStyle w:val="TableParagraph"/>
              <w:spacing w:before="155"/>
              <w:ind w:left="45" w:right="46"/>
              <w:rPr>
                <w:sz w:val="18"/>
              </w:rPr>
            </w:pPr>
            <w:r>
              <w:rPr>
                <w:sz w:val="18"/>
              </w:rPr>
              <w:t>$970,889,906.63</w:t>
            </w:r>
          </w:p>
        </w:tc>
        <w:tc>
          <w:tcPr>
            <w:tcW w:w="2218" w:type="dxa"/>
          </w:tcPr>
          <w:p>
            <w:pPr>
              <w:pStyle w:val="TableParagraph"/>
              <w:spacing w:before="155"/>
              <w:ind w:left="333" w:right="333"/>
              <w:rPr>
                <w:sz w:val="18"/>
              </w:rPr>
            </w:pPr>
            <w:r>
              <w:rPr>
                <w:sz w:val="18"/>
              </w:rPr>
              <w:t>$1,420,451,450.86</w:t>
            </w:r>
          </w:p>
        </w:tc>
      </w:tr>
      <w:tr>
        <w:trPr>
          <w:trHeight w:val="631" w:hRule="exact"/>
        </w:trPr>
        <w:tc>
          <w:tcPr>
            <w:tcW w:w="1520" w:type="dxa"/>
          </w:tcPr>
          <w:p>
            <w:pPr>
              <w:pStyle w:val="TableParagraph"/>
              <w:spacing w:line="360" w:lineRule="auto"/>
              <w:ind w:left="64" w:right="696"/>
              <w:jc w:val="left"/>
              <w:rPr>
                <w:b/>
                <w:sz w:val="18"/>
              </w:rPr>
            </w:pPr>
            <w:r>
              <w:rPr>
                <w:b/>
                <w:color w:val="333333"/>
                <w:sz w:val="18"/>
              </w:rPr>
              <w:t>ISIDRO FABELA</w:t>
            </w:r>
          </w:p>
        </w:tc>
        <w:tc>
          <w:tcPr>
            <w:tcW w:w="1644" w:type="dxa"/>
          </w:tcPr>
          <w:p>
            <w:pPr>
              <w:pStyle w:val="TableParagraph"/>
              <w:spacing w:before="155"/>
              <w:ind w:left="44" w:right="45"/>
              <w:rPr>
                <w:sz w:val="18"/>
              </w:rPr>
            </w:pPr>
            <w:r>
              <w:rPr>
                <w:sz w:val="18"/>
              </w:rPr>
              <w:t>$0.00</w:t>
            </w:r>
          </w:p>
        </w:tc>
        <w:tc>
          <w:tcPr>
            <w:tcW w:w="1393" w:type="dxa"/>
          </w:tcPr>
          <w:p>
            <w:pPr>
              <w:pStyle w:val="TableParagraph"/>
              <w:spacing w:before="155"/>
              <w:ind w:left="95" w:right="95"/>
              <w:rPr>
                <w:sz w:val="18"/>
              </w:rPr>
            </w:pPr>
            <w:r>
              <w:rPr>
                <w:sz w:val="18"/>
              </w:rPr>
              <w:t>$0.00</w:t>
            </w:r>
          </w:p>
        </w:tc>
        <w:tc>
          <w:tcPr>
            <w:tcW w:w="1642" w:type="dxa"/>
          </w:tcPr>
          <w:p>
            <w:pPr>
              <w:pStyle w:val="TableParagraph"/>
              <w:spacing w:before="155"/>
              <w:ind w:left="45" w:right="44"/>
              <w:rPr>
                <w:sz w:val="18"/>
              </w:rPr>
            </w:pPr>
            <w:r>
              <w:rPr>
                <w:sz w:val="18"/>
              </w:rPr>
              <w:t>$0.00</w:t>
            </w:r>
          </w:p>
        </w:tc>
        <w:tc>
          <w:tcPr>
            <w:tcW w:w="1642" w:type="dxa"/>
          </w:tcPr>
          <w:p>
            <w:pPr>
              <w:pStyle w:val="TableParagraph"/>
              <w:spacing w:before="155"/>
              <w:ind w:left="45" w:right="44"/>
              <w:rPr>
                <w:sz w:val="18"/>
              </w:rPr>
            </w:pPr>
            <w:r>
              <w:rPr>
                <w:sz w:val="18"/>
              </w:rPr>
              <w:t>$0.00</w:t>
            </w:r>
          </w:p>
        </w:tc>
        <w:tc>
          <w:tcPr>
            <w:tcW w:w="1642" w:type="dxa"/>
          </w:tcPr>
          <w:p>
            <w:pPr>
              <w:pStyle w:val="TableParagraph"/>
              <w:spacing w:before="155"/>
              <w:ind w:left="44" w:right="43"/>
              <w:rPr>
                <w:sz w:val="18"/>
              </w:rPr>
            </w:pPr>
            <w:r>
              <w:rPr>
                <w:sz w:val="18"/>
              </w:rPr>
              <w:t>$0.00</w:t>
            </w:r>
          </w:p>
        </w:tc>
        <w:tc>
          <w:tcPr>
            <w:tcW w:w="1291" w:type="dxa"/>
          </w:tcPr>
          <w:p>
            <w:pPr>
              <w:pStyle w:val="TableParagraph"/>
              <w:spacing w:before="155"/>
              <w:ind w:left="396" w:right="395"/>
              <w:rPr>
                <w:sz w:val="18"/>
              </w:rPr>
            </w:pPr>
            <w:r>
              <w:rPr>
                <w:sz w:val="18"/>
              </w:rPr>
              <w:t>$0.00</w:t>
            </w:r>
          </w:p>
        </w:tc>
        <w:tc>
          <w:tcPr>
            <w:tcW w:w="1493" w:type="dxa"/>
          </w:tcPr>
          <w:p>
            <w:pPr>
              <w:pStyle w:val="TableParagraph"/>
              <w:spacing w:before="155"/>
              <w:ind w:left="44" w:right="46"/>
              <w:rPr>
                <w:sz w:val="18"/>
              </w:rPr>
            </w:pPr>
            <w:r>
              <w:rPr>
                <w:sz w:val="18"/>
              </w:rPr>
              <w:t>$0.00</w:t>
            </w:r>
          </w:p>
        </w:tc>
        <w:tc>
          <w:tcPr>
            <w:tcW w:w="2218" w:type="dxa"/>
          </w:tcPr>
          <w:p>
            <w:pPr>
              <w:pStyle w:val="TableParagraph"/>
              <w:spacing w:before="155"/>
              <w:ind w:left="333" w:right="332"/>
              <w:rPr>
                <w:sz w:val="18"/>
              </w:rPr>
            </w:pPr>
            <w:r>
              <w:rPr>
                <w:sz w:val="18"/>
              </w:rPr>
              <w:t>$0.00</w:t>
            </w:r>
          </w:p>
        </w:tc>
      </w:tr>
      <w:tr>
        <w:trPr>
          <w:trHeight w:val="632" w:hRule="exact"/>
        </w:trPr>
        <w:tc>
          <w:tcPr>
            <w:tcW w:w="1520" w:type="dxa"/>
          </w:tcPr>
          <w:p>
            <w:pPr>
              <w:pStyle w:val="TableParagraph"/>
              <w:spacing w:before="151"/>
              <w:ind w:left="64"/>
              <w:jc w:val="left"/>
              <w:rPr>
                <w:b/>
                <w:sz w:val="18"/>
              </w:rPr>
            </w:pPr>
            <w:r>
              <w:rPr>
                <w:b/>
                <w:color w:val="333333"/>
                <w:sz w:val="18"/>
              </w:rPr>
              <w:t>IXTAPALUCA</w:t>
            </w:r>
          </w:p>
        </w:tc>
        <w:tc>
          <w:tcPr>
            <w:tcW w:w="1644" w:type="dxa"/>
          </w:tcPr>
          <w:p>
            <w:pPr>
              <w:pStyle w:val="TableParagraph"/>
              <w:spacing w:before="155"/>
              <w:ind w:left="43" w:right="45"/>
              <w:rPr>
                <w:sz w:val="18"/>
              </w:rPr>
            </w:pPr>
            <w:r>
              <w:rPr>
                <w:sz w:val="18"/>
              </w:rPr>
              <w:t>$14,477,086.00</w:t>
            </w:r>
          </w:p>
        </w:tc>
        <w:tc>
          <w:tcPr>
            <w:tcW w:w="1393" w:type="dxa"/>
          </w:tcPr>
          <w:p>
            <w:pPr>
              <w:pStyle w:val="TableParagraph"/>
              <w:spacing w:before="155"/>
              <w:ind w:left="95" w:right="95"/>
              <w:rPr>
                <w:sz w:val="18"/>
              </w:rPr>
            </w:pPr>
            <w:r>
              <w:rPr>
                <w:sz w:val="18"/>
              </w:rPr>
              <w:t>$0.00</w:t>
            </w:r>
          </w:p>
        </w:tc>
        <w:tc>
          <w:tcPr>
            <w:tcW w:w="1642" w:type="dxa"/>
          </w:tcPr>
          <w:p>
            <w:pPr>
              <w:pStyle w:val="TableParagraph"/>
              <w:spacing w:before="155"/>
              <w:ind w:left="45" w:right="44"/>
              <w:rPr>
                <w:sz w:val="18"/>
              </w:rPr>
            </w:pPr>
            <w:r>
              <w:rPr>
                <w:sz w:val="18"/>
              </w:rPr>
              <w:t>$0.00</w:t>
            </w:r>
          </w:p>
        </w:tc>
        <w:tc>
          <w:tcPr>
            <w:tcW w:w="1642" w:type="dxa"/>
          </w:tcPr>
          <w:p>
            <w:pPr>
              <w:pStyle w:val="TableParagraph"/>
              <w:spacing w:before="155"/>
              <w:ind w:left="44" w:right="45"/>
              <w:rPr>
                <w:sz w:val="18"/>
              </w:rPr>
            </w:pPr>
            <w:r>
              <w:rPr>
                <w:sz w:val="18"/>
              </w:rPr>
              <w:t>$14,477,086.00</w:t>
            </w:r>
          </w:p>
        </w:tc>
        <w:tc>
          <w:tcPr>
            <w:tcW w:w="1642" w:type="dxa"/>
          </w:tcPr>
          <w:p>
            <w:pPr>
              <w:pStyle w:val="TableParagraph"/>
              <w:spacing w:before="155"/>
              <w:ind w:left="44" w:right="43"/>
              <w:rPr>
                <w:sz w:val="18"/>
              </w:rPr>
            </w:pPr>
            <w:r>
              <w:rPr>
                <w:sz w:val="18"/>
              </w:rPr>
              <w:t>$0.00</w:t>
            </w:r>
          </w:p>
        </w:tc>
        <w:tc>
          <w:tcPr>
            <w:tcW w:w="1291" w:type="dxa"/>
          </w:tcPr>
          <w:p>
            <w:pPr>
              <w:pStyle w:val="TableParagraph"/>
              <w:spacing w:before="155"/>
              <w:ind w:left="396" w:right="395"/>
              <w:rPr>
                <w:sz w:val="18"/>
              </w:rPr>
            </w:pPr>
            <w:r>
              <w:rPr>
                <w:sz w:val="18"/>
              </w:rPr>
              <w:t>$0.00</w:t>
            </w:r>
          </w:p>
        </w:tc>
        <w:tc>
          <w:tcPr>
            <w:tcW w:w="1493" w:type="dxa"/>
          </w:tcPr>
          <w:p>
            <w:pPr>
              <w:pStyle w:val="TableParagraph"/>
              <w:spacing w:before="155"/>
              <w:ind w:left="44" w:right="46"/>
              <w:rPr>
                <w:sz w:val="18"/>
              </w:rPr>
            </w:pPr>
            <w:r>
              <w:rPr>
                <w:sz w:val="18"/>
              </w:rPr>
              <w:t>$0.00</w:t>
            </w:r>
          </w:p>
        </w:tc>
        <w:tc>
          <w:tcPr>
            <w:tcW w:w="2218" w:type="dxa"/>
          </w:tcPr>
          <w:p>
            <w:pPr>
              <w:pStyle w:val="TableParagraph"/>
              <w:spacing w:before="155"/>
              <w:ind w:left="333" w:right="332"/>
              <w:rPr>
                <w:sz w:val="18"/>
              </w:rPr>
            </w:pPr>
            <w:r>
              <w:rPr>
                <w:sz w:val="18"/>
              </w:rPr>
              <w:t>$0.00</w:t>
            </w:r>
          </w:p>
        </w:tc>
      </w:tr>
    </w:tbl>
    <w:p>
      <w:pPr>
        <w:spacing w:after="0"/>
        <w:rPr>
          <w:sz w:val="18"/>
        </w:rPr>
        <w:sectPr>
          <w:pgSz w:w="15840" w:h="12240" w:orient="landscape"/>
          <w:pgMar w:header="0" w:footer="975" w:top="1140" w:bottom="1160" w:left="560" w:right="560"/>
        </w:sectPr>
      </w:pPr>
    </w:p>
    <w:p>
      <w:pPr>
        <w:pStyle w:val="BodyText"/>
        <w:rPr>
          <w:rFonts w:ascii="Times New Roman"/>
          <w:sz w:val="20"/>
        </w:rPr>
      </w:pPr>
    </w:p>
    <w:p>
      <w:pPr>
        <w:pStyle w:val="BodyText"/>
        <w:spacing w:before="10"/>
        <w:rPr>
          <w:rFonts w:ascii="Times New Roman"/>
          <w:sz w:val="28"/>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17"/>
        <w:gridCol w:w="1642"/>
        <w:gridCol w:w="1392"/>
        <w:gridCol w:w="1645"/>
        <w:gridCol w:w="1642"/>
        <w:gridCol w:w="1616"/>
        <w:gridCol w:w="1488"/>
        <w:gridCol w:w="1493"/>
        <w:gridCol w:w="2218"/>
      </w:tblGrid>
      <w:tr>
        <w:trPr>
          <w:trHeight w:val="631" w:hRule="exact"/>
        </w:trPr>
        <w:tc>
          <w:tcPr>
            <w:tcW w:w="14652" w:type="dxa"/>
            <w:gridSpan w:val="9"/>
            <w:shd w:val="clear" w:color="auto" w:fill="C5DFB3"/>
          </w:tcPr>
          <w:p>
            <w:pPr>
              <w:pStyle w:val="TableParagraph"/>
              <w:spacing w:before="150"/>
              <w:ind w:left="3667"/>
              <w:jc w:val="left"/>
              <w:rPr>
                <w:b/>
                <w:sz w:val="18"/>
              </w:rPr>
            </w:pPr>
            <w:r>
              <w:rPr>
                <w:b/>
                <w:sz w:val="18"/>
              </w:rPr>
              <w:t>Anexo 24D. Municipios que publican apartado presupuesto 2014-2015 (Continuación)</w:t>
            </w:r>
          </w:p>
        </w:tc>
      </w:tr>
      <w:tr>
        <w:trPr>
          <w:trHeight w:val="368" w:hRule="exact"/>
        </w:trPr>
        <w:tc>
          <w:tcPr>
            <w:tcW w:w="1517" w:type="dxa"/>
            <w:vMerge w:val="restart"/>
            <w:shd w:val="clear" w:color="auto" w:fill="C5DFB3"/>
          </w:tcPr>
          <w:p>
            <w:pPr>
              <w:pStyle w:val="TableParagraph"/>
              <w:jc w:val="left"/>
              <w:rPr>
                <w:rFonts w:ascii="Times New Roman"/>
                <w:sz w:val="18"/>
              </w:rPr>
            </w:pPr>
          </w:p>
          <w:p>
            <w:pPr>
              <w:pStyle w:val="TableParagraph"/>
              <w:spacing w:before="4"/>
              <w:jc w:val="left"/>
              <w:rPr>
                <w:rFonts w:ascii="Times New Roman"/>
                <w:sz w:val="26"/>
              </w:rPr>
            </w:pPr>
          </w:p>
          <w:p>
            <w:pPr>
              <w:pStyle w:val="TableParagraph"/>
              <w:ind w:left="333" w:right="43"/>
              <w:jc w:val="left"/>
              <w:rPr>
                <w:b/>
                <w:sz w:val="18"/>
              </w:rPr>
            </w:pPr>
            <w:r>
              <w:rPr>
                <w:b/>
                <w:sz w:val="18"/>
              </w:rPr>
              <w:t>Municipio</w:t>
            </w:r>
          </w:p>
        </w:tc>
        <w:tc>
          <w:tcPr>
            <w:tcW w:w="6320" w:type="dxa"/>
            <w:gridSpan w:val="4"/>
            <w:shd w:val="clear" w:color="auto" w:fill="C5DFB3"/>
          </w:tcPr>
          <w:p>
            <w:pPr>
              <w:pStyle w:val="TableParagraph"/>
              <w:spacing w:before="18"/>
              <w:ind w:left="2713" w:right="2715"/>
              <w:rPr>
                <w:b/>
                <w:sz w:val="18"/>
              </w:rPr>
            </w:pPr>
            <w:r>
              <w:rPr>
                <w:b/>
                <w:sz w:val="18"/>
              </w:rPr>
              <w:t>2010</w:t>
            </w:r>
          </w:p>
        </w:tc>
        <w:tc>
          <w:tcPr>
            <w:tcW w:w="6815" w:type="dxa"/>
            <w:gridSpan w:val="4"/>
            <w:shd w:val="clear" w:color="auto" w:fill="C5DFB3"/>
          </w:tcPr>
          <w:p>
            <w:pPr>
              <w:pStyle w:val="TableParagraph"/>
              <w:spacing w:before="18"/>
              <w:ind w:left="3183" w:right="3181"/>
              <w:rPr>
                <w:b/>
                <w:sz w:val="18"/>
              </w:rPr>
            </w:pPr>
            <w:r>
              <w:rPr>
                <w:b/>
                <w:sz w:val="18"/>
              </w:rPr>
              <w:t>2011</w:t>
            </w:r>
          </w:p>
        </w:tc>
      </w:tr>
      <w:tr>
        <w:trPr>
          <w:trHeight w:val="983" w:hRule="exact"/>
        </w:trPr>
        <w:tc>
          <w:tcPr>
            <w:tcW w:w="1517" w:type="dxa"/>
            <w:vMerge/>
            <w:shd w:val="clear" w:color="auto" w:fill="C5DFB3"/>
          </w:tcPr>
          <w:p>
            <w:pPr/>
          </w:p>
        </w:tc>
        <w:tc>
          <w:tcPr>
            <w:tcW w:w="164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
              <w:jc w:val="left"/>
              <w:rPr>
                <w:rFonts w:ascii="Times New Roman"/>
                <w:sz w:val="21"/>
              </w:rPr>
            </w:pPr>
          </w:p>
          <w:p>
            <w:pPr>
              <w:pStyle w:val="TableParagraph"/>
              <w:ind w:left="14" w:right="-1"/>
              <w:jc w:val="left"/>
              <w:rPr>
                <w:b/>
                <w:sz w:val="18"/>
              </w:rPr>
            </w:pPr>
            <w:r>
              <w:rPr>
                <w:b/>
                <w:w w:val="100"/>
                <w:sz w:val="18"/>
              </w:rPr>
              <w:t>Autoriz</w:t>
            </w:r>
            <w:r>
              <w:rPr>
                <w:b/>
                <w:w w:val="99"/>
                <w:sz w:val="18"/>
              </w:rPr>
              <w:t>a</w:t>
            </w:r>
            <w:r>
              <w:rPr>
                <w:b/>
                <w:w w:val="100"/>
                <w:sz w:val="18"/>
              </w:rPr>
              <w:t>do</w:t>
            </w:r>
          </w:p>
        </w:tc>
        <w:tc>
          <w:tcPr>
            <w:tcW w:w="139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18"/>
              <w:ind w:left="9" w:right="-5"/>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645"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
              <w:jc w:val="left"/>
              <w:rPr>
                <w:rFonts w:ascii="Times New Roman"/>
                <w:sz w:val="21"/>
              </w:rPr>
            </w:pPr>
          </w:p>
          <w:p>
            <w:pPr>
              <w:pStyle w:val="TableParagraph"/>
              <w:spacing w:before="1"/>
              <w:ind w:left="129" w:right="-1"/>
              <w:jc w:val="left"/>
              <w:rPr>
                <w:b/>
                <w:sz w:val="18"/>
              </w:rPr>
            </w:pPr>
            <w:r>
              <w:rPr>
                <w:b/>
                <w:w w:val="100"/>
                <w:sz w:val="18"/>
              </w:rPr>
              <w:t>Eje</w:t>
            </w:r>
            <w:r>
              <w:rPr>
                <w:b/>
                <w:w w:val="99"/>
                <w:sz w:val="18"/>
              </w:rPr>
              <w:t>rci</w:t>
            </w:r>
            <w:r>
              <w:rPr>
                <w:b/>
                <w:w w:val="100"/>
                <w:sz w:val="18"/>
              </w:rPr>
              <w:t>do</w:t>
            </w:r>
          </w:p>
        </w:tc>
        <w:tc>
          <w:tcPr>
            <w:tcW w:w="164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0"/>
              </w:rPr>
            </w:pPr>
          </w:p>
          <w:p>
            <w:pPr>
              <w:pStyle w:val="TableParagraph"/>
              <w:ind w:left="14" w:right="-2"/>
              <w:jc w:val="left"/>
              <w:rPr>
                <w:b/>
                <w:sz w:val="18"/>
              </w:rPr>
            </w:pPr>
            <w:r>
              <w:rPr>
                <w:b/>
                <w:sz w:val="18"/>
              </w:rPr>
              <w:t>Por </w:t>
            </w:r>
            <w:r>
              <w:rPr>
                <w:b/>
                <w:w w:val="99"/>
                <w:sz w:val="18"/>
              </w:rPr>
              <w:t>e</w:t>
            </w:r>
            <w:r>
              <w:rPr>
                <w:b/>
                <w:w w:val="100"/>
                <w:sz w:val="18"/>
              </w:rPr>
              <w:t>je</w:t>
            </w:r>
            <w:r>
              <w:rPr>
                <w:b/>
                <w:w w:val="99"/>
                <w:sz w:val="18"/>
              </w:rPr>
              <w:t>rcer</w:t>
            </w:r>
          </w:p>
        </w:tc>
        <w:tc>
          <w:tcPr>
            <w:tcW w:w="1616"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19"/>
              </w:rPr>
            </w:pPr>
          </w:p>
          <w:p>
            <w:pPr>
              <w:pStyle w:val="TableParagraph"/>
              <w:ind w:left="14" w:right="-1"/>
              <w:jc w:val="left"/>
              <w:rPr>
                <w:b/>
                <w:sz w:val="18"/>
              </w:rPr>
            </w:pPr>
            <w:r>
              <w:rPr>
                <w:b/>
                <w:w w:val="100"/>
                <w:sz w:val="18"/>
              </w:rPr>
              <w:t>Autoriz</w:t>
            </w:r>
            <w:r>
              <w:rPr>
                <w:b/>
                <w:w w:val="99"/>
                <w:sz w:val="18"/>
              </w:rPr>
              <w:t>a</w:t>
            </w:r>
            <w:r>
              <w:rPr>
                <w:b/>
                <w:w w:val="100"/>
                <w:sz w:val="18"/>
              </w:rPr>
              <w:t>do</w:t>
            </w:r>
          </w:p>
        </w:tc>
        <w:tc>
          <w:tcPr>
            <w:tcW w:w="148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5"/>
              <w:jc w:val="left"/>
              <w:rPr>
                <w:rFonts w:ascii="Times New Roman"/>
                <w:sz w:val="14"/>
              </w:rPr>
            </w:pPr>
          </w:p>
          <w:p>
            <w:pPr>
              <w:pStyle w:val="TableParagraph"/>
              <w:ind w:left="9" w:right="-5"/>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493"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5"/>
              <w:jc w:val="left"/>
              <w:rPr>
                <w:rFonts w:ascii="Times New Roman"/>
                <w:sz w:val="14"/>
              </w:rPr>
            </w:pPr>
          </w:p>
          <w:p>
            <w:pPr>
              <w:pStyle w:val="TableParagraph"/>
              <w:ind w:left="129" w:right="-1"/>
              <w:jc w:val="left"/>
              <w:rPr>
                <w:b/>
                <w:sz w:val="18"/>
              </w:rPr>
            </w:pPr>
            <w:r>
              <w:rPr>
                <w:b/>
                <w:w w:val="100"/>
                <w:sz w:val="18"/>
              </w:rPr>
              <w:t>Eje</w:t>
            </w:r>
            <w:r>
              <w:rPr>
                <w:b/>
                <w:w w:val="99"/>
                <w:sz w:val="18"/>
              </w:rPr>
              <w:t>rci</w:t>
            </w:r>
            <w:r>
              <w:rPr>
                <w:b/>
                <w:w w:val="100"/>
                <w:sz w:val="18"/>
              </w:rPr>
              <w:t>do</w:t>
            </w:r>
          </w:p>
        </w:tc>
        <w:tc>
          <w:tcPr>
            <w:tcW w:w="2218"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114"/>
              <w:ind w:left="14" w:right="-2"/>
              <w:jc w:val="left"/>
              <w:rPr>
                <w:b/>
                <w:sz w:val="18"/>
              </w:rPr>
            </w:pPr>
            <w:r>
              <w:rPr>
                <w:b/>
                <w:sz w:val="18"/>
              </w:rPr>
              <w:t>Por </w:t>
            </w:r>
            <w:r>
              <w:rPr>
                <w:b/>
                <w:w w:val="99"/>
                <w:sz w:val="18"/>
              </w:rPr>
              <w:t>e</w:t>
            </w:r>
            <w:r>
              <w:rPr>
                <w:b/>
                <w:w w:val="100"/>
                <w:sz w:val="18"/>
              </w:rPr>
              <w:t>j</w:t>
            </w:r>
            <w:r>
              <w:rPr>
                <w:b/>
                <w:w w:val="99"/>
                <w:sz w:val="18"/>
              </w:rPr>
              <w:t>erce</w:t>
            </w:r>
            <w:r>
              <w:rPr>
                <w:b/>
                <w:w w:val="99"/>
                <w:sz w:val="18"/>
              </w:rPr>
              <w:t>r</w:t>
            </w:r>
          </w:p>
        </w:tc>
      </w:tr>
      <w:tr>
        <w:trPr>
          <w:trHeight w:val="632" w:hRule="exact"/>
        </w:trPr>
        <w:tc>
          <w:tcPr>
            <w:tcW w:w="1517" w:type="dxa"/>
          </w:tcPr>
          <w:p>
            <w:pPr>
              <w:pStyle w:val="TableParagraph"/>
              <w:spacing w:line="362" w:lineRule="auto"/>
              <w:ind w:left="64" w:right="43"/>
              <w:jc w:val="left"/>
              <w:rPr>
                <w:b/>
                <w:sz w:val="18"/>
              </w:rPr>
            </w:pPr>
            <w:r>
              <w:rPr>
                <w:b/>
                <w:color w:val="333333"/>
                <w:sz w:val="18"/>
              </w:rPr>
              <w:t>IXTAPAN DE LA SAL</w:t>
            </w:r>
          </w:p>
        </w:tc>
        <w:tc>
          <w:tcPr>
            <w:tcW w:w="1642" w:type="dxa"/>
          </w:tcPr>
          <w:p>
            <w:pPr>
              <w:pStyle w:val="TableParagraph"/>
              <w:spacing w:before="155"/>
              <w:ind w:left="45" w:right="45"/>
              <w:rPr>
                <w:sz w:val="18"/>
              </w:rPr>
            </w:pPr>
            <w:r>
              <w:rPr>
                <w:sz w:val="18"/>
              </w:rPr>
              <w:t>$215,286,269.75</w:t>
            </w:r>
          </w:p>
        </w:tc>
        <w:tc>
          <w:tcPr>
            <w:tcW w:w="1392" w:type="dxa"/>
          </w:tcPr>
          <w:p>
            <w:pPr>
              <w:pStyle w:val="TableParagraph"/>
              <w:spacing w:before="155"/>
              <w:ind w:left="47" w:right="42"/>
              <w:rPr>
                <w:sz w:val="18"/>
              </w:rPr>
            </w:pPr>
            <w:r>
              <w:rPr>
                <w:sz w:val="18"/>
              </w:rPr>
              <w:t>$0.00</w:t>
            </w:r>
          </w:p>
        </w:tc>
        <w:tc>
          <w:tcPr>
            <w:tcW w:w="1645" w:type="dxa"/>
          </w:tcPr>
          <w:p>
            <w:pPr>
              <w:pStyle w:val="TableParagraph"/>
              <w:spacing w:before="155"/>
              <w:ind w:left="121" w:right="117"/>
              <w:rPr>
                <w:sz w:val="18"/>
              </w:rPr>
            </w:pPr>
            <w:r>
              <w:rPr>
                <w:sz w:val="18"/>
              </w:rPr>
              <w:t>$0.00</w:t>
            </w:r>
          </w:p>
        </w:tc>
        <w:tc>
          <w:tcPr>
            <w:tcW w:w="1642" w:type="dxa"/>
          </w:tcPr>
          <w:p>
            <w:pPr>
              <w:pStyle w:val="TableParagraph"/>
              <w:spacing w:before="155"/>
              <w:ind w:left="139"/>
              <w:jc w:val="left"/>
              <w:rPr>
                <w:sz w:val="18"/>
              </w:rPr>
            </w:pPr>
            <w:r>
              <w:rPr>
                <w:sz w:val="18"/>
              </w:rPr>
              <w:t>$215,286,269.75</w:t>
            </w:r>
          </w:p>
        </w:tc>
        <w:tc>
          <w:tcPr>
            <w:tcW w:w="1616" w:type="dxa"/>
          </w:tcPr>
          <w:p>
            <w:pPr>
              <w:pStyle w:val="TableParagraph"/>
              <w:spacing w:before="155"/>
              <w:ind w:left="106" w:right="106"/>
              <w:rPr>
                <w:sz w:val="18"/>
              </w:rPr>
            </w:pPr>
            <w:r>
              <w:rPr>
                <w:sz w:val="18"/>
              </w:rPr>
              <w:t>$203,661,743.56</w:t>
            </w:r>
          </w:p>
        </w:tc>
        <w:tc>
          <w:tcPr>
            <w:tcW w:w="1488" w:type="dxa"/>
          </w:tcPr>
          <w:p>
            <w:pPr>
              <w:pStyle w:val="TableParagraph"/>
              <w:spacing w:before="155"/>
              <w:ind w:left="494" w:right="493"/>
              <w:rPr>
                <w:sz w:val="18"/>
              </w:rPr>
            </w:pPr>
            <w:r>
              <w:rPr>
                <w:sz w:val="18"/>
              </w:rPr>
              <w:t>$0.00</w:t>
            </w:r>
          </w:p>
        </w:tc>
        <w:tc>
          <w:tcPr>
            <w:tcW w:w="1493" w:type="dxa"/>
          </w:tcPr>
          <w:p>
            <w:pPr>
              <w:pStyle w:val="TableParagraph"/>
              <w:spacing w:before="155"/>
              <w:ind w:left="44" w:right="46"/>
              <w:rPr>
                <w:sz w:val="18"/>
              </w:rPr>
            </w:pPr>
            <w:r>
              <w:rPr>
                <w:sz w:val="18"/>
              </w:rPr>
              <w:t>$0.00</w:t>
            </w:r>
          </w:p>
        </w:tc>
        <w:tc>
          <w:tcPr>
            <w:tcW w:w="2218" w:type="dxa"/>
          </w:tcPr>
          <w:p>
            <w:pPr>
              <w:pStyle w:val="TableParagraph"/>
              <w:spacing w:before="155"/>
              <w:ind w:left="333" w:right="333"/>
              <w:rPr>
                <w:sz w:val="18"/>
              </w:rPr>
            </w:pPr>
            <w:r>
              <w:rPr>
                <w:sz w:val="18"/>
              </w:rPr>
              <w:t>$203,661,743.56</w:t>
            </w:r>
          </w:p>
        </w:tc>
      </w:tr>
      <w:tr>
        <w:trPr>
          <w:trHeight w:val="631" w:hRule="exact"/>
        </w:trPr>
        <w:tc>
          <w:tcPr>
            <w:tcW w:w="1517" w:type="dxa"/>
          </w:tcPr>
          <w:p>
            <w:pPr>
              <w:pStyle w:val="TableParagraph"/>
              <w:tabs>
                <w:tab w:pos="1079" w:val="left" w:leader="none"/>
              </w:tabs>
              <w:spacing w:line="360" w:lineRule="auto"/>
              <w:ind w:left="64" w:right="65"/>
              <w:jc w:val="left"/>
              <w:rPr>
                <w:b/>
                <w:sz w:val="18"/>
              </w:rPr>
            </w:pPr>
            <w:r>
              <w:rPr>
                <w:b/>
                <w:color w:val="333333"/>
                <w:sz w:val="18"/>
              </w:rPr>
              <w:t>IXTAPAN</w:t>
              <w:tab/>
              <w:t>DEL ORO</w:t>
            </w:r>
          </w:p>
        </w:tc>
        <w:tc>
          <w:tcPr>
            <w:tcW w:w="1642" w:type="dxa"/>
          </w:tcPr>
          <w:p>
            <w:pPr>
              <w:pStyle w:val="TableParagraph"/>
              <w:spacing w:before="155"/>
              <w:ind w:left="45" w:right="44"/>
              <w:rPr>
                <w:sz w:val="18"/>
              </w:rPr>
            </w:pPr>
            <w:r>
              <w:rPr>
                <w:sz w:val="18"/>
              </w:rPr>
              <w:t>$0.00</w:t>
            </w:r>
          </w:p>
        </w:tc>
        <w:tc>
          <w:tcPr>
            <w:tcW w:w="1392" w:type="dxa"/>
          </w:tcPr>
          <w:p>
            <w:pPr>
              <w:pStyle w:val="TableParagraph"/>
              <w:spacing w:before="155"/>
              <w:ind w:left="47" w:right="42"/>
              <w:rPr>
                <w:sz w:val="18"/>
              </w:rPr>
            </w:pPr>
            <w:r>
              <w:rPr>
                <w:sz w:val="18"/>
              </w:rPr>
              <w:t>$0.00</w:t>
            </w:r>
          </w:p>
        </w:tc>
        <w:tc>
          <w:tcPr>
            <w:tcW w:w="1645" w:type="dxa"/>
          </w:tcPr>
          <w:p>
            <w:pPr>
              <w:pStyle w:val="TableParagraph"/>
              <w:spacing w:before="155"/>
              <w:ind w:left="121" w:right="117"/>
              <w:rPr>
                <w:sz w:val="18"/>
              </w:rPr>
            </w:pPr>
            <w:r>
              <w:rPr>
                <w:sz w:val="18"/>
              </w:rPr>
              <w:t>$0.00</w:t>
            </w:r>
          </w:p>
        </w:tc>
        <w:tc>
          <w:tcPr>
            <w:tcW w:w="1642" w:type="dxa"/>
          </w:tcPr>
          <w:p>
            <w:pPr>
              <w:pStyle w:val="TableParagraph"/>
              <w:spacing w:before="155"/>
              <w:ind w:left="45" w:right="44"/>
              <w:rPr>
                <w:sz w:val="18"/>
              </w:rPr>
            </w:pPr>
            <w:r>
              <w:rPr>
                <w:sz w:val="18"/>
              </w:rPr>
              <w:t>$0.00</w:t>
            </w:r>
          </w:p>
        </w:tc>
        <w:tc>
          <w:tcPr>
            <w:tcW w:w="1616" w:type="dxa"/>
          </w:tcPr>
          <w:p>
            <w:pPr>
              <w:pStyle w:val="TableParagraph"/>
              <w:spacing w:before="155"/>
              <w:ind w:left="106" w:right="106"/>
              <w:rPr>
                <w:sz w:val="18"/>
              </w:rPr>
            </w:pPr>
            <w:r>
              <w:rPr>
                <w:sz w:val="18"/>
              </w:rPr>
              <w:t>$0.00</w:t>
            </w:r>
          </w:p>
        </w:tc>
        <w:tc>
          <w:tcPr>
            <w:tcW w:w="1488" w:type="dxa"/>
          </w:tcPr>
          <w:p>
            <w:pPr>
              <w:pStyle w:val="TableParagraph"/>
              <w:spacing w:before="155"/>
              <w:ind w:left="494" w:right="493"/>
              <w:rPr>
                <w:sz w:val="18"/>
              </w:rPr>
            </w:pPr>
            <w:r>
              <w:rPr>
                <w:sz w:val="18"/>
              </w:rPr>
              <w:t>$0.00</w:t>
            </w:r>
          </w:p>
        </w:tc>
        <w:tc>
          <w:tcPr>
            <w:tcW w:w="1493" w:type="dxa"/>
          </w:tcPr>
          <w:p>
            <w:pPr>
              <w:pStyle w:val="TableParagraph"/>
              <w:spacing w:before="155"/>
              <w:ind w:left="44" w:right="46"/>
              <w:rPr>
                <w:sz w:val="18"/>
              </w:rPr>
            </w:pPr>
            <w:r>
              <w:rPr>
                <w:sz w:val="18"/>
              </w:rPr>
              <w:t>$0.00</w:t>
            </w:r>
          </w:p>
        </w:tc>
        <w:tc>
          <w:tcPr>
            <w:tcW w:w="2218" w:type="dxa"/>
          </w:tcPr>
          <w:p>
            <w:pPr>
              <w:pStyle w:val="TableParagraph"/>
              <w:spacing w:before="155"/>
              <w:ind w:left="333" w:right="332"/>
              <w:rPr>
                <w:sz w:val="18"/>
              </w:rPr>
            </w:pPr>
            <w:r>
              <w:rPr>
                <w:sz w:val="18"/>
              </w:rPr>
              <w:t>$0.00</w:t>
            </w:r>
          </w:p>
        </w:tc>
      </w:tr>
      <w:tr>
        <w:trPr>
          <w:trHeight w:val="631" w:hRule="exact"/>
        </w:trPr>
        <w:tc>
          <w:tcPr>
            <w:tcW w:w="1517" w:type="dxa"/>
          </w:tcPr>
          <w:p>
            <w:pPr>
              <w:pStyle w:val="TableParagraph"/>
              <w:spacing w:before="150"/>
              <w:ind w:left="64" w:right="43"/>
              <w:jc w:val="left"/>
              <w:rPr>
                <w:b/>
                <w:sz w:val="18"/>
              </w:rPr>
            </w:pPr>
            <w:r>
              <w:rPr>
                <w:b/>
                <w:color w:val="333333"/>
                <w:sz w:val="18"/>
              </w:rPr>
              <w:t>IXTLAHUACA</w:t>
            </w:r>
          </w:p>
        </w:tc>
        <w:tc>
          <w:tcPr>
            <w:tcW w:w="1642" w:type="dxa"/>
          </w:tcPr>
          <w:p>
            <w:pPr>
              <w:pStyle w:val="TableParagraph"/>
              <w:spacing w:before="155"/>
              <w:ind w:left="45" w:right="45"/>
              <w:rPr>
                <w:sz w:val="18"/>
              </w:rPr>
            </w:pPr>
            <w:r>
              <w:rPr>
                <w:sz w:val="18"/>
              </w:rPr>
              <w:t>$460,614,346.00</w:t>
            </w:r>
          </w:p>
        </w:tc>
        <w:tc>
          <w:tcPr>
            <w:tcW w:w="1392" w:type="dxa"/>
          </w:tcPr>
          <w:p>
            <w:pPr>
              <w:pStyle w:val="TableParagraph"/>
              <w:spacing w:before="155"/>
              <w:ind w:left="47" w:right="42"/>
              <w:rPr>
                <w:sz w:val="18"/>
              </w:rPr>
            </w:pPr>
            <w:r>
              <w:rPr>
                <w:sz w:val="18"/>
              </w:rPr>
              <w:t>$0.00</w:t>
            </w:r>
          </w:p>
        </w:tc>
        <w:tc>
          <w:tcPr>
            <w:tcW w:w="1645" w:type="dxa"/>
          </w:tcPr>
          <w:p>
            <w:pPr>
              <w:pStyle w:val="TableParagraph"/>
              <w:spacing w:before="155"/>
              <w:ind w:left="119" w:right="119"/>
              <w:rPr>
                <w:sz w:val="18"/>
              </w:rPr>
            </w:pPr>
            <w:r>
              <w:rPr>
                <w:sz w:val="18"/>
              </w:rPr>
              <w:t>$147,706,892.34</w:t>
            </w:r>
          </w:p>
        </w:tc>
        <w:tc>
          <w:tcPr>
            <w:tcW w:w="1642" w:type="dxa"/>
          </w:tcPr>
          <w:p>
            <w:pPr>
              <w:pStyle w:val="TableParagraph"/>
              <w:spacing w:before="155"/>
              <w:ind w:left="139"/>
              <w:jc w:val="left"/>
              <w:rPr>
                <w:sz w:val="18"/>
              </w:rPr>
            </w:pPr>
            <w:r>
              <w:rPr>
                <w:sz w:val="18"/>
              </w:rPr>
              <w:t>$312,907,453.66</w:t>
            </w:r>
          </w:p>
        </w:tc>
        <w:tc>
          <w:tcPr>
            <w:tcW w:w="1616" w:type="dxa"/>
          </w:tcPr>
          <w:p>
            <w:pPr>
              <w:pStyle w:val="TableParagraph"/>
              <w:spacing w:before="155"/>
              <w:ind w:left="107" w:right="106"/>
              <w:rPr>
                <w:sz w:val="18"/>
              </w:rPr>
            </w:pPr>
            <w:r>
              <w:rPr>
                <w:sz w:val="18"/>
              </w:rPr>
              <w:t>$517,657,188.00</w:t>
            </w:r>
          </w:p>
        </w:tc>
        <w:tc>
          <w:tcPr>
            <w:tcW w:w="1488" w:type="dxa"/>
          </w:tcPr>
          <w:p>
            <w:pPr>
              <w:pStyle w:val="TableParagraph"/>
              <w:spacing w:before="155"/>
              <w:ind w:left="494" w:right="493"/>
              <w:rPr>
                <w:sz w:val="18"/>
              </w:rPr>
            </w:pPr>
            <w:r>
              <w:rPr>
                <w:sz w:val="18"/>
              </w:rPr>
              <w:t>$0.00</w:t>
            </w:r>
          </w:p>
        </w:tc>
        <w:tc>
          <w:tcPr>
            <w:tcW w:w="1493" w:type="dxa"/>
          </w:tcPr>
          <w:p>
            <w:pPr>
              <w:pStyle w:val="TableParagraph"/>
              <w:spacing w:before="155"/>
              <w:ind w:left="44" w:right="46"/>
              <w:rPr>
                <w:sz w:val="18"/>
              </w:rPr>
            </w:pPr>
            <w:r>
              <w:rPr>
                <w:sz w:val="18"/>
              </w:rPr>
              <w:t>$0.00</w:t>
            </w:r>
          </w:p>
        </w:tc>
        <w:tc>
          <w:tcPr>
            <w:tcW w:w="2218" w:type="dxa"/>
          </w:tcPr>
          <w:p>
            <w:pPr>
              <w:pStyle w:val="TableParagraph"/>
              <w:spacing w:before="155"/>
              <w:ind w:left="333" w:right="333"/>
              <w:rPr>
                <w:sz w:val="18"/>
              </w:rPr>
            </w:pPr>
            <w:r>
              <w:rPr>
                <w:sz w:val="18"/>
              </w:rPr>
              <w:t>$517,657,188.00</w:t>
            </w:r>
          </w:p>
        </w:tc>
      </w:tr>
      <w:tr>
        <w:trPr>
          <w:trHeight w:val="631" w:hRule="exact"/>
        </w:trPr>
        <w:tc>
          <w:tcPr>
            <w:tcW w:w="1517" w:type="dxa"/>
          </w:tcPr>
          <w:p>
            <w:pPr>
              <w:pStyle w:val="TableParagraph"/>
              <w:spacing w:before="150"/>
              <w:ind w:left="64" w:right="43"/>
              <w:jc w:val="left"/>
              <w:rPr>
                <w:b/>
                <w:sz w:val="18"/>
              </w:rPr>
            </w:pPr>
            <w:r>
              <w:rPr>
                <w:b/>
                <w:color w:val="333333"/>
                <w:sz w:val="18"/>
              </w:rPr>
              <w:t>JALTENCO</w:t>
            </w:r>
          </w:p>
        </w:tc>
        <w:tc>
          <w:tcPr>
            <w:tcW w:w="1642" w:type="dxa"/>
          </w:tcPr>
          <w:p>
            <w:pPr>
              <w:pStyle w:val="TableParagraph"/>
              <w:spacing w:before="155"/>
              <w:ind w:left="45" w:right="44"/>
              <w:rPr>
                <w:sz w:val="18"/>
              </w:rPr>
            </w:pPr>
            <w:r>
              <w:rPr>
                <w:sz w:val="18"/>
              </w:rPr>
              <w:t>$0.00</w:t>
            </w:r>
          </w:p>
        </w:tc>
        <w:tc>
          <w:tcPr>
            <w:tcW w:w="1392" w:type="dxa"/>
          </w:tcPr>
          <w:p>
            <w:pPr>
              <w:pStyle w:val="TableParagraph"/>
              <w:spacing w:before="155"/>
              <w:ind w:left="47" w:right="42"/>
              <w:rPr>
                <w:sz w:val="18"/>
              </w:rPr>
            </w:pPr>
            <w:r>
              <w:rPr>
                <w:sz w:val="18"/>
              </w:rPr>
              <w:t>$0.00</w:t>
            </w:r>
          </w:p>
        </w:tc>
        <w:tc>
          <w:tcPr>
            <w:tcW w:w="1645" w:type="dxa"/>
          </w:tcPr>
          <w:p>
            <w:pPr>
              <w:pStyle w:val="TableParagraph"/>
              <w:spacing w:before="155"/>
              <w:ind w:left="121" w:right="117"/>
              <w:rPr>
                <w:sz w:val="18"/>
              </w:rPr>
            </w:pPr>
            <w:r>
              <w:rPr>
                <w:sz w:val="18"/>
              </w:rPr>
              <w:t>$0.00</w:t>
            </w:r>
          </w:p>
        </w:tc>
        <w:tc>
          <w:tcPr>
            <w:tcW w:w="1642" w:type="dxa"/>
          </w:tcPr>
          <w:p>
            <w:pPr>
              <w:pStyle w:val="TableParagraph"/>
              <w:spacing w:before="155"/>
              <w:ind w:left="45" w:right="44"/>
              <w:rPr>
                <w:sz w:val="18"/>
              </w:rPr>
            </w:pPr>
            <w:r>
              <w:rPr>
                <w:sz w:val="18"/>
              </w:rPr>
              <w:t>$0.00</w:t>
            </w:r>
          </w:p>
        </w:tc>
        <w:tc>
          <w:tcPr>
            <w:tcW w:w="1616" w:type="dxa"/>
          </w:tcPr>
          <w:p>
            <w:pPr>
              <w:pStyle w:val="TableParagraph"/>
              <w:spacing w:before="155"/>
              <w:ind w:left="106" w:right="106"/>
              <w:rPr>
                <w:sz w:val="18"/>
              </w:rPr>
            </w:pPr>
            <w:r>
              <w:rPr>
                <w:sz w:val="18"/>
              </w:rPr>
              <w:t>$0.00</w:t>
            </w:r>
          </w:p>
        </w:tc>
        <w:tc>
          <w:tcPr>
            <w:tcW w:w="1488" w:type="dxa"/>
          </w:tcPr>
          <w:p>
            <w:pPr>
              <w:pStyle w:val="TableParagraph"/>
              <w:spacing w:before="155"/>
              <w:ind w:left="494" w:right="493"/>
              <w:rPr>
                <w:sz w:val="18"/>
              </w:rPr>
            </w:pPr>
            <w:r>
              <w:rPr>
                <w:sz w:val="18"/>
              </w:rPr>
              <w:t>$0.00</w:t>
            </w:r>
          </w:p>
        </w:tc>
        <w:tc>
          <w:tcPr>
            <w:tcW w:w="1493" w:type="dxa"/>
          </w:tcPr>
          <w:p>
            <w:pPr>
              <w:pStyle w:val="TableParagraph"/>
              <w:spacing w:before="155"/>
              <w:ind w:left="44" w:right="46"/>
              <w:rPr>
                <w:sz w:val="18"/>
              </w:rPr>
            </w:pPr>
            <w:r>
              <w:rPr>
                <w:sz w:val="18"/>
              </w:rPr>
              <w:t>$0.00</w:t>
            </w:r>
          </w:p>
        </w:tc>
        <w:tc>
          <w:tcPr>
            <w:tcW w:w="2218" w:type="dxa"/>
          </w:tcPr>
          <w:p>
            <w:pPr>
              <w:pStyle w:val="TableParagraph"/>
              <w:spacing w:before="155"/>
              <w:ind w:left="333" w:right="332"/>
              <w:rPr>
                <w:sz w:val="18"/>
              </w:rPr>
            </w:pPr>
            <w:r>
              <w:rPr>
                <w:sz w:val="18"/>
              </w:rPr>
              <w:t>$0.00</w:t>
            </w:r>
          </w:p>
        </w:tc>
      </w:tr>
      <w:tr>
        <w:trPr>
          <w:trHeight w:val="632" w:hRule="exact"/>
        </w:trPr>
        <w:tc>
          <w:tcPr>
            <w:tcW w:w="1517" w:type="dxa"/>
          </w:tcPr>
          <w:p>
            <w:pPr>
              <w:pStyle w:val="TableParagraph"/>
              <w:spacing w:before="150"/>
              <w:ind w:left="64" w:right="43"/>
              <w:jc w:val="left"/>
              <w:rPr>
                <w:b/>
                <w:sz w:val="18"/>
              </w:rPr>
            </w:pPr>
            <w:r>
              <w:rPr>
                <w:b/>
                <w:color w:val="333333"/>
                <w:sz w:val="18"/>
              </w:rPr>
              <w:t>JILOTEPEC</w:t>
            </w:r>
          </w:p>
        </w:tc>
        <w:tc>
          <w:tcPr>
            <w:tcW w:w="1642" w:type="dxa"/>
          </w:tcPr>
          <w:p>
            <w:pPr>
              <w:pStyle w:val="TableParagraph"/>
              <w:spacing w:before="155"/>
              <w:ind w:left="44" w:right="45"/>
              <w:rPr>
                <w:sz w:val="18"/>
              </w:rPr>
            </w:pPr>
            <w:r>
              <w:rPr>
                <w:sz w:val="18"/>
              </w:rPr>
              <w:t>$60,857,651.11</w:t>
            </w:r>
          </w:p>
        </w:tc>
        <w:tc>
          <w:tcPr>
            <w:tcW w:w="1392" w:type="dxa"/>
          </w:tcPr>
          <w:p>
            <w:pPr>
              <w:pStyle w:val="TableParagraph"/>
              <w:spacing w:before="155"/>
              <w:ind w:left="46" w:right="44"/>
              <w:rPr>
                <w:sz w:val="18"/>
              </w:rPr>
            </w:pPr>
            <w:r>
              <w:rPr>
                <w:sz w:val="18"/>
              </w:rPr>
              <w:t>$722,875.36</w:t>
            </w:r>
          </w:p>
        </w:tc>
        <w:tc>
          <w:tcPr>
            <w:tcW w:w="1645" w:type="dxa"/>
          </w:tcPr>
          <w:p>
            <w:pPr>
              <w:pStyle w:val="TableParagraph"/>
              <w:spacing w:before="155"/>
              <w:ind w:left="121" w:right="118"/>
              <w:rPr>
                <w:sz w:val="18"/>
              </w:rPr>
            </w:pPr>
            <w:r>
              <w:rPr>
                <w:sz w:val="18"/>
              </w:rPr>
              <w:t>$3,991,383.47</w:t>
            </w:r>
          </w:p>
        </w:tc>
        <w:tc>
          <w:tcPr>
            <w:tcW w:w="1642" w:type="dxa"/>
          </w:tcPr>
          <w:p>
            <w:pPr>
              <w:pStyle w:val="TableParagraph"/>
              <w:spacing w:before="155"/>
              <w:ind w:left="189"/>
              <w:jc w:val="left"/>
              <w:rPr>
                <w:sz w:val="18"/>
              </w:rPr>
            </w:pPr>
            <w:r>
              <w:rPr>
                <w:sz w:val="18"/>
              </w:rPr>
              <w:t>$57,589,143.00</w:t>
            </w:r>
          </w:p>
        </w:tc>
        <w:tc>
          <w:tcPr>
            <w:tcW w:w="1616" w:type="dxa"/>
          </w:tcPr>
          <w:p>
            <w:pPr>
              <w:pStyle w:val="TableParagraph"/>
              <w:spacing w:before="155"/>
              <w:ind w:left="106" w:right="106"/>
              <w:rPr>
                <w:sz w:val="18"/>
              </w:rPr>
            </w:pPr>
            <w:r>
              <w:rPr>
                <w:sz w:val="18"/>
              </w:rPr>
              <w:t>$469,296,007.00</w:t>
            </w:r>
          </w:p>
        </w:tc>
        <w:tc>
          <w:tcPr>
            <w:tcW w:w="1488" w:type="dxa"/>
          </w:tcPr>
          <w:p>
            <w:pPr>
              <w:pStyle w:val="TableParagraph"/>
              <w:spacing w:before="155"/>
              <w:ind w:left="494" w:right="493"/>
              <w:rPr>
                <w:sz w:val="18"/>
              </w:rPr>
            </w:pPr>
            <w:r>
              <w:rPr>
                <w:sz w:val="18"/>
              </w:rPr>
              <w:t>$0.00</w:t>
            </w:r>
          </w:p>
        </w:tc>
        <w:tc>
          <w:tcPr>
            <w:tcW w:w="1493" w:type="dxa"/>
          </w:tcPr>
          <w:p>
            <w:pPr>
              <w:pStyle w:val="TableParagraph"/>
              <w:spacing w:before="155"/>
              <w:ind w:left="45" w:right="46"/>
              <w:rPr>
                <w:sz w:val="18"/>
              </w:rPr>
            </w:pPr>
            <w:r>
              <w:rPr>
                <w:sz w:val="18"/>
              </w:rPr>
              <w:t>$136,769,344.61</w:t>
            </w:r>
          </w:p>
        </w:tc>
        <w:tc>
          <w:tcPr>
            <w:tcW w:w="2218" w:type="dxa"/>
          </w:tcPr>
          <w:p>
            <w:pPr>
              <w:pStyle w:val="TableParagraph"/>
              <w:spacing w:before="155"/>
              <w:ind w:left="333" w:right="333"/>
              <w:rPr>
                <w:sz w:val="18"/>
              </w:rPr>
            </w:pPr>
            <w:r>
              <w:rPr>
                <w:sz w:val="18"/>
              </w:rPr>
              <w:t>$332,526,662.39</w:t>
            </w:r>
          </w:p>
        </w:tc>
      </w:tr>
      <w:tr>
        <w:trPr>
          <w:trHeight w:val="389" w:hRule="exact"/>
        </w:trPr>
        <w:tc>
          <w:tcPr>
            <w:tcW w:w="1517" w:type="dxa"/>
          </w:tcPr>
          <w:p>
            <w:pPr>
              <w:pStyle w:val="TableParagraph"/>
              <w:spacing w:before="28"/>
              <w:ind w:left="64" w:right="43"/>
              <w:jc w:val="left"/>
              <w:rPr>
                <w:b/>
                <w:sz w:val="18"/>
              </w:rPr>
            </w:pPr>
            <w:r>
              <w:rPr>
                <w:b/>
                <w:color w:val="333333"/>
                <w:sz w:val="18"/>
              </w:rPr>
              <w:t>JILOTZINGO</w:t>
            </w:r>
          </w:p>
        </w:tc>
        <w:tc>
          <w:tcPr>
            <w:tcW w:w="1642" w:type="dxa"/>
          </w:tcPr>
          <w:p>
            <w:pPr>
              <w:pStyle w:val="TableParagraph"/>
              <w:spacing w:before="32"/>
              <w:ind w:left="45" w:right="45"/>
              <w:rPr>
                <w:sz w:val="18"/>
              </w:rPr>
            </w:pPr>
            <w:r>
              <w:rPr>
                <w:sz w:val="18"/>
              </w:rPr>
              <w:t>$128,043,848.30</w:t>
            </w:r>
          </w:p>
        </w:tc>
        <w:tc>
          <w:tcPr>
            <w:tcW w:w="1392" w:type="dxa"/>
          </w:tcPr>
          <w:p>
            <w:pPr>
              <w:pStyle w:val="TableParagraph"/>
              <w:spacing w:before="32"/>
              <w:ind w:left="47" w:right="42"/>
              <w:rPr>
                <w:sz w:val="18"/>
              </w:rPr>
            </w:pPr>
            <w:r>
              <w:rPr>
                <w:sz w:val="18"/>
              </w:rPr>
              <w:t>$0.00</w:t>
            </w:r>
          </w:p>
        </w:tc>
        <w:tc>
          <w:tcPr>
            <w:tcW w:w="1645" w:type="dxa"/>
          </w:tcPr>
          <w:p>
            <w:pPr>
              <w:pStyle w:val="TableParagraph"/>
              <w:spacing w:before="32"/>
              <w:ind w:left="121" w:right="117"/>
              <w:rPr>
                <w:sz w:val="18"/>
              </w:rPr>
            </w:pPr>
            <w:r>
              <w:rPr>
                <w:sz w:val="18"/>
              </w:rPr>
              <w:t>$0.00</w:t>
            </w:r>
          </w:p>
        </w:tc>
        <w:tc>
          <w:tcPr>
            <w:tcW w:w="1642" w:type="dxa"/>
          </w:tcPr>
          <w:p>
            <w:pPr>
              <w:pStyle w:val="TableParagraph"/>
              <w:spacing w:before="32"/>
              <w:ind w:left="139"/>
              <w:jc w:val="left"/>
              <w:rPr>
                <w:sz w:val="18"/>
              </w:rPr>
            </w:pPr>
            <w:r>
              <w:rPr>
                <w:sz w:val="18"/>
              </w:rPr>
              <w:t>$128,043,848.30</w:t>
            </w:r>
          </w:p>
        </w:tc>
        <w:tc>
          <w:tcPr>
            <w:tcW w:w="1616" w:type="dxa"/>
          </w:tcPr>
          <w:p>
            <w:pPr>
              <w:pStyle w:val="TableParagraph"/>
              <w:spacing w:before="32"/>
              <w:ind w:left="106" w:right="106"/>
              <w:rPr>
                <w:sz w:val="18"/>
              </w:rPr>
            </w:pPr>
            <w:r>
              <w:rPr>
                <w:sz w:val="18"/>
              </w:rPr>
              <w:t>$95,371,872.50</w:t>
            </w:r>
          </w:p>
        </w:tc>
        <w:tc>
          <w:tcPr>
            <w:tcW w:w="1488" w:type="dxa"/>
          </w:tcPr>
          <w:p>
            <w:pPr>
              <w:pStyle w:val="TableParagraph"/>
              <w:spacing w:before="32"/>
              <w:ind w:left="494" w:right="493"/>
              <w:rPr>
                <w:sz w:val="18"/>
              </w:rPr>
            </w:pPr>
            <w:r>
              <w:rPr>
                <w:sz w:val="18"/>
              </w:rPr>
              <w:t>$0.00</w:t>
            </w:r>
          </w:p>
        </w:tc>
        <w:tc>
          <w:tcPr>
            <w:tcW w:w="1493" w:type="dxa"/>
          </w:tcPr>
          <w:p>
            <w:pPr>
              <w:pStyle w:val="TableParagraph"/>
              <w:spacing w:before="32"/>
              <w:ind w:left="44" w:right="46"/>
              <w:rPr>
                <w:sz w:val="18"/>
              </w:rPr>
            </w:pPr>
            <w:r>
              <w:rPr>
                <w:sz w:val="18"/>
              </w:rPr>
              <w:t>$0.00</w:t>
            </w:r>
          </w:p>
        </w:tc>
        <w:tc>
          <w:tcPr>
            <w:tcW w:w="2218" w:type="dxa"/>
          </w:tcPr>
          <w:p>
            <w:pPr>
              <w:pStyle w:val="TableParagraph"/>
              <w:spacing w:before="32"/>
              <w:ind w:left="332" w:right="333"/>
              <w:rPr>
                <w:sz w:val="18"/>
              </w:rPr>
            </w:pPr>
            <w:r>
              <w:rPr>
                <w:sz w:val="18"/>
              </w:rPr>
              <w:t>$95,371,872.50</w:t>
            </w:r>
          </w:p>
        </w:tc>
      </w:tr>
      <w:tr>
        <w:trPr>
          <w:trHeight w:val="631" w:hRule="exact"/>
        </w:trPr>
        <w:tc>
          <w:tcPr>
            <w:tcW w:w="1517" w:type="dxa"/>
          </w:tcPr>
          <w:p>
            <w:pPr>
              <w:pStyle w:val="TableParagraph"/>
              <w:spacing w:before="150"/>
              <w:ind w:left="64" w:right="43"/>
              <w:jc w:val="left"/>
              <w:rPr>
                <w:b/>
                <w:sz w:val="18"/>
              </w:rPr>
            </w:pPr>
            <w:r>
              <w:rPr>
                <w:b/>
                <w:color w:val="333333"/>
                <w:sz w:val="18"/>
              </w:rPr>
              <w:t>JIQUIPILCO</w:t>
            </w:r>
          </w:p>
        </w:tc>
        <w:tc>
          <w:tcPr>
            <w:tcW w:w="1642" w:type="dxa"/>
          </w:tcPr>
          <w:p>
            <w:pPr>
              <w:pStyle w:val="TableParagraph"/>
              <w:spacing w:before="155"/>
              <w:ind w:left="45" w:right="44"/>
              <w:rPr>
                <w:sz w:val="18"/>
              </w:rPr>
            </w:pPr>
            <w:r>
              <w:rPr>
                <w:sz w:val="18"/>
              </w:rPr>
              <w:t>$0.00</w:t>
            </w:r>
          </w:p>
        </w:tc>
        <w:tc>
          <w:tcPr>
            <w:tcW w:w="1392" w:type="dxa"/>
          </w:tcPr>
          <w:p>
            <w:pPr>
              <w:pStyle w:val="TableParagraph"/>
              <w:spacing w:before="155"/>
              <w:ind w:left="47" w:right="42"/>
              <w:rPr>
                <w:sz w:val="18"/>
              </w:rPr>
            </w:pPr>
            <w:r>
              <w:rPr>
                <w:sz w:val="18"/>
              </w:rPr>
              <w:t>$0.00</w:t>
            </w:r>
          </w:p>
        </w:tc>
        <w:tc>
          <w:tcPr>
            <w:tcW w:w="1645" w:type="dxa"/>
          </w:tcPr>
          <w:p>
            <w:pPr>
              <w:pStyle w:val="TableParagraph"/>
              <w:spacing w:before="155"/>
              <w:ind w:left="121" w:right="117"/>
              <w:rPr>
                <w:sz w:val="18"/>
              </w:rPr>
            </w:pPr>
            <w:r>
              <w:rPr>
                <w:sz w:val="18"/>
              </w:rPr>
              <w:t>$0.00</w:t>
            </w:r>
          </w:p>
        </w:tc>
        <w:tc>
          <w:tcPr>
            <w:tcW w:w="1642" w:type="dxa"/>
          </w:tcPr>
          <w:p>
            <w:pPr>
              <w:pStyle w:val="TableParagraph"/>
              <w:spacing w:before="155"/>
              <w:ind w:left="45" w:right="44"/>
              <w:rPr>
                <w:sz w:val="18"/>
              </w:rPr>
            </w:pPr>
            <w:r>
              <w:rPr>
                <w:sz w:val="18"/>
              </w:rPr>
              <w:t>$0.00</w:t>
            </w:r>
          </w:p>
        </w:tc>
        <w:tc>
          <w:tcPr>
            <w:tcW w:w="1616" w:type="dxa"/>
          </w:tcPr>
          <w:p>
            <w:pPr>
              <w:pStyle w:val="TableParagraph"/>
              <w:spacing w:before="155"/>
              <w:ind w:left="106" w:right="106"/>
              <w:rPr>
                <w:sz w:val="18"/>
              </w:rPr>
            </w:pPr>
            <w:r>
              <w:rPr>
                <w:sz w:val="18"/>
              </w:rPr>
              <w:t>$0.00</w:t>
            </w:r>
          </w:p>
        </w:tc>
        <w:tc>
          <w:tcPr>
            <w:tcW w:w="1488" w:type="dxa"/>
          </w:tcPr>
          <w:p>
            <w:pPr>
              <w:pStyle w:val="TableParagraph"/>
              <w:spacing w:before="155"/>
              <w:ind w:left="494" w:right="493"/>
              <w:rPr>
                <w:sz w:val="18"/>
              </w:rPr>
            </w:pPr>
            <w:r>
              <w:rPr>
                <w:sz w:val="18"/>
              </w:rPr>
              <w:t>$0.00</w:t>
            </w:r>
          </w:p>
        </w:tc>
        <w:tc>
          <w:tcPr>
            <w:tcW w:w="1493" w:type="dxa"/>
          </w:tcPr>
          <w:p>
            <w:pPr>
              <w:pStyle w:val="TableParagraph"/>
              <w:spacing w:before="155"/>
              <w:ind w:left="44" w:right="46"/>
              <w:rPr>
                <w:sz w:val="18"/>
              </w:rPr>
            </w:pPr>
            <w:r>
              <w:rPr>
                <w:sz w:val="18"/>
              </w:rPr>
              <w:t>$0.00</w:t>
            </w:r>
          </w:p>
        </w:tc>
        <w:tc>
          <w:tcPr>
            <w:tcW w:w="2218" w:type="dxa"/>
          </w:tcPr>
          <w:p>
            <w:pPr>
              <w:pStyle w:val="TableParagraph"/>
              <w:spacing w:before="155"/>
              <w:ind w:left="333" w:right="332"/>
              <w:rPr>
                <w:sz w:val="18"/>
              </w:rPr>
            </w:pPr>
            <w:r>
              <w:rPr>
                <w:sz w:val="18"/>
              </w:rPr>
              <w:t>$0.00</w:t>
            </w:r>
          </w:p>
        </w:tc>
      </w:tr>
      <w:tr>
        <w:trPr>
          <w:trHeight w:val="631" w:hRule="exact"/>
        </w:trPr>
        <w:tc>
          <w:tcPr>
            <w:tcW w:w="1517" w:type="dxa"/>
          </w:tcPr>
          <w:p>
            <w:pPr>
              <w:pStyle w:val="TableParagraph"/>
              <w:spacing w:before="150"/>
              <w:ind w:left="64" w:right="43"/>
              <w:jc w:val="left"/>
              <w:rPr>
                <w:b/>
                <w:sz w:val="18"/>
              </w:rPr>
            </w:pPr>
            <w:r>
              <w:rPr>
                <w:b/>
                <w:color w:val="333333"/>
                <w:sz w:val="18"/>
              </w:rPr>
              <w:t>JOCOTITLAN</w:t>
            </w:r>
          </w:p>
        </w:tc>
        <w:tc>
          <w:tcPr>
            <w:tcW w:w="1642" w:type="dxa"/>
          </w:tcPr>
          <w:p>
            <w:pPr>
              <w:pStyle w:val="TableParagraph"/>
              <w:spacing w:before="155"/>
              <w:ind w:left="45" w:right="45"/>
              <w:rPr>
                <w:sz w:val="18"/>
              </w:rPr>
            </w:pPr>
            <w:r>
              <w:rPr>
                <w:sz w:val="18"/>
              </w:rPr>
              <w:t>$230,370,908.00</w:t>
            </w:r>
          </w:p>
        </w:tc>
        <w:tc>
          <w:tcPr>
            <w:tcW w:w="1392" w:type="dxa"/>
          </w:tcPr>
          <w:p>
            <w:pPr>
              <w:pStyle w:val="TableParagraph"/>
              <w:spacing w:before="155"/>
              <w:ind w:left="46" w:right="44"/>
              <w:rPr>
                <w:sz w:val="18"/>
              </w:rPr>
            </w:pPr>
            <w:r>
              <w:rPr>
                <w:sz w:val="18"/>
              </w:rPr>
              <w:t>$427,680.58</w:t>
            </w:r>
          </w:p>
        </w:tc>
        <w:tc>
          <w:tcPr>
            <w:tcW w:w="1645" w:type="dxa"/>
          </w:tcPr>
          <w:p>
            <w:pPr>
              <w:pStyle w:val="TableParagraph"/>
              <w:spacing w:before="155"/>
              <w:ind w:left="120" w:right="119"/>
              <w:rPr>
                <w:sz w:val="18"/>
              </w:rPr>
            </w:pPr>
            <w:r>
              <w:rPr>
                <w:sz w:val="18"/>
              </w:rPr>
              <w:t>$87,371,107.73</w:t>
            </w:r>
          </w:p>
        </w:tc>
        <w:tc>
          <w:tcPr>
            <w:tcW w:w="1642" w:type="dxa"/>
          </w:tcPr>
          <w:p>
            <w:pPr>
              <w:pStyle w:val="TableParagraph"/>
              <w:spacing w:before="155"/>
              <w:ind w:left="139"/>
              <w:jc w:val="left"/>
              <w:rPr>
                <w:sz w:val="18"/>
              </w:rPr>
            </w:pPr>
            <w:r>
              <w:rPr>
                <w:sz w:val="18"/>
              </w:rPr>
              <w:t>$143,427,480.85</w:t>
            </w:r>
          </w:p>
        </w:tc>
        <w:tc>
          <w:tcPr>
            <w:tcW w:w="1616" w:type="dxa"/>
          </w:tcPr>
          <w:p>
            <w:pPr>
              <w:pStyle w:val="TableParagraph"/>
              <w:spacing w:before="155"/>
              <w:ind w:left="106" w:right="106"/>
              <w:rPr>
                <w:sz w:val="18"/>
              </w:rPr>
            </w:pPr>
            <w:r>
              <w:rPr>
                <w:sz w:val="18"/>
              </w:rPr>
              <w:t>$238,411,359.00</w:t>
            </w:r>
          </w:p>
        </w:tc>
        <w:tc>
          <w:tcPr>
            <w:tcW w:w="1488" w:type="dxa"/>
          </w:tcPr>
          <w:p>
            <w:pPr>
              <w:pStyle w:val="TableParagraph"/>
              <w:spacing w:before="155"/>
              <w:ind w:left="494" w:right="493"/>
              <w:rPr>
                <w:sz w:val="18"/>
              </w:rPr>
            </w:pPr>
            <w:r>
              <w:rPr>
                <w:sz w:val="18"/>
              </w:rPr>
              <w:t>$0.00</w:t>
            </w:r>
          </w:p>
        </w:tc>
        <w:tc>
          <w:tcPr>
            <w:tcW w:w="1493" w:type="dxa"/>
          </w:tcPr>
          <w:p>
            <w:pPr>
              <w:pStyle w:val="TableParagraph"/>
              <w:spacing w:before="155"/>
              <w:ind w:left="45" w:right="45"/>
              <w:rPr>
                <w:sz w:val="18"/>
              </w:rPr>
            </w:pPr>
            <w:r>
              <w:rPr>
                <w:sz w:val="18"/>
              </w:rPr>
              <w:t>$21,696,534.52</w:t>
            </w:r>
          </w:p>
        </w:tc>
        <w:tc>
          <w:tcPr>
            <w:tcW w:w="2218" w:type="dxa"/>
          </w:tcPr>
          <w:p>
            <w:pPr>
              <w:pStyle w:val="TableParagraph"/>
              <w:spacing w:before="155"/>
              <w:ind w:left="333" w:right="333"/>
              <w:rPr>
                <w:sz w:val="18"/>
              </w:rPr>
            </w:pPr>
            <w:r>
              <w:rPr>
                <w:sz w:val="18"/>
              </w:rPr>
              <w:t>$216,714,824.48</w:t>
            </w:r>
          </w:p>
        </w:tc>
      </w:tr>
      <w:tr>
        <w:trPr>
          <w:trHeight w:val="631" w:hRule="exact"/>
        </w:trPr>
        <w:tc>
          <w:tcPr>
            <w:tcW w:w="1517" w:type="dxa"/>
          </w:tcPr>
          <w:p>
            <w:pPr>
              <w:pStyle w:val="TableParagraph"/>
              <w:spacing w:before="150"/>
              <w:ind w:left="64" w:right="43"/>
              <w:jc w:val="left"/>
              <w:rPr>
                <w:b/>
                <w:sz w:val="18"/>
              </w:rPr>
            </w:pPr>
            <w:r>
              <w:rPr>
                <w:b/>
                <w:color w:val="333333"/>
                <w:sz w:val="18"/>
              </w:rPr>
              <w:t>JOQUICINGO</w:t>
            </w:r>
          </w:p>
        </w:tc>
        <w:tc>
          <w:tcPr>
            <w:tcW w:w="1642" w:type="dxa"/>
          </w:tcPr>
          <w:p>
            <w:pPr>
              <w:pStyle w:val="TableParagraph"/>
              <w:spacing w:before="155"/>
              <w:ind w:left="45" w:right="45"/>
              <w:rPr>
                <w:sz w:val="18"/>
              </w:rPr>
            </w:pPr>
            <w:r>
              <w:rPr>
                <w:sz w:val="18"/>
              </w:rPr>
              <w:t>$91,160,879.00</w:t>
            </w:r>
          </w:p>
        </w:tc>
        <w:tc>
          <w:tcPr>
            <w:tcW w:w="1392" w:type="dxa"/>
          </w:tcPr>
          <w:p>
            <w:pPr>
              <w:pStyle w:val="TableParagraph"/>
              <w:spacing w:before="155"/>
              <w:ind w:left="47" w:right="44"/>
              <w:rPr>
                <w:sz w:val="18"/>
              </w:rPr>
            </w:pPr>
            <w:r>
              <w:rPr>
                <w:sz w:val="18"/>
              </w:rPr>
              <w:t>$20,035,470.00</w:t>
            </w:r>
          </w:p>
        </w:tc>
        <w:tc>
          <w:tcPr>
            <w:tcW w:w="1645" w:type="dxa"/>
          </w:tcPr>
          <w:p>
            <w:pPr>
              <w:pStyle w:val="TableParagraph"/>
              <w:spacing w:before="155"/>
              <w:ind w:left="119" w:right="119"/>
              <w:rPr>
                <w:sz w:val="18"/>
              </w:rPr>
            </w:pPr>
            <w:r>
              <w:rPr>
                <w:sz w:val="18"/>
              </w:rPr>
              <w:t>$105,811,776.87</w:t>
            </w:r>
          </w:p>
        </w:tc>
        <w:tc>
          <w:tcPr>
            <w:tcW w:w="1642" w:type="dxa"/>
          </w:tcPr>
          <w:p>
            <w:pPr>
              <w:pStyle w:val="TableParagraph"/>
              <w:spacing w:before="155"/>
              <w:ind w:left="239"/>
              <w:jc w:val="left"/>
              <w:rPr>
                <w:sz w:val="18"/>
              </w:rPr>
            </w:pPr>
            <w:r>
              <w:rPr>
                <w:sz w:val="18"/>
              </w:rPr>
              <w:t>$5,384,572.13</w:t>
            </w:r>
          </w:p>
        </w:tc>
        <w:tc>
          <w:tcPr>
            <w:tcW w:w="1616" w:type="dxa"/>
          </w:tcPr>
          <w:p>
            <w:pPr>
              <w:pStyle w:val="TableParagraph"/>
              <w:spacing w:before="155"/>
              <w:ind w:left="106" w:right="106"/>
              <w:rPr>
                <w:sz w:val="18"/>
              </w:rPr>
            </w:pPr>
            <w:r>
              <w:rPr>
                <w:sz w:val="18"/>
              </w:rPr>
              <w:t>$116,101,774.00</w:t>
            </w:r>
          </w:p>
        </w:tc>
        <w:tc>
          <w:tcPr>
            <w:tcW w:w="1488" w:type="dxa"/>
          </w:tcPr>
          <w:p>
            <w:pPr>
              <w:pStyle w:val="TableParagraph"/>
              <w:spacing w:before="155"/>
              <w:ind w:left="494" w:right="493"/>
              <w:rPr>
                <w:sz w:val="18"/>
              </w:rPr>
            </w:pPr>
            <w:r>
              <w:rPr>
                <w:sz w:val="18"/>
              </w:rPr>
              <w:t>$0.00</w:t>
            </w:r>
          </w:p>
        </w:tc>
        <w:tc>
          <w:tcPr>
            <w:tcW w:w="1493" w:type="dxa"/>
          </w:tcPr>
          <w:p>
            <w:pPr>
              <w:pStyle w:val="TableParagraph"/>
              <w:spacing w:before="155"/>
              <w:ind w:left="44" w:right="46"/>
              <w:rPr>
                <w:sz w:val="18"/>
              </w:rPr>
            </w:pPr>
            <w:r>
              <w:rPr>
                <w:sz w:val="18"/>
              </w:rPr>
              <w:t>$0.00</w:t>
            </w:r>
          </w:p>
        </w:tc>
        <w:tc>
          <w:tcPr>
            <w:tcW w:w="2218" w:type="dxa"/>
          </w:tcPr>
          <w:p>
            <w:pPr>
              <w:pStyle w:val="TableParagraph"/>
              <w:spacing w:before="155"/>
              <w:ind w:left="333" w:right="333"/>
              <w:rPr>
                <w:sz w:val="18"/>
              </w:rPr>
            </w:pPr>
            <w:r>
              <w:rPr>
                <w:sz w:val="18"/>
              </w:rPr>
              <w:t>$116,101,774.00</w:t>
            </w:r>
          </w:p>
        </w:tc>
      </w:tr>
    </w:tbl>
    <w:p>
      <w:pPr>
        <w:spacing w:after="0"/>
        <w:rPr>
          <w:sz w:val="18"/>
        </w:rPr>
        <w:sectPr>
          <w:pgSz w:w="15840" w:h="12240" w:orient="landscape"/>
          <w:pgMar w:header="0" w:footer="975" w:top="1140" w:bottom="1160" w:left="480" w:right="480"/>
        </w:sectPr>
      </w:pPr>
    </w:p>
    <w:p>
      <w:pPr>
        <w:pStyle w:val="BodyText"/>
        <w:rPr>
          <w:rFonts w:ascii="Times New Roman"/>
          <w:sz w:val="20"/>
        </w:rPr>
      </w:pPr>
    </w:p>
    <w:p>
      <w:pPr>
        <w:pStyle w:val="BodyText"/>
        <w:spacing w:before="10"/>
        <w:rPr>
          <w:rFonts w:ascii="Times New Roman"/>
          <w:sz w:val="28"/>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80"/>
        <w:gridCol w:w="1644"/>
        <w:gridCol w:w="1400"/>
        <w:gridCol w:w="1680"/>
        <w:gridCol w:w="1644"/>
        <w:gridCol w:w="1800"/>
        <w:gridCol w:w="1426"/>
        <w:gridCol w:w="1493"/>
        <w:gridCol w:w="1642"/>
      </w:tblGrid>
      <w:tr>
        <w:trPr>
          <w:trHeight w:val="430" w:hRule="exact"/>
        </w:trPr>
        <w:tc>
          <w:tcPr>
            <w:tcW w:w="14608" w:type="dxa"/>
            <w:gridSpan w:val="9"/>
            <w:shd w:val="clear" w:color="auto" w:fill="C5DFB3"/>
          </w:tcPr>
          <w:p>
            <w:pPr>
              <w:pStyle w:val="TableParagraph"/>
              <w:spacing w:before="49"/>
              <w:ind w:left="3648"/>
              <w:jc w:val="left"/>
              <w:rPr>
                <w:b/>
                <w:sz w:val="18"/>
              </w:rPr>
            </w:pPr>
            <w:r>
              <w:rPr>
                <w:b/>
                <w:sz w:val="18"/>
              </w:rPr>
              <w:t>Anexo 24D. Municipios que publican apartado presupuesto 2014-2015 (Continuación)</w:t>
            </w:r>
          </w:p>
        </w:tc>
      </w:tr>
      <w:tr>
        <w:trPr>
          <w:trHeight w:val="320" w:hRule="exact"/>
        </w:trPr>
        <w:tc>
          <w:tcPr>
            <w:tcW w:w="1880"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spacing w:before="127"/>
              <w:ind w:left="513" w:right="65"/>
              <w:jc w:val="left"/>
              <w:rPr>
                <w:b/>
                <w:sz w:val="18"/>
              </w:rPr>
            </w:pPr>
            <w:r>
              <w:rPr>
                <w:b/>
                <w:sz w:val="18"/>
              </w:rPr>
              <w:t>Municipio</w:t>
            </w:r>
          </w:p>
        </w:tc>
        <w:tc>
          <w:tcPr>
            <w:tcW w:w="6368" w:type="dxa"/>
            <w:gridSpan w:val="4"/>
            <w:shd w:val="clear" w:color="auto" w:fill="C5DFB3"/>
          </w:tcPr>
          <w:p>
            <w:pPr>
              <w:pStyle w:val="TableParagraph"/>
              <w:spacing w:line="201" w:lineRule="exact"/>
              <w:ind w:left="2740" w:right="2737"/>
              <w:rPr>
                <w:b/>
                <w:sz w:val="18"/>
              </w:rPr>
            </w:pPr>
            <w:r>
              <w:rPr>
                <w:b/>
                <w:sz w:val="18"/>
              </w:rPr>
              <w:t>Municipio</w:t>
            </w:r>
          </w:p>
        </w:tc>
        <w:tc>
          <w:tcPr>
            <w:tcW w:w="6361" w:type="dxa"/>
            <w:gridSpan w:val="4"/>
            <w:shd w:val="clear" w:color="auto" w:fill="C5DFB3"/>
          </w:tcPr>
          <w:p>
            <w:pPr>
              <w:pStyle w:val="TableParagraph"/>
              <w:spacing w:line="201" w:lineRule="exact"/>
              <w:ind w:left="2735" w:right="2735"/>
              <w:rPr>
                <w:b/>
                <w:sz w:val="18"/>
              </w:rPr>
            </w:pPr>
            <w:r>
              <w:rPr>
                <w:b/>
                <w:sz w:val="18"/>
              </w:rPr>
              <w:t>Municipio</w:t>
            </w:r>
          </w:p>
        </w:tc>
      </w:tr>
      <w:tr>
        <w:trPr>
          <w:trHeight w:val="1093" w:hRule="exact"/>
        </w:trPr>
        <w:tc>
          <w:tcPr>
            <w:tcW w:w="1880" w:type="dxa"/>
            <w:vMerge/>
            <w:shd w:val="clear" w:color="auto" w:fill="C5DFB3"/>
          </w:tcPr>
          <w:p>
            <w:pP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
              <w:jc w:val="left"/>
              <w:rPr>
                <w:rFonts w:ascii="Times New Roman"/>
                <w:sz w:val="21"/>
              </w:rPr>
            </w:pPr>
          </w:p>
          <w:p>
            <w:pPr>
              <w:pStyle w:val="TableParagraph"/>
              <w:ind w:left="69"/>
              <w:jc w:val="left"/>
              <w:rPr>
                <w:b/>
                <w:sz w:val="18"/>
              </w:rPr>
            </w:pPr>
            <w:r>
              <w:rPr>
                <w:b/>
                <w:w w:val="100"/>
                <w:sz w:val="18"/>
              </w:rPr>
              <w:t>Autoriz</w:t>
            </w:r>
            <w:r>
              <w:rPr>
                <w:b/>
                <w:w w:val="99"/>
                <w:sz w:val="18"/>
              </w:rPr>
              <w:t>a</w:t>
            </w:r>
            <w:r>
              <w:rPr>
                <w:b/>
                <w:w w:val="100"/>
                <w:sz w:val="18"/>
              </w:rPr>
              <w:t>do</w:t>
            </w:r>
          </w:p>
        </w:tc>
        <w:tc>
          <w:tcPr>
            <w:tcW w:w="1400"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20"/>
              <w:ind w:left="64"/>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680"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6"/>
              <w:jc w:val="left"/>
              <w:rPr>
                <w:rFonts w:ascii="Times New Roman"/>
                <w:sz w:val="22"/>
              </w:rPr>
            </w:pPr>
          </w:p>
          <w:p>
            <w:pPr>
              <w:pStyle w:val="TableParagraph"/>
              <w:ind w:left="184"/>
              <w:jc w:val="left"/>
              <w:rPr>
                <w:b/>
                <w:sz w:val="18"/>
              </w:rPr>
            </w:pPr>
            <w:r>
              <w:rPr>
                <w:b/>
                <w:w w:val="100"/>
                <w:sz w:val="18"/>
              </w:rPr>
              <w:t>Eje</w:t>
            </w:r>
            <w:r>
              <w:rPr>
                <w:b/>
                <w:w w:val="99"/>
                <w:sz w:val="18"/>
              </w:rPr>
              <w:t>rci</w:t>
            </w:r>
            <w:r>
              <w:rPr>
                <w:b/>
                <w:w w:val="100"/>
                <w:sz w:val="18"/>
              </w:rPr>
              <w:t>do</w:t>
            </w:r>
          </w:p>
        </w:tc>
        <w:tc>
          <w:tcPr>
            <w:tcW w:w="1644"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
              <w:jc w:val="left"/>
              <w:rPr>
                <w:rFonts w:ascii="Times New Roman"/>
                <w:sz w:val="21"/>
              </w:rPr>
            </w:pPr>
          </w:p>
          <w:p>
            <w:pPr>
              <w:pStyle w:val="TableParagraph"/>
              <w:ind w:left="69"/>
              <w:jc w:val="left"/>
              <w:rPr>
                <w:b/>
                <w:sz w:val="18"/>
              </w:rPr>
            </w:pPr>
            <w:r>
              <w:rPr>
                <w:b/>
                <w:sz w:val="18"/>
              </w:rPr>
              <w:t>Por </w:t>
            </w:r>
            <w:r>
              <w:rPr>
                <w:b/>
                <w:w w:val="99"/>
                <w:sz w:val="18"/>
              </w:rPr>
              <w:t>e</w:t>
            </w:r>
            <w:r>
              <w:rPr>
                <w:b/>
                <w:w w:val="100"/>
                <w:sz w:val="18"/>
              </w:rPr>
              <w:t>je</w:t>
            </w:r>
            <w:r>
              <w:rPr>
                <w:b/>
                <w:w w:val="99"/>
                <w:sz w:val="18"/>
              </w:rPr>
              <w:t>rcer</w:t>
            </w:r>
          </w:p>
        </w:tc>
        <w:tc>
          <w:tcPr>
            <w:tcW w:w="1800"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112"/>
              <w:ind w:left="69"/>
              <w:jc w:val="left"/>
              <w:rPr>
                <w:b/>
                <w:sz w:val="18"/>
              </w:rPr>
            </w:pPr>
            <w:r>
              <w:rPr>
                <w:b/>
                <w:w w:val="100"/>
                <w:sz w:val="18"/>
              </w:rPr>
              <w:t>Autoriz</w:t>
            </w:r>
            <w:r>
              <w:rPr>
                <w:b/>
                <w:w w:val="99"/>
                <w:sz w:val="18"/>
              </w:rPr>
              <w:t>a</w:t>
            </w:r>
            <w:r>
              <w:rPr>
                <w:b/>
                <w:w w:val="100"/>
                <w:sz w:val="18"/>
              </w:rPr>
              <w:t>do</w:t>
            </w:r>
          </w:p>
        </w:tc>
        <w:tc>
          <w:tcPr>
            <w:tcW w:w="1426"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34"/>
              <w:ind w:left="64"/>
              <w:jc w:val="left"/>
              <w:rPr>
                <w:b/>
                <w:sz w:val="18"/>
              </w:rPr>
            </w:pPr>
            <w:r>
              <w:rPr>
                <w:b/>
                <w:spacing w:val="1"/>
                <w:w w:val="99"/>
                <w:sz w:val="18"/>
              </w:rPr>
              <w:t>M</w:t>
            </w:r>
            <w:r>
              <w:rPr>
                <w:b/>
                <w:w w:val="100"/>
                <w:sz w:val="18"/>
              </w:rPr>
              <w:t>od</w:t>
            </w:r>
            <w:r>
              <w:rPr>
                <w:b/>
                <w:w w:val="100"/>
                <w:sz w:val="18"/>
              </w:rPr>
              <w:t>if</w:t>
            </w:r>
            <w:r>
              <w:rPr>
                <w:b/>
                <w:spacing w:val="-2"/>
                <w:w w:val="100"/>
                <w:sz w:val="18"/>
              </w:rPr>
              <w:t>i</w:t>
            </w:r>
            <w:r>
              <w:rPr>
                <w:b/>
                <w:w w:val="99"/>
                <w:sz w:val="18"/>
              </w:rPr>
              <w:t>ca</w:t>
            </w:r>
            <w:r>
              <w:rPr>
                <w:b/>
                <w:w w:val="100"/>
                <w:sz w:val="18"/>
              </w:rPr>
              <w:t>do</w:t>
            </w:r>
          </w:p>
        </w:tc>
        <w:tc>
          <w:tcPr>
            <w:tcW w:w="1493"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5"/>
              <w:jc w:val="left"/>
              <w:rPr>
                <w:rFonts w:ascii="Times New Roman"/>
                <w:sz w:val="14"/>
              </w:rPr>
            </w:pPr>
          </w:p>
          <w:p>
            <w:pPr>
              <w:pStyle w:val="TableParagraph"/>
              <w:ind w:left="184"/>
              <w:jc w:val="left"/>
              <w:rPr>
                <w:b/>
                <w:sz w:val="18"/>
              </w:rPr>
            </w:pPr>
            <w:r>
              <w:rPr>
                <w:b/>
                <w:w w:val="100"/>
                <w:sz w:val="18"/>
              </w:rPr>
              <w:t>Eje</w:t>
            </w:r>
            <w:r>
              <w:rPr>
                <w:b/>
                <w:w w:val="99"/>
                <w:sz w:val="18"/>
              </w:rPr>
              <w:t>rci</w:t>
            </w:r>
            <w:r>
              <w:rPr>
                <w:b/>
                <w:w w:val="100"/>
                <w:sz w:val="18"/>
              </w:rPr>
              <w:t>do</w:t>
            </w:r>
          </w:p>
        </w:tc>
        <w:tc>
          <w:tcPr>
            <w:tcW w:w="1642" w:type="dxa"/>
            <w:shd w:val="clear" w:color="auto" w:fill="C5DFB3"/>
            <w:textDirection w:val="btLr"/>
          </w:tcPr>
          <w:p>
            <w:pPr>
              <w:pStyle w:val="TableParagraph"/>
              <w:jc w:val="left"/>
              <w:rPr>
                <w:rFonts w:ascii="Times New Roman"/>
                <w:sz w:val="18"/>
              </w:rPr>
            </w:pPr>
          </w:p>
          <w:p>
            <w:pPr>
              <w:pStyle w:val="TableParagraph"/>
              <w:jc w:val="left"/>
              <w:rPr>
                <w:rFonts w:ascii="Times New Roman"/>
                <w:sz w:val="18"/>
              </w:rPr>
            </w:pPr>
          </w:p>
          <w:p>
            <w:pPr>
              <w:pStyle w:val="TableParagraph"/>
              <w:spacing w:before="10"/>
              <w:jc w:val="left"/>
              <w:rPr>
                <w:rFonts w:ascii="Times New Roman"/>
                <w:sz w:val="20"/>
              </w:rPr>
            </w:pPr>
          </w:p>
          <w:p>
            <w:pPr>
              <w:pStyle w:val="TableParagraph"/>
              <w:ind w:left="69"/>
              <w:jc w:val="left"/>
              <w:rPr>
                <w:b/>
                <w:sz w:val="18"/>
              </w:rPr>
            </w:pPr>
            <w:r>
              <w:rPr>
                <w:b/>
                <w:sz w:val="18"/>
              </w:rPr>
              <w:t>Por </w:t>
            </w:r>
            <w:r>
              <w:rPr>
                <w:b/>
                <w:w w:val="99"/>
                <w:sz w:val="18"/>
              </w:rPr>
              <w:t>e</w:t>
            </w:r>
            <w:r>
              <w:rPr>
                <w:b/>
                <w:w w:val="100"/>
                <w:sz w:val="18"/>
              </w:rPr>
              <w:t>je</w:t>
            </w:r>
            <w:r>
              <w:rPr>
                <w:b/>
                <w:w w:val="99"/>
                <w:sz w:val="18"/>
              </w:rPr>
              <w:t>rcer</w:t>
            </w:r>
          </w:p>
        </w:tc>
      </w:tr>
      <w:tr>
        <w:trPr>
          <w:trHeight w:val="319" w:hRule="exact"/>
        </w:trPr>
        <w:tc>
          <w:tcPr>
            <w:tcW w:w="1880" w:type="dxa"/>
          </w:tcPr>
          <w:p>
            <w:pPr>
              <w:pStyle w:val="TableParagraph"/>
              <w:spacing w:line="201" w:lineRule="exact"/>
              <w:ind w:left="64" w:right="65"/>
              <w:jc w:val="left"/>
              <w:rPr>
                <w:b/>
                <w:sz w:val="18"/>
              </w:rPr>
            </w:pPr>
            <w:r>
              <w:rPr>
                <w:b/>
                <w:color w:val="333333"/>
                <w:sz w:val="18"/>
              </w:rPr>
              <w:t>JUCHITEPEC</w:t>
            </w:r>
          </w:p>
        </w:tc>
        <w:tc>
          <w:tcPr>
            <w:tcW w:w="1644" w:type="dxa"/>
          </w:tcPr>
          <w:p>
            <w:pPr>
              <w:pStyle w:val="TableParagraph"/>
              <w:spacing w:line="206" w:lineRule="exact"/>
              <w:ind w:left="45" w:right="45"/>
              <w:rPr>
                <w:sz w:val="18"/>
              </w:rPr>
            </w:pPr>
            <w:r>
              <w:rPr>
                <w:sz w:val="18"/>
              </w:rPr>
              <w:t>$13,038,057.16</w:t>
            </w:r>
          </w:p>
        </w:tc>
        <w:tc>
          <w:tcPr>
            <w:tcW w:w="1400" w:type="dxa"/>
          </w:tcPr>
          <w:p>
            <w:pPr>
              <w:pStyle w:val="TableParagraph"/>
              <w:spacing w:line="206" w:lineRule="exact"/>
              <w:ind w:left="48" w:right="49"/>
              <w:rPr>
                <w:sz w:val="18"/>
              </w:rPr>
            </w:pPr>
            <w:r>
              <w:rPr>
                <w:sz w:val="18"/>
              </w:rPr>
              <w:t>$0.00</w:t>
            </w:r>
          </w:p>
        </w:tc>
        <w:tc>
          <w:tcPr>
            <w:tcW w:w="1680" w:type="dxa"/>
          </w:tcPr>
          <w:p>
            <w:pPr>
              <w:pStyle w:val="TableParagraph"/>
              <w:spacing w:line="206" w:lineRule="exact"/>
              <w:ind w:left="64" w:right="63"/>
              <w:rPr>
                <w:sz w:val="18"/>
              </w:rPr>
            </w:pPr>
            <w:r>
              <w:rPr>
                <w:sz w:val="18"/>
              </w:rPr>
              <w:t>$0.00</w:t>
            </w:r>
          </w:p>
        </w:tc>
        <w:tc>
          <w:tcPr>
            <w:tcW w:w="1644" w:type="dxa"/>
          </w:tcPr>
          <w:p>
            <w:pPr>
              <w:pStyle w:val="TableParagraph"/>
              <w:spacing w:line="206" w:lineRule="exact"/>
              <w:ind w:left="45" w:right="45"/>
              <w:rPr>
                <w:sz w:val="18"/>
              </w:rPr>
            </w:pPr>
            <w:r>
              <w:rPr>
                <w:sz w:val="18"/>
              </w:rPr>
              <w:t>$13,038,057.16</w:t>
            </w:r>
          </w:p>
        </w:tc>
        <w:tc>
          <w:tcPr>
            <w:tcW w:w="1800" w:type="dxa"/>
          </w:tcPr>
          <w:p>
            <w:pPr>
              <w:pStyle w:val="TableParagraph"/>
              <w:spacing w:line="206" w:lineRule="exact"/>
              <w:ind w:left="124" w:right="122"/>
              <w:rPr>
                <w:sz w:val="18"/>
              </w:rPr>
            </w:pPr>
            <w:r>
              <w:rPr>
                <w:sz w:val="18"/>
              </w:rPr>
              <w:t>$146,179,201.98</w:t>
            </w:r>
          </w:p>
        </w:tc>
        <w:tc>
          <w:tcPr>
            <w:tcW w:w="1426" w:type="dxa"/>
          </w:tcPr>
          <w:p>
            <w:pPr>
              <w:pStyle w:val="TableParagraph"/>
              <w:spacing w:line="206" w:lineRule="exact"/>
              <w:ind w:left="112" w:right="111"/>
              <w:rPr>
                <w:sz w:val="18"/>
              </w:rPr>
            </w:pPr>
            <w:r>
              <w:rPr>
                <w:sz w:val="18"/>
              </w:rPr>
              <w:t>$0.00</w:t>
            </w:r>
          </w:p>
        </w:tc>
        <w:tc>
          <w:tcPr>
            <w:tcW w:w="1493" w:type="dxa"/>
          </w:tcPr>
          <w:p>
            <w:pPr>
              <w:pStyle w:val="TableParagraph"/>
              <w:spacing w:line="206" w:lineRule="exact"/>
              <w:ind w:left="45" w:right="46"/>
              <w:rPr>
                <w:sz w:val="18"/>
              </w:rPr>
            </w:pPr>
            <w:r>
              <w:rPr>
                <w:sz w:val="18"/>
              </w:rPr>
              <w:t>$0.00</w:t>
            </w:r>
          </w:p>
        </w:tc>
        <w:tc>
          <w:tcPr>
            <w:tcW w:w="1642" w:type="dxa"/>
          </w:tcPr>
          <w:p>
            <w:pPr>
              <w:pStyle w:val="TableParagraph"/>
              <w:spacing w:line="206" w:lineRule="exact"/>
              <w:ind w:left="45" w:right="45"/>
              <w:rPr>
                <w:sz w:val="18"/>
              </w:rPr>
            </w:pPr>
            <w:r>
              <w:rPr>
                <w:sz w:val="18"/>
              </w:rPr>
              <w:t>$146,179,201.98</w:t>
            </w:r>
          </w:p>
        </w:tc>
      </w:tr>
      <w:tr>
        <w:trPr>
          <w:trHeight w:val="322" w:hRule="exact"/>
        </w:trPr>
        <w:tc>
          <w:tcPr>
            <w:tcW w:w="1880" w:type="dxa"/>
          </w:tcPr>
          <w:p>
            <w:pPr>
              <w:pStyle w:val="TableParagraph"/>
              <w:spacing w:line="204" w:lineRule="exact"/>
              <w:ind w:left="64" w:right="65"/>
              <w:jc w:val="left"/>
              <w:rPr>
                <w:b/>
                <w:sz w:val="18"/>
              </w:rPr>
            </w:pPr>
            <w:r>
              <w:rPr>
                <w:b/>
                <w:color w:val="333333"/>
                <w:sz w:val="18"/>
              </w:rPr>
              <w:t>LA PAZ</w:t>
            </w:r>
          </w:p>
        </w:tc>
        <w:tc>
          <w:tcPr>
            <w:tcW w:w="1644" w:type="dxa"/>
          </w:tcPr>
          <w:p>
            <w:pPr>
              <w:pStyle w:val="TableParagraph"/>
              <w:spacing w:before="2"/>
              <w:ind w:left="45" w:right="45"/>
              <w:rPr>
                <w:sz w:val="18"/>
              </w:rPr>
            </w:pPr>
            <w:r>
              <w:rPr>
                <w:sz w:val="18"/>
              </w:rPr>
              <w:t>$736,126,715.00</w:t>
            </w:r>
          </w:p>
        </w:tc>
        <w:tc>
          <w:tcPr>
            <w:tcW w:w="1400" w:type="dxa"/>
          </w:tcPr>
          <w:p>
            <w:pPr>
              <w:pStyle w:val="TableParagraph"/>
              <w:spacing w:before="2"/>
              <w:ind w:left="48" w:right="49"/>
              <w:rPr>
                <w:sz w:val="18"/>
              </w:rPr>
            </w:pPr>
            <w:r>
              <w:rPr>
                <w:sz w:val="18"/>
              </w:rPr>
              <w:t>$0.00</w:t>
            </w:r>
          </w:p>
        </w:tc>
        <w:tc>
          <w:tcPr>
            <w:tcW w:w="1680" w:type="dxa"/>
          </w:tcPr>
          <w:p>
            <w:pPr>
              <w:pStyle w:val="TableParagraph"/>
              <w:spacing w:before="2"/>
              <w:ind w:left="64" w:right="62"/>
              <w:rPr>
                <w:sz w:val="18"/>
              </w:rPr>
            </w:pPr>
            <w:r>
              <w:rPr>
                <w:sz w:val="18"/>
              </w:rPr>
              <w:t>$623,881,130.48</w:t>
            </w:r>
          </w:p>
        </w:tc>
        <w:tc>
          <w:tcPr>
            <w:tcW w:w="1644" w:type="dxa"/>
          </w:tcPr>
          <w:p>
            <w:pPr>
              <w:pStyle w:val="TableParagraph"/>
              <w:spacing w:before="2"/>
              <w:ind w:left="45" w:right="45"/>
              <w:rPr>
                <w:sz w:val="18"/>
              </w:rPr>
            </w:pPr>
            <w:r>
              <w:rPr>
                <w:sz w:val="18"/>
              </w:rPr>
              <w:t>$112,245,584.52</w:t>
            </w:r>
          </w:p>
        </w:tc>
        <w:tc>
          <w:tcPr>
            <w:tcW w:w="1800" w:type="dxa"/>
          </w:tcPr>
          <w:p>
            <w:pPr>
              <w:pStyle w:val="TableParagraph"/>
              <w:spacing w:before="2"/>
              <w:ind w:left="124" w:right="122"/>
              <w:rPr>
                <w:sz w:val="18"/>
              </w:rPr>
            </w:pPr>
            <w:r>
              <w:rPr>
                <w:sz w:val="18"/>
              </w:rPr>
              <w:t>$769,749,073.00</w:t>
            </w:r>
          </w:p>
        </w:tc>
        <w:tc>
          <w:tcPr>
            <w:tcW w:w="1426" w:type="dxa"/>
          </w:tcPr>
          <w:p>
            <w:pPr>
              <w:pStyle w:val="TableParagraph"/>
              <w:spacing w:before="2"/>
              <w:ind w:left="112" w:right="111"/>
              <w:rPr>
                <w:sz w:val="18"/>
              </w:rPr>
            </w:pPr>
            <w:r>
              <w:rPr>
                <w:sz w:val="18"/>
              </w:rPr>
              <w:t>$0.00</w:t>
            </w:r>
          </w:p>
        </w:tc>
        <w:tc>
          <w:tcPr>
            <w:tcW w:w="1493" w:type="dxa"/>
          </w:tcPr>
          <w:p>
            <w:pPr>
              <w:pStyle w:val="TableParagraph"/>
              <w:spacing w:before="2"/>
              <w:ind w:left="45" w:right="46"/>
              <w:rPr>
                <w:sz w:val="18"/>
              </w:rPr>
            </w:pPr>
            <w:r>
              <w:rPr>
                <w:sz w:val="18"/>
              </w:rPr>
              <w:t>$0.00</w:t>
            </w:r>
          </w:p>
        </w:tc>
        <w:tc>
          <w:tcPr>
            <w:tcW w:w="1642" w:type="dxa"/>
          </w:tcPr>
          <w:p>
            <w:pPr>
              <w:pStyle w:val="TableParagraph"/>
              <w:spacing w:before="2"/>
              <w:ind w:left="45" w:right="45"/>
              <w:rPr>
                <w:sz w:val="18"/>
              </w:rPr>
            </w:pPr>
            <w:r>
              <w:rPr>
                <w:sz w:val="18"/>
              </w:rPr>
              <w:t>$769,749,073.00</w:t>
            </w:r>
          </w:p>
        </w:tc>
      </w:tr>
      <w:tr>
        <w:trPr>
          <w:trHeight w:val="319" w:hRule="exact"/>
        </w:trPr>
        <w:tc>
          <w:tcPr>
            <w:tcW w:w="1880" w:type="dxa"/>
          </w:tcPr>
          <w:p>
            <w:pPr>
              <w:pStyle w:val="TableParagraph"/>
              <w:spacing w:line="201" w:lineRule="exact"/>
              <w:ind w:left="64" w:right="65"/>
              <w:jc w:val="left"/>
              <w:rPr>
                <w:b/>
                <w:sz w:val="18"/>
              </w:rPr>
            </w:pPr>
            <w:r>
              <w:rPr>
                <w:b/>
                <w:color w:val="333333"/>
                <w:sz w:val="18"/>
              </w:rPr>
              <w:t>LERMA</w:t>
            </w:r>
          </w:p>
        </w:tc>
        <w:tc>
          <w:tcPr>
            <w:tcW w:w="1644" w:type="dxa"/>
          </w:tcPr>
          <w:p>
            <w:pPr>
              <w:pStyle w:val="TableParagraph"/>
              <w:spacing w:line="206" w:lineRule="exact"/>
              <w:ind w:left="45" w:right="45"/>
              <w:rPr>
                <w:sz w:val="18"/>
              </w:rPr>
            </w:pPr>
            <w:r>
              <w:rPr>
                <w:sz w:val="18"/>
              </w:rPr>
              <w:t>$734,382,791.04</w:t>
            </w:r>
          </w:p>
        </w:tc>
        <w:tc>
          <w:tcPr>
            <w:tcW w:w="1400" w:type="dxa"/>
          </w:tcPr>
          <w:p>
            <w:pPr>
              <w:pStyle w:val="TableParagraph"/>
              <w:spacing w:line="206" w:lineRule="exact"/>
              <w:ind w:left="49" w:right="49"/>
              <w:rPr>
                <w:sz w:val="18"/>
              </w:rPr>
            </w:pPr>
            <w:r>
              <w:rPr>
                <w:sz w:val="18"/>
              </w:rPr>
              <w:t>$26,046,296.53</w:t>
            </w:r>
          </w:p>
        </w:tc>
        <w:tc>
          <w:tcPr>
            <w:tcW w:w="1680" w:type="dxa"/>
          </w:tcPr>
          <w:p>
            <w:pPr>
              <w:pStyle w:val="TableParagraph"/>
              <w:spacing w:line="206" w:lineRule="exact"/>
              <w:ind w:left="64" w:right="62"/>
              <w:rPr>
                <w:sz w:val="18"/>
              </w:rPr>
            </w:pPr>
            <w:r>
              <w:rPr>
                <w:sz w:val="18"/>
              </w:rPr>
              <w:t>$638,807,868.79</w:t>
            </w:r>
          </w:p>
        </w:tc>
        <w:tc>
          <w:tcPr>
            <w:tcW w:w="1644" w:type="dxa"/>
          </w:tcPr>
          <w:p>
            <w:pPr>
              <w:pStyle w:val="TableParagraph"/>
              <w:spacing w:line="206" w:lineRule="exact"/>
              <w:ind w:left="45" w:right="45"/>
              <w:rPr>
                <w:sz w:val="18"/>
              </w:rPr>
            </w:pPr>
            <w:r>
              <w:rPr>
                <w:sz w:val="18"/>
              </w:rPr>
              <w:t>$121,621,218.78</w:t>
            </w:r>
          </w:p>
        </w:tc>
        <w:tc>
          <w:tcPr>
            <w:tcW w:w="1800" w:type="dxa"/>
          </w:tcPr>
          <w:p>
            <w:pPr>
              <w:pStyle w:val="TableParagraph"/>
              <w:spacing w:line="206" w:lineRule="exact"/>
              <w:ind w:left="124" w:right="122"/>
              <w:rPr>
                <w:sz w:val="18"/>
              </w:rPr>
            </w:pPr>
            <w:r>
              <w:rPr>
                <w:sz w:val="18"/>
              </w:rPr>
              <w:t>$727,397,468.36</w:t>
            </w:r>
          </w:p>
        </w:tc>
        <w:tc>
          <w:tcPr>
            <w:tcW w:w="1426" w:type="dxa"/>
          </w:tcPr>
          <w:p>
            <w:pPr>
              <w:pStyle w:val="TableParagraph"/>
              <w:spacing w:line="206" w:lineRule="exact"/>
              <w:ind w:left="112" w:right="112"/>
              <w:rPr>
                <w:sz w:val="18"/>
              </w:rPr>
            </w:pPr>
            <w:r>
              <w:rPr>
                <w:sz w:val="18"/>
              </w:rPr>
              <w:t>$1,355,798.91</w:t>
            </w:r>
          </w:p>
        </w:tc>
        <w:tc>
          <w:tcPr>
            <w:tcW w:w="1493" w:type="dxa"/>
          </w:tcPr>
          <w:p>
            <w:pPr>
              <w:pStyle w:val="TableParagraph"/>
              <w:spacing w:line="206" w:lineRule="exact"/>
              <w:ind w:left="45" w:right="46"/>
              <w:rPr>
                <w:sz w:val="18"/>
              </w:rPr>
            </w:pPr>
            <w:r>
              <w:rPr>
                <w:sz w:val="18"/>
              </w:rPr>
              <w:t>$265,253,927.92</w:t>
            </w:r>
          </w:p>
        </w:tc>
        <w:tc>
          <w:tcPr>
            <w:tcW w:w="1642" w:type="dxa"/>
          </w:tcPr>
          <w:p>
            <w:pPr>
              <w:pStyle w:val="TableParagraph"/>
              <w:spacing w:line="206" w:lineRule="exact"/>
              <w:ind w:left="45" w:right="45"/>
              <w:rPr>
                <w:sz w:val="18"/>
              </w:rPr>
            </w:pPr>
            <w:r>
              <w:rPr>
                <w:sz w:val="18"/>
              </w:rPr>
              <w:t>$463,499,339.35</w:t>
            </w:r>
          </w:p>
        </w:tc>
      </w:tr>
      <w:tr>
        <w:trPr>
          <w:trHeight w:val="322" w:hRule="exact"/>
        </w:trPr>
        <w:tc>
          <w:tcPr>
            <w:tcW w:w="1880" w:type="dxa"/>
          </w:tcPr>
          <w:p>
            <w:pPr>
              <w:pStyle w:val="TableParagraph"/>
              <w:spacing w:line="204" w:lineRule="exact"/>
              <w:ind w:left="64" w:right="65"/>
              <w:jc w:val="left"/>
              <w:rPr>
                <w:b/>
                <w:sz w:val="18"/>
              </w:rPr>
            </w:pPr>
            <w:r>
              <w:rPr>
                <w:b/>
                <w:color w:val="333333"/>
                <w:sz w:val="18"/>
              </w:rPr>
              <w:t>LUVIANOS</w:t>
            </w:r>
          </w:p>
        </w:tc>
        <w:tc>
          <w:tcPr>
            <w:tcW w:w="1644" w:type="dxa"/>
          </w:tcPr>
          <w:p>
            <w:pPr>
              <w:pStyle w:val="TableParagraph"/>
              <w:spacing w:before="1"/>
              <w:ind w:left="46" w:right="43"/>
              <w:rPr>
                <w:sz w:val="18"/>
              </w:rPr>
            </w:pPr>
            <w:r>
              <w:rPr>
                <w:sz w:val="18"/>
              </w:rPr>
              <w:t>$0.00</w:t>
            </w:r>
          </w:p>
        </w:tc>
        <w:tc>
          <w:tcPr>
            <w:tcW w:w="1400" w:type="dxa"/>
          </w:tcPr>
          <w:p>
            <w:pPr>
              <w:pStyle w:val="TableParagraph"/>
              <w:spacing w:before="1"/>
              <w:ind w:left="48" w:right="49"/>
              <w:rPr>
                <w:sz w:val="18"/>
              </w:rPr>
            </w:pPr>
            <w:r>
              <w:rPr>
                <w:sz w:val="18"/>
              </w:rPr>
              <w:t>$0.00</w:t>
            </w:r>
          </w:p>
        </w:tc>
        <w:tc>
          <w:tcPr>
            <w:tcW w:w="1680" w:type="dxa"/>
          </w:tcPr>
          <w:p>
            <w:pPr>
              <w:pStyle w:val="TableParagraph"/>
              <w:spacing w:before="1"/>
              <w:ind w:left="64" w:right="63"/>
              <w:rPr>
                <w:sz w:val="18"/>
              </w:rPr>
            </w:pPr>
            <w:r>
              <w:rPr>
                <w:sz w:val="18"/>
              </w:rPr>
              <w:t>$0.00</w:t>
            </w:r>
          </w:p>
        </w:tc>
        <w:tc>
          <w:tcPr>
            <w:tcW w:w="1644" w:type="dxa"/>
          </w:tcPr>
          <w:p>
            <w:pPr>
              <w:pStyle w:val="TableParagraph"/>
              <w:spacing w:before="1"/>
              <w:ind w:left="47" w:right="44"/>
              <w:rPr>
                <w:sz w:val="18"/>
              </w:rPr>
            </w:pPr>
            <w:r>
              <w:rPr>
                <w:sz w:val="18"/>
              </w:rPr>
              <w:t>$0.00</w:t>
            </w:r>
          </w:p>
        </w:tc>
        <w:tc>
          <w:tcPr>
            <w:tcW w:w="1800" w:type="dxa"/>
          </w:tcPr>
          <w:p>
            <w:pPr>
              <w:pStyle w:val="TableParagraph"/>
              <w:spacing w:before="1"/>
              <w:ind w:left="124" w:right="123"/>
              <w:rPr>
                <w:sz w:val="18"/>
              </w:rPr>
            </w:pPr>
            <w:r>
              <w:rPr>
                <w:sz w:val="18"/>
              </w:rPr>
              <w:t>$0.00</w:t>
            </w:r>
          </w:p>
        </w:tc>
        <w:tc>
          <w:tcPr>
            <w:tcW w:w="1426" w:type="dxa"/>
          </w:tcPr>
          <w:p>
            <w:pPr>
              <w:pStyle w:val="TableParagraph"/>
              <w:spacing w:before="1"/>
              <w:ind w:left="112" w:right="111"/>
              <w:rPr>
                <w:sz w:val="18"/>
              </w:rPr>
            </w:pPr>
            <w:r>
              <w:rPr>
                <w:sz w:val="18"/>
              </w:rPr>
              <w:t>$0.00</w:t>
            </w:r>
          </w:p>
        </w:tc>
        <w:tc>
          <w:tcPr>
            <w:tcW w:w="1493" w:type="dxa"/>
          </w:tcPr>
          <w:p>
            <w:pPr>
              <w:pStyle w:val="TableParagraph"/>
              <w:spacing w:before="1"/>
              <w:ind w:left="45" w:right="46"/>
              <w:rPr>
                <w:sz w:val="18"/>
              </w:rPr>
            </w:pPr>
            <w:r>
              <w:rPr>
                <w:sz w:val="18"/>
              </w:rPr>
              <w:t>$0.00</w:t>
            </w:r>
          </w:p>
        </w:tc>
        <w:tc>
          <w:tcPr>
            <w:tcW w:w="1642" w:type="dxa"/>
          </w:tcPr>
          <w:p>
            <w:pPr>
              <w:pStyle w:val="TableParagraph"/>
              <w:spacing w:before="1"/>
              <w:ind w:left="45" w:right="44"/>
              <w:rPr>
                <w:sz w:val="18"/>
              </w:rPr>
            </w:pPr>
            <w:r>
              <w:rPr>
                <w:sz w:val="18"/>
              </w:rPr>
              <w:t>$0.00</w:t>
            </w:r>
          </w:p>
        </w:tc>
      </w:tr>
      <w:tr>
        <w:trPr>
          <w:trHeight w:val="322" w:hRule="exact"/>
        </w:trPr>
        <w:tc>
          <w:tcPr>
            <w:tcW w:w="1880" w:type="dxa"/>
          </w:tcPr>
          <w:p>
            <w:pPr>
              <w:pStyle w:val="TableParagraph"/>
              <w:spacing w:line="201" w:lineRule="exact"/>
              <w:ind w:left="64" w:right="65"/>
              <w:jc w:val="left"/>
              <w:rPr>
                <w:b/>
                <w:sz w:val="18"/>
              </w:rPr>
            </w:pPr>
            <w:r>
              <w:rPr>
                <w:b/>
                <w:color w:val="333333"/>
                <w:sz w:val="18"/>
              </w:rPr>
              <w:t>MALINALCO</w:t>
            </w:r>
          </w:p>
        </w:tc>
        <w:tc>
          <w:tcPr>
            <w:tcW w:w="1644" w:type="dxa"/>
          </w:tcPr>
          <w:p>
            <w:pPr>
              <w:pStyle w:val="TableParagraph"/>
              <w:spacing w:line="206" w:lineRule="exact"/>
              <w:ind w:left="45" w:right="45"/>
              <w:rPr>
                <w:sz w:val="18"/>
              </w:rPr>
            </w:pPr>
            <w:r>
              <w:rPr>
                <w:sz w:val="18"/>
              </w:rPr>
              <w:t>$122,476,136.00</w:t>
            </w:r>
          </w:p>
        </w:tc>
        <w:tc>
          <w:tcPr>
            <w:tcW w:w="1400" w:type="dxa"/>
          </w:tcPr>
          <w:p>
            <w:pPr>
              <w:pStyle w:val="TableParagraph"/>
              <w:spacing w:line="206" w:lineRule="exact"/>
              <w:ind w:left="48" w:right="49"/>
              <w:rPr>
                <w:sz w:val="18"/>
              </w:rPr>
            </w:pPr>
            <w:r>
              <w:rPr>
                <w:sz w:val="18"/>
              </w:rPr>
              <w:t>$0.00</w:t>
            </w:r>
          </w:p>
        </w:tc>
        <w:tc>
          <w:tcPr>
            <w:tcW w:w="1680" w:type="dxa"/>
          </w:tcPr>
          <w:p>
            <w:pPr>
              <w:pStyle w:val="TableParagraph"/>
              <w:spacing w:line="206" w:lineRule="exact"/>
              <w:ind w:left="64" w:right="63"/>
              <w:rPr>
                <w:sz w:val="18"/>
              </w:rPr>
            </w:pPr>
            <w:r>
              <w:rPr>
                <w:sz w:val="18"/>
              </w:rPr>
              <w:t>$0.00</w:t>
            </w:r>
          </w:p>
        </w:tc>
        <w:tc>
          <w:tcPr>
            <w:tcW w:w="1644" w:type="dxa"/>
          </w:tcPr>
          <w:p>
            <w:pPr>
              <w:pStyle w:val="TableParagraph"/>
              <w:spacing w:line="206" w:lineRule="exact"/>
              <w:ind w:left="45" w:right="45"/>
              <w:rPr>
                <w:sz w:val="18"/>
              </w:rPr>
            </w:pPr>
            <w:r>
              <w:rPr>
                <w:sz w:val="18"/>
              </w:rPr>
              <w:t>$122,476,136.00</w:t>
            </w:r>
          </w:p>
        </w:tc>
        <w:tc>
          <w:tcPr>
            <w:tcW w:w="1800" w:type="dxa"/>
          </w:tcPr>
          <w:p>
            <w:pPr>
              <w:pStyle w:val="TableParagraph"/>
              <w:spacing w:line="206" w:lineRule="exact"/>
              <w:ind w:left="124" w:right="122"/>
              <w:rPr>
                <w:sz w:val="18"/>
              </w:rPr>
            </w:pPr>
            <w:r>
              <w:rPr>
                <w:sz w:val="18"/>
              </w:rPr>
              <w:t>$166,688,798.00</w:t>
            </w:r>
          </w:p>
        </w:tc>
        <w:tc>
          <w:tcPr>
            <w:tcW w:w="1426" w:type="dxa"/>
          </w:tcPr>
          <w:p>
            <w:pPr>
              <w:pStyle w:val="TableParagraph"/>
              <w:spacing w:line="206" w:lineRule="exact"/>
              <w:ind w:left="112" w:right="110"/>
              <w:rPr>
                <w:sz w:val="18"/>
              </w:rPr>
            </w:pPr>
            <w:r>
              <w:rPr>
                <w:sz w:val="18"/>
              </w:rPr>
              <w:t>$0.00</w:t>
            </w:r>
          </w:p>
        </w:tc>
        <w:tc>
          <w:tcPr>
            <w:tcW w:w="1493" w:type="dxa"/>
          </w:tcPr>
          <w:p>
            <w:pPr>
              <w:pStyle w:val="TableParagraph"/>
              <w:spacing w:line="206" w:lineRule="exact"/>
              <w:ind w:left="45" w:right="46"/>
              <w:rPr>
                <w:sz w:val="18"/>
              </w:rPr>
            </w:pPr>
            <w:r>
              <w:rPr>
                <w:sz w:val="18"/>
              </w:rPr>
              <w:t>$0.00</w:t>
            </w:r>
          </w:p>
        </w:tc>
        <w:tc>
          <w:tcPr>
            <w:tcW w:w="1642" w:type="dxa"/>
          </w:tcPr>
          <w:p>
            <w:pPr>
              <w:pStyle w:val="TableParagraph"/>
              <w:spacing w:line="206" w:lineRule="exact"/>
              <w:ind w:left="45" w:right="45"/>
              <w:rPr>
                <w:sz w:val="18"/>
              </w:rPr>
            </w:pPr>
            <w:r>
              <w:rPr>
                <w:sz w:val="18"/>
              </w:rPr>
              <w:t>$166,688,798.00</w:t>
            </w:r>
          </w:p>
        </w:tc>
      </w:tr>
      <w:tr>
        <w:trPr>
          <w:trHeight w:val="629" w:hRule="exact"/>
        </w:trPr>
        <w:tc>
          <w:tcPr>
            <w:tcW w:w="1880" w:type="dxa"/>
          </w:tcPr>
          <w:p>
            <w:pPr>
              <w:pStyle w:val="TableParagraph"/>
              <w:spacing w:line="360" w:lineRule="auto"/>
              <w:ind w:left="64" w:right="876"/>
              <w:jc w:val="left"/>
              <w:rPr>
                <w:b/>
                <w:sz w:val="18"/>
              </w:rPr>
            </w:pPr>
            <w:r>
              <w:rPr>
                <w:b/>
                <w:color w:val="333333"/>
                <w:sz w:val="18"/>
              </w:rPr>
              <w:t>MELCHOR OCAMPO</w:t>
            </w:r>
          </w:p>
        </w:tc>
        <w:tc>
          <w:tcPr>
            <w:tcW w:w="1644" w:type="dxa"/>
          </w:tcPr>
          <w:p>
            <w:pPr>
              <w:pStyle w:val="TableParagraph"/>
              <w:spacing w:before="152"/>
              <w:ind w:left="46" w:right="43"/>
              <w:rPr>
                <w:sz w:val="18"/>
              </w:rPr>
            </w:pPr>
            <w:r>
              <w:rPr>
                <w:sz w:val="18"/>
              </w:rPr>
              <w:t>$0.00</w:t>
            </w:r>
          </w:p>
        </w:tc>
        <w:tc>
          <w:tcPr>
            <w:tcW w:w="1400" w:type="dxa"/>
          </w:tcPr>
          <w:p>
            <w:pPr>
              <w:pStyle w:val="TableParagraph"/>
              <w:spacing w:before="152"/>
              <w:ind w:left="48" w:right="49"/>
              <w:rPr>
                <w:sz w:val="18"/>
              </w:rPr>
            </w:pPr>
            <w:r>
              <w:rPr>
                <w:sz w:val="18"/>
              </w:rPr>
              <w:t>$0.00</w:t>
            </w:r>
          </w:p>
        </w:tc>
        <w:tc>
          <w:tcPr>
            <w:tcW w:w="1680" w:type="dxa"/>
          </w:tcPr>
          <w:p>
            <w:pPr>
              <w:pStyle w:val="TableParagraph"/>
              <w:spacing w:before="152"/>
              <w:ind w:left="64" w:right="63"/>
              <w:rPr>
                <w:sz w:val="18"/>
              </w:rPr>
            </w:pPr>
            <w:r>
              <w:rPr>
                <w:sz w:val="18"/>
              </w:rPr>
              <w:t>$0.00</w:t>
            </w:r>
          </w:p>
        </w:tc>
        <w:tc>
          <w:tcPr>
            <w:tcW w:w="1644" w:type="dxa"/>
          </w:tcPr>
          <w:p>
            <w:pPr>
              <w:pStyle w:val="TableParagraph"/>
              <w:spacing w:before="152"/>
              <w:ind w:left="47" w:right="44"/>
              <w:rPr>
                <w:sz w:val="18"/>
              </w:rPr>
            </w:pPr>
            <w:r>
              <w:rPr>
                <w:sz w:val="18"/>
              </w:rPr>
              <w:t>$0.00</w:t>
            </w:r>
          </w:p>
        </w:tc>
        <w:tc>
          <w:tcPr>
            <w:tcW w:w="1800" w:type="dxa"/>
          </w:tcPr>
          <w:p>
            <w:pPr>
              <w:pStyle w:val="TableParagraph"/>
              <w:spacing w:before="152"/>
              <w:ind w:left="124" w:right="123"/>
              <w:rPr>
                <w:sz w:val="18"/>
              </w:rPr>
            </w:pPr>
            <w:r>
              <w:rPr>
                <w:sz w:val="18"/>
              </w:rPr>
              <w:t>$0.00</w:t>
            </w:r>
          </w:p>
        </w:tc>
        <w:tc>
          <w:tcPr>
            <w:tcW w:w="1426" w:type="dxa"/>
          </w:tcPr>
          <w:p>
            <w:pPr>
              <w:pStyle w:val="TableParagraph"/>
              <w:spacing w:before="152"/>
              <w:ind w:left="112" w:right="111"/>
              <w:rPr>
                <w:sz w:val="18"/>
              </w:rPr>
            </w:pPr>
            <w:r>
              <w:rPr>
                <w:sz w:val="18"/>
              </w:rPr>
              <w:t>$0.00</w:t>
            </w:r>
          </w:p>
        </w:tc>
        <w:tc>
          <w:tcPr>
            <w:tcW w:w="1493" w:type="dxa"/>
          </w:tcPr>
          <w:p>
            <w:pPr>
              <w:pStyle w:val="TableParagraph"/>
              <w:spacing w:before="152"/>
              <w:ind w:left="45" w:right="46"/>
              <w:rPr>
                <w:sz w:val="18"/>
              </w:rPr>
            </w:pPr>
            <w:r>
              <w:rPr>
                <w:sz w:val="18"/>
              </w:rPr>
              <w:t>$0.00</w:t>
            </w:r>
          </w:p>
        </w:tc>
        <w:tc>
          <w:tcPr>
            <w:tcW w:w="1642" w:type="dxa"/>
          </w:tcPr>
          <w:p>
            <w:pPr>
              <w:pStyle w:val="TableParagraph"/>
              <w:spacing w:before="152"/>
              <w:ind w:left="45" w:right="44"/>
              <w:rPr>
                <w:sz w:val="18"/>
              </w:rPr>
            </w:pPr>
            <w:r>
              <w:rPr>
                <w:sz w:val="18"/>
              </w:rPr>
              <w:t>$0.00</w:t>
            </w:r>
          </w:p>
        </w:tc>
      </w:tr>
      <w:tr>
        <w:trPr>
          <w:trHeight w:val="322" w:hRule="exact"/>
        </w:trPr>
        <w:tc>
          <w:tcPr>
            <w:tcW w:w="1880" w:type="dxa"/>
          </w:tcPr>
          <w:p>
            <w:pPr>
              <w:pStyle w:val="TableParagraph"/>
              <w:spacing w:line="204" w:lineRule="exact"/>
              <w:ind w:left="64" w:right="65"/>
              <w:jc w:val="left"/>
              <w:rPr>
                <w:b/>
                <w:sz w:val="18"/>
              </w:rPr>
            </w:pPr>
            <w:r>
              <w:rPr>
                <w:b/>
                <w:color w:val="333333"/>
                <w:sz w:val="18"/>
              </w:rPr>
              <w:t>METEPEC</w:t>
            </w:r>
          </w:p>
        </w:tc>
        <w:tc>
          <w:tcPr>
            <w:tcW w:w="1644" w:type="dxa"/>
          </w:tcPr>
          <w:p>
            <w:pPr>
              <w:pStyle w:val="TableParagraph"/>
              <w:spacing w:before="1"/>
              <w:ind w:left="46" w:right="44"/>
              <w:rPr>
                <w:sz w:val="18"/>
              </w:rPr>
            </w:pPr>
            <w:r>
              <w:rPr>
                <w:sz w:val="18"/>
              </w:rPr>
              <w:t>$2,305,004,958.56</w:t>
            </w:r>
          </w:p>
        </w:tc>
        <w:tc>
          <w:tcPr>
            <w:tcW w:w="1400" w:type="dxa"/>
          </w:tcPr>
          <w:p>
            <w:pPr>
              <w:pStyle w:val="TableParagraph"/>
              <w:spacing w:before="1"/>
              <w:ind w:left="48" w:right="49"/>
              <w:rPr>
                <w:sz w:val="18"/>
              </w:rPr>
            </w:pPr>
            <w:r>
              <w:rPr>
                <w:sz w:val="18"/>
              </w:rPr>
              <w:t>$0.00</w:t>
            </w:r>
          </w:p>
        </w:tc>
        <w:tc>
          <w:tcPr>
            <w:tcW w:w="1680" w:type="dxa"/>
          </w:tcPr>
          <w:p>
            <w:pPr>
              <w:pStyle w:val="TableParagraph"/>
              <w:spacing w:before="1"/>
              <w:ind w:left="64" w:right="62"/>
              <w:rPr>
                <w:sz w:val="18"/>
              </w:rPr>
            </w:pPr>
            <w:r>
              <w:rPr>
                <w:sz w:val="18"/>
              </w:rPr>
              <w:t>$12,069,591.00</w:t>
            </w:r>
          </w:p>
        </w:tc>
        <w:tc>
          <w:tcPr>
            <w:tcW w:w="1644" w:type="dxa"/>
          </w:tcPr>
          <w:p>
            <w:pPr>
              <w:pStyle w:val="TableParagraph"/>
              <w:spacing w:before="1"/>
              <w:ind w:left="47" w:right="45"/>
              <w:rPr>
                <w:sz w:val="18"/>
              </w:rPr>
            </w:pPr>
            <w:r>
              <w:rPr>
                <w:sz w:val="18"/>
              </w:rPr>
              <w:t>$2,292,935,367.56</w:t>
            </w:r>
          </w:p>
        </w:tc>
        <w:tc>
          <w:tcPr>
            <w:tcW w:w="1800" w:type="dxa"/>
          </w:tcPr>
          <w:p>
            <w:pPr>
              <w:pStyle w:val="TableParagraph"/>
              <w:spacing w:before="1"/>
              <w:ind w:left="124" w:right="122"/>
              <w:rPr>
                <w:sz w:val="18"/>
              </w:rPr>
            </w:pPr>
            <w:r>
              <w:rPr>
                <w:sz w:val="18"/>
              </w:rPr>
              <w:t>$340,747,150.74</w:t>
            </w:r>
          </w:p>
        </w:tc>
        <w:tc>
          <w:tcPr>
            <w:tcW w:w="1426" w:type="dxa"/>
          </w:tcPr>
          <w:p>
            <w:pPr>
              <w:pStyle w:val="TableParagraph"/>
              <w:spacing w:before="1"/>
              <w:ind w:left="112" w:right="111"/>
              <w:rPr>
                <w:sz w:val="18"/>
              </w:rPr>
            </w:pPr>
            <w:r>
              <w:rPr>
                <w:sz w:val="18"/>
              </w:rPr>
              <w:t>$0.00</w:t>
            </w:r>
          </w:p>
        </w:tc>
        <w:tc>
          <w:tcPr>
            <w:tcW w:w="1493" w:type="dxa"/>
          </w:tcPr>
          <w:p>
            <w:pPr>
              <w:pStyle w:val="TableParagraph"/>
              <w:spacing w:before="1"/>
              <w:ind w:left="45" w:right="46"/>
              <w:rPr>
                <w:sz w:val="18"/>
              </w:rPr>
            </w:pPr>
            <w:r>
              <w:rPr>
                <w:sz w:val="18"/>
              </w:rPr>
              <w:t>$0.00</w:t>
            </w:r>
          </w:p>
        </w:tc>
        <w:tc>
          <w:tcPr>
            <w:tcW w:w="1642" w:type="dxa"/>
          </w:tcPr>
          <w:p>
            <w:pPr>
              <w:pStyle w:val="TableParagraph"/>
              <w:spacing w:before="1"/>
              <w:ind w:left="45" w:right="45"/>
              <w:rPr>
                <w:sz w:val="18"/>
              </w:rPr>
            </w:pPr>
            <w:r>
              <w:rPr>
                <w:sz w:val="18"/>
              </w:rPr>
              <w:t>$340,747,150.74</w:t>
            </w:r>
          </w:p>
        </w:tc>
      </w:tr>
      <w:tr>
        <w:trPr>
          <w:trHeight w:val="319" w:hRule="exact"/>
        </w:trPr>
        <w:tc>
          <w:tcPr>
            <w:tcW w:w="1880" w:type="dxa"/>
          </w:tcPr>
          <w:p>
            <w:pPr>
              <w:pStyle w:val="TableParagraph"/>
              <w:spacing w:line="201" w:lineRule="exact"/>
              <w:ind w:left="64" w:right="65"/>
              <w:jc w:val="left"/>
              <w:rPr>
                <w:b/>
                <w:sz w:val="18"/>
              </w:rPr>
            </w:pPr>
            <w:r>
              <w:rPr>
                <w:b/>
                <w:color w:val="333333"/>
                <w:sz w:val="18"/>
              </w:rPr>
              <w:t>MEXICALTCINGO</w:t>
            </w:r>
          </w:p>
        </w:tc>
        <w:tc>
          <w:tcPr>
            <w:tcW w:w="1644" w:type="dxa"/>
          </w:tcPr>
          <w:p>
            <w:pPr>
              <w:pStyle w:val="TableParagraph"/>
              <w:spacing w:line="206" w:lineRule="exact"/>
              <w:ind w:left="46" w:right="43"/>
              <w:rPr>
                <w:sz w:val="18"/>
              </w:rPr>
            </w:pPr>
            <w:r>
              <w:rPr>
                <w:sz w:val="18"/>
              </w:rPr>
              <w:t>$0.00</w:t>
            </w:r>
          </w:p>
        </w:tc>
        <w:tc>
          <w:tcPr>
            <w:tcW w:w="1400" w:type="dxa"/>
          </w:tcPr>
          <w:p>
            <w:pPr>
              <w:pStyle w:val="TableParagraph"/>
              <w:spacing w:line="206" w:lineRule="exact"/>
              <w:ind w:left="48" w:right="49"/>
              <w:rPr>
                <w:sz w:val="18"/>
              </w:rPr>
            </w:pPr>
            <w:r>
              <w:rPr>
                <w:sz w:val="18"/>
              </w:rPr>
              <w:t>$0.00</w:t>
            </w:r>
          </w:p>
        </w:tc>
        <w:tc>
          <w:tcPr>
            <w:tcW w:w="1680" w:type="dxa"/>
          </w:tcPr>
          <w:p>
            <w:pPr>
              <w:pStyle w:val="TableParagraph"/>
              <w:spacing w:line="206" w:lineRule="exact"/>
              <w:ind w:left="64" w:right="63"/>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800" w:type="dxa"/>
          </w:tcPr>
          <w:p>
            <w:pPr>
              <w:pStyle w:val="TableParagraph"/>
              <w:spacing w:line="206" w:lineRule="exact"/>
              <w:ind w:left="124" w:right="123"/>
              <w:rPr>
                <w:sz w:val="18"/>
              </w:rPr>
            </w:pPr>
            <w:r>
              <w:rPr>
                <w:sz w:val="18"/>
              </w:rPr>
              <w:t>$0.00</w:t>
            </w:r>
          </w:p>
        </w:tc>
        <w:tc>
          <w:tcPr>
            <w:tcW w:w="1426" w:type="dxa"/>
          </w:tcPr>
          <w:p>
            <w:pPr>
              <w:pStyle w:val="TableParagraph"/>
              <w:spacing w:line="206" w:lineRule="exact"/>
              <w:ind w:left="112" w:right="111"/>
              <w:rPr>
                <w:sz w:val="18"/>
              </w:rPr>
            </w:pPr>
            <w:r>
              <w:rPr>
                <w:sz w:val="18"/>
              </w:rPr>
              <w:t>$0.00</w:t>
            </w:r>
          </w:p>
        </w:tc>
        <w:tc>
          <w:tcPr>
            <w:tcW w:w="1493" w:type="dxa"/>
          </w:tcPr>
          <w:p>
            <w:pPr>
              <w:pStyle w:val="TableParagraph"/>
              <w:spacing w:line="206" w:lineRule="exact"/>
              <w:ind w:left="45" w:right="46"/>
              <w:rPr>
                <w:sz w:val="18"/>
              </w:rPr>
            </w:pPr>
            <w:r>
              <w:rPr>
                <w:sz w:val="18"/>
              </w:rPr>
              <w:t>$0.00</w:t>
            </w:r>
          </w:p>
        </w:tc>
        <w:tc>
          <w:tcPr>
            <w:tcW w:w="1642" w:type="dxa"/>
          </w:tcPr>
          <w:p>
            <w:pPr>
              <w:pStyle w:val="TableParagraph"/>
              <w:spacing w:line="206" w:lineRule="exact"/>
              <w:ind w:left="45" w:right="44"/>
              <w:rPr>
                <w:sz w:val="18"/>
              </w:rPr>
            </w:pPr>
            <w:r>
              <w:rPr>
                <w:sz w:val="18"/>
              </w:rPr>
              <w:t>$0.00</w:t>
            </w:r>
          </w:p>
        </w:tc>
      </w:tr>
      <w:tr>
        <w:trPr>
          <w:trHeight w:val="322" w:hRule="exact"/>
        </w:trPr>
        <w:tc>
          <w:tcPr>
            <w:tcW w:w="1880" w:type="dxa"/>
          </w:tcPr>
          <w:p>
            <w:pPr>
              <w:pStyle w:val="TableParagraph"/>
              <w:spacing w:line="204" w:lineRule="exact"/>
              <w:ind w:left="64" w:right="65"/>
              <w:jc w:val="left"/>
              <w:rPr>
                <w:b/>
                <w:sz w:val="18"/>
              </w:rPr>
            </w:pPr>
            <w:r>
              <w:rPr>
                <w:b/>
                <w:color w:val="333333"/>
                <w:sz w:val="18"/>
              </w:rPr>
              <w:t>MORELOS</w:t>
            </w:r>
          </w:p>
        </w:tc>
        <w:tc>
          <w:tcPr>
            <w:tcW w:w="1644" w:type="dxa"/>
          </w:tcPr>
          <w:p>
            <w:pPr>
              <w:pStyle w:val="TableParagraph"/>
              <w:spacing w:before="1"/>
              <w:ind w:left="46" w:right="43"/>
              <w:rPr>
                <w:sz w:val="18"/>
              </w:rPr>
            </w:pPr>
            <w:r>
              <w:rPr>
                <w:sz w:val="18"/>
              </w:rPr>
              <w:t>$0.00</w:t>
            </w:r>
          </w:p>
        </w:tc>
        <w:tc>
          <w:tcPr>
            <w:tcW w:w="1400" w:type="dxa"/>
          </w:tcPr>
          <w:p>
            <w:pPr>
              <w:pStyle w:val="TableParagraph"/>
              <w:spacing w:before="1"/>
              <w:ind w:left="48" w:right="49"/>
              <w:rPr>
                <w:sz w:val="18"/>
              </w:rPr>
            </w:pPr>
            <w:r>
              <w:rPr>
                <w:sz w:val="18"/>
              </w:rPr>
              <w:t>$0.00</w:t>
            </w:r>
          </w:p>
        </w:tc>
        <w:tc>
          <w:tcPr>
            <w:tcW w:w="1680" w:type="dxa"/>
          </w:tcPr>
          <w:p>
            <w:pPr>
              <w:pStyle w:val="TableParagraph"/>
              <w:spacing w:before="1"/>
              <w:ind w:left="64" w:right="63"/>
              <w:rPr>
                <w:sz w:val="18"/>
              </w:rPr>
            </w:pPr>
            <w:r>
              <w:rPr>
                <w:sz w:val="18"/>
              </w:rPr>
              <w:t>$0.00</w:t>
            </w:r>
          </w:p>
        </w:tc>
        <w:tc>
          <w:tcPr>
            <w:tcW w:w="1644" w:type="dxa"/>
          </w:tcPr>
          <w:p>
            <w:pPr>
              <w:pStyle w:val="TableParagraph"/>
              <w:spacing w:before="1"/>
              <w:ind w:left="47" w:right="44"/>
              <w:rPr>
                <w:sz w:val="18"/>
              </w:rPr>
            </w:pPr>
            <w:r>
              <w:rPr>
                <w:sz w:val="18"/>
              </w:rPr>
              <w:t>$0.00</w:t>
            </w:r>
          </w:p>
        </w:tc>
        <w:tc>
          <w:tcPr>
            <w:tcW w:w="1800" w:type="dxa"/>
          </w:tcPr>
          <w:p>
            <w:pPr>
              <w:pStyle w:val="TableParagraph"/>
              <w:spacing w:before="1"/>
              <w:ind w:left="124" w:right="123"/>
              <w:rPr>
                <w:sz w:val="18"/>
              </w:rPr>
            </w:pPr>
            <w:r>
              <w:rPr>
                <w:sz w:val="18"/>
              </w:rPr>
              <w:t>$0.00</w:t>
            </w:r>
          </w:p>
        </w:tc>
        <w:tc>
          <w:tcPr>
            <w:tcW w:w="1426" w:type="dxa"/>
          </w:tcPr>
          <w:p>
            <w:pPr>
              <w:pStyle w:val="TableParagraph"/>
              <w:spacing w:before="1"/>
              <w:ind w:left="112" w:right="111"/>
              <w:rPr>
                <w:sz w:val="18"/>
              </w:rPr>
            </w:pPr>
            <w:r>
              <w:rPr>
                <w:sz w:val="18"/>
              </w:rPr>
              <w:t>$0.00</w:t>
            </w:r>
          </w:p>
        </w:tc>
        <w:tc>
          <w:tcPr>
            <w:tcW w:w="1493" w:type="dxa"/>
          </w:tcPr>
          <w:p>
            <w:pPr>
              <w:pStyle w:val="TableParagraph"/>
              <w:spacing w:before="1"/>
              <w:ind w:left="45" w:right="46"/>
              <w:rPr>
                <w:sz w:val="18"/>
              </w:rPr>
            </w:pPr>
            <w:r>
              <w:rPr>
                <w:sz w:val="18"/>
              </w:rPr>
              <w:t>$0.00</w:t>
            </w:r>
          </w:p>
        </w:tc>
        <w:tc>
          <w:tcPr>
            <w:tcW w:w="1642" w:type="dxa"/>
          </w:tcPr>
          <w:p>
            <w:pPr>
              <w:pStyle w:val="TableParagraph"/>
              <w:spacing w:before="1"/>
              <w:ind w:left="45" w:right="44"/>
              <w:rPr>
                <w:sz w:val="18"/>
              </w:rPr>
            </w:pPr>
            <w:r>
              <w:rPr>
                <w:sz w:val="18"/>
              </w:rPr>
              <w:t>$0.00</w:t>
            </w:r>
          </w:p>
        </w:tc>
      </w:tr>
      <w:tr>
        <w:trPr>
          <w:trHeight w:val="631" w:hRule="exact"/>
        </w:trPr>
        <w:tc>
          <w:tcPr>
            <w:tcW w:w="1880" w:type="dxa"/>
          </w:tcPr>
          <w:p>
            <w:pPr>
              <w:pStyle w:val="TableParagraph"/>
              <w:tabs>
                <w:tab w:pos="1552" w:val="left" w:leader="none"/>
              </w:tabs>
              <w:spacing w:line="362" w:lineRule="auto"/>
              <w:ind w:left="64" w:right="65"/>
              <w:jc w:val="left"/>
              <w:rPr>
                <w:b/>
                <w:sz w:val="18"/>
              </w:rPr>
            </w:pPr>
            <w:r>
              <w:rPr>
                <w:b/>
                <w:color w:val="333333"/>
                <w:sz w:val="18"/>
              </w:rPr>
              <w:t>NAUCALPAN</w:t>
              <w:tab/>
              <w:t>DE JUAREZ</w:t>
            </w:r>
          </w:p>
        </w:tc>
        <w:tc>
          <w:tcPr>
            <w:tcW w:w="1644" w:type="dxa"/>
          </w:tcPr>
          <w:p>
            <w:pPr>
              <w:pStyle w:val="TableParagraph"/>
              <w:spacing w:before="155"/>
              <w:ind w:left="46" w:right="44"/>
              <w:rPr>
                <w:sz w:val="18"/>
              </w:rPr>
            </w:pPr>
            <w:r>
              <w:rPr>
                <w:sz w:val="18"/>
              </w:rPr>
              <w:t>$4,932,323,707.92</w:t>
            </w:r>
          </w:p>
        </w:tc>
        <w:tc>
          <w:tcPr>
            <w:tcW w:w="1400" w:type="dxa"/>
          </w:tcPr>
          <w:p>
            <w:pPr>
              <w:pStyle w:val="TableParagraph"/>
              <w:spacing w:before="155"/>
              <w:ind w:left="48" w:right="49"/>
              <w:rPr>
                <w:sz w:val="18"/>
              </w:rPr>
            </w:pPr>
            <w:r>
              <w:rPr>
                <w:sz w:val="18"/>
              </w:rPr>
              <w:t>$0.00</w:t>
            </w:r>
          </w:p>
        </w:tc>
        <w:tc>
          <w:tcPr>
            <w:tcW w:w="1680" w:type="dxa"/>
          </w:tcPr>
          <w:p>
            <w:pPr>
              <w:pStyle w:val="TableParagraph"/>
              <w:spacing w:before="155"/>
              <w:ind w:left="64" w:right="62"/>
              <w:rPr>
                <w:sz w:val="18"/>
              </w:rPr>
            </w:pPr>
            <w:r>
              <w:rPr>
                <w:sz w:val="18"/>
              </w:rPr>
              <w:t>$524,208,787.82</w:t>
            </w:r>
          </w:p>
        </w:tc>
        <w:tc>
          <w:tcPr>
            <w:tcW w:w="1644" w:type="dxa"/>
          </w:tcPr>
          <w:p>
            <w:pPr>
              <w:pStyle w:val="TableParagraph"/>
              <w:spacing w:before="155"/>
              <w:ind w:left="47" w:right="45"/>
              <w:rPr>
                <w:sz w:val="18"/>
              </w:rPr>
            </w:pPr>
            <w:r>
              <w:rPr>
                <w:sz w:val="18"/>
              </w:rPr>
              <w:t>$4,408,114,920.10</w:t>
            </w:r>
          </w:p>
        </w:tc>
        <w:tc>
          <w:tcPr>
            <w:tcW w:w="1800" w:type="dxa"/>
          </w:tcPr>
          <w:p>
            <w:pPr>
              <w:pStyle w:val="TableParagraph"/>
              <w:spacing w:before="155"/>
              <w:ind w:left="124" w:right="124"/>
              <w:rPr>
                <w:sz w:val="18"/>
              </w:rPr>
            </w:pPr>
            <w:r>
              <w:rPr>
                <w:sz w:val="18"/>
              </w:rPr>
              <w:t>$4,883,304,393.97</w:t>
            </w:r>
          </w:p>
        </w:tc>
        <w:tc>
          <w:tcPr>
            <w:tcW w:w="1426" w:type="dxa"/>
          </w:tcPr>
          <w:p>
            <w:pPr>
              <w:pStyle w:val="TableParagraph"/>
              <w:spacing w:before="155"/>
              <w:ind w:left="112" w:right="111"/>
              <w:rPr>
                <w:sz w:val="18"/>
              </w:rPr>
            </w:pPr>
            <w:r>
              <w:rPr>
                <w:sz w:val="18"/>
              </w:rPr>
              <w:t>$0.00</w:t>
            </w:r>
          </w:p>
        </w:tc>
        <w:tc>
          <w:tcPr>
            <w:tcW w:w="1493" w:type="dxa"/>
          </w:tcPr>
          <w:p>
            <w:pPr>
              <w:pStyle w:val="TableParagraph"/>
              <w:spacing w:before="155"/>
              <w:ind w:left="45" w:right="46"/>
              <w:rPr>
                <w:sz w:val="18"/>
              </w:rPr>
            </w:pPr>
            <w:r>
              <w:rPr>
                <w:sz w:val="18"/>
              </w:rPr>
              <w:t>$481,304,932.35</w:t>
            </w:r>
          </w:p>
        </w:tc>
        <w:tc>
          <w:tcPr>
            <w:tcW w:w="1642" w:type="dxa"/>
          </w:tcPr>
          <w:p>
            <w:pPr>
              <w:pStyle w:val="TableParagraph"/>
              <w:spacing w:before="155"/>
              <w:ind w:left="45" w:right="45"/>
              <w:rPr>
                <w:sz w:val="18"/>
              </w:rPr>
            </w:pPr>
            <w:r>
              <w:rPr>
                <w:sz w:val="18"/>
              </w:rPr>
              <w:t>$4,401,999,461.62</w:t>
            </w:r>
          </w:p>
        </w:tc>
      </w:tr>
      <w:tr>
        <w:trPr>
          <w:trHeight w:val="319" w:hRule="exact"/>
        </w:trPr>
        <w:tc>
          <w:tcPr>
            <w:tcW w:w="1880" w:type="dxa"/>
          </w:tcPr>
          <w:p>
            <w:pPr>
              <w:pStyle w:val="TableParagraph"/>
              <w:spacing w:line="201" w:lineRule="exact"/>
              <w:ind w:left="64" w:right="65"/>
              <w:jc w:val="left"/>
              <w:rPr>
                <w:b/>
                <w:sz w:val="18"/>
              </w:rPr>
            </w:pPr>
            <w:r>
              <w:rPr>
                <w:b/>
                <w:color w:val="333333"/>
                <w:sz w:val="18"/>
              </w:rPr>
              <w:t>NEXTLALPAN</w:t>
            </w:r>
          </w:p>
        </w:tc>
        <w:tc>
          <w:tcPr>
            <w:tcW w:w="1644" w:type="dxa"/>
          </w:tcPr>
          <w:p>
            <w:pPr>
              <w:pStyle w:val="TableParagraph"/>
              <w:spacing w:line="206" w:lineRule="exact"/>
              <w:ind w:left="46" w:right="43"/>
              <w:rPr>
                <w:sz w:val="18"/>
              </w:rPr>
            </w:pPr>
            <w:r>
              <w:rPr>
                <w:sz w:val="18"/>
              </w:rPr>
              <w:t>$0.00</w:t>
            </w:r>
          </w:p>
        </w:tc>
        <w:tc>
          <w:tcPr>
            <w:tcW w:w="1400" w:type="dxa"/>
          </w:tcPr>
          <w:p>
            <w:pPr>
              <w:pStyle w:val="TableParagraph"/>
              <w:spacing w:line="206" w:lineRule="exact"/>
              <w:ind w:left="48" w:right="49"/>
              <w:rPr>
                <w:sz w:val="18"/>
              </w:rPr>
            </w:pPr>
            <w:r>
              <w:rPr>
                <w:sz w:val="18"/>
              </w:rPr>
              <w:t>$0.00</w:t>
            </w:r>
          </w:p>
        </w:tc>
        <w:tc>
          <w:tcPr>
            <w:tcW w:w="1680" w:type="dxa"/>
          </w:tcPr>
          <w:p>
            <w:pPr>
              <w:pStyle w:val="TableParagraph"/>
              <w:spacing w:line="206" w:lineRule="exact"/>
              <w:ind w:left="64" w:right="63"/>
              <w:rPr>
                <w:sz w:val="18"/>
              </w:rPr>
            </w:pPr>
            <w:r>
              <w:rPr>
                <w:sz w:val="18"/>
              </w:rPr>
              <w:t>$0.00</w:t>
            </w:r>
          </w:p>
        </w:tc>
        <w:tc>
          <w:tcPr>
            <w:tcW w:w="1644" w:type="dxa"/>
          </w:tcPr>
          <w:p>
            <w:pPr>
              <w:pStyle w:val="TableParagraph"/>
              <w:spacing w:line="206" w:lineRule="exact"/>
              <w:ind w:left="47" w:right="44"/>
              <w:rPr>
                <w:sz w:val="18"/>
              </w:rPr>
            </w:pPr>
            <w:r>
              <w:rPr>
                <w:sz w:val="18"/>
              </w:rPr>
              <w:t>$0.00</w:t>
            </w:r>
          </w:p>
        </w:tc>
        <w:tc>
          <w:tcPr>
            <w:tcW w:w="1800" w:type="dxa"/>
          </w:tcPr>
          <w:p>
            <w:pPr>
              <w:pStyle w:val="TableParagraph"/>
              <w:spacing w:line="206" w:lineRule="exact"/>
              <w:ind w:left="124" w:right="123"/>
              <w:rPr>
                <w:sz w:val="18"/>
              </w:rPr>
            </w:pPr>
            <w:r>
              <w:rPr>
                <w:sz w:val="18"/>
              </w:rPr>
              <w:t>$0.00</w:t>
            </w:r>
          </w:p>
        </w:tc>
        <w:tc>
          <w:tcPr>
            <w:tcW w:w="1426" w:type="dxa"/>
          </w:tcPr>
          <w:p>
            <w:pPr>
              <w:pStyle w:val="TableParagraph"/>
              <w:spacing w:line="206" w:lineRule="exact"/>
              <w:ind w:left="112" w:right="111"/>
              <w:rPr>
                <w:sz w:val="18"/>
              </w:rPr>
            </w:pPr>
            <w:r>
              <w:rPr>
                <w:sz w:val="18"/>
              </w:rPr>
              <w:t>$0.00</w:t>
            </w:r>
          </w:p>
        </w:tc>
        <w:tc>
          <w:tcPr>
            <w:tcW w:w="1493" w:type="dxa"/>
          </w:tcPr>
          <w:p>
            <w:pPr>
              <w:pStyle w:val="TableParagraph"/>
              <w:spacing w:line="206" w:lineRule="exact"/>
              <w:ind w:left="45" w:right="46"/>
              <w:rPr>
                <w:sz w:val="18"/>
              </w:rPr>
            </w:pPr>
            <w:r>
              <w:rPr>
                <w:sz w:val="18"/>
              </w:rPr>
              <w:t>$0.00</w:t>
            </w:r>
          </w:p>
        </w:tc>
        <w:tc>
          <w:tcPr>
            <w:tcW w:w="1642" w:type="dxa"/>
          </w:tcPr>
          <w:p>
            <w:pPr>
              <w:pStyle w:val="TableParagraph"/>
              <w:spacing w:line="206" w:lineRule="exact"/>
              <w:ind w:left="45" w:right="44"/>
              <w:rPr>
                <w:sz w:val="18"/>
              </w:rPr>
            </w:pPr>
            <w:r>
              <w:rPr>
                <w:sz w:val="18"/>
              </w:rPr>
              <w:t>$0.00</w:t>
            </w:r>
          </w:p>
        </w:tc>
      </w:tr>
      <w:tr>
        <w:trPr>
          <w:trHeight w:val="389" w:hRule="exact"/>
        </w:trPr>
        <w:tc>
          <w:tcPr>
            <w:tcW w:w="1880" w:type="dxa"/>
          </w:tcPr>
          <w:p>
            <w:pPr>
              <w:pStyle w:val="TableParagraph"/>
              <w:spacing w:before="28"/>
              <w:ind w:left="64"/>
              <w:jc w:val="left"/>
              <w:rPr>
                <w:b/>
                <w:sz w:val="18"/>
              </w:rPr>
            </w:pPr>
            <w:r>
              <w:rPr>
                <w:b/>
                <w:color w:val="333333"/>
                <w:sz w:val="18"/>
              </w:rPr>
              <w:t>NEZAHUALCOYOTL</w:t>
            </w:r>
          </w:p>
        </w:tc>
        <w:tc>
          <w:tcPr>
            <w:tcW w:w="1644" w:type="dxa"/>
          </w:tcPr>
          <w:p>
            <w:pPr>
              <w:pStyle w:val="TableParagraph"/>
              <w:spacing w:before="32"/>
              <w:ind w:left="46" w:right="44"/>
              <w:rPr>
                <w:sz w:val="18"/>
              </w:rPr>
            </w:pPr>
            <w:r>
              <w:rPr>
                <w:sz w:val="18"/>
              </w:rPr>
              <w:t>$3,578,691,622.39</w:t>
            </w:r>
          </w:p>
        </w:tc>
        <w:tc>
          <w:tcPr>
            <w:tcW w:w="1400" w:type="dxa"/>
          </w:tcPr>
          <w:p>
            <w:pPr>
              <w:pStyle w:val="TableParagraph"/>
              <w:spacing w:before="32"/>
              <w:ind w:left="48" w:right="49"/>
              <w:rPr>
                <w:sz w:val="18"/>
              </w:rPr>
            </w:pPr>
            <w:r>
              <w:rPr>
                <w:sz w:val="18"/>
              </w:rPr>
              <w:t>$0.00</w:t>
            </w:r>
          </w:p>
        </w:tc>
        <w:tc>
          <w:tcPr>
            <w:tcW w:w="1680" w:type="dxa"/>
          </w:tcPr>
          <w:p>
            <w:pPr>
              <w:pStyle w:val="TableParagraph"/>
              <w:spacing w:before="32"/>
              <w:ind w:left="64" w:right="64"/>
              <w:rPr>
                <w:sz w:val="18"/>
              </w:rPr>
            </w:pPr>
            <w:r>
              <w:rPr>
                <w:sz w:val="18"/>
              </w:rPr>
              <w:t>$3,578,691,622.39</w:t>
            </w:r>
          </w:p>
        </w:tc>
        <w:tc>
          <w:tcPr>
            <w:tcW w:w="1644" w:type="dxa"/>
          </w:tcPr>
          <w:p>
            <w:pPr>
              <w:pStyle w:val="TableParagraph"/>
              <w:spacing w:before="32"/>
              <w:ind w:left="47" w:right="45"/>
              <w:rPr>
                <w:sz w:val="18"/>
              </w:rPr>
            </w:pPr>
            <w:r>
              <w:rPr>
                <w:sz w:val="18"/>
              </w:rPr>
              <w:t>$3,371,226,110.67</w:t>
            </w:r>
          </w:p>
        </w:tc>
        <w:tc>
          <w:tcPr>
            <w:tcW w:w="1800" w:type="dxa"/>
          </w:tcPr>
          <w:p>
            <w:pPr>
              <w:pStyle w:val="TableParagraph"/>
              <w:spacing w:before="32"/>
              <w:ind w:left="124" w:right="124"/>
              <w:rPr>
                <w:sz w:val="18"/>
              </w:rPr>
            </w:pPr>
            <w:r>
              <w:rPr>
                <w:sz w:val="18"/>
              </w:rPr>
              <w:t>$4,184,679,022.50</w:t>
            </w:r>
          </w:p>
        </w:tc>
        <w:tc>
          <w:tcPr>
            <w:tcW w:w="1426" w:type="dxa"/>
          </w:tcPr>
          <w:p>
            <w:pPr>
              <w:pStyle w:val="TableParagraph"/>
              <w:spacing w:before="32"/>
              <w:ind w:left="112" w:right="111"/>
              <w:rPr>
                <w:sz w:val="18"/>
              </w:rPr>
            </w:pPr>
            <w:r>
              <w:rPr>
                <w:sz w:val="18"/>
              </w:rPr>
              <w:t>$0.00</w:t>
            </w:r>
          </w:p>
        </w:tc>
        <w:tc>
          <w:tcPr>
            <w:tcW w:w="1493" w:type="dxa"/>
          </w:tcPr>
          <w:p>
            <w:pPr>
              <w:pStyle w:val="TableParagraph"/>
              <w:spacing w:before="32"/>
              <w:ind w:left="45" w:right="46"/>
              <w:rPr>
                <w:sz w:val="18"/>
              </w:rPr>
            </w:pPr>
            <w:r>
              <w:rPr>
                <w:sz w:val="18"/>
              </w:rPr>
              <w:t>$0.00</w:t>
            </w:r>
          </w:p>
        </w:tc>
        <w:tc>
          <w:tcPr>
            <w:tcW w:w="1642" w:type="dxa"/>
          </w:tcPr>
          <w:p>
            <w:pPr>
              <w:pStyle w:val="TableParagraph"/>
              <w:spacing w:before="32"/>
              <w:ind w:left="45" w:right="45"/>
              <w:rPr>
                <w:sz w:val="18"/>
              </w:rPr>
            </w:pPr>
            <w:r>
              <w:rPr>
                <w:sz w:val="18"/>
              </w:rPr>
              <w:t>$4,184,679,022.50</w:t>
            </w:r>
          </w:p>
        </w:tc>
      </w:tr>
      <w:tr>
        <w:trPr>
          <w:trHeight w:val="422" w:hRule="exact"/>
        </w:trPr>
        <w:tc>
          <w:tcPr>
            <w:tcW w:w="1880" w:type="dxa"/>
          </w:tcPr>
          <w:p>
            <w:pPr>
              <w:pStyle w:val="TableParagraph"/>
              <w:spacing w:before="44"/>
              <w:ind w:left="64" w:right="65"/>
              <w:jc w:val="left"/>
              <w:rPr>
                <w:b/>
                <w:sz w:val="18"/>
              </w:rPr>
            </w:pPr>
            <w:r>
              <w:rPr>
                <w:b/>
                <w:color w:val="333333"/>
                <w:sz w:val="18"/>
              </w:rPr>
              <w:t>NICOLAS ROMERO</w:t>
            </w:r>
          </w:p>
        </w:tc>
        <w:tc>
          <w:tcPr>
            <w:tcW w:w="1644" w:type="dxa"/>
          </w:tcPr>
          <w:p>
            <w:pPr>
              <w:pStyle w:val="TableParagraph"/>
              <w:spacing w:before="49"/>
              <w:ind w:left="45" w:right="45"/>
              <w:rPr>
                <w:sz w:val="18"/>
              </w:rPr>
            </w:pPr>
            <w:r>
              <w:rPr>
                <w:sz w:val="18"/>
              </w:rPr>
              <w:t>$962,985,781.11</w:t>
            </w:r>
          </w:p>
        </w:tc>
        <w:tc>
          <w:tcPr>
            <w:tcW w:w="1400" w:type="dxa"/>
          </w:tcPr>
          <w:p>
            <w:pPr>
              <w:pStyle w:val="TableParagraph"/>
              <w:spacing w:before="49"/>
              <w:ind w:left="48" w:right="49"/>
              <w:rPr>
                <w:sz w:val="18"/>
              </w:rPr>
            </w:pPr>
            <w:r>
              <w:rPr>
                <w:sz w:val="18"/>
              </w:rPr>
              <w:t>$0.00</w:t>
            </w:r>
          </w:p>
        </w:tc>
        <w:tc>
          <w:tcPr>
            <w:tcW w:w="1680" w:type="dxa"/>
          </w:tcPr>
          <w:p>
            <w:pPr>
              <w:pStyle w:val="TableParagraph"/>
              <w:spacing w:before="49"/>
              <w:ind w:left="64" w:right="62"/>
              <w:rPr>
                <w:sz w:val="18"/>
              </w:rPr>
            </w:pPr>
            <w:r>
              <w:rPr>
                <w:sz w:val="18"/>
              </w:rPr>
              <w:t>$854,474,529.26</w:t>
            </w:r>
          </w:p>
        </w:tc>
        <w:tc>
          <w:tcPr>
            <w:tcW w:w="1644" w:type="dxa"/>
          </w:tcPr>
          <w:p>
            <w:pPr>
              <w:pStyle w:val="TableParagraph"/>
              <w:spacing w:before="49"/>
              <w:ind w:left="45" w:right="45"/>
              <w:rPr>
                <w:sz w:val="18"/>
              </w:rPr>
            </w:pPr>
            <w:r>
              <w:rPr>
                <w:sz w:val="18"/>
              </w:rPr>
              <w:t>$108,511,251.85</w:t>
            </w:r>
          </w:p>
        </w:tc>
        <w:tc>
          <w:tcPr>
            <w:tcW w:w="1800" w:type="dxa"/>
          </w:tcPr>
          <w:p>
            <w:pPr>
              <w:pStyle w:val="TableParagraph"/>
              <w:spacing w:before="49"/>
              <w:ind w:left="124" w:right="123"/>
              <w:rPr>
                <w:sz w:val="18"/>
              </w:rPr>
            </w:pPr>
            <w:r>
              <w:rPr>
                <w:sz w:val="18"/>
              </w:rPr>
              <w:t>$0.00</w:t>
            </w:r>
          </w:p>
        </w:tc>
        <w:tc>
          <w:tcPr>
            <w:tcW w:w="1426" w:type="dxa"/>
          </w:tcPr>
          <w:p>
            <w:pPr>
              <w:pStyle w:val="TableParagraph"/>
              <w:spacing w:before="49"/>
              <w:ind w:left="112" w:right="111"/>
              <w:rPr>
                <w:sz w:val="18"/>
              </w:rPr>
            </w:pPr>
            <w:r>
              <w:rPr>
                <w:sz w:val="18"/>
              </w:rPr>
              <w:t>$0.00</w:t>
            </w:r>
          </w:p>
        </w:tc>
        <w:tc>
          <w:tcPr>
            <w:tcW w:w="1493" w:type="dxa"/>
          </w:tcPr>
          <w:p>
            <w:pPr>
              <w:pStyle w:val="TableParagraph"/>
              <w:spacing w:before="49"/>
              <w:ind w:left="45" w:right="46"/>
              <w:rPr>
                <w:sz w:val="18"/>
              </w:rPr>
            </w:pPr>
            <w:r>
              <w:rPr>
                <w:sz w:val="18"/>
              </w:rPr>
              <w:t>$0.00</w:t>
            </w:r>
          </w:p>
        </w:tc>
        <w:tc>
          <w:tcPr>
            <w:tcW w:w="1642" w:type="dxa"/>
          </w:tcPr>
          <w:p>
            <w:pPr>
              <w:pStyle w:val="TableParagraph"/>
              <w:spacing w:before="49"/>
              <w:ind w:left="45" w:right="44"/>
              <w:rPr>
                <w:sz w:val="18"/>
              </w:rPr>
            </w:pPr>
            <w:r>
              <w:rPr>
                <w:sz w:val="18"/>
              </w:rPr>
              <w:t>$0.00</w:t>
            </w:r>
          </w:p>
        </w:tc>
      </w:tr>
      <w:tr>
        <w:trPr>
          <w:trHeight w:val="319" w:hRule="exact"/>
        </w:trPr>
        <w:tc>
          <w:tcPr>
            <w:tcW w:w="1880" w:type="dxa"/>
          </w:tcPr>
          <w:p>
            <w:pPr>
              <w:pStyle w:val="TableParagraph"/>
              <w:spacing w:line="201" w:lineRule="exact"/>
              <w:ind w:left="64" w:right="65"/>
              <w:jc w:val="left"/>
              <w:rPr>
                <w:b/>
                <w:sz w:val="18"/>
              </w:rPr>
            </w:pPr>
            <w:r>
              <w:rPr>
                <w:b/>
                <w:color w:val="333333"/>
                <w:sz w:val="18"/>
              </w:rPr>
              <w:t>NOPALTEPEC</w:t>
            </w:r>
          </w:p>
        </w:tc>
        <w:tc>
          <w:tcPr>
            <w:tcW w:w="1644" w:type="dxa"/>
          </w:tcPr>
          <w:p>
            <w:pPr>
              <w:pStyle w:val="TableParagraph"/>
              <w:spacing w:line="206" w:lineRule="exact"/>
              <w:ind w:left="45" w:right="45"/>
              <w:rPr>
                <w:sz w:val="18"/>
              </w:rPr>
            </w:pPr>
            <w:r>
              <w:rPr>
                <w:sz w:val="18"/>
              </w:rPr>
              <w:t>$84,126,312.10</w:t>
            </w:r>
          </w:p>
        </w:tc>
        <w:tc>
          <w:tcPr>
            <w:tcW w:w="1400" w:type="dxa"/>
          </w:tcPr>
          <w:p>
            <w:pPr>
              <w:pStyle w:val="TableParagraph"/>
              <w:spacing w:line="206" w:lineRule="exact"/>
              <w:ind w:left="48" w:right="49"/>
              <w:rPr>
                <w:sz w:val="18"/>
              </w:rPr>
            </w:pPr>
            <w:r>
              <w:rPr>
                <w:sz w:val="18"/>
              </w:rPr>
              <w:t>$0.00</w:t>
            </w:r>
          </w:p>
        </w:tc>
        <w:tc>
          <w:tcPr>
            <w:tcW w:w="1680" w:type="dxa"/>
          </w:tcPr>
          <w:p>
            <w:pPr>
              <w:pStyle w:val="TableParagraph"/>
              <w:spacing w:line="206" w:lineRule="exact"/>
              <w:ind w:left="64" w:right="63"/>
              <w:rPr>
                <w:sz w:val="18"/>
              </w:rPr>
            </w:pPr>
            <w:r>
              <w:rPr>
                <w:sz w:val="18"/>
              </w:rPr>
              <w:t>$0.00</w:t>
            </w:r>
          </w:p>
        </w:tc>
        <w:tc>
          <w:tcPr>
            <w:tcW w:w="1644" w:type="dxa"/>
          </w:tcPr>
          <w:p>
            <w:pPr>
              <w:pStyle w:val="TableParagraph"/>
              <w:spacing w:line="206" w:lineRule="exact"/>
              <w:ind w:left="45" w:right="45"/>
              <w:rPr>
                <w:sz w:val="18"/>
              </w:rPr>
            </w:pPr>
            <w:r>
              <w:rPr>
                <w:sz w:val="18"/>
              </w:rPr>
              <w:t>$84,126,312.10</w:t>
            </w:r>
          </w:p>
        </w:tc>
        <w:tc>
          <w:tcPr>
            <w:tcW w:w="1800" w:type="dxa"/>
          </w:tcPr>
          <w:p>
            <w:pPr>
              <w:pStyle w:val="TableParagraph"/>
              <w:spacing w:line="206" w:lineRule="exact"/>
              <w:ind w:left="124" w:right="122"/>
              <w:rPr>
                <w:sz w:val="18"/>
              </w:rPr>
            </w:pPr>
            <w:r>
              <w:rPr>
                <w:sz w:val="18"/>
              </w:rPr>
              <w:t>$70,756,012.95</w:t>
            </w:r>
          </w:p>
        </w:tc>
        <w:tc>
          <w:tcPr>
            <w:tcW w:w="1426" w:type="dxa"/>
          </w:tcPr>
          <w:p>
            <w:pPr>
              <w:pStyle w:val="TableParagraph"/>
              <w:spacing w:line="206" w:lineRule="exact"/>
              <w:ind w:left="112" w:right="111"/>
              <w:rPr>
                <w:sz w:val="18"/>
              </w:rPr>
            </w:pPr>
            <w:r>
              <w:rPr>
                <w:sz w:val="18"/>
              </w:rPr>
              <w:t>$0.00</w:t>
            </w:r>
          </w:p>
        </w:tc>
        <w:tc>
          <w:tcPr>
            <w:tcW w:w="1493" w:type="dxa"/>
          </w:tcPr>
          <w:p>
            <w:pPr>
              <w:pStyle w:val="TableParagraph"/>
              <w:spacing w:line="206" w:lineRule="exact"/>
              <w:ind w:left="45" w:right="46"/>
              <w:rPr>
                <w:sz w:val="18"/>
              </w:rPr>
            </w:pPr>
            <w:r>
              <w:rPr>
                <w:sz w:val="18"/>
              </w:rPr>
              <w:t>$0.00</w:t>
            </w:r>
          </w:p>
        </w:tc>
        <w:tc>
          <w:tcPr>
            <w:tcW w:w="1642" w:type="dxa"/>
          </w:tcPr>
          <w:p>
            <w:pPr>
              <w:pStyle w:val="TableParagraph"/>
              <w:spacing w:line="206" w:lineRule="exact"/>
              <w:ind w:left="44" w:right="45"/>
              <w:rPr>
                <w:sz w:val="18"/>
              </w:rPr>
            </w:pPr>
            <w:r>
              <w:rPr>
                <w:sz w:val="18"/>
              </w:rPr>
              <w:t>$70,756,012.95</w:t>
            </w:r>
          </w:p>
        </w:tc>
      </w:tr>
      <w:tr>
        <w:trPr>
          <w:trHeight w:val="728" w:hRule="exact"/>
        </w:trPr>
        <w:tc>
          <w:tcPr>
            <w:tcW w:w="1880" w:type="dxa"/>
          </w:tcPr>
          <w:p>
            <w:pPr>
              <w:pStyle w:val="TableParagraph"/>
              <w:spacing w:before="2"/>
              <w:jc w:val="left"/>
              <w:rPr>
                <w:rFonts w:ascii="Times New Roman"/>
                <w:sz w:val="17"/>
              </w:rPr>
            </w:pPr>
          </w:p>
          <w:p>
            <w:pPr>
              <w:pStyle w:val="TableParagraph"/>
              <w:spacing w:before="1"/>
              <w:ind w:left="64" w:right="65"/>
              <w:jc w:val="left"/>
              <w:rPr>
                <w:b/>
                <w:sz w:val="18"/>
              </w:rPr>
            </w:pPr>
            <w:r>
              <w:rPr>
                <w:b/>
                <w:color w:val="333333"/>
                <w:sz w:val="18"/>
              </w:rPr>
              <w:t>OCOYOACAC</w:t>
            </w:r>
          </w:p>
        </w:tc>
        <w:tc>
          <w:tcPr>
            <w:tcW w:w="1644" w:type="dxa"/>
          </w:tcPr>
          <w:p>
            <w:pPr>
              <w:pStyle w:val="TableParagraph"/>
              <w:spacing w:before="7"/>
              <w:jc w:val="left"/>
              <w:rPr>
                <w:rFonts w:ascii="Times New Roman"/>
                <w:sz w:val="17"/>
              </w:rPr>
            </w:pPr>
          </w:p>
          <w:p>
            <w:pPr>
              <w:pStyle w:val="TableParagraph"/>
              <w:ind w:left="45" w:right="45"/>
              <w:rPr>
                <w:sz w:val="18"/>
              </w:rPr>
            </w:pPr>
            <w:r>
              <w:rPr>
                <w:sz w:val="18"/>
              </w:rPr>
              <w:t>$203,738,374.09</w:t>
            </w:r>
          </w:p>
        </w:tc>
        <w:tc>
          <w:tcPr>
            <w:tcW w:w="1400" w:type="dxa"/>
          </w:tcPr>
          <w:p>
            <w:pPr>
              <w:pStyle w:val="TableParagraph"/>
              <w:spacing w:before="7"/>
              <w:jc w:val="left"/>
              <w:rPr>
                <w:rFonts w:ascii="Times New Roman"/>
                <w:sz w:val="17"/>
              </w:rPr>
            </w:pPr>
          </w:p>
          <w:p>
            <w:pPr>
              <w:pStyle w:val="TableParagraph"/>
              <w:ind w:left="49" w:right="49"/>
              <w:rPr>
                <w:sz w:val="18"/>
              </w:rPr>
            </w:pPr>
            <w:r>
              <w:rPr>
                <w:sz w:val="18"/>
              </w:rPr>
              <w:t>$8,170,877.36</w:t>
            </w:r>
          </w:p>
        </w:tc>
        <w:tc>
          <w:tcPr>
            <w:tcW w:w="1680" w:type="dxa"/>
          </w:tcPr>
          <w:p>
            <w:pPr>
              <w:pStyle w:val="TableParagraph"/>
              <w:spacing w:before="7"/>
              <w:jc w:val="left"/>
              <w:rPr>
                <w:rFonts w:ascii="Times New Roman"/>
                <w:sz w:val="17"/>
              </w:rPr>
            </w:pPr>
          </w:p>
          <w:p>
            <w:pPr>
              <w:pStyle w:val="TableParagraph"/>
              <w:ind w:left="64" w:right="62"/>
              <w:rPr>
                <w:sz w:val="18"/>
              </w:rPr>
            </w:pPr>
            <w:r>
              <w:rPr>
                <w:sz w:val="18"/>
              </w:rPr>
              <w:t>$156,081,584.66</w:t>
            </w:r>
          </w:p>
        </w:tc>
        <w:tc>
          <w:tcPr>
            <w:tcW w:w="1644" w:type="dxa"/>
          </w:tcPr>
          <w:p>
            <w:pPr>
              <w:pStyle w:val="TableParagraph"/>
              <w:spacing w:before="7"/>
              <w:jc w:val="left"/>
              <w:rPr>
                <w:rFonts w:ascii="Times New Roman"/>
                <w:sz w:val="17"/>
              </w:rPr>
            </w:pPr>
          </w:p>
          <w:p>
            <w:pPr>
              <w:pStyle w:val="TableParagraph"/>
              <w:ind w:left="45" w:right="45"/>
              <w:rPr>
                <w:sz w:val="18"/>
              </w:rPr>
            </w:pPr>
            <w:r>
              <w:rPr>
                <w:sz w:val="18"/>
              </w:rPr>
              <w:t>$55,827,666.79</w:t>
            </w:r>
          </w:p>
        </w:tc>
        <w:tc>
          <w:tcPr>
            <w:tcW w:w="1800" w:type="dxa"/>
          </w:tcPr>
          <w:p>
            <w:pPr>
              <w:pStyle w:val="TableParagraph"/>
              <w:spacing w:before="7"/>
              <w:jc w:val="left"/>
              <w:rPr>
                <w:rFonts w:ascii="Times New Roman"/>
                <w:sz w:val="17"/>
              </w:rPr>
            </w:pPr>
          </w:p>
          <w:p>
            <w:pPr>
              <w:pStyle w:val="TableParagraph"/>
              <w:ind w:left="124" w:right="122"/>
              <w:rPr>
                <w:sz w:val="18"/>
              </w:rPr>
            </w:pPr>
            <w:r>
              <w:rPr>
                <w:sz w:val="18"/>
              </w:rPr>
              <w:t>$239,794,468.64</w:t>
            </w:r>
          </w:p>
        </w:tc>
        <w:tc>
          <w:tcPr>
            <w:tcW w:w="1426" w:type="dxa"/>
          </w:tcPr>
          <w:p>
            <w:pPr>
              <w:pStyle w:val="TableParagraph"/>
              <w:spacing w:before="7"/>
              <w:jc w:val="left"/>
              <w:rPr>
                <w:rFonts w:ascii="Times New Roman"/>
                <w:sz w:val="17"/>
              </w:rPr>
            </w:pPr>
          </w:p>
          <w:p>
            <w:pPr>
              <w:pStyle w:val="TableParagraph"/>
              <w:ind w:left="112" w:right="111"/>
              <w:rPr>
                <w:sz w:val="18"/>
              </w:rPr>
            </w:pPr>
            <w:r>
              <w:rPr>
                <w:sz w:val="18"/>
              </w:rPr>
              <w:t>$0.00</w:t>
            </w:r>
          </w:p>
        </w:tc>
        <w:tc>
          <w:tcPr>
            <w:tcW w:w="1493" w:type="dxa"/>
          </w:tcPr>
          <w:p>
            <w:pPr>
              <w:pStyle w:val="TableParagraph"/>
              <w:spacing w:before="7"/>
              <w:jc w:val="left"/>
              <w:rPr>
                <w:rFonts w:ascii="Times New Roman"/>
                <w:sz w:val="17"/>
              </w:rPr>
            </w:pPr>
          </w:p>
          <w:p>
            <w:pPr>
              <w:pStyle w:val="TableParagraph"/>
              <w:ind w:left="45" w:right="46"/>
              <w:rPr>
                <w:sz w:val="18"/>
              </w:rPr>
            </w:pPr>
            <w:r>
              <w:rPr>
                <w:sz w:val="18"/>
              </w:rPr>
              <w:t>$0.00</w:t>
            </w:r>
          </w:p>
        </w:tc>
        <w:tc>
          <w:tcPr>
            <w:tcW w:w="1642" w:type="dxa"/>
          </w:tcPr>
          <w:p>
            <w:pPr>
              <w:pStyle w:val="TableParagraph"/>
              <w:spacing w:before="7"/>
              <w:jc w:val="left"/>
              <w:rPr>
                <w:rFonts w:ascii="Times New Roman"/>
                <w:sz w:val="17"/>
              </w:rPr>
            </w:pPr>
          </w:p>
          <w:p>
            <w:pPr>
              <w:pStyle w:val="TableParagraph"/>
              <w:ind w:left="45" w:right="45"/>
              <w:rPr>
                <w:sz w:val="18"/>
              </w:rPr>
            </w:pPr>
            <w:r>
              <w:rPr>
                <w:sz w:val="18"/>
              </w:rPr>
              <w:t>$239,794,468.64</w:t>
            </w:r>
          </w:p>
        </w:tc>
      </w:tr>
    </w:tbl>
    <w:p>
      <w:pPr>
        <w:spacing w:after="0"/>
        <w:rPr>
          <w:sz w:val="18"/>
        </w:rPr>
        <w:sectPr>
          <w:pgSz w:w="15840" w:h="12240" w:orient="landscape"/>
          <w:pgMar w:header="0" w:footer="975" w:top="1140" w:bottom="1160" w:left="500" w:right="500"/>
        </w:sectPr>
      </w:pPr>
    </w:p>
    <w:p>
      <w:pPr>
        <w:pStyle w:val="BodyText"/>
        <w:rPr>
          <w:rFonts w:ascii="Times New Roman"/>
          <w:sz w:val="20"/>
        </w:rPr>
      </w:pPr>
      <w:r>
        <w:rPr/>
        <w:pict>
          <v:line style="position:absolute;mso-position-horizontal-relative:page;mso-position-vertical-relative:page;z-index:-2764504" from="71.224525pt,85.426193pt" to="71.224525pt,85.426193pt" stroked="true" strokeweight=".747853pt" strokecolor="#d3d3d3">
            <w10:wrap type="none"/>
          </v:line>
        </w:pict>
      </w:r>
      <w:r>
        <w:rPr/>
        <w:pict>
          <v:line style="position:absolute;mso-position-horizontal-relative:page;mso-position-vertical-relative:page;z-index:-2764480" from="710.923645pt,85.426193pt" to="710.923645pt,85.426193pt" stroked="true" strokeweight=".747853pt" strokecolor="#d3d3d3">
            <w10:wrap type="none"/>
          </v:line>
        </w:pict>
      </w:r>
    </w:p>
    <w:p>
      <w:pPr>
        <w:pStyle w:val="BodyText"/>
        <w:spacing w:before="9"/>
        <w:rPr>
          <w:rFonts w:ascii="Times New Roman"/>
          <w:sz w:val="28"/>
        </w:rPr>
      </w:pPr>
    </w:p>
    <w:tbl>
      <w:tblPr>
        <w:tblW w:w="0" w:type="auto"/>
        <w:jc w:val="left"/>
        <w:tblInd w:w="11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92"/>
        <w:gridCol w:w="1545"/>
        <w:gridCol w:w="1440"/>
        <w:gridCol w:w="1545"/>
        <w:gridCol w:w="1545"/>
        <w:gridCol w:w="1545"/>
        <w:gridCol w:w="990"/>
        <w:gridCol w:w="1440"/>
        <w:gridCol w:w="1545"/>
      </w:tblGrid>
      <w:tr>
        <w:trPr>
          <w:trHeight w:val="307" w:hRule="exact"/>
        </w:trPr>
        <w:tc>
          <w:tcPr>
            <w:tcW w:w="12786" w:type="dxa"/>
            <w:gridSpan w:val="9"/>
            <w:tcBorders>
              <w:left w:val="single" w:sz="6" w:space="0" w:color="000000"/>
              <w:bottom w:val="single" w:sz="12" w:space="0" w:color="000000"/>
              <w:right w:val="single" w:sz="12" w:space="0" w:color="000000"/>
            </w:tcBorders>
            <w:shd w:val="clear" w:color="auto" w:fill="92D050"/>
          </w:tcPr>
          <w:p>
            <w:pPr>
              <w:pStyle w:val="TableParagraph"/>
              <w:spacing w:before="41"/>
              <w:ind w:left="3059"/>
              <w:jc w:val="left"/>
              <w:rPr>
                <w:b/>
                <w:sz w:val="18"/>
              </w:rPr>
            </w:pPr>
            <w:r>
              <w:rPr>
                <w:b/>
                <w:sz w:val="18"/>
              </w:rPr>
              <w:t>Anexo 24D. Municipios que publican su presupuesto 2014-2015 (Continuación)</w:t>
            </w:r>
          </w:p>
        </w:tc>
      </w:tr>
      <w:tr>
        <w:trPr>
          <w:trHeight w:val="315" w:hRule="exact"/>
        </w:trPr>
        <w:tc>
          <w:tcPr>
            <w:tcW w:w="1192" w:type="dxa"/>
            <w:vMerge w:val="restart"/>
            <w:tcBorders>
              <w:top w:val="single" w:sz="12" w:space="0" w:color="000000"/>
              <w:left w:val="single" w:sz="6" w:space="0" w:color="000000"/>
              <w:right w:val="single" w:sz="12" w:space="0" w:color="000000"/>
            </w:tcBorders>
            <w:shd w:val="clear" w:color="auto" w:fill="92D050"/>
          </w:tcPr>
          <w:p>
            <w:pPr>
              <w:pStyle w:val="TableParagraph"/>
              <w:spacing w:before="7"/>
              <w:jc w:val="left"/>
              <w:rPr>
                <w:rFonts w:ascii="Times New Roman"/>
                <w:sz w:val="16"/>
              </w:rPr>
            </w:pPr>
          </w:p>
          <w:p>
            <w:pPr>
              <w:pStyle w:val="TableParagraph"/>
              <w:ind w:left="179" w:right="18"/>
              <w:jc w:val="left"/>
              <w:rPr>
                <w:b/>
                <w:sz w:val="18"/>
              </w:rPr>
            </w:pPr>
            <w:r>
              <w:rPr>
                <w:b/>
                <w:sz w:val="18"/>
              </w:rPr>
              <w:t>Municipio</w:t>
            </w:r>
          </w:p>
        </w:tc>
        <w:tc>
          <w:tcPr>
            <w:tcW w:w="6074" w:type="dxa"/>
            <w:gridSpan w:val="4"/>
            <w:tcBorders>
              <w:top w:val="single" w:sz="12" w:space="0" w:color="000000"/>
              <w:left w:val="single" w:sz="12" w:space="0" w:color="000000"/>
              <w:bottom w:val="single" w:sz="12" w:space="0" w:color="000000"/>
              <w:right w:val="single" w:sz="12" w:space="0" w:color="000000"/>
            </w:tcBorders>
            <w:shd w:val="clear" w:color="auto" w:fill="92D050"/>
          </w:tcPr>
          <w:p>
            <w:pPr>
              <w:pStyle w:val="TableParagraph"/>
              <w:spacing w:before="41"/>
              <w:ind w:left="2809" w:right="2795"/>
              <w:rPr>
                <w:sz w:val="18"/>
              </w:rPr>
            </w:pPr>
            <w:r>
              <w:rPr>
                <w:sz w:val="18"/>
              </w:rPr>
              <w:t>2014</w:t>
            </w:r>
          </w:p>
        </w:tc>
        <w:tc>
          <w:tcPr>
            <w:tcW w:w="5519" w:type="dxa"/>
            <w:gridSpan w:val="4"/>
            <w:tcBorders>
              <w:top w:val="single" w:sz="12" w:space="0" w:color="000000"/>
              <w:left w:val="single" w:sz="12" w:space="0" w:color="000000"/>
              <w:bottom w:val="single" w:sz="12" w:space="0" w:color="000000"/>
              <w:right w:val="single" w:sz="12" w:space="0" w:color="000000"/>
            </w:tcBorders>
            <w:shd w:val="clear" w:color="auto" w:fill="92D050"/>
          </w:tcPr>
          <w:p>
            <w:pPr>
              <w:pStyle w:val="TableParagraph"/>
              <w:spacing w:before="41"/>
              <w:ind w:left="2539" w:right="2510"/>
              <w:rPr>
                <w:sz w:val="18"/>
              </w:rPr>
            </w:pPr>
            <w:r>
              <w:rPr>
                <w:sz w:val="18"/>
              </w:rPr>
              <w:t>2015</w:t>
            </w:r>
          </w:p>
        </w:tc>
      </w:tr>
      <w:tr>
        <w:trPr>
          <w:trHeight w:val="315" w:hRule="exact"/>
        </w:trPr>
        <w:tc>
          <w:tcPr>
            <w:tcW w:w="1192" w:type="dxa"/>
            <w:vMerge/>
            <w:tcBorders>
              <w:left w:val="single" w:sz="6" w:space="0" w:color="000000"/>
              <w:bottom w:val="single" w:sz="12" w:space="0" w:color="000000"/>
              <w:right w:val="single" w:sz="12" w:space="0" w:color="000000"/>
            </w:tcBorders>
            <w:shd w:val="clear" w:color="auto" w:fill="92D050"/>
          </w:tcPr>
          <w:p>
            <w:pPr/>
          </w:p>
        </w:tc>
        <w:tc>
          <w:tcPr>
            <w:tcW w:w="1545" w:type="dxa"/>
            <w:tcBorders>
              <w:top w:val="single" w:sz="12" w:space="0" w:color="000000"/>
              <w:left w:val="single" w:sz="12" w:space="0" w:color="000000"/>
              <w:bottom w:val="single" w:sz="12" w:space="0" w:color="000000"/>
              <w:right w:val="single" w:sz="12" w:space="0" w:color="000000"/>
            </w:tcBorders>
            <w:shd w:val="clear" w:color="auto" w:fill="92D050"/>
          </w:tcPr>
          <w:p>
            <w:pPr>
              <w:pStyle w:val="TableParagraph"/>
              <w:spacing w:before="40"/>
              <w:ind w:left="46" w:right="22"/>
              <w:rPr>
                <w:sz w:val="18"/>
              </w:rPr>
            </w:pPr>
            <w:r>
              <w:rPr>
                <w:sz w:val="18"/>
              </w:rPr>
              <w:t>Autorizado</w:t>
            </w:r>
          </w:p>
        </w:tc>
        <w:tc>
          <w:tcPr>
            <w:tcW w:w="1440" w:type="dxa"/>
            <w:tcBorders>
              <w:top w:val="single" w:sz="12" w:space="0" w:color="000000"/>
              <w:left w:val="single" w:sz="12" w:space="0" w:color="000000"/>
              <w:bottom w:val="single" w:sz="12" w:space="0" w:color="000000"/>
              <w:right w:val="single" w:sz="12" w:space="0" w:color="000000"/>
            </w:tcBorders>
            <w:shd w:val="clear" w:color="auto" w:fill="92D050"/>
          </w:tcPr>
          <w:p>
            <w:pPr>
              <w:pStyle w:val="TableParagraph"/>
              <w:spacing w:before="40"/>
              <w:ind w:left="33" w:right="26"/>
              <w:rPr>
                <w:sz w:val="18"/>
              </w:rPr>
            </w:pPr>
            <w:r>
              <w:rPr>
                <w:sz w:val="18"/>
              </w:rPr>
              <w:t>Modificado</w:t>
            </w:r>
          </w:p>
        </w:tc>
        <w:tc>
          <w:tcPr>
            <w:tcW w:w="1545" w:type="dxa"/>
            <w:tcBorders>
              <w:top w:val="single" w:sz="12" w:space="0" w:color="000000"/>
              <w:left w:val="single" w:sz="12" w:space="0" w:color="000000"/>
              <w:bottom w:val="single" w:sz="12" w:space="0" w:color="000000"/>
              <w:right w:val="single" w:sz="12" w:space="0" w:color="000000"/>
            </w:tcBorders>
            <w:shd w:val="clear" w:color="auto" w:fill="92D050"/>
          </w:tcPr>
          <w:p>
            <w:pPr>
              <w:pStyle w:val="TableParagraph"/>
              <w:spacing w:before="40"/>
              <w:ind w:left="45" w:right="22"/>
              <w:rPr>
                <w:sz w:val="18"/>
              </w:rPr>
            </w:pPr>
            <w:r>
              <w:rPr>
                <w:sz w:val="18"/>
              </w:rPr>
              <w:t>Ejercido</w:t>
            </w:r>
          </w:p>
        </w:tc>
        <w:tc>
          <w:tcPr>
            <w:tcW w:w="1545" w:type="dxa"/>
            <w:tcBorders>
              <w:top w:val="single" w:sz="12" w:space="0" w:color="000000"/>
              <w:left w:val="single" w:sz="12" w:space="0" w:color="000000"/>
              <w:bottom w:val="single" w:sz="12" w:space="0" w:color="000000"/>
              <w:right w:val="single" w:sz="12" w:space="0" w:color="000000"/>
            </w:tcBorders>
            <w:shd w:val="clear" w:color="auto" w:fill="92D050"/>
          </w:tcPr>
          <w:p>
            <w:pPr>
              <w:pStyle w:val="TableParagraph"/>
              <w:spacing w:before="40"/>
              <w:ind w:left="34" w:right="22"/>
              <w:rPr>
                <w:sz w:val="18"/>
              </w:rPr>
            </w:pPr>
            <w:r>
              <w:rPr>
                <w:sz w:val="18"/>
              </w:rPr>
              <w:t>Por ejercer</w:t>
            </w:r>
          </w:p>
        </w:tc>
        <w:tc>
          <w:tcPr>
            <w:tcW w:w="1545" w:type="dxa"/>
            <w:tcBorders>
              <w:top w:val="single" w:sz="12" w:space="0" w:color="000000"/>
              <w:left w:val="single" w:sz="12" w:space="0" w:color="000000"/>
              <w:bottom w:val="single" w:sz="12" w:space="0" w:color="000000"/>
              <w:right w:val="single" w:sz="12" w:space="0" w:color="000000"/>
            </w:tcBorders>
            <w:shd w:val="clear" w:color="auto" w:fill="92D050"/>
          </w:tcPr>
          <w:p>
            <w:pPr>
              <w:pStyle w:val="TableParagraph"/>
              <w:spacing w:before="40"/>
              <w:ind w:left="344"/>
              <w:jc w:val="left"/>
              <w:rPr>
                <w:sz w:val="18"/>
              </w:rPr>
            </w:pPr>
            <w:r>
              <w:rPr>
                <w:sz w:val="18"/>
              </w:rPr>
              <w:t>Autorizado</w:t>
            </w:r>
          </w:p>
        </w:tc>
        <w:tc>
          <w:tcPr>
            <w:tcW w:w="990" w:type="dxa"/>
            <w:tcBorders>
              <w:top w:val="single" w:sz="12" w:space="0" w:color="000000"/>
              <w:left w:val="single" w:sz="12" w:space="0" w:color="000000"/>
              <w:bottom w:val="single" w:sz="12" w:space="0" w:color="000000"/>
              <w:right w:val="single" w:sz="12" w:space="0" w:color="000000"/>
            </w:tcBorders>
            <w:shd w:val="clear" w:color="auto" w:fill="92D050"/>
          </w:tcPr>
          <w:p>
            <w:pPr>
              <w:pStyle w:val="TableParagraph"/>
              <w:spacing w:before="40"/>
              <w:ind w:left="28" w:right="20"/>
              <w:rPr>
                <w:sz w:val="18"/>
              </w:rPr>
            </w:pPr>
            <w:r>
              <w:rPr>
                <w:sz w:val="18"/>
              </w:rPr>
              <w:t>Modificado</w:t>
            </w:r>
          </w:p>
        </w:tc>
        <w:tc>
          <w:tcPr>
            <w:tcW w:w="1440" w:type="dxa"/>
            <w:tcBorders>
              <w:top w:val="single" w:sz="12" w:space="0" w:color="000000"/>
              <w:left w:val="single" w:sz="12" w:space="0" w:color="000000"/>
              <w:bottom w:val="single" w:sz="12" w:space="0" w:color="000000"/>
              <w:right w:val="single" w:sz="12" w:space="0" w:color="000000"/>
            </w:tcBorders>
            <w:shd w:val="clear" w:color="auto" w:fill="92D050"/>
          </w:tcPr>
          <w:p>
            <w:pPr>
              <w:pStyle w:val="TableParagraph"/>
              <w:spacing w:before="40"/>
              <w:ind w:left="35" w:right="26"/>
              <w:rPr>
                <w:sz w:val="18"/>
              </w:rPr>
            </w:pPr>
            <w:r>
              <w:rPr>
                <w:sz w:val="18"/>
              </w:rPr>
              <w:t>Ejercido</w:t>
            </w:r>
          </w:p>
        </w:tc>
        <w:tc>
          <w:tcPr>
            <w:tcW w:w="1545" w:type="dxa"/>
            <w:tcBorders>
              <w:top w:val="single" w:sz="12" w:space="0" w:color="000000"/>
              <w:left w:val="single" w:sz="12" w:space="0" w:color="000000"/>
              <w:bottom w:val="single" w:sz="12" w:space="0" w:color="000000"/>
              <w:right w:val="single" w:sz="12" w:space="0" w:color="000000"/>
            </w:tcBorders>
            <w:shd w:val="clear" w:color="auto" w:fill="92D050"/>
          </w:tcPr>
          <w:p>
            <w:pPr>
              <w:pStyle w:val="TableParagraph"/>
              <w:spacing w:before="40"/>
              <w:ind w:left="34" w:right="22"/>
              <w:rPr>
                <w:sz w:val="18"/>
              </w:rPr>
            </w:pPr>
            <w:r>
              <w:rPr>
                <w:sz w:val="18"/>
              </w:rPr>
              <w:t>Por ejercer</w:t>
            </w:r>
          </w:p>
        </w:tc>
      </w:tr>
      <w:tr>
        <w:trPr>
          <w:trHeight w:val="465" w:hRule="exact"/>
        </w:trPr>
        <w:tc>
          <w:tcPr>
            <w:tcW w:w="1192" w:type="dxa"/>
            <w:tcBorders>
              <w:top w:val="single" w:sz="12" w:space="0" w:color="000000"/>
              <w:left w:val="single" w:sz="6" w:space="0" w:color="000000"/>
              <w:bottom w:val="single" w:sz="12" w:space="0" w:color="000000"/>
              <w:right w:val="single" w:sz="12" w:space="0" w:color="000000"/>
            </w:tcBorders>
          </w:tcPr>
          <w:p>
            <w:pPr>
              <w:pStyle w:val="TableParagraph"/>
              <w:spacing w:before="132"/>
              <w:ind w:left="61" w:right="59"/>
              <w:rPr>
                <w:rFonts w:ascii="Calibri"/>
                <w:b/>
                <w:sz w:val="16"/>
              </w:rPr>
            </w:pPr>
            <w:r>
              <w:rPr>
                <w:rFonts w:ascii="Calibri"/>
                <w:b/>
                <w:color w:val="333333"/>
                <w:w w:val="105"/>
                <w:sz w:val="16"/>
              </w:rPr>
              <w:t>OCUILAN</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5" w:right="22"/>
              <w:rPr>
                <w:rFonts w:ascii="Calibri"/>
                <w:sz w:val="22"/>
              </w:rPr>
            </w:pPr>
            <w:r>
              <w:rPr>
                <w:rFonts w:ascii="Calibri"/>
                <w:sz w:val="22"/>
              </w:rPr>
              <w:t>$0.00</w:t>
            </w:r>
          </w:p>
        </w:tc>
        <w:tc>
          <w:tcPr>
            <w:tcW w:w="1440"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9" w:right="11"/>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5" w:right="22"/>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5" w:right="22"/>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524"/>
              <w:jc w:val="left"/>
              <w:rPr>
                <w:rFonts w:ascii="Calibri"/>
                <w:sz w:val="22"/>
              </w:rPr>
            </w:pPr>
            <w:r>
              <w:rPr>
                <w:rFonts w:ascii="Calibri"/>
                <w:sz w:val="22"/>
              </w:rPr>
              <w:t>$0.00</w:t>
            </w:r>
          </w:p>
        </w:tc>
        <w:tc>
          <w:tcPr>
            <w:tcW w:w="990"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58" w:right="20"/>
              <w:rPr>
                <w:rFonts w:ascii="Calibri"/>
                <w:sz w:val="22"/>
              </w:rPr>
            </w:pPr>
            <w:r>
              <w:rPr>
                <w:rFonts w:ascii="Calibri"/>
                <w:sz w:val="22"/>
              </w:rPr>
              <w:t>$0.00</w:t>
            </w:r>
          </w:p>
        </w:tc>
        <w:tc>
          <w:tcPr>
            <w:tcW w:w="1440"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8" w:right="10"/>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5" w:right="22"/>
              <w:rPr>
                <w:rFonts w:ascii="Calibri"/>
                <w:sz w:val="22"/>
              </w:rPr>
            </w:pPr>
            <w:r>
              <w:rPr>
                <w:rFonts w:ascii="Calibri"/>
                <w:sz w:val="22"/>
              </w:rPr>
              <w:t>$0.00</w:t>
            </w:r>
          </w:p>
        </w:tc>
      </w:tr>
      <w:tr>
        <w:trPr>
          <w:trHeight w:val="464" w:hRule="exact"/>
        </w:trPr>
        <w:tc>
          <w:tcPr>
            <w:tcW w:w="1192" w:type="dxa"/>
            <w:tcBorders>
              <w:top w:val="single" w:sz="12" w:space="0" w:color="000000"/>
              <w:left w:val="single" w:sz="6" w:space="0" w:color="000000"/>
              <w:bottom w:val="single" w:sz="12" w:space="0" w:color="000000"/>
              <w:right w:val="single" w:sz="12" w:space="0" w:color="000000"/>
            </w:tcBorders>
          </w:tcPr>
          <w:p>
            <w:pPr>
              <w:pStyle w:val="TableParagraph"/>
              <w:spacing w:before="132"/>
              <w:ind w:left="56" w:right="59"/>
              <w:rPr>
                <w:rFonts w:ascii="Calibri"/>
                <w:b/>
                <w:sz w:val="16"/>
              </w:rPr>
            </w:pPr>
            <w:r>
              <w:rPr>
                <w:rFonts w:ascii="Calibri"/>
                <w:b/>
                <w:color w:val="333333"/>
                <w:w w:val="105"/>
                <w:sz w:val="16"/>
              </w:rPr>
              <w:t>OTUMBA</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4" w:right="22"/>
              <w:rPr>
                <w:rFonts w:ascii="Calibri"/>
                <w:sz w:val="22"/>
              </w:rPr>
            </w:pPr>
            <w:r>
              <w:rPr>
                <w:rFonts w:ascii="Calibri"/>
                <w:spacing w:val="-7"/>
                <w:sz w:val="22"/>
              </w:rPr>
              <w:t>$149,368,423.00</w:t>
            </w:r>
          </w:p>
        </w:tc>
        <w:tc>
          <w:tcPr>
            <w:tcW w:w="1440"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9" w:right="11"/>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4" w:right="22"/>
              <w:rPr>
                <w:rFonts w:ascii="Calibri"/>
                <w:sz w:val="22"/>
              </w:rPr>
            </w:pPr>
            <w:r>
              <w:rPr>
                <w:rFonts w:ascii="Calibri"/>
                <w:spacing w:val="-7"/>
                <w:sz w:val="22"/>
              </w:rPr>
              <w:t>$119,148,077.03</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9" w:right="12"/>
              <w:rPr>
                <w:rFonts w:ascii="Calibri"/>
                <w:sz w:val="22"/>
              </w:rPr>
            </w:pPr>
            <w:r>
              <w:rPr>
                <w:rFonts w:ascii="Calibri"/>
                <w:sz w:val="22"/>
              </w:rPr>
              <w:t>$30,220,345.97</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right="20"/>
              <w:jc w:val="right"/>
              <w:rPr>
                <w:rFonts w:ascii="Calibri"/>
                <w:sz w:val="22"/>
              </w:rPr>
            </w:pPr>
            <w:r>
              <w:rPr>
                <w:rFonts w:ascii="Calibri"/>
                <w:spacing w:val="-7"/>
                <w:sz w:val="22"/>
              </w:rPr>
              <w:t>$138,083,719.68</w:t>
            </w:r>
          </w:p>
        </w:tc>
        <w:tc>
          <w:tcPr>
            <w:tcW w:w="990"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58" w:right="20"/>
              <w:rPr>
                <w:rFonts w:ascii="Calibri"/>
                <w:sz w:val="22"/>
              </w:rPr>
            </w:pPr>
            <w:r>
              <w:rPr>
                <w:rFonts w:ascii="Calibri"/>
                <w:sz w:val="22"/>
              </w:rPr>
              <w:t>$0.00</w:t>
            </w:r>
          </w:p>
        </w:tc>
        <w:tc>
          <w:tcPr>
            <w:tcW w:w="1440"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8" w:right="26"/>
              <w:rPr>
                <w:rFonts w:ascii="Calibri"/>
                <w:sz w:val="22"/>
              </w:rPr>
            </w:pPr>
            <w:r>
              <w:rPr>
                <w:rFonts w:ascii="Calibri"/>
                <w:spacing w:val="-7"/>
                <w:sz w:val="22"/>
              </w:rPr>
              <w:t>$48,098,730.68</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9" w:right="12"/>
              <w:rPr>
                <w:rFonts w:ascii="Calibri"/>
                <w:sz w:val="22"/>
              </w:rPr>
            </w:pPr>
            <w:r>
              <w:rPr>
                <w:rFonts w:ascii="Calibri"/>
                <w:sz w:val="22"/>
              </w:rPr>
              <w:t>$89,984,989.00</w:t>
            </w:r>
          </w:p>
        </w:tc>
      </w:tr>
      <w:tr>
        <w:trPr>
          <w:trHeight w:val="465" w:hRule="exact"/>
        </w:trPr>
        <w:tc>
          <w:tcPr>
            <w:tcW w:w="1192" w:type="dxa"/>
            <w:tcBorders>
              <w:top w:val="single" w:sz="12" w:space="0" w:color="000000"/>
              <w:left w:val="single" w:sz="6" w:space="0" w:color="000000"/>
              <w:bottom w:val="single" w:sz="12" w:space="0" w:color="000000"/>
              <w:right w:val="single" w:sz="12" w:space="0" w:color="000000"/>
            </w:tcBorders>
          </w:tcPr>
          <w:p>
            <w:pPr>
              <w:pStyle w:val="TableParagraph"/>
              <w:spacing w:before="133"/>
              <w:ind w:left="69" w:right="53"/>
              <w:rPr>
                <w:rFonts w:ascii="Calibri"/>
                <w:b/>
                <w:sz w:val="16"/>
              </w:rPr>
            </w:pPr>
            <w:r>
              <w:rPr>
                <w:rFonts w:ascii="Calibri"/>
                <w:b/>
                <w:color w:val="333333"/>
                <w:w w:val="105"/>
                <w:sz w:val="16"/>
              </w:rPr>
              <w:t>OTZOLOAPAN</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5" w:right="22"/>
              <w:rPr>
                <w:rFonts w:ascii="Calibri"/>
                <w:sz w:val="22"/>
              </w:rPr>
            </w:pPr>
            <w:r>
              <w:rPr>
                <w:rFonts w:ascii="Calibri"/>
                <w:sz w:val="22"/>
              </w:rPr>
              <w:t>$0.00</w:t>
            </w:r>
          </w:p>
        </w:tc>
        <w:tc>
          <w:tcPr>
            <w:tcW w:w="1440"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9" w:right="11"/>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5" w:right="22"/>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5" w:right="22"/>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524"/>
              <w:jc w:val="left"/>
              <w:rPr>
                <w:rFonts w:ascii="Calibri"/>
                <w:sz w:val="22"/>
              </w:rPr>
            </w:pPr>
            <w:r>
              <w:rPr>
                <w:rFonts w:ascii="Calibri"/>
                <w:sz w:val="22"/>
              </w:rPr>
              <w:t>$0.00</w:t>
            </w:r>
          </w:p>
        </w:tc>
        <w:tc>
          <w:tcPr>
            <w:tcW w:w="990"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58" w:right="20"/>
              <w:rPr>
                <w:rFonts w:ascii="Calibri"/>
                <w:sz w:val="22"/>
              </w:rPr>
            </w:pPr>
            <w:r>
              <w:rPr>
                <w:rFonts w:ascii="Calibri"/>
                <w:sz w:val="22"/>
              </w:rPr>
              <w:t>$0.00</w:t>
            </w:r>
          </w:p>
        </w:tc>
        <w:tc>
          <w:tcPr>
            <w:tcW w:w="1440"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8" w:right="10"/>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5" w:right="22"/>
              <w:rPr>
                <w:rFonts w:ascii="Calibri"/>
                <w:sz w:val="22"/>
              </w:rPr>
            </w:pPr>
            <w:r>
              <w:rPr>
                <w:rFonts w:ascii="Calibri"/>
                <w:sz w:val="22"/>
              </w:rPr>
              <w:t>$0.00</w:t>
            </w:r>
          </w:p>
        </w:tc>
      </w:tr>
      <w:tr>
        <w:trPr>
          <w:trHeight w:val="465" w:hRule="exact"/>
        </w:trPr>
        <w:tc>
          <w:tcPr>
            <w:tcW w:w="1192" w:type="dxa"/>
            <w:tcBorders>
              <w:top w:val="single" w:sz="12" w:space="0" w:color="000000"/>
              <w:left w:val="single" w:sz="6" w:space="0" w:color="000000"/>
              <w:bottom w:val="single" w:sz="12" w:space="0" w:color="000000"/>
              <w:right w:val="single" w:sz="12" w:space="0" w:color="000000"/>
            </w:tcBorders>
          </w:tcPr>
          <w:p>
            <w:pPr>
              <w:pStyle w:val="TableParagraph"/>
              <w:spacing w:before="132"/>
              <w:ind w:left="69" w:right="59"/>
              <w:rPr>
                <w:rFonts w:ascii="Calibri"/>
                <w:b/>
                <w:sz w:val="16"/>
              </w:rPr>
            </w:pPr>
            <w:r>
              <w:rPr>
                <w:rFonts w:ascii="Calibri"/>
                <w:b/>
                <w:color w:val="333333"/>
                <w:w w:val="105"/>
                <w:sz w:val="16"/>
              </w:rPr>
              <w:t>OTZOLOTEPEC</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4" w:right="22"/>
              <w:rPr>
                <w:rFonts w:ascii="Calibri"/>
                <w:sz w:val="22"/>
              </w:rPr>
            </w:pPr>
            <w:r>
              <w:rPr>
                <w:rFonts w:ascii="Calibri"/>
                <w:spacing w:val="-7"/>
                <w:sz w:val="22"/>
              </w:rPr>
              <w:t>$258,707,549.97</w:t>
            </w:r>
          </w:p>
        </w:tc>
        <w:tc>
          <w:tcPr>
            <w:tcW w:w="1440"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9" w:right="26"/>
              <w:rPr>
                <w:rFonts w:ascii="Calibri"/>
                <w:sz w:val="22"/>
              </w:rPr>
            </w:pPr>
            <w:r>
              <w:rPr>
                <w:rFonts w:ascii="Calibri"/>
                <w:spacing w:val="-7"/>
                <w:sz w:val="22"/>
              </w:rPr>
              <w:t>$13,428,319.75</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4" w:right="22"/>
              <w:rPr>
                <w:rFonts w:ascii="Calibri"/>
                <w:sz w:val="22"/>
              </w:rPr>
            </w:pPr>
            <w:r>
              <w:rPr>
                <w:rFonts w:ascii="Calibri"/>
                <w:spacing w:val="-7"/>
                <w:sz w:val="22"/>
              </w:rPr>
              <w:t>$245,974,703.92</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9" w:right="12"/>
              <w:rPr>
                <w:rFonts w:ascii="Calibri"/>
                <w:sz w:val="22"/>
              </w:rPr>
            </w:pPr>
            <w:r>
              <w:rPr>
                <w:rFonts w:ascii="Calibri"/>
                <w:sz w:val="22"/>
              </w:rPr>
              <w:t>$26,161,165.80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524"/>
              <w:jc w:val="left"/>
              <w:rPr>
                <w:rFonts w:ascii="Calibri"/>
                <w:sz w:val="22"/>
              </w:rPr>
            </w:pPr>
            <w:r>
              <w:rPr>
                <w:rFonts w:ascii="Calibri"/>
                <w:sz w:val="22"/>
              </w:rPr>
              <w:t>$0.00</w:t>
            </w:r>
          </w:p>
        </w:tc>
        <w:tc>
          <w:tcPr>
            <w:tcW w:w="990"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58" w:right="20"/>
              <w:rPr>
                <w:rFonts w:ascii="Calibri"/>
                <w:sz w:val="22"/>
              </w:rPr>
            </w:pPr>
            <w:r>
              <w:rPr>
                <w:rFonts w:ascii="Calibri"/>
                <w:sz w:val="22"/>
              </w:rPr>
              <w:t>$0.00</w:t>
            </w:r>
          </w:p>
        </w:tc>
        <w:tc>
          <w:tcPr>
            <w:tcW w:w="1440"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8" w:right="10"/>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5" w:right="22"/>
              <w:rPr>
                <w:rFonts w:ascii="Calibri"/>
                <w:sz w:val="22"/>
              </w:rPr>
            </w:pPr>
            <w:r>
              <w:rPr>
                <w:rFonts w:ascii="Calibri"/>
                <w:sz w:val="22"/>
              </w:rPr>
              <w:t>$0.00</w:t>
            </w:r>
          </w:p>
        </w:tc>
      </w:tr>
      <w:tr>
        <w:trPr>
          <w:trHeight w:val="465" w:hRule="exact"/>
        </w:trPr>
        <w:tc>
          <w:tcPr>
            <w:tcW w:w="1192" w:type="dxa"/>
            <w:tcBorders>
              <w:top w:val="single" w:sz="12" w:space="0" w:color="000000"/>
              <w:left w:val="single" w:sz="6" w:space="0" w:color="000000"/>
              <w:bottom w:val="single" w:sz="12" w:space="0" w:color="000000"/>
              <w:right w:val="single" w:sz="12" w:space="0" w:color="000000"/>
            </w:tcBorders>
          </w:tcPr>
          <w:p>
            <w:pPr>
              <w:pStyle w:val="TableParagraph"/>
              <w:spacing w:before="132"/>
              <w:ind w:left="56" w:right="59"/>
              <w:rPr>
                <w:rFonts w:ascii="Calibri"/>
                <w:b/>
                <w:sz w:val="16"/>
              </w:rPr>
            </w:pPr>
            <w:r>
              <w:rPr>
                <w:rFonts w:ascii="Calibri"/>
                <w:b/>
                <w:color w:val="333333"/>
                <w:w w:val="105"/>
                <w:sz w:val="16"/>
              </w:rPr>
              <w:t>OZUMBA</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4" w:right="22"/>
              <w:rPr>
                <w:rFonts w:ascii="Calibri"/>
                <w:sz w:val="22"/>
              </w:rPr>
            </w:pPr>
            <w:r>
              <w:rPr>
                <w:rFonts w:ascii="Calibri"/>
                <w:spacing w:val="-7"/>
                <w:sz w:val="22"/>
              </w:rPr>
              <w:t>$129,549,798.00</w:t>
            </w:r>
          </w:p>
        </w:tc>
        <w:tc>
          <w:tcPr>
            <w:tcW w:w="1440"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9" w:right="11"/>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5" w:right="22"/>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4" w:right="22"/>
              <w:rPr>
                <w:rFonts w:ascii="Calibri"/>
                <w:sz w:val="22"/>
              </w:rPr>
            </w:pPr>
            <w:r>
              <w:rPr>
                <w:rFonts w:ascii="Calibri"/>
                <w:spacing w:val="-7"/>
                <w:sz w:val="22"/>
              </w:rPr>
              <w:t>$129,549,798.00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right="20"/>
              <w:jc w:val="right"/>
              <w:rPr>
                <w:rFonts w:ascii="Calibri"/>
                <w:sz w:val="22"/>
              </w:rPr>
            </w:pPr>
            <w:r>
              <w:rPr>
                <w:rFonts w:ascii="Calibri"/>
                <w:spacing w:val="-7"/>
                <w:sz w:val="22"/>
              </w:rPr>
              <w:t>$110,514,155.00</w:t>
            </w:r>
          </w:p>
        </w:tc>
        <w:tc>
          <w:tcPr>
            <w:tcW w:w="990"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58" w:right="20"/>
              <w:rPr>
                <w:rFonts w:ascii="Calibri"/>
                <w:sz w:val="22"/>
              </w:rPr>
            </w:pPr>
            <w:r>
              <w:rPr>
                <w:rFonts w:ascii="Calibri"/>
                <w:sz w:val="22"/>
              </w:rPr>
              <w:t>$0.00</w:t>
            </w:r>
          </w:p>
        </w:tc>
        <w:tc>
          <w:tcPr>
            <w:tcW w:w="1440"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8" w:right="10"/>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4" w:right="22"/>
              <w:rPr>
                <w:rFonts w:ascii="Calibri"/>
                <w:sz w:val="22"/>
              </w:rPr>
            </w:pPr>
            <w:r>
              <w:rPr>
                <w:rFonts w:ascii="Calibri"/>
                <w:spacing w:val="-7"/>
                <w:sz w:val="22"/>
              </w:rPr>
              <w:t>$110,514,155.00</w:t>
            </w:r>
          </w:p>
        </w:tc>
      </w:tr>
      <w:tr>
        <w:trPr>
          <w:trHeight w:val="465" w:hRule="exact"/>
        </w:trPr>
        <w:tc>
          <w:tcPr>
            <w:tcW w:w="1192" w:type="dxa"/>
            <w:tcBorders>
              <w:top w:val="single" w:sz="12" w:space="0" w:color="000000"/>
              <w:left w:val="single" w:sz="6" w:space="0" w:color="000000"/>
              <w:bottom w:val="single" w:sz="12" w:space="0" w:color="000000"/>
              <w:right w:val="single" w:sz="12" w:space="0" w:color="000000"/>
            </w:tcBorders>
          </w:tcPr>
          <w:p>
            <w:pPr>
              <w:pStyle w:val="TableParagraph"/>
              <w:spacing w:before="132"/>
              <w:ind w:left="66" w:right="59"/>
              <w:rPr>
                <w:rFonts w:ascii="Calibri"/>
                <w:b/>
                <w:sz w:val="16"/>
              </w:rPr>
            </w:pPr>
            <w:r>
              <w:rPr>
                <w:rFonts w:ascii="Calibri"/>
                <w:b/>
                <w:color w:val="333333"/>
                <w:w w:val="105"/>
                <w:sz w:val="16"/>
              </w:rPr>
              <w:t>PAPALOTLA</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9" w:right="12"/>
              <w:rPr>
                <w:rFonts w:ascii="Calibri"/>
                <w:sz w:val="22"/>
              </w:rPr>
            </w:pPr>
            <w:r>
              <w:rPr>
                <w:rFonts w:ascii="Calibri"/>
                <w:sz w:val="22"/>
              </w:rPr>
              <w:t>$42,353,118.94</w:t>
            </w:r>
          </w:p>
        </w:tc>
        <w:tc>
          <w:tcPr>
            <w:tcW w:w="1440"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9" w:right="11"/>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5" w:right="22"/>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9" w:right="12"/>
              <w:rPr>
                <w:rFonts w:ascii="Calibri"/>
                <w:sz w:val="22"/>
              </w:rPr>
            </w:pPr>
            <w:r>
              <w:rPr>
                <w:rFonts w:ascii="Calibri"/>
                <w:sz w:val="22"/>
              </w:rPr>
              <w:t>$42,353,118.94</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right="65"/>
              <w:jc w:val="right"/>
              <w:rPr>
                <w:rFonts w:ascii="Calibri"/>
                <w:sz w:val="22"/>
              </w:rPr>
            </w:pPr>
            <w:r>
              <w:rPr>
                <w:rFonts w:ascii="Calibri"/>
                <w:sz w:val="22"/>
              </w:rPr>
              <w:t>$42,317,608.20</w:t>
            </w:r>
          </w:p>
        </w:tc>
        <w:tc>
          <w:tcPr>
            <w:tcW w:w="990"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58" w:right="20"/>
              <w:rPr>
                <w:rFonts w:ascii="Calibri"/>
                <w:sz w:val="22"/>
              </w:rPr>
            </w:pPr>
            <w:r>
              <w:rPr>
                <w:rFonts w:ascii="Calibri"/>
                <w:sz w:val="22"/>
              </w:rPr>
              <w:t>$0.00</w:t>
            </w:r>
          </w:p>
        </w:tc>
        <w:tc>
          <w:tcPr>
            <w:tcW w:w="1440"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8" w:right="10"/>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9" w:right="12"/>
              <w:rPr>
                <w:rFonts w:ascii="Calibri"/>
                <w:sz w:val="22"/>
              </w:rPr>
            </w:pPr>
            <w:r>
              <w:rPr>
                <w:rFonts w:ascii="Calibri"/>
                <w:sz w:val="22"/>
              </w:rPr>
              <w:t>$42,317,608.20</w:t>
            </w:r>
          </w:p>
        </w:tc>
      </w:tr>
      <w:tr>
        <w:trPr>
          <w:trHeight w:val="465" w:hRule="exact"/>
        </w:trPr>
        <w:tc>
          <w:tcPr>
            <w:tcW w:w="1192" w:type="dxa"/>
            <w:tcBorders>
              <w:top w:val="single" w:sz="12" w:space="0" w:color="000000"/>
              <w:left w:val="single" w:sz="6" w:space="0" w:color="000000"/>
              <w:bottom w:val="single" w:sz="12" w:space="0" w:color="000000"/>
              <w:right w:val="single" w:sz="12" w:space="0" w:color="000000"/>
            </w:tcBorders>
          </w:tcPr>
          <w:p>
            <w:pPr>
              <w:pStyle w:val="TableParagraph"/>
              <w:spacing w:before="132"/>
              <w:ind w:left="69" w:right="53"/>
              <w:rPr>
                <w:rFonts w:ascii="Calibri"/>
                <w:b/>
                <w:sz w:val="16"/>
              </w:rPr>
            </w:pPr>
            <w:r>
              <w:rPr>
                <w:rFonts w:ascii="Calibri"/>
                <w:b/>
                <w:color w:val="333333"/>
                <w:w w:val="105"/>
                <w:sz w:val="16"/>
              </w:rPr>
              <w:t>POLOTITLAN</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4" w:right="22"/>
              <w:rPr>
                <w:rFonts w:ascii="Calibri"/>
                <w:sz w:val="22"/>
              </w:rPr>
            </w:pPr>
            <w:r>
              <w:rPr>
                <w:rFonts w:ascii="Calibri"/>
                <w:spacing w:val="-7"/>
                <w:sz w:val="22"/>
              </w:rPr>
              <w:t>$157,871,764.01</w:t>
            </w:r>
          </w:p>
        </w:tc>
        <w:tc>
          <w:tcPr>
            <w:tcW w:w="1440"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9" w:right="11"/>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5" w:right="22"/>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4" w:right="22"/>
              <w:rPr>
                <w:rFonts w:ascii="Calibri"/>
                <w:sz w:val="22"/>
              </w:rPr>
            </w:pPr>
            <w:r>
              <w:rPr>
                <w:rFonts w:ascii="Calibri"/>
                <w:spacing w:val="-7"/>
                <w:sz w:val="22"/>
              </w:rPr>
              <w:t>$157,871,764.01</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524"/>
              <w:jc w:val="left"/>
              <w:rPr>
                <w:rFonts w:ascii="Calibri"/>
                <w:sz w:val="22"/>
              </w:rPr>
            </w:pPr>
            <w:r>
              <w:rPr>
                <w:rFonts w:ascii="Calibri"/>
                <w:sz w:val="22"/>
              </w:rPr>
              <w:t>$0.00</w:t>
            </w:r>
          </w:p>
        </w:tc>
        <w:tc>
          <w:tcPr>
            <w:tcW w:w="990"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58" w:right="20"/>
              <w:rPr>
                <w:rFonts w:ascii="Calibri"/>
                <w:sz w:val="22"/>
              </w:rPr>
            </w:pPr>
            <w:r>
              <w:rPr>
                <w:rFonts w:ascii="Calibri"/>
                <w:sz w:val="22"/>
              </w:rPr>
              <w:t>$0.00</w:t>
            </w:r>
          </w:p>
        </w:tc>
        <w:tc>
          <w:tcPr>
            <w:tcW w:w="1440"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8" w:right="10"/>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5" w:right="22"/>
              <w:rPr>
                <w:rFonts w:ascii="Calibri"/>
                <w:sz w:val="22"/>
              </w:rPr>
            </w:pPr>
            <w:r>
              <w:rPr>
                <w:rFonts w:ascii="Calibri"/>
                <w:sz w:val="22"/>
              </w:rPr>
              <w:t>$0.00</w:t>
            </w:r>
          </w:p>
        </w:tc>
      </w:tr>
      <w:tr>
        <w:trPr>
          <w:trHeight w:val="464" w:hRule="exact"/>
        </w:trPr>
        <w:tc>
          <w:tcPr>
            <w:tcW w:w="1192" w:type="dxa"/>
            <w:tcBorders>
              <w:top w:val="single" w:sz="12" w:space="0" w:color="000000"/>
              <w:left w:val="single" w:sz="6" w:space="0" w:color="000000"/>
              <w:bottom w:val="single" w:sz="12" w:space="0" w:color="000000"/>
              <w:right w:val="single" w:sz="12" w:space="0" w:color="000000"/>
            </w:tcBorders>
          </w:tcPr>
          <w:p>
            <w:pPr>
              <w:pStyle w:val="TableParagraph"/>
              <w:spacing w:before="132"/>
              <w:ind w:left="69" w:right="51"/>
              <w:rPr>
                <w:rFonts w:ascii="Calibri"/>
                <w:b/>
                <w:sz w:val="16"/>
              </w:rPr>
            </w:pPr>
            <w:r>
              <w:rPr>
                <w:rFonts w:ascii="Calibri"/>
                <w:b/>
                <w:color w:val="333333"/>
                <w:w w:val="105"/>
                <w:sz w:val="16"/>
              </w:rPr>
              <w:t>RAYON</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4" w:right="22"/>
              <w:rPr>
                <w:rFonts w:ascii="Calibri"/>
                <w:sz w:val="22"/>
              </w:rPr>
            </w:pPr>
            <w:r>
              <w:rPr>
                <w:rFonts w:ascii="Calibri"/>
                <w:spacing w:val="-7"/>
                <w:sz w:val="22"/>
              </w:rPr>
              <w:t>$123,447,340.84</w:t>
            </w:r>
          </w:p>
        </w:tc>
        <w:tc>
          <w:tcPr>
            <w:tcW w:w="1440"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9" w:right="11"/>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5" w:right="22"/>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4" w:right="22"/>
              <w:rPr>
                <w:rFonts w:ascii="Calibri"/>
                <w:sz w:val="22"/>
              </w:rPr>
            </w:pPr>
            <w:r>
              <w:rPr>
                <w:rFonts w:ascii="Calibri"/>
                <w:spacing w:val="-7"/>
                <w:sz w:val="22"/>
              </w:rPr>
              <w:t>$123,447,340.84</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right="20"/>
              <w:jc w:val="right"/>
              <w:rPr>
                <w:rFonts w:ascii="Calibri"/>
                <w:sz w:val="22"/>
              </w:rPr>
            </w:pPr>
            <w:r>
              <w:rPr>
                <w:rFonts w:ascii="Calibri"/>
                <w:spacing w:val="-7"/>
                <w:sz w:val="22"/>
              </w:rPr>
              <w:t>$111,947,607.89</w:t>
            </w:r>
          </w:p>
        </w:tc>
        <w:tc>
          <w:tcPr>
            <w:tcW w:w="990"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58" w:right="20"/>
              <w:rPr>
                <w:rFonts w:ascii="Calibri"/>
                <w:sz w:val="22"/>
              </w:rPr>
            </w:pPr>
            <w:r>
              <w:rPr>
                <w:rFonts w:ascii="Calibri"/>
                <w:sz w:val="22"/>
              </w:rPr>
              <w:t>$0.00</w:t>
            </w:r>
          </w:p>
        </w:tc>
        <w:tc>
          <w:tcPr>
            <w:tcW w:w="1440"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8" w:right="10"/>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4" w:right="22"/>
              <w:rPr>
                <w:rFonts w:ascii="Calibri"/>
                <w:sz w:val="22"/>
              </w:rPr>
            </w:pPr>
            <w:r>
              <w:rPr>
                <w:rFonts w:ascii="Calibri"/>
                <w:spacing w:val="-7"/>
                <w:sz w:val="22"/>
              </w:rPr>
              <w:t>$111,947,607.89</w:t>
            </w:r>
          </w:p>
        </w:tc>
      </w:tr>
      <w:tr>
        <w:trPr>
          <w:trHeight w:val="690" w:hRule="exact"/>
        </w:trPr>
        <w:tc>
          <w:tcPr>
            <w:tcW w:w="1192" w:type="dxa"/>
            <w:tcBorders>
              <w:top w:val="single" w:sz="12" w:space="0" w:color="000000"/>
              <w:left w:val="single" w:sz="6" w:space="0" w:color="000000"/>
              <w:bottom w:val="single" w:sz="12" w:space="0" w:color="000000"/>
              <w:right w:val="single" w:sz="12" w:space="0" w:color="000000"/>
            </w:tcBorders>
          </w:tcPr>
          <w:p>
            <w:pPr>
              <w:pStyle w:val="TableParagraph"/>
              <w:spacing w:line="276" w:lineRule="auto" w:before="133"/>
              <w:ind w:left="330" w:right="18" w:hanging="241"/>
              <w:jc w:val="left"/>
              <w:rPr>
                <w:rFonts w:ascii="Calibri"/>
                <w:b/>
                <w:sz w:val="16"/>
              </w:rPr>
            </w:pPr>
            <w:r>
              <w:rPr>
                <w:rFonts w:ascii="Calibri"/>
                <w:b/>
                <w:color w:val="333333"/>
                <w:w w:val="105"/>
                <w:sz w:val="16"/>
              </w:rPr>
              <w:t>SAN ANTONIO LA ISLA</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3"/>
              <w:jc w:val="left"/>
              <w:rPr>
                <w:rFonts w:ascii="Times New Roman"/>
                <w:sz w:val="18"/>
              </w:rPr>
            </w:pPr>
          </w:p>
          <w:p>
            <w:pPr>
              <w:pStyle w:val="TableParagraph"/>
              <w:ind w:left="49" w:right="12"/>
              <w:rPr>
                <w:rFonts w:ascii="Calibri"/>
                <w:sz w:val="22"/>
              </w:rPr>
            </w:pPr>
            <w:r>
              <w:rPr>
                <w:rFonts w:ascii="Calibri"/>
                <w:sz w:val="22"/>
              </w:rPr>
              <w:t>$96,086,509.00</w:t>
            </w:r>
          </w:p>
        </w:tc>
        <w:tc>
          <w:tcPr>
            <w:tcW w:w="1440" w:type="dxa"/>
            <w:tcBorders>
              <w:top w:val="single" w:sz="12" w:space="0" w:color="000000"/>
              <w:left w:val="single" w:sz="12" w:space="0" w:color="000000"/>
              <w:bottom w:val="single" w:sz="12" w:space="0" w:color="000000"/>
              <w:right w:val="single" w:sz="12" w:space="0" w:color="000000"/>
            </w:tcBorders>
          </w:tcPr>
          <w:p>
            <w:pPr>
              <w:pStyle w:val="TableParagraph"/>
              <w:spacing w:before="3"/>
              <w:jc w:val="left"/>
              <w:rPr>
                <w:rFonts w:ascii="Times New Roman"/>
                <w:sz w:val="18"/>
              </w:rPr>
            </w:pPr>
          </w:p>
          <w:p>
            <w:pPr>
              <w:pStyle w:val="TableParagraph"/>
              <w:ind w:left="49" w:right="11"/>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3"/>
              <w:jc w:val="left"/>
              <w:rPr>
                <w:rFonts w:ascii="Times New Roman"/>
                <w:sz w:val="18"/>
              </w:rPr>
            </w:pPr>
          </w:p>
          <w:p>
            <w:pPr>
              <w:pStyle w:val="TableParagraph"/>
              <w:ind w:left="45" w:right="22"/>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3"/>
              <w:jc w:val="left"/>
              <w:rPr>
                <w:rFonts w:ascii="Times New Roman"/>
                <w:sz w:val="18"/>
              </w:rPr>
            </w:pPr>
          </w:p>
          <w:p>
            <w:pPr>
              <w:pStyle w:val="TableParagraph"/>
              <w:ind w:left="49" w:right="12"/>
              <w:rPr>
                <w:rFonts w:ascii="Calibri"/>
                <w:sz w:val="22"/>
              </w:rPr>
            </w:pPr>
            <w:r>
              <w:rPr>
                <w:rFonts w:ascii="Calibri"/>
                <w:sz w:val="22"/>
              </w:rPr>
              <w:t>$96,086,509.00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3"/>
              <w:jc w:val="left"/>
              <w:rPr>
                <w:rFonts w:ascii="Times New Roman"/>
                <w:sz w:val="18"/>
              </w:rPr>
            </w:pPr>
          </w:p>
          <w:p>
            <w:pPr>
              <w:pStyle w:val="TableParagraph"/>
              <w:ind w:left="524"/>
              <w:jc w:val="left"/>
              <w:rPr>
                <w:rFonts w:ascii="Calibri"/>
                <w:sz w:val="22"/>
              </w:rPr>
            </w:pPr>
            <w:r>
              <w:rPr>
                <w:rFonts w:ascii="Calibri"/>
                <w:sz w:val="22"/>
              </w:rPr>
              <w:t>$0.00</w:t>
            </w:r>
          </w:p>
        </w:tc>
        <w:tc>
          <w:tcPr>
            <w:tcW w:w="990" w:type="dxa"/>
            <w:tcBorders>
              <w:top w:val="single" w:sz="12" w:space="0" w:color="000000"/>
              <w:left w:val="single" w:sz="12" w:space="0" w:color="000000"/>
              <w:bottom w:val="single" w:sz="12" w:space="0" w:color="000000"/>
              <w:right w:val="single" w:sz="12" w:space="0" w:color="000000"/>
            </w:tcBorders>
          </w:tcPr>
          <w:p>
            <w:pPr>
              <w:pStyle w:val="TableParagraph"/>
              <w:spacing w:before="3"/>
              <w:jc w:val="left"/>
              <w:rPr>
                <w:rFonts w:ascii="Times New Roman"/>
                <w:sz w:val="18"/>
              </w:rPr>
            </w:pPr>
          </w:p>
          <w:p>
            <w:pPr>
              <w:pStyle w:val="TableParagraph"/>
              <w:ind w:left="58" w:right="20"/>
              <w:rPr>
                <w:rFonts w:ascii="Calibri"/>
                <w:sz w:val="22"/>
              </w:rPr>
            </w:pPr>
            <w:r>
              <w:rPr>
                <w:rFonts w:ascii="Calibri"/>
                <w:sz w:val="22"/>
              </w:rPr>
              <w:t>$0.00</w:t>
            </w:r>
          </w:p>
        </w:tc>
        <w:tc>
          <w:tcPr>
            <w:tcW w:w="1440" w:type="dxa"/>
            <w:tcBorders>
              <w:top w:val="single" w:sz="12" w:space="0" w:color="000000"/>
              <w:left w:val="single" w:sz="12" w:space="0" w:color="000000"/>
              <w:bottom w:val="single" w:sz="12" w:space="0" w:color="000000"/>
              <w:right w:val="single" w:sz="12" w:space="0" w:color="000000"/>
            </w:tcBorders>
          </w:tcPr>
          <w:p>
            <w:pPr>
              <w:pStyle w:val="TableParagraph"/>
              <w:spacing w:before="3"/>
              <w:jc w:val="left"/>
              <w:rPr>
                <w:rFonts w:ascii="Times New Roman"/>
                <w:sz w:val="18"/>
              </w:rPr>
            </w:pPr>
          </w:p>
          <w:p>
            <w:pPr>
              <w:pStyle w:val="TableParagraph"/>
              <w:ind w:left="48" w:right="10"/>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3"/>
              <w:jc w:val="left"/>
              <w:rPr>
                <w:rFonts w:ascii="Times New Roman"/>
                <w:sz w:val="18"/>
              </w:rPr>
            </w:pPr>
          </w:p>
          <w:p>
            <w:pPr>
              <w:pStyle w:val="TableParagraph"/>
              <w:ind w:left="45" w:right="22"/>
              <w:rPr>
                <w:rFonts w:ascii="Calibri"/>
                <w:sz w:val="22"/>
              </w:rPr>
            </w:pPr>
            <w:r>
              <w:rPr>
                <w:rFonts w:ascii="Calibri"/>
                <w:sz w:val="22"/>
              </w:rPr>
              <w:t>$0.00</w:t>
            </w:r>
          </w:p>
        </w:tc>
      </w:tr>
      <w:tr>
        <w:trPr>
          <w:trHeight w:val="689" w:hRule="exact"/>
        </w:trPr>
        <w:tc>
          <w:tcPr>
            <w:tcW w:w="1192" w:type="dxa"/>
            <w:tcBorders>
              <w:top w:val="single" w:sz="12" w:space="0" w:color="000000"/>
              <w:left w:val="single" w:sz="6" w:space="0" w:color="000000"/>
              <w:bottom w:val="single" w:sz="12" w:space="0" w:color="000000"/>
              <w:right w:val="single" w:sz="12" w:space="0" w:color="000000"/>
            </w:tcBorders>
          </w:tcPr>
          <w:p>
            <w:pPr>
              <w:pStyle w:val="TableParagraph"/>
              <w:spacing w:line="276" w:lineRule="auto" w:before="132"/>
              <w:ind w:left="225" w:right="18" w:hanging="166"/>
              <w:jc w:val="left"/>
              <w:rPr>
                <w:rFonts w:ascii="Calibri"/>
                <w:b/>
                <w:sz w:val="16"/>
              </w:rPr>
            </w:pPr>
            <w:r>
              <w:rPr>
                <w:rFonts w:ascii="Calibri"/>
                <w:b/>
                <w:color w:val="333333"/>
                <w:w w:val="105"/>
                <w:sz w:val="16"/>
              </w:rPr>
              <w:t>SAN FELIPE DEL PROGRESO</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3"/>
              <w:jc w:val="left"/>
              <w:rPr>
                <w:rFonts w:ascii="Times New Roman"/>
                <w:sz w:val="18"/>
              </w:rPr>
            </w:pPr>
          </w:p>
          <w:p>
            <w:pPr>
              <w:pStyle w:val="TableParagraph"/>
              <w:ind w:left="45" w:right="22"/>
              <w:rPr>
                <w:rFonts w:ascii="Calibri"/>
                <w:sz w:val="22"/>
              </w:rPr>
            </w:pPr>
            <w:r>
              <w:rPr>
                <w:rFonts w:ascii="Calibri"/>
                <w:sz w:val="22"/>
              </w:rPr>
              <w:t>$0.00</w:t>
            </w:r>
          </w:p>
        </w:tc>
        <w:tc>
          <w:tcPr>
            <w:tcW w:w="1440" w:type="dxa"/>
            <w:tcBorders>
              <w:top w:val="single" w:sz="12" w:space="0" w:color="000000"/>
              <w:left w:val="single" w:sz="12" w:space="0" w:color="000000"/>
              <w:bottom w:val="single" w:sz="12" w:space="0" w:color="000000"/>
              <w:right w:val="single" w:sz="12" w:space="0" w:color="000000"/>
            </w:tcBorders>
          </w:tcPr>
          <w:p>
            <w:pPr>
              <w:pStyle w:val="TableParagraph"/>
              <w:spacing w:before="3"/>
              <w:jc w:val="left"/>
              <w:rPr>
                <w:rFonts w:ascii="Times New Roman"/>
                <w:sz w:val="18"/>
              </w:rPr>
            </w:pPr>
          </w:p>
          <w:p>
            <w:pPr>
              <w:pStyle w:val="TableParagraph"/>
              <w:ind w:left="49" w:right="11"/>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3"/>
              <w:jc w:val="left"/>
              <w:rPr>
                <w:rFonts w:ascii="Times New Roman"/>
                <w:sz w:val="18"/>
              </w:rPr>
            </w:pPr>
          </w:p>
          <w:p>
            <w:pPr>
              <w:pStyle w:val="TableParagraph"/>
              <w:ind w:left="45" w:right="22"/>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3"/>
              <w:jc w:val="left"/>
              <w:rPr>
                <w:rFonts w:ascii="Times New Roman"/>
                <w:sz w:val="18"/>
              </w:rPr>
            </w:pPr>
          </w:p>
          <w:p>
            <w:pPr>
              <w:pStyle w:val="TableParagraph"/>
              <w:ind w:left="45" w:right="22"/>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3"/>
              <w:jc w:val="left"/>
              <w:rPr>
                <w:rFonts w:ascii="Times New Roman"/>
                <w:sz w:val="18"/>
              </w:rPr>
            </w:pPr>
          </w:p>
          <w:p>
            <w:pPr>
              <w:pStyle w:val="TableParagraph"/>
              <w:ind w:left="524"/>
              <w:jc w:val="left"/>
              <w:rPr>
                <w:rFonts w:ascii="Calibri"/>
                <w:sz w:val="22"/>
              </w:rPr>
            </w:pPr>
            <w:r>
              <w:rPr>
                <w:rFonts w:ascii="Calibri"/>
                <w:sz w:val="22"/>
              </w:rPr>
              <w:t>$0.00</w:t>
            </w:r>
          </w:p>
        </w:tc>
        <w:tc>
          <w:tcPr>
            <w:tcW w:w="990" w:type="dxa"/>
            <w:tcBorders>
              <w:top w:val="single" w:sz="12" w:space="0" w:color="000000"/>
              <w:left w:val="single" w:sz="12" w:space="0" w:color="000000"/>
              <w:bottom w:val="single" w:sz="12" w:space="0" w:color="000000"/>
              <w:right w:val="single" w:sz="12" w:space="0" w:color="000000"/>
            </w:tcBorders>
          </w:tcPr>
          <w:p>
            <w:pPr>
              <w:pStyle w:val="TableParagraph"/>
              <w:spacing w:before="3"/>
              <w:jc w:val="left"/>
              <w:rPr>
                <w:rFonts w:ascii="Times New Roman"/>
                <w:sz w:val="18"/>
              </w:rPr>
            </w:pPr>
          </w:p>
          <w:p>
            <w:pPr>
              <w:pStyle w:val="TableParagraph"/>
              <w:ind w:left="58" w:right="20"/>
              <w:rPr>
                <w:rFonts w:ascii="Calibri"/>
                <w:sz w:val="22"/>
              </w:rPr>
            </w:pPr>
            <w:r>
              <w:rPr>
                <w:rFonts w:ascii="Calibri"/>
                <w:sz w:val="22"/>
              </w:rPr>
              <w:t>$0.00</w:t>
            </w:r>
          </w:p>
        </w:tc>
        <w:tc>
          <w:tcPr>
            <w:tcW w:w="1440" w:type="dxa"/>
            <w:tcBorders>
              <w:top w:val="single" w:sz="12" w:space="0" w:color="000000"/>
              <w:left w:val="single" w:sz="12" w:space="0" w:color="000000"/>
              <w:bottom w:val="single" w:sz="12" w:space="0" w:color="000000"/>
              <w:right w:val="single" w:sz="12" w:space="0" w:color="000000"/>
            </w:tcBorders>
          </w:tcPr>
          <w:p>
            <w:pPr>
              <w:pStyle w:val="TableParagraph"/>
              <w:spacing w:before="3"/>
              <w:jc w:val="left"/>
              <w:rPr>
                <w:rFonts w:ascii="Times New Roman"/>
                <w:sz w:val="18"/>
              </w:rPr>
            </w:pPr>
          </w:p>
          <w:p>
            <w:pPr>
              <w:pStyle w:val="TableParagraph"/>
              <w:ind w:left="48" w:right="10"/>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3"/>
              <w:jc w:val="left"/>
              <w:rPr>
                <w:rFonts w:ascii="Times New Roman"/>
                <w:sz w:val="18"/>
              </w:rPr>
            </w:pPr>
          </w:p>
          <w:p>
            <w:pPr>
              <w:pStyle w:val="TableParagraph"/>
              <w:ind w:left="45" w:right="22"/>
              <w:rPr>
                <w:rFonts w:ascii="Calibri"/>
                <w:sz w:val="22"/>
              </w:rPr>
            </w:pPr>
            <w:r>
              <w:rPr>
                <w:rFonts w:ascii="Calibri"/>
                <w:sz w:val="22"/>
              </w:rPr>
              <w:t>$0.00</w:t>
            </w:r>
          </w:p>
        </w:tc>
      </w:tr>
      <w:tr>
        <w:trPr>
          <w:trHeight w:val="689" w:hRule="exact"/>
        </w:trPr>
        <w:tc>
          <w:tcPr>
            <w:tcW w:w="1192" w:type="dxa"/>
            <w:tcBorders>
              <w:top w:val="single" w:sz="12" w:space="0" w:color="000000"/>
              <w:left w:val="single" w:sz="6" w:space="0" w:color="000000"/>
              <w:bottom w:val="single" w:sz="12" w:space="0" w:color="000000"/>
              <w:right w:val="single" w:sz="12" w:space="0" w:color="000000"/>
            </w:tcBorders>
          </w:tcPr>
          <w:p>
            <w:pPr>
              <w:pStyle w:val="TableParagraph"/>
              <w:spacing w:line="276" w:lineRule="auto" w:before="132"/>
              <w:ind w:left="330" w:right="73" w:hanging="211"/>
              <w:jc w:val="left"/>
              <w:rPr>
                <w:rFonts w:ascii="Calibri"/>
                <w:b/>
                <w:sz w:val="16"/>
              </w:rPr>
            </w:pPr>
            <w:r>
              <w:rPr>
                <w:rFonts w:ascii="Calibri"/>
                <w:b/>
                <w:color w:val="333333"/>
                <w:w w:val="105"/>
                <w:sz w:val="16"/>
              </w:rPr>
              <w:t>SAN JOSE DEL RINCON</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3"/>
              <w:jc w:val="left"/>
              <w:rPr>
                <w:rFonts w:ascii="Times New Roman"/>
                <w:sz w:val="18"/>
              </w:rPr>
            </w:pPr>
          </w:p>
          <w:p>
            <w:pPr>
              <w:pStyle w:val="TableParagraph"/>
              <w:ind w:left="44" w:right="22"/>
              <w:rPr>
                <w:rFonts w:ascii="Calibri"/>
                <w:sz w:val="22"/>
              </w:rPr>
            </w:pPr>
            <w:r>
              <w:rPr>
                <w:rFonts w:ascii="Calibri"/>
                <w:spacing w:val="-7"/>
                <w:sz w:val="22"/>
              </w:rPr>
              <w:t>$510,395,701.38</w:t>
            </w:r>
          </w:p>
        </w:tc>
        <w:tc>
          <w:tcPr>
            <w:tcW w:w="1440" w:type="dxa"/>
            <w:tcBorders>
              <w:top w:val="single" w:sz="12" w:space="0" w:color="000000"/>
              <w:left w:val="single" w:sz="12" w:space="0" w:color="000000"/>
              <w:bottom w:val="single" w:sz="12" w:space="0" w:color="000000"/>
              <w:right w:val="single" w:sz="12" w:space="0" w:color="000000"/>
            </w:tcBorders>
          </w:tcPr>
          <w:p>
            <w:pPr>
              <w:pStyle w:val="TableParagraph"/>
              <w:spacing w:before="3"/>
              <w:jc w:val="left"/>
              <w:rPr>
                <w:rFonts w:ascii="Times New Roman"/>
                <w:sz w:val="18"/>
              </w:rPr>
            </w:pPr>
          </w:p>
          <w:p>
            <w:pPr>
              <w:pStyle w:val="TableParagraph"/>
              <w:ind w:left="49" w:right="11"/>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3"/>
              <w:jc w:val="left"/>
              <w:rPr>
                <w:rFonts w:ascii="Times New Roman"/>
                <w:sz w:val="18"/>
              </w:rPr>
            </w:pPr>
          </w:p>
          <w:p>
            <w:pPr>
              <w:pStyle w:val="TableParagraph"/>
              <w:ind w:left="45" w:right="22"/>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3"/>
              <w:jc w:val="left"/>
              <w:rPr>
                <w:rFonts w:ascii="Times New Roman"/>
                <w:sz w:val="18"/>
              </w:rPr>
            </w:pPr>
          </w:p>
          <w:p>
            <w:pPr>
              <w:pStyle w:val="TableParagraph"/>
              <w:ind w:left="44" w:right="22"/>
              <w:rPr>
                <w:rFonts w:ascii="Calibri"/>
                <w:sz w:val="22"/>
              </w:rPr>
            </w:pPr>
            <w:r>
              <w:rPr>
                <w:rFonts w:ascii="Calibri"/>
                <w:spacing w:val="-7"/>
                <w:sz w:val="22"/>
              </w:rPr>
              <w:t>$510,395,701.38</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3"/>
              <w:jc w:val="left"/>
              <w:rPr>
                <w:rFonts w:ascii="Times New Roman"/>
                <w:sz w:val="18"/>
              </w:rPr>
            </w:pPr>
          </w:p>
          <w:p>
            <w:pPr>
              <w:pStyle w:val="TableParagraph"/>
              <w:ind w:left="524"/>
              <w:jc w:val="left"/>
              <w:rPr>
                <w:rFonts w:ascii="Calibri"/>
                <w:sz w:val="22"/>
              </w:rPr>
            </w:pPr>
            <w:r>
              <w:rPr>
                <w:rFonts w:ascii="Calibri"/>
                <w:sz w:val="22"/>
              </w:rPr>
              <w:t>$0.00</w:t>
            </w:r>
          </w:p>
        </w:tc>
        <w:tc>
          <w:tcPr>
            <w:tcW w:w="990" w:type="dxa"/>
            <w:tcBorders>
              <w:top w:val="single" w:sz="12" w:space="0" w:color="000000"/>
              <w:left w:val="single" w:sz="12" w:space="0" w:color="000000"/>
              <w:bottom w:val="single" w:sz="12" w:space="0" w:color="000000"/>
              <w:right w:val="single" w:sz="12" w:space="0" w:color="000000"/>
            </w:tcBorders>
          </w:tcPr>
          <w:p>
            <w:pPr>
              <w:pStyle w:val="TableParagraph"/>
              <w:spacing w:before="3"/>
              <w:jc w:val="left"/>
              <w:rPr>
                <w:rFonts w:ascii="Times New Roman"/>
                <w:sz w:val="18"/>
              </w:rPr>
            </w:pPr>
          </w:p>
          <w:p>
            <w:pPr>
              <w:pStyle w:val="TableParagraph"/>
              <w:ind w:left="58" w:right="20"/>
              <w:rPr>
                <w:rFonts w:ascii="Calibri"/>
                <w:sz w:val="22"/>
              </w:rPr>
            </w:pPr>
            <w:r>
              <w:rPr>
                <w:rFonts w:ascii="Calibri"/>
                <w:sz w:val="22"/>
              </w:rPr>
              <w:t>$0.00</w:t>
            </w:r>
          </w:p>
        </w:tc>
        <w:tc>
          <w:tcPr>
            <w:tcW w:w="1440" w:type="dxa"/>
            <w:tcBorders>
              <w:top w:val="single" w:sz="12" w:space="0" w:color="000000"/>
              <w:left w:val="single" w:sz="12" w:space="0" w:color="000000"/>
              <w:bottom w:val="single" w:sz="12" w:space="0" w:color="000000"/>
              <w:right w:val="single" w:sz="12" w:space="0" w:color="000000"/>
            </w:tcBorders>
          </w:tcPr>
          <w:p>
            <w:pPr>
              <w:pStyle w:val="TableParagraph"/>
              <w:spacing w:before="3"/>
              <w:jc w:val="left"/>
              <w:rPr>
                <w:rFonts w:ascii="Times New Roman"/>
                <w:sz w:val="18"/>
              </w:rPr>
            </w:pPr>
          </w:p>
          <w:p>
            <w:pPr>
              <w:pStyle w:val="TableParagraph"/>
              <w:ind w:left="48" w:right="10"/>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3"/>
              <w:jc w:val="left"/>
              <w:rPr>
                <w:rFonts w:ascii="Times New Roman"/>
                <w:sz w:val="18"/>
              </w:rPr>
            </w:pPr>
          </w:p>
          <w:p>
            <w:pPr>
              <w:pStyle w:val="TableParagraph"/>
              <w:ind w:left="45" w:right="22"/>
              <w:rPr>
                <w:rFonts w:ascii="Calibri"/>
                <w:sz w:val="22"/>
              </w:rPr>
            </w:pPr>
            <w:r>
              <w:rPr>
                <w:rFonts w:ascii="Calibri"/>
                <w:sz w:val="22"/>
              </w:rPr>
              <w:t>$0.00</w:t>
            </w:r>
          </w:p>
        </w:tc>
      </w:tr>
      <w:tr>
        <w:trPr>
          <w:trHeight w:val="689" w:hRule="exact"/>
        </w:trPr>
        <w:tc>
          <w:tcPr>
            <w:tcW w:w="1192" w:type="dxa"/>
            <w:tcBorders>
              <w:top w:val="single" w:sz="12" w:space="0" w:color="000000"/>
              <w:left w:val="single" w:sz="6" w:space="0" w:color="000000"/>
              <w:bottom w:val="single" w:sz="12" w:space="0" w:color="000000"/>
              <w:right w:val="single" w:sz="12" w:space="0" w:color="000000"/>
            </w:tcBorders>
          </w:tcPr>
          <w:p>
            <w:pPr>
              <w:pStyle w:val="TableParagraph"/>
              <w:spacing w:line="276" w:lineRule="auto" w:before="132"/>
              <w:ind w:left="59" w:right="-17" w:hanging="30"/>
              <w:jc w:val="left"/>
              <w:rPr>
                <w:rFonts w:ascii="Calibri" w:hAnsi="Calibri"/>
                <w:b/>
                <w:sz w:val="16"/>
              </w:rPr>
            </w:pPr>
            <w:r>
              <w:rPr>
                <w:rFonts w:ascii="Calibri" w:hAnsi="Calibri"/>
                <w:b/>
                <w:color w:val="333333"/>
                <w:w w:val="105"/>
                <w:sz w:val="16"/>
              </w:rPr>
              <w:t>SAN MARTÍN DE LAS PIRAMIDES</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2"/>
              <w:jc w:val="left"/>
              <w:rPr>
                <w:rFonts w:ascii="Times New Roman"/>
                <w:sz w:val="18"/>
              </w:rPr>
            </w:pPr>
          </w:p>
          <w:p>
            <w:pPr>
              <w:pStyle w:val="TableParagraph"/>
              <w:spacing w:before="1"/>
              <w:ind w:left="49" w:right="12"/>
              <w:rPr>
                <w:rFonts w:ascii="Calibri"/>
                <w:sz w:val="22"/>
              </w:rPr>
            </w:pPr>
            <w:r>
              <w:rPr>
                <w:rFonts w:ascii="Calibri"/>
                <w:sz w:val="22"/>
              </w:rPr>
              <w:t>$79,541,270.00</w:t>
            </w:r>
          </w:p>
        </w:tc>
        <w:tc>
          <w:tcPr>
            <w:tcW w:w="1440" w:type="dxa"/>
            <w:tcBorders>
              <w:top w:val="single" w:sz="12" w:space="0" w:color="000000"/>
              <w:left w:val="single" w:sz="12" w:space="0" w:color="000000"/>
              <w:bottom w:val="single" w:sz="12" w:space="0" w:color="000000"/>
              <w:right w:val="single" w:sz="12" w:space="0" w:color="000000"/>
            </w:tcBorders>
          </w:tcPr>
          <w:p>
            <w:pPr>
              <w:pStyle w:val="TableParagraph"/>
              <w:spacing w:before="2"/>
              <w:jc w:val="left"/>
              <w:rPr>
                <w:rFonts w:ascii="Times New Roman"/>
                <w:sz w:val="18"/>
              </w:rPr>
            </w:pPr>
          </w:p>
          <w:p>
            <w:pPr>
              <w:pStyle w:val="TableParagraph"/>
              <w:spacing w:before="1"/>
              <w:ind w:left="49" w:right="12"/>
              <w:rPr>
                <w:rFonts w:ascii="Calibri"/>
                <w:sz w:val="22"/>
              </w:rPr>
            </w:pPr>
            <w:r>
              <w:rPr>
                <w:rFonts w:ascii="Calibri"/>
                <w:sz w:val="22"/>
              </w:rPr>
              <w:t>$5,040,876.16</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2"/>
              <w:jc w:val="left"/>
              <w:rPr>
                <w:rFonts w:ascii="Times New Roman"/>
                <w:sz w:val="18"/>
              </w:rPr>
            </w:pPr>
          </w:p>
          <w:p>
            <w:pPr>
              <w:pStyle w:val="TableParagraph"/>
              <w:spacing w:before="1"/>
              <w:ind w:left="49" w:right="12"/>
              <w:rPr>
                <w:rFonts w:ascii="Calibri"/>
                <w:sz w:val="22"/>
              </w:rPr>
            </w:pPr>
            <w:r>
              <w:rPr>
                <w:rFonts w:ascii="Calibri"/>
                <w:sz w:val="22"/>
              </w:rPr>
              <w:t>$80,147,693.26</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2"/>
              <w:jc w:val="left"/>
              <w:rPr>
                <w:rFonts w:ascii="Times New Roman"/>
                <w:sz w:val="18"/>
              </w:rPr>
            </w:pPr>
          </w:p>
          <w:p>
            <w:pPr>
              <w:pStyle w:val="TableParagraph"/>
              <w:spacing w:before="1"/>
              <w:ind w:left="44" w:right="22"/>
              <w:rPr>
                <w:rFonts w:ascii="Calibri"/>
                <w:sz w:val="22"/>
              </w:rPr>
            </w:pPr>
            <w:r>
              <w:rPr>
                <w:rFonts w:ascii="Calibri"/>
                <w:sz w:val="22"/>
              </w:rPr>
              <w:t>$4,434,452.90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2"/>
              <w:jc w:val="left"/>
              <w:rPr>
                <w:rFonts w:ascii="Times New Roman"/>
                <w:sz w:val="18"/>
              </w:rPr>
            </w:pPr>
          </w:p>
          <w:p>
            <w:pPr>
              <w:pStyle w:val="TableParagraph"/>
              <w:spacing w:before="1"/>
              <w:ind w:right="65"/>
              <w:jc w:val="right"/>
              <w:rPr>
                <w:rFonts w:ascii="Calibri"/>
                <w:sz w:val="22"/>
              </w:rPr>
            </w:pPr>
            <w:r>
              <w:rPr>
                <w:rFonts w:ascii="Calibri"/>
                <w:sz w:val="22"/>
              </w:rPr>
              <w:t>$85,004,800.00</w:t>
            </w:r>
          </w:p>
        </w:tc>
        <w:tc>
          <w:tcPr>
            <w:tcW w:w="990" w:type="dxa"/>
            <w:tcBorders>
              <w:top w:val="single" w:sz="12" w:space="0" w:color="000000"/>
              <w:left w:val="single" w:sz="12" w:space="0" w:color="000000"/>
              <w:bottom w:val="single" w:sz="12" w:space="0" w:color="000000"/>
              <w:right w:val="single" w:sz="12" w:space="0" w:color="000000"/>
            </w:tcBorders>
          </w:tcPr>
          <w:p>
            <w:pPr>
              <w:pStyle w:val="TableParagraph"/>
              <w:spacing w:before="2"/>
              <w:jc w:val="left"/>
              <w:rPr>
                <w:rFonts w:ascii="Times New Roman"/>
                <w:sz w:val="18"/>
              </w:rPr>
            </w:pPr>
          </w:p>
          <w:p>
            <w:pPr>
              <w:pStyle w:val="TableParagraph"/>
              <w:spacing w:before="1"/>
              <w:ind w:left="58" w:right="20"/>
              <w:rPr>
                <w:rFonts w:ascii="Calibri"/>
                <w:sz w:val="22"/>
              </w:rPr>
            </w:pPr>
            <w:r>
              <w:rPr>
                <w:rFonts w:ascii="Calibri"/>
                <w:sz w:val="22"/>
              </w:rPr>
              <w:t>$0.00</w:t>
            </w:r>
          </w:p>
        </w:tc>
        <w:tc>
          <w:tcPr>
            <w:tcW w:w="1440" w:type="dxa"/>
            <w:tcBorders>
              <w:top w:val="single" w:sz="12" w:space="0" w:color="000000"/>
              <w:left w:val="single" w:sz="12" w:space="0" w:color="000000"/>
              <w:bottom w:val="single" w:sz="12" w:space="0" w:color="000000"/>
              <w:right w:val="single" w:sz="12" w:space="0" w:color="000000"/>
            </w:tcBorders>
          </w:tcPr>
          <w:p>
            <w:pPr>
              <w:pStyle w:val="TableParagraph"/>
              <w:spacing w:before="2"/>
              <w:jc w:val="left"/>
              <w:rPr>
                <w:rFonts w:ascii="Times New Roman"/>
                <w:sz w:val="18"/>
              </w:rPr>
            </w:pPr>
          </w:p>
          <w:p>
            <w:pPr>
              <w:pStyle w:val="TableParagraph"/>
              <w:spacing w:before="1"/>
              <w:ind w:left="48" w:right="10"/>
              <w:rPr>
                <w:rFonts w:ascii="Calibri"/>
                <w:sz w:val="22"/>
              </w:rPr>
            </w:pPr>
            <w:r>
              <w:rPr>
                <w:rFonts w:ascii="Calibri"/>
                <w:sz w:val="22"/>
              </w:rPr>
              <w:t>$0.00</w:t>
            </w:r>
          </w:p>
        </w:tc>
        <w:tc>
          <w:tcPr>
            <w:tcW w:w="1545" w:type="dxa"/>
            <w:tcBorders>
              <w:top w:val="single" w:sz="12" w:space="0" w:color="000000"/>
              <w:left w:val="single" w:sz="12" w:space="0" w:color="000000"/>
              <w:bottom w:val="single" w:sz="12" w:space="0" w:color="000000"/>
              <w:right w:val="single" w:sz="12" w:space="0" w:color="000000"/>
            </w:tcBorders>
          </w:tcPr>
          <w:p>
            <w:pPr>
              <w:pStyle w:val="TableParagraph"/>
              <w:spacing w:before="2"/>
              <w:jc w:val="left"/>
              <w:rPr>
                <w:rFonts w:ascii="Times New Roman"/>
                <w:sz w:val="18"/>
              </w:rPr>
            </w:pPr>
          </w:p>
          <w:p>
            <w:pPr>
              <w:pStyle w:val="TableParagraph"/>
              <w:spacing w:before="1"/>
              <w:ind w:left="49" w:right="12"/>
              <w:rPr>
                <w:rFonts w:ascii="Calibri"/>
                <w:sz w:val="22"/>
              </w:rPr>
            </w:pPr>
            <w:r>
              <w:rPr>
                <w:rFonts w:ascii="Calibri"/>
                <w:sz w:val="22"/>
              </w:rPr>
              <w:t>$85,004,800.00</w:t>
            </w:r>
          </w:p>
        </w:tc>
      </w:tr>
    </w:tbl>
    <w:p>
      <w:pPr>
        <w:spacing w:after="0"/>
        <w:rPr>
          <w:rFonts w:ascii="Calibri"/>
          <w:sz w:val="22"/>
        </w:rPr>
        <w:sectPr>
          <w:pgSz w:w="15840" w:h="12240" w:orient="landscape"/>
          <w:pgMar w:header="0" w:footer="975" w:top="1140" w:bottom="1160" w:left="1300" w:right="1480"/>
        </w:sectPr>
      </w:pPr>
    </w:p>
    <w:p>
      <w:pPr>
        <w:pStyle w:val="BodyText"/>
        <w:rPr>
          <w:rFonts w:ascii="Times New Roman"/>
          <w:sz w:val="20"/>
        </w:rPr>
      </w:pPr>
      <w:r>
        <w:rPr/>
        <w:pict>
          <v:line style="position:absolute;mso-position-horizontal-relative:page;mso-position-vertical-relative:page;z-index:-2764456" from="71.212059pt,114.120483pt" to="71.212059pt,114.120483pt" stroked="true" strokeweight=".723068pt" strokecolor="#d3d3d3">
            <w10:wrap type="none"/>
          </v:line>
        </w:pict>
      </w:r>
      <w:r>
        <w:rPr/>
        <w:pict>
          <v:line style="position:absolute;mso-position-horizontal-relative:page;mso-position-vertical-relative:page;z-index:-2764432" from="720.756592pt,114.120483pt" to="720.756592pt,114.120483pt" stroked="true" strokeweight=".723068pt" strokecolor="#d3d3d3">
            <w10:wrap type="none"/>
          </v:lin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8"/>
        </w:rPr>
      </w:pPr>
    </w:p>
    <w:tbl>
      <w:tblPr>
        <w:tblW w:w="0" w:type="auto"/>
        <w:jc w:val="left"/>
        <w:tblInd w:w="11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341"/>
        <w:gridCol w:w="1493"/>
        <w:gridCol w:w="1392"/>
        <w:gridCol w:w="1493"/>
        <w:gridCol w:w="1494"/>
        <w:gridCol w:w="1667"/>
        <w:gridCol w:w="957"/>
        <w:gridCol w:w="1652"/>
        <w:gridCol w:w="1494"/>
      </w:tblGrid>
      <w:tr>
        <w:trPr>
          <w:trHeight w:val="659" w:hRule="exact"/>
        </w:trPr>
        <w:tc>
          <w:tcPr>
            <w:tcW w:w="12984" w:type="dxa"/>
            <w:gridSpan w:val="9"/>
            <w:tcBorders>
              <w:bottom w:val="single" w:sz="12" w:space="0" w:color="000000"/>
              <w:right w:val="single" w:sz="12" w:space="0" w:color="000000"/>
            </w:tcBorders>
            <w:shd w:val="clear" w:color="auto" w:fill="C4D69B"/>
          </w:tcPr>
          <w:p>
            <w:pPr>
              <w:pStyle w:val="TableParagraph"/>
              <w:spacing w:before="10"/>
              <w:jc w:val="left"/>
              <w:rPr>
                <w:rFonts w:ascii="Times New Roman"/>
                <w:sz w:val="18"/>
              </w:rPr>
            </w:pPr>
          </w:p>
          <w:p>
            <w:pPr>
              <w:pStyle w:val="TableParagraph"/>
              <w:ind w:left="3276"/>
              <w:jc w:val="left"/>
              <w:rPr>
                <w:b/>
                <w:sz w:val="17"/>
              </w:rPr>
            </w:pPr>
            <w:r>
              <w:rPr>
                <w:b/>
                <w:w w:val="105"/>
                <w:sz w:val="17"/>
              </w:rPr>
              <w:t>Anexo 24D. Municipios que publican su presupuesto 2014-2015 (Continuación)</w:t>
            </w:r>
          </w:p>
        </w:tc>
      </w:tr>
      <w:tr>
        <w:trPr>
          <w:trHeight w:val="449" w:hRule="exact"/>
        </w:trPr>
        <w:tc>
          <w:tcPr>
            <w:tcW w:w="1341" w:type="dxa"/>
            <w:vMerge w:val="restart"/>
            <w:tcBorders>
              <w:top w:val="single" w:sz="12" w:space="0" w:color="000000"/>
              <w:right w:val="single" w:sz="12" w:space="0" w:color="000000"/>
            </w:tcBorders>
            <w:shd w:val="clear" w:color="auto" w:fill="C4D69B"/>
          </w:tcPr>
          <w:p>
            <w:pPr>
              <w:pStyle w:val="TableParagraph"/>
              <w:jc w:val="left"/>
              <w:rPr>
                <w:rFonts w:ascii="Times New Roman"/>
                <w:sz w:val="16"/>
              </w:rPr>
            </w:pPr>
          </w:p>
          <w:p>
            <w:pPr>
              <w:pStyle w:val="TableParagraph"/>
              <w:jc w:val="left"/>
              <w:rPr>
                <w:rFonts w:ascii="Times New Roman"/>
                <w:sz w:val="23"/>
              </w:rPr>
            </w:pPr>
          </w:p>
          <w:p>
            <w:pPr>
              <w:pStyle w:val="TableParagraph"/>
              <w:spacing w:before="1"/>
              <w:ind w:left="275" w:right="89"/>
              <w:jc w:val="left"/>
              <w:rPr>
                <w:b/>
                <w:sz w:val="17"/>
              </w:rPr>
            </w:pPr>
            <w:r>
              <w:rPr>
                <w:b/>
                <w:w w:val="105"/>
                <w:sz w:val="17"/>
              </w:rPr>
              <w:t>Municipio</w:t>
            </w:r>
          </w:p>
        </w:tc>
        <w:tc>
          <w:tcPr>
            <w:tcW w:w="5872" w:type="dxa"/>
            <w:gridSpan w:val="4"/>
            <w:tcBorders>
              <w:top w:val="single" w:sz="12" w:space="0" w:color="000000"/>
              <w:left w:val="single" w:sz="12" w:space="0" w:color="000000"/>
              <w:bottom w:val="single" w:sz="12" w:space="0" w:color="000000"/>
              <w:right w:val="single" w:sz="12" w:space="0" w:color="000000"/>
            </w:tcBorders>
            <w:shd w:val="clear" w:color="auto" w:fill="C4D69B"/>
          </w:tcPr>
          <w:p>
            <w:pPr>
              <w:pStyle w:val="TableParagraph"/>
              <w:spacing w:before="115"/>
              <w:ind w:left="2719" w:right="2706"/>
              <w:rPr>
                <w:sz w:val="17"/>
              </w:rPr>
            </w:pPr>
            <w:r>
              <w:rPr>
                <w:sz w:val="17"/>
              </w:rPr>
              <w:t>2014</w:t>
            </w:r>
          </w:p>
        </w:tc>
        <w:tc>
          <w:tcPr>
            <w:tcW w:w="5770" w:type="dxa"/>
            <w:gridSpan w:val="4"/>
            <w:tcBorders>
              <w:top w:val="single" w:sz="12" w:space="0" w:color="000000"/>
              <w:left w:val="single" w:sz="12" w:space="0" w:color="000000"/>
              <w:bottom w:val="single" w:sz="12" w:space="0" w:color="000000"/>
              <w:right w:val="single" w:sz="12" w:space="0" w:color="000000"/>
            </w:tcBorders>
            <w:shd w:val="clear" w:color="auto" w:fill="C4D69B"/>
          </w:tcPr>
          <w:p>
            <w:pPr>
              <w:pStyle w:val="TableParagraph"/>
              <w:spacing w:before="115"/>
              <w:ind w:left="2675" w:right="2647"/>
              <w:rPr>
                <w:sz w:val="17"/>
              </w:rPr>
            </w:pPr>
            <w:r>
              <w:rPr>
                <w:sz w:val="17"/>
              </w:rPr>
              <w:t>2015</w:t>
            </w:r>
          </w:p>
        </w:tc>
      </w:tr>
      <w:tr>
        <w:trPr>
          <w:trHeight w:val="667" w:hRule="exact"/>
        </w:trPr>
        <w:tc>
          <w:tcPr>
            <w:tcW w:w="1341" w:type="dxa"/>
            <w:vMerge/>
            <w:tcBorders>
              <w:bottom w:val="single" w:sz="12" w:space="0" w:color="000000"/>
              <w:right w:val="single" w:sz="12" w:space="0" w:color="000000"/>
            </w:tcBorders>
            <w:shd w:val="clear" w:color="auto" w:fill="C4D69B"/>
          </w:tcPr>
          <w:p>
            <w:pPr/>
          </w:p>
        </w:tc>
        <w:tc>
          <w:tcPr>
            <w:tcW w:w="1493" w:type="dxa"/>
            <w:tcBorders>
              <w:top w:val="single" w:sz="12" w:space="0" w:color="000000"/>
              <w:left w:val="single" w:sz="12" w:space="0" w:color="000000"/>
              <w:bottom w:val="single" w:sz="12" w:space="0" w:color="000000"/>
              <w:right w:val="single" w:sz="12" w:space="0" w:color="000000"/>
            </w:tcBorders>
            <w:shd w:val="clear" w:color="auto" w:fill="C4D69B"/>
          </w:tcPr>
          <w:p>
            <w:pPr>
              <w:pStyle w:val="TableParagraph"/>
              <w:spacing w:before="2"/>
              <w:jc w:val="left"/>
              <w:rPr>
                <w:rFonts w:ascii="Times New Roman"/>
                <w:sz w:val="20"/>
              </w:rPr>
            </w:pPr>
          </w:p>
          <w:p>
            <w:pPr>
              <w:pStyle w:val="TableParagraph"/>
              <w:ind w:left="23"/>
              <w:rPr>
                <w:sz w:val="17"/>
              </w:rPr>
            </w:pPr>
            <w:r>
              <w:rPr>
                <w:sz w:val="17"/>
              </w:rPr>
              <w:t>Autorizado</w:t>
            </w:r>
          </w:p>
        </w:tc>
        <w:tc>
          <w:tcPr>
            <w:tcW w:w="1392" w:type="dxa"/>
            <w:tcBorders>
              <w:top w:val="single" w:sz="12" w:space="0" w:color="000000"/>
              <w:left w:val="single" w:sz="12" w:space="0" w:color="000000"/>
              <w:bottom w:val="single" w:sz="12" w:space="0" w:color="000000"/>
              <w:right w:val="single" w:sz="12" w:space="0" w:color="000000"/>
            </w:tcBorders>
            <w:shd w:val="clear" w:color="auto" w:fill="C4D69B"/>
          </w:tcPr>
          <w:p>
            <w:pPr>
              <w:pStyle w:val="TableParagraph"/>
              <w:spacing w:before="2"/>
              <w:jc w:val="left"/>
              <w:rPr>
                <w:rFonts w:ascii="Times New Roman"/>
                <w:sz w:val="20"/>
              </w:rPr>
            </w:pPr>
          </w:p>
          <w:p>
            <w:pPr>
              <w:pStyle w:val="TableParagraph"/>
              <w:ind w:left="7"/>
              <w:rPr>
                <w:sz w:val="17"/>
              </w:rPr>
            </w:pPr>
            <w:r>
              <w:rPr>
                <w:sz w:val="17"/>
              </w:rPr>
              <w:t>Modificado</w:t>
            </w:r>
          </w:p>
        </w:tc>
        <w:tc>
          <w:tcPr>
            <w:tcW w:w="1493" w:type="dxa"/>
            <w:tcBorders>
              <w:top w:val="single" w:sz="12" w:space="0" w:color="000000"/>
              <w:left w:val="single" w:sz="12" w:space="0" w:color="000000"/>
              <w:bottom w:val="single" w:sz="12" w:space="0" w:color="000000"/>
              <w:right w:val="single" w:sz="12" w:space="0" w:color="000000"/>
            </w:tcBorders>
            <w:shd w:val="clear" w:color="auto" w:fill="C4D69B"/>
          </w:tcPr>
          <w:p>
            <w:pPr>
              <w:pStyle w:val="TableParagraph"/>
              <w:spacing w:before="2"/>
              <w:jc w:val="left"/>
              <w:rPr>
                <w:rFonts w:ascii="Times New Roman"/>
                <w:sz w:val="20"/>
              </w:rPr>
            </w:pPr>
          </w:p>
          <w:p>
            <w:pPr>
              <w:pStyle w:val="TableParagraph"/>
              <w:ind w:left="23"/>
              <w:rPr>
                <w:sz w:val="17"/>
              </w:rPr>
            </w:pPr>
            <w:r>
              <w:rPr>
                <w:sz w:val="17"/>
              </w:rPr>
              <w:t>Ejercido</w:t>
            </w:r>
          </w:p>
        </w:tc>
        <w:tc>
          <w:tcPr>
            <w:tcW w:w="1494" w:type="dxa"/>
            <w:tcBorders>
              <w:top w:val="single" w:sz="12" w:space="0" w:color="000000"/>
              <w:left w:val="single" w:sz="12" w:space="0" w:color="000000"/>
              <w:bottom w:val="single" w:sz="12" w:space="0" w:color="000000"/>
              <w:right w:val="single" w:sz="12" w:space="0" w:color="000000"/>
            </w:tcBorders>
            <w:shd w:val="clear" w:color="auto" w:fill="C4D69B"/>
          </w:tcPr>
          <w:p>
            <w:pPr>
              <w:pStyle w:val="TableParagraph"/>
              <w:spacing w:before="2"/>
              <w:jc w:val="left"/>
              <w:rPr>
                <w:rFonts w:ascii="Times New Roman"/>
                <w:sz w:val="20"/>
              </w:rPr>
            </w:pPr>
          </w:p>
          <w:p>
            <w:pPr>
              <w:pStyle w:val="TableParagraph"/>
              <w:ind w:left="304" w:right="-1"/>
              <w:jc w:val="left"/>
              <w:rPr>
                <w:sz w:val="17"/>
              </w:rPr>
            </w:pPr>
            <w:r>
              <w:rPr>
                <w:sz w:val="17"/>
              </w:rPr>
              <w:t>Por ejercer</w:t>
            </w:r>
          </w:p>
        </w:tc>
        <w:tc>
          <w:tcPr>
            <w:tcW w:w="1667" w:type="dxa"/>
            <w:tcBorders>
              <w:top w:val="single" w:sz="12" w:space="0" w:color="000000"/>
              <w:left w:val="single" w:sz="12" w:space="0" w:color="000000"/>
              <w:bottom w:val="single" w:sz="12" w:space="0" w:color="000000"/>
              <w:right w:val="single" w:sz="12" w:space="0" w:color="000000"/>
            </w:tcBorders>
            <w:shd w:val="clear" w:color="auto" w:fill="C4D69B"/>
          </w:tcPr>
          <w:p>
            <w:pPr>
              <w:pStyle w:val="TableParagraph"/>
              <w:spacing w:before="2"/>
              <w:jc w:val="left"/>
              <w:rPr>
                <w:rFonts w:ascii="Times New Roman"/>
                <w:sz w:val="20"/>
              </w:rPr>
            </w:pPr>
          </w:p>
          <w:p>
            <w:pPr>
              <w:pStyle w:val="TableParagraph"/>
              <w:ind w:left="23"/>
              <w:rPr>
                <w:sz w:val="17"/>
              </w:rPr>
            </w:pPr>
            <w:r>
              <w:rPr>
                <w:sz w:val="17"/>
              </w:rPr>
              <w:t>Autorizado</w:t>
            </w:r>
          </w:p>
        </w:tc>
        <w:tc>
          <w:tcPr>
            <w:tcW w:w="957" w:type="dxa"/>
            <w:tcBorders>
              <w:top w:val="single" w:sz="12" w:space="0" w:color="000000"/>
              <w:left w:val="single" w:sz="12" w:space="0" w:color="000000"/>
              <w:bottom w:val="single" w:sz="12" w:space="0" w:color="000000"/>
              <w:right w:val="single" w:sz="12" w:space="0" w:color="000000"/>
            </w:tcBorders>
            <w:shd w:val="clear" w:color="auto" w:fill="C4D69B"/>
          </w:tcPr>
          <w:p>
            <w:pPr>
              <w:pStyle w:val="TableParagraph"/>
              <w:spacing w:before="2"/>
              <w:jc w:val="left"/>
              <w:rPr>
                <w:rFonts w:ascii="Times New Roman"/>
                <w:sz w:val="20"/>
              </w:rPr>
            </w:pPr>
          </w:p>
          <w:p>
            <w:pPr>
              <w:pStyle w:val="TableParagraph"/>
              <w:ind w:left="36" w:right="29"/>
              <w:rPr>
                <w:sz w:val="17"/>
              </w:rPr>
            </w:pPr>
            <w:r>
              <w:rPr>
                <w:sz w:val="17"/>
              </w:rPr>
              <w:t>Modificado</w:t>
            </w:r>
          </w:p>
        </w:tc>
        <w:tc>
          <w:tcPr>
            <w:tcW w:w="1652" w:type="dxa"/>
            <w:tcBorders>
              <w:top w:val="single" w:sz="12" w:space="0" w:color="000000"/>
              <w:left w:val="single" w:sz="12" w:space="0" w:color="000000"/>
              <w:bottom w:val="single" w:sz="12" w:space="0" w:color="000000"/>
              <w:right w:val="single" w:sz="12" w:space="0" w:color="000000"/>
            </w:tcBorders>
            <w:shd w:val="clear" w:color="auto" w:fill="C4D69B"/>
          </w:tcPr>
          <w:p>
            <w:pPr>
              <w:pStyle w:val="TableParagraph"/>
              <w:spacing w:before="2"/>
              <w:jc w:val="left"/>
              <w:rPr>
                <w:rFonts w:ascii="Times New Roman"/>
                <w:sz w:val="20"/>
              </w:rPr>
            </w:pPr>
          </w:p>
          <w:p>
            <w:pPr>
              <w:pStyle w:val="TableParagraph"/>
              <w:ind w:left="10" w:right="2"/>
              <w:rPr>
                <w:sz w:val="17"/>
              </w:rPr>
            </w:pPr>
            <w:r>
              <w:rPr>
                <w:sz w:val="17"/>
              </w:rPr>
              <w:t>Ejercido</w:t>
            </w:r>
          </w:p>
        </w:tc>
        <w:tc>
          <w:tcPr>
            <w:tcW w:w="1494" w:type="dxa"/>
            <w:tcBorders>
              <w:top w:val="single" w:sz="12" w:space="0" w:color="000000"/>
              <w:left w:val="single" w:sz="12" w:space="0" w:color="000000"/>
              <w:bottom w:val="single" w:sz="12" w:space="0" w:color="000000"/>
              <w:right w:val="single" w:sz="12" w:space="0" w:color="000000"/>
            </w:tcBorders>
            <w:shd w:val="clear" w:color="auto" w:fill="C4D69B"/>
          </w:tcPr>
          <w:p>
            <w:pPr>
              <w:pStyle w:val="TableParagraph"/>
              <w:spacing w:before="2"/>
              <w:jc w:val="left"/>
              <w:rPr>
                <w:rFonts w:ascii="Times New Roman"/>
                <w:sz w:val="20"/>
              </w:rPr>
            </w:pPr>
          </w:p>
          <w:p>
            <w:pPr>
              <w:pStyle w:val="TableParagraph"/>
              <w:ind w:left="13"/>
              <w:rPr>
                <w:sz w:val="17"/>
              </w:rPr>
            </w:pPr>
            <w:r>
              <w:rPr>
                <w:sz w:val="17"/>
              </w:rPr>
              <w:t>Por ejercer</w:t>
            </w:r>
          </w:p>
        </w:tc>
      </w:tr>
      <w:tr>
        <w:trPr>
          <w:trHeight w:val="449" w:hRule="exact"/>
        </w:trPr>
        <w:tc>
          <w:tcPr>
            <w:tcW w:w="1341" w:type="dxa"/>
            <w:tcBorders>
              <w:top w:val="single" w:sz="12" w:space="0" w:color="000000"/>
              <w:bottom w:val="single" w:sz="12" w:space="0" w:color="000000"/>
              <w:right w:val="single" w:sz="12" w:space="0" w:color="000000"/>
            </w:tcBorders>
          </w:tcPr>
          <w:p>
            <w:pPr>
              <w:pStyle w:val="TableParagraph"/>
              <w:spacing w:line="266" w:lineRule="auto" w:before="6"/>
              <w:ind w:left="391" w:right="89" w:hanging="145"/>
              <w:jc w:val="left"/>
              <w:rPr>
                <w:rFonts w:ascii="Calibri"/>
                <w:b/>
                <w:sz w:val="16"/>
              </w:rPr>
            </w:pPr>
            <w:r>
              <w:rPr>
                <w:rFonts w:ascii="Calibri"/>
                <w:b/>
                <w:color w:val="333333"/>
                <w:sz w:val="16"/>
              </w:rPr>
              <w:t>SAN MATEO ATENCO</w:t>
            </w:r>
          </w:p>
        </w:tc>
        <w:tc>
          <w:tcPr>
            <w:tcW w:w="1493"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2"/>
              <w:rPr>
                <w:rFonts w:ascii="Calibri"/>
                <w:sz w:val="21"/>
              </w:rPr>
            </w:pPr>
            <w:r>
              <w:rPr>
                <w:rFonts w:ascii="Calibri"/>
                <w:spacing w:val="-7"/>
                <w:w w:val="105"/>
                <w:sz w:val="21"/>
              </w:rPr>
              <w:t>$217,466,379.15</w:t>
            </w:r>
          </w:p>
        </w:tc>
        <w:tc>
          <w:tcPr>
            <w:tcW w:w="1392"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37"/>
              <w:rPr>
                <w:rFonts w:ascii="Calibri"/>
                <w:sz w:val="21"/>
              </w:rPr>
            </w:pPr>
            <w:r>
              <w:rPr>
                <w:rFonts w:ascii="Calibri"/>
                <w:w w:val="105"/>
                <w:sz w:val="21"/>
              </w:rPr>
              <w:t>$0.00</w:t>
            </w:r>
          </w:p>
        </w:tc>
        <w:tc>
          <w:tcPr>
            <w:tcW w:w="1493"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3"/>
              <w:rPr>
                <w:rFonts w:ascii="Calibri"/>
                <w:sz w:val="21"/>
              </w:rPr>
            </w:pPr>
            <w:r>
              <w:rPr>
                <w:rFonts w:ascii="Calibri"/>
                <w:w w:val="105"/>
                <w:sz w:val="21"/>
              </w:rPr>
              <w:t>$0.00</w:t>
            </w:r>
          </w:p>
        </w:tc>
        <w:tc>
          <w:tcPr>
            <w:tcW w:w="1494"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3" w:right="-1"/>
              <w:jc w:val="left"/>
              <w:rPr>
                <w:rFonts w:ascii="Calibri"/>
                <w:sz w:val="21"/>
              </w:rPr>
            </w:pPr>
            <w:r>
              <w:rPr>
                <w:rFonts w:ascii="Calibri"/>
                <w:spacing w:val="-7"/>
                <w:w w:val="105"/>
                <w:sz w:val="21"/>
              </w:rPr>
              <w:t>$217,466,379.15</w:t>
            </w:r>
          </w:p>
        </w:tc>
        <w:tc>
          <w:tcPr>
            <w:tcW w:w="1667"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2"/>
              <w:rPr>
                <w:rFonts w:ascii="Calibri"/>
                <w:sz w:val="21"/>
              </w:rPr>
            </w:pPr>
            <w:r>
              <w:rPr>
                <w:rFonts w:ascii="Calibri"/>
                <w:w w:val="105"/>
                <w:sz w:val="21"/>
              </w:rPr>
              <w:t>$0.00</w:t>
            </w:r>
          </w:p>
        </w:tc>
        <w:tc>
          <w:tcPr>
            <w:tcW w:w="957"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66" w:right="29"/>
              <w:rPr>
                <w:rFonts w:ascii="Calibri"/>
                <w:sz w:val="21"/>
              </w:rPr>
            </w:pPr>
            <w:r>
              <w:rPr>
                <w:rFonts w:ascii="Calibri"/>
                <w:w w:val="105"/>
                <w:sz w:val="21"/>
              </w:rPr>
              <w:t>$0.00</w:t>
            </w:r>
          </w:p>
        </w:tc>
        <w:tc>
          <w:tcPr>
            <w:tcW w:w="1652"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39" w:right="2"/>
              <w:rPr>
                <w:rFonts w:ascii="Calibri"/>
                <w:sz w:val="21"/>
              </w:rPr>
            </w:pPr>
            <w:r>
              <w:rPr>
                <w:rFonts w:ascii="Calibri"/>
                <w:w w:val="105"/>
                <w:sz w:val="21"/>
              </w:rPr>
              <w:t>$0.00</w:t>
            </w:r>
          </w:p>
        </w:tc>
        <w:tc>
          <w:tcPr>
            <w:tcW w:w="1494"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3"/>
              <w:rPr>
                <w:rFonts w:ascii="Calibri"/>
                <w:sz w:val="21"/>
              </w:rPr>
            </w:pPr>
            <w:r>
              <w:rPr>
                <w:rFonts w:ascii="Calibri"/>
                <w:w w:val="105"/>
                <w:sz w:val="21"/>
              </w:rPr>
              <w:t>$0.00</w:t>
            </w:r>
          </w:p>
        </w:tc>
      </w:tr>
      <w:tr>
        <w:trPr>
          <w:trHeight w:val="449" w:hRule="exact"/>
        </w:trPr>
        <w:tc>
          <w:tcPr>
            <w:tcW w:w="1341" w:type="dxa"/>
            <w:tcBorders>
              <w:top w:val="single" w:sz="12" w:space="0" w:color="000000"/>
              <w:bottom w:val="single" w:sz="12" w:space="0" w:color="000000"/>
              <w:right w:val="single" w:sz="12" w:space="0" w:color="000000"/>
            </w:tcBorders>
          </w:tcPr>
          <w:p>
            <w:pPr>
              <w:pStyle w:val="TableParagraph"/>
              <w:spacing w:line="266" w:lineRule="auto" w:before="6"/>
              <w:ind w:left="304" w:right="89" w:hanging="146"/>
              <w:jc w:val="left"/>
              <w:rPr>
                <w:rFonts w:ascii="Calibri"/>
                <w:b/>
                <w:sz w:val="16"/>
              </w:rPr>
            </w:pPr>
            <w:r>
              <w:rPr>
                <w:rFonts w:ascii="Calibri"/>
                <w:b/>
                <w:color w:val="333333"/>
                <w:sz w:val="16"/>
              </w:rPr>
              <w:t>SAN SIMON DE GUERRERO</w:t>
            </w:r>
          </w:p>
        </w:tc>
        <w:tc>
          <w:tcPr>
            <w:tcW w:w="1493"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2"/>
              <w:rPr>
                <w:rFonts w:ascii="Calibri"/>
                <w:sz w:val="21"/>
              </w:rPr>
            </w:pPr>
            <w:r>
              <w:rPr>
                <w:rFonts w:ascii="Calibri"/>
                <w:w w:val="105"/>
                <w:sz w:val="21"/>
              </w:rPr>
              <w:t>$0.00</w:t>
            </w:r>
          </w:p>
        </w:tc>
        <w:tc>
          <w:tcPr>
            <w:tcW w:w="1392"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37"/>
              <w:rPr>
                <w:rFonts w:ascii="Calibri"/>
                <w:sz w:val="21"/>
              </w:rPr>
            </w:pPr>
            <w:r>
              <w:rPr>
                <w:rFonts w:ascii="Calibri"/>
                <w:w w:val="105"/>
                <w:sz w:val="21"/>
              </w:rPr>
              <w:t>$0.00</w:t>
            </w:r>
          </w:p>
        </w:tc>
        <w:tc>
          <w:tcPr>
            <w:tcW w:w="1493"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3"/>
              <w:rPr>
                <w:rFonts w:ascii="Calibri"/>
                <w:sz w:val="21"/>
              </w:rPr>
            </w:pPr>
            <w:r>
              <w:rPr>
                <w:rFonts w:ascii="Calibri"/>
                <w:w w:val="105"/>
                <w:sz w:val="21"/>
              </w:rPr>
              <w:t>$0.00</w:t>
            </w:r>
          </w:p>
        </w:tc>
        <w:tc>
          <w:tcPr>
            <w:tcW w:w="1494"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507" w:right="-1"/>
              <w:jc w:val="left"/>
              <w:rPr>
                <w:rFonts w:ascii="Calibri"/>
                <w:sz w:val="21"/>
              </w:rPr>
            </w:pPr>
            <w:r>
              <w:rPr>
                <w:rFonts w:ascii="Calibri"/>
                <w:w w:val="105"/>
                <w:sz w:val="21"/>
              </w:rPr>
              <w:t>$0.00</w:t>
            </w:r>
          </w:p>
        </w:tc>
        <w:tc>
          <w:tcPr>
            <w:tcW w:w="1667"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2"/>
              <w:rPr>
                <w:rFonts w:ascii="Calibri"/>
                <w:sz w:val="21"/>
              </w:rPr>
            </w:pPr>
            <w:r>
              <w:rPr>
                <w:rFonts w:ascii="Calibri"/>
                <w:w w:val="105"/>
                <w:sz w:val="21"/>
              </w:rPr>
              <w:t>$0.00</w:t>
            </w:r>
          </w:p>
        </w:tc>
        <w:tc>
          <w:tcPr>
            <w:tcW w:w="957"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66" w:right="29"/>
              <w:rPr>
                <w:rFonts w:ascii="Calibri"/>
                <w:sz w:val="21"/>
              </w:rPr>
            </w:pPr>
            <w:r>
              <w:rPr>
                <w:rFonts w:ascii="Calibri"/>
                <w:w w:val="105"/>
                <w:sz w:val="21"/>
              </w:rPr>
              <w:t>$0.00</w:t>
            </w:r>
          </w:p>
        </w:tc>
        <w:tc>
          <w:tcPr>
            <w:tcW w:w="1652"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39" w:right="2"/>
              <w:rPr>
                <w:rFonts w:ascii="Calibri"/>
                <w:sz w:val="21"/>
              </w:rPr>
            </w:pPr>
            <w:r>
              <w:rPr>
                <w:rFonts w:ascii="Calibri"/>
                <w:w w:val="105"/>
                <w:sz w:val="21"/>
              </w:rPr>
              <w:t>$0.00</w:t>
            </w:r>
          </w:p>
        </w:tc>
        <w:tc>
          <w:tcPr>
            <w:tcW w:w="1494"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3"/>
              <w:rPr>
                <w:rFonts w:ascii="Calibri"/>
                <w:sz w:val="21"/>
              </w:rPr>
            </w:pPr>
            <w:r>
              <w:rPr>
                <w:rFonts w:ascii="Calibri"/>
                <w:w w:val="105"/>
                <w:sz w:val="21"/>
              </w:rPr>
              <w:t>$0.00</w:t>
            </w:r>
          </w:p>
        </w:tc>
      </w:tr>
      <w:tr>
        <w:trPr>
          <w:trHeight w:val="449" w:hRule="exact"/>
        </w:trPr>
        <w:tc>
          <w:tcPr>
            <w:tcW w:w="1341" w:type="dxa"/>
            <w:tcBorders>
              <w:top w:val="single" w:sz="12" w:space="0" w:color="000000"/>
              <w:bottom w:val="single" w:sz="12" w:space="0" w:color="000000"/>
              <w:right w:val="single" w:sz="12" w:space="0" w:color="000000"/>
            </w:tcBorders>
          </w:tcPr>
          <w:p>
            <w:pPr>
              <w:pStyle w:val="TableParagraph"/>
              <w:spacing w:before="123"/>
              <w:ind w:left="49" w:right="49"/>
              <w:rPr>
                <w:rFonts w:ascii="Calibri"/>
                <w:b/>
                <w:sz w:val="16"/>
              </w:rPr>
            </w:pPr>
            <w:r>
              <w:rPr>
                <w:rFonts w:ascii="Calibri"/>
                <w:b/>
                <w:color w:val="333333"/>
                <w:sz w:val="16"/>
              </w:rPr>
              <w:t>SANTO TOMAS</w:t>
            </w:r>
          </w:p>
        </w:tc>
        <w:tc>
          <w:tcPr>
            <w:tcW w:w="1493"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2"/>
              <w:rPr>
                <w:rFonts w:ascii="Calibri"/>
                <w:sz w:val="21"/>
              </w:rPr>
            </w:pPr>
            <w:r>
              <w:rPr>
                <w:rFonts w:ascii="Calibri"/>
                <w:w w:val="105"/>
                <w:sz w:val="21"/>
              </w:rPr>
              <w:t>$0.00</w:t>
            </w:r>
          </w:p>
        </w:tc>
        <w:tc>
          <w:tcPr>
            <w:tcW w:w="1392"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37"/>
              <w:rPr>
                <w:rFonts w:ascii="Calibri"/>
                <w:sz w:val="21"/>
              </w:rPr>
            </w:pPr>
            <w:r>
              <w:rPr>
                <w:rFonts w:ascii="Calibri"/>
                <w:w w:val="105"/>
                <w:sz w:val="21"/>
              </w:rPr>
              <w:t>$0.00</w:t>
            </w:r>
          </w:p>
        </w:tc>
        <w:tc>
          <w:tcPr>
            <w:tcW w:w="1493"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3"/>
              <w:rPr>
                <w:rFonts w:ascii="Calibri"/>
                <w:sz w:val="21"/>
              </w:rPr>
            </w:pPr>
            <w:r>
              <w:rPr>
                <w:rFonts w:ascii="Calibri"/>
                <w:w w:val="105"/>
                <w:sz w:val="21"/>
              </w:rPr>
              <w:t>$0.00</w:t>
            </w:r>
          </w:p>
        </w:tc>
        <w:tc>
          <w:tcPr>
            <w:tcW w:w="1494"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507" w:right="-1"/>
              <w:jc w:val="left"/>
              <w:rPr>
                <w:rFonts w:ascii="Calibri"/>
                <w:sz w:val="21"/>
              </w:rPr>
            </w:pPr>
            <w:r>
              <w:rPr>
                <w:rFonts w:ascii="Calibri"/>
                <w:w w:val="105"/>
                <w:sz w:val="21"/>
              </w:rPr>
              <w:t>$0.00</w:t>
            </w:r>
          </w:p>
        </w:tc>
        <w:tc>
          <w:tcPr>
            <w:tcW w:w="1667"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2"/>
              <w:rPr>
                <w:rFonts w:ascii="Calibri"/>
                <w:sz w:val="21"/>
              </w:rPr>
            </w:pPr>
            <w:r>
              <w:rPr>
                <w:rFonts w:ascii="Calibri"/>
                <w:w w:val="105"/>
                <w:sz w:val="21"/>
              </w:rPr>
              <w:t>$0.00</w:t>
            </w:r>
          </w:p>
        </w:tc>
        <w:tc>
          <w:tcPr>
            <w:tcW w:w="957"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66" w:right="29"/>
              <w:rPr>
                <w:rFonts w:ascii="Calibri"/>
                <w:sz w:val="21"/>
              </w:rPr>
            </w:pPr>
            <w:r>
              <w:rPr>
                <w:rFonts w:ascii="Calibri"/>
                <w:w w:val="105"/>
                <w:sz w:val="21"/>
              </w:rPr>
              <w:t>$0.00</w:t>
            </w:r>
          </w:p>
        </w:tc>
        <w:tc>
          <w:tcPr>
            <w:tcW w:w="1652"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39" w:right="2"/>
              <w:rPr>
                <w:rFonts w:ascii="Calibri"/>
                <w:sz w:val="21"/>
              </w:rPr>
            </w:pPr>
            <w:r>
              <w:rPr>
                <w:rFonts w:ascii="Calibri"/>
                <w:w w:val="105"/>
                <w:sz w:val="21"/>
              </w:rPr>
              <w:t>$0.00</w:t>
            </w:r>
          </w:p>
        </w:tc>
        <w:tc>
          <w:tcPr>
            <w:tcW w:w="1494"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3"/>
              <w:rPr>
                <w:rFonts w:ascii="Calibri"/>
                <w:sz w:val="21"/>
              </w:rPr>
            </w:pPr>
            <w:r>
              <w:rPr>
                <w:rFonts w:ascii="Calibri"/>
                <w:w w:val="105"/>
                <w:sz w:val="21"/>
              </w:rPr>
              <w:t>$0.00</w:t>
            </w:r>
          </w:p>
        </w:tc>
      </w:tr>
      <w:tr>
        <w:trPr>
          <w:trHeight w:val="449" w:hRule="exact"/>
        </w:trPr>
        <w:tc>
          <w:tcPr>
            <w:tcW w:w="1341" w:type="dxa"/>
            <w:tcBorders>
              <w:top w:val="single" w:sz="12" w:space="0" w:color="000000"/>
              <w:bottom w:val="single" w:sz="12" w:space="0" w:color="000000"/>
              <w:right w:val="single" w:sz="12" w:space="0" w:color="000000"/>
            </w:tcBorders>
          </w:tcPr>
          <w:p>
            <w:pPr>
              <w:pStyle w:val="TableParagraph"/>
              <w:spacing w:line="266" w:lineRule="auto" w:before="6"/>
              <w:ind w:left="319" w:right="89" w:hanging="233"/>
              <w:jc w:val="left"/>
              <w:rPr>
                <w:rFonts w:ascii="Calibri"/>
                <w:b/>
                <w:sz w:val="16"/>
              </w:rPr>
            </w:pPr>
            <w:r>
              <w:rPr>
                <w:rFonts w:ascii="Calibri"/>
                <w:b/>
                <w:color w:val="333333"/>
                <w:sz w:val="16"/>
              </w:rPr>
              <w:t>SOYANIQUILPAN DE JUAREZ</w:t>
            </w:r>
          </w:p>
        </w:tc>
        <w:tc>
          <w:tcPr>
            <w:tcW w:w="1493"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2"/>
              <w:rPr>
                <w:rFonts w:ascii="Calibri"/>
                <w:sz w:val="21"/>
              </w:rPr>
            </w:pPr>
            <w:r>
              <w:rPr>
                <w:rFonts w:ascii="Calibri"/>
                <w:spacing w:val="-7"/>
                <w:w w:val="105"/>
                <w:sz w:val="21"/>
              </w:rPr>
              <w:t>$443,533,872.00</w:t>
            </w:r>
          </w:p>
        </w:tc>
        <w:tc>
          <w:tcPr>
            <w:tcW w:w="1392"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37"/>
              <w:rPr>
                <w:rFonts w:ascii="Calibri"/>
                <w:sz w:val="21"/>
              </w:rPr>
            </w:pPr>
            <w:r>
              <w:rPr>
                <w:rFonts w:ascii="Calibri"/>
                <w:w w:val="105"/>
                <w:sz w:val="21"/>
              </w:rPr>
              <w:t>$0.00</w:t>
            </w:r>
          </w:p>
        </w:tc>
        <w:tc>
          <w:tcPr>
            <w:tcW w:w="1493"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1"/>
              <w:rPr>
                <w:rFonts w:ascii="Calibri"/>
                <w:sz w:val="21"/>
              </w:rPr>
            </w:pPr>
            <w:r>
              <w:rPr>
                <w:rFonts w:ascii="Calibri"/>
                <w:w w:val="105"/>
                <w:sz w:val="21"/>
              </w:rPr>
              <w:t>$2,928,099.63</w:t>
            </w:r>
          </w:p>
        </w:tc>
        <w:tc>
          <w:tcPr>
            <w:tcW w:w="1494"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3" w:right="-1"/>
              <w:jc w:val="left"/>
              <w:rPr>
                <w:rFonts w:ascii="Calibri"/>
                <w:sz w:val="21"/>
              </w:rPr>
            </w:pPr>
            <w:r>
              <w:rPr>
                <w:rFonts w:ascii="Calibri"/>
                <w:spacing w:val="-7"/>
                <w:w w:val="105"/>
                <w:sz w:val="21"/>
              </w:rPr>
              <w:t>$440,605,772.37</w:t>
            </w:r>
          </w:p>
        </w:tc>
        <w:tc>
          <w:tcPr>
            <w:tcW w:w="1667"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36"/>
              <w:rPr>
                <w:rFonts w:ascii="Calibri"/>
                <w:sz w:val="21"/>
              </w:rPr>
            </w:pPr>
            <w:r>
              <w:rPr>
                <w:rFonts w:ascii="Calibri"/>
                <w:w w:val="105"/>
                <w:sz w:val="21"/>
              </w:rPr>
              <w:t>$96,037,843.00</w:t>
            </w:r>
          </w:p>
        </w:tc>
        <w:tc>
          <w:tcPr>
            <w:tcW w:w="957"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66" w:right="29"/>
              <w:rPr>
                <w:rFonts w:ascii="Calibri"/>
                <w:sz w:val="21"/>
              </w:rPr>
            </w:pPr>
            <w:r>
              <w:rPr>
                <w:rFonts w:ascii="Calibri"/>
                <w:w w:val="105"/>
                <w:sz w:val="21"/>
              </w:rPr>
              <w:t>$0.00</w:t>
            </w:r>
          </w:p>
        </w:tc>
        <w:tc>
          <w:tcPr>
            <w:tcW w:w="1652"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39" w:right="2"/>
              <w:rPr>
                <w:rFonts w:ascii="Calibri"/>
                <w:sz w:val="21"/>
              </w:rPr>
            </w:pPr>
            <w:r>
              <w:rPr>
                <w:rFonts w:ascii="Calibri"/>
                <w:w w:val="105"/>
                <w:sz w:val="21"/>
              </w:rPr>
              <w:t>$0.00</w:t>
            </w:r>
          </w:p>
        </w:tc>
        <w:tc>
          <w:tcPr>
            <w:tcW w:w="1494"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36"/>
              <w:rPr>
                <w:rFonts w:ascii="Calibri"/>
                <w:sz w:val="21"/>
              </w:rPr>
            </w:pPr>
            <w:r>
              <w:rPr>
                <w:rFonts w:ascii="Calibri"/>
                <w:w w:val="105"/>
                <w:sz w:val="21"/>
              </w:rPr>
              <w:t>$96,037,843.00</w:t>
            </w:r>
          </w:p>
        </w:tc>
      </w:tr>
      <w:tr>
        <w:trPr>
          <w:trHeight w:val="449" w:hRule="exact"/>
        </w:trPr>
        <w:tc>
          <w:tcPr>
            <w:tcW w:w="1341" w:type="dxa"/>
            <w:tcBorders>
              <w:top w:val="single" w:sz="12" w:space="0" w:color="000000"/>
              <w:bottom w:val="single" w:sz="12" w:space="0" w:color="000000"/>
              <w:right w:val="single" w:sz="12" w:space="0" w:color="000000"/>
            </w:tcBorders>
          </w:tcPr>
          <w:p>
            <w:pPr>
              <w:pStyle w:val="TableParagraph"/>
              <w:spacing w:before="123"/>
              <w:ind w:left="60" w:right="49"/>
              <w:rPr>
                <w:rFonts w:ascii="Calibri"/>
                <w:b/>
                <w:sz w:val="16"/>
              </w:rPr>
            </w:pPr>
            <w:r>
              <w:rPr>
                <w:rFonts w:ascii="Calibri"/>
                <w:b/>
                <w:color w:val="333333"/>
                <w:sz w:val="16"/>
              </w:rPr>
              <w:t>SULTEPEC</w:t>
            </w:r>
          </w:p>
        </w:tc>
        <w:tc>
          <w:tcPr>
            <w:tcW w:w="1493"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2"/>
              <w:rPr>
                <w:rFonts w:ascii="Calibri"/>
                <w:sz w:val="21"/>
              </w:rPr>
            </w:pPr>
            <w:r>
              <w:rPr>
                <w:rFonts w:ascii="Calibri"/>
                <w:w w:val="105"/>
                <w:sz w:val="21"/>
              </w:rPr>
              <w:t>$0.00</w:t>
            </w:r>
          </w:p>
        </w:tc>
        <w:tc>
          <w:tcPr>
            <w:tcW w:w="1392"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37"/>
              <w:rPr>
                <w:rFonts w:ascii="Calibri"/>
                <w:sz w:val="21"/>
              </w:rPr>
            </w:pPr>
            <w:r>
              <w:rPr>
                <w:rFonts w:ascii="Calibri"/>
                <w:w w:val="105"/>
                <w:sz w:val="21"/>
              </w:rPr>
              <w:t>$0.00</w:t>
            </w:r>
          </w:p>
        </w:tc>
        <w:tc>
          <w:tcPr>
            <w:tcW w:w="1493"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3"/>
              <w:rPr>
                <w:rFonts w:ascii="Calibri"/>
                <w:sz w:val="21"/>
              </w:rPr>
            </w:pPr>
            <w:r>
              <w:rPr>
                <w:rFonts w:ascii="Calibri"/>
                <w:w w:val="105"/>
                <w:sz w:val="21"/>
              </w:rPr>
              <w:t>$0.00</w:t>
            </w:r>
          </w:p>
        </w:tc>
        <w:tc>
          <w:tcPr>
            <w:tcW w:w="1494"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507" w:right="-1"/>
              <w:jc w:val="left"/>
              <w:rPr>
                <w:rFonts w:ascii="Calibri"/>
                <w:sz w:val="21"/>
              </w:rPr>
            </w:pPr>
            <w:r>
              <w:rPr>
                <w:rFonts w:ascii="Calibri"/>
                <w:w w:val="105"/>
                <w:sz w:val="21"/>
              </w:rPr>
              <w:t>$0.00</w:t>
            </w:r>
          </w:p>
        </w:tc>
        <w:tc>
          <w:tcPr>
            <w:tcW w:w="1667"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2"/>
              <w:rPr>
                <w:rFonts w:ascii="Calibri"/>
                <w:sz w:val="21"/>
              </w:rPr>
            </w:pPr>
            <w:r>
              <w:rPr>
                <w:rFonts w:ascii="Calibri"/>
                <w:w w:val="105"/>
                <w:sz w:val="21"/>
              </w:rPr>
              <w:t>$0.00</w:t>
            </w:r>
          </w:p>
        </w:tc>
        <w:tc>
          <w:tcPr>
            <w:tcW w:w="957"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66" w:right="29"/>
              <w:rPr>
                <w:rFonts w:ascii="Calibri"/>
                <w:sz w:val="21"/>
              </w:rPr>
            </w:pPr>
            <w:r>
              <w:rPr>
                <w:rFonts w:ascii="Calibri"/>
                <w:w w:val="105"/>
                <w:sz w:val="21"/>
              </w:rPr>
              <w:t>$0.00</w:t>
            </w:r>
          </w:p>
        </w:tc>
        <w:tc>
          <w:tcPr>
            <w:tcW w:w="1652"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39" w:right="2"/>
              <w:rPr>
                <w:rFonts w:ascii="Calibri"/>
                <w:sz w:val="21"/>
              </w:rPr>
            </w:pPr>
            <w:r>
              <w:rPr>
                <w:rFonts w:ascii="Calibri"/>
                <w:w w:val="105"/>
                <w:sz w:val="21"/>
              </w:rPr>
              <w:t>$0.00</w:t>
            </w:r>
          </w:p>
        </w:tc>
        <w:tc>
          <w:tcPr>
            <w:tcW w:w="1494"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3"/>
              <w:rPr>
                <w:rFonts w:ascii="Calibri"/>
                <w:sz w:val="21"/>
              </w:rPr>
            </w:pPr>
            <w:r>
              <w:rPr>
                <w:rFonts w:ascii="Calibri"/>
                <w:w w:val="105"/>
                <w:sz w:val="21"/>
              </w:rPr>
              <w:t>$0.00</w:t>
            </w:r>
          </w:p>
        </w:tc>
      </w:tr>
      <w:tr>
        <w:trPr>
          <w:trHeight w:val="449" w:hRule="exact"/>
        </w:trPr>
        <w:tc>
          <w:tcPr>
            <w:tcW w:w="1341" w:type="dxa"/>
            <w:tcBorders>
              <w:top w:val="single" w:sz="12" w:space="0" w:color="000000"/>
              <w:bottom w:val="single" w:sz="12" w:space="0" w:color="000000"/>
              <w:right w:val="single" w:sz="12" w:space="0" w:color="000000"/>
            </w:tcBorders>
          </w:tcPr>
          <w:p>
            <w:pPr>
              <w:pStyle w:val="TableParagraph"/>
              <w:spacing w:before="123"/>
              <w:ind w:left="59" w:right="49"/>
              <w:rPr>
                <w:rFonts w:ascii="Calibri"/>
                <w:b/>
                <w:sz w:val="16"/>
              </w:rPr>
            </w:pPr>
            <w:r>
              <w:rPr>
                <w:rFonts w:ascii="Calibri"/>
                <w:b/>
                <w:color w:val="333333"/>
                <w:sz w:val="16"/>
              </w:rPr>
              <w:t>TECAMAC</w:t>
            </w:r>
          </w:p>
        </w:tc>
        <w:tc>
          <w:tcPr>
            <w:tcW w:w="1493"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2"/>
              <w:rPr>
                <w:rFonts w:ascii="Calibri"/>
                <w:sz w:val="21"/>
              </w:rPr>
            </w:pPr>
            <w:r>
              <w:rPr>
                <w:rFonts w:ascii="Calibri"/>
                <w:spacing w:val="-7"/>
                <w:w w:val="105"/>
                <w:sz w:val="21"/>
              </w:rPr>
              <w:t>$848,604,118.00</w:t>
            </w:r>
          </w:p>
        </w:tc>
        <w:tc>
          <w:tcPr>
            <w:tcW w:w="1392"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37"/>
              <w:rPr>
                <w:rFonts w:ascii="Calibri"/>
                <w:sz w:val="21"/>
              </w:rPr>
            </w:pPr>
            <w:r>
              <w:rPr>
                <w:rFonts w:ascii="Calibri"/>
                <w:w w:val="105"/>
                <w:sz w:val="21"/>
              </w:rPr>
              <w:t>$0.00</w:t>
            </w:r>
          </w:p>
        </w:tc>
        <w:tc>
          <w:tcPr>
            <w:tcW w:w="1493"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3"/>
              <w:rPr>
                <w:rFonts w:ascii="Calibri"/>
                <w:sz w:val="21"/>
              </w:rPr>
            </w:pPr>
            <w:r>
              <w:rPr>
                <w:rFonts w:ascii="Calibri"/>
                <w:w w:val="105"/>
                <w:sz w:val="21"/>
              </w:rPr>
              <w:t>$0.00</w:t>
            </w:r>
          </w:p>
        </w:tc>
        <w:tc>
          <w:tcPr>
            <w:tcW w:w="1494"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3" w:right="-1"/>
              <w:jc w:val="left"/>
              <w:rPr>
                <w:rFonts w:ascii="Calibri"/>
                <w:sz w:val="21"/>
              </w:rPr>
            </w:pPr>
            <w:r>
              <w:rPr>
                <w:rFonts w:ascii="Calibri"/>
                <w:spacing w:val="-7"/>
                <w:w w:val="105"/>
                <w:sz w:val="21"/>
              </w:rPr>
              <w:t>$848,604,118.00</w:t>
            </w:r>
          </w:p>
        </w:tc>
        <w:tc>
          <w:tcPr>
            <w:tcW w:w="1667"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36"/>
              <w:rPr>
                <w:rFonts w:ascii="Calibri"/>
                <w:sz w:val="21"/>
              </w:rPr>
            </w:pPr>
            <w:r>
              <w:rPr>
                <w:rFonts w:ascii="Calibri"/>
                <w:sz w:val="21"/>
              </w:rPr>
              <w:t>$1,117,178,004.00</w:t>
            </w:r>
          </w:p>
        </w:tc>
        <w:tc>
          <w:tcPr>
            <w:tcW w:w="957"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66" w:right="29"/>
              <w:rPr>
                <w:rFonts w:ascii="Calibri"/>
                <w:sz w:val="21"/>
              </w:rPr>
            </w:pPr>
            <w:r>
              <w:rPr>
                <w:rFonts w:ascii="Calibri"/>
                <w:w w:val="105"/>
                <w:sz w:val="21"/>
              </w:rPr>
              <w:t>$0.00</w:t>
            </w:r>
          </w:p>
        </w:tc>
        <w:tc>
          <w:tcPr>
            <w:tcW w:w="1652"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4" w:right="2"/>
              <w:rPr>
                <w:rFonts w:ascii="Calibri"/>
                <w:sz w:val="21"/>
              </w:rPr>
            </w:pPr>
            <w:r>
              <w:rPr>
                <w:rFonts w:ascii="Calibri"/>
                <w:w w:val="105"/>
                <w:sz w:val="21"/>
              </w:rPr>
              <w:t>$ 480,601,907.21</w:t>
            </w:r>
          </w:p>
        </w:tc>
        <w:tc>
          <w:tcPr>
            <w:tcW w:w="1494"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1"/>
              <w:rPr>
                <w:rFonts w:ascii="Calibri"/>
                <w:sz w:val="21"/>
              </w:rPr>
            </w:pPr>
            <w:r>
              <w:rPr>
                <w:rFonts w:ascii="Calibri"/>
                <w:spacing w:val="-7"/>
                <w:w w:val="105"/>
                <w:sz w:val="21"/>
              </w:rPr>
              <w:t>$636,576,096.79</w:t>
            </w:r>
          </w:p>
        </w:tc>
      </w:tr>
      <w:tr>
        <w:trPr>
          <w:trHeight w:val="449" w:hRule="exact"/>
        </w:trPr>
        <w:tc>
          <w:tcPr>
            <w:tcW w:w="1341" w:type="dxa"/>
            <w:tcBorders>
              <w:top w:val="single" w:sz="12" w:space="0" w:color="000000"/>
              <w:bottom w:val="single" w:sz="12" w:space="0" w:color="000000"/>
              <w:right w:val="single" w:sz="12" w:space="0" w:color="000000"/>
            </w:tcBorders>
          </w:tcPr>
          <w:p>
            <w:pPr>
              <w:pStyle w:val="TableParagraph"/>
              <w:spacing w:before="123"/>
              <w:ind w:left="67" w:right="19"/>
              <w:rPr>
                <w:rFonts w:ascii="Calibri"/>
                <w:b/>
                <w:sz w:val="16"/>
              </w:rPr>
            </w:pPr>
            <w:r>
              <w:rPr>
                <w:rFonts w:ascii="Calibri"/>
                <w:b/>
                <w:color w:val="333333"/>
                <w:sz w:val="16"/>
              </w:rPr>
              <w:t>TEJUPILCO</w:t>
            </w:r>
          </w:p>
        </w:tc>
        <w:tc>
          <w:tcPr>
            <w:tcW w:w="1493"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2"/>
              <w:rPr>
                <w:rFonts w:ascii="Calibri"/>
                <w:sz w:val="21"/>
              </w:rPr>
            </w:pPr>
            <w:r>
              <w:rPr>
                <w:rFonts w:ascii="Calibri"/>
                <w:w w:val="105"/>
                <w:sz w:val="21"/>
              </w:rPr>
              <w:t>$0.00</w:t>
            </w:r>
          </w:p>
        </w:tc>
        <w:tc>
          <w:tcPr>
            <w:tcW w:w="1392"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37"/>
              <w:rPr>
                <w:rFonts w:ascii="Calibri"/>
                <w:sz w:val="21"/>
              </w:rPr>
            </w:pPr>
            <w:r>
              <w:rPr>
                <w:rFonts w:ascii="Calibri"/>
                <w:w w:val="105"/>
                <w:sz w:val="21"/>
              </w:rPr>
              <w:t>$0.00</w:t>
            </w:r>
          </w:p>
        </w:tc>
        <w:tc>
          <w:tcPr>
            <w:tcW w:w="1493"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3"/>
              <w:rPr>
                <w:rFonts w:ascii="Calibri"/>
                <w:sz w:val="21"/>
              </w:rPr>
            </w:pPr>
            <w:r>
              <w:rPr>
                <w:rFonts w:ascii="Calibri"/>
                <w:w w:val="105"/>
                <w:sz w:val="21"/>
              </w:rPr>
              <w:t>$0.00</w:t>
            </w:r>
          </w:p>
        </w:tc>
        <w:tc>
          <w:tcPr>
            <w:tcW w:w="1494"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507" w:right="-1"/>
              <w:jc w:val="left"/>
              <w:rPr>
                <w:rFonts w:ascii="Calibri"/>
                <w:sz w:val="21"/>
              </w:rPr>
            </w:pPr>
            <w:r>
              <w:rPr>
                <w:rFonts w:ascii="Calibri"/>
                <w:w w:val="105"/>
                <w:sz w:val="21"/>
              </w:rPr>
              <w:t>$0.00</w:t>
            </w:r>
          </w:p>
        </w:tc>
        <w:tc>
          <w:tcPr>
            <w:tcW w:w="1667"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2"/>
              <w:rPr>
                <w:rFonts w:ascii="Calibri"/>
                <w:sz w:val="21"/>
              </w:rPr>
            </w:pPr>
            <w:r>
              <w:rPr>
                <w:rFonts w:ascii="Calibri"/>
                <w:w w:val="105"/>
                <w:sz w:val="21"/>
              </w:rPr>
              <w:t>$0.00</w:t>
            </w:r>
          </w:p>
        </w:tc>
        <w:tc>
          <w:tcPr>
            <w:tcW w:w="957"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66" w:right="29"/>
              <w:rPr>
                <w:rFonts w:ascii="Calibri"/>
                <w:sz w:val="21"/>
              </w:rPr>
            </w:pPr>
            <w:r>
              <w:rPr>
                <w:rFonts w:ascii="Calibri"/>
                <w:w w:val="105"/>
                <w:sz w:val="21"/>
              </w:rPr>
              <w:t>$0.00</w:t>
            </w:r>
          </w:p>
        </w:tc>
        <w:tc>
          <w:tcPr>
            <w:tcW w:w="1652"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39" w:right="2"/>
              <w:rPr>
                <w:rFonts w:ascii="Calibri"/>
                <w:sz w:val="21"/>
              </w:rPr>
            </w:pPr>
            <w:r>
              <w:rPr>
                <w:rFonts w:ascii="Calibri"/>
                <w:w w:val="105"/>
                <w:sz w:val="21"/>
              </w:rPr>
              <w:t>$0.00</w:t>
            </w:r>
          </w:p>
        </w:tc>
        <w:tc>
          <w:tcPr>
            <w:tcW w:w="1494"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3"/>
              <w:rPr>
                <w:rFonts w:ascii="Calibri"/>
                <w:sz w:val="21"/>
              </w:rPr>
            </w:pPr>
            <w:r>
              <w:rPr>
                <w:rFonts w:ascii="Calibri"/>
                <w:w w:val="105"/>
                <w:sz w:val="21"/>
              </w:rPr>
              <w:t>$0.00</w:t>
            </w:r>
          </w:p>
        </w:tc>
      </w:tr>
      <w:tr>
        <w:trPr>
          <w:trHeight w:val="449" w:hRule="exact"/>
        </w:trPr>
        <w:tc>
          <w:tcPr>
            <w:tcW w:w="1341" w:type="dxa"/>
            <w:tcBorders>
              <w:top w:val="single" w:sz="12" w:space="0" w:color="000000"/>
              <w:bottom w:val="single" w:sz="12" w:space="0" w:color="000000"/>
              <w:right w:val="single" w:sz="12" w:space="0" w:color="000000"/>
            </w:tcBorders>
          </w:tcPr>
          <w:p>
            <w:pPr>
              <w:pStyle w:val="TableParagraph"/>
              <w:spacing w:before="123"/>
              <w:ind w:left="45" w:right="49"/>
              <w:rPr>
                <w:rFonts w:ascii="Calibri"/>
                <w:b/>
                <w:sz w:val="16"/>
              </w:rPr>
            </w:pPr>
            <w:r>
              <w:rPr>
                <w:rFonts w:ascii="Calibri"/>
                <w:b/>
                <w:color w:val="333333"/>
                <w:sz w:val="16"/>
              </w:rPr>
              <w:t>TEMAMATLA</w:t>
            </w:r>
          </w:p>
        </w:tc>
        <w:tc>
          <w:tcPr>
            <w:tcW w:w="1493"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2"/>
              <w:rPr>
                <w:rFonts w:ascii="Calibri"/>
                <w:sz w:val="21"/>
              </w:rPr>
            </w:pPr>
            <w:r>
              <w:rPr>
                <w:rFonts w:ascii="Calibri"/>
                <w:w w:val="105"/>
                <w:sz w:val="21"/>
              </w:rPr>
              <w:t>$0.00</w:t>
            </w:r>
          </w:p>
        </w:tc>
        <w:tc>
          <w:tcPr>
            <w:tcW w:w="1392"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37"/>
              <w:rPr>
                <w:rFonts w:ascii="Calibri"/>
                <w:sz w:val="21"/>
              </w:rPr>
            </w:pPr>
            <w:r>
              <w:rPr>
                <w:rFonts w:ascii="Calibri"/>
                <w:w w:val="105"/>
                <w:sz w:val="21"/>
              </w:rPr>
              <w:t>$0.00</w:t>
            </w:r>
          </w:p>
        </w:tc>
        <w:tc>
          <w:tcPr>
            <w:tcW w:w="1493"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3"/>
              <w:rPr>
                <w:rFonts w:ascii="Calibri"/>
                <w:sz w:val="21"/>
              </w:rPr>
            </w:pPr>
            <w:r>
              <w:rPr>
                <w:rFonts w:ascii="Calibri"/>
                <w:w w:val="105"/>
                <w:sz w:val="21"/>
              </w:rPr>
              <w:t>$0.00</w:t>
            </w:r>
          </w:p>
        </w:tc>
        <w:tc>
          <w:tcPr>
            <w:tcW w:w="1494"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507" w:right="-1"/>
              <w:jc w:val="left"/>
              <w:rPr>
                <w:rFonts w:ascii="Calibri"/>
                <w:sz w:val="21"/>
              </w:rPr>
            </w:pPr>
            <w:r>
              <w:rPr>
                <w:rFonts w:ascii="Calibri"/>
                <w:w w:val="105"/>
                <w:sz w:val="21"/>
              </w:rPr>
              <w:t>$0.00</w:t>
            </w:r>
          </w:p>
        </w:tc>
        <w:tc>
          <w:tcPr>
            <w:tcW w:w="1667"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2"/>
              <w:rPr>
                <w:rFonts w:ascii="Calibri"/>
                <w:sz w:val="21"/>
              </w:rPr>
            </w:pPr>
            <w:r>
              <w:rPr>
                <w:rFonts w:ascii="Calibri"/>
                <w:w w:val="105"/>
                <w:sz w:val="21"/>
              </w:rPr>
              <w:t>$0.00</w:t>
            </w:r>
          </w:p>
        </w:tc>
        <w:tc>
          <w:tcPr>
            <w:tcW w:w="957"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66" w:right="29"/>
              <w:rPr>
                <w:rFonts w:ascii="Calibri"/>
                <w:sz w:val="21"/>
              </w:rPr>
            </w:pPr>
            <w:r>
              <w:rPr>
                <w:rFonts w:ascii="Calibri"/>
                <w:w w:val="105"/>
                <w:sz w:val="21"/>
              </w:rPr>
              <w:t>$0.00</w:t>
            </w:r>
          </w:p>
        </w:tc>
        <w:tc>
          <w:tcPr>
            <w:tcW w:w="1652"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39" w:right="2"/>
              <w:rPr>
                <w:rFonts w:ascii="Calibri"/>
                <w:sz w:val="21"/>
              </w:rPr>
            </w:pPr>
            <w:r>
              <w:rPr>
                <w:rFonts w:ascii="Calibri"/>
                <w:w w:val="105"/>
                <w:sz w:val="21"/>
              </w:rPr>
              <w:t>$0.00</w:t>
            </w:r>
          </w:p>
        </w:tc>
        <w:tc>
          <w:tcPr>
            <w:tcW w:w="1494"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3"/>
              <w:rPr>
                <w:rFonts w:ascii="Calibri"/>
                <w:sz w:val="21"/>
              </w:rPr>
            </w:pPr>
            <w:r>
              <w:rPr>
                <w:rFonts w:ascii="Calibri"/>
                <w:w w:val="105"/>
                <w:sz w:val="21"/>
              </w:rPr>
              <w:t>$0.00</w:t>
            </w:r>
          </w:p>
        </w:tc>
      </w:tr>
      <w:tr>
        <w:trPr>
          <w:trHeight w:val="449" w:hRule="exact"/>
        </w:trPr>
        <w:tc>
          <w:tcPr>
            <w:tcW w:w="1341" w:type="dxa"/>
            <w:tcBorders>
              <w:top w:val="single" w:sz="12" w:space="0" w:color="000000"/>
              <w:bottom w:val="single" w:sz="12" w:space="0" w:color="000000"/>
              <w:right w:val="single" w:sz="12" w:space="0" w:color="000000"/>
            </w:tcBorders>
          </w:tcPr>
          <w:p>
            <w:pPr>
              <w:pStyle w:val="TableParagraph"/>
              <w:spacing w:before="123"/>
              <w:ind w:left="56" w:right="49"/>
              <w:rPr>
                <w:rFonts w:ascii="Calibri"/>
                <w:b/>
                <w:sz w:val="16"/>
              </w:rPr>
            </w:pPr>
            <w:r>
              <w:rPr>
                <w:rFonts w:ascii="Calibri"/>
                <w:b/>
                <w:color w:val="333333"/>
                <w:sz w:val="16"/>
              </w:rPr>
              <w:t>TEMASCALAPA</w:t>
            </w:r>
          </w:p>
        </w:tc>
        <w:tc>
          <w:tcPr>
            <w:tcW w:w="1493"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2"/>
              <w:rPr>
                <w:rFonts w:ascii="Calibri"/>
                <w:sz w:val="21"/>
              </w:rPr>
            </w:pPr>
            <w:r>
              <w:rPr>
                <w:rFonts w:ascii="Calibri"/>
                <w:spacing w:val="-7"/>
                <w:w w:val="105"/>
                <w:sz w:val="21"/>
              </w:rPr>
              <w:t>$115,436,799.80</w:t>
            </w:r>
          </w:p>
        </w:tc>
        <w:tc>
          <w:tcPr>
            <w:tcW w:w="1392"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37"/>
              <w:rPr>
                <w:rFonts w:ascii="Calibri"/>
                <w:sz w:val="21"/>
              </w:rPr>
            </w:pPr>
            <w:r>
              <w:rPr>
                <w:rFonts w:ascii="Calibri"/>
                <w:w w:val="105"/>
                <w:sz w:val="21"/>
              </w:rPr>
              <w:t>$0.00</w:t>
            </w:r>
          </w:p>
        </w:tc>
        <w:tc>
          <w:tcPr>
            <w:tcW w:w="1493"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3"/>
              <w:rPr>
                <w:rFonts w:ascii="Calibri"/>
                <w:sz w:val="21"/>
              </w:rPr>
            </w:pPr>
            <w:r>
              <w:rPr>
                <w:rFonts w:ascii="Calibri"/>
                <w:w w:val="105"/>
                <w:sz w:val="21"/>
              </w:rPr>
              <w:t>$0.00</w:t>
            </w:r>
          </w:p>
        </w:tc>
        <w:tc>
          <w:tcPr>
            <w:tcW w:w="1494"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43" w:right="-1"/>
              <w:jc w:val="left"/>
              <w:rPr>
                <w:rFonts w:ascii="Calibri"/>
                <w:sz w:val="21"/>
              </w:rPr>
            </w:pPr>
            <w:r>
              <w:rPr>
                <w:rFonts w:ascii="Calibri"/>
                <w:spacing w:val="-7"/>
                <w:w w:val="105"/>
                <w:sz w:val="21"/>
              </w:rPr>
              <w:t>$115,436,799.80</w:t>
            </w:r>
          </w:p>
        </w:tc>
        <w:tc>
          <w:tcPr>
            <w:tcW w:w="1667"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2"/>
              <w:rPr>
                <w:rFonts w:ascii="Calibri"/>
                <w:sz w:val="21"/>
              </w:rPr>
            </w:pPr>
            <w:r>
              <w:rPr>
                <w:rFonts w:ascii="Calibri"/>
                <w:w w:val="105"/>
                <w:sz w:val="21"/>
              </w:rPr>
              <w:t>$0.00</w:t>
            </w:r>
          </w:p>
        </w:tc>
        <w:tc>
          <w:tcPr>
            <w:tcW w:w="957"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66" w:right="29"/>
              <w:rPr>
                <w:rFonts w:ascii="Calibri"/>
                <w:sz w:val="21"/>
              </w:rPr>
            </w:pPr>
            <w:r>
              <w:rPr>
                <w:rFonts w:ascii="Calibri"/>
                <w:w w:val="105"/>
                <w:sz w:val="21"/>
              </w:rPr>
              <w:t>$0.00</w:t>
            </w:r>
          </w:p>
        </w:tc>
        <w:tc>
          <w:tcPr>
            <w:tcW w:w="1652"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39" w:right="2"/>
              <w:rPr>
                <w:rFonts w:ascii="Calibri"/>
                <w:sz w:val="21"/>
              </w:rPr>
            </w:pPr>
            <w:r>
              <w:rPr>
                <w:rFonts w:ascii="Calibri"/>
                <w:w w:val="105"/>
                <w:sz w:val="21"/>
              </w:rPr>
              <w:t>$0.00</w:t>
            </w:r>
          </w:p>
        </w:tc>
        <w:tc>
          <w:tcPr>
            <w:tcW w:w="1494" w:type="dxa"/>
            <w:tcBorders>
              <w:top w:val="single" w:sz="12" w:space="0" w:color="000000"/>
              <w:left w:val="single" w:sz="12" w:space="0" w:color="000000"/>
              <w:bottom w:val="single" w:sz="12" w:space="0" w:color="000000"/>
              <w:right w:val="single" w:sz="12" w:space="0" w:color="000000"/>
            </w:tcBorders>
          </w:tcPr>
          <w:p>
            <w:pPr>
              <w:pStyle w:val="TableParagraph"/>
              <w:spacing w:before="90"/>
              <w:ind w:left="23"/>
              <w:rPr>
                <w:rFonts w:ascii="Calibri"/>
                <w:sz w:val="21"/>
              </w:rPr>
            </w:pPr>
            <w:r>
              <w:rPr>
                <w:rFonts w:ascii="Calibri"/>
                <w:w w:val="105"/>
                <w:sz w:val="21"/>
              </w:rPr>
              <w:t>$0.00</w:t>
            </w:r>
          </w:p>
        </w:tc>
      </w:tr>
      <w:tr>
        <w:trPr>
          <w:trHeight w:val="449" w:hRule="exact"/>
        </w:trPr>
        <w:tc>
          <w:tcPr>
            <w:tcW w:w="1341" w:type="dxa"/>
            <w:tcBorders>
              <w:top w:val="single" w:sz="12" w:space="0" w:color="000000"/>
              <w:bottom w:val="single" w:sz="12" w:space="0" w:color="000000"/>
              <w:right w:val="single" w:sz="12" w:space="0" w:color="000000"/>
            </w:tcBorders>
          </w:tcPr>
          <w:p>
            <w:pPr>
              <w:pStyle w:val="TableParagraph"/>
              <w:spacing w:before="123"/>
              <w:ind w:left="67" w:right="49"/>
              <w:rPr>
                <w:rFonts w:ascii="Calibri"/>
                <w:b/>
                <w:sz w:val="16"/>
              </w:rPr>
            </w:pPr>
            <w:r>
              <w:rPr>
                <w:rFonts w:ascii="Calibri"/>
                <w:b/>
                <w:color w:val="333333"/>
                <w:sz w:val="16"/>
              </w:rPr>
              <w:t>TEMASCALCINGO</w:t>
            </w:r>
          </w:p>
        </w:tc>
        <w:tc>
          <w:tcPr>
            <w:tcW w:w="1493" w:type="dxa"/>
            <w:tcBorders>
              <w:top w:val="single" w:sz="12" w:space="0" w:color="000000"/>
              <w:left w:val="single" w:sz="12" w:space="0" w:color="000000"/>
              <w:bottom w:val="single" w:sz="12" w:space="0" w:color="000000"/>
              <w:right w:val="single" w:sz="12" w:space="0" w:color="000000"/>
            </w:tcBorders>
          </w:tcPr>
          <w:p>
            <w:pPr>
              <w:pStyle w:val="TableParagraph"/>
              <w:spacing w:before="89"/>
              <w:ind w:left="22"/>
              <w:rPr>
                <w:rFonts w:ascii="Calibri"/>
                <w:sz w:val="21"/>
              </w:rPr>
            </w:pPr>
            <w:r>
              <w:rPr>
                <w:rFonts w:ascii="Calibri"/>
                <w:spacing w:val="-7"/>
                <w:w w:val="105"/>
                <w:sz w:val="21"/>
              </w:rPr>
              <w:t>$312,897,536.00</w:t>
            </w:r>
          </w:p>
        </w:tc>
        <w:tc>
          <w:tcPr>
            <w:tcW w:w="1392" w:type="dxa"/>
            <w:tcBorders>
              <w:top w:val="single" w:sz="12" w:space="0" w:color="000000"/>
              <w:left w:val="single" w:sz="12" w:space="0" w:color="000000"/>
              <w:bottom w:val="single" w:sz="12" w:space="0" w:color="000000"/>
              <w:right w:val="single" w:sz="12" w:space="0" w:color="000000"/>
            </w:tcBorders>
          </w:tcPr>
          <w:p>
            <w:pPr>
              <w:pStyle w:val="TableParagraph"/>
              <w:spacing w:before="89"/>
              <w:ind w:left="22"/>
              <w:rPr>
                <w:rFonts w:ascii="Calibri"/>
                <w:sz w:val="21"/>
              </w:rPr>
            </w:pPr>
            <w:r>
              <w:rPr>
                <w:rFonts w:ascii="Calibri"/>
                <w:sz w:val="21"/>
              </w:rPr>
              <w:t>$13,040,302.00</w:t>
            </w:r>
          </w:p>
        </w:tc>
        <w:tc>
          <w:tcPr>
            <w:tcW w:w="1493" w:type="dxa"/>
            <w:tcBorders>
              <w:top w:val="single" w:sz="12" w:space="0" w:color="000000"/>
              <w:left w:val="single" w:sz="12" w:space="0" w:color="000000"/>
              <w:bottom w:val="single" w:sz="12" w:space="0" w:color="000000"/>
              <w:right w:val="single" w:sz="12" w:space="0" w:color="000000"/>
            </w:tcBorders>
          </w:tcPr>
          <w:p>
            <w:pPr>
              <w:pStyle w:val="TableParagraph"/>
              <w:spacing w:before="89"/>
              <w:ind w:left="22"/>
              <w:rPr>
                <w:rFonts w:ascii="Calibri"/>
                <w:sz w:val="21"/>
              </w:rPr>
            </w:pPr>
            <w:r>
              <w:rPr>
                <w:rFonts w:ascii="Calibri"/>
                <w:spacing w:val="-7"/>
                <w:w w:val="105"/>
                <w:sz w:val="21"/>
              </w:rPr>
              <w:t>$315,179,768.00</w:t>
            </w:r>
          </w:p>
        </w:tc>
        <w:tc>
          <w:tcPr>
            <w:tcW w:w="1494" w:type="dxa"/>
            <w:tcBorders>
              <w:top w:val="single" w:sz="12" w:space="0" w:color="000000"/>
              <w:left w:val="single" w:sz="12" w:space="0" w:color="000000"/>
              <w:bottom w:val="single" w:sz="12" w:space="0" w:color="000000"/>
              <w:right w:val="single" w:sz="12" w:space="0" w:color="000000"/>
            </w:tcBorders>
          </w:tcPr>
          <w:p>
            <w:pPr>
              <w:pStyle w:val="TableParagraph"/>
              <w:spacing w:before="89"/>
              <w:ind w:left="101" w:right="-1"/>
              <w:jc w:val="left"/>
              <w:rPr>
                <w:rFonts w:ascii="Calibri"/>
                <w:sz w:val="21"/>
              </w:rPr>
            </w:pPr>
            <w:r>
              <w:rPr>
                <w:rFonts w:ascii="Calibri"/>
                <w:spacing w:val="-6"/>
                <w:w w:val="105"/>
                <w:sz w:val="21"/>
              </w:rPr>
              <w:t>$10,758,070.00</w:t>
            </w:r>
          </w:p>
        </w:tc>
        <w:tc>
          <w:tcPr>
            <w:tcW w:w="1667" w:type="dxa"/>
            <w:tcBorders>
              <w:top w:val="single" w:sz="12" w:space="0" w:color="000000"/>
              <w:left w:val="single" w:sz="12" w:space="0" w:color="000000"/>
              <w:bottom w:val="single" w:sz="12" w:space="0" w:color="000000"/>
              <w:right w:val="single" w:sz="12" w:space="0" w:color="000000"/>
            </w:tcBorders>
          </w:tcPr>
          <w:p>
            <w:pPr>
              <w:pStyle w:val="TableParagraph"/>
              <w:spacing w:before="89"/>
              <w:ind w:left="21"/>
              <w:rPr>
                <w:rFonts w:ascii="Calibri"/>
                <w:sz w:val="21"/>
              </w:rPr>
            </w:pPr>
            <w:r>
              <w:rPr>
                <w:rFonts w:ascii="Calibri"/>
                <w:w w:val="105"/>
                <w:sz w:val="21"/>
              </w:rPr>
              <w:t>$358,931,311.00</w:t>
            </w:r>
          </w:p>
        </w:tc>
        <w:tc>
          <w:tcPr>
            <w:tcW w:w="957" w:type="dxa"/>
            <w:tcBorders>
              <w:top w:val="single" w:sz="12" w:space="0" w:color="000000"/>
              <w:left w:val="single" w:sz="12" w:space="0" w:color="000000"/>
              <w:bottom w:val="single" w:sz="12" w:space="0" w:color="000000"/>
              <w:right w:val="single" w:sz="12" w:space="0" w:color="000000"/>
            </w:tcBorders>
          </w:tcPr>
          <w:p>
            <w:pPr>
              <w:pStyle w:val="TableParagraph"/>
              <w:spacing w:before="89"/>
              <w:ind w:left="66" w:right="29"/>
              <w:rPr>
                <w:rFonts w:ascii="Calibri"/>
                <w:sz w:val="21"/>
              </w:rPr>
            </w:pPr>
            <w:r>
              <w:rPr>
                <w:rFonts w:ascii="Calibri"/>
                <w:w w:val="105"/>
                <w:sz w:val="21"/>
              </w:rPr>
              <w:t>$0.00</w:t>
            </w:r>
          </w:p>
        </w:tc>
        <w:tc>
          <w:tcPr>
            <w:tcW w:w="1652" w:type="dxa"/>
            <w:tcBorders>
              <w:top w:val="single" w:sz="12" w:space="0" w:color="000000"/>
              <w:left w:val="single" w:sz="12" w:space="0" w:color="000000"/>
              <w:bottom w:val="single" w:sz="12" w:space="0" w:color="000000"/>
              <w:right w:val="single" w:sz="12" w:space="0" w:color="000000"/>
            </w:tcBorders>
          </w:tcPr>
          <w:p>
            <w:pPr>
              <w:pStyle w:val="TableParagraph"/>
              <w:spacing w:before="89"/>
              <w:ind w:left="39" w:right="2"/>
              <w:rPr>
                <w:rFonts w:ascii="Calibri"/>
                <w:sz w:val="21"/>
              </w:rPr>
            </w:pPr>
            <w:r>
              <w:rPr>
                <w:rFonts w:ascii="Calibri"/>
                <w:w w:val="105"/>
                <w:sz w:val="21"/>
              </w:rPr>
              <w:t>$0.00</w:t>
            </w:r>
          </w:p>
        </w:tc>
        <w:tc>
          <w:tcPr>
            <w:tcW w:w="1494" w:type="dxa"/>
            <w:tcBorders>
              <w:top w:val="single" w:sz="12" w:space="0" w:color="000000"/>
              <w:left w:val="single" w:sz="12" w:space="0" w:color="000000"/>
              <w:bottom w:val="single" w:sz="12" w:space="0" w:color="000000"/>
              <w:right w:val="single" w:sz="12" w:space="0" w:color="000000"/>
            </w:tcBorders>
          </w:tcPr>
          <w:p>
            <w:pPr>
              <w:pStyle w:val="TableParagraph"/>
              <w:spacing w:before="89"/>
              <w:ind w:left="21"/>
              <w:rPr>
                <w:rFonts w:ascii="Calibri"/>
                <w:sz w:val="21"/>
              </w:rPr>
            </w:pPr>
            <w:r>
              <w:rPr>
                <w:rFonts w:ascii="Calibri"/>
                <w:spacing w:val="-7"/>
                <w:w w:val="105"/>
                <w:sz w:val="21"/>
              </w:rPr>
              <w:t>$358,931,311.00</w:t>
            </w:r>
          </w:p>
        </w:tc>
      </w:tr>
      <w:tr>
        <w:trPr>
          <w:trHeight w:val="667" w:hRule="exact"/>
        </w:trPr>
        <w:tc>
          <w:tcPr>
            <w:tcW w:w="1341" w:type="dxa"/>
            <w:tcBorders>
              <w:top w:val="single" w:sz="12" w:space="0" w:color="000000"/>
              <w:bottom w:val="single" w:sz="12" w:space="0" w:color="000000"/>
              <w:right w:val="single" w:sz="12" w:space="0" w:color="000000"/>
            </w:tcBorders>
          </w:tcPr>
          <w:p>
            <w:pPr>
              <w:pStyle w:val="TableParagraph"/>
              <w:spacing w:before="6"/>
              <w:jc w:val="left"/>
              <w:rPr>
                <w:rFonts w:ascii="Times New Roman"/>
                <w:sz w:val="19"/>
              </w:rPr>
            </w:pPr>
          </w:p>
          <w:p>
            <w:pPr>
              <w:pStyle w:val="TableParagraph"/>
              <w:ind w:left="67" w:right="44"/>
              <w:rPr>
                <w:rFonts w:ascii="Calibri"/>
                <w:b/>
                <w:sz w:val="16"/>
              </w:rPr>
            </w:pPr>
            <w:r>
              <w:rPr>
                <w:rFonts w:ascii="Calibri"/>
                <w:b/>
                <w:color w:val="333333"/>
                <w:sz w:val="16"/>
              </w:rPr>
              <w:t>TEMASCALTEPEC</w:t>
            </w:r>
          </w:p>
        </w:tc>
        <w:tc>
          <w:tcPr>
            <w:tcW w:w="1493" w:type="dxa"/>
            <w:tcBorders>
              <w:top w:val="single" w:sz="12" w:space="0" w:color="000000"/>
              <w:left w:val="single" w:sz="12" w:space="0" w:color="000000"/>
              <w:bottom w:val="single" w:sz="12" w:space="0" w:color="000000"/>
              <w:right w:val="single" w:sz="12" w:space="0" w:color="000000"/>
            </w:tcBorders>
          </w:tcPr>
          <w:p>
            <w:pPr>
              <w:pStyle w:val="TableParagraph"/>
              <w:spacing w:before="10"/>
              <w:jc w:val="left"/>
              <w:rPr>
                <w:rFonts w:ascii="Times New Roman"/>
                <w:sz w:val="17"/>
              </w:rPr>
            </w:pPr>
          </w:p>
          <w:p>
            <w:pPr>
              <w:pStyle w:val="TableParagraph"/>
              <w:ind w:left="22"/>
              <w:rPr>
                <w:rFonts w:ascii="Calibri"/>
                <w:sz w:val="21"/>
              </w:rPr>
            </w:pPr>
            <w:r>
              <w:rPr>
                <w:rFonts w:ascii="Calibri"/>
                <w:w w:val="105"/>
                <w:sz w:val="21"/>
              </w:rPr>
              <w:t>$0.00</w:t>
            </w:r>
          </w:p>
        </w:tc>
        <w:tc>
          <w:tcPr>
            <w:tcW w:w="1392" w:type="dxa"/>
            <w:tcBorders>
              <w:top w:val="single" w:sz="12" w:space="0" w:color="000000"/>
              <w:left w:val="single" w:sz="12" w:space="0" w:color="000000"/>
              <w:bottom w:val="single" w:sz="12" w:space="0" w:color="000000"/>
              <w:right w:val="single" w:sz="12" w:space="0" w:color="000000"/>
            </w:tcBorders>
          </w:tcPr>
          <w:p>
            <w:pPr>
              <w:pStyle w:val="TableParagraph"/>
              <w:spacing w:before="10"/>
              <w:jc w:val="left"/>
              <w:rPr>
                <w:rFonts w:ascii="Times New Roman"/>
                <w:sz w:val="17"/>
              </w:rPr>
            </w:pPr>
          </w:p>
          <w:p>
            <w:pPr>
              <w:pStyle w:val="TableParagraph"/>
              <w:ind w:left="37"/>
              <w:rPr>
                <w:rFonts w:ascii="Calibri"/>
                <w:sz w:val="21"/>
              </w:rPr>
            </w:pPr>
            <w:r>
              <w:rPr>
                <w:rFonts w:ascii="Calibri"/>
                <w:w w:val="105"/>
                <w:sz w:val="21"/>
              </w:rPr>
              <w:t>$0.00</w:t>
            </w:r>
          </w:p>
        </w:tc>
        <w:tc>
          <w:tcPr>
            <w:tcW w:w="1493" w:type="dxa"/>
            <w:tcBorders>
              <w:top w:val="single" w:sz="12" w:space="0" w:color="000000"/>
              <w:left w:val="single" w:sz="12" w:space="0" w:color="000000"/>
              <w:bottom w:val="single" w:sz="12" w:space="0" w:color="000000"/>
              <w:right w:val="single" w:sz="12" w:space="0" w:color="000000"/>
            </w:tcBorders>
          </w:tcPr>
          <w:p>
            <w:pPr>
              <w:pStyle w:val="TableParagraph"/>
              <w:spacing w:before="10"/>
              <w:jc w:val="left"/>
              <w:rPr>
                <w:rFonts w:ascii="Times New Roman"/>
                <w:sz w:val="17"/>
              </w:rPr>
            </w:pPr>
          </w:p>
          <w:p>
            <w:pPr>
              <w:pStyle w:val="TableParagraph"/>
              <w:ind w:left="23"/>
              <w:rPr>
                <w:rFonts w:ascii="Calibri"/>
                <w:sz w:val="21"/>
              </w:rPr>
            </w:pPr>
            <w:r>
              <w:rPr>
                <w:rFonts w:ascii="Calibri"/>
                <w:w w:val="105"/>
                <w:sz w:val="21"/>
              </w:rPr>
              <w:t>$0.00</w:t>
            </w:r>
          </w:p>
        </w:tc>
        <w:tc>
          <w:tcPr>
            <w:tcW w:w="1494" w:type="dxa"/>
            <w:tcBorders>
              <w:top w:val="single" w:sz="12" w:space="0" w:color="000000"/>
              <w:left w:val="single" w:sz="12" w:space="0" w:color="000000"/>
              <w:bottom w:val="single" w:sz="12" w:space="0" w:color="000000"/>
              <w:right w:val="single" w:sz="12" w:space="0" w:color="000000"/>
            </w:tcBorders>
          </w:tcPr>
          <w:p>
            <w:pPr>
              <w:pStyle w:val="TableParagraph"/>
              <w:spacing w:before="10"/>
              <w:jc w:val="left"/>
              <w:rPr>
                <w:rFonts w:ascii="Times New Roman"/>
                <w:sz w:val="17"/>
              </w:rPr>
            </w:pPr>
          </w:p>
          <w:p>
            <w:pPr>
              <w:pStyle w:val="TableParagraph"/>
              <w:ind w:left="507" w:right="-1"/>
              <w:jc w:val="left"/>
              <w:rPr>
                <w:rFonts w:ascii="Calibri"/>
                <w:sz w:val="21"/>
              </w:rPr>
            </w:pPr>
            <w:r>
              <w:rPr>
                <w:rFonts w:ascii="Calibri"/>
                <w:w w:val="105"/>
                <w:sz w:val="21"/>
              </w:rPr>
              <w:t>$0.00</w:t>
            </w:r>
          </w:p>
        </w:tc>
        <w:tc>
          <w:tcPr>
            <w:tcW w:w="1667" w:type="dxa"/>
            <w:tcBorders>
              <w:top w:val="single" w:sz="12" w:space="0" w:color="000000"/>
              <w:left w:val="single" w:sz="12" w:space="0" w:color="000000"/>
              <w:bottom w:val="single" w:sz="12" w:space="0" w:color="000000"/>
              <w:right w:val="single" w:sz="12" w:space="0" w:color="000000"/>
            </w:tcBorders>
          </w:tcPr>
          <w:p>
            <w:pPr>
              <w:pStyle w:val="TableParagraph"/>
              <w:spacing w:before="10"/>
              <w:jc w:val="left"/>
              <w:rPr>
                <w:rFonts w:ascii="Times New Roman"/>
                <w:sz w:val="17"/>
              </w:rPr>
            </w:pPr>
          </w:p>
          <w:p>
            <w:pPr>
              <w:pStyle w:val="TableParagraph"/>
              <w:ind w:left="22"/>
              <w:rPr>
                <w:rFonts w:ascii="Calibri"/>
                <w:sz w:val="21"/>
              </w:rPr>
            </w:pPr>
            <w:r>
              <w:rPr>
                <w:rFonts w:ascii="Calibri"/>
                <w:w w:val="105"/>
                <w:sz w:val="21"/>
              </w:rPr>
              <w:t>$0.00</w:t>
            </w:r>
          </w:p>
        </w:tc>
        <w:tc>
          <w:tcPr>
            <w:tcW w:w="957" w:type="dxa"/>
            <w:tcBorders>
              <w:top w:val="single" w:sz="12" w:space="0" w:color="000000"/>
              <w:left w:val="single" w:sz="12" w:space="0" w:color="000000"/>
              <w:bottom w:val="single" w:sz="12" w:space="0" w:color="000000"/>
              <w:right w:val="single" w:sz="12" w:space="0" w:color="000000"/>
            </w:tcBorders>
          </w:tcPr>
          <w:p>
            <w:pPr>
              <w:pStyle w:val="TableParagraph"/>
              <w:spacing w:before="10"/>
              <w:jc w:val="left"/>
              <w:rPr>
                <w:rFonts w:ascii="Times New Roman"/>
                <w:sz w:val="17"/>
              </w:rPr>
            </w:pPr>
          </w:p>
          <w:p>
            <w:pPr>
              <w:pStyle w:val="TableParagraph"/>
              <w:ind w:left="66" w:right="29"/>
              <w:rPr>
                <w:rFonts w:ascii="Calibri"/>
                <w:sz w:val="21"/>
              </w:rPr>
            </w:pPr>
            <w:r>
              <w:rPr>
                <w:rFonts w:ascii="Calibri"/>
                <w:w w:val="105"/>
                <w:sz w:val="21"/>
              </w:rPr>
              <w:t>$0.00</w:t>
            </w:r>
          </w:p>
        </w:tc>
        <w:tc>
          <w:tcPr>
            <w:tcW w:w="1652" w:type="dxa"/>
            <w:tcBorders>
              <w:top w:val="single" w:sz="12" w:space="0" w:color="000000"/>
              <w:left w:val="single" w:sz="12" w:space="0" w:color="000000"/>
              <w:bottom w:val="single" w:sz="12" w:space="0" w:color="000000"/>
              <w:right w:val="single" w:sz="12" w:space="0" w:color="000000"/>
            </w:tcBorders>
          </w:tcPr>
          <w:p>
            <w:pPr>
              <w:pStyle w:val="TableParagraph"/>
              <w:spacing w:before="10"/>
              <w:jc w:val="left"/>
              <w:rPr>
                <w:rFonts w:ascii="Times New Roman"/>
                <w:sz w:val="17"/>
              </w:rPr>
            </w:pPr>
          </w:p>
          <w:p>
            <w:pPr>
              <w:pStyle w:val="TableParagraph"/>
              <w:ind w:left="39" w:right="2"/>
              <w:rPr>
                <w:rFonts w:ascii="Calibri"/>
                <w:sz w:val="21"/>
              </w:rPr>
            </w:pPr>
            <w:r>
              <w:rPr>
                <w:rFonts w:ascii="Calibri"/>
                <w:w w:val="105"/>
                <w:sz w:val="21"/>
              </w:rPr>
              <w:t>$0.00</w:t>
            </w:r>
          </w:p>
        </w:tc>
        <w:tc>
          <w:tcPr>
            <w:tcW w:w="1494" w:type="dxa"/>
            <w:tcBorders>
              <w:top w:val="single" w:sz="12" w:space="0" w:color="000000"/>
              <w:left w:val="single" w:sz="12" w:space="0" w:color="000000"/>
              <w:bottom w:val="single" w:sz="12" w:space="0" w:color="000000"/>
              <w:right w:val="single" w:sz="12" w:space="0" w:color="000000"/>
            </w:tcBorders>
          </w:tcPr>
          <w:p>
            <w:pPr>
              <w:pStyle w:val="TableParagraph"/>
              <w:spacing w:before="10"/>
              <w:jc w:val="left"/>
              <w:rPr>
                <w:rFonts w:ascii="Times New Roman"/>
                <w:sz w:val="17"/>
              </w:rPr>
            </w:pPr>
          </w:p>
          <w:p>
            <w:pPr>
              <w:pStyle w:val="TableParagraph"/>
              <w:ind w:left="23"/>
              <w:rPr>
                <w:rFonts w:ascii="Calibri"/>
                <w:sz w:val="21"/>
              </w:rPr>
            </w:pPr>
            <w:r>
              <w:rPr>
                <w:rFonts w:ascii="Calibri"/>
                <w:w w:val="105"/>
                <w:sz w:val="21"/>
              </w:rPr>
              <w:t>$0.00</w:t>
            </w:r>
          </w:p>
        </w:tc>
      </w:tr>
    </w:tbl>
    <w:p>
      <w:pPr>
        <w:spacing w:after="0"/>
        <w:rPr>
          <w:rFonts w:ascii="Calibri"/>
          <w:sz w:val="21"/>
        </w:rPr>
        <w:sectPr>
          <w:pgSz w:w="15840" w:h="12240" w:orient="landscape"/>
          <w:pgMar w:header="0" w:footer="975" w:top="1140" w:bottom="1160" w:left="1300" w:right="1300"/>
        </w:sectPr>
      </w:pPr>
    </w:p>
    <w:p>
      <w:pPr>
        <w:pStyle w:val="BodyText"/>
        <w:rPr>
          <w:rFonts w:ascii="Times New Roman"/>
          <w:sz w:val="20"/>
        </w:rPr>
      </w:pPr>
      <w:r>
        <w:rPr/>
        <w:pict>
          <v:line style="position:absolute;mso-position-horizontal-relative:page;mso-position-vertical-relative:page;z-index:-2764408" from="71.15844pt,85.374336pt" to="71.15844pt,85.374336pt" stroked="true" strokeweight=".657605pt" strokecolor="#d3d3d3">
            <w10:wrap type="none"/>
          </v:line>
        </w:pict>
      </w:r>
      <w:r>
        <w:rPr/>
        <w:pict>
          <v:line style="position:absolute;mso-position-horizontal-relative:page;mso-position-vertical-relative:page;z-index:-2764384" from="720.730347pt,85.374336pt" to="720.730347pt,85.374336pt" stroked="true" strokeweight=".657605pt" strokecolor="#d3d3d3">
            <w10:wrap type="none"/>
          </v:line>
        </w:pict>
      </w:r>
    </w:p>
    <w:p>
      <w:pPr>
        <w:pStyle w:val="BodyText"/>
        <w:spacing w:before="9"/>
        <w:rPr>
          <w:rFonts w:ascii="Times New Roman"/>
          <w:sz w:val="28"/>
        </w:rPr>
      </w:pPr>
    </w:p>
    <w:tbl>
      <w:tblPr>
        <w:tblW w:w="0" w:type="auto"/>
        <w:jc w:val="left"/>
        <w:tblInd w:w="117"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142"/>
        <w:gridCol w:w="1543"/>
        <w:gridCol w:w="1408"/>
        <w:gridCol w:w="1544"/>
        <w:gridCol w:w="1408"/>
        <w:gridCol w:w="1544"/>
        <w:gridCol w:w="1309"/>
        <w:gridCol w:w="1543"/>
        <w:gridCol w:w="1544"/>
      </w:tblGrid>
      <w:tr>
        <w:trPr>
          <w:trHeight w:val="401" w:hRule="exact"/>
        </w:trPr>
        <w:tc>
          <w:tcPr>
            <w:tcW w:w="12985" w:type="dxa"/>
            <w:gridSpan w:val="9"/>
            <w:tcBorders>
              <w:bottom w:val="single" w:sz="11" w:space="0" w:color="000000"/>
              <w:right w:val="single" w:sz="10" w:space="0" w:color="000000"/>
            </w:tcBorders>
            <w:shd w:val="clear" w:color="auto" w:fill="C4D69B"/>
          </w:tcPr>
          <w:p>
            <w:pPr>
              <w:pStyle w:val="TableParagraph"/>
              <w:spacing w:before="100"/>
              <w:ind w:left="3754"/>
              <w:jc w:val="left"/>
              <w:rPr>
                <w:b/>
                <w:sz w:val="16"/>
              </w:rPr>
            </w:pPr>
            <w:r>
              <w:rPr>
                <w:b/>
                <w:w w:val="95"/>
                <w:sz w:val="16"/>
              </w:rPr>
              <w:t>Anexo 24D. Municipios que publican su presupuesto 2014-2015 (Continuación)</w:t>
            </w:r>
          </w:p>
        </w:tc>
      </w:tr>
      <w:tr>
        <w:trPr>
          <w:trHeight w:val="408" w:hRule="exact"/>
        </w:trPr>
        <w:tc>
          <w:tcPr>
            <w:tcW w:w="1142" w:type="dxa"/>
            <w:vMerge w:val="restart"/>
            <w:tcBorders>
              <w:top w:val="single" w:sz="11" w:space="0" w:color="000000"/>
              <w:right w:val="single" w:sz="10" w:space="0" w:color="000000"/>
            </w:tcBorders>
            <w:shd w:val="clear" w:color="auto" w:fill="C4D69B"/>
          </w:tcPr>
          <w:p>
            <w:pPr>
              <w:pStyle w:val="TableParagraph"/>
              <w:jc w:val="left"/>
              <w:rPr>
                <w:rFonts w:ascii="Times New Roman"/>
                <w:sz w:val="16"/>
              </w:rPr>
            </w:pPr>
          </w:p>
          <w:p>
            <w:pPr>
              <w:pStyle w:val="TableParagraph"/>
              <w:spacing w:before="113"/>
              <w:ind w:left="234"/>
              <w:jc w:val="left"/>
              <w:rPr>
                <w:b/>
                <w:sz w:val="16"/>
              </w:rPr>
            </w:pPr>
            <w:r>
              <w:rPr>
                <w:b/>
                <w:sz w:val="16"/>
              </w:rPr>
              <w:t>Municipio</w:t>
            </w:r>
          </w:p>
        </w:tc>
        <w:tc>
          <w:tcPr>
            <w:tcW w:w="5903" w:type="dxa"/>
            <w:gridSpan w:val="4"/>
            <w:tcBorders>
              <w:top w:val="single" w:sz="11" w:space="0" w:color="000000"/>
              <w:left w:val="single" w:sz="10" w:space="0" w:color="000000"/>
              <w:bottom w:val="single" w:sz="11" w:space="0" w:color="000000"/>
              <w:right w:val="single" w:sz="10" w:space="0" w:color="000000"/>
            </w:tcBorders>
            <w:shd w:val="clear" w:color="auto" w:fill="C4D69B"/>
          </w:tcPr>
          <w:p>
            <w:pPr>
              <w:pStyle w:val="TableParagraph"/>
              <w:spacing w:before="100"/>
              <w:ind w:left="2753" w:right="2729"/>
              <w:rPr>
                <w:sz w:val="16"/>
              </w:rPr>
            </w:pPr>
            <w:r>
              <w:rPr>
                <w:sz w:val="16"/>
              </w:rPr>
              <w:t>2014</w:t>
            </w:r>
          </w:p>
        </w:tc>
        <w:tc>
          <w:tcPr>
            <w:tcW w:w="5940" w:type="dxa"/>
            <w:gridSpan w:val="4"/>
            <w:tcBorders>
              <w:top w:val="single" w:sz="11" w:space="0" w:color="000000"/>
              <w:left w:val="single" w:sz="10" w:space="0" w:color="000000"/>
              <w:bottom w:val="single" w:sz="11" w:space="0" w:color="000000"/>
              <w:right w:val="single" w:sz="10" w:space="0" w:color="000000"/>
            </w:tcBorders>
            <w:shd w:val="clear" w:color="auto" w:fill="C4D69B"/>
          </w:tcPr>
          <w:p>
            <w:pPr>
              <w:pStyle w:val="TableParagraph"/>
              <w:spacing w:before="100"/>
              <w:ind w:left="2765" w:right="2754"/>
              <w:rPr>
                <w:sz w:val="16"/>
              </w:rPr>
            </w:pPr>
            <w:r>
              <w:rPr>
                <w:sz w:val="16"/>
              </w:rPr>
              <w:t>2015</w:t>
            </w:r>
          </w:p>
        </w:tc>
      </w:tr>
      <w:tr>
        <w:trPr>
          <w:trHeight w:val="409" w:hRule="exact"/>
        </w:trPr>
        <w:tc>
          <w:tcPr>
            <w:tcW w:w="1142" w:type="dxa"/>
            <w:vMerge/>
            <w:tcBorders>
              <w:bottom w:val="single" w:sz="11" w:space="0" w:color="000000"/>
              <w:right w:val="single" w:sz="10" w:space="0" w:color="000000"/>
            </w:tcBorders>
            <w:shd w:val="clear" w:color="auto" w:fill="C4D69B"/>
          </w:tcPr>
          <w:p>
            <w:pPr/>
          </w:p>
        </w:tc>
        <w:tc>
          <w:tcPr>
            <w:tcW w:w="1543" w:type="dxa"/>
            <w:tcBorders>
              <w:top w:val="single" w:sz="11" w:space="0" w:color="000000"/>
              <w:left w:val="single" w:sz="10" w:space="0" w:color="000000"/>
              <w:bottom w:val="single" w:sz="11" w:space="0" w:color="000000"/>
              <w:right w:val="single" w:sz="10" w:space="0" w:color="000000"/>
            </w:tcBorders>
            <w:shd w:val="clear" w:color="auto" w:fill="C4D69B"/>
          </w:tcPr>
          <w:p>
            <w:pPr>
              <w:pStyle w:val="TableParagraph"/>
              <w:spacing w:before="100"/>
              <w:ind w:left="99" w:right="80"/>
              <w:rPr>
                <w:sz w:val="16"/>
              </w:rPr>
            </w:pPr>
            <w:r>
              <w:rPr>
                <w:sz w:val="16"/>
              </w:rPr>
              <w:t>Autorizado</w:t>
            </w:r>
          </w:p>
        </w:tc>
        <w:tc>
          <w:tcPr>
            <w:tcW w:w="1408" w:type="dxa"/>
            <w:tcBorders>
              <w:top w:val="single" w:sz="11" w:space="0" w:color="000000"/>
              <w:left w:val="single" w:sz="10" w:space="0" w:color="000000"/>
              <w:bottom w:val="single" w:sz="11" w:space="0" w:color="000000"/>
              <w:right w:val="single" w:sz="10" w:space="0" w:color="000000"/>
            </w:tcBorders>
            <w:shd w:val="clear" w:color="auto" w:fill="C4D69B"/>
          </w:tcPr>
          <w:p>
            <w:pPr>
              <w:pStyle w:val="TableParagraph"/>
              <w:spacing w:before="100"/>
              <w:ind w:left="67" w:right="61"/>
              <w:rPr>
                <w:sz w:val="16"/>
              </w:rPr>
            </w:pPr>
            <w:r>
              <w:rPr>
                <w:sz w:val="16"/>
              </w:rPr>
              <w:t>Modificado</w:t>
            </w:r>
          </w:p>
        </w:tc>
        <w:tc>
          <w:tcPr>
            <w:tcW w:w="1544" w:type="dxa"/>
            <w:tcBorders>
              <w:top w:val="single" w:sz="11" w:space="0" w:color="000000"/>
              <w:left w:val="single" w:sz="10" w:space="0" w:color="000000"/>
              <w:bottom w:val="single" w:sz="11" w:space="0" w:color="000000"/>
              <w:right w:val="single" w:sz="10" w:space="0" w:color="000000"/>
            </w:tcBorders>
            <w:shd w:val="clear" w:color="auto" w:fill="C4D69B"/>
          </w:tcPr>
          <w:p>
            <w:pPr>
              <w:pStyle w:val="TableParagraph"/>
              <w:spacing w:before="100"/>
              <w:ind w:left="99" w:right="80"/>
              <w:rPr>
                <w:sz w:val="16"/>
              </w:rPr>
            </w:pPr>
            <w:r>
              <w:rPr>
                <w:sz w:val="16"/>
              </w:rPr>
              <w:t>Ejercido</w:t>
            </w:r>
          </w:p>
        </w:tc>
        <w:tc>
          <w:tcPr>
            <w:tcW w:w="1408" w:type="dxa"/>
            <w:tcBorders>
              <w:top w:val="single" w:sz="11" w:space="0" w:color="000000"/>
              <w:left w:val="single" w:sz="10" w:space="0" w:color="000000"/>
              <w:bottom w:val="single" w:sz="11" w:space="0" w:color="000000"/>
              <w:right w:val="single" w:sz="10" w:space="0" w:color="000000"/>
            </w:tcBorders>
            <w:shd w:val="clear" w:color="auto" w:fill="C4D69B"/>
          </w:tcPr>
          <w:p>
            <w:pPr>
              <w:pStyle w:val="TableParagraph"/>
              <w:spacing w:before="100"/>
              <w:ind w:left="29" w:right="6"/>
              <w:rPr>
                <w:sz w:val="16"/>
              </w:rPr>
            </w:pPr>
            <w:r>
              <w:rPr>
                <w:w w:val="95"/>
                <w:sz w:val="16"/>
              </w:rPr>
              <w:t>Por ejercer</w:t>
            </w:r>
          </w:p>
        </w:tc>
        <w:tc>
          <w:tcPr>
            <w:tcW w:w="1544" w:type="dxa"/>
            <w:tcBorders>
              <w:top w:val="single" w:sz="11" w:space="0" w:color="000000"/>
              <w:left w:val="single" w:sz="10" w:space="0" w:color="000000"/>
              <w:bottom w:val="single" w:sz="11" w:space="0" w:color="000000"/>
              <w:right w:val="single" w:sz="10" w:space="0" w:color="000000"/>
            </w:tcBorders>
            <w:shd w:val="clear" w:color="auto" w:fill="C4D69B"/>
          </w:tcPr>
          <w:p>
            <w:pPr>
              <w:pStyle w:val="TableParagraph"/>
              <w:spacing w:before="100"/>
              <w:ind w:left="99" w:right="80"/>
              <w:rPr>
                <w:sz w:val="16"/>
              </w:rPr>
            </w:pPr>
            <w:r>
              <w:rPr>
                <w:sz w:val="16"/>
              </w:rPr>
              <w:t>Autorizado</w:t>
            </w:r>
          </w:p>
        </w:tc>
        <w:tc>
          <w:tcPr>
            <w:tcW w:w="1309" w:type="dxa"/>
            <w:tcBorders>
              <w:top w:val="single" w:sz="11" w:space="0" w:color="000000"/>
              <w:left w:val="single" w:sz="10" w:space="0" w:color="000000"/>
              <w:bottom w:val="single" w:sz="11" w:space="0" w:color="000000"/>
              <w:right w:val="single" w:sz="10" w:space="0" w:color="000000"/>
            </w:tcBorders>
            <w:shd w:val="clear" w:color="auto" w:fill="C4D69B"/>
          </w:tcPr>
          <w:p>
            <w:pPr>
              <w:pStyle w:val="TableParagraph"/>
              <w:spacing w:before="100"/>
              <w:ind w:left="238" w:right="232"/>
              <w:rPr>
                <w:sz w:val="16"/>
              </w:rPr>
            </w:pPr>
            <w:r>
              <w:rPr>
                <w:sz w:val="16"/>
              </w:rPr>
              <w:t>Modificado</w:t>
            </w:r>
          </w:p>
        </w:tc>
        <w:tc>
          <w:tcPr>
            <w:tcW w:w="1543" w:type="dxa"/>
            <w:tcBorders>
              <w:top w:val="single" w:sz="11" w:space="0" w:color="000000"/>
              <w:left w:val="single" w:sz="10" w:space="0" w:color="000000"/>
              <w:bottom w:val="single" w:sz="11" w:space="0" w:color="000000"/>
              <w:right w:val="single" w:sz="10" w:space="0" w:color="000000"/>
            </w:tcBorders>
            <w:shd w:val="clear" w:color="auto" w:fill="C4D69B"/>
          </w:tcPr>
          <w:p>
            <w:pPr>
              <w:pStyle w:val="TableParagraph"/>
              <w:spacing w:before="100"/>
              <w:ind w:left="99" w:right="80"/>
              <w:rPr>
                <w:sz w:val="16"/>
              </w:rPr>
            </w:pPr>
            <w:r>
              <w:rPr>
                <w:sz w:val="16"/>
              </w:rPr>
              <w:t>Ejercido</w:t>
            </w:r>
          </w:p>
        </w:tc>
        <w:tc>
          <w:tcPr>
            <w:tcW w:w="1544" w:type="dxa"/>
            <w:tcBorders>
              <w:top w:val="single" w:sz="11" w:space="0" w:color="000000"/>
              <w:left w:val="single" w:sz="10" w:space="0" w:color="000000"/>
              <w:bottom w:val="single" w:sz="11" w:space="0" w:color="000000"/>
              <w:right w:val="single" w:sz="10" w:space="0" w:color="000000"/>
            </w:tcBorders>
            <w:shd w:val="clear" w:color="auto" w:fill="C4D69B"/>
          </w:tcPr>
          <w:p>
            <w:pPr>
              <w:pStyle w:val="TableParagraph"/>
              <w:spacing w:before="100"/>
              <w:ind w:left="90" w:right="80"/>
              <w:rPr>
                <w:sz w:val="16"/>
              </w:rPr>
            </w:pPr>
            <w:r>
              <w:rPr>
                <w:w w:val="95"/>
                <w:sz w:val="16"/>
              </w:rPr>
              <w:t>Por ejercer</w:t>
            </w:r>
          </w:p>
        </w:tc>
      </w:tr>
      <w:tr>
        <w:trPr>
          <w:trHeight w:val="408" w:hRule="exact"/>
        </w:trPr>
        <w:tc>
          <w:tcPr>
            <w:tcW w:w="1142" w:type="dxa"/>
            <w:tcBorders>
              <w:top w:val="single" w:sz="11" w:space="0" w:color="000000"/>
              <w:bottom w:val="single" w:sz="11" w:space="0" w:color="000000"/>
              <w:right w:val="single" w:sz="10" w:space="0" w:color="000000"/>
            </w:tcBorders>
          </w:tcPr>
          <w:p>
            <w:pPr>
              <w:pStyle w:val="TableParagraph"/>
              <w:spacing w:before="117"/>
              <w:ind w:left="48" w:right="50"/>
              <w:rPr>
                <w:rFonts w:ascii="Calibri"/>
                <w:b/>
                <w:sz w:val="14"/>
              </w:rPr>
            </w:pPr>
            <w:r>
              <w:rPr>
                <w:rFonts w:ascii="Calibri"/>
                <w:b/>
                <w:sz w:val="14"/>
              </w:rPr>
              <w:t>TEMOAYA</w:t>
            </w:r>
          </w:p>
        </w:tc>
        <w:tc>
          <w:tcPr>
            <w:tcW w:w="1543"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1"/>
              <w:rPr>
                <w:rFonts w:ascii="Calibri"/>
                <w:sz w:val="19"/>
              </w:rPr>
            </w:pPr>
            <w:r>
              <w:rPr>
                <w:rFonts w:ascii="Calibri"/>
                <w:sz w:val="19"/>
              </w:rPr>
              <w:t>$275,035,117.55</w:t>
            </w:r>
          </w:p>
        </w:tc>
        <w:tc>
          <w:tcPr>
            <w:tcW w:w="1408"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79" w:right="48"/>
              <w:rPr>
                <w:rFonts w:ascii="Calibri"/>
                <w:sz w:val="19"/>
              </w:rPr>
            </w:pPr>
            <w:r>
              <w:rPr>
                <w:rFonts w:ascii="Calibri"/>
                <w:sz w:val="19"/>
              </w:rPr>
              <w:t>$0.00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68"/>
              <w:rPr>
                <w:rFonts w:ascii="Calibri"/>
                <w:sz w:val="19"/>
              </w:rPr>
            </w:pPr>
            <w:r>
              <w:rPr>
                <w:rFonts w:ascii="Calibri"/>
                <w:sz w:val="19"/>
              </w:rPr>
              <w:t>$40,294,204.93</w:t>
            </w:r>
          </w:p>
        </w:tc>
        <w:tc>
          <w:tcPr>
            <w:tcW w:w="1408"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24" w:right="6"/>
              <w:rPr>
                <w:rFonts w:ascii="Calibri"/>
                <w:sz w:val="19"/>
              </w:rPr>
            </w:pPr>
            <w:r>
              <w:rPr>
                <w:rFonts w:ascii="Calibri"/>
                <w:sz w:val="19"/>
              </w:rPr>
              <w:t>$34,740,912.62</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8" w:right="80"/>
              <w:rPr>
                <w:rFonts w:ascii="Calibri"/>
                <w:sz w:val="19"/>
              </w:rPr>
            </w:pPr>
            <w:r>
              <w:rPr>
                <w:rFonts w:ascii="Calibri"/>
                <w:sz w:val="19"/>
              </w:rPr>
              <w:t>$278,877,864.00</w:t>
            </w:r>
          </w:p>
        </w:tc>
        <w:tc>
          <w:tcPr>
            <w:tcW w:w="1309"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238" w:right="207"/>
              <w:rPr>
                <w:rFonts w:ascii="Calibri"/>
                <w:sz w:val="19"/>
              </w:rPr>
            </w:pPr>
            <w:r>
              <w:rPr>
                <w:rFonts w:ascii="Calibri"/>
                <w:sz w:val="19"/>
              </w:rPr>
              <w:t>$0.00</w:t>
            </w:r>
          </w:p>
        </w:tc>
        <w:tc>
          <w:tcPr>
            <w:tcW w:w="1543"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1"/>
              <w:rPr>
                <w:rFonts w:ascii="Calibri"/>
                <w:sz w:val="19"/>
              </w:rPr>
            </w:pPr>
            <w:r>
              <w:rPr>
                <w:rFonts w:ascii="Calibri"/>
                <w:sz w:val="19"/>
              </w:rPr>
              <w:t>$129,140,714.90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8" w:right="80"/>
              <w:rPr>
                <w:rFonts w:ascii="Calibri"/>
                <w:sz w:val="19"/>
              </w:rPr>
            </w:pPr>
            <w:r>
              <w:rPr>
                <w:rFonts w:ascii="Calibri"/>
                <w:sz w:val="19"/>
              </w:rPr>
              <w:t>$149,737,149.10</w:t>
            </w:r>
          </w:p>
        </w:tc>
      </w:tr>
      <w:tr>
        <w:trPr>
          <w:trHeight w:val="409" w:hRule="exact"/>
        </w:trPr>
        <w:tc>
          <w:tcPr>
            <w:tcW w:w="1142" w:type="dxa"/>
            <w:tcBorders>
              <w:top w:val="single" w:sz="11" w:space="0" w:color="000000"/>
              <w:bottom w:val="single" w:sz="11" w:space="0" w:color="000000"/>
              <w:right w:val="single" w:sz="10" w:space="0" w:color="000000"/>
            </w:tcBorders>
          </w:tcPr>
          <w:p>
            <w:pPr>
              <w:pStyle w:val="TableParagraph"/>
              <w:spacing w:before="117"/>
              <w:ind w:left="54" w:right="50"/>
              <w:rPr>
                <w:rFonts w:ascii="Calibri"/>
                <w:b/>
                <w:sz w:val="14"/>
              </w:rPr>
            </w:pPr>
            <w:r>
              <w:rPr>
                <w:rFonts w:ascii="Calibri"/>
                <w:b/>
                <w:sz w:val="14"/>
              </w:rPr>
              <w:t>TENANCINGO</w:t>
            </w:r>
          </w:p>
        </w:tc>
        <w:tc>
          <w:tcPr>
            <w:tcW w:w="1543"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1"/>
              <w:rPr>
                <w:rFonts w:ascii="Calibri"/>
                <w:sz w:val="19"/>
              </w:rPr>
            </w:pPr>
            <w:r>
              <w:rPr>
                <w:rFonts w:ascii="Calibri"/>
                <w:sz w:val="19"/>
              </w:rPr>
              <w:t>$293,610,586.91</w:t>
            </w:r>
          </w:p>
        </w:tc>
        <w:tc>
          <w:tcPr>
            <w:tcW w:w="1408"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79" w:right="48"/>
              <w:rPr>
                <w:rFonts w:ascii="Calibri"/>
                <w:sz w:val="19"/>
              </w:rPr>
            </w:pPr>
            <w:r>
              <w:rPr>
                <w:rFonts w:ascii="Calibri"/>
                <w:sz w:val="19"/>
              </w:rPr>
              <w:t>$0.00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0"/>
              <w:rPr>
                <w:rFonts w:ascii="Calibri"/>
                <w:sz w:val="19"/>
              </w:rPr>
            </w:pPr>
            <w:r>
              <w:rPr>
                <w:rFonts w:ascii="Calibri"/>
                <w:sz w:val="19"/>
              </w:rPr>
              <w:t>$0.00</w:t>
            </w:r>
          </w:p>
        </w:tc>
        <w:tc>
          <w:tcPr>
            <w:tcW w:w="1408"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37" w:right="6"/>
              <w:rPr>
                <w:rFonts w:ascii="Calibri"/>
                <w:sz w:val="19"/>
              </w:rPr>
            </w:pPr>
            <w:r>
              <w:rPr>
                <w:rFonts w:ascii="Calibri"/>
                <w:sz w:val="19"/>
              </w:rPr>
              <w:t>$293,610,586.91</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8" w:right="80"/>
              <w:rPr>
                <w:rFonts w:ascii="Calibri"/>
                <w:sz w:val="19"/>
              </w:rPr>
            </w:pPr>
            <w:r>
              <w:rPr>
                <w:rFonts w:ascii="Calibri"/>
                <w:sz w:val="19"/>
              </w:rPr>
              <w:t>$320,250,722.03</w:t>
            </w:r>
          </w:p>
        </w:tc>
        <w:tc>
          <w:tcPr>
            <w:tcW w:w="1309"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238" w:right="207"/>
              <w:rPr>
                <w:rFonts w:ascii="Calibri"/>
                <w:sz w:val="19"/>
              </w:rPr>
            </w:pPr>
            <w:r>
              <w:rPr>
                <w:rFonts w:ascii="Calibri"/>
                <w:sz w:val="19"/>
              </w:rPr>
              <w:t>$0.00</w:t>
            </w:r>
          </w:p>
        </w:tc>
        <w:tc>
          <w:tcPr>
            <w:tcW w:w="1543"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0"/>
              <w:rPr>
                <w:rFonts w:ascii="Calibri"/>
                <w:sz w:val="19"/>
              </w:rPr>
            </w:pPr>
            <w:r>
              <w:rPr>
                <w:rFonts w:ascii="Calibri"/>
                <w:sz w:val="19"/>
              </w:rPr>
              <w:t>$0.00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8" w:right="80"/>
              <w:rPr>
                <w:rFonts w:ascii="Calibri"/>
                <w:sz w:val="19"/>
              </w:rPr>
            </w:pPr>
            <w:r>
              <w:rPr>
                <w:rFonts w:ascii="Calibri"/>
                <w:sz w:val="19"/>
              </w:rPr>
              <w:t>$320,250,722.03</w:t>
            </w:r>
          </w:p>
        </w:tc>
      </w:tr>
      <w:tr>
        <w:trPr>
          <w:trHeight w:val="408" w:hRule="exact"/>
        </w:trPr>
        <w:tc>
          <w:tcPr>
            <w:tcW w:w="1142" w:type="dxa"/>
            <w:tcBorders>
              <w:top w:val="single" w:sz="11" w:space="0" w:color="000000"/>
              <w:bottom w:val="single" w:sz="11" w:space="0" w:color="000000"/>
              <w:right w:val="single" w:sz="10" w:space="0" w:color="000000"/>
            </w:tcBorders>
          </w:tcPr>
          <w:p>
            <w:pPr>
              <w:pStyle w:val="TableParagraph"/>
              <w:spacing w:before="117"/>
              <w:ind w:left="2"/>
              <w:rPr>
                <w:rFonts w:ascii="Calibri"/>
                <w:b/>
                <w:sz w:val="14"/>
              </w:rPr>
            </w:pPr>
            <w:r>
              <w:rPr>
                <w:rFonts w:ascii="Calibri"/>
                <w:b/>
                <w:w w:val="95"/>
                <w:sz w:val="14"/>
              </w:rPr>
              <w:t>TENANGO DEL AIRE</w:t>
            </w:r>
          </w:p>
        </w:tc>
        <w:tc>
          <w:tcPr>
            <w:tcW w:w="1543"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1"/>
              <w:rPr>
                <w:rFonts w:ascii="Calibri"/>
                <w:sz w:val="19"/>
              </w:rPr>
            </w:pPr>
            <w:r>
              <w:rPr>
                <w:rFonts w:ascii="Calibri"/>
                <w:sz w:val="19"/>
              </w:rPr>
              <w:t>$322,726,092.29</w:t>
            </w:r>
          </w:p>
        </w:tc>
        <w:tc>
          <w:tcPr>
            <w:tcW w:w="1408"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79" w:right="48"/>
              <w:rPr>
                <w:rFonts w:ascii="Calibri"/>
                <w:sz w:val="19"/>
              </w:rPr>
            </w:pPr>
            <w:r>
              <w:rPr>
                <w:rFonts w:ascii="Calibri"/>
                <w:sz w:val="19"/>
              </w:rPr>
              <w:t>$0.00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0"/>
              <w:rPr>
                <w:rFonts w:ascii="Calibri"/>
                <w:sz w:val="19"/>
              </w:rPr>
            </w:pPr>
            <w:r>
              <w:rPr>
                <w:rFonts w:ascii="Calibri"/>
                <w:sz w:val="19"/>
              </w:rPr>
              <w:t>$9,522,182.36</w:t>
            </w:r>
          </w:p>
        </w:tc>
        <w:tc>
          <w:tcPr>
            <w:tcW w:w="1408"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37" w:right="6"/>
              <w:rPr>
                <w:rFonts w:ascii="Calibri"/>
                <w:sz w:val="19"/>
              </w:rPr>
            </w:pPr>
            <w:r>
              <w:rPr>
                <w:rFonts w:ascii="Calibri"/>
                <w:sz w:val="19"/>
              </w:rPr>
              <w:t>$313,203,909.93</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8" w:right="80"/>
              <w:rPr>
                <w:rFonts w:ascii="Calibri"/>
                <w:sz w:val="19"/>
              </w:rPr>
            </w:pPr>
            <w:r>
              <w:rPr>
                <w:rFonts w:ascii="Calibri"/>
                <w:sz w:val="19"/>
              </w:rPr>
              <w:t>$360,233,008.89</w:t>
            </w:r>
          </w:p>
        </w:tc>
        <w:tc>
          <w:tcPr>
            <w:tcW w:w="1309"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238" w:right="207"/>
              <w:rPr>
                <w:rFonts w:ascii="Calibri"/>
                <w:sz w:val="19"/>
              </w:rPr>
            </w:pPr>
            <w:r>
              <w:rPr>
                <w:rFonts w:ascii="Calibri"/>
                <w:sz w:val="19"/>
              </w:rPr>
              <w:t>$0.00</w:t>
            </w:r>
          </w:p>
        </w:tc>
        <w:tc>
          <w:tcPr>
            <w:tcW w:w="1543"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1"/>
              <w:rPr>
                <w:rFonts w:ascii="Calibri"/>
                <w:sz w:val="19"/>
              </w:rPr>
            </w:pPr>
            <w:r>
              <w:rPr>
                <w:rFonts w:ascii="Calibri"/>
                <w:sz w:val="19"/>
              </w:rPr>
              <w:t>$7,822,356.36</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8" w:right="80"/>
              <w:rPr>
                <w:rFonts w:ascii="Calibri"/>
                <w:sz w:val="19"/>
              </w:rPr>
            </w:pPr>
            <w:r>
              <w:rPr>
                <w:rFonts w:ascii="Calibri"/>
                <w:sz w:val="19"/>
              </w:rPr>
              <w:t>$352,410,652.53</w:t>
            </w:r>
          </w:p>
        </w:tc>
      </w:tr>
      <w:tr>
        <w:trPr>
          <w:trHeight w:val="409" w:hRule="exact"/>
        </w:trPr>
        <w:tc>
          <w:tcPr>
            <w:tcW w:w="1142" w:type="dxa"/>
            <w:tcBorders>
              <w:top w:val="single" w:sz="11" w:space="0" w:color="000000"/>
              <w:bottom w:val="single" w:sz="11" w:space="0" w:color="000000"/>
              <w:right w:val="single" w:sz="10" w:space="0" w:color="000000"/>
            </w:tcBorders>
          </w:tcPr>
          <w:p>
            <w:pPr>
              <w:pStyle w:val="TableParagraph"/>
              <w:spacing w:line="278" w:lineRule="auto" w:before="11"/>
              <w:ind w:left="395" w:hanging="235"/>
              <w:jc w:val="left"/>
              <w:rPr>
                <w:rFonts w:ascii="Calibri"/>
                <w:b/>
                <w:sz w:val="14"/>
              </w:rPr>
            </w:pPr>
            <w:r>
              <w:rPr>
                <w:rFonts w:ascii="Calibri"/>
                <w:b/>
                <w:w w:val="95"/>
                <w:sz w:val="14"/>
              </w:rPr>
              <w:t>TENANGO DEL </w:t>
            </w:r>
            <w:r>
              <w:rPr>
                <w:rFonts w:ascii="Calibri"/>
                <w:b/>
                <w:sz w:val="14"/>
              </w:rPr>
              <w:t>VALLE</w:t>
            </w:r>
          </w:p>
        </w:tc>
        <w:tc>
          <w:tcPr>
            <w:tcW w:w="1543"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1"/>
              <w:rPr>
                <w:rFonts w:ascii="Calibri"/>
                <w:sz w:val="19"/>
              </w:rPr>
            </w:pPr>
            <w:r>
              <w:rPr>
                <w:rFonts w:ascii="Calibri"/>
                <w:sz w:val="19"/>
              </w:rPr>
              <w:t>$322,726,092.29</w:t>
            </w:r>
          </w:p>
        </w:tc>
        <w:tc>
          <w:tcPr>
            <w:tcW w:w="1408"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79" w:right="48"/>
              <w:rPr>
                <w:rFonts w:ascii="Calibri"/>
                <w:sz w:val="19"/>
              </w:rPr>
            </w:pPr>
            <w:r>
              <w:rPr>
                <w:rFonts w:ascii="Calibri"/>
                <w:sz w:val="19"/>
              </w:rPr>
              <w:t>$0.00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0"/>
              <w:rPr>
                <w:rFonts w:ascii="Calibri"/>
                <w:sz w:val="19"/>
              </w:rPr>
            </w:pPr>
            <w:r>
              <w:rPr>
                <w:rFonts w:ascii="Calibri"/>
                <w:sz w:val="19"/>
              </w:rPr>
              <w:t>$9,522,182.36</w:t>
            </w:r>
          </w:p>
        </w:tc>
        <w:tc>
          <w:tcPr>
            <w:tcW w:w="1408"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37" w:right="6"/>
              <w:rPr>
                <w:rFonts w:ascii="Calibri"/>
                <w:sz w:val="19"/>
              </w:rPr>
            </w:pPr>
            <w:r>
              <w:rPr>
                <w:rFonts w:ascii="Calibri"/>
                <w:sz w:val="19"/>
              </w:rPr>
              <w:t>$313,203,909.93</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8" w:right="80"/>
              <w:rPr>
                <w:rFonts w:ascii="Calibri"/>
                <w:sz w:val="19"/>
              </w:rPr>
            </w:pPr>
            <w:r>
              <w:rPr>
                <w:rFonts w:ascii="Calibri"/>
                <w:sz w:val="19"/>
              </w:rPr>
              <w:t>$360,233,008.89</w:t>
            </w:r>
          </w:p>
        </w:tc>
        <w:tc>
          <w:tcPr>
            <w:tcW w:w="1309"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238" w:right="207"/>
              <w:rPr>
                <w:rFonts w:ascii="Calibri"/>
                <w:sz w:val="19"/>
              </w:rPr>
            </w:pPr>
            <w:r>
              <w:rPr>
                <w:rFonts w:ascii="Calibri"/>
                <w:sz w:val="19"/>
              </w:rPr>
              <w:t>$0.00</w:t>
            </w:r>
          </w:p>
        </w:tc>
        <w:tc>
          <w:tcPr>
            <w:tcW w:w="1543"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1"/>
              <w:rPr>
                <w:rFonts w:ascii="Calibri"/>
                <w:sz w:val="19"/>
              </w:rPr>
            </w:pPr>
            <w:r>
              <w:rPr>
                <w:rFonts w:ascii="Calibri"/>
                <w:sz w:val="19"/>
              </w:rPr>
              <w:t>$7,822,356.36</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8" w:right="80"/>
              <w:rPr>
                <w:rFonts w:ascii="Calibri"/>
                <w:sz w:val="19"/>
              </w:rPr>
            </w:pPr>
            <w:r>
              <w:rPr>
                <w:rFonts w:ascii="Calibri"/>
                <w:sz w:val="19"/>
              </w:rPr>
              <w:t>$352,410,652.53</w:t>
            </w:r>
          </w:p>
        </w:tc>
      </w:tr>
      <w:tr>
        <w:trPr>
          <w:trHeight w:val="408" w:hRule="exact"/>
        </w:trPr>
        <w:tc>
          <w:tcPr>
            <w:tcW w:w="1142" w:type="dxa"/>
            <w:tcBorders>
              <w:top w:val="single" w:sz="11" w:space="0" w:color="000000"/>
              <w:bottom w:val="single" w:sz="11" w:space="0" w:color="000000"/>
              <w:right w:val="single" w:sz="10" w:space="0" w:color="000000"/>
            </w:tcBorders>
          </w:tcPr>
          <w:p>
            <w:pPr>
              <w:pStyle w:val="TableParagraph"/>
              <w:spacing w:before="117"/>
              <w:ind w:left="63" w:right="50"/>
              <w:rPr>
                <w:rFonts w:ascii="Calibri"/>
                <w:b/>
                <w:sz w:val="14"/>
              </w:rPr>
            </w:pPr>
            <w:r>
              <w:rPr>
                <w:rFonts w:ascii="Calibri"/>
                <w:b/>
                <w:sz w:val="14"/>
              </w:rPr>
              <w:t>TEOLOYUCAN</w:t>
            </w:r>
          </w:p>
        </w:tc>
        <w:tc>
          <w:tcPr>
            <w:tcW w:w="1543"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1"/>
              <w:rPr>
                <w:rFonts w:ascii="Calibri"/>
                <w:sz w:val="19"/>
              </w:rPr>
            </w:pPr>
            <w:r>
              <w:rPr>
                <w:rFonts w:ascii="Calibri"/>
                <w:sz w:val="19"/>
              </w:rPr>
              <w:t>$166,763,532.00</w:t>
            </w:r>
          </w:p>
        </w:tc>
        <w:tc>
          <w:tcPr>
            <w:tcW w:w="1408"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79" w:right="48"/>
              <w:rPr>
                <w:rFonts w:ascii="Calibri"/>
                <w:sz w:val="19"/>
              </w:rPr>
            </w:pPr>
            <w:r>
              <w:rPr>
                <w:rFonts w:ascii="Calibri"/>
                <w:sz w:val="19"/>
              </w:rPr>
              <w:t>$0.00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0"/>
              <w:rPr>
                <w:rFonts w:ascii="Calibri"/>
                <w:sz w:val="19"/>
              </w:rPr>
            </w:pPr>
            <w:r>
              <w:rPr>
                <w:rFonts w:ascii="Calibri"/>
                <w:sz w:val="19"/>
              </w:rPr>
              <w:t>$0.00</w:t>
            </w:r>
          </w:p>
        </w:tc>
        <w:tc>
          <w:tcPr>
            <w:tcW w:w="1408"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37" w:right="6"/>
              <w:rPr>
                <w:rFonts w:ascii="Calibri"/>
                <w:sz w:val="19"/>
              </w:rPr>
            </w:pPr>
            <w:r>
              <w:rPr>
                <w:rFonts w:ascii="Calibri"/>
                <w:sz w:val="19"/>
              </w:rPr>
              <w:t>$166,763,532.00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8" w:right="80"/>
              <w:rPr>
                <w:rFonts w:ascii="Calibri"/>
                <w:sz w:val="19"/>
              </w:rPr>
            </w:pPr>
            <w:r>
              <w:rPr>
                <w:rFonts w:ascii="Calibri"/>
                <w:sz w:val="19"/>
              </w:rPr>
              <w:t>$200,672,797.00</w:t>
            </w:r>
          </w:p>
        </w:tc>
        <w:tc>
          <w:tcPr>
            <w:tcW w:w="1309"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238" w:right="207"/>
              <w:rPr>
                <w:rFonts w:ascii="Calibri"/>
                <w:sz w:val="19"/>
              </w:rPr>
            </w:pPr>
            <w:r>
              <w:rPr>
                <w:rFonts w:ascii="Calibri"/>
                <w:sz w:val="19"/>
              </w:rPr>
              <w:t>$0.00</w:t>
            </w:r>
          </w:p>
        </w:tc>
        <w:tc>
          <w:tcPr>
            <w:tcW w:w="1543"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0"/>
              <w:rPr>
                <w:rFonts w:ascii="Calibri"/>
                <w:sz w:val="19"/>
              </w:rPr>
            </w:pPr>
            <w:r>
              <w:rPr>
                <w:rFonts w:ascii="Calibri"/>
                <w:sz w:val="19"/>
              </w:rPr>
              <w:t>$0.00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8" w:right="80"/>
              <w:rPr>
                <w:rFonts w:ascii="Calibri"/>
                <w:sz w:val="19"/>
              </w:rPr>
            </w:pPr>
            <w:r>
              <w:rPr>
                <w:rFonts w:ascii="Calibri"/>
                <w:sz w:val="19"/>
              </w:rPr>
              <w:t>$200,672,797.00</w:t>
            </w:r>
          </w:p>
        </w:tc>
      </w:tr>
      <w:tr>
        <w:trPr>
          <w:trHeight w:val="409" w:hRule="exact"/>
        </w:trPr>
        <w:tc>
          <w:tcPr>
            <w:tcW w:w="1142" w:type="dxa"/>
            <w:tcBorders>
              <w:top w:val="single" w:sz="11" w:space="0" w:color="000000"/>
              <w:bottom w:val="single" w:sz="11" w:space="0" w:color="000000"/>
              <w:right w:val="single" w:sz="10" w:space="0" w:color="000000"/>
            </w:tcBorders>
          </w:tcPr>
          <w:p>
            <w:pPr>
              <w:pStyle w:val="TableParagraph"/>
              <w:spacing w:before="117"/>
              <w:ind w:left="63" w:right="50"/>
              <w:rPr>
                <w:rFonts w:ascii="Calibri"/>
                <w:b/>
                <w:sz w:val="14"/>
              </w:rPr>
            </w:pPr>
            <w:r>
              <w:rPr>
                <w:rFonts w:ascii="Calibri"/>
                <w:b/>
                <w:sz w:val="14"/>
              </w:rPr>
              <w:t>TEOTIHUACAN</w:t>
            </w:r>
          </w:p>
        </w:tc>
        <w:tc>
          <w:tcPr>
            <w:tcW w:w="1543"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0"/>
              <w:rPr>
                <w:rFonts w:ascii="Calibri"/>
                <w:sz w:val="19"/>
              </w:rPr>
            </w:pPr>
            <w:r>
              <w:rPr>
                <w:rFonts w:ascii="Calibri"/>
                <w:sz w:val="19"/>
              </w:rPr>
              <w:t>$0.00</w:t>
            </w:r>
          </w:p>
        </w:tc>
        <w:tc>
          <w:tcPr>
            <w:tcW w:w="1408"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79" w:right="48"/>
              <w:rPr>
                <w:rFonts w:ascii="Calibri"/>
                <w:sz w:val="19"/>
              </w:rPr>
            </w:pPr>
            <w:r>
              <w:rPr>
                <w:rFonts w:ascii="Calibri"/>
                <w:sz w:val="19"/>
              </w:rPr>
              <w:t>$0.00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0"/>
              <w:rPr>
                <w:rFonts w:ascii="Calibri"/>
                <w:sz w:val="19"/>
              </w:rPr>
            </w:pPr>
            <w:r>
              <w:rPr>
                <w:rFonts w:ascii="Calibri"/>
                <w:sz w:val="19"/>
              </w:rPr>
              <w:t>$0.00</w:t>
            </w:r>
          </w:p>
        </w:tc>
        <w:tc>
          <w:tcPr>
            <w:tcW w:w="1408"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37" w:right="6"/>
              <w:rPr>
                <w:rFonts w:ascii="Calibri"/>
                <w:sz w:val="19"/>
              </w:rPr>
            </w:pPr>
            <w:r>
              <w:rPr>
                <w:rFonts w:ascii="Calibri"/>
                <w:sz w:val="19"/>
              </w:rPr>
              <w:t>$0.00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8" w:right="80"/>
              <w:rPr>
                <w:rFonts w:ascii="Calibri"/>
                <w:sz w:val="19"/>
              </w:rPr>
            </w:pPr>
            <w:r>
              <w:rPr>
                <w:rFonts w:ascii="Calibri"/>
                <w:sz w:val="19"/>
              </w:rPr>
              <w:t>$0.00</w:t>
            </w:r>
          </w:p>
        </w:tc>
        <w:tc>
          <w:tcPr>
            <w:tcW w:w="1309"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238" w:right="207"/>
              <w:rPr>
                <w:rFonts w:ascii="Calibri"/>
                <w:sz w:val="19"/>
              </w:rPr>
            </w:pPr>
            <w:r>
              <w:rPr>
                <w:rFonts w:ascii="Calibri"/>
                <w:sz w:val="19"/>
              </w:rPr>
              <w:t>$0.00</w:t>
            </w:r>
          </w:p>
        </w:tc>
        <w:tc>
          <w:tcPr>
            <w:tcW w:w="1543"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0"/>
              <w:rPr>
                <w:rFonts w:ascii="Calibri"/>
                <w:sz w:val="19"/>
              </w:rPr>
            </w:pPr>
            <w:r>
              <w:rPr>
                <w:rFonts w:ascii="Calibri"/>
                <w:sz w:val="19"/>
              </w:rPr>
              <w:t>$0.00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0"/>
              <w:rPr>
                <w:rFonts w:ascii="Calibri"/>
                <w:sz w:val="19"/>
              </w:rPr>
            </w:pPr>
            <w:r>
              <w:rPr>
                <w:rFonts w:ascii="Calibri"/>
                <w:sz w:val="19"/>
              </w:rPr>
              <w:t>$0.00</w:t>
            </w:r>
          </w:p>
        </w:tc>
      </w:tr>
      <w:tr>
        <w:trPr>
          <w:trHeight w:val="408" w:hRule="exact"/>
        </w:trPr>
        <w:tc>
          <w:tcPr>
            <w:tcW w:w="1142" w:type="dxa"/>
            <w:tcBorders>
              <w:top w:val="single" w:sz="11" w:space="0" w:color="000000"/>
              <w:bottom w:val="single" w:sz="11" w:space="0" w:color="000000"/>
              <w:right w:val="single" w:sz="10" w:space="0" w:color="000000"/>
            </w:tcBorders>
          </w:tcPr>
          <w:p>
            <w:pPr>
              <w:pStyle w:val="TableParagraph"/>
              <w:spacing w:before="117"/>
              <w:ind w:left="49" w:right="50"/>
              <w:rPr>
                <w:rFonts w:ascii="Calibri"/>
                <w:b/>
                <w:sz w:val="14"/>
              </w:rPr>
            </w:pPr>
            <w:r>
              <w:rPr>
                <w:rFonts w:ascii="Calibri"/>
                <w:b/>
                <w:sz w:val="14"/>
              </w:rPr>
              <w:t>TEPETLAOXTOC</w:t>
            </w:r>
          </w:p>
        </w:tc>
        <w:tc>
          <w:tcPr>
            <w:tcW w:w="1543"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68"/>
              <w:rPr>
                <w:rFonts w:ascii="Calibri"/>
                <w:sz w:val="19"/>
              </w:rPr>
            </w:pPr>
            <w:r>
              <w:rPr>
                <w:rFonts w:ascii="Calibri"/>
                <w:sz w:val="19"/>
              </w:rPr>
              <w:t>$91,354,052.90</w:t>
            </w:r>
          </w:p>
        </w:tc>
        <w:tc>
          <w:tcPr>
            <w:tcW w:w="1408"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79" w:right="48"/>
              <w:rPr>
                <w:rFonts w:ascii="Calibri"/>
                <w:sz w:val="19"/>
              </w:rPr>
            </w:pPr>
            <w:r>
              <w:rPr>
                <w:rFonts w:ascii="Calibri"/>
                <w:sz w:val="19"/>
              </w:rPr>
              <w:t>$0.00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0"/>
              <w:rPr>
                <w:rFonts w:ascii="Calibri"/>
                <w:sz w:val="19"/>
              </w:rPr>
            </w:pPr>
            <w:r>
              <w:rPr>
                <w:rFonts w:ascii="Calibri"/>
                <w:sz w:val="19"/>
              </w:rPr>
              <w:t>$0.00</w:t>
            </w:r>
          </w:p>
        </w:tc>
        <w:tc>
          <w:tcPr>
            <w:tcW w:w="1408"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24" w:right="6"/>
              <w:rPr>
                <w:rFonts w:ascii="Calibri"/>
                <w:sz w:val="19"/>
              </w:rPr>
            </w:pPr>
            <w:r>
              <w:rPr>
                <w:rFonts w:ascii="Calibri"/>
                <w:sz w:val="19"/>
              </w:rPr>
              <w:t>$91,354,052.90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8" w:right="80"/>
              <w:rPr>
                <w:rFonts w:ascii="Calibri"/>
                <w:sz w:val="19"/>
              </w:rPr>
            </w:pPr>
            <w:r>
              <w:rPr>
                <w:rFonts w:ascii="Calibri"/>
                <w:sz w:val="19"/>
              </w:rPr>
              <w:t>$0.00</w:t>
            </w:r>
          </w:p>
        </w:tc>
        <w:tc>
          <w:tcPr>
            <w:tcW w:w="1309"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238" w:right="207"/>
              <w:rPr>
                <w:rFonts w:ascii="Calibri"/>
                <w:sz w:val="19"/>
              </w:rPr>
            </w:pPr>
            <w:r>
              <w:rPr>
                <w:rFonts w:ascii="Calibri"/>
                <w:sz w:val="19"/>
              </w:rPr>
              <w:t>$0.00</w:t>
            </w:r>
          </w:p>
        </w:tc>
        <w:tc>
          <w:tcPr>
            <w:tcW w:w="1543"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0"/>
              <w:rPr>
                <w:rFonts w:ascii="Calibri"/>
                <w:sz w:val="19"/>
              </w:rPr>
            </w:pPr>
            <w:r>
              <w:rPr>
                <w:rFonts w:ascii="Calibri"/>
                <w:sz w:val="19"/>
              </w:rPr>
              <w:t>$0.00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0"/>
              <w:rPr>
                <w:rFonts w:ascii="Calibri"/>
                <w:sz w:val="19"/>
              </w:rPr>
            </w:pPr>
            <w:r>
              <w:rPr>
                <w:rFonts w:ascii="Calibri"/>
                <w:sz w:val="19"/>
              </w:rPr>
              <w:t>$0.00</w:t>
            </w:r>
          </w:p>
        </w:tc>
      </w:tr>
      <w:tr>
        <w:trPr>
          <w:trHeight w:val="409" w:hRule="exact"/>
        </w:trPr>
        <w:tc>
          <w:tcPr>
            <w:tcW w:w="1142" w:type="dxa"/>
            <w:tcBorders>
              <w:top w:val="single" w:sz="11" w:space="0" w:color="000000"/>
              <w:bottom w:val="single" w:sz="11" w:space="0" w:color="000000"/>
              <w:right w:val="single" w:sz="10" w:space="0" w:color="000000"/>
            </w:tcBorders>
          </w:tcPr>
          <w:p>
            <w:pPr>
              <w:pStyle w:val="TableParagraph"/>
              <w:spacing w:before="117"/>
              <w:ind w:left="48" w:right="50"/>
              <w:rPr>
                <w:rFonts w:ascii="Calibri"/>
                <w:b/>
                <w:sz w:val="14"/>
              </w:rPr>
            </w:pPr>
            <w:r>
              <w:rPr>
                <w:rFonts w:ascii="Calibri"/>
                <w:b/>
                <w:sz w:val="14"/>
              </w:rPr>
              <w:t>TEPETLIXPA</w:t>
            </w:r>
          </w:p>
        </w:tc>
        <w:tc>
          <w:tcPr>
            <w:tcW w:w="1543"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0"/>
              <w:rPr>
                <w:rFonts w:ascii="Calibri"/>
                <w:sz w:val="19"/>
              </w:rPr>
            </w:pPr>
            <w:r>
              <w:rPr>
                <w:rFonts w:ascii="Calibri"/>
                <w:sz w:val="19"/>
              </w:rPr>
              <w:t>$0.00</w:t>
            </w:r>
          </w:p>
        </w:tc>
        <w:tc>
          <w:tcPr>
            <w:tcW w:w="1408"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79" w:right="48"/>
              <w:rPr>
                <w:rFonts w:ascii="Calibri"/>
                <w:sz w:val="19"/>
              </w:rPr>
            </w:pPr>
            <w:r>
              <w:rPr>
                <w:rFonts w:ascii="Calibri"/>
                <w:sz w:val="19"/>
              </w:rPr>
              <w:t>$0.00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0"/>
              <w:rPr>
                <w:rFonts w:ascii="Calibri"/>
                <w:sz w:val="19"/>
              </w:rPr>
            </w:pPr>
            <w:r>
              <w:rPr>
                <w:rFonts w:ascii="Calibri"/>
                <w:sz w:val="19"/>
              </w:rPr>
              <w:t>$0.00</w:t>
            </w:r>
          </w:p>
        </w:tc>
        <w:tc>
          <w:tcPr>
            <w:tcW w:w="1408"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37" w:right="6"/>
              <w:rPr>
                <w:rFonts w:ascii="Calibri"/>
                <w:sz w:val="19"/>
              </w:rPr>
            </w:pPr>
            <w:r>
              <w:rPr>
                <w:rFonts w:ascii="Calibri"/>
                <w:sz w:val="19"/>
              </w:rPr>
              <w:t>$0.00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68"/>
              <w:rPr>
                <w:rFonts w:ascii="Calibri"/>
                <w:sz w:val="19"/>
              </w:rPr>
            </w:pPr>
            <w:r>
              <w:rPr>
                <w:rFonts w:ascii="Calibri"/>
                <w:sz w:val="19"/>
              </w:rPr>
              <w:t>$87,476,514.00</w:t>
            </w:r>
          </w:p>
        </w:tc>
        <w:tc>
          <w:tcPr>
            <w:tcW w:w="1309"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238" w:right="207"/>
              <w:rPr>
                <w:rFonts w:ascii="Calibri"/>
                <w:sz w:val="19"/>
              </w:rPr>
            </w:pPr>
            <w:r>
              <w:rPr>
                <w:rFonts w:ascii="Calibri"/>
                <w:sz w:val="19"/>
              </w:rPr>
              <w:t>$0.00</w:t>
            </w:r>
          </w:p>
        </w:tc>
        <w:tc>
          <w:tcPr>
            <w:tcW w:w="1543"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0"/>
              <w:rPr>
                <w:rFonts w:ascii="Calibri"/>
                <w:sz w:val="19"/>
              </w:rPr>
            </w:pPr>
            <w:r>
              <w:rPr>
                <w:rFonts w:ascii="Calibri"/>
                <w:sz w:val="19"/>
              </w:rPr>
              <w:t>$0.00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68"/>
              <w:rPr>
                <w:rFonts w:ascii="Calibri"/>
                <w:sz w:val="19"/>
              </w:rPr>
            </w:pPr>
            <w:r>
              <w:rPr>
                <w:rFonts w:ascii="Calibri"/>
                <w:sz w:val="19"/>
              </w:rPr>
              <w:t>$87,476,514.00</w:t>
            </w:r>
          </w:p>
        </w:tc>
      </w:tr>
      <w:tr>
        <w:trPr>
          <w:trHeight w:val="606" w:hRule="exact"/>
        </w:trPr>
        <w:tc>
          <w:tcPr>
            <w:tcW w:w="1142" w:type="dxa"/>
            <w:tcBorders>
              <w:top w:val="single" w:sz="11" w:space="0" w:color="000000"/>
              <w:bottom w:val="single" w:sz="11" w:space="0" w:color="000000"/>
              <w:right w:val="single" w:sz="10" w:space="0" w:color="000000"/>
            </w:tcBorders>
          </w:tcPr>
          <w:p>
            <w:pPr>
              <w:pStyle w:val="TableParagraph"/>
              <w:spacing w:before="2"/>
              <w:jc w:val="left"/>
              <w:rPr>
                <w:rFonts w:ascii="Times New Roman"/>
                <w:sz w:val="18"/>
              </w:rPr>
            </w:pPr>
          </w:p>
          <w:p>
            <w:pPr>
              <w:pStyle w:val="TableParagraph"/>
              <w:ind w:left="63" w:right="50"/>
              <w:rPr>
                <w:rFonts w:ascii="Calibri"/>
                <w:b/>
                <w:sz w:val="14"/>
              </w:rPr>
            </w:pPr>
            <w:r>
              <w:rPr>
                <w:rFonts w:ascii="Calibri"/>
                <w:b/>
                <w:sz w:val="14"/>
              </w:rPr>
              <w:t>TEPOTZOTLAN</w:t>
            </w:r>
          </w:p>
        </w:tc>
        <w:tc>
          <w:tcPr>
            <w:tcW w:w="1543" w:type="dxa"/>
            <w:tcBorders>
              <w:top w:val="single" w:sz="11" w:space="0" w:color="000000"/>
              <w:left w:val="single" w:sz="10" w:space="0" w:color="000000"/>
              <w:bottom w:val="single" w:sz="11" w:space="0" w:color="000000"/>
              <w:right w:val="single" w:sz="10" w:space="0" w:color="000000"/>
            </w:tcBorders>
          </w:tcPr>
          <w:p>
            <w:pPr>
              <w:pStyle w:val="TableParagraph"/>
              <w:spacing w:before="3"/>
              <w:jc w:val="left"/>
              <w:rPr>
                <w:rFonts w:ascii="Times New Roman"/>
                <w:sz w:val="16"/>
              </w:rPr>
            </w:pPr>
          </w:p>
          <w:p>
            <w:pPr>
              <w:pStyle w:val="TableParagraph"/>
              <w:ind w:left="99" w:right="81"/>
              <w:rPr>
                <w:rFonts w:ascii="Calibri"/>
                <w:sz w:val="19"/>
              </w:rPr>
            </w:pPr>
            <w:r>
              <w:rPr>
                <w:rFonts w:ascii="Calibri"/>
                <w:sz w:val="19"/>
              </w:rPr>
              <w:t>$330,633,550.97</w:t>
            </w:r>
          </w:p>
        </w:tc>
        <w:tc>
          <w:tcPr>
            <w:tcW w:w="1408" w:type="dxa"/>
            <w:tcBorders>
              <w:top w:val="single" w:sz="11" w:space="0" w:color="000000"/>
              <w:left w:val="single" w:sz="10" w:space="0" w:color="000000"/>
              <w:bottom w:val="single" w:sz="11" w:space="0" w:color="000000"/>
              <w:right w:val="single" w:sz="10" w:space="0" w:color="000000"/>
            </w:tcBorders>
          </w:tcPr>
          <w:p>
            <w:pPr>
              <w:pStyle w:val="TableParagraph"/>
              <w:spacing w:before="3"/>
              <w:jc w:val="left"/>
              <w:rPr>
                <w:rFonts w:ascii="Times New Roman"/>
                <w:sz w:val="16"/>
              </w:rPr>
            </w:pPr>
          </w:p>
          <w:p>
            <w:pPr>
              <w:pStyle w:val="TableParagraph"/>
              <w:ind w:left="79" w:right="61"/>
              <w:rPr>
                <w:rFonts w:ascii="Calibri"/>
                <w:sz w:val="19"/>
              </w:rPr>
            </w:pPr>
            <w:r>
              <w:rPr>
                <w:rFonts w:ascii="Calibri"/>
                <w:sz w:val="19"/>
              </w:rPr>
              <w:t>$59,753,252.50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3"/>
              <w:jc w:val="left"/>
              <w:rPr>
                <w:rFonts w:ascii="Times New Roman"/>
                <w:sz w:val="16"/>
              </w:rPr>
            </w:pPr>
          </w:p>
          <w:p>
            <w:pPr>
              <w:pStyle w:val="TableParagraph"/>
              <w:ind w:left="99" w:right="80"/>
              <w:rPr>
                <w:rFonts w:ascii="Calibri"/>
                <w:sz w:val="19"/>
              </w:rPr>
            </w:pPr>
            <w:r>
              <w:rPr>
                <w:rFonts w:ascii="Calibri"/>
                <w:sz w:val="19"/>
              </w:rPr>
              <w:t>$386,742,489.47</w:t>
            </w:r>
          </w:p>
        </w:tc>
        <w:tc>
          <w:tcPr>
            <w:tcW w:w="1408" w:type="dxa"/>
            <w:tcBorders>
              <w:top w:val="single" w:sz="11" w:space="0" w:color="000000"/>
              <w:left w:val="single" w:sz="10" w:space="0" w:color="000000"/>
              <w:bottom w:val="single" w:sz="11" w:space="0" w:color="000000"/>
              <w:right w:val="single" w:sz="10" w:space="0" w:color="000000"/>
            </w:tcBorders>
          </w:tcPr>
          <w:p>
            <w:pPr>
              <w:pStyle w:val="TableParagraph"/>
              <w:spacing w:before="3"/>
              <w:jc w:val="left"/>
              <w:rPr>
                <w:rFonts w:ascii="Times New Roman"/>
                <w:sz w:val="16"/>
              </w:rPr>
            </w:pPr>
          </w:p>
          <w:p>
            <w:pPr>
              <w:pStyle w:val="TableParagraph"/>
              <w:ind w:left="36" w:right="6"/>
              <w:rPr>
                <w:rFonts w:ascii="Calibri"/>
                <w:sz w:val="19"/>
              </w:rPr>
            </w:pPr>
            <w:r>
              <w:rPr>
                <w:rFonts w:ascii="Calibri"/>
                <w:sz w:val="19"/>
              </w:rPr>
              <w:t>$3,644,314.00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3"/>
              <w:jc w:val="left"/>
              <w:rPr>
                <w:rFonts w:ascii="Times New Roman"/>
                <w:sz w:val="16"/>
              </w:rPr>
            </w:pPr>
          </w:p>
          <w:p>
            <w:pPr>
              <w:pStyle w:val="TableParagraph"/>
              <w:ind w:left="98" w:right="80"/>
              <w:rPr>
                <w:rFonts w:ascii="Calibri"/>
                <w:sz w:val="19"/>
              </w:rPr>
            </w:pPr>
            <w:r>
              <w:rPr>
                <w:rFonts w:ascii="Calibri"/>
                <w:sz w:val="19"/>
              </w:rPr>
              <w:t>$320,978,596.10</w:t>
            </w:r>
          </w:p>
        </w:tc>
        <w:tc>
          <w:tcPr>
            <w:tcW w:w="1309" w:type="dxa"/>
            <w:tcBorders>
              <w:top w:val="single" w:sz="11" w:space="0" w:color="000000"/>
              <w:left w:val="single" w:sz="10" w:space="0" w:color="000000"/>
              <w:bottom w:val="single" w:sz="11" w:space="0" w:color="000000"/>
              <w:right w:val="single" w:sz="10" w:space="0" w:color="000000"/>
            </w:tcBorders>
          </w:tcPr>
          <w:p>
            <w:pPr>
              <w:pStyle w:val="TableParagraph"/>
              <w:spacing w:before="3"/>
              <w:jc w:val="left"/>
              <w:rPr>
                <w:rFonts w:ascii="Times New Roman"/>
                <w:sz w:val="16"/>
              </w:rPr>
            </w:pPr>
          </w:p>
          <w:p>
            <w:pPr>
              <w:pStyle w:val="TableParagraph"/>
              <w:ind w:left="238" w:right="207"/>
              <w:rPr>
                <w:rFonts w:ascii="Calibri"/>
                <w:sz w:val="19"/>
              </w:rPr>
            </w:pPr>
            <w:r>
              <w:rPr>
                <w:rFonts w:ascii="Calibri"/>
                <w:sz w:val="19"/>
              </w:rPr>
              <w:t>$0.00</w:t>
            </w:r>
          </w:p>
        </w:tc>
        <w:tc>
          <w:tcPr>
            <w:tcW w:w="1543" w:type="dxa"/>
            <w:tcBorders>
              <w:top w:val="single" w:sz="11" w:space="0" w:color="000000"/>
              <w:left w:val="single" w:sz="10" w:space="0" w:color="000000"/>
              <w:bottom w:val="single" w:sz="11" w:space="0" w:color="000000"/>
              <w:right w:val="single" w:sz="10" w:space="0" w:color="000000"/>
            </w:tcBorders>
          </w:tcPr>
          <w:p>
            <w:pPr>
              <w:pStyle w:val="TableParagraph"/>
              <w:spacing w:before="3"/>
              <w:jc w:val="left"/>
              <w:rPr>
                <w:rFonts w:ascii="Times New Roman"/>
                <w:sz w:val="16"/>
              </w:rPr>
            </w:pPr>
          </w:p>
          <w:p>
            <w:pPr>
              <w:pStyle w:val="TableParagraph"/>
              <w:ind w:left="99" w:right="81"/>
              <w:rPr>
                <w:rFonts w:ascii="Calibri"/>
                <w:sz w:val="19"/>
              </w:rPr>
            </w:pPr>
            <w:r>
              <w:rPr>
                <w:rFonts w:ascii="Calibri"/>
                <w:sz w:val="19"/>
              </w:rPr>
              <w:t>$191,183,313.81</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3"/>
              <w:jc w:val="left"/>
              <w:rPr>
                <w:rFonts w:ascii="Times New Roman"/>
                <w:sz w:val="16"/>
              </w:rPr>
            </w:pPr>
          </w:p>
          <w:p>
            <w:pPr>
              <w:pStyle w:val="TableParagraph"/>
              <w:ind w:left="98" w:right="80"/>
              <w:rPr>
                <w:rFonts w:ascii="Calibri"/>
                <w:sz w:val="19"/>
              </w:rPr>
            </w:pPr>
            <w:r>
              <w:rPr>
                <w:rFonts w:ascii="Calibri"/>
                <w:sz w:val="19"/>
              </w:rPr>
              <w:t>$129,795,282.29</w:t>
            </w:r>
          </w:p>
        </w:tc>
      </w:tr>
      <w:tr>
        <w:trPr>
          <w:trHeight w:val="409" w:hRule="exact"/>
        </w:trPr>
        <w:tc>
          <w:tcPr>
            <w:tcW w:w="1142" w:type="dxa"/>
            <w:tcBorders>
              <w:top w:val="single" w:sz="11" w:space="0" w:color="000000"/>
              <w:bottom w:val="single" w:sz="11" w:space="0" w:color="000000"/>
              <w:right w:val="single" w:sz="10" w:space="0" w:color="000000"/>
            </w:tcBorders>
          </w:tcPr>
          <w:p>
            <w:pPr>
              <w:pStyle w:val="TableParagraph"/>
              <w:spacing w:before="117"/>
              <w:ind w:left="48" w:right="50"/>
              <w:rPr>
                <w:rFonts w:ascii="Calibri"/>
                <w:b/>
                <w:sz w:val="14"/>
              </w:rPr>
            </w:pPr>
            <w:r>
              <w:rPr>
                <w:rFonts w:ascii="Calibri"/>
                <w:b/>
                <w:sz w:val="14"/>
              </w:rPr>
              <w:t>TEQUIXQUIAC</w:t>
            </w:r>
          </w:p>
        </w:tc>
        <w:tc>
          <w:tcPr>
            <w:tcW w:w="1543"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0"/>
              <w:rPr>
                <w:rFonts w:ascii="Calibri"/>
                <w:sz w:val="19"/>
              </w:rPr>
            </w:pPr>
            <w:r>
              <w:rPr>
                <w:rFonts w:ascii="Calibri"/>
                <w:sz w:val="19"/>
              </w:rPr>
              <w:t>$0.00</w:t>
            </w:r>
          </w:p>
        </w:tc>
        <w:tc>
          <w:tcPr>
            <w:tcW w:w="1408"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79" w:right="48"/>
              <w:rPr>
                <w:rFonts w:ascii="Calibri"/>
                <w:sz w:val="19"/>
              </w:rPr>
            </w:pPr>
            <w:r>
              <w:rPr>
                <w:rFonts w:ascii="Calibri"/>
                <w:sz w:val="19"/>
              </w:rPr>
              <w:t>$0.00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0"/>
              <w:rPr>
                <w:rFonts w:ascii="Calibri"/>
                <w:sz w:val="19"/>
              </w:rPr>
            </w:pPr>
            <w:r>
              <w:rPr>
                <w:rFonts w:ascii="Calibri"/>
                <w:sz w:val="19"/>
              </w:rPr>
              <w:t>$0.00</w:t>
            </w:r>
          </w:p>
        </w:tc>
        <w:tc>
          <w:tcPr>
            <w:tcW w:w="1408"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37" w:right="6"/>
              <w:rPr>
                <w:rFonts w:ascii="Calibri"/>
                <w:sz w:val="19"/>
              </w:rPr>
            </w:pPr>
            <w:r>
              <w:rPr>
                <w:rFonts w:ascii="Calibri"/>
                <w:sz w:val="19"/>
              </w:rPr>
              <w:t>$0.00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8" w:right="80"/>
              <w:rPr>
                <w:rFonts w:ascii="Calibri"/>
                <w:sz w:val="19"/>
              </w:rPr>
            </w:pPr>
            <w:r>
              <w:rPr>
                <w:rFonts w:ascii="Calibri"/>
                <w:sz w:val="19"/>
              </w:rPr>
              <w:t>$0.00</w:t>
            </w:r>
          </w:p>
        </w:tc>
        <w:tc>
          <w:tcPr>
            <w:tcW w:w="1309"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238" w:right="207"/>
              <w:rPr>
                <w:rFonts w:ascii="Calibri"/>
                <w:sz w:val="19"/>
              </w:rPr>
            </w:pPr>
            <w:r>
              <w:rPr>
                <w:rFonts w:ascii="Calibri"/>
                <w:sz w:val="19"/>
              </w:rPr>
              <w:t>$0.00</w:t>
            </w:r>
          </w:p>
        </w:tc>
        <w:tc>
          <w:tcPr>
            <w:tcW w:w="1543"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0"/>
              <w:rPr>
                <w:rFonts w:ascii="Calibri"/>
                <w:sz w:val="19"/>
              </w:rPr>
            </w:pPr>
            <w:r>
              <w:rPr>
                <w:rFonts w:ascii="Calibri"/>
                <w:sz w:val="19"/>
              </w:rPr>
              <w:t>$0.00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0"/>
              <w:rPr>
                <w:rFonts w:ascii="Calibri"/>
                <w:sz w:val="19"/>
              </w:rPr>
            </w:pPr>
            <w:r>
              <w:rPr>
                <w:rFonts w:ascii="Calibri"/>
                <w:sz w:val="19"/>
              </w:rPr>
              <w:t>$0.00</w:t>
            </w:r>
          </w:p>
        </w:tc>
      </w:tr>
      <w:tr>
        <w:trPr>
          <w:trHeight w:val="408" w:hRule="exact"/>
        </w:trPr>
        <w:tc>
          <w:tcPr>
            <w:tcW w:w="1142" w:type="dxa"/>
            <w:tcBorders>
              <w:top w:val="single" w:sz="11" w:space="0" w:color="000000"/>
              <w:bottom w:val="single" w:sz="11" w:space="0" w:color="000000"/>
              <w:right w:val="single" w:sz="10" w:space="0" w:color="000000"/>
            </w:tcBorders>
          </w:tcPr>
          <w:p>
            <w:pPr>
              <w:pStyle w:val="TableParagraph"/>
              <w:spacing w:before="117"/>
              <w:ind w:left="66" w:right="29"/>
              <w:rPr>
                <w:rFonts w:ascii="Calibri" w:hAnsi="Calibri"/>
                <w:b/>
                <w:sz w:val="14"/>
              </w:rPr>
            </w:pPr>
            <w:r>
              <w:rPr>
                <w:rFonts w:ascii="Calibri" w:hAnsi="Calibri"/>
                <w:b/>
                <w:sz w:val="14"/>
              </w:rPr>
              <w:t>TEXCALTITLÁN</w:t>
            </w:r>
          </w:p>
        </w:tc>
        <w:tc>
          <w:tcPr>
            <w:tcW w:w="1543"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0"/>
              <w:rPr>
                <w:rFonts w:ascii="Calibri"/>
                <w:sz w:val="19"/>
              </w:rPr>
            </w:pPr>
            <w:r>
              <w:rPr>
                <w:rFonts w:ascii="Calibri"/>
                <w:sz w:val="19"/>
              </w:rPr>
              <w:t>$0.00</w:t>
            </w:r>
          </w:p>
        </w:tc>
        <w:tc>
          <w:tcPr>
            <w:tcW w:w="1408"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79" w:right="48"/>
              <w:rPr>
                <w:rFonts w:ascii="Calibri"/>
                <w:sz w:val="19"/>
              </w:rPr>
            </w:pPr>
            <w:r>
              <w:rPr>
                <w:rFonts w:ascii="Calibri"/>
                <w:sz w:val="19"/>
              </w:rPr>
              <w:t>$0.00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0"/>
              <w:rPr>
                <w:rFonts w:ascii="Calibri"/>
                <w:sz w:val="19"/>
              </w:rPr>
            </w:pPr>
            <w:r>
              <w:rPr>
                <w:rFonts w:ascii="Calibri"/>
                <w:sz w:val="19"/>
              </w:rPr>
              <w:t>$0.00</w:t>
            </w:r>
          </w:p>
        </w:tc>
        <w:tc>
          <w:tcPr>
            <w:tcW w:w="1408"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37" w:right="6"/>
              <w:rPr>
                <w:rFonts w:ascii="Calibri"/>
                <w:sz w:val="19"/>
              </w:rPr>
            </w:pPr>
            <w:r>
              <w:rPr>
                <w:rFonts w:ascii="Calibri"/>
                <w:sz w:val="19"/>
              </w:rPr>
              <w:t>$0.00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8" w:right="80"/>
              <w:rPr>
                <w:rFonts w:ascii="Calibri"/>
                <w:sz w:val="19"/>
              </w:rPr>
            </w:pPr>
            <w:r>
              <w:rPr>
                <w:rFonts w:ascii="Calibri"/>
                <w:sz w:val="19"/>
              </w:rPr>
              <w:t>$0.00</w:t>
            </w:r>
          </w:p>
        </w:tc>
        <w:tc>
          <w:tcPr>
            <w:tcW w:w="1309"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238" w:right="207"/>
              <w:rPr>
                <w:rFonts w:ascii="Calibri"/>
                <w:sz w:val="19"/>
              </w:rPr>
            </w:pPr>
            <w:r>
              <w:rPr>
                <w:rFonts w:ascii="Calibri"/>
                <w:sz w:val="19"/>
              </w:rPr>
              <w:t>$0.00</w:t>
            </w:r>
          </w:p>
        </w:tc>
        <w:tc>
          <w:tcPr>
            <w:tcW w:w="1543"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0"/>
              <w:rPr>
                <w:rFonts w:ascii="Calibri"/>
                <w:sz w:val="19"/>
              </w:rPr>
            </w:pPr>
            <w:r>
              <w:rPr>
                <w:rFonts w:ascii="Calibri"/>
                <w:sz w:val="19"/>
              </w:rPr>
              <w:t>$0.00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0"/>
              <w:rPr>
                <w:rFonts w:ascii="Calibri"/>
                <w:sz w:val="19"/>
              </w:rPr>
            </w:pPr>
            <w:r>
              <w:rPr>
                <w:rFonts w:ascii="Calibri"/>
                <w:sz w:val="19"/>
              </w:rPr>
              <w:t>$0.00</w:t>
            </w:r>
          </w:p>
        </w:tc>
      </w:tr>
      <w:tr>
        <w:trPr>
          <w:trHeight w:val="409" w:hRule="exact"/>
        </w:trPr>
        <w:tc>
          <w:tcPr>
            <w:tcW w:w="1142" w:type="dxa"/>
            <w:tcBorders>
              <w:top w:val="single" w:sz="11" w:space="0" w:color="000000"/>
              <w:bottom w:val="single" w:sz="11" w:space="0" w:color="000000"/>
              <w:right w:val="single" w:sz="10" w:space="0" w:color="000000"/>
            </w:tcBorders>
          </w:tcPr>
          <w:p>
            <w:pPr>
              <w:pStyle w:val="TableParagraph"/>
              <w:spacing w:before="117"/>
              <w:ind w:left="58" w:right="50"/>
              <w:rPr>
                <w:rFonts w:ascii="Calibri"/>
                <w:b/>
                <w:sz w:val="14"/>
              </w:rPr>
            </w:pPr>
            <w:r>
              <w:rPr>
                <w:rFonts w:ascii="Calibri"/>
                <w:b/>
                <w:sz w:val="14"/>
              </w:rPr>
              <w:t>TEXCALYACAC</w:t>
            </w:r>
          </w:p>
        </w:tc>
        <w:tc>
          <w:tcPr>
            <w:tcW w:w="1543"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68"/>
              <w:rPr>
                <w:rFonts w:ascii="Calibri"/>
                <w:sz w:val="19"/>
              </w:rPr>
            </w:pPr>
            <w:r>
              <w:rPr>
                <w:rFonts w:ascii="Calibri"/>
                <w:sz w:val="19"/>
              </w:rPr>
              <w:t>$38,875,777.50</w:t>
            </w:r>
          </w:p>
        </w:tc>
        <w:tc>
          <w:tcPr>
            <w:tcW w:w="1408"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79" w:right="48"/>
              <w:rPr>
                <w:rFonts w:ascii="Calibri"/>
                <w:sz w:val="19"/>
              </w:rPr>
            </w:pPr>
            <w:r>
              <w:rPr>
                <w:rFonts w:ascii="Calibri"/>
                <w:sz w:val="19"/>
              </w:rPr>
              <w:t>$0.00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68"/>
              <w:rPr>
                <w:rFonts w:ascii="Calibri"/>
                <w:sz w:val="19"/>
              </w:rPr>
            </w:pPr>
            <w:r>
              <w:rPr>
                <w:rFonts w:ascii="Calibri"/>
                <w:sz w:val="19"/>
              </w:rPr>
              <w:t>$21,407,825.54</w:t>
            </w:r>
          </w:p>
        </w:tc>
        <w:tc>
          <w:tcPr>
            <w:tcW w:w="1408"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24" w:right="6"/>
              <w:rPr>
                <w:rFonts w:ascii="Calibri"/>
                <w:sz w:val="19"/>
              </w:rPr>
            </w:pPr>
            <w:r>
              <w:rPr>
                <w:rFonts w:ascii="Calibri"/>
                <w:sz w:val="19"/>
              </w:rPr>
              <w:t>$17,467,951.96</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68"/>
              <w:rPr>
                <w:rFonts w:ascii="Calibri"/>
                <w:sz w:val="19"/>
              </w:rPr>
            </w:pPr>
            <w:r>
              <w:rPr>
                <w:rFonts w:ascii="Calibri"/>
                <w:sz w:val="19"/>
              </w:rPr>
              <w:t>$34,662,362.42</w:t>
            </w:r>
          </w:p>
        </w:tc>
        <w:tc>
          <w:tcPr>
            <w:tcW w:w="1309"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238" w:right="207"/>
              <w:rPr>
                <w:rFonts w:ascii="Calibri"/>
                <w:sz w:val="19"/>
              </w:rPr>
            </w:pPr>
            <w:r>
              <w:rPr>
                <w:rFonts w:ascii="Calibri"/>
                <w:sz w:val="19"/>
              </w:rPr>
              <w:t>$0.00</w:t>
            </w:r>
          </w:p>
        </w:tc>
        <w:tc>
          <w:tcPr>
            <w:tcW w:w="1543"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69"/>
              <w:rPr>
                <w:rFonts w:ascii="Calibri"/>
                <w:sz w:val="19"/>
              </w:rPr>
            </w:pPr>
            <w:r>
              <w:rPr>
                <w:rFonts w:ascii="Calibri"/>
                <w:sz w:val="19"/>
              </w:rPr>
              <w:t>$19,495,638.96</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68"/>
              <w:rPr>
                <w:rFonts w:ascii="Calibri"/>
                <w:sz w:val="19"/>
              </w:rPr>
            </w:pPr>
            <w:r>
              <w:rPr>
                <w:rFonts w:ascii="Calibri"/>
                <w:sz w:val="19"/>
              </w:rPr>
              <w:t>$15,166,723.46</w:t>
            </w:r>
          </w:p>
        </w:tc>
      </w:tr>
      <w:tr>
        <w:trPr>
          <w:trHeight w:val="408" w:hRule="exact"/>
        </w:trPr>
        <w:tc>
          <w:tcPr>
            <w:tcW w:w="1142" w:type="dxa"/>
            <w:tcBorders>
              <w:top w:val="single" w:sz="11" w:space="0" w:color="000000"/>
              <w:bottom w:val="single" w:sz="11" w:space="0" w:color="000000"/>
              <w:right w:val="single" w:sz="10" w:space="0" w:color="000000"/>
            </w:tcBorders>
          </w:tcPr>
          <w:p>
            <w:pPr>
              <w:pStyle w:val="TableParagraph"/>
              <w:spacing w:before="117"/>
              <w:ind w:left="66" w:right="49"/>
              <w:rPr>
                <w:rFonts w:ascii="Calibri"/>
                <w:b/>
                <w:sz w:val="14"/>
              </w:rPr>
            </w:pPr>
            <w:r>
              <w:rPr>
                <w:rFonts w:ascii="Calibri"/>
                <w:b/>
                <w:sz w:val="14"/>
              </w:rPr>
              <w:t>TEXCOCO</w:t>
            </w:r>
          </w:p>
        </w:tc>
        <w:tc>
          <w:tcPr>
            <w:tcW w:w="1543"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1"/>
              <w:rPr>
                <w:rFonts w:ascii="Calibri"/>
                <w:sz w:val="19"/>
              </w:rPr>
            </w:pPr>
            <w:r>
              <w:rPr>
                <w:rFonts w:ascii="Calibri"/>
                <w:sz w:val="19"/>
              </w:rPr>
              <w:t>$487,724,284.95</w:t>
            </w:r>
          </w:p>
        </w:tc>
        <w:tc>
          <w:tcPr>
            <w:tcW w:w="1408"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79" w:right="48"/>
              <w:rPr>
                <w:rFonts w:ascii="Calibri"/>
                <w:sz w:val="19"/>
              </w:rPr>
            </w:pPr>
            <w:r>
              <w:rPr>
                <w:rFonts w:ascii="Calibri"/>
                <w:sz w:val="19"/>
              </w:rPr>
              <w:t>$0.00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68"/>
              <w:rPr>
                <w:rFonts w:ascii="Calibri"/>
                <w:sz w:val="19"/>
              </w:rPr>
            </w:pPr>
            <w:r>
              <w:rPr>
                <w:rFonts w:ascii="Calibri"/>
                <w:sz w:val="19"/>
              </w:rPr>
              <w:t>$33,857,071.00</w:t>
            </w:r>
          </w:p>
        </w:tc>
        <w:tc>
          <w:tcPr>
            <w:tcW w:w="1408"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37" w:right="6"/>
              <w:rPr>
                <w:rFonts w:ascii="Calibri"/>
                <w:sz w:val="19"/>
              </w:rPr>
            </w:pPr>
            <w:r>
              <w:rPr>
                <w:rFonts w:ascii="Calibri"/>
                <w:sz w:val="19"/>
              </w:rPr>
              <w:t>$453,867,213.95</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8" w:right="80"/>
              <w:rPr>
                <w:rFonts w:ascii="Calibri"/>
                <w:sz w:val="19"/>
              </w:rPr>
            </w:pPr>
            <w:r>
              <w:rPr>
                <w:rFonts w:ascii="Calibri"/>
                <w:sz w:val="19"/>
              </w:rPr>
              <w:t>$0.00</w:t>
            </w:r>
          </w:p>
        </w:tc>
        <w:tc>
          <w:tcPr>
            <w:tcW w:w="1309"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238" w:right="207"/>
              <w:rPr>
                <w:rFonts w:ascii="Calibri"/>
                <w:sz w:val="19"/>
              </w:rPr>
            </w:pPr>
            <w:r>
              <w:rPr>
                <w:rFonts w:ascii="Calibri"/>
                <w:sz w:val="19"/>
              </w:rPr>
              <w:t>$0.00</w:t>
            </w:r>
          </w:p>
        </w:tc>
        <w:tc>
          <w:tcPr>
            <w:tcW w:w="1543"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0"/>
              <w:rPr>
                <w:rFonts w:ascii="Calibri"/>
                <w:sz w:val="19"/>
              </w:rPr>
            </w:pPr>
            <w:r>
              <w:rPr>
                <w:rFonts w:ascii="Calibri"/>
                <w:sz w:val="19"/>
              </w:rPr>
              <w:t>$0.00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0"/>
              <w:rPr>
                <w:rFonts w:ascii="Calibri"/>
                <w:sz w:val="19"/>
              </w:rPr>
            </w:pPr>
            <w:r>
              <w:rPr>
                <w:rFonts w:ascii="Calibri"/>
                <w:sz w:val="19"/>
              </w:rPr>
              <w:t>$0.00</w:t>
            </w:r>
          </w:p>
        </w:tc>
      </w:tr>
      <w:tr>
        <w:trPr>
          <w:trHeight w:val="409" w:hRule="exact"/>
        </w:trPr>
        <w:tc>
          <w:tcPr>
            <w:tcW w:w="1142" w:type="dxa"/>
            <w:tcBorders>
              <w:top w:val="single" w:sz="11" w:space="0" w:color="000000"/>
              <w:bottom w:val="single" w:sz="11" w:space="0" w:color="000000"/>
              <w:right w:val="single" w:sz="10" w:space="0" w:color="000000"/>
            </w:tcBorders>
          </w:tcPr>
          <w:p>
            <w:pPr>
              <w:pStyle w:val="TableParagraph"/>
              <w:spacing w:before="117"/>
              <w:ind w:left="57" w:right="50"/>
              <w:rPr>
                <w:rFonts w:ascii="Calibri"/>
                <w:b/>
                <w:sz w:val="14"/>
              </w:rPr>
            </w:pPr>
            <w:r>
              <w:rPr>
                <w:rFonts w:ascii="Calibri"/>
                <w:b/>
                <w:sz w:val="14"/>
              </w:rPr>
              <w:t>TEZOYUCA</w:t>
            </w:r>
          </w:p>
        </w:tc>
        <w:tc>
          <w:tcPr>
            <w:tcW w:w="1543"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1"/>
              <w:rPr>
                <w:rFonts w:ascii="Calibri"/>
                <w:sz w:val="19"/>
              </w:rPr>
            </w:pPr>
            <w:r>
              <w:rPr>
                <w:rFonts w:ascii="Calibri"/>
                <w:sz w:val="19"/>
              </w:rPr>
              <w:t>$135,420,000.00</w:t>
            </w:r>
          </w:p>
        </w:tc>
        <w:tc>
          <w:tcPr>
            <w:tcW w:w="1408"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79" w:right="48"/>
              <w:rPr>
                <w:rFonts w:ascii="Calibri"/>
                <w:sz w:val="19"/>
              </w:rPr>
            </w:pPr>
            <w:r>
              <w:rPr>
                <w:rFonts w:ascii="Calibri"/>
                <w:sz w:val="19"/>
              </w:rPr>
              <w:t>$0.00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0"/>
              <w:rPr>
                <w:rFonts w:ascii="Calibri"/>
                <w:sz w:val="19"/>
              </w:rPr>
            </w:pPr>
            <w:r>
              <w:rPr>
                <w:rFonts w:ascii="Calibri"/>
                <w:sz w:val="19"/>
              </w:rPr>
              <w:t>$0.00</w:t>
            </w:r>
          </w:p>
        </w:tc>
        <w:tc>
          <w:tcPr>
            <w:tcW w:w="1408"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37" w:right="6"/>
              <w:rPr>
                <w:rFonts w:ascii="Calibri"/>
                <w:sz w:val="19"/>
              </w:rPr>
            </w:pPr>
            <w:r>
              <w:rPr>
                <w:rFonts w:ascii="Calibri"/>
                <w:sz w:val="19"/>
              </w:rPr>
              <w:t>$135,420,000.00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8" w:right="80"/>
              <w:rPr>
                <w:rFonts w:ascii="Calibri"/>
                <w:sz w:val="19"/>
              </w:rPr>
            </w:pPr>
            <w:r>
              <w:rPr>
                <w:rFonts w:ascii="Calibri"/>
                <w:sz w:val="19"/>
              </w:rPr>
              <w:t>$148,000,000.00</w:t>
            </w:r>
          </w:p>
        </w:tc>
        <w:tc>
          <w:tcPr>
            <w:tcW w:w="1309"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238" w:right="207"/>
              <w:rPr>
                <w:rFonts w:ascii="Calibri"/>
                <w:sz w:val="19"/>
              </w:rPr>
            </w:pPr>
            <w:r>
              <w:rPr>
                <w:rFonts w:ascii="Calibri"/>
                <w:sz w:val="19"/>
              </w:rPr>
              <w:t>$0.00</w:t>
            </w:r>
          </w:p>
        </w:tc>
        <w:tc>
          <w:tcPr>
            <w:tcW w:w="1543"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0"/>
              <w:rPr>
                <w:rFonts w:ascii="Calibri"/>
                <w:sz w:val="19"/>
              </w:rPr>
            </w:pPr>
            <w:r>
              <w:rPr>
                <w:rFonts w:ascii="Calibri"/>
                <w:sz w:val="19"/>
              </w:rPr>
              <w:t>$0.00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8" w:right="80"/>
              <w:rPr>
                <w:rFonts w:ascii="Calibri"/>
                <w:sz w:val="19"/>
              </w:rPr>
            </w:pPr>
            <w:r>
              <w:rPr>
                <w:rFonts w:ascii="Calibri"/>
                <w:sz w:val="19"/>
              </w:rPr>
              <w:t>$148,000,000.00</w:t>
            </w:r>
          </w:p>
        </w:tc>
      </w:tr>
      <w:tr>
        <w:trPr>
          <w:trHeight w:val="408" w:hRule="exact"/>
        </w:trPr>
        <w:tc>
          <w:tcPr>
            <w:tcW w:w="1142" w:type="dxa"/>
            <w:tcBorders>
              <w:top w:val="single" w:sz="11" w:space="0" w:color="000000"/>
              <w:bottom w:val="single" w:sz="11" w:space="0" w:color="000000"/>
              <w:right w:val="single" w:sz="10" w:space="0" w:color="000000"/>
            </w:tcBorders>
          </w:tcPr>
          <w:p>
            <w:pPr>
              <w:pStyle w:val="TableParagraph"/>
              <w:spacing w:before="117"/>
              <w:ind w:left="66" w:right="50"/>
              <w:rPr>
                <w:rFonts w:ascii="Calibri"/>
                <w:b/>
                <w:sz w:val="14"/>
              </w:rPr>
            </w:pPr>
            <w:r>
              <w:rPr>
                <w:rFonts w:ascii="Calibri"/>
                <w:b/>
                <w:sz w:val="14"/>
              </w:rPr>
              <w:t>TIANGUISTENCO</w:t>
            </w:r>
          </w:p>
        </w:tc>
        <w:tc>
          <w:tcPr>
            <w:tcW w:w="1543"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1"/>
              <w:rPr>
                <w:rFonts w:ascii="Calibri"/>
                <w:sz w:val="19"/>
              </w:rPr>
            </w:pPr>
            <w:r>
              <w:rPr>
                <w:rFonts w:ascii="Calibri"/>
                <w:sz w:val="19"/>
              </w:rPr>
              <w:t>$104,273,029.00</w:t>
            </w:r>
          </w:p>
        </w:tc>
        <w:tc>
          <w:tcPr>
            <w:tcW w:w="1408"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79" w:right="48"/>
              <w:rPr>
                <w:rFonts w:ascii="Calibri"/>
                <w:sz w:val="19"/>
              </w:rPr>
            </w:pPr>
            <w:r>
              <w:rPr>
                <w:rFonts w:ascii="Calibri"/>
                <w:sz w:val="19"/>
              </w:rPr>
              <w:t>$0.00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0"/>
              <w:rPr>
                <w:rFonts w:ascii="Calibri"/>
                <w:sz w:val="19"/>
              </w:rPr>
            </w:pPr>
            <w:r>
              <w:rPr>
                <w:rFonts w:ascii="Calibri"/>
                <w:sz w:val="19"/>
              </w:rPr>
              <w:t>$0.00</w:t>
            </w:r>
          </w:p>
        </w:tc>
        <w:tc>
          <w:tcPr>
            <w:tcW w:w="1408"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37" w:right="6"/>
              <w:rPr>
                <w:rFonts w:ascii="Calibri"/>
                <w:sz w:val="19"/>
              </w:rPr>
            </w:pPr>
            <w:r>
              <w:rPr>
                <w:rFonts w:ascii="Calibri"/>
                <w:sz w:val="19"/>
              </w:rPr>
              <w:t>$104,273,029.00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8" w:right="80"/>
              <w:rPr>
                <w:rFonts w:ascii="Calibri"/>
                <w:sz w:val="19"/>
              </w:rPr>
            </w:pPr>
            <w:r>
              <w:rPr>
                <w:rFonts w:ascii="Calibri"/>
                <w:sz w:val="19"/>
              </w:rPr>
              <w:t>$126,428,890.00</w:t>
            </w:r>
          </w:p>
        </w:tc>
        <w:tc>
          <w:tcPr>
            <w:tcW w:w="1309"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238" w:right="207"/>
              <w:rPr>
                <w:rFonts w:ascii="Calibri"/>
                <w:sz w:val="19"/>
              </w:rPr>
            </w:pPr>
            <w:r>
              <w:rPr>
                <w:rFonts w:ascii="Calibri"/>
                <w:sz w:val="19"/>
              </w:rPr>
              <w:t>$0.00</w:t>
            </w:r>
          </w:p>
        </w:tc>
        <w:tc>
          <w:tcPr>
            <w:tcW w:w="1543"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0"/>
              <w:rPr>
                <w:rFonts w:ascii="Calibri"/>
                <w:sz w:val="19"/>
              </w:rPr>
            </w:pPr>
            <w:r>
              <w:rPr>
                <w:rFonts w:ascii="Calibri"/>
                <w:sz w:val="19"/>
              </w:rPr>
              <w:t>$0.00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8" w:right="80"/>
              <w:rPr>
                <w:rFonts w:ascii="Calibri"/>
                <w:sz w:val="19"/>
              </w:rPr>
            </w:pPr>
            <w:r>
              <w:rPr>
                <w:rFonts w:ascii="Calibri"/>
                <w:sz w:val="19"/>
              </w:rPr>
              <w:t>$126,428,890.00</w:t>
            </w:r>
          </w:p>
        </w:tc>
      </w:tr>
      <w:tr>
        <w:trPr>
          <w:trHeight w:val="408" w:hRule="exact"/>
        </w:trPr>
        <w:tc>
          <w:tcPr>
            <w:tcW w:w="1142" w:type="dxa"/>
            <w:tcBorders>
              <w:top w:val="single" w:sz="11" w:space="0" w:color="000000"/>
              <w:bottom w:val="single" w:sz="11" w:space="0" w:color="000000"/>
              <w:right w:val="single" w:sz="10" w:space="0" w:color="000000"/>
            </w:tcBorders>
          </w:tcPr>
          <w:p>
            <w:pPr>
              <w:pStyle w:val="TableParagraph"/>
              <w:spacing w:before="116"/>
              <w:ind w:left="64" w:right="50"/>
              <w:rPr>
                <w:rFonts w:ascii="Calibri"/>
                <w:b/>
                <w:sz w:val="14"/>
              </w:rPr>
            </w:pPr>
            <w:r>
              <w:rPr>
                <w:rFonts w:ascii="Calibri"/>
                <w:b/>
                <w:sz w:val="14"/>
              </w:rPr>
              <w:t>TIMILPAN</w:t>
            </w:r>
          </w:p>
        </w:tc>
        <w:tc>
          <w:tcPr>
            <w:tcW w:w="1543"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1"/>
              <w:rPr>
                <w:rFonts w:ascii="Calibri"/>
                <w:sz w:val="19"/>
              </w:rPr>
            </w:pPr>
            <w:r>
              <w:rPr>
                <w:rFonts w:ascii="Calibri"/>
                <w:sz w:val="19"/>
              </w:rPr>
              <w:t>$134,658,965.18</w:t>
            </w:r>
          </w:p>
        </w:tc>
        <w:tc>
          <w:tcPr>
            <w:tcW w:w="1408"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79" w:right="47"/>
              <w:rPr>
                <w:rFonts w:ascii="Calibri"/>
                <w:sz w:val="19"/>
              </w:rPr>
            </w:pPr>
            <w:r>
              <w:rPr>
                <w:rFonts w:ascii="Calibri"/>
                <w:sz w:val="19"/>
              </w:rPr>
              <w:t>$48,640.98</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0"/>
              <w:rPr>
                <w:rFonts w:ascii="Calibri"/>
                <w:sz w:val="19"/>
              </w:rPr>
            </w:pPr>
            <w:r>
              <w:rPr>
                <w:rFonts w:ascii="Calibri"/>
                <w:sz w:val="19"/>
              </w:rPr>
              <w:t>$2,788,677.09</w:t>
            </w:r>
          </w:p>
        </w:tc>
        <w:tc>
          <w:tcPr>
            <w:tcW w:w="1408"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37" w:right="6"/>
              <w:rPr>
                <w:rFonts w:ascii="Calibri"/>
                <w:sz w:val="19"/>
              </w:rPr>
            </w:pPr>
            <w:r>
              <w:rPr>
                <w:rFonts w:ascii="Calibri"/>
                <w:sz w:val="19"/>
              </w:rPr>
              <w:t>$131,918,929.07</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8" w:right="80"/>
              <w:rPr>
                <w:rFonts w:ascii="Calibri"/>
                <w:sz w:val="19"/>
              </w:rPr>
            </w:pPr>
            <w:r>
              <w:rPr>
                <w:rFonts w:ascii="Calibri"/>
                <w:sz w:val="19"/>
              </w:rPr>
              <w:t>$103,013,967.16</w:t>
            </w:r>
          </w:p>
        </w:tc>
        <w:tc>
          <w:tcPr>
            <w:tcW w:w="1309"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238" w:right="207"/>
              <w:rPr>
                <w:rFonts w:ascii="Calibri"/>
                <w:sz w:val="19"/>
              </w:rPr>
            </w:pPr>
            <w:r>
              <w:rPr>
                <w:rFonts w:ascii="Calibri"/>
                <w:sz w:val="19"/>
              </w:rPr>
              <w:t>$0.00</w:t>
            </w:r>
          </w:p>
        </w:tc>
        <w:tc>
          <w:tcPr>
            <w:tcW w:w="1543"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9" w:right="80"/>
              <w:rPr>
                <w:rFonts w:ascii="Calibri"/>
                <w:sz w:val="19"/>
              </w:rPr>
            </w:pPr>
            <w:r>
              <w:rPr>
                <w:rFonts w:ascii="Calibri"/>
                <w:sz w:val="19"/>
              </w:rPr>
              <w:t>$0.00</w:t>
            </w:r>
          </w:p>
        </w:tc>
        <w:tc>
          <w:tcPr>
            <w:tcW w:w="1544" w:type="dxa"/>
            <w:tcBorders>
              <w:top w:val="single" w:sz="11" w:space="0" w:color="000000"/>
              <w:left w:val="single" w:sz="10" w:space="0" w:color="000000"/>
              <w:bottom w:val="single" w:sz="11" w:space="0" w:color="000000"/>
              <w:right w:val="single" w:sz="10" w:space="0" w:color="000000"/>
            </w:tcBorders>
          </w:tcPr>
          <w:p>
            <w:pPr>
              <w:pStyle w:val="TableParagraph"/>
              <w:spacing w:before="82"/>
              <w:ind w:left="98" w:right="80"/>
              <w:rPr>
                <w:rFonts w:ascii="Calibri"/>
                <w:sz w:val="19"/>
              </w:rPr>
            </w:pPr>
            <w:r>
              <w:rPr>
                <w:rFonts w:ascii="Calibri"/>
                <w:sz w:val="19"/>
              </w:rPr>
              <w:t>$103,013,967.16</w:t>
            </w:r>
          </w:p>
        </w:tc>
      </w:tr>
    </w:tbl>
    <w:p>
      <w:pPr>
        <w:spacing w:after="0"/>
        <w:rPr>
          <w:rFonts w:ascii="Calibri"/>
          <w:sz w:val="19"/>
        </w:rPr>
        <w:sectPr>
          <w:pgSz w:w="15840" w:h="12240" w:orient="landscape"/>
          <w:pgMar w:header="0" w:footer="975" w:top="1140" w:bottom="1160" w:left="1300" w:right="1300"/>
        </w:sectPr>
      </w:pPr>
    </w:p>
    <w:p>
      <w:pPr>
        <w:pStyle w:val="BodyText"/>
        <w:rPr>
          <w:rFonts w:ascii="Times New Roman"/>
          <w:sz w:val="20"/>
        </w:rPr>
      </w:pPr>
    </w:p>
    <w:p>
      <w:pPr>
        <w:pStyle w:val="BodyText"/>
        <w:spacing w:before="9"/>
        <w:rPr>
          <w:rFonts w:ascii="Times New Roman"/>
          <w:sz w:val="28"/>
        </w:rPr>
      </w:pPr>
    </w:p>
    <w:tbl>
      <w:tblPr>
        <w:tblW w:w="0" w:type="auto"/>
        <w:jc w:val="left"/>
        <w:tblInd w:w="11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34"/>
        <w:gridCol w:w="1532"/>
        <w:gridCol w:w="1397"/>
        <w:gridCol w:w="1532"/>
        <w:gridCol w:w="1397"/>
        <w:gridCol w:w="1532"/>
        <w:gridCol w:w="1398"/>
        <w:gridCol w:w="1532"/>
        <w:gridCol w:w="1532"/>
      </w:tblGrid>
      <w:tr>
        <w:trPr>
          <w:trHeight w:val="316" w:hRule="exact"/>
        </w:trPr>
        <w:tc>
          <w:tcPr>
            <w:tcW w:w="12986" w:type="dxa"/>
            <w:gridSpan w:val="9"/>
            <w:tcBorders>
              <w:left w:val="single" w:sz="5" w:space="0" w:color="000000"/>
              <w:bottom w:val="single" w:sz="12" w:space="0" w:color="000000"/>
              <w:right w:val="single" w:sz="10" w:space="0" w:color="000000"/>
            </w:tcBorders>
            <w:shd w:val="clear" w:color="auto" w:fill="C4D69B"/>
          </w:tcPr>
          <w:p>
            <w:pPr>
              <w:pStyle w:val="TableParagraph"/>
              <w:spacing w:before="46"/>
              <w:ind w:left="3775"/>
              <w:jc w:val="left"/>
              <w:rPr>
                <w:b/>
                <w:sz w:val="18"/>
              </w:rPr>
            </w:pPr>
            <w:r>
              <w:rPr>
                <w:b/>
                <w:w w:val="85"/>
                <w:sz w:val="18"/>
              </w:rPr>
              <w:t>Anexo 24D. Municipios que publican su presupuesto 2014-2015 (Finaliza tabla)</w:t>
            </w:r>
          </w:p>
        </w:tc>
      </w:tr>
      <w:tr>
        <w:trPr>
          <w:trHeight w:val="324" w:hRule="exact"/>
        </w:trPr>
        <w:tc>
          <w:tcPr>
            <w:tcW w:w="1134" w:type="dxa"/>
            <w:vMerge w:val="restart"/>
            <w:tcBorders>
              <w:top w:val="single" w:sz="12" w:space="0" w:color="000000"/>
              <w:left w:val="single" w:sz="5" w:space="0" w:color="000000"/>
              <w:right w:val="single" w:sz="10" w:space="0" w:color="000000"/>
            </w:tcBorders>
            <w:shd w:val="clear" w:color="auto" w:fill="C4D69B"/>
          </w:tcPr>
          <w:p>
            <w:pPr>
              <w:pStyle w:val="TableParagraph"/>
              <w:spacing w:before="5"/>
              <w:jc w:val="left"/>
              <w:rPr>
                <w:rFonts w:ascii="Times New Roman"/>
                <w:sz w:val="17"/>
              </w:rPr>
            </w:pPr>
          </w:p>
          <w:p>
            <w:pPr>
              <w:pStyle w:val="TableParagraph"/>
              <w:spacing w:before="1"/>
              <w:ind w:left="233" w:right="16"/>
              <w:jc w:val="left"/>
              <w:rPr>
                <w:b/>
                <w:sz w:val="18"/>
              </w:rPr>
            </w:pPr>
            <w:r>
              <w:rPr>
                <w:b/>
                <w:w w:val="90"/>
                <w:sz w:val="18"/>
              </w:rPr>
              <w:t>Municipio</w:t>
            </w:r>
          </w:p>
        </w:tc>
        <w:tc>
          <w:tcPr>
            <w:tcW w:w="5859" w:type="dxa"/>
            <w:gridSpan w:val="4"/>
            <w:tcBorders>
              <w:top w:val="single" w:sz="12" w:space="0" w:color="000000"/>
              <w:left w:val="single" w:sz="10" w:space="0" w:color="000000"/>
              <w:bottom w:val="single" w:sz="12" w:space="0" w:color="000000"/>
              <w:right w:val="single" w:sz="10" w:space="0" w:color="000000"/>
            </w:tcBorders>
            <w:shd w:val="clear" w:color="auto" w:fill="C4D69B"/>
          </w:tcPr>
          <w:p>
            <w:pPr>
              <w:pStyle w:val="TableParagraph"/>
              <w:spacing w:before="47"/>
              <w:ind w:left="2728" w:right="2704"/>
              <w:rPr>
                <w:sz w:val="18"/>
              </w:rPr>
            </w:pPr>
            <w:r>
              <w:rPr>
                <w:w w:val="90"/>
                <w:sz w:val="18"/>
              </w:rPr>
              <w:t>2014</w:t>
            </w:r>
          </w:p>
        </w:tc>
        <w:tc>
          <w:tcPr>
            <w:tcW w:w="5994" w:type="dxa"/>
            <w:gridSpan w:val="4"/>
            <w:tcBorders>
              <w:top w:val="single" w:sz="12" w:space="0" w:color="000000"/>
              <w:left w:val="single" w:sz="10" w:space="0" w:color="000000"/>
              <w:bottom w:val="single" w:sz="12" w:space="0" w:color="000000"/>
              <w:right w:val="single" w:sz="10" w:space="0" w:color="000000"/>
            </w:tcBorders>
            <w:shd w:val="clear" w:color="auto" w:fill="C4D69B"/>
          </w:tcPr>
          <w:p>
            <w:pPr>
              <w:pStyle w:val="TableParagraph"/>
              <w:spacing w:before="47"/>
              <w:ind w:left="2789" w:right="2778"/>
              <w:rPr>
                <w:sz w:val="18"/>
              </w:rPr>
            </w:pPr>
            <w:r>
              <w:rPr>
                <w:w w:val="90"/>
                <w:sz w:val="18"/>
              </w:rPr>
              <w:t>2015</w:t>
            </w:r>
          </w:p>
        </w:tc>
      </w:tr>
      <w:tr>
        <w:trPr>
          <w:trHeight w:val="323" w:hRule="exact"/>
        </w:trPr>
        <w:tc>
          <w:tcPr>
            <w:tcW w:w="1134" w:type="dxa"/>
            <w:vMerge/>
            <w:tcBorders>
              <w:left w:val="single" w:sz="5" w:space="0" w:color="000000"/>
              <w:bottom w:val="single" w:sz="12" w:space="0" w:color="000000"/>
              <w:right w:val="single" w:sz="10" w:space="0" w:color="000000"/>
            </w:tcBorders>
            <w:shd w:val="clear" w:color="auto" w:fill="C4D69B"/>
          </w:tcPr>
          <w:p>
            <w:pPr/>
          </w:p>
        </w:tc>
        <w:tc>
          <w:tcPr>
            <w:tcW w:w="1532" w:type="dxa"/>
            <w:tcBorders>
              <w:top w:val="single" w:sz="12" w:space="0" w:color="000000"/>
              <w:left w:val="single" w:sz="10" w:space="0" w:color="000000"/>
              <w:bottom w:val="single" w:sz="12" w:space="0" w:color="000000"/>
              <w:right w:val="single" w:sz="10" w:space="0" w:color="000000"/>
            </w:tcBorders>
            <w:shd w:val="clear" w:color="auto" w:fill="C4D69B"/>
          </w:tcPr>
          <w:p>
            <w:pPr>
              <w:pStyle w:val="TableParagraph"/>
              <w:spacing w:before="47"/>
              <w:ind w:left="23" w:right="4"/>
              <w:rPr>
                <w:sz w:val="18"/>
              </w:rPr>
            </w:pPr>
            <w:r>
              <w:rPr>
                <w:w w:val="90"/>
                <w:sz w:val="18"/>
              </w:rPr>
              <w:t>Autorizado</w:t>
            </w:r>
          </w:p>
        </w:tc>
        <w:tc>
          <w:tcPr>
            <w:tcW w:w="1397" w:type="dxa"/>
            <w:tcBorders>
              <w:top w:val="single" w:sz="12" w:space="0" w:color="000000"/>
              <w:left w:val="single" w:sz="10" w:space="0" w:color="000000"/>
              <w:bottom w:val="single" w:sz="12" w:space="0" w:color="000000"/>
              <w:right w:val="single" w:sz="10" w:space="0" w:color="000000"/>
            </w:tcBorders>
            <w:shd w:val="clear" w:color="auto" w:fill="C4D69B"/>
          </w:tcPr>
          <w:p>
            <w:pPr>
              <w:pStyle w:val="TableParagraph"/>
              <w:spacing w:before="47"/>
              <w:ind w:left="330"/>
              <w:jc w:val="left"/>
              <w:rPr>
                <w:sz w:val="18"/>
              </w:rPr>
            </w:pPr>
            <w:r>
              <w:rPr>
                <w:w w:val="90"/>
                <w:sz w:val="18"/>
              </w:rPr>
              <w:t>Modificado</w:t>
            </w:r>
          </w:p>
        </w:tc>
        <w:tc>
          <w:tcPr>
            <w:tcW w:w="1532" w:type="dxa"/>
            <w:tcBorders>
              <w:top w:val="single" w:sz="12" w:space="0" w:color="000000"/>
              <w:left w:val="single" w:sz="10" w:space="0" w:color="000000"/>
              <w:bottom w:val="single" w:sz="12" w:space="0" w:color="000000"/>
              <w:right w:val="single" w:sz="10" w:space="0" w:color="000000"/>
            </w:tcBorders>
            <w:shd w:val="clear" w:color="auto" w:fill="C4D69B"/>
          </w:tcPr>
          <w:p>
            <w:pPr>
              <w:pStyle w:val="TableParagraph"/>
              <w:spacing w:before="47"/>
              <w:ind w:left="23" w:right="4"/>
              <w:rPr>
                <w:sz w:val="18"/>
              </w:rPr>
            </w:pPr>
            <w:r>
              <w:rPr>
                <w:w w:val="90"/>
                <w:sz w:val="18"/>
              </w:rPr>
              <w:t>Ejercido</w:t>
            </w:r>
          </w:p>
        </w:tc>
        <w:tc>
          <w:tcPr>
            <w:tcW w:w="1397" w:type="dxa"/>
            <w:tcBorders>
              <w:top w:val="single" w:sz="12" w:space="0" w:color="000000"/>
              <w:left w:val="single" w:sz="10" w:space="0" w:color="000000"/>
              <w:bottom w:val="single" w:sz="12" w:space="0" w:color="000000"/>
              <w:right w:val="single" w:sz="10" w:space="0" w:color="000000"/>
            </w:tcBorders>
            <w:shd w:val="clear" w:color="auto" w:fill="C4D69B"/>
          </w:tcPr>
          <w:p>
            <w:pPr>
              <w:pStyle w:val="TableParagraph"/>
              <w:spacing w:before="47"/>
              <w:ind w:left="30" w:right="7"/>
              <w:rPr>
                <w:sz w:val="18"/>
              </w:rPr>
            </w:pPr>
            <w:r>
              <w:rPr>
                <w:w w:val="85"/>
                <w:sz w:val="18"/>
              </w:rPr>
              <w:t>Por ejercer</w:t>
            </w:r>
          </w:p>
        </w:tc>
        <w:tc>
          <w:tcPr>
            <w:tcW w:w="1532" w:type="dxa"/>
            <w:tcBorders>
              <w:top w:val="single" w:sz="12" w:space="0" w:color="000000"/>
              <w:left w:val="single" w:sz="10" w:space="0" w:color="000000"/>
              <w:bottom w:val="single" w:sz="12" w:space="0" w:color="000000"/>
              <w:right w:val="single" w:sz="10" w:space="0" w:color="000000"/>
            </w:tcBorders>
            <w:shd w:val="clear" w:color="auto" w:fill="C4D69B"/>
          </w:tcPr>
          <w:p>
            <w:pPr>
              <w:pStyle w:val="TableParagraph"/>
              <w:spacing w:before="47"/>
              <w:ind w:left="23" w:right="4"/>
              <w:rPr>
                <w:sz w:val="18"/>
              </w:rPr>
            </w:pPr>
            <w:r>
              <w:rPr>
                <w:w w:val="90"/>
                <w:sz w:val="18"/>
              </w:rPr>
              <w:t>Autorizado</w:t>
            </w:r>
          </w:p>
        </w:tc>
        <w:tc>
          <w:tcPr>
            <w:tcW w:w="1398" w:type="dxa"/>
            <w:tcBorders>
              <w:top w:val="single" w:sz="12" w:space="0" w:color="000000"/>
              <w:left w:val="single" w:sz="10" w:space="0" w:color="000000"/>
              <w:bottom w:val="single" w:sz="12" w:space="0" w:color="000000"/>
              <w:right w:val="single" w:sz="10" w:space="0" w:color="000000"/>
            </w:tcBorders>
            <w:shd w:val="clear" w:color="auto" w:fill="C4D69B"/>
          </w:tcPr>
          <w:p>
            <w:pPr>
              <w:pStyle w:val="TableParagraph"/>
              <w:spacing w:before="47"/>
              <w:ind w:left="330"/>
              <w:jc w:val="left"/>
              <w:rPr>
                <w:sz w:val="18"/>
              </w:rPr>
            </w:pPr>
            <w:r>
              <w:rPr>
                <w:w w:val="90"/>
                <w:sz w:val="18"/>
              </w:rPr>
              <w:t>Modificado</w:t>
            </w:r>
          </w:p>
        </w:tc>
        <w:tc>
          <w:tcPr>
            <w:tcW w:w="1532" w:type="dxa"/>
            <w:tcBorders>
              <w:top w:val="single" w:sz="12" w:space="0" w:color="000000"/>
              <w:left w:val="single" w:sz="10" w:space="0" w:color="000000"/>
              <w:bottom w:val="single" w:sz="12" w:space="0" w:color="000000"/>
              <w:right w:val="single" w:sz="10" w:space="0" w:color="000000"/>
            </w:tcBorders>
            <w:shd w:val="clear" w:color="auto" w:fill="C4D69B"/>
          </w:tcPr>
          <w:p>
            <w:pPr>
              <w:pStyle w:val="TableParagraph"/>
              <w:spacing w:before="47"/>
              <w:ind w:left="490"/>
              <w:jc w:val="left"/>
              <w:rPr>
                <w:sz w:val="18"/>
              </w:rPr>
            </w:pPr>
            <w:r>
              <w:rPr>
                <w:w w:val="90"/>
                <w:sz w:val="18"/>
              </w:rPr>
              <w:t>Ejercido</w:t>
            </w:r>
          </w:p>
        </w:tc>
        <w:tc>
          <w:tcPr>
            <w:tcW w:w="1532" w:type="dxa"/>
            <w:tcBorders>
              <w:top w:val="single" w:sz="12" w:space="0" w:color="000000"/>
              <w:left w:val="single" w:sz="10" w:space="0" w:color="000000"/>
              <w:bottom w:val="single" w:sz="12" w:space="0" w:color="000000"/>
              <w:right w:val="single" w:sz="10" w:space="0" w:color="000000"/>
            </w:tcBorders>
            <w:shd w:val="clear" w:color="auto" w:fill="C4D69B"/>
          </w:tcPr>
          <w:p>
            <w:pPr>
              <w:pStyle w:val="TableParagraph"/>
              <w:spacing w:before="47"/>
              <w:ind w:left="16" w:right="5"/>
              <w:rPr>
                <w:sz w:val="18"/>
              </w:rPr>
            </w:pPr>
            <w:r>
              <w:rPr>
                <w:w w:val="85"/>
                <w:sz w:val="18"/>
              </w:rPr>
              <w:t>Por ejercer</w:t>
            </w:r>
          </w:p>
        </w:tc>
      </w:tr>
      <w:tr>
        <w:trPr>
          <w:trHeight w:val="416" w:hRule="exact"/>
        </w:trPr>
        <w:tc>
          <w:tcPr>
            <w:tcW w:w="1134" w:type="dxa"/>
            <w:tcBorders>
              <w:top w:val="single" w:sz="12" w:space="0" w:color="000000"/>
              <w:left w:val="single" w:sz="5" w:space="0" w:color="000000"/>
              <w:bottom w:val="single" w:sz="12" w:space="0" w:color="000000"/>
              <w:right w:val="single" w:sz="10" w:space="0" w:color="000000"/>
            </w:tcBorders>
          </w:tcPr>
          <w:p>
            <w:pPr>
              <w:pStyle w:val="TableParagraph"/>
              <w:spacing w:before="100"/>
              <w:ind w:left="122" w:right="16"/>
              <w:jc w:val="left"/>
              <w:rPr>
                <w:rFonts w:ascii="Calibri"/>
                <w:b/>
                <w:sz w:val="17"/>
              </w:rPr>
            </w:pPr>
            <w:r>
              <w:rPr>
                <w:rFonts w:ascii="Calibri"/>
                <w:b/>
                <w:w w:val="85"/>
                <w:sz w:val="17"/>
              </w:rPr>
              <w:t>TLALMANALCO</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before="58"/>
              <w:ind w:left="23" w:right="4"/>
              <w:rPr>
                <w:rFonts w:ascii="Calibri"/>
                <w:sz w:val="23"/>
              </w:rPr>
            </w:pPr>
            <w:r>
              <w:rPr>
                <w:rFonts w:ascii="Calibri"/>
                <w:w w:val="90"/>
                <w:sz w:val="23"/>
              </w:rPr>
              <w:t>$0.00</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before="58"/>
              <w:ind w:left="445" w:right="414"/>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before="58"/>
              <w:ind w:left="23" w:right="4"/>
              <w:rPr>
                <w:rFonts w:ascii="Calibri"/>
                <w:sz w:val="23"/>
              </w:rPr>
            </w:pPr>
            <w:r>
              <w:rPr>
                <w:rFonts w:ascii="Calibri"/>
                <w:w w:val="90"/>
                <w:sz w:val="23"/>
              </w:rPr>
              <w:t>$0.00</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before="58"/>
              <w:ind w:left="38" w:right="7"/>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before="58"/>
              <w:ind w:left="23" w:right="4"/>
              <w:rPr>
                <w:rFonts w:ascii="Calibri"/>
                <w:sz w:val="23"/>
              </w:rPr>
            </w:pPr>
            <w:r>
              <w:rPr>
                <w:rFonts w:ascii="Calibri"/>
                <w:w w:val="90"/>
                <w:sz w:val="23"/>
              </w:rPr>
              <w:t>$0.00</w:t>
            </w:r>
          </w:p>
        </w:tc>
        <w:tc>
          <w:tcPr>
            <w:tcW w:w="1398" w:type="dxa"/>
            <w:tcBorders>
              <w:top w:val="single" w:sz="12" w:space="0" w:color="000000"/>
              <w:left w:val="single" w:sz="10" w:space="0" w:color="000000"/>
              <w:bottom w:val="single" w:sz="12" w:space="0" w:color="000000"/>
              <w:right w:val="single" w:sz="10" w:space="0" w:color="000000"/>
            </w:tcBorders>
          </w:tcPr>
          <w:p>
            <w:pPr>
              <w:pStyle w:val="TableParagraph"/>
              <w:spacing w:before="58"/>
              <w:ind w:left="446" w:right="414"/>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before="58"/>
              <w:ind w:left="507" w:right="488"/>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before="58"/>
              <w:ind w:left="23" w:right="4"/>
              <w:rPr>
                <w:rFonts w:ascii="Calibri"/>
                <w:sz w:val="23"/>
              </w:rPr>
            </w:pPr>
            <w:r>
              <w:rPr>
                <w:rFonts w:ascii="Calibri"/>
                <w:w w:val="90"/>
                <w:sz w:val="23"/>
              </w:rPr>
              <w:t>$0.00</w:t>
            </w:r>
          </w:p>
        </w:tc>
      </w:tr>
      <w:tr>
        <w:trPr>
          <w:trHeight w:val="478" w:hRule="exact"/>
        </w:trPr>
        <w:tc>
          <w:tcPr>
            <w:tcW w:w="1134" w:type="dxa"/>
            <w:tcBorders>
              <w:top w:val="single" w:sz="12" w:space="0" w:color="000000"/>
              <w:left w:val="single" w:sz="5" w:space="0" w:color="000000"/>
              <w:bottom w:val="single" w:sz="12" w:space="0" w:color="000000"/>
              <w:right w:val="single" w:sz="10" w:space="0" w:color="000000"/>
            </w:tcBorders>
          </w:tcPr>
          <w:p>
            <w:pPr>
              <w:pStyle w:val="TableParagraph"/>
              <w:spacing w:line="266" w:lineRule="auto" w:before="7"/>
              <w:ind w:left="453" w:right="16" w:hanging="429"/>
              <w:jc w:val="left"/>
              <w:rPr>
                <w:rFonts w:ascii="Calibri"/>
                <w:b/>
                <w:sz w:val="17"/>
              </w:rPr>
            </w:pPr>
            <w:r>
              <w:rPr>
                <w:rFonts w:ascii="Calibri"/>
                <w:b/>
                <w:w w:val="80"/>
                <w:sz w:val="17"/>
              </w:rPr>
              <w:t>TLALNEPANTLA DE </w:t>
            </w:r>
            <w:r>
              <w:rPr>
                <w:rFonts w:ascii="Calibri"/>
                <w:b/>
                <w:w w:val="90"/>
                <w:sz w:val="17"/>
              </w:rPr>
              <w:t>BAZ</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before="89"/>
              <w:ind w:left="23" w:right="5"/>
              <w:rPr>
                <w:rFonts w:ascii="Calibri"/>
                <w:sz w:val="23"/>
              </w:rPr>
            </w:pPr>
            <w:r>
              <w:rPr>
                <w:rFonts w:ascii="Calibri"/>
                <w:w w:val="80"/>
                <w:sz w:val="23"/>
              </w:rPr>
              <w:t>$ 4,944,262,771.79</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before="89"/>
              <w:ind w:left="85"/>
              <w:jc w:val="left"/>
              <w:rPr>
                <w:rFonts w:ascii="Calibri"/>
                <w:sz w:val="23"/>
              </w:rPr>
            </w:pPr>
            <w:r>
              <w:rPr>
                <w:rFonts w:ascii="Calibri"/>
                <w:w w:val="80"/>
                <w:sz w:val="23"/>
              </w:rPr>
              <w:t>$ </w:t>
            </w:r>
            <w:r>
              <w:rPr>
                <w:rFonts w:ascii="Calibri"/>
                <w:spacing w:val="-6"/>
                <w:w w:val="80"/>
                <w:sz w:val="23"/>
              </w:rPr>
              <w:t>117,815,082.90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before="89"/>
              <w:ind w:left="23" w:right="5"/>
              <w:rPr>
                <w:rFonts w:ascii="Calibri"/>
                <w:sz w:val="23"/>
              </w:rPr>
            </w:pPr>
            <w:r>
              <w:rPr>
                <w:rFonts w:ascii="Calibri"/>
                <w:w w:val="80"/>
                <w:sz w:val="23"/>
              </w:rPr>
              <w:t>$ 3,853,544,159.19</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before="89"/>
              <w:ind w:left="25" w:right="7"/>
              <w:rPr>
                <w:rFonts w:ascii="Calibri"/>
                <w:sz w:val="23"/>
              </w:rPr>
            </w:pPr>
            <w:r>
              <w:rPr>
                <w:rFonts w:ascii="Calibri"/>
                <w:w w:val="80"/>
                <w:sz w:val="23"/>
              </w:rPr>
              <w:t>$ 972,903,529.70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before="89"/>
              <w:ind w:left="23" w:right="5"/>
              <w:rPr>
                <w:rFonts w:ascii="Calibri"/>
                <w:sz w:val="23"/>
              </w:rPr>
            </w:pPr>
            <w:r>
              <w:rPr>
                <w:rFonts w:ascii="Calibri"/>
                <w:w w:val="80"/>
                <w:sz w:val="23"/>
              </w:rPr>
              <w:t>$ 5,154,425,829.62</w:t>
            </w:r>
          </w:p>
        </w:tc>
        <w:tc>
          <w:tcPr>
            <w:tcW w:w="1398" w:type="dxa"/>
            <w:tcBorders>
              <w:top w:val="single" w:sz="12" w:space="0" w:color="000000"/>
              <w:left w:val="single" w:sz="10" w:space="0" w:color="000000"/>
              <w:bottom w:val="single" w:sz="12" w:space="0" w:color="000000"/>
              <w:right w:val="single" w:sz="10" w:space="0" w:color="000000"/>
            </w:tcBorders>
          </w:tcPr>
          <w:p>
            <w:pPr>
              <w:pStyle w:val="TableParagraph"/>
              <w:spacing w:before="89"/>
              <w:ind w:left="98"/>
              <w:jc w:val="left"/>
              <w:rPr>
                <w:rFonts w:ascii="Calibri"/>
                <w:sz w:val="23"/>
              </w:rPr>
            </w:pPr>
            <w:r>
              <w:rPr>
                <w:rFonts w:ascii="Calibri"/>
                <w:w w:val="85"/>
                <w:sz w:val="23"/>
              </w:rPr>
              <w:t>$ </w:t>
            </w:r>
            <w:r>
              <w:rPr>
                <w:rFonts w:ascii="Calibri"/>
                <w:spacing w:val="-6"/>
                <w:w w:val="85"/>
                <w:sz w:val="23"/>
              </w:rPr>
              <w:t>15,015,575.00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before="89"/>
              <w:ind w:left="85"/>
              <w:jc w:val="left"/>
              <w:rPr>
                <w:rFonts w:ascii="Calibri"/>
                <w:sz w:val="23"/>
              </w:rPr>
            </w:pPr>
            <w:r>
              <w:rPr>
                <w:rFonts w:ascii="Calibri"/>
                <w:w w:val="80"/>
                <w:sz w:val="23"/>
              </w:rPr>
              <w:t>$ </w:t>
            </w:r>
            <w:r>
              <w:rPr>
                <w:rFonts w:ascii="Calibri"/>
                <w:spacing w:val="-5"/>
                <w:w w:val="80"/>
                <w:sz w:val="23"/>
              </w:rPr>
              <w:t>2,011,726,472.86</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before="89"/>
              <w:ind w:left="23" w:right="5"/>
              <w:rPr>
                <w:rFonts w:ascii="Calibri"/>
                <w:sz w:val="23"/>
              </w:rPr>
            </w:pPr>
            <w:r>
              <w:rPr>
                <w:rFonts w:ascii="Calibri"/>
                <w:w w:val="80"/>
                <w:sz w:val="23"/>
              </w:rPr>
              <w:t>$ 3,157,714,931.76</w:t>
            </w:r>
          </w:p>
        </w:tc>
      </w:tr>
      <w:tr>
        <w:trPr>
          <w:trHeight w:val="262" w:hRule="exact"/>
        </w:trPr>
        <w:tc>
          <w:tcPr>
            <w:tcW w:w="1134" w:type="dxa"/>
            <w:tcBorders>
              <w:top w:val="single" w:sz="12" w:space="0" w:color="000000"/>
              <w:left w:val="single" w:sz="5" w:space="0" w:color="000000"/>
              <w:bottom w:val="single" w:sz="12" w:space="0" w:color="000000"/>
              <w:right w:val="single" w:sz="10" w:space="0" w:color="000000"/>
            </w:tcBorders>
          </w:tcPr>
          <w:p>
            <w:pPr>
              <w:pStyle w:val="TableParagraph"/>
              <w:spacing w:before="23"/>
              <w:ind w:left="282" w:right="16"/>
              <w:jc w:val="left"/>
              <w:rPr>
                <w:rFonts w:ascii="Calibri"/>
                <w:b/>
                <w:sz w:val="17"/>
              </w:rPr>
            </w:pPr>
            <w:r>
              <w:rPr>
                <w:rFonts w:ascii="Calibri"/>
                <w:b/>
                <w:w w:val="90"/>
                <w:sz w:val="17"/>
              </w:rPr>
              <w:t>TLATLAYA</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445" w:right="414"/>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38" w:right="7"/>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c>
          <w:tcPr>
            <w:tcW w:w="1398"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446" w:right="414"/>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507" w:right="488"/>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r>
      <w:tr>
        <w:trPr>
          <w:trHeight w:val="262" w:hRule="exact"/>
        </w:trPr>
        <w:tc>
          <w:tcPr>
            <w:tcW w:w="1134" w:type="dxa"/>
            <w:tcBorders>
              <w:top w:val="single" w:sz="12" w:space="0" w:color="000000"/>
              <w:left w:val="single" w:sz="5" w:space="0" w:color="000000"/>
              <w:bottom w:val="single" w:sz="12" w:space="0" w:color="000000"/>
              <w:right w:val="single" w:sz="10" w:space="0" w:color="000000"/>
            </w:tcBorders>
          </w:tcPr>
          <w:p>
            <w:pPr>
              <w:pStyle w:val="TableParagraph"/>
              <w:spacing w:before="23"/>
              <w:ind w:left="331" w:right="16"/>
              <w:jc w:val="left"/>
              <w:rPr>
                <w:rFonts w:ascii="Calibri"/>
                <w:b/>
                <w:sz w:val="17"/>
              </w:rPr>
            </w:pPr>
            <w:r>
              <w:rPr>
                <w:rFonts w:ascii="Calibri"/>
                <w:b/>
                <w:w w:val="90"/>
                <w:sz w:val="17"/>
              </w:rPr>
              <w:t>TOLUCA</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5"/>
              <w:rPr>
                <w:rFonts w:ascii="Calibri"/>
                <w:sz w:val="23"/>
              </w:rPr>
            </w:pPr>
            <w:r>
              <w:rPr>
                <w:rFonts w:ascii="Calibri"/>
                <w:w w:val="80"/>
                <w:sz w:val="23"/>
              </w:rPr>
              <w:t>$ 4,153,532,839.03</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97"/>
              <w:jc w:val="left"/>
              <w:rPr>
                <w:rFonts w:ascii="Calibri"/>
                <w:sz w:val="23"/>
              </w:rPr>
            </w:pPr>
            <w:r>
              <w:rPr>
                <w:rFonts w:ascii="Calibri"/>
                <w:w w:val="85"/>
                <w:sz w:val="23"/>
              </w:rPr>
              <w:t>$ </w:t>
            </w:r>
            <w:r>
              <w:rPr>
                <w:rFonts w:ascii="Calibri"/>
                <w:spacing w:val="-6"/>
                <w:w w:val="85"/>
                <w:sz w:val="23"/>
              </w:rPr>
              <w:t>86,789,615.88</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5"/>
              <w:rPr>
                <w:rFonts w:ascii="Calibri"/>
                <w:sz w:val="23"/>
              </w:rPr>
            </w:pPr>
            <w:r>
              <w:rPr>
                <w:rFonts w:ascii="Calibri"/>
                <w:w w:val="80"/>
                <w:sz w:val="23"/>
              </w:rPr>
              <w:t>$ 4,050,111,939.58</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5" w:right="7"/>
              <w:rPr>
                <w:rFonts w:ascii="Calibri"/>
                <w:sz w:val="23"/>
              </w:rPr>
            </w:pPr>
            <w:r>
              <w:rPr>
                <w:rFonts w:ascii="Calibri"/>
                <w:w w:val="80"/>
                <w:sz w:val="23"/>
              </w:rPr>
              <w:t>$ 190,210,515.33</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5"/>
              <w:rPr>
                <w:rFonts w:ascii="Calibri"/>
                <w:sz w:val="23"/>
              </w:rPr>
            </w:pPr>
            <w:r>
              <w:rPr>
                <w:rFonts w:ascii="Calibri"/>
                <w:w w:val="80"/>
                <w:sz w:val="23"/>
              </w:rPr>
              <w:t>$ 4,959,161,174.00</w:t>
            </w:r>
          </w:p>
        </w:tc>
        <w:tc>
          <w:tcPr>
            <w:tcW w:w="1398" w:type="dxa"/>
            <w:tcBorders>
              <w:top w:val="single" w:sz="12" w:space="0" w:color="000000"/>
              <w:left w:val="single" w:sz="10" w:space="0" w:color="000000"/>
              <w:bottom w:val="single" w:sz="12" w:space="0" w:color="000000"/>
              <w:right w:val="single" w:sz="10" w:space="0" w:color="000000"/>
            </w:tcBorders>
          </w:tcPr>
          <w:p>
            <w:pPr>
              <w:pStyle w:val="TableParagraph"/>
              <w:tabs>
                <w:tab w:pos="1066" w:val="left" w:leader="none"/>
              </w:tabs>
              <w:spacing w:line="262" w:lineRule="exact"/>
              <w:ind w:left="98"/>
              <w:jc w:val="left"/>
              <w:rPr>
                <w:rFonts w:ascii="Calibri"/>
                <w:sz w:val="23"/>
              </w:rPr>
            </w:pPr>
            <w:r>
              <w:rPr>
                <w:rFonts w:ascii="Calibri"/>
                <w:w w:val="90"/>
                <w:sz w:val="23"/>
              </w:rPr>
              <w:t>$</w:t>
              <w:tab/>
              <w:t>-</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85"/>
              <w:jc w:val="left"/>
              <w:rPr>
                <w:rFonts w:ascii="Calibri"/>
                <w:sz w:val="23"/>
              </w:rPr>
            </w:pPr>
            <w:r>
              <w:rPr>
                <w:rFonts w:ascii="Calibri"/>
                <w:w w:val="80"/>
                <w:sz w:val="23"/>
              </w:rPr>
              <w:t>$ </w:t>
            </w:r>
            <w:r>
              <w:rPr>
                <w:rFonts w:ascii="Calibri"/>
                <w:spacing w:val="-5"/>
                <w:w w:val="80"/>
                <w:sz w:val="23"/>
              </w:rPr>
              <w:t>1,838,133,322.37</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5"/>
              <w:rPr>
                <w:rFonts w:ascii="Calibri"/>
                <w:sz w:val="23"/>
              </w:rPr>
            </w:pPr>
            <w:r>
              <w:rPr>
                <w:rFonts w:ascii="Calibri"/>
                <w:w w:val="80"/>
                <w:sz w:val="23"/>
              </w:rPr>
              <w:t>$ 3,121,027,851.63</w:t>
            </w:r>
          </w:p>
        </w:tc>
      </w:tr>
      <w:tr>
        <w:trPr>
          <w:trHeight w:val="262" w:hRule="exact"/>
        </w:trPr>
        <w:tc>
          <w:tcPr>
            <w:tcW w:w="1134" w:type="dxa"/>
            <w:tcBorders>
              <w:top w:val="single" w:sz="12" w:space="0" w:color="000000"/>
              <w:left w:val="single" w:sz="5" w:space="0" w:color="000000"/>
              <w:bottom w:val="single" w:sz="12" w:space="0" w:color="000000"/>
              <w:right w:val="single" w:sz="10" w:space="0" w:color="000000"/>
            </w:tcBorders>
          </w:tcPr>
          <w:p>
            <w:pPr>
              <w:pStyle w:val="TableParagraph"/>
              <w:spacing w:before="23"/>
              <w:ind w:left="233" w:right="16"/>
              <w:jc w:val="left"/>
              <w:rPr>
                <w:rFonts w:ascii="Calibri"/>
                <w:b/>
                <w:sz w:val="17"/>
              </w:rPr>
            </w:pPr>
            <w:r>
              <w:rPr>
                <w:rFonts w:ascii="Calibri"/>
                <w:b/>
                <w:w w:val="90"/>
                <w:sz w:val="17"/>
              </w:rPr>
              <w:t>TONANITLA</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445" w:right="414"/>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38" w:right="7"/>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c>
          <w:tcPr>
            <w:tcW w:w="1398"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446" w:right="414"/>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507" w:right="488"/>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r>
      <w:tr>
        <w:trPr>
          <w:trHeight w:val="262" w:hRule="exact"/>
        </w:trPr>
        <w:tc>
          <w:tcPr>
            <w:tcW w:w="1134" w:type="dxa"/>
            <w:tcBorders>
              <w:top w:val="single" w:sz="12" w:space="0" w:color="000000"/>
              <w:left w:val="single" w:sz="5" w:space="0" w:color="000000"/>
              <w:bottom w:val="single" w:sz="12" w:space="0" w:color="000000"/>
              <w:right w:val="single" w:sz="10" w:space="0" w:color="000000"/>
            </w:tcBorders>
          </w:tcPr>
          <w:p>
            <w:pPr>
              <w:pStyle w:val="TableParagraph"/>
              <w:spacing w:before="23"/>
              <w:ind w:left="269" w:right="16"/>
              <w:jc w:val="left"/>
              <w:rPr>
                <w:rFonts w:ascii="Calibri"/>
                <w:b/>
                <w:sz w:val="17"/>
              </w:rPr>
            </w:pPr>
            <w:r>
              <w:rPr>
                <w:rFonts w:ascii="Calibri"/>
                <w:b/>
                <w:w w:val="90"/>
                <w:sz w:val="17"/>
              </w:rPr>
              <w:t>TONATICO</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445" w:right="414"/>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38" w:right="7"/>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c>
          <w:tcPr>
            <w:tcW w:w="1398"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446" w:right="414"/>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507" w:right="488"/>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r>
      <w:tr>
        <w:trPr>
          <w:trHeight w:val="262" w:hRule="exact"/>
        </w:trPr>
        <w:tc>
          <w:tcPr>
            <w:tcW w:w="1134" w:type="dxa"/>
            <w:tcBorders>
              <w:top w:val="single" w:sz="12" w:space="0" w:color="000000"/>
              <w:left w:val="single" w:sz="5" w:space="0" w:color="000000"/>
              <w:bottom w:val="single" w:sz="12" w:space="0" w:color="000000"/>
              <w:right w:val="single" w:sz="10" w:space="0" w:color="000000"/>
            </w:tcBorders>
          </w:tcPr>
          <w:p>
            <w:pPr>
              <w:pStyle w:val="TableParagraph"/>
              <w:spacing w:before="23"/>
              <w:ind w:left="306" w:right="16"/>
              <w:jc w:val="left"/>
              <w:rPr>
                <w:rFonts w:ascii="Calibri"/>
                <w:b/>
                <w:sz w:val="17"/>
              </w:rPr>
            </w:pPr>
            <w:r>
              <w:rPr>
                <w:rFonts w:ascii="Calibri"/>
                <w:b/>
                <w:w w:val="90"/>
                <w:sz w:val="17"/>
              </w:rPr>
              <w:t>TULTEPEC</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445" w:right="414"/>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38" w:right="7"/>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c>
          <w:tcPr>
            <w:tcW w:w="1398"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446" w:right="414"/>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507" w:right="488"/>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r>
      <w:tr>
        <w:trPr>
          <w:trHeight w:val="262" w:hRule="exact"/>
        </w:trPr>
        <w:tc>
          <w:tcPr>
            <w:tcW w:w="1134" w:type="dxa"/>
            <w:tcBorders>
              <w:top w:val="single" w:sz="12" w:space="0" w:color="000000"/>
              <w:left w:val="single" w:sz="5" w:space="0" w:color="000000"/>
              <w:bottom w:val="single" w:sz="12" w:space="0" w:color="000000"/>
              <w:right w:val="single" w:sz="10" w:space="0" w:color="000000"/>
            </w:tcBorders>
          </w:tcPr>
          <w:p>
            <w:pPr>
              <w:pStyle w:val="TableParagraph"/>
              <w:spacing w:before="23"/>
              <w:ind w:left="257" w:right="16"/>
              <w:jc w:val="left"/>
              <w:rPr>
                <w:rFonts w:ascii="Calibri"/>
                <w:b/>
                <w:sz w:val="17"/>
              </w:rPr>
            </w:pPr>
            <w:r>
              <w:rPr>
                <w:rFonts w:ascii="Calibri"/>
                <w:b/>
                <w:w w:val="90"/>
                <w:sz w:val="17"/>
              </w:rPr>
              <w:t>TULTITLAN</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5"/>
              <w:rPr>
                <w:rFonts w:ascii="Calibri"/>
                <w:sz w:val="23"/>
              </w:rPr>
            </w:pPr>
            <w:r>
              <w:rPr>
                <w:rFonts w:ascii="Calibri"/>
                <w:w w:val="80"/>
                <w:sz w:val="23"/>
              </w:rPr>
              <w:t>$ 2,098,261,343.16</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tabs>
                <w:tab w:pos="1066" w:val="left" w:leader="none"/>
              </w:tabs>
              <w:spacing w:line="262" w:lineRule="exact"/>
              <w:ind w:left="97"/>
              <w:jc w:val="left"/>
              <w:rPr>
                <w:rFonts w:ascii="Calibri"/>
                <w:sz w:val="23"/>
              </w:rPr>
            </w:pPr>
            <w:r>
              <w:rPr>
                <w:rFonts w:ascii="Calibri"/>
                <w:w w:val="90"/>
                <w:sz w:val="23"/>
              </w:rPr>
              <w:t>$</w:t>
              <w:tab/>
              <w:t>-</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5"/>
              <w:rPr>
                <w:rFonts w:ascii="Calibri"/>
                <w:sz w:val="23"/>
              </w:rPr>
            </w:pPr>
            <w:r>
              <w:rPr>
                <w:rFonts w:ascii="Calibri"/>
                <w:w w:val="80"/>
                <w:sz w:val="23"/>
              </w:rPr>
              <w:t>$ 1,430,296,227.99</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5" w:right="7"/>
              <w:rPr>
                <w:rFonts w:ascii="Calibri"/>
                <w:sz w:val="23"/>
              </w:rPr>
            </w:pPr>
            <w:r>
              <w:rPr>
                <w:rFonts w:ascii="Calibri"/>
                <w:w w:val="80"/>
                <w:sz w:val="23"/>
              </w:rPr>
              <w:t>$ 667,965,115.17</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5"/>
              <w:rPr>
                <w:rFonts w:ascii="Calibri"/>
                <w:sz w:val="23"/>
              </w:rPr>
            </w:pPr>
            <w:r>
              <w:rPr>
                <w:rFonts w:ascii="Calibri"/>
                <w:w w:val="80"/>
                <w:sz w:val="23"/>
              </w:rPr>
              <w:t>$ 1,845,742,224.02</w:t>
            </w:r>
          </w:p>
        </w:tc>
        <w:tc>
          <w:tcPr>
            <w:tcW w:w="1398" w:type="dxa"/>
            <w:tcBorders>
              <w:top w:val="single" w:sz="12" w:space="0" w:color="000000"/>
              <w:left w:val="single" w:sz="10" w:space="0" w:color="000000"/>
              <w:bottom w:val="single" w:sz="12" w:space="0" w:color="000000"/>
              <w:right w:val="single" w:sz="10" w:space="0" w:color="000000"/>
            </w:tcBorders>
          </w:tcPr>
          <w:p>
            <w:pPr>
              <w:pStyle w:val="TableParagraph"/>
              <w:tabs>
                <w:tab w:pos="1066" w:val="left" w:leader="none"/>
              </w:tabs>
              <w:spacing w:line="262" w:lineRule="exact"/>
              <w:ind w:left="98"/>
              <w:jc w:val="left"/>
              <w:rPr>
                <w:rFonts w:ascii="Calibri"/>
                <w:sz w:val="23"/>
              </w:rPr>
            </w:pPr>
            <w:r>
              <w:rPr>
                <w:rFonts w:ascii="Calibri"/>
                <w:w w:val="90"/>
                <w:sz w:val="23"/>
              </w:rPr>
              <w:t>$</w:t>
              <w:tab/>
              <w:t>-</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97"/>
              <w:jc w:val="left"/>
              <w:rPr>
                <w:rFonts w:ascii="Calibri"/>
                <w:sz w:val="23"/>
              </w:rPr>
            </w:pPr>
            <w:r>
              <w:rPr>
                <w:rFonts w:ascii="Calibri"/>
                <w:w w:val="85"/>
                <w:sz w:val="23"/>
              </w:rPr>
              <w:t>$ 419,388,073.26</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5"/>
              <w:rPr>
                <w:rFonts w:ascii="Calibri"/>
                <w:sz w:val="23"/>
              </w:rPr>
            </w:pPr>
            <w:r>
              <w:rPr>
                <w:rFonts w:ascii="Calibri"/>
                <w:w w:val="80"/>
                <w:sz w:val="23"/>
              </w:rPr>
              <w:t>$ 1,426,354,150.76</w:t>
            </w:r>
          </w:p>
        </w:tc>
      </w:tr>
      <w:tr>
        <w:trPr>
          <w:trHeight w:val="262" w:hRule="exact"/>
        </w:trPr>
        <w:tc>
          <w:tcPr>
            <w:tcW w:w="1134" w:type="dxa"/>
            <w:tcBorders>
              <w:top w:val="single" w:sz="12" w:space="0" w:color="000000"/>
              <w:left w:val="single" w:sz="5" w:space="0" w:color="000000"/>
              <w:bottom w:val="single" w:sz="12" w:space="0" w:color="000000"/>
              <w:right w:val="single" w:sz="10" w:space="0" w:color="000000"/>
            </w:tcBorders>
          </w:tcPr>
          <w:p>
            <w:pPr>
              <w:pStyle w:val="TableParagraph"/>
              <w:spacing w:before="23"/>
              <w:ind w:left="85" w:right="16"/>
              <w:jc w:val="left"/>
              <w:rPr>
                <w:rFonts w:ascii="Calibri"/>
                <w:b/>
                <w:sz w:val="17"/>
              </w:rPr>
            </w:pPr>
            <w:r>
              <w:rPr>
                <w:rFonts w:ascii="Calibri"/>
                <w:b/>
                <w:w w:val="80"/>
                <w:sz w:val="17"/>
              </w:rPr>
              <w:t>VALLE DE BRAVO</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5"/>
              <w:rPr>
                <w:rFonts w:ascii="Calibri"/>
                <w:sz w:val="23"/>
              </w:rPr>
            </w:pPr>
            <w:r>
              <w:rPr>
                <w:rFonts w:ascii="Calibri"/>
                <w:w w:val="85"/>
                <w:sz w:val="23"/>
              </w:rPr>
              <w:t>$535,246,747.68</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445" w:right="414"/>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36" w:right="5"/>
              <w:rPr>
                <w:rFonts w:ascii="Calibri"/>
                <w:sz w:val="23"/>
              </w:rPr>
            </w:pPr>
            <w:r>
              <w:rPr>
                <w:rFonts w:ascii="Calibri"/>
                <w:w w:val="85"/>
                <w:sz w:val="23"/>
              </w:rPr>
              <w:t>$47,757,012.81</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38" w:right="7"/>
              <w:rPr>
                <w:rFonts w:ascii="Calibri"/>
                <w:sz w:val="23"/>
              </w:rPr>
            </w:pPr>
            <w:r>
              <w:rPr>
                <w:rFonts w:ascii="Calibri"/>
                <w:w w:val="80"/>
                <w:sz w:val="23"/>
              </w:rPr>
              <w:t>$487,489,734.87</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35" w:right="5"/>
              <w:rPr>
                <w:rFonts w:ascii="Calibri"/>
                <w:sz w:val="23"/>
              </w:rPr>
            </w:pPr>
            <w:r>
              <w:rPr>
                <w:rFonts w:ascii="Calibri"/>
                <w:w w:val="85"/>
                <w:sz w:val="23"/>
              </w:rPr>
              <w:t>$80,270,096.74</w:t>
            </w:r>
          </w:p>
        </w:tc>
        <w:tc>
          <w:tcPr>
            <w:tcW w:w="1398"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98"/>
              <w:jc w:val="left"/>
              <w:rPr>
                <w:rFonts w:ascii="Calibri"/>
                <w:sz w:val="23"/>
              </w:rPr>
            </w:pPr>
            <w:r>
              <w:rPr>
                <w:rFonts w:ascii="Calibri"/>
                <w:w w:val="85"/>
                <w:sz w:val="23"/>
              </w:rPr>
              <w:t>$ </w:t>
            </w:r>
            <w:r>
              <w:rPr>
                <w:rFonts w:ascii="Calibri"/>
                <w:spacing w:val="-6"/>
                <w:w w:val="85"/>
                <w:sz w:val="23"/>
              </w:rPr>
              <w:t>31,976,910.74</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20"/>
              <w:jc w:val="left"/>
              <w:rPr>
                <w:rFonts w:ascii="Calibri"/>
                <w:sz w:val="23"/>
              </w:rPr>
            </w:pPr>
            <w:r>
              <w:rPr>
                <w:rFonts w:ascii="Calibri"/>
                <w:w w:val="85"/>
                <w:sz w:val="23"/>
              </w:rPr>
              <w:t>$39,010,182.69</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36" w:right="5"/>
              <w:rPr>
                <w:rFonts w:ascii="Calibri"/>
                <w:sz w:val="23"/>
              </w:rPr>
            </w:pPr>
            <w:r>
              <w:rPr>
                <w:rFonts w:ascii="Calibri"/>
                <w:w w:val="85"/>
                <w:sz w:val="23"/>
              </w:rPr>
              <w:t>$73,236,824.79</w:t>
            </w:r>
          </w:p>
        </w:tc>
      </w:tr>
      <w:tr>
        <w:trPr>
          <w:trHeight w:val="478" w:hRule="exact"/>
        </w:trPr>
        <w:tc>
          <w:tcPr>
            <w:tcW w:w="1134" w:type="dxa"/>
            <w:tcBorders>
              <w:top w:val="single" w:sz="12" w:space="0" w:color="000000"/>
              <w:left w:val="single" w:sz="5" w:space="0" w:color="000000"/>
              <w:bottom w:val="single" w:sz="12" w:space="0" w:color="000000"/>
              <w:right w:val="single" w:sz="10" w:space="0" w:color="000000"/>
            </w:tcBorders>
          </w:tcPr>
          <w:p>
            <w:pPr>
              <w:pStyle w:val="TableParagraph"/>
              <w:spacing w:line="266" w:lineRule="auto" w:before="7"/>
              <w:ind w:left="171" w:right="40" w:hanging="135"/>
              <w:jc w:val="left"/>
              <w:rPr>
                <w:rFonts w:ascii="Calibri"/>
                <w:b/>
                <w:sz w:val="17"/>
              </w:rPr>
            </w:pPr>
            <w:r>
              <w:rPr>
                <w:rFonts w:ascii="Calibri"/>
                <w:b/>
                <w:w w:val="80"/>
                <w:sz w:val="17"/>
              </w:rPr>
              <w:t>VALLE DE CHALCO </w:t>
            </w:r>
            <w:r>
              <w:rPr>
                <w:rFonts w:ascii="Calibri"/>
                <w:b/>
                <w:w w:val="85"/>
                <w:sz w:val="17"/>
              </w:rPr>
              <w:t>SOLIDARIDAD</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before="89"/>
              <w:ind w:left="35" w:right="5"/>
              <w:rPr>
                <w:rFonts w:ascii="Calibri"/>
                <w:sz w:val="23"/>
              </w:rPr>
            </w:pPr>
            <w:r>
              <w:rPr>
                <w:rFonts w:ascii="Calibri"/>
                <w:w w:val="85"/>
                <w:sz w:val="23"/>
              </w:rPr>
              <w:t>$ 952,155,887.00</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before="89"/>
              <w:ind w:left="85"/>
              <w:jc w:val="left"/>
              <w:rPr>
                <w:rFonts w:ascii="Calibri"/>
                <w:sz w:val="23"/>
              </w:rPr>
            </w:pPr>
            <w:r>
              <w:rPr>
                <w:rFonts w:ascii="Calibri"/>
                <w:w w:val="80"/>
                <w:sz w:val="23"/>
              </w:rPr>
              <w:t>$ </w:t>
            </w:r>
            <w:r>
              <w:rPr>
                <w:rFonts w:ascii="Calibri"/>
                <w:spacing w:val="-6"/>
                <w:w w:val="80"/>
                <w:sz w:val="23"/>
              </w:rPr>
              <w:t>241,326,443.39</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before="89"/>
              <w:ind w:left="35" w:right="5"/>
              <w:rPr>
                <w:rFonts w:ascii="Calibri"/>
                <w:sz w:val="23"/>
              </w:rPr>
            </w:pPr>
            <w:r>
              <w:rPr>
                <w:rFonts w:ascii="Calibri"/>
                <w:w w:val="85"/>
                <w:sz w:val="23"/>
              </w:rPr>
              <w:t>$ 917,040,306.05</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before="89"/>
              <w:ind w:left="25" w:right="7"/>
              <w:rPr>
                <w:rFonts w:ascii="Calibri"/>
                <w:sz w:val="23"/>
              </w:rPr>
            </w:pPr>
            <w:r>
              <w:rPr>
                <w:rFonts w:ascii="Calibri"/>
                <w:w w:val="80"/>
                <w:sz w:val="23"/>
              </w:rPr>
              <w:t>$ 206,210,862.44</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before="89"/>
              <w:ind w:left="23" w:right="5"/>
              <w:rPr>
                <w:rFonts w:ascii="Calibri"/>
                <w:sz w:val="23"/>
              </w:rPr>
            </w:pPr>
            <w:r>
              <w:rPr>
                <w:rFonts w:ascii="Calibri"/>
                <w:w w:val="80"/>
                <w:sz w:val="23"/>
              </w:rPr>
              <w:t>$ 1,032,956,224.00</w:t>
            </w:r>
          </w:p>
        </w:tc>
        <w:tc>
          <w:tcPr>
            <w:tcW w:w="1398" w:type="dxa"/>
            <w:tcBorders>
              <w:top w:val="single" w:sz="12" w:space="0" w:color="000000"/>
              <w:left w:val="single" w:sz="10" w:space="0" w:color="000000"/>
              <w:bottom w:val="single" w:sz="12" w:space="0" w:color="000000"/>
              <w:right w:val="single" w:sz="10" w:space="0" w:color="000000"/>
            </w:tcBorders>
          </w:tcPr>
          <w:p>
            <w:pPr>
              <w:pStyle w:val="TableParagraph"/>
              <w:tabs>
                <w:tab w:pos="1066" w:val="left" w:leader="none"/>
              </w:tabs>
              <w:spacing w:before="89"/>
              <w:ind w:left="98"/>
              <w:jc w:val="left"/>
              <w:rPr>
                <w:rFonts w:ascii="Calibri"/>
                <w:sz w:val="23"/>
              </w:rPr>
            </w:pPr>
            <w:r>
              <w:rPr>
                <w:rFonts w:ascii="Calibri"/>
                <w:w w:val="90"/>
                <w:sz w:val="23"/>
              </w:rPr>
              <w:t>$</w:t>
              <w:tab/>
              <w:t>-</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tabs>
                <w:tab w:pos="1200" w:val="left" w:leader="none"/>
              </w:tabs>
              <w:spacing w:before="89"/>
              <w:ind w:left="85"/>
              <w:jc w:val="left"/>
              <w:rPr>
                <w:rFonts w:ascii="Calibri"/>
                <w:sz w:val="23"/>
              </w:rPr>
            </w:pPr>
            <w:r>
              <w:rPr>
                <w:rFonts w:ascii="Calibri"/>
                <w:w w:val="90"/>
                <w:sz w:val="23"/>
              </w:rPr>
              <w:t>$</w:t>
              <w:tab/>
              <w:t>-</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before="89"/>
              <w:ind w:left="23" w:right="5"/>
              <w:rPr>
                <w:rFonts w:ascii="Calibri"/>
                <w:sz w:val="23"/>
              </w:rPr>
            </w:pPr>
            <w:r>
              <w:rPr>
                <w:rFonts w:ascii="Calibri"/>
                <w:w w:val="80"/>
                <w:sz w:val="23"/>
              </w:rPr>
              <w:t>$ 1,032,956,224.00</w:t>
            </w:r>
          </w:p>
        </w:tc>
      </w:tr>
      <w:tr>
        <w:trPr>
          <w:trHeight w:val="262" w:hRule="exact"/>
        </w:trPr>
        <w:tc>
          <w:tcPr>
            <w:tcW w:w="1134" w:type="dxa"/>
            <w:tcBorders>
              <w:top w:val="single" w:sz="12" w:space="0" w:color="000000"/>
              <w:left w:val="single" w:sz="5" w:space="0" w:color="000000"/>
              <w:bottom w:val="single" w:sz="12" w:space="0" w:color="000000"/>
              <w:right w:val="single" w:sz="10" w:space="0" w:color="000000"/>
            </w:tcBorders>
          </w:tcPr>
          <w:p>
            <w:pPr>
              <w:pStyle w:val="TableParagraph"/>
              <w:spacing w:before="23"/>
              <w:ind w:right="33"/>
              <w:jc w:val="right"/>
              <w:rPr>
                <w:rFonts w:ascii="Calibri"/>
                <w:b/>
                <w:sz w:val="17"/>
              </w:rPr>
            </w:pPr>
            <w:r>
              <w:rPr>
                <w:rFonts w:ascii="Calibri"/>
                <w:b/>
                <w:w w:val="80"/>
                <w:sz w:val="17"/>
              </w:rPr>
              <w:t>VILLA DE ALLENDE</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5"/>
              <w:rPr>
                <w:rFonts w:ascii="Calibri"/>
                <w:sz w:val="23"/>
              </w:rPr>
            </w:pPr>
            <w:r>
              <w:rPr>
                <w:rFonts w:ascii="Calibri"/>
                <w:w w:val="90"/>
                <w:sz w:val="23"/>
              </w:rPr>
              <w:t>$1,245,000.00</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445" w:right="414"/>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37" w:right="7"/>
              <w:rPr>
                <w:rFonts w:ascii="Calibri"/>
                <w:sz w:val="23"/>
              </w:rPr>
            </w:pPr>
            <w:r>
              <w:rPr>
                <w:rFonts w:ascii="Calibri"/>
                <w:w w:val="85"/>
                <w:sz w:val="23"/>
              </w:rPr>
              <w:t>$1,245,000.00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$1,247,000.00</w:t>
            </w:r>
          </w:p>
        </w:tc>
        <w:tc>
          <w:tcPr>
            <w:tcW w:w="1398"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446" w:right="414"/>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507" w:right="488"/>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$1,247,000.00</w:t>
            </w:r>
          </w:p>
        </w:tc>
      </w:tr>
      <w:tr>
        <w:trPr>
          <w:trHeight w:val="262" w:hRule="exact"/>
        </w:trPr>
        <w:tc>
          <w:tcPr>
            <w:tcW w:w="1134" w:type="dxa"/>
            <w:tcBorders>
              <w:top w:val="single" w:sz="12" w:space="0" w:color="000000"/>
              <w:left w:val="single" w:sz="5" w:space="0" w:color="000000"/>
              <w:bottom w:val="single" w:sz="12" w:space="0" w:color="000000"/>
              <w:right w:val="single" w:sz="10" w:space="0" w:color="000000"/>
            </w:tcBorders>
          </w:tcPr>
          <w:p>
            <w:pPr>
              <w:pStyle w:val="TableParagraph"/>
              <w:spacing w:before="23"/>
              <w:ind w:right="22"/>
              <w:jc w:val="right"/>
              <w:rPr>
                <w:rFonts w:ascii="Calibri"/>
                <w:b/>
                <w:sz w:val="17"/>
              </w:rPr>
            </w:pPr>
            <w:r>
              <w:rPr>
                <w:rFonts w:ascii="Calibri"/>
                <w:b/>
                <w:w w:val="80"/>
                <w:sz w:val="17"/>
              </w:rPr>
              <w:t>VILLA DEL CARBON</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445" w:right="414"/>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38" w:right="7"/>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c>
          <w:tcPr>
            <w:tcW w:w="1398"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446" w:right="414"/>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507" w:right="488"/>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r>
      <w:tr>
        <w:trPr>
          <w:trHeight w:val="262" w:hRule="exact"/>
        </w:trPr>
        <w:tc>
          <w:tcPr>
            <w:tcW w:w="1134" w:type="dxa"/>
            <w:tcBorders>
              <w:top w:val="single" w:sz="12" w:space="0" w:color="000000"/>
              <w:left w:val="single" w:sz="5" w:space="0" w:color="000000"/>
              <w:bottom w:val="single" w:sz="13" w:space="0" w:color="000000"/>
              <w:right w:val="single" w:sz="10" w:space="0" w:color="000000"/>
            </w:tcBorders>
          </w:tcPr>
          <w:p>
            <w:pPr>
              <w:pStyle w:val="TableParagraph"/>
              <w:spacing w:before="23"/>
              <w:ind w:right="55"/>
              <w:jc w:val="right"/>
              <w:rPr>
                <w:rFonts w:ascii="Calibri"/>
                <w:b/>
                <w:sz w:val="17"/>
              </w:rPr>
            </w:pPr>
            <w:r>
              <w:rPr>
                <w:rFonts w:ascii="Calibri"/>
                <w:b/>
                <w:w w:val="80"/>
                <w:sz w:val="17"/>
              </w:rPr>
              <w:t>VILLA GUERRERO</w:t>
            </w:r>
          </w:p>
        </w:tc>
        <w:tc>
          <w:tcPr>
            <w:tcW w:w="1532" w:type="dxa"/>
            <w:tcBorders>
              <w:top w:val="single" w:sz="12" w:space="0" w:color="000000"/>
              <w:left w:val="single" w:sz="10" w:space="0" w:color="000000"/>
              <w:bottom w:val="single" w:sz="13" w:space="0" w:color="000000"/>
              <w:right w:val="single" w:sz="10" w:space="0" w:color="000000"/>
            </w:tcBorders>
          </w:tcPr>
          <w:p>
            <w:pPr>
              <w:pStyle w:val="TableParagraph"/>
              <w:spacing w:line="262" w:lineRule="exact"/>
              <w:ind w:left="23" w:right="5"/>
              <w:rPr>
                <w:rFonts w:ascii="Calibri"/>
                <w:sz w:val="23"/>
              </w:rPr>
            </w:pPr>
            <w:r>
              <w:rPr>
                <w:rFonts w:ascii="Calibri"/>
                <w:w w:val="85"/>
                <w:sz w:val="23"/>
              </w:rPr>
              <w:t>$190,226,711.00</w:t>
            </w:r>
          </w:p>
        </w:tc>
        <w:tc>
          <w:tcPr>
            <w:tcW w:w="1397" w:type="dxa"/>
            <w:tcBorders>
              <w:top w:val="single" w:sz="12" w:space="0" w:color="000000"/>
              <w:left w:val="single" w:sz="10" w:space="0" w:color="000000"/>
              <w:bottom w:val="single" w:sz="13" w:space="0" w:color="000000"/>
              <w:right w:val="single" w:sz="10" w:space="0" w:color="000000"/>
            </w:tcBorders>
          </w:tcPr>
          <w:p>
            <w:pPr>
              <w:pStyle w:val="TableParagraph"/>
              <w:spacing w:line="262" w:lineRule="exact"/>
              <w:ind w:left="257"/>
              <w:jc w:val="left"/>
              <w:rPr>
                <w:rFonts w:ascii="Calibri"/>
                <w:sz w:val="23"/>
              </w:rPr>
            </w:pPr>
            <w:r>
              <w:rPr>
                <w:rFonts w:ascii="Calibri"/>
                <w:w w:val="90"/>
                <w:sz w:val="23"/>
              </w:rPr>
              <w:t>$414,137.18</w:t>
            </w:r>
          </w:p>
        </w:tc>
        <w:tc>
          <w:tcPr>
            <w:tcW w:w="1532" w:type="dxa"/>
            <w:tcBorders>
              <w:top w:val="single" w:sz="12" w:space="0" w:color="000000"/>
              <w:left w:val="single" w:sz="10" w:space="0" w:color="000000"/>
              <w:bottom w:val="single" w:sz="13" w:space="0" w:color="000000"/>
              <w:right w:val="single" w:sz="10" w:space="0" w:color="000000"/>
            </w:tcBorders>
          </w:tcPr>
          <w:p>
            <w:pPr>
              <w:pStyle w:val="TableParagraph"/>
              <w:spacing w:line="262" w:lineRule="exact"/>
              <w:ind w:left="23" w:right="4"/>
              <w:rPr>
                <w:rFonts w:ascii="Calibri"/>
                <w:sz w:val="23"/>
              </w:rPr>
            </w:pPr>
            <w:r>
              <w:rPr>
                <w:rFonts w:ascii="Calibri"/>
                <w:w w:val="85"/>
                <w:sz w:val="23"/>
              </w:rPr>
              <w:t>$179,367,892.46</w:t>
            </w:r>
          </w:p>
        </w:tc>
        <w:tc>
          <w:tcPr>
            <w:tcW w:w="1397" w:type="dxa"/>
            <w:tcBorders>
              <w:top w:val="single" w:sz="12" w:space="0" w:color="000000"/>
              <w:left w:val="single" w:sz="10" w:space="0" w:color="000000"/>
              <w:bottom w:val="single" w:sz="13" w:space="0" w:color="000000"/>
              <w:right w:val="single" w:sz="10" w:space="0" w:color="000000"/>
            </w:tcBorders>
          </w:tcPr>
          <w:p>
            <w:pPr>
              <w:pStyle w:val="TableParagraph"/>
              <w:spacing w:line="262" w:lineRule="exact"/>
              <w:ind w:left="25" w:right="7"/>
              <w:rPr>
                <w:rFonts w:ascii="Calibri"/>
                <w:sz w:val="23"/>
              </w:rPr>
            </w:pPr>
            <w:r>
              <w:rPr>
                <w:rFonts w:ascii="Calibri"/>
                <w:w w:val="85"/>
                <w:sz w:val="23"/>
              </w:rPr>
              <w:t>$10,444,681.36</w:t>
            </w:r>
          </w:p>
        </w:tc>
        <w:tc>
          <w:tcPr>
            <w:tcW w:w="1532" w:type="dxa"/>
            <w:tcBorders>
              <w:top w:val="single" w:sz="12" w:space="0" w:color="000000"/>
              <w:left w:val="single" w:sz="10" w:space="0" w:color="000000"/>
              <w:bottom w:val="single" w:sz="13" w:space="0" w:color="000000"/>
              <w:right w:val="single" w:sz="10" w:space="0" w:color="000000"/>
            </w:tcBorders>
          </w:tcPr>
          <w:p>
            <w:pPr>
              <w:pStyle w:val="TableParagraph"/>
              <w:spacing w:line="262" w:lineRule="exact"/>
              <w:ind w:left="23" w:right="5"/>
              <w:rPr>
                <w:rFonts w:ascii="Calibri"/>
                <w:sz w:val="23"/>
              </w:rPr>
            </w:pPr>
            <w:r>
              <w:rPr>
                <w:rFonts w:ascii="Calibri"/>
                <w:w w:val="85"/>
                <w:sz w:val="23"/>
              </w:rPr>
              <w:t>$203,027,425.00</w:t>
            </w:r>
          </w:p>
        </w:tc>
        <w:tc>
          <w:tcPr>
            <w:tcW w:w="1398" w:type="dxa"/>
            <w:tcBorders>
              <w:top w:val="single" w:sz="12" w:space="0" w:color="000000"/>
              <w:left w:val="single" w:sz="10" w:space="0" w:color="000000"/>
              <w:bottom w:val="single" w:sz="13" w:space="0" w:color="000000"/>
              <w:right w:val="single" w:sz="10" w:space="0" w:color="000000"/>
            </w:tcBorders>
          </w:tcPr>
          <w:p>
            <w:pPr>
              <w:pStyle w:val="TableParagraph"/>
              <w:spacing w:line="262" w:lineRule="exact"/>
              <w:ind w:left="446" w:right="414"/>
              <w:rPr>
                <w:rFonts w:ascii="Calibri"/>
                <w:sz w:val="23"/>
              </w:rPr>
            </w:pPr>
            <w:r>
              <w:rPr>
                <w:rFonts w:ascii="Calibri"/>
                <w:w w:val="90"/>
                <w:sz w:val="23"/>
              </w:rPr>
              <w:t>$0.00</w:t>
            </w:r>
          </w:p>
        </w:tc>
        <w:tc>
          <w:tcPr>
            <w:tcW w:w="1532" w:type="dxa"/>
            <w:tcBorders>
              <w:top w:val="single" w:sz="12" w:space="0" w:color="000000"/>
              <w:left w:val="single" w:sz="10" w:space="0" w:color="000000"/>
              <w:bottom w:val="single" w:sz="13" w:space="0" w:color="000000"/>
              <w:right w:val="single" w:sz="10" w:space="0" w:color="000000"/>
            </w:tcBorders>
          </w:tcPr>
          <w:p>
            <w:pPr>
              <w:pStyle w:val="TableParagraph"/>
              <w:spacing w:line="262" w:lineRule="exact"/>
              <w:ind w:left="171" w:right="-20"/>
              <w:jc w:val="left"/>
              <w:rPr>
                <w:rFonts w:ascii="Calibri"/>
                <w:sz w:val="23"/>
              </w:rPr>
            </w:pPr>
            <w:r>
              <w:rPr>
                <w:rFonts w:ascii="Calibri"/>
                <w:w w:val="85"/>
                <w:sz w:val="23"/>
              </w:rPr>
              <w:t>$117,595,284.51</w:t>
            </w:r>
          </w:p>
        </w:tc>
        <w:tc>
          <w:tcPr>
            <w:tcW w:w="1532" w:type="dxa"/>
            <w:tcBorders>
              <w:top w:val="single" w:sz="12" w:space="0" w:color="000000"/>
              <w:left w:val="single" w:sz="10" w:space="0" w:color="000000"/>
              <w:bottom w:val="single" w:sz="13" w:space="0" w:color="000000"/>
              <w:right w:val="single" w:sz="10" w:space="0" w:color="000000"/>
            </w:tcBorders>
          </w:tcPr>
          <w:p>
            <w:pPr>
              <w:pStyle w:val="TableParagraph"/>
              <w:spacing w:line="262" w:lineRule="exact"/>
              <w:ind w:left="36" w:right="5"/>
              <w:rPr>
                <w:rFonts w:ascii="Calibri"/>
                <w:sz w:val="23"/>
              </w:rPr>
            </w:pPr>
            <w:r>
              <w:rPr>
                <w:rFonts w:ascii="Calibri"/>
                <w:w w:val="85"/>
                <w:sz w:val="23"/>
              </w:rPr>
              <w:t>$85,432,140.49</w:t>
            </w:r>
          </w:p>
        </w:tc>
      </w:tr>
      <w:tr>
        <w:trPr>
          <w:trHeight w:val="262" w:hRule="exact"/>
        </w:trPr>
        <w:tc>
          <w:tcPr>
            <w:tcW w:w="1134" w:type="dxa"/>
            <w:tcBorders>
              <w:top w:val="single" w:sz="13" w:space="0" w:color="000000"/>
              <w:left w:val="single" w:sz="5" w:space="0" w:color="000000"/>
              <w:bottom w:val="single" w:sz="13" w:space="0" w:color="000000"/>
              <w:right w:val="single" w:sz="10" w:space="0" w:color="000000"/>
            </w:tcBorders>
          </w:tcPr>
          <w:p>
            <w:pPr>
              <w:pStyle w:val="TableParagraph"/>
              <w:spacing w:before="22"/>
              <w:ind w:left="110" w:right="16"/>
              <w:jc w:val="left"/>
              <w:rPr>
                <w:rFonts w:ascii="Calibri"/>
                <w:b/>
                <w:sz w:val="17"/>
              </w:rPr>
            </w:pPr>
            <w:r>
              <w:rPr>
                <w:rFonts w:ascii="Calibri"/>
                <w:b/>
                <w:w w:val="80"/>
                <w:sz w:val="17"/>
              </w:rPr>
              <w:t>VILLA VICTORIA</w:t>
            </w:r>
          </w:p>
        </w:tc>
        <w:tc>
          <w:tcPr>
            <w:tcW w:w="1532" w:type="dxa"/>
            <w:tcBorders>
              <w:top w:val="single" w:sz="13" w:space="0" w:color="000000"/>
              <w:left w:val="single" w:sz="10" w:space="0" w:color="000000"/>
              <w:bottom w:val="single" w:sz="13" w:space="0" w:color="000000"/>
              <w:right w:val="single" w:sz="10" w:space="0" w:color="000000"/>
            </w:tcBorders>
          </w:tcPr>
          <w:p>
            <w:pPr>
              <w:pStyle w:val="TableParagraph"/>
              <w:spacing w:line="262" w:lineRule="exact"/>
              <w:ind w:left="23" w:right="5"/>
              <w:rPr>
                <w:rFonts w:ascii="Calibri"/>
                <w:sz w:val="23"/>
              </w:rPr>
            </w:pPr>
            <w:r>
              <w:rPr>
                <w:rFonts w:ascii="Calibri"/>
                <w:w w:val="85"/>
                <w:sz w:val="23"/>
              </w:rPr>
              <w:t>$271,969,210.34</w:t>
            </w:r>
          </w:p>
        </w:tc>
        <w:tc>
          <w:tcPr>
            <w:tcW w:w="1397" w:type="dxa"/>
            <w:tcBorders>
              <w:top w:val="single" w:sz="13" w:space="0" w:color="000000"/>
              <w:left w:val="single" w:sz="10" w:space="0" w:color="000000"/>
              <w:bottom w:val="single" w:sz="13" w:space="0" w:color="000000"/>
              <w:right w:val="single" w:sz="10" w:space="0" w:color="000000"/>
            </w:tcBorders>
          </w:tcPr>
          <w:p>
            <w:pPr>
              <w:pStyle w:val="TableParagraph"/>
              <w:spacing w:line="262" w:lineRule="exact"/>
              <w:ind w:left="445" w:right="414"/>
              <w:rPr>
                <w:rFonts w:ascii="Calibri"/>
                <w:sz w:val="23"/>
              </w:rPr>
            </w:pPr>
            <w:r>
              <w:rPr>
                <w:rFonts w:ascii="Calibri"/>
                <w:w w:val="90"/>
                <w:sz w:val="23"/>
              </w:rPr>
              <w:t>$0.00</w:t>
            </w:r>
          </w:p>
        </w:tc>
        <w:tc>
          <w:tcPr>
            <w:tcW w:w="1532" w:type="dxa"/>
            <w:tcBorders>
              <w:top w:val="single" w:sz="13" w:space="0" w:color="000000"/>
              <w:left w:val="single" w:sz="10" w:space="0" w:color="000000"/>
              <w:bottom w:val="single" w:sz="13"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c>
          <w:tcPr>
            <w:tcW w:w="1397" w:type="dxa"/>
            <w:tcBorders>
              <w:top w:val="single" w:sz="13" w:space="0" w:color="000000"/>
              <w:left w:val="single" w:sz="10" w:space="0" w:color="000000"/>
              <w:bottom w:val="single" w:sz="13" w:space="0" w:color="000000"/>
              <w:right w:val="single" w:sz="10" w:space="0" w:color="000000"/>
            </w:tcBorders>
          </w:tcPr>
          <w:p>
            <w:pPr>
              <w:pStyle w:val="TableParagraph"/>
              <w:spacing w:line="262" w:lineRule="exact"/>
              <w:ind w:left="38" w:right="7"/>
              <w:rPr>
                <w:rFonts w:ascii="Calibri"/>
                <w:sz w:val="23"/>
              </w:rPr>
            </w:pPr>
            <w:r>
              <w:rPr>
                <w:rFonts w:ascii="Calibri"/>
                <w:w w:val="80"/>
                <w:sz w:val="23"/>
              </w:rPr>
              <w:t>$271,969,210.34</w:t>
            </w:r>
          </w:p>
        </w:tc>
        <w:tc>
          <w:tcPr>
            <w:tcW w:w="1532" w:type="dxa"/>
            <w:tcBorders>
              <w:top w:val="single" w:sz="13" w:space="0" w:color="000000"/>
              <w:left w:val="single" w:sz="10" w:space="0" w:color="000000"/>
              <w:bottom w:val="single" w:sz="13" w:space="0" w:color="000000"/>
              <w:right w:val="single" w:sz="10" w:space="0" w:color="000000"/>
            </w:tcBorders>
          </w:tcPr>
          <w:p>
            <w:pPr>
              <w:pStyle w:val="TableParagraph"/>
              <w:spacing w:line="262" w:lineRule="exact"/>
              <w:ind w:left="23" w:right="5"/>
              <w:rPr>
                <w:rFonts w:ascii="Calibri"/>
                <w:sz w:val="23"/>
              </w:rPr>
            </w:pPr>
            <w:r>
              <w:rPr>
                <w:rFonts w:ascii="Calibri"/>
                <w:w w:val="85"/>
                <w:sz w:val="23"/>
              </w:rPr>
              <w:t>$298,491,878.85</w:t>
            </w:r>
          </w:p>
        </w:tc>
        <w:tc>
          <w:tcPr>
            <w:tcW w:w="1398" w:type="dxa"/>
            <w:tcBorders>
              <w:top w:val="single" w:sz="13" w:space="0" w:color="000000"/>
              <w:left w:val="single" w:sz="10" w:space="0" w:color="000000"/>
              <w:bottom w:val="single" w:sz="13" w:space="0" w:color="000000"/>
              <w:right w:val="single" w:sz="10" w:space="0" w:color="000000"/>
            </w:tcBorders>
          </w:tcPr>
          <w:p>
            <w:pPr>
              <w:pStyle w:val="TableParagraph"/>
              <w:spacing w:line="262" w:lineRule="exact"/>
              <w:ind w:left="446" w:right="414"/>
              <w:rPr>
                <w:rFonts w:ascii="Calibri"/>
                <w:sz w:val="23"/>
              </w:rPr>
            </w:pPr>
            <w:r>
              <w:rPr>
                <w:rFonts w:ascii="Calibri"/>
                <w:w w:val="90"/>
                <w:sz w:val="23"/>
              </w:rPr>
              <w:t>$0.00</w:t>
            </w:r>
          </w:p>
        </w:tc>
        <w:tc>
          <w:tcPr>
            <w:tcW w:w="1532" w:type="dxa"/>
            <w:tcBorders>
              <w:top w:val="single" w:sz="13" w:space="0" w:color="000000"/>
              <w:left w:val="single" w:sz="10" w:space="0" w:color="000000"/>
              <w:bottom w:val="single" w:sz="13" w:space="0" w:color="000000"/>
              <w:right w:val="single" w:sz="10" w:space="0" w:color="000000"/>
            </w:tcBorders>
          </w:tcPr>
          <w:p>
            <w:pPr>
              <w:pStyle w:val="TableParagraph"/>
              <w:spacing w:line="262" w:lineRule="exact"/>
              <w:ind w:left="507" w:right="488"/>
              <w:rPr>
                <w:rFonts w:ascii="Calibri"/>
                <w:sz w:val="23"/>
              </w:rPr>
            </w:pPr>
            <w:r>
              <w:rPr>
                <w:rFonts w:ascii="Calibri"/>
                <w:w w:val="90"/>
                <w:sz w:val="23"/>
              </w:rPr>
              <w:t>$0.00</w:t>
            </w:r>
          </w:p>
        </w:tc>
        <w:tc>
          <w:tcPr>
            <w:tcW w:w="1532" w:type="dxa"/>
            <w:tcBorders>
              <w:top w:val="single" w:sz="13" w:space="0" w:color="000000"/>
              <w:left w:val="single" w:sz="10" w:space="0" w:color="000000"/>
              <w:bottom w:val="single" w:sz="13" w:space="0" w:color="000000"/>
              <w:right w:val="single" w:sz="10" w:space="0" w:color="000000"/>
            </w:tcBorders>
          </w:tcPr>
          <w:p>
            <w:pPr>
              <w:pStyle w:val="TableParagraph"/>
              <w:spacing w:line="262" w:lineRule="exact"/>
              <w:ind w:left="23" w:right="5"/>
              <w:rPr>
                <w:rFonts w:ascii="Calibri"/>
                <w:sz w:val="23"/>
              </w:rPr>
            </w:pPr>
            <w:r>
              <w:rPr>
                <w:rFonts w:ascii="Calibri"/>
                <w:w w:val="85"/>
                <w:sz w:val="23"/>
              </w:rPr>
              <w:t>$298,491,878.85</w:t>
            </w:r>
          </w:p>
        </w:tc>
      </w:tr>
      <w:tr>
        <w:trPr>
          <w:trHeight w:val="262" w:hRule="exact"/>
        </w:trPr>
        <w:tc>
          <w:tcPr>
            <w:tcW w:w="1134" w:type="dxa"/>
            <w:tcBorders>
              <w:top w:val="single" w:sz="13" w:space="0" w:color="000000"/>
              <w:left w:val="single" w:sz="5" w:space="0" w:color="000000"/>
              <w:bottom w:val="single" w:sz="12" w:space="0" w:color="000000"/>
              <w:right w:val="single" w:sz="10" w:space="0" w:color="000000"/>
            </w:tcBorders>
          </w:tcPr>
          <w:p>
            <w:pPr>
              <w:pStyle w:val="TableParagraph"/>
              <w:spacing w:before="22"/>
              <w:ind w:left="220" w:right="16"/>
              <w:jc w:val="left"/>
              <w:rPr>
                <w:rFonts w:ascii="Calibri"/>
                <w:b/>
                <w:sz w:val="17"/>
              </w:rPr>
            </w:pPr>
            <w:r>
              <w:rPr>
                <w:rFonts w:ascii="Calibri"/>
                <w:b/>
                <w:w w:val="90"/>
                <w:sz w:val="17"/>
              </w:rPr>
              <w:t>XALATLACO</w:t>
            </w:r>
          </w:p>
        </w:tc>
        <w:tc>
          <w:tcPr>
            <w:tcW w:w="1532" w:type="dxa"/>
            <w:tcBorders>
              <w:top w:val="single" w:sz="13" w:space="0" w:color="000000"/>
              <w:left w:val="single" w:sz="10" w:space="0" w:color="000000"/>
              <w:bottom w:val="single" w:sz="12" w:space="0" w:color="000000"/>
              <w:right w:val="single" w:sz="10" w:space="0" w:color="000000"/>
            </w:tcBorders>
          </w:tcPr>
          <w:p>
            <w:pPr>
              <w:pStyle w:val="TableParagraph"/>
              <w:spacing w:line="262" w:lineRule="exact"/>
              <w:ind w:left="35" w:right="5"/>
              <w:rPr>
                <w:rFonts w:ascii="Calibri"/>
                <w:sz w:val="23"/>
              </w:rPr>
            </w:pPr>
            <w:r>
              <w:rPr>
                <w:rFonts w:ascii="Calibri"/>
                <w:w w:val="85"/>
                <w:sz w:val="23"/>
              </w:rPr>
              <w:t>$85,959,350.00</w:t>
            </w:r>
          </w:p>
        </w:tc>
        <w:tc>
          <w:tcPr>
            <w:tcW w:w="1397" w:type="dxa"/>
            <w:tcBorders>
              <w:top w:val="single" w:sz="13" w:space="0" w:color="000000"/>
              <w:left w:val="single" w:sz="10" w:space="0" w:color="000000"/>
              <w:bottom w:val="single" w:sz="12" w:space="0" w:color="000000"/>
              <w:right w:val="single" w:sz="10" w:space="0" w:color="000000"/>
            </w:tcBorders>
          </w:tcPr>
          <w:p>
            <w:pPr>
              <w:pStyle w:val="TableParagraph"/>
              <w:spacing w:line="262" w:lineRule="exact"/>
              <w:ind w:left="445" w:right="414"/>
              <w:rPr>
                <w:rFonts w:ascii="Calibri"/>
                <w:sz w:val="23"/>
              </w:rPr>
            </w:pPr>
            <w:r>
              <w:rPr>
                <w:rFonts w:ascii="Calibri"/>
                <w:w w:val="90"/>
                <w:sz w:val="23"/>
              </w:rPr>
              <w:t>$0.00</w:t>
            </w:r>
          </w:p>
        </w:tc>
        <w:tc>
          <w:tcPr>
            <w:tcW w:w="1532" w:type="dxa"/>
            <w:tcBorders>
              <w:top w:val="single" w:sz="13" w:space="0" w:color="000000"/>
              <w:left w:val="single" w:sz="10" w:space="0" w:color="000000"/>
              <w:bottom w:val="single" w:sz="12" w:space="0" w:color="000000"/>
              <w:right w:val="single" w:sz="10" w:space="0" w:color="000000"/>
            </w:tcBorders>
          </w:tcPr>
          <w:p>
            <w:pPr>
              <w:pStyle w:val="TableParagraph"/>
              <w:spacing w:line="262" w:lineRule="exact"/>
              <w:ind w:left="36" w:right="5"/>
              <w:rPr>
                <w:rFonts w:ascii="Calibri"/>
                <w:sz w:val="23"/>
              </w:rPr>
            </w:pPr>
            <w:r>
              <w:rPr>
                <w:rFonts w:ascii="Calibri"/>
                <w:w w:val="85"/>
                <w:sz w:val="23"/>
              </w:rPr>
              <w:t>$26,423,841.18</w:t>
            </w:r>
          </w:p>
        </w:tc>
        <w:tc>
          <w:tcPr>
            <w:tcW w:w="1397" w:type="dxa"/>
            <w:tcBorders>
              <w:top w:val="single" w:sz="13" w:space="0" w:color="000000"/>
              <w:left w:val="single" w:sz="10" w:space="0" w:color="000000"/>
              <w:bottom w:val="single" w:sz="12" w:space="0" w:color="000000"/>
              <w:right w:val="single" w:sz="10" w:space="0" w:color="000000"/>
            </w:tcBorders>
          </w:tcPr>
          <w:p>
            <w:pPr>
              <w:pStyle w:val="TableParagraph"/>
              <w:spacing w:line="262" w:lineRule="exact"/>
              <w:ind w:left="25" w:right="7"/>
              <w:rPr>
                <w:rFonts w:ascii="Calibri"/>
                <w:sz w:val="23"/>
              </w:rPr>
            </w:pPr>
            <w:r>
              <w:rPr>
                <w:rFonts w:ascii="Calibri"/>
                <w:w w:val="85"/>
                <w:sz w:val="23"/>
              </w:rPr>
              <w:t>$59,535,508.82</w:t>
            </w:r>
          </w:p>
        </w:tc>
        <w:tc>
          <w:tcPr>
            <w:tcW w:w="1532" w:type="dxa"/>
            <w:tcBorders>
              <w:top w:val="single" w:sz="13"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c>
          <w:tcPr>
            <w:tcW w:w="1398" w:type="dxa"/>
            <w:tcBorders>
              <w:top w:val="single" w:sz="13" w:space="0" w:color="000000"/>
              <w:left w:val="single" w:sz="10" w:space="0" w:color="000000"/>
              <w:bottom w:val="single" w:sz="12" w:space="0" w:color="000000"/>
              <w:right w:val="single" w:sz="10" w:space="0" w:color="000000"/>
            </w:tcBorders>
          </w:tcPr>
          <w:p>
            <w:pPr>
              <w:pStyle w:val="TableParagraph"/>
              <w:spacing w:line="262" w:lineRule="exact"/>
              <w:ind w:left="446" w:right="414"/>
              <w:rPr>
                <w:rFonts w:ascii="Calibri"/>
                <w:sz w:val="23"/>
              </w:rPr>
            </w:pPr>
            <w:r>
              <w:rPr>
                <w:rFonts w:ascii="Calibri"/>
                <w:w w:val="90"/>
                <w:sz w:val="23"/>
              </w:rPr>
              <w:t>$0.00</w:t>
            </w:r>
          </w:p>
        </w:tc>
        <w:tc>
          <w:tcPr>
            <w:tcW w:w="1532" w:type="dxa"/>
            <w:tcBorders>
              <w:top w:val="single" w:sz="13" w:space="0" w:color="000000"/>
              <w:left w:val="single" w:sz="10" w:space="0" w:color="000000"/>
              <w:bottom w:val="single" w:sz="12" w:space="0" w:color="000000"/>
              <w:right w:val="single" w:sz="10" w:space="0" w:color="000000"/>
            </w:tcBorders>
          </w:tcPr>
          <w:p>
            <w:pPr>
              <w:pStyle w:val="TableParagraph"/>
              <w:spacing w:line="262" w:lineRule="exact"/>
              <w:ind w:left="507" w:right="488"/>
              <w:rPr>
                <w:rFonts w:ascii="Calibri"/>
                <w:sz w:val="23"/>
              </w:rPr>
            </w:pPr>
            <w:r>
              <w:rPr>
                <w:rFonts w:ascii="Calibri"/>
                <w:w w:val="90"/>
                <w:sz w:val="23"/>
              </w:rPr>
              <w:t>$0.00</w:t>
            </w:r>
          </w:p>
        </w:tc>
        <w:tc>
          <w:tcPr>
            <w:tcW w:w="1532" w:type="dxa"/>
            <w:tcBorders>
              <w:top w:val="single" w:sz="13"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r>
      <w:tr>
        <w:trPr>
          <w:trHeight w:val="262" w:hRule="exact"/>
        </w:trPr>
        <w:tc>
          <w:tcPr>
            <w:tcW w:w="1134" w:type="dxa"/>
            <w:tcBorders>
              <w:top w:val="single" w:sz="12" w:space="0" w:color="000000"/>
              <w:left w:val="single" w:sz="5" w:space="0" w:color="000000"/>
              <w:bottom w:val="single" w:sz="12" w:space="0" w:color="000000"/>
              <w:right w:val="single" w:sz="10" w:space="0" w:color="000000"/>
            </w:tcBorders>
          </w:tcPr>
          <w:p>
            <w:pPr>
              <w:pStyle w:val="TableParagraph"/>
              <w:spacing w:before="22"/>
              <w:ind w:left="171"/>
              <w:jc w:val="left"/>
              <w:rPr>
                <w:rFonts w:ascii="Calibri"/>
                <w:b/>
                <w:sz w:val="17"/>
              </w:rPr>
            </w:pPr>
            <w:r>
              <w:rPr>
                <w:rFonts w:ascii="Calibri"/>
                <w:b/>
                <w:w w:val="90"/>
                <w:sz w:val="17"/>
              </w:rPr>
              <w:t>XONACATLAN</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35" w:right="5"/>
              <w:rPr>
                <w:rFonts w:ascii="Calibri"/>
                <w:sz w:val="23"/>
              </w:rPr>
            </w:pPr>
            <w:r>
              <w:rPr>
                <w:rFonts w:ascii="Calibri"/>
                <w:w w:val="85"/>
                <w:sz w:val="23"/>
              </w:rPr>
              <w:t>$20,814,964.80</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445" w:right="414"/>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85"/>
                <w:sz w:val="23"/>
              </w:rPr>
              <w:t>$116,096,404.00</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37" w:right="7"/>
              <w:rPr>
                <w:rFonts w:ascii="Calibri"/>
                <w:sz w:val="23"/>
              </w:rPr>
            </w:pPr>
            <w:r>
              <w:rPr>
                <w:rFonts w:ascii="Calibri"/>
                <w:w w:val="85"/>
                <w:sz w:val="23"/>
              </w:rPr>
              <w:t>$4,718,560.80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5"/>
              <w:rPr>
                <w:rFonts w:ascii="Calibri"/>
                <w:sz w:val="23"/>
              </w:rPr>
            </w:pPr>
            <w:r>
              <w:rPr>
                <w:rFonts w:ascii="Calibri"/>
                <w:w w:val="85"/>
                <w:sz w:val="23"/>
              </w:rPr>
              <w:t>$124,423,675.35</w:t>
            </w:r>
          </w:p>
        </w:tc>
        <w:tc>
          <w:tcPr>
            <w:tcW w:w="1398"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446" w:right="414"/>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20"/>
              <w:jc w:val="left"/>
              <w:rPr>
                <w:rFonts w:ascii="Calibri"/>
                <w:sz w:val="23"/>
              </w:rPr>
            </w:pPr>
            <w:r>
              <w:rPr>
                <w:rFonts w:ascii="Calibri"/>
                <w:w w:val="85"/>
                <w:sz w:val="23"/>
              </w:rPr>
              <w:t>$66,433,858.02</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36" w:right="5"/>
              <w:rPr>
                <w:rFonts w:ascii="Calibri"/>
                <w:sz w:val="23"/>
              </w:rPr>
            </w:pPr>
            <w:r>
              <w:rPr>
                <w:rFonts w:ascii="Calibri"/>
                <w:w w:val="85"/>
                <w:sz w:val="23"/>
              </w:rPr>
              <w:t>$57,989,817.33</w:t>
            </w:r>
          </w:p>
        </w:tc>
      </w:tr>
      <w:tr>
        <w:trPr>
          <w:trHeight w:val="262" w:hRule="exact"/>
        </w:trPr>
        <w:tc>
          <w:tcPr>
            <w:tcW w:w="1134" w:type="dxa"/>
            <w:tcBorders>
              <w:top w:val="single" w:sz="12" w:space="0" w:color="000000"/>
              <w:left w:val="single" w:sz="5" w:space="0" w:color="000000"/>
              <w:bottom w:val="single" w:sz="12" w:space="0" w:color="000000"/>
              <w:right w:val="single" w:sz="10" w:space="0" w:color="000000"/>
            </w:tcBorders>
          </w:tcPr>
          <w:p>
            <w:pPr>
              <w:pStyle w:val="TableParagraph"/>
              <w:spacing w:before="23"/>
              <w:ind w:left="122" w:right="16"/>
              <w:jc w:val="left"/>
              <w:rPr>
                <w:rFonts w:ascii="Calibri"/>
                <w:b/>
                <w:sz w:val="17"/>
              </w:rPr>
            </w:pPr>
            <w:r>
              <w:rPr>
                <w:rFonts w:ascii="Calibri"/>
                <w:b/>
                <w:w w:val="85"/>
                <w:sz w:val="17"/>
              </w:rPr>
              <w:t>ZACAZONAPAN</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445" w:right="414"/>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38" w:right="7"/>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c>
          <w:tcPr>
            <w:tcW w:w="1398"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446" w:right="414"/>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507" w:right="488"/>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r>
      <w:tr>
        <w:trPr>
          <w:trHeight w:val="262" w:hRule="exact"/>
        </w:trPr>
        <w:tc>
          <w:tcPr>
            <w:tcW w:w="1134" w:type="dxa"/>
            <w:tcBorders>
              <w:top w:val="single" w:sz="12" w:space="0" w:color="000000"/>
              <w:left w:val="single" w:sz="5" w:space="0" w:color="000000"/>
              <w:bottom w:val="single" w:sz="12" w:space="0" w:color="000000"/>
              <w:right w:val="single" w:sz="10" w:space="0" w:color="000000"/>
            </w:tcBorders>
          </w:tcPr>
          <w:p>
            <w:pPr>
              <w:pStyle w:val="TableParagraph"/>
              <w:spacing w:before="23"/>
              <w:ind w:left="208" w:right="16"/>
              <w:jc w:val="left"/>
              <w:rPr>
                <w:rFonts w:ascii="Calibri"/>
                <w:b/>
                <w:sz w:val="17"/>
              </w:rPr>
            </w:pPr>
            <w:r>
              <w:rPr>
                <w:rFonts w:ascii="Calibri"/>
                <w:b/>
                <w:w w:val="90"/>
                <w:sz w:val="17"/>
              </w:rPr>
              <w:t>ZACUALPAN</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445" w:right="414"/>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38" w:right="7"/>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c>
          <w:tcPr>
            <w:tcW w:w="1398"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446" w:right="414"/>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507" w:right="488"/>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r>
      <w:tr>
        <w:trPr>
          <w:trHeight w:val="262" w:hRule="exact"/>
        </w:trPr>
        <w:tc>
          <w:tcPr>
            <w:tcW w:w="1134" w:type="dxa"/>
            <w:tcBorders>
              <w:top w:val="single" w:sz="12" w:space="0" w:color="000000"/>
              <w:left w:val="single" w:sz="5" w:space="0" w:color="000000"/>
              <w:bottom w:val="single" w:sz="12" w:space="0" w:color="000000"/>
              <w:right w:val="single" w:sz="10" w:space="0" w:color="000000"/>
            </w:tcBorders>
          </w:tcPr>
          <w:p>
            <w:pPr>
              <w:pStyle w:val="TableParagraph"/>
              <w:spacing w:before="23"/>
              <w:ind w:left="134" w:right="16"/>
              <w:jc w:val="left"/>
              <w:rPr>
                <w:rFonts w:ascii="Calibri"/>
                <w:b/>
                <w:sz w:val="17"/>
              </w:rPr>
            </w:pPr>
            <w:r>
              <w:rPr>
                <w:rFonts w:ascii="Calibri"/>
                <w:b/>
                <w:w w:val="85"/>
                <w:sz w:val="17"/>
              </w:rPr>
              <w:t>ZINACANTEPEC</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5"/>
              <w:rPr>
                <w:rFonts w:ascii="Calibri"/>
                <w:sz w:val="23"/>
              </w:rPr>
            </w:pPr>
            <w:r>
              <w:rPr>
                <w:rFonts w:ascii="Calibri"/>
                <w:w w:val="85"/>
                <w:sz w:val="23"/>
              </w:rPr>
              <w:t>$810,259,281.97</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196"/>
              <w:jc w:val="left"/>
              <w:rPr>
                <w:rFonts w:ascii="Calibri"/>
                <w:sz w:val="23"/>
              </w:rPr>
            </w:pPr>
            <w:r>
              <w:rPr>
                <w:rFonts w:ascii="Calibri"/>
                <w:w w:val="85"/>
                <w:sz w:val="23"/>
              </w:rPr>
              <w:t>$5,071,142.96</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85"/>
                <w:sz w:val="23"/>
              </w:rPr>
              <w:t>$667,397,917.10</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38" w:right="7"/>
              <w:rPr>
                <w:rFonts w:ascii="Calibri"/>
                <w:sz w:val="23"/>
              </w:rPr>
            </w:pPr>
            <w:r>
              <w:rPr>
                <w:rFonts w:ascii="Calibri"/>
                <w:w w:val="80"/>
                <w:sz w:val="23"/>
              </w:rPr>
              <w:t>$147,932,507.83</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5"/>
              <w:rPr>
                <w:rFonts w:ascii="Calibri"/>
                <w:sz w:val="23"/>
              </w:rPr>
            </w:pPr>
            <w:r>
              <w:rPr>
                <w:rFonts w:ascii="Calibri"/>
                <w:w w:val="85"/>
                <w:sz w:val="23"/>
              </w:rPr>
              <w:t>$681,637,037.50</w:t>
            </w:r>
          </w:p>
        </w:tc>
        <w:tc>
          <w:tcPr>
            <w:tcW w:w="1398"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86"/>
              <w:jc w:val="left"/>
              <w:rPr>
                <w:rFonts w:ascii="Calibri"/>
                <w:sz w:val="23"/>
              </w:rPr>
            </w:pPr>
            <w:r>
              <w:rPr>
                <w:rFonts w:ascii="Calibri"/>
                <w:w w:val="80"/>
                <w:sz w:val="23"/>
              </w:rPr>
              <w:t>$ </w:t>
            </w:r>
            <w:r>
              <w:rPr>
                <w:rFonts w:ascii="Calibri"/>
                <w:spacing w:val="-6"/>
                <w:w w:val="80"/>
                <w:sz w:val="23"/>
              </w:rPr>
              <w:t>681,637,037.50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171" w:right="-20"/>
              <w:jc w:val="left"/>
              <w:rPr>
                <w:rFonts w:ascii="Calibri"/>
                <w:sz w:val="23"/>
              </w:rPr>
            </w:pPr>
            <w:r>
              <w:rPr>
                <w:rFonts w:ascii="Calibri"/>
                <w:w w:val="85"/>
                <w:sz w:val="23"/>
              </w:rPr>
              <w:t>$374,294,304.00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5"/>
              <w:rPr>
                <w:rFonts w:ascii="Calibri"/>
                <w:sz w:val="23"/>
              </w:rPr>
            </w:pPr>
            <w:r>
              <w:rPr>
                <w:rFonts w:ascii="Calibri"/>
                <w:w w:val="85"/>
                <w:sz w:val="23"/>
              </w:rPr>
              <w:t>$329,864,293.13</w:t>
            </w:r>
          </w:p>
        </w:tc>
      </w:tr>
      <w:tr>
        <w:trPr>
          <w:trHeight w:val="262" w:hRule="exact"/>
        </w:trPr>
        <w:tc>
          <w:tcPr>
            <w:tcW w:w="1134" w:type="dxa"/>
            <w:tcBorders>
              <w:top w:val="single" w:sz="12" w:space="0" w:color="000000"/>
              <w:left w:val="single" w:sz="5" w:space="0" w:color="000000"/>
              <w:bottom w:val="single" w:sz="12" w:space="0" w:color="000000"/>
              <w:right w:val="single" w:sz="10" w:space="0" w:color="000000"/>
            </w:tcBorders>
          </w:tcPr>
          <w:p>
            <w:pPr>
              <w:pStyle w:val="TableParagraph"/>
              <w:spacing w:before="23"/>
              <w:ind w:left="97"/>
              <w:jc w:val="left"/>
              <w:rPr>
                <w:rFonts w:ascii="Calibri"/>
                <w:b/>
                <w:sz w:val="17"/>
              </w:rPr>
            </w:pPr>
            <w:r>
              <w:rPr>
                <w:rFonts w:ascii="Calibri"/>
                <w:b/>
                <w:w w:val="85"/>
                <w:sz w:val="17"/>
              </w:rPr>
              <w:t>ZUMPAHUACAN</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5"/>
              <w:rPr>
                <w:rFonts w:ascii="Calibri"/>
                <w:sz w:val="23"/>
              </w:rPr>
            </w:pPr>
            <w:r>
              <w:rPr>
                <w:rFonts w:ascii="Calibri"/>
                <w:w w:val="85"/>
                <w:sz w:val="23"/>
              </w:rPr>
              <w:t>$115,739,531.00</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445" w:right="414"/>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38" w:right="7"/>
              <w:rPr>
                <w:rFonts w:ascii="Calibri"/>
                <w:sz w:val="23"/>
              </w:rPr>
            </w:pPr>
            <w:r>
              <w:rPr>
                <w:rFonts w:ascii="Calibri"/>
                <w:w w:val="80"/>
                <w:sz w:val="23"/>
              </w:rPr>
              <w:t>$115,739,531.00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c>
          <w:tcPr>
            <w:tcW w:w="1398"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446" w:right="414"/>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507" w:right="488"/>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r>
      <w:tr>
        <w:trPr>
          <w:trHeight w:val="262" w:hRule="exact"/>
        </w:trPr>
        <w:tc>
          <w:tcPr>
            <w:tcW w:w="1134" w:type="dxa"/>
            <w:tcBorders>
              <w:top w:val="single" w:sz="12" w:space="0" w:color="000000"/>
              <w:left w:val="single" w:sz="5" w:space="0" w:color="000000"/>
              <w:bottom w:val="single" w:sz="12" w:space="0" w:color="000000"/>
              <w:right w:val="single" w:sz="10" w:space="0" w:color="000000"/>
            </w:tcBorders>
          </w:tcPr>
          <w:p>
            <w:pPr>
              <w:pStyle w:val="TableParagraph"/>
              <w:spacing w:before="23"/>
              <w:ind w:left="220" w:right="16"/>
              <w:jc w:val="left"/>
              <w:rPr>
                <w:rFonts w:ascii="Calibri"/>
                <w:b/>
                <w:sz w:val="17"/>
              </w:rPr>
            </w:pPr>
            <w:r>
              <w:rPr>
                <w:rFonts w:ascii="Calibri"/>
                <w:b/>
                <w:w w:val="90"/>
                <w:sz w:val="17"/>
              </w:rPr>
              <w:t>ZUMPANGO</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5"/>
              <w:rPr>
                <w:rFonts w:ascii="Calibri"/>
                <w:sz w:val="23"/>
              </w:rPr>
            </w:pPr>
            <w:r>
              <w:rPr>
                <w:rFonts w:ascii="Calibri"/>
                <w:w w:val="85"/>
                <w:sz w:val="23"/>
              </w:rPr>
              <w:t>$648,548,422.18</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445" w:right="414"/>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4"/>
              <w:rPr>
                <w:rFonts w:ascii="Calibri"/>
                <w:sz w:val="23"/>
              </w:rPr>
            </w:pPr>
            <w:r>
              <w:rPr>
                <w:rFonts w:ascii="Calibri"/>
                <w:w w:val="90"/>
                <w:sz w:val="23"/>
              </w:rPr>
              <w:t>$0.00</w:t>
            </w:r>
          </w:p>
        </w:tc>
        <w:tc>
          <w:tcPr>
            <w:tcW w:w="1397"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38" w:right="7"/>
              <w:rPr>
                <w:rFonts w:ascii="Calibri"/>
                <w:sz w:val="23"/>
              </w:rPr>
            </w:pPr>
            <w:r>
              <w:rPr>
                <w:rFonts w:ascii="Calibri"/>
                <w:w w:val="80"/>
                <w:sz w:val="23"/>
              </w:rPr>
              <w:t>$648,548,422.18</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5"/>
              <w:rPr>
                <w:rFonts w:ascii="Calibri"/>
                <w:sz w:val="23"/>
              </w:rPr>
            </w:pPr>
            <w:r>
              <w:rPr>
                <w:rFonts w:ascii="Calibri"/>
                <w:w w:val="85"/>
                <w:sz w:val="23"/>
              </w:rPr>
              <w:t>$526,617,672.27</w:t>
            </w:r>
          </w:p>
        </w:tc>
        <w:tc>
          <w:tcPr>
            <w:tcW w:w="1398"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446" w:right="414"/>
              <w:rPr>
                <w:rFonts w:ascii="Calibri"/>
                <w:sz w:val="23"/>
              </w:rPr>
            </w:pPr>
            <w:r>
              <w:rPr>
                <w:rFonts w:ascii="Calibri"/>
                <w:w w:val="90"/>
                <w:sz w:val="23"/>
              </w:rPr>
              <w:t>$0.00</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171" w:right="-20"/>
              <w:jc w:val="left"/>
              <w:rPr>
                <w:rFonts w:ascii="Calibri"/>
                <w:sz w:val="23"/>
              </w:rPr>
            </w:pPr>
            <w:r>
              <w:rPr>
                <w:rFonts w:ascii="Calibri"/>
                <w:w w:val="85"/>
                <w:sz w:val="23"/>
              </w:rPr>
              <w:t>$199,604,062.73</w:t>
            </w:r>
          </w:p>
        </w:tc>
        <w:tc>
          <w:tcPr>
            <w:tcW w:w="1532" w:type="dxa"/>
            <w:tcBorders>
              <w:top w:val="single" w:sz="12" w:space="0" w:color="000000"/>
              <w:left w:val="single" w:sz="10" w:space="0" w:color="000000"/>
              <w:bottom w:val="single" w:sz="12" w:space="0" w:color="000000"/>
              <w:right w:val="single" w:sz="10" w:space="0" w:color="000000"/>
            </w:tcBorders>
          </w:tcPr>
          <w:p>
            <w:pPr>
              <w:pStyle w:val="TableParagraph"/>
              <w:spacing w:line="262" w:lineRule="exact"/>
              <w:ind w:left="23" w:right="5"/>
              <w:rPr>
                <w:rFonts w:ascii="Calibri"/>
                <w:sz w:val="23"/>
              </w:rPr>
            </w:pPr>
            <w:r>
              <w:rPr>
                <w:rFonts w:ascii="Calibri"/>
                <w:w w:val="85"/>
                <w:sz w:val="23"/>
              </w:rPr>
              <w:t>$327,013,609.54</w:t>
            </w:r>
          </w:p>
        </w:tc>
      </w:tr>
      <w:tr>
        <w:trPr>
          <w:trHeight w:val="316" w:hRule="exact"/>
        </w:trPr>
        <w:tc>
          <w:tcPr>
            <w:tcW w:w="12986" w:type="dxa"/>
            <w:gridSpan w:val="9"/>
            <w:tcBorders>
              <w:top w:val="single" w:sz="12" w:space="0" w:color="000000"/>
              <w:left w:val="single" w:sz="5" w:space="0" w:color="D3D3D3"/>
              <w:bottom w:val="single" w:sz="6" w:space="0" w:color="D3D3D3"/>
              <w:right w:val="single" w:sz="5" w:space="0" w:color="D3D3D3"/>
            </w:tcBorders>
          </w:tcPr>
          <w:p>
            <w:pPr>
              <w:pStyle w:val="TableParagraph"/>
              <w:spacing w:before="12"/>
              <w:ind w:left="24"/>
              <w:jc w:val="left"/>
              <w:rPr>
                <w:rFonts w:ascii="Calibri" w:hAnsi="Calibri"/>
                <w:sz w:val="23"/>
              </w:rPr>
            </w:pPr>
            <w:r>
              <w:rPr>
                <w:rFonts w:ascii="Calibri" w:hAnsi="Calibri"/>
                <w:w w:val="80"/>
                <w:sz w:val="23"/>
              </w:rPr>
              <w:t>Fuente: Elaboración propia con datos del INFOEM</w:t>
            </w:r>
          </w:p>
        </w:tc>
      </w:tr>
    </w:tbl>
    <w:p>
      <w:pPr>
        <w:spacing w:after="0"/>
        <w:jc w:val="left"/>
        <w:rPr>
          <w:rFonts w:ascii="Calibri" w:hAnsi="Calibri"/>
          <w:sz w:val="23"/>
        </w:rPr>
        <w:sectPr>
          <w:pgSz w:w="15840" w:h="12240" w:orient="landscape"/>
          <w:pgMar w:header="0" w:footer="975" w:top="1140" w:bottom="1160" w:left="1300" w:right="1300"/>
        </w:sectPr>
      </w:pPr>
    </w:p>
    <w:tbl>
      <w:tblPr>
        <w:tblW w:w="0" w:type="auto"/>
        <w:jc w:val="left"/>
        <w:tblInd w:w="6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54"/>
        <w:gridCol w:w="456"/>
        <w:gridCol w:w="458"/>
        <w:gridCol w:w="475"/>
        <w:gridCol w:w="473"/>
        <w:gridCol w:w="475"/>
        <w:gridCol w:w="476"/>
      </w:tblGrid>
      <w:tr>
        <w:trPr>
          <w:trHeight w:val="436" w:hRule="exact"/>
        </w:trPr>
        <w:tc>
          <w:tcPr>
            <w:tcW w:w="7367" w:type="dxa"/>
            <w:gridSpan w:val="7"/>
            <w:shd w:val="clear" w:color="auto" w:fill="C5DFB3"/>
          </w:tcPr>
          <w:p>
            <w:pPr>
              <w:pStyle w:val="TableParagraph"/>
              <w:spacing w:before="48"/>
              <w:ind w:left="314"/>
              <w:jc w:val="left"/>
              <w:rPr>
                <w:b/>
                <w:sz w:val="18"/>
              </w:rPr>
            </w:pPr>
            <w:r>
              <w:rPr>
                <w:b/>
                <w:sz w:val="18"/>
              </w:rPr>
              <w:t>Anexo 25. Municipios que publican apartado de programas sociales 2010-2015</w:t>
            </w:r>
          </w:p>
        </w:tc>
      </w:tr>
      <w:tr>
        <w:trPr>
          <w:trHeight w:val="888" w:hRule="exact"/>
        </w:trPr>
        <w:tc>
          <w:tcPr>
            <w:tcW w:w="4554" w:type="dxa"/>
            <w:shd w:val="clear" w:color="auto" w:fill="C5DFB3"/>
          </w:tcPr>
          <w:p>
            <w:pPr>
              <w:pStyle w:val="TableParagraph"/>
              <w:spacing w:before="10"/>
              <w:jc w:val="left"/>
              <w:rPr>
                <w:rFonts w:ascii="Times New Roman"/>
                <w:sz w:val="23"/>
              </w:rPr>
            </w:pPr>
          </w:p>
          <w:p>
            <w:pPr>
              <w:pStyle w:val="TableParagraph"/>
              <w:ind w:left="1832" w:right="1832"/>
              <w:rPr>
                <w:b/>
                <w:sz w:val="18"/>
              </w:rPr>
            </w:pPr>
            <w:r>
              <w:rPr>
                <w:b/>
                <w:sz w:val="18"/>
              </w:rPr>
              <w:t>Municipio</w:t>
            </w:r>
          </w:p>
        </w:tc>
        <w:tc>
          <w:tcPr>
            <w:tcW w:w="456" w:type="dxa"/>
            <w:shd w:val="clear" w:color="auto" w:fill="C5DFB3"/>
            <w:textDirection w:val="btLr"/>
          </w:tcPr>
          <w:p>
            <w:pPr>
              <w:pStyle w:val="TableParagraph"/>
              <w:spacing w:before="64"/>
              <w:ind w:left="2"/>
              <w:jc w:val="left"/>
              <w:rPr>
                <w:b/>
                <w:sz w:val="18"/>
              </w:rPr>
            </w:pPr>
            <w:r>
              <w:rPr>
                <w:b/>
                <w:w w:val="99"/>
                <w:sz w:val="18"/>
              </w:rPr>
              <w:t>2010</w:t>
            </w:r>
          </w:p>
        </w:tc>
        <w:tc>
          <w:tcPr>
            <w:tcW w:w="458" w:type="dxa"/>
            <w:shd w:val="clear" w:color="auto" w:fill="C5DFB3"/>
            <w:textDirection w:val="btLr"/>
          </w:tcPr>
          <w:p>
            <w:pPr>
              <w:pStyle w:val="TableParagraph"/>
              <w:spacing w:before="64"/>
              <w:ind w:left="2"/>
              <w:jc w:val="left"/>
              <w:rPr>
                <w:b/>
                <w:sz w:val="18"/>
              </w:rPr>
            </w:pPr>
            <w:r>
              <w:rPr>
                <w:b/>
                <w:w w:val="99"/>
                <w:sz w:val="18"/>
              </w:rPr>
              <w:t>2011</w:t>
            </w:r>
          </w:p>
        </w:tc>
        <w:tc>
          <w:tcPr>
            <w:tcW w:w="475" w:type="dxa"/>
            <w:shd w:val="clear" w:color="auto" w:fill="C5DFB3"/>
            <w:textDirection w:val="btLr"/>
          </w:tcPr>
          <w:p>
            <w:pPr>
              <w:pStyle w:val="TableParagraph"/>
              <w:spacing w:before="78"/>
              <w:ind w:left="2"/>
              <w:jc w:val="left"/>
              <w:rPr>
                <w:b/>
                <w:sz w:val="18"/>
              </w:rPr>
            </w:pPr>
            <w:r>
              <w:rPr>
                <w:b/>
                <w:w w:val="99"/>
                <w:sz w:val="18"/>
              </w:rPr>
              <w:t>2012</w:t>
            </w:r>
          </w:p>
        </w:tc>
        <w:tc>
          <w:tcPr>
            <w:tcW w:w="473" w:type="dxa"/>
            <w:shd w:val="clear" w:color="auto" w:fill="C5DFB3"/>
            <w:textDirection w:val="btLr"/>
          </w:tcPr>
          <w:p>
            <w:pPr>
              <w:pStyle w:val="TableParagraph"/>
              <w:spacing w:before="78"/>
              <w:ind w:left="2"/>
              <w:jc w:val="left"/>
              <w:rPr>
                <w:b/>
                <w:sz w:val="18"/>
              </w:rPr>
            </w:pPr>
            <w:r>
              <w:rPr>
                <w:b/>
                <w:w w:val="99"/>
                <w:sz w:val="18"/>
              </w:rPr>
              <w:t>2013</w:t>
            </w:r>
          </w:p>
        </w:tc>
        <w:tc>
          <w:tcPr>
            <w:tcW w:w="475" w:type="dxa"/>
            <w:tcBorders>
              <w:right w:val="single" w:sz="4" w:space="0" w:color="000000"/>
            </w:tcBorders>
            <w:shd w:val="clear" w:color="auto" w:fill="C5DFB3"/>
            <w:textDirection w:val="btLr"/>
          </w:tcPr>
          <w:p>
            <w:pPr>
              <w:pStyle w:val="TableParagraph"/>
              <w:spacing w:before="80"/>
              <w:ind w:left="2"/>
              <w:jc w:val="left"/>
              <w:rPr>
                <w:b/>
                <w:sz w:val="18"/>
              </w:rPr>
            </w:pPr>
            <w:r>
              <w:rPr>
                <w:b/>
                <w:w w:val="99"/>
                <w:sz w:val="18"/>
              </w:rPr>
              <w:t>2014</w:t>
            </w:r>
          </w:p>
        </w:tc>
        <w:tc>
          <w:tcPr>
            <w:tcW w:w="476" w:type="dxa"/>
            <w:tcBorders>
              <w:left w:val="single" w:sz="4" w:space="0" w:color="000000"/>
            </w:tcBorders>
            <w:shd w:val="clear" w:color="auto" w:fill="C5DFB3"/>
            <w:textDirection w:val="btLr"/>
          </w:tcPr>
          <w:p>
            <w:pPr>
              <w:pStyle w:val="TableParagraph"/>
              <w:spacing w:before="81"/>
              <w:ind w:left="2"/>
              <w:jc w:val="left"/>
              <w:rPr>
                <w:b/>
                <w:sz w:val="18"/>
              </w:rPr>
            </w:pPr>
            <w:r>
              <w:rPr>
                <w:b/>
                <w:w w:val="99"/>
                <w:sz w:val="18"/>
              </w:rPr>
              <w:t>2015</w:t>
            </w:r>
          </w:p>
        </w:tc>
      </w:tr>
      <w:tr>
        <w:trPr>
          <w:trHeight w:val="322" w:hRule="exact"/>
        </w:trPr>
        <w:tc>
          <w:tcPr>
            <w:tcW w:w="4554" w:type="dxa"/>
            <w:tcBorders>
              <w:left w:val="single" w:sz="8" w:space="0" w:color="000000"/>
            </w:tcBorders>
          </w:tcPr>
          <w:p>
            <w:pPr>
              <w:pStyle w:val="TableParagraph"/>
              <w:spacing w:line="199" w:lineRule="exact"/>
              <w:ind w:left="60"/>
              <w:jc w:val="left"/>
              <w:rPr>
                <w:b/>
                <w:sz w:val="18"/>
              </w:rPr>
            </w:pPr>
            <w:r>
              <w:rPr>
                <w:b/>
                <w:color w:val="333333"/>
                <w:sz w:val="18"/>
              </w:rPr>
              <w:t>ACAMBAY</w:t>
            </w:r>
          </w:p>
        </w:tc>
        <w:tc>
          <w:tcPr>
            <w:tcW w:w="456" w:type="dxa"/>
          </w:tcPr>
          <w:p>
            <w:pPr>
              <w:pStyle w:val="TableParagraph"/>
              <w:spacing w:line="203" w:lineRule="exact"/>
              <w:ind w:left="172"/>
              <w:jc w:val="left"/>
              <w:rPr>
                <w:sz w:val="18"/>
              </w:rPr>
            </w:pPr>
            <w:r>
              <w:rPr>
                <w:w w:val="99"/>
                <w:sz w:val="18"/>
              </w:rPr>
              <w:t>0</w:t>
            </w:r>
          </w:p>
        </w:tc>
        <w:tc>
          <w:tcPr>
            <w:tcW w:w="458" w:type="dxa"/>
          </w:tcPr>
          <w:p>
            <w:pPr>
              <w:pStyle w:val="TableParagraph"/>
              <w:spacing w:line="203" w:lineRule="exact"/>
              <w:ind w:right="1"/>
              <w:rPr>
                <w:sz w:val="18"/>
              </w:rPr>
            </w:pPr>
            <w:r>
              <w:rPr>
                <w:w w:val="99"/>
                <w:sz w:val="18"/>
              </w:rPr>
              <w:t>3</w:t>
            </w:r>
          </w:p>
        </w:tc>
        <w:tc>
          <w:tcPr>
            <w:tcW w:w="475" w:type="dxa"/>
          </w:tcPr>
          <w:p>
            <w:pPr>
              <w:pStyle w:val="TableParagraph"/>
              <w:spacing w:line="203" w:lineRule="exact"/>
              <w:rPr>
                <w:sz w:val="18"/>
              </w:rPr>
            </w:pPr>
            <w:r>
              <w:rPr>
                <w:w w:val="99"/>
                <w:sz w:val="18"/>
              </w:rPr>
              <w:t>2</w:t>
            </w:r>
          </w:p>
        </w:tc>
        <w:tc>
          <w:tcPr>
            <w:tcW w:w="473" w:type="dxa"/>
          </w:tcPr>
          <w:p>
            <w:pPr>
              <w:pStyle w:val="TableParagraph"/>
              <w:spacing w:line="203" w:lineRule="exact"/>
              <w:ind w:left="1"/>
              <w:rPr>
                <w:sz w:val="18"/>
              </w:rPr>
            </w:pPr>
            <w:r>
              <w:rPr>
                <w:w w:val="99"/>
                <w:sz w:val="18"/>
              </w:rPr>
              <w:t>2</w:t>
            </w:r>
          </w:p>
        </w:tc>
        <w:tc>
          <w:tcPr>
            <w:tcW w:w="475" w:type="dxa"/>
            <w:tcBorders>
              <w:right w:val="single" w:sz="4" w:space="0" w:color="000000"/>
            </w:tcBorders>
          </w:tcPr>
          <w:p>
            <w:pPr>
              <w:pStyle w:val="TableParagraph"/>
              <w:spacing w:line="203" w:lineRule="exact"/>
              <w:ind w:left="4"/>
              <w:rPr>
                <w:sz w:val="18"/>
              </w:rPr>
            </w:pPr>
            <w:r>
              <w:rPr>
                <w:w w:val="99"/>
                <w:sz w:val="18"/>
              </w:rPr>
              <w:t>2</w:t>
            </w:r>
          </w:p>
        </w:tc>
        <w:tc>
          <w:tcPr>
            <w:tcW w:w="476" w:type="dxa"/>
            <w:tcBorders>
              <w:left w:val="single" w:sz="4" w:space="0" w:color="000000"/>
            </w:tcBorders>
          </w:tcPr>
          <w:p>
            <w:pPr>
              <w:pStyle w:val="TableParagraph"/>
              <w:spacing w:line="203" w:lineRule="exact"/>
              <w:rPr>
                <w:sz w:val="18"/>
              </w:rPr>
            </w:pPr>
            <w:r>
              <w:rPr>
                <w:w w:val="99"/>
                <w:sz w:val="18"/>
              </w:rPr>
              <w:t>0</w:t>
            </w:r>
          </w:p>
        </w:tc>
      </w:tr>
      <w:tr>
        <w:trPr>
          <w:trHeight w:val="319" w:hRule="exact"/>
        </w:trPr>
        <w:tc>
          <w:tcPr>
            <w:tcW w:w="4554" w:type="dxa"/>
            <w:tcBorders>
              <w:left w:val="single" w:sz="8" w:space="0" w:color="000000"/>
            </w:tcBorders>
          </w:tcPr>
          <w:p>
            <w:pPr>
              <w:pStyle w:val="TableParagraph"/>
              <w:spacing w:line="199" w:lineRule="exact"/>
              <w:ind w:left="60"/>
              <w:jc w:val="left"/>
              <w:rPr>
                <w:b/>
                <w:sz w:val="18"/>
              </w:rPr>
            </w:pPr>
            <w:r>
              <w:rPr>
                <w:b/>
                <w:color w:val="333333"/>
                <w:sz w:val="18"/>
              </w:rPr>
              <w:t>ACOLMAN</w:t>
            </w:r>
          </w:p>
        </w:tc>
        <w:tc>
          <w:tcPr>
            <w:tcW w:w="456" w:type="dxa"/>
          </w:tcPr>
          <w:p>
            <w:pPr>
              <w:pStyle w:val="TableParagraph"/>
              <w:spacing w:line="203" w:lineRule="exact"/>
              <w:ind w:left="172"/>
              <w:jc w:val="left"/>
              <w:rPr>
                <w:sz w:val="18"/>
              </w:rPr>
            </w:pPr>
            <w:r>
              <w:rPr>
                <w:w w:val="99"/>
                <w:sz w:val="18"/>
              </w:rPr>
              <w:t>0</w:t>
            </w:r>
          </w:p>
        </w:tc>
        <w:tc>
          <w:tcPr>
            <w:tcW w:w="458" w:type="dxa"/>
          </w:tcPr>
          <w:p>
            <w:pPr>
              <w:pStyle w:val="TableParagraph"/>
              <w:spacing w:line="203" w:lineRule="exact"/>
              <w:ind w:right="1"/>
              <w:rPr>
                <w:sz w:val="18"/>
              </w:rPr>
            </w:pPr>
            <w:r>
              <w:rPr>
                <w:w w:val="99"/>
                <w:sz w:val="18"/>
              </w:rPr>
              <w:t>0</w:t>
            </w:r>
          </w:p>
        </w:tc>
        <w:tc>
          <w:tcPr>
            <w:tcW w:w="475" w:type="dxa"/>
          </w:tcPr>
          <w:p>
            <w:pPr>
              <w:pStyle w:val="TableParagraph"/>
              <w:spacing w:line="203" w:lineRule="exact"/>
              <w:rPr>
                <w:sz w:val="18"/>
              </w:rPr>
            </w:pPr>
            <w:r>
              <w:rPr>
                <w:w w:val="99"/>
                <w:sz w:val="18"/>
              </w:rPr>
              <w:t>0</w:t>
            </w:r>
          </w:p>
        </w:tc>
        <w:tc>
          <w:tcPr>
            <w:tcW w:w="473" w:type="dxa"/>
          </w:tcPr>
          <w:p>
            <w:pPr>
              <w:pStyle w:val="TableParagraph"/>
              <w:spacing w:line="203" w:lineRule="exact"/>
              <w:ind w:left="1"/>
              <w:rPr>
                <w:sz w:val="18"/>
              </w:rPr>
            </w:pPr>
            <w:r>
              <w:rPr>
                <w:w w:val="99"/>
                <w:sz w:val="18"/>
              </w:rPr>
              <w:t>0</w:t>
            </w:r>
          </w:p>
        </w:tc>
        <w:tc>
          <w:tcPr>
            <w:tcW w:w="475" w:type="dxa"/>
            <w:tcBorders>
              <w:right w:val="single" w:sz="4" w:space="0" w:color="000000"/>
            </w:tcBorders>
          </w:tcPr>
          <w:p>
            <w:pPr>
              <w:pStyle w:val="TableParagraph"/>
              <w:spacing w:line="203" w:lineRule="exact"/>
              <w:ind w:left="4"/>
              <w:rPr>
                <w:sz w:val="18"/>
              </w:rPr>
            </w:pPr>
            <w:r>
              <w:rPr>
                <w:w w:val="99"/>
                <w:sz w:val="18"/>
              </w:rPr>
              <w:t>0</w:t>
            </w:r>
          </w:p>
        </w:tc>
        <w:tc>
          <w:tcPr>
            <w:tcW w:w="476" w:type="dxa"/>
            <w:tcBorders>
              <w:left w:val="single" w:sz="4" w:space="0" w:color="000000"/>
            </w:tcBorders>
          </w:tcPr>
          <w:p>
            <w:pPr>
              <w:pStyle w:val="TableParagraph"/>
              <w:spacing w:line="203" w:lineRule="exact"/>
              <w:rPr>
                <w:sz w:val="18"/>
              </w:rPr>
            </w:pPr>
            <w:r>
              <w:rPr>
                <w:w w:val="99"/>
                <w:sz w:val="18"/>
              </w:rPr>
              <w:t>1</w:t>
            </w:r>
          </w:p>
        </w:tc>
      </w:tr>
      <w:tr>
        <w:trPr>
          <w:trHeight w:val="322" w:hRule="exact"/>
        </w:trPr>
        <w:tc>
          <w:tcPr>
            <w:tcW w:w="4554" w:type="dxa"/>
            <w:tcBorders>
              <w:left w:val="single" w:sz="8" w:space="0" w:color="000000"/>
            </w:tcBorders>
          </w:tcPr>
          <w:p>
            <w:pPr>
              <w:pStyle w:val="TableParagraph"/>
              <w:spacing w:line="199" w:lineRule="exact"/>
              <w:ind w:left="60"/>
              <w:jc w:val="left"/>
              <w:rPr>
                <w:b/>
                <w:sz w:val="18"/>
              </w:rPr>
            </w:pPr>
            <w:r>
              <w:rPr>
                <w:b/>
                <w:color w:val="333333"/>
                <w:sz w:val="18"/>
              </w:rPr>
              <w:t>ACULCO</w:t>
            </w:r>
          </w:p>
        </w:tc>
        <w:tc>
          <w:tcPr>
            <w:tcW w:w="456" w:type="dxa"/>
          </w:tcPr>
          <w:p>
            <w:pPr>
              <w:pStyle w:val="TableParagraph"/>
              <w:spacing w:line="203" w:lineRule="exact"/>
              <w:ind w:left="172"/>
              <w:jc w:val="left"/>
              <w:rPr>
                <w:sz w:val="18"/>
              </w:rPr>
            </w:pPr>
            <w:r>
              <w:rPr>
                <w:w w:val="99"/>
                <w:sz w:val="18"/>
              </w:rPr>
              <w:t>0</w:t>
            </w:r>
          </w:p>
        </w:tc>
        <w:tc>
          <w:tcPr>
            <w:tcW w:w="458" w:type="dxa"/>
          </w:tcPr>
          <w:p>
            <w:pPr>
              <w:pStyle w:val="TableParagraph"/>
              <w:spacing w:line="203" w:lineRule="exact"/>
              <w:ind w:right="1"/>
              <w:rPr>
                <w:sz w:val="18"/>
              </w:rPr>
            </w:pPr>
            <w:r>
              <w:rPr>
                <w:w w:val="99"/>
                <w:sz w:val="18"/>
              </w:rPr>
              <w:t>0</w:t>
            </w:r>
          </w:p>
        </w:tc>
        <w:tc>
          <w:tcPr>
            <w:tcW w:w="475" w:type="dxa"/>
          </w:tcPr>
          <w:p>
            <w:pPr>
              <w:pStyle w:val="TableParagraph"/>
              <w:spacing w:line="203" w:lineRule="exact"/>
              <w:rPr>
                <w:sz w:val="18"/>
              </w:rPr>
            </w:pPr>
            <w:r>
              <w:rPr>
                <w:w w:val="99"/>
                <w:sz w:val="18"/>
              </w:rPr>
              <w:t>0</w:t>
            </w:r>
          </w:p>
        </w:tc>
        <w:tc>
          <w:tcPr>
            <w:tcW w:w="473" w:type="dxa"/>
          </w:tcPr>
          <w:p>
            <w:pPr>
              <w:pStyle w:val="TableParagraph"/>
              <w:spacing w:line="203" w:lineRule="exact"/>
              <w:ind w:left="62" w:right="60"/>
              <w:rPr>
                <w:sz w:val="18"/>
              </w:rPr>
            </w:pPr>
            <w:r>
              <w:rPr>
                <w:sz w:val="18"/>
              </w:rPr>
              <w:t>11</w:t>
            </w:r>
          </w:p>
        </w:tc>
        <w:tc>
          <w:tcPr>
            <w:tcW w:w="475" w:type="dxa"/>
            <w:tcBorders>
              <w:right w:val="single" w:sz="4" w:space="0" w:color="000000"/>
            </w:tcBorders>
          </w:tcPr>
          <w:p>
            <w:pPr>
              <w:pStyle w:val="TableParagraph"/>
              <w:spacing w:line="203" w:lineRule="exact"/>
              <w:ind w:left="62" w:right="58"/>
              <w:rPr>
                <w:sz w:val="18"/>
              </w:rPr>
            </w:pPr>
            <w:r>
              <w:rPr>
                <w:sz w:val="18"/>
              </w:rPr>
              <w:t>14</w:t>
            </w:r>
          </w:p>
        </w:tc>
        <w:tc>
          <w:tcPr>
            <w:tcW w:w="476" w:type="dxa"/>
            <w:tcBorders>
              <w:left w:val="single" w:sz="4" w:space="0" w:color="000000"/>
            </w:tcBorders>
          </w:tcPr>
          <w:p>
            <w:pPr>
              <w:pStyle w:val="TableParagraph"/>
              <w:spacing w:line="203" w:lineRule="exact"/>
              <w:ind w:left="112" w:right="112"/>
              <w:rPr>
                <w:sz w:val="18"/>
              </w:rPr>
            </w:pPr>
            <w:r>
              <w:rPr>
                <w:sz w:val="18"/>
              </w:rPr>
              <w:t>18</w:t>
            </w:r>
          </w:p>
        </w:tc>
      </w:tr>
      <w:tr>
        <w:trPr>
          <w:trHeight w:val="319" w:hRule="exact"/>
        </w:trPr>
        <w:tc>
          <w:tcPr>
            <w:tcW w:w="4554" w:type="dxa"/>
            <w:tcBorders>
              <w:left w:val="single" w:sz="8" w:space="0" w:color="000000"/>
            </w:tcBorders>
          </w:tcPr>
          <w:p>
            <w:pPr>
              <w:pStyle w:val="TableParagraph"/>
              <w:spacing w:line="199" w:lineRule="exact"/>
              <w:ind w:left="60"/>
              <w:jc w:val="left"/>
              <w:rPr>
                <w:b/>
                <w:sz w:val="18"/>
              </w:rPr>
            </w:pPr>
            <w:r>
              <w:rPr>
                <w:b/>
                <w:color w:val="333333"/>
                <w:sz w:val="18"/>
              </w:rPr>
              <w:t>ALMOLOYA DE ALQUISIRAS</w:t>
            </w:r>
          </w:p>
        </w:tc>
        <w:tc>
          <w:tcPr>
            <w:tcW w:w="456" w:type="dxa"/>
          </w:tcPr>
          <w:p>
            <w:pPr>
              <w:pStyle w:val="TableParagraph"/>
              <w:spacing w:line="203" w:lineRule="exact"/>
              <w:ind w:left="172"/>
              <w:jc w:val="left"/>
              <w:rPr>
                <w:sz w:val="18"/>
              </w:rPr>
            </w:pPr>
            <w:r>
              <w:rPr>
                <w:w w:val="99"/>
                <w:sz w:val="18"/>
              </w:rPr>
              <w:t>0</w:t>
            </w:r>
          </w:p>
        </w:tc>
        <w:tc>
          <w:tcPr>
            <w:tcW w:w="458" w:type="dxa"/>
          </w:tcPr>
          <w:p>
            <w:pPr>
              <w:pStyle w:val="TableParagraph"/>
              <w:spacing w:line="203" w:lineRule="exact"/>
              <w:ind w:right="1"/>
              <w:rPr>
                <w:sz w:val="18"/>
              </w:rPr>
            </w:pPr>
            <w:r>
              <w:rPr>
                <w:w w:val="99"/>
                <w:sz w:val="18"/>
              </w:rPr>
              <w:t>0</w:t>
            </w:r>
          </w:p>
        </w:tc>
        <w:tc>
          <w:tcPr>
            <w:tcW w:w="475" w:type="dxa"/>
          </w:tcPr>
          <w:p>
            <w:pPr>
              <w:pStyle w:val="TableParagraph"/>
              <w:spacing w:line="203" w:lineRule="exact"/>
              <w:rPr>
                <w:sz w:val="18"/>
              </w:rPr>
            </w:pPr>
            <w:r>
              <w:rPr>
                <w:w w:val="99"/>
                <w:sz w:val="18"/>
              </w:rPr>
              <w:t>0</w:t>
            </w:r>
          </w:p>
        </w:tc>
        <w:tc>
          <w:tcPr>
            <w:tcW w:w="473" w:type="dxa"/>
          </w:tcPr>
          <w:p>
            <w:pPr>
              <w:pStyle w:val="TableParagraph"/>
              <w:spacing w:line="203" w:lineRule="exact"/>
              <w:ind w:left="1"/>
              <w:rPr>
                <w:sz w:val="18"/>
              </w:rPr>
            </w:pPr>
            <w:r>
              <w:rPr>
                <w:w w:val="99"/>
                <w:sz w:val="18"/>
              </w:rPr>
              <w:t>0</w:t>
            </w:r>
          </w:p>
        </w:tc>
        <w:tc>
          <w:tcPr>
            <w:tcW w:w="475" w:type="dxa"/>
            <w:tcBorders>
              <w:right w:val="single" w:sz="4" w:space="0" w:color="000000"/>
            </w:tcBorders>
          </w:tcPr>
          <w:p>
            <w:pPr>
              <w:pStyle w:val="TableParagraph"/>
              <w:spacing w:line="203" w:lineRule="exact"/>
              <w:ind w:left="4"/>
              <w:rPr>
                <w:sz w:val="18"/>
              </w:rPr>
            </w:pPr>
            <w:r>
              <w:rPr>
                <w:w w:val="99"/>
                <w:sz w:val="18"/>
              </w:rPr>
              <w:t>0</w:t>
            </w:r>
          </w:p>
        </w:tc>
        <w:tc>
          <w:tcPr>
            <w:tcW w:w="476" w:type="dxa"/>
            <w:tcBorders>
              <w:left w:val="single" w:sz="4" w:space="0" w:color="000000"/>
            </w:tcBorders>
          </w:tcPr>
          <w:p>
            <w:pPr>
              <w:pStyle w:val="TableParagraph"/>
              <w:spacing w:line="203" w:lineRule="exact"/>
              <w:rPr>
                <w:sz w:val="18"/>
              </w:rPr>
            </w:pPr>
            <w:r>
              <w:rPr>
                <w:w w:val="99"/>
                <w:sz w:val="18"/>
              </w:rPr>
              <w:t>0</w:t>
            </w:r>
          </w:p>
        </w:tc>
      </w:tr>
      <w:tr>
        <w:trPr>
          <w:trHeight w:val="322" w:hRule="exact"/>
        </w:trPr>
        <w:tc>
          <w:tcPr>
            <w:tcW w:w="4554" w:type="dxa"/>
            <w:tcBorders>
              <w:left w:val="single" w:sz="8" w:space="0" w:color="000000"/>
            </w:tcBorders>
          </w:tcPr>
          <w:p>
            <w:pPr>
              <w:pStyle w:val="TableParagraph"/>
              <w:spacing w:line="199" w:lineRule="exact"/>
              <w:ind w:left="60"/>
              <w:jc w:val="left"/>
              <w:rPr>
                <w:b/>
                <w:sz w:val="18"/>
              </w:rPr>
            </w:pPr>
            <w:r>
              <w:rPr>
                <w:b/>
                <w:color w:val="333333"/>
                <w:sz w:val="18"/>
              </w:rPr>
              <w:t>ALMOLOYA DE JUAREZ</w:t>
            </w:r>
          </w:p>
        </w:tc>
        <w:tc>
          <w:tcPr>
            <w:tcW w:w="456" w:type="dxa"/>
          </w:tcPr>
          <w:p>
            <w:pPr>
              <w:pStyle w:val="TableParagraph"/>
              <w:spacing w:line="203" w:lineRule="exact"/>
              <w:ind w:left="172"/>
              <w:jc w:val="left"/>
              <w:rPr>
                <w:sz w:val="18"/>
              </w:rPr>
            </w:pPr>
            <w:r>
              <w:rPr>
                <w:w w:val="99"/>
                <w:sz w:val="18"/>
              </w:rPr>
              <w:t>0</w:t>
            </w:r>
          </w:p>
        </w:tc>
        <w:tc>
          <w:tcPr>
            <w:tcW w:w="458" w:type="dxa"/>
          </w:tcPr>
          <w:p>
            <w:pPr>
              <w:pStyle w:val="TableParagraph"/>
              <w:spacing w:line="203" w:lineRule="exact"/>
              <w:ind w:right="1"/>
              <w:rPr>
                <w:sz w:val="18"/>
              </w:rPr>
            </w:pPr>
            <w:r>
              <w:rPr>
                <w:w w:val="99"/>
                <w:sz w:val="18"/>
              </w:rPr>
              <w:t>0</w:t>
            </w:r>
          </w:p>
        </w:tc>
        <w:tc>
          <w:tcPr>
            <w:tcW w:w="475" w:type="dxa"/>
          </w:tcPr>
          <w:p>
            <w:pPr>
              <w:pStyle w:val="TableParagraph"/>
              <w:spacing w:line="203" w:lineRule="exact"/>
              <w:rPr>
                <w:sz w:val="18"/>
              </w:rPr>
            </w:pPr>
            <w:r>
              <w:rPr>
                <w:w w:val="99"/>
                <w:sz w:val="18"/>
              </w:rPr>
              <w:t>0</w:t>
            </w:r>
          </w:p>
        </w:tc>
        <w:tc>
          <w:tcPr>
            <w:tcW w:w="473" w:type="dxa"/>
          </w:tcPr>
          <w:p>
            <w:pPr>
              <w:pStyle w:val="TableParagraph"/>
              <w:spacing w:line="203" w:lineRule="exact"/>
              <w:ind w:left="62" w:right="60"/>
              <w:rPr>
                <w:sz w:val="18"/>
              </w:rPr>
            </w:pPr>
            <w:r>
              <w:rPr>
                <w:sz w:val="18"/>
              </w:rPr>
              <w:t>17</w:t>
            </w:r>
          </w:p>
        </w:tc>
        <w:tc>
          <w:tcPr>
            <w:tcW w:w="475" w:type="dxa"/>
            <w:tcBorders>
              <w:right w:val="single" w:sz="4" w:space="0" w:color="000000"/>
            </w:tcBorders>
          </w:tcPr>
          <w:p>
            <w:pPr>
              <w:pStyle w:val="TableParagraph"/>
              <w:spacing w:line="203" w:lineRule="exact"/>
              <w:ind w:left="4"/>
              <w:rPr>
                <w:sz w:val="18"/>
              </w:rPr>
            </w:pPr>
            <w:r>
              <w:rPr>
                <w:w w:val="99"/>
                <w:sz w:val="18"/>
              </w:rPr>
              <w:t>6</w:t>
            </w:r>
          </w:p>
        </w:tc>
        <w:tc>
          <w:tcPr>
            <w:tcW w:w="476" w:type="dxa"/>
            <w:tcBorders>
              <w:left w:val="single" w:sz="4" w:space="0" w:color="000000"/>
            </w:tcBorders>
          </w:tcPr>
          <w:p>
            <w:pPr>
              <w:pStyle w:val="TableParagraph"/>
              <w:spacing w:line="203" w:lineRule="exact"/>
              <w:rPr>
                <w:sz w:val="18"/>
              </w:rPr>
            </w:pPr>
            <w:r>
              <w:rPr>
                <w:w w:val="99"/>
                <w:sz w:val="18"/>
              </w:rPr>
              <w:t>3</w:t>
            </w:r>
          </w:p>
        </w:tc>
      </w:tr>
      <w:tr>
        <w:trPr>
          <w:trHeight w:val="319" w:hRule="exact"/>
        </w:trPr>
        <w:tc>
          <w:tcPr>
            <w:tcW w:w="4554" w:type="dxa"/>
            <w:tcBorders>
              <w:left w:val="single" w:sz="8" w:space="0" w:color="000000"/>
            </w:tcBorders>
          </w:tcPr>
          <w:p>
            <w:pPr>
              <w:pStyle w:val="TableParagraph"/>
              <w:spacing w:line="199" w:lineRule="exact"/>
              <w:ind w:left="60"/>
              <w:jc w:val="left"/>
              <w:rPr>
                <w:b/>
                <w:sz w:val="18"/>
              </w:rPr>
            </w:pPr>
            <w:r>
              <w:rPr>
                <w:b/>
                <w:color w:val="333333"/>
                <w:sz w:val="18"/>
              </w:rPr>
              <w:t>ALMOLOYA DEL RIO</w:t>
            </w:r>
          </w:p>
        </w:tc>
        <w:tc>
          <w:tcPr>
            <w:tcW w:w="456" w:type="dxa"/>
          </w:tcPr>
          <w:p>
            <w:pPr>
              <w:pStyle w:val="TableParagraph"/>
              <w:spacing w:line="203" w:lineRule="exact"/>
              <w:ind w:left="172"/>
              <w:jc w:val="left"/>
              <w:rPr>
                <w:sz w:val="18"/>
              </w:rPr>
            </w:pPr>
            <w:r>
              <w:rPr>
                <w:w w:val="99"/>
                <w:sz w:val="18"/>
              </w:rPr>
              <w:t>0</w:t>
            </w:r>
          </w:p>
        </w:tc>
        <w:tc>
          <w:tcPr>
            <w:tcW w:w="458" w:type="dxa"/>
          </w:tcPr>
          <w:p>
            <w:pPr>
              <w:pStyle w:val="TableParagraph"/>
              <w:spacing w:line="203" w:lineRule="exact"/>
              <w:ind w:right="1"/>
              <w:rPr>
                <w:sz w:val="18"/>
              </w:rPr>
            </w:pPr>
            <w:r>
              <w:rPr>
                <w:w w:val="99"/>
                <w:sz w:val="18"/>
              </w:rPr>
              <w:t>0</w:t>
            </w:r>
          </w:p>
        </w:tc>
        <w:tc>
          <w:tcPr>
            <w:tcW w:w="475" w:type="dxa"/>
          </w:tcPr>
          <w:p>
            <w:pPr>
              <w:pStyle w:val="TableParagraph"/>
              <w:spacing w:line="203" w:lineRule="exact"/>
              <w:rPr>
                <w:sz w:val="18"/>
              </w:rPr>
            </w:pPr>
            <w:r>
              <w:rPr>
                <w:w w:val="99"/>
                <w:sz w:val="18"/>
              </w:rPr>
              <w:t>0</w:t>
            </w:r>
          </w:p>
        </w:tc>
        <w:tc>
          <w:tcPr>
            <w:tcW w:w="473" w:type="dxa"/>
          </w:tcPr>
          <w:p>
            <w:pPr>
              <w:pStyle w:val="TableParagraph"/>
              <w:spacing w:line="203" w:lineRule="exact"/>
              <w:ind w:left="1"/>
              <w:rPr>
                <w:sz w:val="18"/>
              </w:rPr>
            </w:pPr>
            <w:r>
              <w:rPr>
                <w:w w:val="99"/>
                <w:sz w:val="18"/>
              </w:rPr>
              <w:t>0</w:t>
            </w:r>
          </w:p>
        </w:tc>
        <w:tc>
          <w:tcPr>
            <w:tcW w:w="475" w:type="dxa"/>
            <w:tcBorders>
              <w:right w:val="single" w:sz="4" w:space="0" w:color="000000"/>
            </w:tcBorders>
          </w:tcPr>
          <w:p>
            <w:pPr>
              <w:pStyle w:val="TableParagraph"/>
              <w:spacing w:line="203" w:lineRule="exact"/>
              <w:ind w:left="4"/>
              <w:rPr>
                <w:sz w:val="18"/>
              </w:rPr>
            </w:pPr>
            <w:r>
              <w:rPr>
                <w:w w:val="99"/>
                <w:sz w:val="18"/>
              </w:rPr>
              <w:t>3</w:t>
            </w:r>
          </w:p>
        </w:tc>
        <w:tc>
          <w:tcPr>
            <w:tcW w:w="476" w:type="dxa"/>
            <w:tcBorders>
              <w:left w:val="single" w:sz="4" w:space="0" w:color="000000"/>
            </w:tcBorders>
          </w:tcPr>
          <w:p>
            <w:pPr>
              <w:pStyle w:val="TableParagraph"/>
              <w:spacing w:line="203" w:lineRule="exact"/>
              <w:rPr>
                <w:sz w:val="18"/>
              </w:rPr>
            </w:pPr>
            <w:r>
              <w:rPr>
                <w:w w:val="99"/>
                <w:sz w:val="18"/>
              </w:rPr>
              <w:t>0</w:t>
            </w:r>
          </w:p>
        </w:tc>
      </w:tr>
      <w:tr>
        <w:trPr>
          <w:trHeight w:val="322" w:hRule="exact"/>
        </w:trPr>
        <w:tc>
          <w:tcPr>
            <w:tcW w:w="4554" w:type="dxa"/>
            <w:tcBorders>
              <w:left w:val="single" w:sz="8" w:space="0" w:color="000000"/>
            </w:tcBorders>
          </w:tcPr>
          <w:p>
            <w:pPr>
              <w:pStyle w:val="TableParagraph"/>
              <w:spacing w:line="199" w:lineRule="exact"/>
              <w:ind w:left="60"/>
              <w:jc w:val="left"/>
              <w:rPr>
                <w:b/>
                <w:sz w:val="18"/>
              </w:rPr>
            </w:pPr>
            <w:r>
              <w:rPr>
                <w:b/>
                <w:color w:val="333333"/>
                <w:sz w:val="18"/>
              </w:rPr>
              <w:t>AMANALCO</w:t>
            </w:r>
          </w:p>
        </w:tc>
        <w:tc>
          <w:tcPr>
            <w:tcW w:w="456" w:type="dxa"/>
          </w:tcPr>
          <w:p>
            <w:pPr>
              <w:pStyle w:val="TableParagraph"/>
              <w:spacing w:line="203" w:lineRule="exact"/>
              <w:ind w:left="172"/>
              <w:jc w:val="left"/>
              <w:rPr>
                <w:sz w:val="18"/>
              </w:rPr>
            </w:pPr>
            <w:r>
              <w:rPr>
                <w:w w:val="99"/>
                <w:sz w:val="18"/>
              </w:rPr>
              <w:t>0</w:t>
            </w:r>
          </w:p>
        </w:tc>
        <w:tc>
          <w:tcPr>
            <w:tcW w:w="458" w:type="dxa"/>
          </w:tcPr>
          <w:p>
            <w:pPr>
              <w:pStyle w:val="TableParagraph"/>
              <w:spacing w:line="203" w:lineRule="exact"/>
              <w:ind w:right="1"/>
              <w:rPr>
                <w:sz w:val="18"/>
              </w:rPr>
            </w:pPr>
            <w:r>
              <w:rPr>
                <w:w w:val="99"/>
                <w:sz w:val="18"/>
              </w:rPr>
              <w:t>0</w:t>
            </w:r>
          </w:p>
        </w:tc>
        <w:tc>
          <w:tcPr>
            <w:tcW w:w="475" w:type="dxa"/>
          </w:tcPr>
          <w:p>
            <w:pPr>
              <w:pStyle w:val="TableParagraph"/>
              <w:spacing w:line="203" w:lineRule="exact"/>
              <w:rPr>
                <w:sz w:val="18"/>
              </w:rPr>
            </w:pPr>
            <w:r>
              <w:rPr>
                <w:w w:val="99"/>
                <w:sz w:val="18"/>
              </w:rPr>
              <w:t>0</w:t>
            </w:r>
          </w:p>
        </w:tc>
        <w:tc>
          <w:tcPr>
            <w:tcW w:w="473" w:type="dxa"/>
          </w:tcPr>
          <w:p>
            <w:pPr>
              <w:pStyle w:val="TableParagraph"/>
              <w:spacing w:line="203" w:lineRule="exact"/>
              <w:ind w:left="1"/>
              <w:rPr>
                <w:sz w:val="18"/>
              </w:rPr>
            </w:pPr>
            <w:r>
              <w:rPr>
                <w:w w:val="99"/>
                <w:sz w:val="18"/>
              </w:rPr>
              <w:t>5</w:t>
            </w:r>
          </w:p>
        </w:tc>
        <w:tc>
          <w:tcPr>
            <w:tcW w:w="475" w:type="dxa"/>
            <w:tcBorders>
              <w:right w:val="single" w:sz="4" w:space="0" w:color="000000"/>
            </w:tcBorders>
          </w:tcPr>
          <w:p>
            <w:pPr>
              <w:pStyle w:val="TableParagraph"/>
              <w:spacing w:line="203" w:lineRule="exact"/>
              <w:ind w:left="4"/>
              <w:rPr>
                <w:sz w:val="18"/>
              </w:rPr>
            </w:pPr>
            <w:r>
              <w:rPr>
                <w:w w:val="99"/>
                <w:sz w:val="18"/>
              </w:rPr>
              <w:t>8</w:t>
            </w:r>
          </w:p>
        </w:tc>
        <w:tc>
          <w:tcPr>
            <w:tcW w:w="476" w:type="dxa"/>
            <w:tcBorders>
              <w:left w:val="single" w:sz="4" w:space="0" w:color="000000"/>
            </w:tcBorders>
          </w:tcPr>
          <w:p>
            <w:pPr>
              <w:pStyle w:val="TableParagraph"/>
              <w:spacing w:line="203" w:lineRule="exact"/>
              <w:rPr>
                <w:sz w:val="18"/>
              </w:rPr>
            </w:pPr>
            <w:r>
              <w:rPr>
                <w:w w:val="99"/>
                <w:sz w:val="18"/>
              </w:rPr>
              <w:t>1</w:t>
            </w:r>
          </w:p>
        </w:tc>
      </w:tr>
      <w:tr>
        <w:trPr>
          <w:trHeight w:val="320" w:hRule="exact"/>
        </w:trPr>
        <w:tc>
          <w:tcPr>
            <w:tcW w:w="4554" w:type="dxa"/>
            <w:tcBorders>
              <w:left w:val="single" w:sz="8" w:space="0" w:color="000000"/>
            </w:tcBorders>
          </w:tcPr>
          <w:p>
            <w:pPr>
              <w:pStyle w:val="TableParagraph"/>
              <w:spacing w:line="199" w:lineRule="exact"/>
              <w:ind w:left="60"/>
              <w:jc w:val="left"/>
              <w:rPr>
                <w:b/>
                <w:sz w:val="18"/>
              </w:rPr>
            </w:pPr>
            <w:r>
              <w:rPr>
                <w:b/>
                <w:color w:val="333333"/>
                <w:sz w:val="18"/>
              </w:rPr>
              <w:t>AMATEPEC</w:t>
            </w:r>
          </w:p>
        </w:tc>
        <w:tc>
          <w:tcPr>
            <w:tcW w:w="456" w:type="dxa"/>
          </w:tcPr>
          <w:p>
            <w:pPr>
              <w:pStyle w:val="TableParagraph"/>
              <w:spacing w:line="203" w:lineRule="exact"/>
              <w:ind w:left="172"/>
              <w:jc w:val="left"/>
              <w:rPr>
                <w:sz w:val="18"/>
              </w:rPr>
            </w:pPr>
            <w:r>
              <w:rPr>
                <w:w w:val="99"/>
                <w:sz w:val="18"/>
              </w:rPr>
              <w:t>0</w:t>
            </w:r>
          </w:p>
        </w:tc>
        <w:tc>
          <w:tcPr>
            <w:tcW w:w="458" w:type="dxa"/>
          </w:tcPr>
          <w:p>
            <w:pPr>
              <w:pStyle w:val="TableParagraph"/>
              <w:spacing w:line="203" w:lineRule="exact"/>
              <w:ind w:right="1"/>
              <w:rPr>
                <w:sz w:val="18"/>
              </w:rPr>
            </w:pPr>
            <w:r>
              <w:rPr>
                <w:w w:val="99"/>
                <w:sz w:val="18"/>
              </w:rPr>
              <w:t>0</w:t>
            </w:r>
          </w:p>
        </w:tc>
        <w:tc>
          <w:tcPr>
            <w:tcW w:w="475" w:type="dxa"/>
          </w:tcPr>
          <w:p>
            <w:pPr>
              <w:pStyle w:val="TableParagraph"/>
              <w:spacing w:line="203" w:lineRule="exact"/>
              <w:rPr>
                <w:sz w:val="18"/>
              </w:rPr>
            </w:pPr>
            <w:r>
              <w:rPr>
                <w:w w:val="99"/>
                <w:sz w:val="18"/>
              </w:rPr>
              <w:t>0</w:t>
            </w:r>
          </w:p>
        </w:tc>
        <w:tc>
          <w:tcPr>
            <w:tcW w:w="473" w:type="dxa"/>
          </w:tcPr>
          <w:p>
            <w:pPr>
              <w:pStyle w:val="TableParagraph"/>
              <w:spacing w:line="203" w:lineRule="exact"/>
              <w:ind w:left="1"/>
              <w:rPr>
                <w:sz w:val="18"/>
              </w:rPr>
            </w:pPr>
            <w:r>
              <w:rPr>
                <w:w w:val="99"/>
                <w:sz w:val="18"/>
              </w:rPr>
              <w:t>2</w:t>
            </w:r>
          </w:p>
        </w:tc>
        <w:tc>
          <w:tcPr>
            <w:tcW w:w="475" w:type="dxa"/>
            <w:tcBorders>
              <w:right w:val="single" w:sz="4" w:space="0" w:color="000000"/>
            </w:tcBorders>
          </w:tcPr>
          <w:p>
            <w:pPr>
              <w:pStyle w:val="TableParagraph"/>
              <w:spacing w:line="203" w:lineRule="exact"/>
              <w:ind w:left="4"/>
              <w:rPr>
                <w:sz w:val="18"/>
              </w:rPr>
            </w:pPr>
            <w:r>
              <w:rPr>
                <w:w w:val="99"/>
                <w:sz w:val="18"/>
              </w:rPr>
              <w:t>0</w:t>
            </w:r>
          </w:p>
        </w:tc>
        <w:tc>
          <w:tcPr>
            <w:tcW w:w="476" w:type="dxa"/>
            <w:tcBorders>
              <w:left w:val="single" w:sz="4" w:space="0" w:color="000000"/>
            </w:tcBorders>
          </w:tcPr>
          <w:p>
            <w:pPr>
              <w:pStyle w:val="TableParagraph"/>
              <w:spacing w:line="203" w:lineRule="exact"/>
              <w:rPr>
                <w:sz w:val="18"/>
              </w:rPr>
            </w:pPr>
            <w:r>
              <w:rPr>
                <w:w w:val="99"/>
                <w:sz w:val="18"/>
              </w:rPr>
              <w:t>0</w:t>
            </w:r>
          </w:p>
        </w:tc>
      </w:tr>
      <w:tr>
        <w:trPr>
          <w:trHeight w:val="322" w:hRule="exact"/>
        </w:trPr>
        <w:tc>
          <w:tcPr>
            <w:tcW w:w="4554" w:type="dxa"/>
            <w:tcBorders>
              <w:left w:val="single" w:sz="8" w:space="0" w:color="000000"/>
            </w:tcBorders>
          </w:tcPr>
          <w:p>
            <w:pPr>
              <w:pStyle w:val="TableParagraph"/>
              <w:spacing w:line="199" w:lineRule="exact"/>
              <w:ind w:left="60"/>
              <w:jc w:val="left"/>
              <w:rPr>
                <w:b/>
                <w:sz w:val="18"/>
              </w:rPr>
            </w:pPr>
            <w:r>
              <w:rPr>
                <w:b/>
                <w:color w:val="333333"/>
                <w:sz w:val="18"/>
              </w:rPr>
              <w:t>AMECAMECA</w:t>
            </w:r>
          </w:p>
        </w:tc>
        <w:tc>
          <w:tcPr>
            <w:tcW w:w="456" w:type="dxa"/>
          </w:tcPr>
          <w:p>
            <w:pPr>
              <w:pStyle w:val="TableParagraph"/>
              <w:spacing w:line="203" w:lineRule="exact"/>
              <w:ind w:left="172"/>
              <w:jc w:val="left"/>
              <w:rPr>
                <w:sz w:val="18"/>
              </w:rPr>
            </w:pPr>
            <w:r>
              <w:rPr>
                <w:w w:val="99"/>
                <w:sz w:val="18"/>
              </w:rPr>
              <w:t>0</w:t>
            </w:r>
          </w:p>
        </w:tc>
        <w:tc>
          <w:tcPr>
            <w:tcW w:w="458" w:type="dxa"/>
          </w:tcPr>
          <w:p>
            <w:pPr>
              <w:pStyle w:val="TableParagraph"/>
              <w:spacing w:line="203" w:lineRule="exact"/>
              <w:ind w:right="1"/>
              <w:rPr>
                <w:sz w:val="18"/>
              </w:rPr>
            </w:pPr>
            <w:r>
              <w:rPr>
                <w:w w:val="99"/>
                <w:sz w:val="18"/>
              </w:rPr>
              <w:t>0</w:t>
            </w:r>
          </w:p>
        </w:tc>
        <w:tc>
          <w:tcPr>
            <w:tcW w:w="475" w:type="dxa"/>
          </w:tcPr>
          <w:p>
            <w:pPr>
              <w:pStyle w:val="TableParagraph"/>
              <w:spacing w:line="203" w:lineRule="exact"/>
              <w:rPr>
                <w:sz w:val="18"/>
              </w:rPr>
            </w:pPr>
            <w:r>
              <w:rPr>
                <w:w w:val="99"/>
                <w:sz w:val="18"/>
              </w:rPr>
              <w:t>0</w:t>
            </w:r>
          </w:p>
        </w:tc>
        <w:tc>
          <w:tcPr>
            <w:tcW w:w="473" w:type="dxa"/>
          </w:tcPr>
          <w:p>
            <w:pPr>
              <w:pStyle w:val="TableParagraph"/>
              <w:spacing w:line="203" w:lineRule="exact"/>
              <w:ind w:left="1"/>
              <w:rPr>
                <w:sz w:val="18"/>
              </w:rPr>
            </w:pPr>
            <w:r>
              <w:rPr>
                <w:w w:val="99"/>
                <w:sz w:val="18"/>
              </w:rPr>
              <w:t>0</w:t>
            </w:r>
          </w:p>
        </w:tc>
        <w:tc>
          <w:tcPr>
            <w:tcW w:w="475" w:type="dxa"/>
            <w:tcBorders>
              <w:right w:val="single" w:sz="4" w:space="0" w:color="000000"/>
            </w:tcBorders>
          </w:tcPr>
          <w:p>
            <w:pPr>
              <w:pStyle w:val="TableParagraph"/>
              <w:spacing w:line="203" w:lineRule="exact"/>
              <w:ind w:left="4"/>
              <w:rPr>
                <w:sz w:val="18"/>
              </w:rPr>
            </w:pPr>
            <w:r>
              <w:rPr>
                <w:w w:val="99"/>
                <w:sz w:val="18"/>
              </w:rPr>
              <w:t>0</w:t>
            </w:r>
          </w:p>
        </w:tc>
        <w:tc>
          <w:tcPr>
            <w:tcW w:w="476" w:type="dxa"/>
            <w:tcBorders>
              <w:left w:val="single" w:sz="4" w:space="0" w:color="000000"/>
            </w:tcBorders>
          </w:tcPr>
          <w:p>
            <w:pPr>
              <w:pStyle w:val="TableParagraph"/>
              <w:spacing w:line="203" w:lineRule="exact"/>
              <w:rPr>
                <w:sz w:val="18"/>
              </w:rPr>
            </w:pPr>
            <w:r>
              <w:rPr>
                <w:w w:val="99"/>
                <w:sz w:val="18"/>
              </w:rPr>
              <w:t>0</w:t>
            </w:r>
          </w:p>
        </w:tc>
      </w:tr>
      <w:tr>
        <w:trPr>
          <w:trHeight w:val="319" w:hRule="exact"/>
        </w:trPr>
        <w:tc>
          <w:tcPr>
            <w:tcW w:w="4554" w:type="dxa"/>
            <w:tcBorders>
              <w:left w:val="single" w:sz="8" w:space="0" w:color="000000"/>
            </w:tcBorders>
          </w:tcPr>
          <w:p>
            <w:pPr>
              <w:pStyle w:val="TableParagraph"/>
              <w:spacing w:line="199" w:lineRule="exact"/>
              <w:ind w:left="60"/>
              <w:jc w:val="left"/>
              <w:rPr>
                <w:b/>
                <w:sz w:val="18"/>
              </w:rPr>
            </w:pPr>
            <w:r>
              <w:rPr>
                <w:b/>
                <w:color w:val="333333"/>
                <w:sz w:val="18"/>
              </w:rPr>
              <w:t>APAXCO</w:t>
            </w:r>
          </w:p>
        </w:tc>
        <w:tc>
          <w:tcPr>
            <w:tcW w:w="456" w:type="dxa"/>
          </w:tcPr>
          <w:p>
            <w:pPr>
              <w:pStyle w:val="TableParagraph"/>
              <w:spacing w:line="203" w:lineRule="exact"/>
              <w:ind w:left="172"/>
              <w:jc w:val="left"/>
              <w:rPr>
                <w:sz w:val="18"/>
              </w:rPr>
            </w:pPr>
            <w:r>
              <w:rPr>
                <w:w w:val="99"/>
                <w:sz w:val="18"/>
              </w:rPr>
              <w:t>0</w:t>
            </w:r>
          </w:p>
        </w:tc>
        <w:tc>
          <w:tcPr>
            <w:tcW w:w="458" w:type="dxa"/>
          </w:tcPr>
          <w:p>
            <w:pPr>
              <w:pStyle w:val="TableParagraph"/>
              <w:spacing w:line="203" w:lineRule="exact"/>
              <w:ind w:right="1"/>
              <w:rPr>
                <w:sz w:val="18"/>
              </w:rPr>
            </w:pPr>
            <w:r>
              <w:rPr>
                <w:w w:val="99"/>
                <w:sz w:val="18"/>
              </w:rPr>
              <w:t>0</w:t>
            </w:r>
          </w:p>
        </w:tc>
        <w:tc>
          <w:tcPr>
            <w:tcW w:w="475" w:type="dxa"/>
          </w:tcPr>
          <w:p>
            <w:pPr>
              <w:pStyle w:val="TableParagraph"/>
              <w:spacing w:line="203" w:lineRule="exact"/>
              <w:rPr>
                <w:sz w:val="18"/>
              </w:rPr>
            </w:pPr>
            <w:r>
              <w:rPr>
                <w:w w:val="99"/>
                <w:sz w:val="18"/>
              </w:rPr>
              <w:t>0</w:t>
            </w:r>
          </w:p>
        </w:tc>
        <w:tc>
          <w:tcPr>
            <w:tcW w:w="473" w:type="dxa"/>
          </w:tcPr>
          <w:p>
            <w:pPr>
              <w:pStyle w:val="TableParagraph"/>
              <w:spacing w:line="203" w:lineRule="exact"/>
              <w:ind w:left="1"/>
              <w:rPr>
                <w:sz w:val="18"/>
              </w:rPr>
            </w:pPr>
            <w:r>
              <w:rPr>
                <w:w w:val="99"/>
                <w:sz w:val="18"/>
              </w:rPr>
              <w:t>0</w:t>
            </w:r>
          </w:p>
        </w:tc>
        <w:tc>
          <w:tcPr>
            <w:tcW w:w="475" w:type="dxa"/>
            <w:tcBorders>
              <w:right w:val="single" w:sz="4" w:space="0" w:color="000000"/>
            </w:tcBorders>
          </w:tcPr>
          <w:p>
            <w:pPr>
              <w:pStyle w:val="TableParagraph"/>
              <w:spacing w:line="203" w:lineRule="exact"/>
              <w:ind w:left="4"/>
              <w:rPr>
                <w:sz w:val="18"/>
              </w:rPr>
            </w:pPr>
            <w:r>
              <w:rPr>
                <w:w w:val="99"/>
                <w:sz w:val="18"/>
              </w:rPr>
              <w:t>0</w:t>
            </w:r>
          </w:p>
        </w:tc>
        <w:tc>
          <w:tcPr>
            <w:tcW w:w="476" w:type="dxa"/>
            <w:tcBorders>
              <w:left w:val="single" w:sz="4" w:space="0" w:color="000000"/>
            </w:tcBorders>
          </w:tcPr>
          <w:p>
            <w:pPr>
              <w:pStyle w:val="TableParagraph"/>
              <w:spacing w:line="203" w:lineRule="exact"/>
              <w:rPr>
                <w:sz w:val="18"/>
              </w:rPr>
            </w:pPr>
            <w:r>
              <w:rPr>
                <w:w w:val="99"/>
                <w:sz w:val="18"/>
              </w:rPr>
              <w:t>0</w:t>
            </w:r>
          </w:p>
        </w:tc>
      </w:tr>
      <w:tr>
        <w:trPr>
          <w:trHeight w:val="322" w:hRule="exact"/>
        </w:trPr>
        <w:tc>
          <w:tcPr>
            <w:tcW w:w="4554" w:type="dxa"/>
            <w:tcBorders>
              <w:left w:val="single" w:sz="8" w:space="0" w:color="000000"/>
            </w:tcBorders>
          </w:tcPr>
          <w:p>
            <w:pPr>
              <w:pStyle w:val="TableParagraph"/>
              <w:spacing w:line="201" w:lineRule="exact"/>
              <w:ind w:left="60"/>
              <w:jc w:val="left"/>
              <w:rPr>
                <w:b/>
                <w:sz w:val="18"/>
              </w:rPr>
            </w:pPr>
            <w:r>
              <w:rPr>
                <w:b/>
                <w:color w:val="333333"/>
                <w:sz w:val="18"/>
              </w:rPr>
              <w:t>ATENCO</w:t>
            </w:r>
          </w:p>
        </w:tc>
        <w:tc>
          <w:tcPr>
            <w:tcW w:w="456" w:type="dxa"/>
          </w:tcPr>
          <w:p>
            <w:pPr>
              <w:pStyle w:val="TableParagraph"/>
              <w:spacing w:line="206" w:lineRule="exact"/>
              <w:ind w:left="172"/>
              <w:jc w:val="left"/>
              <w:rPr>
                <w:sz w:val="18"/>
              </w:rPr>
            </w:pPr>
            <w:r>
              <w:rPr>
                <w:w w:val="99"/>
                <w:sz w:val="18"/>
              </w:rPr>
              <w:t>0</w:t>
            </w:r>
          </w:p>
        </w:tc>
        <w:tc>
          <w:tcPr>
            <w:tcW w:w="458" w:type="dxa"/>
          </w:tcPr>
          <w:p>
            <w:pPr>
              <w:pStyle w:val="TableParagraph"/>
              <w:spacing w:line="206" w:lineRule="exact"/>
              <w:ind w:right="1"/>
              <w:rPr>
                <w:sz w:val="18"/>
              </w:rPr>
            </w:pPr>
            <w:r>
              <w:rPr>
                <w:w w:val="99"/>
                <w:sz w:val="18"/>
              </w:rPr>
              <w:t>0</w:t>
            </w:r>
          </w:p>
        </w:tc>
        <w:tc>
          <w:tcPr>
            <w:tcW w:w="475" w:type="dxa"/>
          </w:tcPr>
          <w:p>
            <w:pPr>
              <w:pStyle w:val="TableParagraph"/>
              <w:spacing w:line="206" w:lineRule="exact"/>
              <w:rPr>
                <w:sz w:val="18"/>
              </w:rPr>
            </w:pPr>
            <w:r>
              <w:rPr>
                <w:w w:val="99"/>
                <w:sz w:val="18"/>
              </w:rPr>
              <w:t>0</w:t>
            </w:r>
          </w:p>
        </w:tc>
        <w:tc>
          <w:tcPr>
            <w:tcW w:w="473" w:type="dxa"/>
          </w:tcPr>
          <w:p>
            <w:pPr>
              <w:pStyle w:val="TableParagraph"/>
              <w:spacing w:line="206" w:lineRule="exact"/>
              <w:ind w:left="1"/>
              <w:rPr>
                <w:sz w:val="18"/>
              </w:rPr>
            </w:pPr>
            <w:r>
              <w:rPr>
                <w:w w:val="99"/>
                <w:sz w:val="18"/>
              </w:rPr>
              <w:t>0</w:t>
            </w:r>
          </w:p>
        </w:tc>
        <w:tc>
          <w:tcPr>
            <w:tcW w:w="475" w:type="dxa"/>
            <w:tcBorders>
              <w:right w:val="single" w:sz="4" w:space="0" w:color="000000"/>
            </w:tcBorders>
          </w:tcPr>
          <w:p>
            <w:pPr>
              <w:pStyle w:val="TableParagraph"/>
              <w:spacing w:line="206" w:lineRule="exact"/>
              <w:ind w:left="4"/>
              <w:rPr>
                <w:sz w:val="18"/>
              </w:rPr>
            </w:pPr>
            <w:r>
              <w:rPr>
                <w:w w:val="99"/>
                <w:sz w:val="18"/>
              </w:rPr>
              <w:t>0</w:t>
            </w:r>
          </w:p>
        </w:tc>
        <w:tc>
          <w:tcPr>
            <w:tcW w:w="476" w:type="dxa"/>
            <w:tcBorders>
              <w:left w:val="single" w:sz="4" w:space="0" w:color="000000"/>
            </w:tcBorders>
          </w:tcPr>
          <w:p>
            <w:pPr>
              <w:pStyle w:val="TableParagraph"/>
              <w:spacing w:line="206" w:lineRule="exact"/>
              <w:rPr>
                <w:sz w:val="18"/>
              </w:rPr>
            </w:pPr>
            <w:r>
              <w:rPr>
                <w:w w:val="99"/>
                <w:sz w:val="18"/>
              </w:rPr>
              <w:t>0</w:t>
            </w:r>
          </w:p>
        </w:tc>
      </w:tr>
      <w:tr>
        <w:trPr>
          <w:trHeight w:val="319" w:hRule="exact"/>
        </w:trPr>
        <w:tc>
          <w:tcPr>
            <w:tcW w:w="4554" w:type="dxa"/>
            <w:tcBorders>
              <w:left w:val="single" w:sz="8" w:space="0" w:color="000000"/>
            </w:tcBorders>
          </w:tcPr>
          <w:p>
            <w:pPr>
              <w:pStyle w:val="TableParagraph"/>
              <w:spacing w:line="199" w:lineRule="exact"/>
              <w:ind w:left="60"/>
              <w:jc w:val="left"/>
              <w:rPr>
                <w:b/>
                <w:sz w:val="18"/>
              </w:rPr>
            </w:pPr>
            <w:r>
              <w:rPr>
                <w:b/>
                <w:color w:val="333333"/>
                <w:sz w:val="18"/>
              </w:rPr>
              <w:t>ATIZAPAN</w:t>
            </w:r>
          </w:p>
        </w:tc>
        <w:tc>
          <w:tcPr>
            <w:tcW w:w="456" w:type="dxa"/>
          </w:tcPr>
          <w:p>
            <w:pPr>
              <w:pStyle w:val="TableParagraph"/>
              <w:spacing w:line="203" w:lineRule="exact"/>
              <w:ind w:left="172"/>
              <w:jc w:val="left"/>
              <w:rPr>
                <w:sz w:val="18"/>
              </w:rPr>
            </w:pPr>
            <w:r>
              <w:rPr>
                <w:w w:val="99"/>
                <w:sz w:val="18"/>
              </w:rPr>
              <w:t>0</w:t>
            </w:r>
          </w:p>
        </w:tc>
        <w:tc>
          <w:tcPr>
            <w:tcW w:w="458" w:type="dxa"/>
          </w:tcPr>
          <w:p>
            <w:pPr>
              <w:pStyle w:val="TableParagraph"/>
              <w:spacing w:line="203" w:lineRule="exact"/>
              <w:ind w:right="1"/>
              <w:rPr>
                <w:sz w:val="18"/>
              </w:rPr>
            </w:pPr>
            <w:r>
              <w:rPr>
                <w:w w:val="99"/>
                <w:sz w:val="18"/>
              </w:rPr>
              <w:t>0</w:t>
            </w:r>
          </w:p>
        </w:tc>
        <w:tc>
          <w:tcPr>
            <w:tcW w:w="475" w:type="dxa"/>
          </w:tcPr>
          <w:p>
            <w:pPr>
              <w:pStyle w:val="TableParagraph"/>
              <w:spacing w:line="203" w:lineRule="exact"/>
              <w:rPr>
                <w:sz w:val="18"/>
              </w:rPr>
            </w:pPr>
            <w:r>
              <w:rPr>
                <w:w w:val="99"/>
                <w:sz w:val="18"/>
              </w:rPr>
              <w:t>0</w:t>
            </w:r>
          </w:p>
        </w:tc>
        <w:tc>
          <w:tcPr>
            <w:tcW w:w="473" w:type="dxa"/>
          </w:tcPr>
          <w:p>
            <w:pPr>
              <w:pStyle w:val="TableParagraph"/>
              <w:spacing w:line="203" w:lineRule="exact"/>
              <w:ind w:left="1"/>
              <w:rPr>
                <w:sz w:val="18"/>
              </w:rPr>
            </w:pPr>
            <w:r>
              <w:rPr>
                <w:w w:val="99"/>
                <w:sz w:val="18"/>
              </w:rPr>
              <w:t>0</w:t>
            </w:r>
          </w:p>
        </w:tc>
        <w:tc>
          <w:tcPr>
            <w:tcW w:w="475" w:type="dxa"/>
            <w:tcBorders>
              <w:right w:val="single" w:sz="4" w:space="0" w:color="000000"/>
            </w:tcBorders>
          </w:tcPr>
          <w:p>
            <w:pPr>
              <w:pStyle w:val="TableParagraph"/>
              <w:spacing w:line="203" w:lineRule="exact"/>
              <w:ind w:left="4"/>
              <w:rPr>
                <w:sz w:val="18"/>
              </w:rPr>
            </w:pPr>
            <w:r>
              <w:rPr>
                <w:w w:val="99"/>
                <w:sz w:val="18"/>
              </w:rPr>
              <w:t>1</w:t>
            </w:r>
          </w:p>
        </w:tc>
        <w:tc>
          <w:tcPr>
            <w:tcW w:w="476" w:type="dxa"/>
            <w:tcBorders>
              <w:left w:val="single" w:sz="4" w:space="0" w:color="000000"/>
            </w:tcBorders>
          </w:tcPr>
          <w:p>
            <w:pPr>
              <w:pStyle w:val="TableParagraph"/>
              <w:spacing w:line="203" w:lineRule="exact"/>
              <w:rPr>
                <w:sz w:val="18"/>
              </w:rPr>
            </w:pPr>
            <w:r>
              <w:rPr>
                <w:w w:val="99"/>
                <w:sz w:val="18"/>
              </w:rPr>
              <w:t>0</w:t>
            </w:r>
          </w:p>
        </w:tc>
      </w:tr>
      <w:tr>
        <w:trPr>
          <w:trHeight w:val="322" w:hRule="exact"/>
        </w:trPr>
        <w:tc>
          <w:tcPr>
            <w:tcW w:w="4554" w:type="dxa"/>
            <w:tcBorders>
              <w:left w:val="single" w:sz="8" w:space="0" w:color="000000"/>
            </w:tcBorders>
          </w:tcPr>
          <w:p>
            <w:pPr>
              <w:pStyle w:val="TableParagraph"/>
              <w:spacing w:line="201" w:lineRule="exact"/>
              <w:ind w:left="60"/>
              <w:jc w:val="left"/>
              <w:rPr>
                <w:b/>
                <w:sz w:val="18"/>
              </w:rPr>
            </w:pPr>
            <w:r>
              <w:rPr>
                <w:b/>
                <w:color w:val="333333"/>
                <w:sz w:val="18"/>
              </w:rPr>
              <w:t>ATIZAPAN DE ZARAGOZA</w:t>
            </w:r>
          </w:p>
        </w:tc>
        <w:tc>
          <w:tcPr>
            <w:tcW w:w="456" w:type="dxa"/>
          </w:tcPr>
          <w:p>
            <w:pPr>
              <w:pStyle w:val="TableParagraph"/>
              <w:spacing w:line="206" w:lineRule="exact"/>
              <w:ind w:left="172"/>
              <w:jc w:val="left"/>
              <w:rPr>
                <w:sz w:val="18"/>
              </w:rPr>
            </w:pPr>
            <w:r>
              <w:rPr>
                <w:w w:val="99"/>
                <w:sz w:val="18"/>
              </w:rPr>
              <w:t>0</w:t>
            </w:r>
          </w:p>
        </w:tc>
        <w:tc>
          <w:tcPr>
            <w:tcW w:w="458" w:type="dxa"/>
          </w:tcPr>
          <w:p>
            <w:pPr>
              <w:pStyle w:val="TableParagraph"/>
              <w:spacing w:line="206" w:lineRule="exact"/>
              <w:ind w:right="1"/>
              <w:rPr>
                <w:sz w:val="18"/>
              </w:rPr>
            </w:pPr>
            <w:r>
              <w:rPr>
                <w:w w:val="99"/>
                <w:sz w:val="18"/>
              </w:rPr>
              <w:t>2</w:t>
            </w:r>
          </w:p>
        </w:tc>
        <w:tc>
          <w:tcPr>
            <w:tcW w:w="475" w:type="dxa"/>
          </w:tcPr>
          <w:p>
            <w:pPr>
              <w:pStyle w:val="TableParagraph"/>
              <w:spacing w:line="206" w:lineRule="exact"/>
              <w:ind w:left="60" w:right="60"/>
              <w:rPr>
                <w:sz w:val="18"/>
              </w:rPr>
            </w:pPr>
            <w:r>
              <w:rPr>
                <w:sz w:val="18"/>
              </w:rPr>
              <w:t>15</w:t>
            </w:r>
          </w:p>
        </w:tc>
        <w:tc>
          <w:tcPr>
            <w:tcW w:w="473" w:type="dxa"/>
          </w:tcPr>
          <w:p>
            <w:pPr>
              <w:pStyle w:val="TableParagraph"/>
              <w:spacing w:line="206" w:lineRule="exact"/>
              <w:ind w:left="62" w:right="60"/>
              <w:rPr>
                <w:sz w:val="18"/>
              </w:rPr>
            </w:pPr>
            <w:r>
              <w:rPr>
                <w:sz w:val="18"/>
              </w:rPr>
              <w:t>13</w:t>
            </w:r>
          </w:p>
        </w:tc>
        <w:tc>
          <w:tcPr>
            <w:tcW w:w="475" w:type="dxa"/>
            <w:tcBorders>
              <w:right w:val="single" w:sz="4" w:space="0" w:color="000000"/>
            </w:tcBorders>
          </w:tcPr>
          <w:p>
            <w:pPr>
              <w:pStyle w:val="TableParagraph"/>
              <w:spacing w:line="206" w:lineRule="exact"/>
              <w:ind w:left="4"/>
              <w:rPr>
                <w:sz w:val="18"/>
              </w:rPr>
            </w:pPr>
            <w:r>
              <w:rPr>
                <w:w w:val="99"/>
                <w:sz w:val="18"/>
              </w:rPr>
              <w:t>2</w:t>
            </w:r>
          </w:p>
        </w:tc>
        <w:tc>
          <w:tcPr>
            <w:tcW w:w="476" w:type="dxa"/>
            <w:tcBorders>
              <w:left w:val="single" w:sz="4" w:space="0" w:color="000000"/>
            </w:tcBorders>
          </w:tcPr>
          <w:p>
            <w:pPr>
              <w:pStyle w:val="TableParagraph"/>
              <w:spacing w:line="206" w:lineRule="exact"/>
              <w:rPr>
                <w:sz w:val="18"/>
              </w:rPr>
            </w:pPr>
            <w:r>
              <w:rPr>
                <w:w w:val="99"/>
                <w:sz w:val="18"/>
              </w:rPr>
              <w:t>0</w:t>
            </w:r>
          </w:p>
        </w:tc>
      </w:tr>
      <w:tr>
        <w:trPr>
          <w:trHeight w:val="322" w:hRule="exact"/>
        </w:trPr>
        <w:tc>
          <w:tcPr>
            <w:tcW w:w="4554" w:type="dxa"/>
            <w:tcBorders>
              <w:left w:val="single" w:sz="8" w:space="0" w:color="000000"/>
            </w:tcBorders>
          </w:tcPr>
          <w:p>
            <w:pPr>
              <w:pStyle w:val="TableParagraph"/>
              <w:spacing w:line="199" w:lineRule="exact"/>
              <w:ind w:left="60"/>
              <w:jc w:val="left"/>
              <w:rPr>
                <w:b/>
                <w:sz w:val="18"/>
              </w:rPr>
            </w:pPr>
            <w:r>
              <w:rPr>
                <w:b/>
                <w:color w:val="333333"/>
                <w:sz w:val="18"/>
              </w:rPr>
              <w:t>ATLACOMULCO</w:t>
            </w:r>
          </w:p>
        </w:tc>
        <w:tc>
          <w:tcPr>
            <w:tcW w:w="456" w:type="dxa"/>
          </w:tcPr>
          <w:p>
            <w:pPr>
              <w:pStyle w:val="TableParagraph"/>
              <w:spacing w:line="203" w:lineRule="exact"/>
              <w:ind w:left="172"/>
              <w:jc w:val="left"/>
              <w:rPr>
                <w:sz w:val="18"/>
              </w:rPr>
            </w:pPr>
            <w:r>
              <w:rPr>
                <w:w w:val="99"/>
                <w:sz w:val="18"/>
              </w:rPr>
              <w:t>1</w:t>
            </w:r>
          </w:p>
        </w:tc>
        <w:tc>
          <w:tcPr>
            <w:tcW w:w="458" w:type="dxa"/>
          </w:tcPr>
          <w:p>
            <w:pPr>
              <w:pStyle w:val="TableParagraph"/>
              <w:spacing w:line="203" w:lineRule="exact"/>
              <w:ind w:right="1"/>
              <w:rPr>
                <w:sz w:val="18"/>
              </w:rPr>
            </w:pPr>
            <w:r>
              <w:rPr>
                <w:w w:val="99"/>
                <w:sz w:val="18"/>
              </w:rPr>
              <w:t>1</w:t>
            </w:r>
          </w:p>
        </w:tc>
        <w:tc>
          <w:tcPr>
            <w:tcW w:w="475" w:type="dxa"/>
          </w:tcPr>
          <w:p>
            <w:pPr>
              <w:pStyle w:val="TableParagraph"/>
              <w:spacing w:line="203" w:lineRule="exact"/>
              <w:rPr>
                <w:sz w:val="18"/>
              </w:rPr>
            </w:pPr>
            <w:r>
              <w:rPr>
                <w:w w:val="99"/>
                <w:sz w:val="18"/>
              </w:rPr>
              <w:t>1</w:t>
            </w:r>
          </w:p>
        </w:tc>
        <w:tc>
          <w:tcPr>
            <w:tcW w:w="473" w:type="dxa"/>
          </w:tcPr>
          <w:p>
            <w:pPr>
              <w:pStyle w:val="TableParagraph"/>
              <w:spacing w:line="203" w:lineRule="exact"/>
              <w:ind w:left="1"/>
              <w:rPr>
                <w:sz w:val="18"/>
              </w:rPr>
            </w:pPr>
            <w:r>
              <w:rPr>
                <w:w w:val="99"/>
                <w:sz w:val="18"/>
              </w:rPr>
              <w:t>4</w:t>
            </w:r>
          </w:p>
        </w:tc>
        <w:tc>
          <w:tcPr>
            <w:tcW w:w="475" w:type="dxa"/>
            <w:tcBorders>
              <w:right w:val="single" w:sz="4" w:space="0" w:color="000000"/>
            </w:tcBorders>
          </w:tcPr>
          <w:p>
            <w:pPr>
              <w:pStyle w:val="TableParagraph"/>
              <w:spacing w:line="203" w:lineRule="exact"/>
              <w:ind w:left="4"/>
              <w:rPr>
                <w:sz w:val="18"/>
              </w:rPr>
            </w:pPr>
            <w:r>
              <w:rPr>
                <w:w w:val="99"/>
                <w:sz w:val="18"/>
              </w:rPr>
              <w:t>6</w:t>
            </w:r>
          </w:p>
        </w:tc>
        <w:tc>
          <w:tcPr>
            <w:tcW w:w="476" w:type="dxa"/>
            <w:tcBorders>
              <w:left w:val="single" w:sz="4" w:space="0" w:color="000000"/>
            </w:tcBorders>
          </w:tcPr>
          <w:p>
            <w:pPr>
              <w:pStyle w:val="TableParagraph"/>
              <w:spacing w:line="203" w:lineRule="exact"/>
              <w:rPr>
                <w:sz w:val="18"/>
              </w:rPr>
            </w:pPr>
            <w:r>
              <w:rPr>
                <w:w w:val="99"/>
                <w:sz w:val="18"/>
              </w:rPr>
              <w:t>1</w:t>
            </w:r>
          </w:p>
        </w:tc>
      </w:tr>
      <w:tr>
        <w:trPr>
          <w:trHeight w:val="319" w:hRule="exact"/>
        </w:trPr>
        <w:tc>
          <w:tcPr>
            <w:tcW w:w="4554" w:type="dxa"/>
            <w:tcBorders>
              <w:left w:val="single" w:sz="8" w:space="0" w:color="000000"/>
            </w:tcBorders>
          </w:tcPr>
          <w:p>
            <w:pPr>
              <w:pStyle w:val="TableParagraph"/>
              <w:spacing w:line="199" w:lineRule="exact"/>
              <w:ind w:left="60"/>
              <w:jc w:val="left"/>
              <w:rPr>
                <w:b/>
                <w:sz w:val="18"/>
              </w:rPr>
            </w:pPr>
            <w:r>
              <w:rPr>
                <w:b/>
                <w:color w:val="333333"/>
                <w:sz w:val="18"/>
              </w:rPr>
              <w:t>ATLAUTLA</w:t>
            </w:r>
          </w:p>
        </w:tc>
        <w:tc>
          <w:tcPr>
            <w:tcW w:w="456" w:type="dxa"/>
          </w:tcPr>
          <w:p>
            <w:pPr>
              <w:pStyle w:val="TableParagraph"/>
              <w:spacing w:line="203" w:lineRule="exact"/>
              <w:ind w:left="172"/>
              <w:jc w:val="left"/>
              <w:rPr>
                <w:sz w:val="18"/>
              </w:rPr>
            </w:pPr>
            <w:r>
              <w:rPr>
                <w:w w:val="99"/>
                <w:sz w:val="18"/>
              </w:rPr>
              <w:t>0</w:t>
            </w:r>
          </w:p>
        </w:tc>
        <w:tc>
          <w:tcPr>
            <w:tcW w:w="458" w:type="dxa"/>
          </w:tcPr>
          <w:p>
            <w:pPr>
              <w:pStyle w:val="TableParagraph"/>
              <w:spacing w:line="203" w:lineRule="exact"/>
              <w:ind w:right="1"/>
              <w:rPr>
                <w:sz w:val="18"/>
              </w:rPr>
            </w:pPr>
            <w:r>
              <w:rPr>
                <w:w w:val="99"/>
                <w:sz w:val="18"/>
              </w:rPr>
              <w:t>0</w:t>
            </w:r>
          </w:p>
        </w:tc>
        <w:tc>
          <w:tcPr>
            <w:tcW w:w="475" w:type="dxa"/>
          </w:tcPr>
          <w:p>
            <w:pPr>
              <w:pStyle w:val="TableParagraph"/>
              <w:spacing w:line="203" w:lineRule="exact"/>
              <w:rPr>
                <w:sz w:val="18"/>
              </w:rPr>
            </w:pPr>
            <w:r>
              <w:rPr>
                <w:w w:val="99"/>
                <w:sz w:val="18"/>
              </w:rPr>
              <w:t>0</w:t>
            </w:r>
          </w:p>
        </w:tc>
        <w:tc>
          <w:tcPr>
            <w:tcW w:w="473" w:type="dxa"/>
          </w:tcPr>
          <w:p>
            <w:pPr>
              <w:pStyle w:val="TableParagraph"/>
              <w:spacing w:line="203" w:lineRule="exact"/>
              <w:ind w:left="1"/>
              <w:rPr>
                <w:sz w:val="18"/>
              </w:rPr>
            </w:pPr>
            <w:r>
              <w:rPr>
                <w:w w:val="99"/>
                <w:sz w:val="18"/>
              </w:rPr>
              <w:t>6</w:t>
            </w:r>
          </w:p>
        </w:tc>
        <w:tc>
          <w:tcPr>
            <w:tcW w:w="475" w:type="dxa"/>
            <w:tcBorders>
              <w:right w:val="single" w:sz="4" w:space="0" w:color="000000"/>
            </w:tcBorders>
          </w:tcPr>
          <w:p>
            <w:pPr>
              <w:pStyle w:val="TableParagraph"/>
              <w:spacing w:line="203" w:lineRule="exact"/>
              <w:ind w:left="4"/>
              <w:rPr>
                <w:sz w:val="18"/>
              </w:rPr>
            </w:pPr>
            <w:r>
              <w:rPr>
                <w:w w:val="99"/>
                <w:sz w:val="18"/>
              </w:rPr>
              <w:t>1</w:t>
            </w:r>
          </w:p>
        </w:tc>
        <w:tc>
          <w:tcPr>
            <w:tcW w:w="476" w:type="dxa"/>
            <w:tcBorders>
              <w:left w:val="single" w:sz="4" w:space="0" w:color="000000"/>
            </w:tcBorders>
          </w:tcPr>
          <w:p>
            <w:pPr>
              <w:pStyle w:val="TableParagraph"/>
              <w:spacing w:line="203" w:lineRule="exact"/>
              <w:rPr>
                <w:sz w:val="18"/>
              </w:rPr>
            </w:pPr>
            <w:r>
              <w:rPr>
                <w:w w:val="99"/>
                <w:sz w:val="18"/>
              </w:rPr>
              <w:t>2</w:t>
            </w:r>
          </w:p>
        </w:tc>
      </w:tr>
      <w:tr>
        <w:trPr>
          <w:trHeight w:val="322" w:hRule="exact"/>
        </w:trPr>
        <w:tc>
          <w:tcPr>
            <w:tcW w:w="4554" w:type="dxa"/>
            <w:tcBorders>
              <w:left w:val="single" w:sz="8" w:space="0" w:color="000000"/>
            </w:tcBorders>
          </w:tcPr>
          <w:p>
            <w:pPr>
              <w:pStyle w:val="TableParagraph"/>
              <w:spacing w:line="199" w:lineRule="exact"/>
              <w:ind w:left="60"/>
              <w:jc w:val="left"/>
              <w:rPr>
                <w:b/>
                <w:sz w:val="18"/>
              </w:rPr>
            </w:pPr>
            <w:r>
              <w:rPr>
                <w:b/>
                <w:color w:val="333333"/>
                <w:sz w:val="18"/>
              </w:rPr>
              <w:t>AXAPUSCO</w:t>
            </w:r>
          </w:p>
        </w:tc>
        <w:tc>
          <w:tcPr>
            <w:tcW w:w="456" w:type="dxa"/>
          </w:tcPr>
          <w:p>
            <w:pPr>
              <w:pStyle w:val="TableParagraph"/>
              <w:spacing w:line="203" w:lineRule="exact"/>
              <w:ind w:left="172"/>
              <w:jc w:val="left"/>
              <w:rPr>
                <w:sz w:val="18"/>
              </w:rPr>
            </w:pPr>
            <w:r>
              <w:rPr>
                <w:w w:val="99"/>
                <w:sz w:val="18"/>
              </w:rPr>
              <w:t>0</w:t>
            </w:r>
          </w:p>
        </w:tc>
        <w:tc>
          <w:tcPr>
            <w:tcW w:w="458" w:type="dxa"/>
          </w:tcPr>
          <w:p>
            <w:pPr>
              <w:pStyle w:val="TableParagraph"/>
              <w:spacing w:line="203" w:lineRule="exact"/>
              <w:ind w:right="1"/>
              <w:rPr>
                <w:sz w:val="18"/>
              </w:rPr>
            </w:pPr>
            <w:r>
              <w:rPr>
                <w:w w:val="99"/>
                <w:sz w:val="18"/>
              </w:rPr>
              <w:t>0</w:t>
            </w:r>
          </w:p>
        </w:tc>
        <w:tc>
          <w:tcPr>
            <w:tcW w:w="475" w:type="dxa"/>
          </w:tcPr>
          <w:p>
            <w:pPr>
              <w:pStyle w:val="TableParagraph"/>
              <w:spacing w:line="203" w:lineRule="exact"/>
              <w:rPr>
                <w:sz w:val="18"/>
              </w:rPr>
            </w:pPr>
            <w:r>
              <w:rPr>
                <w:w w:val="99"/>
                <w:sz w:val="18"/>
              </w:rPr>
              <w:t>0</w:t>
            </w:r>
          </w:p>
        </w:tc>
        <w:tc>
          <w:tcPr>
            <w:tcW w:w="473" w:type="dxa"/>
          </w:tcPr>
          <w:p>
            <w:pPr>
              <w:pStyle w:val="TableParagraph"/>
              <w:spacing w:line="203" w:lineRule="exact"/>
              <w:ind w:left="1"/>
              <w:rPr>
                <w:sz w:val="18"/>
              </w:rPr>
            </w:pPr>
            <w:r>
              <w:rPr>
                <w:w w:val="99"/>
                <w:sz w:val="18"/>
              </w:rPr>
              <w:t>0</w:t>
            </w:r>
          </w:p>
        </w:tc>
        <w:tc>
          <w:tcPr>
            <w:tcW w:w="475" w:type="dxa"/>
            <w:tcBorders>
              <w:right w:val="single" w:sz="4" w:space="0" w:color="000000"/>
            </w:tcBorders>
          </w:tcPr>
          <w:p>
            <w:pPr>
              <w:pStyle w:val="TableParagraph"/>
              <w:spacing w:line="203" w:lineRule="exact"/>
              <w:ind w:left="4"/>
              <w:rPr>
                <w:sz w:val="18"/>
              </w:rPr>
            </w:pPr>
            <w:r>
              <w:rPr>
                <w:w w:val="99"/>
                <w:sz w:val="18"/>
              </w:rPr>
              <w:t>0</w:t>
            </w:r>
          </w:p>
        </w:tc>
        <w:tc>
          <w:tcPr>
            <w:tcW w:w="476" w:type="dxa"/>
            <w:tcBorders>
              <w:left w:val="single" w:sz="4" w:space="0" w:color="000000"/>
            </w:tcBorders>
          </w:tcPr>
          <w:p>
            <w:pPr>
              <w:pStyle w:val="TableParagraph"/>
              <w:spacing w:line="203" w:lineRule="exact"/>
              <w:rPr>
                <w:sz w:val="18"/>
              </w:rPr>
            </w:pPr>
            <w:r>
              <w:rPr>
                <w:w w:val="99"/>
                <w:sz w:val="18"/>
              </w:rPr>
              <w:t>0</w:t>
            </w:r>
          </w:p>
        </w:tc>
      </w:tr>
      <w:tr>
        <w:trPr>
          <w:trHeight w:val="319" w:hRule="exact"/>
        </w:trPr>
        <w:tc>
          <w:tcPr>
            <w:tcW w:w="4554" w:type="dxa"/>
            <w:tcBorders>
              <w:left w:val="single" w:sz="8" w:space="0" w:color="000000"/>
            </w:tcBorders>
          </w:tcPr>
          <w:p>
            <w:pPr>
              <w:pStyle w:val="TableParagraph"/>
              <w:spacing w:line="199" w:lineRule="exact"/>
              <w:ind w:left="60"/>
              <w:jc w:val="left"/>
              <w:rPr>
                <w:b/>
                <w:sz w:val="18"/>
              </w:rPr>
            </w:pPr>
            <w:r>
              <w:rPr>
                <w:b/>
                <w:color w:val="333333"/>
                <w:sz w:val="18"/>
              </w:rPr>
              <w:t>AYAPANGO</w:t>
            </w:r>
          </w:p>
        </w:tc>
        <w:tc>
          <w:tcPr>
            <w:tcW w:w="456" w:type="dxa"/>
          </w:tcPr>
          <w:p>
            <w:pPr>
              <w:pStyle w:val="TableParagraph"/>
              <w:spacing w:line="203" w:lineRule="exact"/>
              <w:ind w:left="172"/>
              <w:jc w:val="left"/>
              <w:rPr>
                <w:sz w:val="18"/>
              </w:rPr>
            </w:pPr>
            <w:r>
              <w:rPr>
                <w:w w:val="99"/>
                <w:sz w:val="18"/>
              </w:rPr>
              <w:t>0</w:t>
            </w:r>
          </w:p>
        </w:tc>
        <w:tc>
          <w:tcPr>
            <w:tcW w:w="458" w:type="dxa"/>
          </w:tcPr>
          <w:p>
            <w:pPr>
              <w:pStyle w:val="TableParagraph"/>
              <w:spacing w:line="203" w:lineRule="exact"/>
              <w:ind w:right="1"/>
              <w:rPr>
                <w:sz w:val="18"/>
              </w:rPr>
            </w:pPr>
            <w:r>
              <w:rPr>
                <w:w w:val="99"/>
                <w:sz w:val="18"/>
              </w:rPr>
              <w:t>0</w:t>
            </w:r>
          </w:p>
        </w:tc>
        <w:tc>
          <w:tcPr>
            <w:tcW w:w="475" w:type="dxa"/>
          </w:tcPr>
          <w:p>
            <w:pPr>
              <w:pStyle w:val="TableParagraph"/>
              <w:spacing w:line="203" w:lineRule="exact"/>
              <w:rPr>
                <w:sz w:val="18"/>
              </w:rPr>
            </w:pPr>
            <w:r>
              <w:rPr>
                <w:w w:val="99"/>
                <w:sz w:val="18"/>
              </w:rPr>
              <w:t>0</w:t>
            </w:r>
          </w:p>
        </w:tc>
        <w:tc>
          <w:tcPr>
            <w:tcW w:w="473" w:type="dxa"/>
          </w:tcPr>
          <w:p>
            <w:pPr>
              <w:pStyle w:val="TableParagraph"/>
              <w:spacing w:line="203" w:lineRule="exact"/>
              <w:ind w:left="1"/>
              <w:rPr>
                <w:sz w:val="18"/>
              </w:rPr>
            </w:pPr>
            <w:r>
              <w:rPr>
                <w:w w:val="99"/>
                <w:sz w:val="18"/>
              </w:rPr>
              <w:t>0</w:t>
            </w:r>
          </w:p>
        </w:tc>
        <w:tc>
          <w:tcPr>
            <w:tcW w:w="475" w:type="dxa"/>
            <w:tcBorders>
              <w:right w:val="single" w:sz="4" w:space="0" w:color="000000"/>
            </w:tcBorders>
          </w:tcPr>
          <w:p>
            <w:pPr>
              <w:pStyle w:val="TableParagraph"/>
              <w:spacing w:line="203" w:lineRule="exact"/>
              <w:ind w:left="4"/>
              <w:rPr>
                <w:sz w:val="18"/>
              </w:rPr>
            </w:pPr>
            <w:r>
              <w:rPr>
                <w:w w:val="99"/>
                <w:sz w:val="18"/>
              </w:rPr>
              <w:t>0</w:t>
            </w:r>
          </w:p>
        </w:tc>
        <w:tc>
          <w:tcPr>
            <w:tcW w:w="476" w:type="dxa"/>
            <w:tcBorders>
              <w:left w:val="single" w:sz="4" w:space="0" w:color="000000"/>
            </w:tcBorders>
          </w:tcPr>
          <w:p>
            <w:pPr>
              <w:pStyle w:val="TableParagraph"/>
              <w:spacing w:line="203" w:lineRule="exact"/>
              <w:rPr>
                <w:sz w:val="18"/>
              </w:rPr>
            </w:pPr>
            <w:r>
              <w:rPr>
                <w:w w:val="99"/>
                <w:sz w:val="18"/>
              </w:rPr>
              <w:t>0</w:t>
            </w:r>
          </w:p>
        </w:tc>
      </w:tr>
      <w:tr>
        <w:trPr>
          <w:trHeight w:val="322" w:hRule="exact"/>
        </w:trPr>
        <w:tc>
          <w:tcPr>
            <w:tcW w:w="4554" w:type="dxa"/>
            <w:tcBorders>
              <w:left w:val="single" w:sz="8" w:space="0" w:color="000000"/>
            </w:tcBorders>
          </w:tcPr>
          <w:p>
            <w:pPr>
              <w:pStyle w:val="TableParagraph"/>
              <w:spacing w:line="199" w:lineRule="exact"/>
              <w:ind w:left="60"/>
              <w:jc w:val="left"/>
              <w:rPr>
                <w:b/>
                <w:sz w:val="18"/>
              </w:rPr>
            </w:pPr>
            <w:r>
              <w:rPr>
                <w:b/>
                <w:color w:val="333333"/>
                <w:sz w:val="18"/>
              </w:rPr>
              <w:t>CALIMAYA</w:t>
            </w:r>
          </w:p>
        </w:tc>
        <w:tc>
          <w:tcPr>
            <w:tcW w:w="456" w:type="dxa"/>
          </w:tcPr>
          <w:p>
            <w:pPr>
              <w:pStyle w:val="TableParagraph"/>
              <w:spacing w:line="203" w:lineRule="exact"/>
              <w:ind w:left="172"/>
              <w:jc w:val="left"/>
              <w:rPr>
                <w:sz w:val="18"/>
              </w:rPr>
            </w:pPr>
            <w:r>
              <w:rPr>
                <w:w w:val="99"/>
                <w:sz w:val="18"/>
              </w:rPr>
              <w:t>0</w:t>
            </w:r>
          </w:p>
        </w:tc>
        <w:tc>
          <w:tcPr>
            <w:tcW w:w="458" w:type="dxa"/>
          </w:tcPr>
          <w:p>
            <w:pPr>
              <w:pStyle w:val="TableParagraph"/>
              <w:spacing w:line="203" w:lineRule="exact"/>
              <w:ind w:right="1"/>
              <w:rPr>
                <w:sz w:val="18"/>
              </w:rPr>
            </w:pPr>
            <w:r>
              <w:rPr>
                <w:w w:val="99"/>
                <w:sz w:val="18"/>
              </w:rPr>
              <w:t>0</w:t>
            </w:r>
          </w:p>
        </w:tc>
        <w:tc>
          <w:tcPr>
            <w:tcW w:w="475" w:type="dxa"/>
          </w:tcPr>
          <w:p>
            <w:pPr>
              <w:pStyle w:val="TableParagraph"/>
              <w:spacing w:line="203" w:lineRule="exact"/>
              <w:rPr>
                <w:sz w:val="18"/>
              </w:rPr>
            </w:pPr>
            <w:r>
              <w:rPr>
                <w:w w:val="99"/>
                <w:sz w:val="18"/>
              </w:rPr>
              <w:t>0</w:t>
            </w:r>
          </w:p>
        </w:tc>
        <w:tc>
          <w:tcPr>
            <w:tcW w:w="473" w:type="dxa"/>
          </w:tcPr>
          <w:p>
            <w:pPr>
              <w:pStyle w:val="TableParagraph"/>
              <w:spacing w:line="203" w:lineRule="exact"/>
              <w:ind w:left="1"/>
              <w:rPr>
                <w:sz w:val="18"/>
              </w:rPr>
            </w:pPr>
            <w:r>
              <w:rPr>
                <w:w w:val="99"/>
                <w:sz w:val="18"/>
              </w:rPr>
              <w:t>5</w:t>
            </w:r>
          </w:p>
        </w:tc>
        <w:tc>
          <w:tcPr>
            <w:tcW w:w="475" w:type="dxa"/>
            <w:tcBorders>
              <w:right w:val="single" w:sz="4" w:space="0" w:color="000000"/>
            </w:tcBorders>
          </w:tcPr>
          <w:p>
            <w:pPr>
              <w:pStyle w:val="TableParagraph"/>
              <w:spacing w:line="203" w:lineRule="exact"/>
              <w:ind w:left="4"/>
              <w:rPr>
                <w:sz w:val="18"/>
              </w:rPr>
            </w:pPr>
            <w:r>
              <w:rPr>
                <w:w w:val="99"/>
                <w:sz w:val="18"/>
              </w:rPr>
              <w:t>3</w:t>
            </w:r>
          </w:p>
        </w:tc>
        <w:tc>
          <w:tcPr>
            <w:tcW w:w="476" w:type="dxa"/>
            <w:tcBorders>
              <w:left w:val="single" w:sz="4" w:space="0" w:color="000000"/>
            </w:tcBorders>
          </w:tcPr>
          <w:p>
            <w:pPr>
              <w:pStyle w:val="TableParagraph"/>
              <w:spacing w:line="203" w:lineRule="exact"/>
              <w:rPr>
                <w:sz w:val="18"/>
              </w:rPr>
            </w:pPr>
            <w:r>
              <w:rPr>
                <w:w w:val="99"/>
                <w:sz w:val="18"/>
              </w:rPr>
              <w:t>2</w:t>
            </w:r>
          </w:p>
        </w:tc>
      </w:tr>
      <w:tr>
        <w:trPr>
          <w:trHeight w:val="320" w:hRule="exact"/>
        </w:trPr>
        <w:tc>
          <w:tcPr>
            <w:tcW w:w="4554" w:type="dxa"/>
            <w:tcBorders>
              <w:left w:val="single" w:sz="8" w:space="0" w:color="000000"/>
            </w:tcBorders>
          </w:tcPr>
          <w:p>
            <w:pPr>
              <w:pStyle w:val="TableParagraph"/>
              <w:spacing w:line="199" w:lineRule="exact"/>
              <w:ind w:left="60"/>
              <w:jc w:val="left"/>
              <w:rPr>
                <w:b/>
                <w:sz w:val="18"/>
              </w:rPr>
            </w:pPr>
            <w:r>
              <w:rPr>
                <w:b/>
                <w:color w:val="333333"/>
                <w:sz w:val="18"/>
              </w:rPr>
              <w:t>CAPULHUAC</w:t>
            </w:r>
          </w:p>
        </w:tc>
        <w:tc>
          <w:tcPr>
            <w:tcW w:w="456" w:type="dxa"/>
          </w:tcPr>
          <w:p>
            <w:pPr>
              <w:pStyle w:val="TableParagraph"/>
              <w:spacing w:line="204" w:lineRule="exact"/>
              <w:ind w:left="172"/>
              <w:jc w:val="left"/>
              <w:rPr>
                <w:sz w:val="18"/>
              </w:rPr>
            </w:pPr>
            <w:r>
              <w:rPr>
                <w:w w:val="99"/>
                <w:sz w:val="18"/>
              </w:rPr>
              <w:t>0</w:t>
            </w:r>
          </w:p>
        </w:tc>
        <w:tc>
          <w:tcPr>
            <w:tcW w:w="458" w:type="dxa"/>
          </w:tcPr>
          <w:p>
            <w:pPr>
              <w:pStyle w:val="TableParagraph"/>
              <w:spacing w:line="204" w:lineRule="exact"/>
              <w:ind w:right="1"/>
              <w:rPr>
                <w:sz w:val="18"/>
              </w:rPr>
            </w:pPr>
            <w:r>
              <w:rPr>
                <w:w w:val="99"/>
                <w:sz w:val="18"/>
              </w:rPr>
              <w:t>0</w:t>
            </w:r>
          </w:p>
        </w:tc>
        <w:tc>
          <w:tcPr>
            <w:tcW w:w="475" w:type="dxa"/>
          </w:tcPr>
          <w:p>
            <w:pPr>
              <w:pStyle w:val="TableParagraph"/>
              <w:spacing w:line="204" w:lineRule="exact"/>
              <w:rPr>
                <w:sz w:val="18"/>
              </w:rPr>
            </w:pPr>
            <w:r>
              <w:rPr>
                <w:w w:val="99"/>
                <w:sz w:val="18"/>
              </w:rPr>
              <w:t>5</w:t>
            </w:r>
          </w:p>
        </w:tc>
        <w:tc>
          <w:tcPr>
            <w:tcW w:w="473" w:type="dxa"/>
          </w:tcPr>
          <w:p>
            <w:pPr>
              <w:pStyle w:val="TableParagraph"/>
              <w:spacing w:line="204" w:lineRule="exact"/>
              <w:ind w:left="1"/>
              <w:rPr>
                <w:sz w:val="18"/>
              </w:rPr>
            </w:pPr>
            <w:r>
              <w:rPr>
                <w:w w:val="99"/>
                <w:sz w:val="18"/>
              </w:rPr>
              <w:t>7</w:t>
            </w:r>
          </w:p>
        </w:tc>
        <w:tc>
          <w:tcPr>
            <w:tcW w:w="475" w:type="dxa"/>
            <w:tcBorders>
              <w:right w:val="single" w:sz="4" w:space="0" w:color="000000"/>
            </w:tcBorders>
          </w:tcPr>
          <w:p>
            <w:pPr>
              <w:pStyle w:val="TableParagraph"/>
              <w:spacing w:line="204" w:lineRule="exact"/>
              <w:ind w:left="4"/>
              <w:rPr>
                <w:sz w:val="18"/>
              </w:rPr>
            </w:pPr>
            <w:r>
              <w:rPr>
                <w:w w:val="99"/>
                <w:sz w:val="18"/>
              </w:rPr>
              <w:t>7</w:t>
            </w:r>
          </w:p>
        </w:tc>
        <w:tc>
          <w:tcPr>
            <w:tcW w:w="476" w:type="dxa"/>
            <w:tcBorders>
              <w:left w:val="single" w:sz="4" w:space="0" w:color="000000"/>
            </w:tcBorders>
          </w:tcPr>
          <w:p>
            <w:pPr>
              <w:pStyle w:val="TableParagraph"/>
              <w:spacing w:line="204" w:lineRule="exact"/>
              <w:rPr>
                <w:sz w:val="18"/>
              </w:rPr>
            </w:pPr>
            <w:r>
              <w:rPr>
                <w:w w:val="99"/>
                <w:sz w:val="18"/>
              </w:rPr>
              <w:t>7</w:t>
            </w:r>
          </w:p>
        </w:tc>
      </w:tr>
      <w:tr>
        <w:trPr>
          <w:trHeight w:val="322" w:hRule="exact"/>
        </w:trPr>
        <w:tc>
          <w:tcPr>
            <w:tcW w:w="4554" w:type="dxa"/>
            <w:tcBorders>
              <w:left w:val="single" w:sz="8" w:space="0" w:color="000000"/>
            </w:tcBorders>
          </w:tcPr>
          <w:p>
            <w:pPr>
              <w:pStyle w:val="TableParagraph"/>
              <w:spacing w:line="199" w:lineRule="exact"/>
              <w:ind w:left="60"/>
              <w:jc w:val="left"/>
              <w:rPr>
                <w:b/>
                <w:sz w:val="18"/>
              </w:rPr>
            </w:pPr>
            <w:r>
              <w:rPr>
                <w:b/>
                <w:color w:val="333333"/>
                <w:sz w:val="18"/>
              </w:rPr>
              <w:t>CHALCO</w:t>
            </w:r>
          </w:p>
        </w:tc>
        <w:tc>
          <w:tcPr>
            <w:tcW w:w="456" w:type="dxa"/>
          </w:tcPr>
          <w:p>
            <w:pPr>
              <w:pStyle w:val="TableParagraph"/>
              <w:spacing w:line="203" w:lineRule="exact"/>
              <w:ind w:left="172"/>
              <w:jc w:val="left"/>
              <w:rPr>
                <w:sz w:val="18"/>
              </w:rPr>
            </w:pPr>
            <w:r>
              <w:rPr>
                <w:w w:val="99"/>
                <w:sz w:val="18"/>
              </w:rPr>
              <w:t>0</w:t>
            </w:r>
          </w:p>
        </w:tc>
        <w:tc>
          <w:tcPr>
            <w:tcW w:w="458" w:type="dxa"/>
          </w:tcPr>
          <w:p>
            <w:pPr>
              <w:pStyle w:val="TableParagraph"/>
              <w:spacing w:line="203" w:lineRule="exact"/>
              <w:ind w:right="1"/>
              <w:rPr>
                <w:sz w:val="18"/>
              </w:rPr>
            </w:pPr>
            <w:r>
              <w:rPr>
                <w:w w:val="99"/>
                <w:sz w:val="18"/>
              </w:rPr>
              <w:t>1</w:t>
            </w:r>
          </w:p>
        </w:tc>
        <w:tc>
          <w:tcPr>
            <w:tcW w:w="475" w:type="dxa"/>
          </w:tcPr>
          <w:p>
            <w:pPr>
              <w:pStyle w:val="TableParagraph"/>
              <w:spacing w:line="203" w:lineRule="exact"/>
              <w:rPr>
                <w:sz w:val="18"/>
              </w:rPr>
            </w:pPr>
            <w:r>
              <w:rPr>
                <w:w w:val="99"/>
                <w:sz w:val="18"/>
              </w:rPr>
              <w:t>0</w:t>
            </w:r>
          </w:p>
        </w:tc>
        <w:tc>
          <w:tcPr>
            <w:tcW w:w="473" w:type="dxa"/>
          </w:tcPr>
          <w:p>
            <w:pPr>
              <w:pStyle w:val="TableParagraph"/>
              <w:spacing w:line="203" w:lineRule="exact"/>
              <w:ind w:left="62" w:right="60"/>
              <w:rPr>
                <w:sz w:val="18"/>
              </w:rPr>
            </w:pPr>
            <w:r>
              <w:rPr>
                <w:sz w:val="18"/>
              </w:rPr>
              <w:t>48</w:t>
            </w:r>
          </w:p>
        </w:tc>
        <w:tc>
          <w:tcPr>
            <w:tcW w:w="475" w:type="dxa"/>
            <w:tcBorders>
              <w:right w:val="single" w:sz="4" w:space="0" w:color="000000"/>
            </w:tcBorders>
          </w:tcPr>
          <w:p>
            <w:pPr>
              <w:pStyle w:val="TableParagraph"/>
              <w:spacing w:line="203" w:lineRule="exact"/>
              <w:ind w:left="4"/>
              <w:rPr>
                <w:sz w:val="18"/>
              </w:rPr>
            </w:pPr>
            <w:r>
              <w:rPr>
                <w:w w:val="99"/>
                <w:sz w:val="18"/>
              </w:rPr>
              <w:t>0</w:t>
            </w:r>
          </w:p>
        </w:tc>
        <w:tc>
          <w:tcPr>
            <w:tcW w:w="476" w:type="dxa"/>
            <w:tcBorders>
              <w:left w:val="single" w:sz="4" w:space="0" w:color="000000"/>
            </w:tcBorders>
          </w:tcPr>
          <w:p>
            <w:pPr>
              <w:pStyle w:val="TableParagraph"/>
              <w:spacing w:line="203" w:lineRule="exact"/>
              <w:rPr>
                <w:sz w:val="18"/>
              </w:rPr>
            </w:pPr>
            <w:r>
              <w:rPr>
                <w:w w:val="99"/>
                <w:sz w:val="18"/>
              </w:rPr>
              <w:t>0</w:t>
            </w:r>
          </w:p>
        </w:tc>
      </w:tr>
      <w:tr>
        <w:trPr>
          <w:trHeight w:val="319" w:hRule="exact"/>
        </w:trPr>
        <w:tc>
          <w:tcPr>
            <w:tcW w:w="4554" w:type="dxa"/>
            <w:tcBorders>
              <w:left w:val="single" w:sz="8" w:space="0" w:color="000000"/>
            </w:tcBorders>
          </w:tcPr>
          <w:p>
            <w:pPr>
              <w:pStyle w:val="TableParagraph"/>
              <w:spacing w:line="199" w:lineRule="exact"/>
              <w:ind w:left="60"/>
              <w:jc w:val="left"/>
              <w:rPr>
                <w:b/>
                <w:sz w:val="18"/>
              </w:rPr>
            </w:pPr>
            <w:r>
              <w:rPr>
                <w:b/>
                <w:color w:val="333333"/>
                <w:sz w:val="18"/>
              </w:rPr>
              <w:t>CHAPA DE MOTA</w:t>
            </w:r>
          </w:p>
        </w:tc>
        <w:tc>
          <w:tcPr>
            <w:tcW w:w="456" w:type="dxa"/>
          </w:tcPr>
          <w:p>
            <w:pPr>
              <w:pStyle w:val="TableParagraph"/>
              <w:spacing w:line="203" w:lineRule="exact"/>
              <w:ind w:left="172"/>
              <w:jc w:val="left"/>
              <w:rPr>
                <w:sz w:val="18"/>
              </w:rPr>
            </w:pPr>
            <w:r>
              <w:rPr>
                <w:w w:val="99"/>
                <w:sz w:val="18"/>
              </w:rPr>
              <w:t>0</w:t>
            </w:r>
          </w:p>
        </w:tc>
        <w:tc>
          <w:tcPr>
            <w:tcW w:w="458" w:type="dxa"/>
          </w:tcPr>
          <w:p>
            <w:pPr>
              <w:pStyle w:val="TableParagraph"/>
              <w:spacing w:line="203" w:lineRule="exact"/>
              <w:ind w:right="1"/>
              <w:rPr>
                <w:sz w:val="18"/>
              </w:rPr>
            </w:pPr>
            <w:r>
              <w:rPr>
                <w:w w:val="99"/>
                <w:sz w:val="18"/>
              </w:rPr>
              <w:t>0</w:t>
            </w:r>
          </w:p>
        </w:tc>
        <w:tc>
          <w:tcPr>
            <w:tcW w:w="475" w:type="dxa"/>
          </w:tcPr>
          <w:p>
            <w:pPr>
              <w:pStyle w:val="TableParagraph"/>
              <w:spacing w:line="203" w:lineRule="exact"/>
              <w:rPr>
                <w:sz w:val="18"/>
              </w:rPr>
            </w:pPr>
            <w:r>
              <w:rPr>
                <w:w w:val="99"/>
                <w:sz w:val="18"/>
              </w:rPr>
              <w:t>0</w:t>
            </w:r>
          </w:p>
        </w:tc>
        <w:tc>
          <w:tcPr>
            <w:tcW w:w="473" w:type="dxa"/>
          </w:tcPr>
          <w:p>
            <w:pPr>
              <w:pStyle w:val="TableParagraph"/>
              <w:spacing w:line="203" w:lineRule="exact"/>
              <w:ind w:left="1"/>
              <w:rPr>
                <w:sz w:val="18"/>
              </w:rPr>
            </w:pPr>
            <w:r>
              <w:rPr>
                <w:w w:val="99"/>
                <w:sz w:val="18"/>
              </w:rPr>
              <w:t>8</w:t>
            </w:r>
          </w:p>
        </w:tc>
        <w:tc>
          <w:tcPr>
            <w:tcW w:w="475" w:type="dxa"/>
            <w:tcBorders>
              <w:right w:val="single" w:sz="4" w:space="0" w:color="000000"/>
            </w:tcBorders>
          </w:tcPr>
          <w:p>
            <w:pPr>
              <w:pStyle w:val="TableParagraph"/>
              <w:spacing w:line="203" w:lineRule="exact"/>
              <w:ind w:left="4"/>
              <w:rPr>
                <w:sz w:val="18"/>
              </w:rPr>
            </w:pPr>
            <w:r>
              <w:rPr>
                <w:w w:val="99"/>
                <w:sz w:val="18"/>
              </w:rPr>
              <w:t>3</w:t>
            </w:r>
          </w:p>
        </w:tc>
        <w:tc>
          <w:tcPr>
            <w:tcW w:w="476" w:type="dxa"/>
            <w:tcBorders>
              <w:left w:val="single" w:sz="4" w:space="0" w:color="000000"/>
            </w:tcBorders>
          </w:tcPr>
          <w:p>
            <w:pPr>
              <w:pStyle w:val="TableParagraph"/>
              <w:spacing w:line="203" w:lineRule="exact"/>
              <w:rPr>
                <w:sz w:val="18"/>
              </w:rPr>
            </w:pPr>
            <w:r>
              <w:rPr>
                <w:w w:val="99"/>
                <w:sz w:val="18"/>
              </w:rPr>
              <w:t>2</w:t>
            </w:r>
          </w:p>
        </w:tc>
      </w:tr>
      <w:tr>
        <w:trPr>
          <w:trHeight w:val="322" w:hRule="exact"/>
        </w:trPr>
        <w:tc>
          <w:tcPr>
            <w:tcW w:w="4554" w:type="dxa"/>
            <w:tcBorders>
              <w:left w:val="single" w:sz="8" w:space="0" w:color="000000"/>
            </w:tcBorders>
          </w:tcPr>
          <w:p>
            <w:pPr>
              <w:pStyle w:val="TableParagraph"/>
              <w:spacing w:line="199" w:lineRule="exact"/>
              <w:ind w:left="60"/>
              <w:jc w:val="left"/>
              <w:rPr>
                <w:b/>
                <w:sz w:val="18"/>
              </w:rPr>
            </w:pPr>
            <w:r>
              <w:rPr>
                <w:b/>
                <w:color w:val="333333"/>
                <w:sz w:val="18"/>
              </w:rPr>
              <w:t>CHAPULTEPEC</w:t>
            </w:r>
          </w:p>
        </w:tc>
        <w:tc>
          <w:tcPr>
            <w:tcW w:w="456" w:type="dxa"/>
          </w:tcPr>
          <w:p>
            <w:pPr>
              <w:pStyle w:val="TableParagraph"/>
              <w:spacing w:line="203" w:lineRule="exact"/>
              <w:ind w:left="172"/>
              <w:jc w:val="left"/>
              <w:rPr>
                <w:sz w:val="18"/>
              </w:rPr>
            </w:pPr>
            <w:r>
              <w:rPr>
                <w:w w:val="99"/>
                <w:sz w:val="18"/>
              </w:rPr>
              <w:t>0</w:t>
            </w:r>
          </w:p>
        </w:tc>
        <w:tc>
          <w:tcPr>
            <w:tcW w:w="458" w:type="dxa"/>
          </w:tcPr>
          <w:p>
            <w:pPr>
              <w:pStyle w:val="TableParagraph"/>
              <w:spacing w:line="203" w:lineRule="exact"/>
              <w:ind w:right="1"/>
              <w:rPr>
                <w:sz w:val="18"/>
              </w:rPr>
            </w:pPr>
            <w:r>
              <w:rPr>
                <w:w w:val="99"/>
                <w:sz w:val="18"/>
              </w:rPr>
              <w:t>0</w:t>
            </w:r>
          </w:p>
        </w:tc>
        <w:tc>
          <w:tcPr>
            <w:tcW w:w="475" w:type="dxa"/>
          </w:tcPr>
          <w:p>
            <w:pPr>
              <w:pStyle w:val="TableParagraph"/>
              <w:spacing w:line="203" w:lineRule="exact"/>
              <w:rPr>
                <w:sz w:val="18"/>
              </w:rPr>
            </w:pPr>
            <w:r>
              <w:rPr>
                <w:w w:val="99"/>
                <w:sz w:val="18"/>
              </w:rPr>
              <w:t>0</w:t>
            </w:r>
          </w:p>
        </w:tc>
        <w:tc>
          <w:tcPr>
            <w:tcW w:w="473" w:type="dxa"/>
          </w:tcPr>
          <w:p>
            <w:pPr>
              <w:pStyle w:val="TableParagraph"/>
              <w:spacing w:line="203" w:lineRule="exact"/>
              <w:ind w:left="1"/>
              <w:rPr>
                <w:sz w:val="18"/>
              </w:rPr>
            </w:pPr>
            <w:r>
              <w:rPr>
                <w:w w:val="99"/>
                <w:sz w:val="18"/>
              </w:rPr>
              <w:t>0</w:t>
            </w:r>
          </w:p>
        </w:tc>
        <w:tc>
          <w:tcPr>
            <w:tcW w:w="475" w:type="dxa"/>
            <w:tcBorders>
              <w:right w:val="single" w:sz="4" w:space="0" w:color="000000"/>
            </w:tcBorders>
          </w:tcPr>
          <w:p>
            <w:pPr>
              <w:pStyle w:val="TableParagraph"/>
              <w:spacing w:line="203" w:lineRule="exact"/>
              <w:ind w:left="4"/>
              <w:rPr>
                <w:sz w:val="18"/>
              </w:rPr>
            </w:pPr>
            <w:r>
              <w:rPr>
                <w:w w:val="99"/>
                <w:sz w:val="18"/>
              </w:rPr>
              <w:t>3</w:t>
            </w:r>
          </w:p>
        </w:tc>
        <w:tc>
          <w:tcPr>
            <w:tcW w:w="476" w:type="dxa"/>
            <w:tcBorders>
              <w:left w:val="single" w:sz="4" w:space="0" w:color="000000"/>
            </w:tcBorders>
          </w:tcPr>
          <w:p>
            <w:pPr>
              <w:pStyle w:val="TableParagraph"/>
              <w:spacing w:line="203" w:lineRule="exact"/>
              <w:rPr>
                <w:sz w:val="18"/>
              </w:rPr>
            </w:pPr>
            <w:r>
              <w:rPr>
                <w:w w:val="99"/>
                <w:sz w:val="18"/>
              </w:rPr>
              <w:t>0</w:t>
            </w:r>
          </w:p>
        </w:tc>
      </w:tr>
      <w:tr>
        <w:trPr>
          <w:trHeight w:val="319" w:hRule="exact"/>
        </w:trPr>
        <w:tc>
          <w:tcPr>
            <w:tcW w:w="4554" w:type="dxa"/>
            <w:tcBorders>
              <w:left w:val="single" w:sz="8" w:space="0" w:color="000000"/>
            </w:tcBorders>
          </w:tcPr>
          <w:p>
            <w:pPr>
              <w:pStyle w:val="TableParagraph"/>
              <w:spacing w:line="199" w:lineRule="exact"/>
              <w:ind w:left="60"/>
              <w:jc w:val="left"/>
              <w:rPr>
                <w:b/>
                <w:sz w:val="18"/>
              </w:rPr>
            </w:pPr>
            <w:r>
              <w:rPr>
                <w:b/>
                <w:color w:val="333333"/>
                <w:sz w:val="18"/>
              </w:rPr>
              <w:t>CHIAUTLA</w:t>
            </w:r>
          </w:p>
        </w:tc>
        <w:tc>
          <w:tcPr>
            <w:tcW w:w="456" w:type="dxa"/>
          </w:tcPr>
          <w:p>
            <w:pPr>
              <w:pStyle w:val="TableParagraph"/>
              <w:spacing w:line="203" w:lineRule="exact"/>
              <w:ind w:left="172"/>
              <w:jc w:val="left"/>
              <w:rPr>
                <w:sz w:val="18"/>
              </w:rPr>
            </w:pPr>
            <w:r>
              <w:rPr>
                <w:w w:val="99"/>
                <w:sz w:val="18"/>
              </w:rPr>
              <w:t>0</w:t>
            </w:r>
          </w:p>
        </w:tc>
        <w:tc>
          <w:tcPr>
            <w:tcW w:w="458" w:type="dxa"/>
          </w:tcPr>
          <w:p>
            <w:pPr>
              <w:pStyle w:val="TableParagraph"/>
              <w:spacing w:line="203" w:lineRule="exact"/>
              <w:ind w:right="1"/>
              <w:rPr>
                <w:sz w:val="18"/>
              </w:rPr>
            </w:pPr>
            <w:r>
              <w:rPr>
                <w:w w:val="99"/>
                <w:sz w:val="18"/>
              </w:rPr>
              <w:t>0</w:t>
            </w:r>
          </w:p>
        </w:tc>
        <w:tc>
          <w:tcPr>
            <w:tcW w:w="475" w:type="dxa"/>
          </w:tcPr>
          <w:p>
            <w:pPr>
              <w:pStyle w:val="TableParagraph"/>
              <w:spacing w:line="203" w:lineRule="exact"/>
              <w:rPr>
                <w:sz w:val="18"/>
              </w:rPr>
            </w:pPr>
            <w:r>
              <w:rPr>
                <w:w w:val="99"/>
                <w:sz w:val="18"/>
              </w:rPr>
              <w:t>0</w:t>
            </w:r>
          </w:p>
        </w:tc>
        <w:tc>
          <w:tcPr>
            <w:tcW w:w="473" w:type="dxa"/>
          </w:tcPr>
          <w:p>
            <w:pPr>
              <w:pStyle w:val="TableParagraph"/>
              <w:spacing w:line="203" w:lineRule="exact"/>
              <w:ind w:left="1"/>
              <w:rPr>
                <w:sz w:val="18"/>
              </w:rPr>
            </w:pPr>
            <w:r>
              <w:rPr>
                <w:w w:val="99"/>
                <w:sz w:val="18"/>
              </w:rPr>
              <w:t>0</w:t>
            </w:r>
          </w:p>
        </w:tc>
        <w:tc>
          <w:tcPr>
            <w:tcW w:w="475" w:type="dxa"/>
            <w:tcBorders>
              <w:right w:val="single" w:sz="4" w:space="0" w:color="000000"/>
            </w:tcBorders>
          </w:tcPr>
          <w:p>
            <w:pPr>
              <w:pStyle w:val="TableParagraph"/>
              <w:spacing w:line="203" w:lineRule="exact"/>
              <w:ind w:left="4"/>
              <w:rPr>
                <w:sz w:val="18"/>
              </w:rPr>
            </w:pPr>
            <w:r>
              <w:rPr>
                <w:w w:val="99"/>
                <w:sz w:val="18"/>
              </w:rPr>
              <w:t>0</w:t>
            </w:r>
          </w:p>
        </w:tc>
        <w:tc>
          <w:tcPr>
            <w:tcW w:w="476" w:type="dxa"/>
            <w:tcBorders>
              <w:left w:val="single" w:sz="4" w:space="0" w:color="000000"/>
            </w:tcBorders>
          </w:tcPr>
          <w:p>
            <w:pPr>
              <w:pStyle w:val="TableParagraph"/>
              <w:spacing w:line="203" w:lineRule="exact"/>
              <w:rPr>
                <w:sz w:val="18"/>
              </w:rPr>
            </w:pPr>
            <w:r>
              <w:rPr>
                <w:w w:val="99"/>
                <w:sz w:val="18"/>
              </w:rPr>
              <w:t>0</w:t>
            </w:r>
          </w:p>
        </w:tc>
      </w:tr>
      <w:tr>
        <w:trPr>
          <w:trHeight w:val="322" w:hRule="exact"/>
        </w:trPr>
        <w:tc>
          <w:tcPr>
            <w:tcW w:w="4554" w:type="dxa"/>
            <w:tcBorders>
              <w:left w:val="single" w:sz="8" w:space="0" w:color="000000"/>
            </w:tcBorders>
          </w:tcPr>
          <w:p>
            <w:pPr>
              <w:pStyle w:val="TableParagraph"/>
              <w:spacing w:line="199" w:lineRule="exact"/>
              <w:ind w:left="60"/>
              <w:jc w:val="left"/>
              <w:rPr>
                <w:b/>
                <w:sz w:val="18"/>
              </w:rPr>
            </w:pPr>
            <w:r>
              <w:rPr>
                <w:b/>
                <w:color w:val="333333"/>
                <w:sz w:val="18"/>
              </w:rPr>
              <w:t>CHICOLOAPAN</w:t>
            </w:r>
          </w:p>
        </w:tc>
        <w:tc>
          <w:tcPr>
            <w:tcW w:w="456" w:type="dxa"/>
          </w:tcPr>
          <w:p>
            <w:pPr>
              <w:pStyle w:val="TableParagraph"/>
              <w:spacing w:line="203" w:lineRule="exact"/>
              <w:ind w:left="172"/>
              <w:jc w:val="left"/>
              <w:rPr>
                <w:sz w:val="18"/>
              </w:rPr>
            </w:pPr>
            <w:r>
              <w:rPr>
                <w:w w:val="99"/>
                <w:sz w:val="18"/>
              </w:rPr>
              <w:t>0</w:t>
            </w:r>
          </w:p>
        </w:tc>
        <w:tc>
          <w:tcPr>
            <w:tcW w:w="458" w:type="dxa"/>
          </w:tcPr>
          <w:p>
            <w:pPr>
              <w:pStyle w:val="TableParagraph"/>
              <w:spacing w:line="203" w:lineRule="exact"/>
              <w:ind w:right="1"/>
              <w:rPr>
                <w:sz w:val="18"/>
              </w:rPr>
            </w:pPr>
            <w:r>
              <w:rPr>
                <w:w w:val="99"/>
                <w:sz w:val="18"/>
              </w:rPr>
              <w:t>0</w:t>
            </w:r>
          </w:p>
        </w:tc>
        <w:tc>
          <w:tcPr>
            <w:tcW w:w="475" w:type="dxa"/>
          </w:tcPr>
          <w:p>
            <w:pPr>
              <w:pStyle w:val="TableParagraph"/>
              <w:spacing w:line="203" w:lineRule="exact"/>
              <w:rPr>
                <w:sz w:val="18"/>
              </w:rPr>
            </w:pPr>
            <w:r>
              <w:rPr>
                <w:w w:val="99"/>
                <w:sz w:val="18"/>
              </w:rPr>
              <w:t>0</w:t>
            </w:r>
          </w:p>
        </w:tc>
        <w:tc>
          <w:tcPr>
            <w:tcW w:w="473" w:type="dxa"/>
          </w:tcPr>
          <w:p>
            <w:pPr>
              <w:pStyle w:val="TableParagraph"/>
              <w:spacing w:line="203" w:lineRule="exact"/>
              <w:ind w:left="1"/>
              <w:rPr>
                <w:sz w:val="18"/>
              </w:rPr>
            </w:pPr>
            <w:r>
              <w:rPr>
                <w:w w:val="99"/>
                <w:sz w:val="18"/>
              </w:rPr>
              <w:t>0</w:t>
            </w:r>
          </w:p>
        </w:tc>
        <w:tc>
          <w:tcPr>
            <w:tcW w:w="475" w:type="dxa"/>
            <w:tcBorders>
              <w:right w:val="single" w:sz="4" w:space="0" w:color="000000"/>
            </w:tcBorders>
          </w:tcPr>
          <w:p>
            <w:pPr>
              <w:pStyle w:val="TableParagraph"/>
              <w:spacing w:line="203" w:lineRule="exact"/>
              <w:ind w:left="4"/>
              <w:rPr>
                <w:sz w:val="18"/>
              </w:rPr>
            </w:pPr>
            <w:r>
              <w:rPr>
                <w:w w:val="99"/>
                <w:sz w:val="18"/>
              </w:rPr>
              <w:t>0</w:t>
            </w:r>
          </w:p>
        </w:tc>
        <w:tc>
          <w:tcPr>
            <w:tcW w:w="476" w:type="dxa"/>
            <w:tcBorders>
              <w:left w:val="single" w:sz="4" w:space="0" w:color="000000"/>
            </w:tcBorders>
          </w:tcPr>
          <w:p>
            <w:pPr>
              <w:pStyle w:val="TableParagraph"/>
              <w:spacing w:line="203" w:lineRule="exact"/>
              <w:rPr>
                <w:sz w:val="18"/>
              </w:rPr>
            </w:pPr>
            <w:r>
              <w:rPr>
                <w:w w:val="99"/>
                <w:sz w:val="18"/>
              </w:rPr>
              <w:t>0</w:t>
            </w:r>
          </w:p>
        </w:tc>
      </w:tr>
      <w:tr>
        <w:trPr>
          <w:trHeight w:val="319" w:hRule="exact"/>
        </w:trPr>
        <w:tc>
          <w:tcPr>
            <w:tcW w:w="4554" w:type="dxa"/>
            <w:tcBorders>
              <w:left w:val="single" w:sz="8" w:space="0" w:color="000000"/>
            </w:tcBorders>
          </w:tcPr>
          <w:p>
            <w:pPr>
              <w:pStyle w:val="TableParagraph"/>
              <w:spacing w:line="199" w:lineRule="exact"/>
              <w:ind w:left="60"/>
              <w:jc w:val="left"/>
              <w:rPr>
                <w:b/>
                <w:sz w:val="18"/>
              </w:rPr>
            </w:pPr>
            <w:r>
              <w:rPr>
                <w:b/>
                <w:color w:val="333333"/>
                <w:sz w:val="18"/>
              </w:rPr>
              <w:t>CHICONCUAC</w:t>
            </w:r>
          </w:p>
        </w:tc>
        <w:tc>
          <w:tcPr>
            <w:tcW w:w="456" w:type="dxa"/>
          </w:tcPr>
          <w:p>
            <w:pPr>
              <w:pStyle w:val="TableParagraph"/>
              <w:spacing w:line="203" w:lineRule="exact"/>
              <w:ind w:left="172"/>
              <w:jc w:val="left"/>
              <w:rPr>
                <w:sz w:val="18"/>
              </w:rPr>
            </w:pPr>
            <w:r>
              <w:rPr>
                <w:w w:val="99"/>
                <w:sz w:val="18"/>
              </w:rPr>
              <w:t>0</w:t>
            </w:r>
          </w:p>
        </w:tc>
        <w:tc>
          <w:tcPr>
            <w:tcW w:w="458" w:type="dxa"/>
          </w:tcPr>
          <w:p>
            <w:pPr>
              <w:pStyle w:val="TableParagraph"/>
              <w:spacing w:line="203" w:lineRule="exact"/>
              <w:ind w:right="1"/>
              <w:rPr>
                <w:sz w:val="18"/>
              </w:rPr>
            </w:pPr>
            <w:r>
              <w:rPr>
                <w:w w:val="99"/>
                <w:sz w:val="18"/>
              </w:rPr>
              <w:t>0</w:t>
            </w:r>
          </w:p>
        </w:tc>
        <w:tc>
          <w:tcPr>
            <w:tcW w:w="475" w:type="dxa"/>
          </w:tcPr>
          <w:p>
            <w:pPr>
              <w:pStyle w:val="TableParagraph"/>
              <w:spacing w:line="203" w:lineRule="exact"/>
              <w:rPr>
                <w:sz w:val="18"/>
              </w:rPr>
            </w:pPr>
            <w:r>
              <w:rPr>
                <w:w w:val="99"/>
                <w:sz w:val="18"/>
              </w:rPr>
              <w:t>0</w:t>
            </w:r>
          </w:p>
        </w:tc>
        <w:tc>
          <w:tcPr>
            <w:tcW w:w="473" w:type="dxa"/>
          </w:tcPr>
          <w:p>
            <w:pPr>
              <w:pStyle w:val="TableParagraph"/>
              <w:spacing w:line="203" w:lineRule="exact"/>
              <w:ind w:left="1"/>
              <w:rPr>
                <w:sz w:val="18"/>
              </w:rPr>
            </w:pPr>
            <w:r>
              <w:rPr>
                <w:w w:val="99"/>
                <w:sz w:val="18"/>
              </w:rPr>
              <w:t>0</w:t>
            </w:r>
          </w:p>
        </w:tc>
        <w:tc>
          <w:tcPr>
            <w:tcW w:w="475" w:type="dxa"/>
            <w:tcBorders>
              <w:right w:val="single" w:sz="4" w:space="0" w:color="000000"/>
            </w:tcBorders>
          </w:tcPr>
          <w:p>
            <w:pPr>
              <w:pStyle w:val="TableParagraph"/>
              <w:spacing w:line="203" w:lineRule="exact"/>
              <w:ind w:left="4"/>
              <w:rPr>
                <w:sz w:val="18"/>
              </w:rPr>
            </w:pPr>
            <w:r>
              <w:rPr>
                <w:w w:val="99"/>
                <w:sz w:val="18"/>
              </w:rPr>
              <w:t>3</w:t>
            </w:r>
          </w:p>
        </w:tc>
        <w:tc>
          <w:tcPr>
            <w:tcW w:w="476" w:type="dxa"/>
            <w:tcBorders>
              <w:left w:val="single" w:sz="4" w:space="0" w:color="000000"/>
            </w:tcBorders>
          </w:tcPr>
          <w:p>
            <w:pPr>
              <w:pStyle w:val="TableParagraph"/>
              <w:spacing w:line="203" w:lineRule="exact"/>
              <w:rPr>
                <w:sz w:val="18"/>
              </w:rPr>
            </w:pPr>
            <w:r>
              <w:rPr>
                <w:w w:val="99"/>
                <w:sz w:val="18"/>
              </w:rPr>
              <w:t>8</w:t>
            </w:r>
          </w:p>
        </w:tc>
      </w:tr>
      <w:tr>
        <w:trPr>
          <w:trHeight w:val="322" w:hRule="exact"/>
        </w:trPr>
        <w:tc>
          <w:tcPr>
            <w:tcW w:w="4554" w:type="dxa"/>
            <w:tcBorders>
              <w:left w:val="single" w:sz="8" w:space="0" w:color="000000"/>
            </w:tcBorders>
          </w:tcPr>
          <w:p>
            <w:pPr>
              <w:pStyle w:val="TableParagraph"/>
              <w:spacing w:line="201" w:lineRule="exact"/>
              <w:ind w:left="60"/>
              <w:jc w:val="left"/>
              <w:rPr>
                <w:b/>
                <w:sz w:val="18"/>
              </w:rPr>
            </w:pPr>
            <w:r>
              <w:rPr>
                <w:b/>
                <w:color w:val="333333"/>
                <w:sz w:val="18"/>
              </w:rPr>
              <w:t>CHIMALHUACAN</w:t>
            </w:r>
          </w:p>
        </w:tc>
        <w:tc>
          <w:tcPr>
            <w:tcW w:w="456" w:type="dxa"/>
          </w:tcPr>
          <w:p>
            <w:pPr>
              <w:pStyle w:val="TableParagraph"/>
              <w:spacing w:line="206" w:lineRule="exact"/>
              <w:ind w:left="172"/>
              <w:jc w:val="left"/>
              <w:rPr>
                <w:sz w:val="18"/>
              </w:rPr>
            </w:pPr>
            <w:r>
              <w:rPr>
                <w:w w:val="99"/>
                <w:sz w:val="18"/>
              </w:rPr>
              <w:t>0</w:t>
            </w:r>
          </w:p>
        </w:tc>
        <w:tc>
          <w:tcPr>
            <w:tcW w:w="458" w:type="dxa"/>
          </w:tcPr>
          <w:p>
            <w:pPr>
              <w:pStyle w:val="TableParagraph"/>
              <w:spacing w:line="206" w:lineRule="exact"/>
              <w:ind w:right="1"/>
              <w:rPr>
                <w:sz w:val="18"/>
              </w:rPr>
            </w:pPr>
            <w:r>
              <w:rPr>
                <w:w w:val="99"/>
                <w:sz w:val="18"/>
              </w:rPr>
              <w:t>0</w:t>
            </w:r>
          </w:p>
        </w:tc>
        <w:tc>
          <w:tcPr>
            <w:tcW w:w="475" w:type="dxa"/>
          </w:tcPr>
          <w:p>
            <w:pPr>
              <w:pStyle w:val="TableParagraph"/>
              <w:spacing w:line="206" w:lineRule="exact"/>
              <w:rPr>
                <w:sz w:val="18"/>
              </w:rPr>
            </w:pPr>
            <w:r>
              <w:rPr>
                <w:w w:val="99"/>
                <w:sz w:val="18"/>
              </w:rPr>
              <w:t>0</w:t>
            </w:r>
          </w:p>
        </w:tc>
        <w:tc>
          <w:tcPr>
            <w:tcW w:w="473" w:type="dxa"/>
          </w:tcPr>
          <w:p>
            <w:pPr>
              <w:pStyle w:val="TableParagraph"/>
              <w:spacing w:line="206" w:lineRule="exact"/>
              <w:ind w:left="1"/>
              <w:rPr>
                <w:sz w:val="18"/>
              </w:rPr>
            </w:pPr>
            <w:r>
              <w:rPr>
                <w:w w:val="99"/>
                <w:sz w:val="18"/>
              </w:rPr>
              <w:t>0</w:t>
            </w:r>
          </w:p>
        </w:tc>
        <w:tc>
          <w:tcPr>
            <w:tcW w:w="475" w:type="dxa"/>
            <w:tcBorders>
              <w:right w:val="single" w:sz="4" w:space="0" w:color="000000"/>
            </w:tcBorders>
          </w:tcPr>
          <w:p>
            <w:pPr>
              <w:pStyle w:val="TableParagraph"/>
              <w:spacing w:line="206" w:lineRule="exact"/>
              <w:ind w:left="4"/>
              <w:rPr>
                <w:sz w:val="18"/>
              </w:rPr>
            </w:pPr>
            <w:r>
              <w:rPr>
                <w:w w:val="99"/>
                <w:sz w:val="18"/>
              </w:rPr>
              <w:t>0</w:t>
            </w:r>
          </w:p>
        </w:tc>
        <w:tc>
          <w:tcPr>
            <w:tcW w:w="476" w:type="dxa"/>
            <w:tcBorders>
              <w:left w:val="single" w:sz="4" w:space="0" w:color="000000"/>
            </w:tcBorders>
          </w:tcPr>
          <w:p>
            <w:pPr>
              <w:pStyle w:val="TableParagraph"/>
              <w:spacing w:line="206" w:lineRule="exact"/>
              <w:rPr>
                <w:sz w:val="18"/>
              </w:rPr>
            </w:pPr>
            <w:r>
              <w:rPr>
                <w:w w:val="99"/>
                <w:sz w:val="18"/>
              </w:rPr>
              <w:t>0</w:t>
            </w:r>
          </w:p>
        </w:tc>
      </w:tr>
      <w:tr>
        <w:trPr>
          <w:trHeight w:val="319" w:hRule="exact"/>
        </w:trPr>
        <w:tc>
          <w:tcPr>
            <w:tcW w:w="4554" w:type="dxa"/>
            <w:tcBorders>
              <w:left w:val="single" w:sz="8" w:space="0" w:color="000000"/>
            </w:tcBorders>
          </w:tcPr>
          <w:p>
            <w:pPr>
              <w:pStyle w:val="TableParagraph"/>
              <w:spacing w:line="199" w:lineRule="exact"/>
              <w:ind w:left="60"/>
              <w:jc w:val="left"/>
              <w:rPr>
                <w:b/>
                <w:sz w:val="18"/>
              </w:rPr>
            </w:pPr>
            <w:r>
              <w:rPr>
                <w:b/>
                <w:color w:val="333333"/>
                <w:sz w:val="18"/>
              </w:rPr>
              <w:t>COACALCO DE BERRIOZABAL</w:t>
            </w:r>
          </w:p>
        </w:tc>
        <w:tc>
          <w:tcPr>
            <w:tcW w:w="456" w:type="dxa"/>
          </w:tcPr>
          <w:p>
            <w:pPr>
              <w:pStyle w:val="TableParagraph"/>
              <w:spacing w:line="203" w:lineRule="exact"/>
              <w:ind w:left="172"/>
              <w:jc w:val="left"/>
              <w:rPr>
                <w:sz w:val="18"/>
              </w:rPr>
            </w:pPr>
            <w:r>
              <w:rPr>
                <w:w w:val="99"/>
                <w:sz w:val="18"/>
              </w:rPr>
              <w:t>0</w:t>
            </w:r>
          </w:p>
        </w:tc>
        <w:tc>
          <w:tcPr>
            <w:tcW w:w="458" w:type="dxa"/>
          </w:tcPr>
          <w:p>
            <w:pPr>
              <w:pStyle w:val="TableParagraph"/>
              <w:spacing w:line="203" w:lineRule="exact"/>
              <w:ind w:right="1"/>
              <w:rPr>
                <w:sz w:val="18"/>
              </w:rPr>
            </w:pPr>
            <w:r>
              <w:rPr>
                <w:w w:val="99"/>
                <w:sz w:val="18"/>
              </w:rPr>
              <w:t>0</w:t>
            </w:r>
          </w:p>
        </w:tc>
        <w:tc>
          <w:tcPr>
            <w:tcW w:w="475" w:type="dxa"/>
          </w:tcPr>
          <w:p>
            <w:pPr>
              <w:pStyle w:val="TableParagraph"/>
              <w:spacing w:line="203" w:lineRule="exact"/>
              <w:rPr>
                <w:sz w:val="18"/>
              </w:rPr>
            </w:pPr>
            <w:r>
              <w:rPr>
                <w:w w:val="99"/>
                <w:sz w:val="18"/>
              </w:rPr>
              <w:t>0</w:t>
            </w:r>
          </w:p>
        </w:tc>
        <w:tc>
          <w:tcPr>
            <w:tcW w:w="473" w:type="dxa"/>
          </w:tcPr>
          <w:p>
            <w:pPr>
              <w:pStyle w:val="TableParagraph"/>
              <w:spacing w:line="203" w:lineRule="exact"/>
              <w:ind w:left="1"/>
              <w:rPr>
                <w:sz w:val="18"/>
              </w:rPr>
            </w:pPr>
            <w:r>
              <w:rPr>
                <w:w w:val="99"/>
                <w:sz w:val="18"/>
              </w:rPr>
              <w:t>8</w:t>
            </w:r>
          </w:p>
        </w:tc>
        <w:tc>
          <w:tcPr>
            <w:tcW w:w="475" w:type="dxa"/>
            <w:tcBorders>
              <w:right w:val="single" w:sz="4" w:space="0" w:color="000000"/>
            </w:tcBorders>
          </w:tcPr>
          <w:p>
            <w:pPr>
              <w:pStyle w:val="TableParagraph"/>
              <w:spacing w:line="203" w:lineRule="exact"/>
              <w:ind w:left="4"/>
              <w:rPr>
                <w:sz w:val="18"/>
              </w:rPr>
            </w:pPr>
            <w:r>
              <w:rPr>
                <w:w w:val="99"/>
                <w:sz w:val="18"/>
              </w:rPr>
              <w:t>6</w:t>
            </w:r>
          </w:p>
        </w:tc>
        <w:tc>
          <w:tcPr>
            <w:tcW w:w="476" w:type="dxa"/>
            <w:tcBorders>
              <w:left w:val="single" w:sz="4" w:space="0" w:color="000000"/>
            </w:tcBorders>
          </w:tcPr>
          <w:p>
            <w:pPr>
              <w:pStyle w:val="TableParagraph"/>
              <w:spacing w:line="203" w:lineRule="exact"/>
              <w:rPr>
                <w:sz w:val="18"/>
              </w:rPr>
            </w:pPr>
            <w:r>
              <w:rPr>
                <w:w w:val="99"/>
                <w:sz w:val="18"/>
              </w:rPr>
              <w:t>4</w:t>
            </w:r>
          </w:p>
        </w:tc>
      </w:tr>
      <w:tr>
        <w:trPr>
          <w:trHeight w:val="322" w:hRule="exact"/>
        </w:trPr>
        <w:tc>
          <w:tcPr>
            <w:tcW w:w="4554" w:type="dxa"/>
            <w:tcBorders>
              <w:left w:val="single" w:sz="8" w:space="0" w:color="000000"/>
            </w:tcBorders>
          </w:tcPr>
          <w:p>
            <w:pPr>
              <w:pStyle w:val="TableParagraph"/>
              <w:spacing w:line="201" w:lineRule="exact"/>
              <w:ind w:left="60"/>
              <w:jc w:val="left"/>
              <w:rPr>
                <w:b/>
                <w:sz w:val="18"/>
              </w:rPr>
            </w:pPr>
            <w:r>
              <w:rPr>
                <w:b/>
                <w:color w:val="333333"/>
                <w:sz w:val="18"/>
              </w:rPr>
              <w:t>COATEPEC HARINAS</w:t>
            </w:r>
          </w:p>
        </w:tc>
        <w:tc>
          <w:tcPr>
            <w:tcW w:w="456" w:type="dxa"/>
          </w:tcPr>
          <w:p>
            <w:pPr>
              <w:pStyle w:val="TableParagraph"/>
              <w:spacing w:line="206" w:lineRule="exact"/>
              <w:ind w:left="172"/>
              <w:jc w:val="left"/>
              <w:rPr>
                <w:sz w:val="18"/>
              </w:rPr>
            </w:pPr>
            <w:r>
              <w:rPr>
                <w:w w:val="99"/>
                <w:sz w:val="18"/>
              </w:rPr>
              <w:t>0</w:t>
            </w:r>
          </w:p>
        </w:tc>
        <w:tc>
          <w:tcPr>
            <w:tcW w:w="458" w:type="dxa"/>
          </w:tcPr>
          <w:p>
            <w:pPr>
              <w:pStyle w:val="TableParagraph"/>
              <w:spacing w:line="206" w:lineRule="exact"/>
              <w:ind w:right="1"/>
              <w:rPr>
                <w:sz w:val="18"/>
              </w:rPr>
            </w:pPr>
            <w:r>
              <w:rPr>
                <w:w w:val="99"/>
                <w:sz w:val="18"/>
              </w:rPr>
              <w:t>0</w:t>
            </w:r>
          </w:p>
        </w:tc>
        <w:tc>
          <w:tcPr>
            <w:tcW w:w="475" w:type="dxa"/>
          </w:tcPr>
          <w:p>
            <w:pPr>
              <w:pStyle w:val="TableParagraph"/>
              <w:spacing w:line="206" w:lineRule="exact"/>
              <w:rPr>
                <w:sz w:val="18"/>
              </w:rPr>
            </w:pPr>
            <w:r>
              <w:rPr>
                <w:w w:val="99"/>
                <w:sz w:val="18"/>
              </w:rPr>
              <w:t>0</w:t>
            </w:r>
          </w:p>
        </w:tc>
        <w:tc>
          <w:tcPr>
            <w:tcW w:w="473" w:type="dxa"/>
          </w:tcPr>
          <w:p>
            <w:pPr>
              <w:pStyle w:val="TableParagraph"/>
              <w:spacing w:line="206" w:lineRule="exact"/>
              <w:ind w:left="1"/>
              <w:rPr>
                <w:sz w:val="18"/>
              </w:rPr>
            </w:pPr>
            <w:r>
              <w:rPr>
                <w:w w:val="99"/>
                <w:sz w:val="18"/>
              </w:rPr>
              <w:t>0</w:t>
            </w:r>
          </w:p>
        </w:tc>
        <w:tc>
          <w:tcPr>
            <w:tcW w:w="475" w:type="dxa"/>
            <w:tcBorders>
              <w:right w:val="single" w:sz="4" w:space="0" w:color="000000"/>
            </w:tcBorders>
          </w:tcPr>
          <w:p>
            <w:pPr>
              <w:pStyle w:val="TableParagraph"/>
              <w:spacing w:line="206" w:lineRule="exact"/>
              <w:ind w:left="4"/>
              <w:rPr>
                <w:sz w:val="18"/>
              </w:rPr>
            </w:pPr>
            <w:r>
              <w:rPr>
                <w:w w:val="99"/>
                <w:sz w:val="18"/>
              </w:rPr>
              <w:t>0</w:t>
            </w:r>
          </w:p>
        </w:tc>
        <w:tc>
          <w:tcPr>
            <w:tcW w:w="476" w:type="dxa"/>
            <w:tcBorders>
              <w:left w:val="single" w:sz="4" w:space="0" w:color="000000"/>
            </w:tcBorders>
          </w:tcPr>
          <w:p>
            <w:pPr>
              <w:pStyle w:val="TableParagraph"/>
              <w:spacing w:line="206" w:lineRule="exact"/>
              <w:rPr>
                <w:sz w:val="18"/>
              </w:rPr>
            </w:pPr>
            <w:r>
              <w:rPr>
                <w:w w:val="99"/>
                <w:sz w:val="18"/>
              </w:rPr>
              <w:t>0</w:t>
            </w:r>
          </w:p>
        </w:tc>
      </w:tr>
      <w:tr>
        <w:trPr>
          <w:trHeight w:val="319" w:hRule="exact"/>
        </w:trPr>
        <w:tc>
          <w:tcPr>
            <w:tcW w:w="4554" w:type="dxa"/>
            <w:tcBorders>
              <w:left w:val="single" w:sz="8" w:space="0" w:color="000000"/>
            </w:tcBorders>
          </w:tcPr>
          <w:p>
            <w:pPr>
              <w:pStyle w:val="TableParagraph"/>
              <w:spacing w:line="199" w:lineRule="exact"/>
              <w:ind w:left="60"/>
              <w:jc w:val="left"/>
              <w:rPr>
                <w:b/>
                <w:sz w:val="18"/>
              </w:rPr>
            </w:pPr>
            <w:r>
              <w:rPr>
                <w:b/>
                <w:color w:val="333333"/>
                <w:sz w:val="18"/>
              </w:rPr>
              <w:t>COCOTITLAN</w:t>
            </w:r>
          </w:p>
        </w:tc>
        <w:tc>
          <w:tcPr>
            <w:tcW w:w="456" w:type="dxa"/>
          </w:tcPr>
          <w:p>
            <w:pPr>
              <w:pStyle w:val="TableParagraph"/>
              <w:spacing w:line="203" w:lineRule="exact"/>
              <w:ind w:left="172"/>
              <w:jc w:val="left"/>
              <w:rPr>
                <w:sz w:val="18"/>
              </w:rPr>
            </w:pPr>
            <w:r>
              <w:rPr>
                <w:w w:val="99"/>
                <w:sz w:val="18"/>
              </w:rPr>
              <w:t>0</w:t>
            </w:r>
          </w:p>
        </w:tc>
        <w:tc>
          <w:tcPr>
            <w:tcW w:w="458" w:type="dxa"/>
          </w:tcPr>
          <w:p>
            <w:pPr>
              <w:pStyle w:val="TableParagraph"/>
              <w:spacing w:line="203" w:lineRule="exact"/>
              <w:ind w:right="1"/>
              <w:rPr>
                <w:sz w:val="18"/>
              </w:rPr>
            </w:pPr>
            <w:r>
              <w:rPr>
                <w:w w:val="99"/>
                <w:sz w:val="18"/>
              </w:rPr>
              <w:t>0</w:t>
            </w:r>
          </w:p>
        </w:tc>
        <w:tc>
          <w:tcPr>
            <w:tcW w:w="475" w:type="dxa"/>
          </w:tcPr>
          <w:p>
            <w:pPr>
              <w:pStyle w:val="TableParagraph"/>
              <w:spacing w:line="203" w:lineRule="exact"/>
              <w:rPr>
                <w:sz w:val="18"/>
              </w:rPr>
            </w:pPr>
            <w:r>
              <w:rPr>
                <w:w w:val="99"/>
                <w:sz w:val="18"/>
              </w:rPr>
              <w:t>0</w:t>
            </w:r>
          </w:p>
        </w:tc>
        <w:tc>
          <w:tcPr>
            <w:tcW w:w="473" w:type="dxa"/>
          </w:tcPr>
          <w:p>
            <w:pPr>
              <w:pStyle w:val="TableParagraph"/>
              <w:spacing w:line="203" w:lineRule="exact"/>
              <w:ind w:left="1"/>
              <w:rPr>
                <w:sz w:val="18"/>
              </w:rPr>
            </w:pPr>
            <w:r>
              <w:rPr>
                <w:w w:val="99"/>
                <w:sz w:val="18"/>
              </w:rPr>
              <w:t>0</w:t>
            </w:r>
          </w:p>
        </w:tc>
        <w:tc>
          <w:tcPr>
            <w:tcW w:w="475" w:type="dxa"/>
            <w:tcBorders>
              <w:right w:val="single" w:sz="4" w:space="0" w:color="000000"/>
            </w:tcBorders>
          </w:tcPr>
          <w:p>
            <w:pPr>
              <w:pStyle w:val="TableParagraph"/>
              <w:spacing w:line="203" w:lineRule="exact"/>
              <w:ind w:left="4"/>
              <w:rPr>
                <w:sz w:val="18"/>
              </w:rPr>
            </w:pPr>
            <w:r>
              <w:rPr>
                <w:w w:val="99"/>
                <w:sz w:val="18"/>
              </w:rPr>
              <w:t>0</w:t>
            </w:r>
          </w:p>
        </w:tc>
        <w:tc>
          <w:tcPr>
            <w:tcW w:w="476" w:type="dxa"/>
            <w:tcBorders>
              <w:left w:val="single" w:sz="4" w:space="0" w:color="000000"/>
            </w:tcBorders>
          </w:tcPr>
          <w:p>
            <w:pPr>
              <w:pStyle w:val="TableParagraph"/>
              <w:spacing w:line="203" w:lineRule="exact"/>
              <w:rPr>
                <w:sz w:val="18"/>
              </w:rPr>
            </w:pPr>
            <w:r>
              <w:rPr>
                <w:w w:val="99"/>
                <w:sz w:val="18"/>
              </w:rPr>
              <w:t>0</w:t>
            </w:r>
          </w:p>
        </w:tc>
      </w:tr>
      <w:tr>
        <w:trPr>
          <w:trHeight w:val="322" w:hRule="exact"/>
        </w:trPr>
        <w:tc>
          <w:tcPr>
            <w:tcW w:w="4554" w:type="dxa"/>
            <w:tcBorders>
              <w:left w:val="single" w:sz="8" w:space="0" w:color="000000"/>
            </w:tcBorders>
          </w:tcPr>
          <w:p>
            <w:pPr>
              <w:pStyle w:val="TableParagraph"/>
              <w:spacing w:line="202" w:lineRule="exact"/>
              <w:ind w:left="60"/>
              <w:jc w:val="left"/>
              <w:rPr>
                <w:b/>
                <w:sz w:val="18"/>
              </w:rPr>
            </w:pPr>
            <w:r>
              <w:rPr>
                <w:b/>
                <w:color w:val="333333"/>
                <w:sz w:val="18"/>
              </w:rPr>
              <w:t>COYOTEPEC</w:t>
            </w:r>
          </w:p>
        </w:tc>
        <w:tc>
          <w:tcPr>
            <w:tcW w:w="456" w:type="dxa"/>
          </w:tcPr>
          <w:p>
            <w:pPr>
              <w:pStyle w:val="TableParagraph"/>
              <w:spacing w:line="206" w:lineRule="exact"/>
              <w:ind w:left="172"/>
              <w:jc w:val="left"/>
              <w:rPr>
                <w:sz w:val="18"/>
              </w:rPr>
            </w:pPr>
            <w:r>
              <w:rPr>
                <w:w w:val="99"/>
                <w:sz w:val="18"/>
              </w:rPr>
              <w:t>0</w:t>
            </w:r>
          </w:p>
        </w:tc>
        <w:tc>
          <w:tcPr>
            <w:tcW w:w="458" w:type="dxa"/>
          </w:tcPr>
          <w:p>
            <w:pPr>
              <w:pStyle w:val="TableParagraph"/>
              <w:spacing w:line="206" w:lineRule="exact"/>
              <w:ind w:right="1"/>
              <w:rPr>
                <w:sz w:val="18"/>
              </w:rPr>
            </w:pPr>
            <w:r>
              <w:rPr>
                <w:w w:val="99"/>
                <w:sz w:val="18"/>
              </w:rPr>
              <w:t>0</w:t>
            </w:r>
          </w:p>
        </w:tc>
        <w:tc>
          <w:tcPr>
            <w:tcW w:w="475" w:type="dxa"/>
          </w:tcPr>
          <w:p>
            <w:pPr>
              <w:pStyle w:val="TableParagraph"/>
              <w:spacing w:line="206" w:lineRule="exact"/>
              <w:rPr>
                <w:sz w:val="18"/>
              </w:rPr>
            </w:pPr>
            <w:r>
              <w:rPr>
                <w:w w:val="99"/>
                <w:sz w:val="18"/>
              </w:rPr>
              <w:t>0</w:t>
            </w:r>
          </w:p>
        </w:tc>
        <w:tc>
          <w:tcPr>
            <w:tcW w:w="473" w:type="dxa"/>
          </w:tcPr>
          <w:p>
            <w:pPr>
              <w:pStyle w:val="TableParagraph"/>
              <w:spacing w:line="206" w:lineRule="exact"/>
              <w:ind w:left="1"/>
              <w:rPr>
                <w:sz w:val="18"/>
              </w:rPr>
            </w:pPr>
            <w:r>
              <w:rPr>
                <w:w w:val="99"/>
                <w:sz w:val="18"/>
              </w:rPr>
              <w:t>0</w:t>
            </w:r>
          </w:p>
        </w:tc>
        <w:tc>
          <w:tcPr>
            <w:tcW w:w="475" w:type="dxa"/>
            <w:tcBorders>
              <w:right w:val="single" w:sz="4" w:space="0" w:color="000000"/>
            </w:tcBorders>
          </w:tcPr>
          <w:p>
            <w:pPr>
              <w:pStyle w:val="TableParagraph"/>
              <w:spacing w:line="206" w:lineRule="exact"/>
              <w:ind w:left="4"/>
              <w:rPr>
                <w:sz w:val="18"/>
              </w:rPr>
            </w:pPr>
            <w:r>
              <w:rPr>
                <w:w w:val="99"/>
                <w:sz w:val="18"/>
              </w:rPr>
              <w:t>0</w:t>
            </w:r>
          </w:p>
        </w:tc>
        <w:tc>
          <w:tcPr>
            <w:tcW w:w="476" w:type="dxa"/>
            <w:tcBorders>
              <w:left w:val="single" w:sz="4" w:space="0" w:color="000000"/>
            </w:tcBorders>
          </w:tcPr>
          <w:p>
            <w:pPr>
              <w:pStyle w:val="TableParagraph"/>
              <w:spacing w:line="206" w:lineRule="exact"/>
              <w:rPr>
                <w:sz w:val="18"/>
              </w:rPr>
            </w:pPr>
            <w:r>
              <w:rPr>
                <w:w w:val="99"/>
                <w:sz w:val="18"/>
              </w:rPr>
              <w:t>0</w:t>
            </w:r>
          </w:p>
        </w:tc>
      </w:tr>
      <w:tr>
        <w:trPr>
          <w:trHeight w:val="322" w:hRule="exact"/>
        </w:trPr>
        <w:tc>
          <w:tcPr>
            <w:tcW w:w="4554" w:type="dxa"/>
            <w:tcBorders>
              <w:left w:val="single" w:sz="8" w:space="0" w:color="000000"/>
            </w:tcBorders>
          </w:tcPr>
          <w:p>
            <w:pPr>
              <w:pStyle w:val="TableParagraph"/>
              <w:spacing w:line="199" w:lineRule="exact"/>
              <w:ind w:left="60"/>
              <w:jc w:val="left"/>
              <w:rPr>
                <w:b/>
                <w:sz w:val="18"/>
              </w:rPr>
            </w:pPr>
            <w:r>
              <w:rPr>
                <w:b/>
                <w:color w:val="333333"/>
                <w:sz w:val="18"/>
              </w:rPr>
              <w:t>CUAUTITLAN</w:t>
            </w:r>
          </w:p>
        </w:tc>
        <w:tc>
          <w:tcPr>
            <w:tcW w:w="456" w:type="dxa"/>
          </w:tcPr>
          <w:p>
            <w:pPr>
              <w:pStyle w:val="TableParagraph"/>
              <w:spacing w:line="203" w:lineRule="exact"/>
              <w:ind w:left="172"/>
              <w:jc w:val="left"/>
              <w:rPr>
                <w:sz w:val="18"/>
              </w:rPr>
            </w:pPr>
            <w:r>
              <w:rPr>
                <w:w w:val="99"/>
                <w:sz w:val="18"/>
              </w:rPr>
              <w:t>0</w:t>
            </w:r>
          </w:p>
        </w:tc>
        <w:tc>
          <w:tcPr>
            <w:tcW w:w="458" w:type="dxa"/>
          </w:tcPr>
          <w:p>
            <w:pPr>
              <w:pStyle w:val="TableParagraph"/>
              <w:spacing w:line="203" w:lineRule="exact"/>
              <w:ind w:right="1"/>
              <w:rPr>
                <w:sz w:val="18"/>
              </w:rPr>
            </w:pPr>
            <w:r>
              <w:rPr>
                <w:w w:val="99"/>
                <w:sz w:val="18"/>
              </w:rPr>
              <w:t>1</w:t>
            </w:r>
          </w:p>
        </w:tc>
        <w:tc>
          <w:tcPr>
            <w:tcW w:w="475" w:type="dxa"/>
          </w:tcPr>
          <w:p>
            <w:pPr>
              <w:pStyle w:val="TableParagraph"/>
              <w:spacing w:line="203" w:lineRule="exact"/>
              <w:rPr>
                <w:sz w:val="18"/>
              </w:rPr>
            </w:pPr>
            <w:r>
              <w:rPr>
                <w:w w:val="99"/>
                <w:sz w:val="18"/>
              </w:rPr>
              <w:t>0</w:t>
            </w:r>
          </w:p>
        </w:tc>
        <w:tc>
          <w:tcPr>
            <w:tcW w:w="473" w:type="dxa"/>
          </w:tcPr>
          <w:p>
            <w:pPr>
              <w:pStyle w:val="TableParagraph"/>
              <w:spacing w:line="203" w:lineRule="exact"/>
              <w:ind w:left="1"/>
              <w:rPr>
                <w:sz w:val="18"/>
              </w:rPr>
            </w:pPr>
            <w:r>
              <w:rPr>
                <w:w w:val="99"/>
                <w:sz w:val="18"/>
              </w:rPr>
              <w:t>6</w:t>
            </w:r>
          </w:p>
        </w:tc>
        <w:tc>
          <w:tcPr>
            <w:tcW w:w="475" w:type="dxa"/>
            <w:tcBorders>
              <w:right w:val="single" w:sz="4" w:space="0" w:color="000000"/>
            </w:tcBorders>
          </w:tcPr>
          <w:p>
            <w:pPr>
              <w:pStyle w:val="TableParagraph"/>
              <w:spacing w:line="203" w:lineRule="exact"/>
              <w:ind w:left="62" w:right="58"/>
              <w:rPr>
                <w:sz w:val="18"/>
              </w:rPr>
            </w:pPr>
            <w:r>
              <w:rPr>
                <w:sz w:val="18"/>
              </w:rPr>
              <w:t>15</w:t>
            </w:r>
          </w:p>
        </w:tc>
        <w:tc>
          <w:tcPr>
            <w:tcW w:w="476" w:type="dxa"/>
            <w:tcBorders>
              <w:left w:val="single" w:sz="4" w:space="0" w:color="000000"/>
            </w:tcBorders>
          </w:tcPr>
          <w:p>
            <w:pPr>
              <w:pStyle w:val="TableParagraph"/>
              <w:spacing w:line="203" w:lineRule="exact"/>
              <w:ind w:left="112" w:right="112"/>
              <w:rPr>
                <w:sz w:val="18"/>
              </w:rPr>
            </w:pPr>
            <w:r>
              <w:rPr>
                <w:sz w:val="18"/>
              </w:rPr>
              <w:t>25</w:t>
            </w:r>
          </w:p>
        </w:tc>
      </w:tr>
      <w:tr>
        <w:trPr>
          <w:trHeight w:val="319" w:hRule="exact"/>
        </w:trPr>
        <w:tc>
          <w:tcPr>
            <w:tcW w:w="4554" w:type="dxa"/>
            <w:tcBorders>
              <w:left w:val="single" w:sz="8" w:space="0" w:color="000000"/>
            </w:tcBorders>
          </w:tcPr>
          <w:p>
            <w:pPr>
              <w:pStyle w:val="TableParagraph"/>
              <w:spacing w:line="199" w:lineRule="exact"/>
              <w:ind w:left="60"/>
              <w:jc w:val="left"/>
              <w:rPr>
                <w:b/>
                <w:sz w:val="18"/>
              </w:rPr>
            </w:pPr>
            <w:r>
              <w:rPr>
                <w:b/>
                <w:color w:val="333333"/>
                <w:sz w:val="18"/>
              </w:rPr>
              <w:t>CUAUTITLAN IZCALLI</w:t>
            </w:r>
          </w:p>
        </w:tc>
        <w:tc>
          <w:tcPr>
            <w:tcW w:w="456" w:type="dxa"/>
          </w:tcPr>
          <w:p>
            <w:pPr>
              <w:pStyle w:val="TableParagraph"/>
              <w:spacing w:line="203" w:lineRule="exact"/>
              <w:ind w:left="172"/>
              <w:jc w:val="left"/>
              <w:rPr>
                <w:sz w:val="18"/>
              </w:rPr>
            </w:pPr>
            <w:r>
              <w:rPr>
                <w:w w:val="99"/>
                <w:sz w:val="18"/>
              </w:rPr>
              <w:t>0</w:t>
            </w:r>
          </w:p>
        </w:tc>
        <w:tc>
          <w:tcPr>
            <w:tcW w:w="458" w:type="dxa"/>
          </w:tcPr>
          <w:p>
            <w:pPr>
              <w:pStyle w:val="TableParagraph"/>
              <w:spacing w:line="203" w:lineRule="exact"/>
              <w:ind w:left="53" w:right="53"/>
              <w:rPr>
                <w:sz w:val="18"/>
              </w:rPr>
            </w:pPr>
            <w:r>
              <w:rPr>
                <w:sz w:val="18"/>
              </w:rPr>
              <w:t>16</w:t>
            </w:r>
          </w:p>
        </w:tc>
        <w:tc>
          <w:tcPr>
            <w:tcW w:w="475" w:type="dxa"/>
          </w:tcPr>
          <w:p>
            <w:pPr>
              <w:pStyle w:val="TableParagraph"/>
              <w:spacing w:line="203" w:lineRule="exact"/>
              <w:rPr>
                <w:sz w:val="18"/>
              </w:rPr>
            </w:pPr>
            <w:r>
              <w:rPr>
                <w:w w:val="99"/>
                <w:sz w:val="18"/>
              </w:rPr>
              <w:t>8</w:t>
            </w:r>
          </w:p>
        </w:tc>
        <w:tc>
          <w:tcPr>
            <w:tcW w:w="473" w:type="dxa"/>
          </w:tcPr>
          <w:p>
            <w:pPr>
              <w:pStyle w:val="TableParagraph"/>
              <w:spacing w:line="203" w:lineRule="exact"/>
              <w:ind w:left="62" w:right="60"/>
              <w:rPr>
                <w:sz w:val="18"/>
              </w:rPr>
            </w:pPr>
            <w:r>
              <w:rPr>
                <w:sz w:val="18"/>
              </w:rPr>
              <w:t>11</w:t>
            </w:r>
          </w:p>
        </w:tc>
        <w:tc>
          <w:tcPr>
            <w:tcW w:w="475" w:type="dxa"/>
            <w:tcBorders>
              <w:right w:val="single" w:sz="4" w:space="0" w:color="000000"/>
            </w:tcBorders>
          </w:tcPr>
          <w:p>
            <w:pPr>
              <w:pStyle w:val="TableParagraph"/>
              <w:spacing w:line="203" w:lineRule="exact"/>
              <w:ind w:left="4"/>
              <w:rPr>
                <w:sz w:val="18"/>
              </w:rPr>
            </w:pPr>
            <w:r>
              <w:rPr>
                <w:w w:val="99"/>
                <w:sz w:val="18"/>
              </w:rPr>
              <w:t>9</w:t>
            </w:r>
          </w:p>
        </w:tc>
        <w:tc>
          <w:tcPr>
            <w:tcW w:w="476" w:type="dxa"/>
            <w:tcBorders>
              <w:left w:val="single" w:sz="4" w:space="0" w:color="000000"/>
            </w:tcBorders>
          </w:tcPr>
          <w:p>
            <w:pPr>
              <w:pStyle w:val="TableParagraph"/>
              <w:spacing w:line="203" w:lineRule="exact"/>
              <w:ind w:left="112" w:right="112"/>
              <w:rPr>
                <w:sz w:val="18"/>
              </w:rPr>
            </w:pPr>
            <w:r>
              <w:rPr>
                <w:sz w:val="18"/>
              </w:rPr>
              <w:t>15</w:t>
            </w:r>
          </w:p>
        </w:tc>
      </w:tr>
      <w:tr>
        <w:trPr>
          <w:trHeight w:val="322" w:hRule="exact"/>
        </w:trPr>
        <w:tc>
          <w:tcPr>
            <w:tcW w:w="4554" w:type="dxa"/>
            <w:tcBorders>
              <w:left w:val="single" w:sz="8" w:space="0" w:color="000000"/>
            </w:tcBorders>
          </w:tcPr>
          <w:p>
            <w:pPr>
              <w:pStyle w:val="TableParagraph"/>
              <w:spacing w:line="199" w:lineRule="exact"/>
              <w:ind w:left="60"/>
              <w:jc w:val="left"/>
              <w:rPr>
                <w:b/>
                <w:sz w:val="18"/>
              </w:rPr>
            </w:pPr>
            <w:r>
              <w:rPr>
                <w:b/>
                <w:color w:val="333333"/>
                <w:sz w:val="18"/>
              </w:rPr>
              <w:t>DONATO GUERRA</w:t>
            </w:r>
          </w:p>
        </w:tc>
        <w:tc>
          <w:tcPr>
            <w:tcW w:w="456" w:type="dxa"/>
          </w:tcPr>
          <w:p>
            <w:pPr>
              <w:pStyle w:val="TableParagraph"/>
              <w:spacing w:line="203" w:lineRule="exact"/>
              <w:ind w:left="172"/>
              <w:jc w:val="left"/>
              <w:rPr>
                <w:sz w:val="18"/>
              </w:rPr>
            </w:pPr>
            <w:r>
              <w:rPr>
                <w:w w:val="99"/>
                <w:sz w:val="18"/>
              </w:rPr>
              <w:t>0</w:t>
            </w:r>
          </w:p>
        </w:tc>
        <w:tc>
          <w:tcPr>
            <w:tcW w:w="458" w:type="dxa"/>
          </w:tcPr>
          <w:p>
            <w:pPr>
              <w:pStyle w:val="TableParagraph"/>
              <w:spacing w:line="203" w:lineRule="exact"/>
              <w:ind w:right="1"/>
              <w:rPr>
                <w:sz w:val="18"/>
              </w:rPr>
            </w:pPr>
            <w:r>
              <w:rPr>
                <w:w w:val="99"/>
                <w:sz w:val="18"/>
              </w:rPr>
              <w:t>0</w:t>
            </w:r>
          </w:p>
        </w:tc>
        <w:tc>
          <w:tcPr>
            <w:tcW w:w="475" w:type="dxa"/>
          </w:tcPr>
          <w:p>
            <w:pPr>
              <w:pStyle w:val="TableParagraph"/>
              <w:spacing w:line="203" w:lineRule="exact"/>
              <w:rPr>
                <w:sz w:val="18"/>
              </w:rPr>
            </w:pPr>
            <w:r>
              <w:rPr>
                <w:w w:val="99"/>
                <w:sz w:val="18"/>
              </w:rPr>
              <w:t>0</w:t>
            </w:r>
          </w:p>
        </w:tc>
        <w:tc>
          <w:tcPr>
            <w:tcW w:w="473" w:type="dxa"/>
          </w:tcPr>
          <w:p>
            <w:pPr>
              <w:pStyle w:val="TableParagraph"/>
              <w:spacing w:line="203" w:lineRule="exact"/>
              <w:ind w:left="1"/>
              <w:rPr>
                <w:sz w:val="18"/>
              </w:rPr>
            </w:pPr>
            <w:r>
              <w:rPr>
                <w:w w:val="99"/>
                <w:sz w:val="18"/>
              </w:rPr>
              <w:t>0</w:t>
            </w:r>
          </w:p>
        </w:tc>
        <w:tc>
          <w:tcPr>
            <w:tcW w:w="475" w:type="dxa"/>
            <w:tcBorders>
              <w:right w:val="single" w:sz="4" w:space="0" w:color="000000"/>
            </w:tcBorders>
          </w:tcPr>
          <w:p>
            <w:pPr>
              <w:pStyle w:val="TableParagraph"/>
              <w:spacing w:line="203" w:lineRule="exact"/>
              <w:ind w:left="4"/>
              <w:rPr>
                <w:sz w:val="18"/>
              </w:rPr>
            </w:pPr>
            <w:r>
              <w:rPr>
                <w:w w:val="99"/>
                <w:sz w:val="18"/>
              </w:rPr>
              <w:t>0</w:t>
            </w:r>
          </w:p>
        </w:tc>
        <w:tc>
          <w:tcPr>
            <w:tcW w:w="476" w:type="dxa"/>
            <w:tcBorders>
              <w:left w:val="single" w:sz="4" w:space="0" w:color="000000"/>
            </w:tcBorders>
          </w:tcPr>
          <w:p>
            <w:pPr>
              <w:pStyle w:val="TableParagraph"/>
              <w:spacing w:line="203" w:lineRule="exact"/>
              <w:rPr>
                <w:sz w:val="18"/>
              </w:rPr>
            </w:pPr>
            <w:r>
              <w:rPr>
                <w:w w:val="99"/>
                <w:sz w:val="18"/>
              </w:rPr>
              <w:t>0</w:t>
            </w:r>
          </w:p>
        </w:tc>
      </w:tr>
      <w:tr>
        <w:trPr>
          <w:trHeight w:val="319" w:hRule="exact"/>
        </w:trPr>
        <w:tc>
          <w:tcPr>
            <w:tcW w:w="4554" w:type="dxa"/>
            <w:tcBorders>
              <w:left w:val="single" w:sz="8" w:space="0" w:color="000000"/>
            </w:tcBorders>
          </w:tcPr>
          <w:p>
            <w:pPr>
              <w:pStyle w:val="TableParagraph"/>
              <w:spacing w:line="199" w:lineRule="exact"/>
              <w:ind w:left="60"/>
              <w:jc w:val="left"/>
              <w:rPr>
                <w:b/>
                <w:sz w:val="18"/>
              </w:rPr>
            </w:pPr>
            <w:r>
              <w:rPr>
                <w:b/>
                <w:color w:val="333333"/>
                <w:sz w:val="18"/>
              </w:rPr>
              <w:t>ECATEPEC DE MORELOS</w:t>
            </w:r>
          </w:p>
        </w:tc>
        <w:tc>
          <w:tcPr>
            <w:tcW w:w="456" w:type="dxa"/>
          </w:tcPr>
          <w:p>
            <w:pPr>
              <w:pStyle w:val="TableParagraph"/>
              <w:spacing w:line="203" w:lineRule="exact"/>
              <w:ind w:left="172"/>
              <w:jc w:val="left"/>
              <w:rPr>
                <w:sz w:val="18"/>
              </w:rPr>
            </w:pPr>
            <w:r>
              <w:rPr>
                <w:w w:val="99"/>
                <w:sz w:val="18"/>
              </w:rPr>
              <w:t>3</w:t>
            </w:r>
          </w:p>
        </w:tc>
        <w:tc>
          <w:tcPr>
            <w:tcW w:w="458" w:type="dxa"/>
          </w:tcPr>
          <w:p>
            <w:pPr>
              <w:pStyle w:val="TableParagraph"/>
              <w:spacing w:line="203" w:lineRule="exact"/>
              <w:ind w:left="53" w:right="53"/>
              <w:rPr>
                <w:sz w:val="18"/>
              </w:rPr>
            </w:pPr>
            <w:r>
              <w:rPr>
                <w:sz w:val="18"/>
              </w:rPr>
              <w:t>20</w:t>
            </w:r>
          </w:p>
        </w:tc>
        <w:tc>
          <w:tcPr>
            <w:tcW w:w="475" w:type="dxa"/>
          </w:tcPr>
          <w:p>
            <w:pPr>
              <w:pStyle w:val="TableParagraph"/>
              <w:spacing w:line="203" w:lineRule="exact"/>
              <w:rPr>
                <w:sz w:val="18"/>
              </w:rPr>
            </w:pPr>
            <w:r>
              <w:rPr>
                <w:w w:val="99"/>
                <w:sz w:val="18"/>
              </w:rPr>
              <w:t>4</w:t>
            </w:r>
          </w:p>
        </w:tc>
        <w:tc>
          <w:tcPr>
            <w:tcW w:w="473" w:type="dxa"/>
          </w:tcPr>
          <w:p>
            <w:pPr>
              <w:pStyle w:val="TableParagraph"/>
              <w:spacing w:line="203" w:lineRule="exact"/>
              <w:ind w:left="62" w:right="60"/>
              <w:rPr>
                <w:sz w:val="18"/>
              </w:rPr>
            </w:pPr>
            <w:r>
              <w:rPr>
                <w:sz w:val="18"/>
              </w:rPr>
              <w:t>18</w:t>
            </w:r>
          </w:p>
        </w:tc>
        <w:tc>
          <w:tcPr>
            <w:tcW w:w="475" w:type="dxa"/>
            <w:tcBorders>
              <w:right w:val="single" w:sz="4" w:space="0" w:color="000000"/>
            </w:tcBorders>
          </w:tcPr>
          <w:p>
            <w:pPr>
              <w:pStyle w:val="TableParagraph"/>
              <w:spacing w:line="203" w:lineRule="exact"/>
              <w:ind w:left="4"/>
              <w:rPr>
                <w:sz w:val="18"/>
              </w:rPr>
            </w:pPr>
            <w:r>
              <w:rPr>
                <w:w w:val="99"/>
                <w:sz w:val="18"/>
              </w:rPr>
              <w:t>8</w:t>
            </w:r>
          </w:p>
        </w:tc>
        <w:tc>
          <w:tcPr>
            <w:tcW w:w="476" w:type="dxa"/>
            <w:tcBorders>
              <w:left w:val="single" w:sz="4" w:space="0" w:color="000000"/>
            </w:tcBorders>
          </w:tcPr>
          <w:p>
            <w:pPr>
              <w:pStyle w:val="TableParagraph"/>
              <w:spacing w:line="203" w:lineRule="exact"/>
              <w:rPr>
                <w:sz w:val="18"/>
              </w:rPr>
            </w:pPr>
            <w:r>
              <w:rPr>
                <w:w w:val="99"/>
                <w:sz w:val="18"/>
              </w:rPr>
              <w:t>2</w:t>
            </w:r>
          </w:p>
        </w:tc>
      </w:tr>
      <w:tr>
        <w:trPr>
          <w:trHeight w:val="322" w:hRule="exact"/>
        </w:trPr>
        <w:tc>
          <w:tcPr>
            <w:tcW w:w="4554" w:type="dxa"/>
            <w:tcBorders>
              <w:left w:val="single" w:sz="8" w:space="0" w:color="000000"/>
            </w:tcBorders>
          </w:tcPr>
          <w:p>
            <w:pPr>
              <w:pStyle w:val="TableParagraph"/>
              <w:spacing w:line="199" w:lineRule="exact"/>
              <w:ind w:left="60"/>
              <w:jc w:val="left"/>
              <w:rPr>
                <w:b/>
                <w:sz w:val="18"/>
              </w:rPr>
            </w:pPr>
            <w:r>
              <w:rPr>
                <w:b/>
                <w:color w:val="333333"/>
                <w:sz w:val="18"/>
              </w:rPr>
              <w:t>ECATZINGO</w:t>
            </w:r>
          </w:p>
        </w:tc>
        <w:tc>
          <w:tcPr>
            <w:tcW w:w="456" w:type="dxa"/>
          </w:tcPr>
          <w:p>
            <w:pPr>
              <w:pStyle w:val="TableParagraph"/>
              <w:spacing w:line="203" w:lineRule="exact"/>
              <w:ind w:left="172"/>
              <w:jc w:val="left"/>
              <w:rPr>
                <w:sz w:val="18"/>
              </w:rPr>
            </w:pPr>
            <w:r>
              <w:rPr>
                <w:w w:val="99"/>
                <w:sz w:val="18"/>
              </w:rPr>
              <w:t>0</w:t>
            </w:r>
          </w:p>
        </w:tc>
        <w:tc>
          <w:tcPr>
            <w:tcW w:w="458" w:type="dxa"/>
          </w:tcPr>
          <w:p>
            <w:pPr>
              <w:pStyle w:val="TableParagraph"/>
              <w:spacing w:line="203" w:lineRule="exact"/>
              <w:ind w:right="1"/>
              <w:rPr>
                <w:sz w:val="18"/>
              </w:rPr>
            </w:pPr>
            <w:r>
              <w:rPr>
                <w:w w:val="99"/>
                <w:sz w:val="18"/>
              </w:rPr>
              <w:t>0</w:t>
            </w:r>
          </w:p>
        </w:tc>
        <w:tc>
          <w:tcPr>
            <w:tcW w:w="475" w:type="dxa"/>
          </w:tcPr>
          <w:p>
            <w:pPr>
              <w:pStyle w:val="TableParagraph"/>
              <w:spacing w:line="203" w:lineRule="exact"/>
              <w:rPr>
                <w:sz w:val="18"/>
              </w:rPr>
            </w:pPr>
            <w:r>
              <w:rPr>
                <w:w w:val="99"/>
                <w:sz w:val="18"/>
              </w:rPr>
              <w:t>0</w:t>
            </w:r>
          </w:p>
        </w:tc>
        <w:tc>
          <w:tcPr>
            <w:tcW w:w="473" w:type="dxa"/>
          </w:tcPr>
          <w:p>
            <w:pPr>
              <w:pStyle w:val="TableParagraph"/>
              <w:spacing w:line="203" w:lineRule="exact"/>
              <w:ind w:left="1"/>
              <w:rPr>
                <w:sz w:val="18"/>
              </w:rPr>
            </w:pPr>
            <w:r>
              <w:rPr>
                <w:w w:val="99"/>
                <w:sz w:val="18"/>
              </w:rPr>
              <w:t>0</w:t>
            </w:r>
          </w:p>
        </w:tc>
        <w:tc>
          <w:tcPr>
            <w:tcW w:w="475" w:type="dxa"/>
            <w:tcBorders>
              <w:right w:val="single" w:sz="4" w:space="0" w:color="000000"/>
            </w:tcBorders>
          </w:tcPr>
          <w:p>
            <w:pPr>
              <w:pStyle w:val="TableParagraph"/>
              <w:spacing w:line="203" w:lineRule="exact"/>
              <w:ind w:left="4"/>
              <w:rPr>
                <w:sz w:val="18"/>
              </w:rPr>
            </w:pPr>
            <w:r>
              <w:rPr>
                <w:w w:val="99"/>
                <w:sz w:val="18"/>
              </w:rPr>
              <w:t>0</w:t>
            </w:r>
          </w:p>
        </w:tc>
        <w:tc>
          <w:tcPr>
            <w:tcW w:w="476" w:type="dxa"/>
            <w:tcBorders>
              <w:left w:val="single" w:sz="4" w:space="0" w:color="000000"/>
            </w:tcBorders>
          </w:tcPr>
          <w:p>
            <w:pPr>
              <w:pStyle w:val="TableParagraph"/>
              <w:spacing w:line="203" w:lineRule="exact"/>
              <w:rPr>
                <w:sz w:val="18"/>
              </w:rPr>
            </w:pPr>
            <w:r>
              <w:rPr>
                <w:w w:val="99"/>
                <w:sz w:val="18"/>
              </w:rPr>
              <w:t>0</w:t>
            </w:r>
          </w:p>
        </w:tc>
      </w:tr>
      <w:tr>
        <w:trPr>
          <w:trHeight w:val="319" w:hRule="exact"/>
        </w:trPr>
        <w:tc>
          <w:tcPr>
            <w:tcW w:w="4554" w:type="dxa"/>
            <w:tcBorders>
              <w:left w:val="single" w:sz="8" w:space="0" w:color="000000"/>
            </w:tcBorders>
          </w:tcPr>
          <w:p>
            <w:pPr>
              <w:pStyle w:val="TableParagraph"/>
              <w:spacing w:line="199" w:lineRule="exact"/>
              <w:ind w:left="60"/>
              <w:jc w:val="left"/>
              <w:rPr>
                <w:b/>
                <w:sz w:val="18"/>
              </w:rPr>
            </w:pPr>
            <w:r>
              <w:rPr>
                <w:b/>
                <w:color w:val="333333"/>
                <w:sz w:val="18"/>
              </w:rPr>
              <w:t>EL ORO</w:t>
            </w:r>
          </w:p>
        </w:tc>
        <w:tc>
          <w:tcPr>
            <w:tcW w:w="456" w:type="dxa"/>
          </w:tcPr>
          <w:p>
            <w:pPr>
              <w:pStyle w:val="TableParagraph"/>
              <w:spacing w:line="203" w:lineRule="exact"/>
              <w:ind w:left="172"/>
              <w:jc w:val="left"/>
              <w:rPr>
                <w:sz w:val="18"/>
              </w:rPr>
            </w:pPr>
            <w:r>
              <w:rPr>
                <w:w w:val="99"/>
                <w:sz w:val="18"/>
              </w:rPr>
              <w:t>0</w:t>
            </w:r>
          </w:p>
        </w:tc>
        <w:tc>
          <w:tcPr>
            <w:tcW w:w="458" w:type="dxa"/>
          </w:tcPr>
          <w:p>
            <w:pPr>
              <w:pStyle w:val="TableParagraph"/>
              <w:spacing w:line="203" w:lineRule="exact"/>
              <w:ind w:right="1"/>
              <w:rPr>
                <w:sz w:val="18"/>
              </w:rPr>
            </w:pPr>
            <w:r>
              <w:rPr>
                <w:w w:val="99"/>
                <w:sz w:val="18"/>
              </w:rPr>
              <w:t>1</w:t>
            </w:r>
          </w:p>
        </w:tc>
        <w:tc>
          <w:tcPr>
            <w:tcW w:w="475" w:type="dxa"/>
          </w:tcPr>
          <w:p>
            <w:pPr>
              <w:pStyle w:val="TableParagraph"/>
              <w:spacing w:line="203" w:lineRule="exact"/>
              <w:rPr>
                <w:sz w:val="18"/>
              </w:rPr>
            </w:pPr>
            <w:r>
              <w:rPr>
                <w:w w:val="99"/>
                <w:sz w:val="18"/>
              </w:rPr>
              <w:t>1</w:t>
            </w:r>
          </w:p>
        </w:tc>
        <w:tc>
          <w:tcPr>
            <w:tcW w:w="473" w:type="dxa"/>
          </w:tcPr>
          <w:p>
            <w:pPr>
              <w:pStyle w:val="TableParagraph"/>
              <w:spacing w:line="203" w:lineRule="exact"/>
              <w:ind w:left="1"/>
              <w:rPr>
                <w:sz w:val="18"/>
              </w:rPr>
            </w:pPr>
            <w:r>
              <w:rPr>
                <w:w w:val="99"/>
                <w:sz w:val="18"/>
              </w:rPr>
              <w:t>3</w:t>
            </w:r>
          </w:p>
        </w:tc>
        <w:tc>
          <w:tcPr>
            <w:tcW w:w="475" w:type="dxa"/>
            <w:tcBorders>
              <w:right w:val="single" w:sz="4" w:space="0" w:color="000000"/>
            </w:tcBorders>
          </w:tcPr>
          <w:p>
            <w:pPr>
              <w:pStyle w:val="TableParagraph"/>
              <w:spacing w:line="203" w:lineRule="exact"/>
              <w:ind w:left="4"/>
              <w:rPr>
                <w:sz w:val="18"/>
              </w:rPr>
            </w:pPr>
            <w:r>
              <w:rPr>
                <w:w w:val="99"/>
                <w:sz w:val="18"/>
              </w:rPr>
              <w:t>0</w:t>
            </w:r>
          </w:p>
        </w:tc>
        <w:tc>
          <w:tcPr>
            <w:tcW w:w="476" w:type="dxa"/>
            <w:tcBorders>
              <w:left w:val="single" w:sz="4" w:space="0" w:color="000000"/>
            </w:tcBorders>
          </w:tcPr>
          <w:p>
            <w:pPr>
              <w:pStyle w:val="TableParagraph"/>
              <w:spacing w:line="203" w:lineRule="exact"/>
              <w:rPr>
                <w:sz w:val="18"/>
              </w:rPr>
            </w:pPr>
            <w:r>
              <w:rPr>
                <w:w w:val="99"/>
                <w:sz w:val="18"/>
              </w:rPr>
              <w:t>0</w:t>
            </w:r>
          </w:p>
        </w:tc>
      </w:tr>
    </w:tbl>
    <w:p>
      <w:pPr>
        <w:spacing w:after="0" w:line="203" w:lineRule="exact"/>
        <w:rPr>
          <w:sz w:val="18"/>
        </w:rPr>
        <w:sectPr>
          <w:footerReference w:type="default" r:id="rId353"/>
          <w:pgSz w:w="12240" w:h="15840"/>
          <w:pgMar w:footer="975" w:header="0" w:top="1420" w:bottom="1160" w:left="1720" w:right="1720"/>
          <w:pgNumType w:start="469"/>
        </w:sectPr>
      </w:pPr>
    </w:p>
    <w:tbl>
      <w:tblPr>
        <w:tblW w:w="0" w:type="auto"/>
        <w:jc w:val="left"/>
        <w:tblInd w:w="6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97"/>
        <w:gridCol w:w="458"/>
        <w:gridCol w:w="456"/>
        <w:gridCol w:w="475"/>
        <w:gridCol w:w="475"/>
        <w:gridCol w:w="475"/>
        <w:gridCol w:w="475"/>
      </w:tblGrid>
      <w:tr>
        <w:trPr>
          <w:trHeight w:val="630" w:hRule="exact"/>
        </w:trPr>
        <w:tc>
          <w:tcPr>
            <w:tcW w:w="6512" w:type="dxa"/>
            <w:gridSpan w:val="7"/>
            <w:shd w:val="clear" w:color="auto" w:fill="C5DFB3"/>
          </w:tcPr>
          <w:p>
            <w:pPr>
              <w:pStyle w:val="TableParagraph"/>
              <w:spacing w:line="360" w:lineRule="auto"/>
              <w:ind w:left="2388" w:right="75" w:hanging="2303"/>
              <w:jc w:val="left"/>
              <w:rPr>
                <w:b/>
                <w:sz w:val="18"/>
              </w:rPr>
            </w:pPr>
            <w:r>
              <w:rPr>
                <w:b/>
                <w:sz w:val="18"/>
              </w:rPr>
              <w:t>Anexo 25. Municipios que publican apartado de programas sociales 2010- 2015 (Continuación)</w:t>
            </w:r>
          </w:p>
        </w:tc>
      </w:tr>
      <w:tr>
        <w:trPr>
          <w:trHeight w:val="636" w:hRule="exact"/>
        </w:trPr>
        <w:tc>
          <w:tcPr>
            <w:tcW w:w="3697" w:type="dxa"/>
            <w:shd w:val="clear" w:color="auto" w:fill="C5DFB3"/>
          </w:tcPr>
          <w:p>
            <w:pPr>
              <w:pStyle w:val="TableParagraph"/>
              <w:spacing w:before="150"/>
              <w:ind w:left="1400" w:right="1400"/>
              <w:rPr>
                <w:b/>
                <w:sz w:val="18"/>
              </w:rPr>
            </w:pPr>
            <w:r>
              <w:rPr>
                <w:b/>
                <w:sz w:val="18"/>
              </w:rPr>
              <w:t>Municipio</w:t>
            </w:r>
          </w:p>
        </w:tc>
        <w:tc>
          <w:tcPr>
            <w:tcW w:w="458" w:type="dxa"/>
            <w:shd w:val="clear" w:color="auto" w:fill="C5DFB3"/>
            <w:textDirection w:val="btLr"/>
          </w:tcPr>
          <w:p>
            <w:pPr>
              <w:pStyle w:val="TableParagraph"/>
              <w:spacing w:before="64"/>
              <w:ind w:left="2"/>
              <w:jc w:val="left"/>
              <w:rPr>
                <w:b/>
                <w:sz w:val="18"/>
              </w:rPr>
            </w:pPr>
            <w:r>
              <w:rPr>
                <w:b/>
                <w:w w:val="99"/>
                <w:sz w:val="18"/>
              </w:rPr>
              <w:t>2010</w:t>
            </w:r>
          </w:p>
        </w:tc>
        <w:tc>
          <w:tcPr>
            <w:tcW w:w="456" w:type="dxa"/>
            <w:shd w:val="clear" w:color="auto" w:fill="C5DFB3"/>
            <w:textDirection w:val="btLr"/>
          </w:tcPr>
          <w:p>
            <w:pPr>
              <w:pStyle w:val="TableParagraph"/>
              <w:spacing w:before="64"/>
              <w:ind w:left="2"/>
              <w:jc w:val="left"/>
              <w:rPr>
                <w:b/>
                <w:sz w:val="18"/>
              </w:rPr>
            </w:pPr>
            <w:r>
              <w:rPr>
                <w:b/>
                <w:w w:val="99"/>
                <w:sz w:val="18"/>
              </w:rPr>
              <w:t>2011</w:t>
            </w:r>
          </w:p>
        </w:tc>
        <w:tc>
          <w:tcPr>
            <w:tcW w:w="475" w:type="dxa"/>
            <w:shd w:val="clear" w:color="auto" w:fill="C5DFB3"/>
            <w:textDirection w:val="btLr"/>
          </w:tcPr>
          <w:p>
            <w:pPr>
              <w:pStyle w:val="TableParagraph"/>
              <w:spacing w:before="80"/>
              <w:ind w:left="2"/>
              <w:jc w:val="left"/>
              <w:rPr>
                <w:b/>
                <w:sz w:val="18"/>
              </w:rPr>
            </w:pPr>
            <w:r>
              <w:rPr>
                <w:b/>
                <w:w w:val="99"/>
                <w:sz w:val="18"/>
              </w:rPr>
              <w:t>2012</w:t>
            </w:r>
          </w:p>
        </w:tc>
        <w:tc>
          <w:tcPr>
            <w:tcW w:w="475" w:type="dxa"/>
            <w:shd w:val="clear" w:color="auto" w:fill="C5DFB3"/>
            <w:textDirection w:val="btLr"/>
          </w:tcPr>
          <w:p>
            <w:pPr>
              <w:pStyle w:val="TableParagraph"/>
              <w:spacing w:before="80"/>
              <w:ind w:left="2"/>
              <w:jc w:val="left"/>
              <w:rPr>
                <w:b/>
                <w:sz w:val="18"/>
              </w:rPr>
            </w:pPr>
            <w:r>
              <w:rPr>
                <w:b/>
                <w:w w:val="99"/>
                <w:sz w:val="18"/>
              </w:rPr>
              <w:t>2013</w:t>
            </w:r>
          </w:p>
        </w:tc>
        <w:tc>
          <w:tcPr>
            <w:tcW w:w="475" w:type="dxa"/>
            <w:shd w:val="clear" w:color="auto" w:fill="C5DFB3"/>
            <w:textDirection w:val="btLr"/>
          </w:tcPr>
          <w:p>
            <w:pPr>
              <w:pStyle w:val="TableParagraph"/>
              <w:spacing w:before="80"/>
              <w:ind w:left="2"/>
              <w:jc w:val="left"/>
              <w:rPr>
                <w:b/>
                <w:sz w:val="18"/>
              </w:rPr>
            </w:pPr>
            <w:r>
              <w:rPr>
                <w:b/>
                <w:w w:val="99"/>
                <w:sz w:val="18"/>
              </w:rPr>
              <w:t>2014</w:t>
            </w:r>
          </w:p>
        </w:tc>
        <w:tc>
          <w:tcPr>
            <w:tcW w:w="475" w:type="dxa"/>
            <w:shd w:val="clear" w:color="auto" w:fill="C5DFB3"/>
            <w:textDirection w:val="btLr"/>
          </w:tcPr>
          <w:p>
            <w:pPr>
              <w:pStyle w:val="TableParagraph"/>
              <w:spacing w:before="78"/>
              <w:ind w:left="2"/>
              <w:jc w:val="left"/>
              <w:rPr>
                <w:b/>
                <w:sz w:val="18"/>
              </w:rPr>
            </w:pPr>
            <w:r>
              <w:rPr>
                <w:b/>
                <w:w w:val="99"/>
                <w:sz w:val="18"/>
              </w:rPr>
              <w:t>2015</w:t>
            </w:r>
          </w:p>
        </w:tc>
      </w:tr>
      <w:tr>
        <w:trPr>
          <w:trHeight w:val="322"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HUEHUETOCA</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r>
      <w:tr>
        <w:trPr>
          <w:trHeight w:val="319"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HUEYPOXTLA</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r>
      <w:tr>
        <w:trPr>
          <w:trHeight w:val="322" w:hRule="exact"/>
        </w:trPr>
        <w:tc>
          <w:tcPr>
            <w:tcW w:w="3697" w:type="dxa"/>
            <w:tcBorders>
              <w:left w:val="single" w:sz="8" w:space="0" w:color="000000"/>
            </w:tcBorders>
          </w:tcPr>
          <w:p>
            <w:pPr>
              <w:pStyle w:val="TableParagraph"/>
              <w:spacing w:line="201" w:lineRule="exact"/>
              <w:ind w:left="60"/>
              <w:jc w:val="left"/>
              <w:rPr>
                <w:b/>
                <w:sz w:val="18"/>
              </w:rPr>
            </w:pPr>
            <w:r>
              <w:rPr>
                <w:b/>
                <w:color w:val="333333"/>
                <w:sz w:val="18"/>
              </w:rPr>
              <w:t>HUIXQUILUCAN</w:t>
            </w:r>
          </w:p>
        </w:tc>
        <w:tc>
          <w:tcPr>
            <w:tcW w:w="458" w:type="dxa"/>
          </w:tcPr>
          <w:p>
            <w:pPr>
              <w:pStyle w:val="TableParagraph"/>
              <w:spacing w:line="206" w:lineRule="exact"/>
              <w:ind w:right="1"/>
              <w:rPr>
                <w:sz w:val="18"/>
              </w:rPr>
            </w:pPr>
            <w:r>
              <w:rPr>
                <w:w w:val="99"/>
                <w:sz w:val="18"/>
              </w:rPr>
              <w:t>0</w:t>
            </w:r>
          </w:p>
        </w:tc>
        <w:tc>
          <w:tcPr>
            <w:tcW w:w="456" w:type="dxa"/>
          </w:tcPr>
          <w:p>
            <w:pPr>
              <w:pStyle w:val="TableParagraph"/>
              <w:spacing w:line="206" w:lineRule="exact"/>
              <w:ind w:right="120"/>
              <w:jc w:val="right"/>
              <w:rPr>
                <w:sz w:val="18"/>
              </w:rPr>
            </w:pPr>
            <w:r>
              <w:rPr>
                <w:color w:val="006000"/>
                <w:w w:val="95"/>
                <w:sz w:val="18"/>
              </w:rPr>
              <w:t>21</w:t>
            </w:r>
          </w:p>
        </w:tc>
        <w:tc>
          <w:tcPr>
            <w:tcW w:w="475" w:type="dxa"/>
          </w:tcPr>
          <w:p>
            <w:pPr>
              <w:pStyle w:val="TableParagraph"/>
              <w:spacing w:line="206" w:lineRule="exact"/>
              <w:ind w:left="132"/>
              <w:jc w:val="left"/>
              <w:rPr>
                <w:sz w:val="18"/>
              </w:rPr>
            </w:pPr>
            <w:r>
              <w:rPr>
                <w:color w:val="006000"/>
                <w:sz w:val="18"/>
              </w:rPr>
              <w:t>20</w:t>
            </w:r>
          </w:p>
        </w:tc>
        <w:tc>
          <w:tcPr>
            <w:tcW w:w="475" w:type="dxa"/>
          </w:tcPr>
          <w:p>
            <w:pPr>
              <w:pStyle w:val="TableParagraph"/>
              <w:spacing w:line="206" w:lineRule="exact"/>
              <w:ind w:left="60" w:right="60"/>
              <w:rPr>
                <w:sz w:val="18"/>
              </w:rPr>
            </w:pPr>
            <w:r>
              <w:rPr>
                <w:color w:val="006000"/>
                <w:sz w:val="18"/>
              </w:rPr>
              <w:t>27</w:t>
            </w:r>
          </w:p>
        </w:tc>
        <w:tc>
          <w:tcPr>
            <w:tcW w:w="475" w:type="dxa"/>
          </w:tcPr>
          <w:p>
            <w:pPr>
              <w:pStyle w:val="TableParagraph"/>
              <w:spacing w:line="206" w:lineRule="exact"/>
              <w:ind w:left="131"/>
              <w:jc w:val="left"/>
              <w:rPr>
                <w:sz w:val="18"/>
              </w:rPr>
            </w:pPr>
            <w:r>
              <w:rPr>
                <w:color w:val="006000"/>
                <w:sz w:val="18"/>
              </w:rPr>
              <w:t>19</w:t>
            </w:r>
          </w:p>
        </w:tc>
        <w:tc>
          <w:tcPr>
            <w:tcW w:w="475" w:type="dxa"/>
          </w:tcPr>
          <w:p>
            <w:pPr>
              <w:pStyle w:val="TableParagraph"/>
              <w:spacing w:line="206" w:lineRule="exact"/>
              <w:ind w:left="182"/>
              <w:jc w:val="left"/>
              <w:rPr>
                <w:sz w:val="18"/>
              </w:rPr>
            </w:pPr>
            <w:r>
              <w:rPr>
                <w:color w:val="006000"/>
                <w:w w:val="99"/>
                <w:sz w:val="18"/>
              </w:rPr>
              <w:t>4</w:t>
            </w:r>
          </w:p>
        </w:tc>
      </w:tr>
      <w:tr>
        <w:trPr>
          <w:trHeight w:val="319"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ISIDRO FABELA</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color w:val="006000"/>
                <w:w w:val="99"/>
                <w:sz w:val="18"/>
              </w:rPr>
              <w:t>1</w:t>
            </w:r>
          </w:p>
        </w:tc>
        <w:tc>
          <w:tcPr>
            <w:tcW w:w="475" w:type="dxa"/>
          </w:tcPr>
          <w:p>
            <w:pPr>
              <w:pStyle w:val="TableParagraph"/>
              <w:spacing w:line="203" w:lineRule="exact"/>
              <w:ind w:left="182"/>
              <w:jc w:val="left"/>
              <w:rPr>
                <w:sz w:val="18"/>
              </w:rPr>
            </w:pPr>
            <w:r>
              <w:rPr>
                <w:color w:val="006000"/>
                <w:w w:val="99"/>
                <w:sz w:val="18"/>
              </w:rPr>
              <w:t>1</w:t>
            </w:r>
          </w:p>
        </w:tc>
        <w:tc>
          <w:tcPr>
            <w:tcW w:w="475" w:type="dxa"/>
          </w:tcPr>
          <w:p>
            <w:pPr>
              <w:pStyle w:val="TableParagraph"/>
              <w:spacing w:line="203" w:lineRule="exact"/>
              <w:ind w:left="182"/>
              <w:jc w:val="left"/>
              <w:rPr>
                <w:sz w:val="18"/>
              </w:rPr>
            </w:pPr>
            <w:r>
              <w:rPr>
                <w:color w:val="006000"/>
                <w:w w:val="99"/>
                <w:sz w:val="18"/>
              </w:rPr>
              <w:t>1</w:t>
            </w:r>
          </w:p>
        </w:tc>
      </w:tr>
      <w:tr>
        <w:trPr>
          <w:trHeight w:val="322" w:hRule="exact"/>
        </w:trPr>
        <w:tc>
          <w:tcPr>
            <w:tcW w:w="3697" w:type="dxa"/>
            <w:tcBorders>
              <w:left w:val="single" w:sz="8" w:space="0" w:color="000000"/>
            </w:tcBorders>
          </w:tcPr>
          <w:p>
            <w:pPr>
              <w:pStyle w:val="TableParagraph"/>
              <w:spacing w:line="201" w:lineRule="exact"/>
              <w:ind w:left="60"/>
              <w:jc w:val="left"/>
              <w:rPr>
                <w:b/>
                <w:sz w:val="18"/>
              </w:rPr>
            </w:pPr>
            <w:r>
              <w:rPr>
                <w:b/>
                <w:color w:val="333333"/>
                <w:sz w:val="18"/>
              </w:rPr>
              <w:t>IXTAPALUCA</w:t>
            </w:r>
          </w:p>
        </w:tc>
        <w:tc>
          <w:tcPr>
            <w:tcW w:w="458" w:type="dxa"/>
          </w:tcPr>
          <w:p>
            <w:pPr>
              <w:pStyle w:val="TableParagraph"/>
              <w:spacing w:line="206" w:lineRule="exact"/>
              <w:ind w:right="1"/>
              <w:rPr>
                <w:sz w:val="18"/>
              </w:rPr>
            </w:pPr>
            <w:r>
              <w:rPr>
                <w:w w:val="99"/>
                <w:sz w:val="18"/>
              </w:rPr>
              <w:t>0</w:t>
            </w:r>
          </w:p>
        </w:tc>
        <w:tc>
          <w:tcPr>
            <w:tcW w:w="456" w:type="dxa"/>
          </w:tcPr>
          <w:p>
            <w:pPr>
              <w:pStyle w:val="TableParagraph"/>
              <w:spacing w:line="206" w:lineRule="exact"/>
              <w:ind w:right="171"/>
              <w:jc w:val="righ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75" w:type="dxa"/>
          </w:tcPr>
          <w:p>
            <w:pPr>
              <w:pStyle w:val="TableParagraph"/>
              <w:spacing w:line="206" w:lineRule="exact"/>
              <w:rPr>
                <w:sz w:val="18"/>
              </w:rPr>
            </w:pPr>
            <w:r>
              <w:rPr>
                <w:color w:val="006000"/>
                <w:w w:val="99"/>
                <w:sz w:val="18"/>
              </w:rPr>
              <w:t>1</w:t>
            </w:r>
          </w:p>
        </w:tc>
        <w:tc>
          <w:tcPr>
            <w:tcW w:w="475" w:type="dxa"/>
          </w:tcPr>
          <w:p>
            <w:pPr>
              <w:pStyle w:val="TableParagraph"/>
              <w:spacing w:line="206" w:lineRule="exact"/>
              <w:ind w:left="182"/>
              <w:jc w:val="left"/>
              <w:rPr>
                <w:sz w:val="18"/>
              </w:rPr>
            </w:pPr>
            <w:r>
              <w:rPr>
                <w:color w:val="006000"/>
                <w:w w:val="99"/>
                <w:sz w:val="18"/>
              </w:rPr>
              <w:t>1</w:t>
            </w:r>
          </w:p>
        </w:tc>
        <w:tc>
          <w:tcPr>
            <w:tcW w:w="475" w:type="dxa"/>
          </w:tcPr>
          <w:p>
            <w:pPr>
              <w:pStyle w:val="TableParagraph"/>
              <w:spacing w:line="206" w:lineRule="exact"/>
              <w:ind w:left="182"/>
              <w:jc w:val="left"/>
              <w:rPr>
                <w:sz w:val="18"/>
              </w:rPr>
            </w:pPr>
            <w:r>
              <w:rPr>
                <w:w w:val="99"/>
                <w:sz w:val="18"/>
              </w:rPr>
              <w:t>0</w:t>
            </w:r>
          </w:p>
        </w:tc>
      </w:tr>
      <w:tr>
        <w:trPr>
          <w:trHeight w:val="319"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IXTAPAN DE LA SAL</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color w:val="006000"/>
                <w:w w:val="99"/>
                <w:sz w:val="18"/>
              </w:rPr>
              <w:t>1</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ind w:left="182"/>
              <w:jc w:val="left"/>
              <w:rPr>
                <w:sz w:val="18"/>
              </w:rPr>
            </w:pPr>
            <w:r>
              <w:rPr>
                <w:color w:val="006000"/>
                <w:w w:val="99"/>
                <w:sz w:val="18"/>
              </w:rPr>
              <w:t>2</w:t>
            </w:r>
          </w:p>
        </w:tc>
      </w:tr>
      <w:tr>
        <w:trPr>
          <w:trHeight w:val="322" w:hRule="exact"/>
        </w:trPr>
        <w:tc>
          <w:tcPr>
            <w:tcW w:w="3697" w:type="dxa"/>
            <w:tcBorders>
              <w:left w:val="single" w:sz="8" w:space="0" w:color="000000"/>
            </w:tcBorders>
          </w:tcPr>
          <w:p>
            <w:pPr>
              <w:pStyle w:val="TableParagraph"/>
              <w:spacing w:line="201" w:lineRule="exact"/>
              <w:ind w:left="60"/>
              <w:jc w:val="left"/>
              <w:rPr>
                <w:b/>
                <w:sz w:val="18"/>
              </w:rPr>
            </w:pPr>
            <w:r>
              <w:rPr>
                <w:b/>
                <w:color w:val="333333"/>
                <w:sz w:val="18"/>
              </w:rPr>
              <w:t>IXTAPAN DEL ORO</w:t>
            </w:r>
          </w:p>
        </w:tc>
        <w:tc>
          <w:tcPr>
            <w:tcW w:w="458" w:type="dxa"/>
          </w:tcPr>
          <w:p>
            <w:pPr>
              <w:pStyle w:val="TableParagraph"/>
              <w:spacing w:line="206" w:lineRule="exact"/>
              <w:ind w:right="1"/>
              <w:rPr>
                <w:sz w:val="18"/>
              </w:rPr>
            </w:pPr>
            <w:r>
              <w:rPr>
                <w:w w:val="99"/>
                <w:sz w:val="18"/>
              </w:rPr>
              <w:t>0</w:t>
            </w:r>
          </w:p>
        </w:tc>
        <w:tc>
          <w:tcPr>
            <w:tcW w:w="456" w:type="dxa"/>
          </w:tcPr>
          <w:p>
            <w:pPr>
              <w:pStyle w:val="TableParagraph"/>
              <w:spacing w:line="206" w:lineRule="exact"/>
              <w:ind w:right="171"/>
              <w:jc w:val="righ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r>
      <w:tr>
        <w:trPr>
          <w:trHeight w:val="322"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IXTLAHUACA</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ind w:left="182"/>
              <w:jc w:val="left"/>
              <w:rPr>
                <w:sz w:val="18"/>
              </w:rPr>
            </w:pPr>
            <w:r>
              <w:rPr>
                <w:color w:val="006000"/>
                <w:w w:val="99"/>
                <w:sz w:val="18"/>
              </w:rPr>
              <w:t>1</w:t>
            </w:r>
          </w:p>
        </w:tc>
        <w:tc>
          <w:tcPr>
            <w:tcW w:w="475" w:type="dxa"/>
          </w:tcPr>
          <w:p>
            <w:pPr>
              <w:pStyle w:val="TableParagraph"/>
              <w:spacing w:line="203" w:lineRule="exact"/>
              <w:rPr>
                <w:sz w:val="18"/>
              </w:rPr>
            </w:pPr>
            <w:r>
              <w:rPr>
                <w:color w:val="006000"/>
                <w:w w:val="99"/>
                <w:sz w:val="18"/>
              </w:rPr>
              <w:t>3</w:t>
            </w:r>
          </w:p>
        </w:tc>
        <w:tc>
          <w:tcPr>
            <w:tcW w:w="475" w:type="dxa"/>
          </w:tcPr>
          <w:p>
            <w:pPr>
              <w:pStyle w:val="TableParagraph"/>
              <w:spacing w:line="203" w:lineRule="exact"/>
              <w:ind w:left="182"/>
              <w:jc w:val="left"/>
              <w:rPr>
                <w:sz w:val="18"/>
              </w:rPr>
            </w:pPr>
            <w:r>
              <w:rPr>
                <w:color w:val="006000"/>
                <w:w w:val="99"/>
                <w:sz w:val="18"/>
              </w:rPr>
              <w:t>3</w:t>
            </w:r>
          </w:p>
        </w:tc>
        <w:tc>
          <w:tcPr>
            <w:tcW w:w="475" w:type="dxa"/>
          </w:tcPr>
          <w:p>
            <w:pPr>
              <w:pStyle w:val="TableParagraph"/>
              <w:spacing w:line="203" w:lineRule="exact"/>
              <w:ind w:left="182"/>
              <w:jc w:val="left"/>
              <w:rPr>
                <w:sz w:val="18"/>
              </w:rPr>
            </w:pPr>
            <w:r>
              <w:rPr>
                <w:w w:val="99"/>
                <w:sz w:val="18"/>
              </w:rPr>
              <w:t>0</w:t>
            </w:r>
          </w:p>
        </w:tc>
      </w:tr>
      <w:tr>
        <w:trPr>
          <w:trHeight w:val="319"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JALTENCO</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r>
      <w:tr>
        <w:trPr>
          <w:trHeight w:val="322"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JILOTEPEC</w:t>
            </w:r>
          </w:p>
        </w:tc>
        <w:tc>
          <w:tcPr>
            <w:tcW w:w="458" w:type="dxa"/>
          </w:tcPr>
          <w:p>
            <w:pPr>
              <w:pStyle w:val="TableParagraph"/>
              <w:spacing w:line="203" w:lineRule="exact"/>
              <w:ind w:right="1"/>
              <w:rPr>
                <w:sz w:val="18"/>
              </w:rPr>
            </w:pPr>
            <w:r>
              <w:rPr>
                <w:color w:val="006000"/>
                <w:w w:val="99"/>
                <w:sz w:val="18"/>
              </w:rPr>
              <w:t>1</w:t>
            </w:r>
          </w:p>
        </w:tc>
        <w:tc>
          <w:tcPr>
            <w:tcW w:w="456" w:type="dxa"/>
          </w:tcPr>
          <w:p>
            <w:pPr>
              <w:pStyle w:val="TableParagraph"/>
              <w:spacing w:line="203" w:lineRule="exact"/>
              <w:ind w:right="171"/>
              <w:jc w:val="right"/>
              <w:rPr>
                <w:sz w:val="18"/>
              </w:rPr>
            </w:pPr>
            <w:r>
              <w:rPr>
                <w:color w:val="006000"/>
                <w:w w:val="99"/>
                <w:sz w:val="18"/>
              </w:rPr>
              <w:t>1</w:t>
            </w:r>
          </w:p>
        </w:tc>
        <w:tc>
          <w:tcPr>
            <w:tcW w:w="475" w:type="dxa"/>
          </w:tcPr>
          <w:p>
            <w:pPr>
              <w:pStyle w:val="TableParagraph"/>
              <w:spacing w:line="203" w:lineRule="exact"/>
              <w:ind w:left="182"/>
              <w:jc w:val="left"/>
              <w:rPr>
                <w:sz w:val="18"/>
              </w:rPr>
            </w:pPr>
            <w:r>
              <w:rPr>
                <w:color w:val="006000"/>
                <w:w w:val="99"/>
                <w:sz w:val="18"/>
              </w:rPr>
              <w:t>1</w:t>
            </w:r>
          </w:p>
        </w:tc>
        <w:tc>
          <w:tcPr>
            <w:tcW w:w="475" w:type="dxa"/>
          </w:tcPr>
          <w:p>
            <w:pPr>
              <w:pStyle w:val="TableParagraph"/>
              <w:spacing w:line="203" w:lineRule="exact"/>
              <w:rPr>
                <w:sz w:val="18"/>
              </w:rPr>
            </w:pPr>
            <w:r>
              <w:rPr>
                <w:color w:val="006000"/>
                <w:w w:val="99"/>
                <w:sz w:val="18"/>
              </w:rPr>
              <w:t>2</w:t>
            </w:r>
          </w:p>
        </w:tc>
        <w:tc>
          <w:tcPr>
            <w:tcW w:w="475" w:type="dxa"/>
          </w:tcPr>
          <w:p>
            <w:pPr>
              <w:pStyle w:val="TableParagraph"/>
              <w:spacing w:line="203" w:lineRule="exact"/>
              <w:ind w:left="182"/>
              <w:jc w:val="left"/>
              <w:rPr>
                <w:sz w:val="18"/>
              </w:rPr>
            </w:pPr>
            <w:r>
              <w:rPr>
                <w:color w:val="006000"/>
                <w:w w:val="99"/>
                <w:sz w:val="18"/>
              </w:rPr>
              <w:t>5</w:t>
            </w:r>
          </w:p>
        </w:tc>
        <w:tc>
          <w:tcPr>
            <w:tcW w:w="475" w:type="dxa"/>
          </w:tcPr>
          <w:p>
            <w:pPr>
              <w:pStyle w:val="TableParagraph"/>
              <w:spacing w:line="203" w:lineRule="exact"/>
              <w:ind w:left="182"/>
              <w:jc w:val="left"/>
              <w:rPr>
                <w:sz w:val="18"/>
              </w:rPr>
            </w:pPr>
            <w:r>
              <w:rPr>
                <w:color w:val="006000"/>
                <w:w w:val="99"/>
                <w:sz w:val="18"/>
              </w:rPr>
              <w:t>1</w:t>
            </w:r>
          </w:p>
        </w:tc>
      </w:tr>
      <w:tr>
        <w:trPr>
          <w:trHeight w:val="319"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JILOTZINGO</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r>
      <w:tr>
        <w:trPr>
          <w:trHeight w:val="322"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JIQUIPILCO</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color w:val="006000"/>
                <w:w w:val="99"/>
                <w:sz w:val="18"/>
              </w:rPr>
              <w:t>1</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r>
      <w:tr>
        <w:trPr>
          <w:trHeight w:val="319"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JOCOTITLAN</w:t>
            </w:r>
          </w:p>
        </w:tc>
        <w:tc>
          <w:tcPr>
            <w:tcW w:w="458" w:type="dxa"/>
          </w:tcPr>
          <w:p>
            <w:pPr>
              <w:pStyle w:val="TableParagraph"/>
              <w:spacing w:line="203" w:lineRule="exact"/>
              <w:ind w:right="1"/>
              <w:rPr>
                <w:sz w:val="18"/>
              </w:rPr>
            </w:pPr>
            <w:r>
              <w:rPr>
                <w:color w:val="006000"/>
                <w:w w:val="99"/>
                <w:sz w:val="18"/>
              </w:rPr>
              <w:t>1</w:t>
            </w:r>
          </w:p>
        </w:tc>
        <w:tc>
          <w:tcPr>
            <w:tcW w:w="456" w:type="dxa"/>
          </w:tcPr>
          <w:p>
            <w:pPr>
              <w:pStyle w:val="TableParagraph"/>
              <w:spacing w:line="203" w:lineRule="exact"/>
              <w:ind w:right="171"/>
              <w:jc w:val="right"/>
              <w:rPr>
                <w:sz w:val="18"/>
              </w:rPr>
            </w:pPr>
            <w:r>
              <w:rPr>
                <w:color w:val="006000"/>
                <w:w w:val="99"/>
                <w:sz w:val="18"/>
              </w:rPr>
              <w:t>4</w:t>
            </w:r>
          </w:p>
        </w:tc>
        <w:tc>
          <w:tcPr>
            <w:tcW w:w="475" w:type="dxa"/>
          </w:tcPr>
          <w:p>
            <w:pPr>
              <w:pStyle w:val="TableParagraph"/>
              <w:spacing w:line="203" w:lineRule="exact"/>
              <w:ind w:left="182"/>
              <w:jc w:val="left"/>
              <w:rPr>
                <w:sz w:val="18"/>
              </w:rPr>
            </w:pPr>
            <w:r>
              <w:rPr>
                <w:color w:val="006000"/>
                <w:w w:val="99"/>
                <w:sz w:val="18"/>
              </w:rPr>
              <w:t>3</w:t>
            </w:r>
          </w:p>
        </w:tc>
        <w:tc>
          <w:tcPr>
            <w:tcW w:w="475" w:type="dxa"/>
          </w:tcPr>
          <w:p>
            <w:pPr>
              <w:pStyle w:val="TableParagraph"/>
              <w:spacing w:line="203" w:lineRule="exact"/>
              <w:ind w:left="60" w:right="60"/>
              <w:rPr>
                <w:sz w:val="18"/>
              </w:rPr>
            </w:pPr>
            <w:r>
              <w:rPr>
                <w:color w:val="006000"/>
                <w:sz w:val="18"/>
              </w:rPr>
              <w:t>12</w:t>
            </w:r>
          </w:p>
        </w:tc>
        <w:tc>
          <w:tcPr>
            <w:tcW w:w="475" w:type="dxa"/>
          </w:tcPr>
          <w:p>
            <w:pPr>
              <w:pStyle w:val="TableParagraph"/>
              <w:spacing w:line="203" w:lineRule="exact"/>
              <w:ind w:left="131"/>
              <w:jc w:val="left"/>
              <w:rPr>
                <w:sz w:val="18"/>
              </w:rPr>
            </w:pPr>
            <w:r>
              <w:rPr>
                <w:color w:val="006000"/>
                <w:sz w:val="18"/>
              </w:rPr>
              <w:t>13</w:t>
            </w:r>
          </w:p>
        </w:tc>
        <w:tc>
          <w:tcPr>
            <w:tcW w:w="475" w:type="dxa"/>
          </w:tcPr>
          <w:p>
            <w:pPr>
              <w:pStyle w:val="TableParagraph"/>
              <w:spacing w:line="203" w:lineRule="exact"/>
              <w:ind w:left="182"/>
              <w:jc w:val="left"/>
              <w:rPr>
                <w:sz w:val="18"/>
              </w:rPr>
            </w:pPr>
            <w:r>
              <w:rPr>
                <w:color w:val="006000"/>
                <w:w w:val="99"/>
                <w:sz w:val="18"/>
              </w:rPr>
              <w:t>4</w:t>
            </w:r>
          </w:p>
        </w:tc>
      </w:tr>
      <w:tr>
        <w:trPr>
          <w:trHeight w:val="322"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JOQUICINGO</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r>
      <w:tr>
        <w:trPr>
          <w:trHeight w:val="319"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JUCHITEPEC</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r>
      <w:tr>
        <w:trPr>
          <w:trHeight w:val="322"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LA PAZ</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ind w:left="182"/>
              <w:jc w:val="left"/>
              <w:rPr>
                <w:sz w:val="18"/>
              </w:rPr>
            </w:pPr>
            <w:r>
              <w:rPr>
                <w:color w:val="006000"/>
                <w:w w:val="99"/>
                <w:sz w:val="18"/>
              </w:rPr>
              <w:t>1</w:t>
            </w:r>
          </w:p>
        </w:tc>
      </w:tr>
      <w:tr>
        <w:trPr>
          <w:trHeight w:val="319"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LERMA</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ind w:left="182"/>
              <w:jc w:val="left"/>
              <w:rPr>
                <w:sz w:val="18"/>
              </w:rPr>
            </w:pPr>
            <w:r>
              <w:rPr>
                <w:color w:val="006000"/>
                <w:w w:val="99"/>
                <w:sz w:val="18"/>
              </w:rPr>
              <w:t>1</w:t>
            </w:r>
          </w:p>
        </w:tc>
        <w:tc>
          <w:tcPr>
            <w:tcW w:w="475" w:type="dxa"/>
          </w:tcPr>
          <w:p>
            <w:pPr>
              <w:pStyle w:val="TableParagraph"/>
              <w:spacing w:line="203" w:lineRule="exact"/>
              <w:ind w:left="60" w:right="60"/>
              <w:rPr>
                <w:sz w:val="18"/>
              </w:rPr>
            </w:pPr>
            <w:r>
              <w:rPr>
                <w:color w:val="006000"/>
                <w:sz w:val="18"/>
              </w:rPr>
              <w:t>82</w:t>
            </w:r>
          </w:p>
        </w:tc>
        <w:tc>
          <w:tcPr>
            <w:tcW w:w="475" w:type="dxa"/>
          </w:tcPr>
          <w:p>
            <w:pPr>
              <w:pStyle w:val="TableParagraph"/>
              <w:spacing w:line="203" w:lineRule="exact"/>
              <w:ind w:left="131"/>
              <w:jc w:val="left"/>
              <w:rPr>
                <w:sz w:val="18"/>
              </w:rPr>
            </w:pPr>
            <w:r>
              <w:rPr>
                <w:color w:val="006000"/>
                <w:sz w:val="18"/>
              </w:rPr>
              <w:t>21</w:t>
            </w:r>
          </w:p>
        </w:tc>
        <w:tc>
          <w:tcPr>
            <w:tcW w:w="475" w:type="dxa"/>
          </w:tcPr>
          <w:p>
            <w:pPr>
              <w:pStyle w:val="TableParagraph"/>
              <w:spacing w:line="203" w:lineRule="exact"/>
              <w:ind w:left="132"/>
              <w:jc w:val="left"/>
              <w:rPr>
                <w:sz w:val="18"/>
              </w:rPr>
            </w:pPr>
            <w:r>
              <w:rPr>
                <w:color w:val="006000"/>
                <w:sz w:val="18"/>
              </w:rPr>
              <w:t>18</w:t>
            </w:r>
          </w:p>
        </w:tc>
      </w:tr>
      <w:tr>
        <w:trPr>
          <w:trHeight w:val="322" w:hRule="exact"/>
        </w:trPr>
        <w:tc>
          <w:tcPr>
            <w:tcW w:w="3697" w:type="dxa"/>
            <w:tcBorders>
              <w:left w:val="single" w:sz="8" w:space="0" w:color="000000"/>
            </w:tcBorders>
          </w:tcPr>
          <w:p>
            <w:pPr>
              <w:pStyle w:val="TableParagraph"/>
              <w:spacing w:line="201" w:lineRule="exact"/>
              <w:ind w:left="60"/>
              <w:jc w:val="left"/>
              <w:rPr>
                <w:b/>
                <w:sz w:val="18"/>
              </w:rPr>
            </w:pPr>
            <w:r>
              <w:rPr>
                <w:b/>
                <w:color w:val="333333"/>
                <w:sz w:val="18"/>
              </w:rPr>
              <w:t>LUVIANOS</w:t>
            </w:r>
          </w:p>
        </w:tc>
        <w:tc>
          <w:tcPr>
            <w:tcW w:w="458" w:type="dxa"/>
          </w:tcPr>
          <w:p>
            <w:pPr>
              <w:pStyle w:val="TableParagraph"/>
              <w:spacing w:line="206" w:lineRule="exact"/>
              <w:ind w:right="1"/>
              <w:rPr>
                <w:sz w:val="18"/>
              </w:rPr>
            </w:pPr>
            <w:r>
              <w:rPr>
                <w:w w:val="99"/>
                <w:sz w:val="18"/>
              </w:rPr>
              <w:t>0</w:t>
            </w:r>
          </w:p>
        </w:tc>
        <w:tc>
          <w:tcPr>
            <w:tcW w:w="456" w:type="dxa"/>
          </w:tcPr>
          <w:p>
            <w:pPr>
              <w:pStyle w:val="TableParagraph"/>
              <w:spacing w:line="206" w:lineRule="exact"/>
              <w:ind w:right="171"/>
              <w:jc w:val="righ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r>
      <w:tr>
        <w:trPr>
          <w:trHeight w:val="320"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MALINALCO</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ind w:left="182"/>
              <w:jc w:val="left"/>
              <w:rPr>
                <w:sz w:val="18"/>
              </w:rPr>
            </w:pPr>
            <w:r>
              <w:rPr>
                <w:color w:val="006000"/>
                <w:w w:val="99"/>
                <w:sz w:val="18"/>
              </w:rPr>
              <w:t>1</w:t>
            </w:r>
          </w:p>
        </w:tc>
        <w:tc>
          <w:tcPr>
            <w:tcW w:w="475" w:type="dxa"/>
          </w:tcPr>
          <w:p>
            <w:pPr>
              <w:pStyle w:val="TableParagraph"/>
              <w:spacing w:line="203" w:lineRule="exact"/>
              <w:rPr>
                <w:sz w:val="18"/>
              </w:rPr>
            </w:pPr>
            <w:r>
              <w:rPr>
                <w:color w:val="006000"/>
                <w:w w:val="99"/>
                <w:sz w:val="18"/>
              </w:rPr>
              <w:t>8</w:t>
            </w:r>
          </w:p>
        </w:tc>
        <w:tc>
          <w:tcPr>
            <w:tcW w:w="475" w:type="dxa"/>
          </w:tcPr>
          <w:p>
            <w:pPr>
              <w:pStyle w:val="TableParagraph"/>
              <w:spacing w:line="203" w:lineRule="exact"/>
              <w:ind w:left="182"/>
              <w:jc w:val="left"/>
              <w:rPr>
                <w:sz w:val="18"/>
              </w:rPr>
            </w:pPr>
            <w:r>
              <w:rPr>
                <w:color w:val="006000"/>
                <w:w w:val="99"/>
                <w:sz w:val="18"/>
              </w:rPr>
              <w:t>2</w:t>
            </w:r>
          </w:p>
        </w:tc>
        <w:tc>
          <w:tcPr>
            <w:tcW w:w="475" w:type="dxa"/>
          </w:tcPr>
          <w:p>
            <w:pPr>
              <w:pStyle w:val="TableParagraph"/>
              <w:spacing w:line="203" w:lineRule="exact"/>
              <w:ind w:left="182"/>
              <w:jc w:val="left"/>
              <w:rPr>
                <w:sz w:val="18"/>
              </w:rPr>
            </w:pPr>
            <w:r>
              <w:rPr>
                <w:w w:val="99"/>
                <w:sz w:val="18"/>
              </w:rPr>
              <w:t>0</w:t>
            </w:r>
          </w:p>
        </w:tc>
      </w:tr>
      <w:tr>
        <w:trPr>
          <w:trHeight w:val="322" w:hRule="exact"/>
        </w:trPr>
        <w:tc>
          <w:tcPr>
            <w:tcW w:w="3697" w:type="dxa"/>
            <w:tcBorders>
              <w:left w:val="single" w:sz="8" w:space="0" w:color="000000"/>
            </w:tcBorders>
          </w:tcPr>
          <w:p>
            <w:pPr>
              <w:pStyle w:val="TableParagraph"/>
              <w:spacing w:line="201" w:lineRule="exact"/>
              <w:ind w:left="60"/>
              <w:jc w:val="left"/>
              <w:rPr>
                <w:b/>
                <w:sz w:val="18"/>
              </w:rPr>
            </w:pPr>
            <w:r>
              <w:rPr>
                <w:b/>
                <w:color w:val="333333"/>
                <w:sz w:val="18"/>
              </w:rPr>
              <w:t>MELCHOR OCAMPO</w:t>
            </w:r>
          </w:p>
        </w:tc>
        <w:tc>
          <w:tcPr>
            <w:tcW w:w="458" w:type="dxa"/>
          </w:tcPr>
          <w:p>
            <w:pPr>
              <w:pStyle w:val="TableParagraph"/>
              <w:spacing w:line="206" w:lineRule="exact"/>
              <w:ind w:right="1"/>
              <w:rPr>
                <w:sz w:val="18"/>
              </w:rPr>
            </w:pPr>
            <w:r>
              <w:rPr>
                <w:w w:val="99"/>
                <w:sz w:val="18"/>
              </w:rPr>
              <w:t>0</w:t>
            </w:r>
          </w:p>
        </w:tc>
        <w:tc>
          <w:tcPr>
            <w:tcW w:w="456" w:type="dxa"/>
          </w:tcPr>
          <w:p>
            <w:pPr>
              <w:pStyle w:val="TableParagraph"/>
              <w:spacing w:line="206" w:lineRule="exact"/>
              <w:ind w:right="171"/>
              <w:jc w:val="righ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r>
      <w:tr>
        <w:trPr>
          <w:trHeight w:val="319"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METEPEC</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color w:val="006000"/>
                <w:w w:val="99"/>
                <w:sz w:val="18"/>
              </w:rPr>
              <w:t>9</w:t>
            </w:r>
          </w:p>
        </w:tc>
        <w:tc>
          <w:tcPr>
            <w:tcW w:w="475" w:type="dxa"/>
          </w:tcPr>
          <w:p>
            <w:pPr>
              <w:pStyle w:val="TableParagraph"/>
              <w:spacing w:line="203" w:lineRule="exact"/>
              <w:ind w:left="182"/>
              <w:jc w:val="left"/>
              <w:rPr>
                <w:sz w:val="18"/>
              </w:rPr>
            </w:pPr>
            <w:r>
              <w:rPr>
                <w:color w:val="006000"/>
                <w:w w:val="99"/>
                <w:sz w:val="18"/>
              </w:rPr>
              <w:t>7</w:t>
            </w:r>
          </w:p>
        </w:tc>
        <w:tc>
          <w:tcPr>
            <w:tcW w:w="475" w:type="dxa"/>
          </w:tcPr>
          <w:p>
            <w:pPr>
              <w:pStyle w:val="TableParagraph"/>
              <w:spacing w:line="203" w:lineRule="exact"/>
              <w:ind w:left="182"/>
              <w:jc w:val="left"/>
              <w:rPr>
                <w:sz w:val="18"/>
              </w:rPr>
            </w:pPr>
            <w:r>
              <w:rPr>
                <w:w w:val="99"/>
                <w:sz w:val="18"/>
              </w:rPr>
              <w:t>0</w:t>
            </w:r>
          </w:p>
        </w:tc>
      </w:tr>
      <w:tr>
        <w:trPr>
          <w:trHeight w:val="322" w:hRule="exact"/>
        </w:trPr>
        <w:tc>
          <w:tcPr>
            <w:tcW w:w="3697" w:type="dxa"/>
            <w:tcBorders>
              <w:left w:val="single" w:sz="8" w:space="0" w:color="000000"/>
            </w:tcBorders>
          </w:tcPr>
          <w:p>
            <w:pPr>
              <w:pStyle w:val="TableParagraph"/>
              <w:spacing w:line="201" w:lineRule="exact"/>
              <w:ind w:left="60"/>
              <w:jc w:val="left"/>
              <w:rPr>
                <w:b/>
                <w:sz w:val="18"/>
              </w:rPr>
            </w:pPr>
            <w:r>
              <w:rPr>
                <w:b/>
                <w:color w:val="333333"/>
                <w:sz w:val="18"/>
              </w:rPr>
              <w:t>MEXICALTCINGO</w:t>
            </w:r>
          </w:p>
        </w:tc>
        <w:tc>
          <w:tcPr>
            <w:tcW w:w="458" w:type="dxa"/>
          </w:tcPr>
          <w:p>
            <w:pPr>
              <w:pStyle w:val="TableParagraph"/>
              <w:spacing w:line="206" w:lineRule="exact"/>
              <w:ind w:right="1"/>
              <w:rPr>
                <w:sz w:val="18"/>
              </w:rPr>
            </w:pPr>
            <w:r>
              <w:rPr>
                <w:w w:val="99"/>
                <w:sz w:val="18"/>
              </w:rPr>
              <w:t>0</w:t>
            </w:r>
          </w:p>
        </w:tc>
        <w:tc>
          <w:tcPr>
            <w:tcW w:w="456" w:type="dxa"/>
          </w:tcPr>
          <w:p>
            <w:pPr>
              <w:pStyle w:val="TableParagraph"/>
              <w:spacing w:line="206" w:lineRule="exact"/>
              <w:ind w:right="171"/>
              <w:jc w:val="righ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r>
      <w:tr>
        <w:trPr>
          <w:trHeight w:val="322"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MORELOS</w:t>
            </w:r>
          </w:p>
        </w:tc>
        <w:tc>
          <w:tcPr>
            <w:tcW w:w="458" w:type="dxa"/>
          </w:tcPr>
          <w:p>
            <w:pPr>
              <w:pStyle w:val="TableParagraph"/>
              <w:spacing w:line="203" w:lineRule="exact"/>
              <w:ind w:right="1"/>
              <w:rPr>
                <w:sz w:val="18"/>
              </w:rPr>
            </w:pPr>
            <w:r>
              <w:rPr>
                <w:color w:val="006000"/>
                <w:w w:val="99"/>
                <w:sz w:val="18"/>
              </w:rPr>
              <w:t>1</w:t>
            </w:r>
          </w:p>
        </w:tc>
        <w:tc>
          <w:tcPr>
            <w:tcW w:w="456" w:type="dxa"/>
          </w:tcPr>
          <w:p>
            <w:pPr>
              <w:pStyle w:val="TableParagraph"/>
              <w:spacing w:line="203" w:lineRule="exact"/>
              <w:ind w:right="120"/>
              <w:jc w:val="right"/>
              <w:rPr>
                <w:sz w:val="18"/>
              </w:rPr>
            </w:pPr>
            <w:r>
              <w:rPr>
                <w:color w:val="006000"/>
                <w:w w:val="95"/>
                <w:sz w:val="18"/>
              </w:rPr>
              <w:t>35</w:t>
            </w:r>
          </w:p>
        </w:tc>
        <w:tc>
          <w:tcPr>
            <w:tcW w:w="475" w:type="dxa"/>
          </w:tcPr>
          <w:p>
            <w:pPr>
              <w:pStyle w:val="TableParagraph"/>
              <w:spacing w:line="203" w:lineRule="exact"/>
              <w:ind w:left="182"/>
              <w:jc w:val="left"/>
              <w:rPr>
                <w:sz w:val="18"/>
              </w:rPr>
            </w:pPr>
            <w:r>
              <w:rPr>
                <w:color w:val="006000"/>
                <w:w w:val="99"/>
                <w:sz w:val="18"/>
              </w:rPr>
              <w:t>1</w:t>
            </w:r>
          </w:p>
        </w:tc>
        <w:tc>
          <w:tcPr>
            <w:tcW w:w="475" w:type="dxa"/>
          </w:tcPr>
          <w:p>
            <w:pPr>
              <w:pStyle w:val="TableParagraph"/>
              <w:spacing w:line="203" w:lineRule="exact"/>
              <w:ind w:left="60" w:right="60"/>
              <w:rPr>
                <w:sz w:val="18"/>
              </w:rPr>
            </w:pPr>
            <w:r>
              <w:rPr>
                <w:color w:val="006000"/>
                <w:sz w:val="18"/>
              </w:rPr>
              <w:t>27</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r>
      <w:tr>
        <w:trPr>
          <w:trHeight w:val="319"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NAUCALPAN DE JUAREZ</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color w:val="006000"/>
                <w:w w:val="99"/>
                <w:sz w:val="18"/>
              </w:rPr>
              <w:t>2</w:t>
            </w:r>
          </w:p>
        </w:tc>
        <w:tc>
          <w:tcPr>
            <w:tcW w:w="475" w:type="dxa"/>
          </w:tcPr>
          <w:p>
            <w:pPr>
              <w:pStyle w:val="TableParagraph"/>
              <w:spacing w:line="203" w:lineRule="exact"/>
              <w:ind w:left="182"/>
              <w:jc w:val="left"/>
              <w:rPr>
                <w:sz w:val="18"/>
              </w:rPr>
            </w:pPr>
            <w:r>
              <w:rPr>
                <w:color w:val="006000"/>
                <w:w w:val="99"/>
                <w:sz w:val="18"/>
              </w:rPr>
              <w:t>4</w:t>
            </w:r>
          </w:p>
        </w:tc>
        <w:tc>
          <w:tcPr>
            <w:tcW w:w="475" w:type="dxa"/>
          </w:tcPr>
          <w:p>
            <w:pPr>
              <w:pStyle w:val="TableParagraph"/>
              <w:spacing w:line="203" w:lineRule="exact"/>
              <w:ind w:left="182"/>
              <w:jc w:val="left"/>
              <w:rPr>
                <w:sz w:val="18"/>
              </w:rPr>
            </w:pPr>
            <w:r>
              <w:rPr>
                <w:color w:val="006000"/>
                <w:w w:val="99"/>
                <w:sz w:val="18"/>
              </w:rPr>
              <w:t>3</w:t>
            </w:r>
          </w:p>
        </w:tc>
      </w:tr>
      <w:tr>
        <w:trPr>
          <w:trHeight w:val="322"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NEXTLALPAN</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r>
      <w:tr>
        <w:trPr>
          <w:trHeight w:val="319"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NEZAHUALCOYOTL</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20"/>
              <w:jc w:val="right"/>
              <w:rPr>
                <w:sz w:val="18"/>
              </w:rPr>
            </w:pPr>
            <w:r>
              <w:rPr>
                <w:color w:val="006000"/>
                <w:w w:val="95"/>
                <w:sz w:val="18"/>
              </w:rPr>
              <w:t>13</w:t>
            </w:r>
          </w:p>
        </w:tc>
        <w:tc>
          <w:tcPr>
            <w:tcW w:w="475" w:type="dxa"/>
          </w:tcPr>
          <w:p>
            <w:pPr>
              <w:pStyle w:val="TableParagraph"/>
              <w:spacing w:line="203" w:lineRule="exact"/>
              <w:ind w:left="132"/>
              <w:jc w:val="left"/>
              <w:rPr>
                <w:sz w:val="18"/>
              </w:rPr>
            </w:pPr>
            <w:r>
              <w:rPr>
                <w:color w:val="006000"/>
                <w:sz w:val="18"/>
              </w:rPr>
              <w:t>14</w:t>
            </w:r>
          </w:p>
        </w:tc>
        <w:tc>
          <w:tcPr>
            <w:tcW w:w="475" w:type="dxa"/>
          </w:tcPr>
          <w:p>
            <w:pPr>
              <w:pStyle w:val="TableParagraph"/>
              <w:spacing w:line="203" w:lineRule="exact"/>
              <w:ind w:left="60" w:right="60"/>
              <w:rPr>
                <w:sz w:val="18"/>
              </w:rPr>
            </w:pPr>
            <w:r>
              <w:rPr>
                <w:color w:val="006000"/>
                <w:sz w:val="18"/>
              </w:rPr>
              <w:t>10</w:t>
            </w:r>
          </w:p>
        </w:tc>
        <w:tc>
          <w:tcPr>
            <w:tcW w:w="475" w:type="dxa"/>
          </w:tcPr>
          <w:p>
            <w:pPr>
              <w:pStyle w:val="TableParagraph"/>
              <w:spacing w:line="203" w:lineRule="exact"/>
              <w:ind w:left="182"/>
              <w:jc w:val="left"/>
              <w:rPr>
                <w:sz w:val="18"/>
              </w:rPr>
            </w:pPr>
            <w:r>
              <w:rPr>
                <w:color w:val="006000"/>
                <w:w w:val="99"/>
                <w:sz w:val="18"/>
              </w:rPr>
              <w:t>9</w:t>
            </w:r>
          </w:p>
        </w:tc>
        <w:tc>
          <w:tcPr>
            <w:tcW w:w="475" w:type="dxa"/>
          </w:tcPr>
          <w:p>
            <w:pPr>
              <w:pStyle w:val="TableParagraph"/>
              <w:spacing w:line="203" w:lineRule="exact"/>
              <w:ind w:left="182"/>
              <w:jc w:val="left"/>
              <w:rPr>
                <w:sz w:val="18"/>
              </w:rPr>
            </w:pPr>
            <w:r>
              <w:rPr>
                <w:color w:val="006000"/>
                <w:w w:val="99"/>
                <w:sz w:val="18"/>
              </w:rPr>
              <w:t>2</w:t>
            </w:r>
          </w:p>
        </w:tc>
      </w:tr>
      <w:tr>
        <w:trPr>
          <w:trHeight w:val="322"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NICOLAS ROMERO</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ind w:left="60" w:right="60"/>
              <w:rPr>
                <w:sz w:val="18"/>
              </w:rPr>
            </w:pPr>
            <w:r>
              <w:rPr>
                <w:color w:val="006000"/>
                <w:sz w:val="18"/>
              </w:rPr>
              <w:t>18</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ind w:left="182"/>
              <w:jc w:val="left"/>
              <w:rPr>
                <w:sz w:val="18"/>
              </w:rPr>
            </w:pPr>
            <w:r>
              <w:rPr>
                <w:color w:val="006000"/>
                <w:w w:val="99"/>
                <w:sz w:val="18"/>
              </w:rPr>
              <w:t>3</w:t>
            </w:r>
          </w:p>
        </w:tc>
      </w:tr>
      <w:tr>
        <w:trPr>
          <w:trHeight w:val="319"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NOPALTEPEC</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r>
      <w:tr>
        <w:trPr>
          <w:trHeight w:val="322"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OCOYOACAC</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color w:val="006000"/>
                <w:w w:val="99"/>
                <w:sz w:val="18"/>
              </w:rPr>
              <w:t>4</w:t>
            </w:r>
          </w:p>
        </w:tc>
        <w:tc>
          <w:tcPr>
            <w:tcW w:w="475" w:type="dxa"/>
          </w:tcPr>
          <w:p>
            <w:pPr>
              <w:pStyle w:val="TableParagraph"/>
              <w:spacing w:line="203" w:lineRule="exact"/>
              <w:ind w:left="182"/>
              <w:jc w:val="left"/>
              <w:rPr>
                <w:sz w:val="18"/>
              </w:rPr>
            </w:pPr>
            <w:r>
              <w:rPr>
                <w:color w:val="006000"/>
                <w:w w:val="99"/>
                <w:sz w:val="18"/>
              </w:rPr>
              <w:t>5</w:t>
            </w:r>
          </w:p>
        </w:tc>
        <w:tc>
          <w:tcPr>
            <w:tcW w:w="475" w:type="dxa"/>
          </w:tcPr>
          <w:p>
            <w:pPr>
              <w:pStyle w:val="TableParagraph"/>
              <w:spacing w:line="203" w:lineRule="exact"/>
              <w:ind w:left="182"/>
              <w:jc w:val="left"/>
              <w:rPr>
                <w:sz w:val="18"/>
              </w:rPr>
            </w:pPr>
            <w:r>
              <w:rPr>
                <w:color w:val="006000"/>
                <w:w w:val="99"/>
                <w:sz w:val="18"/>
              </w:rPr>
              <w:t>5</w:t>
            </w:r>
          </w:p>
        </w:tc>
      </w:tr>
      <w:tr>
        <w:trPr>
          <w:trHeight w:val="320"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OCUILAN</w:t>
            </w:r>
          </w:p>
        </w:tc>
        <w:tc>
          <w:tcPr>
            <w:tcW w:w="2816" w:type="dxa"/>
            <w:gridSpan w:val="6"/>
          </w:tcPr>
          <w:p>
            <w:pPr>
              <w:pStyle w:val="TableParagraph"/>
              <w:spacing w:line="204" w:lineRule="exact"/>
              <w:ind w:left="1257" w:right="1257"/>
              <w:rPr>
                <w:sz w:val="18"/>
              </w:rPr>
            </w:pPr>
            <w:r>
              <w:rPr>
                <w:sz w:val="18"/>
              </w:rPr>
              <w:t>NA</w:t>
            </w:r>
          </w:p>
        </w:tc>
      </w:tr>
      <w:tr>
        <w:trPr>
          <w:trHeight w:val="322"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OTUMBA</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color w:val="006000"/>
                <w:w w:val="99"/>
                <w:sz w:val="18"/>
              </w:rPr>
              <w:t>1</w:t>
            </w:r>
          </w:p>
        </w:tc>
        <w:tc>
          <w:tcPr>
            <w:tcW w:w="475" w:type="dxa"/>
          </w:tcPr>
          <w:p>
            <w:pPr>
              <w:pStyle w:val="TableParagraph"/>
              <w:spacing w:line="203" w:lineRule="exact"/>
              <w:ind w:left="182"/>
              <w:jc w:val="left"/>
              <w:rPr>
                <w:sz w:val="18"/>
              </w:rPr>
            </w:pPr>
            <w:r>
              <w:rPr>
                <w:color w:val="006000"/>
                <w:w w:val="99"/>
                <w:sz w:val="18"/>
              </w:rPr>
              <w:t>1</w:t>
            </w:r>
          </w:p>
        </w:tc>
        <w:tc>
          <w:tcPr>
            <w:tcW w:w="475" w:type="dxa"/>
          </w:tcPr>
          <w:p>
            <w:pPr>
              <w:pStyle w:val="TableParagraph"/>
              <w:spacing w:line="203" w:lineRule="exact"/>
              <w:ind w:left="182"/>
              <w:jc w:val="left"/>
              <w:rPr>
                <w:sz w:val="18"/>
              </w:rPr>
            </w:pPr>
            <w:r>
              <w:rPr>
                <w:color w:val="006000"/>
                <w:w w:val="99"/>
                <w:sz w:val="18"/>
              </w:rPr>
              <w:t>1</w:t>
            </w:r>
          </w:p>
        </w:tc>
      </w:tr>
      <w:tr>
        <w:trPr>
          <w:trHeight w:val="319"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OTZOLOAPAN</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r>
      <w:tr>
        <w:trPr>
          <w:trHeight w:val="322"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OTZOLOTEPEC</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color w:val="006000"/>
                <w:w w:val="99"/>
                <w:sz w:val="18"/>
              </w:rPr>
              <w:t>4</w:t>
            </w:r>
          </w:p>
        </w:tc>
        <w:tc>
          <w:tcPr>
            <w:tcW w:w="475" w:type="dxa"/>
          </w:tcPr>
          <w:p>
            <w:pPr>
              <w:pStyle w:val="TableParagraph"/>
              <w:spacing w:line="203" w:lineRule="exact"/>
              <w:ind w:left="182"/>
              <w:jc w:val="left"/>
              <w:rPr>
                <w:sz w:val="18"/>
              </w:rPr>
            </w:pPr>
            <w:r>
              <w:rPr>
                <w:color w:val="006000"/>
                <w:w w:val="99"/>
                <w:sz w:val="18"/>
              </w:rPr>
              <w:t>4</w:t>
            </w:r>
          </w:p>
        </w:tc>
        <w:tc>
          <w:tcPr>
            <w:tcW w:w="475" w:type="dxa"/>
          </w:tcPr>
          <w:p>
            <w:pPr>
              <w:pStyle w:val="TableParagraph"/>
              <w:spacing w:line="203" w:lineRule="exact"/>
              <w:ind w:left="60" w:right="60"/>
              <w:rPr>
                <w:sz w:val="18"/>
              </w:rPr>
            </w:pPr>
            <w:r>
              <w:rPr>
                <w:color w:val="006000"/>
                <w:sz w:val="18"/>
              </w:rPr>
              <w:t>13</w:t>
            </w:r>
          </w:p>
        </w:tc>
        <w:tc>
          <w:tcPr>
            <w:tcW w:w="475" w:type="dxa"/>
          </w:tcPr>
          <w:p>
            <w:pPr>
              <w:pStyle w:val="TableParagraph"/>
              <w:spacing w:line="203" w:lineRule="exact"/>
              <w:ind w:left="182"/>
              <w:jc w:val="left"/>
              <w:rPr>
                <w:sz w:val="18"/>
              </w:rPr>
            </w:pPr>
            <w:r>
              <w:rPr>
                <w:color w:val="006000"/>
                <w:w w:val="99"/>
                <w:sz w:val="18"/>
              </w:rPr>
              <w:t>7</w:t>
            </w:r>
          </w:p>
        </w:tc>
        <w:tc>
          <w:tcPr>
            <w:tcW w:w="475" w:type="dxa"/>
          </w:tcPr>
          <w:p>
            <w:pPr>
              <w:pStyle w:val="TableParagraph"/>
              <w:spacing w:line="203" w:lineRule="exact"/>
              <w:ind w:left="182"/>
              <w:jc w:val="left"/>
              <w:rPr>
                <w:sz w:val="18"/>
              </w:rPr>
            </w:pPr>
            <w:r>
              <w:rPr>
                <w:w w:val="99"/>
                <w:sz w:val="18"/>
              </w:rPr>
              <w:t>0</w:t>
            </w:r>
          </w:p>
        </w:tc>
      </w:tr>
      <w:tr>
        <w:trPr>
          <w:trHeight w:val="319"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OZUMBA</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color w:val="006000"/>
                <w:w w:val="99"/>
                <w:sz w:val="18"/>
              </w:rPr>
              <w:t>1</w:t>
            </w:r>
          </w:p>
        </w:tc>
        <w:tc>
          <w:tcPr>
            <w:tcW w:w="475" w:type="dxa"/>
          </w:tcPr>
          <w:p>
            <w:pPr>
              <w:pStyle w:val="TableParagraph"/>
              <w:spacing w:line="203" w:lineRule="exact"/>
              <w:ind w:left="182"/>
              <w:jc w:val="left"/>
              <w:rPr>
                <w:sz w:val="18"/>
              </w:rPr>
            </w:pPr>
            <w:r>
              <w:rPr>
                <w:color w:val="006000"/>
                <w:w w:val="99"/>
                <w:sz w:val="18"/>
              </w:rPr>
              <w:t>1</w:t>
            </w:r>
          </w:p>
        </w:tc>
      </w:tr>
      <w:tr>
        <w:trPr>
          <w:trHeight w:val="322" w:hRule="exact"/>
        </w:trPr>
        <w:tc>
          <w:tcPr>
            <w:tcW w:w="3697" w:type="dxa"/>
            <w:tcBorders>
              <w:left w:val="single" w:sz="8" w:space="0" w:color="000000"/>
            </w:tcBorders>
          </w:tcPr>
          <w:p>
            <w:pPr>
              <w:pStyle w:val="TableParagraph"/>
              <w:spacing w:line="201" w:lineRule="exact"/>
              <w:ind w:left="60"/>
              <w:jc w:val="left"/>
              <w:rPr>
                <w:b/>
                <w:sz w:val="18"/>
              </w:rPr>
            </w:pPr>
            <w:r>
              <w:rPr>
                <w:b/>
                <w:color w:val="333333"/>
                <w:sz w:val="18"/>
              </w:rPr>
              <w:t>PAPALOTLA</w:t>
            </w:r>
          </w:p>
        </w:tc>
        <w:tc>
          <w:tcPr>
            <w:tcW w:w="458" w:type="dxa"/>
          </w:tcPr>
          <w:p>
            <w:pPr>
              <w:pStyle w:val="TableParagraph"/>
              <w:spacing w:line="206" w:lineRule="exact"/>
              <w:ind w:right="1"/>
              <w:rPr>
                <w:sz w:val="18"/>
              </w:rPr>
            </w:pPr>
            <w:r>
              <w:rPr>
                <w:w w:val="99"/>
                <w:sz w:val="18"/>
              </w:rPr>
              <w:t>0</w:t>
            </w:r>
          </w:p>
        </w:tc>
        <w:tc>
          <w:tcPr>
            <w:tcW w:w="456" w:type="dxa"/>
          </w:tcPr>
          <w:p>
            <w:pPr>
              <w:pStyle w:val="TableParagraph"/>
              <w:spacing w:line="206" w:lineRule="exact"/>
              <w:ind w:right="171"/>
              <w:jc w:val="righ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75" w:type="dxa"/>
          </w:tcPr>
          <w:p>
            <w:pPr>
              <w:pStyle w:val="TableParagraph"/>
              <w:spacing w:line="206" w:lineRule="exact"/>
              <w:rPr>
                <w:sz w:val="18"/>
              </w:rPr>
            </w:pPr>
            <w:r>
              <w:rPr>
                <w:color w:val="006000"/>
                <w:w w:val="99"/>
                <w:sz w:val="18"/>
              </w:rPr>
              <w:t>1</w:t>
            </w:r>
          </w:p>
        </w:tc>
        <w:tc>
          <w:tcPr>
            <w:tcW w:w="475" w:type="dxa"/>
          </w:tcPr>
          <w:p>
            <w:pPr>
              <w:pStyle w:val="TableParagraph"/>
              <w:spacing w:line="206" w:lineRule="exact"/>
              <w:ind w:left="182"/>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r>
      <w:tr>
        <w:trPr>
          <w:trHeight w:val="322"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POLOTITLAN</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color w:val="006000"/>
                <w:w w:val="99"/>
                <w:sz w:val="18"/>
              </w:rPr>
              <w:t>3</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r>
    </w:tbl>
    <w:p>
      <w:pPr>
        <w:spacing w:after="0" w:line="203" w:lineRule="exact"/>
        <w:jc w:val="left"/>
        <w:rPr>
          <w:sz w:val="18"/>
        </w:rPr>
        <w:sectPr>
          <w:pgSz w:w="12240" w:h="15840"/>
          <w:pgMar w:header="0" w:footer="975" w:top="1420" w:bottom="1160" w:left="1720" w:right="1720"/>
        </w:sectPr>
      </w:pPr>
    </w:p>
    <w:tbl>
      <w:tblPr>
        <w:tblW w:w="0" w:type="auto"/>
        <w:jc w:val="left"/>
        <w:tblInd w:w="6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97"/>
        <w:gridCol w:w="458"/>
        <w:gridCol w:w="456"/>
        <w:gridCol w:w="475"/>
        <w:gridCol w:w="475"/>
        <w:gridCol w:w="475"/>
        <w:gridCol w:w="475"/>
      </w:tblGrid>
      <w:tr>
        <w:trPr>
          <w:trHeight w:val="630" w:hRule="exact"/>
        </w:trPr>
        <w:tc>
          <w:tcPr>
            <w:tcW w:w="6512" w:type="dxa"/>
            <w:gridSpan w:val="7"/>
            <w:shd w:val="clear" w:color="auto" w:fill="C5DFB3"/>
          </w:tcPr>
          <w:p>
            <w:pPr>
              <w:pStyle w:val="TableParagraph"/>
              <w:spacing w:line="360" w:lineRule="auto"/>
              <w:ind w:left="2388" w:right="75" w:hanging="2303"/>
              <w:jc w:val="left"/>
              <w:rPr>
                <w:b/>
                <w:sz w:val="18"/>
              </w:rPr>
            </w:pPr>
            <w:r>
              <w:rPr>
                <w:b/>
                <w:sz w:val="18"/>
              </w:rPr>
              <w:t>Anexo 25. Municipios que publican apartado de programas sociales 2010- 2015 (Continuación)</w:t>
            </w:r>
          </w:p>
        </w:tc>
      </w:tr>
      <w:tr>
        <w:trPr>
          <w:trHeight w:val="494" w:hRule="exact"/>
        </w:trPr>
        <w:tc>
          <w:tcPr>
            <w:tcW w:w="3697" w:type="dxa"/>
            <w:shd w:val="clear" w:color="auto" w:fill="C5DFB3"/>
          </w:tcPr>
          <w:p>
            <w:pPr>
              <w:pStyle w:val="TableParagraph"/>
              <w:spacing w:before="80"/>
              <w:ind w:left="1400" w:right="1400"/>
              <w:rPr>
                <w:b/>
                <w:sz w:val="18"/>
              </w:rPr>
            </w:pPr>
            <w:r>
              <w:rPr>
                <w:b/>
                <w:sz w:val="18"/>
              </w:rPr>
              <w:t>Municipio</w:t>
            </w:r>
          </w:p>
        </w:tc>
        <w:tc>
          <w:tcPr>
            <w:tcW w:w="458" w:type="dxa"/>
            <w:shd w:val="clear" w:color="auto" w:fill="C5DFB3"/>
            <w:textDirection w:val="btLr"/>
          </w:tcPr>
          <w:p>
            <w:pPr>
              <w:pStyle w:val="TableParagraph"/>
              <w:spacing w:before="64"/>
              <w:ind w:left="2"/>
              <w:jc w:val="left"/>
              <w:rPr>
                <w:b/>
                <w:sz w:val="18"/>
              </w:rPr>
            </w:pPr>
            <w:r>
              <w:rPr>
                <w:b/>
                <w:w w:val="99"/>
                <w:sz w:val="18"/>
              </w:rPr>
              <w:t>2010</w:t>
            </w:r>
          </w:p>
        </w:tc>
        <w:tc>
          <w:tcPr>
            <w:tcW w:w="456" w:type="dxa"/>
            <w:shd w:val="clear" w:color="auto" w:fill="C5DFB3"/>
            <w:textDirection w:val="btLr"/>
          </w:tcPr>
          <w:p>
            <w:pPr>
              <w:pStyle w:val="TableParagraph"/>
              <w:spacing w:before="64"/>
              <w:ind w:left="2"/>
              <w:jc w:val="left"/>
              <w:rPr>
                <w:b/>
                <w:sz w:val="18"/>
              </w:rPr>
            </w:pPr>
            <w:r>
              <w:rPr>
                <w:b/>
                <w:w w:val="99"/>
                <w:sz w:val="18"/>
              </w:rPr>
              <w:t>2011</w:t>
            </w:r>
          </w:p>
        </w:tc>
        <w:tc>
          <w:tcPr>
            <w:tcW w:w="475" w:type="dxa"/>
            <w:shd w:val="clear" w:color="auto" w:fill="C5DFB3"/>
            <w:textDirection w:val="btLr"/>
          </w:tcPr>
          <w:p>
            <w:pPr>
              <w:pStyle w:val="TableParagraph"/>
              <w:spacing w:before="80"/>
              <w:ind w:left="2"/>
              <w:jc w:val="left"/>
              <w:rPr>
                <w:b/>
                <w:sz w:val="18"/>
              </w:rPr>
            </w:pPr>
            <w:r>
              <w:rPr>
                <w:b/>
                <w:w w:val="99"/>
                <w:sz w:val="18"/>
              </w:rPr>
              <w:t>2012</w:t>
            </w:r>
          </w:p>
        </w:tc>
        <w:tc>
          <w:tcPr>
            <w:tcW w:w="475" w:type="dxa"/>
            <w:shd w:val="clear" w:color="auto" w:fill="C5DFB3"/>
            <w:textDirection w:val="btLr"/>
          </w:tcPr>
          <w:p>
            <w:pPr>
              <w:pStyle w:val="TableParagraph"/>
              <w:spacing w:before="80"/>
              <w:ind w:left="2"/>
              <w:jc w:val="left"/>
              <w:rPr>
                <w:b/>
                <w:sz w:val="18"/>
              </w:rPr>
            </w:pPr>
            <w:r>
              <w:rPr>
                <w:b/>
                <w:w w:val="99"/>
                <w:sz w:val="18"/>
              </w:rPr>
              <w:t>2013</w:t>
            </w:r>
          </w:p>
        </w:tc>
        <w:tc>
          <w:tcPr>
            <w:tcW w:w="475" w:type="dxa"/>
            <w:shd w:val="clear" w:color="auto" w:fill="C5DFB3"/>
            <w:textDirection w:val="btLr"/>
          </w:tcPr>
          <w:p>
            <w:pPr>
              <w:pStyle w:val="TableParagraph"/>
              <w:spacing w:before="80"/>
              <w:ind w:left="2"/>
              <w:jc w:val="left"/>
              <w:rPr>
                <w:b/>
                <w:sz w:val="18"/>
              </w:rPr>
            </w:pPr>
            <w:r>
              <w:rPr>
                <w:b/>
                <w:w w:val="99"/>
                <w:sz w:val="18"/>
              </w:rPr>
              <w:t>2014</w:t>
            </w:r>
          </w:p>
        </w:tc>
        <w:tc>
          <w:tcPr>
            <w:tcW w:w="475" w:type="dxa"/>
            <w:shd w:val="clear" w:color="auto" w:fill="C5DFB3"/>
            <w:textDirection w:val="btLr"/>
          </w:tcPr>
          <w:p>
            <w:pPr>
              <w:pStyle w:val="TableParagraph"/>
              <w:spacing w:before="78"/>
              <w:ind w:left="2"/>
              <w:jc w:val="left"/>
              <w:rPr>
                <w:b/>
                <w:sz w:val="18"/>
              </w:rPr>
            </w:pPr>
            <w:r>
              <w:rPr>
                <w:b/>
                <w:w w:val="99"/>
                <w:sz w:val="18"/>
              </w:rPr>
              <w:t>2015</w:t>
            </w:r>
          </w:p>
        </w:tc>
      </w:tr>
      <w:tr>
        <w:trPr>
          <w:trHeight w:val="322"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RAYON</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rPr>
                <w:sz w:val="18"/>
              </w:rPr>
            </w:pPr>
            <w:r>
              <w:rPr>
                <w:w w:val="99"/>
                <w:sz w:val="18"/>
              </w:rPr>
              <w:t>0</w:t>
            </w:r>
          </w:p>
        </w:tc>
      </w:tr>
      <w:tr>
        <w:trPr>
          <w:trHeight w:val="319"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SAN ANTONIO LA ISLA</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rPr>
                <w:sz w:val="18"/>
              </w:rPr>
            </w:pPr>
            <w:r>
              <w:rPr>
                <w:w w:val="99"/>
                <w:sz w:val="18"/>
              </w:rPr>
              <w:t>0</w:t>
            </w:r>
          </w:p>
        </w:tc>
      </w:tr>
      <w:tr>
        <w:trPr>
          <w:trHeight w:val="322"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SAN FELIPE DEL PROGRESO</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rPr>
                <w:sz w:val="18"/>
              </w:rPr>
            </w:pPr>
            <w:r>
              <w:rPr>
                <w:w w:val="99"/>
                <w:sz w:val="18"/>
              </w:rPr>
              <w:t>0</w:t>
            </w:r>
          </w:p>
        </w:tc>
      </w:tr>
      <w:tr>
        <w:trPr>
          <w:trHeight w:val="319"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SAN JOSE DEL RINCON</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2</w:t>
            </w:r>
          </w:p>
        </w:tc>
        <w:tc>
          <w:tcPr>
            <w:tcW w:w="475" w:type="dxa"/>
          </w:tcPr>
          <w:p>
            <w:pPr>
              <w:pStyle w:val="TableParagraph"/>
              <w:spacing w:line="203" w:lineRule="exact"/>
              <w:rPr>
                <w:sz w:val="18"/>
              </w:rPr>
            </w:pPr>
            <w:r>
              <w:rPr>
                <w:w w:val="99"/>
                <w:sz w:val="18"/>
              </w:rPr>
              <w:t>2</w:t>
            </w:r>
          </w:p>
        </w:tc>
        <w:tc>
          <w:tcPr>
            <w:tcW w:w="475" w:type="dxa"/>
          </w:tcPr>
          <w:p>
            <w:pPr>
              <w:pStyle w:val="TableParagraph"/>
              <w:spacing w:line="203" w:lineRule="exact"/>
              <w:ind w:left="182"/>
              <w:jc w:val="left"/>
              <w:rPr>
                <w:sz w:val="18"/>
              </w:rPr>
            </w:pPr>
            <w:r>
              <w:rPr>
                <w:w w:val="99"/>
                <w:sz w:val="18"/>
              </w:rPr>
              <w:t>3</w:t>
            </w:r>
          </w:p>
        </w:tc>
        <w:tc>
          <w:tcPr>
            <w:tcW w:w="475" w:type="dxa"/>
          </w:tcPr>
          <w:p>
            <w:pPr>
              <w:pStyle w:val="TableParagraph"/>
              <w:spacing w:line="203" w:lineRule="exact"/>
              <w:ind w:left="60" w:right="60"/>
              <w:rPr>
                <w:sz w:val="18"/>
              </w:rPr>
            </w:pPr>
            <w:r>
              <w:rPr>
                <w:sz w:val="18"/>
              </w:rPr>
              <w:t>14</w:t>
            </w:r>
          </w:p>
        </w:tc>
        <w:tc>
          <w:tcPr>
            <w:tcW w:w="475" w:type="dxa"/>
          </w:tcPr>
          <w:p>
            <w:pPr>
              <w:pStyle w:val="TableParagraph"/>
              <w:spacing w:line="203" w:lineRule="exact"/>
              <w:rPr>
                <w:sz w:val="18"/>
              </w:rPr>
            </w:pPr>
            <w:r>
              <w:rPr>
                <w:w w:val="99"/>
                <w:sz w:val="18"/>
              </w:rPr>
              <w:t>4</w:t>
            </w:r>
          </w:p>
        </w:tc>
      </w:tr>
      <w:tr>
        <w:trPr>
          <w:trHeight w:val="322"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SAN MARTÍN DE LAS PIRAMIDES</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3</w:t>
            </w:r>
          </w:p>
        </w:tc>
        <w:tc>
          <w:tcPr>
            <w:tcW w:w="475" w:type="dxa"/>
          </w:tcPr>
          <w:p>
            <w:pPr>
              <w:pStyle w:val="TableParagraph"/>
              <w:spacing w:line="203" w:lineRule="exact"/>
              <w:rPr>
                <w:sz w:val="18"/>
              </w:rPr>
            </w:pPr>
            <w:r>
              <w:rPr>
                <w:w w:val="99"/>
                <w:sz w:val="18"/>
              </w:rPr>
              <w:t>3</w:t>
            </w:r>
          </w:p>
        </w:tc>
        <w:tc>
          <w:tcPr>
            <w:tcW w:w="475" w:type="dxa"/>
          </w:tcPr>
          <w:p>
            <w:pPr>
              <w:pStyle w:val="TableParagraph"/>
              <w:spacing w:line="203" w:lineRule="exact"/>
              <w:rPr>
                <w:sz w:val="18"/>
              </w:rPr>
            </w:pPr>
            <w:r>
              <w:rPr>
                <w:w w:val="99"/>
                <w:sz w:val="18"/>
              </w:rPr>
              <w:t>0</w:t>
            </w:r>
          </w:p>
        </w:tc>
      </w:tr>
      <w:tr>
        <w:trPr>
          <w:trHeight w:val="319"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SAN MATEO ATENCO</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8</w:t>
            </w:r>
          </w:p>
        </w:tc>
        <w:tc>
          <w:tcPr>
            <w:tcW w:w="475" w:type="dxa"/>
          </w:tcPr>
          <w:p>
            <w:pPr>
              <w:pStyle w:val="TableParagraph"/>
              <w:spacing w:line="203" w:lineRule="exact"/>
              <w:rPr>
                <w:sz w:val="18"/>
              </w:rPr>
            </w:pPr>
            <w:r>
              <w:rPr>
                <w:w w:val="99"/>
                <w:sz w:val="18"/>
              </w:rPr>
              <w:t>2</w:t>
            </w:r>
          </w:p>
        </w:tc>
        <w:tc>
          <w:tcPr>
            <w:tcW w:w="475" w:type="dxa"/>
          </w:tcPr>
          <w:p>
            <w:pPr>
              <w:pStyle w:val="TableParagraph"/>
              <w:spacing w:line="203" w:lineRule="exact"/>
              <w:rPr>
                <w:sz w:val="18"/>
              </w:rPr>
            </w:pPr>
            <w:r>
              <w:rPr>
                <w:w w:val="99"/>
                <w:sz w:val="18"/>
              </w:rPr>
              <w:t>3</w:t>
            </w:r>
          </w:p>
        </w:tc>
      </w:tr>
      <w:tr>
        <w:trPr>
          <w:trHeight w:val="322"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SAN SIMON DE GUERRERO</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rPr>
                <w:sz w:val="18"/>
              </w:rPr>
            </w:pPr>
            <w:r>
              <w:rPr>
                <w:w w:val="99"/>
                <w:sz w:val="18"/>
              </w:rPr>
              <w:t>0</w:t>
            </w:r>
          </w:p>
        </w:tc>
      </w:tr>
      <w:tr>
        <w:trPr>
          <w:trHeight w:val="319"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SANTO TOMAS</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rPr>
                <w:sz w:val="18"/>
              </w:rPr>
            </w:pPr>
            <w:r>
              <w:rPr>
                <w:w w:val="99"/>
                <w:sz w:val="18"/>
              </w:rPr>
              <w:t>0</w:t>
            </w:r>
          </w:p>
        </w:tc>
      </w:tr>
      <w:tr>
        <w:trPr>
          <w:trHeight w:val="322" w:hRule="exact"/>
        </w:trPr>
        <w:tc>
          <w:tcPr>
            <w:tcW w:w="3697" w:type="dxa"/>
            <w:tcBorders>
              <w:left w:val="single" w:sz="8" w:space="0" w:color="000000"/>
            </w:tcBorders>
          </w:tcPr>
          <w:p>
            <w:pPr>
              <w:pStyle w:val="TableParagraph"/>
              <w:spacing w:line="202" w:lineRule="exact"/>
              <w:ind w:left="60"/>
              <w:jc w:val="left"/>
              <w:rPr>
                <w:b/>
                <w:sz w:val="18"/>
              </w:rPr>
            </w:pPr>
            <w:r>
              <w:rPr>
                <w:b/>
                <w:color w:val="333333"/>
                <w:sz w:val="18"/>
              </w:rPr>
              <w:t>SOYANIQUILPAN DE JUAREZ</w:t>
            </w:r>
          </w:p>
        </w:tc>
        <w:tc>
          <w:tcPr>
            <w:tcW w:w="458" w:type="dxa"/>
          </w:tcPr>
          <w:p>
            <w:pPr>
              <w:pStyle w:val="TableParagraph"/>
              <w:spacing w:line="206" w:lineRule="exact"/>
              <w:ind w:right="1"/>
              <w:rPr>
                <w:sz w:val="18"/>
              </w:rPr>
            </w:pPr>
            <w:r>
              <w:rPr>
                <w:w w:val="99"/>
                <w:sz w:val="18"/>
              </w:rPr>
              <w:t>0</w:t>
            </w:r>
          </w:p>
        </w:tc>
        <w:tc>
          <w:tcPr>
            <w:tcW w:w="456" w:type="dxa"/>
          </w:tcPr>
          <w:p>
            <w:pPr>
              <w:pStyle w:val="TableParagraph"/>
              <w:spacing w:line="206" w:lineRule="exact"/>
              <w:ind w:right="171"/>
              <w:jc w:val="right"/>
              <w:rPr>
                <w:sz w:val="18"/>
              </w:rPr>
            </w:pPr>
            <w:r>
              <w:rPr>
                <w:w w:val="99"/>
                <w:sz w:val="18"/>
              </w:rPr>
              <w:t>0</w:t>
            </w:r>
          </w:p>
        </w:tc>
        <w:tc>
          <w:tcPr>
            <w:tcW w:w="475" w:type="dxa"/>
          </w:tcPr>
          <w:p>
            <w:pPr>
              <w:pStyle w:val="TableParagraph"/>
              <w:spacing w:line="206" w:lineRule="exact"/>
              <w:rPr>
                <w:sz w:val="18"/>
              </w:rPr>
            </w:pPr>
            <w:r>
              <w:rPr>
                <w:w w:val="99"/>
                <w:sz w:val="18"/>
              </w:rPr>
              <w:t>0</w:t>
            </w:r>
          </w:p>
        </w:tc>
        <w:tc>
          <w:tcPr>
            <w:tcW w:w="475" w:type="dxa"/>
          </w:tcPr>
          <w:p>
            <w:pPr>
              <w:pStyle w:val="TableParagraph"/>
              <w:spacing w:line="206" w:lineRule="exact"/>
              <w:ind w:left="182"/>
              <w:jc w:val="left"/>
              <w:rPr>
                <w:sz w:val="18"/>
              </w:rPr>
            </w:pPr>
            <w:r>
              <w:rPr>
                <w:w w:val="99"/>
                <w:sz w:val="18"/>
              </w:rPr>
              <w:t>7</w:t>
            </w:r>
          </w:p>
        </w:tc>
        <w:tc>
          <w:tcPr>
            <w:tcW w:w="475" w:type="dxa"/>
          </w:tcPr>
          <w:p>
            <w:pPr>
              <w:pStyle w:val="TableParagraph"/>
              <w:spacing w:line="206" w:lineRule="exact"/>
              <w:rPr>
                <w:sz w:val="18"/>
              </w:rPr>
            </w:pPr>
            <w:r>
              <w:rPr>
                <w:w w:val="99"/>
                <w:sz w:val="18"/>
              </w:rPr>
              <w:t>9</w:t>
            </w:r>
          </w:p>
        </w:tc>
        <w:tc>
          <w:tcPr>
            <w:tcW w:w="475" w:type="dxa"/>
          </w:tcPr>
          <w:p>
            <w:pPr>
              <w:pStyle w:val="TableParagraph"/>
              <w:spacing w:line="206" w:lineRule="exact"/>
              <w:rPr>
                <w:sz w:val="18"/>
              </w:rPr>
            </w:pPr>
            <w:r>
              <w:rPr>
                <w:w w:val="99"/>
                <w:sz w:val="18"/>
              </w:rPr>
              <w:t>0</w:t>
            </w:r>
          </w:p>
        </w:tc>
      </w:tr>
      <w:tr>
        <w:trPr>
          <w:trHeight w:val="319"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SULTEPEC</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4</w:t>
            </w:r>
          </w:p>
        </w:tc>
        <w:tc>
          <w:tcPr>
            <w:tcW w:w="475" w:type="dxa"/>
          </w:tcPr>
          <w:p>
            <w:pPr>
              <w:pStyle w:val="TableParagraph"/>
              <w:spacing w:line="203" w:lineRule="exact"/>
              <w:rPr>
                <w:sz w:val="18"/>
              </w:rPr>
            </w:pPr>
            <w:r>
              <w:rPr>
                <w:w w:val="99"/>
                <w:sz w:val="18"/>
              </w:rPr>
              <w:t>5</w:t>
            </w:r>
          </w:p>
        </w:tc>
        <w:tc>
          <w:tcPr>
            <w:tcW w:w="475" w:type="dxa"/>
          </w:tcPr>
          <w:p>
            <w:pPr>
              <w:pStyle w:val="TableParagraph"/>
              <w:spacing w:line="203" w:lineRule="exact"/>
              <w:rPr>
                <w:sz w:val="18"/>
              </w:rPr>
            </w:pPr>
            <w:r>
              <w:rPr>
                <w:w w:val="99"/>
                <w:sz w:val="18"/>
              </w:rPr>
              <w:t>0</w:t>
            </w:r>
          </w:p>
        </w:tc>
      </w:tr>
      <w:tr>
        <w:trPr>
          <w:trHeight w:val="322" w:hRule="exact"/>
        </w:trPr>
        <w:tc>
          <w:tcPr>
            <w:tcW w:w="3697" w:type="dxa"/>
            <w:tcBorders>
              <w:left w:val="single" w:sz="8" w:space="0" w:color="000000"/>
            </w:tcBorders>
          </w:tcPr>
          <w:p>
            <w:pPr>
              <w:pStyle w:val="TableParagraph"/>
              <w:spacing w:line="201" w:lineRule="exact"/>
              <w:ind w:left="60"/>
              <w:jc w:val="left"/>
              <w:rPr>
                <w:b/>
                <w:sz w:val="18"/>
              </w:rPr>
            </w:pPr>
            <w:r>
              <w:rPr>
                <w:b/>
                <w:color w:val="333333"/>
                <w:sz w:val="18"/>
              </w:rPr>
              <w:t>TECAMAC</w:t>
            </w:r>
          </w:p>
        </w:tc>
        <w:tc>
          <w:tcPr>
            <w:tcW w:w="458" w:type="dxa"/>
          </w:tcPr>
          <w:p>
            <w:pPr>
              <w:pStyle w:val="TableParagraph"/>
              <w:spacing w:line="206" w:lineRule="exact"/>
              <w:ind w:right="1"/>
              <w:rPr>
                <w:sz w:val="18"/>
              </w:rPr>
            </w:pPr>
            <w:r>
              <w:rPr>
                <w:w w:val="99"/>
                <w:sz w:val="18"/>
              </w:rPr>
              <w:t>0</w:t>
            </w:r>
          </w:p>
        </w:tc>
        <w:tc>
          <w:tcPr>
            <w:tcW w:w="456" w:type="dxa"/>
          </w:tcPr>
          <w:p>
            <w:pPr>
              <w:pStyle w:val="TableParagraph"/>
              <w:spacing w:line="206" w:lineRule="exact"/>
              <w:ind w:right="171"/>
              <w:jc w:val="right"/>
              <w:rPr>
                <w:sz w:val="18"/>
              </w:rPr>
            </w:pPr>
            <w:r>
              <w:rPr>
                <w:w w:val="99"/>
                <w:sz w:val="18"/>
              </w:rPr>
              <w:t>0</w:t>
            </w:r>
          </w:p>
        </w:tc>
        <w:tc>
          <w:tcPr>
            <w:tcW w:w="475" w:type="dxa"/>
          </w:tcPr>
          <w:p>
            <w:pPr>
              <w:pStyle w:val="TableParagraph"/>
              <w:spacing w:line="206" w:lineRule="exac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75" w:type="dxa"/>
          </w:tcPr>
          <w:p>
            <w:pPr>
              <w:pStyle w:val="TableParagraph"/>
              <w:spacing w:line="206" w:lineRule="exact"/>
              <w:rPr>
                <w:sz w:val="18"/>
              </w:rPr>
            </w:pPr>
            <w:r>
              <w:rPr>
                <w:w w:val="99"/>
                <w:sz w:val="18"/>
              </w:rPr>
              <w:t>4</w:t>
            </w:r>
          </w:p>
        </w:tc>
        <w:tc>
          <w:tcPr>
            <w:tcW w:w="475" w:type="dxa"/>
          </w:tcPr>
          <w:p>
            <w:pPr>
              <w:pStyle w:val="TableParagraph"/>
              <w:spacing w:line="206" w:lineRule="exact"/>
              <w:rPr>
                <w:sz w:val="18"/>
              </w:rPr>
            </w:pPr>
            <w:r>
              <w:rPr>
                <w:w w:val="99"/>
                <w:sz w:val="18"/>
              </w:rPr>
              <w:t>0</w:t>
            </w:r>
          </w:p>
        </w:tc>
      </w:tr>
      <w:tr>
        <w:trPr>
          <w:trHeight w:val="322"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TEJUPILCO</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3</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rPr>
                <w:sz w:val="18"/>
              </w:rPr>
            </w:pPr>
            <w:r>
              <w:rPr>
                <w:w w:val="99"/>
                <w:sz w:val="18"/>
              </w:rPr>
              <w:t>0</w:t>
            </w:r>
          </w:p>
        </w:tc>
      </w:tr>
      <w:tr>
        <w:trPr>
          <w:trHeight w:val="319"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TEMAMATLA</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rPr>
                <w:sz w:val="18"/>
              </w:rPr>
            </w:pPr>
            <w:r>
              <w:rPr>
                <w:w w:val="99"/>
                <w:sz w:val="18"/>
              </w:rPr>
              <w:t>0</w:t>
            </w:r>
          </w:p>
        </w:tc>
      </w:tr>
      <w:tr>
        <w:trPr>
          <w:trHeight w:val="322"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TEMASCALAPA</w:t>
            </w:r>
          </w:p>
        </w:tc>
        <w:tc>
          <w:tcPr>
            <w:tcW w:w="458" w:type="dxa"/>
          </w:tcPr>
          <w:p>
            <w:pPr>
              <w:pStyle w:val="TableParagraph"/>
              <w:spacing w:line="203" w:lineRule="exact"/>
              <w:ind w:right="1"/>
              <w:rPr>
                <w:sz w:val="18"/>
              </w:rPr>
            </w:pPr>
            <w:r>
              <w:rPr>
                <w:w w:val="99"/>
                <w:sz w:val="18"/>
              </w:rPr>
              <w:t>2</w:t>
            </w:r>
          </w:p>
        </w:tc>
        <w:tc>
          <w:tcPr>
            <w:tcW w:w="456" w:type="dxa"/>
          </w:tcPr>
          <w:p>
            <w:pPr>
              <w:pStyle w:val="TableParagraph"/>
              <w:spacing w:line="203" w:lineRule="exact"/>
              <w:ind w:right="171"/>
              <w:jc w:val="right"/>
              <w:rPr>
                <w:sz w:val="18"/>
              </w:rPr>
            </w:pPr>
            <w:r>
              <w:rPr>
                <w:w w:val="99"/>
                <w:sz w:val="18"/>
              </w:rPr>
              <w:t>3</w:t>
            </w:r>
          </w:p>
        </w:tc>
        <w:tc>
          <w:tcPr>
            <w:tcW w:w="475" w:type="dxa"/>
          </w:tcPr>
          <w:p>
            <w:pPr>
              <w:pStyle w:val="TableParagraph"/>
              <w:spacing w:line="203" w:lineRule="exact"/>
              <w:rPr>
                <w:sz w:val="18"/>
              </w:rPr>
            </w:pPr>
            <w:r>
              <w:rPr>
                <w:w w:val="99"/>
                <w:sz w:val="18"/>
              </w:rPr>
              <w:t>4</w:t>
            </w:r>
          </w:p>
        </w:tc>
        <w:tc>
          <w:tcPr>
            <w:tcW w:w="475" w:type="dxa"/>
          </w:tcPr>
          <w:p>
            <w:pPr>
              <w:pStyle w:val="TableParagraph"/>
              <w:spacing w:line="203" w:lineRule="exact"/>
              <w:ind w:left="182"/>
              <w:jc w:val="left"/>
              <w:rPr>
                <w:sz w:val="18"/>
              </w:rPr>
            </w:pPr>
            <w:r>
              <w:rPr>
                <w:w w:val="99"/>
                <w:sz w:val="18"/>
              </w:rPr>
              <w:t>4</w:t>
            </w:r>
          </w:p>
        </w:tc>
        <w:tc>
          <w:tcPr>
            <w:tcW w:w="475" w:type="dxa"/>
          </w:tcPr>
          <w:p>
            <w:pPr>
              <w:pStyle w:val="TableParagraph"/>
              <w:spacing w:line="203" w:lineRule="exact"/>
              <w:rPr>
                <w:sz w:val="18"/>
              </w:rPr>
            </w:pPr>
            <w:r>
              <w:rPr>
                <w:w w:val="99"/>
                <w:sz w:val="18"/>
              </w:rPr>
              <w:t>1</w:t>
            </w:r>
          </w:p>
        </w:tc>
        <w:tc>
          <w:tcPr>
            <w:tcW w:w="475" w:type="dxa"/>
          </w:tcPr>
          <w:p>
            <w:pPr>
              <w:pStyle w:val="TableParagraph"/>
              <w:spacing w:line="203" w:lineRule="exact"/>
              <w:rPr>
                <w:sz w:val="18"/>
              </w:rPr>
            </w:pPr>
            <w:r>
              <w:rPr>
                <w:w w:val="99"/>
                <w:sz w:val="18"/>
              </w:rPr>
              <w:t>0</w:t>
            </w:r>
          </w:p>
        </w:tc>
      </w:tr>
      <w:tr>
        <w:trPr>
          <w:trHeight w:val="319"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TEMASCALCINGO</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3</w:t>
            </w:r>
          </w:p>
        </w:tc>
        <w:tc>
          <w:tcPr>
            <w:tcW w:w="475" w:type="dxa"/>
          </w:tcPr>
          <w:p>
            <w:pPr>
              <w:pStyle w:val="TableParagraph"/>
              <w:spacing w:line="203" w:lineRule="exact"/>
              <w:rPr>
                <w:sz w:val="18"/>
              </w:rPr>
            </w:pPr>
            <w:r>
              <w:rPr>
                <w:w w:val="99"/>
                <w:sz w:val="18"/>
              </w:rPr>
              <w:t>1</w:t>
            </w:r>
          </w:p>
        </w:tc>
        <w:tc>
          <w:tcPr>
            <w:tcW w:w="475" w:type="dxa"/>
          </w:tcPr>
          <w:p>
            <w:pPr>
              <w:pStyle w:val="TableParagraph"/>
              <w:spacing w:line="203" w:lineRule="exact"/>
              <w:rPr>
                <w:sz w:val="18"/>
              </w:rPr>
            </w:pPr>
            <w:r>
              <w:rPr>
                <w:w w:val="99"/>
                <w:sz w:val="18"/>
              </w:rPr>
              <w:t>0</w:t>
            </w:r>
          </w:p>
        </w:tc>
      </w:tr>
      <w:tr>
        <w:trPr>
          <w:trHeight w:val="322"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TEMASCALTEPEC</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rPr>
                <w:sz w:val="18"/>
              </w:rPr>
            </w:pPr>
            <w:r>
              <w:rPr>
                <w:w w:val="99"/>
                <w:sz w:val="18"/>
              </w:rPr>
              <w:t>0</w:t>
            </w:r>
          </w:p>
        </w:tc>
      </w:tr>
      <w:tr>
        <w:trPr>
          <w:trHeight w:val="319"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TEMOAYA</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rPr>
                <w:sz w:val="18"/>
              </w:rPr>
            </w:pPr>
            <w:r>
              <w:rPr>
                <w:w w:val="99"/>
                <w:sz w:val="18"/>
              </w:rPr>
              <w:t>0</w:t>
            </w:r>
          </w:p>
        </w:tc>
      </w:tr>
      <w:tr>
        <w:trPr>
          <w:trHeight w:val="322"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TENANCINGO</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6</w:t>
            </w:r>
          </w:p>
        </w:tc>
        <w:tc>
          <w:tcPr>
            <w:tcW w:w="475" w:type="dxa"/>
          </w:tcPr>
          <w:p>
            <w:pPr>
              <w:pStyle w:val="TableParagraph"/>
              <w:spacing w:line="203" w:lineRule="exact"/>
              <w:rPr>
                <w:sz w:val="18"/>
              </w:rPr>
            </w:pPr>
            <w:r>
              <w:rPr>
                <w:w w:val="99"/>
                <w:sz w:val="18"/>
              </w:rPr>
              <w:t>7</w:t>
            </w:r>
          </w:p>
        </w:tc>
        <w:tc>
          <w:tcPr>
            <w:tcW w:w="475" w:type="dxa"/>
          </w:tcPr>
          <w:p>
            <w:pPr>
              <w:pStyle w:val="TableParagraph"/>
              <w:spacing w:line="203" w:lineRule="exact"/>
              <w:ind w:left="131"/>
              <w:jc w:val="left"/>
              <w:rPr>
                <w:sz w:val="18"/>
              </w:rPr>
            </w:pPr>
            <w:r>
              <w:rPr>
                <w:sz w:val="18"/>
              </w:rPr>
              <w:t>10</w:t>
            </w:r>
          </w:p>
        </w:tc>
        <w:tc>
          <w:tcPr>
            <w:tcW w:w="475" w:type="dxa"/>
          </w:tcPr>
          <w:p>
            <w:pPr>
              <w:pStyle w:val="TableParagraph"/>
              <w:spacing w:line="203" w:lineRule="exact"/>
              <w:rPr>
                <w:sz w:val="18"/>
              </w:rPr>
            </w:pPr>
            <w:r>
              <w:rPr>
                <w:w w:val="99"/>
                <w:sz w:val="18"/>
              </w:rPr>
              <w:t>2</w:t>
            </w:r>
          </w:p>
        </w:tc>
        <w:tc>
          <w:tcPr>
            <w:tcW w:w="475" w:type="dxa"/>
          </w:tcPr>
          <w:p>
            <w:pPr>
              <w:pStyle w:val="TableParagraph"/>
              <w:spacing w:line="203" w:lineRule="exact"/>
              <w:rPr>
                <w:sz w:val="18"/>
              </w:rPr>
            </w:pPr>
            <w:r>
              <w:rPr>
                <w:w w:val="99"/>
                <w:sz w:val="18"/>
              </w:rPr>
              <w:t>4</w:t>
            </w:r>
          </w:p>
        </w:tc>
      </w:tr>
      <w:tr>
        <w:trPr>
          <w:trHeight w:val="319"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TENANGO DEL AIRE</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rPr>
                <w:sz w:val="18"/>
              </w:rPr>
            </w:pPr>
            <w:r>
              <w:rPr>
                <w:w w:val="99"/>
                <w:sz w:val="18"/>
              </w:rPr>
              <w:t>0</w:t>
            </w:r>
          </w:p>
        </w:tc>
      </w:tr>
      <w:tr>
        <w:trPr>
          <w:trHeight w:val="322"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TENANGO DEL VALLE</w:t>
            </w:r>
          </w:p>
        </w:tc>
        <w:tc>
          <w:tcPr>
            <w:tcW w:w="458" w:type="dxa"/>
          </w:tcPr>
          <w:p>
            <w:pPr>
              <w:pStyle w:val="TableParagraph"/>
              <w:spacing w:line="204" w:lineRule="exact"/>
              <w:ind w:right="1"/>
              <w:rPr>
                <w:sz w:val="18"/>
              </w:rPr>
            </w:pPr>
            <w:r>
              <w:rPr>
                <w:w w:val="99"/>
                <w:sz w:val="18"/>
              </w:rPr>
              <w:t>0</w:t>
            </w:r>
          </w:p>
        </w:tc>
        <w:tc>
          <w:tcPr>
            <w:tcW w:w="456" w:type="dxa"/>
          </w:tcPr>
          <w:p>
            <w:pPr>
              <w:pStyle w:val="TableParagraph"/>
              <w:spacing w:line="204" w:lineRule="exact"/>
              <w:ind w:right="171"/>
              <w:jc w:val="right"/>
              <w:rPr>
                <w:sz w:val="18"/>
              </w:rPr>
            </w:pPr>
            <w:r>
              <w:rPr>
                <w:w w:val="99"/>
                <w:sz w:val="18"/>
              </w:rPr>
              <w:t>0</w:t>
            </w:r>
          </w:p>
        </w:tc>
        <w:tc>
          <w:tcPr>
            <w:tcW w:w="475" w:type="dxa"/>
          </w:tcPr>
          <w:p>
            <w:pPr>
              <w:pStyle w:val="TableParagraph"/>
              <w:spacing w:line="204" w:lineRule="exact"/>
              <w:rPr>
                <w:sz w:val="18"/>
              </w:rPr>
            </w:pPr>
            <w:r>
              <w:rPr>
                <w:w w:val="99"/>
                <w:sz w:val="18"/>
              </w:rPr>
              <w:t>0</w:t>
            </w:r>
          </w:p>
        </w:tc>
        <w:tc>
          <w:tcPr>
            <w:tcW w:w="475" w:type="dxa"/>
          </w:tcPr>
          <w:p>
            <w:pPr>
              <w:pStyle w:val="TableParagraph"/>
              <w:spacing w:line="204" w:lineRule="exact"/>
              <w:ind w:left="182"/>
              <w:jc w:val="left"/>
              <w:rPr>
                <w:sz w:val="18"/>
              </w:rPr>
            </w:pPr>
            <w:r>
              <w:rPr>
                <w:w w:val="99"/>
                <w:sz w:val="18"/>
              </w:rPr>
              <w:t>7</w:t>
            </w:r>
          </w:p>
        </w:tc>
        <w:tc>
          <w:tcPr>
            <w:tcW w:w="475" w:type="dxa"/>
          </w:tcPr>
          <w:p>
            <w:pPr>
              <w:pStyle w:val="TableParagraph"/>
              <w:spacing w:line="204" w:lineRule="exact"/>
              <w:ind w:left="60" w:right="60"/>
              <w:rPr>
                <w:sz w:val="18"/>
              </w:rPr>
            </w:pPr>
            <w:r>
              <w:rPr>
                <w:sz w:val="18"/>
              </w:rPr>
              <w:t>13</w:t>
            </w:r>
          </w:p>
        </w:tc>
        <w:tc>
          <w:tcPr>
            <w:tcW w:w="475" w:type="dxa"/>
          </w:tcPr>
          <w:p>
            <w:pPr>
              <w:pStyle w:val="TableParagraph"/>
              <w:spacing w:line="204" w:lineRule="exact"/>
              <w:rPr>
                <w:sz w:val="18"/>
              </w:rPr>
            </w:pPr>
            <w:r>
              <w:rPr>
                <w:w w:val="99"/>
                <w:sz w:val="18"/>
              </w:rPr>
              <w:t>3</w:t>
            </w:r>
          </w:p>
        </w:tc>
      </w:tr>
      <w:tr>
        <w:trPr>
          <w:trHeight w:val="319"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TEOLOYUCAN</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2</w:t>
            </w:r>
          </w:p>
        </w:tc>
        <w:tc>
          <w:tcPr>
            <w:tcW w:w="475" w:type="dxa"/>
          </w:tcPr>
          <w:p>
            <w:pPr>
              <w:pStyle w:val="TableParagraph"/>
              <w:spacing w:line="203" w:lineRule="exact"/>
              <w:rPr>
                <w:sz w:val="18"/>
              </w:rPr>
            </w:pPr>
            <w:r>
              <w:rPr>
                <w:w w:val="99"/>
                <w:sz w:val="18"/>
              </w:rPr>
              <w:t>1</w:t>
            </w:r>
          </w:p>
        </w:tc>
        <w:tc>
          <w:tcPr>
            <w:tcW w:w="475" w:type="dxa"/>
          </w:tcPr>
          <w:p>
            <w:pPr>
              <w:pStyle w:val="TableParagraph"/>
              <w:spacing w:line="203" w:lineRule="exact"/>
              <w:rPr>
                <w:sz w:val="18"/>
              </w:rPr>
            </w:pPr>
            <w:r>
              <w:rPr>
                <w:w w:val="99"/>
                <w:sz w:val="18"/>
              </w:rPr>
              <w:t>0</w:t>
            </w:r>
          </w:p>
        </w:tc>
      </w:tr>
      <w:tr>
        <w:trPr>
          <w:trHeight w:val="322"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TEOTIHUACAN</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4</w:t>
            </w:r>
          </w:p>
        </w:tc>
        <w:tc>
          <w:tcPr>
            <w:tcW w:w="475" w:type="dxa"/>
          </w:tcPr>
          <w:p>
            <w:pPr>
              <w:pStyle w:val="TableParagraph"/>
              <w:spacing w:line="203" w:lineRule="exact"/>
              <w:ind w:left="60" w:right="60"/>
              <w:rPr>
                <w:sz w:val="18"/>
              </w:rPr>
            </w:pPr>
            <w:r>
              <w:rPr>
                <w:sz w:val="18"/>
              </w:rPr>
              <w:t>10</w:t>
            </w:r>
          </w:p>
        </w:tc>
        <w:tc>
          <w:tcPr>
            <w:tcW w:w="475" w:type="dxa"/>
          </w:tcPr>
          <w:p>
            <w:pPr>
              <w:pStyle w:val="TableParagraph"/>
              <w:spacing w:line="203" w:lineRule="exact"/>
              <w:rPr>
                <w:sz w:val="18"/>
              </w:rPr>
            </w:pPr>
            <w:r>
              <w:rPr>
                <w:w w:val="99"/>
                <w:sz w:val="18"/>
              </w:rPr>
              <w:t>0</w:t>
            </w:r>
          </w:p>
        </w:tc>
      </w:tr>
      <w:tr>
        <w:trPr>
          <w:trHeight w:val="319"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TEPETLAOXTOC</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rPr>
                <w:sz w:val="18"/>
              </w:rPr>
            </w:pPr>
            <w:r>
              <w:rPr>
                <w:w w:val="99"/>
                <w:sz w:val="18"/>
              </w:rPr>
              <w:t>0</w:t>
            </w:r>
          </w:p>
        </w:tc>
      </w:tr>
      <w:tr>
        <w:trPr>
          <w:trHeight w:val="322" w:hRule="exact"/>
        </w:trPr>
        <w:tc>
          <w:tcPr>
            <w:tcW w:w="3697" w:type="dxa"/>
            <w:tcBorders>
              <w:left w:val="single" w:sz="8" w:space="0" w:color="000000"/>
            </w:tcBorders>
          </w:tcPr>
          <w:p>
            <w:pPr>
              <w:pStyle w:val="TableParagraph"/>
              <w:spacing w:line="201" w:lineRule="exact"/>
              <w:ind w:left="60"/>
              <w:jc w:val="left"/>
              <w:rPr>
                <w:b/>
                <w:sz w:val="18"/>
              </w:rPr>
            </w:pPr>
            <w:r>
              <w:rPr>
                <w:b/>
                <w:color w:val="333333"/>
                <w:sz w:val="18"/>
              </w:rPr>
              <w:t>TEPETLIXPA</w:t>
            </w:r>
          </w:p>
        </w:tc>
        <w:tc>
          <w:tcPr>
            <w:tcW w:w="458" w:type="dxa"/>
          </w:tcPr>
          <w:p>
            <w:pPr>
              <w:pStyle w:val="TableParagraph"/>
              <w:spacing w:line="206" w:lineRule="exact"/>
              <w:ind w:right="1"/>
              <w:rPr>
                <w:sz w:val="18"/>
              </w:rPr>
            </w:pPr>
            <w:r>
              <w:rPr>
                <w:w w:val="99"/>
                <w:sz w:val="18"/>
              </w:rPr>
              <w:t>0</w:t>
            </w:r>
          </w:p>
        </w:tc>
        <w:tc>
          <w:tcPr>
            <w:tcW w:w="456" w:type="dxa"/>
          </w:tcPr>
          <w:p>
            <w:pPr>
              <w:pStyle w:val="TableParagraph"/>
              <w:spacing w:line="206" w:lineRule="exact"/>
              <w:ind w:right="171"/>
              <w:jc w:val="right"/>
              <w:rPr>
                <w:sz w:val="18"/>
              </w:rPr>
            </w:pPr>
            <w:r>
              <w:rPr>
                <w:w w:val="99"/>
                <w:sz w:val="18"/>
              </w:rPr>
              <w:t>0</w:t>
            </w:r>
          </w:p>
        </w:tc>
        <w:tc>
          <w:tcPr>
            <w:tcW w:w="475" w:type="dxa"/>
          </w:tcPr>
          <w:p>
            <w:pPr>
              <w:pStyle w:val="TableParagraph"/>
              <w:spacing w:line="206" w:lineRule="exac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75" w:type="dxa"/>
          </w:tcPr>
          <w:p>
            <w:pPr>
              <w:pStyle w:val="TableParagraph"/>
              <w:spacing w:line="206" w:lineRule="exact"/>
              <w:rPr>
                <w:sz w:val="18"/>
              </w:rPr>
            </w:pPr>
            <w:r>
              <w:rPr>
                <w:w w:val="99"/>
                <w:sz w:val="18"/>
              </w:rPr>
              <w:t>0</w:t>
            </w:r>
          </w:p>
        </w:tc>
      </w:tr>
      <w:tr>
        <w:trPr>
          <w:trHeight w:val="319"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TEPOTZOTLAN</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2</w:t>
            </w:r>
          </w:p>
        </w:tc>
        <w:tc>
          <w:tcPr>
            <w:tcW w:w="475" w:type="dxa"/>
          </w:tcPr>
          <w:p>
            <w:pPr>
              <w:pStyle w:val="TableParagraph"/>
              <w:spacing w:line="203" w:lineRule="exact"/>
              <w:rPr>
                <w:sz w:val="18"/>
              </w:rPr>
            </w:pPr>
            <w:r>
              <w:rPr>
                <w:w w:val="99"/>
                <w:sz w:val="18"/>
              </w:rPr>
              <w:t>3</w:t>
            </w:r>
          </w:p>
        </w:tc>
        <w:tc>
          <w:tcPr>
            <w:tcW w:w="475" w:type="dxa"/>
          </w:tcPr>
          <w:p>
            <w:pPr>
              <w:pStyle w:val="TableParagraph"/>
              <w:spacing w:line="203" w:lineRule="exact"/>
              <w:rPr>
                <w:sz w:val="18"/>
              </w:rPr>
            </w:pPr>
            <w:r>
              <w:rPr>
                <w:w w:val="99"/>
                <w:sz w:val="18"/>
              </w:rPr>
              <w:t>0</w:t>
            </w:r>
          </w:p>
        </w:tc>
      </w:tr>
      <w:tr>
        <w:trPr>
          <w:trHeight w:val="322" w:hRule="exact"/>
        </w:trPr>
        <w:tc>
          <w:tcPr>
            <w:tcW w:w="3697" w:type="dxa"/>
            <w:tcBorders>
              <w:left w:val="single" w:sz="8" w:space="0" w:color="000000"/>
            </w:tcBorders>
          </w:tcPr>
          <w:p>
            <w:pPr>
              <w:pStyle w:val="TableParagraph"/>
              <w:spacing w:line="201" w:lineRule="exact"/>
              <w:ind w:left="60"/>
              <w:jc w:val="left"/>
              <w:rPr>
                <w:b/>
                <w:sz w:val="18"/>
              </w:rPr>
            </w:pPr>
            <w:r>
              <w:rPr>
                <w:b/>
                <w:color w:val="333333"/>
                <w:sz w:val="18"/>
              </w:rPr>
              <w:t>TEQUIXQUIAC</w:t>
            </w:r>
          </w:p>
        </w:tc>
        <w:tc>
          <w:tcPr>
            <w:tcW w:w="458" w:type="dxa"/>
          </w:tcPr>
          <w:p>
            <w:pPr>
              <w:pStyle w:val="TableParagraph"/>
              <w:spacing w:line="206" w:lineRule="exact"/>
              <w:ind w:right="1"/>
              <w:rPr>
                <w:sz w:val="18"/>
              </w:rPr>
            </w:pPr>
            <w:r>
              <w:rPr>
                <w:w w:val="99"/>
                <w:sz w:val="18"/>
              </w:rPr>
              <w:t>0</w:t>
            </w:r>
          </w:p>
        </w:tc>
        <w:tc>
          <w:tcPr>
            <w:tcW w:w="456" w:type="dxa"/>
          </w:tcPr>
          <w:p>
            <w:pPr>
              <w:pStyle w:val="TableParagraph"/>
              <w:spacing w:line="206" w:lineRule="exact"/>
              <w:ind w:right="171"/>
              <w:jc w:val="right"/>
              <w:rPr>
                <w:sz w:val="18"/>
              </w:rPr>
            </w:pPr>
            <w:r>
              <w:rPr>
                <w:w w:val="99"/>
                <w:sz w:val="18"/>
              </w:rPr>
              <w:t>0</w:t>
            </w:r>
          </w:p>
        </w:tc>
        <w:tc>
          <w:tcPr>
            <w:tcW w:w="475" w:type="dxa"/>
          </w:tcPr>
          <w:p>
            <w:pPr>
              <w:pStyle w:val="TableParagraph"/>
              <w:spacing w:line="206" w:lineRule="exac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75" w:type="dxa"/>
          </w:tcPr>
          <w:p>
            <w:pPr>
              <w:pStyle w:val="TableParagraph"/>
              <w:spacing w:line="206" w:lineRule="exact"/>
              <w:rPr>
                <w:sz w:val="18"/>
              </w:rPr>
            </w:pPr>
            <w:r>
              <w:rPr>
                <w:w w:val="99"/>
                <w:sz w:val="18"/>
              </w:rPr>
              <w:t>0</w:t>
            </w:r>
          </w:p>
        </w:tc>
      </w:tr>
      <w:tr>
        <w:trPr>
          <w:trHeight w:val="319"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TEXCALTITL�N</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rPr>
                <w:sz w:val="18"/>
              </w:rPr>
            </w:pPr>
            <w:r>
              <w:rPr>
                <w:w w:val="99"/>
                <w:sz w:val="18"/>
              </w:rPr>
              <w:t>0</w:t>
            </w:r>
          </w:p>
        </w:tc>
      </w:tr>
      <w:tr>
        <w:trPr>
          <w:trHeight w:val="322" w:hRule="exact"/>
        </w:trPr>
        <w:tc>
          <w:tcPr>
            <w:tcW w:w="3697" w:type="dxa"/>
            <w:tcBorders>
              <w:left w:val="single" w:sz="8" w:space="0" w:color="000000"/>
            </w:tcBorders>
          </w:tcPr>
          <w:p>
            <w:pPr>
              <w:pStyle w:val="TableParagraph"/>
              <w:spacing w:line="201" w:lineRule="exact"/>
              <w:ind w:left="60"/>
              <w:jc w:val="left"/>
              <w:rPr>
                <w:b/>
                <w:sz w:val="18"/>
              </w:rPr>
            </w:pPr>
            <w:r>
              <w:rPr>
                <w:b/>
                <w:color w:val="333333"/>
                <w:sz w:val="18"/>
              </w:rPr>
              <w:t>TEXCALYACAC</w:t>
            </w:r>
          </w:p>
        </w:tc>
        <w:tc>
          <w:tcPr>
            <w:tcW w:w="458" w:type="dxa"/>
          </w:tcPr>
          <w:p>
            <w:pPr>
              <w:pStyle w:val="TableParagraph"/>
              <w:spacing w:line="206" w:lineRule="exact"/>
              <w:ind w:right="1"/>
              <w:rPr>
                <w:sz w:val="18"/>
              </w:rPr>
            </w:pPr>
            <w:r>
              <w:rPr>
                <w:w w:val="99"/>
                <w:sz w:val="18"/>
              </w:rPr>
              <w:t>0</w:t>
            </w:r>
          </w:p>
        </w:tc>
        <w:tc>
          <w:tcPr>
            <w:tcW w:w="456" w:type="dxa"/>
          </w:tcPr>
          <w:p>
            <w:pPr>
              <w:pStyle w:val="TableParagraph"/>
              <w:spacing w:line="206" w:lineRule="exact"/>
              <w:ind w:right="171"/>
              <w:jc w:val="right"/>
              <w:rPr>
                <w:sz w:val="18"/>
              </w:rPr>
            </w:pPr>
            <w:r>
              <w:rPr>
                <w:w w:val="99"/>
                <w:sz w:val="18"/>
              </w:rPr>
              <w:t>0</w:t>
            </w:r>
          </w:p>
        </w:tc>
        <w:tc>
          <w:tcPr>
            <w:tcW w:w="475" w:type="dxa"/>
          </w:tcPr>
          <w:p>
            <w:pPr>
              <w:pStyle w:val="TableParagraph"/>
              <w:spacing w:line="206" w:lineRule="exac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75" w:type="dxa"/>
          </w:tcPr>
          <w:p>
            <w:pPr>
              <w:pStyle w:val="TableParagraph"/>
              <w:spacing w:line="206" w:lineRule="exact"/>
              <w:rPr>
                <w:sz w:val="18"/>
              </w:rPr>
            </w:pPr>
            <w:r>
              <w:rPr>
                <w:w w:val="99"/>
                <w:sz w:val="18"/>
              </w:rPr>
              <w:t>4</w:t>
            </w:r>
          </w:p>
        </w:tc>
        <w:tc>
          <w:tcPr>
            <w:tcW w:w="475" w:type="dxa"/>
          </w:tcPr>
          <w:p>
            <w:pPr>
              <w:pStyle w:val="TableParagraph"/>
              <w:spacing w:line="206" w:lineRule="exact"/>
              <w:rPr>
                <w:sz w:val="18"/>
              </w:rPr>
            </w:pPr>
            <w:r>
              <w:rPr>
                <w:w w:val="99"/>
                <w:sz w:val="18"/>
              </w:rPr>
              <w:t>0</w:t>
            </w:r>
          </w:p>
        </w:tc>
      </w:tr>
      <w:tr>
        <w:trPr>
          <w:trHeight w:val="322"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TEXCOCO</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7</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rPr>
                <w:sz w:val="18"/>
              </w:rPr>
            </w:pPr>
            <w:r>
              <w:rPr>
                <w:w w:val="99"/>
                <w:sz w:val="18"/>
              </w:rPr>
              <w:t>0</w:t>
            </w:r>
          </w:p>
        </w:tc>
      </w:tr>
      <w:tr>
        <w:trPr>
          <w:trHeight w:val="320"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TEZOYUCA</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rPr>
                <w:sz w:val="18"/>
              </w:rPr>
            </w:pPr>
            <w:r>
              <w:rPr>
                <w:w w:val="99"/>
                <w:sz w:val="18"/>
              </w:rPr>
              <w:t>0</w:t>
            </w:r>
          </w:p>
        </w:tc>
      </w:tr>
      <w:tr>
        <w:trPr>
          <w:trHeight w:val="322"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TIANGUISTENCO</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1</w:t>
            </w:r>
          </w:p>
        </w:tc>
        <w:tc>
          <w:tcPr>
            <w:tcW w:w="475" w:type="dxa"/>
          </w:tcPr>
          <w:p>
            <w:pPr>
              <w:pStyle w:val="TableParagraph"/>
              <w:spacing w:line="203" w:lineRule="exact"/>
              <w:rPr>
                <w:sz w:val="18"/>
              </w:rPr>
            </w:pPr>
            <w:r>
              <w:rPr>
                <w:w w:val="99"/>
                <w:sz w:val="18"/>
              </w:rPr>
              <w:t>5</w:t>
            </w:r>
          </w:p>
        </w:tc>
        <w:tc>
          <w:tcPr>
            <w:tcW w:w="475" w:type="dxa"/>
          </w:tcPr>
          <w:p>
            <w:pPr>
              <w:pStyle w:val="TableParagraph"/>
              <w:spacing w:line="203" w:lineRule="exact"/>
              <w:rPr>
                <w:sz w:val="18"/>
              </w:rPr>
            </w:pPr>
            <w:r>
              <w:rPr>
                <w:w w:val="99"/>
                <w:sz w:val="18"/>
              </w:rPr>
              <w:t>1</w:t>
            </w:r>
          </w:p>
        </w:tc>
      </w:tr>
      <w:tr>
        <w:trPr>
          <w:trHeight w:val="319"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TIMILPAN</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1</w:t>
            </w:r>
          </w:p>
        </w:tc>
        <w:tc>
          <w:tcPr>
            <w:tcW w:w="475" w:type="dxa"/>
          </w:tcPr>
          <w:p>
            <w:pPr>
              <w:pStyle w:val="TableParagraph"/>
              <w:spacing w:line="203" w:lineRule="exact"/>
              <w:rPr>
                <w:sz w:val="18"/>
              </w:rPr>
            </w:pPr>
            <w:r>
              <w:rPr>
                <w:w w:val="99"/>
                <w:sz w:val="18"/>
              </w:rPr>
              <w:t>1</w:t>
            </w:r>
          </w:p>
        </w:tc>
        <w:tc>
          <w:tcPr>
            <w:tcW w:w="475" w:type="dxa"/>
          </w:tcPr>
          <w:p>
            <w:pPr>
              <w:pStyle w:val="TableParagraph"/>
              <w:spacing w:line="203" w:lineRule="exact"/>
              <w:rPr>
                <w:sz w:val="18"/>
              </w:rPr>
            </w:pPr>
            <w:r>
              <w:rPr>
                <w:w w:val="99"/>
                <w:sz w:val="18"/>
              </w:rPr>
              <w:t>0</w:t>
            </w:r>
          </w:p>
        </w:tc>
      </w:tr>
      <w:tr>
        <w:trPr>
          <w:trHeight w:val="322"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TLALMANALCO</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rPr>
                <w:sz w:val="18"/>
              </w:rPr>
            </w:pPr>
            <w:r>
              <w:rPr>
                <w:w w:val="99"/>
                <w:sz w:val="18"/>
              </w:rPr>
              <w:t>0</w:t>
            </w:r>
          </w:p>
        </w:tc>
      </w:tr>
      <w:tr>
        <w:trPr>
          <w:trHeight w:val="319"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TLALNEPANTLA DE BAZ</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20"/>
              <w:jc w:val="right"/>
              <w:rPr>
                <w:sz w:val="18"/>
              </w:rPr>
            </w:pPr>
            <w:r>
              <w:rPr>
                <w:w w:val="95"/>
                <w:sz w:val="18"/>
              </w:rPr>
              <w:t>82</w:t>
            </w:r>
          </w:p>
        </w:tc>
        <w:tc>
          <w:tcPr>
            <w:tcW w:w="475" w:type="dxa"/>
          </w:tcPr>
          <w:p>
            <w:pPr>
              <w:pStyle w:val="TableParagraph"/>
              <w:spacing w:line="203" w:lineRule="exact"/>
              <w:ind w:left="60" w:right="60"/>
              <w:rPr>
                <w:sz w:val="18"/>
              </w:rPr>
            </w:pPr>
            <w:r>
              <w:rPr>
                <w:sz w:val="18"/>
              </w:rPr>
              <w:t>100</w:t>
            </w:r>
          </w:p>
        </w:tc>
        <w:tc>
          <w:tcPr>
            <w:tcW w:w="475" w:type="dxa"/>
          </w:tcPr>
          <w:p>
            <w:pPr>
              <w:pStyle w:val="TableParagraph"/>
              <w:spacing w:line="203" w:lineRule="exact"/>
              <w:ind w:left="81"/>
              <w:jc w:val="left"/>
              <w:rPr>
                <w:sz w:val="18"/>
              </w:rPr>
            </w:pPr>
            <w:r>
              <w:rPr>
                <w:sz w:val="18"/>
              </w:rPr>
              <w:t>364</w:t>
            </w:r>
          </w:p>
        </w:tc>
        <w:tc>
          <w:tcPr>
            <w:tcW w:w="475" w:type="dxa"/>
          </w:tcPr>
          <w:p>
            <w:pPr>
              <w:pStyle w:val="TableParagraph"/>
              <w:spacing w:line="203" w:lineRule="exact"/>
              <w:ind w:left="60" w:right="60"/>
              <w:rPr>
                <w:sz w:val="18"/>
              </w:rPr>
            </w:pPr>
            <w:r>
              <w:rPr>
                <w:sz w:val="18"/>
              </w:rPr>
              <w:t>328</w:t>
            </w:r>
          </w:p>
        </w:tc>
        <w:tc>
          <w:tcPr>
            <w:tcW w:w="475" w:type="dxa"/>
          </w:tcPr>
          <w:p>
            <w:pPr>
              <w:pStyle w:val="TableParagraph"/>
              <w:spacing w:line="203" w:lineRule="exact"/>
              <w:ind w:left="60" w:right="60"/>
              <w:rPr>
                <w:sz w:val="18"/>
              </w:rPr>
            </w:pPr>
            <w:r>
              <w:rPr>
                <w:sz w:val="18"/>
              </w:rPr>
              <w:t>148</w:t>
            </w:r>
          </w:p>
        </w:tc>
      </w:tr>
      <w:tr>
        <w:trPr>
          <w:trHeight w:val="322" w:hRule="exact"/>
        </w:trPr>
        <w:tc>
          <w:tcPr>
            <w:tcW w:w="3697" w:type="dxa"/>
            <w:tcBorders>
              <w:left w:val="single" w:sz="8" w:space="0" w:color="000000"/>
            </w:tcBorders>
          </w:tcPr>
          <w:p>
            <w:pPr>
              <w:pStyle w:val="TableParagraph"/>
              <w:spacing w:line="199" w:lineRule="exact"/>
              <w:ind w:left="60"/>
              <w:jc w:val="left"/>
              <w:rPr>
                <w:b/>
                <w:sz w:val="18"/>
              </w:rPr>
            </w:pPr>
            <w:r>
              <w:rPr>
                <w:b/>
                <w:color w:val="333333"/>
                <w:sz w:val="18"/>
              </w:rPr>
              <w:t>TLATLAYA</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71"/>
              <w:jc w:val="righ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rPr>
                <w:sz w:val="18"/>
              </w:rPr>
            </w:pPr>
            <w:r>
              <w:rPr>
                <w:w w:val="99"/>
                <w:sz w:val="18"/>
              </w:rPr>
              <w:t>0</w:t>
            </w:r>
          </w:p>
        </w:tc>
      </w:tr>
      <w:tr>
        <w:trPr>
          <w:trHeight w:val="319" w:hRule="exact"/>
        </w:trPr>
        <w:tc>
          <w:tcPr>
            <w:tcW w:w="3697" w:type="dxa"/>
            <w:tcBorders>
              <w:left w:val="single" w:sz="8" w:space="0" w:color="000000"/>
            </w:tcBorders>
          </w:tcPr>
          <w:p>
            <w:pPr>
              <w:pStyle w:val="TableParagraph"/>
              <w:spacing w:line="198" w:lineRule="exact"/>
              <w:ind w:left="60"/>
              <w:jc w:val="left"/>
              <w:rPr>
                <w:b/>
                <w:sz w:val="18"/>
              </w:rPr>
            </w:pPr>
            <w:r>
              <w:rPr>
                <w:b/>
                <w:color w:val="333333"/>
                <w:sz w:val="18"/>
              </w:rPr>
              <w:t>TOLUCA</w:t>
            </w:r>
          </w:p>
        </w:tc>
        <w:tc>
          <w:tcPr>
            <w:tcW w:w="458" w:type="dxa"/>
          </w:tcPr>
          <w:p>
            <w:pPr>
              <w:pStyle w:val="TableParagraph"/>
              <w:spacing w:line="203" w:lineRule="exact"/>
              <w:ind w:right="1"/>
              <w:rPr>
                <w:sz w:val="18"/>
              </w:rPr>
            </w:pPr>
            <w:r>
              <w:rPr>
                <w:w w:val="99"/>
                <w:sz w:val="18"/>
              </w:rPr>
              <w:t>0</w:t>
            </w:r>
          </w:p>
        </w:tc>
        <w:tc>
          <w:tcPr>
            <w:tcW w:w="456" w:type="dxa"/>
          </w:tcPr>
          <w:p>
            <w:pPr>
              <w:pStyle w:val="TableParagraph"/>
              <w:spacing w:line="203" w:lineRule="exact"/>
              <w:ind w:right="120"/>
              <w:jc w:val="right"/>
              <w:rPr>
                <w:sz w:val="18"/>
              </w:rPr>
            </w:pPr>
            <w:r>
              <w:rPr>
                <w:w w:val="95"/>
                <w:sz w:val="18"/>
              </w:rPr>
              <w:t>14</w:t>
            </w:r>
          </w:p>
        </w:tc>
        <w:tc>
          <w:tcPr>
            <w:tcW w:w="475" w:type="dxa"/>
          </w:tcPr>
          <w:p>
            <w:pPr>
              <w:pStyle w:val="TableParagraph"/>
              <w:spacing w:line="203" w:lineRule="exact"/>
              <w:ind w:left="60" w:right="60"/>
              <w:rPr>
                <w:sz w:val="18"/>
              </w:rPr>
            </w:pPr>
            <w:r>
              <w:rPr>
                <w:sz w:val="18"/>
              </w:rPr>
              <w:t>16</w:t>
            </w:r>
          </w:p>
        </w:tc>
        <w:tc>
          <w:tcPr>
            <w:tcW w:w="475" w:type="dxa"/>
          </w:tcPr>
          <w:p>
            <w:pPr>
              <w:pStyle w:val="TableParagraph"/>
              <w:spacing w:line="203" w:lineRule="exact"/>
              <w:ind w:left="131"/>
              <w:jc w:val="left"/>
              <w:rPr>
                <w:sz w:val="18"/>
              </w:rPr>
            </w:pPr>
            <w:r>
              <w:rPr>
                <w:sz w:val="18"/>
              </w:rPr>
              <w:t>26</w:t>
            </w:r>
          </w:p>
        </w:tc>
        <w:tc>
          <w:tcPr>
            <w:tcW w:w="475" w:type="dxa"/>
          </w:tcPr>
          <w:p>
            <w:pPr>
              <w:pStyle w:val="TableParagraph"/>
              <w:spacing w:line="203" w:lineRule="exact"/>
              <w:ind w:left="60" w:right="60"/>
              <w:rPr>
                <w:sz w:val="18"/>
              </w:rPr>
            </w:pPr>
            <w:r>
              <w:rPr>
                <w:sz w:val="18"/>
              </w:rPr>
              <w:t>13</w:t>
            </w:r>
          </w:p>
        </w:tc>
        <w:tc>
          <w:tcPr>
            <w:tcW w:w="475" w:type="dxa"/>
          </w:tcPr>
          <w:p>
            <w:pPr>
              <w:pStyle w:val="TableParagraph"/>
              <w:spacing w:line="203" w:lineRule="exact"/>
              <w:ind w:left="60" w:right="60"/>
              <w:rPr>
                <w:sz w:val="18"/>
              </w:rPr>
            </w:pPr>
            <w:r>
              <w:rPr>
                <w:sz w:val="18"/>
              </w:rPr>
              <w:t>10</w:t>
            </w:r>
          </w:p>
        </w:tc>
      </w:tr>
    </w:tbl>
    <w:p>
      <w:pPr>
        <w:spacing w:after="0" w:line="203" w:lineRule="exact"/>
        <w:rPr>
          <w:sz w:val="18"/>
        </w:rPr>
        <w:sectPr>
          <w:pgSz w:w="12240" w:h="15840"/>
          <w:pgMar w:header="0" w:footer="975" w:top="1420" w:bottom="1160" w:left="1720" w:right="1720"/>
        </w:sectPr>
      </w:pPr>
    </w:p>
    <w:tbl>
      <w:tblPr>
        <w:tblW w:w="0" w:type="auto"/>
        <w:jc w:val="left"/>
        <w:tblInd w:w="10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97"/>
        <w:gridCol w:w="459"/>
        <w:gridCol w:w="456"/>
        <w:gridCol w:w="475"/>
        <w:gridCol w:w="475"/>
        <w:gridCol w:w="475"/>
        <w:gridCol w:w="476"/>
      </w:tblGrid>
      <w:tr>
        <w:trPr>
          <w:trHeight w:val="630" w:hRule="exact"/>
        </w:trPr>
        <w:tc>
          <w:tcPr>
            <w:tcW w:w="6513" w:type="dxa"/>
            <w:gridSpan w:val="7"/>
            <w:shd w:val="clear" w:color="auto" w:fill="C5DFB3"/>
          </w:tcPr>
          <w:p>
            <w:pPr>
              <w:pStyle w:val="TableParagraph"/>
              <w:spacing w:line="360" w:lineRule="auto"/>
              <w:ind w:left="2400" w:right="73" w:hanging="2312"/>
              <w:jc w:val="left"/>
              <w:rPr>
                <w:b/>
                <w:sz w:val="18"/>
              </w:rPr>
            </w:pPr>
            <w:r>
              <w:rPr>
                <w:b/>
                <w:sz w:val="18"/>
              </w:rPr>
              <w:t>Anexo 25. Municipios que publican apartado de programas sociales 2010- 2015 (Finaliza tabla)</w:t>
            </w:r>
          </w:p>
        </w:tc>
      </w:tr>
      <w:tr>
        <w:trPr>
          <w:trHeight w:val="629" w:hRule="exact"/>
        </w:trPr>
        <w:tc>
          <w:tcPr>
            <w:tcW w:w="3697" w:type="dxa"/>
            <w:shd w:val="clear" w:color="auto" w:fill="C5DFB3"/>
          </w:tcPr>
          <w:p>
            <w:pPr>
              <w:pStyle w:val="TableParagraph"/>
              <w:spacing w:before="147"/>
              <w:ind w:left="1403" w:right="1397"/>
              <w:rPr>
                <w:b/>
                <w:sz w:val="18"/>
              </w:rPr>
            </w:pPr>
            <w:r>
              <w:rPr>
                <w:b/>
                <w:sz w:val="18"/>
              </w:rPr>
              <w:t>Municipio</w:t>
            </w:r>
          </w:p>
        </w:tc>
        <w:tc>
          <w:tcPr>
            <w:tcW w:w="459" w:type="dxa"/>
            <w:shd w:val="clear" w:color="auto" w:fill="C5DFB3"/>
            <w:textDirection w:val="btLr"/>
          </w:tcPr>
          <w:p>
            <w:pPr>
              <w:pStyle w:val="TableParagraph"/>
              <w:spacing w:before="66"/>
              <w:ind w:left="2"/>
              <w:jc w:val="left"/>
              <w:rPr>
                <w:b/>
                <w:sz w:val="18"/>
              </w:rPr>
            </w:pPr>
            <w:r>
              <w:rPr>
                <w:b/>
                <w:w w:val="99"/>
                <w:sz w:val="18"/>
              </w:rPr>
              <w:t>2010</w:t>
            </w:r>
          </w:p>
        </w:tc>
        <w:tc>
          <w:tcPr>
            <w:tcW w:w="456" w:type="dxa"/>
            <w:shd w:val="clear" w:color="auto" w:fill="C5DFB3"/>
            <w:textDirection w:val="btLr"/>
          </w:tcPr>
          <w:p>
            <w:pPr>
              <w:pStyle w:val="TableParagraph"/>
              <w:spacing w:before="64"/>
              <w:ind w:left="2"/>
              <w:jc w:val="left"/>
              <w:rPr>
                <w:b/>
                <w:sz w:val="18"/>
              </w:rPr>
            </w:pPr>
            <w:r>
              <w:rPr>
                <w:b/>
                <w:w w:val="99"/>
                <w:sz w:val="18"/>
              </w:rPr>
              <w:t>2011</w:t>
            </w:r>
          </w:p>
        </w:tc>
        <w:tc>
          <w:tcPr>
            <w:tcW w:w="475" w:type="dxa"/>
            <w:shd w:val="clear" w:color="auto" w:fill="C5DFB3"/>
            <w:textDirection w:val="btLr"/>
          </w:tcPr>
          <w:p>
            <w:pPr>
              <w:pStyle w:val="TableParagraph"/>
              <w:spacing w:before="80"/>
              <w:ind w:left="2"/>
              <w:jc w:val="left"/>
              <w:rPr>
                <w:b/>
                <w:sz w:val="18"/>
              </w:rPr>
            </w:pPr>
            <w:r>
              <w:rPr>
                <w:b/>
                <w:w w:val="99"/>
                <w:sz w:val="18"/>
              </w:rPr>
              <w:t>2012</w:t>
            </w:r>
          </w:p>
        </w:tc>
        <w:tc>
          <w:tcPr>
            <w:tcW w:w="475" w:type="dxa"/>
            <w:shd w:val="clear" w:color="auto" w:fill="C5DFB3"/>
            <w:textDirection w:val="btLr"/>
          </w:tcPr>
          <w:p>
            <w:pPr>
              <w:pStyle w:val="TableParagraph"/>
              <w:spacing w:before="80"/>
              <w:ind w:left="2"/>
              <w:jc w:val="left"/>
              <w:rPr>
                <w:b/>
                <w:sz w:val="18"/>
              </w:rPr>
            </w:pPr>
            <w:r>
              <w:rPr>
                <w:b/>
                <w:w w:val="99"/>
                <w:sz w:val="18"/>
              </w:rPr>
              <w:t>2013</w:t>
            </w:r>
          </w:p>
        </w:tc>
        <w:tc>
          <w:tcPr>
            <w:tcW w:w="475" w:type="dxa"/>
            <w:shd w:val="clear" w:color="auto" w:fill="C5DFB3"/>
            <w:textDirection w:val="btLr"/>
          </w:tcPr>
          <w:p>
            <w:pPr>
              <w:pStyle w:val="TableParagraph"/>
              <w:spacing w:before="80"/>
              <w:ind w:left="2"/>
              <w:jc w:val="left"/>
              <w:rPr>
                <w:b/>
                <w:sz w:val="18"/>
              </w:rPr>
            </w:pPr>
            <w:r>
              <w:rPr>
                <w:b/>
                <w:w w:val="99"/>
                <w:sz w:val="18"/>
              </w:rPr>
              <w:t>2014</w:t>
            </w:r>
          </w:p>
        </w:tc>
        <w:tc>
          <w:tcPr>
            <w:tcW w:w="476" w:type="dxa"/>
            <w:shd w:val="clear" w:color="auto" w:fill="C5DFB3"/>
            <w:textDirection w:val="btLr"/>
          </w:tcPr>
          <w:p>
            <w:pPr>
              <w:pStyle w:val="TableParagraph"/>
              <w:spacing w:before="80"/>
              <w:ind w:left="2"/>
              <w:jc w:val="left"/>
              <w:rPr>
                <w:b/>
                <w:sz w:val="18"/>
              </w:rPr>
            </w:pPr>
            <w:r>
              <w:rPr>
                <w:b/>
                <w:w w:val="99"/>
                <w:sz w:val="18"/>
              </w:rPr>
              <w:t>2015</w:t>
            </w:r>
          </w:p>
        </w:tc>
      </w:tr>
      <w:tr>
        <w:trPr>
          <w:trHeight w:val="322" w:hRule="exact"/>
        </w:trPr>
        <w:tc>
          <w:tcPr>
            <w:tcW w:w="3697" w:type="dxa"/>
            <w:tcBorders>
              <w:left w:val="single" w:sz="8" w:space="0" w:color="000000"/>
            </w:tcBorders>
          </w:tcPr>
          <w:p>
            <w:pPr>
              <w:pStyle w:val="TableParagraph"/>
              <w:spacing w:line="199" w:lineRule="exact"/>
              <w:ind w:left="62"/>
              <w:jc w:val="left"/>
              <w:rPr>
                <w:b/>
                <w:sz w:val="18"/>
              </w:rPr>
            </w:pPr>
            <w:r>
              <w:rPr>
                <w:b/>
                <w:color w:val="333333"/>
                <w:sz w:val="18"/>
              </w:rPr>
              <w:t>TONANITLA</w:t>
            </w:r>
          </w:p>
        </w:tc>
        <w:tc>
          <w:tcPr>
            <w:tcW w:w="459" w:type="dxa"/>
          </w:tcPr>
          <w:p>
            <w:pPr>
              <w:pStyle w:val="TableParagraph"/>
              <w:spacing w:line="203" w:lineRule="exact"/>
              <w:ind w:right="171"/>
              <w:jc w:val="right"/>
              <w:rPr>
                <w:sz w:val="18"/>
              </w:rPr>
            </w:pPr>
            <w:r>
              <w:rPr>
                <w:w w:val="99"/>
                <w:sz w:val="18"/>
              </w:rPr>
              <w:t>0</w:t>
            </w:r>
          </w:p>
        </w:tc>
        <w:tc>
          <w:tcPr>
            <w:tcW w:w="456"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right="181"/>
              <w:jc w:val="right"/>
              <w:rPr>
                <w:sz w:val="18"/>
              </w:rPr>
            </w:pPr>
            <w:r>
              <w:rPr>
                <w:w w:val="99"/>
                <w:sz w:val="18"/>
              </w:rPr>
              <w:t>0</w:t>
            </w:r>
          </w:p>
        </w:tc>
        <w:tc>
          <w:tcPr>
            <w:tcW w:w="476" w:type="dxa"/>
          </w:tcPr>
          <w:p>
            <w:pPr>
              <w:pStyle w:val="TableParagraph"/>
              <w:spacing w:line="203" w:lineRule="exact"/>
              <w:ind w:right="181"/>
              <w:jc w:val="right"/>
              <w:rPr>
                <w:sz w:val="18"/>
              </w:rPr>
            </w:pPr>
            <w:r>
              <w:rPr>
                <w:w w:val="99"/>
                <w:sz w:val="18"/>
              </w:rPr>
              <w:t>0</w:t>
            </w:r>
          </w:p>
        </w:tc>
      </w:tr>
      <w:tr>
        <w:trPr>
          <w:trHeight w:val="319" w:hRule="exact"/>
        </w:trPr>
        <w:tc>
          <w:tcPr>
            <w:tcW w:w="3697" w:type="dxa"/>
            <w:tcBorders>
              <w:left w:val="single" w:sz="8" w:space="0" w:color="000000"/>
            </w:tcBorders>
          </w:tcPr>
          <w:p>
            <w:pPr>
              <w:pStyle w:val="TableParagraph"/>
              <w:spacing w:line="199" w:lineRule="exact"/>
              <w:ind w:left="62"/>
              <w:jc w:val="left"/>
              <w:rPr>
                <w:b/>
                <w:sz w:val="18"/>
              </w:rPr>
            </w:pPr>
            <w:r>
              <w:rPr>
                <w:b/>
                <w:color w:val="333333"/>
                <w:sz w:val="18"/>
              </w:rPr>
              <w:t>TONATICO</w:t>
            </w:r>
          </w:p>
        </w:tc>
        <w:tc>
          <w:tcPr>
            <w:tcW w:w="459" w:type="dxa"/>
          </w:tcPr>
          <w:p>
            <w:pPr>
              <w:pStyle w:val="TableParagraph"/>
              <w:spacing w:line="203" w:lineRule="exact"/>
              <w:ind w:right="171"/>
              <w:jc w:val="right"/>
              <w:rPr>
                <w:sz w:val="18"/>
              </w:rPr>
            </w:pPr>
            <w:r>
              <w:rPr>
                <w:w w:val="99"/>
                <w:sz w:val="18"/>
              </w:rPr>
              <w:t>0</w:t>
            </w:r>
          </w:p>
        </w:tc>
        <w:tc>
          <w:tcPr>
            <w:tcW w:w="456"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right="181"/>
              <w:jc w:val="right"/>
              <w:rPr>
                <w:sz w:val="18"/>
              </w:rPr>
            </w:pPr>
            <w:r>
              <w:rPr>
                <w:w w:val="99"/>
                <w:sz w:val="18"/>
              </w:rPr>
              <w:t>0</w:t>
            </w:r>
          </w:p>
        </w:tc>
        <w:tc>
          <w:tcPr>
            <w:tcW w:w="476" w:type="dxa"/>
          </w:tcPr>
          <w:p>
            <w:pPr>
              <w:pStyle w:val="TableParagraph"/>
              <w:spacing w:line="203" w:lineRule="exact"/>
              <w:ind w:right="181"/>
              <w:jc w:val="right"/>
              <w:rPr>
                <w:sz w:val="18"/>
              </w:rPr>
            </w:pPr>
            <w:r>
              <w:rPr>
                <w:w w:val="99"/>
                <w:sz w:val="18"/>
              </w:rPr>
              <w:t>0</w:t>
            </w:r>
          </w:p>
        </w:tc>
      </w:tr>
      <w:tr>
        <w:trPr>
          <w:trHeight w:val="322" w:hRule="exact"/>
        </w:trPr>
        <w:tc>
          <w:tcPr>
            <w:tcW w:w="3697" w:type="dxa"/>
            <w:tcBorders>
              <w:left w:val="single" w:sz="8" w:space="0" w:color="000000"/>
            </w:tcBorders>
          </w:tcPr>
          <w:p>
            <w:pPr>
              <w:pStyle w:val="TableParagraph"/>
              <w:spacing w:line="199" w:lineRule="exact"/>
              <w:ind w:left="62"/>
              <w:jc w:val="left"/>
              <w:rPr>
                <w:b/>
                <w:sz w:val="18"/>
              </w:rPr>
            </w:pPr>
            <w:r>
              <w:rPr>
                <w:b/>
                <w:color w:val="333333"/>
                <w:sz w:val="18"/>
              </w:rPr>
              <w:t>TULTEPEC</w:t>
            </w:r>
          </w:p>
        </w:tc>
        <w:tc>
          <w:tcPr>
            <w:tcW w:w="459" w:type="dxa"/>
          </w:tcPr>
          <w:p>
            <w:pPr>
              <w:pStyle w:val="TableParagraph"/>
              <w:spacing w:line="203" w:lineRule="exact"/>
              <w:ind w:right="171"/>
              <w:jc w:val="right"/>
              <w:rPr>
                <w:sz w:val="18"/>
              </w:rPr>
            </w:pPr>
            <w:r>
              <w:rPr>
                <w:w w:val="99"/>
                <w:sz w:val="18"/>
              </w:rPr>
              <w:t>0</w:t>
            </w:r>
          </w:p>
        </w:tc>
        <w:tc>
          <w:tcPr>
            <w:tcW w:w="456"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right="181"/>
              <w:jc w:val="right"/>
              <w:rPr>
                <w:sz w:val="18"/>
              </w:rPr>
            </w:pPr>
            <w:r>
              <w:rPr>
                <w:w w:val="99"/>
                <w:sz w:val="18"/>
              </w:rPr>
              <w:t>0</w:t>
            </w:r>
          </w:p>
        </w:tc>
        <w:tc>
          <w:tcPr>
            <w:tcW w:w="476" w:type="dxa"/>
          </w:tcPr>
          <w:p>
            <w:pPr>
              <w:pStyle w:val="TableParagraph"/>
              <w:spacing w:line="203" w:lineRule="exact"/>
              <w:ind w:right="181"/>
              <w:jc w:val="right"/>
              <w:rPr>
                <w:sz w:val="18"/>
              </w:rPr>
            </w:pPr>
            <w:r>
              <w:rPr>
                <w:w w:val="99"/>
                <w:sz w:val="18"/>
              </w:rPr>
              <w:t>0</w:t>
            </w:r>
          </w:p>
        </w:tc>
      </w:tr>
      <w:tr>
        <w:trPr>
          <w:trHeight w:val="319" w:hRule="exact"/>
        </w:trPr>
        <w:tc>
          <w:tcPr>
            <w:tcW w:w="3697" w:type="dxa"/>
            <w:tcBorders>
              <w:left w:val="single" w:sz="8" w:space="0" w:color="000000"/>
            </w:tcBorders>
          </w:tcPr>
          <w:p>
            <w:pPr>
              <w:pStyle w:val="TableParagraph"/>
              <w:spacing w:line="199" w:lineRule="exact"/>
              <w:ind w:left="62"/>
              <w:jc w:val="left"/>
              <w:rPr>
                <w:b/>
                <w:sz w:val="18"/>
              </w:rPr>
            </w:pPr>
            <w:r>
              <w:rPr>
                <w:b/>
                <w:color w:val="333333"/>
                <w:sz w:val="18"/>
              </w:rPr>
              <w:t>TULTITLAN</w:t>
            </w:r>
          </w:p>
        </w:tc>
        <w:tc>
          <w:tcPr>
            <w:tcW w:w="459" w:type="dxa"/>
          </w:tcPr>
          <w:p>
            <w:pPr>
              <w:pStyle w:val="TableParagraph"/>
              <w:spacing w:line="203" w:lineRule="exact"/>
              <w:ind w:right="171"/>
              <w:jc w:val="right"/>
              <w:rPr>
                <w:sz w:val="18"/>
              </w:rPr>
            </w:pPr>
            <w:r>
              <w:rPr>
                <w:w w:val="99"/>
                <w:sz w:val="18"/>
              </w:rPr>
              <w:t>0</w:t>
            </w:r>
          </w:p>
        </w:tc>
        <w:tc>
          <w:tcPr>
            <w:tcW w:w="456"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right="181"/>
              <w:jc w:val="right"/>
              <w:rPr>
                <w:sz w:val="18"/>
              </w:rPr>
            </w:pPr>
            <w:r>
              <w:rPr>
                <w:w w:val="99"/>
                <w:sz w:val="18"/>
              </w:rPr>
              <w:t>1</w:t>
            </w:r>
          </w:p>
        </w:tc>
        <w:tc>
          <w:tcPr>
            <w:tcW w:w="476" w:type="dxa"/>
          </w:tcPr>
          <w:p>
            <w:pPr>
              <w:pStyle w:val="TableParagraph"/>
              <w:spacing w:line="203" w:lineRule="exact"/>
              <w:ind w:right="181"/>
              <w:jc w:val="right"/>
              <w:rPr>
                <w:sz w:val="18"/>
              </w:rPr>
            </w:pPr>
            <w:r>
              <w:rPr>
                <w:w w:val="99"/>
                <w:sz w:val="18"/>
              </w:rPr>
              <w:t>0</w:t>
            </w:r>
          </w:p>
        </w:tc>
      </w:tr>
      <w:tr>
        <w:trPr>
          <w:trHeight w:val="322" w:hRule="exact"/>
        </w:trPr>
        <w:tc>
          <w:tcPr>
            <w:tcW w:w="3697" w:type="dxa"/>
            <w:tcBorders>
              <w:left w:val="single" w:sz="8" w:space="0" w:color="000000"/>
            </w:tcBorders>
          </w:tcPr>
          <w:p>
            <w:pPr>
              <w:pStyle w:val="TableParagraph"/>
              <w:spacing w:line="199" w:lineRule="exact"/>
              <w:ind w:left="62"/>
              <w:jc w:val="left"/>
              <w:rPr>
                <w:b/>
                <w:sz w:val="18"/>
              </w:rPr>
            </w:pPr>
            <w:r>
              <w:rPr>
                <w:b/>
                <w:color w:val="333333"/>
                <w:sz w:val="18"/>
              </w:rPr>
              <w:t>VALLE DE BRAVO</w:t>
            </w:r>
          </w:p>
        </w:tc>
        <w:tc>
          <w:tcPr>
            <w:tcW w:w="459" w:type="dxa"/>
          </w:tcPr>
          <w:p>
            <w:pPr>
              <w:pStyle w:val="TableParagraph"/>
              <w:spacing w:line="203" w:lineRule="exact"/>
              <w:ind w:right="171"/>
              <w:jc w:val="right"/>
              <w:rPr>
                <w:sz w:val="18"/>
              </w:rPr>
            </w:pPr>
            <w:r>
              <w:rPr>
                <w:w w:val="99"/>
                <w:sz w:val="18"/>
              </w:rPr>
              <w:t>0</w:t>
            </w:r>
          </w:p>
        </w:tc>
        <w:tc>
          <w:tcPr>
            <w:tcW w:w="456" w:type="dxa"/>
          </w:tcPr>
          <w:p>
            <w:pPr>
              <w:pStyle w:val="TableParagraph"/>
              <w:spacing w:line="203" w:lineRule="exact"/>
              <w:rPr>
                <w:sz w:val="18"/>
              </w:rPr>
            </w:pPr>
            <w:r>
              <w:rPr>
                <w:w w:val="99"/>
                <w:sz w:val="18"/>
              </w:rPr>
              <w:t>1</w:t>
            </w:r>
          </w:p>
        </w:tc>
        <w:tc>
          <w:tcPr>
            <w:tcW w:w="475" w:type="dxa"/>
          </w:tcPr>
          <w:p>
            <w:pPr>
              <w:pStyle w:val="TableParagraph"/>
              <w:spacing w:line="203" w:lineRule="exact"/>
              <w:ind w:left="182"/>
              <w:jc w:val="left"/>
              <w:rPr>
                <w:sz w:val="18"/>
              </w:rPr>
            </w:pPr>
            <w:r>
              <w:rPr>
                <w:w w:val="99"/>
                <w:sz w:val="18"/>
              </w:rPr>
              <w:t>1</w:t>
            </w:r>
          </w:p>
        </w:tc>
        <w:tc>
          <w:tcPr>
            <w:tcW w:w="475" w:type="dxa"/>
          </w:tcPr>
          <w:p>
            <w:pPr>
              <w:pStyle w:val="TableParagraph"/>
              <w:spacing w:line="203" w:lineRule="exact"/>
              <w:ind w:left="60" w:right="60"/>
              <w:rPr>
                <w:sz w:val="18"/>
              </w:rPr>
            </w:pPr>
            <w:r>
              <w:rPr>
                <w:sz w:val="18"/>
              </w:rPr>
              <w:t>32</w:t>
            </w:r>
          </w:p>
        </w:tc>
        <w:tc>
          <w:tcPr>
            <w:tcW w:w="475" w:type="dxa"/>
          </w:tcPr>
          <w:p>
            <w:pPr>
              <w:pStyle w:val="TableParagraph"/>
              <w:spacing w:line="203" w:lineRule="exact"/>
              <w:ind w:right="131"/>
              <w:jc w:val="right"/>
              <w:rPr>
                <w:sz w:val="18"/>
              </w:rPr>
            </w:pPr>
            <w:r>
              <w:rPr>
                <w:w w:val="95"/>
                <w:sz w:val="18"/>
              </w:rPr>
              <w:t>34</w:t>
            </w:r>
          </w:p>
        </w:tc>
        <w:tc>
          <w:tcPr>
            <w:tcW w:w="476" w:type="dxa"/>
          </w:tcPr>
          <w:p>
            <w:pPr>
              <w:pStyle w:val="TableParagraph"/>
              <w:spacing w:line="203" w:lineRule="exact"/>
              <w:ind w:right="130"/>
              <w:jc w:val="right"/>
              <w:rPr>
                <w:sz w:val="18"/>
              </w:rPr>
            </w:pPr>
            <w:r>
              <w:rPr>
                <w:w w:val="95"/>
                <w:sz w:val="18"/>
              </w:rPr>
              <w:t>21</w:t>
            </w:r>
          </w:p>
        </w:tc>
      </w:tr>
      <w:tr>
        <w:trPr>
          <w:trHeight w:val="319" w:hRule="exact"/>
        </w:trPr>
        <w:tc>
          <w:tcPr>
            <w:tcW w:w="3697" w:type="dxa"/>
            <w:tcBorders>
              <w:left w:val="single" w:sz="8" w:space="0" w:color="000000"/>
            </w:tcBorders>
          </w:tcPr>
          <w:p>
            <w:pPr>
              <w:pStyle w:val="TableParagraph"/>
              <w:spacing w:line="199" w:lineRule="exact"/>
              <w:ind w:left="62"/>
              <w:jc w:val="left"/>
              <w:rPr>
                <w:b/>
                <w:sz w:val="18"/>
              </w:rPr>
            </w:pPr>
            <w:r>
              <w:rPr>
                <w:b/>
                <w:color w:val="333333"/>
                <w:sz w:val="18"/>
              </w:rPr>
              <w:t>VALLE DE CHALCO SOLIDARIDAD</w:t>
            </w:r>
          </w:p>
        </w:tc>
        <w:tc>
          <w:tcPr>
            <w:tcW w:w="459" w:type="dxa"/>
          </w:tcPr>
          <w:p>
            <w:pPr>
              <w:pStyle w:val="TableParagraph"/>
              <w:spacing w:line="203" w:lineRule="exact"/>
              <w:ind w:right="171"/>
              <w:jc w:val="right"/>
              <w:rPr>
                <w:sz w:val="18"/>
              </w:rPr>
            </w:pPr>
            <w:r>
              <w:rPr>
                <w:w w:val="99"/>
                <w:sz w:val="18"/>
              </w:rPr>
              <w:t>0</w:t>
            </w:r>
          </w:p>
        </w:tc>
        <w:tc>
          <w:tcPr>
            <w:tcW w:w="456" w:type="dxa"/>
          </w:tcPr>
          <w:p>
            <w:pPr>
              <w:pStyle w:val="TableParagraph"/>
              <w:spacing w:line="203" w:lineRule="exact"/>
              <w:rPr>
                <w:sz w:val="18"/>
              </w:rPr>
            </w:pPr>
            <w:r>
              <w:rPr>
                <w:w w:val="99"/>
                <w:sz w:val="18"/>
              </w:rPr>
              <w:t>1</w:t>
            </w:r>
          </w:p>
        </w:tc>
        <w:tc>
          <w:tcPr>
            <w:tcW w:w="475" w:type="dxa"/>
          </w:tcPr>
          <w:p>
            <w:pPr>
              <w:pStyle w:val="TableParagraph"/>
              <w:spacing w:line="203" w:lineRule="exact"/>
              <w:ind w:left="182"/>
              <w:jc w:val="left"/>
              <w:rPr>
                <w:sz w:val="18"/>
              </w:rPr>
            </w:pPr>
            <w:r>
              <w:rPr>
                <w:w w:val="99"/>
                <w:sz w:val="18"/>
              </w:rPr>
              <w:t>1</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right="181"/>
              <w:jc w:val="right"/>
              <w:rPr>
                <w:sz w:val="18"/>
              </w:rPr>
            </w:pPr>
            <w:r>
              <w:rPr>
                <w:w w:val="99"/>
                <w:sz w:val="18"/>
              </w:rPr>
              <w:t>0</w:t>
            </w:r>
          </w:p>
        </w:tc>
        <w:tc>
          <w:tcPr>
            <w:tcW w:w="476" w:type="dxa"/>
          </w:tcPr>
          <w:p>
            <w:pPr>
              <w:pStyle w:val="TableParagraph"/>
              <w:spacing w:line="203" w:lineRule="exact"/>
              <w:ind w:right="181"/>
              <w:jc w:val="right"/>
              <w:rPr>
                <w:sz w:val="18"/>
              </w:rPr>
            </w:pPr>
            <w:r>
              <w:rPr>
                <w:w w:val="99"/>
                <w:sz w:val="18"/>
              </w:rPr>
              <w:t>0</w:t>
            </w:r>
          </w:p>
        </w:tc>
      </w:tr>
      <w:tr>
        <w:trPr>
          <w:trHeight w:val="322" w:hRule="exact"/>
        </w:trPr>
        <w:tc>
          <w:tcPr>
            <w:tcW w:w="3697" w:type="dxa"/>
            <w:tcBorders>
              <w:left w:val="single" w:sz="8" w:space="0" w:color="000000"/>
            </w:tcBorders>
          </w:tcPr>
          <w:p>
            <w:pPr>
              <w:pStyle w:val="TableParagraph"/>
              <w:spacing w:line="199" w:lineRule="exact"/>
              <w:ind w:left="62"/>
              <w:jc w:val="left"/>
              <w:rPr>
                <w:b/>
                <w:sz w:val="18"/>
              </w:rPr>
            </w:pPr>
            <w:r>
              <w:rPr>
                <w:b/>
                <w:color w:val="333333"/>
                <w:sz w:val="18"/>
              </w:rPr>
              <w:t>VILLA DE ALLENDE</w:t>
            </w:r>
          </w:p>
        </w:tc>
        <w:tc>
          <w:tcPr>
            <w:tcW w:w="459" w:type="dxa"/>
          </w:tcPr>
          <w:p>
            <w:pPr>
              <w:pStyle w:val="TableParagraph"/>
              <w:spacing w:line="203" w:lineRule="exact"/>
              <w:ind w:right="171"/>
              <w:jc w:val="right"/>
              <w:rPr>
                <w:sz w:val="18"/>
              </w:rPr>
            </w:pPr>
            <w:r>
              <w:rPr>
                <w:w w:val="99"/>
                <w:sz w:val="18"/>
              </w:rPr>
              <w:t>0</w:t>
            </w:r>
          </w:p>
        </w:tc>
        <w:tc>
          <w:tcPr>
            <w:tcW w:w="456"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right="181"/>
              <w:jc w:val="right"/>
              <w:rPr>
                <w:sz w:val="18"/>
              </w:rPr>
            </w:pPr>
            <w:r>
              <w:rPr>
                <w:w w:val="99"/>
                <w:sz w:val="18"/>
              </w:rPr>
              <w:t>0</w:t>
            </w:r>
          </w:p>
        </w:tc>
        <w:tc>
          <w:tcPr>
            <w:tcW w:w="476" w:type="dxa"/>
          </w:tcPr>
          <w:p>
            <w:pPr>
              <w:pStyle w:val="TableParagraph"/>
              <w:spacing w:line="203" w:lineRule="exact"/>
              <w:ind w:right="181"/>
              <w:jc w:val="right"/>
              <w:rPr>
                <w:sz w:val="18"/>
              </w:rPr>
            </w:pPr>
            <w:r>
              <w:rPr>
                <w:w w:val="99"/>
                <w:sz w:val="18"/>
              </w:rPr>
              <w:t>0</w:t>
            </w:r>
          </w:p>
        </w:tc>
      </w:tr>
      <w:tr>
        <w:trPr>
          <w:trHeight w:val="320" w:hRule="exact"/>
        </w:trPr>
        <w:tc>
          <w:tcPr>
            <w:tcW w:w="3697" w:type="dxa"/>
            <w:tcBorders>
              <w:left w:val="single" w:sz="8" w:space="0" w:color="000000"/>
            </w:tcBorders>
          </w:tcPr>
          <w:p>
            <w:pPr>
              <w:pStyle w:val="TableParagraph"/>
              <w:spacing w:line="199" w:lineRule="exact"/>
              <w:ind w:left="62"/>
              <w:jc w:val="left"/>
              <w:rPr>
                <w:b/>
                <w:sz w:val="18"/>
              </w:rPr>
            </w:pPr>
            <w:r>
              <w:rPr>
                <w:b/>
                <w:color w:val="333333"/>
                <w:sz w:val="18"/>
              </w:rPr>
              <w:t>VILLA DEL CARBON</w:t>
            </w:r>
          </w:p>
        </w:tc>
        <w:tc>
          <w:tcPr>
            <w:tcW w:w="459" w:type="dxa"/>
          </w:tcPr>
          <w:p>
            <w:pPr>
              <w:pStyle w:val="TableParagraph"/>
              <w:spacing w:line="203" w:lineRule="exact"/>
              <w:ind w:right="171"/>
              <w:jc w:val="right"/>
              <w:rPr>
                <w:sz w:val="18"/>
              </w:rPr>
            </w:pPr>
            <w:r>
              <w:rPr>
                <w:w w:val="99"/>
                <w:sz w:val="18"/>
              </w:rPr>
              <w:t>0</w:t>
            </w:r>
          </w:p>
        </w:tc>
        <w:tc>
          <w:tcPr>
            <w:tcW w:w="456"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right="181"/>
              <w:jc w:val="right"/>
              <w:rPr>
                <w:sz w:val="18"/>
              </w:rPr>
            </w:pPr>
            <w:r>
              <w:rPr>
                <w:w w:val="99"/>
                <w:sz w:val="18"/>
              </w:rPr>
              <w:t>0</w:t>
            </w:r>
          </w:p>
        </w:tc>
        <w:tc>
          <w:tcPr>
            <w:tcW w:w="476" w:type="dxa"/>
          </w:tcPr>
          <w:p>
            <w:pPr>
              <w:pStyle w:val="TableParagraph"/>
              <w:spacing w:line="203" w:lineRule="exact"/>
              <w:ind w:right="181"/>
              <w:jc w:val="right"/>
              <w:rPr>
                <w:sz w:val="18"/>
              </w:rPr>
            </w:pPr>
            <w:r>
              <w:rPr>
                <w:w w:val="99"/>
                <w:sz w:val="18"/>
              </w:rPr>
              <w:t>0</w:t>
            </w:r>
          </w:p>
        </w:tc>
      </w:tr>
      <w:tr>
        <w:trPr>
          <w:trHeight w:val="322" w:hRule="exact"/>
        </w:trPr>
        <w:tc>
          <w:tcPr>
            <w:tcW w:w="3697" w:type="dxa"/>
            <w:tcBorders>
              <w:left w:val="single" w:sz="8" w:space="0" w:color="000000"/>
            </w:tcBorders>
          </w:tcPr>
          <w:p>
            <w:pPr>
              <w:pStyle w:val="TableParagraph"/>
              <w:spacing w:line="199" w:lineRule="exact"/>
              <w:ind w:left="62"/>
              <w:jc w:val="left"/>
              <w:rPr>
                <w:b/>
                <w:sz w:val="18"/>
              </w:rPr>
            </w:pPr>
            <w:r>
              <w:rPr>
                <w:b/>
                <w:color w:val="333333"/>
                <w:sz w:val="18"/>
              </w:rPr>
              <w:t>VILLA GUERRERO</w:t>
            </w:r>
          </w:p>
        </w:tc>
        <w:tc>
          <w:tcPr>
            <w:tcW w:w="459" w:type="dxa"/>
          </w:tcPr>
          <w:p>
            <w:pPr>
              <w:pStyle w:val="TableParagraph"/>
              <w:spacing w:line="203" w:lineRule="exact"/>
              <w:ind w:right="171"/>
              <w:jc w:val="right"/>
              <w:rPr>
                <w:sz w:val="18"/>
              </w:rPr>
            </w:pPr>
            <w:r>
              <w:rPr>
                <w:w w:val="99"/>
                <w:sz w:val="18"/>
              </w:rPr>
              <w:t>0</w:t>
            </w:r>
          </w:p>
        </w:tc>
        <w:tc>
          <w:tcPr>
            <w:tcW w:w="456"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3</w:t>
            </w:r>
          </w:p>
        </w:tc>
        <w:tc>
          <w:tcPr>
            <w:tcW w:w="475" w:type="dxa"/>
          </w:tcPr>
          <w:p>
            <w:pPr>
              <w:pStyle w:val="TableParagraph"/>
              <w:spacing w:line="203" w:lineRule="exact"/>
              <w:ind w:right="131"/>
              <w:jc w:val="right"/>
              <w:rPr>
                <w:sz w:val="18"/>
              </w:rPr>
            </w:pPr>
            <w:r>
              <w:rPr>
                <w:w w:val="95"/>
                <w:sz w:val="18"/>
              </w:rPr>
              <w:t>12</w:t>
            </w:r>
          </w:p>
        </w:tc>
        <w:tc>
          <w:tcPr>
            <w:tcW w:w="476" w:type="dxa"/>
          </w:tcPr>
          <w:p>
            <w:pPr>
              <w:pStyle w:val="TableParagraph"/>
              <w:spacing w:line="203" w:lineRule="exact"/>
              <w:ind w:right="181"/>
              <w:jc w:val="right"/>
              <w:rPr>
                <w:sz w:val="18"/>
              </w:rPr>
            </w:pPr>
            <w:r>
              <w:rPr>
                <w:w w:val="99"/>
                <w:sz w:val="18"/>
              </w:rPr>
              <w:t>0</w:t>
            </w:r>
          </w:p>
        </w:tc>
      </w:tr>
      <w:tr>
        <w:trPr>
          <w:trHeight w:val="319" w:hRule="exact"/>
        </w:trPr>
        <w:tc>
          <w:tcPr>
            <w:tcW w:w="3697" w:type="dxa"/>
            <w:tcBorders>
              <w:left w:val="single" w:sz="8" w:space="0" w:color="000000"/>
            </w:tcBorders>
          </w:tcPr>
          <w:p>
            <w:pPr>
              <w:pStyle w:val="TableParagraph"/>
              <w:spacing w:line="199" w:lineRule="exact"/>
              <w:ind w:left="62"/>
              <w:jc w:val="left"/>
              <w:rPr>
                <w:b/>
                <w:sz w:val="18"/>
              </w:rPr>
            </w:pPr>
            <w:r>
              <w:rPr>
                <w:b/>
                <w:color w:val="333333"/>
                <w:sz w:val="18"/>
              </w:rPr>
              <w:t>VILLA VICTORIA</w:t>
            </w:r>
          </w:p>
        </w:tc>
        <w:tc>
          <w:tcPr>
            <w:tcW w:w="459" w:type="dxa"/>
          </w:tcPr>
          <w:p>
            <w:pPr>
              <w:pStyle w:val="TableParagraph"/>
              <w:spacing w:line="203" w:lineRule="exact"/>
              <w:ind w:right="171"/>
              <w:jc w:val="right"/>
              <w:rPr>
                <w:sz w:val="18"/>
              </w:rPr>
            </w:pPr>
            <w:r>
              <w:rPr>
                <w:w w:val="99"/>
                <w:sz w:val="18"/>
              </w:rPr>
              <w:t>0</w:t>
            </w:r>
          </w:p>
        </w:tc>
        <w:tc>
          <w:tcPr>
            <w:tcW w:w="456"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right="181"/>
              <w:jc w:val="right"/>
              <w:rPr>
                <w:sz w:val="18"/>
              </w:rPr>
            </w:pPr>
            <w:r>
              <w:rPr>
                <w:w w:val="99"/>
                <w:sz w:val="18"/>
              </w:rPr>
              <w:t>0</w:t>
            </w:r>
          </w:p>
        </w:tc>
        <w:tc>
          <w:tcPr>
            <w:tcW w:w="476" w:type="dxa"/>
          </w:tcPr>
          <w:p>
            <w:pPr>
              <w:pStyle w:val="TableParagraph"/>
              <w:spacing w:line="203" w:lineRule="exact"/>
              <w:ind w:right="181"/>
              <w:jc w:val="right"/>
              <w:rPr>
                <w:sz w:val="18"/>
              </w:rPr>
            </w:pPr>
            <w:r>
              <w:rPr>
                <w:w w:val="99"/>
                <w:sz w:val="18"/>
              </w:rPr>
              <w:t>0</w:t>
            </w:r>
          </w:p>
        </w:tc>
      </w:tr>
      <w:tr>
        <w:trPr>
          <w:trHeight w:val="322" w:hRule="exact"/>
        </w:trPr>
        <w:tc>
          <w:tcPr>
            <w:tcW w:w="3697" w:type="dxa"/>
            <w:tcBorders>
              <w:left w:val="single" w:sz="8" w:space="0" w:color="000000"/>
            </w:tcBorders>
          </w:tcPr>
          <w:p>
            <w:pPr>
              <w:pStyle w:val="TableParagraph"/>
              <w:spacing w:line="199" w:lineRule="exact"/>
              <w:ind w:left="62"/>
              <w:jc w:val="left"/>
              <w:rPr>
                <w:b/>
                <w:sz w:val="18"/>
              </w:rPr>
            </w:pPr>
            <w:r>
              <w:rPr>
                <w:b/>
                <w:color w:val="333333"/>
                <w:sz w:val="18"/>
              </w:rPr>
              <w:t>XALATLACO</w:t>
            </w:r>
          </w:p>
        </w:tc>
        <w:tc>
          <w:tcPr>
            <w:tcW w:w="459" w:type="dxa"/>
          </w:tcPr>
          <w:p>
            <w:pPr>
              <w:pStyle w:val="TableParagraph"/>
              <w:spacing w:line="203" w:lineRule="exact"/>
              <w:ind w:right="171"/>
              <w:jc w:val="right"/>
              <w:rPr>
                <w:sz w:val="18"/>
              </w:rPr>
            </w:pPr>
            <w:r>
              <w:rPr>
                <w:w w:val="99"/>
                <w:sz w:val="18"/>
              </w:rPr>
              <w:t>0</w:t>
            </w:r>
          </w:p>
        </w:tc>
        <w:tc>
          <w:tcPr>
            <w:tcW w:w="456"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1</w:t>
            </w:r>
          </w:p>
        </w:tc>
        <w:tc>
          <w:tcPr>
            <w:tcW w:w="475" w:type="dxa"/>
          </w:tcPr>
          <w:p>
            <w:pPr>
              <w:pStyle w:val="TableParagraph"/>
              <w:spacing w:line="203" w:lineRule="exact"/>
              <w:ind w:right="181"/>
              <w:jc w:val="right"/>
              <w:rPr>
                <w:sz w:val="18"/>
              </w:rPr>
            </w:pPr>
            <w:r>
              <w:rPr>
                <w:w w:val="99"/>
                <w:sz w:val="18"/>
              </w:rPr>
              <w:t>6</w:t>
            </w:r>
          </w:p>
        </w:tc>
        <w:tc>
          <w:tcPr>
            <w:tcW w:w="476" w:type="dxa"/>
          </w:tcPr>
          <w:p>
            <w:pPr>
              <w:pStyle w:val="TableParagraph"/>
              <w:spacing w:line="203" w:lineRule="exact"/>
              <w:ind w:right="181"/>
              <w:jc w:val="right"/>
              <w:rPr>
                <w:sz w:val="18"/>
              </w:rPr>
            </w:pPr>
            <w:r>
              <w:rPr>
                <w:w w:val="99"/>
                <w:sz w:val="18"/>
              </w:rPr>
              <w:t>0</w:t>
            </w:r>
          </w:p>
        </w:tc>
      </w:tr>
      <w:tr>
        <w:trPr>
          <w:trHeight w:val="319" w:hRule="exact"/>
        </w:trPr>
        <w:tc>
          <w:tcPr>
            <w:tcW w:w="3697" w:type="dxa"/>
            <w:tcBorders>
              <w:left w:val="single" w:sz="8" w:space="0" w:color="000000"/>
            </w:tcBorders>
          </w:tcPr>
          <w:p>
            <w:pPr>
              <w:pStyle w:val="TableParagraph"/>
              <w:spacing w:line="199" w:lineRule="exact"/>
              <w:ind w:left="62"/>
              <w:jc w:val="left"/>
              <w:rPr>
                <w:b/>
                <w:sz w:val="18"/>
              </w:rPr>
            </w:pPr>
            <w:r>
              <w:rPr>
                <w:b/>
                <w:color w:val="333333"/>
                <w:sz w:val="18"/>
              </w:rPr>
              <w:t>XONACATLAN</w:t>
            </w:r>
          </w:p>
        </w:tc>
        <w:tc>
          <w:tcPr>
            <w:tcW w:w="459" w:type="dxa"/>
          </w:tcPr>
          <w:p>
            <w:pPr>
              <w:pStyle w:val="TableParagraph"/>
              <w:spacing w:line="203" w:lineRule="exact"/>
              <w:ind w:right="171"/>
              <w:jc w:val="right"/>
              <w:rPr>
                <w:sz w:val="18"/>
              </w:rPr>
            </w:pPr>
            <w:r>
              <w:rPr>
                <w:w w:val="99"/>
                <w:sz w:val="18"/>
              </w:rPr>
              <w:t>0</w:t>
            </w:r>
          </w:p>
        </w:tc>
        <w:tc>
          <w:tcPr>
            <w:tcW w:w="456"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1</w:t>
            </w:r>
          </w:p>
        </w:tc>
        <w:tc>
          <w:tcPr>
            <w:tcW w:w="475" w:type="dxa"/>
          </w:tcPr>
          <w:p>
            <w:pPr>
              <w:pStyle w:val="TableParagraph"/>
              <w:spacing w:line="203" w:lineRule="exact"/>
              <w:ind w:right="181"/>
              <w:jc w:val="right"/>
              <w:rPr>
                <w:sz w:val="18"/>
              </w:rPr>
            </w:pPr>
            <w:r>
              <w:rPr>
                <w:w w:val="99"/>
                <w:sz w:val="18"/>
              </w:rPr>
              <w:t>3</w:t>
            </w:r>
          </w:p>
        </w:tc>
        <w:tc>
          <w:tcPr>
            <w:tcW w:w="476" w:type="dxa"/>
          </w:tcPr>
          <w:p>
            <w:pPr>
              <w:pStyle w:val="TableParagraph"/>
              <w:spacing w:line="203" w:lineRule="exact"/>
              <w:ind w:right="181"/>
              <w:jc w:val="right"/>
              <w:rPr>
                <w:sz w:val="18"/>
              </w:rPr>
            </w:pPr>
            <w:r>
              <w:rPr>
                <w:w w:val="99"/>
                <w:sz w:val="18"/>
              </w:rPr>
              <w:t>3</w:t>
            </w:r>
          </w:p>
        </w:tc>
      </w:tr>
      <w:tr>
        <w:trPr>
          <w:trHeight w:val="322" w:hRule="exact"/>
        </w:trPr>
        <w:tc>
          <w:tcPr>
            <w:tcW w:w="3697" w:type="dxa"/>
            <w:tcBorders>
              <w:left w:val="single" w:sz="8" w:space="0" w:color="000000"/>
            </w:tcBorders>
          </w:tcPr>
          <w:p>
            <w:pPr>
              <w:pStyle w:val="TableParagraph"/>
              <w:spacing w:line="201" w:lineRule="exact"/>
              <w:ind w:left="62"/>
              <w:jc w:val="left"/>
              <w:rPr>
                <w:b/>
                <w:sz w:val="18"/>
              </w:rPr>
            </w:pPr>
            <w:r>
              <w:rPr>
                <w:b/>
                <w:color w:val="333333"/>
                <w:sz w:val="18"/>
              </w:rPr>
              <w:t>ZACAZONAPAN</w:t>
            </w:r>
          </w:p>
        </w:tc>
        <w:tc>
          <w:tcPr>
            <w:tcW w:w="459" w:type="dxa"/>
          </w:tcPr>
          <w:p>
            <w:pPr>
              <w:pStyle w:val="TableParagraph"/>
              <w:spacing w:line="206" w:lineRule="exact"/>
              <w:ind w:right="171"/>
              <w:jc w:val="right"/>
              <w:rPr>
                <w:sz w:val="18"/>
              </w:rPr>
            </w:pPr>
            <w:r>
              <w:rPr>
                <w:w w:val="99"/>
                <w:sz w:val="18"/>
              </w:rPr>
              <w:t>0</w:t>
            </w:r>
          </w:p>
        </w:tc>
        <w:tc>
          <w:tcPr>
            <w:tcW w:w="456" w:type="dxa"/>
          </w:tcPr>
          <w:p>
            <w:pPr>
              <w:pStyle w:val="TableParagraph"/>
              <w:spacing w:line="206" w:lineRule="exac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75" w:type="dxa"/>
          </w:tcPr>
          <w:p>
            <w:pPr>
              <w:pStyle w:val="TableParagraph"/>
              <w:spacing w:line="206" w:lineRule="exact"/>
              <w:ind w:right="181"/>
              <w:jc w:val="right"/>
              <w:rPr>
                <w:sz w:val="18"/>
              </w:rPr>
            </w:pPr>
            <w:r>
              <w:rPr>
                <w:w w:val="99"/>
                <w:sz w:val="18"/>
              </w:rPr>
              <w:t>0</w:t>
            </w:r>
          </w:p>
        </w:tc>
        <w:tc>
          <w:tcPr>
            <w:tcW w:w="476" w:type="dxa"/>
          </w:tcPr>
          <w:p>
            <w:pPr>
              <w:pStyle w:val="TableParagraph"/>
              <w:spacing w:line="206" w:lineRule="exact"/>
              <w:ind w:right="181"/>
              <w:jc w:val="right"/>
              <w:rPr>
                <w:sz w:val="18"/>
              </w:rPr>
            </w:pPr>
            <w:r>
              <w:rPr>
                <w:w w:val="99"/>
                <w:sz w:val="18"/>
              </w:rPr>
              <w:t>0</w:t>
            </w:r>
          </w:p>
        </w:tc>
      </w:tr>
      <w:tr>
        <w:trPr>
          <w:trHeight w:val="319" w:hRule="exact"/>
        </w:trPr>
        <w:tc>
          <w:tcPr>
            <w:tcW w:w="3697" w:type="dxa"/>
            <w:tcBorders>
              <w:left w:val="single" w:sz="8" w:space="0" w:color="000000"/>
            </w:tcBorders>
          </w:tcPr>
          <w:p>
            <w:pPr>
              <w:pStyle w:val="TableParagraph"/>
              <w:spacing w:line="199" w:lineRule="exact"/>
              <w:ind w:left="62"/>
              <w:jc w:val="left"/>
              <w:rPr>
                <w:b/>
                <w:sz w:val="18"/>
              </w:rPr>
            </w:pPr>
            <w:r>
              <w:rPr>
                <w:b/>
                <w:color w:val="333333"/>
                <w:sz w:val="18"/>
              </w:rPr>
              <w:t>ZACUALPAN</w:t>
            </w:r>
          </w:p>
        </w:tc>
        <w:tc>
          <w:tcPr>
            <w:tcW w:w="459" w:type="dxa"/>
          </w:tcPr>
          <w:p>
            <w:pPr>
              <w:pStyle w:val="TableParagraph"/>
              <w:spacing w:line="203" w:lineRule="exact"/>
              <w:ind w:right="171"/>
              <w:jc w:val="right"/>
              <w:rPr>
                <w:sz w:val="18"/>
              </w:rPr>
            </w:pPr>
            <w:r>
              <w:rPr>
                <w:w w:val="99"/>
                <w:sz w:val="18"/>
              </w:rPr>
              <w:t>0</w:t>
            </w:r>
          </w:p>
        </w:tc>
        <w:tc>
          <w:tcPr>
            <w:tcW w:w="456"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right="181"/>
              <w:jc w:val="right"/>
              <w:rPr>
                <w:sz w:val="18"/>
              </w:rPr>
            </w:pPr>
            <w:r>
              <w:rPr>
                <w:w w:val="99"/>
                <w:sz w:val="18"/>
              </w:rPr>
              <w:t>0</w:t>
            </w:r>
          </w:p>
        </w:tc>
        <w:tc>
          <w:tcPr>
            <w:tcW w:w="476" w:type="dxa"/>
          </w:tcPr>
          <w:p>
            <w:pPr>
              <w:pStyle w:val="TableParagraph"/>
              <w:spacing w:line="203" w:lineRule="exact"/>
              <w:ind w:right="181"/>
              <w:jc w:val="right"/>
              <w:rPr>
                <w:sz w:val="18"/>
              </w:rPr>
            </w:pPr>
            <w:r>
              <w:rPr>
                <w:w w:val="99"/>
                <w:sz w:val="18"/>
              </w:rPr>
              <w:t>0</w:t>
            </w:r>
          </w:p>
        </w:tc>
      </w:tr>
      <w:tr>
        <w:trPr>
          <w:trHeight w:val="322" w:hRule="exact"/>
        </w:trPr>
        <w:tc>
          <w:tcPr>
            <w:tcW w:w="3697" w:type="dxa"/>
            <w:tcBorders>
              <w:left w:val="single" w:sz="8" w:space="0" w:color="000000"/>
            </w:tcBorders>
          </w:tcPr>
          <w:p>
            <w:pPr>
              <w:pStyle w:val="TableParagraph"/>
              <w:spacing w:line="201" w:lineRule="exact"/>
              <w:ind w:left="62"/>
              <w:jc w:val="left"/>
              <w:rPr>
                <w:b/>
                <w:sz w:val="18"/>
              </w:rPr>
            </w:pPr>
            <w:r>
              <w:rPr>
                <w:b/>
                <w:color w:val="333333"/>
                <w:sz w:val="18"/>
              </w:rPr>
              <w:t>ZINACANTEPEC</w:t>
            </w:r>
          </w:p>
        </w:tc>
        <w:tc>
          <w:tcPr>
            <w:tcW w:w="459" w:type="dxa"/>
          </w:tcPr>
          <w:p>
            <w:pPr>
              <w:pStyle w:val="TableParagraph"/>
              <w:spacing w:line="206" w:lineRule="exact"/>
              <w:ind w:right="171"/>
              <w:jc w:val="right"/>
              <w:rPr>
                <w:sz w:val="18"/>
              </w:rPr>
            </w:pPr>
            <w:r>
              <w:rPr>
                <w:w w:val="99"/>
                <w:sz w:val="18"/>
              </w:rPr>
              <w:t>0</w:t>
            </w:r>
          </w:p>
        </w:tc>
        <w:tc>
          <w:tcPr>
            <w:tcW w:w="456" w:type="dxa"/>
          </w:tcPr>
          <w:p>
            <w:pPr>
              <w:pStyle w:val="TableParagraph"/>
              <w:spacing w:line="206" w:lineRule="exact"/>
              <w:rPr>
                <w:sz w:val="18"/>
              </w:rPr>
            </w:pPr>
            <w:r>
              <w:rPr>
                <w:w w:val="99"/>
                <w:sz w:val="18"/>
              </w:rPr>
              <w:t>1</w:t>
            </w:r>
          </w:p>
        </w:tc>
        <w:tc>
          <w:tcPr>
            <w:tcW w:w="475" w:type="dxa"/>
          </w:tcPr>
          <w:p>
            <w:pPr>
              <w:pStyle w:val="TableParagraph"/>
              <w:spacing w:line="206" w:lineRule="exact"/>
              <w:ind w:left="182"/>
              <w:jc w:val="left"/>
              <w:rPr>
                <w:sz w:val="18"/>
              </w:rPr>
            </w:pPr>
            <w:r>
              <w:rPr>
                <w:w w:val="99"/>
                <w:sz w:val="18"/>
              </w:rPr>
              <w:t>1</w:t>
            </w:r>
          </w:p>
        </w:tc>
        <w:tc>
          <w:tcPr>
            <w:tcW w:w="475" w:type="dxa"/>
          </w:tcPr>
          <w:p>
            <w:pPr>
              <w:pStyle w:val="TableParagraph"/>
              <w:spacing w:line="206" w:lineRule="exact"/>
              <w:ind w:left="60" w:right="60"/>
              <w:rPr>
                <w:sz w:val="18"/>
              </w:rPr>
            </w:pPr>
            <w:r>
              <w:rPr>
                <w:sz w:val="18"/>
              </w:rPr>
              <w:t>53</w:t>
            </w:r>
          </w:p>
        </w:tc>
        <w:tc>
          <w:tcPr>
            <w:tcW w:w="475" w:type="dxa"/>
          </w:tcPr>
          <w:p>
            <w:pPr>
              <w:pStyle w:val="TableParagraph"/>
              <w:spacing w:line="206" w:lineRule="exact"/>
              <w:ind w:right="131"/>
              <w:jc w:val="right"/>
              <w:rPr>
                <w:sz w:val="18"/>
              </w:rPr>
            </w:pPr>
            <w:r>
              <w:rPr>
                <w:w w:val="95"/>
                <w:sz w:val="18"/>
              </w:rPr>
              <w:t>16</w:t>
            </w:r>
          </w:p>
        </w:tc>
        <w:tc>
          <w:tcPr>
            <w:tcW w:w="476" w:type="dxa"/>
          </w:tcPr>
          <w:p>
            <w:pPr>
              <w:pStyle w:val="TableParagraph"/>
              <w:spacing w:line="206" w:lineRule="exact"/>
              <w:ind w:right="181"/>
              <w:jc w:val="right"/>
              <w:rPr>
                <w:sz w:val="18"/>
              </w:rPr>
            </w:pPr>
            <w:r>
              <w:rPr>
                <w:w w:val="99"/>
                <w:sz w:val="18"/>
              </w:rPr>
              <w:t>5</w:t>
            </w:r>
          </w:p>
        </w:tc>
      </w:tr>
      <w:tr>
        <w:trPr>
          <w:trHeight w:val="319" w:hRule="exact"/>
        </w:trPr>
        <w:tc>
          <w:tcPr>
            <w:tcW w:w="3697" w:type="dxa"/>
            <w:tcBorders>
              <w:left w:val="single" w:sz="8" w:space="0" w:color="000000"/>
            </w:tcBorders>
          </w:tcPr>
          <w:p>
            <w:pPr>
              <w:pStyle w:val="TableParagraph"/>
              <w:spacing w:line="199" w:lineRule="exact"/>
              <w:ind w:left="62"/>
              <w:jc w:val="left"/>
              <w:rPr>
                <w:b/>
                <w:sz w:val="18"/>
              </w:rPr>
            </w:pPr>
            <w:r>
              <w:rPr>
                <w:b/>
                <w:color w:val="333333"/>
                <w:sz w:val="18"/>
              </w:rPr>
              <w:t>ZUMPAHUACAN</w:t>
            </w:r>
          </w:p>
        </w:tc>
        <w:tc>
          <w:tcPr>
            <w:tcW w:w="459" w:type="dxa"/>
          </w:tcPr>
          <w:p>
            <w:pPr>
              <w:pStyle w:val="TableParagraph"/>
              <w:spacing w:line="203" w:lineRule="exact"/>
              <w:ind w:right="171"/>
              <w:jc w:val="right"/>
              <w:rPr>
                <w:sz w:val="18"/>
              </w:rPr>
            </w:pPr>
            <w:r>
              <w:rPr>
                <w:w w:val="99"/>
                <w:sz w:val="18"/>
              </w:rPr>
              <w:t>0</w:t>
            </w:r>
          </w:p>
        </w:tc>
        <w:tc>
          <w:tcPr>
            <w:tcW w:w="456" w:type="dxa"/>
          </w:tcPr>
          <w:p>
            <w:pPr>
              <w:pStyle w:val="TableParagraph"/>
              <w:spacing w:line="203" w:lineRule="exact"/>
              <w:rPr>
                <w:sz w:val="18"/>
              </w:rPr>
            </w:pPr>
            <w:r>
              <w:rPr>
                <w:w w:val="99"/>
                <w:sz w:val="18"/>
              </w:rPr>
              <w:t>0</w:t>
            </w:r>
          </w:p>
        </w:tc>
        <w:tc>
          <w:tcPr>
            <w:tcW w:w="475" w:type="dxa"/>
          </w:tcPr>
          <w:p>
            <w:pPr>
              <w:pStyle w:val="TableParagraph"/>
              <w:spacing w:line="203" w:lineRule="exact"/>
              <w:ind w:left="182"/>
              <w:jc w:val="left"/>
              <w:rPr>
                <w:sz w:val="18"/>
              </w:rPr>
            </w:pPr>
            <w:r>
              <w:rPr>
                <w:w w:val="99"/>
                <w:sz w:val="18"/>
              </w:rPr>
              <w:t>0</w:t>
            </w:r>
          </w:p>
        </w:tc>
        <w:tc>
          <w:tcPr>
            <w:tcW w:w="475" w:type="dxa"/>
          </w:tcPr>
          <w:p>
            <w:pPr>
              <w:pStyle w:val="TableParagraph"/>
              <w:spacing w:line="203" w:lineRule="exact"/>
              <w:rPr>
                <w:sz w:val="18"/>
              </w:rPr>
            </w:pPr>
            <w:r>
              <w:rPr>
                <w:w w:val="99"/>
                <w:sz w:val="18"/>
              </w:rPr>
              <w:t>0</w:t>
            </w:r>
          </w:p>
        </w:tc>
        <w:tc>
          <w:tcPr>
            <w:tcW w:w="475" w:type="dxa"/>
          </w:tcPr>
          <w:p>
            <w:pPr>
              <w:pStyle w:val="TableParagraph"/>
              <w:spacing w:line="203" w:lineRule="exact"/>
              <w:ind w:right="181"/>
              <w:jc w:val="right"/>
              <w:rPr>
                <w:sz w:val="18"/>
              </w:rPr>
            </w:pPr>
            <w:r>
              <w:rPr>
                <w:w w:val="99"/>
                <w:sz w:val="18"/>
              </w:rPr>
              <w:t>0</w:t>
            </w:r>
          </w:p>
        </w:tc>
        <w:tc>
          <w:tcPr>
            <w:tcW w:w="476" w:type="dxa"/>
          </w:tcPr>
          <w:p>
            <w:pPr>
              <w:pStyle w:val="TableParagraph"/>
              <w:spacing w:line="203" w:lineRule="exact"/>
              <w:ind w:right="181"/>
              <w:jc w:val="right"/>
              <w:rPr>
                <w:sz w:val="18"/>
              </w:rPr>
            </w:pPr>
            <w:r>
              <w:rPr>
                <w:w w:val="99"/>
                <w:sz w:val="18"/>
              </w:rPr>
              <w:t>0</w:t>
            </w:r>
          </w:p>
        </w:tc>
      </w:tr>
      <w:tr>
        <w:trPr>
          <w:trHeight w:val="322" w:hRule="exact"/>
        </w:trPr>
        <w:tc>
          <w:tcPr>
            <w:tcW w:w="3697" w:type="dxa"/>
            <w:tcBorders>
              <w:left w:val="single" w:sz="8" w:space="0" w:color="000000"/>
            </w:tcBorders>
          </w:tcPr>
          <w:p>
            <w:pPr>
              <w:pStyle w:val="TableParagraph"/>
              <w:spacing w:line="201" w:lineRule="exact"/>
              <w:ind w:left="62"/>
              <w:jc w:val="left"/>
              <w:rPr>
                <w:b/>
                <w:sz w:val="18"/>
              </w:rPr>
            </w:pPr>
            <w:r>
              <w:rPr>
                <w:b/>
                <w:color w:val="333333"/>
                <w:sz w:val="18"/>
              </w:rPr>
              <w:t>ZUMPANGO</w:t>
            </w:r>
          </w:p>
        </w:tc>
        <w:tc>
          <w:tcPr>
            <w:tcW w:w="459" w:type="dxa"/>
          </w:tcPr>
          <w:p>
            <w:pPr>
              <w:pStyle w:val="TableParagraph"/>
              <w:spacing w:line="206" w:lineRule="exact"/>
              <w:ind w:right="171"/>
              <w:jc w:val="right"/>
              <w:rPr>
                <w:sz w:val="18"/>
              </w:rPr>
            </w:pPr>
            <w:r>
              <w:rPr>
                <w:w w:val="99"/>
                <w:sz w:val="18"/>
              </w:rPr>
              <w:t>0</w:t>
            </w:r>
          </w:p>
        </w:tc>
        <w:tc>
          <w:tcPr>
            <w:tcW w:w="456" w:type="dxa"/>
          </w:tcPr>
          <w:p>
            <w:pPr>
              <w:pStyle w:val="TableParagraph"/>
              <w:spacing w:line="206" w:lineRule="exac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75" w:type="dxa"/>
          </w:tcPr>
          <w:p>
            <w:pPr>
              <w:pStyle w:val="TableParagraph"/>
              <w:spacing w:line="206" w:lineRule="exact"/>
              <w:ind w:right="181"/>
              <w:jc w:val="right"/>
              <w:rPr>
                <w:sz w:val="18"/>
              </w:rPr>
            </w:pPr>
            <w:r>
              <w:rPr>
                <w:w w:val="99"/>
                <w:sz w:val="18"/>
              </w:rPr>
              <w:t>0</w:t>
            </w:r>
          </w:p>
        </w:tc>
        <w:tc>
          <w:tcPr>
            <w:tcW w:w="476" w:type="dxa"/>
          </w:tcPr>
          <w:p>
            <w:pPr>
              <w:pStyle w:val="TableParagraph"/>
              <w:spacing w:line="206" w:lineRule="exact"/>
              <w:ind w:right="181"/>
              <w:jc w:val="right"/>
              <w:rPr>
                <w:sz w:val="18"/>
              </w:rPr>
            </w:pPr>
            <w:r>
              <w:rPr>
                <w:w w:val="99"/>
                <w:sz w:val="18"/>
              </w:rPr>
              <w:t>0</w:t>
            </w:r>
          </w:p>
        </w:tc>
      </w:tr>
    </w:tbl>
    <w:p>
      <w:pPr>
        <w:spacing w:line="203" w:lineRule="exact" w:before="0"/>
        <w:ind w:left="1170" w:right="552" w:firstLine="0"/>
        <w:jc w:val="left"/>
        <w:rPr>
          <w:sz w:val="18"/>
        </w:rPr>
      </w:pPr>
      <w:r>
        <w:rPr>
          <w:sz w:val="18"/>
        </w:rPr>
        <w:t>Elaboración propia con datos del INFOEM.</w:t>
      </w:r>
    </w:p>
    <w:p>
      <w:pPr>
        <w:spacing w:after="0" w:line="203" w:lineRule="exact"/>
        <w:jc w:val="left"/>
        <w:rPr>
          <w:sz w:val="18"/>
        </w:rPr>
        <w:sectPr>
          <w:pgSz w:w="12240" w:h="15840"/>
          <w:pgMar w:header="0" w:footer="975" w:top="1420" w:bottom="1160" w:left="1720" w:right="1720"/>
        </w:sectPr>
      </w:pPr>
    </w:p>
    <w:p>
      <w:pPr>
        <w:pStyle w:val="BodyText"/>
        <w:rPr>
          <w:rFonts w:ascii="Times New Roman"/>
          <w:sz w:val="20"/>
        </w:rPr>
      </w:pPr>
    </w:p>
    <w:p>
      <w:pPr>
        <w:pStyle w:val="BodyText"/>
        <w:spacing w:before="10"/>
        <w:rPr>
          <w:rFonts w:ascii="Times New Roman"/>
          <w:sz w:val="28"/>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1"/>
        <w:gridCol w:w="589"/>
        <w:gridCol w:w="588"/>
        <w:gridCol w:w="456"/>
        <w:gridCol w:w="456"/>
        <w:gridCol w:w="458"/>
        <w:gridCol w:w="456"/>
        <w:gridCol w:w="458"/>
        <w:gridCol w:w="456"/>
        <w:gridCol w:w="458"/>
        <w:gridCol w:w="456"/>
        <w:gridCol w:w="456"/>
        <w:gridCol w:w="458"/>
        <w:gridCol w:w="475"/>
        <w:gridCol w:w="456"/>
        <w:gridCol w:w="459"/>
        <w:gridCol w:w="456"/>
        <w:gridCol w:w="456"/>
        <w:gridCol w:w="475"/>
      </w:tblGrid>
      <w:tr>
        <w:trPr>
          <w:trHeight w:val="319" w:hRule="exact"/>
        </w:trPr>
        <w:tc>
          <w:tcPr>
            <w:tcW w:w="11495" w:type="dxa"/>
            <w:gridSpan w:val="19"/>
            <w:shd w:val="clear" w:color="auto" w:fill="C5DFB3"/>
          </w:tcPr>
          <w:p>
            <w:pPr>
              <w:pStyle w:val="TableParagraph"/>
              <w:spacing w:line="201" w:lineRule="exact"/>
              <w:ind w:left="2426"/>
              <w:jc w:val="left"/>
              <w:rPr>
                <w:b/>
                <w:sz w:val="18"/>
              </w:rPr>
            </w:pPr>
            <w:r>
              <w:rPr>
                <w:b/>
                <w:sz w:val="18"/>
              </w:rPr>
              <w:t>Anexo 26. Municipios que publican apartado licitaciones de bienes 2010-2011</w:t>
            </w:r>
          </w:p>
        </w:tc>
      </w:tr>
      <w:tr>
        <w:trPr>
          <w:trHeight w:val="322" w:hRule="exact"/>
        </w:trPr>
        <w:tc>
          <w:tcPr>
            <w:tcW w:w="2971"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109"/>
              <w:ind w:left="1043" w:right="1037"/>
              <w:rPr>
                <w:b/>
                <w:sz w:val="18"/>
              </w:rPr>
            </w:pPr>
            <w:r>
              <w:rPr>
                <w:b/>
                <w:sz w:val="18"/>
              </w:rPr>
              <w:t>Municipio</w:t>
            </w:r>
          </w:p>
        </w:tc>
        <w:tc>
          <w:tcPr>
            <w:tcW w:w="4376" w:type="dxa"/>
            <w:gridSpan w:val="9"/>
            <w:shd w:val="clear" w:color="auto" w:fill="C5DFB3"/>
          </w:tcPr>
          <w:p>
            <w:pPr>
              <w:pStyle w:val="TableParagraph"/>
              <w:spacing w:line="201" w:lineRule="exact"/>
              <w:ind w:left="1964" w:right="1962"/>
              <w:rPr>
                <w:b/>
                <w:sz w:val="18"/>
              </w:rPr>
            </w:pPr>
            <w:r>
              <w:rPr>
                <w:b/>
                <w:sz w:val="18"/>
              </w:rPr>
              <w:t>2010</w:t>
            </w:r>
          </w:p>
        </w:tc>
        <w:tc>
          <w:tcPr>
            <w:tcW w:w="4148" w:type="dxa"/>
            <w:gridSpan w:val="9"/>
            <w:shd w:val="clear" w:color="auto" w:fill="C5DFB3"/>
          </w:tcPr>
          <w:p>
            <w:pPr>
              <w:pStyle w:val="TableParagraph"/>
              <w:spacing w:line="201" w:lineRule="exact"/>
              <w:ind w:left="1848" w:right="1848"/>
              <w:rPr>
                <w:b/>
                <w:sz w:val="18"/>
              </w:rPr>
            </w:pPr>
            <w:r>
              <w:rPr>
                <w:b/>
                <w:sz w:val="18"/>
              </w:rPr>
              <w:t>2011</w:t>
            </w:r>
          </w:p>
        </w:tc>
      </w:tr>
      <w:tr>
        <w:trPr>
          <w:trHeight w:val="1885" w:hRule="exact"/>
        </w:trPr>
        <w:tc>
          <w:tcPr>
            <w:tcW w:w="2971" w:type="dxa"/>
            <w:vMerge/>
            <w:shd w:val="clear" w:color="auto" w:fill="C5DFB3"/>
          </w:tcPr>
          <w:p>
            <w:pPr/>
          </w:p>
        </w:tc>
        <w:tc>
          <w:tcPr>
            <w:tcW w:w="589" w:type="dxa"/>
            <w:shd w:val="clear" w:color="auto" w:fill="C5DFB3"/>
            <w:textDirection w:val="btLr"/>
          </w:tcPr>
          <w:p>
            <w:pPr>
              <w:pStyle w:val="TableParagraph"/>
              <w:spacing w:before="10"/>
              <w:jc w:val="left"/>
              <w:rPr>
                <w:rFonts w:ascii="Times New Roman"/>
                <w:sz w:val="16"/>
              </w:rPr>
            </w:pPr>
          </w:p>
          <w:p>
            <w:pPr>
              <w:pStyle w:val="TableParagraph"/>
              <w:ind w:left="-1"/>
              <w:jc w:val="left"/>
              <w:rPr>
                <w:b/>
                <w:sz w:val="18"/>
              </w:rPr>
            </w:pPr>
            <w:r>
              <w:rPr>
                <w:b/>
                <w:w w:val="100"/>
                <w:sz w:val="18"/>
              </w:rPr>
              <w:t>Li</w:t>
            </w:r>
            <w:r>
              <w:rPr>
                <w:b/>
                <w:w w:val="99"/>
                <w:sz w:val="18"/>
              </w:rPr>
              <w:t>c</w:t>
            </w:r>
            <w:r>
              <w:rPr>
                <w:b/>
                <w:w w:val="100"/>
                <w:sz w:val="18"/>
              </w:rPr>
              <w:t>it.</w:t>
            </w:r>
            <w:r>
              <w:rPr>
                <w:b/>
                <w:sz w:val="18"/>
              </w:rPr>
              <w:t> </w:t>
            </w:r>
            <w:r>
              <w:rPr>
                <w:b/>
                <w:w w:val="100"/>
                <w:sz w:val="18"/>
              </w:rPr>
              <w:t>Pu</w:t>
            </w:r>
            <w:r>
              <w:rPr>
                <w:b/>
                <w:spacing w:val="-2"/>
                <w:w w:val="100"/>
                <w:sz w:val="18"/>
              </w:rPr>
              <w:t>b</w:t>
            </w:r>
            <w:r>
              <w:rPr>
                <w:b/>
                <w:w w:val="100"/>
                <w:sz w:val="18"/>
              </w:rPr>
              <w:t>l</w:t>
            </w:r>
          </w:p>
        </w:tc>
        <w:tc>
          <w:tcPr>
            <w:tcW w:w="588" w:type="dxa"/>
            <w:shd w:val="clear" w:color="auto" w:fill="C5DFB3"/>
            <w:textDirection w:val="btLr"/>
          </w:tcPr>
          <w:p>
            <w:pPr>
              <w:pStyle w:val="TableParagraph"/>
              <w:spacing w:before="9"/>
              <w:jc w:val="left"/>
              <w:rPr>
                <w:rFonts w:ascii="Times New Roman"/>
                <w:sz w:val="16"/>
              </w:rPr>
            </w:pPr>
          </w:p>
          <w:p>
            <w:pPr>
              <w:pStyle w:val="TableParagraph"/>
              <w:ind w:left="-1"/>
              <w:jc w:val="left"/>
              <w:rPr>
                <w:b/>
                <w:sz w:val="18"/>
              </w:rPr>
            </w:pPr>
            <w:r>
              <w:rPr>
                <w:b/>
                <w:w w:val="100"/>
                <w:sz w:val="18"/>
              </w:rPr>
              <w:t>In</w:t>
            </w:r>
            <w:r>
              <w:rPr>
                <w:b/>
                <w:w w:val="99"/>
                <w:sz w:val="18"/>
              </w:rPr>
              <w:t>v</w:t>
            </w:r>
            <w:r>
              <w:rPr>
                <w:b/>
                <w:w w:val="100"/>
                <w:sz w:val="18"/>
              </w:rPr>
              <w:t>.</w:t>
            </w:r>
            <w:r>
              <w:rPr>
                <w:b/>
                <w:sz w:val="18"/>
              </w:rPr>
              <w:t> </w:t>
            </w:r>
            <w:r>
              <w:rPr>
                <w:b/>
                <w:w w:val="99"/>
                <w:sz w:val="18"/>
              </w:rPr>
              <w:t>Rest</w:t>
            </w:r>
            <w:r>
              <w:rPr>
                <w:b/>
                <w:spacing w:val="1"/>
                <w:w w:val="99"/>
                <w:sz w:val="18"/>
              </w:rPr>
              <w:t>r</w:t>
            </w:r>
            <w:r>
              <w:rPr>
                <w:b/>
                <w:w w:val="100"/>
                <w:sz w:val="18"/>
              </w:rPr>
              <w:t>.</w:t>
            </w:r>
          </w:p>
        </w:tc>
        <w:tc>
          <w:tcPr>
            <w:tcW w:w="456" w:type="dxa"/>
            <w:shd w:val="clear" w:color="auto" w:fill="C5DFB3"/>
            <w:textDirection w:val="btLr"/>
          </w:tcPr>
          <w:p>
            <w:pPr>
              <w:pStyle w:val="TableParagraph"/>
              <w:spacing w:before="64"/>
              <w:ind w:left="-1"/>
              <w:jc w:val="left"/>
              <w:rPr>
                <w:b/>
                <w:sz w:val="18"/>
              </w:rPr>
            </w:pPr>
            <w:r>
              <w:rPr>
                <w:b/>
                <w:w w:val="100"/>
                <w:sz w:val="18"/>
              </w:rPr>
              <w:t>Adj.</w:t>
            </w:r>
            <w:r>
              <w:rPr>
                <w:b/>
                <w:sz w:val="18"/>
              </w:rPr>
              <w:t> </w:t>
            </w:r>
            <w:r>
              <w:rPr>
                <w:b/>
                <w:w w:val="99"/>
                <w:sz w:val="18"/>
              </w:rPr>
              <w:t>Dire</w:t>
            </w:r>
            <w:r>
              <w:rPr>
                <w:b/>
                <w:w w:val="99"/>
                <w:sz w:val="18"/>
              </w:rPr>
              <w:t>c</w:t>
            </w:r>
            <w:r>
              <w:rPr>
                <w:b/>
                <w:w w:val="100"/>
                <w:sz w:val="18"/>
              </w:rPr>
              <w:t>t.</w:t>
            </w:r>
          </w:p>
        </w:tc>
        <w:tc>
          <w:tcPr>
            <w:tcW w:w="456" w:type="dxa"/>
            <w:shd w:val="clear" w:color="auto" w:fill="C5DFB3"/>
            <w:textDirection w:val="btLr"/>
          </w:tcPr>
          <w:p>
            <w:pPr>
              <w:pStyle w:val="TableParagraph"/>
              <w:spacing w:before="66"/>
              <w:ind w:left="-1"/>
              <w:jc w:val="left"/>
              <w:rPr>
                <w:b/>
                <w:sz w:val="18"/>
              </w:rPr>
            </w:pPr>
            <w:r>
              <w:rPr>
                <w:b/>
                <w:w w:val="100"/>
                <w:sz w:val="18"/>
              </w:rPr>
              <w:t>Adq.</w:t>
            </w:r>
            <w:r>
              <w:rPr>
                <w:b/>
                <w:sz w:val="18"/>
              </w:rPr>
              <w:t> </w:t>
            </w:r>
            <w:r>
              <w:rPr>
                <w:b/>
                <w:w w:val="99"/>
                <w:sz w:val="18"/>
              </w:rPr>
              <w:t>Dire</w:t>
            </w:r>
            <w:r>
              <w:rPr>
                <w:b/>
                <w:w w:val="99"/>
                <w:sz w:val="18"/>
              </w:rPr>
              <w:t>c</w:t>
            </w:r>
            <w:r>
              <w:rPr>
                <w:b/>
                <w:w w:val="99"/>
                <w:sz w:val="18"/>
              </w:rPr>
              <w:t>t</w:t>
            </w:r>
          </w:p>
        </w:tc>
        <w:tc>
          <w:tcPr>
            <w:tcW w:w="458" w:type="dxa"/>
            <w:shd w:val="clear" w:color="auto" w:fill="C5DFB3"/>
            <w:textDirection w:val="btLr"/>
          </w:tcPr>
          <w:p>
            <w:pPr>
              <w:pStyle w:val="TableParagraph"/>
              <w:spacing w:before="66"/>
              <w:ind w:left="-1"/>
              <w:jc w:val="left"/>
              <w:rPr>
                <w:b/>
                <w:sz w:val="18"/>
              </w:rPr>
            </w:pPr>
            <w:r>
              <w:rPr>
                <w:b/>
                <w:w w:val="100"/>
                <w:sz w:val="18"/>
              </w:rPr>
              <w:t>In</w:t>
            </w:r>
            <w:r>
              <w:rPr>
                <w:b/>
                <w:w w:val="99"/>
                <w:sz w:val="18"/>
              </w:rPr>
              <w:t>v</w:t>
            </w:r>
            <w:r>
              <w:rPr>
                <w:b/>
                <w:w w:val="100"/>
                <w:sz w:val="18"/>
              </w:rPr>
              <w:t>.</w:t>
            </w:r>
            <w:r>
              <w:rPr>
                <w:b/>
                <w:sz w:val="18"/>
              </w:rPr>
              <w:t> </w:t>
            </w:r>
            <w:r>
              <w:rPr>
                <w:b/>
                <w:w w:val="99"/>
                <w:sz w:val="18"/>
              </w:rPr>
              <w:t>A</w:t>
            </w:r>
            <w:r>
              <w:rPr>
                <w:b/>
                <w:sz w:val="18"/>
              </w:rPr>
              <w:t> </w:t>
            </w:r>
            <w:r>
              <w:rPr>
                <w:b/>
                <w:w w:val="99"/>
                <w:sz w:val="18"/>
              </w:rPr>
              <w:t>3</w:t>
            </w:r>
            <w:r>
              <w:rPr>
                <w:b/>
                <w:spacing w:val="-2"/>
                <w:sz w:val="18"/>
              </w:rPr>
              <w:t> </w:t>
            </w:r>
            <w:r>
              <w:rPr>
                <w:b/>
                <w:sz w:val="18"/>
              </w:rPr>
              <w:t>perso</w:t>
            </w:r>
            <w:r>
              <w:rPr>
                <w:b/>
                <w:spacing w:val="-2"/>
                <w:w w:val="100"/>
                <w:sz w:val="18"/>
              </w:rPr>
              <w:t>n</w:t>
            </w:r>
            <w:r>
              <w:rPr>
                <w:b/>
                <w:w w:val="99"/>
                <w:sz w:val="18"/>
              </w:rPr>
              <w:t>as</w:t>
            </w:r>
          </w:p>
        </w:tc>
        <w:tc>
          <w:tcPr>
            <w:tcW w:w="456" w:type="dxa"/>
            <w:shd w:val="clear" w:color="auto" w:fill="C5DFB3"/>
            <w:textDirection w:val="btLr"/>
          </w:tcPr>
          <w:p>
            <w:pPr>
              <w:pStyle w:val="TableParagraph"/>
              <w:spacing w:before="64"/>
              <w:ind w:left="-1"/>
              <w:jc w:val="left"/>
              <w:rPr>
                <w:b/>
                <w:sz w:val="18"/>
              </w:rPr>
            </w:pPr>
            <w:r>
              <w:rPr>
                <w:b/>
                <w:w w:val="99"/>
                <w:sz w:val="18"/>
              </w:rPr>
              <w:t>Compra</w:t>
            </w:r>
            <w:r>
              <w:rPr>
                <w:b/>
                <w:w w:val="99"/>
                <w:sz w:val="18"/>
              </w:rPr>
              <w:t>s</w:t>
            </w:r>
            <w:r>
              <w:rPr>
                <w:b/>
                <w:sz w:val="18"/>
              </w:rPr>
              <w:t> </w:t>
            </w:r>
            <w:r>
              <w:rPr>
                <w:b/>
                <w:spacing w:val="-2"/>
                <w:w w:val="99"/>
                <w:sz w:val="18"/>
              </w:rPr>
              <w:t>m</w:t>
            </w:r>
            <w:r>
              <w:rPr>
                <w:b/>
                <w:w w:val="99"/>
                <w:sz w:val="18"/>
              </w:rPr>
              <w:t>e</w:t>
            </w:r>
            <w:r>
              <w:rPr>
                <w:b/>
                <w:w w:val="100"/>
                <w:sz w:val="18"/>
              </w:rPr>
              <w:t>no</w:t>
            </w:r>
            <w:r>
              <w:rPr>
                <w:b/>
                <w:w w:val="99"/>
                <w:sz w:val="18"/>
              </w:rPr>
              <w:t>res</w:t>
            </w:r>
          </w:p>
        </w:tc>
        <w:tc>
          <w:tcPr>
            <w:tcW w:w="458" w:type="dxa"/>
            <w:shd w:val="clear" w:color="auto" w:fill="C5DFB3"/>
            <w:textDirection w:val="btLr"/>
          </w:tcPr>
          <w:p>
            <w:pPr>
              <w:pStyle w:val="TableParagraph"/>
              <w:spacing w:before="66"/>
              <w:ind w:left="-1"/>
              <w:jc w:val="left"/>
              <w:rPr>
                <w:b/>
                <w:sz w:val="18"/>
              </w:rPr>
            </w:pPr>
            <w:r>
              <w:rPr>
                <w:b/>
                <w:w w:val="100"/>
                <w:sz w:val="18"/>
              </w:rPr>
              <w:t>Cont</w:t>
            </w:r>
            <w:r>
              <w:rPr>
                <w:b/>
                <w:w w:val="99"/>
                <w:sz w:val="18"/>
              </w:rPr>
              <w:t>rato </w:t>
            </w:r>
            <w:r>
              <w:rPr>
                <w:b/>
                <w:w w:val="100"/>
                <w:sz w:val="18"/>
              </w:rPr>
              <w:t>p</w:t>
            </w:r>
            <w:r>
              <w:rPr>
                <w:b/>
                <w:w w:val="99"/>
                <w:sz w:val="18"/>
              </w:rPr>
              <w:t>e</w:t>
            </w:r>
            <w:r>
              <w:rPr>
                <w:b/>
                <w:w w:val="100"/>
                <w:sz w:val="18"/>
              </w:rPr>
              <w:t>d</w:t>
            </w:r>
            <w:r>
              <w:rPr>
                <w:b/>
                <w:spacing w:val="-2"/>
                <w:w w:val="100"/>
                <w:sz w:val="18"/>
              </w:rPr>
              <w:t>i</w:t>
            </w:r>
            <w:r>
              <w:rPr>
                <w:b/>
                <w:w w:val="100"/>
                <w:sz w:val="18"/>
              </w:rPr>
              <w:t>do</w:t>
            </w:r>
          </w:p>
        </w:tc>
        <w:tc>
          <w:tcPr>
            <w:tcW w:w="456" w:type="dxa"/>
            <w:shd w:val="clear" w:color="auto" w:fill="C5DFB3"/>
            <w:textDirection w:val="btLr"/>
          </w:tcPr>
          <w:p>
            <w:pPr>
              <w:pStyle w:val="TableParagraph"/>
              <w:spacing w:before="64"/>
              <w:ind w:left="-1"/>
              <w:jc w:val="left"/>
              <w:rPr>
                <w:b/>
                <w:sz w:val="18"/>
              </w:rPr>
            </w:pPr>
            <w:r>
              <w:rPr>
                <w:b/>
                <w:w w:val="99"/>
                <w:sz w:val="18"/>
              </w:rPr>
              <w:t>Compra</w:t>
            </w:r>
            <w:r>
              <w:rPr>
                <w:b/>
                <w:w w:val="99"/>
                <w:sz w:val="18"/>
              </w:rPr>
              <w:t>s</w:t>
            </w:r>
            <w:r>
              <w:rPr>
                <w:b/>
                <w:sz w:val="18"/>
              </w:rPr>
              <w:t> </w:t>
            </w:r>
            <w:r>
              <w:rPr>
                <w:b/>
                <w:spacing w:val="-2"/>
                <w:w w:val="99"/>
                <w:sz w:val="18"/>
              </w:rPr>
              <w:t>s</w:t>
            </w:r>
            <w:r>
              <w:rPr>
                <w:b/>
                <w:w w:val="100"/>
                <w:sz w:val="18"/>
              </w:rPr>
              <w:t>olid</w:t>
            </w:r>
            <w:r>
              <w:rPr>
                <w:b/>
                <w:w w:val="99"/>
                <w:sz w:val="18"/>
              </w:rPr>
              <w:t>a</w:t>
            </w:r>
            <w:r>
              <w:rPr>
                <w:b/>
                <w:w w:val="100"/>
                <w:sz w:val="18"/>
              </w:rPr>
              <w:t>r</w:t>
            </w:r>
            <w:r>
              <w:rPr>
                <w:b/>
                <w:spacing w:val="-3"/>
                <w:w w:val="100"/>
                <w:sz w:val="18"/>
              </w:rPr>
              <w:t>i</w:t>
            </w:r>
            <w:r>
              <w:rPr>
                <w:b/>
                <w:w w:val="99"/>
                <w:sz w:val="18"/>
              </w:rPr>
              <w:t>as</w:t>
            </w:r>
          </w:p>
        </w:tc>
        <w:tc>
          <w:tcPr>
            <w:tcW w:w="458" w:type="dxa"/>
            <w:shd w:val="clear" w:color="auto" w:fill="C5DFB3"/>
            <w:textDirection w:val="btLr"/>
          </w:tcPr>
          <w:p>
            <w:pPr>
              <w:pStyle w:val="TableParagraph"/>
              <w:spacing w:before="66"/>
              <w:ind w:left="-1"/>
              <w:jc w:val="left"/>
              <w:rPr>
                <w:b/>
                <w:sz w:val="18"/>
              </w:rPr>
            </w:pPr>
            <w:r>
              <w:rPr>
                <w:b/>
                <w:w w:val="100"/>
                <w:sz w:val="18"/>
              </w:rPr>
              <w:t>To</w:t>
            </w:r>
            <w:r>
              <w:rPr>
                <w:b/>
                <w:w w:val="99"/>
                <w:sz w:val="18"/>
              </w:rPr>
              <w:t>ta</w:t>
            </w:r>
            <w:r>
              <w:rPr>
                <w:b/>
                <w:w w:val="100"/>
                <w:sz w:val="18"/>
              </w:rPr>
              <w:t>l</w:t>
            </w:r>
          </w:p>
        </w:tc>
        <w:tc>
          <w:tcPr>
            <w:tcW w:w="456" w:type="dxa"/>
            <w:shd w:val="clear" w:color="auto" w:fill="C5DFB3"/>
            <w:textDirection w:val="btLr"/>
          </w:tcPr>
          <w:p>
            <w:pPr>
              <w:pStyle w:val="TableParagraph"/>
              <w:spacing w:before="64"/>
              <w:ind w:left="-1"/>
              <w:jc w:val="left"/>
              <w:rPr>
                <w:b/>
                <w:sz w:val="18"/>
              </w:rPr>
            </w:pPr>
            <w:r>
              <w:rPr>
                <w:b/>
                <w:w w:val="100"/>
                <w:sz w:val="18"/>
              </w:rPr>
              <w:t>Li</w:t>
            </w:r>
            <w:r>
              <w:rPr>
                <w:b/>
                <w:w w:val="99"/>
                <w:sz w:val="18"/>
              </w:rPr>
              <w:t>c</w:t>
            </w:r>
            <w:r>
              <w:rPr>
                <w:b/>
                <w:w w:val="100"/>
                <w:sz w:val="18"/>
              </w:rPr>
              <w:t>it.</w:t>
            </w:r>
            <w:r>
              <w:rPr>
                <w:b/>
                <w:sz w:val="18"/>
              </w:rPr>
              <w:t> </w:t>
            </w:r>
            <w:r>
              <w:rPr>
                <w:b/>
                <w:w w:val="100"/>
                <w:sz w:val="18"/>
              </w:rPr>
              <w:t>Pu</w:t>
            </w:r>
            <w:r>
              <w:rPr>
                <w:b/>
                <w:spacing w:val="-2"/>
                <w:w w:val="100"/>
                <w:sz w:val="18"/>
              </w:rPr>
              <w:t>b</w:t>
            </w:r>
            <w:r>
              <w:rPr>
                <w:b/>
                <w:w w:val="100"/>
                <w:sz w:val="18"/>
              </w:rPr>
              <w:t>l</w:t>
            </w:r>
          </w:p>
        </w:tc>
        <w:tc>
          <w:tcPr>
            <w:tcW w:w="456" w:type="dxa"/>
            <w:shd w:val="clear" w:color="auto" w:fill="C5DFB3"/>
            <w:textDirection w:val="btLr"/>
          </w:tcPr>
          <w:p>
            <w:pPr>
              <w:pStyle w:val="TableParagraph"/>
              <w:spacing w:before="64"/>
              <w:ind w:left="-1"/>
              <w:jc w:val="left"/>
              <w:rPr>
                <w:b/>
                <w:sz w:val="18"/>
              </w:rPr>
            </w:pPr>
            <w:r>
              <w:rPr>
                <w:b/>
                <w:w w:val="100"/>
                <w:sz w:val="18"/>
              </w:rPr>
              <w:t>In</w:t>
            </w:r>
            <w:r>
              <w:rPr>
                <w:b/>
                <w:w w:val="99"/>
                <w:sz w:val="18"/>
              </w:rPr>
              <w:t>v</w:t>
            </w:r>
            <w:r>
              <w:rPr>
                <w:b/>
                <w:w w:val="100"/>
                <w:sz w:val="18"/>
              </w:rPr>
              <w:t>.</w:t>
            </w:r>
            <w:r>
              <w:rPr>
                <w:b/>
                <w:sz w:val="18"/>
              </w:rPr>
              <w:t> </w:t>
            </w:r>
            <w:r>
              <w:rPr>
                <w:b/>
                <w:w w:val="99"/>
                <w:sz w:val="18"/>
              </w:rPr>
              <w:t>Res</w:t>
            </w:r>
            <w:r>
              <w:rPr>
                <w:b/>
                <w:sz w:val="18"/>
              </w:rPr>
              <w:t>tr.</w:t>
            </w:r>
          </w:p>
        </w:tc>
        <w:tc>
          <w:tcPr>
            <w:tcW w:w="458" w:type="dxa"/>
            <w:shd w:val="clear" w:color="auto" w:fill="C5DFB3"/>
            <w:textDirection w:val="btLr"/>
          </w:tcPr>
          <w:p>
            <w:pPr>
              <w:pStyle w:val="TableParagraph"/>
              <w:spacing w:before="66"/>
              <w:ind w:left="-1"/>
              <w:jc w:val="left"/>
              <w:rPr>
                <w:b/>
                <w:sz w:val="18"/>
              </w:rPr>
            </w:pPr>
            <w:r>
              <w:rPr>
                <w:b/>
                <w:w w:val="100"/>
                <w:sz w:val="18"/>
              </w:rPr>
              <w:t>Adj.</w:t>
            </w:r>
            <w:r>
              <w:rPr>
                <w:b/>
                <w:sz w:val="18"/>
              </w:rPr>
              <w:t> </w:t>
            </w:r>
            <w:r>
              <w:rPr>
                <w:b/>
                <w:w w:val="99"/>
                <w:sz w:val="18"/>
              </w:rPr>
              <w:t>Dire</w:t>
            </w:r>
            <w:r>
              <w:rPr>
                <w:b/>
                <w:w w:val="99"/>
                <w:sz w:val="18"/>
              </w:rPr>
              <w:t>c</w:t>
            </w:r>
            <w:r>
              <w:rPr>
                <w:b/>
                <w:w w:val="100"/>
                <w:sz w:val="18"/>
              </w:rPr>
              <w:t>t.</w:t>
            </w:r>
          </w:p>
        </w:tc>
        <w:tc>
          <w:tcPr>
            <w:tcW w:w="475" w:type="dxa"/>
            <w:shd w:val="clear" w:color="auto" w:fill="C5DFB3"/>
            <w:textDirection w:val="btLr"/>
          </w:tcPr>
          <w:p>
            <w:pPr>
              <w:pStyle w:val="TableParagraph"/>
              <w:spacing w:before="80"/>
              <w:ind w:left="-1"/>
              <w:jc w:val="left"/>
              <w:rPr>
                <w:b/>
                <w:sz w:val="18"/>
              </w:rPr>
            </w:pPr>
            <w:r>
              <w:rPr>
                <w:b/>
                <w:w w:val="100"/>
                <w:sz w:val="18"/>
              </w:rPr>
              <w:t>Adq.</w:t>
            </w:r>
            <w:r>
              <w:rPr>
                <w:b/>
                <w:sz w:val="18"/>
              </w:rPr>
              <w:t> </w:t>
            </w:r>
            <w:r>
              <w:rPr>
                <w:b/>
                <w:w w:val="99"/>
                <w:sz w:val="18"/>
              </w:rPr>
              <w:t>Dire</w:t>
            </w:r>
            <w:r>
              <w:rPr>
                <w:b/>
                <w:w w:val="99"/>
                <w:sz w:val="18"/>
              </w:rPr>
              <w:t>c</w:t>
            </w:r>
            <w:r>
              <w:rPr>
                <w:b/>
                <w:w w:val="99"/>
                <w:sz w:val="18"/>
              </w:rPr>
              <w:t>t</w:t>
            </w:r>
          </w:p>
        </w:tc>
        <w:tc>
          <w:tcPr>
            <w:tcW w:w="456" w:type="dxa"/>
            <w:shd w:val="clear" w:color="auto" w:fill="C5DFB3"/>
            <w:textDirection w:val="btLr"/>
          </w:tcPr>
          <w:p>
            <w:pPr>
              <w:pStyle w:val="TableParagraph"/>
              <w:spacing w:before="64"/>
              <w:ind w:left="-1"/>
              <w:jc w:val="left"/>
              <w:rPr>
                <w:b/>
                <w:sz w:val="18"/>
              </w:rPr>
            </w:pPr>
            <w:r>
              <w:rPr>
                <w:b/>
                <w:w w:val="100"/>
                <w:sz w:val="18"/>
              </w:rPr>
              <w:t>In</w:t>
            </w:r>
            <w:r>
              <w:rPr>
                <w:b/>
                <w:w w:val="99"/>
                <w:sz w:val="18"/>
              </w:rPr>
              <w:t>v</w:t>
            </w:r>
            <w:r>
              <w:rPr>
                <w:b/>
                <w:w w:val="100"/>
                <w:sz w:val="18"/>
              </w:rPr>
              <w:t>.</w:t>
            </w:r>
            <w:r>
              <w:rPr>
                <w:b/>
                <w:sz w:val="18"/>
              </w:rPr>
              <w:t> </w:t>
            </w:r>
            <w:r>
              <w:rPr>
                <w:b/>
                <w:w w:val="99"/>
                <w:sz w:val="18"/>
              </w:rPr>
              <w:t>A</w:t>
            </w:r>
            <w:r>
              <w:rPr>
                <w:b/>
                <w:sz w:val="18"/>
              </w:rPr>
              <w:t> </w:t>
            </w:r>
            <w:r>
              <w:rPr>
                <w:b/>
                <w:w w:val="99"/>
                <w:sz w:val="18"/>
              </w:rPr>
              <w:t>3</w:t>
            </w:r>
            <w:r>
              <w:rPr>
                <w:b/>
                <w:spacing w:val="-2"/>
                <w:sz w:val="18"/>
              </w:rPr>
              <w:t> </w:t>
            </w:r>
            <w:r>
              <w:rPr>
                <w:b/>
                <w:sz w:val="18"/>
              </w:rPr>
              <w:t>perso</w:t>
            </w:r>
            <w:r>
              <w:rPr>
                <w:b/>
                <w:spacing w:val="-2"/>
                <w:w w:val="100"/>
                <w:sz w:val="18"/>
              </w:rPr>
              <w:t>n</w:t>
            </w:r>
            <w:r>
              <w:rPr>
                <w:b/>
                <w:w w:val="99"/>
                <w:sz w:val="18"/>
              </w:rPr>
              <w:t>as</w:t>
            </w:r>
          </w:p>
        </w:tc>
        <w:tc>
          <w:tcPr>
            <w:tcW w:w="459" w:type="dxa"/>
            <w:shd w:val="clear" w:color="auto" w:fill="C5DFB3"/>
            <w:textDirection w:val="btLr"/>
          </w:tcPr>
          <w:p>
            <w:pPr>
              <w:pStyle w:val="TableParagraph"/>
              <w:spacing w:before="66"/>
              <w:ind w:left="-1"/>
              <w:jc w:val="left"/>
              <w:rPr>
                <w:b/>
                <w:sz w:val="18"/>
              </w:rPr>
            </w:pPr>
            <w:r>
              <w:rPr>
                <w:b/>
                <w:w w:val="99"/>
                <w:sz w:val="18"/>
              </w:rPr>
              <w:t>Compra</w:t>
            </w:r>
            <w:r>
              <w:rPr>
                <w:b/>
                <w:w w:val="99"/>
                <w:sz w:val="18"/>
              </w:rPr>
              <w:t>s</w:t>
            </w:r>
            <w:r>
              <w:rPr>
                <w:b/>
                <w:sz w:val="18"/>
              </w:rPr>
              <w:t> </w:t>
            </w:r>
            <w:r>
              <w:rPr>
                <w:b/>
                <w:spacing w:val="-2"/>
                <w:w w:val="99"/>
                <w:sz w:val="18"/>
              </w:rPr>
              <w:t>m</w:t>
            </w:r>
            <w:r>
              <w:rPr>
                <w:b/>
                <w:w w:val="99"/>
                <w:sz w:val="18"/>
              </w:rPr>
              <w:t>e</w:t>
            </w:r>
            <w:r>
              <w:rPr>
                <w:b/>
                <w:w w:val="100"/>
                <w:sz w:val="18"/>
              </w:rPr>
              <w:t>no</w:t>
            </w:r>
            <w:r>
              <w:rPr>
                <w:b/>
                <w:w w:val="99"/>
                <w:sz w:val="18"/>
              </w:rPr>
              <w:t>res</w:t>
            </w:r>
          </w:p>
        </w:tc>
        <w:tc>
          <w:tcPr>
            <w:tcW w:w="456" w:type="dxa"/>
            <w:shd w:val="clear" w:color="auto" w:fill="C5DFB3"/>
            <w:textDirection w:val="btLr"/>
          </w:tcPr>
          <w:p>
            <w:pPr>
              <w:pStyle w:val="TableParagraph"/>
              <w:spacing w:before="64"/>
              <w:ind w:left="-1"/>
              <w:jc w:val="left"/>
              <w:rPr>
                <w:b/>
                <w:sz w:val="18"/>
              </w:rPr>
            </w:pPr>
            <w:r>
              <w:rPr>
                <w:b/>
                <w:w w:val="100"/>
                <w:sz w:val="18"/>
              </w:rPr>
              <w:t>Cont</w:t>
            </w:r>
            <w:r>
              <w:rPr>
                <w:b/>
                <w:w w:val="99"/>
                <w:sz w:val="18"/>
              </w:rPr>
              <w:t>rato </w:t>
            </w:r>
            <w:r>
              <w:rPr>
                <w:b/>
                <w:w w:val="100"/>
                <w:sz w:val="18"/>
              </w:rPr>
              <w:t>p</w:t>
            </w:r>
            <w:r>
              <w:rPr>
                <w:b/>
                <w:w w:val="99"/>
                <w:sz w:val="18"/>
              </w:rPr>
              <w:t>e</w:t>
            </w:r>
            <w:r>
              <w:rPr>
                <w:b/>
                <w:w w:val="100"/>
                <w:sz w:val="18"/>
              </w:rPr>
              <w:t>d</w:t>
            </w:r>
            <w:r>
              <w:rPr>
                <w:b/>
                <w:spacing w:val="-2"/>
                <w:w w:val="100"/>
                <w:sz w:val="18"/>
              </w:rPr>
              <w:t>i</w:t>
            </w:r>
            <w:r>
              <w:rPr>
                <w:b/>
                <w:w w:val="100"/>
                <w:sz w:val="18"/>
              </w:rPr>
              <w:t>do</w:t>
            </w:r>
          </w:p>
        </w:tc>
        <w:tc>
          <w:tcPr>
            <w:tcW w:w="456" w:type="dxa"/>
            <w:shd w:val="clear" w:color="auto" w:fill="C5DFB3"/>
            <w:textDirection w:val="btLr"/>
          </w:tcPr>
          <w:p>
            <w:pPr>
              <w:pStyle w:val="TableParagraph"/>
              <w:spacing w:before="64"/>
              <w:ind w:left="-1"/>
              <w:jc w:val="left"/>
              <w:rPr>
                <w:b/>
                <w:sz w:val="18"/>
              </w:rPr>
            </w:pPr>
            <w:r>
              <w:rPr>
                <w:b/>
                <w:w w:val="99"/>
                <w:sz w:val="18"/>
              </w:rPr>
              <w:t>Compra</w:t>
            </w:r>
            <w:r>
              <w:rPr>
                <w:b/>
                <w:w w:val="99"/>
                <w:sz w:val="18"/>
              </w:rPr>
              <w:t>s</w:t>
            </w:r>
            <w:r>
              <w:rPr>
                <w:b/>
                <w:sz w:val="18"/>
              </w:rPr>
              <w:t> </w:t>
            </w:r>
            <w:r>
              <w:rPr>
                <w:b/>
                <w:spacing w:val="-2"/>
                <w:w w:val="99"/>
                <w:sz w:val="18"/>
              </w:rPr>
              <w:t>s</w:t>
            </w:r>
            <w:r>
              <w:rPr>
                <w:b/>
                <w:w w:val="100"/>
                <w:sz w:val="18"/>
              </w:rPr>
              <w:t>olid</w:t>
            </w:r>
            <w:r>
              <w:rPr>
                <w:b/>
                <w:w w:val="99"/>
                <w:sz w:val="18"/>
              </w:rPr>
              <w:t>a</w:t>
            </w:r>
            <w:r>
              <w:rPr>
                <w:b/>
                <w:w w:val="100"/>
                <w:sz w:val="18"/>
              </w:rPr>
              <w:t>r</w:t>
            </w:r>
            <w:r>
              <w:rPr>
                <w:b/>
                <w:spacing w:val="-3"/>
                <w:w w:val="100"/>
                <w:sz w:val="18"/>
              </w:rPr>
              <w:t>i</w:t>
            </w:r>
            <w:r>
              <w:rPr>
                <w:b/>
                <w:w w:val="99"/>
                <w:sz w:val="18"/>
              </w:rPr>
              <w:t>as</w:t>
            </w:r>
          </w:p>
        </w:tc>
        <w:tc>
          <w:tcPr>
            <w:tcW w:w="475" w:type="dxa"/>
            <w:shd w:val="clear" w:color="auto" w:fill="C5DFB3"/>
            <w:textDirection w:val="btLr"/>
          </w:tcPr>
          <w:p>
            <w:pPr>
              <w:pStyle w:val="TableParagraph"/>
              <w:spacing w:before="83"/>
              <w:ind w:left="-1"/>
              <w:jc w:val="left"/>
              <w:rPr>
                <w:b/>
                <w:sz w:val="18"/>
              </w:rPr>
            </w:pPr>
            <w:r>
              <w:rPr>
                <w:b/>
                <w:w w:val="100"/>
                <w:sz w:val="18"/>
              </w:rPr>
              <w:t>To</w:t>
            </w:r>
            <w:r>
              <w:rPr>
                <w:b/>
                <w:w w:val="99"/>
                <w:sz w:val="18"/>
              </w:rPr>
              <w:t>ta</w:t>
            </w:r>
            <w:r>
              <w:rPr>
                <w:b/>
                <w:w w:val="100"/>
                <w:sz w:val="18"/>
              </w:rPr>
              <w:t>l</w:t>
            </w:r>
          </w:p>
        </w:tc>
      </w:tr>
      <w:tr>
        <w:trPr>
          <w:trHeight w:val="322" w:hRule="exact"/>
        </w:trPr>
        <w:tc>
          <w:tcPr>
            <w:tcW w:w="2971" w:type="dxa"/>
            <w:tcBorders>
              <w:left w:val="single" w:sz="8" w:space="0" w:color="000000"/>
              <w:right w:val="single" w:sz="8" w:space="0" w:color="000000"/>
            </w:tcBorders>
          </w:tcPr>
          <w:p>
            <w:pPr>
              <w:pStyle w:val="TableParagraph"/>
              <w:spacing w:line="201" w:lineRule="exact"/>
              <w:ind w:left="62"/>
              <w:jc w:val="left"/>
              <w:rPr>
                <w:b/>
                <w:sz w:val="18"/>
              </w:rPr>
            </w:pPr>
            <w:r>
              <w:rPr>
                <w:b/>
                <w:color w:val="333333"/>
                <w:sz w:val="18"/>
              </w:rPr>
              <w:t>ACAMBAY</w:t>
            </w:r>
          </w:p>
        </w:tc>
        <w:tc>
          <w:tcPr>
            <w:tcW w:w="589" w:type="dxa"/>
            <w:tcBorders>
              <w:left w:val="single" w:sz="8" w:space="0" w:color="000000"/>
            </w:tcBorders>
          </w:tcPr>
          <w:p>
            <w:pPr>
              <w:pStyle w:val="TableParagraph"/>
              <w:spacing w:line="206" w:lineRule="exact"/>
              <w:rPr>
                <w:sz w:val="18"/>
              </w:rPr>
            </w:pPr>
            <w:r>
              <w:rPr>
                <w:w w:val="99"/>
                <w:sz w:val="18"/>
              </w:rPr>
              <w:t>0</w:t>
            </w:r>
          </w:p>
        </w:tc>
        <w:tc>
          <w:tcPr>
            <w:tcW w:w="588" w:type="dxa"/>
          </w:tcPr>
          <w:p>
            <w:pPr>
              <w:pStyle w:val="TableParagraph"/>
              <w:spacing w:line="206" w:lineRule="exact"/>
              <w:ind w:left="1"/>
              <w:rPr>
                <w:sz w:val="18"/>
              </w:rPr>
            </w:pPr>
            <w:r>
              <w:rPr>
                <w:w w:val="99"/>
                <w:sz w:val="18"/>
              </w:rPr>
              <w:t>0</w:t>
            </w:r>
          </w:p>
        </w:tc>
        <w:tc>
          <w:tcPr>
            <w:tcW w:w="456" w:type="dxa"/>
          </w:tcPr>
          <w:p>
            <w:pPr>
              <w:pStyle w:val="TableParagraph"/>
              <w:spacing w:line="206" w:lineRule="exact"/>
              <w:rPr>
                <w:sz w:val="18"/>
              </w:rPr>
            </w:pPr>
            <w:r>
              <w:rPr>
                <w:w w:val="99"/>
                <w:sz w:val="18"/>
              </w:rPr>
              <w:t>0</w:t>
            </w:r>
          </w:p>
        </w:tc>
        <w:tc>
          <w:tcPr>
            <w:tcW w:w="456" w:type="dxa"/>
          </w:tcPr>
          <w:p>
            <w:pPr>
              <w:pStyle w:val="TableParagraph"/>
              <w:spacing w:line="206" w:lineRule="exact"/>
              <w:ind w:left="4"/>
              <w:rPr>
                <w:sz w:val="18"/>
              </w:rPr>
            </w:pPr>
            <w:r>
              <w:rPr>
                <w:w w:val="99"/>
                <w:sz w:val="18"/>
              </w:rPr>
              <w:t>0</w:t>
            </w:r>
          </w:p>
        </w:tc>
        <w:tc>
          <w:tcPr>
            <w:tcW w:w="458" w:type="dxa"/>
          </w:tcPr>
          <w:p>
            <w:pPr>
              <w:pStyle w:val="TableParagraph"/>
              <w:spacing w:line="206" w:lineRule="exact"/>
              <w:ind w:right="171"/>
              <w:jc w:val="right"/>
              <w:rPr>
                <w:sz w:val="18"/>
              </w:rPr>
            </w:pPr>
            <w:r>
              <w:rPr>
                <w:w w:val="99"/>
                <w:sz w:val="18"/>
              </w:rPr>
              <w:t>0</w:t>
            </w:r>
          </w:p>
        </w:tc>
        <w:tc>
          <w:tcPr>
            <w:tcW w:w="456" w:type="dxa"/>
          </w:tcPr>
          <w:p>
            <w:pPr>
              <w:pStyle w:val="TableParagraph"/>
              <w:spacing w:line="206" w:lineRule="exact"/>
              <w:rPr>
                <w:sz w:val="18"/>
              </w:rPr>
            </w:pPr>
            <w:r>
              <w:rPr>
                <w:w w:val="99"/>
                <w:sz w:val="18"/>
              </w:rPr>
              <w:t>0</w:t>
            </w:r>
          </w:p>
        </w:tc>
        <w:tc>
          <w:tcPr>
            <w:tcW w:w="458" w:type="dxa"/>
          </w:tcPr>
          <w:p>
            <w:pPr>
              <w:pStyle w:val="TableParagraph"/>
              <w:spacing w:line="206" w:lineRule="exact"/>
              <w:ind w:left="175"/>
              <w:jc w:val="left"/>
              <w:rPr>
                <w:sz w:val="18"/>
              </w:rPr>
            </w:pPr>
            <w:r>
              <w:rPr>
                <w:w w:val="99"/>
                <w:sz w:val="18"/>
              </w:rPr>
              <w:t>0</w:t>
            </w:r>
          </w:p>
        </w:tc>
        <w:tc>
          <w:tcPr>
            <w:tcW w:w="456" w:type="dxa"/>
          </w:tcPr>
          <w:p>
            <w:pPr>
              <w:pStyle w:val="TableParagraph"/>
              <w:spacing w:line="206" w:lineRule="exact"/>
              <w:rPr>
                <w:sz w:val="18"/>
              </w:rPr>
            </w:pPr>
            <w:r>
              <w:rPr>
                <w:w w:val="99"/>
                <w:sz w:val="18"/>
              </w:rPr>
              <w:t>0</w:t>
            </w:r>
          </w:p>
        </w:tc>
        <w:tc>
          <w:tcPr>
            <w:tcW w:w="458" w:type="dxa"/>
          </w:tcPr>
          <w:p>
            <w:pPr>
              <w:pStyle w:val="TableParagraph"/>
              <w:spacing w:line="206" w:lineRule="exact"/>
              <w:ind w:left="1"/>
              <w:rPr>
                <w:sz w:val="18"/>
              </w:rPr>
            </w:pPr>
            <w:r>
              <w:rPr>
                <w:w w:val="99"/>
                <w:sz w:val="18"/>
              </w:rPr>
              <w:t>0</w:t>
            </w:r>
          </w:p>
        </w:tc>
        <w:tc>
          <w:tcPr>
            <w:tcW w:w="456" w:type="dxa"/>
          </w:tcPr>
          <w:p>
            <w:pPr>
              <w:pStyle w:val="TableParagraph"/>
              <w:spacing w:line="206" w:lineRule="exact"/>
              <w:ind w:left="172"/>
              <w:jc w:val="left"/>
              <w:rPr>
                <w:sz w:val="18"/>
              </w:rPr>
            </w:pPr>
            <w:r>
              <w:rPr>
                <w:w w:val="99"/>
                <w:sz w:val="18"/>
              </w:rPr>
              <w:t>0</w:t>
            </w:r>
          </w:p>
        </w:tc>
        <w:tc>
          <w:tcPr>
            <w:tcW w:w="456" w:type="dxa"/>
          </w:tcPr>
          <w:p>
            <w:pPr>
              <w:pStyle w:val="TableParagraph"/>
              <w:spacing w:line="206" w:lineRule="exact"/>
              <w:ind w:left="172"/>
              <w:jc w:val="left"/>
              <w:rPr>
                <w:sz w:val="18"/>
              </w:rPr>
            </w:pPr>
            <w:r>
              <w:rPr>
                <w:w w:val="99"/>
                <w:sz w:val="18"/>
              </w:rPr>
              <w:t>0</w:t>
            </w:r>
          </w:p>
        </w:tc>
        <w:tc>
          <w:tcPr>
            <w:tcW w:w="458" w:type="dxa"/>
          </w:tcPr>
          <w:p>
            <w:pPr>
              <w:pStyle w:val="TableParagraph"/>
              <w:spacing w:line="206" w:lineRule="exact"/>
              <w:ind w:left="175"/>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56" w:type="dxa"/>
          </w:tcPr>
          <w:p>
            <w:pPr>
              <w:pStyle w:val="TableParagraph"/>
              <w:spacing w:line="206" w:lineRule="exact"/>
              <w:rPr>
                <w:sz w:val="18"/>
              </w:rPr>
            </w:pPr>
            <w:r>
              <w:rPr>
                <w:w w:val="99"/>
                <w:sz w:val="18"/>
              </w:rPr>
              <w:t>0</w:t>
            </w:r>
          </w:p>
        </w:tc>
        <w:tc>
          <w:tcPr>
            <w:tcW w:w="459" w:type="dxa"/>
          </w:tcPr>
          <w:p>
            <w:pPr>
              <w:pStyle w:val="TableParagraph"/>
              <w:spacing w:line="206" w:lineRule="exact"/>
              <w:ind w:left="175"/>
              <w:jc w:val="left"/>
              <w:rPr>
                <w:sz w:val="18"/>
              </w:rPr>
            </w:pPr>
            <w:r>
              <w:rPr>
                <w:w w:val="99"/>
                <w:sz w:val="18"/>
              </w:rPr>
              <w:t>0</w:t>
            </w:r>
          </w:p>
        </w:tc>
        <w:tc>
          <w:tcPr>
            <w:tcW w:w="456" w:type="dxa"/>
          </w:tcPr>
          <w:p>
            <w:pPr>
              <w:pStyle w:val="TableParagraph"/>
              <w:spacing w:line="206" w:lineRule="exact"/>
              <w:rPr>
                <w:sz w:val="18"/>
              </w:rPr>
            </w:pPr>
            <w:r>
              <w:rPr>
                <w:w w:val="99"/>
                <w:sz w:val="18"/>
              </w:rPr>
              <w:t>0</w:t>
            </w:r>
          </w:p>
        </w:tc>
        <w:tc>
          <w:tcPr>
            <w:tcW w:w="456" w:type="dxa"/>
            <w:tcBorders>
              <w:right w:val="single" w:sz="8" w:space="0" w:color="000000"/>
            </w:tcBorders>
          </w:tcPr>
          <w:p>
            <w:pPr>
              <w:pStyle w:val="TableParagraph"/>
              <w:spacing w:line="206" w:lineRule="exact"/>
              <w:ind w:left="4"/>
              <w:rPr>
                <w:sz w:val="18"/>
              </w:rPr>
            </w:pPr>
            <w:r>
              <w:rPr>
                <w:w w:val="99"/>
                <w:sz w:val="18"/>
              </w:rPr>
              <w:t>0</w:t>
            </w:r>
          </w:p>
        </w:tc>
        <w:tc>
          <w:tcPr>
            <w:tcW w:w="475" w:type="dxa"/>
            <w:tcBorders>
              <w:left w:val="single" w:sz="8" w:space="0" w:color="000000"/>
              <w:right w:val="single" w:sz="8" w:space="0" w:color="000000"/>
            </w:tcBorders>
          </w:tcPr>
          <w:p>
            <w:pPr>
              <w:pStyle w:val="TableParagraph"/>
              <w:spacing w:line="201" w:lineRule="exact"/>
              <w:ind w:left="4"/>
              <w:rPr>
                <w:b/>
                <w:sz w:val="18"/>
              </w:rPr>
            </w:pPr>
            <w:r>
              <w:rPr>
                <w:b/>
                <w:w w:val="99"/>
                <w:sz w:val="18"/>
              </w:rPr>
              <w:t>0</w:t>
            </w:r>
          </w:p>
        </w:tc>
      </w:tr>
      <w:tr>
        <w:trPr>
          <w:trHeight w:val="319" w:hRule="exact"/>
        </w:trPr>
        <w:tc>
          <w:tcPr>
            <w:tcW w:w="2971" w:type="dxa"/>
            <w:tcBorders>
              <w:left w:val="single" w:sz="8" w:space="0" w:color="000000"/>
              <w:right w:val="single" w:sz="8" w:space="0" w:color="000000"/>
            </w:tcBorders>
          </w:tcPr>
          <w:p>
            <w:pPr>
              <w:pStyle w:val="TableParagraph"/>
              <w:spacing w:line="201" w:lineRule="exact"/>
              <w:ind w:left="62"/>
              <w:jc w:val="left"/>
              <w:rPr>
                <w:b/>
                <w:sz w:val="18"/>
              </w:rPr>
            </w:pPr>
            <w:r>
              <w:rPr>
                <w:b/>
                <w:color w:val="333333"/>
                <w:sz w:val="18"/>
              </w:rPr>
              <w:t>ACOLMAN</w:t>
            </w:r>
          </w:p>
        </w:tc>
        <w:tc>
          <w:tcPr>
            <w:tcW w:w="589" w:type="dxa"/>
            <w:tcBorders>
              <w:left w:val="single" w:sz="8" w:space="0" w:color="000000"/>
            </w:tcBorders>
          </w:tcPr>
          <w:p>
            <w:pPr>
              <w:pStyle w:val="TableParagraph"/>
              <w:spacing w:line="206" w:lineRule="exact"/>
              <w:rPr>
                <w:sz w:val="18"/>
              </w:rPr>
            </w:pPr>
            <w:r>
              <w:rPr>
                <w:w w:val="99"/>
                <w:sz w:val="18"/>
              </w:rPr>
              <w:t>0</w:t>
            </w:r>
          </w:p>
        </w:tc>
        <w:tc>
          <w:tcPr>
            <w:tcW w:w="588" w:type="dxa"/>
          </w:tcPr>
          <w:p>
            <w:pPr>
              <w:pStyle w:val="TableParagraph"/>
              <w:spacing w:line="206" w:lineRule="exact"/>
              <w:ind w:left="1"/>
              <w:rPr>
                <w:sz w:val="18"/>
              </w:rPr>
            </w:pPr>
            <w:r>
              <w:rPr>
                <w:w w:val="99"/>
                <w:sz w:val="18"/>
              </w:rPr>
              <w:t>0</w:t>
            </w:r>
          </w:p>
        </w:tc>
        <w:tc>
          <w:tcPr>
            <w:tcW w:w="456" w:type="dxa"/>
          </w:tcPr>
          <w:p>
            <w:pPr>
              <w:pStyle w:val="TableParagraph"/>
              <w:spacing w:line="206" w:lineRule="exact"/>
              <w:rPr>
                <w:sz w:val="18"/>
              </w:rPr>
            </w:pPr>
            <w:r>
              <w:rPr>
                <w:w w:val="99"/>
                <w:sz w:val="18"/>
              </w:rPr>
              <w:t>0</w:t>
            </w:r>
          </w:p>
        </w:tc>
        <w:tc>
          <w:tcPr>
            <w:tcW w:w="456" w:type="dxa"/>
          </w:tcPr>
          <w:p>
            <w:pPr>
              <w:pStyle w:val="TableParagraph"/>
              <w:spacing w:line="206" w:lineRule="exact"/>
              <w:ind w:left="4"/>
              <w:rPr>
                <w:sz w:val="18"/>
              </w:rPr>
            </w:pPr>
            <w:r>
              <w:rPr>
                <w:w w:val="99"/>
                <w:sz w:val="18"/>
              </w:rPr>
              <w:t>0</w:t>
            </w:r>
          </w:p>
        </w:tc>
        <w:tc>
          <w:tcPr>
            <w:tcW w:w="458" w:type="dxa"/>
          </w:tcPr>
          <w:p>
            <w:pPr>
              <w:pStyle w:val="TableParagraph"/>
              <w:spacing w:line="206" w:lineRule="exact"/>
              <w:ind w:right="171"/>
              <w:jc w:val="right"/>
              <w:rPr>
                <w:sz w:val="18"/>
              </w:rPr>
            </w:pPr>
            <w:r>
              <w:rPr>
                <w:w w:val="99"/>
                <w:sz w:val="18"/>
              </w:rPr>
              <w:t>0</w:t>
            </w:r>
          </w:p>
        </w:tc>
        <w:tc>
          <w:tcPr>
            <w:tcW w:w="456" w:type="dxa"/>
          </w:tcPr>
          <w:p>
            <w:pPr>
              <w:pStyle w:val="TableParagraph"/>
              <w:spacing w:line="206" w:lineRule="exact"/>
              <w:rPr>
                <w:sz w:val="18"/>
              </w:rPr>
            </w:pPr>
            <w:r>
              <w:rPr>
                <w:w w:val="99"/>
                <w:sz w:val="18"/>
              </w:rPr>
              <w:t>0</w:t>
            </w:r>
          </w:p>
        </w:tc>
        <w:tc>
          <w:tcPr>
            <w:tcW w:w="458" w:type="dxa"/>
          </w:tcPr>
          <w:p>
            <w:pPr>
              <w:pStyle w:val="TableParagraph"/>
              <w:spacing w:line="206" w:lineRule="exact"/>
              <w:ind w:left="175"/>
              <w:jc w:val="left"/>
              <w:rPr>
                <w:sz w:val="18"/>
              </w:rPr>
            </w:pPr>
            <w:r>
              <w:rPr>
                <w:w w:val="99"/>
                <w:sz w:val="18"/>
              </w:rPr>
              <w:t>0</w:t>
            </w:r>
          </w:p>
        </w:tc>
        <w:tc>
          <w:tcPr>
            <w:tcW w:w="456" w:type="dxa"/>
          </w:tcPr>
          <w:p>
            <w:pPr>
              <w:pStyle w:val="TableParagraph"/>
              <w:spacing w:line="206" w:lineRule="exact"/>
              <w:rPr>
                <w:sz w:val="18"/>
              </w:rPr>
            </w:pPr>
            <w:r>
              <w:rPr>
                <w:w w:val="99"/>
                <w:sz w:val="18"/>
              </w:rPr>
              <w:t>0</w:t>
            </w:r>
          </w:p>
        </w:tc>
        <w:tc>
          <w:tcPr>
            <w:tcW w:w="458" w:type="dxa"/>
          </w:tcPr>
          <w:p>
            <w:pPr>
              <w:pStyle w:val="TableParagraph"/>
              <w:spacing w:line="206" w:lineRule="exact"/>
              <w:ind w:left="1"/>
              <w:rPr>
                <w:sz w:val="18"/>
              </w:rPr>
            </w:pPr>
            <w:r>
              <w:rPr>
                <w:w w:val="99"/>
                <w:sz w:val="18"/>
              </w:rPr>
              <w:t>0</w:t>
            </w:r>
          </w:p>
        </w:tc>
        <w:tc>
          <w:tcPr>
            <w:tcW w:w="456" w:type="dxa"/>
          </w:tcPr>
          <w:p>
            <w:pPr>
              <w:pStyle w:val="TableParagraph"/>
              <w:spacing w:line="206" w:lineRule="exact"/>
              <w:ind w:left="172"/>
              <w:jc w:val="left"/>
              <w:rPr>
                <w:sz w:val="18"/>
              </w:rPr>
            </w:pPr>
            <w:r>
              <w:rPr>
                <w:w w:val="99"/>
                <w:sz w:val="18"/>
              </w:rPr>
              <w:t>0</w:t>
            </w:r>
          </w:p>
        </w:tc>
        <w:tc>
          <w:tcPr>
            <w:tcW w:w="456" w:type="dxa"/>
          </w:tcPr>
          <w:p>
            <w:pPr>
              <w:pStyle w:val="TableParagraph"/>
              <w:spacing w:line="206" w:lineRule="exact"/>
              <w:ind w:left="172"/>
              <w:jc w:val="left"/>
              <w:rPr>
                <w:sz w:val="18"/>
              </w:rPr>
            </w:pPr>
            <w:r>
              <w:rPr>
                <w:w w:val="99"/>
                <w:sz w:val="18"/>
              </w:rPr>
              <w:t>0</w:t>
            </w:r>
          </w:p>
        </w:tc>
        <w:tc>
          <w:tcPr>
            <w:tcW w:w="458" w:type="dxa"/>
          </w:tcPr>
          <w:p>
            <w:pPr>
              <w:pStyle w:val="TableParagraph"/>
              <w:spacing w:line="206" w:lineRule="exact"/>
              <w:ind w:left="175"/>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56" w:type="dxa"/>
          </w:tcPr>
          <w:p>
            <w:pPr>
              <w:pStyle w:val="TableParagraph"/>
              <w:spacing w:line="206" w:lineRule="exact"/>
              <w:rPr>
                <w:sz w:val="18"/>
              </w:rPr>
            </w:pPr>
            <w:r>
              <w:rPr>
                <w:w w:val="99"/>
                <w:sz w:val="18"/>
              </w:rPr>
              <w:t>0</w:t>
            </w:r>
          </w:p>
        </w:tc>
        <w:tc>
          <w:tcPr>
            <w:tcW w:w="459" w:type="dxa"/>
          </w:tcPr>
          <w:p>
            <w:pPr>
              <w:pStyle w:val="TableParagraph"/>
              <w:spacing w:line="206" w:lineRule="exact"/>
              <w:ind w:left="175"/>
              <w:jc w:val="left"/>
              <w:rPr>
                <w:sz w:val="18"/>
              </w:rPr>
            </w:pPr>
            <w:r>
              <w:rPr>
                <w:w w:val="99"/>
                <w:sz w:val="18"/>
              </w:rPr>
              <w:t>0</w:t>
            </w:r>
          </w:p>
        </w:tc>
        <w:tc>
          <w:tcPr>
            <w:tcW w:w="456" w:type="dxa"/>
          </w:tcPr>
          <w:p>
            <w:pPr>
              <w:pStyle w:val="TableParagraph"/>
              <w:spacing w:line="206" w:lineRule="exact"/>
              <w:rPr>
                <w:sz w:val="18"/>
              </w:rPr>
            </w:pPr>
            <w:r>
              <w:rPr>
                <w:w w:val="99"/>
                <w:sz w:val="18"/>
              </w:rPr>
              <w:t>0</w:t>
            </w:r>
          </w:p>
        </w:tc>
        <w:tc>
          <w:tcPr>
            <w:tcW w:w="456" w:type="dxa"/>
            <w:tcBorders>
              <w:right w:val="single" w:sz="8" w:space="0" w:color="000000"/>
            </w:tcBorders>
          </w:tcPr>
          <w:p>
            <w:pPr>
              <w:pStyle w:val="TableParagraph"/>
              <w:spacing w:line="206" w:lineRule="exact"/>
              <w:ind w:left="4"/>
              <w:rPr>
                <w:sz w:val="18"/>
              </w:rPr>
            </w:pPr>
            <w:r>
              <w:rPr>
                <w:w w:val="99"/>
                <w:sz w:val="18"/>
              </w:rPr>
              <w:t>0</w:t>
            </w:r>
          </w:p>
        </w:tc>
        <w:tc>
          <w:tcPr>
            <w:tcW w:w="475" w:type="dxa"/>
            <w:tcBorders>
              <w:left w:val="single" w:sz="8" w:space="0" w:color="000000"/>
              <w:right w:val="single" w:sz="8" w:space="0" w:color="000000"/>
            </w:tcBorders>
          </w:tcPr>
          <w:p>
            <w:pPr>
              <w:pStyle w:val="TableParagraph"/>
              <w:spacing w:line="201" w:lineRule="exact"/>
              <w:ind w:left="4"/>
              <w:rPr>
                <w:b/>
                <w:sz w:val="18"/>
              </w:rPr>
            </w:pPr>
            <w:r>
              <w:rPr>
                <w:b/>
                <w:w w:val="99"/>
                <w:sz w:val="18"/>
              </w:rPr>
              <w:t>0</w:t>
            </w:r>
          </w:p>
        </w:tc>
      </w:tr>
      <w:tr>
        <w:trPr>
          <w:trHeight w:val="322" w:hRule="exact"/>
        </w:trPr>
        <w:tc>
          <w:tcPr>
            <w:tcW w:w="2971" w:type="dxa"/>
            <w:tcBorders>
              <w:left w:val="single" w:sz="8" w:space="0" w:color="000000"/>
              <w:right w:val="single" w:sz="8" w:space="0" w:color="000000"/>
            </w:tcBorders>
          </w:tcPr>
          <w:p>
            <w:pPr>
              <w:pStyle w:val="TableParagraph"/>
              <w:spacing w:line="201" w:lineRule="exact"/>
              <w:ind w:left="62"/>
              <w:jc w:val="left"/>
              <w:rPr>
                <w:b/>
                <w:sz w:val="18"/>
              </w:rPr>
            </w:pPr>
            <w:r>
              <w:rPr>
                <w:b/>
                <w:color w:val="333333"/>
                <w:sz w:val="18"/>
              </w:rPr>
              <w:t>ACULCO</w:t>
            </w:r>
          </w:p>
        </w:tc>
        <w:tc>
          <w:tcPr>
            <w:tcW w:w="589" w:type="dxa"/>
            <w:tcBorders>
              <w:left w:val="single" w:sz="8" w:space="0" w:color="000000"/>
            </w:tcBorders>
          </w:tcPr>
          <w:p>
            <w:pPr>
              <w:pStyle w:val="TableParagraph"/>
              <w:spacing w:line="206" w:lineRule="exact"/>
              <w:rPr>
                <w:sz w:val="18"/>
              </w:rPr>
            </w:pPr>
            <w:r>
              <w:rPr>
                <w:w w:val="99"/>
                <w:sz w:val="18"/>
              </w:rPr>
              <w:t>0</w:t>
            </w:r>
          </w:p>
        </w:tc>
        <w:tc>
          <w:tcPr>
            <w:tcW w:w="588" w:type="dxa"/>
          </w:tcPr>
          <w:p>
            <w:pPr>
              <w:pStyle w:val="TableParagraph"/>
              <w:spacing w:line="206" w:lineRule="exact"/>
              <w:ind w:left="1"/>
              <w:rPr>
                <w:sz w:val="18"/>
              </w:rPr>
            </w:pPr>
            <w:r>
              <w:rPr>
                <w:w w:val="99"/>
                <w:sz w:val="18"/>
              </w:rPr>
              <w:t>0</w:t>
            </w:r>
          </w:p>
        </w:tc>
        <w:tc>
          <w:tcPr>
            <w:tcW w:w="456" w:type="dxa"/>
          </w:tcPr>
          <w:p>
            <w:pPr>
              <w:pStyle w:val="TableParagraph"/>
              <w:spacing w:line="206" w:lineRule="exact"/>
              <w:rPr>
                <w:sz w:val="18"/>
              </w:rPr>
            </w:pPr>
            <w:r>
              <w:rPr>
                <w:w w:val="99"/>
                <w:sz w:val="18"/>
              </w:rPr>
              <w:t>0</w:t>
            </w:r>
          </w:p>
        </w:tc>
        <w:tc>
          <w:tcPr>
            <w:tcW w:w="456" w:type="dxa"/>
          </w:tcPr>
          <w:p>
            <w:pPr>
              <w:pStyle w:val="TableParagraph"/>
              <w:spacing w:line="206" w:lineRule="exact"/>
              <w:ind w:left="4"/>
              <w:rPr>
                <w:sz w:val="18"/>
              </w:rPr>
            </w:pPr>
            <w:r>
              <w:rPr>
                <w:w w:val="99"/>
                <w:sz w:val="18"/>
              </w:rPr>
              <w:t>0</w:t>
            </w:r>
          </w:p>
        </w:tc>
        <w:tc>
          <w:tcPr>
            <w:tcW w:w="458" w:type="dxa"/>
          </w:tcPr>
          <w:p>
            <w:pPr>
              <w:pStyle w:val="TableParagraph"/>
              <w:spacing w:line="206" w:lineRule="exact"/>
              <w:ind w:right="171"/>
              <w:jc w:val="right"/>
              <w:rPr>
                <w:sz w:val="18"/>
              </w:rPr>
            </w:pPr>
            <w:r>
              <w:rPr>
                <w:w w:val="99"/>
                <w:sz w:val="18"/>
              </w:rPr>
              <w:t>0</w:t>
            </w:r>
          </w:p>
        </w:tc>
        <w:tc>
          <w:tcPr>
            <w:tcW w:w="456" w:type="dxa"/>
          </w:tcPr>
          <w:p>
            <w:pPr>
              <w:pStyle w:val="TableParagraph"/>
              <w:spacing w:line="206" w:lineRule="exact"/>
              <w:rPr>
                <w:sz w:val="18"/>
              </w:rPr>
            </w:pPr>
            <w:r>
              <w:rPr>
                <w:w w:val="99"/>
                <w:sz w:val="18"/>
              </w:rPr>
              <w:t>0</w:t>
            </w:r>
          </w:p>
        </w:tc>
        <w:tc>
          <w:tcPr>
            <w:tcW w:w="458" w:type="dxa"/>
          </w:tcPr>
          <w:p>
            <w:pPr>
              <w:pStyle w:val="TableParagraph"/>
              <w:spacing w:line="206" w:lineRule="exact"/>
              <w:ind w:left="175"/>
              <w:jc w:val="left"/>
              <w:rPr>
                <w:sz w:val="18"/>
              </w:rPr>
            </w:pPr>
            <w:r>
              <w:rPr>
                <w:w w:val="99"/>
                <w:sz w:val="18"/>
              </w:rPr>
              <w:t>0</w:t>
            </w:r>
          </w:p>
        </w:tc>
        <w:tc>
          <w:tcPr>
            <w:tcW w:w="456" w:type="dxa"/>
          </w:tcPr>
          <w:p>
            <w:pPr>
              <w:pStyle w:val="TableParagraph"/>
              <w:spacing w:line="206" w:lineRule="exact"/>
              <w:rPr>
                <w:sz w:val="18"/>
              </w:rPr>
            </w:pPr>
            <w:r>
              <w:rPr>
                <w:w w:val="99"/>
                <w:sz w:val="18"/>
              </w:rPr>
              <w:t>0</w:t>
            </w:r>
          </w:p>
        </w:tc>
        <w:tc>
          <w:tcPr>
            <w:tcW w:w="458" w:type="dxa"/>
          </w:tcPr>
          <w:p>
            <w:pPr>
              <w:pStyle w:val="TableParagraph"/>
              <w:spacing w:line="206" w:lineRule="exact"/>
              <w:ind w:left="1"/>
              <w:rPr>
                <w:sz w:val="18"/>
              </w:rPr>
            </w:pPr>
            <w:r>
              <w:rPr>
                <w:w w:val="99"/>
                <w:sz w:val="18"/>
              </w:rPr>
              <w:t>0</w:t>
            </w:r>
          </w:p>
        </w:tc>
        <w:tc>
          <w:tcPr>
            <w:tcW w:w="456" w:type="dxa"/>
          </w:tcPr>
          <w:p>
            <w:pPr>
              <w:pStyle w:val="TableParagraph"/>
              <w:spacing w:line="206" w:lineRule="exact"/>
              <w:ind w:left="172"/>
              <w:jc w:val="left"/>
              <w:rPr>
                <w:sz w:val="18"/>
              </w:rPr>
            </w:pPr>
            <w:r>
              <w:rPr>
                <w:w w:val="99"/>
                <w:sz w:val="18"/>
              </w:rPr>
              <w:t>0</w:t>
            </w:r>
          </w:p>
        </w:tc>
        <w:tc>
          <w:tcPr>
            <w:tcW w:w="456" w:type="dxa"/>
          </w:tcPr>
          <w:p>
            <w:pPr>
              <w:pStyle w:val="TableParagraph"/>
              <w:spacing w:line="206" w:lineRule="exact"/>
              <w:ind w:left="172"/>
              <w:jc w:val="left"/>
              <w:rPr>
                <w:sz w:val="18"/>
              </w:rPr>
            </w:pPr>
            <w:r>
              <w:rPr>
                <w:w w:val="99"/>
                <w:sz w:val="18"/>
              </w:rPr>
              <w:t>0</w:t>
            </w:r>
          </w:p>
        </w:tc>
        <w:tc>
          <w:tcPr>
            <w:tcW w:w="458" w:type="dxa"/>
          </w:tcPr>
          <w:p>
            <w:pPr>
              <w:pStyle w:val="TableParagraph"/>
              <w:spacing w:line="206" w:lineRule="exact"/>
              <w:ind w:left="175"/>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56" w:type="dxa"/>
          </w:tcPr>
          <w:p>
            <w:pPr>
              <w:pStyle w:val="TableParagraph"/>
              <w:spacing w:line="206" w:lineRule="exact"/>
              <w:rPr>
                <w:sz w:val="18"/>
              </w:rPr>
            </w:pPr>
            <w:r>
              <w:rPr>
                <w:w w:val="99"/>
                <w:sz w:val="18"/>
              </w:rPr>
              <w:t>0</w:t>
            </w:r>
          </w:p>
        </w:tc>
        <w:tc>
          <w:tcPr>
            <w:tcW w:w="459" w:type="dxa"/>
          </w:tcPr>
          <w:p>
            <w:pPr>
              <w:pStyle w:val="TableParagraph"/>
              <w:spacing w:line="206" w:lineRule="exact"/>
              <w:ind w:left="175"/>
              <w:jc w:val="left"/>
              <w:rPr>
                <w:sz w:val="18"/>
              </w:rPr>
            </w:pPr>
            <w:r>
              <w:rPr>
                <w:w w:val="99"/>
                <w:sz w:val="18"/>
              </w:rPr>
              <w:t>0</w:t>
            </w:r>
          </w:p>
        </w:tc>
        <w:tc>
          <w:tcPr>
            <w:tcW w:w="456" w:type="dxa"/>
          </w:tcPr>
          <w:p>
            <w:pPr>
              <w:pStyle w:val="TableParagraph"/>
              <w:spacing w:line="206" w:lineRule="exact"/>
              <w:rPr>
                <w:sz w:val="18"/>
              </w:rPr>
            </w:pPr>
            <w:r>
              <w:rPr>
                <w:w w:val="99"/>
                <w:sz w:val="18"/>
              </w:rPr>
              <w:t>0</w:t>
            </w:r>
          </w:p>
        </w:tc>
        <w:tc>
          <w:tcPr>
            <w:tcW w:w="456" w:type="dxa"/>
            <w:tcBorders>
              <w:right w:val="single" w:sz="8" w:space="0" w:color="000000"/>
            </w:tcBorders>
          </w:tcPr>
          <w:p>
            <w:pPr>
              <w:pStyle w:val="TableParagraph"/>
              <w:spacing w:line="206" w:lineRule="exact"/>
              <w:ind w:left="4"/>
              <w:rPr>
                <w:sz w:val="18"/>
              </w:rPr>
            </w:pPr>
            <w:r>
              <w:rPr>
                <w:w w:val="99"/>
                <w:sz w:val="18"/>
              </w:rPr>
              <w:t>0</w:t>
            </w:r>
          </w:p>
        </w:tc>
        <w:tc>
          <w:tcPr>
            <w:tcW w:w="475" w:type="dxa"/>
            <w:tcBorders>
              <w:left w:val="single" w:sz="8" w:space="0" w:color="000000"/>
              <w:right w:val="single" w:sz="8" w:space="0" w:color="000000"/>
            </w:tcBorders>
          </w:tcPr>
          <w:p>
            <w:pPr>
              <w:pStyle w:val="TableParagraph"/>
              <w:spacing w:line="201" w:lineRule="exact"/>
              <w:ind w:left="4"/>
              <w:rPr>
                <w:b/>
                <w:sz w:val="18"/>
              </w:rPr>
            </w:pPr>
            <w:r>
              <w:rPr>
                <w:b/>
                <w:w w:val="99"/>
                <w:sz w:val="18"/>
              </w:rPr>
              <w:t>0</w:t>
            </w:r>
          </w:p>
        </w:tc>
      </w:tr>
      <w:tr>
        <w:trPr>
          <w:trHeight w:val="319" w:hRule="exact"/>
        </w:trPr>
        <w:tc>
          <w:tcPr>
            <w:tcW w:w="2971" w:type="dxa"/>
            <w:tcBorders>
              <w:left w:val="single" w:sz="8" w:space="0" w:color="000000"/>
              <w:right w:val="single" w:sz="8" w:space="0" w:color="000000"/>
            </w:tcBorders>
          </w:tcPr>
          <w:p>
            <w:pPr>
              <w:pStyle w:val="TableParagraph"/>
              <w:spacing w:line="201" w:lineRule="exact"/>
              <w:ind w:left="62"/>
              <w:jc w:val="left"/>
              <w:rPr>
                <w:b/>
                <w:sz w:val="18"/>
              </w:rPr>
            </w:pPr>
            <w:r>
              <w:rPr>
                <w:b/>
                <w:color w:val="333333"/>
                <w:sz w:val="18"/>
              </w:rPr>
              <w:t>ALMOLOYA DE ALQUISIRAS</w:t>
            </w:r>
          </w:p>
        </w:tc>
        <w:tc>
          <w:tcPr>
            <w:tcW w:w="589" w:type="dxa"/>
            <w:tcBorders>
              <w:left w:val="single" w:sz="8" w:space="0" w:color="000000"/>
            </w:tcBorders>
          </w:tcPr>
          <w:p>
            <w:pPr>
              <w:pStyle w:val="TableParagraph"/>
              <w:spacing w:line="206" w:lineRule="exact"/>
              <w:rPr>
                <w:sz w:val="18"/>
              </w:rPr>
            </w:pPr>
            <w:r>
              <w:rPr>
                <w:w w:val="99"/>
                <w:sz w:val="18"/>
              </w:rPr>
              <w:t>0</w:t>
            </w:r>
          </w:p>
        </w:tc>
        <w:tc>
          <w:tcPr>
            <w:tcW w:w="588" w:type="dxa"/>
          </w:tcPr>
          <w:p>
            <w:pPr>
              <w:pStyle w:val="TableParagraph"/>
              <w:spacing w:line="206" w:lineRule="exact"/>
              <w:ind w:left="1"/>
              <w:rPr>
                <w:sz w:val="18"/>
              </w:rPr>
            </w:pPr>
            <w:r>
              <w:rPr>
                <w:w w:val="99"/>
                <w:sz w:val="18"/>
              </w:rPr>
              <w:t>0</w:t>
            </w:r>
          </w:p>
        </w:tc>
        <w:tc>
          <w:tcPr>
            <w:tcW w:w="456" w:type="dxa"/>
          </w:tcPr>
          <w:p>
            <w:pPr>
              <w:pStyle w:val="TableParagraph"/>
              <w:spacing w:line="206" w:lineRule="exact"/>
              <w:rPr>
                <w:sz w:val="18"/>
              </w:rPr>
            </w:pPr>
            <w:r>
              <w:rPr>
                <w:w w:val="99"/>
                <w:sz w:val="18"/>
              </w:rPr>
              <w:t>0</w:t>
            </w:r>
          </w:p>
        </w:tc>
        <w:tc>
          <w:tcPr>
            <w:tcW w:w="456" w:type="dxa"/>
          </w:tcPr>
          <w:p>
            <w:pPr>
              <w:pStyle w:val="TableParagraph"/>
              <w:spacing w:line="206" w:lineRule="exact"/>
              <w:ind w:left="4"/>
              <w:rPr>
                <w:sz w:val="18"/>
              </w:rPr>
            </w:pPr>
            <w:r>
              <w:rPr>
                <w:w w:val="99"/>
                <w:sz w:val="18"/>
              </w:rPr>
              <w:t>0</w:t>
            </w:r>
          </w:p>
        </w:tc>
        <w:tc>
          <w:tcPr>
            <w:tcW w:w="458" w:type="dxa"/>
          </w:tcPr>
          <w:p>
            <w:pPr>
              <w:pStyle w:val="TableParagraph"/>
              <w:spacing w:line="206" w:lineRule="exact"/>
              <w:ind w:right="171"/>
              <w:jc w:val="right"/>
              <w:rPr>
                <w:sz w:val="18"/>
              </w:rPr>
            </w:pPr>
            <w:r>
              <w:rPr>
                <w:w w:val="99"/>
                <w:sz w:val="18"/>
              </w:rPr>
              <w:t>0</w:t>
            </w:r>
          </w:p>
        </w:tc>
        <w:tc>
          <w:tcPr>
            <w:tcW w:w="456" w:type="dxa"/>
          </w:tcPr>
          <w:p>
            <w:pPr>
              <w:pStyle w:val="TableParagraph"/>
              <w:spacing w:line="206" w:lineRule="exact"/>
              <w:rPr>
                <w:sz w:val="18"/>
              </w:rPr>
            </w:pPr>
            <w:r>
              <w:rPr>
                <w:w w:val="99"/>
                <w:sz w:val="18"/>
              </w:rPr>
              <w:t>0</w:t>
            </w:r>
          </w:p>
        </w:tc>
        <w:tc>
          <w:tcPr>
            <w:tcW w:w="458" w:type="dxa"/>
          </w:tcPr>
          <w:p>
            <w:pPr>
              <w:pStyle w:val="TableParagraph"/>
              <w:spacing w:line="206" w:lineRule="exact"/>
              <w:ind w:left="175"/>
              <w:jc w:val="left"/>
              <w:rPr>
                <w:sz w:val="18"/>
              </w:rPr>
            </w:pPr>
            <w:r>
              <w:rPr>
                <w:w w:val="99"/>
                <w:sz w:val="18"/>
              </w:rPr>
              <w:t>0</w:t>
            </w:r>
          </w:p>
        </w:tc>
        <w:tc>
          <w:tcPr>
            <w:tcW w:w="456" w:type="dxa"/>
          </w:tcPr>
          <w:p>
            <w:pPr>
              <w:pStyle w:val="TableParagraph"/>
              <w:spacing w:line="206" w:lineRule="exact"/>
              <w:rPr>
                <w:sz w:val="18"/>
              </w:rPr>
            </w:pPr>
            <w:r>
              <w:rPr>
                <w:w w:val="99"/>
                <w:sz w:val="18"/>
              </w:rPr>
              <w:t>0</w:t>
            </w:r>
          </w:p>
        </w:tc>
        <w:tc>
          <w:tcPr>
            <w:tcW w:w="458" w:type="dxa"/>
          </w:tcPr>
          <w:p>
            <w:pPr>
              <w:pStyle w:val="TableParagraph"/>
              <w:spacing w:line="206" w:lineRule="exact"/>
              <w:ind w:left="1"/>
              <w:rPr>
                <w:sz w:val="18"/>
              </w:rPr>
            </w:pPr>
            <w:r>
              <w:rPr>
                <w:w w:val="99"/>
                <w:sz w:val="18"/>
              </w:rPr>
              <w:t>0</w:t>
            </w:r>
          </w:p>
        </w:tc>
        <w:tc>
          <w:tcPr>
            <w:tcW w:w="456" w:type="dxa"/>
          </w:tcPr>
          <w:p>
            <w:pPr>
              <w:pStyle w:val="TableParagraph"/>
              <w:spacing w:line="206" w:lineRule="exact"/>
              <w:ind w:left="172"/>
              <w:jc w:val="left"/>
              <w:rPr>
                <w:sz w:val="18"/>
              </w:rPr>
            </w:pPr>
            <w:r>
              <w:rPr>
                <w:w w:val="99"/>
                <w:sz w:val="18"/>
              </w:rPr>
              <w:t>0</w:t>
            </w:r>
          </w:p>
        </w:tc>
        <w:tc>
          <w:tcPr>
            <w:tcW w:w="456" w:type="dxa"/>
          </w:tcPr>
          <w:p>
            <w:pPr>
              <w:pStyle w:val="TableParagraph"/>
              <w:spacing w:line="206" w:lineRule="exact"/>
              <w:ind w:left="172"/>
              <w:jc w:val="left"/>
              <w:rPr>
                <w:sz w:val="18"/>
              </w:rPr>
            </w:pPr>
            <w:r>
              <w:rPr>
                <w:w w:val="99"/>
                <w:sz w:val="18"/>
              </w:rPr>
              <w:t>0</w:t>
            </w:r>
          </w:p>
        </w:tc>
        <w:tc>
          <w:tcPr>
            <w:tcW w:w="458" w:type="dxa"/>
          </w:tcPr>
          <w:p>
            <w:pPr>
              <w:pStyle w:val="TableParagraph"/>
              <w:spacing w:line="206" w:lineRule="exact"/>
              <w:ind w:left="175"/>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56" w:type="dxa"/>
          </w:tcPr>
          <w:p>
            <w:pPr>
              <w:pStyle w:val="TableParagraph"/>
              <w:spacing w:line="206" w:lineRule="exact"/>
              <w:rPr>
                <w:sz w:val="18"/>
              </w:rPr>
            </w:pPr>
            <w:r>
              <w:rPr>
                <w:w w:val="99"/>
                <w:sz w:val="18"/>
              </w:rPr>
              <w:t>0</w:t>
            </w:r>
          </w:p>
        </w:tc>
        <w:tc>
          <w:tcPr>
            <w:tcW w:w="459" w:type="dxa"/>
          </w:tcPr>
          <w:p>
            <w:pPr>
              <w:pStyle w:val="TableParagraph"/>
              <w:spacing w:line="206" w:lineRule="exact"/>
              <w:ind w:left="175"/>
              <w:jc w:val="left"/>
              <w:rPr>
                <w:sz w:val="18"/>
              </w:rPr>
            </w:pPr>
            <w:r>
              <w:rPr>
                <w:w w:val="99"/>
                <w:sz w:val="18"/>
              </w:rPr>
              <w:t>0</w:t>
            </w:r>
          </w:p>
        </w:tc>
        <w:tc>
          <w:tcPr>
            <w:tcW w:w="456" w:type="dxa"/>
          </w:tcPr>
          <w:p>
            <w:pPr>
              <w:pStyle w:val="TableParagraph"/>
              <w:spacing w:line="206" w:lineRule="exact"/>
              <w:rPr>
                <w:sz w:val="18"/>
              </w:rPr>
            </w:pPr>
            <w:r>
              <w:rPr>
                <w:w w:val="99"/>
                <w:sz w:val="18"/>
              </w:rPr>
              <w:t>0</w:t>
            </w:r>
          </w:p>
        </w:tc>
        <w:tc>
          <w:tcPr>
            <w:tcW w:w="456" w:type="dxa"/>
            <w:tcBorders>
              <w:right w:val="single" w:sz="8" w:space="0" w:color="000000"/>
            </w:tcBorders>
          </w:tcPr>
          <w:p>
            <w:pPr>
              <w:pStyle w:val="TableParagraph"/>
              <w:spacing w:line="206" w:lineRule="exact"/>
              <w:ind w:left="4"/>
              <w:rPr>
                <w:sz w:val="18"/>
              </w:rPr>
            </w:pPr>
            <w:r>
              <w:rPr>
                <w:w w:val="99"/>
                <w:sz w:val="18"/>
              </w:rPr>
              <w:t>0</w:t>
            </w:r>
          </w:p>
        </w:tc>
        <w:tc>
          <w:tcPr>
            <w:tcW w:w="475" w:type="dxa"/>
            <w:tcBorders>
              <w:left w:val="single" w:sz="8" w:space="0" w:color="000000"/>
              <w:right w:val="single" w:sz="8" w:space="0" w:color="000000"/>
            </w:tcBorders>
          </w:tcPr>
          <w:p>
            <w:pPr>
              <w:pStyle w:val="TableParagraph"/>
              <w:spacing w:line="201" w:lineRule="exact"/>
              <w:ind w:left="4"/>
              <w:rPr>
                <w:b/>
                <w:sz w:val="18"/>
              </w:rPr>
            </w:pPr>
            <w:r>
              <w:rPr>
                <w:b/>
                <w:w w:val="99"/>
                <w:sz w:val="18"/>
              </w:rPr>
              <w:t>0</w:t>
            </w:r>
          </w:p>
        </w:tc>
      </w:tr>
      <w:tr>
        <w:trPr>
          <w:trHeight w:val="322" w:hRule="exact"/>
        </w:trPr>
        <w:tc>
          <w:tcPr>
            <w:tcW w:w="2971" w:type="dxa"/>
            <w:tcBorders>
              <w:left w:val="single" w:sz="8" w:space="0" w:color="000000"/>
              <w:right w:val="single" w:sz="8" w:space="0" w:color="000000"/>
            </w:tcBorders>
          </w:tcPr>
          <w:p>
            <w:pPr>
              <w:pStyle w:val="TableParagraph"/>
              <w:spacing w:line="204" w:lineRule="exact"/>
              <w:ind w:left="62"/>
              <w:jc w:val="left"/>
              <w:rPr>
                <w:b/>
                <w:sz w:val="18"/>
              </w:rPr>
            </w:pPr>
            <w:r>
              <w:rPr>
                <w:b/>
                <w:color w:val="333333"/>
                <w:sz w:val="18"/>
              </w:rPr>
              <w:t>ALMOLOYA DE JUAREZ</w:t>
            </w:r>
          </w:p>
        </w:tc>
        <w:tc>
          <w:tcPr>
            <w:tcW w:w="589" w:type="dxa"/>
            <w:tcBorders>
              <w:left w:val="single" w:sz="8" w:space="0" w:color="000000"/>
            </w:tcBorders>
          </w:tcPr>
          <w:p>
            <w:pPr>
              <w:pStyle w:val="TableParagraph"/>
              <w:spacing w:before="1"/>
              <w:rPr>
                <w:sz w:val="18"/>
              </w:rPr>
            </w:pPr>
            <w:r>
              <w:rPr>
                <w:w w:val="99"/>
                <w:sz w:val="18"/>
              </w:rPr>
              <w:t>0</w:t>
            </w:r>
          </w:p>
        </w:tc>
        <w:tc>
          <w:tcPr>
            <w:tcW w:w="588" w:type="dxa"/>
          </w:tcPr>
          <w:p>
            <w:pPr>
              <w:pStyle w:val="TableParagraph"/>
              <w:spacing w:before="1"/>
              <w:ind w:left="1"/>
              <w:rPr>
                <w:sz w:val="18"/>
              </w:rPr>
            </w:pPr>
            <w:r>
              <w:rPr>
                <w:w w:val="99"/>
                <w:sz w:val="18"/>
              </w:rPr>
              <w:t>0</w:t>
            </w:r>
          </w:p>
        </w:tc>
        <w:tc>
          <w:tcPr>
            <w:tcW w:w="456" w:type="dxa"/>
          </w:tcPr>
          <w:p>
            <w:pPr>
              <w:pStyle w:val="TableParagraph"/>
              <w:spacing w:before="1"/>
              <w:rPr>
                <w:sz w:val="18"/>
              </w:rPr>
            </w:pPr>
            <w:r>
              <w:rPr>
                <w:w w:val="99"/>
                <w:sz w:val="18"/>
              </w:rPr>
              <w:t>0</w:t>
            </w:r>
          </w:p>
        </w:tc>
        <w:tc>
          <w:tcPr>
            <w:tcW w:w="456" w:type="dxa"/>
          </w:tcPr>
          <w:p>
            <w:pPr>
              <w:pStyle w:val="TableParagraph"/>
              <w:spacing w:before="1"/>
              <w:ind w:left="4"/>
              <w:rPr>
                <w:sz w:val="18"/>
              </w:rPr>
            </w:pPr>
            <w:r>
              <w:rPr>
                <w:w w:val="99"/>
                <w:sz w:val="18"/>
              </w:rPr>
              <w:t>0</w:t>
            </w:r>
          </w:p>
        </w:tc>
        <w:tc>
          <w:tcPr>
            <w:tcW w:w="458" w:type="dxa"/>
          </w:tcPr>
          <w:p>
            <w:pPr>
              <w:pStyle w:val="TableParagraph"/>
              <w:spacing w:before="1"/>
              <w:ind w:right="171"/>
              <w:jc w:val="right"/>
              <w:rPr>
                <w:sz w:val="18"/>
              </w:rPr>
            </w:pPr>
            <w:r>
              <w:rPr>
                <w:w w:val="99"/>
                <w:sz w:val="18"/>
              </w:rPr>
              <w:t>0</w:t>
            </w:r>
          </w:p>
        </w:tc>
        <w:tc>
          <w:tcPr>
            <w:tcW w:w="456" w:type="dxa"/>
          </w:tcPr>
          <w:p>
            <w:pPr>
              <w:pStyle w:val="TableParagraph"/>
              <w:spacing w:before="1"/>
              <w:rPr>
                <w:sz w:val="18"/>
              </w:rPr>
            </w:pPr>
            <w:r>
              <w:rPr>
                <w:w w:val="99"/>
                <w:sz w:val="18"/>
              </w:rPr>
              <w:t>0</w:t>
            </w:r>
          </w:p>
        </w:tc>
        <w:tc>
          <w:tcPr>
            <w:tcW w:w="458" w:type="dxa"/>
          </w:tcPr>
          <w:p>
            <w:pPr>
              <w:pStyle w:val="TableParagraph"/>
              <w:spacing w:before="1"/>
              <w:ind w:left="175"/>
              <w:jc w:val="left"/>
              <w:rPr>
                <w:sz w:val="18"/>
              </w:rPr>
            </w:pPr>
            <w:r>
              <w:rPr>
                <w:w w:val="99"/>
                <w:sz w:val="18"/>
              </w:rPr>
              <w:t>0</w:t>
            </w:r>
          </w:p>
        </w:tc>
        <w:tc>
          <w:tcPr>
            <w:tcW w:w="456" w:type="dxa"/>
          </w:tcPr>
          <w:p>
            <w:pPr>
              <w:pStyle w:val="TableParagraph"/>
              <w:spacing w:before="1"/>
              <w:rPr>
                <w:sz w:val="18"/>
              </w:rPr>
            </w:pPr>
            <w:r>
              <w:rPr>
                <w:w w:val="99"/>
                <w:sz w:val="18"/>
              </w:rPr>
              <w:t>0</w:t>
            </w:r>
          </w:p>
        </w:tc>
        <w:tc>
          <w:tcPr>
            <w:tcW w:w="458" w:type="dxa"/>
          </w:tcPr>
          <w:p>
            <w:pPr>
              <w:pStyle w:val="TableParagraph"/>
              <w:spacing w:before="1"/>
              <w:ind w:left="1"/>
              <w:rPr>
                <w:sz w:val="18"/>
              </w:rPr>
            </w:pPr>
            <w:r>
              <w:rPr>
                <w:w w:val="99"/>
                <w:sz w:val="18"/>
              </w:rPr>
              <w:t>0</w:t>
            </w:r>
          </w:p>
        </w:tc>
        <w:tc>
          <w:tcPr>
            <w:tcW w:w="456" w:type="dxa"/>
          </w:tcPr>
          <w:p>
            <w:pPr>
              <w:pStyle w:val="TableParagraph"/>
              <w:spacing w:before="1"/>
              <w:ind w:left="172"/>
              <w:jc w:val="left"/>
              <w:rPr>
                <w:sz w:val="18"/>
              </w:rPr>
            </w:pPr>
            <w:r>
              <w:rPr>
                <w:w w:val="99"/>
                <w:sz w:val="18"/>
              </w:rPr>
              <w:t>0</w:t>
            </w:r>
          </w:p>
        </w:tc>
        <w:tc>
          <w:tcPr>
            <w:tcW w:w="456" w:type="dxa"/>
          </w:tcPr>
          <w:p>
            <w:pPr>
              <w:pStyle w:val="TableParagraph"/>
              <w:spacing w:before="1"/>
              <w:ind w:left="172"/>
              <w:jc w:val="left"/>
              <w:rPr>
                <w:sz w:val="18"/>
              </w:rPr>
            </w:pPr>
            <w:r>
              <w:rPr>
                <w:w w:val="99"/>
                <w:sz w:val="18"/>
              </w:rPr>
              <w:t>0</w:t>
            </w:r>
          </w:p>
        </w:tc>
        <w:tc>
          <w:tcPr>
            <w:tcW w:w="458" w:type="dxa"/>
          </w:tcPr>
          <w:p>
            <w:pPr>
              <w:pStyle w:val="TableParagraph"/>
              <w:spacing w:before="1"/>
              <w:ind w:left="175"/>
              <w:jc w:val="left"/>
              <w:rPr>
                <w:sz w:val="18"/>
              </w:rPr>
            </w:pPr>
            <w:r>
              <w:rPr>
                <w:w w:val="99"/>
                <w:sz w:val="18"/>
              </w:rPr>
              <w:t>0</w:t>
            </w:r>
          </w:p>
        </w:tc>
        <w:tc>
          <w:tcPr>
            <w:tcW w:w="475" w:type="dxa"/>
          </w:tcPr>
          <w:p>
            <w:pPr>
              <w:pStyle w:val="TableParagraph"/>
              <w:spacing w:before="1"/>
              <w:rPr>
                <w:sz w:val="18"/>
              </w:rPr>
            </w:pPr>
            <w:r>
              <w:rPr>
                <w:w w:val="99"/>
                <w:sz w:val="18"/>
              </w:rPr>
              <w:t>0</w:t>
            </w:r>
          </w:p>
        </w:tc>
        <w:tc>
          <w:tcPr>
            <w:tcW w:w="456" w:type="dxa"/>
          </w:tcPr>
          <w:p>
            <w:pPr>
              <w:pStyle w:val="TableParagraph"/>
              <w:spacing w:before="1"/>
              <w:rPr>
                <w:sz w:val="18"/>
              </w:rPr>
            </w:pPr>
            <w:r>
              <w:rPr>
                <w:w w:val="99"/>
                <w:sz w:val="18"/>
              </w:rPr>
              <w:t>0</w:t>
            </w:r>
          </w:p>
        </w:tc>
        <w:tc>
          <w:tcPr>
            <w:tcW w:w="459" w:type="dxa"/>
          </w:tcPr>
          <w:p>
            <w:pPr>
              <w:pStyle w:val="TableParagraph"/>
              <w:spacing w:before="1"/>
              <w:ind w:left="175"/>
              <w:jc w:val="left"/>
              <w:rPr>
                <w:sz w:val="18"/>
              </w:rPr>
            </w:pPr>
            <w:r>
              <w:rPr>
                <w:w w:val="99"/>
                <w:sz w:val="18"/>
              </w:rPr>
              <w:t>0</w:t>
            </w:r>
          </w:p>
        </w:tc>
        <w:tc>
          <w:tcPr>
            <w:tcW w:w="456" w:type="dxa"/>
          </w:tcPr>
          <w:p>
            <w:pPr>
              <w:pStyle w:val="TableParagraph"/>
              <w:spacing w:before="1"/>
              <w:rPr>
                <w:sz w:val="18"/>
              </w:rPr>
            </w:pPr>
            <w:r>
              <w:rPr>
                <w:w w:val="99"/>
                <w:sz w:val="18"/>
              </w:rPr>
              <w:t>0</w:t>
            </w:r>
          </w:p>
        </w:tc>
        <w:tc>
          <w:tcPr>
            <w:tcW w:w="456" w:type="dxa"/>
            <w:tcBorders>
              <w:right w:val="single" w:sz="8" w:space="0" w:color="000000"/>
            </w:tcBorders>
          </w:tcPr>
          <w:p>
            <w:pPr>
              <w:pStyle w:val="TableParagraph"/>
              <w:spacing w:before="1"/>
              <w:ind w:left="4"/>
              <w:rPr>
                <w:sz w:val="18"/>
              </w:rPr>
            </w:pPr>
            <w:r>
              <w:rPr>
                <w:w w:val="99"/>
                <w:sz w:val="18"/>
              </w:rPr>
              <w:t>0</w:t>
            </w:r>
          </w:p>
        </w:tc>
        <w:tc>
          <w:tcPr>
            <w:tcW w:w="475" w:type="dxa"/>
            <w:tcBorders>
              <w:left w:val="single" w:sz="8" w:space="0" w:color="000000"/>
              <w:right w:val="single" w:sz="8" w:space="0" w:color="000000"/>
            </w:tcBorders>
          </w:tcPr>
          <w:p>
            <w:pPr>
              <w:pStyle w:val="TableParagraph"/>
              <w:spacing w:line="204" w:lineRule="exact"/>
              <w:ind w:left="4"/>
              <w:rPr>
                <w:b/>
                <w:sz w:val="18"/>
              </w:rPr>
            </w:pPr>
            <w:r>
              <w:rPr>
                <w:b/>
                <w:w w:val="99"/>
                <w:sz w:val="18"/>
              </w:rPr>
              <w:t>0</w:t>
            </w:r>
          </w:p>
        </w:tc>
      </w:tr>
      <w:tr>
        <w:trPr>
          <w:trHeight w:val="319" w:hRule="exact"/>
        </w:trPr>
        <w:tc>
          <w:tcPr>
            <w:tcW w:w="2971" w:type="dxa"/>
            <w:tcBorders>
              <w:left w:val="single" w:sz="8" w:space="0" w:color="000000"/>
              <w:right w:val="single" w:sz="8" w:space="0" w:color="000000"/>
            </w:tcBorders>
          </w:tcPr>
          <w:p>
            <w:pPr>
              <w:pStyle w:val="TableParagraph"/>
              <w:spacing w:line="201" w:lineRule="exact"/>
              <w:ind w:left="62"/>
              <w:jc w:val="left"/>
              <w:rPr>
                <w:b/>
                <w:sz w:val="18"/>
              </w:rPr>
            </w:pPr>
            <w:r>
              <w:rPr>
                <w:b/>
                <w:color w:val="333333"/>
                <w:sz w:val="18"/>
              </w:rPr>
              <w:t>ALMOLOYA DEL RIO</w:t>
            </w:r>
          </w:p>
        </w:tc>
        <w:tc>
          <w:tcPr>
            <w:tcW w:w="589" w:type="dxa"/>
            <w:tcBorders>
              <w:left w:val="single" w:sz="8" w:space="0" w:color="000000"/>
            </w:tcBorders>
          </w:tcPr>
          <w:p>
            <w:pPr>
              <w:pStyle w:val="TableParagraph"/>
              <w:spacing w:line="206" w:lineRule="exact"/>
              <w:rPr>
                <w:sz w:val="18"/>
              </w:rPr>
            </w:pPr>
            <w:r>
              <w:rPr>
                <w:w w:val="99"/>
                <w:sz w:val="18"/>
              </w:rPr>
              <w:t>0</w:t>
            </w:r>
          </w:p>
        </w:tc>
        <w:tc>
          <w:tcPr>
            <w:tcW w:w="588" w:type="dxa"/>
          </w:tcPr>
          <w:p>
            <w:pPr>
              <w:pStyle w:val="TableParagraph"/>
              <w:spacing w:line="206" w:lineRule="exact"/>
              <w:ind w:left="1"/>
              <w:rPr>
                <w:sz w:val="18"/>
              </w:rPr>
            </w:pPr>
            <w:r>
              <w:rPr>
                <w:w w:val="99"/>
                <w:sz w:val="18"/>
              </w:rPr>
              <w:t>0</w:t>
            </w:r>
          </w:p>
        </w:tc>
        <w:tc>
          <w:tcPr>
            <w:tcW w:w="456" w:type="dxa"/>
          </w:tcPr>
          <w:p>
            <w:pPr>
              <w:pStyle w:val="TableParagraph"/>
              <w:spacing w:line="206" w:lineRule="exact"/>
              <w:rPr>
                <w:sz w:val="18"/>
              </w:rPr>
            </w:pPr>
            <w:r>
              <w:rPr>
                <w:w w:val="99"/>
                <w:sz w:val="18"/>
              </w:rPr>
              <w:t>0</w:t>
            </w:r>
          </w:p>
        </w:tc>
        <w:tc>
          <w:tcPr>
            <w:tcW w:w="456" w:type="dxa"/>
          </w:tcPr>
          <w:p>
            <w:pPr>
              <w:pStyle w:val="TableParagraph"/>
              <w:spacing w:line="206" w:lineRule="exact"/>
              <w:ind w:left="4"/>
              <w:rPr>
                <w:sz w:val="18"/>
              </w:rPr>
            </w:pPr>
            <w:r>
              <w:rPr>
                <w:w w:val="99"/>
                <w:sz w:val="18"/>
              </w:rPr>
              <w:t>0</w:t>
            </w:r>
          </w:p>
        </w:tc>
        <w:tc>
          <w:tcPr>
            <w:tcW w:w="458" w:type="dxa"/>
          </w:tcPr>
          <w:p>
            <w:pPr>
              <w:pStyle w:val="TableParagraph"/>
              <w:spacing w:line="206" w:lineRule="exact"/>
              <w:ind w:right="171"/>
              <w:jc w:val="right"/>
              <w:rPr>
                <w:sz w:val="18"/>
              </w:rPr>
            </w:pPr>
            <w:r>
              <w:rPr>
                <w:w w:val="99"/>
                <w:sz w:val="18"/>
              </w:rPr>
              <w:t>0</w:t>
            </w:r>
          </w:p>
        </w:tc>
        <w:tc>
          <w:tcPr>
            <w:tcW w:w="456" w:type="dxa"/>
          </w:tcPr>
          <w:p>
            <w:pPr>
              <w:pStyle w:val="TableParagraph"/>
              <w:spacing w:line="206" w:lineRule="exact"/>
              <w:rPr>
                <w:sz w:val="18"/>
              </w:rPr>
            </w:pPr>
            <w:r>
              <w:rPr>
                <w:w w:val="99"/>
                <w:sz w:val="18"/>
              </w:rPr>
              <w:t>0</w:t>
            </w:r>
          </w:p>
        </w:tc>
        <w:tc>
          <w:tcPr>
            <w:tcW w:w="458" w:type="dxa"/>
          </w:tcPr>
          <w:p>
            <w:pPr>
              <w:pStyle w:val="TableParagraph"/>
              <w:spacing w:line="206" w:lineRule="exact"/>
              <w:ind w:left="175"/>
              <w:jc w:val="left"/>
              <w:rPr>
                <w:sz w:val="18"/>
              </w:rPr>
            </w:pPr>
            <w:r>
              <w:rPr>
                <w:w w:val="99"/>
                <w:sz w:val="18"/>
              </w:rPr>
              <w:t>0</w:t>
            </w:r>
          </w:p>
        </w:tc>
        <w:tc>
          <w:tcPr>
            <w:tcW w:w="456" w:type="dxa"/>
          </w:tcPr>
          <w:p>
            <w:pPr>
              <w:pStyle w:val="TableParagraph"/>
              <w:spacing w:line="206" w:lineRule="exact"/>
              <w:rPr>
                <w:sz w:val="18"/>
              </w:rPr>
            </w:pPr>
            <w:r>
              <w:rPr>
                <w:w w:val="99"/>
                <w:sz w:val="18"/>
              </w:rPr>
              <w:t>0</w:t>
            </w:r>
          </w:p>
        </w:tc>
        <w:tc>
          <w:tcPr>
            <w:tcW w:w="458" w:type="dxa"/>
          </w:tcPr>
          <w:p>
            <w:pPr>
              <w:pStyle w:val="TableParagraph"/>
              <w:spacing w:line="206" w:lineRule="exact"/>
              <w:ind w:left="1"/>
              <w:rPr>
                <w:sz w:val="18"/>
              </w:rPr>
            </w:pPr>
            <w:r>
              <w:rPr>
                <w:w w:val="99"/>
                <w:sz w:val="18"/>
              </w:rPr>
              <w:t>0</w:t>
            </w:r>
          </w:p>
        </w:tc>
        <w:tc>
          <w:tcPr>
            <w:tcW w:w="456" w:type="dxa"/>
          </w:tcPr>
          <w:p>
            <w:pPr>
              <w:pStyle w:val="TableParagraph"/>
              <w:spacing w:line="206" w:lineRule="exact"/>
              <w:ind w:left="172"/>
              <w:jc w:val="left"/>
              <w:rPr>
                <w:sz w:val="18"/>
              </w:rPr>
            </w:pPr>
            <w:r>
              <w:rPr>
                <w:w w:val="99"/>
                <w:sz w:val="18"/>
              </w:rPr>
              <w:t>0</w:t>
            </w:r>
          </w:p>
        </w:tc>
        <w:tc>
          <w:tcPr>
            <w:tcW w:w="456" w:type="dxa"/>
          </w:tcPr>
          <w:p>
            <w:pPr>
              <w:pStyle w:val="TableParagraph"/>
              <w:spacing w:line="206" w:lineRule="exact"/>
              <w:ind w:left="172"/>
              <w:jc w:val="left"/>
              <w:rPr>
                <w:sz w:val="18"/>
              </w:rPr>
            </w:pPr>
            <w:r>
              <w:rPr>
                <w:w w:val="99"/>
                <w:sz w:val="18"/>
              </w:rPr>
              <w:t>0</w:t>
            </w:r>
          </w:p>
        </w:tc>
        <w:tc>
          <w:tcPr>
            <w:tcW w:w="458" w:type="dxa"/>
          </w:tcPr>
          <w:p>
            <w:pPr>
              <w:pStyle w:val="TableParagraph"/>
              <w:spacing w:line="206" w:lineRule="exact"/>
              <w:ind w:left="175"/>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56" w:type="dxa"/>
          </w:tcPr>
          <w:p>
            <w:pPr>
              <w:pStyle w:val="TableParagraph"/>
              <w:spacing w:line="206" w:lineRule="exact"/>
              <w:rPr>
                <w:sz w:val="18"/>
              </w:rPr>
            </w:pPr>
            <w:r>
              <w:rPr>
                <w:w w:val="99"/>
                <w:sz w:val="18"/>
              </w:rPr>
              <w:t>0</w:t>
            </w:r>
          </w:p>
        </w:tc>
        <w:tc>
          <w:tcPr>
            <w:tcW w:w="459" w:type="dxa"/>
          </w:tcPr>
          <w:p>
            <w:pPr>
              <w:pStyle w:val="TableParagraph"/>
              <w:spacing w:line="206" w:lineRule="exact"/>
              <w:ind w:left="175"/>
              <w:jc w:val="left"/>
              <w:rPr>
                <w:sz w:val="18"/>
              </w:rPr>
            </w:pPr>
            <w:r>
              <w:rPr>
                <w:w w:val="99"/>
                <w:sz w:val="18"/>
              </w:rPr>
              <w:t>0</w:t>
            </w:r>
          </w:p>
        </w:tc>
        <w:tc>
          <w:tcPr>
            <w:tcW w:w="456" w:type="dxa"/>
          </w:tcPr>
          <w:p>
            <w:pPr>
              <w:pStyle w:val="TableParagraph"/>
              <w:spacing w:line="206" w:lineRule="exact"/>
              <w:rPr>
                <w:sz w:val="18"/>
              </w:rPr>
            </w:pPr>
            <w:r>
              <w:rPr>
                <w:w w:val="99"/>
                <w:sz w:val="18"/>
              </w:rPr>
              <w:t>0</w:t>
            </w:r>
          </w:p>
        </w:tc>
        <w:tc>
          <w:tcPr>
            <w:tcW w:w="456" w:type="dxa"/>
            <w:tcBorders>
              <w:right w:val="single" w:sz="8" w:space="0" w:color="000000"/>
            </w:tcBorders>
          </w:tcPr>
          <w:p>
            <w:pPr>
              <w:pStyle w:val="TableParagraph"/>
              <w:spacing w:line="206" w:lineRule="exact"/>
              <w:ind w:left="4"/>
              <w:rPr>
                <w:sz w:val="18"/>
              </w:rPr>
            </w:pPr>
            <w:r>
              <w:rPr>
                <w:w w:val="99"/>
                <w:sz w:val="18"/>
              </w:rPr>
              <w:t>0</w:t>
            </w:r>
          </w:p>
        </w:tc>
        <w:tc>
          <w:tcPr>
            <w:tcW w:w="475" w:type="dxa"/>
            <w:tcBorders>
              <w:left w:val="single" w:sz="8" w:space="0" w:color="000000"/>
              <w:right w:val="single" w:sz="8" w:space="0" w:color="000000"/>
            </w:tcBorders>
          </w:tcPr>
          <w:p>
            <w:pPr>
              <w:pStyle w:val="TableParagraph"/>
              <w:spacing w:line="201" w:lineRule="exact"/>
              <w:ind w:left="4"/>
              <w:rPr>
                <w:b/>
                <w:sz w:val="18"/>
              </w:rPr>
            </w:pPr>
            <w:r>
              <w:rPr>
                <w:b/>
                <w:w w:val="99"/>
                <w:sz w:val="18"/>
              </w:rPr>
              <w:t>0</w:t>
            </w:r>
          </w:p>
        </w:tc>
      </w:tr>
      <w:tr>
        <w:trPr>
          <w:trHeight w:val="322" w:hRule="exact"/>
        </w:trPr>
        <w:tc>
          <w:tcPr>
            <w:tcW w:w="2971" w:type="dxa"/>
            <w:tcBorders>
              <w:left w:val="single" w:sz="8" w:space="0" w:color="000000"/>
              <w:right w:val="single" w:sz="8" w:space="0" w:color="000000"/>
            </w:tcBorders>
          </w:tcPr>
          <w:p>
            <w:pPr>
              <w:pStyle w:val="TableParagraph"/>
              <w:spacing w:line="204" w:lineRule="exact"/>
              <w:ind w:left="62"/>
              <w:jc w:val="left"/>
              <w:rPr>
                <w:b/>
                <w:sz w:val="18"/>
              </w:rPr>
            </w:pPr>
            <w:r>
              <w:rPr>
                <w:b/>
                <w:color w:val="333333"/>
                <w:sz w:val="18"/>
              </w:rPr>
              <w:t>AMANALCO</w:t>
            </w:r>
          </w:p>
        </w:tc>
        <w:tc>
          <w:tcPr>
            <w:tcW w:w="589" w:type="dxa"/>
            <w:tcBorders>
              <w:left w:val="single" w:sz="8" w:space="0" w:color="000000"/>
            </w:tcBorders>
          </w:tcPr>
          <w:p>
            <w:pPr>
              <w:pStyle w:val="TableParagraph"/>
              <w:spacing w:before="1"/>
              <w:rPr>
                <w:sz w:val="18"/>
              </w:rPr>
            </w:pPr>
            <w:r>
              <w:rPr>
                <w:w w:val="99"/>
                <w:sz w:val="18"/>
              </w:rPr>
              <w:t>0</w:t>
            </w:r>
          </w:p>
        </w:tc>
        <w:tc>
          <w:tcPr>
            <w:tcW w:w="588" w:type="dxa"/>
          </w:tcPr>
          <w:p>
            <w:pPr>
              <w:pStyle w:val="TableParagraph"/>
              <w:spacing w:before="1"/>
              <w:ind w:left="1"/>
              <w:rPr>
                <w:sz w:val="18"/>
              </w:rPr>
            </w:pPr>
            <w:r>
              <w:rPr>
                <w:w w:val="99"/>
                <w:sz w:val="18"/>
              </w:rPr>
              <w:t>0</w:t>
            </w:r>
          </w:p>
        </w:tc>
        <w:tc>
          <w:tcPr>
            <w:tcW w:w="456" w:type="dxa"/>
          </w:tcPr>
          <w:p>
            <w:pPr>
              <w:pStyle w:val="TableParagraph"/>
              <w:spacing w:before="1"/>
              <w:rPr>
                <w:sz w:val="18"/>
              </w:rPr>
            </w:pPr>
            <w:r>
              <w:rPr>
                <w:w w:val="99"/>
                <w:sz w:val="18"/>
              </w:rPr>
              <w:t>0</w:t>
            </w:r>
          </w:p>
        </w:tc>
        <w:tc>
          <w:tcPr>
            <w:tcW w:w="456" w:type="dxa"/>
          </w:tcPr>
          <w:p>
            <w:pPr>
              <w:pStyle w:val="TableParagraph"/>
              <w:spacing w:before="1"/>
              <w:ind w:left="4"/>
              <w:rPr>
                <w:sz w:val="18"/>
              </w:rPr>
            </w:pPr>
            <w:r>
              <w:rPr>
                <w:w w:val="99"/>
                <w:sz w:val="18"/>
              </w:rPr>
              <w:t>0</w:t>
            </w:r>
          </w:p>
        </w:tc>
        <w:tc>
          <w:tcPr>
            <w:tcW w:w="458" w:type="dxa"/>
          </w:tcPr>
          <w:p>
            <w:pPr>
              <w:pStyle w:val="TableParagraph"/>
              <w:spacing w:before="1"/>
              <w:ind w:right="171"/>
              <w:jc w:val="right"/>
              <w:rPr>
                <w:sz w:val="18"/>
              </w:rPr>
            </w:pPr>
            <w:r>
              <w:rPr>
                <w:w w:val="99"/>
                <w:sz w:val="18"/>
              </w:rPr>
              <w:t>0</w:t>
            </w:r>
          </w:p>
        </w:tc>
        <w:tc>
          <w:tcPr>
            <w:tcW w:w="456" w:type="dxa"/>
          </w:tcPr>
          <w:p>
            <w:pPr>
              <w:pStyle w:val="TableParagraph"/>
              <w:spacing w:before="1"/>
              <w:rPr>
                <w:sz w:val="18"/>
              </w:rPr>
            </w:pPr>
            <w:r>
              <w:rPr>
                <w:w w:val="99"/>
                <w:sz w:val="18"/>
              </w:rPr>
              <w:t>0</w:t>
            </w:r>
          </w:p>
        </w:tc>
        <w:tc>
          <w:tcPr>
            <w:tcW w:w="458" w:type="dxa"/>
          </w:tcPr>
          <w:p>
            <w:pPr>
              <w:pStyle w:val="TableParagraph"/>
              <w:spacing w:before="1"/>
              <w:ind w:left="175"/>
              <w:jc w:val="left"/>
              <w:rPr>
                <w:sz w:val="18"/>
              </w:rPr>
            </w:pPr>
            <w:r>
              <w:rPr>
                <w:w w:val="99"/>
                <w:sz w:val="18"/>
              </w:rPr>
              <w:t>0</w:t>
            </w:r>
          </w:p>
        </w:tc>
        <w:tc>
          <w:tcPr>
            <w:tcW w:w="456" w:type="dxa"/>
          </w:tcPr>
          <w:p>
            <w:pPr>
              <w:pStyle w:val="TableParagraph"/>
              <w:spacing w:before="1"/>
              <w:rPr>
                <w:sz w:val="18"/>
              </w:rPr>
            </w:pPr>
            <w:r>
              <w:rPr>
                <w:w w:val="99"/>
                <w:sz w:val="18"/>
              </w:rPr>
              <w:t>0</w:t>
            </w:r>
          </w:p>
        </w:tc>
        <w:tc>
          <w:tcPr>
            <w:tcW w:w="458" w:type="dxa"/>
          </w:tcPr>
          <w:p>
            <w:pPr>
              <w:pStyle w:val="TableParagraph"/>
              <w:spacing w:before="1"/>
              <w:ind w:left="1"/>
              <w:rPr>
                <w:sz w:val="18"/>
              </w:rPr>
            </w:pPr>
            <w:r>
              <w:rPr>
                <w:w w:val="99"/>
                <w:sz w:val="18"/>
              </w:rPr>
              <w:t>0</w:t>
            </w:r>
          </w:p>
        </w:tc>
        <w:tc>
          <w:tcPr>
            <w:tcW w:w="456" w:type="dxa"/>
          </w:tcPr>
          <w:p>
            <w:pPr>
              <w:pStyle w:val="TableParagraph"/>
              <w:spacing w:before="1"/>
              <w:ind w:left="172"/>
              <w:jc w:val="left"/>
              <w:rPr>
                <w:sz w:val="18"/>
              </w:rPr>
            </w:pPr>
            <w:r>
              <w:rPr>
                <w:w w:val="99"/>
                <w:sz w:val="18"/>
              </w:rPr>
              <w:t>1</w:t>
            </w:r>
          </w:p>
        </w:tc>
        <w:tc>
          <w:tcPr>
            <w:tcW w:w="456" w:type="dxa"/>
          </w:tcPr>
          <w:p>
            <w:pPr>
              <w:pStyle w:val="TableParagraph"/>
              <w:spacing w:before="1"/>
              <w:ind w:left="172"/>
              <w:jc w:val="left"/>
              <w:rPr>
                <w:sz w:val="18"/>
              </w:rPr>
            </w:pPr>
            <w:r>
              <w:rPr>
                <w:w w:val="99"/>
                <w:sz w:val="18"/>
              </w:rPr>
              <w:t>0</w:t>
            </w:r>
          </w:p>
        </w:tc>
        <w:tc>
          <w:tcPr>
            <w:tcW w:w="458" w:type="dxa"/>
          </w:tcPr>
          <w:p>
            <w:pPr>
              <w:pStyle w:val="TableParagraph"/>
              <w:spacing w:before="1"/>
              <w:ind w:left="175"/>
              <w:jc w:val="left"/>
              <w:rPr>
                <w:sz w:val="18"/>
              </w:rPr>
            </w:pPr>
            <w:r>
              <w:rPr>
                <w:w w:val="99"/>
                <w:sz w:val="18"/>
              </w:rPr>
              <w:t>1</w:t>
            </w:r>
          </w:p>
        </w:tc>
        <w:tc>
          <w:tcPr>
            <w:tcW w:w="475" w:type="dxa"/>
          </w:tcPr>
          <w:p>
            <w:pPr>
              <w:pStyle w:val="TableParagraph"/>
              <w:spacing w:before="1"/>
              <w:rPr>
                <w:sz w:val="18"/>
              </w:rPr>
            </w:pPr>
            <w:r>
              <w:rPr>
                <w:w w:val="99"/>
                <w:sz w:val="18"/>
              </w:rPr>
              <w:t>0</w:t>
            </w:r>
          </w:p>
        </w:tc>
        <w:tc>
          <w:tcPr>
            <w:tcW w:w="456" w:type="dxa"/>
          </w:tcPr>
          <w:p>
            <w:pPr>
              <w:pStyle w:val="TableParagraph"/>
              <w:spacing w:before="1"/>
              <w:rPr>
                <w:sz w:val="18"/>
              </w:rPr>
            </w:pPr>
            <w:r>
              <w:rPr>
                <w:w w:val="99"/>
                <w:sz w:val="18"/>
              </w:rPr>
              <w:t>0</w:t>
            </w:r>
          </w:p>
        </w:tc>
        <w:tc>
          <w:tcPr>
            <w:tcW w:w="459" w:type="dxa"/>
          </w:tcPr>
          <w:p>
            <w:pPr>
              <w:pStyle w:val="TableParagraph"/>
              <w:spacing w:before="1"/>
              <w:ind w:left="175"/>
              <w:jc w:val="left"/>
              <w:rPr>
                <w:sz w:val="18"/>
              </w:rPr>
            </w:pPr>
            <w:r>
              <w:rPr>
                <w:w w:val="99"/>
                <w:sz w:val="18"/>
              </w:rPr>
              <w:t>0</w:t>
            </w:r>
          </w:p>
        </w:tc>
        <w:tc>
          <w:tcPr>
            <w:tcW w:w="456" w:type="dxa"/>
          </w:tcPr>
          <w:p>
            <w:pPr>
              <w:pStyle w:val="TableParagraph"/>
              <w:spacing w:before="1"/>
              <w:rPr>
                <w:sz w:val="18"/>
              </w:rPr>
            </w:pPr>
            <w:r>
              <w:rPr>
                <w:w w:val="99"/>
                <w:sz w:val="18"/>
              </w:rPr>
              <w:t>0</w:t>
            </w:r>
          </w:p>
        </w:tc>
        <w:tc>
          <w:tcPr>
            <w:tcW w:w="456" w:type="dxa"/>
          </w:tcPr>
          <w:p>
            <w:pPr>
              <w:pStyle w:val="TableParagraph"/>
              <w:spacing w:before="1"/>
              <w:rPr>
                <w:sz w:val="18"/>
              </w:rPr>
            </w:pPr>
            <w:r>
              <w:rPr>
                <w:w w:val="99"/>
                <w:sz w:val="18"/>
              </w:rPr>
              <w:t>0</w:t>
            </w:r>
          </w:p>
        </w:tc>
        <w:tc>
          <w:tcPr>
            <w:tcW w:w="475" w:type="dxa"/>
          </w:tcPr>
          <w:p>
            <w:pPr>
              <w:pStyle w:val="TableParagraph"/>
              <w:spacing w:line="204" w:lineRule="exact"/>
              <w:ind w:left="4"/>
              <w:rPr>
                <w:b/>
                <w:sz w:val="18"/>
              </w:rPr>
            </w:pPr>
            <w:r>
              <w:rPr>
                <w:b/>
                <w:w w:val="99"/>
                <w:sz w:val="18"/>
              </w:rPr>
              <w:t>2</w:t>
            </w:r>
          </w:p>
        </w:tc>
      </w:tr>
      <w:tr>
        <w:trPr>
          <w:trHeight w:val="320" w:hRule="exact"/>
        </w:trPr>
        <w:tc>
          <w:tcPr>
            <w:tcW w:w="2971" w:type="dxa"/>
            <w:tcBorders>
              <w:left w:val="single" w:sz="8" w:space="0" w:color="000000"/>
              <w:right w:val="single" w:sz="8" w:space="0" w:color="000000"/>
            </w:tcBorders>
          </w:tcPr>
          <w:p>
            <w:pPr>
              <w:pStyle w:val="TableParagraph"/>
              <w:spacing w:line="202" w:lineRule="exact"/>
              <w:ind w:left="62"/>
              <w:jc w:val="left"/>
              <w:rPr>
                <w:b/>
                <w:sz w:val="18"/>
              </w:rPr>
            </w:pPr>
            <w:r>
              <w:rPr>
                <w:b/>
                <w:color w:val="333333"/>
                <w:sz w:val="18"/>
              </w:rPr>
              <w:t>AMATEPEC</w:t>
            </w:r>
          </w:p>
        </w:tc>
        <w:tc>
          <w:tcPr>
            <w:tcW w:w="589" w:type="dxa"/>
            <w:tcBorders>
              <w:left w:val="single" w:sz="8" w:space="0" w:color="000000"/>
            </w:tcBorders>
          </w:tcPr>
          <w:p>
            <w:pPr>
              <w:pStyle w:val="TableParagraph"/>
              <w:spacing w:line="207" w:lineRule="exact"/>
              <w:rPr>
                <w:sz w:val="18"/>
              </w:rPr>
            </w:pPr>
            <w:r>
              <w:rPr>
                <w:w w:val="99"/>
                <w:sz w:val="18"/>
              </w:rPr>
              <w:t>0</w:t>
            </w:r>
          </w:p>
        </w:tc>
        <w:tc>
          <w:tcPr>
            <w:tcW w:w="588" w:type="dxa"/>
          </w:tcPr>
          <w:p>
            <w:pPr>
              <w:pStyle w:val="TableParagraph"/>
              <w:spacing w:line="207" w:lineRule="exact"/>
              <w:ind w:left="1"/>
              <w:rPr>
                <w:sz w:val="18"/>
              </w:rPr>
            </w:pPr>
            <w:r>
              <w:rPr>
                <w:w w:val="99"/>
                <w:sz w:val="18"/>
              </w:rPr>
              <w:t>0</w:t>
            </w:r>
          </w:p>
        </w:tc>
        <w:tc>
          <w:tcPr>
            <w:tcW w:w="456" w:type="dxa"/>
          </w:tcPr>
          <w:p>
            <w:pPr>
              <w:pStyle w:val="TableParagraph"/>
              <w:spacing w:line="207" w:lineRule="exact"/>
              <w:rPr>
                <w:sz w:val="18"/>
              </w:rPr>
            </w:pPr>
            <w:r>
              <w:rPr>
                <w:w w:val="99"/>
                <w:sz w:val="18"/>
              </w:rPr>
              <w:t>0</w:t>
            </w:r>
          </w:p>
        </w:tc>
        <w:tc>
          <w:tcPr>
            <w:tcW w:w="456" w:type="dxa"/>
          </w:tcPr>
          <w:p>
            <w:pPr>
              <w:pStyle w:val="TableParagraph"/>
              <w:spacing w:line="207" w:lineRule="exact"/>
              <w:ind w:left="4"/>
              <w:rPr>
                <w:sz w:val="18"/>
              </w:rPr>
            </w:pPr>
            <w:r>
              <w:rPr>
                <w:w w:val="99"/>
                <w:sz w:val="18"/>
              </w:rPr>
              <w:t>0</w:t>
            </w:r>
          </w:p>
        </w:tc>
        <w:tc>
          <w:tcPr>
            <w:tcW w:w="458" w:type="dxa"/>
          </w:tcPr>
          <w:p>
            <w:pPr>
              <w:pStyle w:val="TableParagraph"/>
              <w:spacing w:line="207" w:lineRule="exact"/>
              <w:ind w:right="171"/>
              <w:jc w:val="right"/>
              <w:rPr>
                <w:sz w:val="18"/>
              </w:rPr>
            </w:pPr>
            <w:r>
              <w:rPr>
                <w:w w:val="99"/>
                <w:sz w:val="18"/>
              </w:rPr>
              <w:t>0</w:t>
            </w:r>
          </w:p>
        </w:tc>
        <w:tc>
          <w:tcPr>
            <w:tcW w:w="456" w:type="dxa"/>
          </w:tcPr>
          <w:p>
            <w:pPr>
              <w:pStyle w:val="TableParagraph"/>
              <w:spacing w:line="207" w:lineRule="exact"/>
              <w:rPr>
                <w:sz w:val="18"/>
              </w:rPr>
            </w:pPr>
            <w:r>
              <w:rPr>
                <w:w w:val="99"/>
                <w:sz w:val="18"/>
              </w:rPr>
              <w:t>0</w:t>
            </w:r>
          </w:p>
        </w:tc>
        <w:tc>
          <w:tcPr>
            <w:tcW w:w="458" w:type="dxa"/>
          </w:tcPr>
          <w:p>
            <w:pPr>
              <w:pStyle w:val="TableParagraph"/>
              <w:spacing w:line="207" w:lineRule="exact"/>
              <w:ind w:left="175"/>
              <w:jc w:val="left"/>
              <w:rPr>
                <w:sz w:val="18"/>
              </w:rPr>
            </w:pPr>
            <w:r>
              <w:rPr>
                <w:w w:val="99"/>
                <w:sz w:val="18"/>
              </w:rPr>
              <w:t>0</w:t>
            </w:r>
          </w:p>
        </w:tc>
        <w:tc>
          <w:tcPr>
            <w:tcW w:w="456" w:type="dxa"/>
          </w:tcPr>
          <w:p>
            <w:pPr>
              <w:pStyle w:val="TableParagraph"/>
              <w:spacing w:line="207" w:lineRule="exact"/>
              <w:rPr>
                <w:sz w:val="18"/>
              </w:rPr>
            </w:pPr>
            <w:r>
              <w:rPr>
                <w:w w:val="99"/>
                <w:sz w:val="18"/>
              </w:rPr>
              <w:t>0</w:t>
            </w:r>
          </w:p>
        </w:tc>
        <w:tc>
          <w:tcPr>
            <w:tcW w:w="458" w:type="dxa"/>
          </w:tcPr>
          <w:p>
            <w:pPr>
              <w:pStyle w:val="TableParagraph"/>
              <w:spacing w:line="207" w:lineRule="exact"/>
              <w:ind w:left="1"/>
              <w:rPr>
                <w:sz w:val="18"/>
              </w:rPr>
            </w:pPr>
            <w:r>
              <w:rPr>
                <w:w w:val="99"/>
                <w:sz w:val="18"/>
              </w:rPr>
              <w:t>0</w:t>
            </w:r>
          </w:p>
        </w:tc>
        <w:tc>
          <w:tcPr>
            <w:tcW w:w="456" w:type="dxa"/>
          </w:tcPr>
          <w:p>
            <w:pPr>
              <w:pStyle w:val="TableParagraph"/>
              <w:spacing w:line="207" w:lineRule="exact"/>
              <w:ind w:left="172"/>
              <w:jc w:val="left"/>
              <w:rPr>
                <w:sz w:val="18"/>
              </w:rPr>
            </w:pPr>
            <w:r>
              <w:rPr>
                <w:w w:val="99"/>
                <w:sz w:val="18"/>
              </w:rPr>
              <w:t>0</w:t>
            </w:r>
          </w:p>
        </w:tc>
        <w:tc>
          <w:tcPr>
            <w:tcW w:w="456" w:type="dxa"/>
          </w:tcPr>
          <w:p>
            <w:pPr>
              <w:pStyle w:val="TableParagraph"/>
              <w:spacing w:line="207" w:lineRule="exact"/>
              <w:ind w:left="172"/>
              <w:jc w:val="left"/>
              <w:rPr>
                <w:sz w:val="18"/>
              </w:rPr>
            </w:pPr>
            <w:r>
              <w:rPr>
                <w:w w:val="99"/>
                <w:sz w:val="18"/>
              </w:rPr>
              <w:t>0</w:t>
            </w:r>
          </w:p>
        </w:tc>
        <w:tc>
          <w:tcPr>
            <w:tcW w:w="458" w:type="dxa"/>
          </w:tcPr>
          <w:p>
            <w:pPr>
              <w:pStyle w:val="TableParagraph"/>
              <w:spacing w:line="207" w:lineRule="exact"/>
              <w:ind w:left="175"/>
              <w:jc w:val="left"/>
              <w:rPr>
                <w:sz w:val="18"/>
              </w:rPr>
            </w:pPr>
            <w:r>
              <w:rPr>
                <w:w w:val="99"/>
                <w:sz w:val="18"/>
              </w:rPr>
              <w:t>0</w:t>
            </w:r>
          </w:p>
        </w:tc>
        <w:tc>
          <w:tcPr>
            <w:tcW w:w="475" w:type="dxa"/>
          </w:tcPr>
          <w:p>
            <w:pPr>
              <w:pStyle w:val="TableParagraph"/>
              <w:spacing w:line="207" w:lineRule="exact"/>
              <w:rPr>
                <w:sz w:val="18"/>
              </w:rPr>
            </w:pPr>
            <w:r>
              <w:rPr>
                <w:w w:val="99"/>
                <w:sz w:val="18"/>
              </w:rPr>
              <w:t>0</w:t>
            </w:r>
          </w:p>
        </w:tc>
        <w:tc>
          <w:tcPr>
            <w:tcW w:w="456" w:type="dxa"/>
          </w:tcPr>
          <w:p>
            <w:pPr>
              <w:pStyle w:val="TableParagraph"/>
              <w:spacing w:line="207" w:lineRule="exact"/>
              <w:rPr>
                <w:sz w:val="18"/>
              </w:rPr>
            </w:pPr>
            <w:r>
              <w:rPr>
                <w:w w:val="99"/>
                <w:sz w:val="18"/>
              </w:rPr>
              <w:t>0</w:t>
            </w:r>
          </w:p>
        </w:tc>
        <w:tc>
          <w:tcPr>
            <w:tcW w:w="459" w:type="dxa"/>
          </w:tcPr>
          <w:p>
            <w:pPr>
              <w:pStyle w:val="TableParagraph"/>
              <w:spacing w:line="207" w:lineRule="exact"/>
              <w:ind w:left="175"/>
              <w:jc w:val="left"/>
              <w:rPr>
                <w:sz w:val="18"/>
              </w:rPr>
            </w:pPr>
            <w:r>
              <w:rPr>
                <w:w w:val="99"/>
                <w:sz w:val="18"/>
              </w:rPr>
              <w:t>0</w:t>
            </w:r>
          </w:p>
        </w:tc>
        <w:tc>
          <w:tcPr>
            <w:tcW w:w="456" w:type="dxa"/>
          </w:tcPr>
          <w:p>
            <w:pPr>
              <w:pStyle w:val="TableParagraph"/>
              <w:spacing w:line="207" w:lineRule="exact"/>
              <w:rPr>
                <w:sz w:val="18"/>
              </w:rPr>
            </w:pPr>
            <w:r>
              <w:rPr>
                <w:w w:val="99"/>
                <w:sz w:val="18"/>
              </w:rPr>
              <w:t>0</w:t>
            </w:r>
          </w:p>
        </w:tc>
        <w:tc>
          <w:tcPr>
            <w:tcW w:w="456" w:type="dxa"/>
          </w:tcPr>
          <w:p>
            <w:pPr>
              <w:pStyle w:val="TableParagraph"/>
              <w:spacing w:line="207" w:lineRule="exact"/>
              <w:rPr>
                <w:sz w:val="18"/>
              </w:rPr>
            </w:pPr>
            <w:r>
              <w:rPr>
                <w:w w:val="99"/>
                <w:sz w:val="18"/>
              </w:rPr>
              <w:t>0</w:t>
            </w:r>
          </w:p>
        </w:tc>
        <w:tc>
          <w:tcPr>
            <w:tcW w:w="475" w:type="dxa"/>
          </w:tcPr>
          <w:p>
            <w:pPr>
              <w:pStyle w:val="TableParagraph"/>
              <w:spacing w:line="202" w:lineRule="exact"/>
              <w:ind w:left="4"/>
              <w:rPr>
                <w:b/>
                <w:sz w:val="18"/>
              </w:rPr>
            </w:pPr>
            <w:r>
              <w:rPr>
                <w:b/>
                <w:w w:val="99"/>
                <w:sz w:val="18"/>
              </w:rPr>
              <w:t>0</w:t>
            </w:r>
          </w:p>
        </w:tc>
      </w:tr>
      <w:tr>
        <w:trPr>
          <w:trHeight w:val="322" w:hRule="exact"/>
        </w:trPr>
        <w:tc>
          <w:tcPr>
            <w:tcW w:w="2971" w:type="dxa"/>
            <w:tcBorders>
              <w:left w:val="single" w:sz="8" w:space="0" w:color="000000"/>
              <w:right w:val="single" w:sz="8" w:space="0" w:color="000000"/>
            </w:tcBorders>
          </w:tcPr>
          <w:p>
            <w:pPr>
              <w:pStyle w:val="TableParagraph"/>
              <w:spacing w:line="204" w:lineRule="exact"/>
              <w:ind w:left="62"/>
              <w:jc w:val="left"/>
              <w:rPr>
                <w:b/>
                <w:sz w:val="18"/>
              </w:rPr>
            </w:pPr>
            <w:r>
              <w:rPr>
                <w:b/>
                <w:color w:val="333333"/>
                <w:sz w:val="18"/>
              </w:rPr>
              <w:t>AMECAMECA</w:t>
            </w:r>
          </w:p>
        </w:tc>
        <w:tc>
          <w:tcPr>
            <w:tcW w:w="589" w:type="dxa"/>
            <w:tcBorders>
              <w:left w:val="single" w:sz="8" w:space="0" w:color="000000"/>
            </w:tcBorders>
          </w:tcPr>
          <w:p>
            <w:pPr>
              <w:pStyle w:val="TableParagraph"/>
              <w:spacing w:before="1"/>
              <w:rPr>
                <w:sz w:val="18"/>
              </w:rPr>
            </w:pPr>
            <w:r>
              <w:rPr>
                <w:w w:val="99"/>
                <w:sz w:val="18"/>
              </w:rPr>
              <w:t>0</w:t>
            </w:r>
          </w:p>
        </w:tc>
        <w:tc>
          <w:tcPr>
            <w:tcW w:w="588" w:type="dxa"/>
          </w:tcPr>
          <w:p>
            <w:pPr>
              <w:pStyle w:val="TableParagraph"/>
              <w:spacing w:before="1"/>
              <w:ind w:left="1"/>
              <w:rPr>
                <w:sz w:val="18"/>
              </w:rPr>
            </w:pPr>
            <w:r>
              <w:rPr>
                <w:w w:val="99"/>
                <w:sz w:val="18"/>
              </w:rPr>
              <w:t>0</w:t>
            </w:r>
          </w:p>
        </w:tc>
        <w:tc>
          <w:tcPr>
            <w:tcW w:w="456" w:type="dxa"/>
          </w:tcPr>
          <w:p>
            <w:pPr>
              <w:pStyle w:val="TableParagraph"/>
              <w:spacing w:before="1"/>
              <w:rPr>
                <w:sz w:val="18"/>
              </w:rPr>
            </w:pPr>
            <w:r>
              <w:rPr>
                <w:w w:val="99"/>
                <w:sz w:val="18"/>
              </w:rPr>
              <w:t>0</w:t>
            </w:r>
          </w:p>
        </w:tc>
        <w:tc>
          <w:tcPr>
            <w:tcW w:w="456" w:type="dxa"/>
          </w:tcPr>
          <w:p>
            <w:pPr>
              <w:pStyle w:val="TableParagraph"/>
              <w:spacing w:before="1"/>
              <w:ind w:left="4"/>
              <w:rPr>
                <w:sz w:val="18"/>
              </w:rPr>
            </w:pPr>
            <w:r>
              <w:rPr>
                <w:w w:val="99"/>
                <w:sz w:val="18"/>
              </w:rPr>
              <w:t>0</w:t>
            </w:r>
          </w:p>
        </w:tc>
        <w:tc>
          <w:tcPr>
            <w:tcW w:w="458" w:type="dxa"/>
          </w:tcPr>
          <w:p>
            <w:pPr>
              <w:pStyle w:val="TableParagraph"/>
              <w:spacing w:before="1"/>
              <w:ind w:right="171"/>
              <w:jc w:val="right"/>
              <w:rPr>
                <w:sz w:val="18"/>
              </w:rPr>
            </w:pPr>
            <w:r>
              <w:rPr>
                <w:w w:val="99"/>
                <w:sz w:val="18"/>
              </w:rPr>
              <w:t>0</w:t>
            </w:r>
          </w:p>
        </w:tc>
        <w:tc>
          <w:tcPr>
            <w:tcW w:w="456" w:type="dxa"/>
          </w:tcPr>
          <w:p>
            <w:pPr>
              <w:pStyle w:val="TableParagraph"/>
              <w:spacing w:before="1"/>
              <w:rPr>
                <w:sz w:val="18"/>
              </w:rPr>
            </w:pPr>
            <w:r>
              <w:rPr>
                <w:w w:val="99"/>
                <w:sz w:val="18"/>
              </w:rPr>
              <w:t>0</w:t>
            </w:r>
          </w:p>
        </w:tc>
        <w:tc>
          <w:tcPr>
            <w:tcW w:w="458" w:type="dxa"/>
          </w:tcPr>
          <w:p>
            <w:pPr>
              <w:pStyle w:val="TableParagraph"/>
              <w:spacing w:before="1"/>
              <w:ind w:left="175"/>
              <w:jc w:val="left"/>
              <w:rPr>
                <w:sz w:val="18"/>
              </w:rPr>
            </w:pPr>
            <w:r>
              <w:rPr>
                <w:w w:val="99"/>
                <w:sz w:val="18"/>
              </w:rPr>
              <w:t>0</w:t>
            </w:r>
          </w:p>
        </w:tc>
        <w:tc>
          <w:tcPr>
            <w:tcW w:w="456" w:type="dxa"/>
          </w:tcPr>
          <w:p>
            <w:pPr>
              <w:pStyle w:val="TableParagraph"/>
              <w:spacing w:before="1"/>
              <w:rPr>
                <w:sz w:val="18"/>
              </w:rPr>
            </w:pPr>
            <w:r>
              <w:rPr>
                <w:w w:val="99"/>
                <w:sz w:val="18"/>
              </w:rPr>
              <w:t>0</w:t>
            </w:r>
          </w:p>
        </w:tc>
        <w:tc>
          <w:tcPr>
            <w:tcW w:w="458" w:type="dxa"/>
          </w:tcPr>
          <w:p>
            <w:pPr>
              <w:pStyle w:val="TableParagraph"/>
              <w:spacing w:before="1"/>
              <w:ind w:left="1"/>
              <w:rPr>
                <w:sz w:val="18"/>
              </w:rPr>
            </w:pPr>
            <w:r>
              <w:rPr>
                <w:w w:val="99"/>
                <w:sz w:val="18"/>
              </w:rPr>
              <w:t>0</w:t>
            </w:r>
          </w:p>
        </w:tc>
        <w:tc>
          <w:tcPr>
            <w:tcW w:w="456" w:type="dxa"/>
          </w:tcPr>
          <w:p>
            <w:pPr>
              <w:pStyle w:val="TableParagraph"/>
              <w:spacing w:before="1"/>
              <w:ind w:left="172"/>
              <w:jc w:val="left"/>
              <w:rPr>
                <w:sz w:val="18"/>
              </w:rPr>
            </w:pPr>
            <w:r>
              <w:rPr>
                <w:w w:val="99"/>
                <w:sz w:val="18"/>
              </w:rPr>
              <w:t>0</w:t>
            </w:r>
          </w:p>
        </w:tc>
        <w:tc>
          <w:tcPr>
            <w:tcW w:w="456" w:type="dxa"/>
          </w:tcPr>
          <w:p>
            <w:pPr>
              <w:pStyle w:val="TableParagraph"/>
              <w:spacing w:before="1"/>
              <w:ind w:left="172"/>
              <w:jc w:val="left"/>
              <w:rPr>
                <w:sz w:val="18"/>
              </w:rPr>
            </w:pPr>
            <w:r>
              <w:rPr>
                <w:w w:val="99"/>
                <w:sz w:val="18"/>
              </w:rPr>
              <w:t>0</w:t>
            </w:r>
          </w:p>
        </w:tc>
        <w:tc>
          <w:tcPr>
            <w:tcW w:w="458" w:type="dxa"/>
          </w:tcPr>
          <w:p>
            <w:pPr>
              <w:pStyle w:val="TableParagraph"/>
              <w:spacing w:before="1"/>
              <w:ind w:left="175"/>
              <w:jc w:val="left"/>
              <w:rPr>
                <w:sz w:val="18"/>
              </w:rPr>
            </w:pPr>
            <w:r>
              <w:rPr>
                <w:w w:val="99"/>
                <w:sz w:val="18"/>
              </w:rPr>
              <w:t>0</w:t>
            </w:r>
          </w:p>
        </w:tc>
        <w:tc>
          <w:tcPr>
            <w:tcW w:w="475" w:type="dxa"/>
          </w:tcPr>
          <w:p>
            <w:pPr>
              <w:pStyle w:val="TableParagraph"/>
              <w:spacing w:before="1"/>
              <w:rPr>
                <w:sz w:val="18"/>
              </w:rPr>
            </w:pPr>
            <w:r>
              <w:rPr>
                <w:w w:val="99"/>
                <w:sz w:val="18"/>
              </w:rPr>
              <w:t>0</w:t>
            </w:r>
          </w:p>
        </w:tc>
        <w:tc>
          <w:tcPr>
            <w:tcW w:w="456" w:type="dxa"/>
          </w:tcPr>
          <w:p>
            <w:pPr>
              <w:pStyle w:val="TableParagraph"/>
              <w:spacing w:before="1"/>
              <w:rPr>
                <w:sz w:val="18"/>
              </w:rPr>
            </w:pPr>
            <w:r>
              <w:rPr>
                <w:w w:val="99"/>
                <w:sz w:val="18"/>
              </w:rPr>
              <w:t>0</w:t>
            </w:r>
          </w:p>
        </w:tc>
        <w:tc>
          <w:tcPr>
            <w:tcW w:w="459" w:type="dxa"/>
          </w:tcPr>
          <w:p>
            <w:pPr>
              <w:pStyle w:val="TableParagraph"/>
              <w:spacing w:before="1"/>
              <w:ind w:left="175"/>
              <w:jc w:val="left"/>
              <w:rPr>
                <w:sz w:val="18"/>
              </w:rPr>
            </w:pPr>
            <w:r>
              <w:rPr>
                <w:w w:val="99"/>
                <w:sz w:val="18"/>
              </w:rPr>
              <w:t>0</w:t>
            </w:r>
          </w:p>
        </w:tc>
        <w:tc>
          <w:tcPr>
            <w:tcW w:w="456" w:type="dxa"/>
          </w:tcPr>
          <w:p>
            <w:pPr>
              <w:pStyle w:val="TableParagraph"/>
              <w:spacing w:before="1"/>
              <w:rPr>
                <w:sz w:val="18"/>
              </w:rPr>
            </w:pPr>
            <w:r>
              <w:rPr>
                <w:w w:val="99"/>
                <w:sz w:val="18"/>
              </w:rPr>
              <w:t>0</w:t>
            </w:r>
          </w:p>
        </w:tc>
        <w:tc>
          <w:tcPr>
            <w:tcW w:w="456" w:type="dxa"/>
          </w:tcPr>
          <w:p>
            <w:pPr>
              <w:pStyle w:val="TableParagraph"/>
              <w:spacing w:before="1"/>
              <w:rPr>
                <w:sz w:val="18"/>
              </w:rPr>
            </w:pPr>
            <w:r>
              <w:rPr>
                <w:w w:val="99"/>
                <w:sz w:val="18"/>
              </w:rPr>
              <w:t>0</w:t>
            </w:r>
          </w:p>
        </w:tc>
        <w:tc>
          <w:tcPr>
            <w:tcW w:w="475" w:type="dxa"/>
          </w:tcPr>
          <w:p>
            <w:pPr>
              <w:pStyle w:val="TableParagraph"/>
              <w:spacing w:line="204" w:lineRule="exact"/>
              <w:ind w:left="4"/>
              <w:rPr>
                <w:b/>
                <w:sz w:val="18"/>
              </w:rPr>
            </w:pPr>
            <w:r>
              <w:rPr>
                <w:b/>
                <w:w w:val="99"/>
                <w:sz w:val="18"/>
              </w:rPr>
              <w:t>0</w:t>
            </w:r>
          </w:p>
        </w:tc>
      </w:tr>
      <w:tr>
        <w:trPr>
          <w:trHeight w:val="322" w:hRule="exact"/>
        </w:trPr>
        <w:tc>
          <w:tcPr>
            <w:tcW w:w="2971" w:type="dxa"/>
            <w:tcBorders>
              <w:left w:val="single" w:sz="8" w:space="0" w:color="000000"/>
              <w:right w:val="single" w:sz="8" w:space="0" w:color="000000"/>
            </w:tcBorders>
          </w:tcPr>
          <w:p>
            <w:pPr>
              <w:pStyle w:val="TableParagraph"/>
              <w:spacing w:line="201" w:lineRule="exact"/>
              <w:ind w:left="62"/>
              <w:jc w:val="left"/>
              <w:rPr>
                <w:b/>
                <w:sz w:val="18"/>
              </w:rPr>
            </w:pPr>
            <w:r>
              <w:rPr>
                <w:b/>
                <w:color w:val="333333"/>
                <w:sz w:val="18"/>
              </w:rPr>
              <w:t>APAXCO</w:t>
            </w:r>
          </w:p>
        </w:tc>
        <w:tc>
          <w:tcPr>
            <w:tcW w:w="589" w:type="dxa"/>
            <w:tcBorders>
              <w:left w:val="single" w:sz="8" w:space="0" w:color="000000"/>
            </w:tcBorders>
          </w:tcPr>
          <w:p>
            <w:pPr>
              <w:pStyle w:val="TableParagraph"/>
              <w:spacing w:line="206" w:lineRule="exact"/>
              <w:rPr>
                <w:sz w:val="18"/>
              </w:rPr>
            </w:pPr>
            <w:r>
              <w:rPr>
                <w:w w:val="99"/>
                <w:sz w:val="18"/>
              </w:rPr>
              <w:t>0</w:t>
            </w:r>
          </w:p>
        </w:tc>
        <w:tc>
          <w:tcPr>
            <w:tcW w:w="588" w:type="dxa"/>
          </w:tcPr>
          <w:p>
            <w:pPr>
              <w:pStyle w:val="TableParagraph"/>
              <w:spacing w:line="206" w:lineRule="exact"/>
              <w:ind w:left="1"/>
              <w:rPr>
                <w:sz w:val="18"/>
              </w:rPr>
            </w:pPr>
            <w:r>
              <w:rPr>
                <w:w w:val="99"/>
                <w:sz w:val="18"/>
              </w:rPr>
              <w:t>0</w:t>
            </w:r>
          </w:p>
        </w:tc>
        <w:tc>
          <w:tcPr>
            <w:tcW w:w="456" w:type="dxa"/>
          </w:tcPr>
          <w:p>
            <w:pPr>
              <w:pStyle w:val="TableParagraph"/>
              <w:spacing w:line="206" w:lineRule="exact"/>
              <w:rPr>
                <w:sz w:val="18"/>
              </w:rPr>
            </w:pPr>
            <w:r>
              <w:rPr>
                <w:w w:val="99"/>
                <w:sz w:val="18"/>
              </w:rPr>
              <w:t>0</w:t>
            </w:r>
          </w:p>
        </w:tc>
        <w:tc>
          <w:tcPr>
            <w:tcW w:w="456" w:type="dxa"/>
          </w:tcPr>
          <w:p>
            <w:pPr>
              <w:pStyle w:val="TableParagraph"/>
              <w:spacing w:line="206" w:lineRule="exact"/>
              <w:ind w:left="4"/>
              <w:rPr>
                <w:sz w:val="18"/>
              </w:rPr>
            </w:pPr>
            <w:r>
              <w:rPr>
                <w:w w:val="99"/>
                <w:sz w:val="18"/>
              </w:rPr>
              <w:t>0</w:t>
            </w:r>
          </w:p>
        </w:tc>
        <w:tc>
          <w:tcPr>
            <w:tcW w:w="458" w:type="dxa"/>
          </w:tcPr>
          <w:p>
            <w:pPr>
              <w:pStyle w:val="TableParagraph"/>
              <w:spacing w:line="206" w:lineRule="exact"/>
              <w:ind w:right="171"/>
              <w:jc w:val="right"/>
              <w:rPr>
                <w:sz w:val="18"/>
              </w:rPr>
            </w:pPr>
            <w:r>
              <w:rPr>
                <w:w w:val="99"/>
                <w:sz w:val="18"/>
              </w:rPr>
              <w:t>0</w:t>
            </w:r>
          </w:p>
        </w:tc>
        <w:tc>
          <w:tcPr>
            <w:tcW w:w="456" w:type="dxa"/>
          </w:tcPr>
          <w:p>
            <w:pPr>
              <w:pStyle w:val="TableParagraph"/>
              <w:spacing w:line="206" w:lineRule="exact"/>
              <w:rPr>
                <w:sz w:val="18"/>
              </w:rPr>
            </w:pPr>
            <w:r>
              <w:rPr>
                <w:w w:val="99"/>
                <w:sz w:val="18"/>
              </w:rPr>
              <w:t>0</w:t>
            </w:r>
          </w:p>
        </w:tc>
        <w:tc>
          <w:tcPr>
            <w:tcW w:w="458" w:type="dxa"/>
          </w:tcPr>
          <w:p>
            <w:pPr>
              <w:pStyle w:val="TableParagraph"/>
              <w:spacing w:line="206" w:lineRule="exact"/>
              <w:ind w:left="175"/>
              <w:jc w:val="left"/>
              <w:rPr>
                <w:sz w:val="18"/>
              </w:rPr>
            </w:pPr>
            <w:r>
              <w:rPr>
                <w:w w:val="99"/>
                <w:sz w:val="18"/>
              </w:rPr>
              <w:t>0</w:t>
            </w:r>
          </w:p>
        </w:tc>
        <w:tc>
          <w:tcPr>
            <w:tcW w:w="456" w:type="dxa"/>
          </w:tcPr>
          <w:p>
            <w:pPr>
              <w:pStyle w:val="TableParagraph"/>
              <w:spacing w:line="206" w:lineRule="exact"/>
              <w:rPr>
                <w:sz w:val="18"/>
              </w:rPr>
            </w:pPr>
            <w:r>
              <w:rPr>
                <w:w w:val="99"/>
                <w:sz w:val="18"/>
              </w:rPr>
              <w:t>0</w:t>
            </w:r>
          </w:p>
        </w:tc>
        <w:tc>
          <w:tcPr>
            <w:tcW w:w="458" w:type="dxa"/>
          </w:tcPr>
          <w:p>
            <w:pPr>
              <w:pStyle w:val="TableParagraph"/>
              <w:spacing w:line="206" w:lineRule="exact"/>
              <w:ind w:left="1"/>
              <w:rPr>
                <w:sz w:val="18"/>
              </w:rPr>
            </w:pPr>
            <w:r>
              <w:rPr>
                <w:w w:val="99"/>
                <w:sz w:val="18"/>
              </w:rPr>
              <w:t>0</w:t>
            </w:r>
          </w:p>
        </w:tc>
        <w:tc>
          <w:tcPr>
            <w:tcW w:w="456" w:type="dxa"/>
          </w:tcPr>
          <w:p>
            <w:pPr>
              <w:pStyle w:val="TableParagraph"/>
              <w:spacing w:line="206" w:lineRule="exact"/>
              <w:ind w:left="172"/>
              <w:jc w:val="left"/>
              <w:rPr>
                <w:sz w:val="18"/>
              </w:rPr>
            </w:pPr>
            <w:r>
              <w:rPr>
                <w:w w:val="99"/>
                <w:sz w:val="18"/>
              </w:rPr>
              <w:t>0</w:t>
            </w:r>
          </w:p>
        </w:tc>
        <w:tc>
          <w:tcPr>
            <w:tcW w:w="456" w:type="dxa"/>
          </w:tcPr>
          <w:p>
            <w:pPr>
              <w:pStyle w:val="TableParagraph"/>
              <w:spacing w:line="206" w:lineRule="exact"/>
              <w:ind w:left="172"/>
              <w:jc w:val="left"/>
              <w:rPr>
                <w:sz w:val="18"/>
              </w:rPr>
            </w:pPr>
            <w:r>
              <w:rPr>
                <w:w w:val="99"/>
                <w:sz w:val="18"/>
              </w:rPr>
              <w:t>0</w:t>
            </w:r>
          </w:p>
        </w:tc>
        <w:tc>
          <w:tcPr>
            <w:tcW w:w="458" w:type="dxa"/>
          </w:tcPr>
          <w:p>
            <w:pPr>
              <w:pStyle w:val="TableParagraph"/>
              <w:spacing w:line="206" w:lineRule="exact"/>
              <w:ind w:left="175"/>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56" w:type="dxa"/>
          </w:tcPr>
          <w:p>
            <w:pPr>
              <w:pStyle w:val="TableParagraph"/>
              <w:spacing w:line="206" w:lineRule="exact"/>
              <w:rPr>
                <w:sz w:val="18"/>
              </w:rPr>
            </w:pPr>
            <w:r>
              <w:rPr>
                <w:w w:val="99"/>
                <w:sz w:val="18"/>
              </w:rPr>
              <w:t>0</w:t>
            </w:r>
          </w:p>
        </w:tc>
        <w:tc>
          <w:tcPr>
            <w:tcW w:w="459" w:type="dxa"/>
          </w:tcPr>
          <w:p>
            <w:pPr>
              <w:pStyle w:val="TableParagraph"/>
              <w:spacing w:line="206" w:lineRule="exact"/>
              <w:ind w:left="175"/>
              <w:jc w:val="left"/>
              <w:rPr>
                <w:sz w:val="18"/>
              </w:rPr>
            </w:pPr>
            <w:r>
              <w:rPr>
                <w:w w:val="99"/>
                <w:sz w:val="18"/>
              </w:rPr>
              <w:t>0</w:t>
            </w:r>
          </w:p>
        </w:tc>
        <w:tc>
          <w:tcPr>
            <w:tcW w:w="456" w:type="dxa"/>
          </w:tcPr>
          <w:p>
            <w:pPr>
              <w:pStyle w:val="TableParagraph"/>
              <w:spacing w:line="206" w:lineRule="exact"/>
              <w:rPr>
                <w:sz w:val="18"/>
              </w:rPr>
            </w:pPr>
            <w:r>
              <w:rPr>
                <w:w w:val="99"/>
                <w:sz w:val="18"/>
              </w:rPr>
              <w:t>0</w:t>
            </w:r>
          </w:p>
        </w:tc>
        <w:tc>
          <w:tcPr>
            <w:tcW w:w="456" w:type="dxa"/>
          </w:tcPr>
          <w:p>
            <w:pPr>
              <w:pStyle w:val="TableParagraph"/>
              <w:spacing w:line="206" w:lineRule="exac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19" w:hRule="exact"/>
        </w:trPr>
        <w:tc>
          <w:tcPr>
            <w:tcW w:w="2971" w:type="dxa"/>
            <w:tcBorders>
              <w:left w:val="single" w:sz="8" w:space="0" w:color="000000"/>
              <w:right w:val="single" w:sz="8" w:space="0" w:color="000000"/>
            </w:tcBorders>
          </w:tcPr>
          <w:p>
            <w:pPr>
              <w:pStyle w:val="TableParagraph"/>
              <w:spacing w:line="201" w:lineRule="exact"/>
              <w:ind w:left="62"/>
              <w:jc w:val="left"/>
              <w:rPr>
                <w:b/>
                <w:sz w:val="18"/>
              </w:rPr>
            </w:pPr>
            <w:r>
              <w:rPr>
                <w:b/>
                <w:color w:val="333333"/>
                <w:sz w:val="18"/>
              </w:rPr>
              <w:t>ATENCO</w:t>
            </w:r>
          </w:p>
        </w:tc>
        <w:tc>
          <w:tcPr>
            <w:tcW w:w="589" w:type="dxa"/>
            <w:tcBorders>
              <w:left w:val="single" w:sz="8" w:space="0" w:color="000000"/>
            </w:tcBorders>
          </w:tcPr>
          <w:p>
            <w:pPr>
              <w:pStyle w:val="TableParagraph"/>
              <w:spacing w:line="206" w:lineRule="exact"/>
              <w:rPr>
                <w:sz w:val="18"/>
              </w:rPr>
            </w:pPr>
            <w:r>
              <w:rPr>
                <w:w w:val="99"/>
                <w:sz w:val="18"/>
              </w:rPr>
              <w:t>0</w:t>
            </w:r>
          </w:p>
        </w:tc>
        <w:tc>
          <w:tcPr>
            <w:tcW w:w="588" w:type="dxa"/>
          </w:tcPr>
          <w:p>
            <w:pPr>
              <w:pStyle w:val="TableParagraph"/>
              <w:spacing w:line="206" w:lineRule="exact"/>
              <w:ind w:left="1"/>
              <w:rPr>
                <w:sz w:val="18"/>
              </w:rPr>
            </w:pPr>
            <w:r>
              <w:rPr>
                <w:w w:val="99"/>
                <w:sz w:val="18"/>
              </w:rPr>
              <w:t>0</w:t>
            </w:r>
          </w:p>
        </w:tc>
        <w:tc>
          <w:tcPr>
            <w:tcW w:w="456" w:type="dxa"/>
          </w:tcPr>
          <w:p>
            <w:pPr>
              <w:pStyle w:val="TableParagraph"/>
              <w:spacing w:line="206" w:lineRule="exact"/>
              <w:rPr>
                <w:sz w:val="18"/>
              </w:rPr>
            </w:pPr>
            <w:r>
              <w:rPr>
                <w:w w:val="99"/>
                <w:sz w:val="18"/>
              </w:rPr>
              <w:t>0</w:t>
            </w:r>
          </w:p>
        </w:tc>
        <w:tc>
          <w:tcPr>
            <w:tcW w:w="456" w:type="dxa"/>
          </w:tcPr>
          <w:p>
            <w:pPr>
              <w:pStyle w:val="TableParagraph"/>
              <w:spacing w:line="206" w:lineRule="exact"/>
              <w:ind w:left="4"/>
              <w:rPr>
                <w:sz w:val="18"/>
              </w:rPr>
            </w:pPr>
            <w:r>
              <w:rPr>
                <w:w w:val="99"/>
                <w:sz w:val="18"/>
              </w:rPr>
              <w:t>0</w:t>
            </w:r>
          </w:p>
        </w:tc>
        <w:tc>
          <w:tcPr>
            <w:tcW w:w="458" w:type="dxa"/>
          </w:tcPr>
          <w:p>
            <w:pPr>
              <w:pStyle w:val="TableParagraph"/>
              <w:spacing w:line="206" w:lineRule="exact"/>
              <w:ind w:right="171"/>
              <w:jc w:val="right"/>
              <w:rPr>
                <w:sz w:val="18"/>
              </w:rPr>
            </w:pPr>
            <w:r>
              <w:rPr>
                <w:w w:val="99"/>
                <w:sz w:val="18"/>
              </w:rPr>
              <w:t>0</w:t>
            </w:r>
          </w:p>
        </w:tc>
        <w:tc>
          <w:tcPr>
            <w:tcW w:w="456" w:type="dxa"/>
          </w:tcPr>
          <w:p>
            <w:pPr>
              <w:pStyle w:val="TableParagraph"/>
              <w:spacing w:line="206" w:lineRule="exact"/>
              <w:rPr>
                <w:sz w:val="18"/>
              </w:rPr>
            </w:pPr>
            <w:r>
              <w:rPr>
                <w:w w:val="99"/>
                <w:sz w:val="18"/>
              </w:rPr>
              <w:t>0</w:t>
            </w:r>
          </w:p>
        </w:tc>
        <w:tc>
          <w:tcPr>
            <w:tcW w:w="458" w:type="dxa"/>
          </w:tcPr>
          <w:p>
            <w:pPr>
              <w:pStyle w:val="TableParagraph"/>
              <w:spacing w:line="206" w:lineRule="exact"/>
              <w:ind w:left="175"/>
              <w:jc w:val="left"/>
              <w:rPr>
                <w:sz w:val="18"/>
              </w:rPr>
            </w:pPr>
            <w:r>
              <w:rPr>
                <w:w w:val="99"/>
                <w:sz w:val="18"/>
              </w:rPr>
              <w:t>0</w:t>
            </w:r>
          </w:p>
        </w:tc>
        <w:tc>
          <w:tcPr>
            <w:tcW w:w="456" w:type="dxa"/>
          </w:tcPr>
          <w:p>
            <w:pPr>
              <w:pStyle w:val="TableParagraph"/>
              <w:spacing w:line="206" w:lineRule="exact"/>
              <w:rPr>
                <w:sz w:val="18"/>
              </w:rPr>
            </w:pPr>
            <w:r>
              <w:rPr>
                <w:w w:val="99"/>
                <w:sz w:val="18"/>
              </w:rPr>
              <w:t>0</w:t>
            </w:r>
          </w:p>
        </w:tc>
        <w:tc>
          <w:tcPr>
            <w:tcW w:w="458" w:type="dxa"/>
          </w:tcPr>
          <w:p>
            <w:pPr>
              <w:pStyle w:val="TableParagraph"/>
              <w:spacing w:line="206" w:lineRule="exact"/>
              <w:ind w:left="1"/>
              <w:rPr>
                <w:sz w:val="18"/>
              </w:rPr>
            </w:pPr>
            <w:r>
              <w:rPr>
                <w:w w:val="99"/>
                <w:sz w:val="18"/>
              </w:rPr>
              <w:t>0</w:t>
            </w:r>
          </w:p>
        </w:tc>
        <w:tc>
          <w:tcPr>
            <w:tcW w:w="456" w:type="dxa"/>
          </w:tcPr>
          <w:p>
            <w:pPr>
              <w:pStyle w:val="TableParagraph"/>
              <w:spacing w:line="206" w:lineRule="exact"/>
              <w:ind w:left="172"/>
              <w:jc w:val="left"/>
              <w:rPr>
                <w:sz w:val="18"/>
              </w:rPr>
            </w:pPr>
            <w:r>
              <w:rPr>
                <w:w w:val="99"/>
                <w:sz w:val="18"/>
              </w:rPr>
              <w:t>0</w:t>
            </w:r>
          </w:p>
        </w:tc>
        <w:tc>
          <w:tcPr>
            <w:tcW w:w="456" w:type="dxa"/>
          </w:tcPr>
          <w:p>
            <w:pPr>
              <w:pStyle w:val="TableParagraph"/>
              <w:spacing w:line="206" w:lineRule="exact"/>
              <w:ind w:left="172"/>
              <w:jc w:val="left"/>
              <w:rPr>
                <w:sz w:val="18"/>
              </w:rPr>
            </w:pPr>
            <w:r>
              <w:rPr>
                <w:w w:val="99"/>
                <w:sz w:val="18"/>
              </w:rPr>
              <w:t>0</w:t>
            </w:r>
          </w:p>
        </w:tc>
        <w:tc>
          <w:tcPr>
            <w:tcW w:w="458" w:type="dxa"/>
          </w:tcPr>
          <w:p>
            <w:pPr>
              <w:pStyle w:val="TableParagraph"/>
              <w:spacing w:line="206" w:lineRule="exact"/>
              <w:ind w:left="175"/>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56" w:type="dxa"/>
          </w:tcPr>
          <w:p>
            <w:pPr>
              <w:pStyle w:val="TableParagraph"/>
              <w:spacing w:line="206" w:lineRule="exact"/>
              <w:rPr>
                <w:sz w:val="18"/>
              </w:rPr>
            </w:pPr>
            <w:r>
              <w:rPr>
                <w:w w:val="99"/>
                <w:sz w:val="18"/>
              </w:rPr>
              <w:t>0</w:t>
            </w:r>
          </w:p>
        </w:tc>
        <w:tc>
          <w:tcPr>
            <w:tcW w:w="459" w:type="dxa"/>
          </w:tcPr>
          <w:p>
            <w:pPr>
              <w:pStyle w:val="TableParagraph"/>
              <w:spacing w:line="206" w:lineRule="exact"/>
              <w:ind w:left="175"/>
              <w:jc w:val="left"/>
              <w:rPr>
                <w:sz w:val="18"/>
              </w:rPr>
            </w:pPr>
            <w:r>
              <w:rPr>
                <w:w w:val="99"/>
                <w:sz w:val="18"/>
              </w:rPr>
              <w:t>0</w:t>
            </w:r>
          </w:p>
        </w:tc>
        <w:tc>
          <w:tcPr>
            <w:tcW w:w="456" w:type="dxa"/>
          </w:tcPr>
          <w:p>
            <w:pPr>
              <w:pStyle w:val="TableParagraph"/>
              <w:spacing w:line="206" w:lineRule="exact"/>
              <w:rPr>
                <w:sz w:val="18"/>
              </w:rPr>
            </w:pPr>
            <w:r>
              <w:rPr>
                <w:w w:val="99"/>
                <w:sz w:val="18"/>
              </w:rPr>
              <w:t>0</w:t>
            </w:r>
          </w:p>
        </w:tc>
        <w:tc>
          <w:tcPr>
            <w:tcW w:w="456" w:type="dxa"/>
          </w:tcPr>
          <w:p>
            <w:pPr>
              <w:pStyle w:val="TableParagraph"/>
              <w:spacing w:line="206" w:lineRule="exac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22" w:hRule="exact"/>
        </w:trPr>
        <w:tc>
          <w:tcPr>
            <w:tcW w:w="2971" w:type="dxa"/>
            <w:tcBorders>
              <w:left w:val="single" w:sz="8" w:space="0" w:color="000000"/>
              <w:right w:val="single" w:sz="8" w:space="0" w:color="000000"/>
            </w:tcBorders>
          </w:tcPr>
          <w:p>
            <w:pPr>
              <w:pStyle w:val="TableParagraph"/>
              <w:spacing w:line="201" w:lineRule="exact"/>
              <w:ind w:left="62"/>
              <w:jc w:val="left"/>
              <w:rPr>
                <w:b/>
                <w:sz w:val="18"/>
              </w:rPr>
            </w:pPr>
            <w:r>
              <w:rPr>
                <w:b/>
                <w:color w:val="333333"/>
                <w:sz w:val="18"/>
              </w:rPr>
              <w:t>ATIZAPAN</w:t>
            </w:r>
          </w:p>
        </w:tc>
        <w:tc>
          <w:tcPr>
            <w:tcW w:w="589" w:type="dxa"/>
            <w:tcBorders>
              <w:left w:val="single" w:sz="8" w:space="0" w:color="000000"/>
            </w:tcBorders>
          </w:tcPr>
          <w:p>
            <w:pPr>
              <w:pStyle w:val="TableParagraph"/>
              <w:spacing w:line="206" w:lineRule="exact"/>
              <w:rPr>
                <w:sz w:val="18"/>
              </w:rPr>
            </w:pPr>
            <w:r>
              <w:rPr>
                <w:w w:val="99"/>
                <w:sz w:val="18"/>
              </w:rPr>
              <w:t>0</w:t>
            </w:r>
          </w:p>
        </w:tc>
        <w:tc>
          <w:tcPr>
            <w:tcW w:w="588" w:type="dxa"/>
          </w:tcPr>
          <w:p>
            <w:pPr>
              <w:pStyle w:val="TableParagraph"/>
              <w:spacing w:line="206" w:lineRule="exact"/>
              <w:ind w:left="1"/>
              <w:rPr>
                <w:sz w:val="18"/>
              </w:rPr>
            </w:pPr>
            <w:r>
              <w:rPr>
                <w:w w:val="99"/>
                <w:sz w:val="18"/>
              </w:rPr>
              <w:t>0</w:t>
            </w:r>
          </w:p>
        </w:tc>
        <w:tc>
          <w:tcPr>
            <w:tcW w:w="456" w:type="dxa"/>
          </w:tcPr>
          <w:p>
            <w:pPr>
              <w:pStyle w:val="TableParagraph"/>
              <w:spacing w:line="206" w:lineRule="exact"/>
              <w:rPr>
                <w:sz w:val="18"/>
              </w:rPr>
            </w:pPr>
            <w:r>
              <w:rPr>
                <w:w w:val="99"/>
                <w:sz w:val="18"/>
              </w:rPr>
              <w:t>0</w:t>
            </w:r>
          </w:p>
        </w:tc>
        <w:tc>
          <w:tcPr>
            <w:tcW w:w="456" w:type="dxa"/>
          </w:tcPr>
          <w:p>
            <w:pPr>
              <w:pStyle w:val="TableParagraph"/>
              <w:spacing w:line="206" w:lineRule="exact"/>
              <w:ind w:left="4"/>
              <w:rPr>
                <w:sz w:val="18"/>
              </w:rPr>
            </w:pPr>
            <w:r>
              <w:rPr>
                <w:w w:val="99"/>
                <w:sz w:val="18"/>
              </w:rPr>
              <w:t>0</w:t>
            </w:r>
          </w:p>
        </w:tc>
        <w:tc>
          <w:tcPr>
            <w:tcW w:w="458" w:type="dxa"/>
          </w:tcPr>
          <w:p>
            <w:pPr>
              <w:pStyle w:val="TableParagraph"/>
              <w:spacing w:line="206" w:lineRule="exact"/>
              <w:ind w:right="171"/>
              <w:jc w:val="right"/>
              <w:rPr>
                <w:sz w:val="18"/>
              </w:rPr>
            </w:pPr>
            <w:r>
              <w:rPr>
                <w:w w:val="99"/>
                <w:sz w:val="18"/>
              </w:rPr>
              <w:t>0</w:t>
            </w:r>
          </w:p>
        </w:tc>
        <w:tc>
          <w:tcPr>
            <w:tcW w:w="456" w:type="dxa"/>
          </w:tcPr>
          <w:p>
            <w:pPr>
              <w:pStyle w:val="TableParagraph"/>
              <w:spacing w:line="206" w:lineRule="exact"/>
              <w:rPr>
                <w:sz w:val="18"/>
              </w:rPr>
            </w:pPr>
            <w:r>
              <w:rPr>
                <w:w w:val="99"/>
                <w:sz w:val="18"/>
              </w:rPr>
              <w:t>0</w:t>
            </w:r>
          </w:p>
        </w:tc>
        <w:tc>
          <w:tcPr>
            <w:tcW w:w="458" w:type="dxa"/>
          </w:tcPr>
          <w:p>
            <w:pPr>
              <w:pStyle w:val="TableParagraph"/>
              <w:spacing w:line="206" w:lineRule="exact"/>
              <w:ind w:left="175"/>
              <w:jc w:val="left"/>
              <w:rPr>
                <w:sz w:val="18"/>
              </w:rPr>
            </w:pPr>
            <w:r>
              <w:rPr>
                <w:w w:val="99"/>
                <w:sz w:val="18"/>
              </w:rPr>
              <w:t>0</w:t>
            </w:r>
          </w:p>
        </w:tc>
        <w:tc>
          <w:tcPr>
            <w:tcW w:w="456" w:type="dxa"/>
          </w:tcPr>
          <w:p>
            <w:pPr>
              <w:pStyle w:val="TableParagraph"/>
              <w:spacing w:line="206" w:lineRule="exact"/>
              <w:rPr>
                <w:sz w:val="18"/>
              </w:rPr>
            </w:pPr>
            <w:r>
              <w:rPr>
                <w:w w:val="99"/>
                <w:sz w:val="18"/>
              </w:rPr>
              <w:t>0</w:t>
            </w:r>
          </w:p>
        </w:tc>
        <w:tc>
          <w:tcPr>
            <w:tcW w:w="458" w:type="dxa"/>
          </w:tcPr>
          <w:p>
            <w:pPr>
              <w:pStyle w:val="TableParagraph"/>
              <w:spacing w:line="206" w:lineRule="exact"/>
              <w:ind w:left="1"/>
              <w:rPr>
                <w:sz w:val="18"/>
              </w:rPr>
            </w:pPr>
            <w:r>
              <w:rPr>
                <w:w w:val="99"/>
                <w:sz w:val="18"/>
              </w:rPr>
              <w:t>0</w:t>
            </w:r>
          </w:p>
        </w:tc>
        <w:tc>
          <w:tcPr>
            <w:tcW w:w="456" w:type="dxa"/>
          </w:tcPr>
          <w:p>
            <w:pPr>
              <w:pStyle w:val="TableParagraph"/>
              <w:spacing w:line="206" w:lineRule="exact"/>
              <w:ind w:left="172"/>
              <w:jc w:val="left"/>
              <w:rPr>
                <w:sz w:val="18"/>
              </w:rPr>
            </w:pPr>
            <w:r>
              <w:rPr>
                <w:w w:val="99"/>
                <w:sz w:val="18"/>
              </w:rPr>
              <w:t>0</w:t>
            </w:r>
          </w:p>
        </w:tc>
        <w:tc>
          <w:tcPr>
            <w:tcW w:w="456" w:type="dxa"/>
          </w:tcPr>
          <w:p>
            <w:pPr>
              <w:pStyle w:val="TableParagraph"/>
              <w:spacing w:line="206" w:lineRule="exact"/>
              <w:ind w:left="172"/>
              <w:jc w:val="left"/>
              <w:rPr>
                <w:sz w:val="18"/>
              </w:rPr>
            </w:pPr>
            <w:r>
              <w:rPr>
                <w:w w:val="99"/>
                <w:sz w:val="18"/>
              </w:rPr>
              <w:t>0</w:t>
            </w:r>
          </w:p>
        </w:tc>
        <w:tc>
          <w:tcPr>
            <w:tcW w:w="458" w:type="dxa"/>
          </w:tcPr>
          <w:p>
            <w:pPr>
              <w:pStyle w:val="TableParagraph"/>
              <w:spacing w:line="206" w:lineRule="exact"/>
              <w:ind w:left="175"/>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56" w:type="dxa"/>
          </w:tcPr>
          <w:p>
            <w:pPr>
              <w:pStyle w:val="TableParagraph"/>
              <w:spacing w:line="206" w:lineRule="exact"/>
              <w:rPr>
                <w:sz w:val="18"/>
              </w:rPr>
            </w:pPr>
            <w:r>
              <w:rPr>
                <w:w w:val="99"/>
                <w:sz w:val="18"/>
              </w:rPr>
              <w:t>0</w:t>
            </w:r>
          </w:p>
        </w:tc>
        <w:tc>
          <w:tcPr>
            <w:tcW w:w="459" w:type="dxa"/>
          </w:tcPr>
          <w:p>
            <w:pPr>
              <w:pStyle w:val="TableParagraph"/>
              <w:spacing w:line="206" w:lineRule="exact"/>
              <w:ind w:left="175"/>
              <w:jc w:val="left"/>
              <w:rPr>
                <w:sz w:val="18"/>
              </w:rPr>
            </w:pPr>
            <w:r>
              <w:rPr>
                <w:w w:val="99"/>
                <w:sz w:val="18"/>
              </w:rPr>
              <w:t>0</w:t>
            </w:r>
          </w:p>
        </w:tc>
        <w:tc>
          <w:tcPr>
            <w:tcW w:w="456" w:type="dxa"/>
          </w:tcPr>
          <w:p>
            <w:pPr>
              <w:pStyle w:val="TableParagraph"/>
              <w:spacing w:line="206" w:lineRule="exact"/>
              <w:rPr>
                <w:sz w:val="18"/>
              </w:rPr>
            </w:pPr>
            <w:r>
              <w:rPr>
                <w:w w:val="99"/>
                <w:sz w:val="18"/>
              </w:rPr>
              <w:t>0</w:t>
            </w:r>
          </w:p>
        </w:tc>
        <w:tc>
          <w:tcPr>
            <w:tcW w:w="456" w:type="dxa"/>
          </w:tcPr>
          <w:p>
            <w:pPr>
              <w:pStyle w:val="TableParagraph"/>
              <w:spacing w:line="206" w:lineRule="exac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19" w:hRule="exact"/>
        </w:trPr>
        <w:tc>
          <w:tcPr>
            <w:tcW w:w="2971" w:type="dxa"/>
            <w:tcBorders>
              <w:left w:val="single" w:sz="8" w:space="0" w:color="000000"/>
              <w:right w:val="single" w:sz="8" w:space="0" w:color="000000"/>
            </w:tcBorders>
          </w:tcPr>
          <w:p>
            <w:pPr>
              <w:pStyle w:val="TableParagraph"/>
              <w:spacing w:line="201" w:lineRule="exact"/>
              <w:ind w:left="62"/>
              <w:jc w:val="left"/>
              <w:rPr>
                <w:b/>
                <w:sz w:val="18"/>
              </w:rPr>
            </w:pPr>
            <w:r>
              <w:rPr>
                <w:b/>
                <w:color w:val="333333"/>
                <w:sz w:val="18"/>
              </w:rPr>
              <w:t>ATIZAPAN DE ZARAGOZA</w:t>
            </w:r>
          </w:p>
        </w:tc>
        <w:tc>
          <w:tcPr>
            <w:tcW w:w="589" w:type="dxa"/>
            <w:tcBorders>
              <w:left w:val="single" w:sz="8" w:space="0" w:color="000000"/>
            </w:tcBorders>
          </w:tcPr>
          <w:p>
            <w:pPr>
              <w:pStyle w:val="TableParagraph"/>
              <w:spacing w:line="206" w:lineRule="exact"/>
              <w:rPr>
                <w:sz w:val="18"/>
              </w:rPr>
            </w:pPr>
            <w:r>
              <w:rPr>
                <w:w w:val="99"/>
                <w:sz w:val="18"/>
              </w:rPr>
              <w:t>0</w:t>
            </w:r>
          </w:p>
        </w:tc>
        <w:tc>
          <w:tcPr>
            <w:tcW w:w="588" w:type="dxa"/>
          </w:tcPr>
          <w:p>
            <w:pPr>
              <w:pStyle w:val="TableParagraph"/>
              <w:spacing w:line="206" w:lineRule="exact"/>
              <w:ind w:left="1"/>
              <w:rPr>
                <w:sz w:val="18"/>
              </w:rPr>
            </w:pPr>
            <w:r>
              <w:rPr>
                <w:w w:val="99"/>
                <w:sz w:val="18"/>
              </w:rPr>
              <w:t>0</w:t>
            </w:r>
          </w:p>
        </w:tc>
        <w:tc>
          <w:tcPr>
            <w:tcW w:w="456" w:type="dxa"/>
          </w:tcPr>
          <w:p>
            <w:pPr>
              <w:pStyle w:val="TableParagraph"/>
              <w:spacing w:line="206" w:lineRule="exact"/>
              <w:rPr>
                <w:sz w:val="18"/>
              </w:rPr>
            </w:pPr>
            <w:r>
              <w:rPr>
                <w:w w:val="99"/>
                <w:sz w:val="18"/>
              </w:rPr>
              <w:t>0</w:t>
            </w:r>
          </w:p>
        </w:tc>
        <w:tc>
          <w:tcPr>
            <w:tcW w:w="456" w:type="dxa"/>
          </w:tcPr>
          <w:p>
            <w:pPr>
              <w:pStyle w:val="TableParagraph"/>
              <w:spacing w:line="206" w:lineRule="exact"/>
              <w:ind w:left="4"/>
              <w:rPr>
                <w:sz w:val="18"/>
              </w:rPr>
            </w:pPr>
            <w:r>
              <w:rPr>
                <w:w w:val="99"/>
                <w:sz w:val="18"/>
              </w:rPr>
              <w:t>0</w:t>
            </w:r>
          </w:p>
        </w:tc>
        <w:tc>
          <w:tcPr>
            <w:tcW w:w="458" w:type="dxa"/>
          </w:tcPr>
          <w:p>
            <w:pPr>
              <w:pStyle w:val="TableParagraph"/>
              <w:spacing w:line="206" w:lineRule="exact"/>
              <w:ind w:right="171"/>
              <w:jc w:val="right"/>
              <w:rPr>
                <w:sz w:val="18"/>
              </w:rPr>
            </w:pPr>
            <w:r>
              <w:rPr>
                <w:w w:val="99"/>
                <w:sz w:val="18"/>
              </w:rPr>
              <w:t>0</w:t>
            </w:r>
          </w:p>
        </w:tc>
        <w:tc>
          <w:tcPr>
            <w:tcW w:w="456" w:type="dxa"/>
          </w:tcPr>
          <w:p>
            <w:pPr>
              <w:pStyle w:val="TableParagraph"/>
              <w:spacing w:line="206" w:lineRule="exact"/>
              <w:rPr>
                <w:sz w:val="18"/>
              </w:rPr>
            </w:pPr>
            <w:r>
              <w:rPr>
                <w:w w:val="99"/>
                <w:sz w:val="18"/>
              </w:rPr>
              <w:t>0</w:t>
            </w:r>
          </w:p>
        </w:tc>
        <w:tc>
          <w:tcPr>
            <w:tcW w:w="458" w:type="dxa"/>
          </w:tcPr>
          <w:p>
            <w:pPr>
              <w:pStyle w:val="TableParagraph"/>
              <w:spacing w:line="206" w:lineRule="exact"/>
              <w:ind w:left="175"/>
              <w:jc w:val="left"/>
              <w:rPr>
                <w:sz w:val="18"/>
              </w:rPr>
            </w:pPr>
            <w:r>
              <w:rPr>
                <w:w w:val="99"/>
                <w:sz w:val="18"/>
              </w:rPr>
              <w:t>0</w:t>
            </w:r>
          </w:p>
        </w:tc>
        <w:tc>
          <w:tcPr>
            <w:tcW w:w="456" w:type="dxa"/>
          </w:tcPr>
          <w:p>
            <w:pPr>
              <w:pStyle w:val="TableParagraph"/>
              <w:spacing w:line="206" w:lineRule="exact"/>
              <w:rPr>
                <w:sz w:val="18"/>
              </w:rPr>
            </w:pPr>
            <w:r>
              <w:rPr>
                <w:w w:val="99"/>
                <w:sz w:val="18"/>
              </w:rPr>
              <w:t>0</w:t>
            </w:r>
          </w:p>
        </w:tc>
        <w:tc>
          <w:tcPr>
            <w:tcW w:w="458" w:type="dxa"/>
          </w:tcPr>
          <w:p>
            <w:pPr>
              <w:pStyle w:val="TableParagraph"/>
              <w:spacing w:line="206" w:lineRule="exact"/>
              <w:ind w:left="1"/>
              <w:rPr>
                <w:sz w:val="18"/>
              </w:rPr>
            </w:pPr>
            <w:r>
              <w:rPr>
                <w:w w:val="99"/>
                <w:sz w:val="18"/>
              </w:rPr>
              <w:t>0</w:t>
            </w:r>
          </w:p>
        </w:tc>
        <w:tc>
          <w:tcPr>
            <w:tcW w:w="456" w:type="dxa"/>
          </w:tcPr>
          <w:p>
            <w:pPr>
              <w:pStyle w:val="TableParagraph"/>
              <w:spacing w:line="206" w:lineRule="exact"/>
              <w:ind w:left="172"/>
              <w:jc w:val="left"/>
              <w:rPr>
                <w:sz w:val="18"/>
              </w:rPr>
            </w:pPr>
            <w:r>
              <w:rPr>
                <w:w w:val="99"/>
                <w:sz w:val="18"/>
              </w:rPr>
              <w:t>0</w:t>
            </w:r>
          </w:p>
        </w:tc>
        <w:tc>
          <w:tcPr>
            <w:tcW w:w="456" w:type="dxa"/>
          </w:tcPr>
          <w:p>
            <w:pPr>
              <w:pStyle w:val="TableParagraph"/>
              <w:spacing w:line="206" w:lineRule="exact"/>
              <w:ind w:left="122"/>
              <w:jc w:val="left"/>
              <w:rPr>
                <w:sz w:val="18"/>
              </w:rPr>
            </w:pPr>
            <w:r>
              <w:rPr>
                <w:sz w:val="18"/>
              </w:rPr>
              <w:t>16</w:t>
            </w:r>
          </w:p>
        </w:tc>
        <w:tc>
          <w:tcPr>
            <w:tcW w:w="458" w:type="dxa"/>
          </w:tcPr>
          <w:p>
            <w:pPr>
              <w:pStyle w:val="TableParagraph"/>
              <w:spacing w:line="206" w:lineRule="exact"/>
              <w:ind w:left="124"/>
              <w:jc w:val="left"/>
              <w:rPr>
                <w:sz w:val="18"/>
              </w:rPr>
            </w:pPr>
            <w:r>
              <w:rPr>
                <w:sz w:val="18"/>
              </w:rPr>
              <w:t>12</w:t>
            </w:r>
          </w:p>
        </w:tc>
        <w:tc>
          <w:tcPr>
            <w:tcW w:w="475" w:type="dxa"/>
          </w:tcPr>
          <w:p>
            <w:pPr>
              <w:pStyle w:val="TableParagraph"/>
              <w:spacing w:line="206" w:lineRule="exact"/>
              <w:rPr>
                <w:sz w:val="18"/>
              </w:rPr>
            </w:pPr>
            <w:r>
              <w:rPr>
                <w:w w:val="99"/>
                <w:sz w:val="18"/>
              </w:rPr>
              <w:t>1</w:t>
            </w:r>
          </w:p>
        </w:tc>
        <w:tc>
          <w:tcPr>
            <w:tcW w:w="456" w:type="dxa"/>
          </w:tcPr>
          <w:p>
            <w:pPr>
              <w:pStyle w:val="TableParagraph"/>
              <w:spacing w:line="206" w:lineRule="exact"/>
              <w:rPr>
                <w:sz w:val="18"/>
              </w:rPr>
            </w:pPr>
            <w:r>
              <w:rPr>
                <w:w w:val="99"/>
                <w:sz w:val="18"/>
              </w:rPr>
              <w:t>0</w:t>
            </w:r>
          </w:p>
        </w:tc>
        <w:tc>
          <w:tcPr>
            <w:tcW w:w="459" w:type="dxa"/>
          </w:tcPr>
          <w:p>
            <w:pPr>
              <w:pStyle w:val="TableParagraph"/>
              <w:spacing w:line="206" w:lineRule="exact"/>
              <w:ind w:left="175"/>
              <w:jc w:val="left"/>
              <w:rPr>
                <w:sz w:val="18"/>
              </w:rPr>
            </w:pPr>
            <w:r>
              <w:rPr>
                <w:w w:val="99"/>
                <w:sz w:val="18"/>
              </w:rPr>
              <w:t>0</w:t>
            </w:r>
          </w:p>
        </w:tc>
        <w:tc>
          <w:tcPr>
            <w:tcW w:w="456" w:type="dxa"/>
          </w:tcPr>
          <w:p>
            <w:pPr>
              <w:pStyle w:val="TableParagraph"/>
              <w:spacing w:line="206" w:lineRule="exact"/>
              <w:rPr>
                <w:sz w:val="18"/>
              </w:rPr>
            </w:pPr>
            <w:r>
              <w:rPr>
                <w:w w:val="99"/>
                <w:sz w:val="18"/>
              </w:rPr>
              <w:t>0</w:t>
            </w:r>
          </w:p>
        </w:tc>
        <w:tc>
          <w:tcPr>
            <w:tcW w:w="456" w:type="dxa"/>
          </w:tcPr>
          <w:p>
            <w:pPr>
              <w:pStyle w:val="TableParagraph"/>
              <w:spacing w:line="206" w:lineRule="exact"/>
              <w:rPr>
                <w:sz w:val="18"/>
              </w:rPr>
            </w:pPr>
            <w:r>
              <w:rPr>
                <w:w w:val="99"/>
                <w:sz w:val="18"/>
              </w:rPr>
              <w:t>0</w:t>
            </w:r>
          </w:p>
        </w:tc>
        <w:tc>
          <w:tcPr>
            <w:tcW w:w="475" w:type="dxa"/>
          </w:tcPr>
          <w:p>
            <w:pPr>
              <w:pStyle w:val="TableParagraph"/>
              <w:spacing w:line="201" w:lineRule="exact"/>
              <w:ind w:left="62" w:right="58"/>
              <w:rPr>
                <w:b/>
                <w:sz w:val="18"/>
              </w:rPr>
            </w:pPr>
            <w:r>
              <w:rPr>
                <w:b/>
                <w:sz w:val="18"/>
              </w:rPr>
              <w:t>29</w:t>
            </w:r>
          </w:p>
        </w:tc>
      </w:tr>
      <w:tr>
        <w:trPr>
          <w:trHeight w:val="322" w:hRule="exact"/>
        </w:trPr>
        <w:tc>
          <w:tcPr>
            <w:tcW w:w="2971" w:type="dxa"/>
            <w:tcBorders>
              <w:left w:val="single" w:sz="8" w:space="0" w:color="000000"/>
              <w:right w:val="single" w:sz="8" w:space="0" w:color="000000"/>
            </w:tcBorders>
          </w:tcPr>
          <w:p>
            <w:pPr>
              <w:pStyle w:val="TableParagraph"/>
              <w:spacing w:line="201" w:lineRule="exact"/>
              <w:ind w:left="62"/>
              <w:jc w:val="left"/>
              <w:rPr>
                <w:b/>
                <w:sz w:val="18"/>
              </w:rPr>
            </w:pPr>
            <w:r>
              <w:rPr>
                <w:b/>
                <w:color w:val="333333"/>
                <w:sz w:val="18"/>
              </w:rPr>
              <w:t>ATLACOMULCO</w:t>
            </w:r>
          </w:p>
        </w:tc>
        <w:tc>
          <w:tcPr>
            <w:tcW w:w="589" w:type="dxa"/>
            <w:tcBorders>
              <w:left w:val="single" w:sz="8" w:space="0" w:color="000000"/>
            </w:tcBorders>
          </w:tcPr>
          <w:p>
            <w:pPr>
              <w:pStyle w:val="TableParagraph"/>
              <w:spacing w:line="206" w:lineRule="exact"/>
              <w:rPr>
                <w:sz w:val="18"/>
              </w:rPr>
            </w:pPr>
            <w:r>
              <w:rPr>
                <w:w w:val="99"/>
                <w:sz w:val="18"/>
              </w:rPr>
              <w:t>0</w:t>
            </w:r>
          </w:p>
        </w:tc>
        <w:tc>
          <w:tcPr>
            <w:tcW w:w="588" w:type="dxa"/>
          </w:tcPr>
          <w:p>
            <w:pPr>
              <w:pStyle w:val="TableParagraph"/>
              <w:spacing w:line="206" w:lineRule="exact"/>
              <w:ind w:left="1"/>
              <w:rPr>
                <w:sz w:val="18"/>
              </w:rPr>
            </w:pPr>
            <w:r>
              <w:rPr>
                <w:w w:val="99"/>
                <w:sz w:val="18"/>
              </w:rPr>
              <w:t>0</w:t>
            </w:r>
          </w:p>
        </w:tc>
        <w:tc>
          <w:tcPr>
            <w:tcW w:w="456" w:type="dxa"/>
          </w:tcPr>
          <w:p>
            <w:pPr>
              <w:pStyle w:val="TableParagraph"/>
              <w:spacing w:line="206" w:lineRule="exact"/>
              <w:ind w:left="51" w:right="51"/>
              <w:rPr>
                <w:sz w:val="18"/>
              </w:rPr>
            </w:pPr>
            <w:r>
              <w:rPr>
                <w:sz w:val="18"/>
              </w:rPr>
              <w:t>13</w:t>
            </w:r>
          </w:p>
        </w:tc>
        <w:tc>
          <w:tcPr>
            <w:tcW w:w="456" w:type="dxa"/>
          </w:tcPr>
          <w:p>
            <w:pPr>
              <w:pStyle w:val="TableParagraph"/>
              <w:spacing w:line="206" w:lineRule="exact"/>
              <w:ind w:left="4"/>
              <w:rPr>
                <w:sz w:val="18"/>
              </w:rPr>
            </w:pPr>
            <w:r>
              <w:rPr>
                <w:w w:val="99"/>
                <w:sz w:val="18"/>
              </w:rPr>
              <w:t>4</w:t>
            </w:r>
          </w:p>
        </w:tc>
        <w:tc>
          <w:tcPr>
            <w:tcW w:w="458" w:type="dxa"/>
          </w:tcPr>
          <w:p>
            <w:pPr>
              <w:pStyle w:val="TableParagraph"/>
              <w:spacing w:line="206" w:lineRule="exact"/>
              <w:ind w:right="171"/>
              <w:jc w:val="right"/>
              <w:rPr>
                <w:sz w:val="18"/>
              </w:rPr>
            </w:pPr>
            <w:r>
              <w:rPr>
                <w:w w:val="99"/>
                <w:sz w:val="18"/>
              </w:rPr>
              <w:t>0</w:t>
            </w:r>
          </w:p>
        </w:tc>
        <w:tc>
          <w:tcPr>
            <w:tcW w:w="456" w:type="dxa"/>
          </w:tcPr>
          <w:p>
            <w:pPr>
              <w:pStyle w:val="TableParagraph"/>
              <w:spacing w:line="206" w:lineRule="exact"/>
              <w:rPr>
                <w:sz w:val="18"/>
              </w:rPr>
            </w:pPr>
            <w:r>
              <w:rPr>
                <w:w w:val="99"/>
                <w:sz w:val="18"/>
              </w:rPr>
              <w:t>0</w:t>
            </w:r>
          </w:p>
        </w:tc>
        <w:tc>
          <w:tcPr>
            <w:tcW w:w="458" w:type="dxa"/>
          </w:tcPr>
          <w:p>
            <w:pPr>
              <w:pStyle w:val="TableParagraph"/>
              <w:spacing w:line="206" w:lineRule="exact"/>
              <w:ind w:left="175"/>
              <w:jc w:val="left"/>
              <w:rPr>
                <w:sz w:val="18"/>
              </w:rPr>
            </w:pPr>
            <w:r>
              <w:rPr>
                <w:w w:val="99"/>
                <w:sz w:val="18"/>
              </w:rPr>
              <w:t>0</w:t>
            </w:r>
          </w:p>
        </w:tc>
        <w:tc>
          <w:tcPr>
            <w:tcW w:w="456" w:type="dxa"/>
          </w:tcPr>
          <w:p>
            <w:pPr>
              <w:pStyle w:val="TableParagraph"/>
              <w:spacing w:line="206" w:lineRule="exact"/>
              <w:rPr>
                <w:sz w:val="18"/>
              </w:rPr>
            </w:pPr>
            <w:r>
              <w:rPr>
                <w:w w:val="99"/>
                <w:sz w:val="18"/>
              </w:rPr>
              <w:t>0</w:t>
            </w:r>
          </w:p>
        </w:tc>
        <w:tc>
          <w:tcPr>
            <w:tcW w:w="458" w:type="dxa"/>
          </w:tcPr>
          <w:p>
            <w:pPr>
              <w:pStyle w:val="TableParagraph"/>
              <w:spacing w:line="206" w:lineRule="exact"/>
              <w:ind w:left="55" w:right="53"/>
              <w:rPr>
                <w:sz w:val="18"/>
              </w:rPr>
            </w:pPr>
            <w:r>
              <w:rPr>
                <w:sz w:val="18"/>
              </w:rPr>
              <w:t>17</w:t>
            </w:r>
          </w:p>
        </w:tc>
        <w:tc>
          <w:tcPr>
            <w:tcW w:w="456" w:type="dxa"/>
          </w:tcPr>
          <w:p>
            <w:pPr>
              <w:pStyle w:val="TableParagraph"/>
              <w:spacing w:line="206" w:lineRule="exact"/>
              <w:ind w:left="172"/>
              <w:jc w:val="left"/>
              <w:rPr>
                <w:sz w:val="18"/>
              </w:rPr>
            </w:pPr>
            <w:r>
              <w:rPr>
                <w:w w:val="99"/>
                <w:sz w:val="18"/>
              </w:rPr>
              <w:t>0</w:t>
            </w:r>
          </w:p>
        </w:tc>
        <w:tc>
          <w:tcPr>
            <w:tcW w:w="456" w:type="dxa"/>
          </w:tcPr>
          <w:p>
            <w:pPr>
              <w:pStyle w:val="TableParagraph"/>
              <w:spacing w:line="206" w:lineRule="exact"/>
              <w:ind w:left="172"/>
              <w:jc w:val="left"/>
              <w:rPr>
                <w:sz w:val="18"/>
              </w:rPr>
            </w:pPr>
            <w:r>
              <w:rPr>
                <w:w w:val="99"/>
                <w:sz w:val="18"/>
              </w:rPr>
              <w:t>0</w:t>
            </w:r>
          </w:p>
        </w:tc>
        <w:tc>
          <w:tcPr>
            <w:tcW w:w="458" w:type="dxa"/>
          </w:tcPr>
          <w:p>
            <w:pPr>
              <w:pStyle w:val="TableParagraph"/>
              <w:spacing w:line="206" w:lineRule="exact"/>
              <w:ind w:left="124"/>
              <w:jc w:val="left"/>
              <w:rPr>
                <w:sz w:val="18"/>
              </w:rPr>
            </w:pPr>
            <w:r>
              <w:rPr>
                <w:sz w:val="18"/>
              </w:rPr>
              <w:t>11</w:t>
            </w:r>
          </w:p>
        </w:tc>
        <w:tc>
          <w:tcPr>
            <w:tcW w:w="475" w:type="dxa"/>
          </w:tcPr>
          <w:p>
            <w:pPr>
              <w:pStyle w:val="TableParagraph"/>
              <w:spacing w:line="206" w:lineRule="exact"/>
              <w:rPr>
                <w:sz w:val="18"/>
              </w:rPr>
            </w:pPr>
            <w:r>
              <w:rPr>
                <w:w w:val="99"/>
                <w:sz w:val="18"/>
              </w:rPr>
              <w:t>6</w:t>
            </w:r>
          </w:p>
        </w:tc>
        <w:tc>
          <w:tcPr>
            <w:tcW w:w="456" w:type="dxa"/>
          </w:tcPr>
          <w:p>
            <w:pPr>
              <w:pStyle w:val="TableParagraph"/>
              <w:spacing w:line="206" w:lineRule="exact"/>
              <w:rPr>
                <w:sz w:val="18"/>
              </w:rPr>
            </w:pPr>
            <w:r>
              <w:rPr>
                <w:w w:val="99"/>
                <w:sz w:val="18"/>
              </w:rPr>
              <w:t>0</w:t>
            </w:r>
          </w:p>
        </w:tc>
        <w:tc>
          <w:tcPr>
            <w:tcW w:w="459" w:type="dxa"/>
          </w:tcPr>
          <w:p>
            <w:pPr>
              <w:pStyle w:val="TableParagraph"/>
              <w:spacing w:line="206" w:lineRule="exact"/>
              <w:ind w:left="175"/>
              <w:jc w:val="left"/>
              <w:rPr>
                <w:sz w:val="18"/>
              </w:rPr>
            </w:pPr>
            <w:r>
              <w:rPr>
                <w:w w:val="99"/>
                <w:sz w:val="18"/>
              </w:rPr>
              <w:t>0</w:t>
            </w:r>
          </w:p>
        </w:tc>
        <w:tc>
          <w:tcPr>
            <w:tcW w:w="456" w:type="dxa"/>
          </w:tcPr>
          <w:p>
            <w:pPr>
              <w:pStyle w:val="TableParagraph"/>
              <w:spacing w:line="206" w:lineRule="exact"/>
              <w:rPr>
                <w:sz w:val="18"/>
              </w:rPr>
            </w:pPr>
            <w:r>
              <w:rPr>
                <w:w w:val="99"/>
                <w:sz w:val="18"/>
              </w:rPr>
              <w:t>0</w:t>
            </w:r>
          </w:p>
        </w:tc>
        <w:tc>
          <w:tcPr>
            <w:tcW w:w="456" w:type="dxa"/>
          </w:tcPr>
          <w:p>
            <w:pPr>
              <w:pStyle w:val="TableParagraph"/>
              <w:spacing w:line="206" w:lineRule="exact"/>
              <w:rPr>
                <w:sz w:val="18"/>
              </w:rPr>
            </w:pPr>
            <w:r>
              <w:rPr>
                <w:w w:val="99"/>
                <w:sz w:val="18"/>
              </w:rPr>
              <w:t>0</w:t>
            </w:r>
          </w:p>
        </w:tc>
        <w:tc>
          <w:tcPr>
            <w:tcW w:w="475" w:type="dxa"/>
          </w:tcPr>
          <w:p>
            <w:pPr>
              <w:pStyle w:val="TableParagraph"/>
              <w:spacing w:line="201" w:lineRule="exact"/>
              <w:ind w:left="62" w:right="58"/>
              <w:rPr>
                <w:b/>
                <w:sz w:val="18"/>
              </w:rPr>
            </w:pPr>
            <w:r>
              <w:rPr>
                <w:b/>
                <w:sz w:val="18"/>
              </w:rPr>
              <w:t>17</w:t>
            </w:r>
          </w:p>
        </w:tc>
      </w:tr>
      <w:tr>
        <w:trPr>
          <w:trHeight w:val="319" w:hRule="exact"/>
        </w:trPr>
        <w:tc>
          <w:tcPr>
            <w:tcW w:w="2971" w:type="dxa"/>
            <w:tcBorders>
              <w:left w:val="single" w:sz="8" w:space="0" w:color="000000"/>
              <w:right w:val="single" w:sz="8" w:space="0" w:color="000000"/>
            </w:tcBorders>
          </w:tcPr>
          <w:p>
            <w:pPr>
              <w:pStyle w:val="TableParagraph"/>
              <w:spacing w:line="201" w:lineRule="exact"/>
              <w:ind w:left="62"/>
              <w:jc w:val="left"/>
              <w:rPr>
                <w:b/>
                <w:sz w:val="18"/>
              </w:rPr>
            </w:pPr>
            <w:r>
              <w:rPr>
                <w:b/>
                <w:color w:val="333333"/>
                <w:sz w:val="18"/>
              </w:rPr>
              <w:t>ATLAUTLA</w:t>
            </w:r>
          </w:p>
        </w:tc>
        <w:tc>
          <w:tcPr>
            <w:tcW w:w="589" w:type="dxa"/>
            <w:tcBorders>
              <w:left w:val="single" w:sz="8" w:space="0" w:color="000000"/>
            </w:tcBorders>
          </w:tcPr>
          <w:p>
            <w:pPr>
              <w:pStyle w:val="TableParagraph"/>
              <w:spacing w:line="206" w:lineRule="exact"/>
              <w:rPr>
                <w:sz w:val="18"/>
              </w:rPr>
            </w:pPr>
            <w:r>
              <w:rPr>
                <w:w w:val="99"/>
                <w:sz w:val="18"/>
              </w:rPr>
              <w:t>0</w:t>
            </w:r>
          </w:p>
        </w:tc>
        <w:tc>
          <w:tcPr>
            <w:tcW w:w="588" w:type="dxa"/>
          </w:tcPr>
          <w:p>
            <w:pPr>
              <w:pStyle w:val="TableParagraph"/>
              <w:spacing w:line="206" w:lineRule="exact"/>
              <w:ind w:left="1"/>
              <w:rPr>
                <w:sz w:val="18"/>
              </w:rPr>
            </w:pPr>
            <w:r>
              <w:rPr>
                <w:w w:val="99"/>
                <w:sz w:val="18"/>
              </w:rPr>
              <w:t>0</w:t>
            </w:r>
          </w:p>
        </w:tc>
        <w:tc>
          <w:tcPr>
            <w:tcW w:w="456" w:type="dxa"/>
          </w:tcPr>
          <w:p>
            <w:pPr>
              <w:pStyle w:val="TableParagraph"/>
              <w:spacing w:line="206" w:lineRule="exact"/>
              <w:rPr>
                <w:sz w:val="18"/>
              </w:rPr>
            </w:pPr>
            <w:r>
              <w:rPr>
                <w:w w:val="99"/>
                <w:sz w:val="18"/>
              </w:rPr>
              <w:t>0</w:t>
            </w:r>
          </w:p>
        </w:tc>
        <w:tc>
          <w:tcPr>
            <w:tcW w:w="456" w:type="dxa"/>
          </w:tcPr>
          <w:p>
            <w:pPr>
              <w:pStyle w:val="TableParagraph"/>
              <w:spacing w:line="206" w:lineRule="exact"/>
              <w:ind w:left="4"/>
              <w:rPr>
                <w:sz w:val="18"/>
              </w:rPr>
            </w:pPr>
            <w:r>
              <w:rPr>
                <w:w w:val="99"/>
                <w:sz w:val="18"/>
              </w:rPr>
              <w:t>0</w:t>
            </w:r>
          </w:p>
        </w:tc>
        <w:tc>
          <w:tcPr>
            <w:tcW w:w="458" w:type="dxa"/>
          </w:tcPr>
          <w:p>
            <w:pPr>
              <w:pStyle w:val="TableParagraph"/>
              <w:spacing w:line="206" w:lineRule="exact"/>
              <w:ind w:right="171"/>
              <w:jc w:val="right"/>
              <w:rPr>
                <w:sz w:val="18"/>
              </w:rPr>
            </w:pPr>
            <w:r>
              <w:rPr>
                <w:w w:val="99"/>
                <w:sz w:val="18"/>
              </w:rPr>
              <w:t>0</w:t>
            </w:r>
          </w:p>
        </w:tc>
        <w:tc>
          <w:tcPr>
            <w:tcW w:w="456" w:type="dxa"/>
          </w:tcPr>
          <w:p>
            <w:pPr>
              <w:pStyle w:val="TableParagraph"/>
              <w:spacing w:line="206" w:lineRule="exact"/>
              <w:rPr>
                <w:sz w:val="18"/>
              </w:rPr>
            </w:pPr>
            <w:r>
              <w:rPr>
                <w:w w:val="99"/>
                <w:sz w:val="18"/>
              </w:rPr>
              <w:t>0</w:t>
            </w:r>
          </w:p>
        </w:tc>
        <w:tc>
          <w:tcPr>
            <w:tcW w:w="458" w:type="dxa"/>
          </w:tcPr>
          <w:p>
            <w:pPr>
              <w:pStyle w:val="TableParagraph"/>
              <w:spacing w:line="206" w:lineRule="exact"/>
              <w:ind w:left="175"/>
              <w:jc w:val="left"/>
              <w:rPr>
                <w:sz w:val="18"/>
              </w:rPr>
            </w:pPr>
            <w:r>
              <w:rPr>
                <w:w w:val="99"/>
                <w:sz w:val="18"/>
              </w:rPr>
              <w:t>0</w:t>
            </w:r>
          </w:p>
        </w:tc>
        <w:tc>
          <w:tcPr>
            <w:tcW w:w="456" w:type="dxa"/>
          </w:tcPr>
          <w:p>
            <w:pPr>
              <w:pStyle w:val="TableParagraph"/>
              <w:spacing w:line="206" w:lineRule="exact"/>
              <w:rPr>
                <w:sz w:val="18"/>
              </w:rPr>
            </w:pPr>
            <w:r>
              <w:rPr>
                <w:w w:val="99"/>
                <w:sz w:val="18"/>
              </w:rPr>
              <w:t>0</w:t>
            </w:r>
          </w:p>
        </w:tc>
        <w:tc>
          <w:tcPr>
            <w:tcW w:w="458" w:type="dxa"/>
          </w:tcPr>
          <w:p>
            <w:pPr>
              <w:pStyle w:val="TableParagraph"/>
              <w:spacing w:line="206" w:lineRule="exact"/>
              <w:ind w:left="1"/>
              <w:rPr>
                <w:sz w:val="18"/>
              </w:rPr>
            </w:pPr>
            <w:r>
              <w:rPr>
                <w:w w:val="99"/>
                <w:sz w:val="18"/>
              </w:rPr>
              <w:t>0</w:t>
            </w:r>
          </w:p>
        </w:tc>
        <w:tc>
          <w:tcPr>
            <w:tcW w:w="456" w:type="dxa"/>
          </w:tcPr>
          <w:p>
            <w:pPr>
              <w:pStyle w:val="TableParagraph"/>
              <w:spacing w:line="206" w:lineRule="exact"/>
              <w:ind w:left="172"/>
              <w:jc w:val="left"/>
              <w:rPr>
                <w:sz w:val="18"/>
              </w:rPr>
            </w:pPr>
            <w:r>
              <w:rPr>
                <w:w w:val="99"/>
                <w:sz w:val="18"/>
              </w:rPr>
              <w:t>0</w:t>
            </w:r>
          </w:p>
        </w:tc>
        <w:tc>
          <w:tcPr>
            <w:tcW w:w="456" w:type="dxa"/>
          </w:tcPr>
          <w:p>
            <w:pPr>
              <w:pStyle w:val="TableParagraph"/>
              <w:spacing w:line="206" w:lineRule="exact"/>
              <w:ind w:left="172"/>
              <w:jc w:val="left"/>
              <w:rPr>
                <w:sz w:val="18"/>
              </w:rPr>
            </w:pPr>
            <w:r>
              <w:rPr>
                <w:w w:val="99"/>
                <w:sz w:val="18"/>
              </w:rPr>
              <w:t>0</w:t>
            </w:r>
          </w:p>
        </w:tc>
        <w:tc>
          <w:tcPr>
            <w:tcW w:w="458" w:type="dxa"/>
          </w:tcPr>
          <w:p>
            <w:pPr>
              <w:pStyle w:val="TableParagraph"/>
              <w:spacing w:line="206" w:lineRule="exact"/>
              <w:ind w:left="175"/>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56" w:type="dxa"/>
          </w:tcPr>
          <w:p>
            <w:pPr>
              <w:pStyle w:val="TableParagraph"/>
              <w:spacing w:line="206" w:lineRule="exact"/>
              <w:rPr>
                <w:sz w:val="18"/>
              </w:rPr>
            </w:pPr>
            <w:r>
              <w:rPr>
                <w:w w:val="99"/>
                <w:sz w:val="18"/>
              </w:rPr>
              <w:t>0</w:t>
            </w:r>
          </w:p>
        </w:tc>
        <w:tc>
          <w:tcPr>
            <w:tcW w:w="459" w:type="dxa"/>
          </w:tcPr>
          <w:p>
            <w:pPr>
              <w:pStyle w:val="TableParagraph"/>
              <w:spacing w:line="206" w:lineRule="exact"/>
              <w:ind w:left="175"/>
              <w:jc w:val="left"/>
              <w:rPr>
                <w:sz w:val="18"/>
              </w:rPr>
            </w:pPr>
            <w:r>
              <w:rPr>
                <w:w w:val="99"/>
                <w:sz w:val="18"/>
              </w:rPr>
              <w:t>0</w:t>
            </w:r>
          </w:p>
        </w:tc>
        <w:tc>
          <w:tcPr>
            <w:tcW w:w="456" w:type="dxa"/>
          </w:tcPr>
          <w:p>
            <w:pPr>
              <w:pStyle w:val="TableParagraph"/>
              <w:spacing w:line="206" w:lineRule="exact"/>
              <w:rPr>
                <w:sz w:val="18"/>
              </w:rPr>
            </w:pPr>
            <w:r>
              <w:rPr>
                <w:w w:val="99"/>
                <w:sz w:val="18"/>
              </w:rPr>
              <w:t>0</w:t>
            </w:r>
          </w:p>
        </w:tc>
        <w:tc>
          <w:tcPr>
            <w:tcW w:w="456" w:type="dxa"/>
          </w:tcPr>
          <w:p>
            <w:pPr>
              <w:pStyle w:val="TableParagraph"/>
              <w:spacing w:line="206" w:lineRule="exac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22" w:hRule="exact"/>
        </w:trPr>
        <w:tc>
          <w:tcPr>
            <w:tcW w:w="2971" w:type="dxa"/>
            <w:tcBorders>
              <w:left w:val="single" w:sz="8" w:space="0" w:color="000000"/>
              <w:right w:val="single" w:sz="8" w:space="0" w:color="000000"/>
            </w:tcBorders>
          </w:tcPr>
          <w:p>
            <w:pPr>
              <w:pStyle w:val="TableParagraph"/>
              <w:spacing w:line="201" w:lineRule="exact"/>
              <w:ind w:left="62"/>
              <w:jc w:val="left"/>
              <w:rPr>
                <w:b/>
                <w:sz w:val="18"/>
              </w:rPr>
            </w:pPr>
            <w:r>
              <w:rPr>
                <w:b/>
                <w:color w:val="333333"/>
                <w:sz w:val="18"/>
              </w:rPr>
              <w:t>AXAPUSCO</w:t>
            </w:r>
          </w:p>
        </w:tc>
        <w:tc>
          <w:tcPr>
            <w:tcW w:w="589" w:type="dxa"/>
            <w:tcBorders>
              <w:left w:val="single" w:sz="8" w:space="0" w:color="000000"/>
            </w:tcBorders>
          </w:tcPr>
          <w:p>
            <w:pPr>
              <w:pStyle w:val="TableParagraph"/>
              <w:spacing w:line="206" w:lineRule="exact"/>
              <w:rPr>
                <w:sz w:val="18"/>
              </w:rPr>
            </w:pPr>
            <w:r>
              <w:rPr>
                <w:w w:val="99"/>
                <w:sz w:val="18"/>
              </w:rPr>
              <w:t>0</w:t>
            </w:r>
          </w:p>
        </w:tc>
        <w:tc>
          <w:tcPr>
            <w:tcW w:w="588" w:type="dxa"/>
          </w:tcPr>
          <w:p>
            <w:pPr>
              <w:pStyle w:val="TableParagraph"/>
              <w:spacing w:line="206" w:lineRule="exact"/>
              <w:ind w:left="1"/>
              <w:rPr>
                <w:sz w:val="18"/>
              </w:rPr>
            </w:pPr>
            <w:r>
              <w:rPr>
                <w:w w:val="99"/>
                <w:sz w:val="18"/>
              </w:rPr>
              <w:t>0</w:t>
            </w:r>
          </w:p>
        </w:tc>
        <w:tc>
          <w:tcPr>
            <w:tcW w:w="456" w:type="dxa"/>
          </w:tcPr>
          <w:p>
            <w:pPr>
              <w:pStyle w:val="TableParagraph"/>
              <w:spacing w:line="206" w:lineRule="exact"/>
              <w:rPr>
                <w:sz w:val="18"/>
              </w:rPr>
            </w:pPr>
            <w:r>
              <w:rPr>
                <w:w w:val="99"/>
                <w:sz w:val="18"/>
              </w:rPr>
              <w:t>0</w:t>
            </w:r>
          </w:p>
        </w:tc>
        <w:tc>
          <w:tcPr>
            <w:tcW w:w="456" w:type="dxa"/>
          </w:tcPr>
          <w:p>
            <w:pPr>
              <w:pStyle w:val="TableParagraph"/>
              <w:spacing w:line="206" w:lineRule="exact"/>
              <w:ind w:left="4"/>
              <w:rPr>
                <w:sz w:val="18"/>
              </w:rPr>
            </w:pPr>
            <w:r>
              <w:rPr>
                <w:w w:val="99"/>
                <w:sz w:val="18"/>
              </w:rPr>
              <w:t>0</w:t>
            </w:r>
          </w:p>
        </w:tc>
        <w:tc>
          <w:tcPr>
            <w:tcW w:w="458" w:type="dxa"/>
          </w:tcPr>
          <w:p>
            <w:pPr>
              <w:pStyle w:val="TableParagraph"/>
              <w:spacing w:line="206" w:lineRule="exact"/>
              <w:ind w:right="171"/>
              <w:jc w:val="right"/>
              <w:rPr>
                <w:sz w:val="18"/>
              </w:rPr>
            </w:pPr>
            <w:r>
              <w:rPr>
                <w:w w:val="99"/>
                <w:sz w:val="18"/>
              </w:rPr>
              <w:t>0</w:t>
            </w:r>
          </w:p>
        </w:tc>
        <w:tc>
          <w:tcPr>
            <w:tcW w:w="456" w:type="dxa"/>
          </w:tcPr>
          <w:p>
            <w:pPr>
              <w:pStyle w:val="TableParagraph"/>
              <w:spacing w:line="206" w:lineRule="exact"/>
              <w:rPr>
                <w:sz w:val="18"/>
              </w:rPr>
            </w:pPr>
            <w:r>
              <w:rPr>
                <w:w w:val="99"/>
                <w:sz w:val="18"/>
              </w:rPr>
              <w:t>0</w:t>
            </w:r>
          </w:p>
        </w:tc>
        <w:tc>
          <w:tcPr>
            <w:tcW w:w="458" w:type="dxa"/>
          </w:tcPr>
          <w:p>
            <w:pPr>
              <w:pStyle w:val="TableParagraph"/>
              <w:spacing w:line="206" w:lineRule="exact"/>
              <w:ind w:left="175"/>
              <w:jc w:val="left"/>
              <w:rPr>
                <w:sz w:val="18"/>
              </w:rPr>
            </w:pPr>
            <w:r>
              <w:rPr>
                <w:w w:val="99"/>
                <w:sz w:val="18"/>
              </w:rPr>
              <w:t>0</w:t>
            </w:r>
          </w:p>
        </w:tc>
        <w:tc>
          <w:tcPr>
            <w:tcW w:w="456" w:type="dxa"/>
          </w:tcPr>
          <w:p>
            <w:pPr>
              <w:pStyle w:val="TableParagraph"/>
              <w:spacing w:line="206" w:lineRule="exact"/>
              <w:rPr>
                <w:sz w:val="18"/>
              </w:rPr>
            </w:pPr>
            <w:r>
              <w:rPr>
                <w:w w:val="99"/>
                <w:sz w:val="18"/>
              </w:rPr>
              <w:t>0</w:t>
            </w:r>
          </w:p>
        </w:tc>
        <w:tc>
          <w:tcPr>
            <w:tcW w:w="458" w:type="dxa"/>
          </w:tcPr>
          <w:p>
            <w:pPr>
              <w:pStyle w:val="TableParagraph"/>
              <w:spacing w:line="206" w:lineRule="exact"/>
              <w:ind w:left="1"/>
              <w:rPr>
                <w:sz w:val="18"/>
              </w:rPr>
            </w:pPr>
            <w:r>
              <w:rPr>
                <w:w w:val="99"/>
                <w:sz w:val="18"/>
              </w:rPr>
              <w:t>0</w:t>
            </w:r>
          </w:p>
        </w:tc>
        <w:tc>
          <w:tcPr>
            <w:tcW w:w="456" w:type="dxa"/>
          </w:tcPr>
          <w:p>
            <w:pPr>
              <w:pStyle w:val="TableParagraph"/>
              <w:spacing w:line="206" w:lineRule="exact"/>
              <w:ind w:left="172"/>
              <w:jc w:val="left"/>
              <w:rPr>
                <w:sz w:val="18"/>
              </w:rPr>
            </w:pPr>
            <w:r>
              <w:rPr>
                <w:w w:val="99"/>
                <w:sz w:val="18"/>
              </w:rPr>
              <w:t>0</w:t>
            </w:r>
          </w:p>
        </w:tc>
        <w:tc>
          <w:tcPr>
            <w:tcW w:w="456" w:type="dxa"/>
          </w:tcPr>
          <w:p>
            <w:pPr>
              <w:pStyle w:val="TableParagraph"/>
              <w:spacing w:line="206" w:lineRule="exact"/>
              <w:ind w:left="172"/>
              <w:jc w:val="left"/>
              <w:rPr>
                <w:sz w:val="18"/>
              </w:rPr>
            </w:pPr>
            <w:r>
              <w:rPr>
                <w:w w:val="99"/>
                <w:sz w:val="18"/>
              </w:rPr>
              <w:t>0</w:t>
            </w:r>
          </w:p>
        </w:tc>
        <w:tc>
          <w:tcPr>
            <w:tcW w:w="458" w:type="dxa"/>
          </w:tcPr>
          <w:p>
            <w:pPr>
              <w:pStyle w:val="TableParagraph"/>
              <w:spacing w:line="206" w:lineRule="exact"/>
              <w:ind w:left="175"/>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56" w:type="dxa"/>
          </w:tcPr>
          <w:p>
            <w:pPr>
              <w:pStyle w:val="TableParagraph"/>
              <w:spacing w:line="206" w:lineRule="exact"/>
              <w:rPr>
                <w:sz w:val="18"/>
              </w:rPr>
            </w:pPr>
            <w:r>
              <w:rPr>
                <w:w w:val="99"/>
                <w:sz w:val="18"/>
              </w:rPr>
              <w:t>0</w:t>
            </w:r>
          </w:p>
        </w:tc>
        <w:tc>
          <w:tcPr>
            <w:tcW w:w="459" w:type="dxa"/>
          </w:tcPr>
          <w:p>
            <w:pPr>
              <w:pStyle w:val="TableParagraph"/>
              <w:spacing w:line="206" w:lineRule="exact"/>
              <w:ind w:left="175"/>
              <w:jc w:val="left"/>
              <w:rPr>
                <w:sz w:val="18"/>
              </w:rPr>
            </w:pPr>
            <w:r>
              <w:rPr>
                <w:w w:val="99"/>
                <w:sz w:val="18"/>
              </w:rPr>
              <w:t>0</w:t>
            </w:r>
          </w:p>
        </w:tc>
        <w:tc>
          <w:tcPr>
            <w:tcW w:w="456" w:type="dxa"/>
          </w:tcPr>
          <w:p>
            <w:pPr>
              <w:pStyle w:val="TableParagraph"/>
              <w:spacing w:line="206" w:lineRule="exact"/>
              <w:rPr>
                <w:sz w:val="18"/>
              </w:rPr>
            </w:pPr>
            <w:r>
              <w:rPr>
                <w:w w:val="99"/>
                <w:sz w:val="18"/>
              </w:rPr>
              <w:t>0</w:t>
            </w:r>
          </w:p>
        </w:tc>
        <w:tc>
          <w:tcPr>
            <w:tcW w:w="456" w:type="dxa"/>
          </w:tcPr>
          <w:p>
            <w:pPr>
              <w:pStyle w:val="TableParagraph"/>
              <w:spacing w:line="206" w:lineRule="exac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19" w:hRule="exact"/>
        </w:trPr>
        <w:tc>
          <w:tcPr>
            <w:tcW w:w="2971" w:type="dxa"/>
            <w:tcBorders>
              <w:left w:val="single" w:sz="8" w:space="0" w:color="000000"/>
              <w:right w:val="single" w:sz="8" w:space="0" w:color="000000"/>
            </w:tcBorders>
          </w:tcPr>
          <w:p>
            <w:pPr>
              <w:pStyle w:val="TableParagraph"/>
              <w:spacing w:line="201" w:lineRule="exact"/>
              <w:ind w:left="62"/>
              <w:jc w:val="left"/>
              <w:rPr>
                <w:b/>
                <w:sz w:val="18"/>
              </w:rPr>
            </w:pPr>
            <w:r>
              <w:rPr>
                <w:b/>
                <w:color w:val="333333"/>
                <w:sz w:val="18"/>
              </w:rPr>
              <w:t>AYAPANGO</w:t>
            </w:r>
          </w:p>
        </w:tc>
        <w:tc>
          <w:tcPr>
            <w:tcW w:w="589" w:type="dxa"/>
            <w:tcBorders>
              <w:left w:val="single" w:sz="8" w:space="0" w:color="000000"/>
            </w:tcBorders>
          </w:tcPr>
          <w:p>
            <w:pPr>
              <w:pStyle w:val="TableParagraph"/>
              <w:spacing w:line="206" w:lineRule="exact"/>
              <w:rPr>
                <w:sz w:val="18"/>
              </w:rPr>
            </w:pPr>
            <w:r>
              <w:rPr>
                <w:w w:val="99"/>
                <w:sz w:val="18"/>
              </w:rPr>
              <w:t>0</w:t>
            </w:r>
          </w:p>
        </w:tc>
        <w:tc>
          <w:tcPr>
            <w:tcW w:w="588" w:type="dxa"/>
          </w:tcPr>
          <w:p>
            <w:pPr>
              <w:pStyle w:val="TableParagraph"/>
              <w:spacing w:line="206" w:lineRule="exact"/>
              <w:ind w:left="1"/>
              <w:rPr>
                <w:sz w:val="18"/>
              </w:rPr>
            </w:pPr>
            <w:r>
              <w:rPr>
                <w:w w:val="99"/>
                <w:sz w:val="18"/>
              </w:rPr>
              <w:t>0</w:t>
            </w:r>
          </w:p>
        </w:tc>
        <w:tc>
          <w:tcPr>
            <w:tcW w:w="456" w:type="dxa"/>
          </w:tcPr>
          <w:p>
            <w:pPr>
              <w:pStyle w:val="TableParagraph"/>
              <w:spacing w:line="206" w:lineRule="exact"/>
              <w:rPr>
                <w:sz w:val="18"/>
              </w:rPr>
            </w:pPr>
            <w:r>
              <w:rPr>
                <w:w w:val="99"/>
                <w:sz w:val="18"/>
              </w:rPr>
              <w:t>0</w:t>
            </w:r>
          </w:p>
        </w:tc>
        <w:tc>
          <w:tcPr>
            <w:tcW w:w="456" w:type="dxa"/>
          </w:tcPr>
          <w:p>
            <w:pPr>
              <w:pStyle w:val="TableParagraph"/>
              <w:spacing w:line="206" w:lineRule="exact"/>
              <w:ind w:left="4"/>
              <w:rPr>
                <w:sz w:val="18"/>
              </w:rPr>
            </w:pPr>
            <w:r>
              <w:rPr>
                <w:w w:val="99"/>
                <w:sz w:val="18"/>
              </w:rPr>
              <w:t>0</w:t>
            </w:r>
          </w:p>
        </w:tc>
        <w:tc>
          <w:tcPr>
            <w:tcW w:w="458" w:type="dxa"/>
          </w:tcPr>
          <w:p>
            <w:pPr>
              <w:pStyle w:val="TableParagraph"/>
              <w:spacing w:line="206" w:lineRule="exact"/>
              <w:ind w:right="171"/>
              <w:jc w:val="right"/>
              <w:rPr>
                <w:sz w:val="18"/>
              </w:rPr>
            </w:pPr>
            <w:r>
              <w:rPr>
                <w:w w:val="99"/>
                <w:sz w:val="18"/>
              </w:rPr>
              <w:t>0</w:t>
            </w:r>
          </w:p>
        </w:tc>
        <w:tc>
          <w:tcPr>
            <w:tcW w:w="456" w:type="dxa"/>
          </w:tcPr>
          <w:p>
            <w:pPr>
              <w:pStyle w:val="TableParagraph"/>
              <w:spacing w:line="206" w:lineRule="exact"/>
              <w:rPr>
                <w:sz w:val="18"/>
              </w:rPr>
            </w:pPr>
            <w:r>
              <w:rPr>
                <w:w w:val="99"/>
                <w:sz w:val="18"/>
              </w:rPr>
              <w:t>0</w:t>
            </w:r>
          </w:p>
        </w:tc>
        <w:tc>
          <w:tcPr>
            <w:tcW w:w="458" w:type="dxa"/>
          </w:tcPr>
          <w:p>
            <w:pPr>
              <w:pStyle w:val="TableParagraph"/>
              <w:spacing w:line="206" w:lineRule="exact"/>
              <w:ind w:left="175"/>
              <w:jc w:val="left"/>
              <w:rPr>
                <w:sz w:val="18"/>
              </w:rPr>
            </w:pPr>
            <w:r>
              <w:rPr>
                <w:w w:val="99"/>
                <w:sz w:val="18"/>
              </w:rPr>
              <w:t>0</w:t>
            </w:r>
          </w:p>
        </w:tc>
        <w:tc>
          <w:tcPr>
            <w:tcW w:w="456" w:type="dxa"/>
          </w:tcPr>
          <w:p>
            <w:pPr>
              <w:pStyle w:val="TableParagraph"/>
              <w:spacing w:line="206" w:lineRule="exact"/>
              <w:rPr>
                <w:sz w:val="18"/>
              </w:rPr>
            </w:pPr>
            <w:r>
              <w:rPr>
                <w:w w:val="99"/>
                <w:sz w:val="18"/>
              </w:rPr>
              <w:t>0</w:t>
            </w:r>
          </w:p>
        </w:tc>
        <w:tc>
          <w:tcPr>
            <w:tcW w:w="458" w:type="dxa"/>
          </w:tcPr>
          <w:p>
            <w:pPr>
              <w:pStyle w:val="TableParagraph"/>
              <w:spacing w:line="206" w:lineRule="exact"/>
              <w:ind w:left="1"/>
              <w:rPr>
                <w:sz w:val="18"/>
              </w:rPr>
            </w:pPr>
            <w:r>
              <w:rPr>
                <w:w w:val="99"/>
                <w:sz w:val="18"/>
              </w:rPr>
              <w:t>0</w:t>
            </w:r>
          </w:p>
        </w:tc>
        <w:tc>
          <w:tcPr>
            <w:tcW w:w="456" w:type="dxa"/>
          </w:tcPr>
          <w:p>
            <w:pPr>
              <w:pStyle w:val="TableParagraph"/>
              <w:spacing w:line="206" w:lineRule="exact"/>
              <w:ind w:left="172"/>
              <w:jc w:val="left"/>
              <w:rPr>
                <w:sz w:val="18"/>
              </w:rPr>
            </w:pPr>
            <w:r>
              <w:rPr>
                <w:w w:val="99"/>
                <w:sz w:val="18"/>
              </w:rPr>
              <w:t>0</w:t>
            </w:r>
          </w:p>
        </w:tc>
        <w:tc>
          <w:tcPr>
            <w:tcW w:w="456" w:type="dxa"/>
          </w:tcPr>
          <w:p>
            <w:pPr>
              <w:pStyle w:val="TableParagraph"/>
              <w:spacing w:line="206" w:lineRule="exact"/>
              <w:ind w:left="172"/>
              <w:jc w:val="left"/>
              <w:rPr>
                <w:sz w:val="18"/>
              </w:rPr>
            </w:pPr>
            <w:r>
              <w:rPr>
                <w:w w:val="99"/>
                <w:sz w:val="18"/>
              </w:rPr>
              <w:t>0</w:t>
            </w:r>
          </w:p>
        </w:tc>
        <w:tc>
          <w:tcPr>
            <w:tcW w:w="458" w:type="dxa"/>
          </w:tcPr>
          <w:p>
            <w:pPr>
              <w:pStyle w:val="TableParagraph"/>
              <w:spacing w:line="206" w:lineRule="exact"/>
              <w:ind w:left="175"/>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56" w:type="dxa"/>
          </w:tcPr>
          <w:p>
            <w:pPr>
              <w:pStyle w:val="TableParagraph"/>
              <w:spacing w:line="206" w:lineRule="exact"/>
              <w:rPr>
                <w:sz w:val="18"/>
              </w:rPr>
            </w:pPr>
            <w:r>
              <w:rPr>
                <w:w w:val="99"/>
                <w:sz w:val="18"/>
              </w:rPr>
              <w:t>0</w:t>
            </w:r>
          </w:p>
        </w:tc>
        <w:tc>
          <w:tcPr>
            <w:tcW w:w="459" w:type="dxa"/>
          </w:tcPr>
          <w:p>
            <w:pPr>
              <w:pStyle w:val="TableParagraph"/>
              <w:spacing w:line="206" w:lineRule="exact"/>
              <w:ind w:left="175"/>
              <w:jc w:val="left"/>
              <w:rPr>
                <w:sz w:val="18"/>
              </w:rPr>
            </w:pPr>
            <w:r>
              <w:rPr>
                <w:w w:val="99"/>
                <w:sz w:val="18"/>
              </w:rPr>
              <w:t>0</w:t>
            </w:r>
          </w:p>
        </w:tc>
        <w:tc>
          <w:tcPr>
            <w:tcW w:w="456" w:type="dxa"/>
          </w:tcPr>
          <w:p>
            <w:pPr>
              <w:pStyle w:val="TableParagraph"/>
              <w:spacing w:line="206" w:lineRule="exact"/>
              <w:rPr>
                <w:sz w:val="18"/>
              </w:rPr>
            </w:pPr>
            <w:r>
              <w:rPr>
                <w:w w:val="99"/>
                <w:sz w:val="18"/>
              </w:rPr>
              <w:t>0</w:t>
            </w:r>
          </w:p>
        </w:tc>
        <w:tc>
          <w:tcPr>
            <w:tcW w:w="456" w:type="dxa"/>
          </w:tcPr>
          <w:p>
            <w:pPr>
              <w:pStyle w:val="TableParagraph"/>
              <w:spacing w:line="206" w:lineRule="exac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22" w:hRule="exact"/>
        </w:trPr>
        <w:tc>
          <w:tcPr>
            <w:tcW w:w="2971" w:type="dxa"/>
            <w:tcBorders>
              <w:left w:val="single" w:sz="8" w:space="0" w:color="000000"/>
              <w:right w:val="single" w:sz="8" w:space="0" w:color="000000"/>
            </w:tcBorders>
          </w:tcPr>
          <w:p>
            <w:pPr>
              <w:pStyle w:val="TableParagraph"/>
              <w:spacing w:line="201" w:lineRule="exact"/>
              <w:ind w:left="62"/>
              <w:jc w:val="left"/>
              <w:rPr>
                <w:b/>
                <w:sz w:val="18"/>
              </w:rPr>
            </w:pPr>
            <w:r>
              <w:rPr>
                <w:b/>
                <w:color w:val="333333"/>
                <w:sz w:val="18"/>
              </w:rPr>
              <w:t>CALIMAYA</w:t>
            </w:r>
          </w:p>
        </w:tc>
        <w:tc>
          <w:tcPr>
            <w:tcW w:w="589" w:type="dxa"/>
            <w:tcBorders>
              <w:left w:val="single" w:sz="8" w:space="0" w:color="000000"/>
            </w:tcBorders>
          </w:tcPr>
          <w:p>
            <w:pPr>
              <w:pStyle w:val="TableParagraph"/>
              <w:spacing w:line="206" w:lineRule="exact"/>
              <w:rPr>
                <w:sz w:val="18"/>
              </w:rPr>
            </w:pPr>
            <w:r>
              <w:rPr>
                <w:w w:val="99"/>
                <w:sz w:val="18"/>
              </w:rPr>
              <w:t>0</w:t>
            </w:r>
          </w:p>
        </w:tc>
        <w:tc>
          <w:tcPr>
            <w:tcW w:w="588" w:type="dxa"/>
          </w:tcPr>
          <w:p>
            <w:pPr>
              <w:pStyle w:val="TableParagraph"/>
              <w:spacing w:line="206" w:lineRule="exact"/>
              <w:ind w:left="1"/>
              <w:rPr>
                <w:sz w:val="18"/>
              </w:rPr>
            </w:pPr>
            <w:r>
              <w:rPr>
                <w:w w:val="99"/>
                <w:sz w:val="18"/>
              </w:rPr>
              <w:t>0</w:t>
            </w:r>
          </w:p>
        </w:tc>
        <w:tc>
          <w:tcPr>
            <w:tcW w:w="456" w:type="dxa"/>
          </w:tcPr>
          <w:p>
            <w:pPr>
              <w:pStyle w:val="TableParagraph"/>
              <w:spacing w:line="206" w:lineRule="exact"/>
              <w:rPr>
                <w:sz w:val="18"/>
              </w:rPr>
            </w:pPr>
            <w:r>
              <w:rPr>
                <w:w w:val="99"/>
                <w:sz w:val="18"/>
              </w:rPr>
              <w:t>0</w:t>
            </w:r>
          </w:p>
        </w:tc>
        <w:tc>
          <w:tcPr>
            <w:tcW w:w="456" w:type="dxa"/>
          </w:tcPr>
          <w:p>
            <w:pPr>
              <w:pStyle w:val="TableParagraph"/>
              <w:spacing w:line="206" w:lineRule="exact"/>
              <w:ind w:left="4"/>
              <w:rPr>
                <w:sz w:val="18"/>
              </w:rPr>
            </w:pPr>
            <w:r>
              <w:rPr>
                <w:w w:val="99"/>
                <w:sz w:val="18"/>
              </w:rPr>
              <w:t>0</w:t>
            </w:r>
          </w:p>
        </w:tc>
        <w:tc>
          <w:tcPr>
            <w:tcW w:w="458" w:type="dxa"/>
          </w:tcPr>
          <w:p>
            <w:pPr>
              <w:pStyle w:val="TableParagraph"/>
              <w:spacing w:line="206" w:lineRule="exact"/>
              <w:ind w:right="171"/>
              <w:jc w:val="right"/>
              <w:rPr>
                <w:sz w:val="18"/>
              </w:rPr>
            </w:pPr>
            <w:r>
              <w:rPr>
                <w:w w:val="99"/>
                <w:sz w:val="18"/>
              </w:rPr>
              <w:t>0</w:t>
            </w:r>
          </w:p>
        </w:tc>
        <w:tc>
          <w:tcPr>
            <w:tcW w:w="456" w:type="dxa"/>
          </w:tcPr>
          <w:p>
            <w:pPr>
              <w:pStyle w:val="TableParagraph"/>
              <w:spacing w:line="206" w:lineRule="exact"/>
              <w:rPr>
                <w:sz w:val="18"/>
              </w:rPr>
            </w:pPr>
            <w:r>
              <w:rPr>
                <w:w w:val="99"/>
                <w:sz w:val="18"/>
              </w:rPr>
              <w:t>0</w:t>
            </w:r>
          </w:p>
        </w:tc>
        <w:tc>
          <w:tcPr>
            <w:tcW w:w="458" w:type="dxa"/>
          </w:tcPr>
          <w:p>
            <w:pPr>
              <w:pStyle w:val="TableParagraph"/>
              <w:spacing w:line="206" w:lineRule="exact"/>
              <w:ind w:left="175"/>
              <w:jc w:val="left"/>
              <w:rPr>
                <w:sz w:val="18"/>
              </w:rPr>
            </w:pPr>
            <w:r>
              <w:rPr>
                <w:w w:val="99"/>
                <w:sz w:val="18"/>
              </w:rPr>
              <w:t>0</w:t>
            </w:r>
          </w:p>
        </w:tc>
        <w:tc>
          <w:tcPr>
            <w:tcW w:w="456" w:type="dxa"/>
          </w:tcPr>
          <w:p>
            <w:pPr>
              <w:pStyle w:val="TableParagraph"/>
              <w:spacing w:line="206" w:lineRule="exact"/>
              <w:rPr>
                <w:sz w:val="18"/>
              </w:rPr>
            </w:pPr>
            <w:r>
              <w:rPr>
                <w:w w:val="99"/>
                <w:sz w:val="18"/>
              </w:rPr>
              <w:t>0</w:t>
            </w:r>
          </w:p>
        </w:tc>
        <w:tc>
          <w:tcPr>
            <w:tcW w:w="458" w:type="dxa"/>
          </w:tcPr>
          <w:p>
            <w:pPr>
              <w:pStyle w:val="TableParagraph"/>
              <w:spacing w:line="206" w:lineRule="exact"/>
              <w:ind w:left="1"/>
              <w:rPr>
                <w:sz w:val="18"/>
              </w:rPr>
            </w:pPr>
            <w:r>
              <w:rPr>
                <w:w w:val="99"/>
                <w:sz w:val="18"/>
              </w:rPr>
              <w:t>0</w:t>
            </w:r>
          </w:p>
        </w:tc>
        <w:tc>
          <w:tcPr>
            <w:tcW w:w="456" w:type="dxa"/>
          </w:tcPr>
          <w:p>
            <w:pPr>
              <w:pStyle w:val="TableParagraph"/>
              <w:spacing w:line="206" w:lineRule="exact"/>
              <w:ind w:left="172"/>
              <w:jc w:val="left"/>
              <w:rPr>
                <w:sz w:val="18"/>
              </w:rPr>
            </w:pPr>
            <w:r>
              <w:rPr>
                <w:w w:val="99"/>
                <w:sz w:val="18"/>
              </w:rPr>
              <w:t>0</w:t>
            </w:r>
          </w:p>
        </w:tc>
        <w:tc>
          <w:tcPr>
            <w:tcW w:w="456" w:type="dxa"/>
          </w:tcPr>
          <w:p>
            <w:pPr>
              <w:pStyle w:val="TableParagraph"/>
              <w:spacing w:line="206" w:lineRule="exact"/>
              <w:ind w:left="172"/>
              <w:jc w:val="left"/>
              <w:rPr>
                <w:sz w:val="18"/>
              </w:rPr>
            </w:pPr>
            <w:r>
              <w:rPr>
                <w:w w:val="99"/>
                <w:sz w:val="18"/>
              </w:rPr>
              <w:t>0</w:t>
            </w:r>
          </w:p>
        </w:tc>
        <w:tc>
          <w:tcPr>
            <w:tcW w:w="458" w:type="dxa"/>
          </w:tcPr>
          <w:p>
            <w:pPr>
              <w:pStyle w:val="TableParagraph"/>
              <w:spacing w:line="206" w:lineRule="exact"/>
              <w:ind w:left="175"/>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56" w:type="dxa"/>
          </w:tcPr>
          <w:p>
            <w:pPr>
              <w:pStyle w:val="TableParagraph"/>
              <w:spacing w:line="206" w:lineRule="exact"/>
              <w:rPr>
                <w:sz w:val="18"/>
              </w:rPr>
            </w:pPr>
            <w:r>
              <w:rPr>
                <w:w w:val="99"/>
                <w:sz w:val="18"/>
              </w:rPr>
              <w:t>0</w:t>
            </w:r>
          </w:p>
        </w:tc>
        <w:tc>
          <w:tcPr>
            <w:tcW w:w="459" w:type="dxa"/>
          </w:tcPr>
          <w:p>
            <w:pPr>
              <w:pStyle w:val="TableParagraph"/>
              <w:spacing w:line="206" w:lineRule="exact"/>
              <w:ind w:left="175"/>
              <w:jc w:val="left"/>
              <w:rPr>
                <w:sz w:val="18"/>
              </w:rPr>
            </w:pPr>
            <w:r>
              <w:rPr>
                <w:w w:val="99"/>
                <w:sz w:val="18"/>
              </w:rPr>
              <w:t>0</w:t>
            </w:r>
          </w:p>
        </w:tc>
        <w:tc>
          <w:tcPr>
            <w:tcW w:w="456" w:type="dxa"/>
          </w:tcPr>
          <w:p>
            <w:pPr>
              <w:pStyle w:val="TableParagraph"/>
              <w:spacing w:line="206" w:lineRule="exact"/>
              <w:rPr>
                <w:sz w:val="18"/>
              </w:rPr>
            </w:pPr>
            <w:r>
              <w:rPr>
                <w:w w:val="99"/>
                <w:sz w:val="18"/>
              </w:rPr>
              <w:t>0</w:t>
            </w:r>
          </w:p>
        </w:tc>
        <w:tc>
          <w:tcPr>
            <w:tcW w:w="456" w:type="dxa"/>
          </w:tcPr>
          <w:p>
            <w:pPr>
              <w:pStyle w:val="TableParagraph"/>
              <w:spacing w:line="206" w:lineRule="exac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19" w:hRule="exact"/>
        </w:trPr>
        <w:tc>
          <w:tcPr>
            <w:tcW w:w="2971" w:type="dxa"/>
            <w:tcBorders>
              <w:left w:val="single" w:sz="8" w:space="0" w:color="000000"/>
              <w:right w:val="single" w:sz="8" w:space="0" w:color="000000"/>
            </w:tcBorders>
          </w:tcPr>
          <w:p>
            <w:pPr>
              <w:pStyle w:val="TableParagraph"/>
              <w:spacing w:line="201" w:lineRule="exact"/>
              <w:ind w:left="62"/>
              <w:jc w:val="left"/>
              <w:rPr>
                <w:b/>
                <w:sz w:val="18"/>
              </w:rPr>
            </w:pPr>
            <w:r>
              <w:rPr>
                <w:b/>
                <w:color w:val="333333"/>
                <w:sz w:val="18"/>
              </w:rPr>
              <w:t>CAPULHUAC</w:t>
            </w:r>
          </w:p>
        </w:tc>
        <w:tc>
          <w:tcPr>
            <w:tcW w:w="589" w:type="dxa"/>
            <w:tcBorders>
              <w:left w:val="single" w:sz="8" w:space="0" w:color="000000"/>
            </w:tcBorders>
          </w:tcPr>
          <w:p>
            <w:pPr>
              <w:pStyle w:val="TableParagraph"/>
              <w:spacing w:line="206" w:lineRule="exact"/>
              <w:rPr>
                <w:sz w:val="18"/>
              </w:rPr>
            </w:pPr>
            <w:r>
              <w:rPr>
                <w:w w:val="99"/>
                <w:sz w:val="18"/>
              </w:rPr>
              <w:t>0</w:t>
            </w:r>
          </w:p>
        </w:tc>
        <w:tc>
          <w:tcPr>
            <w:tcW w:w="588" w:type="dxa"/>
          </w:tcPr>
          <w:p>
            <w:pPr>
              <w:pStyle w:val="TableParagraph"/>
              <w:spacing w:line="206" w:lineRule="exact"/>
              <w:ind w:left="1"/>
              <w:rPr>
                <w:sz w:val="18"/>
              </w:rPr>
            </w:pPr>
            <w:r>
              <w:rPr>
                <w:w w:val="99"/>
                <w:sz w:val="18"/>
              </w:rPr>
              <w:t>0</w:t>
            </w:r>
          </w:p>
        </w:tc>
        <w:tc>
          <w:tcPr>
            <w:tcW w:w="456" w:type="dxa"/>
          </w:tcPr>
          <w:p>
            <w:pPr>
              <w:pStyle w:val="TableParagraph"/>
              <w:spacing w:line="206" w:lineRule="exact"/>
              <w:rPr>
                <w:sz w:val="18"/>
              </w:rPr>
            </w:pPr>
            <w:r>
              <w:rPr>
                <w:w w:val="99"/>
                <w:sz w:val="18"/>
              </w:rPr>
              <w:t>0</w:t>
            </w:r>
          </w:p>
        </w:tc>
        <w:tc>
          <w:tcPr>
            <w:tcW w:w="456" w:type="dxa"/>
          </w:tcPr>
          <w:p>
            <w:pPr>
              <w:pStyle w:val="TableParagraph"/>
              <w:spacing w:line="206" w:lineRule="exact"/>
              <w:ind w:left="4"/>
              <w:rPr>
                <w:sz w:val="18"/>
              </w:rPr>
            </w:pPr>
            <w:r>
              <w:rPr>
                <w:w w:val="99"/>
                <w:sz w:val="18"/>
              </w:rPr>
              <w:t>0</w:t>
            </w:r>
          </w:p>
        </w:tc>
        <w:tc>
          <w:tcPr>
            <w:tcW w:w="458" w:type="dxa"/>
          </w:tcPr>
          <w:p>
            <w:pPr>
              <w:pStyle w:val="TableParagraph"/>
              <w:spacing w:line="206" w:lineRule="exact"/>
              <w:ind w:right="171"/>
              <w:jc w:val="right"/>
              <w:rPr>
                <w:sz w:val="18"/>
              </w:rPr>
            </w:pPr>
            <w:r>
              <w:rPr>
                <w:w w:val="99"/>
                <w:sz w:val="18"/>
              </w:rPr>
              <w:t>0</w:t>
            </w:r>
          </w:p>
        </w:tc>
        <w:tc>
          <w:tcPr>
            <w:tcW w:w="456" w:type="dxa"/>
          </w:tcPr>
          <w:p>
            <w:pPr>
              <w:pStyle w:val="TableParagraph"/>
              <w:spacing w:line="206" w:lineRule="exact"/>
              <w:rPr>
                <w:sz w:val="18"/>
              </w:rPr>
            </w:pPr>
            <w:r>
              <w:rPr>
                <w:w w:val="99"/>
                <w:sz w:val="18"/>
              </w:rPr>
              <w:t>0</w:t>
            </w:r>
          </w:p>
        </w:tc>
        <w:tc>
          <w:tcPr>
            <w:tcW w:w="458" w:type="dxa"/>
          </w:tcPr>
          <w:p>
            <w:pPr>
              <w:pStyle w:val="TableParagraph"/>
              <w:spacing w:line="206" w:lineRule="exact"/>
              <w:ind w:left="175"/>
              <w:jc w:val="left"/>
              <w:rPr>
                <w:sz w:val="18"/>
              </w:rPr>
            </w:pPr>
            <w:r>
              <w:rPr>
                <w:w w:val="99"/>
                <w:sz w:val="18"/>
              </w:rPr>
              <w:t>0</w:t>
            </w:r>
          </w:p>
        </w:tc>
        <w:tc>
          <w:tcPr>
            <w:tcW w:w="456" w:type="dxa"/>
          </w:tcPr>
          <w:p>
            <w:pPr>
              <w:pStyle w:val="TableParagraph"/>
              <w:spacing w:line="206" w:lineRule="exact"/>
              <w:rPr>
                <w:sz w:val="18"/>
              </w:rPr>
            </w:pPr>
            <w:r>
              <w:rPr>
                <w:w w:val="99"/>
                <w:sz w:val="18"/>
              </w:rPr>
              <w:t>0</w:t>
            </w:r>
          </w:p>
        </w:tc>
        <w:tc>
          <w:tcPr>
            <w:tcW w:w="458" w:type="dxa"/>
          </w:tcPr>
          <w:p>
            <w:pPr>
              <w:pStyle w:val="TableParagraph"/>
              <w:spacing w:line="206" w:lineRule="exact"/>
              <w:ind w:left="1"/>
              <w:rPr>
                <w:sz w:val="18"/>
              </w:rPr>
            </w:pPr>
            <w:r>
              <w:rPr>
                <w:w w:val="99"/>
                <w:sz w:val="18"/>
              </w:rPr>
              <w:t>0</w:t>
            </w:r>
          </w:p>
        </w:tc>
        <w:tc>
          <w:tcPr>
            <w:tcW w:w="456" w:type="dxa"/>
          </w:tcPr>
          <w:p>
            <w:pPr>
              <w:pStyle w:val="TableParagraph"/>
              <w:spacing w:line="206" w:lineRule="exact"/>
              <w:ind w:left="172"/>
              <w:jc w:val="left"/>
              <w:rPr>
                <w:sz w:val="18"/>
              </w:rPr>
            </w:pPr>
            <w:r>
              <w:rPr>
                <w:w w:val="99"/>
                <w:sz w:val="18"/>
              </w:rPr>
              <w:t>0</w:t>
            </w:r>
          </w:p>
        </w:tc>
        <w:tc>
          <w:tcPr>
            <w:tcW w:w="456" w:type="dxa"/>
          </w:tcPr>
          <w:p>
            <w:pPr>
              <w:pStyle w:val="TableParagraph"/>
              <w:spacing w:line="206" w:lineRule="exact"/>
              <w:ind w:left="172"/>
              <w:jc w:val="left"/>
              <w:rPr>
                <w:sz w:val="18"/>
              </w:rPr>
            </w:pPr>
            <w:r>
              <w:rPr>
                <w:w w:val="99"/>
                <w:sz w:val="18"/>
              </w:rPr>
              <w:t>0</w:t>
            </w:r>
          </w:p>
        </w:tc>
        <w:tc>
          <w:tcPr>
            <w:tcW w:w="458" w:type="dxa"/>
          </w:tcPr>
          <w:p>
            <w:pPr>
              <w:pStyle w:val="TableParagraph"/>
              <w:spacing w:line="206" w:lineRule="exact"/>
              <w:ind w:left="175"/>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56" w:type="dxa"/>
          </w:tcPr>
          <w:p>
            <w:pPr>
              <w:pStyle w:val="TableParagraph"/>
              <w:spacing w:line="206" w:lineRule="exact"/>
              <w:rPr>
                <w:sz w:val="18"/>
              </w:rPr>
            </w:pPr>
            <w:r>
              <w:rPr>
                <w:w w:val="99"/>
                <w:sz w:val="18"/>
              </w:rPr>
              <w:t>0</w:t>
            </w:r>
          </w:p>
        </w:tc>
        <w:tc>
          <w:tcPr>
            <w:tcW w:w="459" w:type="dxa"/>
          </w:tcPr>
          <w:p>
            <w:pPr>
              <w:pStyle w:val="TableParagraph"/>
              <w:spacing w:line="206" w:lineRule="exact"/>
              <w:ind w:left="175"/>
              <w:jc w:val="left"/>
              <w:rPr>
                <w:sz w:val="18"/>
              </w:rPr>
            </w:pPr>
            <w:r>
              <w:rPr>
                <w:w w:val="99"/>
                <w:sz w:val="18"/>
              </w:rPr>
              <w:t>0</w:t>
            </w:r>
          </w:p>
        </w:tc>
        <w:tc>
          <w:tcPr>
            <w:tcW w:w="456" w:type="dxa"/>
          </w:tcPr>
          <w:p>
            <w:pPr>
              <w:pStyle w:val="TableParagraph"/>
              <w:spacing w:line="206" w:lineRule="exact"/>
              <w:rPr>
                <w:sz w:val="18"/>
              </w:rPr>
            </w:pPr>
            <w:r>
              <w:rPr>
                <w:w w:val="99"/>
                <w:sz w:val="18"/>
              </w:rPr>
              <w:t>0</w:t>
            </w:r>
          </w:p>
        </w:tc>
        <w:tc>
          <w:tcPr>
            <w:tcW w:w="456" w:type="dxa"/>
          </w:tcPr>
          <w:p>
            <w:pPr>
              <w:pStyle w:val="TableParagraph"/>
              <w:spacing w:line="206" w:lineRule="exac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bl>
    <w:p>
      <w:pPr>
        <w:spacing w:after="0" w:line="201" w:lineRule="exact"/>
        <w:rPr>
          <w:sz w:val="18"/>
        </w:rPr>
        <w:sectPr>
          <w:footerReference w:type="default" r:id="rId354"/>
          <w:pgSz w:w="15840" w:h="12240" w:orient="landscape"/>
          <w:pgMar w:footer="975" w:header="0" w:top="1140" w:bottom="1160" w:left="2060" w:right="2040"/>
          <w:pgNumType w:start="473"/>
        </w:sectPr>
      </w:pPr>
    </w:p>
    <w:p>
      <w:pPr>
        <w:pStyle w:val="BodyText"/>
        <w:rPr>
          <w:rFonts w:ascii="Times New Roman"/>
          <w:sz w:val="20"/>
        </w:rPr>
      </w:pPr>
    </w:p>
    <w:p>
      <w:pPr>
        <w:pStyle w:val="BodyText"/>
        <w:spacing w:before="10"/>
        <w:rPr>
          <w:rFonts w:ascii="Times New Roman"/>
          <w:sz w:val="28"/>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61"/>
        <w:gridCol w:w="586"/>
        <w:gridCol w:w="588"/>
        <w:gridCol w:w="466"/>
        <w:gridCol w:w="463"/>
        <w:gridCol w:w="466"/>
        <w:gridCol w:w="466"/>
        <w:gridCol w:w="466"/>
        <w:gridCol w:w="464"/>
        <w:gridCol w:w="466"/>
        <w:gridCol w:w="466"/>
        <w:gridCol w:w="466"/>
        <w:gridCol w:w="463"/>
        <w:gridCol w:w="475"/>
        <w:gridCol w:w="466"/>
        <w:gridCol w:w="466"/>
        <w:gridCol w:w="466"/>
        <w:gridCol w:w="463"/>
        <w:gridCol w:w="475"/>
      </w:tblGrid>
      <w:tr>
        <w:trPr>
          <w:trHeight w:val="319" w:hRule="exact"/>
        </w:trPr>
        <w:tc>
          <w:tcPr>
            <w:tcW w:w="11495" w:type="dxa"/>
            <w:gridSpan w:val="19"/>
            <w:shd w:val="clear" w:color="auto" w:fill="C5DFB3"/>
          </w:tcPr>
          <w:p>
            <w:pPr>
              <w:pStyle w:val="TableParagraph"/>
              <w:spacing w:line="201" w:lineRule="exact"/>
              <w:ind w:left="1775"/>
              <w:jc w:val="left"/>
              <w:rPr>
                <w:b/>
                <w:sz w:val="18"/>
              </w:rPr>
            </w:pPr>
            <w:r>
              <w:rPr>
                <w:b/>
                <w:sz w:val="18"/>
              </w:rPr>
              <w:t>Anexo 26. Municipios que publican apartado licitaciones de bienes 2010-2011 (Finaliza tabla)</w:t>
            </w:r>
          </w:p>
        </w:tc>
      </w:tr>
      <w:tr>
        <w:trPr>
          <w:trHeight w:val="322" w:hRule="exact"/>
        </w:trPr>
        <w:tc>
          <w:tcPr>
            <w:tcW w:w="2861"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5"/>
              <w:jc w:val="left"/>
              <w:rPr>
                <w:rFonts w:ascii="Times New Roman"/>
                <w:sz w:val="16"/>
              </w:rPr>
            </w:pPr>
          </w:p>
          <w:p>
            <w:pPr>
              <w:pStyle w:val="TableParagraph"/>
              <w:ind w:left="986" w:right="985"/>
              <w:rPr>
                <w:b/>
                <w:sz w:val="18"/>
              </w:rPr>
            </w:pPr>
            <w:r>
              <w:rPr>
                <w:b/>
                <w:sz w:val="18"/>
              </w:rPr>
              <w:t>Municipio</w:t>
            </w:r>
          </w:p>
        </w:tc>
        <w:tc>
          <w:tcPr>
            <w:tcW w:w="4429" w:type="dxa"/>
            <w:gridSpan w:val="9"/>
            <w:shd w:val="clear" w:color="auto" w:fill="C5DFB3"/>
          </w:tcPr>
          <w:p>
            <w:pPr>
              <w:pStyle w:val="TableParagraph"/>
              <w:spacing w:line="201" w:lineRule="exact"/>
              <w:ind w:left="1990" w:right="1988"/>
              <w:rPr>
                <w:b/>
                <w:sz w:val="18"/>
              </w:rPr>
            </w:pPr>
            <w:r>
              <w:rPr>
                <w:b/>
                <w:sz w:val="18"/>
              </w:rPr>
              <w:t>2010</w:t>
            </w:r>
          </w:p>
        </w:tc>
        <w:tc>
          <w:tcPr>
            <w:tcW w:w="4205" w:type="dxa"/>
            <w:gridSpan w:val="9"/>
            <w:shd w:val="clear" w:color="auto" w:fill="C5DFB3"/>
          </w:tcPr>
          <w:p>
            <w:pPr>
              <w:pStyle w:val="TableParagraph"/>
              <w:spacing w:line="201" w:lineRule="exact"/>
              <w:ind w:left="1879" w:right="1875"/>
              <w:rPr>
                <w:b/>
                <w:sz w:val="18"/>
              </w:rPr>
            </w:pPr>
            <w:r>
              <w:rPr>
                <w:b/>
                <w:sz w:val="18"/>
              </w:rPr>
              <w:t>2011</w:t>
            </w:r>
          </w:p>
        </w:tc>
      </w:tr>
      <w:tr>
        <w:trPr>
          <w:trHeight w:val="1630" w:hRule="exact"/>
        </w:trPr>
        <w:tc>
          <w:tcPr>
            <w:tcW w:w="2861" w:type="dxa"/>
            <w:vMerge/>
            <w:tcBorders>
              <w:bottom w:val="single" w:sz="4" w:space="0" w:color="000000"/>
            </w:tcBorders>
            <w:shd w:val="clear" w:color="auto" w:fill="C5DFB3"/>
          </w:tcPr>
          <w:p>
            <w:pPr/>
          </w:p>
        </w:tc>
        <w:tc>
          <w:tcPr>
            <w:tcW w:w="586" w:type="dxa"/>
            <w:tcBorders>
              <w:bottom w:val="single" w:sz="4" w:space="0" w:color="000000"/>
            </w:tcBorders>
            <w:shd w:val="clear" w:color="auto" w:fill="C5DFB3"/>
            <w:textDirection w:val="btLr"/>
          </w:tcPr>
          <w:p>
            <w:pPr>
              <w:pStyle w:val="TableParagraph"/>
              <w:spacing w:before="10"/>
              <w:jc w:val="left"/>
              <w:rPr>
                <w:rFonts w:ascii="Times New Roman"/>
                <w:sz w:val="16"/>
              </w:rPr>
            </w:pPr>
          </w:p>
          <w:p>
            <w:pPr>
              <w:pStyle w:val="TableParagraph"/>
              <w:jc w:val="left"/>
              <w:rPr>
                <w:b/>
                <w:sz w:val="18"/>
              </w:rPr>
            </w:pPr>
            <w:r>
              <w:rPr>
                <w:b/>
                <w:w w:val="100"/>
                <w:sz w:val="18"/>
              </w:rPr>
              <w:t>Li</w:t>
            </w:r>
            <w:r>
              <w:rPr>
                <w:b/>
                <w:w w:val="99"/>
                <w:sz w:val="18"/>
              </w:rPr>
              <w:t>c</w:t>
            </w:r>
            <w:r>
              <w:rPr>
                <w:b/>
                <w:w w:val="100"/>
                <w:sz w:val="18"/>
              </w:rPr>
              <w:t>it.</w:t>
            </w:r>
            <w:r>
              <w:rPr>
                <w:b/>
                <w:sz w:val="18"/>
              </w:rPr>
              <w:t> </w:t>
            </w:r>
            <w:r>
              <w:rPr>
                <w:b/>
                <w:w w:val="100"/>
                <w:sz w:val="18"/>
              </w:rPr>
              <w:t>Pu</w:t>
            </w:r>
            <w:r>
              <w:rPr>
                <w:b/>
                <w:spacing w:val="-2"/>
                <w:w w:val="100"/>
                <w:sz w:val="18"/>
              </w:rPr>
              <w:t>b</w:t>
            </w:r>
            <w:r>
              <w:rPr>
                <w:b/>
                <w:w w:val="100"/>
                <w:sz w:val="18"/>
              </w:rPr>
              <w:t>l</w:t>
            </w:r>
          </w:p>
        </w:tc>
        <w:tc>
          <w:tcPr>
            <w:tcW w:w="588" w:type="dxa"/>
            <w:tcBorders>
              <w:bottom w:val="single" w:sz="4" w:space="0" w:color="000000"/>
            </w:tcBorders>
            <w:shd w:val="clear" w:color="auto" w:fill="C5DFB3"/>
            <w:textDirection w:val="btLr"/>
          </w:tcPr>
          <w:p>
            <w:pPr>
              <w:pStyle w:val="TableParagraph"/>
              <w:spacing w:before="9"/>
              <w:jc w:val="left"/>
              <w:rPr>
                <w:rFonts w:ascii="Times New Roman"/>
                <w:sz w:val="16"/>
              </w:rPr>
            </w:pPr>
          </w:p>
          <w:p>
            <w:pPr>
              <w:pStyle w:val="TableParagraph"/>
              <w:jc w:val="left"/>
              <w:rPr>
                <w:b/>
                <w:sz w:val="18"/>
              </w:rPr>
            </w:pPr>
            <w:r>
              <w:rPr>
                <w:b/>
                <w:w w:val="100"/>
                <w:sz w:val="18"/>
              </w:rPr>
              <w:t>In</w:t>
            </w:r>
            <w:r>
              <w:rPr>
                <w:b/>
                <w:w w:val="99"/>
                <w:sz w:val="18"/>
              </w:rPr>
              <w:t>v</w:t>
            </w:r>
            <w:r>
              <w:rPr>
                <w:b/>
                <w:w w:val="100"/>
                <w:sz w:val="18"/>
              </w:rPr>
              <w:t>.</w:t>
            </w:r>
            <w:r>
              <w:rPr>
                <w:b/>
                <w:sz w:val="18"/>
              </w:rPr>
              <w:t> </w:t>
            </w:r>
            <w:r>
              <w:rPr>
                <w:b/>
                <w:w w:val="99"/>
                <w:sz w:val="18"/>
              </w:rPr>
              <w:t>Res</w:t>
            </w:r>
            <w:r>
              <w:rPr>
                <w:b/>
                <w:sz w:val="18"/>
              </w:rPr>
              <w:t>tr.</w:t>
            </w:r>
          </w:p>
        </w:tc>
        <w:tc>
          <w:tcPr>
            <w:tcW w:w="466" w:type="dxa"/>
            <w:tcBorders>
              <w:bottom w:val="single" w:sz="4" w:space="0" w:color="000000"/>
            </w:tcBorders>
            <w:shd w:val="clear" w:color="auto" w:fill="C5DFB3"/>
            <w:textDirection w:val="btLr"/>
          </w:tcPr>
          <w:p>
            <w:pPr>
              <w:pStyle w:val="TableParagraph"/>
              <w:spacing w:before="71"/>
              <w:jc w:val="left"/>
              <w:rPr>
                <w:b/>
                <w:sz w:val="18"/>
              </w:rPr>
            </w:pPr>
            <w:r>
              <w:rPr>
                <w:b/>
                <w:w w:val="100"/>
                <w:sz w:val="18"/>
              </w:rPr>
              <w:t>Adj.</w:t>
            </w:r>
            <w:r>
              <w:rPr>
                <w:b/>
                <w:sz w:val="18"/>
              </w:rPr>
              <w:t> </w:t>
            </w:r>
            <w:r>
              <w:rPr>
                <w:b/>
                <w:w w:val="99"/>
                <w:sz w:val="18"/>
              </w:rPr>
              <w:t>Dire</w:t>
            </w:r>
            <w:r>
              <w:rPr>
                <w:b/>
                <w:w w:val="99"/>
                <w:sz w:val="18"/>
              </w:rPr>
              <w:t>c</w:t>
            </w:r>
            <w:r>
              <w:rPr>
                <w:b/>
                <w:w w:val="100"/>
                <w:sz w:val="18"/>
              </w:rPr>
              <w:t>t.</w:t>
            </w:r>
          </w:p>
        </w:tc>
        <w:tc>
          <w:tcPr>
            <w:tcW w:w="463" w:type="dxa"/>
            <w:tcBorders>
              <w:bottom w:val="single" w:sz="4" w:space="0" w:color="000000"/>
            </w:tcBorders>
            <w:shd w:val="clear" w:color="auto" w:fill="C5DFB3"/>
            <w:textDirection w:val="btLr"/>
          </w:tcPr>
          <w:p>
            <w:pPr>
              <w:pStyle w:val="TableParagraph"/>
              <w:spacing w:before="71"/>
              <w:jc w:val="left"/>
              <w:rPr>
                <w:b/>
                <w:sz w:val="18"/>
              </w:rPr>
            </w:pPr>
            <w:r>
              <w:rPr>
                <w:b/>
                <w:w w:val="100"/>
                <w:sz w:val="18"/>
              </w:rPr>
              <w:t>Adq.</w:t>
            </w:r>
            <w:r>
              <w:rPr>
                <w:b/>
                <w:sz w:val="18"/>
              </w:rPr>
              <w:t> </w:t>
            </w:r>
            <w:r>
              <w:rPr>
                <w:b/>
                <w:w w:val="99"/>
                <w:sz w:val="18"/>
              </w:rPr>
              <w:t>Dire</w:t>
            </w:r>
            <w:r>
              <w:rPr>
                <w:b/>
                <w:w w:val="99"/>
                <w:sz w:val="18"/>
              </w:rPr>
              <w:t>c</w:t>
            </w:r>
            <w:r>
              <w:rPr>
                <w:b/>
                <w:w w:val="99"/>
                <w:sz w:val="18"/>
              </w:rPr>
              <w:t>t</w:t>
            </w:r>
          </w:p>
        </w:tc>
        <w:tc>
          <w:tcPr>
            <w:tcW w:w="466" w:type="dxa"/>
            <w:tcBorders>
              <w:bottom w:val="single" w:sz="4" w:space="0" w:color="000000"/>
            </w:tcBorders>
            <w:shd w:val="clear" w:color="auto" w:fill="C5DFB3"/>
            <w:textDirection w:val="btLr"/>
          </w:tcPr>
          <w:p>
            <w:pPr>
              <w:pStyle w:val="TableParagraph"/>
              <w:spacing w:before="71"/>
              <w:jc w:val="left"/>
              <w:rPr>
                <w:b/>
                <w:sz w:val="18"/>
              </w:rPr>
            </w:pPr>
            <w:r>
              <w:rPr>
                <w:b/>
                <w:w w:val="100"/>
                <w:sz w:val="18"/>
              </w:rPr>
              <w:t>In</w:t>
            </w:r>
            <w:r>
              <w:rPr>
                <w:b/>
                <w:w w:val="99"/>
                <w:sz w:val="18"/>
              </w:rPr>
              <w:t>v</w:t>
            </w:r>
            <w:r>
              <w:rPr>
                <w:b/>
                <w:w w:val="100"/>
                <w:sz w:val="18"/>
              </w:rPr>
              <w:t>.</w:t>
            </w:r>
            <w:r>
              <w:rPr>
                <w:b/>
                <w:sz w:val="18"/>
              </w:rPr>
              <w:t> </w:t>
            </w:r>
            <w:r>
              <w:rPr>
                <w:b/>
                <w:w w:val="99"/>
                <w:sz w:val="18"/>
              </w:rPr>
              <w:t>A</w:t>
            </w:r>
            <w:r>
              <w:rPr>
                <w:b/>
                <w:sz w:val="18"/>
              </w:rPr>
              <w:t> </w:t>
            </w:r>
            <w:r>
              <w:rPr>
                <w:b/>
                <w:w w:val="99"/>
                <w:sz w:val="18"/>
              </w:rPr>
              <w:t>3</w:t>
            </w:r>
            <w:r>
              <w:rPr>
                <w:b/>
                <w:spacing w:val="-2"/>
                <w:sz w:val="18"/>
              </w:rPr>
              <w:t> </w:t>
            </w:r>
            <w:r>
              <w:rPr>
                <w:b/>
                <w:sz w:val="18"/>
              </w:rPr>
              <w:t>perso</w:t>
            </w:r>
            <w:r>
              <w:rPr>
                <w:b/>
                <w:spacing w:val="-2"/>
                <w:w w:val="100"/>
                <w:sz w:val="18"/>
              </w:rPr>
              <w:t>n</w:t>
            </w:r>
            <w:r>
              <w:rPr>
                <w:b/>
                <w:w w:val="99"/>
                <w:sz w:val="18"/>
              </w:rPr>
              <w:t>as</w:t>
            </w:r>
          </w:p>
        </w:tc>
        <w:tc>
          <w:tcPr>
            <w:tcW w:w="466" w:type="dxa"/>
            <w:tcBorders>
              <w:bottom w:val="single" w:sz="4" w:space="0" w:color="000000"/>
            </w:tcBorders>
            <w:shd w:val="clear" w:color="auto" w:fill="C5DFB3"/>
            <w:textDirection w:val="btLr"/>
          </w:tcPr>
          <w:p>
            <w:pPr>
              <w:pStyle w:val="TableParagraph"/>
              <w:spacing w:before="71"/>
              <w:jc w:val="left"/>
              <w:rPr>
                <w:b/>
                <w:sz w:val="18"/>
              </w:rPr>
            </w:pPr>
            <w:r>
              <w:rPr>
                <w:b/>
                <w:w w:val="99"/>
                <w:sz w:val="18"/>
              </w:rPr>
              <w:t>Compra</w:t>
            </w:r>
            <w:r>
              <w:rPr>
                <w:b/>
                <w:w w:val="99"/>
                <w:sz w:val="18"/>
              </w:rPr>
              <w:t>s</w:t>
            </w:r>
            <w:r>
              <w:rPr>
                <w:b/>
                <w:sz w:val="18"/>
              </w:rPr>
              <w:t> </w:t>
            </w:r>
            <w:r>
              <w:rPr>
                <w:b/>
                <w:spacing w:val="-2"/>
                <w:w w:val="99"/>
                <w:sz w:val="18"/>
              </w:rPr>
              <w:t>m</w:t>
            </w:r>
            <w:r>
              <w:rPr>
                <w:b/>
                <w:w w:val="99"/>
                <w:sz w:val="18"/>
              </w:rPr>
              <w:t>e</w:t>
            </w:r>
            <w:r>
              <w:rPr>
                <w:b/>
                <w:w w:val="100"/>
                <w:sz w:val="18"/>
              </w:rPr>
              <w:t>no</w:t>
            </w:r>
            <w:r>
              <w:rPr>
                <w:b/>
                <w:w w:val="99"/>
                <w:sz w:val="18"/>
              </w:rPr>
              <w:t>res</w:t>
            </w:r>
          </w:p>
        </w:tc>
        <w:tc>
          <w:tcPr>
            <w:tcW w:w="466" w:type="dxa"/>
            <w:tcBorders>
              <w:bottom w:val="single" w:sz="4" w:space="0" w:color="000000"/>
            </w:tcBorders>
            <w:shd w:val="clear" w:color="auto" w:fill="C5DFB3"/>
            <w:textDirection w:val="btLr"/>
          </w:tcPr>
          <w:p>
            <w:pPr>
              <w:pStyle w:val="TableParagraph"/>
              <w:spacing w:before="71"/>
              <w:jc w:val="left"/>
              <w:rPr>
                <w:b/>
                <w:sz w:val="18"/>
              </w:rPr>
            </w:pPr>
            <w:r>
              <w:rPr>
                <w:b/>
                <w:w w:val="100"/>
                <w:sz w:val="18"/>
              </w:rPr>
              <w:t>Cont</w:t>
            </w:r>
            <w:r>
              <w:rPr>
                <w:b/>
                <w:w w:val="99"/>
                <w:sz w:val="18"/>
              </w:rPr>
              <w:t>rato </w:t>
            </w:r>
            <w:r>
              <w:rPr>
                <w:b/>
                <w:w w:val="100"/>
                <w:sz w:val="18"/>
              </w:rPr>
              <w:t>p</w:t>
            </w:r>
            <w:r>
              <w:rPr>
                <w:b/>
                <w:w w:val="99"/>
                <w:sz w:val="18"/>
              </w:rPr>
              <w:t>e</w:t>
            </w:r>
            <w:r>
              <w:rPr>
                <w:b/>
                <w:w w:val="100"/>
                <w:sz w:val="18"/>
              </w:rPr>
              <w:t>d</w:t>
            </w:r>
            <w:r>
              <w:rPr>
                <w:b/>
                <w:spacing w:val="-2"/>
                <w:w w:val="100"/>
                <w:sz w:val="18"/>
              </w:rPr>
              <w:t>i</w:t>
            </w:r>
            <w:r>
              <w:rPr>
                <w:b/>
                <w:w w:val="100"/>
                <w:sz w:val="18"/>
              </w:rPr>
              <w:t>do</w:t>
            </w:r>
          </w:p>
        </w:tc>
        <w:tc>
          <w:tcPr>
            <w:tcW w:w="464" w:type="dxa"/>
            <w:tcBorders>
              <w:bottom w:val="single" w:sz="4" w:space="0" w:color="000000"/>
            </w:tcBorders>
            <w:shd w:val="clear" w:color="auto" w:fill="C5DFB3"/>
            <w:textDirection w:val="btLr"/>
          </w:tcPr>
          <w:p>
            <w:pPr>
              <w:pStyle w:val="TableParagraph"/>
              <w:spacing w:before="64"/>
              <w:jc w:val="left"/>
              <w:rPr>
                <w:b/>
                <w:sz w:val="18"/>
              </w:rPr>
            </w:pPr>
            <w:r>
              <w:rPr>
                <w:b/>
                <w:w w:val="99"/>
                <w:sz w:val="18"/>
              </w:rPr>
              <w:t>Compra</w:t>
            </w:r>
            <w:r>
              <w:rPr>
                <w:b/>
                <w:w w:val="99"/>
                <w:sz w:val="18"/>
              </w:rPr>
              <w:t>s</w:t>
            </w:r>
          </w:p>
        </w:tc>
        <w:tc>
          <w:tcPr>
            <w:tcW w:w="466" w:type="dxa"/>
            <w:tcBorders>
              <w:bottom w:val="single" w:sz="4" w:space="0" w:color="000000"/>
            </w:tcBorders>
            <w:shd w:val="clear" w:color="auto" w:fill="C5DFB3"/>
            <w:textDirection w:val="btLr"/>
          </w:tcPr>
          <w:p>
            <w:pPr>
              <w:pStyle w:val="TableParagraph"/>
              <w:spacing w:before="71"/>
              <w:jc w:val="left"/>
              <w:rPr>
                <w:b/>
                <w:sz w:val="18"/>
              </w:rPr>
            </w:pPr>
            <w:r>
              <w:rPr>
                <w:b/>
                <w:w w:val="100"/>
                <w:sz w:val="18"/>
              </w:rPr>
              <w:t>To</w:t>
            </w:r>
            <w:r>
              <w:rPr>
                <w:b/>
                <w:w w:val="99"/>
                <w:sz w:val="18"/>
              </w:rPr>
              <w:t>ta</w:t>
            </w:r>
            <w:r>
              <w:rPr>
                <w:b/>
                <w:w w:val="100"/>
                <w:sz w:val="18"/>
              </w:rPr>
              <w:t>l</w:t>
            </w:r>
          </w:p>
        </w:tc>
        <w:tc>
          <w:tcPr>
            <w:tcW w:w="466" w:type="dxa"/>
            <w:tcBorders>
              <w:bottom w:val="single" w:sz="4" w:space="0" w:color="000000"/>
            </w:tcBorders>
            <w:shd w:val="clear" w:color="auto" w:fill="C5DFB3"/>
            <w:textDirection w:val="btLr"/>
          </w:tcPr>
          <w:p>
            <w:pPr>
              <w:pStyle w:val="TableParagraph"/>
              <w:spacing w:before="71"/>
              <w:jc w:val="left"/>
              <w:rPr>
                <w:b/>
                <w:sz w:val="18"/>
              </w:rPr>
            </w:pPr>
            <w:r>
              <w:rPr>
                <w:b/>
                <w:w w:val="100"/>
                <w:sz w:val="18"/>
              </w:rPr>
              <w:t>Li</w:t>
            </w:r>
            <w:r>
              <w:rPr>
                <w:b/>
                <w:w w:val="99"/>
                <w:sz w:val="18"/>
              </w:rPr>
              <w:t>c</w:t>
            </w:r>
            <w:r>
              <w:rPr>
                <w:b/>
                <w:w w:val="100"/>
                <w:sz w:val="18"/>
              </w:rPr>
              <w:t>it.</w:t>
            </w:r>
            <w:r>
              <w:rPr>
                <w:b/>
                <w:sz w:val="18"/>
              </w:rPr>
              <w:t> </w:t>
            </w:r>
            <w:r>
              <w:rPr>
                <w:b/>
                <w:w w:val="100"/>
                <w:sz w:val="18"/>
              </w:rPr>
              <w:t>Pu</w:t>
            </w:r>
            <w:r>
              <w:rPr>
                <w:b/>
                <w:spacing w:val="-2"/>
                <w:w w:val="100"/>
                <w:sz w:val="18"/>
              </w:rPr>
              <w:t>b</w:t>
            </w:r>
            <w:r>
              <w:rPr>
                <w:b/>
                <w:w w:val="100"/>
                <w:sz w:val="18"/>
              </w:rPr>
              <w:t>l</w:t>
            </w:r>
          </w:p>
        </w:tc>
        <w:tc>
          <w:tcPr>
            <w:tcW w:w="466" w:type="dxa"/>
            <w:tcBorders>
              <w:bottom w:val="single" w:sz="4" w:space="0" w:color="000000"/>
            </w:tcBorders>
            <w:shd w:val="clear" w:color="auto" w:fill="C5DFB3"/>
            <w:textDirection w:val="btLr"/>
          </w:tcPr>
          <w:p>
            <w:pPr>
              <w:pStyle w:val="TableParagraph"/>
              <w:spacing w:before="71"/>
              <w:jc w:val="left"/>
              <w:rPr>
                <w:b/>
                <w:sz w:val="18"/>
              </w:rPr>
            </w:pPr>
            <w:r>
              <w:rPr>
                <w:b/>
                <w:w w:val="100"/>
                <w:sz w:val="18"/>
              </w:rPr>
              <w:t>In</w:t>
            </w:r>
            <w:r>
              <w:rPr>
                <w:b/>
                <w:w w:val="99"/>
                <w:sz w:val="18"/>
              </w:rPr>
              <w:t>v</w:t>
            </w:r>
            <w:r>
              <w:rPr>
                <w:b/>
                <w:w w:val="100"/>
                <w:sz w:val="18"/>
              </w:rPr>
              <w:t>.</w:t>
            </w:r>
            <w:r>
              <w:rPr>
                <w:b/>
                <w:sz w:val="18"/>
              </w:rPr>
              <w:t> </w:t>
            </w:r>
            <w:r>
              <w:rPr>
                <w:b/>
                <w:w w:val="99"/>
                <w:sz w:val="18"/>
              </w:rPr>
              <w:t>Res</w:t>
            </w:r>
            <w:r>
              <w:rPr>
                <w:b/>
                <w:sz w:val="18"/>
              </w:rPr>
              <w:t>tr.</w:t>
            </w:r>
          </w:p>
        </w:tc>
        <w:tc>
          <w:tcPr>
            <w:tcW w:w="463" w:type="dxa"/>
            <w:tcBorders>
              <w:bottom w:val="single" w:sz="4" w:space="0" w:color="000000"/>
            </w:tcBorders>
            <w:shd w:val="clear" w:color="auto" w:fill="C5DFB3"/>
            <w:textDirection w:val="btLr"/>
          </w:tcPr>
          <w:p>
            <w:pPr>
              <w:pStyle w:val="TableParagraph"/>
              <w:spacing w:before="71"/>
              <w:jc w:val="left"/>
              <w:rPr>
                <w:b/>
                <w:sz w:val="18"/>
              </w:rPr>
            </w:pPr>
            <w:r>
              <w:rPr>
                <w:b/>
                <w:w w:val="100"/>
                <w:sz w:val="18"/>
              </w:rPr>
              <w:t>Adj.</w:t>
            </w:r>
            <w:r>
              <w:rPr>
                <w:b/>
                <w:sz w:val="18"/>
              </w:rPr>
              <w:t> </w:t>
            </w:r>
            <w:r>
              <w:rPr>
                <w:b/>
                <w:w w:val="99"/>
                <w:sz w:val="18"/>
              </w:rPr>
              <w:t>Dire</w:t>
            </w:r>
            <w:r>
              <w:rPr>
                <w:b/>
                <w:w w:val="99"/>
                <w:sz w:val="18"/>
              </w:rPr>
              <w:t>c</w:t>
            </w:r>
            <w:r>
              <w:rPr>
                <w:b/>
                <w:w w:val="100"/>
                <w:sz w:val="18"/>
              </w:rPr>
              <w:t>t.</w:t>
            </w:r>
          </w:p>
        </w:tc>
        <w:tc>
          <w:tcPr>
            <w:tcW w:w="475" w:type="dxa"/>
            <w:tcBorders>
              <w:bottom w:val="single" w:sz="4" w:space="0" w:color="000000"/>
            </w:tcBorders>
            <w:shd w:val="clear" w:color="auto" w:fill="C5DFB3"/>
            <w:textDirection w:val="btLr"/>
          </w:tcPr>
          <w:p>
            <w:pPr>
              <w:pStyle w:val="TableParagraph"/>
              <w:spacing w:before="83"/>
              <w:jc w:val="left"/>
              <w:rPr>
                <w:b/>
                <w:sz w:val="18"/>
              </w:rPr>
            </w:pPr>
            <w:r>
              <w:rPr>
                <w:b/>
                <w:w w:val="100"/>
                <w:sz w:val="18"/>
              </w:rPr>
              <w:t>Adq.</w:t>
            </w:r>
            <w:r>
              <w:rPr>
                <w:b/>
                <w:sz w:val="18"/>
              </w:rPr>
              <w:t> </w:t>
            </w:r>
            <w:r>
              <w:rPr>
                <w:b/>
                <w:w w:val="99"/>
                <w:sz w:val="18"/>
              </w:rPr>
              <w:t>Dire</w:t>
            </w:r>
            <w:r>
              <w:rPr>
                <w:b/>
                <w:w w:val="99"/>
                <w:sz w:val="18"/>
              </w:rPr>
              <w:t>c</w:t>
            </w:r>
            <w:r>
              <w:rPr>
                <w:b/>
                <w:w w:val="99"/>
                <w:sz w:val="18"/>
              </w:rPr>
              <w:t>t</w:t>
            </w:r>
          </w:p>
        </w:tc>
        <w:tc>
          <w:tcPr>
            <w:tcW w:w="466" w:type="dxa"/>
            <w:tcBorders>
              <w:bottom w:val="single" w:sz="4" w:space="0" w:color="000000"/>
            </w:tcBorders>
            <w:shd w:val="clear" w:color="auto" w:fill="C5DFB3"/>
            <w:textDirection w:val="btLr"/>
          </w:tcPr>
          <w:p>
            <w:pPr>
              <w:pStyle w:val="TableParagraph"/>
              <w:spacing w:before="71"/>
              <w:jc w:val="left"/>
              <w:rPr>
                <w:b/>
                <w:sz w:val="18"/>
              </w:rPr>
            </w:pPr>
            <w:r>
              <w:rPr>
                <w:b/>
                <w:w w:val="100"/>
                <w:sz w:val="18"/>
              </w:rPr>
              <w:t>In</w:t>
            </w:r>
            <w:r>
              <w:rPr>
                <w:b/>
                <w:w w:val="99"/>
                <w:sz w:val="18"/>
              </w:rPr>
              <w:t>v</w:t>
            </w:r>
            <w:r>
              <w:rPr>
                <w:b/>
                <w:w w:val="100"/>
                <w:sz w:val="18"/>
              </w:rPr>
              <w:t>.</w:t>
            </w:r>
            <w:r>
              <w:rPr>
                <w:b/>
                <w:sz w:val="18"/>
              </w:rPr>
              <w:t> </w:t>
            </w:r>
            <w:r>
              <w:rPr>
                <w:b/>
                <w:w w:val="99"/>
                <w:sz w:val="18"/>
              </w:rPr>
              <w:t>A</w:t>
            </w:r>
            <w:r>
              <w:rPr>
                <w:b/>
                <w:sz w:val="18"/>
              </w:rPr>
              <w:t> </w:t>
            </w:r>
            <w:r>
              <w:rPr>
                <w:b/>
                <w:w w:val="99"/>
                <w:sz w:val="18"/>
              </w:rPr>
              <w:t>3</w:t>
            </w:r>
            <w:r>
              <w:rPr>
                <w:b/>
                <w:spacing w:val="-2"/>
                <w:sz w:val="18"/>
              </w:rPr>
              <w:t> </w:t>
            </w:r>
            <w:r>
              <w:rPr>
                <w:b/>
                <w:sz w:val="18"/>
              </w:rPr>
              <w:t>perso</w:t>
            </w:r>
            <w:r>
              <w:rPr>
                <w:b/>
                <w:spacing w:val="-2"/>
                <w:w w:val="100"/>
                <w:sz w:val="18"/>
              </w:rPr>
              <w:t>n</w:t>
            </w:r>
            <w:r>
              <w:rPr>
                <w:b/>
                <w:w w:val="99"/>
                <w:sz w:val="18"/>
              </w:rPr>
              <w:t>as</w:t>
            </w:r>
          </w:p>
        </w:tc>
        <w:tc>
          <w:tcPr>
            <w:tcW w:w="466" w:type="dxa"/>
            <w:tcBorders>
              <w:bottom w:val="single" w:sz="4" w:space="0" w:color="000000"/>
            </w:tcBorders>
            <w:shd w:val="clear" w:color="auto" w:fill="C5DFB3"/>
            <w:textDirection w:val="btLr"/>
          </w:tcPr>
          <w:p>
            <w:pPr>
              <w:pStyle w:val="TableParagraph"/>
              <w:spacing w:before="71"/>
              <w:jc w:val="left"/>
              <w:rPr>
                <w:b/>
                <w:sz w:val="18"/>
              </w:rPr>
            </w:pPr>
            <w:r>
              <w:rPr>
                <w:b/>
                <w:w w:val="99"/>
                <w:sz w:val="18"/>
              </w:rPr>
              <w:t>Compra</w:t>
            </w:r>
            <w:r>
              <w:rPr>
                <w:b/>
                <w:w w:val="99"/>
                <w:sz w:val="18"/>
              </w:rPr>
              <w:t>s</w:t>
            </w:r>
            <w:r>
              <w:rPr>
                <w:b/>
                <w:sz w:val="18"/>
              </w:rPr>
              <w:t> </w:t>
            </w:r>
            <w:r>
              <w:rPr>
                <w:b/>
                <w:spacing w:val="-2"/>
                <w:w w:val="99"/>
                <w:sz w:val="18"/>
              </w:rPr>
              <w:t>m</w:t>
            </w:r>
            <w:r>
              <w:rPr>
                <w:b/>
                <w:w w:val="99"/>
                <w:sz w:val="18"/>
              </w:rPr>
              <w:t>e</w:t>
            </w:r>
            <w:r>
              <w:rPr>
                <w:b/>
                <w:w w:val="100"/>
                <w:sz w:val="18"/>
              </w:rPr>
              <w:t>no</w:t>
            </w:r>
            <w:r>
              <w:rPr>
                <w:b/>
                <w:w w:val="99"/>
                <w:sz w:val="18"/>
              </w:rPr>
              <w:t>res</w:t>
            </w:r>
          </w:p>
        </w:tc>
        <w:tc>
          <w:tcPr>
            <w:tcW w:w="466" w:type="dxa"/>
            <w:tcBorders>
              <w:bottom w:val="single" w:sz="4" w:space="0" w:color="000000"/>
            </w:tcBorders>
            <w:shd w:val="clear" w:color="auto" w:fill="C5DFB3"/>
            <w:textDirection w:val="btLr"/>
          </w:tcPr>
          <w:p>
            <w:pPr>
              <w:pStyle w:val="TableParagraph"/>
              <w:spacing w:before="71"/>
              <w:jc w:val="left"/>
              <w:rPr>
                <w:b/>
                <w:sz w:val="18"/>
              </w:rPr>
            </w:pPr>
            <w:r>
              <w:rPr>
                <w:b/>
                <w:w w:val="100"/>
                <w:sz w:val="18"/>
              </w:rPr>
              <w:t>Cont</w:t>
            </w:r>
            <w:r>
              <w:rPr>
                <w:b/>
                <w:w w:val="99"/>
                <w:sz w:val="18"/>
              </w:rPr>
              <w:t>rato </w:t>
            </w:r>
            <w:r>
              <w:rPr>
                <w:b/>
                <w:w w:val="100"/>
                <w:sz w:val="18"/>
              </w:rPr>
              <w:t>p</w:t>
            </w:r>
            <w:r>
              <w:rPr>
                <w:b/>
                <w:w w:val="99"/>
                <w:sz w:val="18"/>
              </w:rPr>
              <w:t>e</w:t>
            </w:r>
            <w:r>
              <w:rPr>
                <w:b/>
                <w:w w:val="100"/>
                <w:sz w:val="18"/>
              </w:rPr>
              <w:t>d</w:t>
            </w:r>
            <w:r>
              <w:rPr>
                <w:b/>
                <w:spacing w:val="-2"/>
                <w:w w:val="100"/>
                <w:sz w:val="18"/>
              </w:rPr>
              <w:t>i</w:t>
            </w:r>
            <w:r>
              <w:rPr>
                <w:b/>
                <w:w w:val="100"/>
                <w:sz w:val="18"/>
              </w:rPr>
              <w:t>do</w:t>
            </w:r>
          </w:p>
        </w:tc>
        <w:tc>
          <w:tcPr>
            <w:tcW w:w="463" w:type="dxa"/>
            <w:tcBorders>
              <w:bottom w:val="single" w:sz="4" w:space="0" w:color="000000"/>
            </w:tcBorders>
            <w:shd w:val="clear" w:color="auto" w:fill="C5DFB3"/>
            <w:textDirection w:val="btLr"/>
          </w:tcPr>
          <w:p>
            <w:pPr>
              <w:pStyle w:val="TableParagraph"/>
              <w:spacing w:before="64"/>
              <w:jc w:val="left"/>
              <w:rPr>
                <w:b/>
                <w:sz w:val="18"/>
              </w:rPr>
            </w:pPr>
            <w:r>
              <w:rPr>
                <w:b/>
                <w:w w:val="99"/>
                <w:sz w:val="18"/>
              </w:rPr>
              <w:t>Compra</w:t>
            </w:r>
            <w:r>
              <w:rPr>
                <w:b/>
                <w:w w:val="99"/>
                <w:sz w:val="18"/>
              </w:rPr>
              <w:t>s</w:t>
            </w:r>
          </w:p>
        </w:tc>
        <w:tc>
          <w:tcPr>
            <w:tcW w:w="475" w:type="dxa"/>
            <w:tcBorders>
              <w:bottom w:val="single" w:sz="4" w:space="0" w:color="000000"/>
            </w:tcBorders>
            <w:shd w:val="clear" w:color="auto" w:fill="C5DFB3"/>
            <w:textDirection w:val="btLr"/>
          </w:tcPr>
          <w:p>
            <w:pPr>
              <w:pStyle w:val="TableParagraph"/>
              <w:spacing w:before="83"/>
              <w:jc w:val="left"/>
              <w:rPr>
                <w:b/>
                <w:sz w:val="18"/>
              </w:rPr>
            </w:pPr>
            <w:r>
              <w:rPr>
                <w:b/>
                <w:w w:val="100"/>
                <w:sz w:val="18"/>
              </w:rPr>
              <w:t>To</w:t>
            </w:r>
            <w:r>
              <w:rPr>
                <w:b/>
                <w:w w:val="99"/>
                <w:sz w:val="18"/>
              </w:rPr>
              <w:t>ta</w:t>
            </w:r>
            <w:r>
              <w:rPr>
                <w:b/>
                <w:w w:val="100"/>
                <w:sz w:val="18"/>
              </w:rPr>
              <w:t>l</w:t>
            </w:r>
          </w:p>
        </w:tc>
      </w:tr>
      <w:tr>
        <w:trPr>
          <w:trHeight w:val="322" w:hRule="exact"/>
        </w:trPr>
        <w:tc>
          <w:tcPr>
            <w:tcW w:w="2861" w:type="dxa"/>
            <w:tcBorders>
              <w:top w:val="single" w:sz="4" w:space="0" w:color="000000"/>
              <w:left w:val="single" w:sz="8" w:space="0" w:color="000000"/>
            </w:tcBorders>
          </w:tcPr>
          <w:p>
            <w:pPr>
              <w:pStyle w:val="TableParagraph"/>
              <w:spacing w:line="201" w:lineRule="exact"/>
              <w:ind w:left="62"/>
              <w:jc w:val="left"/>
              <w:rPr>
                <w:b/>
                <w:sz w:val="18"/>
              </w:rPr>
            </w:pPr>
            <w:r>
              <w:rPr>
                <w:b/>
                <w:color w:val="333333"/>
                <w:sz w:val="18"/>
              </w:rPr>
              <w:t>CHALCO</w:t>
            </w:r>
          </w:p>
        </w:tc>
        <w:tc>
          <w:tcPr>
            <w:tcW w:w="586" w:type="dxa"/>
            <w:tcBorders>
              <w:top w:val="single" w:sz="4" w:space="0" w:color="000000"/>
            </w:tcBorders>
          </w:tcPr>
          <w:p>
            <w:pPr>
              <w:pStyle w:val="TableParagraph"/>
              <w:spacing w:line="206" w:lineRule="exact"/>
              <w:rPr>
                <w:sz w:val="18"/>
              </w:rPr>
            </w:pPr>
            <w:r>
              <w:rPr>
                <w:w w:val="99"/>
                <w:sz w:val="18"/>
              </w:rPr>
              <w:t>0</w:t>
            </w:r>
          </w:p>
        </w:tc>
        <w:tc>
          <w:tcPr>
            <w:tcW w:w="588" w:type="dxa"/>
            <w:tcBorders>
              <w:top w:val="single" w:sz="4" w:space="0" w:color="000000"/>
            </w:tcBorders>
          </w:tcPr>
          <w:p>
            <w:pPr>
              <w:pStyle w:val="TableParagraph"/>
              <w:spacing w:line="206" w:lineRule="exact"/>
              <w:ind w:right="236"/>
              <w:jc w:val="right"/>
              <w:rPr>
                <w:sz w:val="18"/>
              </w:rPr>
            </w:pPr>
            <w:r>
              <w:rPr>
                <w:w w:val="99"/>
                <w:sz w:val="18"/>
              </w:rPr>
              <w:t>0</w:t>
            </w:r>
          </w:p>
        </w:tc>
        <w:tc>
          <w:tcPr>
            <w:tcW w:w="466" w:type="dxa"/>
            <w:tcBorders>
              <w:top w:val="single" w:sz="4" w:space="0" w:color="000000"/>
            </w:tcBorders>
          </w:tcPr>
          <w:p>
            <w:pPr>
              <w:pStyle w:val="TableParagraph"/>
              <w:spacing w:line="206" w:lineRule="exact"/>
              <w:ind w:left="175"/>
              <w:jc w:val="left"/>
              <w:rPr>
                <w:sz w:val="18"/>
              </w:rPr>
            </w:pPr>
            <w:r>
              <w:rPr>
                <w:w w:val="99"/>
                <w:sz w:val="18"/>
              </w:rPr>
              <w:t>0</w:t>
            </w:r>
          </w:p>
        </w:tc>
        <w:tc>
          <w:tcPr>
            <w:tcW w:w="463" w:type="dxa"/>
            <w:tcBorders>
              <w:top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tcBorders>
          </w:tcPr>
          <w:p>
            <w:pPr>
              <w:pStyle w:val="TableParagraph"/>
              <w:spacing w:line="206" w:lineRule="exact"/>
              <w:ind w:right="3"/>
              <w:rPr>
                <w:sz w:val="18"/>
              </w:rPr>
            </w:pPr>
            <w:r>
              <w:rPr>
                <w:w w:val="99"/>
                <w:sz w:val="18"/>
              </w:rPr>
              <w:t>0</w:t>
            </w:r>
          </w:p>
        </w:tc>
        <w:tc>
          <w:tcPr>
            <w:tcW w:w="464" w:type="dxa"/>
            <w:tcBorders>
              <w:top w:val="single" w:sz="4" w:space="0" w:color="000000"/>
            </w:tcBorders>
          </w:tcPr>
          <w:p>
            <w:pPr>
              <w:pStyle w:val="TableParagraph"/>
              <w:spacing w:line="206" w:lineRule="exact"/>
              <w:ind w:left="175"/>
              <w:jc w:val="left"/>
              <w:rPr>
                <w:sz w:val="18"/>
              </w:rPr>
            </w:pPr>
            <w:r>
              <w:rPr>
                <w:w w:val="99"/>
                <w:sz w:val="18"/>
              </w:rPr>
              <w:t>0</w:t>
            </w:r>
          </w:p>
        </w:tc>
        <w:tc>
          <w:tcPr>
            <w:tcW w:w="466" w:type="dxa"/>
            <w:tcBorders>
              <w:top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tcBorders>
          </w:tcPr>
          <w:p>
            <w:pPr>
              <w:pStyle w:val="TableParagraph"/>
              <w:spacing w:line="206" w:lineRule="exact"/>
              <w:ind w:right="3"/>
              <w:rPr>
                <w:sz w:val="18"/>
              </w:rPr>
            </w:pPr>
            <w:r>
              <w:rPr>
                <w:w w:val="99"/>
                <w:sz w:val="18"/>
              </w:rPr>
              <w:t>0</w:t>
            </w:r>
          </w:p>
        </w:tc>
        <w:tc>
          <w:tcPr>
            <w:tcW w:w="463" w:type="dxa"/>
            <w:tcBorders>
              <w:top w:val="single" w:sz="4" w:space="0" w:color="000000"/>
            </w:tcBorders>
          </w:tcPr>
          <w:p>
            <w:pPr>
              <w:pStyle w:val="TableParagraph"/>
              <w:spacing w:line="206" w:lineRule="exact"/>
              <w:ind w:right="1"/>
              <w:rPr>
                <w:sz w:val="18"/>
              </w:rPr>
            </w:pPr>
            <w:r>
              <w:rPr>
                <w:w w:val="99"/>
                <w:sz w:val="18"/>
              </w:rPr>
              <w:t>0</w:t>
            </w:r>
          </w:p>
        </w:tc>
        <w:tc>
          <w:tcPr>
            <w:tcW w:w="475" w:type="dxa"/>
            <w:tcBorders>
              <w:top w:val="single" w:sz="4" w:space="0" w:color="000000"/>
            </w:tcBorders>
          </w:tcPr>
          <w:p>
            <w:pPr>
              <w:pStyle w:val="TableParagraph"/>
              <w:spacing w:line="206" w:lineRule="exact"/>
              <w:ind w:right="178"/>
              <w:jc w:val="right"/>
              <w:rPr>
                <w:sz w:val="18"/>
              </w:rPr>
            </w:pPr>
            <w:r>
              <w:rPr>
                <w:w w:val="99"/>
                <w:sz w:val="18"/>
              </w:rPr>
              <w:t>0</w:t>
            </w:r>
          </w:p>
        </w:tc>
        <w:tc>
          <w:tcPr>
            <w:tcW w:w="466" w:type="dxa"/>
            <w:tcBorders>
              <w:top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tcBorders>
          </w:tcPr>
          <w:p>
            <w:pPr>
              <w:pStyle w:val="TableParagraph"/>
              <w:spacing w:line="206" w:lineRule="exact"/>
              <w:ind w:left="177"/>
              <w:jc w:val="left"/>
              <w:rPr>
                <w:sz w:val="18"/>
              </w:rPr>
            </w:pPr>
            <w:r>
              <w:rPr>
                <w:w w:val="99"/>
                <w:sz w:val="18"/>
              </w:rPr>
              <w:t>0</w:t>
            </w:r>
          </w:p>
        </w:tc>
        <w:tc>
          <w:tcPr>
            <w:tcW w:w="466" w:type="dxa"/>
            <w:tcBorders>
              <w:top w:val="single" w:sz="4" w:space="0" w:color="000000"/>
            </w:tcBorders>
          </w:tcPr>
          <w:p>
            <w:pPr>
              <w:pStyle w:val="TableParagraph"/>
              <w:spacing w:line="206" w:lineRule="exact"/>
              <w:ind w:right="3"/>
              <w:rPr>
                <w:sz w:val="18"/>
              </w:rPr>
            </w:pPr>
            <w:r>
              <w:rPr>
                <w:w w:val="99"/>
                <w:sz w:val="18"/>
              </w:rPr>
              <w:t>0</w:t>
            </w:r>
          </w:p>
        </w:tc>
        <w:tc>
          <w:tcPr>
            <w:tcW w:w="463" w:type="dxa"/>
            <w:tcBorders>
              <w:top w:val="single" w:sz="4" w:space="0" w:color="000000"/>
            </w:tcBorders>
          </w:tcPr>
          <w:p>
            <w:pPr>
              <w:pStyle w:val="TableParagraph"/>
              <w:spacing w:line="206" w:lineRule="exact"/>
              <w:ind w:right="176"/>
              <w:jc w:val="right"/>
              <w:rPr>
                <w:sz w:val="18"/>
              </w:rPr>
            </w:pPr>
            <w:r>
              <w:rPr>
                <w:w w:val="99"/>
                <w:sz w:val="18"/>
              </w:rPr>
              <w:t>0</w:t>
            </w:r>
          </w:p>
        </w:tc>
        <w:tc>
          <w:tcPr>
            <w:tcW w:w="475" w:type="dxa"/>
            <w:tcBorders>
              <w:top w:val="single" w:sz="4" w:space="0" w:color="000000"/>
            </w:tcBorders>
          </w:tcPr>
          <w:p>
            <w:pPr>
              <w:pStyle w:val="TableParagraph"/>
              <w:spacing w:line="201" w:lineRule="exact"/>
              <w:ind w:left="4"/>
              <w:rPr>
                <w:b/>
                <w:sz w:val="18"/>
              </w:rPr>
            </w:pPr>
            <w:r>
              <w:rPr>
                <w:b/>
                <w:w w:val="99"/>
                <w:sz w:val="18"/>
              </w:rPr>
              <w:t>0</w:t>
            </w:r>
          </w:p>
        </w:tc>
      </w:tr>
      <w:tr>
        <w:trPr>
          <w:trHeight w:val="319" w:hRule="exact"/>
        </w:trPr>
        <w:tc>
          <w:tcPr>
            <w:tcW w:w="2861" w:type="dxa"/>
            <w:tcBorders>
              <w:left w:val="single" w:sz="8" w:space="0" w:color="000000"/>
            </w:tcBorders>
          </w:tcPr>
          <w:p>
            <w:pPr>
              <w:pStyle w:val="TableParagraph"/>
              <w:spacing w:line="201" w:lineRule="exact"/>
              <w:ind w:left="62"/>
              <w:jc w:val="left"/>
              <w:rPr>
                <w:b/>
                <w:sz w:val="18"/>
              </w:rPr>
            </w:pPr>
            <w:r>
              <w:rPr>
                <w:b/>
                <w:color w:val="333333"/>
                <w:sz w:val="18"/>
              </w:rPr>
              <w:t>CHAPA DE MOTA</w:t>
            </w:r>
          </w:p>
        </w:tc>
        <w:tc>
          <w:tcPr>
            <w:tcW w:w="586" w:type="dxa"/>
          </w:tcPr>
          <w:p>
            <w:pPr>
              <w:pStyle w:val="TableParagraph"/>
              <w:spacing w:line="206" w:lineRule="exact"/>
              <w:rPr>
                <w:sz w:val="18"/>
              </w:rPr>
            </w:pPr>
            <w:r>
              <w:rPr>
                <w:w w:val="99"/>
                <w:sz w:val="18"/>
              </w:rPr>
              <w:t>0</w:t>
            </w:r>
          </w:p>
        </w:tc>
        <w:tc>
          <w:tcPr>
            <w:tcW w:w="588" w:type="dxa"/>
          </w:tcPr>
          <w:p>
            <w:pPr>
              <w:pStyle w:val="TableParagraph"/>
              <w:spacing w:line="206" w:lineRule="exact"/>
              <w:ind w:right="236"/>
              <w:jc w:val="righ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4" w:type="dxa"/>
          </w:tcPr>
          <w:p>
            <w:pPr>
              <w:pStyle w:val="TableParagraph"/>
              <w:spacing w:line="206" w:lineRule="exact"/>
              <w:ind w:left="175"/>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
              <w:rPr>
                <w:sz w:val="18"/>
              </w:rPr>
            </w:pPr>
            <w:r>
              <w:rPr>
                <w:w w:val="99"/>
                <w:sz w:val="18"/>
              </w:rPr>
              <w:t>0</w:t>
            </w:r>
          </w:p>
        </w:tc>
        <w:tc>
          <w:tcPr>
            <w:tcW w:w="475" w:type="dxa"/>
          </w:tcPr>
          <w:p>
            <w:pPr>
              <w:pStyle w:val="TableParagraph"/>
              <w:spacing w:line="206" w:lineRule="exact"/>
              <w:ind w:right="178"/>
              <w:jc w:val="righ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22" w:hRule="exact"/>
        </w:trPr>
        <w:tc>
          <w:tcPr>
            <w:tcW w:w="2861" w:type="dxa"/>
            <w:tcBorders>
              <w:left w:val="single" w:sz="8" w:space="0" w:color="000000"/>
            </w:tcBorders>
          </w:tcPr>
          <w:p>
            <w:pPr>
              <w:pStyle w:val="TableParagraph"/>
              <w:spacing w:line="201" w:lineRule="exact"/>
              <w:ind w:left="62"/>
              <w:jc w:val="left"/>
              <w:rPr>
                <w:b/>
                <w:sz w:val="18"/>
              </w:rPr>
            </w:pPr>
            <w:r>
              <w:rPr>
                <w:b/>
                <w:color w:val="333333"/>
                <w:sz w:val="18"/>
              </w:rPr>
              <w:t>CHAPULTEPEC</w:t>
            </w:r>
          </w:p>
        </w:tc>
        <w:tc>
          <w:tcPr>
            <w:tcW w:w="586" w:type="dxa"/>
          </w:tcPr>
          <w:p>
            <w:pPr>
              <w:pStyle w:val="TableParagraph"/>
              <w:spacing w:line="206" w:lineRule="exact"/>
              <w:rPr>
                <w:sz w:val="18"/>
              </w:rPr>
            </w:pPr>
            <w:r>
              <w:rPr>
                <w:w w:val="99"/>
                <w:sz w:val="18"/>
              </w:rPr>
              <w:t>0</w:t>
            </w:r>
          </w:p>
        </w:tc>
        <w:tc>
          <w:tcPr>
            <w:tcW w:w="588" w:type="dxa"/>
          </w:tcPr>
          <w:p>
            <w:pPr>
              <w:pStyle w:val="TableParagraph"/>
              <w:spacing w:line="206" w:lineRule="exact"/>
              <w:ind w:right="236"/>
              <w:jc w:val="righ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4" w:type="dxa"/>
          </w:tcPr>
          <w:p>
            <w:pPr>
              <w:pStyle w:val="TableParagraph"/>
              <w:spacing w:line="206" w:lineRule="exact"/>
              <w:ind w:left="175"/>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
              <w:rPr>
                <w:sz w:val="18"/>
              </w:rPr>
            </w:pPr>
            <w:r>
              <w:rPr>
                <w:w w:val="99"/>
                <w:sz w:val="18"/>
              </w:rPr>
              <w:t>0</w:t>
            </w:r>
          </w:p>
        </w:tc>
        <w:tc>
          <w:tcPr>
            <w:tcW w:w="475" w:type="dxa"/>
          </w:tcPr>
          <w:p>
            <w:pPr>
              <w:pStyle w:val="TableParagraph"/>
              <w:spacing w:line="206" w:lineRule="exact"/>
              <w:ind w:right="178"/>
              <w:jc w:val="righ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19" w:hRule="exact"/>
        </w:trPr>
        <w:tc>
          <w:tcPr>
            <w:tcW w:w="2861" w:type="dxa"/>
            <w:tcBorders>
              <w:left w:val="single" w:sz="8" w:space="0" w:color="000000"/>
            </w:tcBorders>
          </w:tcPr>
          <w:p>
            <w:pPr>
              <w:pStyle w:val="TableParagraph"/>
              <w:spacing w:line="201" w:lineRule="exact"/>
              <w:ind w:left="62"/>
              <w:jc w:val="left"/>
              <w:rPr>
                <w:b/>
                <w:sz w:val="18"/>
              </w:rPr>
            </w:pPr>
            <w:r>
              <w:rPr>
                <w:b/>
                <w:color w:val="333333"/>
                <w:sz w:val="18"/>
              </w:rPr>
              <w:t>CHIAUTLA</w:t>
            </w:r>
          </w:p>
        </w:tc>
        <w:tc>
          <w:tcPr>
            <w:tcW w:w="586" w:type="dxa"/>
          </w:tcPr>
          <w:p>
            <w:pPr>
              <w:pStyle w:val="TableParagraph"/>
              <w:spacing w:line="206" w:lineRule="exact"/>
              <w:rPr>
                <w:sz w:val="18"/>
              </w:rPr>
            </w:pPr>
            <w:r>
              <w:rPr>
                <w:w w:val="99"/>
                <w:sz w:val="18"/>
              </w:rPr>
              <w:t>0</w:t>
            </w:r>
          </w:p>
        </w:tc>
        <w:tc>
          <w:tcPr>
            <w:tcW w:w="588" w:type="dxa"/>
          </w:tcPr>
          <w:p>
            <w:pPr>
              <w:pStyle w:val="TableParagraph"/>
              <w:spacing w:line="206" w:lineRule="exact"/>
              <w:ind w:right="236"/>
              <w:jc w:val="righ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4" w:type="dxa"/>
          </w:tcPr>
          <w:p>
            <w:pPr>
              <w:pStyle w:val="TableParagraph"/>
              <w:spacing w:line="206" w:lineRule="exact"/>
              <w:ind w:left="175"/>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
              <w:rPr>
                <w:sz w:val="18"/>
              </w:rPr>
            </w:pPr>
            <w:r>
              <w:rPr>
                <w:w w:val="99"/>
                <w:sz w:val="18"/>
              </w:rPr>
              <w:t>0</w:t>
            </w:r>
          </w:p>
        </w:tc>
        <w:tc>
          <w:tcPr>
            <w:tcW w:w="475" w:type="dxa"/>
          </w:tcPr>
          <w:p>
            <w:pPr>
              <w:pStyle w:val="TableParagraph"/>
              <w:spacing w:line="206" w:lineRule="exact"/>
              <w:ind w:right="178"/>
              <w:jc w:val="righ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22" w:hRule="exact"/>
        </w:trPr>
        <w:tc>
          <w:tcPr>
            <w:tcW w:w="2861" w:type="dxa"/>
            <w:tcBorders>
              <w:left w:val="single" w:sz="8" w:space="0" w:color="000000"/>
            </w:tcBorders>
          </w:tcPr>
          <w:p>
            <w:pPr>
              <w:pStyle w:val="TableParagraph"/>
              <w:spacing w:line="201" w:lineRule="exact"/>
              <w:ind w:left="62"/>
              <w:jc w:val="left"/>
              <w:rPr>
                <w:b/>
                <w:sz w:val="18"/>
              </w:rPr>
            </w:pPr>
            <w:r>
              <w:rPr>
                <w:b/>
                <w:color w:val="333333"/>
                <w:sz w:val="18"/>
              </w:rPr>
              <w:t>CHICOLOAPAN</w:t>
            </w:r>
          </w:p>
        </w:tc>
        <w:tc>
          <w:tcPr>
            <w:tcW w:w="586" w:type="dxa"/>
          </w:tcPr>
          <w:p>
            <w:pPr>
              <w:pStyle w:val="TableParagraph"/>
              <w:spacing w:line="206" w:lineRule="exact"/>
              <w:rPr>
                <w:sz w:val="18"/>
              </w:rPr>
            </w:pPr>
            <w:r>
              <w:rPr>
                <w:w w:val="99"/>
                <w:sz w:val="18"/>
              </w:rPr>
              <w:t>0</w:t>
            </w:r>
          </w:p>
        </w:tc>
        <w:tc>
          <w:tcPr>
            <w:tcW w:w="588" w:type="dxa"/>
          </w:tcPr>
          <w:p>
            <w:pPr>
              <w:pStyle w:val="TableParagraph"/>
              <w:spacing w:line="206" w:lineRule="exact"/>
              <w:ind w:right="236"/>
              <w:jc w:val="righ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4" w:type="dxa"/>
          </w:tcPr>
          <w:p>
            <w:pPr>
              <w:pStyle w:val="TableParagraph"/>
              <w:spacing w:line="206" w:lineRule="exact"/>
              <w:ind w:left="175"/>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
              <w:rPr>
                <w:sz w:val="18"/>
              </w:rPr>
            </w:pPr>
            <w:r>
              <w:rPr>
                <w:w w:val="99"/>
                <w:sz w:val="18"/>
              </w:rPr>
              <w:t>0</w:t>
            </w:r>
          </w:p>
        </w:tc>
        <w:tc>
          <w:tcPr>
            <w:tcW w:w="475" w:type="dxa"/>
          </w:tcPr>
          <w:p>
            <w:pPr>
              <w:pStyle w:val="TableParagraph"/>
              <w:spacing w:line="206" w:lineRule="exact"/>
              <w:ind w:right="178"/>
              <w:jc w:val="righ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19" w:hRule="exact"/>
        </w:trPr>
        <w:tc>
          <w:tcPr>
            <w:tcW w:w="2861" w:type="dxa"/>
            <w:tcBorders>
              <w:left w:val="single" w:sz="8" w:space="0" w:color="000000"/>
            </w:tcBorders>
          </w:tcPr>
          <w:p>
            <w:pPr>
              <w:pStyle w:val="TableParagraph"/>
              <w:spacing w:line="201" w:lineRule="exact"/>
              <w:ind w:left="62"/>
              <w:jc w:val="left"/>
              <w:rPr>
                <w:b/>
                <w:sz w:val="18"/>
              </w:rPr>
            </w:pPr>
            <w:r>
              <w:rPr>
                <w:b/>
                <w:color w:val="333333"/>
                <w:sz w:val="18"/>
              </w:rPr>
              <w:t>CHICONCUAC</w:t>
            </w:r>
          </w:p>
        </w:tc>
        <w:tc>
          <w:tcPr>
            <w:tcW w:w="586" w:type="dxa"/>
          </w:tcPr>
          <w:p>
            <w:pPr>
              <w:pStyle w:val="TableParagraph"/>
              <w:spacing w:line="206" w:lineRule="exact"/>
              <w:rPr>
                <w:sz w:val="18"/>
              </w:rPr>
            </w:pPr>
            <w:r>
              <w:rPr>
                <w:w w:val="99"/>
                <w:sz w:val="18"/>
              </w:rPr>
              <w:t>0</w:t>
            </w:r>
          </w:p>
        </w:tc>
        <w:tc>
          <w:tcPr>
            <w:tcW w:w="588" w:type="dxa"/>
          </w:tcPr>
          <w:p>
            <w:pPr>
              <w:pStyle w:val="TableParagraph"/>
              <w:spacing w:line="206" w:lineRule="exact"/>
              <w:ind w:right="236"/>
              <w:jc w:val="righ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4" w:type="dxa"/>
          </w:tcPr>
          <w:p>
            <w:pPr>
              <w:pStyle w:val="TableParagraph"/>
              <w:spacing w:line="206" w:lineRule="exact"/>
              <w:ind w:left="175"/>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
              <w:rPr>
                <w:sz w:val="18"/>
              </w:rPr>
            </w:pPr>
            <w:r>
              <w:rPr>
                <w:w w:val="99"/>
                <w:sz w:val="18"/>
              </w:rPr>
              <w:t>0</w:t>
            </w:r>
          </w:p>
        </w:tc>
        <w:tc>
          <w:tcPr>
            <w:tcW w:w="475" w:type="dxa"/>
          </w:tcPr>
          <w:p>
            <w:pPr>
              <w:pStyle w:val="TableParagraph"/>
              <w:spacing w:line="206" w:lineRule="exact"/>
              <w:ind w:right="178"/>
              <w:jc w:val="righ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22" w:hRule="exact"/>
        </w:trPr>
        <w:tc>
          <w:tcPr>
            <w:tcW w:w="2861" w:type="dxa"/>
            <w:tcBorders>
              <w:left w:val="single" w:sz="8" w:space="0" w:color="000000"/>
            </w:tcBorders>
          </w:tcPr>
          <w:p>
            <w:pPr>
              <w:pStyle w:val="TableParagraph"/>
              <w:spacing w:line="201" w:lineRule="exact"/>
              <w:ind w:left="62"/>
              <w:jc w:val="left"/>
              <w:rPr>
                <w:b/>
                <w:sz w:val="18"/>
              </w:rPr>
            </w:pPr>
            <w:r>
              <w:rPr>
                <w:b/>
                <w:color w:val="333333"/>
                <w:sz w:val="18"/>
              </w:rPr>
              <w:t>CHIMALHUACAN</w:t>
            </w:r>
          </w:p>
        </w:tc>
        <w:tc>
          <w:tcPr>
            <w:tcW w:w="586" w:type="dxa"/>
          </w:tcPr>
          <w:p>
            <w:pPr>
              <w:pStyle w:val="TableParagraph"/>
              <w:spacing w:line="206" w:lineRule="exact"/>
              <w:rPr>
                <w:sz w:val="18"/>
              </w:rPr>
            </w:pPr>
            <w:r>
              <w:rPr>
                <w:w w:val="99"/>
                <w:sz w:val="18"/>
              </w:rPr>
              <w:t>0</w:t>
            </w:r>
          </w:p>
        </w:tc>
        <w:tc>
          <w:tcPr>
            <w:tcW w:w="588" w:type="dxa"/>
          </w:tcPr>
          <w:p>
            <w:pPr>
              <w:pStyle w:val="TableParagraph"/>
              <w:spacing w:line="206" w:lineRule="exact"/>
              <w:ind w:right="236"/>
              <w:jc w:val="righ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4" w:type="dxa"/>
          </w:tcPr>
          <w:p>
            <w:pPr>
              <w:pStyle w:val="TableParagraph"/>
              <w:spacing w:line="206" w:lineRule="exact"/>
              <w:ind w:left="175"/>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29" w:right="-16"/>
              <w:jc w:val="left"/>
              <w:rPr>
                <w:sz w:val="18"/>
              </w:rPr>
            </w:pPr>
            <w:r>
              <w:rPr>
                <w:sz w:val="18"/>
              </w:rPr>
              <w:t>18</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
              <w:rPr>
                <w:sz w:val="18"/>
              </w:rPr>
            </w:pPr>
            <w:r>
              <w:rPr>
                <w:w w:val="99"/>
                <w:sz w:val="18"/>
              </w:rPr>
              <w:t>0</w:t>
            </w:r>
          </w:p>
        </w:tc>
        <w:tc>
          <w:tcPr>
            <w:tcW w:w="475" w:type="dxa"/>
          </w:tcPr>
          <w:p>
            <w:pPr>
              <w:pStyle w:val="TableParagraph"/>
              <w:spacing w:line="206" w:lineRule="exact"/>
              <w:ind w:right="178"/>
              <w:jc w:val="righ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75" w:type="dxa"/>
          </w:tcPr>
          <w:p>
            <w:pPr>
              <w:pStyle w:val="TableParagraph"/>
              <w:spacing w:line="201" w:lineRule="exact"/>
              <w:ind w:left="62" w:right="58"/>
              <w:rPr>
                <w:b/>
                <w:sz w:val="18"/>
              </w:rPr>
            </w:pPr>
            <w:r>
              <w:rPr>
                <w:b/>
                <w:sz w:val="18"/>
              </w:rPr>
              <w:t>18</w:t>
            </w:r>
          </w:p>
        </w:tc>
      </w:tr>
      <w:tr>
        <w:trPr>
          <w:trHeight w:val="319" w:hRule="exact"/>
        </w:trPr>
        <w:tc>
          <w:tcPr>
            <w:tcW w:w="2861" w:type="dxa"/>
            <w:tcBorders>
              <w:left w:val="single" w:sz="8" w:space="0" w:color="000000"/>
            </w:tcBorders>
          </w:tcPr>
          <w:p>
            <w:pPr>
              <w:pStyle w:val="TableParagraph"/>
              <w:spacing w:line="201" w:lineRule="exact"/>
              <w:ind w:left="62"/>
              <w:jc w:val="left"/>
              <w:rPr>
                <w:b/>
                <w:sz w:val="18"/>
              </w:rPr>
            </w:pPr>
            <w:r>
              <w:rPr>
                <w:b/>
                <w:color w:val="333333"/>
                <w:sz w:val="18"/>
              </w:rPr>
              <w:t>COACALCO DE BERRIOZABAL</w:t>
            </w:r>
          </w:p>
        </w:tc>
        <w:tc>
          <w:tcPr>
            <w:tcW w:w="586" w:type="dxa"/>
          </w:tcPr>
          <w:p>
            <w:pPr>
              <w:pStyle w:val="TableParagraph"/>
              <w:spacing w:line="206" w:lineRule="exact"/>
              <w:rPr>
                <w:sz w:val="18"/>
              </w:rPr>
            </w:pPr>
            <w:r>
              <w:rPr>
                <w:w w:val="99"/>
                <w:sz w:val="18"/>
              </w:rPr>
              <w:t>0</w:t>
            </w:r>
          </w:p>
        </w:tc>
        <w:tc>
          <w:tcPr>
            <w:tcW w:w="588" w:type="dxa"/>
          </w:tcPr>
          <w:p>
            <w:pPr>
              <w:pStyle w:val="TableParagraph"/>
              <w:spacing w:line="206" w:lineRule="exact"/>
              <w:ind w:right="236"/>
              <w:jc w:val="righ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4" w:type="dxa"/>
          </w:tcPr>
          <w:p>
            <w:pPr>
              <w:pStyle w:val="TableParagraph"/>
              <w:spacing w:line="206" w:lineRule="exact"/>
              <w:ind w:left="175"/>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
              <w:rPr>
                <w:sz w:val="18"/>
              </w:rPr>
            </w:pPr>
            <w:r>
              <w:rPr>
                <w:w w:val="99"/>
                <w:sz w:val="18"/>
              </w:rPr>
              <w:t>0</w:t>
            </w:r>
          </w:p>
        </w:tc>
        <w:tc>
          <w:tcPr>
            <w:tcW w:w="475" w:type="dxa"/>
          </w:tcPr>
          <w:p>
            <w:pPr>
              <w:pStyle w:val="TableParagraph"/>
              <w:spacing w:line="206" w:lineRule="exact"/>
              <w:ind w:right="178"/>
              <w:jc w:val="righ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22" w:hRule="exact"/>
        </w:trPr>
        <w:tc>
          <w:tcPr>
            <w:tcW w:w="2861" w:type="dxa"/>
            <w:tcBorders>
              <w:left w:val="single" w:sz="8" w:space="0" w:color="000000"/>
            </w:tcBorders>
          </w:tcPr>
          <w:p>
            <w:pPr>
              <w:pStyle w:val="TableParagraph"/>
              <w:spacing w:line="202" w:lineRule="exact"/>
              <w:ind w:left="62"/>
              <w:jc w:val="left"/>
              <w:rPr>
                <w:b/>
                <w:sz w:val="18"/>
              </w:rPr>
            </w:pPr>
            <w:r>
              <w:rPr>
                <w:b/>
                <w:color w:val="333333"/>
                <w:sz w:val="18"/>
              </w:rPr>
              <w:t>COATEPEC HARINAS</w:t>
            </w:r>
          </w:p>
        </w:tc>
        <w:tc>
          <w:tcPr>
            <w:tcW w:w="586" w:type="dxa"/>
          </w:tcPr>
          <w:p>
            <w:pPr>
              <w:pStyle w:val="TableParagraph"/>
              <w:spacing w:line="207" w:lineRule="exact"/>
              <w:rPr>
                <w:sz w:val="18"/>
              </w:rPr>
            </w:pPr>
            <w:r>
              <w:rPr>
                <w:w w:val="99"/>
                <w:sz w:val="18"/>
              </w:rPr>
              <w:t>0</w:t>
            </w:r>
          </w:p>
        </w:tc>
        <w:tc>
          <w:tcPr>
            <w:tcW w:w="588" w:type="dxa"/>
          </w:tcPr>
          <w:p>
            <w:pPr>
              <w:pStyle w:val="TableParagraph"/>
              <w:spacing w:line="207" w:lineRule="exact"/>
              <w:ind w:right="236"/>
              <w:jc w:val="right"/>
              <w:rPr>
                <w:sz w:val="18"/>
              </w:rPr>
            </w:pPr>
            <w:r>
              <w:rPr>
                <w:w w:val="99"/>
                <w:sz w:val="18"/>
              </w:rPr>
              <w:t>0</w:t>
            </w:r>
          </w:p>
        </w:tc>
        <w:tc>
          <w:tcPr>
            <w:tcW w:w="466" w:type="dxa"/>
          </w:tcPr>
          <w:p>
            <w:pPr>
              <w:pStyle w:val="TableParagraph"/>
              <w:spacing w:line="207" w:lineRule="exact"/>
              <w:ind w:left="175"/>
              <w:jc w:val="left"/>
              <w:rPr>
                <w:sz w:val="18"/>
              </w:rPr>
            </w:pPr>
            <w:r>
              <w:rPr>
                <w:w w:val="99"/>
                <w:sz w:val="18"/>
              </w:rPr>
              <w:t>0</w:t>
            </w:r>
          </w:p>
        </w:tc>
        <w:tc>
          <w:tcPr>
            <w:tcW w:w="463" w:type="dxa"/>
          </w:tcPr>
          <w:p>
            <w:pPr>
              <w:pStyle w:val="TableParagraph"/>
              <w:spacing w:line="207" w:lineRule="exact"/>
              <w:ind w:left="175"/>
              <w:jc w:val="left"/>
              <w:rPr>
                <w:sz w:val="18"/>
              </w:rPr>
            </w:pPr>
            <w:r>
              <w:rPr>
                <w:w w:val="99"/>
                <w:sz w:val="18"/>
              </w:rPr>
              <w:t>0</w:t>
            </w:r>
          </w:p>
        </w:tc>
        <w:tc>
          <w:tcPr>
            <w:tcW w:w="466" w:type="dxa"/>
          </w:tcPr>
          <w:p>
            <w:pPr>
              <w:pStyle w:val="TableParagraph"/>
              <w:spacing w:line="207" w:lineRule="exact"/>
              <w:ind w:right="176"/>
              <w:jc w:val="right"/>
              <w:rPr>
                <w:sz w:val="18"/>
              </w:rPr>
            </w:pPr>
            <w:r>
              <w:rPr>
                <w:w w:val="99"/>
                <w:sz w:val="18"/>
              </w:rPr>
              <w:t>0</w:t>
            </w:r>
          </w:p>
        </w:tc>
        <w:tc>
          <w:tcPr>
            <w:tcW w:w="466" w:type="dxa"/>
          </w:tcPr>
          <w:p>
            <w:pPr>
              <w:pStyle w:val="TableParagraph"/>
              <w:spacing w:line="207" w:lineRule="exact"/>
              <w:ind w:right="176"/>
              <w:jc w:val="right"/>
              <w:rPr>
                <w:sz w:val="18"/>
              </w:rPr>
            </w:pPr>
            <w:r>
              <w:rPr>
                <w:w w:val="99"/>
                <w:sz w:val="18"/>
              </w:rPr>
              <w:t>0</w:t>
            </w:r>
          </w:p>
        </w:tc>
        <w:tc>
          <w:tcPr>
            <w:tcW w:w="466" w:type="dxa"/>
          </w:tcPr>
          <w:p>
            <w:pPr>
              <w:pStyle w:val="TableParagraph"/>
              <w:spacing w:line="207" w:lineRule="exact"/>
              <w:ind w:right="3"/>
              <w:rPr>
                <w:sz w:val="18"/>
              </w:rPr>
            </w:pPr>
            <w:r>
              <w:rPr>
                <w:w w:val="99"/>
                <w:sz w:val="18"/>
              </w:rPr>
              <w:t>0</w:t>
            </w:r>
          </w:p>
        </w:tc>
        <w:tc>
          <w:tcPr>
            <w:tcW w:w="464" w:type="dxa"/>
          </w:tcPr>
          <w:p>
            <w:pPr>
              <w:pStyle w:val="TableParagraph"/>
              <w:spacing w:line="207" w:lineRule="exact"/>
              <w:ind w:left="175"/>
              <w:jc w:val="left"/>
              <w:rPr>
                <w:sz w:val="18"/>
              </w:rPr>
            </w:pPr>
            <w:r>
              <w:rPr>
                <w:w w:val="99"/>
                <w:sz w:val="18"/>
              </w:rPr>
              <w:t>0</w:t>
            </w:r>
          </w:p>
        </w:tc>
        <w:tc>
          <w:tcPr>
            <w:tcW w:w="466" w:type="dxa"/>
          </w:tcPr>
          <w:p>
            <w:pPr>
              <w:pStyle w:val="TableParagraph"/>
              <w:spacing w:line="207" w:lineRule="exact"/>
              <w:ind w:left="177"/>
              <w:jc w:val="left"/>
              <w:rPr>
                <w:sz w:val="18"/>
              </w:rPr>
            </w:pPr>
            <w:r>
              <w:rPr>
                <w:w w:val="99"/>
                <w:sz w:val="18"/>
              </w:rPr>
              <w:t>0</w:t>
            </w:r>
          </w:p>
        </w:tc>
        <w:tc>
          <w:tcPr>
            <w:tcW w:w="466" w:type="dxa"/>
          </w:tcPr>
          <w:p>
            <w:pPr>
              <w:pStyle w:val="TableParagraph"/>
              <w:spacing w:line="207" w:lineRule="exact"/>
              <w:ind w:left="177"/>
              <w:jc w:val="left"/>
              <w:rPr>
                <w:sz w:val="18"/>
              </w:rPr>
            </w:pPr>
            <w:r>
              <w:rPr>
                <w:w w:val="99"/>
                <w:sz w:val="18"/>
              </w:rPr>
              <w:t>0</w:t>
            </w:r>
          </w:p>
        </w:tc>
        <w:tc>
          <w:tcPr>
            <w:tcW w:w="466" w:type="dxa"/>
          </w:tcPr>
          <w:p>
            <w:pPr>
              <w:pStyle w:val="TableParagraph"/>
              <w:spacing w:line="207" w:lineRule="exact"/>
              <w:ind w:right="3"/>
              <w:rPr>
                <w:sz w:val="18"/>
              </w:rPr>
            </w:pPr>
            <w:r>
              <w:rPr>
                <w:w w:val="99"/>
                <w:sz w:val="18"/>
              </w:rPr>
              <w:t>0</w:t>
            </w:r>
          </w:p>
        </w:tc>
        <w:tc>
          <w:tcPr>
            <w:tcW w:w="463" w:type="dxa"/>
          </w:tcPr>
          <w:p>
            <w:pPr>
              <w:pStyle w:val="TableParagraph"/>
              <w:spacing w:line="207" w:lineRule="exact"/>
              <w:ind w:right="1"/>
              <w:rPr>
                <w:sz w:val="18"/>
              </w:rPr>
            </w:pPr>
            <w:r>
              <w:rPr>
                <w:w w:val="99"/>
                <w:sz w:val="18"/>
              </w:rPr>
              <w:t>0</w:t>
            </w:r>
          </w:p>
        </w:tc>
        <w:tc>
          <w:tcPr>
            <w:tcW w:w="475" w:type="dxa"/>
          </w:tcPr>
          <w:p>
            <w:pPr>
              <w:pStyle w:val="TableParagraph"/>
              <w:spacing w:line="207" w:lineRule="exact"/>
              <w:ind w:right="178"/>
              <w:jc w:val="right"/>
              <w:rPr>
                <w:sz w:val="18"/>
              </w:rPr>
            </w:pPr>
            <w:r>
              <w:rPr>
                <w:w w:val="99"/>
                <w:sz w:val="18"/>
              </w:rPr>
              <w:t>0</w:t>
            </w:r>
          </w:p>
        </w:tc>
        <w:tc>
          <w:tcPr>
            <w:tcW w:w="466" w:type="dxa"/>
          </w:tcPr>
          <w:p>
            <w:pPr>
              <w:pStyle w:val="TableParagraph"/>
              <w:spacing w:line="207" w:lineRule="exact"/>
              <w:ind w:left="177"/>
              <w:jc w:val="left"/>
              <w:rPr>
                <w:sz w:val="18"/>
              </w:rPr>
            </w:pPr>
            <w:r>
              <w:rPr>
                <w:w w:val="99"/>
                <w:sz w:val="18"/>
              </w:rPr>
              <w:t>0</w:t>
            </w:r>
          </w:p>
        </w:tc>
        <w:tc>
          <w:tcPr>
            <w:tcW w:w="466" w:type="dxa"/>
          </w:tcPr>
          <w:p>
            <w:pPr>
              <w:pStyle w:val="TableParagraph"/>
              <w:spacing w:line="207" w:lineRule="exact"/>
              <w:ind w:left="177"/>
              <w:jc w:val="left"/>
              <w:rPr>
                <w:sz w:val="18"/>
              </w:rPr>
            </w:pPr>
            <w:r>
              <w:rPr>
                <w:w w:val="99"/>
                <w:sz w:val="18"/>
              </w:rPr>
              <w:t>0</w:t>
            </w:r>
          </w:p>
        </w:tc>
        <w:tc>
          <w:tcPr>
            <w:tcW w:w="466" w:type="dxa"/>
          </w:tcPr>
          <w:p>
            <w:pPr>
              <w:pStyle w:val="TableParagraph"/>
              <w:spacing w:line="207" w:lineRule="exact"/>
              <w:ind w:right="3"/>
              <w:rPr>
                <w:sz w:val="18"/>
              </w:rPr>
            </w:pPr>
            <w:r>
              <w:rPr>
                <w:w w:val="99"/>
                <w:sz w:val="18"/>
              </w:rPr>
              <w:t>0</w:t>
            </w:r>
          </w:p>
        </w:tc>
        <w:tc>
          <w:tcPr>
            <w:tcW w:w="463" w:type="dxa"/>
          </w:tcPr>
          <w:p>
            <w:pPr>
              <w:pStyle w:val="TableParagraph"/>
              <w:spacing w:line="207" w:lineRule="exact"/>
              <w:ind w:right="176"/>
              <w:jc w:val="right"/>
              <w:rPr>
                <w:sz w:val="18"/>
              </w:rPr>
            </w:pPr>
            <w:r>
              <w:rPr>
                <w:w w:val="99"/>
                <w:sz w:val="18"/>
              </w:rPr>
              <w:t>0</w:t>
            </w:r>
          </w:p>
        </w:tc>
        <w:tc>
          <w:tcPr>
            <w:tcW w:w="475" w:type="dxa"/>
          </w:tcPr>
          <w:p>
            <w:pPr>
              <w:pStyle w:val="TableParagraph"/>
              <w:spacing w:line="202" w:lineRule="exact"/>
              <w:ind w:left="4"/>
              <w:rPr>
                <w:b/>
                <w:sz w:val="18"/>
              </w:rPr>
            </w:pPr>
            <w:r>
              <w:rPr>
                <w:b/>
                <w:w w:val="99"/>
                <w:sz w:val="18"/>
              </w:rPr>
              <w:t>0</w:t>
            </w:r>
          </w:p>
        </w:tc>
      </w:tr>
      <w:tr>
        <w:trPr>
          <w:trHeight w:val="319" w:hRule="exact"/>
        </w:trPr>
        <w:tc>
          <w:tcPr>
            <w:tcW w:w="2861" w:type="dxa"/>
            <w:tcBorders>
              <w:left w:val="single" w:sz="8" w:space="0" w:color="000000"/>
            </w:tcBorders>
          </w:tcPr>
          <w:p>
            <w:pPr>
              <w:pStyle w:val="TableParagraph"/>
              <w:spacing w:line="201" w:lineRule="exact"/>
              <w:ind w:left="62"/>
              <w:jc w:val="left"/>
              <w:rPr>
                <w:b/>
                <w:sz w:val="18"/>
              </w:rPr>
            </w:pPr>
            <w:r>
              <w:rPr>
                <w:b/>
                <w:color w:val="333333"/>
                <w:sz w:val="18"/>
              </w:rPr>
              <w:t>COCOTITLAN</w:t>
            </w:r>
          </w:p>
        </w:tc>
        <w:tc>
          <w:tcPr>
            <w:tcW w:w="586" w:type="dxa"/>
          </w:tcPr>
          <w:p>
            <w:pPr>
              <w:pStyle w:val="TableParagraph"/>
              <w:spacing w:line="206" w:lineRule="exact"/>
              <w:rPr>
                <w:sz w:val="18"/>
              </w:rPr>
            </w:pPr>
            <w:r>
              <w:rPr>
                <w:w w:val="99"/>
                <w:sz w:val="18"/>
              </w:rPr>
              <w:t>0</w:t>
            </w:r>
          </w:p>
        </w:tc>
        <w:tc>
          <w:tcPr>
            <w:tcW w:w="588" w:type="dxa"/>
          </w:tcPr>
          <w:p>
            <w:pPr>
              <w:pStyle w:val="TableParagraph"/>
              <w:spacing w:line="206" w:lineRule="exact"/>
              <w:ind w:right="236"/>
              <w:jc w:val="righ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4" w:type="dxa"/>
          </w:tcPr>
          <w:p>
            <w:pPr>
              <w:pStyle w:val="TableParagraph"/>
              <w:spacing w:line="206" w:lineRule="exact"/>
              <w:ind w:left="175"/>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
              <w:rPr>
                <w:sz w:val="18"/>
              </w:rPr>
            </w:pPr>
            <w:r>
              <w:rPr>
                <w:w w:val="99"/>
                <w:sz w:val="18"/>
              </w:rPr>
              <w:t>0</w:t>
            </w:r>
          </w:p>
        </w:tc>
        <w:tc>
          <w:tcPr>
            <w:tcW w:w="475" w:type="dxa"/>
          </w:tcPr>
          <w:p>
            <w:pPr>
              <w:pStyle w:val="TableParagraph"/>
              <w:spacing w:line="206" w:lineRule="exact"/>
              <w:ind w:right="178"/>
              <w:jc w:val="righ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22" w:hRule="exact"/>
        </w:trPr>
        <w:tc>
          <w:tcPr>
            <w:tcW w:w="2861" w:type="dxa"/>
            <w:tcBorders>
              <w:left w:val="single" w:sz="8" w:space="0" w:color="000000"/>
            </w:tcBorders>
          </w:tcPr>
          <w:p>
            <w:pPr>
              <w:pStyle w:val="TableParagraph"/>
              <w:spacing w:line="201" w:lineRule="exact"/>
              <w:ind w:left="62"/>
              <w:jc w:val="left"/>
              <w:rPr>
                <w:b/>
                <w:sz w:val="18"/>
              </w:rPr>
            </w:pPr>
            <w:r>
              <w:rPr>
                <w:b/>
                <w:color w:val="333333"/>
                <w:sz w:val="18"/>
              </w:rPr>
              <w:t>COYOTEPEC</w:t>
            </w:r>
          </w:p>
        </w:tc>
        <w:tc>
          <w:tcPr>
            <w:tcW w:w="586" w:type="dxa"/>
          </w:tcPr>
          <w:p>
            <w:pPr>
              <w:pStyle w:val="TableParagraph"/>
              <w:spacing w:line="206" w:lineRule="exact"/>
              <w:rPr>
                <w:sz w:val="18"/>
              </w:rPr>
            </w:pPr>
            <w:r>
              <w:rPr>
                <w:w w:val="99"/>
                <w:sz w:val="18"/>
              </w:rPr>
              <w:t>0</w:t>
            </w:r>
          </w:p>
        </w:tc>
        <w:tc>
          <w:tcPr>
            <w:tcW w:w="588" w:type="dxa"/>
          </w:tcPr>
          <w:p>
            <w:pPr>
              <w:pStyle w:val="TableParagraph"/>
              <w:spacing w:line="206" w:lineRule="exact"/>
              <w:ind w:right="236"/>
              <w:jc w:val="righ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4" w:type="dxa"/>
          </w:tcPr>
          <w:p>
            <w:pPr>
              <w:pStyle w:val="TableParagraph"/>
              <w:spacing w:line="206" w:lineRule="exact"/>
              <w:ind w:left="175"/>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
              <w:rPr>
                <w:sz w:val="18"/>
              </w:rPr>
            </w:pPr>
            <w:r>
              <w:rPr>
                <w:w w:val="99"/>
                <w:sz w:val="18"/>
              </w:rPr>
              <w:t>0</w:t>
            </w:r>
          </w:p>
        </w:tc>
        <w:tc>
          <w:tcPr>
            <w:tcW w:w="475" w:type="dxa"/>
          </w:tcPr>
          <w:p>
            <w:pPr>
              <w:pStyle w:val="TableParagraph"/>
              <w:spacing w:line="206" w:lineRule="exact"/>
              <w:ind w:right="178"/>
              <w:jc w:val="righ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19" w:hRule="exact"/>
        </w:trPr>
        <w:tc>
          <w:tcPr>
            <w:tcW w:w="2861" w:type="dxa"/>
            <w:tcBorders>
              <w:left w:val="single" w:sz="8" w:space="0" w:color="000000"/>
            </w:tcBorders>
          </w:tcPr>
          <w:p>
            <w:pPr>
              <w:pStyle w:val="TableParagraph"/>
              <w:spacing w:line="201" w:lineRule="exact"/>
              <w:ind w:left="62"/>
              <w:jc w:val="left"/>
              <w:rPr>
                <w:b/>
                <w:sz w:val="18"/>
              </w:rPr>
            </w:pPr>
            <w:r>
              <w:rPr>
                <w:b/>
                <w:color w:val="333333"/>
                <w:sz w:val="18"/>
              </w:rPr>
              <w:t>CUAUTITLAN</w:t>
            </w:r>
          </w:p>
        </w:tc>
        <w:tc>
          <w:tcPr>
            <w:tcW w:w="586" w:type="dxa"/>
          </w:tcPr>
          <w:p>
            <w:pPr>
              <w:pStyle w:val="TableParagraph"/>
              <w:spacing w:line="206" w:lineRule="exact"/>
              <w:rPr>
                <w:sz w:val="18"/>
              </w:rPr>
            </w:pPr>
            <w:r>
              <w:rPr>
                <w:w w:val="99"/>
                <w:sz w:val="18"/>
              </w:rPr>
              <w:t>0</w:t>
            </w:r>
          </w:p>
        </w:tc>
        <w:tc>
          <w:tcPr>
            <w:tcW w:w="588" w:type="dxa"/>
          </w:tcPr>
          <w:p>
            <w:pPr>
              <w:pStyle w:val="TableParagraph"/>
              <w:spacing w:line="206" w:lineRule="exact"/>
              <w:ind w:right="236"/>
              <w:jc w:val="righ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4" w:type="dxa"/>
          </w:tcPr>
          <w:p>
            <w:pPr>
              <w:pStyle w:val="TableParagraph"/>
              <w:spacing w:line="206" w:lineRule="exact"/>
              <w:ind w:left="175"/>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
              <w:rPr>
                <w:sz w:val="18"/>
              </w:rPr>
            </w:pPr>
            <w:r>
              <w:rPr>
                <w:w w:val="99"/>
                <w:sz w:val="18"/>
              </w:rPr>
              <w:t>0</w:t>
            </w:r>
          </w:p>
        </w:tc>
        <w:tc>
          <w:tcPr>
            <w:tcW w:w="475" w:type="dxa"/>
          </w:tcPr>
          <w:p>
            <w:pPr>
              <w:pStyle w:val="TableParagraph"/>
              <w:spacing w:line="206" w:lineRule="exact"/>
              <w:ind w:right="178"/>
              <w:jc w:val="righ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22" w:hRule="exact"/>
        </w:trPr>
        <w:tc>
          <w:tcPr>
            <w:tcW w:w="2861" w:type="dxa"/>
            <w:tcBorders>
              <w:left w:val="single" w:sz="8" w:space="0" w:color="000000"/>
            </w:tcBorders>
          </w:tcPr>
          <w:p>
            <w:pPr>
              <w:pStyle w:val="TableParagraph"/>
              <w:spacing w:line="204" w:lineRule="exact"/>
              <w:ind w:left="62"/>
              <w:jc w:val="left"/>
              <w:rPr>
                <w:b/>
                <w:sz w:val="18"/>
              </w:rPr>
            </w:pPr>
            <w:r>
              <w:rPr>
                <w:b/>
                <w:color w:val="333333"/>
                <w:sz w:val="18"/>
              </w:rPr>
              <w:t>CUAUTITLAN IZCALLI</w:t>
            </w:r>
          </w:p>
        </w:tc>
        <w:tc>
          <w:tcPr>
            <w:tcW w:w="586" w:type="dxa"/>
          </w:tcPr>
          <w:p>
            <w:pPr>
              <w:pStyle w:val="TableParagraph"/>
              <w:spacing w:before="1"/>
              <w:rPr>
                <w:sz w:val="18"/>
              </w:rPr>
            </w:pPr>
            <w:r>
              <w:rPr>
                <w:w w:val="99"/>
                <w:sz w:val="18"/>
              </w:rPr>
              <w:t>0</w:t>
            </w:r>
          </w:p>
        </w:tc>
        <w:tc>
          <w:tcPr>
            <w:tcW w:w="588" w:type="dxa"/>
          </w:tcPr>
          <w:p>
            <w:pPr>
              <w:pStyle w:val="TableParagraph"/>
              <w:spacing w:before="1"/>
              <w:ind w:right="236"/>
              <w:jc w:val="right"/>
              <w:rPr>
                <w:sz w:val="18"/>
              </w:rPr>
            </w:pPr>
            <w:r>
              <w:rPr>
                <w:w w:val="99"/>
                <w:sz w:val="18"/>
              </w:rPr>
              <w:t>0</w:t>
            </w:r>
          </w:p>
        </w:tc>
        <w:tc>
          <w:tcPr>
            <w:tcW w:w="466" w:type="dxa"/>
          </w:tcPr>
          <w:p>
            <w:pPr>
              <w:pStyle w:val="TableParagraph"/>
              <w:spacing w:before="1"/>
              <w:ind w:left="175"/>
              <w:jc w:val="left"/>
              <w:rPr>
                <w:sz w:val="18"/>
              </w:rPr>
            </w:pPr>
            <w:r>
              <w:rPr>
                <w:w w:val="99"/>
                <w:sz w:val="18"/>
              </w:rPr>
              <w:t>0</w:t>
            </w:r>
          </w:p>
        </w:tc>
        <w:tc>
          <w:tcPr>
            <w:tcW w:w="463" w:type="dxa"/>
          </w:tcPr>
          <w:p>
            <w:pPr>
              <w:pStyle w:val="TableParagraph"/>
              <w:spacing w:before="1"/>
              <w:ind w:left="175"/>
              <w:jc w:val="left"/>
              <w:rPr>
                <w:sz w:val="18"/>
              </w:rPr>
            </w:pPr>
            <w:r>
              <w:rPr>
                <w:w w:val="99"/>
                <w:sz w:val="18"/>
              </w:rPr>
              <w:t>0</w:t>
            </w:r>
          </w:p>
        </w:tc>
        <w:tc>
          <w:tcPr>
            <w:tcW w:w="466" w:type="dxa"/>
          </w:tcPr>
          <w:p>
            <w:pPr>
              <w:pStyle w:val="TableParagraph"/>
              <w:spacing w:before="1"/>
              <w:ind w:right="176"/>
              <w:jc w:val="right"/>
              <w:rPr>
                <w:sz w:val="18"/>
              </w:rPr>
            </w:pPr>
            <w:r>
              <w:rPr>
                <w:w w:val="99"/>
                <w:sz w:val="18"/>
              </w:rPr>
              <w:t>0</w:t>
            </w:r>
          </w:p>
        </w:tc>
        <w:tc>
          <w:tcPr>
            <w:tcW w:w="466" w:type="dxa"/>
          </w:tcPr>
          <w:p>
            <w:pPr>
              <w:pStyle w:val="TableParagraph"/>
              <w:spacing w:before="1"/>
              <w:ind w:right="176"/>
              <w:jc w:val="right"/>
              <w:rPr>
                <w:sz w:val="18"/>
              </w:rPr>
            </w:pPr>
            <w:r>
              <w:rPr>
                <w:w w:val="99"/>
                <w:sz w:val="18"/>
              </w:rPr>
              <w:t>0</w:t>
            </w:r>
          </w:p>
        </w:tc>
        <w:tc>
          <w:tcPr>
            <w:tcW w:w="466" w:type="dxa"/>
          </w:tcPr>
          <w:p>
            <w:pPr>
              <w:pStyle w:val="TableParagraph"/>
              <w:spacing w:before="1"/>
              <w:ind w:right="3"/>
              <w:rPr>
                <w:sz w:val="18"/>
              </w:rPr>
            </w:pPr>
            <w:r>
              <w:rPr>
                <w:w w:val="99"/>
                <w:sz w:val="18"/>
              </w:rPr>
              <w:t>0</w:t>
            </w:r>
          </w:p>
        </w:tc>
        <w:tc>
          <w:tcPr>
            <w:tcW w:w="464" w:type="dxa"/>
          </w:tcPr>
          <w:p>
            <w:pPr>
              <w:pStyle w:val="TableParagraph"/>
              <w:spacing w:before="1"/>
              <w:ind w:left="175"/>
              <w:jc w:val="left"/>
              <w:rPr>
                <w:sz w:val="18"/>
              </w:rPr>
            </w:pPr>
            <w:r>
              <w:rPr>
                <w:w w:val="99"/>
                <w:sz w:val="18"/>
              </w:rPr>
              <w:t>0</w:t>
            </w:r>
          </w:p>
        </w:tc>
        <w:tc>
          <w:tcPr>
            <w:tcW w:w="466" w:type="dxa"/>
          </w:tcPr>
          <w:p>
            <w:pPr>
              <w:pStyle w:val="TableParagraph"/>
              <w:spacing w:before="1"/>
              <w:ind w:left="177"/>
              <w:jc w:val="left"/>
              <w:rPr>
                <w:sz w:val="18"/>
              </w:rPr>
            </w:pPr>
            <w:r>
              <w:rPr>
                <w:w w:val="99"/>
                <w:sz w:val="18"/>
              </w:rPr>
              <w:t>0</w:t>
            </w:r>
          </w:p>
        </w:tc>
        <w:tc>
          <w:tcPr>
            <w:tcW w:w="466" w:type="dxa"/>
          </w:tcPr>
          <w:p>
            <w:pPr>
              <w:pStyle w:val="TableParagraph"/>
              <w:spacing w:before="1"/>
              <w:ind w:left="177"/>
              <w:jc w:val="left"/>
              <w:rPr>
                <w:sz w:val="18"/>
              </w:rPr>
            </w:pPr>
            <w:r>
              <w:rPr>
                <w:w w:val="99"/>
                <w:sz w:val="18"/>
              </w:rPr>
              <w:t>5</w:t>
            </w:r>
          </w:p>
        </w:tc>
        <w:tc>
          <w:tcPr>
            <w:tcW w:w="466" w:type="dxa"/>
          </w:tcPr>
          <w:p>
            <w:pPr>
              <w:pStyle w:val="TableParagraph"/>
              <w:spacing w:before="1"/>
              <w:ind w:right="3"/>
              <w:rPr>
                <w:sz w:val="18"/>
              </w:rPr>
            </w:pPr>
            <w:r>
              <w:rPr>
                <w:w w:val="99"/>
                <w:sz w:val="18"/>
              </w:rPr>
              <w:t>3</w:t>
            </w:r>
          </w:p>
        </w:tc>
        <w:tc>
          <w:tcPr>
            <w:tcW w:w="463" w:type="dxa"/>
          </w:tcPr>
          <w:p>
            <w:pPr>
              <w:pStyle w:val="TableParagraph"/>
              <w:spacing w:before="1"/>
              <w:ind w:right="1"/>
              <w:rPr>
                <w:sz w:val="18"/>
              </w:rPr>
            </w:pPr>
            <w:r>
              <w:rPr>
                <w:w w:val="99"/>
                <w:sz w:val="18"/>
              </w:rPr>
              <w:t>0</w:t>
            </w:r>
          </w:p>
        </w:tc>
        <w:tc>
          <w:tcPr>
            <w:tcW w:w="475" w:type="dxa"/>
          </w:tcPr>
          <w:p>
            <w:pPr>
              <w:pStyle w:val="TableParagraph"/>
              <w:spacing w:before="1"/>
              <w:ind w:right="178"/>
              <w:jc w:val="right"/>
              <w:rPr>
                <w:sz w:val="18"/>
              </w:rPr>
            </w:pPr>
            <w:r>
              <w:rPr>
                <w:w w:val="99"/>
                <w:sz w:val="18"/>
              </w:rPr>
              <w:t>0</w:t>
            </w:r>
          </w:p>
        </w:tc>
        <w:tc>
          <w:tcPr>
            <w:tcW w:w="466" w:type="dxa"/>
          </w:tcPr>
          <w:p>
            <w:pPr>
              <w:pStyle w:val="TableParagraph"/>
              <w:spacing w:before="1"/>
              <w:ind w:left="177"/>
              <w:jc w:val="left"/>
              <w:rPr>
                <w:sz w:val="18"/>
              </w:rPr>
            </w:pPr>
            <w:r>
              <w:rPr>
                <w:w w:val="99"/>
                <w:sz w:val="18"/>
              </w:rPr>
              <w:t>1</w:t>
            </w:r>
          </w:p>
        </w:tc>
        <w:tc>
          <w:tcPr>
            <w:tcW w:w="466" w:type="dxa"/>
          </w:tcPr>
          <w:p>
            <w:pPr>
              <w:pStyle w:val="TableParagraph"/>
              <w:spacing w:before="1"/>
              <w:ind w:left="177"/>
              <w:jc w:val="left"/>
              <w:rPr>
                <w:sz w:val="18"/>
              </w:rPr>
            </w:pPr>
            <w:r>
              <w:rPr>
                <w:w w:val="99"/>
                <w:sz w:val="18"/>
              </w:rPr>
              <w:t>0</w:t>
            </w:r>
          </w:p>
        </w:tc>
        <w:tc>
          <w:tcPr>
            <w:tcW w:w="466" w:type="dxa"/>
          </w:tcPr>
          <w:p>
            <w:pPr>
              <w:pStyle w:val="TableParagraph"/>
              <w:spacing w:before="1"/>
              <w:ind w:right="3"/>
              <w:rPr>
                <w:sz w:val="18"/>
              </w:rPr>
            </w:pPr>
            <w:r>
              <w:rPr>
                <w:w w:val="99"/>
                <w:sz w:val="18"/>
              </w:rPr>
              <w:t>0</w:t>
            </w:r>
          </w:p>
        </w:tc>
        <w:tc>
          <w:tcPr>
            <w:tcW w:w="463" w:type="dxa"/>
          </w:tcPr>
          <w:p>
            <w:pPr>
              <w:pStyle w:val="TableParagraph"/>
              <w:spacing w:before="1"/>
              <w:ind w:right="176"/>
              <w:jc w:val="right"/>
              <w:rPr>
                <w:sz w:val="18"/>
              </w:rPr>
            </w:pPr>
            <w:r>
              <w:rPr>
                <w:w w:val="99"/>
                <w:sz w:val="18"/>
              </w:rPr>
              <w:t>0</w:t>
            </w:r>
          </w:p>
        </w:tc>
        <w:tc>
          <w:tcPr>
            <w:tcW w:w="475" w:type="dxa"/>
          </w:tcPr>
          <w:p>
            <w:pPr>
              <w:pStyle w:val="TableParagraph"/>
              <w:spacing w:line="204" w:lineRule="exact"/>
              <w:ind w:left="4"/>
              <w:rPr>
                <w:b/>
                <w:sz w:val="18"/>
              </w:rPr>
            </w:pPr>
            <w:r>
              <w:rPr>
                <w:b/>
                <w:w w:val="99"/>
                <w:sz w:val="18"/>
              </w:rPr>
              <w:t>9</w:t>
            </w:r>
          </w:p>
        </w:tc>
      </w:tr>
      <w:tr>
        <w:trPr>
          <w:trHeight w:val="319" w:hRule="exact"/>
        </w:trPr>
        <w:tc>
          <w:tcPr>
            <w:tcW w:w="2861" w:type="dxa"/>
            <w:tcBorders>
              <w:left w:val="single" w:sz="8" w:space="0" w:color="000000"/>
            </w:tcBorders>
          </w:tcPr>
          <w:p>
            <w:pPr>
              <w:pStyle w:val="TableParagraph"/>
              <w:spacing w:line="201" w:lineRule="exact"/>
              <w:ind w:left="62"/>
              <w:jc w:val="left"/>
              <w:rPr>
                <w:b/>
                <w:sz w:val="18"/>
              </w:rPr>
            </w:pPr>
            <w:r>
              <w:rPr>
                <w:b/>
                <w:color w:val="333333"/>
                <w:sz w:val="18"/>
              </w:rPr>
              <w:t>DONATO GUERRA</w:t>
            </w:r>
          </w:p>
        </w:tc>
        <w:tc>
          <w:tcPr>
            <w:tcW w:w="586" w:type="dxa"/>
          </w:tcPr>
          <w:p>
            <w:pPr>
              <w:pStyle w:val="TableParagraph"/>
              <w:spacing w:line="206" w:lineRule="exact"/>
              <w:rPr>
                <w:sz w:val="18"/>
              </w:rPr>
            </w:pPr>
            <w:r>
              <w:rPr>
                <w:w w:val="99"/>
                <w:sz w:val="18"/>
              </w:rPr>
              <w:t>0</w:t>
            </w:r>
          </w:p>
        </w:tc>
        <w:tc>
          <w:tcPr>
            <w:tcW w:w="588" w:type="dxa"/>
          </w:tcPr>
          <w:p>
            <w:pPr>
              <w:pStyle w:val="TableParagraph"/>
              <w:spacing w:line="206" w:lineRule="exact"/>
              <w:ind w:right="236"/>
              <w:jc w:val="righ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4" w:type="dxa"/>
          </w:tcPr>
          <w:p>
            <w:pPr>
              <w:pStyle w:val="TableParagraph"/>
              <w:spacing w:line="206" w:lineRule="exact"/>
              <w:ind w:left="175"/>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
              <w:rPr>
                <w:sz w:val="18"/>
              </w:rPr>
            </w:pPr>
            <w:r>
              <w:rPr>
                <w:w w:val="99"/>
                <w:sz w:val="18"/>
              </w:rPr>
              <w:t>0</w:t>
            </w:r>
          </w:p>
        </w:tc>
        <w:tc>
          <w:tcPr>
            <w:tcW w:w="475" w:type="dxa"/>
          </w:tcPr>
          <w:p>
            <w:pPr>
              <w:pStyle w:val="TableParagraph"/>
              <w:spacing w:line="206" w:lineRule="exact"/>
              <w:ind w:right="178"/>
              <w:jc w:val="righ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22" w:hRule="exact"/>
        </w:trPr>
        <w:tc>
          <w:tcPr>
            <w:tcW w:w="2861" w:type="dxa"/>
            <w:tcBorders>
              <w:left w:val="single" w:sz="8" w:space="0" w:color="000000"/>
            </w:tcBorders>
          </w:tcPr>
          <w:p>
            <w:pPr>
              <w:pStyle w:val="TableParagraph"/>
              <w:spacing w:line="204" w:lineRule="exact"/>
              <w:ind w:left="62"/>
              <w:jc w:val="left"/>
              <w:rPr>
                <w:b/>
                <w:sz w:val="18"/>
              </w:rPr>
            </w:pPr>
            <w:r>
              <w:rPr>
                <w:b/>
                <w:color w:val="333333"/>
                <w:sz w:val="18"/>
              </w:rPr>
              <w:t>ECATEPEC DE MORELOS</w:t>
            </w:r>
          </w:p>
        </w:tc>
        <w:tc>
          <w:tcPr>
            <w:tcW w:w="586" w:type="dxa"/>
          </w:tcPr>
          <w:p>
            <w:pPr>
              <w:pStyle w:val="TableParagraph"/>
              <w:spacing w:before="1"/>
              <w:rPr>
                <w:sz w:val="18"/>
              </w:rPr>
            </w:pPr>
            <w:r>
              <w:rPr>
                <w:w w:val="99"/>
                <w:sz w:val="18"/>
              </w:rPr>
              <w:t>0</w:t>
            </w:r>
          </w:p>
        </w:tc>
        <w:tc>
          <w:tcPr>
            <w:tcW w:w="588" w:type="dxa"/>
          </w:tcPr>
          <w:p>
            <w:pPr>
              <w:pStyle w:val="TableParagraph"/>
              <w:spacing w:before="1"/>
              <w:ind w:right="236"/>
              <w:jc w:val="right"/>
              <w:rPr>
                <w:sz w:val="18"/>
              </w:rPr>
            </w:pPr>
            <w:r>
              <w:rPr>
                <w:w w:val="99"/>
                <w:sz w:val="18"/>
              </w:rPr>
              <w:t>0</w:t>
            </w:r>
          </w:p>
        </w:tc>
        <w:tc>
          <w:tcPr>
            <w:tcW w:w="466" w:type="dxa"/>
          </w:tcPr>
          <w:p>
            <w:pPr>
              <w:pStyle w:val="TableParagraph"/>
              <w:spacing w:before="1"/>
              <w:ind w:left="175"/>
              <w:jc w:val="left"/>
              <w:rPr>
                <w:sz w:val="18"/>
              </w:rPr>
            </w:pPr>
            <w:r>
              <w:rPr>
                <w:w w:val="99"/>
                <w:sz w:val="18"/>
              </w:rPr>
              <w:t>0</w:t>
            </w:r>
          </w:p>
        </w:tc>
        <w:tc>
          <w:tcPr>
            <w:tcW w:w="463" w:type="dxa"/>
          </w:tcPr>
          <w:p>
            <w:pPr>
              <w:pStyle w:val="TableParagraph"/>
              <w:spacing w:before="1"/>
              <w:ind w:left="175"/>
              <w:jc w:val="left"/>
              <w:rPr>
                <w:sz w:val="18"/>
              </w:rPr>
            </w:pPr>
            <w:r>
              <w:rPr>
                <w:w w:val="99"/>
                <w:sz w:val="18"/>
              </w:rPr>
              <w:t>0</w:t>
            </w:r>
          </w:p>
        </w:tc>
        <w:tc>
          <w:tcPr>
            <w:tcW w:w="466" w:type="dxa"/>
          </w:tcPr>
          <w:p>
            <w:pPr>
              <w:pStyle w:val="TableParagraph"/>
              <w:spacing w:before="1"/>
              <w:ind w:right="176"/>
              <w:jc w:val="right"/>
              <w:rPr>
                <w:sz w:val="18"/>
              </w:rPr>
            </w:pPr>
            <w:r>
              <w:rPr>
                <w:w w:val="99"/>
                <w:sz w:val="18"/>
              </w:rPr>
              <w:t>0</w:t>
            </w:r>
          </w:p>
        </w:tc>
        <w:tc>
          <w:tcPr>
            <w:tcW w:w="466" w:type="dxa"/>
          </w:tcPr>
          <w:p>
            <w:pPr>
              <w:pStyle w:val="TableParagraph"/>
              <w:spacing w:before="1"/>
              <w:ind w:right="176"/>
              <w:jc w:val="right"/>
              <w:rPr>
                <w:sz w:val="18"/>
              </w:rPr>
            </w:pPr>
            <w:r>
              <w:rPr>
                <w:w w:val="99"/>
                <w:sz w:val="18"/>
              </w:rPr>
              <w:t>0</w:t>
            </w:r>
          </w:p>
        </w:tc>
        <w:tc>
          <w:tcPr>
            <w:tcW w:w="466" w:type="dxa"/>
          </w:tcPr>
          <w:p>
            <w:pPr>
              <w:pStyle w:val="TableParagraph"/>
              <w:spacing w:before="1"/>
              <w:ind w:right="3"/>
              <w:rPr>
                <w:sz w:val="18"/>
              </w:rPr>
            </w:pPr>
            <w:r>
              <w:rPr>
                <w:w w:val="99"/>
                <w:sz w:val="18"/>
              </w:rPr>
              <w:t>0</w:t>
            </w:r>
          </w:p>
        </w:tc>
        <w:tc>
          <w:tcPr>
            <w:tcW w:w="464" w:type="dxa"/>
          </w:tcPr>
          <w:p>
            <w:pPr>
              <w:pStyle w:val="TableParagraph"/>
              <w:spacing w:before="1"/>
              <w:ind w:left="175"/>
              <w:jc w:val="left"/>
              <w:rPr>
                <w:sz w:val="18"/>
              </w:rPr>
            </w:pPr>
            <w:r>
              <w:rPr>
                <w:w w:val="99"/>
                <w:sz w:val="18"/>
              </w:rPr>
              <w:t>0</w:t>
            </w:r>
          </w:p>
        </w:tc>
        <w:tc>
          <w:tcPr>
            <w:tcW w:w="466" w:type="dxa"/>
          </w:tcPr>
          <w:p>
            <w:pPr>
              <w:pStyle w:val="TableParagraph"/>
              <w:spacing w:before="1"/>
              <w:ind w:left="177"/>
              <w:jc w:val="left"/>
              <w:rPr>
                <w:sz w:val="18"/>
              </w:rPr>
            </w:pPr>
            <w:r>
              <w:rPr>
                <w:w w:val="99"/>
                <w:sz w:val="18"/>
              </w:rPr>
              <w:t>0</w:t>
            </w:r>
          </w:p>
        </w:tc>
        <w:tc>
          <w:tcPr>
            <w:tcW w:w="466" w:type="dxa"/>
          </w:tcPr>
          <w:p>
            <w:pPr>
              <w:pStyle w:val="TableParagraph"/>
              <w:spacing w:before="1"/>
              <w:ind w:left="177"/>
              <w:jc w:val="left"/>
              <w:rPr>
                <w:sz w:val="18"/>
              </w:rPr>
            </w:pPr>
            <w:r>
              <w:rPr>
                <w:w w:val="99"/>
                <w:sz w:val="18"/>
              </w:rPr>
              <w:t>0</w:t>
            </w:r>
          </w:p>
        </w:tc>
        <w:tc>
          <w:tcPr>
            <w:tcW w:w="466" w:type="dxa"/>
          </w:tcPr>
          <w:p>
            <w:pPr>
              <w:pStyle w:val="TableParagraph"/>
              <w:spacing w:before="1"/>
              <w:ind w:right="3"/>
              <w:rPr>
                <w:sz w:val="18"/>
              </w:rPr>
            </w:pPr>
            <w:r>
              <w:rPr>
                <w:w w:val="99"/>
                <w:sz w:val="18"/>
              </w:rPr>
              <w:t>0</w:t>
            </w:r>
          </w:p>
        </w:tc>
        <w:tc>
          <w:tcPr>
            <w:tcW w:w="463" w:type="dxa"/>
          </w:tcPr>
          <w:p>
            <w:pPr>
              <w:pStyle w:val="TableParagraph"/>
              <w:spacing w:before="1"/>
              <w:ind w:right="1"/>
              <w:rPr>
                <w:sz w:val="18"/>
              </w:rPr>
            </w:pPr>
            <w:r>
              <w:rPr>
                <w:w w:val="99"/>
                <w:sz w:val="18"/>
              </w:rPr>
              <w:t>0</w:t>
            </w:r>
          </w:p>
        </w:tc>
        <w:tc>
          <w:tcPr>
            <w:tcW w:w="475" w:type="dxa"/>
          </w:tcPr>
          <w:p>
            <w:pPr>
              <w:pStyle w:val="TableParagraph"/>
              <w:spacing w:before="1"/>
              <w:ind w:right="178"/>
              <w:jc w:val="right"/>
              <w:rPr>
                <w:sz w:val="18"/>
              </w:rPr>
            </w:pPr>
            <w:r>
              <w:rPr>
                <w:w w:val="99"/>
                <w:sz w:val="18"/>
              </w:rPr>
              <w:t>0</w:t>
            </w:r>
          </w:p>
        </w:tc>
        <w:tc>
          <w:tcPr>
            <w:tcW w:w="466" w:type="dxa"/>
          </w:tcPr>
          <w:p>
            <w:pPr>
              <w:pStyle w:val="TableParagraph"/>
              <w:spacing w:before="1"/>
              <w:ind w:left="177"/>
              <w:jc w:val="left"/>
              <w:rPr>
                <w:sz w:val="18"/>
              </w:rPr>
            </w:pPr>
            <w:r>
              <w:rPr>
                <w:w w:val="99"/>
                <w:sz w:val="18"/>
              </w:rPr>
              <w:t>0</w:t>
            </w:r>
          </w:p>
        </w:tc>
        <w:tc>
          <w:tcPr>
            <w:tcW w:w="466" w:type="dxa"/>
          </w:tcPr>
          <w:p>
            <w:pPr>
              <w:pStyle w:val="TableParagraph"/>
              <w:spacing w:before="1"/>
              <w:ind w:left="177"/>
              <w:jc w:val="left"/>
              <w:rPr>
                <w:sz w:val="18"/>
              </w:rPr>
            </w:pPr>
            <w:r>
              <w:rPr>
                <w:w w:val="99"/>
                <w:sz w:val="18"/>
              </w:rPr>
              <w:t>0</w:t>
            </w:r>
          </w:p>
        </w:tc>
        <w:tc>
          <w:tcPr>
            <w:tcW w:w="466" w:type="dxa"/>
          </w:tcPr>
          <w:p>
            <w:pPr>
              <w:pStyle w:val="TableParagraph"/>
              <w:spacing w:before="1"/>
              <w:ind w:right="3"/>
              <w:rPr>
                <w:sz w:val="18"/>
              </w:rPr>
            </w:pPr>
            <w:r>
              <w:rPr>
                <w:w w:val="99"/>
                <w:sz w:val="18"/>
              </w:rPr>
              <w:t>0</w:t>
            </w:r>
          </w:p>
        </w:tc>
        <w:tc>
          <w:tcPr>
            <w:tcW w:w="463" w:type="dxa"/>
          </w:tcPr>
          <w:p>
            <w:pPr>
              <w:pStyle w:val="TableParagraph"/>
              <w:spacing w:before="1"/>
              <w:ind w:right="176"/>
              <w:jc w:val="right"/>
              <w:rPr>
                <w:sz w:val="18"/>
              </w:rPr>
            </w:pPr>
            <w:r>
              <w:rPr>
                <w:w w:val="99"/>
                <w:sz w:val="18"/>
              </w:rPr>
              <w:t>0</w:t>
            </w:r>
          </w:p>
        </w:tc>
        <w:tc>
          <w:tcPr>
            <w:tcW w:w="475" w:type="dxa"/>
          </w:tcPr>
          <w:p>
            <w:pPr>
              <w:pStyle w:val="TableParagraph"/>
              <w:spacing w:line="204" w:lineRule="exact"/>
              <w:ind w:left="4"/>
              <w:rPr>
                <w:b/>
                <w:sz w:val="18"/>
              </w:rPr>
            </w:pPr>
            <w:r>
              <w:rPr>
                <w:b/>
                <w:w w:val="99"/>
                <w:sz w:val="18"/>
              </w:rPr>
              <w:t>0</w:t>
            </w:r>
          </w:p>
        </w:tc>
      </w:tr>
      <w:tr>
        <w:trPr>
          <w:trHeight w:val="319" w:hRule="exact"/>
        </w:trPr>
        <w:tc>
          <w:tcPr>
            <w:tcW w:w="2861" w:type="dxa"/>
            <w:tcBorders>
              <w:left w:val="single" w:sz="8" w:space="0" w:color="000000"/>
            </w:tcBorders>
          </w:tcPr>
          <w:p>
            <w:pPr>
              <w:pStyle w:val="TableParagraph"/>
              <w:spacing w:line="201" w:lineRule="exact"/>
              <w:ind w:left="62"/>
              <w:jc w:val="left"/>
              <w:rPr>
                <w:b/>
                <w:sz w:val="18"/>
              </w:rPr>
            </w:pPr>
            <w:r>
              <w:rPr>
                <w:b/>
                <w:color w:val="333333"/>
                <w:sz w:val="18"/>
              </w:rPr>
              <w:t>ECATZINGO</w:t>
            </w:r>
          </w:p>
        </w:tc>
        <w:tc>
          <w:tcPr>
            <w:tcW w:w="586" w:type="dxa"/>
          </w:tcPr>
          <w:p>
            <w:pPr>
              <w:pStyle w:val="TableParagraph"/>
              <w:spacing w:line="206" w:lineRule="exact"/>
              <w:rPr>
                <w:sz w:val="18"/>
              </w:rPr>
            </w:pPr>
            <w:r>
              <w:rPr>
                <w:w w:val="99"/>
                <w:sz w:val="18"/>
              </w:rPr>
              <w:t>0</w:t>
            </w:r>
          </w:p>
        </w:tc>
        <w:tc>
          <w:tcPr>
            <w:tcW w:w="588" w:type="dxa"/>
          </w:tcPr>
          <w:p>
            <w:pPr>
              <w:pStyle w:val="TableParagraph"/>
              <w:spacing w:line="206" w:lineRule="exact"/>
              <w:ind w:right="236"/>
              <w:jc w:val="righ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4" w:type="dxa"/>
          </w:tcPr>
          <w:p>
            <w:pPr>
              <w:pStyle w:val="TableParagraph"/>
              <w:spacing w:line="206" w:lineRule="exact"/>
              <w:ind w:left="175"/>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
              <w:rPr>
                <w:sz w:val="18"/>
              </w:rPr>
            </w:pPr>
            <w:r>
              <w:rPr>
                <w:w w:val="99"/>
                <w:sz w:val="18"/>
              </w:rPr>
              <w:t>0</w:t>
            </w:r>
          </w:p>
        </w:tc>
        <w:tc>
          <w:tcPr>
            <w:tcW w:w="475" w:type="dxa"/>
          </w:tcPr>
          <w:p>
            <w:pPr>
              <w:pStyle w:val="TableParagraph"/>
              <w:spacing w:line="206" w:lineRule="exact"/>
              <w:ind w:right="178"/>
              <w:jc w:val="righ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22" w:hRule="exact"/>
        </w:trPr>
        <w:tc>
          <w:tcPr>
            <w:tcW w:w="2861" w:type="dxa"/>
            <w:tcBorders>
              <w:left w:val="single" w:sz="8" w:space="0" w:color="000000"/>
            </w:tcBorders>
          </w:tcPr>
          <w:p>
            <w:pPr>
              <w:pStyle w:val="TableParagraph"/>
              <w:spacing w:line="204" w:lineRule="exact"/>
              <w:ind w:left="62"/>
              <w:jc w:val="left"/>
              <w:rPr>
                <w:b/>
                <w:sz w:val="18"/>
              </w:rPr>
            </w:pPr>
            <w:r>
              <w:rPr>
                <w:b/>
                <w:color w:val="333333"/>
                <w:sz w:val="18"/>
              </w:rPr>
              <w:t>EL ORO</w:t>
            </w:r>
          </w:p>
        </w:tc>
        <w:tc>
          <w:tcPr>
            <w:tcW w:w="586" w:type="dxa"/>
          </w:tcPr>
          <w:p>
            <w:pPr>
              <w:pStyle w:val="TableParagraph"/>
              <w:spacing w:before="1"/>
              <w:rPr>
                <w:sz w:val="18"/>
              </w:rPr>
            </w:pPr>
            <w:r>
              <w:rPr>
                <w:w w:val="99"/>
                <w:sz w:val="18"/>
              </w:rPr>
              <w:t>0</w:t>
            </w:r>
          </w:p>
        </w:tc>
        <w:tc>
          <w:tcPr>
            <w:tcW w:w="588" w:type="dxa"/>
          </w:tcPr>
          <w:p>
            <w:pPr>
              <w:pStyle w:val="TableParagraph"/>
              <w:spacing w:before="1"/>
              <w:ind w:right="236"/>
              <w:jc w:val="right"/>
              <w:rPr>
                <w:sz w:val="18"/>
              </w:rPr>
            </w:pPr>
            <w:r>
              <w:rPr>
                <w:w w:val="99"/>
                <w:sz w:val="18"/>
              </w:rPr>
              <w:t>0</w:t>
            </w:r>
          </w:p>
        </w:tc>
        <w:tc>
          <w:tcPr>
            <w:tcW w:w="466" w:type="dxa"/>
          </w:tcPr>
          <w:p>
            <w:pPr>
              <w:pStyle w:val="TableParagraph"/>
              <w:spacing w:before="1"/>
              <w:ind w:left="175"/>
              <w:jc w:val="left"/>
              <w:rPr>
                <w:sz w:val="18"/>
              </w:rPr>
            </w:pPr>
            <w:r>
              <w:rPr>
                <w:w w:val="99"/>
                <w:sz w:val="18"/>
              </w:rPr>
              <w:t>0</w:t>
            </w:r>
          </w:p>
        </w:tc>
        <w:tc>
          <w:tcPr>
            <w:tcW w:w="463" w:type="dxa"/>
          </w:tcPr>
          <w:p>
            <w:pPr>
              <w:pStyle w:val="TableParagraph"/>
              <w:spacing w:before="1"/>
              <w:ind w:left="127"/>
              <w:jc w:val="left"/>
              <w:rPr>
                <w:sz w:val="18"/>
              </w:rPr>
            </w:pPr>
            <w:r>
              <w:rPr>
                <w:sz w:val="18"/>
              </w:rPr>
              <w:t>88</w:t>
            </w:r>
          </w:p>
        </w:tc>
        <w:tc>
          <w:tcPr>
            <w:tcW w:w="466" w:type="dxa"/>
          </w:tcPr>
          <w:p>
            <w:pPr>
              <w:pStyle w:val="TableParagraph"/>
              <w:spacing w:before="1"/>
              <w:ind w:right="176"/>
              <w:jc w:val="right"/>
              <w:rPr>
                <w:sz w:val="18"/>
              </w:rPr>
            </w:pPr>
            <w:r>
              <w:rPr>
                <w:w w:val="99"/>
                <w:sz w:val="18"/>
              </w:rPr>
              <w:t>0</w:t>
            </w:r>
          </w:p>
        </w:tc>
        <w:tc>
          <w:tcPr>
            <w:tcW w:w="466" w:type="dxa"/>
          </w:tcPr>
          <w:p>
            <w:pPr>
              <w:pStyle w:val="TableParagraph"/>
              <w:spacing w:before="1"/>
              <w:ind w:right="176"/>
              <w:jc w:val="right"/>
              <w:rPr>
                <w:sz w:val="18"/>
              </w:rPr>
            </w:pPr>
            <w:r>
              <w:rPr>
                <w:w w:val="99"/>
                <w:sz w:val="18"/>
              </w:rPr>
              <w:t>0</w:t>
            </w:r>
          </w:p>
        </w:tc>
        <w:tc>
          <w:tcPr>
            <w:tcW w:w="466" w:type="dxa"/>
          </w:tcPr>
          <w:p>
            <w:pPr>
              <w:pStyle w:val="TableParagraph"/>
              <w:spacing w:before="1"/>
              <w:ind w:right="3"/>
              <w:rPr>
                <w:sz w:val="18"/>
              </w:rPr>
            </w:pPr>
            <w:r>
              <w:rPr>
                <w:w w:val="99"/>
                <w:sz w:val="18"/>
              </w:rPr>
              <w:t>0</w:t>
            </w:r>
          </w:p>
        </w:tc>
        <w:tc>
          <w:tcPr>
            <w:tcW w:w="464" w:type="dxa"/>
          </w:tcPr>
          <w:p>
            <w:pPr>
              <w:pStyle w:val="TableParagraph"/>
              <w:spacing w:before="1"/>
              <w:ind w:left="175"/>
              <w:jc w:val="left"/>
              <w:rPr>
                <w:sz w:val="18"/>
              </w:rPr>
            </w:pPr>
            <w:r>
              <w:rPr>
                <w:w w:val="99"/>
                <w:sz w:val="18"/>
              </w:rPr>
              <w:t>0</w:t>
            </w:r>
          </w:p>
        </w:tc>
        <w:tc>
          <w:tcPr>
            <w:tcW w:w="466" w:type="dxa"/>
          </w:tcPr>
          <w:p>
            <w:pPr>
              <w:pStyle w:val="TableParagraph"/>
              <w:spacing w:before="1"/>
              <w:ind w:left="129" w:right="-16"/>
              <w:jc w:val="left"/>
              <w:rPr>
                <w:sz w:val="18"/>
              </w:rPr>
            </w:pPr>
            <w:r>
              <w:rPr>
                <w:sz w:val="18"/>
              </w:rPr>
              <w:t>88</w:t>
            </w:r>
          </w:p>
        </w:tc>
        <w:tc>
          <w:tcPr>
            <w:tcW w:w="466" w:type="dxa"/>
          </w:tcPr>
          <w:p>
            <w:pPr>
              <w:pStyle w:val="TableParagraph"/>
              <w:spacing w:before="1"/>
              <w:ind w:left="177"/>
              <w:jc w:val="left"/>
              <w:rPr>
                <w:sz w:val="18"/>
              </w:rPr>
            </w:pPr>
            <w:r>
              <w:rPr>
                <w:w w:val="99"/>
                <w:sz w:val="18"/>
              </w:rPr>
              <w:t>0</w:t>
            </w:r>
          </w:p>
        </w:tc>
        <w:tc>
          <w:tcPr>
            <w:tcW w:w="466" w:type="dxa"/>
          </w:tcPr>
          <w:p>
            <w:pPr>
              <w:pStyle w:val="TableParagraph"/>
              <w:spacing w:before="1"/>
              <w:ind w:right="3"/>
              <w:rPr>
                <w:sz w:val="18"/>
              </w:rPr>
            </w:pPr>
            <w:r>
              <w:rPr>
                <w:w w:val="99"/>
                <w:sz w:val="18"/>
              </w:rPr>
              <w:t>0</w:t>
            </w:r>
          </w:p>
        </w:tc>
        <w:tc>
          <w:tcPr>
            <w:tcW w:w="463" w:type="dxa"/>
          </w:tcPr>
          <w:p>
            <w:pPr>
              <w:pStyle w:val="TableParagraph"/>
              <w:spacing w:before="1"/>
              <w:ind w:right="1"/>
              <w:rPr>
                <w:sz w:val="18"/>
              </w:rPr>
            </w:pPr>
            <w:r>
              <w:rPr>
                <w:w w:val="99"/>
                <w:sz w:val="18"/>
              </w:rPr>
              <w:t>7</w:t>
            </w:r>
          </w:p>
        </w:tc>
        <w:tc>
          <w:tcPr>
            <w:tcW w:w="475" w:type="dxa"/>
          </w:tcPr>
          <w:p>
            <w:pPr>
              <w:pStyle w:val="TableParagraph"/>
              <w:spacing w:before="1"/>
              <w:ind w:right="77"/>
              <w:jc w:val="right"/>
              <w:rPr>
                <w:sz w:val="18"/>
              </w:rPr>
            </w:pPr>
            <w:r>
              <w:rPr>
                <w:w w:val="95"/>
                <w:sz w:val="18"/>
              </w:rPr>
              <w:t>328</w:t>
            </w:r>
          </w:p>
        </w:tc>
        <w:tc>
          <w:tcPr>
            <w:tcW w:w="466" w:type="dxa"/>
          </w:tcPr>
          <w:p>
            <w:pPr>
              <w:pStyle w:val="TableParagraph"/>
              <w:spacing w:before="1"/>
              <w:ind w:left="177"/>
              <w:jc w:val="left"/>
              <w:rPr>
                <w:sz w:val="18"/>
              </w:rPr>
            </w:pPr>
            <w:r>
              <w:rPr>
                <w:w w:val="99"/>
                <w:sz w:val="18"/>
              </w:rPr>
              <w:t>0</w:t>
            </w:r>
          </w:p>
        </w:tc>
        <w:tc>
          <w:tcPr>
            <w:tcW w:w="466" w:type="dxa"/>
          </w:tcPr>
          <w:p>
            <w:pPr>
              <w:pStyle w:val="TableParagraph"/>
              <w:spacing w:before="1"/>
              <w:ind w:left="177"/>
              <w:jc w:val="left"/>
              <w:rPr>
                <w:sz w:val="18"/>
              </w:rPr>
            </w:pPr>
            <w:r>
              <w:rPr>
                <w:w w:val="99"/>
                <w:sz w:val="18"/>
              </w:rPr>
              <w:t>0</w:t>
            </w:r>
          </w:p>
        </w:tc>
        <w:tc>
          <w:tcPr>
            <w:tcW w:w="466" w:type="dxa"/>
          </w:tcPr>
          <w:p>
            <w:pPr>
              <w:pStyle w:val="TableParagraph"/>
              <w:spacing w:before="1"/>
              <w:ind w:right="3"/>
              <w:rPr>
                <w:sz w:val="18"/>
              </w:rPr>
            </w:pPr>
            <w:r>
              <w:rPr>
                <w:w w:val="99"/>
                <w:sz w:val="18"/>
              </w:rPr>
              <w:t>0</w:t>
            </w:r>
          </w:p>
        </w:tc>
        <w:tc>
          <w:tcPr>
            <w:tcW w:w="463" w:type="dxa"/>
          </w:tcPr>
          <w:p>
            <w:pPr>
              <w:pStyle w:val="TableParagraph"/>
              <w:spacing w:before="1"/>
              <w:ind w:right="176"/>
              <w:jc w:val="right"/>
              <w:rPr>
                <w:sz w:val="18"/>
              </w:rPr>
            </w:pPr>
            <w:r>
              <w:rPr>
                <w:w w:val="99"/>
                <w:sz w:val="18"/>
              </w:rPr>
              <w:t>0</w:t>
            </w:r>
          </w:p>
        </w:tc>
        <w:tc>
          <w:tcPr>
            <w:tcW w:w="475" w:type="dxa"/>
          </w:tcPr>
          <w:p>
            <w:pPr>
              <w:pStyle w:val="TableParagraph"/>
              <w:spacing w:line="204" w:lineRule="exact"/>
              <w:ind w:left="62" w:right="58"/>
              <w:rPr>
                <w:b/>
                <w:sz w:val="18"/>
              </w:rPr>
            </w:pPr>
            <w:r>
              <w:rPr>
                <w:b/>
                <w:sz w:val="18"/>
              </w:rPr>
              <w:t>335</w:t>
            </w:r>
          </w:p>
        </w:tc>
      </w:tr>
      <w:tr>
        <w:trPr>
          <w:trHeight w:val="322" w:hRule="exact"/>
        </w:trPr>
        <w:tc>
          <w:tcPr>
            <w:tcW w:w="2861" w:type="dxa"/>
            <w:tcBorders>
              <w:left w:val="single" w:sz="8" w:space="0" w:color="000000"/>
            </w:tcBorders>
          </w:tcPr>
          <w:p>
            <w:pPr>
              <w:pStyle w:val="TableParagraph"/>
              <w:spacing w:line="201" w:lineRule="exact"/>
              <w:ind w:left="62"/>
              <w:jc w:val="left"/>
              <w:rPr>
                <w:b/>
                <w:sz w:val="18"/>
              </w:rPr>
            </w:pPr>
            <w:r>
              <w:rPr>
                <w:b/>
                <w:color w:val="333333"/>
                <w:sz w:val="18"/>
              </w:rPr>
              <w:t>HUEHUETOCA</w:t>
            </w:r>
          </w:p>
        </w:tc>
        <w:tc>
          <w:tcPr>
            <w:tcW w:w="586" w:type="dxa"/>
          </w:tcPr>
          <w:p>
            <w:pPr>
              <w:pStyle w:val="TableParagraph"/>
              <w:spacing w:line="206" w:lineRule="exact"/>
              <w:rPr>
                <w:sz w:val="18"/>
              </w:rPr>
            </w:pPr>
            <w:r>
              <w:rPr>
                <w:w w:val="99"/>
                <w:sz w:val="18"/>
              </w:rPr>
              <w:t>0</w:t>
            </w:r>
          </w:p>
        </w:tc>
        <w:tc>
          <w:tcPr>
            <w:tcW w:w="588" w:type="dxa"/>
          </w:tcPr>
          <w:p>
            <w:pPr>
              <w:pStyle w:val="TableParagraph"/>
              <w:spacing w:line="206" w:lineRule="exact"/>
              <w:ind w:right="236"/>
              <w:jc w:val="righ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4" w:type="dxa"/>
          </w:tcPr>
          <w:p>
            <w:pPr>
              <w:pStyle w:val="TableParagraph"/>
              <w:spacing w:line="206" w:lineRule="exact"/>
              <w:ind w:left="175"/>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
              <w:rPr>
                <w:sz w:val="18"/>
              </w:rPr>
            </w:pPr>
            <w:r>
              <w:rPr>
                <w:w w:val="99"/>
                <w:sz w:val="18"/>
              </w:rPr>
              <w:t>0</w:t>
            </w:r>
          </w:p>
        </w:tc>
        <w:tc>
          <w:tcPr>
            <w:tcW w:w="475" w:type="dxa"/>
          </w:tcPr>
          <w:p>
            <w:pPr>
              <w:pStyle w:val="TableParagraph"/>
              <w:spacing w:line="206" w:lineRule="exact"/>
              <w:ind w:right="178"/>
              <w:jc w:val="righ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19" w:hRule="exact"/>
        </w:trPr>
        <w:tc>
          <w:tcPr>
            <w:tcW w:w="2861" w:type="dxa"/>
            <w:tcBorders>
              <w:left w:val="single" w:sz="8" w:space="0" w:color="000000"/>
            </w:tcBorders>
          </w:tcPr>
          <w:p>
            <w:pPr>
              <w:pStyle w:val="TableParagraph"/>
              <w:spacing w:line="201" w:lineRule="exact"/>
              <w:ind w:left="62"/>
              <w:jc w:val="left"/>
              <w:rPr>
                <w:b/>
                <w:sz w:val="18"/>
              </w:rPr>
            </w:pPr>
            <w:r>
              <w:rPr>
                <w:b/>
                <w:color w:val="333333"/>
                <w:sz w:val="18"/>
              </w:rPr>
              <w:t>HUEYPOXTLA</w:t>
            </w:r>
          </w:p>
        </w:tc>
        <w:tc>
          <w:tcPr>
            <w:tcW w:w="586" w:type="dxa"/>
          </w:tcPr>
          <w:p>
            <w:pPr>
              <w:pStyle w:val="TableParagraph"/>
              <w:spacing w:line="206" w:lineRule="exact"/>
              <w:rPr>
                <w:sz w:val="18"/>
              </w:rPr>
            </w:pPr>
            <w:r>
              <w:rPr>
                <w:w w:val="99"/>
                <w:sz w:val="18"/>
              </w:rPr>
              <w:t>0</w:t>
            </w:r>
          </w:p>
        </w:tc>
        <w:tc>
          <w:tcPr>
            <w:tcW w:w="588" w:type="dxa"/>
          </w:tcPr>
          <w:p>
            <w:pPr>
              <w:pStyle w:val="TableParagraph"/>
              <w:spacing w:line="206" w:lineRule="exact"/>
              <w:ind w:right="236"/>
              <w:jc w:val="righ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4" w:type="dxa"/>
          </w:tcPr>
          <w:p>
            <w:pPr>
              <w:pStyle w:val="TableParagraph"/>
              <w:spacing w:line="206" w:lineRule="exact"/>
              <w:ind w:left="175"/>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
              <w:rPr>
                <w:sz w:val="18"/>
              </w:rPr>
            </w:pPr>
            <w:r>
              <w:rPr>
                <w:w w:val="99"/>
                <w:sz w:val="18"/>
              </w:rPr>
              <w:t>0</w:t>
            </w:r>
          </w:p>
        </w:tc>
        <w:tc>
          <w:tcPr>
            <w:tcW w:w="475" w:type="dxa"/>
          </w:tcPr>
          <w:p>
            <w:pPr>
              <w:pStyle w:val="TableParagraph"/>
              <w:spacing w:line="206" w:lineRule="exact"/>
              <w:ind w:right="178"/>
              <w:jc w:val="righ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26" w:hRule="exact"/>
        </w:trPr>
        <w:tc>
          <w:tcPr>
            <w:tcW w:w="2861" w:type="dxa"/>
            <w:tcBorders>
              <w:left w:val="single" w:sz="8" w:space="0" w:color="000000"/>
              <w:bottom w:val="single" w:sz="8" w:space="0" w:color="000000"/>
            </w:tcBorders>
          </w:tcPr>
          <w:p>
            <w:pPr>
              <w:pStyle w:val="TableParagraph"/>
              <w:spacing w:line="201" w:lineRule="exact"/>
              <w:ind w:left="62"/>
              <w:jc w:val="left"/>
              <w:rPr>
                <w:b/>
                <w:sz w:val="18"/>
              </w:rPr>
            </w:pPr>
            <w:r>
              <w:rPr>
                <w:b/>
                <w:color w:val="333333"/>
                <w:sz w:val="18"/>
              </w:rPr>
              <w:t>HUIXQUILUCAN</w:t>
            </w:r>
          </w:p>
        </w:tc>
        <w:tc>
          <w:tcPr>
            <w:tcW w:w="586" w:type="dxa"/>
          </w:tcPr>
          <w:p>
            <w:pPr>
              <w:pStyle w:val="TableParagraph"/>
              <w:spacing w:line="206" w:lineRule="exact"/>
              <w:rPr>
                <w:sz w:val="18"/>
              </w:rPr>
            </w:pPr>
            <w:r>
              <w:rPr>
                <w:w w:val="99"/>
                <w:sz w:val="18"/>
              </w:rPr>
              <w:t>0</w:t>
            </w:r>
          </w:p>
        </w:tc>
        <w:tc>
          <w:tcPr>
            <w:tcW w:w="588" w:type="dxa"/>
          </w:tcPr>
          <w:p>
            <w:pPr>
              <w:pStyle w:val="TableParagraph"/>
              <w:spacing w:line="206" w:lineRule="exact"/>
              <w:ind w:right="236"/>
              <w:jc w:val="righ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4" w:type="dxa"/>
          </w:tcPr>
          <w:p>
            <w:pPr>
              <w:pStyle w:val="TableParagraph"/>
              <w:spacing w:line="206" w:lineRule="exact"/>
              <w:ind w:left="175"/>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6</w:t>
            </w:r>
          </w:p>
        </w:tc>
        <w:tc>
          <w:tcPr>
            <w:tcW w:w="466" w:type="dxa"/>
          </w:tcPr>
          <w:p>
            <w:pPr>
              <w:pStyle w:val="TableParagraph"/>
              <w:spacing w:line="206" w:lineRule="exact"/>
              <w:ind w:left="105" w:right="105"/>
              <w:rPr>
                <w:sz w:val="18"/>
              </w:rPr>
            </w:pPr>
            <w:r>
              <w:rPr>
                <w:sz w:val="18"/>
              </w:rPr>
              <w:t>24</w:t>
            </w:r>
          </w:p>
        </w:tc>
        <w:tc>
          <w:tcPr>
            <w:tcW w:w="463" w:type="dxa"/>
          </w:tcPr>
          <w:p>
            <w:pPr>
              <w:pStyle w:val="TableParagraph"/>
              <w:spacing w:line="206" w:lineRule="exact"/>
              <w:ind w:left="56" w:right="54"/>
              <w:rPr>
                <w:sz w:val="18"/>
              </w:rPr>
            </w:pPr>
            <w:r>
              <w:rPr>
                <w:sz w:val="18"/>
              </w:rPr>
              <w:t>35</w:t>
            </w:r>
          </w:p>
        </w:tc>
        <w:tc>
          <w:tcPr>
            <w:tcW w:w="475" w:type="dxa"/>
          </w:tcPr>
          <w:p>
            <w:pPr>
              <w:pStyle w:val="TableParagraph"/>
              <w:spacing w:line="206" w:lineRule="exact"/>
              <w:ind w:right="127"/>
              <w:jc w:val="right"/>
              <w:rPr>
                <w:sz w:val="18"/>
              </w:rPr>
            </w:pPr>
            <w:r>
              <w:rPr>
                <w:w w:val="95"/>
                <w:sz w:val="18"/>
              </w:rPr>
              <w:t>96</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75" w:type="dxa"/>
          </w:tcPr>
          <w:p>
            <w:pPr>
              <w:pStyle w:val="TableParagraph"/>
              <w:spacing w:line="201" w:lineRule="exact"/>
              <w:ind w:left="62" w:right="58"/>
              <w:rPr>
                <w:b/>
                <w:sz w:val="18"/>
              </w:rPr>
            </w:pPr>
            <w:r>
              <w:rPr>
                <w:b/>
                <w:sz w:val="18"/>
              </w:rPr>
              <w:t>161</w:t>
            </w:r>
          </w:p>
        </w:tc>
      </w:tr>
    </w:tbl>
    <w:p>
      <w:pPr>
        <w:spacing w:after="0" w:line="201" w:lineRule="exact"/>
        <w:rPr>
          <w:sz w:val="18"/>
        </w:rPr>
        <w:sectPr>
          <w:pgSz w:w="15840" w:h="12240" w:orient="landscape"/>
          <w:pgMar w:header="0" w:footer="975" w:top="1140" w:bottom="1160" w:left="2000" w:right="2120"/>
        </w:sectPr>
      </w:pPr>
    </w:p>
    <w:p>
      <w:pPr>
        <w:pStyle w:val="BodyText"/>
        <w:rPr>
          <w:rFonts w:ascii="Times New Roman"/>
          <w:sz w:val="20"/>
        </w:rPr>
      </w:pPr>
    </w:p>
    <w:p>
      <w:pPr>
        <w:pStyle w:val="BodyText"/>
        <w:spacing w:before="10"/>
        <w:rPr>
          <w:rFonts w:ascii="Times New Roman"/>
          <w:sz w:val="28"/>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50"/>
        <w:gridCol w:w="589"/>
        <w:gridCol w:w="586"/>
        <w:gridCol w:w="466"/>
        <w:gridCol w:w="475"/>
        <w:gridCol w:w="466"/>
        <w:gridCol w:w="466"/>
        <w:gridCol w:w="463"/>
        <w:gridCol w:w="466"/>
        <w:gridCol w:w="475"/>
        <w:gridCol w:w="466"/>
        <w:gridCol w:w="466"/>
        <w:gridCol w:w="473"/>
        <w:gridCol w:w="475"/>
        <w:gridCol w:w="466"/>
        <w:gridCol w:w="466"/>
        <w:gridCol w:w="466"/>
        <w:gridCol w:w="463"/>
        <w:gridCol w:w="475"/>
      </w:tblGrid>
      <w:tr>
        <w:trPr>
          <w:trHeight w:val="319" w:hRule="exact"/>
        </w:trPr>
        <w:tc>
          <w:tcPr>
            <w:tcW w:w="11615" w:type="dxa"/>
            <w:gridSpan w:val="19"/>
            <w:shd w:val="clear" w:color="auto" w:fill="C5DFB3"/>
          </w:tcPr>
          <w:p>
            <w:pPr>
              <w:pStyle w:val="TableParagraph"/>
              <w:spacing w:line="201" w:lineRule="exact"/>
              <w:ind w:left="2421"/>
              <w:jc w:val="left"/>
              <w:rPr>
                <w:b/>
                <w:sz w:val="18"/>
              </w:rPr>
            </w:pPr>
            <w:r>
              <w:rPr>
                <w:b/>
                <w:sz w:val="18"/>
              </w:rPr>
              <w:t>Anexo 26A. Municipios que publican apartado licitaciones de bienes 2012-2013</w:t>
            </w:r>
          </w:p>
        </w:tc>
      </w:tr>
      <w:tr>
        <w:trPr>
          <w:trHeight w:val="322" w:hRule="exact"/>
        </w:trPr>
        <w:tc>
          <w:tcPr>
            <w:tcW w:w="2950"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109"/>
              <w:ind w:left="1029" w:right="1026"/>
              <w:rPr>
                <w:b/>
                <w:sz w:val="18"/>
              </w:rPr>
            </w:pPr>
            <w:r>
              <w:rPr>
                <w:b/>
                <w:sz w:val="18"/>
              </w:rPr>
              <w:t>Municipio</w:t>
            </w:r>
          </w:p>
        </w:tc>
        <w:tc>
          <w:tcPr>
            <w:tcW w:w="4451" w:type="dxa"/>
            <w:gridSpan w:val="9"/>
            <w:shd w:val="clear" w:color="auto" w:fill="C5DFB3"/>
          </w:tcPr>
          <w:p>
            <w:pPr>
              <w:pStyle w:val="TableParagraph"/>
              <w:spacing w:line="201" w:lineRule="exact"/>
              <w:ind w:left="2001" w:right="1997"/>
              <w:rPr>
                <w:b/>
                <w:sz w:val="18"/>
              </w:rPr>
            </w:pPr>
            <w:r>
              <w:rPr>
                <w:b/>
                <w:sz w:val="18"/>
              </w:rPr>
              <w:t>2012</w:t>
            </w:r>
          </w:p>
        </w:tc>
        <w:tc>
          <w:tcPr>
            <w:tcW w:w="4215" w:type="dxa"/>
            <w:gridSpan w:val="9"/>
            <w:shd w:val="clear" w:color="auto" w:fill="C5DFB3"/>
          </w:tcPr>
          <w:p>
            <w:pPr>
              <w:pStyle w:val="TableParagraph"/>
              <w:spacing w:line="201" w:lineRule="exact"/>
              <w:ind w:left="1882" w:right="1878"/>
              <w:rPr>
                <w:b/>
                <w:sz w:val="18"/>
              </w:rPr>
            </w:pPr>
            <w:r>
              <w:rPr>
                <w:b/>
                <w:sz w:val="18"/>
              </w:rPr>
              <w:t>2013</w:t>
            </w:r>
          </w:p>
        </w:tc>
      </w:tr>
      <w:tr>
        <w:trPr>
          <w:trHeight w:val="1885" w:hRule="exact"/>
        </w:trPr>
        <w:tc>
          <w:tcPr>
            <w:tcW w:w="2950" w:type="dxa"/>
            <w:vMerge/>
            <w:shd w:val="clear" w:color="auto" w:fill="C5DFB3"/>
          </w:tcPr>
          <w:p>
            <w:pPr/>
          </w:p>
        </w:tc>
        <w:tc>
          <w:tcPr>
            <w:tcW w:w="589" w:type="dxa"/>
            <w:shd w:val="clear" w:color="auto" w:fill="C5DFB3"/>
            <w:textDirection w:val="btLr"/>
          </w:tcPr>
          <w:p>
            <w:pPr>
              <w:pStyle w:val="TableParagraph"/>
              <w:spacing w:before="10"/>
              <w:jc w:val="left"/>
              <w:rPr>
                <w:rFonts w:ascii="Times New Roman"/>
                <w:sz w:val="16"/>
              </w:rPr>
            </w:pPr>
          </w:p>
          <w:p>
            <w:pPr>
              <w:pStyle w:val="TableParagraph"/>
              <w:ind w:left="-1"/>
              <w:jc w:val="left"/>
              <w:rPr>
                <w:b/>
                <w:sz w:val="18"/>
              </w:rPr>
            </w:pPr>
            <w:r>
              <w:rPr>
                <w:b/>
                <w:w w:val="100"/>
                <w:sz w:val="18"/>
              </w:rPr>
              <w:t>Li</w:t>
            </w:r>
            <w:r>
              <w:rPr>
                <w:b/>
                <w:w w:val="99"/>
                <w:sz w:val="18"/>
              </w:rPr>
              <w:t>c</w:t>
            </w:r>
            <w:r>
              <w:rPr>
                <w:b/>
                <w:w w:val="100"/>
                <w:sz w:val="18"/>
              </w:rPr>
              <w:t>it.</w:t>
            </w:r>
            <w:r>
              <w:rPr>
                <w:b/>
                <w:sz w:val="18"/>
              </w:rPr>
              <w:t> </w:t>
            </w:r>
            <w:r>
              <w:rPr>
                <w:b/>
                <w:w w:val="100"/>
                <w:sz w:val="18"/>
              </w:rPr>
              <w:t>Pu</w:t>
            </w:r>
            <w:r>
              <w:rPr>
                <w:b/>
                <w:spacing w:val="-2"/>
                <w:w w:val="100"/>
                <w:sz w:val="18"/>
              </w:rPr>
              <w:t>b</w:t>
            </w:r>
            <w:r>
              <w:rPr>
                <w:b/>
                <w:w w:val="100"/>
                <w:sz w:val="18"/>
              </w:rPr>
              <w:t>l</w:t>
            </w:r>
          </w:p>
        </w:tc>
        <w:tc>
          <w:tcPr>
            <w:tcW w:w="586" w:type="dxa"/>
            <w:shd w:val="clear" w:color="auto" w:fill="C5DFB3"/>
            <w:textDirection w:val="btLr"/>
          </w:tcPr>
          <w:p>
            <w:pPr>
              <w:pStyle w:val="TableParagraph"/>
              <w:spacing w:before="9"/>
              <w:jc w:val="left"/>
              <w:rPr>
                <w:rFonts w:ascii="Times New Roman"/>
                <w:sz w:val="16"/>
              </w:rPr>
            </w:pPr>
          </w:p>
          <w:p>
            <w:pPr>
              <w:pStyle w:val="TableParagraph"/>
              <w:ind w:left="-1"/>
              <w:jc w:val="left"/>
              <w:rPr>
                <w:b/>
                <w:sz w:val="18"/>
              </w:rPr>
            </w:pPr>
            <w:r>
              <w:rPr>
                <w:b/>
                <w:w w:val="100"/>
                <w:sz w:val="18"/>
              </w:rPr>
              <w:t>In</w:t>
            </w:r>
            <w:r>
              <w:rPr>
                <w:b/>
                <w:w w:val="99"/>
                <w:sz w:val="18"/>
              </w:rPr>
              <w:t>v</w:t>
            </w:r>
            <w:r>
              <w:rPr>
                <w:b/>
                <w:w w:val="100"/>
                <w:sz w:val="18"/>
              </w:rPr>
              <w:t>.</w:t>
            </w:r>
            <w:r>
              <w:rPr>
                <w:b/>
                <w:sz w:val="18"/>
              </w:rPr>
              <w:t> </w:t>
            </w:r>
            <w:r>
              <w:rPr>
                <w:b/>
                <w:w w:val="99"/>
                <w:sz w:val="18"/>
              </w:rPr>
              <w:t>Res</w:t>
            </w:r>
            <w:r>
              <w:rPr>
                <w:b/>
                <w:sz w:val="18"/>
              </w:rPr>
              <w:t>tr.</w:t>
            </w:r>
          </w:p>
        </w:tc>
        <w:tc>
          <w:tcPr>
            <w:tcW w:w="466" w:type="dxa"/>
            <w:shd w:val="clear" w:color="auto" w:fill="C5DFB3"/>
            <w:textDirection w:val="btLr"/>
          </w:tcPr>
          <w:p>
            <w:pPr>
              <w:pStyle w:val="TableParagraph"/>
              <w:spacing w:before="71"/>
              <w:ind w:left="-1"/>
              <w:jc w:val="left"/>
              <w:rPr>
                <w:b/>
                <w:sz w:val="18"/>
              </w:rPr>
            </w:pPr>
            <w:r>
              <w:rPr>
                <w:b/>
                <w:w w:val="100"/>
                <w:sz w:val="18"/>
              </w:rPr>
              <w:t>Adj.</w:t>
            </w:r>
            <w:r>
              <w:rPr>
                <w:b/>
                <w:sz w:val="18"/>
              </w:rPr>
              <w:t> </w:t>
            </w:r>
            <w:r>
              <w:rPr>
                <w:b/>
                <w:w w:val="99"/>
                <w:sz w:val="18"/>
              </w:rPr>
              <w:t>Dire</w:t>
            </w:r>
            <w:r>
              <w:rPr>
                <w:b/>
                <w:w w:val="99"/>
                <w:sz w:val="18"/>
              </w:rPr>
              <w:t>c</w:t>
            </w:r>
            <w:r>
              <w:rPr>
                <w:b/>
                <w:w w:val="100"/>
                <w:sz w:val="18"/>
              </w:rPr>
              <w:t>t.</w:t>
            </w:r>
          </w:p>
        </w:tc>
        <w:tc>
          <w:tcPr>
            <w:tcW w:w="475" w:type="dxa"/>
            <w:shd w:val="clear" w:color="auto" w:fill="C5DFB3"/>
            <w:textDirection w:val="btLr"/>
          </w:tcPr>
          <w:p>
            <w:pPr>
              <w:pStyle w:val="TableParagraph"/>
              <w:spacing w:before="80"/>
              <w:ind w:left="-1"/>
              <w:jc w:val="left"/>
              <w:rPr>
                <w:b/>
                <w:sz w:val="18"/>
              </w:rPr>
            </w:pPr>
            <w:r>
              <w:rPr>
                <w:b/>
                <w:w w:val="100"/>
                <w:sz w:val="18"/>
              </w:rPr>
              <w:t>Adq.</w:t>
            </w:r>
            <w:r>
              <w:rPr>
                <w:b/>
                <w:sz w:val="18"/>
              </w:rPr>
              <w:t> </w:t>
            </w:r>
            <w:r>
              <w:rPr>
                <w:b/>
                <w:w w:val="99"/>
                <w:sz w:val="18"/>
              </w:rPr>
              <w:t>Dire</w:t>
            </w:r>
            <w:r>
              <w:rPr>
                <w:b/>
                <w:w w:val="99"/>
                <w:sz w:val="18"/>
              </w:rPr>
              <w:t>c</w:t>
            </w:r>
            <w:r>
              <w:rPr>
                <w:b/>
                <w:w w:val="99"/>
                <w:sz w:val="18"/>
              </w:rPr>
              <w:t>t</w:t>
            </w:r>
          </w:p>
        </w:tc>
        <w:tc>
          <w:tcPr>
            <w:tcW w:w="466" w:type="dxa"/>
            <w:shd w:val="clear" w:color="auto" w:fill="C5DFB3"/>
            <w:textDirection w:val="btLr"/>
          </w:tcPr>
          <w:p>
            <w:pPr>
              <w:pStyle w:val="TableParagraph"/>
              <w:spacing w:before="71"/>
              <w:ind w:left="-1"/>
              <w:jc w:val="left"/>
              <w:rPr>
                <w:b/>
                <w:sz w:val="18"/>
              </w:rPr>
            </w:pPr>
            <w:r>
              <w:rPr>
                <w:b/>
                <w:w w:val="100"/>
                <w:sz w:val="18"/>
              </w:rPr>
              <w:t>In</w:t>
            </w:r>
            <w:r>
              <w:rPr>
                <w:b/>
                <w:w w:val="99"/>
                <w:sz w:val="18"/>
              </w:rPr>
              <w:t>v</w:t>
            </w:r>
            <w:r>
              <w:rPr>
                <w:b/>
                <w:w w:val="100"/>
                <w:sz w:val="18"/>
              </w:rPr>
              <w:t>.</w:t>
            </w:r>
            <w:r>
              <w:rPr>
                <w:b/>
                <w:sz w:val="18"/>
              </w:rPr>
              <w:t> </w:t>
            </w:r>
            <w:r>
              <w:rPr>
                <w:b/>
                <w:w w:val="99"/>
                <w:sz w:val="18"/>
              </w:rPr>
              <w:t>A</w:t>
            </w:r>
            <w:r>
              <w:rPr>
                <w:b/>
                <w:sz w:val="18"/>
              </w:rPr>
              <w:t> </w:t>
            </w:r>
            <w:r>
              <w:rPr>
                <w:b/>
                <w:w w:val="99"/>
                <w:sz w:val="18"/>
              </w:rPr>
              <w:t>3</w:t>
            </w:r>
            <w:r>
              <w:rPr>
                <w:b/>
                <w:spacing w:val="-2"/>
                <w:sz w:val="18"/>
              </w:rPr>
              <w:t> </w:t>
            </w:r>
            <w:r>
              <w:rPr>
                <w:b/>
                <w:sz w:val="18"/>
              </w:rPr>
              <w:t>perso</w:t>
            </w:r>
            <w:r>
              <w:rPr>
                <w:b/>
                <w:spacing w:val="-2"/>
                <w:w w:val="100"/>
                <w:sz w:val="18"/>
              </w:rPr>
              <w:t>n</w:t>
            </w:r>
            <w:r>
              <w:rPr>
                <w:b/>
                <w:w w:val="99"/>
                <w:sz w:val="18"/>
              </w:rPr>
              <w:t>as</w:t>
            </w:r>
          </w:p>
        </w:tc>
        <w:tc>
          <w:tcPr>
            <w:tcW w:w="466" w:type="dxa"/>
            <w:shd w:val="clear" w:color="auto" w:fill="C5DFB3"/>
            <w:textDirection w:val="btLr"/>
          </w:tcPr>
          <w:p>
            <w:pPr>
              <w:pStyle w:val="TableParagraph"/>
              <w:spacing w:before="71"/>
              <w:ind w:left="-1"/>
              <w:jc w:val="left"/>
              <w:rPr>
                <w:b/>
                <w:sz w:val="18"/>
              </w:rPr>
            </w:pPr>
            <w:r>
              <w:rPr>
                <w:b/>
                <w:w w:val="99"/>
                <w:sz w:val="18"/>
              </w:rPr>
              <w:t>Compra</w:t>
            </w:r>
            <w:r>
              <w:rPr>
                <w:b/>
                <w:w w:val="99"/>
                <w:sz w:val="18"/>
              </w:rPr>
              <w:t>s</w:t>
            </w:r>
            <w:r>
              <w:rPr>
                <w:b/>
                <w:sz w:val="18"/>
              </w:rPr>
              <w:t> </w:t>
            </w:r>
            <w:r>
              <w:rPr>
                <w:b/>
                <w:spacing w:val="-2"/>
                <w:w w:val="99"/>
                <w:sz w:val="18"/>
              </w:rPr>
              <w:t>m</w:t>
            </w:r>
            <w:r>
              <w:rPr>
                <w:b/>
                <w:w w:val="99"/>
                <w:sz w:val="18"/>
              </w:rPr>
              <w:t>e</w:t>
            </w:r>
            <w:r>
              <w:rPr>
                <w:b/>
                <w:w w:val="100"/>
                <w:sz w:val="18"/>
              </w:rPr>
              <w:t>no</w:t>
            </w:r>
            <w:r>
              <w:rPr>
                <w:b/>
                <w:w w:val="99"/>
                <w:sz w:val="18"/>
              </w:rPr>
              <w:t>res</w:t>
            </w:r>
          </w:p>
        </w:tc>
        <w:tc>
          <w:tcPr>
            <w:tcW w:w="463" w:type="dxa"/>
            <w:shd w:val="clear" w:color="auto" w:fill="C5DFB3"/>
            <w:textDirection w:val="btLr"/>
          </w:tcPr>
          <w:p>
            <w:pPr>
              <w:pStyle w:val="TableParagraph"/>
              <w:spacing w:before="71"/>
              <w:ind w:left="-1"/>
              <w:jc w:val="left"/>
              <w:rPr>
                <w:b/>
                <w:sz w:val="18"/>
              </w:rPr>
            </w:pPr>
            <w:r>
              <w:rPr>
                <w:b/>
                <w:w w:val="100"/>
                <w:sz w:val="18"/>
              </w:rPr>
              <w:t>Cont</w:t>
            </w:r>
            <w:r>
              <w:rPr>
                <w:b/>
                <w:w w:val="99"/>
                <w:sz w:val="18"/>
              </w:rPr>
              <w:t>rato </w:t>
            </w:r>
            <w:r>
              <w:rPr>
                <w:b/>
                <w:w w:val="100"/>
                <w:sz w:val="18"/>
              </w:rPr>
              <w:t>p</w:t>
            </w:r>
            <w:r>
              <w:rPr>
                <w:b/>
                <w:w w:val="99"/>
                <w:sz w:val="18"/>
              </w:rPr>
              <w:t>e</w:t>
            </w:r>
            <w:r>
              <w:rPr>
                <w:b/>
                <w:w w:val="100"/>
                <w:sz w:val="18"/>
              </w:rPr>
              <w:t>d</w:t>
            </w:r>
            <w:r>
              <w:rPr>
                <w:b/>
                <w:spacing w:val="-2"/>
                <w:w w:val="100"/>
                <w:sz w:val="18"/>
              </w:rPr>
              <w:t>i</w:t>
            </w:r>
            <w:r>
              <w:rPr>
                <w:b/>
                <w:w w:val="100"/>
                <w:sz w:val="18"/>
              </w:rPr>
              <w:t>do</w:t>
            </w:r>
          </w:p>
        </w:tc>
        <w:tc>
          <w:tcPr>
            <w:tcW w:w="466" w:type="dxa"/>
            <w:shd w:val="clear" w:color="auto" w:fill="C5DFB3"/>
            <w:textDirection w:val="btLr"/>
          </w:tcPr>
          <w:p>
            <w:pPr>
              <w:pStyle w:val="TableParagraph"/>
              <w:spacing w:before="71"/>
              <w:ind w:left="-1"/>
              <w:jc w:val="left"/>
              <w:rPr>
                <w:b/>
                <w:sz w:val="18"/>
              </w:rPr>
            </w:pPr>
            <w:r>
              <w:rPr>
                <w:b/>
                <w:w w:val="99"/>
                <w:sz w:val="18"/>
              </w:rPr>
              <w:t>Compra</w:t>
            </w:r>
            <w:r>
              <w:rPr>
                <w:b/>
                <w:w w:val="99"/>
                <w:sz w:val="18"/>
              </w:rPr>
              <w:t>s</w:t>
            </w:r>
            <w:r>
              <w:rPr>
                <w:b/>
                <w:sz w:val="18"/>
              </w:rPr>
              <w:t> </w:t>
            </w:r>
            <w:r>
              <w:rPr>
                <w:b/>
                <w:spacing w:val="-2"/>
                <w:w w:val="99"/>
                <w:sz w:val="18"/>
              </w:rPr>
              <w:t>s</w:t>
            </w:r>
            <w:r>
              <w:rPr>
                <w:b/>
                <w:w w:val="100"/>
                <w:sz w:val="18"/>
              </w:rPr>
              <w:t>olid</w:t>
            </w:r>
            <w:r>
              <w:rPr>
                <w:b/>
                <w:w w:val="99"/>
                <w:sz w:val="18"/>
              </w:rPr>
              <w:t>a</w:t>
            </w:r>
            <w:r>
              <w:rPr>
                <w:b/>
                <w:w w:val="100"/>
                <w:sz w:val="18"/>
              </w:rPr>
              <w:t>r</w:t>
            </w:r>
            <w:r>
              <w:rPr>
                <w:b/>
                <w:spacing w:val="-3"/>
                <w:w w:val="100"/>
                <w:sz w:val="18"/>
              </w:rPr>
              <w:t>i</w:t>
            </w:r>
            <w:r>
              <w:rPr>
                <w:b/>
                <w:w w:val="99"/>
                <w:sz w:val="18"/>
              </w:rPr>
              <w:t>as</w:t>
            </w:r>
          </w:p>
        </w:tc>
        <w:tc>
          <w:tcPr>
            <w:tcW w:w="475" w:type="dxa"/>
            <w:shd w:val="clear" w:color="auto" w:fill="C5DFB3"/>
            <w:textDirection w:val="btLr"/>
          </w:tcPr>
          <w:p>
            <w:pPr>
              <w:pStyle w:val="TableParagraph"/>
              <w:spacing w:before="80"/>
              <w:ind w:left="-1"/>
              <w:jc w:val="left"/>
              <w:rPr>
                <w:b/>
                <w:sz w:val="18"/>
              </w:rPr>
            </w:pPr>
            <w:r>
              <w:rPr>
                <w:b/>
                <w:w w:val="100"/>
                <w:sz w:val="18"/>
              </w:rPr>
              <w:t>To</w:t>
            </w:r>
            <w:r>
              <w:rPr>
                <w:b/>
                <w:w w:val="99"/>
                <w:sz w:val="18"/>
              </w:rPr>
              <w:t>ta</w:t>
            </w:r>
            <w:r>
              <w:rPr>
                <w:b/>
                <w:w w:val="100"/>
                <w:sz w:val="18"/>
              </w:rPr>
              <w:t>l</w:t>
            </w:r>
          </w:p>
        </w:tc>
        <w:tc>
          <w:tcPr>
            <w:tcW w:w="466" w:type="dxa"/>
            <w:shd w:val="clear" w:color="auto" w:fill="C5DFB3"/>
            <w:textDirection w:val="btLr"/>
          </w:tcPr>
          <w:p>
            <w:pPr>
              <w:pStyle w:val="TableParagraph"/>
              <w:spacing w:before="71"/>
              <w:ind w:left="-1"/>
              <w:jc w:val="left"/>
              <w:rPr>
                <w:b/>
                <w:sz w:val="18"/>
              </w:rPr>
            </w:pPr>
            <w:r>
              <w:rPr>
                <w:b/>
                <w:w w:val="100"/>
                <w:sz w:val="18"/>
              </w:rPr>
              <w:t>Li</w:t>
            </w:r>
            <w:r>
              <w:rPr>
                <w:b/>
                <w:w w:val="99"/>
                <w:sz w:val="18"/>
              </w:rPr>
              <w:t>c</w:t>
            </w:r>
            <w:r>
              <w:rPr>
                <w:b/>
                <w:w w:val="100"/>
                <w:sz w:val="18"/>
              </w:rPr>
              <w:t>it.</w:t>
            </w:r>
            <w:r>
              <w:rPr>
                <w:b/>
                <w:sz w:val="18"/>
              </w:rPr>
              <w:t> </w:t>
            </w:r>
            <w:r>
              <w:rPr>
                <w:b/>
                <w:w w:val="100"/>
                <w:sz w:val="18"/>
              </w:rPr>
              <w:t>Pu</w:t>
            </w:r>
            <w:r>
              <w:rPr>
                <w:b/>
                <w:spacing w:val="-2"/>
                <w:w w:val="100"/>
                <w:sz w:val="18"/>
              </w:rPr>
              <w:t>b</w:t>
            </w:r>
            <w:r>
              <w:rPr>
                <w:b/>
                <w:w w:val="100"/>
                <w:sz w:val="18"/>
              </w:rPr>
              <w:t>l</w:t>
            </w:r>
          </w:p>
        </w:tc>
        <w:tc>
          <w:tcPr>
            <w:tcW w:w="466" w:type="dxa"/>
            <w:shd w:val="clear" w:color="auto" w:fill="C5DFB3"/>
            <w:textDirection w:val="btLr"/>
          </w:tcPr>
          <w:p>
            <w:pPr>
              <w:pStyle w:val="TableParagraph"/>
              <w:spacing w:before="71"/>
              <w:ind w:left="-1"/>
              <w:jc w:val="left"/>
              <w:rPr>
                <w:b/>
                <w:sz w:val="18"/>
              </w:rPr>
            </w:pPr>
            <w:r>
              <w:rPr>
                <w:b/>
                <w:w w:val="100"/>
                <w:sz w:val="18"/>
              </w:rPr>
              <w:t>In</w:t>
            </w:r>
            <w:r>
              <w:rPr>
                <w:b/>
                <w:w w:val="99"/>
                <w:sz w:val="18"/>
              </w:rPr>
              <w:t>v</w:t>
            </w:r>
            <w:r>
              <w:rPr>
                <w:b/>
                <w:w w:val="100"/>
                <w:sz w:val="18"/>
              </w:rPr>
              <w:t>.</w:t>
            </w:r>
            <w:r>
              <w:rPr>
                <w:b/>
                <w:sz w:val="18"/>
              </w:rPr>
              <w:t> </w:t>
            </w:r>
            <w:r>
              <w:rPr>
                <w:b/>
                <w:w w:val="99"/>
                <w:sz w:val="18"/>
              </w:rPr>
              <w:t>Res</w:t>
            </w:r>
            <w:r>
              <w:rPr>
                <w:b/>
                <w:sz w:val="18"/>
              </w:rPr>
              <w:t>tr.</w:t>
            </w:r>
          </w:p>
        </w:tc>
        <w:tc>
          <w:tcPr>
            <w:tcW w:w="473" w:type="dxa"/>
            <w:shd w:val="clear" w:color="auto" w:fill="C5DFB3"/>
            <w:textDirection w:val="btLr"/>
          </w:tcPr>
          <w:p>
            <w:pPr>
              <w:pStyle w:val="TableParagraph"/>
              <w:spacing w:before="80"/>
              <w:ind w:left="-1"/>
              <w:jc w:val="left"/>
              <w:rPr>
                <w:b/>
                <w:sz w:val="18"/>
              </w:rPr>
            </w:pPr>
            <w:r>
              <w:rPr>
                <w:b/>
                <w:w w:val="100"/>
                <w:sz w:val="18"/>
              </w:rPr>
              <w:t>Adj.</w:t>
            </w:r>
            <w:r>
              <w:rPr>
                <w:b/>
                <w:sz w:val="18"/>
              </w:rPr>
              <w:t> </w:t>
            </w:r>
            <w:r>
              <w:rPr>
                <w:b/>
                <w:w w:val="99"/>
                <w:sz w:val="18"/>
              </w:rPr>
              <w:t>Dire</w:t>
            </w:r>
            <w:r>
              <w:rPr>
                <w:b/>
                <w:w w:val="99"/>
                <w:sz w:val="18"/>
              </w:rPr>
              <w:t>c</w:t>
            </w:r>
            <w:r>
              <w:rPr>
                <w:b/>
                <w:w w:val="100"/>
                <w:sz w:val="18"/>
              </w:rPr>
              <w:t>t.</w:t>
            </w:r>
          </w:p>
        </w:tc>
        <w:tc>
          <w:tcPr>
            <w:tcW w:w="475" w:type="dxa"/>
            <w:shd w:val="clear" w:color="auto" w:fill="C5DFB3"/>
            <w:textDirection w:val="btLr"/>
          </w:tcPr>
          <w:p>
            <w:pPr>
              <w:pStyle w:val="TableParagraph"/>
              <w:spacing w:before="83"/>
              <w:ind w:left="-1"/>
              <w:jc w:val="left"/>
              <w:rPr>
                <w:b/>
                <w:sz w:val="18"/>
              </w:rPr>
            </w:pPr>
            <w:r>
              <w:rPr>
                <w:b/>
                <w:w w:val="100"/>
                <w:sz w:val="18"/>
              </w:rPr>
              <w:t>Adq.</w:t>
            </w:r>
            <w:r>
              <w:rPr>
                <w:b/>
                <w:sz w:val="18"/>
              </w:rPr>
              <w:t> </w:t>
            </w:r>
            <w:r>
              <w:rPr>
                <w:b/>
                <w:w w:val="99"/>
                <w:sz w:val="18"/>
              </w:rPr>
              <w:t>Dire</w:t>
            </w:r>
            <w:r>
              <w:rPr>
                <w:b/>
                <w:w w:val="99"/>
                <w:sz w:val="18"/>
              </w:rPr>
              <w:t>c</w:t>
            </w:r>
            <w:r>
              <w:rPr>
                <w:b/>
                <w:w w:val="99"/>
                <w:sz w:val="18"/>
              </w:rPr>
              <w:t>t</w:t>
            </w:r>
          </w:p>
        </w:tc>
        <w:tc>
          <w:tcPr>
            <w:tcW w:w="466" w:type="dxa"/>
            <w:shd w:val="clear" w:color="auto" w:fill="C5DFB3"/>
            <w:textDirection w:val="btLr"/>
          </w:tcPr>
          <w:p>
            <w:pPr>
              <w:pStyle w:val="TableParagraph"/>
              <w:spacing w:before="71"/>
              <w:ind w:left="-1"/>
              <w:jc w:val="left"/>
              <w:rPr>
                <w:b/>
                <w:sz w:val="18"/>
              </w:rPr>
            </w:pPr>
            <w:r>
              <w:rPr>
                <w:b/>
                <w:w w:val="100"/>
                <w:sz w:val="18"/>
              </w:rPr>
              <w:t>In</w:t>
            </w:r>
            <w:r>
              <w:rPr>
                <w:b/>
                <w:w w:val="99"/>
                <w:sz w:val="18"/>
              </w:rPr>
              <w:t>v</w:t>
            </w:r>
            <w:r>
              <w:rPr>
                <w:b/>
                <w:w w:val="100"/>
                <w:sz w:val="18"/>
              </w:rPr>
              <w:t>.</w:t>
            </w:r>
            <w:r>
              <w:rPr>
                <w:b/>
                <w:sz w:val="18"/>
              </w:rPr>
              <w:t> </w:t>
            </w:r>
            <w:r>
              <w:rPr>
                <w:b/>
                <w:w w:val="99"/>
                <w:sz w:val="18"/>
              </w:rPr>
              <w:t>A</w:t>
            </w:r>
            <w:r>
              <w:rPr>
                <w:b/>
                <w:sz w:val="18"/>
              </w:rPr>
              <w:t> </w:t>
            </w:r>
            <w:r>
              <w:rPr>
                <w:b/>
                <w:w w:val="99"/>
                <w:sz w:val="18"/>
              </w:rPr>
              <w:t>3</w:t>
            </w:r>
            <w:r>
              <w:rPr>
                <w:b/>
                <w:spacing w:val="-2"/>
                <w:sz w:val="18"/>
              </w:rPr>
              <w:t> </w:t>
            </w:r>
            <w:r>
              <w:rPr>
                <w:b/>
                <w:sz w:val="18"/>
              </w:rPr>
              <w:t>perso</w:t>
            </w:r>
            <w:r>
              <w:rPr>
                <w:b/>
                <w:spacing w:val="-2"/>
                <w:w w:val="100"/>
                <w:sz w:val="18"/>
              </w:rPr>
              <w:t>n</w:t>
            </w:r>
            <w:r>
              <w:rPr>
                <w:b/>
                <w:w w:val="99"/>
                <w:sz w:val="18"/>
              </w:rPr>
              <w:t>as</w:t>
            </w:r>
          </w:p>
        </w:tc>
        <w:tc>
          <w:tcPr>
            <w:tcW w:w="466" w:type="dxa"/>
            <w:shd w:val="clear" w:color="auto" w:fill="C5DFB3"/>
            <w:textDirection w:val="btLr"/>
          </w:tcPr>
          <w:p>
            <w:pPr>
              <w:pStyle w:val="TableParagraph"/>
              <w:spacing w:before="71"/>
              <w:ind w:left="-1"/>
              <w:jc w:val="left"/>
              <w:rPr>
                <w:b/>
                <w:sz w:val="18"/>
              </w:rPr>
            </w:pPr>
            <w:r>
              <w:rPr>
                <w:b/>
                <w:spacing w:val="-1"/>
                <w:w w:val="99"/>
                <w:sz w:val="18"/>
              </w:rPr>
              <w:t>C</w:t>
            </w:r>
            <w:r>
              <w:rPr>
                <w:b/>
                <w:sz w:val="18"/>
              </w:rPr>
              <w:t>o</w:t>
            </w:r>
            <w:r>
              <w:rPr>
                <w:b/>
                <w:spacing w:val="1"/>
                <w:sz w:val="18"/>
              </w:rPr>
              <w:t>m</w:t>
            </w:r>
            <w:r>
              <w:rPr>
                <w:b/>
                <w:sz w:val="18"/>
              </w:rPr>
              <w:t>pra</w:t>
            </w:r>
            <w:r>
              <w:rPr>
                <w:b/>
                <w:w w:val="99"/>
                <w:sz w:val="18"/>
              </w:rPr>
              <w:t>s</w:t>
            </w:r>
            <w:r>
              <w:rPr>
                <w:b/>
                <w:sz w:val="18"/>
              </w:rPr>
              <w:t> </w:t>
            </w:r>
            <w:r>
              <w:rPr>
                <w:b/>
                <w:spacing w:val="-2"/>
                <w:w w:val="99"/>
                <w:sz w:val="18"/>
              </w:rPr>
              <w:t>m</w:t>
            </w:r>
            <w:r>
              <w:rPr>
                <w:b/>
                <w:w w:val="99"/>
                <w:sz w:val="18"/>
              </w:rPr>
              <w:t>e</w:t>
            </w:r>
            <w:r>
              <w:rPr>
                <w:b/>
                <w:w w:val="100"/>
                <w:sz w:val="18"/>
              </w:rPr>
              <w:t>no</w:t>
            </w:r>
            <w:r>
              <w:rPr>
                <w:b/>
                <w:w w:val="99"/>
                <w:sz w:val="18"/>
              </w:rPr>
              <w:t>res</w:t>
            </w:r>
          </w:p>
        </w:tc>
        <w:tc>
          <w:tcPr>
            <w:tcW w:w="466" w:type="dxa"/>
            <w:shd w:val="clear" w:color="auto" w:fill="C5DFB3"/>
            <w:textDirection w:val="btLr"/>
          </w:tcPr>
          <w:p>
            <w:pPr>
              <w:pStyle w:val="TableParagraph"/>
              <w:spacing w:before="71"/>
              <w:ind w:left="-1"/>
              <w:jc w:val="left"/>
              <w:rPr>
                <w:b/>
                <w:sz w:val="18"/>
              </w:rPr>
            </w:pPr>
            <w:r>
              <w:rPr>
                <w:b/>
                <w:w w:val="100"/>
                <w:sz w:val="18"/>
              </w:rPr>
              <w:t>Cont</w:t>
            </w:r>
            <w:r>
              <w:rPr>
                <w:b/>
                <w:w w:val="99"/>
                <w:sz w:val="18"/>
              </w:rPr>
              <w:t>rato </w:t>
            </w:r>
            <w:r>
              <w:rPr>
                <w:b/>
                <w:w w:val="100"/>
                <w:sz w:val="18"/>
              </w:rPr>
              <w:t>p</w:t>
            </w:r>
            <w:r>
              <w:rPr>
                <w:b/>
                <w:w w:val="99"/>
                <w:sz w:val="18"/>
              </w:rPr>
              <w:t>e</w:t>
            </w:r>
            <w:r>
              <w:rPr>
                <w:b/>
                <w:w w:val="100"/>
                <w:sz w:val="18"/>
              </w:rPr>
              <w:t>d</w:t>
            </w:r>
            <w:r>
              <w:rPr>
                <w:b/>
                <w:spacing w:val="-2"/>
                <w:w w:val="100"/>
                <w:sz w:val="18"/>
              </w:rPr>
              <w:t>i</w:t>
            </w:r>
            <w:r>
              <w:rPr>
                <w:b/>
                <w:w w:val="100"/>
                <w:sz w:val="18"/>
              </w:rPr>
              <w:t>do</w:t>
            </w:r>
          </w:p>
        </w:tc>
        <w:tc>
          <w:tcPr>
            <w:tcW w:w="463" w:type="dxa"/>
            <w:shd w:val="clear" w:color="auto" w:fill="C5DFB3"/>
            <w:textDirection w:val="btLr"/>
          </w:tcPr>
          <w:p>
            <w:pPr>
              <w:pStyle w:val="TableParagraph"/>
              <w:spacing w:before="71"/>
              <w:ind w:left="-1"/>
              <w:jc w:val="left"/>
              <w:rPr>
                <w:b/>
                <w:sz w:val="18"/>
              </w:rPr>
            </w:pPr>
            <w:r>
              <w:rPr>
                <w:b/>
                <w:w w:val="99"/>
                <w:sz w:val="18"/>
              </w:rPr>
              <w:t>Compra</w:t>
            </w:r>
            <w:r>
              <w:rPr>
                <w:b/>
                <w:w w:val="99"/>
                <w:sz w:val="18"/>
              </w:rPr>
              <w:t>s</w:t>
            </w:r>
            <w:r>
              <w:rPr>
                <w:b/>
                <w:sz w:val="18"/>
              </w:rPr>
              <w:t> </w:t>
            </w:r>
            <w:r>
              <w:rPr>
                <w:b/>
                <w:spacing w:val="-2"/>
                <w:w w:val="99"/>
                <w:sz w:val="18"/>
              </w:rPr>
              <w:t>s</w:t>
            </w:r>
            <w:r>
              <w:rPr>
                <w:b/>
                <w:w w:val="100"/>
                <w:sz w:val="18"/>
              </w:rPr>
              <w:t>olid</w:t>
            </w:r>
            <w:r>
              <w:rPr>
                <w:b/>
                <w:w w:val="99"/>
                <w:sz w:val="18"/>
              </w:rPr>
              <w:t>a</w:t>
            </w:r>
            <w:r>
              <w:rPr>
                <w:b/>
                <w:w w:val="100"/>
                <w:sz w:val="18"/>
              </w:rPr>
              <w:t>r</w:t>
            </w:r>
            <w:r>
              <w:rPr>
                <w:b/>
                <w:spacing w:val="-3"/>
                <w:w w:val="100"/>
                <w:sz w:val="18"/>
              </w:rPr>
              <w:t>i</w:t>
            </w:r>
            <w:r>
              <w:rPr>
                <w:b/>
                <w:w w:val="99"/>
                <w:sz w:val="18"/>
              </w:rPr>
              <w:t>as</w:t>
            </w:r>
          </w:p>
        </w:tc>
        <w:tc>
          <w:tcPr>
            <w:tcW w:w="475" w:type="dxa"/>
            <w:shd w:val="clear" w:color="auto" w:fill="C5DFB3"/>
            <w:textDirection w:val="btLr"/>
          </w:tcPr>
          <w:p>
            <w:pPr>
              <w:pStyle w:val="TableParagraph"/>
              <w:spacing w:before="83"/>
              <w:ind w:left="-1"/>
              <w:jc w:val="left"/>
              <w:rPr>
                <w:b/>
                <w:sz w:val="18"/>
              </w:rPr>
            </w:pPr>
            <w:r>
              <w:rPr>
                <w:b/>
                <w:w w:val="100"/>
                <w:sz w:val="18"/>
              </w:rPr>
              <w:t>To</w:t>
            </w:r>
            <w:r>
              <w:rPr>
                <w:b/>
                <w:w w:val="99"/>
                <w:sz w:val="18"/>
              </w:rPr>
              <w:t>ta</w:t>
            </w:r>
            <w:r>
              <w:rPr>
                <w:b/>
                <w:w w:val="100"/>
                <w:sz w:val="18"/>
              </w:rPr>
              <w:t>l</w:t>
            </w:r>
          </w:p>
        </w:tc>
      </w:tr>
      <w:tr>
        <w:trPr>
          <w:trHeight w:val="322" w:hRule="exact"/>
        </w:trPr>
        <w:tc>
          <w:tcPr>
            <w:tcW w:w="2950" w:type="dxa"/>
            <w:tcBorders>
              <w:left w:val="single" w:sz="8" w:space="0" w:color="000000"/>
            </w:tcBorders>
          </w:tcPr>
          <w:p>
            <w:pPr>
              <w:pStyle w:val="TableParagraph"/>
              <w:spacing w:line="201" w:lineRule="exact"/>
              <w:ind w:left="62"/>
              <w:jc w:val="left"/>
              <w:rPr>
                <w:b/>
                <w:sz w:val="18"/>
              </w:rPr>
            </w:pPr>
            <w:r>
              <w:rPr>
                <w:b/>
                <w:color w:val="333333"/>
                <w:sz w:val="18"/>
              </w:rPr>
              <w:t>ACAMBAY</w:t>
            </w:r>
          </w:p>
        </w:tc>
        <w:tc>
          <w:tcPr>
            <w:tcW w:w="589" w:type="dxa"/>
          </w:tcPr>
          <w:p>
            <w:pPr>
              <w:pStyle w:val="TableParagraph"/>
              <w:spacing w:line="206" w:lineRule="exact"/>
              <w:ind w:left="2"/>
              <w:rPr>
                <w:sz w:val="18"/>
              </w:rPr>
            </w:pPr>
            <w:r>
              <w:rPr>
                <w:w w:val="99"/>
                <w:sz w:val="18"/>
              </w:rPr>
              <w:t>0</w:t>
            </w:r>
          </w:p>
        </w:tc>
        <w:tc>
          <w:tcPr>
            <w:tcW w:w="586" w:type="dxa"/>
          </w:tcPr>
          <w:p>
            <w:pPr>
              <w:pStyle w:val="TableParagraph"/>
              <w:spacing w:line="206" w:lineRule="exac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184"/>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3" w:type="dxa"/>
          </w:tcPr>
          <w:p>
            <w:pPr>
              <w:pStyle w:val="TableParagraph"/>
              <w:spacing w:line="206" w:lineRule="exact"/>
              <w:ind w:left="1"/>
              <w:rPr>
                <w:sz w:val="18"/>
              </w:rPr>
            </w:pPr>
            <w:r>
              <w:rPr>
                <w:w w:val="99"/>
                <w:sz w:val="18"/>
              </w:rPr>
              <w:t>0</w:t>
            </w:r>
          </w:p>
        </w:tc>
        <w:tc>
          <w:tcPr>
            <w:tcW w:w="475" w:type="dxa"/>
          </w:tcPr>
          <w:p>
            <w:pPr>
              <w:pStyle w:val="TableParagraph"/>
              <w:spacing w:line="206" w:lineRule="exact"/>
              <w:ind w:left="184"/>
              <w:jc w:val="left"/>
              <w:rPr>
                <w:sz w:val="18"/>
              </w:rPr>
            </w:pPr>
            <w:r>
              <w:rPr>
                <w:w w:val="99"/>
                <w:sz w:val="18"/>
              </w:rPr>
              <w:t>1</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ind w:left="4"/>
              <w:rPr>
                <w:b/>
                <w:sz w:val="18"/>
              </w:rPr>
            </w:pPr>
            <w:r>
              <w:rPr>
                <w:b/>
                <w:w w:val="99"/>
                <w:sz w:val="18"/>
              </w:rPr>
              <w:t>2</w:t>
            </w:r>
          </w:p>
        </w:tc>
      </w:tr>
      <w:tr>
        <w:trPr>
          <w:trHeight w:val="319" w:hRule="exact"/>
        </w:trPr>
        <w:tc>
          <w:tcPr>
            <w:tcW w:w="2950" w:type="dxa"/>
            <w:tcBorders>
              <w:left w:val="single" w:sz="8" w:space="0" w:color="000000"/>
            </w:tcBorders>
          </w:tcPr>
          <w:p>
            <w:pPr>
              <w:pStyle w:val="TableParagraph"/>
              <w:spacing w:line="201" w:lineRule="exact"/>
              <w:ind w:left="62"/>
              <w:jc w:val="left"/>
              <w:rPr>
                <w:b/>
                <w:sz w:val="18"/>
              </w:rPr>
            </w:pPr>
            <w:r>
              <w:rPr>
                <w:b/>
                <w:color w:val="333333"/>
                <w:sz w:val="18"/>
              </w:rPr>
              <w:t>ACOLMAN</w:t>
            </w:r>
          </w:p>
        </w:tc>
        <w:tc>
          <w:tcPr>
            <w:tcW w:w="589" w:type="dxa"/>
          </w:tcPr>
          <w:p>
            <w:pPr>
              <w:pStyle w:val="TableParagraph"/>
              <w:spacing w:line="206" w:lineRule="exact"/>
              <w:ind w:left="2"/>
              <w:rPr>
                <w:sz w:val="18"/>
              </w:rPr>
            </w:pPr>
            <w:r>
              <w:rPr>
                <w:w w:val="99"/>
                <w:sz w:val="18"/>
              </w:rPr>
              <w:t>0</w:t>
            </w:r>
          </w:p>
        </w:tc>
        <w:tc>
          <w:tcPr>
            <w:tcW w:w="586" w:type="dxa"/>
          </w:tcPr>
          <w:p>
            <w:pPr>
              <w:pStyle w:val="TableParagraph"/>
              <w:spacing w:line="206" w:lineRule="exac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184"/>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3" w:type="dxa"/>
          </w:tcPr>
          <w:p>
            <w:pPr>
              <w:pStyle w:val="TableParagraph"/>
              <w:spacing w:line="206" w:lineRule="exact"/>
              <w:ind w:left="1"/>
              <w:rPr>
                <w:sz w:val="18"/>
              </w:rPr>
            </w:pPr>
            <w:r>
              <w:rPr>
                <w:w w:val="99"/>
                <w:sz w:val="18"/>
              </w:rPr>
              <w:t>4</w:t>
            </w:r>
          </w:p>
        </w:tc>
        <w:tc>
          <w:tcPr>
            <w:tcW w:w="475" w:type="dxa"/>
          </w:tcPr>
          <w:p>
            <w:pPr>
              <w:pStyle w:val="TableParagraph"/>
              <w:spacing w:line="206" w:lineRule="exact"/>
              <w:ind w:left="184"/>
              <w:jc w:val="lef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ind w:left="4"/>
              <w:rPr>
                <w:b/>
                <w:sz w:val="18"/>
              </w:rPr>
            </w:pPr>
            <w:r>
              <w:rPr>
                <w:b/>
                <w:w w:val="99"/>
                <w:sz w:val="18"/>
              </w:rPr>
              <w:t>4</w:t>
            </w:r>
          </w:p>
        </w:tc>
      </w:tr>
      <w:tr>
        <w:trPr>
          <w:trHeight w:val="322" w:hRule="exact"/>
        </w:trPr>
        <w:tc>
          <w:tcPr>
            <w:tcW w:w="2950" w:type="dxa"/>
            <w:tcBorders>
              <w:left w:val="single" w:sz="8" w:space="0" w:color="000000"/>
            </w:tcBorders>
          </w:tcPr>
          <w:p>
            <w:pPr>
              <w:pStyle w:val="TableParagraph"/>
              <w:spacing w:line="201" w:lineRule="exact"/>
              <w:ind w:left="62"/>
              <w:jc w:val="left"/>
              <w:rPr>
                <w:b/>
                <w:sz w:val="18"/>
              </w:rPr>
            </w:pPr>
            <w:r>
              <w:rPr>
                <w:b/>
                <w:color w:val="333333"/>
                <w:sz w:val="18"/>
              </w:rPr>
              <w:t>ACULCO</w:t>
            </w:r>
          </w:p>
        </w:tc>
        <w:tc>
          <w:tcPr>
            <w:tcW w:w="589" w:type="dxa"/>
          </w:tcPr>
          <w:p>
            <w:pPr>
              <w:pStyle w:val="TableParagraph"/>
              <w:spacing w:line="206" w:lineRule="exact"/>
              <w:ind w:left="2"/>
              <w:rPr>
                <w:sz w:val="18"/>
              </w:rPr>
            </w:pPr>
            <w:r>
              <w:rPr>
                <w:w w:val="99"/>
                <w:sz w:val="18"/>
              </w:rPr>
              <w:t>0</w:t>
            </w:r>
          </w:p>
        </w:tc>
        <w:tc>
          <w:tcPr>
            <w:tcW w:w="586" w:type="dxa"/>
          </w:tcPr>
          <w:p>
            <w:pPr>
              <w:pStyle w:val="TableParagraph"/>
              <w:spacing w:line="206" w:lineRule="exac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184"/>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left="175"/>
              <w:jc w:val="left"/>
              <w:rPr>
                <w:sz w:val="18"/>
              </w:rPr>
            </w:pPr>
            <w:r>
              <w:rPr>
                <w:w w:val="99"/>
                <w:sz w:val="18"/>
              </w:rPr>
              <w:t>1</w:t>
            </w:r>
          </w:p>
        </w:tc>
        <w:tc>
          <w:tcPr>
            <w:tcW w:w="473" w:type="dxa"/>
          </w:tcPr>
          <w:p>
            <w:pPr>
              <w:pStyle w:val="TableParagraph"/>
              <w:spacing w:line="206" w:lineRule="exact"/>
              <w:ind w:left="1"/>
              <w:rPr>
                <w:sz w:val="18"/>
              </w:rPr>
            </w:pPr>
            <w:r>
              <w:rPr>
                <w:w w:val="99"/>
                <w:sz w:val="18"/>
              </w:rPr>
              <w:t>0</w:t>
            </w:r>
          </w:p>
        </w:tc>
        <w:tc>
          <w:tcPr>
            <w:tcW w:w="475" w:type="dxa"/>
          </w:tcPr>
          <w:p>
            <w:pPr>
              <w:pStyle w:val="TableParagraph"/>
              <w:spacing w:line="206" w:lineRule="exact"/>
              <w:ind w:left="184"/>
              <w:jc w:val="lef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ind w:left="4"/>
              <w:rPr>
                <w:b/>
                <w:sz w:val="18"/>
              </w:rPr>
            </w:pPr>
            <w:r>
              <w:rPr>
                <w:b/>
                <w:w w:val="99"/>
                <w:sz w:val="18"/>
              </w:rPr>
              <w:t>1</w:t>
            </w:r>
          </w:p>
        </w:tc>
      </w:tr>
      <w:tr>
        <w:trPr>
          <w:trHeight w:val="319" w:hRule="exact"/>
        </w:trPr>
        <w:tc>
          <w:tcPr>
            <w:tcW w:w="2950" w:type="dxa"/>
            <w:tcBorders>
              <w:left w:val="single" w:sz="8" w:space="0" w:color="000000"/>
            </w:tcBorders>
          </w:tcPr>
          <w:p>
            <w:pPr>
              <w:pStyle w:val="TableParagraph"/>
              <w:spacing w:line="201" w:lineRule="exact"/>
              <w:ind w:left="62"/>
              <w:jc w:val="left"/>
              <w:rPr>
                <w:b/>
                <w:sz w:val="18"/>
              </w:rPr>
            </w:pPr>
            <w:r>
              <w:rPr>
                <w:b/>
                <w:color w:val="333333"/>
                <w:sz w:val="18"/>
              </w:rPr>
              <w:t>ALMOLOYA DE ALQUISIRAS</w:t>
            </w:r>
          </w:p>
        </w:tc>
        <w:tc>
          <w:tcPr>
            <w:tcW w:w="589" w:type="dxa"/>
          </w:tcPr>
          <w:p>
            <w:pPr>
              <w:pStyle w:val="TableParagraph"/>
              <w:spacing w:line="206" w:lineRule="exact"/>
              <w:ind w:left="2"/>
              <w:rPr>
                <w:sz w:val="18"/>
              </w:rPr>
            </w:pPr>
            <w:r>
              <w:rPr>
                <w:w w:val="99"/>
                <w:sz w:val="18"/>
              </w:rPr>
              <w:t>0</w:t>
            </w:r>
          </w:p>
        </w:tc>
        <w:tc>
          <w:tcPr>
            <w:tcW w:w="586" w:type="dxa"/>
          </w:tcPr>
          <w:p>
            <w:pPr>
              <w:pStyle w:val="TableParagraph"/>
              <w:spacing w:line="206" w:lineRule="exac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184"/>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3" w:type="dxa"/>
          </w:tcPr>
          <w:p>
            <w:pPr>
              <w:pStyle w:val="TableParagraph"/>
              <w:spacing w:line="206" w:lineRule="exact"/>
              <w:ind w:left="1"/>
              <w:rPr>
                <w:sz w:val="18"/>
              </w:rPr>
            </w:pPr>
            <w:r>
              <w:rPr>
                <w:w w:val="99"/>
                <w:sz w:val="18"/>
              </w:rPr>
              <w:t>0</w:t>
            </w:r>
          </w:p>
        </w:tc>
        <w:tc>
          <w:tcPr>
            <w:tcW w:w="475" w:type="dxa"/>
          </w:tcPr>
          <w:p>
            <w:pPr>
              <w:pStyle w:val="TableParagraph"/>
              <w:spacing w:line="206" w:lineRule="exact"/>
              <w:ind w:left="184"/>
              <w:jc w:val="lef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22" w:hRule="exact"/>
        </w:trPr>
        <w:tc>
          <w:tcPr>
            <w:tcW w:w="2950" w:type="dxa"/>
            <w:tcBorders>
              <w:left w:val="single" w:sz="8" w:space="0" w:color="000000"/>
            </w:tcBorders>
          </w:tcPr>
          <w:p>
            <w:pPr>
              <w:pStyle w:val="TableParagraph"/>
              <w:spacing w:line="204" w:lineRule="exact"/>
              <w:ind w:left="62"/>
              <w:jc w:val="left"/>
              <w:rPr>
                <w:b/>
                <w:sz w:val="18"/>
              </w:rPr>
            </w:pPr>
            <w:r>
              <w:rPr>
                <w:b/>
                <w:color w:val="333333"/>
                <w:sz w:val="18"/>
              </w:rPr>
              <w:t>ALMOLOYA DE JUAREZ</w:t>
            </w:r>
          </w:p>
        </w:tc>
        <w:tc>
          <w:tcPr>
            <w:tcW w:w="589" w:type="dxa"/>
          </w:tcPr>
          <w:p>
            <w:pPr>
              <w:pStyle w:val="TableParagraph"/>
              <w:spacing w:before="1"/>
              <w:ind w:left="2"/>
              <w:rPr>
                <w:sz w:val="18"/>
              </w:rPr>
            </w:pPr>
            <w:r>
              <w:rPr>
                <w:w w:val="99"/>
                <w:sz w:val="18"/>
              </w:rPr>
              <w:t>0</w:t>
            </w:r>
          </w:p>
        </w:tc>
        <w:tc>
          <w:tcPr>
            <w:tcW w:w="586" w:type="dxa"/>
          </w:tcPr>
          <w:p>
            <w:pPr>
              <w:pStyle w:val="TableParagraph"/>
              <w:spacing w:before="1"/>
              <w:rPr>
                <w:sz w:val="18"/>
              </w:rPr>
            </w:pPr>
            <w:r>
              <w:rPr>
                <w:w w:val="99"/>
                <w:sz w:val="18"/>
              </w:rPr>
              <w:t>0</w:t>
            </w:r>
          </w:p>
        </w:tc>
        <w:tc>
          <w:tcPr>
            <w:tcW w:w="466" w:type="dxa"/>
          </w:tcPr>
          <w:p>
            <w:pPr>
              <w:pStyle w:val="TableParagraph"/>
              <w:spacing w:before="1"/>
              <w:rPr>
                <w:sz w:val="18"/>
              </w:rPr>
            </w:pPr>
            <w:r>
              <w:rPr>
                <w:w w:val="99"/>
                <w:sz w:val="18"/>
              </w:rPr>
              <w:t>0</w:t>
            </w:r>
          </w:p>
        </w:tc>
        <w:tc>
          <w:tcPr>
            <w:tcW w:w="475" w:type="dxa"/>
          </w:tcPr>
          <w:p>
            <w:pPr>
              <w:pStyle w:val="TableParagraph"/>
              <w:spacing w:before="1"/>
              <w:ind w:left="184"/>
              <w:jc w:val="left"/>
              <w:rPr>
                <w:sz w:val="18"/>
              </w:rPr>
            </w:pPr>
            <w:r>
              <w:rPr>
                <w:w w:val="99"/>
                <w:sz w:val="18"/>
              </w:rPr>
              <w:t>0</w:t>
            </w:r>
          </w:p>
        </w:tc>
        <w:tc>
          <w:tcPr>
            <w:tcW w:w="466" w:type="dxa"/>
          </w:tcPr>
          <w:p>
            <w:pPr>
              <w:pStyle w:val="TableParagraph"/>
              <w:spacing w:before="1"/>
              <w:ind w:left="177"/>
              <w:jc w:val="left"/>
              <w:rPr>
                <w:sz w:val="18"/>
              </w:rPr>
            </w:pPr>
            <w:r>
              <w:rPr>
                <w:w w:val="99"/>
                <w:sz w:val="18"/>
              </w:rPr>
              <w:t>0</w:t>
            </w:r>
          </w:p>
        </w:tc>
        <w:tc>
          <w:tcPr>
            <w:tcW w:w="466" w:type="dxa"/>
          </w:tcPr>
          <w:p>
            <w:pPr>
              <w:pStyle w:val="TableParagraph"/>
              <w:spacing w:before="1"/>
              <w:ind w:right="3"/>
              <w:rPr>
                <w:sz w:val="18"/>
              </w:rPr>
            </w:pPr>
            <w:r>
              <w:rPr>
                <w:w w:val="99"/>
                <w:sz w:val="18"/>
              </w:rPr>
              <w:t>0</w:t>
            </w:r>
          </w:p>
        </w:tc>
        <w:tc>
          <w:tcPr>
            <w:tcW w:w="463" w:type="dxa"/>
          </w:tcPr>
          <w:p>
            <w:pPr>
              <w:pStyle w:val="TableParagraph"/>
              <w:spacing w:before="1"/>
              <w:ind w:right="176"/>
              <w:jc w:val="right"/>
              <w:rPr>
                <w:sz w:val="18"/>
              </w:rPr>
            </w:pPr>
            <w:r>
              <w:rPr>
                <w:w w:val="99"/>
                <w:sz w:val="18"/>
              </w:rPr>
              <w:t>0</w:t>
            </w:r>
          </w:p>
        </w:tc>
        <w:tc>
          <w:tcPr>
            <w:tcW w:w="466" w:type="dxa"/>
          </w:tcPr>
          <w:p>
            <w:pPr>
              <w:pStyle w:val="TableParagraph"/>
              <w:spacing w:before="1"/>
              <w:rPr>
                <w:sz w:val="18"/>
              </w:rPr>
            </w:pPr>
            <w:r>
              <w:rPr>
                <w:w w:val="99"/>
                <w:sz w:val="18"/>
              </w:rPr>
              <w:t>0</w:t>
            </w:r>
          </w:p>
        </w:tc>
        <w:tc>
          <w:tcPr>
            <w:tcW w:w="475" w:type="dxa"/>
          </w:tcPr>
          <w:p>
            <w:pPr>
              <w:pStyle w:val="TableParagraph"/>
              <w:spacing w:before="1"/>
              <w:ind w:left="4"/>
              <w:rPr>
                <w:sz w:val="18"/>
              </w:rPr>
            </w:pPr>
            <w:r>
              <w:rPr>
                <w:w w:val="99"/>
                <w:sz w:val="18"/>
              </w:rPr>
              <w:t>0</w:t>
            </w:r>
          </w:p>
        </w:tc>
        <w:tc>
          <w:tcPr>
            <w:tcW w:w="466" w:type="dxa"/>
          </w:tcPr>
          <w:p>
            <w:pPr>
              <w:pStyle w:val="TableParagraph"/>
              <w:spacing w:before="1"/>
              <w:rPr>
                <w:sz w:val="18"/>
              </w:rPr>
            </w:pPr>
            <w:r>
              <w:rPr>
                <w:w w:val="99"/>
                <w:sz w:val="18"/>
              </w:rPr>
              <w:t>0</w:t>
            </w:r>
          </w:p>
        </w:tc>
        <w:tc>
          <w:tcPr>
            <w:tcW w:w="466" w:type="dxa"/>
          </w:tcPr>
          <w:p>
            <w:pPr>
              <w:pStyle w:val="TableParagraph"/>
              <w:spacing w:before="1"/>
              <w:ind w:left="175"/>
              <w:jc w:val="left"/>
              <w:rPr>
                <w:sz w:val="18"/>
              </w:rPr>
            </w:pPr>
            <w:r>
              <w:rPr>
                <w:w w:val="99"/>
                <w:sz w:val="18"/>
              </w:rPr>
              <w:t>5</w:t>
            </w:r>
          </w:p>
        </w:tc>
        <w:tc>
          <w:tcPr>
            <w:tcW w:w="473" w:type="dxa"/>
          </w:tcPr>
          <w:p>
            <w:pPr>
              <w:pStyle w:val="TableParagraph"/>
              <w:spacing w:before="1"/>
              <w:ind w:left="62" w:right="60"/>
              <w:rPr>
                <w:sz w:val="18"/>
              </w:rPr>
            </w:pPr>
            <w:r>
              <w:rPr>
                <w:sz w:val="18"/>
              </w:rPr>
              <w:t>94</w:t>
            </w:r>
          </w:p>
        </w:tc>
        <w:tc>
          <w:tcPr>
            <w:tcW w:w="475" w:type="dxa"/>
          </w:tcPr>
          <w:p>
            <w:pPr>
              <w:pStyle w:val="TableParagraph"/>
              <w:spacing w:before="1"/>
              <w:ind w:left="184"/>
              <w:jc w:val="left"/>
              <w:rPr>
                <w:sz w:val="18"/>
              </w:rPr>
            </w:pPr>
            <w:r>
              <w:rPr>
                <w:w w:val="99"/>
                <w:sz w:val="18"/>
              </w:rPr>
              <w:t>1</w:t>
            </w:r>
          </w:p>
        </w:tc>
        <w:tc>
          <w:tcPr>
            <w:tcW w:w="466" w:type="dxa"/>
          </w:tcPr>
          <w:p>
            <w:pPr>
              <w:pStyle w:val="TableParagraph"/>
              <w:spacing w:before="1"/>
              <w:ind w:right="176"/>
              <w:jc w:val="right"/>
              <w:rPr>
                <w:sz w:val="18"/>
              </w:rPr>
            </w:pPr>
            <w:r>
              <w:rPr>
                <w:w w:val="99"/>
                <w:sz w:val="18"/>
              </w:rPr>
              <w:t>8</w:t>
            </w:r>
          </w:p>
        </w:tc>
        <w:tc>
          <w:tcPr>
            <w:tcW w:w="466" w:type="dxa"/>
          </w:tcPr>
          <w:p>
            <w:pPr>
              <w:pStyle w:val="TableParagraph"/>
              <w:spacing w:before="1"/>
              <w:ind w:right="1"/>
              <w:rPr>
                <w:sz w:val="18"/>
              </w:rPr>
            </w:pPr>
            <w:r>
              <w:rPr>
                <w:w w:val="99"/>
                <w:sz w:val="18"/>
              </w:rPr>
              <w:t>0</w:t>
            </w:r>
          </w:p>
        </w:tc>
        <w:tc>
          <w:tcPr>
            <w:tcW w:w="466" w:type="dxa"/>
          </w:tcPr>
          <w:p>
            <w:pPr>
              <w:pStyle w:val="TableParagraph"/>
              <w:spacing w:before="1"/>
              <w:ind w:right="3"/>
              <w:rPr>
                <w:sz w:val="18"/>
              </w:rPr>
            </w:pPr>
            <w:r>
              <w:rPr>
                <w:w w:val="99"/>
                <w:sz w:val="18"/>
              </w:rPr>
              <w:t>0</w:t>
            </w:r>
          </w:p>
        </w:tc>
        <w:tc>
          <w:tcPr>
            <w:tcW w:w="463" w:type="dxa"/>
          </w:tcPr>
          <w:p>
            <w:pPr>
              <w:pStyle w:val="TableParagraph"/>
              <w:spacing w:before="1"/>
              <w:ind w:left="175"/>
              <w:jc w:val="left"/>
              <w:rPr>
                <w:sz w:val="18"/>
              </w:rPr>
            </w:pPr>
            <w:r>
              <w:rPr>
                <w:w w:val="99"/>
                <w:sz w:val="18"/>
              </w:rPr>
              <w:t>0</w:t>
            </w:r>
          </w:p>
        </w:tc>
        <w:tc>
          <w:tcPr>
            <w:tcW w:w="475" w:type="dxa"/>
          </w:tcPr>
          <w:p>
            <w:pPr>
              <w:pStyle w:val="TableParagraph"/>
              <w:spacing w:line="204" w:lineRule="exact"/>
              <w:ind w:left="62" w:right="58"/>
              <w:rPr>
                <w:b/>
                <w:sz w:val="18"/>
              </w:rPr>
            </w:pPr>
            <w:r>
              <w:rPr>
                <w:b/>
                <w:sz w:val="18"/>
              </w:rPr>
              <w:t>108</w:t>
            </w:r>
          </w:p>
        </w:tc>
      </w:tr>
      <w:tr>
        <w:trPr>
          <w:trHeight w:val="319" w:hRule="exact"/>
        </w:trPr>
        <w:tc>
          <w:tcPr>
            <w:tcW w:w="2950" w:type="dxa"/>
            <w:tcBorders>
              <w:left w:val="single" w:sz="8" w:space="0" w:color="000000"/>
            </w:tcBorders>
          </w:tcPr>
          <w:p>
            <w:pPr>
              <w:pStyle w:val="TableParagraph"/>
              <w:spacing w:line="201" w:lineRule="exact"/>
              <w:ind w:left="62"/>
              <w:jc w:val="left"/>
              <w:rPr>
                <w:b/>
                <w:sz w:val="18"/>
              </w:rPr>
            </w:pPr>
            <w:r>
              <w:rPr>
                <w:b/>
                <w:color w:val="333333"/>
                <w:sz w:val="18"/>
              </w:rPr>
              <w:t>ALMOLOYA DEL RIO</w:t>
            </w:r>
          </w:p>
        </w:tc>
        <w:tc>
          <w:tcPr>
            <w:tcW w:w="589" w:type="dxa"/>
          </w:tcPr>
          <w:p>
            <w:pPr>
              <w:pStyle w:val="TableParagraph"/>
              <w:spacing w:line="206" w:lineRule="exact"/>
              <w:ind w:left="2"/>
              <w:rPr>
                <w:sz w:val="18"/>
              </w:rPr>
            </w:pPr>
            <w:r>
              <w:rPr>
                <w:w w:val="99"/>
                <w:sz w:val="18"/>
              </w:rPr>
              <w:t>0</w:t>
            </w:r>
          </w:p>
        </w:tc>
        <w:tc>
          <w:tcPr>
            <w:tcW w:w="586" w:type="dxa"/>
          </w:tcPr>
          <w:p>
            <w:pPr>
              <w:pStyle w:val="TableParagraph"/>
              <w:spacing w:line="206" w:lineRule="exac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184"/>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3" w:type="dxa"/>
          </w:tcPr>
          <w:p>
            <w:pPr>
              <w:pStyle w:val="TableParagraph"/>
              <w:spacing w:line="206" w:lineRule="exact"/>
              <w:ind w:left="1"/>
              <w:rPr>
                <w:sz w:val="18"/>
              </w:rPr>
            </w:pPr>
            <w:r>
              <w:rPr>
                <w:w w:val="99"/>
                <w:sz w:val="18"/>
              </w:rPr>
              <w:t>0</w:t>
            </w:r>
          </w:p>
        </w:tc>
        <w:tc>
          <w:tcPr>
            <w:tcW w:w="475" w:type="dxa"/>
          </w:tcPr>
          <w:p>
            <w:pPr>
              <w:pStyle w:val="TableParagraph"/>
              <w:spacing w:line="206" w:lineRule="exact"/>
              <w:ind w:left="184"/>
              <w:jc w:val="lef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22" w:hRule="exact"/>
        </w:trPr>
        <w:tc>
          <w:tcPr>
            <w:tcW w:w="2950" w:type="dxa"/>
            <w:tcBorders>
              <w:left w:val="single" w:sz="8" w:space="0" w:color="000000"/>
            </w:tcBorders>
          </w:tcPr>
          <w:p>
            <w:pPr>
              <w:pStyle w:val="TableParagraph"/>
              <w:spacing w:line="204" w:lineRule="exact"/>
              <w:ind w:left="62"/>
              <w:jc w:val="left"/>
              <w:rPr>
                <w:b/>
                <w:sz w:val="18"/>
              </w:rPr>
            </w:pPr>
            <w:r>
              <w:rPr>
                <w:b/>
                <w:color w:val="333333"/>
                <w:sz w:val="18"/>
              </w:rPr>
              <w:t>AMANALCO</w:t>
            </w:r>
          </w:p>
        </w:tc>
        <w:tc>
          <w:tcPr>
            <w:tcW w:w="589" w:type="dxa"/>
          </w:tcPr>
          <w:p>
            <w:pPr>
              <w:pStyle w:val="TableParagraph"/>
              <w:spacing w:before="1"/>
              <w:ind w:left="2"/>
              <w:rPr>
                <w:sz w:val="18"/>
              </w:rPr>
            </w:pPr>
            <w:r>
              <w:rPr>
                <w:w w:val="99"/>
                <w:sz w:val="18"/>
              </w:rPr>
              <w:t>0</w:t>
            </w:r>
          </w:p>
        </w:tc>
        <w:tc>
          <w:tcPr>
            <w:tcW w:w="586" w:type="dxa"/>
          </w:tcPr>
          <w:p>
            <w:pPr>
              <w:pStyle w:val="TableParagraph"/>
              <w:spacing w:before="1"/>
              <w:rPr>
                <w:sz w:val="18"/>
              </w:rPr>
            </w:pPr>
            <w:r>
              <w:rPr>
                <w:w w:val="99"/>
                <w:sz w:val="18"/>
              </w:rPr>
              <w:t>0</w:t>
            </w:r>
          </w:p>
        </w:tc>
        <w:tc>
          <w:tcPr>
            <w:tcW w:w="466" w:type="dxa"/>
          </w:tcPr>
          <w:p>
            <w:pPr>
              <w:pStyle w:val="TableParagraph"/>
              <w:spacing w:before="1"/>
              <w:rPr>
                <w:sz w:val="18"/>
              </w:rPr>
            </w:pPr>
            <w:r>
              <w:rPr>
                <w:w w:val="99"/>
                <w:sz w:val="18"/>
              </w:rPr>
              <w:t>0</w:t>
            </w:r>
          </w:p>
        </w:tc>
        <w:tc>
          <w:tcPr>
            <w:tcW w:w="475" w:type="dxa"/>
          </w:tcPr>
          <w:p>
            <w:pPr>
              <w:pStyle w:val="TableParagraph"/>
              <w:spacing w:before="1"/>
              <w:ind w:left="184"/>
              <w:jc w:val="left"/>
              <w:rPr>
                <w:sz w:val="18"/>
              </w:rPr>
            </w:pPr>
            <w:r>
              <w:rPr>
                <w:w w:val="99"/>
                <w:sz w:val="18"/>
              </w:rPr>
              <w:t>0</w:t>
            </w:r>
          </w:p>
        </w:tc>
        <w:tc>
          <w:tcPr>
            <w:tcW w:w="466" w:type="dxa"/>
          </w:tcPr>
          <w:p>
            <w:pPr>
              <w:pStyle w:val="TableParagraph"/>
              <w:spacing w:before="1"/>
              <w:ind w:left="177"/>
              <w:jc w:val="left"/>
              <w:rPr>
                <w:sz w:val="18"/>
              </w:rPr>
            </w:pPr>
            <w:r>
              <w:rPr>
                <w:w w:val="99"/>
                <w:sz w:val="18"/>
              </w:rPr>
              <w:t>0</w:t>
            </w:r>
          </w:p>
        </w:tc>
        <w:tc>
          <w:tcPr>
            <w:tcW w:w="466" w:type="dxa"/>
          </w:tcPr>
          <w:p>
            <w:pPr>
              <w:pStyle w:val="TableParagraph"/>
              <w:spacing w:before="1"/>
              <w:ind w:right="3"/>
              <w:rPr>
                <w:sz w:val="18"/>
              </w:rPr>
            </w:pPr>
            <w:r>
              <w:rPr>
                <w:w w:val="99"/>
                <w:sz w:val="18"/>
              </w:rPr>
              <w:t>0</w:t>
            </w:r>
          </w:p>
        </w:tc>
        <w:tc>
          <w:tcPr>
            <w:tcW w:w="463" w:type="dxa"/>
          </w:tcPr>
          <w:p>
            <w:pPr>
              <w:pStyle w:val="TableParagraph"/>
              <w:spacing w:before="1"/>
              <w:ind w:right="176"/>
              <w:jc w:val="right"/>
              <w:rPr>
                <w:sz w:val="18"/>
              </w:rPr>
            </w:pPr>
            <w:r>
              <w:rPr>
                <w:w w:val="99"/>
                <w:sz w:val="18"/>
              </w:rPr>
              <w:t>0</w:t>
            </w:r>
          </w:p>
        </w:tc>
        <w:tc>
          <w:tcPr>
            <w:tcW w:w="466" w:type="dxa"/>
          </w:tcPr>
          <w:p>
            <w:pPr>
              <w:pStyle w:val="TableParagraph"/>
              <w:spacing w:before="1"/>
              <w:rPr>
                <w:sz w:val="18"/>
              </w:rPr>
            </w:pPr>
            <w:r>
              <w:rPr>
                <w:w w:val="99"/>
                <w:sz w:val="18"/>
              </w:rPr>
              <w:t>0</w:t>
            </w:r>
          </w:p>
        </w:tc>
        <w:tc>
          <w:tcPr>
            <w:tcW w:w="475" w:type="dxa"/>
          </w:tcPr>
          <w:p>
            <w:pPr>
              <w:pStyle w:val="TableParagraph"/>
              <w:spacing w:before="1"/>
              <w:ind w:left="4"/>
              <w:rPr>
                <w:sz w:val="18"/>
              </w:rPr>
            </w:pPr>
            <w:r>
              <w:rPr>
                <w:w w:val="99"/>
                <w:sz w:val="18"/>
              </w:rPr>
              <w:t>0</w:t>
            </w:r>
          </w:p>
        </w:tc>
        <w:tc>
          <w:tcPr>
            <w:tcW w:w="466" w:type="dxa"/>
          </w:tcPr>
          <w:p>
            <w:pPr>
              <w:pStyle w:val="TableParagraph"/>
              <w:spacing w:before="1"/>
              <w:rPr>
                <w:sz w:val="18"/>
              </w:rPr>
            </w:pPr>
            <w:r>
              <w:rPr>
                <w:w w:val="99"/>
                <w:sz w:val="18"/>
              </w:rPr>
              <w:t>1</w:t>
            </w:r>
          </w:p>
        </w:tc>
        <w:tc>
          <w:tcPr>
            <w:tcW w:w="466" w:type="dxa"/>
          </w:tcPr>
          <w:p>
            <w:pPr>
              <w:pStyle w:val="TableParagraph"/>
              <w:spacing w:before="1"/>
              <w:ind w:left="175"/>
              <w:jc w:val="left"/>
              <w:rPr>
                <w:sz w:val="18"/>
              </w:rPr>
            </w:pPr>
            <w:r>
              <w:rPr>
                <w:w w:val="99"/>
                <w:sz w:val="18"/>
              </w:rPr>
              <w:t>0</w:t>
            </w:r>
          </w:p>
        </w:tc>
        <w:tc>
          <w:tcPr>
            <w:tcW w:w="473" w:type="dxa"/>
          </w:tcPr>
          <w:p>
            <w:pPr>
              <w:pStyle w:val="TableParagraph"/>
              <w:spacing w:before="1"/>
              <w:ind w:left="1"/>
              <w:rPr>
                <w:sz w:val="18"/>
              </w:rPr>
            </w:pPr>
            <w:r>
              <w:rPr>
                <w:w w:val="99"/>
                <w:sz w:val="18"/>
              </w:rPr>
              <w:t>0</w:t>
            </w:r>
          </w:p>
        </w:tc>
        <w:tc>
          <w:tcPr>
            <w:tcW w:w="475" w:type="dxa"/>
          </w:tcPr>
          <w:p>
            <w:pPr>
              <w:pStyle w:val="TableParagraph"/>
              <w:spacing w:before="1"/>
              <w:ind w:left="184"/>
              <w:jc w:val="left"/>
              <w:rPr>
                <w:sz w:val="18"/>
              </w:rPr>
            </w:pPr>
            <w:r>
              <w:rPr>
                <w:w w:val="99"/>
                <w:sz w:val="18"/>
              </w:rPr>
              <w:t>0</w:t>
            </w:r>
          </w:p>
        </w:tc>
        <w:tc>
          <w:tcPr>
            <w:tcW w:w="466" w:type="dxa"/>
          </w:tcPr>
          <w:p>
            <w:pPr>
              <w:pStyle w:val="TableParagraph"/>
              <w:spacing w:before="1"/>
              <w:ind w:right="176"/>
              <w:jc w:val="right"/>
              <w:rPr>
                <w:sz w:val="18"/>
              </w:rPr>
            </w:pPr>
            <w:r>
              <w:rPr>
                <w:w w:val="99"/>
                <w:sz w:val="18"/>
              </w:rPr>
              <w:t>0</w:t>
            </w:r>
          </w:p>
        </w:tc>
        <w:tc>
          <w:tcPr>
            <w:tcW w:w="466" w:type="dxa"/>
          </w:tcPr>
          <w:p>
            <w:pPr>
              <w:pStyle w:val="TableParagraph"/>
              <w:spacing w:before="1"/>
              <w:ind w:right="1"/>
              <w:rPr>
                <w:sz w:val="18"/>
              </w:rPr>
            </w:pPr>
            <w:r>
              <w:rPr>
                <w:w w:val="99"/>
                <w:sz w:val="18"/>
              </w:rPr>
              <w:t>0</w:t>
            </w:r>
          </w:p>
        </w:tc>
        <w:tc>
          <w:tcPr>
            <w:tcW w:w="466" w:type="dxa"/>
          </w:tcPr>
          <w:p>
            <w:pPr>
              <w:pStyle w:val="TableParagraph"/>
              <w:spacing w:before="1"/>
              <w:ind w:right="3"/>
              <w:rPr>
                <w:sz w:val="18"/>
              </w:rPr>
            </w:pPr>
            <w:r>
              <w:rPr>
                <w:w w:val="99"/>
                <w:sz w:val="18"/>
              </w:rPr>
              <w:t>0</w:t>
            </w:r>
          </w:p>
        </w:tc>
        <w:tc>
          <w:tcPr>
            <w:tcW w:w="463" w:type="dxa"/>
          </w:tcPr>
          <w:p>
            <w:pPr>
              <w:pStyle w:val="TableParagraph"/>
              <w:spacing w:before="1"/>
              <w:ind w:left="175"/>
              <w:jc w:val="left"/>
              <w:rPr>
                <w:sz w:val="18"/>
              </w:rPr>
            </w:pPr>
            <w:r>
              <w:rPr>
                <w:w w:val="99"/>
                <w:sz w:val="18"/>
              </w:rPr>
              <w:t>0</w:t>
            </w:r>
          </w:p>
        </w:tc>
        <w:tc>
          <w:tcPr>
            <w:tcW w:w="475" w:type="dxa"/>
          </w:tcPr>
          <w:p>
            <w:pPr>
              <w:pStyle w:val="TableParagraph"/>
              <w:spacing w:line="204" w:lineRule="exact"/>
              <w:ind w:left="4"/>
              <w:rPr>
                <w:b/>
                <w:sz w:val="18"/>
              </w:rPr>
            </w:pPr>
            <w:r>
              <w:rPr>
                <w:b/>
                <w:w w:val="99"/>
                <w:sz w:val="18"/>
              </w:rPr>
              <w:t>1</w:t>
            </w:r>
          </w:p>
        </w:tc>
      </w:tr>
      <w:tr>
        <w:trPr>
          <w:trHeight w:val="320" w:hRule="exact"/>
        </w:trPr>
        <w:tc>
          <w:tcPr>
            <w:tcW w:w="2950" w:type="dxa"/>
            <w:tcBorders>
              <w:left w:val="single" w:sz="8" w:space="0" w:color="000000"/>
            </w:tcBorders>
          </w:tcPr>
          <w:p>
            <w:pPr>
              <w:pStyle w:val="TableParagraph"/>
              <w:spacing w:line="202" w:lineRule="exact"/>
              <w:ind w:left="62"/>
              <w:jc w:val="left"/>
              <w:rPr>
                <w:b/>
                <w:sz w:val="18"/>
              </w:rPr>
            </w:pPr>
            <w:r>
              <w:rPr>
                <w:b/>
                <w:color w:val="333333"/>
                <w:sz w:val="18"/>
              </w:rPr>
              <w:t>AMATEPEC</w:t>
            </w:r>
          </w:p>
        </w:tc>
        <w:tc>
          <w:tcPr>
            <w:tcW w:w="589" w:type="dxa"/>
          </w:tcPr>
          <w:p>
            <w:pPr>
              <w:pStyle w:val="TableParagraph"/>
              <w:spacing w:line="207" w:lineRule="exact"/>
              <w:ind w:left="2"/>
              <w:rPr>
                <w:sz w:val="18"/>
              </w:rPr>
            </w:pPr>
            <w:r>
              <w:rPr>
                <w:w w:val="99"/>
                <w:sz w:val="18"/>
              </w:rPr>
              <w:t>0</w:t>
            </w:r>
          </w:p>
        </w:tc>
        <w:tc>
          <w:tcPr>
            <w:tcW w:w="586" w:type="dxa"/>
          </w:tcPr>
          <w:p>
            <w:pPr>
              <w:pStyle w:val="TableParagraph"/>
              <w:spacing w:line="207" w:lineRule="exact"/>
              <w:rPr>
                <w:sz w:val="18"/>
              </w:rPr>
            </w:pPr>
            <w:r>
              <w:rPr>
                <w:w w:val="99"/>
                <w:sz w:val="18"/>
              </w:rPr>
              <w:t>0</w:t>
            </w:r>
          </w:p>
        </w:tc>
        <w:tc>
          <w:tcPr>
            <w:tcW w:w="466" w:type="dxa"/>
          </w:tcPr>
          <w:p>
            <w:pPr>
              <w:pStyle w:val="TableParagraph"/>
              <w:spacing w:line="207" w:lineRule="exact"/>
              <w:rPr>
                <w:sz w:val="18"/>
              </w:rPr>
            </w:pPr>
            <w:r>
              <w:rPr>
                <w:w w:val="99"/>
                <w:sz w:val="18"/>
              </w:rPr>
              <w:t>0</w:t>
            </w:r>
          </w:p>
        </w:tc>
        <w:tc>
          <w:tcPr>
            <w:tcW w:w="475" w:type="dxa"/>
          </w:tcPr>
          <w:p>
            <w:pPr>
              <w:pStyle w:val="TableParagraph"/>
              <w:spacing w:line="207" w:lineRule="exact"/>
              <w:ind w:left="184"/>
              <w:jc w:val="left"/>
              <w:rPr>
                <w:sz w:val="18"/>
              </w:rPr>
            </w:pPr>
            <w:r>
              <w:rPr>
                <w:w w:val="99"/>
                <w:sz w:val="18"/>
              </w:rPr>
              <w:t>0</w:t>
            </w:r>
          </w:p>
        </w:tc>
        <w:tc>
          <w:tcPr>
            <w:tcW w:w="466" w:type="dxa"/>
          </w:tcPr>
          <w:p>
            <w:pPr>
              <w:pStyle w:val="TableParagraph"/>
              <w:spacing w:line="207" w:lineRule="exact"/>
              <w:ind w:left="177"/>
              <w:jc w:val="left"/>
              <w:rPr>
                <w:sz w:val="18"/>
              </w:rPr>
            </w:pPr>
            <w:r>
              <w:rPr>
                <w:w w:val="99"/>
                <w:sz w:val="18"/>
              </w:rPr>
              <w:t>0</w:t>
            </w:r>
          </w:p>
        </w:tc>
        <w:tc>
          <w:tcPr>
            <w:tcW w:w="466" w:type="dxa"/>
          </w:tcPr>
          <w:p>
            <w:pPr>
              <w:pStyle w:val="TableParagraph"/>
              <w:spacing w:line="207" w:lineRule="exact"/>
              <w:ind w:right="3"/>
              <w:rPr>
                <w:sz w:val="18"/>
              </w:rPr>
            </w:pPr>
            <w:r>
              <w:rPr>
                <w:w w:val="99"/>
                <w:sz w:val="18"/>
              </w:rPr>
              <w:t>0</w:t>
            </w:r>
          </w:p>
        </w:tc>
        <w:tc>
          <w:tcPr>
            <w:tcW w:w="463" w:type="dxa"/>
          </w:tcPr>
          <w:p>
            <w:pPr>
              <w:pStyle w:val="TableParagraph"/>
              <w:spacing w:line="207" w:lineRule="exact"/>
              <w:ind w:right="176"/>
              <w:jc w:val="right"/>
              <w:rPr>
                <w:sz w:val="18"/>
              </w:rPr>
            </w:pPr>
            <w:r>
              <w:rPr>
                <w:w w:val="99"/>
                <w:sz w:val="18"/>
              </w:rPr>
              <w:t>0</w:t>
            </w:r>
          </w:p>
        </w:tc>
        <w:tc>
          <w:tcPr>
            <w:tcW w:w="466" w:type="dxa"/>
          </w:tcPr>
          <w:p>
            <w:pPr>
              <w:pStyle w:val="TableParagraph"/>
              <w:spacing w:line="207" w:lineRule="exact"/>
              <w:rPr>
                <w:sz w:val="18"/>
              </w:rPr>
            </w:pPr>
            <w:r>
              <w:rPr>
                <w:w w:val="99"/>
                <w:sz w:val="18"/>
              </w:rPr>
              <w:t>0</w:t>
            </w:r>
          </w:p>
        </w:tc>
        <w:tc>
          <w:tcPr>
            <w:tcW w:w="475" w:type="dxa"/>
          </w:tcPr>
          <w:p>
            <w:pPr>
              <w:pStyle w:val="TableParagraph"/>
              <w:spacing w:line="207" w:lineRule="exact"/>
              <w:ind w:left="4"/>
              <w:rPr>
                <w:sz w:val="18"/>
              </w:rPr>
            </w:pPr>
            <w:r>
              <w:rPr>
                <w:w w:val="99"/>
                <w:sz w:val="18"/>
              </w:rPr>
              <w:t>0</w:t>
            </w:r>
          </w:p>
        </w:tc>
        <w:tc>
          <w:tcPr>
            <w:tcW w:w="466" w:type="dxa"/>
          </w:tcPr>
          <w:p>
            <w:pPr>
              <w:pStyle w:val="TableParagraph"/>
              <w:spacing w:line="207" w:lineRule="exact"/>
              <w:rPr>
                <w:sz w:val="18"/>
              </w:rPr>
            </w:pPr>
            <w:r>
              <w:rPr>
                <w:w w:val="99"/>
                <w:sz w:val="18"/>
              </w:rPr>
              <w:t>1</w:t>
            </w:r>
          </w:p>
        </w:tc>
        <w:tc>
          <w:tcPr>
            <w:tcW w:w="466" w:type="dxa"/>
          </w:tcPr>
          <w:p>
            <w:pPr>
              <w:pStyle w:val="TableParagraph"/>
              <w:spacing w:line="207" w:lineRule="exact"/>
              <w:ind w:left="175"/>
              <w:jc w:val="left"/>
              <w:rPr>
                <w:sz w:val="18"/>
              </w:rPr>
            </w:pPr>
            <w:r>
              <w:rPr>
                <w:w w:val="99"/>
                <w:sz w:val="18"/>
              </w:rPr>
              <w:t>0</w:t>
            </w:r>
          </w:p>
        </w:tc>
        <w:tc>
          <w:tcPr>
            <w:tcW w:w="473" w:type="dxa"/>
          </w:tcPr>
          <w:p>
            <w:pPr>
              <w:pStyle w:val="TableParagraph"/>
              <w:spacing w:line="207" w:lineRule="exact"/>
              <w:ind w:left="1"/>
              <w:rPr>
                <w:sz w:val="18"/>
              </w:rPr>
            </w:pPr>
            <w:r>
              <w:rPr>
                <w:w w:val="99"/>
                <w:sz w:val="18"/>
              </w:rPr>
              <w:t>0</w:t>
            </w:r>
          </w:p>
        </w:tc>
        <w:tc>
          <w:tcPr>
            <w:tcW w:w="475" w:type="dxa"/>
          </w:tcPr>
          <w:p>
            <w:pPr>
              <w:pStyle w:val="TableParagraph"/>
              <w:spacing w:line="207" w:lineRule="exact"/>
              <w:ind w:left="184"/>
              <w:jc w:val="left"/>
              <w:rPr>
                <w:sz w:val="18"/>
              </w:rPr>
            </w:pPr>
            <w:r>
              <w:rPr>
                <w:w w:val="99"/>
                <w:sz w:val="18"/>
              </w:rPr>
              <w:t>0</w:t>
            </w:r>
          </w:p>
        </w:tc>
        <w:tc>
          <w:tcPr>
            <w:tcW w:w="466" w:type="dxa"/>
          </w:tcPr>
          <w:p>
            <w:pPr>
              <w:pStyle w:val="TableParagraph"/>
              <w:spacing w:line="207" w:lineRule="exact"/>
              <w:ind w:right="176"/>
              <w:jc w:val="right"/>
              <w:rPr>
                <w:sz w:val="18"/>
              </w:rPr>
            </w:pPr>
            <w:r>
              <w:rPr>
                <w:w w:val="99"/>
                <w:sz w:val="18"/>
              </w:rPr>
              <w:t>0</w:t>
            </w:r>
          </w:p>
        </w:tc>
        <w:tc>
          <w:tcPr>
            <w:tcW w:w="466" w:type="dxa"/>
          </w:tcPr>
          <w:p>
            <w:pPr>
              <w:pStyle w:val="TableParagraph"/>
              <w:spacing w:line="207" w:lineRule="exact"/>
              <w:ind w:right="1"/>
              <w:rPr>
                <w:sz w:val="18"/>
              </w:rPr>
            </w:pPr>
            <w:r>
              <w:rPr>
                <w:w w:val="99"/>
                <w:sz w:val="18"/>
              </w:rPr>
              <w:t>0</w:t>
            </w:r>
          </w:p>
        </w:tc>
        <w:tc>
          <w:tcPr>
            <w:tcW w:w="466" w:type="dxa"/>
          </w:tcPr>
          <w:p>
            <w:pPr>
              <w:pStyle w:val="TableParagraph"/>
              <w:spacing w:line="207" w:lineRule="exact"/>
              <w:ind w:right="3"/>
              <w:rPr>
                <w:sz w:val="18"/>
              </w:rPr>
            </w:pPr>
            <w:r>
              <w:rPr>
                <w:w w:val="99"/>
                <w:sz w:val="18"/>
              </w:rPr>
              <w:t>0</w:t>
            </w:r>
          </w:p>
        </w:tc>
        <w:tc>
          <w:tcPr>
            <w:tcW w:w="463" w:type="dxa"/>
          </w:tcPr>
          <w:p>
            <w:pPr>
              <w:pStyle w:val="TableParagraph"/>
              <w:spacing w:line="207" w:lineRule="exact"/>
              <w:ind w:left="175"/>
              <w:jc w:val="left"/>
              <w:rPr>
                <w:sz w:val="18"/>
              </w:rPr>
            </w:pPr>
            <w:r>
              <w:rPr>
                <w:w w:val="99"/>
                <w:sz w:val="18"/>
              </w:rPr>
              <w:t>0</w:t>
            </w:r>
          </w:p>
        </w:tc>
        <w:tc>
          <w:tcPr>
            <w:tcW w:w="475" w:type="dxa"/>
          </w:tcPr>
          <w:p>
            <w:pPr>
              <w:pStyle w:val="TableParagraph"/>
              <w:spacing w:line="202" w:lineRule="exact"/>
              <w:ind w:left="4"/>
              <w:rPr>
                <w:b/>
                <w:sz w:val="18"/>
              </w:rPr>
            </w:pPr>
            <w:r>
              <w:rPr>
                <w:b/>
                <w:w w:val="99"/>
                <w:sz w:val="18"/>
              </w:rPr>
              <w:t>1</w:t>
            </w:r>
          </w:p>
        </w:tc>
      </w:tr>
      <w:tr>
        <w:trPr>
          <w:trHeight w:val="322" w:hRule="exact"/>
        </w:trPr>
        <w:tc>
          <w:tcPr>
            <w:tcW w:w="2950" w:type="dxa"/>
            <w:tcBorders>
              <w:left w:val="single" w:sz="8" w:space="0" w:color="000000"/>
            </w:tcBorders>
          </w:tcPr>
          <w:p>
            <w:pPr>
              <w:pStyle w:val="TableParagraph"/>
              <w:spacing w:line="204" w:lineRule="exact"/>
              <w:ind w:left="62"/>
              <w:jc w:val="left"/>
              <w:rPr>
                <w:b/>
                <w:sz w:val="18"/>
              </w:rPr>
            </w:pPr>
            <w:r>
              <w:rPr>
                <w:b/>
                <w:color w:val="333333"/>
                <w:sz w:val="18"/>
              </w:rPr>
              <w:t>AMECAMECA</w:t>
            </w:r>
          </w:p>
        </w:tc>
        <w:tc>
          <w:tcPr>
            <w:tcW w:w="589" w:type="dxa"/>
          </w:tcPr>
          <w:p>
            <w:pPr>
              <w:pStyle w:val="TableParagraph"/>
              <w:spacing w:before="1"/>
              <w:ind w:left="2"/>
              <w:rPr>
                <w:sz w:val="18"/>
              </w:rPr>
            </w:pPr>
            <w:r>
              <w:rPr>
                <w:w w:val="99"/>
                <w:sz w:val="18"/>
              </w:rPr>
              <w:t>0</w:t>
            </w:r>
          </w:p>
        </w:tc>
        <w:tc>
          <w:tcPr>
            <w:tcW w:w="586" w:type="dxa"/>
          </w:tcPr>
          <w:p>
            <w:pPr>
              <w:pStyle w:val="TableParagraph"/>
              <w:spacing w:before="1"/>
              <w:rPr>
                <w:sz w:val="18"/>
              </w:rPr>
            </w:pPr>
            <w:r>
              <w:rPr>
                <w:w w:val="99"/>
                <w:sz w:val="18"/>
              </w:rPr>
              <w:t>0</w:t>
            </w:r>
          </w:p>
        </w:tc>
        <w:tc>
          <w:tcPr>
            <w:tcW w:w="466" w:type="dxa"/>
          </w:tcPr>
          <w:p>
            <w:pPr>
              <w:pStyle w:val="TableParagraph"/>
              <w:spacing w:before="1"/>
              <w:rPr>
                <w:sz w:val="18"/>
              </w:rPr>
            </w:pPr>
            <w:r>
              <w:rPr>
                <w:w w:val="99"/>
                <w:sz w:val="18"/>
              </w:rPr>
              <w:t>0</w:t>
            </w:r>
          </w:p>
        </w:tc>
        <w:tc>
          <w:tcPr>
            <w:tcW w:w="475" w:type="dxa"/>
          </w:tcPr>
          <w:p>
            <w:pPr>
              <w:pStyle w:val="TableParagraph"/>
              <w:spacing w:before="1"/>
              <w:ind w:left="184"/>
              <w:jc w:val="left"/>
              <w:rPr>
                <w:sz w:val="18"/>
              </w:rPr>
            </w:pPr>
            <w:r>
              <w:rPr>
                <w:w w:val="99"/>
                <w:sz w:val="18"/>
              </w:rPr>
              <w:t>0</w:t>
            </w:r>
          </w:p>
        </w:tc>
        <w:tc>
          <w:tcPr>
            <w:tcW w:w="466" w:type="dxa"/>
          </w:tcPr>
          <w:p>
            <w:pPr>
              <w:pStyle w:val="TableParagraph"/>
              <w:spacing w:before="1"/>
              <w:ind w:left="177"/>
              <w:jc w:val="left"/>
              <w:rPr>
                <w:sz w:val="18"/>
              </w:rPr>
            </w:pPr>
            <w:r>
              <w:rPr>
                <w:w w:val="99"/>
                <w:sz w:val="18"/>
              </w:rPr>
              <w:t>0</w:t>
            </w:r>
          </w:p>
        </w:tc>
        <w:tc>
          <w:tcPr>
            <w:tcW w:w="466" w:type="dxa"/>
          </w:tcPr>
          <w:p>
            <w:pPr>
              <w:pStyle w:val="TableParagraph"/>
              <w:spacing w:before="1"/>
              <w:ind w:right="3"/>
              <w:rPr>
                <w:sz w:val="18"/>
              </w:rPr>
            </w:pPr>
            <w:r>
              <w:rPr>
                <w:w w:val="99"/>
                <w:sz w:val="18"/>
              </w:rPr>
              <w:t>0</w:t>
            </w:r>
          </w:p>
        </w:tc>
        <w:tc>
          <w:tcPr>
            <w:tcW w:w="463" w:type="dxa"/>
          </w:tcPr>
          <w:p>
            <w:pPr>
              <w:pStyle w:val="TableParagraph"/>
              <w:spacing w:before="1"/>
              <w:ind w:right="176"/>
              <w:jc w:val="right"/>
              <w:rPr>
                <w:sz w:val="18"/>
              </w:rPr>
            </w:pPr>
            <w:r>
              <w:rPr>
                <w:w w:val="99"/>
                <w:sz w:val="18"/>
              </w:rPr>
              <w:t>0</w:t>
            </w:r>
          </w:p>
        </w:tc>
        <w:tc>
          <w:tcPr>
            <w:tcW w:w="466" w:type="dxa"/>
          </w:tcPr>
          <w:p>
            <w:pPr>
              <w:pStyle w:val="TableParagraph"/>
              <w:spacing w:before="1"/>
              <w:rPr>
                <w:sz w:val="18"/>
              </w:rPr>
            </w:pPr>
            <w:r>
              <w:rPr>
                <w:w w:val="99"/>
                <w:sz w:val="18"/>
              </w:rPr>
              <w:t>0</w:t>
            </w:r>
          </w:p>
        </w:tc>
        <w:tc>
          <w:tcPr>
            <w:tcW w:w="475" w:type="dxa"/>
          </w:tcPr>
          <w:p>
            <w:pPr>
              <w:pStyle w:val="TableParagraph"/>
              <w:spacing w:before="1"/>
              <w:ind w:left="4"/>
              <w:rPr>
                <w:sz w:val="18"/>
              </w:rPr>
            </w:pPr>
            <w:r>
              <w:rPr>
                <w:w w:val="99"/>
                <w:sz w:val="18"/>
              </w:rPr>
              <w:t>0</w:t>
            </w:r>
          </w:p>
        </w:tc>
        <w:tc>
          <w:tcPr>
            <w:tcW w:w="466" w:type="dxa"/>
          </w:tcPr>
          <w:p>
            <w:pPr>
              <w:pStyle w:val="TableParagraph"/>
              <w:spacing w:before="1"/>
              <w:rPr>
                <w:sz w:val="18"/>
              </w:rPr>
            </w:pPr>
            <w:r>
              <w:rPr>
                <w:w w:val="99"/>
                <w:sz w:val="18"/>
              </w:rPr>
              <w:t>0</w:t>
            </w:r>
          </w:p>
        </w:tc>
        <w:tc>
          <w:tcPr>
            <w:tcW w:w="466" w:type="dxa"/>
          </w:tcPr>
          <w:p>
            <w:pPr>
              <w:pStyle w:val="TableParagraph"/>
              <w:spacing w:before="1"/>
              <w:ind w:left="175"/>
              <w:jc w:val="left"/>
              <w:rPr>
                <w:sz w:val="18"/>
              </w:rPr>
            </w:pPr>
            <w:r>
              <w:rPr>
                <w:w w:val="99"/>
                <w:sz w:val="18"/>
              </w:rPr>
              <w:t>0</w:t>
            </w:r>
          </w:p>
        </w:tc>
        <w:tc>
          <w:tcPr>
            <w:tcW w:w="473" w:type="dxa"/>
          </w:tcPr>
          <w:p>
            <w:pPr>
              <w:pStyle w:val="TableParagraph"/>
              <w:spacing w:before="1"/>
              <w:ind w:left="1"/>
              <w:rPr>
                <w:sz w:val="18"/>
              </w:rPr>
            </w:pPr>
            <w:r>
              <w:rPr>
                <w:w w:val="99"/>
                <w:sz w:val="18"/>
              </w:rPr>
              <w:t>0</w:t>
            </w:r>
          </w:p>
        </w:tc>
        <w:tc>
          <w:tcPr>
            <w:tcW w:w="475" w:type="dxa"/>
          </w:tcPr>
          <w:p>
            <w:pPr>
              <w:pStyle w:val="TableParagraph"/>
              <w:spacing w:before="1"/>
              <w:ind w:left="184"/>
              <w:jc w:val="left"/>
              <w:rPr>
                <w:sz w:val="18"/>
              </w:rPr>
            </w:pPr>
            <w:r>
              <w:rPr>
                <w:w w:val="99"/>
                <w:sz w:val="18"/>
              </w:rPr>
              <w:t>0</w:t>
            </w:r>
          </w:p>
        </w:tc>
        <w:tc>
          <w:tcPr>
            <w:tcW w:w="466" w:type="dxa"/>
          </w:tcPr>
          <w:p>
            <w:pPr>
              <w:pStyle w:val="TableParagraph"/>
              <w:spacing w:before="1"/>
              <w:ind w:right="176"/>
              <w:jc w:val="right"/>
              <w:rPr>
                <w:sz w:val="18"/>
              </w:rPr>
            </w:pPr>
            <w:r>
              <w:rPr>
                <w:w w:val="99"/>
                <w:sz w:val="18"/>
              </w:rPr>
              <w:t>0</w:t>
            </w:r>
          </w:p>
        </w:tc>
        <w:tc>
          <w:tcPr>
            <w:tcW w:w="466" w:type="dxa"/>
          </w:tcPr>
          <w:p>
            <w:pPr>
              <w:pStyle w:val="TableParagraph"/>
              <w:spacing w:before="1"/>
              <w:ind w:right="1"/>
              <w:rPr>
                <w:sz w:val="18"/>
              </w:rPr>
            </w:pPr>
            <w:r>
              <w:rPr>
                <w:w w:val="99"/>
                <w:sz w:val="18"/>
              </w:rPr>
              <w:t>0</w:t>
            </w:r>
          </w:p>
        </w:tc>
        <w:tc>
          <w:tcPr>
            <w:tcW w:w="466" w:type="dxa"/>
          </w:tcPr>
          <w:p>
            <w:pPr>
              <w:pStyle w:val="TableParagraph"/>
              <w:spacing w:before="1"/>
              <w:ind w:right="3"/>
              <w:rPr>
                <w:sz w:val="18"/>
              </w:rPr>
            </w:pPr>
            <w:r>
              <w:rPr>
                <w:w w:val="99"/>
                <w:sz w:val="18"/>
              </w:rPr>
              <w:t>0</w:t>
            </w:r>
          </w:p>
        </w:tc>
        <w:tc>
          <w:tcPr>
            <w:tcW w:w="463" w:type="dxa"/>
          </w:tcPr>
          <w:p>
            <w:pPr>
              <w:pStyle w:val="TableParagraph"/>
              <w:spacing w:before="1"/>
              <w:ind w:left="175"/>
              <w:jc w:val="left"/>
              <w:rPr>
                <w:sz w:val="18"/>
              </w:rPr>
            </w:pPr>
            <w:r>
              <w:rPr>
                <w:w w:val="99"/>
                <w:sz w:val="18"/>
              </w:rPr>
              <w:t>0</w:t>
            </w:r>
          </w:p>
        </w:tc>
        <w:tc>
          <w:tcPr>
            <w:tcW w:w="475" w:type="dxa"/>
          </w:tcPr>
          <w:p>
            <w:pPr>
              <w:pStyle w:val="TableParagraph"/>
              <w:spacing w:line="204" w:lineRule="exact"/>
              <w:ind w:left="4"/>
              <w:rPr>
                <w:b/>
                <w:sz w:val="18"/>
              </w:rPr>
            </w:pPr>
            <w:r>
              <w:rPr>
                <w:b/>
                <w:w w:val="99"/>
                <w:sz w:val="18"/>
              </w:rPr>
              <w:t>0</w:t>
            </w:r>
          </w:p>
        </w:tc>
      </w:tr>
      <w:tr>
        <w:trPr>
          <w:trHeight w:val="322" w:hRule="exact"/>
        </w:trPr>
        <w:tc>
          <w:tcPr>
            <w:tcW w:w="2950" w:type="dxa"/>
            <w:tcBorders>
              <w:left w:val="single" w:sz="8" w:space="0" w:color="000000"/>
            </w:tcBorders>
          </w:tcPr>
          <w:p>
            <w:pPr>
              <w:pStyle w:val="TableParagraph"/>
              <w:spacing w:line="201" w:lineRule="exact"/>
              <w:ind w:left="62"/>
              <w:jc w:val="left"/>
              <w:rPr>
                <w:b/>
                <w:sz w:val="18"/>
              </w:rPr>
            </w:pPr>
            <w:r>
              <w:rPr>
                <w:b/>
                <w:color w:val="333333"/>
                <w:sz w:val="18"/>
              </w:rPr>
              <w:t>APAXCO</w:t>
            </w:r>
          </w:p>
        </w:tc>
        <w:tc>
          <w:tcPr>
            <w:tcW w:w="589" w:type="dxa"/>
          </w:tcPr>
          <w:p>
            <w:pPr>
              <w:pStyle w:val="TableParagraph"/>
              <w:spacing w:line="206" w:lineRule="exact"/>
              <w:ind w:left="2"/>
              <w:rPr>
                <w:sz w:val="18"/>
              </w:rPr>
            </w:pPr>
            <w:r>
              <w:rPr>
                <w:w w:val="99"/>
                <w:sz w:val="18"/>
              </w:rPr>
              <w:t>0</w:t>
            </w:r>
          </w:p>
        </w:tc>
        <w:tc>
          <w:tcPr>
            <w:tcW w:w="586" w:type="dxa"/>
          </w:tcPr>
          <w:p>
            <w:pPr>
              <w:pStyle w:val="TableParagraph"/>
              <w:spacing w:line="206" w:lineRule="exac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184"/>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3" w:type="dxa"/>
          </w:tcPr>
          <w:p>
            <w:pPr>
              <w:pStyle w:val="TableParagraph"/>
              <w:spacing w:line="206" w:lineRule="exact"/>
              <w:ind w:left="1"/>
              <w:rPr>
                <w:sz w:val="18"/>
              </w:rPr>
            </w:pPr>
            <w:r>
              <w:rPr>
                <w:w w:val="99"/>
                <w:sz w:val="18"/>
              </w:rPr>
              <w:t>0</w:t>
            </w:r>
          </w:p>
        </w:tc>
        <w:tc>
          <w:tcPr>
            <w:tcW w:w="475" w:type="dxa"/>
          </w:tcPr>
          <w:p>
            <w:pPr>
              <w:pStyle w:val="TableParagraph"/>
              <w:spacing w:line="206" w:lineRule="exact"/>
              <w:ind w:left="184"/>
              <w:jc w:val="lef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19" w:hRule="exact"/>
        </w:trPr>
        <w:tc>
          <w:tcPr>
            <w:tcW w:w="2950" w:type="dxa"/>
            <w:tcBorders>
              <w:left w:val="single" w:sz="8" w:space="0" w:color="000000"/>
            </w:tcBorders>
          </w:tcPr>
          <w:p>
            <w:pPr>
              <w:pStyle w:val="TableParagraph"/>
              <w:spacing w:line="201" w:lineRule="exact"/>
              <w:ind w:left="62"/>
              <w:jc w:val="left"/>
              <w:rPr>
                <w:b/>
                <w:sz w:val="18"/>
              </w:rPr>
            </w:pPr>
            <w:r>
              <w:rPr>
                <w:b/>
                <w:color w:val="333333"/>
                <w:sz w:val="18"/>
              </w:rPr>
              <w:t>ATENCO</w:t>
            </w:r>
          </w:p>
        </w:tc>
        <w:tc>
          <w:tcPr>
            <w:tcW w:w="589" w:type="dxa"/>
          </w:tcPr>
          <w:p>
            <w:pPr>
              <w:pStyle w:val="TableParagraph"/>
              <w:spacing w:line="206" w:lineRule="exact"/>
              <w:ind w:left="2"/>
              <w:rPr>
                <w:sz w:val="18"/>
              </w:rPr>
            </w:pPr>
            <w:r>
              <w:rPr>
                <w:w w:val="99"/>
                <w:sz w:val="18"/>
              </w:rPr>
              <w:t>0</w:t>
            </w:r>
          </w:p>
        </w:tc>
        <w:tc>
          <w:tcPr>
            <w:tcW w:w="586" w:type="dxa"/>
          </w:tcPr>
          <w:p>
            <w:pPr>
              <w:pStyle w:val="TableParagraph"/>
              <w:spacing w:line="206" w:lineRule="exac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184"/>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3" w:type="dxa"/>
          </w:tcPr>
          <w:p>
            <w:pPr>
              <w:pStyle w:val="TableParagraph"/>
              <w:spacing w:line="206" w:lineRule="exact"/>
              <w:ind w:left="1"/>
              <w:rPr>
                <w:sz w:val="18"/>
              </w:rPr>
            </w:pPr>
            <w:r>
              <w:rPr>
                <w:w w:val="99"/>
                <w:sz w:val="18"/>
              </w:rPr>
              <w:t>0</w:t>
            </w:r>
          </w:p>
        </w:tc>
        <w:tc>
          <w:tcPr>
            <w:tcW w:w="475" w:type="dxa"/>
          </w:tcPr>
          <w:p>
            <w:pPr>
              <w:pStyle w:val="TableParagraph"/>
              <w:spacing w:line="206" w:lineRule="exact"/>
              <w:ind w:left="184"/>
              <w:jc w:val="lef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22" w:hRule="exact"/>
        </w:trPr>
        <w:tc>
          <w:tcPr>
            <w:tcW w:w="2950" w:type="dxa"/>
            <w:tcBorders>
              <w:left w:val="single" w:sz="8" w:space="0" w:color="000000"/>
            </w:tcBorders>
          </w:tcPr>
          <w:p>
            <w:pPr>
              <w:pStyle w:val="TableParagraph"/>
              <w:spacing w:line="201" w:lineRule="exact"/>
              <w:ind w:left="62"/>
              <w:jc w:val="left"/>
              <w:rPr>
                <w:b/>
                <w:sz w:val="18"/>
              </w:rPr>
            </w:pPr>
            <w:r>
              <w:rPr>
                <w:b/>
                <w:color w:val="333333"/>
                <w:sz w:val="18"/>
              </w:rPr>
              <w:t>ATIZAPAN</w:t>
            </w:r>
          </w:p>
        </w:tc>
        <w:tc>
          <w:tcPr>
            <w:tcW w:w="589" w:type="dxa"/>
          </w:tcPr>
          <w:p>
            <w:pPr>
              <w:pStyle w:val="TableParagraph"/>
              <w:spacing w:line="206" w:lineRule="exact"/>
              <w:ind w:left="2"/>
              <w:rPr>
                <w:sz w:val="18"/>
              </w:rPr>
            </w:pPr>
            <w:r>
              <w:rPr>
                <w:w w:val="99"/>
                <w:sz w:val="18"/>
              </w:rPr>
              <w:t>0</w:t>
            </w:r>
          </w:p>
        </w:tc>
        <w:tc>
          <w:tcPr>
            <w:tcW w:w="586" w:type="dxa"/>
          </w:tcPr>
          <w:p>
            <w:pPr>
              <w:pStyle w:val="TableParagraph"/>
              <w:spacing w:line="206" w:lineRule="exac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184"/>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3" w:type="dxa"/>
          </w:tcPr>
          <w:p>
            <w:pPr>
              <w:pStyle w:val="TableParagraph"/>
              <w:spacing w:line="206" w:lineRule="exact"/>
              <w:ind w:left="1"/>
              <w:rPr>
                <w:sz w:val="18"/>
              </w:rPr>
            </w:pPr>
            <w:r>
              <w:rPr>
                <w:w w:val="99"/>
                <w:sz w:val="18"/>
              </w:rPr>
              <w:t>0</w:t>
            </w:r>
          </w:p>
        </w:tc>
        <w:tc>
          <w:tcPr>
            <w:tcW w:w="475" w:type="dxa"/>
          </w:tcPr>
          <w:p>
            <w:pPr>
              <w:pStyle w:val="TableParagraph"/>
              <w:spacing w:line="206" w:lineRule="exact"/>
              <w:ind w:left="184"/>
              <w:jc w:val="lef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19" w:hRule="exact"/>
        </w:trPr>
        <w:tc>
          <w:tcPr>
            <w:tcW w:w="2950" w:type="dxa"/>
            <w:tcBorders>
              <w:left w:val="single" w:sz="8" w:space="0" w:color="000000"/>
            </w:tcBorders>
          </w:tcPr>
          <w:p>
            <w:pPr>
              <w:pStyle w:val="TableParagraph"/>
              <w:spacing w:line="201" w:lineRule="exact"/>
              <w:ind w:left="62"/>
              <w:jc w:val="left"/>
              <w:rPr>
                <w:b/>
                <w:sz w:val="18"/>
              </w:rPr>
            </w:pPr>
            <w:r>
              <w:rPr>
                <w:b/>
                <w:color w:val="333333"/>
                <w:sz w:val="18"/>
              </w:rPr>
              <w:t>ATIZAPAN DE ZARAGOZA</w:t>
            </w:r>
          </w:p>
        </w:tc>
        <w:tc>
          <w:tcPr>
            <w:tcW w:w="589" w:type="dxa"/>
          </w:tcPr>
          <w:p>
            <w:pPr>
              <w:pStyle w:val="TableParagraph"/>
              <w:spacing w:line="206" w:lineRule="exact"/>
              <w:ind w:left="2"/>
              <w:rPr>
                <w:sz w:val="18"/>
              </w:rPr>
            </w:pPr>
            <w:r>
              <w:rPr>
                <w:w w:val="99"/>
                <w:sz w:val="18"/>
              </w:rPr>
              <w:t>0</w:t>
            </w:r>
          </w:p>
        </w:tc>
        <w:tc>
          <w:tcPr>
            <w:tcW w:w="586" w:type="dxa"/>
          </w:tcPr>
          <w:p>
            <w:pPr>
              <w:pStyle w:val="TableParagraph"/>
              <w:spacing w:line="206" w:lineRule="exact"/>
              <w:rPr>
                <w:sz w:val="18"/>
              </w:rPr>
            </w:pPr>
            <w:r>
              <w:rPr>
                <w:w w:val="99"/>
                <w:sz w:val="18"/>
              </w:rPr>
              <w:t>7</w:t>
            </w:r>
          </w:p>
        </w:tc>
        <w:tc>
          <w:tcPr>
            <w:tcW w:w="466" w:type="dxa"/>
          </w:tcPr>
          <w:p>
            <w:pPr>
              <w:pStyle w:val="TableParagraph"/>
              <w:spacing w:line="206" w:lineRule="exact"/>
              <w:ind w:left="107" w:right="103"/>
              <w:rPr>
                <w:sz w:val="18"/>
              </w:rPr>
            </w:pPr>
            <w:r>
              <w:rPr>
                <w:sz w:val="18"/>
              </w:rPr>
              <w:t>10</w:t>
            </w:r>
          </w:p>
        </w:tc>
        <w:tc>
          <w:tcPr>
            <w:tcW w:w="475" w:type="dxa"/>
          </w:tcPr>
          <w:p>
            <w:pPr>
              <w:pStyle w:val="TableParagraph"/>
              <w:spacing w:line="206" w:lineRule="exact"/>
              <w:ind w:left="184"/>
              <w:jc w:val="left"/>
              <w:rPr>
                <w:sz w:val="18"/>
              </w:rPr>
            </w:pPr>
            <w:r>
              <w:rPr>
                <w:w w:val="99"/>
                <w:sz w:val="18"/>
              </w:rPr>
              <w:t>2</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62" w:right="58"/>
              <w:rPr>
                <w:sz w:val="18"/>
              </w:rPr>
            </w:pPr>
            <w:r>
              <w:rPr>
                <w:sz w:val="18"/>
              </w:rPr>
              <w:t>19</w:t>
            </w:r>
          </w:p>
        </w:tc>
        <w:tc>
          <w:tcPr>
            <w:tcW w:w="466" w:type="dxa"/>
          </w:tcPr>
          <w:p>
            <w:pPr>
              <w:pStyle w:val="TableParagraph"/>
              <w:spacing w:line="206" w:lineRule="exact"/>
              <w:ind w:left="107" w:right="103"/>
              <w:rPr>
                <w:sz w:val="18"/>
              </w:rPr>
            </w:pPr>
            <w:r>
              <w:rPr>
                <w:sz w:val="18"/>
              </w:rPr>
              <w:t>21</w:t>
            </w:r>
          </w:p>
        </w:tc>
        <w:tc>
          <w:tcPr>
            <w:tcW w:w="466" w:type="dxa"/>
          </w:tcPr>
          <w:p>
            <w:pPr>
              <w:pStyle w:val="TableParagraph"/>
              <w:spacing w:line="206" w:lineRule="exact"/>
              <w:ind w:left="127" w:right="-16"/>
              <w:jc w:val="left"/>
              <w:rPr>
                <w:sz w:val="18"/>
              </w:rPr>
            </w:pPr>
            <w:r>
              <w:rPr>
                <w:sz w:val="18"/>
              </w:rPr>
              <w:t>27</w:t>
            </w:r>
          </w:p>
        </w:tc>
        <w:tc>
          <w:tcPr>
            <w:tcW w:w="473" w:type="dxa"/>
          </w:tcPr>
          <w:p>
            <w:pPr>
              <w:pStyle w:val="TableParagraph"/>
              <w:spacing w:line="206" w:lineRule="exact"/>
              <w:ind w:left="62" w:right="60"/>
              <w:rPr>
                <w:sz w:val="18"/>
              </w:rPr>
            </w:pPr>
            <w:r>
              <w:rPr>
                <w:sz w:val="18"/>
              </w:rPr>
              <w:t>60</w:t>
            </w:r>
          </w:p>
        </w:tc>
        <w:tc>
          <w:tcPr>
            <w:tcW w:w="475" w:type="dxa"/>
          </w:tcPr>
          <w:p>
            <w:pPr>
              <w:pStyle w:val="TableParagraph"/>
              <w:spacing w:line="206" w:lineRule="exact"/>
              <w:ind w:left="83"/>
              <w:jc w:val="left"/>
              <w:rPr>
                <w:sz w:val="18"/>
              </w:rPr>
            </w:pPr>
            <w:r>
              <w:rPr>
                <w:sz w:val="18"/>
              </w:rPr>
              <w:t>518</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ind w:left="62" w:right="58"/>
              <w:rPr>
                <w:b/>
                <w:sz w:val="18"/>
              </w:rPr>
            </w:pPr>
            <w:r>
              <w:rPr>
                <w:b/>
                <w:sz w:val="18"/>
              </w:rPr>
              <w:t>629</w:t>
            </w:r>
          </w:p>
        </w:tc>
      </w:tr>
      <w:tr>
        <w:trPr>
          <w:trHeight w:val="322" w:hRule="exact"/>
        </w:trPr>
        <w:tc>
          <w:tcPr>
            <w:tcW w:w="2950" w:type="dxa"/>
            <w:tcBorders>
              <w:left w:val="single" w:sz="8" w:space="0" w:color="000000"/>
            </w:tcBorders>
          </w:tcPr>
          <w:p>
            <w:pPr>
              <w:pStyle w:val="TableParagraph"/>
              <w:spacing w:line="201" w:lineRule="exact"/>
              <w:ind w:left="62"/>
              <w:jc w:val="left"/>
              <w:rPr>
                <w:b/>
                <w:sz w:val="18"/>
              </w:rPr>
            </w:pPr>
            <w:r>
              <w:rPr>
                <w:b/>
                <w:color w:val="333333"/>
                <w:sz w:val="18"/>
              </w:rPr>
              <w:t>ATLACOMULCO</w:t>
            </w:r>
          </w:p>
        </w:tc>
        <w:tc>
          <w:tcPr>
            <w:tcW w:w="589" w:type="dxa"/>
          </w:tcPr>
          <w:p>
            <w:pPr>
              <w:pStyle w:val="TableParagraph"/>
              <w:spacing w:line="206" w:lineRule="exact"/>
              <w:ind w:left="2"/>
              <w:rPr>
                <w:sz w:val="18"/>
              </w:rPr>
            </w:pPr>
            <w:r>
              <w:rPr>
                <w:w w:val="99"/>
                <w:sz w:val="18"/>
              </w:rPr>
              <w:t>0</w:t>
            </w:r>
          </w:p>
        </w:tc>
        <w:tc>
          <w:tcPr>
            <w:tcW w:w="586" w:type="dxa"/>
          </w:tcPr>
          <w:p>
            <w:pPr>
              <w:pStyle w:val="TableParagraph"/>
              <w:spacing w:line="206" w:lineRule="exact"/>
              <w:rPr>
                <w:sz w:val="18"/>
              </w:rPr>
            </w:pPr>
            <w:r>
              <w:rPr>
                <w:w w:val="99"/>
                <w:sz w:val="18"/>
              </w:rPr>
              <w:t>0</w:t>
            </w:r>
          </w:p>
        </w:tc>
        <w:tc>
          <w:tcPr>
            <w:tcW w:w="466" w:type="dxa"/>
          </w:tcPr>
          <w:p>
            <w:pPr>
              <w:pStyle w:val="TableParagraph"/>
              <w:spacing w:line="206" w:lineRule="exact"/>
              <w:rPr>
                <w:sz w:val="18"/>
              </w:rPr>
            </w:pPr>
            <w:r>
              <w:rPr>
                <w:w w:val="99"/>
                <w:sz w:val="18"/>
              </w:rPr>
              <w:t>2</w:t>
            </w:r>
          </w:p>
        </w:tc>
        <w:tc>
          <w:tcPr>
            <w:tcW w:w="475" w:type="dxa"/>
          </w:tcPr>
          <w:p>
            <w:pPr>
              <w:pStyle w:val="TableParagraph"/>
              <w:spacing w:line="206" w:lineRule="exact"/>
              <w:ind w:left="184"/>
              <w:jc w:val="left"/>
              <w:rPr>
                <w:sz w:val="18"/>
              </w:rPr>
            </w:pPr>
            <w:r>
              <w:rPr>
                <w:w w:val="99"/>
                <w:sz w:val="18"/>
              </w:rPr>
              <w:t>3</w:t>
            </w:r>
          </w:p>
        </w:tc>
        <w:tc>
          <w:tcPr>
            <w:tcW w:w="466" w:type="dxa"/>
          </w:tcPr>
          <w:p>
            <w:pPr>
              <w:pStyle w:val="TableParagraph"/>
              <w:spacing w:line="206" w:lineRule="exact"/>
              <w:ind w:left="177"/>
              <w:jc w:val="left"/>
              <w:rPr>
                <w:sz w:val="18"/>
              </w:rPr>
            </w:pPr>
            <w:r>
              <w:rPr>
                <w:w w:val="99"/>
                <w:sz w:val="18"/>
              </w:rPr>
              <w:t>6</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62" w:right="58"/>
              <w:rPr>
                <w:sz w:val="18"/>
              </w:rPr>
            </w:pPr>
            <w:r>
              <w:rPr>
                <w:sz w:val="18"/>
              </w:rPr>
              <w:t>11</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3" w:type="dxa"/>
          </w:tcPr>
          <w:p>
            <w:pPr>
              <w:pStyle w:val="TableParagraph"/>
              <w:spacing w:line="206" w:lineRule="exact"/>
              <w:ind w:left="62" w:right="60"/>
              <w:rPr>
                <w:sz w:val="18"/>
              </w:rPr>
            </w:pPr>
            <w:r>
              <w:rPr>
                <w:sz w:val="18"/>
              </w:rPr>
              <w:t>202</w:t>
            </w:r>
          </w:p>
        </w:tc>
        <w:tc>
          <w:tcPr>
            <w:tcW w:w="475" w:type="dxa"/>
          </w:tcPr>
          <w:p>
            <w:pPr>
              <w:pStyle w:val="TableParagraph"/>
              <w:spacing w:line="206" w:lineRule="exact"/>
              <w:ind w:left="184"/>
              <w:jc w:val="lef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ind w:left="62" w:right="58"/>
              <w:rPr>
                <w:b/>
                <w:sz w:val="18"/>
              </w:rPr>
            </w:pPr>
            <w:r>
              <w:rPr>
                <w:b/>
                <w:sz w:val="18"/>
              </w:rPr>
              <w:t>202</w:t>
            </w:r>
          </w:p>
        </w:tc>
      </w:tr>
      <w:tr>
        <w:trPr>
          <w:trHeight w:val="319" w:hRule="exact"/>
        </w:trPr>
        <w:tc>
          <w:tcPr>
            <w:tcW w:w="2950" w:type="dxa"/>
            <w:tcBorders>
              <w:left w:val="single" w:sz="8" w:space="0" w:color="000000"/>
            </w:tcBorders>
          </w:tcPr>
          <w:p>
            <w:pPr>
              <w:pStyle w:val="TableParagraph"/>
              <w:spacing w:line="201" w:lineRule="exact"/>
              <w:ind w:left="62"/>
              <w:jc w:val="left"/>
              <w:rPr>
                <w:b/>
                <w:sz w:val="18"/>
              </w:rPr>
            </w:pPr>
            <w:r>
              <w:rPr>
                <w:b/>
                <w:color w:val="333333"/>
                <w:sz w:val="18"/>
              </w:rPr>
              <w:t>ATLAUTLA</w:t>
            </w:r>
          </w:p>
        </w:tc>
        <w:tc>
          <w:tcPr>
            <w:tcW w:w="589" w:type="dxa"/>
          </w:tcPr>
          <w:p>
            <w:pPr>
              <w:pStyle w:val="TableParagraph"/>
              <w:spacing w:line="206" w:lineRule="exact"/>
              <w:ind w:left="2"/>
              <w:rPr>
                <w:sz w:val="18"/>
              </w:rPr>
            </w:pPr>
            <w:r>
              <w:rPr>
                <w:w w:val="99"/>
                <w:sz w:val="18"/>
              </w:rPr>
              <w:t>0</w:t>
            </w:r>
          </w:p>
        </w:tc>
        <w:tc>
          <w:tcPr>
            <w:tcW w:w="586" w:type="dxa"/>
          </w:tcPr>
          <w:p>
            <w:pPr>
              <w:pStyle w:val="TableParagraph"/>
              <w:spacing w:line="206" w:lineRule="exac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184"/>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3" w:type="dxa"/>
          </w:tcPr>
          <w:p>
            <w:pPr>
              <w:pStyle w:val="TableParagraph"/>
              <w:spacing w:line="206" w:lineRule="exact"/>
              <w:ind w:left="1"/>
              <w:rPr>
                <w:sz w:val="18"/>
              </w:rPr>
            </w:pPr>
            <w:r>
              <w:rPr>
                <w:w w:val="99"/>
                <w:sz w:val="18"/>
              </w:rPr>
              <w:t>0</w:t>
            </w:r>
          </w:p>
        </w:tc>
        <w:tc>
          <w:tcPr>
            <w:tcW w:w="475" w:type="dxa"/>
          </w:tcPr>
          <w:p>
            <w:pPr>
              <w:pStyle w:val="TableParagraph"/>
              <w:spacing w:line="206" w:lineRule="exact"/>
              <w:ind w:left="184"/>
              <w:jc w:val="lef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22" w:hRule="exact"/>
        </w:trPr>
        <w:tc>
          <w:tcPr>
            <w:tcW w:w="2950" w:type="dxa"/>
            <w:tcBorders>
              <w:left w:val="single" w:sz="8" w:space="0" w:color="000000"/>
            </w:tcBorders>
          </w:tcPr>
          <w:p>
            <w:pPr>
              <w:pStyle w:val="TableParagraph"/>
              <w:spacing w:line="201" w:lineRule="exact"/>
              <w:ind w:left="62"/>
              <w:jc w:val="left"/>
              <w:rPr>
                <w:b/>
                <w:sz w:val="18"/>
              </w:rPr>
            </w:pPr>
            <w:r>
              <w:rPr>
                <w:b/>
                <w:color w:val="333333"/>
                <w:sz w:val="18"/>
              </w:rPr>
              <w:t>AXAPUSCO</w:t>
            </w:r>
          </w:p>
        </w:tc>
        <w:tc>
          <w:tcPr>
            <w:tcW w:w="589" w:type="dxa"/>
          </w:tcPr>
          <w:p>
            <w:pPr>
              <w:pStyle w:val="TableParagraph"/>
              <w:spacing w:line="206" w:lineRule="exact"/>
              <w:ind w:left="2"/>
              <w:rPr>
                <w:sz w:val="18"/>
              </w:rPr>
            </w:pPr>
            <w:r>
              <w:rPr>
                <w:w w:val="99"/>
                <w:sz w:val="18"/>
              </w:rPr>
              <w:t>0</w:t>
            </w:r>
          </w:p>
        </w:tc>
        <w:tc>
          <w:tcPr>
            <w:tcW w:w="586" w:type="dxa"/>
          </w:tcPr>
          <w:p>
            <w:pPr>
              <w:pStyle w:val="TableParagraph"/>
              <w:spacing w:line="206" w:lineRule="exac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184"/>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3" w:type="dxa"/>
          </w:tcPr>
          <w:p>
            <w:pPr>
              <w:pStyle w:val="TableParagraph"/>
              <w:spacing w:line="206" w:lineRule="exact"/>
              <w:ind w:left="1"/>
              <w:rPr>
                <w:sz w:val="18"/>
              </w:rPr>
            </w:pPr>
            <w:r>
              <w:rPr>
                <w:w w:val="99"/>
                <w:sz w:val="18"/>
              </w:rPr>
              <w:t>0</w:t>
            </w:r>
          </w:p>
        </w:tc>
        <w:tc>
          <w:tcPr>
            <w:tcW w:w="475" w:type="dxa"/>
          </w:tcPr>
          <w:p>
            <w:pPr>
              <w:pStyle w:val="TableParagraph"/>
              <w:spacing w:line="206" w:lineRule="exact"/>
              <w:ind w:left="184"/>
              <w:jc w:val="lef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19" w:hRule="exact"/>
        </w:trPr>
        <w:tc>
          <w:tcPr>
            <w:tcW w:w="2950" w:type="dxa"/>
            <w:tcBorders>
              <w:left w:val="single" w:sz="8" w:space="0" w:color="000000"/>
            </w:tcBorders>
          </w:tcPr>
          <w:p>
            <w:pPr>
              <w:pStyle w:val="TableParagraph"/>
              <w:spacing w:line="201" w:lineRule="exact"/>
              <w:ind w:left="62"/>
              <w:jc w:val="left"/>
              <w:rPr>
                <w:b/>
                <w:sz w:val="18"/>
              </w:rPr>
            </w:pPr>
            <w:r>
              <w:rPr>
                <w:b/>
                <w:color w:val="333333"/>
                <w:sz w:val="18"/>
              </w:rPr>
              <w:t>AYAPANGO</w:t>
            </w:r>
          </w:p>
        </w:tc>
        <w:tc>
          <w:tcPr>
            <w:tcW w:w="589" w:type="dxa"/>
          </w:tcPr>
          <w:p>
            <w:pPr>
              <w:pStyle w:val="TableParagraph"/>
              <w:spacing w:line="206" w:lineRule="exact"/>
              <w:ind w:left="2"/>
              <w:rPr>
                <w:sz w:val="18"/>
              </w:rPr>
            </w:pPr>
            <w:r>
              <w:rPr>
                <w:w w:val="99"/>
                <w:sz w:val="18"/>
              </w:rPr>
              <w:t>0</w:t>
            </w:r>
          </w:p>
        </w:tc>
        <w:tc>
          <w:tcPr>
            <w:tcW w:w="586" w:type="dxa"/>
          </w:tcPr>
          <w:p>
            <w:pPr>
              <w:pStyle w:val="TableParagraph"/>
              <w:spacing w:line="206" w:lineRule="exac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184"/>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3" w:type="dxa"/>
          </w:tcPr>
          <w:p>
            <w:pPr>
              <w:pStyle w:val="TableParagraph"/>
              <w:spacing w:line="206" w:lineRule="exact"/>
              <w:ind w:left="1"/>
              <w:rPr>
                <w:sz w:val="18"/>
              </w:rPr>
            </w:pPr>
            <w:r>
              <w:rPr>
                <w:w w:val="99"/>
                <w:sz w:val="18"/>
              </w:rPr>
              <w:t>0</w:t>
            </w:r>
          </w:p>
        </w:tc>
        <w:tc>
          <w:tcPr>
            <w:tcW w:w="475" w:type="dxa"/>
          </w:tcPr>
          <w:p>
            <w:pPr>
              <w:pStyle w:val="TableParagraph"/>
              <w:spacing w:line="206" w:lineRule="exact"/>
              <w:ind w:left="184"/>
              <w:jc w:val="lef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22" w:hRule="exact"/>
        </w:trPr>
        <w:tc>
          <w:tcPr>
            <w:tcW w:w="2950" w:type="dxa"/>
            <w:tcBorders>
              <w:left w:val="single" w:sz="8" w:space="0" w:color="000000"/>
            </w:tcBorders>
          </w:tcPr>
          <w:p>
            <w:pPr>
              <w:pStyle w:val="TableParagraph"/>
              <w:spacing w:line="201" w:lineRule="exact"/>
              <w:ind w:left="62"/>
              <w:jc w:val="left"/>
              <w:rPr>
                <w:b/>
                <w:sz w:val="18"/>
              </w:rPr>
            </w:pPr>
            <w:r>
              <w:rPr>
                <w:b/>
                <w:color w:val="333333"/>
                <w:sz w:val="18"/>
              </w:rPr>
              <w:t>CALIMAYA</w:t>
            </w:r>
          </w:p>
        </w:tc>
        <w:tc>
          <w:tcPr>
            <w:tcW w:w="589" w:type="dxa"/>
          </w:tcPr>
          <w:p>
            <w:pPr>
              <w:pStyle w:val="TableParagraph"/>
              <w:spacing w:line="206" w:lineRule="exact"/>
              <w:ind w:left="2"/>
              <w:rPr>
                <w:sz w:val="18"/>
              </w:rPr>
            </w:pPr>
            <w:r>
              <w:rPr>
                <w:w w:val="99"/>
                <w:sz w:val="18"/>
              </w:rPr>
              <w:t>0</w:t>
            </w:r>
          </w:p>
        </w:tc>
        <w:tc>
          <w:tcPr>
            <w:tcW w:w="586" w:type="dxa"/>
          </w:tcPr>
          <w:p>
            <w:pPr>
              <w:pStyle w:val="TableParagraph"/>
              <w:spacing w:line="206" w:lineRule="exac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184"/>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3" w:type="dxa"/>
          </w:tcPr>
          <w:p>
            <w:pPr>
              <w:pStyle w:val="TableParagraph"/>
              <w:spacing w:line="206" w:lineRule="exact"/>
              <w:ind w:left="62" w:right="60"/>
              <w:rPr>
                <w:sz w:val="18"/>
              </w:rPr>
            </w:pPr>
            <w:r>
              <w:rPr>
                <w:sz w:val="18"/>
              </w:rPr>
              <w:t>23</w:t>
            </w:r>
          </w:p>
        </w:tc>
        <w:tc>
          <w:tcPr>
            <w:tcW w:w="475" w:type="dxa"/>
          </w:tcPr>
          <w:p>
            <w:pPr>
              <w:pStyle w:val="TableParagraph"/>
              <w:spacing w:line="206" w:lineRule="exact"/>
              <w:ind w:left="134"/>
              <w:jc w:val="left"/>
              <w:rPr>
                <w:sz w:val="18"/>
              </w:rPr>
            </w:pPr>
            <w:r>
              <w:rPr>
                <w:sz w:val="18"/>
              </w:rPr>
              <w:t>33</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ind w:left="62" w:right="58"/>
              <w:rPr>
                <w:b/>
                <w:sz w:val="18"/>
              </w:rPr>
            </w:pPr>
            <w:r>
              <w:rPr>
                <w:b/>
                <w:sz w:val="18"/>
              </w:rPr>
              <w:t>45</w:t>
            </w:r>
          </w:p>
        </w:tc>
      </w:tr>
      <w:tr>
        <w:trPr>
          <w:trHeight w:val="319" w:hRule="exact"/>
        </w:trPr>
        <w:tc>
          <w:tcPr>
            <w:tcW w:w="2950" w:type="dxa"/>
            <w:tcBorders>
              <w:left w:val="single" w:sz="8" w:space="0" w:color="000000"/>
            </w:tcBorders>
          </w:tcPr>
          <w:p>
            <w:pPr>
              <w:pStyle w:val="TableParagraph"/>
              <w:spacing w:line="201" w:lineRule="exact"/>
              <w:ind w:left="62"/>
              <w:jc w:val="left"/>
              <w:rPr>
                <w:b/>
                <w:sz w:val="18"/>
              </w:rPr>
            </w:pPr>
            <w:r>
              <w:rPr>
                <w:b/>
                <w:color w:val="333333"/>
                <w:sz w:val="18"/>
              </w:rPr>
              <w:t>CAPULHUAC</w:t>
            </w:r>
          </w:p>
        </w:tc>
        <w:tc>
          <w:tcPr>
            <w:tcW w:w="589" w:type="dxa"/>
          </w:tcPr>
          <w:p>
            <w:pPr>
              <w:pStyle w:val="TableParagraph"/>
              <w:spacing w:line="206" w:lineRule="exact"/>
              <w:ind w:left="2"/>
              <w:rPr>
                <w:sz w:val="18"/>
              </w:rPr>
            </w:pPr>
            <w:r>
              <w:rPr>
                <w:w w:val="99"/>
                <w:sz w:val="18"/>
              </w:rPr>
              <w:t>0</w:t>
            </w:r>
          </w:p>
        </w:tc>
        <w:tc>
          <w:tcPr>
            <w:tcW w:w="586" w:type="dxa"/>
          </w:tcPr>
          <w:p>
            <w:pPr>
              <w:pStyle w:val="TableParagraph"/>
              <w:spacing w:line="206" w:lineRule="exac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184"/>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3" w:type="dxa"/>
          </w:tcPr>
          <w:p>
            <w:pPr>
              <w:pStyle w:val="TableParagraph"/>
              <w:spacing w:line="206" w:lineRule="exact"/>
              <w:ind w:left="1"/>
              <w:rPr>
                <w:sz w:val="18"/>
              </w:rPr>
            </w:pPr>
            <w:r>
              <w:rPr>
                <w:w w:val="99"/>
                <w:sz w:val="18"/>
              </w:rPr>
              <w:t>0</w:t>
            </w:r>
          </w:p>
        </w:tc>
        <w:tc>
          <w:tcPr>
            <w:tcW w:w="475" w:type="dxa"/>
          </w:tcPr>
          <w:p>
            <w:pPr>
              <w:pStyle w:val="TableParagraph"/>
              <w:spacing w:line="206" w:lineRule="exact"/>
              <w:ind w:left="184"/>
              <w:jc w:val="lef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bl>
    <w:p>
      <w:pPr>
        <w:spacing w:after="0" w:line="201" w:lineRule="exact"/>
        <w:rPr>
          <w:sz w:val="18"/>
        </w:rPr>
        <w:sectPr>
          <w:pgSz w:w="15840" w:h="12240" w:orient="landscape"/>
          <w:pgMar w:header="0" w:footer="975" w:top="1140" w:bottom="1160" w:left="2000" w:right="2000"/>
        </w:sectPr>
      </w:pPr>
    </w:p>
    <w:p>
      <w:pPr>
        <w:pStyle w:val="BodyText"/>
        <w:rPr>
          <w:rFonts w:ascii="Times New Roman"/>
          <w:sz w:val="20"/>
        </w:rPr>
      </w:pPr>
    </w:p>
    <w:p>
      <w:pPr>
        <w:pStyle w:val="BodyText"/>
        <w:spacing w:before="10"/>
        <w:rPr>
          <w:rFonts w:ascii="Times New Roman"/>
          <w:sz w:val="28"/>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50"/>
        <w:gridCol w:w="589"/>
        <w:gridCol w:w="586"/>
        <w:gridCol w:w="466"/>
        <w:gridCol w:w="475"/>
        <w:gridCol w:w="466"/>
        <w:gridCol w:w="466"/>
        <w:gridCol w:w="463"/>
        <w:gridCol w:w="466"/>
        <w:gridCol w:w="475"/>
        <w:gridCol w:w="466"/>
        <w:gridCol w:w="466"/>
        <w:gridCol w:w="473"/>
        <w:gridCol w:w="475"/>
        <w:gridCol w:w="466"/>
        <w:gridCol w:w="466"/>
        <w:gridCol w:w="466"/>
        <w:gridCol w:w="463"/>
        <w:gridCol w:w="475"/>
      </w:tblGrid>
      <w:tr>
        <w:trPr>
          <w:trHeight w:val="319" w:hRule="exact"/>
        </w:trPr>
        <w:tc>
          <w:tcPr>
            <w:tcW w:w="11615" w:type="dxa"/>
            <w:gridSpan w:val="19"/>
            <w:shd w:val="clear" w:color="auto" w:fill="C5DFB3"/>
          </w:tcPr>
          <w:p>
            <w:pPr>
              <w:pStyle w:val="TableParagraph"/>
              <w:spacing w:line="201" w:lineRule="exact"/>
              <w:ind w:left="1761"/>
              <w:jc w:val="left"/>
              <w:rPr>
                <w:b/>
                <w:sz w:val="18"/>
              </w:rPr>
            </w:pPr>
            <w:r>
              <w:rPr>
                <w:b/>
                <w:sz w:val="18"/>
              </w:rPr>
              <w:t>Anexo 26A. Municipios que publican apartado licitaciones de bienes 2012-2013 (Continuación)</w:t>
            </w:r>
          </w:p>
        </w:tc>
      </w:tr>
      <w:tr>
        <w:trPr>
          <w:trHeight w:val="322" w:hRule="exact"/>
        </w:trPr>
        <w:tc>
          <w:tcPr>
            <w:tcW w:w="2950"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5"/>
              <w:jc w:val="left"/>
              <w:rPr>
                <w:rFonts w:ascii="Times New Roman"/>
                <w:sz w:val="16"/>
              </w:rPr>
            </w:pPr>
          </w:p>
          <w:p>
            <w:pPr>
              <w:pStyle w:val="TableParagraph"/>
              <w:ind w:left="1027" w:right="1028"/>
              <w:rPr>
                <w:b/>
                <w:sz w:val="18"/>
              </w:rPr>
            </w:pPr>
            <w:r>
              <w:rPr>
                <w:b/>
                <w:sz w:val="18"/>
              </w:rPr>
              <w:t>Municipio</w:t>
            </w:r>
          </w:p>
        </w:tc>
        <w:tc>
          <w:tcPr>
            <w:tcW w:w="4451" w:type="dxa"/>
            <w:gridSpan w:val="9"/>
            <w:shd w:val="clear" w:color="auto" w:fill="C5DFB3"/>
          </w:tcPr>
          <w:p>
            <w:pPr>
              <w:pStyle w:val="TableParagraph"/>
              <w:spacing w:line="201" w:lineRule="exact"/>
              <w:ind w:left="2002" w:right="1997"/>
              <w:rPr>
                <w:b/>
                <w:sz w:val="18"/>
              </w:rPr>
            </w:pPr>
            <w:r>
              <w:rPr>
                <w:b/>
                <w:sz w:val="18"/>
              </w:rPr>
              <w:t>2012</w:t>
            </w:r>
          </w:p>
        </w:tc>
        <w:tc>
          <w:tcPr>
            <w:tcW w:w="4215" w:type="dxa"/>
            <w:gridSpan w:val="9"/>
            <w:shd w:val="clear" w:color="auto" w:fill="C5DFB3"/>
          </w:tcPr>
          <w:p>
            <w:pPr>
              <w:pStyle w:val="TableParagraph"/>
              <w:spacing w:line="201" w:lineRule="exact"/>
              <w:ind w:left="1880" w:right="1880"/>
              <w:rPr>
                <w:b/>
                <w:sz w:val="18"/>
              </w:rPr>
            </w:pPr>
            <w:r>
              <w:rPr>
                <w:b/>
                <w:sz w:val="18"/>
              </w:rPr>
              <w:t>2013</w:t>
            </w:r>
          </w:p>
        </w:tc>
      </w:tr>
      <w:tr>
        <w:trPr>
          <w:trHeight w:val="1630" w:hRule="exact"/>
        </w:trPr>
        <w:tc>
          <w:tcPr>
            <w:tcW w:w="2950" w:type="dxa"/>
            <w:vMerge/>
            <w:tcBorders>
              <w:bottom w:val="single" w:sz="4" w:space="0" w:color="000000"/>
            </w:tcBorders>
            <w:shd w:val="clear" w:color="auto" w:fill="C5DFB3"/>
          </w:tcPr>
          <w:p>
            <w:pPr/>
          </w:p>
        </w:tc>
        <w:tc>
          <w:tcPr>
            <w:tcW w:w="589" w:type="dxa"/>
            <w:tcBorders>
              <w:bottom w:val="single" w:sz="4" w:space="0" w:color="000000"/>
            </w:tcBorders>
            <w:shd w:val="clear" w:color="auto" w:fill="C5DFB3"/>
            <w:textDirection w:val="btLr"/>
          </w:tcPr>
          <w:p>
            <w:pPr>
              <w:pStyle w:val="TableParagraph"/>
              <w:spacing w:before="10"/>
              <w:jc w:val="left"/>
              <w:rPr>
                <w:rFonts w:ascii="Times New Roman"/>
                <w:sz w:val="16"/>
              </w:rPr>
            </w:pPr>
          </w:p>
          <w:p>
            <w:pPr>
              <w:pStyle w:val="TableParagraph"/>
              <w:jc w:val="left"/>
              <w:rPr>
                <w:b/>
                <w:sz w:val="18"/>
              </w:rPr>
            </w:pPr>
            <w:r>
              <w:rPr>
                <w:b/>
                <w:w w:val="100"/>
                <w:sz w:val="18"/>
              </w:rPr>
              <w:t>Li</w:t>
            </w:r>
            <w:r>
              <w:rPr>
                <w:b/>
                <w:w w:val="99"/>
                <w:sz w:val="18"/>
              </w:rPr>
              <w:t>c</w:t>
            </w:r>
            <w:r>
              <w:rPr>
                <w:b/>
                <w:w w:val="100"/>
                <w:sz w:val="18"/>
              </w:rPr>
              <w:t>it.</w:t>
            </w:r>
            <w:r>
              <w:rPr>
                <w:b/>
                <w:sz w:val="18"/>
              </w:rPr>
              <w:t> </w:t>
            </w:r>
            <w:r>
              <w:rPr>
                <w:b/>
                <w:w w:val="100"/>
                <w:sz w:val="18"/>
              </w:rPr>
              <w:t>Pu</w:t>
            </w:r>
            <w:r>
              <w:rPr>
                <w:b/>
                <w:spacing w:val="-2"/>
                <w:w w:val="100"/>
                <w:sz w:val="18"/>
              </w:rPr>
              <w:t>b</w:t>
            </w:r>
            <w:r>
              <w:rPr>
                <w:b/>
                <w:w w:val="100"/>
                <w:sz w:val="18"/>
              </w:rPr>
              <w:t>l</w:t>
            </w:r>
          </w:p>
        </w:tc>
        <w:tc>
          <w:tcPr>
            <w:tcW w:w="586" w:type="dxa"/>
            <w:tcBorders>
              <w:bottom w:val="single" w:sz="4" w:space="0" w:color="000000"/>
            </w:tcBorders>
            <w:shd w:val="clear" w:color="auto" w:fill="C5DFB3"/>
            <w:textDirection w:val="btLr"/>
          </w:tcPr>
          <w:p>
            <w:pPr>
              <w:pStyle w:val="TableParagraph"/>
              <w:spacing w:before="9"/>
              <w:jc w:val="left"/>
              <w:rPr>
                <w:rFonts w:ascii="Times New Roman"/>
                <w:sz w:val="16"/>
              </w:rPr>
            </w:pPr>
          </w:p>
          <w:p>
            <w:pPr>
              <w:pStyle w:val="TableParagraph"/>
              <w:jc w:val="left"/>
              <w:rPr>
                <w:b/>
                <w:sz w:val="18"/>
              </w:rPr>
            </w:pPr>
            <w:r>
              <w:rPr>
                <w:b/>
                <w:w w:val="100"/>
                <w:sz w:val="18"/>
              </w:rPr>
              <w:t>In</w:t>
            </w:r>
            <w:r>
              <w:rPr>
                <w:b/>
                <w:w w:val="99"/>
                <w:sz w:val="18"/>
              </w:rPr>
              <w:t>v</w:t>
            </w:r>
            <w:r>
              <w:rPr>
                <w:b/>
                <w:w w:val="100"/>
                <w:sz w:val="18"/>
              </w:rPr>
              <w:t>.</w:t>
            </w:r>
            <w:r>
              <w:rPr>
                <w:b/>
                <w:sz w:val="18"/>
              </w:rPr>
              <w:t> </w:t>
            </w:r>
            <w:r>
              <w:rPr>
                <w:b/>
                <w:w w:val="99"/>
                <w:sz w:val="18"/>
              </w:rPr>
              <w:t>Res</w:t>
            </w:r>
            <w:r>
              <w:rPr>
                <w:b/>
                <w:sz w:val="18"/>
              </w:rPr>
              <w:t>tr.</w:t>
            </w:r>
          </w:p>
        </w:tc>
        <w:tc>
          <w:tcPr>
            <w:tcW w:w="466" w:type="dxa"/>
            <w:tcBorders>
              <w:bottom w:val="single" w:sz="4" w:space="0" w:color="000000"/>
            </w:tcBorders>
            <w:shd w:val="clear" w:color="auto" w:fill="C5DFB3"/>
            <w:textDirection w:val="btLr"/>
          </w:tcPr>
          <w:p>
            <w:pPr>
              <w:pStyle w:val="TableParagraph"/>
              <w:spacing w:before="71"/>
              <w:jc w:val="left"/>
              <w:rPr>
                <w:b/>
                <w:sz w:val="18"/>
              </w:rPr>
            </w:pPr>
            <w:r>
              <w:rPr>
                <w:b/>
                <w:w w:val="100"/>
                <w:sz w:val="18"/>
              </w:rPr>
              <w:t>Adj.</w:t>
            </w:r>
            <w:r>
              <w:rPr>
                <w:b/>
                <w:sz w:val="18"/>
              </w:rPr>
              <w:t> </w:t>
            </w:r>
            <w:r>
              <w:rPr>
                <w:b/>
                <w:w w:val="99"/>
                <w:sz w:val="18"/>
              </w:rPr>
              <w:t>Dire</w:t>
            </w:r>
            <w:r>
              <w:rPr>
                <w:b/>
                <w:w w:val="99"/>
                <w:sz w:val="18"/>
              </w:rPr>
              <w:t>c</w:t>
            </w:r>
            <w:r>
              <w:rPr>
                <w:b/>
                <w:w w:val="100"/>
                <w:sz w:val="18"/>
              </w:rPr>
              <w:t>t.</w:t>
            </w:r>
          </w:p>
        </w:tc>
        <w:tc>
          <w:tcPr>
            <w:tcW w:w="475" w:type="dxa"/>
            <w:tcBorders>
              <w:bottom w:val="single" w:sz="4" w:space="0" w:color="000000"/>
            </w:tcBorders>
            <w:shd w:val="clear" w:color="auto" w:fill="C5DFB3"/>
            <w:textDirection w:val="btLr"/>
          </w:tcPr>
          <w:p>
            <w:pPr>
              <w:pStyle w:val="TableParagraph"/>
              <w:spacing w:before="80"/>
              <w:jc w:val="left"/>
              <w:rPr>
                <w:b/>
                <w:sz w:val="18"/>
              </w:rPr>
            </w:pPr>
            <w:r>
              <w:rPr>
                <w:b/>
                <w:w w:val="100"/>
                <w:sz w:val="18"/>
              </w:rPr>
              <w:t>Adq.</w:t>
            </w:r>
            <w:r>
              <w:rPr>
                <w:b/>
                <w:sz w:val="18"/>
              </w:rPr>
              <w:t> </w:t>
            </w:r>
            <w:r>
              <w:rPr>
                <w:b/>
                <w:w w:val="99"/>
                <w:sz w:val="18"/>
              </w:rPr>
              <w:t>Dire</w:t>
            </w:r>
            <w:r>
              <w:rPr>
                <w:b/>
                <w:w w:val="99"/>
                <w:sz w:val="18"/>
              </w:rPr>
              <w:t>c</w:t>
            </w:r>
            <w:r>
              <w:rPr>
                <w:b/>
                <w:w w:val="99"/>
                <w:sz w:val="18"/>
              </w:rPr>
              <w:t>t</w:t>
            </w:r>
          </w:p>
        </w:tc>
        <w:tc>
          <w:tcPr>
            <w:tcW w:w="466" w:type="dxa"/>
            <w:tcBorders>
              <w:bottom w:val="single" w:sz="4" w:space="0" w:color="000000"/>
            </w:tcBorders>
            <w:shd w:val="clear" w:color="auto" w:fill="C5DFB3"/>
            <w:textDirection w:val="btLr"/>
          </w:tcPr>
          <w:p>
            <w:pPr>
              <w:pStyle w:val="TableParagraph"/>
              <w:spacing w:before="71"/>
              <w:jc w:val="left"/>
              <w:rPr>
                <w:b/>
                <w:sz w:val="18"/>
              </w:rPr>
            </w:pPr>
            <w:r>
              <w:rPr>
                <w:b/>
                <w:w w:val="100"/>
                <w:sz w:val="18"/>
              </w:rPr>
              <w:t>In</w:t>
            </w:r>
            <w:r>
              <w:rPr>
                <w:b/>
                <w:w w:val="99"/>
                <w:sz w:val="18"/>
              </w:rPr>
              <w:t>v</w:t>
            </w:r>
            <w:r>
              <w:rPr>
                <w:b/>
                <w:w w:val="100"/>
                <w:sz w:val="18"/>
              </w:rPr>
              <w:t>.</w:t>
            </w:r>
            <w:r>
              <w:rPr>
                <w:b/>
                <w:sz w:val="18"/>
              </w:rPr>
              <w:t> </w:t>
            </w:r>
            <w:r>
              <w:rPr>
                <w:b/>
                <w:w w:val="99"/>
                <w:sz w:val="18"/>
              </w:rPr>
              <w:t>A</w:t>
            </w:r>
            <w:r>
              <w:rPr>
                <w:b/>
                <w:sz w:val="18"/>
              </w:rPr>
              <w:t> </w:t>
            </w:r>
            <w:r>
              <w:rPr>
                <w:b/>
                <w:w w:val="99"/>
                <w:sz w:val="18"/>
              </w:rPr>
              <w:t>3</w:t>
            </w:r>
            <w:r>
              <w:rPr>
                <w:b/>
                <w:spacing w:val="-2"/>
                <w:sz w:val="18"/>
              </w:rPr>
              <w:t> </w:t>
            </w:r>
            <w:r>
              <w:rPr>
                <w:b/>
                <w:sz w:val="18"/>
              </w:rPr>
              <w:t>perso</w:t>
            </w:r>
            <w:r>
              <w:rPr>
                <w:b/>
                <w:spacing w:val="-2"/>
                <w:w w:val="100"/>
                <w:sz w:val="18"/>
              </w:rPr>
              <w:t>n</w:t>
            </w:r>
            <w:r>
              <w:rPr>
                <w:b/>
                <w:w w:val="99"/>
                <w:sz w:val="18"/>
              </w:rPr>
              <w:t>as</w:t>
            </w:r>
          </w:p>
        </w:tc>
        <w:tc>
          <w:tcPr>
            <w:tcW w:w="466" w:type="dxa"/>
            <w:tcBorders>
              <w:bottom w:val="single" w:sz="4" w:space="0" w:color="000000"/>
            </w:tcBorders>
            <w:shd w:val="clear" w:color="auto" w:fill="C5DFB3"/>
            <w:textDirection w:val="btLr"/>
          </w:tcPr>
          <w:p>
            <w:pPr>
              <w:pStyle w:val="TableParagraph"/>
              <w:spacing w:before="71"/>
              <w:jc w:val="left"/>
              <w:rPr>
                <w:b/>
                <w:sz w:val="18"/>
              </w:rPr>
            </w:pPr>
            <w:r>
              <w:rPr>
                <w:b/>
                <w:w w:val="99"/>
                <w:sz w:val="18"/>
              </w:rPr>
              <w:t>Compra</w:t>
            </w:r>
            <w:r>
              <w:rPr>
                <w:b/>
                <w:w w:val="99"/>
                <w:sz w:val="18"/>
              </w:rPr>
              <w:t>s</w:t>
            </w:r>
            <w:r>
              <w:rPr>
                <w:b/>
                <w:sz w:val="18"/>
              </w:rPr>
              <w:t> </w:t>
            </w:r>
            <w:r>
              <w:rPr>
                <w:b/>
                <w:spacing w:val="-2"/>
                <w:w w:val="99"/>
                <w:sz w:val="18"/>
              </w:rPr>
              <w:t>m</w:t>
            </w:r>
            <w:r>
              <w:rPr>
                <w:b/>
                <w:w w:val="99"/>
                <w:sz w:val="18"/>
              </w:rPr>
              <w:t>e</w:t>
            </w:r>
            <w:r>
              <w:rPr>
                <w:b/>
                <w:w w:val="100"/>
                <w:sz w:val="18"/>
              </w:rPr>
              <w:t>no</w:t>
            </w:r>
            <w:r>
              <w:rPr>
                <w:b/>
                <w:w w:val="99"/>
                <w:sz w:val="18"/>
              </w:rPr>
              <w:t>res</w:t>
            </w:r>
          </w:p>
        </w:tc>
        <w:tc>
          <w:tcPr>
            <w:tcW w:w="463" w:type="dxa"/>
            <w:tcBorders>
              <w:bottom w:val="single" w:sz="4" w:space="0" w:color="000000"/>
            </w:tcBorders>
            <w:shd w:val="clear" w:color="auto" w:fill="C5DFB3"/>
            <w:textDirection w:val="btLr"/>
          </w:tcPr>
          <w:p>
            <w:pPr>
              <w:pStyle w:val="TableParagraph"/>
              <w:spacing w:before="68"/>
              <w:jc w:val="left"/>
              <w:rPr>
                <w:b/>
                <w:sz w:val="18"/>
              </w:rPr>
            </w:pPr>
            <w:r>
              <w:rPr>
                <w:b/>
                <w:w w:val="100"/>
                <w:sz w:val="18"/>
              </w:rPr>
              <w:t>Cont</w:t>
            </w:r>
            <w:r>
              <w:rPr>
                <w:b/>
                <w:w w:val="99"/>
                <w:sz w:val="18"/>
              </w:rPr>
              <w:t>rato </w:t>
            </w:r>
            <w:r>
              <w:rPr>
                <w:b/>
                <w:w w:val="100"/>
                <w:sz w:val="18"/>
              </w:rPr>
              <w:t>p</w:t>
            </w:r>
            <w:r>
              <w:rPr>
                <w:b/>
                <w:w w:val="99"/>
                <w:sz w:val="18"/>
              </w:rPr>
              <w:t>e</w:t>
            </w:r>
            <w:r>
              <w:rPr>
                <w:b/>
                <w:w w:val="100"/>
                <w:sz w:val="18"/>
              </w:rPr>
              <w:t>d</w:t>
            </w:r>
            <w:r>
              <w:rPr>
                <w:b/>
                <w:spacing w:val="-2"/>
                <w:w w:val="100"/>
                <w:sz w:val="18"/>
              </w:rPr>
              <w:t>i</w:t>
            </w:r>
            <w:r>
              <w:rPr>
                <w:b/>
                <w:w w:val="100"/>
                <w:sz w:val="18"/>
              </w:rPr>
              <w:t>do</w:t>
            </w:r>
          </w:p>
        </w:tc>
        <w:tc>
          <w:tcPr>
            <w:tcW w:w="466" w:type="dxa"/>
            <w:tcBorders>
              <w:bottom w:val="single" w:sz="4" w:space="0" w:color="000000"/>
            </w:tcBorders>
            <w:shd w:val="clear" w:color="auto" w:fill="C5DFB3"/>
            <w:textDirection w:val="btLr"/>
          </w:tcPr>
          <w:p>
            <w:pPr>
              <w:pStyle w:val="TableParagraph"/>
              <w:spacing w:before="66"/>
              <w:jc w:val="left"/>
              <w:rPr>
                <w:b/>
                <w:sz w:val="18"/>
              </w:rPr>
            </w:pPr>
            <w:r>
              <w:rPr>
                <w:b/>
                <w:w w:val="99"/>
                <w:sz w:val="18"/>
              </w:rPr>
              <w:t>Compra</w:t>
            </w:r>
            <w:r>
              <w:rPr>
                <w:b/>
                <w:w w:val="99"/>
                <w:sz w:val="18"/>
              </w:rPr>
              <w:t>s</w:t>
            </w:r>
          </w:p>
        </w:tc>
        <w:tc>
          <w:tcPr>
            <w:tcW w:w="475" w:type="dxa"/>
            <w:tcBorders>
              <w:bottom w:val="single" w:sz="4" w:space="0" w:color="000000"/>
            </w:tcBorders>
            <w:shd w:val="clear" w:color="auto" w:fill="C5DFB3"/>
            <w:textDirection w:val="btLr"/>
          </w:tcPr>
          <w:p>
            <w:pPr>
              <w:pStyle w:val="TableParagraph"/>
              <w:spacing w:before="80"/>
              <w:jc w:val="left"/>
              <w:rPr>
                <w:b/>
                <w:sz w:val="18"/>
              </w:rPr>
            </w:pPr>
            <w:r>
              <w:rPr>
                <w:b/>
                <w:w w:val="100"/>
                <w:sz w:val="18"/>
              </w:rPr>
              <w:t>To</w:t>
            </w:r>
            <w:r>
              <w:rPr>
                <w:b/>
                <w:w w:val="99"/>
                <w:sz w:val="18"/>
              </w:rPr>
              <w:t>ta</w:t>
            </w:r>
            <w:r>
              <w:rPr>
                <w:b/>
                <w:w w:val="100"/>
                <w:sz w:val="18"/>
              </w:rPr>
              <w:t>l</w:t>
            </w:r>
          </w:p>
        </w:tc>
        <w:tc>
          <w:tcPr>
            <w:tcW w:w="466" w:type="dxa"/>
            <w:tcBorders>
              <w:bottom w:val="single" w:sz="4" w:space="0" w:color="000000"/>
            </w:tcBorders>
            <w:shd w:val="clear" w:color="auto" w:fill="C5DFB3"/>
            <w:textDirection w:val="btLr"/>
          </w:tcPr>
          <w:p>
            <w:pPr>
              <w:pStyle w:val="TableParagraph"/>
              <w:spacing w:before="71"/>
              <w:jc w:val="left"/>
              <w:rPr>
                <w:b/>
                <w:sz w:val="18"/>
              </w:rPr>
            </w:pPr>
            <w:r>
              <w:rPr>
                <w:b/>
                <w:w w:val="100"/>
                <w:sz w:val="18"/>
              </w:rPr>
              <w:t>Li</w:t>
            </w:r>
            <w:r>
              <w:rPr>
                <w:b/>
                <w:w w:val="99"/>
                <w:sz w:val="18"/>
              </w:rPr>
              <w:t>c</w:t>
            </w:r>
            <w:r>
              <w:rPr>
                <w:b/>
                <w:w w:val="100"/>
                <w:sz w:val="18"/>
              </w:rPr>
              <w:t>it.</w:t>
            </w:r>
            <w:r>
              <w:rPr>
                <w:b/>
                <w:sz w:val="18"/>
              </w:rPr>
              <w:t> </w:t>
            </w:r>
            <w:r>
              <w:rPr>
                <w:b/>
                <w:w w:val="100"/>
                <w:sz w:val="18"/>
              </w:rPr>
              <w:t>Pu</w:t>
            </w:r>
            <w:r>
              <w:rPr>
                <w:b/>
                <w:spacing w:val="-2"/>
                <w:w w:val="100"/>
                <w:sz w:val="18"/>
              </w:rPr>
              <w:t>b</w:t>
            </w:r>
            <w:r>
              <w:rPr>
                <w:b/>
                <w:w w:val="100"/>
                <w:sz w:val="18"/>
              </w:rPr>
              <w:t>l</w:t>
            </w:r>
          </w:p>
        </w:tc>
        <w:tc>
          <w:tcPr>
            <w:tcW w:w="466" w:type="dxa"/>
            <w:tcBorders>
              <w:bottom w:val="single" w:sz="4" w:space="0" w:color="000000"/>
            </w:tcBorders>
            <w:shd w:val="clear" w:color="auto" w:fill="C5DFB3"/>
            <w:textDirection w:val="btLr"/>
          </w:tcPr>
          <w:p>
            <w:pPr>
              <w:pStyle w:val="TableParagraph"/>
              <w:spacing w:before="71"/>
              <w:jc w:val="left"/>
              <w:rPr>
                <w:b/>
                <w:sz w:val="18"/>
              </w:rPr>
            </w:pPr>
            <w:r>
              <w:rPr>
                <w:b/>
                <w:w w:val="100"/>
                <w:sz w:val="18"/>
              </w:rPr>
              <w:t>In</w:t>
            </w:r>
            <w:r>
              <w:rPr>
                <w:b/>
                <w:w w:val="99"/>
                <w:sz w:val="18"/>
              </w:rPr>
              <w:t>v</w:t>
            </w:r>
            <w:r>
              <w:rPr>
                <w:b/>
                <w:w w:val="100"/>
                <w:sz w:val="18"/>
              </w:rPr>
              <w:t>.</w:t>
            </w:r>
            <w:r>
              <w:rPr>
                <w:b/>
                <w:sz w:val="18"/>
              </w:rPr>
              <w:t> </w:t>
            </w:r>
            <w:r>
              <w:rPr>
                <w:b/>
                <w:w w:val="99"/>
                <w:sz w:val="18"/>
              </w:rPr>
              <w:t>Res</w:t>
            </w:r>
            <w:r>
              <w:rPr>
                <w:b/>
                <w:sz w:val="18"/>
              </w:rPr>
              <w:t>tr.</w:t>
            </w:r>
          </w:p>
        </w:tc>
        <w:tc>
          <w:tcPr>
            <w:tcW w:w="473" w:type="dxa"/>
            <w:tcBorders>
              <w:bottom w:val="single" w:sz="4" w:space="0" w:color="000000"/>
            </w:tcBorders>
            <w:shd w:val="clear" w:color="auto" w:fill="C5DFB3"/>
            <w:textDirection w:val="btLr"/>
          </w:tcPr>
          <w:p>
            <w:pPr>
              <w:pStyle w:val="TableParagraph"/>
              <w:spacing w:before="80"/>
              <w:jc w:val="left"/>
              <w:rPr>
                <w:b/>
                <w:sz w:val="18"/>
              </w:rPr>
            </w:pPr>
            <w:r>
              <w:rPr>
                <w:b/>
                <w:w w:val="100"/>
                <w:sz w:val="18"/>
              </w:rPr>
              <w:t>Adj.</w:t>
            </w:r>
            <w:r>
              <w:rPr>
                <w:b/>
                <w:sz w:val="18"/>
              </w:rPr>
              <w:t> </w:t>
            </w:r>
            <w:r>
              <w:rPr>
                <w:b/>
                <w:w w:val="99"/>
                <w:sz w:val="18"/>
              </w:rPr>
              <w:t>Dire</w:t>
            </w:r>
            <w:r>
              <w:rPr>
                <w:b/>
                <w:w w:val="99"/>
                <w:sz w:val="18"/>
              </w:rPr>
              <w:t>c</w:t>
            </w:r>
            <w:r>
              <w:rPr>
                <w:b/>
                <w:w w:val="100"/>
                <w:sz w:val="18"/>
              </w:rPr>
              <w:t>t.</w:t>
            </w:r>
          </w:p>
        </w:tc>
        <w:tc>
          <w:tcPr>
            <w:tcW w:w="475" w:type="dxa"/>
            <w:tcBorders>
              <w:bottom w:val="single" w:sz="4" w:space="0" w:color="000000"/>
            </w:tcBorders>
            <w:shd w:val="clear" w:color="auto" w:fill="C5DFB3"/>
            <w:textDirection w:val="btLr"/>
          </w:tcPr>
          <w:p>
            <w:pPr>
              <w:pStyle w:val="TableParagraph"/>
              <w:spacing w:before="80"/>
              <w:jc w:val="left"/>
              <w:rPr>
                <w:b/>
                <w:sz w:val="18"/>
              </w:rPr>
            </w:pPr>
            <w:r>
              <w:rPr>
                <w:b/>
                <w:w w:val="100"/>
                <w:sz w:val="18"/>
              </w:rPr>
              <w:t>Adq.</w:t>
            </w:r>
            <w:r>
              <w:rPr>
                <w:b/>
                <w:sz w:val="18"/>
              </w:rPr>
              <w:t> </w:t>
            </w:r>
            <w:r>
              <w:rPr>
                <w:b/>
                <w:w w:val="99"/>
                <w:sz w:val="18"/>
              </w:rPr>
              <w:t>Dire</w:t>
            </w:r>
            <w:r>
              <w:rPr>
                <w:b/>
                <w:w w:val="99"/>
                <w:sz w:val="18"/>
              </w:rPr>
              <w:t>c</w:t>
            </w:r>
            <w:r>
              <w:rPr>
                <w:b/>
                <w:w w:val="99"/>
                <w:sz w:val="18"/>
              </w:rPr>
              <w:t>t</w:t>
            </w:r>
          </w:p>
        </w:tc>
        <w:tc>
          <w:tcPr>
            <w:tcW w:w="466" w:type="dxa"/>
            <w:tcBorders>
              <w:bottom w:val="single" w:sz="4" w:space="0" w:color="000000"/>
            </w:tcBorders>
            <w:shd w:val="clear" w:color="auto" w:fill="C5DFB3"/>
            <w:textDirection w:val="btLr"/>
          </w:tcPr>
          <w:p>
            <w:pPr>
              <w:pStyle w:val="TableParagraph"/>
              <w:spacing w:before="71"/>
              <w:jc w:val="left"/>
              <w:rPr>
                <w:b/>
                <w:sz w:val="18"/>
              </w:rPr>
            </w:pPr>
            <w:r>
              <w:rPr>
                <w:b/>
                <w:w w:val="100"/>
                <w:sz w:val="18"/>
              </w:rPr>
              <w:t>In</w:t>
            </w:r>
            <w:r>
              <w:rPr>
                <w:b/>
                <w:w w:val="99"/>
                <w:sz w:val="18"/>
              </w:rPr>
              <w:t>v</w:t>
            </w:r>
            <w:r>
              <w:rPr>
                <w:b/>
                <w:w w:val="100"/>
                <w:sz w:val="18"/>
              </w:rPr>
              <w:t>.</w:t>
            </w:r>
            <w:r>
              <w:rPr>
                <w:b/>
                <w:sz w:val="18"/>
              </w:rPr>
              <w:t> </w:t>
            </w:r>
            <w:r>
              <w:rPr>
                <w:b/>
                <w:w w:val="99"/>
                <w:sz w:val="18"/>
              </w:rPr>
              <w:t>A</w:t>
            </w:r>
            <w:r>
              <w:rPr>
                <w:b/>
                <w:sz w:val="18"/>
              </w:rPr>
              <w:t> </w:t>
            </w:r>
            <w:r>
              <w:rPr>
                <w:b/>
                <w:w w:val="99"/>
                <w:sz w:val="18"/>
              </w:rPr>
              <w:t>3</w:t>
            </w:r>
            <w:r>
              <w:rPr>
                <w:b/>
                <w:spacing w:val="-2"/>
                <w:sz w:val="18"/>
              </w:rPr>
              <w:t> </w:t>
            </w:r>
            <w:r>
              <w:rPr>
                <w:b/>
                <w:sz w:val="18"/>
              </w:rPr>
              <w:t>perso</w:t>
            </w:r>
            <w:r>
              <w:rPr>
                <w:b/>
                <w:spacing w:val="-2"/>
                <w:w w:val="100"/>
                <w:sz w:val="18"/>
              </w:rPr>
              <w:t>n</w:t>
            </w:r>
            <w:r>
              <w:rPr>
                <w:b/>
                <w:w w:val="99"/>
                <w:sz w:val="18"/>
              </w:rPr>
              <w:t>as</w:t>
            </w:r>
          </w:p>
        </w:tc>
        <w:tc>
          <w:tcPr>
            <w:tcW w:w="466" w:type="dxa"/>
            <w:tcBorders>
              <w:bottom w:val="single" w:sz="4" w:space="0" w:color="000000"/>
            </w:tcBorders>
            <w:shd w:val="clear" w:color="auto" w:fill="C5DFB3"/>
            <w:textDirection w:val="btLr"/>
          </w:tcPr>
          <w:p>
            <w:pPr>
              <w:pStyle w:val="TableParagraph"/>
              <w:spacing w:before="71"/>
              <w:jc w:val="left"/>
              <w:rPr>
                <w:b/>
                <w:sz w:val="18"/>
              </w:rPr>
            </w:pPr>
            <w:r>
              <w:rPr>
                <w:b/>
                <w:w w:val="99"/>
                <w:sz w:val="18"/>
              </w:rPr>
              <w:t>Compra</w:t>
            </w:r>
            <w:r>
              <w:rPr>
                <w:b/>
                <w:w w:val="99"/>
                <w:sz w:val="18"/>
              </w:rPr>
              <w:t>s</w:t>
            </w:r>
            <w:r>
              <w:rPr>
                <w:b/>
                <w:sz w:val="18"/>
              </w:rPr>
              <w:t> </w:t>
            </w:r>
            <w:r>
              <w:rPr>
                <w:b/>
                <w:spacing w:val="-2"/>
                <w:w w:val="99"/>
                <w:sz w:val="18"/>
              </w:rPr>
              <w:t>m</w:t>
            </w:r>
            <w:r>
              <w:rPr>
                <w:b/>
                <w:w w:val="99"/>
                <w:sz w:val="18"/>
              </w:rPr>
              <w:t>e</w:t>
            </w:r>
            <w:r>
              <w:rPr>
                <w:b/>
                <w:w w:val="100"/>
                <w:sz w:val="18"/>
              </w:rPr>
              <w:t>no</w:t>
            </w:r>
            <w:r>
              <w:rPr>
                <w:b/>
                <w:w w:val="99"/>
                <w:sz w:val="18"/>
              </w:rPr>
              <w:t>res</w:t>
            </w:r>
          </w:p>
        </w:tc>
        <w:tc>
          <w:tcPr>
            <w:tcW w:w="466" w:type="dxa"/>
            <w:tcBorders>
              <w:bottom w:val="single" w:sz="4" w:space="0" w:color="000000"/>
            </w:tcBorders>
            <w:shd w:val="clear" w:color="auto" w:fill="C5DFB3"/>
            <w:textDirection w:val="btLr"/>
          </w:tcPr>
          <w:p>
            <w:pPr>
              <w:pStyle w:val="TableParagraph"/>
              <w:spacing w:before="71"/>
              <w:jc w:val="left"/>
              <w:rPr>
                <w:b/>
                <w:sz w:val="18"/>
              </w:rPr>
            </w:pPr>
            <w:r>
              <w:rPr>
                <w:b/>
                <w:w w:val="100"/>
                <w:sz w:val="18"/>
              </w:rPr>
              <w:t>Cont</w:t>
            </w:r>
            <w:r>
              <w:rPr>
                <w:b/>
                <w:w w:val="99"/>
                <w:sz w:val="18"/>
              </w:rPr>
              <w:t>rato </w:t>
            </w:r>
            <w:r>
              <w:rPr>
                <w:b/>
                <w:w w:val="100"/>
                <w:sz w:val="18"/>
              </w:rPr>
              <w:t>p</w:t>
            </w:r>
            <w:r>
              <w:rPr>
                <w:b/>
                <w:w w:val="99"/>
                <w:sz w:val="18"/>
              </w:rPr>
              <w:t>e</w:t>
            </w:r>
            <w:r>
              <w:rPr>
                <w:b/>
                <w:w w:val="100"/>
                <w:sz w:val="18"/>
              </w:rPr>
              <w:t>d</w:t>
            </w:r>
            <w:r>
              <w:rPr>
                <w:b/>
                <w:spacing w:val="-2"/>
                <w:w w:val="100"/>
                <w:sz w:val="18"/>
              </w:rPr>
              <w:t>i</w:t>
            </w:r>
            <w:r>
              <w:rPr>
                <w:b/>
                <w:w w:val="100"/>
                <w:sz w:val="18"/>
              </w:rPr>
              <w:t>do</w:t>
            </w:r>
          </w:p>
        </w:tc>
        <w:tc>
          <w:tcPr>
            <w:tcW w:w="463" w:type="dxa"/>
            <w:tcBorders>
              <w:bottom w:val="single" w:sz="4" w:space="0" w:color="000000"/>
            </w:tcBorders>
            <w:shd w:val="clear" w:color="auto" w:fill="C5DFB3"/>
            <w:textDirection w:val="btLr"/>
          </w:tcPr>
          <w:p>
            <w:pPr>
              <w:pStyle w:val="TableParagraph"/>
              <w:spacing w:before="64"/>
              <w:jc w:val="left"/>
              <w:rPr>
                <w:b/>
                <w:sz w:val="18"/>
              </w:rPr>
            </w:pPr>
            <w:r>
              <w:rPr>
                <w:b/>
                <w:w w:val="99"/>
                <w:sz w:val="18"/>
              </w:rPr>
              <w:t>Compra</w:t>
            </w:r>
            <w:r>
              <w:rPr>
                <w:b/>
                <w:w w:val="99"/>
                <w:sz w:val="18"/>
              </w:rPr>
              <w:t>s</w:t>
            </w:r>
          </w:p>
        </w:tc>
        <w:tc>
          <w:tcPr>
            <w:tcW w:w="475" w:type="dxa"/>
            <w:tcBorders>
              <w:bottom w:val="single" w:sz="4" w:space="0" w:color="000000"/>
            </w:tcBorders>
            <w:shd w:val="clear" w:color="auto" w:fill="C5DFB3"/>
            <w:textDirection w:val="btLr"/>
          </w:tcPr>
          <w:p>
            <w:pPr>
              <w:pStyle w:val="TableParagraph"/>
              <w:spacing w:before="80"/>
              <w:jc w:val="left"/>
              <w:rPr>
                <w:b/>
                <w:sz w:val="18"/>
              </w:rPr>
            </w:pPr>
            <w:r>
              <w:rPr>
                <w:b/>
                <w:w w:val="100"/>
                <w:sz w:val="18"/>
              </w:rPr>
              <w:t>To</w:t>
            </w:r>
            <w:r>
              <w:rPr>
                <w:b/>
                <w:w w:val="99"/>
                <w:sz w:val="18"/>
              </w:rPr>
              <w:t>ta</w:t>
            </w:r>
            <w:r>
              <w:rPr>
                <w:b/>
                <w:w w:val="100"/>
                <w:sz w:val="18"/>
              </w:rPr>
              <w:t>l</w:t>
            </w:r>
          </w:p>
        </w:tc>
      </w:tr>
      <w:tr>
        <w:trPr>
          <w:trHeight w:val="322" w:hRule="exact"/>
        </w:trPr>
        <w:tc>
          <w:tcPr>
            <w:tcW w:w="2950" w:type="dxa"/>
            <w:tcBorders>
              <w:top w:val="single" w:sz="4" w:space="0" w:color="000000"/>
              <w:left w:val="single" w:sz="8" w:space="0" w:color="000000"/>
            </w:tcBorders>
          </w:tcPr>
          <w:p>
            <w:pPr>
              <w:pStyle w:val="TableParagraph"/>
              <w:spacing w:line="201" w:lineRule="exact"/>
              <w:ind w:left="60"/>
              <w:jc w:val="left"/>
              <w:rPr>
                <w:b/>
                <w:sz w:val="18"/>
              </w:rPr>
            </w:pPr>
            <w:r>
              <w:rPr>
                <w:b/>
                <w:color w:val="333333"/>
                <w:sz w:val="18"/>
              </w:rPr>
              <w:t>CHALCO</w:t>
            </w:r>
          </w:p>
        </w:tc>
        <w:tc>
          <w:tcPr>
            <w:tcW w:w="589" w:type="dxa"/>
            <w:tcBorders>
              <w:top w:val="single" w:sz="4" w:space="0" w:color="000000"/>
            </w:tcBorders>
          </w:tcPr>
          <w:p>
            <w:pPr>
              <w:pStyle w:val="TableParagraph"/>
              <w:spacing w:line="206" w:lineRule="exact"/>
              <w:ind w:left="2"/>
              <w:rPr>
                <w:sz w:val="18"/>
              </w:rPr>
            </w:pPr>
            <w:r>
              <w:rPr>
                <w:w w:val="99"/>
                <w:sz w:val="18"/>
              </w:rPr>
              <w:t>0</w:t>
            </w:r>
          </w:p>
        </w:tc>
        <w:tc>
          <w:tcPr>
            <w:tcW w:w="586" w:type="dxa"/>
            <w:tcBorders>
              <w:top w:val="single" w:sz="4" w:space="0" w:color="000000"/>
            </w:tcBorders>
          </w:tcPr>
          <w:p>
            <w:pPr>
              <w:pStyle w:val="TableParagraph"/>
              <w:spacing w:line="206" w:lineRule="exact"/>
              <w:ind w:left="237"/>
              <w:jc w:val="left"/>
              <w:rPr>
                <w:sz w:val="18"/>
              </w:rPr>
            </w:pPr>
            <w:r>
              <w:rPr>
                <w:w w:val="99"/>
                <w:sz w:val="18"/>
              </w:rPr>
              <w:t>0</w:t>
            </w:r>
          </w:p>
        </w:tc>
        <w:tc>
          <w:tcPr>
            <w:tcW w:w="466" w:type="dxa"/>
            <w:tcBorders>
              <w:top w:val="single" w:sz="4" w:space="0" w:color="000000"/>
            </w:tcBorders>
          </w:tcPr>
          <w:p>
            <w:pPr>
              <w:pStyle w:val="TableParagraph"/>
              <w:spacing w:line="206" w:lineRule="exact"/>
              <w:rPr>
                <w:sz w:val="18"/>
              </w:rPr>
            </w:pPr>
            <w:r>
              <w:rPr>
                <w:w w:val="99"/>
                <w:sz w:val="18"/>
              </w:rPr>
              <w:t>1</w:t>
            </w:r>
          </w:p>
        </w:tc>
        <w:tc>
          <w:tcPr>
            <w:tcW w:w="475" w:type="dxa"/>
            <w:tcBorders>
              <w:top w:val="single" w:sz="4" w:space="0" w:color="000000"/>
            </w:tcBorders>
          </w:tcPr>
          <w:p>
            <w:pPr>
              <w:pStyle w:val="TableParagraph"/>
              <w:spacing w:line="206" w:lineRule="exact"/>
              <w:ind w:left="4"/>
              <w:rPr>
                <w:sz w:val="18"/>
              </w:rPr>
            </w:pPr>
            <w:r>
              <w:rPr>
                <w:w w:val="99"/>
                <w:sz w:val="18"/>
              </w:rPr>
              <w:t>0</w:t>
            </w:r>
          </w:p>
        </w:tc>
        <w:tc>
          <w:tcPr>
            <w:tcW w:w="466" w:type="dxa"/>
            <w:tcBorders>
              <w:top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tcBorders>
          </w:tcPr>
          <w:p>
            <w:pPr>
              <w:pStyle w:val="TableParagraph"/>
              <w:spacing w:line="206" w:lineRule="exact"/>
              <w:ind w:right="3"/>
              <w:rPr>
                <w:sz w:val="18"/>
              </w:rPr>
            </w:pPr>
            <w:r>
              <w:rPr>
                <w:w w:val="99"/>
                <w:sz w:val="18"/>
              </w:rPr>
              <w:t>0</w:t>
            </w:r>
          </w:p>
        </w:tc>
        <w:tc>
          <w:tcPr>
            <w:tcW w:w="463" w:type="dxa"/>
            <w:tcBorders>
              <w:top w:val="single" w:sz="4" w:space="0" w:color="000000"/>
            </w:tcBorders>
          </w:tcPr>
          <w:p>
            <w:pPr>
              <w:pStyle w:val="TableParagraph"/>
              <w:spacing w:line="206" w:lineRule="exact"/>
              <w:ind w:right="176"/>
              <w:jc w:val="right"/>
              <w:rPr>
                <w:sz w:val="18"/>
              </w:rPr>
            </w:pPr>
            <w:r>
              <w:rPr>
                <w:w w:val="99"/>
                <w:sz w:val="18"/>
              </w:rPr>
              <w:t>0</w:t>
            </w:r>
          </w:p>
        </w:tc>
        <w:tc>
          <w:tcPr>
            <w:tcW w:w="466" w:type="dxa"/>
            <w:tcBorders>
              <w:top w:val="single" w:sz="4" w:space="0" w:color="000000"/>
            </w:tcBorders>
          </w:tcPr>
          <w:p>
            <w:pPr>
              <w:pStyle w:val="TableParagraph"/>
              <w:spacing w:line="206" w:lineRule="exact"/>
              <w:ind w:right="176"/>
              <w:jc w:val="right"/>
              <w:rPr>
                <w:sz w:val="18"/>
              </w:rPr>
            </w:pPr>
            <w:r>
              <w:rPr>
                <w:w w:val="99"/>
                <w:sz w:val="18"/>
              </w:rPr>
              <w:t>0</w:t>
            </w:r>
          </w:p>
        </w:tc>
        <w:tc>
          <w:tcPr>
            <w:tcW w:w="475" w:type="dxa"/>
            <w:tcBorders>
              <w:top w:val="single" w:sz="4" w:space="0" w:color="000000"/>
            </w:tcBorders>
          </w:tcPr>
          <w:p>
            <w:pPr>
              <w:pStyle w:val="TableParagraph"/>
              <w:spacing w:line="206" w:lineRule="exact"/>
              <w:ind w:right="181"/>
              <w:jc w:val="right"/>
              <w:rPr>
                <w:sz w:val="18"/>
              </w:rPr>
            </w:pPr>
            <w:r>
              <w:rPr>
                <w:w w:val="99"/>
                <w:sz w:val="18"/>
              </w:rPr>
              <w:t>1</w:t>
            </w:r>
          </w:p>
        </w:tc>
        <w:tc>
          <w:tcPr>
            <w:tcW w:w="466" w:type="dxa"/>
            <w:tcBorders>
              <w:top w:val="single" w:sz="4" w:space="0" w:color="000000"/>
            </w:tcBorders>
          </w:tcPr>
          <w:p>
            <w:pPr>
              <w:pStyle w:val="TableParagraph"/>
              <w:spacing w:line="206" w:lineRule="exact"/>
              <w:ind w:right="3"/>
              <w:rPr>
                <w:sz w:val="18"/>
              </w:rPr>
            </w:pPr>
            <w:r>
              <w:rPr>
                <w:w w:val="99"/>
                <w:sz w:val="18"/>
              </w:rPr>
              <w:t>0</w:t>
            </w:r>
          </w:p>
        </w:tc>
        <w:tc>
          <w:tcPr>
            <w:tcW w:w="466" w:type="dxa"/>
            <w:tcBorders>
              <w:top w:val="single" w:sz="4" w:space="0" w:color="000000"/>
            </w:tcBorders>
          </w:tcPr>
          <w:p>
            <w:pPr>
              <w:pStyle w:val="TableParagraph"/>
              <w:spacing w:line="206" w:lineRule="exact"/>
              <w:ind w:right="3"/>
              <w:rPr>
                <w:sz w:val="18"/>
              </w:rPr>
            </w:pPr>
            <w:r>
              <w:rPr>
                <w:w w:val="99"/>
                <w:sz w:val="18"/>
              </w:rPr>
              <w:t>1</w:t>
            </w:r>
          </w:p>
        </w:tc>
        <w:tc>
          <w:tcPr>
            <w:tcW w:w="473" w:type="dxa"/>
            <w:tcBorders>
              <w:top w:val="single" w:sz="4" w:space="0" w:color="000000"/>
            </w:tcBorders>
          </w:tcPr>
          <w:p>
            <w:pPr>
              <w:pStyle w:val="TableParagraph"/>
              <w:spacing w:line="206" w:lineRule="exact"/>
              <w:ind w:right="178"/>
              <w:jc w:val="right"/>
              <w:rPr>
                <w:sz w:val="18"/>
              </w:rPr>
            </w:pPr>
            <w:r>
              <w:rPr>
                <w:w w:val="99"/>
                <w:sz w:val="18"/>
              </w:rPr>
              <w:t>7</w:t>
            </w:r>
          </w:p>
        </w:tc>
        <w:tc>
          <w:tcPr>
            <w:tcW w:w="475" w:type="dxa"/>
            <w:tcBorders>
              <w:top w:val="single" w:sz="4" w:space="0" w:color="000000"/>
            </w:tcBorders>
          </w:tcPr>
          <w:p>
            <w:pPr>
              <w:pStyle w:val="TableParagraph"/>
              <w:spacing w:line="206" w:lineRule="exact"/>
              <w:ind w:left="4"/>
              <w:rPr>
                <w:sz w:val="18"/>
              </w:rPr>
            </w:pPr>
            <w:r>
              <w:rPr>
                <w:w w:val="99"/>
                <w:sz w:val="18"/>
              </w:rPr>
              <w:t>0</w:t>
            </w:r>
          </w:p>
        </w:tc>
        <w:tc>
          <w:tcPr>
            <w:tcW w:w="466" w:type="dxa"/>
            <w:tcBorders>
              <w:top w:val="single" w:sz="4" w:space="0" w:color="000000"/>
            </w:tcBorders>
          </w:tcPr>
          <w:p>
            <w:pPr>
              <w:pStyle w:val="TableParagraph"/>
              <w:spacing w:line="206" w:lineRule="exact"/>
              <w:rPr>
                <w:sz w:val="18"/>
              </w:rPr>
            </w:pPr>
            <w:r>
              <w:rPr>
                <w:w w:val="99"/>
                <w:sz w:val="18"/>
              </w:rPr>
              <w:t>0</w:t>
            </w:r>
          </w:p>
        </w:tc>
        <w:tc>
          <w:tcPr>
            <w:tcW w:w="466" w:type="dxa"/>
            <w:tcBorders>
              <w:top w:val="single" w:sz="4" w:space="0" w:color="000000"/>
            </w:tcBorders>
          </w:tcPr>
          <w:p>
            <w:pPr>
              <w:pStyle w:val="TableParagraph"/>
              <w:spacing w:line="206" w:lineRule="exact"/>
              <w:ind w:right="179"/>
              <w:jc w:val="right"/>
              <w:rPr>
                <w:sz w:val="18"/>
              </w:rPr>
            </w:pPr>
            <w:r>
              <w:rPr>
                <w:w w:val="99"/>
                <w:sz w:val="18"/>
              </w:rPr>
              <w:t>0</w:t>
            </w:r>
          </w:p>
        </w:tc>
        <w:tc>
          <w:tcPr>
            <w:tcW w:w="466" w:type="dxa"/>
            <w:tcBorders>
              <w:top w:val="single" w:sz="4" w:space="0" w:color="000000"/>
            </w:tcBorders>
          </w:tcPr>
          <w:p>
            <w:pPr>
              <w:pStyle w:val="TableParagraph"/>
              <w:spacing w:line="206" w:lineRule="exact"/>
              <w:ind w:right="3"/>
              <w:rPr>
                <w:sz w:val="18"/>
              </w:rPr>
            </w:pPr>
            <w:r>
              <w:rPr>
                <w:w w:val="99"/>
                <w:sz w:val="18"/>
              </w:rPr>
              <w:t>0</w:t>
            </w:r>
          </w:p>
        </w:tc>
        <w:tc>
          <w:tcPr>
            <w:tcW w:w="463" w:type="dxa"/>
            <w:tcBorders>
              <w:top w:val="single" w:sz="4" w:space="0" w:color="000000"/>
            </w:tcBorders>
          </w:tcPr>
          <w:p>
            <w:pPr>
              <w:pStyle w:val="TableParagraph"/>
              <w:spacing w:line="206" w:lineRule="exact"/>
              <w:ind w:left="175"/>
              <w:jc w:val="left"/>
              <w:rPr>
                <w:sz w:val="18"/>
              </w:rPr>
            </w:pPr>
            <w:r>
              <w:rPr>
                <w:w w:val="99"/>
                <w:sz w:val="18"/>
              </w:rPr>
              <w:t>0</w:t>
            </w:r>
          </w:p>
        </w:tc>
        <w:tc>
          <w:tcPr>
            <w:tcW w:w="475" w:type="dxa"/>
            <w:tcBorders>
              <w:top w:val="single" w:sz="4" w:space="0" w:color="000000"/>
            </w:tcBorders>
          </w:tcPr>
          <w:p>
            <w:pPr>
              <w:pStyle w:val="TableParagraph"/>
              <w:spacing w:line="201" w:lineRule="exact"/>
              <w:ind w:left="4"/>
              <w:rPr>
                <w:b/>
                <w:sz w:val="18"/>
              </w:rPr>
            </w:pPr>
            <w:r>
              <w:rPr>
                <w:b/>
                <w:w w:val="99"/>
                <w:sz w:val="18"/>
              </w:rPr>
              <w:t>8</w:t>
            </w:r>
          </w:p>
        </w:tc>
      </w:tr>
      <w:tr>
        <w:trPr>
          <w:trHeight w:val="319" w:hRule="exact"/>
        </w:trPr>
        <w:tc>
          <w:tcPr>
            <w:tcW w:w="2950" w:type="dxa"/>
            <w:tcBorders>
              <w:left w:val="single" w:sz="8" w:space="0" w:color="000000"/>
            </w:tcBorders>
          </w:tcPr>
          <w:p>
            <w:pPr>
              <w:pStyle w:val="TableParagraph"/>
              <w:spacing w:line="201" w:lineRule="exact"/>
              <w:ind w:left="60"/>
              <w:jc w:val="left"/>
              <w:rPr>
                <w:b/>
                <w:sz w:val="18"/>
              </w:rPr>
            </w:pPr>
            <w:r>
              <w:rPr>
                <w:b/>
                <w:color w:val="333333"/>
                <w:sz w:val="18"/>
              </w:rPr>
              <w:t>CHAPA DE MOTA</w:t>
            </w:r>
          </w:p>
        </w:tc>
        <w:tc>
          <w:tcPr>
            <w:tcW w:w="589" w:type="dxa"/>
          </w:tcPr>
          <w:p>
            <w:pPr>
              <w:pStyle w:val="TableParagraph"/>
              <w:spacing w:line="206" w:lineRule="exact"/>
              <w:ind w:left="2"/>
              <w:rPr>
                <w:sz w:val="18"/>
              </w:rPr>
            </w:pPr>
            <w:r>
              <w:rPr>
                <w:w w:val="99"/>
                <w:sz w:val="18"/>
              </w:rPr>
              <w:t>0</w:t>
            </w:r>
          </w:p>
        </w:tc>
        <w:tc>
          <w:tcPr>
            <w:tcW w:w="586" w:type="dxa"/>
          </w:tcPr>
          <w:p>
            <w:pPr>
              <w:pStyle w:val="TableParagraph"/>
              <w:spacing w:line="206" w:lineRule="exact"/>
              <w:ind w:left="237"/>
              <w:jc w:val="lef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1</w:t>
            </w:r>
          </w:p>
        </w:tc>
        <w:tc>
          <w:tcPr>
            <w:tcW w:w="466" w:type="dxa"/>
          </w:tcPr>
          <w:p>
            <w:pPr>
              <w:pStyle w:val="TableParagraph"/>
              <w:spacing w:line="206" w:lineRule="exact"/>
              <w:ind w:right="3"/>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75" w:type="dxa"/>
          </w:tcPr>
          <w:p>
            <w:pPr>
              <w:pStyle w:val="TableParagraph"/>
              <w:spacing w:line="206" w:lineRule="exact"/>
              <w:ind w:right="181"/>
              <w:jc w:val="right"/>
              <w:rPr>
                <w:sz w:val="18"/>
              </w:rPr>
            </w:pPr>
            <w:r>
              <w:rPr>
                <w:w w:val="99"/>
                <w:sz w:val="18"/>
              </w:rPr>
              <w:t>1</w:t>
            </w:r>
          </w:p>
        </w:tc>
        <w:tc>
          <w:tcPr>
            <w:tcW w:w="466" w:type="dxa"/>
          </w:tcPr>
          <w:p>
            <w:pPr>
              <w:pStyle w:val="TableParagraph"/>
              <w:spacing w:line="206" w:lineRule="exact"/>
              <w:ind w:right="3"/>
              <w:rPr>
                <w:sz w:val="18"/>
              </w:rPr>
            </w:pPr>
            <w:r>
              <w:rPr>
                <w:w w:val="99"/>
                <w:sz w:val="18"/>
              </w:rPr>
              <w:t>0</w:t>
            </w:r>
          </w:p>
        </w:tc>
        <w:tc>
          <w:tcPr>
            <w:tcW w:w="466" w:type="dxa"/>
          </w:tcPr>
          <w:p>
            <w:pPr>
              <w:pStyle w:val="TableParagraph"/>
              <w:spacing w:line="206" w:lineRule="exact"/>
              <w:ind w:right="3"/>
              <w:rPr>
                <w:sz w:val="18"/>
              </w:rPr>
            </w:pPr>
            <w:r>
              <w:rPr>
                <w:w w:val="99"/>
                <w:sz w:val="18"/>
              </w:rPr>
              <w:t>1</w:t>
            </w:r>
          </w:p>
        </w:tc>
        <w:tc>
          <w:tcPr>
            <w:tcW w:w="473" w:type="dxa"/>
          </w:tcPr>
          <w:p>
            <w:pPr>
              <w:pStyle w:val="TableParagraph"/>
              <w:spacing w:line="206" w:lineRule="exact"/>
              <w:ind w:right="127"/>
              <w:jc w:val="right"/>
              <w:rPr>
                <w:sz w:val="18"/>
              </w:rPr>
            </w:pPr>
            <w:r>
              <w:rPr>
                <w:w w:val="95"/>
                <w:sz w:val="18"/>
              </w:rPr>
              <w:t>19</w:t>
            </w:r>
          </w:p>
        </w:tc>
        <w:tc>
          <w:tcPr>
            <w:tcW w:w="475" w:type="dxa"/>
          </w:tcPr>
          <w:p>
            <w:pPr>
              <w:pStyle w:val="TableParagraph"/>
              <w:spacing w:line="206" w:lineRule="exact"/>
              <w:ind w:left="4"/>
              <w:rPr>
                <w:sz w:val="18"/>
              </w:rPr>
            </w:pPr>
            <w:r>
              <w:rPr>
                <w:w w:val="99"/>
                <w:sz w:val="18"/>
              </w:rPr>
              <w:t>2</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9"/>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ind w:right="127"/>
              <w:jc w:val="right"/>
              <w:rPr>
                <w:b/>
                <w:sz w:val="18"/>
              </w:rPr>
            </w:pPr>
            <w:r>
              <w:rPr>
                <w:b/>
                <w:w w:val="95"/>
                <w:sz w:val="18"/>
              </w:rPr>
              <w:t>22</w:t>
            </w:r>
          </w:p>
        </w:tc>
      </w:tr>
      <w:tr>
        <w:trPr>
          <w:trHeight w:val="322" w:hRule="exact"/>
        </w:trPr>
        <w:tc>
          <w:tcPr>
            <w:tcW w:w="2950" w:type="dxa"/>
            <w:tcBorders>
              <w:left w:val="single" w:sz="8" w:space="0" w:color="000000"/>
            </w:tcBorders>
          </w:tcPr>
          <w:p>
            <w:pPr>
              <w:pStyle w:val="TableParagraph"/>
              <w:spacing w:line="201" w:lineRule="exact"/>
              <w:ind w:left="60"/>
              <w:jc w:val="left"/>
              <w:rPr>
                <w:b/>
                <w:sz w:val="18"/>
              </w:rPr>
            </w:pPr>
            <w:r>
              <w:rPr>
                <w:b/>
                <w:color w:val="333333"/>
                <w:sz w:val="18"/>
              </w:rPr>
              <w:t>CHAPULTEPEC</w:t>
            </w:r>
          </w:p>
        </w:tc>
        <w:tc>
          <w:tcPr>
            <w:tcW w:w="589" w:type="dxa"/>
          </w:tcPr>
          <w:p>
            <w:pPr>
              <w:pStyle w:val="TableParagraph"/>
              <w:spacing w:line="206" w:lineRule="exact"/>
              <w:ind w:left="2"/>
              <w:rPr>
                <w:sz w:val="18"/>
              </w:rPr>
            </w:pPr>
            <w:r>
              <w:rPr>
                <w:w w:val="99"/>
                <w:sz w:val="18"/>
              </w:rPr>
              <w:t>0</w:t>
            </w:r>
          </w:p>
        </w:tc>
        <w:tc>
          <w:tcPr>
            <w:tcW w:w="586" w:type="dxa"/>
          </w:tcPr>
          <w:p>
            <w:pPr>
              <w:pStyle w:val="TableParagraph"/>
              <w:spacing w:line="206" w:lineRule="exact"/>
              <w:ind w:left="237"/>
              <w:jc w:val="lef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75" w:type="dxa"/>
          </w:tcPr>
          <w:p>
            <w:pPr>
              <w:pStyle w:val="TableParagraph"/>
              <w:spacing w:line="206" w:lineRule="exact"/>
              <w:ind w:right="181"/>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73" w:type="dxa"/>
          </w:tcPr>
          <w:p>
            <w:pPr>
              <w:pStyle w:val="TableParagraph"/>
              <w:spacing w:line="206" w:lineRule="exact"/>
              <w:ind w:right="178"/>
              <w:jc w:val="right"/>
              <w:rPr>
                <w:sz w:val="18"/>
              </w:rPr>
            </w:pPr>
            <w:r>
              <w:rPr>
                <w:w w:val="99"/>
                <w:sz w:val="18"/>
              </w:rPr>
              <w:t>0</w:t>
            </w:r>
          </w:p>
        </w:tc>
        <w:tc>
          <w:tcPr>
            <w:tcW w:w="475" w:type="dxa"/>
          </w:tcPr>
          <w:p>
            <w:pPr>
              <w:pStyle w:val="TableParagraph"/>
              <w:spacing w:line="206" w:lineRule="exact"/>
              <w:ind w:left="4"/>
              <w:rPr>
                <w:sz w:val="18"/>
              </w:rPr>
            </w:pPr>
            <w:r>
              <w:rPr>
                <w:w w:val="99"/>
                <w:sz w:val="18"/>
              </w:rPr>
              <w:t>1</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9"/>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ind w:left="4"/>
              <w:rPr>
                <w:b/>
                <w:sz w:val="18"/>
              </w:rPr>
            </w:pPr>
            <w:r>
              <w:rPr>
                <w:b/>
                <w:w w:val="99"/>
                <w:sz w:val="18"/>
              </w:rPr>
              <w:t>1</w:t>
            </w:r>
          </w:p>
        </w:tc>
      </w:tr>
      <w:tr>
        <w:trPr>
          <w:trHeight w:val="319" w:hRule="exact"/>
        </w:trPr>
        <w:tc>
          <w:tcPr>
            <w:tcW w:w="2950" w:type="dxa"/>
            <w:tcBorders>
              <w:left w:val="single" w:sz="8" w:space="0" w:color="000000"/>
            </w:tcBorders>
          </w:tcPr>
          <w:p>
            <w:pPr>
              <w:pStyle w:val="TableParagraph"/>
              <w:spacing w:line="201" w:lineRule="exact"/>
              <w:ind w:left="60"/>
              <w:jc w:val="left"/>
              <w:rPr>
                <w:b/>
                <w:sz w:val="18"/>
              </w:rPr>
            </w:pPr>
            <w:r>
              <w:rPr>
                <w:b/>
                <w:color w:val="333333"/>
                <w:sz w:val="18"/>
              </w:rPr>
              <w:t>CHIAUTLA</w:t>
            </w:r>
          </w:p>
        </w:tc>
        <w:tc>
          <w:tcPr>
            <w:tcW w:w="589" w:type="dxa"/>
          </w:tcPr>
          <w:p>
            <w:pPr>
              <w:pStyle w:val="TableParagraph"/>
              <w:spacing w:line="206" w:lineRule="exact"/>
              <w:ind w:left="2"/>
              <w:rPr>
                <w:sz w:val="18"/>
              </w:rPr>
            </w:pPr>
            <w:r>
              <w:rPr>
                <w:w w:val="99"/>
                <w:sz w:val="18"/>
              </w:rPr>
              <w:t>0</w:t>
            </w:r>
          </w:p>
        </w:tc>
        <w:tc>
          <w:tcPr>
            <w:tcW w:w="586" w:type="dxa"/>
          </w:tcPr>
          <w:p>
            <w:pPr>
              <w:pStyle w:val="TableParagraph"/>
              <w:spacing w:line="206" w:lineRule="exact"/>
              <w:ind w:left="237"/>
              <w:jc w:val="lef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75" w:type="dxa"/>
          </w:tcPr>
          <w:p>
            <w:pPr>
              <w:pStyle w:val="TableParagraph"/>
              <w:spacing w:line="206" w:lineRule="exact"/>
              <w:ind w:right="181"/>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73" w:type="dxa"/>
          </w:tcPr>
          <w:p>
            <w:pPr>
              <w:pStyle w:val="TableParagraph"/>
              <w:spacing w:line="206" w:lineRule="exact"/>
              <w:ind w:right="178"/>
              <w:jc w:val="righ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9"/>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22" w:hRule="exact"/>
        </w:trPr>
        <w:tc>
          <w:tcPr>
            <w:tcW w:w="2950" w:type="dxa"/>
            <w:tcBorders>
              <w:left w:val="single" w:sz="8" w:space="0" w:color="000000"/>
            </w:tcBorders>
          </w:tcPr>
          <w:p>
            <w:pPr>
              <w:pStyle w:val="TableParagraph"/>
              <w:spacing w:line="201" w:lineRule="exact"/>
              <w:ind w:left="60"/>
              <w:jc w:val="left"/>
              <w:rPr>
                <w:b/>
                <w:sz w:val="18"/>
              </w:rPr>
            </w:pPr>
            <w:r>
              <w:rPr>
                <w:b/>
                <w:color w:val="333333"/>
                <w:sz w:val="18"/>
              </w:rPr>
              <w:t>CHICOLOAPAN</w:t>
            </w:r>
          </w:p>
        </w:tc>
        <w:tc>
          <w:tcPr>
            <w:tcW w:w="589" w:type="dxa"/>
          </w:tcPr>
          <w:p>
            <w:pPr>
              <w:pStyle w:val="TableParagraph"/>
              <w:spacing w:line="206" w:lineRule="exact"/>
              <w:ind w:left="2"/>
              <w:rPr>
                <w:sz w:val="18"/>
              </w:rPr>
            </w:pPr>
            <w:r>
              <w:rPr>
                <w:w w:val="99"/>
                <w:sz w:val="18"/>
              </w:rPr>
              <w:t>0</w:t>
            </w:r>
          </w:p>
        </w:tc>
        <w:tc>
          <w:tcPr>
            <w:tcW w:w="586" w:type="dxa"/>
          </w:tcPr>
          <w:p>
            <w:pPr>
              <w:pStyle w:val="TableParagraph"/>
              <w:spacing w:line="206" w:lineRule="exact"/>
              <w:ind w:left="237"/>
              <w:jc w:val="lef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75" w:type="dxa"/>
          </w:tcPr>
          <w:p>
            <w:pPr>
              <w:pStyle w:val="TableParagraph"/>
              <w:spacing w:line="206" w:lineRule="exact"/>
              <w:ind w:right="181"/>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6" w:type="dxa"/>
          </w:tcPr>
          <w:p>
            <w:pPr>
              <w:pStyle w:val="TableParagraph"/>
              <w:spacing w:line="206" w:lineRule="exact"/>
              <w:ind w:left="105" w:right="105"/>
              <w:rPr>
                <w:sz w:val="18"/>
              </w:rPr>
            </w:pPr>
            <w:r>
              <w:rPr>
                <w:sz w:val="18"/>
              </w:rPr>
              <w:t>65</w:t>
            </w:r>
          </w:p>
        </w:tc>
        <w:tc>
          <w:tcPr>
            <w:tcW w:w="473" w:type="dxa"/>
          </w:tcPr>
          <w:p>
            <w:pPr>
              <w:pStyle w:val="TableParagraph"/>
              <w:spacing w:line="206" w:lineRule="exact"/>
              <w:ind w:right="178"/>
              <w:jc w:val="righ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9"/>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ind w:right="127"/>
              <w:jc w:val="right"/>
              <w:rPr>
                <w:b/>
                <w:sz w:val="18"/>
              </w:rPr>
            </w:pPr>
            <w:r>
              <w:rPr>
                <w:b/>
                <w:w w:val="95"/>
                <w:sz w:val="18"/>
              </w:rPr>
              <w:t>65</w:t>
            </w:r>
          </w:p>
        </w:tc>
      </w:tr>
      <w:tr>
        <w:trPr>
          <w:trHeight w:val="319" w:hRule="exact"/>
        </w:trPr>
        <w:tc>
          <w:tcPr>
            <w:tcW w:w="2950" w:type="dxa"/>
            <w:tcBorders>
              <w:left w:val="single" w:sz="8" w:space="0" w:color="000000"/>
            </w:tcBorders>
          </w:tcPr>
          <w:p>
            <w:pPr>
              <w:pStyle w:val="TableParagraph"/>
              <w:spacing w:line="201" w:lineRule="exact"/>
              <w:ind w:left="60"/>
              <w:jc w:val="left"/>
              <w:rPr>
                <w:b/>
                <w:sz w:val="18"/>
              </w:rPr>
            </w:pPr>
            <w:r>
              <w:rPr>
                <w:b/>
                <w:color w:val="333333"/>
                <w:sz w:val="18"/>
              </w:rPr>
              <w:t>CHICONCUAC</w:t>
            </w:r>
          </w:p>
        </w:tc>
        <w:tc>
          <w:tcPr>
            <w:tcW w:w="589" w:type="dxa"/>
          </w:tcPr>
          <w:p>
            <w:pPr>
              <w:pStyle w:val="TableParagraph"/>
              <w:spacing w:line="206" w:lineRule="exact"/>
              <w:ind w:left="2"/>
              <w:rPr>
                <w:sz w:val="18"/>
              </w:rPr>
            </w:pPr>
            <w:r>
              <w:rPr>
                <w:w w:val="99"/>
                <w:sz w:val="18"/>
              </w:rPr>
              <w:t>0</w:t>
            </w:r>
          </w:p>
        </w:tc>
        <w:tc>
          <w:tcPr>
            <w:tcW w:w="586" w:type="dxa"/>
          </w:tcPr>
          <w:p>
            <w:pPr>
              <w:pStyle w:val="TableParagraph"/>
              <w:spacing w:line="206" w:lineRule="exact"/>
              <w:ind w:left="237"/>
              <w:jc w:val="lef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75" w:type="dxa"/>
          </w:tcPr>
          <w:p>
            <w:pPr>
              <w:pStyle w:val="TableParagraph"/>
              <w:spacing w:line="206" w:lineRule="exact"/>
              <w:ind w:right="181"/>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73" w:type="dxa"/>
          </w:tcPr>
          <w:p>
            <w:pPr>
              <w:pStyle w:val="TableParagraph"/>
              <w:spacing w:line="206" w:lineRule="exact"/>
              <w:ind w:right="178"/>
              <w:jc w:val="righ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9"/>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22" w:hRule="exact"/>
        </w:trPr>
        <w:tc>
          <w:tcPr>
            <w:tcW w:w="2950" w:type="dxa"/>
            <w:tcBorders>
              <w:left w:val="single" w:sz="8" w:space="0" w:color="000000"/>
            </w:tcBorders>
          </w:tcPr>
          <w:p>
            <w:pPr>
              <w:pStyle w:val="TableParagraph"/>
              <w:spacing w:line="201" w:lineRule="exact"/>
              <w:ind w:left="60"/>
              <w:jc w:val="left"/>
              <w:rPr>
                <w:b/>
                <w:sz w:val="18"/>
              </w:rPr>
            </w:pPr>
            <w:r>
              <w:rPr>
                <w:b/>
                <w:color w:val="333333"/>
                <w:sz w:val="18"/>
              </w:rPr>
              <w:t>CHIMALHUACAN</w:t>
            </w:r>
          </w:p>
        </w:tc>
        <w:tc>
          <w:tcPr>
            <w:tcW w:w="589" w:type="dxa"/>
          </w:tcPr>
          <w:p>
            <w:pPr>
              <w:pStyle w:val="TableParagraph"/>
              <w:spacing w:line="206" w:lineRule="exact"/>
              <w:ind w:left="2"/>
              <w:rPr>
                <w:sz w:val="18"/>
              </w:rPr>
            </w:pPr>
            <w:r>
              <w:rPr>
                <w:w w:val="99"/>
                <w:sz w:val="18"/>
              </w:rPr>
              <w:t>0</w:t>
            </w:r>
          </w:p>
        </w:tc>
        <w:tc>
          <w:tcPr>
            <w:tcW w:w="586" w:type="dxa"/>
          </w:tcPr>
          <w:p>
            <w:pPr>
              <w:pStyle w:val="TableParagraph"/>
              <w:spacing w:line="206" w:lineRule="exact"/>
              <w:ind w:left="187"/>
              <w:jc w:val="left"/>
              <w:rPr>
                <w:sz w:val="18"/>
              </w:rPr>
            </w:pPr>
            <w:r>
              <w:rPr>
                <w:sz w:val="18"/>
              </w:rPr>
              <w:t>15</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75" w:type="dxa"/>
          </w:tcPr>
          <w:p>
            <w:pPr>
              <w:pStyle w:val="TableParagraph"/>
              <w:spacing w:line="206" w:lineRule="exact"/>
              <w:ind w:right="131"/>
              <w:jc w:val="right"/>
              <w:rPr>
                <w:sz w:val="18"/>
              </w:rPr>
            </w:pPr>
            <w:r>
              <w:rPr>
                <w:w w:val="95"/>
                <w:sz w:val="18"/>
              </w:rPr>
              <w:t>15</w:t>
            </w:r>
          </w:p>
        </w:tc>
        <w:tc>
          <w:tcPr>
            <w:tcW w:w="466" w:type="dxa"/>
          </w:tcPr>
          <w:p>
            <w:pPr>
              <w:pStyle w:val="TableParagraph"/>
              <w:spacing w:line="206" w:lineRule="exact"/>
              <w:ind w:right="3"/>
              <w:rPr>
                <w:sz w:val="18"/>
              </w:rPr>
            </w:pPr>
            <w:r>
              <w:rPr>
                <w:w w:val="99"/>
                <w:sz w:val="18"/>
              </w:rPr>
              <w:t>9</w:t>
            </w:r>
          </w:p>
        </w:tc>
        <w:tc>
          <w:tcPr>
            <w:tcW w:w="466" w:type="dxa"/>
          </w:tcPr>
          <w:p>
            <w:pPr>
              <w:pStyle w:val="TableParagraph"/>
              <w:spacing w:line="206" w:lineRule="exact"/>
              <w:ind w:right="3"/>
              <w:rPr>
                <w:sz w:val="18"/>
              </w:rPr>
            </w:pPr>
            <w:r>
              <w:rPr>
                <w:w w:val="99"/>
                <w:sz w:val="18"/>
              </w:rPr>
              <w:t>0</w:t>
            </w:r>
          </w:p>
        </w:tc>
        <w:tc>
          <w:tcPr>
            <w:tcW w:w="473" w:type="dxa"/>
          </w:tcPr>
          <w:p>
            <w:pPr>
              <w:pStyle w:val="TableParagraph"/>
              <w:spacing w:line="206" w:lineRule="exact"/>
              <w:ind w:right="178"/>
              <w:jc w:val="righ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9"/>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ind w:left="4"/>
              <w:rPr>
                <w:b/>
                <w:sz w:val="18"/>
              </w:rPr>
            </w:pPr>
            <w:r>
              <w:rPr>
                <w:b/>
                <w:w w:val="99"/>
                <w:sz w:val="18"/>
              </w:rPr>
              <w:t>9</w:t>
            </w:r>
          </w:p>
        </w:tc>
      </w:tr>
      <w:tr>
        <w:trPr>
          <w:trHeight w:val="319" w:hRule="exact"/>
        </w:trPr>
        <w:tc>
          <w:tcPr>
            <w:tcW w:w="2950" w:type="dxa"/>
            <w:tcBorders>
              <w:left w:val="single" w:sz="8" w:space="0" w:color="000000"/>
            </w:tcBorders>
          </w:tcPr>
          <w:p>
            <w:pPr>
              <w:pStyle w:val="TableParagraph"/>
              <w:spacing w:line="201" w:lineRule="exact"/>
              <w:ind w:left="60"/>
              <w:jc w:val="left"/>
              <w:rPr>
                <w:b/>
                <w:sz w:val="18"/>
              </w:rPr>
            </w:pPr>
            <w:r>
              <w:rPr>
                <w:b/>
                <w:color w:val="333333"/>
                <w:sz w:val="18"/>
              </w:rPr>
              <w:t>COACALCO DE BERRIOZABAL</w:t>
            </w:r>
          </w:p>
        </w:tc>
        <w:tc>
          <w:tcPr>
            <w:tcW w:w="589" w:type="dxa"/>
          </w:tcPr>
          <w:p>
            <w:pPr>
              <w:pStyle w:val="TableParagraph"/>
              <w:spacing w:line="206" w:lineRule="exact"/>
              <w:ind w:left="2"/>
              <w:rPr>
                <w:sz w:val="18"/>
              </w:rPr>
            </w:pPr>
            <w:r>
              <w:rPr>
                <w:w w:val="99"/>
                <w:sz w:val="18"/>
              </w:rPr>
              <w:t>0</w:t>
            </w:r>
          </w:p>
        </w:tc>
        <w:tc>
          <w:tcPr>
            <w:tcW w:w="586" w:type="dxa"/>
          </w:tcPr>
          <w:p>
            <w:pPr>
              <w:pStyle w:val="TableParagraph"/>
              <w:spacing w:line="206" w:lineRule="exact"/>
              <w:ind w:left="237"/>
              <w:jc w:val="lef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75" w:type="dxa"/>
          </w:tcPr>
          <w:p>
            <w:pPr>
              <w:pStyle w:val="TableParagraph"/>
              <w:spacing w:line="206" w:lineRule="exact"/>
              <w:ind w:right="181"/>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73" w:type="dxa"/>
          </w:tcPr>
          <w:p>
            <w:pPr>
              <w:pStyle w:val="TableParagraph"/>
              <w:spacing w:line="206" w:lineRule="exact"/>
              <w:ind w:right="178"/>
              <w:jc w:val="righ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9"/>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22" w:hRule="exact"/>
        </w:trPr>
        <w:tc>
          <w:tcPr>
            <w:tcW w:w="2950" w:type="dxa"/>
            <w:tcBorders>
              <w:left w:val="single" w:sz="8" w:space="0" w:color="000000"/>
            </w:tcBorders>
          </w:tcPr>
          <w:p>
            <w:pPr>
              <w:pStyle w:val="TableParagraph"/>
              <w:spacing w:line="202" w:lineRule="exact"/>
              <w:ind w:left="60"/>
              <w:jc w:val="left"/>
              <w:rPr>
                <w:b/>
                <w:sz w:val="18"/>
              </w:rPr>
            </w:pPr>
            <w:r>
              <w:rPr>
                <w:b/>
                <w:color w:val="333333"/>
                <w:sz w:val="18"/>
              </w:rPr>
              <w:t>COATEPEC HARINAS</w:t>
            </w:r>
          </w:p>
        </w:tc>
        <w:tc>
          <w:tcPr>
            <w:tcW w:w="589" w:type="dxa"/>
          </w:tcPr>
          <w:p>
            <w:pPr>
              <w:pStyle w:val="TableParagraph"/>
              <w:spacing w:line="207" w:lineRule="exact"/>
              <w:ind w:left="2"/>
              <w:rPr>
                <w:sz w:val="18"/>
              </w:rPr>
            </w:pPr>
            <w:r>
              <w:rPr>
                <w:w w:val="99"/>
                <w:sz w:val="18"/>
              </w:rPr>
              <w:t>0</w:t>
            </w:r>
          </w:p>
        </w:tc>
        <w:tc>
          <w:tcPr>
            <w:tcW w:w="586" w:type="dxa"/>
          </w:tcPr>
          <w:p>
            <w:pPr>
              <w:pStyle w:val="TableParagraph"/>
              <w:spacing w:line="207" w:lineRule="exact"/>
              <w:ind w:left="237"/>
              <w:jc w:val="left"/>
              <w:rPr>
                <w:sz w:val="18"/>
              </w:rPr>
            </w:pPr>
            <w:r>
              <w:rPr>
                <w:w w:val="99"/>
                <w:sz w:val="18"/>
              </w:rPr>
              <w:t>0</w:t>
            </w:r>
          </w:p>
        </w:tc>
        <w:tc>
          <w:tcPr>
            <w:tcW w:w="466" w:type="dxa"/>
          </w:tcPr>
          <w:p>
            <w:pPr>
              <w:pStyle w:val="TableParagraph"/>
              <w:spacing w:line="207" w:lineRule="exact"/>
              <w:rPr>
                <w:sz w:val="18"/>
              </w:rPr>
            </w:pPr>
            <w:r>
              <w:rPr>
                <w:w w:val="99"/>
                <w:sz w:val="18"/>
              </w:rPr>
              <w:t>0</w:t>
            </w:r>
          </w:p>
        </w:tc>
        <w:tc>
          <w:tcPr>
            <w:tcW w:w="475" w:type="dxa"/>
          </w:tcPr>
          <w:p>
            <w:pPr>
              <w:pStyle w:val="TableParagraph"/>
              <w:spacing w:line="207" w:lineRule="exact"/>
              <w:ind w:left="4"/>
              <w:rPr>
                <w:sz w:val="18"/>
              </w:rPr>
            </w:pPr>
            <w:r>
              <w:rPr>
                <w:w w:val="99"/>
                <w:sz w:val="18"/>
              </w:rPr>
              <w:t>0</w:t>
            </w:r>
          </w:p>
        </w:tc>
        <w:tc>
          <w:tcPr>
            <w:tcW w:w="466" w:type="dxa"/>
          </w:tcPr>
          <w:p>
            <w:pPr>
              <w:pStyle w:val="TableParagraph"/>
              <w:spacing w:line="207" w:lineRule="exact"/>
              <w:ind w:right="3"/>
              <w:rPr>
                <w:sz w:val="18"/>
              </w:rPr>
            </w:pPr>
            <w:r>
              <w:rPr>
                <w:w w:val="99"/>
                <w:sz w:val="18"/>
              </w:rPr>
              <w:t>0</w:t>
            </w:r>
          </w:p>
        </w:tc>
        <w:tc>
          <w:tcPr>
            <w:tcW w:w="466" w:type="dxa"/>
          </w:tcPr>
          <w:p>
            <w:pPr>
              <w:pStyle w:val="TableParagraph"/>
              <w:spacing w:line="207" w:lineRule="exact"/>
              <w:ind w:right="3"/>
              <w:rPr>
                <w:sz w:val="18"/>
              </w:rPr>
            </w:pPr>
            <w:r>
              <w:rPr>
                <w:w w:val="99"/>
                <w:sz w:val="18"/>
              </w:rPr>
              <w:t>0</w:t>
            </w:r>
          </w:p>
        </w:tc>
        <w:tc>
          <w:tcPr>
            <w:tcW w:w="463" w:type="dxa"/>
          </w:tcPr>
          <w:p>
            <w:pPr>
              <w:pStyle w:val="TableParagraph"/>
              <w:spacing w:line="207" w:lineRule="exact"/>
              <w:ind w:right="176"/>
              <w:jc w:val="right"/>
              <w:rPr>
                <w:sz w:val="18"/>
              </w:rPr>
            </w:pPr>
            <w:r>
              <w:rPr>
                <w:w w:val="99"/>
                <w:sz w:val="18"/>
              </w:rPr>
              <w:t>0</w:t>
            </w:r>
          </w:p>
        </w:tc>
        <w:tc>
          <w:tcPr>
            <w:tcW w:w="466" w:type="dxa"/>
          </w:tcPr>
          <w:p>
            <w:pPr>
              <w:pStyle w:val="TableParagraph"/>
              <w:spacing w:line="207" w:lineRule="exact"/>
              <w:ind w:right="176"/>
              <w:jc w:val="right"/>
              <w:rPr>
                <w:sz w:val="18"/>
              </w:rPr>
            </w:pPr>
            <w:r>
              <w:rPr>
                <w:w w:val="99"/>
                <w:sz w:val="18"/>
              </w:rPr>
              <w:t>0</w:t>
            </w:r>
          </w:p>
        </w:tc>
        <w:tc>
          <w:tcPr>
            <w:tcW w:w="475" w:type="dxa"/>
          </w:tcPr>
          <w:p>
            <w:pPr>
              <w:pStyle w:val="TableParagraph"/>
              <w:spacing w:line="207" w:lineRule="exact"/>
              <w:ind w:right="181"/>
              <w:jc w:val="right"/>
              <w:rPr>
                <w:sz w:val="18"/>
              </w:rPr>
            </w:pPr>
            <w:r>
              <w:rPr>
                <w:w w:val="99"/>
                <w:sz w:val="18"/>
              </w:rPr>
              <w:t>0</w:t>
            </w:r>
          </w:p>
        </w:tc>
        <w:tc>
          <w:tcPr>
            <w:tcW w:w="466" w:type="dxa"/>
          </w:tcPr>
          <w:p>
            <w:pPr>
              <w:pStyle w:val="TableParagraph"/>
              <w:spacing w:line="207" w:lineRule="exact"/>
              <w:ind w:right="3"/>
              <w:rPr>
                <w:sz w:val="18"/>
              </w:rPr>
            </w:pPr>
            <w:r>
              <w:rPr>
                <w:w w:val="99"/>
                <w:sz w:val="18"/>
              </w:rPr>
              <w:t>0</w:t>
            </w:r>
          </w:p>
        </w:tc>
        <w:tc>
          <w:tcPr>
            <w:tcW w:w="466" w:type="dxa"/>
          </w:tcPr>
          <w:p>
            <w:pPr>
              <w:pStyle w:val="TableParagraph"/>
              <w:spacing w:line="207" w:lineRule="exact"/>
              <w:ind w:right="3"/>
              <w:rPr>
                <w:sz w:val="18"/>
              </w:rPr>
            </w:pPr>
            <w:r>
              <w:rPr>
                <w:w w:val="99"/>
                <w:sz w:val="18"/>
              </w:rPr>
              <w:t>0</w:t>
            </w:r>
          </w:p>
        </w:tc>
        <w:tc>
          <w:tcPr>
            <w:tcW w:w="473" w:type="dxa"/>
          </w:tcPr>
          <w:p>
            <w:pPr>
              <w:pStyle w:val="TableParagraph"/>
              <w:spacing w:line="207" w:lineRule="exact"/>
              <w:ind w:right="178"/>
              <w:jc w:val="right"/>
              <w:rPr>
                <w:sz w:val="18"/>
              </w:rPr>
            </w:pPr>
            <w:r>
              <w:rPr>
                <w:w w:val="99"/>
                <w:sz w:val="18"/>
              </w:rPr>
              <w:t>0</w:t>
            </w:r>
          </w:p>
        </w:tc>
        <w:tc>
          <w:tcPr>
            <w:tcW w:w="475" w:type="dxa"/>
          </w:tcPr>
          <w:p>
            <w:pPr>
              <w:pStyle w:val="TableParagraph"/>
              <w:spacing w:line="207" w:lineRule="exact"/>
              <w:ind w:left="4"/>
              <w:rPr>
                <w:sz w:val="18"/>
              </w:rPr>
            </w:pPr>
            <w:r>
              <w:rPr>
                <w:w w:val="99"/>
                <w:sz w:val="18"/>
              </w:rPr>
              <w:t>0</w:t>
            </w:r>
          </w:p>
        </w:tc>
        <w:tc>
          <w:tcPr>
            <w:tcW w:w="466" w:type="dxa"/>
          </w:tcPr>
          <w:p>
            <w:pPr>
              <w:pStyle w:val="TableParagraph"/>
              <w:spacing w:line="207" w:lineRule="exact"/>
              <w:rPr>
                <w:sz w:val="18"/>
              </w:rPr>
            </w:pPr>
            <w:r>
              <w:rPr>
                <w:w w:val="99"/>
                <w:sz w:val="18"/>
              </w:rPr>
              <w:t>0</w:t>
            </w:r>
          </w:p>
        </w:tc>
        <w:tc>
          <w:tcPr>
            <w:tcW w:w="466" w:type="dxa"/>
          </w:tcPr>
          <w:p>
            <w:pPr>
              <w:pStyle w:val="TableParagraph"/>
              <w:spacing w:line="207" w:lineRule="exact"/>
              <w:ind w:right="179"/>
              <w:jc w:val="right"/>
              <w:rPr>
                <w:sz w:val="18"/>
              </w:rPr>
            </w:pPr>
            <w:r>
              <w:rPr>
                <w:w w:val="99"/>
                <w:sz w:val="18"/>
              </w:rPr>
              <w:t>0</w:t>
            </w:r>
          </w:p>
        </w:tc>
        <w:tc>
          <w:tcPr>
            <w:tcW w:w="466" w:type="dxa"/>
          </w:tcPr>
          <w:p>
            <w:pPr>
              <w:pStyle w:val="TableParagraph"/>
              <w:spacing w:line="207" w:lineRule="exact"/>
              <w:ind w:right="3"/>
              <w:rPr>
                <w:sz w:val="18"/>
              </w:rPr>
            </w:pPr>
            <w:r>
              <w:rPr>
                <w:w w:val="99"/>
                <w:sz w:val="18"/>
              </w:rPr>
              <w:t>0</w:t>
            </w:r>
          </w:p>
        </w:tc>
        <w:tc>
          <w:tcPr>
            <w:tcW w:w="463" w:type="dxa"/>
          </w:tcPr>
          <w:p>
            <w:pPr>
              <w:pStyle w:val="TableParagraph"/>
              <w:spacing w:line="207" w:lineRule="exact"/>
              <w:ind w:left="175"/>
              <w:jc w:val="left"/>
              <w:rPr>
                <w:sz w:val="18"/>
              </w:rPr>
            </w:pPr>
            <w:r>
              <w:rPr>
                <w:w w:val="99"/>
                <w:sz w:val="18"/>
              </w:rPr>
              <w:t>0</w:t>
            </w:r>
          </w:p>
        </w:tc>
        <w:tc>
          <w:tcPr>
            <w:tcW w:w="475" w:type="dxa"/>
          </w:tcPr>
          <w:p>
            <w:pPr>
              <w:pStyle w:val="TableParagraph"/>
              <w:spacing w:line="202" w:lineRule="exact"/>
              <w:ind w:left="4"/>
              <w:rPr>
                <w:b/>
                <w:sz w:val="18"/>
              </w:rPr>
            </w:pPr>
            <w:r>
              <w:rPr>
                <w:b/>
                <w:w w:val="99"/>
                <w:sz w:val="18"/>
              </w:rPr>
              <w:t>0</w:t>
            </w:r>
          </w:p>
        </w:tc>
      </w:tr>
      <w:tr>
        <w:trPr>
          <w:trHeight w:val="319" w:hRule="exact"/>
        </w:trPr>
        <w:tc>
          <w:tcPr>
            <w:tcW w:w="2950" w:type="dxa"/>
            <w:tcBorders>
              <w:left w:val="single" w:sz="8" w:space="0" w:color="000000"/>
            </w:tcBorders>
          </w:tcPr>
          <w:p>
            <w:pPr>
              <w:pStyle w:val="TableParagraph"/>
              <w:spacing w:line="201" w:lineRule="exact"/>
              <w:ind w:left="60"/>
              <w:jc w:val="left"/>
              <w:rPr>
                <w:b/>
                <w:sz w:val="18"/>
              </w:rPr>
            </w:pPr>
            <w:r>
              <w:rPr>
                <w:b/>
                <w:color w:val="333333"/>
                <w:sz w:val="18"/>
              </w:rPr>
              <w:t>COCOTITLAN</w:t>
            </w:r>
          </w:p>
        </w:tc>
        <w:tc>
          <w:tcPr>
            <w:tcW w:w="589" w:type="dxa"/>
          </w:tcPr>
          <w:p>
            <w:pPr>
              <w:pStyle w:val="TableParagraph"/>
              <w:spacing w:line="206" w:lineRule="exact"/>
              <w:ind w:left="2"/>
              <w:rPr>
                <w:sz w:val="18"/>
              </w:rPr>
            </w:pPr>
            <w:r>
              <w:rPr>
                <w:w w:val="99"/>
                <w:sz w:val="18"/>
              </w:rPr>
              <w:t>0</w:t>
            </w:r>
          </w:p>
        </w:tc>
        <w:tc>
          <w:tcPr>
            <w:tcW w:w="586" w:type="dxa"/>
          </w:tcPr>
          <w:p>
            <w:pPr>
              <w:pStyle w:val="TableParagraph"/>
              <w:spacing w:line="206" w:lineRule="exact"/>
              <w:ind w:left="237"/>
              <w:jc w:val="lef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75" w:type="dxa"/>
          </w:tcPr>
          <w:p>
            <w:pPr>
              <w:pStyle w:val="TableParagraph"/>
              <w:spacing w:line="206" w:lineRule="exact"/>
              <w:ind w:right="181"/>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73" w:type="dxa"/>
          </w:tcPr>
          <w:p>
            <w:pPr>
              <w:pStyle w:val="TableParagraph"/>
              <w:spacing w:line="206" w:lineRule="exact"/>
              <w:ind w:right="178"/>
              <w:jc w:val="righ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9"/>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22" w:hRule="exact"/>
        </w:trPr>
        <w:tc>
          <w:tcPr>
            <w:tcW w:w="2950" w:type="dxa"/>
            <w:tcBorders>
              <w:left w:val="single" w:sz="8" w:space="0" w:color="000000"/>
            </w:tcBorders>
          </w:tcPr>
          <w:p>
            <w:pPr>
              <w:pStyle w:val="TableParagraph"/>
              <w:spacing w:line="201" w:lineRule="exact"/>
              <w:ind w:left="60"/>
              <w:jc w:val="left"/>
              <w:rPr>
                <w:b/>
                <w:sz w:val="18"/>
              </w:rPr>
            </w:pPr>
            <w:r>
              <w:rPr>
                <w:b/>
                <w:color w:val="333333"/>
                <w:sz w:val="18"/>
              </w:rPr>
              <w:t>COYOTEPEC</w:t>
            </w:r>
          </w:p>
        </w:tc>
        <w:tc>
          <w:tcPr>
            <w:tcW w:w="589" w:type="dxa"/>
          </w:tcPr>
          <w:p>
            <w:pPr>
              <w:pStyle w:val="TableParagraph"/>
              <w:spacing w:line="206" w:lineRule="exact"/>
              <w:ind w:left="2"/>
              <w:rPr>
                <w:sz w:val="18"/>
              </w:rPr>
            </w:pPr>
            <w:r>
              <w:rPr>
                <w:w w:val="99"/>
                <w:sz w:val="18"/>
              </w:rPr>
              <w:t>0</w:t>
            </w:r>
          </w:p>
        </w:tc>
        <w:tc>
          <w:tcPr>
            <w:tcW w:w="586" w:type="dxa"/>
          </w:tcPr>
          <w:p>
            <w:pPr>
              <w:pStyle w:val="TableParagraph"/>
              <w:spacing w:line="206" w:lineRule="exact"/>
              <w:ind w:left="237"/>
              <w:jc w:val="lef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75" w:type="dxa"/>
          </w:tcPr>
          <w:p>
            <w:pPr>
              <w:pStyle w:val="TableParagraph"/>
              <w:spacing w:line="206" w:lineRule="exact"/>
              <w:ind w:right="181"/>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73" w:type="dxa"/>
          </w:tcPr>
          <w:p>
            <w:pPr>
              <w:pStyle w:val="TableParagraph"/>
              <w:spacing w:line="206" w:lineRule="exact"/>
              <w:ind w:right="178"/>
              <w:jc w:val="righ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9"/>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19" w:hRule="exact"/>
        </w:trPr>
        <w:tc>
          <w:tcPr>
            <w:tcW w:w="2950" w:type="dxa"/>
            <w:tcBorders>
              <w:left w:val="single" w:sz="8" w:space="0" w:color="000000"/>
            </w:tcBorders>
          </w:tcPr>
          <w:p>
            <w:pPr>
              <w:pStyle w:val="TableParagraph"/>
              <w:spacing w:line="201" w:lineRule="exact"/>
              <w:ind w:left="60"/>
              <w:jc w:val="left"/>
              <w:rPr>
                <w:b/>
                <w:sz w:val="18"/>
              </w:rPr>
            </w:pPr>
            <w:r>
              <w:rPr>
                <w:b/>
                <w:color w:val="333333"/>
                <w:sz w:val="18"/>
              </w:rPr>
              <w:t>CUAUTITLAN</w:t>
            </w:r>
          </w:p>
        </w:tc>
        <w:tc>
          <w:tcPr>
            <w:tcW w:w="589" w:type="dxa"/>
          </w:tcPr>
          <w:p>
            <w:pPr>
              <w:pStyle w:val="TableParagraph"/>
              <w:spacing w:line="206" w:lineRule="exact"/>
              <w:ind w:left="2"/>
              <w:rPr>
                <w:sz w:val="18"/>
              </w:rPr>
            </w:pPr>
            <w:r>
              <w:rPr>
                <w:w w:val="99"/>
                <w:sz w:val="18"/>
              </w:rPr>
              <w:t>0</w:t>
            </w:r>
          </w:p>
        </w:tc>
        <w:tc>
          <w:tcPr>
            <w:tcW w:w="586" w:type="dxa"/>
          </w:tcPr>
          <w:p>
            <w:pPr>
              <w:pStyle w:val="TableParagraph"/>
              <w:spacing w:line="206" w:lineRule="exact"/>
              <w:ind w:left="237"/>
              <w:jc w:val="left"/>
              <w:rPr>
                <w:sz w:val="18"/>
              </w:rPr>
            </w:pPr>
            <w:r>
              <w:rPr>
                <w:w w:val="99"/>
                <w:sz w:val="18"/>
              </w:rPr>
              <w:t>1</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75" w:type="dxa"/>
          </w:tcPr>
          <w:p>
            <w:pPr>
              <w:pStyle w:val="TableParagraph"/>
              <w:spacing w:line="206" w:lineRule="exact"/>
              <w:ind w:right="181"/>
              <w:jc w:val="right"/>
              <w:rPr>
                <w:sz w:val="18"/>
              </w:rPr>
            </w:pPr>
            <w:r>
              <w:rPr>
                <w:w w:val="99"/>
                <w:sz w:val="18"/>
              </w:rPr>
              <w:t>1</w:t>
            </w:r>
          </w:p>
        </w:tc>
        <w:tc>
          <w:tcPr>
            <w:tcW w:w="466" w:type="dxa"/>
          </w:tcPr>
          <w:p>
            <w:pPr>
              <w:pStyle w:val="TableParagraph"/>
              <w:spacing w:line="206" w:lineRule="exact"/>
              <w:ind w:right="3"/>
              <w:rPr>
                <w:sz w:val="18"/>
              </w:rPr>
            </w:pPr>
            <w:r>
              <w:rPr>
                <w:w w:val="99"/>
                <w:sz w:val="18"/>
              </w:rPr>
              <w:t>0</w:t>
            </w:r>
          </w:p>
        </w:tc>
        <w:tc>
          <w:tcPr>
            <w:tcW w:w="466" w:type="dxa"/>
          </w:tcPr>
          <w:p>
            <w:pPr>
              <w:pStyle w:val="TableParagraph"/>
              <w:spacing w:line="206" w:lineRule="exact"/>
              <w:ind w:right="3"/>
              <w:rPr>
                <w:sz w:val="18"/>
              </w:rPr>
            </w:pPr>
            <w:r>
              <w:rPr>
                <w:w w:val="99"/>
                <w:sz w:val="18"/>
              </w:rPr>
              <w:t>1</w:t>
            </w:r>
          </w:p>
        </w:tc>
        <w:tc>
          <w:tcPr>
            <w:tcW w:w="473" w:type="dxa"/>
          </w:tcPr>
          <w:p>
            <w:pPr>
              <w:pStyle w:val="TableParagraph"/>
              <w:spacing w:line="206" w:lineRule="exact"/>
              <w:ind w:right="178"/>
              <w:jc w:val="righ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9"/>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ind w:left="4"/>
              <w:rPr>
                <w:b/>
                <w:sz w:val="18"/>
              </w:rPr>
            </w:pPr>
            <w:r>
              <w:rPr>
                <w:b/>
                <w:w w:val="99"/>
                <w:sz w:val="18"/>
              </w:rPr>
              <w:t>1</w:t>
            </w:r>
          </w:p>
        </w:tc>
      </w:tr>
      <w:tr>
        <w:trPr>
          <w:trHeight w:val="322" w:hRule="exact"/>
        </w:trPr>
        <w:tc>
          <w:tcPr>
            <w:tcW w:w="2950" w:type="dxa"/>
            <w:tcBorders>
              <w:left w:val="single" w:sz="8" w:space="0" w:color="000000"/>
            </w:tcBorders>
          </w:tcPr>
          <w:p>
            <w:pPr>
              <w:pStyle w:val="TableParagraph"/>
              <w:spacing w:line="204" w:lineRule="exact"/>
              <w:ind w:left="60"/>
              <w:jc w:val="left"/>
              <w:rPr>
                <w:b/>
                <w:sz w:val="18"/>
              </w:rPr>
            </w:pPr>
            <w:r>
              <w:rPr>
                <w:b/>
                <w:color w:val="333333"/>
                <w:sz w:val="18"/>
              </w:rPr>
              <w:t>CUAUTITLAN IZCALLI</w:t>
            </w:r>
          </w:p>
        </w:tc>
        <w:tc>
          <w:tcPr>
            <w:tcW w:w="589" w:type="dxa"/>
          </w:tcPr>
          <w:p>
            <w:pPr>
              <w:pStyle w:val="TableParagraph"/>
              <w:spacing w:before="1"/>
              <w:ind w:left="2"/>
              <w:rPr>
                <w:sz w:val="18"/>
              </w:rPr>
            </w:pPr>
            <w:r>
              <w:rPr>
                <w:w w:val="99"/>
                <w:sz w:val="18"/>
              </w:rPr>
              <w:t>1</w:t>
            </w:r>
          </w:p>
        </w:tc>
        <w:tc>
          <w:tcPr>
            <w:tcW w:w="586" w:type="dxa"/>
          </w:tcPr>
          <w:p>
            <w:pPr>
              <w:pStyle w:val="TableParagraph"/>
              <w:spacing w:before="1"/>
              <w:ind w:left="237"/>
              <w:jc w:val="left"/>
              <w:rPr>
                <w:sz w:val="18"/>
              </w:rPr>
            </w:pPr>
            <w:r>
              <w:rPr>
                <w:w w:val="99"/>
                <w:sz w:val="18"/>
              </w:rPr>
              <w:t>8</w:t>
            </w:r>
          </w:p>
        </w:tc>
        <w:tc>
          <w:tcPr>
            <w:tcW w:w="466" w:type="dxa"/>
          </w:tcPr>
          <w:p>
            <w:pPr>
              <w:pStyle w:val="TableParagraph"/>
              <w:spacing w:before="1"/>
              <w:rPr>
                <w:sz w:val="18"/>
              </w:rPr>
            </w:pPr>
            <w:r>
              <w:rPr>
                <w:w w:val="99"/>
                <w:sz w:val="18"/>
              </w:rPr>
              <w:t>0</w:t>
            </w:r>
          </w:p>
        </w:tc>
        <w:tc>
          <w:tcPr>
            <w:tcW w:w="475" w:type="dxa"/>
          </w:tcPr>
          <w:p>
            <w:pPr>
              <w:pStyle w:val="TableParagraph"/>
              <w:spacing w:before="1"/>
              <w:ind w:left="4"/>
              <w:rPr>
                <w:sz w:val="18"/>
              </w:rPr>
            </w:pPr>
            <w:r>
              <w:rPr>
                <w:w w:val="99"/>
                <w:sz w:val="18"/>
              </w:rPr>
              <w:t>0</w:t>
            </w:r>
          </w:p>
        </w:tc>
        <w:tc>
          <w:tcPr>
            <w:tcW w:w="466" w:type="dxa"/>
          </w:tcPr>
          <w:p>
            <w:pPr>
              <w:pStyle w:val="TableParagraph"/>
              <w:spacing w:before="1"/>
              <w:ind w:right="3"/>
              <w:rPr>
                <w:sz w:val="18"/>
              </w:rPr>
            </w:pPr>
            <w:r>
              <w:rPr>
                <w:w w:val="99"/>
                <w:sz w:val="18"/>
              </w:rPr>
              <w:t>2</w:t>
            </w:r>
          </w:p>
        </w:tc>
        <w:tc>
          <w:tcPr>
            <w:tcW w:w="466" w:type="dxa"/>
          </w:tcPr>
          <w:p>
            <w:pPr>
              <w:pStyle w:val="TableParagraph"/>
              <w:spacing w:before="1"/>
              <w:ind w:right="3"/>
              <w:rPr>
                <w:sz w:val="18"/>
              </w:rPr>
            </w:pPr>
            <w:r>
              <w:rPr>
                <w:w w:val="99"/>
                <w:sz w:val="18"/>
              </w:rPr>
              <w:t>0</w:t>
            </w:r>
          </w:p>
        </w:tc>
        <w:tc>
          <w:tcPr>
            <w:tcW w:w="463" w:type="dxa"/>
          </w:tcPr>
          <w:p>
            <w:pPr>
              <w:pStyle w:val="TableParagraph"/>
              <w:spacing w:before="1"/>
              <w:ind w:right="176"/>
              <w:jc w:val="right"/>
              <w:rPr>
                <w:sz w:val="18"/>
              </w:rPr>
            </w:pPr>
            <w:r>
              <w:rPr>
                <w:w w:val="99"/>
                <w:sz w:val="18"/>
              </w:rPr>
              <w:t>0</w:t>
            </w:r>
          </w:p>
        </w:tc>
        <w:tc>
          <w:tcPr>
            <w:tcW w:w="466" w:type="dxa"/>
          </w:tcPr>
          <w:p>
            <w:pPr>
              <w:pStyle w:val="TableParagraph"/>
              <w:spacing w:before="1"/>
              <w:ind w:right="176"/>
              <w:jc w:val="right"/>
              <w:rPr>
                <w:sz w:val="18"/>
              </w:rPr>
            </w:pPr>
            <w:r>
              <w:rPr>
                <w:w w:val="99"/>
                <w:sz w:val="18"/>
              </w:rPr>
              <w:t>0</w:t>
            </w:r>
          </w:p>
        </w:tc>
        <w:tc>
          <w:tcPr>
            <w:tcW w:w="475" w:type="dxa"/>
          </w:tcPr>
          <w:p>
            <w:pPr>
              <w:pStyle w:val="TableParagraph"/>
              <w:spacing w:before="1"/>
              <w:ind w:right="131"/>
              <w:jc w:val="right"/>
              <w:rPr>
                <w:sz w:val="18"/>
              </w:rPr>
            </w:pPr>
            <w:r>
              <w:rPr>
                <w:w w:val="95"/>
                <w:sz w:val="18"/>
              </w:rPr>
              <w:t>11</w:t>
            </w:r>
          </w:p>
        </w:tc>
        <w:tc>
          <w:tcPr>
            <w:tcW w:w="466" w:type="dxa"/>
          </w:tcPr>
          <w:p>
            <w:pPr>
              <w:pStyle w:val="TableParagraph"/>
              <w:spacing w:before="1"/>
              <w:ind w:right="3"/>
              <w:rPr>
                <w:sz w:val="18"/>
              </w:rPr>
            </w:pPr>
            <w:r>
              <w:rPr>
                <w:w w:val="99"/>
                <w:sz w:val="18"/>
              </w:rPr>
              <w:t>1</w:t>
            </w:r>
          </w:p>
        </w:tc>
        <w:tc>
          <w:tcPr>
            <w:tcW w:w="466" w:type="dxa"/>
          </w:tcPr>
          <w:p>
            <w:pPr>
              <w:pStyle w:val="TableParagraph"/>
              <w:spacing w:before="1"/>
              <w:ind w:right="3"/>
              <w:rPr>
                <w:sz w:val="18"/>
              </w:rPr>
            </w:pPr>
            <w:r>
              <w:rPr>
                <w:w w:val="99"/>
                <w:sz w:val="18"/>
              </w:rPr>
              <w:t>1</w:t>
            </w:r>
          </w:p>
        </w:tc>
        <w:tc>
          <w:tcPr>
            <w:tcW w:w="473" w:type="dxa"/>
          </w:tcPr>
          <w:p>
            <w:pPr>
              <w:pStyle w:val="TableParagraph"/>
              <w:spacing w:before="1"/>
              <w:ind w:right="178"/>
              <w:jc w:val="right"/>
              <w:rPr>
                <w:sz w:val="18"/>
              </w:rPr>
            </w:pPr>
            <w:r>
              <w:rPr>
                <w:w w:val="99"/>
                <w:sz w:val="18"/>
              </w:rPr>
              <w:t>0</w:t>
            </w:r>
          </w:p>
        </w:tc>
        <w:tc>
          <w:tcPr>
            <w:tcW w:w="475" w:type="dxa"/>
          </w:tcPr>
          <w:p>
            <w:pPr>
              <w:pStyle w:val="TableParagraph"/>
              <w:spacing w:before="1"/>
              <w:ind w:left="4"/>
              <w:rPr>
                <w:sz w:val="18"/>
              </w:rPr>
            </w:pPr>
            <w:r>
              <w:rPr>
                <w:w w:val="99"/>
                <w:sz w:val="18"/>
              </w:rPr>
              <w:t>0</w:t>
            </w:r>
          </w:p>
        </w:tc>
        <w:tc>
          <w:tcPr>
            <w:tcW w:w="466" w:type="dxa"/>
          </w:tcPr>
          <w:p>
            <w:pPr>
              <w:pStyle w:val="TableParagraph"/>
              <w:spacing w:before="1"/>
              <w:rPr>
                <w:sz w:val="18"/>
              </w:rPr>
            </w:pPr>
            <w:r>
              <w:rPr>
                <w:w w:val="99"/>
                <w:sz w:val="18"/>
              </w:rPr>
              <w:t>1</w:t>
            </w:r>
          </w:p>
        </w:tc>
        <w:tc>
          <w:tcPr>
            <w:tcW w:w="466" w:type="dxa"/>
          </w:tcPr>
          <w:p>
            <w:pPr>
              <w:pStyle w:val="TableParagraph"/>
              <w:spacing w:before="1"/>
              <w:ind w:right="179"/>
              <w:jc w:val="right"/>
              <w:rPr>
                <w:sz w:val="18"/>
              </w:rPr>
            </w:pPr>
            <w:r>
              <w:rPr>
                <w:w w:val="99"/>
                <w:sz w:val="18"/>
              </w:rPr>
              <w:t>0</w:t>
            </w:r>
          </w:p>
        </w:tc>
        <w:tc>
          <w:tcPr>
            <w:tcW w:w="466" w:type="dxa"/>
          </w:tcPr>
          <w:p>
            <w:pPr>
              <w:pStyle w:val="TableParagraph"/>
              <w:spacing w:before="1"/>
              <w:ind w:right="3"/>
              <w:rPr>
                <w:sz w:val="18"/>
              </w:rPr>
            </w:pPr>
            <w:r>
              <w:rPr>
                <w:w w:val="99"/>
                <w:sz w:val="18"/>
              </w:rPr>
              <w:t>0</w:t>
            </w:r>
          </w:p>
        </w:tc>
        <w:tc>
          <w:tcPr>
            <w:tcW w:w="463" w:type="dxa"/>
          </w:tcPr>
          <w:p>
            <w:pPr>
              <w:pStyle w:val="TableParagraph"/>
              <w:spacing w:before="1"/>
              <w:ind w:left="175"/>
              <w:jc w:val="left"/>
              <w:rPr>
                <w:sz w:val="18"/>
              </w:rPr>
            </w:pPr>
            <w:r>
              <w:rPr>
                <w:w w:val="99"/>
                <w:sz w:val="18"/>
              </w:rPr>
              <w:t>0</w:t>
            </w:r>
          </w:p>
        </w:tc>
        <w:tc>
          <w:tcPr>
            <w:tcW w:w="475" w:type="dxa"/>
          </w:tcPr>
          <w:p>
            <w:pPr>
              <w:pStyle w:val="TableParagraph"/>
              <w:spacing w:line="204" w:lineRule="exact"/>
              <w:ind w:left="4"/>
              <w:rPr>
                <w:b/>
                <w:sz w:val="18"/>
              </w:rPr>
            </w:pPr>
            <w:r>
              <w:rPr>
                <w:b/>
                <w:w w:val="99"/>
                <w:sz w:val="18"/>
              </w:rPr>
              <w:t>3</w:t>
            </w:r>
          </w:p>
        </w:tc>
      </w:tr>
      <w:tr>
        <w:trPr>
          <w:trHeight w:val="319" w:hRule="exact"/>
        </w:trPr>
        <w:tc>
          <w:tcPr>
            <w:tcW w:w="2950" w:type="dxa"/>
            <w:tcBorders>
              <w:left w:val="single" w:sz="8" w:space="0" w:color="000000"/>
            </w:tcBorders>
          </w:tcPr>
          <w:p>
            <w:pPr>
              <w:pStyle w:val="TableParagraph"/>
              <w:spacing w:line="201" w:lineRule="exact"/>
              <w:ind w:left="60"/>
              <w:jc w:val="left"/>
              <w:rPr>
                <w:b/>
                <w:sz w:val="18"/>
              </w:rPr>
            </w:pPr>
            <w:r>
              <w:rPr>
                <w:b/>
                <w:color w:val="333333"/>
                <w:sz w:val="18"/>
              </w:rPr>
              <w:t>DONATO GUERRA</w:t>
            </w:r>
          </w:p>
        </w:tc>
        <w:tc>
          <w:tcPr>
            <w:tcW w:w="589" w:type="dxa"/>
          </w:tcPr>
          <w:p>
            <w:pPr>
              <w:pStyle w:val="TableParagraph"/>
              <w:spacing w:line="206" w:lineRule="exact"/>
              <w:ind w:left="2"/>
              <w:rPr>
                <w:sz w:val="18"/>
              </w:rPr>
            </w:pPr>
            <w:r>
              <w:rPr>
                <w:w w:val="99"/>
                <w:sz w:val="18"/>
              </w:rPr>
              <w:t>0</w:t>
            </w:r>
          </w:p>
        </w:tc>
        <w:tc>
          <w:tcPr>
            <w:tcW w:w="586" w:type="dxa"/>
          </w:tcPr>
          <w:p>
            <w:pPr>
              <w:pStyle w:val="TableParagraph"/>
              <w:spacing w:line="206" w:lineRule="exact"/>
              <w:ind w:left="237"/>
              <w:jc w:val="lef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75" w:type="dxa"/>
          </w:tcPr>
          <w:p>
            <w:pPr>
              <w:pStyle w:val="TableParagraph"/>
              <w:spacing w:line="206" w:lineRule="exact"/>
              <w:ind w:right="181"/>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73" w:type="dxa"/>
          </w:tcPr>
          <w:p>
            <w:pPr>
              <w:pStyle w:val="TableParagraph"/>
              <w:spacing w:line="206" w:lineRule="exact"/>
              <w:ind w:right="178"/>
              <w:jc w:val="righ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9"/>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22" w:hRule="exact"/>
        </w:trPr>
        <w:tc>
          <w:tcPr>
            <w:tcW w:w="2950" w:type="dxa"/>
            <w:tcBorders>
              <w:left w:val="single" w:sz="8" w:space="0" w:color="000000"/>
            </w:tcBorders>
          </w:tcPr>
          <w:p>
            <w:pPr>
              <w:pStyle w:val="TableParagraph"/>
              <w:spacing w:line="204" w:lineRule="exact"/>
              <w:ind w:left="60"/>
              <w:jc w:val="left"/>
              <w:rPr>
                <w:b/>
                <w:sz w:val="18"/>
              </w:rPr>
            </w:pPr>
            <w:r>
              <w:rPr>
                <w:b/>
                <w:color w:val="333333"/>
                <w:sz w:val="18"/>
              </w:rPr>
              <w:t>ECATEPEC DE MORELOS</w:t>
            </w:r>
          </w:p>
        </w:tc>
        <w:tc>
          <w:tcPr>
            <w:tcW w:w="589" w:type="dxa"/>
          </w:tcPr>
          <w:p>
            <w:pPr>
              <w:pStyle w:val="TableParagraph"/>
              <w:spacing w:before="1"/>
              <w:ind w:left="2"/>
              <w:rPr>
                <w:sz w:val="18"/>
              </w:rPr>
            </w:pPr>
            <w:r>
              <w:rPr>
                <w:w w:val="99"/>
                <w:sz w:val="18"/>
              </w:rPr>
              <w:t>0</w:t>
            </w:r>
          </w:p>
        </w:tc>
        <w:tc>
          <w:tcPr>
            <w:tcW w:w="586" w:type="dxa"/>
          </w:tcPr>
          <w:p>
            <w:pPr>
              <w:pStyle w:val="TableParagraph"/>
              <w:spacing w:before="1"/>
              <w:ind w:left="237"/>
              <w:jc w:val="left"/>
              <w:rPr>
                <w:sz w:val="18"/>
              </w:rPr>
            </w:pPr>
            <w:r>
              <w:rPr>
                <w:w w:val="99"/>
                <w:sz w:val="18"/>
              </w:rPr>
              <w:t>0</w:t>
            </w:r>
          </w:p>
        </w:tc>
        <w:tc>
          <w:tcPr>
            <w:tcW w:w="466" w:type="dxa"/>
          </w:tcPr>
          <w:p>
            <w:pPr>
              <w:pStyle w:val="TableParagraph"/>
              <w:spacing w:before="1"/>
              <w:rPr>
                <w:sz w:val="18"/>
              </w:rPr>
            </w:pPr>
            <w:r>
              <w:rPr>
                <w:w w:val="99"/>
                <w:sz w:val="18"/>
              </w:rPr>
              <w:t>0</w:t>
            </w:r>
          </w:p>
        </w:tc>
        <w:tc>
          <w:tcPr>
            <w:tcW w:w="475" w:type="dxa"/>
          </w:tcPr>
          <w:p>
            <w:pPr>
              <w:pStyle w:val="TableParagraph"/>
              <w:spacing w:before="1"/>
              <w:ind w:left="4"/>
              <w:rPr>
                <w:sz w:val="18"/>
              </w:rPr>
            </w:pPr>
            <w:r>
              <w:rPr>
                <w:w w:val="99"/>
                <w:sz w:val="18"/>
              </w:rPr>
              <w:t>0</w:t>
            </w:r>
          </w:p>
        </w:tc>
        <w:tc>
          <w:tcPr>
            <w:tcW w:w="466" w:type="dxa"/>
          </w:tcPr>
          <w:p>
            <w:pPr>
              <w:pStyle w:val="TableParagraph"/>
              <w:spacing w:before="1"/>
              <w:ind w:right="3"/>
              <w:rPr>
                <w:sz w:val="18"/>
              </w:rPr>
            </w:pPr>
            <w:r>
              <w:rPr>
                <w:w w:val="99"/>
                <w:sz w:val="18"/>
              </w:rPr>
              <w:t>0</w:t>
            </w:r>
          </w:p>
        </w:tc>
        <w:tc>
          <w:tcPr>
            <w:tcW w:w="466" w:type="dxa"/>
          </w:tcPr>
          <w:p>
            <w:pPr>
              <w:pStyle w:val="TableParagraph"/>
              <w:spacing w:before="1"/>
              <w:ind w:right="3"/>
              <w:rPr>
                <w:sz w:val="18"/>
              </w:rPr>
            </w:pPr>
            <w:r>
              <w:rPr>
                <w:w w:val="99"/>
                <w:sz w:val="18"/>
              </w:rPr>
              <w:t>0</w:t>
            </w:r>
          </w:p>
        </w:tc>
        <w:tc>
          <w:tcPr>
            <w:tcW w:w="463" w:type="dxa"/>
          </w:tcPr>
          <w:p>
            <w:pPr>
              <w:pStyle w:val="TableParagraph"/>
              <w:spacing w:before="1"/>
              <w:ind w:right="176"/>
              <w:jc w:val="right"/>
              <w:rPr>
                <w:sz w:val="18"/>
              </w:rPr>
            </w:pPr>
            <w:r>
              <w:rPr>
                <w:w w:val="99"/>
                <w:sz w:val="18"/>
              </w:rPr>
              <w:t>0</w:t>
            </w:r>
          </w:p>
        </w:tc>
        <w:tc>
          <w:tcPr>
            <w:tcW w:w="466" w:type="dxa"/>
          </w:tcPr>
          <w:p>
            <w:pPr>
              <w:pStyle w:val="TableParagraph"/>
              <w:spacing w:before="1"/>
              <w:ind w:right="176"/>
              <w:jc w:val="right"/>
              <w:rPr>
                <w:sz w:val="18"/>
              </w:rPr>
            </w:pPr>
            <w:r>
              <w:rPr>
                <w:w w:val="99"/>
                <w:sz w:val="18"/>
              </w:rPr>
              <w:t>0</w:t>
            </w:r>
          </w:p>
        </w:tc>
        <w:tc>
          <w:tcPr>
            <w:tcW w:w="475" w:type="dxa"/>
          </w:tcPr>
          <w:p>
            <w:pPr>
              <w:pStyle w:val="TableParagraph"/>
              <w:spacing w:before="1"/>
              <w:ind w:right="181"/>
              <w:jc w:val="right"/>
              <w:rPr>
                <w:sz w:val="18"/>
              </w:rPr>
            </w:pPr>
            <w:r>
              <w:rPr>
                <w:w w:val="99"/>
                <w:sz w:val="18"/>
              </w:rPr>
              <w:t>0</w:t>
            </w:r>
          </w:p>
        </w:tc>
        <w:tc>
          <w:tcPr>
            <w:tcW w:w="466" w:type="dxa"/>
          </w:tcPr>
          <w:p>
            <w:pPr>
              <w:pStyle w:val="TableParagraph"/>
              <w:spacing w:before="1"/>
              <w:ind w:right="3"/>
              <w:rPr>
                <w:sz w:val="18"/>
              </w:rPr>
            </w:pPr>
            <w:r>
              <w:rPr>
                <w:w w:val="99"/>
                <w:sz w:val="18"/>
              </w:rPr>
              <w:t>2</w:t>
            </w:r>
          </w:p>
        </w:tc>
        <w:tc>
          <w:tcPr>
            <w:tcW w:w="466" w:type="dxa"/>
          </w:tcPr>
          <w:p>
            <w:pPr>
              <w:pStyle w:val="TableParagraph"/>
              <w:spacing w:before="1"/>
              <w:ind w:right="3"/>
              <w:rPr>
                <w:sz w:val="18"/>
              </w:rPr>
            </w:pPr>
            <w:r>
              <w:rPr>
                <w:w w:val="99"/>
                <w:sz w:val="18"/>
              </w:rPr>
              <w:t>7</w:t>
            </w:r>
          </w:p>
        </w:tc>
        <w:tc>
          <w:tcPr>
            <w:tcW w:w="473" w:type="dxa"/>
          </w:tcPr>
          <w:p>
            <w:pPr>
              <w:pStyle w:val="TableParagraph"/>
              <w:spacing w:before="1"/>
              <w:ind w:right="178"/>
              <w:jc w:val="right"/>
              <w:rPr>
                <w:sz w:val="18"/>
              </w:rPr>
            </w:pPr>
            <w:r>
              <w:rPr>
                <w:w w:val="99"/>
                <w:sz w:val="18"/>
              </w:rPr>
              <w:t>3</w:t>
            </w:r>
          </w:p>
        </w:tc>
        <w:tc>
          <w:tcPr>
            <w:tcW w:w="475" w:type="dxa"/>
          </w:tcPr>
          <w:p>
            <w:pPr>
              <w:pStyle w:val="TableParagraph"/>
              <w:spacing w:before="1"/>
              <w:ind w:left="4"/>
              <w:rPr>
                <w:sz w:val="18"/>
              </w:rPr>
            </w:pPr>
            <w:r>
              <w:rPr>
                <w:w w:val="99"/>
                <w:sz w:val="18"/>
              </w:rPr>
              <w:t>0</w:t>
            </w:r>
          </w:p>
        </w:tc>
        <w:tc>
          <w:tcPr>
            <w:tcW w:w="466" w:type="dxa"/>
          </w:tcPr>
          <w:p>
            <w:pPr>
              <w:pStyle w:val="TableParagraph"/>
              <w:spacing w:before="1"/>
              <w:rPr>
                <w:sz w:val="18"/>
              </w:rPr>
            </w:pPr>
            <w:r>
              <w:rPr>
                <w:w w:val="99"/>
                <w:sz w:val="18"/>
              </w:rPr>
              <w:t>0</w:t>
            </w:r>
          </w:p>
        </w:tc>
        <w:tc>
          <w:tcPr>
            <w:tcW w:w="466" w:type="dxa"/>
          </w:tcPr>
          <w:p>
            <w:pPr>
              <w:pStyle w:val="TableParagraph"/>
              <w:spacing w:before="1"/>
              <w:ind w:right="179"/>
              <w:jc w:val="right"/>
              <w:rPr>
                <w:sz w:val="18"/>
              </w:rPr>
            </w:pPr>
            <w:r>
              <w:rPr>
                <w:w w:val="99"/>
                <w:sz w:val="18"/>
              </w:rPr>
              <w:t>0</w:t>
            </w:r>
          </w:p>
        </w:tc>
        <w:tc>
          <w:tcPr>
            <w:tcW w:w="466" w:type="dxa"/>
          </w:tcPr>
          <w:p>
            <w:pPr>
              <w:pStyle w:val="TableParagraph"/>
              <w:spacing w:before="1"/>
              <w:ind w:right="3"/>
              <w:rPr>
                <w:sz w:val="18"/>
              </w:rPr>
            </w:pPr>
            <w:r>
              <w:rPr>
                <w:w w:val="99"/>
                <w:sz w:val="18"/>
              </w:rPr>
              <w:t>0</w:t>
            </w:r>
          </w:p>
        </w:tc>
        <w:tc>
          <w:tcPr>
            <w:tcW w:w="463" w:type="dxa"/>
          </w:tcPr>
          <w:p>
            <w:pPr>
              <w:pStyle w:val="TableParagraph"/>
              <w:spacing w:before="1"/>
              <w:ind w:left="175"/>
              <w:jc w:val="left"/>
              <w:rPr>
                <w:sz w:val="18"/>
              </w:rPr>
            </w:pPr>
            <w:r>
              <w:rPr>
                <w:w w:val="99"/>
                <w:sz w:val="18"/>
              </w:rPr>
              <w:t>0</w:t>
            </w:r>
          </w:p>
        </w:tc>
        <w:tc>
          <w:tcPr>
            <w:tcW w:w="475" w:type="dxa"/>
          </w:tcPr>
          <w:p>
            <w:pPr>
              <w:pStyle w:val="TableParagraph"/>
              <w:spacing w:line="204" w:lineRule="exact"/>
              <w:ind w:right="127"/>
              <w:jc w:val="right"/>
              <w:rPr>
                <w:b/>
                <w:sz w:val="18"/>
              </w:rPr>
            </w:pPr>
            <w:r>
              <w:rPr>
                <w:b/>
                <w:w w:val="95"/>
                <w:sz w:val="18"/>
              </w:rPr>
              <w:t>12</w:t>
            </w:r>
          </w:p>
        </w:tc>
      </w:tr>
      <w:tr>
        <w:trPr>
          <w:trHeight w:val="319" w:hRule="exact"/>
        </w:trPr>
        <w:tc>
          <w:tcPr>
            <w:tcW w:w="2950" w:type="dxa"/>
            <w:tcBorders>
              <w:left w:val="single" w:sz="8" w:space="0" w:color="000000"/>
            </w:tcBorders>
          </w:tcPr>
          <w:p>
            <w:pPr>
              <w:pStyle w:val="TableParagraph"/>
              <w:spacing w:line="201" w:lineRule="exact"/>
              <w:ind w:left="60"/>
              <w:jc w:val="left"/>
              <w:rPr>
                <w:b/>
                <w:sz w:val="18"/>
              </w:rPr>
            </w:pPr>
            <w:r>
              <w:rPr>
                <w:b/>
                <w:color w:val="333333"/>
                <w:sz w:val="18"/>
              </w:rPr>
              <w:t>ECATZINGO</w:t>
            </w:r>
          </w:p>
        </w:tc>
        <w:tc>
          <w:tcPr>
            <w:tcW w:w="589" w:type="dxa"/>
          </w:tcPr>
          <w:p>
            <w:pPr>
              <w:pStyle w:val="TableParagraph"/>
              <w:spacing w:line="206" w:lineRule="exact"/>
              <w:ind w:left="2"/>
              <w:rPr>
                <w:sz w:val="18"/>
              </w:rPr>
            </w:pPr>
            <w:r>
              <w:rPr>
                <w:w w:val="99"/>
                <w:sz w:val="18"/>
              </w:rPr>
              <w:t>0</w:t>
            </w:r>
          </w:p>
        </w:tc>
        <w:tc>
          <w:tcPr>
            <w:tcW w:w="586" w:type="dxa"/>
          </w:tcPr>
          <w:p>
            <w:pPr>
              <w:pStyle w:val="TableParagraph"/>
              <w:spacing w:line="206" w:lineRule="exact"/>
              <w:ind w:left="237"/>
              <w:jc w:val="lef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75" w:type="dxa"/>
          </w:tcPr>
          <w:p>
            <w:pPr>
              <w:pStyle w:val="TableParagraph"/>
              <w:spacing w:line="206" w:lineRule="exact"/>
              <w:ind w:right="181"/>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73" w:type="dxa"/>
          </w:tcPr>
          <w:p>
            <w:pPr>
              <w:pStyle w:val="TableParagraph"/>
              <w:spacing w:line="206" w:lineRule="exact"/>
              <w:ind w:right="178"/>
              <w:jc w:val="righ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9"/>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22" w:hRule="exact"/>
        </w:trPr>
        <w:tc>
          <w:tcPr>
            <w:tcW w:w="2950" w:type="dxa"/>
            <w:tcBorders>
              <w:left w:val="single" w:sz="8" w:space="0" w:color="000000"/>
            </w:tcBorders>
          </w:tcPr>
          <w:p>
            <w:pPr>
              <w:pStyle w:val="TableParagraph"/>
              <w:spacing w:line="204" w:lineRule="exact"/>
              <w:ind w:left="60"/>
              <w:jc w:val="left"/>
              <w:rPr>
                <w:b/>
                <w:sz w:val="18"/>
              </w:rPr>
            </w:pPr>
            <w:r>
              <w:rPr>
                <w:b/>
                <w:color w:val="333333"/>
                <w:sz w:val="18"/>
              </w:rPr>
              <w:t>EL ORO</w:t>
            </w:r>
          </w:p>
        </w:tc>
        <w:tc>
          <w:tcPr>
            <w:tcW w:w="589" w:type="dxa"/>
          </w:tcPr>
          <w:p>
            <w:pPr>
              <w:pStyle w:val="TableParagraph"/>
              <w:spacing w:before="1"/>
              <w:ind w:left="2"/>
              <w:rPr>
                <w:sz w:val="18"/>
              </w:rPr>
            </w:pPr>
            <w:r>
              <w:rPr>
                <w:w w:val="99"/>
                <w:sz w:val="18"/>
              </w:rPr>
              <w:t>0</w:t>
            </w:r>
          </w:p>
        </w:tc>
        <w:tc>
          <w:tcPr>
            <w:tcW w:w="586" w:type="dxa"/>
          </w:tcPr>
          <w:p>
            <w:pPr>
              <w:pStyle w:val="TableParagraph"/>
              <w:spacing w:before="1"/>
              <w:ind w:left="237"/>
              <w:jc w:val="left"/>
              <w:rPr>
                <w:sz w:val="18"/>
              </w:rPr>
            </w:pPr>
            <w:r>
              <w:rPr>
                <w:w w:val="99"/>
                <w:sz w:val="18"/>
              </w:rPr>
              <w:t>0</w:t>
            </w:r>
          </w:p>
        </w:tc>
        <w:tc>
          <w:tcPr>
            <w:tcW w:w="466" w:type="dxa"/>
          </w:tcPr>
          <w:p>
            <w:pPr>
              <w:pStyle w:val="TableParagraph"/>
              <w:spacing w:before="1"/>
              <w:rPr>
                <w:sz w:val="18"/>
              </w:rPr>
            </w:pPr>
            <w:r>
              <w:rPr>
                <w:w w:val="99"/>
                <w:sz w:val="18"/>
              </w:rPr>
              <w:t>0</w:t>
            </w:r>
          </w:p>
        </w:tc>
        <w:tc>
          <w:tcPr>
            <w:tcW w:w="475" w:type="dxa"/>
          </w:tcPr>
          <w:p>
            <w:pPr>
              <w:pStyle w:val="TableParagraph"/>
              <w:spacing w:before="1"/>
              <w:ind w:left="62" w:right="58"/>
              <w:rPr>
                <w:sz w:val="18"/>
              </w:rPr>
            </w:pPr>
            <w:r>
              <w:rPr>
                <w:sz w:val="18"/>
              </w:rPr>
              <w:t>203</w:t>
            </w:r>
          </w:p>
        </w:tc>
        <w:tc>
          <w:tcPr>
            <w:tcW w:w="466" w:type="dxa"/>
          </w:tcPr>
          <w:p>
            <w:pPr>
              <w:pStyle w:val="TableParagraph"/>
              <w:spacing w:before="1"/>
              <w:ind w:right="3"/>
              <w:rPr>
                <w:sz w:val="18"/>
              </w:rPr>
            </w:pPr>
            <w:r>
              <w:rPr>
                <w:w w:val="99"/>
                <w:sz w:val="18"/>
              </w:rPr>
              <w:t>0</w:t>
            </w:r>
          </w:p>
        </w:tc>
        <w:tc>
          <w:tcPr>
            <w:tcW w:w="466" w:type="dxa"/>
          </w:tcPr>
          <w:p>
            <w:pPr>
              <w:pStyle w:val="TableParagraph"/>
              <w:spacing w:before="1"/>
              <w:ind w:right="3"/>
              <w:rPr>
                <w:sz w:val="18"/>
              </w:rPr>
            </w:pPr>
            <w:r>
              <w:rPr>
                <w:w w:val="99"/>
                <w:sz w:val="18"/>
              </w:rPr>
              <w:t>0</w:t>
            </w:r>
          </w:p>
        </w:tc>
        <w:tc>
          <w:tcPr>
            <w:tcW w:w="463" w:type="dxa"/>
          </w:tcPr>
          <w:p>
            <w:pPr>
              <w:pStyle w:val="TableParagraph"/>
              <w:spacing w:before="1"/>
              <w:ind w:right="176"/>
              <w:jc w:val="right"/>
              <w:rPr>
                <w:sz w:val="18"/>
              </w:rPr>
            </w:pPr>
            <w:r>
              <w:rPr>
                <w:w w:val="99"/>
                <w:sz w:val="18"/>
              </w:rPr>
              <w:t>0</w:t>
            </w:r>
          </w:p>
        </w:tc>
        <w:tc>
          <w:tcPr>
            <w:tcW w:w="466" w:type="dxa"/>
          </w:tcPr>
          <w:p>
            <w:pPr>
              <w:pStyle w:val="TableParagraph"/>
              <w:spacing w:before="1"/>
              <w:ind w:right="176"/>
              <w:jc w:val="right"/>
              <w:rPr>
                <w:sz w:val="18"/>
              </w:rPr>
            </w:pPr>
            <w:r>
              <w:rPr>
                <w:w w:val="99"/>
                <w:sz w:val="18"/>
              </w:rPr>
              <w:t>0</w:t>
            </w:r>
          </w:p>
        </w:tc>
        <w:tc>
          <w:tcPr>
            <w:tcW w:w="475" w:type="dxa"/>
          </w:tcPr>
          <w:p>
            <w:pPr>
              <w:pStyle w:val="TableParagraph"/>
              <w:spacing w:before="1"/>
              <w:ind w:right="79"/>
              <w:jc w:val="right"/>
              <w:rPr>
                <w:sz w:val="18"/>
              </w:rPr>
            </w:pPr>
            <w:r>
              <w:rPr>
                <w:w w:val="95"/>
                <w:sz w:val="18"/>
              </w:rPr>
              <w:t>203</w:t>
            </w:r>
          </w:p>
        </w:tc>
        <w:tc>
          <w:tcPr>
            <w:tcW w:w="466" w:type="dxa"/>
          </w:tcPr>
          <w:p>
            <w:pPr>
              <w:pStyle w:val="TableParagraph"/>
              <w:spacing w:before="1"/>
              <w:ind w:right="3"/>
              <w:rPr>
                <w:sz w:val="18"/>
              </w:rPr>
            </w:pPr>
            <w:r>
              <w:rPr>
                <w:w w:val="99"/>
                <w:sz w:val="18"/>
              </w:rPr>
              <w:t>0</w:t>
            </w:r>
          </w:p>
        </w:tc>
        <w:tc>
          <w:tcPr>
            <w:tcW w:w="466" w:type="dxa"/>
          </w:tcPr>
          <w:p>
            <w:pPr>
              <w:pStyle w:val="TableParagraph"/>
              <w:spacing w:before="1"/>
              <w:ind w:right="3"/>
              <w:rPr>
                <w:sz w:val="18"/>
              </w:rPr>
            </w:pPr>
            <w:r>
              <w:rPr>
                <w:w w:val="99"/>
                <w:sz w:val="18"/>
              </w:rPr>
              <w:t>0</w:t>
            </w:r>
          </w:p>
        </w:tc>
        <w:tc>
          <w:tcPr>
            <w:tcW w:w="473" w:type="dxa"/>
          </w:tcPr>
          <w:p>
            <w:pPr>
              <w:pStyle w:val="TableParagraph"/>
              <w:spacing w:before="1"/>
              <w:ind w:right="127"/>
              <w:jc w:val="right"/>
              <w:rPr>
                <w:sz w:val="18"/>
              </w:rPr>
            </w:pPr>
            <w:r>
              <w:rPr>
                <w:w w:val="95"/>
                <w:sz w:val="18"/>
              </w:rPr>
              <w:t>34</w:t>
            </w:r>
          </w:p>
        </w:tc>
        <w:tc>
          <w:tcPr>
            <w:tcW w:w="475" w:type="dxa"/>
          </w:tcPr>
          <w:p>
            <w:pPr>
              <w:pStyle w:val="TableParagraph"/>
              <w:spacing w:before="1"/>
              <w:ind w:left="62" w:right="58"/>
              <w:rPr>
                <w:sz w:val="18"/>
              </w:rPr>
            </w:pPr>
            <w:r>
              <w:rPr>
                <w:sz w:val="18"/>
              </w:rPr>
              <w:t>189</w:t>
            </w:r>
          </w:p>
        </w:tc>
        <w:tc>
          <w:tcPr>
            <w:tcW w:w="466" w:type="dxa"/>
          </w:tcPr>
          <w:p>
            <w:pPr>
              <w:pStyle w:val="TableParagraph"/>
              <w:spacing w:before="1"/>
              <w:rPr>
                <w:sz w:val="18"/>
              </w:rPr>
            </w:pPr>
            <w:r>
              <w:rPr>
                <w:w w:val="99"/>
                <w:sz w:val="18"/>
              </w:rPr>
              <w:t>0</w:t>
            </w:r>
          </w:p>
        </w:tc>
        <w:tc>
          <w:tcPr>
            <w:tcW w:w="466" w:type="dxa"/>
          </w:tcPr>
          <w:p>
            <w:pPr>
              <w:pStyle w:val="TableParagraph"/>
              <w:spacing w:before="1"/>
              <w:ind w:right="179"/>
              <w:jc w:val="right"/>
              <w:rPr>
                <w:sz w:val="18"/>
              </w:rPr>
            </w:pPr>
            <w:r>
              <w:rPr>
                <w:w w:val="99"/>
                <w:sz w:val="18"/>
              </w:rPr>
              <w:t>0</w:t>
            </w:r>
          </w:p>
        </w:tc>
        <w:tc>
          <w:tcPr>
            <w:tcW w:w="466" w:type="dxa"/>
          </w:tcPr>
          <w:p>
            <w:pPr>
              <w:pStyle w:val="TableParagraph"/>
              <w:spacing w:before="1"/>
              <w:ind w:right="3"/>
              <w:rPr>
                <w:sz w:val="18"/>
              </w:rPr>
            </w:pPr>
            <w:r>
              <w:rPr>
                <w:w w:val="99"/>
                <w:sz w:val="18"/>
              </w:rPr>
              <w:t>0</w:t>
            </w:r>
          </w:p>
        </w:tc>
        <w:tc>
          <w:tcPr>
            <w:tcW w:w="463" w:type="dxa"/>
          </w:tcPr>
          <w:p>
            <w:pPr>
              <w:pStyle w:val="TableParagraph"/>
              <w:spacing w:before="1"/>
              <w:ind w:left="175"/>
              <w:jc w:val="left"/>
              <w:rPr>
                <w:sz w:val="18"/>
              </w:rPr>
            </w:pPr>
            <w:r>
              <w:rPr>
                <w:w w:val="99"/>
                <w:sz w:val="18"/>
              </w:rPr>
              <w:t>0</w:t>
            </w:r>
          </w:p>
        </w:tc>
        <w:tc>
          <w:tcPr>
            <w:tcW w:w="475" w:type="dxa"/>
          </w:tcPr>
          <w:p>
            <w:pPr>
              <w:pStyle w:val="TableParagraph"/>
              <w:spacing w:line="204" w:lineRule="exact"/>
              <w:ind w:right="77"/>
              <w:jc w:val="right"/>
              <w:rPr>
                <w:b/>
                <w:sz w:val="18"/>
              </w:rPr>
            </w:pPr>
            <w:r>
              <w:rPr>
                <w:b/>
                <w:w w:val="95"/>
                <w:sz w:val="18"/>
              </w:rPr>
              <w:t>223</w:t>
            </w:r>
          </w:p>
        </w:tc>
      </w:tr>
      <w:tr>
        <w:trPr>
          <w:trHeight w:val="322" w:hRule="exact"/>
        </w:trPr>
        <w:tc>
          <w:tcPr>
            <w:tcW w:w="2950" w:type="dxa"/>
            <w:tcBorders>
              <w:left w:val="single" w:sz="8" w:space="0" w:color="000000"/>
            </w:tcBorders>
          </w:tcPr>
          <w:p>
            <w:pPr>
              <w:pStyle w:val="TableParagraph"/>
              <w:spacing w:line="201" w:lineRule="exact"/>
              <w:ind w:left="60"/>
              <w:jc w:val="left"/>
              <w:rPr>
                <w:b/>
                <w:sz w:val="18"/>
              </w:rPr>
            </w:pPr>
            <w:r>
              <w:rPr>
                <w:b/>
                <w:color w:val="333333"/>
                <w:sz w:val="18"/>
              </w:rPr>
              <w:t>HUEHUETOCA</w:t>
            </w:r>
          </w:p>
        </w:tc>
        <w:tc>
          <w:tcPr>
            <w:tcW w:w="589" w:type="dxa"/>
          </w:tcPr>
          <w:p>
            <w:pPr>
              <w:pStyle w:val="TableParagraph"/>
              <w:spacing w:line="206" w:lineRule="exact"/>
              <w:ind w:left="2"/>
              <w:rPr>
                <w:sz w:val="18"/>
              </w:rPr>
            </w:pPr>
            <w:r>
              <w:rPr>
                <w:w w:val="99"/>
                <w:sz w:val="18"/>
              </w:rPr>
              <w:t>0</w:t>
            </w:r>
          </w:p>
        </w:tc>
        <w:tc>
          <w:tcPr>
            <w:tcW w:w="586" w:type="dxa"/>
          </w:tcPr>
          <w:p>
            <w:pPr>
              <w:pStyle w:val="TableParagraph"/>
              <w:spacing w:line="206" w:lineRule="exact"/>
              <w:ind w:left="237"/>
              <w:jc w:val="lef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75" w:type="dxa"/>
          </w:tcPr>
          <w:p>
            <w:pPr>
              <w:pStyle w:val="TableParagraph"/>
              <w:spacing w:line="206" w:lineRule="exact"/>
              <w:ind w:right="181"/>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73" w:type="dxa"/>
          </w:tcPr>
          <w:p>
            <w:pPr>
              <w:pStyle w:val="TableParagraph"/>
              <w:spacing w:line="206" w:lineRule="exact"/>
              <w:ind w:right="178"/>
              <w:jc w:val="right"/>
              <w:rPr>
                <w:sz w:val="18"/>
              </w:rPr>
            </w:pPr>
            <w:r>
              <w:rPr>
                <w:w w:val="99"/>
                <w:sz w:val="18"/>
              </w:rPr>
              <w:t>0</w:t>
            </w:r>
          </w:p>
        </w:tc>
        <w:tc>
          <w:tcPr>
            <w:tcW w:w="475" w:type="dxa"/>
          </w:tcPr>
          <w:p>
            <w:pPr>
              <w:pStyle w:val="TableParagraph"/>
              <w:spacing w:line="206" w:lineRule="exact"/>
              <w:ind w:left="4"/>
              <w:rPr>
                <w:sz w:val="18"/>
              </w:rPr>
            </w:pPr>
            <w:r>
              <w:rPr>
                <w:w w:val="99"/>
                <w:sz w:val="18"/>
              </w:rPr>
              <w:t>5</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9"/>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ind w:left="4"/>
              <w:rPr>
                <w:b/>
                <w:sz w:val="18"/>
              </w:rPr>
            </w:pPr>
            <w:r>
              <w:rPr>
                <w:b/>
                <w:w w:val="99"/>
                <w:sz w:val="18"/>
              </w:rPr>
              <w:t>5</w:t>
            </w:r>
          </w:p>
        </w:tc>
      </w:tr>
      <w:tr>
        <w:trPr>
          <w:trHeight w:val="319" w:hRule="exact"/>
        </w:trPr>
        <w:tc>
          <w:tcPr>
            <w:tcW w:w="2950" w:type="dxa"/>
            <w:tcBorders>
              <w:left w:val="single" w:sz="8" w:space="0" w:color="000000"/>
            </w:tcBorders>
          </w:tcPr>
          <w:p>
            <w:pPr>
              <w:pStyle w:val="TableParagraph"/>
              <w:spacing w:line="201" w:lineRule="exact"/>
              <w:ind w:left="60"/>
              <w:jc w:val="left"/>
              <w:rPr>
                <w:b/>
                <w:sz w:val="18"/>
              </w:rPr>
            </w:pPr>
            <w:r>
              <w:rPr>
                <w:b/>
                <w:color w:val="333333"/>
                <w:sz w:val="18"/>
              </w:rPr>
              <w:t>HUEYPOXTLA</w:t>
            </w:r>
          </w:p>
        </w:tc>
        <w:tc>
          <w:tcPr>
            <w:tcW w:w="589" w:type="dxa"/>
          </w:tcPr>
          <w:p>
            <w:pPr>
              <w:pStyle w:val="TableParagraph"/>
              <w:spacing w:line="206" w:lineRule="exact"/>
              <w:ind w:left="2"/>
              <w:rPr>
                <w:sz w:val="18"/>
              </w:rPr>
            </w:pPr>
            <w:r>
              <w:rPr>
                <w:w w:val="99"/>
                <w:sz w:val="18"/>
              </w:rPr>
              <w:t>0</w:t>
            </w:r>
          </w:p>
        </w:tc>
        <w:tc>
          <w:tcPr>
            <w:tcW w:w="586" w:type="dxa"/>
          </w:tcPr>
          <w:p>
            <w:pPr>
              <w:pStyle w:val="TableParagraph"/>
              <w:spacing w:line="206" w:lineRule="exact"/>
              <w:ind w:left="237"/>
              <w:jc w:val="left"/>
              <w:rPr>
                <w:sz w:val="18"/>
              </w:rPr>
            </w:pPr>
            <w:r>
              <w:rPr>
                <w:w w:val="99"/>
                <w:sz w:val="18"/>
              </w:rPr>
              <w:t>0</w:t>
            </w:r>
          </w:p>
        </w:tc>
        <w:tc>
          <w:tcPr>
            <w:tcW w:w="466"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75" w:type="dxa"/>
          </w:tcPr>
          <w:p>
            <w:pPr>
              <w:pStyle w:val="TableParagraph"/>
              <w:spacing w:line="206" w:lineRule="exact"/>
              <w:ind w:right="181"/>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73" w:type="dxa"/>
          </w:tcPr>
          <w:p>
            <w:pPr>
              <w:pStyle w:val="TableParagraph"/>
              <w:spacing w:line="206" w:lineRule="exact"/>
              <w:ind w:right="178"/>
              <w:jc w:val="righ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9"/>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ind w:left="4"/>
              <w:rPr>
                <w:b/>
                <w:sz w:val="18"/>
              </w:rPr>
            </w:pPr>
            <w:r>
              <w:rPr>
                <w:b/>
                <w:w w:val="99"/>
                <w:sz w:val="18"/>
              </w:rPr>
              <w:t>0</w:t>
            </w:r>
          </w:p>
        </w:tc>
      </w:tr>
      <w:tr>
        <w:trPr>
          <w:trHeight w:val="326" w:hRule="exact"/>
        </w:trPr>
        <w:tc>
          <w:tcPr>
            <w:tcW w:w="2950" w:type="dxa"/>
            <w:tcBorders>
              <w:left w:val="single" w:sz="8" w:space="0" w:color="000000"/>
              <w:bottom w:val="single" w:sz="8" w:space="0" w:color="000000"/>
            </w:tcBorders>
          </w:tcPr>
          <w:p>
            <w:pPr>
              <w:pStyle w:val="TableParagraph"/>
              <w:spacing w:line="201" w:lineRule="exact"/>
              <w:ind w:left="60"/>
              <w:jc w:val="left"/>
              <w:rPr>
                <w:b/>
                <w:sz w:val="18"/>
              </w:rPr>
            </w:pPr>
            <w:r>
              <w:rPr>
                <w:b/>
                <w:color w:val="333333"/>
                <w:sz w:val="18"/>
              </w:rPr>
              <w:t>HUIXQUILUCAN</w:t>
            </w:r>
          </w:p>
        </w:tc>
        <w:tc>
          <w:tcPr>
            <w:tcW w:w="589" w:type="dxa"/>
          </w:tcPr>
          <w:p>
            <w:pPr>
              <w:pStyle w:val="TableParagraph"/>
              <w:spacing w:line="206" w:lineRule="exact"/>
              <w:ind w:left="168" w:right="167"/>
              <w:rPr>
                <w:sz w:val="18"/>
              </w:rPr>
            </w:pPr>
            <w:r>
              <w:rPr>
                <w:sz w:val="18"/>
              </w:rPr>
              <w:t>11</w:t>
            </w:r>
          </w:p>
        </w:tc>
        <w:tc>
          <w:tcPr>
            <w:tcW w:w="586" w:type="dxa"/>
          </w:tcPr>
          <w:p>
            <w:pPr>
              <w:pStyle w:val="TableParagraph"/>
              <w:spacing w:line="206" w:lineRule="exact"/>
              <w:ind w:left="187"/>
              <w:jc w:val="left"/>
              <w:rPr>
                <w:sz w:val="18"/>
              </w:rPr>
            </w:pPr>
            <w:r>
              <w:rPr>
                <w:sz w:val="18"/>
              </w:rPr>
              <w:t>32</w:t>
            </w:r>
          </w:p>
        </w:tc>
        <w:tc>
          <w:tcPr>
            <w:tcW w:w="466" w:type="dxa"/>
          </w:tcPr>
          <w:p>
            <w:pPr>
              <w:pStyle w:val="TableParagraph"/>
              <w:spacing w:line="206" w:lineRule="exact"/>
              <w:ind w:left="107" w:right="103"/>
              <w:rPr>
                <w:sz w:val="18"/>
              </w:rPr>
            </w:pPr>
            <w:r>
              <w:rPr>
                <w:sz w:val="18"/>
              </w:rPr>
              <w:t>34</w:t>
            </w:r>
          </w:p>
        </w:tc>
        <w:tc>
          <w:tcPr>
            <w:tcW w:w="475" w:type="dxa"/>
          </w:tcPr>
          <w:p>
            <w:pPr>
              <w:pStyle w:val="TableParagraph"/>
              <w:spacing w:line="206" w:lineRule="exact"/>
              <w:ind w:left="62" w:right="58"/>
              <w:rPr>
                <w:sz w:val="18"/>
              </w:rPr>
            </w:pPr>
            <w:r>
              <w:rPr>
                <w:sz w:val="18"/>
              </w:rPr>
              <w:t>103</w:t>
            </w:r>
          </w:p>
        </w:tc>
        <w:tc>
          <w:tcPr>
            <w:tcW w:w="466" w:type="dxa"/>
          </w:tcPr>
          <w:p>
            <w:pPr>
              <w:pStyle w:val="TableParagraph"/>
              <w:spacing w:line="206" w:lineRule="exact"/>
              <w:ind w:left="105" w:right="105"/>
              <w:rPr>
                <w:sz w:val="18"/>
              </w:rPr>
            </w:pPr>
            <w:r>
              <w:rPr>
                <w:sz w:val="18"/>
              </w:rPr>
              <w:t>13</w:t>
            </w:r>
          </w:p>
        </w:tc>
        <w:tc>
          <w:tcPr>
            <w:tcW w:w="466" w:type="dxa"/>
          </w:tcPr>
          <w:p>
            <w:pPr>
              <w:pStyle w:val="TableParagraph"/>
              <w:spacing w:line="206" w:lineRule="exact"/>
              <w:ind w:right="3"/>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75" w:type="dxa"/>
          </w:tcPr>
          <w:p>
            <w:pPr>
              <w:pStyle w:val="TableParagraph"/>
              <w:spacing w:line="206" w:lineRule="exact"/>
              <w:ind w:right="79"/>
              <w:jc w:val="right"/>
              <w:rPr>
                <w:sz w:val="18"/>
              </w:rPr>
            </w:pPr>
            <w:r>
              <w:rPr>
                <w:w w:val="95"/>
                <w:sz w:val="18"/>
              </w:rPr>
              <w:t>193</w:t>
            </w:r>
          </w:p>
        </w:tc>
        <w:tc>
          <w:tcPr>
            <w:tcW w:w="466" w:type="dxa"/>
          </w:tcPr>
          <w:p>
            <w:pPr/>
          </w:p>
        </w:tc>
        <w:tc>
          <w:tcPr>
            <w:tcW w:w="466" w:type="dxa"/>
          </w:tcPr>
          <w:p>
            <w:pPr/>
          </w:p>
        </w:tc>
        <w:tc>
          <w:tcPr>
            <w:tcW w:w="473" w:type="dxa"/>
          </w:tcPr>
          <w:p>
            <w:pPr/>
          </w:p>
        </w:tc>
        <w:tc>
          <w:tcPr>
            <w:tcW w:w="475" w:type="dxa"/>
          </w:tcPr>
          <w:p>
            <w:pPr/>
          </w:p>
        </w:tc>
        <w:tc>
          <w:tcPr>
            <w:tcW w:w="466" w:type="dxa"/>
          </w:tcPr>
          <w:p>
            <w:pPr/>
          </w:p>
        </w:tc>
        <w:tc>
          <w:tcPr>
            <w:tcW w:w="466" w:type="dxa"/>
          </w:tcPr>
          <w:p>
            <w:pPr/>
          </w:p>
        </w:tc>
        <w:tc>
          <w:tcPr>
            <w:tcW w:w="466" w:type="dxa"/>
          </w:tcPr>
          <w:p>
            <w:pPr/>
          </w:p>
        </w:tc>
        <w:tc>
          <w:tcPr>
            <w:tcW w:w="463" w:type="dxa"/>
          </w:tcPr>
          <w:p>
            <w:pPr/>
          </w:p>
        </w:tc>
        <w:tc>
          <w:tcPr>
            <w:tcW w:w="475" w:type="dxa"/>
          </w:tcPr>
          <w:p>
            <w:pPr/>
          </w:p>
        </w:tc>
      </w:tr>
    </w:tbl>
    <w:p>
      <w:pPr>
        <w:spacing w:after="0"/>
        <w:sectPr>
          <w:pgSz w:w="15840" w:h="12240" w:orient="landscape"/>
          <w:pgMar w:header="0" w:footer="975" w:top="1140" w:bottom="1160" w:left="1920" w:right="2060"/>
        </w:sectPr>
      </w:pPr>
    </w:p>
    <w:p>
      <w:pPr>
        <w:pStyle w:val="BodyText"/>
        <w:rPr>
          <w:rFonts w:ascii="Times New Roman"/>
          <w:sz w:val="20"/>
        </w:rPr>
      </w:pPr>
    </w:p>
    <w:p>
      <w:pPr>
        <w:pStyle w:val="BodyText"/>
        <w:spacing w:before="10"/>
        <w:rPr>
          <w:rFonts w:ascii="Times New Roman"/>
          <w:sz w:val="28"/>
        </w:r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00"/>
        <w:gridCol w:w="589"/>
        <w:gridCol w:w="588"/>
        <w:gridCol w:w="475"/>
        <w:gridCol w:w="473"/>
        <w:gridCol w:w="466"/>
        <w:gridCol w:w="466"/>
        <w:gridCol w:w="466"/>
        <w:gridCol w:w="464"/>
        <w:gridCol w:w="475"/>
        <w:gridCol w:w="466"/>
        <w:gridCol w:w="466"/>
        <w:gridCol w:w="475"/>
        <w:gridCol w:w="475"/>
        <w:gridCol w:w="463"/>
        <w:gridCol w:w="466"/>
        <w:gridCol w:w="466"/>
        <w:gridCol w:w="466"/>
        <w:gridCol w:w="475"/>
      </w:tblGrid>
      <w:tr>
        <w:trPr>
          <w:trHeight w:val="319" w:hRule="exact"/>
        </w:trPr>
        <w:tc>
          <w:tcPr>
            <w:tcW w:w="11678" w:type="dxa"/>
            <w:gridSpan w:val="19"/>
            <w:shd w:val="clear" w:color="auto" w:fill="C5DFB3"/>
          </w:tcPr>
          <w:p>
            <w:pPr>
              <w:pStyle w:val="TableParagraph"/>
              <w:spacing w:line="201" w:lineRule="exact"/>
              <w:ind w:left="2452"/>
              <w:jc w:val="left"/>
              <w:rPr>
                <w:b/>
                <w:sz w:val="18"/>
              </w:rPr>
            </w:pPr>
            <w:r>
              <w:rPr>
                <w:b/>
                <w:sz w:val="18"/>
              </w:rPr>
              <w:t>Anexo 26B. Municipios que publican apartado licitaciones de bienes 2014-2015</w:t>
            </w:r>
          </w:p>
        </w:tc>
      </w:tr>
      <w:tr>
        <w:trPr>
          <w:trHeight w:val="322" w:hRule="exact"/>
        </w:trPr>
        <w:tc>
          <w:tcPr>
            <w:tcW w:w="3000"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109"/>
              <w:ind w:left="1058" w:right="1052"/>
              <w:rPr>
                <w:b/>
                <w:sz w:val="18"/>
              </w:rPr>
            </w:pPr>
            <w:r>
              <w:rPr>
                <w:b/>
                <w:sz w:val="18"/>
              </w:rPr>
              <w:t>Municipio</w:t>
            </w:r>
          </w:p>
        </w:tc>
        <w:tc>
          <w:tcPr>
            <w:tcW w:w="4460" w:type="dxa"/>
            <w:gridSpan w:val="9"/>
            <w:shd w:val="clear" w:color="auto" w:fill="C5DFB3"/>
          </w:tcPr>
          <w:p>
            <w:pPr>
              <w:pStyle w:val="TableParagraph"/>
              <w:spacing w:line="201" w:lineRule="exact"/>
              <w:ind w:left="2007" w:right="2002"/>
              <w:rPr>
                <w:b/>
                <w:sz w:val="18"/>
              </w:rPr>
            </w:pPr>
            <w:r>
              <w:rPr>
                <w:b/>
                <w:sz w:val="18"/>
              </w:rPr>
              <w:t>2014</w:t>
            </w:r>
          </w:p>
        </w:tc>
        <w:tc>
          <w:tcPr>
            <w:tcW w:w="4217" w:type="dxa"/>
            <w:gridSpan w:val="9"/>
            <w:shd w:val="clear" w:color="auto" w:fill="C5DFB3"/>
          </w:tcPr>
          <w:p>
            <w:pPr>
              <w:pStyle w:val="TableParagraph"/>
              <w:spacing w:line="201" w:lineRule="exact"/>
              <w:ind w:left="1884" w:right="1883"/>
              <w:rPr>
                <w:b/>
                <w:sz w:val="18"/>
              </w:rPr>
            </w:pPr>
            <w:r>
              <w:rPr>
                <w:b/>
                <w:sz w:val="18"/>
              </w:rPr>
              <w:t>2015</w:t>
            </w:r>
          </w:p>
        </w:tc>
      </w:tr>
      <w:tr>
        <w:trPr>
          <w:trHeight w:val="1885" w:hRule="exact"/>
        </w:trPr>
        <w:tc>
          <w:tcPr>
            <w:tcW w:w="3000" w:type="dxa"/>
            <w:vMerge/>
            <w:shd w:val="clear" w:color="auto" w:fill="C5DFB3"/>
          </w:tcPr>
          <w:p>
            <w:pPr/>
          </w:p>
        </w:tc>
        <w:tc>
          <w:tcPr>
            <w:tcW w:w="589" w:type="dxa"/>
            <w:shd w:val="clear" w:color="auto" w:fill="C5DFB3"/>
            <w:textDirection w:val="btLr"/>
          </w:tcPr>
          <w:p>
            <w:pPr>
              <w:pStyle w:val="TableParagraph"/>
              <w:spacing w:before="10"/>
              <w:jc w:val="left"/>
              <w:rPr>
                <w:rFonts w:ascii="Times New Roman"/>
                <w:sz w:val="16"/>
              </w:rPr>
            </w:pPr>
          </w:p>
          <w:p>
            <w:pPr>
              <w:pStyle w:val="TableParagraph"/>
              <w:ind w:left="-1"/>
              <w:jc w:val="left"/>
              <w:rPr>
                <w:b/>
                <w:sz w:val="18"/>
              </w:rPr>
            </w:pPr>
            <w:r>
              <w:rPr>
                <w:b/>
                <w:w w:val="100"/>
                <w:sz w:val="18"/>
              </w:rPr>
              <w:t>Li</w:t>
            </w:r>
            <w:r>
              <w:rPr>
                <w:b/>
                <w:w w:val="99"/>
                <w:sz w:val="18"/>
              </w:rPr>
              <w:t>c</w:t>
            </w:r>
            <w:r>
              <w:rPr>
                <w:b/>
                <w:w w:val="100"/>
                <w:sz w:val="18"/>
              </w:rPr>
              <w:t>it.</w:t>
            </w:r>
            <w:r>
              <w:rPr>
                <w:b/>
                <w:sz w:val="18"/>
              </w:rPr>
              <w:t> </w:t>
            </w:r>
            <w:r>
              <w:rPr>
                <w:b/>
                <w:w w:val="100"/>
                <w:sz w:val="18"/>
              </w:rPr>
              <w:t>Pu</w:t>
            </w:r>
            <w:r>
              <w:rPr>
                <w:b/>
                <w:spacing w:val="-2"/>
                <w:w w:val="100"/>
                <w:sz w:val="18"/>
              </w:rPr>
              <w:t>b</w:t>
            </w:r>
            <w:r>
              <w:rPr>
                <w:b/>
                <w:w w:val="100"/>
                <w:sz w:val="18"/>
              </w:rPr>
              <w:t>l</w:t>
            </w:r>
          </w:p>
        </w:tc>
        <w:tc>
          <w:tcPr>
            <w:tcW w:w="588" w:type="dxa"/>
            <w:shd w:val="clear" w:color="auto" w:fill="C5DFB3"/>
            <w:textDirection w:val="btLr"/>
          </w:tcPr>
          <w:p>
            <w:pPr>
              <w:pStyle w:val="TableParagraph"/>
              <w:spacing w:before="9"/>
              <w:jc w:val="left"/>
              <w:rPr>
                <w:rFonts w:ascii="Times New Roman"/>
                <w:sz w:val="16"/>
              </w:rPr>
            </w:pPr>
          </w:p>
          <w:p>
            <w:pPr>
              <w:pStyle w:val="TableParagraph"/>
              <w:ind w:left="-1"/>
              <w:jc w:val="left"/>
              <w:rPr>
                <w:b/>
                <w:sz w:val="18"/>
              </w:rPr>
            </w:pPr>
            <w:r>
              <w:rPr>
                <w:b/>
                <w:w w:val="100"/>
                <w:sz w:val="18"/>
              </w:rPr>
              <w:t>In</w:t>
            </w:r>
            <w:r>
              <w:rPr>
                <w:b/>
                <w:w w:val="99"/>
                <w:sz w:val="18"/>
              </w:rPr>
              <w:t>v</w:t>
            </w:r>
            <w:r>
              <w:rPr>
                <w:b/>
                <w:w w:val="100"/>
                <w:sz w:val="18"/>
              </w:rPr>
              <w:t>.</w:t>
            </w:r>
            <w:r>
              <w:rPr>
                <w:b/>
                <w:sz w:val="18"/>
              </w:rPr>
              <w:t> </w:t>
            </w:r>
            <w:r>
              <w:rPr>
                <w:b/>
                <w:w w:val="99"/>
                <w:sz w:val="18"/>
              </w:rPr>
              <w:t>Res</w:t>
            </w:r>
            <w:r>
              <w:rPr>
                <w:b/>
                <w:sz w:val="18"/>
              </w:rPr>
              <w:t>tr.</w:t>
            </w:r>
          </w:p>
        </w:tc>
        <w:tc>
          <w:tcPr>
            <w:tcW w:w="475" w:type="dxa"/>
            <w:shd w:val="clear" w:color="auto" w:fill="C5DFB3"/>
            <w:textDirection w:val="btLr"/>
          </w:tcPr>
          <w:p>
            <w:pPr>
              <w:pStyle w:val="TableParagraph"/>
              <w:spacing w:before="80"/>
              <w:ind w:left="-1"/>
              <w:jc w:val="left"/>
              <w:rPr>
                <w:b/>
                <w:sz w:val="18"/>
              </w:rPr>
            </w:pPr>
            <w:r>
              <w:rPr>
                <w:b/>
                <w:w w:val="100"/>
                <w:sz w:val="18"/>
              </w:rPr>
              <w:t>Adj.</w:t>
            </w:r>
            <w:r>
              <w:rPr>
                <w:b/>
                <w:sz w:val="18"/>
              </w:rPr>
              <w:t> </w:t>
            </w:r>
            <w:r>
              <w:rPr>
                <w:b/>
                <w:w w:val="99"/>
                <w:sz w:val="18"/>
              </w:rPr>
              <w:t>Dire</w:t>
            </w:r>
            <w:r>
              <w:rPr>
                <w:b/>
                <w:w w:val="99"/>
                <w:sz w:val="18"/>
              </w:rPr>
              <w:t>c</w:t>
            </w:r>
            <w:r>
              <w:rPr>
                <w:b/>
                <w:w w:val="100"/>
                <w:sz w:val="18"/>
              </w:rPr>
              <w:t>t.</w:t>
            </w:r>
          </w:p>
        </w:tc>
        <w:tc>
          <w:tcPr>
            <w:tcW w:w="473" w:type="dxa"/>
            <w:shd w:val="clear" w:color="auto" w:fill="C5DFB3"/>
            <w:textDirection w:val="btLr"/>
          </w:tcPr>
          <w:p>
            <w:pPr>
              <w:pStyle w:val="TableParagraph"/>
              <w:spacing w:before="80"/>
              <w:ind w:left="-1"/>
              <w:jc w:val="left"/>
              <w:rPr>
                <w:b/>
                <w:sz w:val="18"/>
              </w:rPr>
            </w:pPr>
            <w:r>
              <w:rPr>
                <w:b/>
                <w:w w:val="100"/>
                <w:sz w:val="18"/>
              </w:rPr>
              <w:t>Adq.</w:t>
            </w:r>
            <w:r>
              <w:rPr>
                <w:b/>
                <w:sz w:val="18"/>
              </w:rPr>
              <w:t> </w:t>
            </w:r>
            <w:r>
              <w:rPr>
                <w:b/>
                <w:w w:val="99"/>
                <w:sz w:val="18"/>
              </w:rPr>
              <w:t>Dire</w:t>
            </w:r>
            <w:r>
              <w:rPr>
                <w:b/>
                <w:w w:val="99"/>
                <w:sz w:val="18"/>
              </w:rPr>
              <w:t>c</w:t>
            </w:r>
            <w:r>
              <w:rPr>
                <w:b/>
                <w:w w:val="99"/>
                <w:sz w:val="18"/>
              </w:rPr>
              <w:t>t</w:t>
            </w:r>
          </w:p>
        </w:tc>
        <w:tc>
          <w:tcPr>
            <w:tcW w:w="466" w:type="dxa"/>
            <w:shd w:val="clear" w:color="auto" w:fill="C5DFB3"/>
            <w:textDirection w:val="btLr"/>
          </w:tcPr>
          <w:p>
            <w:pPr>
              <w:pStyle w:val="TableParagraph"/>
              <w:spacing w:before="71"/>
              <w:ind w:left="-1"/>
              <w:jc w:val="left"/>
              <w:rPr>
                <w:b/>
                <w:sz w:val="18"/>
              </w:rPr>
            </w:pPr>
            <w:r>
              <w:rPr>
                <w:b/>
                <w:w w:val="100"/>
                <w:sz w:val="18"/>
              </w:rPr>
              <w:t>In</w:t>
            </w:r>
            <w:r>
              <w:rPr>
                <w:b/>
                <w:w w:val="99"/>
                <w:sz w:val="18"/>
              </w:rPr>
              <w:t>v</w:t>
            </w:r>
            <w:r>
              <w:rPr>
                <w:b/>
                <w:w w:val="100"/>
                <w:sz w:val="18"/>
              </w:rPr>
              <w:t>.</w:t>
            </w:r>
            <w:r>
              <w:rPr>
                <w:b/>
                <w:sz w:val="18"/>
              </w:rPr>
              <w:t> </w:t>
            </w:r>
            <w:r>
              <w:rPr>
                <w:b/>
                <w:w w:val="99"/>
                <w:sz w:val="18"/>
              </w:rPr>
              <w:t>A</w:t>
            </w:r>
            <w:r>
              <w:rPr>
                <w:b/>
                <w:sz w:val="18"/>
              </w:rPr>
              <w:t> </w:t>
            </w:r>
            <w:r>
              <w:rPr>
                <w:b/>
                <w:w w:val="99"/>
                <w:sz w:val="18"/>
              </w:rPr>
              <w:t>3</w:t>
            </w:r>
            <w:r>
              <w:rPr>
                <w:b/>
                <w:spacing w:val="-2"/>
                <w:sz w:val="18"/>
              </w:rPr>
              <w:t> </w:t>
            </w:r>
            <w:r>
              <w:rPr>
                <w:b/>
                <w:sz w:val="18"/>
              </w:rPr>
              <w:t>perso</w:t>
            </w:r>
            <w:r>
              <w:rPr>
                <w:b/>
                <w:spacing w:val="-2"/>
                <w:w w:val="100"/>
                <w:sz w:val="18"/>
              </w:rPr>
              <w:t>n</w:t>
            </w:r>
            <w:r>
              <w:rPr>
                <w:b/>
                <w:w w:val="99"/>
                <w:sz w:val="18"/>
              </w:rPr>
              <w:t>as</w:t>
            </w:r>
          </w:p>
        </w:tc>
        <w:tc>
          <w:tcPr>
            <w:tcW w:w="466" w:type="dxa"/>
            <w:shd w:val="clear" w:color="auto" w:fill="C5DFB3"/>
            <w:textDirection w:val="btLr"/>
          </w:tcPr>
          <w:p>
            <w:pPr>
              <w:pStyle w:val="TableParagraph"/>
              <w:spacing w:before="71"/>
              <w:ind w:left="-1"/>
              <w:jc w:val="left"/>
              <w:rPr>
                <w:b/>
                <w:sz w:val="18"/>
              </w:rPr>
            </w:pPr>
            <w:r>
              <w:rPr>
                <w:b/>
                <w:w w:val="99"/>
                <w:sz w:val="18"/>
              </w:rPr>
              <w:t>Compra</w:t>
            </w:r>
            <w:r>
              <w:rPr>
                <w:b/>
                <w:w w:val="99"/>
                <w:sz w:val="18"/>
              </w:rPr>
              <w:t>s</w:t>
            </w:r>
            <w:r>
              <w:rPr>
                <w:b/>
                <w:sz w:val="18"/>
              </w:rPr>
              <w:t> </w:t>
            </w:r>
            <w:r>
              <w:rPr>
                <w:b/>
                <w:spacing w:val="-2"/>
                <w:w w:val="99"/>
                <w:sz w:val="18"/>
              </w:rPr>
              <w:t>m</w:t>
            </w:r>
            <w:r>
              <w:rPr>
                <w:b/>
                <w:w w:val="99"/>
                <w:sz w:val="18"/>
              </w:rPr>
              <w:t>e</w:t>
            </w:r>
            <w:r>
              <w:rPr>
                <w:b/>
                <w:w w:val="100"/>
                <w:sz w:val="18"/>
              </w:rPr>
              <w:t>no</w:t>
            </w:r>
            <w:r>
              <w:rPr>
                <w:b/>
                <w:w w:val="99"/>
                <w:sz w:val="18"/>
              </w:rPr>
              <w:t>res</w:t>
            </w:r>
          </w:p>
        </w:tc>
        <w:tc>
          <w:tcPr>
            <w:tcW w:w="466" w:type="dxa"/>
            <w:shd w:val="clear" w:color="auto" w:fill="C5DFB3"/>
            <w:textDirection w:val="btLr"/>
          </w:tcPr>
          <w:p>
            <w:pPr>
              <w:pStyle w:val="TableParagraph"/>
              <w:spacing w:before="71"/>
              <w:ind w:left="-1"/>
              <w:jc w:val="left"/>
              <w:rPr>
                <w:b/>
                <w:sz w:val="18"/>
              </w:rPr>
            </w:pPr>
            <w:r>
              <w:rPr>
                <w:b/>
                <w:w w:val="100"/>
                <w:sz w:val="18"/>
              </w:rPr>
              <w:t>Cont</w:t>
            </w:r>
            <w:r>
              <w:rPr>
                <w:b/>
                <w:w w:val="99"/>
                <w:sz w:val="18"/>
              </w:rPr>
              <w:t>rato </w:t>
            </w:r>
            <w:r>
              <w:rPr>
                <w:b/>
                <w:w w:val="100"/>
                <w:sz w:val="18"/>
              </w:rPr>
              <w:t>p</w:t>
            </w:r>
            <w:r>
              <w:rPr>
                <w:b/>
                <w:w w:val="99"/>
                <w:sz w:val="18"/>
              </w:rPr>
              <w:t>e</w:t>
            </w:r>
            <w:r>
              <w:rPr>
                <w:b/>
                <w:w w:val="100"/>
                <w:sz w:val="18"/>
              </w:rPr>
              <w:t>d</w:t>
            </w:r>
            <w:r>
              <w:rPr>
                <w:b/>
                <w:spacing w:val="-2"/>
                <w:w w:val="100"/>
                <w:sz w:val="18"/>
              </w:rPr>
              <w:t>i</w:t>
            </w:r>
            <w:r>
              <w:rPr>
                <w:b/>
                <w:w w:val="100"/>
                <w:sz w:val="18"/>
              </w:rPr>
              <w:t>do</w:t>
            </w:r>
          </w:p>
        </w:tc>
        <w:tc>
          <w:tcPr>
            <w:tcW w:w="464" w:type="dxa"/>
            <w:shd w:val="clear" w:color="auto" w:fill="C5DFB3"/>
            <w:textDirection w:val="btLr"/>
          </w:tcPr>
          <w:p>
            <w:pPr>
              <w:pStyle w:val="TableParagraph"/>
              <w:spacing w:before="71"/>
              <w:ind w:left="-1"/>
              <w:jc w:val="left"/>
              <w:rPr>
                <w:b/>
                <w:sz w:val="18"/>
              </w:rPr>
            </w:pPr>
            <w:r>
              <w:rPr>
                <w:b/>
                <w:w w:val="99"/>
                <w:sz w:val="18"/>
              </w:rPr>
              <w:t>Compra</w:t>
            </w:r>
            <w:r>
              <w:rPr>
                <w:b/>
                <w:w w:val="99"/>
                <w:sz w:val="18"/>
              </w:rPr>
              <w:t>s</w:t>
            </w:r>
            <w:r>
              <w:rPr>
                <w:b/>
                <w:sz w:val="18"/>
              </w:rPr>
              <w:t> </w:t>
            </w:r>
            <w:r>
              <w:rPr>
                <w:b/>
                <w:spacing w:val="-2"/>
                <w:w w:val="99"/>
                <w:sz w:val="18"/>
              </w:rPr>
              <w:t>s</w:t>
            </w:r>
            <w:r>
              <w:rPr>
                <w:b/>
                <w:w w:val="100"/>
                <w:sz w:val="18"/>
              </w:rPr>
              <w:t>olid</w:t>
            </w:r>
            <w:r>
              <w:rPr>
                <w:b/>
                <w:w w:val="99"/>
                <w:sz w:val="18"/>
              </w:rPr>
              <w:t>a</w:t>
            </w:r>
            <w:r>
              <w:rPr>
                <w:b/>
                <w:w w:val="100"/>
                <w:sz w:val="18"/>
              </w:rPr>
              <w:t>r</w:t>
            </w:r>
            <w:r>
              <w:rPr>
                <w:b/>
                <w:spacing w:val="-3"/>
                <w:w w:val="100"/>
                <w:sz w:val="18"/>
              </w:rPr>
              <w:t>i</w:t>
            </w:r>
            <w:r>
              <w:rPr>
                <w:b/>
                <w:w w:val="99"/>
                <w:sz w:val="18"/>
              </w:rPr>
              <w:t>as</w:t>
            </w:r>
          </w:p>
        </w:tc>
        <w:tc>
          <w:tcPr>
            <w:tcW w:w="475" w:type="dxa"/>
            <w:shd w:val="clear" w:color="auto" w:fill="C5DFB3"/>
            <w:textDirection w:val="btLr"/>
          </w:tcPr>
          <w:p>
            <w:pPr>
              <w:pStyle w:val="TableParagraph"/>
              <w:spacing w:before="80"/>
              <w:ind w:left="-1"/>
              <w:jc w:val="left"/>
              <w:rPr>
                <w:b/>
                <w:sz w:val="18"/>
              </w:rPr>
            </w:pPr>
            <w:r>
              <w:rPr>
                <w:b/>
                <w:w w:val="100"/>
                <w:sz w:val="18"/>
              </w:rPr>
              <w:t>To</w:t>
            </w:r>
            <w:r>
              <w:rPr>
                <w:b/>
                <w:w w:val="99"/>
                <w:sz w:val="18"/>
              </w:rPr>
              <w:t>ta</w:t>
            </w:r>
            <w:r>
              <w:rPr>
                <w:b/>
                <w:w w:val="100"/>
                <w:sz w:val="18"/>
              </w:rPr>
              <w:t>l</w:t>
            </w:r>
          </w:p>
        </w:tc>
        <w:tc>
          <w:tcPr>
            <w:tcW w:w="466" w:type="dxa"/>
            <w:shd w:val="clear" w:color="auto" w:fill="C5DFB3"/>
            <w:textDirection w:val="btLr"/>
          </w:tcPr>
          <w:p>
            <w:pPr>
              <w:pStyle w:val="TableParagraph"/>
              <w:spacing w:before="71"/>
              <w:ind w:left="-1"/>
              <w:jc w:val="left"/>
              <w:rPr>
                <w:b/>
                <w:sz w:val="18"/>
              </w:rPr>
            </w:pPr>
            <w:r>
              <w:rPr>
                <w:b/>
                <w:w w:val="100"/>
                <w:sz w:val="18"/>
              </w:rPr>
              <w:t>Li</w:t>
            </w:r>
            <w:r>
              <w:rPr>
                <w:b/>
                <w:w w:val="99"/>
                <w:sz w:val="18"/>
              </w:rPr>
              <w:t>c</w:t>
            </w:r>
            <w:r>
              <w:rPr>
                <w:b/>
                <w:w w:val="100"/>
                <w:sz w:val="18"/>
              </w:rPr>
              <w:t>it.</w:t>
            </w:r>
            <w:r>
              <w:rPr>
                <w:b/>
                <w:sz w:val="18"/>
              </w:rPr>
              <w:t> </w:t>
            </w:r>
            <w:r>
              <w:rPr>
                <w:b/>
                <w:w w:val="100"/>
                <w:sz w:val="18"/>
              </w:rPr>
              <w:t>Pu</w:t>
            </w:r>
            <w:r>
              <w:rPr>
                <w:b/>
                <w:spacing w:val="-2"/>
                <w:w w:val="100"/>
                <w:sz w:val="18"/>
              </w:rPr>
              <w:t>b</w:t>
            </w:r>
            <w:r>
              <w:rPr>
                <w:b/>
                <w:w w:val="100"/>
                <w:sz w:val="18"/>
              </w:rPr>
              <w:t>l</w:t>
            </w:r>
          </w:p>
        </w:tc>
        <w:tc>
          <w:tcPr>
            <w:tcW w:w="466" w:type="dxa"/>
            <w:shd w:val="clear" w:color="auto" w:fill="C5DFB3"/>
            <w:textDirection w:val="btLr"/>
          </w:tcPr>
          <w:p>
            <w:pPr>
              <w:pStyle w:val="TableParagraph"/>
              <w:spacing w:before="71"/>
              <w:ind w:left="-1"/>
              <w:jc w:val="left"/>
              <w:rPr>
                <w:b/>
                <w:sz w:val="18"/>
              </w:rPr>
            </w:pPr>
            <w:r>
              <w:rPr>
                <w:b/>
                <w:w w:val="100"/>
                <w:sz w:val="18"/>
              </w:rPr>
              <w:t>In</w:t>
            </w:r>
            <w:r>
              <w:rPr>
                <w:b/>
                <w:w w:val="99"/>
                <w:sz w:val="18"/>
              </w:rPr>
              <w:t>v</w:t>
            </w:r>
            <w:r>
              <w:rPr>
                <w:b/>
                <w:w w:val="100"/>
                <w:sz w:val="18"/>
              </w:rPr>
              <w:t>.</w:t>
            </w:r>
            <w:r>
              <w:rPr>
                <w:b/>
                <w:sz w:val="18"/>
              </w:rPr>
              <w:t> </w:t>
            </w:r>
            <w:r>
              <w:rPr>
                <w:b/>
                <w:w w:val="99"/>
                <w:sz w:val="18"/>
              </w:rPr>
              <w:t>Res</w:t>
            </w:r>
            <w:r>
              <w:rPr>
                <w:b/>
                <w:sz w:val="18"/>
              </w:rPr>
              <w:t>tr.</w:t>
            </w:r>
          </w:p>
        </w:tc>
        <w:tc>
          <w:tcPr>
            <w:tcW w:w="475" w:type="dxa"/>
            <w:shd w:val="clear" w:color="auto" w:fill="C5DFB3"/>
            <w:textDirection w:val="btLr"/>
          </w:tcPr>
          <w:p>
            <w:pPr>
              <w:pStyle w:val="TableParagraph"/>
              <w:spacing w:before="80"/>
              <w:ind w:left="-1"/>
              <w:jc w:val="left"/>
              <w:rPr>
                <w:b/>
                <w:sz w:val="18"/>
              </w:rPr>
            </w:pPr>
            <w:r>
              <w:rPr>
                <w:b/>
                <w:w w:val="100"/>
                <w:sz w:val="18"/>
              </w:rPr>
              <w:t>Adj.</w:t>
            </w:r>
            <w:r>
              <w:rPr>
                <w:b/>
                <w:sz w:val="18"/>
              </w:rPr>
              <w:t> </w:t>
            </w:r>
            <w:r>
              <w:rPr>
                <w:b/>
                <w:w w:val="99"/>
                <w:sz w:val="18"/>
              </w:rPr>
              <w:t>Dire</w:t>
            </w:r>
            <w:r>
              <w:rPr>
                <w:b/>
                <w:w w:val="99"/>
                <w:sz w:val="18"/>
              </w:rPr>
              <w:t>c</w:t>
            </w:r>
            <w:r>
              <w:rPr>
                <w:b/>
                <w:w w:val="100"/>
                <w:sz w:val="18"/>
              </w:rPr>
              <w:t>t.</w:t>
            </w:r>
          </w:p>
        </w:tc>
        <w:tc>
          <w:tcPr>
            <w:tcW w:w="475" w:type="dxa"/>
            <w:shd w:val="clear" w:color="auto" w:fill="C5DFB3"/>
            <w:textDirection w:val="btLr"/>
          </w:tcPr>
          <w:p>
            <w:pPr>
              <w:pStyle w:val="TableParagraph"/>
              <w:spacing w:before="80"/>
              <w:ind w:left="-1"/>
              <w:jc w:val="left"/>
              <w:rPr>
                <w:b/>
                <w:sz w:val="18"/>
              </w:rPr>
            </w:pPr>
            <w:r>
              <w:rPr>
                <w:b/>
                <w:w w:val="100"/>
                <w:sz w:val="18"/>
              </w:rPr>
              <w:t>Adq.</w:t>
            </w:r>
            <w:r>
              <w:rPr>
                <w:b/>
                <w:sz w:val="18"/>
              </w:rPr>
              <w:t> </w:t>
            </w:r>
            <w:r>
              <w:rPr>
                <w:b/>
                <w:w w:val="99"/>
                <w:sz w:val="18"/>
              </w:rPr>
              <w:t>Dire</w:t>
            </w:r>
            <w:r>
              <w:rPr>
                <w:b/>
                <w:w w:val="99"/>
                <w:sz w:val="18"/>
              </w:rPr>
              <w:t>c</w:t>
            </w:r>
            <w:r>
              <w:rPr>
                <w:b/>
                <w:w w:val="99"/>
                <w:sz w:val="18"/>
              </w:rPr>
              <w:t>t</w:t>
            </w:r>
          </w:p>
        </w:tc>
        <w:tc>
          <w:tcPr>
            <w:tcW w:w="463" w:type="dxa"/>
            <w:shd w:val="clear" w:color="auto" w:fill="C5DFB3"/>
            <w:textDirection w:val="btLr"/>
          </w:tcPr>
          <w:p>
            <w:pPr>
              <w:pStyle w:val="TableParagraph"/>
              <w:spacing w:before="71"/>
              <w:ind w:left="-1"/>
              <w:jc w:val="left"/>
              <w:rPr>
                <w:b/>
                <w:sz w:val="18"/>
              </w:rPr>
            </w:pPr>
            <w:r>
              <w:rPr>
                <w:b/>
                <w:w w:val="100"/>
                <w:sz w:val="18"/>
              </w:rPr>
              <w:t>In</w:t>
            </w:r>
            <w:r>
              <w:rPr>
                <w:b/>
                <w:w w:val="99"/>
                <w:sz w:val="18"/>
              </w:rPr>
              <w:t>v</w:t>
            </w:r>
            <w:r>
              <w:rPr>
                <w:b/>
                <w:w w:val="100"/>
                <w:sz w:val="18"/>
              </w:rPr>
              <w:t>.</w:t>
            </w:r>
            <w:r>
              <w:rPr>
                <w:b/>
                <w:sz w:val="18"/>
              </w:rPr>
              <w:t> </w:t>
            </w:r>
            <w:r>
              <w:rPr>
                <w:b/>
                <w:w w:val="99"/>
                <w:sz w:val="18"/>
              </w:rPr>
              <w:t>A</w:t>
            </w:r>
            <w:r>
              <w:rPr>
                <w:b/>
                <w:sz w:val="18"/>
              </w:rPr>
              <w:t> </w:t>
            </w:r>
            <w:r>
              <w:rPr>
                <w:b/>
                <w:w w:val="99"/>
                <w:sz w:val="18"/>
              </w:rPr>
              <w:t>3</w:t>
            </w:r>
            <w:r>
              <w:rPr>
                <w:b/>
                <w:spacing w:val="-2"/>
                <w:sz w:val="18"/>
              </w:rPr>
              <w:t> </w:t>
            </w:r>
            <w:r>
              <w:rPr>
                <w:b/>
                <w:sz w:val="18"/>
              </w:rPr>
              <w:t>perso</w:t>
            </w:r>
            <w:r>
              <w:rPr>
                <w:b/>
                <w:spacing w:val="-2"/>
                <w:w w:val="100"/>
                <w:sz w:val="18"/>
              </w:rPr>
              <w:t>n</w:t>
            </w:r>
            <w:r>
              <w:rPr>
                <w:b/>
                <w:w w:val="99"/>
                <w:sz w:val="18"/>
              </w:rPr>
              <w:t>as</w:t>
            </w:r>
          </w:p>
        </w:tc>
        <w:tc>
          <w:tcPr>
            <w:tcW w:w="466" w:type="dxa"/>
            <w:shd w:val="clear" w:color="auto" w:fill="C5DFB3"/>
            <w:textDirection w:val="btLr"/>
          </w:tcPr>
          <w:p>
            <w:pPr>
              <w:pStyle w:val="TableParagraph"/>
              <w:spacing w:before="71"/>
              <w:ind w:left="-1"/>
              <w:jc w:val="left"/>
              <w:rPr>
                <w:b/>
                <w:sz w:val="18"/>
              </w:rPr>
            </w:pPr>
            <w:r>
              <w:rPr>
                <w:b/>
                <w:w w:val="99"/>
                <w:sz w:val="18"/>
              </w:rPr>
              <w:t>Compra</w:t>
            </w:r>
            <w:r>
              <w:rPr>
                <w:b/>
                <w:w w:val="99"/>
                <w:sz w:val="18"/>
              </w:rPr>
              <w:t>s</w:t>
            </w:r>
            <w:r>
              <w:rPr>
                <w:b/>
                <w:sz w:val="18"/>
              </w:rPr>
              <w:t> </w:t>
            </w:r>
            <w:r>
              <w:rPr>
                <w:b/>
                <w:spacing w:val="-2"/>
                <w:w w:val="99"/>
                <w:sz w:val="18"/>
              </w:rPr>
              <w:t>m</w:t>
            </w:r>
            <w:r>
              <w:rPr>
                <w:b/>
                <w:w w:val="99"/>
                <w:sz w:val="18"/>
              </w:rPr>
              <w:t>e</w:t>
            </w:r>
            <w:r>
              <w:rPr>
                <w:b/>
                <w:w w:val="100"/>
                <w:sz w:val="18"/>
              </w:rPr>
              <w:t>no</w:t>
            </w:r>
            <w:r>
              <w:rPr>
                <w:b/>
                <w:w w:val="99"/>
                <w:sz w:val="18"/>
              </w:rPr>
              <w:t>res</w:t>
            </w:r>
          </w:p>
        </w:tc>
        <w:tc>
          <w:tcPr>
            <w:tcW w:w="466" w:type="dxa"/>
            <w:shd w:val="clear" w:color="auto" w:fill="C5DFB3"/>
            <w:textDirection w:val="btLr"/>
          </w:tcPr>
          <w:p>
            <w:pPr>
              <w:pStyle w:val="TableParagraph"/>
              <w:spacing w:before="71"/>
              <w:ind w:left="-1"/>
              <w:jc w:val="left"/>
              <w:rPr>
                <w:b/>
                <w:sz w:val="18"/>
              </w:rPr>
            </w:pPr>
            <w:r>
              <w:rPr>
                <w:b/>
                <w:w w:val="100"/>
                <w:sz w:val="18"/>
              </w:rPr>
              <w:t>Cont</w:t>
            </w:r>
            <w:r>
              <w:rPr>
                <w:b/>
                <w:w w:val="99"/>
                <w:sz w:val="18"/>
              </w:rPr>
              <w:t>rato </w:t>
            </w:r>
            <w:r>
              <w:rPr>
                <w:b/>
                <w:w w:val="100"/>
                <w:sz w:val="18"/>
              </w:rPr>
              <w:t>p</w:t>
            </w:r>
            <w:r>
              <w:rPr>
                <w:b/>
                <w:w w:val="99"/>
                <w:sz w:val="18"/>
              </w:rPr>
              <w:t>e</w:t>
            </w:r>
            <w:r>
              <w:rPr>
                <w:b/>
                <w:w w:val="100"/>
                <w:sz w:val="18"/>
              </w:rPr>
              <w:t>d</w:t>
            </w:r>
            <w:r>
              <w:rPr>
                <w:b/>
                <w:spacing w:val="-2"/>
                <w:w w:val="100"/>
                <w:sz w:val="18"/>
              </w:rPr>
              <w:t>i</w:t>
            </w:r>
            <w:r>
              <w:rPr>
                <w:b/>
                <w:w w:val="100"/>
                <w:sz w:val="18"/>
              </w:rPr>
              <w:t>do</w:t>
            </w:r>
          </w:p>
        </w:tc>
        <w:tc>
          <w:tcPr>
            <w:tcW w:w="466" w:type="dxa"/>
            <w:shd w:val="clear" w:color="auto" w:fill="C5DFB3"/>
            <w:textDirection w:val="btLr"/>
          </w:tcPr>
          <w:p>
            <w:pPr>
              <w:pStyle w:val="TableParagraph"/>
              <w:spacing w:before="71"/>
              <w:ind w:left="-1"/>
              <w:jc w:val="left"/>
              <w:rPr>
                <w:b/>
                <w:sz w:val="18"/>
              </w:rPr>
            </w:pPr>
            <w:r>
              <w:rPr>
                <w:b/>
                <w:w w:val="99"/>
                <w:sz w:val="18"/>
              </w:rPr>
              <w:t>Compra</w:t>
            </w:r>
            <w:r>
              <w:rPr>
                <w:b/>
                <w:w w:val="99"/>
                <w:sz w:val="18"/>
              </w:rPr>
              <w:t>s</w:t>
            </w:r>
            <w:r>
              <w:rPr>
                <w:b/>
                <w:sz w:val="18"/>
              </w:rPr>
              <w:t> </w:t>
            </w:r>
            <w:r>
              <w:rPr>
                <w:b/>
                <w:spacing w:val="-2"/>
                <w:w w:val="99"/>
                <w:sz w:val="18"/>
              </w:rPr>
              <w:t>s</w:t>
            </w:r>
            <w:r>
              <w:rPr>
                <w:b/>
                <w:w w:val="100"/>
                <w:sz w:val="18"/>
              </w:rPr>
              <w:t>olid</w:t>
            </w:r>
            <w:r>
              <w:rPr>
                <w:b/>
                <w:w w:val="99"/>
                <w:sz w:val="18"/>
              </w:rPr>
              <w:t>a</w:t>
            </w:r>
            <w:r>
              <w:rPr>
                <w:b/>
                <w:w w:val="100"/>
                <w:sz w:val="18"/>
              </w:rPr>
              <w:t>r</w:t>
            </w:r>
            <w:r>
              <w:rPr>
                <w:b/>
                <w:spacing w:val="-3"/>
                <w:w w:val="100"/>
                <w:sz w:val="18"/>
              </w:rPr>
              <w:t>i</w:t>
            </w:r>
            <w:r>
              <w:rPr>
                <w:b/>
                <w:w w:val="99"/>
                <w:sz w:val="18"/>
              </w:rPr>
              <w:t>as</w:t>
            </w:r>
          </w:p>
        </w:tc>
        <w:tc>
          <w:tcPr>
            <w:tcW w:w="475" w:type="dxa"/>
            <w:shd w:val="clear" w:color="auto" w:fill="C5DFB3"/>
            <w:textDirection w:val="btLr"/>
          </w:tcPr>
          <w:p>
            <w:pPr>
              <w:pStyle w:val="TableParagraph"/>
              <w:spacing w:before="80"/>
              <w:ind w:left="-1"/>
              <w:jc w:val="left"/>
              <w:rPr>
                <w:b/>
                <w:sz w:val="18"/>
              </w:rPr>
            </w:pPr>
            <w:r>
              <w:rPr>
                <w:b/>
                <w:w w:val="100"/>
                <w:sz w:val="18"/>
              </w:rPr>
              <w:t>To</w:t>
            </w:r>
            <w:r>
              <w:rPr>
                <w:b/>
                <w:w w:val="99"/>
                <w:sz w:val="18"/>
              </w:rPr>
              <w:t>ta</w:t>
            </w:r>
            <w:r>
              <w:rPr>
                <w:b/>
                <w:w w:val="100"/>
                <w:sz w:val="18"/>
              </w:rPr>
              <w:t>l</w:t>
            </w:r>
          </w:p>
        </w:tc>
      </w:tr>
      <w:tr>
        <w:trPr>
          <w:trHeight w:val="322" w:hRule="exact"/>
        </w:trPr>
        <w:tc>
          <w:tcPr>
            <w:tcW w:w="3000" w:type="dxa"/>
            <w:tcBorders>
              <w:left w:val="single" w:sz="8" w:space="0" w:color="000000"/>
            </w:tcBorders>
          </w:tcPr>
          <w:p>
            <w:pPr>
              <w:pStyle w:val="TableParagraph"/>
              <w:spacing w:line="201" w:lineRule="exact"/>
              <w:ind w:left="62"/>
              <w:jc w:val="left"/>
              <w:rPr>
                <w:b/>
                <w:sz w:val="18"/>
              </w:rPr>
            </w:pPr>
            <w:r>
              <w:rPr>
                <w:b/>
                <w:color w:val="333333"/>
                <w:sz w:val="18"/>
              </w:rPr>
              <w:t>ACAMBAY</w:t>
            </w:r>
          </w:p>
        </w:tc>
        <w:tc>
          <w:tcPr>
            <w:tcW w:w="589" w:type="dxa"/>
          </w:tcPr>
          <w:p>
            <w:pPr>
              <w:pStyle w:val="TableParagraph"/>
              <w:spacing w:line="206" w:lineRule="exact"/>
              <w:ind w:right="236"/>
              <w:jc w:val="right"/>
              <w:rPr>
                <w:sz w:val="18"/>
              </w:rPr>
            </w:pPr>
            <w:r>
              <w:rPr>
                <w:w w:val="99"/>
                <w:sz w:val="18"/>
              </w:rPr>
              <w:t>0</w:t>
            </w:r>
          </w:p>
        </w:tc>
        <w:tc>
          <w:tcPr>
            <w:tcW w:w="588" w:type="dxa"/>
          </w:tcPr>
          <w:p>
            <w:pPr>
              <w:pStyle w:val="TableParagraph"/>
              <w:spacing w:line="206" w:lineRule="exact"/>
              <w:ind w:right="1"/>
              <w:rPr>
                <w:sz w:val="18"/>
              </w:rPr>
            </w:pPr>
            <w:r>
              <w:rPr>
                <w:w w:val="99"/>
                <w:sz w:val="18"/>
              </w:rPr>
              <w:t>0</w:t>
            </w:r>
          </w:p>
        </w:tc>
        <w:tc>
          <w:tcPr>
            <w:tcW w:w="475" w:type="dxa"/>
          </w:tcPr>
          <w:p>
            <w:pPr>
              <w:pStyle w:val="TableParagraph"/>
              <w:spacing w:line="206" w:lineRule="exact"/>
              <w:rPr>
                <w:sz w:val="18"/>
              </w:rPr>
            </w:pPr>
            <w:r>
              <w:rPr>
                <w:w w:val="99"/>
                <w:sz w:val="18"/>
              </w:rPr>
              <w:t>0</w:t>
            </w:r>
          </w:p>
        </w:tc>
        <w:tc>
          <w:tcPr>
            <w:tcW w:w="473" w:type="dxa"/>
          </w:tcPr>
          <w:p>
            <w:pPr>
              <w:pStyle w:val="TableParagraph"/>
              <w:spacing w:line="206" w:lineRule="exact"/>
              <w:ind w:left="1"/>
              <w:rPr>
                <w:sz w:val="18"/>
              </w:rPr>
            </w:pPr>
            <w:r>
              <w:rPr>
                <w:w w:val="99"/>
                <w:sz w:val="18"/>
              </w:rPr>
              <w:t>2</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4"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1</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75" w:type="dxa"/>
          </w:tcPr>
          <w:p>
            <w:pPr>
              <w:pStyle w:val="TableParagraph"/>
              <w:spacing w:line="206" w:lineRule="exact"/>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rPr>
                <w:b/>
                <w:sz w:val="18"/>
              </w:rPr>
            </w:pPr>
            <w:r>
              <w:rPr>
                <w:b/>
                <w:w w:val="99"/>
                <w:sz w:val="18"/>
              </w:rPr>
              <w:t>0</w:t>
            </w:r>
          </w:p>
        </w:tc>
      </w:tr>
      <w:tr>
        <w:trPr>
          <w:trHeight w:val="319" w:hRule="exact"/>
        </w:trPr>
        <w:tc>
          <w:tcPr>
            <w:tcW w:w="3000" w:type="dxa"/>
            <w:tcBorders>
              <w:left w:val="single" w:sz="8" w:space="0" w:color="000000"/>
            </w:tcBorders>
          </w:tcPr>
          <w:p>
            <w:pPr>
              <w:pStyle w:val="TableParagraph"/>
              <w:spacing w:line="201" w:lineRule="exact"/>
              <w:ind w:left="62"/>
              <w:jc w:val="left"/>
              <w:rPr>
                <w:b/>
                <w:sz w:val="18"/>
              </w:rPr>
            </w:pPr>
            <w:r>
              <w:rPr>
                <w:b/>
                <w:color w:val="333333"/>
                <w:sz w:val="18"/>
              </w:rPr>
              <w:t>ACOLMAN</w:t>
            </w:r>
          </w:p>
        </w:tc>
        <w:tc>
          <w:tcPr>
            <w:tcW w:w="589" w:type="dxa"/>
          </w:tcPr>
          <w:p>
            <w:pPr>
              <w:pStyle w:val="TableParagraph"/>
              <w:spacing w:line="206" w:lineRule="exact"/>
              <w:ind w:right="236"/>
              <w:jc w:val="right"/>
              <w:rPr>
                <w:sz w:val="18"/>
              </w:rPr>
            </w:pPr>
            <w:r>
              <w:rPr>
                <w:w w:val="99"/>
                <w:sz w:val="18"/>
              </w:rPr>
              <w:t>0</w:t>
            </w:r>
          </w:p>
        </w:tc>
        <w:tc>
          <w:tcPr>
            <w:tcW w:w="588" w:type="dxa"/>
          </w:tcPr>
          <w:p>
            <w:pPr>
              <w:pStyle w:val="TableParagraph"/>
              <w:spacing w:line="206" w:lineRule="exact"/>
              <w:ind w:right="1"/>
              <w:rPr>
                <w:sz w:val="18"/>
              </w:rPr>
            </w:pPr>
            <w:r>
              <w:rPr>
                <w:w w:val="99"/>
                <w:sz w:val="18"/>
              </w:rPr>
              <w:t>0</w:t>
            </w:r>
          </w:p>
        </w:tc>
        <w:tc>
          <w:tcPr>
            <w:tcW w:w="475" w:type="dxa"/>
          </w:tcPr>
          <w:p>
            <w:pPr>
              <w:pStyle w:val="TableParagraph"/>
              <w:spacing w:line="206" w:lineRule="exact"/>
              <w:rPr>
                <w:sz w:val="18"/>
              </w:rPr>
            </w:pPr>
            <w:r>
              <w:rPr>
                <w:w w:val="99"/>
                <w:sz w:val="18"/>
              </w:rPr>
              <w:t>0</w:t>
            </w:r>
          </w:p>
        </w:tc>
        <w:tc>
          <w:tcPr>
            <w:tcW w:w="473" w:type="dxa"/>
          </w:tcPr>
          <w:p>
            <w:pPr>
              <w:pStyle w:val="TableParagraph"/>
              <w:spacing w:line="206" w:lineRule="exact"/>
              <w:ind w:left="1"/>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4"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75" w:type="dxa"/>
          </w:tcPr>
          <w:p>
            <w:pPr>
              <w:pStyle w:val="TableParagraph"/>
              <w:spacing w:line="206" w:lineRule="exact"/>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rPr>
                <w:b/>
                <w:sz w:val="18"/>
              </w:rPr>
            </w:pPr>
            <w:r>
              <w:rPr>
                <w:b/>
                <w:w w:val="99"/>
                <w:sz w:val="18"/>
              </w:rPr>
              <w:t>0</w:t>
            </w:r>
          </w:p>
        </w:tc>
      </w:tr>
      <w:tr>
        <w:trPr>
          <w:trHeight w:val="322" w:hRule="exact"/>
        </w:trPr>
        <w:tc>
          <w:tcPr>
            <w:tcW w:w="3000" w:type="dxa"/>
            <w:tcBorders>
              <w:left w:val="single" w:sz="8" w:space="0" w:color="000000"/>
            </w:tcBorders>
          </w:tcPr>
          <w:p>
            <w:pPr>
              <w:pStyle w:val="TableParagraph"/>
              <w:spacing w:line="201" w:lineRule="exact"/>
              <w:ind w:left="62"/>
              <w:jc w:val="left"/>
              <w:rPr>
                <w:b/>
                <w:sz w:val="18"/>
              </w:rPr>
            </w:pPr>
            <w:r>
              <w:rPr>
                <w:b/>
                <w:color w:val="333333"/>
                <w:sz w:val="18"/>
              </w:rPr>
              <w:t>ACULCO</w:t>
            </w:r>
          </w:p>
        </w:tc>
        <w:tc>
          <w:tcPr>
            <w:tcW w:w="589" w:type="dxa"/>
          </w:tcPr>
          <w:p>
            <w:pPr>
              <w:pStyle w:val="TableParagraph"/>
              <w:spacing w:line="206" w:lineRule="exact"/>
              <w:ind w:right="236"/>
              <w:jc w:val="right"/>
              <w:rPr>
                <w:sz w:val="18"/>
              </w:rPr>
            </w:pPr>
            <w:r>
              <w:rPr>
                <w:w w:val="99"/>
                <w:sz w:val="18"/>
              </w:rPr>
              <w:t>0</w:t>
            </w:r>
          </w:p>
        </w:tc>
        <w:tc>
          <w:tcPr>
            <w:tcW w:w="588" w:type="dxa"/>
          </w:tcPr>
          <w:p>
            <w:pPr>
              <w:pStyle w:val="TableParagraph"/>
              <w:spacing w:line="206" w:lineRule="exact"/>
              <w:ind w:right="1"/>
              <w:rPr>
                <w:sz w:val="18"/>
              </w:rPr>
            </w:pPr>
            <w:r>
              <w:rPr>
                <w:w w:val="99"/>
                <w:sz w:val="18"/>
              </w:rPr>
              <w:t>0</w:t>
            </w:r>
          </w:p>
        </w:tc>
        <w:tc>
          <w:tcPr>
            <w:tcW w:w="475" w:type="dxa"/>
          </w:tcPr>
          <w:p>
            <w:pPr>
              <w:pStyle w:val="TableParagraph"/>
              <w:spacing w:line="206" w:lineRule="exact"/>
              <w:rPr>
                <w:sz w:val="18"/>
              </w:rPr>
            </w:pPr>
            <w:r>
              <w:rPr>
                <w:w w:val="99"/>
                <w:sz w:val="18"/>
              </w:rPr>
              <w:t>0</w:t>
            </w:r>
          </w:p>
        </w:tc>
        <w:tc>
          <w:tcPr>
            <w:tcW w:w="473" w:type="dxa"/>
          </w:tcPr>
          <w:p>
            <w:pPr>
              <w:pStyle w:val="TableParagraph"/>
              <w:spacing w:line="206" w:lineRule="exact"/>
              <w:ind w:left="1"/>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4"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75" w:type="dxa"/>
          </w:tcPr>
          <w:p>
            <w:pPr>
              <w:pStyle w:val="TableParagraph"/>
              <w:spacing w:line="206" w:lineRule="exact"/>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rPr>
                <w:b/>
                <w:sz w:val="18"/>
              </w:rPr>
            </w:pPr>
            <w:r>
              <w:rPr>
                <w:b/>
                <w:w w:val="99"/>
                <w:sz w:val="18"/>
              </w:rPr>
              <w:t>0</w:t>
            </w:r>
          </w:p>
        </w:tc>
      </w:tr>
      <w:tr>
        <w:trPr>
          <w:trHeight w:val="319" w:hRule="exact"/>
        </w:trPr>
        <w:tc>
          <w:tcPr>
            <w:tcW w:w="3000" w:type="dxa"/>
            <w:tcBorders>
              <w:left w:val="single" w:sz="8" w:space="0" w:color="000000"/>
            </w:tcBorders>
          </w:tcPr>
          <w:p>
            <w:pPr>
              <w:pStyle w:val="TableParagraph"/>
              <w:spacing w:line="201" w:lineRule="exact"/>
              <w:ind w:left="62"/>
              <w:jc w:val="left"/>
              <w:rPr>
                <w:b/>
                <w:sz w:val="18"/>
              </w:rPr>
            </w:pPr>
            <w:r>
              <w:rPr>
                <w:b/>
                <w:color w:val="333333"/>
                <w:sz w:val="18"/>
              </w:rPr>
              <w:t>ALMOLOYA DE ALQUISIRAS</w:t>
            </w:r>
          </w:p>
        </w:tc>
        <w:tc>
          <w:tcPr>
            <w:tcW w:w="589" w:type="dxa"/>
          </w:tcPr>
          <w:p>
            <w:pPr>
              <w:pStyle w:val="TableParagraph"/>
              <w:spacing w:line="206" w:lineRule="exact"/>
              <w:ind w:right="236"/>
              <w:jc w:val="right"/>
              <w:rPr>
                <w:sz w:val="18"/>
              </w:rPr>
            </w:pPr>
            <w:r>
              <w:rPr>
                <w:w w:val="99"/>
                <w:sz w:val="18"/>
              </w:rPr>
              <w:t>0</w:t>
            </w:r>
          </w:p>
        </w:tc>
        <w:tc>
          <w:tcPr>
            <w:tcW w:w="588" w:type="dxa"/>
          </w:tcPr>
          <w:p>
            <w:pPr>
              <w:pStyle w:val="TableParagraph"/>
              <w:spacing w:line="206" w:lineRule="exact"/>
              <w:ind w:right="1"/>
              <w:rPr>
                <w:sz w:val="18"/>
              </w:rPr>
            </w:pPr>
            <w:r>
              <w:rPr>
                <w:w w:val="99"/>
                <w:sz w:val="18"/>
              </w:rPr>
              <w:t>0</w:t>
            </w:r>
          </w:p>
        </w:tc>
        <w:tc>
          <w:tcPr>
            <w:tcW w:w="475" w:type="dxa"/>
          </w:tcPr>
          <w:p>
            <w:pPr>
              <w:pStyle w:val="TableParagraph"/>
              <w:spacing w:line="206" w:lineRule="exact"/>
              <w:rPr>
                <w:sz w:val="18"/>
              </w:rPr>
            </w:pPr>
            <w:r>
              <w:rPr>
                <w:w w:val="99"/>
                <w:sz w:val="18"/>
              </w:rPr>
              <w:t>0</w:t>
            </w:r>
          </w:p>
        </w:tc>
        <w:tc>
          <w:tcPr>
            <w:tcW w:w="473" w:type="dxa"/>
          </w:tcPr>
          <w:p>
            <w:pPr>
              <w:pStyle w:val="TableParagraph"/>
              <w:spacing w:line="206" w:lineRule="exact"/>
              <w:ind w:left="1"/>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4"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75" w:type="dxa"/>
          </w:tcPr>
          <w:p>
            <w:pPr>
              <w:pStyle w:val="TableParagraph"/>
              <w:spacing w:line="206" w:lineRule="exact"/>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rPr>
                <w:b/>
                <w:sz w:val="18"/>
              </w:rPr>
            </w:pPr>
            <w:r>
              <w:rPr>
                <w:b/>
                <w:w w:val="99"/>
                <w:sz w:val="18"/>
              </w:rPr>
              <w:t>0</w:t>
            </w:r>
          </w:p>
        </w:tc>
      </w:tr>
      <w:tr>
        <w:trPr>
          <w:trHeight w:val="322" w:hRule="exact"/>
        </w:trPr>
        <w:tc>
          <w:tcPr>
            <w:tcW w:w="3000" w:type="dxa"/>
            <w:tcBorders>
              <w:left w:val="single" w:sz="8" w:space="0" w:color="000000"/>
            </w:tcBorders>
          </w:tcPr>
          <w:p>
            <w:pPr>
              <w:pStyle w:val="TableParagraph"/>
              <w:spacing w:line="204" w:lineRule="exact"/>
              <w:ind w:left="62"/>
              <w:jc w:val="left"/>
              <w:rPr>
                <w:b/>
                <w:sz w:val="18"/>
              </w:rPr>
            </w:pPr>
            <w:r>
              <w:rPr>
                <w:b/>
                <w:color w:val="333333"/>
                <w:sz w:val="18"/>
              </w:rPr>
              <w:t>ALMOLOYA DE JUAREZ</w:t>
            </w:r>
          </w:p>
        </w:tc>
        <w:tc>
          <w:tcPr>
            <w:tcW w:w="589" w:type="dxa"/>
          </w:tcPr>
          <w:p>
            <w:pPr>
              <w:pStyle w:val="TableParagraph"/>
              <w:spacing w:before="1"/>
              <w:ind w:right="236"/>
              <w:jc w:val="right"/>
              <w:rPr>
                <w:sz w:val="18"/>
              </w:rPr>
            </w:pPr>
            <w:r>
              <w:rPr>
                <w:w w:val="99"/>
                <w:sz w:val="18"/>
              </w:rPr>
              <w:t>0</w:t>
            </w:r>
          </w:p>
        </w:tc>
        <w:tc>
          <w:tcPr>
            <w:tcW w:w="588" w:type="dxa"/>
          </w:tcPr>
          <w:p>
            <w:pPr>
              <w:pStyle w:val="TableParagraph"/>
              <w:spacing w:before="1"/>
              <w:ind w:right="1"/>
              <w:rPr>
                <w:sz w:val="18"/>
              </w:rPr>
            </w:pPr>
            <w:r>
              <w:rPr>
                <w:w w:val="99"/>
                <w:sz w:val="18"/>
              </w:rPr>
              <w:t>0</w:t>
            </w:r>
          </w:p>
        </w:tc>
        <w:tc>
          <w:tcPr>
            <w:tcW w:w="475" w:type="dxa"/>
          </w:tcPr>
          <w:p>
            <w:pPr>
              <w:pStyle w:val="TableParagraph"/>
              <w:spacing w:before="1"/>
              <w:ind w:left="60" w:right="60"/>
              <w:rPr>
                <w:sz w:val="18"/>
              </w:rPr>
            </w:pPr>
            <w:r>
              <w:rPr>
                <w:sz w:val="18"/>
              </w:rPr>
              <w:t>14</w:t>
            </w:r>
          </w:p>
        </w:tc>
        <w:tc>
          <w:tcPr>
            <w:tcW w:w="473" w:type="dxa"/>
          </w:tcPr>
          <w:p>
            <w:pPr>
              <w:pStyle w:val="TableParagraph"/>
              <w:spacing w:before="1"/>
              <w:ind w:left="1"/>
              <w:rPr>
                <w:sz w:val="18"/>
              </w:rPr>
            </w:pPr>
            <w:r>
              <w:rPr>
                <w:w w:val="99"/>
                <w:sz w:val="18"/>
              </w:rPr>
              <w:t>1</w:t>
            </w:r>
          </w:p>
        </w:tc>
        <w:tc>
          <w:tcPr>
            <w:tcW w:w="466" w:type="dxa"/>
          </w:tcPr>
          <w:p>
            <w:pPr>
              <w:pStyle w:val="TableParagraph"/>
              <w:spacing w:before="1"/>
              <w:rPr>
                <w:sz w:val="18"/>
              </w:rPr>
            </w:pPr>
            <w:r>
              <w:rPr>
                <w:w w:val="99"/>
                <w:sz w:val="18"/>
              </w:rPr>
              <w:t>0</w:t>
            </w:r>
          </w:p>
        </w:tc>
        <w:tc>
          <w:tcPr>
            <w:tcW w:w="466" w:type="dxa"/>
          </w:tcPr>
          <w:p>
            <w:pPr>
              <w:pStyle w:val="TableParagraph"/>
              <w:spacing w:before="1"/>
              <w:ind w:right="176"/>
              <w:jc w:val="right"/>
              <w:rPr>
                <w:sz w:val="18"/>
              </w:rPr>
            </w:pPr>
            <w:r>
              <w:rPr>
                <w:w w:val="99"/>
                <w:sz w:val="18"/>
              </w:rPr>
              <w:t>0</w:t>
            </w:r>
          </w:p>
        </w:tc>
        <w:tc>
          <w:tcPr>
            <w:tcW w:w="466" w:type="dxa"/>
          </w:tcPr>
          <w:p>
            <w:pPr>
              <w:pStyle w:val="TableParagraph"/>
              <w:spacing w:before="1"/>
              <w:ind w:right="3"/>
              <w:rPr>
                <w:sz w:val="18"/>
              </w:rPr>
            </w:pPr>
            <w:r>
              <w:rPr>
                <w:w w:val="99"/>
                <w:sz w:val="18"/>
              </w:rPr>
              <w:t>0</w:t>
            </w:r>
          </w:p>
        </w:tc>
        <w:tc>
          <w:tcPr>
            <w:tcW w:w="464" w:type="dxa"/>
          </w:tcPr>
          <w:p>
            <w:pPr>
              <w:pStyle w:val="TableParagraph"/>
              <w:spacing w:before="1"/>
              <w:rPr>
                <w:sz w:val="18"/>
              </w:rPr>
            </w:pPr>
            <w:r>
              <w:rPr>
                <w:w w:val="99"/>
                <w:sz w:val="18"/>
              </w:rPr>
              <w:t>0</w:t>
            </w:r>
          </w:p>
        </w:tc>
        <w:tc>
          <w:tcPr>
            <w:tcW w:w="475" w:type="dxa"/>
          </w:tcPr>
          <w:p>
            <w:pPr>
              <w:pStyle w:val="TableParagraph"/>
              <w:spacing w:before="1"/>
              <w:ind w:right="127"/>
              <w:jc w:val="right"/>
              <w:rPr>
                <w:sz w:val="18"/>
              </w:rPr>
            </w:pPr>
            <w:r>
              <w:rPr>
                <w:w w:val="95"/>
                <w:sz w:val="18"/>
              </w:rPr>
              <w:t>15</w:t>
            </w:r>
          </w:p>
        </w:tc>
        <w:tc>
          <w:tcPr>
            <w:tcW w:w="466" w:type="dxa"/>
          </w:tcPr>
          <w:p>
            <w:pPr>
              <w:pStyle w:val="TableParagraph"/>
              <w:spacing w:before="1"/>
              <w:ind w:right="176"/>
              <w:jc w:val="right"/>
              <w:rPr>
                <w:sz w:val="18"/>
              </w:rPr>
            </w:pPr>
            <w:r>
              <w:rPr>
                <w:w w:val="99"/>
                <w:sz w:val="18"/>
              </w:rPr>
              <w:t>0</w:t>
            </w:r>
          </w:p>
        </w:tc>
        <w:tc>
          <w:tcPr>
            <w:tcW w:w="466" w:type="dxa"/>
          </w:tcPr>
          <w:p>
            <w:pPr>
              <w:pStyle w:val="TableParagraph"/>
              <w:spacing w:before="1"/>
              <w:ind w:left="175"/>
              <w:jc w:val="left"/>
              <w:rPr>
                <w:sz w:val="18"/>
              </w:rPr>
            </w:pPr>
            <w:r>
              <w:rPr>
                <w:w w:val="99"/>
                <w:sz w:val="18"/>
              </w:rPr>
              <w:t>3</w:t>
            </w:r>
          </w:p>
        </w:tc>
        <w:tc>
          <w:tcPr>
            <w:tcW w:w="475" w:type="dxa"/>
          </w:tcPr>
          <w:p>
            <w:pPr>
              <w:pStyle w:val="TableParagraph"/>
              <w:spacing w:before="1"/>
              <w:rPr>
                <w:sz w:val="18"/>
              </w:rPr>
            </w:pPr>
            <w:r>
              <w:rPr>
                <w:w w:val="99"/>
                <w:sz w:val="18"/>
              </w:rPr>
              <w:t>9</w:t>
            </w:r>
          </w:p>
        </w:tc>
        <w:tc>
          <w:tcPr>
            <w:tcW w:w="475" w:type="dxa"/>
          </w:tcPr>
          <w:p>
            <w:pPr>
              <w:pStyle w:val="TableParagraph"/>
              <w:spacing w:before="1"/>
              <w:rPr>
                <w:sz w:val="18"/>
              </w:rPr>
            </w:pPr>
            <w:r>
              <w:rPr>
                <w:w w:val="99"/>
                <w:sz w:val="18"/>
              </w:rPr>
              <w:t>0</w:t>
            </w:r>
          </w:p>
        </w:tc>
        <w:tc>
          <w:tcPr>
            <w:tcW w:w="463" w:type="dxa"/>
          </w:tcPr>
          <w:p>
            <w:pPr>
              <w:pStyle w:val="TableParagraph"/>
              <w:spacing w:before="1"/>
              <w:ind w:right="176"/>
              <w:jc w:val="right"/>
              <w:rPr>
                <w:sz w:val="18"/>
              </w:rPr>
            </w:pPr>
            <w:r>
              <w:rPr>
                <w:w w:val="99"/>
                <w:sz w:val="18"/>
              </w:rPr>
              <w:t>0</w:t>
            </w:r>
          </w:p>
        </w:tc>
        <w:tc>
          <w:tcPr>
            <w:tcW w:w="466" w:type="dxa"/>
          </w:tcPr>
          <w:p>
            <w:pPr>
              <w:pStyle w:val="TableParagraph"/>
              <w:spacing w:before="1"/>
              <w:ind w:right="1"/>
              <w:rPr>
                <w:sz w:val="18"/>
              </w:rPr>
            </w:pPr>
            <w:r>
              <w:rPr>
                <w:w w:val="99"/>
                <w:sz w:val="18"/>
              </w:rPr>
              <w:t>0</w:t>
            </w:r>
          </w:p>
        </w:tc>
        <w:tc>
          <w:tcPr>
            <w:tcW w:w="466" w:type="dxa"/>
          </w:tcPr>
          <w:p>
            <w:pPr>
              <w:pStyle w:val="TableParagraph"/>
              <w:spacing w:before="1"/>
              <w:ind w:left="177"/>
              <w:jc w:val="left"/>
              <w:rPr>
                <w:sz w:val="18"/>
              </w:rPr>
            </w:pPr>
            <w:r>
              <w:rPr>
                <w:w w:val="99"/>
                <w:sz w:val="18"/>
              </w:rPr>
              <w:t>0</w:t>
            </w:r>
          </w:p>
        </w:tc>
        <w:tc>
          <w:tcPr>
            <w:tcW w:w="466" w:type="dxa"/>
          </w:tcPr>
          <w:p>
            <w:pPr>
              <w:pStyle w:val="TableParagraph"/>
              <w:spacing w:before="1"/>
              <w:ind w:left="175"/>
              <w:jc w:val="left"/>
              <w:rPr>
                <w:sz w:val="18"/>
              </w:rPr>
            </w:pPr>
            <w:r>
              <w:rPr>
                <w:w w:val="99"/>
                <w:sz w:val="18"/>
              </w:rPr>
              <w:t>0</w:t>
            </w:r>
          </w:p>
        </w:tc>
        <w:tc>
          <w:tcPr>
            <w:tcW w:w="475" w:type="dxa"/>
          </w:tcPr>
          <w:p>
            <w:pPr>
              <w:pStyle w:val="TableParagraph"/>
              <w:spacing w:line="204" w:lineRule="exact"/>
              <w:ind w:left="60" w:right="60"/>
              <w:rPr>
                <w:b/>
                <w:sz w:val="18"/>
              </w:rPr>
            </w:pPr>
            <w:r>
              <w:rPr>
                <w:b/>
                <w:sz w:val="18"/>
              </w:rPr>
              <w:t>12</w:t>
            </w:r>
          </w:p>
        </w:tc>
      </w:tr>
      <w:tr>
        <w:trPr>
          <w:trHeight w:val="319" w:hRule="exact"/>
        </w:trPr>
        <w:tc>
          <w:tcPr>
            <w:tcW w:w="3000" w:type="dxa"/>
            <w:tcBorders>
              <w:left w:val="single" w:sz="8" w:space="0" w:color="000000"/>
            </w:tcBorders>
          </w:tcPr>
          <w:p>
            <w:pPr>
              <w:pStyle w:val="TableParagraph"/>
              <w:spacing w:line="201" w:lineRule="exact"/>
              <w:ind w:left="62"/>
              <w:jc w:val="left"/>
              <w:rPr>
                <w:b/>
                <w:sz w:val="18"/>
              </w:rPr>
            </w:pPr>
            <w:r>
              <w:rPr>
                <w:b/>
                <w:color w:val="333333"/>
                <w:sz w:val="18"/>
              </w:rPr>
              <w:t>ALMOLOYA DEL RIO</w:t>
            </w:r>
          </w:p>
        </w:tc>
        <w:tc>
          <w:tcPr>
            <w:tcW w:w="589" w:type="dxa"/>
          </w:tcPr>
          <w:p>
            <w:pPr>
              <w:pStyle w:val="TableParagraph"/>
              <w:spacing w:line="206" w:lineRule="exact"/>
              <w:ind w:right="236"/>
              <w:jc w:val="right"/>
              <w:rPr>
                <w:sz w:val="18"/>
              </w:rPr>
            </w:pPr>
            <w:r>
              <w:rPr>
                <w:w w:val="99"/>
                <w:sz w:val="18"/>
              </w:rPr>
              <w:t>0</w:t>
            </w:r>
          </w:p>
        </w:tc>
        <w:tc>
          <w:tcPr>
            <w:tcW w:w="588" w:type="dxa"/>
          </w:tcPr>
          <w:p>
            <w:pPr>
              <w:pStyle w:val="TableParagraph"/>
              <w:spacing w:line="206" w:lineRule="exact"/>
              <w:ind w:right="1"/>
              <w:rPr>
                <w:sz w:val="18"/>
              </w:rPr>
            </w:pPr>
            <w:r>
              <w:rPr>
                <w:w w:val="99"/>
                <w:sz w:val="18"/>
              </w:rPr>
              <w:t>0</w:t>
            </w:r>
          </w:p>
        </w:tc>
        <w:tc>
          <w:tcPr>
            <w:tcW w:w="475" w:type="dxa"/>
          </w:tcPr>
          <w:p>
            <w:pPr>
              <w:pStyle w:val="TableParagraph"/>
              <w:spacing w:line="206" w:lineRule="exact"/>
              <w:rPr>
                <w:sz w:val="18"/>
              </w:rPr>
            </w:pPr>
            <w:r>
              <w:rPr>
                <w:w w:val="99"/>
                <w:sz w:val="18"/>
              </w:rPr>
              <w:t>0</w:t>
            </w:r>
          </w:p>
        </w:tc>
        <w:tc>
          <w:tcPr>
            <w:tcW w:w="473" w:type="dxa"/>
          </w:tcPr>
          <w:p>
            <w:pPr>
              <w:pStyle w:val="TableParagraph"/>
              <w:spacing w:line="206" w:lineRule="exact"/>
              <w:ind w:left="62" w:right="60"/>
              <w:rPr>
                <w:sz w:val="18"/>
              </w:rPr>
            </w:pPr>
            <w:r>
              <w:rPr>
                <w:sz w:val="18"/>
              </w:rPr>
              <w:t>10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4" w:type="dxa"/>
          </w:tcPr>
          <w:p>
            <w:pPr>
              <w:pStyle w:val="TableParagraph"/>
              <w:spacing w:line="206" w:lineRule="exact"/>
              <w:rPr>
                <w:sz w:val="18"/>
              </w:rPr>
            </w:pPr>
            <w:r>
              <w:rPr>
                <w:w w:val="99"/>
                <w:sz w:val="18"/>
              </w:rPr>
              <w:t>0</w:t>
            </w:r>
          </w:p>
        </w:tc>
        <w:tc>
          <w:tcPr>
            <w:tcW w:w="475" w:type="dxa"/>
          </w:tcPr>
          <w:p>
            <w:pPr>
              <w:pStyle w:val="TableParagraph"/>
              <w:spacing w:line="206" w:lineRule="exact"/>
              <w:ind w:right="127"/>
              <w:jc w:val="right"/>
              <w:rPr>
                <w:sz w:val="18"/>
              </w:rPr>
            </w:pPr>
            <w:r>
              <w:rPr>
                <w:w w:val="95"/>
                <w:sz w:val="18"/>
              </w:rPr>
              <w:t>10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75" w:type="dxa"/>
          </w:tcPr>
          <w:p>
            <w:pPr>
              <w:pStyle w:val="TableParagraph"/>
              <w:spacing w:line="206" w:lineRule="exact"/>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rPr>
                <w:b/>
                <w:sz w:val="18"/>
              </w:rPr>
            </w:pPr>
            <w:r>
              <w:rPr>
                <w:b/>
                <w:w w:val="99"/>
                <w:sz w:val="18"/>
              </w:rPr>
              <w:t>0</w:t>
            </w:r>
          </w:p>
        </w:tc>
      </w:tr>
      <w:tr>
        <w:trPr>
          <w:trHeight w:val="322" w:hRule="exact"/>
        </w:trPr>
        <w:tc>
          <w:tcPr>
            <w:tcW w:w="3000" w:type="dxa"/>
            <w:tcBorders>
              <w:left w:val="single" w:sz="8" w:space="0" w:color="000000"/>
            </w:tcBorders>
          </w:tcPr>
          <w:p>
            <w:pPr>
              <w:pStyle w:val="TableParagraph"/>
              <w:spacing w:line="204" w:lineRule="exact"/>
              <w:ind w:left="62"/>
              <w:jc w:val="left"/>
              <w:rPr>
                <w:b/>
                <w:sz w:val="18"/>
              </w:rPr>
            </w:pPr>
            <w:r>
              <w:rPr>
                <w:b/>
                <w:color w:val="333333"/>
                <w:sz w:val="18"/>
              </w:rPr>
              <w:t>AMANALCO</w:t>
            </w:r>
          </w:p>
        </w:tc>
        <w:tc>
          <w:tcPr>
            <w:tcW w:w="589" w:type="dxa"/>
          </w:tcPr>
          <w:p>
            <w:pPr>
              <w:pStyle w:val="TableParagraph"/>
              <w:spacing w:before="1"/>
              <w:ind w:right="236"/>
              <w:jc w:val="right"/>
              <w:rPr>
                <w:sz w:val="18"/>
              </w:rPr>
            </w:pPr>
            <w:r>
              <w:rPr>
                <w:w w:val="99"/>
                <w:sz w:val="18"/>
              </w:rPr>
              <w:t>0</w:t>
            </w:r>
          </w:p>
        </w:tc>
        <w:tc>
          <w:tcPr>
            <w:tcW w:w="588" w:type="dxa"/>
          </w:tcPr>
          <w:p>
            <w:pPr>
              <w:pStyle w:val="TableParagraph"/>
              <w:spacing w:before="1"/>
              <w:ind w:right="1"/>
              <w:rPr>
                <w:sz w:val="18"/>
              </w:rPr>
            </w:pPr>
            <w:r>
              <w:rPr>
                <w:w w:val="99"/>
                <w:sz w:val="18"/>
              </w:rPr>
              <w:t>1</w:t>
            </w:r>
          </w:p>
        </w:tc>
        <w:tc>
          <w:tcPr>
            <w:tcW w:w="475" w:type="dxa"/>
          </w:tcPr>
          <w:p>
            <w:pPr>
              <w:pStyle w:val="TableParagraph"/>
              <w:spacing w:before="1"/>
              <w:rPr>
                <w:sz w:val="18"/>
              </w:rPr>
            </w:pPr>
            <w:r>
              <w:rPr>
                <w:w w:val="99"/>
                <w:sz w:val="18"/>
              </w:rPr>
              <w:t>0</w:t>
            </w:r>
          </w:p>
        </w:tc>
        <w:tc>
          <w:tcPr>
            <w:tcW w:w="473" w:type="dxa"/>
          </w:tcPr>
          <w:p>
            <w:pPr>
              <w:pStyle w:val="TableParagraph"/>
              <w:spacing w:before="1"/>
              <w:ind w:left="1"/>
              <w:rPr>
                <w:sz w:val="18"/>
              </w:rPr>
            </w:pPr>
            <w:r>
              <w:rPr>
                <w:w w:val="99"/>
                <w:sz w:val="18"/>
              </w:rPr>
              <w:t>0</w:t>
            </w:r>
          </w:p>
        </w:tc>
        <w:tc>
          <w:tcPr>
            <w:tcW w:w="466" w:type="dxa"/>
          </w:tcPr>
          <w:p>
            <w:pPr>
              <w:pStyle w:val="TableParagraph"/>
              <w:spacing w:before="1"/>
              <w:rPr>
                <w:sz w:val="18"/>
              </w:rPr>
            </w:pPr>
            <w:r>
              <w:rPr>
                <w:w w:val="99"/>
                <w:sz w:val="18"/>
              </w:rPr>
              <w:t>0</w:t>
            </w:r>
          </w:p>
        </w:tc>
        <w:tc>
          <w:tcPr>
            <w:tcW w:w="466" w:type="dxa"/>
          </w:tcPr>
          <w:p>
            <w:pPr>
              <w:pStyle w:val="TableParagraph"/>
              <w:spacing w:before="1"/>
              <w:ind w:right="176"/>
              <w:jc w:val="right"/>
              <w:rPr>
                <w:sz w:val="18"/>
              </w:rPr>
            </w:pPr>
            <w:r>
              <w:rPr>
                <w:w w:val="99"/>
                <w:sz w:val="18"/>
              </w:rPr>
              <w:t>0</w:t>
            </w:r>
          </w:p>
        </w:tc>
        <w:tc>
          <w:tcPr>
            <w:tcW w:w="466" w:type="dxa"/>
          </w:tcPr>
          <w:p>
            <w:pPr>
              <w:pStyle w:val="TableParagraph"/>
              <w:spacing w:before="1"/>
              <w:ind w:right="3"/>
              <w:rPr>
                <w:sz w:val="18"/>
              </w:rPr>
            </w:pPr>
            <w:r>
              <w:rPr>
                <w:w w:val="99"/>
                <w:sz w:val="18"/>
              </w:rPr>
              <w:t>0</w:t>
            </w:r>
          </w:p>
        </w:tc>
        <w:tc>
          <w:tcPr>
            <w:tcW w:w="464" w:type="dxa"/>
          </w:tcPr>
          <w:p>
            <w:pPr>
              <w:pStyle w:val="TableParagraph"/>
              <w:spacing w:before="1"/>
              <w:rPr>
                <w:sz w:val="18"/>
              </w:rPr>
            </w:pPr>
            <w:r>
              <w:rPr>
                <w:w w:val="99"/>
                <w:sz w:val="18"/>
              </w:rPr>
              <w:t>0</w:t>
            </w:r>
          </w:p>
        </w:tc>
        <w:tc>
          <w:tcPr>
            <w:tcW w:w="475" w:type="dxa"/>
          </w:tcPr>
          <w:p>
            <w:pPr>
              <w:pStyle w:val="TableParagraph"/>
              <w:spacing w:before="1"/>
              <w:ind w:left="4"/>
              <w:rPr>
                <w:sz w:val="18"/>
              </w:rPr>
            </w:pPr>
            <w:r>
              <w:rPr>
                <w:w w:val="99"/>
                <w:sz w:val="18"/>
              </w:rPr>
              <w:t>1</w:t>
            </w:r>
          </w:p>
        </w:tc>
        <w:tc>
          <w:tcPr>
            <w:tcW w:w="466" w:type="dxa"/>
          </w:tcPr>
          <w:p>
            <w:pPr>
              <w:pStyle w:val="TableParagraph"/>
              <w:spacing w:before="1"/>
              <w:ind w:right="176"/>
              <w:jc w:val="right"/>
              <w:rPr>
                <w:sz w:val="18"/>
              </w:rPr>
            </w:pPr>
            <w:r>
              <w:rPr>
                <w:w w:val="99"/>
                <w:sz w:val="18"/>
              </w:rPr>
              <w:t>0</w:t>
            </w:r>
          </w:p>
        </w:tc>
        <w:tc>
          <w:tcPr>
            <w:tcW w:w="466" w:type="dxa"/>
          </w:tcPr>
          <w:p>
            <w:pPr>
              <w:pStyle w:val="TableParagraph"/>
              <w:spacing w:before="1"/>
              <w:ind w:left="175"/>
              <w:jc w:val="left"/>
              <w:rPr>
                <w:sz w:val="18"/>
              </w:rPr>
            </w:pPr>
            <w:r>
              <w:rPr>
                <w:w w:val="99"/>
                <w:sz w:val="18"/>
              </w:rPr>
              <w:t>2</w:t>
            </w:r>
          </w:p>
        </w:tc>
        <w:tc>
          <w:tcPr>
            <w:tcW w:w="475" w:type="dxa"/>
          </w:tcPr>
          <w:p>
            <w:pPr>
              <w:pStyle w:val="TableParagraph"/>
              <w:spacing w:before="1"/>
              <w:rPr>
                <w:sz w:val="18"/>
              </w:rPr>
            </w:pPr>
            <w:r>
              <w:rPr>
                <w:w w:val="99"/>
                <w:sz w:val="18"/>
              </w:rPr>
              <w:t>5</w:t>
            </w:r>
          </w:p>
        </w:tc>
        <w:tc>
          <w:tcPr>
            <w:tcW w:w="475" w:type="dxa"/>
          </w:tcPr>
          <w:p>
            <w:pPr>
              <w:pStyle w:val="TableParagraph"/>
              <w:spacing w:before="1"/>
              <w:rPr>
                <w:sz w:val="18"/>
              </w:rPr>
            </w:pPr>
            <w:r>
              <w:rPr>
                <w:w w:val="99"/>
                <w:sz w:val="18"/>
              </w:rPr>
              <w:t>1</w:t>
            </w:r>
          </w:p>
        </w:tc>
        <w:tc>
          <w:tcPr>
            <w:tcW w:w="463" w:type="dxa"/>
          </w:tcPr>
          <w:p>
            <w:pPr>
              <w:pStyle w:val="TableParagraph"/>
              <w:spacing w:before="1"/>
              <w:ind w:right="176"/>
              <w:jc w:val="right"/>
              <w:rPr>
                <w:sz w:val="18"/>
              </w:rPr>
            </w:pPr>
            <w:r>
              <w:rPr>
                <w:w w:val="99"/>
                <w:sz w:val="18"/>
              </w:rPr>
              <w:t>0</w:t>
            </w:r>
          </w:p>
        </w:tc>
        <w:tc>
          <w:tcPr>
            <w:tcW w:w="466" w:type="dxa"/>
          </w:tcPr>
          <w:p>
            <w:pPr>
              <w:pStyle w:val="TableParagraph"/>
              <w:spacing w:before="1"/>
              <w:ind w:right="1"/>
              <w:rPr>
                <w:sz w:val="18"/>
              </w:rPr>
            </w:pPr>
            <w:r>
              <w:rPr>
                <w:w w:val="99"/>
                <w:sz w:val="18"/>
              </w:rPr>
              <w:t>0</w:t>
            </w:r>
          </w:p>
        </w:tc>
        <w:tc>
          <w:tcPr>
            <w:tcW w:w="466" w:type="dxa"/>
          </w:tcPr>
          <w:p>
            <w:pPr>
              <w:pStyle w:val="TableParagraph"/>
              <w:spacing w:before="1"/>
              <w:ind w:left="177"/>
              <w:jc w:val="left"/>
              <w:rPr>
                <w:sz w:val="18"/>
              </w:rPr>
            </w:pPr>
            <w:r>
              <w:rPr>
                <w:w w:val="99"/>
                <w:sz w:val="18"/>
              </w:rPr>
              <w:t>0</w:t>
            </w:r>
          </w:p>
        </w:tc>
        <w:tc>
          <w:tcPr>
            <w:tcW w:w="466" w:type="dxa"/>
          </w:tcPr>
          <w:p>
            <w:pPr>
              <w:pStyle w:val="TableParagraph"/>
              <w:spacing w:before="1"/>
              <w:ind w:left="175"/>
              <w:jc w:val="left"/>
              <w:rPr>
                <w:sz w:val="18"/>
              </w:rPr>
            </w:pPr>
            <w:r>
              <w:rPr>
                <w:w w:val="99"/>
                <w:sz w:val="18"/>
              </w:rPr>
              <w:t>0</w:t>
            </w:r>
          </w:p>
        </w:tc>
        <w:tc>
          <w:tcPr>
            <w:tcW w:w="475" w:type="dxa"/>
          </w:tcPr>
          <w:p>
            <w:pPr>
              <w:pStyle w:val="TableParagraph"/>
              <w:spacing w:line="204" w:lineRule="exact"/>
              <w:rPr>
                <w:b/>
                <w:sz w:val="18"/>
              </w:rPr>
            </w:pPr>
            <w:r>
              <w:rPr>
                <w:b/>
                <w:w w:val="99"/>
                <w:sz w:val="18"/>
              </w:rPr>
              <w:t>8</w:t>
            </w:r>
          </w:p>
        </w:tc>
      </w:tr>
      <w:tr>
        <w:trPr>
          <w:trHeight w:val="320" w:hRule="exact"/>
        </w:trPr>
        <w:tc>
          <w:tcPr>
            <w:tcW w:w="3000" w:type="dxa"/>
            <w:tcBorders>
              <w:left w:val="single" w:sz="8" w:space="0" w:color="000000"/>
            </w:tcBorders>
          </w:tcPr>
          <w:p>
            <w:pPr>
              <w:pStyle w:val="TableParagraph"/>
              <w:spacing w:line="202" w:lineRule="exact"/>
              <w:ind w:left="62"/>
              <w:jc w:val="left"/>
              <w:rPr>
                <w:b/>
                <w:sz w:val="18"/>
              </w:rPr>
            </w:pPr>
            <w:r>
              <w:rPr>
                <w:b/>
                <w:color w:val="333333"/>
                <w:sz w:val="18"/>
              </w:rPr>
              <w:t>AMATEPEC</w:t>
            </w:r>
          </w:p>
        </w:tc>
        <w:tc>
          <w:tcPr>
            <w:tcW w:w="589" w:type="dxa"/>
          </w:tcPr>
          <w:p>
            <w:pPr>
              <w:pStyle w:val="TableParagraph"/>
              <w:spacing w:line="207" w:lineRule="exact"/>
              <w:ind w:right="236"/>
              <w:jc w:val="right"/>
              <w:rPr>
                <w:sz w:val="18"/>
              </w:rPr>
            </w:pPr>
            <w:r>
              <w:rPr>
                <w:w w:val="99"/>
                <w:sz w:val="18"/>
              </w:rPr>
              <w:t>0</w:t>
            </w:r>
          </w:p>
        </w:tc>
        <w:tc>
          <w:tcPr>
            <w:tcW w:w="588" w:type="dxa"/>
          </w:tcPr>
          <w:p>
            <w:pPr>
              <w:pStyle w:val="TableParagraph"/>
              <w:spacing w:line="207" w:lineRule="exact"/>
              <w:ind w:right="1"/>
              <w:rPr>
                <w:sz w:val="18"/>
              </w:rPr>
            </w:pPr>
            <w:r>
              <w:rPr>
                <w:w w:val="99"/>
                <w:sz w:val="18"/>
              </w:rPr>
              <w:t>0</w:t>
            </w:r>
          </w:p>
        </w:tc>
        <w:tc>
          <w:tcPr>
            <w:tcW w:w="475" w:type="dxa"/>
          </w:tcPr>
          <w:p>
            <w:pPr>
              <w:pStyle w:val="TableParagraph"/>
              <w:spacing w:line="207" w:lineRule="exact"/>
              <w:rPr>
                <w:sz w:val="18"/>
              </w:rPr>
            </w:pPr>
            <w:r>
              <w:rPr>
                <w:w w:val="99"/>
                <w:sz w:val="18"/>
              </w:rPr>
              <w:t>0</w:t>
            </w:r>
          </w:p>
        </w:tc>
        <w:tc>
          <w:tcPr>
            <w:tcW w:w="473" w:type="dxa"/>
          </w:tcPr>
          <w:p>
            <w:pPr>
              <w:pStyle w:val="TableParagraph"/>
              <w:spacing w:line="207" w:lineRule="exact"/>
              <w:ind w:left="1"/>
              <w:rPr>
                <w:sz w:val="18"/>
              </w:rPr>
            </w:pPr>
            <w:r>
              <w:rPr>
                <w:w w:val="99"/>
                <w:sz w:val="18"/>
              </w:rPr>
              <w:t>0</w:t>
            </w:r>
          </w:p>
        </w:tc>
        <w:tc>
          <w:tcPr>
            <w:tcW w:w="466" w:type="dxa"/>
          </w:tcPr>
          <w:p>
            <w:pPr>
              <w:pStyle w:val="TableParagraph"/>
              <w:spacing w:line="207" w:lineRule="exact"/>
              <w:rPr>
                <w:sz w:val="18"/>
              </w:rPr>
            </w:pPr>
            <w:r>
              <w:rPr>
                <w:w w:val="99"/>
                <w:sz w:val="18"/>
              </w:rPr>
              <w:t>0</w:t>
            </w:r>
          </w:p>
        </w:tc>
        <w:tc>
          <w:tcPr>
            <w:tcW w:w="466" w:type="dxa"/>
          </w:tcPr>
          <w:p>
            <w:pPr>
              <w:pStyle w:val="TableParagraph"/>
              <w:spacing w:line="207" w:lineRule="exact"/>
              <w:ind w:right="176"/>
              <w:jc w:val="right"/>
              <w:rPr>
                <w:sz w:val="18"/>
              </w:rPr>
            </w:pPr>
            <w:r>
              <w:rPr>
                <w:w w:val="99"/>
                <w:sz w:val="18"/>
              </w:rPr>
              <w:t>0</w:t>
            </w:r>
          </w:p>
        </w:tc>
        <w:tc>
          <w:tcPr>
            <w:tcW w:w="466" w:type="dxa"/>
          </w:tcPr>
          <w:p>
            <w:pPr>
              <w:pStyle w:val="TableParagraph"/>
              <w:spacing w:line="207" w:lineRule="exact"/>
              <w:ind w:right="3"/>
              <w:rPr>
                <w:sz w:val="18"/>
              </w:rPr>
            </w:pPr>
            <w:r>
              <w:rPr>
                <w:w w:val="99"/>
                <w:sz w:val="18"/>
              </w:rPr>
              <w:t>0</w:t>
            </w:r>
          </w:p>
        </w:tc>
        <w:tc>
          <w:tcPr>
            <w:tcW w:w="464" w:type="dxa"/>
          </w:tcPr>
          <w:p>
            <w:pPr>
              <w:pStyle w:val="TableParagraph"/>
              <w:spacing w:line="207" w:lineRule="exact"/>
              <w:rPr>
                <w:sz w:val="18"/>
              </w:rPr>
            </w:pPr>
            <w:r>
              <w:rPr>
                <w:w w:val="99"/>
                <w:sz w:val="18"/>
              </w:rPr>
              <w:t>0</w:t>
            </w:r>
          </w:p>
        </w:tc>
        <w:tc>
          <w:tcPr>
            <w:tcW w:w="475" w:type="dxa"/>
          </w:tcPr>
          <w:p>
            <w:pPr>
              <w:pStyle w:val="TableParagraph"/>
              <w:spacing w:line="207" w:lineRule="exact"/>
              <w:ind w:left="4"/>
              <w:rPr>
                <w:sz w:val="18"/>
              </w:rPr>
            </w:pPr>
            <w:r>
              <w:rPr>
                <w:w w:val="99"/>
                <w:sz w:val="18"/>
              </w:rPr>
              <w:t>0</w:t>
            </w:r>
          </w:p>
        </w:tc>
        <w:tc>
          <w:tcPr>
            <w:tcW w:w="466" w:type="dxa"/>
          </w:tcPr>
          <w:p>
            <w:pPr>
              <w:pStyle w:val="TableParagraph"/>
              <w:spacing w:line="207" w:lineRule="exact"/>
              <w:ind w:right="176"/>
              <w:jc w:val="right"/>
              <w:rPr>
                <w:sz w:val="18"/>
              </w:rPr>
            </w:pPr>
            <w:r>
              <w:rPr>
                <w:w w:val="99"/>
                <w:sz w:val="18"/>
              </w:rPr>
              <w:t>0</w:t>
            </w:r>
          </w:p>
        </w:tc>
        <w:tc>
          <w:tcPr>
            <w:tcW w:w="466" w:type="dxa"/>
          </w:tcPr>
          <w:p>
            <w:pPr>
              <w:pStyle w:val="TableParagraph"/>
              <w:spacing w:line="207" w:lineRule="exact"/>
              <w:ind w:left="175"/>
              <w:jc w:val="left"/>
              <w:rPr>
                <w:sz w:val="18"/>
              </w:rPr>
            </w:pPr>
            <w:r>
              <w:rPr>
                <w:w w:val="99"/>
                <w:sz w:val="18"/>
              </w:rPr>
              <w:t>0</w:t>
            </w:r>
          </w:p>
        </w:tc>
        <w:tc>
          <w:tcPr>
            <w:tcW w:w="475" w:type="dxa"/>
          </w:tcPr>
          <w:p>
            <w:pPr>
              <w:pStyle w:val="TableParagraph"/>
              <w:spacing w:line="207" w:lineRule="exact"/>
              <w:rPr>
                <w:sz w:val="18"/>
              </w:rPr>
            </w:pPr>
            <w:r>
              <w:rPr>
                <w:w w:val="99"/>
                <w:sz w:val="18"/>
              </w:rPr>
              <w:t>0</w:t>
            </w:r>
          </w:p>
        </w:tc>
        <w:tc>
          <w:tcPr>
            <w:tcW w:w="475" w:type="dxa"/>
          </w:tcPr>
          <w:p>
            <w:pPr>
              <w:pStyle w:val="TableParagraph"/>
              <w:spacing w:line="207" w:lineRule="exact"/>
              <w:rPr>
                <w:sz w:val="18"/>
              </w:rPr>
            </w:pPr>
            <w:r>
              <w:rPr>
                <w:w w:val="99"/>
                <w:sz w:val="18"/>
              </w:rPr>
              <w:t>0</w:t>
            </w:r>
          </w:p>
        </w:tc>
        <w:tc>
          <w:tcPr>
            <w:tcW w:w="463" w:type="dxa"/>
          </w:tcPr>
          <w:p>
            <w:pPr>
              <w:pStyle w:val="TableParagraph"/>
              <w:spacing w:line="207" w:lineRule="exact"/>
              <w:ind w:right="176"/>
              <w:jc w:val="right"/>
              <w:rPr>
                <w:sz w:val="18"/>
              </w:rPr>
            </w:pPr>
            <w:r>
              <w:rPr>
                <w:w w:val="99"/>
                <w:sz w:val="18"/>
              </w:rPr>
              <w:t>0</w:t>
            </w:r>
          </w:p>
        </w:tc>
        <w:tc>
          <w:tcPr>
            <w:tcW w:w="466" w:type="dxa"/>
          </w:tcPr>
          <w:p>
            <w:pPr>
              <w:pStyle w:val="TableParagraph"/>
              <w:spacing w:line="207" w:lineRule="exact"/>
              <w:ind w:right="1"/>
              <w:rPr>
                <w:sz w:val="18"/>
              </w:rPr>
            </w:pPr>
            <w:r>
              <w:rPr>
                <w:w w:val="99"/>
                <w:sz w:val="18"/>
              </w:rPr>
              <w:t>0</w:t>
            </w:r>
          </w:p>
        </w:tc>
        <w:tc>
          <w:tcPr>
            <w:tcW w:w="466" w:type="dxa"/>
          </w:tcPr>
          <w:p>
            <w:pPr>
              <w:pStyle w:val="TableParagraph"/>
              <w:spacing w:line="207" w:lineRule="exact"/>
              <w:ind w:left="177"/>
              <w:jc w:val="left"/>
              <w:rPr>
                <w:sz w:val="18"/>
              </w:rPr>
            </w:pPr>
            <w:r>
              <w:rPr>
                <w:w w:val="99"/>
                <w:sz w:val="18"/>
              </w:rPr>
              <w:t>0</w:t>
            </w:r>
          </w:p>
        </w:tc>
        <w:tc>
          <w:tcPr>
            <w:tcW w:w="466" w:type="dxa"/>
          </w:tcPr>
          <w:p>
            <w:pPr>
              <w:pStyle w:val="TableParagraph"/>
              <w:spacing w:line="207" w:lineRule="exact"/>
              <w:ind w:left="175"/>
              <w:jc w:val="left"/>
              <w:rPr>
                <w:sz w:val="18"/>
              </w:rPr>
            </w:pPr>
            <w:r>
              <w:rPr>
                <w:w w:val="99"/>
                <w:sz w:val="18"/>
              </w:rPr>
              <w:t>0</w:t>
            </w:r>
          </w:p>
        </w:tc>
        <w:tc>
          <w:tcPr>
            <w:tcW w:w="475" w:type="dxa"/>
          </w:tcPr>
          <w:p>
            <w:pPr>
              <w:pStyle w:val="TableParagraph"/>
              <w:spacing w:line="202" w:lineRule="exact"/>
              <w:rPr>
                <w:b/>
                <w:sz w:val="18"/>
              </w:rPr>
            </w:pPr>
            <w:r>
              <w:rPr>
                <w:b/>
                <w:w w:val="99"/>
                <w:sz w:val="18"/>
              </w:rPr>
              <w:t>0</w:t>
            </w:r>
          </w:p>
        </w:tc>
      </w:tr>
      <w:tr>
        <w:trPr>
          <w:trHeight w:val="322" w:hRule="exact"/>
        </w:trPr>
        <w:tc>
          <w:tcPr>
            <w:tcW w:w="3000" w:type="dxa"/>
            <w:tcBorders>
              <w:left w:val="single" w:sz="8" w:space="0" w:color="000000"/>
            </w:tcBorders>
          </w:tcPr>
          <w:p>
            <w:pPr>
              <w:pStyle w:val="TableParagraph"/>
              <w:spacing w:line="204" w:lineRule="exact"/>
              <w:ind w:left="62"/>
              <w:jc w:val="left"/>
              <w:rPr>
                <w:b/>
                <w:sz w:val="18"/>
              </w:rPr>
            </w:pPr>
            <w:r>
              <w:rPr>
                <w:b/>
                <w:color w:val="333333"/>
                <w:sz w:val="18"/>
              </w:rPr>
              <w:t>AMECAMECA</w:t>
            </w:r>
          </w:p>
        </w:tc>
        <w:tc>
          <w:tcPr>
            <w:tcW w:w="589" w:type="dxa"/>
          </w:tcPr>
          <w:p>
            <w:pPr>
              <w:pStyle w:val="TableParagraph"/>
              <w:spacing w:before="1"/>
              <w:ind w:right="236"/>
              <w:jc w:val="right"/>
              <w:rPr>
                <w:sz w:val="18"/>
              </w:rPr>
            </w:pPr>
            <w:r>
              <w:rPr>
                <w:w w:val="99"/>
                <w:sz w:val="18"/>
              </w:rPr>
              <w:t>0</w:t>
            </w:r>
          </w:p>
        </w:tc>
        <w:tc>
          <w:tcPr>
            <w:tcW w:w="588" w:type="dxa"/>
          </w:tcPr>
          <w:p>
            <w:pPr>
              <w:pStyle w:val="TableParagraph"/>
              <w:spacing w:before="1"/>
              <w:ind w:right="1"/>
              <w:rPr>
                <w:sz w:val="18"/>
              </w:rPr>
            </w:pPr>
            <w:r>
              <w:rPr>
                <w:w w:val="99"/>
                <w:sz w:val="18"/>
              </w:rPr>
              <w:t>0</w:t>
            </w:r>
          </w:p>
        </w:tc>
        <w:tc>
          <w:tcPr>
            <w:tcW w:w="475" w:type="dxa"/>
          </w:tcPr>
          <w:p>
            <w:pPr>
              <w:pStyle w:val="TableParagraph"/>
              <w:spacing w:before="1"/>
              <w:rPr>
                <w:sz w:val="18"/>
              </w:rPr>
            </w:pPr>
            <w:r>
              <w:rPr>
                <w:w w:val="99"/>
                <w:sz w:val="18"/>
              </w:rPr>
              <w:t>0</w:t>
            </w:r>
          </w:p>
        </w:tc>
        <w:tc>
          <w:tcPr>
            <w:tcW w:w="473" w:type="dxa"/>
          </w:tcPr>
          <w:p>
            <w:pPr>
              <w:pStyle w:val="TableParagraph"/>
              <w:spacing w:before="1"/>
              <w:ind w:left="1"/>
              <w:rPr>
                <w:sz w:val="18"/>
              </w:rPr>
            </w:pPr>
            <w:r>
              <w:rPr>
                <w:w w:val="99"/>
                <w:sz w:val="18"/>
              </w:rPr>
              <w:t>0</w:t>
            </w:r>
          </w:p>
        </w:tc>
        <w:tc>
          <w:tcPr>
            <w:tcW w:w="466" w:type="dxa"/>
          </w:tcPr>
          <w:p>
            <w:pPr>
              <w:pStyle w:val="TableParagraph"/>
              <w:spacing w:before="1"/>
              <w:rPr>
                <w:sz w:val="18"/>
              </w:rPr>
            </w:pPr>
            <w:r>
              <w:rPr>
                <w:w w:val="99"/>
                <w:sz w:val="18"/>
              </w:rPr>
              <w:t>0</w:t>
            </w:r>
          </w:p>
        </w:tc>
        <w:tc>
          <w:tcPr>
            <w:tcW w:w="466" w:type="dxa"/>
          </w:tcPr>
          <w:p>
            <w:pPr>
              <w:pStyle w:val="TableParagraph"/>
              <w:spacing w:before="1"/>
              <w:ind w:right="176"/>
              <w:jc w:val="right"/>
              <w:rPr>
                <w:sz w:val="18"/>
              </w:rPr>
            </w:pPr>
            <w:r>
              <w:rPr>
                <w:w w:val="99"/>
                <w:sz w:val="18"/>
              </w:rPr>
              <w:t>0</w:t>
            </w:r>
          </w:p>
        </w:tc>
        <w:tc>
          <w:tcPr>
            <w:tcW w:w="466" w:type="dxa"/>
          </w:tcPr>
          <w:p>
            <w:pPr>
              <w:pStyle w:val="TableParagraph"/>
              <w:spacing w:before="1"/>
              <w:ind w:right="3"/>
              <w:rPr>
                <w:sz w:val="18"/>
              </w:rPr>
            </w:pPr>
            <w:r>
              <w:rPr>
                <w:w w:val="99"/>
                <w:sz w:val="18"/>
              </w:rPr>
              <w:t>0</w:t>
            </w:r>
          </w:p>
        </w:tc>
        <w:tc>
          <w:tcPr>
            <w:tcW w:w="464" w:type="dxa"/>
          </w:tcPr>
          <w:p>
            <w:pPr>
              <w:pStyle w:val="TableParagraph"/>
              <w:spacing w:before="1"/>
              <w:rPr>
                <w:sz w:val="18"/>
              </w:rPr>
            </w:pPr>
            <w:r>
              <w:rPr>
                <w:w w:val="99"/>
                <w:sz w:val="18"/>
              </w:rPr>
              <w:t>0</w:t>
            </w:r>
          </w:p>
        </w:tc>
        <w:tc>
          <w:tcPr>
            <w:tcW w:w="475" w:type="dxa"/>
          </w:tcPr>
          <w:p>
            <w:pPr>
              <w:pStyle w:val="TableParagraph"/>
              <w:spacing w:before="1"/>
              <w:ind w:left="4"/>
              <w:rPr>
                <w:sz w:val="18"/>
              </w:rPr>
            </w:pPr>
            <w:r>
              <w:rPr>
                <w:w w:val="99"/>
                <w:sz w:val="18"/>
              </w:rPr>
              <w:t>0</w:t>
            </w:r>
          </w:p>
        </w:tc>
        <w:tc>
          <w:tcPr>
            <w:tcW w:w="466" w:type="dxa"/>
          </w:tcPr>
          <w:p>
            <w:pPr>
              <w:pStyle w:val="TableParagraph"/>
              <w:spacing w:before="1"/>
              <w:ind w:right="176"/>
              <w:jc w:val="right"/>
              <w:rPr>
                <w:sz w:val="18"/>
              </w:rPr>
            </w:pPr>
            <w:r>
              <w:rPr>
                <w:w w:val="99"/>
                <w:sz w:val="18"/>
              </w:rPr>
              <w:t>0</w:t>
            </w:r>
          </w:p>
        </w:tc>
        <w:tc>
          <w:tcPr>
            <w:tcW w:w="466" w:type="dxa"/>
          </w:tcPr>
          <w:p>
            <w:pPr>
              <w:pStyle w:val="TableParagraph"/>
              <w:spacing w:before="1"/>
              <w:ind w:left="175"/>
              <w:jc w:val="left"/>
              <w:rPr>
                <w:sz w:val="18"/>
              </w:rPr>
            </w:pPr>
            <w:r>
              <w:rPr>
                <w:w w:val="99"/>
                <w:sz w:val="18"/>
              </w:rPr>
              <w:t>0</w:t>
            </w:r>
          </w:p>
        </w:tc>
        <w:tc>
          <w:tcPr>
            <w:tcW w:w="475" w:type="dxa"/>
          </w:tcPr>
          <w:p>
            <w:pPr>
              <w:pStyle w:val="TableParagraph"/>
              <w:spacing w:before="1"/>
              <w:rPr>
                <w:sz w:val="18"/>
              </w:rPr>
            </w:pPr>
            <w:r>
              <w:rPr>
                <w:w w:val="99"/>
                <w:sz w:val="18"/>
              </w:rPr>
              <w:t>0</w:t>
            </w:r>
          </w:p>
        </w:tc>
        <w:tc>
          <w:tcPr>
            <w:tcW w:w="475" w:type="dxa"/>
          </w:tcPr>
          <w:p>
            <w:pPr>
              <w:pStyle w:val="TableParagraph"/>
              <w:spacing w:before="1"/>
              <w:rPr>
                <w:sz w:val="18"/>
              </w:rPr>
            </w:pPr>
            <w:r>
              <w:rPr>
                <w:w w:val="99"/>
                <w:sz w:val="18"/>
              </w:rPr>
              <w:t>0</w:t>
            </w:r>
          </w:p>
        </w:tc>
        <w:tc>
          <w:tcPr>
            <w:tcW w:w="463" w:type="dxa"/>
          </w:tcPr>
          <w:p>
            <w:pPr>
              <w:pStyle w:val="TableParagraph"/>
              <w:spacing w:before="1"/>
              <w:ind w:right="176"/>
              <w:jc w:val="right"/>
              <w:rPr>
                <w:sz w:val="18"/>
              </w:rPr>
            </w:pPr>
            <w:r>
              <w:rPr>
                <w:w w:val="99"/>
                <w:sz w:val="18"/>
              </w:rPr>
              <w:t>0</w:t>
            </w:r>
          </w:p>
        </w:tc>
        <w:tc>
          <w:tcPr>
            <w:tcW w:w="466" w:type="dxa"/>
          </w:tcPr>
          <w:p>
            <w:pPr>
              <w:pStyle w:val="TableParagraph"/>
              <w:spacing w:before="1"/>
              <w:ind w:right="1"/>
              <w:rPr>
                <w:sz w:val="18"/>
              </w:rPr>
            </w:pPr>
            <w:r>
              <w:rPr>
                <w:w w:val="99"/>
                <w:sz w:val="18"/>
              </w:rPr>
              <w:t>0</w:t>
            </w:r>
          </w:p>
        </w:tc>
        <w:tc>
          <w:tcPr>
            <w:tcW w:w="466" w:type="dxa"/>
          </w:tcPr>
          <w:p>
            <w:pPr>
              <w:pStyle w:val="TableParagraph"/>
              <w:spacing w:before="1"/>
              <w:ind w:left="177"/>
              <w:jc w:val="left"/>
              <w:rPr>
                <w:sz w:val="18"/>
              </w:rPr>
            </w:pPr>
            <w:r>
              <w:rPr>
                <w:w w:val="99"/>
                <w:sz w:val="18"/>
              </w:rPr>
              <w:t>0</w:t>
            </w:r>
          </w:p>
        </w:tc>
        <w:tc>
          <w:tcPr>
            <w:tcW w:w="466" w:type="dxa"/>
          </w:tcPr>
          <w:p>
            <w:pPr>
              <w:pStyle w:val="TableParagraph"/>
              <w:spacing w:before="1"/>
              <w:ind w:left="175"/>
              <w:jc w:val="left"/>
              <w:rPr>
                <w:sz w:val="18"/>
              </w:rPr>
            </w:pPr>
            <w:r>
              <w:rPr>
                <w:w w:val="99"/>
                <w:sz w:val="18"/>
              </w:rPr>
              <w:t>0</w:t>
            </w:r>
          </w:p>
        </w:tc>
        <w:tc>
          <w:tcPr>
            <w:tcW w:w="475" w:type="dxa"/>
          </w:tcPr>
          <w:p>
            <w:pPr>
              <w:pStyle w:val="TableParagraph"/>
              <w:spacing w:line="204" w:lineRule="exact"/>
              <w:rPr>
                <w:b/>
                <w:sz w:val="18"/>
              </w:rPr>
            </w:pPr>
            <w:r>
              <w:rPr>
                <w:b/>
                <w:w w:val="99"/>
                <w:sz w:val="18"/>
              </w:rPr>
              <w:t>0</w:t>
            </w:r>
          </w:p>
        </w:tc>
      </w:tr>
      <w:tr>
        <w:trPr>
          <w:trHeight w:val="322" w:hRule="exact"/>
        </w:trPr>
        <w:tc>
          <w:tcPr>
            <w:tcW w:w="3000" w:type="dxa"/>
            <w:tcBorders>
              <w:left w:val="single" w:sz="8" w:space="0" w:color="000000"/>
            </w:tcBorders>
          </w:tcPr>
          <w:p>
            <w:pPr>
              <w:pStyle w:val="TableParagraph"/>
              <w:spacing w:line="201" w:lineRule="exact"/>
              <w:ind w:left="62"/>
              <w:jc w:val="left"/>
              <w:rPr>
                <w:b/>
                <w:sz w:val="18"/>
              </w:rPr>
            </w:pPr>
            <w:r>
              <w:rPr>
                <w:b/>
                <w:color w:val="333333"/>
                <w:sz w:val="18"/>
              </w:rPr>
              <w:t>APAXCO</w:t>
            </w:r>
          </w:p>
        </w:tc>
        <w:tc>
          <w:tcPr>
            <w:tcW w:w="589" w:type="dxa"/>
          </w:tcPr>
          <w:p>
            <w:pPr>
              <w:pStyle w:val="TableParagraph"/>
              <w:spacing w:line="206" w:lineRule="exact"/>
              <w:ind w:right="236"/>
              <w:jc w:val="right"/>
              <w:rPr>
                <w:sz w:val="18"/>
              </w:rPr>
            </w:pPr>
            <w:r>
              <w:rPr>
                <w:w w:val="99"/>
                <w:sz w:val="18"/>
              </w:rPr>
              <w:t>0</w:t>
            </w:r>
          </w:p>
        </w:tc>
        <w:tc>
          <w:tcPr>
            <w:tcW w:w="588" w:type="dxa"/>
          </w:tcPr>
          <w:p>
            <w:pPr>
              <w:pStyle w:val="TableParagraph"/>
              <w:spacing w:line="206" w:lineRule="exact"/>
              <w:ind w:right="1"/>
              <w:rPr>
                <w:sz w:val="18"/>
              </w:rPr>
            </w:pPr>
            <w:r>
              <w:rPr>
                <w:w w:val="99"/>
                <w:sz w:val="18"/>
              </w:rPr>
              <w:t>0</w:t>
            </w:r>
          </w:p>
        </w:tc>
        <w:tc>
          <w:tcPr>
            <w:tcW w:w="475" w:type="dxa"/>
          </w:tcPr>
          <w:p>
            <w:pPr>
              <w:pStyle w:val="TableParagraph"/>
              <w:spacing w:line="206" w:lineRule="exact"/>
              <w:rPr>
                <w:sz w:val="18"/>
              </w:rPr>
            </w:pPr>
            <w:r>
              <w:rPr>
                <w:w w:val="99"/>
                <w:sz w:val="18"/>
              </w:rPr>
              <w:t>0</w:t>
            </w:r>
          </w:p>
        </w:tc>
        <w:tc>
          <w:tcPr>
            <w:tcW w:w="473" w:type="dxa"/>
          </w:tcPr>
          <w:p>
            <w:pPr>
              <w:pStyle w:val="TableParagraph"/>
              <w:spacing w:line="206" w:lineRule="exact"/>
              <w:ind w:left="1"/>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4"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75" w:type="dxa"/>
          </w:tcPr>
          <w:p>
            <w:pPr>
              <w:pStyle w:val="TableParagraph"/>
              <w:spacing w:line="206" w:lineRule="exact"/>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rPr>
                <w:b/>
                <w:sz w:val="18"/>
              </w:rPr>
            </w:pPr>
            <w:r>
              <w:rPr>
                <w:b/>
                <w:w w:val="99"/>
                <w:sz w:val="18"/>
              </w:rPr>
              <w:t>0</w:t>
            </w:r>
          </w:p>
        </w:tc>
      </w:tr>
      <w:tr>
        <w:trPr>
          <w:trHeight w:val="319" w:hRule="exact"/>
        </w:trPr>
        <w:tc>
          <w:tcPr>
            <w:tcW w:w="3000" w:type="dxa"/>
            <w:tcBorders>
              <w:left w:val="single" w:sz="8" w:space="0" w:color="000000"/>
            </w:tcBorders>
          </w:tcPr>
          <w:p>
            <w:pPr>
              <w:pStyle w:val="TableParagraph"/>
              <w:spacing w:line="201" w:lineRule="exact"/>
              <w:ind w:left="62"/>
              <w:jc w:val="left"/>
              <w:rPr>
                <w:b/>
                <w:sz w:val="18"/>
              </w:rPr>
            </w:pPr>
            <w:r>
              <w:rPr>
                <w:b/>
                <w:color w:val="333333"/>
                <w:sz w:val="18"/>
              </w:rPr>
              <w:t>ATENCO</w:t>
            </w:r>
          </w:p>
        </w:tc>
        <w:tc>
          <w:tcPr>
            <w:tcW w:w="589" w:type="dxa"/>
          </w:tcPr>
          <w:p>
            <w:pPr>
              <w:pStyle w:val="TableParagraph"/>
              <w:spacing w:line="206" w:lineRule="exact"/>
              <w:ind w:right="236"/>
              <w:jc w:val="right"/>
              <w:rPr>
                <w:sz w:val="18"/>
              </w:rPr>
            </w:pPr>
            <w:r>
              <w:rPr>
                <w:w w:val="99"/>
                <w:sz w:val="18"/>
              </w:rPr>
              <w:t>0</w:t>
            </w:r>
          </w:p>
        </w:tc>
        <w:tc>
          <w:tcPr>
            <w:tcW w:w="588" w:type="dxa"/>
          </w:tcPr>
          <w:p>
            <w:pPr>
              <w:pStyle w:val="TableParagraph"/>
              <w:spacing w:line="206" w:lineRule="exact"/>
              <w:ind w:right="1"/>
              <w:rPr>
                <w:sz w:val="18"/>
              </w:rPr>
            </w:pPr>
            <w:r>
              <w:rPr>
                <w:w w:val="99"/>
                <w:sz w:val="18"/>
              </w:rPr>
              <w:t>0</w:t>
            </w:r>
          </w:p>
        </w:tc>
        <w:tc>
          <w:tcPr>
            <w:tcW w:w="475" w:type="dxa"/>
          </w:tcPr>
          <w:p>
            <w:pPr>
              <w:pStyle w:val="TableParagraph"/>
              <w:spacing w:line="206" w:lineRule="exact"/>
              <w:rPr>
                <w:sz w:val="18"/>
              </w:rPr>
            </w:pPr>
            <w:r>
              <w:rPr>
                <w:w w:val="99"/>
                <w:sz w:val="18"/>
              </w:rPr>
              <w:t>0</w:t>
            </w:r>
          </w:p>
        </w:tc>
        <w:tc>
          <w:tcPr>
            <w:tcW w:w="473" w:type="dxa"/>
          </w:tcPr>
          <w:p>
            <w:pPr>
              <w:pStyle w:val="TableParagraph"/>
              <w:spacing w:line="206" w:lineRule="exact"/>
              <w:ind w:left="1"/>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4"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75" w:type="dxa"/>
          </w:tcPr>
          <w:p>
            <w:pPr>
              <w:pStyle w:val="TableParagraph"/>
              <w:spacing w:line="206" w:lineRule="exact"/>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rPr>
                <w:b/>
                <w:sz w:val="18"/>
              </w:rPr>
            </w:pPr>
            <w:r>
              <w:rPr>
                <w:b/>
                <w:w w:val="99"/>
                <w:sz w:val="18"/>
              </w:rPr>
              <w:t>0</w:t>
            </w:r>
          </w:p>
        </w:tc>
      </w:tr>
      <w:tr>
        <w:trPr>
          <w:trHeight w:val="322" w:hRule="exact"/>
        </w:trPr>
        <w:tc>
          <w:tcPr>
            <w:tcW w:w="3000" w:type="dxa"/>
            <w:tcBorders>
              <w:left w:val="single" w:sz="8" w:space="0" w:color="000000"/>
            </w:tcBorders>
          </w:tcPr>
          <w:p>
            <w:pPr>
              <w:pStyle w:val="TableParagraph"/>
              <w:spacing w:line="201" w:lineRule="exact"/>
              <w:ind w:left="62"/>
              <w:jc w:val="left"/>
              <w:rPr>
                <w:b/>
                <w:sz w:val="18"/>
              </w:rPr>
            </w:pPr>
            <w:r>
              <w:rPr>
                <w:b/>
                <w:color w:val="333333"/>
                <w:sz w:val="18"/>
              </w:rPr>
              <w:t>ATIZAPAN</w:t>
            </w:r>
          </w:p>
        </w:tc>
        <w:tc>
          <w:tcPr>
            <w:tcW w:w="589" w:type="dxa"/>
          </w:tcPr>
          <w:p>
            <w:pPr>
              <w:pStyle w:val="TableParagraph"/>
              <w:spacing w:line="206" w:lineRule="exact"/>
              <w:ind w:right="236"/>
              <w:jc w:val="right"/>
              <w:rPr>
                <w:sz w:val="18"/>
              </w:rPr>
            </w:pPr>
            <w:r>
              <w:rPr>
                <w:w w:val="99"/>
                <w:sz w:val="18"/>
              </w:rPr>
              <w:t>0</w:t>
            </w:r>
          </w:p>
        </w:tc>
        <w:tc>
          <w:tcPr>
            <w:tcW w:w="588" w:type="dxa"/>
          </w:tcPr>
          <w:p>
            <w:pPr>
              <w:pStyle w:val="TableParagraph"/>
              <w:spacing w:line="206" w:lineRule="exact"/>
              <w:ind w:right="1"/>
              <w:rPr>
                <w:sz w:val="18"/>
              </w:rPr>
            </w:pPr>
            <w:r>
              <w:rPr>
                <w:w w:val="99"/>
                <w:sz w:val="18"/>
              </w:rPr>
              <w:t>0</w:t>
            </w:r>
          </w:p>
        </w:tc>
        <w:tc>
          <w:tcPr>
            <w:tcW w:w="475" w:type="dxa"/>
          </w:tcPr>
          <w:p>
            <w:pPr>
              <w:pStyle w:val="TableParagraph"/>
              <w:spacing w:line="206" w:lineRule="exact"/>
              <w:rPr>
                <w:sz w:val="18"/>
              </w:rPr>
            </w:pPr>
            <w:r>
              <w:rPr>
                <w:w w:val="99"/>
                <w:sz w:val="18"/>
              </w:rPr>
              <w:t>0</w:t>
            </w:r>
          </w:p>
        </w:tc>
        <w:tc>
          <w:tcPr>
            <w:tcW w:w="473" w:type="dxa"/>
          </w:tcPr>
          <w:p>
            <w:pPr>
              <w:pStyle w:val="TableParagraph"/>
              <w:spacing w:line="206" w:lineRule="exact"/>
              <w:ind w:left="1"/>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4"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75" w:type="dxa"/>
          </w:tcPr>
          <w:p>
            <w:pPr>
              <w:pStyle w:val="TableParagraph"/>
              <w:spacing w:line="206" w:lineRule="exact"/>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rPr>
                <w:b/>
                <w:sz w:val="18"/>
              </w:rPr>
            </w:pPr>
            <w:r>
              <w:rPr>
                <w:b/>
                <w:w w:val="99"/>
                <w:sz w:val="18"/>
              </w:rPr>
              <w:t>0</w:t>
            </w:r>
          </w:p>
        </w:tc>
      </w:tr>
      <w:tr>
        <w:trPr>
          <w:trHeight w:val="319" w:hRule="exact"/>
        </w:trPr>
        <w:tc>
          <w:tcPr>
            <w:tcW w:w="3000" w:type="dxa"/>
            <w:tcBorders>
              <w:left w:val="single" w:sz="8" w:space="0" w:color="000000"/>
            </w:tcBorders>
          </w:tcPr>
          <w:p>
            <w:pPr>
              <w:pStyle w:val="TableParagraph"/>
              <w:spacing w:line="201" w:lineRule="exact"/>
              <w:ind w:left="62"/>
              <w:jc w:val="left"/>
              <w:rPr>
                <w:b/>
                <w:sz w:val="18"/>
              </w:rPr>
            </w:pPr>
            <w:r>
              <w:rPr>
                <w:b/>
                <w:color w:val="333333"/>
                <w:sz w:val="18"/>
              </w:rPr>
              <w:t>ATIZAPAN DE ZARAGOZA</w:t>
            </w:r>
          </w:p>
        </w:tc>
        <w:tc>
          <w:tcPr>
            <w:tcW w:w="589" w:type="dxa"/>
          </w:tcPr>
          <w:p>
            <w:pPr>
              <w:pStyle w:val="TableParagraph"/>
              <w:spacing w:line="206" w:lineRule="exact"/>
              <w:ind w:right="185"/>
              <w:jc w:val="right"/>
              <w:rPr>
                <w:sz w:val="18"/>
              </w:rPr>
            </w:pPr>
            <w:r>
              <w:rPr>
                <w:w w:val="95"/>
                <w:sz w:val="18"/>
              </w:rPr>
              <w:t>13</w:t>
            </w:r>
          </w:p>
        </w:tc>
        <w:tc>
          <w:tcPr>
            <w:tcW w:w="588" w:type="dxa"/>
          </w:tcPr>
          <w:p>
            <w:pPr>
              <w:pStyle w:val="TableParagraph"/>
              <w:spacing w:line="206" w:lineRule="exact"/>
              <w:ind w:left="168" w:right="168"/>
              <w:rPr>
                <w:sz w:val="18"/>
              </w:rPr>
            </w:pPr>
            <w:r>
              <w:rPr>
                <w:sz w:val="18"/>
              </w:rPr>
              <w:t>34</w:t>
            </w:r>
          </w:p>
        </w:tc>
        <w:tc>
          <w:tcPr>
            <w:tcW w:w="475" w:type="dxa"/>
          </w:tcPr>
          <w:p>
            <w:pPr>
              <w:pStyle w:val="TableParagraph"/>
              <w:spacing w:line="206" w:lineRule="exact"/>
              <w:ind w:left="60" w:right="60"/>
              <w:rPr>
                <w:sz w:val="18"/>
              </w:rPr>
            </w:pPr>
            <w:r>
              <w:rPr>
                <w:sz w:val="18"/>
              </w:rPr>
              <w:t>68</w:t>
            </w:r>
          </w:p>
        </w:tc>
        <w:tc>
          <w:tcPr>
            <w:tcW w:w="473" w:type="dxa"/>
          </w:tcPr>
          <w:p>
            <w:pPr>
              <w:pStyle w:val="TableParagraph"/>
              <w:spacing w:line="206" w:lineRule="exact"/>
              <w:ind w:left="62" w:right="60"/>
              <w:rPr>
                <w:sz w:val="18"/>
              </w:rPr>
            </w:pPr>
            <w:r>
              <w:rPr>
                <w:sz w:val="18"/>
              </w:rPr>
              <w:t>795</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4" w:type="dxa"/>
          </w:tcPr>
          <w:p>
            <w:pPr>
              <w:pStyle w:val="TableParagraph"/>
              <w:spacing w:line="206" w:lineRule="exact"/>
              <w:rPr>
                <w:sz w:val="18"/>
              </w:rPr>
            </w:pPr>
            <w:r>
              <w:rPr>
                <w:w w:val="99"/>
                <w:sz w:val="18"/>
              </w:rPr>
              <w:t>0</w:t>
            </w:r>
          </w:p>
        </w:tc>
        <w:tc>
          <w:tcPr>
            <w:tcW w:w="475" w:type="dxa"/>
          </w:tcPr>
          <w:p>
            <w:pPr>
              <w:pStyle w:val="TableParagraph"/>
              <w:spacing w:line="206" w:lineRule="exact"/>
              <w:ind w:right="77"/>
              <w:jc w:val="right"/>
              <w:rPr>
                <w:sz w:val="18"/>
              </w:rPr>
            </w:pPr>
            <w:r>
              <w:rPr>
                <w:w w:val="95"/>
                <w:sz w:val="18"/>
              </w:rPr>
              <w:t>913</w:t>
            </w:r>
          </w:p>
        </w:tc>
        <w:tc>
          <w:tcPr>
            <w:tcW w:w="466" w:type="dxa"/>
          </w:tcPr>
          <w:p>
            <w:pPr>
              <w:pStyle w:val="TableParagraph"/>
              <w:spacing w:line="206" w:lineRule="exact"/>
              <w:ind w:right="122"/>
              <w:jc w:val="right"/>
              <w:rPr>
                <w:sz w:val="18"/>
              </w:rPr>
            </w:pPr>
            <w:r>
              <w:rPr>
                <w:w w:val="95"/>
                <w:sz w:val="18"/>
              </w:rPr>
              <w:t>16</w:t>
            </w:r>
          </w:p>
        </w:tc>
        <w:tc>
          <w:tcPr>
            <w:tcW w:w="466" w:type="dxa"/>
          </w:tcPr>
          <w:p>
            <w:pPr>
              <w:pStyle w:val="TableParagraph"/>
              <w:spacing w:line="206" w:lineRule="exact"/>
              <w:ind w:left="127" w:right="-16"/>
              <w:jc w:val="left"/>
              <w:rPr>
                <w:sz w:val="18"/>
              </w:rPr>
            </w:pPr>
            <w:r>
              <w:rPr>
                <w:sz w:val="18"/>
              </w:rPr>
              <w:t>12</w:t>
            </w:r>
          </w:p>
        </w:tc>
        <w:tc>
          <w:tcPr>
            <w:tcW w:w="475" w:type="dxa"/>
          </w:tcPr>
          <w:p>
            <w:pPr>
              <w:pStyle w:val="TableParagraph"/>
              <w:spacing w:line="206" w:lineRule="exact"/>
              <w:ind w:left="60" w:right="60"/>
              <w:rPr>
                <w:sz w:val="18"/>
              </w:rPr>
            </w:pPr>
            <w:r>
              <w:rPr>
                <w:sz w:val="18"/>
              </w:rPr>
              <w:t>47</w:t>
            </w:r>
          </w:p>
        </w:tc>
        <w:tc>
          <w:tcPr>
            <w:tcW w:w="475" w:type="dxa"/>
          </w:tcPr>
          <w:p>
            <w:pPr>
              <w:pStyle w:val="TableParagraph"/>
              <w:spacing w:line="206" w:lineRule="exact"/>
              <w:ind w:left="60" w:right="60"/>
              <w:rPr>
                <w:sz w:val="18"/>
              </w:rPr>
            </w:pPr>
            <w:r>
              <w:rPr>
                <w:sz w:val="18"/>
              </w:rPr>
              <w:t>160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ind w:left="60" w:right="60"/>
              <w:rPr>
                <w:b/>
                <w:sz w:val="18"/>
              </w:rPr>
            </w:pPr>
            <w:r>
              <w:rPr>
                <w:b/>
                <w:sz w:val="18"/>
              </w:rPr>
              <w:t>235</w:t>
            </w:r>
          </w:p>
        </w:tc>
      </w:tr>
      <w:tr>
        <w:trPr>
          <w:trHeight w:val="322" w:hRule="exact"/>
        </w:trPr>
        <w:tc>
          <w:tcPr>
            <w:tcW w:w="3000" w:type="dxa"/>
            <w:tcBorders>
              <w:left w:val="single" w:sz="8" w:space="0" w:color="000000"/>
            </w:tcBorders>
          </w:tcPr>
          <w:p>
            <w:pPr>
              <w:pStyle w:val="TableParagraph"/>
              <w:spacing w:line="201" w:lineRule="exact"/>
              <w:ind w:left="62"/>
              <w:jc w:val="left"/>
              <w:rPr>
                <w:b/>
                <w:sz w:val="18"/>
              </w:rPr>
            </w:pPr>
            <w:r>
              <w:rPr>
                <w:b/>
                <w:color w:val="333333"/>
                <w:sz w:val="18"/>
              </w:rPr>
              <w:t>ATLACOMULCO</w:t>
            </w:r>
          </w:p>
        </w:tc>
        <w:tc>
          <w:tcPr>
            <w:tcW w:w="589" w:type="dxa"/>
          </w:tcPr>
          <w:p>
            <w:pPr>
              <w:pStyle w:val="TableParagraph"/>
              <w:spacing w:line="206" w:lineRule="exact"/>
              <w:ind w:right="236"/>
              <w:jc w:val="right"/>
              <w:rPr>
                <w:sz w:val="18"/>
              </w:rPr>
            </w:pPr>
            <w:r>
              <w:rPr>
                <w:w w:val="99"/>
                <w:sz w:val="18"/>
              </w:rPr>
              <w:t>0</w:t>
            </w:r>
          </w:p>
        </w:tc>
        <w:tc>
          <w:tcPr>
            <w:tcW w:w="588" w:type="dxa"/>
          </w:tcPr>
          <w:p>
            <w:pPr>
              <w:pStyle w:val="TableParagraph"/>
              <w:spacing w:line="206" w:lineRule="exact"/>
              <w:ind w:right="1"/>
              <w:rPr>
                <w:sz w:val="18"/>
              </w:rPr>
            </w:pPr>
            <w:r>
              <w:rPr>
                <w:w w:val="99"/>
                <w:sz w:val="18"/>
              </w:rPr>
              <w:t>0</w:t>
            </w:r>
          </w:p>
        </w:tc>
        <w:tc>
          <w:tcPr>
            <w:tcW w:w="475" w:type="dxa"/>
          </w:tcPr>
          <w:p>
            <w:pPr>
              <w:pStyle w:val="TableParagraph"/>
              <w:spacing w:line="206" w:lineRule="exact"/>
              <w:ind w:left="60" w:right="60"/>
              <w:rPr>
                <w:sz w:val="18"/>
              </w:rPr>
            </w:pPr>
            <w:r>
              <w:rPr>
                <w:sz w:val="18"/>
              </w:rPr>
              <w:t>176</w:t>
            </w:r>
          </w:p>
        </w:tc>
        <w:tc>
          <w:tcPr>
            <w:tcW w:w="473" w:type="dxa"/>
          </w:tcPr>
          <w:p>
            <w:pPr>
              <w:pStyle w:val="TableParagraph"/>
              <w:spacing w:line="206" w:lineRule="exact"/>
              <w:ind w:left="1"/>
              <w:rPr>
                <w:sz w:val="18"/>
              </w:rPr>
            </w:pPr>
            <w:r>
              <w:rPr>
                <w:w w:val="99"/>
                <w:sz w:val="18"/>
              </w:rPr>
              <w:t>1</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4" w:type="dxa"/>
          </w:tcPr>
          <w:p>
            <w:pPr>
              <w:pStyle w:val="TableParagraph"/>
              <w:spacing w:line="206" w:lineRule="exact"/>
              <w:rPr>
                <w:sz w:val="18"/>
              </w:rPr>
            </w:pPr>
            <w:r>
              <w:rPr>
                <w:w w:val="99"/>
                <w:sz w:val="18"/>
              </w:rPr>
              <w:t>0</w:t>
            </w:r>
          </w:p>
        </w:tc>
        <w:tc>
          <w:tcPr>
            <w:tcW w:w="475" w:type="dxa"/>
          </w:tcPr>
          <w:p>
            <w:pPr>
              <w:pStyle w:val="TableParagraph"/>
              <w:spacing w:line="206" w:lineRule="exact"/>
              <w:ind w:right="77"/>
              <w:jc w:val="right"/>
              <w:rPr>
                <w:sz w:val="18"/>
              </w:rPr>
            </w:pPr>
            <w:r>
              <w:rPr>
                <w:w w:val="95"/>
                <w:sz w:val="18"/>
              </w:rPr>
              <w:t>177</w:t>
            </w:r>
          </w:p>
        </w:tc>
        <w:tc>
          <w:tcPr>
            <w:tcW w:w="466" w:type="dxa"/>
          </w:tcPr>
          <w:p>
            <w:pPr/>
          </w:p>
        </w:tc>
        <w:tc>
          <w:tcPr>
            <w:tcW w:w="466" w:type="dxa"/>
          </w:tcPr>
          <w:p>
            <w:pPr/>
          </w:p>
        </w:tc>
        <w:tc>
          <w:tcPr>
            <w:tcW w:w="475" w:type="dxa"/>
          </w:tcPr>
          <w:p>
            <w:pPr>
              <w:pStyle w:val="TableParagraph"/>
              <w:spacing w:line="206" w:lineRule="exact"/>
              <w:ind w:left="60" w:right="60"/>
              <w:rPr>
                <w:sz w:val="18"/>
              </w:rPr>
            </w:pPr>
            <w:r>
              <w:rPr>
                <w:sz w:val="18"/>
              </w:rPr>
              <w:t>126</w:t>
            </w:r>
          </w:p>
        </w:tc>
        <w:tc>
          <w:tcPr>
            <w:tcW w:w="475" w:type="dxa"/>
          </w:tcPr>
          <w:p>
            <w:pPr>
              <w:pStyle w:val="TableParagraph"/>
              <w:spacing w:line="206" w:lineRule="exact"/>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ind w:left="60" w:right="60"/>
              <w:rPr>
                <w:b/>
                <w:sz w:val="18"/>
              </w:rPr>
            </w:pPr>
            <w:r>
              <w:rPr>
                <w:b/>
                <w:sz w:val="18"/>
              </w:rPr>
              <w:t>126</w:t>
            </w:r>
          </w:p>
        </w:tc>
      </w:tr>
      <w:tr>
        <w:trPr>
          <w:trHeight w:val="319" w:hRule="exact"/>
        </w:trPr>
        <w:tc>
          <w:tcPr>
            <w:tcW w:w="3000" w:type="dxa"/>
            <w:tcBorders>
              <w:left w:val="single" w:sz="8" w:space="0" w:color="000000"/>
            </w:tcBorders>
          </w:tcPr>
          <w:p>
            <w:pPr>
              <w:pStyle w:val="TableParagraph"/>
              <w:spacing w:line="201" w:lineRule="exact"/>
              <w:ind w:left="62"/>
              <w:jc w:val="left"/>
              <w:rPr>
                <w:b/>
                <w:sz w:val="18"/>
              </w:rPr>
            </w:pPr>
            <w:r>
              <w:rPr>
                <w:b/>
                <w:color w:val="333333"/>
                <w:sz w:val="18"/>
              </w:rPr>
              <w:t>ATLAUTLA</w:t>
            </w:r>
          </w:p>
        </w:tc>
        <w:tc>
          <w:tcPr>
            <w:tcW w:w="589" w:type="dxa"/>
          </w:tcPr>
          <w:p>
            <w:pPr>
              <w:pStyle w:val="TableParagraph"/>
              <w:spacing w:line="206" w:lineRule="exact"/>
              <w:ind w:right="236"/>
              <w:jc w:val="right"/>
              <w:rPr>
                <w:sz w:val="18"/>
              </w:rPr>
            </w:pPr>
            <w:r>
              <w:rPr>
                <w:w w:val="99"/>
                <w:sz w:val="18"/>
              </w:rPr>
              <w:t>0</w:t>
            </w:r>
          </w:p>
        </w:tc>
        <w:tc>
          <w:tcPr>
            <w:tcW w:w="588" w:type="dxa"/>
          </w:tcPr>
          <w:p>
            <w:pPr>
              <w:pStyle w:val="TableParagraph"/>
              <w:spacing w:line="206" w:lineRule="exact"/>
              <w:ind w:right="1"/>
              <w:rPr>
                <w:sz w:val="18"/>
              </w:rPr>
            </w:pPr>
            <w:r>
              <w:rPr>
                <w:w w:val="99"/>
                <w:sz w:val="18"/>
              </w:rPr>
              <w:t>0</w:t>
            </w:r>
          </w:p>
        </w:tc>
        <w:tc>
          <w:tcPr>
            <w:tcW w:w="475" w:type="dxa"/>
          </w:tcPr>
          <w:p>
            <w:pPr>
              <w:pStyle w:val="TableParagraph"/>
              <w:spacing w:line="206" w:lineRule="exact"/>
              <w:rPr>
                <w:sz w:val="18"/>
              </w:rPr>
            </w:pPr>
            <w:r>
              <w:rPr>
                <w:w w:val="99"/>
                <w:sz w:val="18"/>
              </w:rPr>
              <w:t>0</w:t>
            </w:r>
          </w:p>
        </w:tc>
        <w:tc>
          <w:tcPr>
            <w:tcW w:w="473" w:type="dxa"/>
          </w:tcPr>
          <w:p>
            <w:pPr>
              <w:pStyle w:val="TableParagraph"/>
              <w:spacing w:line="206" w:lineRule="exact"/>
              <w:ind w:left="1"/>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4"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75" w:type="dxa"/>
          </w:tcPr>
          <w:p>
            <w:pPr>
              <w:pStyle w:val="TableParagraph"/>
              <w:spacing w:line="206" w:lineRule="exact"/>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rPr>
                <w:b/>
                <w:sz w:val="18"/>
              </w:rPr>
            </w:pPr>
            <w:r>
              <w:rPr>
                <w:b/>
                <w:w w:val="99"/>
                <w:sz w:val="18"/>
              </w:rPr>
              <w:t>0</w:t>
            </w:r>
          </w:p>
        </w:tc>
      </w:tr>
      <w:tr>
        <w:trPr>
          <w:trHeight w:val="322" w:hRule="exact"/>
        </w:trPr>
        <w:tc>
          <w:tcPr>
            <w:tcW w:w="3000" w:type="dxa"/>
            <w:tcBorders>
              <w:left w:val="single" w:sz="8" w:space="0" w:color="000000"/>
            </w:tcBorders>
          </w:tcPr>
          <w:p>
            <w:pPr>
              <w:pStyle w:val="TableParagraph"/>
              <w:spacing w:line="201" w:lineRule="exact"/>
              <w:ind w:left="62"/>
              <w:jc w:val="left"/>
              <w:rPr>
                <w:b/>
                <w:sz w:val="18"/>
              </w:rPr>
            </w:pPr>
            <w:r>
              <w:rPr>
                <w:b/>
                <w:color w:val="333333"/>
                <w:sz w:val="18"/>
              </w:rPr>
              <w:t>AXAPUSCO</w:t>
            </w:r>
          </w:p>
        </w:tc>
        <w:tc>
          <w:tcPr>
            <w:tcW w:w="589" w:type="dxa"/>
          </w:tcPr>
          <w:p>
            <w:pPr>
              <w:pStyle w:val="TableParagraph"/>
              <w:spacing w:line="206" w:lineRule="exact"/>
              <w:ind w:right="236"/>
              <w:jc w:val="right"/>
              <w:rPr>
                <w:sz w:val="18"/>
              </w:rPr>
            </w:pPr>
            <w:r>
              <w:rPr>
                <w:w w:val="99"/>
                <w:sz w:val="18"/>
              </w:rPr>
              <w:t>0</w:t>
            </w:r>
          </w:p>
        </w:tc>
        <w:tc>
          <w:tcPr>
            <w:tcW w:w="588" w:type="dxa"/>
          </w:tcPr>
          <w:p>
            <w:pPr>
              <w:pStyle w:val="TableParagraph"/>
              <w:spacing w:line="206" w:lineRule="exact"/>
              <w:ind w:right="1"/>
              <w:rPr>
                <w:sz w:val="18"/>
              </w:rPr>
            </w:pPr>
            <w:r>
              <w:rPr>
                <w:w w:val="99"/>
                <w:sz w:val="18"/>
              </w:rPr>
              <w:t>0</w:t>
            </w:r>
          </w:p>
        </w:tc>
        <w:tc>
          <w:tcPr>
            <w:tcW w:w="475" w:type="dxa"/>
          </w:tcPr>
          <w:p>
            <w:pPr>
              <w:pStyle w:val="TableParagraph"/>
              <w:spacing w:line="206" w:lineRule="exact"/>
              <w:rPr>
                <w:sz w:val="18"/>
              </w:rPr>
            </w:pPr>
            <w:r>
              <w:rPr>
                <w:w w:val="99"/>
                <w:sz w:val="18"/>
              </w:rPr>
              <w:t>0</w:t>
            </w:r>
          </w:p>
        </w:tc>
        <w:tc>
          <w:tcPr>
            <w:tcW w:w="473" w:type="dxa"/>
          </w:tcPr>
          <w:p>
            <w:pPr>
              <w:pStyle w:val="TableParagraph"/>
              <w:spacing w:line="206" w:lineRule="exact"/>
              <w:ind w:left="1"/>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4"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75" w:type="dxa"/>
          </w:tcPr>
          <w:p>
            <w:pPr>
              <w:pStyle w:val="TableParagraph"/>
              <w:spacing w:line="206" w:lineRule="exact"/>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rPr>
                <w:b/>
                <w:sz w:val="18"/>
              </w:rPr>
            </w:pPr>
            <w:r>
              <w:rPr>
                <w:b/>
                <w:w w:val="99"/>
                <w:sz w:val="18"/>
              </w:rPr>
              <w:t>0</w:t>
            </w:r>
          </w:p>
        </w:tc>
      </w:tr>
      <w:tr>
        <w:trPr>
          <w:trHeight w:val="319" w:hRule="exact"/>
        </w:trPr>
        <w:tc>
          <w:tcPr>
            <w:tcW w:w="3000" w:type="dxa"/>
            <w:tcBorders>
              <w:left w:val="single" w:sz="8" w:space="0" w:color="000000"/>
            </w:tcBorders>
          </w:tcPr>
          <w:p>
            <w:pPr>
              <w:pStyle w:val="TableParagraph"/>
              <w:spacing w:line="201" w:lineRule="exact"/>
              <w:ind w:left="62"/>
              <w:jc w:val="left"/>
              <w:rPr>
                <w:b/>
                <w:sz w:val="18"/>
              </w:rPr>
            </w:pPr>
            <w:r>
              <w:rPr>
                <w:b/>
                <w:color w:val="333333"/>
                <w:sz w:val="18"/>
              </w:rPr>
              <w:t>AYAPANGO</w:t>
            </w:r>
          </w:p>
        </w:tc>
        <w:tc>
          <w:tcPr>
            <w:tcW w:w="589" w:type="dxa"/>
          </w:tcPr>
          <w:p>
            <w:pPr>
              <w:pStyle w:val="TableParagraph"/>
              <w:spacing w:line="206" w:lineRule="exact"/>
              <w:ind w:right="236"/>
              <w:jc w:val="right"/>
              <w:rPr>
                <w:sz w:val="18"/>
              </w:rPr>
            </w:pPr>
            <w:r>
              <w:rPr>
                <w:w w:val="99"/>
                <w:sz w:val="18"/>
              </w:rPr>
              <w:t>0</w:t>
            </w:r>
          </w:p>
        </w:tc>
        <w:tc>
          <w:tcPr>
            <w:tcW w:w="588" w:type="dxa"/>
          </w:tcPr>
          <w:p>
            <w:pPr>
              <w:pStyle w:val="TableParagraph"/>
              <w:spacing w:line="206" w:lineRule="exact"/>
              <w:ind w:right="1"/>
              <w:rPr>
                <w:sz w:val="18"/>
              </w:rPr>
            </w:pPr>
            <w:r>
              <w:rPr>
                <w:w w:val="99"/>
                <w:sz w:val="18"/>
              </w:rPr>
              <w:t>0</w:t>
            </w:r>
          </w:p>
        </w:tc>
        <w:tc>
          <w:tcPr>
            <w:tcW w:w="475" w:type="dxa"/>
          </w:tcPr>
          <w:p>
            <w:pPr>
              <w:pStyle w:val="TableParagraph"/>
              <w:spacing w:line="206" w:lineRule="exact"/>
              <w:rPr>
                <w:sz w:val="18"/>
              </w:rPr>
            </w:pPr>
            <w:r>
              <w:rPr>
                <w:w w:val="99"/>
                <w:sz w:val="18"/>
              </w:rPr>
              <w:t>0</w:t>
            </w:r>
          </w:p>
        </w:tc>
        <w:tc>
          <w:tcPr>
            <w:tcW w:w="473" w:type="dxa"/>
          </w:tcPr>
          <w:p>
            <w:pPr>
              <w:pStyle w:val="TableParagraph"/>
              <w:spacing w:line="206" w:lineRule="exact"/>
              <w:ind w:left="1"/>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4"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75" w:type="dxa"/>
          </w:tcPr>
          <w:p>
            <w:pPr>
              <w:pStyle w:val="TableParagraph"/>
              <w:spacing w:line="206" w:lineRule="exact"/>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rPr>
                <w:b/>
                <w:sz w:val="18"/>
              </w:rPr>
            </w:pPr>
            <w:r>
              <w:rPr>
                <w:b/>
                <w:w w:val="99"/>
                <w:sz w:val="18"/>
              </w:rPr>
              <w:t>0</w:t>
            </w:r>
          </w:p>
        </w:tc>
      </w:tr>
      <w:tr>
        <w:trPr>
          <w:trHeight w:val="322" w:hRule="exact"/>
        </w:trPr>
        <w:tc>
          <w:tcPr>
            <w:tcW w:w="3000" w:type="dxa"/>
            <w:tcBorders>
              <w:left w:val="single" w:sz="8" w:space="0" w:color="000000"/>
            </w:tcBorders>
          </w:tcPr>
          <w:p>
            <w:pPr>
              <w:pStyle w:val="TableParagraph"/>
              <w:spacing w:line="201" w:lineRule="exact"/>
              <w:ind w:left="62"/>
              <w:jc w:val="left"/>
              <w:rPr>
                <w:b/>
                <w:sz w:val="18"/>
              </w:rPr>
            </w:pPr>
            <w:r>
              <w:rPr>
                <w:b/>
                <w:color w:val="333333"/>
                <w:sz w:val="18"/>
              </w:rPr>
              <w:t>CALIMAYA</w:t>
            </w:r>
          </w:p>
        </w:tc>
        <w:tc>
          <w:tcPr>
            <w:tcW w:w="589" w:type="dxa"/>
          </w:tcPr>
          <w:p>
            <w:pPr>
              <w:pStyle w:val="TableParagraph"/>
              <w:spacing w:line="206" w:lineRule="exact"/>
              <w:ind w:right="236"/>
              <w:jc w:val="right"/>
              <w:rPr>
                <w:sz w:val="18"/>
              </w:rPr>
            </w:pPr>
            <w:r>
              <w:rPr>
                <w:w w:val="99"/>
                <w:sz w:val="18"/>
              </w:rPr>
              <w:t>0</w:t>
            </w:r>
          </w:p>
        </w:tc>
        <w:tc>
          <w:tcPr>
            <w:tcW w:w="588" w:type="dxa"/>
          </w:tcPr>
          <w:p>
            <w:pPr>
              <w:pStyle w:val="TableParagraph"/>
              <w:spacing w:line="206" w:lineRule="exact"/>
              <w:ind w:right="1"/>
              <w:rPr>
                <w:sz w:val="18"/>
              </w:rPr>
            </w:pPr>
            <w:r>
              <w:rPr>
                <w:w w:val="99"/>
                <w:sz w:val="18"/>
              </w:rPr>
              <w:t>0</w:t>
            </w:r>
          </w:p>
        </w:tc>
        <w:tc>
          <w:tcPr>
            <w:tcW w:w="475" w:type="dxa"/>
          </w:tcPr>
          <w:p>
            <w:pPr>
              <w:pStyle w:val="TableParagraph"/>
              <w:spacing w:line="206" w:lineRule="exact"/>
              <w:rPr>
                <w:sz w:val="18"/>
              </w:rPr>
            </w:pPr>
            <w:r>
              <w:rPr>
                <w:w w:val="99"/>
                <w:sz w:val="18"/>
              </w:rPr>
              <w:t>6</w:t>
            </w:r>
          </w:p>
        </w:tc>
        <w:tc>
          <w:tcPr>
            <w:tcW w:w="473" w:type="dxa"/>
          </w:tcPr>
          <w:p>
            <w:pPr>
              <w:pStyle w:val="TableParagraph"/>
              <w:spacing w:line="206" w:lineRule="exact"/>
              <w:ind w:left="62" w:right="60"/>
              <w:rPr>
                <w:sz w:val="18"/>
              </w:rPr>
            </w:pPr>
            <w:r>
              <w:rPr>
                <w:sz w:val="18"/>
              </w:rPr>
              <w:t>39</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4" w:type="dxa"/>
          </w:tcPr>
          <w:p>
            <w:pPr>
              <w:pStyle w:val="TableParagraph"/>
              <w:spacing w:line="206" w:lineRule="exact"/>
              <w:rPr>
                <w:sz w:val="18"/>
              </w:rPr>
            </w:pPr>
            <w:r>
              <w:rPr>
                <w:w w:val="99"/>
                <w:sz w:val="18"/>
              </w:rPr>
              <w:t>0</w:t>
            </w:r>
          </w:p>
        </w:tc>
        <w:tc>
          <w:tcPr>
            <w:tcW w:w="475" w:type="dxa"/>
          </w:tcPr>
          <w:p>
            <w:pPr>
              <w:pStyle w:val="TableParagraph"/>
              <w:spacing w:line="206" w:lineRule="exact"/>
              <w:ind w:right="127"/>
              <w:jc w:val="right"/>
              <w:rPr>
                <w:sz w:val="18"/>
              </w:rPr>
            </w:pPr>
            <w:r>
              <w:rPr>
                <w:w w:val="95"/>
                <w:sz w:val="18"/>
              </w:rPr>
              <w:t>45</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75" w:type="dxa"/>
          </w:tcPr>
          <w:p>
            <w:pPr>
              <w:pStyle w:val="TableParagraph"/>
              <w:spacing w:line="206" w:lineRule="exact"/>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rPr>
                <w:b/>
                <w:sz w:val="18"/>
              </w:rPr>
            </w:pPr>
            <w:r>
              <w:rPr>
                <w:b/>
                <w:w w:val="99"/>
                <w:sz w:val="18"/>
              </w:rPr>
              <w:t>0</w:t>
            </w:r>
          </w:p>
        </w:tc>
      </w:tr>
      <w:tr>
        <w:trPr>
          <w:trHeight w:val="319" w:hRule="exact"/>
        </w:trPr>
        <w:tc>
          <w:tcPr>
            <w:tcW w:w="3000" w:type="dxa"/>
            <w:tcBorders>
              <w:left w:val="single" w:sz="8" w:space="0" w:color="000000"/>
            </w:tcBorders>
          </w:tcPr>
          <w:p>
            <w:pPr>
              <w:pStyle w:val="TableParagraph"/>
              <w:spacing w:line="201" w:lineRule="exact"/>
              <w:ind w:left="62"/>
              <w:jc w:val="left"/>
              <w:rPr>
                <w:b/>
                <w:sz w:val="18"/>
              </w:rPr>
            </w:pPr>
            <w:r>
              <w:rPr>
                <w:b/>
                <w:color w:val="333333"/>
                <w:sz w:val="18"/>
              </w:rPr>
              <w:t>CAPULHUAC</w:t>
            </w:r>
          </w:p>
        </w:tc>
        <w:tc>
          <w:tcPr>
            <w:tcW w:w="589" w:type="dxa"/>
          </w:tcPr>
          <w:p>
            <w:pPr>
              <w:pStyle w:val="TableParagraph"/>
              <w:spacing w:line="206" w:lineRule="exact"/>
              <w:ind w:right="236"/>
              <w:jc w:val="right"/>
              <w:rPr>
                <w:sz w:val="18"/>
              </w:rPr>
            </w:pPr>
            <w:r>
              <w:rPr>
                <w:w w:val="99"/>
                <w:sz w:val="18"/>
              </w:rPr>
              <w:t>0</w:t>
            </w:r>
          </w:p>
        </w:tc>
        <w:tc>
          <w:tcPr>
            <w:tcW w:w="588" w:type="dxa"/>
          </w:tcPr>
          <w:p>
            <w:pPr>
              <w:pStyle w:val="TableParagraph"/>
              <w:spacing w:line="206" w:lineRule="exact"/>
              <w:ind w:right="1"/>
              <w:rPr>
                <w:sz w:val="18"/>
              </w:rPr>
            </w:pPr>
            <w:r>
              <w:rPr>
                <w:w w:val="99"/>
                <w:sz w:val="18"/>
              </w:rPr>
              <w:t>0</w:t>
            </w:r>
          </w:p>
        </w:tc>
        <w:tc>
          <w:tcPr>
            <w:tcW w:w="475" w:type="dxa"/>
          </w:tcPr>
          <w:p>
            <w:pPr>
              <w:pStyle w:val="TableParagraph"/>
              <w:spacing w:line="206" w:lineRule="exact"/>
              <w:rPr>
                <w:sz w:val="18"/>
              </w:rPr>
            </w:pPr>
            <w:r>
              <w:rPr>
                <w:w w:val="99"/>
                <w:sz w:val="18"/>
              </w:rPr>
              <w:t>0</w:t>
            </w:r>
          </w:p>
        </w:tc>
        <w:tc>
          <w:tcPr>
            <w:tcW w:w="473" w:type="dxa"/>
          </w:tcPr>
          <w:p>
            <w:pPr>
              <w:pStyle w:val="TableParagraph"/>
              <w:spacing w:line="206" w:lineRule="exact"/>
              <w:ind w:left="1"/>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3"/>
              <w:rPr>
                <w:sz w:val="18"/>
              </w:rPr>
            </w:pPr>
            <w:r>
              <w:rPr>
                <w:w w:val="99"/>
                <w:sz w:val="18"/>
              </w:rPr>
              <w:t>0</w:t>
            </w:r>
          </w:p>
        </w:tc>
        <w:tc>
          <w:tcPr>
            <w:tcW w:w="464" w:type="dxa"/>
          </w:tcPr>
          <w:p>
            <w:pPr>
              <w:pStyle w:val="TableParagraph"/>
              <w:spacing w:line="206" w:lineRule="exact"/>
              <w:rPr>
                <w:sz w:val="18"/>
              </w:rPr>
            </w:pPr>
            <w:r>
              <w:rPr>
                <w:w w:val="99"/>
                <w:sz w:val="18"/>
              </w:rPr>
              <w:t>0</w:t>
            </w:r>
          </w:p>
        </w:tc>
        <w:tc>
          <w:tcPr>
            <w:tcW w:w="475" w:type="dxa"/>
          </w:tcPr>
          <w:p>
            <w:pPr>
              <w:pStyle w:val="TableParagraph"/>
              <w:spacing w:line="206" w:lineRule="exact"/>
              <w:ind w:left="4"/>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5" w:type="dxa"/>
          </w:tcPr>
          <w:p>
            <w:pPr>
              <w:pStyle w:val="TableParagraph"/>
              <w:spacing w:line="206" w:lineRule="exact"/>
              <w:rPr>
                <w:sz w:val="18"/>
              </w:rPr>
            </w:pPr>
            <w:r>
              <w:rPr>
                <w:w w:val="99"/>
                <w:sz w:val="18"/>
              </w:rPr>
              <w:t>0</w:t>
            </w:r>
          </w:p>
        </w:tc>
        <w:tc>
          <w:tcPr>
            <w:tcW w:w="475" w:type="dxa"/>
          </w:tcPr>
          <w:p>
            <w:pPr>
              <w:pStyle w:val="TableParagraph"/>
              <w:spacing w:line="206" w:lineRule="exact"/>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ind w:left="175"/>
              <w:jc w:val="left"/>
              <w:rPr>
                <w:sz w:val="18"/>
              </w:rPr>
            </w:pPr>
            <w:r>
              <w:rPr>
                <w:w w:val="99"/>
                <w:sz w:val="18"/>
              </w:rPr>
              <w:t>0</w:t>
            </w:r>
          </w:p>
        </w:tc>
        <w:tc>
          <w:tcPr>
            <w:tcW w:w="475" w:type="dxa"/>
          </w:tcPr>
          <w:p>
            <w:pPr>
              <w:pStyle w:val="TableParagraph"/>
              <w:spacing w:line="201" w:lineRule="exact"/>
              <w:rPr>
                <w:b/>
                <w:sz w:val="18"/>
              </w:rPr>
            </w:pPr>
            <w:r>
              <w:rPr>
                <w:b/>
                <w:w w:val="99"/>
                <w:sz w:val="18"/>
              </w:rPr>
              <w:t>0</w:t>
            </w:r>
          </w:p>
        </w:tc>
      </w:tr>
    </w:tbl>
    <w:p>
      <w:pPr>
        <w:spacing w:after="0" w:line="201" w:lineRule="exact"/>
        <w:rPr>
          <w:sz w:val="18"/>
        </w:rPr>
        <w:sectPr>
          <w:pgSz w:w="15840" w:h="12240" w:orient="landscape"/>
          <w:pgMar w:header="0" w:footer="975" w:top="1140" w:bottom="1160" w:left="2000" w:right="1920"/>
        </w:sectPr>
      </w:pPr>
    </w:p>
    <w:p>
      <w:pPr>
        <w:pStyle w:val="BodyText"/>
        <w:rPr>
          <w:rFonts w:ascii="Times New Roman"/>
          <w:sz w:val="20"/>
        </w:rPr>
      </w:pPr>
    </w:p>
    <w:p>
      <w:pPr>
        <w:pStyle w:val="BodyText"/>
        <w:spacing w:before="10"/>
        <w:rPr>
          <w:rFonts w:ascii="Times New Roman"/>
          <w:sz w:val="28"/>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00"/>
        <w:gridCol w:w="588"/>
        <w:gridCol w:w="589"/>
        <w:gridCol w:w="475"/>
        <w:gridCol w:w="473"/>
        <w:gridCol w:w="466"/>
        <w:gridCol w:w="466"/>
        <w:gridCol w:w="466"/>
        <w:gridCol w:w="463"/>
        <w:gridCol w:w="476"/>
        <w:gridCol w:w="466"/>
        <w:gridCol w:w="466"/>
        <w:gridCol w:w="475"/>
        <w:gridCol w:w="475"/>
        <w:gridCol w:w="463"/>
        <w:gridCol w:w="466"/>
        <w:gridCol w:w="466"/>
        <w:gridCol w:w="466"/>
        <w:gridCol w:w="475"/>
      </w:tblGrid>
      <w:tr>
        <w:trPr>
          <w:trHeight w:val="319" w:hRule="exact"/>
        </w:trPr>
        <w:tc>
          <w:tcPr>
            <w:tcW w:w="11678" w:type="dxa"/>
            <w:gridSpan w:val="19"/>
            <w:shd w:val="clear" w:color="auto" w:fill="C5DFB3"/>
          </w:tcPr>
          <w:p>
            <w:pPr>
              <w:pStyle w:val="TableParagraph"/>
              <w:spacing w:line="201" w:lineRule="exact"/>
              <w:ind w:left="1793"/>
              <w:jc w:val="left"/>
              <w:rPr>
                <w:b/>
                <w:sz w:val="18"/>
              </w:rPr>
            </w:pPr>
            <w:r>
              <w:rPr>
                <w:b/>
                <w:sz w:val="18"/>
              </w:rPr>
              <w:t>Anexo 26B. Municipios que publican apartado licitaciones de bienes 2014-2015 (Continuación)</w:t>
            </w:r>
          </w:p>
        </w:tc>
      </w:tr>
      <w:tr>
        <w:trPr>
          <w:trHeight w:val="322" w:hRule="exact"/>
        </w:trPr>
        <w:tc>
          <w:tcPr>
            <w:tcW w:w="3000" w:type="dxa"/>
            <w:vMerge w:val="restart"/>
            <w:shd w:val="clear" w:color="auto" w:fill="C5DFB3"/>
          </w:tcPr>
          <w:p>
            <w:pPr>
              <w:pStyle w:val="TableParagraph"/>
              <w:jc w:val="left"/>
              <w:rPr>
                <w:rFonts w:ascii="Times New Roman"/>
                <w:sz w:val="18"/>
              </w:rPr>
            </w:pPr>
          </w:p>
          <w:p>
            <w:pPr>
              <w:pStyle w:val="TableParagraph"/>
              <w:jc w:val="left"/>
              <w:rPr>
                <w:rFonts w:ascii="Times New Roman"/>
                <w:sz w:val="18"/>
              </w:rPr>
            </w:pPr>
          </w:p>
          <w:p>
            <w:pPr>
              <w:pStyle w:val="TableParagraph"/>
              <w:jc w:val="left"/>
              <w:rPr>
                <w:rFonts w:ascii="Times New Roman"/>
                <w:sz w:val="18"/>
              </w:rPr>
            </w:pPr>
          </w:p>
          <w:p>
            <w:pPr>
              <w:pStyle w:val="TableParagraph"/>
              <w:spacing w:before="8"/>
              <w:jc w:val="left"/>
              <w:rPr>
                <w:rFonts w:ascii="Times New Roman"/>
                <w:sz w:val="22"/>
              </w:rPr>
            </w:pPr>
          </w:p>
          <w:p>
            <w:pPr>
              <w:pStyle w:val="TableParagraph"/>
              <w:ind w:left="1058" w:right="1052"/>
              <w:rPr>
                <w:b/>
                <w:sz w:val="18"/>
              </w:rPr>
            </w:pPr>
            <w:r>
              <w:rPr>
                <w:b/>
                <w:sz w:val="18"/>
              </w:rPr>
              <w:t>Municipio</w:t>
            </w:r>
          </w:p>
        </w:tc>
        <w:tc>
          <w:tcPr>
            <w:tcW w:w="4460" w:type="dxa"/>
            <w:gridSpan w:val="9"/>
            <w:shd w:val="clear" w:color="auto" w:fill="C5DFB3"/>
          </w:tcPr>
          <w:p>
            <w:pPr>
              <w:pStyle w:val="TableParagraph"/>
              <w:spacing w:line="201" w:lineRule="exact"/>
              <w:ind w:left="2006" w:right="2002"/>
              <w:rPr>
                <w:b/>
                <w:sz w:val="18"/>
              </w:rPr>
            </w:pPr>
            <w:r>
              <w:rPr>
                <w:b/>
                <w:sz w:val="18"/>
              </w:rPr>
              <w:t>2014</w:t>
            </w:r>
          </w:p>
        </w:tc>
        <w:tc>
          <w:tcPr>
            <w:tcW w:w="4217" w:type="dxa"/>
            <w:gridSpan w:val="9"/>
            <w:shd w:val="clear" w:color="auto" w:fill="C5DFB3"/>
          </w:tcPr>
          <w:p>
            <w:pPr>
              <w:pStyle w:val="TableParagraph"/>
              <w:spacing w:line="201" w:lineRule="exact"/>
              <w:ind w:left="1884" w:right="1883"/>
              <w:rPr>
                <w:b/>
                <w:sz w:val="18"/>
              </w:rPr>
            </w:pPr>
            <w:r>
              <w:rPr>
                <w:b/>
                <w:sz w:val="18"/>
              </w:rPr>
              <w:t>2015</w:t>
            </w:r>
          </w:p>
        </w:tc>
      </w:tr>
      <w:tr>
        <w:trPr>
          <w:trHeight w:val="1772" w:hRule="exact"/>
        </w:trPr>
        <w:tc>
          <w:tcPr>
            <w:tcW w:w="3000" w:type="dxa"/>
            <w:vMerge/>
            <w:shd w:val="clear" w:color="auto" w:fill="C5DFB3"/>
          </w:tcPr>
          <w:p>
            <w:pPr/>
          </w:p>
        </w:tc>
        <w:tc>
          <w:tcPr>
            <w:tcW w:w="588" w:type="dxa"/>
            <w:shd w:val="clear" w:color="auto" w:fill="C5DFB3"/>
            <w:textDirection w:val="btLr"/>
          </w:tcPr>
          <w:p>
            <w:pPr>
              <w:pStyle w:val="TableParagraph"/>
              <w:spacing w:before="9"/>
              <w:jc w:val="left"/>
              <w:rPr>
                <w:rFonts w:ascii="Times New Roman"/>
                <w:sz w:val="16"/>
              </w:rPr>
            </w:pPr>
          </w:p>
          <w:p>
            <w:pPr>
              <w:pStyle w:val="TableParagraph"/>
              <w:ind w:left="-1"/>
              <w:jc w:val="left"/>
              <w:rPr>
                <w:b/>
                <w:sz w:val="18"/>
              </w:rPr>
            </w:pPr>
            <w:r>
              <w:rPr>
                <w:b/>
                <w:w w:val="100"/>
                <w:sz w:val="18"/>
              </w:rPr>
              <w:t>Li</w:t>
            </w:r>
            <w:r>
              <w:rPr>
                <w:b/>
                <w:w w:val="99"/>
                <w:sz w:val="18"/>
              </w:rPr>
              <w:t>c</w:t>
            </w:r>
            <w:r>
              <w:rPr>
                <w:b/>
                <w:w w:val="100"/>
                <w:sz w:val="18"/>
              </w:rPr>
              <w:t>it.</w:t>
            </w:r>
            <w:r>
              <w:rPr>
                <w:b/>
                <w:sz w:val="18"/>
              </w:rPr>
              <w:t> </w:t>
            </w:r>
            <w:r>
              <w:rPr>
                <w:b/>
                <w:w w:val="100"/>
                <w:sz w:val="18"/>
              </w:rPr>
              <w:t>Pu</w:t>
            </w:r>
            <w:r>
              <w:rPr>
                <w:b/>
                <w:spacing w:val="-2"/>
                <w:w w:val="100"/>
                <w:sz w:val="18"/>
              </w:rPr>
              <w:t>b</w:t>
            </w:r>
            <w:r>
              <w:rPr>
                <w:b/>
                <w:w w:val="100"/>
                <w:sz w:val="18"/>
              </w:rPr>
              <w:t>l</w:t>
            </w:r>
          </w:p>
        </w:tc>
        <w:tc>
          <w:tcPr>
            <w:tcW w:w="589" w:type="dxa"/>
            <w:shd w:val="clear" w:color="auto" w:fill="C5DFB3"/>
            <w:textDirection w:val="btLr"/>
          </w:tcPr>
          <w:p>
            <w:pPr>
              <w:pStyle w:val="TableParagraph"/>
              <w:spacing w:before="10"/>
              <w:jc w:val="left"/>
              <w:rPr>
                <w:rFonts w:ascii="Times New Roman"/>
                <w:sz w:val="16"/>
              </w:rPr>
            </w:pPr>
          </w:p>
          <w:p>
            <w:pPr>
              <w:pStyle w:val="TableParagraph"/>
              <w:ind w:left="-1"/>
              <w:jc w:val="left"/>
              <w:rPr>
                <w:b/>
                <w:sz w:val="18"/>
              </w:rPr>
            </w:pPr>
            <w:r>
              <w:rPr>
                <w:b/>
                <w:w w:val="100"/>
                <w:sz w:val="18"/>
              </w:rPr>
              <w:t>In</w:t>
            </w:r>
            <w:r>
              <w:rPr>
                <w:b/>
                <w:w w:val="99"/>
                <w:sz w:val="18"/>
              </w:rPr>
              <w:t>v</w:t>
            </w:r>
            <w:r>
              <w:rPr>
                <w:b/>
                <w:w w:val="100"/>
                <w:sz w:val="18"/>
              </w:rPr>
              <w:t>.</w:t>
            </w:r>
            <w:r>
              <w:rPr>
                <w:b/>
                <w:sz w:val="18"/>
              </w:rPr>
              <w:t> </w:t>
            </w:r>
            <w:r>
              <w:rPr>
                <w:b/>
                <w:w w:val="99"/>
                <w:sz w:val="18"/>
              </w:rPr>
              <w:t>Res</w:t>
            </w:r>
            <w:r>
              <w:rPr>
                <w:b/>
                <w:sz w:val="18"/>
              </w:rPr>
              <w:t>tr.</w:t>
            </w:r>
          </w:p>
        </w:tc>
        <w:tc>
          <w:tcPr>
            <w:tcW w:w="475" w:type="dxa"/>
            <w:shd w:val="clear" w:color="auto" w:fill="C5DFB3"/>
            <w:textDirection w:val="btLr"/>
          </w:tcPr>
          <w:p>
            <w:pPr>
              <w:pStyle w:val="TableParagraph"/>
              <w:spacing w:before="80"/>
              <w:ind w:left="-1"/>
              <w:jc w:val="left"/>
              <w:rPr>
                <w:b/>
                <w:sz w:val="18"/>
              </w:rPr>
            </w:pPr>
            <w:r>
              <w:rPr>
                <w:b/>
                <w:w w:val="100"/>
                <w:sz w:val="18"/>
              </w:rPr>
              <w:t>Adj.</w:t>
            </w:r>
            <w:r>
              <w:rPr>
                <w:b/>
                <w:sz w:val="18"/>
              </w:rPr>
              <w:t> </w:t>
            </w:r>
            <w:r>
              <w:rPr>
                <w:b/>
                <w:w w:val="99"/>
                <w:sz w:val="18"/>
              </w:rPr>
              <w:t>Dire</w:t>
            </w:r>
            <w:r>
              <w:rPr>
                <w:b/>
                <w:w w:val="99"/>
                <w:sz w:val="18"/>
              </w:rPr>
              <w:t>c</w:t>
            </w:r>
            <w:r>
              <w:rPr>
                <w:b/>
                <w:w w:val="100"/>
                <w:sz w:val="18"/>
              </w:rPr>
              <w:t>t.</w:t>
            </w:r>
          </w:p>
        </w:tc>
        <w:tc>
          <w:tcPr>
            <w:tcW w:w="473" w:type="dxa"/>
            <w:shd w:val="clear" w:color="auto" w:fill="C5DFB3"/>
            <w:textDirection w:val="btLr"/>
          </w:tcPr>
          <w:p>
            <w:pPr>
              <w:pStyle w:val="TableParagraph"/>
              <w:spacing w:before="80"/>
              <w:ind w:left="-1"/>
              <w:jc w:val="left"/>
              <w:rPr>
                <w:b/>
                <w:sz w:val="18"/>
              </w:rPr>
            </w:pPr>
            <w:r>
              <w:rPr>
                <w:b/>
                <w:w w:val="100"/>
                <w:sz w:val="18"/>
              </w:rPr>
              <w:t>Adq.</w:t>
            </w:r>
            <w:r>
              <w:rPr>
                <w:b/>
                <w:sz w:val="18"/>
              </w:rPr>
              <w:t> </w:t>
            </w:r>
            <w:r>
              <w:rPr>
                <w:b/>
                <w:w w:val="99"/>
                <w:sz w:val="18"/>
              </w:rPr>
              <w:t>Dire</w:t>
            </w:r>
            <w:r>
              <w:rPr>
                <w:b/>
                <w:w w:val="99"/>
                <w:sz w:val="18"/>
              </w:rPr>
              <w:t>c</w:t>
            </w:r>
            <w:r>
              <w:rPr>
                <w:b/>
                <w:w w:val="99"/>
                <w:sz w:val="18"/>
              </w:rPr>
              <w:t>t</w:t>
            </w:r>
          </w:p>
        </w:tc>
        <w:tc>
          <w:tcPr>
            <w:tcW w:w="466" w:type="dxa"/>
            <w:shd w:val="clear" w:color="auto" w:fill="C5DFB3"/>
            <w:textDirection w:val="btLr"/>
          </w:tcPr>
          <w:p>
            <w:pPr>
              <w:pStyle w:val="TableParagraph"/>
              <w:spacing w:before="73"/>
              <w:ind w:left="-1"/>
              <w:jc w:val="left"/>
              <w:rPr>
                <w:b/>
                <w:sz w:val="18"/>
              </w:rPr>
            </w:pPr>
            <w:r>
              <w:rPr>
                <w:b/>
                <w:w w:val="100"/>
                <w:sz w:val="18"/>
              </w:rPr>
              <w:t>In</w:t>
            </w:r>
            <w:r>
              <w:rPr>
                <w:b/>
                <w:w w:val="99"/>
                <w:sz w:val="18"/>
              </w:rPr>
              <w:t>v</w:t>
            </w:r>
            <w:r>
              <w:rPr>
                <w:b/>
                <w:w w:val="100"/>
                <w:sz w:val="18"/>
              </w:rPr>
              <w:t>.</w:t>
            </w:r>
            <w:r>
              <w:rPr>
                <w:b/>
                <w:spacing w:val="1"/>
                <w:sz w:val="18"/>
              </w:rPr>
              <w:t> </w:t>
            </w:r>
            <w:r>
              <w:rPr>
                <w:b/>
                <w:w w:val="99"/>
                <w:sz w:val="18"/>
              </w:rPr>
              <w:t>A</w:t>
            </w:r>
            <w:r>
              <w:rPr>
                <w:b/>
                <w:sz w:val="18"/>
              </w:rPr>
              <w:t> </w:t>
            </w:r>
            <w:r>
              <w:rPr>
                <w:b/>
                <w:w w:val="99"/>
                <w:sz w:val="18"/>
              </w:rPr>
              <w:t>3</w:t>
            </w:r>
            <w:r>
              <w:rPr>
                <w:b/>
                <w:spacing w:val="-2"/>
                <w:sz w:val="18"/>
              </w:rPr>
              <w:t> </w:t>
            </w:r>
            <w:r>
              <w:rPr>
                <w:b/>
                <w:sz w:val="18"/>
              </w:rPr>
              <w:t>perso</w:t>
            </w:r>
            <w:r>
              <w:rPr>
                <w:b/>
                <w:spacing w:val="-2"/>
                <w:w w:val="100"/>
                <w:sz w:val="18"/>
              </w:rPr>
              <w:t>n</w:t>
            </w:r>
            <w:r>
              <w:rPr>
                <w:b/>
                <w:w w:val="99"/>
                <w:sz w:val="18"/>
              </w:rPr>
              <w:t>as</w:t>
            </w:r>
          </w:p>
        </w:tc>
        <w:tc>
          <w:tcPr>
            <w:tcW w:w="466" w:type="dxa"/>
            <w:shd w:val="clear" w:color="auto" w:fill="C5DFB3"/>
            <w:textDirection w:val="btLr"/>
          </w:tcPr>
          <w:p>
            <w:pPr>
              <w:pStyle w:val="TableParagraph"/>
              <w:spacing w:before="71"/>
              <w:ind w:left="-1"/>
              <w:jc w:val="left"/>
              <w:rPr>
                <w:b/>
                <w:sz w:val="18"/>
              </w:rPr>
            </w:pPr>
            <w:r>
              <w:rPr>
                <w:b/>
                <w:w w:val="99"/>
                <w:sz w:val="18"/>
              </w:rPr>
              <w:t>Compra</w:t>
            </w:r>
            <w:r>
              <w:rPr>
                <w:b/>
                <w:w w:val="99"/>
                <w:sz w:val="18"/>
              </w:rPr>
              <w:t>s</w:t>
            </w:r>
            <w:r>
              <w:rPr>
                <w:b/>
                <w:sz w:val="18"/>
              </w:rPr>
              <w:t> </w:t>
            </w:r>
            <w:r>
              <w:rPr>
                <w:b/>
                <w:spacing w:val="-2"/>
                <w:w w:val="99"/>
                <w:sz w:val="18"/>
              </w:rPr>
              <w:t>m</w:t>
            </w:r>
            <w:r>
              <w:rPr>
                <w:b/>
                <w:w w:val="99"/>
                <w:sz w:val="18"/>
              </w:rPr>
              <w:t>e</w:t>
            </w:r>
            <w:r>
              <w:rPr>
                <w:b/>
                <w:w w:val="100"/>
                <w:sz w:val="18"/>
              </w:rPr>
              <w:t>no</w:t>
            </w:r>
            <w:r>
              <w:rPr>
                <w:b/>
                <w:w w:val="99"/>
                <w:sz w:val="18"/>
              </w:rPr>
              <w:t>res</w:t>
            </w:r>
          </w:p>
        </w:tc>
        <w:tc>
          <w:tcPr>
            <w:tcW w:w="466" w:type="dxa"/>
            <w:shd w:val="clear" w:color="auto" w:fill="C5DFB3"/>
            <w:textDirection w:val="btLr"/>
          </w:tcPr>
          <w:p>
            <w:pPr>
              <w:pStyle w:val="TableParagraph"/>
              <w:spacing w:before="71"/>
              <w:ind w:left="-1"/>
              <w:jc w:val="left"/>
              <w:rPr>
                <w:b/>
                <w:sz w:val="18"/>
              </w:rPr>
            </w:pPr>
            <w:r>
              <w:rPr>
                <w:b/>
                <w:w w:val="100"/>
                <w:sz w:val="18"/>
              </w:rPr>
              <w:t>Cont</w:t>
            </w:r>
            <w:r>
              <w:rPr>
                <w:b/>
                <w:w w:val="99"/>
                <w:sz w:val="18"/>
              </w:rPr>
              <w:t>rato </w:t>
            </w:r>
            <w:r>
              <w:rPr>
                <w:b/>
                <w:w w:val="100"/>
                <w:sz w:val="18"/>
              </w:rPr>
              <w:t>p</w:t>
            </w:r>
            <w:r>
              <w:rPr>
                <w:b/>
                <w:w w:val="99"/>
                <w:sz w:val="18"/>
              </w:rPr>
              <w:t>e</w:t>
            </w:r>
            <w:r>
              <w:rPr>
                <w:b/>
                <w:w w:val="100"/>
                <w:sz w:val="18"/>
              </w:rPr>
              <w:t>d</w:t>
            </w:r>
            <w:r>
              <w:rPr>
                <w:b/>
                <w:spacing w:val="-2"/>
                <w:w w:val="100"/>
                <w:sz w:val="18"/>
              </w:rPr>
              <w:t>i</w:t>
            </w:r>
            <w:r>
              <w:rPr>
                <w:b/>
                <w:w w:val="100"/>
                <w:sz w:val="18"/>
              </w:rPr>
              <w:t>do</w:t>
            </w:r>
          </w:p>
        </w:tc>
        <w:tc>
          <w:tcPr>
            <w:tcW w:w="463" w:type="dxa"/>
            <w:shd w:val="clear" w:color="auto" w:fill="C5DFB3"/>
            <w:textDirection w:val="btLr"/>
          </w:tcPr>
          <w:p>
            <w:pPr>
              <w:pStyle w:val="TableParagraph"/>
              <w:spacing w:before="71"/>
              <w:ind w:left="-1"/>
              <w:jc w:val="left"/>
              <w:rPr>
                <w:b/>
                <w:sz w:val="18"/>
              </w:rPr>
            </w:pPr>
            <w:r>
              <w:rPr>
                <w:b/>
                <w:w w:val="99"/>
                <w:sz w:val="18"/>
              </w:rPr>
              <w:t>Compra</w:t>
            </w:r>
            <w:r>
              <w:rPr>
                <w:b/>
                <w:w w:val="99"/>
                <w:sz w:val="18"/>
              </w:rPr>
              <w:t>s</w:t>
            </w:r>
            <w:r>
              <w:rPr>
                <w:b/>
                <w:sz w:val="18"/>
              </w:rPr>
              <w:t> </w:t>
            </w:r>
            <w:r>
              <w:rPr>
                <w:b/>
                <w:spacing w:val="-2"/>
                <w:w w:val="99"/>
                <w:sz w:val="18"/>
              </w:rPr>
              <w:t>s</w:t>
            </w:r>
            <w:r>
              <w:rPr>
                <w:b/>
                <w:w w:val="100"/>
                <w:sz w:val="18"/>
              </w:rPr>
              <w:t>olid</w:t>
            </w:r>
            <w:r>
              <w:rPr>
                <w:b/>
                <w:w w:val="99"/>
                <w:sz w:val="18"/>
              </w:rPr>
              <w:t>a</w:t>
            </w:r>
            <w:r>
              <w:rPr>
                <w:b/>
                <w:w w:val="100"/>
                <w:sz w:val="18"/>
              </w:rPr>
              <w:t>r</w:t>
            </w:r>
            <w:r>
              <w:rPr>
                <w:b/>
                <w:spacing w:val="-3"/>
                <w:w w:val="100"/>
                <w:sz w:val="18"/>
              </w:rPr>
              <w:t>i</w:t>
            </w:r>
            <w:r>
              <w:rPr>
                <w:b/>
                <w:w w:val="99"/>
                <w:sz w:val="18"/>
              </w:rPr>
              <w:t>as</w:t>
            </w:r>
          </w:p>
        </w:tc>
        <w:tc>
          <w:tcPr>
            <w:tcW w:w="476" w:type="dxa"/>
            <w:shd w:val="clear" w:color="auto" w:fill="C5DFB3"/>
            <w:textDirection w:val="btLr"/>
          </w:tcPr>
          <w:p>
            <w:pPr>
              <w:pStyle w:val="TableParagraph"/>
              <w:spacing w:before="83"/>
              <w:ind w:left="-1"/>
              <w:jc w:val="left"/>
              <w:rPr>
                <w:b/>
                <w:sz w:val="18"/>
              </w:rPr>
            </w:pPr>
            <w:r>
              <w:rPr>
                <w:b/>
                <w:w w:val="100"/>
                <w:sz w:val="18"/>
              </w:rPr>
              <w:t>To</w:t>
            </w:r>
            <w:r>
              <w:rPr>
                <w:b/>
                <w:w w:val="99"/>
                <w:sz w:val="18"/>
              </w:rPr>
              <w:t>ta</w:t>
            </w:r>
            <w:r>
              <w:rPr>
                <w:b/>
                <w:w w:val="100"/>
                <w:sz w:val="18"/>
              </w:rPr>
              <w:t>l</w:t>
            </w:r>
          </w:p>
        </w:tc>
        <w:tc>
          <w:tcPr>
            <w:tcW w:w="466" w:type="dxa"/>
            <w:shd w:val="clear" w:color="auto" w:fill="C5DFB3"/>
            <w:textDirection w:val="btLr"/>
          </w:tcPr>
          <w:p>
            <w:pPr>
              <w:pStyle w:val="TableParagraph"/>
              <w:spacing w:before="71"/>
              <w:ind w:left="-1"/>
              <w:jc w:val="left"/>
              <w:rPr>
                <w:b/>
                <w:sz w:val="18"/>
              </w:rPr>
            </w:pPr>
            <w:r>
              <w:rPr>
                <w:b/>
                <w:w w:val="100"/>
                <w:sz w:val="18"/>
              </w:rPr>
              <w:t>Li</w:t>
            </w:r>
            <w:r>
              <w:rPr>
                <w:b/>
                <w:w w:val="99"/>
                <w:sz w:val="18"/>
              </w:rPr>
              <w:t>c</w:t>
            </w:r>
            <w:r>
              <w:rPr>
                <w:b/>
                <w:w w:val="100"/>
                <w:sz w:val="18"/>
              </w:rPr>
              <w:t>it.</w:t>
            </w:r>
            <w:r>
              <w:rPr>
                <w:b/>
                <w:sz w:val="18"/>
              </w:rPr>
              <w:t> </w:t>
            </w:r>
            <w:r>
              <w:rPr>
                <w:b/>
                <w:w w:val="100"/>
                <w:sz w:val="18"/>
              </w:rPr>
              <w:t>Pu</w:t>
            </w:r>
            <w:r>
              <w:rPr>
                <w:b/>
                <w:spacing w:val="-2"/>
                <w:w w:val="100"/>
                <w:sz w:val="18"/>
              </w:rPr>
              <w:t>b</w:t>
            </w:r>
            <w:r>
              <w:rPr>
                <w:b/>
                <w:w w:val="100"/>
                <w:sz w:val="18"/>
              </w:rPr>
              <w:t>l</w:t>
            </w:r>
          </w:p>
        </w:tc>
        <w:tc>
          <w:tcPr>
            <w:tcW w:w="466" w:type="dxa"/>
            <w:shd w:val="clear" w:color="auto" w:fill="C5DFB3"/>
            <w:textDirection w:val="btLr"/>
          </w:tcPr>
          <w:p>
            <w:pPr>
              <w:pStyle w:val="TableParagraph"/>
              <w:spacing w:before="71"/>
              <w:ind w:left="-1"/>
              <w:jc w:val="left"/>
              <w:rPr>
                <w:b/>
                <w:sz w:val="18"/>
              </w:rPr>
            </w:pPr>
            <w:r>
              <w:rPr>
                <w:b/>
                <w:w w:val="100"/>
                <w:sz w:val="18"/>
              </w:rPr>
              <w:t>In</w:t>
            </w:r>
            <w:r>
              <w:rPr>
                <w:b/>
                <w:w w:val="99"/>
                <w:sz w:val="18"/>
              </w:rPr>
              <w:t>v</w:t>
            </w:r>
            <w:r>
              <w:rPr>
                <w:b/>
                <w:w w:val="100"/>
                <w:sz w:val="18"/>
              </w:rPr>
              <w:t>.</w:t>
            </w:r>
            <w:r>
              <w:rPr>
                <w:b/>
                <w:sz w:val="18"/>
              </w:rPr>
              <w:t> </w:t>
            </w:r>
            <w:r>
              <w:rPr>
                <w:b/>
                <w:w w:val="99"/>
                <w:sz w:val="18"/>
              </w:rPr>
              <w:t>Res</w:t>
            </w:r>
            <w:r>
              <w:rPr>
                <w:b/>
                <w:sz w:val="18"/>
              </w:rPr>
              <w:t>tr.</w:t>
            </w:r>
          </w:p>
        </w:tc>
        <w:tc>
          <w:tcPr>
            <w:tcW w:w="475" w:type="dxa"/>
            <w:shd w:val="clear" w:color="auto" w:fill="C5DFB3"/>
            <w:textDirection w:val="btLr"/>
          </w:tcPr>
          <w:p>
            <w:pPr>
              <w:pStyle w:val="TableParagraph"/>
              <w:spacing w:before="80"/>
              <w:ind w:left="-1"/>
              <w:jc w:val="left"/>
              <w:rPr>
                <w:b/>
                <w:sz w:val="18"/>
              </w:rPr>
            </w:pPr>
            <w:r>
              <w:rPr>
                <w:b/>
                <w:w w:val="100"/>
                <w:sz w:val="18"/>
              </w:rPr>
              <w:t>Adj.</w:t>
            </w:r>
            <w:r>
              <w:rPr>
                <w:b/>
                <w:sz w:val="18"/>
              </w:rPr>
              <w:t> </w:t>
            </w:r>
            <w:r>
              <w:rPr>
                <w:b/>
                <w:w w:val="99"/>
                <w:sz w:val="18"/>
              </w:rPr>
              <w:t>Dire</w:t>
            </w:r>
            <w:r>
              <w:rPr>
                <w:b/>
                <w:w w:val="99"/>
                <w:sz w:val="18"/>
              </w:rPr>
              <w:t>c</w:t>
            </w:r>
            <w:r>
              <w:rPr>
                <w:b/>
                <w:w w:val="100"/>
                <w:sz w:val="18"/>
              </w:rPr>
              <w:t>t.</w:t>
            </w:r>
          </w:p>
        </w:tc>
        <w:tc>
          <w:tcPr>
            <w:tcW w:w="475" w:type="dxa"/>
            <w:shd w:val="clear" w:color="auto" w:fill="C5DFB3"/>
            <w:textDirection w:val="btLr"/>
          </w:tcPr>
          <w:p>
            <w:pPr>
              <w:pStyle w:val="TableParagraph"/>
              <w:spacing w:before="80"/>
              <w:ind w:left="-1"/>
              <w:jc w:val="left"/>
              <w:rPr>
                <w:b/>
                <w:sz w:val="18"/>
              </w:rPr>
            </w:pPr>
            <w:r>
              <w:rPr>
                <w:b/>
                <w:w w:val="100"/>
                <w:sz w:val="18"/>
              </w:rPr>
              <w:t>Adq.</w:t>
            </w:r>
            <w:r>
              <w:rPr>
                <w:b/>
                <w:sz w:val="18"/>
              </w:rPr>
              <w:t> </w:t>
            </w:r>
            <w:r>
              <w:rPr>
                <w:b/>
                <w:w w:val="99"/>
                <w:sz w:val="18"/>
              </w:rPr>
              <w:t>Dire</w:t>
            </w:r>
            <w:r>
              <w:rPr>
                <w:b/>
                <w:w w:val="99"/>
                <w:sz w:val="18"/>
              </w:rPr>
              <w:t>c</w:t>
            </w:r>
            <w:r>
              <w:rPr>
                <w:b/>
                <w:w w:val="99"/>
                <w:sz w:val="18"/>
              </w:rPr>
              <w:t>t</w:t>
            </w:r>
          </w:p>
        </w:tc>
        <w:tc>
          <w:tcPr>
            <w:tcW w:w="463" w:type="dxa"/>
            <w:shd w:val="clear" w:color="auto" w:fill="C5DFB3"/>
            <w:textDirection w:val="btLr"/>
          </w:tcPr>
          <w:p>
            <w:pPr>
              <w:pStyle w:val="TableParagraph"/>
              <w:spacing w:before="71"/>
              <w:ind w:left="-1"/>
              <w:jc w:val="left"/>
              <w:rPr>
                <w:b/>
                <w:sz w:val="18"/>
              </w:rPr>
            </w:pPr>
            <w:r>
              <w:rPr>
                <w:b/>
                <w:w w:val="100"/>
                <w:sz w:val="18"/>
              </w:rPr>
              <w:t>In</w:t>
            </w:r>
            <w:r>
              <w:rPr>
                <w:b/>
                <w:w w:val="99"/>
                <w:sz w:val="18"/>
              </w:rPr>
              <w:t>v</w:t>
            </w:r>
            <w:r>
              <w:rPr>
                <w:b/>
                <w:w w:val="100"/>
                <w:sz w:val="18"/>
              </w:rPr>
              <w:t>.</w:t>
            </w:r>
            <w:r>
              <w:rPr>
                <w:b/>
                <w:sz w:val="18"/>
              </w:rPr>
              <w:t> </w:t>
            </w:r>
            <w:r>
              <w:rPr>
                <w:b/>
                <w:w w:val="99"/>
                <w:sz w:val="18"/>
              </w:rPr>
              <w:t>A</w:t>
            </w:r>
            <w:r>
              <w:rPr>
                <w:b/>
                <w:sz w:val="18"/>
              </w:rPr>
              <w:t> </w:t>
            </w:r>
            <w:r>
              <w:rPr>
                <w:b/>
                <w:w w:val="99"/>
                <w:sz w:val="18"/>
              </w:rPr>
              <w:t>3</w:t>
            </w:r>
            <w:r>
              <w:rPr>
                <w:b/>
                <w:spacing w:val="-2"/>
                <w:sz w:val="18"/>
              </w:rPr>
              <w:t> </w:t>
            </w:r>
            <w:r>
              <w:rPr>
                <w:b/>
                <w:sz w:val="18"/>
              </w:rPr>
              <w:t>perso</w:t>
            </w:r>
            <w:r>
              <w:rPr>
                <w:b/>
                <w:spacing w:val="-2"/>
                <w:w w:val="100"/>
                <w:sz w:val="18"/>
              </w:rPr>
              <w:t>n</w:t>
            </w:r>
            <w:r>
              <w:rPr>
                <w:b/>
                <w:w w:val="99"/>
                <w:sz w:val="18"/>
              </w:rPr>
              <w:t>as</w:t>
            </w:r>
          </w:p>
        </w:tc>
        <w:tc>
          <w:tcPr>
            <w:tcW w:w="466" w:type="dxa"/>
            <w:shd w:val="clear" w:color="auto" w:fill="C5DFB3"/>
            <w:textDirection w:val="btLr"/>
          </w:tcPr>
          <w:p>
            <w:pPr>
              <w:pStyle w:val="TableParagraph"/>
              <w:spacing w:before="73"/>
              <w:ind w:left="-1"/>
              <w:jc w:val="left"/>
              <w:rPr>
                <w:b/>
                <w:sz w:val="18"/>
              </w:rPr>
            </w:pPr>
            <w:r>
              <w:rPr>
                <w:b/>
                <w:w w:val="99"/>
                <w:sz w:val="18"/>
              </w:rPr>
              <w:t>Compra</w:t>
            </w:r>
            <w:r>
              <w:rPr>
                <w:b/>
                <w:w w:val="99"/>
                <w:sz w:val="18"/>
              </w:rPr>
              <w:t>s</w:t>
            </w:r>
            <w:r>
              <w:rPr>
                <w:b/>
                <w:sz w:val="18"/>
              </w:rPr>
              <w:t> </w:t>
            </w:r>
            <w:r>
              <w:rPr>
                <w:b/>
                <w:spacing w:val="-2"/>
                <w:w w:val="99"/>
                <w:sz w:val="18"/>
              </w:rPr>
              <w:t>m</w:t>
            </w:r>
            <w:r>
              <w:rPr>
                <w:b/>
                <w:w w:val="99"/>
                <w:sz w:val="18"/>
              </w:rPr>
              <w:t>e</w:t>
            </w:r>
            <w:r>
              <w:rPr>
                <w:b/>
                <w:w w:val="100"/>
                <w:sz w:val="18"/>
              </w:rPr>
              <w:t>no</w:t>
            </w:r>
            <w:r>
              <w:rPr>
                <w:b/>
                <w:w w:val="99"/>
                <w:sz w:val="18"/>
              </w:rPr>
              <w:t>res</w:t>
            </w:r>
          </w:p>
        </w:tc>
        <w:tc>
          <w:tcPr>
            <w:tcW w:w="466" w:type="dxa"/>
            <w:shd w:val="clear" w:color="auto" w:fill="C5DFB3"/>
            <w:textDirection w:val="btLr"/>
          </w:tcPr>
          <w:p>
            <w:pPr>
              <w:pStyle w:val="TableParagraph"/>
              <w:spacing w:before="71"/>
              <w:ind w:left="-1"/>
              <w:jc w:val="left"/>
              <w:rPr>
                <w:b/>
                <w:sz w:val="18"/>
              </w:rPr>
            </w:pPr>
            <w:r>
              <w:rPr>
                <w:b/>
                <w:w w:val="100"/>
                <w:sz w:val="18"/>
              </w:rPr>
              <w:t>Cont</w:t>
            </w:r>
            <w:r>
              <w:rPr>
                <w:b/>
                <w:w w:val="99"/>
                <w:sz w:val="18"/>
              </w:rPr>
              <w:t>rato </w:t>
            </w:r>
            <w:r>
              <w:rPr>
                <w:b/>
                <w:w w:val="100"/>
                <w:sz w:val="18"/>
              </w:rPr>
              <w:t>p</w:t>
            </w:r>
            <w:r>
              <w:rPr>
                <w:b/>
                <w:w w:val="99"/>
                <w:sz w:val="18"/>
              </w:rPr>
              <w:t>e</w:t>
            </w:r>
            <w:r>
              <w:rPr>
                <w:b/>
                <w:w w:val="100"/>
                <w:sz w:val="18"/>
              </w:rPr>
              <w:t>d</w:t>
            </w:r>
            <w:r>
              <w:rPr>
                <w:b/>
                <w:spacing w:val="-2"/>
                <w:w w:val="100"/>
                <w:sz w:val="18"/>
              </w:rPr>
              <w:t>i</w:t>
            </w:r>
            <w:r>
              <w:rPr>
                <w:b/>
                <w:w w:val="100"/>
                <w:sz w:val="18"/>
              </w:rPr>
              <w:t>do</w:t>
            </w:r>
          </w:p>
        </w:tc>
        <w:tc>
          <w:tcPr>
            <w:tcW w:w="466" w:type="dxa"/>
            <w:shd w:val="clear" w:color="auto" w:fill="C5DFB3"/>
            <w:textDirection w:val="btLr"/>
          </w:tcPr>
          <w:p>
            <w:pPr>
              <w:pStyle w:val="TableParagraph"/>
              <w:spacing w:before="71"/>
              <w:ind w:left="-1"/>
              <w:jc w:val="left"/>
              <w:rPr>
                <w:b/>
                <w:sz w:val="18"/>
              </w:rPr>
            </w:pPr>
            <w:r>
              <w:rPr>
                <w:b/>
                <w:w w:val="99"/>
                <w:sz w:val="18"/>
              </w:rPr>
              <w:t>Compra</w:t>
            </w:r>
            <w:r>
              <w:rPr>
                <w:b/>
                <w:w w:val="99"/>
                <w:sz w:val="18"/>
              </w:rPr>
              <w:t>s</w:t>
            </w:r>
            <w:r>
              <w:rPr>
                <w:b/>
                <w:sz w:val="18"/>
              </w:rPr>
              <w:t> </w:t>
            </w:r>
            <w:r>
              <w:rPr>
                <w:b/>
                <w:spacing w:val="-2"/>
                <w:w w:val="99"/>
                <w:sz w:val="18"/>
              </w:rPr>
              <w:t>s</w:t>
            </w:r>
            <w:r>
              <w:rPr>
                <w:b/>
                <w:w w:val="100"/>
                <w:sz w:val="18"/>
              </w:rPr>
              <w:t>olid</w:t>
            </w:r>
            <w:r>
              <w:rPr>
                <w:b/>
                <w:w w:val="99"/>
                <w:sz w:val="18"/>
              </w:rPr>
              <w:t>a</w:t>
            </w:r>
            <w:r>
              <w:rPr>
                <w:b/>
                <w:w w:val="100"/>
                <w:sz w:val="18"/>
              </w:rPr>
              <w:t>r</w:t>
            </w:r>
            <w:r>
              <w:rPr>
                <w:b/>
                <w:spacing w:val="-3"/>
                <w:w w:val="100"/>
                <w:sz w:val="18"/>
              </w:rPr>
              <w:t>i</w:t>
            </w:r>
            <w:r>
              <w:rPr>
                <w:b/>
                <w:w w:val="99"/>
                <w:sz w:val="18"/>
              </w:rPr>
              <w:t>as</w:t>
            </w:r>
          </w:p>
        </w:tc>
        <w:tc>
          <w:tcPr>
            <w:tcW w:w="475" w:type="dxa"/>
            <w:shd w:val="clear" w:color="auto" w:fill="C5DFB3"/>
            <w:textDirection w:val="btLr"/>
          </w:tcPr>
          <w:p>
            <w:pPr>
              <w:pStyle w:val="TableParagraph"/>
              <w:spacing w:before="80"/>
              <w:ind w:left="-1"/>
              <w:jc w:val="left"/>
              <w:rPr>
                <w:b/>
                <w:sz w:val="18"/>
              </w:rPr>
            </w:pPr>
            <w:r>
              <w:rPr>
                <w:b/>
                <w:w w:val="100"/>
                <w:sz w:val="18"/>
              </w:rPr>
              <w:t>To</w:t>
            </w:r>
            <w:r>
              <w:rPr>
                <w:b/>
                <w:w w:val="99"/>
                <w:sz w:val="18"/>
              </w:rPr>
              <w:t>ta</w:t>
            </w:r>
            <w:r>
              <w:rPr>
                <w:b/>
                <w:w w:val="100"/>
                <w:sz w:val="18"/>
              </w:rPr>
              <w:t>l</w:t>
            </w:r>
          </w:p>
        </w:tc>
      </w:tr>
      <w:tr>
        <w:trPr>
          <w:trHeight w:val="322" w:hRule="exact"/>
        </w:trPr>
        <w:tc>
          <w:tcPr>
            <w:tcW w:w="3000" w:type="dxa"/>
            <w:tcBorders>
              <w:left w:val="single" w:sz="8" w:space="0" w:color="000000"/>
            </w:tcBorders>
          </w:tcPr>
          <w:p>
            <w:pPr>
              <w:pStyle w:val="TableParagraph"/>
              <w:spacing w:line="201" w:lineRule="exact"/>
              <w:ind w:left="62"/>
              <w:jc w:val="left"/>
              <w:rPr>
                <w:b/>
                <w:sz w:val="18"/>
              </w:rPr>
            </w:pPr>
            <w:r>
              <w:rPr>
                <w:b/>
                <w:color w:val="333333"/>
                <w:sz w:val="18"/>
              </w:rPr>
              <w:t>CHALCO</w:t>
            </w:r>
          </w:p>
        </w:tc>
        <w:tc>
          <w:tcPr>
            <w:tcW w:w="588" w:type="dxa"/>
          </w:tcPr>
          <w:p>
            <w:pPr>
              <w:pStyle w:val="TableParagraph"/>
              <w:spacing w:line="206" w:lineRule="exact"/>
              <w:ind w:left="1"/>
              <w:rPr>
                <w:sz w:val="18"/>
              </w:rPr>
            </w:pPr>
            <w:r>
              <w:rPr>
                <w:w w:val="99"/>
                <w:sz w:val="18"/>
              </w:rPr>
              <w:t>0</w:t>
            </w:r>
          </w:p>
        </w:tc>
        <w:tc>
          <w:tcPr>
            <w:tcW w:w="589" w:type="dxa"/>
          </w:tcPr>
          <w:p>
            <w:pPr>
              <w:pStyle w:val="TableParagraph"/>
              <w:spacing w:line="206" w:lineRule="exact"/>
              <w:ind w:left="2"/>
              <w:rPr>
                <w:sz w:val="18"/>
              </w:rPr>
            </w:pPr>
            <w:r>
              <w:rPr>
                <w:w w:val="99"/>
                <w:sz w:val="18"/>
              </w:rPr>
              <w:t>0</w:t>
            </w:r>
          </w:p>
        </w:tc>
        <w:tc>
          <w:tcPr>
            <w:tcW w:w="475" w:type="dxa"/>
          </w:tcPr>
          <w:p>
            <w:pPr>
              <w:pStyle w:val="TableParagraph"/>
              <w:spacing w:line="206" w:lineRule="exact"/>
              <w:ind w:left="60" w:right="60"/>
              <w:rPr>
                <w:sz w:val="18"/>
              </w:rPr>
            </w:pPr>
            <w:r>
              <w:rPr>
                <w:sz w:val="18"/>
              </w:rPr>
              <w:t>42</w:t>
            </w:r>
          </w:p>
        </w:tc>
        <w:tc>
          <w:tcPr>
            <w:tcW w:w="473" w:type="dxa"/>
          </w:tcPr>
          <w:p>
            <w:pPr>
              <w:pStyle w:val="TableParagraph"/>
              <w:spacing w:line="206" w:lineRule="exact"/>
              <w:ind w:left="182"/>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76" w:type="dxa"/>
          </w:tcPr>
          <w:p>
            <w:pPr>
              <w:pStyle w:val="TableParagraph"/>
              <w:spacing w:line="206" w:lineRule="exact"/>
              <w:ind w:left="114" w:right="110"/>
              <w:rPr>
                <w:sz w:val="18"/>
              </w:rPr>
            </w:pPr>
            <w:r>
              <w:rPr>
                <w:sz w:val="18"/>
              </w:rPr>
              <w:t>42</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63"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left="110" w:right="106"/>
              <w:rPr>
                <w:sz w:val="18"/>
              </w:rPr>
            </w:pPr>
            <w:r>
              <w:rPr>
                <w:sz w:val="18"/>
              </w:rPr>
              <w:t>19</w:t>
            </w:r>
          </w:p>
        </w:tc>
        <w:tc>
          <w:tcPr>
            <w:tcW w:w="466" w:type="dxa"/>
          </w:tcPr>
          <w:p>
            <w:pPr>
              <w:pStyle w:val="TableParagraph"/>
              <w:spacing w:line="206" w:lineRule="exact"/>
              <w:ind w:left="177"/>
              <w:jc w:val="left"/>
              <w:rPr>
                <w:sz w:val="18"/>
              </w:rPr>
            </w:pPr>
            <w:r>
              <w:rPr>
                <w:w w:val="99"/>
                <w:sz w:val="18"/>
              </w:rPr>
              <w:t>0</w:t>
            </w:r>
          </w:p>
        </w:tc>
        <w:tc>
          <w:tcPr>
            <w:tcW w:w="475" w:type="dxa"/>
          </w:tcPr>
          <w:p>
            <w:pPr>
              <w:pStyle w:val="TableParagraph"/>
              <w:spacing w:line="201" w:lineRule="exact"/>
              <w:ind w:left="60" w:right="60"/>
              <w:rPr>
                <w:b/>
                <w:sz w:val="18"/>
              </w:rPr>
            </w:pPr>
            <w:r>
              <w:rPr>
                <w:b/>
                <w:sz w:val="18"/>
              </w:rPr>
              <w:t>19</w:t>
            </w:r>
          </w:p>
        </w:tc>
      </w:tr>
      <w:tr>
        <w:trPr>
          <w:trHeight w:val="319" w:hRule="exact"/>
        </w:trPr>
        <w:tc>
          <w:tcPr>
            <w:tcW w:w="3000" w:type="dxa"/>
            <w:tcBorders>
              <w:left w:val="single" w:sz="8" w:space="0" w:color="000000"/>
            </w:tcBorders>
          </w:tcPr>
          <w:p>
            <w:pPr>
              <w:pStyle w:val="TableParagraph"/>
              <w:spacing w:line="201" w:lineRule="exact"/>
              <w:ind w:left="62"/>
              <w:jc w:val="left"/>
              <w:rPr>
                <w:b/>
                <w:sz w:val="18"/>
              </w:rPr>
            </w:pPr>
            <w:r>
              <w:rPr>
                <w:b/>
                <w:color w:val="333333"/>
                <w:sz w:val="18"/>
              </w:rPr>
              <w:t>CHAPA DE MOTA</w:t>
            </w:r>
          </w:p>
        </w:tc>
        <w:tc>
          <w:tcPr>
            <w:tcW w:w="588" w:type="dxa"/>
          </w:tcPr>
          <w:p>
            <w:pPr>
              <w:pStyle w:val="TableParagraph"/>
              <w:spacing w:line="206" w:lineRule="exact"/>
              <w:ind w:left="1"/>
              <w:rPr>
                <w:sz w:val="18"/>
              </w:rPr>
            </w:pPr>
            <w:r>
              <w:rPr>
                <w:w w:val="99"/>
                <w:sz w:val="18"/>
              </w:rPr>
              <w:t>0</w:t>
            </w:r>
          </w:p>
        </w:tc>
        <w:tc>
          <w:tcPr>
            <w:tcW w:w="589" w:type="dxa"/>
          </w:tcPr>
          <w:p>
            <w:pPr>
              <w:pStyle w:val="TableParagraph"/>
              <w:spacing w:line="206" w:lineRule="exact"/>
              <w:ind w:left="2"/>
              <w:rPr>
                <w:sz w:val="18"/>
              </w:rPr>
            </w:pPr>
            <w:r>
              <w:rPr>
                <w:w w:val="99"/>
                <w:sz w:val="18"/>
              </w:rPr>
              <w:t>5</w:t>
            </w:r>
          </w:p>
        </w:tc>
        <w:tc>
          <w:tcPr>
            <w:tcW w:w="475" w:type="dxa"/>
          </w:tcPr>
          <w:p>
            <w:pPr>
              <w:pStyle w:val="TableParagraph"/>
              <w:spacing w:line="206" w:lineRule="exact"/>
              <w:ind w:left="60" w:right="60"/>
              <w:rPr>
                <w:sz w:val="18"/>
              </w:rPr>
            </w:pPr>
            <w:r>
              <w:rPr>
                <w:sz w:val="18"/>
              </w:rPr>
              <w:t>29</w:t>
            </w:r>
          </w:p>
        </w:tc>
        <w:tc>
          <w:tcPr>
            <w:tcW w:w="473" w:type="dxa"/>
          </w:tcPr>
          <w:p>
            <w:pPr>
              <w:pStyle w:val="TableParagraph"/>
              <w:spacing w:line="206" w:lineRule="exact"/>
              <w:ind w:left="182"/>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76" w:type="dxa"/>
          </w:tcPr>
          <w:p>
            <w:pPr>
              <w:pStyle w:val="TableParagraph"/>
              <w:spacing w:line="206" w:lineRule="exact"/>
              <w:ind w:left="114" w:right="110"/>
              <w:rPr>
                <w:sz w:val="18"/>
              </w:rPr>
            </w:pPr>
            <w:r>
              <w:rPr>
                <w:sz w:val="18"/>
              </w:rPr>
              <w:t>34</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left="177"/>
              <w:jc w:val="left"/>
              <w:rPr>
                <w:sz w:val="18"/>
              </w:rPr>
            </w:pPr>
            <w:r>
              <w:rPr>
                <w:w w:val="99"/>
                <w:sz w:val="18"/>
              </w:rPr>
              <w:t>1</w:t>
            </w:r>
          </w:p>
        </w:tc>
        <w:tc>
          <w:tcPr>
            <w:tcW w:w="475" w:type="dxa"/>
          </w:tcPr>
          <w:p>
            <w:pPr>
              <w:pStyle w:val="TableParagraph"/>
              <w:spacing w:line="206" w:lineRule="exact"/>
              <w:ind w:left="182"/>
              <w:jc w:val="left"/>
              <w:rPr>
                <w:sz w:val="18"/>
              </w:rPr>
            </w:pPr>
            <w:r>
              <w:rPr>
                <w:w w:val="99"/>
                <w:sz w:val="18"/>
              </w:rPr>
              <w:t>5</w:t>
            </w:r>
          </w:p>
        </w:tc>
        <w:tc>
          <w:tcPr>
            <w:tcW w:w="475" w:type="dxa"/>
          </w:tcPr>
          <w:p>
            <w:pPr>
              <w:pStyle w:val="TableParagraph"/>
              <w:spacing w:line="206" w:lineRule="exact"/>
              <w:ind w:left="182"/>
              <w:jc w:val="left"/>
              <w:rPr>
                <w:sz w:val="18"/>
              </w:rPr>
            </w:pPr>
            <w:r>
              <w:rPr>
                <w:w w:val="99"/>
                <w:sz w:val="18"/>
              </w:rPr>
              <w:t>0</w:t>
            </w:r>
          </w:p>
        </w:tc>
        <w:tc>
          <w:tcPr>
            <w:tcW w:w="463"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75" w:type="dxa"/>
          </w:tcPr>
          <w:p>
            <w:pPr>
              <w:pStyle w:val="TableParagraph"/>
              <w:spacing w:line="201" w:lineRule="exact"/>
              <w:rPr>
                <w:b/>
                <w:sz w:val="18"/>
              </w:rPr>
            </w:pPr>
            <w:r>
              <w:rPr>
                <w:b/>
                <w:w w:val="99"/>
                <w:sz w:val="18"/>
              </w:rPr>
              <w:t>6</w:t>
            </w:r>
          </w:p>
        </w:tc>
      </w:tr>
      <w:tr>
        <w:trPr>
          <w:trHeight w:val="322" w:hRule="exact"/>
        </w:trPr>
        <w:tc>
          <w:tcPr>
            <w:tcW w:w="3000" w:type="dxa"/>
            <w:tcBorders>
              <w:left w:val="single" w:sz="8" w:space="0" w:color="000000"/>
            </w:tcBorders>
          </w:tcPr>
          <w:p>
            <w:pPr>
              <w:pStyle w:val="TableParagraph"/>
              <w:spacing w:line="201" w:lineRule="exact"/>
              <w:ind w:left="62"/>
              <w:jc w:val="left"/>
              <w:rPr>
                <w:b/>
                <w:sz w:val="18"/>
              </w:rPr>
            </w:pPr>
            <w:r>
              <w:rPr>
                <w:b/>
                <w:color w:val="333333"/>
                <w:sz w:val="18"/>
              </w:rPr>
              <w:t>CHAPULTEPEC</w:t>
            </w:r>
          </w:p>
        </w:tc>
        <w:tc>
          <w:tcPr>
            <w:tcW w:w="588" w:type="dxa"/>
          </w:tcPr>
          <w:p>
            <w:pPr>
              <w:pStyle w:val="TableParagraph"/>
              <w:spacing w:line="206" w:lineRule="exact"/>
              <w:ind w:left="1"/>
              <w:rPr>
                <w:sz w:val="18"/>
              </w:rPr>
            </w:pPr>
            <w:r>
              <w:rPr>
                <w:w w:val="99"/>
                <w:sz w:val="18"/>
              </w:rPr>
              <w:t>0</w:t>
            </w:r>
          </w:p>
        </w:tc>
        <w:tc>
          <w:tcPr>
            <w:tcW w:w="589" w:type="dxa"/>
          </w:tcPr>
          <w:p>
            <w:pPr>
              <w:pStyle w:val="TableParagraph"/>
              <w:spacing w:line="206" w:lineRule="exact"/>
              <w:ind w:left="2"/>
              <w:rPr>
                <w:sz w:val="18"/>
              </w:rPr>
            </w:pPr>
            <w:r>
              <w:rPr>
                <w:w w:val="99"/>
                <w:sz w:val="18"/>
              </w:rPr>
              <w:t>0</w:t>
            </w:r>
          </w:p>
        </w:tc>
        <w:tc>
          <w:tcPr>
            <w:tcW w:w="475" w:type="dxa"/>
          </w:tcPr>
          <w:p>
            <w:pPr>
              <w:pStyle w:val="TableParagraph"/>
              <w:spacing w:line="206" w:lineRule="exact"/>
              <w:rPr>
                <w:sz w:val="18"/>
              </w:rPr>
            </w:pPr>
            <w:r>
              <w:rPr>
                <w:w w:val="99"/>
                <w:sz w:val="18"/>
              </w:rPr>
              <w:t>0</w:t>
            </w:r>
          </w:p>
        </w:tc>
        <w:tc>
          <w:tcPr>
            <w:tcW w:w="473" w:type="dxa"/>
          </w:tcPr>
          <w:p>
            <w:pPr>
              <w:pStyle w:val="TableParagraph"/>
              <w:spacing w:line="206" w:lineRule="exact"/>
              <w:ind w:left="182"/>
              <w:jc w:val="left"/>
              <w:rPr>
                <w:sz w:val="18"/>
              </w:rPr>
            </w:pPr>
            <w:r>
              <w:rPr>
                <w:w w:val="99"/>
                <w:sz w:val="18"/>
              </w:rPr>
              <w:t>3</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76" w:type="dxa"/>
          </w:tcPr>
          <w:p>
            <w:pPr>
              <w:pStyle w:val="TableParagraph"/>
              <w:spacing w:line="206" w:lineRule="exact"/>
              <w:ind w:left="4"/>
              <w:rPr>
                <w:sz w:val="18"/>
              </w:rPr>
            </w:pPr>
            <w:r>
              <w:rPr>
                <w:w w:val="99"/>
                <w:sz w:val="18"/>
              </w:rPr>
              <w:t>3</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63"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75" w:type="dxa"/>
          </w:tcPr>
          <w:p>
            <w:pPr>
              <w:pStyle w:val="TableParagraph"/>
              <w:spacing w:line="201" w:lineRule="exact"/>
              <w:rPr>
                <w:b/>
                <w:sz w:val="18"/>
              </w:rPr>
            </w:pPr>
            <w:r>
              <w:rPr>
                <w:b/>
                <w:w w:val="99"/>
                <w:sz w:val="18"/>
              </w:rPr>
              <w:t>0</w:t>
            </w:r>
          </w:p>
        </w:tc>
      </w:tr>
      <w:tr>
        <w:trPr>
          <w:trHeight w:val="319" w:hRule="exact"/>
        </w:trPr>
        <w:tc>
          <w:tcPr>
            <w:tcW w:w="3000" w:type="dxa"/>
            <w:tcBorders>
              <w:left w:val="single" w:sz="8" w:space="0" w:color="000000"/>
            </w:tcBorders>
          </w:tcPr>
          <w:p>
            <w:pPr>
              <w:pStyle w:val="TableParagraph"/>
              <w:spacing w:line="201" w:lineRule="exact"/>
              <w:ind w:left="62"/>
              <w:jc w:val="left"/>
              <w:rPr>
                <w:b/>
                <w:sz w:val="18"/>
              </w:rPr>
            </w:pPr>
            <w:r>
              <w:rPr>
                <w:b/>
                <w:color w:val="333333"/>
                <w:sz w:val="18"/>
              </w:rPr>
              <w:t>CHIAUTLA</w:t>
            </w:r>
          </w:p>
        </w:tc>
        <w:tc>
          <w:tcPr>
            <w:tcW w:w="588" w:type="dxa"/>
          </w:tcPr>
          <w:p>
            <w:pPr>
              <w:pStyle w:val="TableParagraph"/>
              <w:spacing w:line="206" w:lineRule="exact"/>
              <w:ind w:left="1"/>
              <w:rPr>
                <w:sz w:val="18"/>
              </w:rPr>
            </w:pPr>
            <w:r>
              <w:rPr>
                <w:w w:val="99"/>
                <w:sz w:val="18"/>
              </w:rPr>
              <w:t>0</w:t>
            </w:r>
          </w:p>
        </w:tc>
        <w:tc>
          <w:tcPr>
            <w:tcW w:w="589" w:type="dxa"/>
          </w:tcPr>
          <w:p>
            <w:pPr>
              <w:pStyle w:val="TableParagraph"/>
              <w:spacing w:line="206" w:lineRule="exact"/>
              <w:ind w:left="2"/>
              <w:rPr>
                <w:sz w:val="18"/>
              </w:rPr>
            </w:pPr>
            <w:r>
              <w:rPr>
                <w:w w:val="99"/>
                <w:sz w:val="18"/>
              </w:rPr>
              <w:t>0</w:t>
            </w:r>
          </w:p>
        </w:tc>
        <w:tc>
          <w:tcPr>
            <w:tcW w:w="475" w:type="dxa"/>
          </w:tcPr>
          <w:p>
            <w:pPr>
              <w:pStyle w:val="TableParagraph"/>
              <w:spacing w:line="206" w:lineRule="exact"/>
              <w:rPr>
                <w:sz w:val="18"/>
              </w:rPr>
            </w:pPr>
            <w:r>
              <w:rPr>
                <w:w w:val="99"/>
                <w:sz w:val="18"/>
              </w:rPr>
              <w:t>0</w:t>
            </w:r>
          </w:p>
        </w:tc>
        <w:tc>
          <w:tcPr>
            <w:tcW w:w="473" w:type="dxa"/>
          </w:tcPr>
          <w:p>
            <w:pPr>
              <w:pStyle w:val="TableParagraph"/>
              <w:spacing w:line="206" w:lineRule="exact"/>
              <w:ind w:left="182"/>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76" w:type="dxa"/>
          </w:tcPr>
          <w:p>
            <w:pPr>
              <w:pStyle w:val="TableParagraph"/>
              <w:spacing w:line="206" w:lineRule="exact"/>
              <w:ind w:left="4"/>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63"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75" w:type="dxa"/>
          </w:tcPr>
          <w:p>
            <w:pPr>
              <w:pStyle w:val="TableParagraph"/>
              <w:spacing w:line="201" w:lineRule="exact"/>
              <w:rPr>
                <w:b/>
                <w:sz w:val="18"/>
              </w:rPr>
            </w:pPr>
            <w:r>
              <w:rPr>
                <w:b/>
                <w:w w:val="99"/>
                <w:sz w:val="18"/>
              </w:rPr>
              <w:t>0</w:t>
            </w:r>
          </w:p>
        </w:tc>
      </w:tr>
      <w:tr>
        <w:trPr>
          <w:trHeight w:val="322" w:hRule="exact"/>
        </w:trPr>
        <w:tc>
          <w:tcPr>
            <w:tcW w:w="3000" w:type="dxa"/>
            <w:tcBorders>
              <w:left w:val="single" w:sz="8" w:space="0" w:color="000000"/>
            </w:tcBorders>
          </w:tcPr>
          <w:p>
            <w:pPr>
              <w:pStyle w:val="TableParagraph"/>
              <w:spacing w:line="201" w:lineRule="exact"/>
              <w:ind w:left="62"/>
              <w:jc w:val="left"/>
              <w:rPr>
                <w:b/>
                <w:sz w:val="18"/>
              </w:rPr>
            </w:pPr>
            <w:r>
              <w:rPr>
                <w:b/>
                <w:color w:val="333333"/>
                <w:sz w:val="18"/>
              </w:rPr>
              <w:t>CHICOLOAPAN</w:t>
            </w:r>
          </w:p>
        </w:tc>
        <w:tc>
          <w:tcPr>
            <w:tcW w:w="588" w:type="dxa"/>
          </w:tcPr>
          <w:p>
            <w:pPr>
              <w:pStyle w:val="TableParagraph"/>
              <w:spacing w:line="206" w:lineRule="exact"/>
              <w:ind w:left="1"/>
              <w:rPr>
                <w:sz w:val="18"/>
              </w:rPr>
            </w:pPr>
            <w:r>
              <w:rPr>
                <w:w w:val="99"/>
                <w:sz w:val="18"/>
              </w:rPr>
              <w:t>0</w:t>
            </w:r>
          </w:p>
        </w:tc>
        <w:tc>
          <w:tcPr>
            <w:tcW w:w="589" w:type="dxa"/>
          </w:tcPr>
          <w:p>
            <w:pPr>
              <w:pStyle w:val="TableParagraph"/>
              <w:spacing w:line="206" w:lineRule="exact"/>
              <w:ind w:left="169" w:right="166"/>
              <w:rPr>
                <w:sz w:val="18"/>
              </w:rPr>
            </w:pPr>
            <w:r>
              <w:rPr>
                <w:sz w:val="18"/>
              </w:rPr>
              <w:t>58</w:t>
            </w:r>
          </w:p>
        </w:tc>
        <w:tc>
          <w:tcPr>
            <w:tcW w:w="475" w:type="dxa"/>
          </w:tcPr>
          <w:p>
            <w:pPr>
              <w:pStyle w:val="TableParagraph"/>
              <w:spacing w:line="206" w:lineRule="exact"/>
              <w:rPr>
                <w:sz w:val="18"/>
              </w:rPr>
            </w:pPr>
            <w:r>
              <w:rPr>
                <w:w w:val="99"/>
                <w:sz w:val="18"/>
              </w:rPr>
              <w:t>0</w:t>
            </w:r>
          </w:p>
        </w:tc>
        <w:tc>
          <w:tcPr>
            <w:tcW w:w="473" w:type="dxa"/>
          </w:tcPr>
          <w:p>
            <w:pPr>
              <w:pStyle w:val="TableParagraph"/>
              <w:spacing w:line="206" w:lineRule="exact"/>
              <w:ind w:left="182"/>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76" w:type="dxa"/>
          </w:tcPr>
          <w:p>
            <w:pPr>
              <w:pStyle w:val="TableParagraph"/>
              <w:spacing w:line="206" w:lineRule="exact"/>
              <w:ind w:left="114" w:right="110"/>
              <w:rPr>
                <w:sz w:val="18"/>
              </w:rPr>
            </w:pPr>
            <w:r>
              <w:rPr>
                <w:sz w:val="18"/>
              </w:rPr>
              <w:t>58</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63"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75" w:type="dxa"/>
          </w:tcPr>
          <w:p>
            <w:pPr>
              <w:pStyle w:val="TableParagraph"/>
              <w:spacing w:line="201" w:lineRule="exact"/>
              <w:rPr>
                <w:b/>
                <w:sz w:val="18"/>
              </w:rPr>
            </w:pPr>
            <w:r>
              <w:rPr>
                <w:b/>
                <w:w w:val="99"/>
                <w:sz w:val="18"/>
              </w:rPr>
              <w:t>0</w:t>
            </w:r>
          </w:p>
        </w:tc>
      </w:tr>
      <w:tr>
        <w:trPr>
          <w:trHeight w:val="319" w:hRule="exact"/>
        </w:trPr>
        <w:tc>
          <w:tcPr>
            <w:tcW w:w="3000" w:type="dxa"/>
            <w:tcBorders>
              <w:left w:val="single" w:sz="8" w:space="0" w:color="000000"/>
            </w:tcBorders>
          </w:tcPr>
          <w:p>
            <w:pPr>
              <w:pStyle w:val="TableParagraph"/>
              <w:spacing w:line="201" w:lineRule="exact"/>
              <w:ind w:left="62"/>
              <w:jc w:val="left"/>
              <w:rPr>
                <w:b/>
                <w:sz w:val="18"/>
              </w:rPr>
            </w:pPr>
            <w:r>
              <w:rPr>
                <w:b/>
                <w:color w:val="333333"/>
                <w:sz w:val="18"/>
              </w:rPr>
              <w:t>CHICONCUAC</w:t>
            </w:r>
          </w:p>
        </w:tc>
        <w:tc>
          <w:tcPr>
            <w:tcW w:w="588" w:type="dxa"/>
          </w:tcPr>
          <w:p>
            <w:pPr>
              <w:pStyle w:val="TableParagraph"/>
              <w:spacing w:line="206" w:lineRule="exact"/>
              <w:ind w:left="1"/>
              <w:rPr>
                <w:sz w:val="18"/>
              </w:rPr>
            </w:pPr>
            <w:r>
              <w:rPr>
                <w:w w:val="99"/>
                <w:sz w:val="18"/>
              </w:rPr>
              <w:t>0</w:t>
            </w:r>
          </w:p>
        </w:tc>
        <w:tc>
          <w:tcPr>
            <w:tcW w:w="589" w:type="dxa"/>
          </w:tcPr>
          <w:p>
            <w:pPr>
              <w:pStyle w:val="TableParagraph"/>
              <w:spacing w:line="206" w:lineRule="exact"/>
              <w:ind w:left="2"/>
              <w:rPr>
                <w:sz w:val="18"/>
              </w:rPr>
            </w:pPr>
            <w:r>
              <w:rPr>
                <w:w w:val="99"/>
                <w:sz w:val="18"/>
              </w:rPr>
              <w:t>0</w:t>
            </w:r>
          </w:p>
        </w:tc>
        <w:tc>
          <w:tcPr>
            <w:tcW w:w="475" w:type="dxa"/>
          </w:tcPr>
          <w:p>
            <w:pPr>
              <w:pStyle w:val="TableParagraph"/>
              <w:spacing w:line="206" w:lineRule="exact"/>
              <w:rPr>
                <w:sz w:val="18"/>
              </w:rPr>
            </w:pPr>
            <w:r>
              <w:rPr>
                <w:w w:val="99"/>
                <w:sz w:val="18"/>
              </w:rPr>
              <w:t>0</w:t>
            </w:r>
          </w:p>
        </w:tc>
        <w:tc>
          <w:tcPr>
            <w:tcW w:w="473" w:type="dxa"/>
          </w:tcPr>
          <w:p>
            <w:pPr>
              <w:pStyle w:val="TableParagraph"/>
              <w:spacing w:line="206" w:lineRule="exact"/>
              <w:ind w:left="182"/>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76" w:type="dxa"/>
          </w:tcPr>
          <w:p>
            <w:pPr>
              <w:pStyle w:val="TableParagraph"/>
              <w:spacing w:line="206" w:lineRule="exact"/>
              <w:ind w:left="4"/>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63"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75" w:type="dxa"/>
          </w:tcPr>
          <w:p>
            <w:pPr>
              <w:pStyle w:val="TableParagraph"/>
              <w:spacing w:line="201" w:lineRule="exact"/>
              <w:rPr>
                <w:b/>
                <w:sz w:val="18"/>
              </w:rPr>
            </w:pPr>
            <w:r>
              <w:rPr>
                <w:b/>
                <w:w w:val="99"/>
                <w:sz w:val="18"/>
              </w:rPr>
              <w:t>0</w:t>
            </w:r>
          </w:p>
        </w:tc>
      </w:tr>
      <w:tr>
        <w:trPr>
          <w:trHeight w:val="322" w:hRule="exact"/>
        </w:trPr>
        <w:tc>
          <w:tcPr>
            <w:tcW w:w="3000" w:type="dxa"/>
            <w:tcBorders>
              <w:left w:val="single" w:sz="8" w:space="0" w:color="000000"/>
            </w:tcBorders>
          </w:tcPr>
          <w:p>
            <w:pPr>
              <w:pStyle w:val="TableParagraph"/>
              <w:spacing w:line="201" w:lineRule="exact"/>
              <w:ind w:left="62"/>
              <w:jc w:val="left"/>
              <w:rPr>
                <w:b/>
                <w:sz w:val="18"/>
              </w:rPr>
            </w:pPr>
            <w:r>
              <w:rPr>
                <w:b/>
                <w:color w:val="333333"/>
                <w:sz w:val="18"/>
              </w:rPr>
              <w:t>CHIMALHUACAN</w:t>
            </w:r>
          </w:p>
        </w:tc>
        <w:tc>
          <w:tcPr>
            <w:tcW w:w="588" w:type="dxa"/>
          </w:tcPr>
          <w:p>
            <w:pPr>
              <w:pStyle w:val="TableParagraph"/>
              <w:spacing w:line="206" w:lineRule="exact"/>
              <w:ind w:left="169" w:right="167"/>
              <w:rPr>
                <w:sz w:val="18"/>
              </w:rPr>
            </w:pPr>
            <w:r>
              <w:rPr>
                <w:sz w:val="18"/>
              </w:rPr>
              <w:t>15</w:t>
            </w:r>
          </w:p>
        </w:tc>
        <w:tc>
          <w:tcPr>
            <w:tcW w:w="589" w:type="dxa"/>
          </w:tcPr>
          <w:p>
            <w:pPr>
              <w:pStyle w:val="TableParagraph"/>
              <w:spacing w:line="206" w:lineRule="exact"/>
              <w:ind w:left="2"/>
              <w:rPr>
                <w:sz w:val="18"/>
              </w:rPr>
            </w:pPr>
            <w:r>
              <w:rPr>
                <w:w w:val="99"/>
                <w:sz w:val="18"/>
              </w:rPr>
              <w:t>0</w:t>
            </w:r>
          </w:p>
        </w:tc>
        <w:tc>
          <w:tcPr>
            <w:tcW w:w="475" w:type="dxa"/>
          </w:tcPr>
          <w:p>
            <w:pPr>
              <w:pStyle w:val="TableParagraph"/>
              <w:spacing w:line="206" w:lineRule="exact"/>
              <w:rPr>
                <w:sz w:val="18"/>
              </w:rPr>
            </w:pPr>
            <w:r>
              <w:rPr>
                <w:w w:val="99"/>
                <w:sz w:val="18"/>
              </w:rPr>
              <w:t>0</w:t>
            </w:r>
          </w:p>
        </w:tc>
        <w:tc>
          <w:tcPr>
            <w:tcW w:w="473" w:type="dxa"/>
          </w:tcPr>
          <w:p>
            <w:pPr>
              <w:pStyle w:val="TableParagraph"/>
              <w:spacing w:line="206" w:lineRule="exact"/>
              <w:ind w:left="182"/>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76" w:type="dxa"/>
          </w:tcPr>
          <w:p>
            <w:pPr>
              <w:pStyle w:val="TableParagraph"/>
              <w:spacing w:line="206" w:lineRule="exact"/>
              <w:ind w:left="114" w:right="110"/>
              <w:rPr>
                <w:sz w:val="18"/>
              </w:rPr>
            </w:pPr>
            <w:r>
              <w:rPr>
                <w:sz w:val="18"/>
              </w:rPr>
              <w:t>14</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63"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75" w:type="dxa"/>
          </w:tcPr>
          <w:p>
            <w:pPr>
              <w:pStyle w:val="TableParagraph"/>
              <w:spacing w:line="201" w:lineRule="exact"/>
              <w:rPr>
                <w:b/>
                <w:sz w:val="18"/>
              </w:rPr>
            </w:pPr>
            <w:r>
              <w:rPr>
                <w:b/>
                <w:w w:val="99"/>
                <w:sz w:val="18"/>
              </w:rPr>
              <w:t>0</w:t>
            </w:r>
          </w:p>
        </w:tc>
      </w:tr>
      <w:tr>
        <w:trPr>
          <w:trHeight w:val="320" w:hRule="exact"/>
        </w:trPr>
        <w:tc>
          <w:tcPr>
            <w:tcW w:w="3000" w:type="dxa"/>
            <w:tcBorders>
              <w:left w:val="single" w:sz="8" w:space="0" w:color="000000"/>
            </w:tcBorders>
          </w:tcPr>
          <w:p>
            <w:pPr>
              <w:pStyle w:val="TableParagraph"/>
              <w:spacing w:line="201" w:lineRule="exact"/>
              <w:ind w:left="62"/>
              <w:jc w:val="left"/>
              <w:rPr>
                <w:b/>
                <w:sz w:val="18"/>
              </w:rPr>
            </w:pPr>
            <w:r>
              <w:rPr>
                <w:b/>
                <w:color w:val="333333"/>
                <w:sz w:val="18"/>
              </w:rPr>
              <w:t>COACALCO DE BERRIOZABAL</w:t>
            </w:r>
          </w:p>
        </w:tc>
        <w:tc>
          <w:tcPr>
            <w:tcW w:w="588" w:type="dxa"/>
          </w:tcPr>
          <w:p>
            <w:pPr>
              <w:pStyle w:val="TableParagraph"/>
              <w:spacing w:line="206" w:lineRule="exact"/>
              <w:ind w:left="1"/>
              <w:rPr>
                <w:sz w:val="18"/>
              </w:rPr>
            </w:pPr>
            <w:r>
              <w:rPr>
                <w:w w:val="99"/>
                <w:sz w:val="18"/>
              </w:rPr>
              <w:t>0</w:t>
            </w:r>
          </w:p>
        </w:tc>
        <w:tc>
          <w:tcPr>
            <w:tcW w:w="589" w:type="dxa"/>
          </w:tcPr>
          <w:p>
            <w:pPr>
              <w:pStyle w:val="TableParagraph"/>
              <w:spacing w:line="206" w:lineRule="exact"/>
              <w:ind w:left="2"/>
              <w:rPr>
                <w:sz w:val="18"/>
              </w:rPr>
            </w:pPr>
            <w:r>
              <w:rPr>
                <w:w w:val="99"/>
                <w:sz w:val="18"/>
              </w:rPr>
              <w:t>0</w:t>
            </w:r>
          </w:p>
        </w:tc>
        <w:tc>
          <w:tcPr>
            <w:tcW w:w="475" w:type="dxa"/>
          </w:tcPr>
          <w:p>
            <w:pPr>
              <w:pStyle w:val="TableParagraph"/>
              <w:spacing w:line="206" w:lineRule="exact"/>
              <w:rPr>
                <w:sz w:val="18"/>
              </w:rPr>
            </w:pPr>
            <w:r>
              <w:rPr>
                <w:w w:val="99"/>
                <w:sz w:val="18"/>
              </w:rPr>
              <w:t>0</w:t>
            </w:r>
          </w:p>
        </w:tc>
        <w:tc>
          <w:tcPr>
            <w:tcW w:w="473" w:type="dxa"/>
          </w:tcPr>
          <w:p>
            <w:pPr>
              <w:pStyle w:val="TableParagraph"/>
              <w:spacing w:line="206" w:lineRule="exact"/>
              <w:ind w:left="182"/>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76" w:type="dxa"/>
          </w:tcPr>
          <w:p>
            <w:pPr>
              <w:pStyle w:val="TableParagraph"/>
              <w:spacing w:line="206" w:lineRule="exact"/>
              <w:ind w:left="4"/>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63"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75" w:type="dxa"/>
          </w:tcPr>
          <w:p>
            <w:pPr>
              <w:pStyle w:val="TableParagraph"/>
              <w:spacing w:line="201" w:lineRule="exact"/>
              <w:rPr>
                <w:b/>
                <w:sz w:val="18"/>
              </w:rPr>
            </w:pPr>
            <w:r>
              <w:rPr>
                <w:b/>
                <w:w w:val="99"/>
                <w:sz w:val="18"/>
              </w:rPr>
              <w:t>0</w:t>
            </w:r>
          </w:p>
        </w:tc>
      </w:tr>
      <w:tr>
        <w:trPr>
          <w:trHeight w:val="322" w:hRule="exact"/>
        </w:trPr>
        <w:tc>
          <w:tcPr>
            <w:tcW w:w="3000" w:type="dxa"/>
            <w:tcBorders>
              <w:left w:val="single" w:sz="8" w:space="0" w:color="000000"/>
            </w:tcBorders>
          </w:tcPr>
          <w:p>
            <w:pPr>
              <w:pStyle w:val="TableParagraph"/>
              <w:spacing w:line="204" w:lineRule="exact"/>
              <w:ind w:left="62"/>
              <w:jc w:val="left"/>
              <w:rPr>
                <w:b/>
                <w:sz w:val="18"/>
              </w:rPr>
            </w:pPr>
            <w:r>
              <w:rPr>
                <w:b/>
                <w:color w:val="333333"/>
                <w:sz w:val="18"/>
              </w:rPr>
              <w:t>COATEPEC HARINAS</w:t>
            </w:r>
          </w:p>
        </w:tc>
        <w:tc>
          <w:tcPr>
            <w:tcW w:w="588" w:type="dxa"/>
          </w:tcPr>
          <w:p>
            <w:pPr>
              <w:pStyle w:val="TableParagraph"/>
              <w:spacing w:before="1"/>
              <w:ind w:left="1"/>
              <w:rPr>
                <w:sz w:val="18"/>
              </w:rPr>
            </w:pPr>
            <w:r>
              <w:rPr>
                <w:w w:val="99"/>
                <w:sz w:val="18"/>
              </w:rPr>
              <w:t>0</w:t>
            </w:r>
          </w:p>
        </w:tc>
        <w:tc>
          <w:tcPr>
            <w:tcW w:w="589" w:type="dxa"/>
          </w:tcPr>
          <w:p>
            <w:pPr>
              <w:pStyle w:val="TableParagraph"/>
              <w:spacing w:before="1"/>
              <w:ind w:left="2"/>
              <w:rPr>
                <w:sz w:val="18"/>
              </w:rPr>
            </w:pPr>
            <w:r>
              <w:rPr>
                <w:w w:val="99"/>
                <w:sz w:val="18"/>
              </w:rPr>
              <w:t>0</w:t>
            </w:r>
          </w:p>
        </w:tc>
        <w:tc>
          <w:tcPr>
            <w:tcW w:w="475" w:type="dxa"/>
          </w:tcPr>
          <w:p>
            <w:pPr>
              <w:pStyle w:val="TableParagraph"/>
              <w:spacing w:before="1"/>
              <w:rPr>
                <w:sz w:val="18"/>
              </w:rPr>
            </w:pPr>
            <w:r>
              <w:rPr>
                <w:w w:val="99"/>
                <w:sz w:val="18"/>
              </w:rPr>
              <w:t>0</w:t>
            </w:r>
          </w:p>
        </w:tc>
        <w:tc>
          <w:tcPr>
            <w:tcW w:w="473" w:type="dxa"/>
          </w:tcPr>
          <w:p>
            <w:pPr>
              <w:pStyle w:val="TableParagraph"/>
              <w:spacing w:before="1"/>
              <w:ind w:left="182"/>
              <w:jc w:val="left"/>
              <w:rPr>
                <w:sz w:val="18"/>
              </w:rPr>
            </w:pPr>
            <w:r>
              <w:rPr>
                <w:w w:val="99"/>
                <w:sz w:val="18"/>
              </w:rPr>
              <w:t>0</w:t>
            </w:r>
          </w:p>
        </w:tc>
        <w:tc>
          <w:tcPr>
            <w:tcW w:w="466" w:type="dxa"/>
          </w:tcPr>
          <w:p>
            <w:pPr>
              <w:pStyle w:val="TableParagraph"/>
              <w:spacing w:before="1"/>
              <w:ind w:left="177"/>
              <w:jc w:val="left"/>
              <w:rPr>
                <w:sz w:val="18"/>
              </w:rPr>
            </w:pPr>
            <w:r>
              <w:rPr>
                <w:w w:val="99"/>
                <w:sz w:val="18"/>
              </w:rPr>
              <w:t>0</w:t>
            </w:r>
          </w:p>
        </w:tc>
        <w:tc>
          <w:tcPr>
            <w:tcW w:w="466" w:type="dxa"/>
          </w:tcPr>
          <w:p>
            <w:pPr>
              <w:pStyle w:val="TableParagraph"/>
              <w:spacing w:before="1"/>
              <w:rPr>
                <w:sz w:val="18"/>
              </w:rPr>
            </w:pPr>
            <w:r>
              <w:rPr>
                <w:w w:val="99"/>
                <w:sz w:val="18"/>
              </w:rPr>
              <w:t>0</w:t>
            </w:r>
          </w:p>
        </w:tc>
        <w:tc>
          <w:tcPr>
            <w:tcW w:w="466" w:type="dxa"/>
          </w:tcPr>
          <w:p>
            <w:pPr>
              <w:pStyle w:val="TableParagraph"/>
              <w:spacing w:before="1"/>
              <w:ind w:right="176"/>
              <w:jc w:val="right"/>
              <w:rPr>
                <w:sz w:val="18"/>
              </w:rPr>
            </w:pPr>
            <w:r>
              <w:rPr>
                <w:w w:val="99"/>
                <w:sz w:val="18"/>
              </w:rPr>
              <w:t>0</w:t>
            </w:r>
          </w:p>
        </w:tc>
        <w:tc>
          <w:tcPr>
            <w:tcW w:w="463" w:type="dxa"/>
          </w:tcPr>
          <w:p>
            <w:pPr>
              <w:pStyle w:val="TableParagraph"/>
              <w:spacing w:before="1"/>
              <w:ind w:right="176"/>
              <w:jc w:val="right"/>
              <w:rPr>
                <w:sz w:val="18"/>
              </w:rPr>
            </w:pPr>
            <w:r>
              <w:rPr>
                <w:w w:val="99"/>
                <w:sz w:val="18"/>
              </w:rPr>
              <w:t>0</w:t>
            </w:r>
          </w:p>
        </w:tc>
        <w:tc>
          <w:tcPr>
            <w:tcW w:w="476" w:type="dxa"/>
          </w:tcPr>
          <w:p>
            <w:pPr>
              <w:pStyle w:val="TableParagraph"/>
              <w:spacing w:before="1"/>
              <w:ind w:left="4"/>
              <w:rPr>
                <w:sz w:val="18"/>
              </w:rPr>
            </w:pPr>
            <w:r>
              <w:rPr>
                <w:w w:val="99"/>
                <w:sz w:val="18"/>
              </w:rPr>
              <w:t>0</w:t>
            </w:r>
          </w:p>
        </w:tc>
        <w:tc>
          <w:tcPr>
            <w:tcW w:w="466" w:type="dxa"/>
          </w:tcPr>
          <w:p>
            <w:pPr>
              <w:pStyle w:val="TableParagraph"/>
              <w:spacing w:before="1"/>
              <w:rPr>
                <w:sz w:val="18"/>
              </w:rPr>
            </w:pPr>
            <w:r>
              <w:rPr>
                <w:w w:val="99"/>
                <w:sz w:val="18"/>
              </w:rPr>
              <w:t>0</w:t>
            </w:r>
          </w:p>
        </w:tc>
        <w:tc>
          <w:tcPr>
            <w:tcW w:w="466" w:type="dxa"/>
          </w:tcPr>
          <w:p>
            <w:pPr>
              <w:pStyle w:val="TableParagraph"/>
              <w:spacing w:before="1"/>
              <w:ind w:left="177"/>
              <w:jc w:val="left"/>
              <w:rPr>
                <w:sz w:val="18"/>
              </w:rPr>
            </w:pPr>
            <w:r>
              <w:rPr>
                <w:w w:val="99"/>
                <w:sz w:val="18"/>
              </w:rPr>
              <w:t>0</w:t>
            </w:r>
          </w:p>
        </w:tc>
        <w:tc>
          <w:tcPr>
            <w:tcW w:w="475" w:type="dxa"/>
          </w:tcPr>
          <w:p>
            <w:pPr>
              <w:pStyle w:val="TableParagraph"/>
              <w:spacing w:before="1"/>
              <w:ind w:left="182"/>
              <w:jc w:val="left"/>
              <w:rPr>
                <w:sz w:val="18"/>
              </w:rPr>
            </w:pPr>
            <w:r>
              <w:rPr>
                <w:w w:val="99"/>
                <w:sz w:val="18"/>
              </w:rPr>
              <w:t>0</w:t>
            </w:r>
          </w:p>
        </w:tc>
        <w:tc>
          <w:tcPr>
            <w:tcW w:w="475" w:type="dxa"/>
          </w:tcPr>
          <w:p>
            <w:pPr>
              <w:pStyle w:val="TableParagraph"/>
              <w:spacing w:before="1"/>
              <w:ind w:left="182"/>
              <w:jc w:val="left"/>
              <w:rPr>
                <w:sz w:val="18"/>
              </w:rPr>
            </w:pPr>
            <w:r>
              <w:rPr>
                <w:w w:val="99"/>
                <w:sz w:val="18"/>
              </w:rPr>
              <w:t>0</w:t>
            </w:r>
          </w:p>
        </w:tc>
        <w:tc>
          <w:tcPr>
            <w:tcW w:w="463" w:type="dxa"/>
          </w:tcPr>
          <w:p>
            <w:pPr>
              <w:pStyle w:val="TableParagraph"/>
              <w:spacing w:before="1"/>
              <w:ind w:right="1"/>
              <w:rPr>
                <w:sz w:val="18"/>
              </w:rPr>
            </w:pPr>
            <w:r>
              <w:rPr>
                <w:w w:val="99"/>
                <w:sz w:val="18"/>
              </w:rPr>
              <w:t>0</w:t>
            </w:r>
          </w:p>
        </w:tc>
        <w:tc>
          <w:tcPr>
            <w:tcW w:w="466" w:type="dxa"/>
          </w:tcPr>
          <w:p>
            <w:pPr>
              <w:pStyle w:val="TableParagraph"/>
              <w:spacing w:before="1"/>
              <w:ind w:right="176"/>
              <w:jc w:val="right"/>
              <w:rPr>
                <w:sz w:val="18"/>
              </w:rPr>
            </w:pPr>
            <w:r>
              <w:rPr>
                <w:w w:val="99"/>
                <w:sz w:val="18"/>
              </w:rPr>
              <w:t>0</w:t>
            </w:r>
          </w:p>
        </w:tc>
        <w:tc>
          <w:tcPr>
            <w:tcW w:w="466" w:type="dxa"/>
          </w:tcPr>
          <w:p>
            <w:pPr>
              <w:pStyle w:val="TableParagraph"/>
              <w:spacing w:before="1"/>
              <w:ind w:right="1"/>
              <w:rPr>
                <w:sz w:val="18"/>
              </w:rPr>
            </w:pPr>
            <w:r>
              <w:rPr>
                <w:w w:val="99"/>
                <w:sz w:val="18"/>
              </w:rPr>
              <w:t>0</w:t>
            </w:r>
          </w:p>
        </w:tc>
        <w:tc>
          <w:tcPr>
            <w:tcW w:w="466" w:type="dxa"/>
          </w:tcPr>
          <w:p>
            <w:pPr>
              <w:pStyle w:val="TableParagraph"/>
              <w:spacing w:before="1"/>
              <w:ind w:left="177"/>
              <w:jc w:val="left"/>
              <w:rPr>
                <w:sz w:val="18"/>
              </w:rPr>
            </w:pPr>
            <w:r>
              <w:rPr>
                <w:w w:val="99"/>
                <w:sz w:val="18"/>
              </w:rPr>
              <w:t>0</w:t>
            </w:r>
          </w:p>
        </w:tc>
        <w:tc>
          <w:tcPr>
            <w:tcW w:w="475" w:type="dxa"/>
          </w:tcPr>
          <w:p>
            <w:pPr>
              <w:pStyle w:val="TableParagraph"/>
              <w:spacing w:line="204" w:lineRule="exact"/>
              <w:rPr>
                <w:b/>
                <w:sz w:val="18"/>
              </w:rPr>
            </w:pPr>
            <w:r>
              <w:rPr>
                <w:b/>
                <w:w w:val="99"/>
                <w:sz w:val="18"/>
              </w:rPr>
              <w:t>0</w:t>
            </w:r>
          </w:p>
        </w:tc>
      </w:tr>
      <w:tr>
        <w:trPr>
          <w:trHeight w:val="319" w:hRule="exact"/>
        </w:trPr>
        <w:tc>
          <w:tcPr>
            <w:tcW w:w="3000" w:type="dxa"/>
            <w:tcBorders>
              <w:left w:val="single" w:sz="8" w:space="0" w:color="000000"/>
            </w:tcBorders>
          </w:tcPr>
          <w:p>
            <w:pPr>
              <w:pStyle w:val="TableParagraph"/>
              <w:spacing w:line="201" w:lineRule="exact"/>
              <w:ind w:left="62"/>
              <w:jc w:val="left"/>
              <w:rPr>
                <w:b/>
                <w:sz w:val="18"/>
              </w:rPr>
            </w:pPr>
            <w:r>
              <w:rPr>
                <w:b/>
                <w:color w:val="333333"/>
                <w:sz w:val="18"/>
              </w:rPr>
              <w:t>COCOTITLAN</w:t>
            </w:r>
          </w:p>
        </w:tc>
        <w:tc>
          <w:tcPr>
            <w:tcW w:w="588" w:type="dxa"/>
          </w:tcPr>
          <w:p>
            <w:pPr>
              <w:pStyle w:val="TableParagraph"/>
              <w:spacing w:line="206" w:lineRule="exact"/>
              <w:ind w:left="1"/>
              <w:rPr>
                <w:sz w:val="18"/>
              </w:rPr>
            </w:pPr>
            <w:r>
              <w:rPr>
                <w:w w:val="99"/>
                <w:sz w:val="18"/>
              </w:rPr>
              <w:t>0</w:t>
            </w:r>
          </w:p>
        </w:tc>
        <w:tc>
          <w:tcPr>
            <w:tcW w:w="589" w:type="dxa"/>
          </w:tcPr>
          <w:p>
            <w:pPr>
              <w:pStyle w:val="TableParagraph"/>
              <w:spacing w:line="206" w:lineRule="exact"/>
              <w:ind w:left="2"/>
              <w:rPr>
                <w:sz w:val="18"/>
              </w:rPr>
            </w:pPr>
            <w:r>
              <w:rPr>
                <w:w w:val="99"/>
                <w:sz w:val="18"/>
              </w:rPr>
              <w:t>0</w:t>
            </w:r>
          </w:p>
        </w:tc>
        <w:tc>
          <w:tcPr>
            <w:tcW w:w="475" w:type="dxa"/>
          </w:tcPr>
          <w:p>
            <w:pPr>
              <w:pStyle w:val="TableParagraph"/>
              <w:spacing w:line="206" w:lineRule="exact"/>
              <w:rPr>
                <w:sz w:val="18"/>
              </w:rPr>
            </w:pPr>
            <w:r>
              <w:rPr>
                <w:w w:val="99"/>
                <w:sz w:val="18"/>
              </w:rPr>
              <w:t>0</w:t>
            </w:r>
          </w:p>
        </w:tc>
        <w:tc>
          <w:tcPr>
            <w:tcW w:w="473" w:type="dxa"/>
          </w:tcPr>
          <w:p>
            <w:pPr>
              <w:pStyle w:val="TableParagraph"/>
              <w:spacing w:line="206" w:lineRule="exact"/>
              <w:ind w:left="182"/>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76" w:type="dxa"/>
          </w:tcPr>
          <w:p>
            <w:pPr>
              <w:pStyle w:val="TableParagraph"/>
              <w:spacing w:line="206" w:lineRule="exact"/>
              <w:ind w:left="4"/>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63"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75" w:type="dxa"/>
          </w:tcPr>
          <w:p>
            <w:pPr>
              <w:pStyle w:val="TableParagraph"/>
              <w:spacing w:line="201" w:lineRule="exact"/>
              <w:rPr>
                <w:b/>
                <w:sz w:val="18"/>
              </w:rPr>
            </w:pPr>
            <w:r>
              <w:rPr>
                <w:b/>
                <w:w w:val="99"/>
                <w:sz w:val="18"/>
              </w:rPr>
              <w:t>0</w:t>
            </w:r>
          </w:p>
        </w:tc>
      </w:tr>
      <w:tr>
        <w:trPr>
          <w:trHeight w:val="322" w:hRule="exact"/>
        </w:trPr>
        <w:tc>
          <w:tcPr>
            <w:tcW w:w="3000" w:type="dxa"/>
            <w:tcBorders>
              <w:left w:val="single" w:sz="8" w:space="0" w:color="000000"/>
            </w:tcBorders>
          </w:tcPr>
          <w:p>
            <w:pPr>
              <w:pStyle w:val="TableParagraph"/>
              <w:spacing w:line="204" w:lineRule="exact"/>
              <w:ind w:left="62"/>
              <w:jc w:val="left"/>
              <w:rPr>
                <w:b/>
                <w:sz w:val="18"/>
              </w:rPr>
            </w:pPr>
            <w:r>
              <w:rPr>
                <w:b/>
                <w:color w:val="333333"/>
                <w:sz w:val="18"/>
              </w:rPr>
              <w:t>COYOTEPEC</w:t>
            </w:r>
          </w:p>
        </w:tc>
        <w:tc>
          <w:tcPr>
            <w:tcW w:w="588" w:type="dxa"/>
          </w:tcPr>
          <w:p>
            <w:pPr>
              <w:pStyle w:val="TableParagraph"/>
              <w:spacing w:before="1"/>
              <w:ind w:left="1"/>
              <w:rPr>
                <w:sz w:val="18"/>
              </w:rPr>
            </w:pPr>
            <w:r>
              <w:rPr>
                <w:w w:val="99"/>
                <w:sz w:val="18"/>
              </w:rPr>
              <w:t>0</w:t>
            </w:r>
          </w:p>
        </w:tc>
        <w:tc>
          <w:tcPr>
            <w:tcW w:w="589" w:type="dxa"/>
          </w:tcPr>
          <w:p>
            <w:pPr>
              <w:pStyle w:val="TableParagraph"/>
              <w:spacing w:before="1"/>
              <w:ind w:left="2"/>
              <w:rPr>
                <w:sz w:val="18"/>
              </w:rPr>
            </w:pPr>
            <w:r>
              <w:rPr>
                <w:w w:val="99"/>
                <w:sz w:val="18"/>
              </w:rPr>
              <w:t>0</w:t>
            </w:r>
          </w:p>
        </w:tc>
        <w:tc>
          <w:tcPr>
            <w:tcW w:w="475" w:type="dxa"/>
          </w:tcPr>
          <w:p>
            <w:pPr>
              <w:pStyle w:val="TableParagraph"/>
              <w:spacing w:before="1"/>
              <w:rPr>
                <w:sz w:val="18"/>
              </w:rPr>
            </w:pPr>
            <w:r>
              <w:rPr>
                <w:w w:val="99"/>
                <w:sz w:val="18"/>
              </w:rPr>
              <w:t>0</w:t>
            </w:r>
          </w:p>
        </w:tc>
        <w:tc>
          <w:tcPr>
            <w:tcW w:w="473" w:type="dxa"/>
          </w:tcPr>
          <w:p>
            <w:pPr>
              <w:pStyle w:val="TableParagraph"/>
              <w:spacing w:before="1"/>
              <w:ind w:left="182"/>
              <w:jc w:val="left"/>
              <w:rPr>
                <w:sz w:val="18"/>
              </w:rPr>
            </w:pPr>
            <w:r>
              <w:rPr>
                <w:w w:val="99"/>
                <w:sz w:val="18"/>
              </w:rPr>
              <w:t>0</w:t>
            </w:r>
          </w:p>
        </w:tc>
        <w:tc>
          <w:tcPr>
            <w:tcW w:w="466" w:type="dxa"/>
          </w:tcPr>
          <w:p>
            <w:pPr>
              <w:pStyle w:val="TableParagraph"/>
              <w:spacing w:before="1"/>
              <w:ind w:left="177"/>
              <w:jc w:val="left"/>
              <w:rPr>
                <w:sz w:val="18"/>
              </w:rPr>
            </w:pPr>
            <w:r>
              <w:rPr>
                <w:w w:val="99"/>
                <w:sz w:val="18"/>
              </w:rPr>
              <w:t>0</w:t>
            </w:r>
          </w:p>
        </w:tc>
        <w:tc>
          <w:tcPr>
            <w:tcW w:w="466" w:type="dxa"/>
          </w:tcPr>
          <w:p>
            <w:pPr>
              <w:pStyle w:val="TableParagraph"/>
              <w:spacing w:before="1"/>
              <w:rPr>
                <w:sz w:val="18"/>
              </w:rPr>
            </w:pPr>
            <w:r>
              <w:rPr>
                <w:w w:val="99"/>
                <w:sz w:val="18"/>
              </w:rPr>
              <w:t>0</w:t>
            </w:r>
          </w:p>
        </w:tc>
        <w:tc>
          <w:tcPr>
            <w:tcW w:w="466" w:type="dxa"/>
          </w:tcPr>
          <w:p>
            <w:pPr>
              <w:pStyle w:val="TableParagraph"/>
              <w:spacing w:before="1"/>
              <w:ind w:right="176"/>
              <w:jc w:val="right"/>
              <w:rPr>
                <w:sz w:val="18"/>
              </w:rPr>
            </w:pPr>
            <w:r>
              <w:rPr>
                <w:w w:val="99"/>
                <w:sz w:val="18"/>
              </w:rPr>
              <w:t>0</w:t>
            </w:r>
          </w:p>
        </w:tc>
        <w:tc>
          <w:tcPr>
            <w:tcW w:w="463" w:type="dxa"/>
          </w:tcPr>
          <w:p>
            <w:pPr>
              <w:pStyle w:val="TableParagraph"/>
              <w:spacing w:before="1"/>
              <w:ind w:right="176"/>
              <w:jc w:val="right"/>
              <w:rPr>
                <w:sz w:val="18"/>
              </w:rPr>
            </w:pPr>
            <w:r>
              <w:rPr>
                <w:w w:val="99"/>
                <w:sz w:val="18"/>
              </w:rPr>
              <w:t>0</w:t>
            </w:r>
          </w:p>
        </w:tc>
        <w:tc>
          <w:tcPr>
            <w:tcW w:w="476" w:type="dxa"/>
          </w:tcPr>
          <w:p>
            <w:pPr>
              <w:pStyle w:val="TableParagraph"/>
              <w:spacing w:before="1"/>
              <w:ind w:left="4"/>
              <w:rPr>
                <w:sz w:val="18"/>
              </w:rPr>
            </w:pPr>
            <w:r>
              <w:rPr>
                <w:w w:val="99"/>
                <w:sz w:val="18"/>
              </w:rPr>
              <w:t>0</w:t>
            </w:r>
          </w:p>
        </w:tc>
        <w:tc>
          <w:tcPr>
            <w:tcW w:w="466" w:type="dxa"/>
          </w:tcPr>
          <w:p>
            <w:pPr>
              <w:pStyle w:val="TableParagraph"/>
              <w:spacing w:before="1"/>
              <w:rPr>
                <w:sz w:val="18"/>
              </w:rPr>
            </w:pPr>
            <w:r>
              <w:rPr>
                <w:w w:val="99"/>
                <w:sz w:val="18"/>
              </w:rPr>
              <w:t>0</w:t>
            </w:r>
          </w:p>
        </w:tc>
        <w:tc>
          <w:tcPr>
            <w:tcW w:w="466" w:type="dxa"/>
          </w:tcPr>
          <w:p>
            <w:pPr>
              <w:pStyle w:val="TableParagraph"/>
              <w:spacing w:before="1"/>
              <w:ind w:left="177"/>
              <w:jc w:val="left"/>
              <w:rPr>
                <w:sz w:val="18"/>
              </w:rPr>
            </w:pPr>
            <w:r>
              <w:rPr>
                <w:w w:val="99"/>
                <w:sz w:val="18"/>
              </w:rPr>
              <w:t>0</w:t>
            </w:r>
          </w:p>
        </w:tc>
        <w:tc>
          <w:tcPr>
            <w:tcW w:w="475" w:type="dxa"/>
          </w:tcPr>
          <w:p>
            <w:pPr>
              <w:pStyle w:val="TableParagraph"/>
              <w:spacing w:before="1"/>
              <w:ind w:left="182"/>
              <w:jc w:val="left"/>
              <w:rPr>
                <w:sz w:val="18"/>
              </w:rPr>
            </w:pPr>
            <w:r>
              <w:rPr>
                <w:w w:val="99"/>
                <w:sz w:val="18"/>
              </w:rPr>
              <w:t>0</w:t>
            </w:r>
          </w:p>
        </w:tc>
        <w:tc>
          <w:tcPr>
            <w:tcW w:w="475" w:type="dxa"/>
          </w:tcPr>
          <w:p>
            <w:pPr>
              <w:pStyle w:val="TableParagraph"/>
              <w:spacing w:before="1"/>
              <w:ind w:left="182"/>
              <w:jc w:val="left"/>
              <w:rPr>
                <w:sz w:val="18"/>
              </w:rPr>
            </w:pPr>
            <w:r>
              <w:rPr>
                <w:w w:val="99"/>
                <w:sz w:val="18"/>
              </w:rPr>
              <w:t>0</w:t>
            </w:r>
          </w:p>
        </w:tc>
        <w:tc>
          <w:tcPr>
            <w:tcW w:w="463" w:type="dxa"/>
          </w:tcPr>
          <w:p>
            <w:pPr>
              <w:pStyle w:val="TableParagraph"/>
              <w:spacing w:before="1"/>
              <w:ind w:right="1"/>
              <w:rPr>
                <w:sz w:val="18"/>
              </w:rPr>
            </w:pPr>
            <w:r>
              <w:rPr>
                <w:w w:val="99"/>
                <w:sz w:val="18"/>
              </w:rPr>
              <w:t>0</w:t>
            </w:r>
          </w:p>
        </w:tc>
        <w:tc>
          <w:tcPr>
            <w:tcW w:w="466" w:type="dxa"/>
          </w:tcPr>
          <w:p>
            <w:pPr>
              <w:pStyle w:val="TableParagraph"/>
              <w:spacing w:before="1"/>
              <w:ind w:right="176"/>
              <w:jc w:val="right"/>
              <w:rPr>
                <w:sz w:val="18"/>
              </w:rPr>
            </w:pPr>
            <w:r>
              <w:rPr>
                <w:w w:val="99"/>
                <w:sz w:val="18"/>
              </w:rPr>
              <w:t>0</w:t>
            </w:r>
          </w:p>
        </w:tc>
        <w:tc>
          <w:tcPr>
            <w:tcW w:w="466" w:type="dxa"/>
          </w:tcPr>
          <w:p>
            <w:pPr>
              <w:pStyle w:val="TableParagraph"/>
              <w:spacing w:before="1"/>
              <w:ind w:right="1"/>
              <w:rPr>
                <w:sz w:val="18"/>
              </w:rPr>
            </w:pPr>
            <w:r>
              <w:rPr>
                <w:w w:val="99"/>
                <w:sz w:val="18"/>
              </w:rPr>
              <w:t>0</w:t>
            </w:r>
          </w:p>
        </w:tc>
        <w:tc>
          <w:tcPr>
            <w:tcW w:w="466" w:type="dxa"/>
          </w:tcPr>
          <w:p>
            <w:pPr>
              <w:pStyle w:val="TableParagraph"/>
              <w:spacing w:before="1"/>
              <w:ind w:left="177"/>
              <w:jc w:val="left"/>
              <w:rPr>
                <w:sz w:val="18"/>
              </w:rPr>
            </w:pPr>
            <w:r>
              <w:rPr>
                <w:w w:val="99"/>
                <w:sz w:val="18"/>
              </w:rPr>
              <w:t>0</w:t>
            </w:r>
          </w:p>
        </w:tc>
        <w:tc>
          <w:tcPr>
            <w:tcW w:w="475" w:type="dxa"/>
          </w:tcPr>
          <w:p>
            <w:pPr>
              <w:pStyle w:val="TableParagraph"/>
              <w:spacing w:line="204" w:lineRule="exact"/>
              <w:rPr>
                <w:b/>
                <w:sz w:val="18"/>
              </w:rPr>
            </w:pPr>
            <w:r>
              <w:rPr>
                <w:b/>
                <w:w w:val="99"/>
                <w:sz w:val="18"/>
              </w:rPr>
              <w:t>0</w:t>
            </w:r>
          </w:p>
        </w:tc>
      </w:tr>
      <w:tr>
        <w:trPr>
          <w:trHeight w:val="322" w:hRule="exact"/>
        </w:trPr>
        <w:tc>
          <w:tcPr>
            <w:tcW w:w="3000" w:type="dxa"/>
            <w:tcBorders>
              <w:left w:val="single" w:sz="8" w:space="0" w:color="000000"/>
            </w:tcBorders>
          </w:tcPr>
          <w:p>
            <w:pPr>
              <w:pStyle w:val="TableParagraph"/>
              <w:spacing w:line="201" w:lineRule="exact"/>
              <w:ind w:left="62"/>
              <w:jc w:val="left"/>
              <w:rPr>
                <w:b/>
                <w:sz w:val="18"/>
              </w:rPr>
            </w:pPr>
            <w:r>
              <w:rPr>
                <w:b/>
                <w:color w:val="333333"/>
                <w:sz w:val="18"/>
              </w:rPr>
              <w:t>CUAUTITLAN</w:t>
            </w:r>
          </w:p>
        </w:tc>
        <w:tc>
          <w:tcPr>
            <w:tcW w:w="588" w:type="dxa"/>
          </w:tcPr>
          <w:p>
            <w:pPr>
              <w:pStyle w:val="TableParagraph"/>
              <w:spacing w:line="206" w:lineRule="exact"/>
              <w:ind w:left="1"/>
              <w:rPr>
                <w:sz w:val="18"/>
              </w:rPr>
            </w:pPr>
            <w:r>
              <w:rPr>
                <w:w w:val="99"/>
                <w:sz w:val="18"/>
              </w:rPr>
              <w:t>2</w:t>
            </w:r>
          </w:p>
        </w:tc>
        <w:tc>
          <w:tcPr>
            <w:tcW w:w="589" w:type="dxa"/>
          </w:tcPr>
          <w:p>
            <w:pPr>
              <w:pStyle w:val="TableParagraph"/>
              <w:spacing w:line="206" w:lineRule="exact"/>
              <w:ind w:left="2"/>
              <w:rPr>
                <w:sz w:val="18"/>
              </w:rPr>
            </w:pPr>
            <w:r>
              <w:rPr>
                <w:w w:val="99"/>
                <w:sz w:val="18"/>
              </w:rPr>
              <w:t>0</w:t>
            </w:r>
          </w:p>
        </w:tc>
        <w:tc>
          <w:tcPr>
            <w:tcW w:w="475" w:type="dxa"/>
          </w:tcPr>
          <w:p>
            <w:pPr>
              <w:pStyle w:val="TableParagraph"/>
              <w:spacing w:line="206" w:lineRule="exact"/>
              <w:rPr>
                <w:sz w:val="18"/>
              </w:rPr>
            </w:pPr>
            <w:r>
              <w:rPr>
                <w:w w:val="99"/>
                <w:sz w:val="18"/>
              </w:rPr>
              <w:t>0</w:t>
            </w:r>
          </w:p>
        </w:tc>
        <w:tc>
          <w:tcPr>
            <w:tcW w:w="473" w:type="dxa"/>
          </w:tcPr>
          <w:p>
            <w:pPr>
              <w:pStyle w:val="TableParagraph"/>
              <w:spacing w:line="206" w:lineRule="exact"/>
              <w:ind w:left="182"/>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76" w:type="dxa"/>
          </w:tcPr>
          <w:p>
            <w:pPr>
              <w:pStyle w:val="TableParagraph"/>
              <w:spacing w:line="206" w:lineRule="exact"/>
              <w:ind w:left="4"/>
              <w:rPr>
                <w:sz w:val="18"/>
              </w:rPr>
            </w:pPr>
            <w:r>
              <w:rPr>
                <w:w w:val="99"/>
                <w:sz w:val="18"/>
              </w:rPr>
              <w:t>2</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left="177"/>
              <w:jc w:val="left"/>
              <w:rPr>
                <w:sz w:val="18"/>
              </w:rPr>
            </w:pPr>
            <w:r>
              <w:rPr>
                <w:w w:val="99"/>
                <w:sz w:val="18"/>
              </w:rPr>
              <w:t>1</w:t>
            </w:r>
          </w:p>
        </w:tc>
        <w:tc>
          <w:tcPr>
            <w:tcW w:w="475" w:type="dxa"/>
          </w:tcPr>
          <w:p>
            <w:pPr>
              <w:pStyle w:val="TableParagraph"/>
              <w:spacing w:line="206" w:lineRule="exact"/>
              <w:ind w:left="182"/>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63"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75" w:type="dxa"/>
          </w:tcPr>
          <w:p>
            <w:pPr>
              <w:pStyle w:val="TableParagraph"/>
              <w:spacing w:line="201" w:lineRule="exact"/>
              <w:rPr>
                <w:b/>
                <w:sz w:val="18"/>
              </w:rPr>
            </w:pPr>
            <w:r>
              <w:rPr>
                <w:b/>
                <w:w w:val="99"/>
                <w:sz w:val="18"/>
              </w:rPr>
              <w:t>1</w:t>
            </w:r>
          </w:p>
        </w:tc>
      </w:tr>
      <w:tr>
        <w:trPr>
          <w:trHeight w:val="319" w:hRule="exact"/>
        </w:trPr>
        <w:tc>
          <w:tcPr>
            <w:tcW w:w="3000" w:type="dxa"/>
            <w:tcBorders>
              <w:left w:val="single" w:sz="8" w:space="0" w:color="000000"/>
            </w:tcBorders>
          </w:tcPr>
          <w:p>
            <w:pPr>
              <w:pStyle w:val="TableParagraph"/>
              <w:spacing w:line="201" w:lineRule="exact"/>
              <w:ind w:left="62"/>
              <w:jc w:val="left"/>
              <w:rPr>
                <w:b/>
                <w:sz w:val="18"/>
              </w:rPr>
            </w:pPr>
            <w:r>
              <w:rPr>
                <w:b/>
                <w:color w:val="333333"/>
                <w:sz w:val="18"/>
              </w:rPr>
              <w:t>CUAUTITLAN IZCALLI</w:t>
            </w:r>
          </w:p>
        </w:tc>
        <w:tc>
          <w:tcPr>
            <w:tcW w:w="588" w:type="dxa"/>
          </w:tcPr>
          <w:p>
            <w:pPr>
              <w:pStyle w:val="TableParagraph"/>
              <w:spacing w:line="206" w:lineRule="exact"/>
              <w:ind w:left="1"/>
              <w:rPr>
                <w:sz w:val="18"/>
              </w:rPr>
            </w:pPr>
            <w:r>
              <w:rPr>
                <w:w w:val="99"/>
                <w:sz w:val="18"/>
              </w:rPr>
              <w:t>0</w:t>
            </w:r>
          </w:p>
        </w:tc>
        <w:tc>
          <w:tcPr>
            <w:tcW w:w="589" w:type="dxa"/>
          </w:tcPr>
          <w:p>
            <w:pPr>
              <w:pStyle w:val="TableParagraph"/>
              <w:spacing w:line="206" w:lineRule="exact"/>
              <w:ind w:left="169" w:right="166"/>
              <w:rPr>
                <w:sz w:val="18"/>
              </w:rPr>
            </w:pPr>
            <w:r>
              <w:rPr>
                <w:sz w:val="18"/>
              </w:rPr>
              <w:t>11</w:t>
            </w:r>
          </w:p>
        </w:tc>
        <w:tc>
          <w:tcPr>
            <w:tcW w:w="475" w:type="dxa"/>
          </w:tcPr>
          <w:p>
            <w:pPr>
              <w:pStyle w:val="TableParagraph"/>
              <w:spacing w:line="206" w:lineRule="exact"/>
              <w:rPr>
                <w:sz w:val="18"/>
              </w:rPr>
            </w:pPr>
            <w:r>
              <w:rPr>
                <w:w w:val="99"/>
                <w:sz w:val="18"/>
              </w:rPr>
              <w:t>0</w:t>
            </w:r>
          </w:p>
        </w:tc>
        <w:tc>
          <w:tcPr>
            <w:tcW w:w="473" w:type="dxa"/>
          </w:tcPr>
          <w:p>
            <w:pPr>
              <w:pStyle w:val="TableParagraph"/>
              <w:spacing w:line="206" w:lineRule="exact"/>
              <w:ind w:left="182"/>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76" w:type="dxa"/>
          </w:tcPr>
          <w:p>
            <w:pPr>
              <w:pStyle w:val="TableParagraph"/>
              <w:spacing w:line="206" w:lineRule="exact"/>
              <w:ind w:left="114" w:right="110"/>
              <w:rPr>
                <w:sz w:val="18"/>
              </w:rPr>
            </w:pPr>
            <w:r>
              <w:rPr>
                <w:sz w:val="18"/>
              </w:rPr>
              <w:t>11</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63"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75" w:type="dxa"/>
          </w:tcPr>
          <w:p>
            <w:pPr>
              <w:pStyle w:val="TableParagraph"/>
              <w:spacing w:line="201" w:lineRule="exact"/>
              <w:rPr>
                <w:b/>
                <w:sz w:val="18"/>
              </w:rPr>
            </w:pPr>
            <w:r>
              <w:rPr>
                <w:b/>
                <w:w w:val="99"/>
                <w:sz w:val="18"/>
              </w:rPr>
              <w:t>0</w:t>
            </w:r>
          </w:p>
        </w:tc>
      </w:tr>
      <w:tr>
        <w:trPr>
          <w:trHeight w:val="322" w:hRule="exact"/>
        </w:trPr>
        <w:tc>
          <w:tcPr>
            <w:tcW w:w="3000" w:type="dxa"/>
            <w:tcBorders>
              <w:left w:val="single" w:sz="8" w:space="0" w:color="000000"/>
            </w:tcBorders>
          </w:tcPr>
          <w:p>
            <w:pPr>
              <w:pStyle w:val="TableParagraph"/>
              <w:spacing w:line="201" w:lineRule="exact"/>
              <w:ind w:left="62"/>
              <w:jc w:val="left"/>
              <w:rPr>
                <w:b/>
                <w:sz w:val="18"/>
              </w:rPr>
            </w:pPr>
            <w:r>
              <w:rPr>
                <w:b/>
                <w:color w:val="333333"/>
                <w:sz w:val="18"/>
              </w:rPr>
              <w:t>DONATO GUERRA</w:t>
            </w:r>
          </w:p>
        </w:tc>
        <w:tc>
          <w:tcPr>
            <w:tcW w:w="588" w:type="dxa"/>
          </w:tcPr>
          <w:p>
            <w:pPr>
              <w:pStyle w:val="TableParagraph"/>
              <w:spacing w:line="206" w:lineRule="exact"/>
              <w:ind w:left="1"/>
              <w:rPr>
                <w:sz w:val="18"/>
              </w:rPr>
            </w:pPr>
            <w:r>
              <w:rPr>
                <w:w w:val="99"/>
                <w:sz w:val="18"/>
              </w:rPr>
              <w:t>0</w:t>
            </w:r>
          </w:p>
        </w:tc>
        <w:tc>
          <w:tcPr>
            <w:tcW w:w="589" w:type="dxa"/>
          </w:tcPr>
          <w:p>
            <w:pPr>
              <w:pStyle w:val="TableParagraph"/>
              <w:spacing w:line="206" w:lineRule="exact"/>
              <w:ind w:left="2"/>
              <w:rPr>
                <w:sz w:val="18"/>
              </w:rPr>
            </w:pPr>
            <w:r>
              <w:rPr>
                <w:w w:val="99"/>
                <w:sz w:val="18"/>
              </w:rPr>
              <w:t>0</w:t>
            </w:r>
          </w:p>
        </w:tc>
        <w:tc>
          <w:tcPr>
            <w:tcW w:w="475" w:type="dxa"/>
          </w:tcPr>
          <w:p>
            <w:pPr>
              <w:pStyle w:val="TableParagraph"/>
              <w:spacing w:line="206" w:lineRule="exact"/>
              <w:rPr>
                <w:sz w:val="18"/>
              </w:rPr>
            </w:pPr>
            <w:r>
              <w:rPr>
                <w:w w:val="99"/>
                <w:sz w:val="18"/>
              </w:rPr>
              <w:t>0</w:t>
            </w:r>
          </w:p>
        </w:tc>
        <w:tc>
          <w:tcPr>
            <w:tcW w:w="473" w:type="dxa"/>
          </w:tcPr>
          <w:p>
            <w:pPr>
              <w:pStyle w:val="TableParagraph"/>
              <w:spacing w:line="206" w:lineRule="exact"/>
              <w:ind w:left="182"/>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76" w:type="dxa"/>
          </w:tcPr>
          <w:p>
            <w:pPr>
              <w:pStyle w:val="TableParagraph"/>
              <w:spacing w:line="206" w:lineRule="exact"/>
              <w:ind w:left="4"/>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63"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75" w:type="dxa"/>
          </w:tcPr>
          <w:p>
            <w:pPr>
              <w:pStyle w:val="TableParagraph"/>
              <w:spacing w:line="201" w:lineRule="exact"/>
              <w:rPr>
                <w:b/>
                <w:sz w:val="18"/>
              </w:rPr>
            </w:pPr>
            <w:r>
              <w:rPr>
                <w:b/>
                <w:w w:val="99"/>
                <w:sz w:val="18"/>
              </w:rPr>
              <w:t>0</w:t>
            </w:r>
          </w:p>
        </w:tc>
      </w:tr>
      <w:tr>
        <w:trPr>
          <w:trHeight w:val="319" w:hRule="exact"/>
        </w:trPr>
        <w:tc>
          <w:tcPr>
            <w:tcW w:w="3000" w:type="dxa"/>
            <w:tcBorders>
              <w:left w:val="single" w:sz="8" w:space="0" w:color="000000"/>
            </w:tcBorders>
          </w:tcPr>
          <w:p>
            <w:pPr>
              <w:pStyle w:val="TableParagraph"/>
              <w:spacing w:line="201" w:lineRule="exact"/>
              <w:ind w:left="62"/>
              <w:jc w:val="left"/>
              <w:rPr>
                <w:b/>
                <w:sz w:val="18"/>
              </w:rPr>
            </w:pPr>
            <w:r>
              <w:rPr>
                <w:b/>
                <w:color w:val="333333"/>
                <w:sz w:val="18"/>
              </w:rPr>
              <w:t>ECATEPEC DE MORELOS</w:t>
            </w:r>
          </w:p>
        </w:tc>
        <w:tc>
          <w:tcPr>
            <w:tcW w:w="588" w:type="dxa"/>
          </w:tcPr>
          <w:p>
            <w:pPr>
              <w:pStyle w:val="TableParagraph"/>
              <w:spacing w:line="206" w:lineRule="exact"/>
              <w:ind w:left="1"/>
              <w:rPr>
                <w:sz w:val="18"/>
              </w:rPr>
            </w:pPr>
            <w:r>
              <w:rPr>
                <w:w w:val="99"/>
                <w:sz w:val="18"/>
              </w:rPr>
              <w:t>2</w:t>
            </w:r>
          </w:p>
        </w:tc>
        <w:tc>
          <w:tcPr>
            <w:tcW w:w="589" w:type="dxa"/>
          </w:tcPr>
          <w:p>
            <w:pPr>
              <w:pStyle w:val="TableParagraph"/>
              <w:spacing w:line="206" w:lineRule="exact"/>
              <w:ind w:left="2"/>
              <w:rPr>
                <w:sz w:val="18"/>
              </w:rPr>
            </w:pPr>
            <w:r>
              <w:rPr>
                <w:w w:val="99"/>
                <w:sz w:val="18"/>
              </w:rPr>
              <w:t>0</w:t>
            </w:r>
          </w:p>
        </w:tc>
        <w:tc>
          <w:tcPr>
            <w:tcW w:w="475" w:type="dxa"/>
          </w:tcPr>
          <w:p>
            <w:pPr>
              <w:pStyle w:val="TableParagraph"/>
              <w:spacing w:line="206" w:lineRule="exact"/>
              <w:rPr>
                <w:sz w:val="18"/>
              </w:rPr>
            </w:pPr>
            <w:r>
              <w:rPr>
                <w:w w:val="99"/>
                <w:sz w:val="18"/>
              </w:rPr>
              <w:t>0</w:t>
            </w:r>
          </w:p>
        </w:tc>
        <w:tc>
          <w:tcPr>
            <w:tcW w:w="473" w:type="dxa"/>
          </w:tcPr>
          <w:p>
            <w:pPr>
              <w:pStyle w:val="TableParagraph"/>
              <w:spacing w:line="206" w:lineRule="exact"/>
              <w:ind w:left="182"/>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76" w:type="dxa"/>
          </w:tcPr>
          <w:p>
            <w:pPr>
              <w:pStyle w:val="TableParagraph"/>
              <w:spacing w:line="206" w:lineRule="exact"/>
              <w:ind w:left="4"/>
              <w:rPr>
                <w:sz w:val="18"/>
              </w:rPr>
            </w:pPr>
            <w:r>
              <w:rPr>
                <w:w w:val="99"/>
                <w:sz w:val="18"/>
              </w:rPr>
              <w:t>2</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63"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75" w:type="dxa"/>
          </w:tcPr>
          <w:p>
            <w:pPr>
              <w:pStyle w:val="TableParagraph"/>
              <w:spacing w:line="201" w:lineRule="exact"/>
              <w:rPr>
                <w:b/>
                <w:sz w:val="18"/>
              </w:rPr>
            </w:pPr>
            <w:r>
              <w:rPr>
                <w:b/>
                <w:w w:val="99"/>
                <w:sz w:val="18"/>
              </w:rPr>
              <w:t>0</w:t>
            </w:r>
          </w:p>
        </w:tc>
      </w:tr>
      <w:tr>
        <w:trPr>
          <w:trHeight w:val="322" w:hRule="exact"/>
        </w:trPr>
        <w:tc>
          <w:tcPr>
            <w:tcW w:w="3000" w:type="dxa"/>
            <w:tcBorders>
              <w:left w:val="single" w:sz="8" w:space="0" w:color="000000"/>
            </w:tcBorders>
          </w:tcPr>
          <w:p>
            <w:pPr>
              <w:pStyle w:val="TableParagraph"/>
              <w:spacing w:line="201" w:lineRule="exact"/>
              <w:ind w:left="62"/>
              <w:jc w:val="left"/>
              <w:rPr>
                <w:b/>
                <w:sz w:val="18"/>
              </w:rPr>
            </w:pPr>
            <w:r>
              <w:rPr>
                <w:b/>
                <w:color w:val="333333"/>
                <w:sz w:val="18"/>
              </w:rPr>
              <w:t>ECATZINGO</w:t>
            </w:r>
          </w:p>
        </w:tc>
        <w:tc>
          <w:tcPr>
            <w:tcW w:w="588" w:type="dxa"/>
          </w:tcPr>
          <w:p>
            <w:pPr>
              <w:pStyle w:val="TableParagraph"/>
              <w:spacing w:line="206" w:lineRule="exact"/>
              <w:ind w:left="1"/>
              <w:rPr>
                <w:sz w:val="18"/>
              </w:rPr>
            </w:pPr>
            <w:r>
              <w:rPr>
                <w:w w:val="99"/>
                <w:sz w:val="18"/>
              </w:rPr>
              <w:t>0</w:t>
            </w:r>
          </w:p>
        </w:tc>
        <w:tc>
          <w:tcPr>
            <w:tcW w:w="589" w:type="dxa"/>
          </w:tcPr>
          <w:p>
            <w:pPr>
              <w:pStyle w:val="TableParagraph"/>
              <w:spacing w:line="206" w:lineRule="exact"/>
              <w:ind w:left="2"/>
              <w:rPr>
                <w:sz w:val="18"/>
              </w:rPr>
            </w:pPr>
            <w:r>
              <w:rPr>
                <w:w w:val="99"/>
                <w:sz w:val="18"/>
              </w:rPr>
              <w:t>0</w:t>
            </w:r>
          </w:p>
        </w:tc>
        <w:tc>
          <w:tcPr>
            <w:tcW w:w="475" w:type="dxa"/>
          </w:tcPr>
          <w:p>
            <w:pPr>
              <w:pStyle w:val="TableParagraph"/>
              <w:spacing w:line="206" w:lineRule="exact"/>
              <w:rPr>
                <w:sz w:val="18"/>
              </w:rPr>
            </w:pPr>
            <w:r>
              <w:rPr>
                <w:w w:val="99"/>
                <w:sz w:val="18"/>
              </w:rPr>
              <w:t>0</w:t>
            </w:r>
          </w:p>
        </w:tc>
        <w:tc>
          <w:tcPr>
            <w:tcW w:w="473" w:type="dxa"/>
          </w:tcPr>
          <w:p>
            <w:pPr>
              <w:pStyle w:val="TableParagraph"/>
              <w:spacing w:line="206" w:lineRule="exact"/>
              <w:ind w:left="182"/>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76" w:type="dxa"/>
          </w:tcPr>
          <w:p>
            <w:pPr>
              <w:pStyle w:val="TableParagraph"/>
              <w:spacing w:line="206" w:lineRule="exact"/>
              <w:ind w:left="4"/>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63"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75" w:type="dxa"/>
          </w:tcPr>
          <w:p>
            <w:pPr>
              <w:pStyle w:val="TableParagraph"/>
              <w:spacing w:line="201" w:lineRule="exact"/>
              <w:rPr>
                <w:b/>
                <w:sz w:val="18"/>
              </w:rPr>
            </w:pPr>
            <w:r>
              <w:rPr>
                <w:b/>
                <w:w w:val="99"/>
                <w:sz w:val="18"/>
              </w:rPr>
              <w:t>0</w:t>
            </w:r>
          </w:p>
        </w:tc>
      </w:tr>
      <w:tr>
        <w:trPr>
          <w:trHeight w:val="320" w:hRule="exact"/>
        </w:trPr>
        <w:tc>
          <w:tcPr>
            <w:tcW w:w="3000" w:type="dxa"/>
            <w:tcBorders>
              <w:left w:val="single" w:sz="8" w:space="0" w:color="000000"/>
            </w:tcBorders>
          </w:tcPr>
          <w:p>
            <w:pPr>
              <w:pStyle w:val="TableParagraph"/>
              <w:spacing w:line="202" w:lineRule="exact"/>
              <w:ind w:left="62"/>
              <w:jc w:val="left"/>
              <w:rPr>
                <w:b/>
                <w:sz w:val="18"/>
              </w:rPr>
            </w:pPr>
            <w:r>
              <w:rPr>
                <w:b/>
                <w:color w:val="333333"/>
                <w:sz w:val="18"/>
              </w:rPr>
              <w:t>EL ORO</w:t>
            </w:r>
          </w:p>
        </w:tc>
        <w:tc>
          <w:tcPr>
            <w:tcW w:w="588" w:type="dxa"/>
          </w:tcPr>
          <w:p>
            <w:pPr>
              <w:pStyle w:val="TableParagraph"/>
              <w:spacing w:line="207" w:lineRule="exact"/>
              <w:ind w:left="1"/>
              <w:rPr>
                <w:sz w:val="18"/>
              </w:rPr>
            </w:pPr>
            <w:r>
              <w:rPr>
                <w:w w:val="99"/>
                <w:sz w:val="18"/>
              </w:rPr>
              <w:t>0</w:t>
            </w:r>
          </w:p>
        </w:tc>
        <w:tc>
          <w:tcPr>
            <w:tcW w:w="589" w:type="dxa"/>
          </w:tcPr>
          <w:p>
            <w:pPr>
              <w:pStyle w:val="TableParagraph"/>
              <w:spacing w:line="207" w:lineRule="exact"/>
              <w:ind w:left="2"/>
              <w:rPr>
                <w:sz w:val="18"/>
              </w:rPr>
            </w:pPr>
            <w:r>
              <w:rPr>
                <w:w w:val="99"/>
                <w:sz w:val="18"/>
              </w:rPr>
              <w:t>0</w:t>
            </w:r>
          </w:p>
        </w:tc>
        <w:tc>
          <w:tcPr>
            <w:tcW w:w="475" w:type="dxa"/>
          </w:tcPr>
          <w:p>
            <w:pPr>
              <w:pStyle w:val="TableParagraph"/>
              <w:spacing w:line="207" w:lineRule="exact"/>
              <w:ind w:left="60" w:right="60"/>
              <w:rPr>
                <w:sz w:val="18"/>
              </w:rPr>
            </w:pPr>
            <w:r>
              <w:rPr>
                <w:sz w:val="18"/>
              </w:rPr>
              <w:t>92</w:t>
            </w:r>
          </w:p>
        </w:tc>
        <w:tc>
          <w:tcPr>
            <w:tcW w:w="473" w:type="dxa"/>
          </w:tcPr>
          <w:p>
            <w:pPr>
              <w:pStyle w:val="TableParagraph"/>
              <w:spacing w:line="207" w:lineRule="exact"/>
              <w:ind w:left="182"/>
              <w:jc w:val="left"/>
              <w:rPr>
                <w:sz w:val="18"/>
              </w:rPr>
            </w:pPr>
            <w:r>
              <w:rPr>
                <w:w w:val="99"/>
                <w:sz w:val="18"/>
              </w:rPr>
              <w:t>3</w:t>
            </w:r>
          </w:p>
        </w:tc>
        <w:tc>
          <w:tcPr>
            <w:tcW w:w="466" w:type="dxa"/>
          </w:tcPr>
          <w:p>
            <w:pPr>
              <w:pStyle w:val="TableParagraph"/>
              <w:spacing w:line="207" w:lineRule="exact"/>
              <w:ind w:left="177"/>
              <w:jc w:val="left"/>
              <w:rPr>
                <w:sz w:val="18"/>
              </w:rPr>
            </w:pPr>
            <w:r>
              <w:rPr>
                <w:w w:val="99"/>
                <w:sz w:val="18"/>
              </w:rPr>
              <w:t>0</w:t>
            </w:r>
          </w:p>
        </w:tc>
        <w:tc>
          <w:tcPr>
            <w:tcW w:w="466" w:type="dxa"/>
          </w:tcPr>
          <w:p>
            <w:pPr>
              <w:pStyle w:val="TableParagraph"/>
              <w:spacing w:line="207" w:lineRule="exact"/>
              <w:rPr>
                <w:sz w:val="18"/>
              </w:rPr>
            </w:pPr>
            <w:r>
              <w:rPr>
                <w:w w:val="99"/>
                <w:sz w:val="18"/>
              </w:rPr>
              <w:t>0</w:t>
            </w:r>
          </w:p>
        </w:tc>
        <w:tc>
          <w:tcPr>
            <w:tcW w:w="466" w:type="dxa"/>
          </w:tcPr>
          <w:p>
            <w:pPr>
              <w:pStyle w:val="TableParagraph"/>
              <w:spacing w:line="207" w:lineRule="exact"/>
              <w:ind w:right="176"/>
              <w:jc w:val="right"/>
              <w:rPr>
                <w:sz w:val="18"/>
              </w:rPr>
            </w:pPr>
            <w:r>
              <w:rPr>
                <w:w w:val="99"/>
                <w:sz w:val="18"/>
              </w:rPr>
              <w:t>0</w:t>
            </w:r>
          </w:p>
        </w:tc>
        <w:tc>
          <w:tcPr>
            <w:tcW w:w="463" w:type="dxa"/>
          </w:tcPr>
          <w:p>
            <w:pPr>
              <w:pStyle w:val="TableParagraph"/>
              <w:spacing w:line="207" w:lineRule="exact"/>
              <w:ind w:right="176"/>
              <w:jc w:val="right"/>
              <w:rPr>
                <w:sz w:val="18"/>
              </w:rPr>
            </w:pPr>
            <w:r>
              <w:rPr>
                <w:w w:val="99"/>
                <w:sz w:val="18"/>
              </w:rPr>
              <w:t>0</w:t>
            </w:r>
          </w:p>
        </w:tc>
        <w:tc>
          <w:tcPr>
            <w:tcW w:w="476" w:type="dxa"/>
          </w:tcPr>
          <w:p>
            <w:pPr>
              <w:pStyle w:val="TableParagraph"/>
              <w:spacing w:line="207" w:lineRule="exact"/>
              <w:ind w:left="114" w:right="110"/>
              <w:rPr>
                <w:sz w:val="18"/>
              </w:rPr>
            </w:pPr>
            <w:r>
              <w:rPr>
                <w:sz w:val="18"/>
              </w:rPr>
              <w:t>95</w:t>
            </w:r>
          </w:p>
        </w:tc>
        <w:tc>
          <w:tcPr>
            <w:tcW w:w="466" w:type="dxa"/>
          </w:tcPr>
          <w:p>
            <w:pPr>
              <w:pStyle w:val="TableParagraph"/>
              <w:spacing w:line="207" w:lineRule="exact"/>
              <w:rPr>
                <w:sz w:val="18"/>
              </w:rPr>
            </w:pPr>
            <w:r>
              <w:rPr>
                <w:w w:val="99"/>
                <w:sz w:val="18"/>
              </w:rPr>
              <w:t>0</w:t>
            </w:r>
          </w:p>
        </w:tc>
        <w:tc>
          <w:tcPr>
            <w:tcW w:w="466" w:type="dxa"/>
          </w:tcPr>
          <w:p>
            <w:pPr>
              <w:pStyle w:val="TableParagraph"/>
              <w:spacing w:line="207" w:lineRule="exact"/>
              <w:ind w:left="177"/>
              <w:jc w:val="left"/>
              <w:rPr>
                <w:sz w:val="18"/>
              </w:rPr>
            </w:pPr>
            <w:r>
              <w:rPr>
                <w:w w:val="99"/>
                <w:sz w:val="18"/>
              </w:rPr>
              <w:t>0</w:t>
            </w:r>
          </w:p>
        </w:tc>
        <w:tc>
          <w:tcPr>
            <w:tcW w:w="475" w:type="dxa"/>
          </w:tcPr>
          <w:p>
            <w:pPr>
              <w:pStyle w:val="TableParagraph"/>
              <w:spacing w:line="207" w:lineRule="exact"/>
              <w:ind w:left="131"/>
              <w:jc w:val="left"/>
              <w:rPr>
                <w:sz w:val="18"/>
              </w:rPr>
            </w:pPr>
            <w:r>
              <w:rPr>
                <w:sz w:val="18"/>
              </w:rPr>
              <w:t>11</w:t>
            </w:r>
          </w:p>
        </w:tc>
        <w:tc>
          <w:tcPr>
            <w:tcW w:w="475" w:type="dxa"/>
          </w:tcPr>
          <w:p>
            <w:pPr>
              <w:pStyle w:val="TableParagraph"/>
              <w:spacing w:line="207" w:lineRule="exact"/>
              <w:ind w:left="182"/>
              <w:jc w:val="left"/>
              <w:rPr>
                <w:sz w:val="18"/>
              </w:rPr>
            </w:pPr>
            <w:r>
              <w:rPr>
                <w:w w:val="99"/>
                <w:sz w:val="18"/>
              </w:rPr>
              <w:t>0</w:t>
            </w:r>
          </w:p>
        </w:tc>
        <w:tc>
          <w:tcPr>
            <w:tcW w:w="463" w:type="dxa"/>
          </w:tcPr>
          <w:p>
            <w:pPr>
              <w:pStyle w:val="TableParagraph"/>
              <w:spacing w:line="207" w:lineRule="exact"/>
              <w:ind w:right="1"/>
              <w:rPr>
                <w:sz w:val="18"/>
              </w:rPr>
            </w:pPr>
            <w:r>
              <w:rPr>
                <w:w w:val="99"/>
                <w:sz w:val="18"/>
              </w:rPr>
              <w:t>0</w:t>
            </w:r>
          </w:p>
        </w:tc>
        <w:tc>
          <w:tcPr>
            <w:tcW w:w="466" w:type="dxa"/>
          </w:tcPr>
          <w:p>
            <w:pPr>
              <w:pStyle w:val="TableParagraph"/>
              <w:spacing w:line="207" w:lineRule="exact"/>
              <w:ind w:right="176"/>
              <w:jc w:val="right"/>
              <w:rPr>
                <w:sz w:val="18"/>
              </w:rPr>
            </w:pPr>
            <w:r>
              <w:rPr>
                <w:w w:val="99"/>
                <w:sz w:val="18"/>
              </w:rPr>
              <w:t>0</w:t>
            </w:r>
          </w:p>
        </w:tc>
        <w:tc>
          <w:tcPr>
            <w:tcW w:w="466" w:type="dxa"/>
          </w:tcPr>
          <w:p>
            <w:pPr>
              <w:pStyle w:val="TableParagraph"/>
              <w:spacing w:line="207" w:lineRule="exact"/>
              <w:ind w:right="1"/>
              <w:rPr>
                <w:sz w:val="18"/>
              </w:rPr>
            </w:pPr>
            <w:r>
              <w:rPr>
                <w:w w:val="99"/>
                <w:sz w:val="18"/>
              </w:rPr>
              <w:t>0</w:t>
            </w:r>
          </w:p>
        </w:tc>
        <w:tc>
          <w:tcPr>
            <w:tcW w:w="466" w:type="dxa"/>
          </w:tcPr>
          <w:p>
            <w:pPr>
              <w:pStyle w:val="TableParagraph"/>
              <w:spacing w:line="207" w:lineRule="exact"/>
              <w:ind w:left="177"/>
              <w:jc w:val="left"/>
              <w:rPr>
                <w:sz w:val="18"/>
              </w:rPr>
            </w:pPr>
            <w:r>
              <w:rPr>
                <w:w w:val="99"/>
                <w:sz w:val="18"/>
              </w:rPr>
              <w:t>0</w:t>
            </w:r>
          </w:p>
        </w:tc>
        <w:tc>
          <w:tcPr>
            <w:tcW w:w="475" w:type="dxa"/>
          </w:tcPr>
          <w:p>
            <w:pPr>
              <w:pStyle w:val="TableParagraph"/>
              <w:spacing w:line="202" w:lineRule="exact"/>
              <w:ind w:left="60" w:right="60"/>
              <w:rPr>
                <w:b/>
                <w:sz w:val="18"/>
              </w:rPr>
            </w:pPr>
            <w:r>
              <w:rPr>
                <w:b/>
                <w:sz w:val="18"/>
              </w:rPr>
              <w:t>11</w:t>
            </w:r>
          </w:p>
        </w:tc>
      </w:tr>
      <w:tr>
        <w:trPr>
          <w:trHeight w:val="322" w:hRule="exact"/>
        </w:trPr>
        <w:tc>
          <w:tcPr>
            <w:tcW w:w="3000" w:type="dxa"/>
            <w:tcBorders>
              <w:left w:val="single" w:sz="8" w:space="0" w:color="000000"/>
            </w:tcBorders>
          </w:tcPr>
          <w:p>
            <w:pPr>
              <w:pStyle w:val="TableParagraph"/>
              <w:spacing w:line="201" w:lineRule="exact"/>
              <w:ind w:left="62"/>
              <w:jc w:val="left"/>
              <w:rPr>
                <w:b/>
                <w:sz w:val="18"/>
              </w:rPr>
            </w:pPr>
            <w:r>
              <w:rPr>
                <w:b/>
                <w:color w:val="333333"/>
                <w:sz w:val="18"/>
              </w:rPr>
              <w:t>HUEHUETOCA</w:t>
            </w:r>
          </w:p>
        </w:tc>
        <w:tc>
          <w:tcPr>
            <w:tcW w:w="588" w:type="dxa"/>
          </w:tcPr>
          <w:p>
            <w:pPr>
              <w:pStyle w:val="TableParagraph"/>
              <w:spacing w:line="206" w:lineRule="exact"/>
              <w:ind w:left="1"/>
              <w:rPr>
                <w:sz w:val="18"/>
              </w:rPr>
            </w:pPr>
            <w:r>
              <w:rPr>
                <w:w w:val="99"/>
                <w:sz w:val="18"/>
              </w:rPr>
              <w:t>0</w:t>
            </w:r>
          </w:p>
        </w:tc>
        <w:tc>
          <w:tcPr>
            <w:tcW w:w="589" w:type="dxa"/>
          </w:tcPr>
          <w:p>
            <w:pPr>
              <w:pStyle w:val="TableParagraph"/>
              <w:spacing w:line="206" w:lineRule="exact"/>
              <w:ind w:left="2"/>
              <w:rPr>
                <w:sz w:val="18"/>
              </w:rPr>
            </w:pPr>
            <w:r>
              <w:rPr>
                <w:w w:val="99"/>
                <w:sz w:val="18"/>
              </w:rPr>
              <w:t>0</w:t>
            </w:r>
          </w:p>
        </w:tc>
        <w:tc>
          <w:tcPr>
            <w:tcW w:w="475" w:type="dxa"/>
          </w:tcPr>
          <w:p>
            <w:pPr>
              <w:pStyle w:val="TableParagraph"/>
              <w:spacing w:line="206" w:lineRule="exact"/>
              <w:rPr>
                <w:sz w:val="18"/>
              </w:rPr>
            </w:pPr>
            <w:r>
              <w:rPr>
                <w:w w:val="99"/>
                <w:sz w:val="18"/>
              </w:rPr>
              <w:t>0</w:t>
            </w:r>
          </w:p>
        </w:tc>
        <w:tc>
          <w:tcPr>
            <w:tcW w:w="473" w:type="dxa"/>
          </w:tcPr>
          <w:p>
            <w:pPr>
              <w:pStyle w:val="TableParagraph"/>
              <w:spacing w:line="206" w:lineRule="exact"/>
              <w:ind w:left="182"/>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76" w:type="dxa"/>
          </w:tcPr>
          <w:p>
            <w:pPr>
              <w:pStyle w:val="TableParagraph"/>
              <w:spacing w:line="206" w:lineRule="exact"/>
              <w:ind w:left="4"/>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63"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75" w:type="dxa"/>
          </w:tcPr>
          <w:p>
            <w:pPr>
              <w:pStyle w:val="TableParagraph"/>
              <w:spacing w:line="201" w:lineRule="exact"/>
              <w:rPr>
                <w:b/>
                <w:sz w:val="18"/>
              </w:rPr>
            </w:pPr>
            <w:r>
              <w:rPr>
                <w:b/>
                <w:w w:val="99"/>
                <w:sz w:val="18"/>
              </w:rPr>
              <w:t>0</w:t>
            </w:r>
          </w:p>
        </w:tc>
      </w:tr>
      <w:tr>
        <w:trPr>
          <w:trHeight w:val="319" w:hRule="exact"/>
        </w:trPr>
        <w:tc>
          <w:tcPr>
            <w:tcW w:w="3000" w:type="dxa"/>
            <w:tcBorders>
              <w:left w:val="single" w:sz="8" w:space="0" w:color="000000"/>
            </w:tcBorders>
          </w:tcPr>
          <w:p>
            <w:pPr>
              <w:pStyle w:val="TableParagraph"/>
              <w:spacing w:line="201" w:lineRule="exact"/>
              <w:ind w:left="62"/>
              <w:jc w:val="left"/>
              <w:rPr>
                <w:b/>
                <w:sz w:val="18"/>
              </w:rPr>
            </w:pPr>
            <w:r>
              <w:rPr>
                <w:b/>
                <w:color w:val="333333"/>
                <w:sz w:val="18"/>
              </w:rPr>
              <w:t>HUEYPOXTLA</w:t>
            </w:r>
          </w:p>
        </w:tc>
        <w:tc>
          <w:tcPr>
            <w:tcW w:w="588" w:type="dxa"/>
          </w:tcPr>
          <w:p>
            <w:pPr>
              <w:pStyle w:val="TableParagraph"/>
              <w:spacing w:line="206" w:lineRule="exact"/>
              <w:ind w:left="1"/>
              <w:rPr>
                <w:sz w:val="18"/>
              </w:rPr>
            </w:pPr>
            <w:r>
              <w:rPr>
                <w:w w:val="99"/>
                <w:sz w:val="18"/>
              </w:rPr>
              <w:t>0</w:t>
            </w:r>
          </w:p>
        </w:tc>
        <w:tc>
          <w:tcPr>
            <w:tcW w:w="589" w:type="dxa"/>
          </w:tcPr>
          <w:p>
            <w:pPr>
              <w:pStyle w:val="TableParagraph"/>
              <w:spacing w:line="206" w:lineRule="exact"/>
              <w:ind w:left="2"/>
              <w:rPr>
                <w:sz w:val="18"/>
              </w:rPr>
            </w:pPr>
            <w:r>
              <w:rPr>
                <w:w w:val="99"/>
                <w:sz w:val="18"/>
              </w:rPr>
              <w:t>0</w:t>
            </w:r>
          </w:p>
        </w:tc>
        <w:tc>
          <w:tcPr>
            <w:tcW w:w="475" w:type="dxa"/>
          </w:tcPr>
          <w:p>
            <w:pPr>
              <w:pStyle w:val="TableParagraph"/>
              <w:spacing w:line="206" w:lineRule="exact"/>
              <w:rPr>
                <w:sz w:val="18"/>
              </w:rPr>
            </w:pPr>
            <w:r>
              <w:rPr>
                <w:w w:val="99"/>
                <w:sz w:val="18"/>
              </w:rPr>
              <w:t>0</w:t>
            </w:r>
          </w:p>
        </w:tc>
        <w:tc>
          <w:tcPr>
            <w:tcW w:w="473" w:type="dxa"/>
          </w:tcPr>
          <w:p>
            <w:pPr>
              <w:pStyle w:val="TableParagraph"/>
              <w:spacing w:line="206" w:lineRule="exact"/>
              <w:ind w:left="182"/>
              <w:jc w:val="lef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3" w:type="dxa"/>
          </w:tcPr>
          <w:p>
            <w:pPr>
              <w:pStyle w:val="TableParagraph"/>
              <w:spacing w:line="206" w:lineRule="exact"/>
              <w:ind w:right="176"/>
              <w:jc w:val="right"/>
              <w:rPr>
                <w:sz w:val="18"/>
              </w:rPr>
            </w:pPr>
            <w:r>
              <w:rPr>
                <w:w w:val="99"/>
                <w:sz w:val="18"/>
              </w:rPr>
              <w:t>0</w:t>
            </w:r>
          </w:p>
        </w:tc>
        <w:tc>
          <w:tcPr>
            <w:tcW w:w="476" w:type="dxa"/>
          </w:tcPr>
          <w:p>
            <w:pPr>
              <w:pStyle w:val="TableParagraph"/>
              <w:spacing w:line="206" w:lineRule="exact"/>
              <w:ind w:left="4"/>
              <w:rPr>
                <w:sz w:val="18"/>
              </w:rPr>
            </w:pPr>
            <w:r>
              <w:rPr>
                <w:w w:val="99"/>
                <w:sz w:val="18"/>
              </w:rPr>
              <w:t>0</w:t>
            </w:r>
          </w:p>
        </w:tc>
        <w:tc>
          <w:tcPr>
            <w:tcW w:w="466" w:type="dxa"/>
          </w:tcPr>
          <w:p>
            <w:pPr>
              <w:pStyle w:val="TableParagraph"/>
              <w:spacing w:line="206" w:lineRule="exact"/>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75" w:type="dxa"/>
          </w:tcPr>
          <w:p>
            <w:pPr>
              <w:pStyle w:val="TableParagraph"/>
              <w:spacing w:line="206" w:lineRule="exact"/>
              <w:ind w:left="182"/>
              <w:jc w:val="left"/>
              <w:rPr>
                <w:sz w:val="18"/>
              </w:rPr>
            </w:pPr>
            <w:r>
              <w:rPr>
                <w:w w:val="99"/>
                <w:sz w:val="18"/>
              </w:rPr>
              <w:t>0</w:t>
            </w:r>
          </w:p>
        </w:tc>
        <w:tc>
          <w:tcPr>
            <w:tcW w:w="463"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right="176"/>
              <w:jc w:val="right"/>
              <w:rPr>
                <w:sz w:val="18"/>
              </w:rPr>
            </w:pPr>
            <w:r>
              <w:rPr>
                <w:w w:val="99"/>
                <w:sz w:val="18"/>
              </w:rPr>
              <w:t>0</w:t>
            </w:r>
          </w:p>
        </w:tc>
        <w:tc>
          <w:tcPr>
            <w:tcW w:w="466" w:type="dxa"/>
          </w:tcPr>
          <w:p>
            <w:pPr>
              <w:pStyle w:val="TableParagraph"/>
              <w:spacing w:line="206" w:lineRule="exact"/>
              <w:ind w:right="1"/>
              <w:rPr>
                <w:sz w:val="18"/>
              </w:rPr>
            </w:pPr>
            <w:r>
              <w:rPr>
                <w:w w:val="99"/>
                <w:sz w:val="18"/>
              </w:rPr>
              <w:t>0</w:t>
            </w:r>
          </w:p>
        </w:tc>
        <w:tc>
          <w:tcPr>
            <w:tcW w:w="466" w:type="dxa"/>
          </w:tcPr>
          <w:p>
            <w:pPr>
              <w:pStyle w:val="TableParagraph"/>
              <w:spacing w:line="206" w:lineRule="exact"/>
              <w:ind w:left="177"/>
              <w:jc w:val="left"/>
              <w:rPr>
                <w:sz w:val="18"/>
              </w:rPr>
            </w:pPr>
            <w:r>
              <w:rPr>
                <w:w w:val="99"/>
                <w:sz w:val="18"/>
              </w:rPr>
              <w:t>0</w:t>
            </w:r>
          </w:p>
        </w:tc>
        <w:tc>
          <w:tcPr>
            <w:tcW w:w="475" w:type="dxa"/>
          </w:tcPr>
          <w:p>
            <w:pPr>
              <w:pStyle w:val="TableParagraph"/>
              <w:spacing w:line="201" w:lineRule="exact"/>
              <w:rPr>
                <w:b/>
                <w:sz w:val="18"/>
              </w:rPr>
            </w:pPr>
            <w:r>
              <w:rPr>
                <w:b/>
                <w:w w:val="99"/>
                <w:sz w:val="18"/>
              </w:rPr>
              <w:t>0</w:t>
            </w:r>
          </w:p>
        </w:tc>
      </w:tr>
      <w:tr>
        <w:trPr>
          <w:trHeight w:val="326" w:hRule="exact"/>
        </w:trPr>
        <w:tc>
          <w:tcPr>
            <w:tcW w:w="3000" w:type="dxa"/>
            <w:tcBorders>
              <w:left w:val="single" w:sz="8" w:space="0" w:color="000000"/>
              <w:bottom w:val="single" w:sz="8" w:space="0" w:color="000000"/>
            </w:tcBorders>
          </w:tcPr>
          <w:p>
            <w:pPr>
              <w:pStyle w:val="TableParagraph"/>
              <w:spacing w:line="201" w:lineRule="exact"/>
              <w:ind w:left="62"/>
              <w:jc w:val="left"/>
              <w:rPr>
                <w:b/>
                <w:sz w:val="18"/>
              </w:rPr>
            </w:pPr>
            <w:r>
              <w:rPr>
                <w:b/>
                <w:color w:val="333333"/>
                <w:sz w:val="18"/>
              </w:rPr>
              <w:t>HUIXQUILUCAN</w:t>
            </w:r>
          </w:p>
        </w:tc>
        <w:tc>
          <w:tcPr>
            <w:tcW w:w="588" w:type="dxa"/>
          </w:tcPr>
          <w:p>
            <w:pPr/>
          </w:p>
        </w:tc>
        <w:tc>
          <w:tcPr>
            <w:tcW w:w="589" w:type="dxa"/>
          </w:tcPr>
          <w:p>
            <w:pPr/>
          </w:p>
        </w:tc>
        <w:tc>
          <w:tcPr>
            <w:tcW w:w="475" w:type="dxa"/>
          </w:tcPr>
          <w:p>
            <w:pPr/>
          </w:p>
        </w:tc>
        <w:tc>
          <w:tcPr>
            <w:tcW w:w="473" w:type="dxa"/>
          </w:tcPr>
          <w:p>
            <w:pPr/>
          </w:p>
        </w:tc>
        <w:tc>
          <w:tcPr>
            <w:tcW w:w="466" w:type="dxa"/>
          </w:tcPr>
          <w:p>
            <w:pPr/>
          </w:p>
        </w:tc>
        <w:tc>
          <w:tcPr>
            <w:tcW w:w="466" w:type="dxa"/>
          </w:tcPr>
          <w:p>
            <w:pPr/>
          </w:p>
        </w:tc>
        <w:tc>
          <w:tcPr>
            <w:tcW w:w="466" w:type="dxa"/>
          </w:tcPr>
          <w:p>
            <w:pPr/>
          </w:p>
        </w:tc>
        <w:tc>
          <w:tcPr>
            <w:tcW w:w="463" w:type="dxa"/>
          </w:tcPr>
          <w:p>
            <w:pPr/>
          </w:p>
        </w:tc>
        <w:tc>
          <w:tcPr>
            <w:tcW w:w="476" w:type="dxa"/>
          </w:tcPr>
          <w:p>
            <w:pPr/>
          </w:p>
        </w:tc>
        <w:tc>
          <w:tcPr>
            <w:tcW w:w="466" w:type="dxa"/>
          </w:tcPr>
          <w:p>
            <w:pPr/>
          </w:p>
        </w:tc>
        <w:tc>
          <w:tcPr>
            <w:tcW w:w="466" w:type="dxa"/>
          </w:tcPr>
          <w:p>
            <w:pPr/>
          </w:p>
        </w:tc>
        <w:tc>
          <w:tcPr>
            <w:tcW w:w="475" w:type="dxa"/>
          </w:tcPr>
          <w:p>
            <w:pPr/>
          </w:p>
        </w:tc>
        <w:tc>
          <w:tcPr>
            <w:tcW w:w="475" w:type="dxa"/>
          </w:tcPr>
          <w:p>
            <w:pPr/>
          </w:p>
        </w:tc>
        <w:tc>
          <w:tcPr>
            <w:tcW w:w="463" w:type="dxa"/>
          </w:tcPr>
          <w:p>
            <w:pPr/>
          </w:p>
        </w:tc>
        <w:tc>
          <w:tcPr>
            <w:tcW w:w="466" w:type="dxa"/>
          </w:tcPr>
          <w:p>
            <w:pPr/>
          </w:p>
        </w:tc>
        <w:tc>
          <w:tcPr>
            <w:tcW w:w="466" w:type="dxa"/>
          </w:tcPr>
          <w:p>
            <w:pPr/>
          </w:p>
        </w:tc>
        <w:tc>
          <w:tcPr>
            <w:tcW w:w="466" w:type="dxa"/>
          </w:tcPr>
          <w:p>
            <w:pPr/>
          </w:p>
        </w:tc>
        <w:tc>
          <w:tcPr>
            <w:tcW w:w="475" w:type="dxa"/>
          </w:tcPr>
          <w:p>
            <w:pPr/>
          </w:p>
        </w:tc>
      </w:tr>
    </w:tbl>
    <w:p>
      <w:pPr>
        <w:spacing w:after="0"/>
        <w:sectPr>
          <w:pgSz w:w="15840" w:h="12240" w:orient="landscape"/>
          <w:pgMar w:header="0" w:footer="975" w:top="1140" w:bottom="1160" w:left="1380" w:right="2260"/>
        </w:sectPr>
      </w:pPr>
    </w:p>
    <w:p>
      <w:pPr>
        <w:pStyle w:val="BodyText"/>
        <w:rPr>
          <w:rFonts w:ascii="Times New Roman"/>
          <w:sz w:val="20"/>
        </w:rPr>
      </w:pPr>
    </w:p>
    <w:p>
      <w:pPr>
        <w:pStyle w:val="BodyText"/>
        <w:spacing w:before="10"/>
        <w:rPr>
          <w:rFonts w:ascii="Times New Roman"/>
          <w:sz w:val="28"/>
        </w:rPr>
      </w:pPr>
    </w:p>
    <w:tbl>
      <w:tblPr>
        <w:tblW w:w="0" w:type="auto"/>
        <w:jc w:val="left"/>
        <w:tblInd w:w="1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600"/>
        <w:gridCol w:w="1201"/>
        <w:gridCol w:w="1200"/>
        <w:gridCol w:w="1200"/>
        <w:gridCol w:w="1200"/>
        <w:gridCol w:w="1200"/>
        <w:gridCol w:w="1201"/>
      </w:tblGrid>
      <w:tr>
        <w:trPr>
          <w:trHeight w:val="226" w:hRule="exact"/>
        </w:trPr>
        <w:tc>
          <w:tcPr>
            <w:tcW w:w="10802" w:type="dxa"/>
            <w:gridSpan w:val="7"/>
            <w:shd w:val="clear" w:color="auto" w:fill="C5DFB3"/>
          </w:tcPr>
          <w:p>
            <w:pPr>
              <w:pStyle w:val="TableParagraph"/>
              <w:spacing w:line="201" w:lineRule="exact"/>
              <w:ind w:left="2431"/>
              <w:jc w:val="left"/>
              <w:rPr>
                <w:b/>
                <w:sz w:val="18"/>
              </w:rPr>
            </w:pPr>
            <w:r>
              <w:rPr>
                <w:b/>
                <w:sz w:val="18"/>
              </w:rPr>
              <w:t>Anexo 27. Municipios que publican apartado de convenios 2010-2015</w:t>
            </w:r>
          </w:p>
        </w:tc>
      </w:tr>
      <w:tr>
        <w:trPr>
          <w:trHeight w:val="228" w:hRule="exact"/>
        </w:trPr>
        <w:tc>
          <w:tcPr>
            <w:tcW w:w="3600" w:type="dxa"/>
            <w:tcBorders>
              <w:right w:val="single" w:sz="4" w:space="0" w:color="000000"/>
            </w:tcBorders>
            <w:shd w:val="clear" w:color="auto" w:fill="C5DFB3"/>
          </w:tcPr>
          <w:p>
            <w:pPr>
              <w:pStyle w:val="TableParagraph"/>
              <w:spacing w:line="204" w:lineRule="exact"/>
              <w:ind w:left="1354" w:right="1352"/>
              <w:rPr>
                <w:b/>
                <w:sz w:val="18"/>
              </w:rPr>
            </w:pPr>
            <w:r>
              <w:rPr>
                <w:b/>
                <w:sz w:val="18"/>
              </w:rPr>
              <w:t>Municipio</w:t>
            </w:r>
          </w:p>
        </w:tc>
        <w:tc>
          <w:tcPr>
            <w:tcW w:w="1201" w:type="dxa"/>
            <w:tcBorders>
              <w:left w:val="single" w:sz="4" w:space="0" w:color="000000"/>
              <w:bottom w:val="single" w:sz="4" w:space="0" w:color="000000"/>
              <w:right w:val="single" w:sz="4" w:space="0" w:color="000000"/>
            </w:tcBorders>
            <w:shd w:val="clear" w:color="auto" w:fill="C5DFB3"/>
          </w:tcPr>
          <w:p>
            <w:pPr>
              <w:pStyle w:val="TableParagraph"/>
              <w:spacing w:line="204" w:lineRule="exact"/>
              <w:ind w:left="377" w:right="372"/>
              <w:rPr>
                <w:b/>
                <w:sz w:val="18"/>
              </w:rPr>
            </w:pPr>
            <w:r>
              <w:rPr>
                <w:b/>
                <w:sz w:val="18"/>
              </w:rPr>
              <w:t>2010</w:t>
            </w:r>
          </w:p>
        </w:tc>
        <w:tc>
          <w:tcPr>
            <w:tcW w:w="1200" w:type="dxa"/>
            <w:tcBorders>
              <w:left w:val="single" w:sz="4" w:space="0" w:color="000000"/>
              <w:bottom w:val="single" w:sz="4" w:space="0" w:color="000000"/>
              <w:right w:val="single" w:sz="4" w:space="0" w:color="000000"/>
            </w:tcBorders>
            <w:shd w:val="clear" w:color="auto" w:fill="C5DFB3"/>
          </w:tcPr>
          <w:p>
            <w:pPr>
              <w:pStyle w:val="TableParagraph"/>
              <w:spacing w:line="204" w:lineRule="exact"/>
              <w:ind w:left="270" w:right="266"/>
              <w:rPr>
                <w:b/>
                <w:sz w:val="18"/>
              </w:rPr>
            </w:pPr>
            <w:r>
              <w:rPr>
                <w:b/>
                <w:sz w:val="18"/>
              </w:rPr>
              <w:t>2011</w:t>
            </w:r>
          </w:p>
        </w:tc>
        <w:tc>
          <w:tcPr>
            <w:tcW w:w="1200" w:type="dxa"/>
            <w:tcBorders>
              <w:left w:val="single" w:sz="4" w:space="0" w:color="000000"/>
              <w:bottom w:val="single" w:sz="4" w:space="0" w:color="000000"/>
              <w:right w:val="single" w:sz="4" w:space="0" w:color="000000"/>
            </w:tcBorders>
            <w:shd w:val="clear" w:color="auto" w:fill="C5DFB3"/>
          </w:tcPr>
          <w:p>
            <w:pPr>
              <w:pStyle w:val="TableParagraph"/>
              <w:spacing w:line="204" w:lineRule="exact"/>
              <w:ind w:left="270" w:right="266"/>
              <w:rPr>
                <w:b/>
                <w:sz w:val="18"/>
              </w:rPr>
            </w:pPr>
            <w:r>
              <w:rPr>
                <w:b/>
                <w:sz w:val="18"/>
              </w:rPr>
              <w:t>2012</w:t>
            </w:r>
          </w:p>
        </w:tc>
        <w:tc>
          <w:tcPr>
            <w:tcW w:w="1200" w:type="dxa"/>
            <w:tcBorders>
              <w:left w:val="single" w:sz="4" w:space="0" w:color="000000"/>
              <w:bottom w:val="single" w:sz="4" w:space="0" w:color="000000"/>
              <w:right w:val="single" w:sz="4" w:space="0" w:color="000000"/>
            </w:tcBorders>
            <w:shd w:val="clear" w:color="auto" w:fill="C5DFB3"/>
          </w:tcPr>
          <w:p>
            <w:pPr>
              <w:pStyle w:val="TableParagraph"/>
              <w:spacing w:line="204" w:lineRule="exact"/>
              <w:ind w:left="270" w:right="265"/>
              <w:rPr>
                <w:b/>
                <w:sz w:val="18"/>
              </w:rPr>
            </w:pPr>
            <w:r>
              <w:rPr>
                <w:b/>
                <w:sz w:val="18"/>
              </w:rPr>
              <w:t>2013</w:t>
            </w:r>
          </w:p>
        </w:tc>
        <w:tc>
          <w:tcPr>
            <w:tcW w:w="1200" w:type="dxa"/>
            <w:tcBorders>
              <w:left w:val="single" w:sz="4" w:space="0" w:color="000000"/>
              <w:bottom w:val="single" w:sz="4" w:space="0" w:color="000000"/>
              <w:right w:val="single" w:sz="4" w:space="0" w:color="000000"/>
            </w:tcBorders>
            <w:shd w:val="clear" w:color="auto" w:fill="C5DFB3"/>
          </w:tcPr>
          <w:p>
            <w:pPr>
              <w:pStyle w:val="TableParagraph"/>
              <w:spacing w:line="204" w:lineRule="exact"/>
              <w:ind w:left="270" w:right="266"/>
              <w:rPr>
                <w:b/>
                <w:sz w:val="18"/>
              </w:rPr>
            </w:pPr>
            <w:r>
              <w:rPr>
                <w:b/>
                <w:sz w:val="18"/>
              </w:rPr>
              <w:t>2014</w:t>
            </w:r>
          </w:p>
        </w:tc>
        <w:tc>
          <w:tcPr>
            <w:tcW w:w="1201" w:type="dxa"/>
            <w:tcBorders>
              <w:left w:val="single" w:sz="4" w:space="0" w:color="000000"/>
              <w:bottom w:val="single" w:sz="4" w:space="0" w:color="000000"/>
            </w:tcBorders>
            <w:shd w:val="clear" w:color="auto" w:fill="C5DFB3"/>
          </w:tcPr>
          <w:p>
            <w:pPr>
              <w:pStyle w:val="TableParagraph"/>
              <w:spacing w:line="204" w:lineRule="exact"/>
              <w:ind w:left="125" w:right="116"/>
              <w:rPr>
                <w:b/>
                <w:sz w:val="18"/>
              </w:rPr>
            </w:pPr>
            <w:r>
              <w:rPr>
                <w:b/>
                <w:sz w:val="18"/>
              </w:rPr>
              <w:t>2015</w:t>
            </w:r>
          </w:p>
        </w:tc>
      </w:tr>
      <w:tr>
        <w:trPr>
          <w:trHeight w:val="314" w:hRule="exact"/>
        </w:trPr>
        <w:tc>
          <w:tcPr>
            <w:tcW w:w="3600" w:type="dxa"/>
            <w:tcBorders>
              <w:bottom w:val="single" w:sz="4" w:space="0" w:color="000000"/>
              <w:right w:val="single" w:sz="4" w:space="0" w:color="000000"/>
            </w:tcBorders>
          </w:tcPr>
          <w:p>
            <w:pPr>
              <w:pStyle w:val="TableParagraph"/>
              <w:spacing w:before="51"/>
              <w:ind w:left="62"/>
              <w:jc w:val="left"/>
              <w:rPr>
                <w:b/>
                <w:sz w:val="16"/>
              </w:rPr>
            </w:pPr>
            <w:r>
              <w:rPr>
                <w:b/>
                <w:sz w:val="16"/>
              </w:rPr>
              <w:t>ACAMBAY</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52"/>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52"/>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52"/>
              <w:ind w:left="4"/>
              <w:rPr>
                <w:sz w:val="18"/>
              </w:rPr>
            </w:pPr>
            <w:r>
              <w:rPr>
                <w:w w:val="99"/>
                <w:sz w:val="18"/>
              </w:rPr>
              <w:t>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52"/>
              <w:ind w:left="4"/>
              <w:rPr>
                <w:sz w:val="18"/>
              </w:rPr>
            </w:pPr>
            <w:r>
              <w:rPr>
                <w:w w:val="99"/>
                <w:sz w:val="18"/>
              </w:rPr>
              <w:t>8</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52"/>
              <w:ind w:left="4"/>
              <w:rPr>
                <w:sz w:val="18"/>
              </w:rPr>
            </w:pPr>
            <w:r>
              <w:rPr>
                <w:w w:val="99"/>
                <w:sz w:val="18"/>
              </w:rPr>
              <w:t>6</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52"/>
              <w:ind w:left="3"/>
              <w:rPr>
                <w:sz w:val="18"/>
              </w:rPr>
            </w:pPr>
            <w:r>
              <w:rPr>
                <w:w w:val="99"/>
                <w:sz w:val="18"/>
              </w:rPr>
              <w:t>1</w:t>
            </w:r>
          </w:p>
        </w:tc>
      </w:tr>
      <w:tr>
        <w:trPr>
          <w:trHeight w:val="310" w:hRule="exact"/>
        </w:trPr>
        <w:tc>
          <w:tcPr>
            <w:tcW w:w="3600" w:type="dxa"/>
            <w:tcBorders>
              <w:top w:val="single" w:sz="4" w:space="0" w:color="000000"/>
              <w:bottom w:val="single" w:sz="4" w:space="0" w:color="000000"/>
              <w:right w:val="single" w:sz="4" w:space="0" w:color="000000"/>
            </w:tcBorders>
          </w:tcPr>
          <w:p>
            <w:pPr>
              <w:pStyle w:val="TableParagraph"/>
              <w:spacing w:before="54"/>
              <w:ind w:left="62"/>
              <w:jc w:val="left"/>
              <w:rPr>
                <w:b/>
                <w:sz w:val="16"/>
              </w:rPr>
            </w:pPr>
            <w:r>
              <w:rPr>
                <w:b/>
                <w:sz w:val="16"/>
              </w:rPr>
              <w:t>ACOLMAN</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3"/>
              <w:rPr>
                <w:sz w:val="18"/>
              </w:rPr>
            </w:pPr>
            <w:r>
              <w:rPr>
                <w:w w:val="99"/>
                <w:sz w:val="18"/>
              </w:rPr>
              <w:t>0</w:t>
            </w:r>
          </w:p>
        </w:tc>
      </w:tr>
      <w:tr>
        <w:trPr>
          <w:trHeight w:val="312" w:hRule="exact"/>
        </w:trPr>
        <w:tc>
          <w:tcPr>
            <w:tcW w:w="3600" w:type="dxa"/>
            <w:tcBorders>
              <w:top w:val="single" w:sz="4" w:space="0" w:color="000000"/>
              <w:bottom w:val="single" w:sz="4" w:space="0" w:color="000000"/>
              <w:right w:val="single" w:sz="4" w:space="0" w:color="000000"/>
            </w:tcBorders>
          </w:tcPr>
          <w:p>
            <w:pPr>
              <w:pStyle w:val="TableParagraph"/>
              <w:spacing w:before="54"/>
              <w:ind w:left="62"/>
              <w:jc w:val="left"/>
              <w:rPr>
                <w:b/>
                <w:sz w:val="16"/>
              </w:rPr>
            </w:pPr>
            <w:r>
              <w:rPr>
                <w:b/>
                <w:sz w:val="16"/>
              </w:rPr>
              <w:t>ACULCO</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2</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270" w:right="265"/>
              <w:rPr>
                <w:sz w:val="18"/>
              </w:rPr>
            </w:pPr>
            <w:r>
              <w:rPr>
                <w:sz w:val="18"/>
              </w:rPr>
              <w:t>10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8</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3"/>
              <w:rPr>
                <w:sz w:val="18"/>
              </w:rPr>
            </w:pPr>
            <w:r>
              <w:rPr>
                <w:w w:val="99"/>
                <w:sz w:val="18"/>
              </w:rPr>
              <w:t>0</w:t>
            </w:r>
          </w:p>
        </w:tc>
      </w:tr>
      <w:tr>
        <w:trPr>
          <w:trHeight w:val="310" w:hRule="exact"/>
        </w:trPr>
        <w:tc>
          <w:tcPr>
            <w:tcW w:w="3600" w:type="dxa"/>
            <w:tcBorders>
              <w:top w:val="single" w:sz="4" w:space="0" w:color="000000"/>
              <w:bottom w:val="single" w:sz="4" w:space="0" w:color="000000"/>
              <w:right w:val="single" w:sz="4" w:space="0" w:color="000000"/>
            </w:tcBorders>
          </w:tcPr>
          <w:p>
            <w:pPr>
              <w:pStyle w:val="TableParagraph"/>
              <w:spacing w:before="51"/>
              <w:ind w:left="62"/>
              <w:jc w:val="left"/>
              <w:rPr>
                <w:b/>
                <w:sz w:val="16"/>
              </w:rPr>
            </w:pPr>
            <w:r>
              <w:rPr>
                <w:b/>
                <w:sz w:val="16"/>
              </w:rPr>
              <w:t>ALMOLOYA DE ALQUISIRAS</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3"/>
              <w:rPr>
                <w:sz w:val="18"/>
              </w:rPr>
            </w:pPr>
            <w:r>
              <w:rPr>
                <w:w w:val="99"/>
                <w:sz w:val="18"/>
              </w:rPr>
              <w:t>0</w:t>
            </w:r>
          </w:p>
        </w:tc>
      </w:tr>
      <w:tr>
        <w:trPr>
          <w:trHeight w:val="310" w:hRule="exact"/>
        </w:trPr>
        <w:tc>
          <w:tcPr>
            <w:tcW w:w="3600" w:type="dxa"/>
            <w:tcBorders>
              <w:top w:val="single" w:sz="4" w:space="0" w:color="000000"/>
              <w:bottom w:val="single" w:sz="4" w:space="0" w:color="000000"/>
              <w:right w:val="single" w:sz="4" w:space="0" w:color="000000"/>
            </w:tcBorders>
          </w:tcPr>
          <w:p>
            <w:pPr>
              <w:pStyle w:val="TableParagraph"/>
              <w:spacing w:before="51"/>
              <w:ind w:left="62"/>
              <w:jc w:val="left"/>
              <w:rPr>
                <w:b/>
                <w:sz w:val="16"/>
              </w:rPr>
            </w:pPr>
            <w:r>
              <w:rPr>
                <w:b/>
                <w:sz w:val="16"/>
              </w:rPr>
              <w:t>ALMOLOYA DE JUAREZ</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2</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4</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270" w:right="265"/>
              <w:rPr>
                <w:sz w:val="18"/>
              </w:rPr>
            </w:pPr>
            <w:r>
              <w:rPr>
                <w:sz w:val="18"/>
              </w:rPr>
              <w:t>22</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5</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3"/>
              <w:rPr>
                <w:sz w:val="18"/>
              </w:rPr>
            </w:pPr>
            <w:r>
              <w:rPr>
                <w:w w:val="99"/>
                <w:sz w:val="18"/>
              </w:rPr>
              <w:t>0</w:t>
            </w:r>
          </w:p>
        </w:tc>
      </w:tr>
      <w:tr>
        <w:trPr>
          <w:trHeight w:val="310" w:hRule="exact"/>
        </w:trPr>
        <w:tc>
          <w:tcPr>
            <w:tcW w:w="3600" w:type="dxa"/>
            <w:tcBorders>
              <w:top w:val="single" w:sz="4" w:space="0" w:color="000000"/>
              <w:bottom w:val="single" w:sz="4" w:space="0" w:color="000000"/>
              <w:right w:val="single" w:sz="4" w:space="0" w:color="000000"/>
            </w:tcBorders>
          </w:tcPr>
          <w:p>
            <w:pPr>
              <w:pStyle w:val="TableParagraph"/>
              <w:spacing w:before="51"/>
              <w:ind w:left="62"/>
              <w:jc w:val="left"/>
              <w:rPr>
                <w:b/>
                <w:sz w:val="16"/>
              </w:rPr>
            </w:pPr>
            <w:r>
              <w:rPr>
                <w:b/>
                <w:sz w:val="16"/>
              </w:rPr>
              <w:t>ALMOLOYA DEL RIO</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3"/>
              <w:rPr>
                <w:sz w:val="18"/>
              </w:rPr>
            </w:pPr>
            <w:r>
              <w:rPr>
                <w:w w:val="99"/>
                <w:sz w:val="18"/>
              </w:rPr>
              <w:t>0</w:t>
            </w:r>
          </w:p>
        </w:tc>
      </w:tr>
      <w:tr>
        <w:trPr>
          <w:trHeight w:val="310" w:hRule="exact"/>
        </w:trPr>
        <w:tc>
          <w:tcPr>
            <w:tcW w:w="3600" w:type="dxa"/>
            <w:tcBorders>
              <w:top w:val="single" w:sz="4" w:space="0" w:color="000000"/>
              <w:bottom w:val="single" w:sz="4" w:space="0" w:color="000000"/>
              <w:right w:val="single" w:sz="4" w:space="0" w:color="000000"/>
            </w:tcBorders>
          </w:tcPr>
          <w:p>
            <w:pPr>
              <w:pStyle w:val="TableParagraph"/>
              <w:spacing w:before="51"/>
              <w:ind w:left="62"/>
              <w:jc w:val="left"/>
              <w:rPr>
                <w:b/>
                <w:sz w:val="16"/>
              </w:rPr>
            </w:pPr>
            <w:r>
              <w:rPr>
                <w:b/>
                <w:sz w:val="16"/>
              </w:rPr>
              <w:t>AMANALCO</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5</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270" w:right="265"/>
              <w:rPr>
                <w:sz w:val="18"/>
              </w:rPr>
            </w:pPr>
            <w:r>
              <w:rPr>
                <w:sz w:val="18"/>
              </w:rPr>
              <w:t>12</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270" w:right="266"/>
              <w:rPr>
                <w:sz w:val="18"/>
              </w:rPr>
            </w:pPr>
            <w:r>
              <w:rPr>
                <w:sz w:val="18"/>
              </w:rPr>
              <w:t>11</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3"/>
              <w:rPr>
                <w:sz w:val="18"/>
              </w:rPr>
            </w:pPr>
            <w:r>
              <w:rPr>
                <w:w w:val="99"/>
                <w:sz w:val="18"/>
              </w:rPr>
              <w:t>5</w:t>
            </w:r>
          </w:p>
        </w:tc>
      </w:tr>
      <w:tr>
        <w:trPr>
          <w:trHeight w:val="310" w:hRule="exact"/>
        </w:trPr>
        <w:tc>
          <w:tcPr>
            <w:tcW w:w="3600" w:type="dxa"/>
            <w:tcBorders>
              <w:top w:val="single" w:sz="4" w:space="0" w:color="000000"/>
              <w:bottom w:val="single" w:sz="4" w:space="0" w:color="000000"/>
              <w:right w:val="single" w:sz="4" w:space="0" w:color="000000"/>
            </w:tcBorders>
          </w:tcPr>
          <w:p>
            <w:pPr>
              <w:pStyle w:val="TableParagraph"/>
              <w:spacing w:before="54"/>
              <w:ind w:left="62"/>
              <w:jc w:val="left"/>
              <w:rPr>
                <w:b/>
                <w:sz w:val="16"/>
              </w:rPr>
            </w:pPr>
            <w:r>
              <w:rPr>
                <w:b/>
                <w:sz w:val="16"/>
              </w:rPr>
              <w:t>AMATEPEC</w:t>
            </w:r>
          </w:p>
        </w:tc>
        <w:tc>
          <w:tcPr>
            <w:tcW w:w="7202" w:type="dxa"/>
            <w:gridSpan w:val="6"/>
            <w:tcBorders>
              <w:top w:val="single" w:sz="4" w:space="0" w:color="000000"/>
              <w:left w:val="single" w:sz="4" w:space="0" w:color="000000"/>
              <w:bottom w:val="single" w:sz="4" w:space="0" w:color="000000"/>
              <w:right w:val="single" w:sz="4" w:space="0" w:color="000000"/>
            </w:tcBorders>
          </w:tcPr>
          <w:p>
            <w:pPr>
              <w:pStyle w:val="TableParagraph"/>
              <w:spacing w:before="47"/>
              <w:ind w:left="3097" w:right="3093"/>
              <w:rPr>
                <w:sz w:val="18"/>
              </w:rPr>
            </w:pPr>
            <w:r>
              <w:rPr>
                <w:sz w:val="18"/>
              </w:rPr>
              <w:t>NO APLICA</w:t>
            </w:r>
          </w:p>
        </w:tc>
      </w:tr>
      <w:tr>
        <w:trPr>
          <w:trHeight w:val="312" w:hRule="exact"/>
        </w:trPr>
        <w:tc>
          <w:tcPr>
            <w:tcW w:w="3600" w:type="dxa"/>
            <w:tcBorders>
              <w:top w:val="single" w:sz="4" w:space="0" w:color="000000"/>
              <w:bottom w:val="single" w:sz="4" w:space="0" w:color="000000"/>
              <w:right w:val="single" w:sz="4" w:space="0" w:color="000000"/>
            </w:tcBorders>
          </w:tcPr>
          <w:p>
            <w:pPr>
              <w:pStyle w:val="TableParagraph"/>
              <w:spacing w:before="54"/>
              <w:ind w:left="62"/>
              <w:jc w:val="left"/>
              <w:rPr>
                <w:b/>
                <w:sz w:val="16"/>
              </w:rPr>
            </w:pPr>
            <w:r>
              <w:rPr>
                <w:b/>
                <w:sz w:val="16"/>
              </w:rPr>
              <w:t>AMECAMECA</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3"/>
              <w:rPr>
                <w:sz w:val="18"/>
              </w:rPr>
            </w:pPr>
            <w:r>
              <w:rPr>
                <w:w w:val="99"/>
                <w:sz w:val="18"/>
              </w:rPr>
              <w:t>0</w:t>
            </w:r>
          </w:p>
        </w:tc>
      </w:tr>
      <w:tr>
        <w:trPr>
          <w:trHeight w:val="310" w:hRule="exact"/>
        </w:trPr>
        <w:tc>
          <w:tcPr>
            <w:tcW w:w="3600" w:type="dxa"/>
            <w:tcBorders>
              <w:top w:val="single" w:sz="4" w:space="0" w:color="000000"/>
              <w:bottom w:val="single" w:sz="4" w:space="0" w:color="000000"/>
              <w:right w:val="single" w:sz="4" w:space="0" w:color="000000"/>
            </w:tcBorders>
          </w:tcPr>
          <w:p>
            <w:pPr>
              <w:pStyle w:val="TableParagraph"/>
              <w:spacing w:before="51"/>
              <w:ind w:left="62"/>
              <w:jc w:val="left"/>
              <w:rPr>
                <w:b/>
                <w:sz w:val="16"/>
              </w:rPr>
            </w:pPr>
            <w:r>
              <w:rPr>
                <w:b/>
                <w:sz w:val="16"/>
              </w:rPr>
              <w:t>APAXCO</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3"/>
              <w:rPr>
                <w:sz w:val="18"/>
              </w:rPr>
            </w:pPr>
            <w:r>
              <w:rPr>
                <w:w w:val="99"/>
                <w:sz w:val="18"/>
              </w:rPr>
              <w:t>0</w:t>
            </w:r>
          </w:p>
        </w:tc>
      </w:tr>
      <w:tr>
        <w:trPr>
          <w:trHeight w:val="310" w:hRule="exact"/>
        </w:trPr>
        <w:tc>
          <w:tcPr>
            <w:tcW w:w="3600" w:type="dxa"/>
            <w:tcBorders>
              <w:top w:val="single" w:sz="4" w:space="0" w:color="000000"/>
              <w:bottom w:val="single" w:sz="4" w:space="0" w:color="000000"/>
              <w:right w:val="single" w:sz="4" w:space="0" w:color="000000"/>
            </w:tcBorders>
          </w:tcPr>
          <w:p>
            <w:pPr>
              <w:pStyle w:val="TableParagraph"/>
              <w:spacing w:before="51"/>
              <w:ind w:left="62"/>
              <w:jc w:val="left"/>
              <w:rPr>
                <w:b/>
                <w:sz w:val="16"/>
              </w:rPr>
            </w:pPr>
            <w:r>
              <w:rPr>
                <w:b/>
                <w:sz w:val="16"/>
              </w:rPr>
              <w:t>ATENCO</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3"/>
              <w:rPr>
                <w:sz w:val="18"/>
              </w:rPr>
            </w:pPr>
            <w:r>
              <w:rPr>
                <w:w w:val="99"/>
                <w:sz w:val="18"/>
              </w:rPr>
              <w:t>0</w:t>
            </w:r>
          </w:p>
        </w:tc>
      </w:tr>
      <w:tr>
        <w:trPr>
          <w:trHeight w:val="310" w:hRule="exact"/>
        </w:trPr>
        <w:tc>
          <w:tcPr>
            <w:tcW w:w="3600" w:type="dxa"/>
            <w:tcBorders>
              <w:top w:val="single" w:sz="4" w:space="0" w:color="000000"/>
              <w:bottom w:val="single" w:sz="4" w:space="0" w:color="000000"/>
              <w:right w:val="single" w:sz="4" w:space="0" w:color="000000"/>
            </w:tcBorders>
          </w:tcPr>
          <w:p>
            <w:pPr>
              <w:pStyle w:val="TableParagraph"/>
              <w:spacing w:before="51"/>
              <w:ind w:left="62"/>
              <w:jc w:val="left"/>
              <w:rPr>
                <w:b/>
                <w:sz w:val="16"/>
              </w:rPr>
            </w:pPr>
            <w:r>
              <w:rPr>
                <w:b/>
                <w:sz w:val="16"/>
              </w:rPr>
              <w:t>ATIZAPAN</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3"/>
              <w:rPr>
                <w:sz w:val="18"/>
              </w:rPr>
            </w:pPr>
            <w:r>
              <w:rPr>
                <w:w w:val="99"/>
                <w:sz w:val="18"/>
              </w:rPr>
              <w:t>0</w:t>
            </w:r>
          </w:p>
        </w:tc>
      </w:tr>
      <w:tr>
        <w:trPr>
          <w:trHeight w:val="310" w:hRule="exact"/>
        </w:trPr>
        <w:tc>
          <w:tcPr>
            <w:tcW w:w="3600" w:type="dxa"/>
            <w:tcBorders>
              <w:top w:val="single" w:sz="4" w:space="0" w:color="000000"/>
              <w:bottom w:val="single" w:sz="4" w:space="0" w:color="000000"/>
              <w:right w:val="single" w:sz="4" w:space="0" w:color="000000"/>
            </w:tcBorders>
          </w:tcPr>
          <w:p>
            <w:pPr>
              <w:pStyle w:val="TableParagraph"/>
              <w:spacing w:before="51"/>
              <w:ind w:left="62"/>
              <w:jc w:val="left"/>
              <w:rPr>
                <w:b/>
                <w:sz w:val="16"/>
              </w:rPr>
            </w:pPr>
            <w:r>
              <w:rPr>
                <w:b/>
                <w:sz w:val="16"/>
              </w:rPr>
              <w:t>ATIZAPAN DE ZARAGOZA</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3</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270" w:right="266"/>
              <w:rPr>
                <w:sz w:val="18"/>
              </w:rPr>
            </w:pPr>
            <w:r>
              <w:rPr>
                <w:sz w:val="18"/>
              </w:rPr>
              <w:t>11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270" w:right="266"/>
              <w:rPr>
                <w:sz w:val="18"/>
              </w:rPr>
            </w:pPr>
            <w:r>
              <w:rPr>
                <w:sz w:val="18"/>
              </w:rPr>
              <w:t>14</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270" w:right="265"/>
              <w:rPr>
                <w:sz w:val="18"/>
              </w:rPr>
            </w:pPr>
            <w:r>
              <w:rPr>
                <w:sz w:val="18"/>
              </w:rPr>
              <w:t>26</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8</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3"/>
              <w:rPr>
                <w:sz w:val="18"/>
              </w:rPr>
            </w:pPr>
            <w:r>
              <w:rPr>
                <w:w w:val="99"/>
                <w:sz w:val="18"/>
              </w:rPr>
              <w:t>2</w:t>
            </w:r>
          </w:p>
        </w:tc>
      </w:tr>
      <w:tr>
        <w:trPr>
          <w:trHeight w:val="310" w:hRule="exact"/>
        </w:trPr>
        <w:tc>
          <w:tcPr>
            <w:tcW w:w="3600" w:type="dxa"/>
            <w:tcBorders>
              <w:top w:val="single" w:sz="4" w:space="0" w:color="000000"/>
              <w:bottom w:val="single" w:sz="4" w:space="0" w:color="000000"/>
              <w:right w:val="single" w:sz="4" w:space="0" w:color="000000"/>
            </w:tcBorders>
          </w:tcPr>
          <w:p>
            <w:pPr>
              <w:pStyle w:val="TableParagraph"/>
              <w:spacing w:before="54"/>
              <w:ind w:left="62"/>
              <w:jc w:val="left"/>
              <w:rPr>
                <w:b/>
                <w:sz w:val="16"/>
              </w:rPr>
            </w:pPr>
            <w:r>
              <w:rPr>
                <w:b/>
                <w:sz w:val="16"/>
              </w:rPr>
              <w:t>ATLACOMULCO</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6</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4</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270" w:right="265"/>
              <w:rPr>
                <w:sz w:val="18"/>
              </w:rPr>
            </w:pPr>
            <w:r>
              <w:rPr>
                <w:sz w:val="18"/>
              </w:rPr>
              <w:t>18</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3</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3"/>
              <w:rPr>
                <w:sz w:val="18"/>
              </w:rPr>
            </w:pPr>
            <w:r>
              <w:rPr>
                <w:w w:val="99"/>
                <w:sz w:val="18"/>
              </w:rPr>
              <w:t>0</w:t>
            </w:r>
          </w:p>
        </w:tc>
      </w:tr>
      <w:tr>
        <w:trPr>
          <w:trHeight w:val="312" w:hRule="exact"/>
        </w:trPr>
        <w:tc>
          <w:tcPr>
            <w:tcW w:w="3600" w:type="dxa"/>
            <w:tcBorders>
              <w:top w:val="single" w:sz="4" w:space="0" w:color="000000"/>
              <w:bottom w:val="single" w:sz="4" w:space="0" w:color="000000"/>
              <w:right w:val="single" w:sz="4" w:space="0" w:color="000000"/>
            </w:tcBorders>
          </w:tcPr>
          <w:p>
            <w:pPr>
              <w:pStyle w:val="TableParagraph"/>
              <w:spacing w:before="54"/>
              <w:ind w:left="62"/>
              <w:jc w:val="left"/>
              <w:rPr>
                <w:b/>
                <w:sz w:val="16"/>
              </w:rPr>
            </w:pPr>
            <w:r>
              <w:rPr>
                <w:b/>
                <w:sz w:val="16"/>
              </w:rPr>
              <w:t>ATLAUTLA</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3"/>
              <w:rPr>
                <w:sz w:val="18"/>
              </w:rPr>
            </w:pPr>
            <w:r>
              <w:rPr>
                <w:w w:val="99"/>
                <w:sz w:val="18"/>
              </w:rPr>
              <w:t>0</w:t>
            </w:r>
          </w:p>
        </w:tc>
      </w:tr>
      <w:tr>
        <w:trPr>
          <w:trHeight w:val="310" w:hRule="exact"/>
        </w:trPr>
        <w:tc>
          <w:tcPr>
            <w:tcW w:w="3600" w:type="dxa"/>
            <w:tcBorders>
              <w:top w:val="single" w:sz="4" w:space="0" w:color="000000"/>
              <w:bottom w:val="single" w:sz="4" w:space="0" w:color="000000"/>
              <w:right w:val="single" w:sz="4" w:space="0" w:color="000000"/>
            </w:tcBorders>
          </w:tcPr>
          <w:p>
            <w:pPr>
              <w:pStyle w:val="TableParagraph"/>
              <w:spacing w:before="51"/>
              <w:ind w:left="62"/>
              <w:jc w:val="left"/>
              <w:rPr>
                <w:b/>
                <w:sz w:val="16"/>
              </w:rPr>
            </w:pPr>
            <w:r>
              <w:rPr>
                <w:b/>
                <w:sz w:val="16"/>
              </w:rPr>
              <w:t>AXAPUSCO</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3"/>
              <w:rPr>
                <w:sz w:val="18"/>
              </w:rPr>
            </w:pPr>
            <w:r>
              <w:rPr>
                <w:w w:val="99"/>
                <w:sz w:val="18"/>
              </w:rPr>
              <w:t>0</w:t>
            </w:r>
          </w:p>
        </w:tc>
      </w:tr>
      <w:tr>
        <w:trPr>
          <w:trHeight w:val="310" w:hRule="exact"/>
        </w:trPr>
        <w:tc>
          <w:tcPr>
            <w:tcW w:w="3600" w:type="dxa"/>
            <w:tcBorders>
              <w:top w:val="single" w:sz="4" w:space="0" w:color="000000"/>
              <w:bottom w:val="single" w:sz="4" w:space="0" w:color="000000"/>
              <w:right w:val="single" w:sz="4" w:space="0" w:color="000000"/>
            </w:tcBorders>
          </w:tcPr>
          <w:p>
            <w:pPr>
              <w:pStyle w:val="TableParagraph"/>
              <w:spacing w:before="51"/>
              <w:ind w:left="62"/>
              <w:jc w:val="left"/>
              <w:rPr>
                <w:b/>
                <w:sz w:val="16"/>
              </w:rPr>
            </w:pPr>
            <w:r>
              <w:rPr>
                <w:b/>
                <w:sz w:val="16"/>
              </w:rPr>
              <w:t>AYAPANGO</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3"/>
              <w:rPr>
                <w:sz w:val="18"/>
              </w:rPr>
            </w:pPr>
            <w:r>
              <w:rPr>
                <w:w w:val="99"/>
                <w:sz w:val="18"/>
              </w:rPr>
              <w:t>0</w:t>
            </w:r>
          </w:p>
        </w:tc>
      </w:tr>
      <w:tr>
        <w:trPr>
          <w:trHeight w:val="310" w:hRule="exact"/>
        </w:trPr>
        <w:tc>
          <w:tcPr>
            <w:tcW w:w="3600" w:type="dxa"/>
            <w:tcBorders>
              <w:top w:val="single" w:sz="4" w:space="0" w:color="000000"/>
              <w:bottom w:val="single" w:sz="4" w:space="0" w:color="000000"/>
              <w:right w:val="single" w:sz="4" w:space="0" w:color="000000"/>
            </w:tcBorders>
          </w:tcPr>
          <w:p>
            <w:pPr>
              <w:pStyle w:val="TableParagraph"/>
              <w:spacing w:before="51"/>
              <w:ind w:left="62"/>
              <w:jc w:val="left"/>
              <w:rPr>
                <w:b/>
                <w:sz w:val="16"/>
              </w:rPr>
            </w:pPr>
            <w:r>
              <w:rPr>
                <w:b/>
                <w:sz w:val="16"/>
              </w:rPr>
              <w:t>CALIMAYA</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2</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2</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270" w:right="265"/>
              <w:rPr>
                <w:sz w:val="18"/>
              </w:rPr>
            </w:pPr>
            <w:r>
              <w:rPr>
                <w:sz w:val="18"/>
              </w:rPr>
              <w:t>10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1</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3"/>
              <w:rPr>
                <w:sz w:val="18"/>
              </w:rPr>
            </w:pPr>
            <w:r>
              <w:rPr>
                <w:w w:val="99"/>
                <w:sz w:val="18"/>
              </w:rPr>
              <w:t>1</w:t>
            </w:r>
          </w:p>
        </w:tc>
      </w:tr>
      <w:tr>
        <w:trPr>
          <w:trHeight w:val="310" w:hRule="exact"/>
        </w:trPr>
        <w:tc>
          <w:tcPr>
            <w:tcW w:w="3600" w:type="dxa"/>
            <w:tcBorders>
              <w:top w:val="single" w:sz="4" w:space="0" w:color="000000"/>
              <w:bottom w:val="single" w:sz="4" w:space="0" w:color="000000"/>
              <w:right w:val="single" w:sz="4" w:space="0" w:color="000000"/>
            </w:tcBorders>
          </w:tcPr>
          <w:p>
            <w:pPr>
              <w:pStyle w:val="TableParagraph"/>
              <w:spacing w:before="51"/>
              <w:ind w:left="62"/>
              <w:jc w:val="left"/>
              <w:rPr>
                <w:b/>
                <w:sz w:val="16"/>
              </w:rPr>
            </w:pPr>
            <w:r>
              <w:rPr>
                <w:b/>
                <w:sz w:val="16"/>
              </w:rPr>
              <w:t>CAPULHUAC</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3"/>
              <w:rPr>
                <w:sz w:val="18"/>
              </w:rPr>
            </w:pPr>
            <w:r>
              <w:rPr>
                <w:w w:val="99"/>
                <w:sz w:val="18"/>
              </w:rPr>
              <w:t>0</w:t>
            </w:r>
          </w:p>
        </w:tc>
      </w:tr>
      <w:tr>
        <w:trPr>
          <w:trHeight w:val="310" w:hRule="exact"/>
        </w:trPr>
        <w:tc>
          <w:tcPr>
            <w:tcW w:w="3600" w:type="dxa"/>
            <w:tcBorders>
              <w:top w:val="single" w:sz="4" w:space="0" w:color="000000"/>
              <w:bottom w:val="single" w:sz="4" w:space="0" w:color="000000"/>
              <w:right w:val="single" w:sz="4" w:space="0" w:color="000000"/>
            </w:tcBorders>
          </w:tcPr>
          <w:p>
            <w:pPr>
              <w:pStyle w:val="TableParagraph"/>
              <w:spacing w:before="54"/>
              <w:ind w:left="62"/>
              <w:jc w:val="left"/>
              <w:rPr>
                <w:b/>
                <w:sz w:val="16"/>
              </w:rPr>
            </w:pPr>
            <w:r>
              <w:rPr>
                <w:b/>
                <w:sz w:val="16"/>
              </w:rPr>
              <w:t>CHALCO</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2</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5</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9</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270" w:right="265"/>
              <w:rPr>
                <w:sz w:val="18"/>
              </w:rPr>
            </w:pPr>
            <w:r>
              <w:rPr>
                <w:sz w:val="18"/>
              </w:rPr>
              <w:t>54</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270" w:right="266"/>
              <w:rPr>
                <w:sz w:val="18"/>
              </w:rPr>
            </w:pPr>
            <w:r>
              <w:rPr>
                <w:sz w:val="18"/>
              </w:rPr>
              <w:t>38</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376" w:right="372"/>
              <w:rPr>
                <w:sz w:val="18"/>
              </w:rPr>
            </w:pPr>
            <w:r>
              <w:rPr>
                <w:sz w:val="18"/>
              </w:rPr>
              <w:t>13</w:t>
            </w:r>
          </w:p>
        </w:tc>
      </w:tr>
      <w:tr>
        <w:trPr>
          <w:trHeight w:val="312" w:hRule="exact"/>
        </w:trPr>
        <w:tc>
          <w:tcPr>
            <w:tcW w:w="3600" w:type="dxa"/>
            <w:tcBorders>
              <w:top w:val="single" w:sz="4" w:space="0" w:color="000000"/>
              <w:bottom w:val="single" w:sz="4" w:space="0" w:color="000000"/>
              <w:right w:val="single" w:sz="4" w:space="0" w:color="000000"/>
            </w:tcBorders>
          </w:tcPr>
          <w:p>
            <w:pPr>
              <w:pStyle w:val="TableParagraph"/>
              <w:spacing w:before="54"/>
              <w:ind w:left="62"/>
              <w:jc w:val="left"/>
              <w:rPr>
                <w:b/>
                <w:sz w:val="16"/>
              </w:rPr>
            </w:pPr>
            <w:r>
              <w:rPr>
                <w:b/>
                <w:sz w:val="16"/>
              </w:rPr>
              <w:t>CHAPA DE MOTA</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3</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270" w:right="265"/>
              <w:rPr>
                <w:sz w:val="18"/>
              </w:rPr>
            </w:pPr>
            <w:r>
              <w:rPr>
                <w:sz w:val="18"/>
              </w:rPr>
              <w:t>15</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270" w:right="266"/>
              <w:rPr>
                <w:sz w:val="18"/>
              </w:rPr>
            </w:pPr>
            <w:r>
              <w:rPr>
                <w:sz w:val="18"/>
              </w:rPr>
              <w:t>17</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3"/>
              <w:rPr>
                <w:sz w:val="18"/>
              </w:rPr>
            </w:pPr>
            <w:r>
              <w:rPr>
                <w:w w:val="99"/>
                <w:sz w:val="18"/>
              </w:rPr>
              <w:t>2</w:t>
            </w:r>
          </w:p>
        </w:tc>
      </w:tr>
      <w:tr>
        <w:trPr>
          <w:trHeight w:val="310" w:hRule="exact"/>
        </w:trPr>
        <w:tc>
          <w:tcPr>
            <w:tcW w:w="3600" w:type="dxa"/>
            <w:tcBorders>
              <w:top w:val="single" w:sz="4" w:space="0" w:color="000000"/>
              <w:left w:val="single" w:sz="4" w:space="0" w:color="000000"/>
              <w:bottom w:val="single" w:sz="4" w:space="0" w:color="000000"/>
              <w:right w:val="single" w:sz="4" w:space="0" w:color="000000"/>
            </w:tcBorders>
          </w:tcPr>
          <w:p>
            <w:pPr>
              <w:pStyle w:val="TableParagraph"/>
              <w:spacing w:before="40"/>
              <w:ind w:left="67"/>
              <w:jc w:val="left"/>
              <w:rPr>
                <w:b/>
                <w:sz w:val="18"/>
              </w:rPr>
            </w:pPr>
            <w:r>
              <w:rPr>
                <w:b/>
                <w:color w:val="333333"/>
                <w:sz w:val="18"/>
              </w:rPr>
              <w:t>CHAPULTEPEC</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3"/>
              <w:rPr>
                <w:sz w:val="18"/>
              </w:rPr>
            </w:pPr>
            <w:r>
              <w:rPr>
                <w:w w:val="99"/>
                <w:sz w:val="18"/>
              </w:rPr>
              <w:t>0</w:t>
            </w:r>
          </w:p>
        </w:tc>
      </w:tr>
      <w:tr>
        <w:trPr>
          <w:trHeight w:val="310" w:hRule="exact"/>
        </w:trPr>
        <w:tc>
          <w:tcPr>
            <w:tcW w:w="3600" w:type="dxa"/>
            <w:tcBorders>
              <w:top w:val="single" w:sz="4" w:space="0" w:color="000000"/>
              <w:left w:val="single" w:sz="4" w:space="0" w:color="000000"/>
              <w:bottom w:val="single" w:sz="4" w:space="0" w:color="000000"/>
              <w:right w:val="single" w:sz="4" w:space="0" w:color="000000"/>
            </w:tcBorders>
          </w:tcPr>
          <w:p>
            <w:pPr>
              <w:pStyle w:val="TableParagraph"/>
              <w:spacing w:before="40"/>
              <w:ind w:left="67"/>
              <w:jc w:val="left"/>
              <w:rPr>
                <w:b/>
                <w:sz w:val="18"/>
              </w:rPr>
            </w:pPr>
            <w:r>
              <w:rPr>
                <w:b/>
                <w:color w:val="333333"/>
                <w:sz w:val="18"/>
              </w:rPr>
              <w:t>CHIAUTLA</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3"/>
              <w:rPr>
                <w:sz w:val="18"/>
              </w:rPr>
            </w:pPr>
            <w:r>
              <w:rPr>
                <w:w w:val="99"/>
                <w:sz w:val="18"/>
              </w:rPr>
              <w:t>0</w:t>
            </w:r>
          </w:p>
        </w:tc>
      </w:tr>
      <w:tr>
        <w:trPr>
          <w:trHeight w:val="310" w:hRule="exact"/>
        </w:trPr>
        <w:tc>
          <w:tcPr>
            <w:tcW w:w="3600" w:type="dxa"/>
            <w:tcBorders>
              <w:top w:val="single" w:sz="4" w:space="0" w:color="000000"/>
              <w:left w:val="single" w:sz="4" w:space="0" w:color="000000"/>
              <w:bottom w:val="single" w:sz="4" w:space="0" w:color="000000"/>
              <w:right w:val="single" w:sz="4" w:space="0" w:color="000000"/>
            </w:tcBorders>
          </w:tcPr>
          <w:p>
            <w:pPr>
              <w:pStyle w:val="TableParagraph"/>
              <w:spacing w:before="40"/>
              <w:ind w:left="67"/>
              <w:jc w:val="left"/>
              <w:rPr>
                <w:b/>
                <w:sz w:val="18"/>
              </w:rPr>
            </w:pPr>
            <w:r>
              <w:rPr>
                <w:b/>
                <w:color w:val="333333"/>
                <w:sz w:val="18"/>
              </w:rPr>
              <w:t>CHICOLOAPAN</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color w:val="006000"/>
                <w:w w:val="99"/>
                <w:sz w:val="18"/>
              </w:rPr>
              <w:t>3</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3"/>
              <w:rPr>
                <w:sz w:val="18"/>
              </w:rPr>
            </w:pPr>
            <w:r>
              <w:rPr>
                <w:w w:val="99"/>
                <w:sz w:val="18"/>
              </w:rPr>
              <w:t>0</w:t>
            </w:r>
          </w:p>
        </w:tc>
      </w:tr>
      <w:tr>
        <w:trPr>
          <w:trHeight w:val="310" w:hRule="exact"/>
        </w:trPr>
        <w:tc>
          <w:tcPr>
            <w:tcW w:w="3600" w:type="dxa"/>
            <w:tcBorders>
              <w:top w:val="single" w:sz="4" w:space="0" w:color="000000"/>
              <w:left w:val="single" w:sz="4" w:space="0" w:color="000000"/>
              <w:bottom w:val="single" w:sz="4" w:space="0" w:color="000000"/>
              <w:right w:val="single" w:sz="4" w:space="0" w:color="000000"/>
            </w:tcBorders>
          </w:tcPr>
          <w:p>
            <w:pPr>
              <w:pStyle w:val="TableParagraph"/>
              <w:spacing w:before="42"/>
              <w:ind w:left="67"/>
              <w:jc w:val="left"/>
              <w:rPr>
                <w:b/>
                <w:sz w:val="18"/>
              </w:rPr>
            </w:pPr>
            <w:r>
              <w:rPr>
                <w:b/>
                <w:color w:val="333333"/>
                <w:sz w:val="18"/>
              </w:rPr>
              <w:t>CHICONCUAC</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color w:val="006000"/>
                <w:w w:val="99"/>
                <w:sz w:val="18"/>
              </w:rPr>
              <w:t>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3"/>
              <w:rPr>
                <w:sz w:val="18"/>
              </w:rPr>
            </w:pPr>
            <w:r>
              <w:rPr>
                <w:w w:val="99"/>
                <w:sz w:val="18"/>
              </w:rPr>
              <w:t>0</w:t>
            </w:r>
          </w:p>
        </w:tc>
      </w:tr>
    </w:tbl>
    <w:p>
      <w:pPr>
        <w:spacing w:line="206" w:lineRule="exact" w:before="0"/>
        <w:ind w:left="192" w:right="0" w:firstLine="0"/>
        <w:jc w:val="left"/>
        <w:rPr>
          <w:sz w:val="18"/>
        </w:rPr>
      </w:pPr>
      <w:r>
        <w:rPr>
          <w:sz w:val="18"/>
        </w:rPr>
        <w:t>Fuente: Elaboración propia con datos del INFOEM.</w:t>
      </w:r>
    </w:p>
    <w:p>
      <w:pPr>
        <w:spacing w:after="0" w:line="206" w:lineRule="exact"/>
        <w:jc w:val="left"/>
        <w:rPr>
          <w:sz w:val="18"/>
        </w:rPr>
        <w:sectPr>
          <w:pgSz w:w="15840" w:h="12240" w:orient="landscape"/>
          <w:pgMar w:header="0" w:footer="975" w:top="1140" w:bottom="1160" w:left="1300" w:right="2260"/>
        </w:sectPr>
      </w:pPr>
    </w:p>
    <w:p>
      <w:pPr>
        <w:pStyle w:val="BodyText"/>
        <w:rPr>
          <w:sz w:val="20"/>
        </w:rPr>
      </w:pPr>
    </w:p>
    <w:p>
      <w:pPr>
        <w:pStyle w:val="BodyText"/>
        <w:spacing w:before="10"/>
        <w:rPr>
          <w:sz w:val="28"/>
        </w:rPr>
      </w:pPr>
    </w:p>
    <w:tbl>
      <w:tblPr>
        <w:tblW w:w="0" w:type="auto"/>
        <w:jc w:val="left"/>
        <w:tblInd w:w="1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954"/>
        <w:gridCol w:w="1421"/>
        <w:gridCol w:w="1421"/>
        <w:gridCol w:w="1205"/>
        <w:gridCol w:w="1200"/>
        <w:gridCol w:w="1201"/>
        <w:gridCol w:w="1200"/>
      </w:tblGrid>
      <w:tr>
        <w:trPr>
          <w:trHeight w:val="329" w:hRule="exact"/>
        </w:trPr>
        <w:tc>
          <w:tcPr>
            <w:tcW w:w="12602" w:type="dxa"/>
            <w:gridSpan w:val="7"/>
            <w:shd w:val="clear" w:color="auto" w:fill="C5DFB3"/>
          </w:tcPr>
          <w:p>
            <w:pPr>
              <w:pStyle w:val="TableParagraph"/>
              <w:spacing w:line="201" w:lineRule="exact"/>
              <w:ind w:left="3331"/>
              <w:jc w:val="left"/>
              <w:rPr>
                <w:b/>
                <w:sz w:val="18"/>
              </w:rPr>
            </w:pPr>
            <w:r>
              <w:rPr>
                <w:b/>
                <w:sz w:val="18"/>
              </w:rPr>
              <w:t>Anexo 28. Municipios que publican apartado de convenios 2010-2015</w:t>
            </w:r>
          </w:p>
        </w:tc>
      </w:tr>
      <w:tr>
        <w:trPr>
          <w:trHeight w:val="331" w:hRule="exact"/>
        </w:trPr>
        <w:tc>
          <w:tcPr>
            <w:tcW w:w="4954" w:type="dxa"/>
            <w:tcBorders>
              <w:right w:val="single" w:sz="4" w:space="0" w:color="000000"/>
            </w:tcBorders>
            <w:shd w:val="clear" w:color="auto" w:fill="C5DFB3"/>
          </w:tcPr>
          <w:p>
            <w:pPr>
              <w:pStyle w:val="TableParagraph"/>
              <w:spacing w:line="204" w:lineRule="exact"/>
              <w:ind w:left="2028" w:right="2030"/>
              <w:rPr>
                <w:b/>
                <w:sz w:val="18"/>
              </w:rPr>
            </w:pPr>
            <w:r>
              <w:rPr>
                <w:b/>
                <w:sz w:val="18"/>
              </w:rPr>
              <w:t>Municipio</w:t>
            </w:r>
          </w:p>
        </w:tc>
        <w:tc>
          <w:tcPr>
            <w:tcW w:w="1421" w:type="dxa"/>
            <w:tcBorders>
              <w:left w:val="single" w:sz="4" w:space="0" w:color="000000"/>
              <w:bottom w:val="single" w:sz="4" w:space="0" w:color="000000"/>
              <w:right w:val="single" w:sz="4" w:space="0" w:color="000000"/>
            </w:tcBorders>
            <w:shd w:val="clear" w:color="auto" w:fill="C5DFB3"/>
          </w:tcPr>
          <w:p>
            <w:pPr>
              <w:pStyle w:val="TableParagraph"/>
              <w:spacing w:line="204" w:lineRule="exact"/>
              <w:ind w:left="379" w:right="379"/>
              <w:rPr>
                <w:b/>
                <w:sz w:val="18"/>
              </w:rPr>
            </w:pPr>
            <w:r>
              <w:rPr>
                <w:b/>
                <w:sz w:val="18"/>
              </w:rPr>
              <w:t>2010</w:t>
            </w:r>
          </w:p>
        </w:tc>
        <w:tc>
          <w:tcPr>
            <w:tcW w:w="1421" w:type="dxa"/>
            <w:tcBorders>
              <w:left w:val="single" w:sz="4" w:space="0" w:color="000000"/>
              <w:bottom w:val="single" w:sz="4" w:space="0" w:color="000000"/>
              <w:right w:val="single" w:sz="4" w:space="0" w:color="000000"/>
            </w:tcBorders>
            <w:shd w:val="clear" w:color="auto" w:fill="C5DFB3"/>
          </w:tcPr>
          <w:p>
            <w:pPr>
              <w:pStyle w:val="TableParagraph"/>
              <w:spacing w:line="204" w:lineRule="exact"/>
              <w:ind w:left="485" w:right="485"/>
              <w:rPr>
                <w:b/>
                <w:sz w:val="18"/>
              </w:rPr>
            </w:pPr>
            <w:r>
              <w:rPr>
                <w:b/>
                <w:sz w:val="18"/>
              </w:rPr>
              <w:t>2011</w:t>
            </w:r>
          </w:p>
        </w:tc>
        <w:tc>
          <w:tcPr>
            <w:tcW w:w="1205" w:type="dxa"/>
            <w:tcBorders>
              <w:left w:val="single" w:sz="4" w:space="0" w:color="000000"/>
              <w:bottom w:val="single" w:sz="4" w:space="0" w:color="000000"/>
              <w:right w:val="single" w:sz="4" w:space="0" w:color="000000"/>
            </w:tcBorders>
            <w:shd w:val="clear" w:color="auto" w:fill="C5DFB3"/>
          </w:tcPr>
          <w:p>
            <w:pPr>
              <w:pStyle w:val="TableParagraph"/>
              <w:spacing w:line="204" w:lineRule="exact"/>
              <w:ind w:left="377" w:right="377"/>
              <w:rPr>
                <w:b/>
                <w:sz w:val="18"/>
              </w:rPr>
            </w:pPr>
            <w:r>
              <w:rPr>
                <w:b/>
                <w:sz w:val="18"/>
              </w:rPr>
              <w:t>2012</w:t>
            </w:r>
          </w:p>
        </w:tc>
        <w:tc>
          <w:tcPr>
            <w:tcW w:w="1200" w:type="dxa"/>
            <w:tcBorders>
              <w:left w:val="single" w:sz="4" w:space="0" w:color="000000"/>
              <w:bottom w:val="single" w:sz="4" w:space="0" w:color="000000"/>
              <w:right w:val="single" w:sz="4" w:space="0" w:color="000000"/>
            </w:tcBorders>
            <w:shd w:val="clear" w:color="auto" w:fill="C5DFB3"/>
          </w:tcPr>
          <w:p>
            <w:pPr>
              <w:pStyle w:val="TableParagraph"/>
              <w:spacing w:line="204" w:lineRule="exact"/>
              <w:ind w:left="270" w:right="266"/>
              <w:rPr>
                <w:b/>
                <w:sz w:val="18"/>
              </w:rPr>
            </w:pPr>
            <w:r>
              <w:rPr>
                <w:b/>
                <w:sz w:val="18"/>
              </w:rPr>
              <w:t>2013</w:t>
            </w:r>
          </w:p>
        </w:tc>
        <w:tc>
          <w:tcPr>
            <w:tcW w:w="1201" w:type="dxa"/>
            <w:tcBorders>
              <w:left w:val="single" w:sz="4" w:space="0" w:color="000000"/>
              <w:bottom w:val="single" w:sz="4" w:space="0" w:color="000000"/>
              <w:right w:val="single" w:sz="4" w:space="0" w:color="000000"/>
            </w:tcBorders>
            <w:shd w:val="clear" w:color="auto" w:fill="C5DFB3"/>
          </w:tcPr>
          <w:p>
            <w:pPr>
              <w:pStyle w:val="TableParagraph"/>
              <w:spacing w:line="204" w:lineRule="exact"/>
              <w:ind w:left="377" w:right="372"/>
              <w:rPr>
                <w:b/>
                <w:sz w:val="18"/>
              </w:rPr>
            </w:pPr>
            <w:r>
              <w:rPr>
                <w:b/>
                <w:sz w:val="18"/>
              </w:rPr>
              <w:t>2014</w:t>
            </w:r>
          </w:p>
        </w:tc>
        <w:tc>
          <w:tcPr>
            <w:tcW w:w="1200" w:type="dxa"/>
            <w:tcBorders>
              <w:left w:val="single" w:sz="4" w:space="0" w:color="000000"/>
              <w:bottom w:val="single" w:sz="4" w:space="0" w:color="000000"/>
            </w:tcBorders>
            <w:shd w:val="clear" w:color="auto" w:fill="C5DFB3"/>
          </w:tcPr>
          <w:p>
            <w:pPr>
              <w:pStyle w:val="TableParagraph"/>
              <w:spacing w:line="204" w:lineRule="exact"/>
              <w:ind w:left="127" w:right="118"/>
              <w:rPr>
                <w:b/>
                <w:sz w:val="18"/>
              </w:rPr>
            </w:pPr>
            <w:r>
              <w:rPr>
                <w:b/>
                <w:sz w:val="18"/>
              </w:rPr>
              <w:t>2015</w:t>
            </w:r>
          </w:p>
        </w:tc>
      </w:tr>
      <w:tr>
        <w:trPr>
          <w:trHeight w:val="314" w:hRule="exact"/>
        </w:trPr>
        <w:tc>
          <w:tcPr>
            <w:tcW w:w="4954" w:type="dxa"/>
            <w:tcBorders>
              <w:bottom w:val="single" w:sz="4" w:space="0" w:color="000000"/>
              <w:right w:val="single" w:sz="4" w:space="0" w:color="000000"/>
            </w:tcBorders>
          </w:tcPr>
          <w:p>
            <w:pPr>
              <w:pStyle w:val="TableParagraph"/>
              <w:spacing w:before="42"/>
              <w:ind w:left="62"/>
              <w:jc w:val="left"/>
              <w:rPr>
                <w:b/>
                <w:sz w:val="18"/>
              </w:rPr>
            </w:pPr>
            <w:r>
              <w:rPr>
                <w:b/>
                <w:color w:val="333333"/>
                <w:sz w:val="18"/>
              </w:rPr>
              <w:t>ACAMBAY</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52"/>
              <w:rPr>
                <w:sz w:val="18"/>
              </w:rPr>
            </w:pPr>
            <w:r>
              <w:rPr>
                <w:w w:val="99"/>
                <w:sz w:val="18"/>
              </w:rPr>
              <w:t>0</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52"/>
              <w:ind w:right="3"/>
              <w:rPr>
                <w:sz w:val="18"/>
              </w:rPr>
            </w:pPr>
            <w:r>
              <w:rPr>
                <w:w w:val="99"/>
                <w:sz w:val="18"/>
              </w:rPr>
              <w:t>0</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before="52"/>
              <w:rPr>
                <w:sz w:val="18"/>
              </w:rPr>
            </w:pPr>
            <w:r>
              <w:rPr>
                <w:w w:val="99"/>
                <w:sz w:val="18"/>
              </w:rPr>
              <w:t>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52"/>
              <w:ind w:left="4"/>
              <w:rPr>
                <w:sz w:val="18"/>
              </w:rPr>
            </w:pPr>
            <w:r>
              <w:rPr>
                <w:w w:val="99"/>
                <w:sz w:val="18"/>
              </w:rPr>
              <w:t>8</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52"/>
              <w:ind w:left="4"/>
              <w:rPr>
                <w:sz w:val="18"/>
              </w:rPr>
            </w:pPr>
            <w:r>
              <w:rPr>
                <w:w w:val="99"/>
                <w:sz w:val="18"/>
              </w:rPr>
              <w:t>6</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52"/>
              <w:ind w:left="4"/>
              <w:rPr>
                <w:sz w:val="18"/>
              </w:rPr>
            </w:pPr>
            <w:r>
              <w:rPr>
                <w:w w:val="99"/>
                <w:sz w:val="18"/>
              </w:rPr>
              <w:t>1</w:t>
            </w:r>
          </w:p>
        </w:tc>
      </w:tr>
      <w:tr>
        <w:trPr>
          <w:trHeight w:val="312" w:hRule="exact"/>
        </w:trPr>
        <w:tc>
          <w:tcPr>
            <w:tcW w:w="4954" w:type="dxa"/>
            <w:tcBorders>
              <w:top w:val="single" w:sz="4" w:space="0" w:color="000000"/>
              <w:bottom w:val="single" w:sz="4" w:space="0" w:color="000000"/>
              <w:right w:val="single" w:sz="4" w:space="0" w:color="000000"/>
            </w:tcBorders>
          </w:tcPr>
          <w:p>
            <w:pPr>
              <w:pStyle w:val="TableParagraph"/>
              <w:spacing w:before="42"/>
              <w:ind w:left="62"/>
              <w:jc w:val="left"/>
              <w:rPr>
                <w:b/>
                <w:sz w:val="18"/>
              </w:rPr>
            </w:pPr>
            <w:r>
              <w:rPr>
                <w:b/>
                <w:color w:val="333333"/>
                <w:sz w:val="18"/>
              </w:rPr>
              <w:t>ACOLMAN</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1</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7"/>
              <w:ind w:right="3"/>
              <w:rPr>
                <w:sz w:val="18"/>
              </w:rPr>
            </w:pPr>
            <w:r>
              <w:rPr>
                <w:w w:val="99"/>
                <w:sz w:val="18"/>
              </w:rPr>
              <w:t>1</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1</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r>
      <w:tr>
        <w:trPr>
          <w:trHeight w:val="310" w:hRule="exact"/>
        </w:trPr>
        <w:tc>
          <w:tcPr>
            <w:tcW w:w="4954" w:type="dxa"/>
            <w:tcBorders>
              <w:top w:val="single" w:sz="4" w:space="0" w:color="000000"/>
              <w:bottom w:val="single" w:sz="4" w:space="0" w:color="000000"/>
              <w:right w:val="single" w:sz="4" w:space="0" w:color="000000"/>
            </w:tcBorders>
          </w:tcPr>
          <w:p>
            <w:pPr>
              <w:pStyle w:val="TableParagraph"/>
              <w:spacing w:before="40"/>
              <w:ind w:left="62"/>
              <w:jc w:val="left"/>
              <w:rPr>
                <w:b/>
                <w:sz w:val="18"/>
              </w:rPr>
            </w:pPr>
            <w:r>
              <w:rPr>
                <w:b/>
                <w:color w:val="333333"/>
                <w:sz w:val="18"/>
              </w:rPr>
              <w:t>ACULCO</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4"/>
              <w:rPr>
                <w:sz w:val="18"/>
              </w:rPr>
            </w:pPr>
            <w:r>
              <w:rPr>
                <w:w w:val="99"/>
                <w:sz w:val="18"/>
              </w:rPr>
              <w:t>0</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4"/>
              <w:ind w:right="3"/>
              <w:rPr>
                <w:sz w:val="18"/>
              </w:rPr>
            </w:pPr>
            <w:r>
              <w:rPr>
                <w:w w:val="99"/>
                <w:sz w:val="18"/>
              </w:rPr>
              <w:t>0</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before="44"/>
              <w:rPr>
                <w:sz w:val="18"/>
              </w:rPr>
            </w:pPr>
            <w:r>
              <w:rPr>
                <w:w w:val="99"/>
                <w:sz w:val="18"/>
              </w:rPr>
              <w:t>2</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270" w:right="266"/>
              <w:rPr>
                <w:sz w:val="18"/>
              </w:rPr>
            </w:pPr>
            <w:r>
              <w:rPr>
                <w:sz w:val="18"/>
              </w:rPr>
              <w:t>10</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8</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r>
      <w:tr>
        <w:trPr>
          <w:trHeight w:val="310" w:hRule="exact"/>
        </w:trPr>
        <w:tc>
          <w:tcPr>
            <w:tcW w:w="4954" w:type="dxa"/>
            <w:tcBorders>
              <w:top w:val="single" w:sz="4" w:space="0" w:color="000000"/>
              <w:bottom w:val="single" w:sz="4" w:space="0" w:color="000000"/>
              <w:right w:val="single" w:sz="4" w:space="0" w:color="000000"/>
            </w:tcBorders>
          </w:tcPr>
          <w:p>
            <w:pPr>
              <w:pStyle w:val="TableParagraph"/>
              <w:spacing w:before="40"/>
              <w:ind w:left="62"/>
              <w:jc w:val="left"/>
              <w:rPr>
                <w:b/>
                <w:sz w:val="18"/>
              </w:rPr>
            </w:pPr>
            <w:r>
              <w:rPr>
                <w:b/>
                <w:color w:val="333333"/>
                <w:sz w:val="18"/>
              </w:rPr>
              <w:t>ALMOLOYA DE ALQUISIRAS</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4"/>
              <w:rPr>
                <w:sz w:val="18"/>
              </w:rPr>
            </w:pPr>
            <w:r>
              <w:rPr>
                <w:w w:val="99"/>
                <w:sz w:val="18"/>
              </w:rPr>
              <w:t>0</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4"/>
              <w:ind w:right="3"/>
              <w:rPr>
                <w:sz w:val="18"/>
              </w:rPr>
            </w:pPr>
            <w:r>
              <w:rPr>
                <w:w w:val="99"/>
                <w:sz w:val="18"/>
              </w:rPr>
              <w:t>0</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before="4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r>
      <w:tr>
        <w:trPr>
          <w:trHeight w:val="310" w:hRule="exact"/>
        </w:trPr>
        <w:tc>
          <w:tcPr>
            <w:tcW w:w="4954" w:type="dxa"/>
            <w:tcBorders>
              <w:top w:val="single" w:sz="4" w:space="0" w:color="000000"/>
              <w:bottom w:val="single" w:sz="4" w:space="0" w:color="000000"/>
              <w:right w:val="single" w:sz="4" w:space="0" w:color="000000"/>
            </w:tcBorders>
          </w:tcPr>
          <w:p>
            <w:pPr>
              <w:pStyle w:val="TableParagraph"/>
              <w:spacing w:before="42"/>
              <w:ind w:left="62"/>
              <w:jc w:val="left"/>
              <w:rPr>
                <w:b/>
                <w:sz w:val="18"/>
              </w:rPr>
            </w:pPr>
            <w:r>
              <w:rPr>
                <w:b/>
                <w:color w:val="333333"/>
                <w:sz w:val="18"/>
              </w:rPr>
              <w:t>ALMOLOYA DE JUAREZ</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0</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7"/>
              <w:ind w:right="3"/>
              <w:rPr>
                <w:sz w:val="18"/>
              </w:rPr>
            </w:pPr>
            <w:r>
              <w:rPr>
                <w:w w:val="99"/>
                <w:sz w:val="18"/>
              </w:rPr>
              <w:t>2</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4</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270" w:right="266"/>
              <w:rPr>
                <w:sz w:val="18"/>
              </w:rPr>
            </w:pPr>
            <w:r>
              <w:rPr>
                <w:sz w:val="18"/>
              </w:rPr>
              <w:t>22</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5</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r>
      <w:tr>
        <w:trPr>
          <w:trHeight w:val="310" w:hRule="exact"/>
        </w:trPr>
        <w:tc>
          <w:tcPr>
            <w:tcW w:w="4954" w:type="dxa"/>
            <w:tcBorders>
              <w:top w:val="single" w:sz="4" w:space="0" w:color="000000"/>
              <w:bottom w:val="single" w:sz="4" w:space="0" w:color="000000"/>
              <w:right w:val="single" w:sz="4" w:space="0" w:color="000000"/>
            </w:tcBorders>
          </w:tcPr>
          <w:p>
            <w:pPr>
              <w:pStyle w:val="TableParagraph"/>
              <w:spacing w:before="43"/>
              <w:ind w:left="62"/>
              <w:jc w:val="left"/>
              <w:rPr>
                <w:b/>
                <w:sz w:val="18"/>
              </w:rPr>
            </w:pPr>
            <w:r>
              <w:rPr>
                <w:b/>
                <w:color w:val="333333"/>
                <w:sz w:val="18"/>
              </w:rPr>
              <w:t>ALMOLOYA DEL RIO</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0</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7"/>
              <w:ind w:right="3"/>
              <w:rPr>
                <w:sz w:val="18"/>
              </w:rPr>
            </w:pPr>
            <w:r>
              <w:rPr>
                <w:w w:val="99"/>
                <w:sz w:val="18"/>
              </w:rPr>
              <w:t>0</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r>
      <w:tr>
        <w:trPr>
          <w:trHeight w:val="310" w:hRule="exact"/>
        </w:trPr>
        <w:tc>
          <w:tcPr>
            <w:tcW w:w="4954" w:type="dxa"/>
            <w:tcBorders>
              <w:top w:val="single" w:sz="4" w:space="0" w:color="000000"/>
              <w:bottom w:val="single" w:sz="4" w:space="0" w:color="000000"/>
              <w:right w:val="single" w:sz="4" w:space="0" w:color="000000"/>
            </w:tcBorders>
          </w:tcPr>
          <w:p>
            <w:pPr>
              <w:pStyle w:val="TableParagraph"/>
              <w:spacing w:before="42"/>
              <w:ind w:left="62"/>
              <w:jc w:val="left"/>
              <w:rPr>
                <w:b/>
                <w:sz w:val="18"/>
              </w:rPr>
            </w:pPr>
            <w:r>
              <w:rPr>
                <w:b/>
                <w:color w:val="333333"/>
                <w:sz w:val="18"/>
              </w:rPr>
              <w:t>AMANALCO</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0</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7"/>
              <w:ind w:right="3"/>
              <w:rPr>
                <w:sz w:val="18"/>
              </w:rPr>
            </w:pPr>
            <w:r>
              <w:rPr>
                <w:w w:val="99"/>
                <w:sz w:val="18"/>
              </w:rPr>
              <w:t>5</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270" w:right="266"/>
              <w:rPr>
                <w:sz w:val="18"/>
              </w:rPr>
            </w:pPr>
            <w:r>
              <w:rPr>
                <w:sz w:val="18"/>
              </w:rPr>
              <w:t>12</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377" w:right="372"/>
              <w:rPr>
                <w:sz w:val="18"/>
              </w:rPr>
            </w:pPr>
            <w:r>
              <w:rPr>
                <w:sz w:val="18"/>
              </w:rPr>
              <w:t>11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5</w:t>
            </w:r>
          </w:p>
        </w:tc>
      </w:tr>
      <w:tr>
        <w:trPr>
          <w:trHeight w:val="312" w:hRule="exact"/>
        </w:trPr>
        <w:tc>
          <w:tcPr>
            <w:tcW w:w="4954" w:type="dxa"/>
            <w:tcBorders>
              <w:top w:val="single" w:sz="4" w:space="0" w:color="000000"/>
              <w:bottom w:val="single" w:sz="4" w:space="0" w:color="000000"/>
              <w:right w:val="single" w:sz="4" w:space="0" w:color="000000"/>
            </w:tcBorders>
          </w:tcPr>
          <w:p>
            <w:pPr>
              <w:pStyle w:val="TableParagraph"/>
              <w:spacing w:before="42"/>
              <w:ind w:left="62"/>
              <w:jc w:val="left"/>
              <w:rPr>
                <w:b/>
                <w:sz w:val="18"/>
              </w:rPr>
            </w:pPr>
            <w:r>
              <w:rPr>
                <w:b/>
                <w:color w:val="333333"/>
                <w:sz w:val="18"/>
              </w:rPr>
              <w:t>AMATEPEC</w:t>
            </w:r>
          </w:p>
        </w:tc>
        <w:tc>
          <w:tcPr>
            <w:tcW w:w="7647" w:type="dxa"/>
            <w:gridSpan w:val="6"/>
            <w:tcBorders>
              <w:top w:val="single" w:sz="4" w:space="0" w:color="000000"/>
              <w:left w:val="single" w:sz="4" w:space="0" w:color="000000"/>
              <w:bottom w:val="single" w:sz="4" w:space="0" w:color="000000"/>
              <w:right w:val="single" w:sz="4" w:space="0" w:color="000000"/>
            </w:tcBorders>
          </w:tcPr>
          <w:p>
            <w:pPr>
              <w:pStyle w:val="TableParagraph"/>
              <w:spacing w:before="47"/>
              <w:ind w:left="3318" w:right="3318"/>
              <w:rPr>
                <w:sz w:val="18"/>
              </w:rPr>
            </w:pPr>
            <w:r>
              <w:rPr>
                <w:sz w:val="18"/>
              </w:rPr>
              <w:t>NO APLICA</w:t>
            </w:r>
          </w:p>
        </w:tc>
      </w:tr>
      <w:tr>
        <w:trPr>
          <w:trHeight w:val="310" w:hRule="exact"/>
        </w:trPr>
        <w:tc>
          <w:tcPr>
            <w:tcW w:w="4954" w:type="dxa"/>
            <w:tcBorders>
              <w:top w:val="single" w:sz="4" w:space="0" w:color="000000"/>
              <w:bottom w:val="single" w:sz="4" w:space="0" w:color="000000"/>
              <w:right w:val="single" w:sz="4" w:space="0" w:color="000000"/>
            </w:tcBorders>
          </w:tcPr>
          <w:p>
            <w:pPr>
              <w:pStyle w:val="TableParagraph"/>
              <w:spacing w:before="40"/>
              <w:ind w:left="62"/>
              <w:jc w:val="left"/>
              <w:rPr>
                <w:b/>
                <w:sz w:val="18"/>
              </w:rPr>
            </w:pPr>
            <w:r>
              <w:rPr>
                <w:b/>
                <w:color w:val="333333"/>
                <w:sz w:val="18"/>
              </w:rPr>
              <w:t>AMECAMECA</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4"/>
              <w:rPr>
                <w:sz w:val="18"/>
              </w:rPr>
            </w:pPr>
            <w:r>
              <w:rPr>
                <w:w w:val="99"/>
                <w:sz w:val="18"/>
              </w:rPr>
              <w:t>0</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4"/>
              <w:ind w:right="3"/>
              <w:rPr>
                <w:sz w:val="18"/>
              </w:rPr>
            </w:pPr>
            <w:r>
              <w:rPr>
                <w:w w:val="99"/>
                <w:sz w:val="18"/>
              </w:rPr>
              <w:t>0</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before="4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r>
      <w:tr>
        <w:trPr>
          <w:trHeight w:val="310" w:hRule="exact"/>
        </w:trPr>
        <w:tc>
          <w:tcPr>
            <w:tcW w:w="4954" w:type="dxa"/>
            <w:tcBorders>
              <w:top w:val="single" w:sz="4" w:space="0" w:color="000000"/>
              <w:bottom w:val="single" w:sz="4" w:space="0" w:color="000000"/>
              <w:right w:val="single" w:sz="4" w:space="0" w:color="000000"/>
            </w:tcBorders>
          </w:tcPr>
          <w:p>
            <w:pPr>
              <w:pStyle w:val="TableParagraph"/>
              <w:spacing w:before="40"/>
              <w:ind w:left="62"/>
              <w:jc w:val="left"/>
              <w:rPr>
                <w:b/>
                <w:sz w:val="18"/>
              </w:rPr>
            </w:pPr>
            <w:r>
              <w:rPr>
                <w:b/>
                <w:color w:val="333333"/>
                <w:sz w:val="18"/>
              </w:rPr>
              <w:t>APAXCO</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4"/>
              <w:rPr>
                <w:sz w:val="18"/>
              </w:rPr>
            </w:pPr>
            <w:r>
              <w:rPr>
                <w:w w:val="99"/>
                <w:sz w:val="18"/>
              </w:rPr>
              <w:t>0</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4"/>
              <w:ind w:right="3"/>
              <w:rPr>
                <w:sz w:val="18"/>
              </w:rPr>
            </w:pPr>
            <w:r>
              <w:rPr>
                <w:w w:val="99"/>
                <w:sz w:val="18"/>
              </w:rPr>
              <w:t>0</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before="4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r>
      <w:tr>
        <w:trPr>
          <w:trHeight w:val="310" w:hRule="exact"/>
        </w:trPr>
        <w:tc>
          <w:tcPr>
            <w:tcW w:w="4954" w:type="dxa"/>
            <w:tcBorders>
              <w:top w:val="single" w:sz="4" w:space="0" w:color="000000"/>
              <w:bottom w:val="single" w:sz="4" w:space="0" w:color="000000"/>
              <w:right w:val="single" w:sz="4" w:space="0" w:color="000000"/>
            </w:tcBorders>
          </w:tcPr>
          <w:p>
            <w:pPr>
              <w:pStyle w:val="TableParagraph"/>
              <w:spacing w:before="42"/>
              <w:ind w:left="62"/>
              <w:jc w:val="left"/>
              <w:rPr>
                <w:b/>
                <w:sz w:val="18"/>
              </w:rPr>
            </w:pPr>
            <w:r>
              <w:rPr>
                <w:b/>
                <w:color w:val="333333"/>
                <w:sz w:val="18"/>
              </w:rPr>
              <w:t>ATENCO</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0</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7"/>
              <w:ind w:right="3"/>
              <w:rPr>
                <w:sz w:val="18"/>
              </w:rPr>
            </w:pPr>
            <w:r>
              <w:rPr>
                <w:w w:val="99"/>
                <w:sz w:val="18"/>
              </w:rPr>
              <w:t>0</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r>
      <w:tr>
        <w:trPr>
          <w:trHeight w:val="310" w:hRule="exact"/>
        </w:trPr>
        <w:tc>
          <w:tcPr>
            <w:tcW w:w="4954" w:type="dxa"/>
            <w:tcBorders>
              <w:top w:val="single" w:sz="4" w:space="0" w:color="000000"/>
              <w:bottom w:val="single" w:sz="4" w:space="0" w:color="000000"/>
              <w:right w:val="single" w:sz="4" w:space="0" w:color="000000"/>
            </w:tcBorders>
          </w:tcPr>
          <w:p>
            <w:pPr>
              <w:pStyle w:val="TableParagraph"/>
              <w:spacing w:before="42"/>
              <w:ind w:left="62"/>
              <w:jc w:val="left"/>
              <w:rPr>
                <w:b/>
                <w:sz w:val="18"/>
              </w:rPr>
            </w:pPr>
            <w:r>
              <w:rPr>
                <w:b/>
                <w:color w:val="333333"/>
                <w:sz w:val="18"/>
              </w:rPr>
              <w:t>ATIZAPAN</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0</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7"/>
              <w:ind w:right="3"/>
              <w:rPr>
                <w:sz w:val="18"/>
              </w:rPr>
            </w:pPr>
            <w:r>
              <w:rPr>
                <w:w w:val="99"/>
                <w:sz w:val="18"/>
              </w:rPr>
              <w:t>0</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r>
      <w:tr>
        <w:trPr>
          <w:trHeight w:val="310" w:hRule="exact"/>
        </w:trPr>
        <w:tc>
          <w:tcPr>
            <w:tcW w:w="4954" w:type="dxa"/>
            <w:tcBorders>
              <w:top w:val="single" w:sz="4" w:space="0" w:color="000000"/>
              <w:bottom w:val="single" w:sz="4" w:space="0" w:color="000000"/>
              <w:right w:val="single" w:sz="4" w:space="0" w:color="000000"/>
            </w:tcBorders>
          </w:tcPr>
          <w:p>
            <w:pPr>
              <w:pStyle w:val="TableParagraph"/>
              <w:spacing w:before="42"/>
              <w:ind w:left="62"/>
              <w:jc w:val="left"/>
              <w:rPr>
                <w:b/>
                <w:sz w:val="18"/>
              </w:rPr>
            </w:pPr>
            <w:r>
              <w:rPr>
                <w:b/>
                <w:color w:val="333333"/>
                <w:sz w:val="18"/>
              </w:rPr>
              <w:t>ATIZAPAN DE ZARAGOZA</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3</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7"/>
              <w:ind w:left="485" w:right="485"/>
              <w:rPr>
                <w:sz w:val="18"/>
              </w:rPr>
            </w:pPr>
            <w:r>
              <w:rPr>
                <w:sz w:val="18"/>
              </w:rPr>
              <w:t>11</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before="47"/>
              <w:ind w:left="377" w:right="377"/>
              <w:rPr>
                <w:sz w:val="18"/>
              </w:rPr>
            </w:pPr>
            <w:r>
              <w:rPr>
                <w:sz w:val="18"/>
              </w:rPr>
              <w:t>14</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270" w:right="266"/>
              <w:rPr>
                <w:sz w:val="18"/>
              </w:rPr>
            </w:pPr>
            <w:r>
              <w:rPr>
                <w:sz w:val="18"/>
              </w:rPr>
              <w:t>26</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8</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2</w:t>
            </w:r>
          </w:p>
        </w:tc>
      </w:tr>
      <w:tr>
        <w:trPr>
          <w:trHeight w:val="312" w:hRule="exact"/>
        </w:trPr>
        <w:tc>
          <w:tcPr>
            <w:tcW w:w="4954" w:type="dxa"/>
            <w:tcBorders>
              <w:top w:val="single" w:sz="4" w:space="0" w:color="000000"/>
              <w:bottom w:val="single" w:sz="4" w:space="0" w:color="000000"/>
              <w:right w:val="single" w:sz="4" w:space="0" w:color="000000"/>
            </w:tcBorders>
          </w:tcPr>
          <w:p>
            <w:pPr>
              <w:pStyle w:val="TableParagraph"/>
              <w:spacing w:before="42"/>
              <w:ind w:left="62"/>
              <w:jc w:val="left"/>
              <w:rPr>
                <w:b/>
                <w:sz w:val="18"/>
              </w:rPr>
            </w:pPr>
            <w:r>
              <w:rPr>
                <w:b/>
                <w:color w:val="333333"/>
                <w:sz w:val="18"/>
              </w:rPr>
              <w:t>ATLACOMULCO</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6</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7"/>
              <w:ind w:right="3"/>
              <w:rPr>
                <w:sz w:val="18"/>
              </w:rPr>
            </w:pPr>
            <w:r>
              <w:rPr>
                <w:w w:val="99"/>
                <w:sz w:val="18"/>
              </w:rPr>
              <w:t>4</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270" w:right="266"/>
              <w:rPr>
                <w:sz w:val="18"/>
              </w:rPr>
            </w:pPr>
            <w:r>
              <w:rPr>
                <w:sz w:val="18"/>
              </w:rPr>
              <w:t>18</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3</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r>
      <w:tr>
        <w:trPr>
          <w:trHeight w:val="310" w:hRule="exact"/>
        </w:trPr>
        <w:tc>
          <w:tcPr>
            <w:tcW w:w="4954" w:type="dxa"/>
            <w:tcBorders>
              <w:top w:val="single" w:sz="4" w:space="0" w:color="000000"/>
              <w:bottom w:val="single" w:sz="4" w:space="0" w:color="000000"/>
              <w:right w:val="single" w:sz="4" w:space="0" w:color="000000"/>
            </w:tcBorders>
          </w:tcPr>
          <w:p>
            <w:pPr>
              <w:pStyle w:val="TableParagraph"/>
              <w:spacing w:before="40"/>
              <w:ind w:left="62"/>
              <w:jc w:val="left"/>
              <w:rPr>
                <w:b/>
                <w:sz w:val="18"/>
              </w:rPr>
            </w:pPr>
            <w:r>
              <w:rPr>
                <w:b/>
                <w:color w:val="333333"/>
                <w:sz w:val="18"/>
              </w:rPr>
              <w:t>ATLAUTLA</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4"/>
              <w:rPr>
                <w:sz w:val="18"/>
              </w:rPr>
            </w:pPr>
            <w:r>
              <w:rPr>
                <w:w w:val="99"/>
                <w:sz w:val="18"/>
              </w:rPr>
              <w:t>0</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4"/>
              <w:ind w:right="3"/>
              <w:rPr>
                <w:sz w:val="18"/>
              </w:rPr>
            </w:pPr>
            <w:r>
              <w:rPr>
                <w:w w:val="99"/>
                <w:sz w:val="18"/>
              </w:rPr>
              <w:t>0</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before="4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1</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r>
      <w:tr>
        <w:trPr>
          <w:trHeight w:val="310" w:hRule="exact"/>
        </w:trPr>
        <w:tc>
          <w:tcPr>
            <w:tcW w:w="4954" w:type="dxa"/>
            <w:tcBorders>
              <w:top w:val="single" w:sz="4" w:space="0" w:color="000000"/>
              <w:bottom w:val="single" w:sz="4" w:space="0" w:color="000000"/>
              <w:right w:val="single" w:sz="4" w:space="0" w:color="000000"/>
            </w:tcBorders>
          </w:tcPr>
          <w:p>
            <w:pPr>
              <w:pStyle w:val="TableParagraph"/>
              <w:spacing w:before="40"/>
              <w:ind w:left="62"/>
              <w:jc w:val="left"/>
              <w:rPr>
                <w:b/>
                <w:sz w:val="18"/>
              </w:rPr>
            </w:pPr>
            <w:r>
              <w:rPr>
                <w:b/>
                <w:color w:val="333333"/>
                <w:sz w:val="18"/>
              </w:rPr>
              <w:t>AXAPUSCO</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4"/>
              <w:rPr>
                <w:sz w:val="18"/>
              </w:rPr>
            </w:pPr>
            <w:r>
              <w:rPr>
                <w:w w:val="99"/>
                <w:sz w:val="18"/>
              </w:rPr>
              <w:t>0</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4"/>
              <w:ind w:right="3"/>
              <w:rPr>
                <w:sz w:val="18"/>
              </w:rPr>
            </w:pPr>
            <w:r>
              <w:rPr>
                <w:w w:val="99"/>
                <w:sz w:val="18"/>
              </w:rPr>
              <w:t>0</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before="4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r>
      <w:tr>
        <w:trPr>
          <w:trHeight w:val="310" w:hRule="exact"/>
        </w:trPr>
        <w:tc>
          <w:tcPr>
            <w:tcW w:w="4954" w:type="dxa"/>
            <w:tcBorders>
              <w:top w:val="single" w:sz="4" w:space="0" w:color="000000"/>
              <w:bottom w:val="single" w:sz="4" w:space="0" w:color="000000"/>
              <w:right w:val="single" w:sz="4" w:space="0" w:color="000000"/>
            </w:tcBorders>
          </w:tcPr>
          <w:p>
            <w:pPr>
              <w:pStyle w:val="TableParagraph"/>
              <w:spacing w:before="42"/>
              <w:ind w:left="62"/>
              <w:jc w:val="left"/>
              <w:rPr>
                <w:b/>
                <w:sz w:val="18"/>
              </w:rPr>
            </w:pPr>
            <w:r>
              <w:rPr>
                <w:b/>
                <w:color w:val="333333"/>
                <w:sz w:val="18"/>
              </w:rPr>
              <w:t>AYAPANGO</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0</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7"/>
              <w:ind w:right="3"/>
              <w:rPr>
                <w:sz w:val="18"/>
              </w:rPr>
            </w:pPr>
            <w:r>
              <w:rPr>
                <w:w w:val="99"/>
                <w:sz w:val="18"/>
              </w:rPr>
              <w:t>0</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r>
      <w:tr>
        <w:trPr>
          <w:trHeight w:val="310" w:hRule="exact"/>
        </w:trPr>
        <w:tc>
          <w:tcPr>
            <w:tcW w:w="4954" w:type="dxa"/>
            <w:tcBorders>
              <w:top w:val="single" w:sz="4" w:space="0" w:color="000000"/>
              <w:bottom w:val="single" w:sz="4" w:space="0" w:color="000000"/>
              <w:right w:val="single" w:sz="4" w:space="0" w:color="000000"/>
            </w:tcBorders>
          </w:tcPr>
          <w:p>
            <w:pPr>
              <w:pStyle w:val="TableParagraph"/>
              <w:spacing w:before="42"/>
              <w:ind w:left="62"/>
              <w:jc w:val="left"/>
              <w:rPr>
                <w:b/>
                <w:sz w:val="18"/>
              </w:rPr>
            </w:pPr>
            <w:r>
              <w:rPr>
                <w:b/>
                <w:color w:val="333333"/>
                <w:sz w:val="18"/>
              </w:rPr>
              <w:t>CALIMAYA</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1</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7"/>
              <w:ind w:right="3"/>
              <w:rPr>
                <w:sz w:val="18"/>
              </w:rPr>
            </w:pPr>
            <w:r>
              <w:rPr>
                <w:w w:val="99"/>
                <w:sz w:val="18"/>
              </w:rPr>
              <w:t>2</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2</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270" w:right="266"/>
              <w:rPr>
                <w:sz w:val="18"/>
              </w:rPr>
            </w:pPr>
            <w:r>
              <w:rPr>
                <w:sz w:val="18"/>
              </w:rPr>
              <w:t>10</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1</w:t>
            </w:r>
          </w:p>
        </w:tc>
      </w:tr>
      <w:tr>
        <w:trPr>
          <w:trHeight w:val="310" w:hRule="exact"/>
        </w:trPr>
        <w:tc>
          <w:tcPr>
            <w:tcW w:w="4954" w:type="dxa"/>
            <w:tcBorders>
              <w:top w:val="single" w:sz="4" w:space="0" w:color="000000"/>
              <w:bottom w:val="single" w:sz="4" w:space="0" w:color="000000"/>
              <w:right w:val="single" w:sz="4" w:space="0" w:color="000000"/>
            </w:tcBorders>
          </w:tcPr>
          <w:p>
            <w:pPr>
              <w:pStyle w:val="TableParagraph"/>
              <w:spacing w:before="42"/>
              <w:ind w:left="62"/>
              <w:jc w:val="left"/>
              <w:rPr>
                <w:b/>
                <w:sz w:val="18"/>
              </w:rPr>
            </w:pPr>
            <w:r>
              <w:rPr>
                <w:b/>
                <w:color w:val="333333"/>
                <w:sz w:val="18"/>
              </w:rPr>
              <w:t>CAPULHUAC</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0</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7"/>
              <w:ind w:right="3"/>
              <w:rPr>
                <w:sz w:val="18"/>
              </w:rPr>
            </w:pPr>
            <w:r>
              <w:rPr>
                <w:w w:val="99"/>
                <w:sz w:val="18"/>
              </w:rPr>
              <w:t>0</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r>
      <w:tr>
        <w:trPr>
          <w:trHeight w:val="312" w:hRule="exact"/>
        </w:trPr>
        <w:tc>
          <w:tcPr>
            <w:tcW w:w="4954" w:type="dxa"/>
            <w:tcBorders>
              <w:top w:val="single" w:sz="4" w:space="0" w:color="000000"/>
              <w:bottom w:val="single" w:sz="4" w:space="0" w:color="000000"/>
              <w:right w:val="single" w:sz="4" w:space="0" w:color="000000"/>
            </w:tcBorders>
          </w:tcPr>
          <w:p>
            <w:pPr>
              <w:pStyle w:val="TableParagraph"/>
              <w:spacing w:before="42"/>
              <w:ind w:left="62"/>
              <w:jc w:val="left"/>
              <w:rPr>
                <w:b/>
                <w:sz w:val="18"/>
              </w:rPr>
            </w:pPr>
            <w:r>
              <w:rPr>
                <w:b/>
                <w:color w:val="333333"/>
                <w:sz w:val="18"/>
              </w:rPr>
              <w:t>CHALCO</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2</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7"/>
              <w:ind w:right="3"/>
              <w:rPr>
                <w:sz w:val="18"/>
              </w:rPr>
            </w:pPr>
            <w:r>
              <w:rPr>
                <w:w w:val="99"/>
                <w:sz w:val="18"/>
              </w:rPr>
              <w:t>5</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9</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270" w:right="266"/>
              <w:rPr>
                <w:sz w:val="18"/>
              </w:rPr>
            </w:pPr>
            <w:r>
              <w:rPr>
                <w:sz w:val="18"/>
              </w:rPr>
              <w:t>54</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377" w:right="372"/>
              <w:rPr>
                <w:sz w:val="18"/>
              </w:rPr>
            </w:pPr>
            <w:r>
              <w:rPr>
                <w:sz w:val="18"/>
              </w:rPr>
              <w:t>38</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270" w:right="266"/>
              <w:rPr>
                <w:sz w:val="18"/>
              </w:rPr>
            </w:pPr>
            <w:r>
              <w:rPr>
                <w:sz w:val="18"/>
              </w:rPr>
              <w:t>13</w:t>
            </w:r>
          </w:p>
        </w:tc>
      </w:tr>
      <w:tr>
        <w:trPr>
          <w:trHeight w:val="310" w:hRule="exact"/>
        </w:trPr>
        <w:tc>
          <w:tcPr>
            <w:tcW w:w="4954" w:type="dxa"/>
            <w:tcBorders>
              <w:top w:val="single" w:sz="4" w:space="0" w:color="000000"/>
              <w:bottom w:val="single" w:sz="4" w:space="0" w:color="000000"/>
              <w:right w:val="single" w:sz="4" w:space="0" w:color="000000"/>
            </w:tcBorders>
          </w:tcPr>
          <w:p>
            <w:pPr>
              <w:pStyle w:val="TableParagraph"/>
              <w:spacing w:before="40"/>
              <w:ind w:left="62"/>
              <w:jc w:val="left"/>
              <w:rPr>
                <w:b/>
                <w:sz w:val="18"/>
              </w:rPr>
            </w:pPr>
            <w:r>
              <w:rPr>
                <w:b/>
                <w:color w:val="333333"/>
                <w:sz w:val="18"/>
              </w:rPr>
              <w:t>CHAPA DE MOTA</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4"/>
              <w:rPr>
                <w:sz w:val="18"/>
              </w:rPr>
            </w:pPr>
            <w:r>
              <w:rPr>
                <w:w w:val="99"/>
                <w:sz w:val="18"/>
              </w:rPr>
              <w:t>0</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4"/>
              <w:ind w:right="3"/>
              <w:rPr>
                <w:sz w:val="18"/>
              </w:rPr>
            </w:pPr>
            <w:r>
              <w:rPr>
                <w:w w:val="99"/>
                <w:sz w:val="18"/>
              </w:rPr>
              <w:t>3</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before="44"/>
              <w:rPr>
                <w:sz w:val="18"/>
              </w:rPr>
            </w:pPr>
            <w:r>
              <w:rPr>
                <w:w w:val="99"/>
                <w:sz w:val="18"/>
              </w:rPr>
              <w:t>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270" w:right="266"/>
              <w:rPr>
                <w:sz w:val="18"/>
              </w:rPr>
            </w:pPr>
            <w:r>
              <w:rPr>
                <w:sz w:val="18"/>
              </w:rPr>
              <w:t>15</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377" w:right="372"/>
              <w:rPr>
                <w:sz w:val="18"/>
              </w:rPr>
            </w:pPr>
            <w:r>
              <w:rPr>
                <w:sz w:val="18"/>
              </w:rPr>
              <w:t>17</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2</w:t>
            </w:r>
          </w:p>
        </w:tc>
      </w:tr>
      <w:tr>
        <w:trPr>
          <w:trHeight w:val="310" w:hRule="exact"/>
        </w:trPr>
        <w:tc>
          <w:tcPr>
            <w:tcW w:w="4954" w:type="dxa"/>
            <w:tcBorders>
              <w:top w:val="single" w:sz="4" w:space="0" w:color="000000"/>
              <w:bottom w:val="single" w:sz="4" w:space="0" w:color="000000"/>
              <w:right w:val="single" w:sz="4" w:space="0" w:color="000000"/>
            </w:tcBorders>
          </w:tcPr>
          <w:p>
            <w:pPr>
              <w:pStyle w:val="TableParagraph"/>
              <w:spacing w:before="40"/>
              <w:ind w:left="62"/>
              <w:jc w:val="left"/>
              <w:rPr>
                <w:b/>
                <w:sz w:val="18"/>
              </w:rPr>
            </w:pPr>
            <w:r>
              <w:rPr>
                <w:b/>
                <w:color w:val="333333"/>
                <w:sz w:val="18"/>
              </w:rPr>
              <w:t>CHAPULTEPEC</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4"/>
              <w:rPr>
                <w:sz w:val="18"/>
              </w:rPr>
            </w:pPr>
            <w:r>
              <w:rPr>
                <w:w w:val="99"/>
                <w:sz w:val="18"/>
              </w:rPr>
              <w:t>0</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4"/>
              <w:ind w:right="3"/>
              <w:rPr>
                <w:sz w:val="18"/>
              </w:rPr>
            </w:pPr>
            <w:r>
              <w:rPr>
                <w:w w:val="99"/>
                <w:sz w:val="18"/>
              </w:rPr>
              <w:t>0</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before="4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4"/>
              <w:ind w:left="4"/>
              <w:rPr>
                <w:sz w:val="18"/>
              </w:rPr>
            </w:pPr>
            <w:r>
              <w:rPr>
                <w:w w:val="99"/>
                <w:sz w:val="18"/>
              </w:rPr>
              <w:t>0</w:t>
            </w:r>
          </w:p>
        </w:tc>
      </w:tr>
      <w:tr>
        <w:trPr>
          <w:trHeight w:val="310" w:hRule="exact"/>
        </w:trPr>
        <w:tc>
          <w:tcPr>
            <w:tcW w:w="4954" w:type="dxa"/>
            <w:tcBorders>
              <w:top w:val="single" w:sz="4" w:space="0" w:color="000000"/>
              <w:bottom w:val="single" w:sz="4" w:space="0" w:color="000000"/>
              <w:right w:val="single" w:sz="4" w:space="0" w:color="000000"/>
            </w:tcBorders>
          </w:tcPr>
          <w:p>
            <w:pPr>
              <w:pStyle w:val="TableParagraph"/>
              <w:spacing w:before="43"/>
              <w:ind w:left="62"/>
              <w:jc w:val="left"/>
              <w:rPr>
                <w:b/>
                <w:sz w:val="18"/>
              </w:rPr>
            </w:pPr>
            <w:r>
              <w:rPr>
                <w:b/>
                <w:color w:val="333333"/>
                <w:sz w:val="18"/>
              </w:rPr>
              <w:t>CHIAUTLA</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0</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7"/>
              <w:ind w:right="3"/>
              <w:rPr>
                <w:sz w:val="18"/>
              </w:rPr>
            </w:pPr>
            <w:r>
              <w:rPr>
                <w:w w:val="99"/>
                <w:sz w:val="18"/>
              </w:rPr>
              <w:t>0</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r>
      <w:tr>
        <w:trPr>
          <w:trHeight w:val="310" w:hRule="exact"/>
        </w:trPr>
        <w:tc>
          <w:tcPr>
            <w:tcW w:w="4954" w:type="dxa"/>
            <w:tcBorders>
              <w:top w:val="single" w:sz="4" w:space="0" w:color="000000"/>
              <w:bottom w:val="single" w:sz="4" w:space="0" w:color="000000"/>
              <w:right w:val="single" w:sz="4" w:space="0" w:color="000000"/>
            </w:tcBorders>
          </w:tcPr>
          <w:p>
            <w:pPr>
              <w:pStyle w:val="TableParagraph"/>
              <w:spacing w:before="42"/>
              <w:ind w:left="62"/>
              <w:jc w:val="left"/>
              <w:rPr>
                <w:b/>
                <w:sz w:val="18"/>
              </w:rPr>
            </w:pPr>
            <w:r>
              <w:rPr>
                <w:b/>
                <w:color w:val="333333"/>
                <w:sz w:val="18"/>
              </w:rPr>
              <w:t>CHICOLOAPAN</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0</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7"/>
              <w:ind w:right="3"/>
              <w:rPr>
                <w:sz w:val="18"/>
              </w:rPr>
            </w:pPr>
            <w:r>
              <w:rPr>
                <w:w w:val="99"/>
                <w:sz w:val="18"/>
              </w:rPr>
              <w:t>0</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3</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r>
      <w:tr>
        <w:trPr>
          <w:trHeight w:val="310" w:hRule="exact"/>
        </w:trPr>
        <w:tc>
          <w:tcPr>
            <w:tcW w:w="4954" w:type="dxa"/>
            <w:tcBorders>
              <w:top w:val="single" w:sz="4" w:space="0" w:color="000000"/>
              <w:bottom w:val="single" w:sz="4" w:space="0" w:color="000000"/>
              <w:right w:val="single" w:sz="4" w:space="0" w:color="000000"/>
            </w:tcBorders>
          </w:tcPr>
          <w:p>
            <w:pPr>
              <w:pStyle w:val="TableParagraph"/>
              <w:spacing w:before="42"/>
              <w:ind w:left="62"/>
              <w:jc w:val="left"/>
              <w:rPr>
                <w:b/>
                <w:sz w:val="18"/>
              </w:rPr>
            </w:pPr>
            <w:r>
              <w:rPr>
                <w:b/>
                <w:color w:val="333333"/>
                <w:sz w:val="18"/>
              </w:rPr>
              <w:t>CHICONCUAC</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0</w:t>
            </w:r>
          </w:p>
        </w:tc>
        <w:tc>
          <w:tcPr>
            <w:tcW w:w="1421" w:type="dxa"/>
            <w:tcBorders>
              <w:top w:val="single" w:sz="4" w:space="0" w:color="000000"/>
              <w:left w:val="single" w:sz="4" w:space="0" w:color="000000"/>
              <w:bottom w:val="single" w:sz="4" w:space="0" w:color="000000"/>
              <w:right w:val="single" w:sz="4" w:space="0" w:color="000000"/>
            </w:tcBorders>
          </w:tcPr>
          <w:p>
            <w:pPr>
              <w:pStyle w:val="TableParagraph"/>
              <w:spacing w:before="47"/>
              <w:ind w:right="3"/>
              <w:rPr>
                <w:sz w:val="18"/>
              </w:rPr>
            </w:pPr>
            <w:r>
              <w:rPr>
                <w:w w:val="99"/>
                <w:sz w:val="18"/>
              </w:rPr>
              <w:t>0</w:t>
            </w:r>
          </w:p>
        </w:tc>
        <w:tc>
          <w:tcPr>
            <w:tcW w:w="1205" w:type="dxa"/>
            <w:tcBorders>
              <w:top w:val="single" w:sz="4" w:space="0" w:color="000000"/>
              <w:left w:val="single" w:sz="4" w:space="0" w:color="000000"/>
              <w:bottom w:val="single" w:sz="4" w:space="0" w:color="000000"/>
              <w:right w:val="single" w:sz="4" w:space="0" w:color="000000"/>
            </w:tcBorders>
          </w:tcPr>
          <w:p>
            <w:pPr>
              <w:pStyle w:val="TableParagraph"/>
              <w:spacing w:before="47"/>
              <w:rPr>
                <w:sz w:val="18"/>
              </w:rPr>
            </w:pPr>
            <w:r>
              <w:rPr>
                <w:w w:val="99"/>
                <w:sz w:val="18"/>
              </w:rPr>
              <w:t>1</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1"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47"/>
              <w:ind w:left="4"/>
              <w:rPr>
                <w:sz w:val="18"/>
              </w:rPr>
            </w:pPr>
            <w:r>
              <w:rPr>
                <w:w w:val="99"/>
                <w:sz w:val="18"/>
              </w:rPr>
              <w:t>0</w:t>
            </w:r>
          </w:p>
        </w:tc>
      </w:tr>
    </w:tbl>
    <w:p>
      <w:pPr>
        <w:spacing w:before="47"/>
        <w:ind w:left="184" w:right="0" w:firstLine="0"/>
        <w:jc w:val="left"/>
        <w:rPr>
          <w:sz w:val="18"/>
        </w:rPr>
      </w:pPr>
      <w:r>
        <w:rPr>
          <w:sz w:val="18"/>
        </w:rPr>
        <w:t>Fuente: Elaboración propia con datos del INFOEM.</w:t>
      </w:r>
    </w:p>
    <w:p>
      <w:pPr>
        <w:spacing w:after="0"/>
        <w:jc w:val="left"/>
        <w:rPr>
          <w:sz w:val="18"/>
        </w:rPr>
        <w:sectPr>
          <w:pgSz w:w="15840" w:h="12240" w:orient="landscape"/>
          <w:pgMar w:header="0" w:footer="975" w:top="1140" w:bottom="1220" w:left="1700" w:right="1300"/>
        </w:sectPr>
      </w:pPr>
    </w:p>
    <w:p>
      <w:pPr>
        <w:pStyle w:val="BodyText"/>
        <w:rPr>
          <w:sz w:val="20"/>
        </w:rPr>
      </w:pPr>
    </w:p>
    <w:p>
      <w:pPr>
        <w:pStyle w:val="BodyText"/>
        <w:spacing w:before="10"/>
        <w:rPr>
          <w:sz w:val="28"/>
        </w:rPr>
      </w:pPr>
    </w:p>
    <w:tbl>
      <w:tblPr>
        <w:tblW w:w="0" w:type="auto"/>
        <w:jc w:val="left"/>
        <w:tblInd w:w="16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85"/>
        <w:gridCol w:w="543"/>
        <w:gridCol w:w="540"/>
        <w:gridCol w:w="542"/>
        <w:gridCol w:w="540"/>
        <w:gridCol w:w="540"/>
        <w:gridCol w:w="542"/>
      </w:tblGrid>
      <w:tr>
        <w:trPr>
          <w:trHeight w:val="274" w:hRule="exact"/>
        </w:trPr>
        <w:tc>
          <w:tcPr>
            <w:tcW w:w="7832" w:type="dxa"/>
            <w:gridSpan w:val="7"/>
            <w:shd w:val="clear" w:color="auto" w:fill="C5DFB3"/>
          </w:tcPr>
          <w:p>
            <w:pPr>
              <w:pStyle w:val="TableParagraph"/>
              <w:spacing w:before="23"/>
              <w:ind w:left="381"/>
              <w:jc w:val="left"/>
              <w:rPr>
                <w:b/>
                <w:sz w:val="18"/>
              </w:rPr>
            </w:pPr>
            <w:r>
              <w:rPr>
                <w:b/>
                <w:sz w:val="18"/>
              </w:rPr>
              <w:t>Anexo 29. Municipios que publican apartado de participación en políticas publicas</w:t>
            </w:r>
          </w:p>
        </w:tc>
      </w:tr>
      <w:tr>
        <w:trPr>
          <w:trHeight w:val="218" w:hRule="exact"/>
        </w:trPr>
        <w:tc>
          <w:tcPr>
            <w:tcW w:w="4585" w:type="dxa"/>
            <w:shd w:val="clear" w:color="auto" w:fill="C5DFB3"/>
          </w:tcPr>
          <w:p>
            <w:pPr>
              <w:pStyle w:val="TableParagraph"/>
              <w:spacing w:line="204" w:lineRule="exact"/>
              <w:ind w:left="1850" w:right="1844"/>
              <w:rPr>
                <w:b/>
                <w:sz w:val="18"/>
              </w:rPr>
            </w:pPr>
            <w:r>
              <w:rPr>
                <w:b/>
                <w:sz w:val="18"/>
              </w:rPr>
              <w:t>Municipio</w:t>
            </w:r>
          </w:p>
        </w:tc>
        <w:tc>
          <w:tcPr>
            <w:tcW w:w="543" w:type="dxa"/>
            <w:shd w:val="clear" w:color="auto" w:fill="C5DFB3"/>
          </w:tcPr>
          <w:p>
            <w:pPr>
              <w:pStyle w:val="TableParagraph"/>
              <w:spacing w:line="204" w:lineRule="exact"/>
              <w:ind w:left="48" w:right="44"/>
              <w:rPr>
                <w:b/>
                <w:sz w:val="18"/>
              </w:rPr>
            </w:pPr>
            <w:r>
              <w:rPr>
                <w:b/>
                <w:sz w:val="18"/>
              </w:rPr>
              <w:t>2010</w:t>
            </w:r>
          </w:p>
        </w:tc>
        <w:tc>
          <w:tcPr>
            <w:tcW w:w="540" w:type="dxa"/>
            <w:shd w:val="clear" w:color="auto" w:fill="C5DFB3"/>
          </w:tcPr>
          <w:p>
            <w:pPr>
              <w:pStyle w:val="TableParagraph"/>
              <w:spacing w:line="204" w:lineRule="exact"/>
              <w:ind w:left="46" w:right="44"/>
              <w:rPr>
                <w:b/>
                <w:sz w:val="18"/>
              </w:rPr>
            </w:pPr>
            <w:r>
              <w:rPr>
                <w:b/>
                <w:sz w:val="18"/>
              </w:rPr>
              <w:t>2011</w:t>
            </w:r>
          </w:p>
        </w:tc>
        <w:tc>
          <w:tcPr>
            <w:tcW w:w="542" w:type="dxa"/>
            <w:shd w:val="clear" w:color="auto" w:fill="C5DFB3"/>
          </w:tcPr>
          <w:p>
            <w:pPr>
              <w:pStyle w:val="TableParagraph"/>
              <w:spacing w:line="204" w:lineRule="exact"/>
              <w:ind w:left="48" w:right="44"/>
              <w:rPr>
                <w:b/>
                <w:sz w:val="18"/>
              </w:rPr>
            </w:pPr>
            <w:r>
              <w:rPr>
                <w:b/>
                <w:sz w:val="18"/>
              </w:rPr>
              <w:t>2012</w:t>
            </w:r>
          </w:p>
        </w:tc>
        <w:tc>
          <w:tcPr>
            <w:tcW w:w="540" w:type="dxa"/>
            <w:shd w:val="clear" w:color="auto" w:fill="C5DFB3"/>
          </w:tcPr>
          <w:p>
            <w:pPr>
              <w:pStyle w:val="TableParagraph"/>
              <w:spacing w:line="204" w:lineRule="exact"/>
              <w:ind w:left="46" w:right="44"/>
              <w:rPr>
                <w:b/>
                <w:sz w:val="18"/>
              </w:rPr>
            </w:pPr>
            <w:r>
              <w:rPr>
                <w:b/>
                <w:sz w:val="18"/>
              </w:rPr>
              <w:t>2013</w:t>
            </w:r>
          </w:p>
        </w:tc>
        <w:tc>
          <w:tcPr>
            <w:tcW w:w="540" w:type="dxa"/>
            <w:shd w:val="clear" w:color="auto" w:fill="C5DFB3"/>
          </w:tcPr>
          <w:p>
            <w:pPr>
              <w:pStyle w:val="TableParagraph"/>
              <w:spacing w:line="204" w:lineRule="exact"/>
              <w:ind w:left="46" w:right="44"/>
              <w:rPr>
                <w:b/>
                <w:sz w:val="18"/>
              </w:rPr>
            </w:pPr>
            <w:r>
              <w:rPr>
                <w:b/>
                <w:sz w:val="18"/>
              </w:rPr>
              <w:t>2014</w:t>
            </w:r>
          </w:p>
        </w:tc>
        <w:tc>
          <w:tcPr>
            <w:tcW w:w="542" w:type="dxa"/>
            <w:shd w:val="clear" w:color="auto" w:fill="C5DFB3"/>
          </w:tcPr>
          <w:p>
            <w:pPr>
              <w:pStyle w:val="TableParagraph"/>
              <w:spacing w:line="204" w:lineRule="exact"/>
              <w:ind w:left="48" w:right="44"/>
              <w:rPr>
                <w:b/>
                <w:sz w:val="18"/>
              </w:rPr>
            </w:pPr>
            <w:r>
              <w:rPr>
                <w:b/>
                <w:sz w:val="18"/>
              </w:rPr>
              <w:t>2015</w:t>
            </w:r>
          </w:p>
        </w:tc>
      </w:tr>
      <w:tr>
        <w:trPr>
          <w:trHeight w:val="310" w:hRule="exact"/>
        </w:trPr>
        <w:tc>
          <w:tcPr>
            <w:tcW w:w="4585" w:type="dxa"/>
            <w:tcBorders>
              <w:left w:val="single" w:sz="8" w:space="0" w:color="000000"/>
            </w:tcBorders>
          </w:tcPr>
          <w:p>
            <w:pPr>
              <w:pStyle w:val="TableParagraph"/>
              <w:spacing w:before="40"/>
              <w:ind w:left="62"/>
              <w:jc w:val="left"/>
              <w:rPr>
                <w:b/>
                <w:sz w:val="18"/>
              </w:rPr>
            </w:pPr>
            <w:r>
              <w:rPr>
                <w:b/>
                <w:color w:val="333333"/>
                <w:sz w:val="18"/>
              </w:rPr>
              <w:t>ACAMBAY</w:t>
            </w:r>
          </w:p>
        </w:tc>
        <w:tc>
          <w:tcPr>
            <w:tcW w:w="543" w:type="dxa"/>
          </w:tcPr>
          <w:p>
            <w:pPr>
              <w:pStyle w:val="TableParagraph"/>
              <w:spacing w:before="44"/>
              <w:rPr>
                <w:sz w:val="18"/>
              </w:rPr>
            </w:pPr>
            <w:r>
              <w:rPr>
                <w:w w:val="99"/>
                <w:sz w:val="18"/>
              </w:rPr>
              <w:t>0</w:t>
            </w:r>
          </w:p>
        </w:tc>
        <w:tc>
          <w:tcPr>
            <w:tcW w:w="540" w:type="dxa"/>
          </w:tcPr>
          <w:p>
            <w:pPr>
              <w:pStyle w:val="TableParagraph"/>
              <w:spacing w:before="44"/>
              <w:ind w:right="1"/>
              <w:rPr>
                <w:sz w:val="18"/>
              </w:rPr>
            </w:pPr>
            <w:r>
              <w:rPr>
                <w:w w:val="99"/>
                <w:sz w:val="18"/>
              </w:rPr>
              <w:t>0</w:t>
            </w:r>
          </w:p>
        </w:tc>
        <w:tc>
          <w:tcPr>
            <w:tcW w:w="542" w:type="dxa"/>
          </w:tcPr>
          <w:p>
            <w:pPr>
              <w:pStyle w:val="TableParagraph"/>
              <w:spacing w:before="44"/>
              <w:rPr>
                <w:sz w:val="18"/>
              </w:rPr>
            </w:pPr>
            <w:r>
              <w:rPr>
                <w:w w:val="99"/>
                <w:sz w:val="18"/>
              </w:rPr>
              <w:t>0</w:t>
            </w:r>
          </w:p>
        </w:tc>
        <w:tc>
          <w:tcPr>
            <w:tcW w:w="540" w:type="dxa"/>
          </w:tcPr>
          <w:p>
            <w:pPr>
              <w:pStyle w:val="TableParagraph"/>
              <w:spacing w:before="44"/>
              <w:ind w:right="1"/>
              <w:rPr>
                <w:sz w:val="18"/>
              </w:rPr>
            </w:pPr>
            <w:r>
              <w:rPr>
                <w:w w:val="99"/>
                <w:sz w:val="18"/>
              </w:rPr>
              <w:t>3</w:t>
            </w:r>
          </w:p>
        </w:tc>
        <w:tc>
          <w:tcPr>
            <w:tcW w:w="540" w:type="dxa"/>
          </w:tcPr>
          <w:p>
            <w:pPr>
              <w:pStyle w:val="TableParagraph"/>
              <w:spacing w:before="44"/>
              <w:ind w:right="1"/>
              <w:rPr>
                <w:sz w:val="18"/>
              </w:rPr>
            </w:pPr>
            <w:r>
              <w:rPr>
                <w:w w:val="99"/>
                <w:sz w:val="18"/>
              </w:rPr>
              <w:t>1</w:t>
            </w:r>
          </w:p>
        </w:tc>
        <w:tc>
          <w:tcPr>
            <w:tcW w:w="542" w:type="dxa"/>
          </w:tcPr>
          <w:p>
            <w:pPr>
              <w:pStyle w:val="TableParagraph"/>
              <w:spacing w:before="44"/>
              <w:rPr>
                <w:sz w:val="18"/>
              </w:rPr>
            </w:pPr>
            <w:r>
              <w:rPr>
                <w:w w:val="99"/>
                <w:sz w:val="18"/>
              </w:rPr>
              <w:t>0</w:t>
            </w:r>
          </w:p>
        </w:tc>
      </w:tr>
      <w:tr>
        <w:trPr>
          <w:trHeight w:val="310" w:hRule="exact"/>
        </w:trPr>
        <w:tc>
          <w:tcPr>
            <w:tcW w:w="4585" w:type="dxa"/>
            <w:tcBorders>
              <w:left w:val="single" w:sz="8" w:space="0" w:color="000000"/>
            </w:tcBorders>
          </w:tcPr>
          <w:p>
            <w:pPr>
              <w:pStyle w:val="TableParagraph"/>
              <w:spacing w:before="40"/>
              <w:ind w:left="62"/>
              <w:jc w:val="left"/>
              <w:rPr>
                <w:b/>
                <w:sz w:val="18"/>
              </w:rPr>
            </w:pPr>
            <w:r>
              <w:rPr>
                <w:b/>
                <w:color w:val="333333"/>
                <w:sz w:val="18"/>
              </w:rPr>
              <w:t>ACOLMAN</w:t>
            </w:r>
          </w:p>
        </w:tc>
        <w:tc>
          <w:tcPr>
            <w:tcW w:w="543" w:type="dxa"/>
          </w:tcPr>
          <w:p>
            <w:pPr>
              <w:pStyle w:val="TableParagraph"/>
              <w:spacing w:before="44"/>
              <w:rPr>
                <w:sz w:val="18"/>
              </w:rPr>
            </w:pPr>
            <w:r>
              <w:rPr>
                <w:w w:val="99"/>
                <w:sz w:val="18"/>
              </w:rPr>
              <w:t>0</w:t>
            </w:r>
          </w:p>
        </w:tc>
        <w:tc>
          <w:tcPr>
            <w:tcW w:w="540" w:type="dxa"/>
          </w:tcPr>
          <w:p>
            <w:pPr>
              <w:pStyle w:val="TableParagraph"/>
              <w:spacing w:before="44"/>
              <w:ind w:right="1"/>
              <w:rPr>
                <w:sz w:val="18"/>
              </w:rPr>
            </w:pPr>
            <w:r>
              <w:rPr>
                <w:w w:val="99"/>
                <w:sz w:val="18"/>
              </w:rPr>
              <w:t>0</w:t>
            </w:r>
          </w:p>
        </w:tc>
        <w:tc>
          <w:tcPr>
            <w:tcW w:w="542" w:type="dxa"/>
          </w:tcPr>
          <w:p>
            <w:pPr>
              <w:pStyle w:val="TableParagraph"/>
              <w:spacing w:before="44"/>
              <w:rPr>
                <w:sz w:val="18"/>
              </w:rPr>
            </w:pPr>
            <w:r>
              <w:rPr>
                <w:w w:val="99"/>
                <w:sz w:val="18"/>
              </w:rPr>
              <w:t>0</w:t>
            </w:r>
          </w:p>
        </w:tc>
        <w:tc>
          <w:tcPr>
            <w:tcW w:w="540" w:type="dxa"/>
          </w:tcPr>
          <w:p>
            <w:pPr>
              <w:pStyle w:val="TableParagraph"/>
              <w:spacing w:before="44"/>
              <w:ind w:right="1"/>
              <w:rPr>
                <w:sz w:val="18"/>
              </w:rPr>
            </w:pPr>
            <w:r>
              <w:rPr>
                <w:w w:val="99"/>
                <w:sz w:val="18"/>
              </w:rPr>
              <w:t>1</w:t>
            </w:r>
          </w:p>
        </w:tc>
        <w:tc>
          <w:tcPr>
            <w:tcW w:w="540" w:type="dxa"/>
          </w:tcPr>
          <w:p>
            <w:pPr>
              <w:pStyle w:val="TableParagraph"/>
              <w:spacing w:before="44"/>
              <w:ind w:right="1"/>
              <w:rPr>
                <w:sz w:val="18"/>
              </w:rPr>
            </w:pPr>
            <w:r>
              <w:rPr>
                <w:w w:val="99"/>
                <w:sz w:val="18"/>
              </w:rPr>
              <w:t>0</w:t>
            </w:r>
          </w:p>
        </w:tc>
        <w:tc>
          <w:tcPr>
            <w:tcW w:w="542" w:type="dxa"/>
          </w:tcPr>
          <w:p>
            <w:pPr>
              <w:pStyle w:val="TableParagraph"/>
              <w:spacing w:before="44"/>
              <w:rPr>
                <w:sz w:val="18"/>
              </w:rPr>
            </w:pPr>
            <w:r>
              <w:rPr>
                <w:w w:val="99"/>
                <w:sz w:val="18"/>
              </w:rPr>
              <w:t>0</w:t>
            </w:r>
          </w:p>
        </w:tc>
      </w:tr>
      <w:tr>
        <w:trPr>
          <w:trHeight w:val="310" w:hRule="exact"/>
        </w:trPr>
        <w:tc>
          <w:tcPr>
            <w:tcW w:w="4585" w:type="dxa"/>
            <w:tcBorders>
              <w:left w:val="single" w:sz="8" w:space="0" w:color="000000"/>
            </w:tcBorders>
          </w:tcPr>
          <w:p>
            <w:pPr>
              <w:pStyle w:val="TableParagraph"/>
              <w:spacing w:before="42"/>
              <w:ind w:left="62"/>
              <w:jc w:val="left"/>
              <w:rPr>
                <w:b/>
                <w:sz w:val="18"/>
              </w:rPr>
            </w:pPr>
            <w:r>
              <w:rPr>
                <w:b/>
                <w:color w:val="333333"/>
                <w:sz w:val="18"/>
              </w:rPr>
              <w:t>ACULCO</w:t>
            </w:r>
          </w:p>
        </w:tc>
        <w:tc>
          <w:tcPr>
            <w:tcW w:w="543" w:type="dxa"/>
          </w:tcPr>
          <w:p>
            <w:pPr>
              <w:pStyle w:val="TableParagraph"/>
              <w:spacing w:before="47"/>
              <w:rPr>
                <w:sz w:val="18"/>
              </w:rPr>
            </w:pPr>
            <w:r>
              <w:rPr>
                <w:w w:val="99"/>
                <w:sz w:val="18"/>
              </w:rPr>
              <w:t>0</w:t>
            </w:r>
          </w:p>
        </w:tc>
        <w:tc>
          <w:tcPr>
            <w:tcW w:w="540" w:type="dxa"/>
          </w:tcPr>
          <w:p>
            <w:pPr>
              <w:pStyle w:val="TableParagraph"/>
              <w:spacing w:before="47"/>
              <w:ind w:right="1"/>
              <w:rPr>
                <w:sz w:val="18"/>
              </w:rPr>
            </w:pPr>
            <w:r>
              <w:rPr>
                <w:w w:val="99"/>
                <w:sz w:val="18"/>
              </w:rPr>
              <w:t>0</w:t>
            </w:r>
          </w:p>
        </w:tc>
        <w:tc>
          <w:tcPr>
            <w:tcW w:w="542" w:type="dxa"/>
          </w:tcPr>
          <w:p>
            <w:pPr>
              <w:pStyle w:val="TableParagraph"/>
              <w:spacing w:before="47"/>
              <w:rPr>
                <w:sz w:val="18"/>
              </w:rPr>
            </w:pPr>
            <w:r>
              <w:rPr>
                <w:w w:val="99"/>
                <w:sz w:val="18"/>
              </w:rPr>
              <w:t>0</w:t>
            </w:r>
          </w:p>
        </w:tc>
        <w:tc>
          <w:tcPr>
            <w:tcW w:w="540" w:type="dxa"/>
          </w:tcPr>
          <w:p>
            <w:pPr>
              <w:pStyle w:val="TableParagraph"/>
              <w:spacing w:before="47"/>
              <w:ind w:right="1"/>
              <w:rPr>
                <w:sz w:val="18"/>
              </w:rPr>
            </w:pPr>
            <w:r>
              <w:rPr>
                <w:w w:val="99"/>
                <w:sz w:val="18"/>
              </w:rPr>
              <w:t>1</w:t>
            </w:r>
          </w:p>
        </w:tc>
        <w:tc>
          <w:tcPr>
            <w:tcW w:w="540" w:type="dxa"/>
          </w:tcPr>
          <w:p>
            <w:pPr>
              <w:pStyle w:val="TableParagraph"/>
              <w:spacing w:before="47"/>
              <w:ind w:right="1"/>
              <w:rPr>
                <w:sz w:val="18"/>
              </w:rPr>
            </w:pPr>
            <w:r>
              <w:rPr>
                <w:w w:val="99"/>
                <w:sz w:val="18"/>
              </w:rPr>
              <w:t>1</w:t>
            </w:r>
          </w:p>
        </w:tc>
        <w:tc>
          <w:tcPr>
            <w:tcW w:w="542" w:type="dxa"/>
          </w:tcPr>
          <w:p>
            <w:pPr>
              <w:pStyle w:val="TableParagraph"/>
              <w:spacing w:before="47"/>
              <w:rPr>
                <w:sz w:val="18"/>
              </w:rPr>
            </w:pPr>
            <w:r>
              <w:rPr>
                <w:w w:val="99"/>
                <w:sz w:val="18"/>
              </w:rPr>
              <w:t>0</w:t>
            </w:r>
          </w:p>
        </w:tc>
      </w:tr>
      <w:tr>
        <w:trPr>
          <w:trHeight w:val="310" w:hRule="exact"/>
        </w:trPr>
        <w:tc>
          <w:tcPr>
            <w:tcW w:w="4585" w:type="dxa"/>
            <w:tcBorders>
              <w:left w:val="single" w:sz="8" w:space="0" w:color="000000"/>
            </w:tcBorders>
          </w:tcPr>
          <w:p>
            <w:pPr>
              <w:pStyle w:val="TableParagraph"/>
              <w:spacing w:before="42"/>
              <w:ind w:left="62"/>
              <w:jc w:val="left"/>
              <w:rPr>
                <w:b/>
                <w:sz w:val="18"/>
              </w:rPr>
            </w:pPr>
            <w:r>
              <w:rPr>
                <w:b/>
                <w:color w:val="333333"/>
                <w:sz w:val="18"/>
              </w:rPr>
              <w:t>ALMOLOYA DE ALQUISIRAS</w:t>
            </w:r>
          </w:p>
        </w:tc>
        <w:tc>
          <w:tcPr>
            <w:tcW w:w="543" w:type="dxa"/>
          </w:tcPr>
          <w:p>
            <w:pPr>
              <w:pStyle w:val="TableParagraph"/>
              <w:spacing w:before="47"/>
              <w:rPr>
                <w:sz w:val="18"/>
              </w:rPr>
            </w:pPr>
            <w:r>
              <w:rPr>
                <w:w w:val="99"/>
                <w:sz w:val="18"/>
              </w:rPr>
              <w:t>0</w:t>
            </w:r>
          </w:p>
        </w:tc>
        <w:tc>
          <w:tcPr>
            <w:tcW w:w="540" w:type="dxa"/>
          </w:tcPr>
          <w:p>
            <w:pPr>
              <w:pStyle w:val="TableParagraph"/>
              <w:spacing w:before="47"/>
              <w:ind w:right="1"/>
              <w:rPr>
                <w:sz w:val="18"/>
              </w:rPr>
            </w:pPr>
            <w:r>
              <w:rPr>
                <w:w w:val="99"/>
                <w:sz w:val="18"/>
              </w:rPr>
              <w:t>0</w:t>
            </w:r>
          </w:p>
        </w:tc>
        <w:tc>
          <w:tcPr>
            <w:tcW w:w="542" w:type="dxa"/>
          </w:tcPr>
          <w:p>
            <w:pPr>
              <w:pStyle w:val="TableParagraph"/>
              <w:spacing w:before="47"/>
              <w:rPr>
                <w:sz w:val="18"/>
              </w:rPr>
            </w:pPr>
            <w:r>
              <w:rPr>
                <w:w w:val="99"/>
                <w:sz w:val="18"/>
              </w:rPr>
              <w:t>0</w:t>
            </w:r>
          </w:p>
        </w:tc>
        <w:tc>
          <w:tcPr>
            <w:tcW w:w="540" w:type="dxa"/>
          </w:tcPr>
          <w:p>
            <w:pPr>
              <w:pStyle w:val="TableParagraph"/>
              <w:spacing w:before="47"/>
              <w:ind w:right="1"/>
              <w:rPr>
                <w:sz w:val="18"/>
              </w:rPr>
            </w:pPr>
            <w:r>
              <w:rPr>
                <w:w w:val="99"/>
                <w:sz w:val="18"/>
              </w:rPr>
              <w:t>0</w:t>
            </w:r>
          </w:p>
        </w:tc>
        <w:tc>
          <w:tcPr>
            <w:tcW w:w="540" w:type="dxa"/>
          </w:tcPr>
          <w:p>
            <w:pPr>
              <w:pStyle w:val="TableParagraph"/>
              <w:spacing w:before="47"/>
              <w:ind w:right="1"/>
              <w:rPr>
                <w:sz w:val="18"/>
              </w:rPr>
            </w:pPr>
            <w:r>
              <w:rPr>
                <w:w w:val="99"/>
                <w:sz w:val="18"/>
              </w:rPr>
              <w:t>0</w:t>
            </w:r>
          </w:p>
        </w:tc>
        <w:tc>
          <w:tcPr>
            <w:tcW w:w="542" w:type="dxa"/>
          </w:tcPr>
          <w:p>
            <w:pPr>
              <w:pStyle w:val="TableParagraph"/>
              <w:spacing w:before="47"/>
              <w:rPr>
                <w:sz w:val="18"/>
              </w:rPr>
            </w:pPr>
            <w:r>
              <w:rPr>
                <w:w w:val="99"/>
                <w:sz w:val="18"/>
              </w:rPr>
              <w:t>0</w:t>
            </w:r>
          </w:p>
        </w:tc>
      </w:tr>
      <w:tr>
        <w:trPr>
          <w:trHeight w:val="312" w:hRule="exact"/>
        </w:trPr>
        <w:tc>
          <w:tcPr>
            <w:tcW w:w="4585" w:type="dxa"/>
            <w:tcBorders>
              <w:left w:val="single" w:sz="8" w:space="0" w:color="000000"/>
            </w:tcBorders>
          </w:tcPr>
          <w:p>
            <w:pPr>
              <w:pStyle w:val="TableParagraph"/>
              <w:spacing w:before="42"/>
              <w:ind w:left="62"/>
              <w:jc w:val="left"/>
              <w:rPr>
                <w:b/>
                <w:sz w:val="18"/>
              </w:rPr>
            </w:pPr>
            <w:r>
              <w:rPr>
                <w:b/>
                <w:color w:val="333333"/>
                <w:sz w:val="18"/>
              </w:rPr>
              <w:t>ALMOLOYA DE JUAREZ</w:t>
            </w:r>
          </w:p>
        </w:tc>
        <w:tc>
          <w:tcPr>
            <w:tcW w:w="543" w:type="dxa"/>
          </w:tcPr>
          <w:p>
            <w:pPr>
              <w:pStyle w:val="TableParagraph"/>
              <w:spacing w:before="47"/>
              <w:rPr>
                <w:sz w:val="18"/>
              </w:rPr>
            </w:pPr>
            <w:r>
              <w:rPr>
                <w:w w:val="99"/>
                <w:sz w:val="18"/>
              </w:rPr>
              <w:t>0</w:t>
            </w:r>
          </w:p>
        </w:tc>
        <w:tc>
          <w:tcPr>
            <w:tcW w:w="540" w:type="dxa"/>
          </w:tcPr>
          <w:p>
            <w:pPr>
              <w:pStyle w:val="TableParagraph"/>
              <w:spacing w:before="47"/>
              <w:ind w:right="1"/>
              <w:rPr>
                <w:sz w:val="18"/>
              </w:rPr>
            </w:pPr>
            <w:r>
              <w:rPr>
                <w:w w:val="99"/>
                <w:sz w:val="18"/>
              </w:rPr>
              <w:t>0</w:t>
            </w:r>
          </w:p>
        </w:tc>
        <w:tc>
          <w:tcPr>
            <w:tcW w:w="542" w:type="dxa"/>
          </w:tcPr>
          <w:p>
            <w:pPr>
              <w:pStyle w:val="TableParagraph"/>
              <w:spacing w:before="47"/>
              <w:rPr>
                <w:sz w:val="18"/>
              </w:rPr>
            </w:pPr>
            <w:r>
              <w:rPr>
                <w:w w:val="99"/>
                <w:sz w:val="18"/>
              </w:rPr>
              <w:t>0</w:t>
            </w:r>
          </w:p>
        </w:tc>
        <w:tc>
          <w:tcPr>
            <w:tcW w:w="540" w:type="dxa"/>
          </w:tcPr>
          <w:p>
            <w:pPr>
              <w:pStyle w:val="TableParagraph"/>
              <w:spacing w:before="47"/>
              <w:ind w:right="1"/>
              <w:rPr>
                <w:sz w:val="18"/>
              </w:rPr>
            </w:pPr>
            <w:r>
              <w:rPr>
                <w:w w:val="99"/>
                <w:sz w:val="18"/>
              </w:rPr>
              <w:t>9</w:t>
            </w:r>
          </w:p>
        </w:tc>
        <w:tc>
          <w:tcPr>
            <w:tcW w:w="540" w:type="dxa"/>
          </w:tcPr>
          <w:p>
            <w:pPr>
              <w:pStyle w:val="TableParagraph"/>
              <w:spacing w:before="47"/>
              <w:ind w:right="1"/>
              <w:rPr>
                <w:sz w:val="18"/>
              </w:rPr>
            </w:pPr>
            <w:r>
              <w:rPr>
                <w:w w:val="99"/>
                <w:sz w:val="18"/>
              </w:rPr>
              <w:t>1</w:t>
            </w:r>
          </w:p>
        </w:tc>
        <w:tc>
          <w:tcPr>
            <w:tcW w:w="542" w:type="dxa"/>
          </w:tcPr>
          <w:p>
            <w:pPr>
              <w:pStyle w:val="TableParagraph"/>
              <w:spacing w:before="47"/>
              <w:rPr>
                <w:sz w:val="18"/>
              </w:rPr>
            </w:pPr>
            <w:r>
              <w:rPr>
                <w:w w:val="99"/>
                <w:sz w:val="18"/>
              </w:rPr>
              <w:t>1</w:t>
            </w:r>
          </w:p>
        </w:tc>
      </w:tr>
      <w:tr>
        <w:trPr>
          <w:trHeight w:val="310" w:hRule="exact"/>
        </w:trPr>
        <w:tc>
          <w:tcPr>
            <w:tcW w:w="4585" w:type="dxa"/>
            <w:tcBorders>
              <w:left w:val="single" w:sz="8" w:space="0" w:color="000000"/>
            </w:tcBorders>
          </w:tcPr>
          <w:p>
            <w:pPr>
              <w:pStyle w:val="TableParagraph"/>
              <w:spacing w:before="40"/>
              <w:ind w:left="62"/>
              <w:jc w:val="left"/>
              <w:rPr>
                <w:b/>
                <w:sz w:val="18"/>
              </w:rPr>
            </w:pPr>
            <w:r>
              <w:rPr>
                <w:b/>
                <w:color w:val="333333"/>
                <w:sz w:val="18"/>
              </w:rPr>
              <w:t>ALMOLOYA DEL RIO</w:t>
            </w:r>
          </w:p>
        </w:tc>
        <w:tc>
          <w:tcPr>
            <w:tcW w:w="543" w:type="dxa"/>
          </w:tcPr>
          <w:p>
            <w:pPr>
              <w:pStyle w:val="TableParagraph"/>
              <w:spacing w:before="44"/>
              <w:rPr>
                <w:sz w:val="18"/>
              </w:rPr>
            </w:pPr>
            <w:r>
              <w:rPr>
                <w:w w:val="99"/>
                <w:sz w:val="18"/>
              </w:rPr>
              <w:t>0</w:t>
            </w:r>
          </w:p>
        </w:tc>
        <w:tc>
          <w:tcPr>
            <w:tcW w:w="540" w:type="dxa"/>
          </w:tcPr>
          <w:p>
            <w:pPr>
              <w:pStyle w:val="TableParagraph"/>
              <w:spacing w:before="44"/>
              <w:ind w:right="1"/>
              <w:rPr>
                <w:sz w:val="18"/>
              </w:rPr>
            </w:pPr>
            <w:r>
              <w:rPr>
                <w:w w:val="99"/>
                <w:sz w:val="18"/>
              </w:rPr>
              <w:t>0</w:t>
            </w:r>
          </w:p>
        </w:tc>
        <w:tc>
          <w:tcPr>
            <w:tcW w:w="542" w:type="dxa"/>
          </w:tcPr>
          <w:p>
            <w:pPr>
              <w:pStyle w:val="TableParagraph"/>
              <w:spacing w:before="44"/>
              <w:rPr>
                <w:sz w:val="18"/>
              </w:rPr>
            </w:pPr>
            <w:r>
              <w:rPr>
                <w:w w:val="99"/>
                <w:sz w:val="18"/>
              </w:rPr>
              <w:t>0</w:t>
            </w:r>
          </w:p>
        </w:tc>
        <w:tc>
          <w:tcPr>
            <w:tcW w:w="540" w:type="dxa"/>
          </w:tcPr>
          <w:p>
            <w:pPr>
              <w:pStyle w:val="TableParagraph"/>
              <w:spacing w:before="44"/>
              <w:ind w:left="46" w:right="44"/>
              <w:rPr>
                <w:sz w:val="18"/>
              </w:rPr>
            </w:pPr>
            <w:r>
              <w:rPr>
                <w:sz w:val="18"/>
              </w:rPr>
              <w:t>19</w:t>
            </w:r>
          </w:p>
        </w:tc>
        <w:tc>
          <w:tcPr>
            <w:tcW w:w="540" w:type="dxa"/>
          </w:tcPr>
          <w:p>
            <w:pPr>
              <w:pStyle w:val="TableParagraph"/>
              <w:spacing w:before="44"/>
              <w:ind w:right="1"/>
              <w:rPr>
                <w:sz w:val="18"/>
              </w:rPr>
            </w:pPr>
            <w:r>
              <w:rPr>
                <w:w w:val="99"/>
                <w:sz w:val="18"/>
              </w:rPr>
              <w:t>9</w:t>
            </w:r>
          </w:p>
        </w:tc>
        <w:tc>
          <w:tcPr>
            <w:tcW w:w="542" w:type="dxa"/>
          </w:tcPr>
          <w:p>
            <w:pPr>
              <w:pStyle w:val="TableParagraph"/>
              <w:spacing w:before="44"/>
              <w:rPr>
                <w:sz w:val="18"/>
              </w:rPr>
            </w:pPr>
            <w:r>
              <w:rPr>
                <w:w w:val="99"/>
                <w:sz w:val="18"/>
              </w:rPr>
              <w:t>0</w:t>
            </w:r>
          </w:p>
        </w:tc>
      </w:tr>
      <w:tr>
        <w:trPr>
          <w:trHeight w:val="310" w:hRule="exact"/>
        </w:trPr>
        <w:tc>
          <w:tcPr>
            <w:tcW w:w="4585" w:type="dxa"/>
            <w:tcBorders>
              <w:left w:val="single" w:sz="8" w:space="0" w:color="000000"/>
            </w:tcBorders>
          </w:tcPr>
          <w:p>
            <w:pPr>
              <w:pStyle w:val="TableParagraph"/>
              <w:spacing w:before="40"/>
              <w:ind w:left="62"/>
              <w:jc w:val="left"/>
              <w:rPr>
                <w:b/>
                <w:sz w:val="18"/>
              </w:rPr>
            </w:pPr>
            <w:r>
              <w:rPr>
                <w:b/>
                <w:color w:val="333333"/>
                <w:sz w:val="18"/>
              </w:rPr>
              <w:t>AMANALCO</w:t>
            </w:r>
          </w:p>
        </w:tc>
        <w:tc>
          <w:tcPr>
            <w:tcW w:w="543" w:type="dxa"/>
          </w:tcPr>
          <w:p>
            <w:pPr>
              <w:pStyle w:val="TableParagraph"/>
              <w:spacing w:before="44"/>
              <w:rPr>
                <w:sz w:val="18"/>
              </w:rPr>
            </w:pPr>
            <w:r>
              <w:rPr>
                <w:w w:val="99"/>
                <w:sz w:val="18"/>
              </w:rPr>
              <w:t>0</w:t>
            </w:r>
          </w:p>
        </w:tc>
        <w:tc>
          <w:tcPr>
            <w:tcW w:w="540" w:type="dxa"/>
          </w:tcPr>
          <w:p>
            <w:pPr>
              <w:pStyle w:val="TableParagraph"/>
              <w:spacing w:before="44"/>
              <w:ind w:right="1"/>
              <w:rPr>
                <w:sz w:val="18"/>
              </w:rPr>
            </w:pPr>
            <w:r>
              <w:rPr>
                <w:w w:val="99"/>
                <w:sz w:val="18"/>
              </w:rPr>
              <w:t>0</w:t>
            </w:r>
          </w:p>
        </w:tc>
        <w:tc>
          <w:tcPr>
            <w:tcW w:w="542" w:type="dxa"/>
          </w:tcPr>
          <w:p>
            <w:pPr>
              <w:pStyle w:val="TableParagraph"/>
              <w:spacing w:before="44"/>
              <w:rPr>
                <w:sz w:val="18"/>
              </w:rPr>
            </w:pPr>
            <w:r>
              <w:rPr>
                <w:w w:val="99"/>
                <w:sz w:val="18"/>
              </w:rPr>
              <w:t>0</w:t>
            </w:r>
          </w:p>
        </w:tc>
        <w:tc>
          <w:tcPr>
            <w:tcW w:w="540" w:type="dxa"/>
          </w:tcPr>
          <w:p>
            <w:pPr>
              <w:pStyle w:val="TableParagraph"/>
              <w:spacing w:before="44"/>
              <w:ind w:right="1"/>
              <w:rPr>
                <w:sz w:val="18"/>
              </w:rPr>
            </w:pPr>
            <w:r>
              <w:rPr>
                <w:w w:val="99"/>
                <w:sz w:val="18"/>
              </w:rPr>
              <w:t>5</w:t>
            </w:r>
          </w:p>
        </w:tc>
        <w:tc>
          <w:tcPr>
            <w:tcW w:w="540" w:type="dxa"/>
          </w:tcPr>
          <w:p>
            <w:pPr>
              <w:pStyle w:val="TableParagraph"/>
              <w:spacing w:before="44"/>
              <w:ind w:right="1"/>
              <w:rPr>
                <w:sz w:val="18"/>
              </w:rPr>
            </w:pPr>
            <w:r>
              <w:rPr>
                <w:w w:val="99"/>
                <w:sz w:val="18"/>
              </w:rPr>
              <w:t>4</w:t>
            </w:r>
          </w:p>
        </w:tc>
        <w:tc>
          <w:tcPr>
            <w:tcW w:w="542" w:type="dxa"/>
          </w:tcPr>
          <w:p>
            <w:pPr>
              <w:pStyle w:val="TableParagraph"/>
              <w:spacing w:before="44"/>
              <w:rPr>
                <w:sz w:val="18"/>
              </w:rPr>
            </w:pPr>
            <w:r>
              <w:rPr>
                <w:w w:val="99"/>
                <w:sz w:val="18"/>
              </w:rPr>
              <w:t>4</w:t>
            </w:r>
          </w:p>
        </w:tc>
      </w:tr>
      <w:tr>
        <w:trPr>
          <w:trHeight w:val="310" w:hRule="exact"/>
        </w:trPr>
        <w:tc>
          <w:tcPr>
            <w:tcW w:w="4585" w:type="dxa"/>
            <w:tcBorders>
              <w:left w:val="single" w:sz="8" w:space="0" w:color="000000"/>
            </w:tcBorders>
          </w:tcPr>
          <w:p>
            <w:pPr>
              <w:pStyle w:val="TableParagraph"/>
              <w:spacing w:before="40"/>
              <w:ind w:left="62"/>
              <w:jc w:val="left"/>
              <w:rPr>
                <w:b/>
                <w:sz w:val="18"/>
              </w:rPr>
            </w:pPr>
            <w:r>
              <w:rPr>
                <w:b/>
                <w:color w:val="333333"/>
                <w:sz w:val="18"/>
              </w:rPr>
              <w:t>AMATEPEC</w:t>
            </w:r>
          </w:p>
        </w:tc>
        <w:tc>
          <w:tcPr>
            <w:tcW w:w="543" w:type="dxa"/>
          </w:tcPr>
          <w:p>
            <w:pPr>
              <w:pStyle w:val="TableParagraph"/>
              <w:spacing w:before="44"/>
              <w:rPr>
                <w:sz w:val="18"/>
              </w:rPr>
            </w:pPr>
            <w:r>
              <w:rPr>
                <w:w w:val="99"/>
                <w:sz w:val="18"/>
              </w:rPr>
              <w:t>0</w:t>
            </w:r>
          </w:p>
        </w:tc>
        <w:tc>
          <w:tcPr>
            <w:tcW w:w="540" w:type="dxa"/>
          </w:tcPr>
          <w:p>
            <w:pPr>
              <w:pStyle w:val="TableParagraph"/>
              <w:spacing w:before="44"/>
              <w:ind w:right="1"/>
              <w:rPr>
                <w:sz w:val="18"/>
              </w:rPr>
            </w:pPr>
            <w:r>
              <w:rPr>
                <w:w w:val="99"/>
                <w:sz w:val="18"/>
              </w:rPr>
              <w:t>0</w:t>
            </w:r>
          </w:p>
        </w:tc>
        <w:tc>
          <w:tcPr>
            <w:tcW w:w="542" w:type="dxa"/>
          </w:tcPr>
          <w:p>
            <w:pPr>
              <w:pStyle w:val="TableParagraph"/>
              <w:spacing w:before="44"/>
              <w:rPr>
                <w:sz w:val="18"/>
              </w:rPr>
            </w:pPr>
            <w:r>
              <w:rPr>
                <w:w w:val="99"/>
                <w:sz w:val="18"/>
              </w:rPr>
              <w:t>0</w:t>
            </w:r>
          </w:p>
        </w:tc>
        <w:tc>
          <w:tcPr>
            <w:tcW w:w="540" w:type="dxa"/>
          </w:tcPr>
          <w:p>
            <w:pPr>
              <w:pStyle w:val="TableParagraph"/>
              <w:spacing w:before="44"/>
              <w:ind w:right="1"/>
              <w:rPr>
                <w:sz w:val="18"/>
              </w:rPr>
            </w:pPr>
            <w:r>
              <w:rPr>
                <w:w w:val="99"/>
                <w:sz w:val="18"/>
              </w:rPr>
              <w:t>1</w:t>
            </w:r>
          </w:p>
        </w:tc>
        <w:tc>
          <w:tcPr>
            <w:tcW w:w="540" w:type="dxa"/>
          </w:tcPr>
          <w:p>
            <w:pPr>
              <w:pStyle w:val="TableParagraph"/>
              <w:spacing w:before="44"/>
              <w:ind w:right="1"/>
              <w:rPr>
                <w:sz w:val="18"/>
              </w:rPr>
            </w:pPr>
            <w:r>
              <w:rPr>
                <w:w w:val="99"/>
                <w:sz w:val="18"/>
              </w:rPr>
              <w:t>0</w:t>
            </w:r>
          </w:p>
        </w:tc>
        <w:tc>
          <w:tcPr>
            <w:tcW w:w="542" w:type="dxa"/>
          </w:tcPr>
          <w:p>
            <w:pPr>
              <w:pStyle w:val="TableParagraph"/>
              <w:spacing w:before="44"/>
              <w:rPr>
                <w:sz w:val="18"/>
              </w:rPr>
            </w:pPr>
            <w:r>
              <w:rPr>
                <w:w w:val="99"/>
                <w:sz w:val="18"/>
              </w:rPr>
              <w:t>0</w:t>
            </w:r>
          </w:p>
        </w:tc>
      </w:tr>
      <w:tr>
        <w:trPr>
          <w:trHeight w:val="310" w:hRule="exact"/>
        </w:trPr>
        <w:tc>
          <w:tcPr>
            <w:tcW w:w="4585" w:type="dxa"/>
            <w:tcBorders>
              <w:left w:val="single" w:sz="8" w:space="0" w:color="000000"/>
            </w:tcBorders>
          </w:tcPr>
          <w:p>
            <w:pPr>
              <w:pStyle w:val="TableParagraph"/>
              <w:spacing w:before="42"/>
              <w:ind w:left="62"/>
              <w:jc w:val="left"/>
              <w:rPr>
                <w:b/>
                <w:sz w:val="18"/>
              </w:rPr>
            </w:pPr>
            <w:r>
              <w:rPr>
                <w:b/>
                <w:color w:val="333333"/>
                <w:sz w:val="18"/>
              </w:rPr>
              <w:t>AMECAMECA</w:t>
            </w:r>
          </w:p>
        </w:tc>
        <w:tc>
          <w:tcPr>
            <w:tcW w:w="543" w:type="dxa"/>
          </w:tcPr>
          <w:p>
            <w:pPr>
              <w:pStyle w:val="TableParagraph"/>
              <w:spacing w:before="47"/>
              <w:rPr>
                <w:sz w:val="18"/>
              </w:rPr>
            </w:pPr>
            <w:r>
              <w:rPr>
                <w:w w:val="99"/>
                <w:sz w:val="18"/>
              </w:rPr>
              <w:t>0</w:t>
            </w:r>
          </w:p>
        </w:tc>
        <w:tc>
          <w:tcPr>
            <w:tcW w:w="540" w:type="dxa"/>
          </w:tcPr>
          <w:p>
            <w:pPr>
              <w:pStyle w:val="TableParagraph"/>
              <w:spacing w:before="47"/>
              <w:ind w:right="1"/>
              <w:rPr>
                <w:sz w:val="18"/>
              </w:rPr>
            </w:pPr>
            <w:r>
              <w:rPr>
                <w:w w:val="99"/>
                <w:sz w:val="18"/>
              </w:rPr>
              <w:t>0</w:t>
            </w:r>
          </w:p>
        </w:tc>
        <w:tc>
          <w:tcPr>
            <w:tcW w:w="542" w:type="dxa"/>
          </w:tcPr>
          <w:p>
            <w:pPr>
              <w:pStyle w:val="TableParagraph"/>
              <w:spacing w:before="47"/>
              <w:rPr>
                <w:sz w:val="18"/>
              </w:rPr>
            </w:pPr>
            <w:r>
              <w:rPr>
                <w:w w:val="99"/>
                <w:sz w:val="18"/>
              </w:rPr>
              <w:t>0</w:t>
            </w:r>
          </w:p>
        </w:tc>
        <w:tc>
          <w:tcPr>
            <w:tcW w:w="540" w:type="dxa"/>
          </w:tcPr>
          <w:p>
            <w:pPr>
              <w:pStyle w:val="TableParagraph"/>
              <w:spacing w:before="47"/>
              <w:ind w:right="1"/>
              <w:rPr>
                <w:sz w:val="18"/>
              </w:rPr>
            </w:pPr>
            <w:r>
              <w:rPr>
                <w:w w:val="99"/>
                <w:sz w:val="18"/>
              </w:rPr>
              <w:t>0</w:t>
            </w:r>
          </w:p>
        </w:tc>
        <w:tc>
          <w:tcPr>
            <w:tcW w:w="540" w:type="dxa"/>
          </w:tcPr>
          <w:p>
            <w:pPr>
              <w:pStyle w:val="TableParagraph"/>
              <w:spacing w:before="47"/>
              <w:ind w:right="1"/>
              <w:rPr>
                <w:sz w:val="18"/>
              </w:rPr>
            </w:pPr>
            <w:r>
              <w:rPr>
                <w:w w:val="99"/>
                <w:sz w:val="18"/>
              </w:rPr>
              <w:t>0</w:t>
            </w:r>
          </w:p>
        </w:tc>
        <w:tc>
          <w:tcPr>
            <w:tcW w:w="542" w:type="dxa"/>
          </w:tcPr>
          <w:p>
            <w:pPr>
              <w:pStyle w:val="TableParagraph"/>
              <w:spacing w:before="47"/>
              <w:rPr>
                <w:sz w:val="18"/>
              </w:rPr>
            </w:pPr>
            <w:r>
              <w:rPr>
                <w:w w:val="99"/>
                <w:sz w:val="18"/>
              </w:rPr>
              <w:t>0</w:t>
            </w:r>
          </w:p>
        </w:tc>
      </w:tr>
      <w:tr>
        <w:trPr>
          <w:trHeight w:val="310" w:hRule="exact"/>
        </w:trPr>
        <w:tc>
          <w:tcPr>
            <w:tcW w:w="4585" w:type="dxa"/>
            <w:tcBorders>
              <w:left w:val="single" w:sz="8" w:space="0" w:color="000000"/>
            </w:tcBorders>
          </w:tcPr>
          <w:p>
            <w:pPr>
              <w:pStyle w:val="TableParagraph"/>
              <w:spacing w:before="42"/>
              <w:ind w:left="62"/>
              <w:jc w:val="left"/>
              <w:rPr>
                <w:b/>
                <w:sz w:val="18"/>
              </w:rPr>
            </w:pPr>
            <w:r>
              <w:rPr>
                <w:b/>
                <w:color w:val="333333"/>
                <w:sz w:val="18"/>
              </w:rPr>
              <w:t>APAXCO</w:t>
            </w:r>
          </w:p>
        </w:tc>
        <w:tc>
          <w:tcPr>
            <w:tcW w:w="543" w:type="dxa"/>
          </w:tcPr>
          <w:p>
            <w:pPr>
              <w:pStyle w:val="TableParagraph"/>
              <w:spacing w:before="47"/>
              <w:rPr>
                <w:sz w:val="18"/>
              </w:rPr>
            </w:pPr>
            <w:r>
              <w:rPr>
                <w:w w:val="99"/>
                <w:sz w:val="18"/>
              </w:rPr>
              <w:t>0</w:t>
            </w:r>
          </w:p>
        </w:tc>
        <w:tc>
          <w:tcPr>
            <w:tcW w:w="540" w:type="dxa"/>
          </w:tcPr>
          <w:p>
            <w:pPr>
              <w:pStyle w:val="TableParagraph"/>
              <w:spacing w:before="47"/>
              <w:ind w:right="1"/>
              <w:rPr>
                <w:sz w:val="18"/>
              </w:rPr>
            </w:pPr>
            <w:r>
              <w:rPr>
                <w:w w:val="99"/>
                <w:sz w:val="18"/>
              </w:rPr>
              <w:t>0</w:t>
            </w:r>
          </w:p>
        </w:tc>
        <w:tc>
          <w:tcPr>
            <w:tcW w:w="542" w:type="dxa"/>
          </w:tcPr>
          <w:p>
            <w:pPr>
              <w:pStyle w:val="TableParagraph"/>
              <w:spacing w:before="47"/>
              <w:rPr>
                <w:sz w:val="18"/>
              </w:rPr>
            </w:pPr>
            <w:r>
              <w:rPr>
                <w:w w:val="99"/>
                <w:sz w:val="18"/>
              </w:rPr>
              <w:t>0</w:t>
            </w:r>
          </w:p>
        </w:tc>
        <w:tc>
          <w:tcPr>
            <w:tcW w:w="540" w:type="dxa"/>
          </w:tcPr>
          <w:p>
            <w:pPr>
              <w:pStyle w:val="TableParagraph"/>
              <w:spacing w:before="47"/>
              <w:ind w:right="1"/>
              <w:rPr>
                <w:sz w:val="18"/>
              </w:rPr>
            </w:pPr>
            <w:r>
              <w:rPr>
                <w:w w:val="99"/>
                <w:sz w:val="18"/>
              </w:rPr>
              <w:t>0</w:t>
            </w:r>
          </w:p>
        </w:tc>
        <w:tc>
          <w:tcPr>
            <w:tcW w:w="540" w:type="dxa"/>
          </w:tcPr>
          <w:p>
            <w:pPr>
              <w:pStyle w:val="TableParagraph"/>
              <w:spacing w:before="47"/>
              <w:ind w:right="1"/>
              <w:rPr>
                <w:sz w:val="18"/>
              </w:rPr>
            </w:pPr>
            <w:r>
              <w:rPr>
                <w:w w:val="99"/>
                <w:sz w:val="18"/>
              </w:rPr>
              <w:t>0</w:t>
            </w:r>
          </w:p>
        </w:tc>
        <w:tc>
          <w:tcPr>
            <w:tcW w:w="542" w:type="dxa"/>
          </w:tcPr>
          <w:p>
            <w:pPr>
              <w:pStyle w:val="TableParagraph"/>
              <w:spacing w:before="47"/>
              <w:rPr>
                <w:sz w:val="18"/>
              </w:rPr>
            </w:pPr>
            <w:r>
              <w:rPr>
                <w:w w:val="99"/>
                <w:sz w:val="18"/>
              </w:rPr>
              <w:t>0</w:t>
            </w:r>
          </w:p>
        </w:tc>
      </w:tr>
      <w:tr>
        <w:trPr>
          <w:trHeight w:val="312" w:hRule="exact"/>
        </w:trPr>
        <w:tc>
          <w:tcPr>
            <w:tcW w:w="4585" w:type="dxa"/>
            <w:tcBorders>
              <w:left w:val="single" w:sz="8" w:space="0" w:color="000000"/>
            </w:tcBorders>
          </w:tcPr>
          <w:p>
            <w:pPr>
              <w:pStyle w:val="TableParagraph"/>
              <w:spacing w:before="42"/>
              <w:ind w:left="62"/>
              <w:jc w:val="left"/>
              <w:rPr>
                <w:b/>
                <w:sz w:val="18"/>
              </w:rPr>
            </w:pPr>
            <w:r>
              <w:rPr>
                <w:b/>
                <w:color w:val="333333"/>
                <w:sz w:val="18"/>
              </w:rPr>
              <w:t>ATENCO</w:t>
            </w:r>
          </w:p>
        </w:tc>
        <w:tc>
          <w:tcPr>
            <w:tcW w:w="543" w:type="dxa"/>
          </w:tcPr>
          <w:p>
            <w:pPr>
              <w:pStyle w:val="TableParagraph"/>
              <w:spacing w:before="47"/>
              <w:rPr>
                <w:sz w:val="18"/>
              </w:rPr>
            </w:pPr>
            <w:r>
              <w:rPr>
                <w:w w:val="99"/>
                <w:sz w:val="18"/>
              </w:rPr>
              <w:t>0</w:t>
            </w:r>
          </w:p>
        </w:tc>
        <w:tc>
          <w:tcPr>
            <w:tcW w:w="540" w:type="dxa"/>
          </w:tcPr>
          <w:p>
            <w:pPr>
              <w:pStyle w:val="TableParagraph"/>
              <w:spacing w:before="47"/>
              <w:ind w:right="1"/>
              <w:rPr>
                <w:sz w:val="18"/>
              </w:rPr>
            </w:pPr>
            <w:r>
              <w:rPr>
                <w:w w:val="99"/>
                <w:sz w:val="18"/>
              </w:rPr>
              <w:t>0</w:t>
            </w:r>
          </w:p>
        </w:tc>
        <w:tc>
          <w:tcPr>
            <w:tcW w:w="542" w:type="dxa"/>
          </w:tcPr>
          <w:p>
            <w:pPr>
              <w:pStyle w:val="TableParagraph"/>
              <w:spacing w:before="47"/>
              <w:rPr>
                <w:sz w:val="18"/>
              </w:rPr>
            </w:pPr>
            <w:r>
              <w:rPr>
                <w:w w:val="99"/>
                <w:sz w:val="18"/>
              </w:rPr>
              <w:t>0</w:t>
            </w:r>
          </w:p>
        </w:tc>
        <w:tc>
          <w:tcPr>
            <w:tcW w:w="540" w:type="dxa"/>
          </w:tcPr>
          <w:p>
            <w:pPr>
              <w:pStyle w:val="TableParagraph"/>
              <w:spacing w:before="47"/>
              <w:ind w:right="1"/>
              <w:rPr>
                <w:sz w:val="18"/>
              </w:rPr>
            </w:pPr>
            <w:r>
              <w:rPr>
                <w:w w:val="99"/>
                <w:sz w:val="18"/>
              </w:rPr>
              <w:t>0</w:t>
            </w:r>
          </w:p>
        </w:tc>
        <w:tc>
          <w:tcPr>
            <w:tcW w:w="540" w:type="dxa"/>
          </w:tcPr>
          <w:p>
            <w:pPr>
              <w:pStyle w:val="TableParagraph"/>
              <w:spacing w:before="47"/>
              <w:ind w:right="1"/>
              <w:rPr>
                <w:sz w:val="18"/>
              </w:rPr>
            </w:pPr>
            <w:r>
              <w:rPr>
                <w:w w:val="99"/>
                <w:sz w:val="18"/>
              </w:rPr>
              <w:t>0</w:t>
            </w:r>
          </w:p>
        </w:tc>
        <w:tc>
          <w:tcPr>
            <w:tcW w:w="542" w:type="dxa"/>
          </w:tcPr>
          <w:p>
            <w:pPr>
              <w:pStyle w:val="TableParagraph"/>
              <w:spacing w:before="47"/>
              <w:rPr>
                <w:sz w:val="18"/>
              </w:rPr>
            </w:pPr>
            <w:r>
              <w:rPr>
                <w:w w:val="99"/>
                <w:sz w:val="18"/>
              </w:rPr>
              <w:t>0</w:t>
            </w:r>
          </w:p>
        </w:tc>
      </w:tr>
      <w:tr>
        <w:trPr>
          <w:trHeight w:val="310" w:hRule="exact"/>
        </w:trPr>
        <w:tc>
          <w:tcPr>
            <w:tcW w:w="4585" w:type="dxa"/>
            <w:tcBorders>
              <w:left w:val="single" w:sz="8" w:space="0" w:color="000000"/>
            </w:tcBorders>
          </w:tcPr>
          <w:p>
            <w:pPr>
              <w:pStyle w:val="TableParagraph"/>
              <w:spacing w:before="40"/>
              <w:ind w:left="62"/>
              <w:jc w:val="left"/>
              <w:rPr>
                <w:b/>
                <w:sz w:val="18"/>
              </w:rPr>
            </w:pPr>
            <w:r>
              <w:rPr>
                <w:b/>
                <w:color w:val="333333"/>
                <w:sz w:val="18"/>
              </w:rPr>
              <w:t>ATIZAPAN</w:t>
            </w:r>
          </w:p>
        </w:tc>
        <w:tc>
          <w:tcPr>
            <w:tcW w:w="543" w:type="dxa"/>
          </w:tcPr>
          <w:p>
            <w:pPr>
              <w:pStyle w:val="TableParagraph"/>
              <w:spacing w:before="44"/>
              <w:rPr>
                <w:sz w:val="18"/>
              </w:rPr>
            </w:pPr>
            <w:r>
              <w:rPr>
                <w:w w:val="99"/>
                <w:sz w:val="18"/>
              </w:rPr>
              <w:t>0</w:t>
            </w:r>
          </w:p>
        </w:tc>
        <w:tc>
          <w:tcPr>
            <w:tcW w:w="540" w:type="dxa"/>
          </w:tcPr>
          <w:p>
            <w:pPr>
              <w:pStyle w:val="TableParagraph"/>
              <w:spacing w:before="44"/>
              <w:ind w:right="1"/>
              <w:rPr>
                <w:sz w:val="18"/>
              </w:rPr>
            </w:pPr>
            <w:r>
              <w:rPr>
                <w:w w:val="99"/>
                <w:sz w:val="18"/>
              </w:rPr>
              <w:t>0</w:t>
            </w:r>
          </w:p>
        </w:tc>
        <w:tc>
          <w:tcPr>
            <w:tcW w:w="542" w:type="dxa"/>
          </w:tcPr>
          <w:p>
            <w:pPr>
              <w:pStyle w:val="TableParagraph"/>
              <w:spacing w:before="44"/>
              <w:rPr>
                <w:sz w:val="18"/>
              </w:rPr>
            </w:pPr>
            <w:r>
              <w:rPr>
                <w:w w:val="99"/>
                <w:sz w:val="18"/>
              </w:rPr>
              <w:t>0</w:t>
            </w:r>
          </w:p>
        </w:tc>
        <w:tc>
          <w:tcPr>
            <w:tcW w:w="540" w:type="dxa"/>
          </w:tcPr>
          <w:p>
            <w:pPr>
              <w:pStyle w:val="TableParagraph"/>
              <w:spacing w:before="44"/>
              <w:ind w:right="1"/>
              <w:rPr>
                <w:sz w:val="18"/>
              </w:rPr>
            </w:pPr>
            <w:r>
              <w:rPr>
                <w:w w:val="99"/>
                <w:sz w:val="18"/>
              </w:rPr>
              <w:t>0</w:t>
            </w:r>
          </w:p>
        </w:tc>
        <w:tc>
          <w:tcPr>
            <w:tcW w:w="540" w:type="dxa"/>
          </w:tcPr>
          <w:p>
            <w:pPr>
              <w:pStyle w:val="TableParagraph"/>
              <w:spacing w:before="44"/>
              <w:ind w:right="1"/>
              <w:rPr>
                <w:sz w:val="18"/>
              </w:rPr>
            </w:pPr>
            <w:r>
              <w:rPr>
                <w:w w:val="99"/>
                <w:sz w:val="18"/>
              </w:rPr>
              <w:t>0</w:t>
            </w:r>
          </w:p>
        </w:tc>
        <w:tc>
          <w:tcPr>
            <w:tcW w:w="542" w:type="dxa"/>
          </w:tcPr>
          <w:p>
            <w:pPr>
              <w:pStyle w:val="TableParagraph"/>
              <w:spacing w:before="44"/>
              <w:rPr>
                <w:sz w:val="18"/>
              </w:rPr>
            </w:pPr>
            <w:r>
              <w:rPr>
                <w:w w:val="99"/>
                <w:sz w:val="18"/>
              </w:rPr>
              <w:t>0</w:t>
            </w:r>
          </w:p>
        </w:tc>
      </w:tr>
      <w:tr>
        <w:trPr>
          <w:trHeight w:val="310" w:hRule="exact"/>
        </w:trPr>
        <w:tc>
          <w:tcPr>
            <w:tcW w:w="4585" w:type="dxa"/>
            <w:tcBorders>
              <w:left w:val="single" w:sz="8" w:space="0" w:color="000000"/>
            </w:tcBorders>
          </w:tcPr>
          <w:p>
            <w:pPr>
              <w:pStyle w:val="TableParagraph"/>
              <w:spacing w:before="40"/>
              <w:ind w:left="62"/>
              <w:jc w:val="left"/>
              <w:rPr>
                <w:b/>
                <w:sz w:val="18"/>
              </w:rPr>
            </w:pPr>
            <w:r>
              <w:rPr>
                <w:b/>
                <w:color w:val="333333"/>
                <w:sz w:val="18"/>
              </w:rPr>
              <w:t>ATIZAPAN DE ZARAGOZA</w:t>
            </w:r>
          </w:p>
        </w:tc>
        <w:tc>
          <w:tcPr>
            <w:tcW w:w="543" w:type="dxa"/>
          </w:tcPr>
          <w:p>
            <w:pPr>
              <w:pStyle w:val="TableParagraph"/>
              <w:spacing w:before="44"/>
              <w:rPr>
                <w:sz w:val="18"/>
              </w:rPr>
            </w:pPr>
            <w:r>
              <w:rPr>
                <w:w w:val="99"/>
                <w:sz w:val="18"/>
              </w:rPr>
              <w:t>0</w:t>
            </w:r>
          </w:p>
        </w:tc>
        <w:tc>
          <w:tcPr>
            <w:tcW w:w="540" w:type="dxa"/>
          </w:tcPr>
          <w:p>
            <w:pPr>
              <w:pStyle w:val="TableParagraph"/>
              <w:spacing w:before="44"/>
              <w:ind w:right="1"/>
              <w:rPr>
                <w:sz w:val="18"/>
              </w:rPr>
            </w:pPr>
            <w:r>
              <w:rPr>
                <w:w w:val="99"/>
                <w:sz w:val="18"/>
              </w:rPr>
              <w:t>0</w:t>
            </w:r>
          </w:p>
        </w:tc>
        <w:tc>
          <w:tcPr>
            <w:tcW w:w="542" w:type="dxa"/>
          </w:tcPr>
          <w:p>
            <w:pPr>
              <w:pStyle w:val="TableParagraph"/>
              <w:spacing w:before="44"/>
              <w:rPr>
                <w:sz w:val="18"/>
              </w:rPr>
            </w:pPr>
            <w:r>
              <w:rPr>
                <w:w w:val="99"/>
                <w:sz w:val="18"/>
              </w:rPr>
              <w:t>0</w:t>
            </w:r>
          </w:p>
        </w:tc>
        <w:tc>
          <w:tcPr>
            <w:tcW w:w="540" w:type="dxa"/>
          </w:tcPr>
          <w:p>
            <w:pPr>
              <w:pStyle w:val="TableParagraph"/>
              <w:spacing w:before="44"/>
              <w:ind w:right="1"/>
              <w:rPr>
                <w:sz w:val="18"/>
              </w:rPr>
            </w:pPr>
            <w:r>
              <w:rPr>
                <w:w w:val="99"/>
                <w:sz w:val="18"/>
              </w:rPr>
              <w:t>9</w:t>
            </w:r>
          </w:p>
        </w:tc>
        <w:tc>
          <w:tcPr>
            <w:tcW w:w="540" w:type="dxa"/>
          </w:tcPr>
          <w:p>
            <w:pPr>
              <w:pStyle w:val="TableParagraph"/>
              <w:spacing w:before="44"/>
              <w:ind w:right="1"/>
              <w:rPr>
                <w:sz w:val="18"/>
              </w:rPr>
            </w:pPr>
            <w:r>
              <w:rPr>
                <w:w w:val="99"/>
                <w:sz w:val="18"/>
              </w:rPr>
              <w:t>9</w:t>
            </w:r>
          </w:p>
        </w:tc>
        <w:tc>
          <w:tcPr>
            <w:tcW w:w="542" w:type="dxa"/>
          </w:tcPr>
          <w:p>
            <w:pPr>
              <w:pStyle w:val="TableParagraph"/>
              <w:spacing w:before="44"/>
              <w:rPr>
                <w:sz w:val="18"/>
              </w:rPr>
            </w:pPr>
            <w:r>
              <w:rPr>
                <w:w w:val="99"/>
                <w:sz w:val="18"/>
              </w:rPr>
              <w:t>7</w:t>
            </w:r>
          </w:p>
        </w:tc>
      </w:tr>
      <w:tr>
        <w:trPr>
          <w:trHeight w:val="310" w:hRule="exact"/>
        </w:trPr>
        <w:tc>
          <w:tcPr>
            <w:tcW w:w="4585" w:type="dxa"/>
            <w:tcBorders>
              <w:left w:val="single" w:sz="8" w:space="0" w:color="000000"/>
            </w:tcBorders>
          </w:tcPr>
          <w:p>
            <w:pPr>
              <w:pStyle w:val="TableParagraph"/>
              <w:spacing w:before="40"/>
              <w:ind w:left="62"/>
              <w:jc w:val="left"/>
              <w:rPr>
                <w:b/>
                <w:sz w:val="18"/>
              </w:rPr>
            </w:pPr>
            <w:r>
              <w:rPr>
                <w:b/>
                <w:color w:val="333333"/>
                <w:sz w:val="18"/>
              </w:rPr>
              <w:t>ATLACOMULCO</w:t>
            </w:r>
          </w:p>
        </w:tc>
        <w:tc>
          <w:tcPr>
            <w:tcW w:w="543" w:type="dxa"/>
          </w:tcPr>
          <w:p>
            <w:pPr>
              <w:pStyle w:val="TableParagraph"/>
              <w:spacing w:before="44"/>
              <w:rPr>
                <w:sz w:val="18"/>
              </w:rPr>
            </w:pPr>
            <w:r>
              <w:rPr>
                <w:w w:val="99"/>
                <w:sz w:val="18"/>
              </w:rPr>
              <w:t>0</w:t>
            </w:r>
          </w:p>
        </w:tc>
        <w:tc>
          <w:tcPr>
            <w:tcW w:w="540" w:type="dxa"/>
          </w:tcPr>
          <w:p>
            <w:pPr>
              <w:pStyle w:val="TableParagraph"/>
              <w:spacing w:before="44"/>
              <w:ind w:right="1"/>
              <w:rPr>
                <w:sz w:val="18"/>
              </w:rPr>
            </w:pPr>
            <w:r>
              <w:rPr>
                <w:w w:val="99"/>
                <w:sz w:val="18"/>
              </w:rPr>
              <w:t>0</w:t>
            </w:r>
          </w:p>
        </w:tc>
        <w:tc>
          <w:tcPr>
            <w:tcW w:w="542" w:type="dxa"/>
          </w:tcPr>
          <w:p>
            <w:pPr>
              <w:pStyle w:val="TableParagraph"/>
              <w:spacing w:before="44"/>
              <w:rPr>
                <w:sz w:val="18"/>
              </w:rPr>
            </w:pPr>
            <w:r>
              <w:rPr>
                <w:w w:val="99"/>
                <w:sz w:val="18"/>
              </w:rPr>
              <w:t>0</w:t>
            </w:r>
          </w:p>
        </w:tc>
        <w:tc>
          <w:tcPr>
            <w:tcW w:w="540" w:type="dxa"/>
          </w:tcPr>
          <w:p>
            <w:pPr>
              <w:pStyle w:val="TableParagraph"/>
              <w:spacing w:before="44"/>
              <w:ind w:left="46" w:right="44"/>
              <w:rPr>
                <w:sz w:val="18"/>
              </w:rPr>
            </w:pPr>
            <w:r>
              <w:rPr>
                <w:sz w:val="18"/>
              </w:rPr>
              <w:t>10</w:t>
            </w:r>
          </w:p>
        </w:tc>
        <w:tc>
          <w:tcPr>
            <w:tcW w:w="540" w:type="dxa"/>
          </w:tcPr>
          <w:p>
            <w:pPr>
              <w:pStyle w:val="TableParagraph"/>
              <w:spacing w:before="44"/>
              <w:ind w:right="1"/>
              <w:rPr>
                <w:sz w:val="18"/>
              </w:rPr>
            </w:pPr>
            <w:r>
              <w:rPr>
                <w:w w:val="99"/>
                <w:sz w:val="18"/>
              </w:rPr>
              <w:t>0</w:t>
            </w:r>
          </w:p>
        </w:tc>
        <w:tc>
          <w:tcPr>
            <w:tcW w:w="542" w:type="dxa"/>
          </w:tcPr>
          <w:p>
            <w:pPr>
              <w:pStyle w:val="TableParagraph"/>
              <w:spacing w:before="44"/>
              <w:rPr>
                <w:sz w:val="18"/>
              </w:rPr>
            </w:pPr>
            <w:r>
              <w:rPr>
                <w:w w:val="99"/>
                <w:sz w:val="18"/>
              </w:rPr>
              <w:t>0</w:t>
            </w:r>
          </w:p>
        </w:tc>
      </w:tr>
      <w:tr>
        <w:trPr>
          <w:trHeight w:val="310" w:hRule="exact"/>
        </w:trPr>
        <w:tc>
          <w:tcPr>
            <w:tcW w:w="4585" w:type="dxa"/>
            <w:tcBorders>
              <w:left w:val="single" w:sz="8" w:space="0" w:color="000000"/>
            </w:tcBorders>
          </w:tcPr>
          <w:p>
            <w:pPr>
              <w:pStyle w:val="TableParagraph"/>
              <w:spacing w:before="42"/>
              <w:ind w:left="62"/>
              <w:jc w:val="left"/>
              <w:rPr>
                <w:b/>
                <w:sz w:val="18"/>
              </w:rPr>
            </w:pPr>
            <w:r>
              <w:rPr>
                <w:b/>
                <w:color w:val="333333"/>
                <w:sz w:val="18"/>
              </w:rPr>
              <w:t>ATLAUTLA</w:t>
            </w:r>
          </w:p>
        </w:tc>
        <w:tc>
          <w:tcPr>
            <w:tcW w:w="543" w:type="dxa"/>
          </w:tcPr>
          <w:p>
            <w:pPr>
              <w:pStyle w:val="TableParagraph"/>
              <w:spacing w:before="47"/>
              <w:rPr>
                <w:sz w:val="18"/>
              </w:rPr>
            </w:pPr>
            <w:r>
              <w:rPr>
                <w:w w:val="99"/>
                <w:sz w:val="18"/>
              </w:rPr>
              <w:t>0</w:t>
            </w:r>
          </w:p>
        </w:tc>
        <w:tc>
          <w:tcPr>
            <w:tcW w:w="540" w:type="dxa"/>
          </w:tcPr>
          <w:p>
            <w:pPr>
              <w:pStyle w:val="TableParagraph"/>
              <w:spacing w:before="47"/>
              <w:ind w:right="1"/>
              <w:rPr>
                <w:sz w:val="18"/>
              </w:rPr>
            </w:pPr>
            <w:r>
              <w:rPr>
                <w:w w:val="99"/>
                <w:sz w:val="18"/>
              </w:rPr>
              <w:t>0</w:t>
            </w:r>
          </w:p>
        </w:tc>
        <w:tc>
          <w:tcPr>
            <w:tcW w:w="542" w:type="dxa"/>
          </w:tcPr>
          <w:p>
            <w:pPr>
              <w:pStyle w:val="TableParagraph"/>
              <w:spacing w:before="47"/>
              <w:rPr>
                <w:sz w:val="18"/>
              </w:rPr>
            </w:pPr>
            <w:r>
              <w:rPr>
                <w:w w:val="99"/>
                <w:sz w:val="18"/>
              </w:rPr>
              <w:t>0</w:t>
            </w:r>
          </w:p>
        </w:tc>
        <w:tc>
          <w:tcPr>
            <w:tcW w:w="1622" w:type="dxa"/>
            <w:gridSpan w:val="3"/>
          </w:tcPr>
          <w:p>
            <w:pPr>
              <w:pStyle w:val="TableParagraph"/>
              <w:spacing w:before="47"/>
              <w:ind w:left="419"/>
              <w:jc w:val="left"/>
              <w:rPr>
                <w:sz w:val="18"/>
              </w:rPr>
            </w:pPr>
            <w:r>
              <w:rPr>
                <w:sz w:val="18"/>
              </w:rPr>
              <w:t>No Aplica</w:t>
            </w:r>
          </w:p>
        </w:tc>
      </w:tr>
      <w:tr>
        <w:trPr>
          <w:trHeight w:val="310" w:hRule="exact"/>
        </w:trPr>
        <w:tc>
          <w:tcPr>
            <w:tcW w:w="4585" w:type="dxa"/>
            <w:tcBorders>
              <w:left w:val="single" w:sz="8" w:space="0" w:color="000000"/>
            </w:tcBorders>
          </w:tcPr>
          <w:p>
            <w:pPr>
              <w:pStyle w:val="TableParagraph"/>
              <w:spacing w:before="42"/>
              <w:ind w:left="62"/>
              <w:jc w:val="left"/>
              <w:rPr>
                <w:b/>
                <w:sz w:val="18"/>
              </w:rPr>
            </w:pPr>
            <w:r>
              <w:rPr>
                <w:b/>
                <w:color w:val="333333"/>
                <w:sz w:val="18"/>
              </w:rPr>
              <w:t>AXAPUSCO</w:t>
            </w:r>
          </w:p>
        </w:tc>
        <w:tc>
          <w:tcPr>
            <w:tcW w:w="543" w:type="dxa"/>
          </w:tcPr>
          <w:p>
            <w:pPr>
              <w:pStyle w:val="TableParagraph"/>
              <w:spacing w:before="47"/>
              <w:rPr>
                <w:sz w:val="18"/>
              </w:rPr>
            </w:pPr>
            <w:r>
              <w:rPr>
                <w:w w:val="99"/>
                <w:sz w:val="18"/>
              </w:rPr>
              <w:t>0</w:t>
            </w:r>
          </w:p>
        </w:tc>
        <w:tc>
          <w:tcPr>
            <w:tcW w:w="540" w:type="dxa"/>
          </w:tcPr>
          <w:p>
            <w:pPr>
              <w:pStyle w:val="TableParagraph"/>
              <w:spacing w:before="47"/>
              <w:ind w:right="1"/>
              <w:rPr>
                <w:sz w:val="18"/>
              </w:rPr>
            </w:pPr>
            <w:r>
              <w:rPr>
                <w:w w:val="99"/>
                <w:sz w:val="18"/>
              </w:rPr>
              <w:t>0</w:t>
            </w:r>
          </w:p>
        </w:tc>
        <w:tc>
          <w:tcPr>
            <w:tcW w:w="542" w:type="dxa"/>
          </w:tcPr>
          <w:p>
            <w:pPr>
              <w:pStyle w:val="TableParagraph"/>
              <w:spacing w:before="47"/>
              <w:rPr>
                <w:sz w:val="18"/>
              </w:rPr>
            </w:pPr>
            <w:r>
              <w:rPr>
                <w:w w:val="99"/>
                <w:sz w:val="18"/>
              </w:rPr>
              <w:t>0</w:t>
            </w:r>
          </w:p>
        </w:tc>
        <w:tc>
          <w:tcPr>
            <w:tcW w:w="540" w:type="dxa"/>
          </w:tcPr>
          <w:p>
            <w:pPr>
              <w:pStyle w:val="TableParagraph"/>
              <w:spacing w:before="47"/>
              <w:ind w:right="1"/>
              <w:rPr>
                <w:sz w:val="18"/>
              </w:rPr>
            </w:pPr>
            <w:r>
              <w:rPr>
                <w:w w:val="99"/>
                <w:sz w:val="18"/>
              </w:rPr>
              <w:t>0</w:t>
            </w:r>
          </w:p>
        </w:tc>
        <w:tc>
          <w:tcPr>
            <w:tcW w:w="540" w:type="dxa"/>
          </w:tcPr>
          <w:p>
            <w:pPr>
              <w:pStyle w:val="TableParagraph"/>
              <w:spacing w:before="47"/>
              <w:ind w:right="1"/>
              <w:rPr>
                <w:sz w:val="18"/>
              </w:rPr>
            </w:pPr>
            <w:r>
              <w:rPr>
                <w:w w:val="99"/>
                <w:sz w:val="18"/>
              </w:rPr>
              <w:t>0</w:t>
            </w:r>
          </w:p>
        </w:tc>
        <w:tc>
          <w:tcPr>
            <w:tcW w:w="542" w:type="dxa"/>
          </w:tcPr>
          <w:p>
            <w:pPr>
              <w:pStyle w:val="TableParagraph"/>
              <w:spacing w:before="47"/>
              <w:rPr>
                <w:sz w:val="18"/>
              </w:rPr>
            </w:pPr>
            <w:r>
              <w:rPr>
                <w:w w:val="99"/>
                <w:sz w:val="18"/>
              </w:rPr>
              <w:t>0</w:t>
            </w:r>
          </w:p>
        </w:tc>
      </w:tr>
      <w:tr>
        <w:trPr>
          <w:trHeight w:val="312" w:hRule="exact"/>
        </w:trPr>
        <w:tc>
          <w:tcPr>
            <w:tcW w:w="4585" w:type="dxa"/>
            <w:tcBorders>
              <w:left w:val="single" w:sz="8" w:space="0" w:color="000000"/>
            </w:tcBorders>
          </w:tcPr>
          <w:p>
            <w:pPr>
              <w:pStyle w:val="TableParagraph"/>
              <w:spacing w:before="42"/>
              <w:ind w:left="62"/>
              <w:jc w:val="left"/>
              <w:rPr>
                <w:b/>
                <w:sz w:val="18"/>
              </w:rPr>
            </w:pPr>
            <w:r>
              <w:rPr>
                <w:b/>
                <w:color w:val="333333"/>
                <w:sz w:val="18"/>
              </w:rPr>
              <w:t>AYAPANGO</w:t>
            </w:r>
          </w:p>
        </w:tc>
        <w:tc>
          <w:tcPr>
            <w:tcW w:w="543" w:type="dxa"/>
          </w:tcPr>
          <w:p>
            <w:pPr>
              <w:pStyle w:val="TableParagraph"/>
              <w:spacing w:before="47"/>
              <w:rPr>
                <w:sz w:val="18"/>
              </w:rPr>
            </w:pPr>
            <w:r>
              <w:rPr>
                <w:w w:val="99"/>
                <w:sz w:val="18"/>
              </w:rPr>
              <w:t>0</w:t>
            </w:r>
          </w:p>
        </w:tc>
        <w:tc>
          <w:tcPr>
            <w:tcW w:w="540" w:type="dxa"/>
          </w:tcPr>
          <w:p>
            <w:pPr>
              <w:pStyle w:val="TableParagraph"/>
              <w:spacing w:before="47"/>
              <w:ind w:right="1"/>
              <w:rPr>
                <w:sz w:val="18"/>
              </w:rPr>
            </w:pPr>
            <w:r>
              <w:rPr>
                <w:w w:val="99"/>
                <w:sz w:val="18"/>
              </w:rPr>
              <w:t>0</w:t>
            </w:r>
          </w:p>
        </w:tc>
        <w:tc>
          <w:tcPr>
            <w:tcW w:w="542" w:type="dxa"/>
          </w:tcPr>
          <w:p>
            <w:pPr>
              <w:pStyle w:val="TableParagraph"/>
              <w:spacing w:before="47"/>
              <w:rPr>
                <w:sz w:val="18"/>
              </w:rPr>
            </w:pPr>
            <w:r>
              <w:rPr>
                <w:w w:val="99"/>
                <w:sz w:val="18"/>
              </w:rPr>
              <w:t>0</w:t>
            </w:r>
          </w:p>
        </w:tc>
        <w:tc>
          <w:tcPr>
            <w:tcW w:w="540" w:type="dxa"/>
          </w:tcPr>
          <w:p>
            <w:pPr>
              <w:pStyle w:val="TableParagraph"/>
              <w:spacing w:before="47"/>
              <w:ind w:right="1"/>
              <w:rPr>
                <w:sz w:val="18"/>
              </w:rPr>
            </w:pPr>
            <w:r>
              <w:rPr>
                <w:w w:val="99"/>
                <w:sz w:val="18"/>
              </w:rPr>
              <w:t>0</w:t>
            </w:r>
          </w:p>
        </w:tc>
        <w:tc>
          <w:tcPr>
            <w:tcW w:w="540" w:type="dxa"/>
          </w:tcPr>
          <w:p>
            <w:pPr>
              <w:pStyle w:val="TableParagraph"/>
              <w:spacing w:before="47"/>
              <w:ind w:right="1"/>
              <w:rPr>
                <w:sz w:val="18"/>
              </w:rPr>
            </w:pPr>
            <w:r>
              <w:rPr>
                <w:w w:val="99"/>
                <w:sz w:val="18"/>
              </w:rPr>
              <w:t>0</w:t>
            </w:r>
          </w:p>
        </w:tc>
        <w:tc>
          <w:tcPr>
            <w:tcW w:w="542" w:type="dxa"/>
          </w:tcPr>
          <w:p>
            <w:pPr>
              <w:pStyle w:val="TableParagraph"/>
              <w:spacing w:before="47"/>
              <w:rPr>
                <w:sz w:val="18"/>
              </w:rPr>
            </w:pPr>
            <w:r>
              <w:rPr>
                <w:w w:val="99"/>
                <w:sz w:val="18"/>
              </w:rPr>
              <w:t>0</w:t>
            </w:r>
          </w:p>
        </w:tc>
      </w:tr>
      <w:tr>
        <w:trPr>
          <w:trHeight w:val="310" w:hRule="exact"/>
        </w:trPr>
        <w:tc>
          <w:tcPr>
            <w:tcW w:w="4585" w:type="dxa"/>
            <w:tcBorders>
              <w:left w:val="single" w:sz="8" w:space="0" w:color="000000"/>
            </w:tcBorders>
          </w:tcPr>
          <w:p>
            <w:pPr>
              <w:pStyle w:val="TableParagraph"/>
              <w:spacing w:before="40"/>
              <w:ind w:left="62"/>
              <w:jc w:val="left"/>
              <w:rPr>
                <w:b/>
                <w:sz w:val="18"/>
              </w:rPr>
            </w:pPr>
            <w:r>
              <w:rPr>
                <w:b/>
                <w:color w:val="333333"/>
                <w:sz w:val="18"/>
              </w:rPr>
              <w:t>CALIMAYA</w:t>
            </w:r>
          </w:p>
        </w:tc>
        <w:tc>
          <w:tcPr>
            <w:tcW w:w="543" w:type="dxa"/>
          </w:tcPr>
          <w:p>
            <w:pPr>
              <w:pStyle w:val="TableParagraph"/>
              <w:spacing w:before="44"/>
              <w:rPr>
                <w:sz w:val="18"/>
              </w:rPr>
            </w:pPr>
            <w:r>
              <w:rPr>
                <w:w w:val="99"/>
                <w:sz w:val="18"/>
              </w:rPr>
              <w:t>0</w:t>
            </w:r>
          </w:p>
        </w:tc>
        <w:tc>
          <w:tcPr>
            <w:tcW w:w="540" w:type="dxa"/>
          </w:tcPr>
          <w:p>
            <w:pPr>
              <w:pStyle w:val="TableParagraph"/>
              <w:spacing w:before="44"/>
              <w:ind w:left="46" w:right="44"/>
              <w:rPr>
                <w:sz w:val="18"/>
              </w:rPr>
            </w:pPr>
            <w:r>
              <w:rPr>
                <w:sz w:val="18"/>
              </w:rPr>
              <w:t>47</w:t>
            </w:r>
          </w:p>
        </w:tc>
        <w:tc>
          <w:tcPr>
            <w:tcW w:w="542" w:type="dxa"/>
          </w:tcPr>
          <w:p>
            <w:pPr>
              <w:pStyle w:val="TableParagraph"/>
              <w:spacing w:before="44"/>
              <w:ind w:left="48" w:right="44"/>
              <w:rPr>
                <w:sz w:val="18"/>
              </w:rPr>
            </w:pPr>
            <w:r>
              <w:rPr>
                <w:sz w:val="18"/>
              </w:rPr>
              <w:t>50</w:t>
            </w:r>
          </w:p>
        </w:tc>
        <w:tc>
          <w:tcPr>
            <w:tcW w:w="540" w:type="dxa"/>
          </w:tcPr>
          <w:p>
            <w:pPr>
              <w:pStyle w:val="TableParagraph"/>
              <w:spacing w:before="44"/>
              <w:ind w:right="1"/>
              <w:rPr>
                <w:sz w:val="18"/>
              </w:rPr>
            </w:pPr>
            <w:r>
              <w:rPr>
                <w:w w:val="99"/>
                <w:sz w:val="18"/>
              </w:rPr>
              <w:t>3</w:t>
            </w:r>
          </w:p>
        </w:tc>
        <w:tc>
          <w:tcPr>
            <w:tcW w:w="540" w:type="dxa"/>
          </w:tcPr>
          <w:p>
            <w:pPr>
              <w:pStyle w:val="TableParagraph"/>
              <w:spacing w:before="44"/>
              <w:ind w:left="46" w:right="44"/>
              <w:rPr>
                <w:sz w:val="18"/>
              </w:rPr>
            </w:pPr>
            <w:r>
              <w:rPr>
                <w:sz w:val="18"/>
              </w:rPr>
              <w:t>27</w:t>
            </w:r>
          </w:p>
        </w:tc>
        <w:tc>
          <w:tcPr>
            <w:tcW w:w="542" w:type="dxa"/>
          </w:tcPr>
          <w:p>
            <w:pPr>
              <w:pStyle w:val="TableParagraph"/>
              <w:spacing w:before="44"/>
              <w:rPr>
                <w:sz w:val="18"/>
              </w:rPr>
            </w:pPr>
            <w:r>
              <w:rPr>
                <w:w w:val="99"/>
                <w:sz w:val="18"/>
              </w:rPr>
              <w:t>2</w:t>
            </w:r>
          </w:p>
        </w:tc>
      </w:tr>
      <w:tr>
        <w:trPr>
          <w:trHeight w:val="310" w:hRule="exact"/>
        </w:trPr>
        <w:tc>
          <w:tcPr>
            <w:tcW w:w="4585" w:type="dxa"/>
            <w:tcBorders>
              <w:left w:val="single" w:sz="8" w:space="0" w:color="000000"/>
            </w:tcBorders>
          </w:tcPr>
          <w:p>
            <w:pPr>
              <w:pStyle w:val="TableParagraph"/>
              <w:spacing w:before="40"/>
              <w:ind w:left="62"/>
              <w:jc w:val="left"/>
              <w:rPr>
                <w:b/>
                <w:sz w:val="18"/>
              </w:rPr>
            </w:pPr>
            <w:r>
              <w:rPr>
                <w:b/>
                <w:color w:val="333333"/>
                <w:sz w:val="18"/>
              </w:rPr>
              <w:t>CAPULHUAC</w:t>
            </w:r>
          </w:p>
        </w:tc>
        <w:tc>
          <w:tcPr>
            <w:tcW w:w="543" w:type="dxa"/>
          </w:tcPr>
          <w:p>
            <w:pPr>
              <w:pStyle w:val="TableParagraph"/>
              <w:spacing w:before="44"/>
              <w:rPr>
                <w:sz w:val="18"/>
              </w:rPr>
            </w:pPr>
            <w:r>
              <w:rPr>
                <w:w w:val="99"/>
                <w:sz w:val="18"/>
              </w:rPr>
              <w:t>0</w:t>
            </w:r>
          </w:p>
        </w:tc>
        <w:tc>
          <w:tcPr>
            <w:tcW w:w="540" w:type="dxa"/>
          </w:tcPr>
          <w:p>
            <w:pPr>
              <w:pStyle w:val="TableParagraph"/>
              <w:spacing w:before="44"/>
              <w:ind w:right="1"/>
              <w:rPr>
                <w:sz w:val="18"/>
              </w:rPr>
            </w:pPr>
            <w:r>
              <w:rPr>
                <w:w w:val="99"/>
                <w:sz w:val="18"/>
              </w:rPr>
              <w:t>0</w:t>
            </w:r>
          </w:p>
        </w:tc>
        <w:tc>
          <w:tcPr>
            <w:tcW w:w="542" w:type="dxa"/>
          </w:tcPr>
          <w:p>
            <w:pPr>
              <w:pStyle w:val="TableParagraph"/>
              <w:spacing w:before="44"/>
              <w:rPr>
                <w:sz w:val="18"/>
              </w:rPr>
            </w:pPr>
            <w:r>
              <w:rPr>
                <w:w w:val="99"/>
                <w:sz w:val="18"/>
              </w:rPr>
              <w:t>0</w:t>
            </w:r>
          </w:p>
        </w:tc>
        <w:tc>
          <w:tcPr>
            <w:tcW w:w="540" w:type="dxa"/>
          </w:tcPr>
          <w:p>
            <w:pPr>
              <w:pStyle w:val="TableParagraph"/>
              <w:spacing w:before="44"/>
              <w:ind w:right="1"/>
              <w:rPr>
                <w:sz w:val="18"/>
              </w:rPr>
            </w:pPr>
            <w:r>
              <w:rPr>
                <w:w w:val="99"/>
                <w:sz w:val="18"/>
              </w:rPr>
              <w:t>0</w:t>
            </w:r>
          </w:p>
        </w:tc>
        <w:tc>
          <w:tcPr>
            <w:tcW w:w="540" w:type="dxa"/>
          </w:tcPr>
          <w:p>
            <w:pPr>
              <w:pStyle w:val="TableParagraph"/>
              <w:spacing w:before="44"/>
              <w:ind w:right="1"/>
              <w:rPr>
                <w:sz w:val="18"/>
              </w:rPr>
            </w:pPr>
            <w:r>
              <w:rPr>
                <w:w w:val="99"/>
                <w:sz w:val="18"/>
              </w:rPr>
              <w:t>0</w:t>
            </w:r>
          </w:p>
        </w:tc>
        <w:tc>
          <w:tcPr>
            <w:tcW w:w="542" w:type="dxa"/>
          </w:tcPr>
          <w:p>
            <w:pPr>
              <w:pStyle w:val="TableParagraph"/>
              <w:spacing w:before="44"/>
              <w:rPr>
                <w:sz w:val="18"/>
              </w:rPr>
            </w:pPr>
            <w:r>
              <w:rPr>
                <w:w w:val="99"/>
                <w:sz w:val="18"/>
              </w:rPr>
              <w:t>0</w:t>
            </w:r>
          </w:p>
        </w:tc>
      </w:tr>
      <w:tr>
        <w:trPr>
          <w:trHeight w:val="310" w:hRule="exact"/>
        </w:trPr>
        <w:tc>
          <w:tcPr>
            <w:tcW w:w="4585" w:type="dxa"/>
            <w:tcBorders>
              <w:left w:val="single" w:sz="8" w:space="0" w:color="000000"/>
            </w:tcBorders>
          </w:tcPr>
          <w:p>
            <w:pPr>
              <w:pStyle w:val="TableParagraph"/>
              <w:spacing w:before="40"/>
              <w:ind w:left="62"/>
              <w:jc w:val="left"/>
              <w:rPr>
                <w:b/>
                <w:sz w:val="18"/>
              </w:rPr>
            </w:pPr>
            <w:r>
              <w:rPr>
                <w:b/>
                <w:color w:val="333333"/>
                <w:sz w:val="18"/>
              </w:rPr>
              <w:t>CHALCO</w:t>
            </w:r>
          </w:p>
        </w:tc>
        <w:tc>
          <w:tcPr>
            <w:tcW w:w="543" w:type="dxa"/>
          </w:tcPr>
          <w:p>
            <w:pPr>
              <w:pStyle w:val="TableParagraph"/>
              <w:spacing w:before="44"/>
              <w:rPr>
                <w:sz w:val="18"/>
              </w:rPr>
            </w:pPr>
            <w:r>
              <w:rPr>
                <w:w w:val="99"/>
                <w:sz w:val="18"/>
              </w:rPr>
              <w:t>0</w:t>
            </w:r>
          </w:p>
        </w:tc>
        <w:tc>
          <w:tcPr>
            <w:tcW w:w="540" w:type="dxa"/>
          </w:tcPr>
          <w:p>
            <w:pPr>
              <w:pStyle w:val="TableParagraph"/>
              <w:spacing w:before="44"/>
              <w:ind w:right="1"/>
              <w:rPr>
                <w:sz w:val="18"/>
              </w:rPr>
            </w:pPr>
            <w:r>
              <w:rPr>
                <w:w w:val="99"/>
                <w:sz w:val="18"/>
              </w:rPr>
              <w:t>0</w:t>
            </w:r>
          </w:p>
        </w:tc>
        <w:tc>
          <w:tcPr>
            <w:tcW w:w="542" w:type="dxa"/>
          </w:tcPr>
          <w:p>
            <w:pPr>
              <w:pStyle w:val="TableParagraph"/>
              <w:spacing w:before="44"/>
              <w:rPr>
                <w:sz w:val="18"/>
              </w:rPr>
            </w:pPr>
            <w:r>
              <w:rPr>
                <w:w w:val="99"/>
                <w:sz w:val="18"/>
              </w:rPr>
              <w:t>5</w:t>
            </w:r>
          </w:p>
        </w:tc>
        <w:tc>
          <w:tcPr>
            <w:tcW w:w="540" w:type="dxa"/>
          </w:tcPr>
          <w:p>
            <w:pPr>
              <w:pStyle w:val="TableParagraph"/>
              <w:spacing w:before="44"/>
              <w:ind w:left="46" w:right="44"/>
              <w:rPr>
                <w:sz w:val="18"/>
              </w:rPr>
            </w:pPr>
            <w:r>
              <w:rPr>
                <w:sz w:val="18"/>
              </w:rPr>
              <w:t>12</w:t>
            </w:r>
          </w:p>
        </w:tc>
        <w:tc>
          <w:tcPr>
            <w:tcW w:w="540" w:type="dxa"/>
          </w:tcPr>
          <w:p>
            <w:pPr>
              <w:pStyle w:val="TableParagraph"/>
              <w:spacing w:before="44"/>
              <w:ind w:right="1"/>
              <w:rPr>
                <w:sz w:val="18"/>
              </w:rPr>
            </w:pPr>
            <w:r>
              <w:rPr>
                <w:w w:val="99"/>
                <w:sz w:val="18"/>
              </w:rPr>
              <w:t>2</w:t>
            </w:r>
          </w:p>
        </w:tc>
        <w:tc>
          <w:tcPr>
            <w:tcW w:w="542" w:type="dxa"/>
          </w:tcPr>
          <w:p>
            <w:pPr>
              <w:pStyle w:val="TableParagraph"/>
              <w:spacing w:before="44"/>
              <w:rPr>
                <w:sz w:val="18"/>
              </w:rPr>
            </w:pPr>
            <w:r>
              <w:rPr>
                <w:w w:val="99"/>
                <w:sz w:val="18"/>
              </w:rPr>
              <w:t>1</w:t>
            </w:r>
          </w:p>
        </w:tc>
      </w:tr>
      <w:tr>
        <w:trPr>
          <w:trHeight w:val="310" w:hRule="exact"/>
        </w:trPr>
        <w:tc>
          <w:tcPr>
            <w:tcW w:w="4585" w:type="dxa"/>
            <w:tcBorders>
              <w:left w:val="single" w:sz="8" w:space="0" w:color="000000"/>
            </w:tcBorders>
          </w:tcPr>
          <w:p>
            <w:pPr>
              <w:pStyle w:val="TableParagraph"/>
              <w:spacing w:before="42"/>
              <w:ind w:left="62"/>
              <w:jc w:val="left"/>
              <w:rPr>
                <w:b/>
                <w:sz w:val="18"/>
              </w:rPr>
            </w:pPr>
            <w:r>
              <w:rPr>
                <w:b/>
                <w:color w:val="333333"/>
                <w:sz w:val="18"/>
              </w:rPr>
              <w:t>CHAPA DE MOTA</w:t>
            </w:r>
          </w:p>
        </w:tc>
        <w:tc>
          <w:tcPr>
            <w:tcW w:w="543" w:type="dxa"/>
          </w:tcPr>
          <w:p>
            <w:pPr>
              <w:pStyle w:val="TableParagraph"/>
              <w:spacing w:before="47"/>
              <w:rPr>
                <w:sz w:val="18"/>
              </w:rPr>
            </w:pPr>
            <w:r>
              <w:rPr>
                <w:w w:val="99"/>
                <w:sz w:val="18"/>
              </w:rPr>
              <w:t>3</w:t>
            </w:r>
          </w:p>
        </w:tc>
        <w:tc>
          <w:tcPr>
            <w:tcW w:w="540" w:type="dxa"/>
          </w:tcPr>
          <w:p>
            <w:pPr>
              <w:pStyle w:val="TableParagraph"/>
              <w:spacing w:before="47"/>
              <w:ind w:right="1"/>
              <w:rPr>
                <w:sz w:val="18"/>
              </w:rPr>
            </w:pPr>
            <w:r>
              <w:rPr>
                <w:w w:val="99"/>
                <w:sz w:val="18"/>
              </w:rPr>
              <w:t>3</w:t>
            </w:r>
          </w:p>
        </w:tc>
        <w:tc>
          <w:tcPr>
            <w:tcW w:w="542" w:type="dxa"/>
          </w:tcPr>
          <w:p>
            <w:pPr>
              <w:pStyle w:val="TableParagraph"/>
              <w:spacing w:before="47"/>
              <w:rPr>
                <w:sz w:val="18"/>
              </w:rPr>
            </w:pPr>
            <w:r>
              <w:rPr>
                <w:w w:val="99"/>
                <w:sz w:val="18"/>
              </w:rPr>
              <w:t>2</w:t>
            </w:r>
          </w:p>
        </w:tc>
        <w:tc>
          <w:tcPr>
            <w:tcW w:w="540" w:type="dxa"/>
          </w:tcPr>
          <w:p>
            <w:pPr>
              <w:pStyle w:val="TableParagraph"/>
              <w:spacing w:before="47"/>
              <w:ind w:left="46" w:right="44"/>
              <w:rPr>
                <w:sz w:val="18"/>
              </w:rPr>
            </w:pPr>
            <w:r>
              <w:rPr>
                <w:sz w:val="18"/>
              </w:rPr>
              <w:t>65</w:t>
            </w:r>
          </w:p>
        </w:tc>
        <w:tc>
          <w:tcPr>
            <w:tcW w:w="540" w:type="dxa"/>
          </w:tcPr>
          <w:p>
            <w:pPr>
              <w:pStyle w:val="TableParagraph"/>
              <w:spacing w:before="47"/>
              <w:ind w:left="46" w:right="44"/>
              <w:rPr>
                <w:sz w:val="18"/>
              </w:rPr>
            </w:pPr>
            <w:r>
              <w:rPr>
                <w:sz w:val="18"/>
              </w:rPr>
              <w:t>72</w:t>
            </w:r>
          </w:p>
        </w:tc>
        <w:tc>
          <w:tcPr>
            <w:tcW w:w="542" w:type="dxa"/>
          </w:tcPr>
          <w:p>
            <w:pPr>
              <w:pStyle w:val="TableParagraph"/>
              <w:spacing w:before="47"/>
              <w:ind w:left="48" w:right="44"/>
              <w:rPr>
                <w:sz w:val="18"/>
              </w:rPr>
            </w:pPr>
            <w:r>
              <w:rPr>
                <w:sz w:val="18"/>
              </w:rPr>
              <w:t>26</w:t>
            </w:r>
          </w:p>
        </w:tc>
      </w:tr>
      <w:tr>
        <w:trPr>
          <w:trHeight w:val="310" w:hRule="exact"/>
        </w:trPr>
        <w:tc>
          <w:tcPr>
            <w:tcW w:w="4585" w:type="dxa"/>
            <w:tcBorders>
              <w:left w:val="single" w:sz="8" w:space="0" w:color="000000"/>
            </w:tcBorders>
          </w:tcPr>
          <w:p>
            <w:pPr>
              <w:pStyle w:val="TableParagraph"/>
              <w:spacing w:before="42"/>
              <w:ind w:left="62"/>
              <w:jc w:val="left"/>
              <w:rPr>
                <w:b/>
                <w:sz w:val="18"/>
              </w:rPr>
            </w:pPr>
            <w:r>
              <w:rPr>
                <w:b/>
                <w:color w:val="333333"/>
                <w:sz w:val="18"/>
              </w:rPr>
              <w:t>CHAPULTEPEC</w:t>
            </w:r>
          </w:p>
        </w:tc>
        <w:tc>
          <w:tcPr>
            <w:tcW w:w="543" w:type="dxa"/>
          </w:tcPr>
          <w:p>
            <w:pPr>
              <w:pStyle w:val="TableParagraph"/>
              <w:spacing w:before="47"/>
              <w:ind w:left="48" w:right="43"/>
              <w:rPr>
                <w:sz w:val="18"/>
              </w:rPr>
            </w:pPr>
            <w:r>
              <w:rPr>
                <w:sz w:val="18"/>
              </w:rPr>
              <w:t>20</w:t>
            </w:r>
          </w:p>
        </w:tc>
        <w:tc>
          <w:tcPr>
            <w:tcW w:w="540" w:type="dxa"/>
          </w:tcPr>
          <w:p>
            <w:pPr>
              <w:pStyle w:val="TableParagraph"/>
              <w:spacing w:before="47"/>
              <w:ind w:left="46" w:right="44"/>
              <w:rPr>
                <w:sz w:val="18"/>
              </w:rPr>
            </w:pPr>
            <w:r>
              <w:rPr>
                <w:sz w:val="18"/>
              </w:rPr>
              <w:t>13</w:t>
            </w:r>
          </w:p>
        </w:tc>
        <w:tc>
          <w:tcPr>
            <w:tcW w:w="542" w:type="dxa"/>
          </w:tcPr>
          <w:p>
            <w:pPr>
              <w:pStyle w:val="TableParagraph"/>
              <w:spacing w:before="47"/>
              <w:ind w:left="48" w:right="44"/>
              <w:rPr>
                <w:sz w:val="18"/>
              </w:rPr>
            </w:pPr>
            <w:r>
              <w:rPr>
                <w:sz w:val="18"/>
              </w:rPr>
              <w:t>14</w:t>
            </w:r>
          </w:p>
        </w:tc>
        <w:tc>
          <w:tcPr>
            <w:tcW w:w="540" w:type="dxa"/>
          </w:tcPr>
          <w:p>
            <w:pPr>
              <w:pStyle w:val="TableParagraph"/>
              <w:spacing w:before="47"/>
              <w:ind w:left="46" w:right="44"/>
              <w:rPr>
                <w:sz w:val="18"/>
              </w:rPr>
            </w:pPr>
            <w:r>
              <w:rPr>
                <w:sz w:val="18"/>
              </w:rPr>
              <w:t>28</w:t>
            </w:r>
          </w:p>
        </w:tc>
        <w:tc>
          <w:tcPr>
            <w:tcW w:w="540" w:type="dxa"/>
          </w:tcPr>
          <w:p>
            <w:pPr>
              <w:pStyle w:val="TableParagraph"/>
              <w:spacing w:before="47"/>
              <w:ind w:left="46" w:right="44"/>
              <w:rPr>
                <w:sz w:val="18"/>
              </w:rPr>
            </w:pPr>
            <w:r>
              <w:rPr>
                <w:sz w:val="18"/>
              </w:rPr>
              <w:t>26</w:t>
            </w:r>
          </w:p>
        </w:tc>
        <w:tc>
          <w:tcPr>
            <w:tcW w:w="542" w:type="dxa"/>
          </w:tcPr>
          <w:p>
            <w:pPr>
              <w:pStyle w:val="TableParagraph"/>
              <w:spacing w:before="47"/>
              <w:rPr>
                <w:sz w:val="18"/>
              </w:rPr>
            </w:pPr>
            <w:r>
              <w:rPr>
                <w:w w:val="99"/>
                <w:sz w:val="18"/>
              </w:rPr>
              <w:t>4</w:t>
            </w:r>
          </w:p>
        </w:tc>
      </w:tr>
      <w:tr>
        <w:trPr>
          <w:trHeight w:val="313" w:hRule="exact"/>
        </w:trPr>
        <w:tc>
          <w:tcPr>
            <w:tcW w:w="4585" w:type="dxa"/>
            <w:tcBorders>
              <w:left w:val="single" w:sz="8" w:space="0" w:color="000000"/>
            </w:tcBorders>
          </w:tcPr>
          <w:p>
            <w:pPr>
              <w:pStyle w:val="TableParagraph"/>
              <w:spacing w:before="42"/>
              <w:ind w:left="62"/>
              <w:jc w:val="left"/>
              <w:rPr>
                <w:b/>
                <w:sz w:val="18"/>
              </w:rPr>
            </w:pPr>
            <w:r>
              <w:rPr>
                <w:b/>
                <w:color w:val="333333"/>
                <w:sz w:val="18"/>
              </w:rPr>
              <w:t>CHIAUTLA</w:t>
            </w:r>
          </w:p>
        </w:tc>
        <w:tc>
          <w:tcPr>
            <w:tcW w:w="543" w:type="dxa"/>
          </w:tcPr>
          <w:p>
            <w:pPr>
              <w:pStyle w:val="TableParagraph"/>
              <w:spacing w:before="47"/>
              <w:rPr>
                <w:sz w:val="18"/>
              </w:rPr>
            </w:pPr>
            <w:r>
              <w:rPr>
                <w:w w:val="99"/>
                <w:sz w:val="18"/>
              </w:rPr>
              <w:t>0</w:t>
            </w:r>
          </w:p>
        </w:tc>
        <w:tc>
          <w:tcPr>
            <w:tcW w:w="540" w:type="dxa"/>
          </w:tcPr>
          <w:p>
            <w:pPr>
              <w:pStyle w:val="TableParagraph"/>
              <w:spacing w:before="47"/>
              <w:ind w:right="1"/>
              <w:rPr>
                <w:sz w:val="18"/>
              </w:rPr>
            </w:pPr>
            <w:r>
              <w:rPr>
                <w:w w:val="99"/>
                <w:sz w:val="18"/>
              </w:rPr>
              <w:t>0</w:t>
            </w:r>
          </w:p>
        </w:tc>
        <w:tc>
          <w:tcPr>
            <w:tcW w:w="542" w:type="dxa"/>
          </w:tcPr>
          <w:p>
            <w:pPr>
              <w:pStyle w:val="TableParagraph"/>
              <w:spacing w:before="47"/>
              <w:rPr>
                <w:sz w:val="18"/>
              </w:rPr>
            </w:pPr>
            <w:r>
              <w:rPr>
                <w:w w:val="99"/>
                <w:sz w:val="18"/>
              </w:rPr>
              <w:t>0</w:t>
            </w:r>
          </w:p>
        </w:tc>
        <w:tc>
          <w:tcPr>
            <w:tcW w:w="540" w:type="dxa"/>
          </w:tcPr>
          <w:p>
            <w:pPr>
              <w:pStyle w:val="TableParagraph"/>
              <w:spacing w:before="47"/>
              <w:ind w:right="1"/>
              <w:rPr>
                <w:sz w:val="18"/>
              </w:rPr>
            </w:pPr>
            <w:r>
              <w:rPr>
                <w:w w:val="99"/>
                <w:sz w:val="18"/>
              </w:rPr>
              <w:t>0</w:t>
            </w:r>
          </w:p>
        </w:tc>
        <w:tc>
          <w:tcPr>
            <w:tcW w:w="540" w:type="dxa"/>
          </w:tcPr>
          <w:p>
            <w:pPr>
              <w:pStyle w:val="TableParagraph"/>
              <w:spacing w:before="47"/>
              <w:ind w:right="1"/>
              <w:rPr>
                <w:sz w:val="18"/>
              </w:rPr>
            </w:pPr>
            <w:r>
              <w:rPr>
                <w:w w:val="99"/>
                <w:sz w:val="18"/>
              </w:rPr>
              <w:t>0</w:t>
            </w:r>
          </w:p>
        </w:tc>
        <w:tc>
          <w:tcPr>
            <w:tcW w:w="542" w:type="dxa"/>
          </w:tcPr>
          <w:p>
            <w:pPr>
              <w:pStyle w:val="TableParagraph"/>
              <w:spacing w:before="47"/>
              <w:rPr>
                <w:sz w:val="18"/>
              </w:rPr>
            </w:pPr>
            <w:r>
              <w:rPr>
                <w:w w:val="99"/>
                <w:sz w:val="18"/>
              </w:rPr>
              <w:t>0</w:t>
            </w:r>
          </w:p>
        </w:tc>
      </w:tr>
      <w:tr>
        <w:trPr>
          <w:trHeight w:val="310" w:hRule="exact"/>
        </w:trPr>
        <w:tc>
          <w:tcPr>
            <w:tcW w:w="4585" w:type="dxa"/>
            <w:tcBorders>
              <w:left w:val="single" w:sz="8" w:space="0" w:color="000000"/>
            </w:tcBorders>
          </w:tcPr>
          <w:p>
            <w:pPr>
              <w:pStyle w:val="TableParagraph"/>
              <w:spacing w:before="40"/>
              <w:ind w:left="62"/>
              <w:jc w:val="left"/>
              <w:rPr>
                <w:b/>
                <w:sz w:val="18"/>
              </w:rPr>
            </w:pPr>
            <w:r>
              <w:rPr>
                <w:b/>
                <w:color w:val="333333"/>
                <w:sz w:val="18"/>
              </w:rPr>
              <w:t>CHICOLOAPAN</w:t>
            </w:r>
          </w:p>
        </w:tc>
        <w:tc>
          <w:tcPr>
            <w:tcW w:w="543" w:type="dxa"/>
          </w:tcPr>
          <w:p>
            <w:pPr>
              <w:pStyle w:val="TableParagraph"/>
              <w:spacing w:before="44"/>
              <w:rPr>
                <w:sz w:val="18"/>
              </w:rPr>
            </w:pPr>
            <w:r>
              <w:rPr>
                <w:w w:val="99"/>
                <w:sz w:val="18"/>
              </w:rPr>
              <w:t>0</w:t>
            </w:r>
          </w:p>
        </w:tc>
        <w:tc>
          <w:tcPr>
            <w:tcW w:w="540" w:type="dxa"/>
          </w:tcPr>
          <w:p>
            <w:pPr>
              <w:pStyle w:val="TableParagraph"/>
              <w:spacing w:before="44"/>
              <w:ind w:right="1"/>
              <w:rPr>
                <w:sz w:val="18"/>
              </w:rPr>
            </w:pPr>
            <w:r>
              <w:rPr>
                <w:w w:val="99"/>
                <w:sz w:val="18"/>
              </w:rPr>
              <w:t>0</w:t>
            </w:r>
          </w:p>
        </w:tc>
        <w:tc>
          <w:tcPr>
            <w:tcW w:w="542" w:type="dxa"/>
          </w:tcPr>
          <w:p>
            <w:pPr>
              <w:pStyle w:val="TableParagraph"/>
              <w:spacing w:before="44"/>
              <w:rPr>
                <w:sz w:val="18"/>
              </w:rPr>
            </w:pPr>
            <w:r>
              <w:rPr>
                <w:w w:val="99"/>
                <w:sz w:val="18"/>
              </w:rPr>
              <w:t>0</w:t>
            </w:r>
          </w:p>
        </w:tc>
        <w:tc>
          <w:tcPr>
            <w:tcW w:w="540" w:type="dxa"/>
          </w:tcPr>
          <w:p>
            <w:pPr>
              <w:pStyle w:val="TableParagraph"/>
              <w:spacing w:before="44"/>
              <w:ind w:right="1"/>
              <w:rPr>
                <w:sz w:val="18"/>
              </w:rPr>
            </w:pPr>
            <w:r>
              <w:rPr>
                <w:w w:val="99"/>
                <w:sz w:val="18"/>
              </w:rPr>
              <w:t>0</w:t>
            </w:r>
          </w:p>
        </w:tc>
        <w:tc>
          <w:tcPr>
            <w:tcW w:w="540" w:type="dxa"/>
          </w:tcPr>
          <w:p>
            <w:pPr>
              <w:pStyle w:val="TableParagraph"/>
              <w:spacing w:before="44"/>
              <w:ind w:right="1"/>
              <w:rPr>
                <w:sz w:val="18"/>
              </w:rPr>
            </w:pPr>
            <w:r>
              <w:rPr>
                <w:w w:val="99"/>
                <w:sz w:val="18"/>
              </w:rPr>
              <w:t>0</w:t>
            </w:r>
          </w:p>
        </w:tc>
        <w:tc>
          <w:tcPr>
            <w:tcW w:w="542" w:type="dxa"/>
          </w:tcPr>
          <w:p>
            <w:pPr>
              <w:pStyle w:val="TableParagraph"/>
              <w:spacing w:before="44"/>
              <w:rPr>
                <w:sz w:val="18"/>
              </w:rPr>
            </w:pPr>
            <w:r>
              <w:rPr>
                <w:w w:val="99"/>
                <w:sz w:val="18"/>
              </w:rPr>
              <w:t>1</w:t>
            </w:r>
          </w:p>
        </w:tc>
      </w:tr>
      <w:tr>
        <w:trPr>
          <w:trHeight w:val="310" w:hRule="exact"/>
        </w:trPr>
        <w:tc>
          <w:tcPr>
            <w:tcW w:w="4585" w:type="dxa"/>
            <w:tcBorders>
              <w:left w:val="single" w:sz="8" w:space="0" w:color="000000"/>
            </w:tcBorders>
          </w:tcPr>
          <w:p>
            <w:pPr>
              <w:pStyle w:val="TableParagraph"/>
              <w:spacing w:before="40"/>
              <w:ind w:left="62"/>
              <w:jc w:val="left"/>
              <w:rPr>
                <w:b/>
                <w:sz w:val="18"/>
              </w:rPr>
            </w:pPr>
            <w:r>
              <w:rPr>
                <w:b/>
                <w:color w:val="333333"/>
                <w:sz w:val="18"/>
              </w:rPr>
              <w:t>CHICONCUAC</w:t>
            </w:r>
          </w:p>
        </w:tc>
        <w:tc>
          <w:tcPr>
            <w:tcW w:w="543" w:type="dxa"/>
          </w:tcPr>
          <w:p>
            <w:pPr>
              <w:pStyle w:val="TableParagraph"/>
              <w:spacing w:before="44"/>
              <w:rPr>
                <w:sz w:val="18"/>
              </w:rPr>
            </w:pPr>
            <w:r>
              <w:rPr>
                <w:w w:val="99"/>
                <w:sz w:val="18"/>
              </w:rPr>
              <w:t>0</w:t>
            </w:r>
          </w:p>
        </w:tc>
        <w:tc>
          <w:tcPr>
            <w:tcW w:w="540" w:type="dxa"/>
          </w:tcPr>
          <w:p>
            <w:pPr>
              <w:pStyle w:val="TableParagraph"/>
              <w:spacing w:before="44"/>
              <w:ind w:right="1"/>
              <w:rPr>
                <w:sz w:val="18"/>
              </w:rPr>
            </w:pPr>
            <w:r>
              <w:rPr>
                <w:w w:val="99"/>
                <w:sz w:val="18"/>
              </w:rPr>
              <w:t>0</w:t>
            </w:r>
          </w:p>
        </w:tc>
        <w:tc>
          <w:tcPr>
            <w:tcW w:w="542" w:type="dxa"/>
          </w:tcPr>
          <w:p>
            <w:pPr>
              <w:pStyle w:val="TableParagraph"/>
              <w:spacing w:before="44"/>
              <w:rPr>
                <w:sz w:val="18"/>
              </w:rPr>
            </w:pPr>
            <w:r>
              <w:rPr>
                <w:w w:val="99"/>
                <w:sz w:val="18"/>
              </w:rPr>
              <w:t>0</w:t>
            </w:r>
          </w:p>
        </w:tc>
        <w:tc>
          <w:tcPr>
            <w:tcW w:w="540" w:type="dxa"/>
          </w:tcPr>
          <w:p>
            <w:pPr>
              <w:pStyle w:val="TableParagraph"/>
              <w:spacing w:before="44"/>
              <w:ind w:right="1"/>
              <w:rPr>
                <w:sz w:val="18"/>
              </w:rPr>
            </w:pPr>
            <w:r>
              <w:rPr>
                <w:w w:val="99"/>
                <w:sz w:val="18"/>
              </w:rPr>
              <w:t>0</w:t>
            </w:r>
          </w:p>
        </w:tc>
        <w:tc>
          <w:tcPr>
            <w:tcW w:w="540" w:type="dxa"/>
          </w:tcPr>
          <w:p>
            <w:pPr>
              <w:pStyle w:val="TableParagraph"/>
              <w:spacing w:before="44"/>
              <w:ind w:right="1"/>
              <w:rPr>
                <w:sz w:val="18"/>
              </w:rPr>
            </w:pPr>
            <w:r>
              <w:rPr>
                <w:w w:val="99"/>
                <w:sz w:val="18"/>
              </w:rPr>
              <w:t>0</w:t>
            </w:r>
          </w:p>
        </w:tc>
        <w:tc>
          <w:tcPr>
            <w:tcW w:w="542" w:type="dxa"/>
          </w:tcPr>
          <w:p>
            <w:pPr>
              <w:pStyle w:val="TableParagraph"/>
              <w:spacing w:before="44"/>
              <w:rPr>
                <w:sz w:val="18"/>
              </w:rPr>
            </w:pPr>
            <w:r>
              <w:rPr>
                <w:w w:val="99"/>
                <w:sz w:val="18"/>
              </w:rPr>
              <w:t>2</w:t>
            </w:r>
          </w:p>
        </w:tc>
      </w:tr>
    </w:tbl>
    <w:p>
      <w:pPr>
        <w:spacing w:before="44"/>
        <w:ind w:left="1741" w:right="0" w:firstLine="0"/>
        <w:jc w:val="left"/>
        <w:rPr>
          <w:sz w:val="18"/>
        </w:rPr>
      </w:pPr>
      <w:r>
        <w:rPr>
          <w:sz w:val="18"/>
        </w:rPr>
        <w:t>Fuente: Elaboración propia con datos del INFOEM.</w:t>
      </w:r>
    </w:p>
    <w:p>
      <w:pPr>
        <w:spacing w:after="0"/>
        <w:jc w:val="left"/>
        <w:rPr>
          <w:sz w:val="18"/>
        </w:rPr>
        <w:sectPr>
          <w:pgSz w:w="15840" w:h="12240" w:orient="landscape"/>
          <w:pgMar w:header="0" w:footer="975" w:top="1140" w:bottom="1220" w:left="2260" w:right="2260"/>
        </w:sectPr>
      </w:pPr>
    </w:p>
    <w:tbl>
      <w:tblPr>
        <w:tblW w:w="0" w:type="auto"/>
        <w:jc w:val="left"/>
        <w:tblInd w:w="18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48"/>
        <w:gridCol w:w="1018"/>
        <w:gridCol w:w="982"/>
      </w:tblGrid>
      <w:tr>
        <w:trPr>
          <w:trHeight w:val="424" w:hRule="exact"/>
        </w:trPr>
        <w:tc>
          <w:tcPr>
            <w:tcW w:w="5247" w:type="dxa"/>
            <w:gridSpan w:val="3"/>
            <w:shd w:val="clear" w:color="auto" w:fill="C5DFB3"/>
          </w:tcPr>
          <w:p>
            <w:pPr>
              <w:pStyle w:val="TableParagraph"/>
              <w:ind w:left="1404" w:right="238" w:hanging="1146"/>
              <w:jc w:val="left"/>
              <w:rPr>
                <w:b/>
                <w:sz w:val="18"/>
              </w:rPr>
            </w:pPr>
            <w:r>
              <w:rPr>
                <w:b/>
                <w:sz w:val="18"/>
              </w:rPr>
              <w:t>Anexo 30. Grados de escolaridad de los municipios del Estado de México 2005-2010</w:t>
            </w:r>
          </w:p>
        </w:tc>
      </w:tr>
      <w:tr>
        <w:trPr>
          <w:trHeight w:val="310" w:hRule="exact"/>
        </w:trPr>
        <w:tc>
          <w:tcPr>
            <w:tcW w:w="3248" w:type="dxa"/>
            <w:shd w:val="clear" w:color="auto" w:fill="C5DFB3"/>
          </w:tcPr>
          <w:p>
            <w:pPr>
              <w:pStyle w:val="TableParagraph"/>
              <w:spacing w:before="39"/>
              <w:ind w:left="67"/>
              <w:jc w:val="left"/>
              <w:rPr>
                <w:b/>
                <w:sz w:val="18"/>
              </w:rPr>
            </w:pPr>
            <w:r>
              <w:rPr>
                <w:b/>
                <w:sz w:val="18"/>
              </w:rPr>
              <w:t>Municipio</w:t>
            </w:r>
          </w:p>
        </w:tc>
        <w:tc>
          <w:tcPr>
            <w:tcW w:w="1018" w:type="dxa"/>
            <w:shd w:val="clear" w:color="auto" w:fill="C5DFB3"/>
          </w:tcPr>
          <w:p>
            <w:pPr>
              <w:pStyle w:val="TableParagraph"/>
              <w:spacing w:before="85"/>
              <w:ind w:left="259" w:right="255"/>
              <w:rPr>
                <w:b/>
                <w:sz w:val="18"/>
              </w:rPr>
            </w:pPr>
            <w:r>
              <w:rPr>
                <w:b/>
                <w:sz w:val="18"/>
              </w:rPr>
              <w:t>2005</w:t>
            </w:r>
          </w:p>
        </w:tc>
        <w:tc>
          <w:tcPr>
            <w:tcW w:w="982" w:type="dxa"/>
            <w:shd w:val="clear" w:color="auto" w:fill="C5DFB3"/>
          </w:tcPr>
          <w:p>
            <w:pPr>
              <w:pStyle w:val="TableParagraph"/>
              <w:spacing w:before="85"/>
              <w:ind w:left="285" w:right="-2"/>
              <w:jc w:val="left"/>
              <w:rPr>
                <w:b/>
                <w:sz w:val="18"/>
              </w:rPr>
            </w:pPr>
            <w:r>
              <w:rPr>
                <w:b/>
                <w:sz w:val="18"/>
              </w:rPr>
              <w:t>2010</w:t>
            </w:r>
          </w:p>
        </w:tc>
      </w:tr>
      <w:tr>
        <w:trPr>
          <w:trHeight w:val="322" w:hRule="exact"/>
        </w:trPr>
        <w:tc>
          <w:tcPr>
            <w:tcW w:w="3248" w:type="dxa"/>
          </w:tcPr>
          <w:p>
            <w:pPr>
              <w:pStyle w:val="TableParagraph"/>
              <w:spacing w:line="199" w:lineRule="exact"/>
              <w:ind w:left="67"/>
              <w:jc w:val="left"/>
              <w:rPr>
                <w:b/>
                <w:sz w:val="18"/>
              </w:rPr>
            </w:pPr>
            <w:r>
              <w:rPr>
                <w:b/>
                <w:color w:val="333333"/>
                <w:sz w:val="18"/>
              </w:rPr>
              <w:t>ACAMBAY</w:t>
            </w:r>
          </w:p>
        </w:tc>
        <w:tc>
          <w:tcPr>
            <w:tcW w:w="1018" w:type="dxa"/>
          </w:tcPr>
          <w:p>
            <w:pPr>
              <w:pStyle w:val="TableParagraph"/>
              <w:spacing w:line="203" w:lineRule="exact"/>
              <w:ind w:left="258" w:right="257"/>
              <w:rPr>
                <w:sz w:val="18"/>
              </w:rPr>
            </w:pPr>
            <w:r>
              <w:rPr>
                <w:sz w:val="18"/>
              </w:rPr>
              <w:t>6.10</w:t>
            </w:r>
          </w:p>
        </w:tc>
        <w:tc>
          <w:tcPr>
            <w:tcW w:w="982" w:type="dxa"/>
          </w:tcPr>
          <w:p>
            <w:pPr>
              <w:pStyle w:val="TableParagraph"/>
              <w:spacing w:line="203" w:lineRule="exact"/>
              <w:ind w:left="309" w:right="-2"/>
              <w:jc w:val="left"/>
              <w:rPr>
                <w:sz w:val="18"/>
              </w:rPr>
            </w:pPr>
            <w:r>
              <w:rPr>
                <w:sz w:val="18"/>
              </w:rPr>
              <w:t>6.85</w:t>
            </w:r>
          </w:p>
        </w:tc>
      </w:tr>
      <w:tr>
        <w:trPr>
          <w:trHeight w:val="319" w:hRule="exact"/>
        </w:trPr>
        <w:tc>
          <w:tcPr>
            <w:tcW w:w="3248" w:type="dxa"/>
          </w:tcPr>
          <w:p>
            <w:pPr>
              <w:pStyle w:val="TableParagraph"/>
              <w:spacing w:line="199" w:lineRule="exact"/>
              <w:ind w:left="67"/>
              <w:jc w:val="left"/>
              <w:rPr>
                <w:b/>
                <w:sz w:val="18"/>
              </w:rPr>
            </w:pPr>
            <w:r>
              <w:rPr>
                <w:b/>
                <w:color w:val="333333"/>
                <w:sz w:val="18"/>
              </w:rPr>
              <w:t>ACOLMAN</w:t>
            </w:r>
          </w:p>
        </w:tc>
        <w:tc>
          <w:tcPr>
            <w:tcW w:w="1018" w:type="dxa"/>
          </w:tcPr>
          <w:p>
            <w:pPr>
              <w:pStyle w:val="TableParagraph"/>
              <w:spacing w:line="203" w:lineRule="exact"/>
              <w:ind w:left="258" w:right="257"/>
              <w:rPr>
                <w:sz w:val="18"/>
              </w:rPr>
            </w:pPr>
            <w:r>
              <w:rPr>
                <w:sz w:val="18"/>
              </w:rPr>
              <w:t>8.80</w:t>
            </w:r>
          </w:p>
        </w:tc>
        <w:tc>
          <w:tcPr>
            <w:tcW w:w="982" w:type="dxa"/>
          </w:tcPr>
          <w:p>
            <w:pPr>
              <w:pStyle w:val="TableParagraph"/>
              <w:spacing w:line="203" w:lineRule="exact"/>
              <w:ind w:left="309" w:right="-2"/>
              <w:jc w:val="left"/>
              <w:rPr>
                <w:sz w:val="18"/>
              </w:rPr>
            </w:pPr>
            <w:r>
              <w:rPr>
                <w:sz w:val="18"/>
              </w:rPr>
              <w:t>9.04</w:t>
            </w:r>
          </w:p>
        </w:tc>
      </w:tr>
      <w:tr>
        <w:trPr>
          <w:trHeight w:val="322" w:hRule="exact"/>
        </w:trPr>
        <w:tc>
          <w:tcPr>
            <w:tcW w:w="3248" w:type="dxa"/>
          </w:tcPr>
          <w:p>
            <w:pPr>
              <w:pStyle w:val="TableParagraph"/>
              <w:spacing w:line="199" w:lineRule="exact"/>
              <w:ind w:left="67"/>
              <w:jc w:val="left"/>
              <w:rPr>
                <w:b/>
                <w:sz w:val="18"/>
              </w:rPr>
            </w:pPr>
            <w:r>
              <w:rPr>
                <w:b/>
                <w:color w:val="333333"/>
                <w:sz w:val="18"/>
              </w:rPr>
              <w:t>ACULCO</w:t>
            </w:r>
          </w:p>
        </w:tc>
        <w:tc>
          <w:tcPr>
            <w:tcW w:w="1018" w:type="dxa"/>
          </w:tcPr>
          <w:p>
            <w:pPr>
              <w:pStyle w:val="TableParagraph"/>
              <w:spacing w:line="203" w:lineRule="exact"/>
              <w:ind w:left="258" w:right="257"/>
              <w:rPr>
                <w:sz w:val="18"/>
              </w:rPr>
            </w:pPr>
            <w:r>
              <w:rPr>
                <w:sz w:val="18"/>
              </w:rPr>
              <w:t>6.00</w:t>
            </w:r>
          </w:p>
        </w:tc>
        <w:tc>
          <w:tcPr>
            <w:tcW w:w="982" w:type="dxa"/>
          </w:tcPr>
          <w:p>
            <w:pPr>
              <w:pStyle w:val="TableParagraph"/>
              <w:spacing w:line="203" w:lineRule="exact"/>
              <w:ind w:left="309" w:right="-2"/>
              <w:jc w:val="left"/>
              <w:rPr>
                <w:sz w:val="18"/>
              </w:rPr>
            </w:pPr>
            <w:r>
              <w:rPr>
                <w:sz w:val="18"/>
              </w:rPr>
              <w:t>6.67</w:t>
            </w:r>
          </w:p>
        </w:tc>
      </w:tr>
      <w:tr>
        <w:trPr>
          <w:trHeight w:val="319" w:hRule="exact"/>
        </w:trPr>
        <w:tc>
          <w:tcPr>
            <w:tcW w:w="3248" w:type="dxa"/>
          </w:tcPr>
          <w:p>
            <w:pPr>
              <w:pStyle w:val="TableParagraph"/>
              <w:spacing w:line="199" w:lineRule="exact"/>
              <w:ind w:left="67"/>
              <w:jc w:val="left"/>
              <w:rPr>
                <w:b/>
                <w:sz w:val="18"/>
              </w:rPr>
            </w:pPr>
            <w:r>
              <w:rPr>
                <w:b/>
                <w:color w:val="333333"/>
                <w:sz w:val="18"/>
              </w:rPr>
              <w:t>ALMOLOYA DE ALQUISIRAS</w:t>
            </w:r>
          </w:p>
        </w:tc>
        <w:tc>
          <w:tcPr>
            <w:tcW w:w="1018" w:type="dxa"/>
          </w:tcPr>
          <w:p>
            <w:pPr>
              <w:pStyle w:val="TableParagraph"/>
              <w:spacing w:line="203" w:lineRule="exact"/>
              <w:ind w:left="258" w:right="257"/>
              <w:rPr>
                <w:sz w:val="18"/>
              </w:rPr>
            </w:pPr>
            <w:r>
              <w:rPr>
                <w:sz w:val="18"/>
              </w:rPr>
              <w:t>5.90</w:t>
            </w:r>
          </w:p>
        </w:tc>
        <w:tc>
          <w:tcPr>
            <w:tcW w:w="982" w:type="dxa"/>
          </w:tcPr>
          <w:p>
            <w:pPr>
              <w:pStyle w:val="TableParagraph"/>
              <w:spacing w:line="203" w:lineRule="exact"/>
              <w:ind w:left="309" w:right="-2"/>
              <w:jc w:val="left"/>
              <w:rPr>
                <w:sz w:val="18"/>
              </w:rPr>
            </w:pPr>
            <w:r>
              <w:rPr>
                <w:sz w:val="18"/>
              </w:rPr>
              <w:t>6.75</w:t>
            </w:r>
          </w:p>
        </w:tc>
      </w:tr>
      <w:tr>
        <w:trPr>
          <w:trHeight w:val="322" w:hRule="exact"/>
        </w:trPr>
        <w:tc>
          <w:tcPr>
            <w:tcW w:w="3248" w:type="dxa"/>
          </w:tcPr>
          <w:p>
            <w:pPr>
              <w:pStyle w:val="TableParagraph"/>
              <w:spacing w:line="201" w:lineRule="exact"/>
              <w:ind w:left="67"/>
              <w:jc w:val="left"/>
              <w:rPr>
                <w:b/>
                <w:sz w:val="18"/>
              </w:rPr>
            </w:pPr>
            <w:r>
              <w:rPr>
                <w:b/>
                <w:color w:val="333333"/>
                <w:sz w:val="18"/>
              </w:rPr>
              <w:t>ALMOLOYA DE JUAREZ</w:t>
            </w:r>
          </w:p>
        </w:tc>
        <w:tc>
          <w:tcPr>
            <w:tcW w:w="1018" w:type="dxa"/>
          </w:tcPr>
          <w:p>
            <w:pPr>
              <w:pStyle w:val="TableParagraph"/>
              <w:spacing w:line="206" w:lineRule="exact"/>
              <w:ind w:left="258" w:right="257"/>
              <w:rPr>
                <w:sz w:val="18"/>
              </w:rPr>
            </w:pPr>
            <w:r>
              <w:rPr>
                <w:sz w:val="18"/>
              </w:rPr>
              <w:t>6.50</w:t>
            </w:r>
          </w:p>
        </w:tc>
        <w:tc>
          <w:tcPr>
            <w:tcW w:w="982" w:type="dxa"/>
          </w:tcPr>
          <w:p>
            <w:pPr>
              <w:pStyle w:val="TableParagraph"/>
              <w:spacing w:line="206" w:lineRule="exact"/>
              <w:ind w:left="309" w:right="-2"/>
              <w:jc w:val="left"/>
              <w:rPr>
                <w:sz w:val="18"/>
              </w:rPr>
            </w:pPr>
            <w:r>
              <w:rPr>
                <w:sz w:val="18"/>
              </w:rPr>
              <w:t>7.30</w:t>
            </w:r>
          </w:p>
        </w:tc>
      </w:tr>
      <w:tr>
        <w:trPr>
          <w:trHeight w:val="319" w:hRule="exact"/>
        </w:trPr>
        <w:tc>
          <w:tcPr>
            <w:tcW w:w="3248" w:type="dxa"/>
          </w:tcPr>
          <w:p>
            <w:pPr>
              <w:pStyle w:val="TableParagraph"/>
              <w:spacing w:line="199" w:lineRule="exact"/>
              <w:ind w:left="67"/>
              <w:jc w:val="left"/>
              <w:rPr>
                <w:b/>
                <w:sz w:val="18"/>
              </w:rPr>
            </w:pPr>
            <w:r>
              <w:rPr>
                <w:b/>
                <w:color w:val="333333"/>
                <w:sz w:val="18"/>
              </w:rPr>
              <w:t>ALMOLOYA DEL RIO</w:t>
            </w:r>
          </w:p>
        </w:tc>
        <w:tc>
          <w:tcPr>
            <w:tcW w:w="1018" w:type="dxa"/>
          </w:tcPr>
          <w:p>
            <w:pPr>
              <w:pStyle w:val="TableParagraph"/>
              <w:spacing w:line="203" w:lineRule="exact"/>
              <w:ind w:left="258" w:right="257"/>
              <w:rPr>
                <w:sz w:val="18"/>
              </w:rPr>
            </w:pPr>
            <w:r>
              <w:rPr>
                <w:sz w:val="18"/>
              </w:rPr>
              <w:t>8.50</w:t>
            </w:r>
          </w:p>
        </w:tc>
        <w:tc>
          <w:tcPr>
            <w:tcW w:w="982" w:type="dxa"/>
          </w:tcPr>
          <w:p>
            <w:pPr>
              <w:pStyle w:val="TableParagraph"/>
              <w:spacing w:line="203" w:lineRule="exact"/>
              <w:ind w:left="309" w:right="-2"/>
              <w:jc w:val="left"/>
              <w:rPr>
                <w:sz w:val="18"/>
              </w:rPr>
            </w:pPr>
            <w:r>
              <w:rPr>
                <w:sz w:val="18"/>
              </w:rPr>
              <w:t>8.88</w:t>
            </w:r>
          </w:p>
        </w:tc>
      </w:tr>
      <w:tr>
        <w:trPr>
          <w:trHeight w:val="322" w:hRule="exact"/>
        </w:trPr>
        <w:tc>
          <w:tcPr>
            <w:tcW w:w="3248" w:type="dxa"/>
          </w:tcPr>
          <w:p>
            <w:pPr>
              <w:pStyle w:val="TableParagraph"/>
              <w:spacing w:line="201" w:lineRule="exact"/>
              <w:ind w:left="67"/>
              <w:jc w:val="left"/>
              <w:rPr>
                <w:b/>
                <w:sz w:val="18"/>
              </w:rPr>
            </w:pPr>
            <w:r>
              <w:rPr>
                <w:b/>
                <w:color w:val="333333"/>
                <w:sz w:val="18"/>
              </w:rPr>
              <w:t>AMANALCO</w:t>
            </w:r>
          </w:p>
        </w:tc>
        <w:tc>
          <w:tcPr>
            <w:tcW w:w="1018" w:type="dxa"/>
          </w:tcPr>
          <w:p>
            <w:pPr>
              <w:pStyle w:val="TableParagraph"/>
              <w:spacing w:line="206" w:lineRule="exact"/>
              <w:ind w:left="258" w:right="257"/>
              <w:rPr>
                <w:sz w:val="18"/>
              </w:rPr>
            </w:pPr>
            <w:r>
              <w:rPr>
                <w:sz w:val="18"/>
              </w:rPr>
              <w:t>5.50</w:t>
            </w:r>
          </w:p>
        </w:tc>
        <w:tc>
          <w:tcPr>
            <w:tcW w:w="982" w:type="dxa"/>
          </w:tcPr>
          <w:p>
            <w:pPr>
              <w:pStyle w:val="TableParagraph"/>
              <w:spacing w:line="206" w:lineRule="exact"/>
              <w:ind w:left="309" w:right="-2"/>
              <w:jc w:val="left"/>
              <w:rPr>
                <w:sz w:val="18"/>
              </w:rPr>
            </w:pPr>
            <w:r>
              <w:rPr>
                <w:sz w:val="18"/>
              </w:rPr>
              <w:t>6.17</w:t>
            </w:r>
          </w:p>
        </w:tc>
      </w:tr>
      <w:tr>
        <w:trPr>
          <w:trHeight w:val="319" w:hRule="exact"/>
        </w:trPr>
        <w:tc>
          <w:tcPr>
            <w:tcW w:w="3248" w:type="dxa"/>
          </w:tcPr>
          <w:p>
            <w:pPr>
              <w:pStyle w:val="TableParagraph"/>
              <w:spacing w:line="199" w:lineRule="exact"/>
              <w:ind w:left="67"/>
              <w:jc w:val="left"/>
              <w:rPr>
                <w:b/>
                <w:sz w:val="18"/>
              </w:rPr>
            </w:pPr>
            <w:r>
              <w:rPr>
                <w:b/>
                <w:color w:val="333333"/>
                <w:sz w:val="18"/>
              </w:rPr>
              <w:t>AMATEPEC</w:t>
            </w:r>
          </w:p>
        </w:tc>
        <w:tc>
          <w:tcPr>
            <w:tcW w:w="1018" w:type="dxa"/>
          </w:tcPr>
          <w:p>
            <w:pPr>
              <w:pStyle w:val="TableParagraph"/>
              <w:spacing w:line="203" w:lineRule="exact"/>
              <w:ind w:left="258" w:right="257"/>
              <w:rPr>
                <w:sz w:val="18"/>
              </w:rPr>
            </w:pPr>
            <w:r>
              <w:rPr>
                <w:sz w:val="18"/>
              </w:rPr>
              <w:t>5.40</w:t>
            </w:r>
          </w:p>
        </w:tc>
        <w:tc>
          <w:tcPr>
            <w:tcW w:w="982" w:type="dxa"/>
          </w:tcPr>
          <w:p>
            <w:pPr>
              <w:pStyle w:val="TableParagraph"/>
              <w:spacing w:line="203" w:lineRule="exact"/>
              <w:ind w:left="309" w:right="-2"/>
              <w:jc w:val="left"/>
              <w:rPr>
                <w:sz w:val="18"/>
              </w:rPr>
            </w:pPr>
            <w:r>
              <w:rPr>
                <w:sz w:val="18"/>
              </w:rPr>
              <w:t>6.09</w:t>
            </w:r>
          </w:p>
        </w:tc>
      </w:tr>
      <w:tr>
        <w:trPr>
          <w:trHeight w:val="322" w:hRule="exact"/>
        </w:trPr>
        <w:tc>
          <w:tcPr>
            <w:tcW w:w="3248" w:type="dxa"/>
          </w:tcPr>
          <w:p>
            <w:pPr>
              <w:pStyle w:val="TableParagraph"/>
              <w:spacing w:line="201" w:lineRule="exact"/>
              <w:ind w:left="67"/>
              <w:jc w:val="left"/>
              <w:rPr>
                <w:b/>
                <w:sz w:val="18"/>
              </w:rPr>
            </w:pPr>
            <w:r>
              <w:rPr>
                <w:b/>
                <w:color w:val="333333"/>
                <w:sz w:val="18"/>
              </w:rPr>
              <w:t>AMECAMECA</w:t>
            </w:r>
          </w:p>
        </w:tc>
        <w:tc>
          <w:tcPr>
            <w:tcW w:w="1018" w:type="dxa"/>
          </w:tcPr>
          <w:p>
            <w:pPr>
              <w:pStyle w:val="TableParagraph"/>
              <w:spacing w:line="206" w:lineRule="exact"/>
              <w:ind w:left="258" w:right="257"/>
              <w:rPr>
                <w:sz w:val="18"/>
              </w:rPr>
            </w:pPr>
            <w:r>
              <w:rPr>
                <w:sz w:val="18"/>
              </w:rPr>
              <w:t>8.60</w:t>
            </w:r>
          </w:p>
        </w:tc>
        <w:tc>
          <w:tcPr>
            <w:tcW w:w="982" w:type="dxa"/>
          </w:tcPr>
          <w:p>
            <w:pPr>
              <w:pStyle w:val="TableParagraph"/>
              <w:spacing w:line="206" w:lineRule="exact"/>
              <w:ind w:left="309" w:right="-2"/>
              <w:jc w:val="left"/>
              <w:rPr>
                <w:sz w:val="18"/>
              </w:rPr>
            </w:pPr>
            <w:r>
              <w:rPr>
                <w:sz w:val="18"/>
              </w:rPr>
              <w:t>9.03</w:t>
            </w:r>
          </w:p>
        </w:tc>
      </w:tr>
      <w:tr>
        <w:trPr>
          <w:trHeight w:val="322" w:hRule="exact"/>
        </w:trPr>
        <w:tc>
          <w:tcPr>
            <w:tcW w:w="3248" w:type="dxa"/>
          </w:tcPr>
          <w:p>
            <w:pPr>
              <w:pStyle w:val="TableParagraph"/>
              <w:spacing w:line="199" w:lineRule="exact"/>
              <w:ind w:left="67"/>
              <w:jc w:val="left"/>
              <w:rPr>
                <w:b/>
                <w:sz w:val="18"/>
              </w:rPr>
            </w:pPr>
            <w:r>
              <w:rPr>
                <w:b/>
                <w:color w:val="333333"/>
                <w:sz w:val="18"/>
              </w:rPr>
              <w:t>APAXCO</w:t>
            </w:r>
          </w:p>
        </w:tc>
        <w:tc>
          <w:tcPr>
            <w:tcW w:w="1018" w:type="dxa"/>
          </w:tcPr>
          <w:p>
            <w:pPr>
              <w:pStyle w:val="TableParagraph"/>
              <w:spacing w:line="204" w:lineRule="exact"/>
              <w:ind w:left="258" w:right="257"/>
              <w:rPr>
                <w:sz w:val="18"/>
              </w:rPr>
            </w:pPr>
            <w:r>
              <w:rPr>
                <w:sz w:val="18"/>
              </w:rPr>
              <w:t>7.90</w:t>
            </w:r>
          </w:p>
        </w:tc>
        <w:tc>
          <w:tcPr>
            <w:tcW w:w="982" w:type="dxa"/>
          </w:tcPr>
          <w:p>
            <w:pPr>
              <w:pStyle w:val="TableParagraph"/>
              <w:spacing w:line="204" w:lineRule="exact"/>
              <w:ind w:left="309" w:right="-2"/>
              <w:jc w:val="left"/>
              <w:rPr>
                <w:sz w:val="18"/>
              </w:rPr>
            </w:pPr>
            <w:r>
              <w:rPr>
                <w:sz w:val="18"/>
              </w:rPr>
              <w:t>8.39</w:t>
            </w:r>
          </w:p>
        </w:tc>
      </w:tr>
      <w:tr>
        <w:trPr>
          <w:trHeight w:val="319" w:hRule="exact"/>
        </w:trPr>
        <w:tc>
          <w:tcPr>
            <w:tcW w:w="3248" w:type="dxa"/>
          </w:tcPr>
          <w:p>
            <w:pPr>
              <w:pStyle w:val="TableParagraph"/>
              <w:spacing w:line="199" w:lineRule="exact"/>
              <w:ind w:left="67"/>
              <w:jc w:val="left"/>
              <w:rPr>
                <w:b/>
                <w:sz w:val="18"/>
              </w:rPr>
            </w:pPr>
            <w:r>
              <w:rPr>
                <w:b/>
                <w:color w:val="333333"/>
                <w:sz w:val="18"/>
              </w:rPr>
              <w:t>ATENCO</w:t>
            </w:r>
          </w:p>
        </w:tc>
        <w:tc>
          <w:tcPr>
            <w:tcW w:w="1018" w:type="dxa"/>
          </w:tcPr>
          <w:p>
            <w:pPr>
              <w:pStyle w:val="TableParagraph"/>
              <w:spacing w:line="203" w:lineRule="exact"/>
              <w:ind w:left="258" w:right="257"/>
              <w:rPr>
                <w:sz w:val="18"/>
              </w:rPr>
            </w:pPr>
            <w:r>
              <w:rPr>
                <w:sz w:val="18"/>
              </w:rPr>
              <w:t>8.30</w:t>
            </w:r>
          </w:p>
        </w:tc>
        <w:tc>
          <w:tcPr>
            <w:tcW w:w="982" w:type="dxa"/>
          </w:tcPr>
          <w:p>
            <w:pPr>
              <w:pStyle w:val="TableParagraph"/>
              <w:spacing w:line="203" w:lineRule="exact"/>
              <w:ind w:left="309" w:right="-2"/>
              <w:jc w:val="left"/>
              <w:rPr>
                <w:sz w:val="18"/>
              </w:rPr>
            </w:pPr>
            <w:r>
              <w:rPr>
                <w:sz w:val="18"/>
              </w:rPr>
              <w:t>8.65</w:t>
            </w:r>
          </w:p>
        </w:tc>
      </w:tr>
      <w:tr>
        <w:trPr>
          <w:trHeight w:val="322" w:hRule="exact"/>
        </w:trPr>
        <w:tc>
          <w:tcPr>
            <w:tcW w:w="3248" w:type="dxa"/>
          </w:tcPr>
          <w:p>
            <w:pPr>
              <w:pStyle w:val="TableParagraph"/>
              <w:spacing w:line="199" w:lineRule="exact"/>
              <w:ind w:left="67"/>
              <w:jc w:val="left"/>
              <w:rPr>
                <w:b/>
                <w:sz w:val="18"/>
              </w:rPr>
            </w:pPr>
            <w:r>
              <w:rPr>
                <w:b/>
                <w:color w:val="333333"/>
                <w:sz w:val="18"/>
              </w:rPr>
              <w:t>ATIZAPAN</w:t>
            </w:r>
          </w:p>
        </w:tc>
        <w:tc>
          <w:tcPr>
            <w:tcW w:w="1018" w:type="dxa"/>
          </w:tcPr>
          <w:p>
            <w:pPr>
              <w:pStyle w:val="TableParagraph"/>
              <w:spacing w:line="203" w:lineRule="exact"/>
              <w:ind w:left="258" w:right="257"/>
              <w:rPr>
                <w:sz w:val="18"/>
              </w:rPr>
            </w:pPr>
            <w:r>
              <w:rPr>
                <w:sz w:val="18"/>
              </w:rPr>
              <w:t>8.00</w:t>
            </w:r>
          </w:p>
        </w:tc>
        <w:tc>
          <w:tcPr>
            <w:tcW w:w="982" w:type="dxa"/>
          </w:tcPr>
          <w:p>
            <w:pPr>
              <w:pStyle w:val="TableParagraph"/>
              <w:spacing w:line="203" w:lineRule="exact"/>
              <w:ind w:left="309" w:right="-2"/>
              <w:jc w:val="left"/>
              <w:rPr>
                <w:sz w:val="18"/>
              </w:rPr>
            </w:pPr>
            <w:r>
              <w:rPr>
                <w:sz w:val="18"/>
              </w:rPr>
              <w:t>8.40</w:t>
            </w:r>
          </w:p>
        </w:tc>
      </w:tr>
      <w:tr>
        <w:trPr>
          <w:trHeight w:val="319" w:hRule="exact"/>
        </w:trPr>
        <w:tc>
          <w:tcPr>
            <w:tcW w:w="3248" w:type="dxa"/>
          </w:tcPr>
          <w:p>
            <w:pPr>
              <w:pStyle w:val="TableParagraph"/>
              <w:spacing w:line="199" w:lineRule="exact"/>
              <w:ind w:left="67"/>
              <w:jc w:val="left"/>
              <w:rPr>
                <w:b/>
                <w:sz w:val="18"/>
              </w:rPr>
            </w:pPr>
            <w:r>
              <w:rPr>
                <w:b/>
                <w:color w:val="333333"/>
                <w:sz w:val="18"/>
              </w:rPr>
              <w:t>ATIZAPAN DE ZARAGOZA</w:t>
            </w:r>
          </w:p>
        </w:tc>
        <w:tc>
          <w:tcPr>
            <w:tcW w:w="1018" w:type="dxa"/>
          </w:tcPr>
          <w:p>
            <w:pPr>
              <w:pStyle w:val="TableParagraph"/>
              <w:spacing w:line="203" w:lineRule="exact"/>
              <w:ind w:left="258" w:right="257"/>
              <w:rPr>
                <w:sz w:val="18"/>
              </w:rPr>
            </w:pPr>
            <w:r>
              <w:rPr>
                <w:sz w:val="18"/>
              </w:rPr>
              <w:t>9.70</w:t>
            </w:r>
          </w:p>
        </w:tc>
        <w:tc>
          <w:tcPr>
            <w:tcW w:w="982" w:type="dxa"/>
          </w:tcPr>
          <w:p>
            <w:pPr>
              <w:pStyle w:val="TableParagraph"/>
              <w:spacing w:line="203" w:lineRule="exact"/>
              <w:ind w:left="259" w:right="-2"/>
              <w:jc w:val="left"/>
              <w:rPr>
                <w:sz w:val="18"/>
              </w:rPr>
            </w:pPr>
            <w:r>
              <w:rPr>
                <w:sz w:val="18"/>
              </w:rPr>
              <w:t>10.10</w:t>
            </w:r>
          </w:p>
        </w:tc>
      </w:tr>
      <w:tr>
        <w:trPr>
          <w:trHeight w:val="322" w:hRule="exact"/>
        </w:trPr>
        <w:tc>
          <w:tcPr>
            <w:tcW w:w="3248" w:type="dxa"/>
          </w:tcPr>
          <w:p>
            <w:pPr>
              <w:pStyle w:val="TableParagraph"/>
              <w:spacing w:line="199" w:lineRule="exact"/>
              <w:ind w:left="67"/>
              <w:jc w:val="left"/>
              <w:rPr>
                <w:b/>
                <w:sz w:val="18"/>
              </w:rPr>
            </w:pPr>
            <w:r>
              <w:rPr>
                <w:b/>
                <w:color w:val="333333"/>
                <w:sz w:val="18"/>
              </w:rPr>
              <w:t>ATLACOMULCO</w:t>
            </w:r>
          </w:p>
        </w:tc>
        <w:tc>
          <w:tcPr>
            <w:tcW w:w="1018" w:type="dxa"/>
          </w:tcPr>
          <w:p>
            <w:pPr>
              <w:pStyle w:val="TableParagraph"/>
              <w:spacing w:line="203" w:lineRule="exact"/>
              <w:ind w:left="258" w:right="257"/>
              <w:rPr>
                <w:sz w:val="18"/>
              </w:rPr>
            </w:pPr>
            <w:r>
              <w:rPr>
                <w:sz w:val="18"/>
              </w:rPr>
              <w:t>7.90</w:t>
            </w:r>
          </w:p>
        </w:tc>
        <w:tc>
          <w:tcPr>
            <w:tcW w:w="982" w:type="dxa"/>
          </w:tcPr>
          <w:p>
            <w:pPr>
              <w:pStyle w:val="TableParagraph"/>
              <w:spacing w:line="203" w:lineRule="exact"/>
              <w:ind w:left="309" w:right="-2"/>
              <w:jc w:val="left"/>
              <w:rPr>
                <w:sz w:val="18"/>
              </w:rPr>
            </w:pPr>
            <w:r>
              <w:rPr>
                <w:sz w:val="18"/>
              </w:rPr>
              <w:t>8.48</w:t>
            </w:r>
          </w:p>
        </w:tc>
      </w:tr>
      <w:tr>
        <w:trPr>
          <w:trHeight w:val="319" w:hRule="exact"/>
        </w:trPr>
        <w:tc>
          <w:tcPr>
            <w:tcW w:w="3248" w:type="dxa"/>
          </w:tcPr>
          <w:p>
            <w:pPr>
              <w:pStyle w:val="TableParagraph"/>
              <w:spacing w:line="199" w:lineRule="exact"/>
              <w:ind w:left="67"/>
              <w:jc w:val="left"/>
              <w:rPr>
                <w:b/>
                <w:sz w:val="18"/>
              </w:rPr>
            </w:pPr>
            <w:r>
              <w:rPr>
                <w:b/>
                <w:color w:val="333333"/>
                <w:sz w:val="18"/>
              </w:rPr>
              <w:t>ATLAUTLA</w:t>
            </w:r>
          </w:p>
        </w:tc>
        <w:tc>
          <w:tcPr>
            <w:tcW w:w="1018" w:type="dxa"/>
          </w:tcPr>
          <w:p>
            <w:pPr>
              <w:pStyle w:val="TableParagraph"/>
              <w:spacing w:line="203" w:lineRule="exact"/>
              <w:ind w:left="258" w:right="257"/>
              <w:rPr>
                <w:sz w:val="18"/>
              </w:rPr>
            </w:pPr>
            <w:r>
              <w:rPr>
                <w:sz w:val="18"/>
              </w:rPr>
              <w:t>7.20</w:t>
            </w:r>
          </w:p>
        </w:tc>
        <w:tc>
          <w:tcPr>
            <w:tcW w:w="982" w:type="dxa"/>
          </w:tcPr>
          <w:p>
            <w:pPr>
              <w:pStyle w:val="TableParagraph"/>
              <w:spacing w:line="203" w:lineRule="exact"/>
              <w:ind w:left="309" w:right="-2"/>
              <w:jc w:val="left"/>
              <w:rPr>
                <w:sz w:val="18"/>
              </w:rPr>
            </w:pPr>
            <w:r>
              <w:rPr>
                <w:sz w:val="18"/>
              </w:rPr>
              <w:t>7.77</w:t>
            </w:r>
          </w:p>
        </w:tc>
      </w:tr>
      <w:tr>
        <w:trPr>
          <w:trHeight w:val="322" w:hRule="exact"/>
        </w:trPr>
        <w:tc>
          <w:tcPr>
            <w:tcW w:w="3248" w:type="dxa"/>
          </w:tcPr>
          <w:p>
            <w:pPr>
              <w:pStyle w:val="TableParagraph"/>
              <w:spacing w:line="199" w:lineRule="exact"/>
              <w:ind w:left="67"/>
              <w:jc w:val="left"/>
              <w:rPr>
                <w:b/>
                <w:sz w:val="18"/>
              </w:rPr>
            </w:pPr>
            <w:r>
              <w:rPr>
                <w:b/>
                <w:color w:val="333333"/>
                <w:sz w:val="18"/>
              </w:rPr>
              <w:t>AXAPUSCO</w:t>
            </w:r>
          </w:p>
        </w:tc>
        <w:tc>
          <w:tcPr>
            <w:tcW w:w="1018" w:type="dxa"/>
          </w:tcPr>
          <w:p>
            <w:pPr>
              <w:pStyle w:val="TableParagraph"/>
              <w:spacing w:line="203" w:lineRule="exact"/>
              <w:ind w:left="258" w:right="257"/>
              <w:rPr>
                <w:sz w:val="18"/>
              </w:rPr>
            </w:pPr>
            <w:r>
              <w:rPr>
                <w:sz w:val="18"/>
              </w:rPr>
              <w:t>7.30</w:t>
            </w:r>
          </w:p>
        </w:tc>
        <w:tc>
          <w:tcPr>
            <w:tcW w:w="982" w:type="dxa"/>
          </w:tcPr>
          <w:p>
            <w:pPr>
              <w:pStyle w:val="TableParagraph"/>
              <w:spacing w:line="203" w:lineRule="exact"/>
              <w:ind w:left="309" w:right="-2"/>
              <w:jc w:val="left"/>
              <w:rPr>
                <w:sz w:val="18"/>
              </w:rPr>
            </w:pPr>
            <w:r>
              <w:rPr>
                <w:sz w:val="18"/>
              </w:rPr>
              <w:t>7.74</w:t>
            </w:r>
          </w:p>
        </w:tc>
      </w:tr>
      <w:tr>
        <w:trPr>
          <w:trHeight w:val="319" w:hRule="exact"/>
        </w:trPr>
        <w:tc>
          <w:tcPr>
            <w:tcW w:w="3248" w:type="dxa"/>
          </w:tcPr>
          <w:p>
            <w:pPr>
              <w:pStyle w:val="TableParagraph"/>
              <w:spacing w:line="199" w:lineRule="exact"/>
              <w:ind w:left="67"/>
              <w:jc w:val="left"/>
              <w:rPr>
                <w:b/>
                <w:sz w:val="18"/>
              </w:rPr>
            </w:pPr>
            <w:r>
              <w:rPr>
                <w:b/>
                <w:color w:val="333333"/>
                <w:sz w:val="18"/>
              </w:rPr>
              <w:t>AYAPANGO</w:t>
            </w:r>
          </w:p>
        </w:tc>
        <w:tc>
          <w:tcPr>
            <w:tcW w:w="1018" w:type="dxa"/>
          </w:tcPr>
          <w:p>
            <w:pPr>
              <w:pStyle w:val="TableParagraph"/>
              <w:spacing w:line="203" w:lineRule="exact"/>
              <w:ind w:left="258" w:right="257"/>
              <w:rPr>
                <w:sz w:val="18"/>
              </w:rPr>
            </w:pPr>
            <w:r>
              <w:rPr>
                <w:sz w:val="18"/>
              </w:rPr>
              <w:t>7.90</w:t>
            </w:r>
          </w:p>
        </w:tc>
        <w:tc>
          <w:tcPr>
            <w:tcW w:w="982" w:type="dxa"/>
          </w:tcPr>
          <w:p>
            <w:pPr>
              <w:pStyle w:val="TableParagraph"/>
              <w:spacing w:line="203" w:lineRule="exact"/>
              <w:ind w:left="309" w:right="-2"/>
              <w:jc w:val="left"/>
              <w:rPr>
                <w:sz w:val="18"/>
              </w:rPr>
            </w:pPr>
            <w:r>
              <w:rPr>
                <w:sz w:val="18"/>
              </w:rPr>
              <w:t>8.64</w:t>
            </w:r>
          </w:p>
        </w:tc>
      </w:tr>
      <w:tr>
        <w:trPr>
          <w:trHeight w:val="322" w:hRule="exact"/>
        </w:trPr>
        <w:tc>
          <w:tcPr>
            <w:tcW w:w="3248" w:type="dxa"/>
          </w:tcPr>
          <w:p>
            <w:pPr>
              <w:pStyle w:val="TableParagraph"/>
              <w:spacing w:line="199" w:lineRule="exact"/>
              <w:ind w:left="67"/>
              <w:jc w:val="left"/>
              <w:rPr>
                <w:b/>
                <w:sz w:val="18"/>
              </w:rPr>
            </w:pPr>
            <w:r>
              <w:rPr>
                <w:b/>
                <w:color w:val="333333"/>
                <w:sz w:val="18"/>
              </w:rPr>
              <w:t>CALIMAYA</w:t>
            </w:r>
          </w:p>
        </w:tc>
        <w:tc>
          <w:tcPr>
            <w:tcW w:w="1018" w:type="dxa"/>
          </w:tcPr>
          <w:p>
            <w:pPr>
              <w:pStyle w:val="TableParagraph"/>
              <w:spacing w:line="203" w:lineRule="exact"/>
              <w:ind w:left="258" w:right="257"/>
              <w:rPr>
                <w:sz w:val="18"/>
              </w:rPr>
            </w:pPr>
            <w:r>
              <w:rPr>
                <w:sz w:val="18"/>
              </w:rPr>
              <w:t>8.00</w:t>
            </w:r>
          </w:p>
        </w:tc>
        <w:tc>
          <w:tcPr>
            <w:tcW w:w="982" w:type="dxa"/>
          </w:tcPr>
          <w:p>
            <w:pPr>
              <w:pStyle w:val="TableParagraph"/>
              <w:spacing w:line="203" w:lineRule="exact"/>
              <w:ind w:left="309" w:right="-2"/>
              <w:jc w:val="left"/>
              <w:rPr>
                <w:sz w:val="18"/>
              </w:rPr>
            </w:pPr>
            <w:r>
              <w:rPr>
                <w:sz w:val="18"/>
              </w:rPr>
              <w:t>8.81</w:t>
            </w:r>
          </w:p>
        </w:tc>
      </w:tr>
      <w:tr>
        <w:trPr>
          <w:trHeight w:val="319" w:hRule="exact"/>
        </w:trPr>
        <w:tc>
          <w:tcPr>
            <w:tcW w:w="3248" w:type="dxa"/>
          </w:tcPr>
          <w:p>
            <w:pPr>
              <w:pStyle w:val="TableParagraph"/>
              <w:spacing w:line="199" w:lineRule="exact"/>
              <w:ind w:left="67"/>
              <w:jc w:val="left"/>
              <w:rPr>
                <w:b/>
                <w:sz w:val="18"/>
              </w:rPr>
            </w:pPr>
            <w:r>
              <w:rPr>
                <w:b/>
                <w:color w:val="333333"/>
                <w:sz w:val="18"/>
              </w:rPr>
              <w:t>CAPULHUAC</w:t>
            </w:r>
          </w:p>
        </w:tc>
        <w:tc>
          <w:tcPr>
            <w:tcW w:w="1018" w:type="dxa"/>
          </w:tcPr>
          <w:p>
            <w:pPr>
              <w:pStyle w:val="TableParagraph"/>
              <w:spacing w:line="203" w:lineRule="exact"/>
              <w:ind w:left="258" w:right="257"/>
              <w:rPr>
                <w:sz w:val="18"/>
              </w:rPr>
            </w:pPr>
            <w:r>
              <w:rPr>
                <w:sz w:val="18"/>
              </w:rPr>
              <w:t>8.80</w:t>
            </w:r>
          </w:p>
        </w:tc>
        <w:tc>
          <w:tcPr>
            <w:tcW w:w="982" w:type="dxa"/>
          </w:tcPr>
          <w:p>
            <w:pPr>
              <w:pStyle w:val="TableParagraph"/>
              <w:spacing w:line="203" w:lineRule="exact"/>
              <w:ind w:left="309" w:right="-2"/>
              <w:jc w:val="left"/>
              <w:rPr>
                <w:sz w:val="18"/>
              </w:rPr>
            </w:pPr>
            <w:r>
              <w:rPr>
                <w:sz w:val="18"/>
              </w:rPr>
              <w:t>9.22</w:t>
            </w:r>
          </w:p>
        </w:tc>
      </w:tr>
      <w:tr>
        <w:trPr>
          <w:trHeight w:val="322" w:hRule="exact"/>
        </w:trPr>
        <w:tc>
          <w:tcPr>
            <w:tcW w:w="3248" w:type="dxa"/>
          </w:tcPr>
          <w:p>
            <w:pPr>
              <w:pStyle w:val="TableParagraph"/>
              <w:spacing w:line="199" w:lineRule="exact"/>
              <w:ind w:left="67"/>
              <w:jc w:val="left"/>
              <w:rPr>
                <w:b/>
                <w:sz w:val="18"/>
              </w:rPr>
            </w:pPr>
            <w:r>
              <w:rPr>
                <w:b/>
                <w:color w:val="333333"/>
                <w:sz w:val="18"/>
              </w:rPr>
              <w:t>CHALCO</w:t>
            </w:r>
          </w:p>
        </w:tc>
        <w:tc>
          <w:tcPr>
            <w:tcW w:w="1018" w:type="dxa"/>
          </w:tcPr>
          <w:p>
            <w:pPr>
              <w:pStyle w:val="TableParagraph"/>
              <w:spacing w:line="203" w:lineRule="exact"/>
              <w:ind w:left="258" w:right="257"/>
              <w:rPr>
                <w:sz w:val="18"/>
              </w:rPr>
            </w:pPr>
            <w:r>
              <w:rPr>
                <w:sz w:val="18"/>
              </w:rPr>
              <w:t>8.00</w:t>
            </w:r>
          </w:p>
        </w:tc>
        <w:tc>
          <w:tcPr>
            <w:tcW w:w="982" w:type="dxa"/>
          </w:tcPr>
          <w:p>
            <w:pPr>
              <w:pStyle w:val="TableParagraph"/>
              <w:spacing w:line="203" w:lineRule="exact"/>
              <w:ind w:left="309" w:right="-2"/>
              <w:jc w:val="left"/>
              <w:rPr>
                <w:sz w:val="18"/>
              </w:rPr>
            </w:pPr>
            <w:r>
              <w:rPr>
                <w:sz w:val="18"/>
              </w:rPr>
              <w:t>8.61</w:t>
            </w:r>
          </w:p>
        </w:tc>
      </w:tr>
      <w:tr>
        <w:trPr>
          <w:trHeight w:val="320" w:hRule="exact"/>
        </w:trPr>
        <w:tc>
          <w:tcPr>
            <w:tcW w:w="3248" w:type="dxa"/>
          </w:tcPr>
          <w:p>
            <w:pPr>
              <w:pStyle w:val="TableParagraph"/>
              <w:spacing w:line="199" w:lineRule="exact"/>
              <w:ind w:left="67"/>
              <w:jc w:val="left"/>
              <w:rPr>
                <w:b/>
                <w:sz w:val="18"/>
              </w:rPr>
            </w:pPr>
            <w:r>
              <w:rPr>
                <w:b/>
                <w:color w:val="333333"/>
                <w:sz w:val="18"/>
              </w:rPr>
              <w:t>CHAPA DE MOTA</w:t>
            </w:r>
          </w:p>
        </w:tc>
        <w:tc>
          <w:tcPr>
            <w:tcW w:w="1018" w:type="dxa"/>
          </w:tcPr>
          <w:p>
            <w:pPr>
              <w:pStyle w:val="TableParagraph"/>
              <w:spacing w:line="204" w:lineRule="exact"/>
              <w:ind w:left="258" w:right="257"/>
              <w:rPr>
                <w:sz w:val="18"/>
              </w:rPr>
            </w:pPr>
            <w:r>
              <w:rPr>
                <w:sz w:val="18"/>
              </w:rPr>
              <w:t>6.00</w:t>
            </w:r>
          </w:p>
        </w:tc>
        <w:tc>
          <w:tcPr>
            <w:tcW w:w="982" w:type="dxa"/>
          </w:tcPr>
          <w:p>
            <w:pPr>
              <w:pStyle w:val="TableParagraph"/>
              <w:spacing w:line="204" w:lineRule="exact"/>
              <w:ind w:left="309" w:right="-2"/>
              <w:jc w:val="left"/>
              <w:rPr>
                <w:sz w:val="18"/>
              </w:rPr>
            </w:pPr>
            <w:r>
              <w:rPr>
                <w:sz w:val="18"/>
              </w:rPr>
              <w:t>6.67</w:t>
            </w:r>
          </w:p>
        </w:tc>
      </w:tr>
      <w:tr>
        <w:trPr>
          <w:trHeight w:val="322" w:hRule="exact"/>
        </w:trPr>
        <w:tc>
          <w:tcPr>
            <w:tcW w:w="3248" w:type="dxa"/>
          </w:tcPr>
          <w:p>
            <w:pPr>
              <w:pStyle w:val="TableParagraph"/>
              <w:spacing w:line="201" w:lineRule="exact"/>
              <w:ind w:left="67"/>
              <w:jc w:val="left"/>
              <w:rPr>
                <w:b/>
                <w:sz w:val="18"/>
              </w:rPr>
            </w:pPr>
            <w:r>
              <w:rPr>
                <w:b/>
                <w:color w:val="333333"/>
                <w:sz w:val="18"/>
              </w:rPr>
              <w:t>CHAPULTEPEC</w:t>
            </w:r>
          </w:p>
        </w:tc>
        <w:tc>
          <w:tcPr>
            <w:tcW w:w="1018" w:type="dxa"/>
          </w:tcPr>
          <w:p>
            <w:pPr>
              <w:pStyle w:val="TableParagraph"/>
              <w:spacing w:line="206" w:lineRule="exact"/>
              <w:ind w:left="258" w:right="257"/>
              <w:rPr>
                <w:sz w:val="18"/>
              </w:rPr>
            </w:pPr>
            <w:r>
              <w:rPr>
                <w:sz w:val="18"/>
              </w:rPr>
              <w:t>8.70</w:t>
            </w:r>
          </w:p>
        </w:tc>
        <w:tc>
          <w:tcPr>
            <w:tcW w:w="982" w:type="dxa"/>
          </w:tcPr>
          <w:p>
            <w:pPr>
              <w:pStyle w:val="TableParagraph"/>
              <w:spacing w:line="206" w:lineRule="exact"/>
              <w:ind w:left="309" w:right="-2"/>
              <w:jc w:val="left"/>
              <w:rPr>
                <w:sz w:val="18"/>
              </w:rPr>
            </w:pPr>
            <w:r>
              <w:rPr>
                <w:sz w:val="18"/>
              </w:rPr>
              <w:t>9.91</w:t>
            </w:r>
          </w:p>
        </w:tc>
      </w:tr>
      <w:tr>
        <w:trPr>
          <w:trHeight w:val="319" w:hRule="exact"/>
        </w:trPr>
        <w:tc>
          <w:tcPr>
            <w:tcW w:w="3248" w:type="dxa"/>
          </w:tcPr>
          <w:p>
            <w:pPr>
              <w:pStyle w:val="TableParagraph"/>
              <w:spacing w:line="199" w:lineRule="exact"/>
              <w:ind w:left="67"/>
              <w:jc w:val="left"/>
              <w:rPr>
                <w:b/>
                <w:sz w:val="18"/>
              </w:rPr>
            </w:pPr>
            <w:r>
              <w:rPr>
                <w:b/>
                <w:color w:val="333333"/>
                <w:sz w:val="18"/>
              </w:rPr>
              <w:t>CHIAUTLA</w:t>
            </w:r>
          </w:p>
        </w:tc>
        <w:tc>
          <w:tcPr>
            <w:tcW w:w="1018" w:type="dxa"/>
          </w:tcPr>
          <w:p>
            <w:pPr>
              <w:pStyle w:val="TableParagraph"/>
              <w:spacing w:line="203" w:lineRule="exact"/>
              <w:ind w:left="258" w:right="257"/>
              <w:rPr>
                <w:sz w:val="18"/>
              </w:rPr>
            </w:pPr>
            <w:r>
              <w:rPr>
                <w:sz w:val="18"/>
              </w:rPr>
              <w:t>8.80</w:t>
            </w:r>
          </w:p>
        </w:tc>
        <w:tc>
          <w:tcPr>
            <w:tcW w:w="982" w:type="dxa"/>
          </w:tcPr>
          <w:p>
            <w:pPr>
              <w:pStyle w:val="TableParagraph"/>
              <w:spacing w:line="203" w:lineRule="exact"/>
              <w:ind w:left="309" w:right="-2"/>
              <w:jc w:val="left"/>
              <w:rPr>
                <w:sz w:val="18"/>
              </w:rPr>
            </w:pPr>
            <w:r>
              <w:rPr>
                <w:sz w:val="18"/>
              </w:rPr>
              <w:t>9.14</w:t>
            </w:r>
          </w:p>
        </w:tc>
      </w:tr>
      <w:tr>
        <w:trPr>
          <w:trHeight w:val="322" w:hRule="exact"/>
        </w:trPr>
        <w:tc>
          <w:tcPr>
            <w:tcW w:w="3248" w:type="dxa"/>
          </w:tcPr>
          <w:p>
            <w:pPr>
              <w:pStyle w:val="TableParagraph"/>
              <w:spacing w:line="201" w:lineRule="exact"/>
              <w:ind w:left="67"/>
              <w:jc w:val="left"/>
              <w:rPr>
                <w:b/>
                <w:sz w:val="18"/>
              </w:rPr>
            </w:pPr>
            <w:r>
              <w:rPr>
                <w:b/>
                <w:color w:val="333333"/>
                <w:sz w:val="18"/>
              </w:rPr>
              <w:t>CHICOLOAPAN</w:t>
            </w:r>
          </w:p>
        </w:tc>
        <w:tc>
          <w:tcPr>
            <w:tcW w:w="1018" w:type="dxa"/>
          </w:tcPr>
          <w:p>
            <w:pPr>
              <w:pStyle w:val="TableParagraph"/>
              <w:spacing w:line="206" w:lineRule="exact"/>
              <w:ind w:left="258" w:right="257"/>
              <w:rPr>
                <w:sz w:val="18"/>
              </w:rPr>
            </w:pPr>
            <w:r>
              <w:rPr>
                <w:sz w:val="18"/>
              </w:rPr>
              <w:t>8.60</w:t>
            </w:r>
          </w:p>
        </w:tc>
        <w:tc>
          <w:tcPr>
            <w:tcW w:w="982" w:type="dxa"/>
          </w:tcPr>
          <w:p>
            <w:pPr>
              <w:pStyle w:val="TableParagraph"/>
              <w:spacing w:line="206" w:lineRule="exact"/>
              <w:ind w:left="309" w:right="-2"/>
              <w:jc w:val="left"/>
              <w:rPr>
                <w:sz w:val="18"/>
              </w:rPr>
            </w:pPr>
            <w:r>
              <w:rPr>
                <w:sz w:val="18"/>
              </w:rPr>
              <w:t>9.39</w:t>
            </w:r>
          </w:p>
        </w:tc>
      </w:tr>
      <w:tr>
        <w:trPr>
          <w:trHeight w:val="322" w:hRule="exact"/>
        </w:trPr>
        <w:tc>
          <w:tcPr>
            <w:tcW w:w="3248" w:type="dxa"/>
          </w:tcPr>
          <w:p>
            <w:pPr>
              <w:pStyle w:val="TableParagraph"/>
              <w:spacing w:line="199" w:lineRule="exact"/>
              <w:ind w:left="67"/>
              <w:jc w:val="left"/>
              <w:rPr>
                <w:b/>
                <w:sz w:val="18"/>
              </w:rPr>
            </w:pPr>
            <w:r>
              <w:rPr>
                <w:b/>
                <w:color w:val="333333"/>
                <w:sz w:val="18"/>
              </w:rPr>
              <w:t>CHICONCUAC</w:t>
            </w:r>
          </w:p>
        </w:tc>
        <w:tc>
          <w:tcPr>
            <w:tcW w:w="1018" w:type="dxa"/>
          </w:tcPr>
          <w:p>
            <w:pPr>
              <w:pStyle w:val="TableParagraph"/>
              <w:spacing w:line="203" w:lineRule="exact"/>
              <w:ind w:left="258" w:right="257"/>
              <w:rPr>
                <w:sz w:val="18"/>
              </w:rPr>
            </w:pPr>
            <w:r>
              <w:rPr>
                <w:sz w:val="18"/>
              </w:rPr>
              <w:t>9.00</w:t>
            </w:r>
          </w:p>
        </w:tc>
        <w:tc>
          <w:tcPr>
            <w:tcW w:w="982" w:type="dxa"/>
          </w:tcPr>
          <w:p>
            <w:pPr>
              <w:pStyle w:val="TableParagraph"/>
              <w:spacing w:line="203" w:lineRule="exact"/>
              <w:ind w:left="309" w:right="-2"/>
              <w:jc w:val="left"/>
              <w:rPr>
                <w:sz w:val="18"/>
              </w:rPr>
            </w:pPr>
            <w:r>
              <w:rPr>
                <w:sz w:val="18"/>
              </w:rPr>
              <w:t>9.26</w:t>
            </w:r>
          </w:p>
        </w:tc>
      </w:tr>
      <w:tr>
        <w:trPr>
          <w:trHeight w:val="319" w:hRule="exact"/>
        </w:trPr>
        <w:tc>
          <w:tcPr>
            <w:tcW w:w="3248" w:type="dxa"/>
          </w:tcPr>
          <w:p>
            <w:pPr>
              <w:pStyle w:val="TableParagraph"/>
              <w:spacing w:line="199" w:lineRule="exact"/>
              <w:ind w:left="67"/>
              <w:jc w:val="left"/>
              <w:rPr>
                <w:b/>
                <w:sz w:val="18"/>
              </w:rPr>
            </w:pPr>
            <w:r>
              <w:rPr>
                <w:b/>
                <w:color w:val="333333"/>
                <w:sz w:val="18"/>
              </w:rPr>
              <w:t>CHIMALHUACAN</w:t>
            </w:r>
          </w:p>
        </w:tc>
        <w:tc>
          <w:tcPr>
            <w:tcW w:w="1018" w:type="dxa"/>
          </w:tcPr>
          <w:p>
            <w:pPr>
              <w:pStyle w:val="TableParagraph"/>
              <w:spacing w:line="203" w:lineRule="exact"/>
              <w:ind w:left="258" w:right="257"/>
              <w:rPr>
                <w:sz w:val="18"/>
              </w:rPr>
            </w:pPr>
            <w:r>
              <w:rPr>
                <w:sz w:val="18"/>
              </w:rPr>
              <w:t>7.60</w:t>
            </w:r>
          </w:p>
        </w:tc>
        <w:tc>
          <w:tcPr>
            <w:tcW w:w="982" w:type="dxa"/>
          </w:tcPr>
          <w:p>
            <w:pPr>
              <w:pStyle w:val="TableParagraph"/>
              <w:spacing w:line="203" w:lineRule="exact"/>
              <w:ind w:left="309" w:right="-2"/>
              <w:jc w:val="left"/>
              <w:rPr>
                <w:sz w:val="18"/>
              </w:rPr>
            </w:pPr>
            <w:r>
              <w:rPr>
                <w:sz w:val="18"/>
              </w:rPr>
              <w:t>8.03</w:t>
            </w:r>
          </w:p>
        </w:tc>
      </w:tr>
      <w:tr>
        <w:trPr>
          <w:trHeight w:val="322" w:hRule="exact"/>
        </w:trPr>
        <w:tc>
          <w:tcPr>
            <w:tcW w:w="3248" w:type="dxa"/>
          </w:tcPr>
          <w:p>
            <w:pPr>
              <w:pStyle w:val="TableParagraph"/>
              <w:spacing w:line="199" w:lineRule="exact"/>
              <w:ind w:left="67"/>
              <w:jc w:val="left"/>
              <w:rPr>
                <w:b/>
                <w:sz w:val="18"/>
              </w:rPr>
            </w:pPr>
            <w:r>
              <w:rPr>
                <w:b/>
                <w:color w:val="333333"/>
                <w:sz w:val="18"/>
              </w:rPr>
              <w:t>COACALCO DE BERRIOZABAL</w:t>
            </w:r>
          </w:p>
        </w:tc>
        <w:tc>
          <w:tcPr>
            <w:tcW w:w="1018" w:type="dxa"/>
          </w:tcPr>
          <w:p>
            <w:pPr>
              <w:pStyle w:val="TableParagraph"/>
              <w:spacing w:line="203" w:lineRule="exact"/>
              <w:ind w:left="258" w:right="257"/>
              <w:rPr>
                <w:sz w:val="18"/>
              </w:rPr>
            </w:pPr>
            <w:r>
              <w:rPr>
                <w:sz w:val="18"/>
              </w:rPr>
              <w:t>10.00</w:t>
            </w:r>
          </w:p>
        </w:tc>
        <w:tc>
          <w:tcPr>
            <w:tcW w:w="982" w:type="dxa"/>
          </w:tcPr>
          <w:p>
            <w:pPr>
              <w:pStyle w:val="TableParagraph"/>
              <w:spacing w:line="203" w:lineRule="exact"/>
              <w:ind w:left="259" w:right="-2"/>
              <w:jc w:val="left"/>
              <w:rPr>
                <w:sz w:val="18"/>
              </w:rPr>
            </w:pPr>
            <w:r>
              <w:rPr>
                <w:sz w:val="18"/>
              </w:rPr>
              <w:t>10.87</w:t>
            </w:r>
          </w:p>
        </w:tc>
      </w:tr>
      <w:tr>
        <w:trPr>
          <w:trHeight w:val="319" w:hRule="exact"/>
        </w:trPr>
        <w:tc>
          <w:tcPr>
            <w:tcW w:w="3248" w:type="dxa"/>
          </w:tcPr>
          <w:p>
            <w:pPr>
              <w:pStyle w:val="TableParagraph"/>
              <w:spacing w:line="199" w:lineRule="exact"/>
              <w:ind w:left="67"/>
              <w:jc w:val="left"/>
              <w:rPr>
                <w:b/>
                <w:sz w:val="18"/>
              </w:rPr>
            </w:pPr>
            <w:r>
              <w:rPr>
                <w:b/>
                <w:color w:val="333333"/>
                <w:sz w:val="18"/>
              </w:rPr>
              <w:t>COATEPEC HARINAS</w:t>
            </w:r>
          </w:p>
        </w:tc>
        <w:tc>
          <w:tcPr>
            <w:tcW w:w="1018" w:type="dxa"/>
          </w:tcPr>
          <w:p>
            <w:pPr>
              <w:pStyle w:val="TableParagraph"/>
              <w:spacing w:line="203" w:lineRule="exact"/>
              <w:ind w:left="258" w:right="257"/>
              <w:rPr>
                <w:sz w:val="18"/>
              </w:rPr>
            </w:pPr>
            <w:r>
              <w:rPr>
                <w:sz w:val="18"/>
              </w:rPr>
              <w:t>5.60</w:t>
            </w:r>
          </w:p>
        </w:tc>
        <w:tc>
          <w:tcPr>
            <w:tcW w:w="982" w:type="dxa"/>
          </w:tcPr>
          <w:p>
            <w:pPr>
              <w:pStyle w:val="TableParagraph"/>
              <w:spacing w:line="203" w:lineRule="exact"/>
              <w:ind w:left="309" w:right="-2"/>
              <w:jc w:val="left"/>
              <w:rPr>
                <w:sz w:val="18"/>
              </w:rPr>
            </w:pPr>
            <w:r>
              <w:rPr>
                <w:sz w:val="18"/>
              </w:rPr>
              <w:t>6.19</w:t>
            </w:r>
          </w:p>
        </w:tc>
      </w:tr>
      <w:tr>
        <w:trPr>
          <w:trHeight w:val="322" w:hRule="exact"/>
        </w:trPr>
        <w:tc>
          <w:tcPr>
            <w:tcW w:w="3248" w:type="dxa"/>
          </w:tcPr>
          <w:p>
            <w:pPr>
              <w:pStyle w:val="TableParagraph"/>
              <w:spacing w:line="199" w:lineRule="exact"/>
              <w:ind w:left="67"/>
              <w:jc w:val="left"/>
              <w:rPr>
                <w:b/>
                <w:sz w:val="18"/>
              </w:rPr>
            </w:pPr>
            <w:r>
              <w:rPr>
                <w:b/>
                <w:color w:val="333333"/>
                <w:sz w:val="18"/>
              </w:rPr>
              <w:t>COCOTITLAN</w:t>
            </w:r>
          </w:p>
        </w:tc>
        <w:tc>
          <w:tcPr>
            <w:tcW w:w="1018" w:type="dxa"/>
          </w:tcPr>
          <w:p>
            <w:pPr>
              <w:pStyle w:val="TableParagraph"/>
              <w:spacing w:line="203" w:lineRule="exact"/>
              <w:ind w:left="258" w:right="257"/>
              <w:rPr>
                <w:sz w:val="18"/>
              </w:rPr>
            </w:pPr>
            <w:r>
              <w:rPr>
                <w:sz w:val="18"/>
              </w:rPr>
              <w:t>8.90</w:t>
            </w:r>
          </w:p>
        </w:tc>
        <w:tc>
          <w:tcPr>
            <w:tcW w:w="982" w:type="dxa"/>
          </w:tcPr>
          <w:p>
            <w:pPr>
              <w:pStyle w:val="TableParagraph"/>
              <w:spacing w:line="203" w:lineRule="exact"/>
              <w:ind w:left="309" w:right="-2"/>
              <w:jc w:val="left"/>
              <w:rPr>
                <w:sz w:val="18"/>
              </w:rPr>
            </w:pPr>
            <w:r>
              <w:rPr>
                <w:sz w:val="18"/>
              </w:rPr>
              <w:t>9.34</w:t>
            </w:r>
          </w:p>
        </w:tc>
      </w:tr>
      <w:tr>
        <w:trPr>
          <w:trHeight w:val="319" w:hRule="exact"/>
        </w:trPr>
        <w:tc>
          <w:tcPr>
            <w:tcW w:w="3248" w:type="dxa"/>
          </w:tcPr>
          <w:p>
            <w:pPr>
              <w:pStyle w:val="TableParagraph"/>
              <w:spacing w:line="199" w:lineRule="exact"/>
              <w:ind w:left="67"/>
              <w:jc w:val="left"/>
              <w:rPr>
                <w:b/>
                <w:sz w:val="18"/>
              </w:rPr>
            </w:pPr>
            <w:r>
              <w:rPr>
                <w:b/>
                <w:color w:val="333333"/>
                <w:sz w:val="18"/>
              </w:rPr>
              <w:t>COYOTEPEC</w:t>
            </w:r>
          </w:p>
        </w:tc>
        <w:tc>
          <w:tcPr>
            <w:tcW w:w="1018" w:type="dxa"/>
          </w:tcPr>
          <w:p>
            <w:pPr>
              <w:pStyle w:val="TableParagraph"/>
              <w:spacing w:line="203" w:lineRule="exact"/>
              <w:ind w:left="258" w:right="257"/>
              <w:rPr>
                <w:sz w:val="18"/>
              </w:rPr>
            </w:pPr>
            <w:r>
              <w:rPr>
                <w:sz w:val="18"/>
              </w:rPr>
              <w:t>8.10</w:t>
            </w:r>
          </w:p>
        </w:tc>
        <w:tc>
          <w:tcPr>
            <w:tcW w:w="982" w:type="dxa"/>
          </w:tcPr>
          <w:p>
            <w:pPr>
              <w:pStyle w:val="TableParagraph"/>
              <w:spacing w:line="203" w:lineRule="exact"/>
              <w:ind w:left="309" w:right="-2"/>
              <w:jc w:val="left"/>
              <w:rPr>
                <w:sz w:val="18"/>
              </w:rPr>
            </w:pPr>
            <w:r>
              <w:rPr>
                <w:sz w:val="18"/>
              </w:rPr>
              <w:t>8.59</w:t>
            </w:r>
          </w:p>
        </w:tc>
      </w:tr>
      <w:tr>
        <w:trPr>
          <w:trHeight w:val="322" w:hRule="exact"/>
        </w:trPr>
        <w:tc>
          <w:tcPr>
            <w:tcW w:w="3248" w:type="dxa"/>
          </w:tcPr>
          <w:p>
            <w:pPr>
              <w:pStyle w:val="TableParagraph"/>
              <w:spacing w:line="199" w:lineRule="exact"/>
              <w:ind w:left="67"/>
              <w:jc w:val="left"/>
              <w:rPr>
                <w:b/>
                <w:sz w:val="18"/>
              </w:rPr>
            </w:pPr>
            <w:r>
              <w:rPr>
                <w:b/>
                <w:color w:val="333333"/>
                <w:sz w:val="18"/>
              </w:rPr>
              <w:t>CUAUTITLAN</w:t>
            </w:r>
          </w:p>
        </w:tc>
        <w:tc>
          <w:tcPr>
            <w:tcW w:w="1018" w:type="dxa"/>
          </w:tcPr>
          <w:p>
            <w:pPr>
              <w:pStyle w:val="TableParagraph"/>
              <w:spacing w:line="203" w:lineRule="exact"/>
              <w:ind w:left="259" w:right="257"/>
              <w:rPr>
                <w:sz w:val="18"/>
              </w:rPr>
            </w:pPr>
            <w:r>
              <w:rPr>
                <w:sz w:val="18"/>
              </w:rPr>
              <w:t>10.00</w:t>
            </w:r>
          </w:p>
        </w:tc>
        <w:tc>
          <w:tcPr>
            <w:tcW w:w="982" w:type="dxa"/>
          </w:tcPr>
          <w:p>
            <w:pPr>
              <w:pStyle w:val="TableParagraph"/>
              <w:spacing w:line="203" w:lineRule="exact"/>
              <w:ind w:left="259" w:right="-2"/>
              <w:jc w:val="left"/>
              <w:rPr>
                <w:sz w:val="18"/>
              </w:rPr>
            </w:pPr>
            <w:r>
              <w:rPr>
                <w:sz w:val="18"/>
              </w:rPr>
              <w:t>10.38</w:t>
            </w:r>
          </w:p>
        </w:tc>
      </w:tr>
      <w:tr>
        <w:trPr>
          <w:trHeight w:val="320" w:hRule="exact"/>
        </w:trPr>
        <w:tc>
          <w:tcPr>
            <w:tcW w:w="3248" w:type="dxa"/>
          </w:tcPr>
          <w:p>
            <w:pPr>
              <w:pStyle w:val="TableParagraph"/>
              <w:spacing w:line="199" w:lineRule="exact"/>
              <w:ind w:left="67"/>
              <w:jc w:val="left"/>
              <w:rPr>
                <w:b/>
                <w:sz w:val="18"/>
              </w:rPr>
            </w:pPr>
            <w:r>
              <w:rPr>
                <w:b/>
                <w:color w:val="333333"/>
                <w:sz w:val="18"/>
              </w:rPr>
              <w:t>CUAUTITLAN IZCALLI</w:t>
            </w:r>
          </w:p>
        </w:tc>
        <w:tc>
          <w:tcPr>
            <w:tcW w:w="1018" w:type="dxa"/>
          </w:tcPr>
          <w:p>
            <w:pPr>
              <w:pStyle w:val="TableParagraph"/>
              <w:spacing w:line="204" w:lineRule="exact"/>
              <w:ind w:left="258" w:right="257"/>
              <w:rPr>
                <w:sz w:val="18"/>
              </w:rPr>
            </w:pPr>
            <w:r>
              <w:rPr>
                <w:sz w:val="18"/>
              </w:rPr>
              <w:t>10.00</w:t>
            </w:r>
          </w:p>
        </w:tc>
        <w:tc>
          <w:tcPr>
            <w:tcW w:w="982" w:type="dxa"/>
          </w:tcPr>
          <w:p>
            <w:pPr>
              <w:pStyle w:val="TableParagraph"/>
              <w:spacing w:line="204" w:lineRule="exact"/>
              <w:ind w:left="259" w:right="-2"/>
              <w:jc w:val="left"/>
              <w:rPr>
                <w:sz w:val="18"/>
              </w:rPr>
            </w:pPr>
            <w:r>
              <w:rPr>
                <w:sz w:val="18"/>
              </w:rPr>
              <w:t>10.72</w:t>
            </w:r>
          </w:p>
        </w:tc>
      </w:tr>
      <w:tr>
        <w:trPr>
          <w:trHeight w:val="322" w:hRule="exact"/>
        </w:trPr>
        <w:tc>
          <w:tcPr>
            <w:tcW w:w="3248" w:type="dxa"/>
          </w:tcPr>
          <w:p>
            <w:pPr>
              <w:pStyle w:val="TableParagraph"/>
              <w:spacing w:line="199" w:lineRule="exact"/>
              <w:ind w:left="67"/>
              <w:jc w:val="left"/>
              <w:rPr>
                <w:b/>
                <w:sz w:val="18"/>
              </w:rPr>
            </w:pPr>
            <w:r>
              <w:rPr>
                <w:b/>
                <w:color w:val="333333"/>
                <w:sz w:val="18"/>
              </w:rPr>
              <w:t>DONATO GUERRA</w:t>
            </w:r>
          </w:p>
        </w:tc>
        <w:tc>
          <w:tcPr>
            <w:tcW w:w="1018" w:type="dxa"/>
          </w:tcPr>
          <w:p>
            <w:pPr>
              <w:pStyle w:val="TableParagraph"/>
              <w:spacing w:line="203" w:lineRule="exact"/>
              <w:ind w:left="258" w:right="257"/>
              <w:rPr>
                <w:sz w:val="18"/>
              </w:rPr>
            </w:pPr>
            <w:r>
              <w:rPr>
                <w:sz w:val="18"/>
              </w:rPr>
              <w:t>5.00</w:t>
            </w:r>
          </w:p>
        </w:tc>
        <w:tc>
          <w:tcPr>
            <w:tcW w:w="982" w:type="dxa"/>
          </w:tcPr>
          <w:p>
            <w:pPr>
              <w:pStyle w:val="TableParagraph"/>
              <w:spacing w:line="203" w:lineRule="exact"/>
              <w:ind w:left="309" w:right="-2"/>
              <w:jc w:val="left"/>
              <w:rPr>
                <w:sz w:val="18"/>
              </w:rPr>
            </w:pPr>
            <w:r>
              <w:rPr>
                <w:sz w:val="18"/>
              </w:rPr>
              <w:t>5.69</w:t>
            </w:r>
          </w:p>
        </w:tc>
      </w:tr>
      <w:tr>
        <w:trPr>
          <w:trHeight w:val="319" w:hRule="exact"/>
        </w:trPr>
        <w:tc>
          <w:tcPr>
            <w:tcW w:w="3248" w:type="dxa"/>
          </w:tcPr>
          <w:p>
            <w:pPr>
              <w:pStyle w:val="TableParagraph"/>
              <w:spacing w:line="199" w:lineRule="exact"/>
              <w:ind w:left="67"/>
              <w:jc w:val="left"/>
              <w:rPr>
                <w:b/>
                <w:sz w:val="18"/>
              </w:rPr>
            </w:pPr>
            <w:r>
              <w:rPr>
                <w:b/>
                <w:color w:val="333333"/>
                <w:sz w:val="18"/>
              </w:rPr>
              <w:t>ECATEPEC DE MORELOS</w:t>
            </w:r>
          </w:p>
        </w:tc>
        <w:tc>
          <w:tcPr>
            <w:tcW w:w="1018" w:type="dxa"/>
          </w:tcPr>
          <w:p>
            <w:pPr>
              <w:pStyle w:val="TableParagraph"/>
              <w:spacing w:line="203" w:lineRule="exact"/>
              <w:ind w:left="258" w:right="257"/>
              <w:rPr>
                <w:sz w:val="18"/>
              </w:rPr>
            </w:pPr>
            <w:r>
              <w:rPr>
                <w:sz w:val="18"/>
              </w:rPr>
              <w:t>9.00</w:t>
            </w:r>
          </w:p>
        </w:tc>
        <w:tc>
          <w:tcPr>
            <w:tcW w:w="982" w:type="dxa"/>
          </w:tcPr>
          <w:p>
            <w:pPr>
              <w:pStyle w:val="TableParagraph"/>
              <w:spacing w:line="203" w:lineRule="exact"/>
              <w:ind w:left="309" w:right="-2"/>
              <w:jc w:val="left"/>
              <w:rPr>
                <w:sz w:val="18"/>
              </w:rPr>
            </w:pPr>
            <w:r>
              <w:rPr>
                <w:sz w:val="18"/>
              </w:rPr>
              <w:t>9.43</w:t>
            </w:r>
          </w:p>
        </w:tc>
      </w:tr>
      <w:tr>
        <w:trPr>
          <w:trHeight w:val="322" w:hRule="exact"/>
        </w:trPr>
        <w:tc>
          <w:tcPr>
            <w:tcW w:w="3248" w:type="dxa"/>
          </w:tcPr>
          <w:p>
            <w:pPr>
              <w:pStyle w:val="TableParagraph"/>
              <w:spacing w:line="199" w:lineRule="exact"/>
              <w:ind w:left="67"/>
              <w:jc w:val="left"/>
              <w:rPr>
                <w:b/>
                <w:sz w:val="18"/>
              </w:rPr>
            </w:pPr>
            <w:r>
              <w:rPr>
                <w:b/>
                <w:color w:val="333333"/>
                <w:sz w:val="18"/>
              </w:rPr>
              <w:t>ECATZINGO</w:t>
            </w:r>
          </w:p>
        </w:tc>
        <w:tc>
          <w:tcPr>
            <w:tcW w:w="1018" w:type="dxa"/>
          </w:tcPr>
          <w:p>
            <w:pPr>
              <w:pStyle w:val="TableParagraph"/>
              <w:spacing w:line="203" w:lineRule="exact"/>
              <w:ind w:left="258" w:right="257"/>
              <w:rPr>
                <w:sz w:val="18"/>
              </w:rPr>
            </w:pPr>
            <w:r>
              <w:rPr>
                <w:sz w:val="18"/>
              </w:rPr>
              <w:t>6.80</w:t>
            </w:r>
          </w:p>
        </w:tc>
        <w:tc>
          <w:tcPr>
            <w:tcW w:w="982" w:type="dxa"/>
          </w:tcPr>
          <w:p>
            <w:pPr>
              <w:pStyle w:val="TableParagraph"/>
              <w:spacing w:line="203" w:lineRule="exact"/>
              <w:ind w:left="309" w:right="-2"/>
              <w:jc w:val="left"/>
              <w:rPr>
                <w:sz w:val="18"/>
              </w:rPr>
            </w:pPr>
            <w:r>
              <w:rPr>
                <w:sz w:val="18"/>
              </w:rPr>
              <w:t>7.39</w:t>
            </w:r>
          </w:p>
        </w:tc>
      </w:tr>
      <w:tr>
        <w:trPr>
          <w:trHeight w:val="319" w:hRule="exact"/>
        </w:trPr>
        <w:tc>
          <w:tcPr>
            <w:tcW w:w="3248" w:type="dxa"/>
          </w:tcPr>
          <w:p>
            <w:pPr>
              <w:pStyle w:val="TableParagraph"/>
              <w:spacing w:line="199" w:lineRule="exact"/>
              <w:ind w:left="67"/>
              <w:jc w:val="left"/>
              <w:rPr>
                <w:b/>
                <w:sz w:val="18"/>
              </w:rPr>
            </w:pPr>
            <w:r>
              <w:rPr>
                <w:b/>
                <w:color w:val="333333"/>
                <w:sz w:val="18"/>
              </w:rPr>
              <w:t>EL ORO</w:t>
            </w:r>
          </w:p>
        </w:tc>
        <w:tc>
          <w:tcPr>
            <w:tcW w:w="1018" w:type="dxa"/>
          </w:tcPr>
          <w:p>
            <w:pPr>
              <w:pStyle w:val="TableParagraph"/>
              <w:spacing w:line="203" w:lineRule="exact"/>
              <w:ind w:left="258" w:right="257"/>
              <w:rPr>
                <w:sz w:val="18"/>
              </w:rPr>
            </w:pPr>
            <w:r>
              <w:rPr>
                <w:sz w:val="18"/>
              </w:rPr>
              <w:t>6.70</w:t>
            </w:r>
          </w:p>
        </w:tc>
        <w:tc>
          <w:tcPr>
            <w:tcW w:w="982" w:type="dxa"/>
          </w:tcPr>
          <w:p>
            <w:pPr>
              <w:pStyle w:val="TableParagraph"/>
              <w:spacing w:line="203" w:lineRule="exact"/>
              <w:ind w:left="309" w:right="-2"/>
              <w:jc w:val="left"/>
              <w:rPr>
                <w:sz w:val="18"/>
              </w:rPr>
            </w:pPr>
            <w:r>
              <w:rPr>
                <w:sz w:val="18"/>
              </w:rPr>
              <w:t>7.27</w:t>
            </w:r>
          </w:p>
        </w:tc>
      </w:tr>
      <w:tr>
        <w:trPr>
          <w:trHeight w:val="322" w:hRule="exact"/>
        </w:trPr>
        <w:tc>
          <w:tcPr>
            <w:tcW w:w="3248" w:type="dxa"/>
          </w:tcPr>
          <w:p>
            <w:pPr>
              <w:pStyle w:val="TableParagraph"/>
              <w:spacing w:line="201" w:lineRule="exact"/>
              <w:ind w:left="67"/>
              <w:jc w:val="left"/>
              <w:rPr>
                <w:b/>
                <w:sz w:val="18"/>
              </w:rPr>
            </w:pPr>
            <w:r>
              <w:rPr>
                <w:b/>
                <w:color w:val="333333"/>
                <w:sz w:val="18"/>
              </w:rPr>
              <w:t>HUEHUETOCA</w:t>
            </w:r>
          </w:p>
        </w:tc>
        <w:tc>
          <w:tcPr>
            <w:tcW w:w="1018" w:type="dxa"/>
          </w:tcPr>
          <w:p>
            <w:pPr>
              <w:pStyle w:val="TableParagraph"/>
              <w:spacing w:line="206" w:lineRule="exact"/>
              <w:ind w:left="258" w:right="257"/>
              <w:rPr>
                <w:sz w:val="18"/>
              </w:rPr>
            </w:pPr>
            <w:r>
              <w:rPr>
                <w:sz w:val="18"/>
              </w:rPr>
              <w:t>8.50</w:t>
            </w:r>
          </w:p>
        </w:tc>
        <w:tc>
          <w:tcPr>
            <w:tcW w:w="982" w:type="dxa"/>
          </w:tcPr>
          <w:p>
            <w:pPr>
              <w:pStyle w:val="TableParagraph"/>
              <w:spacing w:line="206" w:lineRule="exact"/>
              <w:ind w:left="309" w:right="-2"/>
              <w:jc w:val="left"/>
              <w:rPr>
                <w:sz w:val="18"/>
              </w:rPr>
            </w:pPr>
            <w:r>
              <w:rPr>
                <w:sz w:val="18"/>
              </w:rPr>
              <w:t>9.05</w:t>
            </w:r>
          </w:p>
        </w:tc>
      </w:tr>
    </w:tbl>
    <w:p>
      <w:pPr>
        <w:spacing w:after="0" w:line="206" w:lineRule="exact"/>
        <w:jc w:val="left"/>
        <w:rPr>
          <w:sz w:val="18"/>
        </w:rPr>
        <w:sectPr>
          <w:footerReference w:type="default" r:id="rId355"/>
          <w:pgSz w:w="12240" w:h="15840"/>
          <w:pgMar w:footer="975" w:header="0" w:top="1420" w:bottom="1160" w:left="1720" w:right="1720"/>
          <w:pgNumType w:start="482"/>
        </w:sectPr>
      </w:pPr>
    </w:p>
    <w:tbl>
      <w:tblPr>
        <w:tblW w:w="0" w:type="auto"/>
        <w:jc w:val="left"/>
        <w:tblInd w:w="18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91"/>
        <w:gridCol w:w="1018"/>
        <w:gridCol w:w="982"/>
      </w:tblGrid>
      <w:tr>
        <w:trPr>
          <w:trHeight w:val="630" w:hRule="exact"/>
        </w:trPr>
        <w:tc>
          <w:tcPr>
            <w:tcW w:w="4391" w:type="dxa"/>
            <w:gridSpan w:val="3"/>
            <w:shd w:val="clear" w:color="auto" w:fill="C5DFB3"/>
          </w:tcPr>
          <w:p>
            <w:pPr>
              <w:pStyle w:val="TableParagraph"/>
              <w:ind w:left="319" w:right="315" w:hanging="2"/>
              <w:rPr>
                <w:b/>
                <w:sz w:val="18"/>
              </w:rPr>
            </w:pPr>
            <w:r>
              <w:rPr>
                <w:b/>
                <w:sz w:val="18"/>
              </w:rPr>
              <w:t>Anexo 30. Grados de escolaridad de los municipios del Estado de México 2005-2010 (Continuación)</w:t>
            </w:r>
          </w:p>
        </w:tc>
      </w:tr>
      <w:tr>
        <w:trPr>
          <w:trHeight w:val="310" w:hRule="exact"/>
        </w:trPr>
        <w:tc>
          <w:tcPr>
            <w:tcW w:w="2391" w:type="dxa"/>
            <w:shd w:val="clear" w:color="auto" w:fill="C5DFB3"/>
          </w:tcPr>
          <w:p>
            <w:pPr>
              <w:pStyle w:val="TableParagraph"/>
              <w:spacing w:before="39"/>
              <w:ind w:left="67"/>
              <w:jc w:val="left"/>
              <w:rPr>
                <w:b/>
                <w:sz w:val="18"/>
              </w:rPr>
            </w:pPr>
            <w:r>
              <w:rPr>
                <w:b/>
                <w:sz w:val="18"/>
              </w:rPr>
              <w:t>Municipio</w:t>
            </w:r>
          </w:p>
        </w:tc>
        <w:tc>
          <w:tcPr>
            <w:tcW w:w="1018" w:type="dxa"/>
            <w:shd w:val="clear" w:color="auto" w:fill="C5DFB3"/>
          </w:tcPr>
          <w:p>
            <w:pPr>
              <w:pStyle w:val="TableParagraph"/>
              <w:spacing w:before="85"/>
              <w:ind w:left="259" w:right="255"/>
              <w:rPr>
                <w:b/>
                <w:sz w:val="18"/>
              </w:rPr>
            </w:pPr>
            <w:r>
              <w:rPr>
                <w:b/>
                <w:sz w:val="18"/>
              </w:rPr>
              <w:t>2005</w:t>
            </w:r>
          </w:p>
        </w:tc>
        <w:tc>
          <w:tcPr>
            <w:tcW w:w="982" w:type="dxa"/>
            <w:shd w:val="clear" w:color="auto" w:fill="C5DFB3"/>
          </w:tcPr>
          <w:p>
            <w:pPr>
              <w:pStyle w:val="TableParagraph"/>
              <w:spacing w:before="85"/>
              <w:ind w:left="287" w:right="-2"/>
              <w:jc w:val="left"/>
              <w:rPr>
                <w:b/>
                <w:sz w:val="18"/>
              </w:rPr>
            </w:pPr>
            <w:r>
              <w:rPr>
                <w:b/>
                <w:sz w:val="18"/>
              </w:rPr>
              <w:t>2010</w:t>
            </w:r>
          </w:p>
        </w:tc>
      </w:tr>
      <w:tr>
        <w:trPr>
          <w:trHeight w:val="322" w:hRule="exact"/>
        </w:trPr>
        <w:tc>
          <w:tcPr>
            <w:tcW w:w="2391" w:type="dxa"/>
          </w:tcPr>
          <w:p>
            <w:pPr>
              <w:pStyle w:val="TableParagraph"/>
              <w:spacing w:line="201" w:lineRule="exact"/>
              <w:ind w:left="67"/>
              <w:jc w:val="left"/>
              <w:rPr>
                <w:b/>
                <w:sz w:val="18"/>
              </w:rPr>
            </w:pPr>
            <w:r>
              <w:rPr>
                <w:b/>
                <w:color w:val="333333"/>
                <w:sz w:val="18"/>
              </w:rPr>
              <w:t>HUEYPOXTLA</w:t>
            </w:r>
          </w:p>
        </w:tc>
        <w:tc>
          <w:tcPr>
            <w:tcW w:w="1018" w:type="dxa"/>
          </w:tcPr>
          <w:p>
            <w:pPr>
              <w:pStyle w:val="TableParagraph"/>
              <w:spacing w:line="206" w:lineRule="exact"/>
              <w:ind w:left="259" w:right="259"/>
              <w:rPr>
                <w:sz w:val="18"/>
              </w:rPr>
            </w:pPr>
            <w:r>
              <w:rPr>
                <w:sz w:val="18"/>
              </w:rPr>
              <w:t>6.60</w:t>
            </w:r>
          </w:p>
        </w:tc>
        <w:tc>
          <w:tcPr>
            <w:tcW w:w="982" w:type="dxa"/>
          </w:tcPr>
          <w:p>
            <w:pPr>
              <w:pStyle w:val="TableParagraph"/>
              <w:spacing w:line="206" w:lineRule="exact"/>
              <w:ind w:left="311" w:right="-2"/>
              <w:jc w:val="left"/>
              <w:rPr>
                <w:sz w:val="18"/>
              </w:rPr>
            </w:pPr>
            <w:r>
              <w:rPr>
                <w:sz w:val="18"/>
              </w:rPr>
              <w:t>7.27</w:t>
            </w:r>
          </w:p>
        </w:tc>
      </w:tr>
      <w:tr>
        <w:trPr>
          <w:trHeight w:val="322" w:hRule="exact"/>
        </w:trPr>
        <w:tc>
          <w:tcPr>
            <w:tcW w:w="2391" w:type="dxa"/>
          </w:tcPr>
          <w:p>
            <w:pPr>
              <w:pStyle w:val="TableParagraph"/>
              <w:spacing w:line="199" w:lineRule="exact"/>
              <w:ind w:left="67"/>
              <w:jc w:val="left"/>
              <w:rPr>
                <w:b/>
                <w:sz w:val="18"/>
              </w:rPr>
            </w:pPr>
            <w:r>
              <w:rPr>
                <w:b/>
                <w:color w:val="333333"/>
                <w:sz w:val="18"/>
              </w:rPr>
              <w:t>HUIXQUILUCAN</w:t>
            </w:r>
          </w:p>
        </w:tc>
        <w:tc>
          <w:tcPr>
            <w:tcW w:w="1018" w:type="dxa"/>
          </w:tcPr>
          <w:p>
            <w:pPr>
              <w:pStyle w:val="TableParagraph"/>
              <w:spacing w:line="203" w:lineRule="exact"/>
              <w:ind w:left="259" w:right="259"/>
              <w:rPr>
                <w:sz w:val="18"/>
              </w:rPr>
            </w:pPr>
            <w:r>
              <w:rPr>
                <w:sz w:val="18"/>
              </w:rPr>
              <w:t>9.50</w:t>
            </w:r>
          </w:p>
        </w:tc>
        <w:tc>
          <w:tcPr>
            <w:tcW w:w="982" w:type="dxa"/>
          </w:tcPr>
          <w:p>
            <w:pPr>
              <w:pStyle w:val="TableParagraph"/>
              <w:spacing w:line="203" w:lineRule="exact"/>
              <w:ind w:left="261" w:right="-2"/>
              <w:jc w:val="left"/>
              <w:rPr>
                <w:sz w:val="18"/>
              </w:rPr>
            </w:pPr>
            <w:r>
              <w:rPr>
                <w:sz w:val="18"/>
              </w:rPr>
              <w:t>10.09</w:t>
            </w:r>
          </w:p>
        </w:tc>
      </w:tr>
      <w:tr>
        <w:trPr>
          <w:trHeight w:val="319" w:hRule="exact"/>
        </w:trPr>
        <w:tc>
          <w:tcPr>
            <w:tcW w:w="2391" w:type="dxa"/>
          </w:tcPr>
          <w:p>
            <w:pPr>
              <w:pStyle w:val="TableParagraph"/>
              <w:spacing w:line="199" w:lineRule="exact"/>
              <w:ind w:left="67"/>
              <w:jc w:val="left"/>
              <w:rPr>
                <w:b/>
                <w:sz w:val="18"/>
              </w:rPr>
            </w:pPr>
            <w:r>
              <w:rPr>
                <w:b/>
                <w:color w:val="333333"/>
                <w:sz w:val="18"/>
              </w:rPr>
              <w:t>ISIDRO FABELA</w:t>
            </w:r>
          </w:p>
        </w:tc>
        <w:tc>
          <w:tcPr>
            <w:tcW w:w="1018" w:type="dxa"/>
          </w:tcPr>
          <w:p>
            <w:pPr>
              <w:pStyle w:val="TableParagraph"/>
              <w:spacing w:line="203" w:lineRule="exact"/>
              <w:ind w:left="259" w:right="259"/>
              <w:rPr>
                <w:sz w:val="18"/>
              </w:rPr>
            </w:pPr>
            <w:r>
              <w:rPr>
                <w:sz w:val="18"/>
              </w:rPr>
              <w:t>7.20</w:t>
            </w:r>
          </w:p>
        </w:tc>
        <w:tc>
          <w:tcPr>
            <w:tcW w:w="982" w:type="dxa"/>
          </w:tcPr>
          <w:p>
            <w:pPr>
              <w:pStyle w:val="TableParagraph"/>
              <w:spacing w:line="203" w:lineRule="exact"/>
              <w:ind w:left="311" w:right="-2"/>
              <w:jc w:val="left"/>
              <w:rPr>
                <w:sz w:val="18"/>
              </w:rPr>
            </w:pPr>
            <w:r>
              <w:rPr>
                <w:sz w:val="18"/>
              </w:rPr>
              <w:t>7.66</w:t>
            </w:r>
          </w:p>
        </w:tc>
      </w:tr>
      <w:tr>
        <w:trPr>
          <w:trHeight w:val="322" w:hRule="exact"/>
        </w:trPr>
        <w:tc>
          <w:tcPr>
            <w:tcW w:w="2391" w:type="dxa"/>
          </w:tcPr>
          <w:p>
            <w:pPr>
              <w:pStyle w:val="TableParagraph"/>
              <w:spacing w:line="199" w:lineRule="exact"/>
              <w:ind w:left="67"/>
              <w:jc w:val="left"/>
              <w:rPr>
                <w:b/>
                <w:sz w:val="18"/>
              </w:rPr>
            </w:pPr>
            <w:r>
              <w:rPr>
                <w:b/>
                <w:color w:val="333333"/>
                <w:sz w:val="18"/>
              </w:rPr>
              <w:t>IXTAPALUCA</w:t>
            </w:r>
          </w:p>
        </w:tc>
        <w:tc>
          <w:tcPr>
            <w:tcW w:w="1018" w:type="dxa"/>
          </w:tcPr>
          <w:p>
            <w:pPr>
              <w:pStyle w:val="TableParagraph"/>
              <w:spacing w:line="203" w:lineRule="exact"/>
              <w:ind w:left="259" w:right="259"/>
              <w:rPr>
                <w:sz w:val="18"/>
              </w:rPr>
            </w:pPr>
            <w:r>
              <w:rPr>
                <w:sz w:val="18"/>
              </w:rPr>
              <w:t>9.00</w:t>
            </w:r>
          </w:p>
        </w:tc>
        <w:tc>
          <w:tcPr>
            <w:tcW w:w="982" w:type="dxa"/>
          </w:tcPr>
          <w:p>
            <w:pPr>
              <w:pStyle w:val="TableParagraph"/>
              <w:spacing w:line="203" w:lineRule="exact"/>
              <w:ind w:left="311" w:right="-2"/>
              <w:jc w:val="left"/>
              <w:rPr>
                <w:sz w:val="18"/>
              </w:rPr>
            </w:pPr>
            <w:r>
              <w:rPr>
                <w:sz w:val="18"/>
              </w:rPr>
              <w:t>9.29</w:t>
            </w:r>
          </w:p>
        </w:tc>
      </w:tr>
      <w:tr>
        <w:trPr>
          <w:trHeight w:val="319" w:hRule="exact"/>
        </w:trPr>
        <w:tc>
          <w:tcPr>
            <w:tcW w:w="2391" w:type="dxa"/>
          </w:tcPr>
          <w:p>
            <w:pPr>
              <w:pStyle w:val="TableParagraph"/>
              <w:spacing w:line="199" w:lineRule="exact"/>
              <w:ind w:left="67"/>
              <w:jc w:val="left"/>
              <w:rPr>
                <w:b/>
                <w:sz w:val="18"/>
              </w:rPr>
            </w:pPr>
            <w:r>
              <w:rPr>
                <w:b/>
                <w:color w:val="333333"/>
                <w:sz w:val="18"/>
              </w:rPr>
              <w:t>IXTAPAN DE LA SAL</w:t>
            </w:r>
          </w:p>
        </w:tc>
        <w:tc>
          <w:tcPr>
            <w:tcW w:w="1018" w:type="dxa"/>
          </w:tcPr>
          <w:p>
            <w:pPr>
              <w:pStyle w:val="TableParagraph"/>
              <w:spacing w:line="203" w:lineRule="exact"/>
              <w:ind w:left="259" w:right="259"/>
              <w:rPr>
                <w:sz w:val="18"/>
              </w:rPr>
            </w:pPr>
            <w:r>
              <w:rPr>
                <w:sz w:val="18"/>
              </w:rPr>
              <w:t>6.90</w:t>
            </w:r>
          </w:p>
        </w:tc>
        <w:tc>
          <w:tcPr>
            <w:tcW w:w="982" w:type="dxa"/>
          </w:tcPr>
          <w:p>
            <w:pPr>
              <w:pStyle w:val="TableParagraph"/>
              <w:spacing w:line="203" w:lineRule="exact"/>
              <w:ind w:left="311" w:right="-2"/>
              <w:jc w:val="left"/>
              <w:rPr>
                <w:sz w:val="18"/>
              </w:rPr>
            </w:pPr>
            <w:r>
              <w:rPr>
                <w:sz w:val="18"/>
              </w:rPr>
              <w:t>7.61</w:t>
            </w:r>
          </w:p>
        </w:tc>
      </w:tr>
      <w:tr>
        <w:trPr>
          <w:trHeight w:val="322" w:hRule="exact"/>
        </w:trPr>
        <w:tc>
          <w:tcPr>
            <w:tcW w:w="2391" w:type="dxa"/>
          </w:tcPr>
          <w:p>
            <w:pPr>
              <w:pStyle w:val="TableParagraph"/>
              <w:spacing w:line="199" w:lineRule="exact"/>
              <w:ind w:left="67"/>
              <w:jc w:val="left"/>
              <w:rPr>
                <w:b/>
                <w:sz w:val="18"/>
              </w:rPr>
            </w:pPr>
            <w:r>
              <w:rPr>
                <w:b/>
                <w:color w:val="333333"/>
                <w:sz w:val="18"/>
              </w:rPr>
              <w:t>IXTAPAN DEL ORO</w:t>
            </w:r>
          </w:p>
        </w:tc>
        <w:tc>
          <w:tcPr>
            <w:tcW w:w="1018" w:type="dxa"/>
          </w:tcPr>
          <w:p>
            <w:pPr>
              <w:pStyle w:val="TableParagraph"/>
              <w:spacing w:line="203" w:lineRule="exact"/>
              <w:ind w:left="259" w:right="259"/>
              <w:rPr>
                <w:sz w:val="18"/>
              </w:rPr>
            </w:pPr>
            <w:r>
              <w:rPr>
                <w:sz w:val="18"/>
              </w:rPr>
              <w:t>5.40</w:t>
            </w:r>
          </w:p>
        </w:tc>
        <w:tc>
          <w:tcPr>
            <w:tcW w:w="982" w:type="dxa"/>
          </w:tcPr>
          <w:p>
            <w:pPr>
              <w:pStyle w:val="TableParagraph"/>
              <w:spacing w:line="203" w:lineRule="exact"/>
              <w:ind w:left="311" w:right="-2"/>
              <w:jc w:val="left"/>
              <w:rPr>
                <w:sz w:val="18"/>
              </w:rPr>
            </w:pPr>
            <w:r>
              <w:rPr>
                <w:sz w:val="18"/>
              </w:rPr>
              <w:t>5.98</w:t>
            </w:r>
          </w:p>
        </w:tc>
      </w:tr>
      <w:tr>
        <w:trPr>
          <w:trHeight w:val="319" w:hRule="exact"/>
        </w:trPr>
        <w:tc>
          <w:tcPr>
            <w:tcW w:w="2391" w:type="dxa"/>
          </w:tcPr>
          <w:p>
            <w:pPr>
              <w:pStyle w:val="TableParagraph"/>
              <w:spacing w:line="199" w:lineRule="exact"/>
              <w:ind w:left="67"/>
              <w:jc w:val="left"/>
              <w:rPr>
                <w:b/>
                <w:sz w:val="18"/>
              </w:rPr>
            </w:pPr>
            <w:r>
              <w:rPr>
                <w:b/>
                <w:color w:val="333333"/>
                <w:sz w:val="18"/>
              </w:rPr>
              <w:t>IXTLAHUACA</w:t>
            </w:r>
          </w:p>
        </w:tc>
        <w:tc>
          <w:tcPr>
            <w:tcW w:w="1018" w:type="dxa"/>
          </w:tcPr>
          <w:p>
            <w:pPr>
              <w:pStyle w:val="TableParagraph"/>
              <w:spacing w:line="203" w:lineRule="exact"/>
              <w:ind w:left="259" w:right="259"/>
              <w:rPr>
                <w:sz w:val="18"/>
              </w:rPr>
            </w:pPr>
            <w:r>
              <w:rPr>
                <w:sz w:val="18"/>
              </w:rPr>
              <w:t>6.70</w:t>
            </w:r>
          </w:p>
        </w:tc>
        <w:tc>
          <w:tcPr>
            <w:tcW w:w="982" w:type="dxa"/>
          </w:tcPr>
          <w:p>
            <w:pPr>
              <w:pStyle w:val="TableParagraph"/>
              <w:spacing w:line="203" w:lineRule="exact"/>
              <w:ind w:left="311" w:right="-2"/>
              <w:jc w:val="left"/>
              <w:rPr>
                <w:sz w:val="18"/>
              </w:rPr>
            </w:pPr>
            <w:r>
              <w:rPr>
                <w:sz w:val="18"/>
              </w:rPr>
              <w:t>7.35</w:t>
            </w:r>
          </w:p>
        </w:tc>
      </w:tr>
      <w:tr>
        <w:trPr>
          <w:trHeight w:val="322" w:hRule="exact"/>
        </w:trPr>
        <w:tc>
          <w:tcPr>
            <w:tcW w:w="2391" w:type="dxa"/>
          </w:tcPr>
          <w:p>
            <w:pPr>
              <w:pStyle w:val="TableParagraph"/>
              <w:spacing w:line="199" w:lineRule="exact"/>
              <w:ind w:left="67"/>
              <w:jc w:val="left"/>
              <w:rPr>
                <w:b/>
                <w:sz w:val="18"/>
              </w:rPr>
            </w:pPr>
            <w:r>
              <w:rPr>
                <w:b/>
                <w:color w:val="333333"/>
                <w:sz w:val="18"/>
              </w:rPr>
              <w:t>JALTENCO</w:t>
            </w:r>
          </w:p>
        </w:tc>
        <w:tc>
          <w:tcPr>
            <w:tcW w:w="1018" w:type="dxa"/>
          </w:tcPr>
          <w:p>
            <w:pPr>
              <w:pStyle w:val="TableParagraph"/>
              <w:spacing w:line="203" w:lineRule="exact"/>
              <w:ind w:left="259" w:right="259"/>
              <w:rPr>
                <w:sz w:val="18"/>
              </w:rPr>
            </w:pPr>
            <w:r>
              <w:rPr>
                <w:sz w:val="18"/>
              </w:rPr>
              <w:t>9.30</w:t>
            </w:r>
          </w:p>
        </w:tc>
        <w:tc>
          <w:tcPr>
            <w:tcW w:w="982" w:type="dxa"/>
          </w:tcPr>
          <w:p>
            <w:pPr>
              <w:pStyle w:val="TableParagraph"/>
              <w:spacing w:line="203" w:lineRule="exact"/>
              <w:ind w:left="311" w:right="-2"/>
              <w:jc w:val="left"/>
              <w:rPr>
                <w:sz w:val="18"/>
              </w:rPr>
            </w:pPr>
            <w:r>
              <w:rPr>
                <w:sz w:val="18"/>
              </w:rPr>
              <w:t>9.53</w:t>
            </w:r>
          </w:p>
        </w:tc>
      </w:tr>
      <w:tr>
        <w:trPr>
          <w:trHeight w:val="320" w:hRule="exact"/>
        </w:trPr>
        <w:tc>
          <w:tcPr>
            <w:tcW w:w="2391" w:type="dxa"/>
          </w:tcPr>
          <w:p>
            <w:pPr>
              <w:pStyle w:val="TableParagraph"/>
              <w:spacing w:line="199" w:lineRule="exact"/>
              <w:ind w:left="67"/>
              <w:jc w:val="left"/>
              <w:rPr>
                <w:b/>
                <w:sz w:val="18"/>
              </w:rPr>
            </w:pPr>
            <w:r>
              <w:rPr>
                <w:b/>
                <w:color w:val="333333"/>
                <w:sz w:val="18"/>
              </w:rPr>
              <w:t>JILOTEPEC</w:t>
            </w:r>
          </w:p>
        </w:tc>
        <w:tc>
          <w:tcPr>
            <w:tcW w:w="1018" w:type="dxa"/>
          </w:tcPr>
          <w:p>
            <w:pPr>
              <w:pStyle w:val="TableParagraph"/>
              <w:spacing w:line="203" w:lineRule="exact"/>
              <w:ind w:left="259" w:right="259"/>
              <w:rPr>
                <w:sz w:val="18"/>
              </w:rPr>
            </w:pPr>
            <w:r>
              <w:rPr>
                <w:sz w:val="18"/>
              </w:rPr>
              <w:t>7.10</w:t>
            </w:r>
          </w:p>
        </w:tc>
        <w:tc>
          <w:tcPr>
            <w:tcW w:w="982" w:type="dxa"/>
          </w:tcPr>
          <w:p>
            <w:pPr>
              <w:pStyle w:val="TableParagraph"/>
              <w:spacing w:line="203" w:lineRule="exact"/>
              <w:ind w:left="311" w:right="-2"/>
              <w:jc w:val="left"/>
              <w:rPr>
                <w:sz w:val="18"/>
              </w:rPr>
            </w:pPr>
            <w:r>
              <w:rPr>
                <w:sz w:val="18"/>
              </w:rPr>
              <w:t>7.72</w:t>
            </w:r>
          </w:p>
        </w:tc>
      </w:tr>
      <w:tr>
        <w:trPr>
          <w:trHeight w:val="322" w:hRule="exact"/>
        </w:trPr>
        <w:tc>
          <w:tcPr>
            <w:tcW w:w="2391" w:type="dxa"/>
          </w:tcPr>
          <w:p>
            <w:pPr>
              <w:pStyle w:val="TableParagraph"/>
              <w:spacing w:line="199" w:lineRule="exact"/>
              <w:ind w:left="67"/>
              <w:jc w:val="left"/>
              <w:rPr>
                <w:b/>
                <w:sz w:val="18"/>
              </w:rPr>
            </w:pPr>
            <w:r>
              <w:rPr>
                <w:b/>
                <w:color w:val="333333"/>
                <w:sz w:val="18"/>
              </w:rPr>
              <w:t>JILOTZINGO</w:t>
            </w:r>
          </w:p>
        </w:tc>
        <w:tc>
          <w:tcPr>
            <w:tcW w:w="1018" w:type="dxa"/>
          </w:tcPr>
          <w:p>
            <w:pPr>
              <w:pStyle w:val="TableParagraph"/>
              <w:spacing w:line="203" w:lineRule="exact"/>
              <w:ind w:left="259" w:right="259"/>
              <w:rPr>
                <w:sz w:val="18"/>
              </w:rPr>
            </w:pPr>
            <w:r>
              <w:rPr>
                <w:sz w:val="18"/>
              </w:rPr>
              <w:t>7.80</w:t>
            </w:r>
          </w:p>
        </w:tc>
        <w:tc>
          <w:tcPr>
            <w:tcW w:w="982" w:type="dxa"/>
          </w:tcPr>
          <w:p>
            <w:pPr>
              <w:pStyle w:val="TableParagraph"/>
              <w:spacing w:line="203" w:lineRule="exact"/>
              <w:ind w:left="311" w:right="-2"/>
              <w:jc w:val="left"/>
              <w:rPr>
                <w:sz w:val="18"/>
              </w:rPr>
            </w:pPr>
            <w:r>
              <w:rPr>
                <w:sz w:val="18"/>
              </w:rPr>
              <w:t>8.22</w:t>
            </w:r>
          </w:p>
        </w:tc>
      </w:tr>
      <w:tr>
        <w:trPr>
          <w:trHeight w:val="319" w:hRule="exact"/>
        </w:trPr>
        <w:tc>
          <w:tcPr>
            <w:tcW w:w="2391" w:type="dxa"/>
          </w:tcPr>
          <w:p>
            <w:pPr>
              <w:pStyle w:val="TableParagraph"/>
              <w:spacing w:line="199" w:lineRule="exact"/>
              <w:ind w:left="67"/>
              <w:jc w:val="left"/>
              <w:rPr>
                <w:b/>
                <w:sz w:val="18"/>
              </w:rPr>
            </w:pPr>
            <w:r>
              <w:rPr>
                <w:b/>
                <w:color w:val="333333"/>
                <w:sz w:val="18"/>
              </w:rPr>
              <w:t>JIQUIPILCO</w:t>
            </w:r>
          </w:p>
        </w:tc>
        <w:tc>
          <w:tcPr>
            <w:tcW w:w="1018" w:type="dxa"/>
          </w:tcPr>
          <w:p>
            <w:pPr>
              <w:pStyle w:val="TableParagraph"/>
              <w:spacing w:line="203" w:lineRule="exact"/>
              <w:ind w:left="259" w:right="259"/>
              <w:rPr>
                <w:sz w:val="18"/>
              </w:rPr>
            </w:pPr>
            <w:r>
              <w:rPr>
                <w:sz w:val="18"/>
              </w:rPr>
              <w:t>6.30</w:t>
            </w:r>
          </w:p>
        </w:tc>
        <w:tc>
          <w:tcPr>
            <w:tcW w:w="982" w:type="dxa"/>
          </w:tcPr>
          <w:p>
            <w:pPr>
              <w:pStyle w:val="TableParagraph"/>
              <w:spacing w:line="203" w:lineRule="exact"/>
              <w:ind w:left="311" w:right="-2"/>
              <w:jc w:val="left"/>
              <w:rPr>
                <w:sz w:val="18"/>
              </w:rPr>
            </w:pPr>
            <w:r>
              <w:rPr>
                <w:sz w:val="18"/>
              </w:rPr>
              <w:t>7.00</w:t>
            </w:r>
          </w:p>
        </w:tc>
      </w:tr>
      <w:tr>
        <w:trPr>
          <w:trHeight w:val="322" w:hRule="exact"/>
        </w:trPr>
        <w:tc>
          <w:tcPr>
            <w:tcW w:w="2391" w:type="dxa"/>
          </w:tcPr>
          <w:p>
            <w:pPr>
              <w:pStyle w:val="TableParagraph"/>
              <w:spacing w:line="199" w:lineRule="exact"/>
              <w:ind w:left="67"/>
              <w:jc w:val="left"/>
              <w:rPr>
                <w:b/>
                <w:sz w:val="18"/>
              </w:rPr>
            </w:pPr>
            <w:r>
              <w:rPr>
                <w:b/>
                <w:color w:val="333333"/>
                <w:sz w:val="18"/>
              </w:rPr>
              <w:t>JOCOTITLAN</w:t>
            </w:r>
          </w:p>
        </w:tc>
        <w:tc>
          <w:tcPr>
            <w:tcW w:w="1018" w:type="dxa"/>
          </w:tcPr>
          <w:p>
            <w:pPr>
              <w:pStyle w:val="TableParagraph"/>
              <w:spacing w:line="203" w:lineRule="exact"/>
              <w:ind w:left="259" w:right="259"/>
              <w:rPr>
                <w:sz w:val="18"/>
              </w:rPr>
            </w:pPr>
            <w:r>
              <w:rPr>
                <w:sz w:val="18"/>
              </w:rPr>
              <w:t>7.60</w:t>
            </w:r>
          </w:p>
        </w:tc>
        <w:tc>
          <w:tcPr>
            <w:tcW w:w="982" w:type="dxa"/>
          </w:tcPr>
          <w:p>
            <w:pPr>
              <w:pStyle w:val="TableParagraph"/>
              <w:spacing w:line="203" w:lineRule="exact"/>
              <w:ind w:left="311" w:right="-2"/>
              <w:jc w:val="left"/>
              <w:rPr>
                <w:sz w:val="18"/>
              </w:rPr>
            </w:pPr>
            <w:r>
              <w:rPr>
                <w:sz w:val="18"/>
              </w:rPr>
              <w:t>8.20</w:t>
            </w:r>
          </w:p>
        </w:tc>
      </w:tr>
      <w:tr>
        <w:trPr>
          <w:trHeight w:val="319" w:hRule="exact"/>
        </w:trPr>
        <w:tc>
          <w:tcPr>
            <w:tcW w:w="2391" w:type="dxa"/>
          </w:tcPr>
          <w:p>
            <w:pPr>
              <w:pStyle w:val="TableParagraph"/>
              <w:spacing w:line="199" w:lineRule="exact"/>
              <w:ind w:left="67"/>
              <w:jc w:val="left"/>
              <w:rPr>
                <w:b/>
                <w:sz w:val="18"/>
              </w:rPr>
            </w:pPr>
            <w:r>
              <w:rPr>
                <w:b/>
                <w:color w:val="333333"/>
                <w:sz w:val="18"/>
              </w:rPr>
              <w:t>JOQUICINGO</w:t>
            </w:r>
          </w:p>
        </w:tc>
        <w:tc>
          <w:tcPr>
            <w:tcW w:w="1018" w:type="dxa"/>
          </w:tcPr>
          <w:p>
            <w:pPr>
              <w:pStyle w:val="TableParagraph"/>
              <w:spacing w:line="203" w:lineRule="exact"/>
              <w:ind w:left="259" w:right="259"/>
              <w:rPr>
                <w:sz w:val="18"/>
              </w:rPr>
            </w:pPr>
            <w:r>
              <w:rPr>
                <w:sz w:val="18"/>
              </w:rPr>
              <w:t>6.90</w:t>
            </w:r>
          </w:p>
        </w:tc>
        <w:tc>
          <w:tcPr>
            <w:tcW w:w="982" w:type="dxa"/>
          </w:tcPr>
          <w:p>
            <w:pPr>
              <w:pStyle w:val="TableParagraph"/>
              <w:spacing w:line="203" w:lineRule="exact"/>
              <w:ind w:left="311" w:right="-2"/>
              <w:jc w:val="left"/>
              <w:rPr>
                <w:sz w:val="18"/>
              </w:rPr>
            </w:pPr>
            <w:r>
              <w:rPr>
                <w:sz w:val="18"/>
              </w:rPr>
              <w:t>7.47</w:t>
            </w:r>
          </w:p>
        </w:tc>
      </w:tr>
      <w:tr>
        <w:trPr>
          <w:trHeight w:val="322" w:hRule="exact"/>
        </w:trPr>
        <w:tc>
          <w:tcPr>
            <w:tcW w:w="2391" w:type="dxa"/>
          </w:tcPr>
          <w:p>
            <w:pPr>
              <w:pStyle w:val="TableParagraph"/>
              <w:spacing w:line="201" w:lineRule="exact"/>
              <w:ind w:left="67"/>
              <w:jc w:val="left"/>
              <w:rPr>
                <w:b/>
                <w:sz w:val="18"/>
              </w:rPr>
            </w:pPr>
            <w:r>
              <w:rPr>
                <w:b/>
                <w:color w:val="333333"/>
                <w:sz w:val="18"/>
              </w:rPr>
              <w:t>JUCHITEPEC</w:t>
            </w:r>
          </w:p>
        </w:tc>
        <w:tc>
          <w:tcPr>
            <w:tcW w:w="1018" w:type="dxa"/>
          </w:tcPr>
          <w:p>
            <w:pPr>
              <w:pStyle w:val="TableParagraph"/>
              <w:spacing w:line="206" w:lineRule="exact"/>
              <w:ind w:left="259" w:right="259"/>
              <w:rPr>
                <w:sz w:val="18"/>
              </w:rPr>
            </w:pPr>
            <w:r>
              <w:rPr>
                <w:sz w:val="18"/>
              </w:rPr>
              <w:t>7.40</w:t>
            </w:r>
          </w:p>
        </w:tc>
        <w:tc>
          <w:tcPr>
            <w:tcW w:w="982" w:type="dxa"/>
          </w:tcPr>
          <w:p>
            <w:pPr>
              <w:pStyle w:val="TableParagraph"/>
              <w:spacing w:line="206" w:lineRule="exact"/>
              <w:ind w:left="311" w:right="-2"/>
              <w:jc w:val="left"/>
              <w:rPr>
                <w:sz w:val="18"/>
              </w:rPr>
            </w:pPr>
            <w:r>
              <w:rPr>
                <w:sz w:val="18"/>
              </w:rPr>
              <w:t>7.82</w:t>
            </w:r>
          </w:p>
        </w:tc>
      </w:tr>
      <w:tr>
        <w:trPr>
          <w:trHeight w:val="319" w:hRule="exact"/>
        </w:trPr>
        <w:tc>
          <w:tcPr>
            <w:tcW w:w="2391" w:type="dxa"/>
          </w:tcPr>
          <w:p>
            <w:pPr>
              <w:pStyle w:val="TableParagraph"/>
              <w:spacing w:line="199" w:lineRule="exact"/>
              <w:ind w:left="67"/>
              <w:jc w:val="left"/>
              <w:rPr>
                <w:b/>
                <w:sz w:val="18"/>
              </w:rPr>
            </w:pPr>
            <w:r>
              <w:rPr>
                <w:b/>
                <w:color w:val="333333"/>
                <w:sz w:val="18"/>
              </w:rPr>
              <w:t>LA PAZ</w:t>
            </w:r>
          </w:p>
        </w:tc>
        <w:tc>
          <w:tcPr>
            <w:tcW w:w="1018" w:type="dxa"/>
          </w:tcPr>
          <w:p>
            <w:pPr>
              <w:pStyle w:val="TableParagraph"/>
              <w:spacing w:line="203" w:lineRule="exact"/>
              <w:ind w:left="259" w:right="259"/>
              <w:rPr>
                <w:sz w:val="18"/>
              </w:rPr>
            </w:pPr>
            <w:r>
              <w:rPr>
                <w:sz w:val="18"/>
              </w:rPr>
              <w:t>8.30</w:t>
            </w:r>
          </w:p>
        </w:tc>
        <w:tc>
          <w:tcPr>
            <w:tcW w:w="982" w:type="dxa"/>
          </w:tcPr>
          <w:p>
            <w:pPr>
              <w:pStyle w:val="TableParagraph"/>
              <w:spacing w:line="203" w:lineRule="exact"/>
              <w:ind w:left="311" w:right="-2"/>
              <w:jc w:val="left"/>
              <w:rPr>
                <w:sz w:val="18"/>
              </w:rPr>
            </w:pPr>
            <w:r>
              <w:rPr>
                <w:sz w:val="18"/>
              </w:rPr>
              <w:t>8.69</w:t>
            </w:r>
          </w:p>
        </w:tc>
      </w:tr>
      <w:tr>
        <w:trPr>
          <w:trHeight w:val="322" w:hRule="exact"/>
        </w:trPr>
        <w:tc>
          <w:tcPr>
            <w:tcW w:w="2391" w:type="dxa"/>
          </w:tcPr>
          <w:p>
            <w:pPr>
              <w:pStyle w:val="TableParagraph"/>
              <w:spacing w:line="201" w:lineRule="exact"/>
              <w:ind w:left="67"/>
              <w:jc w:val="left"/>
              <w:rPr>
                <w:b/>
                <w:sz w:val="18"/>
              </w:rPr>
            </w:pPr>
            <w:r>
              <w:rPr>
                <w:b/>
                <w:color w:val="333333"/>
                <w:sz w:val="18"/>
              </w:rPr>
              <w:t>LERMA</w:t>
            </w:r>
          </w:p>
        </w:tc>
        <w:tc>
          <w:tcPr>
            <w:tcW w:w="1018" w:type="dxa"/>
          </w:tcPr>
          <w:p>
            <w:pPr>
              <w:pStyle w:val="TableParagraph"/>
              <w:spacing w:line="206" w:lineRule="exact"/>
              <w:ind w:left="259" w:right="259"/>
              <w:rPr>
                <w:sz w:val="18"/>
              </w:rPr>
            </w:pPr>
            <w:r>
              <w:rPr>
                <w:sz w:val="18"/>
              </w:rPr>
              <w:t>8.40</w:t>
            </w:r>
          </w:p>
        </w:tc>
        <w:tc>
          <w:tcPr>
            <w:tcW w:w="982" w:type="dxa"/>
          </w:tcPr>
          <w:p>
            <w:pPr>
              <w:pStyle w:val="TableParagraph"/>
              <w:spacing w:line="206" w:lineRule="exact"/>
              <w:ind w:left="311" w:right="-2"/>
              <w:jc w:val="left"/>
              <w:rPr>
                <w:sz w:val="18"/>
              </w:rPr>
            </w:pPr>
            <w:r>
              <w:rPr>
                <w:sz w:val="18"/>
              </w:rPr>
              <w:t>9.03</w:t>
            </w:r>
          </w:p>
        </w:tc>
      </w:tr>
      <w:tr>
        <w:trPr>
          <w:trHeight w:val="322" w:hRule="exact"/>
        </w:trPr>
        <w:tc>
          <w:tcPr>
            <w:tcW w:w="2391" w:type="dxa"/>
          </w:tcPr>
          <w:p>
            <w:pPr>
              <w:pStyle w:val="TableParagraph"/>
              <w:spacing w:line="199" w:lineRule="exact"/>
              <w:ind w:left="67"/>
              <w:jc w:val="left"/>
              <w:rPr>
                <w:b/>
                <w:sz w:val="18"/>
              </w:rPr>
            </w:pPr>
            <w:r>
              <w:rPr>
                <w:b/>
                <w:color w:val="333333"/>
                <w:sz w:val="18"/>
              </w:rPr>
              <w:t>LUVIANOS</w:t>
            </w:r>
          </w:p>
        </w:tc>
        <w:tc>
          <w:tcPr>
            <w:tcW w:w="1018" w:type="dxa"/>
          </w:tcPr>
          <w:p>
            <w:pPr>
              <w:pStyle w:val="TableParagraph"/>
              <w:spacing w:line="203" w:lineRule="exact"/>
              <w:ind w:left="259" w:right="259"/>
              <w:rPr>
                <w:sz w:val="18"/>
              </w:rPr>
            </w:pPr>
            <w:r>
              <w:rPr>
                <w:sz w:val="18"/>
              </w:rPr>
              <w:t>5.00</w:t>
            </w:r>
          </w:p>
        </w:tc>
        <w:tc>
          <w:tcPr>
            <w:tcW w:w="982" w:type="dxa"/>
          </w:tcPr>
          <w:p>
            <w:pPr>
              <w:pStyle w:val="TableParagraph"/>
              <w:spacing w:line="203" w:lineRule="exact"/>
              <w:ind w:left="311" w:right="-2"/>
              <w:jc w:val="left"/>
              <w:rPr>
                <w:sz w:val="18"/>
              </w:rPr>
            </w:pPr>
            <w:r>
              <w:rPr>
                <w:sz w:val="18"/>
              </w:rPr>
              <w:t>5.61</w:t>
            </w:r>
          </w:p>
        </w:tc>
      </w:tr>
      <w:tr>
        <w:trPr>
          <w:trHeight w:val="319" w:hRule="exact"/>
        </w:trPr>
        <w:tc>
          <w:tcPr>
            <w:tcW w:w="2391" w:type="dxa"/>
          </w:tcPr>
          <w:p>
            <w:pPr>
              <w:pStyle w:val="TableParagraph"/>
              <w:spacing w:line="199" w:lineRule="exact"/>
              <w:ind w:left="67"/>
              <w:jc w:val="left"/>
              <w:rPr>
                <w:b/>
                <w:sz w:val="18"/>
              </w:rPr>
            </w:pPr>
            <w:r>
              <w:rPr>
                <w:b/>
                <w:color w:val="333333"/>
                <w:sz w:val="18"/>
              </w:rPr>
              <w:t>MALINALCO</w:t>
            </w:r>
          </w:p>
        </w:tc>
        <w:tc>
          <w:tcPr>
            <w:tcW w:w="1018" w:type="dxa"/>
          </w:tcPr>
          <w:p>
            <w:pPr>
              <w:pStyle w:val="TableParagraph"/>
              <w:spacing w:line="203" w:lineRule="exact"/>
              <w:ind w:left="259" w:right="259"/>
              <w:rPr>
                <w:sz w:val="18"/>
              </w:rPr>
            </w:pPr>
            <w:r>
              <w:rPr>
                <w:sz w:val="18"/>
              </w:rPr>
              <w:t>6.20</w:t>
            </w:r>
          </w:p>
        </w:tc>
        <w:tc>
          <w:tcPr>
            <w:tcW w:w="982" w:type="dxa"/>
          </w:tcPr>
          <w:p>
            <w:pPr>
              <w:pStyle w:val="TableParagraph"/>
              <w:spacing w:line="203" w:lineRule="exact"/>
              <w:ind w:left="311" w:right="-2"/>
              <w:jc w:val="left"/>
              <w:rPr>
                <w:sz w:val="18"/>
              </w:rPr>
            </w:pPr>
            <w:r>
              <w:rPr>
                <w:sz w:val="18"/>
              </w:rPr>
              <w:t>6.79</w:t>
            </w:r>
          </w:p>
        </w:tc>
      </w:tr>
      <w:tr>
        <w:trPr>
          <w:trHeight w:val="322" w:hRule="exact"/>
        </w:trPr>
        <w:tc>
          <w:tcPr>
            <w:tcW w:w="2391" w:type="dxa"/>
          </w:tcPr>
          <w:p>
            <w:pPr>
              <w:pStyle w:val="TableParagraph"/>
              <w:spacing w:line="199" w:lineRule="exact"/>
              <w:ind w:left="67"/>
              <w:jc w:val="left"/>
              <w:rPr>
                <w:b/>
                <w:sz w:val="18"/>
              </w:rPr>
            </w:pPr>
            <w:r>
              <w:rPr>
                <w:b/>
                <w:color w:val="333333"/>
                <w:sz w:val="18"/>
              </w:rPr>
              <w:t>MELCHOR OCAMPO</w:t>
            </w:r>
          </w:p>
        </w:tc>
        <w:tc>
          <w:tcPr>
            <w:tcW w:w="1018" w:type="dxa"/>
          </w:tcPr>
          <w:p>
            <w:pPr>
              <w:pStyle w:val="TableParagraph"/>
              <w:spacing w:line="203" w:lineRule="exact"/>
              <w:ind w:left="259" w:right="259"/>
              <w:rPr>
                <w:sz w:val="18"/>
              </w:rPr>
            </w:pPr>
            <w:r>
              <w:rPr>
                <w:sz w:val="18"/>
              </w:rPr>
              <w:t>8.40</w:t>
            </w:r>
          </w:p>
        </w:tc>
        <w:tc>
          <w:tcPr>
            <w:tcW w:w="982" w:type="dxa"/>
          </w:tcPr>
          <w:p>
            <w:pPr>
              <w:pStyle w:val="TableParagraph"/>
              <w:spacing w:line="203" w:lineRule="exact"/>
              <w:ind w:left="311" w:right="-2"/>
              <w:jc w:val="left"/>
              <w:rPr>
                <w:sz w:val="18"/>
              </w:rPr>
            </w:pPr>
            <w:r>
              <w:rPr>
                <w:sz w:val="18"/>
              </w:rPr>
              <w:t>9.04</w:t>
            </w:r>
          </w:p>
        </w:tc>
      </w:tr>
      <w:tr>
        <w:trPr>
          <w:trHeight w:val="320" w:hRule="exact"/>
        </w:trPr>
        <w:tc>
          <w:tcPr>
            <w:tcW w:w="2391" w:type="dxa"/>
          </w:tcPr>
          <w:p>
            <w:pPr>
              <w:pStyle w:val="TableParagraph"/>
              <w:spacing w:line="199" w:lineRule="exact"/>
              <w:ind w:left="67"/>
              <w:jc w:val="left"/>
              <w:rPr>
                <w:b/>
                <w:sz w:val="18"/>
              </w:rPr>
            </w:pPr>
            <w:r>
              <w:rPr>
                <w:b/>
                <w:color w:val="333333"/>
                <w:sz w:val="18"/>
              </w:rPr>
              <w:t>METEPEC</w:t>
            </w:r>
          </w:p>
        </w:tc>
        <w:tc>
          <w:tcPr>
            <w:tcW w:w="1018" w:type="dxa"/>
          </w:tcPr>
          <w:p>
            <w:pPr>
              <w:pStyle w:val="TableParagraph"/>
              <w:spacing w:line="203" w:lineRule="exact"/>
              <w:ind w:left="259" w:right="259"/>
              <w:rPr>
                <w:sz w:val="18"/>
              </w:rPr>
            </w:pPr>
            <w:r>
              <w:rPr>
                <w:sz w:val="18"/>
              </w:rPr>
              <w:t>10.90</w:t>
            </w:r>
          </w:p>
        </w:tc>
        <w:tc>
          <w:tcPr>
            <w:tcW w:w="982" w:type="dxa"/>
          </w:tcPr>
          <w:p>
            <w:pPr>
              <w:pStyle w:val="TableParagraph"/>
              <w:spacing w:line="203" w:lineRule="exact"/>
              <w:ind w:left="261" w:right="-2"/>
              <w:jc w:val="left"/>
              <w:rPr>
                <w:sz w:val="18"/>
              </w:rPr>
            </w:pPr>
            <w:r>
              <w:rPr>
                <w:sz w:val="18"/>
              </w:rPr>
              <w:t>11.37</w:t>
            </w:r>
          </w:p>
        </w:tc>
      </w:tr>
      <w:tr>
        <w:trPr>
          <w:trHeight w:val="322" w:hRule="exact"/>
        </w:trPr>
        <w:tc>
          <w:tcPr>
            <w:tcW w:w="2391" w:type="dxa"/>
          </w:tcPr>
          <w:p>
            <w:pPr>
              <w:pStyle w:val="TableParagraph"/>
              <w:spacing w:line="199" w:lineRule="exact"/>
              <w:ind w:left="67"/>
              <w:jc w:val="left"/>
              <w:rPr>
                <w:b/>
                <w:sz w:val="18"/>
              </w:rPr>
            </w:pPr>
            <w:r>
              <w:rPr>
                <w:b/>
                <w:color w:val="333333"/>
                <w:sz w:val="18"/>
              </w:rPr>
              <w:t>MEXICALTCINGO</w:t>
            </w:r>
          </w:p>
        </w:tc>
        <w:tc>
          <w:tcPr>
            <w:tcW w:w="1018" w:type="dxa"/>
          </w:tcPr>
          <w:p>
            <w:pPr>
              <w:pStyle w:val="TableParagraph"/>
              <w:spacing w:line="203" w:lineRule="exact"/>
              <w:ind w:left="259" w:right="259"/>
              <w:rPr>
                <w:sz w:val="18"/>
              </w:rPr>
            </w:pPr>
            <w:r>
              <w:rPr>
                <w:sz w:val="18"/>
              </w:rPr>
              <w:t>8.50</w:t>
            </w:r>
          </w:p>
        </w:tc>
        <w:tc>
          <w:tcPr>
            <w:tcW w:w="982" w:type="dxa"/>
          </w:tcPr>
          <w:p>
            <w:pPr>
              <w:pStyle w:val="TableParagraph"/>
              <w:spacing w:line="203" w:lineRule="exact"/>
              <w:ind w:left="311" w:right="-2"/>
              <w:jc w:val="left"/>
              <w:rPr>
                <w:sz w:val="18"/>
              </w:rPr>
            </w:pPr>
            <w:r>
              <w:rPr>
                <w:sz w:val="18"/>
              </w:rPr>
              <w:t>9.15</w:t>
            </w:r>
          </w:p>
        </w:tc>
      </w:tr>
      <w:tr>
        <w:trPr>
          <w:trHeight w:val="319" w:hRule="exact"/>
        </w:trPr>
        <w:tc>
          <w:tcPr>
            <w:tcW w:w="2391" w:type="dxa"/>
          </w:tcPr>
          <w:p>
            <w:pPr>
              <w:pStyle w:val="TableParagraph"/>
              <w:spacing w:line="199" w:lineRule="exact"/>
              <w:ind w:left="67"/>
              <w:jc w:val="left"/>
              <w:rPr>
                <w:b/>
                <w:sz w:val="18"/>
              </w:rPr>
            </w:pPr>
            <w:r>
              <w:rPr>
                <w:b/>
                <w:color w:val="333333"/>
                <w:sz w:val="18"/>
              </w:rPr>
              <w:t>MORELOS</w:t>
            </w:r>
          </w:p>
        </w:tc>
        <w:tc>
          <w:tcPr>
            <w:tcW w:w="1018" w:type="dxa"/>
          </w:tcPr>
          <w:p>
            <w:pPr>
              <w:pStyle w:val="TableParagraph"/>
              <w:spacing w:line="203" w:lineRule="exact"/>
              <w:ind w:left="259" w:right="259"/>
              <w:rPr>
                <w:sz w:val="18"/>
              </w:rPr>
            </w:pPr>
            <w:r>
              <w:rPr>
                <w:sz w:val="18"/>
              </w:rPr>
              <w:t>5.60</w:t>
            </w:r>
          </w:p>
        </w:tc>
        <w:tc>
          <w:tcPr>
            <w:tcW w:w="982" w:type="dxa"/>
          </w:tcPr>
          <w:p>
            <w:pPr>
              <w:pStyle w:val="TableParagraph"/>
              <w:spacing w:line="203" w:lineRule="exact"/>
              <w:ind w:left="311" w:right="-2"/>
              <w:jc w:val="left"/>
              <w:rPr>
                <w:sz w:val="18"/>
              </w:rPr>
            </w:pPr>
            <w:r>
              <w:rPr>
                <w:sz w:val="18"/>
              </w:rPr>
              <w:t>6.20</w:t>
            </w:r>
          </w:p>
        </w:tc>
      </w:tr>
      <w:tr>
        <w:trPr>
          <w:trHeight w:val="322" w:hRule="exact"/>
        </w:trPr>
        <w:tc>
          <w:tcPr>
            <w:tcW w:w="2391" w:type="dxa"/>
          </w:tcPr>
          <w:p>
            <w:pPr>
              <w:pStyle w:val="TableParagraph"/>
              <w:spacing w:line="199" w:lineRule="exact"/>
              <w:ind w:left="67"/>
              <w:jc w:val="left"/>
              <w:rPr>
                <w:b/>
                <w:sz w:val="18"/>
              </w:rPr>
            </w:pPr>
            <w:r>
              <w:rPr>
                <w:b/>
                <w:color w:val="333333"/>
                <w:sz w:val="18"/>
              </w:rPr>
              <w:t>NAUCALPAN DE JUAREZ</w:t>
            </w:r>
          </w:p>
        </w:tc>
        <w:tc>
          <w:tcPr>
            <w:tcW w:w="1018" w:type="dxa"/>
          </w:tcPr>
          <w:p>
            <w:pPr>
              <w:pStyle w:val="TableParagraph"/>
              <w:spacing w:line="203" w:lineRule="exact"/>
              <w:ind w:left="259" w:right="259"/>
              <w:rPr>
                <w:sz w:val="18"/>
              </w:rPr>
            </w:pPr>
            <w:r>
              <w:rPr>
                <w:sz w:val="18"/>
              </w:rPr>
              <w:t>9.40</w:t>
            </w:r>
          </w:p>
        </w:tc>
        <w:tc>
          <w:tcPr>
            <w:tcW w:w="982" w:type="dxa"/>
          </w:tcPr>
          <w:p>
            <w:pPr>
              <w:pStyle w:val="TableParagraph"/>
              <w:spacing w:line="203" w:lineRule="exact"/>
              <w:ind w:left="311" w:right="-2"/>
              <w:jc w:val="left"/>
              <w:rPr>
                <w:sz w:val="18"/>
              </w:rPr>
            </w:pPr>
            <w:r>
              <w:rPr>
                <w:sz w:val="18"/>
              </w:rPr>
              <w:t>9.73</w:t>
            </w:r>
          </w:p>
        </w:tc>
      </w:tr>
      <w:tr>
        <w:trPr>
          <w:trHeight w:val="319" w:hRule="exact"/>
        </w:trPr>
        <w:tc>
          <w:tcPr>
            <w:tcW w:w="2391" w:type="dxa"/>
          </w:tcPr>
          <w:p>
            <w:pPr>
              <w:pStyle w:val="TableParagraph"/>
              <w:spacing w:line="199" w:lineRule="exact"/>
              <w:ind w:left="67"/>
              <w:jc w:val="left"/>
              <w:rPr>
                <w:b/>
                <w:sz w:val="18"/>
              </w:rPr>
            </w:pPr>
            <w:r>
              <w:rPr>
                <w:b/>
                <w:color w:val="333333"/>
                <w:sz w:val="18"/>
              </w:rPr>
              <w:t>NEXTLALPAN</w:t>
            </w:r>
          </w:p>
        </w:tc>
        <w:tc>
          <w:tcPr>
            <w:tcW w:w="1018" w:type="dxa"/>
          </w:tcPr>
          <w:p>
            <w:pPr>
              <w:pStyle w:val="TableParagraph"/>
              <w:spacing w:line="203" w:lineRule="exact"/>
              <w:ind w:left="259" w:right="259"/>
              <w:rPr>
                <w:sz w:val="18"/>
              </w:rPr>
            </w:pPr>
            <w:r>
              <w:rPr>
                <w:sz w:val="18"/>
              </w:rPr>
              <w:t>7.90</w:t>
            </w:r>
          </w:p>
        </w:tc>
        <w:tc>
          <w:tcPr>
            <w:tcW w:w="982" w:type="dxa"/>
          </w:tcPr>
          <w:p>
            <w:pPr>
              <w:pStyle w:val="TableParagraph"/>
              <w:spacing w:line="203" w:lineRule="exact"/>
              <w:ind w:left="311" w:right="-2"/>
              <w:jc w:val="left"/>
              <w:rPr>
                <w:sz w:val="18"/>
              </w:rPr>
            </w:pPr>
            <w:r>
              <w:rPr>
                <w:sz w:val="18"/>
              </w:rPr>
              <w:t>9.50</w:t>
            </w:r>
          </w:p>
        </w:tc>
      </w:tr>
      <w:tr>
        <w:trPr>
          <w:trHeight w:val="322" w:hRule="exact"/>
        </w:trPr>
        <w:tc>
          <w:tcPr>
            <w:tcW w:w="2391" w:type="dxa"/>
          </w:tcPr>
          <w:p>
            <w:pPr>
              <w:pStyle w:val="TableParagraph"/>
              <w:spacing w:line="199" w:lineRule="exact"/>
              <w:ind w:left="67"/>
              <w:jc w:val="left"/>
              <w:rPr>
                <w:b/>
                <w:sz w:val="18"/>
              </w:rPr>
            </w:pPr>
            <w:r>
              <w:rPr>
                <w:b/>
                <w:color w:val="333333"/>
                <w:sz w:val="18"/>
              </w:rPr>
              <w:t>NEZAHUALCOYOTL</w:t>
            </w:r>
          </w:p>
        </w:tc>
        <w:tc>
          <w:tcPr>
            <w:tcW w:w="1018" w:type="dxa"/>
          </w:tcPr>
          <w:p>
            <w:pPr>
              <w:pStyle w:val="TableParagraph"/>
              <w:spacing w:line="203" w:lineRule="exact"/>
              <w:ind w:left="259" w:right="259"/>
              <w:rPr>
                <w:sz w:val="18"/>
              </w:rPr>
            </w:pPr>
            <w:r>
              <w:rPr>
                <w:sz w:val="18"/>
              </w:rPr>
              <w:t>9.10</w:t>
            </w:r>
          </w:p>
        </w:tc>
        <w:tc>
          <w:tcPr>
            <w:tcW w:w="982" w:type="dxa"/>
          </w:tcPr>
          <w:p>
            <w:pPr>
              <w:pStyle w:val="TableParagraph"/>
              <w:spacing w:line="203" w:lineRule="exact"/>
              <w:ind w:left="311" w:right="-2"/>
              <w:jc w:val="left"/>
              <w:rPr>
                <w:sz w:val="18"/>
              </w:rPr>
            </w:pPr>
            <w:r>
              <w:rPr>
                <w:sz w:val="18"/>
              </w:rPr>
              <w:t>8.56</w:t>
            </w:r>
          </w:p>
        </w:tc>
      </w:tr>
      <w:tr>
        <w:trPr>
          <w:trHeight w:val="319" w:hRule="exact"/>
        </w:trPr>
        <w:tc>
          <w:tcPr>
            <w:tcW w:w="2391" w:type="dxa"/>
          </w:tcPr>
          <w:p>
            <w:pPr>
              <w:pStyle w:val="TableParagraph"/>
              <w:spacing w:line="199" w:lineRule="exact"/>
              <w:ind w:left="67"/>
              <w:jc w:val="left"/>
              <w:rPr>
                <w:b/>
                <w:sz w:val="18"/>
              </w:rPr>
            </w:pPr>
            <w:r>
              <w:rPr>
                <w:b/>
                <w:color w:val="333333"/>
                <w:sz w:val="18"/>
              </w:rPr>
              <w:t>NICOLAS ROMERO</w:t>
            </w:r>
          </w:p>
        </w:tc>
        <w:tc>
          <w:tcPr>
            <w:tcW w:w="1018" w:type="dxa"/>
          </w:tcPr>
          <w:p>
            <w:pPr>
              <w:pStyle w:val="TableParagraph"/>
              <w:spacing w:line="203" w:lineRule="exact"/>
              <w:ind w:left="259" w:right="259"/>
              <w:rPr>
                <w:sz w:val="18"/>
              </w:rPr>
            </w:pPr>
            <w:r>
              <w:rPr>
                <w:sz w:val="18"/>
              </w:rPr>
              <w:t>8.20</w:t>
            </w:r>
          </w:p>
        </w:tc>
        <w:tc>
          <w:tcPr>
            <w:tcW w:w="982" w:type="dxa"/>
          </w:tcPr>
          <w:p>
            <w:pPr>
              <w:pStyle w:val="TableParagraph"/>
              <w:spacing w:line="203" w:lineRule="exact"/>
              <w:ind w:left="311" w:right="-2"/>
              <w:jc w:val="left"/>
              <w:rPr>
                <w:sz w:val="18"/>
              </w:rPr>
            </w:pPr>
            <w:r>
              <w:rPr>
                <w:sz w:val="18"/>
              </w:rPr>
              <w:t>8.70</w:t>
            </w:r>
          </w:p>
        </w:tc>
      </w:tr>
      <w:tr>
        <w:trPr>
          <w:trHeight w:val="322" w:hRule="exact"/>
        </w:trPr>
        <w:tc>
          <w:tcPr>
            <w:tcW w:w="2391" w:type="dxa"/>
          </w:tcPr>
          <w:p>
            <w:pPr>
              <w:pStyle w:val="TableParagraph"/>
              <w:spacing w:line="199" w:lineRule="exact"/>
              <w:ind w:left="67"/>
              <w:jc w:val="left"/>
              <w:rPr>
                <w:b/>
                <w:sz w:val="18"/>
              </w:rPr>
            </w:pPr>
            <w:r>
              <w:rPr>
                <w:b/>
                <w:color w:val="333333"/>
                <w:sz w:val="18"/>
              </w:rPr>
              <w:t>NOPALTEPEC</w:t>
            </w:r>
          </w:p>
        </w:tc>
        <w:tc>
          <w:tcPr>
            <w:tcW w:w="1018" w:type="dxa"/>
          </w:tcPr>
          <w:p>
            <w:pPr>
              <w:pStyle w:val="TableParagraph"/>
              <w:spacing w:line="203" w:lineRule="exact"/>
              <w:ind w:left="259" w:right="259"/>
              <w:rPr>
                <w:sz w:val="18"/>
              </w:rPr>
            </w:pPr>
            <w:r>
              <w:rPr>
                <w:sz w:val="18"/>
              </w:rPr>
              <w:t>7.60</w:t>
            </w:r>
          </w:p>
        </w:tc>
        <w:tc>
          <w:tcPr>
            <w:tcW w:w="982" w:type="dxa"/>
          </w:tcPr>
          <w:p>
            <w:pPr>
              <w:pStyle w:val="TableParagraph"/>
              <w:spacing w:line="203" w:lineRule="exact"/>
              <w:ind w:left="311" w:right="-2"/>
              <w:jc w:val="left"/>
              <w:rPr>
                <w:sz w:val="18"/>
              </w:rPr>
            </w:pPr>
            <w:r>
              <w:rPr>
                <w:sz w:val="18"/>
              </w:rPr>
              <w:t>8.08</w:t>
            </w:r>
          </w:p>
        </w:tc>
      </w:tr>
      <w:tr>
        <w:trPr>
          <w:trHeight w:val="319" w:hRule="exact"/>
        </w:trPr>
        <w:tc>
          <w:tcPr>
            <w:tcW w:w="2391" w:type="dxa"/>
          </w:tcPr>
          <w:p>
            <w:pPr>
              <w:pStyle w:val="TableParagraph"/>
              <w:spacing w:line="199" w:lineRule="exact"/>
              <w:ind w:left="67"/>
              <w:jc w:val="left"/>
              <w:rPr>
                <w:b/>
                <w:sz w:val="18"/>
              </w:rPr>
            </w:pPr>
            <w:r>
              <w:rPr>
                <w:b/>
                <w:color w:val="333333"/>
                <w:sz w:val="18"/>
              </w:rPr>
              <w:t>OCOYOACAC</w:t>
            </w:r>
          </w:p>
        </w:tc>
        <w:tc>
          <w:tcPr>
            <w:tcW w:w="1018" w:type="dxa"/>
          </w:tcPr>
          <w:p>
            <w:pPr>
              <w:pStyle w:val="TableParagraph"/>
              <w:spacing w:line="203" w:lineRule="exact"/>
              <w:ind w:left="259" w:right="259"/>
              <w:rPr>
                <w:sz w:val="18"/>
              </w:rPr>
            </w:pPr>
            <w:r>
              <w:rPr>
                <w:sz w:val="18"/>
              </w:rPr>
              <w:t>8.70</w:t>
            </w:r>
          </w:p>
        </w:tc>
        <w:tc>
          <w:tcPr>
            <w:tcW w:w="982" w:type="dxa"/>
          </w:tcPr>
          <w:p>
            <w:pPr>
              <w:pStyle w:val="TableParagraph"/>
              <w:spacing w:line="203" w:lineRule="exact"/>
              <w:ind w:left="311" w:right="-2"/>
              <w:jc w:val="left"/>
              <w:rPr>
                <w:sz w:val="18"/>
              </w:rPr>
            </w:pPr>
            <w:r>
              <w:rPr>
                <w:sz w:val="18"/>
              </w:rPr>
              <w:t>9.27</w:t>
            </w:r>
          </w:p>
        </w:tc>
      </w:tr>
      <w:tr>
        <w:trPr>
          <w:trHeight w:val="322" w:hRule="exact"/>
        </w:trPr>
        <w:tc>
          <w:tcPr>
            <w:tcW w:w="2391" w:type="dxa"/>
          </w:tcPr>
          <w:p>
            <w:pPr>
              <w:pStyle w:val="TableParagraph"/>
              <w:spacing w:line="201" w:lineRule="exact"/>
              <w:ind w:left="67"/>
              <w:jc w:val="left"/>
              <w:rPr>
                <w:b/>
                <w:sz w:val="18"/>
              </w:rPr>
            </w:pPr>
            <w:r>
              <w:rPr>
                <w:b/>
                <w:color w:val="333333"/>
                <w:sz w:val="18"/>
              </w:rPr>
              <w:t>OCUILAN</w:t>
            </w:r>
          </w:p>
        </w:tc>
        <w:tc>
          <w:tcPr>
            <w:tcW w:w="1018" w:type="dxa"/>
          </w:tcPr>
          <w:p>
            <w:pPr>
              <w:pStyle w:val="TableParagraph"/>
              <w:spacing w:line="206" w:lineRule="exact"/>
              <w:ind w:left="259" w:right="259"/>
              <w:rPr>
                <w:sz w:val="18"/>
              </w:rPr>
            </w:pPr>
            <w:r>
              <w:rPr>
                <w:sz w:val="18"/>
              </w:rPr>
              <w:t>6.20</w:t>
            </w:r>
          </w:p>
        </w:tc>
        <w:tc>
          <w:tcPr>
            <w:tcW w:w="982" w:type="dxa"/>
          </w:tcPr>
          <w:p>
            <w:pPr>
              <w:pStyle w:val="TableParagraph"/>
              <w:spacing w:line="206" w:lineRule="exact"/>
              <w:ind w:left="311" w:right="-2"/>
              <w:jc w:val="left"/>
              <w:rPr>
                <w:sz w:val="18"/>
              </w:rPr>
            </w:pPr>
            <w:r>
              <w:rPr>
                <w:sz w:val="18"/>
              </w:rPr>
              <w:t>6.81</w:t>
            </w:r>
          </w:p>
        </w:tc>
      </w:tr>
      <w:tr>
        <w:trPr>
          <w:trHeight w:val="319" w:hRule="exact"/>
        </w:trPr>
        <w:tc>
          <w:tcPr>
            <w:tcW w:w="2391" w:type="dxa"/>
          </w:tcPr>
          <w:p>
            <w:pPr>
              <w:pStyle w:val="TableParagraph"/>
              <w:spacing w:line="199" w:lineRule="exact"/>
              <w:ind w:left="67"/>
              <w:jc w:val="left"/>
              <w:rPr>
                <w:b/>
                <w:sz w:val="18"/>
              </w:rPr>
            </w:pPr>
            <w:r>
              <w:rPr>
                <w:b/>
                <w:color w:val="333333"/>
                <w:sz w:val="18"/>
              </w:rPr>
              <w:t>OTUMBA</w:t>
            </w:r>
          </w:p>
        </w:tc>
        <w:tc>
          <w:tcPr>
            <w:tcW w:w="1018" w:type="dxa"/>
          </w:tcPr>
          <w:p>
            <w:pPr>
              <w:pStyle w:val="TableParagraph"/>
              <w:spacing w:line="203" w:lineRule="exact"/>
              <w:ind w:left="259" w:right="259"/>
              <w:rPr>
                <w:sz w:val="18"/>
              </w:rPr>
            </w:pPr>
            <w:r>
              <w:rPr>
                <w:sz w:val="18"/>
              </w:rPr>
              <w:t>7.60</w:t>
            </w:r>
          </w:p>
        </w:tc>
        <w:tc>
          <w:tcPr>
            <w:tcW w:w="982" w:type="dxa"/>
          </w:tcPr>
          <w:p>
            <w:pPr>
              <w:pStyle w:val="TableParagraph"/>
              <w:spacing w:line="203" w:lineRule="exact"/>
              <w:ind w:left="311" w:right="-2"/>
              <w:jc w:val="left"/>
              <w:rPr>
                <w:sz w:val="18"/>
              </w:rPr>
            </w:pPr>
            <w:r>
              <w:rPr>
                <w:sz w:val="18"/>
              </w:rPr>
              <w:t>8.11</w:t>
            </w:r>
          </w:p>
        </w:tc>
      </w:tr>
      <w:tr>
        <w:trPr>
          <w:trHeight w:val="322" w:hRule="exact"/>
        </w:trPr>
        <w:tc>
          <w:tcPr>
            <w:tcW w:w="2391" w:type="dxa"/>
          </w:tcPr>
          <w:p>
            <w:pPr>
              <w:pStyle w:val="TableParagraph"/>
              <w:spacing w:line="202" w:lineRule="exact"/>
              <w:ind w:left="67"/>
              <w:jc w:val="left"/>
              <w:rPr>
                <w:b/>
                <w:sz w:val="18"/>
              </w:rPr>
            </w:pPr>
            <w:r>
              <w:rPr>
                <w:b/>
                <w:color w:val="333333"/>
                <w:sz w:val="18"/>
              </w:rPr>
              <w:t>OTZOLOAPAN</w:t>
            </w:r>
          </w:p>
        </w:tc>
        <w:tc>
          <w:tcPr>
            <w:tcW w:w="1018" w:type="dxa"/>
          </w:tcPr>
          <w:p>
            <w:pPr>
              <w:pStyle w:val="TableParagraph"/>
              <w:spacing w:line="206" w:lineRule="exact"/>
              <w:ind w:left="259" w:right="259"/>
              <w:rPr>
                <w:sz w:val="18"/>
              </w:rPr>
            </w:pPr>
            <w:r>
              <w:rPr>
                <w:sz w:val="18"/>
              </w:rPr>
              <w:t>5.30</w:t>
            </w:r>
          </w:p>
        </w:tc>
        <w:tc>
          <w:tcPr>
            <w:tcW w:w="982" w:type="dxa"/>
          </w:tcPr>
          <w:p>
            <w:pPr>
              <w:pStyle w:val="TableParagraph"/>
              <w:spacing w:line="206" w:lineRule="exact"/>
              <w:ind w:left="311" w:right="-2"/>
              <w:jc w:val="left"/>
              <w:rPr>
                <w:sz w:val="18"/>
              </w:rPr>
            </w:pPr>
            <w:r>
              <w:rPr>
                <w:sz w:val="18"/>
              </w:rPr>
              <w:t>5.87</w:t>
            </w:r>
          </w:p>
        </w:tc>
      </w:tr>
      <w:tr>
        <w:trPr>
          <w:trHeight w:val="319" w:hRule="exact"/>
        </w:trPr>
        <w:tc>
          <w:tcPr>
            <w:tcW w:w="2391" w:type="dxa"/>
          </w:tcPr>
          <w:p>
            <w:pPr>
              <w:pStyle w:val="TableParagraph"/>
              <w:spacing w:line="199" w:lineRule="exact"/>
              <w:ind w:left="67"/>
              <w:jc w:val="left"/>
              <w:rPr>
                <w:b/>
                <w:sz w:val="18"/>
              </w:rPr>
            </w:pPr>
            <w:r>
              <w:rPr>
                <w:b/>
                <w:color w:val="333333"/>
                <w:sz w:val="18"/>
              </w:rPr>
              <w:t>OTZOLOTEPEC</w:t>
            </w:r>
          </w:p>
        </w:tc>
        <w:tc>
          <w:tcPr>
            <w:tcW w:w="1018" w:type="dxa"/>
          </w:tcPr>
          <w:p>
            <w:pPr>
              <w:pStyle w:val="TableParagraph"/>
              <w:spacing w:line="203" w:lineRule="exact"/>
              <w:ind w:left="259" w:right="259"/>
              <w:rPr>
                <w:sz w:val="18"/>
              </w:rPr>
            </w:pPr>
            <w:r>
              <w:rPr>
                <w:sz w:val="18"/>
              </w:rPr>
              <w:t>7.00</w:t>
            </w:r>
          </w:p>
        </w:tc>
        <w:tc>
          <w:tcPr>
            <w:tcW w:w="982" w:type="dxa"/>
          </w:tcPr>
          <w:p>
            <w:pPr>
              <w:pStyle w:val="TableParagraph"/>
              <w:spacing w:line="203" w:lineRule="exact"/>
              <w:ind w:left="311" w:right="-2"/>
              <w:jc w:val="left"/>
              <w:rPr>
                <w:sz w:val="18"/>
              </w:rPr>
            </w:pPr>
            <w:r>
              <w:rPr>
                <w:sz w:val="18"/>
              </w:rPr>
              <w:t>7.44</w:t>
            </w:r>
          </w:p>
        </w:tc>
      </w:tr>
      <w:tr>
        <w:trPr>
          <w:trHeight w:val="322" w:hRule="exact"/>
        </w:trPr>
        <w:tc>
          <w:tcPr>
            <w:tcW w:w="2391" w:type="dxa"/>
          </w:tcPr>
          <w:p>
            <w:pPr>
              <w:pStyle w:val="TableParagraph"/>
              <w:spacing w:line="201" w:lineRule="exact"/>
              <w:ind w:left="67"/>
              <w:jc w:val="left"/>
              <w:rPr>
                <w:b/>
                <w:sz w:val="18"/>
              </w:rPr>
            </w:pPr>
            <w:r>
              <w:rPr>
                <w:b/>
                <w:color w:val="333333"/>
                <w:sz w:val="18"/>
              </w:rPr>
              <w:t>OZUMBA</w:t>
            </w:r>
          </w:p>
        </w:tc>
        <w:tc>
          <w:tcPr>
            <w:tcW w:w="1018" w:type="dxa"/>
          </w:tcPr>
          <w:p>
            <w:pPr>
              <w:pStyle w:val="TableParagraph"/>
              <w:spacing w:line="206" w:lineRule="exact"/>
              <w:ind w:left="259" w:right="259"/>
              <w:rPr>
                <w:sz w:val="18"/>
              </w:rPr>
            </w:pPr>
            <w:r>
              <w:rPr>
                <w:sz w:val="18"/>
              </w:rPr>
              <w:t>8.30</w:t>
            </w:r>
          </w:p>
        </w:tc>
        <w:tc>
          <w:tcPr>
            <w:tcW w:w="982" w:type="dxa"/>
          </w:tcPr>
          <w:p>
            <w:pPr>
              <w:pStyle w:val="TableParagraph"/>
              <w:spacing w:line="206" w:lineRule="exact"/>
              <w:ind w:left="311" w:right="-2"/>
              <w:jc w:val="left"/>
              <w:rPr>
                <w:sz w:val="18"/>
              </w:rPr>
            </w:pPr>
            <w:r>
              <w:rPr>
                <w:sz w:val="18"/>
              </w:rPr>
              <w:t>8.55</w:t>
            </w:r>
          </w:p>
        </w:tc>
      </w:tr>
      <w:tr>
        <w:trPr>
          <w:trHeight w:val="322" w:hRule="exact"/>
        </w:trPr>
        <w:tc>
          <w:tcPr>
            <w:tcW w:w="2391" w:type="dxa"/>
          </w:tcPr>
          <w:p>
            <w:pPr>
              <w:pStyle w:val="TableParagraph"/>
              <w:spacing w:line="199" w:lineRule="exact"/>
              <w:ind w:left="67"/>
              <w:jc w:val="left"/>
              <w:rPr>
                <w:b/>
                <w:sz w:val="18"/>
              </w:rPr>
            </w:pPr>
            <w:r>
              <w:rPr>
                <w:b/>
                <w:color w:val="333333"/>
                <w:sz w:val="18"/>
              </w:rPr>
              <w:t>PAPALOTLA</w:t>
            </w:r>
          </w:p>
        </w:tc>
        <w:tc>
          <w:tcPr>
            <w:tcW w:w="1018" w:type="dxa"/>
          </w:tcPr>
          <w:p>
            <w:pPr>
              <w:pStyle w:val="TableParagraph"/>
              <w:spacing w:line="203" w:lineRule="exact"/>
              <w:ind w:left="259" w:right="259"/>
              <w:rPr>
                <w:sz w:val="18"/>
              </w:rPr>
            </w:pPr>
            <w:r>
              <w:rPr>
                <w:sz w:val="18"/>
              </w:rPr>
              <w:t>9.30</w:t>
            </w:r>
          </w:p>
        </w:tc>
        <w:tc>
          <w:tcPr>
            <w:tcW w:w="982" w:type="dxa"/>
          </w:tcPr>
          <w:p>
            <w:pPr>
              <w:pStyle w:val="TableParagraph"/>
              <w:spacing w:line="203" w:lineRule="exact"/>
              <w:ind w:left="311" w:right="-2"/>
              <w:jc w:val="left"/>
              <w:rPr>
                <w:sz w:val="18"/>
              </w:rPr>
            </w:pPr>
            <w:r>
              <w:rPr>
                <w:sz w:val="18"/>
              </w:rPr>
              <w:t>9.56</w:t>
            </w:r>
          </w:p>
        </w:tc>
      </w:tr>
    </w:tbl>
    <w:p>
      <w:pPr>
        <w:spacing w:after="0" w:line="203" w:lineRule="exact"/>
        <w:jc w:val="left"/>
        <w:rPr>
          <w:sz w:val="18"/>
        </w:rPr>
        <w:sectPr>
          <w:pgSz w:w="12240" w:h="15840"/>
          <w:pgMar w:header="0" w:footer="975" w:top="1420" w:bottom="1160" w:left="1720" w:right="1720"/>
        </w:sectPr>
      </w:pPr>
    </w:p>
    <w:p>
      <w:pPr>
        <w:pStyle w:val="BodyText"/>
        <w:rPr>
          <w:rFonts w:ascii="Times New Roman"/>
          <w:sz w:val="20"/>
        </w:rPr>
      </w:pPr>
    </w:p>
    <w:p>
      <w:pPr>
        <w:pStyle w:val="BodyText"/>
        <w:spacing w:before="11"/>
        <w:rPr>
          <w:rFonts w:ascii="Times New Roman"/>
          <w:sz w:val="11"/>
        </w:rPr>
      </w:pPr>
    </w:p>
    <w:tbl>
      <w:tblPr>
        <w:tblW w:w="0" w:type="auto"/>
        <w:jc w:val="left"/>
        <w:tblInd w:w="22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91"/>
        <w:gridCol w:w="1018"/>
        <w:gridCol w:w="982"/>
      </w:tblGrid>
      <w:tr>
        <w:trPr>
          <w:trHeight w:val="631" w:hRule="exact"/>
        </w:trPr>
        <w:tc>
          <w:tcPr>
            <w:tcW w:w="4391" w:type="dxa"/>
            <w:gridSpan w:val="3"/>
            <w:shd w:val="clear" w:color="auto" w:fill="C5DFB3"/>
          </w:tcPr>
          <w:p>
            <w:pPr>
              <w:pStyle w:val="TableParagraph"/>
              <w:ind w:left="317" w:right="318" w:hanging="2"/>
              <w:rPr>
                <w:b/>
                <w:sz w:val="18"/>
              </w:rPr>
            </w:pPr>
            <w:r>
              <w:rPr>
                <w:b/>
                <w:sz w:val="18"/>
              </w:rPr>
              <w:t>Anexo 30. Grados de escolaridad de los municipios del Estado de México 2005-2010 (Continuación)</w:t>
            </w:r>
          </w:p>
        </w:tc>
      </w:tr>
      <w:tr>
        <w:trPr>
          <w:trHeight w:val="310" w:hRule="exact"/>
        </w:trPr>
        <w:tc>
          <w:tcPr>
            <w:tcW w:w="2391" w:type="dxa"/>
            <w:shd w:val="clear" w:color="auto" w:fill="C5DFB3"/>
          </w:tcPr>
          <w:p>
            <w:pPr>
              <w:pStyle w:val="TableParagraph"/>
              <w:spacing w:before="40"/>
              <w:ind w:left="770"/>
              <w:jc w:val="left"/>
              <w:rPr>
                <w:b/>
                <w:sz w:val="18"/>
              </w:rPr>
            </w:pPr>
            <w:r>
              <w:rPr>
                <w:b/>
                <w:sz w:val="18"/>
              </w:rPr>
              <w:t>Municipio</w:t>
            </w:r>
          </w:p>
        </w:tc>
        <w:tc>
          <w:tcPr>
            <w:tcW w:w="1018" w:type="dxa"/>
            <w:shd w:val="clear" w:color="auto" w:fill="C5DFB3"/>
          </w:tcPr>
          <w:p>
            <w:pPr>
              <w:pStyle w:val="TableParagraph"/>
              <w:spacing w:before="88"/>
              <w:ind w:left="302"/>
              <w:jc w:val="left"/>
              <w:rPr>
                <w:b/>
                <w:sz w:val="18"/>
              </w:rPr>
            </w:pPr>
            <w:r>
              <w:rPr>
                <w:b/>
                <w:sz w:val="18"/>
              </w:rPr>
              <w:t>2005</w:t>
            </w:r>
          </w:p>
        </w:tc>
        <w:tc>
          <w:tcPr>
            <w:tcW w:w="982" w:type="dxa"/>
            <w:shd w:val="clear" w:color="auto" w:fill="C5DFB3"/>
          </w:tcPr>
          <w:p>
            <w:pPr>
              <w:pStyle w:val="TableParagraph"/>
              <w:spacing w:before="88"/>
              <w:ind w:left="240" w:right="238"/>
              <w:rPr>
                <w:b/>
                <w:sz w:val="18"/>
              </w:rPr>
            </w:pPr>
            <w:r>
              <w:rPr>
                <w:b/>
                <w:sz w:val="18"/>
              </w:rPr>
              <w:t>2010</w:t>
            </w:r>
          </w:p>
        </w:tc>
      </w:tr>
      <w:tr>
        <w:trPr>
          <w:trHeight w:val="319" w:hRule="exact"/>
        </w:trPr>
        <w:tc>
          <w:tcPr>
            <w:tcW w:w="2391" w:type="dxa"/>
          </w:tcPr>
          <w:p>
            <w:pPr>
              <w:pStyle w:val="TableParagraph"/>
              <w:spacing w:line="201" w:lineRule="exact"/>
              <w:ind w:left="65"/>
              <w:jc w:val="left"/>
              <w:rPr>
                <w:b/>
                <w:sz w:val="18"/>
              </w:rPr>
            </w:pPr>
            <w:r>
              <w:rPr>
                <w:b/>
                <w:color w:val="333333"/>
                <w:sz w:val="18"/>
              </w:rPr>
              <w:t>PAPALOTLA</w:t>
            </w:r>
          </w:p>
        </w:tc>
        <w:tc>
          <w:tcPr>
            <w:tcW w:w="1018" w:type="dxa"/>
          </w:tcPr>
          <w:p>
            <w:pPr>
              <w:pStyle w:val="TableParagraph"/>
              <w:spacing w:line="206" w:lineRule="exact"/>
              <w:ind w:left="326"/>
              <w:jc w:val="left"/>
              <w:rPr>
                <w:sz w:val="18"/>
              </w:rPr>
            </w:pPr>
            <w:r>
              <w:rPr>
                <w:sz w:val="18"/>
              </w:rPr>
              <w:t>9.30</w:t>
            </w:r>
          </w:p>
        </w:tc>
        <w:tc>
          <w:tcPr>
            <w:tcW w:w="982" w:type="dxa"/>
          </w:tcPr>
          <w:p>
            <w:pPr>
              <w:pStyle w:val="TableParagraph"/>
              <w:spacing w:line="206" w:lineRule="exact"/>
              <w:ind w:left="240" w:right="241"/>
              <w:rPr>
                <w:sz w:val="18"/>
              </w:rPr>
            </w:pPr>
            <w:r>
              <w:rPr>
                <w:sz w:val="18"/>
              </w:rPr>
              <w:t>9.56</w:t>
            </w:r>
          </w:p>
        </w:tc>
      </w:tr>
      <w:tr>
        <w:trPr>
          <w:trHeight w:val="322" w:hRule="exact"/>
        </w:trPr>
        <w:tc>
          <w:tcPr>
            <w:tcW w:w="2391" w:type="dxa"/>
          </w:tcPr>
          <w:p>
            <w:pPr>
              <w:pStyle w:val="TableParagraph"/>
              <w:spacing w:line="204" w:lineRule="exact"/>
              <w:ind w:left="65"/>
              <w:jc w:val="left"/>
              <w:rPr>
                <w:b/>
                <w:sz w:val="18"/>
              </w:rPr>
            </w:pPr>
            <w:r>
              <w:rPr>
                <w:b/>
                <w:color w:val="333333"/>
                <w:sz w:val="18"/>
              </w:rPr>
              <w:t>POLOTITLAN</w:t>
            </w:r>
          </w:p>
        </w:tc>
        <w:tc>
          <w:tcPr>
            <w:tcW w:w="1018" w:type="dxa"/>
          </w:tcPr>
          <w:p>
            <w:pPr>
              <w:pStyle w:val="TableParagraph"/>
              <w:spacing w:before="1"/>
              <w:ind w:left="326"/>
              <w:jc w:val="left"/>
              <w:rPr>
                <w:sz w:val="18"/>
              </w:rPr>
            </w:pPr>
            <w:r>
              <w:rPr>
                <w:sz w:val="18"/>
              </w:rPr>
              <w:t>7.00</w:t>
            </w:r>
          </w:p>
        </w:tc>
        <w:tc>
          <w:tcPr>
            <w:tcW w:w="982" w:type="dxa"/>
          </w:tcPr>
          <w:p>
            <w:pPr>
              <w:pStyle w:val="TableParagraph"/>
              <w:spacing w:before="1"/>
              <w:ind w:left="240" w:right="241"/>
              <w:rPr>
                <w:sz w:val="18"/>
              </w:rPr>
            </w:pPr>
            <w:r>
              <w:rPr>
                <w:sz w:val="18"/>
              </w:rPr>
              <w:t>7.60</w:t>
            </w:r>
          </w:p>
        </w:tc>
      </w:tr>
      <w:tr>
        <w:trPr>
          <w:trHeight w:val="319" w:hRule="exact"/>
        </w:trPr>
        <w:tc>
          <w:tcPr>
            <w:tcW w:w="2391" w:type="dxa"/>
          </w:tcPr>
          <w:p>
            <w:pPr>
              <w:pStyle w:val="TableParagraph"/>
              <w:spacing w:line="201" w:lineRule="exact"/>
              <w:ind w:left="65"/>
              <w:jc w:val="left"/>
              <w:rPr>
                <w:b/>
                <w:sz w:val="18"/>
              </w:rPr>
            </w:pPr>
            <w:r>
              <w:rPr>
                <w:b/>
                <w:color w:val="333333"/>
                <w:sz w:val="18"/>
              </w:rPr>
              <w:t>RAYON</w:t>
            </w:r>
          </w:p>
        </w:tc>
        <w:tc>
          <w:tcPr>
            <w:tcW w:w="1018" w:type="dxa"/>
          </w:tcPr>
          <w:p>
            <w:pPr>
              <w:pStyle w:val="TableParagraph"/>
              <w:spacing w:line="206" w:lineRule="exact"/>
              <w:ind w:left="326"/>
              <w:jc w:val="left"/>
              <w:rPr>
                <w:sz w:val="18"/>
              </w:rPr>
            </w:pPr>
            <w:r>
              <w:rPr>
                <w:sz w:val="18"/>
              </w:rPr>
              <w:t>8.30</w:t>
            </w:r>
          </w:p>
        </w:tc>
        <w:tc>
          <w:tcPr>
            <w:tcW w:w="982" w:type="dxa"/>
          </w:tcPr>
          <w:p>
            <w:pPr>
              <w:pStyle w:val="TableParagraph"/>
              <w:spacing w:line="206" w:lineRule="exact"/>
              <w:ind w:left="240" w:right="241"/>
              <w:rPr>
                <w:sz w:val="18"/>
              </w:rPr>
            </w:pPr>
            <w:r>
              <w:rPr>
                <w:sz w:val="18"/>
              </w:rPr>
              <w:t>8.81</w:t>
            </w:r>
          </w:p>
        </w:tc>
      </w:tr>
      <w:tr>
        <w:trPr>
          <w:trHeight w:val="322" w:hRule="exact"/>
        </w:trPr>
        <w:tc>
          <w:tcPr>
            <w:tcW w:w="2391" w:type="dxa"/>
          </w:tcPr>
          <w:p>
            <w:pPr>
              <w:pStyle w:val="TableParagraph"/>
              <w:spacing w:line="204" w:lineRule="exact"/>
              <w:ind w:left="65"/>
              <w:jc w:val="left"/>
              <w:rPr>
                <w:b/>
                <w:sz w:val="18"/>
              </w:rPr>
            </w:pPr>
            <w:r>
              <w:rPr>
                <w:b/>
                <w:color w:val="333333"/>
                <w:sz w:val="18"/>
              </w:rPr>
              <w:t>SAN ANTONIO LA ISLA</w:t>
            </w:r>
          </w:p>
        </w:tc>
        <w:tc>
          <w:tcPr>
            <w:tcW w:w="1018" w:type="dxa"/>
          </w:tcPr>
          <w:p>
            <w:pPr>
              <w:pStyle w:val="TableParagraph"/>
              <w:spacing w:before="1"/>
              <w:ind w:left="326"/>
              <w:jc w:val="left"/>
              <w:rPr>
                <w:sz w:val="18"/>
              </w:rPr>
            </w:pPr>
            <w:r>
              <w:rPr>
                <w:sz w:val="18"/>
              </w:rPr>
              <w:t>8.20</w:t>
            </w:r>
          </w:p>
        </w:tc>
        <w:tc>
          <w:tcPr>
            <w:tcW w:w="982" w:type="dxa"/>
          </w:tcPr>
          <w:p>
            <w:pPr>
              <w:pStyle w:val="TableParagraph"/>
              <w:spacing w:before="1"/>
              <w:ind w:left="240" w:right="241"/>
              <w:rPr>
                <w:sz w:val="18"/>
              </w:rPr>
            </w:pPr>
            <w:r>
              <w:rPr>
                <w:sz w:val="18"/>
              </w:rPr>
              <w:t>9.95</w:t>
            </w:r>
          </w:p>
        </w:tc>
      </w:tr>
      <w:tr>
        <w:trPr>
          <w:trHeight w:val="631" w:hRule="exact"/>
        </w:trPr>
        <w:tc>
          <w:tcPr>
            <w:tcW w:w="2391" w:type="dxa"/>
          </w:tcPr>
          <w:p>
            <w:pPr>
              <w:pStyle w:val="TableParagraph"/>
              <w:spacing w:line="362" w:lineRule="auto"/>
              <w:ind w:left="65" w:right="826"/>
              <w:jc w:val="left"/>
              <w:rPr>
                <w:b/>
                <w:sz w:val="18"/>
              </w:rPr>
            </w:pPr>
            <w:r>
              <w:rPr>
                <w:b/>
                <w:color w:val="333333"/>
                <w:sz w:val="18"/>
              </w:rPr>
              <w:t>SAN FELIPE DEL PROGRESO</w:t>
            </w:r>
          </w:p>
        </w:tc>
        <w:tc>
          <w:tcPr>
            <w:tcW w:w="1018" w:type="dxa"/>
          </w:tcPr>
          <w:p>
            <w:pPr>
              <w:pStyle w:val="TableParagraph"/>
              <w:jc w:val="left"/>
              <w:rPr>
                <w:rFonts w:ascii="Times New Roman"/>
                <w:sz w:val="18"/>
              </w:rPr>
            </w:pPr>
          </w:p>
          <w:p>
            <w:pPr>
              <w:pStyle w:val="TableParagraph"/>
              <w:spacing w:before="104"/>
              <w:ind w:left="326"/>
              <w:jc w:val="left"/>
              <w:rPr>
                <w:sz w:val="18"/>
              </w:rPr>
            </w:pPr>
            <w:r>
              <w:rPr>
                <w:sz w:val="18"/>
              </w:rPr>
              <w:t>5.40</w:t>
            </w:r>
          </w:p>
        </w:tc>
        <w:tc>
          <w:tcPr>
            <w:tcW w:w="982" w:type="dxa"/>
          </w:tcPr>
          <w:p>
            <w:pPr>
              <w:pStyle w:val="TableParagraph"/>
              <w:jc w:val="left"/>
              <w:rPr>
                <w:rFonts w:ascii="Times New Roman"/>
                <w:sz w:val="18"/>
              </w:rPr>
            </w:pPr>
          </w:p>
          <w:p>
            <w:pPr>
              <w:pStyle w:val="TableParagraph"/>
              <w:spacing w:before="104"/>
              <w:ind w:left="240" w:right="240"/>
              <w:rPr>
                <w:sz w:val="18"/>
              </w:rPr>
            </w:pPr>
            <w:r>
              <w:rPr>
                <w:sz w:val="18"/>
              </w:rPr>
              <w:t>6.12</w:t>
            </w:r>
          </w:p>
        </w:tc>
      </w:tr>
      <w:tr>
        <w:trPr>
          <w:trHeight w:val="319" w:hRule="exact"/>
        </w:trPr>
        <w:tc>
          <w:tcPr>
            <w:tcW w:w="2391" w:type="dxa"/>
          </w:tcPr>
          <w:p>
            <w:pPr>
              <w:pStyle w:val="TableParagraph"/>
              <w:spacing w:line="201" w:lineRule="exact"/>
              <w:ind w:left="65"/>
              <w:jc w:val="left"/>
              <w:rPr>
                <w:b/>
                <w:sz w:val="18"/>
              </w:rPr>
            </w:pPr>
            <w:r>
              <w:rPr>
                <w:b/>
                <w:color w:val="333333"/>
                <w:sz w:val="18"/>
              </w:rPr>
              <w:t>SAN JOSE DEL RINCON</w:t>
            </w:r>
          </w:p>
        </w:tc>
        <w:tc>
          <w:tcPr>
            <w:tcW w:w="1018" w:type="dxa"/>
          </w:tcPr>
          <w:p>
            <w:pPr>
              <w:pStyle w:val="TableParagraph"/>
              <w:spacing w:line="206" w:lineRule="exact"/>
              <w:ind w:left="326"/>
              <w:jc w:val="left"/>
              <w:rPr>
                <w:sz w:val="18"/>
              </w:rPr>
            </w:pPr>
            <w:r>
              <w:rPr>
                <w:sz w:val="18"/>
              </w:rPr>
              <w:t>4.60</w:t>
            </w:r>
          </w:p>
        </w:tc>
        <w:tc>
          <w:tcPr>
            <w:tcW w:w="982" w:type="dxa"/>
          </w:tcPr>
          <w:p>
            <w:pPr>
              <w:pStyle w:val="TableParagraph"/>
              <w:spacing w:line="206" w:lineRule="exact"/>
              <w:ind w:left="240" w:right="241"/>
              <w:rPr>
                <w:sz w:val="18"/>
              </w:rPr>
            </w:pPr>
            <w:r>
              <w:rPr>
                <w:sz w:val="18"/>
              </w:rPr>
              <w:t>5.15</w:t>
            </w:r>
          </w:p>
        </w:tc>
      </w:tr>
      <w:tr>
        <w:trPr>
          <w:trHeight w:val="632" w:hRule="exact"/>
        </w:trPr>
        <w:tc>
          <w:tcPr>
            <w:tcW w:w="2391" w:type="dxa"/>
          </w:tcPr>
          <w:p>
            <w:pPr>
              <w:pStyle w:val="TableParagraph"/>
              <w:spacing w:line="360" w:lineRule="auto"/>
              <w:ind w:left="65" w:right="456"/>
              <w:jc w:val="left"/>
              <w:rPr>
                <w:b/>
                <w:sz w:val="18"/>
              </w:rPr>
            </w:pPr>
            <w:r>
              <w:rPr>
                <w:b/>
                <w:color w:val="333333"/>
                <w:sz w:val="18"/>
              </w:rPr>
              <w:t>SAN MARTíN DE LAS PIRAMIDES</w:t>
            </w:r>
          </w:p>
        </w:tc>
        <w:tc>
          <w:tcPr>
            <w:tcW w:w="1018" w:type="dxa"/>
          </w:tcPr>
          <w:p>
            <w:pPr>
              <w:pStyle w:val="TableParagraph"/>
              <w:jc w:val="left"/>
              <w:rPr>
                <w:rFonts w:ascii="Times New Roman"/>
                <w:sz w:val="18"/>
              </w:rPr>
            </w:pPr>
          </w:p>
          <w:p>
            <w:pPr>
              <w:pStyle w:val="TableParagraph"/>
              <w:spacing w:before="104"/>
              <w:ind w:left="326"/>
              <w:jc w:val="left"/>
              <w:rPr>
                <w:sz w:val="18"/>
              </w:rPr>
            </w:pPr>
            <w:r>
              <w:rPr>
                <w:sz w:val="18"/>
              </w:rPr>
              <w:t>8.20</w:t>
            </w:r>
          </w:p>
        </w:tc>
        <w:tc>
          <w:tcPr>
            <w:tcW w:w="982" w:type="dxa"/>
          </w:tcPr>
          <w:p>
            <w:pPr>
              <w:pStyle w:val="TableParagraph"/>
              <w:jc w:val="left"/>
              <w:rPr>
                <w:rFonts w:ascii="Times New Roman"/>
                <w:sz w:val="18"/>
              </w:rPr>
            </w:pPr>
          </w:p>
          <w:p>
            <w:pPr>
              <w:pStyle w:val="TableParagraph"/>
              <w:spacing w:before="104"/>
              <w:ind w:left="240" w:right="241"/>
              <w:rPr>
                <w:sz w:val="18"/>
              </w:rPr>
            </w:pPr>
            <w:r>
              <w:rPr>
                <w:sz w:val="18"/>
              </w:rPr>
              <w:t>8.66</w:t>
            </w:r>
          </w:p>
        </w:tc>
      </w:tr>
      <w:tr>
        <w:trPr>
          <w:trHeight w:val="322" w:hRule="exact"/>
        </w:trPr>
        <w:tc>
          <w:tcPr>
            <w:tcW w:w="2391" w:type="dxa"/>
          </w:tcPr>
          <w:p>
            <w:pPr>
              <w:pStyle w:val="TableParagraph"/>
              <w:spacing w:line="204" w:lineRule="exact"/>
              <w:ind w:left="65"/>
              <w:jc w:val="left"/>
              <w:rPr>
                <w:b/>
                <w:sz w:val="18"/>
              </w:rPr>
            </w:pPr>
            <w:r>
              <w:rPr>
                <w:b/>
                <w:color w:val="333333"/>
                <w:sz w:val="18"/>
              </w:rPr>
              <w:t>SAN MATEO ATENCO</w:t>
            </w:r>
          </w:p>
        </w:tc>
        <w:tc>
          <w:tcPr>
            <w:tcW w:w="1018" w:type="dxa"/>
          </w:tcPr>
          <w:p>
            <w:pPr>
              <w:pStyle w:val="TableParagraph"/>
              <w:spacing w:before="1"/>
              <w:ind w:left="326"/>
              <w:jc w:val="left"/>
              <w:rPr>
                <w:sz w:val="18"/>
              </w:rPr>
            </w:pPr>
            <w:r>
              <w:rPr>
                <w:sz w:val="18"/>
              </w:rPr>
              <w:t>8.60</w:t>
            </w:r>
          </w:p>
        </w:tc>
        <w:tc>
          <w:tcPr>
            <w:tcW w:w="982" w:type="dxa"/>
          </w:tcPr>
          <w:p>
            <w:pPr>
              <w:pStyle w:val="TableParagraph"/>
              <w:spacing w:before="1"/>
              <w:ind w:left="240" w:right="241"/>
              <w:rPr>
                <w:sz w:val="18"/>
              </w:rPr>
            </w:pPr>
            <w:r>
              <w:rPr>
                <w:sz w:val="18"/>
              </w:rPr>
              <w:t>9.25</w:t>
            </w:r>
          </w:p>
        </w:tc>
      </w:tr>
      <w:tr>
        <w:trPr>
          <w:trHeight w:val="631" w:hRule="exact"/>
        </w:trPr>
        <w:tc>
          <w:tcPr>
            <w:tcW w:w="2391" w:type="dxa"/>
          </w:tcPr>
          <w:p>
            <w:pPr>
              <w:pStyle w:val="TableParagraph"/>
              <w:spacing w:line="360" w:lineRule="auto"/>
              <w:ind w:left="65" w:right="976"/>
              <w:jc w:val="left"/>
              <w:rPr>
                <w:b/>
                <w:sz w:val="18"/>
              </w:rPr>
            </w:pPr>
            <w:r>
              <w:rPr>
                <w:b/>
                <w:color w:val="333333"/>
                <w:sz w:val="18"/>
              </w:rPr>
              <w:t>SAN SIMON DE GUERRERO</w:t>
            </w:r>
          </w:p>
        </w:tc>
        <w:tc>
          <w:tcPr>
            <w:tcW w:w="1018" w:type="dxa"/>
          </w:tcPr>
          <w:p>
            <w:pPr>
              <w:pStyle w:val="TableParagraph"/>
              <w:spacing w:before="9"/>
              <w:jc w:val="left"/>
              <w:rPr>
                <w:rFonts w:ascii="Times New Roman"/>
                <w:sz w:val="26"/>
              </w:rPr>
            </w:pPr>
          </w:p>
          <w:p>
            <w:pPr>
              <w:pStyle w:val="TableParagraph"/>
              <w:ind w:left="326"/>
              <w:jc w:val="left"/>
              <w:rPr>
                <w:sz w:val="18"/>
              </w:rPr>
            </w:pPr>
            <w:r>
              <w:rPr>
                <w:sz w:val="18"/>
              </w:rPr>
              <w:t>6.50</w:t>
            </w:r>
          </w:p>
        </w:tc>
        <w:tc>
          <w:tcPr>
            <w:tcW w:w="982" w:type="dxa"/>
          </w:tcPr>
          <w:p>
            <w:pPr>
              <w:pStyle w:val="TableParagraph"/>
              <w:spacing w:before="9"/>
              <w:jc w:val="left"/>
              <w:rPr>
                <w:rFonts w:ascii="Times New Roman"/>
                <w:sz w:val="26"/>
              </w:rPr>
            </w:pPr>
          </w:p>
          <w:p>
            <w:pPr>
              <w:pStyle w:val="TableParagraph"/>
              <w:ind w:left="240" w:right="241"/>
              <w:rPr>
                <w:sz w:val="18"/>
              </w:rPr>
            </w:pPr>
            <w:r>
              <w:rPr>
                <w:sz w:val="18"/>
              </w:rPr>
              <w:t>7.17</w:t>
            </w:r>
          </w:p>
        </w:tc>
      </w:tr>
      <w:tr>
        <w:trPr>
          <w:trHeight w:val="319" w:hRule="exact"/>
        </w:trPr>
        <w:tc>
          <w:tcPr>
            <w:tcW w:w="2391" w:type="dxa"/>
          </w:tcPr>
          <w:p>
            <w:pPr>
              <w:pStyle w:val="TableParagraph"/>
              <w:spacing w:line="201" w:lineRule="exact"/>
              <w:ind w:left="65"/>
              <w:jc w:val="left"/>
              <w:rPr>
                <w:b/>
                <w:sz w:val="18"/>
              </w:rPr>
            </w:pPr>
            <w:r>
              <w:rPr>
                <w:b/>
                <w:color w:val="333333"/>
                <w:sz w:val="18"/>
              </w:rPr>
              <w:t>SANTO TOMAS</w:t>
            </w:r>
          </w:p>
        </w:tc>
        <w:tc>
          <w:tcPr>
            <w:tcW w:w="1018" w:type="dxa"/>
          </w:tcPr>
          <w:p>
            <w:pPr>
              <w:pStyle w:val="TableParagraph"/>
              <w:spacing w:line="206" w:lineRule="exact"/>
              <w:ind w:left="326"/>
              <w:jc w:val="left"/>
              <w:rPr>
                <w:sz w:val="18"/>
              </w:rPr>
            </w:pPr>
            <w:r>
              <w:rPr>
                <w:sz w:val="18"/>
              </w:rPr>
              <w:t>6.10</w:t>
            </w:r>
          </w:p>
        </w:tc>
        <w:tc>
          <w:tcPr>
            <w:tcW w:w="982" w:type="dxa"/>
          </w:tcPr>
          <w:p>
            <w:pPr>
              <w:pStyle w:val="TableParagraph"/>
              <w:spacing w:line="206" w:lineRule="exact"/>
              <w:ind w:left="240" w:right="241"/>
              <w:rPr>
                <w:sz w:val="18"/>
              </w:rPr>
            </w:pPr>
            <w:r>
              <w:rPr>
                <w:sz w:val="18"/>
              </w:rPr>
              <w:t>6.92</w:t>
            </w:r>
          </w:p>
        </w:tc>
      </w:tr>
      <w:tr>
        <w:trPr>
          <w:trHeight w:val="631" w:hRule="exact"/>
        </w:trPr>
        <w:tc>
          <w:tcPr>
            <w:tcW w:w="2391" w:type="dxa"/>
          </w:tcPr>
          <w:p>
            <w:pPr>
              <w:pStyle w:val="TableParagraph"/>
              <w:spacing w:line="362" w:lineRule="auto"/>
              <w:ind w:left="65" w:right="496"/>
              <w:jc w:val="left"/>
              <w:rPr>
                <w:b/>
                <w:sz w:val="18"/>
              </w:rPr>
            </w:pPr>
            <w:r>
              <w:rPr>
                <w:b/>
                <w:color w:val="333333"/>
                <w:sz w:val="18"/>
              </w:rPr>
              <w:t>SOYANIQUILPAN DE JUAREZ</w:t>
            </w:r>
          </w:p>
        </w:tc>
        <w:tc>
          <w:tcPr>
            <w:tcW w:w="1018" w:type="dxa"/>
          </w:tcPr>
          <w:p>
            <w:pPr>
              <w:pStyle w:val="TableParagraph"/>
              <w:jc w:val="left"/>
              <w:rPr>
                <w:rFonts w:ascii="Times New Roman"/>
                <w:sz w:val="18"/>
              </w:rPr>
            </w:pPr>
          </w:p>
          <w:p>
            <w:pPr>
              <w:pStyle w:val="TableParagraph"/>
              <w:spacing w:before="104"/>
              <w:ind w:left="326"/>
              <w:jc w:val="left"/>
              <w:rPr>
                <w:sz w:val="18"/>
              </w:rPr>
            </w:pPr>
            <w:r>
              <w:rPr>
                <w:sz w:val="18"/>
              </w:rPr>
              <w:t>7.10</w:t>
            </w:r>
          </w:p>
        </w:tc>
        <w:tc>
          <w:tcPr>
            <w:tcW w:w="982" w:type="dxa"/>
          </w:tcPr>
          <w:p>
            <w:pPr>
              <w:pStyle w:val="TableParagraph"/>
              <w:jc w:val="left"/>
              <w:rPr>
                <w:rFonts w:ascii="Times New Roman"/>
                <w:sz w:val="18"/>
              </w:rPr>
            </w:pPr>
          </w:p>
          <w:p>
            <w:pPr>
              <w:pStyle w:val="TableParagraph"/>
              <w:spacing w:before="104"/>
              <w:ind w:left="240" w:right="241"/>
              <w:rPr>
                <w:sz w:val="18"/>
              </w:rPr>
            </w:pPr>
            <w:r>
              <w:rPr>
                <w:sz w:val="18"/>
              </w:rPr>
              <w:t>7.64</w:t>
            </w:r>
          </w:p>
        </w:tc>
      </w:tr>
      <w:tr>
        <w:trPr>
          <w:trHeight w:val="322" w:hRule="exact"/>
        </w:trPr>
        <w:tc>
          <w:tcPr>
            <w:tcW w:w="2391" w:type="dxa"/>
          </w:tcPr>
          <w:p>
            <w:pPr>
              <w:pStyle w:val="TableParagraph"/>
              <w:spacing w:line="201" w:lineRule="exact"/>
              <w:ind w:left="65"/>
              <w:jc w:val="left"/>
              <w:rPr>
                <w:b/>
                <w:sz w:val="18"/>
              </w:rPr>
            </w:pPr>
            <w:r>
              <w:rPr>
                <w:b/>
                <w:color w:val="333333"/>
                <w:sz w:val="18"/>
              </w:rPr>
              <w:t>SULTEPEC</w:t>
            </w:r>
          </w:p>
        </w:tc>
        <w:tc>
          <w:tcPr>
            <w:tcW w:w="1018" w:type="dxa"/>
          </w:tcPr>
          <w:p>
            <w:pPr>
              <w:pStyle w:val="TableParagraph"/>
              <w:spacing w:line="206" w:lineRule="exact"/>
              <w:ind w:left="326"/>
              <w:jc w:val="left"/>
              <w:rPr>
                <w:sz w:val="18"/>
              </w:rPr>
            </w:pPr>
            <w:r>
              <w:rPr>
                <w:sz w:val="18"/>
              </w:rPr>
              <w:t>4.90</w:t>
            </w:r>
          </w:p>
        </w:tc>
        <w:tc>
          <w:tcPr>
            <w:tcW w:w="982" w:type="dxa"/>
          </w:tcPr>
          <w:p>
            <w:pPr>
              <w:pStyle w:val="TableParagraph"/>
              <w:spacing w:line="206" w:lineRule="exact"/>
              <w:ind w:left="240" w:right="241"/>
              <w:rPr>
                <w:sz w:val="18"/>
              </w:rPr>
            </w:pPr>
            <w:r>
              <w:rPr>
                <w:sz w:val="18"/>
              </w:rPr>
              <w:t>5.74</w:t>
            </w:r>
          </w:p>
        </w:tc>
      </w:tr>
      <w:tr>
        <w:trPr>
          <w:trHeight w:val="319" w:hRule="exact"/>
        </w:trPr>
        <w:tc>
          <w:tcPr>
            <w:tcW w:w="2391" w:type="dxa"/>
          </w:tcPr>
          <w:p>
            <w:pPr>
              <w:pStyle w:val="TableParagraph"/>
              <w:spacing w:line="201" w:lineRule="exact"/>
              <w:ind w:left="65"/>
              <w:jc w:val="left"/>
              <w:rPr>
                <w:b/>
                <w:sz w:val="18"/>
              </w:rPr>
            </w:pPr>
            <w:r>
              <w:rPr>
                <w:b/>
                <w:color w:val="333333"/>
                <w:sz w:val="18"/>
              </w:rPr>
              <w:t>TECAMAC</w:t>
            </w:r>
          </w:p>
        </w:tc>
        <w:tc>
          <w:tcPr>
            <w:tcW w:w="1018" w:type="dxa"/>
          </w:tcPr>
          <w:p>
            <w:pPr>
              <w:pStyle w:val="TableParagraph"/>
              <w:spacing w:line="206" w:lineRule="exact"/>
              <w:ind w:left="326"/>
              <w:jc w:val="left"/>
              <w:rPr>
                <w:sz w:val="18"/>
              </w:rPr>
            </w:pPr>
            <w:r>
              <w:rPr>
                <w:sz w:val="18"/>
              </w:rPr>
              <w:t>9.30</w:t>
            </w:r>
          </w:p>
        </w:tc>
        <w:tc>
          <w:tcPr>
            <w:tcW w:w="982" w:type="dxa"/>
          </w:tcPr>
          <w:p>
            <w:pPr>
              <w:pStyle w:val="TableParagraph"/>
              <w:spacing w:line="206" w:lineRule="exact"/>
              <w:ind w:left="240" w:right="241"/>
              <w:rPr>
                <w:sz w:val="18"/>
              </w:rPr>
            </w:pPr>
            <w:r>
              <w:rPr>
                <w:sz w:val="18"/>
              </w:rPr>
              <w:t>9.99</w:t>
            </w:r>
          </w:p>
        </w:tc>
      </w:tr>
      <w:tr>
        <w:trPr>
          <w:trHeight w:val="322" w:hRule="exact"/>
        </w:trPr>
        <w:tc>
          <w:tcPr>
            <w:tcW w:w="2391" w:type="dxa"/>
          </w:tcPr>
          <w:p>
            <w:pPr>
              <w:pStyle w:val="TableParagraph"/>
              <w:spacing w:line="201" w:lineRule="exact"/>
              <w:ind w:left="65"/>
              <w:jc w:val="left"/>
              <w:rPr>
                <w:b/>
                <w:sz w:val="18"/>
              </w:rPr>
            </w:pPr>
            <w:r>
              <w:rPr>
                <w:b/>
                <w:color w:val="333333"/>
                <w:sz w:val="18"/>
              </w:rPr>
              <w:t>TEJUPILCO</w:t>
            </w:r>
          </w:p>
        </w:tc>
        <w:tc>
          <w:tcPr>
            <w:tcW w:w="1018" w:type="dxa"/>
          </w:tcPr>
          <w:p>
            <w:pPr>
              <w:pStyle w:val="TableParagraph"/>
              <w:spacing w:line="206" w:lineRule="exact"/>
              <w:ind w:left="326"/>
              <w:jc w:val="left"/>
              <w:rPr>
                <w:sz w:val="18"/>
              </w:rPr>
            </w:pPr>
            <w:r>
              <w:rPr>
                <w:sz w:val="18"/>
              </w:rPr>
              <w:t>6.20</w:t>
            </w:r>
          </w:p>
        </w:tc>
        <w:tc>
          <w:tcPr>
            <w:tcW w:w="982" w:type="dxa"/>
          </w:tcPr>
          <w:p>
            <w:pPr>
              <w:pStyle w:val="TableParagraph"/>
              <w:spacing w:line="206" w:lineRule="exact"/>
              <w:ind w:left="240" w:right="241"/>
              <w:rPr>
                <w:sz w:val="18"/>
              </w:rPr>
            </w:pPr>
            <w:r>
              <w:rPr>
                <w:sz w:val="18"/>
              </w:rPr>
              <w:t>7.05</w:t>
            </w:r>
          </w:p>
        </w:tc>
      </w:tr>
      <w:tr>
        <w:trPr>
          <w:trHeight w:val="320" w:hRule="exact"/>
        </w:trPr>
        <w:tc>
          <w:tcPr>
            <w:tcW w:w="2391" w:type="dxa"/>
          </w:tcPr>
          <w:p>
            <w:pPr>
              <w:pStyle w:val="TableParagraph"/>
              <w:spacing w:line="202" w:lineRule="exact"/>
              <w:ind w:left="65"/>
              <w:jc w:val="left"/>
              <w:rPr>
                <w:b/>
                <w:sz w:val="18"/>
              </w:rPr>
            </w:pPr>
            <w:r>
              <w:rPr>
                <w:b/>
                <w:color w:val="333333"/>
                <w:sz w:val="18"/>
              </w:rPr>
              <w:t>TEMAMATLA</w:t>
            </w:r>
          </w:p>
        </w:tc>
        <w:tc>
          <w:tcPr>
            <w:tcW w:w="1018" w:type="dxa"/>
          </w:tcPr>
          <w:p>
            <w:pPr>
              <w:pStyle w:val="TableParagraph"/>
              <w:spacing w:line="207" w:lineRule="exact"/>
              <w:ind w:left="326"/>
              <w:jc w:val="left"/>
              <w:rPr>
                <w:sz w:val="18"/>
              </w:rPr>
            </w:pPr>
            <w:r>
              <w:rPr>
                <w:sz w:val="18"/>
              </w:rPr>
              <w:t>8.40</w:t>
            </w:r>
          </w:p>
        </w:tc>
        <w:tc>
          <w:tcPr>
            <w:tcW w:w="982" w:type="dxa"/>
          </w:tcPr>
          <w:p>
            <w:pPr>
              <w:pStyle w:val="TableParagraph"/>
              <w:spacing w:line="207" w:lineRule="exact"/>
              <w:ind w:left="240" w:right="241"/>
              <w:rPr>
                <w:sz w:val="18"/>
              </w:rPr>
            </w:pPr>
            <w:r>
              <w:rPr>
                <w:sz w:val="18"/>
              </w:rPr>
              <w:t>9.00</w:t>
            </w:r>
          </w:p>
        </w:tc>
      </w:tr>
      <w:tr>
        <w:trPr>
          <w:trHeight w:val="322" w:hRule="exact"/>
        </w:trPr>
        <w:tc>
          <w:tcPr>
            <w:tcW w:w="2391" w:type="dxa"/>
          </w:tcPr>
          <w:p>
            <w:pPr>
              <w:pStyle w:val="TableParagraph"/>
              <w:spacing w:line="201" w:lineRule="exact"/>
              <w:ind w:left="65"/>
              <w:jc w:val="left"/>
              <w:rPr>
                <w:b/>
                <w:sz w:val="18"/>
              </w:rPr>
            </w:pPr>
            <w:r>
              <w:rPr>
                <w:b/>
                <w:color w:val="333333"/>
                <w:sz w:val="18"/>
              </w:rPr>
              <w:t>TEMASCALAPA</w:t>
            </w:r>
          </w:p>
        </w:tc>
        <w:tc>
          <w:tcPr>
            <w:tcW w:w="1018" w:type="dxa"/>
          </w:tcPr>
          <w:p>
            <w:pPr>
              <w:pStyle w:val="TableParagraph"/>
              <w:spacing w:line="206" w:lineRule="exact"/>
              <w:ind w:left="326"/>
              <w:jc w:val="left"/>
              <w:rPr>
                <w:sz w:val="18"/>
              </w:rPr>
            </w:pPr>
            <w:r>
              <w:rPr>
                <w:sz w:val="18"/>
              </w:rPr>
              <w:t>7.40</w:t>
            </w:r>
          </w:p>
        </w:tc>
        <w:tc>
          <w:tcPr>
            <w:tcW w:w="982" w:type="dxa"/>
          </w:tcPr>
          <w:p>
            <w:pPr>
              <w:pStyle w:val="TableParagraph"/>
              <w:spacing w:line="206" w:lineRule="exact"/>
              <w:ind w:left="240" w:right="241"/>
              <w:rPr>
                <w:sz w:val="18"/>
              </w:rPr>
            </w:pPr>
            <w:r>
              <w:rPr>
                <w:sz w:val="18"/>
              </w:rPr>
              <w:t>7.95</w:t>
            </w:r>
          </w:p>
        </w:tc>
      </w:tr>
      <w:tr>
        <w:trPr>
          <w:trHeight w:val="319" w:hRule="exact"/>
        </w:trPr>
        <w:tc>
          <w:tcPr>
            <w:tcW w:w="2391" w:type="dxa"/>
          </w:tcPr>
          <w:p>
            <w:pPr>
              <w:pStyle w:val="TableParagraph"/>
              <w:spacing w:line="201" w:lineRule="exact"/>
              <w:ind w:left="65"/>
              <w:jc w:val="left"/>
              <w:rPr>
                <w:b/>
                <w:sz w:val="18"/>
              </w:rPr>
            </w:pPr>
            <w:r>
              <w:rPr>
                <w:b/>
                <w:color w:val="333333"/>
                <w:sz w:val="18"/>
              </w:rPr>
              <w:t>TEMASCALCINGO</w:t>
            </w:r>
          </w:p>
        </w:tc>
        <w:tc>
          <w:tcPr>
            <w:tcW w:w="1018" w:type="dxa"/>
          </w:tcPr>
          <w:p>
            <w:pPr>
              <w:pStyle w:val="TableParagraph"/>
              <w:spacing w:line="206" w:lineRule="exact"/>
              <w:ind w:left="326"/>
              <w:jc w:val="left"/>
              <w:rPr>
                <w:sz w:val="18"/>
              </w:rPr>
            </w:pPr>
            <w:r>
              <w:rPr>
                <w:sz w:val="18"/>
              </w:rPr>
              <w:t>6.10</w:t>
            </w:r>
          </w:p>
        </w:tc>
        <w:tc>
          <w:tcPr>
            <w:tcW w:w="982" w:type="dxa"/>
          </w:tcPr>
          <w:p>
            <w:pPr>
              <w:pStyle w:val="TableParagraph"/>
              <w:spacing w:line="206" w:lineRule="exact"/>
              <w:ind w:left="240" w:right="241"/>
              <w:rPr>
                <w:sz w:val="18"/>
              </w:rPr>
            </w:pPr>
            <w:r>
              <w:rPr>
                <w:sz w:val="18"/>
              </w:rPr>
              <w:t>6.74</w:t>
            </w:r>
          </w:p>
        </w:tc>
      </w:tr>
      <w:tr>
        <w:trPr>
          <w:trHeight w:val="322" w:hRule="exact"/>
        </w:trPr>
        <w:tc>
          <w:tcPr>
            <w:tcW w:w="2391" w:type="dxa"/>
          </w:tcPr>
          <w:p>
            <w:pPr>
              <w:pStyle w:val="TableParagraph"/>
              <w:spacing w:line="204" w:lineRule="exact"/>
              <w:ind w:left="65"/>
              <w:jc w:val="left"/>
              <w:rPr>
                <w:b/>
                <w:sz w:val="18"/>
              </w:rPr>
            </w:pPr>
            <w:r>
              <w:rPr>
                <w:b/>
                <w:color w:val="333333"/>
                <w:sz w:val="18"/>
              </w:rPr>
              <w:t>TEMASCALTEPEC</w:t>
            </w:r>
          </w:p>
        </w:tc>
        <w:tc>
          <w:tcPr>
            <w:tcW w:w="1018" w:type="dxa"/>
          </w:tcPr>
          <w:p>
            <w:pPr>
              <w:pStyle w:val="TableParagraph"/>
              <w:spacing w:before="1"/>
              <w:ind w:left="326"/>
              <w:jc w:val="left"/>
              <w:rPr>
                <w:sz w:val="18"/>
              </w:rPr>
            </w:pPr>
            <w:r>
              <w:rPr>
                <w:sz w:val="18"/>
              </w:rPr>
              <w:t>5.90</w:t>
            </w:r>
          </w:p>
        </w:tc>
        <w:tc>
          <w:tcPr>
            <w:tcW w:w="982" w:type="dxa"/>
          </w:tcPr>
          <w:p>
            <w:pPr>
              <w:pStyle w:val="TableParagraph"/>
              <w:spacing w:before="1"/>
              <w:ind w:left="240" w:right="241"/>
              <w:rPr>
                <w:sz w:val="18"/>
              </w:rPr>
            </w:pPr>
            <w:r>
              <w:rPr>
                <w:sz w:val="18"/>
              </w:rPr>
              <w:t>6.53</w:t>
            </w:r>
          </w:p>
        </w:tc>
      </w:tr>
      <w:tr>
        <w:trPr>
          <w:trHeight w:val="319" w:hRule="exact"/>
        </w:trPr>
        <w:tc>
          <w:tcPr>
            <w:tcW w:w="2391" w:type="dxa"/>
          </w:tcPr>
          <w:p>
            <w:pPr>
              <w:pStyle w:val="TableParagraph"/>
              <w:spacing w:line="201" w:lineRule="exact"/>
              <w:ind w:left="65"/>
              <w:jc w:val="left"/>
              <w:rPr>
                <w:b/>
                <w:sz w:val="18"/>
              </w:rPr>
            </w:pPr>
            <w:r>
              <w:rPr>
                <w:b/>
                <w:color w:val="333333"/>
                <w:sz w:val="18"/>
              </w:rPr>
              <w:t>TEMOAYA</w:t>
            </w:r>
          </w:p>
        </w:tc>
        <w:tc>
          <w:tcPr>
            <w:tcW w:w="1018" w:type="dxa"/>
          </w:tcPr>
          <w:p>
            <w:pPr>
              <w:pStyle w:val="TableParagraph"/>
              <w:spacing w:line="206" w:lineRule="exact"/>
              <w:ind w:left="326"/>
              <w:jc w:val="left"/>
              <w:rPr>
                <w:sz w:val="18"/>
              </w:rPr>
            </w:pPr>
            <w:r>
              <w:rPr>
                <w:sz w:val="18"/>
              </w:rPr>
              <w:t>5.90</w:t>
            </w:r>
          </w:p>
        </w:tc>
        <w:tc>
          <w:tcPr>
            <w:tcW w:w="982" w:type="dxa"/>
          </w:tcPr>
          <w:p>
            <w:pPr>
              <w:pStyle w:val="TableParagraph"/>
              <w:spacing w:line="206" w:lineRule="exact"/>
              <w:ind w:left="240" w:right="241"/>
              <w:rPr>
                <w:sz w:val="18"/>
              </w:rPr>
            </w:pPr>
            <w:r>
              <w:rPr>
                <w:sz w:val="18"/>
              </w:rPr>
              <w:t>6.74</w:t>
            </w:r>
          </w:p>
        </w:tc>
      </w:tr>
      <w:tr>
        <w:trPr>
          <w:trHeight w:val="322" w:hRule="exact"/>
        </w:trPr>
        <w:tc>
          <w:tcPr>
            <w:tcW w:w="2391" w:type="dxa"/>
          </w:tcPr>
          <w:p>
            <w:pPr>
              <w:pStyle w:val="TableParagraph"/>
              <w:spacing w:line="204" w:lineRule="exact"/>
              <w:ind w:left="65"/>
              <w:jc w:val="left"/>
              <w:rPr>
                <w:b/>
                <w:sz w:val="18"/>
              </w:rPr>
            </w:pPr>
            <w:r>
              <w:rPr>
                <w:b/>
                <w:color w:val="333333"/>
                <w:sz w:val="18"/>
              </w:rPr>
              <w:t>TENANCINGO</w:t>
            </w:r>
          </w:p>
        </w:tc>
        <w:tc>
          <w:tcPr>
            <w:tcW w:w="1018" w:type="dxa"/>
          </w:tcPr>
          <w:p>
            <w:pPr>
              <w:pStyle w:val="TableParagraph"/>
              <w:spacing w:before="1"/>
              <w:ind w:left="326"/>
              <w:jc w:val="left"/>
              <w:rPr>
                <w:sz w:val="18"/>
              </w:rPr>
            </w:pPr>
            <w:r>
              <w:rPr>
                <w:sz w:val="18"/>
              </w:rPr>
              <w:t>7.60</w:t>
            </w:r>
          </w:p>
        </w:tc>
        <w:tc>
          <w:tcPr>
            <w:tcW w:w="982" w:type="dxa"/>
          </w:tcPr>
          <w:p>
            <w:pPr>
              <w:pStyle w:val="TableParagraph"/>
              <w:spacing w:before="1"/>
              <w:ind w:left="240" w:right="241"/>
              <w:rPr>
                <w:sz w:val="18"/>
              </w:rPr>
            </w:pPr>
            <w:r>
              <w:rPr>
                <w:sz w:val="18"/>
              </w:rPr>
              <w:t>8.07</w:t>
            </w:r>
          </w:p>
        </w:tc>
      </w:tr>
      <w:tr>
        <w:trPr>
          <w:trHeight w:val="322" w:hRule="exact"/>
        </w:trPr>
        <w:tc>
          <w:tcPr>
            <w:tcW w:w="2391" w:type="dxa"/>
          </w:tcPr>
          <w:p>
            <w:pPr>
              <w:pStyle w:val="TableParagraph"/>
              <w:spacing w:line="201" w:lineRule="exact"/>
              <w:ind w:left="65"/>
              <w:jc w:val="left"/>
              <w:rPr>
                <w:b/>
                <w:sz w:val="18"/>
              </w:rPr>
            </w:pPr>
            <w:r>
              <w:rPr>
                <w:b/>
                <w:color w:val="333333"/>
                <w:sz w:val="18"/>
              </w:rPr>
              <w:t>TENANGO DEL AIRE</w:t>
            </w:r>
          </w:p>
        </w:tc>
        <w:tc>
          <w:tcPr>
            <w:tcW w:w="1018" w:type="dxa"/>
          </w:tcPr>
          <w:p>
            <w:pPr>
              <w:pStyle w:val="TableParagraph"/>
              <w:spacing w:line="206" w:lineRule="exact"/>
              <w:ind w:left="326"/>
              <w:jc w:val="left"/>
              <w:rPr>
                <w:sz w:val="18"/>
              </w:rPr>
            </w:pPr>
            <w:r>
              <w:rPr>
                <w:sz w:val="18"/>
              </w:rPr>
              <w:t>8.00</w:t>
            </w:r>
          </w:p>
        </w:tc>
        <w:tc>
          <w:tcPr>
            <w:tcW w:w="982" w:type="dxa"/>
          </w:tcPr>
          <w:p>
            <w:pPr>
              <w:pStyle w:val="TableParagraph"/>
              <w:spacing w:line="206" w:lineRule="exact"/>
              <w:ind w:left="240" w:right="241"/>
              <w:rPr>
                <w:sz w:val="18"/>
              </w:rPr>
            </w:pPr>
            <w:r>
              <w:rPr>
                <w:sz w:val="18"/>
              </w:rPr>
              <w:t>8.65</w:t>
            </w:r>
          </w:p>
        </w:tc>
      </w:tr>
      <w:tr>
        <w:trPr>
          <w:trHeight w:val="319" w:hRule="exact"/>
        </w:trPr>
        <w:tc>
          <w:tcPr>
            <w:tcW w:w="2391" w:type="dxa"/>
          </w:tcPr>
          <w:p>
            <w:pPr>
              <w:pStyle w:val="TableParagraph"/>
              <w:spacing w:line="201" w:lineRule="exact"/>
              <w:ind w:left="65"/>
              <w:jc w:val="left"/>
              <w:rPr>
                <w:b/>
                <w:sz w:val="18"/>
              </w:rPr>
            </w:pPr>
            <w:r>
              <w:rPr>
                <w:b/>
                <w:color w:val="333333"/>
                <w:sz w:val="18"/>
              </w:rPr>
              <w:t>TENANGO DEL VALLE</w:t>
            </w:r>
          </w:p>
        </w:tc>
        <w:tc>
          <w:tcPr>
            <w:tcW w:w="1018" w:type="dxa"/>
          </w:tcPr>
          <w:p>
            <w:pPr>
              <w:pStyle w:val="TableParagraph"/>
              <w:spacing w:line="206" w:lineRule="exact"/>
              <w:ind w:left="326"/>
              <w:jc w:val="left"/>
              <w:rPr>
                <w:sz w:val="18"/>
              </w:rPr>
            </w:pPr>
            <w:r>
              <w:rPr>
                <w:sz w:val="18"/>
              </w:rPr>
              <w:t>7.50</w:t>
            </w:r>
          </w:p>
        </w:tc>
        <w:tc>
          <w:tcPr>
            <w:tcW w:w="982" w:type="dxa"/>
          </w:tcPr>
          <w:p>
            <w:pPr>
              <w:pStyle w:val="TableParagraph"/>
              <w:spacing w:line="206" w:lineRule="exact"/>
              <w:ind w:left="240" w:right="241"/>
              <w:rPr>
                <w:sz w:val="18"/>
              </w:rPr>
            </w:pPr>
            <w:r>
              <w:rPr>
                <w:sz w:val="18"/>
              </w:rPr>
              <w:t>7.95</w:t>
            </w:r>
          </w:p>
        </w:tc>
      </w:tr>
      <w:tr>
        <w:trPr>
          <w:trHeight w:val="322" w:hRule="exact"/>
        </w:trPr>
        <w:tc>
          <w:tcPr>
            <w:tcW w:w="2391" w:type="dxa"/>
          </w:tcPr>
          <w:p>
            <w:pPr>
              <w:pStyle w:val="TableParagraph"/>
              <w:spacing w:line="201" w:lineRule="exact"/>
              <w:ind w:left="65"/>
              <w:jc w:val="left"/>
              <w:rPr>
                <w:b/>
                <w:sz w:val="18"/>
              </w:rPr>
            </w:pPr>
            <w:r>
              <w:rPr>
                <w:b/>
                <w:color w:val="333333"/>
                <w:sz w:val="18"/>
              </w:rPr>
              <w:t>TEOLOYUCAN</w:t>
            </w:r>
          </w:p>
        </w:tc>
        <w:tc>
          <w:tcPr>
            <w:tcW w:w="1018" w:type="dxa"/>
          </w:tcPr>
          <w:p>
            <w:pPr>
              <w:pStyle w:val="TableParagraph"/>
              <w:spacing w:line="206" w:lineRule="exact"/>
              <w:ind w:left="326"/>
              <w:jc w:val="left"/>
              <w:rPr>
                <w:sz w:val="18"/>
              </w:rPr>
            </w:pPr>
            <w:r>
              <w:rPr>
                <w:sz w:val="18"/>
              </w:rPr>
              <w:t>8.30</w:t>
            </w:r>
          </w:p>
        </w:tc>
        <w:tc>
          <w:tcPr>
            <w:tcW w:w="982" w:type="dxa"/>
          </w:tcPr>
          <w:p>
            <w:pPr>
              <w:pStyle w:val="TableParagraph"/>
              <w:spacing w:line="206" w:lineRule="exact"/>
              <w:ind w:left="240" w:right="241"/>
              <w:rPr>
                <w:sz w:val="18"/>
              </w:rPr>
            </w:pPr>
            <w:r>
              <w:rPr>
                <w:sz w:val="18"/>
              </w:rPr>
              <w:t>8.77</w:t>
            </w:r>
          </w:p>
        </w:tc>
      </w:tr>
      <w:tr>
        <w:trPr>
          <w:trHeight w:val="319" w:hRule="exact"/>
        </w:trPr>
        <w:tc>
          <w:tcPr>
            <w:tcW w:w="2391" w:type="dxa"/>
          </w:tcPr>
          <w:p>
            <w:pPr>
              <w:pStyle w:val="TableParagraph"/>
              <w:spacing w:line="201" w:lineRule="exact"/>
              <w:ind w:left="65"/>
              <w:jc w:val="left"/>
              <w:rPr>
                <w:b/>
                <w:sz w:val="18"/>
              </w:rPr>
            </w:pPr>
            <w:r>
              <w:rPr>
                <w:b/>
                <w:color w:val="333333"/>
                <w:sz w:val="18"/>
              </w:rPr>
              <w:t>TEOTIHUACAN</w:t>
            </w:r>
          </w:p>
        </w:tc>
        <w:tc>
          <w:tcPr>
            <w:tcW w:w="1018" w:type="dxa"/>
          </w:tcPr>
          <w:p>
            <w:pPr>
              <w:pStyle w:val="TableParagraph"/>
              <w:spacing w:line="206" w:lineRule="exact"/>
              <w:ind w:left="326"/>
              <w:jc w:val="left"/>
              <w:rPr>
                <w:sz w:val="18"/>
              </w:rPr>
            </w:pPr>
            <w:r>
              <w:rPr>
                <w:sz w:val="18"/>
              </w:rPr>
              <w:t>8.60</w:t>
            </w:r>
          </w:p>
        </w:tc>
        <w:tc>
          <w:tcPr>
            <w:tcW w:w="982" w:type="dxa"/>
          </w:tcPr>
          <w:p>
            <w:pPr>
              <w:pStyle w:val="TableParagraph"/>
              <w:spacing w:line="206" w:lineRule="exact"/>
              <w:ind w:left="240" w:right="241"/>
              <w:rPr>
                <w:sz w:val="18"/>
              </w:rPr>
            </w:pPr>
            <w:r>
              <w:rPr>
                <w:sz w:val="18"/>
              </w:rPr>
              <w:t>9.03</w:t>
            </w:r>
          </w:p>
        </w:tc>
      </w:tr>
      <w:tr>
        <w:trPr>
          <w:trHeight w:val="322" w:hRule="exact"/>
        </w:trPr>
        <w:tc>
          <w:tcPr>
            <w:tcW w:w="2391" w:type="dxa"/>
          </w:tcPr>
          <w:p>
            <w:pPr>
              <w:pStyle w:val="TableParagraph"/>
              <w:spacing w:line="201" w:lineRule="exact"/>
              <w:ind w:left="65"/>
              <w:jc w:val="left"/>
              <w:rPr>
                <w:b/>
                <w:sz w:val="18"/>
              </w:rPr>
            </w:pPr>
            <w:r>
              <w:rPr>
                <w:b/>
                <w:color w:val="333333"/>
                <w:sz w:val="18"/>
              </w:rPr>
              <w:t>TEPETLAOXTOC</w:t>
            </w:r>
          </w:p>
        </w:tc>
        <w:tc>
          <w:tcPr>
            <w:tcW w:w="1018" w:type="dxa"/>
          </w:tcPr>
          <w:p>
            <w:pPr>
              <w:pStyle w:val="TableParagraph"/>
              <w:spacing w:line="206" w:lineRule="exact"/>
              <w:ind w:left="326"/>
              <w:jc w:val="left"/>
              <w:rPr>
                <w:sz w:val="18"/>
              </w:rPr>
            </w:pPr>
            <w:r>
              <w:rPr>
                <w:sz w:val="18"/>
              </w:rPr>
              <w:t>8.10</w:t>
            </w:r>
          </w:p>
        </w:tc>
        <w:tc>
          <w:tcPr>
            <w:tcW w:w="982" w:type="dxa"/>
          </w:tcPr>
          <w:p>
            <w:pPr>
              <w:pStyle w:val="TableParagraph"/>
              <w:spacing w:line="206" w:lineRule="exact"/>
              <w:ind w:left="240" w:right="240"/>
              <w:rPr>
                <w:sz w:val="18"/>
              </w:rPr>
            </w:pPr>
            <w:r>
              <w:rPr>
                <w:sz w:val="18"/>
              </w:rPr>
              <w:t>8.49</w:t>
            </w:r>
          </w:p>
        </w:tc>
      </w:tr>
      <w:tr>
        <w:trPr>
          <w:trHeight w:val="320" w:hRule="exact"/>
        </w:trPr>
        <w:tc>
          <w:tcPr>
            <w:tcW w:w="2391" w:type="dxa"/>
          </w:tcPr>
          <w:p>
            <w:pPr>
              <w:pStyle w:val="TableParagraph"/>
              <w:spacing w:line="202" w:lineRule="exact"/>
              <w:ind w:left="65"/>
              <w:jc w:val="left"/>
              <w:rPr>
                <w:b/>
                <w:sz w:val="18"/>
              </w:rPr>
            </w:pPr>
            <w:r>
              <w:rPr>
                <w:b/>
                <w:color w:val="333333"/>
                <w:sz w:val="18"/>
              </w:rPr>
              <w:t>TEPETLIXPA</w:t>
            </w:r>
          </w:p>
        </w:tc>
        <w:tc>
          <w:tcPr>
            <w:tcW w:w="1018" w:type="dxa"/>
          </w:tcPr>
          <w:p>
            <w:pPr>
              <w:pStyle w:val="TableParagraph"/>
              <w:spacing w:line="207" w:lineRule="exact"/>
              <w:ind w:left="326"/>
              <w:jc w:val="left"/>
              <w:rPr>
                <w:sz w:val="18"/>
              </w:rPr>
            </w:pPr>
            <w:r>
              <w:rPr>
                <w:sz w:val="18"/>
              </w:rPr>
              <w:t>7.50</w:t>
            </w:r>
          </w:p>
        </w:tc>
        <w:tc>
          <w:tcPr>
            <w:tcW w:w="982" w:type="dxa"/>
          </w:tcPr>
          <w:p>
            <w:pPr>
              <w:pStyle w:val="TableParagraph"/>
              <w:spacing w:line="207" w:lineRule="exact"/>
              <w:ind w:left="240" w:right="241"/>
              <w:rPr>
                <w:sz w:val="18"/>
              </w:rPr>
            </w:pPr>
            <w:r>
              <w:rPr>
                <w:sz w:val="18"/>
              </w:rPr>
              <w:t>7.98</w:t>
            </w:r>
          </w:p>
        </w:tc>
      </w:tr>
      <w:tr>
        <w:trPr>
          <w:trHeight w:val="322" w:hRule="exact"/>
        </w:trPr>
        <w:tc>
          <w:tcPr>
            <w:tcW w:w="2391" w:type="dxa"/>
          </w:tcPr>
          <w:p>
            <w:pPr>
              <w:pStyle w:val="TableParagraph"/>
              <w:spacing w:line="201" w:lineRule="exact"/>
              <w:ind w:left="65"/>
              <w:jc w:val="left"/>
              <w:rPr>
                <w:b/>
                <w:sz w:val="18"/>
              </w:rPr>
            </w:pPr>
            <w:r>
              <w:rPr>
                <w:b/>
                <w:color w:val="333333"/>
                <w:sz w:val="18"/>
              </w:rPr>
              <w:t>TEPOTZOTLAN</w:t>
            </w:r>
          </w:p>
        </w:tc>
        <w:tc>
          <w:tcPr>
            <w:tcW w:w="1018" w:type="dxa"/>
          </w:tcPr>
          <w:p>
            <w:pPr>
              <w:pStyle w:val="TableParagraph"/>
              <w:spacing w:line="206" w:lineRule="exact"/>
              <w:ind w:left="326"/>
              <w:jc w:val="left"/>
              <w:rPr>
                <w:sz w:val="18"/>
              </w:rPr>
            </w:pPr>
            <w:r>
              <w:rPr>
                <w:sz w:val="18"/>
              </w:rPr>
              <w:t>8.70</w:t>
            </w:r>
          </w:p>
        </w:tc>
        <w:tc>
          <w:tcPr>
            <w:tcW w:w="982" w:type="dxa"/>
          </w:tcPr>
          <w:p>
            <w:pPr>
              <w:pStyle w:val="TableParagraph"/>
              <w:spacing w:line="206" w:lineRule="exact"/>
              <w:ind w:left="240" w:right="241"/>
              <w:rPr>
                <w:sz w:val="18"/>
              </w:rPr>
            </w:pPr>
            <w:r>
              <w:rPr>
                <w:sz w:val="18"/>
              </w:rPr>
              <w:t>8.84</w:t>
            </w:r>
          </w:p>
        </w:tc>
      </w:tr>
      <w:tr>
        <w:trPr>
          <w:trHeight w:val="319" w:hRule="exact"/>
        </w:trPr>
        <w:tc>
          <w:tcPr>
            <w:tcW w:w="2391" w:type="dxa"/>
          </w:tcPr>
          <w:p>
            <w:pPr>
              <w:pStyle w:val="TableParagraph"/>
              <w:spacing w:line="201" w:lineRule="exact"/>
              <w:ind w:left="65"/>
              <w:jc w:val="left"/>
              <w:rPr>
                <w:b/>
                <w:sz w:val="18"/>
              </w:rPr>
            </w:pPr>
            <w:r>
              <w:rPr>
                <w:b/>
                <w:color w:val="333333"/>
                <w:sz w:val="18"/>
              </w:rPr>
              <w:t>TEQUIXQUIAC</w:t>
            </w:r>
          </w:p>
        </w:tc>
        <w:tc>
          <w:tcPr>
            <w:tcW w:w="1018" w:type="dxa"/>
          </w:tcPr>
          <w:p>
            <w:pPr>
              <w:pStyle w:val="TableParagraph"/>
              <w:spacing w:line="206" w:lineRule="exact"/>
              <w:ind w:left="326"/>
              <w:jc w:val="left"/>
              <w:rPr>
                <w:sz w:val="18"/>
              </w:rPr>
            </w:pPr>
            <w:r>
              <w:rPr>
                <w:sz w:val="18"/>
              </w:rPr>
              <w:t>7.60</w:t>
            </w:r>
          </w:p>
        </w:tc>
        <w:tc>
          <w:tcPr>
            <w:tcW w:w="982" w:type="dxa"/>
          </w:tcPr>
          <w:p>
            <w:pPr>
              <w:pStyle w:val="TableParagraph"/>
              <w:spacing w:line="206" w:lineRule="exact"/>
              <w:ind w:left="240" w:right="241"/>
              <w:rPr>
                <w:sz w:val="18"/>
              </w:rPr>
            </w:pPr>
            <w:r>
              <w:rPr>
                <w:sz w:val="18"/>
              </w:rPr>
              <w:t>8.19</w:t>
            </w:r>
          </w:p>
        </w:tc>
      </w:tr>
      <w:tr>
        <w:trPr>
          <w:trHeight w:val="322" w:hRule="exact"/>
        </w:trPr>
        <w:tc>
          <w:tcPr>
            <w:tcW w:w="2391" w:type="dxa"/>
          </w:tcPr>
          <w:p>
            <w:pPr>
              <w:pStyle w:val="TableParagraph"/>
              <w:spacing w:line="201" w:lineRule="exact"/>
              <w:ind w:left="65"/>
              <w:jc w:val="left"/>
              <w:rPr>
                <w:b/>
                <w:sz w:val="18"/>
              </w:rPr>
            </w:pPr>
            <w:r>
              <w:rPr>
                <w:b/>
                <w:color w:val="333333"/>
                <w:sz w:val="18"/>
              </w:rPr>
              <w:t>TEXCALTITLÁN</w:t>
            </w:r>
          </w:p>
        </w:tc>
        <w:tc>
          <w:tcPr>
            <w:tcW w:w="1018" w:type="dxa"/>
          </w:tcPr>
          <w:p>
            <w:pPr>
              <w:pStyle w:val="TableParagraph"/>
              <w:spacing w:line="206" w:lineRule="exact"/>
              <w:ind w:left="326"/>
              <w:jc w:val="left"/>
              <w:rPr>
                <w:sz w:val="18"/>
              </w:rPr>
            </w:pPr>
            <w:r>
              <w:rPr>
                <w:sz w:val="18"/>
              </w:rPr>
              <w:t>6.20</w:t>
            </w:r>
          </w:p>
        </w:tc>
        <w:tc>
          <w:tcPr>
            <w:tcW w:w="982" w:type="dxa"/>
          </w:tcPr>
          <w:p>
            <w:pPr>
              <w:pStyle w:val="TableParagraph"/>
              <w:spacing w:line="206" w:lineRule="exact"/>
              <w:ind w:left="240" w:right="241"/>
              <w:rPr>
                <w:sz w:val="18"/>
              </w:rPr>
            </w:pPr>
            <w:r>
              <w:rPr>
                <w:sz w:val="18"/>
              </w:rPr>
              <w:t>6.97</w:t>
            </w:r>
          </w:p>
        </w:tc>
      </w:tr>
      <w:tr>
        <w:trPr>
          <w:trHeight w:val="319" w:hRule="exact"/>
        </w:trPr>
        <w:tc>
          <w:tcPr>
            <w:tcW w:w="2391" w:type="dxa"/>
          </w:tcPr>
          <w:p>
            <w:pPr>
              <w:pStyle w:val="TableParagraph"/>
              <w:spacing w:line="201" w:lineRule="exact"/>
              <w:ind w:left="65"/>
              <w:jc w:val="left"/>
              <w:rPr>
                <w:b/>
                <w:sz w:val="18"/>
              </w:rPr>
            </w:pPr>
            <w:r>
              <w:rPr>
                <w:b/>
                <w:color w:val="333333"/>
                <w:sz w:val="18"/>
              </w:rPr>
              <w:t>TEXCALYACAC</w:t>
            </w:r>
          </w:p>
        </w:tc>
        <w:tc>
          <w:tcPr>
            <w:tcW w:w="1018" w:type="dxa"/>
          </w:tcPr>
          <w:p>
            <w:pPr>
              <w:pStyle w:val="TableParagraph"/>
              <w:spacing w:line="206" w:lineRule="exact"/>
              <w:ind w:left="326"/>
              <w:jc w:val="left"/>
              <w:rPr>
                <w:sz w:val="18"/>
              </w:rPr>
            </w:pPr>
            <w:r>
              <w:rPr>
                <w:sz w:val="18"/>
              </w:rPr>
              <w:t>8.70</w:t>
            </w:r>
          </w:p>
        </w:tc>
        <w:tc>
          <w:tcPr>
            <w:tcW w:w="982" w:type="dxa"/>
          </w:tcPr>
          <w:p>
            <w:pPr>
              <w:pStyle w:val="TableParagraph"/>
              <w:spacing w:line="206" w:lineRule="exact"/>
              <w:ind w:left="240" w:right="241"/>
              <w:rPr>
                <w:sz w:val="18"/>
              </w:rPr>
            </w:pPr>
            <w:r>
              <w:rPr>
                <w:sz w:val="18"/>
              </w:rPr>
              <w:t>8.82</w:t>
            </w:r>
          </w:p>
        </w:tc>
      </w:tr>
      <w:tr>
        <w:trPr>
          <w:trHeight w:val="322" w:hRule="exact"/>
        </w:trPr>
        <w:tc>
          <w:tcPr>
            <w:tcW w:w="2391" w:type="dxa"/>
          </w:tcPr>
          <w:p>
            <w:pPr>
              <w:pStyle w:val="TableParagraph"/>
              <w:spacing w:line="201" w:lineRule="exact"/>
              <w:ind w:left="65"/>
              <w:jc w:val="left"/>
              <w:rPr>
                <w:b/>
                <w:sz w:val="18"/>
              </w:rPr>
            </w:pPr>
            <w:r>
              <w:rPr>
                <w:b/>
                <w:color w:val="333333"/>
                <w:sz w:val="18"/>
              </w:rPr>
              <w:t>TEXCOCO</w:t>
            </w:r>
          </w:p>
        </w:tc>
        <w:tc>
          <w:tcPr>
            <w:tcW w:w="1018" w:type="dxa"/>
          </w:tcPr>
          <w:p>
            <w:pPr>
              <w:pStyle w:val="TableParagraph"/>
              <w:spacing w:line="206" w:lineRule="exact"/>
              <w:ind w:left="326"/>
              <w:jc w:val="left"/>
              <w:rPr>
                <w:sz w:val="18"/>
              </w:rPr>
            </w:pPr>
            <w:r>
              <w:rPr>
                <w:sz w:val="18"/>
              </w:rPr>
              <w:t>9.40</w:t>
            </w:r>
          </w:p>
        </w:tc>
        <w:tc>
          <w:tcPr>
            <w:tcW w:w="982" w:type="dxa"/>
          </w:tcPr>
          <w:p>
            <w:pPr>
              <w:pStyle w:val="TableParagraph"/>
              <w:spacing w:line="206" w:lineRule="exact"/>
              <w:ind w:left="240" w:right="241"/>
              <w:rPr>
                <w:sz w:val="18"/>
              </w:rPr>
            </w:pPr>
            <w:r>
              <w:rPr>
                <w:sz w:val="18"/>
              </w:rPr>
              <w:t>9.67</w:t>
            </w:r>
          </w:p>
        </w:tc>
      </w:tr>
    </w:tbl>
    <w:p>
      <w:pPr>
        <w:spacing w:after="0" w:line="206" w:lineRule="exact"/>
        <w:rPr>
          <w:sz w:val="18"/>
        </w:rPr>
        <w:sectPr>
          <w:pgSz w:w="12240" w:h="15840"/>
          <w:pgMar w:header="0" w:footer="975" w:top="1500" w:bottom="1160" w:left="1720" w:right="1720"/>
        </w:sectPr>
      </w:pPr>
    </w:p>
    <w:tbl>
      <w:tblPr>
        <w:tblW w:w="0" w:type="auto"/>
        <w:jc w:val="left"/>
        <w:tblInd w:w="22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91"/>
        <w:gridCol w:w="1018"/>
        <w:gridCol w:w="982"/>
      </w:tblGrid>
      <w:tr>
        <w:trPr>
          <w:trHeight w:val="630" w:hRule="exact"/>
        </w:trPr>
        <w:tc>
          <w:tcPr>
            <w:tcW w:w="4391" w:type="dxa"/>
            <w:gridSpan w:val="3"/>
            <w:shd w:val="clear" w:color="auto" w:fill="C5DFB3"/>
          </w:tcPr>
          <w:p>
            <w:pPr>
              <w:pStyle w:val="TableParagraph"/>
              <w:ind w:left="317" w:right="318" w:hanging="2"/>
              <w:rPr>
                <w:b/>
                <w:sz w:val="18"/>
              </w:rPr>
            </w:pPr>
            <w:r>
              <w:rPr>
                <w:b/>
                <w:sz w:val="18"/>
              </w:rPr>
              <w:t>Anexo 30. Grados de escolaridad de los municipios del Estado de México 2005-2010 (Finaliza tabla)</w:t>
            </w:r>
          </w:p>
        </w:tc>
      </w:tr>
      <w:tr>
        <w:trPr>
          <w:trHeight w:val="310" w:hRule="exact"/>
        </w:trPr>
        <w:tc>
          <w:tcPr>
            <w:tcW w:w="2391" w:type="dxa"/>
            <w:shd w:val="clear" w:color="auto" w:fill="C5DFB3"/>
          </w:tcPr>
          <w:p>
            <w:pPr>
              <w:pStyle w:val="TableParagraph"/>
              <w:spacing w:before="39"/>
              <w:ind w:left="770"/>
              <w:jc w:val="left"/>
              <w:rPr>
                <w:b/>
                <w:sz w:val="18"/>
              </w:rPr>
            </w:pPr>
            <w:r>
              <w:rPr>
                <w:b/>
                <w:sz w:val="18"/>
              </w:rPr>
              <w:t>Municipio</w:t>
            </w:r>
          </w:p>
        </w:tc>
        <w:tc>
          <w:tcPr>
            <w:tcW w:w="1018" w:type="dxa"/>
            <w:shd w:val="clear" w:color="auto" w:fill="C5DFB3"/>
          </w:tcPr>
          <w:p>
            <w:pPr>
              <w:pStyle w:val="TableParagraph"/>
              <w:spacing w:before="85"/>
              <w:ind w:left="302"/>
              <w:jc w:val="left"/>
              <w:rPr>
                <w:b/>
                <w:sz w:val="18"/>
              </w:rPr>
            </w:pPr>
            <w:r>
              <w:rPr>
                <w:b/>
                <w:sz w:val="18"/>
              </w:rPr>
              <w:t>2005</w:t>
            </w:r>
          </w:p>
        </w:tc>
        <w:tc>
          <w:tcPr>
            <w:tcW w:w="982" w:type="dxa"/>
            <w:shd w:val="clear" w:color="auto" w:fill="C5DFB3"/>
          </w:tcPr>
          <w:p>
            <w:pPr>
              <w:pStyle w:val="TableParagraph"/>
              <w:spacing w:before="85"/>
              <w:ind w:left="240" w:right="239"/>
              <w:rPr>
                <w:b/>
                <w:sz w:val="18"/>
              </w:rPr>
            </w:pPr>
            <w:r>
              <w:rPr>
                <w:b/>
                <w:sz w:val="18"/>
              </w:rPr>
              <w:t>2010</w:t>
            </w:r>
          </w:p>
        </w:tc>
      </w:tr>
      <w:tr>
        <w:trPr>
          <w:trHeight w:val="322" w:hRule="exact"/>
        </w:trPr>
        <w:tc>
          <w:tcPr>
            <w:tcW w:w="2391" w:type="dxa"/>
          </w:tcPr>
          <w:p>
            <w:pPr>
              <w:pStyle w:val="TableParagraph"/>
              <w:spacing w:line="201" w:lineRule="exact"/>
              <w:ind w:left="65"/>
              <w:jc w:val="left"/>
              <w:rPr>
                <w:b/>
                <w:sz w:val="18"/>
              </w:rPr>
            </w:pPr>
            <w:r>
              <w:rPr>
                <w:b/>
                <w:color w:val="333333"/>
                <w:sz w:val="18"/>
              </w:rPr>
              <w:t>TEZOYUCA</w:t>
            </w:r>
          </w:p>
        </w:tc>
        <w:tc>
          <w:tcPr>
            <w:tcW w:w="1018" w:type="dxa"/>
          </w:tcPr>
          <w:p>
            <w:pPr>
              <w:pStyle w:val="TableParagraph"/>
              <w:spacing w:line="206" w:lineRule="exact"/>
              <w:ind w:left="326"/>
              <w:jc w:val="left"/>
              <w:rPr>
                <w:sz w:val="18"/>
              </w:rPr>
            </w:pPr>
            <w:r>
              <w:rPr>
                <w:sz w:val="18"/>
              </w:rPr>
              <w:t>8.40</w:t>
            </w:r>
          </w:p>
        </w:tc>
        <w:tc>
          <w:tcPr>
            <w:tcW w:w="982" w:type="dxa"/>
          </w:tcPr>
          <w:p>
            <w:pPr>
              <w:pStyle w:val="TableParagraph"/>
              <w:spacing w:line="206" w:lineRule="exact"/>
              <w:ind w:left="240" w:right="241"/>
              <w:rPr>
                <w:sz w:val="18"/>
              </w:rPr>
            </w:pPr>
            <w:r>
              <w:rPr>
                <w:sz w:val="18"/>
              </w:rPr>
              <w:t>8.60</w:t>
            </w:r>
          </w:p>
        </w:tc>
      </w:tr>
      <w:tr>
        <w:trPr>
          <w:trHeight w:val="322" w:hRule="exact"/>
        </w:trPr>
        <w:tc>
          <w:tcPr>
            <w:tcW w:w="2391" w:type="dxa"/>
          </w:tcPr>
          <w:p>
            <w:pPr>
              <w:pStyle w:val="TableParagraph"/>
              <w:spacing w:line="199" w:lineRule="exact"/>
              <w:ind w:left="65"/>
              <w:jc w:val="left"/>
              <w:rPr>
                <w:b/>
                <w:sz w:val="18"/>
              </w:rPr>
            </w:pPr>
            <w:r>
              <w:rPr>
                <w:b/>
                <w:color w:val="333333"/>
                <w:sz w:val="18"/>
              </w:rPr>
              <w:t>TIANGUISTENCO</w:t>
            </w:r>
          </w:p>
        </w:tc>
        <w:tc>
          <w:tcPr>
            <w:tcW w:w="1018" w:type="dxa"/>
          </w:tcPr>
          <w:p>
            <w:pPr>
              <w:pStyle w:val="TableParagraph"/>
              <w:spacing w:line="203" w:lineRule="exact"/>
              <w:ind w:left="326"/>
              <w:jc w:val="left"/>
              <w:rPr>
                <w:sz w:val="18"/>
              </w:rPr>
            </w:pPr>
            <w:r>
              <w:rPr>
                <w:sz w:val="18"/>
              </w:rPr>
              <w:t>8.10</w:t>
            </w:r>
          </w:p>
        </w:tc>
        <w:tc>
          <w:tcPr>
            <w:tcW w:w="982" w:type="dxa"/>
          </w:tcPr>
          <w:p>
            <w:pPr>
              <w:pStyle w:val="TableParagraph"/>
              <w:spacing w:line="203" w:lineRule="exact"/>
              <w:ind w:left="240" w:right="241"/>
              <w:rPr>
                <w:sz w:val="18"/>
              </w:rPr>
            </w:pPr>
            <w:r>
              <w:rPr>
                <w:sz w:val="18"/>
              </w:rPr>
              <w:t>8.60</w:t>
            </w:r>
          </w:p>
        </w:tc>
      </w:tr>
      <w:tr>
        <w:trPr>
          <w:trHeight w:val="319" w:hRule="exact"/>
        </w:trPr>
        <w:tc>
          <w:tcPr>
            <w:tcW w:w="2391" w:type="dxa"/>
          </w:tcPr>
          <w:p>
            <w:pPr>
              <w:pStyle w:val="TableParagraph"/>
              <w:spacing w:line="199" w:lineRule="exact"/>
              <w:ind w:left="65"/>
              <w:jc w:val="left"/>
              <w:rPr>
                <w:b/>
                <w:sz w:val="18"/>
              </w:rPr>
            </w:pPr>
            <w:r>
              <w:rPr>
                <w:b/>
                <w:color w:val="333333"/>
                <w:sz w:val="18"/>
              </w:rPr>
              <w:t>TIMILPAN</w:t>
            </w:r>
          </w:p>
        </w:tc>
        <w:tc>
          <w:tcPr>
            <w:tcW w:w="1018" w:type="dxa"/>
          </w:tcPr>
          <w:p>
            <w:pPr>
              <w:pStyle w:val="TableParagraph"/>
              <w:spacing w:line="203" w:lineRule="exact"/>
              <w:ind w:left="326"/>
              <w:jc w:val="left"/>
              <w:rPr>
                <w:sz w:val="18"/>
              </w:rPr>
            </w:pPr>
            <w:r>
              <w:rPr>
                <w:sz w:val="18"/>
              </w:rPr>
              <w:t>6.70</w:t>
            </w:r>
          </w:p>
        </w:tc>
        <w:tc>
          <w:tcPr>
            <w:tcW w:w="982" w:type="dxa"/>
          </w:tcPr>
          <w:p>
            <w:pPr>
              <w:pStyle w:val="TableParagraph"/>
              <w:spacing w:line="203" w:lineRule="exact"/>
              <w:ind w:left="240" w:right="241"/>
              <w:rPr>
                <w:sz w:val="18"/>
              </w:rPr>
            </w:pPr>
            <w:r>
              <w:rPr>
                <w:sz w:val="18"/>
              </w:rPr>
              <w:t>7.23</w:t>
            </w:r>
          </w:p>
        </w:tc>
      </w:tr>
      <w:tr>
        <w:trPr>
          <w:trHeight w:val="322" w:hRule="exact"/>
        </w:trPr>
        <w:tc>
          <w:tcPr>
            <w:tcW w:w="2391" w:type="dxa"/>
          </w:tcPr>
          <w:p>
            <w:pPr>
              <w:pStyle w:val="TableParagraph"/>
              <w:spacing w:line="199" w:lineRule="exact"/>
              <w:ind w:left="65"/>
              <w:jc w:val="left"/>
              <w:rPr>
                <w:b/>
                <w:sz w:val="18"/>
              </w:rPr>
            </w:pPr>
            <w:r>
              <w:rPr>
                <w:b/>
                <w:color w:val="333333"/>
                <w:sz w:val="18"/>
              </w:rPr>
              <w:t>TLALMANALCO</w:t>
            </w:r>
          </w:p>
        </w:tc>
        <w:tc>
          <w:tcPr>
            <w:tcW w:w="1018" w:type="dxa"/>
          </w:tcPr>
          <w:p>
            <w:pPr>
              <w:pStyle w:val="TableParagraph"/>
              <w:spacing w:line="203" w:lineRule="exact"/>
              <w:ind w:left="326"/>
              <w:jc w:val="left"/>
              <w:rPr>
                <w:sz w:val="18"/>
              </w:rPr>
            </w:pPr>
            <w:r>
              <w:rPr>
                <w:sz w:val="18"/>
              </w:rPr>
              <w:t>9.10</w:t>
            </w:r>
          </w:p>
        </w:tc>
        <w:tc>
          <w:tcPr>
            <w:tcW w:w="982" w:type="dxa"/>
          </w:tcPr>
          <w:p>
            <w:pPr>
              <w:pStyle w:val="TableParagraph"/>
              <w:spacing w:line="203" w:lineRule="exact"/>
              <w:ind w:left="240" w:right="241"/>
              <w:rPr>
                <w:sz w:val="18"/>
              </w:rPr>
            </w:pPr>
            <w:r>
              <w:rPr>
                <w:sz w:val="18"/>
              </w:rPr>
              <w:t>9.44</w:t>
            </w:r>
          </w:p>
        </w:tc>
      </w:tr>
      <w:tr>
        <w:trPr>
          <w:trHeight w:val="319" w:hRule="exact"/>
        </w:trPr>
        <w:tc>
          <w:tcPr>
            <w:tcW w:w="2391" w:type="dxa"/>
          </w:tcPr>
          <w:p>
            <w:pPr>
              <w:pStyle w:val="TableParagraph"/>
              <w:spacing w:before="8"/>
              <w:ind w:left="65"/>
              <w:jc w:val="left"/>
              <w:rPr>
                <w:b/>
                <w:sz w:val="16"/>
              </w:rPr>
            </w:pPr>
            <w:r>
              <w:rPr>
                <w:b/>
                <w:color w:val="333333"/>
                <w:sz w:val="16"/>
              </w:rPr>
              <w:t>TLALNEPANTLA DE BAZ</w:t>
            </w:r>
          </w:p>
        </w:tc>
        <w:tc>
          <w:tcPr>
            <w:tcW w:w="1018" w:type="dxa"/>
          </w:tcPr>
          <w:p>
            <w:pPr>
              <w:pStyle w:val="TableParagraph"/>
              <w:spacing w:line="203" w:lineRule="exact"/>
              <w:ind w:left="326"/>
              <w:jc w:val="left"/>
              <w:rPr>
                <w:sz w:val="18"/>
              </w:rPr>
            </w:pPr>
            <w:r>
              <w:rPr>
                <w:sz w:val="18"/>
              </w:rPr>
              <w:t>9.70</w:t>
            </w:r>
          </w:p>
        </w:tc>
        <w:tc>
          <w:tcPr>
            <w:tcW w:w="982" w:type="dxa"/>
          </w:tcPr>
          <w:p>
            <w:pPr>
              <w:pStyle w:val="TableParagraph"/>
              <w:spacing w:line="203" w:lineRule="exact"/>
              <w:ind w:left="240" w:right="241"/>
              <w:rPr>
                <w:sz w:val="18"/>
              </w:rPr>
            </w:pPr>
            <w:r>
              <w:rPr>
                <w:sz w:val="18"/>
              </w:rPr>
              <w:t>10.04</w:t>
            </w:r>
          </w:p>
        </w:tc>
      </w:tr>
      <w:tr>
        <w:trPr>
          <w:trHeight w:val="322" w:hRule="exact"/>
        </w:trPr>
        <w:tc>
          <w:tcPr>
            <w:tcW w:w="2391" w:type="dxa"/>
          </w:tcPr>
          <w:p>
            <w:pPr>
              <w:pStyle w:val="TableParagraph"/>
              <w:spacing w:before="8"/>
              <w:ind w:left="65"/>
              <w:jc w:val="left"/>
              <w:rPr>
                <w:b/>
                <w:sz w:val="16"/>
              </w:rPr>
            </w:pPr>
            <w:r>
              <w:rPr>
                <w:b/>
                <w:color w:val="333333"/>
                <w:sz w:val="16"/>
              </w:rPr>
              <w:t>TLATLAYA</w:t>
            </w:r>
          </w:p>
        </w:tc>
        <w:tc>
          <w:tcPr>
            <w:tcW w:w="1018" w:type="dxa"/>
          </w:tcPr>
          <w:p>
            <w:pPr>
              <w:pStyle w:val="TableParagraph"/>
              <w:spacing w:line="203" w:lineRule="exact"/>
              <w:ind w:left="326"/>
              <w:jc w:val="left"/>
              <w:rPr>
                <w:sz w:val="18"/>
              </w:rPr>
            </w:pPr>
            <w:r>
              <w:rPr>
                <w:sz w:val="18"/>
              </w:rPr>
              <w:t>5.60</w:t>
            </w:r>
          </w:p>
        </w:tc>
        <w:tc>
          <w:tcPr>
            <w:tcW w:w="982" w:type="dxa"/>
          </w:tcPr>
          <w:p>
            <w:pPr>
              <w:pStyle w:val="TableParagraph"/>
              <w:spacing w:line="203" w:lineRule="exact"/>
              <w:ind w:left="240" w:right="241"/>
              <w:rPr>
                <w:sz w:val="18"/>
              </w:rPr>
            </w:pPr>
            <w:r>
              <w:rPr>
                <w:sz w:val="18"/>
              </w:rPr>
              <w:t>6.21</w:t>
            </w:r>
          </w:p>
        </w:tc>
      </w:tr>
      <w:tr>
        <w:trPr>
          <w:trHeight w:val="319" w:hRule="exact"/>
        </w:trPr>
        <w:tc>
          <w:tcPr>
            <w:tcW w:w="2391" w:type="dxa"/>
          </w:tcPr>
          <w:p>
            <w:pPr>
              <w:pStyle w:val="TableParagraph"/>
              <w:spacing w:before="8"/>
              <w:ind w:left="65"/>
              <w:jc w:val="left"/>
              <w:rPr>
                <w:b/>
                <w:sz w:val="16"/>
              </w:rPr>
            </w:pPr>
            <w:r>
              <w:rPr>
                <w:b/>
                <w:color w:val="333333"/>
                <w:sz w:val="16"/>
              </w:rPr>
              <w:t>TOLUCA</w:t>
            </w:r>
          </w:p>
        </w:tc>
        <w:tc>
          <w:tcPr>
            <w:tcW w:w="1018" w:type="dxa"/>
          </w:tcPr>
          <w:p>
            <w:pPr>
              <w:pStyle w:val="TableParagraph"/>
              <w:spacing w:line="203" w:lineRule="exact"/>
              <w:ind w:left="326"/>
              <w:jc w:val="left"/>
              <w:rPr>
                <w:sz w:val="18"/>
              </w:rPr>
            </w:pPr>
            <w:r>
              <w:rPr>
                <w:sz w:val="18"/>
              </w:rPr>
              <w:t>9.60</w:t>
            </w:r>
          </w:p>
        </w:tc>
        <w:tc>
          <w:tcPr>
            <w:tcW w:w="982" w:type="dxa"/>
          </w:tcPr>
          <w:p>
            <w:pPr>
              <w:pStyle w:val="TableParagraph"/>
              <w:spacing w:line="203" w:lineRule="exact"/>
              <w:ind w:left="240" w:right="241"/>
              <w:rPr>
                <w:sz w:val="18"/>
              </w:rPr>
            </w:pPr>
            <w:r>
              <w:rPr>
                <w:sz w:val="18"/>
              </w:rPr>
              <w:t>9.95</w:t>
            </w:r>
          </w:p>
        </w:tc>
      </w:tr>
      <w:tr>
        <w:trPr>
          <w:trHeight w:val="322" w:hRule="exact"/>
        </w:trPr>
        <w:tc>
          <w:tcPr>
            <w:tcW w:w="2391" w:type="dxa"/>
          </w:tcPr>
          <w:p>
            <w:pPr>
              <w:pStyle w:val="TableParagraph"/>
              <w:spacing w:before="10"/>
              <w:ind w:left="65"/>
              <w:jc w:val="left"/>
              <w:rPr>
                <w:b/>
                <w:sz w:val="16"/>
              </w:rPr>
            </w:pPr>
            <w:r>
              <w:rPr>
                <w:b/>
                <w:color w:val="333333"/>
                <w:sz w:val="16"/>
              </w:rPr>
              <w:t>TONANITLA</w:t>
            </w:r>
          </w:p>
        </w:tc>
        <w:tc>
          <w:tcPr>
            <w:tcW w:w="1018" w:type="dxa"/>
          </w:tcPr>
          <w:p>
            <w:pPr>
              <w:pStyle w:val="TableParagraph"/>
              <w:spacing w:line="203" w:lineRule="exact"/>
              <w:ind w:left="326"/>
              <w:jc w:val="left"/>
              <w:rPr>
                <w:sz w:val="18"/>
              </w:rPr>
            </w:pPr>
            <w:r>
              <w:rPr>
                <w:sz w:val="18"/>
              </w:rPr>
              <w:t>8.50</w:t>
            </w:r>
          </w:p>
        </w:tc>
        <w:tc>
          <w:tcPr>
            <w:tcW w:w="982" w:type="dxa"/>
          </w:tcPr>
          <w:p>
            <w:pPr>
              <w:pStyle w:val="TableParagraph"/>
              <w:spacing w:line="203" w:lineRule="exact"/>
              <w:ind w:left="240" w:right="241"/>
              <w:rPr>
                <w:sz w:val="18"/>
              </w:rPr>
            </w:pPr>
            <w:r>
              <w:rPr>
                <w:sz w:val="18"/>
              </w:rPr>
              <w:t>8.82</w:t>
            </w:r>
          </w:p>
        </w:tc>
      </w:tr>
      <w:tr>
        <w:trPr>
          <w:trHeight w:val="320" w:hRule="exact"/>
        </w:trPr>
        <w:tc>
          <w:tcPr>
            <w:tcW w:w="2391" w:type="dxa"/>
          </w:tcPr>
          <w:p>
            <w:pPr>
              <w:pStyle w:val="TableParagraph"/>
              <w:spacing w:before="8"/>
              <w:ind w:left="65"/>
              <w:jc w:val="left"/>
              <w:rPr>
                <w:b/>
                <w:sz w:val="16"/>
              </w:rPr>
            </w:pPr>
            <w:r>
              <w:rPr>
                <w:b/>
                <w:color w:val="333333"/>
                <w:sz w:val="16"/>
              </w:rPr>
              <w:t>TONATICO</w:t>
            </w:r>
          </w:p>
        </w:tc>
        <w:tc>
          <w:tcPr>
            <w:tcW w:w="1018" w:type="dxa"/>
          </w:tcPr>
          <w:p>
            <w:pPr>
              <w:pStyle w:val="TableParagraph"/>
              <w:spacing w:line="203" w:lineRule="exact"/>
              <w:ind w:left="326"/>
              <w:jc w:val="left"/>
              <w:rPr>
                <w:sz w:val="18"/>
              </w:rPr>
            </w:pPr>
            <w:r>
              <w:rPr>
                <w:sz w:val="18"/>
              </w:rPr>
              <w:t>6.70</w:t>
            </w:r>
          </w:p>
        </w:tc>
        <w:tc>
          <w:tcPr>
            <w:tcW w:w="982" w:type="dxa"/>
          </w:tcPr>
          <w:p>
            <w:pPr>
              <w:pStyle w:val="TableParagraph"/>
              <w:spacing w:line="203" w:lineRule="exact"/>
              <w:ind w:left="240" w:right="241"/>
              <w:rPr>
                <w:sz w:val="18"/>
              </w:rPr>
            </w:pPr>
            <w:r>
              <w:rPr>
                <w:sz w:val="18"/>
              </w:rPr>
              <w:t>7.36</w:t>
            </w:r>
          </w:p>
        </w:tc>
      </w:tr>
      <w:tr>
        <w:trPr>
          <w:trHeight w:val="322" w:hRule="exact"/>
        </w:trPr>
        <w:tc>
          <w:tcPr>
            <w:tcW w:w="2391" w:type="dxa"/>
          </w:tcPr>
          <w:p>
            <w:pPr>
              <w:pStyle w:val="TableParagraph"/>
              <w:spacing w:before="10"/>
              <w:ind w:left="65"/>
              <w:jc w:val="left"/>
              <w:rPr>
                <w:b/>
                <w:sz w:val="16"/>
              </w:rPr>
            </w:pPr>
            <w:r>
              <w:rPr>
                <w:b/>
                <w:color w:val="333333"/>
                <w:sz w:val="16"/>
              </w:rPr>
              <w:t>TULTEPEC</w:t>
            </w:r>
          </w:p>
        </w:tc>
        <w:tc>
          <w:tcPr>
            <w:tcW w:w="1018" w:type="dxa"/>
          </w:tcPr>
          <w:p>
            <w:pPr>
              <w:pStyle w:val="TableParagraph"/>
              <w:spacing w:line="203" w:lineRule="exact"/>
              <w:ind w:left="326"/>
              <w:jc w:val="left"/>
              <w:rPr>
                <w:sz w:val="18"/>
              </w:rPr>
            </w:pPr>
            <w:r>
              <w:rPr>
                <w:sz w:val="18"/>
              </w:rPr>
              <w:t>8.90</w:t>
            </w:r>
          </w:p>
        </w:tc>
        <w:tc>
          <w:tcPr>
            <w:tcW w:w="982" w:type="dxa"/>
          </w:tcPr>
          <w:p>
            <w:pPr>
              <w:pStyle w:val="TableParagraph"/>
              <w:spacing w:line="203" w:lineRule="exact"/>
              <w:ind w:left="240" w:right="241"/>
              <w:rPr>
                <w:sz w:val="18"/>
              </w:rPr>
            </w:pPr>
            <w:r>
              <w:rPr>
                <w:sz w:val="18"/>
              </w:rPr>
              <w:t>9.62</w:t>
            </w:r>
          </w:p>
        </w:tc>
      </w:tr>
      <w:tr>
        <w:trPr>
          <w:trHeight w:val="319" w:hRule="exact"/>
        </w:trPr>
        <w:tc>
          <w:tcPr>
            <w:tcW w:w="2391" w:type="dxa"/>
          </w:tcPr>
          <w:p>
            <w:pPr>
              <w:pStyle w:val="TableParagraph"/>
              <w:spacing w:before="8"/>
              <w:ind w:left="65"/>
              <w:jc w:val="left"/>
              <w:rPr>
                <w:b/>
                <w:sz w:val="16"/>
              </w:rPr>
            </w:pPr>
            <w:r>
              <w:rPr>
                <w:b/>
                <w:color w:val="333333"/>
                <w:sz w:val="16"/>
              </w:rPr>
              <w:t>TULTITLAN</w:t>
            </w:r>
          </w:p>
        </w:tc>
        <w:tc>
          <w:tcPr>
            <w:tcW w:w="1018" w:type="dxa"/>
          </w:tcPr>
          <w:p>
            <w:pPr>
              <w:pStyle w:val="TableParagraph"/>
              <w:spacing w:line="203" w:lineRule="exact"/>
              <w:ind w:left="326"/>
              <w:jc w:val="left"/>
              <w:rPr>
                <w:sz w:val="18"/>
              </w:rPr>
            </w:pPr>
            <w:r>
              <w:rPr>
                <w:sz w:val="18"/>
              </w:rPr>
              <w:t>9.30</w:t>
            </w:r>
          </w:p>
        </w:tc>
        <w:tc>
          <w:tcPr>
            <w:tcW w:w="982" w:type="dxa"/>
          </w:tcPr>
          <w:p>
            <w:pPr>
              <w:pStyle w:val="TableParagraph"/>
              <w:spacing w:line="203" w:lineRule="exact"/>
              <w:ind w:left="240" w:right="241"/>
              <w:rPr>
                <w:sz w:val="18"/>
              </w:rPr>
            </w:pPr>
            <w:r>
              <w:rPr>
                <w:sz w:val="18"/>
              </w:rPr>
              <w:t>9.64</w:t>
            </w:r>
          </w:p>
        </w:tc>
      </w:tr>
      <w:tr>
        <w:trPr>
          <w:trHeight w:val="322" w:hRule="exact"/>
        </w:trPr>
        <w:tc>
          <w:tcPr>
            <w:tcW w:w="2391" w:type="dxa"/>
          </w:tcPr>
          <w:p>
            <w:pPr>
              <w:pStyle w:val="TableParagraph"/>
              <w:spacing w:before="10"/>
              <w:ind w:left="65"/>
              <w:jc w:val="left"/>
              <w:rPr>
                <w:b/>
                <w:sz w:val="16"/>
              </w:rPr>
            </w:pPr>
            <w:r>
              <w:rPr>
                <w:b/>
                <w:color w:val="333333"/>
                <w:sz w:val="16"/>
              </w:rPr>
              <w:t>VALLE DE BRAVO</w:t>
            </w:r>
          </w:p>
        </w:tc>
        <w:tc>
          <w:tcPr>
            <w:tcW w:w="1018" w:type="dxa"/>
          </w:tcPr>
          <w:p>
            <w:pPr>
              <w:pStyle w:val="TableParagraph"/>
              <w:spacing w:line="203" w:lineRule="exact"/>
              <w:ind w:left="326"/>
              <w:jc w:val="left"/>
              <w:rPr>
                <w:sz w:val="18"/>
              </w:rPr>
            </w:pPr>
            <w:r>
              <w:rPr>
                <w:sz w:val="18"/>
              </w:rPr>
              <w:t>7.30</w:t>
            </w:r>
          </w:p>
        </w:tc>
        <w:tc>
          <w:tcPr>
            <w:tcW w:w="982" w:type="dxa"/>
          </w:tcPr>
          <w:p>
            <w:pPr>
              <w:pStyle w:val="TableParagraph"/>
              <w:spacing w:line="203" w:lineRule="exact"/>
              <w:ind w:left="240" w:right="241"/>
              <w:rPr>
                <w:sz w:val="18"/>
              </w:rPr>
            </w:pPr>
            <w:r>
              <w:rPr>
                <w:sz w:val="18"/>
              </w:rPr>
              <w:t>7.92</w:t>
            </w:r>
          </w:p>
        </w:tc>
      </w:tr>
      <w:tr>
        <w:trPr>
          <w:trHeight w:val="562" w:hRule="exact"/>
        </w:trPr>
        <w:tc>
          <w:tcPr>
            <w:tcW w:w="2391" w:type="dxa"/>
          </w:tcPr>
          <w:p>
            <w:pPr>
              <w:pStyle w:val="TableParagraph"/>
              <w:spacing w:line="360" w:lineRule="auto"/>
              <w:ind w:left="65" w:right="776"/>
              <w:jc w:val="left"/>
              <w:rPr>
                <w:b/>
                <w:sz w:val="16"/>
              </w:rPr>
            </w:pPr>
            <w:r>
              <w:rPr>
                <w:b/>
                <w:color w:val="333333"/>
                <w:sz w:val="16"/>
              </w:rPr>
              <w:t>VALLE DE CHALCO SOLIDARIDAD</w:t>
            </w:r>
          </w:p>
        </w:tc>
        <w:tc>
          <w:tcPr>
            <w:tcW w:w="1018" w:type="dxa"/>
          </w:tcPr>
          <w:p>
            <w:pPr>
              <w:pStyle w:val="TableParagraph"/>
              <w:spacing w:before="8"/>
              <w:jc w:val="left"/>
              <w:rPr>
                <w:rFonts w:ascii="Times New Roman"/>
                <w:sz w:val="20"/>
              </w:rPr>
            </w:pPr>
          </w:p>
          <w:p>
            <w:pPr>
              <w:pStyle w:val="TableParagraph"/>
              <w:ind w:left="326"/>
              <w:jc w:val="left"/>
              <w:rPr>
                <w:sz w:val="18"/>
              </w:rPr>
            </w:pPr>
            <w:r>
              <w:rPr>
                <w:sz w:val="18"/>
              </w:rPr>
              <w:t>7.70</w:t>
            </w:r>
          </w:p>
        </w:tc>
        <w:tc>
          <w:tcPr>
            <w:tcW w:w="982" w:type="dxa"/>
          </w:tcPr>
          <w:p>
            <w:pPr>
              <w:pStyle w:val="TableParagraph"/>
              <w:spacing w:before="8"/>
              <w:jc w:val="left"/>
              <w:rPr>
                <w:rFonts w:ascii="Times New Roman"/>
                <w:sz w:val="20"/>
              </w:rPr>
            </w:pPr>
          </w:p>
          <w:p>
            <w:pPr>
              <w:pStyle w:val="TableParagraph"/>
              <w:ind w:left="240" w:right="241"/>
              <w:rPr>
                <w:sz w:val="18"/>
              </w:rPr>
            </w:pPr>
            <w:r>
              <w:rPr>
                <w:sz w:val="18"/>
              </w:rPr>
              <w:t>8.10</w:t>
            </w:r>
          </w:p>
        </w:tc>
      </w:tr>
      <w:tr>
        <w:trPr>
          <w:trHeight w:val="322" w:hRule="exact"/>
        </w:trPr>
        <w:tc>
          <w:tcPr>
            <w:tcW w:w="2391" w:type="dxa"/>
          </w:tcPr>
          <w:p>
            <w:pPr>
              <w:pStyle w:val="TableParagraph"/>
              <w:spacing w:before="8"/>
              <w:ind w:left="65"/>
              <w:jc w:val="left"/>
              <w:rPr>
                <w:b/>
                <w:sz w:val="16"/>
              </w:rPr>
            </w:pPr>
            <w:r>
              <w:rPr>
                <w:b/>
                <w:color w:val="333333"/>
                <w:sz w:val="16"/>
              </w:rPr>
              <w:t>VILLA DE ALLENDE</w:t>
            </w:r>
          </w:p>
        </w:tc>
        <w:tc>
          <w:tcPr>
            <w:tcW w:w="1018" w:type="dxa"/>
          </w:tcPr>
          <w:p>
            <w:pPr>
              <w:pStyle w:val="TableParagraph"/>
              <w:spacing w:line="203" w:lineRule="exact"/>
              <w:ind w:left="326"/>
              <w:jc w:val="left"/>
              <w:rPr>
                <w:sz w:val="18"/>
              </w:rPr>
            </w:pPr>
            <w:r>
              <w:rPr>
                <w:sz w:val="18"/>
              </w:rPr>
              <w:t>5.20</w:t>
            </w:r>
          </w:p>
        </w:tc>
        <w:tc>
          <w:tcPr>
            <w:tcW w:w="982" w:type="dxa"/>
          </w:tcPr>
          <w:p>
            <w:pPr>
              <w:pStyle w:val="TableParagraph"/>
              <w:spacing w:line="203" w:lineRule="exact"/>
              <w:ind w:left="240" w:right="241"/>
              <w:rPr>
                <w:sz w:val="18"/>
              </w:rPr>
            </w:pPr>
            <w:r>
              <w:rPr>
                <w:sz w:val="18"/>
              </w:rPr>
              <w:t>5.88</w:t>
            </w:r>
          </w:p>
        </w:tc>
      </w:tr>
      <w:tr>
        <w:trPr>
          <w:trHeight w:val="319" w:hRule="exact"/>
        </w:trPr>
        <w:tc>
          <w:tcPr>
            <w:tcW w:w="2391" w:type="dxa"/>
          </w:tcPr>
          <w:p>
            <w:pPr>
              <w:pStyle w:val="TableParagraph"/>
              <w:spacing w:before="8"/>
              <w:ind w:left="65"/>
              <w:jc w:val="left"/>
              <w:rPr>
                <w:b/>
                <w:sz w:val="16"/>
              </w:rPr>
            </w:pPr>
            <w:r>
              <w:rPr>
                <w:b/>
                <w:color w:val="333333"/>
                <w:sz w:val="16"/>
              </w:rPr>
              <w:t>VILLA DEL CARBON</w:t>
            </w:r>
          </w:p>
        </w:tc>
        <w:tc>
          <w:tcPr>
            <w:tcW w:w="1018" w:type="dxa"/>
          </w:tcPr>
          <w:p>
            <w:pPr>
              <w:pStyle w:val="TableParagraph"/>
              <w:spacing w:line="203" w:lineRule="exact"/>
              <w:ind w:left="326"/>
              <w:jc w:val="left"/>
              <w:rPr>
                <w:sz w:val="18"/>
              </w:rPr>
            </w:pPr>
            <w:r>
              <w:rPr>
                <w:sz w:val="18"/>
              </w:rPr>
              <w:t>6.20</w:t>
            </w:r>
          </w:p>
        </w:tc>
        <w:tc>
          <w:tcPr>
            <w:tcW w:w="982" w:type="dxa"/>
          </w:tcPr>
          <w:p>
            <w:pPr>
              <w:pStyle w:val="TableParagraph"/>
              <w:spacing w:line="203" w:lineRule="exact"/>
              <w:ind w:left="240" w:right="241"/>
              <w:rPr>
                <w:sz w:val="18"/>
              </w:rPr>
            </w:pPr>
            <w:r>
              <w:rPr>
                <w:sz w:val="18"/>
              </w:rPr>
              <w:t>6.78</w:t>
            </w:r>
          </w:p>
        </w:tc>
      </w:tr>
      <w:tr>
        <w:trPr>
          <w:trHeight w:val="322" w:hRule="exact"/>
        </w:trPr>
        <w:tc>
          <w:tcPr>
            <w:tcW w:w="2391" w:type="dxa"/>
          </w:tcPr>
          <w:p>
            <w:pPr>
              <w:pStyle w:val="TableParagraph"/>
              <w:spacing w:before="8"/>
              <w:ind w:left="65"/>
              <w:jc w:val="left"/>
              <w:rPr>
                <w:b/>
                <w:sz w:val="16"/>
              </w:rPr>
            </w:pPr>
            <w:r>
              <w:rPr>
                <w:b/>
                <w:color w:val="333333"/>
                <w:sz w:val="16"/>
              </w:rPr>
              <w:t>VILLA GUERRERO</w:t>
            </w:r>
          </w:p>
        </w:tc>
        <w:tc>
          <w:tcPr>
            <w:tcW w:w="1018" w:type="dxa"/>
          </w:tcPr>
          <w:p>
            <w:pPr>
              <w:pStyle w:val="TableParagraph"/>
              <w:spacing w:line="203" w:lineRule="exact"/>
              <w:ind w:left="326"/>
              <w:jc w:val="left"/>
              <w:rPr>
                <w:sz w:val="18"/>
              </w:rPr>
            </w:pPr>
            <w:r>
              <w:rPr>
                <w:sz w:val="18"/>
              </w:rPr>
              <w:t>5.90</w:t>
            </w:r>
          </w:p>
        </w:tc>
        <w:tc>
          <w:tcPr>
            <w:tcW w:w="982" w:type="dxa"/>
          </w:tcPr>
          <w:p>
            <w:pPr>
              <w:pStyle w:val="TableParagraph"/>
              <w:spacing w:line="203" w:lineRule="exact"/>
              <w:ind w:left="240" w:right="241"/>
              <w:rPr>
                <w:sz w:val="18"/>
              </w:rPr>
            </w:pPr>
            <w:r>
              <w:rPr>
                <w:sz w:val="18"/>
              </w:rPr>
              <w:t>6.39</w:t>
            </w:r>
          </w:p>
        </w:tc>
      </w:tr>
      <w:tr>
        <w:trPr>
          <w:trHeight w:val="319" w:hRule="exact"/>
        </w:trPr>
        <w:tc>
          <w:tcPr>
            <w:tcW w:w="2391" w:type="dxa"/>
          </w:tcPr>
          <w:p>
            <w:pPr>
              <w:pStyle w:val="TableParagraph"/>
              <w:spacing w:before="8"/>
              <w:ind w:left="65"/>
              <w:jc w:val="left"/>
              <w:rPr>
                <w:b/>
                <w:sz w:val="16"/>
              </w:rPr>
            </w:pPr>
            <w:r>
              <w:rPr>
                <w:b/>
                <w:color w:val="333333"/>
                <w:sz w:val="16"/>
              </w:rPr>
              <w:t>VILLA VICTORIA</w:t>
            </w:r>
          </w:p>
        </w:tc>
        <w:tc>
          <w:tcPr>
            <w:tcW w:w="1018" w:type="dxa"/>
          </w:tcPr>
          <w:p>
            <w:pPr>
              <w:pStyle w:val="TableParagraph"/>
              <w:spacing w:line="203" w:lineRule="exact"/>
              <w:ind w:left="326"/>
              <w:jc w:val="left"/>
              <w:rPr>
                <w:sz w:val="18"/>
              </w:rPr>
            </w:pPr>
            <w:r>
              <w:rPr>
                <w:sz w:val="18"/>
              </w:rPr>
              <w:t>4.90</w:t>
            </w:r>
          </w:p>
        </w:tc>
        <w:tc>
          <w:tcPr>
            <w:tcW w:w="982" w:type="dxa"/>
          </w:tcPr>
          <w:p>
            <w:pPr>
              <w:pStyle w:val="TableParagraph"/>
              <w:spacing w:line="203" w:lineRule="exact"/>
              <w:ind w:left="240" w:right="241"/>
              <w:rPr>
                <w:sz w:val="18"/>
              </w:rPr>
            </w:pPr>
            <w:r>
              <w:rPr>
                <w:sz w:val="18"/>
              </w:rPr>
              <w:t>5.55</w:t>
            </w:r>
          </w:p>
        </w:tc>
      </w:tr>
      <w:tr>
        <w:trPr>
          <w:trHeight w:val="322" w:hRule="exact"/>
        </w:trPr>
        <w:tc>
          <w:tcPr>
            <w:tcW w:w="2391" w:type="dxa"/>
          </w:tcPr>
          <w:p>
            <w:pPr>
              <w:pStyle w:val="TableParagraph"/>
              <w:spacing w:before="8"/>
              <w:ind w:left="65"/>
              <w:jc w:val="left"/>
              <w:rPr>
                <w:b/>
                <w:sz w:val="16"/>
              </w:rPr>
            </w:pPr>
            <w:r>
              <w:rPr>
                <w:b/>
                <w:color w:val="333333"/>
                <w:sz w:val="16"/>
              </w:rPr>
              <w:t>XALATLACO</w:t>
            </w:r>
          </w:p>
        </w:tc>
        <w:tc>
          <w:tcPr>
            <w:tcW w:w="1018" w:type="dxa"/>
          </w:tcPr>
          <w:p>
            <w:pPr>
              <w:pStyle w:val="TableParagraph"/>
              <w:spacing w:line="203" w:lineRule="exact"/>
              <w:ind w:left="326"/>
              <w:jc w:val="left"/>
              <w:rPr>
                <w:sz w:val="18"/>
              </w:rPr>
            </w:pPr>
            <w:r>
              <w:rPr>
                <w:sz w:val="18"/>
              </w:rPr>
              <w:t>7.50</w:t>
            </w:r>
          </w:p>
        </w:tc>
        <w:tc>
          <w:tcPr>
            <w:tcW w:w="982" w:type="dxa"/>
          </w:tcPr>
          <w:p>
            <w:pPr>
              <w:pStyle w:val="TableParagraph"/>
              <w:spacing w:line="203" w:lineRule="exact"/>
              <w:ind w:left="240" w:right="241"/>
              <w:rPr>
                <w:sz w:val="18"/>
              </w:rPr>
            </w:pPr>
            <w:r>
              <w:rPr>
                <w:sz w:val="18"/>
              </w:rPr>
              <w:t>8.02</w:t>
            </w:r>
          </w:p>
        </w:tc>
      </w:tr>
      <w:tr>
        <w:trPr>
          <w:trHeight w:val="320" w:hRule="exact"/>
        </w:trPr>
        <w:tc>
          <w:tcPr>
            <w:tcW w:w="2391" w:type="dxa"/>
          </w:tcPr>
          <w:p>
            <w:pPr>
              <w:pStyle w:val="TableParagraph"/>
              <w:spacing w:before="8"/>
              <w:ind w:left="65"/>
              <w:jc w:val="left"/>
              <w:rPr>
                <w:b/>
                <w:sz w:val="16"/>
              </w:rPr>
            </w:pPr>
            <w:r>
              <w:rPr>
                <w:b/>
                <w:color w:val="333333"/>
                <w:sz w:val="16"/>
              </w:rPr>
              <w:t>XONACATLAN</w:t>
            </w:r>
          </w:p>
        </w:tc>
        <w:tc>
          <w:tcPr>
            <w:tcW w:w="1018" w:type="dxa"/>
          </w:tcPr>
          <w:p>
            <w:pPr>
              <w:pStyle w:val="TableParagraph"/>
              <w:spacing w:line="203" w:lineRule="exact"/>
              <w:ind w:left="326"/>
              <w:jc w:val="left"/>
              <w:rPr>
                <w:sz w:val="18"/>
              </w:rPr>
            </w:pPr>
            <w:r>
              <w:rPr>
                <w:sz w:val="18"/>
              </w:rPr>
              <w:t>7.70</w:t>
            </w:r>
          </w:p>
        </w:tc>
        <w:tc>
          <w:tcPr>
            <w:tcW w:w="982" w:type="dxa"/>
          </w:tcPr>
          <w:p>
            <w:pPr>
              <w:pStyle w:val="TableParagraph"/>
              <w:spacing w:line="203" w:lineRule="exact"/>
              <w:ind w:left="240" w:right="241"/>
              <w:rPr>
                <w:sz w:val="18"/>
              </w:rPr>
            </w:pPr>
            <w:r>
              <w:rPr>
                <w:sz w:val="18"/>
              </w:rPr>
              <w:t>8.41</w:t>
            </w:r>
          </w:p>
        </w:tc>
      </w:tr>
      <w:tr>
        <w:trPr>
          <w:trHeight w:val="322" w:hRule="exact"/>
        </w:trPr>
        <w:tc>
          <w:tcPr>
            <w:tcW w:w="2391" w:type="dxa"/>
          </w:tcPr>
          <w:p>
            <w:pPr>
              <w:pStyle w:val="TableParagraph"/>
              <w:spacing w:before="10"/>
              <w:ind w:left="65"/>
              <w:jc w:val="left"/>
              <w:rPr>
                <w:b/>
                <w:sz w:val="16"/>
              </w:rPr>
            </w:pPr>
            <w:r>
              <w:rPr>
                <w:b/>
                <w:color w:val="333333"/>
                <w:sz w:val="16"/>
              </w:rPr>
              <w:t>ZACAZONAPAN</w:t>
            </w:r>
          </w:p>
        </w:tc>
        <w:tc>
          <w:tcPr>
            <w:tcW w:w="1018" w:type="dxa"/>
          </w:tcPr>
          <w:p>
            <w:pPr>
              <w:pStyle w:val="TableParagraph"/>
              <w:spacing w:line="203" w:lineRule="exact"/>
              <w:ind w:left="326"/>
              <w:jc w:val="left"/>
              <w:rPr>
                <w:sz w:val="18"/>
              </w:rPr>
            </w:pPr>
            <w:r>
              <w:rPr>
                <w:sz w:val="18"/>
              </w:rPr>
              <w:t>5.90</w:t>
            </w:r>
          </w:p>
        </w:tc>
        <w:tc>
          <w:tcPr>
            <w:tcW w:w="982" w:type="dxa"/>
          </w:tcPr>
          <w:p>
            <w:pPr>
              <w:pStyle w:val="TableParagraph"/>
              <w:spacing w:line="203" w:lineRule="exact"/>
              <w:ind w:left="240" w:right="241"/>
              <w:rPr>
                <w:sz w:val="18"/>
              </w:rPr>
            </w:pPr>
            <w:r>
              <w:rPr>
                <w:sz w:val="18"/>
              </w:rPr>
              <w:t>6.70</w:t>
            </w:r>
          </w:p>
        </w:tc>
      </w:tr>
      <w:tr>
        <w:trPr>
          <w:trHeight w:val="319" w:hRule="exact"/>
        </w:trPr>
        <w:tc>
          <w:tcPr>
            <w:tcW w:w="2391" w:type="dxa"/>
          </w:tcPr>
          <w:p>
            <w:pPr>
              <w:pStyle w:val="TableParagraph"/>
              <w:spacing w:before="8"/>
              <w:ind w:left="65"/>
              <w:jc w:val="left"/>
              <w:rPr>
                <w:b/>
                <w:sz w:val="16"/>
              </w:rPr>
            </w:pPr>
            <w:r>
              <w:rPr>
                <w:b/>
                <w:color w:val="333333"/>
                <w:sz w:val="16"/>
              </w:rPr>
              <w:t>ZACUALPAN</w:t>
            </w:r>
          </w:p>
        </w:tc>
        <w:tc>
          <w:tcPr>
            <w:tcW w:w="1018" w:type="dxa"/>
          </w:tcPr>
          <w:p>
            <w:pPr>
              <w:pStyle w:val="TableParagraph"/>
              <w:spacing w:line="203" w:lineRule="exact"/>
              <w:ind w:left="326"/>
              <w:jc w:val="left"/>
              <w:rPr>
                <w:sz w:val="18"/>
              </w:rPr>
            </w:pPr>
            <w:r>
              <w:rPr>
                <w:sz w:val="18"/>
              </w:rPr>
              <w:t>5.50</w:t>
            </w:r>
          </w:p>
        </w:tc>
        <w:tc>
          <w:tcPr>
            <w:tcW w:w="982" w:type="dxa"/>
          </w:tcPr>
          <w:p>
            <w:pPr>
              <w:pStyle w:val="TableParagraph"/>
              <w:spacing w:line="203" w:lineRule="exact"/>
              <w:ind w:left="240" w:right="241"/>
              <w:rPr>
                <w:sz w:val="18"/>
              </w:rPr>
            </w:pPr>
            <w:r>
              <w:rPr>
                <w:sz w:val="18"/>
              </w:rPr>
              <w:t>6.00</w:t>
            </w:r>
          </w:p>
        </w:tc>
      </w:tr>
      <w:tr>
        <w:trPr>
          <w:trHeight w:val="322" w:hRule="exact"/>
        </w:trPr>
        <w:tc>
          <w:tcPr>
            <w:tcW w:w="2391" w:type="dxa"/>
          </w:tcPr>
          <w:p>
            <w:pPr>
              <w:pStyle w:val="TableParagraph"/>
              <w:spacing w:before="10"/>
              <w:ind w:left="65"/>
              <w:jc w:val="left"/>
              <w:rPr>
                <w:b/>
                <w:sz w:val="16"/>
              </w:rPr>
            </w:pPr>
            <w:r>
              <w:rPr>
                <w:b/>
                <w:color w:val="333333"/>
                <w:sz w:val="16"/>
              </w:rPr>
              <w:t>ZINACANTEPEC</w:t>
            </w:r>
          </w:p>
        </w:tc>
        <w:tc>
          <w:tcPr>
            <w:tcW w:w="1018" w:type="dxa"/>
          </w:tcPr>
          <w:p>
            <w:pPr>
              <w:pStyle w:val="TableParagraph"/>
              <w:spacing w:line="203" w:lineRule="exact"/>
              <w:ind w:left="326"/>
              <w:jc w:val="left"/>
              <w:rPr>
                <w:sz w:val="18"/>
              </w:rPr>
            </w:pPr>
            <w:r>
              <w:rPr>
                <w:sz w:val="18"/>
              </w:rPr>
              <w:t>7.60</w:t>
            </w:r>
          </w:p>
        </w:tc>
        <w:tc>
          <w:tcPr>
            <w:tcW w:w="982" w:type="dxa"/>
          </w:tcPr>
          <w:p>
            <w:pPr>
              <w:pStyle w:val="TableParagraph"/>
              <w:spacing w:line="203" w:lineRule="exact"/>
              <w:ind w:left="240" w:right="241"/>
              <w:rPr>
                <w:sz w:val="18"/>
              </w:rPr>
            </w:pPr>
            <w:r>
              <w:rPr>
                <w:sz w:val="18"/>
              </w:rPr>
              <w:t>8.53</w:t>
            </w:r>
          </w:p>
        </w:tc>
      </w:tr>
      <w:tr>
        <w:trPr>
          <w:trHeight w:val="319" w:hRule="exact"/>
        </w:trPr>
        <w:tc>
          <w:tcPr>
            <w:tcW w:w="2391" w:type="dxa"/>
          </w:tcPr>
          <w:p>
            <w:pPr>
              <w:pStyle w:val="TableParagraph"/>
              <w:spacing w:before="8"/>
              <w:ind w:left="65"/>
              <w:jc w:val="left"/>
              <w:rPr>
                <w:b/>
                <w:sz w:val="16"/>
              </w:rPr>
            </w:pPr>
            <w:r>
              <w:rPr>
                <w:b/>
                <w:color w:val="333333"/>
                <w:sz w:val="16"/>
              </w:rPr>
              <w:t>ZUMPAHUACAN</w:t>
            </w:r>
          </w:p>
        </w:tc>
        <w:tc>
          <w:tcPr>
            <w:tcW w:w="1018" w:type="dxa"/>
          </w:tcPr>
          <w:p>
            <w:pPr>
              <w:pStyle w:val="TableParagraph"/>
              <w:spacing w:line="203" w:lineRule="exact"/>
              <w:ind w:left="326"/>
              <w:jc w:val="left"/>
              <w:rPr>
                <w:sz w:val="18"/>
              </w:rPr>
            </w:pPr>
            <w:r>
              <w:rPr>
                <w:sz w:val="18"/>
              </w:rPr>
              <w:t>5.40</w:t>
            </w:r>
          </w:p>
        </w:tc>
        <w:tc>
          <w:tcPr>
            <w:tcW w:w="982" w:type="dxa"/>
          </w:tcPr>
          <w:p>
            <w:pPr>
              <w:pStyle w:val="TableParagraph"/>
              <w:spacing w:line="203" w:lineRule="exact"/>
              <w:ind w:left="240" w:right="241"/>
              <w:rPr>
                <w:sz w:val="18"/>
              </w:rPr>
            </w:pPr>
            <w:r>
              <w:rPr>
                <w:sz w:val="18"/>
              </w:rPr>
              <w:t>6.10</w:t>
            </w:r>
          </w:p>
        </w:tc>
      </w:tr>
      <w:tr>
        <w:trPr>
          <w:trHeight w:val="322" w:hRule="exact"/>
        </w:trPr>
        <w:tc>
          <w:tcPr>
            <w:tcW w:w="2391" w:type="dxa"/>
          </w:tcPr>
          <w:p>
            <w:pPr>
              <w:pStyle w:val="TableParagraph"/>
              <w:spacing w:before="10"/>
              <w:ind w:left="65"/>
              <w:jc w:val="left"/>
              <w:rPr>
                <w:b/>
                <w:sz w:val="16"/>
              </w:rPr>
            </w:pPr>
            <w:r>
              <w:rPr>
                <w:b/>
                <w:color w:val="333333"/>
                <w:sz w:val="16"/>
              </w:rPr>
              <w:t>ZUMPANGO</w:t>
            </w:r>
          </w:p>
        </w:tc>
        <w:tc>
          <w:tcPr>
            <w:tcW w:w="1018" w:type="dxa"/>
          </w:tcPr>
          <w:p>
            <w:pPr>
              <w:pStyle w:val="TableParagraph"/>
              <w:spacing w:line="203" w:lineRule="exact"/>
              <w:ind w:left="326"/>
              <w:jc w:val="left"/>
              <w:rPr>
                <w:sz w:val="18"/>
              </w:rPr>
            </w:pPr>
            <w:r>
              <w:rPr>
                <w:sz w:val="18"/>
              </w:rPr>
              <w:t>8.20</w:t>
            </w:r>
          </w:p>
        </w:tc>
        <w:tc>
          <w:tcPr>
            <w:tcW w:w="982" w:type="dxa"/>
          </w:tcPr>
          <w:p>
            <w:pPr>
              <w:pStyle w:val="TableParagraph"/>
              <w:spacing w:line="203" w:lineRule="exact"/>
              <w:ind w:left="240" w:right="241"/>
              <w:rPr>
                <w:sz w:val="18"/>
              </w:rPr>
            </w:pPr>
            <w:r>
              <w:rPr>
                <w:sz w:val="18"/>
              </w:rPr>
              <w:t>8.81</w:t>
            </w:r>
          </w:p>
        </w:tc>
      </w:tr>
    </w:tbl>
    <w:p>
      <w:pPr>
        <w:spacing w:line="240" w:lineRule="auto" w:before="0"/>
        <w:ind w:left="2322" w:right="2455" w:firstLine="0"/>
        <w:jc w:val="left"/>
        <w:rPr>
          <w:sz w:val="16"/>
        </w:rPr>
      </w:pPr>
      <w:r>
        <w:rPr>
          <w:sz w:val="16"/>
        </w:rPr>
        <w:t>Fuente: INEGI. II Conteo de Población y Vivienda, 2005. Base de datos.</w:t>
      </w:r>
    </w:p>
    <w:sectPr>
      <w:pgSz w:w="12240" w:h="15840"/>
      <w:pgMar w:header="0" w:footer="975" w:top="1420" w:bottom="116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Verdana">
    <w:altName w:val="Verdana"/>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type id="_x0000_t202" o:spt="202" coordsize="21600,21600" path="m,l,21600r21600,l21600,xe">
          <v:stroke joinstyle="miter"/>
          <v:path gradientshapeok="t" o:connecttype="rect"/>
        </v:shapetype>
        <v:shape style="position:absolute;margin-left:298.049988pt;margin-top:729.239929pt;width:16pt;height:14pt;mso-position-horizontal-relative:page;mso-position-vertical-relative:page;z-index:-2772400" type="#_x0000_t202" filled="false" stroked="false">
          <v:textbox inset="0,0,0,0">
            <w:txbxContent>
              <w:p>
                <w:pPr>
                  <w:pStyle w:val="BodyText"/>
                  <w:spacing w:line="265" w:lineRule="exact"/>
                  <w:ind w:left="40" w:right="-20"/>
                  <w:rPr>
                    <w:rFonts w:ascii="Times New Roman"/>
                  </w:rPr>
                </w:pPr>
                <w:r>
                  <w:rPr/>
                  <w:fldChar w:fldCharType="begin"/>
                </w:r>
                <w:r>
                  <w:rPr>
                    <w:rFonts w:ascii="Times New Roman"/>
                  </w:rPr>
                  <w:instrText> PAGE </w:instrText>
                </w:r>
                <w:r>
                  <w:rPr/>
                  <w:fldChar w:fldCharType="separate"/>
                </w:r>
                <w:r>
                  <w:rPr/>
                  <w:t>54</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4.929993pt;margin-top:549.239929pt;width:22pt;height:14pt;mso-position-horizontal-relative:page;mso-position-vertical-relative:page;z-index:-2772160"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327</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292.649994pt;margin-top:729.239929pt;width:22pt;height:14pt;mso-position-horizontal-relative:page;mso-position-vertical-relative:page;z-index:-2772136"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337</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4.929993pt;margin-top:549.239929pt;width:22pt;height:14pt;mso-position-horizontal-relative:page;mso-position-vertical-relative:page;z-index:-2772112"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391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2.649994pt;margin-top:729.239929pt;width:21pt;height:14pt;mso-position-horizontal-relative:page;mso-position-vertical-relative:page;z-index:-277208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39</w:t>
                </w:r>
                <w:r>
                  <w:rPr/>
                  <w:fldChar w:fldCharType="end"/>
                </w:r>
                <w:r>
                  <w:rPr>
                    <w:rFonts w:ascii="Times New Roman"/>
                  </w:rPr>
                  <w:t>9</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2.649994pt;margin-top:729.239929pt;width:22pt;height:14pt;mso-position-horizontal-relative:page;mso-position-vertical-relative:page;z-index:-277206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401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4.929993pt;margin-top:549.239929pt;width:22pt;height:14pt;mso-position-horizontal-relative:page;mso-position-vertical-relative:page;z-index:-2772040"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403</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329987pt;margin-top:729.239929pt;width:22pt;height:14pt;mso-position-horizontal-relative:page;mso-position-vertical-relative:page;z-index:-2772016"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425</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4.929993pt;margin-top:549.239929pt;width:22pt;height:14pt;mso-position-horizontal-relative:page;mso-position-vertical-relative:page;z-index:-2771992"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427</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2.649994pt;margin-top:729.239929pt;width:22pt;height:14pt;mso-position-horizontal-relative:page;mso-position-vertical-relative:page;z-index:-277196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469</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4.929993pt;margin-top:549.239929pt;width:22pt;height:14pt;mso-position-horizontal-relative:page;mso-position-vertical-relative:page;z-index:-277194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473</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049988pt;margin-top:729.239929pt;width:20pt;height:14pt;mso-position-horizontal-relative:page;mso-position-vertical-relative:page;z-index:-2772376" type="#_x0000_t202" filled="false" stroked="false">
          <v:textbox inset="0,0,0,0">
            <w:txbxContent>
              <w:p>
                <w:pPr>
                  <w:pStyle w:val="BodyText"/>
                  <w:spacing w:line="265" w:lineRule="exact"/>
                  <w:ind w:left="20"/>
                  <w:rPr>
                    <w:rFonts w:ascii="Times New Roman"/>
                  </w:rPr>
                </w:pPr>
                <w:r>
                  <w:rPr>
                    <w:rFonts w:ascii="Times New Roman"/>
                  </w:rPr>
                  <w:t>100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329987pt;margin-top:729.239929pt;width:22pt;height:14pt;mso-position-horizontal-relative:page;mso-position-vertical-relative:page;z-index:-2771920"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482</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2.649994pt;margin-top:729.239929pt;width:24.4pt;height:14pt;mso-position-horizontal-relative:page;mso-position-vertical-relative:page;z-index:-2772352" type="#_x0000_t202" filled="false" stroked="false">
          <v:textbox inset="0,0,0,0">
            <w:txbxContent>
              <w:p>
                <w:pPr>
                  <w:pStyle w:val="BodyText"/>
                  <w:spacing w:line="265" w:lineRule="exact"/>
                  <w:ind w:left="88"/>
                  <w:rPr>
                    <w:rFonts w:ascii="Times New Roman"/>
                  </w:rPr>
                </w:pPr>
                <w:r>
                  <w:rPr/>
                  <w:fldChar w:fldCharType="begin"/>
                </w:r>
                <w:r>
                  <w:rPr>
                    <w:rFonts w:ascii="Times New Roman"/>
                  </w:rPr>
                  <w:instrText> PAGE </w:instrText>
                </w:r>
                <w:r>
                  <w:rPr/>
                  <w:fldChar w:fldCharType="separate"/>
                </w:r>
                <w:r>
                  <w:rPr/>
                  <w:t>101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3.649994pt;margin-top:729.239929pt;width:20pt;height:14pt;mso-position-horizontal-relative:page;mso-position-vertical-relative:page;z-index:-2772328" type="#_x0000_t202" filled="false" stroked="false">
          <v:textbox inset="0,0,0,0">
            <w:txbxContent>
              <w:p>
                <w:pPr>
                  <w:pStyle w:val="BodyText"/>
                  <w:spacing w:line="265" w:lineRule="exact"/>
                  <w:ind w:left="20"/>
                  <w:rPr>
                    <w:rFonts w:ascii="Times New Roman"/>
                  </w:rPr>
                </w:pPr>
                <w:r>
                  <w:rPr>
                    <w:rFonts w:ascii="Times New Roman"/>
                  </w:rPr>
                  <w:t>200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292.649994pt;margin-top:729.239929pt;width:22pt;height:14pt;mso-position-horizontal-relative:page;mso-position-vertical-relative:page;z-index:-277230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214</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6.25pt;margin-top:707.301086pt;width:98.1pt;height:10.050pt;mso-position-horizontal-relative:page;mso-position-vertical-relative:page;z-index:-2772280" type="#_x0000_t202" filled="false" stroked="false">
          <v:textbox inset="0,0,0,0">
            <w:txbxContent>
              <w:p>
                <w:pPr>
                  <w:spacing w:before="0"/>
                  <w:ind w:left="20" w:right="0" w:firstLine="0"/>
                  <w:jc w:val="left"/>
                  <w:rPr>
                    <w:sz w:val="16"/>
                  </w:rPr>
                </w:pPr>
                <w:r>
                  <w:rPr>
                    <w:sz w:val="16"/>
                  </w:rPr>
                  <w:t>Fuente: Elaboración propia</w:t>
                </w:r>
              </w:p>
            </w:txbxContent>
          </v:textbox>
          <w10:wrap type="none"/>
        </v:shape>
      </w:pict>
    </w:r>
    <w:r>
      <w:rPr/>
      <w:pict>
        <v:shape style="position:absolute;margin-left:292.649994pt;margin-top:729.239929pt;width:22pt;height:14pt;mso-position-horizontal-relative:page;mso-position-vertical-relative:page;z-index:-2772256"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244</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2.649994pt;margin-top:729.239929pt;width:22pt;height:14pt;mso-position-horizontal-relative:page;mso-position-vertical-relative:page;z-index:-2772232"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246</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3.649994pt;margin-top:729.239929pt;width:20pt;height:14pt;mso-position-horizontal-relative:page;mso-position-vertical-relative:page;z-index:-2772208" type="#_x0000_t202" filled="false" stroked="false">
          <v:textbox inset="0,0,0,0">
            <w:txbxContent>
              <w:p>
                <w:pPr>
                  <w:pStyle w:val="BodyText"/>
                  <w:spacing w:line="265" w:lineRule="exact"/>
                  <w:ind w:left="20"/>
                  <w:rPr>
                    <w:rFonts w:ascii="Times New Roman"/>
                  </w:rPr>
                </w:pPr>
                <w:r>
                  <w:rPr>
                    <w:rFonts w:ascii="Times New Roman"/>
                  </w:rPr>
                  <w:t>300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292.649994pt;margin-top:729.239929pt;width:22pt;height:14pt;mso-position-horizontal-relative:page;mso-position-vertical-relative:page;z-index:-277218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315</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70">
    <w:multiLevelType w:val="hybridMultilevel"/>
    <w:lvl w:ilvl="0">
      <w:start w:val="86"/>
      <w:numFmt w:val="decimal"/>
      <w:lvlText w:val="%1."/>
      <w:lvlJc w:val="left"/>
      <w:pPr>
        <w:ind w:left="108" w:hanging="432"/>
        <w:jc w:val="left"/>
      </w:pPr>
      <w:rPr>
        <w:rFonts w:hint="default" w:ascii="Calibri" w:hAnsi="Calibri" w:eastAsia="Calibri" w:cs="Calibri"/>
        <w:spacing w:val="-3"/>
        <w:w w:val="100"/>
        <w:sz w:val="24"/>
        <w:szCs w:val="24"/>
      </w:rPr>
    </w:lvl>
    <w:lvl w:ilvl="1">
      <w:start w:val="1"/>
      <w:numFmt w:val="lowerRoman"/>
      <w:lvlText w:val="%2."/>
      <w:lvlJc w:val="left"/>
      <w:pPr>
        <w:ind w:left="816" w:hanging="312"/>
        <w:jc w:val="right"/>
      </w:pPr>
      <w:rPr>
        <w:rFonts w:hint="default" w:ascii="Arial" w:hAnsi="Arial" w:eastAsia="Arial" w:cs="Arial"/>
        <w:b/>
        <w:bCs/>
        <w:w w:val="100"/>
        <w:sz w:val="24"/>
        <w:szCs w:val="24"/>
      </w:rPr>
    </w:lvl>
    <w:lvl w:ilvl="2">
      <w:start w:val="1"/>
      <w:numFmt w:val="bullet"/>
      <w:lvlText w:val="•"/>
      <w:lvlJc w:val="left"/>
      <w:pPr>
        <w:ind w:left="1744" w:hanging="312"/>
      </w:pPr>
      <w:rPr>
        <w:rFonts w:hint="default"/>
      </w:rPr>
    </w:lvl>
    <w:lvl w:ilvl="3">
      <w:start w:val="1"/>
      <w:numFmt w:val="bullet"/>
      <w:lvlText w:val="•"/>
      <w:lvlJc w:val="left"/>
      <w:pPr>
        <w:ind w:left="2668" w:hanging="312"/>
      </w:pPr>
      <w:rPr>
        <w:rFonts w:hint="default"/>
      </w:rPr>
    </w:lvl>
    <w:lvl w:ilvl="4">
      <w:start w:val="1"/>
      <w:numFmt w:val="bullet"/>
      <w:lvlText w:val="•"/>
      <w:lvlJc w:val="left"/>
      <w:pPr>
        <w:ind w:left="3593" w:hanging="312"/>
      </w:pPr>
      <w:rPr>
        <w:rFonts w:hint="default"/>
      </w:rPr>
    </w:lvl>
    <w:lvl w:ilvl="5">
      <w:start w:val="1"/>
      <w:numFmt w:val="bullet"/>
      <w:lvlText w:val="•"/>
      <w:lvlJc w:val="left"/>
      <w:pPr>
        <w:ind w:left="4517" w:hanging="312"/>
      </w:pPr>
      <w:rPr>
        <w:rFonts w:hint="default"/>
      </w:rPr>
    </w:lvl>
    <w:lvl w:ilvl="6">
      <w:start w:val="1"/>
      <w:numFmt w:val="bullet"/>
      <w:lvlText w:val="•"/>
      <w:lvlJc w:val="left"/>
      <w:pPr>
        <w:ind w:left="5442" w:hanging="312"/>
      </w:pPr>
      <w:rPr>
        <w:rFonts w:hint="default"/>
      </w:rPr>
    </w:lvl>
    <w:lvl w:ilvl="7">
      <w:start w:val="1"/>
      <w:numFmt w:val="bullet"/>
      <w:lvlText w:val="•"/>
      <w:lvlJc w:val="left"/>
      <w:pPr>
        <w:ind w:left="6366" w:hanging="312"/>
      </w:pPr>
      <w:rPr>
        <w:rFonts w:hint="default"/>
      </w:rPr>
    </w:lvl>
    <w:lvl w:ilvl="8">
      <w:start w:val="1"/>
      <w:numFmt w:val="bullet"/>
      <w:lvlText w:val="•"/>
      <w:lvlJc w:val="left"/>
      <w:pPr>
        <w:ind w:left="7291" w:hanging="312"/>
      </w:pPr>
      <w:rPr>
        <w:rFonts w:hint="default"/>
      </w:rPr>
    </w:lvl>
  </w:abstractNum>
  <w:abstractNum w:abstractNumId="69">
    <w:multiLevelType w:val="hybridMultilevel"/>
    <w:lvl w:ilvl="0">
      <w:start w:val="1"/>
      <w:numFmt w:val="upperLetter"/>
      <w:lvlText w:val="%1."/>
      <w:lvlJc w:val="left"/>
      <w:pPr>
        <w:ind w:left="350" w:hanging="243"/>
        <w:jc w:val="left"/>
      </w:pPr>
      <w:rPr>
        <w:rFonts w:hint="default" w:ascii="Calibri" w:hAnsi="Calibri" w:eastAsia="Calibri" w:cs="Calibri"/>
        <w:w w:val="100"/>
        <w:sz w:val="24"/>
        <w:szCs w:val="24"/>
      </w:rPr>
    </w:lvl>
    <w:lvl w:ilvl="1">
      <w:start w:val="1"/>
      <w:numFmt w:val="bullet"/>
      <w:lvlText w:val="•"/>
      <w:lvlJc w:val="left"/>
      <w:pPr>
        <w:ind w:left="563" w:hanging="243"/>
      </w:pPr>
      <w:rPr>
        <w:rFonts w:hint="default"/>
      </w:rPr>
    </w:lvl>
    <w:lvl w:ilvl="2">
      <w:start w:val="1"/>
      <w:numFmt w:val="bullet"/>
      <w:lvlText w:val="•"/>
      <w:lvlJc w:val="left"/>
      <w:pPr>
        <w:ind w:left="766" w:hanging="243"/>
      </w:pPr>
      <w:rPr>
        <w:rFonts w:hint="default"/>
      </w:rPr>
    </w:lvl>
    <w:lvl w:ilvl="3">
      <w:start w:val="1"/>
      <w:numFmt w:val="bullet"/>
      <w:lvlText w:val="•"/>
      <w:lvlJc w:val="left"/>
      <w:pPr>
        <w:ind w:left="969" w:hanging="243"/>
      </w:pPr>
      <w:rPr>
        <w:rFonts w:hint="default"/>
      </w:rPr>
    </w:lvl>
    <w:lvl w:ilvl="4">
      <w:start w:val="1"/>
      <w:numFmt w:val="bullet"/>
      <w:lvlText w:val="•"/>
      <w:lvlJc w:val="left"/>
      <w:pPr>
        <w:ind w:left="1172" w:hanging="243"/>
      </w:pPr>
      <w:rPr>
        <w:rFonts w:hint="default"/>
      </w:rPr>
    </w:lvl>
    <w:lvl w:ilvl="5">
      <w:start w:val="1"/>
      <w:numFmt w:val="bullet"/>
      <w:lvlText w:val="•"/>
      <w:lvlJc w:val="left"/>
      <w:pPr>
        <w:ind w:left="1375" w:hanging="243"/>
      </w:pPr>
      <w:rPr>
        <w:rFonts w:hint="default"/>
      </w:rPr>
    </w:lvl>
    <w:lvl w:ilvl="6">
      <w:start w:val="1"/>
      <w:numFmt w:val="bullet"/>
      <w:lvlText w:val="•"/>
      <w:lvlJc w:val="left"/>
      <w:pPr>
        <w:ind w:left="1578" w:hanging="243"/>
      </w:pPr>
      <w:rPr>
        <w:rFonts w:hint="default"/>
      </w:rPr>
    </w:lvl>
    <w:lvl w:ilvl="7">
      <w:start w:val="1"/>
      <w:numFmt w:val="bullet"/>
      <w:lvlText w:val="•"/>
      <w:lvlJc w:val="left"/>
      <w:pPr>
        <w:ind w:left="1781" w:hanging="243"/>
      </w:pPr>
      <w:rPr>
        <w:rFonts w:hint="default"/>
      </w:rPr>
    </w:lvl>
    <w:lvl w:ilvl="8">
      <w:start w:val="1"/>
      <w:numFmt w:val="bullet"/>
      <w:lvlText w:val="•"/>
      <w:lvlJc w:val="left"/>
      <w:pPr>
        <w:ind w:left="1984" w:hanging="243"/>
      </w:pPr>
      <w:rPr>
        <w:rFonts w:hint="default"/>
      </w:rPr>
    </w:lvl>
  </w:abstractNum>
  <w:abstractNum w:abstractNumId="68">
    <w:multiLevelType w:val="hybridMultilevel"/>
    <w:lvl w:ilvl="0">
      <w:start w:val="1"/>
      <w:numFmt w:val="decimal"/>
      <w:lvlText w:val="%1."/>
      <w:lvlJc w:val="left"/>
      <w:pPr>
        <w:ind w:left="391" w:hanging="284"/>
        <w:jc w:val="right"/>
      </w:pPr>
      <w:rPr>
        <w:rFonts w:hint="default"/>
        <w:spacing w:val="-9"/>
        <w:w w:val="100"/>
      </w:rPr>
    </w:lvl>
    <w:lvl w:ilvl="1">
      <w:start w:val="1"/>
      <w:numFmt w:val="bullet"/>
      <w:lvlText w:val="•"/>
      <w:lvlJc w:val="left"/>
      <w:pPr>
        <w:ind w:left="495" w:hanging="284"/>
      </w:pPr>
      <w:rPr>
        <w:rFonts w:hint="default"/>
      </w:rPr>
    </w:lvl>
    <w:lvl w:ilvl="2">
      <w:start w:val="1"/>
      <w:numFmt w:val="bullet"/>
      <w:lvlText w:val="•"/>
      <w:lvlJc w:val="left"/>
      <w:pPr>
        <w:ind w:left="590" w:hanging="284"/>
      </w:pPr>
      <w:rPr>
        <w:rFonts w:hint="default"/>
      </w:rPr>
    </w:lvl>
    <w:lvl w:ilvl="3">
      <w:start w:val="1"/>
      <w:numFmt w:val="bullet"/>
      <w:lvlText w:val="•"/>
      <w:lvlJc w:val="left"/>
      <w:pPr>
        <w:ind w:left="685" w:hanging="284"/>
      </w:pPr>
      <w:rPr>
        <w:rFonts w:hint="default"/>
      </w:rPr>
    </w:lvl>
    <w:lvl w:ilvl="4">
      <w:start w:val="1"/>
      <w:numFmt w:val="bullet"/>
      <w:lvlText w:val="•"/>
      <w:lvlJc w:val="left"/>
      <w:pPr>
        <w:ind w:left="780" w:hanging="284"/>
      </w:pPr>
      <w:rPr>
        <w:rFonts w:hint="default"/>
      </w:rPr>
    </w:lvl>
    <w:lvl w:ilvl="5">
      <w:start w:val="1"/>
      <w:numFmt w:val="bullet"/>
      <w:lvlText w:val="•"/>
      <w:lvlJc w:val="left"/>
      <w:pPr>
        <w:ind w:left="875" w:hanging="284"/>
      </w:pPr>
      <w:rPr>
        <w:rFonts w:hint="default"/>
      </w:rPr>
    </w:lvl>
    <w:lvl w:ilvl="6">
      <w:start w:val="1"/>
      <w:numFmt w:val="bullet"/>
      <w:lvlText w:val="•"/>
      <w:lvlJc w:val="left"/>
      <w:pPr>
        <w:ind w:left="970" w:hanging="284"/>
      </w:pPr>
      <w:rPr>
        <w:rFonts w:hint="default"/>
      </w:rPr>
    </w:lvl>
    <w:lvl w:ilvl="7">
      <w:start w:val="1"/>
      <w:numFmt w:val="bullet"/>
      <w:lvlText w:val="•"/>
      <w:lvlJc w:val="left"/>
      <w:pPr>
        <w:ind w:left="1065" w:hanging="284"/>
      </w:pPr>
      <w:rPr>
        <w:rFonts w:hint="default"/>
      </w:rPr>
    </w:lvl>
    <w:lvl w:ilvl="8">
      <w:start w:val="1"/>
      <w:numFmt w:val="bullet"/>
      <w:lvlText w:val="•"/>
      <w:lvlJc w:val="left"/>
      <w:pPr>
        <w:ind w:left="1160" w:hanging="284"/>
      </w:pPr>
      <w:rPr>
        <w:rFonts w:hint="default"/>
      </w:rPr>
    </w:lvl>
  </w:abstractNum>
  <w:abstractNum w:abstractNumId="67">
    <w:multiLevelType w:val="hybridMultilevel"/>
    <w:lvl w:ilvl="0">
      <w:start w:val="1"/>
      <w:numFmt w:val="bullet"/>
      <w:lvlText w:val=""/>
      <w:lvlJc w:val="left"/>
      <w:pPr>
        <w:ind w:left="319" w:hanging="219"/>
      </w:pPr>
      <w:rPr>
        <w:rFonts w:hint="default" w:ascii="Symbol" w:hAnsi="Symbol" w:eastAsia="Symbol" w:cs="Symbol"/>
        <w:w w:val="100"/>
        <w:sz w:val="18"/>
        <w:szCs w:val="18"/>
      </w:rPr>
    </w:lvl>
    <w:lvl w:ilvl="1">
      <w:start w:val="1"/>
      <w:numFmt w:val="bullet"/>
      <w:lvlText w:val="•"/>
      <w:lvlJc w:val="left"/>
      <w:pPr>
        <w:ind w:left="640" w:hanging="219"/>
      </w:pPr>
      <w:rPr>
        <w:rFonts w:hint="default"/>
      </w:rPr>
    </w:lvl>
    <w:lvl w:ilvl="2">
      <w:start w:val="1"/>
      <w:numFmt w:val="bullet"/>
      <w:lvlText w:val="•"/>
      <w:lvlJc w:val="left"/>
      <w:pPr>
        <w:ind w:left="961" w:hanging="219"/>
      </w:pPr>
      <w:rPr>
        <w:rFonts w:hint="default"/>
      </w:rPr>
    </w:lvl>
    <w:lvl w:ilvl="3">
      <w:start w:val="1"/>
      <w:numFmt w:val="bullet"/>
      <w:lvlText w:val="•"/>
      <w:lvlJc w:val="left"/>
      <w:pPr>
        <w:ind w:left="1282" w:hanging="219"/>
      </w:pPr>
      <w:rPr>
        <w:rFonts w:hint="default"/>
      </w:rPr>
    </w:lvl>
    <w:lvl w:ilvl="4">
      <w:start w:val="1"/>
      <w:numFmt w:val="bullet"/>
      <w:lvlText w:val="•"/>
      <w:lvlJc w:val="left"/>
      <w:pPr>
        <w:ind w:left="1603" w:hanging="219"/>
      </w:pPr>
      <w:rPr>
        <w:rFonts w:hint="default"/>
      </w:rPr>
    </w:lvl>
    <w:lvl w:ilvl="5">
      <w:start w:val="1"/>
      <w:numFmt w:val="bullet"/>
      <w:lvlText w:val="•"/>
      <w:lvlJc w:val="left"/>
      <w:pPr>
        <w:ind w:left="1924" w:hanging="219"/>
      </w:pPr>
      <w:rPr>
        <w:rFonts w:hint="default"/>
      </w:rPr>
    </w:lvl>
    <w:lvl w:ilvl="6">
      <w:start w:val="1"/>
      <w:numFmt w:val="bullet"/>
      <w:lvlText w:val="•"/>
      <w:lvlJc w:val="left"/>
      <w:pPr>
        <w:ind w:left="2245" w:hanging="219"/>
      </w:pPr>
      <w:rPr>
        <w:rFonts w:hint="default"/>
      </w:rPr>
    </w:lvl>
    <w:lvl w:ilvl="7">
      <w:start w:val="1"/>
      <w:numFmt w:val="bullet"/>
      <w:lvlText w:val="•"/>
      <w:lvlJc w:val="left"/>
      <w:pPr>
        <w:ind w:left="2566" w:hanging="219"/>
      </w:pPr>
      <w:rPr>
        <w:rFonts w:hint="default"/>
      </w:rPr>
    </w:lvl>
    <w:lvl w:ilvl="8">
      <w:start w:val="1"/>
      <w:numFmt w:val="bullet"/>
      <w:lvlText w:val="•"/>
      <w:lvlJc w:val="left"/>
      <w:pPr>
        <w:ind w:left="2886" w:hanging="219"/>
      </w:pPr>
      <w:rPr>
        <w:rFonts w:hint="default"/>
      </w:rPr>
    </w:lvl>
  </w:abstractNum>
  <w:abstractNum w:abstractNumId="66">
    <w:multiLevelType w:val="hybridMultilevel"/>
    <w:lvl w:ilvl="0">
      <w:start w:val="1"/>
      <w:numFmt w:val="bullet"/>
      <w:lvlText w:val=""/>
      <w:lvlJc w:val="left"/>
      <w:pPr>
        <w:ind w:left="319" w:hanging="219"/>
      </w:pPr>
      <w:rPr>
        <w:rFonts w:hint="default" w:ascii="Symbol" w:hAnsi="Symbol" w:eastAsia="Symbol" w:cs="Symbol"/>
        <w:w w:val="100"/>
        <w:sz w:val="18"/>
        <w:szCs w:val="18"/>
      </w:rPr>
    </w:lvl>
    <w:lvl w:ilvl="1">
      <w:start w:val="1"/>
      <w:numFmt w:val="bullet"/>
      <w:lvlText w:val="•"/>
      <w:lvlJc w:val="left"/>
      <w:pPr>
        <w:ind w:left="640" w:hanging="219"/>
      </w:pPr>
      <w:rPr>
        <w:rFonts w:hint="default"/>
      </w:rPr>
    </w:lvl>
    <w:lvl w:ilvl="2">
      <w:start w:val="1"/>
      <w:numFmt w:val="bullet"/>
      <w:lvlText w:val="•"/>
      <w:lvlJc w:val="left"/>
      <w:pPr>
        <w:ind w:left="961" w:hanging="219"/>
      </w:pPr>
      <w:rPr>
        <w:rFonts w:hint="default"/>
      </w:rPr>
    </w:lvl>
    <w:lvl w:ilvl="3">
      <w:start w:val="1"/>
      <w:numFmt w:val="bullet"/>
      <w:lvlText w:val="•"/>
      <w:lvlJc w:val="left"/>
      <w:pPr>
        <w:ind w:left="1282" w:hanging="219"/>
      </w:pPr>
      <w:rPr>
        <w:rFonts w:hint="default"/>
      </w:rPr>
    </w:lvl>
    <w:lvl w:ilvl="4">
      <w:start w:val="1"/>
      <w:numFmt w:val="bullet"/>
      <w:lvlText w:val="•"/>
      <w:lvlJc w:val="left"/>
      <w:pPr>
        <w:ind w:left="1603" w:hanging="219"/>
      </w:pPr>
      <w:rPr>
        <w:rFonts w:hint="default"/>
      </w:rPr>
    </w:lvl>
    <w:lvl w:ilvl="5">
      <w:start w:val="1"/>
      <w:numFmt w:val="bullet"/>
      <w:lvlText w:val="•"/>
      <w:lvlJc w:val="left"/>
      <w:pPr>
        <w:ind w:left="1924" w:hanging="219"/>
      </w:pPr>
      <w:rPr>
        <w:rFonts w:hint="default"/>
      </w:rPr>
    </w:lvl>
    <w:lvl w:ilvl="6">
      <w:start w:val="1"/>
      <w:numFmt w:val="bullet"/>
      <w:lvlText w:val="•"/>
      <w:lvlJc w:val="left"/>
      <w:pPr>
        <w:ind w:left="2245" w:hanging="219"/>
      </w:pPr>
      <w:rPr>
        <w:rFonts w:hint="default"/>
      </w:rPr>
    </w:lvl>
    <w:lvl w:ilvl="7">
      <w:start w:val="1"/>
      <w:numFmt w:val="bullet"/>
      <w:lvlText w:val="•"/>
      <w:lvlJc w:val="left"/>
      <w:pPr>
        <w:ind w:left="2566" w:hanging="219"/>
      </w:pPr>
      <w:rPr>
        <w:rFonts w:hint="default"/>
      </w:rPr>
    </w:lvl>
    <w:lvl w:ilvl="8">
      <w:start w:val="1"/>
      <w:numFmt w:val="bullet"/>
      <w:lvlText w:val="•"/>
      <w:lvlJc w:val="left"/>
      <w:pPr>
        <w:ind w:left="2886" w:hanging="219"/>
      </w:pPr>
      <w:rPr>
        <w:rFonts w:hint="default"/>
      </w:rPr>
    </w:lvl>
  </w:abstractNum>
  <w:abstractNum w:abstractNumId="65">
    <w:multiLevelType w:val="hybridMultilevel"/>
    <w:lvl w:ilvl="0">
      <w:start w:val="1"/>
      <w:numFmt w:val="bullet"/>
      <w:lvlText w:val=""/>
      <w:lvlJc w:val="left"/>
      <w:pPr>
        <w:ind w:left="319" w:hanging="219"/>
      </w:pPr>
      <w:rPr>
        <w:rFonts w:hint="default" w:ascii="Symbol" w:hAnsi="Symbol" w:eastAsia="Symbol" w:cs="Symbol"/>
        <w:w w:val="100"/>
        <w:sz w:val="18"/>
        <w:szCs w:val="18"/>
      </w:rPr>
    </w:lvl>
    <w:lvl w:ilvl="1">
      <w:start w:val="1"/>
      <w:numFmt w:val="bullet"/>
      <w:lvlText w:val="•"/>
      <w:lvlJc w:val="left"/>
      <w:pPr>
        <w:ind w:left="640" w:hanging="219"/>
      </w:pPr>
      <w:rPr>
        <w:rFonts w:hint="default"/>
      </w:rPr>
    </w:lvl>
    <w:lvl w:ilvl="2">
      <w:start w:val="1"/>
      <w:numFmt w:val="bullet"/>
      <w:lvlText w:val="•"/>
      <w:lvlJc w:val="left"/>
      <w:pPr>
        <w:ind w:left="961" w:hanging="219"/>
      </w:pPr>
      <w:rPr>
        <w:rFonts w:hint="default"/>
      </w:rPr>
    </w:lvl>
    <w:lvl w:ilvl="3">
      <w:start w:val="1"/>
      <w:numFmt w:val="bullet"/>
      <w:lvlText w:val="•"/>
      <w:lvlJc w:val="left"/>
      <w:pPr>
        <w:ind w:left="1282" w:hanging="219"/>
      </w:pPr>
      <w:rPr>
        <w:rFonts w:hint="default"/>
      </w:rPr>
    </w:lvl>
    <w:lvl w:ilvl="4">
      <w:start w:val="1"/>
      <w:numFmt w:val="bullet"/>
      <w:lvlText w:val="•"/>
      <w:lvlJc w:val="left"/>
      <w:pPr>
        <w:ind w:left="1603" w:hanging="219"/>
      </w:pPr>
      <w:rPr>
        <w:rFonts w:hint="default"/>
      </w:rPr>
    </w:lvl>
    <w:lvl w:ilvl="5">
      <w:start w:val="1"/>
      <w:numFmt w:val="bullet"/>
      <w:lvlText w:val="•"/>
      <w:lvlJc w:val="left"/>
      <w:pPr>
        <w:ind w:left="1924" w:hanging="219"/>
      </w:pPr>
      <w:rPr>
        <w:rFonts w:hint="default"/>
      </w:rPr>
    </w:lvl>
    <w:lvl w:ilvl="6">
      <w:start w:val="1"/>
      <w:numFmt w:val="bullet"/>
      <w:lvlText w:val="•"/>
      <w:lvlJc w:val="left"/>
      <w:pPr>
        <w:ind w:left="2245" w:hanging="219"/>
      </w:pPr>
      <w:rPr>
        <w:rFonts w:hint="default"/>
      </w:rPr>
    </w:lvl>
    <w:lvl w:ilvl="7">
      <w:start w:val="1"/>
      <w:numFmt w:val="bullet"/>
      <w:lvlText w:val="•"/>
      <w:lvlJc w:val="left"/>
      <w:pPr>
        <w:ind w:left="2566" w:hanging="219"/>
      </w:pPr>
      <w:rPr>
        <w:rFonts w:hint="default"/>
      </w:rPr>
    </w:lvl>
    <w:lvl w:ilvl="8">
      <w:start w:val="1"/>
      <w:numFmt w:val="bullet"/>
      <w:lvlText w:val="•"/>
      <w:lvlJc w:val="left"/>
      <w:pPr>
        <w:ind w:left="2886" w:hanging="219"/>
      </w:pPr>
      <w:rPr>
        <w:rFonts w:hint="default"/>
      </w:rPr>
    </w:lvl>
  </w:abstractNum>
  <w:abstractNum w:abstractNumId="64">
    <w:multiLevelType w:val="hybridMultilevel"/>
    <w:lvl w:ilvl="0">
      <w:start w:val="1"/>
      <w:numFmt w:val="bullet"/>
      <w:lvlText w:val=""/>
      <w:lvlJc w:val="left"/>
      <w:pPr>
        <w:ind w:left="319" w:hanging="219"/>
      </w:pPr>
      <w:rPr>
        <w:rFonts w:hint="default" w:ascii="Symbol" w:hAnsi="Symbol" w:eastAsia="Symbol" w:cs="Symbol"/>
        <w:w w:val="100"/>
        <w:sz w:val="18"/>
        <w:szCs w:val="18"/>
      </w:rPr>
    </w:lvl>
    <w:lvl w:ilvl="1">
      <w:start w:val="1"/>
      <w:numFmt w:val="bullet"/>
      <w:lvlText w:val="•"/>
      <w:lvlJc w:val="left"/>
      <w:pPr>
        <w:ind w:left="640" w:hanging="219"/>
      </w:pPr>
      <w:rPr>
        <w:rFonts w:hint="default"/>
      </w:rPr>
    </w:lvl>
    <w:lvl w:ilvl="2">
      <w:start w:val="1"/>
      <w:numFmt w:val="bullet"/>
      <w:lvlText w:val="•"/>
      <w:lvlJc w:val="left"/>
      <w:pPr>
        <w:ind w:left="961" w:hanging="219"/>
      </w:pPr>
      <w:rPr>
        <w:rFonts w:hint="default"/>
      </w:rPr>
    </w:lvl>
    <w:lvl w:ilvl="3">
      <w:start w:val="1"/>
      <w:numFmt w:val="bullet"/>
      <w:lvlText w:val="•"/>
      <w:lvlJc w:val="left"/>
      <w:pPr>
        <w:ind w:left="1282" w:hanging="219"/>
      </w:pPr>
      <w:rPr>
        <w:rFonts w:hint="default"/>
      </w:rPr>
    </w:lvl>
    <w:lvl w:ilvl="4">
      <w:start w:val="1"/>
      <w:numFmt w:val="bullet"/>
      <w:lvlText w:val="•"/>
      <w:lvlJc w:val="left"/>
      <w:pPr>
        <w:ind w:left="1603" w:hanging="219"/>
      </w:pPr>
      <w:rPr>
        <w:rFonts w:hint="default"/>
      </w:rPr>
    </w:lvl>
    <w:lvl w:ilvl="5">
      <w:start w:val="1"/>
      <w:numFmt w:val="bullet"/>
      <w:lvlText w:val="•"/>
      <w:lvlJc w:val="left"/>
      <w:pPr>
        <w:ind w:left="1924" w:hanging="219"/>
      </w:pPr>
      <w:rPr>
        <w:rFonts w:hint="default"/>
      </w:rPr>
    </w:lvl>
    <w:lvl w:ilvl="6">
      <w:start w:val="1"/>
      <w:numFmt w:val="bullet"/>
      <w:lvlText w:val="•"/>
      <w:lvlJc w:val="left"/>
      <w:pPr>
        <w:ind w:left="2245" w:hanging="219"/>
      </w:pPr>
      <w:rPr>
        <w:rFonts w:hint="default"/>
      </w:rPr>
    </w:lvl>
    <w:lvl w:ilvl="7">
      <w:start w:val="1"/>
      <w:numFmt w:val="bullet"/>
      <w:lvlText w:val="•"/>
      <w:lvlJc w:val="left"/>
      <w:pPr>
        <w:ind w:left="2566" w:hanging="219"/>
      </w:pPr>
      <w:rPr>
        <w:rFonts w:hint="default"/>
      </w:rPr>
    </w:lvl>
    <w:lvl w:ilvl="8">
      <w:start w:val="1"/>
      <w:numFmt w:val="bullet"/>
      <w:lvlText w:val="•"/>
      <w:lvlJc w:val="left"/>
      <w:pPr>
        <w:ind w:left="2886" w:hanging="219"/>
      </w:pPr>
      <w:rPr>
        <w:rFonts w:hint="default"/>
      </w:rPr>
    </w:lvl>
  </w:abstractNum>
  <w:abstractNum w:abstractNumId="63">
    <w:multiLevelType w:val="hybridMultilevel"/>
    <w:lvl w:ilvl="0">
      <w:start w:val="1"/>
      <w:numFmt w:val="decimal"/>
      <w:lvlText w:val="%1."/>
      <w:lvlJc w:val="left"/>
      <w:pPr>
        <w:ind w:left="475" w:hanging="360"/>
        <w:jc w:val="left"/>
      </w:pPr>
      <w:rPr>
        <w:rFonts w:hint="default" w:ascii="Arial" w:hAnsi="Arial" w:eastAsia="Arial" w:cs="Arial"/>
        <w:spacing w:val="-33"/>
        <w:w w:val="99"/>
        <w:sz w:val="24"/>
        <w:szCs w:val="24"/>
      </w:rPr>
    </w:lvl>
    <w:lvl w:ilvl="1">
      <w:start w:val="1"/>
      <w:numFmt w:val="bullet"/>
      <w:lvlText w:val="•"/>
      <w:lvlJc w:val="left"/>
      <w:pPr>
        <w:ind w:left="1342" w:hanging="360"/>
      </w:pPr>
      <w:rPr>
        <w:rFonts w:hint="default"/>
      </w:rPr>
    </w:lvl>
    <w:lvl w:ilvl="2">
      <w:start w:val="1"/>
      <w:numFmt w:val="bullet"/>
      <w:lvlText w:val="•"/>
      <w:lvlJc w:val="left"/>
      <w:pPr>
        <w:ind w:left="2204" w:hanging="360"/>
      </w:pPr>
      <w:rPr>
        <w:rFonts w:hint="default"/>
      </w:rPr>
    </w:lvl>
    <w:lvl w:ilvl="3">
      <w:start w:val="1"/>
      <w:numFmt w:val="bullet"/>
      <w:lvlText w:val="•"/>
      <w:lvlJc w:val="left"/>
      <w:pPr>
        <w:ind w:left="3066" w:hanging="360"/>
      </w:pPr>
      <w:rPr>
        <w:rFonts w:hint="default"/>
      </w:rPr>
    </w:lvl>
    <w:lvl w:ilvl="4">
      <w:start w:val="1"/>
      <w:numFmt w:val="bullet"/>
      <w:lvlText w:val="•"/>
      <w:lvlJc w:val="left"/>
      <w:pPr>
        <w:ind w:left="3928" w:hanging="360"/>
      </w:pPr>
      <w:rPr>
        <w:rFonts w:hint="default"/>
      </w:rPr>
    </w:lvl>
    <w:lvl w:ilvl="5">
      <w:start w:val="1"/>
      <w:numFmt w:val="bullet"/>
      <w:lvlText w:val="•"/>
      <w:lvlJc w:val="left"/>
      <w:pPr>
        <w:ind w:left="4790" w:hanging="360"/>
      </w:pPr>
      <w:rPr>
        <w:rFonts w:hint="default"/>
      </w:rPr>
    </w:lvl>
    <w:lvl w:ilvl="6">
      <w:start w:val="1"/>
      <w:numFmt w:val="bullet"/>
      <w:lvlText w:val="•"/>
      <w:lvlJc w:val="left"/>
      <w:pPr>
        <w:ind w:left="5652" w:hanging="360"/>
      </w:pPr>
      <w:rPr>
        <w:rFonts w:hint="default"/>
      </w:rPr>
    </w:lvl>
    <w:lvl w:ilvl="7">
      <w:start w:val="1"/>
      <w:numFmt w:val="bullet"/>
      <w:lvlText w:val="•"/>
      <w:lvlJc w:val="left"/>
      <w:pPr>
        <w:ind w:left="6514" w:hanging="360"/>
      </w:pPr>
      <w:rPr>
        <w:rFonts w:hint="default"/>
      </w:rPr>
    </w:lvl>
    <w:lvl w:ilvl="8">
      <w:start w:val="1"/>
      <w:numFmt w:val="bullet"/>
      <w:lvlText w:val="•"/>
      <w:lvlJc w:val="left"/>
      <w:pPr>
        <w:ind w:left="7376" w:hanging="360"/>
      </w:pPr>
      <w:rPr>
        <w:rFonts w:hint="default"/>
      </w:rPr>
    </w:lvl>
  </w:abstractNum>
  <w:abstractNum w:abstractNumId="62">
    <w:multiLevelType w:val="hybridMultilevel"/>
    <w:lvl w:ilvl="0">
      <w:start w:val="1"/>
      <w:numFmt w:val="decimal"/>
      <w:lvlText w:val="%1."/>
      <w:lvlJc w:val="left"/>
      <w:pPr>
        <w:ind w:left="535" w:hanging="360"/>
        <w:jc w:val="right"/>
      </w:pPr>
      <w:rPr>
        <w:rFonts w:hint="default" w:ascii="Arial" w:hAnsi="Arial" w:eastAsia="Arial" w:cs="Arial"/>
        <w:spacing w:val="-4"/>
        <w:w w:val="99"/>
        <w:sz w:val="24"/>
        <w:szCs w:val="24"/>
      </w:rPr>
    </w:lvl>
    <w:lvl w:ilvl="1">
      <w:start w:val="1"/>
      <w:numFmt w:val="bullet"/>
      <w:lvlText w:val="•"/>
      <w:lvlJc w:val="left"/>
      <w:pPr>
        <w:ind w:left="1402" w:hanging="360"/>
      </w:pPr>
      <w:rPr>
        <w:rFonts w:hint="default"/>
      </w:rPr>
    </w:lvl>
    <w:lvl w:ilvl="2">
      <w:start w:val="1"/>
      <w:numFmt w:val="bullet"/>
      <w:lvlText w:val="•"/>
      <w:lvlJc w:val="left"/>
      <w:pPr>
        <w:ind w:left="2264" w:hanging="360"/>
      </w:pPr>
      <w:rPr>
        <w:rFonts w:hint="default"/>
      </w:rPr>
    </w:lvl>
    <w:lvl w:ilvl="3">
      <w:start w:val="1"/>
      <w:numFmt w:val="bullet"/>
      <w:lvlText w:val="•"/>
      <w:lvlJc w:val="left"/>
      <w:pPr>
        <w:ind w:left="3126" w:hanging="360"/>
      </w:pPr>
      <w:rPr>
        <w:rFonts w:hint="default"/>
      </w:rPr>
    </w:lvl>
    <w:lvl w:ilvl="4">
      <w:start w:val="1"/>
      <w:numFmt w:val="bullet"/>
      <w:lvlText w:val="•"/>
      <w:lvlJc w:val="left"/>
      <w:pPr>
        <w:ind w:left="3988" w:hanging="360"/>
      </w:pPr>
      <w:rPr>
        <w:rFonts w:hint="default"/>
      </w:rPr>
    </w:lvl>
    <w:lvl w:ilvl="5">
      <w:start w:val="1"/>
      <w:numFmt w:val="bullet"/>
      <w:lvlText w:val="•"/>
      <w:lvlJc w:val="left"/>
      <w:pPr>
        <w:ind w:left="4850" w:hanging="360"/>
      </w:pPr>
      <w:rPr>
        <w:rFonts w:hint="default"/>
      </w:rPr>
    </w:lvl>
    <w:lvl w:ilvl="6">
      <w:start w:val="1"/>
      <w:numFmt w:val="bullet"/>
      <w:lvlText w:val="•"/>
      <w:lvlJc w:val="left"/>
      <w:pPr>
        <w:ind w:left="571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436" w:hanging="360"/>
      </w:pPr>
      <w:rPr>
        <w:rFonts w:hint="default"/>
      </w:rPr>
    </w:lvl>
  </w:abstractNum>
  <w:abstractNum w:abstractNumId="61">
    <w:multiLevelType w:val="hybridMultilevel"/>
    <w:lvl w:ilvl="0">
      <w:start w:val="11"/>
      <w:numFmt w:val="lowerLetter"/>
      <w:lvlText w:val="%1)"/>
      <w:lvlJc w:val="left"/>
      <w:pPr>
        <w:ind w:left="596" w:hanging="247"/>
        <w:jc w:val="left"/>
      </w:pPr>
      <w:rPr>
        <w:rFonts w:hint="default" w:ascii="Arial" w:hAnsi="Arial" w:eastAsia="Arial" w:cs="Arial"/>
        <w:b/>
        <w:bCs/>
        <w:spacing w:val="-21"/>
        <w:w w:val="99"/>
        <w:sz w:val="18"/>
        <w:szCs w:val="18"/>
      </w:rPr>
    </w:lvl>
    <w:lvl w:ilvl="1">
      <w:start w:val="1"/>
      <w:numFmt w:val="decimal"/>
      <w:lvlText w:val="%2."/>
      <w:lvlJc w:val="left"/>
      <w:pPr>
        <w:ind w:left="816" w:hanging="202"/>
        <w:jc w:val="left"/>
      </w:pPr>
      <w:rPr>
        <w:rFonts w:hint="default"/>
        <w:b/>
        <w:bCs/>
        <w:w w:val="99"/>
      </w:rPr>
    </w:lvl>
    <w:lvl w:ilvl="2">
      <w:start w:val="1"/>
      <w:numFmt w:val="bullet"/>
      <w:lvlText w:val="•"/>
      <w:lvlJc w:val="left"/>
      <w:pPr>
        <w:ind w:left="1706" w:hanging="202"/>
      </w:pPr>
      <w:rPr>
        <w:rFonts w:hint="default"/>
      </w:rPr>
    </w:lvl>
    <w:lvl w:ilvl="3">
      <w:start w:val="1"/>
      <w:numFmt w:val="bullet"/>
      <w:lvlText w:val="•"/>
      <w:lvlJc w:val="left"/>
      <w:pPr>
        <w:ind w:left="2593" w:hanging="202"/>
      </w:pPr>
      <w:rPr>
        <w:rFonts w:hint="default"/>
      </w:rPr>
    </w:lvl>
    <w:lvl w:ilvl="4">
      <w:start w:val="1"/>
      <w:numFmt w:val="bullet"/>
      <w:lvlText w:val="•"/>
      <w:lvlJc w:val="left"/>
      <w:pPr>
        <w:ind w:left="3480" w:hanging="202"/>
      </w:pPr>
      <w:rPr>
        <w:rFonts w:hint="default"/>
      </w:rPr>
    </w:lvl>
    <w:lvl w:ilvl="5">
      <w:start w:val="1"/>
      <w:numFmt w:val="bullet"/>
      <w:lvlText w:val="•"/>
      <w:lvlJc w:val="left"/>
      <w:pPr>
        <w:ind w:left="4366" w:hanging="202"/>
      </w:pPr>
      <w:rPr>
        <w:rFonts w:hint="default"/>
      </w:rPr>
    </w:lvl>
    <w:lvl w:ilvl="6">
      <w:start w:val="1"/>
      <w:numFmt w:val="bullet"/>
      <w:lvlText w:val="•"/>
      <w:lvlJc w:val="left"/>
      <w:pPr>
        <w:ind w:left="5253" w:hanging="202"/>
      </w:pPr>
      <w:rPr>
        <w:rFonts w:hint="default"/>
      </w:rPr>
    </w:lvl>
    <w:lvl w:ilvl="7">
      <w:start w:val="1"/>
      <w:numFmt w:val="bullet"/>
      <w:lvlText w:val="•"/>
      <w:lvlJc w:val="left"/>
      <w:pPr>
        <w:ind w:left="6140" w:hanging="202"/>
      </w:pPr>
      <w:rPr>
        <w:rFonts w:hint="default"/>
      </w:rPr>
    </w:lvl>
    <w:lvl w:ilvl="8">
      <w:start w:val="1"/>
      <w:numFmt w:val="bullet"/>
      <w:lvlText w:val="•"/>
      <w:lvlJc w:val="left"/>
      <w:pPr>
        <w:ind w:left="7026" w:hanging="202"/>
      </w:pPr>
      <w:rPr>
        <w:rFonts w:hint="default"/>
      </w:rPr>
    </w:lvl>
  </w:abstractNum>
  <w:abstractNum w:abstractNumId="60">
    <w:multiLevelType w:val="hybridMultilevel"/>
    <w:lvl w:ilvl="0">
      <w:start w:val="1"/>
      <w:numFmt w:val="upperRoman"/>
      <w:lvlText w:val="%1."/>
      <w:lvlJc w:val="left"/>
      <w:pPr>
        <w:ind w:left="826" w:hanging="152"/>
        <w:jc w:val="left"/>
      </w:pPr>
      <w:rPr>
        <w:rFonts w:hint="default" w:ascii="Arial" w:hAnsi="Arial" w:eastAsia="Arial" w:cs="Arial"/>
        <w:b/>
        <w:bCs/>
        <w:w w:val="100"/>
        <w:sz w:val="18"/>
        <w:szCs w:val="18"/>
      </w:rPr>
    </w:lvl>
    <w:lvl w:ilvl="1">
      <w:start w:val="1"/>
      <w:numFmt w:val="bullet"/>
      <w:lvlText w:val="•"/>
      <w:lvlJc w:val="left"/>
      <w:pPr>
        <w:ind w:left="1654" w:hanging="152"/>
      </w:pPr>
      <w:rPr>
        <w:rFonts w:hint="default"/>
      </w:rPr>
    </w:lvl>
    <w:lvl w:ilvl="2">
      <w:start w:val="1"/>
      <w:numFmt w:val="bullet"/>
      <w:lvlText w:val="•"/>
      <w:lvlJc w:val="left"/>
      <w:pPr>
        <w:ind w:left="2488" w:hanging="152"/>
      </w:pPr>
      <w:rPr>
        <w:rFonts w:hint="default"/>
      </w:rPr>
    </w:lvl>
    <w:lvl w:ilvl="3">
      <w:start w:val="1"/>
      <w:numFmt w:val="bullet"/>
      <w:lvlText w:val="•"/>
      <w:lvlJc w:val="left"/>
      <w:pPr>
        <w:ind w:left="3322" w:hanging="152"/>
      </w:pPr>
      <w:rPr>
        <w:rFonts w:hint="default"/>
      </w:rPr>
    </w:lvl>
    <w:lvl w:ilvl="4">
      <w:start w:val="1"/>
      <w:numFmt w:val="bullet"/>
      <w:lvlText w:val="•"/>
      <w:lvlJc w:val="left"/>
      <w:pPr>
        <w:ind w:left="4156" w:hanging="152"/>
      </w:pPr>
      <w:rPr>
        <w:rFonts w:hint="default"/>
      </w:rPr>
    </w:lvl>
    <w:lvl w:ilvl="5">
      <w:start w:val="1"/>
      <w:numFmt w:val="bullet"/>
      <w:lvlText w:val="•"/>
      <w:lvlJc w:val="left"/>
      <w:pPr>
        <w:ind w:left="4990" w:hanging="152"/>
      </w:pPr>
      <w:rPr>
        <w:rFonts w:hint="default"/>
      </w:rPr>
    </w:lvl>
    <w:lvl w:ilvl="6">
      <w:start w:val="1"/>
      <w:numFmt w:val="bullet"/>
      <w:lvlText w:val="•"/>
      <w:lvlJc w:val="left"/>
      <w:pPr>
        <w:ind w:left="5824" w:hanging="152"/>
      </w:pPr>
      <w:rPr>
        <w:rFonts w:hint="default"/>
      </w:rPr>
    </w:lvl>
    <w:lvl w:ilvl="7">
      <w:start w:val="1"/>
      <w:numFmt w:val="bullet"/>
      <w:lvlText w:val="•"/>
      <w:lvlJc w:val="left"/>
      <w:pPr>
        <w:ind w:left="6658" w:hanging="152"/>
      </w:pPr>
      <w:rPr>
        <w:rFonts w:hint="default"/>
      </w:rPr>
    </w:lvl>
    <w:lvl w:ilvl="8">
      <w:start w:val="1"/>
      <w:numFmt w:val="bullet"/>
      <w:lvlText w:val="•"/>
      <w:lvlJc w:val="left"/>
      <w:pPr>
        <w:ind w:left="7492" w:hanging="152"/>
      </w:pPr>
      <w:rPr>
        <w:rFonts w:hint="default"/>
      </w:rPr>
    </w:lvl>
  </w:abstractNum>
  <w:abstractNum w:abstractNumId="59">
    <w:multiLevelType w:val="hybridMultilevel"/>
    <w:lvl w:ilvl="0">
      <w:start w:val="1"/>
      <w:numFmt w:val="upperRoman"/>
      <w:lvlText w:val="%1."/>
      <w:lvlJc w:val="left"/>
      <w:pPr>
        <w:ind w:left="674" w:hanging="152"/>
        <w:jc w:val="left"/>
      </w:pPr>
      <w:rPr>
        <w:rFonts w:hint="default" w:ascii="Arial" w:hAnsi="Arial" w:eastAsia="Arial" w:cs="Arial"/>
        <w:b/>
        <w:bCs/>
        <w:w w:val="100"/>
        <w:sz w:val="18"/>
        <w:szCs w:val="18"/>
      </w:rPr>
    </w:lvl>
    <w:lvl w:ilvl="1">
      <w:start w:val="1"/>
      <w:numFmt w:val="bullet"/>
      <w:lvlText w:val="•"/>
      <w:lvlJc w:val="left"/>
      <w:pPr>
        <w:ind w:left="1528" w:hanging="152"/>
      </w:pPr>
      <w:rPr>
        <w:rFonts w:hint="default"/>
      </w:rPr>
    </w:lvl>
    <w:lvl w:ilvl="2">
      <w:start w:val="1"/>
      <w:numFmt w:val="bullet"/>
      <w:lvlText w:val="•"/>
      <w:lvlJc w:val="left"/>
      <w:pPr>
        <w:ind w:left="2376" w:hanging="152"/>
      </w:pPr>
      <w:rPr>
        <w:rFonts w:hint="default"/>
      </w:rPr>
    </w:lvl>
    <w:lvl w:ilvl="3">
      <w:start w:val="1"/>
      <w:numFmt w:val="bullet"/>
      <w:lvlText w:val="•"/>
      <w:lvlJc w:val="left"/>
      <w:pPr>
        <w:ind w:left="3224" w:hanging="152"/>
      </w:pPr>
      <w:rPr>
        <w:rFonts w:hint="default"/>
      </w:rPr>
    </w:lvl>
    <w:lvl w:ilvl="4">
      <w:start w:val="1"/>
      <w:numFmt w:val="bullet"/>
      <w:lvlText w:val="•"/>
      <w:lvlJc w:val="left"/>
      <w:pPr>
        <w:ind w:left="4072" w:hanging="152"/>
      </w:pPr>
      <w:rPr>
        <w:rFonts w:hint="default"/>
      </w:rPr>
    </w:lvl>
    <w:lvl w:ilvl="5">
      <w:start w:val="1"/>
      <w:numFmt w:val="bullet"/>
      <w:lvlText w:val="•"/>
      <w:lvlJc w:val="left"/>
      <w:pPr>
        <w:ind w:left="4920" w:hanging="152"/>
      </w:pPr>
      <w:rPr>
        <w:rFonts w:hint="default"/>
      </w:rPr>
    </w:lvl>
    <w:lvl w:ilvl="6">
      <w:start w:val="1"/>
      <w:numFmt w:val="bullet"/>
      <w:lvlText w:val="•"/>
      <w:lvlJc w:val="left"/>
      <w:pPr>
        <w:ind w:left="5768" w:hanging="152"/>
      </w:pPr>
      <w:rPr>
        <w:rFonts w:hint="default"/>
      </w:rPr>
    </w:lvl>
    <w:lvl w:ilvl="7">
      <w:start w:val="1"/>
      <w:numFmt w:val="bullet"/>
      <w:lvlText w:val="•"/>
      <w:lvlJc w:val="left"/>
      <w:pPr>
        <w:ind w:left="6616" w:hanging="152"/>
      </w:pPr>
      <w:rPr>
        <w:rFonts w:hint="default"/>
      </w:rPr>
    </w:lvl>
    <w:lvl w:ilvl="8">
      <w:start w:val="1"/>
      <w:numFmt w:val="bullet"/>
      <w:lvlText w:val="•"/>
      <w:lvlJc w:val="left"/>
      <w:pPr>
        <w:ind w:left="7464" w:hanging="152"/>
      </w:pPr>
      <w:rPr>
        <w:rFonts w:hint="default"/>
      </w:rPr>
    </w:lvl>
  </w:abstractNum>
  <w:abstractNum w:abstractNumId="58">
    <w:multiLevelType w:val="hybridMultilevel"/>
    <w:lvl w:ilvl="0">
      <w:start w:val="4"/>
      <w:numFmt w:val="decimal"/>
      <w:lvlText w:val="%1"/>
      <w:lvlJc w:val="left"/>
      <w:pPr>
        <w:ind w:left="674" w:hanging="555"/>
        <w:jc w:val="left"/>
      </w:pPr>
      <w:rPr>
        <w:rFonts w:hint="default"/>
      </w:rPr>
    </w:lvl>
    <w:lvl w:ilvl="1">
      <w:start w:val="1"/>
      <w:numFmt w:val="decimal"/>
      <w:lvlText w:val="%1.%2"/>
      <w:lvlJc w:val="left"/>
      <w:pPr>
        <w:ind w:left="674" w:hanging="555"/>
        <w:jc w:val="left"/>
      </w:pPr>
      <w:rPr>
        <w:rFonts w:hint="default" w:ascii="Arial" w:hAnsi="Arial" w:eastAsia="Arial" w:cs="Arial"/>
        <w:b/>
        <w:bCs/>
        <w:spacing w:val="-1"/>
        <w:w w:val="99"/>
        <w:sz w:val="24"/>
        <w:szCs w:val="24"/>
      </w:rPr>
    </w:lvl>
    <w:lvl w:ilvl="2">
      <w:start w:val="2"/>
      <w:numFmt w:val="decimal"/>
      <w:lvlText w:val="%1.%2.%3"/>
      <w:lvlJc w:val="left"/>
      <w:pPr>
        <w:ind w:left="836" w:hanging="720"/>
        <w:jc w:val="left"/>
      </w:pPr>
      <w:rPr>
        <w:rFonts w:hint="default" w:ascii="Arial" w:hAnsi="Arial" w:eastAsia="Arial" w:cs="Arial"/>
        <w:b/>
        <w:bCs/>
        <w:spacing w:val="-2"/>
        <w:w w:val="99"/>
        <w:sz w:val="24"/>
        <w:szCs w:val="24"/>
      </w:rPr>
    </w:lvl>
    <w:lvl w:ilvl="3">
      <w:start w:val="1"/>
      <w:numFmt w:val="upperRoman"/>
      <w:lvlText w:val="%4."/>
      <w:lvlJc w:val="left"/>
      <w:pPr>
        <w:ind w:left="674" w:hanging="279"/>
        <w:jc w:val="left"/>
      </w:pPr>
      <w:rPr>
        <w:rFonts w:hint="default" w:ascii="Arial" w:hAnsi="Arial" w:eastAsia="Arial" w:cs="Arial"/>
        <w:b/>
        <w:bCs/>
        <w:w w:val="100"/>
        <w:sz w:val="18"/>
        <w:szCs w:val="18"/>
      </w:rPr>
    </w:lvl>
    <w:lvl w:ilvl="4">
      <w:start w:val="1"/>
      <w:numFmt w:val="bullet"/>
      <w:lvlText w:val="•"/>
      <w:lvlJc w:val="left"/>
      <w:pPr>
        <w:ind w:left="3613" w:hanging="279"/>
      </w:pPr>
      <w:rPr>
        <w:rFonts w:hint="default"/>
      </w:rPr>
    </w:lvl>
    <w:lvl w:ilvl="5">
      <w:start w:val="1"/>
      <w:numFmt w:val="bullet"/>
      <w:lvlText w:val="•"/>
      <w:lvlJc w:val="left"/>
      <w:pPr>
        <w:ind w:left="4537" w:hanging="279"/>
      </w:pPr>
      <w:rPr>
        <w:rFonts w:hint="default"/>
      </w:rPr>
    </w:lvl>
    <w:lvl w:ilvl="6">
      <w:start w:val="1"/>
      <w:numFmt w:val="bullet"/>
      <w:lvlText w:val="•"/>
      <w:lvlJc w:val="left"/>
      <w:pPr>
        <w:ind w:left="5462" w:hanging="279"/>
      </w:pPr>
      <w:rPr>
        <w:rFonts w:hint="default"/>
      </w:rPr>
    </w:lvl>
    <w:lvl w:ilvl="7">
      <w:start w:val="1"/>
      <w:numFmt w:val="bullet"/>
      <w:lvlText w:val="•"/>
      <w:lvlJc w:val="left"/>
      <w:pPr>
        <w:ind w:left="6386" w:hanging="279"/>
      </w:pPr>
      <w:rPr>
        <w:rFonts w:hint="default"/>
      </w:rPr>
    </w:lvl>
    <w:lvl w:ilvl="8">
      <w:start w:val="1"/>
      <w:numFmt w:val="bullet"/>
      <w:lvlText w:val="•"/>
      <w:lvlJc w:val="left"/>
      <w:pPr>
        <w:ind w:left="7311" w:hanging="279"/>
      </w:pPr>
      <w:rPr>
        <w:rFonts w:hint="default"/>
      </w:rPr>
    </w:lvl>
  </w:abstractNum>
  <w:abstractNum w:abstractNumId="57">
    <w:multiLevelType w:val="hybridMultilevel"/>
    <w:lvl w:ilvl="0">
      <w:start w:val="1"/>
      <w:numFmt w:val="decimal"/>
      <w:lvlText w:val="%1."/>
      <w:lvlJc w:val="left"/>
      <w:pPr>
        <w:ind w:left="535" w:hanging="360"/>
        <w:jc w:val="left"/>
      </w:pPr>
      <w:rPr>
        <w:rFonts w:hint="default"/>
        <w:spacing w:val="-4"/>
        <w:w w:val="99"/>
      </w:rPr>
    </w:lvl>
    <w:lvl w:ilvl="1">
      <w:start w:val="1"/>
      <w:numFmt w:val="lowerLetter"/>
      <w:lvlText w:val="%2)"/>
      <w:lvlJc w:val="left"/>
      <w:pPr>
        <w:ind w:left="596" w:hanging="226"/>
        <w:jc w:val="left"/>
      </w:pPr>
      <w:rPr>
        <w:rFonts w:hint="default" w:ascii="Arial" w:hAnsi="Arial" w:eastAsia="Arial" w:cs="Arial"/>
        <w:b/>
        <w:bCs/>
        <w:w w:val="99"/>
        <w:sz w:val="18"/>
        <w:szCs w:val="18"/>
      </w:rPr>
    </w:lvl>
    <w:lvl w:ilvl="2">
      <w:start w:val="1"/>
      <w:numFmt w:val="bullet"/>
      <w:lvlText w:val="•"/>
      <w:lvlJc w:val="left"/>
      <w:pPr>
        <w:ind w:left="820" w:hanging="226"/>
      </w:pPr>
      <w:rPr>
        <w:rFonts w:hint="default"/>
      </w:rPr>
    </w:lvl>
    <w:lvl w:ilvl="3">
      <w:start w:val="1"/>
      <w:numFmt w:val="bullet"/>
      <w:lvlText w:val="•"/>
      <w:lvlJc w:val="left"/>
      <w:pPr>
        <w:ind w:left="1817" w:hanging="226"/>
      </w:pPr>
      <w:rPr>
        <w:rFonts w:hint="default"/>
      </w:rPr>
    </w:lvl>
    <w:lvl w:ilvl="4">
      <w:start w:val="1"/>
      <w:numFmt w:val="bullet"/>
      <w:lvlText w:val="•"/>
      <w:lvlJc w:val="left"/>
      <w:pPr>
        <w:ind w:left="2815" w:hanging="226"/>
      </w:pPr>
      <w:rPr>
        <w:rFonts w:hint="default"/>
      </w:rPr>
    </w:lvl>
    <w:lvl w:ilvl="5">
      <w:start w:val="1"/>
      <w:numFmt w:val="bullet"/>
      <w:lvlText w:val="•"/>
      <w:lvlJc w:val="left"/>
      <w:pPr>
        <w:ind w:left="3812" w:hanging="226"/>
      </w:pPr>
      <w:rPr>
        <w:rFonts w:hint="default"/>
      </w:rPr>
    </w:lvl>
    <w:lvl w:ilvl="6">
      <w:start w:val="1"/>
      <w:numFmt w:val="bullet"/>
      <w:lvlText w:val="•"/>
      <w:lvlJc w:val="left"/>
      <w:pPr>
        <w:ind w:left="4810" w:hanging="226"/>
      </w:pPr>
      <w:rPr>
        <w:rFonts w:hint="default"/>
      </w:rPr>
    </w:lvl>
    <w:lvl w:ilvl="7">
      <w:start w:val="1"/>
      <w:numFmt w:val="bullet"/>
      <w:lvlText w:val="•"/>
      <w:lvlJc w:val="left"/>
      <w:pPr>
        <w:ind w:left="5807" w:hanging="226"/>
      </w:pPr>
      <w:rPr>
        <w:rFonts w:hint="default"/>
      </w:rPr>
    </w:lvl>
    <w:lvl w:ilvl="8">
      <w:start w:val="1"/>
      <w:numFmt w:val="bullet"/>
      <w:lvlText w:val="•"/>
      <w:lvlJc w:val="left"/>
      <w:pPr>
        <w:ind w:left="6805" w:hanging="226"/>
      </w:pPr>
      <w:rPr>
        <w:rFonts w:hint="default"/>
      </w:rPr>
    </w:lvl>
  </w:abstractNum>
  <w:abstractNum w:abstractNumId="56">
    <w:multiLevelType w:val="hybridMultilevel"/>
    <w:lvl w:ilvl="0">
      <w:start w:val="1"/>
      <w:numFmt w:val="bullet"/>
      <w:lvlText w:val="·"/>
      <w:lvlJc w:val="left"/>
      <w:pPr>
        <w:ind w:left="115" w:hanging="144"/>
      </w:pPr>
      <w:rPr>
        <w:rFonts w:hint="default" w:ascii="Arial" w:hAnsi="Arial" w:eastAsia="Arial" w:cs="Arial"/>
        <w:spacing w:val="-19"/>
        <w:w w:val="99"/>
        <w:sz w:val="18"/>
        <w:szCs w:val="18"/>
      </w:rPr>
    </w:lvl>
    <w:lvl w:ilvl="1">
      <w:start w:val="1"/>
      <w:numFmt w:val="bullet"/>
      <w:lvlText w:val="•"/>
      <w:lvlJc w:val="left"/>
      <w:pPr>
        <w:ind w:left="494" w:hanging="144"/>
      </w:pPr>
      <w:rPr>
        <w:rFonts w:hint="default"/>
      </w:rPr>
    </w:lvl>
    <w:lvl w:ilvl="2">
      <w:start w:val="1"/>
      <w:numFmt w:val="bullet"/>
      <w:lvlText w:val="•"/>
      <w:lvlJc w:val="left"/>
      <w:pPr>
        <w:ind w:left="868" w:hanging="144"/>
      </w:pPr>
      <w:rPr>
        <w:rFonts w:hint="default"/>
      </w:rPr>
    </w:lvl>
    <w:lvl w:ilvl="3">
      <w:start w:val="1"/>
      <w:numFmt w:val="bullet"/>
      <w:lvlText w:val="•"/>
      <w:lvlJc w:val="left"/>
      <w:pPr>
        <w:ind w:left="1242" w:hanging="144"/>
      </w:pPr>
      <w:rPr>
        <w:rFonts w:hint="default"/>
      </w:rPr>
    </w:lvl>
    <w:lvl w:ilvl="4">
      <w:start w:val="1"/>
      <w:numFmt w:val="bullet"/>
      <w:lvlText w:val="•"/>
      <w:lvlJc w:val="left"/>
      <w:pPr>
        <w:ind w:left="1616" w:hanging="144"/>
      </w:pPr>
      <w:rPr>
        <w:rFonts w:hint="default"/>
      </w:rPr>
    </w:lvl>
    <w:lvl w:ilvl="5">
      <w:start w:val="1"/>
      <w:numFmt w:val="bullet"/>
      <w:lvlText w:val="•"/>
      <w:lvlJc w:val="left"/>
      <w:pPr>
        <w:ind w:left="1990" w:hanging="144"/>
      </w:pPr>
      <w:rPr>
        <w:rFonts w:hint="default"/>
      </w:rPr>
    </w:lvl>
    <w:lvl w:ilvl="6">
      <w:start w:val="1"/>
      <w:numFmt w:val="bullet"/>
      <w:lvlText w:val="•"/>
      <w:lvlJc w:val="left"/>
      <w:pPr>
        <w:ind w:left="2364" w:hanging="144"/>
      </w:pPr>
      <w:rPr>
        <w:rFonts w:hint="default"/>
      </w:rPr>
    </w:lvl>
    <w:lvl w:ilvl="7">
      <w:start w:val="1"/>
      <w:numFmt w:val="bullet"/>
      <w:lvlText w:val="•"/>
      <w:lvlJc w:val="left"/>
      <w:pPr>
        <w:ind w:left="2738" w:hanging="144"/>
      </w:pPr>
      <w:rPr>
        <w:rFonts w:hint="default"/>
      </w:rPr>
    </w:lvl>
    <w:lvl w:ilvl="8">
      <w:start w:val="1"/>
      <w:numFmt w:val="bullet"/>
      <w:lvlText w:val="•"/>
      <w:lvlJc w:val="left"/>
      <w:pPr>
        <w:ind w:left="3112" w:hanging="144"/>
      </w:pPr>
      <w:rPr>
        <w:rFonts w:hint="default"/>
      </w:rPr>
    </w:lvl>
  </w:abstractNum>
  <w:abstractNum w:abstractNumId="55">
    <w:multiLevelType w:val="hybridMultilevel"/>
    <w:lvl w:ilvl="0">
      <w:start w:val="1"/>
      <w:numFmt w:val="bullet"/>
      <w:lvlText w:val="·"/>
      <w:lvlJc w:val="left"/>
      <w:pPr>
        <w:ind w:left="115" w:hanging="147"/>
      </w:pPr>
      <w:rPr>
        <w:rFonts w:hint="default" w:ascii="Arial" w:hAnsi="Arial" w:eastAsia="Arial" w:cs="Arial"/>
        <w:spacing w:val="-18"/>
        <w:w w:val="99"/>
        <w:sz w:val="18"/>
        <w:szCs w:val="18"/>
      </w:rPr>
    </w:lvl>
    <w:lvl w:ilvl="1">
      <w:start w:val="1"/>
      <w:numFmt w:val="bullet"/>
      <w:lvlText w:val="•"/>
      <w:lvlJc w:val="left"/>
      <w:pPr>
        <w:ind w:left="494" w:hanging="147"/>
      </w:pPr>
      <w:rPr>
        <w:rFonts w:hint="default"/>
      </w:rPr>
    </w:lvl>
    <w:lvl w:ilvl="2">
      <w:start w:val="1"/>
      <w:numFmt w:val="bullet"/>
      <w:lvlText w:val="•"/>
      <w:lvlJc w:val="left"/>
      <w:pPr>
        <w:ind w:left="868" w:hanging="147"/>
      </w:pPr>
      <w:rPr>
        <w:rFonts w:hint="default"/>
      </w:rPr>
    </w:lvl>
    <w:lvl w:ilvl="3">
      <w:start w:val="1"/>
      <w:numFmt w:val="bullet"/>
      <w:lvlText w:val="•"/>
      <w:lvlJc w:val="left"/>
      <w:pPr>
        <w:ind w:left="1242" w:hanging="147"/>
      </w:pPr>
      <w:rPr>
        <w:rFonts w:hint="default"/>
      </w:rPr>
    </w:lvl>
    <w:lvl w:ilvl="4">
      <w:start w:val="1"/>
      <w:numFmt w:val="bullet"/>
      <w:lvlText w:val="•"/>
      <w:lvlJc w:val="left"/>
      <w:pPr>
        <w:ind w:left="1616" w:hanging="147"/>
      </w:pPr>
      <w:rPr>
        <w:rFonts w:hint="default"/>
      </w:rPr>
    </w:lvl>
    <w:lvl w:ilvl="5">
      <w:start w:val="1"/>
      <w:numFmt w:val="bullet"/>
      <w:lvlText w:val="•"/>
      <w:lvlJc w:val="left"/>
      <w:pPr>
        <w:ind w:left="1990" w:hanging="147"/>
      </w:pPr>
      <w:rPr>
        <w:rFonts w:hint="default"/>
      </w:rPr>
    </w:lvl>
    <w:lvl w:ilvl="6">
      <w:start w:val="1"/>
      <w:numFmt w:val="bullet"/>
      <w:lvlText w:val="•"/>
      <w:lvlJc w:val="left"/>
      <w:pPr>
        <w:ind w:left="2364" w:hanging="147"/>
      </w:pPr>
      <w:rPr>
        <w:rFonts w:hint="default"/>
      </w:rPr>
    </w:lvl>
    <w:lvl w:ilvl="7">
      <w:start w:val="1"/>
      <w:numFmt w:val="bullet"/>
      <w:lvlText w:val="•"/>
      <w:lvlJc w:val="left"/>
      <w:pPr>
        <w:ind w:left="2738" w:hanging="147"/>
      </w:pPr>
      <w:rPr>
        <w:rFonts w:hint="default"/>
      </w:rPr>
    </w:lvl>
    <w:lvl w:ilvl="8">
      <w:start w:val="1"/>
      <w:numFmt w:val="bullet"/>
      <w:lvlText w:val="•"/>
      <w:lvlJc w:val="left"/>
      <w:pPr>
        <w:ind w:left="3112" w:hanging="147"/>
      </w:pPr>
      <w:rPr>
        <w:rFonts w:hint="default"/>
      </w:rPr>
    </w:lvl>
  </w:abstractNum>
  <w:abstractNum w:abstractNumId="54">
    <w:multiLevelType w:val="hybridMultilevel"/>
    <w:lvl w:ilvl="0">
      <w:start w:val="1"/>
      <w:numFmt w:val="bullet"/>
      <w:lvlText w:val="·"/>
      <w:lvlJc w:val="left"/>
      <w:pPr>
        <w:ind w:left="115" w:hanging="144"/>
      </w:pPr>
      <w:rPr>
        <w:rFonts w:hint="default" w:ascii="Arial" w:hAnsi="Arial" w:eastAsia="Arial" w:cs="Arial"/>
        <w:spacing w:val="-25"/>
        <w:w w:val="99"/>
        <w:sz w:val="18"/>
        <w:szCs w:val="18"/>
      </w:rPr>
    </w:lvl>
    <w:lvl w:ilvl="1">
      <w:start w:val="1"/>
      <w:numFmt w:val="bullet"/>
      <w:lvlText w:val="•"/>
      <w:lvlJc w:val="left"/>
      <w:pPr>
        <w:ind w:left="494" w:hanging="144"/>
      </w:pPr>
      <w:rPr>
        <w:rFonts w:hint="default"/>
      </w:rPr>
    </w:lvl>
    <w:lvl w:ilvl="2">
      <w:start w:val="1"/>
      <w:numFmt w:val="bullet"/>
      <w:lvlText w:val="•"/>
      <w:lvlJc w:val="left"/>
      <w:pPr>
        <w:ind w:left="868" w:hanging="144"/>
      </w:pPr>
      <w:rPr>
        <w:rFonts w:hint="default"/>
      </w:rPr>
    </w:lvl>
    <w:lvl w:ilvl="3">
      <w:start w:val="1"/>
      <w:numFmt w:val="bullet"/>
      <w:lvlText w:val="•"/>
      <w:lvlJc w:val="left"/>
      <w:pPr>
        <w:ind w:left="1242" w:hanging="144"/>
      </w:pPr>
      <w:rPr>
        <w:rFonts w:hint="default"/>
      </w:rPr>
    </w:lvl>
    <w:lvl w:ilvl="4">
      <w:start w:val="1"/>
      <w:numFmt w:val="bullet"/>
      <w:lvlText w:val="•"/>
      <w:lvlJc w:val="left"/>
      <w:pPr>
        <w:ind w:left="1616" w:hanging="144"/>
      </w:pPr>
      <w:rPr>
        <w:rFonts w:hint="default"/>
      </w:rPr>
    </w:lvl>
    <w:lvl w:ilvl="5">
      <w:start w:val="1"/>
      <w:numFmt w:val="bullet"/>
      <w:lvlText w:val="•"/>
      <w:lvlJc w:val="left"/>
      <w:pPr>
        <w:ind w:left="1990" w:hanging="144"/>
      </w:pPr>
      <w:rPr>
        <w:rFonts w:hint="default"/>
      </w:rPr>
    </w:lvl>
    <w:lvl w:ilvl="6">
      <w:start w:val="1"/>
      <w:numFmt w:val="bullet"/>
      <w:lvlText w:val="•"/>
      <w:lvlJc w:val="left"/>
      <w:pPr>
        <w:ind w:left="2364" w:hanging="144"/>
      </w:pPr>
      <w:rPr>
        <w:rFonts w:hint="default"/>
      </w:rPr>
    </w:lvl>
    <w:lvl w:ilvl="7">
      <w:start w:val="1"/>
      <w:numFmt w:val="bullet"/>
      <w:lvlText w:val="•"/>
      <w:lvlJc w:val="left"/>
      <w:pPr>
        <w:ind w:left="2738" w:hanging="144"/>
      </w:pPr>
      <w:rPr>
        <w:rFonts w:hint="default"/>
      </w:rPr>
    </w:lvl>
    <w:lvl w:ilvl="8">
      <w:start w:val="1"/>
      <w:numFmt w:val="bullet"/>
      <w:lvlText w:val="•"/>
      <w:lvlJc w:val="left"/>
      <w:pPr>
        <w:ind w:left="3112" w:hanging="144"/>
      </w:pPr>
      <w:rPr>
        <w:rFonts w:hint="default"/>
      </w:rPr>
    </w:lvl>
  </w:abstractNum>
  <w:abstractNum w:abstractNumId="53">
    <w:multiLevelType w:val="hybridMultilevel"/>
    <w:lvl w:ilvl="0">
      <w:start w:val="1"/>
      <w:numFmt w:val="lowerLetter"/>
      <w:lvlText w:val="%1)"/>
      <w:lvlJc w:val="left"/>
      <w:pPr>
        <w:ind w:left="535" w:hanging="360"/>
        <w:jc w:val="left"/>
      </w:pPr>
      <w:rPr>
        <w:rFonts w:hint="default" w:ascii="Arial" w:hAnsi="Arial" w:eastAsia="Arial" w:cs="Arial"/>
        <w:b/>
        <w:bCs/>
        <w:w w:val="99"/>
        <w:sz w:val="24"/>
        <w:szCs w:val="24"/>
      </w:rPr>
    </w:lvl>
    <w:lvl w:ilvl="1">
      <w:start w:val="1"/>
      <w:numFmt w:val="bullet"/>
      <w:lvlText w:val="•"/>
      <w:lvlJc w:val="left"/>
      <w:pPr>
        <w:ind w:left="1402" w:hanging="360"/>
      </w:pPr>
      <w:rPr>
        <w:rFonts w:hint="default"/>
      </w:rPr>
    </w:lvl>
    <w:lvl w:ilvl="2">
      <w:start w:val="1"/>
      <w:numFmt w:val="bullet"/>
      <w:lvlText w:val="•"/>
      <w:lvlJc w:val="left"/>
      <w:pPr>
        <w:ind w:left="2264" w:hanging="360"/>
      </w:pPr>
      <w:rPr>
        <w:rFonts w:hint="default"/>
      </w:rPr>
    </w:lvl>
    <w:lvl w:ilvl="3">
      <w:start w:val="1"/>
      <w:numFmt w:val="bullet"/>
      <w:lvlText w:val="•"/>
      <w:lvlJc w:val="left"/>
      <w:pPr>
        <w:ind w:left="3126" w:hanging="360"/>
      </w:pPr>
      <w:rPr>
        <w:rFonts w:hint="default"/>
      </w:rPr>
    </w:lvl>
    <w:lvl w:ilvl="4">
      <w:start w:val="1"/>
      <w:numFmt w:val="bullet"/>
      <w:lvlText w:val="•"/>
      <w:lvlJc w:val="left"/>
      <w:pPr>
        <w:ind w:left="3988" w:hanging="360"/>
      </w:pPr>
      <w:rPr>
        <w:rFonts w:hint="default"/>
      </w:rPr>
    </w:lvl>
    <w:lvl w:ilvl="5">
      <w:start w:val="1"/>
      <w:numFmt w:val="bullet"/>
      <w:lvlText w:val="•"/>
      <w:lvlJc w:val="left"/>
      <w:pPr>
        <w:ind w:left="4850" w:hanging="360"/>
      </w:pPr>
      <w:rPr>
        <w:rFonts w:hint="default"/>
      </w:rPr>
    </w:lvl>
    <w:lvl w:ilvl="6">
      <w:start w:val="1"/>
      <w:numFmt w:val="bullet"/>
      <w:lvlText w:val="•"/>
      <w:lvlJc w:val="left"/>
      <w:pPr>
        <w:ind w:left="571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436" w:hanging="360"/>
      </w:pPr>
      <w:rPr>
        <w:rFonts w:hint="default"/>
      </w:rPr>
    </w:lvl>
  </w:abstractNum>
  <w:abstractNum w:abstractNumId="52">
    <w:multiLevelType w:val="hybridMultilevel"/>
    <w:lvl w:ilvl="0">
      <w:start w:val="3"/>
      <w:numFmt w:val="decimal"/>
      <w:lvlText w:val="%1"/>
      <w:lvlJc w:val="left"/>
      <w:pPr>
        <w:ind w:left="836" w:hanging="720"/>
        <w:jc w:val="left"/>
      </w:pPr>
      <w:rPr>
        <w:rFonts w:hint="default"/>
      </w:rPr>
    </w:lvl>
    <w:lvl w:ilvl="1">
      <w:start w:val="4"/>
      <w:numFmt w:val="decimal"/>
      <w:lvlText w:val="%1.%2"/>
      <w:lvlJc w:val="left"/>
      <w:pPr>
        <w:ind w:left="836" w:hanging="720"/>
        <w:jc w:val="left"/>
      </w:pPr>
      <w:rPr>
        <w:rFonts w:hint="default"/>
      </w:rPr>
    </w:lvl>
    <w:lvl w:ilvl="2">
      <w:start w:val="2"/>
      <w:numFmt w:val="decimal"/>
      <w:lvlText w:val="%1.%2.%3"/>
      <w:lvlJc w:val="left"/>
      <w:pPr>
        <w:ind w:left="836" w:hanging="720"/>
        <w:jc w:val="left"/>
      </w:pPr>
      <w:rPr>
        <w:rFonts w:hint="default" w:ascii="Arial" w:hAnsi="Arial" w:eastAsia="Arial" w:cs="Arial"/>
        <w:b/>
        <w:bCs/>
        <w:spacing w:val="-2"/>
        <w:w w:val="99"/>
        <w:sz w:val="24"/>
        <w:szCs w:val="24"/>
      </w:rPr>
    </w:lvl>
    <w:lvl w:ilvl="3">
      <w:start w:val="1"/>
      <w:numFmt w:val="bullet"/>
      <w:lvlText w:val="•"/>
      <w:lvlJc w:val="left"/>
      <w:pPr>
        <w:ind w:left="3342" w:hanging="720"/>
      </w:pPr>
      <w:rPr>
        <w:rFonts w:hint="default"/>
      </w:rPr>
    </w:lvl>
    <w:lvl w:ilvl="4">
      <w:start w:val="1"/>
      <w:numFmt w:val="bullet"/>
      <w:lvlText w:val="•"/>
      <w:lvlJc w:val="left"/>
      <w:pPr>
        <w:ind w:left="4176" w:hanging="720"/>
      </w:pPr>
      <w:rPr>
        <w:rFonts w:hint="default"/>
      </w:rPr>
    </w:lvl>
    <w:lvl w:ilvl="5">
      <w:start w:val="1"/>
      <w:numFmt w:val="bullet"/>
      <w:lvlText w:val="•"/>
      <w:lvlJc w:val="left"/>
      <w:pPr>
        <w:ind w:left="5010" w:hanging="720"/>
      </w:pPr>
      <w:rPr>
        <w:rFonts w:hint="default"/>
      </w:rPr>
    </w:lvl>
    <w:lvl w:ilvl="6">
      <w:start w:val="1"/>
      <w:numFmt w:val="bullet"/>
      <w:lvlText w:val="•"/>
      <w:lvlJc w:val="left"/>
      <w:pPr>
        <w:ind w:left="5844" w:hanging="720"/>
      </w:pPr>
      <w:rPr>
        <w:rFonts w:hint="default"/>
      </w:rPr>
    </w:lvl>
    <w:lvl w:ilvl="7">
      <w:start w:val="1"/>
      <w:numFmt w:val="bullet"/>
      <w:lvlText w:val="•"/>
      <w:lvlJc w:val="left"/>
      <w:pPr>
        <w:ind w:left="6678" w:hanging="720"/>
      </w:pPr>
      <w:rPr>
        <w:rFonts w:hint="default"/>
      </w:rPr>
    </w:lvl>
    <w:lvl w:ilvl="8">
      <w:start w:val="1"/>
      <w:numFmt w:val="bullet"/>
      <w:lvlText w:val="•"/>
      <w:lvlJc w:val="left"/>
      <w:pPr>
        <w:ind w:left="7512" w:hanging="720"/>
      </w:pPr>
      <w:rPr>
        <w:rFonts w:hint="default"/>
      </w:rPr>
    </w:lvl>
  </w:abstractNum>
  <w:abstractNum w:abstractNumId="51">
    <w:multiLevelType w:val="hybridMultilevel"/>
    <w:lvl w:ilvl="0">
      <w:start w:val="3"/>
      <w:numFmt w:val="decimal"/>
      <w:lvlText w:val="%1"/>
      <w:lvlJc w:val="left"/>
      <w:pPr>
        <w:ind w:left="634" w:hanging="526"/>
        <w:jc w:val="left"/>
      </w:pPr>
      <w:rPr>
        <w:rFonts w:hint="default"/>
      </w:rPr>
    </w:lvl>
    <w:lvl w:ilvl="1">
      <w:start w:val="3"/>
      <w:numFmt w:val="decimal"/>
      <w:lvlText w:val="%1.%2"/>
      <w:lvlJc w:val="left"/>
      <w:pPr>
        <w:ind w:left="634" w:hanging="526"/>
        <w:jc w:val="left"/>
      </w:pPr>
      <w:rPr>
        <w:rFonts w:hint="default" w:ascii="Arial" w:hAnsi="Arial" w:eastAsia="Arial" w:cs="Arial"/>
        <w:b/>
        <w:bCs/>
        <w:spacing w:val="-9"/>
        <w:w w:val="99"/>
        <w:sz w:val="24"/>
        <w:szCs w:val="24"/>
      </w:rPr>
    </w:lvl>
    <w:lvl w:ilvl="2">
      <w:start w:val="1"/>
      <w:numFmt w:val="decimal"/>
      <w:lvlText w:val="%1.%2.%3."/>
      <w:lvlJc w:val="left"/>
      <w:pPr>
        <w:ind w:left="836" w:hanging="720"/>
        <w:jc w:val="left"/>
      </w:pPr>
      <w:rPr>
        <w:rFonts w:hint="default" w:ascii="Arial" w:hAnsi="Arial" w:eastAsia="Arial" w:cs="Arial"/>
        <w:b/>
        <w:bCs/>
        <w:spacing w:val="-2"/>
        <w:w w:val="99"/>
        <w:sz w:val="24"/>
        <w:szCs w:val="24"/>
      </w:rPr>
    </w:lvl>
    <w:lvl w:ilvl="3">
      <w:start w:val="1"/>
      <w:numFmt w:val="bullet"/>
      <w:lvlText w:val="•"/>
      <w:lvlJc w:val="left"/>
      <w:pPr>
        <w:ind w:left="2688" w:hanging="720"/>
      </w:pPr>
      <w:rPr>
        <w:rFonts w:hint="default"/>
      </w:rPr>
    </w:lvl>
    <w:lvl w:ilvl="4">
      <w:start w:val="1"/>
      <w:numFmt w:val="bullet"/>
      <w:lvlText w:val="•"/>
      <w:lvlJc w:val="left"/>
      <w:pPr>
        <w:ind w:left="3613" w:hanging="720"/>
      </w:pPr>
      <w:rPr>
        <w:rFonts w:hint="default"/>
      </w:rPr>
    </w:lvl>
    <w:lvl w:ilvl="5">
      <w:start w:val="1"/>
      <w:numFmt w:val="bullet"/>
      <w:lvlText w:val="•"/>
      <w:lvlJc w:val="left"/>
      <w:pPr>
        <w:ind w:left="4537" w:hanging="720"/>
      </w:pPr>
      <w:rPr>
        <w:rFonts w:hint="default"/>
      </w:rPr>
    </w:lvl>
    <w:lvl w:ilvl="6">
      <w:start w:val="1"/>
      <w:numFmt w:val="bullet"/>
      <w:lvlText w:val="•"/>
      <w:lvlJc w:val="left"/>
      <w:pPr>
        <w:ind w:left="5462" w:hanging="720"/>
      </w:pPr>
      <w:rPr>
        <w:rFonts w:hint="default"/>
      </w:rPr>
    </w:lvl>
    <w:lvl w:ilvl="7">
      <w:start w:val="1"/>
      <w:numFmt w:val="bullet"/>
      <w:lvlText w:val="•"/>
      <w:lvlJc w:val="left"/>
      <w:pPr>
        <w:ind w:left="6386" w:hanging="720"/>
      </w:pPr>
      <w:rPr>
        <w:rFonts w:hint="default"/>
      </w:rPr>
    </w:lvl>
    <w:lvl w:ilvl="8">
      <w:start w:val="1"/>
      <w:numFmt w:val="bullet"/>
      <w:lvlText w:val="•"/>
      <w:lvlJc w:val="left"/>
      <w:pPr>
        <w:ind w:left="7311" w:hanging="720"/>
      </w:pPr>
      <w:rPr>
        <w:rFonts w:hint="default"/>
      </w:rPr>
    </w:lvl>
  </w:abstractNum>
  <w:abstractNum w:abstractNumId="50">
    <w:multiLevelType w:val="hybridMultilevel"/>
    <w:lvl w:ilvl="0">
      <w:start w:val="1"/>
      <w:numFmt w:val="bullet"/>
      <w:lvlText w:val=""/>
      <w:lvlJc w:val="left"/>
      <w:pPr>
        <w:ind w:left="555" w:hanging="360"/>
      </w:pPr>
      <w:rPr>
        <w:rFonts w:hint="default" w:ascii="Symbol" w:hAnsi="Symbol" w:eastAsia="Symbol" w:cs="Symbol"/>
        <w:w w:val="100"/>
        <w:sz w:val="24"/>
        <w:szCs w:val="24"/>
      </w:rPr>
    </w:lvl>
    <w:lvl w:ilvl="1">
      <w:start w:val="1"/>
      <w:numFmt w:val="bullet"/>
      <w:lvlText w:val="•"/>
      <w:lvlJc w:val="left"/>
      <w:pPr>
        <w:ind w:left="1422" w:hanging="360"/>
      </w:pPr>
      <w:rPr>
        <w:rFonts w:hint="default"/>
      </w:rPr>
    </w:lvl>
    <w:lvl w:ilvl="2">
      <w:start w:val="1"/>
      <w:numFmt w:val="bullet"/>
      <w:lvlText w:val="•"/>
      <w:lvlJc w:val="left"/>
      <w:pPr>
        <w:ind w:left="2284" w:hanging="360"/>
      </w:pPr>
      <w:rPr>
        <w:rFonts w:hint="default"/>
      </w:rPr>
    </w:lvl>
    <w:lvl w:ilvl="3">
      <w:start w:val="1"/>
      <w:numFmt w:val="bullet"/>
      <w:lvlText w:val="•"/>
      <w:lvlJc w:val="left"/>
      <w:pPr>
        <w:ind w:left="3146" w:hanging="360"/>
      </w:pPr>
      <w:rPr>
        <w:rFonts w:hint="default"/>
      </w:rPr>
    </w:lvl>
    <w:lvl w:ilvl="4">
      <w:start w:val="1"/>
      <w:numFmt w:val="bullet"/>
      <w:lvlText w:val="•"/>
      <w:lvlJc w:val="left"/>
      <w:pPr>
        <w:ind w:left="4008" w:hanging="360"/>
      </w:pPr>
      <w:rPr>
        <w:rFonts w:hint="default"/>
      </w:rPr>
    </w:lvl>
    <w:lvl w:ilvl="5">
      <w:start w:val="1"/>
      <w:numFmt w:val="bullet"/>
      <w:lvlText w:val="•"/>
      <w:lvlJc w:val="left"/>
      <w:pPr>
        <w:ind w:left="4870" w:hanging="360"/>
      </w:pPr>
      <w:rPr>
        <w:rFonts w:hint="default"/>
      </w:rPr>
    </w:lvl>
    <w:lvl w:ilvl="6">
      <w:start w:val="1"/>
      <w:numFmt w:val="bullet"/>
      <w:lvlText w:val="•"/>
      <w:lvlJc w:val="left"/>
      <w:pPr>
        <w:ind w:left="5732" w:hanging="360"/>
      </w:pPr>
      <w:rPr>
        <w:rFonts w:hint="default"/>
      </w:rPr>
    </w:lvl>
    <w:lvl w:ilvl="7">
      <w:start w:val="1"/>
      <w:numFmt w:val="bullet"/>
      <w:lvlText w:val="•"/>
      <w:lvlJc w:val="left"/>
      <w:pPr>
        <w:ind w:left="6594" w:hanging="360"/>
      </w:pPr>
      <w:rPr>
        <w:rFonts w:hint="default"/>
      </w:rPr>
    </w:lvl>
    <w:lvl w:ilvl="8">
      <w:start w:val="1"/>
      <w:numFmt w:val="bullet"/>
      <w:lvlText w:val="•"/>
      <w:lvlJc w:val="left"/>
      <w:pPr>
        <w:ind w:left="7456" w:hanging="360"/>
      </w:pPr>
      <w:rPr>
        <w:rFonts w:hint="default"/>
      </w:rPr>
    </w:lvl>
  </w:abstractNum>
  <w:abstractNum w:abstractNumId="49">
    <w:multiLevelType w:val="hybridMultilevel"/>
    <w:lvl w:ilvl="0">
      <w:start w:val="1"/>
      <w:numFmt w:val="bullet"/>
      <w:lvlText w:val=""/>
      <w:lvlJc w:val="left"/>
      <w:pPr>
        <w:ind w:left="555" w:hanging="360"/>
      </w:pPr>
      <w:rPr>
        <w:rFonts w:hint="default" w:ascii="Symbol" w:hAnsi="Symbol" w:eastAsia="Symbol" w:cs="Symbol"/>
        <w:w w:val="100"/>
        <w:sz w:val="24"/>
        <w:szCs w:val="24"/>
      </w:rPr>
    </w:lvl>
    <w:lvl w:ilvl="1">
      <w:start w:val="1"/>
      <w:numFmt w:val="bullet"/>
      <w:lvlText w:val="•"/>
      <w:lvlJc w:val="left"/>
      <w:pPr>
        <w:ind w:left="1420" w:hanging="360"/>
      </w:pPr>
      <w:rPr>
        <w:rFonts w:hint="default"/>
      </w:rPr>
    </w:lvl>
    <w:lvl w:ilvl="2">
      <w:start w:val="1"/>
      <w:numFmt w:val="bullet"/>
      <w:lvlText w:val="•"/>
      <w:lvlJc w:val="left"/>
      <w:pPr>
        <w:ind w:left="2280" w:hanging="360"/>
      </w:pPr>
      <w:rPr>
        <w:rFonts w:hint="default"/>
      </w:rPr>
    </w:lvl>
    <w:lvl w:ilvl="3">
      <w:start w:val="1"/>
      <w:numFmt w:val="bullet"/>
      <w:lvlText w:val="•"/>
      <w:lvlJc w:val="left"/>
      <w:pPr>
        <w:ind w:left="3140" w:hanging="360"/>
      </w:pPr>
      <w:rPr>
        <w:rFonts w:hint="default"/>
      </w:rPr>
    </w:lvl>
    <w:lvl w:ilvl="4">
      <w:start w:val="1"/>
      <w:numFmt w:val="bullet"/>
      <w:lvlText w:val="•"/>
      <w:lvlJc w:val="left"/>
      <w:pPr>
        <w:ind w:left="4000" w:hanging="360"/>
      </w:pPr>
      <w:rPr>
        <w:rFonts w:hint="default"/>
      </w:rPr>
    </w:lvl>
    <w:lvl w:ilvl="5">
      <w:start w:val="1"/>
      <w:numFmt w:val="bullet"/>
      <w:lvlText w:val="•"/>
      <w:lvlJc w:val="left"/>
      <w:pPr>
        <w:ind w:left="4860" w:hanging="360"/>
      </w:pPr>
      <w:rPr>
        <w:rFonts w:hint="default"/>
      </w:rPr>
    </w:lvl>
    <w:lvl w:ilvl="6">
      <w:start w:val="1"/>
      <w:numFmt w:val="bullet"/>
      <w:lvlText w:val="•"/>
      <w:lvlJc w:val="left"/>
      <w:pPr>
        <w:ind w:left="5720" w:hanging="360"/>
      </w:pPr>
      <w:rPr>
        <w:rFonts w:hint="default"/>
      </w:rPr>
    </w:lvl>
    <w:lvl w:ilvl="7">
      <w:start w:val="1"/>
      <w:numFmt w:val="bullet"/>
      <w:lvlText w:val="•"/>
      <w:lvlJc w:val="left"/>
      <w:pPr>
        <w:ind w:left="6580" w:hanging="360"/>
      </w:pPr>
      <w:rPr>
        <w:rFonts w:hint="default"/>
      </w:rPr>
    </w:lvl>
    <w:lvl w:ilvl="8">
      <w:start w:val="1"/>
      <w:numFmt w:val="bullet"/>
      <w:lvlText w:val="•"/>
      <w:lvlJc w:val="left"/>
      <w:pPr>
        <w:ind w:left="7440" w:hanging="360"/>
      </w:pPr>
      <w:rPr>
        <w:rFonts w:hint="default"/>
      </w:rPr>
    </w:lvl>
  </w:abstractNum>
  <w:abstractNum w:abstractNumId="48">
    <w:multiLevelType w:val="hybridMultilevel"/>
    <w:lvl w:ilvl="0">
      <w:start w:val="1"/>
      <w:numFmt w:val="bullet"/>
      <w:lvlText w:val=""/>
      <w:lvlJc w:val="left"/>
      <w:pPr>
        <w:ind w:left="555" w:hanging="360"/>
      </w:pPr>
      <w:rPr>
        <w:rFonts w:hint="default" w:ascii="Symbol" w:hAnsi="Symbol" w:eastAsia="Symbol" w:cs="Symbol"/>
        <w:w w:val="100"/>
        <w:sz w:val="24"/>
        <w:szCs w:val="24"/>
      </w:rPr>
    </w:lvl>
    <w:lvl w:ilvl="1">
      <w:start w:val="1"/>
      <w:numFmt w:val="bullet"/>
      <w:lvlText w:val="•"/>
      <w:lvlJc w:val="left"/>
      <w:pPr>
        <w:ind w:left="1422" w:hanging="360"/>
      </w:pPr>
      <w:rPr>
        <w:rFonts w:hint="default"/>
      </w:rPr>
    </w:lvl>
    <w:lvl w:ilvl="2">
      <w:start w:val="1"/>
      <w:numFmt w:val="bullet"/>
      <w:lvlText w:val="•"/>
      <w:lvlJc w:val="left"/>
      <w:pPr>
        <w:ind w:left="2284" w:hanging="360"/>
      </w:pPr>
      <w:rPr>
        <w:rFonts w:hint="default"/>
      </w:rPr>
    </w:lvl>
    <w:lvl w:ilvl="3">
      <w:start w:val="1"/>
      <w:numFmt w:val="bullet"/>
      <w:lvlText w:val="•"/>
      <w:lvlJc w:val="left"/>
      <w:pPr>
        <w:ind w:left="3146" w:hanging="360"/>
      </w:pPr>
      <w:rPr>
        <w:rFonts w:hint="default"/>
      </w:rPr>
    </w:lvl>
    <w:lvl w:ilvl="4">
      <w:start w:val="1"/>
      <w:numFmt w:val="bullet"/>
      <w:lvlText w:val="•"/>
      <w:lvlJc w:val="left"/>
      <w:pPr>
        <w:ind w:left="4008" w:hanging="360"/>
      </w:pPr>
      <w:rPr>
        <w:rFonts w:hint="default"/>
      </w:rPr>
    </w:lvl>
    <w:lvl w:ilvl="5">
      <w:start w:val="1"/>
      <w:numFmt w:val="bullet"/>
      <w:lvlText w:val="•"/>
      <w:lvlJc w:val="left"/>
      <w:pPr>
        <w:ind w:left="4870" w:hanging="360"/>
      </w:pPr>
      <w:rPr>
        <w:rFonts w:hint="default"/>
      </w:rPr>
    </w:lvl>
    <w:lvl w:ilvl="6">
      <w:start w:val="1"/>
      <w:numFmt w:val="bullet"/>
      <w:lvlText w:val="•"/>
      <w:lvlJc w:val="left"/>
      <w:pPr>
        <w:ind w:left="5732" w:hanging="360"/>
      </w:pPr>
      <w:rPr>
        <w:rFonts w:hint="default"/>
      </w:rPr>
    </w:lvl>
    <w:lvl w:ilvl="7">
      <w:start w:val="1"/>
      <w:numFmt w:val="bullet"/>
      <w:lvlText w:val="•"/>
      <w:lvlJc w:val="left"/>
      <w:pPr>
        <w:ind w:left="6594" w:hanging="360"/>
      </w:pPr>
      <w:rPr>
        <w:rFonts w:hint="default"/>
      </w:rPr>
    </w:lvl>
    <w:lvl w:ilvl="8">
      <w:start w:val="1"/>
      <w:numFmt w:val="bullet"/>
      <w:lvlText w:val="•"/>
      <w:lvlJc w:val="left"/>
      <w:pPr>
        <w:ind w:left="7456" w:hanging="360"/>
      </w:pPr>
      <w:rPr>
        <w:rFonts w:hint="default"/>
      </w:rPr>
    </w:lvl>
  </w:abstractNum>
  <w:abstractNum w:abstractNumId="47">
    <w:multiLevelType w:val="hybridMultilevel"/>
    <w:lvl w:ilvl="0">
      <w:start w:val="1"/>
      <w:numFmt w:val="bullet"/>
      <w:lvlText w:val=""/>
      <w:lvlJc w:val="left"/>
      <w:pPr>
        <w:ind w:left="535" w:hanging="360"/>
      </w:pPr>
      <w:rPr>
        <w:rFonts w:hint="default" w:ascii="Symbol" w:hAnsi="Symbol" w:eastAsia="Symbol" w:cs="Symbol"/>
        <w:w w:val="100"/>
        <w:sz w:val="24"/>
        <w:szCs w:val="24"/>
      </w:rPr>
    </w:lvl>
    <w:lvl w:ilvl="1">
      <w:start w:val="1"/>
      <w:numFmt w:val="bullet"/>
      <w:lvlText w:val="•"/>
      <w:lvlJc w:val="left"/>
      <w:pPr>
        <w:ind w:left="1402" w:hanging="360"/>
      </w:pPr>
      <w:rPr>
        <w:rFonts w:hint="default"/>
      </w:rPr>
    </w:lvl>
    <w:lvl w:ilvl="2">
      <w:start w:val="1"/>
      <w:numFmt w:val="bullet"/>
      <w:lvlText w:val="•"/>
      <w:lvlJc w:val="left"/>
      <w:pPr>
        <w:ind w:left="2264" w:hanging="360"/>
      </w:pPr>
      <w:rPr>
        <w:rFonts w:hint="default"/>
      </w:rPr>
    </w:lvl>
    <w:lvl w:ilvl="3">
      <w:start w:val="1"/>
      <w:numFmt w:val="bullet"/>
      <w:lvlText w:val="•"/>
      <w:lvlJc w:val="left"/>
      <w:pPr>
        <w:ind w:left="3126" w:hanging="360"/>
      </w:pPr>
      <w:rPr>
        <w:rFonts w:hint="default"/>
      </w:rPr>
    </w:lvl>
    <w:lvl w:ilvl="4">
      <w:start w:val="1"/>
      <w:numFmt w:val="bullet"/>
      <w:lvlText w:val="•"/>
      <w:lvlJc w:val="left"/>
      <w:pPr>
        <w:ind w:left="3988" w:hanging="360"/>
      </w:pPr>
      <w:rPr>
        <w:rFonts w:hint="default"/>
      </w:rPr>
    </w:lvl>
    <w:lvl w:ilvl="5">
      <w:start w:val="1"/>
      <w:numFmt w:val="bullet"/>
      <w:lvlText w:val="•"/>
      <w:lvlJc w:val="left"/>
      <w:pPr>
        <w:ind w:left="4850" w:hanging="360"/>
      </w:pPr>
      <w:rPr>
        <w:rFonts w:hint="default"/>
      </w:rPr>
    </w:lvl>
    <w:lvl w:ilvl="6">
      <w:start w:val="1"/>
      <w:numFmt w:val="bullet"/>
      <w:lvlText w:val="•"/>
      <w:lvlJc w:val="left"/>
      <w:pPr>
        <w:ind w:left="571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436" w:hanging="360"/>
      </w:pPr>
      <w:rPr>
        <w:rFonts w:hint="default"/>
      </w:rPr>
    </w:lvl>
  </w:abstractNum>
  <w:abstractNum w:abstractNumId="46">
    <w:multiLevelType w:val="hybridMultilevel"/>
    <w:lvl w:ilvl="0">
      <w:start w:val="3"/>
      <w:numFmt w:val="decimal"/>
      <w:lvlText w:val="%1"/>
      <w:lvlJc w:val="left"/>
      <w:pPr>
        <w:ind w:left="635" w:hanging="526"/>
        <w:jc w:val="left"/>
      </w:pPr>
      <w:rPr>
        <w:rFonts w:hint="default"/>
      </w:rPr>
    </w:lvl>
    <w:lvl w:ilvl="1">
      <w:start w:val="2"/>
      <w:numFmt w:val="decimal"/>
      <w:lvlText w:val="%1.%2"/>
      <w:lvlJc w:val="left"/>
      <w:pPr>
        <w:ind w:left="635" w:hanging="526"/>
        <w:jc w:val="left"/>
      </w:pPr>
      <w:rPr>
        <w:rFonts w:hint="default" w:ascii="Arial" w:hAnsi="Arial" w:eastAsia="Arial" w:cs="Arial"/>
        <w:b/>
        <w:bCs/>
        <w:spacing w:val="-9"/>
        <w:w w:val="99"/>
        <w:sz w:val="24"/>
        <w:szCs w:val="24"/>
      </w:rPr>
    </w:lvl>
    <w:lvl w:ilvl="2">
      <w:start w:val="2"/>
      <w:numFmt w:val="decimal"/>
      <w:lvlText w:val="%1.%2.%3"/>
      <w:lvlJc w:val="left"/>
      <w:pPr>
        <w:ind w:left="836" w:hanging="720"/>
        <w:jc w:val="left"/>
      </w:pPr>
      <w:rPr>
        <w:rFonts w:hint="default" w:ascii="Arial" w:hAnsi="Arial" w:eastAsia="Arial" w:cs="Arial"/>
        <w:b/>
        <w:bCs/>
        <w:spacing w:val="-2"/>
        <w:w w:val="99"/>
        <w:sz w:val="24"/>
        <w:szCs w:val="24"/>
      </w:rPr>
    </w:lvl>
    <w:lvl w:ilvl="3">
      <w:start w:val="1"/>
      <w:numFmt w:val="bullet"/>
      <w:lvlText w:val="•"/>
      <w:lvlJc w:val="left"/>
      <w:pPr>
        <w:ind w:left="2688" w:hanging="720"/>
      </w:pPr>
      <w:rPr>
        <w:rFonts w:hint="default"/>
      </w:rPr>
    </w:lvl>
    <w:lvl w:ilvl="4">
      <w:start w:val="1"/>
      <w:numFmt w:val="bullet"/>
      <w:lvlText w:val="•"/>
      <w:lvlJc w:val="left"/>
      <w:pPr>
        <w:ind w:left="3613" w:hanging="720"/>
      </w:pPr>
      <w:rPr>
        <w:rFonts w:hint="default"/>
      </w:rPr>
    </w:lvl>
    <w:lvl w:ilvl="5">
      <w:start w:val="1"/>
      <w:numFmt w:val="bullet"/>
      <w:lvlText w:val="•"/>
      <w:lvlJc w:val="left"/>
      <w:pPr>
        <w:ind w:left="4537" w:hanging="720"/>
      </w:pPr>
      <w:rPr>
        <w:rFonts w:hint="default"/>
      </w:rPr>
    </w:lvl>
    <w:lvl w:ilvl="6">
      <w:start w:val="1"/>
      <w:numFmt w:val="bullet"/>
      <w:lvlText w:val="•"/>
      <w:lvlJc w:val="left"/>
      <w:pPr>
        <w:ind w:left="5462" w:hanging="720"/>
      </w:pPr>
      <w:rPr>
        <w:rFonts w:hint="default"/>
      </w:rPr>
    </w:lvl>
    <w:lvl w:ilvl="7">
      <w:start w:val="1"/>
      <w:numFmt w:val="bullet"/>
      <w:lvlText w:val="•"/>
      <w:lvlJc w:val="left"/>
      <w:pPr>
        <w:ind w:left="6386" w:hanging="720"/>
      </w:pPr>
      <w:rPr>
        <w:rFonts w:hint="default"/>
      </w:rPr>
    </w:lvl>
    <w:lvl w:ilvl="8">
      <w:start w:val="1"/>
      <w:numFmt w:val="bullet"/>
      <w:lvlText w:val="•"/>
      <w:lvlJc w:val="left"/>
      <w:pPr>
        <w:ind w:left="7311" w:hanging="720"/>
      </w:pPr>
      <w:rPr>
        <w:rFonts w:hint="default"/>
      </w:rPr>
    </w:lvl>
  </w:abstractNum>
  <w:abstractNum w:abstractNumId="45">
    <w:multiLevelType w:val="hybridMultilevel"/>
    <w:lvl w:ilvl="0">
      <w:start w:val="1"/>
      <w:numFmt w:val="bullet"/>
      <w:lvlText w:val=""/>
      <w:lvlJc w:val="left"/>
      <w:pPr>
        <w:ind w:left="535" w:hanging="360"/>
      </w:pPr>
      <w:rPr>
        <w:rFonts w:hint="default" w:ascii="Symbol" w:hAnsi="Symbol" w:eastAsia="Symbol" w:cs="Symbol"/>
        <w:w w:val="100"/>
        <w:sz w:val="24"/>
        <w:szCs w:val="24"/>
      </w:rPr>
    </w:lvl>
    <w:lvl w:ilvl="1">
      <w:start w:val="1"/>
      <w:numFmt w:val="bullet"/>
      <w:lvlText w:val="•"/>
      <w:lvlJc w:val="left"/>
      <w:pPr>
        <w:ind w:left="1402" w:hanging="360"/>
      </w:pPr>
      <w:rPr>
        <w:rFonts w:hint="default"/>
      </w:rPr>
    </w:lvl>
    <w:lvl w:ilvl="2">
      <w:start w:val="1"/>
      <w:numFmt w:val="bullet"/>
      <w:lvlText w:val="•"/>
      <w:lvlJc w:val="left"/>
      <w:pPr>
        <w:ind w:left="2264" w:hanging="360"/>
      </w:pPr>
      <w:rPr>
        <w:rFonts w:hint="default"/>
      </w:rPr>
    </w:lvl>
    <w:lvl w:ilvl="3">
      <w:start w:val="1"/>
      <w:numFmt w:val="bullet"/>
      <w:lvlText w:val="•"/>
      <w:lvlJc w:val="left"/>
      <w:pPr>
        <w:ind w:left="3126" w:hanging="360"/>
      </w:pPr>
      <w:rPr>
        <w:rFonts w:hint="default"/>
      </w:rPr>
    </w:lvl>
    <w:lvl w:ilvl="4">
      <w:start w:val="1"/>
      <w:numFmt w:val="bullet"/>
      <w:lvlText w:val="•"/>
      <w:lvlJc w:val="left"/>
      <w:pPr>
        <w:ind w:left="3988" w:hanging="360"/>
      </w:pPr>
      <w:rPr>
        <w:rFonts w:hint="default"/>
      </w:rPr>
    </w:lvl>
    <w:lvl w:ilvl="5">
      <w:start w:val="1"/>
      <w:numFmt w:val="bullet"/>
      <w:lvlText w:val="•"/>
      <w:lvlJc w:val="left"/>
      <w:pPr>
        <w:ind w:left="4850" w:hanging="360"/>
      </w:pPr>
      <w:rPr>
        <w:rFonts w:hint="default"/>
      </w:rPr>
    </w:lvl>
    <w:lvl w:ilvl="6">
      <w:start w:val="1"/>
      <w:numFmt w:val="bullet"/>
      <w:lvlText w:val="•"/>
      <w:lvlJc w:val="left"/>
      <w:pPr>
        <w:ind w:left="571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436" w:hanging="360"/>
      </w:pPr>
      <w:rPr>
        <w:rFonts w:hint="default"/>
      </w:rPr>
    </w:lvl>
  </w:abstractNum>
  <w:abstractNum w:abstractNumId="44">
    <w:multiLevelType w:val="hybridMultilevel"/>
    <w:lvl w:ilvl="0">
      <w:start w:val="1"/>
      <w:numFmt w:val="lowerLetter"/>
      <w:lvlText w:val="%1)"/>
      <w:lvlJc w:val="left"/>
      <w:pPr>
        <w:ind w:left="555" w:hanging="360"/>
        <w:jc w:val="left"/>
      </w:pPr>
      <w:rPr>
        <w:rFonts w:hint="default" w:ascii="Arial" w:hAnsi="Arial" w:eastAsia="Arial" w:cs="Arial"/>
        <w:b/>
        <w:bCs/>
        <w:w w:val="99"/>
        <w:sz w:val="24"/>
        <w:szCs w:val="24"/>
      </w:rPr>
    </w:lvl>
    <w:lvl w:ilvl="1">
      <w:start w:val="1"/>
      <w:numFmt w:val="bullet"/>
      <w:lvlText w:val="•"/>
      <w:lvlJc w:val="left"/>
      <w:pPr>
        <w:ind w:left="1422" w:hanging="360"/>
      </w:pPr>
      <w:rPr>
        <w:rFonts w:hint="default"/>
      </w:rPr>
    </w:lvl>
    <w:lvl w:ilvl="2">
      <w:start w:val="1"/>
      <w:numFmt w:val="bullet"/>
      <w:lvlText w:val="•"/>
      <w:lvlJc w:val="left"/>
      <w:pPr>
        <w:ind w:left="2284" w:hanging="360"/>
      </w:pPr>
      <w:rPr>
        <w:rFonts w:hint="default"/>
      </w:rPr>
    </w:lvl>
    <w:lvl w:ilvl="3">
      <w:start w:val="1"/>
      <w:numFmt w:val="bullet"/>
      <w:lvlText w:val="•"/>
      <w:lvlJc w:val="left"/>
      <w:pPr>
        <w:ind w:left="3146" w:hanging="360"/>
      </w:pPr>
      <w:rPr>
        <w:rFonts w:hint="default"/>
      </w:rPr>
    </w:lvl>
    <w:lvl w:ilvl="4">
      <w:start w:val="1"/>
      <w:numFmt w:val="bullet"/>
      <w:lvlText w:val="•"/>
      <w:lvlJc w:val="left"/>
      <w:pPr>
        <w:ind w:left="4008" w:hanging="360"/>
      </w:pPr>
      <w:rPr>
        <w:rFonts w:hint="default"/>
      </w:rPr>
    </w:lvl>
    <w:lvl w:ilvl="5">
      <w:start w:val="1"/>
      <w:numFmt w:val="bullet"/>
      <w:lvlText w:val="•"/>
      <w:lvlJc w:val="left"/>
      <w:pPr>
        <w:ind w:left="4870" w:hanging="360"/>
      </w:pPr>
      <w:rPr>
        <w:rFonts w:hint="default"/>
      </w:rPr>
    </w:lvl>
    <w:lvl w:ilvl="6">
      <w:start w:val="1"/>
      <w:numFmt w:val="bullet"/>
      <w:lvlText w:val="•"/>
      <w:lvlJc w:val="left"/>
      <w:pPr>
        <w:ind w:left="5732" w:hanging="360"/>
      </w:pPr>
      <w:rPr>
        <w:rFonts w:hint="default"/>
      </w:rPr>
    </w:lvl>
    <w:lvl w:ilvl="7">
      <w:start w:val="1"/>
      <w:numFmt w:val="bullet"/>
      <w:lvlText w:val="•"/>
      <w:lvlJc w:val="left"/>
      <w:pPr>
        <w:ind w:left="6594" w:hanging="360"/>
      </w:pPr>
      <w:rPr>
        <w:rFonts w:hint="default"/>
      </w:rPr>
    </w:lvl>
    <w:lvl w:ilvl="8">
      <w:start w:val="1"/>
      <w:numFmt w:val="bullet"/>
      <w:lvlText w:val="•"/>
      <w:lvlJc w:val="left"/>
      <w:pPr>
        <w:ind w:left="7456" w:hanging="360"/>
      </w:pPr>
      <w:rPr>
        <w:rFonts w:hint="default"/>
      </w:rPr>
    </w:lvl>
  </w:abstractNum>
  <w:abstractNum w:abstractNumId="43">
    <w:multiLevelType w:val="hybridMultilevel"/>
    <w:lvl w:ilvl="0">
      <w:start w:val="3"/>
      <w:numFmt w:val="decimal"/>
      <w:lvlText w:val="%1"/>
      <w:lvlJc w:val="left"/>
      <w:pPr>
        <w:ind w:left="980" w:hanging="852"/>
        <w:jc w:val="left"/>
      </w:pPr>
      <w:rPr>
        <w:rFonts w:hint="default"/>
      </w:rPr>
    </w:lvl>
    <w:lvl w:ilvl="1">
      <w:start w:val="1"/>
      <w:numFmt w:val="decimal"/>
      <w:lvlText w:val="%1.%2"/>
      <w:lvlJc w:val="left"/>
      <w:pPr>
        <w:ind w:left="980" w:hanging="852"/>
        <w:jc w:val="left"/>
      </w:pPr>
      <w:rPr>
        <w:rFonts w:hint="default"/>
      </w:rPr>
    </w:lvl>
    <w:lvl w:ilvl="2">
      <w:start w:val="4"/>
      <w:numFmt w:val="decimal"/>
      <w:lvlText w:val="%1.%2.%3"/>
      <w:lvlJc w:val="left"/>
      <w:pPr>
        <w:ind w:left="980" w:hanging="852"/>
        <w:jc w:val="left"/>
      </w:pPr>
      <w:rPr>
        <w:rFonts w:hint="default"/>
      </w:rPr>
    </w:lvl>
    <w:lvl w:ilvl="3">
      <w:start w:val="1"/>
      <w:numFmt w:val="decimal"/>
      <w:lvlText w:val="%1.%2.%3.%4"/>
      <w:lvlJc w:val="left"/>
      <w:pPr>
        <w:ind w:left="980" w:hanging="852"/>
        <w:jc w:val="left"/>
      </w:pPr>
      <w:rPr>
        <w:rFonts w:hint="default" w:ascii="Arial" w:hAnsi="Arial" w:eastAsia="Arial" w:cs="Arial"/>
        <w:b/>
        <w:bCs/>
        <w:spacing w:val="-17"/>
        <w:w w:val="99"/>
        <w:sz w:val="24"/>
        <w:szCs w:val="24"/>
      </w:rPr>
    </w:lvl>
    <w:lvl w:ilvl="4">
      <w:start w:val="1"/>
      <w:numFmt w:val="bullet"/>
      <w:lvlText w:val=""/>
      <w:lvlJc w:val="left"/>
      <w:pPr>
        <w:ind w:left="915" w:hanging="360"/>
      </w:pPr>
      <w:rPr>
        <w:rFonts w:hint="default" w:ascii="Symbol" w:hAnsi="Symbol" w:eastAsia="Symbol" w:cs="Symbol"/>
        <w:w w:val="100"/>
        <w:sz w:val="24"/>
        <w:szCs w:val="24"/>
      </w:rPr>
    </w:lvl>
    <w:lvl w:ilvl="5">
      <w:start w:val="1"/>
      <w:numFmt w:val="bullet"/>
      <w:lvlText w:val="•"/>
      <w:lvlJc w:val="left"/>
      <w:pPr>
        <w:ind w:left="4405" w:hanging="360"/>
      </w:pPr>
      <w:rPr>
        <w:rFonts w:hint="default"/>
      </w:rPr>
    </w:lvl>
    <w:lvl w:ilvl="6">
      <w:start w:val="1"/>
      <w:numFmt w:val="bullet"/>
      <w:lvlText w:val="•"/>
      <w:lvlJc w:val="left"/>
      <w:pPr>
        <w:ind w:left="5360" w:hanging="360"/>
      </w:pPr>
      <w:rPr>
        <w:rFonts w:hint="default"/>
      </w:rPr>
    </w:lvl>
    <w:lvl w:ilvl="7">
      <w:start w:val="1"/>
      <w:numFmt w:val="bullet"/>
      <w:lvlText w:val="•"/>
      <w:lvlJc w:val="left"/>
      <w:pPr>
        <w:ind w:left="6315" w:hanging="360"/>
      </w:pPr>
      <w:rPr>
        <w:rFonts w:hint="default"/>
      </w:rPr>
    </w:lvl>
    <w:lvl w:ilvl="8">
      <w:start w:val="1"/>
      <w:numFmt w:val="bullet"/>
      <w:lvlText w:val="•"/>
      <w:lvlJc w:val="left"/>
      <w:pPr>
        <w:ind w:left="7270" w:hanging="360"/>
      </w:pPr>
      <w:rPr>
        <w:rFonts w:hint="default"/>
      </w:rPr>
    </w:lvl>
  </w:abstractNum>
  <w:abstractNum w:abstractNumId="42">
    <w:multiLevelType w:val="hybridMultilevel"/>
    <w:lvl w:ilvl="0">
      <w:start w:val="3"/>
      <w:numFmt w:val="decimal"/>
      <w:lvlText w:val="%1."/>
      <w:lvlJc w:val="left"/>
      <w:pPr>
        <w:ind w:left="535" w:hanging="360"/>
        <w:jc w:val="right"/>
      </w:pPr>
      <w:rPr>
        <w:rFonts w:hint="default" w:ascii="Arial" w:hAnsi="Arial" w:eastAsia="Arial" w:cs="Arial"/>
        <w:b/>
        <w:bCs/>
        <w:spacing w:val="-33"/>
        <w:w w:val="99"/>
        <w:sz w:val="24"/>
        <w:szCs w:val="24"/>
      </w:rPr>
    </w:lvl>
    <w:lvl w:ilvl="1">
      <w:start w:val="1"/>
      <w:numFmt w:val="decimal"/>
      <w:lvlText w:val="%1.%2"/>
      <w:lvlJc w:val="left"/>
      <w:pPr>
        <w:ind w:left="634" w:hanging="526"/>
        <w:jc w:val="left"/>
      </w:pPr>
      <w:rPr>
        <w:rFonts w:hint="default" w:ascii="Arial" w:hAnsi="Arial" w:eastAsia="Arial" w:cs="Arial"/>
        <w:b/>
        <w:bCs/>
        <w:spacing w:val="-9"/>
        <w:w w:val="99"/>
        <w:sz w:val="24"/>
        <w:szCs w:val="24"/>
      </w:rPr>
    </w:lvl>
    <w:lvl w:ilvl="2">
      <w:start w:val="2"/>
      <w:numFmt w:val="decimal"/>
      <w:lvlText w:val="%1.%2.%3"/>
      <w:lvlJc w:val="left"/>
      <w:pPr>
        <w:ind w:left="836" w:hanging="720"/>
        <w:jc w:val="left"/>
      </w:pPr>
      <w:rPr>
        <w:rFonts w:hint="default" w:ascii="Arial" w:hAnsi="Arial" w:eastAsia="Arial" w:cs="Arial"/>
        <w:b/>
        <w:bCs/>
        <w:spacing w:val="-2"/>
        <w:w w:val="99"/>
        <w:sz w:val="24"/>
        <w:szCs w:val="24"/>
      </w:rPr>
    </w:lvl>
    <w:lvl w:ilvl="3">
      <w:start w:val="1"/>
      <w:numFmt w:val="decimal"/>
      <w:lvlText w:val="%4."/>
      <w:lvlJc w:val="left"/>
      <w:pPr>
        <w:ind w:left="391" w:hanging="610"/>
        <w:jc w:val="left"/>
      </w:pPr>
      <w:rPr>
        <w:rFonts w:hint="default" w:ascii="Arial" w:hAnsi="Arial" w:eastAsia="Arial" w:cs="Arial"/>
        <w:spacing w:val="-34"/>
        <w:w w:val="99"/>
        <w:sz w:val="24"/>
        <w:szCs w:val="24"/>
      </w:rPr>
    </w:lvl>
    <w:lvl w:ilvl="4">
      <w:start w:val="1"/>
      <w:numFmt w:val="bullet"/>
      <w:lvlText w:val="•"/>
      <w:lvlJc w:val="left"/>
      <w:pPr>
        <w:ind w:left="2028" w:hanging="610"/>
      </w:pPr>
      <w:rPr>
        <w:rFonts w:hint="default"/>
      </w:rPr>
    </w:lvl>
    <w:lvl w:ilvl="5">
      <w:start w:val="1"/>
      <w:numFmt w:val="bullet"/>
      <w:lvlText w:val="•"/>
      <w:lvlJc w:val="left"/>
      <w:pPr>
        <w:ind w:left="3217" w:hanging="610"/>
      </w:pPr>
      <w:rPr>
        <w:rFonts w:hint="default"/>
      </w:rPr>
    </w:lvl>
    <w:lvl w:ilvl="6">
      <w:start w:val="1"/>
      <w:numFmt w:val="bullet"/>
      <w:lvlText w:val="•"/>
      <w:lvlJc w:val="left"/>
      <w:pPr>
        <w:ind w:left="4405" w:hanging="610"/>
      </w:pPr>
      <w:rPr>
        <w:rFonts w:hint="default"/>
      </w:rPr>
    </w:lvl>
    <w:lvl w:ilvl="7">
      <w:start w:val="1"/>
      <w:numFmt w:val="bullet"/>
      <w:lvlText w:val="•"/>
      <w:lvlJc w:val="left"/>
      <w:pPr>
        <w:ind w:left="5594" w:hanging="610"/>
      </w:pPr>
      <w:rPr>
        <w:rFonts w:hint="default"/>
      </w:rPr>
    </w:lvl>
    <w:lvl w:ilvl="8">
      <w:start w:val="1"/>
      <w:numFmt w:val="bullet"/>
      <w:lvlText w:val="•"/>
      <w:lvlJc w:val="left"/>
      <w:pPr>
        <w:ind w:left="6782" w:hanging="610"/>
      </w:pPr>
      <w:rPr>
        <w:rFonts w:hint="default"/>
      </w:rPr>
    </w:lvl>
  </w:abstractNum>
  <w:abstractNum w:abstractNumId="41">
    <w:multiLevelType w:val="hybridMultilevel"/>
    <w:lvl w:ilvl="0">
      <w:start w:val="2"/>
      <w:numFmt w:val="decimal"/>
      <w:lvlText w:val="%1"/>
      <w:lvlJc w:val="left"/>
      <w:pPr>
        <w:ind w:left="830" w:hanging="720"/>
        <w:jc w:val="left"/>
      </w:pPr>
      <w:rPr>
        <w:rFonts w:hint="default"/>
      </w:rPr>
    </w:lvl>
    <w:lvl w:ilvl="1">
      <w:start w:val="6"/>
      <w:numFmt w:val="decimal"/>
      <w:lvlText w:val="%1.%2"/>
      <w:lvlJc w:val="left"/>
      <w:pPr>
        <w:ind w:left="830" w:hanging="720"/>
        <w:jc w:val="left"/>
      </w:pPr>
      <w:rPr>
        <w:rFonts w:hint="default"/>
      </w:rPr>
    </w:lvl>
    <w:lvl w:ilvl="2">
      <w:start w:val="3"/>
      <w:numFmt w:val="decimal"/>
      <w:lvlText w:val="%1.%2.%3"/>
      <w:lvlJc w:val="left"/>
      <w:pPr>
        <w:ind w:left="830" w:hanging="720"/>
        <w:jc w:val="left"/>
      </w:pPr>
      <w:rPr>
        <w:rFonts w:hint="default" w:ascii="Arial" w:hAnsi="Arial" w:eastAsia="Arial" w:cs="Arial"/>
        <w:b/>
        <w:bCs/>
        <w:spacing w:val="-2"/>
        <w:w w:val="99"/>
        <w:sz w:val="24"/>
        <w:szCs w:val="24"/>
      </w:rPr>
    </w:lvl>
    <w:lvl w:ilvl="3">
      <w:start w:val="1"/>
      <w:numFmt w:val="bullet"/>
      <w:lvlText w:val="•"/>
      <w:lvlJc w:val="left"/>
      <w:pPr>
        <w:ind w:left="3312" w:hanging="720"/>
      </w:pPr>
      <w:rPr>
        <w:rFonts w:hint="default"/>
      </w:rPr>
    </w:lvl>
    <w:lvl w:ilvl="4">
      <w:start w:val="1"/>
      <w:numFmt w:val="bullet"/>
      <w:lvlText w:val="•"/>
      <w:lvlJc w:val="left"/>
      <w:pPr>
        <w:ind w:left="4136" w:hanging="720"/>
      </w:pPr>
      <w:rPr>
        <w:rFonts w:hint="default"/>
      </w:rPr>
    </w:lvl>
    <w:lvl w:ilvl="5">
      <w:start w:val="1"/>
      <w:numFmt w:val="bullet"/>
      <w:lvlText w:val="•"/>
      <w:lvlJc w:val="left"/>
      <w:pPr>
        <w:ind w:left="4960" w:hanging="720"/>
      </w:pPr>
      <w:rPr>
        <w:rFonts w:hint="default"/>
      </w:rPr>
    </w:lvl>
    <w:lvl w:ilvl="6">
      <w:start w:val="1"/>
      <w:numFmt w:val="bullet"/>
      <w:lvlText w:val="•"/>
      <w:lvlJc w:val="left"/>
      <w:pPr>
        <w:ind w:left="5784" w:hanging="720"/>
      </w:pPr>
      <w:rPr>
        <w:rFonts w:hint="default"/>
      </w:rPr>
    </w:lvl>
    <w:lvl w:ilvl="7">
      <w:start w:val="1"/>
      <w:numFmt w:val="bullet"/>
      <w:lvlText w:val="•"/>
      <w:lvlJc w:val="left"/>
      <w:pPr>
        <w:ind w:left="6608" w:hanging="720"/>
      </w:pPr>
      <w:rPr>
        <w:rFonts w:hint="default"/>
      </w:rPr>
    </w:lvl>
    <w:lvl w:ilvl="8">
      <w:start w:val="1"/>
      <w:numFmt w:val="bullet"/>
      <w:lvlText w:val="•"/>
      <w:lvlJc w:val="left"/>
      <w:pPr>
        <w:ind w:left="7432" w:hanging="720"/>
      </w:pPr>
      <w:rPr>
        <w:rFonts w:hint="default"/>
      </w:rPr>
    </w:lvl>
  </w:abstractNum>
  <w:abstractNum w:abstractNumId="40">
    <w:multiLevelType w:val="hybridMultilevel"/>
    <w:lvl w:ilvl="0">
      <w:start w:val="2"/>
      <w:numFmt w:val="decimal"/>
      <w:lvlText w:val="%1"/>
      <w:lvlJc w:val="left"/>
      <w:pPr>
        <w:ind w:left="549" w:hanging="440"/>
        <w:jc w:val="left"/>
      </w:pPr>
      <w:rPr>
        <w:rFonts w:hint="default"/>
      </w:rPr>
    </w:lvl>
    <w:lvl w:ilvl="1">
      <w:start w:val="6"/>
      <w:numFmt w:val="decimal"/>
      <w:lvlText w:val="%1.%2"/>
      <w:lvlJc w:val="left"/>
      <w:pPr>
        <w:ind w:left="549" w:hanging="440"/>
        <w:jc w:val="left"/>
      </w:pPr>
      <w:rPr>
        <w:rFonts w:hint="default" w:ascii="Arial" w:hAnsi="Arial" w:eastAsia="Arial" w:cs="Arial"/>
        <w:b/>
        <w:bCs/>
        <w:spacing w:val="-29"/>
        <w:w w:val="99"/>
        <w:sz w:val="24"/>
        <w:szCs w:val="24"/>
      </w:rPr>
    </w:lvl>
    <w:lvl w:ilvl="2">
      <w:start w:val="1"/>
      <w:numFmt w:val="decimal"/>
      <w:lvlText w:val="%1.%2.%3"/>
      <w:lvlJc w:val="left"/>
      <w:pPr>
        <w:ind w:left="830" w:hanging="720"/>
        <w:jc w:val="left"/>
      </w:pPr>
      <w:rPr>
        <w:rFonts w:hint="default" w:ascii="Arial" w:hAnsi="Arial" w:eastAsia="Arial" w:cs="Arial"/>
        <w:b/>
        <w:bCs/>
        <w:spacing w:val="-2"/>
        <w:w w:val="99"/>
        <w:sz w:val="24"/>
        <w:szCs w:val="24"/>
      </w:rPr>
    </w:lvl>
    <w:lvl w:ilvl="3">
      <w:start w:val="1"/>
      <w:numFmt w:val="bullet"/>
      <w:lvlText w:val="•"/>
      <w:lvlJc w:val="left"/>
      <w:pPr>
        <w:ind w:left="2671" w:hanging="720"/>
      </w:pPr>
      <w:rPr>
        <w:rFonts w:hint="default"/>
      </w:rPr>
    </w:lvl>
    <w:lvl w:ilvl="4">
      <w:start w:val="1"/>
      <w:numFmt w:val="bullet"/>
      <w:lvlText w:val="•"/>
      <w:lvlJc w:val="left"/>
      <w:pPr>
        <w:ind w:left="3586" w:hanging="720"/>
      </w:pPr>
      <w:rPr>
        <w:rFonts w:hint="default"/>
      </w:rPr>
    </w:lvl>
    <w:lvl w:ilvl="5">
      <w:start w:val="1"/>
      <w:numFmt w:val="bullet"/>
      <w:lvlText w:val="•"/>
      <w:lvlJc w:val="left"/>
      <w:pPr>
        <w:ind w:left="4502" w:hanging="720"/>
      </w:pPr>
      <w:rPr>
        <w:rFonts w:hint="default"/>
      </w:rPr>
    </w:lvl>
    <w:lvl w:ilvl="6">
      <w:start w:val="1"/>
      <w:numFmt w:val="bullet"/>
      <w:lvlText w:val="•"/>
      <w:lvlJc w:val="left"/>
      <w:pPr>
        <w:ind w:left="5417" w:hanging="720"/>
      </w:pPr>
      <w:rPr>
        <w:rFonts w:hint="default"/>
      </w:rPr>
    </w:lvl>
    <w:lvl w:ilvl="7">
      <w:start w:val="1"/>
      <w:numFmt w:val="bullet"/>
      <w:lvlText w:val="•"/>
      <w:lvlJc w:val="left"/>
      <w:pPr>
        <w:ind w:left="6333" w:hanging="720"/>
      </w:pPr>
      <w:rPr>
        <w:rFonts w:hint="default"/>
      </w:rPr>
    </w:lvl>
    <w:lvl w:ilvl="8">
      <w:start w:val="1"/>
      <w:numFmt w:val="bullet"/>
      <w:lvlText w:val="•"/>
      <w:lvlJc w:val="left"/>
      <w:pPr>
        <w:ind w:left="7248" w:hanging="720"/>
      </w:pPr>
      <w:rPr>
        <w:rFonts w:hint="default"/>
      </w:rPr>
    </w:lvl>
  </w:abstractNum>
  <w:abstractNum w:abstractNumId="39">
    <w:multiLevelType w:val="hybridMultilevel"/>
    <w:lvl w:ilvl="0">
      <w:start w:val="1"/>
      <w:numFmt w:val="bullet"/>
      <w:lvlText w:val=""/>
      <w:lvlJc w:val="left"/>
      <w:pPr>
        <w:ind w:left="529" w:hanging="360"/>
      </w:pPr>
      <w:rPr>
        <w:rFonts w:hint="default" w:ascii="Symbol" w:hAnsi="Symbol" w:eastAsia="Symbol" w:cs="Symbol"/>
        <w:w w:val="100"/>
        <w:sz w:val="24"/>
        <w:szCs w:val="24"/>
      </w:rPr>
    </w:lvl>
    <w:lvl w:ilvl="1">
      <w:start w:val="1"/>
      <w:numFmt w:val="bullet"/>
      <w:lvlText w:val="•"/>
      <w:lvlJc w:val="left"/>
      <w:pPr>
        <w:ind w:left="1374" w:hanging="360"/>
      </w:pPr>
      <w:rPr>
        <w:rFonts w:hint="default"/>
      </w:rPr>
    </w:lvl>
    <w:lvl w:ilvl="2">
      <w:start w:val="1"/>
      <w:numFmt w:val="bullet"/>
      <w:lvlText w:val="•"/>
      <w:lvlJc w:val="left"/>
      <w:pPr>
        <w:ind w:left="2228" w:hanging="360"/>
      </w:pPr>
      <w:rPr>
        <w:rFonts w:hint="default"/>
      </w:rPr>
    </w:lvl>
    <w:lvl w:ilvl="3">
      <w:start w:val="1"/>
      <w:numFmt w:val="bullet"/>
      <w:lvlText w:val="•"/>
      <w:lvlJc w:val="left"/>
      <w:pPr>
        <w:ind w:left="3082" w:hanging="360"/>
      </w:pPr>
      <w:rPr>
        <w:rFonts w:hint="default"/>
      </w:rPr>
    </w:lvl>
    <w:lvl w:ilvl="4">
      <w:start w:val="1"/>
      <w:numFmt w:val="bullet"/>
      <w:lvlText w:val="•"/>
      <w:lvlJc w:val="left"/>
      <w:pPr>
        <w:ind w:left="3936" w:hanging="360"/>
      </w:pPr>
      <w:rPr>
        <w:rFonts w:hint="default"/>
      </w:rPr>
    </w:lvl>
    <w:lvl w:ilvl="5">
      <w:start w:val="1"/>
      <w:numFmt w:val="bullet"/>
      <w:lvlText w:val="•"/>
      <w:lvlJc w:val="left"/>
      <w:pPr>
        <w:ind w:left="479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98" w:hanging="360"/>
      </w:pPr>
      <w:rPr>
        <w:rFonts w:hint="default"/>
      </w:rPr>
    </w:lvl>
    <w:lvl w:ilvl="8">
      <w:start w:val="1"/>
      <w:numFmt w:val="bullet"/>
      <w:lvlText w:val="•"/>
      <w:lvlJc w:val="left"/>
      <w:pPr>
        <w:ind w:left="7352" w:hanging="360"/>
      </w:pPr>
      <w:rPr>
        <w:rFonts w:hint="default"/>
      </w:rPr>
    </w:lvl>
  </w:abstractNum>
  <w:abstractNum w:abstractNumId="38">
    <w:multiLevelType w:val="hybridMultilevel"/>
    <w:lvl w:ilvl="0">
      <w:start w:val="2"/>
      <w:numFmt w:val="upperRoman"/>
      <w:lvlText w:val="%1."/>
      <w:lvlJc w:val="left"/>
      <w:pPr>
        <w:ind w:left="102" w:hanging="212"/>
        <w:jc w:val="left"/>
      </w:pPr>
      <w:rPr>
        <w:rFonts w:hint="default" w:ascii="Arial" w:hAnsi="Arial" w:eastAsia="Arial" w:cs="Arial"/>
        <w:w w:val="100"/>
        <w:sz w:val="18"/>
        <w:szCs w:val="18"/>
      </w:rPr>
    </w:lvl>
    <w:lvl w:ilvl="1">
      <w:start w:val="1"/>
      <w:numFmt w:val="bullet"/>
      <w:lvlText w:val="•"/>
      <w:lvlJc w:val="left"/>
      <w:pPr>
        <w:ind w:left="996" w:hanging="212"/>
      </w:pPr>
      <w:rPr>
        <w:rFonts w:hint="default"/>
      </w:rPr>
    </w:lvl>
    <w:lvl w:ilvl="2">
      <w:start w:val="1"/>
      <w:numFmt w:val="bullet"/>
      <w:lvlText w:val="•"/>
      <w:lvlJc w:val="left"/>
      <w:pPr>
        <w:ind w:left="1892" w:hanging="212"/>
      </w:pPr>
      <w:rPr>
        <w:rFonts w:hint="default"/>
      </w:rPr>
    </w:lvl>
    <w:lvl w:ilvl="3">
      <w:start w:val="1"/>
      <w:numFmt w:val="bullet"/>
      <w:lvlText w:val="•"/>
      <w:lvlJc w:val="left"/>
      <w:pPr>
        <w:ind w:left="2788" w:hanging="212"/>
      </w:pPr>
      <w:rPr>
        <w:rFonts w:hint="default"/>
      </w:rPr>
    </w:lvl>
    <w:lvl w:ilvl="4">
      <w:start w:val="1"/>
      <w:numFmt w:val="bullet"/>
      <w:lvlText w:val="•"/>
      <w:lvlJc w:val="left"/>
      <w:pPr>
        <w:ind w:left="3684" w:hanging="212"/>
      </w:pPr>
      <w:rPr>
        <w:rFonts w:hint="default"/>
      </w:rPr>
    </w:lvl>
    <w:lvl w:ilvl="5">
      <w:start w:val="1"/>
      <w:numFmt w:val="bullet"/>
      <w:lvlText w:val="•"/>
      <w:lvlJc w:val="left"/>
      <w:pPr>
        <w:ind w:left="4580" w:hanging="212"/>
      </w:pPr>
      <w:rPr>
        <w:rFonts w:hint="default"/>
      </w:rPr>
    </w:lvl>
    <w:lvl w:ilvl="6">
      <w:start w:val="1"/>
      <w:numFmt w:val="bullet"/>
      <w:lvlText w:val="•"/>
      <w:lvlJc w:val="left"/>
      <w:pPr>
        <w:ind w:left="5476" w:hanging="212"/>
      </w:pPr>
      <w:rPr>
        <w:rFonts w:hint="default"/>
      </w:rPr>
    </w:lvl>
    <w:lvl w:ilvl="7">
      <w:start w:val="1"/>
      <w:numFmt w:val="bullet"/>
      <w:lvlText w:val="•"/>
      <w:lvlJc w:val="left"/>
      <w:pPr>
        <w:ind w:left="6372" w:hanging="212"/>
      </w:pPr>
      <w:rPr>
        <w:rFonts w:hint="default"/>
      </w:rPr>
    </w:lvl>
    <w:lvl w:ilvl="8">
      <w:start w:val="1"/>
      <w:numFmt w:val="bullet"/>
      <w:lvlText w:val="•"/>
      <w:lvlJc w:val="left"/>
      <w:pPr>
        <w:ind w:left="7268" w:hanging="212"/>
      </w:pPr>
      <w:rPr>
        <w:rFonts w:hint="default"/>
      </w:rPr>
    </w:lvl>
  </w:abstractNum>
  <w:abstractNum w:abstractNumId="37">
    <w:multiLevelType w:val="hybridMultilevel"/>
    <w:lvl w:ilvl="0">
      <w:start w:val="2"/>
      <w:numFmt w:val="decimal"/>
      <w:lvlText w:val="%1"/>
      <w:lvlJc w:val="left"/>
      <w:pPr>
        <w:ind w:left="830" w:hanging="720"/>
        <w:jc w:val="left"/>
      </w:pPr>
      <w:rPr>
        <w:rFonts w:hint="default"/>
      </w:rPr>
    </w:lvl>
    <w:lvl w:ilvl="1">
      <w:start w:val="5"/>
      <w:numFmt w:val="decimal"/>
      <w:lvlText w:val="%1.%2"/>
      <w:lvlJc w:val="left"/>
      <w:pPr>
        <w:ind w:left="830" w:hanging="720"/>
        <w:jc w:val="left"/>
      </w:pPr>
      <w:rPr>
        <w:rFonts w:hint="default"/>
      </w:rPr>
    </w:lvl>
    <w:lvl w:ilvl="2">
      <w:start w:val="3"/>
      <w:numFmt w:val="decimal"/>
      <w:lvlText w:val="%1.%2.%3"/>
      <w:lvlJc w:val="left"/>
      <w:pPr>
        <w:ind w:left="830" w:hanging="720"/>
        <w:jc w:val="left"/>
      </w:pPr>
      <w:rPr>
        <w:rFonts w:hint="default" w:ascii="Arial" w:hAnsi="Arial" w:eastAsia="Arial" w:cs="Arial"/>
        <w:b/>
        <w:bCs/>
        <w:spacing w:val="-2"/>
        <w:w w:val="99"/>
        <w:sz w:val="24"/>
        <w:szCs w:val="24"/>
      </w:rPr>
    </w:lvl>
    <w:lvl w:ilvl="3">
      <w:start w:val="1"/>
      <w:numFmt w:val="decimal"/>
      <w:lvlText w:val="%1.%2.%3.%4"/>
      <w:lvlJc w:val="left"/>
      <w:pPr>
        <w:ind w:left="974" w:hanging="852"/>
        <w:jc w:val="left"/>
      </w:pPr>
      <w:rPr>
        <w:rFonts w:hint="default" w:ascii="Arial" w:hAnsi="Arial" w:eastAsia="Arial" w:cs="Arial"/>
        <w:b/>
        <w:bCs/>
        <w:spacing w:val="-17"/>
        <w:w w:val="99"/>
        <w:sz w:val="24"/>
        <w:szCs w:val="24"/>
      </w:rPr>
    </w:lvl>
    <w:lvl w:ilvl="4">
      <w:start w:val="1"/>
      <w:numFmt w:val="bullet"/>
      <w:lvlText w:val="•"/>
      <w:lvlJc w:val="left"/>
      <w:pPr>
        <w:ind w:left="3680" w:hanging="852"/>
      </w:pPr>
      <w:rPr>
        <w:rFonts w:hint="default"/>
      </w:rPr>
    </w:lvl>
    <w:lvl w:ilvl="5">
      <w:start w:val="1"/>
      <w:numFmt w:val="bullet"/>
      <w:lvlText w:val="•"/>
      <w:lvlJc w:val="left"/>
      <w:pPr>
        <w:ind w:left="4580" w:hanging="852"/>
      </w:pPr>
      <w:rPr>
        <w:rFonts w:hint="default"/>
      </w:rPr>
    </w:lvl>
    <w:lvl w:ilvl="6">
      <w:start w:val="1"/>
      <w:numFmt w:val="bullet"/>
      <w:lvlText w:val="•"/>
      <w:lvlJc w:val="left"/>
      <w:pPr>
        <w:ind w:left="5480" w:hanging="852"/>
      </w:pPr>
      <w:rPr>
        <w:rFonts w:hint="default"/>
      </w:rPr>
    </w:lvl>
    <w:lvl w:ilvl="7">
      <w:start w:val="1"/>
      <w:numFmt w:val="bullet"/>
      <w:lvlText w:val="•"/>
      <w:lvlJc w:val="left"/>
      <w:pPr>
        <w:ind w:left="6380" w:hanging="852"/>
      </w:pPr>
      <w:rPr>
        <w:rFonts w:hint="default"/>
      </w:rPr>
    </w:lvl>
    <w:lvl w:ilvl="8">
      <w:start w:val="1"/>
      <w:numFmt w:val="bullet"/>
      <w:lvlText w:val="•"/>
      <w:lvlJc w:val="left"/>
      <w:pPr>
        <w:ind w:left="7280" w:hanging="852"/>
      </w:pPr>
      <w:rPr>
        <w:rFonts w:hint="default"/>
      </w:rPr>
    </w:lvl>
  </w:abstractNum>
  <w:abstractNum w:abstractNumId="36">
    <w:multiLevelType w:val="hybridMultilevel"/>
    <w:lvl w:ilvl="0">
      <w:start w:val="1"/>
      <w:numFmt w:val="decimal"/>
      <w:lvlText w:val="%1."/>
      <w:lvlJc w:val="left"/>
      <w:pPr>
        <w:ind w:left="103" w:hanging="202"/>
        <w:jc w:val="left"/>
      </w:pPr>
      <w:rPr>
        <w:rFonts w:hint="default" w:ascii="Arial" w:hAnsi="Arial" w:eastAsia="Arial" w:cs="Arial"/>
        <w:w w:val="99"/>
        <w:sz w:val="18"/>
        <w:szCs w:val="18"/>
      </w:rPr>
    </w:lvl>
    <w:lvl w:ilvl="1">
      <w:start w:val="1"/>
      <w:numFmt w:val="bullet"/>
      <w:lvlText w:val="•"/>
      <w:lvlJc w:val="left"/>
      <w:pPr>
        <w:ind w:left="766" w:hanging="202"/>
      </w:pPr>
      <w:rPr>
        <w:rFonts w:hint="default"/>
      </w:rPr>
    </w:lvl>
    <w:lvl w:ilvl="2">
      <w:start w:val="1"/>
      <w:numFmt w:val="bullet"/>
      <w:lvlText w:val="•"/>
      <w:lvlJc w:val="left"/>
      <w:pPr>
        <w:ind w:left="1432" w:hanging="202"/>
      </w:pPr>
      <w:rPr>
        <w:rFonts w:hint="default"/>
      </w:rPr>
    </w:lvl>
    <w:lvl w:ilvl="3">
      <w:start w:val="1"/>
      <w:numFmt w:val="bullet"/>
      <w:lvlText w:val="•"/>
      <w:lvlJc w:val="left"/>
      <w:pPr>
        <w:ind w:left="2098" w:hanging="202"/>
      </w:pPr>
      <w:rPr>
        <w:rFonts w:hint="default"/>
      </w:rPr>
    </w:lvl>
    <w:lvl w:ilvl="4">
      <w:start w:val="1"/>
      <w:numFmt w:val="bullet"/>
      <w:lvlText w:val="•"/>
      <w:lvlJc w:val="left"/>
      <w:pPr>
        <w:ind w:left="2764" w:hanging="202"/>
      </w:pPr>
      <w:rPr>
        <w:rFonts w:hint="default"/>
      </w:rPr>
    </w:lvl>
    <w:lvl w:ilvl="5">
      <w:start w:val="1"/>
      <w:numFmt w:val="bullet"/>
      <w:lvlText w:val="•"/>
      <w:lvlJc w:val="left"/>
      <w:pPr>
        <w:ind w:left="3431" w:hanging="202"/>
      </w:pPr>
      <w:rPr>
        <w:rFonts w:hint="default"/>
      </w:rPr>
    </w:lvl>
    <w:lvl w:ilvl="6">
      <w:start w:val="1"/>
      <w:numFmt w:val="bullet"/>
      <w:lvlText w:val="•"/>
      <w:lvlJc w:val="left"/>
      <w:pPr>
        <w:ind w:left="4097" w:hanging="202"/>
      </w:pPr>
      <w:rPr>
        <w:rFonts w:hint="default"/>
      </w:rPr>
    </w:lvl>
    <w:lvl w:ilvl="7">
      <w:start w:val="1"/>
      <w:numFmt w:val="bullet"/>
      <w:lvlText w:val="•"/>
      <w:lvlJc w:val="left"/>
      <w:pPr>
        <w:ind w:left="4763" w:hanging="202"/>
      </w:pPr>
      <w:rPr>
        <w:rFonts w:hint="default"/>
      </w:rPr>
    </w:lvl>
    <w:lvl w:ilvl="8">
      <w:start w:val="1"/>
      <w:numFmt w:val="bullet"/>
      <w:lvlText w:val="•"/>
      <w:lvlJc w:val="left"/>
      <w:pPr>
        <w:ind w:left="5429" w:hanging="202"/>
      </w:pPr>
      <w:rPr>
        <w:rFonts w:hint="default"/>
      </w:rPr>
    </w:lvl>
  </w:abstractNum>
  <w:abstractNum w:abstractNumId="35">
    <w:multiLevelType w:val="hybridMultilevel"/>
    <w:lvl w:ilvl="0">
      <w:start w:val="2"/>
      <w:numFmt w:val="upperRoman"/>
      <w:lvlText w:val="%1."/>
      <w:lvlJc w:val="left"/>
      <w:pPr>
        <w:ind w:left="810" w:hanging="214"/>
        <w:jc w:val="left"/>
      </w:pPr>
      <w:rPr>
        <w:rFonts w:hint="default" w:ascii="Arial" w:hAnsi="Arial" w:eastAsia="Arial" w:cs="Arial"/>
        <w:w w:val="100"/>
        <w:sz w:val="18"/>
        <w:szCs w:val="18"/>
      </w:rPr>
    </w:lvl>
    <w:lvl w:ilvl="1">
      <w:start w:val="1"/>
      <w:numFmt w:val="bullet"/>
      <w:lvlText w:val="•"/>
      <w:lvlJc w:val="left"/>
      <w:pPr>
        <w:ind w:left="1644" w:hanging="214"/>
      </w:pPr>
      <w:rPr>
        <w:rFonts w:hint="default"/>
      </w:rPr>
    </w:lvl>
    <w:lvl w:ilvl="2">
      <w:start w:val="1"/>
      <w:numFmt w:val="bullet"/>
      <w:lvlText w:val="•"/>
      <w:lvlJc w:val="left"/>
      <w:pPr>
        <w:ind w:left="2468" w:hanging="214"/>
      </w:pPr>
      <w:rPr>
        <w:rFonts w:hint="default"/>
      </w:rPr>
    </w:lvl>
    <w:lvl w:ilvl="3">
      <w:start w:val="1"/>
      <w:numFmt w:val="bullet"/>
      <w:lvlText w:val="•"/>
      <w:lvlJc w:val="left"/>
      <w:pPr>
        <w:ind w:left="3292" w:hanging="214"/>
      </w:pPr>
      <w:rPr>
        <w:rFonts w:hint="default"/>
      </w:rPr>
    </w:lvl>
    <w:lvl w:ilvl="4">
      <w:start w:val="1"/>
      <w:numFmt w:val="bullet"/>
      <w:lvlText w:val="•"/>
      <w:lvlJc w:val="left"/>
      <w:pPr>
        <w:ind w:left="4116" w:hanging="214"/>
      </w:pPr>
      <w:rPr>
        <w:rFonts w:hint="default"/>
      </w:rPr>
    </w:lvl>
    <w:lvl w:ilvl="5">
      <w:start w:val="1"/>
      <w:numFmt w:val="bullet"/>
      <w:lvlText w:val="•"/>
      <w:lvlJc w:val="left"/>
      <w:pPr>
        <w:ind w:left="4940" w:hanging="214"/>
      </w:pPr>
      <w:rPr>
        <w:rFonts w:hint="default"/>
      </w:rPr>
    </w:lvl>
    <w:lvl w:ilvl="6">
      <w:start w:val="1"/>
      <w:numFmt w:val="bullet"/>
      <w:lvlText w:val="•"/>
      <w:lvlJc w:val="left"/>
      <w:pPr>
        <w:ind w:left="5764" w:hanging="214"/>
      </w:pPr>
      <w:rPr>
        <w:rFonts w:hint="default"/>
      </w:rPr>
    </w:lvl>
    <w:lvl w:ilvl="7">
      <w:start w:val="1"/>
      <w:numFmt w:val="bullet"/>
      <w:lvlText w:val="•"/>
      <w:lvlJc w:val="left"/>
      <w:pPr>
        <w:ind w:left="6588" w:hanging="214"/>
      </w:pPr>
      <w:rPr>
        <w:rFonts w:hint="default"/>
      </w:rPr>
    </w:lvl>
    <w:lvl w:ilvl="8">
      <w:start w:val="1"/>
      <w:numFmt w:val="bullet"/>
      <w:lvlText w:val="•"/>
      <w:lvlJc w:val="left"/>
      <w:pPr>
        <w:ind w:left="7412" w:hanging="214"/>
      </w:pPr>
      <w:rPr>
        <w:rFonts w:hint="default"/>
      </w:rPr>
    </w:lvl>
  </w:abstractNum>
  <w:abstractNum w:abstractNumId="34">
    <w:multiLevelType w:val="hybridMultilevel"/>
    <w:lvl w:ilvl="0">
      <w:start w:val="1"/>
      <w:numFmt w:val="bullet"/>
      <w:lvlText w:val=""/>
      <w:lvlJc w:val="left"/>
      <w:pPr>
        <w:ind w:left="549" w:hanging="360"/>
      </w:pPr>
      <w:rPr>
        <w:rFonts w:hint="default"/>
        <w:w w:val="100"/>
      </w:rPr>
    </w:lvl>
    <w:lvl w:ilvl="1">
      <w:start w:val="1"/>
      <w:numFmt w:val="bullet"/>
      <w:lvlText w:val="•"/>
      <w:lvlJc w:val="left"/>
      <w:pPr>
        <w:ind w:left="1394" w:hanging="360"/>
      </w:pPr>
      <w:rPr>
        <w:rFonts w:hint="default"/>
      </w:rPr>
    </w:lvl>
    <w:lvl w:ilvl="2">
      <w:start w:val="1"/>
      <w:numFmt w:val="bullet"/>
      <w:lvlText w:val="•"/>
      <w:lvlJc w:val="left"/>
      <w:pPr>
        <w:ind w:left="2248" w:hanging="360"/>
      </w:pPr>
      <w:rPr>
        <w:rFonts w:hint="default"/>
      </w:rPr>
    </w:lvl>
    <w:lvl w:ilvl="3">
      <w:start w:val="1"/>
      <w:numFmt w:val="bullet"/>
      <w:lvlText w:val="•"/>
      <w:lvlJc w:val="left"/>
      <w:pPr>
        <w:ind w:left="3102" w:hanging="360"/>
      </w:pPr>
      <w:rPr>
        <w:rFonts w:hint="default"/>
      </w:rPr>
    </w:lvl>
    <w:lvl w:ilvl="4">
      <w:start w:val="1"/>
      <w:numFmt w:val="bullet"/>
      <w:lvlText w:val="•"/>
      <w:lvlJc w:val="left"/>
      <w:pPr>
        <w:ind w:left="3956" w:hanging="360"/>
      </w:pPr>
      <w:rPr>
        <w:rFonts w:hint="default"/>
      </w:rPr>
    </w:lvl>
    <w:lvl w:ilvl="5">
      <w:start w:val="1"/>
      <w:numFmt w:val="bullet"/>
      <w:lvlText w:val="•"/>
      <w:lvlJc w:val="left"/>
      <w:pPr>
        <w:ind w:left="4810" w:hanging="360"/>
      </w:pPr>
      <w:rPr>
        <w:rFonts w:hint="default"/>
      </w:rPr>
    </w:lvl>
    <w:lvl w:ilvl="6">
      <w:start w:val="1"/>
      <w:numFmt w:val="bullet"/>
      <w:lvlText w:val="•"/>
      <w:lvlJc w:val="left"/>
      <w:pPr>
        <w:ind w:left="5664" w:hanging="360"/>
      </w:pPr>
      <w:rPr>
        <w:rFonts w:hint="default"/>
      </w:rPr>
    </w:lvl>
    <w:lvl w:ilvl="7">
      <w:start w:val="1"/>
      <w:numFmt w:val="bullet"/>
      <w:lvlText w:val="•"/>
      <w:lvlJc w:val="left"/>
      <w:pPr>
        <w:ind w:left="6518" w:hanging="360"/>
      </w:pPr>
      <w:rPr>
        <w:rFonts w:hint="default"/>
      </w:rPr>
    </w:lvl>
    <w:lvl w:ilvl="8">
      <w:start w:val="1"/>
      <w:numFmt w:val="bullet"/>
      <w:lvlText w:val="•"/>
      <w:lvlJc w:val="left"/>
      <w:pPr>
        <w:ind w:left="7372" w:hanging="360"/>
      </w:pPr>
      <w:rPr>
        <w:rFonts w:hint="default"/>
      </w:rPr>
    </w:lvl>
  </w:abstractNum>
  <w:abstractNum w:abstractNumId="33">
    <w:multiLevelType w:val="hybridMultilevel"/>
    <w:lvl w:ilvl="0">
      <w:start w:val="2"/>
      <w:numFmt w:val="decimal"/>
      <w:lvlText w:val="%1"/>
      <w:lvlJc w:val="left"/>
      <w:pPr>
        <w:ind w:left="830" w:hanging="720"/>
        <w:jc w:val="left"/>
      </w:pPr>
      <w:rPr>
        <w:rFonts w:hint="default"/>
      </w:rPr>
    </w:lvl>
    <w:lvl w:ilvl="1">
      <w:start w:val="5"/>
      <w:numFmt w:val="decimal"/>
      <w:lvlText w:val="%1.%2"/>
      <w:lvlJc w:val="left"/>
      <w:pPr>
        <w:ind w:left="830" w:hanging="720"/>
        <w:jc w:val="left"/>
      </w:pPr>
      <w:rPr>
        <w:rFonts w:hint="default"/>
      </w:rPr>
    </w:lvl>
    <w:lvl w:ilvl="2">
      <w:start w:val="2"/>
      <w:numFmt w:val="decimal"/>
      <w:lvlText w:val="%1.%2.%3"/>
      <w:lvlJc w:val="left"/>
      <w:pPr>
        <w:ind w:left="830" w:hanging="720"/>
        <w:jc w:val="left"/>
      </w:pPr>
      <w:rPr>
        <w:rFonts w:hint="default" w:ascii="Arial" w:hAnsi="Arial" w:eastAsia="Arial" w:cs="Arial"/>
        <w:b/>
        <w:bCs/>
        <w:spacing w:val="-2"/>
        <w:w w:val="99"/>
        <w:sz w:val="24"/>
        <w:szCs w:val="24"/>
      </w:rPr>
    </w:lvl>
    <w:lvl w:ilvl="3">
      <w:start w:val="1"/>
      <w:numFmt w:val="decimal"/>
      <w:lvlText w:val="%1.%2.%3.%4"/>
      <w:lvlJc w:val="left"/>
      <w:pPr>
        <w:ind w:left="974" w:hanging="852"/>
        <w:jc w:val="left"/>
      </w:pPr>
      <w:rPr>
        <w:rFonts w:hint="default" w:ascii="Arial" w:hAnsi="Arial" w:eastAsia="Arial" w:cs="Arial"/>
        <w:b/>
        <w:bCs/>
        <w:spacing w:val="-17"/>
        <w:w w:val="99"/>
        <w:sz w:val="24"/>
        <w:szCs w:val="24"/>
      </w:rPr>
    </w:lvl>
    <w:lvl w:ilvl="4">
      <w:start w:val="1"/>
      <w:numFmt w:val="bullet"/>
      <w:lvlText w:val=""/>
      <w:lvlJc w:val="left"/>
      <w:pPr>
        <w:ind w:left="549" w:hanging="360"/>
      </w:pPr>
      <w:rPr>
        <w:rFonts w:hint="default" w:ascii="Symbol" w:hAnsi="Symbol" w:eastAsia="Symbol" w:cs="Symbol"/>
        <w:w w:val="100"/>
        <w:sz w:val="24"/>
        <w:szCs w:val="24"/>
      </w:rPr>
    </w:lvl>
    <w:lvl w:ilvl="5">
      <w:start w:val="1"/>
      <w:numFmt w:val="bullet"/>
      <w:lvlText w:val="•"/>
      <w:lvlJc w:val="left"/>
      <w:pPr>
        <w:ind w:left="4010" w:hanging="360"/>
      </w:pPr>
      <w:rPr>
        <w:rFonts w:hint="default"/>
      </w:rPr>
    </w:lvl>
    <w:lvl w:ilvl="6">
      <w:start w:val="1"/>
      <w:numFmt w:val="bullet"/>
      <w:lvlText w:val="•"/>
      <w:lvlJc w:val="left"/>
      <w:pPr>
        <w:ind w:left="5020" w:hanging="360"/>
      </w:pPr>
      <w:rPr>
        <w:rFonts w:hint="default"/>
      </w:rPr>
    </w:lvl>
    <w:lvl w:ilvl="7">
      <w:start w:val="1"/>
      <w:numFmt w:val="bullet"/>
      <w:lvlText w:val="•"/>
      <w:lvlJc w:val="left"/>
      <w:pPr>
        <w:ind w:left="6030" w:hanging="360"/>
      </w:pPr>
      <w:rPr>
        <w:rFonts w:hint="default"/>
      </w:rPr>
    </w:lvl>
    <w:lvl w:ilvl="8">
      <w:start w:val="1"/>
      <w:numFmt w:val="bullet"/>
      <w:lvlText w:val="•"/>
      <w:lvlJc w:val="left"/>
      <w:pPr>
        <w:ind w:left="7040" w:hanging="360"/>
      </w:pPr>
      <w:rPr>
        <w:rFonts w:hint="default"/>
      </w:rPr>
    </w:lvl>
  </w:abstractNum>
  <w:abstractNum w:abstractNumId="32">
    <w:multiLevelType w:val="hybridMultilevel"/>
    <w:lvl w:ilvl="0">
      <w:start w:val="1"/>
      <w:numFmt w:val="bullet"/>
      <w:lvlText w:val=""/>
      <w:lvlJc w:val="left"/>
      <w:pPr>
        <w:ind w:left="529" w:hanging="360"/>
      </w:pPr>
      <w:rPr>
        <w:rFonts w:hint="default"/>
        <w:w w:val="100"/>
      </w:rPr>
    </w:lvl>
    <w:lvl w:ilvl="1">
      <w:start w:val="1"/>
      <w:numFmt w:val="bullet"/>
      <w:lvlText w:val="•"/>
      <w:lvlJc w:val="left"/>
      <w:pPr>
        <w:ind w:left="1374" w:hanging="360"/>
      </w:pPr>
      <w:rPr>
        <w:rFonts w:hint="default"/>
      </w:rPr>
    </w:lvl>
    <w:lvl w:ilvl="2">
      <w:start w:val="1"/>
      <w:numFmt w:val="bullet"/>
      <w:lvlText w:val="•"/>
      <w:lvlJc w:val="left"/>
      <w:pPr>
        <w:ind w:left="2228" w:hanging="360"/>
      </w:pPr>
      <w:rPr>
        <w:rFonts w:hint="default"/>
      </w:rPr>
    </w:lvl>
    <w:lvl w:ilvl="3">
      <w:start w:val="1"/>
      <w:numFmt w:val="bullet"/>
      <w:lvlText w:val="•"/>
      <w:lvlJc w:val="left"/>
      <w:pPr>
        <w:ind w:left="3082" w:hanging="360"/>
      </w:pPr>
      <w:rPr>
        <w:rFonts w:hint="default"/>
      </w:rPr>
    </w:lvl>
    <w:lvl w:ilvl="4">
      <w:start w:val="1"/>
      <w:numFmt w:val="bullet"/>
      <w:lvlText w:val="•"/>
      <w:lvlJc w:val="left"/>
      <w:pPr>
        <w:ind w:left="3936" w:hanging="360"/>
      </w:pPr>
      <w:rPr>
        <w:rFonts w:hint="default"/>
      </w:rPr>
    </w:lvl>
    <w:lvl w:ilvl="5">
      <w:start w:val="1"/>
      <w:numFmt w:val="bullet"/>
      <w:lvlText w:val="•"/>
      <w:lvlJc w:val="left"/>
      <w:pPr>
        <w:ind w:left="479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98" w:hanging="360"/>
      </w:pPr>
      <w:rPr>
        <w:rFonts w:hint="default"/>
      </w:rPr>
    </w:lvl>
    <w:lvl w:ilvl="8">
      <w:start w:val="1"/>
      <w:numFmt w:val="bullet"/>
      <w:lvlText w:val="•"/>
      <w:lvlJc w:val="left"/>
      <w:pPr>
        <w:ind w:left="7352" w:hanging="360"/>
      </w:pPr>
      <w:rPr>
        <w:rFonts w:hint="default"/>
      </w:rPr>
    </w:lvl>
  </w:abstractNum>
  <w:abstractNum w:abstractNumId="31">
    <w:multiLevelType w:val="hybridMultilevel"/>
    <w:lvl w:ilvl="0">
      <w:start w:val="1"/>
      <w:numFmt w:val="bullet"/>
      <w:lvlText w:val=""/>
      <w:lvlJc w:val="left"/>
      <w:pPr>
        <w:ind w:left="529" w:hanging="360"/>
      </w:pPr>
      <w:rPr>
        <w:rFonts w:hint="default"/>
        <w:w w:val="100"/>
      </w:rPr>
    </w:lvl>
    <w:lvl w:ilvl="1">
      <w:start w:val="1"/>
      <w:numFmt w:val="bullet"/>
      <w:lvlText w:val=""/>
      <w:lvlJc w:val="left"/>
      <w:pPr>
        <w:ind w:left="902" w:hanging="360"/>
      </w:pPr>
      <w:rPr>
        <w:rFonts w:hint="default" w:ascii="Symbol" w:hAnsi="Symbol" w:eastAsia="Symbol" w:cs="Symbol"/>
        <w:w w:val="100"/>
        <w:sz w:val="24"/>
        <w:szCs w:val="24"/>
      </w:rPr>
    </w:lvl>
    <w:lvl w:ilvl="2">
      <w:start w:val="1"/>
      <w:numFmt w:val="bullet"/>
      <w:lvlText w:val="•"/>
      <w:lvlJc w:val="left"/>
      <w:pPr>
        <w:ind w:left="1806" w:hanging="360"/>
      </w:pPr>
      <w:rPr>
        <w:rFonts w:hint="default"/>
      </w:rPr>
    </w:lvl>
    <w:lvl w:ilvl="3">
      <w:start w:val="1"/>
      <w:numFmt w:val="bullet"/>
      <w:lvlText w:val="•"/>
      <w:lvlJc w:val="left"/>
      <w:pPr>
        <w:ind w:left="2713" w:hanging="360"/>
      </w:pPr>
      <w:rPr>
        <w:rFonts w:hint="default"/>
      </w:rPr>
    </w:lvl>
    <w:lvl w:ilvl="4">
      <w:start w:val="1"/>
      <w:numFmt w:val="bullet"/>
      <w:lvlText w:val="•"/>
      <w:lvlJc w:val="left"/>
      <w:pPr>
        <w:ind w:left="3620" w:hanging="360"/>
      </w:pPr>
      <w:rPr>
        <w:rFonts w:hint="default"/>
      </w:rPr>
    </w:lvl>
    <w:lvl w:ilvl="5">
      <w:start w:val="1"/>
      <w:numFmt w:val="bullet"/>
      <w:lvlText w:val="•"/>
      <w:lvlJc w:val="left"/>
      <w:pPr>
        <w:ind w:left="4526" w:hanging="360"/>
      </w:pPr>
      <w:rPr>
        <w:rFonts w:hint="default"/>
      </w:rPr>
    </w:lvl>
    <w:lvl w:ilvl="6">
      <w:start w:val="1"/>
      <w:numFmt w:val="bullet"/>
      <w:lvlText w:val="•"/>
      <w:lvlJc w:val="left"/>
      <w:pPr>
        <w:ind w:left="5433" w:hanging="360"/>
      </w:pPr>
      <w:rPr>
        <w:rFonts w:hint="default"/>
      </w:rPr>
    </w:lvl>
    <w:lvl w:ilvl="7">
      <w:start w:val="1"/>
      <w:numFmt w:val="bullet"/>
      <w:lvlText w:val="•"/>
      <w:lvlJc w:val="left"/>
      <w:pPr>
        <w:ind w:left="6340" w:hanging="360"/>
      </w:pPr>
      <w:rPr>
        <w:rFonts w:hint="default"/>
      </w:rPr>
    </w:lvl>
    <w:lvl w:ilvl="8">
      <w:start w:val="1"/>
      <w:numFmt w:val="bullet"/>
      <w:lvlText w:val="•"/>
      <w:lvlJc w:val="left"/>
      <w:pPr>
        <w:ind w:left="7246" w:hanging="360"/>
      </w:pPr>
      <w:rPr>
        <w:rFonts w:hint="default"/>
      </w:rPr>
    </w:lvl>
  </w:abstractNum>
  <w:abstractNum w:abstractNumId="30">
    <w:multiLevelType w:val="hybridMultilevel"/>
    <w:lvl w:ilvl="0">
      <w:start w:val="2"/>
      <w:numFmt w:val="decimal"/>
      <w:lvlText w:val="%1"/>
      <w:lvlJc w:val="left"/>
      <w:pPr>
        <w:ind w:left="954" w:hanging="852"/>
        <w:jc w:val="left"/>
      </w:pPr>
      <w:rPr>
        <w:rFonts w:hint="default"/>
      </w:rPr>
    </w:lvl>
    <w:lvl w:ilvl="1">
      <w:start w:val="5"/>
      <w:numFmt w:val="decimal"/>
      <w:lvlText w:val="%1.%2"/>
      <w:lvlJc w:val="left"/>
      <w:pPr>
        <w:ind w:left="954" w:hanging="852"/>
        <w:jc w:val="left"/>
      </w:pPr>
      <w:rPr>
        <w:rFonts w:hint="default"/>
      </w:rPr>
    </w:lvl>
    <w:lvl w:ilvl="2">
      <w:start w:val="1"/>
      <w:numFmt w:val="decimal"/>
      <w:lvlText w:val="%1.%2.%3"/>
      <w:lvlJc w:val="left"/>
      <w:pPr>
        <w:ind w:left="954" w:hanging="852"/>
        <w:jc w:val="left"/>
      </w:pPr>
      <w:rPr>
        <w:rFonts w:hint="default"/>
      </w:rPr>
    </w:lvl>
    <w:lvl w:ilvl="3">
      <w:start w:val="1"/>
      <w:numFmt w:val="decimal"/>
      <w:lvlText w:val="%1.%2.%3.%4"/>
      <w:lvlJc w:val="left"/>
      <w:pPr>
        <w:ind w:left="954" w:hanging="852"/>
        <w:jc w:val="left"/>
      </w:pPr>
      <w:rPr>
        <w:rFonts w:hint="default" w:ascii="Arial" w:hAnsi="Arial" w:eastAsia="Arial" w:cs="Arial"/>
        <w:b/>
        <w:bCs/>
        <w:spacing w:val="-17"/>
        <w:w w:val="99"/>
        <w:sz w:val="24"/>
        <w:szCs w:val="24"/>
      </w:rPr>
    </w:lvl>
    <w:lvl w:ilvl="4">
      <w:start w:val="1"/>
      <w:numFmt w:val="bullet"/>
      <w:lvlText w:val="•"/>
      <w:lvlJc w:val="left"/>
      <w:pPr>
        <w:ind w:left="4200" w:hanging="852"/>
      </w:pPr>
      <w:rPr>
        <w:rFonts w:hint="default"/>
      </w:rPr>
    </w:lvl>
    <w:lvl w:ilvl="5">
      <w:start w:val="1"/>
      <w:numFmt w:val="bullet"/>
      <w:lvlText w:val="•"/>
      <w:lvlJc w:val="left"/>
      <w:pPr>
        <w:ind w:left="5010" w:hanging="852"/>
      </w:pPr>
      <w:rPr>
        <w:rFonts w:hint="default"/>
      </w:rPr>
    </w:lvl>
    <w:lvl w:ilvl="6">
      <w:start w:val="1"/>
      <w:numFmt w:val="bullet"/>
      <w:lvlText w:val="•"/>
      <w:lvlJc w:val="left"/>
      <w:pPr>
        <w:ind w:left="5820" w:hanging="852"/>
      </w:pPr>
      <w:rPr>
        <w:rFonts w:hint="default"/>
      </w:rPr>
    </w:lvl>
    <w:lvl w:ilvl="7">
      <w:start w:val="1"/>
      <w:numFmt w:val="bullet"/>
      <w:lvlText w:val="•"/>
      <w:lvlJc w:val="left"/>
      <w:pPr>
        <w:ind w:left="6630" w:hanging="852"/>
      </w:pPr>
      <w:rPr>
        <w:rFonts w:hint="default"/>
      </w:rPr>
    </w:lvl>
    <w:lvl w:ilvl="8">
      <w:start w:val="1"/>
      <w:numFmt w:val="bullet"/>
      <w:lvlText w:val="•"/>
      <w:lvlJc w:val="left"/>
      <w:pPr>
        <w:ind w:left="7440" w:hanging="852"/>
      </w:pPr>
      <w:rPr>
        <w:rFonts w:hint="default"/>
      </w:rPr>
    </w:lvl>
  </w:abstractNum>
  <w:abstractNum w:abstractNumId="29">
    <w:multiLevelType w:val="hybridMultilevel"/>
    <w:lvl w:ilvl="0">
      <w:start w:val="2"/>
      <w:numFmt w:val="decimal"/>
      <w:lvlText w:val="%1"/>
      <w:lvlJc w:val="left"/>
      <w:pPr>
        <w:ind w:left="549" w:hanging="440"/>
        <w:jc w:val="left"/>
      </w:pPr>
      <w:rPr>
        <w:rFonts w:hint="default"/>
      </w:rPr>
    </w:lvl>
    <w:lvl w:ilvl="1">
      <w:start w:val="4"/>
      <w:numFmt w:val="decimal"/>
      <w:lvlText w:val="%1.%2"/>
      <w:lvlJc w:val="left"/>
      <w:pPr>
        <w:ind w:left="549" w:hanging="440"/>
        <w:jc w:val="left"/>
      </w:pPr>
      <w:rPr>
        <w:rFonts w:hint="default" w:ascii="Arial" w:hAnsi="Arial" w:eastAsia="Arial" w:cs="Arial"/>
        <w:b/>
        <w:bCs/>
        <w:spacing w:val="-29"/>
        <w:w w:val="99"/>
        <w:sz w:val="24"/>
        <w:szCs w:val="24"/>
      </w:rPr>
    </w:lvl>
    <w:lvl w:ilvl="2">
      <w:start w:val="1"/>
      <w:numFmt w:val="decimal"/>
      <w:lvlText w:val="%1.%2.%3"/>
      <w:lvlJc w:val="left"/>
      <w:pPr>
        <w:ind w:left="830" w:hanging="720"/>
        <w:jc w:val="left"/>
      </w:pPr>
      <w:rPr>
        <w:rFonts w:hint="default" w:ascii="Arial" w:hAnsi="Arial" w:eastAsia="Arial" w:cs="Arial"/>
        <w:b/>
        <w:bCs/>
        <w:spacing w:val="-2"/>
        <w:w w:val="99"/>
        <w:sz w:val="24"/>
        <w:szCs w:val="24"/>
      </w:rPr>
    </w:lvl>
    <w:lvl w:ilvl="3">
      <w:start w:val="1"/>
      <w:numFmt w:val="bullet"/>
      <w:lvlText w:val="•"/>
      <w:lvlJc w:val="left"/>
      <w:pPr>
        <w:ind w:left="2671" w:hanging="720"/>
      </w:pPr>
      <w:rPr>
        <w:rFonts w:hint="default"/>
      </w:rPr>
    </w:lvl>
    <w:lvl w:ilvl="4">
      <w:start w:val="1"/>
      <w:numFmt w:val="bullet"/>
      <w:lvlText w:val="•"/>
      <w:lvlJc w:val="left"/>
      <w:pPr>
        <w:ind w:left="3586" w:hanging="720"/>
      </w:pPr>
      <w:rPr>
        <w:rFonts w:hint="default"/>
      </w:rPr>
    </w:lvl>
    <w:lvl w:ilvl="5">
      <w:start w:val="1"/>
      <w:numFmt w:val="bullet"/>
      <w:lvlText w:val="•"/>
      <w:lvlJc w:val="left"/>
      <w:pPr>
        <w:ind w:left="4502" w:hanging="720"/>
      </w:pPr>
      <w:rPr>
        <w:rFonts w:hint="default"/>
      </w:rPr>
    </w:lvl>
    <w:lvl w:ilvl="6">
      <w:start w:val="1"/>
      <w:numFmt w:val="bullet"/>
      <w:lvlText w:val="•"/>
      <w:lvlJc w:val="left"/>
      <w:pPr>
        <w:ind w:left="5417" w:hanging="720"/>
      </w:pPr>
      <w:rPr>
        <w:rFonts w:hint="default"/>
      </w:rPr>
    </w:lvl>
    <w:lvl w:ilvl="7">
      <w:start w:val="1"/>
      <w:numFmt w:val="bullet"/>
      <w:lvlText w:val="•"/>
      <w:lvlJc w:val="left"/>
      <w:pPr>
        <w:ind w:left="6333" w:hanging="720"/>
      </w:pPr>
      <w:rPr>
        <w:rFonts w:hint="default"/>
      </w:rPr>
    </w:lvl>
    <w:lvl w:ilvl="8">
      <w:start w:val="1"/>
      <w:numFmt w:val="bullet"/>
      <w:lvlText w:val="•"/>
      <w:lvlJc w:val="left"/>
      <w:pPr>
        <w:ind w:left="7248" w:hanging="720"/>
      </w:pPr>
      <w:rPr>
        <w:rFonts w:hint="default"/>
      </w:rPr>
    </w:lvl>
  </w:abstractNum>
  <w:abstractNum w:abstractNumId="28">
    <w:multiLevelType w:val="hybridMultilevel"/>
    <w:lvl w:ilvl="0">
      <w:start w:val="1"/>
      <w:numFmt w:val="decimal"/>
      <w:lvlText w:val="%1."/>
      <w:lvlJc w:val="left"/>
      <w:pPr>
        <w:ind w:left="465" w:hanging="360"/>
        <w:jc w:val="left"/>
      </w:pPr>
      <w:rPr>
        <w:rFonts w:hint="default"/>
        <w:spacing w:val="-33"/>
        <w:w w:val="99"/>
      </w:rPr>
    </w:lvl>
    <w:lvl w:ilvl="1">
      <w:start w:val="1"/>
      <w:numFmt w:val="decimal"/>
      <w:lvlText w:val="%2."/>
      <w:lvlJc w:val="left"/>
      <w:pPr>
        <w:ind w:left="609" w:hanging="360"/>
        <w:jc w:val="left"/>
      </w:pPr>
      <w:rPr>
        <w:rFonts w:hint="default" w:ascii="Arial" w:hAnsi="Arial" w:eastAsia="Arial" w:cs="Arial"/>
        <w:spacing w:val="-6"/>
        <w:w w:val="99"/>
        <w:sz w:val="24"/>
        <w:szCs w:val="24"/>
      </w:rPr>
    </w:lvl>
    <w:lvl w:ilvl="2">
      <w:start w:val="43"/>
      <w:numFmt w:val="decimal"/>
      <w:lvlText w:val="%3."/>
      <w:lvlJc w:val="left"/>
      <w:pPr>
        <w:ind w:left="954" w:hanging="329"/>
        <w:jc w:val="left"/>
      </w:pPr>
      <w:rPr>
        <w:rFonts w:hint="default" w:ascii="Arial" w:hAnsi="Arial" w:eastAsia="Arial" w:cs="Arial"/>
        <w:w w:val="99"/>
        <w:sz w:val="18"/>
        <w:szCs w:val="18"/>
      </w:rPr>
    </w:lvl>
    <w:lvl w:ilvl="3">
      <w:start w:val="1"/>
      <w:numFmt w:val="bullet"/>
      <w:lvlText w:val="•"/>
      <w:lvlJc w:val="left"/>
      <w:pPr>
        <w:ind w:left="1972" w:hanging="329"/>
      </w:pPr>
      <w:rPr>
        <w:rFonts w:hint="default"/>
      </w:rPr>
    </w:lvl>
    <w:lvl w:ilvl="4">
      <w:start w:val="1"/>
      <w:numFmt w:val="bullet"/>
      <w:lvlText w:val="•"/>
      <w:lvlJc w:val="left"/>
      <w:pPr>
        <w:ind w:left="2985" w:hanging="329"/>
      </w:pPr>
      <w:rPr>
        <w:rFonts w:hint="default"/>
      </w:rPr>
    </w:lvl>
    <w:lvl w:ilvl="5">
      <w:start w:val="1"/>
      <w:numFmt w:val="bullet"/>
      <w:lvlText w:val="•"/>
      <w:lvlJc w:val="left"/>
      <w:pPr>
        <w:ind w:left="3997" w:hanging="329"/>
      </w:pPr>
      <w:rPr>
        <w:rFonts w:hint="default"/>
      </w:rPr>
    </w:lvl>
    <w:lvl w:ilvl="6">
      <w:start w:val="1"/>
      <w:numFmt w:val="bullet"/>
      <w:lvlText w:val="•"/>
      <w:lvlJc w:val="left"/>
      <w:pPr>
        <w:ind w:left="5010" w:hanging="329"/>
      </w:pPr>
      <w:rPr>
        <w:rFonts w:hint="default"/>
      </w:rPr>
    </w:lvl>
    <w:lvl w:ilvl="7">
      <w:start w:val="1"/>
      <w:numFmt w:val="bullet"/>
      <w:lvlText w:val="•"/>
      <w:lvlJc w:val="left"/>
      <w:pPr>
        <w:ind w:left="6022" w:hanging="329"/>
      </w:pPr>
      <w:rPr>
        <w:rFonts w:hint="default"/>
      </w:rPr>
    </w:lvl>
    <w:lvl w:ilvl="8">
      <w:start w:val="1"/>
      <w:numFmt w:val="bullet"/>
      <w:lvlText w:val="•"/>
      <w:lvlJc w:val="left"/>
      <w:pPr>
        <w:ind w:left="7035" w:hanging="329"/>
      </w:pPr>
      <w:rPr>
        <w:rFonts w:hint="default"/>
      </w:rPr>
    </w:lvl>
  </w:abstractNum>
  <w:abstractNum w:abstractNumId="27">
    <w:multiLevelType w:val="hybridMultilevel"/>
    <w:lvl w:ilvl="0">
      <w:start w:val="1"/>
      <w:numFmt w:val="decimal"/>
      <w:lvlText w:val="%1."/>
      <w:lvlJc w:val="left"/>
      <w:pPr>
        <w:ind w:left="385" w:hanging="284"/>
        <w:jc w:val="left"/>
      </w:pPr>
      <w:rPr>
        <w:rFonts w:hint="default" w:ascii="Arial" w:hAnsi="Arial" w:eastAsia="Arial" w:cs="Arial"/>
        <w:w w:val="100"/>
        <w:sz w:val="24"/>
        <w:szCs w:val="24"/>
      </w:rPr>
    </w:lvl>
    <w:lvl w:ilvl="1">
      <w:start w:val="1"/>
      <w:numFmt w:val="bullet"/>
      <w:lvlText w:val="•"/>
      <w:lvlJc w:val="left"/>
      <w:pPr>
        <w:ind w:left="1248" w:hanging="284"/>
      </w:pPr>
      <w:rPr>
        <w:rFonts w:hint="default"/>
      </w:rPr>
    </w:lvl>
    <w:lvl w:ilvl="2">
      <w:start w:val="1"/>
      <w:numFmt w:val="bullet"/>
      <w:lvlText w:val="•"/>
      <w:lvlJc w:val="left"/>
      <w:pPr>
        <w:ind w:left="2116" w:hanging="284"/>
      </w:pPr>
      <w:rPr>
        <w:rFonts w:hint="default"/>
      </w:rPr>
    </w:lvl>
    <w:lvl w:ilvl="3">
      <w:start w:val="1"/>
      <w:numFmt w:val="bullet"/>
      <w:lvlText w:val="•"/>
      <w:lvlJc w:val="left"/>
      <w:pPr>
        <w:ind w:left="2984" w:hanging="284"/>
      </w:pPr>
      <w:rPr>
        <w:rFonts w:hint="default"/>
      </w:rPr>
    </w:lvl>
    <w:lvl w:ilvl="4">
      <w:start w:val="1"/>
      <w:numFmt w:val="bullet"/>
      <w:lvlText w:val="•"/>
      <w:lvlJc w:val="left"/>
      <w:pPr>
        <w:ind w:left="3852" w:hanging="284"/>
      </w:pPr>
      <w:rPr>
        <w:rFonts w:hint="default"/>
      </w:rPr>
    </w:lvl>
    <w:lvl w:ilvl="5">
      <w:start w:val="1"/>
      <w:numFmt w:val="bullet"/>
      <w:lvlText w:val="•"/>
      <w:lvlJc w:val="left"/>
      <w:pPr>
        <w:ind w:left="4720" w:hanging="284"/>
      </w:pPr>
      <w:rPr>
        <w:rFonts w:hint="default"/>
      </w:rPr>
    </w:lvl>
    <w:lvl w:ilvl="6">
      <w:start w:val="1"/>
      <w:numFmt w:val="bullet"/>
      <w:lvlText w:val="•"/>
      <w:lvlJc w:val="left"/>
      <w:pPr>
        <w:ind w:left="5588" w:hanging="284"/>
      </w:pPr>
      <w:rPr>
        <w:rFonts w:hint="default"/>
      </w:rPr>
    </w:lvl>
    <w:lvl w:ilvl="7">
      <w:start w:val="1"/>
      <w:numFmt w:val="bullet"/>
      <w:lvlText w:val="•"/>
      <w:lvlJc w:val="left"/>
      <w:pPr>
        <w:ind w:left="6456" w:hanging="284"/>
      </w:pPr>
      <w:rPr>
        <w:rFonts w:hint="default"/>
      </w:rPr>
    </w:lvl>
    <w:lvl w:ilvl="8">
      <w:start w:val="1"/>
      <w:numFmt w:val="bullet"/>
      <w:lvlText w:val="•"/>
      <w:lvlJc w:val="left"/>
      <w:pPr>
        <w:ind w:left="7324" w:hanging="284"/>
      </w:pPr>
      <w:rPr>
        <w:rFonts w:hint="default"/>
      </w:rPr>
    </w:lvl>
  </w:abstractNum>
  <w:abstractNum w:abstractNumId="26">
    <w:multiLevelType w:val="hybridMultilevel"/>
    <w:lvl w:ilvl="0">
      <w:start w:val="1"/>
      <w:numFmt w:val="bullet"/>
      <w:lvlText w:val=""/>
      <w:lvlJc w:val="left"/>
      <w:pPr>
        <w:ind w:left="279" w:hanging="138"/>
      </w:pPr>
      <w:rPr>
        <w:rFonts w:hint="default" w:ascii="Symbol" w:hAnsi="Symbol" w:eastAsia="Symbol" w:cs="Symbol"/>
        <w:w w:val="133"/>
        <w:sz w:val="12"/>
        <w:szCs w:val="12"/>
      </w:rPr>
    </w:lvl>
    <w:lvl w:ilvl="1">
      <w:start w:val="1"/>
      <w:numFmt w:val="bullet"/>
      <w:lvlText w:val="•"/>
      <w:lvlJc w:val="left"/>
      <w:pPr>
        <w:ind w:left="918" w:hanging="138"/>
      </w:pPr>
      <w:rPr>
        <w:rFonts w:hint="default"/>
      </w:rPr>
    </w:lvl>
    <w:lvl w:ilvl="2">
      <w:start w:val="1"/>
      <w:numFmt w:val="bullet"/>
      <w:lvlText w:val="•"/>
      <w:lvlJc w:val="left"/>
      <w:pPr>
        <w:ind w:left="1556" w:hanging="138"/>
      </w:pPr>
      <w:rPr>
        <w:rFonts w:hint="default"/>
      </w:rPr>
    </w:lvl>
    <w:lvl w:ilvl="3">
      <w:start w:val="1"/>
      <w:numFmt w:val="bullet"/>
      <w:lvlText w:val="•"/>
      <w:lvlJc w:val="left"/>
      <w:pPr>
        <w:ind w:left="2194" w:hanging="138"/>
      </w:pPr>
      <w:rPr>
        <w:rFonts w:hint="default"/>
      </w:rPr>
    </w:lvl>
    <w:lvl w:ilvl="4">
      <w:start w:val="1"/>
      <w:numFmt w:val="bullet"/>
      <w:lvlText w:val="•"/>
      <w:lvlJc w:val="left"/>
      <w:pPr>
        <w:ind w:left="2832" w:hanging="138"/>
      </w:pPr>
      <w:rPr>
        <w:rFonts w:hint="default"/>
      </w:rPr>
    </w:lvl>
    <w:lvl w:ilvl="5">
      <w:start w:val="1"/>
      <w:numFmt w:val="bullet"/>
      <w:lvlText w:val="•"/>
      <w:lvlJc w:val="left"/>
      <w:pPr>
        <w:ind w:left="3471" w:hanging="138"/>
      </w:pPr>
      <w:rPr>
        <w:rFonts w:hint="default"/>
      </w:rPr>
    </w:lvl>
    <w:lvl w:ilvl="6">
      <w:start w:val="1"/>
      <w:numFmt w:val="bullet"/>
      <w:lvlText w:val="•"/>
      <w:lvlJc w:val="left"/>
      <w:pPr>
        <w:ind w:left="4109" w:hanging="138"/>
      </w:pPr>
      <w:rPr>
        <w:rFonts w:hint="default"/>
      </w:rPr>
    </w:lvl>
    <w:lvl w:ilvl="7">
      <w:start w:val="1"/>
      <w:numFmt w:val="bullet"/>
      <w:lvlText w:val="•"/>
      <w:lvlJc w:val="left"/>
      <w:pPr>
        <w:ind w:left="4747" w:hanging="138"/>
      </w:pPr>
      <w:rPr>
        <w:rFonts w:hint="default"/>
      </w:rPr>
    </w:lvl>
    <w:lvl w:ilvl="8">
      <w:start w:val="1"/>
      <w:numFmt w:val="bullet"/>
      <w:lvlText w:val="•"/>
      <w:lvlJc w:val="left"/>
      <w:pPr>
        <w:ind w:left="5385" w:hanging="138"/>
      </w:pPr>
      <w:rPr>
        <w:rFonts w:hint="default"/>
      </w:rPr>
    </w:lvl>
  </w:abstractNum>
  <w:abstractNum w:abstractNumId="25">
    <w:multiLevelType w:val="hybridMultilevel"/>
    <w:lvl w:ilvl="0">
      <w:start w:val="1"/>
      <w:numFmt w:val="bullet"/>
      <w:lvlText w:val=""/>
      <w:lvlJc w:val="left"/>
      <w:pPr>
        <w:ind w:left="283" w:hanging="138"/>
      </w:pPr>
      <w:rPr>
        <w:rFonts w:hint="default" w:ascii="Symbol" w:hAnsi="Symbol" w:eastAsia="Symbol" w:cs="Symbol"/>
        <w:w w:val="133"/>
        <w:sz w:val="12"/>
        <w:szCs w:val="12"/>
      </w:rPr>
    </w:lvl>
    <w:lvl w:ilvl="1">
      <w:start w:val="1"/>
      <w:numFmt w:val="bullet"/>
      <w:lvlText w:val="•"/>
      <w:lvlJc w:val="left"/>
      <w:pPr>
        <w:ind w:left="426" w:hanging="138"/>
      </w:pPr>
      <w:rPr>
        <w:rFonts w:hint="default"/>
      </w:rPr>
    </w:lvl>
    <w:lvl w:ilvl="2">
      <w:start w:val="1"/>
      <w:numFmt w:val="bullet"/>
      <w:lvlText w:val="•"/>
      <w:lvlJc w:val="left"/>
      <w:pPr>
        <w:ind w:left="573" w:hanging="138"/>
      </w:pPr>
      <w:rPr>
        <w:rFonts w:hint="default"/>
      </w:rPr>
    </w:lvl>
    <w:lvl w:ilvl="3">
      <w:start w:val="1"/>
      <w:numFmt w:val="bullet"/>
      <w:lvlText w:val="•"/>
      <w:lvlJc w:val="left"/>
      <w:pPr>
        <w:ind w:left="719" w:hanging="138"/>
      </w:pPr>
      <w:rPr>
        <w:rFonts w:hint="default"/>
      </w:rPr>
    </w:lvl>
    <w:lvl w:ilvl="4">
      <w:start w:val="1"/>
      <w:numFmt w:val="bullet"/>
      <w:lvlText w:val="•"/>
      <w:lvlJc w:val="left"/>
      <w:pPr>
        <w:ind w:left="866" w:hanging="138"/>
      </w:pPr>
      <w:rPr>
        <w:rFonts w:hint="default"/>
      </w:rPr>
    </w:lvl>
    <w:lvl w:ilvl="5">
      <w:start w:val="1"/>
      <w:numFmt w:val="bullet"/>
      <w:lvlText w:val="•"/>
      <w:lvlJc w:val="left"/>
      <w:pPr>
        <w:ind w:left="1013" w:hanging="138"/>
      </w:pPr>
      <w:rPr>
        <w:rFonts w:hint="default"/>
      </w:rPr>
    </w:lvl>
    <w:lvl w:ilvl="6">
      <w:start w:val="1"/>
      <w:numFmt w:val="bullet"/>
      <w:lvlText w:val="•"/>
      <w:lvlJc w:val="left"/>
      <w:pPr>
        <w:ind w:left="1159" w:hanging="138"/>
      </w:pPr>
      <w:rPr>
        <w:rFonts w:hint="default"/>
      </w:rPr>
    </w:lvl>
    <w:lvl w:ilvl="7">
      <w:start w:val="1"/>
      <w:numFmt w:val="bullet"/>
      <w:lvlText w:val="•"/>
      <w:lvlJc w:val="left"/>
      <w:pPr>
        <w:ind w:left="1306" w:hanging="138"/>
      </w:pPr>
      <w:rPr>
        <w:rFonts w:hint="default"/>
      </w:rPr>
    </w:lvl>
    <w:lvl w:ilvl="8">
      <w:start w:val="1"/>
      <w:numFmt w:val="bullet"/>
      <w:lvlText w:val="•"/>
      <w:lvlJc w:val="left"/>
      <w:pPr>
        <w:ind w:left="1453" w:hanging="138"/>
      </w:pPr>
      <w:rPr>
        <w:rFonts w:hint="default"/>
      </w:rPr>
    </w:lvl>
  </w:abstractNum>
  <w:abstractNum w:abstractNumId="24">
    <w:multiLevelType w:val="hybridMultilevel"/>
    <w:lvl w:ilvl="0">
      <w:start w:val="1"/>
      <w:numFmt w:val="bullet"/>
      <w:lvlText w:val=""/>
      <w:lvlJc w:val="left"/>
      <w:pPr>
        <w:ind w:left="281" w:hanging="138"/>
      </w:pPr>
      <w:rPr>
        <w:rFonts w:hint="default" w:ascii="Symbol" w:hAnsi="Symbol" w:eastAsia="Symbol" w:cs="Symbol"/>
        <w:w w:val="133"/>
        <w:sz w:val="12"/>
        <w:szCs w:val="12"/>
      </w:rPr>
    </w:lvl>
    <w:lvl w:ilvl="1">
      <w:start w:val="1"/>
      <w:numFmt w:val="bullet"/>
      <w:lvlText w:val="•"/>
      <w:lvlJc w:val="left"/>
      <w:pPr>
        <w:ind w:left="513" w:hanging="138"/>
      </w:pPr>
      <w:rPr>
        <w:rFonts w:hint="default"/>
      </w:rPr>
    </w:lvl>
    <w:lvl w:ilvl="2">
      <w:start w:val="1"/>
      <w:numFmt w:val="bullet"/>
      <w:lvlText w:val="•"/>
      <w:lvlJc w:val="left"/>
      <w:pPr>
        <w:ind w:left="746" w:hanging="138"/>
      </w:pPr>
      <w:rPr>
        <w:rFonts w:hint="default"/>
      </w:rPr>
    </w:lvl>
    <w:lvl w:ilvl="3">
      <w:start w:val="1"/>
      <w:numFmt w:val="bullet"/>
      <w:lvlText w:val="•"/>
      <w:lvlJc w:val="left"/>
      <w:pPr>
        <w:ind w:left="979" w:hanging="138"/>
      </w:pPr>
      <w:rPr>
        <w:rFonts w:hint="default"/>
      </w:rPr>
    </w:lvl>
    <w:lvl w:ilvl="4">
      <w:start w:val="1"/>
      <w:numFmt w:val="bullet"/>
      <w:lvlText w:val="•"/>
      <w:lvlJc w:val="left"/>
      <w:pPr>
        <w:ind w:left="1212" w:hanging="138"/>
      </w:pPr>
      <w:rPr>
        <w:rFonts w:hint="default"/>
      </w:rPr>
    </w:lvl>
    <w:lvl w:ilvl="5">
      <w:start w:val="1"/>
      <w:numFmt w:val="bullet"/>
      <w:lvlText w:val="•"/>
      <w:lvlJc w:val="left"/>
      <w:pPr>
        <w:ind w:left="1446" w:hanging="138"/>
      </w:pPr>
      <w:rPr>
        <w:rFonts w:hint="default"/>
      </w:rPr>
    </w:lvl>
    <w:lvl w:ilvl="6">
      <w:start w:val="1"/>
      <w:numFmt w:val="bullet"/>
      <w:lvlText w:val="•"/>
      <w:lvlJc w:val="left"/>
      <w:pPr>
        <w:ind w:left="1679" w:hanging="138"/>
      </w:pPr>
      <w:rPr>
        <w:rFonts w:hint="default"/>
      </w:rPr>
    </w:lvl>
    <w:lvl w:ilvl="7">
      <w:start w:val="1"/>
      <w:numFmt w:val="bullet"/>
      <w:lvlText w:val="•"/>
      <w:lvlJc w:val="left"/>
      <w:pPr>
        <w:ind w:left="1912" w:hanging="138"/>
      </w:pPr>
      <w:rPr>
        <w:rFonts w:hint="default"/>
      </w:rPr>
    </w:lvl>
    <w:lvl w:ilvl="8">
      <w:start w:val="1"/>
      <w:numFmt w:val="bullet"/>
      <w:lvlText w:val="•"/>
      <w:lvlJc w:val="left"/>
      <w:pPr>
        <w:ind w:left="2145" w:hanging="138"/>
      </w:pPr>
      <w:rPr>
        <w:rFonts w:hint="default"/>
      </w:rPr>
    </w:lvl>
  </w:abstractNum>
  <w:abstractNum w:abstractNumId="23">
    <w:multiLevelType w:val="hybridMultilevel"/>
    <w:lvl w:ilvl="0">
      <w:start w:val="1"/>
      <w:numFmt w:val="bullet"/>
      <w:lvlText w:val=""/>
      <w:lvlJc w:val="left"/>
      <w:pPr>
        <w:ind w:left="280" w:hanging="138"/>
      </w:pPr>
      <w:rPr>
        <w:rFonts w:hint="default" w:ascii="Symbol" w:hAnsi="Symbol" w:eastAsia="Symbol" w:cs="Symbol"/>
        <w:w w:val="133"/>
        <w:sz w:val="12"/>
        <w:szCs w:val="12"/>
      </w:rPr>
    </w:lvl>
    <w:lvl w:ilvl="1">
      <w:start w:val="1"/>
      <w:numFmt w:val="bullet"/>
      <w:lvlText w:val="•"/>
      <w:lvlJc w:val="left"/>
      <w:pPr>
        <w:ind w:left="513" w:hanging="138"/>
      </w:pPr>
      <w:rPr>
        <w:rFonts w:hint="default"/>
      </w:rPr>
    </w:lvl>
    <w:lvl w:ilvl="2">
      <w:start w:val="1"/>
      <w:numFmt w:val="bullet"/>
      <w:lvlText w:val="•"/>
      <w:lvlJc w:val="left"/>
      <w:pPr>
        <w:ind w:left="746" w:hanging="138"/>
      </w:pPr>
      <w:rPr>
        <w:rFonts w:hint="default"/>
      </w:rPr>
    </w:lvl>
    <w:lvl w:ilvl="3">
      <w:start w:val="1"/>
      <w:numFmt w:val="bullet"/>
      <w:lvlText w:val="•"/>
      <w:lvlJc w:val="left"/>
      <w:pPr>
        <w:ind w:left="979" w:hanging="138"/>
      </w:pPr>
      <w:rPr>
        <w:rFonts w:hint="default"/>
      </w:rPr>
    </w:lvl>
    <w:lvl w:ilvl="4">
      <w:start w:val="1"/>
      <w:numFmt w:val="bullet"/>
      <w:lvlText w:val="•"/>
      <w:lvlJc w:val="left"/>
      <w:pPr>
        <w:ind w:left="1212" w:hanging="138"/>
      </w:pPr>
      <w:rPr>
        <w:rFonts w:hint="default"/>
      </w:rPr>
    </w:lvl>
    <w:lvl w:ilvl="5">
      <w:start w:val="1"/>
      <w:numFmt w:val="bullet"/>
      <w:lvlText w:val="•"/>
      <w:lvlJc w:val="left"/>
      <w:pPr>
        <w:ind w:left="1445" w:hanging="138"/>
      </w:pPr>
      <w:rPr>
        <w:rFonts w:hint="default"/>
      </w:rPr>
    </w:lvl>
    <w:lvl w:ilvl="6">
      <w:start w:val="1"/>
      <w:numFmt w:val="bullet"/>
      <w:lvlText w:val="•"/>
      <w:lvlJc w:val="left"/>
      <w:pPr>
        <w:ind w:left="1678" w:hanging="138"/>
      </w:pPr>
      <w:rPr>
        <w:rFonts w:hint="default"/>
      </w:rPr>
    </w:lvl>
    <w:lvl w:ilvl="7">
      <w:start w:val="1"/>
      <w:numFmt w:val="bullet"/>
      <w:lvlText w:val="•"/>
      <w:lvlJc w:val="left"/>
      <w:pPr>
        <w:ind w:left="1911" w:hanging="138"/>
      </w:pPr>
      <w:rPr>
        <w:rFonts w:hint="default"/>
      </w:rPr>
    </w:lvl>
    <w:lvl w:ilvl="8">
      <w:start w:val="1"/>
      <w:numFmt w:val="bullet"/>
      <w:lvlText w:val="•"/>
      <w:lvlJc w:val="left"/>
      <w:pPr>
        <w:ind w:left="2144" w:hanging="138"/>
      </w:pPr>
      <w:rPr>
        <w:rFonts w:hint="default"/>
      </w:rPr>
    </w:lvl>
  </w:abstractNum>
  <w:abstractNum w:abstractNumId="22">
    <w:multiLevelType w:val="hybridMultilevel"/>
    <w:lvl w:ilvl="0">
      <w:start w:val="1"/>
      <w:numFmt w:val="decimal"/>
      <w:lvlText w:val="%1."/>
      <w:lvlJc w:val="left"/>
      <w:pPr>
        <w:ind w:left="529" w:hanging="360"/>
        <w:jc w:val="left"/>
      </w:pPr>
      <w:rPr>
        <w:rFonts w:hint="default" w:ascii="Arial" w:hAnsi="Arial" w:eastAsia="Arial" w:cs="Arial"/>
        <w:spacing w:val="-3"/>
        <w:w w:val="99"/>
        <w:sz w:val="18"/>
        <w:szCs w:val="18"/>
      </w:rPr>
    </w:lvl>
    <w:lvl w:ilvl="1">
      <w:start w:val="1"/>
      <w:numFmt w:val="decimal"/>
      <w:lvlText w:val="%2."/>
      <w:lvlJc w:val="left"/>
      <w:pPr>
        <w:ind w:left="1095" w:hanging="360"/>
        <w:jc w:val="left"/>
      </w:pPr>
      <w:rPr>
        <w:rFonts w:hint="default" w:ascii="Arial" w:hAnsi="Arial" w:eastAsia="Arial" w:cs="Arial"/>
        <w:spacing w:val="-3"/>
        <w:w w:val="99"/>
        <w:sz w:val="18"/>
        <w:szCs w:val="18"/>
      </w:rPr>
    </w:lvl>
    <w:lvl w:ilvl="2">
      <w:start w:val="1"/>
      <w:numFmt w:val="bullet"/>
      <w:lvlText w:val="•"/>
      <w:lvlJc w:val="left"/>
      <w:pPr>
        <w:ind w:left="1984" w:hanging="360"/>
      </w:pPr>
      <w:rPr>
        <w:rFonts w:hint="default"/>
      </w:rPr>
    </w:lvl>
    <w:lvl w:ilvl="3">
      <w:start w:val="1"/>
      <w:numFmt w:val="bullet"/>
      <w:lvlText w:val="•"/>
      <w:lvlJc w:val="left"/>
      <w:pPr>
        <w:ind w:left="2868" w:hanging="360"/>
      </w:pPr>
      <w:rPr>
        <w:rFonts w:hint="default"/>
      </w:rPr>
    </w:lvl>
    <w:lvl w:ilvl="4">
      <w:start w:val="1"/>
      <w:numFmt w:val="bullet"/>
      <w:lvlText w:val="•"/>
      <w:lvlJc w:val="left"/>
      <w:pPr>
        <w:ind w:left="3753" w:hanging="360"/>
      </w:pPr>
      <w:rPr>
        <w:rFonts w:hint="default"/>
      </w:rPr>
    </w:lvl>
    <w:lvl w:ilvl="5">
      <w:start w:val="1"/>
      <w:numFmt w:val="bullet"/>
      <w:lvlText w:val="•"/>
      <w:lvlJc w:val="left"/>
      <w:pPr>
        <w:ind w:left="4637" w:hanging="360"/>
      </w:pPr>
      <w:rPr>
        <w:rFonts w:hint="default"/>
      </w:rPr>
    </w:lvl>
    <w:lvl w:ilvl="6">
      <w:start w:val="1"/>
      <w:numFmt w:val="bullet"/>
      <w:lvlText w:val="•"/>
      <w:lvlJc w:val="left"/>
      <w:pPr>
        <w:ind w:left="5522" w:hanging="360"/>
      </w:pPr>
      <w:rPr>
        <w:rFonts w:hint="default"/>
      </w:rPr>
    </w:lvl>
    <w:lvl w:ilvl="7">
      <w:start w:val="1"/>
      <w:numFmt w:val="bullet"/>
      <w:lvlText w:val="•"/>
      <w:lvlJc w:val="left"/>
      <w:pPr>
        <w:ind w:left="6406" w:hanging="360"/>
      </w:pPr>
      <w:rPr>
        <w:rFonts w:hint="default"/>
      </w:rPr>
    </w:lvl>
    <w:lvl w:ilvl="8">
      <w:start w:val="1"/>
      <w:numFmt w:val="bullet"/>
      <w:lvlText w:val="•"/>
      <w:lvlJc w:val="left"/>
      <w:pPr>
        <w:ind w:left="7291" w:hanging="360"/>
      </w:pPr>
      <w:rPr>
        <w:rFonts w:hint="default"/>
      </w:rPr>
    </w:lvl>
  </w:abstractNum>
  <w:abstractNum w:abstractNumId="21">
    <w:multiLevelType w:val="hybridMultilevel"/>
    <w:lvl w:ilvl="0">
      <w:start w:val="1"/>
      <w:numFmt w:val="lowerLetter"/>
      <w:lvlText w:val="%1)"/>
      <w:lvlJc w:val="left"/>
      <w:pPr>
        <w:ind w:left="529" w:hanging="360"/>
        <w:jc w:val="left"/>
      </w:pPr>
      <w:rPr>
        <w:rFonts w:hint="default" w:ascii="Arial" w:hAnsi="Arial" w:eastAsia="Arial" w:cs="Arial"/>
        <w:b/>
        <w:bCs/>
        <w:w w:val="99"/>
        <w:sz w:val="24"/>
        <w:szCs w:val="24"/>
      </w:rPr>
    </w:lvl>
    <w:lvl w:ilvl="1">
      <w:start w:val="1"/>
      <w:numFmt w:val="bullet"/>
      <w:lvlText w:val="•"/>
      <w:lvlJc w:val="left"/>
      <w:pPr>
        <w:ind w:left="1374" w:hanging="360"/>
      </w:pPr>
      <w:rPr>
        <w:rFonts w:hint="default"/>
      </w:rPr>
    </w:lvl>
    <w:lvl w:ilvl="2">
      <w:start w:val="1"/>
      <w:numFmt w:val="bullet"/>
      <w:lvlText w:val="•"/>
      <w:lvlJc w:val="left"/>
      <w:pPr>
        <w:ind w:left="2228" w:hanging="360"/>
      </w:pPr>
      <w:rPr>
        <w:rFonts w:hint="default"/>
      </w:rPr>
    </w:lvl>
    <w:lvl w:ilvl="3">
      <w:start w:val="1"/>
      <w:numFmt w:val="bullet"/>
      <w:lvlText w:val="•"/>
      <w:lvlJc w:val="left"/>
      <w:pPr>
        <w:ind w:left="3082" w:hanging="360"/>
      </w:pPr>
      <w:rPr>
        <w:rFonts w:hint="default"/>
      </w:rPr>
    </w:lvl>
    <w:lvl w:ilvl="4">
      <w:start w:val="1"/>
      <w:numFmt w:val="bullet"/>
      <w:lvlText w:val="•"/>
      <w:lvlJc w:val="left"/>
      <w:pPr>
        <w:ind w:left="3936" w:hanging="360"/>
      </w:pPr>
      <w:rPr>
        <w:rFonts w:hint="default"/>
      </w:rPr>
    </w:lvl>
    <w:lvl w:ilvl="5">
      <w:start w:val="1"/>
      <w:numFmt w:val="bullet"/>
      <w:lvlText w:val="•"/>
      <w:lvlJc w:val="left"/>
      <w:pPr>
        <w:ind w:left="479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98" w:hanging="360"/>
      </w:pPr>
      <w:rPr>
        <w:rFonts w:hint="default"/>
      </w:rPr>
    </w:lvl>
    <w:lvl w:ilvl="8">
      <w:start w:val="1"/>
      <w:numFmt w:val="bullet"/>
      <w:lvlText w:val="•"/>
      <w:lvlJc w:val="left"/>
      <w:pPr>
        <w:ind w:left="7352" w:hanging="360"/>
      </w:pPr>
      <w:rPr>
        <w:rFonts w:hint="default"/>
      </w:rPr>
    </w:lvl>
  </w:abstractNum>
  <w:abstractNum w:abstractNumId="20">
    <w:multiLevelType w:val="hybridMultilevel"/>
    <w:lvl w:ilvl="0">
      <w:start w:val="6"/>
      <w:numFmt w:val="upperRoman"/>
      <w:lvlText w:val="%1."/>
      <w:lvlJc w:val="left"/>
      <w:pPr>
        <w:ind w:left="668" w:hanging="298"/>
        <w:jc w:val="left"/>
      </w:pPr>
      <w:rPr>
        <w:rFonts w:hint="default" w:ascii="Arial" w:hAnsi="Arial" w:eastAsia="Arial" w:cs="Arial"/>
        <w:w w:val="100"/>
        <w:sz w:val="18"/>
        <w:szCs w:val="18"/>
      </w:rPr>
    </w:lvl>
    <w:lvl w:ilvl="1">
      <w:start w:val="2"/>
      <w:numFmt w:val="upperRoman"/>
      <w:lvlText w:val="%2."/>
      <w:lvlJc w:val="left"/>
      <w:pPr>
        <w:ind w:left="810" w:hanging="192"/>
        <w:jc w:val="left"/>
      </w:pPr>
      <w:rPr>
        <w:rFonts w:hint="default" w:ascii="Arial" w:hAnsi="Arial" w:eastAsia="Arial" w:cs="Arial"/>
        <w:w w:val="100"/>
        <w:sz w:val="18"/>
        <w:szCs w:val="18"/>
      </w:rPr>
    </w:lvl>
    <w:lvl w:ilvl="2">
      <w:start w:val="1"/>
      <w:numFmt w:val="bullet"/>
      <w:lvlText w:val="•"/>
      <w:lvlJc w:val="left"/>
      <w:pPr>
        <w:ind w:left="1735" w:hanging="192"/>
      </w:pPr>
      <w:rPr>
        <w:rFonts w:hint="default"/>
      </w:rPr>
    </w:lvl>
    <w:lvl w:ilvl="3">
      <w:start w:val="1"/>
      <w:numFmt w:val="bullet"/>
      <w:lvlText w:val="•"/>
      <w:lvlJc w:val="left"/>
      <w:pPr>
        <w:ind w:left="2651" w:hanging="192"/>
      </w:pPr>
      <w:rPr>
        <w:rFonts w:hint="default"/>
      </w:rPr>
    </w:lvl>
    <w:lvl w:ilvl="4">
      <w:start w:val="1"/>
      <w:numFmt w:val="bullet"/>
      <w:lvlText w:val="•"/>
      <w:lvlJc w:val="left"/>
      <w:pPr>
        <w:ind w:left="3566" w:hanging="192"/>
      </w:pPr>
      <w:rPr>
        <w:rFonts w:hint="default"/>
      </w:rPr>
    </w:lvl>
    <w:lvl w:ilvl="5">
      <w:start w:val="1"/>
      <w:numFmt w:val="bullet"/>
      <w:lvlText w:val="•"/>
      <w:lvlJc w:val="left"/>
      <w:pPr>
        <w:ind w:left="4482" w:hanging="192"/>
      </w:pPr>
      <w:rPr>
        <w:rFonts w:hint="default"/>
      </w:rPr>
    </w:lvl>
    <w:lvl w:ilvl="6">
      <w:start w:val="1"/>
      <w:numFmt w:val="bullet"/>
      <w:lvlText w:val="•"/>
      <w:lvlJc w:val="left"/>
      <w:pPr>
        <w:ind w:left="5397" w:hanging="192"/>
      </w:pPr>
      <w:rPr>
        <w:rFonts w:hint="default"/>
      </w:rPr>
    </w:lvl>
    <w:lvl w:ilvl="7">
      <w:start w:val="1"/>
      <w:numFmt w:val="bullet"/>
      <w:lvlText w:val="•"/>
      <w:lvlJc w:val="left"/>
      <w:pPr>
        <w:ind w:left="6313" w:hanging="192"/>
      </w:pPr>
      <w:rPr>
        <w:rFonts w:hint="default"/>
      </w:rPr>
    </w:lvl>
    <w:lvl w:ilvl="8">
      <w:start w:val="1"/>
      <w:numFmt w:val="bullet"/>
      <w:lvlText w:val="•"/>
      <w:lvlJc w:val="left"/>
      <w:pPr>
        <w:ind w:left="7228" w:hanging="192"/>
      </w:pPr>
      <w:rPr>
        <w:rFonts w:hint="default"/>
      </w:rPr>
    </w:lvl>
  </w:abstractNum>
  <w:abstractNum w:abstractNumId="19">
    <w:multiLevelType w:val="hybridMultilevel"/>
    <w:lvl w:ilvl="0">
      <w:start w:val="1"/>
      <w:numFmt w:val="upperRoman"/>
      <w:lvlText w:val="%1."/>
      <w:lvlJc w:val="left"/>
      <w:pPr>
        <w:ind w:left="688" w:hanging="166"/>
        <w:jc w:val="right"/>
      </w:pPr>
      <w:rPr>
        <w:rFonts w:hint="default" w:ascii="Arial" w:hAnsi="Arial" w:eastAsia="Arial" w:cs="Arial"/>
        <w:w w:val="100"/>
        <w:sz w:val="18"/>
        <w:szCs w:val="18"/>
      </w:rPr>
    </w:lvl>
    <w:lvl w:ilvl="1">
      <w:start w:val="1"/>
      <w:numFmt w:val="bullet"/>
      <w:lvlText w:val="•"/>
      <w:lvlJc w:val="left"/>
      <w:pPr>
        <w:ind w:left="1180" w:hanging="166"/>
      </w:pPr>
      <w:rPr>
        <w:rFonts w:hint="default"/>
      </w:rPr>
    </w:lvl>
    <w:lvl w:ilvl="2">
      <w:start w:val="1"/>
      <w:numFmt w:val="bullet"/>
      <w:lvlText w:val="•"/>
      <w:lvlJc w:val="left"/>
      <w:pPr>
        <w:ind w:left="2053" w:hanging="166"/>
      </w:pPr>
      <w:rPr>
        <w:rFonts w:hint="default"/>
      </w:rPr>
    </w:lvl>
    <w:lvl w:ilvl="3">
      <w:start w:val="1"/>
      <w:numFmt w:val="bullet"/>
      <w:lvlText w:val="•"/>
      <w:lvlJc w:val="left"/>
      <w:pPr>
        <w:ind w:left="2926" w:hanging="166"/>
      </w:pPr>
      <w:rPr>
        <w:rFonts w:hint="default"/>
      </w:rPr>
    </w:lvl>
    <w:lvl w:ilvl="4">
      <w:start w:val="1"/>
      <w:numFmt w:val="bullet"/>
      <w:lvlText w:val="•"/>
      <w:lvlJc w:val="left"/>
      <w:pPr>
        <w:ind w:left="3800" w:hanging="166"/>
      </w:pPr>
      <w:rPr>
        <w:rFonts w:hint="default"/>
      </w:rPr>
    </w:lvl>
    <w:lvl w:ilvl="5">
      <w:start w:val="1"/>
      <w:numFmt w:val="bullet"/>
      <w:lvlText w:val="•"/>
      <w:lvlJc w:val="left"/>
      <w:pPr>
        <w:ind w:left="4673" w:hanging="166"/>
      </w:pPr>
      <w:rPr>
        <w:rFonts w:hint="default"/>
      </w:rPr>
    </w:lvl>
    <w:lvl w:ilvl="6">
      <w:start w:val="1"/>
      <w:numFmt w:val="bullet"/>
      <w:lvlText w:val="•"/>
      <w:lvlJc w:val="left"/>
      <w:pPr>
        <w:ind w:left="5546" w:hanging="166"/>
      </w:pPr>
      <w:rPr>
        <w:rFonts w:hint="default"/>
      </w:rPr>
    </w:lvl>
    <w:lvl w:ilvl="7">
      <w:start w:val="1"/>
      <w:numFmt w:val="bullet"/>
      <w:lvlText w:val="•"/>
      <w:lvlJc w:val="left"/>
      <w:pPr>
        <w:ind w:left="6420" w:hanging="166"/>
      </w:pPr>
      <w:rPr>
        <w:rFonts w:hint="default"/>
      </w:rPr>
    </w:lvl>
    <w:lvl w:ilvl="8">
      <w:start w:val="1"/>
      <w:numFmt w:val="bullet"/>
      <w:lvlText w:val="•"/>
      <w:lvlJc w:val="left"/>
      <w:pPr>
        <w:ind w:left="7293" w:hanging="166"/>
      </w:pPr>
      <w:rPr>
        <w:rFonts w:hint="default"/>
      </w:rPr>
    </w:lvl>
  </w:abstractNum>
  <w:abstractNum w:abstractNumId="18">
    <w:multiLevelType w:val="hybridMultilevel"/>
    <w:lvl w:ilvl="0">
      <w:start w:val="2"/>
      <w:numFmt w:val="decimal"/>
      <w:lvlText w:val="%1"/>
      <w:lvlJc w:val="left"/>
      <w:pPr>
        <w:ind w:left="549" w:hanging="440"/>
        <w:jc w:val="left"/>
      </w:pPr>
      <w:rPr>
        <w:rFonts w:hint="default"/>
      </w:rPr>
    </w:lvl>
    <w:lvl w:ilvl="1">
      <w:start w:val="2"/>
      <w:numFmt w:val="decimal"/>
      <w:lvlText w:val="%1.%2"/>
      <w:lvlJc w:val="left"/>
      <w:pPr>
        <w:ind w:left="549" w:hanging="440"/>
        <w:jc w:val="left"/>
      </w:pPr>
      <w:rPr>
        <w:rFonts w:hint="default" w:ascii="Arial" w:hAnsi="Arial" w:eastAsia="Arial" w:cs="Arial"/>
        <w:b/>
        <w:bCs/>
        <w:spacing w:val="-29"/>
        <w:w w:val="99"/>
        <w:sz w:val="24"/>
        <w:szCs w:val="24"/>
      </w:rPr>
    </w:lvl>
    <w:lvl w:ilvl="2">
      <w:start w:val="1"/>
      <w:numFmt w:val="decimal"/>
      <w:lvlText w:val="%1.%2.%3"/>
      <w:lvlJc w:val="left"/>
      <w:pPr>
        <w:ind w:left="830" w:hanging="720"/>
        <w:jc w:val="left"/>
      </w:pPr>
      <w:rPr>
        <w:rFonts w:hint="default" w:ascii="Arial" w:hAnsi="Arial" w:eastAsia="Arial" w:cs="Arial"/>
        <w:b/>
        <w:bCs/>
        <w:spacing w:val="-2"/>
        <w:w w:val="99"/>
        <w:sz w:val="24"/>
        <w:szCs w:val="24"/>
      </w:rPr>
    </w:lvl>
    <w:lvl w:ilvl="3">
      <w:start w:val="1"/>
      <w:numFmt w:val="upperLetter"/>
      <w:lvlText w:val="%4."/>
      <w:lvlJc w:val="left"/>
      <w:pPr>
        <w:ind w:left="688" w:hanging="850"/>
        <w:jc w:val="left"/>
      </w:pPr>
      <w:rPr>
        <w:rFonts w:hint="default" w:ascii="Arial" w:hAnsi="Arial" w:eastAsia="Arial" w:cs="Arial"/>
        <w:spacing w:val="-1"/>
        <w:w w:val="100"/>
        <w:sz w:val="18"/>
        <w:szCs w:val="18"/>
      </w:rPr>
    </w:lvl>
    <w:lvl w:ilvl="4">
      <w:start w:val="1"/>
      <w:numFmt w:val="bullet"/>
      <w:lvlText w:val="•"/>
      <w:lvlJc w:val="left"/>
      <w:pPr>
        <w:ind w:left="2895" w:hanging="850"/>
      </w:pPr>
      <w:rPr>
        <w:rFonts w:hint="default"/>
      </w:rPr>
    </w:lvl>
    <w:lvl w:ilvl="5">
      <w:start w:val="1"/>
      <w:numFmt w:val="bullet"/>
      <w:lvlText w:val="•"/>
      <w:lvlJc w:val="left"/>
      <w:pPr>
        <w:ind w:left="3922" w:hanging="850"/>
      </w:pPr>
      <w:rPr>
        <w:rFonts w:hint="default"/>
      </w:rPr>
    </w:lvl>
    <w:lvl w:ilvl="6">
      <w:start w:val="1"/>
      <w:numFmt w:val="bullet"/>
      <w:lvlText w:val="•"/>
      <w:lvlJc w:val="left"/>
      <w:pPr>
        <w:ind w:left="4950" w:hanging="850"/>
      </w:pPr>
      <w:rPr>
        <w:rFonts w:hint="default"/>
      </w:rPr>
    </w:lvl>
    <w:lvl w:ilvl="7">
      <w:start w:val="1"/>
      <w:numFmt w:val="bullet"/>
      <w:lvlText w:val="•"/>
      <w:lvlJc w:val="left"/>
      <w:pPr>
        <w:ind w:left="5977" w:hanging="850"/>
      </w:pPr>
      <w:rPr>
        <w:rFonts w:hint="default"/>
      </w:rPr>
    </w:lvl>
    <w:lvl w:ilvl="8">
      <w:start w:val="1"/>
      <w:numFmt w:val="bullet"/>
      <w:lvlText w:val="•"/>
      <w:lvlJc w:val="left"/>
      <w:pPr>
        <w:ind w:left="7005" w:hanging="850"/>
      </w:pPr>
      <w:rPr>
        <w:rFonts w:hint="default"/>
      </w:rPr>
    </w:lvl>
  </w:abstractNum>
  <w:abstractNum w:abstractNumId="17">
    <w:multiLevelType w:val="hybridMultilevel"/>
    <w:lvl w:ilvl="0">
      <w:start w:val="1"/>
      <w:numFmt w:val="decimal"/>
      <w:lvlText w:val="%1."/>
      <w:lvlJc w:val="left"/>
      <w:pPr>
        <w:ind w:left="529" w:hanging="360"/>
        <w:jc w:val="left"/>
      </w:pPr>
      <w:rPr>
        <w:rFonts w:hint="default" w:ascii="Arial" w:hAnsi="Arial" w:eastAsia="Arial" w:cs="Arial"/>
        <w:spacing w:val="-3"/>
        <w:w w:val="99"/>
        <w:sz w:val="24"/>
        <w:szCs w:val="24"/>
      </w:rPr>
    </w:lvl>
    <w:lvl w:ilvl="1">
      <w:start w:val="1"/>
      <w:numFmt w:val="bullet"/>
      <w:lvlText w:val="•"/>
      <w:lvlJc w:val="left"/>
      <w:pPr>
        <w:ind w:left="1374" w:hanging="360"/>
      </w:pPr>
      <w:rPr>
        <w:rFonts w:hint="default"/>
      </w:rPr>
    </w:lvl>
    <w:lvl w:ilvl="2">
      <w:start w:val="1"/>
      <w:numFmt w:val="bullet"/>
      <w:lvlText w:val="•"/>
      <w:lvlJc w:val="left"/>
      <w:pPr>
        <w:ind w:left="2228" w:hanging="360"/>
      </w:pPr>
      <w:rPr>
        <w:rFonts w:hint="default"/>
      </w:rPr>
    </w:lvl>
    <w:lvl w:ilvl="3">
      <w:start w:val="1"/>
      <w:numFmt w:val="bullet"/>
      <w:lvlText w:val="•"/>
      <w:lvlJc w:val="left"/>
      <w:pPr>
        <w:ind w:left="3082" w:hanging="360"/>
      </w:pPr>
      <w:rPr>
        <w:rFonts w:hint="default"/>
      </w:rPr>
    </w:lvl>
    <w:lvl w:ilvl="4">
      <w:start w:val="1"/>
      <w:numFmt w:val="bullet"/>
      <w:lvlText w:val="•"/>
      <w:lvlJc w:val="left"/>
      <w:pPr>
        <w:ind w:left="3936" w:hanging="360"/>
      </w:pPr>
      <w:rPr>
        <w:rFonts w:hint="default"/>
      </w:rPr>
    </w:lvl>
    <w:lvl w:ilvl="5">
      <w:start w:val="1"/>
      <w:numFmt w:val="bullet"/>
      <w:lvlText w:val="•"/>
      <w:lvlJc w:val="left"/>
      <w:pPr>
        <w:ind w:left="479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98" w:hanging="360"/>
      </w:pPr>
      <w:rPr>
        <w:rFonts w:hint="default"/>
      </w:rPr>
    </w:lvl>
    <w:lvl w:ilvl="8">
      <w:start w:val="1"/>
      <w:numFmt w:val="bullet"/>
      <w:lvlText w:val="•"/>
      <w:lvlJc w:val="left"/>
      <w:pPr>
        <w:ind w:left="7352" w:hanging="360"/>
      </w:pPr>
      <w:rPr>
        <w:rFonts w:hint="default"/>
      </w:rPr>
    </w:lvl>
  </w:abstractNum>
  <w:abstractNum w:abstractNumId="16">
    <w:multiLevelType w:val="hybridMultilevel"/>
    <w:lvl w:ilvl="0">
      <w:start w:val="1"/>
      <w:numFmt w:val="decimal"/>
      <w:lvlText w:val="%1."/>
      <w:lvlJc w:val="left"/>
      <w:pPr>
        <w:ind w:left="549" w:hanging="360"/>
        <w:jc w:val="left"/>
      </w:pPr>
      <w:rPr>
        <w:rFonts w:hint="default" w:ascii="Arial" w:hAnsi="Arial" w:eastAsia="Arial" w:cs="Arial"/>
        <w:spacing w:val="-4"/>
        <w:w w:val="99"/>
        <w:sz w:val="24"/>
        <w:szCs w:val="24"/>
      </w:rPr>
    </w:lvl>
    <w:lvl w:ilvl="1">
      <w:start w:val="1"/>
      <w:numFmt w:val="bullet"/>
      <w:lvlText w:val="•"/>
      <w:lvlJc w:val="left"/>
      <w:pPr>
        <w:ind w:left="1392" w:hanging="360"/>
      </w:pPr>
      <w:rPr>
        <w:rFonts w:hint="default"/>
      </w:rPr>
    </w:lvl>
    <w:lvl w:ilvl="2">
      <w:start w:val="1"/>
      <w:numFmt w:val="bullet"/>
      <w:lvlText w:val="•"/>
      <w:lvlJc w:val="left"/>
      <w:pPr>
        <w:ind w:left="2244" w:hanging="360"/>
      </w:pPr>
      <w:rPr>
        <w:rFonts w:hint="default"/>
      </w:rPr>
    </w:lvl>
    <w:lvl w:ilvl="3">
      <w:start w:val="1"/>
      <w:numFmt w:val="bullet"/>
      <w:lvlText w:val="•"/>
      <w:lvlJc w:val="left"/>
      <w:pPr>
        <w:ind w:left="3096" w:hanging="360"/>
      </w:pPr>
      <w:rPr>
        <w:rFonts w:hint="default"/>
      </w:rPr>
    </w:lvl>
    <w:lvl w:ilvl="4">
      <w:start w:val="1"/>
      <w:numFmt w:val="bullet"/>
      <w:lvlText w:val="•"/>
      <w:lvlJc w:val="left"/>
      <w:pPr>
        <w:ind w:left="3948"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52" w:hanging="360"/>
      </w:pPr>
      <w:rPr>
        <w:rFonts w:hint="default"/>
      </w:rPr>
    </w:lvl>
    <w:lvl w:ilvl="7">
      <w:start w:val="1"/>
      <w:numFmt w:val="bullet"/>
      <w:lvlText w:val="•"/>
      <w:lvlJc w:val="left"/>
      <w:pPr>
        <w:ind w:left="6504" w:hanging="360"/>
      </w:pPr>
      <w:rPr>
        <w:rFonts w:hint="default"/>
      </w:rPr>
    </w:lvl>
    <w:lvl w:ilvl="8">
      <w:start w:val="1"/>
      <w:numFmt w:val="bullet"/>
      <w:lvlText w:val="•"/>
      <w:lvlJc w:val="left"/>
      <w:pPr>
        <w:ind w:left="7356" w:hanging="360"/>
      </w:pPr>
      <w:rPr>
        <w:rFonts w:hint="default"/>
      </w:rPr>
    </w:lvl>
  </w:abstractNum>
  <w:abstractNum w:abstractNumId="15">
    <w:multiLevelType w:val="hybridMultilevel"/>
    <w:lvl w:ilvl="0">
      <w:start w:val="1"/>
      <w:numFmt w:val="decimal"/>
      <w:lvlText w:val="%1"/>
      <w:lvlJc w:val="left"/>
      <w:pPr>
        <w:ind w:left="1538" w:hanging="1428"/>
        <w:jc w:val="left"/>
      </w:pPr>
      <w:rPr>
        <w:rFonts w:hint="default"/>
      </w:rPr>
    </w:lvl>
    <w:lvl w:ilvl="1">
      <w:start w:val="4"/>
      <w:numFmt w:val="decimal"/>
      <w:lvlText w:val="%1.%2"/>
      <w:lvlJc w:val="left"/>
      <w:pPr>
        <w:ind w:left="1538" w:hanging="1428"/>
        <w:jc w:val="left"/>
      </w:pPr>
      <w:rPr>
        <w:rFonts w:hint="default"/>
      </w:rPr>
    </w:lvl>
    <w:lvl w:ilvl="2">
      <w:start w:val="2"/>
      <w:numFmt w:val="decimal"/>
      <w:lvlText w:val="%1.%2.%3"/>
      <w:lvlJc w:val="left"/>
      <w:pPr>
        <w:ind w:left="1538" w:hanging="1428"/>
        <w:jc w:val="left"/>
      </w:pPr>
      <w:rPr>
        <w:rFonts w:hint="default"/>
      </w:rPr>
    </w:lvl>
    <w:lvl w:ilvl="3">
      <w:start w:val="5"/>
      <w:numFmt w:val="decimal"/>
      <w:lvlText w:val="%1.%2.%3.%4"/>
      <w:lvlJc w:val="left"/>
      <w:pPr>
        <w:ind w:left="1538" w:hanging="1428"/>
        <w:jc w:val="left"/>
      </w:pPr>
      <w:rPr>
        <w:rFonts w:hint="default" w:ascii="Arial" w:hAnsi="Arial" w:eastAsia="Arial" w:cs="Arial"/>
        <w:b/>
        <w:bCs/>
        <w:spacing w:val="-6"/>
        <w:w w:val="99"/>
        <w:sz w:val="24"/>
        <w:szCs w:val="24"/>
      </w:rPr>
    </w:lvl>
    <w:lvl w:ilvl="4">
      <w:start w:val="1"/>
      <w:numFmt w:val="bullet"/>
      <w:lvlText w:val="•"/>
      <w:lvlJc w:val="left"/>
      <w:pPr>
        <w:ind w:left="4556" w:hanging="1428"/>
      </w:pPr>
      <w:rPr>
        <w:rFonts w:hint="default"/>
      </w:rPr>
    </w:lvl>
    <w:lvl w:ilvl="5">
      <w:start w:val="1"/>
      <w:numFmt w:val="bullet"/>
      <w:lvlText w:val="•"/>
      <w:lvlJc w:val="left"/>
      <w:pPr>
        <w:ind w:left="5310" w:hanging="1428"/>
      </w:pPr>
      <w:rPr>
        <w:rFonts w:hint="default"/>
      </w:rPr>
    </w:lvl>
    <w:lvl w:ilvl="6">
      <w:start w:val="1"/>
      <w:numFmt w:val="bullet"/>
      <w:lvlText w:val="•"/>
      <w:lvlJc w:val="left"/>
      <w:pPr>
        <w:ind w:left="6064" w:hanging="1428"/>
      </w:pPr>
      <w:rPr>
        <w:rFonts w:hint="default"/>
      </w:rPr>
    </w:lvl>
    <w:lvl w:ilvl="7">
      <w:start w:val="1"/>
      <w:numFmt w:val="bullet"/>
      <w:lvlText w:val="•"/>
      <w:lvlJc w:val="left"/>
      <w:pPr>
        <w:ind w:left="6818" w:hanging="1428"/>
      </w:pPr>
      <w:rPr>
        <w:rFonts w:hint="default"/>
      </w:rPr>
    </w:lvl>
    <w:lvl w:ilvl="8">
      <w:start w:val="1"/>
      <w:numFmt w:val="bullet"/>
      <w:lvlText w:val="•"/>
      <w:lvlJc w:val="left"/>
      <w:pPr>
        <w:ind w:left="7572" w:hanging="1428"/>
      </w:pPr>
      <w:rPr>
        <w:rFonts w:hint="default"/>
      </w:rPr>
    </w:lvl>
  </w:abstractNum>
  <w:abstractNum w:abstractNumId="14">
    <w:multiLevelType w:val="hybridMultilevel"/>
    <w:lvl w:ilvl="0">
      <w:start w:val="1"/>
      <w:numFmt w:val="lowerLetter"/>
      <w:lvlText w:val="%1)"/>
      <w:lvlJc w:val="left"/>
      <w:pPr>
        <w:ind w:left="549" w:hanging="360"/>
        <w:jc w:val="left"/>
      </w:pPr>
      <w:rPr>
        <w:rFonts w:hint="default" w:ascii="Arial" w:hAnsi="Arial" w:eastAsia="Arial" w:cs="Arial"/>
        <w:w w:val="99"/>
        <w:sz w:val="24"/>
        <w:szCs w:val="24"/>
      </w:rPr>
    </w:lvl>
    <w:lvl w:ilvl="1">
      <w:start w:val="1"/>
      <w:numFmt w:val="bullet"/>
      <w:lvlText w:val="•"/>
      <w:lvlJc w:val="left"/>
      <w:pPr>
        <w:ind w:left="1394" w:hanging="360"/>
      </w:pPr>
      <w:rPr>
        <w:rFonts w:hint="default"/>
      </w:rPr>
    </w:lvl>
    <w:lvl w:ilvl="2">
      <w:start w:val="1"/>
      <w:numFmt w:val="bullet"/>
      <w:lvlText w:val="•"/>
      <w:lvlJc w:val="left"/>
      <w:pPr>
        <w:ind w:left="2248" w:hanging="360"/>
      </w:pPr>
      <w:rPr>
        <w:rFonts w:hint="default"/>
      </w:rPr>
    </w:lvl>
    <w:lvl w:ilvl="3">
      <w:start w:val="1"/>
      <w:numFmt w:val="bullet"/>
      <w:lvlText w:val="•"/>
      <w:lvlJc w:val="left"/>
      <w:pPr>
        <w:ind w:left="3102" w:hanging="360"/>
      </w:pPr>
      <w:rPr>
        <w:rFonts w:hint="default"/>
      </w:rPr>
    </w:lvl>
    <w:lvl w:ilvl="4">
      <w:start w:val="1"/>
      <w:numFmt w:val="bullet"/>
      <w:lvlText w:val="•"/>
      <w:lvlJc w:val="left"/>
      <w:pPr>
        <w:ind w:left="3956" w:hanging="360"/>
      </w:pPr>
      <w:rPr>
        <w:rFonts w:hint="default"/>
      </w:rPr>
    </w:lvl>
    <w:lvl w:ilvl="5">
      <w:start w:val="1"/>
      <w:numFmt w:val="bullet"/>
      <w:lvlText w:val="•"/>
      <w:lvlJc w:val="left"/>
      <w:pPr>
        <w:ind w:left="4810" w:hanging="360"/>
      </w:pPr>
      <w:rPr>
        <w:rFonts w:hint="default"/>
      </w:rPr>
    </w:lvl>
    <w:lvl w:ilvl="6">
      <w:start w:val="1"/>
      <w:numFmt w:val="bullet"/>
      <w:lvlText w:val="•"/>
      <w:lvlJc w:val="left"/>
      <w:pPr>
        <w:ind w:left="5664" w:hanging="360"/>
      </w:pPr>
      <w:rPr>
        <w:rFonts w:hint="default"/>
      </w:rPr>
    </w:lvl>
    <w:lvl w:ilvl="7">
      <w:start w:val="1"/>
      <w:numFmt w:val="bullet"/>
      <w:lvlText w:val="•"/>
      <w:lvlJc w:val="left"/>
      <w:pPr>
        <w:ind w:left="6518" w:hanging="360"/>
      </w:pPr>
      <w:rPr>
        <w:rFonts w:hint="default"/>
      </w:rPr>
    </w:lvl>
    <w:lvl w:ilvl="8">
      <w:start w:val="1"/>
      <w:numFmt w:val="bullet"/>
      <w:lvlText w:val="•"/>
      <w:lvlJc w:val="left"/>
      <w:pPr>
        <w:ind w:left="7372" w:hanging="360"/>
      </w:pPr>
      <w:rPr>
        <w:rFonts w:hint="default"/>
      </w:rPr>
    </w:lvl>
  </w:abstractNum>
  <w:abstractNum w:abstractNumId="13">
    <w:multiLevelType w:val="hybridMultilevel"/>
    <w:lvl w:ilvl="0">
      <w:start w:val="1"/>
      <w:numFmt w:val="decimal"/>
      <w:lvlText w:val="%1"/>
      <w:lvlJc w:val="left"/>
      <w:pPr>
        <w:ind w:left="830" w:hanging="720"/>
        <w:jc w:val="left"/>
      </w:pPr>
      <w:rPr>
        <w:rFonts w:hint="default"/>
      </w:rPr>
    </w:lvl>
    <w:lvl w:ilvl="1">
      <w:start w:val="4"/>
      <w:numFmt w:val="decimal"/>
      <w:lvlText w:val="%1.%2"/>
      <w:lvlJc w:val="left"/>
      <w:pPr>
        <w:ind w:left="830" w:hanging="720"/>
        <w:jc w:val="left"/>
      </w:pPr>
      <w:rPr>
        <w:rFonts w:hint="default"/>
      </w:rPr>
    </w:lvl>
    <w:lvl w:ilvl="2">
      <w:start w:val="2"/>
      <w:numFmt w:val="decimal"/>
      <w:lvlText w:val="%1.%2.%3"/>
      <w:lvlJc w:val="left"/>
      <w:pPr>
        <w:ind w:left="830" w:hanging="720"/>
        <w:jc w:val="left"/>
      </w:pPr>
      <w:rPr>
        <w:rFonts w:hint="default" w:ascii="Arial" w:hAnsi="Arial" w:eastAsia="Arial" w:cs="Arial"/>
        <w:b/>
        <w:bCs/>
        <w:spacing w:val="-2"/>
        <w:w w:val="99"/>
        <w:sz w:val="24"/>
        <w:szCs w:val="24"/>
      </w:rPr>
    </w:lvl>
    <w:lvl w:ilvl="3">
      <w:start w:val="1"/>
      <w:numFmt w:val="decimal"/>
      <w:lvlText w:val="%1.%2.%3.%4"/>
      <w:lvlJc w:val="left"/>
      <w:pPr>
        <w:ind w:left="1538" w:hanging="1428"/>
        <w:jc w:val="left"/>
      </w:pPr>
      <w:rPr>
        <w:rFonts w:hint="default" w:ascii="Arial" w:hAnsi="Arial" w:eastAsia="Arial" w:cs="Arial"/>
        <w:b/>
        <w:bCs/>
        <w:spacing w:val="-7"/>
        <w:w w:val="99"/>
        <w:sz w:val="24"/>
        <w:szCs w:val="24"/>
      </w:rPr>
    </w:lvl>
    <w:lvl w:ilvl="4">
      <w:start w:val="1"/>
      <w:numFmt w:val="bullet"/>
      <w:lvlText w:val="•"/>
      <w:lvlJc w:val="left"/>
      <w:pPr>
        <w:ind w:left="4053" w:hanging="1428"/>
      </w:pPr>
      <w:rPr>
        <w:rFonts w:hint="default"/>
      </w:rPr>
    </w:lvl>
    <w:lvl w:ilvl="5">
      <w:start w:val="1"/>
      <w:numFmt w:val="bullet"/>
      <w:lvlText w:val="•"/>
      <w:lvlJc w:val="left"/>
      <w:pPr>
        <w:ind w:left="4891" w:hanging="1428"/>
      </w:pPr>
      <w:rPr>
        <w:rFonts w:hint="default"/>
      </w:rPr>
    </w:lvl>
    <w:lvl w:ilvl="6">
      <w:start w:val="1"/>
      <w:numFmt w:val="bullet"/>
      <w:lvlText w:val="•"/>
      <w:lvlJc w:val="left"/>
      <w:pPr>
        <w:ind w:left="5728" w:hanging="1428"/>
      </w:pPr>
      <w:rPr>
        <w:rFonts w:hint="default"/>
      </w:rPr>
    </w:lvl>
    <w:lvl w:ilvl="7">
      <w:start w:val="1"/>
      <w:numFmt w:val="bullet"/>
      <w:lvlText w:val="•"/>
      <w:lvlJc w:val="left"/>
      <w:pPr>
        <w:ind w:left="6566" w:hanging="1428"/>
      </w:pPr>
      <w:rPr>
        <w:rFonts w:hint="default"/>
      </w:rPr>
    </w:lvl>
    <w:lvl w:ilvl="8">
      <w:start w:val="1"/>
      <w:numFmt w:val="bullet"/>
      <w:lvlText w:val="•"/>
      <w:lvlJc w:val="left"/>
      <w:pPr>
        <w:ind w:left="7404" w:hanging="1428"/>
      </w:pPr>
      <w:rPr>
        <w:rFonts w:hint="default"/>
      </w:rPr>
    </w:lvl>
  </w:abstractNum>
  <w:abstractNum w:abstractNumId="12">
    <w:multiLevelType w:val="hybridMultilevel"/>
    <w:lvl w:ilvl="0">
      <w:start w:val="1"/>
      <w:numFmt w:val="decimal"/>
      <w:lvlText w:val="%1"/>
      <w:lvlJc w:val="left"/>
      <w:pPr>
        <w:ind w:left="549" w:hanging="437"/>
        <w:jc w:val="left"/>
      </w:pPr>
      <w:rPr>
        <w:rFonts w:hint="default"/>
      </w:rPr>
    </w:lvl>
    <w:lvl w:ilvl="1">
      <w:start w:val="4"/>
      <w:numFmt w:val="decimal"/>
      <w:lvlText w:val="%1.%2"/>
      <w:lvlJc w:val="left"/>
      <w:pPr>
        <w:ind w:left="549" w:hanging="437"/>
        <w:jc w:val="left"/>
      </w:pPr>
      <w:rPr>
        <w:rFonts w:hint="default" w:ascii="Arial" w:hAnsi="Arial" w:eastAsia="Arial" w:cs="Arial"/>
        <w:b/>
        <w:bCs/>
        <w:spacing w:val="-31"/>
        <w:w w:val="99"/>
        <w:sz w:val="24"/>
        <w:szCs w:val="24"/>
      </w:rPr>
    </w:lvl>
    <w:lvl w:ilvl="2">
      <w:start w:val="1"/>
      <w:numFmt w:val="decimal"/>
      <w:lvlText w:val="%1.%2.%3"/>
      <w:lvlJc w:val="left"/>
      <w:pPr>
        <w:ind w:left="830" w:hanging="720"/>
        <w:jc w:val="left"/>
      </w:pPr>
      <w:rPr>
        <w:rFonts w:hint="default" w:ascii="Arial" w:hAnsi="Arial" w:eastAsia="Arial" w:cs="Arial"/>
        <w:b/>
        <w:bCs/>
        <w:spacing w:val="-2"/>
        <w:w w:val="99"/>
        <w:sz w:val="24"/>
        <w:szCs w:val="24"/>
      </w:rPr>
    </w:lvl>
    <w:lvl w:ilvl="3">
      <w:start w:val="1"/>
      <w:numFmt w:val="decimal"/>
      <w:lvlText w:val="%1.%2.%3.%4"/>
      <w:lvlJc w:val="left"/>
      <w:pPr>
        <w:ind w:left="1538" w:hanging="1428"/>
        <w:jc w:val="left"/>
      </w:pPr>
      <w:rPr>
        <w:rFonts w:hint="default" w:ascii="Arial" w:hAnsi="Arial" w:eastAsia="Arial" w:cs="Arial"/>
        <w:b/>
        <w:bCs/>
        <w:spacing w:val="-4"/>
        <w:w w:val="99"/>
        <w:sz w:val="24"/>
        <w:szCs w:val="24"/>
      </w:rPr>
    </w:lvl>
    <w:lvl w:ilvl="4">
      <w:start w:val="1"/>
      <w:numFmt w:val="bullet"/>
      <w:lvlText w:val="•"/>
      <w:lvlJc w:val="left"/>
      <w:pPr>
        <w:ind w:left="3425" w:hanging="1428"/>
      </w:pPr>
      <w:rPr>
        <w:rFonts w:hint="default"/>
      </w:rPr>
    </w:lvl>
    <w:lvl w:ilvl="5">
      <w:start w:val="1"/>
      <w:numFmt w:val="bullet"/>
      <w:lvlText w:val="•"/>
      <w:lvlJc w:val="left"/>
      <w:pPr>
        <w:ind w:left="4367" w:hanging="1428"/>
      </w:pPr>
      <w:rPr>
        <w:rFonts w:hint="default"/>
      </w:rPr>
    </w:lvl>
    <w:lvl w:ilvl="6">
      <w:start w:val="1"/>
      <w:numFmt w:val="bullet"/>
      <w:lvlText w:val="•"/>
      <w:lvlJc w:val="left"/>
      <w:pPr>
        <w:ind w:left="5310" w:hanging="1428"/>
      </w:pPr>
      <w:rPr>
        <w:rFonts w:hint="default"/>
      </w:rPr>
    </w:lvl>
    <w:lvl w:ilvl="7">
      <w:start w:val="1"/>
      <w:numFmt w:val="bullet"/>
      <w:lvlText w:val="•"/>
      <w:lvlJc w:val="left"/>
      <w:pPr>
        <w:ind w:left="6252" w:hanging="1428"/>
      </w:pPr>
      <w:rPr>
        <w:rFonts w:hint="default"/>
      </w:rPr>
    </w:lvl>
    <w:lvl w:ilvl="8">
      <w:start w:val="1"/>
      <w:numFmt w:val="bullet"/>
      <w:lvlText w:val="•"/>
      <w:lvlJc w:val="left"/>
      <w:pPr>
        <w:ind w:left="7195" w:hanging="1428"/>
      </w:pPr>
      <w:rPr>
        <w:rFonts w:hint="default"/>
      </w:rPr>
    </w:lvl>
  </w:abstractNum>
  <w:abstractNum w:abstractNumId="11">
    <w:multiLevelType w:val="hybridMultilevel"/>
    <w:lvl w:ilvl="0">
      <w:start w:val="1"/>
      <w:numFmt w:val="bullet"/>
      <w:lvlText w:val=""/>
      <w:lvlJc w:val="left"/>
      <w:pPr>
        <w:ind w:left="549" w:hanging="360"/>
      </w:pPr>
      <w:rPr>
        <w:rFonts w:hint="default" w:ascii="Symbol" w:hAnsi="Symbol" w:eastAsia="Symbol" w:cs="Symbol"/>
        <w:w w:val="100"/>
        <w:sz w:val="24"/>
        <w:szCs w:val="24"/>
      </w:rPr>
    </w:lvl>
    <w:lvl w:ilvl="1">
      <w:start w:val="1"/>
      <w:numFmt w:val="bullet"/>
      <w:lvlText w:val="•"/>
      <w:lvlJc w:val="left"/>
      <w:pPr>
        <w:ind w:left="1394" w:hanging="360"/>
      </w:pPr>
      <w:rPr>
        <w:rFonts w:hint="default"/>
      </w:rPr>
    </w:lvl>
    <w:lvl w:ilvl="2">
      <w:start w:val="1"/>
      <w:numFmt w:val="bullet"/>
      <w:lvlText w:val="•"/>
      <w:lvlJc w:val="left"/>
      <w:pPr>
        <w:ind w:left="2248" w:hanging="360"/>
      </w:pPr>
      <w:rPr>
        <w:rFonts w:hint="default"/>
      </w:rPr>
    </w:lvl>
    <w:lvl w:ilvl="3">
      <w:start w:val="1"/>
      <w:numFmt w:val="bullet"/>
      <w:lvlText w:val="•"/>
      <w:lvlJc w:val="left"/>
      <w:pPr>
        <w:ind w:left="3102" w:hanging="360"/>
      </w:pPr>
      <w:rPr>
        <w:rFonts w:hint="default"/>
      </w:rPr>
    </w:lvl>
    <w:lvl w:ilvl="4">
      <w:start w:val="1"/>
      <w:numFmt w:val="bullet"/>
      <w:lvlText w:val="•"/>
      <w:lvlJc w:val="left"/>
      <w:pPr>
        <w:ind w:left="3956" w:hanging="360"/>
      </w:pPr>
      <w:rPr>
        <w:rFonts w:hint="default"/>
      </w:rPr>
    </w:lvl>
    <w:lvl w:ilvl="5">
      <w:start w:val="1"/>
      <w:numFmt w:val="bullet"/>
      <w:lvlText w:val="•"/>
      <w:lvlJc w:val="left"/>
      <w:pPr>
        <w:ind w:left="4810" w:hanging="360"/>
      </w:pPr>
      <w:rPr>
        <w:rFonts w:hint="default"/>
      </w:rPr>
    </w:lvl>
    <w:lvl w:ilvl="6">
      <w:start w:val="1"/>
      <w:numFmt w:val="bullet"/>
      <w:lvlText w:val="•"/>
      <w:lvlJc w:val="left"/>
      <w:pPr>
        <w:ind w:left="5664" w:hanging="360"/>
      </w:pPr>
      <w:rPr>
        <w:rFonts w:hint="default"/>
      </w:rPr>
    </w:lvl>
    <w:lvl w:ilvl="7">
      <w:start w:val="1"/>
      <w:numFmt w:val="bullet"/>
      <w:lvlText w:val="•"/>
      <w:lvlJc w:val="left"/>
      <w:pPr>
        <w:ind w:left="6518" w:hanging="360"/>
      </w:pPr>
      <w:rPr>
        <w:rFonts w:hint="default"/>
      </w:rPr>
    </w:lvl>
    <w:lvl w:ilvl="8">
      <w:start w:val="1"/>
      <w:numFmt w:val="bullet"/>
      <w:lvlText w:val="•"/>
      <w:lvlJc w:val="left"/>
      <w:pPr>
        <w:ind w:left="7372" w:hanging="360"/>
      </w:pPr>
      <w:rPr>
        <w:rFonts w:hint="default"/>
      </w:rPr>
    </w:lvl>
  </w:abstractNum>
  <w:abstractNum w:abstractNumId="10">
    <w:multiLevelType w:val="hybridMultilevel"/>
    <w:lvl w:ilvl="0">
      <w:start w:val="1"/>
      <w:numFmt w:val="decimal"/>
      <w:lvlText w:val="%1)"/>
      <w:lvlJc w:val="left"/>
      <w:pPr>
        <w:ind w:left="529" w:hanging="360"/>
        <w:jc w:val="left"/>
      </w:pPr>
      <w:rPr>
        <w:rFonts w:hint="default" w:ascii="Arial" w:hAnsi="Arial" w:eastAsia="Arial" w:cs="Arial"/>
        <w:w w:val="99"/>
        <w:sz w:val="18"/>
        <w:szCs w:val="18"/>
      </w:rPr>
    </w:lvl>
    <w:lvl w:ilvl="1">
      <w:start w:val="1"/>
      <w:numFmt w:val="bullet"/>
      <w:lvlText w:val="•"/>
      <w:lvlJc w:val="left"/>
      <w:pPr>
        <w:ind w:left="1374" w:hanging="360"/>
      </w:pPr>
      <w:rPr>
        <w:rFonts w:hint="default"/>
      </w:rPr>
    </w:lvl>
    <w:lvl w:ilvl="2">
      <w:start w:val="1"/>
      <w:numFmt w:val="bullet"/>
      <w:lvlText w:val="•"/>
      <w:lvlJc w:val="left"/>
      <w:pPr>
        <w:ind w:left="2228" w:hanging="360"/>
      </w:pPr>
      <w:rPr>
        <w:rFonts w:hint="default"/>
      </w:rPr>
    </w:lvl>
    <w:lvl w:ilvl="3">
      <w:start w:val="1"/>
      <w:numFmt w:val="bullet"/>
      <w:lvlText w:val="•"/>
      <w:lvlJc w:val="left"/>
      <w:pPr>
        <w:ind w:left="3082" w:hanging="360"/>
      </w:pPr>
      <w:rPr>
        <w:rFonts w:hint="default"/>
      </w:rPr>
    </w:lvl>
    <w:lvl w:ilvl="4">
      <w:start w:val="1"/>
      <w:numFmt w:val="bullet"/>
      <w:lvlText w:val="•"/>
      <w:lvlJc w:val="left"/>
      <w:pPr>
        <w:ind w:left="3936" w:hanging="360"/>
      </w:pPr>
      <w:rPr>
        <w:rFonts w:hint="default"/>
      </w:rPr>
    </w:lvl>
    <w:lvl w:ilvl="5">
      <w:start w:val="1"/>
      <w:numFmt w:val="bullet"/>
      <w:lvlText w:val="•"/>
      <w:lvlJc w:val="left"/>
      <w:pPr>
        <w:ind w:left="479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98" w:hanging="360"/>
      </w:pPr>
      <w:rPr>
        <w:rFonts w:hint="default"/>
      </w:rPr>
    </w:lvl>
    <w:lvl w:ilvl="8">
      <w:start w:val="1"/>
      <w:numFmt w:val="bullet"/>
      <w:lvlText w:val="•"/>
      <w:lvlJc w:val="left"/>
      <w:pPr>
        <w:ind w:left="7352" w:hanging="360"/>
      </w:pPr>
      <w:rPr>
        <w:rFonts w:hint="default"/>
      </w:rPr>
    </w:lvl>
  </w:abstractNum>
  <w:abstractNum w:abstractNumId="9">
    <w:multiLevelType w:val="hybridMultilevel"/>
    <w:lvl w:ilvl="0">
      <w:start w:val="1"/>
      <w:numFmt w:val="decimal"/>
      <w:lvlText w:val="%1."/>
      <w:lvlJc w:val="left"/>
      <w:pPr>
        <w:ind w:left="529" w:hanging="360"/>
        <w:jc w:val="left"/>
      </w:pPr>
      <w:rPr>
        <w:rFonts w:hint="default" w:ascii="Arial" w:hAnsi="Arial" w:eastAsia="Arial" w:cs="Arial"/>
        <w:spacing w:val="-3"/>
        <w:w w:val="99"/>
        <w:sz w:val="24"/>
        <w:szCs w:val="24"/>
      </w:rPr>
    </w:lvl>
    <w:lvl w:ilvl="1">
      <w:start w:val="1"/>
      <w:numFmt w:val="decimal"/>
      <w:lvlText w:val="%2."/>
      <w:lvlJc w:val="left"/>
      <w:pPr>
        <w:ind w:left="954" w:hanging="360"/>
        <w:jc w:val="left"/>
      </w:pPr>
      <w:rPr>
        <w:rFonts w:hint="default" w:ascii="Arial" w:hAnsi="Arial" w:eastAsia="Arial" w:cs="Arial"/>
        <w:spacing w:val="-9"/>
        <w:w w:val="99"/>
        <w:sz w:val="18"/>
        <w:szCs w:val="18"/>
      </w:rPr>
    </w:lvl>
    <w:lvl w:ilvl="2">
      <w:start w:val="1"/>
      <w:numFmt w:val="bullet"/>
      <w:lvlText w:val="•"/>
      <w:lvlJc w:val="left"/>
      <w:pPr>
        <w:ind w:left="1860" w:hanging="360"/>
      </w:pPr>
      <w:rPr>
        <w:rFonts w:hint="default"/>
      </w:rPr>
    </w:lvl>
    <w:lvl w:ilvl="3">
      <w:start w:val="1"/>
      <w:numFmt w:val="bullet"/>
      <w:lvlText w:val="•"/>
      <w:lvlJc w:val="left"/>
      <w:pPr>
        <w:ind w:left="2760" w:hanging="360"/>
      </w:pPr>
      <w:rPr>
        <w:rFonts w:hint="default"/>
      </w:rPr>
    </w:lvl>
    <w:lvl w:ilvl="4">
      <w:start w:val="1"/>
      <w:numFmt w:val="bullet"/>
      <w:lvlText w:val="•"/>
      <w:lvlJc w:val="left"/>
      <w:pPr>
        <w:ind w:left="3660" w:hanging="360"/>
      </w:pPr>
      <w:rPr>
        <w:rFonts w:hint="default"/>
      </w:rPr>
    </w:lvl>
    <w:lvl w:ilvl="5">
      <w:start w:val="1"/>
      <w:numFmt w:val="bullet"/>
      <w:lvlText w:val="•"/>
      <w:lvlJc w:val="left"/>
      <w:pPr>
        <w:ind w:left="4560" w:hanging="360"/>
      </w:pPr>
      <w:rPr>
        <w:rFonts w:hint="default"/>
      </w:rPr>
    </w:lvl>
    <w:lvl w:ilvl="6">
      <w:start w:val="1"/>
      <w:numFmt w:val="bullet"/>
      <w:lvlText w:val="•"/>
      <w:lvlJc w:val="left"/>
      <w:pPr>
        <w:ind w:left="5460" w:hanging="360"/>
      </w:pPr>
      <w:rPr>
        <w:rFonts w:hint="default"/>
      </w:rPr>
    </w:lvl>
    <w:lvl w:ilvl="7">
      <w:start w:val="1"/>
      <w:numFmt w:val="bullet"/>
      <w:lvlText w:val="•"/>
      <w:lvlJc w:val="left"/>
      <w:pPr>
        <w:ind w:left="6360" w:hanging="360"/>
      </w:pPr>
      <w:rPr>
        <w:rFonts w:hint="default"/>
      </w:rPr>
    </w:lvl>
    <w:lvl w:ilvl="8">
      <w:start w:val="1"/>
      <w:numFmt w:val="bullet"/>
      <w:lvlText w:val="•"/>
      <w:lvlJc w:val="left"/>
      <w:pPr>
        <w:ind w:left="7260" w:hanging="360"/>
      </w:pPr>
      <w:rPr>
        <w:rFonts w:hint="default"/>
      </w:rPr>
    </w:lvl>
  </w:abstractNum>
  <w:abstractNum w:abstractNumId="8">
    <w:multiLevelType w:val="hybridMultilevel"/>
    <w:lvl w:ilvl="0">
      <w:start w:val="1"/>
      <w:numFmt w:val="decimal"/>
      <w:lvlText w:val="%1."/>
      <w:lvlJc w:val="left"/>
      <w:pPr>
        <w:ind w:left="549" w:hanging="360"/>
        <w:jc w:val="left"/>
      </w:pPr>
      <w:rPr>
        <w:rFonts w:hint="default" w:ascii="Arial" w:hAnsi="Arial" w:eastAsia="Arial" w:cs="Arial"/>
        <w:spacing w:val="-4"/>
        <w:w w:val="99"/>
        <w:sz w:val="24"/>
        <w:szCs w:val="24"/>
      </w:rPr>
    </w:lvl>
    <w:lvl w:ilvl="1">
      <w:start w:val="1"/>
      <w:numFmt w:val="bullet"/>
      <w:lvlText w:val="•"/>
      <w:lvlJc w:val="left"/>
      <w:pPr>
        <w:ind w:left="1394" w:hanging="360"/>
      </w:pPr>
      <w:rPr>
        <w:rFonts w:hint="default"/>
      </w:rPr>
    </w:lvl>
    <w:lvl w:ilvl="2">
      <w:start w:val="1"/>
      <w:numFmt w:val="bullet"/>
      <w:lvlText w:val="•"/>
      <w:lvlJc w:val="left"/>
      <w:pPr>
        <w:ind w:left="2248" w:hanging="360"/>
      </w:pPr>
      <w:rPr>
        <w:rFonts w:hint="default"/>
      </w:rPr>
    </w:lvl>
    <w:lvl w:ilvl="3">
      <w:start w:val="1"/>
      <w:numFmt w:val="bullet"/>
      <w:lvlText w:val="•"/>
      <w:lvlJc w:val="left"/>
      <w:pPr>
        <w:ind w:left="3102" w:hanging="360"/>
      </w:pPr>
      <w:rPr>
        <w:rFonts w:hint="default"/>
      </w:rPr>
    </w:lvl>
    <w:lvl w:ilvl="4">
      <w:start w:val="1"/>
      <w:numFmt w:val="bullet"/>
      <w:lvlText w:val="•"/>
      <w:lvlJc w:val="left"/>
      <w:pPr>
        <w:ind w:left="3956" w:hanging="360"/>
      </w:pPr>
      <w:rPr>
        <w:rFonts w:hint="default"/>
      </w:rPr>
    </w:lvl>
    <w:lvl w:ilvl="5">
      <w:start w:val="1"/>
      <w:numFmt w:val="bullet"/>
      <w:lvlText w:val="•"/>
      <w:lvlJc w:val="left"/>
      <w:pPr>
        <w:ind w:left="4810" w:hanging="360"/>
      </w:pPr>
      <w:rPr>
        <w:rFonts w:hint="default"/>
      </w:rPr>
    </w:lvl>
    <w:lvl w:ilvl="6">
      <w:start w:val="1"/>
      <w:numFmt w:val="bullet"/>
      <w:lvlText w:val="•"/>
      <w:lvlJc w:val="left"/>
      <w:pPr>
        <w:ind w:left="5664" w:hanging="360"/>
      </w:pPr>
      <w:rPr>
        <w:rFonts w:hint="default"/>
      </w:rPr>
    </w:lvl>
    <w:lvl w:ilvl="7">
      <w:start w:val="1"/>
      <w:numFmt w:val="bullet"/>
      <w:lvlText w:val="•"/>
      <w:lvlJc w:val="left"/>
      <w:pPr>
        <w:ind w:left="6518" w:hanging="360"/>
      </w:pPr>
      <w:rPr>
        <w:rFonts w:hint="default"/>
      </w:rPr>
    </w:lvl>
    <w:lvl w:ilvl="8">
      <w:start w:val="1"/>
      <w:numFmt w:val="bullet"/>
      <w:lvlText w:val="•"/>
      <w:lvlJc w:val="left"/>
      <w:pPr>
        <w:ind w:left="7372" w:hanging="360"/>
      </w:pPr>
      <w:rPr>
        <w:rFonts w:hint="default"/>
      </w:rPr>
    </w:lvl>
  </w:abstractNum>
  <w:abstractNum w:abstractNumId="7">
    <w:multiLevelType w:val="hybridMultilevel"/>
    <w:lvl w:ilvl="0">
      <w:start w:val="11"/>
      <w:numFmt w:val="decimal"/>
      <w:lvlText w:val="%1"/>
      <w:lvlJc w:val="left"/>
      <w:pPr>
        <w:ind w:left="122" w:hanging="183"/>
        <w:jc w:val="left"/>
      </w:pPr>
      <w:rPr>
        <w:rFonts w:hint="default"/>
        <w:spacing w:val="-1"/>
        <w:w w:val="99"/>
        <w:position w:val="6"/>
      </w:rPr>
    </w:lvl>
    <w:lvl w:ilvl="1">
      <w:start w:val="1"/>
      <w:numFmt w:val="bullet"/>
      <w:lvlText w:val="•"/>
      <w:lvlJc w:val="left"/>
      <w:pPr>
        <w:ind w:left="1016" w:hanging="183"/>
      </w:pPr>
      <w:rPr>
        <w:rFonts w:hint="default"/>
      </w:rPr>
    </w:lvl>
    <w:lvl w:ilvl="2">
      <w:start w:val="1"/>
      <w:numFmt w:val="bullet"/>
      <w:lvlText w:val="•"/>
      <w:lvlJc w:val="left"/>
      <w:pPr>
        <w:ind w:left="1912" w:hanging="183"/>
      </w:pPr>
      <w:rPr>
        <w:rFonts w:hint="default"/>
      </w:rPr>
    </w:lvl>
    <w:lvl w:ilvl="3">
      <w:start w:val="1"/>
      <w:numFmt w:val="bullet"/>
      <w:lvlText w:val="•"/>
      <w:lvlJc w:val="left"/>
      <w:pPr>
        <w:ind w:left="2808" w:hanging="183"/>
      </w:pPr>
      <w:rPr>
        <w:rFonts w:hint="default"/>
      </w:rPr>
    </w:lvl>
    <w:lvl w:ilvl="4">
      <w:start w:val="1"/>
      <w:numFmt w:val="bullet"/>
      <w:lvlText w:val="•"/>
      <w:lvlJc w:val="left"/>
      <w:pPr>
        <w:ind w:left="3704" w:hanging="183"/>
      </w:pPr>
      <w:rPr>
        <w:rFonts w:hint="default"/>
      </w:rPr>
    </w:lvl>
    <w:lvl w:ilvl="5">
      <w:start w:val="1"/>
      <w:numFmt w:val="bullet"/>
      <w:lvlText w:val="•"/>
      <w:lvlJc w:val="left"/>
      <w:pPr>
        <w:ind w:left="4600" w:hanging="183"/>
      </w:pPr>
      <w:rPr>
        <w:rFonts w:hint="default"/>
      </w:rPr>
    </w:lvl>
    <w:lvl w:ilvl="6">
      <w:start w:val="1"/>
      <w:numFmt w:val="bullet"/>
      <w:lvlText w:val="•"/>
      <w:lvlJc w:val="left"/>
      <w:pPr>
        <w:ind w:left="5496" w:hanging="183"/>
      </w:pPr>
      <w:rPr>
        <w:rFonts w:hint="default"/>
      </w:rPr>
    </w:lvl>
    <w:lvl w:ilvl="7">
      <w:start w:val="1"/>
      <w:numFmt w:val="bullet"/>
      <w:lvlText w:val="•"/>
      <w:lvlJc w:val="left"/>
      <w:pPr>
        <w:ind w:left="6392" w:hanging="183"/>
      </w:pPr>
      <w:rPr>
        <w:rFonts w:hint="default"/>
      </w:rPr>
    </w:lvl>
    <w:lvl w:ilvl="8">
      <w:start w:val="1"/>
      <w:numFmt w:val="bullet"/>
      <w:lvlText w:val="•"/>
      <w:lvlJc w:val="left"/>
      <w:pPr>
        <w:ind w:left="7288" w:hanging="183"/>
      </w:pPr>
      <w:rPr>
        <w:rFonts w:hint="default"/>
      </w:rPr>
    </w:lvl>
  </w:abstractNum>
  <w:abstractNum w:abstractNumId="6">
    <w:multiLevelType w:val="hybridMultilevel"/>
    <w:lvl w:ilvl="0">
      <w:start w:val="1"/>
      <w:numFmt w:val="decimal"/>
      <w:lvlText w:val="%1"/>
      <w:lvlJc w:val="left"/>
      <w:pPr>
        <w:ind w:left="1538" w:hanging="1428"/>
        <w:jc w:val="left"/>
      </w:pPr>
      <w:rPr>
        <w:rFonts w:hint="default"/>
      </w:rPr>
    </w:lvl>
    <w:lvl w:ilvl="1">
      <w:start w:val="2"/>
      <w:numFmt w:val="decimal"/>
      <w:lvlText w:val="%1.%2"/>
      <w:lvlJc w:val="left"/>
      <w:pPr>
        <w:ind w:left="1538" w:hanging="1428"/>
        <w:jc w:val="left"/>
      </w:pPr>
      <w:rPr>
        <w:rFonts w:hint="default"/>
      </w:rPr>
    </w:lvl>
    <w:lvl w:ilvl="2">
      <w:start w:val="1"/>
      <w:numFmt w:val="decimal"/>
      <w:lvlText w:val="%1.%2.%3"/>
      <w:lvlJc w:val="left"/>
      <w:pPr>
        <w:ind w:left="830" w:hanging="720"/>
        <w:jc w:val="right"/>
      </w:pPr>
      <w:rPr>
        <w:rFonts w:hint="default"/>
        <w:b/>
        <w:bCs/>
        <w:spacing w:val="-2"/>
        <w:w w:val="99"/>
      </w:rPr>
    </w:lvl>
    <w:lvl w:ilvl="3">
      <w:start w:val="1"/>
      <w:numFmt w:val="decimal"/>
      <w:lvlText w:val="%1.%2.%3.%4"/>
      <w:lvlJc w:val="left"/>
      <w:pPr>
        <w:ind w:left="1538" w:hanging="720"/>
        <w:jc w:val="left"/>
      </w:pPr>
      <w:rPr>
        <w:rFonts w:hint="default" w:ascii="Arial" w:hAnsi="Arial" w:eastAsia="Arial" w:cs="Arial"/>
        <w:b/>
        <w:bCs/>
        <w:spacing w:val="-2"/>
        <w:w w:val="99"/>
        <w:sz w:val="24"/>
        <w:szCs w:val="24"/>
      </w:rPr>
    </w:lvl>
    <w:lvl w:ilvl="4">
      <w:start w:val="1"/>
      <w:numFmt w:val="bullet"/>
      <w:lvlText w:val="•"/>
      <w:lvlJc w:val="left"/>
      <w:pPr>
        <w:ind w:left="4053" w:hanging="720"/>
      </w:pPr>
      <w:rPr>
        <w:rFonts w:hint="default"/>
      </w:rPr>
    </w:lvl>
    <w:lvl w:ilvl="5">
      <w:start w:val="1"/>
      <w:numFmt w:val="bullet"/>
      <w:lvlText w:val="•"/>
      <w:lvlJc w:val="left"/>
      <w:pPr>
        <w:ind w:left="4891" w:hanging="720"/>
      </w:pPr>
      <w:rPr>
        <w:rFonts w:hint="default"/>
      </w:rPr>
    </w:lvl>
    <w:lvl w:ilvl="6">
      <w:start w:val="1"/>
      <w:numFmt w:val="bullet"/>
      <w:lvlText w:val="•"/>
      <w:lvlJc w:val="left"/>
      <w:pPr>
        <w:ind w:left="5728" w:hanging="720"/>
      </w:pPr>
      <w:rPr>
        <w:rFonts w:hint="default"/>
      </w:rPr>
    </w:lvl>
    <w:lvl w:ilvl="7">
      <w:start w:val="1"/>
      <w:numFmt w:val="bullet"/>
      <w:lvlText w:val="•"/>
      <w:lvlJc w:val="left"/>
      <w:pPr>
        <w:ind w:left="6566" w:hanging="720"/>
      </w:pPr>
      <w:rPr>
        <w:rFonts w:hint="default"/>
      </w:rPr>
    </w:lvl>
    <w:lvl w:ilvl="8">
      <w:start w:val="1"/>
      <w:numFmt w:val="bullet"/>
      <w:lvlText w:val="•"/>
      <w:lvlJc w:val="left"/>
      <w:pPr>
        <w:ind w:left="7404" w:hanging="720"/>
      </w:pPr>
      <w:rPr>
        <w:rFonts w:hint="default"/>
      </w:rPr>
    </w:lvl>
  </w:abstractNum>
  <w:abstractNum w:abstractNumId="5">
    <w:multiLevelType w:val="hybridMultilevel"/>
    <w:lvl w:ilvl="0">
      <w:start w:val="1"/>
      <w:numFmt w:val="decimal"/>
      <w:lvlText w:val="%1)"/>
      <w:lvlJc w:val="left"/>
      <w:pPr>
        <w:ind w:left="842" w:hanging="360"/>
        <w:jc w:val="left"/>
      </w:pPr>
      <w:rPr>
        <w:rFonts w:hint="default" w:ascii="Arial" w:hAnsi="Arial" w:eastAsia="Arial" w:cs="Arial"/>
        <w:w w:val="99"/>
        <w:sz w:val="24"/>
        <w:szCs w:val="24"/>
      </w:rPr>
    </w:lvl>
    <w:lvl w:ilvl="1">
      <w:start w:val="1"/>
      <w:numFmt w:val="bullet"/>
      <w:lvlText w:val="•"/>
      <w:lvlJc w:val="left"/>
      <w:pPr>
        <w:ind w:left="1664" w:hanging="360"/>
      </w:pPr>
      <w:rPr>
        <w:rFonts w:hint="default"/>
      </w:rPr>
    </w:lvl>
    <w:lvl w:ilvl="2">
      <w:start w:val="1"/>
      <w:numFmt w:val="bullet"/>
      <w:lvlText w:val="•"/>
      <w:lvlJc w:val="left"/>
      <w:pPr>
        <w:ind w:left="2488" w:hanging="360"/>
      </w:pPr>
      <w:rPr>
        <w:rFonts w:hint="default"/>
      </w:rPr>
    </w:lvl>
    <w:lvl w:ilvl="3">
      <w:start w:val="1"/>
      <w:numFmt w:val="bullet"/>
      <w:lvlText w:val="•"/>
      <w:lvlJc w:val="left"/>
      <w:pPr>
        <w:ind w:left="3312" w:hanging="360"/>
      </w:pPr>
      <w:rPr>
        <w:rFonts w:hint="default"/>
      </w:rPr>
    </w:lvl>
    <w:lvl w:ilvl="4">
      <w:start w:val="1"/>
      <w:numFmt w:val="bullet"/>
      <w:lvlText w:val="•"/>
      <w:lvlJc w:val="left"/>
      <w:pPr>
        <w:ind w:left="4136"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84" w:hanging="360"/>
      </w:pPr>
      <w:rPr>
        <w:rFonts w:hint="default"/>
      </w:rPr>
    </w:lvl>
    <w:lvl w:ilvl="7">
      <w:start w:val="1"/>
      <w:numFmt w:val="bullet"/>
      <w:lvlText w:val="•"/>
      <w:lvlJc w:val="left"/>
      <w:pPr>
        <w:ind w:left="6608" w:hanging="360"/>
      </w:pPr>
      <w:rPr>
        <w:rFonts w:hint="default"/>
      </w:rPr>
    </w:lvl>
    <w:lvl w:ilvl="8">
      <w:start w:val="1"/>
      <w:numFmt w:val="bullet"/>
      <w:lvlText w:val="•"/>
      <w:lvlJc w:val="left"/>
      <w:pPr>
        <w:ind w:left="7432" w:hanging="360"/>
      </w:pPr>
      <w:rPr>
        <w:rFonts w:hint="default"/>
      </w:rPr>
    </w:lvl>
  </w:abstractNum>
  <w:abstractNum w:abstractNumId="4">
    <w:multiLevelType w:val="hybridMultilevel"/>
    <w:lvl w:ilvl="0">
      <w:start w:val="1"/>
      <w:numFmt w:val="lowerLetter"/>
      <w:lvlText w:val="%1)"/>
      <w:lvlJc w:val="left"/>
      <w:pPr>
        <w:ind w:left="549" w:hanging="360"/>
        <w:jc w:val="left"/>
      </w:pPr>
      <w:rPr>
        <w:rFonts w:hint="default" w:ascii="Arial" w:hAnsi="Arial" w:eastAsia="Arial" w:cs="Arial"/>
        <w:b/>
        <w:bCs/>
        <w:w w:val="99"/>
        <w:sz w:val="24"/>
        <w:szCs w:val="24"/>
      </w:rPr>
    </w:lvl>
    <w:lvl w:ilvl="1">
      <w:start w:val="1"/>
      <w:numFmt w:val="bullet"/>
      <w:lvlText w:val=""/>
      <w:lvlJc w:val="left"/>
      <w:pPr>
        <w:ind w:left="954" w:hanging="492"/>
      </w:pPr>
      <w:rPr>
        <w:rFonts w:hint="default"/>
        <w:w w:val="100"/>
      </w:rPr>
    </w:lvl>
    <w:lvl w:ilvl="2">
      <w:start w:val="1"/>
      <w:numFmt w:val="bullet"/>
      <w:lvlText w:val="•"/>
      <w:lvlJc w:val="left"/>
      <w:pPr>
        <w:ind w:left="1860" w:hanging="492"/>
      </w:pPr>
      <w:rPr>
        <w:rFonts w:hint="default"/>
      </w:rPr>
    </w:lvl>
    <w:lvl w:ilvl="3">
      <w:start w:val="1"/>
      <w:numFmt w:val="bullet"/>
      <w:lvlText w:val="•"/>
      <w:lvlJc w:val="left"/>
      <w:pPr>
        <w:ind w:left="2760" w:hanging="492"/>
      </w:pPr>
      <w:rPr>
        <w:rFonts w:hint="default"/>
      </w:rPr>
    </w:lvl>
    <w:lvl w:ilvl="4">
      <w:start w:val="1"/>
      <w:numFmt w:val="bullet"/>
      <w:lvlText w:val="•"/>
      <w:lvlJc w:val="left"/>
      <w:pPr>
        <w:ind w:left="3660" w:hanging="492"/>
      </w:pPr>
      <w:rPr>
        <w:rFonts w:hint="default"/>
      </w:rPr>
    </w:lvl>
    <w:lvl w:ilvl="5">
      <w:start w:val="1"/>
      <w:numFmt w:val="bullet"/>
      <w:lvlText w:val="•"/>
      <w:lvlJc w:val="left"/>
      <w:pPr>
        <w:ind w:left="4560" w:hanging="492"/>
      </w:pPr>
      <w:rPr>
        <w:rFonts w:hint="default"/>
      </w:rPr>
    </w:lvl>
    <w:lvl w:ilvl="6">
      <w:start w:val="1"/>
      <w:numFmt w:val="bullet"/>
      <w:lvlText w:val="•"/>
      <w:lvlJc w:val="left"/>
      <w:pPr>
        <w:ind w:left="5460" w:hanging="492"/>
      </w:pPr>
      <w:rPr>
        <w:rFonts w:hint="default"/>
      </w:rPr>
    </w:lvl>
    <w:lvl w:ilvl="7">
      <w:start w:val="1"/>
      <w:numFmt w:val="bullet"/>
      <w:lvlText w:val="•"/>
      <w:lvlJc w:val="left"/>
      <w:pPr>
        <w:ind w:left="6360" w:hanging="492"/>
      </w:pPr>
      <w:rPr>
        <w:rFonts w:hint="default"/>
      </w:rPr>
    </w:lvl>
    <w:lvl w:ilvl="8">
      <w:start w:val="1"/>
      <w:numFmt w:val="bullet"/>
      <w:lvlText w:val="•"/>
      <w:lvlJc w:val="left"/>
      <w:pPr>
        <w:ind w:left="7260" w:hanging="492"/>
      </w:pPr>
      <w:rPr>
        <w:rFonts w:hint="default"/>
      </w:rPr>
    </w:lvl>
  </w:abstractNum>
  <w:abstractNum w:abstractNumId="3">
    <w:multiLevelType w:val="hybridMultilevel"/>
    <w:lvl w:ilvl="0">
      <w:start w:val="1"/>
      <w:numFmt w:val="decimal"/>
      <w:lvlText w:val="%1"/>
      <w:lvlJc w:val="left"/>
      <w:pPr>
        <w:ind w:left="549" w:hanging="437"/>
        <w:jc w:val="left"/>
      </w:pPr>
      <w:rPr>
        <w:rFonts w:hint="default"/>
      </w:rPr>
    </w:lvl>
    <w:lvl w:ilvl="1">
      <w:start w:val="1"/>
      <w:numFmt w:val="decimal"/>
      <w:lvlText w:val="%1.%2"/>
      <w:lvlJc w:val="left"/>
      <w:pPr>
        <w:ind w:left="549" w:hanging="437"/>
        <w:jc w:val="left"/>
      </w:pPr>
      <w:rPr>
        <w:rFonts w:hint="default" w:ascii="Arial" w:hAnsi="Arial" w:eastAsia="Arial" w:cs="Arial"/>
        <w:b/>
        <w:bCs/>
        <w:spacing w:val="-31"/>
        <w:w w:val="99"/>
        <w:sz w:val="24"/>
        <w:szCs w:val="24"/>
      </w:rPr>
    </w:lvl>
    <w:lvl w:ilvl="2">
      <w:start w:val="1"/>
      <w:numFmt w:val="decimal"/>
      <w:lvlText w:val="%1.%2.%3"/>
      <w:lvlJc w:val="left"/>
      <w:pPr>
        <w:ind w:left="830" w:hanging="720"/>
        <w:jc w:val="left"/>
      </w:pPr>
      <w:rPr>
        <w:rFonts w:hint="default" w:ascii="Arial" w:hAnsi="Arial" w:eastAsia="Arial" w:cs="Arial"/>
        <w:b/>
        <w:bCs/>
        <w:spacing w:val="-2"/>
        <w:w w:val="99"/>
        <w:sz w:val="24"/>
        <w:szCs w:val="24"/>
      </w:rPr>
    </w:lvl>
    <w:lvl w:ilvl="3">
      <w:start w:val="1"/>
      <w:numFmt w:val="bullet"/>
      <w:lvlText w:val="•"/>
      <w:lvlJc w:val="left"/>
      <w:pPr>
        <w:ind w:left="2671" w:hanging="720"/>
      </w:pPr>
      <w:rPr>
        <w:rFonts w:hint="default"/>
      </w:rPr>
    </w:lvl>
    <w:lvl w:ilvl="4">
      <w:start w:val="1"/>
      <w:numFmt w:val="bullet"/>
      <w:lvlText w:val="•"/>
      <w:lvlJc w:val="left"/>
      <w:pPr>
        <w:ind w:left="3586" w:hanging="720"/>
      </w:pPr>
      <w:rPr>
        <w:rFonts w:hint="default"/>
      </w:rPr>
    </w:lvl>
    <w:lvl w:ilvl="5">
      <w:start w:val="1"/>
      <w:numFmt w:val="bullet"/>
      <w:lvlText w:val="•"/>
      <w:lvlJc w:val="left"/>
      <w:pPr>
        <w:ind w:left="4502" w:hanging="720"/>
      </w:pPr>
      <w:rPr>
        <w:rFonts w:hint="default"/>
      </w:rPr>
    </w:lvl>
    <w:lvl w:ilvl="6">
      <w:start w:val="1"/>
      <w:numFmt w:val="bullet"/>
      <w:lvlText w:val="•"/>
      <w:lvlJc w:val="left"/>
      <w:pPr>
        <w:ind w:left="5417" w:hanging="720"/>
      </w:pPr>
      <w:rPr>
        <w:rFonts w:hint="default"/>
      </w:rPr>
    </w:lvl>
    <w:lvl w:ilvl="7">
      <w:start w:val="1"/>
      <w:numFmt w:val="bullet"/>
      <w:lvlText w:val="•"/>
      <w:lvlJc w:val="left"/>
      <w:pPr>
        <w:ind w:left="6333" w:hanging="720"/>
      </w:pPr>
      <w:rPr>
        <w:rFonts w:hint="default"/>
      </w:rPr>
    </w:lvl>
    <w:lvl w:ilvl="8">
      <w:start w:val="1"/>
      <w:numFmt w:val="bullet"/>
      <w:lvlText w:val="•"/>
      <w:lvlJc w:val="left"/>
      <w:pPr>
        <w:ind w:left="7248" w:hanging="720"/>
      </w:pPr>
      <w:rPr>
        <w:rFonts w:hint="default"/>
      </w:rPr>
    </w:lvl>
  </w:abstractNum>
  <w:abstractNum w:abstractNumId="2">
    <w:multiLevelType w:val="hybridMultilevel"/>
    <w:lvl w:ilvl="0">
      <w:start w:val="1"/>
      <w:numFmt w:val="decimal"/>
      <w:lvlText w:val="%1."/>
      <w:lvlJc w:val="left"/>
      <w:pPr>
        <w:ind w:left="529" w:hanging="360"/>
        <w:jc w:val="left"/>
      </w:pPr>
      <w:rPr>
        <w:rFonts w:hint="default" w:ascii="Arial" w:hAnsi="Arial" w:eastAsia="Arial" w:cs="Arial"/>
        <w:b/>
        <w:bCs/>
        <w:spacing w:val="-6"/>
        <w:w w:val="99"/>
        <w:sz w:val="24"/>
        <w:szCs w:val="24"/>
      </w:rPr>
    </w:lvl>
    <w:lvl w:ilvl="1">
      <w:start w:val="1"/>
      <w:numFmt w:val="decimal"/>
      <w:lvlText w:val="%2."/>
      <w:lvlJc w:val="left"/>
      <w:pPr>
        <w:ind w:left="954" w:hanging="360"/>
        <w:jc w:val="left"/>
      </w:pPr>
      <w:rPr>
        <w:rFonts w:hint="default" w:ascii="Arial" w:hAnsi="Arial" w:eastAsia="Arial" w:cs="Arial"/>
        <w:spacing w:val="-3"/>
        <w:w w:val="99"/>
        <w:sz w:val="18"/>
        <w:szCs w:val="18"/>
      </w:rPr>
    </w:lvl>
    <w:lvl w:ilvl="2">
      <w:start w:val="1"/>
      <w:numFmt w:val="bullet"/>
      <w:lvlText w:val="•"/>
      <w:lvlJc w:val="left"/>
      <w:pPr>
        <w:ind w:left="1860" w:hanging="360"/>
      </w:pPr>
      <w:rPr>
        <w:rFonts w:hint="default"/>
      </w:rPr>
    </w:lvl>
    <w:lvl w:ilvl="3">
      <w:start w:val="1"/>
      <w:numFmt w:val="bullet"/>
      <w:lvlText w:val="•"/>
      <w:lvlJc w:val="left"/>
      <w:pPr>
        <w:ind w:left="2760" w:hanging="360"/>
      </w:pPr>
      <w:rPr>
        <w:rFonts w:hint="default"/>
      </w:rPr>
    </w:lvl>
    <w:lvl w:ilvl="4">
      <w:start w:val="1"/>
      <w:numFmt w:val="bullet"/>
      <w:lvlText w:val="•"/>
      <w:lvlJc w:val="left"/>
      <w:pPr>
        <w:ind w:left="3660" w:hanging="360"/>
      </w:pPr>
      <w:rPr>
        <w:rFonts w:hint="default"/>
      </w:rPr>
    </w:lvl>
    <w:lvl w:ilvl="5">
      <w:start w:val="1"/>
      <w:numFmt w:val="bullet"/>
      <w:lvlText w:val="•"/>
      <w:lvlJc w:val="left"/>
      <w:pPr>
        <w:ind w:left="4560" w:hanging="360"/>
      </w:pPr>
      <w:rPr>
        <w:rFonts w:hint="default"/>
      </w:rPr>
    </w:lvl>
    <w:lvl w:ilvl="6">
      <w:start w:val="1"/>
      <w:numFmt w:val="bullet"/>
      <w:lvlText w:val="•"/>
      <w:lvlJc w:val="left"/>
      <w:pPr>
        <w:ind w:left="5460" w:hanging="360"/>
      </w:pPr>
      <w:rPr>
        <w:rFonts w:hint="default"/>
      </w:rPr>
    </w:lvl>
    <w:lvl w:ilvl="7">
      <w:start w:val="1"/>
      <w:numFmt w:val="bullet"/>
      <w:lvlText w:val="•"/>
      <w:lvlJc w:val="left"/>
      <w:pPr>
        <w:ind w:left="6360" w:hanging="360"/>
      </w:pPr>
      <w:rPr>
        <w:rFonts w:hint="default"/>
      </w:rPr>
    </w:lvl>
    <w:lvl w:ilvl="8">
      <w:start w:val="1"/>
      <w:numFmt w:val="bullet"/>
      <w:lvlText w:val="•"/>
      <w:lvlJc w:val="left"/>
      <w:pPr>
        <w:ind w:left="7260" w:hanging="360"/>
      </w:pPr>
      <w:rPr>
        <w:rFonts w:hint="default"/>
      </w:rPr>
    </w:lvl>
  </w:abstractNum>
  <w:abstractNum w:abstractNumId="1">
    <w:multiLevelType w:val="hybridMultilevel"/>
    <w:lvl w:ilvl="0">
      <w:start w:val="1"/>
      <w:numFmt w:val="bullet"/>
      <w:lvlText w:val=""/>
      <w:lvlJc w:val="left"/>
      <w:pPr>
        <w:ind w:left="529" w:hanging="360"/>
      </w:pPr>
      <w:rPr>
        <w:rFonts w:hint="default" w:ascii="Symbol" w:hAnsi="Symbol" w:eastAsia="Symbol" w:cs="Symbol"/>
        <w:w w:val="100"/>
        <w:sz w:val="24"/>
        <w:szCs w:val="24"/>
      </w:rPr>
    </w:lvl>
    <w:lvl w:ilvl="1">
      <w:start w:val="1"/>
      <w:numFmt w:val="bullet"/>
      <w:lvlText w:val="•"/>
      <w:lvlJc w:val="left"/>
      <w:pPr>
        <w:ind w:left="1374" w:hanging="360"/>
      </w:pPr>
      <w:rPr>
        <w:rFonts w:hint="default"/>
      </w:rPr>
    </w:lvl>
    <w:lvl w:ilvl="2">
      <w:start w:val="1"/>
      <w:numFmt w:val="bullet"/>
      <w:lvlText w:val="•"/>
      <w:lvlJc w:val="left"/>
      <w:pPr>
        <w:ind w:left="2228" w:hanging="360"/>
      </w:pPr>
      <w:rPr>
        <w:rFonts w:hint="default"/>
      </w:rPr>
    </w:lvl>
    <w:lvl w:ilvl="3">
      <w:start w:val="1"/>
      <w:numFmt w:val="bullet"/>
      <w:lvlText w:val="•"/>
      <w:lvlJc w:val="left"/>
      <w:pPr>
        <w:ind w:left="3082" w:hanging="360"/>
      </w:pPr>
      <w:rPr>
        <w:rFonts w:hint="default"/>
      </w:rPr>
    </w:lvl>
    <w:lvl w:ilvl="4">
      <w:start w:val="1"/>
      <w:numFmt w:val="bullet"/>
      <w:lvlText w:val="•"/>
      <w:lvlJc w:val="left"/>
      <w:pPr>
        <w:ind w:left="3936" w:hanging="360"/>
      </w:pPr>
      <w:rPr>
        <w:rFonts w:hint="default"/>
      </w:rPr>
    </w:lvl>
    <w:lvl w:ilvl="5">
      <w:start w:val="1"/>
      <w:numFmt w:val="bullet"/>
      <w:lvlText w:val="•"/>
      <w:lvlJc w:val="left"/>
      <w:pPr>
        <w:ind w:left="479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98" w:hanging="360"/>
      </w:pPr>
      <w:rPr>
        <w:rFonts w:hint="default"/>
      </w:rPr>
    </w:lvl>
    <w:lvl w:ilvl="8">
      <w:start w:val="1"/>
      <w:numFmt w:val="bullet"/>
      <w:lvlText w:val="•"/>
      <w:lvlJc w:val="left"/>
      <w:pPr>
        <w:ind w:left="7352" w:hanging="360"/>
      </w:pPr>
      <w:rPr>
        <w:rFonts w:hint="default"/>
      </w:rPr>
    </w:lvl>
  </w:abstractNum>
  <w:abstractNum w:abstractNumId="0">
    <w:multiLevelType w:val="hybridMultilevel"/>
    <w:lvl w:ilvl="0">
      <w:start w:val="1"/>
      <w:numFmt w:val="decimal"/>
      <w:lvlText w:val="%1."/>
      <w:lvlJc w:val="left"/>
      <w:pPr>
        <w:ind w:left="102" w:hanging="440"/>
        <w:jc w:val="left"/>
      </w:pPr>
      <w:rPr>
        <w:rFonts w:hint="default" w:ascii="Arial" w:hAnsi="Arial" w:eastAsia="Arial" w:cs="Arial"/>
        <w:b/>
        <w:bCs/>
        <w:spacing w:val="-1"/>
        <w:w w:val="100"/>
        <w:sz w:val="22"/>
        <w:szCs w:val="22"/>
      </w:rPr>
    </w:lvl>
    <w:lvl w:ilvl="1">
      <w:start w:val="1"/>
      <w:numFmt w:val="decimal"/>
      <w:lvlText w:val="%1.%2"/>
      <w:lvlJc w:val="left"/>
      <w:pPr>
        <w:ind w:left="982" w:hanging="740"/>
        <w:jc w:val="left"/>
      </w:pPr>
      <w:rPr>
        <w:rFonts w:hint="default" w:ascii="Arial" w:hAnsi="Arial" w:eastAsia="Arial" w:cs="Arial"/>
        <w:b/>
        <w:bCs/>
        <w:w w:val="100"/>
        <w:sz w:val="22"/>
        <w:szCs w:val="22"/>
      </w:rPr>
    </w:lvl>
    <w:lvl w:ilvl="2">
      <w:start w:val="1"/>
      <w:numFmt w:val="bullet"/>
      <w:lvlText w:val="•"/>
      <w:lvlJc w:val="left"/>
      <w:pPr>
        <w:ind w:left="980" w:hanging="740"/>
      </w:pPr>
      <w:rPr>
        <w:rFonts w:hint="default"/>
      </w:rPr>
    </w:lvl>
    <w:lvl w:ilvl="3">
      <w:start w:val="1"/>
      <w:numFmt w:val="bullet"/>
      <w:lvlText w:val="•"/>
      <w:lvlJc w:val="left"/>
      <w:pPr>
        <w:ind w:left="1990" w:hanging="740"/>
      </w:pPr>
      <w:rPr>
        <w:rFonts w:hint="default"/>
      </w:rPr>
    </w:lvl>
    <w:lvl w:ilvl="4">
      <w:start w:val="1"/>
      <w:numFmt w:val="bullet"/>
      <w:lvlText w:val="•"/>
      <w:lvlJc w:val="left"/>
      <w:pPr>
        <w:ind w:left="3000" w:hanging="740"/>
      </w:pPr>
      <w:rPr>
        <w:rFonts w:hint="default"/>
      </w:rPr>
    </w:lvl>
    <w:lvl w:ilvl="5">
      <w:start w:val="1"/>
      <w:numFmt w:val="bullet"/>
      <w:lvlText w:val="•"/>
      <w:lvlJc w:val="left"/>
      <w:pPr>
        <w:ind w:left="4010" w:hanging="740"/>
      </w:pPr>
      <w:rPr>
        <w:rFonts w:hint="default"/>
      </w:rPr>
    </w:lvl>
    <w:lvl w:ilvl="6">
      <w:start w:val="1"/>
      <w:numFmt w:val="bullet"/>
      <w:lvlText w:val="•"/>
      <w:lvlJc w:val="left"/>
      <w:pPr>
        <w:ind w:left="5020" w:hanging="740"/>
      </w:pPr>
      <w:rPr>
        <w:rFonts w:hint="default"/>
      </w:rPr>
    </w:lvl>
    <w:lvl w:ilvl="7">
      <w:start w:val="1"/>
      <w:numFmt w:val="bullet"/>
      <w:lvlText w:val="•"/>
      <w:lvlJc w:val="left"/>
      <w:pPr>
        <w:ind w:left="6030" w:hanging="740"/>
      </w:pPr>
      <w:rPr>
        <w:rFonts w:hint="default"/>
      </w:rPr>
    </w:lvl>
    <w:lvl w:ilvl="8">
      <w:start w:val="1"/>
      <w:numFmt w:val="bullet"/>
      <w:lvlText w:val="•"/>
      <w:lvlJc w:val="left"/>
      <w:pPr>
        <w:ind w:left="7040" w:hanging="740"/>
      </w:pPr>
      <w:rPr>
        <w:rFonts w:hint="default"/>
      </w:rPr>
    </w:lvl>
  </w:abstract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19"/>
      <w:ind w:left="102"/>
    </w:pPr>
    <w:rPr>
      <w:rFonts w:ascii="Arial" w:hAnsi="Arial" w:eastAsia="Arial" w:cs="Arial"/>
      <w:b/>
      <w:bCs/>
      <w:sz w:val="22"/>
      <w:szCs w:val="22"/>
    </w:rPr>
  </w:style>
  <w:style w:styleId="TOC2" w:type="paragraph">
    <w:name w:val="TOC 2"/>
    <w:basedOn w:val="Normal"/>
    <w:uiPriority w:val="1"/>
    <w:qFormat/>
    <w:pPr>
      <w:spacing w:before="104"/>
      <w:ind w:left="102"/>
    </w:pPr>
    <w:rPr>
      <w:rFonts w:ascii="Arial" w:hAnsi="Arial" w:eastAsia="Arial" w:cs="Arial"/>
      <w:b/>
      <w:bCs/>
      <w:i/>
    </w:rPr>
  </w:style>
  <w:style w:styleId="TOC3" w:type="paragraph">
    <w:name w:val="TOC 3"/>
    <w:basedOn w:val="Normal"/>
    <w:uiPriority w:val="1"/>
    <w:qFormat/>
    <w:pPr>
      <w:spacing w:before="119"/>
      <w:ind w:left="982" w:hanging="739"/>
    </w:pPr>
    <w:rPr>
      <w:rFonts w:ascii="Arial" w:hAnsi="Arial" w:eastAsia="Arial" w:cs="Arial"/>
      <w:b/>
      <w:bCs/>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836" w:hanging="720"/>
      <w:jc w:val="both"/>
      <w:outlineLvl w:val="1"/>
    </w:pPr>
    <w:rPr>
      <w:rFonts w:ascii="Arial" w:hAnsi="Arial" w:eastAsia="Arial" w:cs="Arial"/>
      <w:b/>
      <w:bCs/>
      <w:sz w:val="24"/>
      <w:szCs w:val="24"/>
    </w:rPr>
  </w:style>
  <w:style w:styleId="ListParagraph" w:type="paragraph">
    <w:name w:val="List Paragraph"/>
    <w:basedOn w:val="Normal"/>
    <w:uiPriority w:val="1"/>
    <w:qFormat/>
    <w:pPr>
      <w:ind w:left="529" w:hanging="360"/>
      <w:jc w:val="both"/>
    </w:pPr>
    <w:rPr>
      <w:rFonts w:ascii="Arial" w:hAnsi="Arial" w:eastAsia="Arial" w:cs="Arial"/>
    </w:rPr>
  </w:style>
  <w:style w:styleId="TableParagraph" w:type="paragraph">
    <w:name w:val="Table Paragraph"/>
    <w:basedOn w:val="Normal"/>
    <w:uiPriority w:val="1"/>
    <w:qFormat/>
    <w:pPr>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jpeg"/><Relationship Id="rId8" Type="http://schemas.openxmlformats.org/officeDocument/2006/relationships/hyperlink" Target="http://www.tm.org.mx/indice-nacional-de-corrupcion-y-buen-gobierno-primera-serie-historica-de-corrupcion-en-mexico/" TargetMode="External"/><Relationship Id="rId9" Type="http://schemas.openxmlformats.org/officeDocument/2006/relationships/hyperlink" Target="http://dle.rae.es/?id=GjqhajH" TargetMode="External"/><Relationship Id="rId10" Type="http://schemas.openxmlformats.org/officeDocument/2006/relationships/hyperlink" Target="http://www.enciclopedia-juridica.biz14.com/d/estado/estado.htm" TargetMode="External"/><Relationship Id="rId11" Type="http://schemas.openxmlformats.org/officeDocument/2006/relationships/hyperlink" Target="http://www.enciclopedia-juridica.biz14.com/d/pol%C3%ADtica/pol%C3%ADtica.htm" TargetMode="External"/><Relationship Id="rId12" Type="http://schemas.openxmlformats.org/officeDocument/2006/relationships/hyperlink" Target="http://www.enciclopedia-juridica.biz14.com/d/administraci%C3%B3n/administraci%C3%B3n.htm" TargetMode="External"/><Relationship Id="rId13" Type="http://schemas.openxmlformats.org/officeDocument/2006/relationships/hyperlink" Target="http://www.enciclopedia-juridica.biz14.com/d/defensa/defensa.htm" TargetMode="External"/><Relationship Id="rId14" Type="http://schemas.openxmlformats.org/officeDocument/2006/relationships/hyperlink" Target="http://www.enciclopedia-juridica.biz14.com/d/funci%C3%B3n/funci%C3%B3n.htm" TargetMode="External"/><Relationship Id="rId15" Type="http://schemas.openxmlformats.org/officeDocument/2006/relationships/hyperlink" Target="http://www.enciclopedia-juridica.biz14.com/d/conforme/conforme.htm" TargetMode="External"/><Relationship Id="rId16" Type="http://schemas.openxmlformats.org/officeDocument/2006/relationships/hyperlink" Target="http://www.enciclopedia-juridica.biz14.com/d/constituci%C3%B3n/constituci%C3%B3n.htm" TargetMode="External"/><Relationship Id="rId17" Type="http://schemas.openxmlformats.org/officeDocument/2006/relationships/hyperlink" Target="http://cuentame.inegi.org.mx/poblacion/default.aspx?tema=P" TargetMode="External"/><Relationship Id="rId18" Type="http://schemas.openxmlformats.org/officeDocument/2006/relationships/image" Target="media/image3.png"/><Relationship Id="rId19" Type="http://schemas.openxmlformats.org/officeDocument/2006/relationships/image" Target="media/image4.png"/><Relationship Id="rId20" Type="http://schemas.openxmlformats.org/officeDocument/2006/relationships/hyperlink" Target="http://cuentame.inegi.org.mx/territorio/default.aspx?tema=T" TargetMode="External"/><Relationship Id="rId21" Type="http://schemas.openxmlformats.org/officeDocument/2006/relationships/image" Target="media/image5.jpeg"/><Relationship Id="rId22" Type="http://schemas.openxmlformats.org/officeDocument/2006/relationships/image" Target="media/image6.jpeg"/><Relationship Id="rId23" Type="http://schemas.openxmlformats.org/officeDocument/2006/relationships/hyperlink" Target="http://www.inafed.gob.mx/work/enciclopedia/EMM15mexico/index.html" TargetMode="External"/><Relationship Id="rId24" Type="http://schemas.openxmlformats.org/officeDocument/2006/relationships/image" Target="media/image7.jpeg"/><Relationship Id="rId25" Type="http://schemas.openxmlformats.org/officeDocument/2006/relationships/hyperlink" Target="http://ssdm.edomex.gob.mx/regiones" TargetMode="External"/><Relationship Id="rId26" Type="http://schemas.openxmlformats.org/officeDocument/2006/relationships/hyperlink" Target="http://siglo.inafed.gob.mx/snim/" TargetMode="External"/><Relationship Id="rId27" Type="http://schemas.openxmlformats.org/officeDocument/2006/relationships/footer" Target="footer2.xml"/><Relationship Id="rId28" Type="http://schemas.openxmlformats.org/officeDocument/2006/relationships/footer" Target="footer3.xml"/><Relationship Id="rId29" Type="http://schemas.openxmlformats.org/officeDocument/2006/relationships/image" Target="media/image8.png"/><Relationship Id="rId30" Type="http://schemas.openxmlformats.org/officeDocument/2006/relationships/hyperlink" Target="http://eleconomista.com.mx/politica/2009/01/08/imss-se-lleva-tramite-mas-inutil" TargetMode="External"/><Relationship Id="rId31" Type="http://schemas.openxmlformats.org/officeDocument/2006/relationships/hyperlink" Target="http://eleconomista.com.mx/finanzas-publicas/2015/10/21/decreto-rendicion-cuentas-aprobado" TargetMode="External"/><Relationship Id="rId32" Type="http://schemas.openxmlformats.org/officeDocument/2006/relationships/hyperlink" Target="http://www.bancomundial.org/resultados" TargetMode="External"/><Relationship Id="rId33" Type="http://schemas.openxmlformats.org/officeDocument/2006/relationships/hyperlink" Target="http://www.bancomundial.org/temas/reformabancomundial/" TargetMode="External"/><Relationship Id="rId34" Type="http://schemas.openxmlformats.org/officeDocument/2006/relationships/hyperlink" Target="http://www.worldbank.org/open/" TargetMode="External"/><Relationship Id="rId35" Type="http://schemas.openxmlformats.org/officeDocument/2006/relationships/hyperlink" Target="http://datos.bancomundial.org/" TargetMode="External"/><Relationship Id="rId36" Type="http://schemas.openxmlformats.org/officeDocument/2006/relationships/hyperlink" Target="http://envivo.bancomundial.org/" TargetMode="External"/><Relationship Id="rId37" Type="http://schemas.openxmlformats.org/officeDocument/2006/relationships/hyperlink" Target="http://wbln0018.worldbank.org/acfiu/acfiuweb.nsf" TargetMode="External"/><Relationship Id="rId38" Type="http://schemas.openxmlformats.org/officeDocument/2006/relationships/hyperlink" Target="http://www1.worldbank.org/publicsector/anticorrupt/helping.htm" TargetMode="External"/><Relationship Id="rId39" Type="http://schemas.openxmlformats.org/officeDocument/2006/relationships/hyperlink" Target="http://www1.worldbank.org/publicsector/anticorrupt/supporting.htm" TargetMode="External"/><Relationship Id="rId40" Type="http://schemas.openxmlformats.org/officeDocument/2006/relationships/image" Target="media/image9.jpeg"/><Relationship Id="rId41" Type="http://schemas.openxmlformats.org/officeDocument/2006/relationships/hyperlink" Target="http://datos.bancomundial.org/indicador/IQ.CPA.TRAN.XQ/countries?display=map" TargetMode="External"/><Relationship Id="rId42" Type="http://schemas.openxmlformats.org/officeDocument/2006/relationships/hyperlink" Target="http://www.funcionpublica.gob.mx/index.php/transparencia/transparencia-focalizada/indices-anticorrupcion.html#03" TargetMode="External"/><Relationship Id="rId43" Type="http://schemas.openxmlformats.org/officeDocument/2006/relationships/hyperlink" Target="http://www.funcionpublica.gob.mx/index.php/transparencia/transparencia-focalizada/indices-anticorrupcion.html#04" TargetMode="External"/><Relationship Id="rId44" Type="http://schemas.openxmlformats.org/officeDocument/2006/relationships/hyperlink" Target="http://www.funcionpublica.gob.mx/index.php/transparencia/transparencia-focalizada/indices-anticorrupcion.html#05" TargetMode="External"/><Relationship Id="rId45" Type="http://schemas.openxmlformats.org/officeDocument/2006/relationships/hyperlink" Target="http://www.funcionpublica.gob.mx/index.php/transparencia/transparencia-focalizada/indices-anticorrupcion.html#06" TargetMode="External"/><Relationship Id="rId46" Type="http://schemas.openxmlformats.org/officeDocument/2006/relationships/hyperlink" Target="http://www.funcionpublica.gob.mx/index.php/transparencia/transparencia-focalizada/indices-anticorrupcion.html#07" TargetMode="External"/><Relationship Id="rId47" Type="http://schemas.openxmlformats.org/officeDocument/2006/relationships/hyperlink" Target="http://www.funcionpublica.gob.mx/" TargetMode="External"/><Relationship Id="rId48" Type="http://schemas.openxmlformats.org/officeDocument/2006/relationships/hyperlink" Target="https://www.scjn.gob.mx/" TargetMode="External"/><Relationship Id="rId49" Type="http://schemas.openxmlformats.org/officeDocument/2006/relationships/hyperlink" Target="http://inicio.ifai.org.mx/_catalogs/masterpage/misionViosionObjetivos.aspx" TargetMode="External"/><Relationship Id="rId50" Type="http://schemas.openxmlformats.org/officeDocument/2006/relationships/image" Target="media/image10.jpeg"/><Relationship Id="rId51" Type="http://schemas.openxmlformats.org/officeDocument/2006/relationships/image" Target="media/image11.jpeg"/><Relationship Id="rId52" Type="http://schemas.openxmlformats.org/officeDocument/2006/relationships/hyperlink" Target="http://www.funcionpublica.gob.mx/index.php/transparencia/transparencia-focalizada/indices-anticorrupcion.html" TargetMode="External"/><Relationship Id="rId53" Type="http://schemas.openxmlformats.org/officeDocument/2006/relationships/hyperlink" Target="http://www.tm.org.mx/" TargetMode="External"/><Relationship Id="rId54" Type="http://schemas.openxmlformats.org/officeDocument/2006/relationships/image" Target="media/image12.png"/><Relationship Id="rId55" Type="http://schemas.openxmlformats.org/officeDocument/2006/relationships/image" Target="media/image13.png"/><Relationship Id="rId56" Type="http://schemas.openxmlformats.org/officeDocument/2006/relationships/image" Target="media/image14.png"/><Relationship Id="rId57" Type="http://schemas.openxmlformats.org/officeDocument/2006/relationships/image" Target="media/image15.png"/><Relationship Id="rId58" Type="http://schemas.openxmlformats.org/officeDocument/2006/relationships/hyperlink" Target="https://www.transparency.org/research/cpi/cpi_1998/0/#results" TargetMode="External"/><Relationship Id="rId59" Type="http://schemas.openxmlformats.org/officeDocument/2006/relationships/image" Target="media/image16.jpeg"/><Relationship Id="rId60" Type="http://schemas.openxmlformats.org/officeDocument/2006/relationships/hyperlink" Target="http://transparencia.org.es/wp-content/uploads/2016/01/mapa_ipc-2015.pdf" TargetMode="External"/><Relationship Id="rId61" Type="http://schemas.openxmlformats.org/officeDocument/2006/relationships/hyperlink" Target="http://www.cimtra.org.mx/" TargetMode="External"/><Relationship Id="rId62" Type="http://schemas.openxmlformats.org/officeDocument/2006/relationships/image" Target="media/image17.jpeg"/><Relationship Id="rId63" Type="http://schemas.openxmlformats.org/officeDocument/2006/relationships/hyperlink" Target="http://www.berrie.dds.nl/calcss.htm" TargetMode="External"/><Relationship Id="rId64" Type="http://schemas.openxmlformats.org/officeDocument/2006/relationships/image" Target="media/image18.jpeg"/><Relationship Id="rId65" Type="http://schemas.openxmlformats.org/officeDocument/2006/relationships/hyperlink" Target="http://www.infoem.org.mx/" TargetMode="External"/><Relationship Id="rId66" Type="http://schemas.openxmlformats.org/officeDocument/2006/relationships/image" Target="media/image19.jpeg"/><Relationship Id="rId67" Type="http://schemas.openxmlformats.org/officeDocument/2006/relationships/hyperlink" Target="http://www.infoem.org.mx/src/htm/ayuntamientos.html" TargetMode="External"/><Relationship Id="rId68" Type="http://schemas.openxmlformats.org/officeDocument/2006/relationships/image" Target="media/image20.jpeg"/><Relationship Id="rId69" Type="http://schemas.openxmlformats.org/officeDocument/2006/relationships/hyperlink" Target="http://www.ipomex.org.mx/ipo/portal/acambay.web" TargetMode="External"/><Relationship Id="rId70" Type="http://schemas.openxmlformats.org/officeDocument/2006/relationships/image" Target="media/image21.jpeg"/><Relationship Id="rId71" Type="http://schemas.openxmlformats.org/officeDocument/2006/relationships/hyperlink" Target="http://www.ipomex.org.mx/ipo/portal/acambay/marcoJuridico.web" TargetMode="External"/><Relationship Id="rId72" Type="http://schemas.openxmlformats.org/officeDocument/2006/relationships/image" Target="media/image22.jpeg"/><Relationship Id="rId73" Type="http://schemas.openxmlformats.org/officeDocument/2006/relationships/hyperlink" Target="http://www.ipomex.org.mx/ipo/portal/acambay/marcoJuridico/1.web" TargetMode="External"/><Relationship Id="rId74" Type="http://schemas.openxmlformats.org/officeDocument/2006/relationships/image" Target="media/image23.jpeg"/><Relationship Id="rId75" Type="http://schemas.openxmlformats.org/officeDocument/2006/relationships/hyperlink" Target="http://www.diputados.gob.mx/LeyesBiblio/htm/1.htm" TargetMode="External"/><Relationship Id="rId76" Type="http://schemas.openxmlformats.org/officeDocument/2006/relationships/footer" Target="footer4.xml"/><Relationship Id="rId77" Type="http://schemas.openxmlformats.org/officeDocument/2006/relationships/footer" Target="footer5.xml"/><Relationship Id="rId78" Type="http://schemas.openxmlformats.org/officeDocument/2006/relationships/image" Target="media/image24.png"/><Relationship Id="rId79" Type="http://schemas.openxmlformats.org/officeDocument/2006/relationships/image" Target="media/image25.png"/><Relationship Id="rId80" Type="http://schemas.openxmlformats.org/officeDocument/2006/relationships/image" Target="media/image26.png"/><Relationship Id="rId81" Type="http://schemas.openxmlformats.org/officeDocument/2006/relationships/image" Target="media/image27.png"/><Relationship Id="rId82" Type="http://schemas.openxmlformats.org/officeDocument/2006/relationships/image" Target="media/image28.png"/><Relationship Id="rId83" Type="http://schemas.openxmlformats.org/officeDocument/2006/relationships/image" Target="media/image29.png"/><Relationship Id="rId84" Type="http://schemas.openxmlformats.org/officeDocument/2006/relationships/image" Target="media/image30.png"/><Relationship Id="rId85" Type="http://schemas.openxmlformats.org/officeDocument/2006/relationships/image" Target="media/image31.png"/><Relationship Id="rId86" Type="http://schemas.openxmlformats.org/officeDocument/2006/relationships/image" Target="media/image32.png"/><Relationship Id="rId87" Type="http://schemas.openxmlformats.org/officeDocument/2006/relationships/image" Target="media/image33.png"/><Relationship Id="rId88" Type="http://schemas.openxmlformats.org/officeDocument/2006/relationships/image" Target="media/image34.png"/><Relationship Id="rId89" Type="http://schemas.openxmlformats.org/officeDocument/2006/relationships/image" Target="media/image35.png"/><Relationship Id="rId90" Type="http://schemas.openxmlformats.org/officeDocument/2006/relationships/image" Target="media/image36.png"/><Relationship Id="rId91" Type="http://schemas.openxmlformats.org/officeDocument/2006/relationships/image" Target="media/image37.png"/><Relationship Id="rId92" Type="http://schemas.openxmlformats.org/officeDocument/2006/relationships/image" Target="media/image38.png"/><Relationship Id="rId93" Type="http://schemas.openxmlformats.org/officeDocument/2006/relationships/image" Target="media/image39.png"/><Relationship Id="rId94" Type="http://schemas.openxmlformats.org/officeDocument/2006/relationships/image" Target="media/image40.png"/><Relationship Id="rId95" Type="http://schemas.openxmlformats.org/officeDocument/2006/relationships/image" Target="media/image41.png"/><Relationship Id="rId96" Type="http://schemas.openxmlformats.org/officeDocument/2006/relationships/image" Target="media/image42.png"/><Relationship Id="rId97" Type="http://schemas.openxmlformats.org/officeDocument/2006/relationships/image" Target="media/image43.png"/><Relationship Id="rId98" Type="http://schemas.openxmlformats.org/officeDocument/2006/relationships/image" Target="media/image44.png"/><Relationship Id="rId99" Type="http://schemas.openxmlformats.org/officeDocument/2006/relationships/image" Target="media/image45.png"/><Relationship Id="rId100" Type="http://schemas.openxmlformats.org/officeDocument/2006/relationships/image" Target="media/image46.png"/><Relationship Id="rId101" Type="http://schemas.openxmlformats.org/officeDocument/2006/relationships/image" Target="media/image47.png"/><Relationship Id="rId102" Type="http://schemas.openxmlformats.org/officeDocument/2006/relationships/image" Target="media/image48.png"/><Relationship Id="rId103" Type="http://schemas.openxmlformats.org/officeDocument/2006/relationships/image" Target="media/image49.png"/><Relationship Id="rId104" Type="http://schemas.openxmlformats.org/officeDocument/2006/relationships/image" Target="media/image50.png"/><Relationship Id="rId105" Type="http://schemas.openxmlformats.org/officeDocument/2006/relationships/image" Target="media/image51.png"/><Relationship Id="rId106" Type="http://schemas.openxmlformats.org/officeDocument/2006/relationships/image" Target="media/image52.png"/><Relationship Id="rId107" Type="http://schemas.openxmlformats.org/officeDocument/2006/relationships/hyperlink" Target="http://www.ieem.org.mx/numeralia/result_elect.html" TargetMode="External"/><Relationship Id="rId108" Type="http://schemas.openxmlformats.org/officeDocument/2006/relationships/image" Target="media/image53.png"/><Relationship Id="rId109" Type="http://schemas.openxmlformats.org/officeDocument/2006/relationships/image" Target="media/image54.png"/><Relationship Id="rId110" Type="http://schemas.openxmlformats.org/officeDocument/2006/relationships/image" Target="media/image55.png"/><Relationship Id="rId111" Type="http://schemas.openxmlformats.org/officeDocument/2006/relationships/image" Target="media/image56.png"/><Relationship Id="rId112" Type="http://schemas.openxmlformats.org/officeDocument/2006/relationships/image" Target="media/image57.png"/><Relationship Id="rId113" Type="http://schemas.openxmlformats.org/officeDocument/2006/relationships/image" Target="media/image58.png"/><Relationship Id="rId114" Type="http://schemas.openxmlformats.org/officeDocument/2006/relationships/hyperlink" Target="http://www.snim.rami.gob.mx/" TargetMode="External"/><Relationship Id="rId115" Type="http://schemas.openxmlformats.org/officeDocument/2006/relationships/image" Target="media/image59.png"/><Relationship Id="rId116" Type="http://schemas.openxmlformats.org/officeDocument/2006/relationships/image" Target="media/image60.png"/><Relationship Id="rId117" Type="http://schemas.openxmlformats.org/officeDocument/2006/relationships/image" Target="media/image61.png"/><Relationship Id="rId118" Type="http://schemas.openxmlformats.org/officeDocument/2006/relationships/image" Target="media/image62.png"/><Relationship Id="rId119" Type="http://schemas.openxmlformats.org/officeDocument/2006/relationships/image" Target="media/image63.png"/><Relationship Id="rId120" Type="http://schemas.openxmlformats.org/officeDocument/2006/relationships/image" Target="media/image64.png"/><Relationship Id="rId121" Type="http://schemas.openxmlformats.org/officeDocument/2006/relationships/hyperlink" Target="http://portal2.edomex.gob.mx/coespo/indicadoressociodemograficos/indicedemarginacion/index.htm" TargetMode="External"/><Relationship Id="rId122" Type="http://schemas.openxmlformats.org/officeDocument/2006/relationships/image" Target="media/image65.png"/><Relationship Id="rId123" Type="http://schemas.openxmlformats.org/officeDocument/2006/relationships/hyperlink" Target="http://www.conapo.gob.mx/work/models/CONAPO/indices_margina/mf2010/CapitulosPDF/Anexo%20B2.pdf" TargetMode="External"/><Relationship Id="rId124" Type="http://schemas.openxmlformats.org/officeDocument/2006/relationships/image" Target="media/image66.png"/><Relationship Id="rId125" Type="http://schemas.openxmlformats.org/officeDocument/2006/relationships/footer" Target="footer6.xml"/><Relationship Id="rId126" Type="http://schemas.openxmlformats.org/officeDocument/2006/relationships/footer" Target="footer7.xml"/><Relationship Id="rId127" Type="http://schemas.openxmlformats.org/officeDocument/2006/relationships/image" Target="media/image67.png"/><Relationship Id="rId128" Type="http://schemas.openxmlformats.org/officeDocument/2006/relationships/image" Target="media/image68.jpeg"/><Relationship Id="rId129" Type="http://schemas.openxmlformats.org/officeDocument/2006/relationships/image" Target="media/image69.png"/><Relationship Id="rId130" Type="http://schemas.openxmlformats.org/officeDocument/2006/relationships/image" Target="media/image70.png"/><Relationship Id="rId131" Type="http://schemas.openxmlformats.org/officeDocument/2006/relationships/image" Target="media/image71.png"/><Relationship Id="rId132" Type="http://schemas.openxmlformats.org/officeDocument/2006/relationships/hyperlink" Target="http://www.infoem.org.mx/src/php/solicitudesTipoYear.php" TargetMode="External"/><Relationship Id="rId133" Type="http://schemas.openxmlformats.org/officeDocument/2006/relationships/hyperlink" Target="http://www.excelsior.com.mx/nacional/2014/03/25/950414#cxrecs_s" TargetMode="External"/><Relationship Id="rId134" Type="http://schemas.openxmlformats.org/officeDocument/2006/relationships/image" Target="media/image72.jpeg"/><Relationship Id="rId135" Type="http://schemas.openxmlformats.org/officeDocument/2006/relationships/image" Target="media/image73.jpeg"/><Relationship Id="rId136" Type="http://schemas.openxmlformats.org/officeDocument/2006/relationships/image" Target="media/image74.png"/><Relationship Id="rId137" Type="http://schemas.openxmlformats.org/officeDocument/2006/relationships/image" Target="media/image75.png"/><Relationship Id="rId138" Type="http://schemas.openxmlformats.org/officeDocument/2006/relationships/image" Target="media/image76.jpeg"/><Relationship Id="rId139" Type="http://schemas.openxmlformats.org/officeDocument/2006/relationships/image" Target="media/image77.png"/><Relationship Id="rId140" Type="http://schemas.openxmlformats.org/officeDocument/2006/relationships/image" Target="media/image78.jpeg"/><Relationship Id="rId141" Type="http://schemas.openxmlformats.org/officeDocument/2006/relationships/image" Target="media/image79.jpeg"/><Relationship Id="rId142" Type="http://schemas.openxmlformats.org/officeDocument/2006/relationships/image" Target="media/image80.png"/><Relationship Id="rId143" Type="http://schemas.openxmlformats.org/officeDocument/2006/relationships/hyperlink" Target="http://gaceta.diputados.gob.mx/Gaceta/Votaciones/59/tabla1or%202-5.php3" TargetMode="External"/><Relationship Id="rId144" Type="http://schemas.openxmlformats.org/officeDocument/2006/relationships/hyperlink" Target="http://gaceta.diputados.gob.mx/Gaceta/Votaciones/59/tabla3or2-29.php3" TargetMode="External"/><Relationship Id="rId145" Type="http://schemas.openxmlformats.org/officeDocument/2006/relationships/hyperlink" Target="http://gaceta.diputados.gob.mx/Gaceta/Votaciones/61/tabla1or2-41.php3" TargetMode="External"/><Relationship Id="rId146" Type="http://schemas.openxmlformats.org/officeDocument/2006/relationships/footer" Target="footer8.xml"/><Relationship Id="rId147" Type="http://schemas.openxmlformats.org/officeDocument/2006/relationships/footer" Target="footer9.xml"/><Relationship Id="rId148" Type="http://schemas.openxmlformats.org/officeDocument/2006/relationships/hyperlink" Target="http://www.opengovpartnership.org/es" TargetMode="External"/><Relationship Id="rId149" Type="http://schemas.openxmlformats.org/officeDocument/2006/relationships/hyperlink" Target="http://www.altonivel.com.mx/33741-mexico-aprueba-de-panzazo-en-" TargetMode="External"/><Relationship Id="rId150" Type="http://schemas.openxmlformats.org/officeDocument/2006/relationships/hyperlink" Target="http://www.arenaciudadana.org/" TargetMode="External"/><Relationship Id="rId151" Type="http://schemas.openxmlformats.org/officeDocument/2006/relationships/hyperlink" Target="http://www.bancomundial.org/es/about" TargetMode="External"/><Relationship Id="rId152" Type="http://schemas.openxmlformats.org/officeDocument/2006/relationships/hyperlink" Target="http://www.bordepolitico.com/" TargetMode="External"/><Relationship Id="rId153" Type="http://schemas.openxmlformats.org/officeDocument/2006/relationships/hyperlink" Target="http://www.un.org/es/documents/charter/index.shtml" TargetMode="External"/><Relationship Id="rId154" Type="http://schemas.openxmlformats.org/officeDocument/2006/relationships/hyperlink" Target="http://old.clad.org/documentos/declaraciones/carta-iberoamericana-de-participacion-" TargetMode="External"/><Relationship Id="rId155" Type="http://schemas.openxmlformats.org/officeDocument/2006/relationships/hyperlink" Target="http://www.imf.org/external/np/fad/trans/spa/codes.pdf" TargetMode="External"/><Relationship Id="rId156" Type="http://schemas.openxmlformats.org/officeDocument/2006/relationships/hyperlink" Target="http://repositorio.cepal.org/bitstream/handle/11362/3969/S2012004_es.pdf?sequence" TargetMode="External"/><Relationship Id="rId157" Type="http://schemas.openxmlformats.org/officeDocument/2006/relationships/hyperlink" Target="http://www.consorcio.org.mx/" TargetMode="External"/><Relationship Id="rId158" Type="http://schemas.openxmlformats.org/officeDocument/2006/relationships/hyperlink" Target="http://siceef.ife.org.mx/pef2012/SICEEF2012.html" TargetMode="External"/><Relationship Id="rId159" Type="http://schemas.openxmlformats.org/officeDocument/2006/relationships/hyperlink" Target="http://www.redalyc.org/articulo.oa?id=25914108" TargetMode="External"/><Relationship Id="rId160" Type="http://schemas.openxmlformats.org/officeDocument/2006/relationships/hyperlink" Target="http://www.un.org/es/documents/udhr/index_print.shtml" TargetMode="External"/><Relationship Id="rId161" Type="http://schemas.openxmlformats.org/officeDocument/2006/relationships/hyperlink" Target="http://www.informador.com.mx/internacional/2012/422212/6/chile-y-uruguay-los-" TargetMode="External"/><Relationship Id="rId162" Type="http://schemas.openxmlformats.org/officeDocument/2006/relationships/hyperlink" Target="http://www.informador.com.mx/mexico/2013/500554/6/corrupcion-en-mexico-" TargetMode="External"/><Relationship Id="rId163" Type="http://schemas.openxmlformats.org/officeDocument/2006/relationships/hyperlink" Target="http://www.imf.org/external/np/exr/facts/spa/glances.html" TargetMode="External"/><Relationship Id="rId164" Type="http://schemas.openxmlformats.org/officeDocument/2006/relationships/hyperlink" Target="http://www.fundar.org.mx/" TargetMode="External"/><Relationship Id="rId165" Type="http://schemas.openxmlformats.org/officeDocument/2006/relationships/hyperlink" Target="http://www.gesoc.org.mx/" TargetMode="External"/><Relationship Id="rId166" Type="http://schemas.openxmlformats.org/officeDocument/2006/relationships/hyperlink" Target="http://www.un.org/es/aboutun/history/charter_history.shtml" TargetMode="External"/><Relationship Id="rId167" Type="http://schemas.openxmlformats.org/officeDocument/2006/relationships/hyperlink" Target="http://www.ieem.org.mx/memoelec/estadistico/indexesta.html" TargetMode="External"/><Relationship Id="rId168" Type="http://schemas.openxmlformats.org/officeDocument/2006/relationships/hyperlink" Target="http://inicio.ifai.org.mx/_catalogs/masterpage/AIP-Estadisticas.aspx" TargetMode="External"/><Relationship Id="rId169" Type="http://schemas.openxmlformats.org/officeDocument/2006/relationships/hyperlink" Target="http://inicio.ifai.org.mx/Comunicados/Comunicado%20IFAI-019-14.pdf" TargetMode="External"/><Relationship Id="rId170" Type="http://schemas.openxmlformats.org/officeDocument/2006/relationships/hyperlink" Target="http://www.impactolegislativo.org.mx/" TargetMode="External"/><Relationship Id="rId171" Type="http://schemas.openxmlformats.org/officeDocument/2006/relationships/hyperlink" Target="http://www.transparency.org/news/pressrelease/20121205_comunicado_de_prensa_i" TargetMode="External"/><Relationship Id="rId172" Type="http://schemas.openxmlformats.org/officeDocument/2006/relationships/hyperlink" Target="http://www.tm.org.mx/indice-nacional-de-corrupcion-y-buen-gobierno-incbg/" TargetMode="External"/><Relationship Id="rId173" Type="http://schemas.openxmlformats.org/officeDocument/2006/relationships/hyperlink" Target="http://www.inegi.org.mx/" TargetMode="External"/><Relationship Id="rId174" Type="http://schemas.openxmlformats.org/officeDocument/2006/relationships/hyperlink" Target="http://www.iias-iisa.org/" TargetMode="External"/><Relationship Id="rId175" Type="http://schemas.openxmlformats.org/officeDocument/2006/relationships/hyperlink" Target="http://www.imco.org.mx/" TargetMode="External"/><Relationship Id="rId176" Type="http://schemas.openxmlformats.org/officeDocument/2006/relationships/hyperlink" Target="http://www.inafed.gob.mx/" TargetMode="External"/><Relationship Id="rId177" Type="http://schemas.openxmlformats.org/officeDocument/2006/relationships/hyperlink" Target="http://www.gobiernolocal.org/docs/publicaciones/Transparencia_ponencias2.pdf" TargetMode="External"/><Relationship Id="rId178" Type="http://schemas.openxmlformats.org/officeDocument/2006/relationships/hyperlink" Target="http://www.tm.org.mx/la-" TargetMode="External"/><Relationship Id="rId179" Type="http://schemas.openxmlformats.org/officeDocument/2006/relationships/hyperlink" Target="http://www.diputados.gob.mx/LeyesBiblio/index.htm" TargetMode="External"/><Relationship Id="rId180" Type="http://schemas.openxmlformats.org/officeDocument/2006/relationships/hyperlink" Target="http://ceur.usac.edu.gt/HeH/elias-norbert-el-proceso-de-" TargetMode="External"/><Relationship Id="rId181" Type="http://schemas.openxmlformats.org/officeDocument/2006/relationships/hyperlink" Target="http://www.whitehouse.gov/the_press_office/TransparencyandOpenGovernment" TargetMode="External"/><Relationship Id="rId182" Type="http://schemas.openxmlformats.org/officeDocument/2006/relationships/hyperlink" Target="http://garcia.gob.mx/includes/docs/mejora_regulatoria/Hacia-una-gestion-publica-" TargetMode="External"/><Relationship Id="rId183" Type="http://schemas.openxmlformats.org/officeDocument/2006/relationships/hyperlink" Target="http://www.oecd.org/centrodemexico/laocde/" TargetMode="External"/><Relationship Id="rId184" Type="http://schemas.openxmlformats.org/officeDocument/2006/relationships/hyperlink" Target="http://www.un.org/es/globalissues/governance/index.shtml" TargetMode="External"/><Relationship Id="rId185" Type="http://schemas.openxmlformats.org/officeDocument/2006/relationships/hyperlink" Target="http://www.un.org/spanish/News/story.asp?NewsID=29088&amp;amp;.VDSorfl5OPU" TargetMode="External"/><Relationship Id="rId186" Type="http://schemas.openxmlformats.org/officeDocument/2006/relationships/hyperlink" Target="http://transparencia.edomex.gob.mx/" TargetMode="External"/><Relationship Id="rId187" Type="http://schemas.openxmlformats.org/officeDocument/2006/relationships/footer" Target="footer10.xml"/><Relationship Id="rId188" Type="http://schemas.openxmlformats.org/officeDocument/2006/relationships/image" Target="media/image81.jpeg"/><Relationship Id="rId189" Type="http://schemas.openxmlformats.org/officeDocument/2006/relationships/hyperlink" Target="https://www.google.com.mx/search?q=imagenes&amp;amp;espv=2&amp;amp;biw=1280&amp;amp;bih=918&amp;amp;source=lnms&amp;amp;tbm=isch&amp;amp;sa=X&amp;amp;ved=0ahUKEwiE_vegtNPQAhVJ4WMKHQISBpgQ_AUIBigB%23tbm%3Disch&amp;amp;q=estados%2Bunidos%2Bmexicanos%2Bmapa&amp;amp;imgrc=6QChRSijYOcBAM%3A" TargetMode="External"/><Relationship Id="rId190" Type="http://schemas.openxmlformats.org/officeDocument/2006/relationships/footer" Target="footer11.xml"/><Relationship Id="rId191" Type="http://schemas.openxmlformats.org/officeDocument/2006/relationships/image" Target="media/image82.jpeg"/><Relationship Id="rId192" Type="http://schemas.openxmlformats.org/officeDocument/2006/relationships/hyperlink" Target="http://www.aguascalientes.gob.mx/" TargetMode="External"/><Relationship Id="rId193" Type="http://schemas.openxmlformats.org/officeDocument/2006/relationships/hyperlink" Target="http://www.bajacalifornia.gob.mx/portal/site.jsp" TargetMode="External"/><Relationship Id="rId194" Type="http://schemas.openxmlformats.org/officeDocument/2006/relationships/hyperlink" Target="http://www.campeche.gob.mx/" TargetMode="External"/><Relationship Id="rId195" Type="http://schemas.openxmlformats.org/officeDocument/2006/relationships/hyperlink" Target="http://coahuila.gob.mx/" TargetMode="External"/><Relationship Id="rId196" Type="http://schemas.openxmlformats.org/officeDocument/2006/relationships/hyperlink" Target="http://www.colima-estado.gob.mx/" TargetMode="External"/><Relationship Id="rId197" Type="http://schemas.openxmlformats.org/officeDocument/2006/relationships/hyperlink" Target="http://www.chiapas.gob.mx/" TargetMode="External"/><Relationship Id="rId198" Type="http://schemas.openxmlformats.org/officeDocument/2006/relationships/hyperlink" Target="http://www.chihuahua.gob.mx/" TargetMode="External"/><Relationship Id="rId199" Type="http://schemas.openxmlformats.org/officeDocument/2006/relationships/hyperlink" Target="http://www.df.gob.mx/" TargetMode="External"/><Relationship Id="rId200" Type="http://schemas.openxmlformats.org/officeDocument/2006/relationships/hyperlink" Target="http://www.durango.gob.mx/" TargetMode="External"/><Relationship Id="rId201" Type="http://schemas.openxmlformats.org/officeDocument/2006/relationships/hyperlink" Target="http://www.guanajuato.gob.mx/" TargetMode="External"/><Relationship Id="rId202" Type="http://schemas.openxmlformats.org/officeDocument/2006/relationships/hyperlink" Target="http://guerrero.gob.mx/" TargetMode="External"/><Relationship Id="rId203" Type="http://schemas.openxmlformats.org/officeDocument/2006/relationships/hyperlink" Target="http://www.hidalgo.gob.mx/" TargetMode="External"/><Relationship Id="rId204" Type="http://schemas.openxmlformats.org/officeDocument/2006/relationships/hyperlink" Target="http://www.jalisco.gob.mx/" TargetMode="External"/><Relationship Id="rId205" Type="http://schemas.openxmlformats.org/officeDocument/2006/relationships/hyperlink" Target="http://portal2.edomex.gob.mx/edomex/inicio/index.htm" TargetMode="External"/><Relationship Id="rId206" Type="http://schemas.openxmlformats.org/officeDocument/2006/relationships/hyperlink" Target="http://michoacan.gob.mx/" TargetMode="External"/><Relationship Id="rId207" Type="http://schemas.openxmlformats.org/officeDocument/2006/relationships/hyperlink" Target="http://www2.morelos.gob.mx/" TargetMode="External"/><Relationship Id="rId208" Type="http://schemas.openxmlformats.org/officeDocument/2006/relationships/hyperlink" Target="http://www.nayarit.gob.mx/" TargetMode="External"/><Relationship Id="rId209" Type="http://schemas.openxmlformats.org/officeDocument/2006/relationships/hyperlink" Target="http://www.nl.gob.mx/" TargetMode="External"/><Relationship Id="rId210" Type="http://schemas.openxmlformats.org/officeDocument/2006/relationships/hyperlink" Target="http://www.oaxaca.gob.mx/" TargetMode="External"/><Relationship Id="rId211" Type="http://schemas.openxmlformats.org/officeDocument/2006/relationships/hyperlink" Target="http://www.puebla.gob.mx/" TargetMode="External"/><Relationship Id="rId212" Type="http://schemas.openxmlformats.org/officeDocument/2006/relationships/hyperlink" Target="http://www.queretaro.gob.mx/" TargetMode="External"/><Relationship Id="rId213" Type="http://schemas.openxmlformats.org/officeDocument/2006/relationships/hyperlink" Target="http://www.qroo.gob.mx/qroo/index.php" TargetMode="External"/><Relationship Id="rId214" Type="http://schemas.openxmlformats.org/officeDocument/2006/relationships/hyperlink" Target="http://www.slp.gob.mx/" TargetMode="External"/><Relationship Id="rId215" Type="http://schemas.openxmlformats.org/officeDocument/2006/relationships/hyperlink" Target="http://www.sinaloa.gob.mx/" TargetMode="External"/><Relationship Id="rId216" Type="http://schemas.openxmlformats.org/officeDocument/2006/relationships/hyperlink" Target="http://www.sonora.gob.mx/swb/" TargetMode="External"/><Relationship Id="rId217" Type="http://schemas.openxmlformats.org/officeDocument/2006/relationships/hyperlink" Target="http://www.tabasco.gob.mx/" TargetMode="External"/><Relationship Id="rId218" Type="http://schemas.openxmlformats.org/officeDocument/2006/relationships/hyperlink" Target="http://tamaulipas.gob.mx/" TargetMode="External"/><Relationship Id="rId219" Type="http://schemas.openxmlformats.org/officeDocument/2006/relationships/hyperlink" Target="http://www.tlaxcala.gob.mx/" TargetMode="External"/><Relationship Id="rId220" Type="http://schemas.openxmlformats.org/officeDocument/2006/relationships/hyperlink" Target="http://www.veracruz.gob.mx/" TargetMode="External"/><Relationship Id="rId221" Type="http://schemas.openxmlformats.org/officeDocument/2006/relationships/hyperlink" Target="http://www.yucatan.gob.mx/" TargetMode="External"/><Relationship Id="rId222" Type="http://schemas.openxmlformats.org/officeDocument/2006/relationships/hyperlink" Target="http://www.zacatecas.gob.mx/" TargetMode="External"/><Relationship Id="rId223" Type="http://schemas.openxmlformats.org/officeDocument/2006/relationships/hyperlink" Target="http://ayuntamientoacambay2.wix.com/2013-2015" TargetMode="External"/><Relationship Id="rId224" Type="http://schemas.openxmlformats.org/officeDocument/2006/relationships/hyperlink" Target="http://www.acolman.gob.mx/" TargetMode="External"/><Relationship Id="rId225" Type="http://schemas.openxmlformats.org/officeDocument/2006/relationships/hyperlink" Target="http://aculco.gob.mx/" TargetMode="External"/><Relationship Id="rId226" Type="http://schemas.openxmlformats.org/officeDocument/2006/relationships/hyperlink" Target="http://www.almoloyaalquisiras.com.mx/" TargetMode="External"/><Relationship Id="rId227" Type="http://schemas.openxmlformats.org/officeDocument/2006/relationships/hyperlink" Target="http://almoloyadejuarez.gob.mx/turistico/inicio.php" TargetMode="External"/><Relationship Id="rId228" Type="http://schemas.openxmlformats.org/officeDocument/2006/relationships/hyperlink" Target="http://www.almoloyadelrio.gob.mx/web/" TargetMode="External"/><Relationship Id="rId229" Type="http://schemas.openxmlformats.org/officeDocument/2006/relationships/hyperlink" Target="http://www.amanalco.gob.mx/" TargetMode="External"/><Relationship Id="rId230" Type="http://schemas.openxmlformats.org/officeDocument/2006/relationships/hyperlink" Target="http://www.amatepec.gob.mx/web/" TargetMode="External"/><Relationship Id="rId231" Type="http://schemas.openxmlformats.org/officeDocument/2006/relationships/hyperlink" Target="http://amecameca.gob.mx/web/" TargetMode="External"/><Relationship Id="rId232" Type="http://schemas.openxmlformats.org/officeDocument/2006/relationships/hyperlink" Target="http://www.apaxco.gob.mx/" TargetMode="External"/><Relationship Id="rId233" Type="http://schemas.openxmlformats.org/officeDocument/2006/relationships/hyperlink" Target="http://atencoedomex.gob.mx/" TargetMode="External"/><Relationship Id="rId234" Type="http://schemas.openxmlformats.org/officeDocument/2006/relationships/hyperlink" Target="http://atizapansantacruz.gob.mx/web/inicio.php" TargetMode="External"/><Relationship Id="rId235" Type="http://schemas.openxmlformats.org/officeDocument/2006/relationships/hyperlink" Target="http://www.atizapan.gob.mx/site/" TargetMode="External"/><Relationship Id="rId236" Type="http://schemas.openxmlformats.org/officeDocument/2006/relationships/hyperlink" Target="http://www.atlacomulco.gob.mx/" TargetMode="External"/><Relationship Id="rId237" Type="http://schemas.openxmlformats.org/officeDocument/2006/relationships/hyperlink" Target="http://atlautla.edomex.gob.mx/" TargetMode="External"/><Relationship Id="rId238" Type="http://schemas.openxmlformats.org/officeDocument/2006/relationships/hyperlink" Target="http://www.axapusco.gob.mx/" TargetMode="External"/><Relationship Id="rId239" Type="http://schemas.openxmlformats.org/officeDocument/2006/relationships/hyperlink" Target="http://www.ayapango.gob.mx/web/" TargetMode="External"/><Relationship Id="rId240" Type="http://schemas.openxmlformats.org/officeDocument/2006/relationships/hyperlink" Target="http://calimaya.gob.mx/web/" TargetMode="External"/><Relationship Id="rId241" Type="http://schemas.openxmlformats.org/officeDocument/2006/relationships/hyperlink" Target="http://www.capulhuac.gob.mx/web/" TargetMode="External"/><Relationship Id="rId242" Type="http://schemas.openxmlformats.org/officeDocument/2006/relationships/hyperlink" Target="http://coacalco.gob.mx/portal/" TargetMode="External"/><Relationship Id="rId243" Type="http://schemas.openxmlformats.org/officeDocument/2006/relationships/hyperlink" Target="http://www.coatepech.gob.mx/" TargetMode="External"/><Relationship Id="rId244" Type="http://schemas.openxmlformats.org/officeDocument/2006/relationships/hyperlink" Target="http://www.cocotitlan.gob.mx/web/" TargetMode="External"/><Relationship Id="rId245" Type="http://schemas.openxmlformats.org/officeDocument/2006/relationships/hyperlink" Target="http://www.coyotepecmx.gob.mx/paginas/trans/trasparencia.html" TargetMode="External"/><Relationship Id="rId246" Type="http://schemas.openxmlformats.org/officeDocument/2006/relationships/hyperlink" Target="http://www.cuautitlan.gob.mx/web/" TargetMode="External"/><Relationship Id="rId247" Type="http://schemas.openxmlformats.org/officeDocument/2006/relationships/hyperlink" Target="http://www.municipiodechalco.gob.mx/" TargetMode="External"/><Relationship Id="rId248" Type="http://schemas.openxmlformats.org/officeDocument/2006/relationships/hyperlink" Target="http://www.chapademota.gob.mx/" TargetMode="External"/><Relationship Id="rId249" Type="http://schemas.openxmlformats.org/officeDocument/2006/relationships/hyperlink" Target="http://chapultepec.gob.mx/" TargetMode="External"/><Relationship Id="rId250" Type="http://schemas.openxmlformats.org/officeDocument/2006/relationships/hyperlink" Target="http://www.chiautlaedomex.gob.mx/chiautla_historia.html" TargetMode="External"/><Relationship Id="rId251" Type="http://schemas.openxmlformats.org/officeDocument/2006/relationships/hyperlink" Target="http://www.chicoloapan.gob.mx/" TargetMode="External"/><Relationship Id="rId252" Type="http://schemas.openxmlformats.org/officeDocument/2006/relationships/hyperlink" Target="http://www.chiconcuac.gob.mx/web/" TargetMode="External"/><Relationship Id="rId253" Type="http://schemas.openxmlformats.org/officeDocument/2006/relationships/hyperlink" Target="http://www.chimalhuacan.gob.mx/" TargetMode="External"/><Relationship Id="rId254" Type="http://schemas.openxmlformats.org/officeDocument/2006/relationships/hyperlink" Target="http://www.donatoguerra.gob.mx/" TargetMode="External"/><Relationship Id="rId255" Type="http://schemas.openxmlformats.org/officeDocument/2006/relationships/hyperlink" Target="http://www.ecatepec.gob.mx/" TargetMode="External"/><Relationship Id="rId256" Type="http://schemas.openxmlformats.org/officeDocument/2006/relationships/hyperlink" Target="http://ecatzingo.gob.mx/web/inicio.php" TargetMode="External"/><Relationship Id="rId257" Type="http://schemas.openxmlformats.org/officeDocument/2006/relationships/hyperlink" Target="http://www.huehuetoca.gob.mx/web/" TargetMode="External"/><Relationship Id="rId258" Type="http://schemas.openxmlformats.org/officeDocument/2006/relationships/hyperlink" Target="http://www.hueypoxtla.gob.mx/" TargetMode="External"/><Relationship Id="rId259" Type="http://schemas.openxmlformats.org/officeDocument/2006/relationships/hyperlink" Target="http://www.isidrofabela.gob.mx/" TargetMode="External"/><Relationship Id="rId260" Type="http://schemas.openxmlformats.org/officeDocument/2006/relationships/hyperlink" Target="http://www.ixtapaluca.gob.mx/" TargetMode="External"/><Relationship Id="rId261" Type="http://schemas.openxmlformats.org/officeDocument/2006/relationships/hyperlink" Target="http://www.ixtapandelasal.gob.mx/web/" TargetMode="External"/><Relationship Id="rId262" Type="http://schemas.openxmlformats.org/officeDocument/2006/relationships/hyperlink" Target="http://www.ixtapandeloro.gob.mx/web/" TargetMode="External"/><Relationship Id="rId263" Type="http://schemas.openxmlformats.org/officeDocument/2006/relationships/hyperlink" Target="http://www.jaltenco.gob.mx/web/" TargetMode="External"/><Relationship Id="rId264" Type="http://schemas.openxmlformats.org/officeDocument/2006/relationships/hyperlink" Target="http://www.jilotepec-edomex.gob.mx/" TargetMode="External"/><Relationship Id="rId265" Type="http://schemas.openxmlformats.org/officeDocument/2006/relationships/hyperlink" Target="http://jilotzingo.gob.mx/web/inicio.php" TargetMode="External"/><Relationship Id="rId266" Type="http://schemas.openxmlformats.org/officeDocument/2006/relationships/hyperlink" Target="http://www.jiquipilco.gob.mx/" TargetMode="External"/><Relationship Id="rId267" Type="http://schemas.openxmlformats.org/officeDocument/2006/relationships/hyperlink" Target="http://www.jocotitlan.gob.mx/" TargetMode="External"/><Relationship Id="rId268" Type="http://schemas.openxmlformats.org/officeDocument/2006/relationships/hyperlink" Target="http://www.joquicingo.gob.mx/" TargetMode="External"/><Relationship Id="rId269" Type="http://schemas.openxmlformats.org/officeDocument/2006/relationships/hyperlink" Target="http://juchitepec.gob.mx/" TargetMode="External"/><Relationship Id="rId270" Type="http://schemas.openxmlformats.org/officeDocument/2006/relationships/hyperlink" Target="http://www.lerma.gob.mx/sitio/" TargetMode="External"/><Relationship Id="rId271" Type="http://schemas.openxmlformats.org/officeDocument/2006/relationships/hyperlink" Target="http://malinalco.gob.mx/2016/category/municipio/" TargetMode="External"/><Relationship Id="rId272" Type="http://schemas.openxmlformats.org/officeDocument/2006/relationships/hyperlink" Target="http://www.melchor-ocampo.gob.mx/web/" TargetMode="External"/><Relationship Id="rId273" Type="http://schemas.openxmlformats.org/officeDocument/2006/relationships/hyperlink" Target="http://www.metepec.gob.mx/" TargetMode="External"/><Relationship Id="rId274" Type="http://schemas.openxmlformats.org/officeDocument/2006/relationships/hyperlink" Target="http://www.mexicaltzingo.gob.mx/" TargetMode="External"/><Relationship Id="rId275" Type="http://schemas.openxmlformats.org/officeDocument/2006/relationships/hyperlink" Target="http://www.mpiomorelos.gob.mx/" TargetMode="External"/><Relationship Id="rId276" Type="http://schemas.openxmlformats.org/officeDocument/2006/relationships/hyperlink" Target="http://www.naucalpan.gob.mx/" TargetMode="External"/><Relationship Id="rId277" Type="http://schemas.openxmlformats.org/officeDocument/2006/relationships/hyperlink" Target="http://www.neza.gob.mx/" TargetMode="External"/><Relationship Id="rId278" Type="http://schemas.openxmlformats.org/officeDocument/2006/relationships/hyperlink" Target="http://www.santotomas.gob.mx/" TargetMode="External"/><Relationship Id="rId279" Type="http://schemas.openxmlformats.org/officeDocument/2006/relationships/hyperlink" Target="http://www.nicolasromero.gob.mx/" TargetMode="External"/><Relationship Id="rId280" Type="http://schemas.openxmlformats.org/officeDocument/2006/relationships/hyperlink" Target="http://www.nopaltepec.gob.mx/inicio.html" TargetMode="External"/><Relationship Id="rId281" Type="http://schemas.openxmlformats.org/officeDocument/2006/relationships/hyperlink" Target="http://www.ocoyoacac.gob.mx/web/" TargetMode="External"/><Relationship Id="rId282" Type="http://schemas.openxmlformats.org/officeDocument/2006/relationships/hyperlink" Target="http://www.ocuilan.gob.mx/web/" TargetMode="External"/><Relationship Id="rId283" Type="http://schemas.openxmlformats.org/officeDocument/2006/relationships/hyperlink" Target="http://www.eloromexico.gob.mx/municipio.html" TargetMode="External"/><Relationship Id="rId284" Type="http://schemas.openxmlformats.org/officeDocument/2006/relationships/hyperlink" Target="http://www.otumba.gob.mx/" TargetMode="External"/><Relationship Id="rId285" Type="http://schemas.openxmlformats.org/officeDocument/2006/relationships/hyperlink" Target="http://www.otzoloapan.gob.mx/web/" TargetMode="External"/><Relationship Id="rId286" Type="http://schemas.openxmlformats.org/officeDocument/2006/relationships/hyperlink" Target="http://otzolotepec.edomex.gob.mx/" TargetMode="External"/><Relationship Id="rId287" Type="http://schemas.openxmlformats.org/officeDocument/2006/relationships/hyperlink" Target="http://www.ozumba.gob.mx/" TargetMode="External"/><Relationship Id="rId288" Type="http://schemas.openxmlformats.org/officeDocument/2006/relationships/hyperlink" Target="http://www.papalotlaedomex.gob.mx/" TargetMode="External"/><Relationship Id="rId289" Type="http://schemas.openxmlformats.org/officeDocument/2006/relationships/hyperlink" Target="http://www.lapaz.gob.mx/" TargetMode="External"/><Relationship Id="rId290" Type="http://schemas.openxmlformats.org/officeDocument/2006/relationships/hyperlink" Target="http://polotitlan.gob.mx/web/inicio.php?seccion=1" TargetMode="External"/><Relationship Id="rId291" Type="http://schemas.openxmlformats.org/officeDocument/2006/relationships/hyperlink" Target="http://www.rayon.gob.mx/web/" TargetMode="External"/><Relationship Id="rId292" Type="http://schemas.openxmlformats.org/officeDocument/2006/relationships/hyperlink" Target="http://sanantoniolaisla.edomex.gob.mx/" TargetMode="External"/><Relationship Id="rId293" Type="http://schemas.openxmlformats.org/officeDocument/2006/relationships/hyperlink" Target="http://www.sanfelipedelprogreso.gob.mx/" TargetMode="External"/><Relationship Id="rId294" Type="http://schemas.openxmlformats.org/officeDocument/2006/relationships/hyperlink" Target="http://www.sanmartindelaspiramides.gob.mx/" TargetMode="External"/><Relationship Id="rId295" Type="http://schemas.openxmlformats.org/officeDocument/2006/relationships/hyperlink" Target="http://www.sanmateoatenco.gob.mx/web/" TargetMode="External"/><Relationship Id="rId296" Type="http://schemas.openxmlformats.org/officeDocument/2006/relationships/hyperlink" Target="http://sansimondeguerrero.gob.mx/web/inicio.php" TargetMode="External"/><Relationship Id="rId297" Type="http://schemas.openxmlformats.org/officeDocument/2006/relationships/hyperlink" Target="http://www.edomexico.gob.mx/soyaniquilpan/" TargetMode="External"/><Relationship Id="rId298" Type="http://schemas.openxmlformats.org/officeDocument/2006/relationships/hyperlink" Target="http://www.sultepec.gob.mx/" TargetMode="External"/><Relationship Id="rId299" Type="http://schemas.openxmlformats.org/officeDocument/2006/relationships/hyperlink" Target="http://www.tecamac.gob.mx/" TargetMode="External"/><Relationship Id="rId300" Type="http://schemas.openxmlformats.org/officeDocument/2006/relationships/hyperlink" Target="http://www.tejupilco.gob.mx/web/" TargetMode="External"/><Relationship Id="rId301" Type="http://schemas.openxmlformats.org/officeDocument/2006/relationships/hyperlink" Target="http://temamatla.gob.mx/turistico/inicio.php" TargetMode="External"/><Relationship Id="rId302" Type="http://schemas.openxmlformats.org/officeDocument/2006/relationships/hyperlink" Target="http://www.temascalapa.gob.mx/" TargetMode="External"/><Relationship Id="rId303" Type="http://schemas.openxmlformats.org/officeDocument/2006/relationships/hyperlink" Target="http://www.temascalcingo.gob.mx/" TargetMode="External"/><Relationship Id="rId304" Type="http://schemas.openxmlformats.org/officeDocument/2006/relationships/hyperlink" Target="http://temascaltepec.gob.mx/" TargetMode="External"/><Relationship Id="rId305" Type="http://schemas.openxmlformats.org/officeDocument/2006/relationships/hyperlink" Target="http://www.temoaya.gob.mx/" TargetMode="External"/><Relationship Id="rId306" Type="http://schemas.openxmlformats.org/officeDocument/2006/relationships/hyperlink" Target="http://tenancingo.gob.mx/turistico/inicio.php" TargetMode="External"/><Relationship Id="rId307" Type="http://schemas.openxmlformats.org/officeDocument/2006/relationships/hyperlink" Target="http://www.tenangodelaire.gob.mx/web/" TargetMode="External"/><Relationship Id="rId308" Type="http://schemas.openxmlformats.org/officeDocument/2006/relationships/hyperlink" Target="http://www.tenangodelvalle.gob.mx/" TargetMode="External"/><Relationship Id="rId309" Type="http://schemas.openxmlformats.org/officeDocument/2006/relationships/hyperlink" Target="http://www.teoloyucan.gob.mx/" TargetMode="External"/><Relationship Id="rId310" Type="http://schemas.openxmlformats.org/officeDocument/2006/relationships/hyperlink" Target="http://www.teotihuacan.gob.mx/" TargetMode="External"/><Relationship Id="rId311" Type="http://schemas.openxmlformats.org/officeDocument/2006/relationships/hyperlink" Target="http://www.tepetlaoxtoc.gob.mx/" TargetMode="External"/><Relationship Id="rId312" Type="http://schemas.openxmlformats.org/officeDocument/2006/relationships/hyperlink" Target="http://www.tepetlixpa.gob.mx/web/" TargetMode="External"/><Relationship Id="rId313" Type="http://schemas.openxmlformats.org/officeDocument/2006/relationships/hyperlink" Target="http://tepotzotlan.gob.mx/turistico/inicio.php" TargetMode="External"/><Relationship Id="rId314" Type="http://schemas.openxmlformats.org/officeDocument/2006/relationships/hyperlink" Target="http://www.tequixquiac.gob.mx/" TargetMode="External"/><Relationship Id="rId315" Type="http://schemas.openxmlformats.org/officeDocument/2006/relationships/hyperlink" Target="http://www.texcaltitlan.gob.mx/web/" TargetMode="External"/><Relationship Id="rId316" Type="http://schemas.openxmlformats.org/officeDocument/2006/relationships/hyperlink" Target="http://www.edomex.gob.mx/portal/page/portal/texcalyacac/municipio" TargetMode="External"/><Relationship Id="rId317" Type="http://schemas.openxmlformats.org/officeDocument/2006/relationships/hyperlink" Target="http://www.texcoco.gob.mx/" TargetMode="External"/><Relationship Id="rId318" Type="http://schemas.openxmlformats.org/officeDocument/2006/relationships/hyperlink" Target="http://www.tezoyuca.gob.mx/" TargetMode="External"/><Relationship Id="rId319" Type="http://schemas.openxmlformats.org/officeDocument/2006/relationships/hyperlink" Target="http://tianguistenco.gob.mx/web/inicio.php" TargetMode="External"/><Relationship Id="rId320" Type="http://schemas.openxmlformats.org/officeDocument/2006/relationships/hyperlink" Target="http://timilpan.org.mx/inicio.html" TargetMode="External"/><Relationship Id="rId321" Type="http://schemas.openxmlformats.org/officeDocument/2006/relationships/hyperlink" Target="http://www.ayuntamientodetlalmanalco.gob.mx/" TargetMode="External"/><Relationship Id="rId322" Type="http://schemas.openxmlformats.org/officeDocument/2006/relationships/hyperlink" Target="http://www.tlalnepantla.gob.mx/portal/" TargetMode="External"/><Relationship Id="rId323" Type="http://schemas.openxmlformats.org/officeDocument/2006/relationships/hyperlink" Target="http://tlatlaya.gob.mx/web/" TargetMode="External"/><Relationship Id="rId324" Type="http://schemas.openxmlformats.org/officeDocument/2006/relationships/hyperlink" Target="http://www.toluca.gob.mx/" TargetMode="External"/><Relationship Id="rId325" Type="http://schemas.openxmlformats.org/officeDocument/2006/relationships/hyperlink" Target="http://www.tonatico.gob.mx/" TargetMode="External"/><Relationship Id="rId326" Type="http://schemas.openxmlformats.org/officeDocument/2006/relationships/hyperlink" Target="http://www.tultepec.gob.mx/" TargetMode="External"/><Relationship Id="rId327" Type="http://schemas.openxmlformats.org/officeDocument/2006/relationships/hyperlink" Target="http://www.tultitlan.gob.mx/" TargetMode="External"/><Relationship Id="rId328" Type="http://schemas.openxmlformats.org/officeDocument/2006/relationships/hyperlink" Target="http://valledebravo.gob.mx/" TargetMode="External"/><Relationship Id="rId329" Type="http://schemas.openxmlformats.org/officeDocument/2006/relationships/hyperlink" Target="http://www.villadeallende.gob.mx/web/" TargetMode="External"/><Relationship Id="rId330" Type="http://schemas.openxmlformats.org/officeDocument/2006/relationships/hyperlink" Target="http://www.villadelcarbon.gob.mx/" TargetMode="External"/><Relationship Id="rId331" Type="http://schemas.openxmlformats.org/officeDocument/2006/relationships/hyperlink" Target="http://www.villaguerrero.gob.mx/web/" TargetMode="External"/><Relationship Id="rId332" Type="http://schemas.openxmlformats.org/officeDocument/2006/relationships/hyperlink" Target="http://www.villavictoria.gob.mx/web/" TargetMode="External"/><Relationship Id="rId333" Type="http://schemas.openxmlformats.org/officeDocument/2006/relationships/hyperlink" Target="http://www.xonacatlan.gob.mx/" TargetMode="External"/><Relationship Id="rId334" Type="http://schemas.openxmlformats.org/officeDocument/2006/relationships/hyperlink" Target="http://zacazonapan.gob.mx/Portal/" TargetMode="External"/><Relationship Id="rId335" Type="http://schemas.openxmlformats.org/officeDocument/2006/relationships/hyperlink" Target="http://www.municipiozacualpandeamilpas.gob.mx/" TargetMode="External"/><Relationship Id="rId336" Type="http://schemas.openxmlformats.org/officeDocument/2006/relationships/hyperlink" Target="http://www.zinacantepec.gob.mx/index.html" TargetMode="External"/><Relationship Id="rId337" Type="http://schemas.openxmlformats.org/officeDocument/2006/relationships/hyperlink" Target="http://www.zumpahuacan.gob.mx/web/" TargetMode="External"/><Relationship Id="rId338" Type="http://schemas.openxmlformats.org/officeDocument/2006/relationships/hyperlink" Target="http://zumpango.gob.mx/" TargetMode="External"/><Relationship Id="rId339" Type="http://schemas.openxmlformats.org/officeDocument/2006/relationships/hyperlink" Target="http://www.cuautitlanizcalli.gob.mx/" TargetMode="External"/><Relationship Id="rId340" Type="http://schemas.openxmlformats.org/officeDocument/2006/relationships/hyperlink" Target="http://valledechalco.edomex.gob.mx/" TargetMode="External"/><Relationship Id="rId341" Type="http://schemas.openxmlformats.org/officeDocument/2006/relationships/hyperlink" Target="http://www.luvianos.gob.mx/web/" TargetMode="External"/><Relationship Id="rId342" Type="http://schemas.openxmlformats.org/officeDocument/2006/relationships/hyperlink" Target="http://www.sanjosedelrincon.gob.mx/" TargetMode="External"/><Relationship Id="rId343" Type="http://schemas.openxmlformats.org/officeDocument/2006/relationships/hyperlink" Target="http://www.tonanitla.gob.mx/web/" TargetMode="External"/><Relationship Id="rId344" Type="http://schemas.openxmlformats.org/officeDocument/2006/relationships/image" Target="media/image83.jpeg"/><Relationship Id="rId345" Type="http://schemas.openxmlformats.org/officeDocument/2006/relationships/image" Target="media/image84.jpeg"/><Relationship Id="rId346" Type="http://schemas.openxmlformats.org/officeDocument/2006/relationships/image" Target="media/image85.jpeg"/><Relationship Id="rId347" Type="http://schemas.openxmlformats.org/officeDocument/2006/relationships/footer" Target="footer12.xml"/><Relationship Id="rId348" Type="http://schemas.openxmlformats.org/officeDocument/2006/relationships/footer" Target="footer13.xml"/><Relationship Id="rId349" Type="http://schemas.openxmlformats.org/officeDocument/2006/relationships/footer" Target="footer14.xml"/><Relationship Id="rId350" Type="http://schemas.openxmlformats.org/officeDocument/2006/relationships/footer" Target="footer15.xml"/><Relationship Id="rId351" Type="http://schemas.openxmlformats.org/officeDocument/2006/relationships/footer" Target="footer16.xml"/><Relationship Id="rId352" Type="http://schemas.openxmlformats.org/officeDocument/2006/relationships/footer" Target="footer17.xml"/><Relationship Id="rId353" Type="http://schemas.openxmlformats.org/officeDocument/2006/relationships/footer" Target="footer18.xml"/><Relationship Id="rId354" Type="http://schemas.openxmlformats.org/officeDocument/2006/relationships/footer" Target="footer19.xml"/><Relationship Id="rId355" Type="http://schemas.openxmlformats.org/officeDocument/2006/relationships/footer" Target="footer20.xml"/><Relationship Id="rId35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Gabriel</dc:creator>
  <dcterms:created xsi:type="dcterms:W3CDTF">2017-05-24T21:37:39Z</dcterms:created>
  <dcterms:modified xsi:type="dcterms:W3CDTF">2017-05-24T21:37:39Z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2017-02-08T00:00:00Z</vt:filetime>
  </property>
  <property fmtid="{D5CDD505-2E9C-101B-9397-08002B2CF9AE}" pid="3" name="Creator">
    <vt:lpwstr>Microsoft® Word 2013</vt:lpwstr>
  </property>
  <property fmtid="{D5CDD505-2E9C-101B-9397-08002B2CF9AE}" pid="4" name="LastSaved">
    <vt:filetime>2017-05-24T00:00:00Z</vt:filetime>
  </property>
</Properties>
</file>